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3F27D">
      <w:pPr>
        <w:spacing w:line="166" w:lineRule="exact"/>
      </w:pPr>
    </w:p>
    <w:p w14:paraId="7648B53A">
      <w:pPr>
        <w:spacing w:line="166" w:lineRule="exact"/>
        <w:sectPr>
          <w:headerReference r:id="rId5" w:type="default"/>
          <w:footerReference r:id="rId6" w:type="default"/>
          <w:pgSz w:w="10510" w:h="6000"/>
          <w:pgMar w:top="1" w:right="0" w:bottom="1" w:left="0" w:header="0" w:footer="0" w:gutter="0"/>
          <w:cols w:equalWidth="0" w:num="1">
            <w:col w:w="10510"/>
          </w:cols>
        </w:sectPr>
      </w:pPr>
    </w:p>
    <w:p w14:paraId="0E6262C9">
      <w:pPr>
        <w:pStyle w:val="2"/>
        <w:spacing w:before="86" w:line="194" w:lineRule="auto"/>
        <w:ind w:left="5109"/>
        <w:rPr>
          <w:color w:val="F9EB02"/>
          <w:sz w:val="10"/>
          <w:szCs w:val="10"/>
        </w:rPr>
      </w:pPr>
      <w:r>
        <w:rPr>
          <w:color w:val="F9EB02"/>
        </w:rPr>
        <w:drawing>
          <wp:anchor distT="0" distB="0" distL="0" distR="0" simplePos="0" relativeHeight="251660288" behindDoc="1" locked="0" layoutInCell="1" allowOverlap="1">
            <wp:simplePos x="0" y="0"/>
            <wp:positionH relativeFrom="column">
              <wp:posOffset>0</wp:posOffset>
            </wp:positionH>
            <wp:positionV relativeFrom="paragraph">
              <wp:posOffset>-106045</wp:posOffset>
            </wp:positionV>
            <wp:extent cx="6673850" cy="38100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6673850" cy="3810000"/>
                    </a:xfrm>
                    <a:prstGeom prst="rect">
                      <a:avLst/>
                    </a:prstGeom>
                  </pic:spPr>
                </pic:pic>
              </a:graphicData>
            </a:graphic>
          </wp:anchor>
        </w:drawing>
      </w:r>
      <w:r>
        <w:rPr>
          <w:color w:val="F9EB02"/>
          <w:spacing w:val="-3"/>
          <w:sz w:val="10"/>
          <w:szCs w:val="10"/>
        </w:rPr>
        <w:t>技</w:t>
      </w:r>
      <w:r>
        <w:rPr>
          <w:color w:val="F9EB02"/>
          <w:spacing w:val="-7"/>
          <w:sz w:val="10"/>
          <w:szCs w:val="10"/>
        </w:rPr>
        <w:t xml:space="preserve"> </w:t>
      </w:r>
      <w:r>
        <w:rPr>
          <w:color w:val="F9EB02"/>
          <w:spacing w:val="-3"/>
          <w:sz w:val="10"/>
          <w:szCs w:val="10"/>
        </w:rPr>
        <w:t>全</w:t>
      </w:r>
    </w:p>
    <w:p w14:paraId="2DCE26D3">
      <w:pPr>
        <w:pStyle w:val="2"/>
        <w:spacing w:line="340" w:lineRule="exact"/>
        <w:ind w:firstLine="9"/>
      </w:pPr>
      <w:r>
        <w:rPr>
          <w:position w:val="-6"/>
        </w:rPr>
        <w:pict>
          <v:group id="_x0000_s1026" o:spid="_x0000_s1026" o:spt="203" style="height:17.05pt;width:242.05pt;" coordsize="4841,340">
            <o:lock v:ext="edit"/>
            <v:shape id="_x0000_s1027" o:spid="_x0000_s1027" o:spt="75" type="#_x0000_t75" style="position:absolute;left:0;top:0;height:340;width:4841;" filled="f" stroked="f" coordsize="21600,21600">
              <v:path/>
              <v:fill on="f" focussize="0,0"/>
              <v:stroke on="f"/>
              <v:imagedata r:id="rId11" o:title=""/>
              <o:lock v:ext="edit" aspectratio="t"/>
            </v:shape>
            <v:shape id="_x0000_s1028" o:spid="_x0000_s1028" o:spt="202" type="#_x0000_t202" style="position:absolute;left:-20;top:-20;height:380;width:4881;" filled="f" stroked="f" coordsize="21600,21600">
              <v:path/>
              <v:fill on="f" focussize="0,0"/>
              <v:stroke on="f"/>
              <v:imagedata o:title=""/>
              <o:lock v:ext="edit" aspectratio="f"/>
              <v:textbox inset="0mm,0mm,0mm,0mm">
                <w:txbxContent>
                  <w:p w14:paraId="79FFB78D">
                    <w:pPr>
                      <w:spacing w:before="143" w:line="219" w:lineRule="auto"/>
                      <w:ind w:left="712"/>
                      <w:rPr>
                        <w:rFonts w:ascii="宋体" w:hAnsi="宋体" w:eastAsia="宋体" w:cs="宋体"/>
                        <w:color w:val="FFFFFF" w:themeColor="background1"/>
                        <w:sz w:val="17"/>
                        <w:szCs w:val="17"/>
                        <w14:textFill>
                          <w14:solidFill>
                            <w14:schemeClr w14:val="bg1"/>
                          </w14:solidFill>
                        </w14:textFill>
                      </w:rPr>
                    </w:pPr>
                    <w:r>
                      <w:rPr>
                        <w:rFonts w:ascii="宋体" w:hAnsi="宋体" w:eastAsia="宋体" w:cs="宋体"/>
                        <w:b/>
                        <w:bCs/>
                        <w:color w:val="FFFFFF" w:themeColor="background1"/>
                        <w:spacing w:val="-6"/>
                        <w:sz w:val="17"/>
                        <w:szCs w:val="17"/>
                        <w14:textFill>
                          <w14:solidFill>
                            <w14:schemeClr w14:val="bg1"/>
                          </w14:solidFill>
                        </w14:textFill>
                      </w:rPr>
                      <w:t>全国计算机技术与软件专业技术资格(水平)考试</w:t>
                    </w:r>
                  </w:p>
                </w:txbxContent>
              </v:textbox>
            </v:shape>
            <w10:wrap type="none"/>
            <w10:anchorlock/>
          </v:group>
        </w:pict>
      </w:r>
    </w:p>
    <w:p w14:paraId="0B928E1D">
      <w:pPr>
        <w:pStyle w:val="2"/>
        <w:spacing w:before="193" w:line="271" w:lineRule="auto"/>
        <w:ind w:left="699" w:right="1214"/>
        <w:jc w:val="both"/>
      </w:pPr>
      <w:r>
        <w:pict>
          <v:shape id="_x0000_s1029" o:spid="_x0000_s1029" o:spt="202" type="#_x0000_t202" style="position:absolute;left:0pt;margin-left:254.45pt;margin-top:35.15pt;height:183.85pt;width:13.7pt;z-index:251664384;mso-width-relative:page;mso-height-relative:page;" filled="f" stroked="f" coordsize="21600,21600">
            <v:path/>
            <v:fill on="f" focussize="0,0"/>
            <v:stroke on="f"/>
            <v:imagedata o:title=""/>
            <o:lock v:ext="edit" aspectratio="f"/>
            <v:textbox inset="0mm,0mm,0mm,0mm" style="layout-flow:vertical-ideographic;">
              <w:txbxContent>
                <w:p w14:paraId="05EF6AAD">
                  <w:pPr>
                    <w:pStyle w:val="2"/>
                    <w:spacing w:before="20" w:line="233" w:lineRule="exact"/>
                    <w:ind w:left="20"/>
                    <w:rPr>
                      <w:sz w:val="16"/>
                      <w:szCs w:val="16"/>
                    </w:rPr>
                  </w:pPr>
                  <w:r>
                    <w:rPr>
                      <w:color w:val="F9EB02"/>
                    </w:rPr>
                    <w:fldChar w:fldCharType="begin"/>
                  </w:r>
                  <w:r>
                    <w:rPr>
                      <w:color w:val="F9EB02"/>
                    </w:rPr>
                    <w:instrText xml:space="preserve">EQ \* jc3 \* hps10 \o\al(\s\up 3(</w:instrText>
                  </w:r>
                  <w:r>
                    <w:rPr>
                      <w:color w:val="F9EB02"/>
                      <w:w w:val="99"/>
                      <w:position w:val="2"/>
                      <w:sz w:val="10"/>
                      <w:szCs w:val="10"/>
                    </w:rPr>
                    <w:instrText xml:space="preserve">业</w:instrText>
                  </w:r>
                  <w:r>
                    <w:rPr>
                      <w:color w:val="F9EB02"/>
                    </w:rPr>
                    <w:instrText xml:space="preserve">),</w:instrText>
                  </w:r>
                  <w:r>
                    <w:rPr>
                      <w:color w:val="F9EB02"/>
                      <w:w w:val="99"/>
                      <w:position w:val="-5"/>
                      <w:sz w:val="10"/>
                      <w:szCs w:val="10"/>
                    </w:rPr>
                    <w:instrText xml:space="preserve">书</w:instrText>
                  </w:r>
                  <w:r>
                    <w:rPr>
                      <w:color w:val="F9EB02"/>
                    </w:rPr>
                    <w:instrText xml:space="preserve">)</w:instrText>
                  </w:r>
                  <w:r>
                    <w:rPr>
                      <w:color w:val="F9EB02"/>
                    </w:rPr>
                    <w:fldChar w:fldCharType="end"/>
                  </w:r>
                  <w:r>
                    <w:rPr>
                      <w:spacing w:val="21"/>
                      <w:position w:val="2"/>
                      <w:sz w:val="16"/>
                      <w:szCs w:val="16"/>
                    </w:rPr>
                    <w:t xml:space="preserve"> </w:t>
                  </w:r>
                  <w:r>
                    <w:rPr>
                      <w:spacing w:val="14"/>
                      <w:position w:val="2"/>
                      <w:sz w:val="16"/>
                      <w:szCs w:val="16"/>
                    </w:rPr>
                    <w:t>信 息 系 统 监 理</w:t>
                  </w:r>
                  <w:r>
                    <w:rPr>
                      <w:spacing w:val="12"/>
                      <w:position w:val="2"/>
                      <w:sz w:val="16"/>
                      <w:szCs w:val="16"/>
                    </w:rPr>
                    <w:t xml:space="preserve"> </w:t>
                  </w:r>
                  <w:r>
                    <w:rPr>
                      <w:spacing w:val="14"/>
                      <w:position w:val="2"/>
                      <w:sz w:val="16"/>
                      <w:szCs w:val="16"/>
                    </w:rPr>
                    <w:t>师</w:t>
                  </w:r>
                  <w:r>
                    <w:rPr>
                      <w:spacing w:val="13"/>
                      <w:position w:val="2"/>
                      <w:sz w:val="16"/>
                      <w:szCs w:val="16"/>
                    </w:rPr>
                    <w:t xml:space="preserve"> </w:t>
                  </w:r>
                  <w:r>
                    <w:rPr>
                      <w:spacing w:val="14"/>
                      <w:position w:val="2"/>
                      <w:sz w:val="16"/>
                      <w:szCs w:val="16"/>
                    </w:rPr>
                    <w:t>教</w:t>
                  </w:r>
                  <w:r>
                    <w:rPr>
                      <w:spacing w:val="12"/>
                      <w:position w:val="2"/>
                      <w:sz w:val="16"/>
                      <w:szCs w:val="16"/>
                    </w:rPr>
                    <w:t xml:space="preserve"> </w:t>
                  </w:r>
                  <w:r>
                    <w:rPr>
                      <w:spacing w:val="14"/>
                      <w:position w:val="2"/>
                      <w:sz w:val="16"/>
                      <w:szCs w:val="16"/>
                    </w:rPr>
                    <w:t>程</w:t>
                  </w:r>
                  <w:r>
                    <w:rPr>
                      <w:spacing w:val="13"/>
                      <w:position w:val="2"/>
                      <w:sz w:val="16"/>
                      <w:szCs w:val="16"/>
                    </w:rPr>
                    <w:t xml:space="preserve"> </w:t>
                  </w:r>
                  <w:r>
                    <w:rPr>
                      <w:spacing w:val="14"/>
                      <w:position w:val="2"/>
                      <w:sz w:val="16"/>
                      <w:szCs w:val="16"/>
                    </w:rPr>
                    <w:t>(</w:t>
                  </w:r>
                  <w:r>
                    <w:rPr>
                      <w:spacing w:val="18"/>
                      <w:position w:val="2"/>
                      <w:sz w:val="16"/>
                      <w:szCs w:val="16"/>
                    </w:rPr>
                    <w:t xml:space="preserve"> </w:t>
                  </w:r>
                  <w:r>
                    <w:rPr>
                      <w:spacing w:val="14"/>
                      <w:position w:val="2"/>
                      <w:sz w:val="16"/>
                      <w:szCs w:val="16"/>
                    </w:rPr>
                    <w:t>第</w:t>
                  </w:r>
                  <w:r>
                    <w:rPr>
                      <w:spacing w:val="13"/>
                      <w:position w:val="2"/>
                      <w:sz w:val="16"/>
                      <w:szCs w:val="16"/>
                    </w:rPr>
                    <w:t xml:space="preserve"> </w:t>
                  </w:r>
                  <w:r>
                    <w:rPr>
                      <w:spacing w:val="14"/>
                      <w:position w:val="2"/>
                      <w:sz w:val="16"/>
                      <w:szCs w:val="16"/>
                    </w:rPr>
                    <w:t>2</w:t>
                  </w:r>
                  <w:r>
                    <w:rPr>
                      <w:spacing w:val="34"/>
                      <w:position w:val="2"/>
                      <w:sz w:val="16"/>
                      <w:szCs w:val="16"/>
                    </w:rPr>
                    <w:t xml:space="preserve"> </w:t>
                  </w:r>
                  <w:r>
                    <w:rPr>
                      <w:spacing w:val="14"/>
                      <w:position w:val="2"/>
                      <w:sz w:val="16"/>
                      <w:szCs w:val="16"/>
                    </w:rPr>
                    <w:t>版</w:t>
                  </w:r>
                  <w:r>
                    <w:rPr>
                      <w:spacing w:val="13"/>
                      <w:position w:val="2"/>
                      <w:sz w:val="16"/>
                      <w:szCs w:val="16"/>
                    </w:rPr>
                    <w:t xml:space="preserve"> </w:t>
                  </w:r>
                  <w:r>
                    <w:rPr>
                      <w:spacing w:val="14"/>
                      <w:position w:val="2"/>
                      <w:sz w:val="16"/>
                      <w:szCs w:val="16"/>
                    </w:rPr>
                    <w:t>)</w:t>
                  </w:r>
                </w:p>
              </w:txbxContent>
            </v:textbox>
          </v:shape>
        </w:pict>
      </w:r>
      <w:r>
        <w:rPr>
          <w:spacing w:val="-8"/>
        </w:rPr>
        <w:t>根据人力资源和社会保障部、工业和信息化部文件，计算机技术与软件专业技</w:t>
      </w:r>
      <w:r>
        <w:rPr>
          <w:spacing w:val="7"/>
        </w:rPr>
        <w:t xml:space="preserve">  </w:t>
      </w:r>
      <w:r>
        <w:rPr>
          <w:spacing w:val="-4"/>
        </w:rPr>
        <w:t>术资格(水平)考试纳入全国专业技术人员职业资格</w:t>
      </w:r>
      <w:r>
        <w:rPr>
          <w:spacing w:val="-5"/>
        </w:rPr>
        <w:t>证书制度的统一规划。通</w:t>
      </w:r>
      <w:r>
        <w:t xml:space="preserve">  </w:t>
      </w:r>
      <w:r>
        <w:rPr>
          <w:spacing w:val="-6"/>
        </w:rPr>
        <w:t>过考试获得证书的人员，表明其已具备从事相应专业岗位工作的水平和能</w:t>
      </w:r>
      <w:r>
        <w:rPr>
          <w:spacing w:val="-7"/>
        </w:rPr>
        <w:t>力，</w:t>
      </w:r>
      <w:r>
        <w:t xml:space="preserve"> </w:t>
      </w:r>
      <w:r>
        <w:rPr>
          <w:spacing w:val="-9"/>
        </w:rPr>
        <w:t>用人单位可根据工作需要从获得证书的人员中择优聘任相应专业技术职务(技术</w:t>
      </w:r>
      <w:r>
        <w:rPr>
          <w:spacing w:val="1"/>
        </w:rPr>
        <w:t xml:space="preserve">  </w:t>
      </w:r>
      <w:r>
        <w:rPr>
          <w:spacing w:val="-6"/>
        </w:rPr>
        <w:t>员或助理工程师、工程师、高级工程师)。计算机技术与软件专业实施全国统</w:t>
      </w:r>
      <w:r>
        <w:rPr>
          <w:spacing w:val="1"/>
        </w:rPr>
        <w:t xml:space="preserve">  </w:t>
      </w:r>
      <w:r>
        <w:rPr>
          <w:spacing w:val="-8"/>
        </w:rPr>
        <w:t>一考试后，不再进行相应专业和级别的专业技术职务任职资格评审工作。</w:t>
      </w:r>
    </w:p>
    <w:p w14:paraId="766A425E">
      <w:pPr>
        <w:spacing w:line="244" w:lineRule="auto"/>
        <w:rPr>
          <w:rFonts w:ascii="Arial"/>
          <w:sz w:val="21"/>
        </w:rPr>
      </w:pPr>
    </w:p>
    <w:p w14:paraId="413A782C">
      <w:pPr>
        <w:spacing w:line="244" w:lineRule="auto"/>
        <w:rPr>
          <w:rFonts w:ascii="Arial"/>
          <w:sz w:val="21"/>
        </w:rPr>
      </w:pPr>
    </w:p>
    <w:p w14:paraId="5BBF7FB2">
      <w:pPr>
        <w:spacing w:line="244" w:lineRule="auto"/>
        <w:rPr>
          <w:rFonts w:ascii="Arial"/>
          <w:sz w:val="21"/>
        </w:rPr>
      </w:pPr>
    </w:p>
    <w:p w14:paraId="0F265EDB">
      <w:pPr>
        <w:spacing w:line="244" w:lineRule="auto"/>
        <w:rPr>
          <w:rFonts w:ascii="Arial"/>
          <w:sz w:val="21"/>
        </w:rPr>
      </w:pPr>
    </w:p>
    <w:p w14:paraId="14AE927C">
      <w:pPr>
        <w:spacing w:line="244" w:lineRule="auto"/>
        <w:rPr>
          <w:rFonts w:ascii="Arial"/>
          <w:sz w:val="21"/>
        </w:rPr>
      </w:pPr>
    </w:p>
    <w:p w14:paraId="79769816">
      <w:pPr>
        <w:spacing w:line="244" w:lineRule="auto"/>
        <w:rPr>
          <w:rFonts w:ascii="Arial"/>
          <w:sz w:val="21"/>
        </w:rPr>
      </w:pPr>
    </w:p>
    <w:p w14:paraId="17035A6E">
      <w:pPr>
        <w:spacing w:line="244" w:lineRule="auto"/>
        <w:rPr>
          <w:rFonts w:ascii="Arial"/>
          <w:sz w:val="21"/>
        </w:rPr>
      </w:pPr>
    </w:p>
    <w:p w14:paraId="183EB60A">
      <w:pPr>
        <w:spacing w:line="244" w:lineRule="auto"/>
        <w:rPr>
          <w:rFonts w:ascii="Arial"/>
          <w:sz w:val="21"/>
        </w:rPr>
      </w:pPr>
    </w:p>
    <w:p w14:paraId="45F29934">
      <w:pPr>
        <w:spacing w:line="245" w:lineRule="auto"/>
        <w:rPr>
          <w:rFonts w:ascii="Arial"/>
          <w:sz w:val="21"/>
        </w:rPr>
      </w:pPr>
    </w:p>
    <w:p w14:paraId="0254D641">
      <w:pPr>
        <w:spacing w:line="245" w:lineRule="auto"/>
        <w:rPr>
          <w:rFonts w:ascii="Arial"/>
          <w:sz w:val="21"/>
        </w:rPr>
      </w:pPr>
    </w:p>
    <w:p w14:paraId="376B5441">
      <w:pPr>
        <w:spacing w:line="245" w:lineRule="auto"/>
        <w:rPr>
          <w:rFonts w:ascii="Arial"/>
          <w:sz w:val="21"/>
        </w:rPr>
      </w:pPr>
    </w:p>
    <w:p w14:paraId="41EF8C0B">
      <w:pPr>
        <w:spacing w:line="245" w:lineRule="auto"/>
        <w:rPr>
          <w:rFonts w:ascii="Arial"/>
          <w:sz w:val="21"/>
        </w:rPr>
      </w:pPr>
      <w:r>
        <w:drawing>
          <wp:anchor distT="0" distB="0" distL="0" distR="0" simplePos="0" relativeHeight="251662336" behindDoc="0" locked="0" layoutInCell="1" allowOverlap="1">
            <wp:simplePos x="0" y="0"/>
            <wp:positionH relativeFrom="column">
              <wp:posOffset>2247265</wp:posOffset>
            </wp:positionH>
            <wp:positionV relativeFrom="paragraph">
              <wp:posOffset>103505</wp:posOffset>
            </wp:positionV>
            <wp:extent cx="596900" cy="5905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2"/>
                    <a:stretch>
                      <a:fillRect/>
                    </a:stretch>
                  </pic:blipFill>
                  <pic:spPr>
                    <a:xfrm>
                      <a:off x="0" y="0"/>
                      <a:ext cx="596909" cy="590550"/>
                    </a:xfrm>
                    <a:prstGeom prst="rect">
                      <a:avLst/>
                    </a:prstGeom>
                  </pic:spPr>
                </pic:pic>
              </a:graphicData>
            </a:graphic>
          </wp:anchor>
        </w:drawing>
      </w:r>
    </w:p>
    <w:p w14:paraId="446A28D0">
      <w:pPr>
        <w:pStyle w:val="2"/>
        <w:spacing w:before="1" w:line="890" w:lineRule="exact"/>
        <w:ind w:firstLine="1779"/>
      </w:pPr>
      <w:r>
        <w:drawing>
          <wp:anchor distT="0" distB="0" distL="0" distR="0" simplePos="0" relativeHeight="251663360" behindDoc="0" locked="0" layoutInCell="1" allowOverlap="1">
            <wp:simplePos x="0" y="0"/>
            <wp:positionH relativeFrom="column">
              <wp:posOffset>666115</wp:posOffset>
            </wp:positionH>
            <wp:positionV relativeFrom="paragraph">
              <wp:posOffset>74295</wp:posOffset>
            </wp:positionV>
            <wp:extent cx="412750" cy="387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3"/>
                    <a:stretch>
                      <a:fillRect/>
                    </a:stretch>
                  </pic:blipFill>
                  <pic:spPr>
                    <a:xfrm>
                      <a:off x="0" y="0"/>
                      <a:ext cx="412777" cy="387324"/>
                    </a:xfrm>
                    <a:prstGeom prst="rect">
                      <a:avLst/>
                    </a:prstGeom>
                  </pic:spPr>
                </pic:pic>
              </a:graphicData>
            </a:graphic>
          </wp:anchor>
        </w:drawing>
      </w:r>
      <w:r>
        <w:rPr>
          <w:position w:val="-17"/>
        </w:rPr>
        <w:pict>
          <v:group id="_x0000_s1030" o:spid="_x0000_s1030" o:spt="203" style="height:44.55pt;width:79.05pt;" coordsize="1581,890">
            <o:lock v:ext="edit"/>
            <v:shape id="_x0000_s1031" o:spid="_x0000_s1031" o:spt="75" type="#_x0000_t75" style="position:absolute;left:0;top:76;height:730;width:1581;" filled="f" stroked="f" coordsize="21600,21600">
              <v:path/>
              <v:fill on="f" focussize="0,0"/>
              <v:stroke on="f"/>
              <v:imagedata r:id="rId14" o:title=""/>
              <o:lock v:ext="edit" aspectratio="t"/>
            </v:shape>
            <v:shape id="_x0000_s1032" o:spid="_x0000_s1032" o:spt="202" type="#_x0000_t202" style="position:absolute;left:-20;top:-20;height:930;width:1621;" filled="f" stroked="f" coordsize="21600,21600">
              <v:path/>
              <v:fill on="f" focussize="0,0"/>
              <v:stroke on="f"/>
              <v:imagedata o:title=""/>
              <o:lock v:ext="edit" aspectratio="f"/>
              <v:textbox inset="0mm,0mm,0mm,0mm">
                <w:txbxContent>
                  <w:p w14:paraId="3BBF708F">
                    <w:pPr>
                      <w:spacing w:before="19" w:line="221" w:lineRule="auto"/>
                      <w:ind w:left="60"/>
                      <w:rPr>
                        <w:rFonts w:ascii="黑体" w:hAnsi="黑体" w:eastAsia="黑体" w:cs="黑体"/>
                        <w:sz w:val="11"/>
                        <w:szCs w:val="11"/>
                      </w:rPr>
                    </w:pPr>
                    <w:r>
                      <w:rPr>
                        <w:rFonts w:ascii="黑体" w:hAnsi="黑体" w:eastAsia="黑体" w:cs="黑体"/>
                        <w:spacing w:val="-12"/>
                        <w:w w:val="97"/>
                        <w:sz w:val="11"/>
                        <w:szCs w:val="11"/>
                      </w:rPr>
                      <w:t>图书查询-扩展阅读 清华大学出版社</w:t>
                    </w:r>
                  </w:p>
                  <w:p w14:paraId="4888F7F9">
                    <w:pPr>
                      <w:spacing w:line="304" w:lineRule="auto"/>
                      <w:rPr>
                        <w:rFonts w:ascii="Arial"/>
                        <w:sz w:val="21"/>
                      </w:rPr>
                    </w:pPr>
                  </w:p>
                  <w:p w14:paraId="3041C9FC">
                    <w:pPr>
                      <w:spacing w:line="305" w:lineRule="auto"/>
                      <w:rPr>
                        <w:rFonts w:ascii="Arial"/>
                        <w:sz w:val="21"/>
                      </w:rPr>
                    </w:pPr>
                  </w:p>
                  <w:p w14:paraId="5ED738F0">
                    <w:pPr>
                      <w:spacing w:before="36" w:line="219" w:lineRule="auto"/>
                      <w:ind w:left="299"/>
                      <w:rPr>
                        <w:rFonts w:ascii="宋体" w:hAnsi="宋体" w:eastAsia="宋体" w:cs="宋体"/>
                        <w:sz w:val="11"/>
                        <w:szCs w:val="11"/>
                      </w:rPr>
                    </w:pPr>
                    <w:r>
                      <w:rPr>
                        <w:rFonts w:ascii="宋体" w:hAnsi="宋体" w:eastAsia="宋体" w:cs="宋体"/>
                        <w:color w:val="7C700C"/>
                        <w:spacing w:val="5"/>
                        <w:sz w:val="7"/>
                        <w:szCs w:val="7"/>
                      </w:rPr>
                      <w:t>书</w:t>
                    </w:r>
                    <w:r>
                      <w:rPr>
                        <w:rFonts w:ascii="宋体" w:hAnsi="宋体" w:eastAsia="宋体" w:cs="宋体"/>
                        <w:color w:val="7C700C"/>
                        <w:spacing w:val="20"/>
                        <w:w w:val="101"/>
                        <w:sz w:val="7"/>
                        <w:szCs w:val="7"/>
                      </w:rPr>
                      <w:t xml:space="preserve">  </w:t>
                    </w:r>
                    <w:r>
                      <w:rPr>
                        <w:rFonts w:ascii="宋体" w:hAnsi="宋体" w:eastAsia="宋体" w:cs="宋体"/>
                        <w:color w:val="7C700C"/>
                        <w:spacing w:val="5"/>
                        <w:sz w:val="7"/>
                        <w:szCs w:val="7"/>
                      </w:rPr>
                      <w:t xml:space="preserve">圈          </w:t>
                    </w:r>
                    <w:r>
                      <w:rPr>
                        <w:rFonts w:ascii="宋体" w:hAnsi="宋体" w:eastAsia="宋体" w:cs="宋体"/>
                        <w:color w:val="8E8619"/>
                        <w:spacing w:val="5"/>
                        <w:sz w:val="11"/>
                        <w:szCs w:val="11"/>
                      </w:rPr>
                      <w:t>官方微信号</w:t>
                    </w:r>
                  </w:p>
                </w:txbxContent>
              </v:textbox>
            </v:shape>
            <w10:wrap type="none"/>
            <w10:anchorlock/>
          </v:group>
        </w:pict>
      </w:r>
    </w:p>
    <w:p w14:paraId="1CBD006C">
      <w:pPr>
        <w:spacing w:line="14" w:lineRule="auto"/>
        <w:rPr>
          <w:rFonts w:ascii="Arial"/>
          <w:sz w:val="2"/>
        </w:rPr>
      </w:pPr>
      <w:r>
        <w:rPr>
          <w:rFonts w:ascii="Arial" w:hAnsi="Arial" w:eastAsia="Arial" w:cs="Arial"/>
          <w:sz w:val="2"/>
          <w:szCs w:val="2"/>
        </w:rPr>
        <w:br w:type="column"/>
      </w:r>
    </w:p>
    <w:p w14:paraId="2E90070C">
      <w:pPr>
        <w:pStyle w:val="2"/>
        <w:spacing w:before="264" w:line="219" w:lineRule="auto"/>
        <w:ind w:left="949"/>
        <w:rPr>
          <w:color w:val="FFFFFF" w:themeColor="background1"/>
          <w14:textFill>
            <w14:solidFill>
              <w14:schemeClr w14:val="bg1"/>
            </w14:solidFill>
          </w14:textFill>
        </w:rPr>
      </w:pPr>
      <w:r>
        <w:rPr>
          <w:color w:val="FFFFFF" w:themeColor="background1"/>
          <w14:textFill>
            <w14:solidFill>
              <w14:schemeClr w14:val="bg1"/>
            </w14:solidFill>
          </w14:textFill>
        </w:rPr>
        <w:drawing>
          <wp:anchor distT="0" distB="0" distL="0" distR="0" simplePos="0" relativeHeight="251661312" behindDoc="1" locked="0" layoutInCell="1" allowOverlap="1">
            <wp:simplePos x="0" y="0"/>
            <wp:positionH relativeFrom="column">
              <wp:posOffset>0</wp:posOffset>
            </wp:positionH>
            <wp:positionV relativeFrom="paragraph">
              <wp:posOffset>12700</wp:posOffset>
            </wp:positionV>
            <wp:extent cx="3149600" cy="36893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5"/>
                    <a:stretch>
                      <a:fillRect/>
                    </a:stretch>
                  </pic:blipFill>
                  <pic:spPr>
                    <a:xfrm>
                      <a:off x="0" y="0"/>
                      <a:ext cx="3149589" cy="3689337"/>
                    </a:xfrm>
                    <a:prstGeom prst="rect">
                      <a:avLst/>
                    </a:prstGeom>
                  </pic:spPr>
                </pic:pic>
              </a:graphicData>
            </a:graphic>
          </wp:anchor>
        </w:drawing>
      </w:r>
      <w:r>
        <w:rPr>
          <w:color w:val="FFFFFF" w:themeColor="background1"/>
          <w:spacing w:val="-6"/>
          <w14:textFill>
            <w14:solidFill>
              <w14:schemeClr w14:val="bg1"/>
            </w14:solidFill>
          </w14:textFill>
        </w:rPr>
        <w:t>全 国</w:t>
      </w:r>
      <w:r>
        <w:rPr>
          <w:color w:val="FFFFFF" w:themeColor="background1"/>
          <w:spacing w:val="-13"/>
          <w14:textFill>
            <w14:solidFill>
              <w14:schemeClr w14:val="bg1"/>
            </w14:solidFill>
          </w14:textFill>
        </w:rPr>
        <w:t xml:space="preserve"> </w:t>
      </w:r>
      <w:r>
        <w:rPr>
          <w:color w:val="FFFFFF" w:themeColor="background1"/>
          <w:spacing w:val="-6"/>
          <w14:textFill>
            <w14:solidFill>
              <w14:schemeClr w14:val="bg1"/>
            </w14:solidFill>
          </w14:textFill>
        </w:rPr>
        <w:t>计</w:t>
      </w:r>
      <w:r>
        <w:rPr>
          <w:color w:val="FFFFFF" w:themeColor="background1"/>
          <w:spacing w:val="-17"/>
          <w14:textFill>
            <w14:solidFill>
              <w14:schemeClr w14:val="bg1"/>
            </w14:solidFill>
          </w14:textFill>
        </w:rPr>
        <w:t xml:space="preserve"> </w:t>
      </w:r>
      <w:r>
        <w:rPr>
          <w:color w:val="FFFFFF" w:themeColor="background1"/>
          <w:spacing w:val="-6"/>
          <w14:textFill>
            <w14:solidFill>
              <w14:schemeClr w14:val="bg1"/>
            </w14:solidFill>
          </w14:textFill>
        </w:rPr>
        <w:t>算</w:t>
      </w:r>
      <w:r>
        <w:rPr>
          <w:color w:val="FFFFFF" w:themeColor="background1"/>
          <w:spacing w:val="-19"/>
          <w14:textFill>
            <w14:solidFill>
              <w14:schemeClr w14:val="bg1"/>
            </w14:solidFill>
          </w14:textFill>
        </w:rPr>
        <w:t xml:space="preserve"> </w:t>
      </w:r>
      <w:r>
        <w:rPr>
          <w:color w:val="FFFFFF" w:themeColor="background1"/>
          <w:spacing w:val="-6"/>
          <w14:textFill>
            <w14:solidFill>
              <w14:schemeClr w14:val="bg1"/>
            </w14:solidFill>
          </w14:textFill>
        </w:rPr>
        <w:t>机</w:t>
      </w:r>
      <w:r>
        <w:rPr>
          <w:color w:val="FFFFFF" w:themeColor="background1"/>
          <w:spacing w:val="-17"/>
          <w14:textFill>
            <w14:solidFill>
              <w14:schemeClr w14:val="bg1"/>
            </w14:solidFill>
          </w14:textFill>
        </w:rPr>
        <w:t xml:space="preserve"> </w:t>
      </w:r>
      <w:r>
        <w:rPr>
          <w:color w:val="FFFFFF" w:themeColor="background1"/>
          <w:spacing w:val="-6"/>
          <w14:textFill>
            <w14:solidFill>
              <w14:schemeClr w14:val="bg1"/>
            </w14:solidFill>
          </w14:textFill>
        </w:rPr>
        <w:t>技</w:t>
      </w:r>
      <w:r>
        <w:rPr>
          <w:color w:val="FFFFFF" w:themeColor="background1"/>
          <w:spacing w:val="-18"/>
          <w14:textFill>
            <w14:solidFill>
              <w14:schemeClr w14:val="bg1"/>
            </w14:solidFill>
          </w14:textFill>
        </w:rPr>
        <w:t xml:space="preserve"> </w:t>
      </w:r>
      <w:r>
        <w:rPr>
          <w:color w:val="FFFFFF" w:themeColor="background1"/>
          <w:spacing w:val="-6"/>
          <w14:textFill>
            <w14:solidFill>
              <w14:schemeClr w14:val="bg1"/>
            </w14:solidFill>
          </w14:textFill>
        </w:rPr>
        <w:t>术</w:t>
      </w:r>
      <w:r>
        <w:rPr>
          <w:color w:val="FFFFFF" w:themeColor="background1"/>
          <w:spacing w:val="-16"/>
          <w14:textFill>
            <w14:solidFill>
              <w14:schemeClr w14:val="bg1"/>
            </w14:solidFill>
          </w14:textFill>
        </w:rPr>
        <w:t xml:space="preserve"> </w:t>
      </w:r>
      <w:r>
        <w:rPr>
          <w:color w:val="FFFFFF" w:themeColor="background1"/>
          <w:spacing w:val="-6"/>
          <w14:textFill>
            <w14:solidFill>
              <w14:schemeClr w14:val="bg1"/>
            </w14:solidFill>
          </w14:textFill>
        </w:rPr>
        <w:t>与</w:t>
      </w:r>
      <w:r>
        <w:rPr>
          <w:color w:val="FFFFFF" w:themeColor="background1"/>
          <w:spacing w:val="-17"/>
          <w14:textFill>
            <w14:solidFill>
              <w14:schemeClr w14:val="bg1"/>
            </w14:solidFill>
          </w14:textFill>
        </w:rPr>
        <w:t xml:space="preserve"> </w:t>
      </w:r>
      <w:r>
        <w:rPr>
          <w:color w:val="FFFFFF" w:themeColor="background1"/>
          <w:spacing w:val="-6"/>
          <w14:textFill>
            <w14:solidFill>
              <w14:schemeClr w14:val="bg1"/>
            </w14:solidFill>
          </w14:textFill>
        </w:rPr>
        <w:t>软</w:t>
      </w:r>
      <w:r>
        <w:rPr>
          <w:color w:val="FFFFFF" w:themeColor="background1"/>
          <w:spacing w:val="-18"/>
          <w14:textFill>
            <w14:solidFill>
              <w14:schemeClr w14:val="bg1"/>
            </w14:solidFill>
          </w14:textFill>
        </w:rPr>
        <w:t xml:space="preserve"> </w:t>
      </w:r>
      <w:r>
        <w:rPr>
          <w:color w:val="FFFFFF" w:themeColor="background1"/>
          <w:spacing w:val="-6"/>
          <w14:textFill>
            <w14:solidFill>
              <w14:schemeClr w14:val="bg1"/>
            </w14:solidFill>
          </w14:textFill>
        </w:rPr>
        <w:t>件</w:t>
      </w:r>
      <w:r>
        <w:rPr>
          <w:color w:val="FFFFFF" w:themeColor="background1"/>
          <w:spacing w:val="-18"/>
          <w14:textFill>
            <w14:solidFill>
              <w14:schemeClr w14:val="bg1"/>
            </w14:solidFill>
          </w14:textFill>
        </w:rPr>
        <w:t xml:space="preserve"> </w:t>
      </w:r>
      <w:r>
        <w:rPr>
          <w:color w:val="FFFFFF" w:themeColor="background1"/>
          <w:spacing w:val="-6"/>
          <w14:textFill>
            <w14:solidFill>
              <w14:schemeClr w14:val="bg1"/>
            </w14:solidFill>
          </w14:textFill>
        </w:rPr>
        <w:t>专</w:t>
      </w:r>
      <w:r>
        <w:rPr>
          <w:color w:val="FFFFFF" w:themeColor="background1"/>
          <w:spacing w:val="-19"/>
          <w14:textFill>
            <w14:solidFill>
              <w14:schemeClr w14:val="bg1"/>
            </w14:solidFill>
          </w14:textFill>
        </w:rPr>
        <w:t xml:space="preserve"> </w:t>
      </w:r>
      <w:r>
        <w:rPr>
          <w:color w:val="FFFFFF" w:themeColor="background1"/>
          <w:spacing w:val="-6"/>
          <w14:textFill>
            <w14:solidFill>
              <w14:schemeClr w14:val="bg1"/>
            </w14:solidFill>
          </w14:textFill>
        </w:rPr>
        <w:t>业</w:t>
      </w:r>
      <w:r>
        <w:rPr>
          <w:color w:val="FFFFFF" w:themeColor="background1"/>
          <w:spacing w:val="-18"/>
          <w14:textFill>
            <w14:solidFill>
              <w14:schemeClr w14:val="bg1"/>
            </w14:solidFill>
          </w14:textFill>
        </w:rPr>
        <w:t xml:space="preserve"> </w:t>
      </w:r>
      <w:r>
        <w:rPr>
          <w:color w:val="FFFFFF" w:themeColor="background1"/>
          <w:spacing w:val="-6"/>
          <w14:textFill>
            <w14:solidFill>
              <w14:schemeClr w14:val="bg1"/>
            </w14:solidFill>
          </w14:textFill>
        </w:rPr>
        <w:t>技</w:t>
      </w:r>
      <w:r>
        <w:rPr>
          <w:color w:val="FFFFFF" w:themeColor="background1"/>
          <w:spacing w:val="-17"/>
          <w14:textFill>
            <w14:solidFill>
              <w14:schemeClr w14:val="bg1"/>
            </w14:solidFill>
          </w14:textFill>
        </w:rPr>
        <w:t xml:space="preserve"> </w:t>
      </w:r>
      <w:r>
        <w:rPr>
          <w:color w:val="FFFFFF" w:themeColor="background1"/>
          <w:spacing w:val="-6"/>
          <w14:textFill>
            <w14:solidFill>
              <w14:schemeClr w14:val="bg1"/>
            </w14:solidFill>
          </w14:textFill>
        </w:rPr>
        <w:t>术</w:t>
      </w:r>
      <w:r>
        <w:rPr>
          <w:color w:val="FFFFFF" w:themeColor="background1"/>
          <w:spacing w:val="-14"/>
          <w14:textFill>
            <w14:solidFill>
              <w14:schemeClr w14:val="bg1"/>
            </w14:solidFill>
          </w14:textFill>
        </w:rPr>
        <w:t xml:space="preserve"> </w:t>
      </w:r>
      <w:r>
        <w:rPr>
          <w:color w:val="FFFFFF" w:themeColor="background1"/>
          <w:spacing w:val="-6"/>
          <w14:textFill>
            <w14:solidFill>
              <w14:schemeClr w14:val="bg1"/>
            </w14:solidFill>
          </w14:textFill>
        </w:rPr>
        <w:t>资</w:t>
      </w:r>
      <w:r>
        <w:rPr>
          <w:color w:val="FFFFFF" w:themeColor="background1"/>
          <w:spacing w:val="-18"/>
          <w14:textFill>
            <w14:solidFill>
              <w14:schemeClr w14:val="bg1"/>
            </w14:solidFill>
          </w14:textFill>
        </w:rPr>
        <w:t xml:space="preserve"> </w:t>
      </w:r>
      <w:r>
        <w:rPr>
          <w:color w:val="FFFFFF" w:themeColor="background1"/>
          <w:spacing w:val="-6"/>
          <w14:textFill>
            <w14:solidFill>
              <w14:schemeClr w14:val="bg1"/>
            </w14:solidFill>
          </w14:textFill>
        </w:rPr>
        <w:t>格 (</w:t>
      </w:r>
      <w:r>
        <w:rPr>
          <w:color w:val="FFFFFF" w:themeColor="background1"/>
          <w:spacing w:val="-17"/>
          <w14:textFill>
            <w14:solidFill>
              <w14:schemeClr w14:val="bg1"/>
            </w14:solidFill>
          </w14:textFill>
        </w:rPr>
        <w:t xml:space="preserve"> </w:t>
      </w:r>
      <w:r>
        <w:rPr>
          <w:color w:val="FFFFFF" w:themeColor="background1"/>
          <w:spacing w:val="-6"/>
          <w14:textFill>
            <w14:solidFill>
              <w14:schemeClr w14:val="bg1"/>
            </w14:solidFill>
          </w14:textFill>
        </w:rPr>
        <w:t>水</w:t>
      </w:r>
      <w:r>
        <w:rPr>
          <w:color w:val="FFFFFF" w:themeColor="background1"/>
          <w:spacing w:val="-19"/>
          <w14:textFill>
            <w14:solidFill>
              <w14:schemeClr w14:val="bg1"/>
            </w14:solidFill>
          </w14:textFill>
        </w:rPr>
        <w:t xml:space="preserve"> </w:t>
      </w:r>
      <w:r>
        <w:rPr>
          <w:color w:val="FFFFFF" w:themeColor="background1"/>
          <w:spacing w:val="-6"/>
          <w14:textFill>
            <w14:solidFill>
              <w14:schemeClr w14:val="bg1"/>
            </w14:solidFill>
          </w14:textFill>
        </w:rPr>
        <w:t>平</w:t>
      </w:r>
      <w:r>
        <w:rPr>
          <w:color w:val="FFFFFF" w:themeColor="background1"/>
          <w:spacing w:val="-17"/>
          <w14:textFill>
            <w14:solidFill>
              <w14:schemeClr w14:val="bg1"/>
            </w14:solidFill>
          </w14:textFill>
        </w:rPr>
        <w:t xml:space="preserve"> </w:t>
      </w:r>
      <w:r>
        <w:rPr>
          <w:color w:val="FFFFFF" w:themeColor="background1"/>
          <w:spacing w:val="-6"/>
          <w14:textFill>
            <w14:solidFill>
              <w14:schemeClr w14:val="bg1"/>
            </w14:solidFill>
          </w14:textFill>
        </w:rPr>
        <w:t>)</w:t>
      </w:r>
      <w:r>
        <w:rPr>
          <w:color w:val="FFFFFF" w:themeColor="background1"/>
          <w:spacing w:val="-19"/>
          <w14:textFill>
            <w14:solidFill>
              <w14:schemeClr w14:val="bg1"/>
            </w14:solidFill>
          </w14:textFill>
        </w:rPr>
        <w:t xml:space="preserve"> </w:t>
      </w:r>
      <w:r>
        <w:rPr>
          <w:color w:val="FFFFFF" w:themeColor="background1"/>
          <w:spacing w:val="-6"/>
          <w14:textFill>
            <w14:solidFill>
              <w14:schemeClr w14:val="bg1"/>
            </w14:solidFill>
          </w14:textFill>
        </w:rPr>
        <w:t>考</w:t>
      </w:r>
      <w:r>
        <w:rPr>
          <w:color w:val="FFFFFF" w:themeColor="background1"/>
          <w:spacing w:val="-18"/>
          <w14:textFill>
            <w14:solidFill>
              <w14:schemeClr w14:val="bg1"/>
            </w14:solidFill>
          </w14:textFill>
        </w:rPr>
        <w:t xml:space="preserve"> </w:t>
      </w:r>
      <w:r>
        <w:rPr>
          <w:color w:val="FFFFFF" w:themeColor="background1"/>
          <w:spacing w:val="-6"/>
          <w14:textFill>
            <w14:solidFill>
              <w14:schemeClr w14:val="bg1"/>
            </w14:solidFill>
          </w14:textFill>
        </w:rPr>
        <w:t>试</w:t>
      </w:r>
      <w:r>
        <w:rPr>
          <w:color w:val="FFFFFF" w:themeColor="background1"/>
          <w:spacing w:val="-17"/>
          <w14:textFill>
            <w14:solidFill>
              <w14:schemeClr w14:val="bg1"/>
            </w14:solidFill>
          </w14:textFill>
        </w:rPr>
        <w:t xml:space="preserve"> </w:t>
      </w:r>
      <w:r>
        <w:rPr>
          <w:color w:val="FFFFFF" w:themeColor="background1"/>
          <w:spacing w:val="-6"/>
          <w14:textFill>
            <w14:solidFill>
              <w14:schemeClr w14:val="bg1"/>
            </w14:solidFill>
          </w14:textFill>
        </w:rPr>
        <w:t>指</w:t>
      </w:r>
      <w:r>
        <w:rPr>
          <w:color w:val="FFFFFF" w:themeColor="background1"/>
          <w:spacing w:val="-15"/>
          <w14:textFill>
            <w14:solidFill>
              <w14:schemeClr w14:val="bg1"/>
            </w14:solidFill>
          </w14:textFill>
        </w:rPr>
        <w:t xml:space="preserve"> </w:t>
      </w:r>
      <w:r>
        <w:rPr>
          <w:color w:val="FFFFFF" w:themeColor="background1"/>
          <w:spacing w:val="-6"/>
          <w14:textFill>
            <w14:solidFill>
              <w14:schemeClr w14:val="bg1"/>
            </w14:solidFill>
          </w14:textFill>
        </w:rPr>
        <w:t>定</w:t>
      </w:r>
      <w:r>
        <w:rPr>
          <w:color w:val="FFFFFF" w:themeColor="background1"/>
          <w:spacing w:val="-18"/>
          <w14:textFill>
            <w14:solidFill>
              <w14:schemeClr w14:val="bg1"/>
            </w14:solidFill>
          </w14:textFill>
        </w:rPr>
        <w:t xml:space="preserve"> </w:t>
      </w:r>
      <w:r>
        <w:rPr>
          <w:color w:val="FFFFFF" w:themeColor="background1"/>
          <w:spacing w:val="-6"/>
          <w14:textFill>
            <w14:solidFill>
              <w14:schemeClr w14:val="bg1"/>
            </w14:solidFill>
          </w14:textFill>
        </w:rPr>
        <w:t>用</w:t>
      </w:r>
      <w:r>
        <w:rPr>
          <w:color w:val="FFFFFF" w:themeColor="background1"/>
          <w:spacing w:val="-16"/>
          <w14:textFill>
            <w14:solidFill>
              <w14:schemeClr w14:val="bg1"/>
            </w14:solidFill>
          </w14:textFill>
        </w:rPr>
        <w:t xml:space="preserve"> </w:t>
      </w:r>
      <w:r>
        <w:rPr>
          <w:color w:val="FFFFFF" w:themeColor="background1"/>
          <w:spacing w:val="-6"/>
          <w14:textFill>
            <w14:solidFill>
              <w14:schemeClr w14:val="bg1"/>
            </w14:solidFill>
          </w14:textFill>
        </w:rPr>
        <w:t>书</w:t>
      </w:r>
    </w:p>
    <w:p w14:paraId="33B8BF23">
      <w:pPr>
        <w:spacing w:line="243" w:lineRule="auto"/>
        <w:rPr>
          <w:rFonts w:ascii="Arial"/>
          <w:sz w:val="21"/>
        </w:rPr>
      </w:pPr>
    </w:p>
    <w:p w14:paraId="2B8F53CB">
      <w:pPr>
        <w:pStyle w:val="2"/>
        <w:spacing w:before="143" w:line="219" w:lineRule="auto"/>
        <w:ind w:left="526"/>
        <w:rPr>
          <w:sz w:val="44"/>
          <w:szCs w:val="44"/>
        </w:rPr>
      </w:pPr>
      <w:r>
        <w:rPr>
          <w:b/>
          <w:bCs/>
          <w:color w:val="FFFFFF" w:themeColor="background1"/>
          <w:spacing w:val="-3"/>
          <w:sz w:val="44"/>
          <w:szCs w:val="44"/>
          <w14:textFill>
            <w14:solidFill>
              <w14:schemeClr w14:val="bg1"/>
            </w14:solidFill>
          </w14:textFill>
        </w:rPr>
        <w:t>信息系统监理师教程</w:t>
      </w:r>
    </w:p>
    <w:p w14:paraId="46F58ED2">
      <w:pPr>
        <w:pStyle w:val="2"/>
        <w:spacing w:before="251" w:line="220" w:lineRule="auto"/>
        <w:ind w:left="2252"/>
        <w:rPr>
          <w:sz w:val="20"/>
          <w:szCs w:val="20"/>
        </w:rPr>
      </w:pPr>
      <w:r>
        <w:rPr>
          <w:b/>
          <w:bCs/>
          <w:color w:val="0070C0"/>
          <w:spacing w:val="-14"/>
          <w:sz w:val="20"/>
          <w:szCs w:val="20"/>
        </w:rPr>
        <w:t>中</w:t>
      </w:r>
      <w:r>
        <w:rPr>
          <w:b/>
          <w:bCs/>
          <w:color w:val="0070C0"/>
          <w:spacing w:val="-16"/>
          <w:sz w:val="20"/>
          <w:szCs w:val="20"/>
        </w:rPr>
        <w:t xml:space="preserve"> </w:t>
      </w:r>
      <w:r>
        <w:rPr>
          <w:b/>
          <w:bCs/>
          <w:color w:val="0070C0"/>
          <w:spacing w:val="-14"/>
          <w:sz w:val="20"/>
          <w:szCs w:val="20"/>
        </w:rPr>
        <w:t>级</w:t>
      </w:r>
      <w:r>
        <w:rPr>
          <w:color w:val="E7D91D"/>
          <w:spacing w:val="-14"/>
          <w:sz w:val="20"/>
          <w:szCs w:val="20"/>
        </w:rPr>
        <w:t>)</w:t>
      </w:r>
    </w:p>
    <w:p w14:paraId="467A7BE6">
      <w:pPr>
        <w:spacing w:before="189" w:line="269" w:lineRule="auto"/>
        <w:ind w:left="2309" w:right="1313" w:hanging="990"/>
        <w:rPr>
          <w:rFonts w:ascii="黑体" w:hAnsi="黑体" w:eastAsia="黑体" w:cs="黑体"/>
          <w:color w:val="FFFFFF" w:themeColor="background1"/>
          <w:sz w:val="11"/>
          <w:szCs w:val="11"/>
          <w14:textFill>
            <w14:solidFill>
              <w14:schemeClr w14:val="bg1"/>
            </w14:solidFill>
          </w14:textFill>
        </w:rPr>
      </w:pPr>
      <w:r>
        <w:rPr>
          <w:rFonts w:ascii="黑体" w:hAnsi="黑体" w:eastAsia="黑体" w:cs="黑体"/>
          <w:color w:val="FFFFFF" w:themeColor="background1"/>
          <w:spacing w:val="9"/>
          <w:sz w:val="11"/>
          <w:szCs w:val="11"/>
          <w14:textFill>
            <w14:solidFill>
              <w14:schemeClr w14:val="bg1"/>
            </w14:solidFill>
          </w14:textFill>
        </w:rPr>
        <w:t>全国计算机专业技术资格考试办公室</w:t>
      </w:r>
      <w:r>
        <w:rPr>
          <w:rFonts w:ascii="黑体" w:hAnsi="黑体" w:eastAsia="黑体" w:cs="黑体"/>
          <w:color w:val="FFFFFF" w:themeColor="background1"/>
          <w:spacing w:val="45"/>
          <w:sz w:val="11"/>
          <w:szCs w:val="11"/>
          <w14:textFill>
            <w14:solidFill>
              <w14:schemeClr w14:val="bg1"/>
            </w14:solidFill>
          </w14:textFill>
        </w:rPr>
        <w:t xml:space="preserve"> </w:t>
      </w:r>
      <w:r>
        <w:rPr>
          <w:rFonts w:ascii="黑体" w:hAnsi="黑体" w:eastAsia="黑体" w:cs="黑体"/>
          <w:color w:val="FFFFFF" w:themeColor="background1"/>
          <w:spacing w:val="9"/>
          <w:sz w:val="11"/>
          <w:szCs w:val="11"/>
          <w14:textFill>
            <w14:solidFill>
              <w14:schemeClr w14:val="bg1"/>
            </w14:solidFill>
          </w14:textFill>
        </w:rPr>
        <w:t>组</w:t>
      </w:r>
      <w:r>
        <w:rPr>
          <w:rFonts w:ascii="黑体" w:hAnsi="黑体" w:eastAsia="黑体" w:cs="黑体"/>
          <w:color w:val="FFFFFF" w:themeColor="background1"/>
          <w:spacing w:val="28"/>
          <w:w w:val="101"/>
          <w:sz w:val="11"/>
          <w:szCs w:val="11"/>
          <w14:textFill>
            <w14:solidFill>
              <w14:schemeClr w14:val="bg1"/>
            </w14:solidFill>
          </w14:textFill>
        </w:rPr>
        <w:t xml:space="preserve"> </w:t>
      </w:r>
      <w:r>
        <w:rPr>
          <w:rFonts w:ascii="黑体" w:hAnsi="黑体" w:eastAsia="黑体" w:cs="黑体"/>
          <w:color w:val="FFFFFF" w:themeColor="background1"/>
          <w:spacing w:val="9"/>
          <w:sz w:val="11"/>
          <w:szCs w:val="11"/>
          <w14:textFill>
            <w14:solidFill>
              <w14:schemeClr w14:val="bg1"/>
            </w14:solidFill>
          </w14:textFill>
        </w:rPr>
        <w:t>编</w:t>
      </w:r>
      <w:r>
        <w:rPr>
          <w:rFonts w:ascii="黑体" w:hAnsi="黑体" w:eastAsia="黑体" w:cs="黑体"/>
          <w:color w:val="FFFFFF" w:themeColor="background1"/>
          <w:sz w:val="11"/>
          <w:szCs w:val="11"/>
          <w14:textFill>
            <w14:solidFill>
              <w14:schemeClr w14:val="bg1"/>
            </w14:solidFill>
          </w14:textFill>
        </w:rPr>
        <w:t xml:space="preserve"> </w:t>
      </w:r>
      <w:r>
        <w:rPr>
          <w:rFonts w:ascii="黑体" w:hAnsi="黑体" w:eastAsia="黑体" w:cs="黑体"/>
          <w:color w:val="FFFFFF" w:themeColor="background1"/>
          <w:spacing w:val="-5"/>
          <w:sz w:val="11"/>
          <w:szCs w:val="11"/>
          <w14:textFill>
            <w14:solidFill>
              <w14:schemeClr w14:val="bg1"/>
            </w14:solidFill>
          </w14:textFill>
        </w:rPr>
        <w:t>贾</w:t>
      </w:r>
      <w:r>
        <w:rPr>
          <w:rFonts w:ascii="黑体" w:hAnsi="黑体" w:eastAsia="黑体" w:cs="黑体"/>
          <w:color w:val="FFFFFF" w:themeColor="background1"/>
          <w:spacing w:val="-20"/>
          <w:sz w:val="11"/>
          <w:szCs w:val="11"/>
          <w14:textFill>
            <w14:solidFill>
              <w14:schemeClr w14:val="bg1"/>
            </w14:solidFill>
          </w14:textFill>
        </w:rPr>
        <w:t xml:space="preserve"> </w:t>
      </w:r>
      <w:r>
        <w:rPr>
          <w:rFonts w:ascii="黑体" w:hAnsi="黑体" w:eastAsia="黑体" w:cs="黑体"/>
          <w:color w:val="FFFFFF" w:themeColor="background1"/>
          <w:spacing w:val="-5"/>
          <w:sz w:val="11"/>
          <w:szCs w:val="11"/>
          <w14:textFill>
            <w14:solidFill>
              <w14:schemeClr w14:val="bg1"/>
            </w14:solidFill>
          </w14:textFill>
        </w:rPr>
        <w:t>卓</w:t>
      </w:r>
      <w:r>
        <w:rPr>
          <w:rFonts w:ascii="黑体" w:hAnsi="黑体" w:eastAsia="黑体" w:cs="黑体"/>
          <w:color w:val="FFFFFF" w:themeColor="background1"/>
          <w:spacing w:val="-22"/>
          <w:sz w:val="11"/>
          <w:szCs w:val="11"/>
          <w14:textFill>
            <w14:solidFill>
              <w14:schemeClr w14:val="bg1"/>
            </w14:solidFill>
          </w14:textFill>
        </w:rPr>
        <w:t xml:space="preserve"> </w:t>
      </w:r>
      <w:r>
        <w:rPr>
          <w:rFonts w:ascii="黑体" w:hAnsi="黑体" w:eastAsia="黑体" w:cs="黑体"/>
          <w:color w:val="FFFFFF" w:themeColor="background1"/>
          <w:spacing w:val="-5"/>
          <w:sz w:val="11"/>
          <w:szCs w:val="11"/>
          <w14:textFill>
            <w14:solidFill>
              <w14:schemeClr w14:val="bg1"/>
            </w14:solidFill>
          </w14:textFill>
        </w:rPr>
        <w:t>生</w:t>
      </w:r>
      <w:r>
        <w:rPr>
          <w:rFonts w:ascii="黑体" w:hAnsi="黑体" w:eastAsia="黑体" w:cs="黑体"/>
          <w:color w:val="FFFFFF" w:themeColor="background1"/>
          <w:spacing w:val="6"/>
          <w:sz w:val="11"/>
          <w:szCs w:val="11"/>
          <w14:textFill>
            <w14:solidFill>
              <w14:schemeClr w14:val="bg1"/>
            </w14:solidFill>
          </w14:textFill>
        </w:rPr>
        <w:t xml:space="preserve">  </w:t>
      </w:r>
      <w:r>
        <w:rPr>
          <w:rFonts w:ascii="黑体" w:hAnsi="黑体" w:eastAsia="黑体" w:cs="黑体"/>
          <w:color w:val="FFFFFF" w:themeColor="background1"/>
          <w:spacing w:val="-5"/>
          <w:sz w:val="11"/>
          <w:szCs w:val="11"/>
          <w14:textFill>
            <w14:solidFill>
              <w14:schemeClr w14:val="bg1"/>
            </w14:solidFill>
          </w14:textFill>
        </w:rPr>
        <w:t>张</w:t>
      </w:r>
      <w:r>
        <w:rPr>
          <w:rFonts w:ascii="黑体" w:hAnsi="黑体" w:eastAsia="黑体" w:cs="黑体"/>
          <w:color w:val="FFFFFF" w:themeColor="background1"/>
          <w:spacing w:val="-22"/>
          <w:sz w:val="11"/>
          <w:szCs w:val="11"/>
          <w14:textFill>
            <w14:solidFill>
              <w14:schemeClr w14:val="bg1"/>
            </w14:solidFill>
          </w14:textFill>
        </w:rPr>
        <w:t xml:space="preserve"> </w:t>
      </w:r>
      <w:r>
        <w:rPr>
          <w:rFonts w:ascii="黑体" w:hAnsi="黑体" w:eastAsia="黑体" w:cs="黑体"/>
          <w:color w:val="FFFFFF" w:themeColor="background1"/>
          <w:spacing w:val="-5"/>
          <w:sz w:val="11"/>
          <w:szCs w:val="11"/>
          <w14:textFill>
            <w14:solidFill>
              <w14:schemeClr w14:val="bg1"/>
            </w14:solidFill>
          </w14:textFill>
        </w:rPr>
        <w:t>树</w:t>
      </w:r>
      <w:r>
        <w:rPr>
          <w:rFonts w:ascii="黑体" w:hAnsi="黑体" w:eastAsia="黑体" w:cs="黑体"/>
          <w:color w:val="FFFFFF" w:themeColor="background1"/>
          <w:spacing w:val="-21"/>
          <w:sz w:val="11"/>
          <w:szCs w:val="11"/>
          <w14:textFill>
            <w14:solidFill>
              <w14:schemeClr w14:val="bg1"/>
            </w14:solidFill>
          </w14:textFill>
        </w:rPr>
        <w:t xml:space="preserve"> </w:t>
      </w:r>
      <w:r>
        <w:rPr>
          <w:rFonts w:ascii="黑体" w:hAnsi="黑体" w:eastAsia="黑体" w:cs="黑体"/>
          <w:color w:val="FFFFFF" w:themeColor="background1"/>
          <w:spacing w:val="-5"/>
          <w:sz w:val="11"/>
          <w:szCs w:val="11"/>
          <w14:textFill>
            <w14:solidFill>
              <w14:schemeClr w14:val="bg1"/>
            </w14:solidFill>
          </w14:textFill>
        </w:rPr>
        <w:t>玲</w:t>
      </w:r>
      <w:r>
        <w:rPr>
          <w:rFonts w:ascii="黑体" w:hAnsi="黑体" w:eastAsia="黑体" w:cs="黑体"/>
          <w:color w:val="FFFFFF" w:themeColor="background1"/>
          <w:spacing w:val="5"/>
          <w:sz w:val="11"/>
          <w:szCs w:val="11"/>
          <w14:textFill>
            <w14:solidFill>
              <w14:schemeClr w14:val="bg1"/>
            </w14:solidFill>
          </w14:textFill>
        </w:rPr>
        <w:t xml:space="preserve">  </w:t>
      </w:r>
      <w:r>
        <w:rPr>
          <w:rFonts w:ascii="黑体" w:hAnsi="黑体" w:eastAsia="黑体" w:cs="黑体"/>
          <w:color w:val="FFFFFF" w:themeColor="background1"/>
          <w:spacing w:val="-5"/>
          <w:sz w:val="11"/>
          <w:szCs w:val="11"/>
          <w14:textFill>
            <w14:solidFill>
              <w14:schemeClr w14:val="bg1"/>
            </w14:solidFill>
          </w14:textFill>
        </w:rPr>
        <w:t>主</w:t>
      </w:r>
      <w:r>
        <w:rPr>
          <w:rFonts w:ascii="黑体" w:hAnsi="黑体" w:eastAsia="黑体" w:cs="黑体"/>
          <w:color w:val="FFFFFF" w:themeColor="background1"/>
          <w:spacing w:val="4"/>
          <w:sz w:val="11"/>
          <w:szCs w:val="11"/>
          <w14:textFill>
            <w14:solidFill>
              <w14:schemeClr w14:val="bg1"/>
            </w14:solidFill>
          </w14:textFill>
        </w:rPr>
        <w:t xml:space="preserve">  </w:t>
      </w:r>
      <w:r>
        <w:rPr>
          <w:rFonts w:ascii="黑体" w:hAnsi="黑体" w:eastAsia="黑体" w:cs="黑体"/>
          <w:color w:val="FFFFFF" w:themeColor="background1"/>
          <w:spacing w:val="-5"/>
          <w:sz w:val="11"/>
          <w:szCs w:val="11"/>
          <w14:textFill>
            <w14:solidFill>
              <w14:schemeClr w14:val="bg1"/>
            </w14:solidFill>
          </w14:textFill>
        </w:rPr>
        <w:t>编</w:t>
      </w:r>
    </w:p>
    <w:p w14:paraId="6272D15F">
      <w:pPr>
        <w:spacing w:before="19" w:line="221" w:lineRule="auto"/>
        <w:ind w:left="1820"/>
        <w:rPr>
          <w:rFonts w:ascii="黑体" w:hAnsi="黑体" w:eastAsia="黑体" w:cs="黑体"/>
          <w:b w:val="0"/>
          <w:bCs w:val="0"/>
          <w:color w:val="FFFFFF" w:themeColor="background1"/>
          <w:sz w:val="11"/>
          <w:szCs w:val="11"/>
          <w14:textFill>
            <w14:solidFill>
              <w14:schemeClr w14:val="bg1"/>
            </w14:solidFill>
          </w14:textFill>
        </w:rPr>
      </w:pPr>
      <w:r>
        <w:rPr>
          <w:rFonts w:ascii="黑体" w:hAnsi="黑体" w:eastAsia="黑体" w:cs="黑体"/>
          <w:b w:val="0"/>
          <w:bCs w:val="0"/>
          <w:color w:val="FFFFFF" w:themeColor="background1"/>
          <w:spacing w:val="-7"/>
          <w:sz w:val="11"/>
          <w:szCs w:val="11"/>
          <w14:textFill>
            <w14:solidFill>
              <w14:schemeClr w14:val="bg1"/>
            </w14:solidFill>
          </w14:textFill>
        </w:rPr>
        <w:t>李</w:t>
      </w:r>
      <w:r>
        <w:rPr>
          <w:rFonts w:ascii="黑体" w:hAnsi="黑体" w:eastAsia="黑体" w:cs="黑体"/>
          <w:b w:val="0"/>
          <w:bCs w:val="0"/>
          <w:color w:val="FFFFFF" w:themeColor="background1"/>
          <w:spacing w:val="8"/>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京</w:t>
      </w:r>
      <w:r>
        <w:rPr>
          <w:rFonts w:ascii="黑体" w:hAnsi="黑体" w:eastAsia="黑体" w:cs="黑体"/>
          <w:b w:val="0"/>
          <w:bCs w:val="0"/>
          <w:color w:val="FFFFFF" w:themeColor="background1"/>
          <w:spacing w:val="12"/>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吕</w:t>
      </w:r>
      <w:r>
        <w:rPr>
          <w:rFonts w:ascii="黑体" w:hAnsi="黑体" w:eastAsia="黑体" w:cs="黑体"/>
          <w:b w:val="0"/>
          <w:bCs w:val="0"/>
          <w:color w:val="FFFFFF" w:themeColor="background1"/>
          <w:spacing w:val="-13"/>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小</w:t>
      </w:r>
      <w:r>
        <w:rPr>
          <w:rFonts w:ascii="黑体" w:hAnsi="黑体" w:eastAsia="黑体" w:cs="黑体"/>
          <w:b w:val="0"/>
          <w:bCs w:val="0"/>
          <w:color w:val="FFFFFF" w:themeColor="background1"/>
          <w:spacing w:val="-15"/>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刚</w:t>
      </w:r>
      <w:r>
        <w:rPr>
          <w:rFonts w:ascii="黑体" w:hAnsi="黑体" w:eastAsia="黑体" w:cs="黑体"/>
          <w:b w:val="0"/>
          <w:bCs w:val="0"/>
          <w:color w:val="FFFFFF" w:themeColor="background1"/>
          <w:spacing w:val="9"/>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陈</w:t>
      </w:r>
      <w:r>
        <w:rPr>
          <w:rFonts w:ascii="黑体" w:hAnsi="黑体" w:eastAsia="黑体" w:cs="黑体"/>
          <w:b w:val="0"/>
          <w:bCs w:val="0"/>
          <w:color w:val="FFFFFF" w:themeColor="background1"/>
          <w:spacing w:val="8"/>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兵</w:t>
      </w:r>
      <w:r>
        <w:rPr>
          <w:rFonts w:ascii="黑体" w:hAnsi="黑体" w:eastAsia="黑体" w:cs="黑体"/>
          <w:b w:val="0"/>
          <w:bCs w:val="0"/>
          <w:color w:val="FFFFFF" w:themeColor="background1"/>
          <w:spacing w:val="9"/>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副</w:t>
      </w:r>
      <w:r>
        <w:rPr>
          <w:rFonts w:ascii="黑体" w:hAnsi="黑体" w:eastAsia="黑体" w:cs="黑体"/>
          <w:b w:val="0"/>
          <w:bCs w:val="0"/>
          <w:color w:val="FFFFFF" w:themeColor="background1"/>
          <w:spacing w:val="-16"/>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主</w:t>
      </w:r>
      <w:r>
        <w:rPr>
          <w:rFonts w:ascii="黑体" w:hAnsi="黑体" w:eastAsia="黑体" w:cs="黑体"/>
          <w:b w:val="0"/>
          <w:bCs w:val="0"/>
          <w:color w:val="FFFFFF" w:themeColor="background1"/>
          <w:spacing w:val="-19"/>
          <w:sz w:val="11"/>
          <w:szCs w:val="11"/>
          <w14:textFill>
            <w14:solidFill>
              <w14:schemeClr w14:val="bg1"/>
            </w14:solidFill>
          </w14:textFill>
        </w:rPr>
        <w:t xml:space="preserve"> </w:t>
      </w:r>
      <w:r>
        <w:rPr>
          <w:rFonts w:ascii="黑体" w:hAnsi="黑体" w:eastAsia="黑体" w:cs="黑体"/>
          <w:b w:val="0"/>
          <w:bCs w:val="0"/>
          <w:color w:val="FFFFFF" w:themeColor="background1"/>
          <w:spacing w:val="-7"/>
          <w:sz w:val="11"/>
          <w:szCs w:val="11"/>
          <w14:textFill>
            <w14:solidFill>
              <w14:schemeClr w14:val="bg1"/>
            </w14:solidFill>
          </w14:textFill>
        </w:rPr>
        <w:t>编</w:t>
      </w:r>
    </w:p>
    <w:p w14:paraId="621C051B">
      <w:pPr>
        <w:spacing w:line="221" w:lineRule="auto"/>
        <w:rPr>
          <w:rFonts w:ascii="黑体" w:hAnsi="黑体" w:eastAsia="黑体" w:cs="黑体"/>
          <w:b/>
          <w:bCs/>
          <w:color w:val="FFFFFF" w:themeColor="background1"/>
          <w:sz w:val="11"/>
          <w:szCs w:val="11"/>
          <w14:textFill>
            <w14:solidFill>
              <w14:schemeClr w14:val="bg1"/>
            </w14:solidFill>
          </w14:textFill>
        </w:rPr>
        <w:sectPr>
          <w:type w:val="continuous"/>
          <w:pgSz w:w="10510" w:h="6000"/>
          <w:pgMar w:top="1" w:right="0" w:bottom="1" w:left="0" w:header="0" w:footer="0" w:gutter="0"/>
          <w:cols w:equalWidth="0" w:num="2">
            <w:col w:w="5451" w:space="100"/>
            <w:col w:w="4960"/>
          </w:cols>
        </w:sectPr>
      </w:pPr>
    </w:p>
    <w:p w14:paraId="73720F3F">
      <w:pPr>
        <w:spacing w:line="336" w:lineRule="auto"/>
        <w:rPr>
          <w:rFonts w:ascii="Arial"/>
          <w:sz w:val="21"/>
        </w:rPr>
      </w:pPr>
    </w:p>
    <w:p w14:paraId="3251CE5E">
      <w:pPr>
        <w:spacing w:line="337" w:lineRule="auto"/>
        <w:rPr>
          <w:rFonts w:ascii="Arial"/>
          <w:sz w:val="21"/>
        </w:rPr>
      </w:pPr>
    </w:p>
    <w:p w14:paraId="57D36214">
      <w:pPr>
        <w:pStyle w:val="2"/>
        <w:spacing w:before="88" w:line="219" w:lineRule="auto"/>
        <w:ind w:left="1823"/>
        <w:rPr>
          <w:sz w:val="27"/>
          <w:szCs w:val="27"/>
        </w:rPr>
      </w:pPr>
      <w:r>
        <w:drawing>
          <wp:anchor distT="0" distB="0" distL="0" distR="0" simplePos="0" relativeHeight="251665408" behindDoc="1" locked="0" layoutInCell="1" allowOverlap="1">
            <wp:simplePos x="0" y="0"/>
            <wp:positionH relativeFrom="column">
              <wp:posOffset>0</wp:posOffset>
            </wp:positionH>
            <wp:positionV relativeFrom="paragraph">
              <wp:posOffset>-683895</wp:posOffset>
            </wp:positionV>
            <wp:extent cx="6673850" cy="86360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6"/>
                    <a:stretch>
                      <a:fillRect/>
                    </a:stretch>
                  </pic:blipFill>
                  <pic:spPr>
                    <a:xfrm>
                      <a:off x="0" y="0"/>
                      <a:ext cx="6673850" cy="8636000"/>
                    </a:xfrm>
                    <a:prstGeom prst="rect">
                      <a:avLst/>
                    </a:prstGeom>
                  </pic:spPr>
                </pic:pic>
              </a:graphicData>
            </a:graphic>
          </wp:anchor>
        </w:drawing>
      </w:r>
      <w:r>
        <w:rPr>
          <w:b/>
          <w:bCs/>
          <w:spacing w:val="12"/>
          <w:sz w:val="27"/>
          <w:szCs w:val="27"/>
        </w:rPr>
        <w:t>全国计算机技术与软件专业技术资格(水平)考试指定用书</w:t>
      </w:r>
    </w:p>
    <w:p w14:paraId="6810AAA6">
      <w:pPr>
        <w:spacing w:line="312" w:lineRule="auto"/>
        <w:rPr>
          <w:rFonts w:ascii="Arial"/>
          <w:sz w:val="21"/>
        </w:rPr>
      </w:pPr>
    </w:p>
    <w:p w14:paraId="7DB5CFA6">
      <w:pPr>
        <w:spacing w:line="313" w:lineRule="auto"/>
        <w:rPr>
          <w:rFonts w:ascii="Arial"/>
          <w:sz w:val="21"/>
        </w:rPr>
      </w:pPr>
    </w:p>
    <w:p w14:paraId="0DF09DE4">
      <w:pPr>
        <w:spacing w:line="313" w:lineRule="auto"/>
        <w:rPr>
          <w:rFonts w:ascii="Arial"/>
          <w:sz w:val="21"/>
        </w:rPr>
      </w:pPr>
    </w:p>
    <w:p w14:paraId="5C6A08C2">
      <w:pPr>
        <w:pStyle w:val="2"/>
        <w:spacing w:before="263" w:line="264" w:lineRule="auto"/>
        <w:ind w:left="2129" w:right="1629" w:hanging="508"/>
        <w:rPr>
          <w:sz w:val="60"/>
          <w:szCs w:val="60"/>
        </w:rPr>
      </w:pPr>
      <w:r>
        <w:rPr>
          <w:b/>
          <w:bCs/>
          <w:spacing w:val="-13"/>
          <w:sz w:val="81"/>
          <w:szCs w:val="81"/>
        </w:rPr>
        <w:t>信息系统监理师教程</w:t>
      </w:r>
      <w:r>
        <w:rPr>
          <w:spacing w:val="7"/>
          <w:sz w:val="81"/>
          <w:szCs w:val="81"/>
        </w:rPr>
        <w:t xml:space="preserve"> </w:t>
      </w:r>
      <w:r>
        <w:rPr>
          <w:color w:val="A1DDE2"/>
          <w:spacing w:val="-30"/>
          <w:sz w:val="60"/>
          <w:szCs w:val="60"/>
        </w:rPr>
        <w:t>—</w:t>
      </w:r>
      <w:r>
        <w:rPr>
          <w:color w:val="A1DDE2"/>
          <w:spacing w:val="23"/>
          <w:sz w:val="60"/>
          <w:szCs w:val="60"/>
        </w:rPr>
        <w:t xml:space="preserve">     </w:t>
      </w:r>
      <w:r>
        <w:rPr>
          <w:b/>
          <w:bCs/>
          <w:spacing w:val="-30"/>
          <w:sz w:val="60"/>
          <w:szCs w:val="60"/>
        </w:rPr>
        <w:t>第</w:t>
      </w:r>
      <w:r>
        <w:rPr>
          <w:spacing w:val="-101"/>
          <w:sz w:val="60"/>
          <w:szCs w:val="60"/>
        </w:rPr>
        <w:t xml:space="preserve"> </w:t>
      </w:r>
      <w:r>
        <w:rPr>
          <w:b/>
          <w:bCs/>
          <w:spacing w:val="-30"/>
          <w:sz w:val="60"/>
          <w:szCs w:val="60"/>
        </w:rPr>
        <w:t>2</w:t>
      </w:r>
      <w:r>
        <w:rPr>
          <w:spacing w:val="-110"/>
          <w:sz w:val="60"/>
          <w:szCs w:val="60"/>
        </w:rPr>
        <w:t xml:space="preserve"> </w:t>
      </w:r>
      <w:r>
        <w:rPr>
          <w:b/>
          <w:bCs/>
          <w:spacing w:val="-30"/>
          <w:sz w:val="60"/>
          <w:szCs w:val="60"/>
        </w:rPr>
        <w:t>版</w:t>
      </w:r>
      <w:r>
        <w:rPr>
          <w:spacing w:val="-244"/>
          <w:sz w:val="60"/>
          <w:szCs w:val="60"/>
        </w:rPr>
        <w:t xml:space="preserve"> </w:t>
      </w:r>
      <w:r>
        <w:rPr>
          <w:position w:val="9"/>
          <w:sz w:val="60"/>
          <w:szCs w:val="60"/>
        </w:rPr>
        <w:drawing>
          <wp:inline distT="0" distB="0" distL="0" distR="0">
            <wp:extent cx="1085850" cy="10096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
                    <a:stretch>
                      <a:fillRect/>
                    </a:stretch>
                  </pic:blipFill>
                  <pic:spPr>
                    <a:xfrm>
                      <a:off x="0" y="0"/>
                      <a:ext cx="1085902" cy="101559"/>
                    </a:xfrm>
                    <a:prstGeom prst="rect">
                      <a:avLst/>
                    </a:prstGeom>
                  </pic:spPr>
                </pic:pic>
              </a:graphicData>
            </a:graphic>
          </wp:inline>
        </w:drawing>
      </w:r>
    </w:p>
    <w:p w14:paraId="17F4F2B7">
      <w:pPr>
        <w:spacing w:before="225" w:line="214" w:lineRule="auto"/>
        <w:ind w:left="3269" w:right="3347" w:firstLine="1040"/>
        <w:rPr>
          <w:rFonts w:ascii="黑体" w:hAnsi="黑体" w:eastAsia="黑体" w:cs="黑体"/>
          <w:sz w:val="27"/>
          <w:szCs w:val="27"/>
        </w:rPr>
      </w:pPr>
      <w:r>
        <w:rPr>
          <w:rFonts w:ascii="黑体" w:hAnsi="黑体" w:eastAsia="黑体" w:cs="黑体"/>
          <w:spacing w:val="-13"/>
          <w:sz w:val="27"/>
          <w:szCs w:val="27"/>
        </w:rPr>
        <w:t>贾</w:t>
      </w:r>
      <w:r>
        <w:rPr>
          <w:rFonts w:ascii="黑体" w:hAnsi="黑体" w:eastAsia="黑体" w:cs="黑体"/>
          <w:spacing w:val="-38"/>
          <w:sz w:val="27"/>
          <w:szCs w:val="27"/>
        </w:rPr>
        <w:t xml:space="preserve"> </w:t>
      </w:r>
      <w:r>
        <w:rPr>
          <w:rFonts w:ascii="黑体" w:hAnsi="黑体" w:eastAsia="黑体" w:cs="黑体"/>
          <w:spacing w:val="-13"/>
          <w:sz w:val="27"/>
          <w:szCs w:val="27"/>
        </w:rPr>
        <w:t>卓</w:t>
      </w:r>
      <w:r>
        <w:rPr>
          <w:rFonts w:ascii="黑体" w:hAnsi="黑体" w:eastAsia="黑体" w:cs="黑体"/>
          <w:spacing w:val="-46"/>
          <w:sz w:val="27"/>
          <w:szCs w:val="27"/>
        </w:rPr>
        <w:t xml:space="preserve"> </w:t>
      </w:r>
      <w:r>
        <w:rPr>
          <w:rFonts w:ascii="黑体" w:hAnsi="黑体" w:eastAsia="黑体" w:cs="黑体"/>
          <w:spacing w:val="-13"/>
          <w:sz w:val="27"/>
          <w:szCs w:val="27"/>
        </w:rPr>
        <w:t>生</w:t>
      </w:r>
      <w:r>
        <w:rPr>
          <w:rFonts w:ascii="黑体" w:hAnsi="黑体" w:eastAsia="黑体" w:cs="黑体"/>
          <w:spacing w:val="-35"/>
          <w:sz w:val="27"/>
          <w:szCs w:val="27"/>
        </w:rPr>
        <w:t xml:space="preserve"> </w:t>
      </w:r>
      <w:r>
        <w:rPr>
          <w:rFonts w:ascii="黑体" w:hAnsi="黑体" w:eastAsia="黑体" w:cs="黑体"/>
          <w:spacing w:val="-13"/>
          <w:sz w:val="27"/>
          <w:szCs w:val="27"/>
        </w:rPr>
        <w:t>张</w:t>
      </w:r>
      <w:r>
        <w:rPr>
          <w:rFonts w:ascii="黑体" w:hAnsi="黑体" w:eastAsia="黑体" w:cs="黑体"/>
          <w:spacing w:val="-46"/>
          <w:sz w:val="27"/>
          <w:szCs w:val="27"/>
        </w:rPr>
        <w:t xml:space="preserve"> </w:t>
      </w:r>
      <w:r>
        <w:rPr>
          <w:rFonts w:ascii="黑体" w:hAnsi="黑体" w:eastAsia="黑体" w:cs="黑体"/>
          <w:spacing w:val="-13"/>
          <w:sz w:val="27"/>
          <w:szCs w:val="27"/>
        </w:rPr>
        <w:t>树</w:t>
      </w:r>
      <w:r>
        <w:rPr>
          <w:rFonts w:ascii="黑体" w:hAnsi="黑体" w:eastAsia="黑体" w:cs="黑体"/>
          <w:spacing w:val="-46"/>
          <w:sz w:val="27"/>
          <w:szCs w:val="27"/>
        </w:rPr>
        <w:t xml:space="preserve"> </w:t>
      </w:r>
      <w:r>
        <w:rPr>
          <w:rFonts w:ascii="黑体" w:hAnsi="黑体" w:eastAsia="黑体" w:cs="黑体"/>
          <w:spacing w:val="-13"/>
          <w:sz w:val="27"/>
          <w:szCs w:val="27"/>
        </w:rPr>
        <w:t>玲</w:t>
      </w:r>
      <w:r>
        <w:rPr>
          <w:rFonts w:ascii="黑体" w:hAnsi="黑体" w:eastAsia="黑体" w:cs="黑体"/>
          <w:spacing w:val="-40"/>
          <w:sz w:val="27"/>
          <w:szCs w:val="27"/>
        </w:rPr>
        <w:t xml:space="preserve"> </w:t>
      </w:r>
      <w:r>
        <w:rPr>
          <w:rFonts w:ascii="黑体" w:hAnsi="黑体" w:eastAsia="黑体" w:cs="黑体"/>
          <w:spacing w:val="-13"/>
          <w:sz w:val="27"/>
          <w:szCs w:val="27"/>
        </w:rPr>
        <w:t>主</w:t>
      </w:r>
      <w:r>
        <w:rPr>
          <w:rFonts w:ascii="黑体" w:hAnsi="黑体" w:eastAsia="黑体" w:cs="黑体"/>
          <w:spacing w:val="100"/>
          <w:sz w:val="27"/>
          <w:szCs w:val="27"/>
        </w:rPr>
        <w:t xml:space="preserve"> </w:t>
      </w:r>
      <w:r>
        <w:rPr>
          <w:rFonts w:ascii="黑体" w:hAnsi="黑体" w:eastAsia="黑体" w:cs="黑体"/>
          <w:spacing w:val="-13"/>
          <w:sz w:val="27"/>
          <w:szCs w:val="27"/>
        </w:rPr>
        <w:t>编</w:t>
      </w:r>
      <w:r>
        <w:rPr>
          <w:rFonts w:ascii="黑体" w:hAnsi="黑体" w:eastAsia="黑体" w:cs="黑体"/>
          <w:sz w:val="27"/>
          <w:szCs w:val="27"/>
        </w:rPr>
        <w:t xml:space="preserve"> </w:t>
      </w:r>
      <w:r>
        <w:rPr>
          <w:rFonts w:ascii="黑体" w:hAnsi="黑体" w:eastAsia="黑体" w:cs="黑体"/>
          <w:spacing w:val="-6"/>
          <w:sz w:val="27"/>
          <w:szCs w:val="27"/>
        </w:rPr>
        <w:t>李  京  吕小刚</w:t>
      </w:r>
      <w:r>
        <w:rPr>
          <w:rFonts w:ascii="黑体" w:hAnsi="黑体" w:eastAsia="黑体" w:cs="黑体"/>
          <w:spacing w:val="103"/>
          <w:sz w:val="27"/>
          <w:szCs w:val="27"/>
        </w:rPr>
        <w:t xml:space="preserve"> </w:t>
      </w:r>
      <w:r>
        <w:rPr>
          <w:rFonts w:ascii="黑体" w:hAnsi="黑体" w:eastAsia="黑体" w:cs="黑体"/>
          <w:spacing w:val="-6"/>
          <w:sz w:val="27"/>
          <w:szCs w:val="27"/>
        </w:rPr>
        <w:t>陈</w:t>
      </w:r>
      <w:r>
        <w:rPr>
          <w:rFonts w:ascii="黑体" w:hAnsi="黑体" w:eastAsia="黑体" w:cs="黑体"/>
          <w:spacing w:val="104"/>
          <w:sz w:val="27"/>
          <w:szCs w:val="27"/>
        </w:rPr>
        <w:t xml:space="preserve"> </w:t>
      </w:r>
      <w:r>
        <w:rPr>
          <w:rFonts w:ascii="黑体" w:hAnsi="黑体" w:eastAsia="黑体" w:cs="黑体"/>
          <w:spacing w:val="-6"/>
          <w:sz w:val="27"/>
          <w:szCs w:val="27"/>
        </w:rPr>
        <w:t>兵  副主编</w:t>
      </w:r>
    </w:p>
    <w:p w14:paraId="3B811D34">
      <w:pPr>
        <w:spacing w:line="242" w:lineRule="auto"/>
        <w:rPr>
          <w:rFonts w:ascii="Arial"/>
          <w:sz w:val="21"/>
        </w:rPr>
      </w:pPr>
    </w:p>
    <w:p w14:paraId="24456C5E">
      <w:pPr>
        <w:spacing w:line="242" w:lineRule="auto"/>
        <w:rPr>
          <w:rFonts w:ascii="Arial"/>
          <w:sz w:val="21"/>
        </w:rPr>
      </w:pPr>
    </w:p>
    <w:p w14:paraId="6387F560">
      <w:pPr>
        <w:spacing w:line="242" w:lineRule="auto"/>
        <w:rPr>
          <w:rFonts w:ascii="Arial"/>
          <w:sz w:val="21"/>
        </w:rPr>
      </w:pPr>
    </w:p>
    <w:p w14:paraId="6ADF618E">
      <w:pPr>
        <w:spacing w:line="242" w:lineRule="auto"/>
        <w:rPr>
          <w:rFonts w:ascii="Arial"/>
          <w:sz w:val="21"/>
        </w:rPr>
      </w:pPr>
    </w:p>
    <w:p w14:paraId="73E97DF9">
      <w:pPr>
        <w:spacing w:line="242" w:lineRule="auto"/>
        <w:rPr>
          <w:rFonts w:ascii="Arial"/>
          <w:sz w:val="21"/>
        </w:rPr>
      </w:pPr>
    </w:p>
    <w:p w14:paraId="15D57329">
      <w:pPr>
        <w:spacing w:line="242" w:lineRule="auto"/>
        <w:rPr>
          <w:rFonts w:ascii="Arial"/>
          <w:sz w:val="21"/>
        </w:rPr>
      </w:pPr>
    </w:p>
    <w:p w14:paraId="32CE43B3">
      <w:pPr>
        <w:spacing w:line="242" w:lineRule="auto"/>
        <w:rPr>
          <w:rFonts w:ascii="Arial"/>
          <w:sz w:val="21"/>
        </w:rPr>
      </w:pPr>
    </w:p>
    <w:p w14:paraId="5BF70315">
      <w:pPr>
        <w:spacing w:line="242" w:lineRule="auto"/>
        <w:rPr>
          <w:rFonts w:ascii="Arial"/>
          <w:sz w:val="21"/>
        </w:rPr>
      </w:pPr>
    </w:p>
    <w:p w14:paraId="5260DA0A">
      <w:pPr>
        <w:spacing w:line="242" w:lineRule="auto"/>
        <w:rPr>
          <w:rFonts w:ascii="Arial"/>
          <w:sz w:val="21"/>
        </w:rPr>
      </w:pPr>
    </w:p>
    <w:p w14:paraId="5BAC6C9D">
      <w:pPr>
        <w:spacing w:line="242" w:lineRule="auto"/>
        <w:rPr>
          <w:rFonts w:ascii="Arial"/>
          <w:sz w:val="21"/>
        </w:rPr>
      </w:pPr>
    </w:p>
    <w:p w14:paraId="63400E3A">
      <w:pPr>
        <w:spacing w:line="242" w:lineRule="auto"/>
        <w:rPr>
          <w:rFonts w:ascii="Arial"/>
          <w:sz w:val="21"/>
        </w:rPr>
      </w:pPr>
    </w:p>
    <w:p w14:paraId="35753F73">
      <w:pPr>
        <w:spacing w:line="242" w:lineRule="auto"/>
        <w:rPr>
          <w:rFonts w:ascii="Arial"/>
          <w:sz w:val="21"/>
        </w:rPr>
      </w:pPr>
    </w:p>
    <w:p w14:paraId="069E922E">
      <w:pPr>
        <w:spacing w:line="242" w:lineRule="auto"/>
        <w:rPr>
          <w:rFonts w:ascii="Arial"/>
          <w:sz w:val="21"/>
        </w:rPr>
      </w:pPr>
    </w:p>
    <w:p w14:paraId="7C727257">
      <w:pPr>
        <w:spacing w:line="242" w:lineRule="auto"/>
        <w:rPr>
          <w:rFonts w:ascii="Arial"/>
          <w:sz w:val="21"/>
        </w:rPr>
      </w:pPr>
    </w:p>
    <w:p w14:paraId="00F05ACE">
      <w:pPr>
        <w:spacing w:line="242" w:lineRule="auto"/>
        <w:rPr>
          <w:rFonts w:ascii="Arial"/>
          <w:sz w:val="21"/>
        </w:rPr>
      </w:pPr>
    </w:p>
    <w:p w14:paraId="268D80A8">
      <w:pPr>
        <w:spacing w:line="242" w:lineRule="auto"/>
        <w:rPr>
          <w:rFonts w:ascii="Arial"/>
          <w:sz w:val="21"/>
        </w:rPr>
      </w:pPr>
    </w:p>
    <w:p w14:paraId="17CD17FE">
      <w:pPr>
        <w:spacing w:line="242" w:lineRule="auto"/>
        <w:rPr>
          <w:rFonts w:ascii="Arial"/>
          <w:sz w:val="21"/>
        </w:rPr>
      </w:pPr>
    </w:p>
    <w:p w14:paraId="03C0EF23">
      <w:pPr>
        <w:spacing w:line="242" w:lineRule="auto"/>
        <w:rPr>
          <w:rFonts w:ascii="Arial"/>
          <w:sz w:val="21"/>
        </w:rPr>
      </w:pPr>
    </w:p>
    <w:p w14:paraId="27B59996">
      <w:pPr>
        <w:spacing w:line="242" w:lineRule="auto"/>
        <w:rPr>
          <w:rFonts w:ascii="Arial"/>
          <w:sz w:val="21"/>
        </w:rPr>
      </w:pPr>
      <w:bookmarkStart w:id="788" w:name="_GoBack"/>
      <w:bookmarkEnd w:id="788"/>
    </w:p>
    <w:p w14:paraId="4F9B9E3F">
      <w:pPr>
        <w:spacing w:line="242" w:lineRule="auto"/>
        <w:rPr>
          <w:rFonts w:ascii="Arial"/>
          <w:sz w:val="21"/>
        </w:rPr>
      </w:pPr>
    </w:p>
    <w:p w14:paraId="0CD914F1">
      <w:pPr>
        <w:spacing w:line="242" w:lineRule="auto"/>
        <w:rPr>
          <w:rFonts w:ascii="Arial"/>
          <w:sz w:val="21"/>
        </w:rPr>
      </w:pPr>
    </w:p>
    <w:p w14:paraId="25CE8672">
      <w:pPr>
        <w:spacing w:line="242" w:lineRule="auto"/>
        <w:rPr>
          <w:rFonts w:ascii="Arial"/>
          <w:sz w:val="21"/>
        </w:rPr>
      </w:pPr>
    </w:p>
    <w:p w14:paraId="2BC8D89C">
      <w:pPr>
        <w:spacing w:line="242" w:lineRule="auto"/>
        <w:rPr>
          <w:rFonts w:ascii="Arial"/>
          <w:sz w:val="21"/>
        </w:rPr>
      </w:pPr>
    </w:p>
    <w:p w14:paraId="23556D6A">
      <w:pPr>
        <w:spacing w:line="242" w:lineRule="auto"/>
        <w:rPr>
          <w:rFonts w:ascii="Arial"/>
          <w:sz w:val="21"/>
        </w:rPr>
      </w:pPr>
    </w:p>
    <w:p w14:paraId="77C28EE4">
      <w:pPr>
        <w:spacing w:line="242" w:lineRule="auto"/>
        <w:rPr>
          <w:rFonts w:ascii="Arial"/>
          <w:sz w:val="21"/>
        </w:rPr>
      </w:pPr>
    </w:p>
    <w:p w14:paraId="5F45306B">
      <w:pPr>
        <w:spacing w:line="243" w:lineRule="auto"/>
        <w:rPr>
          <w:rFonts w:ascii="Arial"/>
          <w:sz w:val="21"/>
        </w:rPr>
      </w:pPr>
    </w:p>
    <w:p w14:paraId="10AD56C0">
      <w:pPr>
        <w:pStyle w:val="2"/>
        <w:spacing w:before="88" w:line="390" w:lineRule="exact"/>
        <w:ind w:left="4149"/>
        <w:rPr>
          <w:sz w:val="27"/>
          <w:szCs w:val="27"/>
        </w:rPr>
      </w:pPr>
      <w:r>
        <w:rPr>
          <w:spacing w:val="23"/>
          <w:position w:val="2"/>
          <w:sz w:val="27"/>
          <w:szCs w:val="27"/>
        </w:rPr>
        <w:t>清</w:t>
      </w:r>
      <w:r>
        <w:rPr>
          <w:rFonts w:hint="eastAsia"/>
          <w:spacing w:val="23"/>
          <w:position w:val="2"/>
          <w:sz w:val="27"/>
          <w:szCs w:val="27"/>
          <w:lang w:val="en-US" w:eastAsia="zh-CN"/>
        </w:rPr>
        <w:t>华</w:t>
      </w:r>
      <w:r>
        <w:rPr>
          <w:spacing w:val="23"/>
          <w:position w:val="2"/>
          <w:sz w:val="27"/>
          <w:szCs w:val="27"/>
        </w:rPr>
        <w:t>大学出版社</w:t>
      </w:r>
    </w:p>
    <w:p w14:paraId="088375D4">
      <w:pPr>
        <w:spacing w:before="8" w:line="222" w:lineRule="auto"/>
        <w:ind w:left="4880"/>
        <w:rPr>
          <w:rFonts w:ascii="仿宋" w:hAnsi="仿宋" w:eastAsia="仿宋" w:cs="仿宋"/>
          <w:color w:val="auto"/>
          <w:sz w:val="27"/>
          <w:szCs w:val="27"/>
        </w:rPr>
      </w:pPr>
      <w:r>
        <w:rPr>
          <w:rFonts w:ascii="仿宋" w:hAnsi="仿宋" w:eastAsia="仿宋" w:cs="仿宋"/>
          <w:color w:val="auto"/>
          <w:spacing w:val="37"/>
          <w:sz w:val="27"/>
          <w:szCs w:val="27"/>
        </w:rPr>
        <w:t>北京</w:t>
      </w:r>
    </w:p>
    <w:p w14:paraId="60E50A6E">
      <w:pPr>
        <w:spacing w:line="222" w:lineRule="auto"/>
        <w:rPr>
          <w:rFonts w:ascii="仿宋" w:hAnsi="仿宋" w:eastAsia="仿宋" w:cs="仿宋"/>
          <w:sz w:val="27"/>
          <w:szCs w:val="27"/>
        </w:rPr>
        <w:sectPr>
          <w:pgSz w:w="10510" w:h="13600"/>
          <w:pgMar w:top="400" w:right="0" w:bottom="400" w:left="0" w:header="0" w:footer="0" w:gutter="0"/>
          <w:cols w:space="720" w:num="1"/>
        </w:sectPr>
      </w:pPr>
    </w:p>
    <w:p w14:paraId="440D6553">
      <w:pPr>
        <w:spacing w:line="275" w:lineRule="auto"/>
        <w:rPr>
          <w:rFonts w:ascii="Arial"/>
          <w:sz w:val="21"/>
        </w:rPr>
      </w:pPr>
    </w:p>
    <w:p w14:paraId="5265EE44">
      <w:pPr>
        <w:spacing w:line="276" w:lineRule="auto"/>
        <w:rPr>
          <w:rFonts w:ascii="Arial"/>
          <w:sz w:val="21"/>
        </w:rPr>
      </w:pPr>
    </w:p>
    <w:p w14:paraId="24534020">
      <w:pPr>
        <w:spacing w:before="59" w:line="222" w:lineRule="auto"/>
        <w:ind w:left="3552"/>
        <w:rPr>
          <w:rFonts w:ascii="黑体" w:hAnsi="黑体" w:eastAsia="黑体" w:cs="黑体"/>
          <w:sz w:val="18"/>
          <w:szCs w:val="18"/>
        </w:rPr>
      </w:pPr>
      <w:r>
        <w:rPr>
          <w:rFonts w:ascii="黑体" w:hAnsi="黑体" w:eastAsia="黑体" w:cs="黑体"/>
          <w:b/>
          <w:bCs/>
          <w:spacing w:val="-11"/>
          <w:sz w:val="18"/>
          <w:szCs w:val="18"/>
        </w:rPr>
        <w:t>内</w:t>
      </w:r>
      <w:r>
        <w:rPr>
          <w:rFonts w:ascii="黑体" w:hAnsi="黑体" w:eastAsia="黑体" w:cs="黑体"/>
          <w:spacing w:val="3"/>
          <w:sz w:val="18"/>
          <w:szCs w:val="18"/>
        </w:rPr>
        <w:t xml:space="preserve"> </w:t>
      </w:r>
      <w:r>
        <w:rPr>
          <w:rFonts w:ascii="黑体" w:hAnsi="黑体" w:eastAsia="黑体" w:cs="黑体"/>
          <w:b/>
          <w:bCs/>
          <w:spacing w:val="-11"/>
          <w:sz w:val="18"/>
          <w:szCs w:val="18"/>
        </w:rPr>
        <w:t>容</w:t>
      </w:r>
      <w:r>
        <w:rPr>
          <w:rFonts w:ascii="黑体" w:hAnsi="黑体" w:eastAsia="黑体" w:cs="黑体"/>
          <w:spacing w:val="8"/>
          <w:sz w:val="18"/>
          <w:szCs w:val="18"/>
        </w:rPr>
        <w:t xml:space="preserve"> </w:t>
      </w:r>
      <w:r>
        <w:rPr>
          <w:rFonts w:ascii="黑体" w:hAnsi="黑体" w:eastAsia="黑体" w:cs="黑体"/>
          <w:b/>
          <w:bCs/>
          <w:spacing w:val="-11"/>
          <w:sz w:val="18"/>
          <w:szCs w:val="18"/>
        </w:rPr>
        <w:t>简</w:t>
      </w:r>
      <w:r>
        <w:rPr>
          <w:rFonts w:ascii="黑体" w:hAnsi="黑体" w:eastAsia="黑体" w:cs="黑体"/>
          <w:spacing w:val="6"/>
          <w:sz w:val="18"/>
          <w:szCs w:val="18"/>
        </w:rPr>
        <w:t xml:space="preserve"> </w:t>
      </w:r>
      <w:r>
        <w:rPr>
          <w:rFonts w:ascii="黑体" w:hAnsi="黑体" w:eastAsia="黑体" w:cs="黑体"/>
          <w:b/>
          <w:bCs/>
          <w:spacing w:val="-11"/>
          <w:sz w:val="18"/>
          <w:szCs w:val="18"/>
        </w:rPr>
        <w:t>介</w:t>
      </w:r>
    </w:p>
    <w:p w14:paraId="3C61A864">
      <w:pPr>
        <w:pStyle w:val="2"/>
        <w:spacing w:before="227" w:line="268" w:lineRule="auto"/>
        <w:ind w:right="75" w:firstLine="340"/>
        <w:jc w:val="both"/>
        <w:rPr>
          <w:sz w:val="18"/>
          <w:szCs w:val="18"/>
        </w:rPr>
      </w:pPr>
      <w:r>
        <w:rPr>
          <w:spacing w:val="8"/>
          <w:sz w:val="18"/>
          <w:szCs w:val="18"/>
        </w:rPr>
        <w:t>本书是全国计算机技术与软件专业技术资格(水平)考试办公室组织编写的考试指定用书。本书</w:t>
      </w:r>
      <w:r>
        <w:rPr>
          <w:spacing w:val="4"/>
          <w:sz w:val="18"/>
          <w:szCs w:val="18"/>
        </w:rPr>
        <w:t xml:space="preserve"> </w:t>
      </w:r>
      <w:r>
        <w:rPr>
          <w:spacing w:val="7"/>
          <w:sz w:val="18"/>
          <w:szCs w:val="18"/>
        </w:rPr>
        <w:t>根据《信息系统监理师考试大纲》(2023年审定通过)编写，对信息系统监理师岗位所要求的主要知</w:t>
      </w:r>
      <w:r>
        <w:rPr>
          <w:spacing w:val="1"/>
          <w:sz w:val="18"/>
          <w:szCs w:val="18"/>
        </w:rPr>
        <w:t xml:space="preserve"> </w:t>
      </w:r>
      <w:r>
        <w:rPr>
          <w:spacing w:val="-3"/>
          <w:sz w:val="18"/>
          <w:szCs w:val="18"/>
        </w:rPr>
        <w:t>识及应用技术进行了阐述。</w:t>
      </w:r>
    </w:p>
    <w:p w14:paraId="7BD48741">
      <w:pPr>
        <w:pStyle w:val="2"/>
        <w:spacing w:before="2" w:line="263" w:lineRule="auto"/>
        <w:ind w:firstLine="340"/>
        <w:jc w:val="both"/>
        <w:rPr>
          <w:sz w:val="18"/>
          <w:szCs w:val="18"/>
        </w:rPr>
      </w:pPr>
      <w:r>
        <w:rPr>
          <w:spacing w:val="4"/>
          <w:sz w:val="18"/>
          <w:szCs w:val="18"/>
        </w:rPr>
        <w:t>本书内容包括：第一篇信息系统工程知识，具体包括信息与信息化、信息系统工程、信息</w:t>
      </w:r>
      <w:r>
        <w:rPr>
          <w:spacing w:val="3"/>
          <w:sz w:val="18"/>
          <w:szCs w:val="18"/>
        </w:rPr>
        <w:t>网络系</w:t>
      </w:r>
      <w:r>
        <w:rPr>
          <w:sz w:val="18"/>
          <w:szCs w:val="18"/>
        </w:rPr>
        <w:t xml:space="preserve">  </w:t>
      </w:r>
      <w:r>
        <w:rPr>
          <w:spacing w:val="3"/>
          <w:sz w:val="18"/>
          <w:szCs w:val="18"/>
        </w:rPr>
        <w:t>统、信息资源系统、信息应用系统、信息安全和运行维护；第二篇信息系统工程监理通识，具体包括</w:t>
      </w:r>
      <w:r>
        <w:rPr>
          <w:spacing w:val="2"/>
          <w:sz w:val="18"/>
          <w:szCs w:val="18"/>
        </w:rPr>
        <w:t xml:space="preserve">  </w:t>
      </w:r>
      <w:r>
        <w:rPr>
          <w:spacing w:val="5"/>
          <w:sz w:val="18"/>
          <w:szCs w:val="18"/>
        </w:rPr>
        <w:t>信息系统工程监理基础知识、监理工作的组织和规划、质量控制、进度控制、投资控制、合同管</w:t>
      </w:r>
      <w:r>
        <w:rPr>
          <w:spacing w:val="4"/>
          <w:sz w:val="18"/>
          <w:szCs w:val="18"/>
        </w:rPr>
        <w:t>理、</w:t>
      </w:r>
      <w:r>
        <w:rPr>
          <w:sz w:val="18"/>
          <w:szCs w:val="18"/>
        </w:rPr>
        <w:t xml:space="preserve"> </w:t>
      </w:r>
      <w:r>
        <w:rPr>
          <w:spacing w:val="3"/>
          <w:sz w:val="18"/>
          <w:szCs w:val="18"/>
        </w:rPr>
        <w:t>信息管理、组织协调、项目管理、变更控制、风险管理、监理支撑要素；第三篇信息系统工程监理实  务，具体包括信息系统工程监理基础工作、基础设施工程监理、软件工程监理、数据中心监理、信息</w:t>
      </w:r>
      <w:r>
        <w:rPr>
          <w:spacing w:val="4"/>
          <w:sz w:val="18"/>
          <w:szCs w:val="18"/>
        </w:rPr>
        <w:t xml:space="preserve">  </w:t>
      </w:r>
      <w:r>
        <w:rPr>
          <w:spacing w:val="-3"/>
          <w:sz w:val="18"/>
          <w:szCs w:val="18"/>
        </w:rPr>
        <w:t>安全监理、运行维护监理。</w:t>
      </w:r>
    </w:p>
    <w:p w14:paraId="682904C1">
      <w:pPr>
        <w:pStyle w:val="2"/>
        <w:spacing w:before="32" w:line="274" w:lineRule="auto"/>
        <w:ind w:right="77" w:firstLine="340"/>
        <w:rPr>
          <w:sz w:val="18"/>
          <w:szCs w:val="18"/>
        </w:rPr>
      </w:pPr>
      <w:r>
        <w:rPr>
          <w:spacing w:val="4"/>
          <w:sz w:val="18"/>
          <w:szCs w:val="18"/>
        </w:rPr>
        <w:t>本书是信息系统监理师考试应试者的必读教材，也可作为信息化教育的培训与辅</w:t>
      </w:r>
      <w:r>
        <w:rPr>
          <w:spacing w:val="3"/>
          <w:sz w:val="18"/>
          <w:szCs w:val="18"/>
        </w:rPr>
        <w:t>导用书，还可作</w:t>
      </w:r>
      <w:r>
        <w:rPr>
          <w:sz w:val="18"/>
          <w:szCs w:val="18"/>
        </w:rPr>
        <w:t xml:space="preserve"> </w:t>
      </w:r>
      <w:r>
        <w:rPr>
          <w:spacing w:val="-2"/>
          <w:sz w:val="18"/>
          <w:szCs w:val="18"/>
        </w:rPr>
        <w:t>为高等院校相关专业的教学与参考用书。</w:t>
      </w:r>
    </w:p>
    <w:p w14:paraId="31D70ACE">
      <w:pPr>
        <w:spacing w:before="238" w:line="213" w:lineRule="auto"/>
        <w:rPr>
          <w:rFonts w:ascii="黑体" w:hAnsi="黑体" w:eastAsia="黑体" w:cs="黑体"/>
          <w:sz w:val="18"/>
          <w:szCs w:val="18"/>
        </w:rPr>
      </w:pPr>
      <w:r>
        <w:rPr>
          <w:rFonts w:ascii="黑体" w:hAnsi="黑体" w:eastAsia="黑体" w:cs="黑体"/>
          <w:sz w:val="18"/>
          <w:szCs w:val="18"/>
        </w:rPr>
        <w:t>本书封面贴有清华大学出版社防伪标签，无标签者不得销售。</w:t>
      </w:r>
    </w:p>
    <w:p w14:paraId="6BD029ED">
      <w:pPr>
        <w:pStyle w:val="2"/>
        <w:spacing w:before="161" w:line="212" w:lineRule="auto"/>
        <w:rPr>
          <w:sz w:val="18"/>
          <w:szCs w:val="18"/>
        </w:rPr>
      </w:pPr>
      <w:r>
        <w:rPr>
          <w:rFonts w:ascii="黑体" w:hAnsi="黑体" w:eastAsia="黑体" w:cs="黑体"/>
          <w:spacing w:val="5"/>
          <w:sz w:val="18"/>
          <w:szCs w:val="18"/>
        </w:rPr>
        <w:t>版权所有，侵权必究。举报：010-62782989,</w:t>
      </w:r>
      <w:r>
        <w:rPr>
          <w:rFonts w:ascii="Times New Roman" w:hAnsi="Times New Roman" w:eastAsia="Times New Roman" w:cs="Times New Roman"/>
          <w:sz w:val="18"/>
          <w:szCs w:val="18"/>
        </w:rPr>
        <w:t>beiqinquan</w:t>
      </w:r>
      <w:r>
        <w:rPr>
          <w:rFonts w:ascii="Times New Roman" w:hAnsi="Times New Roman" w:eastAsia="Times New Roman" w:cs="Times New Roman"/>
          <w:spacing w:val="5"/>
          <w:sz w:val="18"/>
          <w:szCs w:val="18"/>
        </w:rPr>
        <w:t>@</w:t>
      </w:r>
      <w:r>
        <w:rPr>
          <w:rFonts w:ascii="Times New Roman" w:hAnsi="Times New Roman" w:eastAsia="Times New Roman" w:cs="Times New Roman"/>
          <w:sz w:val="18"/>
          <w:szCs w:val="18"/>
        </w:rPr>
        <w:t>tup</w:t>
      </w:r>
      <w:r>
        <w:rPr>
          <w:rFonts w:ascii="Times New Roman" w:hAnsi="Times New Roman" w:eastAsia="Times New Roman" w:cs="Times New Roman"/>
          <w:spacing w:val="5"/>
          <w:sz w:val="18"/>
          <w:szCs w:val="18"/>
        </w:rPr>
        <w:t>.</w:t>
      </w:r>
      <w:r>
        <w:rPr>
          <w:rFonts w:ascii="Times New Roman" w:hAnsi="Times New Roman" w:eastAsia="Times New Roman" w:cs="Times New Roman"/>
          <w:sz w:val="18"/>
          <w:szCs w:val="18"/>
        </w:rPr>
        <w:t>tsinghua</w:t>
      </w:r>
      <w:r>
        <w:rPr>
          <w:rFonts w:ascii="Times New Roman" w:hAnsi="Times New Roman" w:eastAsia="Times New Roman" w:cs="Times New Roman"/>
          <w:spacing w:val="5"/>
          <w:sz w:val="18"/>
          <w:szCs w:val="18"/>
        </w:rPr>
        <w:t>.</w:t>
      </w:r>
      <w:r>
        <w:rPr>
          <w:rFonts w:ascii="Times New Roman" w:hAnsi="Times New Roman" w:eastAsia="Times New Roman" w:cs="Times New Roman"/>
          <w:sz w:val="18"/>
          <w:szCs w:val="18"/>
        </w:rPr>
        <w:t>edu</w:t>
      </w:r>
      <w:r>
        <w:rPr>
          <w:rFonts w:ascii="Times New Roman" w:hAnsi="Times New Roman" w:eastAsia="Times New Roman" w:cs="Times New Roman"/>
          <w:spacing w:val="5"/>
          <w:sz w:val="18"/>
          <w:szCs w:val="18"/>
        </w:rPr>
        <w:t>.</w:t>
      </w:r>
      <w:r>
        <w:rPr>
          <w:rFonts w:ascii="Times New Roman" w:hAnsi="Times New Roman" w:eastAsia="Times New Roman" w:cs="Times New Roman"/>
          <w:sz w:val="18"/>
          <w:szCs w:val="18"/>
        </w:rPr>
        <w:t>cn</w:t>
      </w:r>
      <w:r>
        <w:rPr>
          <w:spacing w:val="5"/>
          <w:sz w:val="18"/>
          <w:szCs w:val="18"/>
        </w:rPr>
        <w:t>。</w:t>
      </w:r>
    </w:p>
    <w:p w14:paraId="35D43EB3">
      <w:pPr>
        <w:pStyle w:val="2"/>
        <w:spacing w:before="250" w:line="221" w:lineRule="auto"/>
        <w:ind w:left="342"/>
        <w:rPr>
          <w:rFonts w:ascii="黑体" w:hAnsi="黑体" w:eastAsia="黑体" w:cs="黑体"/>
          <w:sz w:val="18"/>
          <w:szCs w:val="18"/>
        </w:rPr>
      </w:pPr>
      <w:r>
        <w:rPr>
          <w:rFonts w:ascii="黑体" w:hAnsi="黑体" w:eastAsia="黑体" w:cs="黑体"/>
          <w:b/>
          <w:bCs/>
          <w:spacing w:val="-3"/>
          <w:sz w:val="18"/>
          <w:szCs w:val="18"/>
        </w:rPr>
        <w:t>图书在版编目</w:t>
      </w:r>
      <w:r>
        <w:rPr>
          <w:b/>
          <w:bCs/>
          <w:spacing w:val="-3"/>
          <w:sz w:val="18"/>
          <w:szCs w:val="18"/>
        </w:rPr>
        <w:t>(CIP)</w:t>
      </w:r>
      <w:r>
        <w:rPr>
          <w:spacing w:val="-14"/>
          <w:sz w:val="18"/>
          <w:szCs w:val="18"/>
        </w:rPr>
        <w:t xml:space="preserve"> </w:t>
      </w:r>
      <w:r>
        <w:rPr>
          <w:rFonts w:ascii="黑体" w:hAnsi="黑体" w:eastAsia="黑体" w:cs="黑体"/>
          <w:b/>
          <w:bCs/>
          <w:spacing w:val="-3"/>
          <w:sz w:val="18"/>
          <w:szCs w:val="18"/>
        </w:rPr>
        <w:t>数据</w:t>
      </w:r>
    </w:p>
    <w:p w14:paraId="14C6192D">
      <w:pPr>
        <w:pStyle w:val="2"/>
        <w:spacing w:before="179" w:line="252" w:lineRule="auto"/>
        <w:ind w:left="340" w:right="981"/>
        <w:rPr>
          <w:sz w:val="18"/>
          <w:szCs w:val="18"/>
        </w:rPr>
      </w:pPr>
      <w:r>
        <w:rPr>
          <w:spacing w:val="4"/>
          <w:sz w:val="18"/>
          <w:szCs w:val="18"/>
        </w:rPr>
        <w:t>信息系统监理师教程/贾卓生，张树玲主编.—2版.一北京：清华大</w:t>
      </w:r>
      <w:r>
        <w:rPr>
          <w:spacing w:val="3"/>
          <w:sz w:val="18"/>
          <w:szCs w:val="18"/>
        </w:rPr>
        <w:t>学出版社，2024.1</w:t>
      </w:r>
      <w:r>
        <w:rPr>
          <w:sz w:val="18"/>
          <w:szCs w:val="18"/>
        </w:rPr>
        <w:t xml:space="preserve"> </w:t>
      </w:r>
      <w:r>
        <w:rPr>
          <w:spacing w:val="7"/>
          <w:sz w:val="18"/>
          <w:szCs w:val="18"/>
        </w:rPr>
        <w:t>全国计算机技术与软件专业技术资格(水平)考试指定用书</w:t>
      </w:r>
    </w:p>
    <w:p w14:paraId="3358016D">
      <w:pPr>
        <w:spacing w:before="75" w:line="188" w:lineRule="auto"/>
        <w:ind w:left="34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ISBN 978-7-302-65220-5</w:t>
      </w:r>
    </w:p>
    <w:p w14:paraId="0E2A475A">
      <w:pPr>
        <w:pStyle w:val="2"/>
        <w:spacing w:before="229" w:line="217" w:lineRule="auto"/>
        <w:ind w:left="340"/>
        <w:rPr>
          <w:sz w:val="18"/>
          <w:szCs w:val="18"/>
        </w:rPr>
      </w:pPr>
      <w:r>
        <w:rPr>
          <w:rFonts w:ascii="Times New Roman" w:hAnsi="Times New Roman" w:eastAsia="Times New Roman" w:cs="Times New Roman"/>
          <w:spacing w:val="7"/>
          <w:sz w:val="18"/>
          <w:szCs w:val="18"/>
        </w:rPr>
        <w:t>I.</w:t>
      </w:r>
      <w:r>
        <w:rPr>
          <w:spacing w:val="7"/>
          <w:sz w:val="18"/>
          <w:szCs w:val="18"/>
        </w:rPr>
        <w:t>①</w:t>
      </w:r>
      <w:r>
        <w:rPr>
          <w:spacing w:val="60"/>
          <w:sz w:val="18"/>
          <w:szCs w:val="18"/>
        </w:rPr>
        <w:t xml:space="preserve"> </w:t>
      </w:r>
      <w:r>
        <w:rPr>
          <w:spacing w:val="7"/>
          <w:sz w:val="18"/>
          <w:szCs w:val="18"/>
        </w:rPr>
        <w:t>信</w:t>
      </w:r>
      <w:r>
        <w:rPr>
          <w:spacing w:val="-37"/>
          <w:sz w:val="18"/>
          <w:szCs w:val="18"/>
        </w:rPr>
        <w:t xml:space="preserve"> </w:t>
      </w:r>
      <w:r>
        <w:rPr>
          <w:spacing w:val="7"/>
          <w:sz w:val="18"/>
          <w:szCs w:val="18"/>
        </w:rPr>
        <w:t>…</w:t>
      </w:r>
      <w:r>
        <w:rPr>
          <w:spacing w:val="41"/>
          <w:sz w:val="18"/>
          <w:szCs w:val="18"/>
        </w:rPr>
        <w:t xml:space="preserve">  </w:t>
      </w:r>
      <w:r>
        <w:rPr>
          <w:spacing w:val="7"/>
          <w:sz w:val="18"/>
          <w:szCs w:val="18"/>
        </w:rPr>
        <w:t>Ⅱ.①贾…②张…Ⅲ</w:t>
      </w:r>
      <w:r>
        <w:rPr>
          <w:spacing w:val="-67"/>
          <w:sz w:val="18"/>
          <w:szCs w:val="18"/>
        </w:rPr>
        <w:t xml:space="preserve"> </w:t>
      </w:r>
      <w:r>
        <w:rPr>
          <w:spacing w:val="7"/>
          <w:sz w:val="18"/>
          <w:szCs w:val="18"/>
        </w:rPr>
        <w:t>.①信息系统</w:t>
      </w:r>
      <w:r>
        <w:rPr>
          <w:spacing w:val="6"/>
          <w:sz w:val="18"/>
          <w:szCs w:val="18"/>
        </w:rPr>
        <w:t>一监管制度一资格考试一自学参考资料</w:t>
      </w:r>
    </w:p>
    <w:p w14:paraId="4CA4DCD0">
      <w:pPr>
        <w:pStyle w:val="2"/>
        <w:spacing w:before="48" w:line="217" w:lineRule="auto"/>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IV.</w:t>
      </w:r>
      <w:r>
        <w:rPr>
          <w:spacing w:val="-1"/>
          <w:sz w:val="18"/>
          <w:szCs w:val="18"/>
        </w:rPr>
        <w:t>①</w:t>
      </w:r>
      <w:r>
        <w:rPr>
          <w:rFonts w:ascii="Times New Roman" w:hAnsi="Times New Roman" w:eastAsia="Times New Roman" w:cs="Times New Roman"/>
          <w:spacing w:val="-1"/>
          <w:sz w:val="18"/>
          <w:szCs w:val="18"/>
        </w:rPr>
        <w:t>G202</w:t>
      </w:r>
    </w:p>
    <w:p w14:paraId="4BE3B02A">
      <w:pPr>
        <w:pStyle w:val="2"/>
        <w:spacing w:before="240" w:line="219" w:lineRule="auto"/>
        <w:ind w:left="340"/>
        <w:rPr>
          <w:sz w:val="18"/>
          <w:szCs w:val="18"/>
        </w:rPr>
      </w:pPr>
      <w:r>
        <w:rPr>
          <w:spacing w:val="5"/>
          <w:sz w:val="18"/>
          <w:szCs w:val="18"/>
        </w:rPr>
        <w:t>中国国家版本馆</w:t>
      </w:r>
      <w:r>
        <w:rPr>
          <w:rFonts w:ascii="Times New Roman" w:hAnsi="Times New Roman" w:eastAsia="Times New Roman" w:cs="Times New Roman"/>
          <w:sz w:val="18"/>
          <w:szCs w:val="18"/>
        </w:rPr>
        <w:t>CIP</w:t>
      </w:r>
      <w:r>
        <w:rPr>
          <w:rFonts w:ascii="Times New Roman" w:hAnsi="Times New Roman" w:eastAsia="Times New Roman" w:cs="Times New Roman"/>
          <w:spacing w:val="30"/>
          <w:sz w:val="18"/>
          <w:szCs w:val="18"/>
        </w:rPr>
        <w:t xml:space="preserve"> </w:t>
      </w:r>
      <w:r>
        <w:rPr>
          <w:spacing w:val="5"/>
          <w:sz w:val="18"/>
          <w:szCs w:val="18"/>
        </w:rPr>
        <w:t>数据核字(2024)第003735号</w:t>
      </w:r>
    </w:p>
    <w:p w14:paraId="1315AF4B">
      <w:pPr>
        <w:spacing w:line="331" w:lineRule="auto"/>
        <w:rPr>
          <w:rFonts w:ascii="Arial"/>
          <w:sz w:val="21"/>
        </w:rPr>
      </w:pPr>
    </w:p>
    <w:p w14:paraId="5E8A45F3">
      <w:pPr>
        <w:pStyle w:val="2"/>
        <w:spacing w:before="58" w:line="253" w:lineRule="auto"/>
        <w:ind w:left="2" w:right="6668"/>
        <w:jc w:val="both"/>
        <w:rPr>
          <w:sz w:val="18"/>
          <w:szCs w:val="18"/>
        </w:rPr>
      </w:pPr>
      <w:r>
        <w:rPr>
          <w:rFonts w:ascii="黑体" w:hAnsi="黑体" w:eastAsia="黑体" w:cs="黑体"/>
          <w:b/>
          <w:bCs/>
          <w:spacing w:val="-2"/>
          <w:sz w:val="18"/>
          <w:szCs w:val="18"/>
        </w:rPr>
        <w:t>责任编辑</w:t>
      </w:r>
      <w:r>
        <w:rPr>
          <w:b/>
          <w:bCs/>
          <w:spacing w:val="-2"/>
          <w:sz w:val="18"/>
          <w:szCs w:val="18"/>
        </w:rPr>
        <w:t>：</w:t>
      </w:r>
      <w:r>
        <w:rPr>
          <w:spacing w:val="-2"/>
          <w:sz w:val="18"/>
          <w:szCs w:val="18"/>
        </w:rPr>
        <w:t>杨如林</w:t>
      </w:r>
      <w:r>
        <w:rPr>
          <w:sz w:val="18"/>
          <w:szCs w:val="18"/>
        </w:rPr>
        <w:t xml:space="preserve"> </w:t>
      </w:r>
      <w:r>
        <w:rPr>
          <w:rFonts w:ascii="黑体" w:hAnsi="黑体" w:eastAsia="黑体" w:cs="黑体"/>
          <w:b/>
          <w:bCs/>
          <w:spacing w:val="2"/>
          <w:sz w:val="18"/>
          <w:szCs w:val="18"/>
        </w:rPr>
        <w:t>封面设计</w:t>
      </w:r>
      <w:r>
        <w:rPr>
          <w:b/>
          <w:bCs/>
          <w:spacing w:val="2"/>
          <w:sz w:val="18"/>
          <w:szCs w:val="18"/>
        </w:rPr>
        <w:t>：</w:t>
      </w:r>
      <w:r>
        <w:rPr>
          <w:spacing w:val="2"/>
          <w:sz w:val="18"/>
          <w:szCs w:val="18"/>
        </w:rPr>
        <w:t>杨</w:t>
      </w:r>
      <w:r>
        <w:rPr>
          <w:rFonts w:ascii="黑体" w:hAnsi="黑体" w:eastAsia="黑体" w:cs="黑体"/>
          <w:spacing w:val="2"/>
          <w:sz w:val="18"/>
          <w:szCs w:val="18"/>
        </w:rPr>
        <w:t xml:space="preserve">玉兰 </w:t>
      </w:r>
      <w:r>
        <w:rPr>
          <w:rFonts w:ascii="黑体" w:hAnsi="黑体" w:eastAsia="黑体" w:cs="黑体"/>
          <w:b/>
          <w:bCs/>
          <w:spacing w:val="-2"/>
          <w:sz w:val="18"/>
          <w:szCs w:val="18"/>
        </w:rPr>
        <w:t>责任校对</w:t>
      </w:r>
      <w:r>
        <w:rPr>
          <w:b/>
          <w:bCs/>
          <w:spacing w:val="-2"/>
          <w:sz w:val="18"/>
          <w:szCs w:val="18"/>
        </w:rPr>
        <w:t>：</w:t>
      </w:r>
      <w:r>
        <w:rPr>
          <w:spacing w:val="-2"/>
          <w:sz w:val="18"/>
          <w:szCs w:val="18"/>
        </w:rPr>
        <w:t>胡伟民</w:t>
      </w:r>
      <w:r>
        <w:rPr>
          <w:spacing w:val="2"/>
          <w:sz w:val="18"/>
          <w:szCs w:val="18"/>
        </w:rPr>
        <w:t xml:space="preserve"> </w:t>
      </w:r>
      <w:r>
        <w:rPr>
          <w:rFonts w:ascii="黑体" w:hAnsi="黑体" w:eastAsia="黑体" w:cs="黑体"/>
          <w:b/>
          <w:bCs/>
          <w:spacing w:val="-4"/>
          <w:sz w:val="18"/>
          <w:szCs w:val="18"/>
        </w:rPr>
        <w:t>责任印制</w:t>
      </w:r>
      <w:r>
        <w:rPr>
          <w:b/>
          <w:bCs/>
          <w:spacing w:val="-4"/>
          <w:sz w:val="18"/>
          <w:szCs w:val="18"/>
        </w:rPr>
        <w:t>：</w:t>
      </w:r>
      <w:r>
        <w:rPr>
          <w:spacing w:val="-4"/>
          <w:sz w:val="18"/>
          <w:szCs w:val="18"/>
        </w:rPr>
        <w:t>丛怀宇</w:t>
      </w:r>
    </w:p>
    <w:p w14:paraId="68F806CF">
      <w:pPr>
        <w:pStyle w:val="2"/>
        <w:spacing w:before="295" w:line="221" w:lineRule="auto"/>
        <w:ind w:left="2"/>
        <w:rPr>
          <w:sz w:val="18"/>
          <w:szCs w:val="18"/>
        </w:rPr>
      </w:pPr>
      <w:r>
        <w:rPr>
          <w:rFonts w:ascii="黑体" w:hAnsi="黑体" w:eastAsia="黑体" w:cs="黑体"/>
          <w:b/>
          <w:bCs/>
          <w:spacing w:val="-1"/>
          <w:sz w:val="18"/>
          <w:szCs w:val="18"/>
        </w:rPr>
        <w:t>出版发行：</w:t>
      </w:r>
      <w:r>
        <w:rPr>
          <w:spacing w:val="-1"/>
          <w:sz w:val="18"/>
          <w:szCs w:val="18"/>
        </w:rPr>
        <w:t>清华大学出版社</w:t>
      </w:r>
    </w:p>
    <w:p w14:paraId="4BE9E2D4">
      <w:pPr>
        <w:pStyle w:val="2"/>
        <w:spacing w:before="48" w:line="212" w:lineRule="auto"/>
        <w:ind w:left="902"/>
        <w:rPr>
          <w:rFonts w:ascii="Times New Roman" w:hAnsi="Times New Roman" w:eastAsia="Times New Roman" w:cs="Times New Roman"/>
          <w:sz w:val="18"/>
          <w:szCs w:val="18"/>
        </w:rPr>
      </w:pPr>
      <w:r>
        <w:rPr>
          <w:b/>
          <w:bCs/>
          <w:spacing w:val="-1"/>
          <w:sz w:val="18"/>
          <w:szCs w:val="18"/>
        </w:rPr>
        <w:t>网</w:t>
      </w:r>
      <w:r>
        <w:rPr>
          <w:spacing w:val="-1"/>
          <w:sz w:val="18"/>
          <w:szCs w:val="18"/>
        </w:rPr>
        <w:t xml:space="preserve">    </w:t>
      </w:r>
      <w:r>
        <w:rPr>
          <w:b/>
          <w:bCs/>
          <w:spacing w:val="-1"/>
          <w:sz w:val="18"/>
          <w:szCs w:val="18"/>
        </w:rPr>
        <w:t>址</w:t>
      </w:r>
      <w:r>
        <w:rPr>
          <w:spacing w:val="-36"/>
          <w:sz w:val="18"/>
          <w:szCs w:val="18"/>
        </w:rPr>
        <w:t xml:space="preserve"> </w:t>
      </w:r>
      <w:r>
        <w:rPr>
          <w:b/>
          <w:bCs/>
          <w:spacing w:val="-1"/>
          <w:sz w:val="18"/>
          <w:szCs w:val="18"/>
        </w:rPr>
        <w:t>：</w:t>
      </w:r>
      <w:r>
        <w:fldChar w:fldCharType="begin"/>
      </w:r>
      <w:r>
        <w:instrText xml:space="preserve"> HYPERLINK "https://www.tup.com.cn" </w:instrText>
      </w:r>
      <w:r>
        <w:fldChar w:fldCharType="separate"/>
      </w:r>
      <w:r>
        <w:rPr>
          <w:rFonts w:ascii="Times New Roman" w:hAnsi="Times New Roman" w:eastAsia="Times New Roman" w:cs="Times New Roman"/>
          <w:spacing w:val="-1"/>
          <w:sz w:val="18"/>
          <w:szCs w:val="18"/>
        </w:rPr>
        <w:t>https://www.tup</w:t>
      </w:r>
      <w:r>
        <w:rPr>
          <w:rFonts w:ascii="Times New Roman" w:hAnsi="Times New Roman" w:eastAsia="Times New Roman" w:cs="Times New Roman"/>
          <w:spacing w:val="-2"/>
          <w:sz w:val="18"/>
          <w:szCs w:val="18"/>
        </w:rPr>
        <w:t>.com.cn</w:t>
      </w:r>
      <w:r>
        <w:rPr>
          <w:rFonts w:ascii="Times New Roman" w:hAnsi="Times New Roman" w:eastAsia="Times New Roman" w:cs="Times New Roman"/>
          <w:spacing w:val="-2"/>
          <w:sz w:val="18"/>
          <w:szCs w:val="18"/>
        </w:rPr>
        <w:fldChar w:fldCharType="end"/>
      </w:r>
      <w:r>
        <w:rPr>
          <w:rFonts w:ascii="Times New Roman" w:hAnsi="Times New Roman" w:eastAsia="Times New Roman" w:cs="Times New Roman"/>
          <w:spacing w:val="-2"/>
          <w:sz w:val="18"/>
          <w:szCs w:val="18"/>
        </w:rPr>
        <w:t>,</w:t>
      </w:r>
      <w:r>
        <w:fldChar w:fldCharType="begin"/>
      </w:r>
      <w:r>
        <w:instrText xml:space="preserve"> HYPERLINK "https://www.wqxuetang.com" </w:instrText>
      </w:r>
      <w:r>
        <w:fldChar w:fldCharType="separate"/>
      </w:r>
      <w:r>
        <w:rPr>
          <w:rFonts w:ascii="Times New Roman" w:hAnsi="Times New Roman" w:eastAsia="Times New Roman" w:cs="Times New Roman"/>
          <w:spacing w:val="-2"/>
          <w:sz w:val="18"/>
          <w:szCs w:val="18"/>
        </w:rPr>
        <w:t>https://www.wqxuetang.com</w:t>
      </w:r>
      <w:r>
        <w:rPr>
          <w:rFonts w:ascii="Times New Roman" w:hAnsi="Times New Roman" w:eastAsia="Times New Roman" w:cs="Times New Roman"/>
          <w:spacing w:val="-2"/>
          <w:sz w:val="18"/>
          <w:szCs w:val="18"/>
        </w:rPr>
        <w:fldChar w:fldCharType="end"/>
      </w:r>
    </w:p>
    <w:p w14:paraId="1A181128">
      <w:pPr>
        <w:pStyle w:val="2"/>
        <w:spacing w:before="44" w:line="227" w:lineRule="auto"/>
        <w:ind w:left="902"/>
        <w:rPr>
          <w:sz w:val="18"/>
          <w:szCs w:val="18"/>
        </w:rPr>
      </w:pPr>
      <w:r>
        <w:rPr>
          <w:b/>
          <w:bCs/>
          <w:spacing w:val="-2"/>
          <w:sz w:val="18"/>
          <w:szCs w:val="18"/>
        </w:rPr>
        <w:t>地</w:t>
      </w:r>
      <w:r>
        <w:rPr>
          <w:spacing w:val="-2"/>
          <w:sz w:val="18"/>
          <w:szCs w:val="18"/>
        </w:rPr>
        <w:t xml:space="preserve">    </w:t>
      </w:r>
      <w:r>
        <w:rPr>
          <w:rFonts w:ascii="黑体" w:hAnsi="黑体" w:eastAsia="黑体" w:cs="黑体"/>
          <w:b/>
          <w:bCs/>
          <w:spacing w:val="-2"/>
          <w:sz w:val="18"/>
          <w:szCs w:val="18"/>
        </w:rPr>
        <w:t>址</w:t>
      </w:r>
      <w:r>
        <w:rPr>
          <w:b/>
          <w:bCs/>
          <w:spacing w:val="-2"/>
          <w:sz w:val="18"/>
          <w:szCs w:val="18"/>
        </w:rPr>
        <w:t>：</w:t>
      </w:r>
      <w:r>
        <w:rPr>
          <w:spacing w:val="-2"/>
          <w:sz w:val="18"/>
          <w:szCs w:val="18"/>
        </w:rPr>
        <w:t xml:space="preserve">北京清华大学学研大厦A 座      </w:t>
      </w:r>
      <w:r>
        <w:rPr>
          <w:spacing w:val="-3"/>
          <w:sz w:val="18"/>
          <w:szCs w:val="18"/>
        </w:rPr>
        <w:t xml:space="preserve">      </w:t>
      </w:r>
      <w:r>
        <w:rPr>
          <w:b/>
          <w:bCs/>
          <w:spacing w:val="-3"/>
          <w:sz w:val="18"/>
          <w:szCs w:val="18"/>
        </w:rPr>
        <w:t>邮</w:t>
      </w:r>
      <w:r>
        <w:rPr>
          <w:spacing w:val="2"/>
          <w:sz w:val="18"/>
          <w:szCs w:val="18"/>
        </w:rPr>
        <w:t xml:space="preserve">    </w:t>
      </w:r>
      <w:r>
        <w:rPr>
          <w:b/>
          <w:bCs/>
          <w:spacing w:val="-3"/>
          <w:sz w:val="18"/>
          <w:szCs w:val="18"/>
        </w:rPr>
        <w:t>编</w:t>
      </w:r>
      <w:r>
        <w:rPr>
          <w:spacing w:val="-33"/>
          <w:sz w:val="18"/>
          <w:szCs w:val="18"/>
        </w:rPr>
        <w:t xml:space="preserve"> </w:t>
      </w:r>
      <w:r>
        <w:rPr>
          <w:b/>
          <w:bCs/>
          <w:spacing w:val="-3"/>
          <w:sz w:val="18"/>
          <w:szCs w:val="18"/>
        </w:rPr>
        <w:t>：</w:t>
      </w:r>
      <w:r>
        <w:rPr>
          <w:spacing w:val="-3"/>
          <w:sz w:val="18"/>
          <w:szCs w:val="18"/>
        </w:rPr>
        <w:t>100084</w:t>
      </w:r>
    </w:p>
    <w:p w14:paraId="280F1360">
      <w:pPr>
        <w:pStyle w:val="2"/>
        <w:spacing w:before="25" w:line="223" w:lineRule="auto"/>
        <w:ind w:left="902"/>
        <w:rPr>
          <w:sz w:val="18"/>
          <w:szCs w:val="18"/>
        </w:rPr>
      </w:pPr>
      <w:r>
        <w:rPr>
          <w:b/>
          <w:bCs/>
          <w:spacing w:val="-2"/>
          <w:sz w:val="18"/>
          <w:szCs w:val="18"/>
        </w:rPr>
        <w:t>社</w:t>
      </w:r>
      <w:r>
        <w:rPr>
          <w:spacing w:val="-2"/>
          <w:sz w:val="18"/>
          <w:szCs w:val="18"/>
        </w:rPr>
        <w:t xml:space="preserve"> </w:t>
      </w:r>
      <w:r>
        <w:rPr>
          <w:b/>
          <w:bCs/>
          <w:spacing w:val="-2"/>
          <w:sz w:val="18"/>
          <w:szCs w:val="18"/>
        </w:rPr>
        <w:t>总</w:t>
      </w:r>
      <w:r>
        <w:rPr>
          <w:spacing w:val="-2"/>
          <w:sz w:val="18"/>
          <w:szCs w:val="18"/>
        </w:rPr>
        <w:t xml:space="preserve"> </w:t>
      </w:r>
      <w:r>
        <w:rPr>
          <w:b/>
          <w:bCs/>
          <w:spacing w:val="-2"/>
          <w:sz w:val="18"/>
          <w:szCs w:val="18"/>
        </w:rPr>
        <w:t>机</w:t>
      </w:r>
      <w:r>
        <w:rPr>
          <w:spacing w:val="-2"/>
          <w:sz w:val="18"/>
          <w:szCs w:val="18"/>
        </w:rPr>
        <w:t xml:space="preserve"> </w:t>
      </w:r>
      <w:r>
        <w:rPr>
          <w:b/>
          <w:bCs/>
          <w:spacing w:val="-2"/>
          <w:sz w:val="18"/>
          <w:szCs w:val="18"/>
        </w:rPr>
        <w:t>：</w:t>
      </w:r>
      <w:r>
        <w:rPr>
          <w:rFonts w:ascii="Times New Roman" w:hAnsi="Times New Roman" w:eastAsia="Times New Roman" w:cs="Times New Roman"/>
          <w:spacing w:val="-2"/>
          <w:sz w:val="18"/>
          <w:szCs w:val="18"/>
        </w:rPr>
        <w:t xml:space="preserve">010-83470000                                              </w:t>
      </w:r>
      <w:r>
        <w:rPr>
          <w:rFonts w:ascii="Times New Roman" w:hAnsi="Times New Roman" w:eastAsia="Times New Roman" w:cs="Times New Roman"/>
          <w:spacing w:val="-3"/>
          <w:sz w:val="18"/>
          <w:szCs w:val="18"/>
        </w:rPr>
        <w:t xml:space="preserve">     </w:t>
      </w:r>
      <w:r>
        <w:rPr>
          <w:spacing w:val="-3"/>
          <w:sz w:val="18"/>
          <w:szCs w:val="18"/>
        </w:rPr>
        <w:t>邮    购：010-62786544</w:t>
      </w:r>
    </w:p>
    <w:p w14:paraId="5CB9578D">
      <w:pPr>
        <w:pStyle w:val="2"/>
        <w:spacing w:before="56" w:line="234" w:lineRule="auto"/>
        <w:ind w:left="902" w:right="2377"/>
        <w:rPr>
          <w:rFonts w:ascii="Times New Roman" w:hAnsi="Times New Roman" w:eastAsia="Times New Roman" w:cs="Times New Roman"/>
          <w:sz w:val="18"/>
          <w:szCs w:val="18"/>
        </w:rPr>
      </w:pPr>
      <w:r>
        <w:rPr>
          <w:b/>
          <w:bCs/>
          <w:spacing w:val="-1"/>
          <w:sz w:val="18"/>
          <w:szCs w:val="18"/>
        </w:rPr>
        <w:t>投稿与读者服务：</w:t>
      </w:r>
      <w:r>
        <w:rPr>
          <w:rFonts w:ascii="Times New Roman" w:hAnsi="Times New Roman" w:eastAsia="Times New Roman" w:cs="Times New Roman"/>
          <w:spacing w:val="-1"/>
          <w:sz w:val="18"/>
          <w:szCs w:val="18"/>
        </w:rPr>
        <w:t>010-62776969,   c-service@tup.tsinghua.edu.cn</w:t>
      </w:r>
      <w:r>
        <w:rPr>
          <w:rFonts w:ascii="Times New Roman" w:hAnsi="Times New Roman" w:eastAsia="Times New Roman" w:cs="Times New Roman"/>
          <w:spacing w:val="6"/>
          <w:sz w:val="18"/>
          <w:szCs w:val="18"/>
        </w:rPr>
        <w:t xml:space="preserve"> </w:t>
      </w:r>
      <w:r>
        <w:rPr>
          <w:b/>
          <w:bCs/>
          <w:spacing w:val="-2"/>
          <w:sz w:val="18"/>
          <w:szCs w:val="18"/>
        </w:rPr>
        <w:t>质</w:t>
      </w:r>
      <w:r>
        <w:rPr>
          <w:spacing w:val="-2"/>
          <w:sz w:val="18"/>
          <w:szCs w:val="18"/>
        </w:rPr>
        <w:t xml:space="preserve"> </w:t>
      </w:r>
      <w:r>
        <w:rPr>
          <w:b/>
          <w:bCs/>
          <w:spacing w:val="-2"/>
          <w:sz w:val="18"/>
          <w:szCs w:val="18"/>
        </w:rPr>
        <w:t>量</w:t>
      </w:r>
      <w:r>
        <w:rPr>
          <w:spacing w:val="18"/>
          <w:sz w:val="18"/>
          <w:szCs w:val="18"/>
        </w:rPr>
        <w:t xml:space="preserve"> </w:t>
      </w:r>
      <w:r>
        <w:rPr>
          <w:b/>
          <w:bCs/>
          <w:spacing w:val="-2"/>
          <w:sz w:val="18"/>
          <w:szCs w:val="18"/>
        </w:rPr>
        <w:t>反</w:t>
      </w:r>
      <w:r>
        <w:rPr>
          <w:spacing w:val="9"/>
          <w:sz w:val="18"/>
          <w:szCs w:val="18"/>
        </w:rPr>
        <w:t xml:space="preserve">   </w:t>
      </w:r>
      <w:r>
        <w:rPr>
          <w:b/>
          <w:bCs/>
          <w:spacing w:val="-2"/>
          <w:sz w:val="18"/>
          <w:szCs w:val="18"/>
        </w:rPr>
        <w:t>馈</w:t>
      </w:r>
      <w:r>
        <w:rPr>
          <w:spacing w:val="-2"/>
          <w:sz w:val="18"/>
          <w:szCs w:val="18"/>
        </w:rPr>
        <w:t xml:space="preserve"> </w:t>
      </w:r>
      <w:r>
        <w:rPr>
          <w:b/>
          <w:bCs/>
          <w:spacing w:val="-2"/>
          <w:sz w:val="18"/>
          <w:szCs w:val="18"/>
        </w:rPr>
        <w:t>：</w:t>
      </w:r>
      <w:r>
        <w:rPr>
          <w:rFonts w:ascii="Times New Roman" w:hAnsi="Times New Roman" w:eastAsia="Times New Roman" w:cs="Times New Roman"/>
          <w:spacing w:val="-2"/>
          <w:sz w:val="18"/>
          <w:szCs w:val="18"/>
        </w:rPr>
        <w:t>010-62772015,    zhiliang@tup</w:t>
      </w:r>
      <w:r>
        <w:rPr>
          <w:rFonts w:ascii="Times New Roman" w:hAnsi="Times New Roman" w:eastAsia="Times New Roman" w:cs="Times New Roman"/>
          <w:spacing w:val="-3"/>
          <w:sz w:val="18"/>
          <w:szCs w:val="18"/>
        </w:rPr>
        <w:t>.tsinghua.edu.cn</w:t>
      </w:r>
    </w:p>
    <w:p w14:paraId="4E4F5DF5">
      <w:pPr>
        <w:pStyle w:val="2"/>
        <w:spacing w:before="54" w:line="232" w:lineRule="auto"/>
        <w:ind w:left="2" w:right="5064"/>
        <w:rPr>
          <w:sz w:val="18"/>
          <w:szCs w:val="18"/>
        </w:rPr>
      </w:pPr>
      <w:r>
        <w:rPr>
          <w:rFonts w:ascii="黑体" w:hAnsi="黑体" w:eastAsia="黑体" w:cs="黑体"/>
          <w:b/>
          <w:bCs/>
          <w:spacing w:val="-3"/>
          <w:sz w:val="18"/>
          <w:szCs w:val="18"/>
        </w:rPr>
        <w:t>印</w:t>
      </w:r>
      <w:r>
        <w:rPr>
          <w:rFonts w:ascii="黑体" w:hAnsi="黑体" w:eastAsia="黑体" w:cs="黑体"/>
          <w:spacing w:val="28"/>
          <w:sz w:val="18"/>
          <w:szCs w:val="18"/>
        </w:rPr>
        <w:t xml:space="preserve"> </w:t>
      </w:r>
      <w:r>
        <w:rPr>
          <w:rFonts w:ascii="黑体" w:hAnsi="黑体" w:eastAsia="黑体" w:cs="黑体"/>
          <w:b/>
          <w:bCs/>
          <w:spacing w:val="-3"/>
          <w:sz w:val="18"/>
          <w:szCs w:val="18"/>
        </w:rPr>
        <w:t>装</w:t>
      </w:r>
      <w:r>
        <w:rPr>
          <w:rFonts w:ascii="黑体" w:hAnsi="黑体" w:eastAsia="黑体" w:cs="黑体"/>
          <w:spacing w:val="23"/>
          <w:sz w:val="18"/>
          <w:szCs w:val="18"/>
        </w:rPr>
        <w:t xml:space="preserve"> </w:t>
      </w:r>
      <w:r>
        <w:rPr>
          <w:rFonts w:ascii="黑体" w:hAnsi="黑体" w:eastAsia="黑体" w:cs="黑体"/>
          <w:b/>
          <w:bCs/>
          <w:spacing w:val="-3"/>
          <w:sz w:val="18"/>
          <w:szCs w:val="18"/>
        </w:rPr>
        <w:t>者</w:t>
      </w:r>
      <w:r>
        <w:rPr>
          <w:b/>
          <w:bCs/>
          <w:spacing w:val="-3"/>
          <w:sz w:val="18"/>
          <w:szCs w:val="18"/>
        </w:rPr>
        <w:t>：</w:t>
      </w:r>
      <w:r>
        <w:rPr>
          <w:spacing w:val="-3"/>
          <w:sz w:val="18"/>
          <w:szCs w:val="18"/>
        </w:rPr>
        <w:t>涿州汇美亿浓印刷有限公司</w:t>
      </w:r>
      <w:r>
        <w:rPr>
          <w:sz w:val="18"/>
          <w:szCs w:val="18"/>
        </w:rPr>
        <w:t xml:space="preserve"> </w:t>
      </w:r>
      <w:r>
        <w:rPr>
          <w:b/>
          <w:bCs/>
          <w:spacing w:val="-3"/>
          <w:sz w:val="18"/>
          <w:szCs w:val="18"/>
        </w:rPr>
        <w:t>经</w:t>
      </w:r>
      <w:r>
        <w:rPr>
          <w:spacing w:val="-3"/>
          <w:sz w:val="18"/>
          <w:szCs w:val="18"/>
        </w:rPr>
        <w:t xml:space="preserve">    </w:t>
      </w:r>
      <w:r>
        <w:rPr>
          <w:b/>
          <w:bCs/>
          <w:spacing w:val="-3"/>
          <w:sz w:val="18"/>
          <w:szCs w:val="18"/>
        </w:rPr>
        <w:t>销</w:t>
      </w:r>
      <w:r>
        <w:rPr>
          <w:spacing w:val="-41"/>
          <w:sz w:val="18"/>
          <w:szCs w:val="18"/>
        </w:rPr>
        <w:t xml:space="preserve"> </w:t>
      </w:r>
      <w:r>
        <w:rPr>
          <w:b/>
          <w:bCs/>
          <w:spacing w:val="-3"/>
          <w:sz w:val="18"/>
          <w:szCs w:val="18"/>
        </w:rPr>
        <w:t>：</w:t>
      </w:r>
      <w:r>
        <w:rPr>
          <w:spacing w:val="-3"/>
          <w:sz w:val="18"/>
          <w:szCs w:val="18"/>
        </w:rPr>
        <w:t>全国新华书店</w:t>
      </w:r>
    </w:p>
    <w:p w14:paraId="3C11B398">
      <w:pPr>
        <w:pStyle w:val="2"/>
        <w:spacing w:before="35" w:line="232" w:lineRule="auto"/>
        <w:ind w:left="2"/>
        <w:rPr>
          <w:sz w:val="18"/>
          <w:szCs w:val="18"/>
        </w:rPr>
      </w:pPr>
      <w:r>
        <w:rPr>
          <w:b/>
          <w:bCs/>
          <w:spacing w:val="-1"/>
          <w:sz w:val="18"/>
          <w:szCs w:val="18"/>
        </w:rPr>
        <w:t>开</w:t>
      </w:r>
      <w:r>
        <w:rPr>
          <w:spacing w:val="-1"/>
          <w:sz w:val="18"/>
          <w:szCs w:val="18"/>
        </w:rPr>
        <w:t xml:space="preserve">    </w:t>
      </w:r>
      <w:r>
        <w:rPr>
          <w:b/>
          <w:bCs/>
          <w:spacing w:val="-1"/>
          <w:sz w:val="18"/>
          <w:szCs w:val="18"/>
        </w:rPr>
        <w:t>本</w:t>
      </w:r>
      <w:r>
        <w:rPr>
          <w:spacing w:val="-46"/>
          <w:sz w:val="18"/>
          <w:szCs w:val="18"/>
        </w:rPr>
        <w:t xml:space="preserve"> </w:t>
      </w:r>
      <w:r>
        <w:rPr>
          <w:b/>
          <w:bCs/>
          <w:spacing w:val="-1"/>
          <w:sz w:val="18"/>
          <w:szCs w:val="18"/>
        </w:rPr>
        <w:t>：</w:t>
      </w:r>
      <w:r>
        <w:rPr>
          <w:rFonts w:ascii="Times New Roman" w:hAnsi="Times New Roman" w:eastAsia="Times New Roman" w:cs="Times New Roman"/>
          <w:spacing w:val="-1"/>
          <w:sz w:val="18"/>
          <w:szCs w:val="18"/>
        </w:rPr>
        <w:t>185</w:t>
      </w:r>
      <w:r>
        <w:rPr>
          <w:rFonts w:ascii="Times New Roman" w:hAnsi="Times New Roman" w:eastAsia="Times New Roman" w:cs="Times New Roman"/>
          <w:spacing w:val="-24"/>
          <w:sz w:val="18"/>
          <w:szCs w:val="18"/>
        </w:rPr>
        <w:t xml:space="preserve"> </w:t>
      </w:r>
      <w:r>
        <w:rPr>
          <w:rFonts w:ascii="Times New Roman" w:hAnsi="Times New Roman" w:eastAsia="Times New Roman" w:cs="Times New Roman"/>
          <w:spacing w:val="-1"/>
          <w:sz w:val="18"/>
          <w:szCs w:val="18"/>
        </w:rPr>
        <w:t xml:space="preserve">mm×230mm                  </w:t>
      </w:r>
      <w:r>
        <w:rPr>
          <w:spacing w:val="-1"/>
          <w:sz w:val="18"/>
          <w:szCs w:val="18"/>
        </w:rPr>
        <w:t>印</w:t>
      </w:r>
      <w:r>
        <w:rPr>
          <w:spacing w:val="29"/>
          <w:sz w:val="18"/>
          <w:szCs w:val="18"/>
        </w:rPr>
        <w:t xml:space="preserve"> </w:t>
      </w:r>
      <w:r>
        <w:rPr>
          <w:spacing w:val="-1"/>
          <w:sz w:val="18"/>
          <w:szCs w:val="18"/>
        </w:rPr>
        <w:t>张：38.75</w:t>
      </w:r>
      <w:r>
        <w:rPr>
          <w:spacing w:val="2"/>
          <w:sz w:val="18"/>
          <w:szCs w:val="18"/>
        </w:rPr>
        <w:t xml:space="preserve">           </w:t>
      </w:r>
      <w:r>
        <w:rPr>
          <w:b/>
          <w:bCs/>
          <w:spacing w:val="-1"/>
          <w:sz w:val="18"/>
          <w:szCs w:val="18"/>
        </w:rPr>
        <w:t>防伪页：</w:t>
      </w:r>
      <w:r>
        <w:rPr>
          <w:spacing w:val="-1"/>
          <w:sz w:val="18"/>
          <w:szCs w:val="18"/>
        </w:rPr>
        <w:t xml:space="preserve">1 </w:t>
      </w:r>
      <w:r>
        <w:rPr>
          <w:spacing w:val="-2"/>
          <w:sz w:val="18"/>
          <w:szCs w:val="18"/>
        </w:rPr>
        <w:t xml:space="preserve">   </w:t>
      </w:r>
      <w:r>
        <w:rPr>
          <w:b/>
          <w:bCs/>
          <w:spacing w:val="-2"/>
          <w:sz w:val="18"/>
          <w:szCs w:val="18"/>
        </w:rPr>
        <w:t>字</w:t>
      </w:r>
      <w:r>
        <w:rPr>
          <w:spacing w:val="12"/>
          <w:sz w:val="18"/>
          <w:szCs w:val="18"/>
        </w:rPr>
        <w:t xml:space="preserve">  </w:t>
      </w:r>
      <w:r>
        <w:rPr>
          <w:b/>
          <w:bCs/>
          <w:spacing w:val="-2"/>
          <w:sz w:val="18"/>
          <w:szCs w:val="18"/>
        </w:rPr>
        <w:t>数</w:t>
      </w:r>
      <w:r>
        <w:rPr>
          <w:spacing w:val="-42"/>
          <w:sz w:val="18"/>
          <w:szCs w:val="18"/>
        </w:rPr>
        <w:t xml:space="preserve"> </w:t>
      </w:r>
      <w:r>
        <w:rPr>
          <w:b/>
          <w:bCs/>
          <w:spacing w:val="-2"/>
          <w:sz w:val="18"/>
          <w:szCs w:val="18"/>
        </w:rPr>
        <w:t>：</w:t>
      </w:r>
      <w:r>
        <w:rPr>
          <w:rFonts w:ascii="黑体" w:hAnsi="黑体" w:eastAsia="黑体" w:cs="黑体"/>
          <w:spacing w:val="-2"/>
          <w:sz w:val="18"/>
          <w:szCs w:val="18"/>
        </w:rPr>
        <w:t>121</w:t>
      </w:r>
      <w:r>
        <w:rPr>
          <w:spacing w:val="-2"/>
          <w:sz w:val="18"/>
          <w:szCs w:val="18"/>
        </w:rPr>
        <w:t>5千字</w:t>
      </w:r>
    </w:p>
    <w:p w14:paraId="5FDC483A">
      <w:pPr>
        <w:pStyle w:val="2"/>
        <w:spacing w:before="24" w:line="232" w:lineRule="auto"/>
        <w:ind w:left="2"/>
        <w:rPr>
          <w:sz w:val="18"/>
          <w:szCs w:val="18"/>
        </w:rPr>
      </w:pPr>
      <w:r>
        <w:rPr>
          <w:b/>
          <w:bCs/>
          <w:spacing w:val="18"/>
          <w:sz w:val="18"/>
          <w:szCs w:val="18"/>
        </w:rPr>
        <w:t>版</w:t>
      </w:r>
      <w:r>
        <w:rPr>
          <w:spacing w:val="30"/>
          <w:sz w:val="18"/>
          <w:szCs w:val="18"/>
        </w:rPr>
        <w:t xml:space="preserve">   </w:t>
      </w:r>
      <w:r>
        <w:rPr>
          <w:b/>
          <w:bCs/>
          <w:spacing w:val="18"/>
          <w:sz w:val="18"/>
          <w:szCs w:val="18"/>
        </w:rPr>
        <w:t>次：</w:t>
      </w:r>
      <w:r>
        <w:rPr>
          <w:spacing w:val="18"/>
          <w:sz w:val="18"/>
          <w:szCs w:val="18"/>
        </w:rPr>
        <w:t>2005年3月第1版</w:t>
      </w:r>
      <w:r>
        <w:rPr>
          <w:spacing w:val="2"/>
          <w:sz w:val="18"/>
          <w:szCs w:val="18"/>
        </w:rPr>
        <w:t xml:space="preserve">     </w:t>
      </w:r>
      <w:r>
        <w:rPr>
          <w:spacing w:val="18"/>
          <w:sz w:val="18"/>
          <w:szCs w:val="18"/>
        </w:rPr>
        <w:t>2024年1月第2版</w:t>
      </w:r>
      <w:r>
        <w:rPr>
          <w:spacing w:val="7"/>
          <w:sz w:val="18"/>
          <w:szCs w:val="18"/>
        </w:rPr>
        <w:t xml:space="preserve">       </w:t>
      </w:r>
      <w:r>
        <w:rPr>
          <w:b/>
          <w:bCs/>
          <w:spacing w:val="18"/>
          <w:sz w:val="18"/>
          <w:szCs w:val="18"/>
        </w:rPr>
        <w:t>印</w:t>
      </w:r>
      <w:r>
        <w:rPr>
          <w:spacing w:val="18"/>
          <w:sz w:val="18"/>
          <w:szCs w:val="18"/>
        </w:rPr>
        <w:t xml:space="preserve">  </w:t>
      </w:r>
      <w:r>
        <w:rPr>
          <w:b/>
          <w:bCs/>
          <w:spacing w:val="18"/>
          <w:sz w:val="18"/>
          <w:szCs w:val="18"/>
        </w:rPr>
        <w:t>次：</w:t>
      </w:r>
      <w:r>
        <w:rPr>
          <w:spacing w:val="18"/>
          <w:sz w:val="18"/>
          <w:szCs w:val="18"/>
        </w:rPr>
        <w:t>2024年1月第1次印刷</w:t>
      </w:r>
    </w:p>
    <w:p w14:paraId="6EAE8DCB">
      <w:pPr>
        <w:pStyle w:val="2"/>
        <w:spacing w:before="23" w:line="222" w:lineRule="auto"/>
        <w:ind w:left="2"/>
        <w:rPr>
          <w:sz w:val="18"/>
          <w:szCs w:val="18"/>
        </w:rPr>
      </w:pPr>
      <w:r>
        <w:rPr>
          <w:b/>
          <w:bCs/>
          <w:sz w:val="18"/>
          <w:szCs w:val="18"/>
        </w:rPr>
        <w:t>定</w:t>
      </w:r>
      <w:r>
        <w:rPr>
          <w:sz w:val="18"/>
          <w:szCs w:val="18"/>
        </w:rPr>
        <w:t xml:space="preserve">    </w:t>
      </w:r>
      <w:r>
        <w:rPr>
          <w:rFonts w:ascii="黑体" w:hAnsi="黑体" w:eastAsia="黑体" w:cs="黑体"/>
          <w:b/>
          <w:bCs/>
          <w:sz w:val="18"/>
          <w:szCs w:val="18"/>
        </w:rPr>
        <w:t>价</w:t>
      </w:r>
      <w:r>
        <w:rPr>
          <w:b/>
          <w:bCs/>
          <w:sz w:val="18"/>
          <w:szCs w:val="18"/>
        </w:rPr>
        <w:t>：</w:t>
      </w:r>
      <w:r>
        <w:rPr>
          <w:sz w:val="18"/>
          <w:szCs w:val="18"/>
        </w:rPr>
        <w:t>139.00元</w:t>
      </w:r>
    </w:p>
    <w:p w14:paraId="35E840E9">
      <w:pPr>
        <w:spacing w:line="247" w:lineRule="auto"/>
        <w:rPr>
          <w:rFonts w:ascii="Arial"/>
          <w:sz w:val="21"/>
        </w:rPr>
      </w:pPr>
      <w:r>
        <w:drawing>
          <wp:anchor distT="0" distB="0" distL="0" distR="0" simplePos="0" relativeHeight="251666432" behindDoc="0" locked="0" layoutInCell="1" allowOverlap="1">
            <wp:simplePos x="0" y="0"/>
            <wp:positionH relativeFrom="column">
              <wp:posOffset>0</wp:posOffset>
            </wp:positionH>
            <wp:positionV relativeFrom="paragraph">
              <wp:posOffset>82550</wp:posOffset>
            </wp:positionV>
            <wp:extent cx="5080000" cy="63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8"/>
                    <a:stretch>
                      <a:fillRect/>
                    </a:stretch>
                  </pic:blipFill>
                  <pic:spPr>
                    <a:xfrm>
                      <a:off x="0" y="0"/>
                      <a:ext cx="5080043" cy="6386"/>
                    </a:xfrm>
                    <a:prstGeom prst="rect">
                      <a:avLst/>
                    </a:prstGeom>
                  </pic:spPr>
                </pic:pic>
              </a:graphicData>
            </a:graphic>
          </wp:anchor>
        </w:drawing>
      </w:r>
    </w:p>
    <w:p w14:paraId="6D80BD07">
      <w:pPr>
        <w:pStyle w:val="2"/>
        <w:spacing w:before="59" w:line="219" w:lineRule="auto"/>
        <w:rPr>
          <w:sz w:val="18"/>
          <w:szCs w:val="18"/>
        </w:rPr>
      </w:pPr>
      <w:r>
        <w:rPr>
          <w:spacing w:val="-1"/>
          <w:sz w:val="18"/>
          <w:szCs w:val="18"/>
        </w:rPr>
        <w:t>产品编号：103766-01</w:t>
      </w:r>
    </w:p>
    <w:p w14:paraId="15E7B6CA">
      <w:pPr>
        <w:spacing w:line="219" w:lineRule="auto"/>
        <w:rPr>
          <w:sz w:val="18"/>
          <w:szCs w:val="18"/>
        </w:rPr>
        <w:sectPr>
          <w:pgSz w:w="10190" w:h="13410"/>
          <w:pgMar w:top="400" w:right="1140" w:bottom="400" w:left="909" w:header="0" w:footer="0" w:gutter="0"/>
          <w:cols w:space="720" w:num="1"/>
        </w:sectPr>
      </w:pPr>
    </w:p>
    <w:p w14:paraId="21BAE823">
      <w:pPr>
        <w:spacing w:line="281" w:lineRule="auto"/>
        <w:rPr>
          <w:rFonts w:ascii="Arial"/>
          <w:sz w:val="21"/>
        </w:rPr>
      </w:pPr>
    </w:p>
    <w:p w14:paraId="75AB13E2">
      <w:pPr>
        <w:spacing w:line="281" w:lineRule="auto"/>
        <w:rPr>
          <w:rFonts w:ascii="Arial"/>
          <w:sz w:val="21"/>
        </w:rPr>
      </w:pPr>
    </w:p>
    <w:p w14:paraId="2FE00F28">
      <w:pPr>
        <w:spacing w:line="282" w:lineRule="auto"/>
        <w:rPr>
          <w:rFonts w:ascii="Arial"/>
          <w:sz w:val="21"/>
        </w:rPr>
      </w:pPr>
    </w:p>
    <w:p w14:paraId="4DEDFD03">
      <w:pPr>
        <w:spacing w:before="120" w:line="222" w:lineRule="auto"/>
        <w:ind w:left="3595"/>
        <w:rPr>
          <w:rFonts w:ascii="黑体" w:hAnsi="黑体" w:eastAsia="黑体" w:cs="黑体"/>
          <w:sz w:val="37"/>
          <w:szCs w:val="37"/>
        </w:rPr>
      </w:pPr>
      <w:r>
        <w:rPr>
          <w:rFonts w:ascii="黑体" w:hAnsi="黑体" w:eastAsia="黑体" w:cs="黑体"/>
          <w:b/>
          <w:bCs/>
          <w:color w:val="0072E5"/>
          <w:spacing w:val="-12"/>
          <w:sz w:val="37"/>
          <w:szCs w:val="37"/>
        </w:rPr>
        <w:t>前</w:t>
      </w:r>
      <w:r>
        <w:rPr>
          <w:rFonts w:ascii="黑体" w:hAnsi="黑体" w:eastAsia="黑体" w:cs="黑体"/>
          <w:color w:val="0072E5"/>
          <w:spacing w:val="22"/>
          <w:sz w:val="37"/>
          <w:szCs w:val="37"/>
        </w:rPr>
        <w:t xml:space="preserve">  </w:t>
      </w:r>
      <w:r>
        <w:rPr>
          <w:rFonts w:ascii="黑体" w:hAnsi="黑体" w:eastAsia="黑体" w:cs="黑体"/>
          <w:b/>
          <w:bCs/>
          <w:color w:val="0072E5"/>
          <w:spacing w:val="-12"/>
          <w:sz w:val="37"/>
          <w:szCs w:val="37"/>
        </w:rPr>
        <w:t>言</w:t>
      </w:r>
    </w:p>
    <w:p w14:paraId="1D0DF72B">
      <w:pPr>
        <w:spacing w:line="353" w:lineRule="auto"/>
        <w:rPr>
          <w:rFonts w:ascii="Arial"/>
          <w:sz w:val="21"/>
        </w:rPr>
      </w:pPr>
    </w:p>
    <w:p w14:paraId="5E061DDA">
      <w:pPr>
        <w:spacing w:line="353" w:lineRule="auto"/>
        <w:rPr>
          <w:rFonts w:ascii="Arial"/>
          <w:sz w:val="21"/>
        </w:rPr>
      </w:pPr>
    </w:p>
    <w:p w14:paraId="09869FF8">
      <w:pPr>
        <w:pStyle w:val="2"/>
        <w:spacing w:before="65" w:line="282" w:lineRule="auto"/>
        <w:ind w:right="84" w:firstLine="400"/>
        <w:jc w:val="both"/>
        <w:rPr>
          <w:sz w:val="20"/>
          <w:szCs w:val="20"/>
        </w:rPr>
      </w:pPr>
      <w:r>
        <w:rPr>
          <w:spacing w:val="3"/>
          <w:sz w:val="20"/>
          <w:szCs w:val="20"/>
        </w:rPr>
        <w:t>信息系统工程项目在我国信息化建设中发挥着重要作用。为了保证</w:t>
      </w:r>
      <w:r>
        <w:rPr>
          <w:spacing w:val="2"/>
          <w:sz w:val="20"/>
          <w:szCs w:val="20"/>
        </w:rPr>
        <w:t>信息系统工程项目在规</w:t>
      </w:r>
      <w:r>
        <w:rPr>
          <w:sz w:val="20"/>
          <w:szCs w:val="20"/>
        </w:rPr>
        <w:t xml:space="preserve"> </w:t>
      </w:r>
      <w:r>
        <w:rPr>
          <w:spacing w:val="3"/>
          <w:sz w:val="20"/>
          <w:szCs w:val="20"/>
        </w:rPr>
        <w:t>划、招投标、设计、实施、验收、运行维护全过程中能按时</w:t>
      </w:r>
      <w:r>
        <w:rPr>
          <w:spacing w:val="2"/>
          <w:sz w:val="20"/>
          <w:szCs w:val="20"/>
        </w:rPr>
        <w:t>、保质保量建设并运行，信息系统</w:t>
      </w:r>
      <w:r>
        <w:rPr>
          <w:sz w:val="20"/>
          <w:szCs w:val="20"/>
        </w:rPr>
        <w:t xml:space="preserve"> </w:t>
      </w:r>
      <w:r>
        <w:rPr>
          <w:spacing w:val="3"/>
          <w:sz w:val="20"/>
          <w:szCs w:val="20"/>
        </w:rPr>
        <w:t>工程监理行业应运而生。与土木建筑行业监理一样，信息系统工程监理也需</w:t>
      </w:r>
      <w:r>
        <w:rPr>
          <w:spacing w:val="2"/>
          <w:sz w:val="20"/>
          <w:szCs w:val="20"/>
        </w:rPr>
        <w:t>要掌握专业技术和</w:t>
      </w:r>
      <w:r>
        <w:rPr>
          <w:sz w:val="20"/>
          <w:szCs w:val="20"/>
        </w:rPr>
        <w:t xml:space="preserve"> </w:t>
      </w:r>
      <w:r>
        <w:rPr>
          <w:spacing w:val="3"/>
          <w:sz w:val="20"/>
          <w:szCs w:val="20"/>
        </w:rPr>
        <w:t>相关的法律法规，而信息系统监理师由于行业本身的特</w:t>
      </w:r>
      <w:r>
        <w:rPr>
          <w:spacing w:val="2"/>
          <w:sz w:val="20"/>
          <w:szCs w:val="20"/>
        </w:rPr>
        <w:t>殊性，还需要掌握信息技术领域的专业</w:t>
      </w:r>
      <w:r>
        <w:rPr>
          <w:sz w:val="20"/>
          <w:szCs w:val="20"/>
        </w:rPr>
        <w:t xml:space="preserve"> </w:t>
      </w:r>
      <w:r>
        <w:rPr>
          <w:spacing w:val="3"/>
          <w:sz w:val="20"/>
          <w:szCs w:val="20"/>
        </w:rPr>
        <w:t>技术和相关法律法规要求。我国颁布了一系列重要政策文件，明确在</w:t>
      </w:r>
      <w:r>
        <w:rPr>
          <w:spacing w:val="2"/>
          <w:sz w:val="20"/>
          <w:szCs w:val="20"/>
        </w:rPr>
        <w:t>信息化工程建设中实施信</w:t>
      </w:r>
      <w:r>
        <w:rPr>
          <w:sz w:val="20"/>
          <w:szCs w:val="20"/>
        </w:rPr>
        <w:t xml:space="preserve"> </w:t>
      </w:r>
      <w:r>
        <w:rPr>
          <w:spacing w:val="3"/>
          <w:sz w:val="20"/>
          <w:szCs w:val="20"/>
        </w:rPr>
        <w:t>息系统工程监理的制度，对规范我国信息系统工程建</w:t>
      </w:r>
      <w:r>
        <w:rPr>
          <w:spacing w:val="2"/>
          <w:sz w:val="20"/>
          <w:szCs w:val="20"/>
        </w:rPr>
        <w:t>设、投资和管理水平，保障信息系统工程</w:t>
      </w:r>
      <w:r>
        <w:rPr>
          <w:sz w:val="20"/>
          <w:szCs w:val="20"/>
        </w:rPr>
        <w:t xml:space="preserve"> </w:t>
      </w:r>
      <w:r>
        <w:rPr>
          <w:spacing w:val="-3"/>
          <w:sz w:val="20"/>
          <w:szCs w:val="20"/>
        </w:rPr>
        <w:t>建设有效、持续、快速发展具有重要意义。</w:t>
      </w:r>
    </w:p>
    <w:p w14:paraId="0697C76A">
      <w:pPr>
        <w:pStyle w:val="2"/>
        <w:spacing w:before="76" w:line="282" w:lineRule="auto"/>
        <w:ind w:right="72" w:firstLine="400"/>
        <w:jc w:val="both"/>
        <w:rPr>
          <w:sz w:val="20"/>
          <w:szCs w:val="20"/>
        </w:rPr>
      </w:pPr>
      <w:r>
        <w:rPr>
          <w:spacing w:val="-1"/>
          <w:sz w:val="20"/>
          <w:szCs w:val="20"/>
        </w:rPr>
        <w:t>我国信息系统工程监理行业从2002年开始，历经20多年的发展。2011年，</w:t>
      </w:r>
      <w:r>
        <w:rPr>
          <w:rFonts w:ascii="Times New Roman" w:hAnsi="Times New Roman" w:eastAsia="Times New Roman" w:cs="Times New Roman"/>
          <w:spacing w:val="-2"/>
          <w:sz w:val="20"/>
          <w:szCs w:val="20"/>
        </w:rPr>
        <w:t>GB/T</w:t>
      </w:r>
      <w:r>
        <w:rPr>
          <w:rFonts w:ascii="Times New Roman" w:hAnsi="Times New Roman" w:eastAsia="Times New Roman" w:cs="Times New Roman"/>
          <w:spacing w:val="45"/>
          <w:sz w:val="20"/>
          <w:szCs w:val="20"/>
        </w:rPr>
        <w:t xml:space="preserve"> </w:t>
      </w:r>
      <w:r>
        <w:rPr>
          <w:rFonts w:ascii="Times New Roman" w:hAnsi="Times New Roman" w:eastAsia="Times New Roman" w:cs="Times New Roman"/>
          <w:spacing w:val="-2"/>
          <w:sz w:val="20"/>
          <w:szCs w:val="20"/>
        </w:rPr>
        <w:t>4754</w:t>
      </w:r>
      <w:r>
        <w:rPr>
          <w:spacing w:val="-2"/>
          <w:sz w:val="20"/>
          <w:szCs w:val="20"/>
        </w:rPr>
        <w:t>《国民</w:t>
      </w:r>
      <w:r>
        <w:rPr>
          <w:sz w:val="20"/>
          <w:szCs w:val="20"/>
        </w:rPr>
        <w:t xml:space="preserve"> </w:t>
      </w:r>
      <w:r>
        <w:rPr>
          <w:spacing w:val="7"/>
          <w:sz w:val="20"/>
          <w:szCs w:val="20"/>
        </w:rPr>
        <w:t>经济行业分类》将信息系统工程监理服务纳入信息技术服务业的范畴。2005年至2007年，我</w:t>
      </w:r>
      <w:r>
        <w:rPr>
          <w:spacing w:val="18"/>
          <w:sz w:val="20"/>
          <w:szCs w:val="20"/>
        </w:rPr>
        <w:t xml:space="preserve"> </w:t>
      </w:r>
      <w:r>
        <w:rPr>
          <w:spacing w:val="3"/>
          <w:sz w:val="20"/>
          <w:szCs w:val="20"/>
        </w:rPr>
        <w:t>国陆续发布了一系列国家标准，2014年对已发布的系列国家标</w:t>
      </w:r>
      <w:r>
        <w:rPr>
          <w:spacing w:val="2"/>
          <w:sz w:val="20"/>
          <w:szCs w:val="20"/>
        </w:rPr>
        <w:t>准</w:t>
      </w:r>
      <w:r>
        <w:rPr>
          <w:rFonts w:ascii="Times New Roman" w:hAnsi="Times New Roman" w:eastAsia="Times New Roman" w:cs="Times New Roman"/>
          <w:sz w:val="20"/>
          <w:szCs w:val="20"/>
        </w:rPr>
        <w:t>GB</w:t>
      </w:r>
      <w:r>
        <w:rPr>
          <w:rFonts w:ascii="Times New Roman" w:hAnsi="Times New Roman" w:eastAsia="Times New Roman" w:cs="Times New Roman"/>
          <w:spacing w:val="2"/>
          <w:sz w:val="20"/>
          <w:szCs w:val="20"/>
        </w:rPr>
        <w:t>/T    19668.1</w:t>
      </w:r>
      <w:r>
        <w:rPr>
          <w:spacing w:val="2"/>
          <w:sz w:val="20"/>
          <w:szCs w:val="20"/>
        </w:rPr>
        <w:t>～</w:t>
      </w:r>
      <w:r>
        <w:rPr>
          <w:rFonts w:ascii="Times New Roman" w:hAnsi="Times New Roman" w:eastAsia="Times New Roman" w:cs="Times New Roman"/>
          <w:spacing w:val="2"/>
          <w:sz w:val="20"/>
          <w:szCs w:val="20"/>
        </w:rPr>
        <w:t>19668.7</w:t>
      </w:r>
      <w:r>
        <w:rPr>
          <w:spacing w:val="2"/>
          <w:sz w:val="20"/>
          <w:szCs w:val="20"/>
        </w:rPr>
        <w:t>《信</w:t>
      </w:r>
      <w:r>
        <w:rPr>
          <w:sz w:val="20"/>
          <w:szCs w:val="20"/>
        </w:rPr>
        <w:t xml:space="preserve"> </w:t>
      </w:r>
      <w:r>
        <w:rPr>
          <w:spacing w:val="8"/>
          <w:sz w:val="20"/>
          <w:szCs w:val="20"/>
        </w:rPr>
        <w:t>息技术服务监理》的第1部分到第7部分各分册进行了修订，</w:t>
      </w:r>
      <w:r>
        <w:rPr>
          <w:spacing w:val="7"/>
          <w:sz w:val="20"/>
          <w:szCs w:val="20"/>
        </w:rPr>
        <w:t>完善了我国信息系统工程监理的</w:t>
      </w:r>
      <w:r>
        <w:rPr>
          <w:sz w:val="20"/>
          <w:szCs w:val="20"/>
        </w:rPr>
        <w:t xml:space="preserve"> </w:t>
      </w:r>
      <w:r>
        <w:rPr>
          <w:spacing w:val="3"/>
          <w:sz w:val="20"/>
          <w:szCs w:val="20"/>
        </w:rPr>
        <w:t>规范体系，确立了信息系统工程监理在我国信息技术服务中的地</w:t>
      </w:r>
      <w:r>
        <w:rPr>
          <w:spacing w:val="2"/>
          <w:sz w:val="20"/>
          <w:szCs w:val="20"/>
        </w:rPr>
        <w:t>位和作用，推动了信息系统工</w:t>
      </w:r>
      <w:r>
        <w:rPr>
          <w:sz w:val="20"/>
          <w:szCs w:val="20"/>
        </w:rPr>
        <w:t xml:space="preserve"> </w:t>
      </w:r>
      <w:r>
        <w:rPr>
          <w:spacing w:val="-1"/>
          <w:sz w:val="20"/>
          <w:szCs w:val="20"/>
        </w:rPr>
        <w:t>程监理工作在全国范围的开展，对我国信息系统工程监理行业的发展起到了规范指导作用。</w:t>
      </w:r>
    </w:p>
    <w:p w14:paraId="18674990">
      <w:pPr>
        <w:pStyle w:val="2"/>
        <w:spacing w:before="62" w:line="281" w:lineRule="auto"/>
        <w:ind w:firstLine="400"/>
        <w:jc w:val="both"/>
        <w:rPr>
          <w:sz w:val="20"/>
          <w:szCs w:val="20"/>
        </w:rPr>
      </w:pPr>
      <w:r>
        <w:rPr>
          <w:spacing w:val="5"/>
          <w:sz w:val="20"/>
          <w:szCs w:val="20"/>
        </w:rPr>
        <w:t>信息系统工程建设具有速度快、专业性强的特点，</w:t>
      </w:r>
      <w:r>
        <w:rPr>
          <w:spacing w:val="4"/>
          <w:sz w:val="20"/>
          <w:szCs w:val="20"/>
        </w:rPr>
        <w:t>在工程的规划、招投标、设计、实施、</w:t>
      </w:r>
      <w:r>
        <w:rPr>
          <w:sz w:val="20"/>
          <w:szCs w:val="20"/>
        </w:rPr>
        <w:t xml:space="preserve"> </w:t>
      </w:r>
      <w:r>
        <w:rPr>
          <w:spacing w:val="3"/>
          <w:sz w:val="20"/>
          <w:szCs w:val="20"/>
        </w:rPr>
        <w:t>验收、运行维护全过程中存在各种问题，为了针对相关问题进行</w:t>
      </w:r>
      <w:r>
        <w:rPr>
          <w:spacing w:val="2"/>
          <w:sz w:val="20"/>
          <w:szCs w:val="20"/>
        </w:rPr>
        <w:t>应对和预防，需要建立一支专</w:t>
      </w:r>
      <w:r>
        <w:rPr>
          <w:sz w:val="20"/>
          <w:szCs w:val="20"/>
        </w:rPr>
        <w:t xml:space="preserve">  </w:t>
      </w:r>
      <w:r>
        <w:rPr>
          <w:spacing w:val="3"/>
          <w:sz w:val="20"/>
          <w:szCs w:val="20"/>
        </w:rPr>
        <w:t>业化的信息系统工程监理队伍，按照标准化的管理流程对工程项目进</w:t>
      </w:r>
      <w:r>
        <w:rPr>
          <w:spacing w:val="2"/>
          <w:sz w:val="20"/>
          <w:szCs w:val="20"/>
        </w:rPr>
        <w:t>行监督管理。随着我国信</w:t>
      </w:r>
      <w:r>
        <w:rPr>
          <w:sz w:val="20"/>
          <w:szCs w:val="20"/>
        </w:rPr>
        <w:t xml:space="preserve">  息系统工程监理行业的不断发展，需要培养更多的具有信息系统工程专业知识的监理从业人</w:t>
      </w:r>
      <w:r>
        <w:rPr>
          <w:spacing w:val="-1"/>
          <w:sz w:val="20"/>
          <w:szCs w:val="20"/>
        </w:rPr>
        <w:t>员。</w:t>
      </w:r>
      <w:r>
        <w:rPr>
          <w:sz w:val="20"/>
          <w:szCs w:val="20"/>
        </w:rPr>
        <w:t xml:space="preserve"> </w:t>
      </w:r>
      <w:r>
        <w:rPr>
          <w:spacing w:val="3"/>
          <w:sz w:val="20"/>
          <w:szCs w:val="20"/>
        </w:rPr>
        <w:t>2003年信息产业部和人事部联合发布文件</w:t>
      </w:r>
      <w:r>
        <w:rPr>
          <w:spacing w:val="2"/>
          <w:sz w:val="20"/>
          <w:szCs w:val="20"/>
        </w:rPr>
        <w:t>，将“信息系统监理师”列入计算机技术与软件专业</w:t>
      </w:r>
      <w:r>
        <w:rPr>
          <w:sz w:val="20"/>
          <w:szCs w:val="20"/>
        </w:rPr>
        <w:t xml:space="preserve">  </w:t>
      </w:r>
      <w:r>
        <w:rPr>
          <w:spacing w:val="9"/>
          <w:sz w:val="20"/>
          <w:szCs w:val="20"/>
        </w:rPr>
        <w:t>技术资格(水平)考试(简称“软考”)。</w:t>
      </w:r>
    </w:p>
    <w:p w14:paraId="5DEED981">
      <w:pPr>
        <w:pStyle w:val="2"/>
        <w:spacing w:before="37" w:line="282" w:lineRule="auto"/>
        <w:ind w:firstLine="400"/>
        <w:jc w:val="both"/>
        <w:rPr>
          <w:sz w:val="20"/>
          <w:szCs w:val="20"/>
        </w:rPr>
      </w:pPr>
      <w:r>
        <w:rPr>
          <w:spacing w:val="1"/>
          <w:sz w:val="20"/>
          <w:szCs w:val="20"/>
        </w:rPr>
        <w:t>2005年，由柳纯录等编写、清华大学出版社出版的《信息系</w:t>
      </w:r>
      <w:r>
        <w:rPr>
          <w:sz w:val="20"/>
          <w:szCs w:val="20"/>
        </w:rPr>
        <w:t xml:space="preserve">统监理师教程》 一书，适应软 </w:t>
      </w:r>
      <w:r>
        <w:rPr>
          <w:spacing w:val="3"/>
          <w:sz w:val="20"/>
          <w:szCs w:val="20"/>
        </w:rPr>
        <w:t>考中级考试的大纲要求，对2005年以来信息系</w:t>
      </w:r>
      <w:r>
        <w:rPr>
          <w:spacing w:val="2"/>
          <w:sz w:val="20"/>
          <w:szCs w:val="20"/>
        </w:rPr>
        <w:t>统监理师的从业能力和水平的提高起到了非常重</w:t>
      </w:r>
      <w:r>
        <w:rPr>
          <w:sz w:val="20"/>
          <w:szCs w:val="20"/>
        </w:rPr>
        <w:t xml:space="preserve">  </w:t>
      </w:r>
      <w:r>
        <w:rPr>
          <w:spacing w:val="8"/>
          <w:sz w:val="20"/>
          <w:szCs w:val="20"/>
        </w:rPr>
        <w:t>要的作用。但由于此书已经出版近20年，近10年来我国信息技术服务行业快速发展，信息系</w:t>
      </w:r>
      <w:r>
        <w:rPr>
          <w:spacing w:val="2"/>
          <w:sz w:val="20"/>
          <w:szCs w:val="20"/>
        </w:rPr>
        <w:t xml:space="preserve"> </w:t>
      </w:r>
      <w:r>
        <w:rPr>
          <w:spacing w:val="3"/>
          <w:sz w:val="20"/>
          <w:szCs w:val="20"/>
        </w:rPr>
        <w:t>统相关法律法规标准和技术也发生了重大变化，为了适应行业和技术的发展，现对该书进行改</w:t>
      </w:r>
      <w:r>
        <w:rPr>
          <w:spacing w:val="4"/>
          <w:sz w:val="20"/>
          <w:szCs w:val="20"/>
        </w:rPr>
        <w:t xml:space="preserve"> </w:t>
      </w:r>
      <w:r>
        <w:rPr>
          <w:sz w:val="20"/>
          <w:szCs w:val="20"/>
        </w:rPr>
        <w:t xml:space="preserve">版。同时，为了便于读者更好地学习、理解并应用信息系统工程监理相关知识，本书分为三篇： </w:t>
      </w:r>
      <w:r>
        <w:rPr>
          <w:spacing w:val="12"/>
          <w:sz w:val="20"/>
          <w:szCs w:val="20"/>
        </w:rPr>
        <w:t>第一篇(第1~7章),介绍了监理从业人员应该了解和熟悉的信息系统工程知识，包括信息与</w:t>
      </w:r>
      <w:r>
        <w:rPr>
          <w:spacing w:val="5"/>
          <w:sz w:val="20"/>
          <w:szCs w:val="20"/>
        </w:rPr>
        <w:t xml:space="preserve">  </w:t>
      </w:r>
      <w:r>
        <w:rPr>
          <w:spacing w:val="3"/>
          <w:sz w:val="20"/>
          <w:szCs w:val="20"/>
        </w:rPr>
        <w:t>信息化、信息系统工程基础知识，以及信息系统工程监理的监理对象，</w:t>
      </w:r>
      <w:r>
        <w:rPr>
          <w:spacing w:val="2"/>
          <w:sz w:val="20"/>
          <w:szCs w:val="20"/>
        </w:rPr>
        <w:t>即信息网络系统、信息</w:t>
      </w:r>
      <w:r>
        <w:rPr>
          <w:sz w:val="20"/>
          <w:szCs w:val="20"/>
        </w:rPr>
        <w:t xml:space="preserve">  </w:t>
      </w:r>
      <w:r>
        <w:rPr>
          <w:spacing w:val="12"/>
          <w:sz w:val="20"/>
          <w:szCs w:val="20"/>
        </w:rPr>
        <w:t>资源系统、信息应用系统、信息安全和运行维护；第二篇(第8～19章),介绍了监理从业人</w:t>
      </w:r>
      <w:r>
        <w:rPr>
          <w:spacing w:val="1"/>
          <w:sz w:val="20"/>
          <w:szCs w:val="20"/>
        </w:rPr>
        <w:t xml:space="preserve">  </w:t>
      </w:r>
      <w:r>
        <w:rPr>
          <w:spacing w:val="3"/>
          <w:sz w:val="20"/>
          <w:szCs w:val="20"/>
        </w:rPr>
        <w:t>员应该掌握的信息系统工程监理通识，包括信息系统工程</w:t>
      </w:r>
      <w:r>
        <w:rPr>
          <w:spacing w:val="2"/>
          <w:sz w:val="20"/>
          <w:szCs w:val="20"/>
        </w:rPr>
        <w:t>监理基础知识、监理工作的组织和规</w:t>
      </w:r>
      <w:r>
        <w:rPr>
          <w:sz w:val="20"/>
          <w:szCs w:val="20"/>
        </w:rPr>
        <w:t xml:space="preserve">  划，以及“三控、两管、一协调”的监理内容，即质量控制、进度控制、投资控制、合同管理、 </w:t>
      </w:r>
      <w:r>
        <w:rPr>
          <w:spacing w:val="10"/>
          <w:sz w:val="20"/>
          <w:szCs w:val="20"/>
        </w:rPr>
        <w:t>信息管理、组织协调，以及相关的项目管理、变更控制、风险管理、监理支撑要素等知识；</w:t>
      </w:r>
      <w:r>
        <w:rPr>
          <w:sz w:val="20"/>
          <w:szCs w:val="20"/>
        </w:rPr>
        <w:t xml:space="preserve"> </w:t>
      </w:r>
      <w:r>
        <w:rPr>
          <w:spacing w:val="10"/>
          <w:sz w:val="20"/>
          <w:szCs w:val="20"/>
        </w:rPr>
        <w:t>第三篇(第20～25章),介绍了信息系统工程监理</w:t>
      </w:r>
      <w:r>
        <w:rPr>
          <w:spacing w:val="9"/>
          <w:sz w:val="20"/>
          <w:szCs w:val="20"/>
        </w:rPr>
        <w:t>实务，从实践角度对监理基础工作进行了介</w:t>
      </w:r>
      <w:r>
        <w:rPr>
          <w:sz w:val="20"/>
          <w:szCs w:val="20"/>
        </w:rPr>
        <w:t xml:space="preserve">  </w:t>
      </w:r>
      <w:r>
        <w:rPr>
          <w:spacing w:val="3"/>
          <w:sz w:val="20"/>
          <w:szCs w:val="20"/>
        </w:rPr>
        <w:t>绍，并针对基础设施工程监理、软件工程监理、数据中</w:t>
      </w:r>
      <w:r>
        <w:rPr>
          <w:spacing w:val="2"/>
          <w:sz w:val="20"/>
          <w:szCs w:val="20"/>
        </w:rPr>
        <w:t>心监理、信息安全监理、运行维护监理</w:t>
      </w:r>
    </w:p>
    <w:p w14:paraId="3D080E0A">
      <w:pPr>
        <w:spacing w:line="282" w:lineRule="auto"/>
        <w:rPr>
          <w:sz w:val="20"/>
          <w:szCs w:val="20"/>
        </w:rPr>
        <w:sectPr>
          <w:pgSz w:w="10340" w:h="13330"/>
          <w:pgMar w:top="400" w:right="769" w:bottom="400" w:left="1169" w:header="0" w:footer="0" w:gutter="0"/>
          <w:cols w:space="720" w:num="1"/>
        </w:sectPr>
      </w:pPr>
    </w:p>
    <w:p w14:paraId="1CBC81E8">
      <w:pPr>
        <w:pStyle w:val="2"/>
        <w:spacing w:before="108" w:line="219" w:lineRule="auto"/>
        <w:rPr>
          <w:sz w:val="20"/>
          <w:szCs w:val="20"/>
        </w:rPr>
      </w:pPr>
      <w:r>
        <w:rPr>
          <w:rFonts w:ascii="Times New Roman" w:hAnsi="Times New Roman" w:eastAsia="Times New Roman" w:cs="Times New Roman"/>
          <w:spacing w:val="-3"/>
          <w:sz w:val="16"/>
          <w:szCs w:val="16"/>
        </w:rPr>
        <w:t>IⅡ</w:t>
      </w:r>
      <w:r>
        <w:rPr>
          <w:rFonts w:ascii="Times New Roman" w:hAnsi="Times New Roman" w:eastAsia="Times New Roman" w:cs="Times New Roman"/>
          <w:spacing w:val="1"/>
          <w:sz w:val="16"/>
          <w:szCs w:val="16"/>
        </w:rPr>
        <w:t xml:space="preserve">                  </w:t>
      </w:r>
      <w:r>
        <w:rPr>
          <w:spacing w:val="-3"/>
          <w:sz w:val="20"/>
          <w:szCs w:val="20"/>
        </w:rPr>
        <w:t>信息系统监理师教程(第2版)</w:t>
      </w:r>
    </w:p>
    <w:p w14:paraId="6B38ACF0">
      <w:pPr>
        <w:spacing w:line="313" w:lineRule="auto"/>
        <w:rPr>
          <w:rFonts w:ascii="Arial"/>
          <w:sz w:val="21"/>
        </w:rPr>
      </w:pPr>
    </w:p>
    <w:p w14:paraId="75070482">
      <w:pPr>
        <w:pStyle w:val="2"/>
        <w:spacing w:before="65" w:line="296" w:lineRule="auto"/>
        <w:ind w:left="279" w:right="65"/>
        <w:jc w:val="both"/>
        <w:rPr>
          <w:sz w:val="20"/>
          <w:szCs w:val="20"/>
        </w:rPr>
      </w:pPr>
      <w:r>
        <w:rPr>
          <w:spacing w:val="3"/>
          <w:sz w:val="20"/>
          <w:szCs w:val="20"/>
        </w:rPr>
        <w:t>等不同的监理工作进行了具体描述。同时为了表述统一，本</w:t>
      </w:r>
      <w:r>
        <w:rPr>
          <w:spacing w:val="2"/>
          <w:sz w:val="20"/>
          <w:szCs w:val="20"/>
        </w:rPr>
        <w:t>书将信息系统工程监理、信息工程</w:t>
      </w:r>
      <w:r>
        <w:rPr>
          <w:sz w:val="20"/>
          <w:szCs w:val="20"/>
        </w:rPr>
        <w:t xml:space="preserve"> </w:t>
      </w:r>
      <w:r>
        <w:rPr>
          <w:spacing w:val="3"/>
          <w:sz w:val="20"/>
          <w:szCs w:val="20"/>
        </w:rPr>
        <w:t>监理、信息系统监理、信息工程建设监理、信息化监理、信息技术服务监理等概念统称为信息</w:t>
      </w:r>
      <w:r>
        <w:rPr>
          <w:sz w:val="20"/>
          <w:szCs w:val="20"/>
        </w:rPr>
        <w:t xml:space="preserve"> 系统工程监理，对所涉及的名词表述按照信息技术服</w:t>
      </w:r>
      <w:r>
        <w:rPr>
          <w:spacing w:val="-1"/>
          <w:sz w:val="20"/>
          <w:szCs w:val="20"/>
        </w:rPr>
        <w:t>务监理国家标准进行了统一。</w:t>
      </w:r>
    </w:p>
    <w:p w14:paraId="0AFC5496">
      <w:pPr>
        <w:pStyle w:val="2"/>
        <w:spacing w:line="295" w:lineRule="auto"/>
        <w:ind w:left="279" w:right="65" w:firstLine="419"/>
        <w:jc w:val="both"/>
        <w:rPr>
          <w:sz w:val="20"/>
          <w:szCs w:val="20"/>
        </w:rPr>
      </w:pPr>
      <w:r>
        <w:rPr>
          <w:spacing w:val="3"/>
          <w:sz w:val="20"/>
          <w:szCs w:val="20"/>
        </w:rPr>
        <w:t>需要指出的是，信息系统工程监理既具有较强的</w:t>
      </w:r>
      <w:r>
        <w:rPr>
          <w:spacing w:val="2"/>
          <w:sz w:val="20"/>
          <w:szCs w:val="20"/>
        </w:rPr>
        <w:t>理论性，又具有很强的实践性。所以，希</w:t>
      </w:r>
      <w:r>
        <w:rPr>
          <w:sz w:val="20"/>
          <w:szCs w:val="20"/>
        </w:rPr>
        <w:t xml:space="preserve"> </w:t>
      </w:r>
      <w:r>
        <w:rPr>
          <w:spacing w:val="3"/>
          <w:sz w:val="20"/>
          <w:szCs w:val="20"/>
        </w:rPr>
        <w:t>望读者在学习过程中注意理论与实践相结合。本书是软考信息系统监理师教程，也可作为信息</w:t>
      </w:r>
      <w:r>
        <w:rPr>
          <w:sz w:val="20"/>
          <w:szCs w:val="20"/>
        </w:rPr>
        <w:t xml:space="preserve"> </w:t>
      </w:r>
      <w:r>
        <w:rPr>
          <w:spacing w:val="-3"/>
          <w:sz w:val="20"/>
          <w:szCs w:val="20"/>
        </w:rPr>
        <w:t>系统工程监理相关技术人员的参考书。</w:t>
      </w:r>
    </w:p>
    <w:p w14:paraId="7D03BF48">
      <w:pPr>
        <w:pStyle w:val="2"/>
        <w:spacing w:before="15" w:line="293" w:lineRule="auto"/>
        <w:ind w:left="279" w:firstLine="419"/>
        <w:jc w:val="both"/>
        <w:rPr>
          <w:sz w:val="16"/>
          <w:szCs w:val="16"/>
        </w:rPr>
      </w:pPr>
      <w:r>
        <w:rPr>
          <w:spacing w:val="3"/>
          <w:sz w:val="20"/>
          <w:szCs w:val="20"/>
        </w:rPr>
        <w:t>本书由贾卓生、张树玲担任主编，李京、吕小刚、陈兵</w:t>
      </w:r>
      <w:r>
        <w:rPr>
          <w:spacing w:val="2"/>
          <w:sz w:val="20"/>
          <w:szCs w:val="20"/>
        </w:rPr>
        <w:t>担任副主编，书中各章节由以下作</w:t>
      </w:r>
      <w:r>
        <w:rPr>
          <w:sz w:val="20"/>
          <w:szCs w:val="20"/>
        </w:rPr>
        <w:t xml:space="preserve"> </w:t>
      </w:r>
      <w:r>
        <w:rPr>
          <w:spacing w:val="8"/>
          <w:sz w:val="20"/>
          <w:szCs w:val="20"/>
        </w:rPr>
        <w:t>者完成：第1章信息与信息化由陈兵、杨娟编写；第2章信息系统工程由宋跃武</w:t>
      </w:r>
      <w:r>
        <w:rPr>
          <w:spacing w:val="7"/>
          <w:sz w:val="20"/>
          <w:szCs w:val="20"/>
        </w:rPr>
        <w:t>、张树玲、刘</w:t>
      </w:r>
      <w:r>
        <w:rPr>
          <w:sz w:val="20"/>
          <w:szCs w:val="20"/>
        </w:rPr>
        <w:t xml:space="preserve"> </w:t>
      </w:r>
      <w:r>
        <w:rPr>
          <w:spacing w:val="13"/>
          <w:sz w:val="20"/>
          <w:szCs w:val="20"/>
        </w:rPr>
        <w:t>玲编写；第3章信息网络系统由谭国权编写；第4章信息资源系统由彭刚、张树玲、</w:t>
      </w:r>
      <w:r>
        <w:rPr>
          <w:spacing w:val="12"/>
          <w:sz w:val="20"/>
          <w:szCs w:val="20"/>
        </w:rPr>
        <w:t>宋跃武</w:t>
      </w:r>
      <w:r>
        <w:rPr>
          <w:sz w:val="20"/>
          <w:szCs w:val="20"/>
        </w:rPr>
        <w:t xml:space="preserve"> </w:t>
      </w:r>
      <w:r>
        <w:rPr>
          <w:spacing w:val="10"/>
          <w:sz w:val="20"/>
          <w:szCs w:val="20"/>
        </w:rPr>
        <w:t>编写；第5章信息应用系统由相春雷、张树玲</w:t>
      </w:r>
      <w:r>
        <w:rPr>
          <w:spacing w:val="9"/>
          <w:sz w:val="20"/>
          <w:szCs w:val="20"/>
        </w:rPr>
        <w:t>、宋跃武编写；第6章信息安全由吕小刚编写；</w:t>
      </w:r>
      <w:r>
        <w:rPr>
          <w:sz w:val="20"/>
          <w:szCs w:val="20"/>
        </w:rPr>
        <w:t xml:space="preserve"> </w:t>
      </w:r>
      <w:r>
        <w:rPr>
          <w:spacing w:val="8"/>
          <w:sz w:val="20"/>
          <w:szCs w:val="20"/>
        </w:rPr>
        <w:t>第7章运行维护和第19章监理支撑要素由郭鑫伟、刘莹编写；第8</w:t>
      </w:r>
      <w:r>
        <w:rPr>
          <w:spacing w:val="7"/>
          <w:sz w:val="20"/>
          <w:szCs w:val="20"/>
        </w:rPr>
        <w:t>章信息系统工程监理基础知</w:t>
      </w:r>
      <w:r>
        <w:rPr>
          <w:sz w:val="20"/>
          <w:szCs w:val="20"/>
        </w:rPr>
        <w:t xml:space="preserve"> </w:t>
      </w:r>
      <w:r>
        <w:rPr>
          <w:spacing w:val="1"/>
          <w:sz w:val="20"/>
          <w:szCs w:val="20"/>
        </w:rPr>
        <w:t>识和第10章质量控制由贾卓生编写；第9章监理工作</w:t>
      </w:r>
      <w:r>
        <w:rPr>
          <w:sz w:val="20"/>
          <w:szCs w:val="20"/>
        </w:rPr>
        <w:t xml:space="preserve">的组织和规划由李峰、贾卓生编写；第11章 </w:t>
      </w:r>
      <w:r>
        <w:rPr>
          <w:spacing w:val="8"/>
          <w:sz w:val="20"/>
          <w:szCs w:val="20"/>
        </w:rPr>
        <w:t>进度控制和第15章组织协调由张骏温编写；第12章</w:t>
      </w:r>
      <w:r>
        <w:rPr>
          <w:spacing w:val="7"/>
          <w:sz w:val="20"/>
          <w:szCs w:val="20"/>
        </w:rPr>
        <w:t>投资控制由王芳编写；第13章合同管理和</w:t>
      </w:r>
      <w:r>
        <w:rPr>
          <w:sz w:val="20"/>
          <w:szCs w:val="20"/>
        </w:rPr>
        <w:t xml:space="preserve"> </w:t>
      </w:r>
      <w:r>
        <w:rPr>
          <w:spacing w:val="7"/>
          <w:sz w:val="20"/>
          <w:szCs w:val="20"/>
        </w:rPr>
        <w:t>第14章信息管理由唐宏编写；第16章项目管理由岳素林、张树玲、刘玲编写；第17章变更控</w:t>
      </w:r>
      <w:r>
        <w:rPr>
          <w:spacing w:val="16"/>
          <w:sz w:val="20"/>
          <w:szCs w:val="20"/>
        </w:rPr>
        <w:t xml:space="preserve"> </w:t>
      </w:r>
      <w:r>
        <w:rPr>
          <w:spacing w:val="8"/>
          <w:sz w:val="20"/>
          <w:szCs w:val="20"/>
        </w:rPr>
        <w:t>制由李京编写；第18章风险管理由姚勇编写；第20章信息系统工</w:t>
      </w:r>
      <w:r>
        <w:rPr>
          <w:spacing w:val="7"/>
          <w:sz w:val="20"/>
          <w:szCs w:val="20"/>
        </w:rPr>
        <w:t>程监理基础工作由聂小峰编</w:t>
      </w:r>
      <w:r>
        <w:rPr>
          <w:sz w:val="20"/>
          <w:szCs w:val="20"/>
        </w:rPr>
        <w:t xml:space="preserve"> </w:t>
      </w:r>
      <w:r>
        <w:rPr>
          <w:spacing w:val="7"/>
          <w:sz w:val="20"/>
          <w:szCs w:val="20"/>
        </w:rPr>
        <w:t>写；第21章基础设施工程监理由张晓明编写；第22章软件工程监理由姚明星编写；第23章数</w:t>
      </w:r>
      <w:r>
        <w:rPr>
          <w:spacing w:val="16"/>
          <w:sz w:val="20"/>
          <w:szCs w:val="20"/>
        </w:rPr>
        <w:t xml:space="preserve"> </w:t>
      </w:r>
      <w:r>
        <w:rPr>
          <w:spacing w:val="8"/>
          <w:sz w:val="20"/>
          <w:szCs w:val="20"/>
        </w:rPr>
        <w:t>据中心监理由董贺伟编写；第24章信息安全监理由</w:t>
      </w:r>
      <w:r>
        <w:rPr>
          <w:spacing w:val="7"/>
          <w:sz w:val="20"/>
          <w:szCs w:val="20"/>
        </w:rPr>
        <w:t>苏锋刚编写；第25章运行维护监理由王晓</w:t>
      </w:r>
      <w:r>
        <w:rPr>
          <w:sz w:val="20"/>
          <w:szCs w:val="20"/>
        </w:rPr>
        <w:t xml:space="preserve"> </w:t>
      </w:r>
      <w:r>
        <w:rPr>
          <w:spacing w:val="21"/>
          <w:sz w:val="16"/>
          <w:szCs w:val="16"/>
        </w:rPr>
        <w:t>健编写</w:t>
      </w:r>
      <w:r>
        <w:rPr>
          <w:spacing w:val="-32"/>
          <w:sz w:val="16"/>
          <w:szCs w:val="16"/>
        </w:rPr>
        <w:t xml:space="preserve"> </w:t>
      </w:r>
      <w:r>
        <w:rPr>
          <w:spacing w:val="21"/>
          <w:sz w:val="16"/>
          <w:szCs w:val="16"/>
        </w:rPr>
        <w:t>。</w:t>
      </w:r>
    </w:p>
    <w:p w14:paraId="434356DA">
      <w:pPr>
        <w:pStyle w:val="2"/>
        <w:spacing w:before="59" w:line="277" w:lineRule="auto"/>
        <w:ind w:left="279" w:right="67" w:firstLine="419"/>
        <w:jc w:val="both"/>
        <w:rPr>
          <w:sz w:val="20"/>
          <w:szCs w:val="20"/>
        </w:rPr>
      </w:pPr>
      <w:r>
        <w:rPr>
          <w:spacing w:val="3"/>
          <w:sz w:val="20"/>
          <w:szCs w:val="20"/>
        </w:rPr>
        <w:t>另外，由贾卓生、张树玲、李京、陈兵、吕小刚、董</w:t>
      </w:r>
      <w:r>
        <w:rPr>
          <w:spacing w:val="2"/>
          <w:sz w:val="20"/>
          <w:szCs w:val="20"/>
        </w:rPr>
        <w:t>贺伟对全书做了内容统筹、章节结构</w:t>
      </w:r>
      <w:r>
        <w:rPr>
          <w:sz w:val="20"/>
          <w:szCs w:val="20"/>
        </w:rPr>
        <w:t xml:space="preserve"> </w:t>
      </w:r>
      <w:r>
        <w:rPr>
          <w:spacing w:val="3"/>
          <w:sz w:val="20"/>
          <w:szCs w:val="20"/>
        </w:rPr>
        <w:t>设计和统稿，宋跃武、朱国刚、左林、郑振华参与了审校和绘图工作。清华大</w:t>
      </w:r>
      <w:r>
        <w:rPr>
          <w:spacing w:val="2"/>
          <w:sz w:val="20"/>
          <w:szCs w:val="20"/>
        </w:rPr>
        <w:t>学出版社的编辑</w:t>
      </w:r>
      <w:r>
        <w:rPr>
          <w:sz w:val="20"/>
          <w:szCs w:val="20"/>
        </w:rPr>
        <w:t xml:space="preserve"> </w:t>
      </w:r>
      <w:r>
        <w:rPr>
          <w:spacing w:val="-2"/>
          <w:sz w:val="20"/>
          <w:szCs w:val="20"/>
        </w:rPr>
        <w:t>为本书的编写做了大量的组织管理工作，在此表示感谢。</w:t>
      </w:r>
    </w:p>
    <w:p w14:paraId="1C5C0AA2">
      <w:pPr>
        <w:pStyle w:val="2"/>
        <w:spacing w:before="61" w:line="270" w:lineRule="auto"/>
        <w:ind w:left="279" w:right="52" w:firstLine="419"/>
        <w:jc w:val="both"/>
        <w:rPr>
          <w:sz w:val="20"/>
          <w:szCs w:val="20"/>
        </w:rPr>
      </w:pPr>
      <w:r>
        <w:rPr>
          <w:spacing w:val="3"/>
          <w:sz w:val="20"/>
          <w:szCs w:val="20"/>
        </w:rPr>
        <w:t>在本书的编写过程中，中国电子企业协会信息系统工程监理分会提供了行业信息，并参考</w:t>
      </w:r>
      <w:r>
        <w:rPr>
          <w:sz w:val="20"/>
          <w:szCs w:val="20"/>
        </w:rPr>
        <w:t xml:space="preserve"> </w:t>
      </w:r>
      <w:r>
        <w:rPr>
          <w:spacing w:val="2"/>
          <w:sz w:val="20"/>
          <w:szCs w:val="20"/>
        </w:rPr>
        <w:t>了许多同行的学术研究成果和相关的书籍资料，借鉴和应用了参考文献中的部分内容，在此谨</w:t>
      </w:r>
      <w:r>
        <w:rPr>
          <w:spacing w:val="15"/>
          <w:sz w:val="20"/>
          <w:szCs w:val="20"/>
        </w:rPr>
        <w:t xml:space="preserve"> </w:t>
      </w:r>
      <w:r>
        <w:rPr>
          <w:spacing w:val="3"/>
          <w:sz w:val="20"/>
          <w:szCs w:val="20"/>
        </w:rPr>
        <w:t>向这些文献的编著者表示真诚的感谢，也感谢国内多位行业专家的热情关怀、悉心指导和鼎力</w:t>
      </w:r>
      <w:r>
        <w:rPr>
          <w:spacing w:val="2"/>
          <w:sz w:val="20"/>
          <w:szCs w:val="20"/>
        </w:rPr>
        <w:t xml:space="preserve"> </w:t>
      </w:r>
      <w:r>
        <w:rPr>
          <w:spacing w:val="13"/>
          <w:sz w:val="20"/>
          <w:szCs w:val="20"/>
        </w:rPr>
        <w:t>帮助!</w:t>
      </w:r>
    </w:p>
    <w:p w14:paraId="7098B651">
      <w:pPr>
        <w:pStyle w:val="2"/>
        <w:spacing w:before="87" w:line="268" w:lineRule="auto"/>
        <w:ind w:left="279" w:right="67" w:firstLine="419"/>
        <w:jc w:val="both"/>
        <w:rPr>
          <w:sz w:val="20"/>
          <w:szCs w:val="20"/>
        </w:rPr>
      </w:pPr>
      <w:r>
        <w:rPr>
          <w:spacing w:val="3"/>
          <w:sz w:val="20"/>
          <w:szCs w:val="20"/>
        </w:rPr>
        <w:t>由于信息技术仍在不断发展，信息系统工程监理也在</w:t>
      </w:r>
      <w:r>
        <w:rPr>
          <w:spacing w:val="2"/>
          <w:sz w:val="20"/>
          <w:szCs w:val="20"/>
        </w:rPr>
        <w:t>实践中不断改进完善，许多问题还需</w:t>
      </w:r>
      <w:r>
        <w:rPr>
          <w:sz w:val="20"/>
          <w:szCs w:val="20"/>
        </w:rPr>
        <w:t xml:space="preserve"> </w:t>
      </w:r>
      <w:r>
        <w:rPr>
          <w:spacing w:val="3"/>
          <w:sz w:val="20"/>
          <w:szCs w:val="20"/>
        </w:rPr>
        <w:t>要探讨学习以及实践的验证，加之我们的水平和实践的局限，书中难免有纰漏或欠妥</w:t>
      </w:r>
      <w:r>
        <w:rPr>
          <w:spacing w:val="2"/>
          <w:sz w:val="20"/>
          <w:szCs w:val="20"/>
        </w:rPr>
        <w:t>之处，在</w:t>
      </w:r>
      <w:r>
        <w:rPr>
          <w:sz w:val="20"/>
          <w:szCs w:val="20"/>
        </w:rPr>
        <w:t xml:space="preserve"> </w:t>
      </w:r>
      <w:r>
        <w:rPr>
          <w:spacing w:val="-1"/>
          <w:sz w:val="20"/>
          <w:szCs w:val="20"/>
        </w:rPr>
        <w:t>此，我们由衷地希望有关专家与读者不吝指正，以便本书内容能够不断修改完</w:t>
      </w:r>
      <w:r>
        <w:rPr>
          <w:spacing w:val="-2"/>
          <w:sz w:val="20"/>
          <w:szCs w:val="20"/>
        </w:rPr>
        <w:t>善。</w:t>
      </w:r>
    </w:p>
    <w:p w14:paraId="5D9FF47F">
      <w:pPr>
        <w:spacing w:line="293" w:lineRule="auto"/>
        <w:rPr>
          <w:rFonts w:ascii="Arial"/>
          <w:sz w:val="21"/>
        </w:rPr>
      </w:pPr>
    </w:p>
    <w:p w14:paraId="543A9A1B">
      <w:pPr>
        <w:pStyle w:val="2"/>
        <w:spacing w:before="66" w:line="219" w:lineRule="auto"/>
        <w:ind w:left="7779"/>
        <w:rPr>
          <w:sz w:val="20"/>
          <w:szCs w:val="20"/>
        </w:rPr>
      </w:pPr>
      <w:r>
        <w:rPr>
          <w:spacing w:val="-5"/>
          <w:sz w:val="20"/>
          <w:szCs w:val="20"/>
        </w:rPr>
        <w:t>编</w:t>
      </w:r>
      <w:r>
        <w:rPr>
          <w:spacing w:val="4"/>
          <w:sz w:val="20"/>
          <w:szCs w:val="20"/>
        </w:rPr>
        <w:t xml:space="preserve">  </w:t>
      </w:r>
      <w:r>
        <w:rPr>
          <w:spacing w:val="-5"/>
          <w:sz w:val="20"/>
          <w:szCs w:val="20"/>
        </w:rPr>
        <w:t>者</w:t>
      </w:r>
    </w:p>
    <w:p w14:paraId="4C289F03">
      <w:pPr>
        <w:pStyle w:val="2"/>
        <w:spacing w:before="63" w:line="219" w:lineRule="auto"/>
        <w:ind w:left="7450"/>
        <w:rPr>
          <w:sz w:val="20"/>
          <w:szCs w:val="20"/>
        </w:rPr>
      </w:pPr>
      <w:r>
        <w:rPr>
          <w:spacing w:val="22"/>
          <w:sz w:val="20"/>
          <w:szCs w:val="20"/>
        </w:rPr>
        <w:t>2023年12月</w:t>
      </w:r>
    </w:p>
    <w:p w14:paraId="06BC7AF3">
      <w:pPr>
        <w:spacing w:line="219" w:lineRule="auto"/>
        <w:rPr>
          <w:sz w:val="20"/>
          <w:szCs w:val="20"/>
        </w:rPr>
        <w:sectPr>
          <w:pgSz w:w="10370" w:h="13440"/>
          <w:pgMar w:top="400" w:right="1079" w:bottom="400" w:left="620" w:header="0" w:footer="0" w:gutter="0"/>
          <w:cols w:space="720" w:num="1"/>
        </w:sectPr>
      </w:pPr>
    </w:p>
    <w:p w14:paraId="75896644">
      <w:pPr>
        <w:spacing w:line="319" w:lineRule="auto"/>
        <w:rPr>
          <w:rFonts w:ascii="Arial"/>
          <w:sz w:val="21"/>
        </w:rPr>
      </w:pPr>
      <w:r>
        <w:drawing>
          <wp:anchor distT="0" distB="0" distL="0" distR="0" simplePos="0" relativeHeight="251668480" behindDoc="0" locked="0" layoutInCell="1" allowOverlap="1">
            <wp:simplePos x="0" y="0"/>
            <wp:positionH relativeFrom="column">
              <wp:posOffset>0</wp:posOffset>
            </wp:positionH>
            <wp:positionV relativeFrom="paragraph">
              <wp:posOffset>615950</wp:posOffset>
            </wp:positionV>
            <wp:extent cx="635000" cy="2603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
                    <a:stretch>
                      <a:fillRect/>
                    </a:stretch>
                  </pic:blipFill>
                  <pic:spPr>
                    <a:xfrm>
                      <a:off x="0" y="0"/>
                      <a:ext cx="635010" cy="260343"/>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4641215</wp:posOffset>
            </wp:positionH>
            <wp:positionV relativeFrom="paragraph">
              <wp:posOffset>628650</wp:posOffset>
            </wp:positionV>
            <wp:extent cx="641350" cy="2603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
                    <a:stretch>
                      <a:fillRect/>
                    </a:stretch>
                  </pic:blipFill>
                  <pic:spPr>
                    <a:xfrm>
                      <a:off x="0" y="0"/>
                      <a:ext cx="641320" cy="260428"/>
                    </a:xfrm>
                    <a:prstGeom prst="rect">
                      <a:avLst/>
                    </a:prstGeom>
                  </pic:spPr>
                </pic:pic>
              </a:graphicData>
            </a:graphic>
          </wp:anchor>
        </w:drawing>
      </w:r>
    </w:p>
    <w:p w14:paraId="0FF72AD1">
      <w:pPr>
        <w:spacing w:line="319" w:lineRule="auto"/>
        <w:rPr>
          <w:rFonts w:ascii="Arial"/>
          <w:sz w:val="21"/>
        </w:rPr>
      </w:pPr>
    </w:p>
    <w:p w14:paraId="5CA876A5">
      <w:pPr>
        <w:spacing w:line="319" w:lineRule="auto"/>
        <w:rPr>
          <w:rFonts w:ascii="Arial"/>
          <w:sz w:val="21"/>
        </w:rPr>
      </w:pPr>
    </w:p>
    <w:p w14:paraId="33F96999">
      <w:pPr>
        <w:pStyle w:val="2"/>
        <w:spacing w:before="110" w:line="221" w:lineRule="auto"/>
        <w:ind w:left="3624"/>
        <w:rPr>
          <w:sz w:val="34"/>
          <w:szCs w:val="34"/>
        </w:rPr>
      </w:pPr>
      <w:r>
        <w:rPr>
          <w:b/>
          <w:bCs/>
          <w:color w:val="0061E0"/>
          <w:spacing w:val="-43"/>
          <w:sz w:val="34"/>
          <w:szCs w:val="34"/>
        </w:rPr>
        <w:t>目</w:t>
      </w:r>
      <w:r>
        <w:rPr>
          <w:color w:val="0061E0"/>
          <w:spacing w:val="64"/>
          <w:sz w:val="34"/>
          <w:szCs w:val="34"/>
        </w:rPr>
        <w:t xml:space="preserve">  </w:t>
      </w:r>
      <w:r>
        <w:rPr>
          <w:b/>
          <w:bCs/>
          <w:color w:val="0061E0"/>
          <w:spacing w:val="-43"/>
          <w:sz w:val="34"/>
          <w:szCs w:val="34"/>
        </w:rPr>
        <w:t>录</w:t>
      </w:r>
    </w:p>
    <w:p w14:paraId="117BE048">
      <w:pPr>
        <w:spacing w:line="248" w:lineRule="auto"/>
        <w:rPr>
          <w:rFonts w:ascii="Arial"/>
          <w:sz w:val="21"/>
        </w:rPr>
      </w:pPr>
    </w:p>
    <w:p w14:paraId="43B0139B">
      <w:pPr>
        <w:spacing w:line="248" w:lineRule="auto"/>
        <w:rPr>
          <w:rFonts w:ascii="Arial"/>
          <w:sz w:val="21"/>
        </w:rPr>
      </w:pPr>
    </w:p>
    <w:p w14:paraId="135D9B2D">
      <w:pPr>
        <w:spacing w:line="248" w:lineRule="auto"/>
        <w:rPr>
          <w:rFonts w:ascii="Arial"/>
          <w:sz w:val="21"/>
        </w:rPr>
      </w:pPr>
    </w:p>
    <w:p w14:paraId="46335DE6">
      <w:pPr>
        <w:spacing w:line="248" w:lineRule="auto"/>
        <w:rPr>
          <w:rFonts w:ascii="Arial"/>
          <w:sz w:val="21"/>
        </w:rPr>
      </w:pPr>
    </w:p>
    <w:p w14:paraId="242ABCC5">
      <w:pPr>
        <w:pStyle w:val="2"/>
        <w:spacing w:before="88" w:line="219" w:lineRule="auto"/>
        <w:ind w:left="2573"/>
        <w:outlineLvl w:val="0"/>
        <w:rPr>
          <w:sz w:val="27"/>
          <w:szCs w:val="27"/>
        </w:rPr>
      </w:pPr>
      <w:r>
        <w:rPr>
          <w:b/>
          <w:bCs/>
          <w:color w:val="006BD7"/>
          <w:spacing w:val="4"/>
          <w:sz w:val="27"/>
          <w:szCs w:val="27"/>
        </w:rPr>
        <w:t>第一篇</w:t>
      </w:r>
      <w:r>
        <w:rPr>
          <w:color w:val="006BD7"/>
          <w:spacing w:val="36"/>
          <w:sz w:val="27"/>
          <w:szCs w:val="27"/>
        </w:rPr>
        <w:t xml:space="preserve"> </w:t>
      </w:r>
      <w:r>
        <w:rPr>
          <w:b/>
          <w:bCs/>
          <w:color w:val="006BD7"/>
          <w:spacing w:val="4"/>
          <w:sz w:val="27"/>
          <w:szCs w:val="27"/>
        </w:rPr>
        <w:t>信息系统工程知识</w:t>
      </w:r>
    </w:p>
    <w:p w14:paraId="2EBC6E41">
      <w:pPr>
        <w:spacing w:before="218"/>
      </w:pPr>
    </w:p>
    <w:p w14:paraId="67C69B99">
      <w:pPr>
        <w:sectPr>
          <w:pgSz w:w="10350" w:h="13320"/>
          <w:pgMar w:top="400" w:right="820" w:bottom="400" w:left="1210" w:header="0" w:footer="0" w:gutter="0"/>
          <w:cols w:equalWidth="0" w:num="1">
            <w:col w:w="8320"/>
          </w:cols>
        </w:sectPr>
      </w:pPr>
    </w:p>
    <w:p w14:paraId="4A3A3167">
      <w:pPr>
        <w:spacing w:line="438" w:lineRule="auto"/>
        <w:rPr>
          <w:rFonts w:ascii="Arial"/>
          <w:sz w:val="21"/>
        </w:rPr>
      </w:pPr>
    </w:p>
    <w:sdt>
      <w:sdtPr>
        <w:rPr>
          <w:rFonts w:ascii="Times New Roman" w:hAnsi="Times New Roman" w:eastAsia="Times New Roman" w:cs="Times New Roman"/>
          <w:sz w:val="18"/>
          <w:szCs w:val="18"/>
        </w:rPr>
        <w:id w:val="147463906"/>
        <w:docPartObj>
          <w:docPartGallery w:val="Table of Contents"/>
          <w:docPartUnique/>
        </w:docPartObj>
      </w:sdtPr>
      <w:sdtEndPr>
        <w:rPr>
          <w:rFonts w:ascii="Times New Roman" w:hAnsi="Times New Roman" w:eastAsia="Times New Roman" w:cs="Times New Roman"/>
          <w:sz w:val="18"/>
          <w:szCs w:val="18"/>
        </w:rPr>
      </w:sdtEndPr>
      <w:sdtContent>
        <w:p w14:paraId="5A353023">
          <w:pPr>
            <w:pStyle w:val="2"/>
            <w:tabs>
              <w:tab w:val="right" w:leader="dot" w:pos="3952"/>
            </w:tabs>
            <w:spacing w:before="59" w:line="219" w:lineRule="auto"/>
            <w:ind w:left="9"/>
            <w:rPr>
              <w:rFonts w:ascii="Times New Roman" w:hAnsi="Times New Roman" w:eastAsia="Times New Roman" w:cs="Times New Roman"/>
              <w:sz w:val="18"/>
              <w:szCs w:val="18"/>
            </w:rPr>
          </w:pPr>
          <w:bookmarkStart w:id="0" w:name="bookmark1"/>
          <w:bookmarkEnd w:id="0"/>
          <w:r>
            <w:fldChar w:fldCharType="begin"/>
          </w:r>
          <w:r>
            <w:instrText xml:space="preserve"> HYPERLINK \l "bookmark1" </w:instrText>
          </w:r>
          <w:r>
            <w:fldChar w:fldCharType="separate"/>
          </w:r>
          <w:r>
            <w:rPr>
              <w:rFonts w:ascii="Times New Roman" w:hAnsi="Times New Roman" w:eastAsia="Times New Roman" w:cs="Times New Roman"/>
              <w:spacing w:val="-3"/>
              <w:sz w:val="18"/>
              <w:szCs w:val="18"/>
            </w:rPr>
            <w:t>1.1</w:t>
          </w:r>
          <w:r>
            <w:rPr>
              <w:rFonts w:ascii="Times New Roman" w:hAnsi="Times New Roman" w:eastAsia="Times New Roman" w:cs="Times New Roman"/>
              <w:spacing w:val="15"/>
              <w:sz w:val="18"/>
              <w:szCs w:val="18"/>
            </w:rPr>
            <w:t xml:space="preserve">   </w:t>
          </w:r>
          <w:r>
            <w:rPr>
              <w:spacing w:val="-3"/>
              <w:sz w:val="18"/>
              <w:szCs w:val="18"/>
            </w:rPr>
            <w:t>信息与信息化概述</w:t>
          </w:r>
          <w:r>
            <w:rPr>
              <w:spacing w:val="-53"/>
              <w:sz w:val="18"/>
              <w:szCs w:val="18"/>
            </w:rPr>
            <w:t xml:space="preserve"> </w:t>
          </w:r>
          <w:r>
            <w:rPr>
              <w:sz w:val="18"/>
              <w:szCs w:val="18"/>
            </w:rPr>
            <w:tab/>
          </w:r>
          <w:r>
            <w:rPr>
              <w:spacing w:val="-40"/>
              <w:sz w:val="18"/>
              <w:szCs w:val="18"/>
            </w:rPr>
            <w:t xml:space="preserve"> </w:t>
          </w:r>
          <w:r>
            <w:rPr>
              <w:rFonts w:ascii="Times New Roman" w:hAnsi="Times New Roman" w:eastAsia="Times New Roman" w:cs="Times New Roman"/>
              <w:sz w:val="18"/>
              <w:szCs w:val="18"/>
            </w:rPr>
            <w:t>3</w:t>
          </w:r>
          <w:r>
            <w:rPr>
              <w:rFonts w:ascii="Times New Roman" w:hAnsi="Times New Roman" w:eastAsia="Times New Roman" w:cs="Times New Roman"/>
              <w:sz w:val="18"/>
              <w:szCs w:val="18"/>
            </w:rPr>
            <w:fldChar w:fldCharType="end"/>
          </w:r>
        </w:p>
        <w:p w14:paraId="2AFFDC53">
          <w:pPr>
            <w:pStyle w:val="2"/>
            <w:tabs>
              <w:tab w:val="right" w:leader="dot" w:pos="3942"/>
            </w:tabs>
            <w:spacing w:before="96" w:line="219" w:lineRule="auto"/>
            <w:ind w:left="409"/>
            <w:rPr>
              <w:rFonts w:ascii="Times New Roman" w:hAnsi="Times New Roman" w:eastAsia="Times New Roman" w:cs="Times New Roman"/>
              <w:sz w:val="18"/>
              <w:szCs w:val="18"/>
            </w:rPr>
          </w:pPr>
          <w:bookmarkStart w:id="1" w:name="bookmark2"/>
          <w:bookmarkEnd w:id="1"/>
          <w:r>
            <w:fldChar w:fldCharType="begin"/>
          </w:r>
          <w:r>
            <w:instrText xml:space="preserve"> HYPERLINK \l "bookmark2" </w:instrText>
          </w:r>
          <w:r>
            <w:fldChar w:fldCharType="separate"/>
          </w:r>
          <w:r>
            <w:rPr>
              <w:rFonts w:ascii="Times New Roman" w:hAnsi="Times New Roman" w:eastAsia="Times New Roman" w:cs="Times New Roman"/>
              <w:spacing w:val="-2"/>
              <w:sz w:val="18"/>
              <w:szCs w:val="18"/>
            </w:rPr>
            <w:t>1.1.1</w:t>
          </w:r>
          <w:r>
            <w:rPr>
              <w:rFonts w:ascii="Times New Roman" w:hAnsi="Times New Roman" w:eastAsia="Times New Roman" w:cs="Times New Roman"/>
              <w:spacing w:val="4"/>
              <w:sz w:val="18"/>
              <w:szCs w:val="18"/>
            </w:rPr>
            <w:t xml:space="preserve">    </w:t>
          </w:r>
          <w:r>
            <w:rPr>
              <w:spacing w:val="-2"/>
              <w:sz w:val="18"/>
              <w:szCs w:val="18"/>
            </w:rPr>
            <w:t>信息</w:t>
          </w:r>
          <w:r>
            <w:rPr>
              <w:spacing w:val="-73"/>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z w:val="18"/>
              <w:szCs w:val="18"/>
            </w:rPr>
            <w:t>3</w:t>
          </w:r>
          <w:r>
            <w:rPr>
              <w:rFonts w:ascii="Times New Roman" w:hAnsi="Times New Roman" w:eastAsia="Times New Roman" w:cs="Times New Roman"/>
              <w:sz w:val="18"/>
              <w:szCs w:val="18"/>
            </w:rPr>
            <w:fldChar w:fldCharType="end"/>
          </w:r>
        </w:p>
        <w:p w14:paraId="4E0BCC7B">
          <w:pPr>
            <w:pStyle w:val="2"/>
            <w:tabs>
              <w:tab w:val="right" w:leader="dot" w:pos="3947"/>
            </w:tabs>
            <w:spacing w:before="116" w:line="219" w:lineRule="auto"/>
            <w:ind w:left="409"/>
            <w:rPr>
              <w:rFonts w:ascii="Times New Roman" w:hAnsi="Times New Roman" w:eastAsia="Times New Roman" w:cs="Times New Roman"/>
              <w:sz w:val="18"/>
              <w:szCs w:val="18"/>
            </w:rPr>
          </w:pPr>
          <w:bookmarkStart w:id="2" w:name="bookmark3"/>
          <w:bookmarkEnd w:id="2"/>
          <w:r>
            <w:fldChar w:fldCharType="begin"/>
          </w:r>
          <w:r>
            <w:instrText xml:space="preserve"> HYPERLINK \l "bookmark3" </w:instrText>
          </w:r>
          <w:r>
            <w:fldChar w:fldCharType="separate"/>
          </w:r>
          <w:r>
            <w:rPr>
              <w:rFonts w:ascii="Times New Roman" w:hAnsi="Times New Roman" w:eastAsia="Times New Roman" w:cs="Times New Roman"/>
              <w:spacing w:val="-4"/>
              <w:sz w:val="18"/>
              <w:szCs w:val="18"/>
            </w:rPr>
            <w:t>1.1.2</w:t>
          </w:r>
          <w:r>
            <w:rPr>
              <w:rFonts w:ascii="Times New Roman" w:hAnsi="Times New Roman" w:eastAsia="Times New Roman" w:cs="Times New Roman"/>
              <w:spacing w:val="6"/>
              <w:sz w:val="18"/>
              <w:szCs w:val="18"/>
            </w:rPr>
            <w:t xml:space="preserve">    </w:t>
          </w:r>
          <w:r>
            <w:rPr>
              <w:spacing w:val="-4"/>
              <w:sz w:val="18"/>
              <w:szCs w:val="18"/>
            </w:rPr>
            <w:t>信息化</w:t>
          </w:r>
          <w:r>
            <w:rPr>
              <w:spacing w:val="-64"/>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z w:val="18"/>
              <w:szCs w:val="18"/>
            </w:rPr>
            <w:t>4</w:t>
          </w:r>
          <w:r>
            <w:rPr>
              <w:rFonts w:ascii="Times New Roman" w:hAnsi="Times New Roman" w:eastAsia="Times New Roman" w:cs="Times New Roman"/>
              <w:sz w:val="18"/>
              <w:szCs w:val="18"/>
            </w:rPr>
            <w:fldChar w:fldCharType="end"/>
          </w:r>
        </w:p>
        <w:p w14:paraId="37D23AB6">
          <w:pPr>
            <w:pStyle w:val="2"/>
            <w:tabs>
              <w:tab w:val="right" w:leader="dot" w:pos="3931"/>
            </w:tabs>
            <w:spacing w:before="87" w:line="219" w:lineRule="auto"/>
            <w:ind w:left="9"/>
            <w:rPr>
              <w:rFonts w:ascii="Times New Roman" w:hAnsi="Times New Roman" w:eastAsia="Times New Roman" w:cs="Times New Roman"/>
              <w:sz w:val="18"/>
              <w:szCs w:val="18"/>
            </w:rPr>
          </w:pPr>
          <w:bookmarkStart w:id="3" w:name="bookmark4"/>
          <w:bookmarkEnd w:id="3"/>
          <w:r>
            <w:fldChar w:fldCharType="begin"/>
          </w:r>
          <w:r>
            <w:instrText xml:space="preserve"> HYPERLINK \l "bookmark4" </w:instrText>
          </w:r>
          <w:r>
            <w:fldChar w:fldCharType="separate"/>
          </w:r>
          <w:r>
            <w:rPr>
              <w:rFonts w:ascii="Times New Roman" w:hAnsi="Times New Roman" w:eastAsia="Times New Roman" w:cs="Times New Roman"/>
              <w:spacing w:val="-1"/>
              <w:sz w:val="18"/>
              <w:szCs w:val="18"/>
            </w:rPr>
            <w:t xml:space="preserve">1.2    </w:t>
          </w:r>
          <w:r>
            <w:rPr>
              <w:spacing w:val="-1"/>
              <w:sz w:val="18"/>
              <w:szCs w:val="18"/>
            </w:rPr>
            <w:t>国家信息化</w:t>
          </w:r>
          <w:r>
            <w:rPr>
              <w:spacing w:val="-64"/>
              <w:sz w:val="18"/>
              <w:szCs w:val="18"/>
            </w:rPr>
            <w:t xml:space="preserve"> </w:t>
          </w:r>
          <w:r>
            <w:rPr>
              <w:sz w:val="18"/>
              <w:szCs w:val="18"/>
            </w:rPr>
            <w:tab/>
          </w:r>
          <w:r>
            <w:rPr>
              <w:rFonts w:ascii="Times New Roman" w:hAnsi="Times New Roman" w:eastAsia="Times New Roman" w:cs="Times New Roman"/>
              <w:spacing w:val="12"/>
              <w:sz w:val="18"/>
              <w:szCs w:val="18"/>
            </w:rPr>
            <w:t>5</w:t>
          </w:r>
          <w:r>
            <w:rPr>
              <w:rFonts w:ascii="Times New Roman" w:hAnsi="Times New Roman" w:eastAsia="Times New Roman" w:cs="Times New Roman"/>
              <w:spacing w:val="12"/>
              <w:sz w:val="18"/>
              <w:szCs w:val="18"/>
            </w:rPr>
            <w:fldChar w:fldCharType="end"/>
          </w:r>
        </w:p>
        <w:p w14:paraId="2108A5EC">
          <w:pPr>
            <w:pStyle w:val="2"/>
            <w:tabs>
              <w:tab w:val="right" w:leader="dot" w:pos="3951"/>
            </w:tabs>
            <w:spacing w:before="106" w:line="219" w:lineRule="auto"/>
            <w:ind w:left="409"/>
            <w:rPr>
              <w:rFonts w:ascii="Times New Roman" w:hAnsi="Times New Roman" w:eastAsia="Times New Roman" w:cs="Times New Roman"/>
              <w:sz w:val="18"/>
              <w:szCs w:val="18"/>
            </w:rPr>
          </w:pPr>
          <w:bookmarkStart w:id="4" w:name="bookmark5"/>
          <w:bookmarkEnd w:id="4"/>
          <w:r>
            <w:fldChar w:fldCharType="begin"/>
          </w:r>
          <w:r>
            <w:instrText xml:space="preserve"> HYPERLINK \l "bookmark5" </w:instrText>
          </w:r>
          <w:r>
            <w:fldChar w:fldCharType="separate"/>
          </w:r>
          <w:r>
            <w:rPr>
              <w:rFonts w:ascii="Times New Roman" w:hAnsi="Times New Roman" w:eastAsia="Times New Roman" w:cs="Times New Roman"/>
              <w:spacing w:val="-2"/>
              <w:sz w:val="18"/>
              <w:szCs w:val="18"/>
            </w:rPr>
            <w:t>1.2.1</w:t>
          </w:r>
          <w:r>
            <w:rPr>
              <w:rFonts w:ascii="Times New Roman" w:hAnsi="Times New Roman" w:eastAsia="Times New Roman" w:cs="Times New Roman"/>
              <w:spacing w:val="8"/>
              <w:sz w:val="18"/>
              <w:szCs w:val="18"/>
            </w:rPr>
            <w:t xml:space="preserve">    </w:t>
          </w:r>
          <w:r>
            <w:rPr>
              <w:spacing w:val="-2"/>
              <w:sz w:val="18"/>
              <w:szCs w:val="18"/>
            </w:rPr>
            <w:t>国家信息化战略与规划</w:t>
          </w:r>
          <w:r>
            <w:rPr>
              <w:spacing w:val="-73"/>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z w:val="18"/>
              <w:szCs w:val="18"/>
            </w:rPr>
            <w:t>5</w:t>
          </w:r>
          <w:r>
            <w:rPr>
              <w:rFonts w:ascii="Times New Roman" w:hAnsi="Times New Roman" w:eastAsia="Times New Roman" w:cs="Times New Roman"/>
              <w:sz w:val="18"/>
              <w:szCs w:val="18"/>
            </w:rPr>
            <w:fldChar w:fldCharType="end"/>
          </w:r>
        </w:p>
        <w:p w14:paraId="64063D1D">
          <w:pPr>
            <w:pStyle w:val="2"/>
            <w:tabs>
              <w:tab w:val="right" w:leader="dot" w:pos="3931"/>
            </w:tabs>
            <w:spacing w:before="97" w:line="219" w:lineRule="auto"/>
            <w:ind w:left="409"/>
            <w:rPr>
              <w:rFonts w:ascii="Times New Roman" w:hAnsi="Times New Roman" w:eastAsia="Times New Roman" w:cs="Times New Roman"/>
              <w:sz w:val="18"/>
              <w:szCs w:val="18"/>
            </w:rPr>
          </w:pPr>
          <w:bookmarkStart w:id="5" w:name="bookmark6"/>
          <w:bookmarkEnd w:id="5"/>
          <w:r>
            <w:fldChar w:fldCharType="begin"/>
          </w:r>
          <w:r>
            <w:instrText xml:space="preserve"> HYPERLINK \l "bookmark6" </w:instrText>
          </w:r>
          <w:r>
            <w:fldChar w:fldCharType="separate"/>
          </w:r>
          <w:r>
            <w:rPr>
              <w:rFonts w:ascii="Times New Roman" w:hAnsi="Times New Roman" w:eastAsia="Times New Roman" w:cs="Times New Roman"/>
              <w:spacing w:val="-2"/>
              <w:sz w:val="18"/>
              <w:szCs w:val="18"/>
            </w:rPr>
            <w:t xml:space="preserve">1.2.2    </w:t>
          </w:r>
          <w:r>
            <w:rPr>
              <w:spacing w:val="-2"/>
              <w:sz w:val="18"/>
              <w:szCs w:val="18"/>
            </w:rPr>
            <w:t>我国信息化发展历程</w:t>
          </w:r>
          <w:r>
            <w:rPr>
              <w:spacing w:val="-35"/>
              <w:sz w:val="18"/>
              <w:szCs w:val="18"/>
            </w:rPr>
            <w:t xml:space="preserve"> </w:t>
          </w:r>
          <w:r>
            <w:rPr>
              <w:sz w:val="18"/>
              <w:szCs w:val="18"/>
            </w:rPr>
            <w:tab/>
          </w:r>
          <w:r>
            <w:rPr>
              <w:rFonts w:ascii="Times New Roman" w:hAnsi="Times New Roman" w:eastAsia="Times New Roman" w:cs="Times New Roman"/>
              <w:spacing w:val="12"/>
              <w:sz w:val="18"/>
              <w:szCs w:val="18"/>
            </w:rPr>
            <w:t>5</w:t>
          </w:r>
          <w:r>
            <w:rPr>
              <w:rFonts w:ascii="Times New Roman" w:hAnsi="Times New Roman" w:eastAsia="Times New Roman" w:cs="Times New Roman"/>
              <w:spacing w:val="12"/>
              <w:sz w:val="18"/>
              <w:szCs w:val="18"/>
            </w:rPr>
            <w:fldChar w:fldCharType="end"/>
          </w:r>
        </w:p>
        <w:p w14:paraId="3E20AB16">
          <w:pPr>
            <w:pStyle w:val="2"/>
            <w:tabs>
              <w:tab w:val="right" w:leader="dot" w:pos="3928"/>
            </w:tabs>
            <w:spacing w:before="106" w:line="219" w:lineRule="auto"/>
            <w:ind w:left="9"/>
            <w:rPr>
              <w:rFonts w:ascii="Times New Roman" w:hAnsi="Times New Roman" w:eastAsia="Times New Roman" w:cs="Times New Roman"/>
              <w:sz w:val="18"/>
              <w:szCs w:val="18"/>
            </w:rPr>
          </w:pPr>
          <w:bookmarkStart w:id="6" w:name="bookmark7"/>
          <w:bookmarkEnd w:id="6"/>
          <w:r>
            <w:fldChar w:fldCharType="begin"/>
          </w:r>
          <w:r>
            <w:instrText xml:space="preserve"> HYPERLINK \l "bookmark7" </w:instrText>
          </w:r>
          <w:r>
            <w:fldChar w:fldCharType="separate"/>
          </w:r>
          <w:r>
            <w:rPr>
              <w:rFonts w:ascii="Times New Roman" w:hAnsi="Times New Roman" w:eastAsia="Times New Roman" w:cs="Times New Roman"/>
              <w:spacing w:val="-1"/>
              <w:sz w:val="18"/>
              <w:szCs w:val="18"/>
            </w:rPr>
            <w:t>1.3</w:t>
          </w:r>
          <w:r>
            <w:rPr>
              <w:rFonts w:ascii="Times New Roman" w:hAnsi="Times New Roman" w:eastAsia="Times New Roman" w:cs="Times New Roman"/>
              <w:spacing w:val="15"/>
              <w:w w:val="101"/>
              <w:sz w:val="18"/>
              <w:szCs w:val="18"/>
            </w:rPr>
            <w:t xml:space="preserve">   </w:t>
          </w:r>
          <w:r>
            <w:rPr>
              <w:spacing w:val="-1"/>
              <w:sz w:val="18"/>
              <w:szCs w:val="18"/>
            </w:rPr>
            <w:t>信息基础设施</w:t>
          </w:r>
          <w:r>
            <w:rPr>
              <w:spacing w:val="-69"/>
              <w:sz w:val="18"/>
              <w:szCs w:val="18"/>
            </w:rPr>
            <w:t xml:space="preserve"> </w:t>
          </w:r>
          <w:r>
            <w:rPr>
              <w:sz w:val="18"/>
              <w:szCs w:val="18"/>
            </w:rPr>
            <w:tab/>
          </w:r>
          <w:r>
            <w:rPr>
              <w:rFonts w:ascii="Times New Roman" w:hAnsi="Times New Roman" w:eastAsia="Times New Roman" w:cs="Times New Roman"/>
              <w:spacing w:val="10"/>
              <w:sz w:val="18"/>
              <w:szCs w:val="18"/>
            </w:rPr>
            <w:t>8</w:t>
          </w:r>
          <w:r>
            <w:rPr>
              <w:rFonts w:ascii="Times New Roman" w:hAnsi="Times New Roman" w:eastAsia="Times New Roman" w:cs="Times New Roman"/>
              <w:spacing w:val="10"/>
              <w:sz w:val="18"/>
              <w:szCs w:val="18"/>
            </w:rPr>
            <w:fldChar w:fldCharType="end"/>
          </w:r>
        </w:p>
        <w:p w14:paraId="560E2CD1">
          <w:pPr>
            <w:pStyle w:val="2"/>
            <w:tabs>
              <w:tab w:val="right" w:leader="dot" w:pos="3928"/>
            </w:tabs>
            <w:spacing w:before="97" w:line="219" w:lineRule="auto"/>
            <w:ind w:left="409"/>
            <w:rPr>
              <w:rFonts w:ascii="Times New Roman" w:hAnsi="Times New Roman" w:eastAsia="Times New Roman" w:cs="Times New Roman"/>
              <w:sz w:val="18"/>
              <w:szCs w:val="18"/>
            </w:rPr>
          </w:pPr>
          <w:bookmarkStart w:id="7" w:name="bookmark8"/>
          <w:bookmarkEnd w:id="7"/>
          <w:r>
            <w:fldChar w:fldCharType="begin"/>
          </w:r>
          <w:r>
            <w:instrText xml:space="preserve"> HYPERLINK \l "bookmark8" </w:instrText>
          </w:r>
          <w:r>
            <w:fldChar w:fldCharType="separate"/>
          </w:r>
          <w:r>
            <w:rPr>
              <w:rFonts w:ascii="Times New Roman" w:hAnsi="Times New Roman" w:eastAsia="Times New Roman" w:cs="Times New Roman"/>
              <w:spacing w:val="-2"/>
              <w:sz w:val="18"/>
              <w:szCs w:val="18"/>
            </w:rPr>
            <w:t>1.3.1</w:t>
          </w:r>
          <w:r>
            <w:rPr>
              <w:rFonts w:ascii="Times New Roman" w:hAnsi="Times New Roman" w:eastAsia="Times New Roman" w:cs="Times New Roman"/>
              <w:spacing w:val="3"/>
              <w:sz w:val="18"/>
              <w:szCs w:val="18"/>
            </w:rPr>
            <w:t xml:space="preserve">    </w:t>
          </w:r>
          <w:r>
            <w:rPr>
              <w:spacing w:val="-2"/>
              <w:sz w:val="18"/>
              <w:szCs w:val="18"/>
            </w:rPr>
            <w:t>云计算</w:t>
          </w:r>
          <w:r>
            <w:rPr>
              <w:spacing w:val="-68"/>
              <w:sz w:val="18"/>
              <w:szCs w:val="18"/>
            </w:rPr>
            <w:t xml:space="preserve"> </w:t>
          </w:r>
          <w:r>
            <w:rPr>
              <w:sz w:val="18"/>
              <w:szCs w:val="18"/>
            </w:rPr>
            <w:tab/>
          </w:r>
          <w:r>
            <w:rPr>
              <w:rFonts w:ascii="Times New Roman" w:hAnsi="Times New Roman" w:eastAsia="Times New Roman" w:cs="Times New Roman"/>
              <w:spacing w:val="10"/>
              <w:sz w:val="18"/>
              <w:szCs w:val="18"/>
            </w:rPr>
            <w:t>8</w:t>
          </w:r>
          <w:r>
            <w:rPr>
              <w:rFonts w:ascii="Times New Roman" w:hAnsi="Times New Roman" w:eastAsia="Times New Roman" w:cs="Times New Roman"/>
              <w:spacing w:val="10"/>
              <w:sz w:val="18"/>
              <w:szCs w:val="18"/>
            </w:rPr>
            <w:fldChar w:fldCharType="end"/>
          </w:r>
        </w:p>
        <w:p w14:paraId="1A2AEF22">
          <w:pPr>
            <w:pStyle w:val="2"/>
            <w:tabs>
              <w:tab w:val="right" w:leader="dot" w:pos="3947"/>
            </w:tabs>
            <w:spacing w:before="106" w:line="219" w:lineRule="auto"/>
            <w:ind w:left="409"/>
            <w:rPr>
              <w:rFonts w:ascii="Times New Roman" w:hAnsi="Times New Roman" w:eastAsia="Times New Roman" w:cs="Times New Roman"/>
              <w:sz w:val="18"/>
              <w:szCs w:val="18"/>
            </w:rPr>
          </w:pPr>
          <w:bookmarkStart w:id="8" w:name="bookmark9"/>
          <w:bookmarkEnd w:id="8"/>
          <w:r>
            <w:fldChar w:fldCharType="begin"/>
          </w:r>
          <w:r>
            <w:instrText xml:space="preserve"> HYPERLINK \l "bookmark9" </w:instrText>
          </w:r>
          <w:r>
            <w:fldChar w:fldCharType="separate"/>
          </w:r>
          <w:r>
            <w:rPr>
              <w:rFonts w:ascii="Times New Roman" w:hAnsi="Times New Roman" w:eastAsia="Times New Roman" w:cs="Times New Roman"/>
              <w:spacing w:val="-3"/>
              <w:sz w:val="18"/>
              <w:szCs w:val="18"/>
            </w:rPr>
            <w:t xml:space="preserve">1.3.2    </w:t>
          </w:r>
          <w:r>
            <w:rPr>
              <w:spacing w:val="-3"/>
              <w:sz w:val="18"/>
              <w:szCs w:val="18"/>
            </w:rPr>
            <w:t>大数据</w:t>
          </w:r>
          <w:r>
            <w:rPr>
              <w:spacing w:val="-55"/>
              <w:sz w:val="18"/>
              <w:szCs w:val="18"/>
            </w:rPr>
            <w:t xml:space="preserve"> </w:t>
          </w:r>
          <w:r>
            <w:rPr>
              <w:sz w:val="18"/>
              <w:szCs w:val="18"/>
            </w:rPr>
            <w:tab/>
          </w:r>
          <w:r>
            <w:rPr>
              <w:rFonts w:ascii="Times New Roman" w:hAnsi="Times New Roman" w:eastAsia="Times New Roman" w:cs="Times New Roman"/>
              <w:spacing w:val="-3"/>
              <w:sz w:val="18"/>
              <w:szCs w:val="18"/>
            </w:rPr>
            <w:t>11</w:t>
          </w:r>
          <w:r>
            <w:rPr>
              <w:rFonts w:ascii="Times New Roman" w:hAnsi="Times New Roman" w:eastAsia="Times New Roman" w:cs="Times New Roman"/>
              <w:spacing w:val="-3"/>
              <w:sz w:val="18"/>
              <w:szCs w:val="18"/>
            </w:rPr>
            <w:fldChar w:fldCharType="end"/>
          </w:r>
        </w:p>
        <w:p w14:paraId="16EC5B90">
          <w:pPr>
            <w:pStyle w:val="2"/>
            <w:tabs>
              <w:tab w:val="right" w:leader="dot" w:pos="3947"/>
            </w:tabs>
            <w:spacing w:before="98" w:line="221" w:lineRule="auto"/>
            <w:ind w:left="409"/>
            <w:rPr>
              <w:rFonts w:ascii="Times New Roman" w:hAnsi="Times New Roman" w:eastAsia="Times New Roman" w:cs="Times New Roman"/>
              <w:sz w:val="18"/>
              <w:szCs w:val="18"/>
            </w:rPr>
          </w:pPr>
          <w:bookmarkStart w:id="9" w:name="bookmark10"/>
          <w:bookmarkEnd w:id="9"/>
          <w:r>
            <w:fldChar w:fldCharType="begin"/>
          </w:r>
          <w:r>
            <w:instrText xml:space="preserve"> HYPERLINK \l "bookmark10" </w:instrText>
          </w:r>
          <w:r>
            <w:fldChar w:fldCharType="separate"/>
          </w:r>
          <w:r>
            <w:rPr>
              <w:rFonts w:ascii="Times New Roman" w:hAnsi="Times New Roman" w:eastAsia="Times New Roman" w:cs="Times New Roman"/>
              <w:spacing w:val="-4"/>
              <w:sz w:val="18"/>
              <w:szCs w:val="18"/>
            </w:rPr>
            <w:t>1.3.3</w:t>
          </w:r>
          <w:r>
            <w:rPr>
              <w:rFonts w:ascii="Times New Roman" w:hAnsi="Times New Roman" w:eastAsia="Times New Roman" w:cs="Times New Roman"/>
              <w:spacing w:val="13"/>
              <w:sz w:val="18"/>
              <w:szCs w:val="18"/>
            </w:rPr>
            <w:t xml:space="preserve">   </w:t>
          </w:r>
          <w:r>
            <w:rPr>
              <w:spacing w:val="-4"/>
              <w:sz w:val="18"/>
              <w:szCs w:val="18"/>
            </w:rPr>
            <w:t>物联网</w:t>
          </w:r>
          <w:r>
            <w:rPr>
              <w:spacing w:val="-64"/>
              <w:sz w:val="18"/>
              <w:szCs w:val="18"/>
            </w:rPr>
            <w:t xml:space="preserve"> </w:t>
          </w:r>
          <w:r>
            <w:rPr>
              <w:sz w:val="18"/>
              <w:szCs w:val="18"/>
            </w:rPr>
            <w:tab/>
          </w:r>
          <w:r>
            <w:rPr>
              <w:rFonts w:ascii="Times New Roman" w:hAnsi="Times New Roman" w:eastAsia="Times New Roman" w:cs="Times New Roman"/>
              <w:spacing w:val="-8"/>
              <w:sz w:val="18"/>
              <w:szCs w:val="18"/>
            </w:rPr>
            <w:t>14</w:t>
          </w:r>
          <w:r>
            <w:rPr>
              <w:rFonts w:ascii="Times New Roman" w:hAnsi="Times New Roman" w:eastAsia="Times New Roman" w:cs="Times New Roman"/>
              <w:spacing w:val="-8"/>
              <w:sz w:val="18"/>
              <w:szCs w:val="18"/>
            </w:rPr>
            <w:fldChar w:fldCharType="end"/>
          </w:r>
        </w:p>
        <w:p w14:paraId="06D2EE33">
          <w:pPr>
            <w:pStyle w:val="2"/>
            <w:tabs>
              <w:tab w:val="right" w:leader="dot" w:pos="3937"/>
            </w:tabs>
            <w:spacing w:before="96" w:line="221" w:lineRule="auto"/>
            <w:ind w:left="409"/>
            <w:rPr>
              <w:rFonts w:ascii="Times New Roman" w:hAnsi="Times New Roman" w:eastAsia="Times New Roman" w:cs="Times New Roman"/>
              <w:sz w:val="18"/>
              <w:szCs w:val="18"/>
            </w:rPr>
          </w:pPr>
          <w:bookmarkStart w:id="10" w:name="bookmark11"/>
          <w:bookmarkEnd w:id="10"/>
          <w:r>
            <w:fldChar w:fldCharType="begin"/>
          </w:r>
          <w:r>
            <w:instrText xml:space="preserve"> HYPERLINK \l "bookmark11" </w:instrText>
          </w:r>
          <w:r>
            <w:fldChar w:fldCharType="separate"/>
          </w:r>
          <w:r>
            <w:rPr>
              <w:rFonts w:ascii="Times New Roman" w:hAnsi="Times New Roman" w:eastAsia="Times New Roman" w:cs="Times New Roman"/>
              <w:sz w:val="18"/>
              <w:szCs w:val="18"/>
            </w:rPr>
            <w:t>1.3.4</w:t>
          </w:r>
          <w:r>
            <w:rPr>
              <w:rFonts w:ascii="Times New Roman" w:hAnsi="Times New Roman" w:eastAsia="Times New Roman" w:cs="Times New Roman"/>
              <w:spacing w:val="13"/>
              <w:w w:val="101"/>
              <w:sz w:val="18"/>
              <w:szCs w:val="18"/>
            </w:rPr>
            <w:t xml:space="preserve">   </w:t>
          </w:r>
          <w:r>
            <w:rPr>
              <w:sz w:val="18"/>
              <w:szCs w:val="18"/>
            </w:rPr>
            <w:t>工业互联网</w:t>
          </w:r>
          <w:r>
            <w:rPr>
              <w:spacing w:val="-77"/>
              <w:sz w:val="18"/>
              <w:szCs w:val="18"/>
            </w:rPr>
            <w:t xml:space="preserve"> </w:t>
          </w:r>
          <w:r>
            <w:rPr>
              <w:sz w:val="18"/>
              <w:szCs w:val="18"/>
            </w:rPr>
            <w:tab/>
          </w:r>
          <w:r>
            <w:rPr>
              <w:rFonts w:ascii="Times New Roman" w:hAnsi="Times New Roman" w:eastAsia="Times New Roman" w:cs="Times New Roman"/>
              <w:spacing w:val="-3"/>
              <w:sz w:val="18"/>
              <w:szCs w:val="18"/>
            </w:rPr>
            <w:t>16</w:t>
          </w:r>
          <w:r>
            <w:rPr>
              <w:rFonts w:ascii="Times New Roman" w:hAnsi="Times New Roman" w:eastAsia="Times New Roman" w:cs="Times New Roman"/>
              <w:spacing w:val="-3"/>
              <w:sz w:val="18"/>
              <w:szCs w:val="18"/>
            </w:rPr>
            <w:fldChar w:fldCharType="end"/>
          </w:r>
        </w:p>
        <w:p w14:paraId="2DE926A1">
          <w:pPr>
            <w:pStyle w:val="2"/>
            <w:tabs>
              <w:tab w:val="right" w:leader="dot" w:pos="3927"/>
            </w:tabs>
            <w:spacing w:before="92" w:line="220" w:lineRule="auto"/>
            <w:ind w:left="409"/>
            <w:rPr>
              <w:rFonts w:ascii="Times New Roman" w:hAnsi="Times New Roman" w:eastAsia="Times New Roman" w:cs="Times New Roman"/>
              <w:sz w:val="18"/>
              <w:szCs w:val="18"/>
            </w:rPr>
          </w:pPr>
          <w:bookmarkStart w:id="11" w:name="bookmark12"/>
          <w:bookmarkEnd w:id="11"/>
          <w:r>
            <w:fldChar w:fldCharType="begin"/>
          </w:r>
          <w:r>
            <w:instrText xml:space="preserve"> HYPERLINK \l "bookmark12" </w:instrText>
          </w:r>
          <w:r>
            <w:fldChar w:fldCharType="separate"/>
          </w:r>
          <w:r>
            <w:rPr>
              <w:rFonts w:ascii="Times New Roman" w:hAnsi="Times New Roman" w:eastAsia="Times New Roman" w:cs="Times New Roman"/>
              <w:spacing w:val="-6"/>
              <w:sz w:val="18"/>
              <w:szCs w:val="18"/>
            </w:rPr>
            <w:t>1.3.5</w:t>
          </w:r>
          <w:r>
            <w:rPr>
              <w:rFonts w:ascii="Times New Roman" w:hAnsi="Times New Roman" w:eastAsia="Times New Roman" w:cs="Times New Roman"/>
              <w:spacing w:val="4"/>
              <w:sz w:val="18"/>
              <w:szCs w:val="18"/>
            </w:rPr>
            <w:t xml:space="preserve">    </w:t>
          </w:r>
          <w:r>
            <w:rPr>
              <w:spacing w:val="-6"/>
              <w:sz w:val="18"/>
              <w:szCs w:val="18"/>
            </w:rPr>
            <w:t>区块链</w:t>
          </w:r>
          <w:r>
            <w:rPr>
              <w:spacing w:val="-49"/>
              <w:sz w:val="18"/>
              <w:szCs w:val="18"/>
            </w:rPr>
            <w:t xml:space="preserve"> </w:t>
          </w:r>
          <w:r>
            <w:rPr>
              <w:sz w:val="18"/>
              <w:szCs w:val="18"/>
            </w:rPr>
            <w:tab/>
          </w:r>
          <w:r>
            <w:rPr>
              <w:rFonts w:ascii="Times New Roman" w:hAnsi="Times New Roman" w:eastAsia="Times New Roman" w:cs="Times New Roman"/>
              <w:spacing w:val="-3"/>
              <w:sz w:val="18"/>
              <w:szCs w:val="18"/>
            </w:rPr>
            <w:t>19</w:t>
          </w:r>
          <w:r>
            <w:rPr>
              <w:rFonts w:ascii="Times New Roman" w:hAnsi="Times New Roman" w:eastAsia="Times New Roman" w:cs="Times New Roman"/>
              <w:spacing w:val="-3"/>
              <w:sz w:val="18"/>
              <w:szCs w:val="18"/>
            </w:rPr>
            <w:fldChar w:fldCharType="end"/>
          </w:r>
        </w:p>
        <w:p w14:paraId="595ADFCC">
          <w:pPr>
            <w:pStyle w:val="2"/>
            <w:tabs>
              <w:tab w:val="right" w:leader="dot" w:pos="3936"/>
            </w:tabs>
            <w:spacing w:before="96" w:line="221" w:lineRule="auto"/>
            <w:ind w:left="409"/>
            <w:rPr>
              <w:rFonts w:ascii="Times New Roman" w:hAnsi="Times New Roman" w:eastAsia="Times New Roman" w:cs="Times New Roman"/>
              <w:sz w:val="18"/>
              <w:szCs w:val="18"/>
            </w:rPr>
          </w:pPr>
          <w:bookmarkStart w:id="12" w:name="bookmark13"/>
          <w:bookmarkEnd w:id="12"/>
          <w:r>
            <w:fldChar w:fldCharType="begin"/>
          </w:r>
          <w:r>
            <w:instrText xml:space="preserve"> HYPERLINK \l "bookmark13" </w:instrText>
          </w:r>
          <w:r>
            <w:fldChar w:fldCharType="separate"/>
          </w:r>
          <w:r>
            <w:rPr>
              <w:rFonts w:ascii="Times New Roman" w:hAnsi="Times New Roman" w:eastAsia="Times New Roman" w:cs="Times New Roman"/>
              <w:spacing w:val="-3"/>
              <w:sz w:val="18"/>
              <w:szCs w:val="18"/>
            </w:rPr>
            <w:t xml:space="preserve">1.3.6    </w:t>
          </w:r>
          <w:r>
            <w:rPr>
              <w:spacing w:val="-3"/>
              <w:sz w:val="18"/>
              <w:szCs w:val="18"/>
            </w:rPr>
            <w:t>人工智能</w:t>
          </w:r>
          <w:r>
            <w:rPr>
              <w:spacing w:val="-42"/>
              <w:sz w:val="18"/>
              <w:szCs w:val="18"/>
            </w:rPr>
            <w:t xml:space="preserve"> </w:t>
          </w:r>
          <w:r>
            <w:rPr>
              <w:sz w:val="18"/>
              <w:szCs w:val="18"/>
            </w:rPr>
            <w:tab/>
          </w:r>
          <w:r>
            <w:rPr>
              <w:rFonts w:ascii="Times New Roman" w:hAnsi="Times New Roman" w:eastAsia="Times New Roman" w:cs="Times New Roman"/>
              <w:spacing w:val="3"/>
              <w:sz w:val="18"/>
              <w:szCs w:val="18"/>
            </w:rPr>
            <w:t>23</w:t>
          </w:r>
          <w:r>
            <w:rPr>
              <w:rFonts w:ascii="Times New Roman" w:hAnsi="Times New Roman" w:eastAsia="Times New Roman" w:cs="Times New Roman"/>
              <w:spacing w:val="3"/>
              <w:sz w:val="18"/>
              <w:szCs w:val="18"/>
            </w:rPr>
            <w:fldChar w:fldCharType="end"/>
          </w:r>
        </w:p>
        <w:p w14:paraId="7088A584">
          <w:pPr>
            <w:pStyle w:val="2"/>
            <w:tabs>
              <w:tab w:val="right" w:leader="dot" w:pos="3936"/>
            </w:tabs>
            <w:spacing w:before="74" w:line="212" w:lineRule="auto"/>
            <w:ind w:left="409"/>
            <w:rPr>
              <w:rFonts w:ascii="Times New Roman" w:hAnsi="Times New Roman" w:eastAsia="Times New Roman" w:cs="Times New Roman"/>
              <w:sz w:val="18"/>
              <w:szCs w:val="18"/>
            </w:rPr>
          </w:pPr>
          <w:bookmarkStart w:id="13" w:name="bookmark14"/>
          <w:bookmarkEnd w:id="13"/>
          <w:r>
            <w:fldChar w:fldCharType="begin"/>
          </w:r>
          <w:r>
            <w:instrText xml:space="preserve"> HYPERLINK \l "bookmark14" </w:instrText>
          </w:r>
          <w:r>
            <w:fldChar w:fldCharType="separate"/>
          </w:r>
          <w:r>
            <w:rPr>
              <w:rFonts w:ascii="Times New Roman" w:hAnsi="Times New Roman" w:eastAsia="Times New Roman" w:cs="Times New Roman"/>
              <w:spacing w:val="1"/>
              <w:sz w:val="18"/>
              <w:szCs w:val="18"/>
            </w:rPr>
            <w:t>1.3.7</w:t>
          </w:r>
          <w:r>
            <w:rPr>
              <w:rFonts w:ascii="Times New Roman" w:hAnsi="Times New Roman" w:eastAsia="Times New Roman" w:cs="Times New Roman"/>
              <w:spacing w:val="2"/>
              <w:sz w:val="18"/>
              <w:szCs w:val="18"/>
            </w:rPr>
            <w:t xml:space="preserve">    </w:t>
          </w:r>
          <w:r>
            <w:rPr>
              <w:spacing w:val="1"/>
              <w:sz w:val="18"/>
              <w:szCs w:val="18"/>
            </w:rPr>
            <w:t>虚拟现实(</w:t>
          </w:r>
          <w:r>
            <w:rPr>
              <w:rFonts w:ascii="Times New Roman" w:hAnsi="Times New Roman" w:eastAsia="Times New Roman" w:cs="Times New Roman"/>
              <w:sz w:val="18"/>
              <w:szCs w:val="18"/>
            </w:rPr>
            <w:t>VR</w:t>
          </w:r>
          <w:r>
            <w:rPr>
              <w:spacing w:val="1"/>
              <w:sz w:val="18"/>
              <w:szCs w:val="18"/>
            </w:rPr>
            <w:t>)和增强现实(</w:t>
          </w:r>
          <w:r>
            <w:rPr>
              <w:rFonts w:ascii="Times New Roman" w:hAnsi="Times New Roman" w:eastAsia="Times New Roman" w:cs="Times New Roman"/>
              <w:sz w:val="18"/>
              <w:szCs w:val="18"/>
            </w:rPr>
            <w:t>AR</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ab/>
          </w:r>
          <w:r>
            <w:rPr>
              <w:rFonts w:ascii="Times New Roman" w:hAnsi="Times New Roman" w:eastAsia="Times New Roman" w:cs="Times New Roman"/>
              <w:spacing w:val="6"/>
              <w:sz w:val="18"/>
              <w:szCs w:val="18"/>
            </w:rPr>
            <w:t>25</w:t>
          </w:r>
          <w:r>
            <w:rPr>
              <w:rFonts w:ascii="Times New Roman" w:hAnsi="Times New Roman" w:eastAsia="Times New Roman" w:cs="Times New Roman"/>
              <w:spacing w:val="6"/>
              <w:sz w:val="18"/>
              <w:szCs w:val="18"/>
            </w:rPr>
            <w:fldChar w:fldCharType="end"/>
          </w:r>
        </w:p>
        <w:p w14:paraId="3B0A332D">
          <w:pPr>
            <w:pStyle w:val="2"/>
            <w:tabs>
              <w:tab w:val="right" w:leader="dot" w:pos="3936"/>
            </w:tabs>
            <w:spacing w:before="123" w:line="219" w:lineRule="auto"/>
            <w:ind w:left="9"/>
            <w:rPr>
              <w:rFonts w:ascii="Times New Roman" w:hAnsi="Times New Roman" w:eastAsia="Times New Roman" w:cs="Times New Roman"/>
              <w:sz w:val="18"/>
              <w:szCs w:val="18"/>
            </w:rPr>
          </w:pPr>
          <w:bookmarkStart w:id="14" w:name="bookmark15"/>
          <w:bookmarkEnd w:id="14"/>
          <w:r>
            <w:fldChar w:fldCharType="begin"/>
          </w:r>
          <w:r>
            <w:instrText xml:space="preserve"> HYPERLINK \l "bookmark15" </w:instrText>
          </w:r>
          <w:r>
            <w:fldChar w:fldCharType="separate"/>
          </w:r>
          <w:r>
            <w:rPr>
              <w:rFonts w:ascii="Times New Roman" w:hAnsi="Times New Roman" w:eastAsia="Times New Roman" w:cs="Times New Roman"/>
              <w:spacing w:val="1"/>
              <w:sz w:val="18"/>
              <w:szCs w:val="18"/>
            </w:rPr>
            <w:t>1.4</w:t>
          </w:r>
          <w:r>
            <w:rPr>
              <w:rFonts w:ascii="Times New Roman" w:hAnsi="Times New Roman" w:eastAsia="Times New Roman" w:cs="Times New Roman"/>
              <w:spacing w:val="14"/>
              <w:sz w:val="18"/>
              <w:szCs w:val="18"/>
            </w:rPr>
            <w:t xml:space="preserve">   </w:t>
          </w:r>
          <w:r>
            <w:rPr>
              <w:spacing w:val="1"/>
              <w:sz w:val="18"/>
              <w:szCs w:val="18"/>
            </w:rPr>
            <w:t>信息化应用</w:t>
          </w:r>
          <w:r>
            <w:rPr>
              <w:spacing w:val="-81"/>
              <w:sz w:val="18"/>
              <w:szCs w:val="18"/>
            </w:rPr>
            <w:t xml:space="preserve"> </w:t>
          </w:r>
          <w:r>
            <w:rPr>
              <w:sz w:val="18"/>
              <w:szCs w:val="18"/>
            </w:rPr>
            <w:tab/>
          </w:r>
          <w:r>
            <w:rPr>
              <w:rFonts w:ascii="Times New Roman" w:hAnsi="Times New Roman" w:eastAsia="Times New Roman" w:cs="Times New Roman"/>
              <w:spacing w:val="3"/>
              <w:sz w:val="18"/>
              <w:szCs w:val="18"/>
            </w:rPr>
            <w:t>27</w:t>
          </w:r>
          <w:r>
            <w:rPr>
              <w:rFonts w:ascii="Times New Roman" w:hAnsi="Times New Roman" w:eastAsia="Times New Roman" w:cs="Times New Roman"/>
              <w:spacing w:val="3"/>
              <w:sz w:val="18"/>
              <w:szCs w:val="18"/>
            </w:rPr>
            <w:fldChar w:fldCharType="end"/>
          </w:r>
        </w:p>
        <w:p w14:paraId="5594A59E">
          <w:pPr>
            <w:pStyle w:val="2"/>
            <w:tabs>
              <w:tab w:val="right" w:leader="dot" w:pos="3956"/>
            </w:tabs>
            <w:spacing w:before="95" w:line="219" w:lineRule="auto"/>
            <w:ind w:left="409"/>
            <w:rPr>
              <w:rFonts w:ascii="Times New Roman" w:hAnsi="Times New Roman" w:eastAsia="Times New Roman" w:cs="Times New Roman"/>
              <w:sz w:val="18"/>
              <w:szCs w:val="18"/>
            </w:rPr>
          </w:pPr>
          <w:bookmarkStart w:id="15" w:name="bookmark16"/>
          <w:bookmarkEnd w:id="15"/>
          <w:r>
            <w:fldChar w:fldCharType="begin"/>
          </w:r>
          <w:r>
            <w:instrText xml:space="preserve"> HYPERLINK \l "bookmark16" </w:instrText>
          </w:r>
          <w:r>
            <w:fldChar w:fldCharType="separate"/>
          </w:r>
          <w:r>
            <w:rPr>
              <w:rFonts w:ascii="Times New Roman" w:hAnsi="Times New Roman" w:eastAsia="Times New Roman" w:cs="Times New Roman"/>
              <w:spacing w:val="-3"/>
              <w:sz w:val="18"/>
              <w:szCs w:val="18"/>
            </w:rPr>
            <w:t xml:space="preserve">1.4.1    </w:t>
          </w:r>
          <w:r>
            <w:rPr>
              <w:spacing w:val="-3"/>
              <w:sz w:val="18"/>
              <w:szCs w:val="18"/>
            </w:rPr>
            <w:t>数字政府</w:t>
          </w:r>
          <w:r>
            <w:rPr>
              <w:spacing w:val="-42"/>
              <w:sz w:val="18"/>
              <w:szCs w:val="18"/>
            </w:rPr>
            <w:t xml:space="preserve"> </w:t>
          </w:r>
          <w:r>
            <w:rPr>
              <w:sz w:val="18"/>
              <w:szCs w:val="18"/>
            </w:rPr>
            <w:tab/>
          </w:r>
          <w:r>
            <w:rPr>
              <w:rFonts w:ascii="Times New Roman" w:hAnsi="Times New Roman" w:eastAsia="Times New Roman" w:cs="Times New Roman"/>
              <w:spacing w:val="3"/>
              <w:sz w:val="18"/>
              <w:szCs w:val="18"/>
            </w:rPr>
            <w:t>27</w:t>
          </w:r>
          <w:r>
            <w:rPr>
              <w:rFonts w:ascii="Times New Roman" w:hAnsi="Times New Roman" w:eastAsia="Times New Roman" w:cs="Times New Roman"/>
              <w:spacing w:val="3"/>
              <w:sz w:val="18"/>
              <w:szCs w:val="18"/>
            </w:rPr>
            <w:fldChar w:fldCharType="end"/>
          </w:r>
        </w:p>
        <w:p w14:paraId="5DFB87F0">
          <w:pPr>
            <w:pStyle w:val="2"/>
            <w:tabs>
              <w:tab w:val="right" w:leader="dot" w:pos="3962"/>
            </w:tabs>
            <w:spacing w:before="98" w:line="219" w:lineRule="auto"/>
            <w:ind w:left="409"/>
            <w:rPr>
              <w:rFonts w:ascii="Times New Roman" w:hAnsi="Times New Roman" w:eastAsia="Times New Roman" w:cs="Times New Roman"/>
              <w:sz w:val="18"/>
              <w:szCs w:val="18"/>
            </w:rPr>
          </w:pPr>
          <w:bookmarkStart w:id="16" w:name="bookmark17"/>
          <w:bookmarkEnd w:id="16"/>
          <w:r>
            <w:fldChar w:fldCharType="begin"/>
          </w:r>
          <w:r>
            <w:instrText xml:space="preserve"> HYPERLINK \l "bookmark17" </w:instrText>
          </w:r>
          <w:r>
            <w:fldChar w:fldCharType="separate"/>
          </w:r>
          <w:r>
            <w:rPr>
              <w:rFonts w:ascii="Times New Roman" w:hAnsi="Times New Roman" w:eastAsia="Times New Roman" w:cs="Times New Roman"/>
              <w:spacing w:val="-4"/>
              <w:sz w:val="18"/>
              <w:szCs w:val="18"/>
            </w:rPr>
            <w:t>1.4.2</w:t>
          </w:r>
          <w:r>
            <w:rPr>
              <w:rFonts w:ascii="Times New Roman" w:hAnsi="Times New Roman" w:eastAsia="Times New Roman" w:cs="Times New Roman"/>
              <w:spacing w:val="4"/>
              <w:sz w:val="18"/>
              <w:szCs w:val="18"/>
            </w:rPr>
            <w:t xml:space="preserve">    </w:t>
          </w:r>
          <w:r>
            <w:rPr>
              <w:spacing w:val="-4"/>
              <w:sz w:val="18"/>
              <w:szCs w:val="18"/>
            </w:rPr>
            <w:t>数字经济</w:t>
          </w:r>
          <w:r>
            <w:rPr>
              <w:spacing w:val="-61"/>
              <w:sz w:val="18"/>
              <w:szCs w:val="18"/>
            </w:rPr>
            <w:t xml:space="preserve"> </w:t>
          </w:r>
          <w:r>
            <w:rPr>
              <w:sz w:val="18"/>
              <w:szCs w:val="18"/>
            </w:rPr>
            <w:tab/>
          </w:r>
          <w:r>
            <w:rPr>
              <w:rFonts w:ascii="Times New Roman" w:hAnsi="Times New Roman" w:eastAsia="Times New Roman" w:cs="Times New Roman"/>
              <w:spacing w:val="1"/>
              <w:sz w:val="18"/>
              <w:szCs w:val="18"/>
            </w:rPr>
            <w:t>31</w:t>
          </w:r>
          <w:r>
            <w:rPr>
              <w:rFonts w:ascii="Times New Roman" w:hAnsi="Times New Roman" w:eastAsia="Times New Roman" w:cs="Times New Roman"/>
              <w:spacing w:val="1"/>
              <w:sz w:val="18"/>
              <w:szCs w:val="18"/>
            </w:rPr>
            <w:fldChar w:fldCharType="end"/>
          </w:r>
        </w:p>
        <w:p w14:paraId="598A38B1">
          <w:pPr>
            <w:pStyle w:val="2"/>
            <w:tabs>
              <w:tab w:val="right" w:leader="dot" w:pos="3942"/>
            </w:tabs>
            <w:spacing w:before="97" w:line="219" w:lineRule="auto"/>
            <w:ind w:left="409"/>
            <w:rPr>
              <w:rFonts w:ascii="Times New Roman" w:hAnsi="Times New Roman" w:eastAsia="Times New Roman" w:cs="Times New Roman"/>
              <w:sz w:val="18"/>
              <w:szCs w:val="18"/>
            </w:rPr>
          </w:pPr>
          <w:bookmarkStart w:id="17" w:name="bookmark18"/>
          <w:bookmarkEnd w:id="17"/>
          <w:r>
            <w:fldChar w:fldCharType="begin"/>
          </w:r>
          <w:r>
            <w:instrText xml:space="preserve"> HYPERLINK \l "bookmark18" </w:instrText>
          </w:r>
          <w:r>
            <w:fldChar w:fldCharType="separate"/>
          </w:r>
          <w:r>
            <w:rPr>
              <w:rFonts w:ascii="Times New Roman" w:hAnsi="Times New Roman" w:eastAsia="Times New Roman" w:cs="Times New Roman"/>
              <w:spacing w:val="-1"/>
              <w:sz w:val="18"/>
              <w:szCs w:val="18"/>
            </w:rPr>
            <w:t xml:space="preserve">1.4.3    </w:t>
          </w:r>
          <w:r>
            <w:rPr>
              <w:spacing w:val="-1"/>
              <w:sz w:val="18"/>
              <w:szCs w:val="18"/>
            </w:rPr>
            <w:t>智慧城市</w:t>
          </w:r>
          <w:r>
            <w:rPr>
              <w:spacing w:val="-68"/>
              <w:sz w:val="18"/>
              <w:szCs w:val="18"/>
            </w:rPr>
            <w:t xml:space="preserve"> </w:t>
          </w:r>
          <w:r>
            <w:rPr>
              <w:sz w:val="18"/>
              <w:szCs w:val="18"/>
            </w:rPr>
            <w:tab/>
          </w:r>
          <w:r>
            <w:rPr>
              <w:rFonts w:ascii="Times New Roman" w:hAnsi="Times New Roman" w:eastAsia="Times New Roman" w:cs="Times New Roman"/>
              <w:spacing w:val="1"/>
              <w:sz w:val="18"/>
              <w:szCs w:val="18"/>
            </w:rPr>
            <w:t>34</w:t>
          </w:r>
          <w:r>
            <w:rPr>
              <w:rFonts w:ascii="Times New Roman" w:hAnsi="Times New Roman" w:eastAsia="Times New Roman" w:cs="Times New Roman"/>
              <w:spacing w:val="1"/>
              <w:sz w:val="18"/>
              <w:szCs w:val="18"/>
            </w:rPr>
            <w:fldChar w:fldCharType="end"/>
          </w:r>
        </w:p>
        <w:p w14:paraId="2757F3D4">
          <w:pPr>
            <w:pStyle w:val="2"/>
            <w:tabs>
              <w:tab w:val="right" w:leader="dot" w:pos="3942"/>
            </w:tabs>
            <w:spacing w:before="95" w:line="219" w:lineRule="auto"/>
            <w:ind w:left="409"/>
            <w:rPr>
              <w:rFonts w:ascii="Times New Roman" w:hAnsi="Times New Roman" w:eastAsia="Times New Roman" w:cs="Times New Roman"/>
              <w:sz w:val="18"/>
              <w:szCs w:val="18"/>
            </w:rPr>
          </w:pPr>
          <w:bookmarkStart w:id="18" w:name="bookmark19"/>
          <w:bookmarkEnd w:id="18"/>
          <w:r>
            <w:fldChar w:fldCharType="begin"/>
          </w:r>
          <w:r>
            <w:instrText xml:space="preserve"> HYPERLINK \l "bookmark19" </w:instrText>
          </w:r>
          <w:r>
            <w:fldChar w:fldCharType="separate"/>
          </w:r>
          <w:r>
            <w:rPr>
              <w:rFonts w:ascii="Times New Roman" w:hAnsi="Times New Roman" w:eastAsia="Times New Roman" w:cs="Times New Roman"/>
              <w:spacing w:val="-4"/>
              <w:sz w:val="18"/>
              <w:szCs w:val="18"/>
            </w:rPr>
            <w:t>1.4.4</w:t>
          </w:r>
          <w:r>
            <w:rPr>
              <w:rFonts w:ascii="Times New Roman" w:hAnsi="Times New Roman" w:eastAsia="Times New Roman" w:cs="Times New Roman"/>
              <w:spacing w:val="13"/>
              <w:w w:val="101"/>
              <w:sz w:val="18"/>
              <w:szCs w:val="18"/>
            </w:rPr>
            <w:t xml:space="preserve">   </w:t>
          </w:r>
          <w:r>
            <w:rPr>
              <w:spacing w:val="-4"/>
              <w:sz w:val="18"/>
              <w:szCs w:val="18"/>
            </w:rPr>
            <w:t>数字乡村</w:t>
          </w:r>
          <w:r>
            <w:rPr>
              <w:spacing w:val="-51"/>
              <w:sz w:val="18"/>
              <w:szCs w:val="18"/>
            </w:rPr>
            <w:t xml:space="preserve"> </w:t>
          </w:r>
          <w:r>
            <w:rPr>
              <w:sz w:val="18"/>
              <w:szCs w:val="18"/>
            </w:rPr>
            <w:tab/>
          </w:r>
          <w:r>
            <w:rPr>
              <w:rFonts w:ascii="Times New Roman" w:hAnsi="Times New Roman" w:eastAsia="Times New Roman" w:cs="Times New Roman"/>
              <w:spacing w:val="1"/>
              <w:sz w:val="18"/>
              <w:szCs w:val="18"/>
            </w:rPr>
            <w:t>39</w:t>
          </w:r>
          <w:r>
            <w:rPr>
              <w:rFonts w:ascii="Times New Roman" w:hAnsi="Times New Roman" w:eastAsia="Times New Roman" w:cs="Times New Roman"/>
              <w:spacing w:val="1"/>
              <w:sz w:val="18"/>
              <w:szCs w:val="18"/>
            </w:rPr>
            <w:fldChar w:fldCharType="end"/>
          </w:r>
        </w:p>
        <w:p w14:paraId="0FAC66B7">
          <w:pPr>
            <w:spacing w:line="347" w:lineRule="auto"/>
            <w:rPr>
              <w:rFonts w:ascii="Arial"/>
              <w:sz w:val="21"/>
            </w:rPr>
          </w:pPr>
        </w:p>
        <w:p w14:paraId="66C6D4F5">
          <w:pPr>
            <w:spacing w:line="348" w:lineRule="auto"/>
            <w:rPr>
              <w:rFonts w:ascii="Arial"/>
              <w:sz w:val="21"/>
            </w:rPr>
          </w:pPr>
        </w:p>
        <w:p w14:paraId="695C8DEA">
          <w:pPr>
            <w:pStyle w:val="2"/>
            <w:tabs>
              <w:tab w:val="right" w:leader="dot" w:pos="3857"/>
            </w:tabs>
            <w:spacing w:before="58" w:line="219" w:lineRule="auto"/>
            <w:ind w:left="9"/>
            <w:rPr>
              <w:rFonts w:ascii="Times New Roman" w:hAnsi="Times New Roman" w:eastAsia="Times New Roman" w:cs="Times New Roman"/>
              <w:sz w:val="18"/>
              <w:szCs w:val="18"/>
            </w:rPr>
          </w:pPr>
          <w:bookmarkStart w:id="19" w:name="bookmark20"/>
          <w:bookmarkEnd w:id="19"/>
          <w:r>
            <w:fldChar w:fldCharType="begin"/>
          </w:r>
          <w:r>
            <w:instrText xml:space="preserve"> HYPERLINK \l "bookmark20" </w:instrText>
          </w:r>
          <w:r>
            <w:fldChar w:fldCharType="separate"/>
          </w:r>
          <w:r>
            <w:rPr>
              <w:rFonts w:ascii="Times New Roman" w:hAnsi="Times New Roman" w:eastAsia="Times New Roman" w:cs="Times New Roman"/>
              <w:spacing w:val="-2"/>
              <w:sz w:val="18"/>
              <w:szCs w:val="18"/>
            </w:rPr>
            <w:t>2.1</w:t>
          </w:r>
          <w:r>
            <w:rPr>
              <w:rFonts w:ascii="Times New Roman" w:hAnsi="Times New Roman" w:eastAsia="Times New Roman" w:cs="Times New Roman"/>
              <w:spacing w:val="12"/>
              <w:sz w:val="18"/>
              <w:szCs w:val="18"/>
            </w:rPr>
            <w:t xml:space="preserve">   </w:t>
          </w:r>
          <w:r>
            <w:rPr>
              <w:spacing w:val="-2"/>
              <w:sz w:val="18"/>
              <w:szCs w:val="18"/>
            </w:rPr>
            <w:t>信息系统</w:t>
          </w:r>
          <w:r>
            <w:rPr>
              <w:spacing w:val="-53"/>
              <w:sz w:val="18"/>
              <w:szCs w:val="18"/>
            </w:rPr>
            <w:t xml:space="preserve"> </w:t>
          </w:r>
          <w:r>
            <w:rPr>
              <w:sz w:val="18"/>
              <w:szCs w:val="18"/>
            </w:rPr>
            <w:tab/>
          </w:r>
          <w:r>
            <w:rPr>
              <w:rFonts w:ascii="Times New Roman" w:hAnsi="Times New Roman" w:eastAsia="Times New Roman" w:cs="Times New Roman"/>
              <w:spacing w:val="8"/>
              <w:sz w:val="18"/>
              <w:szCs w:val="18"/>
            </w:rPr>
            <w:t>4</w:t>
          </w:r>
          <w:r>
            <w:rPr>
              <w:rFonts w:ascii="Times New Roman" w:hAnsi="Times New Roman" w:eastAsia="Times New Roman" w:cs="Times New Roman"/>
              <w:spacing w:val="8"/>
              <w:sz w:val="18"/>
              <w:szCs w:val="18"/>
            </w:rPr>
            <w:fldChar w:fldCharType="end"/>
          </w:r>
        </w:p>
        <w:p w14:paraId="6A1B9A36">
          <w:pPr>
            <w:pStyle w:val="2"/>
            <w:tabs>
              <w:tab w:val="right" w:leader="dot" w:pos="3797"/>
            </w:tabs>
            <w:spacing w:before="87" w:line="219" w:lineRule="auto"/>
            <w:ind w:left="409"/>
            <w:rPr>
              <w:rFonts w:ascii="Times New Roman" w:hAnsi="Times New Roman" w:eastAsia="Times New Roman" w:cs="Times New Roman"/>
              <w:sz w:val="18"/>
              <w:szCs w:val="18"/>
            </w:rPr>
          </w:pPr>
          <w:bookmarkStart w:id="20" w:name="bookmark21"/>
          <w:bookmarkEnd w:id="20"/>
          <w:r>
            <w:fldChar w:fldCharType="begin"/>
          </w:r>
          <w:r>
            <w:instrText xml:space="preserve"> HYPERLINK \l "bookmark21" </w:instrText>
          </w:r>
          <w:r>
            <w:fldChar w:fldCharType="separate"/>
          </w:r>
          <w:r>
            <w:rPr>
              <w:rFonts w:ascii="Times New Roman" w:hAnsi="Times New Roman" w:eastAsia="Times New Roman" w:cs="Times New Roman"/>
              <w:spacing w:val="2"/>
              <w:sz w:val="18"/>
              <w:szCs w:val="18"/>
            </w:rPr>
            <w:t>2.1.1</w:t>
          </w:r>
          <w:r>
            <w:rPr>
              <w:rFonts w:ascii="Times New Roman" w:hAnsi="Times New Roman" w:eastAsia="Times New Roman" w:cs="Times New Roman"/>
              <w:spacing w:val="9"/>
              <w:sz w:val="18"/>
              <w:szCs w:val="18"/>
            </w:rPr>
            <w:t xml:space="preserve">   </w:t>
          </w:r>
          <w:r>
            <w:rPr>
              <w:spacing w:val="2"/>
              <w:sz w:val="18"/>
              <w:szCs w:val="18"/>
            </w:rPr>
            <w:t>信息系统的定义</w:t>
          </w:r>
          <w:r>
            <w:rPr>
              <w:spacing w:val="-68"/>
              <w:sz w:val="18"/>
              <w:szCs w:val="18"/>
            </w:rPr>
            <w:t xml:space="preserve"> </w:t>
          </w:r>
          <w:r>
            <w:rPr>
              <w:sz w:val="18"/>
              <w:szCs w:val="18"/>
            </w:rPr>
            <w:tab/>
          </w:r>
          <w:r>
            <w:rPr>
              <w:rFonts w:ascii="Times New Roman" w:hAnsi="Times New Roman" w:eastAsia="Times New Roman" w:cs="Times New Roman"/>
              <w:spacing w:val="4"/>
              <w:sz w:val="18"/>
              <w:szCs w:val="18"/>
            </w:rPr>
            <w:t>44</w:t>
          </w:r>
          <w:r>
            <w:rPr>
              <w:rFonts w:ascii="Times New Roman" w:hAnsi="Times New Roman" w:eastAsia="Times New Roman" w:cs="Times New Roman"/>
              <w:spacing w:val="4"/>
              <w:sz w:val="18"/>
              <w:szCs w:val="18"/>
            </w:rPr>
            <w:fldChar w:fldCharType="end"/>
          </w:r>
        </w:p>
        <w:p w14:paraId="114907D5">
          <w:pPr>
            <w:pStyle w:val="2"/>
            <w:tabs>
              <w:tab w:val="right" w:leader="dot" w:pos="3937"/>
            </w:tabs>
            <w:spacing w:before="86" w:line="219" w:lineRule="auto"/>
            <w:ind w:left="409"/>
            <w:rPr>
              <w:rFonts w:ascii="Times New Roman" w:hAnsi="Times New Roman" w:eastAsia="Times New Roman" w:cs="Times New Roman"/>
              <w:sz w:val="18"/>
              <w:szCs w:val="18"/>
            </w:rPr>
          </w:pPr>
          <w:bookmarkStart w:id="21" w:name="bookmark22"/>
          <w:bookmarkEnd w:id="21"/>
          <w:r>
            <w:fldChar w:fldCharType="begin"/>
          </w:r>
          <w:r>
            <w:instrText xml:space="preserve"> HYPERLINK \l "bookmark22" </w:instrText>
          </w:r>
          <w:r>
            <w:fldChar w:fldCharType="separate"/>
          </w:r>
          <w:r>
            <w:rPr>
              <w:rFonts w:ascii="Times New Roman" w:hAnsi="Times New Roman" w:eastAsia="Times New Roman" w:cs="Times New Roman"/>
              <w:spacing w:val="-1"/>
              <w:sz w:val="18"/>
              <w:szCs w:val="18"/>
            </w:rPr>
            <w:t>2.1.2</w:t>
          </w:r>
          <w:r>
            <w:rPr>
              <w:rFonts w:ascii="Times New Roman" w:hAnsi="Times New Roman" w:eastAsia="Times New Roman" w:cs="Times New Roman"/>
              <w:spacing w:val="13"/>
              <w:sz w:val="18"/>
              <w:szCs w:val="18"/>
            </w:rPr>
            <w:t xml:space="preserve">   </w:t>
          </w:r>
          <w:r>
            <w:rPr>
              <w:spacing w:val="-1"/>
              <w:sz w:val="18"/>
              <w:szCs w:val="18"/>
            </w:rPr>
            <w:t>信息系统的发展</w:t>
          </w:r>
          <w:r>
            <w:rPr>
              <w:spacing w:val="-53"/>
              <w:sz w:val="18"/>
              <w:szCs w:val="18"/>
            </w:rPr>
            <w:t xml:space="preserve"> </w:t>
          </w:r>
          <w:r>
            <w:rPr>
              <w:sz w:val="18"/>
              <w:szCs w:val="18"/>
            </w:rPr>
            <w:tab/>
          </w:r>
          <w:r>
            <w:rPr>
              <w:rFonts w:ascii="Times New Roman" w:hAnsi="Times New Roman" w:eastAsia="Times New Roman" w:cs="Times New Roman"/>
              <w:spacing w:val="4"/>
              <w:sz w:val="18"/>
              <w:szCs w:val="18"/>
            </w:rPr>
            <w:t>45</w:t>
          </w:r>
          <w:r>
            <w:rPr>
              <w:rFonts w:ascii="Times New Roman" w:hAnsi="Times New Roman" w:eastAsia="Times New Roman" w:cs="Times New Roman"/>
              <w:spacing w:val="4"/>
              <w:sz w:val="18"/>
              <w:szCs w:val="18"/>
            </w:rPr>
            <w:fldChar w:fldCharType="end"/>
          </w:r>
        </w:p>
        <w:p w14:paraId="0122EB83">
          <w:pPr>
            <w:pStyle w:val="2"/>
            <w:tabs>
              <w:tab w:val="right" w:leader="dot" w:pos="3927"/>
            </w:tabs>
            <w:spacing w:before="97" w:line="219" w:lineRule="auto"/>
            <w:ind w:left="409"/>
            <w:rPr>
              <w:rFonts w:ascii="Times New Roman" w:hAnsi="Times New Roman" w:eastAsia="Times New Roman" w:cs="Times New Roman"/>
              <w:sz w:val="18"/>
              <w:szCs w:val="18"/>
            </w:rPr>
          </w:pPr>
          <w:bookmarkStart w:id="22" w:name="bookmark23"/>
          <w:bookmarkEnd w:id="22"/>
          <w:r>
            <w:fldChar w:fldCharType="begin"/>
          </w:r>
          <w:r>
            <w:instrText xml:space="preserve"> HYPERLINK \l "bookmark23" </w:instrText>
          </w:r>
          <w:r>
            <w:fldChar w:fldCharType="separate"/>
          </w:r>
          <w:r>
            <w:rPr>
              <w:rFonts w:ascii="Times New Roman" w:hAnsi="Times New Roman" w:eastAsia="Times New Roman" w:cs="Times New Roman"/>
              <w:spacing w:val="1"/>
              <w:sz w:val="18"/>
              <w:szCs w:val="18"/>
            </w:rPr>
            <w:t>2.1.3</w:t>
          </w:r>
          <w:r>
            <w:rPr>
              <w:rFonts w:ascii="Times New Roman" w:hAnsi="Times New Roman" w:eastAsia="Times New Roman" w:cs="Times New Roman"/>
              <w:spacing w:val="14"/>
              <w:w w:val="101"/>
              <w:sz w:val="18"/>
              <w:szCs w:val="18"/>
            </w:rPr>
            <w:t xml:space="preserve">   </w:t>
          </w:r>
          <w:r>
            <w:rPr>
              <w:spacing w:val="1"/>
              <w:sz w:val="18"/>
              <w:szCs w:val="18"/>
            </w:rPr>
            <w:t>信息系统的结构</w:t>
          </w:r>
          <w:r>
            <w:rPr>
              <w:spacing w:val="-72"/>
              <w:sz w:val="18"/>
              <w:szCs w:val="18"/>
            </w:rPr>
            <w:t xml:space="preserve"> </w:t>
          </w:r>
          <w:r>
            <w:rPr>
              <w:sz w:val="18"/>
              <w:szCs w:val="18"/>
            </w:rPr>
            <w:tab/>
          </w:r>
          <w:r>
            <w:rPr>
              <w:rFonts w:ascii="Times New Roman" w:hAnsi="Times New Roman" w:eastAsia="Times New Roman" w:cs="Times New Roman"/>
              <w:spacing w:val="4"/>
              <w:sz w:val="18"/>
              <w:szCs w:val="18"/>
            </w:rPr>
            <w:t>46</w:t>
          </w:r>
          <w:r>
            <w:rPr>
              <w:rFonts w:ascii="Times New Roman" w:hAnsi="Times New Roman" w:eastAsia="Times New Roman" w:cs="Times New Roman"/>
              <w:spacing w:val="4"/>
              <w:sz w:val="18"/>
              <w:szCs w:val="18"/>
            </w:rPr>
            <w:fldChar w:fldCharType="end"/>
          </w:r>
        </w:p>
        <w:p w14:paraId="1D4698DC">
          <w:pPr>
            <w:pStyle w:val="2"/>
            <w:tabs>
              <w:tab w:val="right" w:leader="dot" w:pos="3947"/>
            </w:tabs>
            <w:spacing w:before="96" w:line="219" w:lineRule="auto"/>
            <w:ind w:left="409"/>
            <w:rPr>
              <w:rFonts w:ascii="Times New Roman" w:hAnsi="Times New Roman" w:eastAsia="Times New Roman" w:cs="Times New Roman"/>
              <w:sz w:val="18"/>
              <w:szCs w:val="18"/>
            </w:rPr>
          </w:pPr>
          <w:bookmarkStart w:id="23" w:name="bookmark24"/>
          <w:bookmarkEnd w:id="23"/>
          <w:r>
            <w:fldChar w:fldCharType="begin"/>
          </w:r>
          <w:r>
            <w:instrText xml:space="preserve"> HYPERLINK \l "bookmark24" </w:instrText>
          </w:r>
          <w:r>
            <w:fldChar w:fldCharType="separate"/>
          </w:r>
          <w:r>
            <w:rPr>
              <w:rFonts w:ascii="Times New Roman" w:hAnsi="Times New Roman" w:eastAsia="Times New Roman" w:cs="Times New Roman"/>
              <w:spacing w:val="-1"/>
              <w:sz w:val="18"/>
              <w:szCs w:val="18"/>
            </w:rPr>
            <w:t xml:space="preserve">2.1.4    </w:t>
          </w:r>
          <w:r>
            <w:rPr>
              <w:spacing w:val="-1"/>
              <w:sz w:val="18"/>
              <w:szCs w:val="18"/>
            </w:rPr>
            <w:t>信息系统的分类与建设原则</w:t>
          </w:r>
          <w:r>
            <w:rPr>
              <w:spacing w:val="-51"/>
              <w:sz w:val="18"/>
              <w:szCs w:val="18"/>
            </w:rPr>
            <w:t xml:space="preserve"> </w:t>
          </w:r>
          <w:r>
            <w:rPr>
              <w:sz w:val="18"/>
              <w:szCs w:val="18"/>
            </w:rPr>
            <w:tab/>
          </w:r>
          <w:r>
            <w:rPr>
              <w:rFonts w:ascii="Times New Roman" w:hAnsi="Times New Roman" w:eastAsia="Times New Roman" w:cs="Times New Roman"/>
              <w:spacing w:val="4"/>
              <w:sz w:val="18"/>
              <w:szCs w:val="18"/>
            </w:rPr>
            <w:t>49</w:t>
          </w:r>
          <w:r>
            <w:rPr>
              <w:rFonts w:ascii="Times New Roman" w:hAnsi="Times New Roman" w:eastAsia="Times New Roman" w:cs="Times New Roman"/>
              <w:spacing w:val="4"/>
              <w:sz w:val="18"/>
              <w:szCs w:val="18"/>
            </w:rPr>
            <w:fldChar w:fldCharType="end"/>
          </w:r>
        </w:p>
        <w:p w14:paraId="14AA5DBE">
          <w:pPr>
            <w:pStyle w:val="2"/>
            <w:tabs>
              <w:tab w:val="right" w:leader="dot" w:pos="3941"/>
            </w:tabs>
            <w:spacing w:before="87" w:line="220" w:lineRule="auto"/>
            <w:ind w:left="9"/>
            <w:rPr>
              <w:rFonts w:ascii="Times New Roman" w:hAnsi="Times New Roman" w:eastAsia="Times New Roman" w:cs="Times New Roman"/>
              <w:sz w:val="18"/>
              <w:szCs w:val="18"/>
            </w:rPr>
          </w:pPr>
          <w:bookmarkStart w:id="24" w:name="bookmark25"/>
          <w:bookmarkEnd w:id="24"/>
          <w:r>
            <w:fldChar w:fldCharType="begin"/>
          </w:r>
          <w:r>
            <w:instrText xml:space="preserve"> HYPERLINK \l "bookmark25" </w:instrText>
          </w:r>
          <w:r>
            <w:fldChar w:fldCharType="separate"/>
          </w:r>
          <w:r>
            <w:rPr>
              <w:rFonts w:ascii="Times New Roman" w:hAnsi="Times New Roman" w:eastAsia="Times New Roman" w:cs="Times New Roman"/>
              <w:spacing w:val="-2"/>
              <w:sz w:val="18"/>
              <w:szCs w:val="18"/>
            </w:rPr>
            <w:t xml:space="preserve">2.2    </w:t>
          </w:r>
          <w:r>
            <w:rPr>
              <w:spacing w:val="-2"/>
              <w:sz w:val="18"/>
              <w:szCs w:val="18"/>
            </w:rPr>
            <w:t>系统工程</w:t>
          </w:r>
          <w:r>
            <w:rPr>
              <w:spacing w:val="-44"/>
              <w:sz w:val="18"/>
              <w:szCs w:val="18"/>
            </w:rPr>
            <w:t xml:space="preserve"> </w:t>
          </w:r>
          <w:r>
            <w:rPr>
              <w:sz w:val="18"/>
              <w:szCs w:val="18"/>
            </w:rPr>
            <w:tab/>
          </w:r>
          <w:r>
            <w:rPr>
              <w:rFonts w:ascii="Times New Roman" w:hAnsi="Times New Roman" w:eastAsia="Times New Roman" w:cs="Times New Roman"/>
              <w:spacing w:val="1"/>
              <w:sz w:val="18"/>
              <w:szCs w:val="18"/>
            </w:rPr>
            <w:t>50</w:t>
          </w:r>
          <w:r>
            <w:rPr>
              <w:rFonts w:ascii="Times New Roman" w:hAnsi="Times New Roman" w:eastAsia="Times New Roman" w:cs="Times New Roman"/>
              <w:spacing w:val="1"/>
              <w:sz w:val="18"/>
              <w:szCs w:val="18"/>
            </w:rPr>
            <w:fldChar w:fldCharType="end"/>
          </w:r>
        </w:p>
      </w:sdtContent>
    </w:sdt>
    <w:p w14:paraId="086963EF">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8"/>
          <w:szCs w:val="18"/>
        </w:rPr>
        <w:id w:val="147478863"/>
        <w:docPartObj>
          <w:docPartGallery w:val="Table of Contents"/>
          <w:docPartUnique/>
        </w:docPartObj>
      </w:sdtPr>
      <w:sdtEndPr>
        <w:rPr>
          <w:rFonts w:ascii="Times New Roman" w:hAnsi="Times New Roman" w:eastAsia="Times New Roman" w:cs="Times New Roman"/>
          <w:sz w:val="18"/>
          <w:szCs w:val="18"/>
        </w:rPr>
      </w:sdtEndPr>
      <w:sdtContent>
        <w:p w14:paraId="4907DACB">
          <w:pPr>
            <w:pStyle w:val="2"/>
            <w:tabs>
              <w:tab w:val="right" w:leader="dot" w:pos="3941"/>
            </w:tabs>
            <w:spacing w:line="218" w:lineRule="auto"/>
            <w:ind w:left="400"/>
            <w:rPr>
              <w:rFonts w:ascii="Times New Roman" w:hAnsi="Times New Roman" w:eastAsia="Times New Roman" w:cs="Times New Roman"/>
              <w:sz w:val="18"/>
              <w:szCs w:val="18"/>
            </w:rPr>
          </w:pPr>
          <w:bookmarkStart w:id="25" w:name="bookmark26"/>
          <w:bookmarkEnd w:id="25"/>
          <w:r>
            <w:fldChar w:fldCharType="begin"/>
          </w:r>
          <w:r>
            <w:instrText xml:space="preserve"> HYPERLINK \l "bookmark26" </w:instrText>
          </w:r>
          <w:r>
            <w:fldChar w:fldCharType="separate"/>
          </w:r>
          <w:r>
            <w:rPr>
              <w:rFonts w:ascii="Times New Roman" w:hAnsi="Times New Roman" w:eastAsia="Times New Roman" w:cs="Times New Roman"/>
              <w:spacing w:val="-2"/>
              <w:sz w:val="18"/>
              <w:szCs w:val="18"/>
            </w:rPr>
            <w:t>2.2.1</w:t>
          </w:r>
          <w:r>
            <w:rPr>
              <w:rFonts w:ascii="Times New Roman" w:hAnsi="Times New Roman" w:eastAsia="Times New Roman" w:cs="Times New Roman"/>
              <w:spacing w:val="15"/>
              <w:sz w:val="18"/>
              <w:szCs w:val="18"/>
            </w:rPr>
            <w:t xml:space="preserve">   </w:t>
          </w:r>
          <w:r>
            <w:rPr>
              <w:spacing w:val="-2"/>
              <w:sz w:val="18"/>
              <w:szCs w:val="18"/>
            </w:rPr>
            <w:t>系统工程方法</w:t>
          </w:r>
          <w:r>
            <w:rPr>
              <w:spacing w:val="-49"/>
              <w:sz w:val="18"/>
              <w:szCs w:val="18"/>
            </w:rPr>
            <w:t xml:space="preserve"> </w:t>
          </w:r>
          <w:r>
            <w:rPr>
              <w:sz w:val="18"/>
              <w:szCs w:val="18"/>
            </w:rPr>
            <w:tab/>
          </w:r>
          <w:r>
            <w:rPr>
              <w:rFonts w:ascii="Times New Roman" w:hAnsi="Times New Roman" w:eastAsia="Times New Roman" w:cs="Times New Roman"/>
              <w:spacing w:val="1"/>
              <w:sz w:val="18"/>
              <w:szCs w:val="18"/>
            </w:rPr>
            <w:t>51</w:t>
          </w:r>
          <w:r>
            <w:rPr>
              <w:rFonts w:ascii="Times New Roman" w:hAnsi="Times New Roman" w:eastAsia="Times New Roman" w:cs="Times New Roman"/>
              <w:spacing w:val="1"/>
              <w:sz w:val="18"/>
              <w:szCs w:val="18"/>
            </w:rPr>
            <w:fldChar w:fldCharType="end"/>
          </w:r>
        </w:p>
        <w:p w14:paraId="60CCB11B">
          <w:pPr>
            <w:pStyle w:val="2"/>
            <w:tabs>
              <w:tab w:val="right" w:leader="dot" w:pos="3921"/>
            </w:tabs>
            <w:spacing w:before="106" w:line="220" w:lineRule="auto"/>
            <w:ind w:left="400"/>
            <w:rPr>
              <w:rFonts w:ascii="Times New Roman" w:hAnsi="Times New Roman" w:eastAsia="Times New Roman" w:cs="Times New Roman"/>
              <w:sz w:val="18"/>
              <w:szCs w:val="18"/>
            </w:rPr>
          </w:pPr>
          <w:bookmarkStart w:id="26" w:name="bookmark27"/>
          <w:bookmarkEnd w:id="26"/>
          <w:r>
            <w:fldChar w:fldCharType="begin"/>
          </w:r>
          <w:r>
            <w:instrText xml:space="preserve"> HYPERLINK \l "bookmark27" </w:instrText>
          </w:r>
          <w:r>
            <w:fldChar w:fldCharType="separate"/>
          </w:r>
          <w:r>
            <w:rPr>
              <w:rFonts w:ascii="Times New Roman" w:hAnsi="Times New Roman" w:eastAsia="Times New Roman" w:cs="Times New Roman"/>
              <w:sz w:val="18"/>
              <w:szCs w:val="18"/>
            </w:rPr>
            <w:t>2.2.2</w:t>
          </w:r>
          <w:r>
            <w:rPr>
              <w:rFonts w:ascii="Times New Roman" w:hAnsi="Times New Roman" w:eastAsia="Times New Roman" w:cs="Times New Roman"/>
              <w:spacing w:val="15"/>
              <w:sz w:val="18"/>
              <w:szCs w:val="18"/>
            </w:rPr>
            <w:t xml:space="preserve">   </w:t>
          </w:r>
          <w:r>
            <w:rPr>
              <w:sz w:val="18"/>
              <w:szCs w:val="18"/>
            </w:rPr>
            <w:t>系统工程生命周期</w:t>
          </w:r>
          <w:r>
            <w:rPr>
              <w:spacing w:val="-71"/>
              <w:sz w:val="18"/>
              <w:szCs w:val="18"/>
            </w:rPr>
            <w:t xml:space="preserve"> </w:t>
          </w:r>
          <w:r>
            <w:rPr>
              <w:sz w:val="18"/>
              <w:szCs w:val="18"/>
            </w:rPr>
            <w:tab/>
          </w:r>
          <w:r>
            <w:rPr>
              <w:rFonts w:ascii="Times New Roman" w:hAnsi="Times New Roman" w:eastAsia="Times New Roman" w:cs="Times New Roman"/>
              <w:spacing w:val="1"/>
              <w:sz w:val="18"/>
              <w:szCs w:val="18"/>
            </w:rPr>
            <w:t>55</w:t>
          </w:r>
          <w:r>
            <w:rPr>
              <w:rFonts w:ascii="Times New Roman" w:hAnsi="Times New Roman" w:eastAsia="Times New Roman" w:cs="Times New Roman"/>
              <w:spacing w:val="1"/>
              <w:sz w:val="18"/>
              <w:szCs w:val="18"/>
            </w:rPr>
            <w:fldChar w:fldCharType="end"/>
          </w:r>
        </w:p>
        <w:p w14:paraId="6619051C">
          <w:pPr>
            <w:pStyle w:val="2"/>
            <w:tabs>
              <w:tab w:val="right" w:leader="dot" w:pos="3921"/>
            </w:tabs>
            <w:spacing w:before="115" w:line="220" w:lineRule="auto"/>
            <w:ind w:left="400"/>
            <w:rPr>
              <w:rFonts w:ascii="Times New Roman" w:hAnsi="Times New Roman" w:eastAsia="Times New Roman" w:cs="Times New Roman"/>
              <w:sz w:val="18"/>
              <w:szCs w:val="18"/>
            </w:rPr>
          </w:pPr>
          <w:bookmarkStart w:id="27" w:name="bookmark28"/>
          <w:bookmarkEnd w:id="27"/>
          <w:r>
            <w:fldChar w:fldCharType="begin"/>
          </w:r>
          <w:r>
            <w:instrText xml:space="preserve"> HYPERLINK \l "bookmark28" </w:instrText>
          </w:r>
          <w:r>
            <w:fldChar w:fldCharType="separate"/>
          </w:r>
          <w:r>
            <w:rPr>
              <w:rFonts w:ascii="Times New Roman" w:hAnsi="Times New Roman" w:eastAsia="Times New Roman" w:cs="Times New Roman"/>
              <w:spacing w:val="1"/>
              <w:sz w:val="18"/>
              <w:szCs w:val="18"/>
            </w:rPr>
            <w:t>2.2.3</w:t>
          </w:r>
          <w:r>
            <w:rPr>
              <w:rFonts w:ascii="Times New Roman" w:hAnsi="Times New Roman" w:eastAsia="Times New Roman" w:cs="Times New Roman"/>
              <w:spacing w:val="9"/>
              <w:sz w:val="18"/>
              <w:szCs w:val="18"/>
            </w:rPr>
            <w:t xml:space="preserve">   </w:t>
          </w:r>
          <w:r>
            <w:rPr>
              <w:spacing w:val="1"/>
              <w:sz w:val="18"/>
              <w:szCs w:val="18"/>
            </w:rPr>
            <w:t>生命周期方法</w:t>
          </w:r>
          <w:r>
            <w:rPr>
              <w:spacing w:val="-64"/>
              <w:sz w:val="18"/>
              <w:szCs w:val="18"/>
            </w:rPr>
            <w:t xml:space="preserve"> </w:t>
          </w:r>
          <w:r>
            <w:rPr>
              <w:sz w:val="18"/>
              <w:szCs w:val="18"/>
            </w:rPr>
            <w:tab/>
          </w:r>
          <w:r>
            <w:rPr>
              <w:rFonts w:ascii="Times New Roman" w:hAnsi="Times New Roman" w:eastAsia="Times New Roman" w:cs="Times New Roman"/>
              <w:spacing w:val="1"/>
              <w:sz w:val="18"/>
              <w:szCs w:val="18"/>
            </w:rPr>
            <w:t>56</w:t>
          </w:r>
          <w:r>
            <w:rPr>
              <w:rFonts w:ascii="Times New Roman" w:hAnsi="Times New Roman" w:eastAsia="Times New Roman" w:cs="Times New Roman"/>
              <w:spacing w:val="1"/>
              <w:sz w:val="18"/>
              <w:szCs w:val="18"/>
            </w:rPr>
            <w:fldChar w:fldCharType="end"/>
          </w:r>
        </w:p>
        <w:p w14:paraId="0BFC1A03">
          <w:pPr>
            <w:pStyle w:val="2"/>
            <w:tabs>
              <w:tab w:val="right" w:leader="dot" w:pos="3921"/>
            </w:tabs>
            <w:spacing w:before="85" w:line="219" w:lineRule="auto"/>
            <w:ind w:left="400"/>
            <w:rPr>
              <w:rFonts w:ascii="Times New Roman" w:hAnsi="Times New Roman" w:eastAsia="Times New Roman" w:cs="Times New Roman"/>
              <w:sz w:val="18"/>
              <w:szCs w:val="18"/>
            </w:rPr>
          </w:pPr>
          <w:bookmarkStart w:id="28" w:name="bookmark29"/>
          <w:bookmarkEnd w:id="28"/>
          <w:r>
            <w:fldChar w:fldCharType="begin"/>
          </w:r>
          <w:r>
            <w:instrText xml:space="preserve"> HYPERLINK \l "bookmark29" </w:instrText>
          </w:r>
          <w:r>
            <w:fldChar w:fldCharType="separate"/>
          </w:r>
          <w:r>
            <w:rPr>
              <w:rFonts w:ascii="Times New Roman" w:hAnsi="Times New Roman" w:eastAsia="Times New Roman" w:cs="Times New Roman"/>
              <w:spacing w:val="1"/>
              <w:sz w:val="18"/>
              <w:szCs w:val="18"/>
            </w:rPr>
            <w:t>2.2.4</w:t>
          </w:r>
          <w:r>
            <w:rPr>
              <w:rFonts w:ascii="Times New Roman" w:hAnsi="Times New Roman" w:eastAsia="Times New Roman" w:cs="Times New Roman"/>
              <w:spacing w:val="10"/>
              <w:sz w:val="18"/>
              <w:szCs w:val="18"/>
            </w:rPr>
            <w:t xml:space="preserve">   </w:t>
          </w:r>
          <w:r>
            <w:rPr>
              <w:spacing w:val="1"/>
              <w:sz w:val="18"/>
              <w:szCs w:val="18"/>
            </w:rPr>
            <w:t>信息系统生命周期</w:t>
          </w:r>
          <w:r>
            <w:rPr>
              <w:spacing w:val="-69"/>
              <w:sz w:val="18"/>
              <w:szCs w:val="18"/>
            </w:rPr>
            <w:t xml:space="preserve"> </w:t>
          </w:r>
          <w:r>
            <w:rPr>
              <w:sz w:val="18"/>
              <w:szCs w:val="18"/>
            </w:rPr>
            <w:tab/>
          </w:r>
          <w:r>
            <w:rPr>
              <w:rFonts w:ascii="Times New Roman" w:hAnsi="Times New Roman" w:eastAsia="Times New Roman" w:cs="Times New Roman"/>
              <w:spacing w:val="1"/>
              <w:sz w:val="18"/>
              <w:szCs w:val="18"/>
            </w:rPr>
            <w:t>57</w:t>
          </w:r>
          <w:r>
            <w:rPr>
              <w:rFonts w:ascii="Times New Roman" w:hAnsi="Times New Roman" w:eastAsia="Times New Roman" w:cs="Times New Roman"/>
              <w:spacing w:val="1"/>
              <w:sz w:val="18"/>
              <w:szCs w:val="18"/>
            </w:rPr>
            <w:fldChar w:fldCharType="end"/>
          </w:r>
        </w:p>
        <w:p w14:paraId="0594687A">
          <w:pPr>
            <w:pStyle w:val="2"/>
            <w:tabs>
              <w:tab w:val="right" w:leader="dot" w:pos="3921"/>
            </w:tabs>
            <w:spacing w:before="107" w:line="219" w:lineRule="auto"/>
            <w:rPr>
              <w:rFonts w:ascii="Times New Roman" w:hAnsi="Times New Roman" w:eastAsia="Times New Roman" w:cs="Times New Roman"/>
              <w:sz w:val="18"/>
              <w:szCs w:val="18"/>
            </w:rPr>
          </w:pPr>
          <w:bookmarkStart w:id="29" w:name="bookmark30"/>
          <w:bookmarkEnd w:id="29"/>
          <w:r>
            <w:fldChar w:fldCharType="begin"/>
          </w:r>
          <w:r>
            <w:instrText xml:space="preserve"> HYPERLINK \l "bookmark30" </w:instrText>
          </w:r>
          <w:r>
            <w:fldChar w:fldCharType="separate"/>
          </w:r>
          <w:r>
            <w:rPr>
              <w:rFonts w:ascii="Times New Roman" w:hAnsi="Times New Roman" w:eastAsia="Times New Roman" w:cs="Times New Roman"/>
              <w:spacing w:val="1"/>
              <w:sz w:val="18"/>
              <w:szCs w:val="18"/>
            </w:rPr>
            <w:t>2.3</w:t>
          </w:r>
          <w:r>
            <w:rPr>
              <w:rFonts w:ascii="Times New Roman" w:hAnsi="Times New Roman" w:eastAsia="Times New Roman" w:cs="Times New Roman"/>
              <w:spacing w:val="12"/>
              <w:w w:val="101"/>
              <w:sz w:val="18"/>
              <w:szCs w:val="18"/>
            </w:rPr>
            <w:t xml:space="preserve">   </w:t>
          </w:r>
          <w:r>
            <w:rPr>
              <w:spacing w:val="1"/>
              <w:sz w:val="18"/>
              <w:szCs w:val="18"/>
            </w:rPr>
            <w:t>软件工程</w:t>
          </w:r>
          <w:r>
            <w:rPr>
              <w:spacing w:val="-66"/>
              <w:sz w:val="18"/>
              <w:szCs w:val="18"/>
            </w:rPr>
            <w:t xml:space="preserve"> </w:t>
          </w:r>
          <w:r>
            <w:rPr>
              <w:sz w:val="18"/>
              <w:szCs w:val="18"/>
            </w:rPr>
            <w:tab/>
          </w:r>
          <w:r>
            <w:rPr>
              <w:rFonts w:ascii="Times New Roman" w:hAnsi="Times New Roman" w:eastAsia="Times New Roman" w:cs="Times New Roman"/>
              <w:spacing w:val="1"/>
              <w:sz w:val="18"/>
              <w:szCs w:val="18"/>
            </w:rPr>
            <w:t>57</w:t>
          </w:r>
          <w:r>
            <w:rPr>
              <w:rFonts w:ascii="Times New Roman" w:hAnsi="Times New Roman" w:eastAsia="Times New Roman" w:cs="Times New Roman"/>
              <w:spacing w:val="1"/>
              <w:sz w:val="18"/>
              <w:szCs w:val="18"/>
            </w:rPr>
            <w:fldChar w:fldCharType="end"/>
          </w:r>
        </w:p>
        <w:p w14:paraId="50F33703">
          <w:pPr>
            <w:pStyle w:val="2"/>
            <w:tabs>
              <w:tab w:val="right" w:leader="dot" w:pos="3921"/>
            </w:tabs>
            <w:spacing w:before="97" w:line="220" w:lineRule="auto"/>
            <w:ind w:left="400"/>
            <w:rPr>
              <w:rFonts w:ascii="Times New Roman" w:hAnsi="Times New Roman" w:eastAsia="Times New Roman" w:cs="Times New Roman"/>
              <w:sz w:val="18"/>
              <w:szCs w:val="18"/>
            </w:rPr>
          </w:pPr>
          <w:bookmarkStart w:id="30" w:name="bookmark31"/>
          <w:bookmarkEnd w:id="30"/>
          <w:r>
            <w:fldChar w:fldCharType="begin"/>
          </w:r>
          <w:r>
            <w:instrText xml:space="preserve"> HYPERLINK \l "bookmark31" </w:instrText>
          </w:r>
          <w:r>
            <w:fldChar w:fldCharType="separate"/>
          </w:r>
          <w:r>
            <w:rPr>
              <w:rFonts w:ascii="Times New Roman" w:hAnsi="Times New Roman" w:eastAsia="Times New Roman" w:cs="Times New Roman"/>
              <w:spacing w:val="-2"/>
              <w:sz w:val="18"/>
              <w:szCs w:val="18"/>
            </w:rPr>
            <w:t>2.3.1</w:t>
          </w:r>
          <w:r>
            <w:rPr>
              <w:rFonts w:ascii="Times New Roman" w:hAnsi="Times New Roman" w:eastAsia="Times New Roman" w:cs="Times New Roman"/>
              <w:spacing w:val="14"/>
              <w:w w:val="101"/>
              <w:sz w:val="18"/>
              <w:szCs w:val="18"/>
            </w:rPr>
            <w:t xml:space="preserve">   </w:t>
          </w:r>
          <w:r>
            <w:rPr>
              <w:spacing w:val="-2"/>
              <w:sz w:val="18"/>
              <w:szCs w:val="18"/>
            </w:rPr>
            <w:t>架构设计</w:t>
          </w:r>
          <w:r>
            <w:rPr>
              <w:spacing w:val="-52"/>
              <w:sz w:val="18"/>
              <w:szCs w:val="18"/>
            </w:rPr>
            <w:t xml:space="preserve"> </w:t>
          </w:r>
          <w:r>
            <w:rPr>
              <w:sz w:val="18"/>
              <w:szCs w:val="18"/>
            </w:rPr>
            <w:tab/>
          </w:r>
          <w:r>
            <w:rPr>
              <w:rFonts w:ascii="Times New Roman" w:hAnsi="Times New Roman" w:eastAsia="Times New Roman" w:cs="Times New Roman"/>
              <w:spacing w:val="1"/>
              <w:sz w:val="18"/>
              <w:szCs w:val="18"/>
            </w:rPr>
            <w:t>58</w:t>
          </w:r>
          <w:r>
            <w:rPr>
              <w:rFonts w:ascii="Times New Roman" w:hAnsi="Times New Roman" w:eastAsia="Times New Roman" w:cs="Times New Roman"/>
              <w:spacing w:val="1"/>
              <w:sz w:val="18"/>
              <w:szCs w:val="18"/>
            </w:rPr>
            <w:fldChar w:fldCharType="end"/>
          </w:r>
        </w:p>
        <w:p w14:paraId="627E2213">
          <w:pPr>
            <w:pStyle w:val="2"/>
            <w:tabs>
              <w:tab w:val="right" w:leader="dot" w:pos="3931"/>
            </w:tabs>
            <w:spacing w:before="105" w:line="220" w:lineRule="auto"/>
            <w:ind w:left="400"/>
            <w:rPr>
              <w:rFonts w:ascii="Times New Roman" w:hAnsi="Times New Roman" w:eastAsia="Times New Roman" w:cs="Times New Roman"/>
              <w:sz w:val="18"/>
              <w:szCs w:val="18"/>
            </w:rPr>
          </w:pPr>
          <w:bookmarkStart w:id="31" w:name="bookmark32"/>
          <w:bookmarkEnd w:id="31"/>
          <w:r>
            <w:fldChar w:fldCharType="begin"/>
          </w:r>
          <w:r>
            <w:instrText xml:space="preserve"> HYPERLINK \l "bookmark32" </w:instrText>
          </w:r>
          <w:r>
            <w:fldChar w:fldCharType="separate"/>
          </w:r>
          <w:r>
            <w:rPr>
              <w:rFonts w:ascii="Times New Roman" w:hAnsi="Times New Roman" w:eastAsia="Times New Roman" w:cs="Times New Roman"/>
              <w:spacing w:val="-3"/>
              <w:sz w:val="18"/>
              <w:szCs w:val="18"/>
            </w:rPr>
            <w:t>2.3.2</w:t>
          </w:r>
          <w:r>
            <w:rPr>
              <w:rFonts w:ascii="Times New Roman" w:hAnsi="Times New Roman" w:eastAsia="Times New Roman" w:cs="Times New Roman"/>
              <w:spacing w:val="14"/>
              <w:w w:val="101"/>
              <w:sz w:val="18"/>
              <w:szCs w:val="18"/>
            </w:rPr>
            <w:t xml:space="preserve">   </w:t>
          </w:r>
          <w:r>
            <w:rPr>
              <w:spacing w:val="-3"/>
              <w:sz w:val="18"/>
              <w:szCs w:val="18"/>
            </w:rPr>
            <w:t>需求分析</w:t>
          </w:r>
          <w:r>
            <w:rPr>
              <w:spacing w:val="-53"/>
              <w:sz w:val="18"/>
              <w:szCs w:val="18"/>
            </w:rPr>
            <w:t xml:space="preserve"> </w:t>
          </w:r>
          <w:r>
            <w:rPr>
              <w:sz w:val="18"/>
              <w:szCs w:val="18"/>
            </w:rPr>
            <w:tab/>
          </w:r>
          <w:r>
            <w:rPr>
              <w:rFonts w:ascii="Times New Roman" w:hAnsi="Times New Roman" w:eastAsia="Times New Roman" w:cs="Times New Roman"/>
              <w:spacing w:val="1"/>
              <w:sz w:val="18"/>
              <w:szCs w:val="18"/>
            </w:rPr>
            <w:t>59</w:t>
          </w:r>
          <w:r>
            <w:rPr>
              <w:rFonts w:ascii="Times New Roman" w:hAnsi="Times New Roman" w:eastAsia="Times New Roman" w:cs="Times New Roman"/>
              <w:spacing w:val="1"/>
              <w:sz w:val="18"/>
              <w:szCs w:val="18"/>
            </w:rPr>
            <w:fldChar w:fldCharType="end"/>
          </w:r>
        </w:p>
        <w:p w14:paraId="64E0CA75">
          <w:pPr>
            <w:pStyle w:val="2"/>
            <w:tabs>
              <w:tab w:val="right" w:leader="dot" w:pos="3952"/>
            </w:tabs>
            <w:spacing w:before="105" w:line="219" w:lineRule="auto"/>
            <w:ind w:left="400"/>
            <w:rPr>
              <w:rFonts w:ascii="Times New Roman" w:hAnsi="Times New Roman" w:eastAsia="Times New Roman" w:cs="Times New Roman"/>
              <w:sz w:val="18"/>
              <w:szCs w:val="18"/>
            </w:rPr>
          </w:pPr>
          <w:bookmarkStart w:id="32" w:name="bookmark33"/>
          <w:bookmarkEnd w:id="32"/>
          <w:r>
            <w:fldChar w:fldCharType="begin"/>
          </w:r>
          <w:r>
            <w:instrText xml:space="preserve"> HYPERLINK \l "bookmark33" </w:instrText>
          </w:r>
          <w:r>
            <w:fldChar w:fldCharType="separate"/>
          </w:r>
          <w:r>
            <w:rPr>
              <w:rFonts w:ascii="Times New Roman" w:hAnsi="Times New Roman" w:eastAsia="Times New Roman" w:cs="Times New Roman"/>
              <w:spacing w:val="-2"/>
              <w:sz w:val="18"/>
              <w:szCs w:val="18"/>
            </w:rPr>
            <w:t>2.3.3</w:t>
          </w:r>
          <w:r>
            <w:rPr>
              <w:rFonts w:ascii="Times New Roman" w:hAnsi="Times New Roman" w:eastAsia="Times New Roman" w:cs="Times New Roman"/>
              <w:spacing w:val="10"/>
              <w:sz w:val="18"/>
              <w:szCs w:val="18"/>
            </w:rPr>
            <w:t xml:space="preserve">   </w:t>
          </w:r>
          <w:r>
            <w:rPr>
              <w:spacing w:val="-2"/>
              <w:sz w:val="18"/>
              <w:szCs w:val="18"/>
            </w:rPr>
            <w:t>软件设计</w:t>
          </w:r>
          <w:r>
            <w:rPr>
              <w:spacing w:val="-48"/>
              <w:sz w:val="18"/>
              <w:szCs w:val="18"/>
            </w:rPr>
            <w:t xml:space="preserve"> </w:t>
          </w:r>
          <w:r>
            <w:rPr>
              <w:sz w:val="18"/>
              <w:szCs w:val="18"/>
            </w:rPr>
            <w:tab/>
          </w:r>
          <w:r>
            <w:rPr>
              <w:rFonts w:ascii="Times New Roman" w:hAnsi="Times New Roman" w:eastAsia="Times New Roman" w:cs="Times New Roman"/>
              <w:spacing w:val="1"/>
              <w:sz w:val="18"/>
              <w:szCs w:val="18"/>
            </w:rPr>
            <w:t>61</w:t>
          </w:r>
          <w:r>
            <w:rPr>
              <w:rFonts w:ascii="Times New Roman" w:hAnsi="Times New Roman" w:eastAsia="Times New Roman" w:cs="Times New Roman"/>
              <w:spacing w:val="1"/>
              <w:sz w:val="18"/>
              <w:szCs w:val="18"/>
            </w:rPr>
            <w:fldChar w:fldCharType="end"/>
          </w:r>
        </w:p>
        <w:p w14:paraId="393312A0">
          <w:pPr>
            <w:pStyle w:val="2"/>
            <w:tabs>
              <w:tab w:val="right" w:leader="dot" w:pos="3932"/>
            </w:tabs>
            <w:spacing w:before="97" w:line="219" w:lineRule="auto"/>
            <w:ind w:left="400"/>
            <w:rPr>
              <w:rFonts w:ascii="Times New Roman" w:hAnsi="Times New Roman" w:eastAsia="Times New Roman" w:cs="Times New Roman"/>
              <w:sz w:val="18"/>
              <w:szCs w:val="18"/>
            </w:rPr>
          </w:pPr>
          <w:bookmarkStart w:id="33" w:name="bookmark34"/>
          <w:bookmarkEnd w:id="33"/>
          <w:r>
            <w:fldChar w:fldCharType="begin"/>
          </w:r>
          <w:r>
            <w:instrText xml:space="preserve"> HYPERLINK \l "bookmark34" </w:instrText>
          </w:r>
          <w:r>
            <w:fldChar w:fldCharType="separate"/>
          </w:r>
          <w:r>
            <w:rPr>
              <w:rFonts w:ascii="Times New Roman" w:hAnsi="Times New Roman" w:eastAsia="Times New Roman" w:cs="Times New Roman"/>
              <w:spacing w:val="-2"/>
              <w:sz w:val="18"/>
              <w:szCs w:val="18"/>
            </w:rPr>
            <w:t>2.3.4</w:t>
          </w:r>
          <w:r>
            <w:rPr>
              <w:rFonts w:ascii="Times New Roman" w:hAnsi="Times New Roman" w:eastAsia="Times New Roman" w:cs="Times New Roman"/>
              <w:spacing w:val="14"/>
              <w:sz w:val="18"/>
              <w:szCs w:val="18"/>
            </w:rPr>
            <w:t xml:space="preserve">   </w:t>
          </w:r>
          <w:r>
            <w:rPr>
              <w:spacing w:val="-2"/>
              <w:sz w:val="18"/>
              <w:szCs w:val="18"/>
            </w:rPr>
            <w:t>软件实现</w:t>
          </w:r>
          <w:r>
            <w:rPr>
              <w:spacing w:val="-51"/>
              <w:sz w:val="18"/>
              <w:szCs w:val="18"/>
            </w:rPr>
            <w:t xml:space="preserve"> </w:t>
          </w:r>
          <w:r>
            <w:rPr>
              <w:sz w:val="18"/>
              <w:szCs w:val="18"/>
            </w:rPr>
            <w:tab/>
          </w:r>
          <w:r>
            <w:rPr>
              <w:rFonts w:ascii="Times New Roman" w:hAnsi="Times New Roman" w:eastAsia="Times New Roman" w:cs="Times New Roman"/>
              <w:spacing w:val="1"/>
              <w:sz w:val="18"/>
              <w:szCs w:val="18"/>
            </w:rPr>
            <w:t>63</w:t>
          </w:r>
          <w:r>
            <w:rPr>
              <w:rFonts w:ascii="Times New Roman" w:hAnsi="Times New Roman" w:eastAsia="Times New Roman" w:cs="Times New Roman"/>
              <w:spacing w:val="1"/>
              <w:sz w:val="18"/>
              <w:szCs w:val="18"/>
            </w:rPr>
            <w:fldChar w:fldCharType="end"/>
          </w:r>
        </w:p>
        <w:p w14:paraId="483FD002">
          <w:pPr>
            <w:pStyle w:val="2"/>
            <w:tabs>
              <w:tab w:val="right" w:leader="dot" w:pos="3922"/>
            </w:tabs>
            <w:spacing w:before="96" w:line="219" w:lineRule="auto"/>
            <w:ind w:left="400"/>
            <w:rPr>
              <w:rFonts w:ascii="Times New Roman" w:hAnsi="Times New Roman" w:eastAsia="Times New Roman" w:cs="Times New Roman"/>
              <w:sz w:val="18"/>
              <w:szCs w:val="18"/>
            </w:rPr>
          </w:pPr>
          <w:bookmarkStart w:id="34" w:name="bookmark35"/>
          <w:bookmarkEnd w:id="34"/>
          <w:r>
            <w:fldChar w:fldCharType="begin"/>
          </w:r>
          <w:r>
            <w:instrText xml:space="preserve"> HYPERLINK \l "bookmark35" </w:instrText>
          </w:r>
          <w:r>
            <w:fldChar w:fldCharType="separate"/>
          </w:r>
          <w:r>
            <w:rPr>
              <w:rFonts w:ascii="Times New Roman" w:hAnsi="Times New Roman" w:eastAsia="Times New Roman" w:cs="Times New Roman"/>
              <w:spacing w:val="-2"/>
              <w:sz w:val="18"/>
              <w:szCs w:val="18"/>
            </w:rPr>
            <w:t>2.3.5</w:t>
          </w:r>
          <w:r>
            <w:rPr>
              <w:rFonts w:ascii="Times New Roman" w:hAnsi="Times New Roman" w:eastAsia="Times New Roman" w:cs="Times New Roman"/>
              <w:spacing w:val="14"/>
              <w:sz w:val="18"/>
              <w:szCs w:val="18"/>
            </w:rPr>
            <w:t xml:space="preserve">   </w:t>
          </w:r>
          <w:r>
            <w:rPr>
              <w:spacing w:val="-2"/>
              <w:sz w:val="18"/>
              <w:szCs w:val="18"/>
            </w:rPr>
            <w:t>部署交付</w:t>
          </w:r>
          <w:r>
            <w:rPr>
              <w:spacing w:val="-51"/>
              <w:sz w:val="18"/>
              <w:szCs w:val="18"/>
            </w:rPr>
            <w:t xml:space="preserve"> </w:t>
          </w:r>
          <w:r>
            <w:rPr>
              <w:sz w:val="18"/>
              <w:szCs w:val="18"/>
            </w:rPr>
            <w:tab/>
          </w:r>
          <w:r>
            <w:rPr>
              <w:rFonts w:ascii="Times New Roman" w:hAnsi="Times New Roman" w:eastAsia="Times New Roman" w:cs="Times New Roman"/>
              <w:spacing w:val="1"/>
              <w:sz w:val="18"/>
              <w:szCs w:val="18"/>
            </w:rPr>
            <w:t>65</w:t>
          </w:r>
          <w:r>
            <w:rPr>
              <w:rFonts w:ascii="Times New Roman" w:hAnsi="Times New Roman" w:eastAsia="Times New Roman" w:cs="Times New Roman"/>
              <w:spacing w:val="1"/>
              <w:sz w:val="18"/>
              <w:szCs w:val="18"/>
            </w:rPr>
            <w:fldChar w:fldCharType="end"/>
          </w:r>
        </w:p>
        <w:p w14:paraId="6974ED07">
          <w:pPr>
            <w:pStyle w:val="2"/>
            <w:tabs>
              <w:tab w:val="right" w:leader="dot" w:pos="3932"/>
            </w:tabs>
            <w:spacing w:before="107" w:line="219" w:lineRule="auto"/>
            <w:rPr>
              <w:rFonts w:ascii="Times New Roman" w:hAnsi="Times New Roman" w:eastAsia="Times New Roman" w:cs="Times New Roman"/>
              <w:sz w:val="18"/>
              <w:szCs w:val="18"/>
            </w:rPr>
          </w:pPr>
          <w:bookmarkStart w:id="35" w:name="bookmark36"/>
          <w:bookmarkEnd w:id="35"/>
          <w:r>
            <w:fldChar w:fldCharType="begin"/>
          </w:r>
          <w:r>
            <w:instrText xml:space="preserve"> HYPERLINK \l "bookmark36" </w:instrText>
          </w:r>
          <w:r>
            <w:fldChar w:fldCharType="separate"/>
          </w:r>
          <w:r>
            <w:rPr>
              <w:rFonts w:ascii="Times New Roman" w:hAnsi="Times New Roman" w:eastAsia="Times New Roman" w:cs="Times New Roman"/>
              <w:spacing w:val="-2"/>
              <w:sz w:val="18"/>
              <w:szCs w:val="18"/>
            </w:rPr>
            <w:t xml:space="preserve">2.4    </w:t>
          </w:r>
          <w:r>
            <w:rPr>
              <w:spacing w:val="-2"/>
              <w:sz w:val="18"/>
              <w:szCs w:val="18"/>
            </w:rPr>
            <w:t>数据工程</w:t>
          </w:r>
          <w:r>
            <w:rPr>
              <w:spacing w:val="-44"/>
              <w:sz w:val="18"/>
              <w:szCs w:val="18"/>
            </w:rPr>
            <w:t xml:space="preserve"> </w:t>
          </w:r>
          <w:r>
            <w:rPr>
              <w:sz w:val="18"/>
              <w:szCs w:val="18"/>
            </w:rPr>
            <w:tab/>
          </w:r>
          <w:r>
            <w:rPr>
              <w:rFonts w:ascii="Times New Roman" w:hAnsi="Times New Roman" w:eastAsia="Times New Roman" w:cs="Times New Roman"/>
              <w:spacing w:val="1"/>
              <w:sz w:val="18"/>
              <w:szCs w:val="18"/>
            </w:rPr>
            <w:t>67</w:t>
          </w:r>
          <w:r>
            <w:rPr>
              <w:rFonts w:ascii="Times New Roman" w:hAnsi="Times New Roman" w:eastAsia="Times New Roman" w:cs="Times New Roman"/>
              <w:spacing w:val="1"/>
              <w:sz w:val="18"/>
              <w:szCs w:val="18"/>
            </w:rPr>
            <w:fldChar w:fldCharType="end"/>
          </w:r>
        </w:p>
        <w:p w14:paraId="3E7CD8CF">
          <w:pPr>
            <w:pStyle w:val="2"/>
            <w:tabs>
              <w:tab w:val="right" w:leader="dot" w:pos="3922"/>
            </w:tabs>
            <w:spacing w:before="96" w:line="219" w:lineRule="auto"/>
            <w:ind w:left="400"/>
            <w:rPr>
              <w:rFonts w:ascii="Times New Roman" w:hAnsi="Times New Roman" w:eastAsia="Times New Roman" w:cs="Times New Roman"/>
              <w:sz w:val="18"/>
              <w:szCs w:val="18"/>
            </w:rPr>
          </w:pPr>
          <w:bookmarkStart w:id="36" w:name="bookmark37"/>
          <w:bookmarkEnd w:id="36"/>
          <w:r>
            <w:fldChar w:fldCharType="begin"/>
          </w:r>
          <w:r>
            <w:instrText xml:space="preserve"> HYPERLINK \l "bookmark37" </w:instrText>
          </w:r>
          <w:r>
            <w:fldChar w:fldCharType="separate"/>
          </w:r>
          <w:r>
            <w:rPr>
              <w:rFonts w:ascii="Times New Roman" w:hAnsi="Times New Roman" w:eastAsia="Times New Roman" w:cs="Times New Roman"/>
              <w:spacing w:val="-6"/>
              <w:sz w:val="18"/>
              <w:szCs w:val="18"/>
            </w:rPr>
            <w:t>2.4.1</w:t>
          </w:r>
          <w:r>
            <w:rPr>
              <w:rFonts w:ascii="Times New Roman" w:hAnsi="Times New Roman" w:eastAsia="Times New Roman" w:cs="Times New Roman"/>
              <w:spacing w:val="11"/>
              <w:w w:val="101"/>
              <w:sz w:val="18"/>
              <w:szCs w:val="18"/>
            </w:rPr>
            <w:t xml:space="preserve">   </w:t>
          </w:r>
          <w:r>
            <w:rPr>
              <w:spacing w:val="-6"/>
              <w:sz w:val="18"/>
              <w:szCs w:val="18"/>
            </w:rPr>
            <w:t>数据建模</w:t>
          </w:r>
          <w:r>
            <w:rPr>
              <w:spacing w:val="-67"/>
              <w:sz w:val="18"/>
              <w:szCs w:val="18"/>
            </w:rPr>
            <w:t xml:space="preserve"> </w:t>
          </w:r>
          <w:r>
            <w:rPr>
              <w:sz w:val="18"/>
              <w:szCs w:val="18"/>
            </w:rPr>
            <w:tab/>
          </w:r>
          <w:r>
            <w:rPr>
              <w:rFonts w:ascii="Times New Roman" w:hAnsi="Times New Roman" w:eastAsia="Times New Roman" w:cs="Times New Roman"/>
              <w:spacing w:val="-5"/>
              <w:sz w:val="18"/>
              <w:szCs w:val="18"/>
            </w:rPr>
            <w:t>67</w:t>
          </w:r>
          <w:r>
            <w:rPr>
              <w:rFonts w:ascii="Times New Roman" w:hAnsi="Times New Roman" w:eastAsia="Times New Roman" w:cs="Times New Roman"/>
              <w:spacing w:val="-5"/>
              <w:sz w:val="18"/>
              <w:szCs w:val="18"/>
            </w:rPr>
            <w:fldChar w:fldCharType="end"/>
          </w:r>
        </w:p>
        <w:p w14:paraId="0326542B">
          <w:pPr>
            <w:pStyle w:val="2"/>
            <w:tabs>
              <w:tab w:val="right" w:leader="dot" w:pos="3932"/>
            </w:tabs>
            <w:spacing w:before="97" w:line="219" w:lineRule="auto"/>
            <w:ind w:left="400"/>
            <w:rPr>
              <w:rFonts w:ascii="Times New Roman" w:hAnsi="Times New Roman" w:eastAsia="Times New Roman" w:cs="Times New Roman"/>
              <w:sz w:val="18"/>
              <w:szCs w:val="18"/>
            </w:rPr>
          </w:pPr>
          <w:bookmarkStart w:id="37" w:name="bookmark38"/>
          <w:bookmarkEnd w:id="37"/>
          <w:r>
            <w:fldChar w:fldCharType="begin"/>
          </w:r>
          <w:r>
            <w:instrText xml:space="preserve"> HYPERLINK \l "bookmark38" </w:instrText>
          </w:r>
          <w:r>
            <w:fldChar w:fldCharType="separate"/>
          </w:r>
          <w:r>
            <w:rPr>
              <w:rFonts w:ascii="Times New Roman" w:hAnsi="Times New Roman" w:eastAsia="Times New Roman" w:cs="Times New Roman"/>
              <w:spacing w:val="2"/>
              <w:sz w:val="18"/>
              <w:szCs w:val="18"/>
            </w:rPr>
            <w:t>2.4.2</w:t>
          </w:r>
          <w:r>
            <w:rPr>
              <w:rFonts w:ascii="Times New Roman" w:hAnsi="Times New Roman" w:eastAsia="Times New Roman" w:cs="Times New Roman"/>
              <w:spacing w:val="10"/>
              <w:sz w:val="18"/>
              <w:szCs w:val="18"/>
            </w:rPr>
            <w:t xml:space="preserve">   </w:t>
          </w:r>
          <w:r>
            <w:rPr>
              <w:spacing w:val="2"/>
              <w:sz w:val="18"/>
              <w:szCs w:val="18"/>
            </w:rPr>
            <w:t>数据标准化</w:t>
          </w:r>
          <w:r>
            <w:rPr>
              <w:spacing w:val="-66"/>
              <w:sz w:val="18"/>
              <w:szCs w:val="18"/>
            </w:rPr>
            <w:t xml:space="preserve"> </w:t>
          </w:r>
          <w:r>
            <w:rPr>
              <w:sz w:val="18"/>
              <w:szCs w:val="18"/>
            </w:rPr>
            <w:tab/>
          </w:r>
          <w:r>
            <w:rPr>
              <w:rFonts w:ascii="Times New Roman" w:hAnsi="Times New Roman" w:eastAsia="Times New Roman" w:cs="Times New Roman"/>
              <w:spacing w:val="1"/>
              <w:sz w:val="18"/>
              <w:szCs w:val="18"/>
            </w:rPr>
            <w:t>68</w:t>
          </w:r>
          <w:r>
            <w:rPr>
              <w:rFonts w:ascii="Times New Roman" w:hAnsi="Times New Roman" w:eastAsia="Times New Roman" w:cs="Times New Roman"/>
              <w:spacing w:val="1"/>
              <w:sz w:val="18"/>
              <w:szCs w:val="18"/>
            </w:rPr>
            <w:fldChar w:fldCharType="end"/>
          </w:r>
        </w:p>
        <w:p w14:paraId="20882920">
          <w:pPr>
            <w:pStyle w:val="2"/>
            <w:tabs>
              <w:tab w:val="right" w:leader="dot" w:pos="3942"/>
            </w:tabs>
            <w:spacing w:before="96" w:line="219" w:lineRule="auto"/>
            <w:ind w:left="400"/>
            <w:rPr>
              <w:rFonts w:ascii="Times New Roman" w:hAnsi="Times New Roman" w:eastAsia="Times New Roman" w:cs="Times New Roman"/>
              <w:sz w:val="18"/>
              <w:szCs w:val="18"/>
            </w:rPr>
          </w:pPr>
          <w:bookmarkStart w:id="38" w:name="bookmark39"/>
          <w:bookmarkEnd w:id="38"/>
          <w:r>
            <w:fldChar w:fldCharType="begin"/>
          </w:r>
          <w:r>
            <w:instrText xml:space="preserve"> HYPERLINK \l "bookmark39" </w:instrText>
          </w:r>
          <w:r>
            <w:fldChar w:fldCharType="separate"/>
          </w:r>
          <w:r>
            <w:rPr>
              <w:rFonts w:ascii="Times New Roman" w:hAnsi="Times New Roman" w:eastAsia="Times New Roman" w:cs="Times New Roman"/>
              <w:spacing w:val="1"/>
              <w:sz w:val="18"/>
              <w:szCs w:val="18"/>
            </w:rPr>
            <w:t>2.4.3</w:t>
          </w:r>
          <w:r>
            <w:rPr>
              <w:rFonts w:ascii="Times New Roman" w:hAnsi="Times New Roman" w:eastAsia="Times New Roman" w:cs="Times New Roman"/>
              <w:spacing w:val="14"/>
              <w:sz w:val="18"/>
              <w:szCs w:val="18"/>
            </w:rPr>
            <w:t xml:space="preserve">   </w:t>
          </w:r>
          <w:r>
            <w:rPr>
              <w:spacing w:val="1"/>
              <w:sz w:val="18"/>
              <w:szCs w:val="18"/>
            </w:rPr>
            <w:t>数据运维</w:t>
          </w:r>
          <w:r>
            <w:rPr>
              <w:spacing w:val="-67"/>
              <w:sz w:val="18"/>
              <w:szCs w:val="18"/>
            </w:rPr>
            <w:t xml:space="preserve"> </w:t>
          </w:r>
          <w:r>
            <w:rPr>
              <w:sz w:val="18"/>
              <w:szCs w:val="18"/>
            </w:rPr>
            <w:tab/>
          </w:r>
          <w:r>
            <w:rPr>
              <w:rFonts w:ascii="Times New Roman" w:hAnsi="Times New Roman" w:eastAsia="Times New Roman" w:cs="Times New Roman"/>
              <w:spacing w:val="2"/>
              <w:sz w:val="18"/>
              <w:szCs w:val="18"/>
            </w:rPr>
            <w:t>71</w:t>
          </w:r>
          <w:r>
            <w:rPr>
              <w:rFonts w:ascii="Times New Roman" w:hAnsi="Times New Roman" w:eastAsia="Times New Roman" w:cs="Times New Roman"/>
              <w:spacing w:val="2"/>
              <w:sz w:val="18"/>
              <w:szCs w:val="18"/>
            </w:rPr>
            <w:fldChar w:fldCharType="end"/>
          </w:r>
        </w:p>
        <w:p w14:paraId="00F71049">
          <w:pPr>
            <w:pStyle w:val="2"/>
            <w:tabs>
              <w:tab w:val="right" w:leader="dot" w:pos="3942"/>
            </w:tabs>
            <w:spacing w:before="97" w:line="219" w:lineRule="auto"/>
            <w:ind w:left="400"/>
            <w:rPr>
              <w:rFonts w:ascii="Times New Roman" w:hAnsi="Times New Roman" w:eastAsia="Times New Roman" w:cs="Times New Roman"/>
              <w:sz w:val="18"/>
              <w:szCs w:val="18"/>
            </w:rPr>
          </w:pPr>
          <w:bookmarkStart w:id="39" w:name="bookmark40"/>
          <w:bookmarkEnd w:id="39"/>
          <w:r>
            <w:fldChar w:fldCharType="begin"/>
          </w:r>
          <w:r>
            <w:instrText xml:space="preserve"> HYPERLINK \l "bookmark40" </w:instrText>
          </w:r>
          <w:r>
            <w:fldChar w:fldCharType="separate"/>
          </w:r>
          <w:r>
            <w:rPr>
              <w:rFonts w:ascii="Times New Roman" w:hAnsi="Times New Roman" w:eastAsia="Times New Roman" w:cs="Times New Roman"/>
              <w:spacing w:val="1"/>
              <w:sz w:val="18"/>
              <w:szCs w:val="18"/>
            </w:rPr>
            <w:t>2.4.4</w:t>
          </w:r>
          <w:r>
            <w:rPr>
              <w:rFonts w:ascii="Times New Roman" w:hAnsi="Times New Roman" w:eastAsia="Times New Roman" w:cs="Times New Roman"/>
              <w:spacing w:val="11"/>
              <w:w w:val="101"/>
              <w:sz w:val="18"/>
              <w:szCs w:val="18"/>
            </w:rPr>
            <w:t xml:space="preserve">   </w:t>
          </w:r>
          <w:r>
            <w:rPr>
              <w:spacing w:val="1"/>
              <w:sz w:val="18"/>
              <w:szCs w:val="18"/>
            </w:rPr>
            <w:t>数据开发利用</w:t>
          </w:r>
          <w:r>
            <w:rPr>
              <w:spacing w:val="-82"/>
              <w:sz w:val="18"/>
              <w:szCs w:val="18"/>
            </w:rPr>
            <w:t xml:space="preserve"> </w:t>
          </w:r>
          <w:r>
            <w:rPr>
              <w:sz w:val="18"/>
              <w:szCs w:val="18"/>
            </w:rPr>
            <w:tab/>
          </w:r>
          <w:r>
            <w:rPr>
              <w:rFonts w:ascii="Times New Roman" w:hAnsi="Times New Roman" w:eastAsia="Times New Roman" w:cs="Times New Roman"/>
              <w:spacing w:val="2"/>
              <w:sz w:val="18"/>
              <w:szCs w:val="18"/>
            </w:rPr>
            <w:t>73</w:t>
          </w:r>
          <w:r>
            <w:rPr>
              <w:rFonts w:ascii="Times New Roman" w:hAnsi="Times New Roman" w:eastAsia="Times New Roman" w:cs="Times New Roman"/>
              <w:spacing w:val="2"/>
              <w:sz w:val="18"/>
              <w:szCs w:val="18"/>
            </w:rPr>
            <w:fldChar w:fldCharType="end"/>
          </w:r>
        </w:p>
        <w:p w14:paraId="3C1E959A">
          <w:pPr>
            <w:pStyle w:val="2"/>
            <w:tabs>
              <w:tab w:val="right" w:leader="dot" w:pos="3922"/>
            </w:tabs>
            <w:spacing w:before="96" w:line="219" w:lineRule="auto"/>
            <w:ind w:left="400"/>
            <w:rPr>
              <w:rFonts w:ascii="Times New Roman" w:hAnsi="Times New Roman" w:eastAsia="Times New Roman" w:cs="Times New Roman"/>
              <w:sz w:val="18"/>
              <w:szCs w:val="18"/>
            </w:rPr>
          </w:pPr>
          <w:bookmarkStart w:id="40" w:name="bookmark41"/>
          <w:bookmarkEnd w:id="40"/>
          <w:r>
            <w:fldChar w:fldCharType="begin"/>
          </w:r>
          <w:r>
            <w:instrText xml:space="preserve"> HYPERLINK \l "bookmark41" </w:instrText>
          </w:r>
          <w:r>
            <w:fldChar w:fldCharType="separate"/>
          </w:r>
          <w:r>
            <w:rPr>
              <w:rFonts w:ascii="Times New Roman" w:hAnsi="Times New Roman" w:eastAsia="Times New Roman" w:cs="Times New Roman"/>
              <w:spacing w:val="-2"/>
              <w:sz w:val="18"/>
              <w:szCs w:val="18"/>
            </w:rPr>
            <w:t>2.4.5</w:t>
          </w:r>
          <w:r>
            <w:rPr>
              <w:rFonts w:ascii="Times New Roman" w:hAnsi="Times New Roman" w:eastAsia="Times New Roman" w:cs="Times New Roman"/>
              <w:spacing w:val="15"/>
              <w:sz w:val="18"/>
              <w:szCs w:val="18"/>
            </w:rPr>
            <w:t xml:space="preserve">   </w:t>
          </w:r>
          <w:r>
            <w:rPr>
              <w:spacing w:val="-2"/>
              <w:sz w:val="18"/>
              <w:szCs w:val="18"/>
            </w:rPr>
            <w:t>数据库安全</w:t>
          </w:r>
          <w:r>
            <w:rPr>
              <w:spacing w:val="-52"/>
              <w:sz w:val="18"/>
              <w:szCs w:val="18"/>
            </w:rPr>
            <w:t xml:space="preserve"> </w:t>
          </w:r>
          <w:r>
            <w:rPr>
              <w:sz w:val="18"/>
              <w:szCs w:val="18"/>
            </w:rPr>
            <w:tab/>
          </w:r>
          <w:r>
            <w:rPr>
              <w:rFonts w:ascii="Times New Roman" w:hAnsi="Times New Roman" w:eastAsia="Times New Roman" w:cs="Times New Roman"/>
              <w:spacing w:val="2"/>
              <w:sz w:val="18"/>
              <w:szCs w:val="18"/>
            </w:rPr>
            <w:t>74</w:t>
          </w:r>
          <w:r>
            <w:rPr>
              <w:rFonts w:ascii="Times New Roman" w:hAnsi="Times New Roman" w:eastAsia="Times New Roman" w:cs="Times New Roman"/>
              <w:spacing w:val="2"/>
              <w:sz w:val="18"/>
              <w:szCs w:val="18"/>
            </w:rPr>
            <w:fldChar w:fldCharType="end"/>
          </w:r>
        </w:p>
        <w:p w14:paraId="051F315C">
          <w:pPr>
            <w:pStyle w:val="2"/>
            <w:tabs>
              <w:tab w:val="right" w:leader="dot" w:pos="3922"/>
            </w:tabs>
            <w:spacing w:before="97" w:line="219" w:lineRule="auto"/>
            <w:rPr>
              <w:rFonts w:ascii="Times New Roman" w:hAnsi="Times New Roman" w:eastAsia="Times New Roman" w:cs="Times New Roman"/>
              <w:sz w:val="18"/>
              <w:szCs w:val="18"/>
            </w:rPr>
          </w:pPr>
          <w:bookmarkStart w:id="41" w:name="bookmark42"/>
          <w:bookmarkEnd w:id="41"/>
          <w:r>
            <w:fldChar w:fldCharType="begin"/>
          </w:r>
          <w:r>
            <w:instrText xml:space="preserve"> HYPERLINK \l "bookmark42" </w:instrText>
          </w:r>
          <w:r>
            <w:fldChar w:fldCharType="separate"/>
          </w:r>
          <w:r>
            <w:rPr>
              <w:rFonts w:ascii="Times New Roman" w:hAnsi="Times New Roman" w:eastAsia="Times New Roman" w:cs="Times New Roman"/>
              <w:spacing w:val="-2"/>
              <w:sz w:val="18"/>
              <w:szCs w:val="18"/>
            </w:rPr>
            <w:t xml:space="preserve">2.5    </w:t>
          </w:r>
          <w:r>
            <w:rPr>
              <w:spacing w:val="-2"/>
              <w:sz w:val="18"/>
              <w:szCs w:val="18"/>
            </w:rPr>
            <w:t>系统集成工程</w:t>
          </w:r>
          <w:r>
            <w:rPr>
              <w:spacing w:val="-50"/>
              <w:sz w:val="18"/>
              <w:szCs w:val="18"/>
            </w:rPr>
            <w:t xml:space="preserve"> </w:t>
          </w:r>
          <w:r>
            <w:rPr>
              <w:sz w:val="18"/>
              <w:szCs w:val="18"/>
            </w:rPr>
            <w:tab/>
          </w:r>
          <w:r>
            <w:rPr>
              <w:rFonts w:ascii="Times New Roman" w:hAnsi="Times New Roman" w:eastAsia="Times New Roman" w:cs="Times New Roman"/>
              <w:spacing w:val="2"/>
              <w:sz w:val="18"/>
              <w:szCs w:val="18"/>
            </w:rPr>
            <w:t>76</w:t>
          </w:r>
          <w:r>
            <w:rPr>
              <w:rFonts w:ascii="Times New Roman" w:hAnsi="Times New Roman" w:eastAsia="Times New Roman" w:cs="Times New Roman"/>
              <w:spacing w:val="2"/>
              <w:sz w:val="18"/>
              <w:szCs w:val="18"/>
            </w:rPr>
            <w:fldChar w:fldCharType="end"/>
          </w:r>
        </w:p>
        <w:p w14:paraId="48010D84">
          <w:pPr>
            <w:pStyle w:val="2"/>
            <w:tabs>
              <w:tab w:val="right" w:leader="dot" w:pos="3922"/>
            </w:tabs>
            <w:spacing w:before="96" w:line="219" w:lineRule="auto"/>
            <w:ind w:left="400"/>
            <w:rPr>
              <w:rFonts w:ascii="Times New Roman" w:hAnsi="Times New Roman" w:eastAsia="Times New Roman" w:cs="Times New Roman"/>
              <w:sz w:val="18"/>
              <w:szCs w:val="18"/>
            </w:rPr>
          </w:pPr>
          <w:bookmarkStart w:id="42" w:name="bookmark43"/>
          <w:bookmarkEnd w:id="42"/>
          <w:r>
            <w:fldChar w:fldCharType="begin"/>
          </w:r>
          <w:r>
            <w:instrText xml:space="preserve"> HYPERLINK \l "bookmark43" </w:instrText>
          </w:r>
          <w:r>
            <w:fldChar w:fldCharType="separate"/>
          </w:r>
          <w:r>
            <w:rPr>
              <w:rFonts w:ascii="Times New Roman" w:hAnsi="Times New Roman" w:eastAsia="Times New Roman" w:cs="Times New Roman"/>
              <w:spacing w:val="-2"/>
              <w:sz w:val="18"/>
              <w:szCs w:val="18"/>
            </w:rPr>
            <w:t>2.5.1</w:t>
          </w:r>
          <w:r>
            <w:rPr>
              <w:rFonts w:ascii="Times New Roman" w:hAnsi="Times New Roman" w:eastAsia="Times New Roman" w:cs="Times New Roman"/>
              <w:spacing w:val="15"/>
              <w:sz w:val="18"/>
              <w:szCs w:val="18"/>
            </w:rPr>
            <w:t xml:space="preserve">   </w:t>
          </w:r>
          <w:r>
            <w:rPr>
              <w:spacing w:val="-2"/>
              <w:sz w:val="18"/>
              <w:szCs w:val="18"/>
            </w:rPr>
            <w:t>集成基础</w:t>
          </w:r>
          <w:r>
            <w:rPr>
              <w:spacing w:val="-54"/>
              <w:sz w:val="18"/>
              <w:szCs w:val="18"/>
            </w:rPr>
            <w:t xml:space="preserve"> </w:t>
          </w:r>
          <w:r>
            <w:rPr>
              <w:sz w:val="18"/>
              <w:szCs w:val="18"/>
            </w:rPr>
            <w:tab/>
          </w:r>
          <w:r>
            <w:rPr>
              <w:rFonts w:ascii="Times New Roman" w:hAnsi="Times New Roman" w:eastAsia="Times New Roman" w:cs="Times New Roman"/>
              <w:spacing w:val="2"/>
              <w:sz w:val="18"/>
              <w:szCs w:val="18"/>
            </w:rPr>
            <w:t>76</w:t>
          </w:r>
          <w:r>
            <w:rPr>
              <w:rFonts w:ascii="Times New Roman" w:hAnsi="Times New Roman" w:eastAsia="Times New Roman" w:cs="Times New Roman"/>
              <w:spacing w:val="2"/>
              <w:sz w:val="18"/>
              <w:szCs w:val="18"/>
            </w:rPr>
            <w:fldChar w:fldCharType="end"/>
          </w:r>
        </w:p>
        <w:p w14:paraId="3D6D52DA">
          <w:pPr>
            <w:pStyle w:val="2"/>
            <w:tabs>
              <w:tab w:val="right" w:leader="dot" w:pos="3832"/>
            </w:tabs>
            <w:spacing w:before="87" w:line="219" w:lineRule="auto"/>
            <w:ind w:left="400"/>
            <w:rPr>
              <w:rFonts w:ascii="Times New Roman" w:hAnsi="Times New Roman" w:eastAsia="Times New Roman" w:cs="Times New Roman"/>
              <w:sz w:val="18"/>
              <w:szCs w:val="18"/>
            </w:rPr>
          </w:pPr>
          <w:bookmarkStart w:id="43" w:name="bookmark44"/>
          <w:bookmarkEnd w:id="43"/>
          <w:r>
            <w:fldChar w:fldCharType="begin"/>
          </w:r>
          <w:r>
            <w:instrText xml:space="preserve"> HYPERLINK \l "bookmark44" </w:instrText>
          </w:r>
          <w:r>
            <w:fldChar w:fldCharType="separate"/>
          </w:r>
          <w:r>
            <w:rPr>
              <w:rFonts w:ascii="Times New Roman" w:hAnsi="Times New Roman" w:eastAsia="Times New Roman" w:cs="Times New Roman"/>
              <w:sz w:val="18"/>
              <w:szCs w:val="18"/>
            </w:rPr>
            <w:t xml:space="preserve">2.5.2    </w:t>
          </w:r>
          <w:r>
            <w:rPr>
              <w:sz w:val="18"/>
              <w:szCs w:val="18"/>
            </w:rPr>
            <w:t>网络集成</w:t>
          </w:r>
          <w:r>
            <w:rPr>
              <w:spacing w:val="-61"/>
              <w:sz w:val="18"/>
              <w:szCs w:val="18"/>
            </w:rPr>
            <w:t xml:space="preserve"> </w:t>
          </w:r>
          <w:r>
            <w:rPr>
              <w:sz w:val="18"/>
              <w:szCs w:val="18"/>
            </w:rPr>
            <w:tab/>
          </w:r>
          <w:r>
            <w:rPr>
              <w:rFonts w:ascii="Times New Roman" w:hAnsi="Times New Roman" w:eastAsia="Times New Roman" w:cs="Times New Roman"/>
              <w:spacing w:val="4"/>
              <w:sz w:val="18"/>
              <w:szCs w:val="18"/>
            </w:rPr>
            <w:t>7</w:t>
          </w:r>
          <w:r>
            <w:rPr>
              <w:rFonts w:ascii="Times New Roman" w:hAnsi="Times New Roman" w:eastAsia="Times New Roman" w:cs="Times New Roman"/>
              <w:spacing w:val="4"/>
              <w:sz w:val="18"/>
              <w:szCs w:val="18"/>
            </w:rPr>
            <w:fldChar w:fldCharType="end"/>
          </w:r>
        </w:p>
        <w:p w14:paraId="6F3DDB88">
          <w:pPr>
            <w:pStyle w:val="2"/>
            <w:tabs>
              <w:tab w:val="right" w:leader="dot" w:pos="3922"/>
            </w:tabs>
            <w:spacing w:before="96" w:line="219" w:lineRule="auto"/>
            <w:ind w:left="400"/>
            <w:rPr>
              <w:rFonts w:ascii="Times New Roman" w:hAnsi="Times New Roman" w:eastAsia="Times New Roman" w:cs="Times New Roman"/>
              <w:sz w:val="18"/>
              <w:szCs w:val="18"/>
            </w:rPr>
          </w:pPr>
          <w:bookmarkStart w:id="44" w:name="bookmark45"/>
          <w:bookmarkEnd w:id="44"/>
          <w:r>
            <w:fldChar w:fldCharType="begin"/>
          </w:r>
          <w:r>
            <w:instrText xml:space="preserve"> HYPERLINK \l "bookmark45" </w:instrText>
          </w:r>
          <w:r>
            <w:fldChar w:fldCharType="separate"/>
          </w:r>
          <w:r>
            <w:rPr>
              <w:rFonts w:ascii="Times New Roman" w:hAnsi="Times New Roman" w:eastAsia="Times New Roman" w:cs="Times New Roman"/>
              <w:spacing w:val="-1"/>
              <w:sz w:val="18"/>
              <w:szCs w:val="18"/>
            </w:rPr>
            <w:t xml:space="preserve">2.5.3    </w:t>
          </w:r>
          <w:r>
            <w:rPr>
              <w:spacing w:val="-1"/>
              <w:sz w:val="18"/>
              <w:szCs w:val="18"/>
            </w:rPr>
            <w:t>数据集成</w:t>
          </w:r>
          <w:r>
            <w:rPr>
              <w:spacing w:val="-48"/>
              <w:sz w:val="18"/>
              <w:szCs w:val="18"/>
            </w:rPr>
            <w:t xml:space="preserve"> </w:t>
          </w:r>
          <w:r>
            <w:rPr>
              <w:sz w:val="18"/>
              <w:szCs w:val="18"/>
            </w:rPr>
            <w:tab/>
          </w:r>
          <w:r>
            <w:rPr>
              <w:rFonts w:ascii="Times New Roman" w:hAnsi="Times New Roman" w:eastAsia="Times New Roman" w:cs="Times New Roman"/>
              <w:spacing w:val="2"/>
              <w:sz w:val="18"/>
              <w:szCs w:val="18"/>
            </w:rPr>
            <w:t>78</w:t>
          </w:r>
          <w:r>
            <w:rPr>
              <w:rFonts w:ascii="Times New Roman" w:hAnsi="Times New Roman" w:eastAsia="Times New Roman" w:cs="Times New Roman"/>
              <w:spacing w:val="2"/>
              <w:sz w:val="18"/>
              <w:szCs w:val="18"/>
            </w:rPr>
            <w:fldChar w:fldCharType="end"/>
          </w:r>
        </w:p>
        <w:p w14:paraId="6862BCFE">
          <w:pPr>
            <w:pStyle w:val="2"/>
            <w:tabs>
              <w:tab w:val="right" w:leader="dot" w:pos="3918"/>
            </w:tabs>
            <w:spacing w:before="96" w:line="219" w:lineRule="auto"/>
            <w:ind w:left="400"/>
            <w:rPr>
              <w:rFonts w:ascii="Times New Roman" w:hAnsi="Times New Roman" w:eastAsia="Times New Roman" w:cs="Times New Roman"/>
              <w:sz w:val="18"/>
              <w:szCs w:val="18"/>
            </w:rPr>
          </w:pPr>
          <w:bookmarkStart w:id="45" w:name="bookmark46"/>
          <w:bookmarkEnd w:id="45"/>
          <w:r>
            <w:fldChar w:fldCharType="begin"/>
          </w:r>
          <w:r>
            <w:instrText xml:space="preserve"> HYPERLINK \l "bookmark46" </w:instrText>
          </w:r>
          <w:r>
            <w:fldChar w:fldCharType="separate"/>
          </w:r>
          <w:r>
            <w:rPr>
              <w:rFonts w:ascii="Times New Roman" w:hAnsi="Times New Roman" w:eastAsia="Times New Roman" w:cs="Times New Roman"/>
              <w:spacing w:val="-1"/>
              <w:sz w:val="18"/>
              <w:szCs w:val="18"/>
            </w:rPr>
            <w:t xml:space="preserve">2.5.4    </w:t>
          </w:r>
          <w:r>
            <w:rPr>
              <w:spacing w:val="-1"/>
              <w:sz w:val="18"/>
              <w:szCs w:val="18"/>
            </w:rPr>
            <w:t>软件集成</w:t>
          </w:r>
          <w:r>
            <w:rPr>
              <w:spacing w:val="-48"/>
              <w:sz w:val="18"/>
              <w:szCs w:val="18"/>
            </w:rPr>
            <w:t xml:space="preserve"> </w:t>
          </w:r>
          <w:r>
            <w:rPr>
              <w:sz w:val="18"/>
              <w:szCs w:val="18"/>
            </w:rPr>
            <w:tab/>
          </w:r>
          <w:r>
            <w:rPr>
              <w:rFonts w:ascii="Times New Roman" w:hAnsi="Times New Roman" w:eastAsia="Times New Roman" w:cs="Times New Roman"/>
              <w:sz w:val="18"/>
              <w:szCs w:val="18"/>
            </w:rPr>
            <w:t>80</w:t>
          </w:r>
          <w:r>
            <w:rPr>
              <w:rFonts w:ascii="Times New Roman" w:hAnsi="Times New Roman" w:eastAsia="Times New Roman" w:cs="Times New Roman"/>
              <w:sz w:val="18"/>
              <w:szCs w:val="18"/>
            </w:rPr>
            <w:fldChar w:fldCharType="end"/>
          </w:r>
        </w:p>
        <w:p w14:paraId="159BD151">
          <w:pPr>
            <w:pStyle w:val="2"/>
            <w:tabs>
              <w:tab w:val="right" w:leader="dot" w:pos="3928"/>
            </w:tabs>
            <w:spacing w:before="97" w:line="219" w:lineRule="auto"/>
            <w:ind w:left="400"/>
            <w:rPr>
              <w:rFonts w:ascii="Times New Roman" w:hAnsi="Times New Roman" w:eastAsia="Times New Roman" w:cs="Times New Roman"/>
              <w:sz w:val="18"/>
              <w:szCs w:val="18"/>
            </w:rPr>
          </w:pPr>
          <w:bookmarkStart w:id="46" w:name="bookmark47"/>
          <w:bookmarkEnd w:id="46"/>
          <w:r>
            <w:fldChar w:fldCharType="begin"/>
          </w:r>
          <w:r>
            <w:instrText xml:space="preserve"> HYPERLINK \l "bookmark47" </w:instrText>
          </w:r>
          <w:r>
            <w:fldChar w:fldCharType="separate"/>
          </w:r>
          <w:r>
            <w:rPr>
              <w:rFonts w:ascii="Times New Roman" w:hAnsi="Times New Roman" w:eastAsia="Times New Roman" w:cs="Times New Roman"/>
              <w:spacing w:val="-1"/>
              <w:sz w:val="18"/>
              <w:szCs w:val="18"/>
            </w:rPr>
            <w:t xml:space="preserve">2.5.5    </w:t>
          </w:r>
          <w:r>
            <w:rPr>
              <w:spacing w:val="-1"/>
              <w:sz w:val="18"/>
              <w:szCs w:val="18"/>
            </w:rPr>
            <w:t>应用集成</w:t>
          </w:r>
          <w:r>
            <w:rPr>
              <w:spacing w:val="-48"/>
              <w:sz w:val="18"/>
              <w:szCs w:val="18"/>
            </w:rPr>
            <w:t xml:space="preserve"> </w:t>
          </w:r>
          <w:r>
            <w:rPr>
              <w:sz w:val="18"/>
              <w:szCs w:val="18"/>
            </w:rPr>
            <w:tab/>
          </w:r>
          <w:r>
            <w:rPr>
              <w:rFonts w:ascii="Times New Roman" w:hAnsi="Times New Roman" w:eastAsia="Times New Roman" w:cs="Times New Roman"/>
              <w:sz w:val="18"/>
              <w:szCs w:val="18"/>
            </w:rPr>
            <w:t>82</w:t>
          </w:r>
          <w:r>
            <w:rPr>
              <w:rFonts w:ascii="Times New Roman" w:hAnsi="Times New Roman" w:eastAsia="Times New Roman" w:cs="Times New Roman"/>
              <w:sz w:val="18"/>
              <w:szCs w:val="18"/>
            </w:rPr>
            <w:fldChar w:fldCharType="end"/>
          </w:r>
        </w:p>
        <w:p w14:paraId="7AA21AE9">
          <w:pPr>
            <w:pStyle w:val="2"/>
            <w:tabs>
              <w:tab w:val="right" w:leader="dot" w:pos="3928"/>
            </w:tabs>
            <w:spacing w:before="97" w:line="220" w:lineRule="auto"/>
            <w:rPr>
              <w:rFonts w:ascii="Times New Roman" w:hAnsi="Times New Roman" w:eastAsia="Times New Roman" w:cs="Times New Roman"/>
              <w:sz w:val="18"/>
              <w:szCs w:val="18"/>
            </w:rPr>
          </w:pPr>
          <w:bookmarkStart w:id="47" w:name="bookmark48"/>
          <w:bookmarkEnd w:id="47"/>
          <w:r>
            <w:fldChar w:fldCharType="begin"/>
          </w:r>
          <w:r>
            <w:instrText xml:space="preserve"> HYPERLINK \l "bookmark48" </w:instrText>
          </w:r>
          <w:r>
            <w:fldChar w:fldCharType="separate"/>
          </w:r>
          <w:r>
            <w:rPr>
              <w:rFonts w:ascii="Times New Roman" w:hAnsi="Times New Roman" w:eastAsia="Times New Roman" w:cs="Times New Roman"/>
              <w:spacing w:val="-3"/>
              <w:sz w:val="18"/>
              <w:szCs w:val="18"/>
            </w:rPr>
            <w:t>2.6</w:t>
          </w:r>
          <w:r>
            <w:rPr>
              <w:rFonts w:ascii="Times New Roman" w:hAnsi="Times New Roman" w:eastAsia="Times New Roman" w:cs="Times New Roman"/>
              <w:spacing w:val="3"/>
              <w:sz w:val="18"/>
              <w:szCs w:val="18"/>
            </w:rPr>
            <w:t xml:space="preserve">    </w:t>
          </w:r>
          <w:r>
            <w:rPr>
              <w:spacing w:val="-3"/>
              <w:sz w:val="18"/>
              <w:szCs w:val="18"/>
            </w:rPr>
            <w:t>安全工程</w:t>
          </w:r>
          <w:r>
            <w:rPr>
              <w:spacing w:val="-67"/>
              <w:sz w:val="18"/>
              <w:szCs w:val="18"/>
            </w:rPr>
            <w:t xml:space="preserve"> </w:t>
          </w:r>
          <w:r>
            <w:rPr>
              <w:sz w:val="18"/>
              <w:szCs w:val="18"/>
            </w:rPr>
            <w:tab/>
          </w:r>
          <w:r>
            <w:rPr>
              <w:rFonts w:ascii="Times New Roman" w:hAnsi="Times New Roman" w:eastAsia="Times New Roman" w:cs="Times New Roman"/>
              <w:sz w:val="18"/>
              <w:szCs w:val="18"/>
            </w:rPr>
            <w:t>83</w:t>
          </w:r>
          <w:r>
            <w:rPr>
              <w:rFonts w:ascii="Times New Roman" w:hAnsi="Times New Roman" w:eastAsia="Times New Roman" w:cs="Times New Roman"/>
              <w:sz w:val="18"/>
              <w:szCs w:val="18"/>
            </w:rPr>
            <w:fldChar w:fldCharType="end"/>
          </w:r>
        </w:p>
        <w:p w14:paraId="14319A4B">
          <w:pPr>
            <w:pStyle w:val="2"/>
            <w:tabs>
              <w:tab w:val="right" w:leader="dot" w:pos="3928"/>
            </w:tabs>
            <w:spacing w:before="85" w:line="219" w:lineRule="auto"/>
            <w:ind w:left="400"/>
            <w:rPr>
              <w:rFonts w:ascii="Times New Roman" w:hAnsi="Times New Roman" w:eastAsia="Times New Roman" w:cs="Times New Roman"/>
              <w:sz w:val="18"/>
              <w:szCs w:val="18"/>
            </w:rPr>
          </w:pPr>
          <w:bookmarkStart w:id="48" w:name="bookmark49"/>
          <w:bookmarkEnd w:id="48"/>
          <w:r>
            <w:fldChar w:fldCharType="begin"/>
          </w:r>
          <w:r>
            <w:instrText xml:space="preserve"> HYPERLINK \l "bookmark49" </w:instrText>
          </w:r>
          <w:r>
            <w:fldChar w:fldCharType="separate"/>
          </w:r>
          <w:r>
            <w:rPr>
              <w:rFonts w:ascii="Times New Roman" w:hAnsi="Times New Roman" w:eastAsia="Times New Roman" w:cs="Times New Roman"/>
              <w:spacing w:val="-1"/>
              <w:sz w:val="18"/>
              <w:szCs w:val="18"/>
            </w:rPr>
            <w:t xml:space="preserve">2.6.1    </w:t>
          </w:r>
          <w:r>
            <w:rPr>
              <w:spacing w:val="-1"/>
              <w:sz w:val="18"/>
              <w:szCs w:val="18"/>
            </w:rPr>
            <w:t>工程概述</w:t>
          </w:r>
          <w:r>
            <w:rPr>
              <w:spacing w:val="-59"/>
              <w:sz w:val="18"/>
              <w:szCs w:val="18"/>
            </w:rPr>
            <w:t xml:space="preserve"> </w:t>
          </w:r>
          <w:r>
            <w:rPr>
              <w:sz w:val="18"/>
              <w:szCs w:val="18"/>
            </w:rPr>
            <w:tab/>
          </w:r>
          <w:r>
            <w:rPr>
              <w:rFonts w:ascii="Times New Roman" w:hAnsi="Times New Roman" w:eastAsia="Times New Roman" w:cs="Times New Roman"/>
              <w:sz w:val="18"/>
              <w:szCs w:val="18"/>
            </w:rPr>
            <w:t>83</w:t>
          </w:r>
          <w:r>
            <w:rPr>
              <w:rFonts w:ascii="Times New Roman" w:hAnsi="Times New Roman" w:eastAsia="Times New Roman" w:cs="Times New Roman"/>
              <w:sz w:val="18"/>
              <w:szCs w:val="18"/>
            </w:rPr>
            <w:fldChar w:fldCharType="end"/>
          </w:r>
        </w:p>
        <w:p w14:paraId="2293209E">
          <w:pPr>
            <w:pStyle w:val="2"/>
            <w:tabs>
              <w:tab w:val="right" w:leader="dot" w:pos="3918"/>
            </w:tabs>
            <w:spacing w:before="97" w:line="221" w:lineRule="auto"/>
            <w:ind w:left="400"/>
            <w:rPr>
              <w:rFonts w:ascii="Times New Roman" w:hAnsi="Times New Roman" w:eastAsia="Times New Roman" w:cs="Times New Roman"/>
              <w:sz w:val="18"/>
              <w:szCs w:val="18"/>
            </w:rPr>
          </w:pPr>
          <w:bookmarkStart w:id="49" w:name="bookmark50"/>
          <w:bookmarkEnd w:id="49"/>
          <w:r>
            <w:fldChar w:fldCharType="begin"/>
          </w:r>
          <w:r>
            <w:instrText xml:space="preserve"> HYPERLINK \l "bookmark50" </w:instrText>
          </w:r>
          <w:r>
            <w:fldChar w:fldCharType="separate"/>
          </w:r>
          <w:r>
            <w:rPr>
              <w:rFonts w:ascii="Times New Roman" w:hAnsi="Times New Roman" w:eastAsia="Times New Roman" w:cs="Times New Roman"/>
              <w:spacing w:val="1"/>
              <w:sz w:val="18"/>
              <w:szCs w:val="18"/>
            </w:rPr>
            <w:t xml:space="preserve">2.6.2    </w:t>
          </w:r>
          <w:r>
            <w:rPr>
              <w:spacing w:val="1"/>
              <w:sz w:val="18"/>
              <w:szCs w:val="18"/>
            </w:rPr>
            <w:t>安全系统</w:t>
          </w:r>
          <w:r>
            <w:rPr>
              <w:spacing w:val="-64"/>
              <w:sz w:val="18"/>
              <w:szCs w:val="18"/>
            </w:rPr>
            <w:t xml:space="preserve"> </w:t>
          </w:r>
          <w:r>
            <w:rPr>
              <w:sz w:val="18"/>
              <w:szCs w:val="18"/>
            </w:rPr>
            <w:tab/>
          </w:r>
          <w:r>
            <w:rPr>
              <w:rFonts w:ascii="Times New Roman" w:hAnsi="Times New Roman" w:eastAsia="Times New Roman" w:cs="Times New Roman"/>
              <w:sz w:val="18"/>
              <w:szCs w:val="18"/>
            </w:rPr>
            <w:t>84</w:t>
          </w:r>
          <w:r>
            <w:rPr>
              <w:rFonts w:ascii="Times New Roman" w:hAnsi="Times New Roman" w:eastAsia="Times New Roman" w:cs="Times New Roman"/>
              <w:sz w:val="18"/>
              <w:szCs w:val="18"/>
            </w:rPr>
            <w:fldChar w:fldCharType="end"/>
          </w:r>
        </w:p>
        <w:p w14:paraId="392C0C71">
          <w:pPr>
            <w:pStyle w:val="2"/>
            <w:tabs>
              <w:tab w:val="right" w:leader="dot" w:pos="3935"/>
            </w:tabs>
            <w:spacing w:before="84" w:line="220" w:lineRule="auto"/>
            <w:ind w:left="400"/>
            <w:rPr>
              <w:rFonts w:ascii="Times New Roman" w:hAnsi="Times New Roman" w:eastAsia="Times New Roman" w:cs="Times New Roman"/>
              <w:sz w:val="18"/>
              <w:szCs w:val="18"/>
            </w:rPr>
          </w:pPr>
          <w:bookmarkStart w:id="50" w:name="bookmark51"/>
          <w:bookmarkEnd w:id="50"/>
          <w:r>
            <w:fldChar w:fldCharType="begin"/>
          </w:r>
          <w:r>
            <w:instrText xml:space="preserve"> HYPERLINK \l "bookmark51" </w:instrText>
          </w:r>
          <w:r>
            <w:fldChar w:fldCharType="separate"/>
          </w:r>
          <w:r>
            <w:rPr>
              <w:rFonts w:ascii="Times New Roman" w:hAnsi="Times New Roman" w:eastAsia="Times New Roman" w:cs="Times New Roman"/>
              <w:spacing w:val="1"/>
              <w:sz w:val="18"/>
              <w:szCs w:val="18"/>
            </w:rPr>
            <w:t>2.6.3</w:t>
          </w:r>
          <w:r>
            <w:rPr>
              <w:rFonts w:ascii="Times New Roman" w:hAnsi="Times New Roman" w:eastAsia="Times New Roman" w:cs="Times New Roman"/>
              <w:spacing w:val="14"/>
              <w:w w:val="102"/>
              <w:sz w:val="18"/>
              <w:szCs w:val="18"/>
            </w:rPr>
            <w:t xml:space="preserve">   </w:t>
          </w:r>
          <w:r>
            <w:rPr>
              <w:spacing w:val="1"/>
              <w:sz w:val="18"/>
              <w:szCs w:val="18"/>
            </w:rPr>
            <w:t>工程体系架构</w:t>
          </w:r>
          <w:r>
            <w:rPr>
              <w:spacing w:val="-72"/>
              <w:sz w:val="18"/>
              <w:szCs w:val="18"/>
            </w:rPr>
            <w:t xml:space="preserve"> </w:t>
          </w:r>
          <w:r>
            <w:rPr>
              <w:sz w:val="18"/>
              <w:szCs w:val="18"/>
            </w:rPr>
            <w:tab/>
          </w:r>
          <w:r>
            <w:rPr>
              <w:rFonts w:ascii="Times New Roman" w:hAnsi="Times New Roman" w:eastAsia="Times New Roman" w:cs="Times New Roman"/>
              <w:spacing w:val="-9"/>
              <w:sz w:val="18"/>
              <w:szCs w:val="18"/>
            </w:rPr>
            <w:t>86</w:t>
          </w:r>
          <w:r>
            <w:rPr>
              <w:rFonts w:ascii="Times New Roman" w:hAnsi="Times New Roman" w:eastAsia="Times New Roman" w:cs="Times New Roman"/>
              <w:spacing w:val="-9"/>
              <w:sz w:val="18"/>
              <w:szCs w:val="18"/>
            </w:rPr>
            <w:fldChar w:fldCharType="end"/>
          </w:r>
        </w:p>
        <w:p w14:paraId="477AE19D">
          <w:pPr>
            <w:spacing w:line="336" w:lineRule="auto"/>
            <w:rPr>
              <w:rFonts w:ascii="Arial"/>
              <w:sz w:val="21"/>
            </w:rPr>
          </w:pPr>
        </w:p>
        <w:p w14:paraId="6C10D2C5">
          <w:pPr>
            <w:spacing w:line="336" w:lineRule="auto"/>
            <w:rPr>
              <w:rFonts w:ascii="Arial"/>
              <w:sz w:val="21"/>
            </w:rPr>
          </w:pPr>
        </w:p>
        <w:p w14:paraId="2A323147">
          <w:pPr>
            <w:pStyle w:val="2"/>
            <w:tabs>
              <w:tab w:val="right" w:leader="dot" w:pos="3912"/>
            </w:tabs>
            <w:spacing w:before="59" w:line="184" w:lineRule="auto"/>
            <w:rPr>
              <w:rFonts w:ascii="Times New Roman" w:hAnsi="Times New Roman" w:eastAsia="Times New Roman" w:cs="Times New Roman"/>
              <w:sz w:val="18"/>
              <w:szCs w:val="18"/>
            </w:rPr>
          </w:pPr>
          <w:bookmarkStart w:id="51" w:name="bookmark52"/>
          <w:bookmarkEnd w:id="51"/>
          <w:r>
            <w:fldChar w:fldCharType="begin"/>
          </w:r>
          <w:r>
            <w:instrText xml:space="preserve"> HYPERLINK \l "bookmark52" </w:instrText>
          </w:r>
          <w:r>
            <w:fldChar w:fldCharType="separate"/>
          </w:r>
          <w:r>
            <w:rPr>
              <w:rFonts w:ascii="Times New Roman" w:hAnsi="Times New Roman" w:eastAsia="Times New Roman" w:cs="Times New Roman"/>
              <w:spacing w:val="3"/>
              <w:sz w:val="18"/>
              <w:szCs w:val="18"/>
            </w:rPr>
            <w:t>3.1</w:t>
          </w:r>
          <w:r>
            <w:rPr>
              <w:rFonts w:ascii="Times New Roman" w:hAnsi="Times New Roman" w:eastAsia="Times New Roman" w:cs="Times New Roman"/>
              <w:spacing w:val="12"/>
              <w:w w:val="102"/>
              <w:sz w:val="18"/>
              <w:szCs w:val="18"/>
            </w:rPr>
            <w:t xml:space="preserve">   </w:t>
          </w:r>
          <w:r>
            <w:rPr>
              <w:spacing w:val="3"/>
              <w:sz w:val="18"/>
              <w:szCs w:val="18"/>
            </w:rPr>
            <w:t>信息网络系统体系框架和</w:t>
          </w:r>
          <w:r>
            <w:rPr>
              <w:rFonts w:ascii="Times New Roman" w:hAnsi="Times New Roman" w:eastAsia="Times New Roman" w:cs="Times New Roman"/>
              <w:sz w:val="18"/>
              <w:szCs w:val="18"/>
            </w:rPr>
            <w:t>OSI</w:t>
          </w:r>
          <w:r>
            <w:rPr>
              <w:rFonts w:ascii="Times New Roman" w:hAnsi="Times New Roman" w:eastAsia="Times New Roman" w:cs="Times New Roman"/>
              <w:spacing w:val="3"/>
              <w:sz w:val="18"/>
              <w:szCs w:val="18"/>
            </w:rPr>
            <w:t xml:space="preserve"> </w:t>
          </w:r>
          <w:r>
            <w:rPr>
              <w:spacing w:val="3"/>
              <w:sz w:val="18"/>
              <w:szCs w:val="18"/>
            </w:rPr>
            <w:t>七层模型</w:t>
          </w:r>
          <w:r>
            <w:rPr>
              <w:spacing w:val="-72"/>
              <w:sz w:val="18"/>
              <w:szCs w:val="18"/>
            </w:rPr>
            <w:t xml:space="preserve"> </w:t>
          </w:r>
          <w:r>
            <w:rPr>
              <w:sz w:val="18"/>
              <w:szCs w:val="18"/>
            </w:rPr>
            <w:tab/>
          </w:r>
          <w:r>
            <w:rPr>
              <w:spacing w:val="-19"/>
              <w:sz w:val="18"/>
              <w:szCs w:val="18"/>
            </w:rPr>
            <w:t xml:space="preserve"> </w:t>
          </w:r>
          <w:r>
            <w:rPr>
              <w:rFonts w:ascii="Times New Roman" w:hAnsi="Times New Roman" w:eastAsia="Times New Roman" w:cs="Times New Roman"/>
              <w:spacing w:val="-2"/>
              <w:sz w:val="18"/>
              <w:szCs w:val="18"/>
            </w:rPr>
            <w:t>92</w:t>
          </w:r>
          <w:r>
            <w:rPr>
              <w:rFonts w:ascii="Times New Roman" w:hAnsi="Times New Roman" w:eastAsia="Times New Roman" w:cs="Times New Roman"/>
              <w:spacing w:val="-2"/>
              <w:sz w:val="18"/>
              <w:szCs w:val="18"/>
            </w:rPr>
            <w:fldChar w:fldCharType="end"/>
          </w:r>
        </w:p>
      </w:sdtContent>
    </w:sdt>
    <w:p w14:paraId="255EEED9">
      <w:pPr>
        <w:spacing w:line="184" w:lineRule="auto"/>
        <w:rPr>
          <w:rFonts w:ascii="Times New Roman" w:hAnsi="Times New Roman" w:eastAsia="Times New Roman" w:cs="Times New Roman"/>
          <w:sz w:val="18"/>
          <w:szCs w:val="18"/>
        </w:rPr>
        <w:sectPr>
          <w:type w:val="continuous"/>
          <w:pgSz w:w="10350" w:h="13320"/>
          <w:pgMar w:top="400" w:right="820" w:bottom="400" w:left="1210" w:header="0" w:footer="0" w:gutter="0"/>
          <w:cols w:equalWidth="0" w:num="2">
            <w:col w:w="4260" w:space="100"/>
            <w:col w:w="3961"/>
          </w:cols>
        </w:sectPr>
      </w:pPr>
    </w:p>
    <w:p w14:paraId="350A7053">
      <w:pPr>
        <w:pStyle w:val="2"/>
        <w:spacing w:before="172" w:line="187" w:lineRule="auto"/>
        <w:rPr>
          <w:sz w:val="18"/>
          <w:szCs w:val="18"/>
        </w:rPr>
      </w:pPr>
      <w:bookmarkStart w:id="52" w:name="bookmark53"/>
      <w:bookmarkEnd w:id="52"/>
      <w:r>
        <w:rPr>
          <w:rFonts w:ascii="Times New Roman" w:hAnsi="Times New Roman" w:eastAsia="Times New Roman" w:cs="Times New Roman"/>
          <w:sz w:val="26"/>
          <w:szCs w:val="26"/>
        </w:rPr>
        <w:t>IV</w:t>
      </w:r>
      <w:r>
        <w:rPr>
          <w:rFonts w:ascii="Times New Roman" w:hAnsi="Times New Roman" w:eastAsia="Times New Roman" w:cs="Times New Roman"/>
          <w:spacing w:val="2"/>
          <w:sz w:val="26"/>
          <w:szCs w:val="26"/>
        </w:rPr>
        <w:t xml:space="preserve">          </w:t>
      </w:r>
      <w:r>
        <w:rPr>
          <w:spacing w:val="12"/>
          <w:sz w:val="18"/>
          <w:szCs w:val="18"/>
        </w:rPr>
        <w:t>信息系统监理师教程(第2版)</w:t>
      </w:r>
    </w:p>
    <w:p w14:paraId="2CA4ED65">
      <w:pPr>
        <w:spacing w:before="100"/>
      </w:pPr>
    </w:p>
    <w:p w14:paraId="4D1AB959">
      <w:pPr>
        <w:sectPr>
          <w:pgSz w:w="10390" w:h="13420"/>
          <w:pgMar w:top="400" w:right="1211" w:bottom="400" w:left="560" w:header="0" w:footer="0" w:gutter="0"/>
          <w:cols w:equalWidth="0" w:num="1">
            <w:col w:w="8619"/>
          </w:cols>
        </w:sectPr>
      </w:pPr>
    </w:p>
    <w:sdt>
      <w:sdtPr>
        <w:rPr>
          <w:rFonts w:ascii="Times New Roman" w:hAnsi="Times New Roman" w:eastAsia="Times New Roman" w:cs="Times New Roman"/>
          <w:sz w:val="18"/>
          <w:szCs w:val="18"/>
        </w:rPr>
        <w:id w:val="147472715"/>
        <w:docPartObj>
          <w:docPartGallery w:val="Table of Contents"/>
          <w:docPartUnique/>
        </w:docPartObj>
      </w:sdtPr>
      <w:sdtEndPr>
        <w:rPr>
          <w:rFonts w:ascii="Times New Roman" w:hAnsi="Times New Roman" w:eastAsia="Times New Roman" w:cs="Times New Roman"/>
          <w:sz w:val="18"/>
          <w:szCs w:val="18"/>
        </w:rPr>
      </w:sdtEndPr>
      <w:sdtContent>
        <w:p w14:paraId="5B38E937">
          <w:pPr>
            <w:pStyle w:val="2"/>
            <w:tabs>
              <w:tab w:val="right" w:leader="dot" w:pos="4242"/>
            </w:tabs>
            <w:spacing w:before="30" w:line="219" w:lineRule="auto"/>
            <w:ind w:left="689"/>
            <w:rPr>
              <w:rFonts w:ascii="Times New Roman" w:hAnsi="Times New Roman" w:eastAsia="Times New Roman" w:cs="Times New Roman"/>
              <w:sz w:val="18"/>
              <w:szCs w:val="18"/>
            </w:rPr>
          </w:pPr>
          <w:bookmarkStart w:id="53" w:name="bookmark54"/>
          <w:bookmarkEnd w:id="53"/>
          <w:r>
            <w:fldChar w:fldCharType="begin"/>
          </w:r>
          <w:r>
            <w:instrText xml:space="preserve"> HYPERLINK \l "bookmark54" </w:instrText>
          </w:r>
          <w:r>
            <w:fldChar w:fldCharType="separate"/>
          </w:r>
          <w:r>
            <w:rPr>
              <w:rFonts w:ascii="Times New Roman" w:hAnsi="Times New Roman" w:eastAsia="Times New Roman" w:cs="Times New Roman"/>
              <w:spacing w:val="-1"/>
              <w:sz w:val="18"/>
              <w:szCs w:val="18"/>
            </w:rPr>
            <w:t>3.1.1</w:t>
          </w:r>
          <w:r>
            <w:rPr>
              <w:rFonts w:ascii="Times New Roman" w:hAnsi="Times New Roman" w:eastAsia="Times New Roman" w:cs="Times New Roman"/>
              <w:spacing w:val="11"/>
              <w:w w:val="102"/>
              <w:sz w:val="18"/>
              <w:szCs w:val="18"/>
            </w:rPr>
            <w:t xml:space="preserve">   </w:t>
          </w:r>
          <w:r>
            <w:rPr>
              <w:spacing w:val="-1"/>
              <w:sz w:val="18"/>
              <w:szCs w:val="18"/>
            </w:rPr>
            <w:t>信息网络系统一般体系框架模型</w:t>
          </w:r>
          <w:r>
            <w:rPr>
              <w:spacing w:val="-53"/>
              <w:sz w:val="18"/>
              <w:szCs w:val="18"/>
            </w:rPr>
            <w:t xml:space="preserve"> </w:t>
          </w:r>
          <w:r>
            <w:rPr>
              <w:sz w:val="18"/>
              <w:szCs w:val="18"/>
            </w:rPr>
            <w:tab/>
          </w:r>
          <w:r>
            <w:rPr>
              <w:rFonts w:ascii="Times New Roman" w:hAnsi="Times New Roman" w:eastAsia="Times New Roman" w:cs="Times New Roman"/>
              <w:spacing w:val="2"/>
              <w:sz w:val="18"/>
              <w:szCs w:val="18"/>
            </w:rPr>
            <w:t>92</w:t>
          </w:r>
          <w:r>
            <w:rPr>
              <w:rFonts w:ascii="Times New Roman" w:hAnsi="Times New Roman" w:eastAsia="Times New Roman" w:cs="Times New Roman"/>
              <w:spacing w:val="2"/>
              <w:sz w:val="18"/>
              <w:szCs w:val="18"/>
            </w:rPr>
            <w:fldChar w:fldCharType="end"/>
          </w:r>
        </w:p>
        <w:p w14:paraId="2A412D4B">
          <w:pPr>
            <w:pStyle w:val="2"/>
            <w:tabs>
              <w:tab w:val="right" w:leader="dot" w:pos="4242"/>
            </w:tabs>
            <w:spacing w:before="106" w:line="219" w:lineRule="auto"/>
            <w:ind w:left="689"/>
            <w:rPr>
              <w:rFonts w:ascii="Times New Roman" w:hAnsi="Times New Roman" w:eastAsia="Times New Roman" w:cs="Times New Roman"/>
              <w:sz w:val="18"/>
              <w:szCs w:val="18"/>
            </w:rPr>
          </w:pPr>
          <w:bookmarkStart w:id="54" w:name="bookmark55"/>
          <w:bookmarkEnd w:id="54"/>
          <w:r>
            <w:fldChar w:fldCharType="begin"/>
          </w:r>
          <w:r>
            <w:instrText xml:space="preserve"> HYPERLINK \l "bookmark55" </w:instrText>
          </w:r>
          <w:r>
            <w:fldChar w:fldCharType="separate"/>
          </w:r>
          <w:r>
            <w:rPr>
              <w:rFonts w:ascii="Times New Roman" w:hAnsi="Times New Roman" w:eastAsia="Times New Roman" w:cs="Times New Roman"/>
              <w:spacing w:val="11"/>
              <w:sz w:val="18"/>
              <w:szCs w:val="18"/>
            </w:rPr>
            <w:t>3.1.2</w:t>
          </w:r>
          <w:r>
            <w:rPr>
              <w:rFonts w:ascii="Times New Roman" w:hAnsi="Times New Roman" w:eastAsia="Times New Roman" w:cs="Times New Roman"/>
              <w:spacing w:val="3"/>
              <w:sz w:val="18"/>
              <w:szCs w:val="18"/>
            </w:rPr>
            <w:t xml:space="preserve">    </w:t>
          </w:r>
          <w:r>
            <w:rPr>
              <w:spacing w:val="11"/>
              <w:sz w:val="18"/>
              <w:szCs w:val="18"/>
            </w:rPr>
            <w:t>开放系统互连(</w:t>
          </w:r>
          <w:r>
            <w:rPr>
              <w:rFonts w:ascii="Times New Roman" w:hAnsi="Times New Roman" w:eastAsia="Times New Roman" w:cs="Times New Roman"/>
              <w:sz w:val="18"/>
              <w:szCs w:val="18"/>
            </w:rPr>
            <w:t>OSI</w:t>
          </w:r>
          <w:r>
            <w:rPr>
              <w:spacing w:val="11"/>
              <w:sz w:val="18"/>
              <w:szCs w:val="18"/>
            </w:rPr>
            <w:t>)七层模型</w:t>
          </w:r>
          <w:r>
            <w:rPr>
              <w:spacing w:val="-71"/>
              <w:sz w:val="18"/>
              <w:szCs w:val="18"/>
            </w:rPr>
            <w:t xml:space="preserve"> </w:t>
          </w:r>
          <w:r>
            <w:rPr>
              <w:sz w:val="18"/>
              <w:szCs w:val="18"/>
            </w:rPr>
            <w:tab/>
          </w:r>
          <w:r>
            <w:rPr>
              <w:rFonts w:ascii="Times New Roman" w:hAnsi="Times New Roman" w:eastAsia="Times New Roman" w:cs="Times New Roman"/>
              <w:spacing w:val="1"/>
              <w:sz w:val="18"/>
              <w:szCs w:val="18"/>
            </w:rPr>
            <w:t>93</w:t>
          </w:r>
          <w:r>
            <w:rPr>
              <w:rFonts w:ascii="Times New Roman" w:hAnsi="Times New Roman" w:eastAsia="Times New Roman" w:cs="Times New Roman"/>
              <w:spacing w:val="1"/>
              <w:sz w:val="18"/>
              <w:szCs w:val="18"/>
            </w:rPr>
            <w:fldChar w:fldCharType="end"/>
          </w:r>
        </w:p>
        <w:p w14:paraId="031A3AE1">
          <w:pPr>
            <w:pStyle w:val="2"/>
            <w:tabs>
              <w:tab w:val="right" w:leader="dot" w:pos="4252"/>
            </w:tabs>
            <w:spacing w:before="116" w:line="220" w:lineRule="auto"/>
            <w:ind w:left="280"/>
            <w:rPr>
              <w:rFonts w:ascii="Times New Roman" w:hAnsi="Times New Roman" w:eastAsia="Times New Roman" w:cs="Times New Roman"/>
              <w:sz w:val="18"/>
              <w:szCs w:val="18"/>
            </w:rPr>
          </w:pPr>
          <w:bookmarkStart w:id="55" w:name="bookmark56"/>
          <w:bookmarkEnd w:id="55"/>
          <w:r>
            <w:fldChar w:fldCharType="begin"/>
          </w:r>
          <w:r>
            <w:instrText xml:space="preserve"> HYPERLINK \l "bookmark56" </w:instrText>
          </w:r>
          <w:r>
            <w:fldChar w:fldCharType="separate"/>
          </w:r>
          <w:r>
            <w:rPr>
              <w:rFonts w:ascii="Times New Roman" w:hAnsi="Times New Roman" w:eastAsia="Times New Roman" w:cs="Times New Roman"/>
              <w:sz w:val="18"/>
              <w:szCs w:val="18"/>
            </w:rPr>
            <w:t xml:space="preserve">3.2    TCP/IP </w:t>
          </w:r>
          <w:r>
            <w:rPr>
              <w:sz w:val="18"/>
              <w:szCs w:val="18"/>
            </w:rPr>
            <w:t>协议族</w:t>
          </w:r>
          <w:r>
            <w:rPr>
              <w:spacing w:val="-52"/>
              <w:sz w:val="18"/>
              <w:szCs w:val="18"/>
            </w:rPr>
            <w:t xml:space="preserve"> </w:t>
          </w:r>
          <w:r>
            <w:rPr>
              <w:sz w:val="18"/>
              <w:szCs w:val="18"/>
            </w:rPr>
            <w:tab/>
          </w:r>
          <w:r>
            <w:rPr>
              <w:rFonts w:ascii="Times New Roman" w:hAnsi="Times New Roman" w:eastAsia="Times New Roman" w:cs="Times New Roman"/>
              <w:spacing w:val="1"/>
              <w:sz w:val="18"/>
              <w:szCs w:val="18"/>
            </w:rPr>
            <w:t>95</w:t>
          </w:r>
          <w:r>
            <w:rPr>
              <w:rFonts w:ascii="Times New Roman" w:hAnsi="Times New Roman" w:eastAsia="Times New Roman" w:cs="Times New Roman"/>
              <w:spacing w:val="1"/>
              <w:sz w:val="18"/>
              <w:szCs w:val="18"/>
            </w:rPr>
            <w:fldChar w:fldCharType="end"/>
          </w:r>
        </w:p>
        <w:p w14:paraId="3066A776">
          <w:pPr>
            <w:pStyle w:val="2"/>
            <w:tabs>
              <w:tab w:val="right" w:leader="dot" w:pos="4242"/>
            </w:tabs>
            <w:spacing w:before="85" w:line="219" w:lineRule="auto"/>
            <w:ind w:left="689"/>
            <w:rPr>
              <w:rFonts w:ascii="Times New Roman" w:hAnsi="Times New Roman" w:eastAsia="Times New Roman" w:cs="Times New Roman"/>
              <w:sz w:val="18"/>
              <w:szCs w:val="18"/>
            </w:rPr>
          </w:pPr>
          <w:bookmarkStart w:id="56" w:name="bookmark57"/>
          <w:bookmarkEnd w:id="56"/>
          <w:r>
            <w:fldChar w:fldCharType="begin"/>
          </w:r>
          <w:r>
            <w:instrText xml:space="preserve"> HYPERLINK \l "bookmark57" </w:instrText>
          </w:r>
          <w:r>
            <w:fldChar w:fldCharType="separate"/>
          </w:r>
          <w:r>
            <w:rPr>
              <w:rFonts w:ascii="Times New Roman" w:hAnsi="Times New Roman" w:eastAsia="Times New Roman" w:cs="Times New Roman"/>
              <w:spacing w:val="-2"/>
              <w:sz w:val="18"/>
              <w:szCs w:val="18"/>
            </w:rPr>
            <w:t xml:space="preserve">3.2.1    TCP/IP </w:t>
          </w:r>
          <w:r>
            <w:rPr>
              <w:spacing w:val="-2"/>
              <w:sz w:val="18"/>
              <w:szCs w:val="18"/>
            </w:rPr>
            <w:t>协议层级结构</w:t>
          </w:r>
          <w:r>
            <w:rPr>
              <w:spacing w:val="-53"/>
              <w:sz w:val="18"/>
              <w:szCs w:val="18"/>
            </w:rPr>
            <w:t xml:space="preserve"> </w:t>
          </w:r>
          <w:r>
            <w:rPr>
              <w:sz w:val="18"/>
              <w:szCs w:val="18"/>
            </w:rPr>
            <w:tab/>
          </w:r>
          <w:r>
            <w:rPr>
              <w:rFonts w:ascii="Times New Roman" w:hAnsi="Times New Roman" w:eastAsia="Times New Roman" w:cs="Times New Roman"/>
              <w:spacing w:val="2"/>
              <w:sz w:val="18"/>
              <w:szCs w:val="18"/>
            </w:rPr>
            <w:t>95</w:t>
          </w:r>
          <w:r>
            <w:rPr>
              <w:rFonts w:ascii="Times New Roman" w:hAnsi="Times New Roman" w:eastAsia="Times New Roman" w:cs="Times New Roman"/>
              <w:spacing w:val="2"/>
              <w:sz w:val="18"/>
              <w:szCs w:val="18"/>
            </w:rPr>
            <w:fldChar w:fldCharType="end"/>
          </w:r>
        </w:p>
        <w:p w14:paraId="0D313C82">
          <w:pPr>
            <w:pStyle w:val="2"/>
            <w:tabs>
              <w:tab w:val="right" w:leader="dot" w:pos="4242"/>
            </w:tabs>
            <w:spacing w:before="117" w:line="220" w:lineRule="auto"/>
            <w:ind w:left="689"/>
            <w:rPr>
              <w:rFonts w:ascii="Times New Roman" w:hAnsi="Times New Roman" w:eastAsia="Times New Roman" w:cs="Times New Roman"/>
              <w:sz w:val="18"/>
              <w:szCs w:val="18"/>
            </w:rPr>
          </w:pPr>
          <w:bookmarkStart w:id="57" w:name="bookmark58"/>
          <w:bookmarkEnd w:id="57"/>
          <w:r>
            <w:fldChar w:fldCharType="begin"/>
          </w:r>
          <w:r>
            <w:instrText xml:space="preserve"> HYPERLINK \l "bookmark58" </w:instrText>
          </w:r>
          <w:r>
            <w:fldChar w:fldCharType="separate"/>
          </w:r>
          <w:r>
            <w:rPr>
              <w:rFonts w:ascii="Times New Roman" w:hAnsi="Times New Roman" w:eastAsia="Times New Roman" w:cs="Times New Roman"/>
              <w:spacing w:val="3"/>
              <w:sz w:val="18"/>
              <w:szCs w:val="18"/>
            </w:rPr>
            <w:t>3.2.2</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z w:val="18"/>
              <w:szCs w:val="18"/>
            </w:rPr>
            <w:t>IPv</w:t>
          </w:r>
          <w:r>
            <w:rPr>
              <w:spacing w:val="3"/>
              <w:sz w:val="18"/>
              <w:szCs w:val="18"/>
            </w:rPr>
            <w:t>4协议和</w:t>
          </w:r>
          <w:r>
            <w:rPr>
              <w:rFonts w:ascii="Times New Roman" w:hAnsi="Times New Roman" w:eastAsia="Times New Roman" w:cs="Times New Roman"/>
              <w:sz w:val="18"/>
              <w:szCs w:val="18"/>
            </w:rPr>
            <w:t>IPv</w:t>
          </w:r>
          <w:r>
            <w:rPr>
              <w:spacing w:val="3"/>
              <w:sz w:val="18"/>
              <w:szCs w:val="18"/>
            </w:rPr>
            <w:t>6协议</w:t>
          </w:r>
          <w:r>
            <w:rPr>
              <w:spacing w:val="-69"/>
              <w:sz w:val="18"/>
              <w:szCs w:val="18"/>
            </w:rPr>
            <w:t xml:space="preserve"> </w:t>
          </w:r>
          <w:r>
            <w:rPr>
              <w:sz w:val="18"/>
              <w:szCs w:val="18"/>
            </w:rPr>
            <w:tab/>
          </w:r>
          <w:r>
            <w:rPr>
              <w:rFonts w:ascii="Times New Roman" w:hAnsi="Times New Roman" w:eastAsia="Times New Roman" w:cs="Times New Roman"/>
              <w:spacing w:val="1"/>
              <w:sz w:val="18"/>
              <w:szCs w:val="18"/>
            </w:rPr>
            <w:t>96</w:t>
          </w:r>
          <w:r>
            <w:rPr>
              <w:rFonts w:ascii="Times New Roman" w:hAnsi="Times New Roman" w:eastAsia="Times New Roman" w:cs="Times New Roman"/>
              <w:spacing w:val="1"/>
              <w:sz w:val="18"/>
              <w:szCs w:val="18"/>
            </w:rPr>
            <w:fldChar w:fldCharType="end"/>
          </w:r>
        </w:p>
        <w:p w14:paraId="083F10C1">
          <w:pPr>
            <w:pStyle w:val="2"/>
            <w:tabs>
              <w:tab w:val="right" w:leader="dot" w:pos="4077"/>
            </w:tabs>
            <w:spacing w:before="104" w:line="219" w:lineRule="auto"/>
            <w:ind w:left="280"/>
            <w:rPr>
              <w:rFonts w:ascii="Times New Roman" w:hAnsi="Times New Roman" w:eastAsia="Times New Roman" w:cs="Times New Roman"/>
              <w:sz w:val="18"/>
              <w:szCs w:val="18"/>
            </w:rPr>
          </w:pPr>
          <w:bookmarkStart w:id="58" w:name="bookmark59"/>
          <w:bookmarkEnd w:id="58"/>
          <w:r>
            <w:fldChar w:fldCharType="begin"/>
          </w:r>
          <w:r>
            <w:instrText xml:space="preserve"> HYPERLINK \l "bookmark59" </w:instrText>
          </w:r>
          <w:r>
            <w:fldChar w:fldCharType="separate"/>
          </w:r>
          <w:r>
            <w:rPr>
              <w:rFonts w:ascii="Times New Roman" w:hAnsi="Times New Roman" w:eastAsia="Times New Roman" w:cs="Times New Roman"/>
              <w:spacing w:val="2"/>
              <w:sz w:val="18"/>
              <w:szCs w:val="18"/>
            </w:rPr>
            <w:t xml:space="preserve">3.3    </w:t>
          </w:r>
          <w:r>
            <w:rPr>
              <w:spacing w:val="2"/>
              <w:sz w:val="18"/>
              <w:szCs w:val="18"/>
            </w:rPr>
            <w:t>网络传输平台</w:t>
          </w:r>
          <w:r>
            <w:rPr>
              <w:spacing w:val="-73"/>
              <w:sz w:val="18"/>
              <w:szCs w:val="18"/>
            </w:rPr>
            <w:t xml:space="preserve"> </w:t>
          </w:r>
          <w:r>
            <w:rPr>
              <w:sz w:val="18"/>
              <w:szCs w:val="18"/>
            </w:rPr>
            <w:tab/>
          </w:r>
          <w:r>
            <w:rPr>
              <w:spacing w:val="-30"/>
              <w:sz w:val="18"/>
              <w:szCs w:val="18"/>
            </w:rPr>
            <w:t xml:space="preserve"> </w:t>
          </w:r>
          <w:r>
            <w:rPr>
              <w:rFonts w:ascii="Times New Roman" w:hAnsi="Times New Roman" w:eastAsia="Times New Roman" w:cs="Times New Roman"/>
              <w:spacing w:val="-5"/>
              <w:sz w:val="18"/>
              <w:szCs w:val="18"/>
            </w:rPr>
            <w:t>100</w:t>
          </w:r>
          <w:r>
            <w:rPr>
              <w:rFonts w:ascii="Times New Roman" w:hAnsi="Times New Roman" w:eastAsia="Times New Roman" w:cs="Times New Roman"/>
              <w:spacing w:val="-5"/>
              <w:sz w:val="18"/>
              <w:szCs w:val="18"/>
            </w:rPr>
            <w:fldChar w:fldCharType="end"/>
          </w:r>
        </w:p>
        <w:p w14:paraId="1B3A28A8">
          <w:pPr>
            <w:pStyle w:val="2"/>
            <w:spacing w:before="96" w:line="219" w:lineRule="auto"/>
            <w:ind w:left="699"/>
            <w:rPr>
              <w:sz w:val="18"/>
              <w:szCs w:val="18"/>
            </w:rPr>
          </w:pPr>
          <w:bookmarkStart w:id="59" w:name="bookmark60"/>
          <w:bookmarkEnd w:id="59"/>
          <w:r>
            <w:fldChar w:fldCharType="begin"/>
          </w:r>
          <w:r>
            <w:instrText xml:space="preserve"> HYPERLINK \l "bookmark60" </w:instrText>
          </w:r>
          <w:r>
            <w:fldChar w:fldCharType="separate"/>
          </w:r>
          <w:r>
            <w:rPr>
              <w:rFonts w:ascii="Times New Roman" w:hAnsi="Times New Roman" w:eastAsia="Times New Roman" w:cs="Times New Roman"/>
              <w:sz w:val="18"/>
              <w:szCs w:val="18"/>
            </w:rPr>
            <w:t xml:space="preserve">3.3.1    </w:t>
          </w:r>
          <w:r>
            <w:rPr>
              <w:sz w:val="18"/>
              <w:szCs w:val="18"/>
            </w:rPr>
            <w:t>网络传输平台的一般架构和主要</w:t>
          </w:r>
          <w:r>
            <w:rPr>
              <w:sz w:val="18"/>
              <w:szCs w:val="18"/>
            </w:rPr>
            <w:fldChar w:fldCharType="end"/>
          </w:r>
        </w:p>
        <w:p w14:paraId="3E8663C2">
          <w:pPr>
            <w:tabs>
              <w:tab w:val="right" w:leader="dot" w:pos="4247"/>
            </w:tabs>
            <w:spacing w:before="108" w:line="222" w:lineRule="auto"/>
            <w:ind w:left="1259"/>
            <w:rPr>
              <w:rFonts w:ascii="Times New Roman" w:hAnsi="Times New Roman" w:eastAsia="Times New Roman" w:cs="Times New Roman"/>
              <w:sz w:val="18"/>
              <w:szCs w:val="18"/>
            </w:rPr>
          </w:pPr>
          <w:bookmarkStart w:id="60" w:name="bookmark60"/>
          <w:bookmarkEnd w:id="60"/>
          <w:r>
            <w:fldChar w:fldCharType="begin"/>
          </w:r>
          <w:r>
            <w:instrText xml:space="preserve"> HYPERLINK \l "bookmark60" </w:instrText>
          </w:r>
          <w:r>
            <w:fldChar w:fldCharType="separate"/>
          </w:r>
          <w:r>
            <w:rPr>
              <w:rFonts w:ascii="黑体" w:hAnsi="黑体" w:eastAsia="黑体" w:cs="黑体"/>
              <w:spacing w:val="-4"/>
              <w:sz w:val="18"/>
              <w:szCs w:val="18"/>
            </w:rPr>
            <w:t>技术</w:t>
          </w:r>
          <w:r>
            <w:rPr>
              <w:rFonts w:ascii="黑体" w:hAnsi="黑体" w:eastAsia="黑体" w:cs="黑体"/>
              <w:spacing w:val="-64"/>
              <w:sz w:val="18"/>
              <w:szCs w:val="18"/>
            </w:rPr>
            <w:t xml:space="preserve"> </w:t>
          </w:r>
          <w:r>
            <w:rPr>
              <w:rFonts w:ascii="黑体" w:hAnsi="黑体" w:eastAsia="黑体" w:cs="黑体"/>
              <w:sz w:val="18"/>
              <w:szCs w:val="18"/>
            </w:rPr>
            <w:tab/>
          </w:r>
          <w:r>
            <w:rPr>
              <w:rFonts w:ascii="黑体" w:hAnsi="黑体" w:eastAsia="黑体" w:cs="黑体"/>
              <w:spacing w:val="-50"/>
              <w:sz w:val="18"/>
              <w:szCs w:val="18"/>
            </w:rPr>
            <w:t xml:space="preserve"> </w:t>
          </w:r>
          <w:r>
            <w:rPr>
              <w:rFonts w:ascii="Times New Roman" w:hAnsi="Times New Roman" w:eastAsia="Times New Roman" w:cs="Times New Roman"/>
              <w:spacing w:val="-5"/>
              <w:sz w:val="18"/>
              <w:szCs w:val="18"/>
            </w:rPr>
            <w:t>101</w:t>
          </w:r>
          <w:r>
            <w:rPr>
              <w:rFonts w:ascii="Times New Roman" w:hAnsi="Times New Roman" w:eastAsia="Times New Roman" w:cs="Times New Roman"/>
              <w:spacing w:val="-5"/>
              <w:sz w:val="18"/>
              <w:szCs w:val="18"/>
            </w:rPr>
            <w:fldChar w:fldCharType="end"/>
          </w:r>
        </w:p>
        <w:p w14:paraId="7C9CB16A">
          <w:pPr>
            <w:pStyle w:val="2"/>
            <w:tabs>
              <w:tab w:val="right" w:leader="dot" w:pos="4247"/>
            </w:tabs>
            <w:spacing w:before="114" w:line="220" w:lineRule="auto"/>
            <w:ind w:left="689"/>
            <w:rPr>
              <w:rFonts w:ascii="Times New Roman" w:hAnsi="Times New Roman" w:eastAsia="Times New Roman" w:cs="Times New Roman"/>
              <w:sz w:val="18"/>
              <w:szCs w:val="18"/>
            </w:rPr>
          </w:pPr>
          <w:bookmarkStart w:id="61" w:name="bookmark61"/>
          <w:bookmarkEnd w:id="61"/>
          <w:r>
            <w:fldChar w:fldCharType="begin"/>
          </w:r>
          <w:r>
            <w:instrText xml:space="preserve"> HYPERLINK \l "bookmark61" </w:instrText>
          </w:r>
          <w:r>
            <w:fldChar w:fldCharType="separate"/>
          </w:r>
          <w:r>
            <w:rPr>
              <w:rFonts w:ascii="Times New Roman" w:hAnsi="Times New Roman" w:eastAsia="Times New Roman" w:cs="Times New Roman"/>
              <w:spacing w:val="-1"/>
              <w:sz w:val="18"/>
              <w:szCs w:val="18"/>
            </w:rPr>
            <w:t xml:space="preserve">3.3.2    </w:t>
          </w:r>
          <w:r>
            <w:rPr>
              <w:spacing w:val="-1"/>
              <w:sz w:val="18"/>
              <w:szCs w:val="18"/>
            </w:rPr>
            <w:t>运营商网络架构</w:t>
          </w:r>
          <w:r>
            <w:rPr>
              <w:spacing w:val="-46"/>
              <w:sz w:val="18"/>
              <w:szCs w:val="18"/>
            </w:rPr>
            <w:t xml:space="preserve"> </w:t>
          </w:r>
          <w:r>
            <w:rPr>
              <w:sz w:val="18"/>
              <w:szCs w:val="18"/>
            </w:rPr>
            <w:tab/>
          </w:r>
          <w:r>
            <w:rPr>
              <w:spacing w:val="-30"/>
              <w:sz w:val="18"/>
              <w:szCs w:val="18"/>
            </w:rPr>
            <w:t xml:space="preserve"> </w:t>
          </w:r>
          <w:r>
            <w:rPr>
              <w:rFonts w:ascii="Times New Roman" w:hAnsi="Times New Roman" w:eastAsia="Times New Roman" w:cs="Times New Roman"/>
              <w:spacing w:val="-5"/>
              <w:sz w:val="18"/>
              <w:szCs w:val="18"/>
            </w:rPr>
            <w:t>103</w:t>
          </w:r>
          <w:r>
            <w:rPr>
              <w:rFonts w:ascii="Times New Roman" w:hAnsi="Times New Roman" w:eastAsia="Times New Roman" w:cs="Times New Roman"/>
              <w:spacing w:val="-5"/>
              <w:sz w:val="18"/>
              <w:szCs w:val="18"/>
            </w:rPr>
            <w:fldChar w:fldCharType="end"/>
          </w:r>
        </w:p>
        <w:p w14:paraId="1B128721">
          <w:pPr>
            <w:pStyle w:val="2"/>
            <w:tabs>
              <w:tab w:val="right" w:leader="dot" w:pos="4237"/>
            </w:tabs>
            <w:spacing w:before="105" w:line="220" w:lineRule="auto"/>
            <w:ind w:left="689"/>
            <w:rPr>
              <w:rFonts w:ascii="Times New Roman" w:hAnsi="Times New Roman" w:eastAsia="Times New Roman" w:cs="Times New Roman"/>
              <w:sz w:val="18"/>
              <w:szCs w:val="18"/>
            </w:rPr>
          </w:pPr>
          <w:bookmarkStart w:id="62" w:name="bookmark62"/>
          <w:bookmarkEnd w:id="62"/>
          <w:r>
            <w:fldChar w:fldCharType="begin"/>
          </w:r>
          <w:r>
            <w:instrText xml:space="preserve"> HYPERLINK \l "bookmark62" </w:instrText>
          </w:r>
          <w:r>
            <w:fldChar w:fldCharType="separate"/>
          </w:r>
          <w:r>
            <w:rPr>
              <w:rFonts w:ascii="Times New Roman" w:hAnsi="Times New Roman" w:eastAsia="Times New Roman" w:cs="Times New Roman"/>
              <w:spacing w:val="-1"/>
              <w:sz w:val="18"/>
              <w:szCs w:val="18"/>
            </w:rPr>
            <w:t xml:space="preserve">3.3.3    </w:t>
          </w:r>
          <w:r>
            <w:rPr>
              <w:spacing w:val="-1"/>
              <w:sz w:val="18"/>
              <w:szCs w:val="18"/>
            </w:rPr>
            <w:t>企业网和家庭网络组网</w:t>
          </w:r>
          <w:r>
            <w:rPr>
              <w:spacing w:val="-53"/>
              <w:sz w:val="18"/>
              <w:szCs w:val="18"/>
            </w:rPr>
            <w:t xml:space="preserve"> </w:t>
          </w:r>
          <w:r>
            <w:rPr>
              <w:sz w:val="18"/>
              <w:szCs w:val="18"/>
            </w:rPr>
            <w:tab/>
          </w:r>
          <w:r>
            <w:rPr>
              <w:spacing w:val="-30"/>
              <w:sz w:val="18"/>
              <w:szCs w:val="18"/>
            </w:rPr>
            <w:t xml:space="preserve"> </w:t>
          </w:r>
          <w:r>
            <w:rPr>
              <w:rFonts w:ascii="Times New Roman" w:hAnsi="Times New Roman" w:eastAsia="Times New Roman" w:cs="Times New Roman"/>
              <w:spacing w:val="-5"/>
              <w:sz w:val="18"/>
              <w:szCs w:val="18"/>
            </w:rPr>
            <w:t>104</w:t>
          </w:r>
          <w:r>
            <w:rPr>
              <w:rFonts w:ascii="Times New Roman" w:hAnsi="Times New Roman" w:eastAsia="Times New Roman" w:cs="Times New Roman"/>
              <w:spacing w:val="-5"/>
              <w:sz w:val="18"/>
              <w:szCs w:val="18"/>
            </w:rPr>
            <w:fldChar w:fldCharType="end"/>
          </w:r>
        </w:p>
        <w:p w14:paraId="77C05F54">
          <w:pPr>
            <w:pStyle w:val="2"/>
            <w:tabs>
              <w:tab w:val="right" w:leader="dot" w:pos="4227"/>
            </w:tabs>
            <w:spacing w:before="96" w:line="219" w:lineRule="auto"/>
            <w:ind w:left="689"/>
            <w:rPr>
              <w:rFonts w:ascii="Times New Roman" w:hAnsi="Times New Roman" w:eastAsia="Times New Roman" w:cs="Times New Roman"/>
              <w:sz w:val="18"/>
              <w:szCs w:val="18"/>
            </w:rPr>
          </w:pPr>
          <w:bookmarkStart w:id="63" w:name="bookmark63"/>
          <w:bookmarkEnd w:id="63"/>
          <w:r>
            <w:fldChar w:fldCharType="begin"/>
          </w:r>
          <w:r>
            <w:instrText xml:space="preserve"> HYPERLINK \l "bookmark63" </w:instrText>
          </w:r>
          <w:r>
            <w:fldChar w:fldCharType="separate"/>
          </w:r>
          <w:r>
            <w:rPr>
              <w:rFonts w:ascii="Times New Roman" w:hAnsi="Times New Roman" w:eastAsia="Times New Roman" w:cs="Times New Roman"/>
              <w:spacing w:val="1"/>
              <w:sz w:val="18"/>
              <w:szCs w:val="18"/>
            </w:rPr>
            <w:t>3.3.4</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
              <w:sz w:val="18"/>
              <w:szCs w:val="18"/>
            </w:rPr>
            <w:t>4G/5</w:t>
          </w:r>
          <w:r>
            <w:rPr>
              <w:spacing w:val="1"/>
              <w:sz w:val="18"/>
              <w:szCs w:val="18"/>
            </w:rPr>
            <w:t>G移动通信</w:t>
          </w:r>
          <w:r>
            <w:rPr>
              <w:spacing w:val="-71"/>
              <w:sz w:val="18"/>
              <w:szCs w:val="18"/>
            </w:rPr>
            <w:t xml:space="preserve"> </w:t>
          </w:r>
          <w:r>
            <w:rPr>
              <w:sz w:val="18"/>
              <w:szCs w:val="18"/>
            </w:rPr>
            <w:tab/>
          </w:r>
          <w:r>
            <w:rPr>
              <w:rFonts w:ascii="Times New Roman" w:hAnsi="Times New Roman" w:eastAsia="Times New Roman" w:cs="Times New Roman"/>
              <w:spacing w:val="-3"/>
              <w:sz w:val="18"/>
              <w:szCs w:val="18"/>
            </w:rPr>
            <w:t>105</w:t>
          </w:r>
          <w:r>
            <w:rPr>
              <w:rFonts w:ascii="Times New Roman" w:hAnsi="Times New Roman" w:eastAsia="Times New Roman" w:cs="Times New Roman"/>
              <w:spacing w:val="-3"/>
              <w:sz w:val="18"/>
              <w:szCs w:val="18"/>
            </w:rPr>
            <w:fldChar w:fldCharType="end"/>
          </w:r>
        </w:p>
        <w:p w14:paraId="020AAF31">
          <w:pPr>
            <w:pStyle w:val="2"/>
            <w:tabs>
              <w:tab w:val="right" w:leader="dot" w:pos="4227"/>
            </w:tabs>
            <w:spacing w:before="96" w:line="219" w:lineRule="auto"/>
            <w:ind w:left="689"/>
            <w:rPr>
              <w:rFonts w:ascii="Times New Roman" w:hAnsi="Times New Roman" w:eastAsia="Times New Roman" w:cs="Times New Roman"/>
              <w:sz w:val="18"/>
              <w:szCs w:val="18"/>
            </w:rPr>
          </w:pPr>
          <w:bookmarkStart w:id="64" w:name="bookmark64"/>
          <w:bookmarkEnd w:id="64"/>
          <w:r>
            <w:fldChar w:fldCharType="begin"/>
          </w:r>
          <w:r>
            <w:instrText xml:space="preserve"> HYPERLINK \l "bookmark64" </w:instrText>
          </w:r>
          <w:r>
            <w:fldChar w:fldCharType="separate"/>
          </w:r>
          <w:r>
            <w:rPr>
              <w:rFonts w:ascii="Times New Roman" w:hAnsi="Times New Roman" w:eastAsia="Times New Roman" w:cs="Times New Roman"/>
              <w:spacing w:val="1"/>
              <w:sz w:val="18"/>
              <w:szCs w:val="18"/>
            </w:rPr>
            <w:t xml:space="preserve">3.3.5    </w:t>
          </w:r>
          <w:r>
            <w:rPr>
              <w:spacing w:val="1"/>
              <w:sz w:val="18"/>
              <w:szCs w:val="18"/>
            </w:rPr>
            <w:t>物联网组网技术</w:t>
          </w:r>
          <w:r>
            <w:rPr>
              <w:spacing w:val="-68"/>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5"/>
              <w:sz w:val="18"/>
              <w:szCs w:val="18"/>
            </w:rPr>
            <w:t>108</w:t>
          </w:r>
          <w:r>
            <w:rPr>
              <w:rFonts w:ascii="Times New Roman" w:hAnsi="Times New Roman" w:eastAsia="Times New Roman" w:cs="Times New Roman"/>
              <w:spacing w:val="-5"/>
              <w:sz w:val="18"/>
              <w:szCs w:val="18"/>
            </w:rPr>
            <w:fldChar w:fldCharType="end"/>
          </w:r>
        </w:p>
        <w:p w14:paraId="7B9779A7">
          <w:pPr>
            <w:pStyle w:val="2"/>
            <w:tabs>
              <w:tab w:val="right" w:leader="dot" w:pos="4227"/>
            </w:tabs>
            <w:spacing w:before="107" w:line="219" w:lineRule="auto"/>
            <w:ind w:left="280"/>
            <w:rPr>
              <w:rFonts w:ascii="Times New Roman" w:hAnsi="Times New Roman" w:eastAsia="Times New Roman" w:cs="Times New Roman"/>
              <w:sz w:val="18"/>
              <w:szCs w:val="18"/>
            </w:rPr>
          </w:pPr>
          <w:bookmarkStart w:id="65" w:name="bookmark65"/>
          <w:bookmarkEnd w:id="65"/>
          <w:r>
            <w:fldChar w:fldCharType="begin"/>
          </w:r>
          <w:r>
            <w:instrText xml:space="preserve"> HYPERLINK \l "bookmark65" </w:instrText>
          </w:r>
          <w:r>
            <w:fldChar w:fldCharType="separate"/>
          </w:r>
          <w:r>
            <w:rPr>
              <w:rFonts w:ascii="Times New Roman" w:hAnsi="Times New Roman" w:eastAsia="Times New Roman" w:cs="Times New Roman"/>
              <w:spacing w:val="1"/>
              <w:sz w:val="18"/>
              <w:szCs w:val="18"/>
            </w:rPr>
            <w:t xml:space="preserve">3.4    </w:t>
          </w:r>
          <w:r>
            <w:rPr>
              <w:spacing w:val="1"/>
              <w:sz w:val="18"/>
              <w:szCs w:val="18"/>
            </w:rPr>
            <w:t>网络和应用服务平台</w:t>
          </w:r>
          <w:r>
            <w:rPr>
              <w:spacing w:val="-73"/>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110</w:t>
          </w:r>
          <w:r>
            <w:rPr>
              <w:rFonts w:ascii="Times New Roman" w:hAnsi="Times New Roman" w:eastAsia="Times New Roman" w:cs="Times New Roman"/>
              <w:spacing w:val="-5"/>
              <w:sz w:val="18"/>
              <w:szCs w:val="18"/>
            </w:rPr>
            <w:fldChar w:fldCharType="end"/>
          </w:r>
        </w:p>
        <w:p w14:paraId="2084EE04">
          <w:pPr>
            <w:pStyle w:val="2"/>
            <w:tabs>
              <w:tab w:val="right" w:leader="dot" w:pos="4257"/>
            </w:tabs>
            <w:spacing w:before="116" w:line="219" w:lineRule="auto"/>
            <w:ind w:left="280"/>
            <w:rPr>
              <w:rFonts w:ascii="Times New Roman" w:hAnsi="Times New Roman" w:eastAsia="Times New Roman" w:cs="Times New Roman"/>
              <w:sz w:val="18"/>
              <w:szCs w:val="18"/>
            </w:rPr>
          </w:pPr>
          <w:bookmarkStart w:id="66" w:name="bookmark66"/>
          <w:bookmarkEnd w:id="66"/>
          <w:r>
            <w:fldChar w:fldCharType="begin"/>
          </w:r>
          <w:r>
            <w:instrText xml:space="preserve"> HYPERLINK \l "bookmark66" </w:instrText>
          </w:r>
          <w:r>
            <w:fldChar w:fldCharType="separate"/>
          </w:r>
          <w:r>
            <w:rPr>
              <w:rFonts w:ascii="Times New Roman" w:hAnsi="Times New Roman" w:eastAsia="Times New Roman" w:cs="Times New Roman"/>
              <w:spacing w:val="1"/>
              <w:sz w:val="18"/>
              <w:szCs w:val="18"/>
            </w:rPr>
            <w:t xml:space="preserve">3.5    </w:t>
          </w:r>
          <w:r>
            <w:rPr>
              <w:spacing w:val="1"/>
              <w:sz w:val="18"/>
              <w:szCs w:val="18"/>
            </w:rPr>
            <w:t>安全服务平台</w:t>
          </w:r>
          <w:r>
            <w:rPr>
              <w:spacing w:val="-80"/>
              <w:sz w:val="18"/>
              <w:szCs w:val="18"/>
            </w:rPr>
            <w:t xml:space="preserve"> </w:t>
          </w:r>
          <w:r>
            <w:rPr>
              <w:sz w:val="18"/>
              <w:szCs w:val="18"/>
            </w:rPr>
            <w:tab/>
          </w:r>
          <w:r>
            <w:rPr>
              <w:spacing w:val="-9"/>
              <w:sz w:val="18"/>
              <w:szCs w:val="18"/>
            </w:rPr>
            <w:t xml:space="preserve"> </w:t>
          </w:r>
          <w:r>
            <w:rPr>
              <w:rFonts w:ascii="Times New Roman" w:hAnsi="Times New Roman" w:eastAsia="Times New Roman" w:cs="Times New Roman"/>
              <w:spacing w:val="-5"/>
              <w:sz w:val="18"/>
              <w:szCs w:val="18"/>
            </w:rPr>
            <w:t>111</w:t>
          </w:r>
          <w:r>
            <w:rPr>
              <w:rFonts w:ascii="Times New Roman" w:hAnsi="Times New Roman" w:eastAsia="Times New Roman" w:cs="Times New Roman"/>
              <w:spacing w:val="-5"/>
              <w:sz w:val="18"/>
              <w:szCs w:val="18"/>
            </w:rPr>
            <w:fldChar w:fldCharType="end"/>
          </w:r>
        </w:p>
        <w:p w14:paraId="66A6F93D">
          <w:pPr>
            <w:pStyle w:val="2"/>
            <w:tabs>
              <w:tab w:val="right" w:leader="dot" w:pos="4247"/>
            </w:tabs>
            <w:spacing w:before="96" w:line="219" w:lineRule="auto"/>
            <w:ind w:left="280"/>
            <w:rPr>
              <w:rFonts w:ascii="Times New Roman" w:hAnsi="Times New Roman" w:eastAsia="Times New Roman" w:cs="Times New Roman"/>
              <w:sz w:val="18"/>
              <w:szCs w:val="18"/>
            </w:rPr>
          </w:pPr>
          <w:bookmarkStart w:id="67" w:name="bookmark67"/>
          <w:bookmarkEnd w:id="67"/>
          <w:r>
            <w:fldChar w:fldCharType="begin"/>
          </w:r>
          <w:r>
            <w:instrText xml:space="preserve"> HYPERLINK \l "bookmark67" </w:instrText>
          </w:r>
          <w:r>
            <w:fldChar w:fldCharType="separate"/>
          </w:r>
          <w:r>
            <w:rPr>
              <w:rFonts w:ascii="Times New Roman" w:hAnsi="Times New Roman" w:eastAsia="Times New Roman" w:cs="Times New Roman"/>
              <w:spacing w:val="1"/>
              <w:sz w:val="18"/>
              <w:szCs w:val="18"/>
            </w:rPr>
            <w:t xml:space="preserve">3.6    </w:t>
          </w:r>
          <w:r>
            <w:rPr>
              <w:spacing w:val="1"/>
              <w:sz w:val="18"/>
              <w:szCs w:val="18"/>
            </w:rPr>
            <w:t>网络管理和维护平台</w:t>
          </w:r>
          <w:r>
            <w:rPr>
              <w:spacing w:val="-73"/>
              <w:sz w:val="18"/>
              <w:szCs w:val="18"/>
            </w:rPr>
            <w:t xml:space="preserve"> </w:t>
          </w:r>
          <w:r>
            <w:rPr>
              <w:sz w:val="18"/>
              <w:szCs w:val="18"/>
            </w:rPr>
            <w:tab/>
          </w:r>
          <w:r>
            <w:rPr>
              <w:spacing w:val="-30"/>
              <w:sz w:val="18"/>
              <w:szCs w:val="18"/>
            </w:rPr>
            <w:t xml:space="preserve"> </w:t>
          </w:r>
          <w:r>
            <w:rPr>
              <w:rFonts w:ascii="Times New Roman" w:hAnsi="Times New Roman" w:eastAsia="Times New Roman" w:cs="Times New Roman"/>
              <w:spacing w:val="-5"/>
              <w:sz w:val="18"/>
              <w:szCs w:val="18"/>
            </w:rPr>
            <w:t>115</w:t>
          </w:r>
          <w:r>
            <w:rPr>
              <w:rFonts w:ascii="Times New Roman" w:hAnsi="Times New Roman" w:eastAsia="Times New Roman" w:cs="Times New Roman"/>
              <w:spacing w:val="-5"/>
              <w:sz w:val="18"/>
              <w:szCs w:val="18"/>
            </w:rPr>
            <w:fldChar w:fldCharType="end"/>
          </w:r>
        </w:p>
        <w:p w14:paraId="10B8A6E3">
          <w:pPr>
            <w:pStyle w:val="2"/>
            <w:tabs>
              <w:tab w:val="right" w:leader="dot" w:pos="4087"/>
            </w:tabs>
            <w:spacing w:before="107" w:line="220" w:lineRule="auto"/>
            <w:ind w:left="280"/>
            <w:rPr>
              <w:rFonts w:ascii="Times New Roman" w:hAnsi="Times New Roman" w:eastAsia="Times New Roman" w:cs="Times New Roman"/>
              <w:sz w:val="18"/>
              <w:szCs w:val="18"/>
            </w:rPr>
          </w:pPr>
          <w:bookmarkStart w:id="68" w:name="bookmark68"/>
          <w:bookmarkEnd w:id="68"/>
          <w:r>
            <w:fldChar w:fldCharType="begin"/>
          </w:r>
          <w:r>
            <w:instrText xml:space="preserve"> HYPERLINK \l "bookmark68" </w:instrText>
          </w:r>
          <w:r>
            <w:fldChar w:fldCharType="separate"/>
          </w:r>
          <w:r>
            <w:rPr>
              <w:rFonts w:ascii="Times New Roman" w:hAnsi="Times New Roman" w:eastAsia="Times New Roman" w:cs="Times New Roman"/>
              <w:spacing w:val="1"/>
              <w:sz w:val="18"/>
              <w:szCs w:val="18"/>
            </w:rPr>
            <w:t xml:space="preserve">3.7    </w:t>
          </w:r>
          <w:r>
            <w:rPr>
              <w:spacing w:val="1"/>
              <w:sz w:val="18"/>
              <w:szCs w:val="18"/>
            </w:rPr>
            <w:t>环境系统建设</w:t>
          </w:r>
          <w:r>
            <w:rPr>
              <w:spacing w:val="-69"/>
              <w:sz w:val="18"/>
              <w:szCs w:val="18"/>
            </w:rPr>
            <w:t xml:space="preserve"> </w:t>
          </w:r>
          <w:r>
            <w:rPr>
              <w:sz w:val="18"/>
              <w:szCs w:val="18"/>
            </w:rPr>
            <w:tab/>
          </w:r>
          <w:r>
            <w:rPr>
              <w:rFonts w:ascii="Times New Roman" w:hAnsi="Times New Roman" w:eastAsia="Times New Roman" w:cs="Times New Roman"/>
              <w:spacing w:val="-3"/>
              <w:sz w:val="18"/>
              <w:szCs w:val="18"/>
            </w:rPr>
            <w:t>116</w:t>
          </w:r>
          <w:r>
            <w:rPr>
              <w:rFonts w:ascii="Times New Roman" w:hAnsi="Times New Roman" w:eastAsia="Times New Roman" w:cs="Times New Roman"/>
              <w:spacing w:val="-3"/>
              <w:sz w:val="18"/>
              <w:szCs w:val="18"/>
            </w:rPr>
            <w:fldChar w:fldCharType="end"/>
          </w:r>
        </w:p>
        <w:p w14:paraId="320FA0D3">
          <w:pPr>
            <w:pStyle w:val="2"/>
            <w:tabs>
              <w:tab w:val="right" w:leader="dot" w:pos="4237"/>
            </w:tabs>
            <w:spacing w:before="84" w:line="219" w:lineRule="auto"/>
            <w:ind w:left="689"/>
            <w:rPr>
              <w:rFonts w:ascii="Times New Roman" w:hAnsi="Times New Roman" w:eastAsia="Times New Roman" w:cs="Times New Roman"/>
              <w:sz w:val="18"/>
              <w:szCs w:val="18"/>
            </w:rPr>
          </w:pPr>
          <w:bookmarkStart w:id="69" w:name="bookmark69"/>
          <w:bookmarkEnd w:id="69"/>
          <w:r>
            <w:fldChar w:fldCharType="begin"/>
          </w:r>
          <w:r>
            <w:instrText xml:space="preserve"> HYPERLINK \l "bookmark69" </w:instrText>
          </w:r>
          <w:r>
            <w:fldChar w:fldCharType="separate"/>
          </w:r>
          <w:r>
            <w:rPr>
              <w:rFonts w:ascii="Times New Roman" w:hAnsi="Times New Roman" w:eastAsia="Times New Roman" w:cs="Times New Roman"/>
              <w:spacing w:val="1"/>
              <w:sz w:val="18"/>
              <w:szCs w:val="18"/>
            </w:rPr>
            <w:t xml:space="preserve">3.7.1    </w:t>
          </w:r>
          <w:r>
            <w:rPr>
              <w:spacing w:val="1"/>
              <w:sz w:val="18"/>
              <w:szCs w:val="18"/>
            </w:rPr>
            <w:t>机房建设</w:t>
          </w:r>
          <w:r>
            <w:rPr>
              <w:spacing w:val="-65"/>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116</w:t>
          </w:r>
          <w:r>
            <w:rPr>
              <w:rFonts w:ascii="Times New Roman" w:hAnsi="Times New Roman" w:eastAsia="Times New Roman" w:cs="Times New Roman"/>
              <w:spacing w:val="-5"/>
              <w:sz w:val="18"/>
              <w:szCs w:val="18"/>
            </w:rPr>
            <w:fldChar w:fldCharType="end"/>
          </w:r>
        </w:p>
        <w:p w14:paraId="5D86338D">
          <w:pPr>
            <w:pStyle w:val="2"/>
            <w:tabs>
              <w:tab w:val="right" w:leader="dot" w:pos="4237"/>
            </w:tabs>
            <w:spacing w:before="97" w:line="219" w:lineRule="auto"/>
            <w:ind w:left="689"/>
            <w:rPr>
              <w:rFonts w:ascii="Times New Roman" w:hAnsi="Times New Roman" w:eastAsia="Times New Roman" w:cs="Times New Roman"/>
              <w:sz w:val="18"/>
              <w:szCs w:val="18"/>
            </w:rPr>
          </w:pPr>
          <w:bookmarkStart w:id="70" w:name="bookmark70"/>
          <w:bookmarkEnd w:id="70"/>
          <w:r>
            <w:fldChar w:fldCharType="begin"/>
          </w:r>
          <w:r>
            <w:instrText xml:space="preserve"> HYPERLINK \l "bookmark70" </w:instrText>
          </w:r>
          <w:r>
            <w:fldChar w:fldCharType="separate"/>
          </w:r>
          <w:r>
            <w:rPr>
              <w:rFonts w:ascii="Times New Roman" w:hAnsi="Times New Roman" w:eastAsia="Times New Roman" w:cs="Times New Roman"/>
              <w:spacing w:val="1"/>
              <w:sz w:val="18"/>
              <w:szCs w:val="18"/>
            </w:rPr>
            <w:t xml:space="preserve">3.7.2    </w:t>
          </w:r>
          <w:r>
            <w:rPr>
              <w:spacing w:val="1"/>
              <w:sz w:val="18"/>
              <w:szCs w:val="18"/>
            </w:rPr>
            <w:t>综合布线</w:t>
          </w:r>
          <w:r>
            <w:rPr>
              <w:spacing w:val="-65"/>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117</w:t>
          </w:r>
          <w:r>
            <w:rPr>
              <w:rFonts w:ascii="Times New Roman" w:hAnsi="Times New Roman" w:eastAsia="Times New Roman" w:cs="Times New Roman"/>
              <w:spacing w:val="-5"/>
              <w:sz w:val="18"/>
              <w:szCs w:val="18"/>
            </w:rPr>
            <w:fldChar w:fldCharType="end"/>
          </w:r>
        </w:p>
        <w:p w14:paraId="3FEB0FEF">
          <w:pPr>
            <w:pStyle w:val="2"/>
            <w:tabs>
              <w:tab w:val="right" w:leader="dot" w:pos="4227"/>
            </w:tabs>
            <w:spacing w:before="98" w:line="220" w:lineRule="auto"/>
            <w:ind w:left="689"/>
            <w:rPr>
              <w:rFonts w:ascii="Times New Roman" w:hAnsi="Times New Roman" w:eastAsia="Times New Roman" w:cs="Times New Roman"/>
              <w:sz w:val="18"/>
              <w:szCs w:val="18"/>
            </w:rPr>
          </w:pPr>
          <w:bookmarkStart w:id="71" w:name="bookmark71"/>
          <w:bookmarkEnd w:id="71"/>
          <w:r>
            <w:fldChar w:fldCharType="begin"/>
          </w:r>
          <w:r>
            <w:instrText xml:space="preserve"> HYPERLINK \l "bookmark71" </w:instrText>
          </w:r>
          <w:r>
            <w:fldChar w:fldCharType="separate"/>
          </w:r>
          <w:r>
            <w:rPr>
              <w:rFonts w:ascii="Times New Roman" w:hAnsi="Times New Roman" w:eastAsia="Times New Roman" w:cs="Times New Roman"/>
              <w:spacing w:val="1"/>
              <w:sz w:val="18"/>
              <w:szCs w:val="18"/>
            </w:rPr>
            <w:t xml:space="preserve">3.7.3    </w:t>
          </w:r>
          <w:r>
            <w:rPr>
              <w:spacing w:val="1"/>
              <w:sz w:val="18"/>
              <w:szCs w:val="18"/>
            </w:rPr>
            <w:t>监控系统</w:t>
          </w:r>
          <w:r>
            <w:rPr>
              <w:spacing w:val="-65"/>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5"/>
              <w:sz w:val="18"/>
              <w:szCs w:val="18"/>
            </w:rPr>
            <w:t>117</w:t>
          </w:r>
          <w:r>
            <w:rPr>
              <w:rFonts w:ascii="Times New Roman" w:hAnsi="Times New Roman" w:eastAsia="Times New Roman" w:cs="Times New Roman"/>
              <w:spacing w:val="-5"/>
              <w:sz w:val="18"/>
              <w:szCs w:val="18"/>
            </w:rPr>
            <w:fldChar w:fldCharType="end"/>
          </w:r>
        </w:p>
        <w:p w14:paraId="3B47835C">
          <w:pPr>
            <w:pStyle w:val="2"/>
            <w:tabs>
              <w:tab w:val="right" w:leader="dot" w:pos="4237"/>
            </w:tabs>
            <w:spacing w:before="115" w:line="219" w:lineRule="auto"/>
            <w:ind w:left="689"/>
            <w:rPr>
              <w:rFonts w:ascii="Times New Roman" w:hAnsi="Times New Roman" w:eastAsia="Times New Roman" w:cs="Times New Roman"/>
              <w:sz w:val="18"/>
              <w:szCs w:val="18"/>
            </w:rPr>
          </w:pPr>
          <w:bookmarkStart w:id="72" w:name="bookmark72"/>
          <w:bookmarkEnd w:id="72"/>
          <w:r>
            <w:fldChar w:fldCharType="begin"/>
          </w:r>
          <w:r>
            <w:instrText xml:space="preserve"> HYPERLINK \l "bookmark72" </w:instrText>
          </w:r>
          <w:r>
            <w:fldChar w:fldCharType="separate"/>
          </w:r>
          <w:r>
            <w:rPr>
              <w:rFonts w:ascii="Times New Roman" w:hAnsi="Times New Roman" w:eastAsia="Times New Roman" w:cs="Times New Roman"/>
              <w:spacing w:val="-1"/>
              <w:sz w:val="18"/>
              <w:szCs w:val="18"/>
            </w:rPr>
            <w:t xml:space="preserve">3.7.4    </w:t>
          </w:r>
          <w:r>
            <w:rPr>
              <w:spacing w:val="-1"/>
              <w:sz w:val="18"/>
              <w:szCs w:val="18"/>
            </w:rPr>
            <w:t>节能降耗</w:t>
          </w:r>
          <w:r>
            <w:rPr>
              <w:spacing w:val="-48"/>
              <w:sz w:val="18"/>
              <w:szCs w:val="18"/>
            </w:rPr>
            <w:t xml:space="preserve"> </w:t>
          </w:r>
          <w:r>
            <w:rPr>
              <w:sz w:val="18"/>
              <w:szCs w:val="18"/>
            </w:rPr>
            <w:tab/>
          </w:r>
          <w:r>
            <w:rPr>
              <w:spacing w:val="-40"/>
              <w:sz w:val="18"/>
              <w:szCs w:val="18"/>
            </w:rPr>
            <w:t xml:space="preserve"> </w:t>
          </w:r>
          <w:r>
            <w:rPr>
              <w:rFonts w:ascii="Times New Roman" w:hAnsi="Times New Roman" w:eastAsia="Times New Roman" w:cs="Times New Roman"/>
              <w:spacing w:val="-5"/>
              <w:sz w:val="18"/>
              <w:szCs w:val="18"/>
            </w:rPr>
            <w:t>118</w:t>
          </w:r>
          <w:r>
            <w:rPr>
              <w:rFonts w:ascii="Times New Roman" w:hAnsi="Times New Roman" w:eastAsia="Times New Roman" w:cs="Times New Roman"/>
              <w:spacing w:val="-5"/>
              <w:sz w:val="18"/>
              <w:szCs w:val="18"/>
            </w:rPr>
            <w:fldChar w:fldCharType="end"/>
          </w:r>
        </w:p>
        <w:p w14:paraId="485B0A20">
          <w:pPr>
            <w:spacing w:line="351" w:lineRule="auto"/>
            <w:rPr>
              <w:rFonts w:ascii="Arial"/>
              <w:sz w:val="21"/>
            </w:rPr>
          </w:pPr>
        </w:p>
        <w:p w14:paraId="063A06FC">
          <w:pPr>
            <w:spacing w:line="352" w:lineRule="auto"/>
            <w:rPr>
              <w:rFonts w:ascii="Arial"/>
              <w:sz w:val="21"/>
            </w:rPr>
          </w:pPr>
        </w:p>
        <w:p w14:paraId="5178143F">
          <w:pPr>
            <w:pStyle w:val="2"/>
            <w:tabs>
              <w:tab w:val="right" w:leader="dot" w:pos="4247"/>
            </w:tabs>
            <w:spacing w:before="59" w:line="219" w:lineRule="auto"/>
            <w:ind w:left="280"/>
            <w:rPr>
              <w:rFonts w:ascii="Times New Roman" w:hAnsi="Times New Roman" w:eastAsia="Times New Roman" w:cs="Times New Roman"/>
              <w:sz w:val="18"/>
              <w:szCs w:val="18"/>
            </w:rPr>
          </w:pPr>
          <w:bookmarkStart w:id="73" w:name="bookmark73"/>
          <w:bookmarkEnd w:id="73"/>
          <w:r>
            <w:fldChar w:fldCharType="begin"/>
          </w:r>
          <w:r>
            <w:instrText xml:space="preserve"> HYPERLINK \l "bookmark73" </w:instrText>
          </w:r>
          <w:r>
            <w:fldChar w:fldCharType="separate"/>
          </w:r>
          <w:r>
            <w:rPr>
              <w:rFonts w:ascii="Times New Roman" w:hAnsi="Times New Roman" w:eastAsia="Times New Roman" w:cs="Times New Roman"/>
              <w:spacing w:val="2"/>
              <w:sz w:val="18"/>
              <w:szCs w:val="18"/>
            </w:rPr>
            <w:t>4.1</w:t>
          </w:r>
          <w:r>
            <w:rPr>
              <w:rFonts w:ascii="Times New Roman" w:hAnsi="Times New Roman" w:eastAsia="Times New Roman" w:cs="Times New Roman"/>
              <w:spacing w:val="13"/>
              <w:w w:val="101"/>
              <w:sz w:val="18"/>
              <w:szCs w:val="18"/>
            </w:rPr>
            <w:t xml:space="preserve">   </w:t>
          </w:r>
          <w:r>
            <w:rPr>
              <w:spacing w:val="2"/>
              <w:sz w:val="18"/>
              <w:szCs w:val="18"/>
            </w:rPr>
            <w:t>数据资源平台</w:t>
          </w:r>
          <w:r>
            <w:rPr>
              <w:spacing w:val="-80"/>
              <w:sz w:val="18"/>
              <w:szCs w:val="18"/>
            </w:rPr>
            <w:t xml:space="preserve"> </w:t>
          </w:r>
          <w:r>
            <w:rPr>
              <w:sz w:val="18"/>
              <w:szCs w:val="18"/>
            </w:rPr>
            <w:tab/>
          </w:r>
          <w:r>
            <w:rPr>
              <w:spacing w:val="-20"/>
              <w:sz w:val="18"/>
              <w:szCs w:val="18"/>
            </w:rPr>
            <w:t xml:space="preserve"> </w:t>
          </w:r>
          <w:r>
            <w:rPr>
              <w:rFonts w:ascii="Times New Roman" w:hAnsi="Times New Roman" w:eastAsia="Times New Roman" w:cs="Times New Roman"/>
              <w:spacing w:val="-5"/>
              <w:sz w:val="18"/>
              <w:szCs w:val="18"/>
            </w:rPr>
            <w:t>119</w:t>
          </w:r>
          <w:r>
            <w:rPr>
              <w:rFonts w:ascii="Times New Roman" w:hAnsi="Times New Roman" w:eastAsia="Times New Roman" w:cs="Times New Roman"/>
              <w:spacing w:val="-5"/>
              <w:sz w:val="18"/>
              <w:szCs w:val="18"/>
            </w:rPr>
            <w:fldChar w:fldCharType="end"/>
          </w:r>
        </w:p>
        <w:p w14:paraId="09FD06B3">
          <w:pPr>
            <w:pStyle w:val="2"/>
            <w:tabs>
              <w:tab w:val="right" w:leader="dot" w:pos="4097"/>
            </w:tabs>
            <w:spacing w:before="96" w:line="219" w:lineRule="auto"/>
            <w:ind w:left="689"/>
            <w:rPr>
              <w:rFonts w:ascii="Times New Roman" w:hAnsi="Times New Roman" w:eastAsia="Times New Roman" w:cs="Times New Roman"/>
              <w:sz w:val="18"/>
              <w:szCs w:val="18"/>
            </w:rPr>
          </w:pPr>
          <w:bookmarkStart w:id="74" w:name="bookmark74"/>
          <w:bookmarkEnd w:id="74"/>
          <w:r>
            <w:fldChar w:fldCharType="begin"/>
          </w:r>
          <w:r>
            <w:instrText xml:space="preserve"> HYPERLINK \l "bookmark74" </w:instrText>
          </w:r>
          <w:r>
            <w:fldChar w:fldCharType="separate"/>
          </w:r>
          <w:r>
            <w:rPr>
              <w:rFonts w:ascii="Times New Roman" w:hAnsi="Times New Roman" w:eastAsia="Times New Roman" w:cs="Times New Roman"/>
              <w:spacing w:val="-1"/>
              <w:sz w:val="18"/>
              <w:szCs w:val="18"/>
            </w:rPr>
            <w:t xml:space="preserve">4.1.1    </w:t>
          </w:r>
          <w:r>
            <w:rPr>
              <w:spacing w:val="-1"/>
              <w:sz w:val="18"/>
              <w:szCs w:val="18"/>
            </w:rPr>
            <w:t>计算服务器和人工智能服务器</w:t>
          </w:r>
          <w:r>
            <w:rPr>
              <w:spacing w:val="-40"/>
              <w:sz w:val="18"/>
              <w:szCs w:val="18"/>
            </w:rPr>
            <w:t xml:space="preserve"> </w:t>
          </w:r>
          <w:r>
            <w:rPr>
              <w:sz w:val="18"/>
              <w:szCs w:val="18"/>
            </w:rPr>
            <w:tab/>
          </w:r>
          <w:r>
            <w:rPr>
              <w:rFonts w:ascii="Times New Roman" w:hAnsi="Times New Roman" w:eastAsia="Times New Roman" w:cs="Times New Roman"/>
              <w:spacing w:val="-1"/>
              <w:sz w:val="18"/>
              <w:szCs w:val="18"/>
            </w:rPr>
            <w:t>119</w:t>
          </w:r>
          <w:r>
            <w:rPr>
              <w:rFonts w:ascii="Times New Roman" w:hAnsi="Times New Roman" w:eastAsia="Times New Roman" w:cs="Times New Roman"/>
              <w:spacing w:val="-1"/>
              <w:sz w:val="18"/>
              <w:szCs w:val="18"/>
            </w:rPr>
            <w:fldChar w:fldCharType="end"/>
          </w:r>
        </w:p>
        <w:p w14:paraId="4E7ACD0F">
          <w:pPr>
            <w:pStyle w:val="2"/>
            <w:tabs>
              <w:tab w:val="right" w:leader="dot" w:pos="4087"/>
            </w:tabs>
            <w:spacing w:before="97" w:line="219" w:lineRule="auto"/>
            <w:ind w:left="689"/>
            <w:rPr>
              <w:rFonts w:ascii="Times New Roman" w:hAnsi="Times New Roman" w:eastAsia="Times New Roman" w:cs="Times New Roman"/>
              <w:sz w:val="18"/>
              <w:szCs w:val="18"/>
            </w:rPr>
          </w:pPr>
          <w:bookmarkStart w:id="75" w:name="bookmark75"/>
          <w:bookmarkEnd w:id="75"/>
          <w:r>
            <w:fldChar w:fldCharType="begin"/>
          </w:r>
          <w:r>
            <w:instrText xml:space="preserve"> HYPERLINK \l "bookmark75" </w:instrText>
          </w:r>
          <w:r>
            <w:fldChar w:fldCharType="separate"/>
          </w:r>
          <w:r>
            <w:rPr>
              <w:rFonts w:ascii="Times New Roman" w:hAnsi="Times New Roman" w:eastAsia="Times New Roman" w:cs="Times New Roman"/>
              <w:spacing w:val="-1"/>
              <w:sz w:val="18"/>
              <w:szCs w:val="18"/>
            </w:rPr>
            <w:t xml:space="preserve">4.1.2    </w:t>
          </w:r>
          <w:r>
            <w:rPr>
              <w:spacing w:val="-1"/>
              <w:sz w:val="18"/>
              <w:szCs w:val="18"/>
            </w:rPr>
            <w:t>数据存储和备份设备</w:t>
          </w:r>
          <w:r>
            <w:rPr>
              <w:spacing w:val="-43"/>
              <w:sz w:val="18"/>
              <w:szCs w:val="18"/>
            </w:rPr>
            <w:t xml:space="preserve"> </w:t>
          </w:r>
          <w:r>
            <w:rPr>
              <w:sz w:val="18"/>
              <w:szCs w:val="18"/>
            </w:rPr>
            <w:tab/>
          </w:r>
          <w:r>
            <w:rPr>
              <w:rFonts w:ascii="Times New Roman" w:hAnsi="Times New Roman" w:eastAsia="Times New Roman" w:cs="Times New Roman"/>
              <w:spacing w:val="-3"/>
              <w:sz w:val="18"/>
              <w:szCs w:val="18"/>
            </w:rPr>
            <w:t>120</w:t>
          </w:r>
          <w:r>
            <w:rPr>
              <w:rFonts w:ascii="Times New Roman" w:hAnsi="Times New Roman" w:eastAsia="Times New Roman" w:cs="Times New Roman"/>
              <w:spacing w:val="-3"/>
              <w:sz w:val="18"/>
              <w:szCs w:val="18"/>
            </w:rPr>
            <w:fldChar w:fldCharType="end"/>
          </w:r>
        </w:p>
        <w:p w14:paraId="0A372E79">
          <w:pPr>
            <w:pStyle w:val="2"/>
            <w:tabs>
              <w:tab w:val="right" w:leader="dot" w:pos="4237"/>
            </w:tabs>
            <w:spacing w:before="86" w:line="219" w:lineRule="auto"/>
            <w:ind w:left="689"/>
            <w:rPr>
              <w:rFonts w:ascii="Times New Roman" w:hAnsi="Times New Roman" w:eastAsia="Times New Roman" w:cs="Times New Roman"/>
              <w:sz w:val="18"/>
              <w:szCs w:val="18"/>
            </w:rPr>
          </w:pPr>
          <w:bookmarkStart w:id="76" w:name="bookmark76"/>
          <w:bookmarkEnd w:id="76"/>
          <w:r>
            <w:fldChar w:fldCharType="begin"/>
          </w:r>
          <w:r>
            <w:instrText xml:space="preserve"> HYPERLINK \l "bookmark76" </w:instrText>
          </w:r>
          <w:r>
            <w:fldChar w:fldCharType="separate"/>
          </w:r>
          <w:r>
            <w:rPr>
              <w:rFonts w:ascii="Times New Roman" w:hAnsi="Times New Roman" w:eastAsia="Times New Roman" w:cs="Times New Roman"/>
              <w:sz w:val="18"/>
              <w:szCs w:val="18"/>
            </w:rPr>
            <w:t xml:space="preserve">4.1.3    </w:t>
          </w:r>
          <w:r>
            <w:rPr>
              <w:sz w:val="18"/>
              <w:szCs w:val="18"/>
            </w:rPr>
            <w:t>主流数据库技术和系统</w:t>
          </w:r>
          <w:r>
            <w:rPr>
              <w:spacing w:val="-52"/>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123</w:t>
          </w:r>
          <w:r>
            <w:rPr>
              <w:rFonts w:ascii="Times New Roman" w:hAnsi="Times New Roman" w:eastAsia="Times New Roman" w:cs="Times New Roman"/>
              <w:spacing w:val="-5"/>
              <w:sz w:val="18"/>
              <w:szCs w:val="18"/>
            </w:rPr>
            <w:fldChar w:fldCharType="end"/>
          </w:r>
        </w:p>
        <w:p w14:paraId="52BFA16E">
          <w:pPr>
            <w:pStyle w:val="2"/>
            <w:tabs>
              <w:tab w:val="right" w:leader="dot" w:pos="4227"/>
            </w:tabs>
            <w:spacing w:before="117" w:line="219" w:lineRule="auto"/>
            <w:ind w:left="689"/>
            <w:rPr>
              <w:rFonts w:ascii="Times New Roman" w:hAnsi="Times New Roman" w:eastAsia="Times New Roman" w:cs="Times New Roman"/>
              <w:sz w:val="18"/>
              <w:szCs w:val="18"/>
            </w:rPr>
          </w:pPr>
          <w:bookmarkStart w:id="77" w:name="bookmark77"/>
          <w:bookmarkEnd w:id="77"/>
          <w:r>
            <w:fldChar w:fldCharType="begin"/>
          </w:r>
          <w:r>
            <w:instrText xml:space="preserve"> HYPERLINK \l "bookmark77" </w:instrText>
          </w:r>
          <w:r>
            <w:fldChar w:fldCharType="separate"/>
          </w:r>
          <w:r>
            <w:rPr>
              <w:rFonts w:ascii="Times New Roman" w:hAnsi="Times New Roman" w:eastAsia="Times New Roman" w:cs="Times New Roman"/>
              <w:spacing w:val="-1"/>
              <w:sz w:val="18"/>
              <w:szCs w:val="18"/>
            </w:rPr>
            <w:t xml:space="preserve">4.1.4    </w:t>
          </w:r>
          <w:r>
            <w:rPr>
              <w:spacing w:val="-1"/>
              <w:sz w:val="18"/>
              <w:szCs w:val="18"/>
            </w:rPr>
            <w:t>典型数据中心组网技术</w:t>
          </w:r>
          <w:r>
            <w:rPr>
              <w:spacing w:val="-43"/>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124</w:t>
          </w:r>
          <w:r>
            <w:rPr>
              <w:rFonts w:ascii="Times New Roman" w:hAnsi="Times New Roman" w:eastAsia="Times New Roman" w:cs="Times New Roman"/>
              <w:spacing w:val="-5"/>
              <w:sz w:val="18"/>
              <w:szCs w:val="18"/>
            </w:rPr>
            <w:fldChar w:fldCharType="end"/>
          </w:r>
        </w:p>
        <w:p w14:paraId="626F6409">
          <w:pPr>
            <w:pStyle w:val="2"/>
            <w:tabs>
              <w:tab w:val="right" w:leader="dot" w:pos="4237"/>
            </w:tabs>
            <w:spacing w:before="107" w:line="221" w:lineRule="auto"/>
            <w:ind w:left="280"/>
            <w:rPr>
              <w:rFonts w:ascii="Times New Roman" w:hAnsi="Times New Roman" w:eastAsia="Times New Roman" w:cs="Times New Roman"/>
              <w:sz w:val="18"/>
              <w:szCs w:val="18"/>
            </w:rPr>
          </w:pPr>
          <w:bookmarkStart w:id="78" w:name="bookmark78"/>
          <w:bookmarkEnd w:id="78"/>
          <w:r>
            <w:fldChar w:fldCharType="begin"/>
          </w:r>
          <w:r>
            <w:instrText xml:space="preserve"> HYPERLINK \l "bookmark78" </w:instrText>
          </w:r>
          <w:r>
            <w:fldChar w:fldCharType="separate"/>
          </w:r>
          <w:r>
            <w:rPr>
              <w:rFonts w:ascii="Times New Roman" w:hAnsi="Times New Roman" w:eastAsia="Times New Roman" w:cs="Times New Roman"/>
              <w:sz w:val="18"/>
              <w:szCs w:val="18"/>
            </w:rPr>
            <w:t>4.2</w:t>
          </w:r>
          <w:r>
            <w:rPr>
              <w:rFonts w:ascii="Times New Roman" w:hAnsi="Times New Roman" w:eastAsia="Times New Roman" w:cs="Times New Roman"/>
              <w:spacing w:val="5"/>
              <w:sz w:val="18"/>
              <w:szCs w:val="18"/>
            </w:rPr>
            <w:t xml:space="preserve">    </w:t>
          </w:r>
          <w:r>
            <w:rPr>
              <w:sz w:val="18"/>
              <w:szCs w:val="18"/>
            </w:rPr>
            <w:t>云资源系统</w:t>
          </w:r>
          <w:r>
            <w:rPr>
              <w:spacing w:val="-67"/>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126</w:t>
          </w:r>
          <w:r>
            <w:rPr>
              <w:rFonts w:ascii="Times New Roman" w:hAnsi="Times New Roman" w:eastAsia="Times New Roman" w:cs="Times New Roman"/>
              <w:spacing w:val="-5"/>
              <w:sz w:val="18"/>
              <w:szCs w:val="18"/>
            </w:rPr>
            <w:fldChar w:fldCharType="end"/>
          </w:r>
        </w:p>
        <w:p w14:paraId="7D64F9BA">
          <w:pPr>
            <w:pStyle w:val="2"/>
            <w:tabs>
              <w:tab w:val="right" w:leader="dot" w:pos="4237"/>
            </w:tabs>
            <w:spacing w:before="74" w:line="219" w:lineRule="auto"/>
            <w:ind w:left="689"/>
            <w:rPr>
              <w:rFonts w:ascii="Times New Roman" w:hAnsi="Times New Roman" w:eastAsia="Times New Roman" w:cs="Times New Roman"/>
              <w:sz w:val="18"/>
              <w:szCs w:val="18"/>
            </w:rPr>
          </w:pPr>
          <w:bookmarkStart w:id="79" w:name="bookmark79"/>
          <w:bookmarkEnd w:id="79"/>
          <w:r>
            <w:fldChar w:fldCharType="begin"/>
          </w:r>
          <w:r>
            <w:instrText xml:space="preserve"> HYPERLINK \l "bookmark79" </w:instrText>
          </w:r>
          <w:r>
            <w:fldChar w:fldCharType="separate"/>
          </w:r>
          <w:r>
            <w:rPr>
              <w:rFonts w:ascii="Times New Roman" w:hAnsi="Times New Roman" w:eastAsia="Times New Roman" w:cs="Times New Roman"/>
              <w:spacing w:val="1"/>
              <w:sz w:val="18"/>
              <w:szCs w:val="18"/>
            </w:rPr>
            <w:t xml:space="preserve">4.2.1    </w:t>
          </w:r>
          <w:r>
            <w:rPr>
              <w:spacing w:val="1"/>
              <w:sz w:val="18"/>
              <w:szCs w:val="18"/>
            </w:rPr>
            <w:t>云计算参考架构</w:t>
          </w:r>
          <w:r>
            <w:rPr>
              <w:spacing w:val="-68"/>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126</w:t>
          </w:r>
          <w:r>
            <w:rPr>
              <w:rFonts w:ascii="Times New Roman" w:hAnsi="Times New Roman" w:eastAsia="Times New Roman" w:cs="Times New Roman"/>
              <w:spacing w:val="-5"/>
              <w:sz w:val="18"/>
              <w:szCs w:val="18"/>
            </w:rPr>
            <w:fldChar w:fldCharType="end"/>
          </w:r>
        </w:p>
        <w:p w14:paraId="2B06F6C4">
          <w:pPr>
            <w:pStyle w:val="2"/>
            <w:tabs>
              <w:tab w:val="right" w:leader="dot" w:pos="4237"/>
            </w:tabs>
            <w:spacing w:before="96" w:line="219" w:lineRule="auto"/>
            <w:ind w:left="689"/>
            <w:rPr>
              <w:rFonts w:ascii="Times New Roman" w:hAnsi="Times New Roman" w:eastAsia="Times New Roman" w:cs="Times New Roman"/>
              <w:sz w:val="18"/>
              <w:szCs w:val="18"/>
            </w:rPr>
          </w:pPr>
          <w:bookmarkStart w:id="80" w:name="bookmark80"/>
          <w:bookmarkEnd w:id="80"/>
          <w:r>
            <w:fldChar w:fldCharType="begin"/>
          </w:r>
          <w:r>
            <w:instrText xml:space="preserve"> HYPERLINK \l "bookmark80" </w:instrText>
          </w:r>
          <w:r>
            <w:fldChar w:fldCharType="separate"/>
          </w:r>
          <w:r>
            <w:rPr>
              <w:rFonts w:ascii="Times New Roman" w:hAnsi="Times New Roman" w:eastAsia="Times New Roman" w:cs="Times New Roman"/>
              <w:spacing w:val="1"/>
              <w:sz w:val="18"/>
              <w:szCs w:val="18"/>
            </w:rPr>
            <w:t xml:space="preserve">4.2.2    </w:t>
          </w:r>
          <w:r>
            <w:rPr>
              <w:spacing w:val="1"/>
              <w:sz w:val="18"/>
              <w:szCs w:val="18"/>
            </w:rPr>
            <w:t>云计算关键技术</w:t>
          </w:r>
          <w:r>
            <w:rPr>
              <w:spacing w:val="-58"/>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5"/>
              <w:sz w:val="18"/>
              <w:szCs w:val="18"/>
            </w:rPr>
            <w:t>128</w:t>
          </w:r>
          <w:r>
            <w:rPr>
              <w:rFonts w:ascii="Times New Roman" w:hAnsi="Times New Roman" w:eastAsia="Times New Roman" w:cs="Times New Roman"/>
              <w:spacing w:val="-5"/>
              <w:sz w:val="18"/>
              <w:szCs w:val="18"/>
            </w:rPr>
            <w:fldChar w:fldCharType="end"/>
          </w:r>
        </w:p>
        <w:p w14:paraId="2A5FEC06">
          <w:pPr>
            <w:pStyle w:val="2"/>
            <w:tabs>
              <w:tab w:val="right" w:leader="dot" w:pos="4237"/>
            </w:tabs>
            <w:spacing w:before="97" w:line="219" w:lineRule="auto"/>
            <w:ind w:left="689"/>
            <w:rPr>
              <w:rFonts w:ascii="Times New Roman" w:hAnsi="Times New Roman" w:eastAsia="Times New Roman" w:cs="Times New Roman"/>
              <w:sz w:val="18"/>
              <w:szCs w:val="18"/>
            </w:rPr>
          </w:pPr>
          <w:bookmarkStart w:id="81" w:name="bookmark81"/>
          <w:bookmarkEnd w:id="81"/>
          <w:r>
            <w:fldChar w:fldCharType="begin"/>
          </w:r>
          <w:r>
            <w:instrText xml:space="preserve"> HYPERLINK \l "bookmark81" </w:instrText>
          </w:r>
          <w:r>
            <w:fldChar w:fldCharType="separate"/>
          </w:r>
          <w:r>
            <w:rPr>
              <w:rFonts w:ascii="Times New Roman" w:hAnsi="Times New Roman" w:eastAsia="Times New Roman" w:cs="Times New Roman"/>
              <w:spacing w:val="-1"/>
              <w:sz w:val="18"/>
              <w:szCs w:val="18"/>
            </w:rPr>
            <w:t xml:space="preserve">4.2.3    </w:t>
          </w:r>
          <w:r>
            <w:rPr>
              <w:spacing w:val="-1"/>
              <w:sz w:val="18"/>
              <w:szCs w:val="18"/>
            </w:rPr>
            <w:t>云计算运营模式</w:t>
          </w:r>
          <w:r>
            <w:rPr>
              <w:spacing w:val="-46"/>
              <w:sz w:val="18"/>
              <w:szCs w:val="18"/>
            </w:rPr>
            <w:t xml:space="preserve"> </w:t>
          </w:r>
          <w:r>
            <w:rPr>
              <w:sz w:val="18"/>
              <w:szCs w:val="18"/>
            </w:rPr>
            <w:tab/>
          </w:r>
          <w:r>
            <w:rPr>
              <w:spacing w:val="-40"/>
              <w:sz w:val="18"/>
              <w:szCs w:val="18"/>
            </w:rPr>
            <w:t xml:space="preserve"> </w:t>
          </w:r>
          <w:r>
            <w:rPr>
              <w:rFonts w:ascii="Times New Roman" w:hAnsi="Times New Roman" w:eastAsia="Times New Roman" w:cs="Times New Roman"/>
              <w:spacing w:val="-5"/>
              <w:sz w:val="18"/>
              <w:szCs w:val="18"/>
            </w:rPr>
            <w:t>129</w:t>
          </w:r>
          <w:r>
            <w:rPr>
              <w:rFonts w:ascii="Times New Roman" w:hAnsi="Times New Roman" w:eastAsia="Times New Roman" w:cs="Times New Roman"/>
              <w:spacing w:val="-5"/>
              <w:sz w:val="18"/>
              <w:szCs w:val="18"/>
            </w:rPr>
            <w:fldChar w:fldCharType="end"/>
          </w:r>
        </w:p>
        <w:p w14:paraId="5179C716">
          <w:pPr>
            <w:pStyle w:val="2"/>
            <w:tabs>
              <w:tab w:val="right" w:leader="dot" w:pos="4267"/>
            </w:tabs>
            <w:spacing w:before="106" w:line="219" w:lineRule="auto"/>
            <w:ind w:left="689"/>
            <w:rPr>
              <w:rFonts w:ascii="Times New Roman" w:hAnsi="Times New Roman" w:eastAsia="Times New Roman" w:cs="Times New Roman"/>
              <w:sz w:val="18"/>
              <w:szCs w:val="18"/>
            </w:rPr>
          </w:pPr>
          <w:bookmarkStart w:id="82" w:name="bookmark82"/>
          <w:bookmarkEnd w:id="82"/>
          <w:r>
            <w:fldChar w:fldCharType="begin"/>
          </w:r>
          <w:r>
            <w:instrText xml:space="preserve"> HYPERLINK \l "bookmark82" </w:instrText>
          </w:r>
          <w:r>
            <w:fldChar w:fldCharType="separate"/>
          </w:r>
          <w:r>
            <w:rPr>
              <w:rFonts w:ascii="Times New Roman" w:hAnsi="Times New Roman" w:eastAsia="Times New Roman" w:cs="Times New Roman"/>
              <w:spacing w:val="1"/>
              <w:sz w:val="18"/>
              <w:szCs w:val="18"/>
            </w:rPr>
            <w:t>4.2.4</w:t>
          </w:r>
          <w:r>
            <w:rPr>
              <w:rFonts w:ascii="Times New Roman" w:hAnsi="Times New Roman" w:eastAsia="Times New Roman" w:cs="Times New Roman"/>
              <w:spacing w:val="14"/>
              <w:sz w:val="18"/>
              <w:szCs w:val="18"/>
            </w:rPr>
            <w:t xml:space="preserve">   </w:t>
          </w:r>
          <w:r>
            <w:rPr>
              <w:spacing w:val="1"/>
              <w:sz w:val="18"/>
              <w:szCs w:val="18"/>
            </w:rPr>
            <w:t>云服务产品</w:t>
          </w:r>
          <w:r>
            <w:rPr>
              <w:spacing w:val="-78"/>
              <w:sz w:val="18"/>
              <w:szCs w:val="18"/>
            </w:rPr>
            <w:t xml:space="preserve"> </w:t>
          </w:r>
          <w:r>
            <w:rPr>
              <w:sz w:val="18"/>
              <w:szCs w:val="18"/>
            </w:rPr>
            <w:tab/>
          </w:r>
          <w:r>
            <w:rPr>
              <w:rFonts w:ascii="Times New Roman" w:hAnsi="Times New Roman" w:eastAsia="Times New Roman" w:cs="Times New Roman"/>
              <w:spacing w:val="-3"/>
              <w:sz w:val="18"/>
              <w:szCs w:val="18"/>
            </w:rPr>
            <w:t>131</w:t>
          </w:r>
          <w:r>
            <w:rPr>
              <w:rFonts w:ascii="Times New Roman" w:hAnsi="Times New Roman" w:eastAsia="Times New Roman" w:cs="Times New Roman"/>
              <w:spacing w:val="-3"/>
              <w:sz w:val="18"/>
              <w:szCs w:val="18"/>
            </w:rPr>
            <w:fldChar w:fldCharType="end"/>
          </w:r>
        </w:p>
        <w:p w14:paraId="73425FCD">
          <w:pPr>
            <w:pStyle w:val="2"/>
            <w:tabs>
              <w:tab w:val="right" w:leader="dot" w:pos="4087"/>
            </w:tabs>
            <w:spacing w:before="75" w:line="218" w:lineRule="auto"/>
            <w:ind w:left="689"/>
            <w:rPr>
              <w:rFonts w:ascii="Times New Roman" w:hAnsi="Times New Roman" w:eastAsia="Times New Roman" w:cs="Times New Roman"/>
              <w:sz w:val="18"/>
              <w:szCs w:val="18"/>
            </w:rPr>
          </w:pPr>
          <w:bookmarkStart w:id="83" w:name="bookmark83"/>
          <w:bookmarkEnd w:id="83"/>
          <w:r>
            <w:fldChar w:fldCharType="begin"/>
          </w:r>
          <w:r>
            <w:instrText xml:space="preserve"> HYPERLINK \l "bookmark83" </w:instrText>
          </w:r>
          <w:r>
            <w:fldChar w:fldCharType="separate"/>
          </w:r>
          <w:r>
            <w:rPr>
              <w:rFonts w:ascii="Times New Roman" w:hAnsi="Times New Roman" w:eastAsia="Times New Roman" w:cs="Times New Roman"/>
              <w:sz w:val="18"/>
              <w:szCs w:val="18"/>
            </w:rPr>
            <w:t>4.2.5</w:t>
          </w:r>
          <w:r>
            <w:rPr>
              <w:rFonts w:ascii="Times New Roman" w:hAnsi="Times New Roman" w:eastAsia="Times New Roman" w:cs="Times New Roman"/>
              <w:spacing w:val="14"/>
              <w:sz w:val="18"/>
              <w:szCs w:val="18"/>
            </w:rPr>
            <w:t xml:space="preserve">   </w:t>
          </w:r>
          <w:r>
            <w:rPr>
              <w:sz w:val="18"/>
              <w:szCs w:val="18"/>
            </w:rPr>
            <w:t>云服务质量评估</w:t>
          </w:r>
          <w:r>
            <w:rPr>
              <w:spacing w:val="-68"/>
              <w:sz w:val="18"/>
              <w:szCs w:val="18"/>
            </w:rPr>
            <w:t xml:space="preserve"> </w:t>
          </w:r>
          <w:r>
            <w:rPr>
              <w:sz w:val="18"/>
              <w:szCs w:val="18"/>
            </w:rPr>
            <w:tab/>
          </w:r>
          <w:r>
            <w:rPr>
              <w:rFonts w:ascii="Times New Roman" w:hAnsi="Times New Roman" w:eastAsia="Times New Roman" w:cs="Times New Roman"/>
              <w:spacing w:val="-3"/>
              <w:sz w:val="18"/>
              <w:szCs w:val="18"/>
            </w:rPr>
            <w:t>136</w:t>
          </w:r>
          <w:r>
            <w:rPr>
              <w:rFonts w:ascii="Times New Roman" w:hAnsi="Times New Roman" w:eastAsia="Times New Roman" w:cs="Times New Roman"/>
              <w:spacing w:val="-3"/>
              <w:sz w:val="18"/>
              <w:szCs w:val="18"/>
            </w:rPr>
            <w:fldChar w:fldCharType="end"/>
          </w:r>
        </w:p>
        <w:p w14:paraId="14678E5B">
          <w:pPr>
            <w:pStyle w:val="2"/>
            <w:tabs>
              <w:tab w:val="right" w:leader="dot" w:pos="4237"/>
            </w:tabs>
            <w:spacing w:before="99" w:line="219" w:lineRule="auto"/>
            <w:ind w:left="689"/>
            <w:rPr>
              <w:rFonts w:ascii="Times New Roman" w:hAnsi="Times New Roman" w:eastAsia="Times New Roman" w:cs="Times New Roman"/>
              <w:sz w:val="18"/>
              <w:szCs w:val="18"/>
            </w:rPr>
          </w:pPr>
          <w:bookmarkStart w:id="84" w:name="bookmark84"/>
          <w:bookmarkEnd w:id="84"/>
          <w:r>
            <w:fldChar w:fldCharType="begin"/>
          </w:r>
          <w:r>
            <w:instrText xml:space="preserve"> HYPERLINK \l "bookmark84" </w:instrText>
          </w:r>
          <w:r>
            <w:fldChar w:fldCharType="separate"/>
          </w:r>
          <w:r>
            <w:rPr>
              <w:rFonts w:ascii="Times New Roman" w:hAnsi="Times New Roman" w:eastAsia="Times New Roman" w:cs="Times New Roman"/>
              <w:spacing w:val="4"/>
              <w:sz w:val="18"/>
              <w:szCs w:val="18"/>
            </w:rPr>
            <w:t>4.2.6</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z w:val="18"/>
              <w:szCs w:val="18"/>
            </w:rPr>
            <w:t>IaaS</w:t>
          </w:r>
          <w:r>
            <w:rPr>
              <w:spacing w:val="4"/>
              <w:sz w:val="18"/>
              <w:szCs w:val="18"/>
            </w:rPr>
            <w:t>模式</w:t>
          </w:r>
          <w:r>
            <w:rPr>
              <w:spacing w:val="-66"/>
              <w:sz w:val="18"/>
              <w:szCs w:val="18"/>
            </w:rPr>
            <w:t xml:space="preserve"> </w:t>
          </w:r>
          <w:r>
            <w:rPr>
              <w:sz w:val="18"/>
              <w:szCs w:val="18"/>
            </w:rPr>
            <w:tab/>
          </w:r>
          <w:r>
            <w:rPr>
              <w:spacing w:val="-20"/>
              <w:sz w:val="18"/>
              <w:szCs w:val="18"/>
            </w:rPr>
            <w:t xml:space="preserve"> </w:t>
          </w:r>
          <w:r>
            <w:rPr>
              <w:rFonts w:ascii="Times New Roman" w:hAnsi="Times New Roman" w:eastAsia="Times New Roman" w:cs="Times New Roman"/>
              <w:spacing w:val="-5"/>
              <w:sz w:val="18"/>
              <w:szCs w:val="18"/>
            </w:rPr>
            <w:t>137</w:t>
          </w:r>
          <w:r>
            <w:rPr>
              <w:rFonts w:ascii="Times New Roman" w:hAnsi="Times New Roman" w:eastAsia="Times New Roman" w:cs="Times New Roman"/>
              <w:spacing w:val="-5"/>
              <w:sz w:val="18"/>
              <w:szCs w:val="18"/>
            </w:rPr>
            <w:fldChar w:fldCharType="end"/>
          </w:r>
        </w:p>
        <w:p w14:paraId="103C312F">
          <w:pPr>
            <w:pStyle w:val="2"/>
            <w:tabs>
              <w:tab w:val="right" w:leader="dot" w:pos="4237"/>
            </w:tabs>
            <w:spacing w:before="97" w:line="219" w:lineRule="auto"/>
            <w:ind w:left="689"/>
            <w:rPr>
              <w:rFonts w:ascii="Times New Roman" w:hAnsi="Times New Roman" w:eastAsia="Times New Roman" w:cs="Times New Roman"/>
              <w:sz w:val="18"/>
              <w:szCs w:val="18"/>
            </w:rPr>
          </w:pPr>
          <w:bookmarkStart w:id="85" w:name="bookmark85"/>
          <w:bookmarkEnd w:id="85"/>
          <w:r>
            <w:fldChar w:fldCharType="begin"/>
          </w:r>
          <w:r>
            <w:instrText xml:space="preserve"> HYPERLINK \l "bookmark85" </w:instrText>
          </w:r>
          <w:r>
            <w:fldChar w:fldCharType="separate"/>
          </w:r>
          <w:r>
            <w:rPr>
              <w:rFonts w:ascii="Times New Roman" w:hAnsi="Times New Roman" w:eastAsia="Times New Roman" w:cs="Times New Roman"/>
              <w:spacing w:val="1"/>
              <w:sz w:val="18"/>
              <w:szCs w:val="18"/>
            </w:rPr>
            <w:t>4.2.7</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z w:val="18"/>
              <w:szCs w:val="18"/>
            </w:rPr>
            <w:t>PaaS</w:t>
          </w:r>
          <w:r>
            <w:rPr>
              <w:spacing w:val="1"/>
              <w:sz w:val="18"/>
              <w:szCs w:val="18"/>
            </w:rPr>
            <w:t>模式</w:t>
          </w:r>
          <w:r>
            <w:rPr>
              <w:spacing w:val="-54"/>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140</w:t>
          </w:r>
          <w:r>
            <w:rPr>
              <w:rFonts w:ascii="Times New Roman" w:hAnsi="Times New Roman" w:eastAsia="Times New Roman" w:cs="Times New Roman"/>
              <w:spacing w:val="-5"/>
              <w:sz w:val="18"/>
              <w:szCs w:val="18"/>
            </w:rPr>
            <w:fldChar w:fldCharType="end"/>
          </w:r>
        </w:p>
        <w:p w14:paraId="092F5233">
          <w:pPr>
            <w:pStyle w:val="2"/>
            <w:tabs>
              <w:tab w:val="right" w:leader="dot" w:pos="4237"/>
            </w:tabs>
            <w:spacing w:before="96" w:line="219" w:lineRule="auto"/>
            <w:ind w:left="689"/>
            <w:rPr>
              <w:rFonts w:ascii="Times New Roman" w:hAnsi="Times New Roman" w:eastAsia="Times New Roman" w:cs="Times New Roman"/>
              <w:sz w:val="18"/>
              <w:szCs w:val="18"/>
            </w:rPr>
          </w:pPr>
          <w:bookmarkStart w:id="86" w:name="bookmark86"/>
          <w:bookmarkEnd w:id="86"/>
          <w:r>
            <w:fldChar w:fldCharType="begin"/>
          </w:r>
          <w:r>
            <w:instrText xml:space="preserve"> HYPERLINK \l "bookmark86" </w:instrText>
          </w:r>
          <w:r>
            <w:fldChar w:fldCharType="separate"/>
          </w:r>
          <w:r>
            <w:rPr>
              <w:rFonts w:ascii="Times New Roman" w:hAnsi="Times New Roman" w:eastAsia="Times New Roman" w:cs="Times New Roman"/>
              <w:spacing w:val="-2"/>
              <w:sz w:val="18"/>
              <w:szCs w:val="18"/>
            </w:rPr>
            <w:t>4.2.8</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2"/>
              <w:sz w:val="18"/>
              <w:szCs w:val="18"/>
            </w:rPr>
            <w:t>SaaS</w:t>
          </w:r>
          <w:r>
            <w:rPr>
              <w:rFonts w:ascii="Times New Roman" w:hAnsi="Times New Roman" w:eastAsia="Times New Roman" w:cs="Times New Roman"/>
              <w:spacing w:val="-13"/>
              <w:sz w:val="18"/>
              <w:szCs w:val="18"/>
            </w:rPr>
            <w:t xml:space="preserve"> </w:t>
          </w:r>
          <w:r>
            <w:rPr>
              <w:spacing w:val="-2"/>
              <w:sz w:val="18"/>
              <w:szCs w:val="18"/>
            </w:rPr>
            <w:t>模式</w:t>
          </w:r>
          <w:r>
            <w:rPr>
              <w:spacing w:val="-64"/>
              <w:sz w:val="18"/>
              <w:szCs w:val="18"/>
            </w:rPr>
            <w:t xml:space="preserve"> </w:t>
          </w:r>
          <w:r>
            <w:rPr>
              <w:sz w:val="18"/>
              <w:szCs w:val="18"/>
            </w:rPr>
            <w:tab/>
          </w:r>
          <w:r>
            <w:rPr>
              <w:spacing w:val="-40"/>
              <w:sz w:val="18"/>
              <w:szCs w:val="18"/>
            </w:rPr>
            <w:t xml:space="preserve"> </w:t>
          </w:r>
          <w:r>
            <w:rPr>
              <w:rFonts w:ascii="Times New Roman" w:hAnsi="Times New Roman" w:eastAsia="Times New Roman" w:cs="Times New Roman"/>
              <w:spacing w:val="-5"/>
              <w:sz w:val="18"/>
              <w:szCs w:val="18"/>
            </w:rPr>
            <w:t>143</w:t>
          </w:r>
          <w:r>
            <w:rPr>
              <w:rFonts w:ascii="Times New Roman" w:hAnsi="Times New Roman" w:eastAsia="Times New Roman" w:cs="Times New Roman"/>
              <w:spacing w:val="-5"/>
              <w:sz w:val="18"/>
              <w:szCs w:val="18"/>
            </w:rPr>
            <w:fldChar w:fldCharType="end"/>
          </w:r>
        </w:p>
        <w:p w14:paraId="55C06A5C">
          <w:pPr>
            <w:pStyle w:val="2"/>
            <w:tabs>
              <w:tab w:val="right" w:leader="dot" w:pos="4227"/>
            </w:tabs>
            <w:spacing w:before="87" w:line="219" w:lineRule="auto"/>
            <w:ind w:left="689"/>
            <w:rPr>
              <w:rFonts w:ascii="Times New Roman" w:hAnsi="Times New Roman" w:eastAsia="Times New Roman" w:cs="Times New Roman"/>
              <w:sz w:val="18"/>
              <w:szCs w:val="18"/>
            </w:rPr>
          </w:pPr>
          <w:bookmarkStart w:id="87" w:name="bookmark87"/>
          <w:bookmarkEnd w:id="87"/>
          <w:r>
            <w:fldChar w:fldCharType="begin"/>
          </w:r>
          <w:r>
            <w:instrText xml:space="preserve"> HYPERLINK \l "bookmark87" </w:instrText>
          </w:r>
          <w:r>
            <w:fldChar w:fldCharType="separate"/>
          </w:r>
          <w:r>
            <w:rPr>
              <w:rFonts w:ascii="Times New Roman" w:hAnsi="Times New Roman" w:eastAsia="Times New Roman" w:cs="Times New Roman"/>
              <w:spacing w:val="1"/>
              <w:sz w:val="18"/>
              <w:szCs w:val="18"/>
            </w:rPr>
            <w:t xml:space="preserve">4.2.9    </w:t>
          </w:r>
          <w:r>
            <w:rPr>
              <w:spacing w:val="1"/>
              <w:sz w:val="18"/>
              <w:szCs w:val="18"/>
            </w:rPr>
            <w:t>云数据中心</w:t>
          </w:r>
          <w:r>
            <w:rPr>
              <w:spacing w:val="-66"/>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5"/>
              <w:sz w:val="18"/>
              <w:szCs w:val="18"/>
            </w:rPr>
            <w:t>146</w:t>
          </w:r>
          <w:r>
            <w:rPr>
              <w:rFonts w:ascii="Times New Roman" w:hAnsi="Times New Roman" w:eastAsia="Times New Roman" w:cs="Times New Roman"/>
              <w:spacing w:val="-5"/>
              <w:sz w:val="18"/>
              <w:szCs w:val="18"/>
            </w:rPr>
            <w:fldChar w:fldCharType="end"/>
          </w:r>
        </w:p>
      </w:sdtContent>
    </w:sdt>
    <w:p w14:paraId="54DF80A8">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8"/>
          <w:szCs w:val="18"/>
        </w:rPr>
        <w:id w:val="147480731"/>
        <w:docPartObj>
          <w:docPartGallery w:val="Table of Contents"/>
          <w:docPartUnique/>
        </w:docPartObj>
      </w:sdtPr>
      <w:sdtEndPr>
        <w:rPr>
          <w:rFonts w:ascii="Times New Roman" w:hAnsi="Times New Roman" w:eastAsia="Times New Roman" w:cs="Times New Roman"/>
          <w:sz w:val="18"/>
          <w:szCs w:val="18"/>
        </w:rPr>
      </w:sdtEndPr>
      <w:sdtContent>
        <w:p w14:paraId="1B8F9EA6">
          <w:pPr>
            <w:pStyle w:val="2"/>
            <w:spacing w:line="217" w:lineRule="auto"/>
            <w:ind w:left="400"/>
            <w:rPr>
              <w:sz w:val="18"/>
              <w:szCs w:val="18"/>
            </w:rPr>
          </w:pPr>
          <w:bookmarkStart w:id="88" w:name="bookmark88"/>
          <w:bookmarkEnd w:id="88"/>
          <w:r>
            <w:fldChar w:fldCharType="begin"/>
          </w:r>
          <w:r>
            <w:instrText xml:space="preserve"> HYPERLINK \l "bookmark88" </w:instrText>
          </w:r>
          <w:r>
            <w:fldChar w:fldCharType="separate"/>
          </w:r>
          <w:r>
            <w:rPr>
              <w:rFonts w:ascii="Times New Roman" w:hAnsi="Times New Roman" w:eastAsia="Times New Roman" w:cs="Times New Roman"/>
              <w:sz w:val="18"/>
              <w:szCs w:val="18"/>
            </w:rPr>
            <w:t>4.2.10</w:t>
          </w:r>
          <w:r>
            <w:rPr>
              <w:rFonts w:ascii="Times New Roman" w:hAnsi="Times New Roman" w:eastAsia="Times New Roman" w:cs="Times New Roman"/>
              <w:spacing w:val="16"/>
              <w:w w:val="101"/>
              <w:sz w:val="18"/>
              <w:szCs w:val="18"/>
            </w:rPr>
            <w:t xml:space="preserve">   </w:t>
          </w:r>
          <w:r>
            <w:rPr>
              <w:sz w:val="18"/>
              <w:szCs w:val="18"/>
            </w:rPr>
            <w:t>新基建背景下的数据中心产业</w:t>
          </w:r>
          <w:r>
            <w:rPr>
              <w:sz w:val="18"/>
              <w:szCs w:val="18"/>
            </w:rPr>
            <w:fldChar w:fldCharType="end"/>
          </w:r>
        </w:p>
        <w:p w14:paraId="1924F6C7">
          <w:pPr>
            <w:pStyle w:val="2"/>
            <w:tabs>
              <w:tab w:val="right" w:leader="dot" w:pos="3948"/>
            </w:tabs>
            <w:spacing w:before="106" w:line="220" w:lineRule="auto"/>
            <w:ind w:left="1040"/>
            <w:rPr>
              <w:rFonts w:ascii="Times New Roman" w:hAnsi="Times New Roman" w:eastAsia="Times New Roman" w:cs="Times New Roman"/>
              <w:sz w:val="18"/>
              <w:szCs w:val="18"/>
            </w:rPr>
          </w:pPr>
          <w:bookmarkStart w:id="89" w:name="bookmark88"/>
          <w:bookmarkEnd w:id="89"/>
          <w:r>
            <w:fldChar w:fldCharType="begin"/>
          </w:r>
          <w:r>
            <w:instrText xml:space="preserve"> HYPERLINK \l "bookmark88" </w:instrText>
          </w:r>
          <w:r>
            <w:fldChar w:fldCharType="separate"/>
          </w:r>
          <w:r>
            <w:rPr>
              <w:spacing w:val="-5"/>
              <w:sz w:val="18"/>
              <w:szCs w:val="18"/>
            </w:rPr>
            <w:t>发展</w:t>
          </w:r>
          <w:r>
            <w:rPr>
              <w:spacing w:val="-61"/>
              <w:sz w:val="18"/>
              <w:szCs w:val="18"/>
            </w:rPr>
            <w:t xml:space="preserve"> </w:t>
          </w:r>
          <w:r>
            <w:rPr>
              <w:sz w:val="18"/>
              <w:szCs w:val="18"/>
            </w:rPr>
            <w:tab/>
          </w:r>
          <w:r>
            <w:rPr>
              <w:rFonts w:ascii="Times New Roman" w:hAnsi="Times New Roman" w:eastAsia="Times New Roman" w:cs="Times New Roman"/>
              <w:spacing w:val="-3"/>
              <w:sz w:val="18"/>
              <w:szCs w:val="18"/>
            </w:rPr>
            <w:t>154</w:t>
          </w:r>
          <w:r>
            <w:rPr>
              <w:rFonts w:ascii="Times New Roman" w:hAnsi="Times New Roman" w:eastAsia="Times New Roman" w:cs="Times New Roman"/>
              <w:spacing w:val="-3"/>
              <w:sz w:val="18"/>
              <w:szCs w:val="18"/>
            </w:rPr>
            <w:fldChar w:fldCharType="end"/>
          </w:r>
        </w:p>
      </w:sdtContent>
    </w:sdt>
    <w:p w14:paraId="5E8D5265">
      <w:pPr>
        <w:rPr>
          <w:rFonts w:ascii="Arial"/>
          <w:sz w:val="21"/>
        </w:rPr>
      </w:pPr>
    </w:p>
    <w:p w14:paraId="1BB7844E">
      <w:pPr>
        <w:spacing w:line="241" w:lineRule="auto"/>
        <w:rPr>
          <w:rFonts w:ascii="Arial"/>
          <w:sz w:val="21"/>
        </w:rPr>
      </w:pPr>
    </w:p>
    <w:p w14:paraId="434C325F">
      <w:pPr>
        <w:spacing w:line="241" w:lineRule="auto"/>
        <w:rPr>
          <w:rFonts w:ascii="Arial"/>
          <w:sz w:val="21"/>
        </w:rPr>
      </w:pPr>
    </w:p>
    <w:sdt>
      <w:sdtPr>
        <w:rPr>
          <w:rFonts w:ascii="Times New Roman" w:hAnsi="Times New Roman" w:eastAsia="Times New Roman" w:cs="Times New Roman"/>
          <w:sz w:val="18"/>
          <w:szCs w:val="18"/>
        </w:rPr>
        <w:id w:val="147482031"/>
        <w:docPartObj>
          <w:docPartGallery w:val="Table of Contents"/>
          <w:docPartUnique/>
        </w:docPartObj>
      </w:sdtPr>
      <w:sdtEndPr>
        <w:rPr>
          <w:rFonts w:ascii="Times New Roman" w:hAnsi="Times New Roman" w:eastAsia="Times New Roman" w:cs="Times New Roman"/>
          <w:sz w:val="18"/>
          <w:szCs w:val="18"/>
        </w:rPr>
      </w:sdtEndPr>
      <w:sdtContent>
        <w:p w14:paraId="6BA70E8D">
          <w:pPr>
            <w:pStyle w:val="2"/>
            <w:tabs>
              <w:tab w:val="right" w:leader="dot" w:pos="3948"/>
            </w:tabs>
            <w:spacing w:before="59" w:line="219" w:lineRule="auto"/>
            <w:rPr>
              <w:rFonts w:ascii="Times New Roman" w:hAnsi="Times New Roman" w:eastAsia="Times New Roman" w:cs="Times New Roman"/>
              <w:sz w:val="18"/>
              <w:szCs w:val="18"/>
            </w:rPr>
          </w:pPr>
          <w:bookmarkStart w:id="90" w:name="bookmark89"/>
          <w:bookmarkEnd w:id="90"/>
          <w:r>
            <w:fldChar w:fldCharType="begin"/>
          </w:r>
          <w:r>
            <w:instrText xml:space="preserve"> HYPERLINK \l "bookmark89" </w:instrText>
          </w:r>
          <w:r>
            <w:fldChar w:fldCharType="separate"/>
          </w:r>
          <w:r>
            <w:rPr>
              <w:rFonts w:ascii="Times New Roman" w:hAnsi="Times New Roman" w:eastAsia="Times New Roman" w:cs="Times New Roman"/>
              <w:spacing w:val="-1"/>
              <w:sz w:val="18"/>
              <w:szCs w:val="18"/>
            </w:rPr>
            <w:t xml:space="preserve">5.1    </w:t>
          </w:r>
          <w:r>
            <w:rPr>
              <w:spacing w:val="-1"/>
              <w:sz w:val="18"/>
              <w:szCs w:val="18"/>
            </w:rPr>
            <w:t>信息应用系统的分类</w:t>
          </w:r>
          <w:r>
            <w:rPr>
              <w:spacing w:val="-40"/>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5"/>
              <w:sz w:val="18"/>
              <w:szCs w:val="18"/>
            </w:rPr>
            <w:t>156</w:t>
          </w:r>
          <w:r>
            <w:rPr>
              <w:rFonts w:ascii="Times New Roman" w:hAnsi="Times New Roman" w:eastAsia="Times New Roman" w:cs="Times New Roman"/>
              <w:spacing w:val="-5"/>
              <w:sz w:val="18"/>
              <w:szCs w:val="18"/>
            </w:rPr>
            <w:fldChar w:fldCharType="end"/>
          </w:r>
        </w:p>
        <w:p w14:paraId="5EE034A0">
          <w:pPr>
            <w:pStyle w:val="2"/>
            <w:tabs>
              <w:tab w:val="right" w:leader="dot" w:pos="3967"/>
            </w:tabs>
            <w:spacing w:before="116" w:line="219" w:lineRule="auto"/>
            <w:rPr>
              <w:rFonts w:ascii="Times New Roman" w:hAnsi="Times New Roman" w:eastAsia="Times New Roman" w:cs="Times New Roman"/>
              <w:sz w:val="18"/>
              <w:szCs w:val="18"/>
            </w:rPr>
          </w:pPr>
          <w:bookmarkStart w:id="91" w:name="bookmark90"/>
          <w:bookmarkEnd w:id="91"/>
          <w:r>
            <w:fldChar w:fldCharType="begin"/>
          </w:r>
          <w:r>
            <w:instrText xml:space="preserve"> HYPERLINK \l "bookmark90" </w:instrText>
          </w:r>
          <w:r>
            <w:fldChar w:fldCharType="separate"/>
          </w:r>
          <w:r>
            <w:rPr>
              <w:rFonts w:ascii="Times New Roman" w:hAnsi="Times New Roman" w:eastAsia="Times New Roman" w:cs="Times New Roman"/>
              <w:spacing w:val="-1"/>
              <w:sz w:val="18"/>
              <w:szCs w:val="18"/>
            </w:rPr>
            <w:t xml:space="preserve">5.2    </w:t>
          </w:r>
          <w:r>
            <w:rPr>
              <w:spacing w:val="-1"/>
              <w:sz w:val="18"/>
              <w:szCs w:val="18"/>
            </w:rPr>
            <w:t>典型信息应用系统</w:t>
          </w:r>
          <w:r>
            <w:rPr>
              <w:spacing w:val="-41"/>
              <w:sz w:val="18"/>
              <w:szCs w:val="18"/>
            </w:rPr>
            <w:t xml:space="preserve"> </w:t>
          </w:r>
          <w:r>
            <w:rPr>
              <w:sz w:val="18"/>
              <w:szCs w:val="18"/>
            </w:rPr>
            <w:tab/>
          </w:r>
          <w:r>
            <w:rPr>
              <w:spacing w:val="-28"/>
              <w:sz w:val="18"/>
              <w:szCs w:val="18"/>
            </w:rPr>
            <w:t xml:space="preserve"> </w:t>
          </w:r>
          <w:r>
            <w:rPr>
              <w:rFonts w:ascii="Times New Roman" w:hAnsi="Times New Roman" w:eastAsia="Times New Roman" w:cs="Times New Roman"/>
              <w:spacing w:val="-8"/>
              <w:sz w:val="18"/>
              <w:szCs w:val="18"/>
            </w:rPr>
            <w:t>157</w:t>
          </w:r>
          <w:r>
            <w:rPr>
              <w:rFonts w:ascii="Times New Roman" w:hAnsi="Times New Roman" w:eastAsia="Times New Roman" w:cs="Times New Roman"/>
              <w:spacing w:val="-8"/>
              <w:sz w:val="18"/>
              <w:szCs w:val="18"/>
            </w:rPr>
            <w:fldChar w:fldCharType="end"/>
          </w:r>
        </w:p>
        <w:p w14:paraId="10AA7A1A">
          <w:pPr>
            <w:pStyle w:val="2"/>
            <w:tabs>
              <w:tab w:val="right" w:leader="dot" w:pos="3958"/>
            </w:tabs>
            <w:spacing w:before="107" w:line="219" w:lineRule="auto"/>
            <w:ind w:left="400"/>
            <w:rPr>
              <w:rFonts w:ascii="Times New Roman" w:hAnsi="Times New Roman" w:eastAsia="Times New Roman" w:cs="Times New Roman"/>
              <w:sz w:val="18"/>
              <w:szCs w:val="18"/>
            </w:rPr>
          </w:pPr>
          <w:bookmarkStart w:id="92" w:name="bookmark91"/>
          <w:bookmarkEnd w:id="92"/>
          <w:r>
            <w:fldChar w:fldCharType="begin"/>
          </w:r>
          <w:r>
            <w:instrText xml:space="preserve"> HYPERLINK \l "bookmark91" </w:instrText>
          </w:r>
          <w:r>
            <w:fldChar w:fldCharType="separate"/>
          </w:r>
          <w:r>
            <w:rPr>
              <w:rFonts w:ascii="Times New Roman" w:hAnsi="Times New Roman" w:eastAsia="Times New Roman" w:cs="Times New Roman"/>
              <w:spacing w:val="3"/>
              <w:sz w:val="18"/>
              <w:szCs w:val="18"/>
            </w:rPr>
            <w:t xml:space="preserve">5.2.1    </w:t>
          </w:r>
          <w:r>
            <w:rPr>
              <w:spacing w:val="3"/>
              <w:sz w:val="18"/>
              <w:szCs w:val="18"/>
            </w:rPr>
            <w:t>业务信息系统</w:t>
          </w:r>
          <w:r>
            <w:rPr>
              <w:spacing w:val="-66"/>
              <w:sz w:val="18"/>
              <w:szCs w:val="18"/>
            </w:rPr>
            <w:t xml:space="preserve"> </w:t>
          </w:r>
          <w:r>
            <w:rPr>
              <w:sz w:val="18"/>
              <w:szCs w:val="18"/>
            </w:rPr>
            <w:tab/>
          </w:r>
          <w:r>
            <w:rPr>
              <w:rFonts w:ascii="Times New Roman" w:hAnsi="Times New Roman" w:eastAsia="Times New Roman" w:cs="Times New Roman"/>
              <w:sz w:val="18"/>
              <w:szCs w:val="18"/>
            </w:rPr>
            <w:t>158</w:t>
          </w:r>
          <w:r>
            <w:rPr>
              <w:rFonts w:ascii="Times New Roman" w:hAnsi="Times New Roman" w:eastAsia="Times New Roman" w:cs="Times New Roman"/>
              <w:sz w:val="18"/>
              <w:szCs w:val="18"/>
            </w:rPr>
            <w:fldChar w:fldCharType="end"/>
          </w:r>
        </w:p>
        <w:p w14:paraId="0573D905">
          <w:pPr>
            <w:pStyle w:val="2"/>
            <w:tabs>
              <w:tab w:val="right" w:leader="dot" w:pos="3967"/>
            </w:tabs>
            <w:spacing w:before="96" w:line="219" w:lineRule="auto"/>
            <w:ind w:left="400"/>
            <w:rPr>
              <w:rFonts w:ascii="Times New Roman" w:hAnsi="Times New Roman" w:eastAsia="Times New Roman" w:cs="Times New Roman"/>
              <w:sz w:val="18"/>
              <w:szCs w:val="18"/>
            </w:rPr>
          </w:pPr>
          <w:bookmarkStart w:id="93" w:name="bookmark92"/>
          <w:bookmarkEnd w:id="93"/>
          <w:r>
            <w:fldChar w:fldCharType="begin"/>
          </w:r>
          <w:r>
            <w:instrText xml:space="preserve"> HYPERLINK \l "bookmark92" </w:instrText>
          </w:r>
          <w:r>
            <w:fldChar w:fldCharType="separate"/>
          </w:r>
          <w:r>
            <w:rPr>
              <w:rFonts w:ascii="Times New Roman" w:hAnsi="Times New Roman" w:eastAsia="Times New Roman" w:cs="Times New Roman"/>
              <w:spacing w:val="-1"/>
              <w:sz w:val="18"/>
              <w:szCs w:val="18"/>
            </w:rPr>
            <w:t xml:space="preserve">5.2.2    </w:t>
          </w:r>
          <w:r>
            <w:rPr>
              <w:spacing w:val="-1"/>
              <w:sz w:val="18"/>
              <w:szCs w:val="18"/>
            </w:rPr>
            <w:t>管理信息系统与决策支持系统</w:t>
          </w:r>
          <w:r>
            <w:rPr>
              <w:spacing w:val="-39"/>
              <w:sz w:val="18"/>
              <w:szCs w:val="18"/>
            </w:rPr>
            <w:t xml:space="preserve"> </w:t>
          </w:r>
          <w:r>
            <w:rPr>
              <w:sz w:val="18"/>
              <w:szCs w:val="18"/>
            </w:rPr>
            <w:tab/>
          </w:r>
          <w:r>
            <w:rPr>
              <w:spacing w:val="-18"/>
              <w:sz w:val="18"/>
              <w:szCs w:val="18"/>
            </w:rPr>
            <w:t xml:space="preserve"> </w:t>
          </w:r>
          <w:r>
            <w:rPr>
              <w:rFonts w:ascii="Times New Roman" w:hAnsi="Times New Roman" w:eastAsia="Times New Roman" w:cs="Times New Roman"/>
              <w:spacing w:val="-8"/>
              <w:sz w:val="18"/>
              <w:szCs w:val="18"/>
            </w:rPr>
            <w:t>161</w:t>
          </w:r>
          <w:r>
            <w:rPr>
              <w:rFonts w:ascii="Times New Roman" w:hAnsi="Times New Roman" w:eastAsia="Times New Roman" w:cs="Times New Roman"/>
              <w:spacing w:val="-8"/>
              <w:sz w:val="18"/>
              <w:szCs w:val="18"/>
            </w:rPr>
            <w:fldChar w:fldCharType="end"/>
          </w:r>
        </w:p>
        <w:p w14:paraId="7EDF37DD">
          <w:pPr>
            <w:pStyle w:val="2"/>
            <w:tabs>
              <w:tab w:val="right" w:leader="dot" w:pos="3948"/>
            </w:tabs>
            <w:spacing w:before="97" w:line="219" w:lineRule="auto"/>
            <w:ind w:left="400"/>
            <w:rPr>
              <w:rFonts w:ascii="Times New Roman" w:hAnsi="Times New Roman" w:eastAsia="Times New Roman" w:cs="Times New Roman"/>
              <w:sz w:val="18"/>
              <w:szCs w:val="18"/>
            </w:rPr>
          </w:pPr>
          <w:bookmarkStart w:id="94" w:name="bookmark93"/>
          <w:bookmarkEnd w:id="94"/>
          <w:r>
            <w:fldChar w:fldCharType="begin"/>
          </w:r>
          <w:r>
            <w:instrText xml:space="preserve"> HYPERLINK \l "bookmark93" </w:instrText>
          </w:r>
          <w:r>
            <w:fldChar w:fldCharType="separate"/>
          </w:r>
          <w:r>
            <w:rPr>
              <w:rFonts w:ascii="Times New Roman" w:hAnsi="Times New Roman" w:eastAsia="Times New Roman" w:cs="Times New Roman"/>
              <w:sz w:val="18"/>
              <w:szCs w:val="18"/>
            </w:rPr>
            <w:t>5.2.3</w:t>
          </w:r>
          <w:r>
            <w:rPr>
              <w:rFonts w:ascii="Times New Roman" w:hAnsi="Times New Roman" w:eastAsia="Times New Roman" w:cs="Times New Roman"/>
              <w:spacing w:val="17"/>
              <w:w w:val="101"/>
              <w:sz w:val="18"/>
              <w:szCs w:val="18"/>
            </w:rPr>
            <w:t xml:space="preserve">   </w:t>
          </w:r>
          <w:r>
            <w:rPr>
              <w:sz w:val="18"/>
              <w:szCs w:val="18"/>
            </w:rPr>
            <w:t>专用信息系统</w:t>
          </w:r>
          <w:r>
            <w:rPr>
              <w:spacing w:val="-69"/>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5"/>
              <w:sz w:val="18"/>
              <w:szCs w:val="18"/>
            </w:rPr>
            <w:t>166</w:t>
          </w:r>
          <w:r>
            <w:rPr>
              <w:rFonts w:ascii="Times New Roman" w:hAnsi="Times New Roman" w:eastAsia="Times New Roman" w:cs="Times New Roman"/>
              <w:spacing w:val="-5"/>
              <w:sz w:val="18"/>
              <w:szCs w:val="18"/>
            </w:rPr>
            <w:fldChar w:fldCharType="end"/>
          </w:r>
        </w:p>
        <w:p w14:paraId="5EAF2A91">
          <w:pPr>
            <w:spacing w:line="244" w:lineRule="auto"/>
            <w:rPr>
              <w:rFonts w:ascii="Arial"/>
              <w:sz w:val="21"/>
            </w:rPr>
          </w:pPr>
        </w:p>
        <w:p w14:paraId="72DF8B52">
          <w:pPr>
            <w:spacing w:line="244" w:lineRule="auto"/>
            <w:rPr>
              <w:rFonts w:ascii="Arial"/>
              <w:sz w:val="21"/>
            </w:rPr>
          </w:pPr>
        </w:p>
        <w:p w14:paraId="3BB797E7">
          <w:pPr>
            <w:spacing w:line="245" w:lineRule="auto"/>
            <w:rPr>
              <w:rFonts w:ascii="Arial"/>
              <w:sz w:val="21"/>
            </w:rPr>
          </w:pPr>
        </w:p>
        <w:p w14:paraId="1777F673">
          <w:pPr>
            <w:pStyle w:val="2"/>
            <w:tabs>
              <w:tab w:val="right" w:leader="dot" w:pos="3967"/>
            </w:tabs>
            <w:spacing w:before="59" w:line="219" w:lineRule="auto"/>
            <w:rPr>
              <w:rFonts w:ascii="Times New Roman" w:hAnsi="Times New Roman" w:eastAsia="Times New Roman" w:cs="Times New Roman"/>
              <w:sz w:val="18"/>
              <w:szCs w:val="18"/>
            </w:rPr>
          </w:pPr>
          <w:bookmarkStart w:id="95" w:name="bookmark94"/>
          <w:bookmarkEnd w:id="95"/>
          <w:r>
            <w:fldChar w:fldCharType="begin"/>
          </w:r>
          <w:r>
            <w:instrText xml:space="preserve"> HYPERLINK \l "bookmark94" </w:instrText>
          </w:r>
          <w:r>
            <w:fldChar w:fldCharType="separate"/>
          </w:r>
          <w:r>
            <w:rPr>
              <w:rFonts w:ascii="Times New Roman" w:hAnsi="Times New Roman" w:eastAsia="Times New Roman" w:cs="Times New Roman"/>
              <w:spacing w:val="-1"/>
              <w:sz w:val="18"/>
              <w:szCs w:val="18"/>
            </w:rPr>
            <w:t xml:space="preserve">6.1    </w:t>
          </w:r>
          <w:r>
            <w:rPr>
              <w:spacing w:val="-1"/>
              <w:sz w:val="18"/>
              <w:szCs w:val="18"/>
            </w:rPr>
            <w:t>信息安全的定义及属性</w:t>
          </w:r>
          <w:r>
            <w:rPr>
              <w:spacing w:val="-49"/>
              <w:sz w:val="18"/>
              <w:szCs w:val="18"/>
            </w:rPr>
            <w:t xml:space="preserve"> </w:t>
          </w:r>
          <w:r>
            <w:rPr>
              <w:sz w:val="18"/>
              <w:szCs w:val="18"/>
            </w:rPr>
            <w:tab/>
          </w:r>
          <w:r>
            <w:rPr>
              <w:spacing w:val="-18"/>
              <w:sz w:val="18"/>
              <w:szCs w:val="18"/>
            </w:rPr>
            <w:t xml:space="preserve"> </w:t>
          </w:r>
          <w:r>
            <w:rPr>
              <w:rFonts w:ascii="Times New Roman" w:hAnsi="Times New Roman" w:eastAsia="Times New Roman" w:cs="Times New Roman"/>
              <w:spacing w:val="-8"/>
              <w:sz w:val="18"/>
              <w:szCs w:val="18"/>
            </w:rPr>
            <w:t>173</w:t>
          </w:r>
          <w:r>
            <w:rPr>
              <w:rFonts w:ascii="Times New Roman" w:hAnsi="Times New Roman" w:eastAsia="Times New Roman" w:cs="Times New Roman"/>
              <w:spacing w:val="-8"/>
              <w:sz w:val="18"/>
              <w:szCs w:val="18"/>
            </w:rPr>
            <w:fldChar w:fldCharType="end"/>
          </w:r>
        </w:p>
        <w:p w14:paraId="5B44DB5A">
          <w:pPr>
            <w:pStyle w:val="2"/>
            <w:tabs>
              <w:tab w:val="right" w:leader="dot" w:pos="3958"/>
            </w:tabs>
            <w:spacing w:before="96" w:line="219" w:lineRule="auto"/>
            <w:rPr>
              <w:rFonts w:ascii="Times New Roman" w:hAnsi="Times New Roman" w:eastAsia="Times New Roman" w:cs="Times New Roman"/>
              <w:sz w:val="18"/>
              <w:szCs w:val="18"/>
            </w:rPr>
          </w:pPr>
          <w:bookmarkStart w:id="96" w:name="bookmark95"/>
          <w:bookmarkEnd w:id="96"/>
          <w:r>
            <w:fldChar w:fldCharType="begin"/>
          </w:r>
          <w:r>
            <w:instrText xml:space="preserve"> HYPERLINK \l "bookmark95" </w:instrText>
          </w:r>
          <w:r>
            <w:fldChar w:fldCharType="separate"/>
          </w:r>
          <w:r>
            <w:rPr>
              <w:rFonts w:ascii="Times New Roman" w:hAnsi="Times New Roman" w:eastAsia="Times New Roman" w:cs="Times New Roman"/>
              <w:sz w:val="18"/>
              <w:szCs w:val="18"/>
            </w:rPr>
            <w:t xml:space="preserve">6.2    </w:t>
          </w:r>
          <w:r>
            <w:rPr>
              <w:sz w:val="18"/>
              <w:szCs w:val="18"/>
            </w:rPr>
            <w:t>信息安全的发展历程</w:t>
          </w:r>
          <w:r>
            <w:rPr>
              <w:spacing w:val="-56"/>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5"/>
              <w:sz w:val="18"/>
              <w:szCs w:val="18"/>
            </w:rPr>
            <w:t>173</w:t>
          </w:r>
          <w:r>
            <w:rPr>
              <w:rFonts w:ascii="Times New Roman" w:hAnsi="Times New Roman" w:eastAsia="Times New Roman" w:cs="Times New Roman"/>
              <w:spacing w:val="-5"/>
              <w:sz w:val="18"/>
              <w:szCs w:val="18"/>
            </w:rPr>
            <w:fldChar w:fldCharType="end"/>
          </w:r>
        </w:p>
        <w:p w14:paraId="3F217AC2">
          <w:pPr>
            <w:pStyle w:val="2"/>
            <w:tabs>
              <w:tab w:val="right" w:leader="dot" w:pos="3958"/>
            </w:tabs>
            <w:spacing w:before="106" w:line="219" w:lineRule="auto"/>
            <w:rPr>
              <w:rFonts w:ascii="Times New Roman" w:hAnsi="Times New Roman" w:eastAsia="Times New Roman" w:cs="Times New Roman"/>
              <w:sz w:val="18"/>
              <w:szCs w:val="18"/>
            </w:rPr>
          </w:pPr>
          <w:bookmarkStart w:id="97" w:name="bookmark96"/>
          <w:bookmarkEnd w:id="97"/>
          <w:r>
            <w:fldChar w:fldCharType="begin"/>
          </w:r>
          <w:r>
            <w:instrText xml:space="preserve"> HYPERLINK \l "bookmark96" </w:instrText>
          </w:r>
          <w:r>
            <w:fldChar w:fldCharType="separate"/>
          </w:r>
          <w:r>
            <w:rPr>
              <w:rFonts w:ascii="Times New Roman" w:hAnsi="Times New Roman" w:eastAsia="Times New Roman" w:cs="Times New Roman"/>
              <w:spacing w:val="-1"/>
              <w:sz w:val="18"/>
              <w:szCs w:val="18"/>
            </w:rPr>
            <w:t>6.3</w:t>
          </w:r>
          <w:r>
            <w:rPr>
              <w:rFonts w:ascii="Times New Roman" w:hAnsi="Times New Roman" w:eastAsia="Times New Roman" w:cs="Times New Roman"/>
              <w:spacing w:val="12"/>
              <w:w w:val="101"/>
              <w:sz w:val="18"/>
              <w:szCs w:val="18"/>
            </w:rPr>
            <w:t xml:space="preserve">   </w:t>
          </w:r>
          <w:r>
            <w:rPr>
              <w:spacing w:val="-1"/>
              <w:sz w:val="18"/>
              <w:szCs w:val="18"/>
            </w:rPr>
            <w:t>信息安全的主要技术和措施</w:t>
          </w:r>
          <w:r>
            <w:rPr>
              <w:spacing w:val="-53"/>
              <w:sz w:val="18"/>
              <w:szCs w:val="18"/>
            </w:rPr>
            <w:t xml:space="preserve"> </w:t>
          </w:r>
          <w:r>
            <w:rPr>
              <w:sz w:val="18"/>
              <w:szCs w:val="18"/>
            </w:rPr>
            <w:tab/>
          </w:r>
          <w:r>
            <w:rPr>
              <w:spacing w:val="-19"/>
              <w:sz w:val="18"/>
              <w:szCs w:val="18"/>
            </w:rPr>
            <w:t xml:space="preserve"> </w:t>
          </w:r>
          <w:r>
            <w:rPr>
              <w:rFonts w:ascii="Times New Roman" w:hAnsi="Times New Roman" w:eastAsia="Times New Roman" w:cs="Times New Roman"/>
              <w:spacing w:val="-5"/>
              <w:sz w:val="18"/>
              <w:szCs w:val="18"/>
            </w:rPr>
            <w:t>174</w:t>
          </w:r>
          <w:r>
            <w:rPr>
              <w:rFonts w:ascii="Times New Roman" w:hAnsi="Times New Roman" w:eastAsia="Times New Roman" w:cs="Times New Roman"/>
              <w:spacing w:val="-5"/>
              <w:sz w:val="18"/>
              <w:szCs w:val="18"/>
            </w:rPr>
            <w:fldChar w:fldCharType="end"/>
          </w:r>
        </w:p>
        <w:p w14:paraId="4E9FF43C">
          <w:pPr>
            <w:pStyle w:val="2"/>
            <w:tabs>
              <w:tab w:val="right" w:leader="dot" w:pos="3948"/>
            </w:tabs>
            <w:spacing w:before="87" w:line="219" w:lineRule="auto"/>
            <w:ind w:left="400"/>
            <w:rPr>
              <w:rFonts w:ascii="Times New Roman" w:hAnsi="Times New Roman" w:eastAsia="Times New Roman" w:cs="Times New Roman"/>
              <w:sz w:val="18"/>
              <w:szCs w:val="18"/>
            </w:rPr>
          </w:pPr>
          <w:bookmarkStart w:id="98" w:name="bookmark97"/>
          <w:bookmarkEnd w:id="98"/>
          <w:r>
            <w:fldChar w:fldCharType="begin"/>
          </w:r>
          <w:r>
            <w:instrText xml:space="preserve"> HYPERLINK \l "bookmark97" </w:instrText>
          </w:r>
          <w:r>
            <w:fldChar w:fldCharType="separate"/>
          </w:r>
          <w:r>
            <w:rPr>
              <w:rFonts w:ascii="Times New Roman" w:hAnsi="Times New Roman" w:eastAsia="Times New Roman" w:cs="Times New Roman"/>
              <w:spacing w:val="-2"/>
              <w:sz w:val="18"/>
              <w:szCs w:val="18"/>
            </w:rPr>
            <w:t xml:space="preserve">6.3.1    </w:t>
          </w:r>
          <w:r>
            <w:rPr>
              <w:spacing w:val="-2"/>
              <w:sz w:val="18"/>
              <w:szCs w:val="18"/>
            </w:rPr>
            <w:t>身份认证</w:t>
          </w:r>
          <w:r>
            <w:rPr>
              <w:spacing w:val="-45"/>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5"/>
              <w:sz w:val="18"/>
              <w:szCs w:val="18"/>
            </w:rPr>
            <w:t>174</w:t>
          </w:r>
          <w:r>
            <w:rPr>
              <w:rFonts w:ascii="Times New Roman" w:hAnsi="Times New Roman" w:eastAsia="Times New Roman" w:cs="Times New Roman"/>
              <w:spacing w:val="-5"/>
              <w:sz w:val="18"/>
              <w:szCs w:val="18"/>
            </w:rPr>
            <w:fldChar w:fldCharType="end"/>
          </w:r>
        </w:p>
        <w:p w14:paraId="591D0ED9">
          <w:pPr>
            <w:pStyle w:val="2"/>
            <w:tabs>
              <w:tab w:val="right" w:leader="dot" w:pos="3948"/>
            </w:tabs>
            <w:spacing w:before="97" w:line="220" w:lineRule="auto"/>
            <w:ind w:left="400"/>
            <w:rPr>
              <w:rFonts w:ascii="Times New Roman" w:hAnsi="Times New Roman" w:eastAsia="Times New Roman" w:cs="Times New Roman"/>
              <w:sz w:val="18"/>
              <w:szCs w:val="18"/>
            </w:rPr>
          </w:pPr>
          <w:bookmarkStart w:id="99" w:name="bookmark98"/>
          <w:bookmarkEnd w:id="99"/>
          <w:r>
            <w:fldChar w:fldCharType="begin"/>
          </w:r>
          <w:r>
            <w:instrText xml:space="preserve"> HYPERLINK \l "bookmark98" </w:instrText>
          </w:r>
          <w:r>
            <w:fldChar w:fldCharType="separate"/>
          </w:r>
          <w:r>
            <w:rPr>
              <w:rFonts w:ascii="Times New Roman" w:hAnsi="Times New Roman" w:eastAsia="Times New Roman" w:cs="Times New Roman"/>
              <w:spacing w:val="1"/>
              <w:sz w:val="18"/>
              <w:szCs w:val="18"/>
            </w:rPr>
            <w:t>6.3.2</w:t>
          </w:r>
          <w:r>
            <w:rPr>
              <w:rFonts w:ascii="Times New Roman" w:hAnsi="Times New Roman" w:eastAsia="Times New Roman" w:cs="Times New Roman"/>
              <w:spacing w:val="16"/>
              <w:w w:val="101"/>
              <w:sz w:val="18"/>
              <w:szCs w:val="18"/>
            </w:rPr>
            <w:t xml:space="preserve">   </w:t>
          </w:r>
          <w:r>
            <w:rPr>
              <w:spacing w:val="1"/>
              <w:sz w:val="18"/>
              <w:szCs w:val="18"/>
            </w:rPr>
            <w:t>访问控制</w:t>
          </w:r>
          <w:r>
            <w:rPr>
              <w:spacing w:val="-75"/>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5"/>
              <w:sz w:val="18"/>
              <w:szCs w:val="18"/>
            </w:rPr>
            <w:t>175</w:t>
          </w:r>
          <w:r>
            <w:rPr>
              <w:rFonts w:ascii="Times New Roman" w:hAnsi="Times New Roman" w:eastAsia="Times New Roman" w:cs="Times New Roman"/>
              <w:spacing w:val="-5"/>
              <w:sz w:val="18"/>
              <w:szCs w:val="18"/>
            </w:rPr>
            <w:fldChar w:fldCharType="end"/>
          </w:r>
        </w:p>
        <w:p w14:paraId="39D56653">
          <w:pPr>
            <w:pStyle w:val="2"/>
            <w:tabs>
              <w:tab w:val="right" w:leader="dot" w:pos="3958"/>
            </w:tabs>
            <w:spacing w:before="115" w:line="219" w:lineRule="auto"/>
            <w:ind w:left="400"/>
            <w:rPr>
              <w:rFonts w:ascii="Times New Roman" w:hAnsi="Times New Roman" w:eastAsia="Times New Roman" w:cs="Times New Roman"/>
              <w:sz w:val="18"/>
              <w:szCs w:val="18"/>
            </w:rPr>
          </w:pPr>
          <w:bookmarkStart w:id="100" w:name="bookmark99"/>
          <w:bookmarkEnd w:id="100"/>
          <w:r>
            <w:fldChar w:fldCharType="begin"/>
          </w:r>
          <w:r>
            <w:instrText xml:space="preserve"> HYPERLINK \l "bookmark99" </w:instrText>
          </w:r>
          <w:r>
            <w:fldChar w:fldCharType="separate"/>
          </w:r>
          <w:r>
            <w:rPr>
              <w:rFonts w:ascii="Times New Roman" w:hAnsi="Times New Roman" w:eastAsia="Times New Roman" w:cs="Times New Roman"/>
              <w:sz w:val="18"/>
              <w:szCs w:val="18"/>
            </w:rPr>
            <w:t>6.3.3</w:t>
          </w:r>
          <w:r>
            <w:rPr>
              <w:rFonts w:ascii="Times New Roman" w:hAnsi="Times New Roman" w:eastAsia="Times New Roman" w:cs="Times New Roman"/>
              <w:spacing w:val="14"/>
              <w:sz w:val="18"/>
              <w:szCs w:val="18"/>
            </w:rPr>
            <w:t xml:space="preserve">   </w:t>
          </w:r>
          <w:r>
            <w:rPr>
              <w:sz w:val="18"/>
              <w:szCs w:val="18"/>
            </w:rPr>
            <w:t>入侵检测系统</w:t>
          </w:r>
          <w:r>
            <w:rPr>
              <w:spacing w:val="-68"/>
              <w:sz w:val="18"/>
              <w:szCs w:val="18"/>
            </w:rPr>
            <w:t xml:space="preserve"> </w:t>
          </w:r>
          <w:r>
            <w:rPr>
              <w:sz w:val="18"/>
              <w:szCs w:val="18"/>
            </w:rPr>
            <w:tab/>
          </w:r>
          <w:r>
            <w:rPr>
              <w:spacing w:val="-19"/>
              <w:sz w:val="18"/>
              <w:szCs w:val="18"/>
            </w:rPr>
            <w:t xml:space="preserve"> </w:t>
          </w:r>
          <w:r>
            <w:rPr>
              <w:rFonts w:ascii="Times New Roman" w:hAnsi="Times New Roman" w:eastAsia="Times New Roman" w:cs="Times New Roman"/>
              <w:spacing w:val="-5"/>
              <w:sz w:val="18"/>
              <w:szCs w:val="18"/>
            </w:rPr>
            <w:t>176</w:t>
          </w:r>
          <w:r>
            <w:rPr>
              <w:rFonts w:ascii="Times New Roman" w:hAnsi="Times New Roman" w:eastAsia="Times New Roman" w:cs="Times New Roman"/>
              <w:spacing w:val="-5"/>
              <w:sz w:val="18"/>
              <w:szCs w:val="18"/>
            </w:rPr>
            <w:fldChar w:fldCharType="end"/>
          </w:r>
        </w:p>
        <w:p w14:paraId="51841A88">
          <w:pPr>
            <w:pStyle w:val="2"/>
            <w:tabs>
              <w:tab w:val="right" w:leader="dot" w:pos="3958"/>
            </w:tabs>
            <w:spacing w:before="86" w:line="219" w:lineRule="auto"/>
            <w:ind w:left="400"/>
            <w:rPr>
              <w:rFonts w:ascii="Times New Roman" w:hAnsi="Times New Roman" w:eastAsia="Times New Roman" w:cs="Times New Roman"/>
              <w:sz w:val="18"/>
              <w:szCs w:val="18"/>
            </w:rPr>
          </w:pPr>
          <w:bookmarkStart w:id="101" w:name="bookmark100"/>
          <w:bookmarkEnd w:id="101"/>
          <w:r>
            <w:fldChar w:fldCharType="begin"/>
          </w:r>
          <w:r>
            <w:instrText xml:space="preserve"> HYPERLINK \l "bookmark100" </w:instrText>
          </w:r>
          <w:r>
            <w:fldChar w:fldCharType="separate"/>
          </w:r>
          <w:r>
            <w:rPr>
              <w:rFonts w:ascii="Times New Roman" w:hAnsi="Times New Roman" w:eastAsia="Times New Roman" w:cs="Times New Roman"/>
              <w:spacing w:val="-3"/>
              <w:sz w:val="18"/>
              <w:szCs w:val="18"/>
            </w:rPr>
            <w:t xml:space="preserve">6.3.4    </w:t>
          </w:r>
          <w:r>
            <w:rPr>
              <w:spacing w:val="-3"/>
              <w:sz w:val="18"/>
              <w:szCs w:val="18"/>
            </w:rPr>
            <w:t>防火墙</w:t>
          </w:r>
          <w:r>
            <w:rPr>
              <w:spacing w:val="-45"/>
              <w:sz w:val="18"/>
              <w:szCs w:val="18"/>
            </w:rPr>
            <w:t xml:space="preserve"> </w:t>
          </w:r>
          <w:r>
            <w:rPr>
              <w:sz w:val="18"/>
              <w:szCs w:val="18"/>
            </w:rPr>
            <w:tab/>
          </w:r>
          <w:r>
            <w:rPr>
              <w:spacing w:val="-9"/>
              <w:sz w:val="18"/>
              <w:szCs w:val="18"/>
            </w:rPr>
            <w:t xml:space="preserve"> </w:t>
          </w:r>
          <w:r>
            <w:rPr>
              <w:rFonts w:ascii="Times New Roman" w:hAnsi="Times New Roman" w:eastAsia="Times New Roman" w:cs="Times New Roman"/>
              <w:spacing w:val="-5"/>
              <w:sz w:val="18"/>
              <w:szCs w:val="18"/>
            </w:rPr>
            <w:t>176</w:t>
          </w:r>
          <w:r>
            <w:rPr>
              <w:rFonts w:ascii="Times New Roman" w:hAnsi="Times New Roman" w:eastAsia="Times New Roman" w:cs="Times New Roman"/>
              <w:spacing w:val="-5"/>
              <w:sz w:val="18"/>
              <w:szCs w:val="18"/>
            </w:rPr>
            <w:fldChar w:fldCharType="end"/>
          </w:r>
        </w:p>
        <w:p w14:paraId="03D2FE23">
          <w:pPr>
            <w:pStyle w:val="2"/>
            <w:tabs>
              <w:tab w:val="right" w:leader="dot" w:pos="3958"/>
            </w:tabs>
            <w:spacing w:before="100" w:line="222" w:lineRule="auto"/>
            <w:ind w:left="400"/>
            <w:rPr>
              <w:rFonts w:ascii="Times New Roman" w:hAnsi="Times New Roman" w:eastAsia="Times New Roman" w:cs="Times New Roman"/>
              <w:sz w:val="18"/>
              <w:szCs w:val="18"/>
            </w:rPr>
          </w:pPr>
          <w:bookmarkStart w:id="102" w:name="bookmark101"/>
          <w:bookmarkEnd w:id="102"/>
          <w:r>
            <w:fldChar w:fldCharType="begin"/>
          </w:r>
          <w:r>
            <w:instrText xml:space="preserve"> HYPERLINK \l "bookmark101" </w:instrText>
          </w:r>
          <w:r>
            <w:fldChar w:fldCharType="separate"/>
          </w:r>
          <w:r>
            <w:rPr>
              <w:rFonts w:ascii="Times New Roman" w:hAnsi="Times New Roman" w:eastAsia="Times New Roman" w:cs="Times New Roman"/>
              <w:spacing w:val="1"/>
              <w:sz w:val="18"/>
              <w:szCs w:val="18"/>
            </w:rPr>
            <w:t xml:space="preserve">6.3.5    </w:t>
          </w:r>
          <w:r>
            <w:rPr>
              <w:spacing w:val="1"/>
              <w:sz w:val="18"/>
              <w:szCs w:val="18"/>
            </w:rPr>
            <w:t>网闸</w:t>
          </w:r>
          <w:r>
            <w:rPr>
              <w:spacing w:val="-72"/>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5"/>
              <w:sz w:val="18"/>
              <w:szCs w:val="18"/>
            </w:rPr>
            <w:t>177</w:t>
          </w:r>
          <w:r>
            <w:rPr>
              <w:rFonts w:ascii="Times New Roman" w:hAnsi="Times New Roman" w:eastAsia="Times New Roman" w:cs="Times New Roman"/>
              <w:spacing w:val="-5"/>
              <w:sz w:val="18"/>
              <w:szCs w:val="18"/>
            </w:rPr>
            <w:fldChar w:fldCharType="end"/>
          </w:r>
        </w:p>
        <w:p w14:paraId="335DFF6B">
          <w:pPr>
            <w:pStyle w:val="2"/>
            <w:tabs>
              <w:tab w:val="right" w:leader="dot" w:pos="3958"/>
            </w:tabs>
            <w:spacing w:before="110" w:line="219" w:lineRule="auto"/>
            <w:ind w:left="400"/>
            <w:rPr>
              <w:rFonts w:ascii="Times New Roman" w:hAnsi="Times New Roman" w:eastAsia="Times New Roman" w:cs="Times New Roman"/>
              <w:sz w:val="18"/>
              <w:szCs w:val="18"/>
            </w:rPr>
          </w:pPr>
          <w:bookmarkStart w:id="103" w:name="bookmark102"/>
          <w:bookmarkEnd w:id="103"/>
          <w:r>
            <w:fldChar w:fldCharType="begin"/>
          </w:r>
          <w:r>
            <w:instrText xml:space="preserve"> HYPERLINK \l "bookmark102" </w:instrText>
          </w:r>
          <w:r>
            <w:fldChar w:fldCharType="separate"/>
          </w:r>
          <w:r>
            <w:rPr>
              <w:rFonts w:ascii="Times New Roman" w:hAnsi="Times New Roman" w:eastAsia="Times New Roman" w:cs="Times New Roman"/>
              <w:spacing w:val="-4"/>
              <w:sz w:val="18"/>
              <w:szCs w:val="18"/>
            </w:rPr>
            <w:t>6.3.6</w:t>
          </w:r>
          <w:r>
            <w:rPr>
              <w:rFonts w:ascii="Times New Roman" w:hAnsi="Times New Roman" w:eastAsia="Times New Roman" w:cs="Times New Roman"/>
              <w:spacing w:val="3"/>
              <w:sz w:val="18"/>
              <w:szCs w:val="18"/>
            </w:rPr>
            <w:t xml:space="preserve">    </w:t>
          </w:r>
          <w:r>
            <w:rPr>
              <w:spacing w:val="-4"/>
              <w:sz w:val="18"/>
              <w:szCs w:val="18"/>
            </w:rPr>
            <w:t>防病毒</w:t>
          </w:r>
          <w:r>
            <w:rPr>
              <w:spacing w:val="-52"/>
              <w:sz w:val="18"/>
              <w:szCs w:val="18"/>
            </w:rPr>
            <w:t xml:space="preserve"> </w:t>
          </w:r>
          <w:r>
            <w:rPr>
              <w:sz w:val="18"/>
              <w:szCs w:val="18"/>
            </w:rPr>
            <w:tab/>
          </w:r>
          <w:r>
            <w:rPr>
              <w:spacing w:val="-19"/>
              <w:sz w:val="18"/>
              <w:szCs w:val="18"/>
            </w:rPr>
            <w:t xml:space="preserve"> </w:t>
          </w:r>
          <w:r>
            <w:rPr>
              <w:rFonts w:ascii="Times New Roman" w:hAnsi="Times New Roman" w:eastAsia="Times New Roman" w:cs="Times New Roman"/>
              <w:spacing w:val="-5"/>
              <w:sz w:val="18"/>
              <w:szCs w:val="18"/>
            </w:rPr>
            <w:t>179</w:t>
          </w:r>
          <w:r>
            <w:rPr>
              <w:rFonts w:ascii="Times New Roman" w:hAnsi="Times New Roman" w:eastAsia="Times New Roman" w:cs="Times New Roman"/>
              <w:spacing w:val="-5"/>
              <w:sz w:val="18"/>
              <w:szCs w:val="18"/>
            </w:rPr>
            <w:fldChar w:fldCharType="end"/>
          </w:r>
        </w:p>
        <w:p w14:paraId="738D4108">
          <w:pPr>
            <w:pStyle w:val="2"/>
            <w:tabs>
              <w:tab w:val="right" w:leader="dot" w:pos="3948"/>
            </w:tabs>
            <w:spacing w:before="87" w:line="219" w:lineRule="auto"/>
            <w:ind w:left="400"/>
            <w:rPr>
              <w:rFonts w:ascii="Times New Roman" w:hAnsi="Times New Roman" w:eastAsia="Times New Roman" w:cs="Times New Roman"/>
              <w:sz w:val="18"/>
              <w:szCs w:val="18"/>
            </w:rPr>
          </w:pPr>
          <w:bookmarkStart w:id="104" w:name="bookmark103"/>
          <w:bookmarkEnd w:id="104"/>
          <w:r>
            <w:fldChar w:fldCharType="begin"/>
          </w:r>
          <w:r>
            <w:instrText xml:space="preserve"> HYPERLINK \l "bookmark103" </w:instrText>
          </w:r>
          <w:r>
            <w:fldChar w:fldCharType="separate"/>
          </w:r>
          <w:r>
            <w:rPr>
              <w:rFonts w:ascii="Times New Roman" w:hAnsi="Times New Roman" w:eastAsia="Times New Roman" w:cs="Times New Roman"/>
              <w:spacing w:val="1"/>
              <w:sz w:val="18"/>
              <w:szCs w:val="18"/>
            </w:rPr>
            <w:t xml:space="preserve">6.3.7    </w:t>
          </w:r>
          <w:r>
            <w:rPr>
              <w:spacing w:val="1"/>
              <w:sz w:val="18"/>
              <w:szCs w:val="18"/>
            </w:rPr>
            <w:t>数据加密技术</w:t>
          </w:r>
          <w:r>
            <w:rPr>
              <w:spacing w:val="-66"/>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5"/>
              <w:sz w:val="18"/>
              <w:szCs w:val="18"/>
            </w:rPr>
            <w:t>180</w:t>
          </w:r>
          <w:r>
            <w:rPr>
              <w:rFonts w:ascii="Times New Roman" w:hAnsi="Times New Roman" w:eastAsia="Times New Roman" w:cs="Times New Roman"/>
              <w:spacing w:val="-5"/>
              <w:sz w:val="18"/>
              <w:szCs w:val="18"/>
            </w:rPr>
            <w:fldChar w:fldCharType="end"/>
          </w:r>
        </w:p>
        <w:p w14:paraId="19225B0E">
          <w:pPr>
            <w:pStyle w:val="2"/>
            <w:tabs>
              <w:tab w:val="right" w:leader="dot" w:pos="3967"/>
            </w:tabs>
            <w:spacing w:before="106" w:line="219" w:lineRule="auto"/>
            <w:rPr>
              <w:rFonts w:ascii="Times New Roman" w:hAnsi="Times New Roman" w:eastAsia="Times New Roman" w:cs="Times New Roman"/>
              <w:sz w:val="18"/>
              <w:szCs w:val="18"/>
            </w:rPr>
          </w:pPr>
          <w:bookmarkStart w:id="105" w:name="bookmark104"/>
          <w:bookmarkEnd w:id="105"/>
          <w:r>
            <w:fldChar w:fldCharType="begin"/>
          </w:r>
          <w:r>
            <w:instrText xml:space="preserve"> HYPERLINK \l "bookmark104" </w:instrText>
          </w:r>
          <w:r>
            <w:fldChar w:fldCharType="separate"/>
          </w:r>
          <w:r>
            <w:rPr>
              <w:rFonts w:ascii="Times New Roman" w:hAnsi="Times New Roman" w:eastAsia="Times New Roman" w:cs="Times New Roman"/>
              <w:spacing w:val="1"/>
              <w:sz w:val="18"/>
              <w:szCs w:val="18"/>
            </w:rPr>
            <w:t xml:space="preserve">6.4    </w:t>
          </w:r>
          <w:r>
            <w:rPr>
              <w:spacing w:val="1"/>
              <w:sz w:val="18"/>
              <w:szCs w:val="18"/>
            </w:rPr>
            <w:t>网络安全等级保护</w:t>
          </w:r>
          <w:r>
            <w:rPr>
              <w:spacing w:val="-71"/>
              <w:sz w:val="18"/>
              <w:szCs w:val="18"/>
            </w:rPr>
            <w:t xml:space="preserve"> </w:t>
          </w:r>
          <w:r>
            <w:rPr>
              <w:sz w:val="18"/>
              <w:szCs w:val="18"/>
            </w:rPr>
            <w:tab/>
          </w:r>
          <w:r>
            <w:rPr>
              <w:spacing w:val="-28"/>
              <w:sz w:val="18"/>
              <w:szCs w:val="18"/>
            </w:rPr>
            <w:t xml:space="preserve"> </w:t>
          </w:r>
          <w:r>
            <w:rPr>
              <w:rFonts w:ascii="Times New Roman" w:hAnsi="Times New Roman" w:eastAsia="Times New Roman" w:cs="Times New Roman"/>
              <w:spacing w:val="-8"/>
              <w:sz w:val="18"/>
              <w:szCs w:val="18"/>
            </w:rPr>
            <w:t>181</w:t>
          </w:r>
          <w:r>
            <w:rPr>
              <w:rFonts w:ascii="Times New Roman" w:hAnsi="Times New Roman" w:eastAsia="Times New Roman" w:cs="Times New Roman"/>
              <w:spacing w:val="-8"/>
              <w:sz w:val="18"/>
              <w:szCs w:val="18"/>
            </w:rPr>
            <w:fldChar w:fldCharType="end"/>
          </w:r>
        </w:p>
        <w:p w14:paraId="05B8C4A4">
          <w:pPr>
            <w:pStyle w:val="2"/>
            <w:tabs>
              <w:tab w:val="right" w:leader="dot" w:pos="3967"/>
            </w:tabs>
            <w:spacing w:before="97" w:line="219" w:lineRule="auto"/>
            <w:ind w:left="400"/>
            <w:rPr>
              <w:rFonts w:ascii="Times New Roman" w:hAnsi="Times New Roman" w:eastAsia="Times New Roman" w:cs="Times New Roman"/>
              <w:sz w:val="18"/>
              <w:szCs w:val="18"/>
            </w:rPr>
          </w:pPr>
          <w:bookmarkStart w:id="106" w:name="bookmark105"/>
          <w:bookmarkEnd w:id="106"/>
          <w:r>
            <w:fldChar w:fldCharType="begin"/>
          </w:r>
          <w:r>
            <w:instrText xml:space="preserve"> HYPERLINK \l "bookmark105" </w:instrText>
          </w:r>
          <w:r>
            <w:fldChar w:fldCharType="separate"/>
          </w:r>
          <w:r>
            <w:rPr>
              <w:rFonts w:ascii="Times New Roman" w:hAnsi="Times New Roman" w:eastAsia="Times New Roman" w:cs="Times New Roman"/>
              <w:spacing w:val="1"/>
              <w:sz w:val="18"/>
              <w:szCs w:val="18"/>
            </w:rPr>
            <w:t xml:space="preserve">6.4.1    </w:t>
          </w:r>
          <w:r>
            <w:rPr>
              <w:spacing w:val="1"/>
              <w:sz w:val="18"/>
              <w:szCs w:val="18"/>
            </w:rPr>
            <w:t>网络安全等级保护定级</w:t>
          </w:r>
          <w:r>
            <w:rPr>
              <w:sz w:val="18"/>
              <w:szCs w:val="18"/>
            </w:rPr>
            <w:t>基础</w:t>
          </w:r>
          <w:r>
            <w:rPr>
              <w:spacing w:val="-70"/>
              <w:sz w:val="18"/>
              <w:szCs w:val="18"/>
            </w:rPr>
            <w:t xml:space="preserve"> </w:t>
          </w:r>
          <w:r>
            <w:rPr>
              <w:sz w:val="18"/>
              <w:szCs w:val="18"/>
            </w:rPr>
            <w:tab/>
          </w:r>
          <w:r>
            <w:rPr>
              <w:spacing w:val="-28"/>
              <w:sz w:val="18"/>
              <w:szCs w:val="18"/>
            </w:rPr>
            <w:t xml:space="preserve"> </w:t>
          </w:r>
          <w:r>
            <w:rPr>
              <w:rFonts w:ascii="Times New Roman" w:hAnsi="Times New Roman" w:eastAsia="Times New Roman" w:cs="Times New Roman"/>
              <w:spacing w:val="-8"/>
              <w:sz w:val="18"/>
              <w:szCs w:val="18"/>
            </w:rPr>
            <w:t>181</w:t>
          </w:r>
          <w:r>
            <w:rPr>
              <w:rFonts w:ascii="Times New Roman" w:hAnsi="Times New Roman" w:eastAsia="Times New Roman" w:cs="Times New Roman"/>
              <w:spacing w:val="-8"/>
              <w:sz w:val="18"/>
              <w:szCs w:val="18"/>
            </w:rPr>
            <w:fldChar w:fldCharType="end"/>
          </w:r>
        </w:p>
        <w:p w14:paraId="2B4F2A1B">
          <w:pPr>
            <w:pStyle w:val="2"/>
            <w:tabs>
              <w:tab w:val="right" w:leader="dot" w:pos="3958"/>
            </w:tabs>
            <w:spacing w:before="105" w:line="219" w:lineRule="auto"/>
            <w:ind w:left="400"/>
            <w:rPr>
              <w:rFonts w:ascii="Times New Roman" w:hAnsi="Times New Roman" w:eastAsia="Times New Roman" w:cs="Times New Roman"/>
              <w:sz w:val="18"/>
              <w:szCs w:val="18"/>
            </w:rPr>
          </w:pPr>
          <w:bookmarkStart w:id="107" w:name="bookmark106"/>
          <w:bookmarkEnd w:id="107"/>
          <w:r>
            <w:fldChar w:fldCharType="begin"/>
          </w:r>
          <w:r>
            <w:instrText xml:space="preserve"> HYPERLINK \l "bookmark106" </w:instrText>
          </w:r>
          <w:r>
            <w:fldChar w:fldCharType="separate"/>
          </w:r>
          <w:r>
            <w:rPr>
              <w:rFonts w:ascii="Times New Roman" w:hAnsi="Times New Roman" w:eastAsia="Times New Roman" w:cs="Times New Roman"/>
              <w:spacing w:val="-1"/>
              <w:sz w:val="18"/>
              <w:szCs w:val="18"/>
            </w:rPr>
            <w:t xml:space="preserve">6.4.2    </w:t>
          </w:r>
          <w:r>
            <w:rPr>
              <w:spacing w:val="-1"/>
              <w:sz w:val="18"/>
              <w:szCs w:val="18"/>
            </w:rPr>
            <w:t>网络安全等级保护基本要求</w:t>
          </w:r>
          <w:r>
            <w:rPr>
              <w:spacing w:val="-41"/>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5"/>
              <w:sz w:val="18"/>
              <w:szCs w:val="18"/>
            </w:rPr>
            <w:t>183</w:t>
          </w:r>
          <w:r>
            <w:rPr>
              <w:rFonts w:ascii="Times New Roman" w:hAnsi="Times New Roman" w:eastAsia="Times New Roman" w:cs="Times New Roman"/>
              <w:spacing w:val="-5"/>
              <w:sz w:val="18"/>
              <w:szCs w:val="18"/>
            </w:rPr>
            <w:fldChar w:fldCharType="end"/>
          </w:r>
        </w:p>
        <w:p w14:paraId="4F5A6CD9">
          <w:pPr>
            <w:pStyle w:val="2"/>
            <w:tabs>
              <w:tab w:val="right" w:leader="dot" w:pos="3958"/>
            </w:tabs>
            <w:spacing w:before="98" w:line="219" w:lineRule="auto"/>
            <w:ind w:left="400"/>
            <w:rPr>
              <w:rFonts w:ascii="Times New Roman" w:hAnsi="Times New Roman" w:eastAsia="Times New Roman" w:cs="Times New Roman"/>
              <w:sz w:val="18"/>
              <w:szCs w:val="18"/>
            </w:rPr>
          </w:pPr>
          <w:bookmarkStart w:id="108" w:name="bookmark107"/>
          <w:bookmarkEnd w:id="108"/>
          <w:r>
            <w:fldChar w:fldCharType="begin"/>
          </w:r>
          <w:r>
            <w:instrText xml:space="preserve"> HYPERLINK \l "bookmark107" </w:instrText>
          </w:r>
          <w:r>
            <w:fldChar w:fldCharType="separate"/>
          </w:r>
          <w:r>
            <w:rPr>
              <w:rFonts w:ascii="Times New Roman" w:hAnsi="Times New Roman" w:eastAsia="Times New Roman" w:cs="Times New Roman"/>
              <w:sz w:val="18"/>
              <w:szCs w:val="18"/>
            </w:rPr>
            <w:t xml:space="preserve">6.4.3    </w:t>
          </w:r>
          <w:r>
            <w:rPr>
              <w:sz w:val="18"/>
              <w:szCs w:val="18"/>
            </w:rPr>
            <w:t>网络安全等级保护测评要求</w:t>
          </w:r>
          <w:r>
            <w:rPr>
              <w:spacing w:val="-62"/>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5"/>
              <w:sz w:val="18"/>
              <w:szCs w:val="18"/>
            </w:rPr>
            <w:t>185</w:t>
          </w:r>
          <w:r>
            <w:rPr>
              <w:rFonts w:ascii="Times New Roman" w:hAnsi="Times New Roman" w:eastAsia="Times New Roman" w:cs="Times New Roman"/>
              <w:spacing w:val="-5"/>
              <w:sz w:val="18"/>
              <w:szCs w:val="18"/>
            </w:rPr>
            <w:fldChar w:fldCharType="end"/>
          </w:r>
        </w:p>
        <w:p w14:paraId="4A9FC118">
          <w:pPr>
            <w:pStyle w:val="2"/>
            <w:tabs>
              <w:tab w:val="right" w:leader="dot" w:pos="3897"/>
            </w:tabs>
            <w:spacing w:before="95" w:line="218" w:lineRule="auto"/>
            <w:rPr>
              <w:rFonts w:ascii="Times New Roman" w:hAnsi="Times New Roman" w:eastAsia="Times New Roman" w:cs="Times New Roman"/>
              <w:sz w:val="18"/>
              <w:szCs w:val="18"/>
            </w:rPr>
          </w:pPr>
          <w:bookmarkStart w:id="109" w:name="bookmark108"/>
          <w:bookmarkEnd w:id="109"/>
          <w:r>
            <w:fldChar w:fldCharType="begin"/>
          </w:r>
          <w:r>
            <w:instrText xml:space="preserve"> HYPERLINK \l "bookmark108" </w:instrText>
          </w:r>
          <w:r>
            <w:fldChar w:fldCharType="separate"/>
          </w:r>
          <w:r>
            <w:rPr>
              <w:rFonts w:ascii="Times New Roman" w:hAnsi="Times New Roman" w:eastAsia="Times New Roman" w:cs="Times New Roman"/>
              <w:spacing w:val="-1"/>
              <w:sz w:val="18"/>
              <w:szCs w:val="18"/>
            </w:rPr>
            <w:t xml:space="preserve">6.5    </w:t>
          </w:r>
          <w:r>
            <w:rPr>
              <w:spacing w:val="-1"/>
              <w:sz w:val="18"/>
              <w:szCs w:val="18"/>
            </w:rPr>
            <w:t>信息安全风险评估概述</w:t>
          </w:r>
          <w:r>
            <w:rPr>
              <w:spacing w:val="-39"/>
              <w:sz w:val="18"/>
              <w:szCs w:val="18"/>
            </w:rPr>
            <w:t xml:space="preserve"> </w:t>
          </w:r>
          <w:r>
            <w:rPr>
              <w:sz w:val="18"/>
              <w:szCs w:val="18"/>
            </w:rPr>
            <w:tab/>
          </w:r>
          <w:r>
            <w:rPr>
              <w:rFonts w:ascii="Times New Roman" w:hAnsi="Times New Roman" w:eastAsia="Times New Roman" w:cs="Times New Roman"/>
              <w:spacing w:val="-7"/>
              <w:sz w:val="18"/>
              <w:szCs w:val="18"/>
            </w:rPr>
            <w:t>186</w:t>
          </w:r>
          <w:r>
            <w:rPr>
              <w:rFonts w:ascii="Times New Roman" w:hAnsi="Times New Roman" w:eastAsia="Times New Roman" w:cs="Times New Roman"/>
              <w:spacing w:val="-7"/>
              <w:sz w:val="18"/>
              <w:szCs w:val="18"/>
            </w:rPr>
            <w:fldChar w:fldCharType="end"/>
          </w:r>
        </w:p>
        <w:p w14:paraId="5BCEA5FF">
          <w:pPr>
            <w:pStyle w:val="2"/>
            <w:tabs>
              <w:tab w:val="right" w:leader="dot" w:pos="3958"/>
            </w:tabs>
            <w:spacing w:before="107" w:line="218" w:lineRule="auto"/>
            <w:ind w:left="400"/>
            <w:rPr>
              <w:rFonts w:ascii="Times New Roman" w:hAnsi="Times New Roman" w:eastAsia="Times New Roman" w:cs="Times New Roman"/>
              <w:sz w:val="18"/>
              <w:szCs w:val="18"/>
            </w:rPr>
          </w:pPr>
          <w:bookmarkStart w:id="110" w:name="bookmark109"/>
          <w:bookmarkEnd w:id="110"/>
          <w:r>
            <w:fldChar w:fldCharType="begin"/>
          </w:r>
          <w:r>
            <w:instrText xml:space="preserve"> HYPERLINK \l "bookmark109" </w:instrText>
          </w:r>
          <w:r>
            <w:fldChar w:fldCharType="separate"/>
          </w:r>
          <w:r>
            <w:rPr>
              <w:rFonts w:ascii="Times New Roman" w:hAnsi="Times New Roman" w:eastAsia="Times New Roman" w:cs="Times New Roman"/>
              <w:spacing w:val="-1"/>
              <w:sz w:val="18"/>
              <w:szCs w:val="18"/>
            </w:rPr>
            <w:t xml:space="preserve">6.5.1    </w:t>
          </w:r>
          <w:r>
            <w:rPr>
              <w:spacing w:val="-1"/>
              <w:sz w:val="18"/>
              <w:szCs w:val="18"/>
            </w:rPr>
            <w:t>信息安全风险评估的重要性</w:t>
          </w:r>
          <w:r>
            <w:rPr>
              <w:spacing w:val="-41"/>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5"/>
              <w:sz w:val="18"/>
              <w:szCs w:val="18"/>
            </w:rPr>
            <w:t>186</w:t>
          </w:r>
          <w:r>
            <w:rPr>
              <w:rFonts w:ascii="Times New Roman" w:hAnsi="Times New Roman" w:eastAsia="Times New Roman" w:cs="Times New Roman"/>
              <w:spacing w:val="-5"/>
              <w:sz w:val="18"/>
              <w:szCs w:val="18"/>
            </w:rPr>
            <w:fldChar w:fldCharType="end"/>
          </w:r>
        </w:p>
        <w:p w14:paraId="549652C3">
          <w:pPr>
            <w:pStyle w:val="2"/>
            <w:tabs>
              <w:tab w:val="right" w:leader="dot" w:pos="3958"/>
            </w:tabs>
            <w:spacing w:before="99" w:line="219" w:lineRule="auto"/>
            <w:ind w:left="400"/>
            <w:rPr>
              <w:rFonts w:ascii="Times New Roman" w:hAnsi="Times New Roman" w:eastAsia="Times New Roman" w:cs="Times New Roman"/>
              <w:sz w:val="18"/>
              <w:szCs w:val="18"/>
            </w:rPr>
          </w:pPr>
          <w:bookmarkStart w:id="111" w:name="bookmark110"/>
          <w:bookmarkEnd w:id="111"/>
          <w:r>
            <w:fldChar w:fldCharType="begin"/>
          </w:r>
          <w:r>
            <w:instrText xml:space="preserve"> HYPERLINK \l "bookmark110" </w:instrText>
          </w:r>
          <w:r>
            <w:fldChar w:fldCharType="separate"/>
          </w:r>
          <w:r>
            <w:rPr>
              <w:rFonts w:ascii="Times New Roman" w:hAnsi="Times New Roman" w:eastAsia="Times New Roman" w:cs="Times New Roman"/>
              <w:spacing w:val="-1"/>
              <w:sz w:val="18"/>
              <w:szCs w:val="18"/>
            </w:rPr>
            <w:t>6.5.2</w:t>
          </w:r>
          <w:r>
            <w:rPr>
              <w:rFonts w:ascii="Times New Roman" w:hAnsi="Times New Roman" w:eastAsia="Times New Roman" w:cs="Times New Roman"/>
              <w:spacing w:val="7"/>
              <w:sz w:val="18"/>
              <w:szCs w:val="18"/>
            </w:rPr>
            <w:t xml:space="preserve">    </w:t>
          </w:r>
          <w:r>
            <w:rPr>
              <w:spacing w:val="-1"/>
              <w:sz w:val="18"/>
              <w:szCs w:val="18"/>
            </w:rPr>
            <w:t>信息安全常见风险点危害分析</w:t>
          </w:r>
          <w:r>
            <w:rPr>
              <w:spacing w:val="-71"/>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5"/>
              <w:sz w:val="18"/>
              <w:szCs w:val="18"/>
            </w:rPr>
            <w:t>187</w:t>
          </w:r>
          <w:r>
            <w:rPr>
              <w:rFonts w:ascii="Times New Roman" w:hAnsi="Times New Roman" w:eastAsia="Times New Roman" w:cs="Times New Roman"/>
              <w:spacing w:val="-5"/>
              <w:sz w:val="18"/>
              <w:szCs w:val="18"/>
            </w:rPr>
            <w:fldChar w:fldCharType="end"/>
          </w:r>
        </w:p>
        <w:p w14:paraId="65D9522A">
          <w:pPr>
            <w:pStyle w:val="2"/>
            <w:tabs>
              <w:tab w:val="right" w:leader="dot" w:pos="3797"/>
            </w:tabs>
            <w:spacing w:before="97" w:line="219" w:lineRule="auto"/>
            <w:rPr>
              <w:rFonts w:ascii="Times New Roman" w:hAnsi="Times New Roman" w:eastAsia="Times New Roman" w:cs="Times New Roman"/>
              <w:sz w:val="18"/>
              <w:szCs w:val="18"/>
            </w:rPr>
          </w:pPr>
          <w:bookmarkStart w:id="112" w:name="bookmark111"/>
          <w:bookmarkEnd w:id="112"/>
          <w:r>
            <w:fldChar w:fldCharType="begin"/>
          </w:r>
          <w:r>
            <w:instrText xml:space="preserve"> HYPERLINK \l "bookmark111" </w:instrText>
          </w:r>
          <w:r>
            <w:fldChar w:fldCharType="separate"/>
          </w:r>
          <w:r>
            <w:rPr>
              <w:rFonts w:ascii="Times New Roman" w:hAnsi="Times New Roman" w:eastAsia="Times New Roman" w:cs="Times New Roman"/>
              <w:spacing w:val="1"/>
              <w:sz w:val="18"/>
              <w:szCs w:val="18"/>
            </w:rPr>
            <w:t xml:space="preserve">6.6    </w:t>
          </w:r>
          <w:r>
            <w:rPr>
              <w:spacing w:val="1"/>
              <w:sz w:val="18"/>
              <w:szCs w:val="18"/>
            </w:rPr>
            <w:t>关键信息基础设施保护</w:t>
          </w:r>
          <w:r>
            <w:rPr>
              <w:spacing w:val="-83"/>
              <w:sz w:val="18"/>
              <w:szCs w:val="18"/>
            </w:rPr>
            <w:t xml:space="preserve"> </w:t>
          </w:r>
          <w:r>
            <w:rPr>
              <w:sz w:val="18"/>
              <w:szCs w:val="18"/>
            </w:rPr>
            <w:tab/>
          </w:r>
          <w:r>
            <w:rPr>
              <w:rFonts w:ascii="Times New Roman" w:hAnsi="Times New Roman" w:eastAsia="Times New Roman" w:cs="Times New Roman"/>
              <w:spacing w:val="-3"/>
              <w:sz w:val="18"/>
              <w:szCs w:val="18"/>
            </w:rPr>
            <w:t>187</w:t>
          </w:r>
          <w:r>
            <w:rPr>
              <w:rFonts w:ascii="Times New Roman" w:hAnsi="Times New Roman" w:eastAsia="Times New Roman" w:cs="Times New Roman"/>
              <w:spacing w:val="-3"/>
              <w:sz w:val="18"/>
              <w:szCs w:val="18"/>
            </w:rPr>
            <w:fldChar w:fldCharType="end"/>
          </w:r>
        </w:p>
        <w:p w14:paraId="022F5EF1">
          <w:pPr>
            <w:pStyle w:val="2"/>
            <w:tabs>
              <w:tab w:val="right" w:leader="dot" w:pos="3948"/>
            </w:tabs>
            <w:spacing w:before="96" w:line="219" w:lineRule="auto"/>
            <w:rPr>
              <w:rFonts w:ascii="Times New Roman" w:hAnsi="Times New Roman" w:eastAsia="Times New Roman" w:cs="Times New Roman"/>
              <w:sz w:val="18"/>
              <w:szCs w:val="18"/>
            </w:rPr>
          </w:pPr>
          <w:bookmarkStart w:id="113" w:name="bookmark112"/>
          <w:bookmarkEnd w:id="113"/>
          <w:r>
            <w:fldChar w:fldCharType="begin"/>
          </w:r>
          <w:r>
            <w:instrText xml:space="preserve"> HYPERLINK \l "bookmark112" </w:instrText>
          </w:r>
          <w:r>
            <w:fldChar w:fldCharType="separate"/>
          </w:r>
          <w:r>
            <w:rPr>
              <w:rFonts w:ascii="Times New Roman" w:hAnsi="Times New Roman" w:eastAsia="Times New Roman" w:cs="Times New Roman"/>
              <w:spacing w:val="-2"/>
              <w:sz w:val="18"/>
              <w:szCs w:val="18"/>
            </w:rPr>
            <w:t>6.7</w:t>
          </w:r>
          <w:r>
            <w:rPr>
              <w:rFonts w:ascii="Times New Roman" w:hAnsi="Times New Roman" w:eastAsia="Times New Roman" w:cs="Times New Roman"/>
              <w:spacing w:val="8"/>
              <w:sz w:val="18"/>
              <w:szCs w:val="18"/>
            </w:rPr>
            <w:t xml:space="preserve">    </w:t>
          </w:r>
          <w:r>
            <w:rPr>
              <w:spacing w:val="-2"/>
              <w:sz w:val="18"/>
              <w:szCs w:val="18"/>
            </w:rPr>
            <w:t>数据安全的主要策略及方法</w:t>
          </w:r>
          <w:r>
            <w:rPr>
              <w:spacing w:val="-68"/>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5"/>
              <w:sz w:val="18"/>
              <w:szCs w:val="18"/>
            </w:rPr>
            <w:t>188</w:t>
          </w:r>
          <w:r>
            <w:rPr>
              <w:rFonts w:ascii="Times New Roman" w:hAnsi="Times New Roman" w:eastAsia="Times New Roman" w:cs="Times New Roman"/>
              <w:spacing w:val="-5"/>
              <w:sz w:val="18"/>
              <w:szCs w:val="18"/>
            </w:rPr>
            <w:fldChar w:fldCharType="end"/>
          </w:r>
        </w:p>
        <w:p w14:paraId="56623440">
          <w:pPr>
            <w:pStyle w:val="2"/>
            <w:tabs>
              <w:tab w:val="right" w:leader="dot" w:pos="3958"/>
            </w:tabs>
            <w:spacing w:before="97" w:line="219" w:lineRule="auto"/>
            <w:ind w:left="400"/>
            <w:rPr>
              <w:rFonts w:ascii="Times New Roman" w:hAnsi="Times New Roman" w:eastAsia="Times New Roman" w:cs="Times New Roman"/>
              <w:sz w:val="18"/>
              <w:szCs w:val="18"/>
            </w:rPr>
          </w:pPr>
          <w:bookmarkStart w:id="114" w:name="bookmark113"/>
          <w:bookmarkEnd w:id="114"/>
          <w:r>
            <w:fldChar w:fldCharType="begin"/>
          </w:r>
          <w:r>
            <w:instrText xml:space="preserve"> HYPERLINK \l "bookmark113" </w:instrText>
          </w:r>
          <w:r>
            <w:fldChar w:fldCharType="separate"/>
          </w:r>
          <w:r>
            <w:rPr>
              <w:rFonts w:ascii="Times New Roman" w:hAnsi="Times New Roman" w:eastAsia="Times New Roman" w:cs="Times New Roman"/>
              <w:spacing w:val="-1"/>
              <w:sz w:val="18"/>
              <w:szCs w:val="18"/>
            </w:rPr>
            <w:t xml:space="preserve">6.7.1    </w:t>
          </w:r>
          <w:r>
            <w:rPr>
              <w:spacing w:val="-1"/>
              <w:sz w:val="18"/>
              <w:szCs w:val="18"/>
            </w:rPr>
            <w:t>数据安全技术的发展要求</w:t>
          </w:r>
          <w:r>
            <w:rPr>
              <w:spacing w:val="-41"/>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5"/>
              <w:sz w:val="18"/>
              <w:szCs w:val="18"/>
            </w:rPr>
            <w:t>189</w:t>
          </w:r>
          <w:r>
            <w:rPr>
              <w:rFonts w:ascii="Times New Roman" w:hAnsi="Times New Roman" w:eastAsia="Times New Roman" w:cs="Times New Roman"/>
              <w:spacing w:val="-5"/>
              <w:sz w:val="18"/>
              <w:szCs w:val="18"/>
            </w:rPr>
            <w:fldChar w:fldCharType="end"/>
          </w:r>
        </w:p>
        <w:p w14:paraId="2A508F18">
          <w:pPr>
            <w:pStyle w:val="2"/>
            <w:tabs>
              <w:tab w:val="right" w:leader="dot" w:pos="3958"/>
            </w:tabs>
            <w:spacing w:before="96" w:line="219" w:lineRule="auto"/>
            <w:ind w:left="400"/>
            <w:rPr>
              <w:rFonts w:ascii="Times New Roman" w:hAnsi="Times New Roman" w:eastAsia="Times New Roman" w:cs="Times New Roman"/>
              <w:sz w:val="18"/>
              <w:szCs w:val="18"/>
            </w:rPr>
          </w:pPr>
          <w:bookmarkStart w:id="115" w:name="bookmark114"/>
          <w:bookmarkEnd w:id="115"/>
          <w:r>
            <w:fldChar w:fldCharType="begin"/>
          </w:r>
          <w:r>
            <w:instrText xml:space="preserve"> HYPERLINK \l "bookmark114" </w:instrText>
          </w:r>
          <w:r>
            <w:fldChar w:fldCharType="separate"/>
          </w:r>
          <w:r>
            <w:rPr>
              <w:rFonts w:ascii="Times New Roman" w:hAnsi="Times New Roman" w:eastAsia="Times New Roman" w:cs="Times New Roman"/>
              <w:spacing w:val="1"/>
              <w:sz w:val="18"/>
              <w:szCs w:val="18"/>
            </w:rPr>
            <w:t xml:space="preserve">6.7.2    </w:t>
          </w:r>
          <w:r>
            <w:rPr>
              <w:spacing w:val="1"/>
              <w:sz w:val="18"/>
              <w:szCs w:val="18"/>
            </w:rPr>
            <w:t>数据安全的特点</w:t>
          </w:r>
          <w:r>
            <w:rPr>
              <w:spacing w:val="-77"/>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5"/>
              <w:sz w:val="18"/>
              <w:szCs w:val="18"/>
            </w:rPr>
            <w:t>189</w:t>
          </w:r>
          <w:r>
            <w:rPr>
              <w:rFonts w:ascii="Times New Roman" w:hAnsi="Times New Roman" w:eastAsia="Times New Roman" w:cs="Times New Roman"/>
              <w:spacing w:val="-5"/>
              <w:sz w:val="18"/>
              <w:szCs w:val="18"/>
            </w:rPr>
            <w:fldChar w:fldCharType="end"/>
          </w:r>
        </w:p>
        <w:p w14:paraId="3297B25F">
          <w:pPr>
            <w:pStyle w:val="2"/>
            <w:tabs>
              <w:tab w:val="right" w:leader="dot" w:pos="3967"/>
            </w:tabs>
            <w:spacing w:before="87" w:line="219" w:lineRule="auto"/>
            <w:ind w:left="400"/>
            <w:rPr>
              <w:rFonts w:ascii="Times New Roman" w:hAnsi="Times New Roman" w:eastAsia="Times New Roman" w:cs="Times New Roman"/>
              <w:sz w:val="18"/>
              <w:szCs w:val="18"/>
            </w:rPr>
          </w:pPr>
          <w:bookmarkStart w:id="116" w:name="bookmark115"/>
          <w:bookmarkEnd w:id="116"/>
          <w:r>
            <w:fldChar w:fldCharType="begin"/>
          </w:r>
          <w:r>
            <w:instrText xml:space="preserve"> HYPERLINK \l "bookmark115" </w:instrText>
          </w:r>
          <w:r>
            <w:fldChar w:fldCharType="separate"/>
          </w:r>
          <w:r>
            <w:rPr>
              <w:rFonts w:ascii="Times New Roman" w:hAnsi="Times New Roman" w:eastAsia="Times New Roman" w:cs="Times New Roman"/>
              <w:spacing w:val="-1"/>
              <w:sz w:val="18"/>
              <w:szCs w:val="18"/>
            </w:rPr>
            <w:t xml:space="preserve">6.7.3    </w:t>
          </w:r>
          <w:r>
            <w:rPr>
              <w:spacing w:val="-1"/>
              <w:sz w:val="18"/>
              <w:szCs w:val="18"/>
            </w:rPr>
            <w:t>数据安全主要防护技术</w:t>
          </w:r>
          <w:r>
            <w:rPr>
              <w:spacing w:val="-42"/>
              <w:sz w:val="18"/>
              <w:szCs w:val="18"/>
            </w:rPr>
            <w:t xml:space="preserve"> </w:t>
          </w:r>
          <w:r>
            <w:rPr>
              <w:sz w:val="18"/>
              <w:szCs w:val="18"/>
            </w:rPr>
            <w:tab/>
          </w:r>
          <w:r>
            <w:rPr>
              <w:spacing w:val="-18"/>
              <w:sz w:val="18"/>
              <w:szCs w:val="18"/>
            </w:rPr>
            <w:t xml:space="preserve"> </w:t>
          </w:r>
          <w:r>
            <w:rPr>
              <w:rFonts w:ascii="Times New Roman" w:hAnsi="Times New Roman" w:eastAsia="Times New Roman" w:cs="Times New Roman"/>
              <w:spacing w:val="-9"/>
              <w:sz w:val="18"/>
              <w:szCs w:val="18"/>
            </w:rPr>
            <w:t>1</w:t>
          </w:r>
          <w:r>
            <w:rPr>
              <w:rFonts w:ascii="Times New Roman" w:hAnsi="Times New Roman" w:eastAsia="Times New Roman" w:cs="Times New Roman"/>
              <w:spacing w:val="-8"/>
              <w:sz w:val="18"/>
              <w:szCs w:val="18"/>
            </w:rPr>
            <w:t>9</w:t>
          </w:r>
          <w:r>
            <w:rPr>
              <w:rFonts w:ascii="Times New Roman" w:hAnsi="Times New Roman" w:eastAsia="Times New Roman" w:cs="Times New Roman"/>
              <w:spacing w:val="-7"/>
              <w:sz w:val="18"/>
              <w:szCs w:val="18"/>
            </w:rPr>
            <w:t>0</w:t>
          </w:r>
          <w:r>
            <w:rPr>
              <w:rFonts w:ascii="Times New Roman" w:hAnsi="Times New Roman" w:eastAsia="Times New Roman" w:cs="Times New Roman"/>
              <w:spacing w:val="-7"/>
              <w:sz w:val="18"/>
              <w:szCs w:val="18"/>
            </w:rPr>
            <w:fldChar w:fldCharType="end"/>
          </w:r>
        </w:p>
        <w:p w14:paraId="55B2823E">
          <w:pPr>
            <w:spacing w:line="341" w:lineRule="auto"/>
            <w:rPr>
              <w:rFonts w:ascii="Arial"/>
              <w:sz w:val="21"/>
            </w:rPr>
          </w:pPr>
        </w:p>
        <w:p w14:paraId="0A77ACB7">
          <w:pPr>
            <w:spacing w:line="342" w:lineRule="auto"/>
            <w:rPr>
              <w:rFonts w:ascii="Arial"/>
              <w:sz w:val="21"/>
            </w:rPr>
          </w:pPr>
        </w:p>
        <w:p w14:paraId="0D31BE7D">
          <w:pPr>
            <w:pStyle w:val="2"/>
            <w:tabs>
              <w:tab w:val="right" w:leader="dot" w:pos="3958"/>
            </w:tabs>
            <w:spacing w:before="59" w:line="219" w:lineRule="auto"/>
            <w:rPr>
              <w:rFonts w:ascii="Times New Roman" w:hAnsi="Times New Roman" w:eastAsia="Times New Roman" w:cs="Times New Roman"/>
              <w:sz w:val="18"/>
              <w:szCs w:val="18"/>
            </w:rPr>
          </w:pPr>
          <w:bookmarkStart w:id="117" w:name="bookmark116"/>
          <w:bookmarkEnd w:id="117"/>
          <w:r>
            <w:fldChar w:fldCharType="begin"/>
          </w:r>
          <w:r>
            <w:instrText xml:space="preserve"> HYPERLINK \l "bookmark116" </w:instrText>
          </w:r>
          <w:r>
            <w:fldChar w:fldCharType="separate"/>
          </w:r>
          <w:r>
            <w:rPr>
              <w:rFonts w:ascii="Times New Roman" w:hAnsi="Times New Roman" w:eastAsia="Times New Roman" w:cs="Times New Roman"/>
              <w:spacing w:val="-2"/>
              <w:sz w:val="18"/>
              <w:szCs w:val="18"/>
            </w:rPr>
            <w:t>7.1</w:t>
          </w:r>
          <w:r>
            <w:rPr>
              <w:rFonts w:ascii="Times New Roman" w:hAnsi="Times New Roman" w:eastAsia="Times New Roman" w:cs="Times New Roman"/>
              <w:spacing w:val="13"/>
              <w:sz w:val="18"/>
              <w:szCs w:val="18"/>
            </w:rPr>
            <w:t xml:space="preserve">   </w:t>
          </w:r>
          <w:r>
            <w:rPr>
              <w:spacing w:val="-2"/>
              <w:sz w:val="18"/>
              <w:szCs w:val="18"/>
            </w:rPr>
            <w:t>运行维护概述</w:t>
          </w:r>
          <w:r>
            <w:rPr>
              <w:spacing w:val="-52"/>
              <w:sz w:val="18"/>
              <w:szCs w:val="18"/>
            </w:rPr>
            <w:t xml:space="preserve"> </w:t>
          </w:r>
          <w:r>
            <w:rPr>
              <w:sz w:val="18"/>
              <w:szCs w:val="18"/>
            </w:rPr>
            <w:tab/>
          </w:r>
          <w:r>
            <w:rPr>
              <w:spacing w:val="-19"/>
              <w:sz w:val="18"/>
              <w:szCs w:val="18"/>
            </w:rPr>
            <w:t xml:space="preserve"> </w:t>
          </w:r>
          <w:r>
            <w:rPr>
              <w:rFonts w:ascii="Times New Roman" w:hAnsi="Times New Roman" w:eastAsia="Times New Roman" w:cs="Times New Roman"/>
              <w:spacing w:val="-5"/>
              <w:sz w:val="18"/>
              <w:szCs w:val="18"/>
            </w:rPr>
            <w:t>192</w:t>
          </w:r>
          <w:r>
            <w:rPr>
              <w:rFonts w:ascii="Times New Roman" w:hAnsi="Times New Roman" w:eastAsia="Times New Roman" w:cs="Times New Roman"/>
              <w:spacing w:val="-5"/>
              <w:sz w:val="18"/>
              <w:szCs w:val="18"/>
            </w:rPr>
            <w:fldChar w:fldCharType="end"/>
          </w:r>
        </w:p>
        <w:p w14:paraId="5DF3ED61">
          <w:pPr>
            <w:pStyle w:val="2"/>
            <w:tabs>
              <w:tab w:val="right" w:leader="dot" w:pos="3958"/>
            </w:tabs>
            <w:spacing w:before="106" w:line="184" w:lineRule="auto"/>
            <w:ind w:left="400"/>
            <w:rPr>
              <w:rFonts w:ascii="Times New Roman" w:hAnsi="Times New Roman" w:eastAsia="Times New Roman" w:cs="Times New Roman"/>
              <w:sz w:val="18"/>
              <w:szCs w:val="18"/>
            </w:rPr>
          </w:pPr>
          <w:bookmarkStart w:id="118" w:name="bookmark117"/>
          <w:bookmarkEnd w:id="118"/>
          <w:r>
            <w:fldChar w:fldCharType="begin"/>
          </w:r>
          <w:r>
            <w:instrText xml:space="preserve"> HYPERLINK \l "bookmark117" </w:instrText>
          </w:r>
          <w:r>
            <w:fldChar w:fldCharType="separate"/>
          </w:r>
          <w:r>
            <w:rPr>
              <w:rFonts w:ascii="Times New Roman" w:hAnsi="Times New Roman" w:eastAsia="Times New Roman" w:cs="Times New Roman"/>
              <w:spacing w:val="-2"/>
              <w:sz w:val="18"/>
              <w:szCs w:val="18"/>
            </w:rPr>
            <w:t>7.1.1</w:t>
          </w:r>
          <w:r>
            <w:rPr>
              <w:rFonts w:ascii="Times New Roman" w:hAnsi="Times New Roman" w:eastAsia="Times New Roman" w:cs="Times New Roman"/>
              <w:spacing w:val="14"/>
              <w:w w:val="102"/>
              <w:sz w:val="18"/>
              <w:szCs w:val="18"/>
            </w:rPr>
            <w:t xml:space="preserve">   </w:t>
          </w:r>
          <w:r>
            <w:rPr>
              <w:spacing w:val="-2"/>
              <w:sz w:val="18"/>
              <w:szCs w:val="18"/>
            </w:rPr>
            <w:t>基本概念</w:t>
          </w:r>
          <w:r>
            <w:rPr>
              <w:spacing w:val="-53"/>
              <w:sz w:val="18"/>
              <w:szCs w:val="18"/>
            </w:rPr>
            <w:t xml:space="preserve"> </w:t>
          </w:r>
          <w:r>
            <w:rPr>
              <w:sz w:val="18"/>
              <w:szCs w:val="18"/>
            </w:rPr>
            <w:tab/>
          </w:r>
          <w:r>
            <w:rPr>
              <w:spacing w:val="-19"/>
              <w:sz w:val="18"/>
              <w:szCs w:val="18"/>
            </w:rPr>
            <w:t xml:space="preserve"> </w:t>
          </w:r>
          <w:r>
            <w:rPr>
              <w:rFonts w:ascii="Times New Roman" w:hAnsi="Times New Roman" w:eastAsia="Times New Roman" w:cs="Times New Roman"/>
              <w:spacing w:val="-5"/>
              <w:sz w:val="18"/>
              <w:szCs w:val="18"/>
            </w:rPr>
            <w:t>192</w:t>
          </w:r>
          <w:r>
            <w:rPr>
              <w:rFonts w:ascii="Times New Roman" w:hAnsi="Times New Roman" w:eastAsia="Times New Roman" w:cs="Times New Roman"/>
              <w:spacing w:val="-5"/>
              <w:sz w:val="18"/>
              <w:szCs w:val="18"/>
            </w:rPr>
            <w:fldChar w:fldCharType="end"/>
          </w:r>
        </w:p>
      </w:sdtContent>
    </w:sdt>
    <w:p w14:paraId="4F244695">
      <w:pPr>
        <w:spacing w:line="184" w:lineRule="auto"/>
        <w:rPr>
          <w:rFonts w:ascii="Times New Roman" w:hAnsi="Times New Roman" w:eastAsia="Times New Roman" w:cs="Times New Roman"/>
          <w:sz w:val="18"/>
          <w:szCs w:val="18"/>
        </w:rPr>
        <w:sectPr>
          <w:type w:val="continuous"/>
          <w:pgSz w:w="10390" w:h="13420"/>
          <w:pgMar w:top="400" w:right="1211" w:bottom="400" w:left="560" w:header="0" w:footer="0" w:gutter="0"/>
          <w:cols w:equalWidth="0" w:num="2">
            <w:col w:w="4550" w:space="100"/>
            <w:col w:w="3969"/>
          </w:cols>
        </w:sectPr>
      </w:pPr>
    </w:p>
    <w:p w14:paraId="407EB797">
      <w:pPr>
        <w:pStyle w:val="2"/>
        <w:jc w:val="right"/>
        <w:rPr>
          <w:rFonts w:ascii="Times New Roman" w:hAnsi="Times New Roman" w:eastAsia="Times New Roman" w:cs="Times New Roman"/>
          <w:sz w:val="23"/>
          <w:szCs w:val="23"/>
        </w:rPr>
      </w:pPr>
      <w:r>
        <w:pict>
          <v:shape id="_x0000_s1033" o:spid="_x0000_s1033" o:spt="202" type="#_x0000_t202" style="position:absolute;left:0pt;margin-left:61.5pt;margin-top:85.9pt;height:10.15pt;width:12.95pt;mso-position-horizontal-relative:page;mso-position-vertical-relative:page;z-index:251671552;mso-width-relative:page;mso-height-relative:page;" filled="f" stroked="f" coordsize="21600,21600" o:allowincell="f">
            <v:path/>
            <v:fill on="f" focussize="0,0"/>
            <v:stroke on="f"/>
            <v:imagedata o:title=""/>
            <o:lock v:ext="edit" aspectratio="f"/>
            <v:textbox inset="0mm,0mm,0mm,0mm">
              <w:txbxContent>
                <w:p w14:paraId="06C0C758">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7.2</w:t>
                  </w:r>
                </w:p>
              </w:txbxContent>
            </v:textbox>
          </v:shape>
        </w:pict>
      </w:r>
      <w:r>
        <w:pict>
          <v:shape id="_x0000_s1034" o:spid="_x0000_s1034" o:spt="202" type="#_x0000_t202" style="position:absolute;left:0pt;margin-left:61.5pt;margin-top:180.4pt;height:10.15pt;width:12.95pt;mso-position-horizontal-relative:page;mso-position-vertical-relative:page;z-index:251670528;mso-width-relative:page;mso-height-relative:page;" filled="f" stroked="f" coordsize="21600,21600" o:allowincell="f">
            <v:path/>
            <v:fill on="f" focussize="0,0"/>
            <v:stroke on="f"/>
            <v:imagedata o:title=""/>
            <o:lock v:ext="edit" aspectratio="f"/>
            <v:textbox inset="0mm,0mm,0mm,0mm">
              <w:txbxContent>
                <w:p w14:paraId="19D78171">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7.3</w:t>
                  </w:r>
                </w:p>
              </w:txbxContent>
            </v:textbox>
          </v:shape>
        </w:pict>
      </w:r>
      <w:r>
        <w:pict>
          <v:shape id="_x0000_s1035" o:spid="_x0000_s1035" o:spt="202" type="#_x0000_t202" style="position:absolute;left:0pt;margin-left:61.5pt;margin-top:279.4pt;height:10.15pt;width:12.75pt;mso-position-horizontal-relative:page;mso-position-vertical-relative:page;z-index:251674624;mso-width-relative:page;mso-height-relative:page;" filled="f" stroked="f" coordsize="21600,21600" o:allowincell="f">
            <v:path/>
            <v:fill on="f" focussize="0,0"/>
            <v:stroke on="f"/>
            <v:imagedata o:title=""/>
            <o:lock v:ext="edit" aspectratio="f"/>
            <v:textbox inset="0mm,0mm,0mm,0mm">
              <w:txbxContent>
                <w:p w14:paraId="3A0732D1">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8.1</w:t>
                  </w:r>
                </w:p>
              </w:txbxContent>
            </v:textbox>
          </v:shape>
        </w:pict>
      </w:r>
      <w:r>
        <w:pict>
          <v:shape id="_x0000_s1036" o:spid="_x0000_s1036" o:spt="202" type="#_x0000_t202" style="position:absolute;left:0pt;margin-left:61.5pt;margin-top:358.4pt;height:148.6pt;width:12.75pt;mso-position-horizontal-relative:page;mso-position-vertical-relative:page;z-index:251669504;mso-width-relative:page;mso-height-relative:page;" filled="f" stroked="f" coordsize="21600,21600" o:allowincell="f">
            <v:path/>
            <v:fill on="f" focussize="0,0"/>
            <v:stroke on="f"/>
            <v:imagedata o:title=""/>
            <o:lock v:ext="edit" aspectratio="f"/>
            <v:textbox inset="0mm,0mm,0mm,0mm">
              <w:txbxContent>
                <w:p w14:paraId="32217B52">
                  <w:pPr>
                    <w:spacing w:before="20" w:line="356" w:lineRule="auto"/>
                    <w:ind w:left="20" w:right="2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8.2</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4"/>
                      <w:sz w:val="18"/>
                      <w:szCs w:val="18"/>
                    </w:rPr>
                    <w:t>8.3</w:t>
                  </w:r>
                </w:p>
                <w:p w14:paraId="6D50A328">
                  <w:pPr>
                    <w:spacing w:line="285" w:lineRule="auto"/>
                    <w:rPr>
                      <w:rFonts w:ascii="Arial"/>
                      <w:sz w:val="21"/>
                    </w:rPr>
                  </w:pPr>
                </w:p>
                <w:p w14:paraId="5D9D3FD6">
                  <w:pPr>
                    <w:spacing w:line="285" w:lineRule="auto"/>
                    <w:rPr>
                      <w:rFonts w:ascii="Arial"/>
                      <w:sz w:val="21"/>
                    </w:rPr>
                  </w:pPr>
                </w:p>
                <w:p w14:paraId="67C33803">
                  <w:pPr>
                    <w:spacing w:before="52" w:line="345" w:lineRule="auto"/>
                    <w:ind w:left="20" w:right="2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8.4</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4"/>
                      <w:sz w:val="18"/>
                      <w:szCs w:val="18"/>
                    </w:rPr>
                    <w:t>8.5</w:t>
                  </w:r>
                </w:p>
                <w:p w14:paraId="7F36AB3E">
                  <w:pPr>
                    <w:spacing w:line="284" w:lineRule="auto"/>
                    <w:rPr>
                      <w:rFonts w:ascii="Arial"/>
                      <w:sz w:val="21"/>
                    </w:rPr>
                  </w:pPr>
                </w:p>
                <w:p w14:paraId="29003D77">
                  <w:pPr>
                    <w:spacing w:line="284" w:lineRule="auto"/>
                    <w:rPr>
                      <w:rFonts w:ascii="Arial"/>
                      <w:sz w:val="21"/>
                    </w:rPr>
                  </w:pPr>
                </w:p>
                <w:p w14:paraId="69021151">
                  <w:pPr>
                    <w:spacing w:before="52" w:line="285" w:lineRule="auto"/>
                    <w:ind w:left="20" w:right="2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8.6</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4"/>
                      <w:sz w:val="18"/>
                      <w:szCs w:val="18"/>
                    </w:rPr>
                    <w:t>8.7</w:t>
                  </w:r>
                </w:p>
              </w:txbxContent>
            </v:textbox>
          </v:shape>
        </w:pict>
      </w:r>
      <w:r>
        <w:pict>
          <v:shape id="_x0000_s1037" o:spid="_x0000_s1037" o:spt="202" type="#_x0000_t202" style="position:absolute;left:0pt;margin-left:61.5pt;margin-top:544.85pt;height:10.15pt;width:12.9pt;mso-position-horizontal-relative:page;mso-position-vertical-relative:page;z-index:251673600;mso-width-relative:page;mso-height-relative:page;" filled="f" stroked="f" coordsize="21600,21600" o:allowincell="f">
            <v:path/>
            <v:fill on="f" focussize="0,0"/>
            <v:stroke on="f"/>
            <v:imagedata o:title=""/>
            <o:lock v:ext="edit" aspectratio="f"/>
            <v:textbox inset="0mm,0mm,0mm,0mm">
              <w:txbxContent>
                <w:p w14:paraId="747FCF2F">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w:t>
                  </w:r>
                </w:p>
              </w:txbxContent>
            </v:textbox>
          </v:shape>
        </w:pict>
      </w:r>
      <w:r>
        <w:pict>
          <v:shape id="_x0000_s1038" o:spid="_x0000_s1038" o:spt="202" type="#_x0000_t202" style="position:absolute;left:0pt;margin-left:61.5pt;margin-top:590.95pt;height:10.15pt;width:12.9pt;mso-position-horizontal-relative:page;mso-position-vertical-relative:page;z-index:251672576;mso-width-relative:page;mso-height-relative:page;" filled="f" stroked="f" coordsize="21600,21600" o:allowincell="f">
            <v:path/>
            <v:fill on="f" focussize="0,0"/>
            <v:stroke on="f"/>
            <v:imagedata o:title=""/>
            <o:lock v:ext="edit" aspectratio="f"/>
            <v:textbox inset="0mm,0mm,0mm,0mm">
              <w:txbxContent>
                <w:p w14:paraId="220D26D6">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9.2</w:t>
                  </w:r>
                </w:p>
              </w:txbxContent>
            </v:textbox>
          </v:shape>
        </w:pict>
      </w:r>
      <w:bookmarkStart w:id="119" w:name="bookmark118"/>
      <w:bookmarkEnd w:id="119"/>
      <w:r>
        <w:rPr>
          <w:b/>
          <w:bCs/>
          <w:spacing w:val="-17"/>
          <w:sz w:val="18"/>
          <w:szCs w:val="18"/>
        </w:rPr>
        <w:t>目</w:t>
      </w:r>
      <w:r>
        <w:rPr>
          <w:spacing w:val="5"/>
          <w:sz w:val="18"/>
          <w:szCs w:val="18"/>
        </w:rPr>
        <w:t xml:space="preserve">  </w:t>
      </w:r>
      <w:r>
        <w:rPr>
          <w:b/>
          <w:bCs/>
          <w:spacing w:val="-17"/>
          <w:sz w:val="18"/>
          <w:szCs w:val="18"/>
        </w:rPr>
        <w:t>录</w:t>
      </w:r>
      <w:r>
        <w:rPr>
          <w:spacing w:val="-17"/>
          <w:sz w:val="18"/>
          <w:szCs w:val="18"/>
        </w:rPr>
        <w:t xml:space="preserve"> </w:t>
      </w:r>
      <w:r>
        <w:rPr>
          <w:spacing w:val="-16"/>
          <w:sz w:val="18"/>
          <w:szCs w:val="18"/>
        </w:rPr>
        <w:t xml:space="preserve"> </w:t>
      </w:r>
      <w:r>
        <w:rPr>
          <w:position w:val="-8"/>
          <w:sz w:val="18"/>
          <w:szCs w:val="18"/>
        </w:rPr>
        <w:drawing>
          <wp:inline distT="0" distB="0" distL="0" distR="0">
            <wp:extent cx="279400" cy="1962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1"/>
                    <a:stretch>
                      <a:fillRect/>
                    </a:stretch>
                  </pic:blipFill>
                  <pic:spPr>
                    <a:xfrm>
                      <a:off x="0" y="0"/>
                      <a:ext cx="279410" cy="196822"/>
                    </a:xfrm>
                    <a:prstGeom prst="rect">
                      <a:avLst/>
                    </a:prstGeom>
                  </pic:spPr>
                </pic:pic>
              </a:graphicData>
            </a:graphic>
          </wp:inline>
        </w:drawing>
      </w:r>
      <w:r>
        <w:rPr>
          <w:spacing w:val="30"/>
          <w:sz w:val="18"/>
          <w:szCs w:val="18"/>
        </w:rPr>
        <w:t xml:space="preserve"> </w:t>
      </w:r>
      <w:r>
        <w:rPr>
          <w:rFonts w:ascii="Times New Roman" w:hAnsi="Times New Roman" w:eastAsia="Times New Roman" w:cs="Times New Roman"/>
          <w:spacing w:val="-3"/>
          <w:sz w:val="23"/>
          <w:szCs w:val="23"/>
        </w:rPr>
        <w:t>V</w:t>
      </w:r>
    </w:p>
    <w:p w14:paraId="79F20096">
      <w:pPr>
        <w:spacing w:before="105"/>
      </w:pPr>
    </w:p>
    <w:p w14:paraId="41323022">
      <w:pPr>
        <w:sectPr>
          <w:pgSz w:w="10390" w:h="13320"/>
          <w:pgMar w:top="400" w:right="545" w:bottom="400" w:left="1250" w:header="0" w:footer="0" w:gutter="0"/>
          <w:cols w:equalWidth="0" w:num="1">
            <w:col w:w="8595"/>
          </w:cols>
        </w:sectPr>
      </w:pPr>
    </w:p>
    <w:sdt>
      <w:sdtPr>
        <w:rPr>
          <w:rFonts w:ascii="Times New Roman" w:hAnsi="Times New Roman" w:eastAsia="Times New Roman" w:cs="Times New Roman"/>
          <w:sz w:val="18"/>
          <w:szCs w:val="18"/>
        </w:rPr>
        <w:id w:val="147469047"/>
        <w:docPartObj>
          <w:docPartGallery w:val="Table of Contents"/>
          <w:docPartUnique/>
        </w:docPartObj>
      </w:sdtPr>
      <w:sdtEndPr>
        <w:rPr>
          <w:rFonts w:ascii="Times New Roman" w:hAnsi="Times New Roman" w:eastAsia="Times New Roman" w:cs="Times New Roman"/>
          <w:sz w:val="18"/>
          <w:szCs w:val="18"/>
        </w:rPr>
      </w:sdtEndPr>
      <w:sdtContent>
        <w:p w14:paraId="288CA76E">
          <w:pPr>
            <w:pStyle w:val="2"/>
            <w:tabs>
              <w:tab w:val="right" w:leader="dot" w:pos="3927"/>
            </w:tabs>
            <w:spacing w:before="20" w:line="220" w:lineRule="auto"/>
            <w:ind w:left="400"/>
            <w:rPr>
              <w:rFonts w:ascii="Times New Roman" w:hAnsi="Times New Roman" w:eastAsia="Times New Roman" w:cs="Times New Roman"/>
              <w:sz w:val="18"/>
              <w:szCs w:val="18"/>
            </w:rPr>
          </w:pPr>
          <w:bookmarkStart w:id="120" w:name="bookmark119"/>
          <w:bookmarkEnd w:id="120"/>
          <w:r>
            <w:fldChar w:fldCharType="begin"/>
          </w:r>
          <w:r>
            <w:instrText xml:space="preserve"> HYPERLINK \l "bookmark119" </w:instrText>
          </w:r>
          <w:r>
            <w:fldChar w:fldCharType="separate"/>
          </w:r>
          <w:r>
            <w:rPr>
              <w:rFonts w:ascii="Times New Roman" w:hAnsi="Times New Roman" w:eastAsia="Times New Roman" w:cs="Times New Roman"/>
              <w:sz w:val="18"/>
              <w:szCs w:val="18"/>
            </w:rPr>
            <w:t>7.1.2</w:t>
          </w:r>
          <w:r>
            <w:rPr>
              <w:rFonts w:ascii="Times New Roman" w:hAnsi="Times New Roman" w:eastAsia="Times New Roman" w:cs="Times New Roman"/>
              <w:spacing w:val="13"/>
              <w:sz w:val="18"/>
              <w:szCs w:val="18"/>
            </w:rPr>
            <w:t xml:space="preserve">   </w:t>
          </w:r>
          <w:r>
            <w:rPr>
              <w:sz w:val="18"/>
              <w:szCs w:val="18"/>
            </w:rPr>
            <w:t>运行维护的发展历程</w:t>
          </w:r>
          <w:r>
            <w:rPr>
              <w:spacing w:val="-66"/>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5"/>
              <w:sz w:val="18"/>
              <w:szCs w:val="18"/>
            </w:rPr>
            <w:t>192</w:t>
          </w:r>
          <w:r>
            <w:rPr>
              <w:rFonts w:ascii="Times New Roman" w:hAnsi="Times New Roman" w:eastAsia="Times New Roman" w:cs="Times New Roman"/>
              <w:spacing w:val="-5"/>
              <w:sz w:val="18"/>
              <w:szCs w:val="18"/>
            </w:rPr>
            <w:fldChar w:fldCharType="end"/>
          </w:r>
        </w:p>
        <w:p w14:paraId="5394AEFC">
          <w:pPr>
            <w:pStyle w:val="2"/>
            <w:tabs>
              <w:tab w:val="right" w:leader="dot" w:pos="3927"/>
            </w:tabs>
            <w:spacing w:before="85" w:line="219" w:lineRule="auto"/>
            <w:ind w:left="400"/>
            <w:rPr>
              <w:rFonts w:ascii="Times New Roman" w:hAnsi="Times New Roman" w:eastAsia="Times New Roman" w:cs="Times New Roman"/>
              <w:sz w:val="18"/>
              <w:szCs w:val="18"/>
            </w:rPr>
          </w:pPr>
          <w:bookmarkStart w:id="121" w:name="bookmark120"/>
          <w:bookmarkEnd w:id="121"/>
          <w:r>
            <w:fldChar w:fldCharType="begin"/>
          </w:r>
          <w:r>
            <w:instrText xml:space="preserve"> HYPERLINK \l "bookmark120" </w:instrText>
          </w:r>
          <w:r>
            <w:fldChar w:fldCharType="separate"/>
          </w:r>
          <w:r>
            <w:rPr>
              <w:rFonts w:ascii="Times New Roman" w:hAnsi="Times New Roman" w:eastAsia="Times New Roman" w:cs="Times New Roman"/>
              <w:sz w:val="18"/>
              <w:szCs w:val="18"/>
            </w:rPr>
            <w:t xml:space="preserve">7.1.3    </w:t>
          </w:r>
          <w:r>
            <w:rPr>
              <w:sz w:val="18"/>
              <w:szCs w:val="18"/>
            </w:rPr>
            <w:t>运行维护服务发展趋势</w:t>
          </w:r>
          <w:r>
            <w:rPr>
              <w:spacing w:val="-62"/>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5"/>
              <w:sz w:val="18"/>
              <w:szCs w:val="18"/>
            </w:rPr>
            <w:t>194</w:t>
          </w:r>
          <w:r>
            <w:rPr>
              <w:rFonts w:ascii="Times New Roman" w:hAnsi="Times New Roman" w:eastAsia="Times New Roman" w:cs="Times New Roman"/>
              <w:spacing w:val="-5"/>
              <w:sz w:val="18"/>
              <w:szCs w:val="18"/>
            </w:rPr>
            <w:fldChar w:fldCharType="end"/>
          </w:r>
        </w:p>
        <w:p w14:paraId="719BDEE9">
          <w:pPr>
            <w:pStyle w:val="2"/>
            <w:tabs>
              <w:tab w:val="right" w:leader="dot" w:pos="3947"/>
            </w:tabs>
            <w:spacing w:before="116" w:line="219" w:lineRule="auto"/>
            <w:ind w:left="389"/>
            <w:rPr>
              <w:rFonts w:ascii="Times New Roman" w:hAnsi="Times New Roman" w:eastAsia="Times New Roman" w:cs="Times New Roman"/>
              <w:sz w:val="18"/>
              <w:szCs w:val="18"/>
            </w:rPr>
          </w:pPr>
          <w:bookmarkStart w:id="122" w:name="bookmark121"/>
          <w:bookmarkEnd w:id="122"/>
          <w:r>
            <w:fldChar w:fldCharType="begin"/>
          </w:r>
          <w:r>
            <w:instrText xml:space="preserve"> HYPERLINK \l "bookmark121" </w:instrText>
          </w:r>
          <w:r>
            <w:fldChar w:fldCharType="separate"/>
          </w:r>
          <w:r>
            <w:rPr>
              <w:spacing w:val="3"/>
              <w:sz w:val="18"/>
              <w:szCs w:val="18"/>
            </w:rPr>
            <w:t>运行维护服务能力</w:t>
          </w:r>
          <w:r>
            <w:rPr>
              <w:spacing w:val="-75"/>
              <w:sz w:val="18"/>
              <w:szCs w:val="18"/>
            </w:rPr>
            <w:t xml:space="preserve"> </w:t>
          </w:r>
          <w:r>
            <w:rPr>
              <w:sz w:val="18"/>
              <w:szCs w:val="18"/>
            </w:rPr>
            <w:tab/>
          </w:r>
          <w:r>
            <w:rPr>
              <w:spacing w:val="-40"/>
              <w:sz w:val="18"/>
              <w:szCs w:val="18"/>
            </w:rPr>
            <w:t xml:space="preserve"> </w:t>
          </w:r>
          <w:r>
            <w:rPr>
              <w:rFonts w:ascii="Times New Roman" w:hAnsi="Times New Roman" w:eastAsia="Times New Roman" w:cs="Times New Roman"/>
              <w:spacing w:val="-5"/>
              <w:sz w:val="18"/>
              <w:szCs w:val="18"/>
            </w:rPr>
            <w:t>195</w:t>
          </w:r>
          <w:r>
            <w:rPr>
              <w:rFonts w:ascii="Times New Roman" w:hAnsi="Times New Roman" w:eastAsia="Times New Roman" w:cs="Times New Roman"/>
              <w:spacing w:val="-5"/>
              <w:sz w:val="18"/>
              <w:szCs w:val="18"/>
            </w:rPr>
            <w:fldChar w:fldCharType="end"/>
          </w:r>
        </w:p>
        <w:p w14:paraId="73E237C4">
          <w:pPr>
            <w:pStyle w:val="2"/>
            <w:tabs>
              <w:tab w:val="right" w:leader="dot" w:pos="3937"/>
            </w:tabs>
            <w:spacing w:before="106" w:line="219" w:lineRule="auto"/>
            <w:ind w:left="400"/>
            <w:rPr>
              <w:rFonts w:ascii="Times New Roman" w:hAnsi="Times New Roman" w:eastAsia="Times New Roman" w:cs="Times New Roman"/>
              <w:sz w:val="18"/>
              <w:szCs w:val="18"/>
            </w:rPr>
          </w:pPr>
          <w:bookmarkStart w:id="123" w:name="bookmark122"/>
          <w:bookmarkEnd w:id="123"/>
          <w:r>
            <w:fldChar w:fldCharType="begin"/>
          </w:r>
          <w:r>
            <w:instrText xml:space="preserve"> HYPERLINK \l "bookmark122" </w:instrText>
          </w:r>
          <w:r>
            <w:fldChar w:fldCharType="separate"/>
          </w:r>
          <w:r>
            <w:rPr>
              <w:rFonts w:ascii="Times New Roman" w:hAnsi="Times New Roman" w:eastAsia="Times New Roman" w:cs="Times New Roman"/>
              <w:spacing w:val="-1"/>
              <w:sz w:val="18"/>
              <w:szCs w:val="18"/>
            </w:rPr>
            <w:t>7.2.1</w:t>
          </w:r>
          <w:r>
            <w:rPr>
              <w:rFonts w:ascii="Times New Roman" w:hAnsi="Times New Roman" w:eastAsia="Times New Roman" w:cs="Times New Roman"/>
              <w:spacing w:val="13"/>
              <w:w w:val="102"/>
              <w:sz w:val="18"/>
              <w:szCs w:val="18"/>
            </w:rPr>
            <w:t xml:space="preserve">   </w:t>
          </w:r>
          <w:r>
            <w:rPr>
              <w:spacing w:val="-1"/>
              <w:sz w:val="18"/>
              <w:szCs w:val="18"/>
            </w:rPr>
            <w:t>运行维护服务能力模型</w:t>
          </w:r>
          <w:r>
            <w:rPr>
              <w:spacing w:val="-53"/>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5"/>
              <w:sz w:val="18"/>
              <w:szCs w:val="18"/>
            </w:rPr>
            <w:t>195</w:t>
          </w:r>
          <w:r>
            <w:rPr>
              <w:rFonts w:ascii="Times New Roman" w:hAnsi="Times New Roman" w:eastAsia="Times New Roman" w:cs="Times New Roman"/>
              <w:spacing w:val="-5"/>
              <w:sz w:val="18"/>
              <w:szCs w:val="18"/>
            </w:rPr>
            <w:fldChar w:fldCharType="end"/>
          </w:r>
        </w:p>
        <w:p w14:paraId="3A8B3727">
          <w:pPr>
            <w:pStyle w:val="2"/>
            <w:tabs>
              <w:tab w:val="right" w:leader="dot" w:pos="3787"/>
            </w:tabs>
            <w:spacing w:before="107" w:line="219" w:lineRule="auto"/>
            <w:ind w:left="400"/>
            <w:rPr>
              <w:rFonts w:ascii="Times New Roman" w:hAnsi="Times New Roman" w:eastAsia="Times New Roman" w:cs="Times New Roman"/>
              <w:sz w:val="18"/>
              <w:szCs w:val="18"/>
            </w:rPr>
          </w:pPr>
          <w:bookmarkStart w:id="124" w:name="bookmark123"/>
          <w:bookmarkEnd w:id="124"/>
          <w:r>
            <w:fldChar w:fldCharType="begin"/>
          </w:r>
          <w:r>
            <w:instrText xml:space="preserve"> HYPERLINK \l "bookmark123" </w:instrText>
          </w:r>
          <w:r>
            <w:fldChar w:fldCharType="separate"/>
          </w:r>
          <w:r>
            <w:rPr>
              <w:rFonts w:ascii="Times New Roman" w:hAnsi="Times New Roman" w:eastAsia="Times New Roman" w:cs="Times New Roman"/>
              <w:sz w:val="18"/>
              <w:szCs w:val="18"/>
            </w:rPr>
            <w:t>7.2.2</w:t>
          </w:r>
          <w:r>
            <w:rPr>
              <w:rFonts w:ascii="Times New Roman" w:hAnsi="Times New Roman" w:eastAsia="Times New Roman" w:cs="Times New Roman"/>
              <w:spacing w:val="13"/>
              <w:sz w:val="18"/>
              <w:szCs w:val="18"/>
            </w:rPr>
            <w:t xml:space="preserve">   </w:t>
          </w:r>
          <w:r>
            <w:rPr>
              <w:sz w:val="18"/>
              <w:szCs w:val="18"/>
            </w:rPr>
            <w:t>运维服务级别管理</w:t>
          </w:r>
          <w:r>
            <w:rPr>
              <w:spacing w:val="-66"/>
              <w:sz w:val="18"/>
              <w:szCs w:val="18"/>
            </w:rPr>
            <w:t xml:space="preserve"> </w:t>
          </w:r>
          <w:r>
            <w:rPr>
              <w:sz w:val="18"/>
              <w:szCs w:val="18"/>
            </w:rPr>
            <w:tab/>
          </w:r>
          <w:r>
            <w:rPr>
              <w:spacing w:val="-10"/>
              <w:sz w:val="18"/>
              <w:szCs w:val="18"/>
            </w:rPr>
            <w:t xml:space="preserve"> </w:t>
          </w:r>
          <w:r>
            <w:rPr>
              <w:rFonts w:ascii="Times New Roman" w:hAnsi="Times New Roman" w:eastAsia="Times New Roman" w:cs="Times New Roman"/>
              <w:spacing w:val="-5"/>
              <w:sz w:val="18"/>
              <w:szCs w:val="18"/>
            </w:rPr>
            <w:t>197</w:t>
          </w:r>
          <w:r>
            <w:rPr>
              <w:rFonts w:ascii="Times New Roman" w:hAnsi="Times New Roman" w:eastAsia="Times New Roman" w:cs="Times New Roman"/>
              <w:spacing w:val="-5"/>
              <w:sz w:val="18"/>
              <w:szCs w:val="18"/>
            </w:rPr>
            <w:fldChar w:fldCharType="end"/>
          </w:r>
        </w:p>
        <w:p w14:paraId="76F51ABA">
          <w:pPr>
            <w:pStyle w:val="2"/>
            <w:tabs>
              <w:tab w:val="right" w:leader="dot" w:pos="3947"/>
            </w:tabs>
            <w:spacing w:before="97" w:line="221" w:lineRule="auto"/>
            <w:ind w:left="400"/>
            <w:rPr>
              <w:rFonts w:ascii="Times New Roman" w:hAnsi="Times New Roman" w:eastAsia="Times New Roman" w:cs="Times New Roman"/>
              <w:sz w:val="18"/>
              <w:szCs w:val="18"/>
            </w:rPr>
          </w:pPr>
          <w:bookmarkStart w:id="125" w:name="bookmark124"/>
          <w:bookmarkEnd w:id="125"/>
          <w:r>
            <w:fldChar w:fldCharType="begin"/>
          </w:r>
          <w:r>
            <w:instrText xml:space="preserve"> HYPERLINK \l "bookmark124" </w:instrText>
          </w:r>
          <w:r>
            <w:fldChar w:fldCharType="separate"/>
          </w:r>
          <w:r>
            <w:rPr>
              <w:rFonts w:ascii="Times New Roman" w:hAnsi="Times New Roman" w:eastAsia="Times New Roman" w:cs="Times New Roman"/>
              <w:spacing w:val="-5"/>
              <w:sz w:val="18"/>
              <w:szCs w:val="18"/>
            </w:rPr>
            <w:t>7.2.3</w:t>
          </w:r>
          <w:r>
            <w:rPr>
              <w:rFonts w:ascii="Times New Roman" w:hAnsi="Times New Roman" w:eastAsia="Times New Roman" w:cs="Times New Roman"/>
              <w:spacing w:val="12"/>
              <w:sz w:val="18"/>
              <w:szCs w:val="18"/>
            </w:rPr>
            <w:t xml:space="preserve">   </w:t>
          </w:r>
          <w:r>
            <w:rPr>
              <w:spacing w:val="-5"/>
              <w:sz w:val="18"/>
              <w:szCs w:val="18"/>
            </w:rPr>
            <w:t>人</w:t>
          </w:r>
          <w:r>
            <w:rPr>
              <w:spacing w:val="-33"/>
              <w:sz w:val="18"/>
              <w:szCs w:val="18"/>
            </w:rPr>
            <w:t xml:space="preserve"> </w:t>
          </w:r>
          <w:r>
            <w:rPr>
              <w:spacing w:val="-5"/>
              <w:sz w:val="18"/>
              <w:szCs w:val="18"/>
            </w:rPr>
            <w:t>员</w:t>
          </w:r>
          <w:r>
            <w:rPr>
              <w:sz w:val="18"/>
              <w:szCs w:val="18"/>
            </w:rPr>
            <w:tab/>
          </w:r>
          <w:r>
            <w:rPr>
              <w:spacing w:val="-30"/>
              <w:sz w:val="18"/>
              <w:szCs w:val="18"/>
            </w:rPr>
            <w:t xml:space="preserve"> </w:t>
          </w:r>
          <w:r>
            <w:rPr>
              <w:rFonts w:ascii="Times New Roman" w:hAnsi="Times New Roman" w:eastAsia="Times New Roman" w:cs="Times New Roman"/>
              <w:spacing w:val="-5"/>
              <w:sz w:val="18"/>
              <w:szCs w:val="18"/>
            </w:rPr>
            <w:t>198</w:t>
          </w:r>
          <w:r>
            <w:rPr>
              <w:rFonts w:ascii="Times New Roman" w:hAnsi="Times New Roman" w:eastAsia="Times New Roman" w:cs="Times New Roman"/>
              <w:spacing w:val="-5"/>
              <w:sz w:val="18"/>
              <w:szCs w:val="18"/>
            </w:rPr>
            <w:fldChar w:fldCharType="end"/>
          </w:r>
        </w:p>
        <w:p w14:paraId="7F6312E3">
          <w:pPr>
            <w:pStyle w:val="2"/>
            <w:tabs>
              <w:tab w:val="right" w:leader="dot" w:pos="3936"/>
            </w:tabs>
            <w:spacing w:before="94" w:line="219" w:lineRule="auto"/>
            <w:ind w:left="400"/>
            <w:rPr>
              <w:rFonts w:ascii="Times New Roman" w:hAnsi="Times New Roman" w:eastAsia="Times New Roman" w:cs="Times New Roman"/>
              <w:sz w:val="18"/>
              <w:szCs w:val="18"/>
            </w:rPr>
          </w:pPr>
          <w:bookmarkStart w:id="126" w:name="bookmark125"/>
          <w:bookmarkEnd w:id="126"/>
          <w:r>
            <w:fldChar w:fldCharType="begin"/>
          </w:r>
          <w:r>
            <w:instrText xml:space="preserve"> HYPERLINK \l "bookmark125" </w:instrText>
          </w:r>
          <w:r>
            <w:fldChar w:fldCharType="separate"/>
          </w:r>
          <w:r>
            <w:rPr>
              <w:rFonts w:ascii="Times New Roman" w:hAnsi="Times New Roman" w:eastAsia="Times New Roman" w:cs="Times New Roman"/>
              <w:spacing w:val="1"/>
              <w:sz w:val="18"/>
              <w:szCs w:val="18"/>
            </w:rPr>
            <w:t>7.2.4</w:t>
          </w:r>
          <w:r>
            <w:rPr>
              <w:rFonts w:ascii="Times New Roman" w:hAnsi="Times New Roman" w:eastAsia="Times New Roman" w:cs="Times New Roman"/>
              <w:spacing w:val="15"/>
              <w:sz w:val="18"/>
              <w:szCs w:val="18"/>
            </w:rPr>
            <w:t xml:space="preserve">   </w:t>
          </w:r>
          <w:r>
            <w:rPr>
              <w:spacing w:val="1"/>
              <w:sz w:val="18"/>
              <w:szCs w:val="18"/>
            </w:rPr>
            <w:t>技术</w:t>
          </w:r>
          <w:r>
            <w:rPr>
              <w:spacing w:val="-68"/>
              <w:sz w:val="18"/>
              <w:szCs w:val="18"/>
            </w:rPr>
            <w:t xml:space="preserve"> </w:t>
          </w:r>
          <w:r>
            <w:rPr>
              <w:sz w:val="18"/>
              <w:szCs w:val="18"/>
            </w:rPr>
            <w:tab/>
          </w:r>
          <w:r>
            <w:rPr>
              <w:rFonts w:ascii="Times New Roman" w:hAnsi="Times New Roman" w:eastAsia="Times New Roman" w:cs="Times New Roman"/>
              <w:spacing w:val="5"/>
              <w:sz w:val="18"/>
              <w:szCs w:val="18"/>
            </w:rPr>
            <w:t>200</w:t>
          </w:r>
          <w:r>
            <w:rPr>
              <w:rFonts w:ascii="Times New Roman" w:hAnsi="Times New Roman" w:eastAsia="Times New Roman" w:cs="Times New Roman"/>
              <w:spacing w:val="5"/>
              <w:sz w:val="18"/>
              <w:szCs w:val="18"/>
            </w:rPr>
            <w:fldChar w:fldCharType="end"/>
          </w:r>
        </w:p>
        <w:p w14:paraId="513474CE">
          <w:pPr>
            <w:pStyle w:val="2"/>
            <w:tabs>
              <w:tab w:val="right" w:leader="dot" w:pos="3956"/>
            </w:tabs>
            <w:spacing w:before="97" w:line="221" w:lineRule="auto"/>
            <w:ind w:left="400"/>
            <w:rPr>
              <w:rFonts w:ascii="Times New Roman" w:hAnsi="Times New Roman" w:eastAsia="Times New Roman" w:cs="Times New Roman"/>
              <w:sz w:val="18"/>
              <w:szCs w:val="18"/>
            </w:rPr>
          </w:pPr>
          <w:bookmarkStart w:id="127" w:name="bookmark126"/>
          <w:bookmarkEnd w:id="127"/>
          <w:r>
            <w:fldChar w:fldCharType="begin"/>
          </w:r>
          <w:r>
            <w:instrText xml:space="preserve"> HYPERLINK \l "bookmark126" </w:instrText>
          </w:r>
          <w:r>
            <w:fldChar w:fldCharType="separate"/>
          </w:r>
          <w:r>
            <w:rPr>
              <w:rFonts w:ascii="Times New Roman" w:hAnsi="Times New Roman" w:eastAsia="Times New Roman" w:cs="Times New Roman"/>
              <w:sz w:val="18"/>
              <w:szCs w:val="18"/>
            </w:rPr>
            <w:t>7.2.5</w:t>
          </w:r>
          <w:r>
            <w:rPr>
              <w:rFonts w:ascii="Times New Roman" w:hAnsi="Times New Roman" w:eastAsia="Times New Roman" w:cs="Times New Roman"/>
              <w:spacing w:val="4"/>
              <w:sz w:val="18"/>
              <w:szCs w:val="18"/>
            </w:rPr>
            <w:t xml:space="preserve">    </w:t>
          </w:r>
          <w:r>
            <w:rPr>
              <w:sz w:val="18"/>
              <w:szCs w:val="18"/>
            </w:rPr>
            <w:t>资源</w:t>
          </w:r>
          <w:r>
            <w:rPr>
              <w:spacing w:val="-68"/>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pacing w:val="-1"/>
              <w:sz w:val="18"/>
              <w:szCs w:val="18"/>
            </w:rPr>
            <w:t>201</w:t>
          </w:r>
          <w:r>
            <w:rPr>
              <w:rFonts w:ascii="Times New Roman" w:hAnsi="Times New Roman" w:eastAsia="Times New Roman" w:cs="Times New Roman"/>
              <w:spacing w:val="-1"/>
              <w:sz w:val="18"/>
              <w:szCs w:val="18"/>
            </w:rPr>
            <w:fldChar w:fldCharType="end"/>
          </w:r>
        </w:p>
        <w:p w14:paraId="0E90DE8A">
          <w:pPr>
            <w:pStyle w:val="2"/>
            <w:tabs>
              <w:tab w:val="right" w:leader="dot" w:pos="3946"/>
            </w:tabs>
            <w:spacing w:before="103" w:line="219" w:lineRule="auto"/>
            <w:ind w:left="400"/>
            <w:rPr>
              <w:rFonts w:ascii="Times New Roman" w:hAnsi="Times New Roman" w:eastAsia="Times New Roman" w:cs="Times New Roman"/>
              <w:sz w:val="18"/>
              <w:szCs w:val="18"/>
            </w:rPr>
          </w:pPr>
          <w:bookmarkStart w:id="128" w:name="bookmark127"/>
          <w:bookmarkEnd w:id="128"/>
          <w:r>
            <w:fldChar w:fldCharType="begin"/>
          </w:r>
          <w:r>
            <w:instrText xml:space="preserve"> HYPERLINK \l "bookmark127" </w:instrText>
          </w:r>
          <w:r>
            <w:fldChar w:fldCharType="separate"/>
          </w:r>
          <w:r>
            <w:rPr>
              <w:spacing w:val="1"/>
              <w:sz w:val="18"/>
              <w:szCs w:val="18"/>
            </w:rPr>
            <w:t>运行维护服务交付过程</w:t>
          </w:r>
          <w:r>
            <w:rPr>
              <w:spacing w:val="-62"/>
              <w:sz w:val="18"/>
              <w:szCs w:val="18"/>
            </w:rPr>
            <w:t xml:space="preserve"> </w:t>
          </w:r>
          <w:r>
            <w:rPr>
              <w:sz w:val="18"/>
              <w:szCs w:val="18"/>
            </w:rPr>
            <w:tab/>
          </w:r>
          <w:r>
            <w:rPr>
              <w:rFonts w:ascii="Times New Roman" w:hAnsi="Times New Roman" w:eastAsia="Times New Roman" w:cs="Times New Roman"/>
              <w:spacing w:val="5"/>
              <w:sz w:val="18"/>
              <w:szCs w:val="18"/>
            </w:rPr>
            <w:t>203</w:t>
          </w:r>
          <w:r>
            <w:rPr>
              <w:rFonts w:ascii="Times New Roman" w:hAnsi="Times New Roman" w:eastAsia="Times New Roman" w:cs="Times New Roman"/>
              <w:spacing w:val="5"/>
              <w:sz w:val="18"/>
              <w:szCs w:val="18"/>
            </w:rPr>
            <w:fldChar w:fldCharType="end"/>
          </w:r>
        </w:p>
        <w:p w14:paraId="27C2ECAB">
          <w:pPr>
            <w:pStyle w:val="2"/>
            <w:tabs>
              <w:tab w:val="right" w:leader="dot" w:pos="3946"/>
            </w:tabs>
            <w:spacing w:before="97" w:line="184" w:lineRule="auto"/>
            <w:ind w:left="400"/>
            <w:rPr>
              <w:rFonts w:ascii="Times New Roman" w:hAnsi="Times New Roman" w:eastAsia="Times New Roman" w:cs="Times New Roman"/>
              <w:sz w:val="18"/>
              <w:szCs w:val="18"/>
            </w:rPr>
          </w:pPr>
          <w:bookmarkStart w:id="129" w:name="bookmark128"/>
          <w:bookmarkEnd w:id="129"/>
          <w:r>
            <w:fldChar w:fldCharType="begin"/>
          </w:r>
          <w:r>
            <w:instrText xml:space="preserve"> HYPERLINK \l "bookmark128" </w:instrText>
          </w:r>
          <w:r>
            <w:fldChar w:fldCharType="separate"/>
          </w:r>
          <w:r>
            <w:rPr>
              <w:rFonts w:ascii="Times New Roman" w:hAnsi="Times New Roman" w:eastAsia="Times New Roman" w:cs="Times New Roman"/>
              <w:sz w:val="18"/>
              <w:szCs w:val="18"/>
            </w:rPr>
            <w:t xml:space="preserve">7.3.1    </w:t>
          </w:r>
          <w:r>
            <w:rPr>
              <w:sz w:val="18"/>
              <w:szCs w:val="18"/>
            </w:rPr>
            <w:t>运维服务需求识别</w:t>
          </w:r>
          <w:r>
            <w:rPr>
              <w:spacing w:val="-62"/>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1"/>
              <w:sz w:val="18"/>
              <w:szCs w:val="18"/>
            </w:rPr>
            <w:t>203</w:t>
          </w:r>
          <w:r>
            <w:rPr>
              <w:rFonts w:ascii="Times New Roman" w:hAnsi="Times New Roman" w:eastAsia="Times New Roman" w:cs="Times New Roman"/>
              <w:spacing w:val="-1"/>
              <w:sz w:val="18"/>
              <w:szCs w:val="18"/>
            </w:rPr>
            <w:fldChar w:fldCharType="end"/>
          </w:r>
        </w:p>
      </w:sdtContent>
    </w:sdt>
    <w:p w14:paraId="04374A61">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8"/>
          <w:szCs w:val="18"/>
        </w:rPr>
        <w:id w:val="147481830"/>
        <w:docPartObj>
          <w:docPartGallery w:val="Table of Contents"/>
          <w:docPartUnique/>
        </w:docPartObj>
      </w:sdtPr>
      <w:sdtEndPr>
        <w:rPr>
          <w:rFonts w:ascii="Times New Roman" w:hAnsi="Times New Roman" w:eastAsia="Times New Roman" w:cs="Times New Roman"/>
          <w:sz w:val="18"/>
          <w:szCs w:val="18"/>
        </w:rPr>
      </w:sdtEndPr>
      <w:sdtContent>
        <w:p w14:paraId="53006C72">
          <w:pPr>
            <w:pStyle w:val="2"/>
            <w:tabs>
              <w:tab w:val="right" w:leader="dot" w:pos="3946"/>
            </w:tabs>
            <w:spacing w:line="217" w:lineRule="auto"/>
            <w:ind w:left="390"/>
            <w:rPr>
              <w:rFonts w:ascii="Times New Roman" w:hAnsi="Times New Roman" w:eastAsia="Times New Roman" w:cs="Times New Roman"/>
              <w:sz w:val="18"/>
              <w:szCs w:val="18"/>
            </w:rPr>
          </w:pPr>
          <w:bookmarkStart w:id="130" w:name="bookmark129"/>
          <w:bookmarkEnd w:id="130"/>
          <w:r>
            <w:fldChar w:fldCharType="begin"/>
          </w:r>
          <w:r>
            <w:instrText xml:space="preserve"> HYPERLINK \l "bookmark129" </w:instrText>
          </w:r>
          <w:r>
            <w:fldChar w:fldCharType="separate"/>
          </w:r>
          <w:r>
            <w:rPr>
              <w:rFonts w:ascii="Times New Roman" w:hAnsi="Times New Roman" w:eastAsia="Times New Roman" w:cs="Times New Roman"/>
              <w:spacing w:val="-1"/>
              <w:sz w:val="18"/>
              <w:szCs w:val="18"/>
            </w:rPr>
            <w:t xml:space="preserve">7.3.2    </w:t>
          </w:r>
          <w:r>
            <w:rPr>
              <w:spacing w:val="-1"/>
              <w:sz w:val="18"/>
              <w:szCs w:val="18"/>
            </w:rPr>
            <w:t>运维服务交付内容</w:t>
          </w:r>
          <w:r>
            <w:rPr>
              <w:spacing w:val="-55"/>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1"/>
              <w:sz w:val="18"/>
              <w:szCs w:val="18"/>
            </w:rPr>
            <w:t>203</w:t>
          </w:r>
          <w:r>
            <w:rPr>
              <w:rFonts w:ascii="Times New Roman" w:hAnsi="Times New Roman" w:eastAsia="Times New Roman" w:cs="Times New Roman"/>
              <w:spacing w:val="-1"/>
              <w:sz w:val="18"/>
              <w:szCs w:val="18"/>
            </w:rPr>
            <w:fldChar w:fldCharType="end"/>
          </w:r>
        </w:p>
        <w:p w14:paraId="720980D3">
          <w:pPr>
            <w:pStyle w:val="2"/>
            <w:tabs>
              <w:tab w:val="right" w:leader="dot" w:pos="3806"/>
            </w:tabs>
            <w:spacing w:before="116" w:line="219" w:lineRule="auto"/>
            <w:ind w:left="390"/>
            <w:rPr>
              <w:rFonts w:ascii="Times New Roman" w:hAnsi="Times New Roman" w:eastAsia="Times New Roman" w:cs="Times New Roman"/>
              <w:sz w:val="18"/>
              <w:szCs w:val="18"/>
            </w:rPr>
          </w:pPr>
          <w:bookmarkStart w:id="131" w:name="bookmark130"/>
          <w:bookmarkEnd w:id="131"/>
          <w:r>
            <w:fldChar w:fldCharType="begin"/>
          </w:r>
          <w:r>
            <w:instrText xml:space="preserve"> HYPERLINK \l "bookmark130" </w:instrText>
          </w:r>
          <w:r>
            <w:fldChar w:fldCharType="separate"/>
          </w:r>
          <w:r>
            <w:rPr>
              <w:rFonts w:ascii="Times New Roman" w:hAnsi="Times New Roman" w:eastAsia="Times New Roman" w:cs="Times New Roman"/>
              <w:spacing w:val="-1"/>
              <w:sz w:val="18"/>
              <w:szCs w:val="18"/>
            </w:rPr>
            <w:t xml:space="preserve">7.3.3    </w:t>
          </w:r>
          <w:r>
            <w:rPr>
              <w:spacing w:val="-1"/>
              <w:sz w:val="18"/>
              <w:szCs w:val="18"/>
            </w:rPr>
            <w:t>运维服务交付方式</w:t>
          </w:r>
          <w:r>
            <w:rPr>
              <w:spacing w:val="-45"/>
              <w:sz w:val="18"/>
              <w:szCs w:val="18"/>
            </w:rPr>
            <w:t xml:space="preserve"> </w:t>
          </w:r>
          <w:r>
            <w:rPr>
              <w:sz w:val="18"/>
              <w:szCs w:val="18"/>
            </w:rPr>
            <w:tab/>
          </w:r>
          <w:r>
            <w:rPr>
              <w:spacing w:val="-10"/>
              <w:sz w:val="18"/>
              <w:szCs w:val="18"/>
            </w:rPr>
            <w:t xml:space="preserve"> </w:t>
          </w:r>
          <w:r>
            <w:rPr>
              <w:rFonts w:ascii="Times New Roman" w:hAnsi="Times New Roman" w:eastAsia="Times New Roman" w:cs="Times New Roman"/>
              <w:spacing w:val="-1"/>
              <w:sz w:val="18"/>
              <w:szCs w:val="18"/>
            </w:rPr>
            <w:t>204</w:t>
          </w:r>
          <w:r>
            <w:rPr>
              <w:rFonts w:ascii="Times New Roman" w:hAnsi="Times New Roman" w:eastAsia="Times New Roman" w:cs="Times New Roman"/>
              <w:spacing w:val="-1"/>
              <w:sz w:val="18"/>
              <w:szCs w:val="18"/>
            </w:rPr>
            <w:fldChar w:fldCharType="end"/>
          </w:r>
        </w:p>
        <w:p w14:paraId="6A3DA663">
          <w:pPr>
            <w:pStyle w:val="2"/>
            <w:tabs>
              <w:tab w:val="right" w:leader="dot" w:pos="3946"/>
            </w:tabs>
            <w:spacing w:before="106" w:line="219" w:lineRule="auto"/>
            <w:rPr>
              <w:rFonts w:ascii="Times New Roman" w:hAnsi="Times New Roman" w:eastAsia="Times New Roman" w:cs="Times New Roman"/>
              <w:sz w:val="18"/>
              <w:szCs w:val="18"/>
            </w:rPr>
          </w:pPr>
          <w:bookmarkStart w:id="132" w:name="bookmark131"/>
          <w:bookmarkEnd w:id="132"/>
          <w:r>
            <w:fldChar w:fldCharType="begin"/>
          </w:r>
          <w:r>
            <w:instrText xml:space="preserve"> HYPERLINK \l "bookmark131" </w:instrText>
          </w:r>
          <w:r>
            <w:fldChar w:fldCharType="separate"/>
          </w:r>
          <w:r>
            <w:rPr>
              <w:rFonts w:ascii="Times New Roman" w:hAnsi="Times New Roman" w:eastAsia="Times New Roman" w:cs="Times New Roman"/>
              <w:spacing w:val="-2"/>
              <w:sz w:val="18"/>
              <w:szCs w:val="18"/>
            </w:rPr>
            <w:t>7.4</w:t>
          </w:r>
          <w:r>
            <w:rPr>
              <w:rFonts w:ascii="Times New Roman" w:hAnsi="Times New Roman" w:eastAsia="Times New Roman" w:cs="Times New Roman"/>
              <w:spacing w:val="14"/>
              <w:w w:val="101"/>
              <w:sz w:val="18"/>
              <w:szCs w:val="18"/>
            </w:rPr>
            <w:t xml:space="preserve">   </w:t>
          </w:r>
          <w:r>
            <w:rPr>
              <w:spacing w:val="-2"/>
              <w:sz w:val="18"/>
              <w:szCs w:val="18"/>
            </w:rPr>
            <w:t>运行维护应急管理</w:t>
          </w:r>
          <w:r>
            <w:rPr>
              <w:spacing w:val="-63"/>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1"/>
              <w:sz w:val="18"/>
              <w:szCs w:val="18"/>
            </w:rPr>
            <w:t>206</w:t>
          </w:r>
          <w:r>
            <w:rPr>
              <w:rFonts w:ascii="Times New Roman" w:hAnsi="Times New Roman" w:eastAsia="Times New Roman" w:cs="Times New Roman"/>
              <w:spacing w:val="-1"/>
              <w:sz w:val="18"/>
              <w:szCs w:val="18"/>
            </w:rPr>
            <w:fldChar w:fldCharType="end"/>
          </w:r>
        </w:p>
        <w:p w14:paraId="36569FAA">
          <w:pPr>
            <w:pStyle w:val="2"/>
            <w:tabs>
              <w:tab w:val="right" w:leader="dot" w:pos="3946"/>
            </w:tabs>
            <w:spacing w:before="87" w:line="219" w:lineRule="auto"/>
            <w:ind w:left="390"/>
            <w:rPr>
              <w:rFonts w:ascii="Times New Roman" w:hAnsi="Times New Roman" w:eastAsia="Times New Roman" w:cs="Times New Roman"/>
              <w:sz w:val="18"/>
              <w:szCs w:val="18"/>
            </w:rPr>
          </w:pPr>
          <w:bookmarkStart w:id="133" w:name="bookmark132"/>
          <w:bookmarkEnd w:id="133"/>
          <w:r>
            <w:fldChar w:fldCharType="begin"/>
          </w:r>
          <w:r>
            <w:instrText xml:space="preserve"> HYPERLINK \l "bookmark132" </w:instrText>
          </w:r>
          <w:r>
            <w:fldChar w:fldCharType="separate"/>
          </w:r>
          <w:r>
            <w:rPr>
              <w:rFonts w:ascii="Times New Roman" w:hAnsi="Times New Roman" w:eastAsia="Times New Roman" w:cs="Times New Roman"/>
              <w:spacing w:val="-1"/>
              <w:sz w:val="18"/>
              <w:szCs w:val="18"/>
            </w:rPr>
            <w:t xml:space="preserve">7.4.1    </w:t>
          </w:r>
          <w:r>
            <w:rPr>
              <w:spacing w:val="-1"/>
              <w:sz w:val="18"/>
              <w:szCs w:val="18"/>
            </w:rPr>
            <w:t>建立应急管理制度</w:t>
          </w:r>
          <w:r>
            <w:rPr>
              <w:spacing w:val="-55"/>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1"/>
              <w:sz w:val="18"/>
              <w:szCs w:val="18"/>
            </w:rPr>
            <w:t>206</w:t>
          </w:r>
          <w:r>
            <w:rPr>
              <w:rFonts w:ascii="Times New Roman" w:hAnsi="Times New Roman" w:eastAsia="Times New Roman" w:cs="Times New Roman"/>
              <w:spacing w:val="-1"/>
              <w:sz w:val="18"/>
              <w:szCs w:val="18"/>
            </w:rPr>
            <w:fldChar w:fldCharType="end"/>
          </w:r>
        </w:p>
        <w:p w14:paraId="36F603DC">
          <w:pPr>
            <w:pStyle w:val="2"/>
            <w:tabs>
              <w:tab w:val="right" w:leader="dot" w:pos="3946"/>
            </w:tabs>
            <w:spacing w:before="108" w:line="221" w:lineRule="auto"/>
            <w:ind w:left="390"/>
            <w:rPr>
              <w:rFonts w:ascii="Times New Roman" w:hAnsi="Times New Roman" w:eastAsia="Times New Roman" w:cs="Times New Roman"/>
              <w:sz w:val="18"/>
              <w:szCs w:val="18"/>
            </w:rPr>
          </w:pPr>
          <w:bookmarkStart w:id="134" w:name="bookmark133"/>
          <w:bookmarkEnd w:id="134"/>
          <w:r>
            <w:fldChar w:fldCharType="begin"/>
          </w:r>
          <w:r>
            <w:instrText xml:space="preserve"> HYPERLINK \l "bookmark133" </w:instrText>
          </w:r>
          <w:r>
            <w:fldChar w:fldCharType="separate"/>
          </w:r>
          <w:r>
            <w:rPr>
              <w:rFonts w:ascii="Times New Roman" w:hAnsi="Times New Roman" w:eastAsia="Times New Roman" w:cs="Times New Roman"/>
              <w:spacing w:val="1"/>
              <w:sz w:val="18"/>
              <w:szCs w:val="18"/>
            </w:rPr>
            <w:t xml:space="preserve">7.4.2    </w:t>
          </w:r>
          <w:r>
            <w:rPr>
              <w:spacing w:val="1"/>
              <w:sz w:val="18"/>
              <w:szCs w:val="18"/>
            </w:rPr>
            <w:t>规范应急响应组织</w:t>
          </w:r>
          <w:r>
            <w:rPr>
              <w:spacing w:val="-68"/>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pacing w:val="-1"/>
              <w:sz w:val="18"/>
              <w:szCs w:val="18"/>
            </w:rPr>
            <w:t>206</w:t>
          </w:r>
          <w:r>
            <w:rPr>
              <w:rFonts w:ascii="Times New Roman" w:hAnsi="Times New Roman" w:eastAsia="Times New Roman" w:cs="Times New Roman"/>
              <w:spacing w:val="-1"/>
              <w:sz w:val="18"/>
              <w:szCs w:val="18"/>
            </w:rPr>
            <w:fldChar w:fldCharType="end"/>
          </w:r>
        </w:p>
        <w:p w14:paraId="220AC851">
          <w:pPr>
            <w:pStyle w:val="2"/>
            <w:tabs>
              <w:tab w:val="right" w:leader="dot" w:pos="3956"/>
            </w:tabs>
            <w:spacing w:before="113" w:line="220" w:lineRule="auto"/>
            <w:ind w:left="390"/>
            <w:rPr>
              <w:rFonts w:ascii="Times New Roman" w:hAnsi="Times New Roman" w:eastAsia="Times New Roman" w:cs="Times New Roman"/>
              <w:sz w:val="18"/>
              <w:szCs w:val="18"/>
            </w:rPr>
          </w:pPr>
          <w:bookmarkStart w:id="135" w:name="bookmark134"/>
          <w:bookmarkEnd w:id="135"/>
          <w:r>
            <w:fldChar w:fldCharType="begin"/>
          </w:r>
          <w:r>
            <w:instrText xml:space="preserve"> HYPERLINK \l "bookmark134" </w:instrText>
          </w:r>
          <w:r>
            <w:fldChar w:fldCharType="separate"/>
          </w:r>
          <w:r>
            <w:rPr>
              <w:rFonts w:ascii="Times New Roman" w:hAnsi="Times New Roman" w:eastAsia="Times New Roman" w:cs="Times New Roman"/>
              <w:spacing w:val="-1"/>
              <w:sz w:val="18"/>
              <w:szCs w:val="18"/>
            </w:rPr>
            <w:t xml:space="preserve">7.4.3    </w:t>
          </w:r>
          <w:r>
            <w:rPr>
              <w:spacing w:val="-1"/>
              <w:sz w:val="18"/>
              <w:szCs w:val="18"/>
            </w:rPr>
            <w:t>制定应急响应预案</w:t>
          </w:r>
          <w:r>
            <w:rPr>
              <w:spacing w:val="-45"/>
              <w:sz w:val="18"/>
              <w:szCs w:val="18"/>
            </w:rPr>
            <w:t xml:space="preserve"> </w:t>
          </w:r>
          <w:r>
            <w:rPr>
              <w:sz w:val="18"/>
              <w:szCs w:val="18"/>
            </w:rPr>
            <w:tab/>
          </w:r>
          <w:r>
            <w:rPr>
              <w:spacing w:val="-39"/>
              <w:sz w:val="18"/>
              <w:szCs w:val="18"/>
            </w:rPr>
            <w:t xml:space="preserve"> </w:t>
          </w:r>
          <w:r>
            <w:rPr>
              <w:rFonts w:ascii="Times New Roman" w:hAnsi="Times New Roman" w:eastAsia="Times New Roman" w:cs="Times New Roman"/>
              <w:spacing w:val="-1"/>
              <w:sz w:val="18"/>
              <w:szCs w:val="18"/>
            </w:rPr>
            <w:t>207</w:t>
          </w:r>
          <w:r>
            <w:rPr>
              <w:rFonts w:ascii="Times New Roman" w:hAnsi="Times New Roman" w:eastAsia="Times New Roman" w:cs="Times New Roman"/>
              <w:spacing w:val="-1"/>
              <w:sz w:val="18"/>
              <w:szCs w:val="18"/>
            </w:rPr>
            <w:fldChar w:fldCharType="end"/>
          </w:r>
        </w:p>
        <w:p w14:paraId="5239293B">
          <w:pPr>
            <w:pStyle w:val="2"/>
            <w:tabs>
              <w:tab w:val="right" w:leader="dot" w:pos="3946"/>
            </w:tabs>
            <w:spacing w:before="85" w:line="219" w:lineRule="auto"/>
            <w:ind w:left="390"/>
            <w:rPr>
              <w:rFonts w:ascii="Times New Roman" w:hAnsi="Times New Roman" w:eastAsia="Times New Roman" w:cs="Times New Roman"/>
              <w:sz w:val="18"/>
              <w:szCs w:val="18"/>
            </w:rPr>
          </w:pPr>
          <w:bookmarkStart w:id="136" w:name="bookmark135"/>
          <w:bookmarkEnd w:id="136"/>
          <w:r>
            <w:fldChar w:fldCharType="begin"/>
          </w:r>
          <w:r>
            <w:instrText xml:space="preserve"> HYPERLINK \l "bookmark135" </w:instrText>
          </w:r>
          <w:r>
            <w:fldChar w:fldCharType="separate"/>
          </w:r>
          <w:r>
            <w:rPr>
              <w:rFonts w:ascii="Times New Roman" w:hAnsi="Times New Roman" w:eastAsia="Times New Roman" w:cs="Times New Roman"/>
              <w:sz w:val="18"/>
              <w:szCs w:val="18"/>
            </w:rPr>
            <w:t>7.4.4</w:t>
          </w:r>
          <w:r>
            <w:rPr>
              <w:rFonts w:ascii="Times New Roman" w:hAnsi="Times New Roman" w:eastAsia="Times New Roman" w:cs="Times New Roman"/>
              <w:spacing w:val="17"/>
              <w:w w:val="101"/>
              <w:sz w:val="18"/>
              <w:szCs w:val="18"/>
            </w:rPr>
            <w:t xml:space="preserve">   </w:t>
          </w:r>
          <w:r>
            <w:rPr>
              <w:sz w:val="18"/>
              <w:szCs w:val="18"/>
            </w:rPr>
            <w:t>组织培训并开展应急演练</w:t>
          </w:r>
          <w:r>
            <w:rPr>
              <w:spacing w:val="-69"/>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1"/>
              <w:sz w:val="18"/>
              <w:szCs w:val="18"/>
            </w:rPr>
            <w:t>207</w:t>
          </w:r>
          <w:r>
            <w:rPr>
              <w:rFonts w:ascii="Times New Roman" w:hAnsi="Times New Roman" w:eastAsia="Times New Roman" w:cs="Times New Roman"/>
              <w:spacing w:val="-1"/>
              <w:sz w:val="18"/>
              <w:szCs w:val="18"/>
            </w:rPr>
            <w:fldChar w:fldCharType="end"/>
          </w:r>
        </w:p>
        <w:p w14:paraId="10B80D01">
          <w:pPr>
            <w:pStyle w:val="2"/>
            <w:tabs>
              <w:tab w:val="right" w:leader="dot" w:pos="3806"/>
            </w:tabs>
            <w:spacing w:before="107" w:line="220" w:lineRule="auto"/>
            <w:ind w:left="390"/>
            <w:rPr>
              <w:rFonts w:ascii="Times New Roman" w:hAnsi="Times New Roman" w:eastAsia="Times New Roman" w:cs="Times New Roman"/>
              <w:sz w:val="18"/>
              <w:szCs w:val="18"/>
            </w:rPr>
          </w:pPr>
          <w:bookmarkStart w:id="137" w:name="bookmark136"/>
          <w:bookmarkEnd w:id="137"/>
          <w:r>
            <w:fldChar w:fldCharType="begin"/>
          </w:r>
          <w:r>
            <w:instrText xml:space="preserve"> HYPERLINK \l "bookmark136" </w:instrText>
          </w:r>
          <w:r>
            <w:fldChar w:fldCharType="separate"/>
          </w:r>
          <w:r>
            <w:rPr>
              <w:rFonts w:ascii="Times New Roman" w:hAnsi="Times New Roman" w:eastAsia="Times New Roman" w:cs="Times New Roman"/>
              <w:spacing w:val="-1"/>
              <w:sz w:val="18"/>
              <w:szCs w:val="18"/>
            </w:rPr>
            <w:t xml:space="preserve">7.4.5    </w:t>
          </w:r>
          <w:r>
            <w:rPr>
              <w:spacing w:val="-1"/>
              <w:sz w:val="18"/>
              <w:szCs w:val="18"/>
            </w:rPr>
            <w:t>应急响应工作总结</w:t>
          </w:r>
          <w:r>
            <w:rPr>
              <w:spacing w:val="-45"/>
              <w:sz w:val="18"/>
              <w:szCs w:val="18"/>
            </w:rPr>
            <w:t xml:space="preserve"> </w:t>
          </w:r>
          <w:r>
            <w:rPr>
              <w:sz w:val="18"/>
              <w:szCs w:val="18"/>
            </w:rPr>
            <w:tab/>
          </w:r>
          <w:r>
            <w:rPr>
              <w:spacing w:val="-10"/>
              <w:sz w:val="18"/>
              <w:szCs w:val="18"/>
            </w:rPr>
            <w:t xml:space="preserve"> </w:t>
          </w:r>
          <w:r>
            <w:rPr>
              <w:rFonts w:ascii="Times New Roman" w:hAnsi="Times New Roman" w:eastAsia="Times New Roman" w:cs="Times New Roman"/>
              <w:spacing w:val="-1"/>
              <w:sz w:val="18"/>
              <w:szCs w:val="18"/>
            </w:rPr>
            <w:t>207</w:t>
          </w:r>
          <w:r>
            <w:rPr>
              <w:rFonts w:ascii="Times New Roman" w:hAnsi="Times New Roman" w:eastAsia="Times New Roman" w:cs="Times New Roman"/>
              <w:spacing w:val="-1"/>
              <w:sz w:val="18"/>
              <w:szCs w:val="18"/>
            </w:rPr>
            <w:fldChar w:fldCharType="end"/>
          </w:r>
        </w:p>
      </w:sdtContent>
    </w:sdt>
    <w:p w14:paraId="7B0B234A">
      <w:pPr>
        <w:spacing w:line="220" w:lineRule="auto"/>
        <w:rPr>
          <w:rFonts w:ascii="Times New Roman" w:hAnsi="Times New Roman" w:eastAsia="Times New Roman" w:cs="Times New Roman"/>
          <w:sz w:val="18"/>
          <w:szCs w:val="18"/>
        </w:rPr>
        <w:sectPr>
          <w:type w:val="continuous"/>
          <w:pgSz w:w="10390" w:h="13320"/>
          <w:pgMar w:top="400" w:right="545" w:bottom="400" w:left="1250" w:header="0" w:footer="0" w:gutter="0"/>
          <w:cols w:equalWidth="0" w:num="2">
            <w:col w:w="4260" w:space="100"/>
            <w:col w:w="4235"/>
          </w:cols>
        </w:sectPr>
      </w:pPr>
    </w:p>
    <w:p w14:paraId="24920BDE">
      <w:pPr>
        <w:spacing w:line="290" w:lineRule="auto"/>
        <w:rPr>
          <w:rFonts w:ascii="Arial"/>
          <w:sz w:val="21"/>
        </w:rPr>
      </w:pPr>
    </w:p>
    <w:p w14:paraId="24241EA1">
      <w:pPr>
        <w:pStyle w:val="2"/>
        <w:spacing w:before="89" w:line="219" w:lineRule="auto"/>
        <w:ind w:left="2293"/>
        <w:rPr>
          <w:sz w:val="27"/>
          <w:szCs w:val="27"/>
        </w:rPr>
      </w:pPr>
      <w:r>
        <w:rPr>
          <w:b/>
          <w:bCs/>
          <w:color w:val="0072E4"/>
          <w:spacing w:val="4"/>
          <w:sz w:val="27"/>
          <w:szCs w:val="27"/>
        </w:rPr>
        <w:t>第二篇</w:t>
      </w:r>
      <w:r>
        <w:rPr>
          <w:color w:val="0072E4"/>
          <w:spacing w:val="4"/>
          <w:sz w:val="27"/>
          <w:szCs w:val="27"/>
        </w:rPr>
        <w:t xml:space="preserve"> </w:t>
      </w:r>
      <w:r>
        <w:rPr>
          <w:b/>
          <w:bCs/>
          <w:color w:val="0072E4"/>
          <w:spacing w:val="4"/>
          <w:sz w:val="27"/>
          <w:szCs w:val="27"/>
        </w:rPr>
        <w:t>信息系统工程监理通识</w:t>
      </w:r>
    </w:p>
    <w:p w14:paraId="60754922">
      <w:pPr>
        <w:spacing w:before="58"/>
      </w:pPr>
    </w:p>
    <w:p w14:paraId="0B4F3C62">
      <w:pPr>
        <w:sectPr>
          <w:type w:val="continuous"/>
          <w:pgSz w:w="10390" w:h="13320"/>
          <w:pgMar w:top="400" w:right="545" w:bottom="400" w:left="1250" w:header="0" w:footer="0" w:gutter="0"/>
          <w:cols w:equalWidth="0" w:num="1">
            <w:col w:w="8595"/>
          </w:cols>
        </w:sectPr>
      </w:pPr>
    </w:p>
    <w:p w14:paraId="0CB33E09">
      <w:pPr>
        <w:spacing w:line="429" w:lineRule="auto"/>
        <w:rPr>
          <w:rFonts w:ascii="Arial"/>
          <w:sz w:val="21"/>
        </w:rPr>
      </w:pPr>
    </w:p>
    <w:sdt>
      <w:sdtPr>
        <w:rPr>
          <w:rFonts w:ascii="宋体" w:hAnsi="宋体" w:eastAsia="宋体" w:cs="宋体"/>
          <w:sz w:val="18"/>
          <w:szCs w:val="18"/>
        </w:rPr>
        <w:id w:val="147469274"/>
        <w:docPartObj>
          <w:docPartGallery w:val="Table of Contents"/>
          <w:docPartUnique/>
        </w:docPartObj>
      </w:sdtPr>
      <w:sdtEndPr>
        <w:rPr>
          <w:rFonts w:ascii="Times New Roman" w:hAnsi="Times New Roman" w:eastAsia="Times New Roman" w:cs="Times New Roman"/>
          <w:sz w:val="18"/>
          <w:szCs w:val="18"/>
        </w:rPr>
      </w:sdtEndPr>
      <w:sdtContent>
        <w:p w14:paraId="7898FB8B">
          <w:pPr>
            <w:pStyle w:val="2"/>
            <w:tabs>
              <w:tab w:val="right" w:leader="dot" w:pos="3936"/>
            </w:tabs>
            <w:spacing w:before="58" w:line="219" w:lineRule="auto"/>
            <w:ind w:left="389"/>
            <w:rPr>
              <w:rFonts w:ascii="Times New Roman" w:hAnsi="Times New Roman" w:eastAsia="Times New Roman" w:cs="Times New Roman"/>
              <w:sz w:val="18"/>
              <w:szCs w:val="18"/>
            </w:rPr>
          </w:pPr>
          <w:bookmarkStart w:id="138" w:name="bookmark137"/>
          <w:bookmarkEnd w:id="138"/>
          <w:r>
            <w:fldChar w:fldCharType="begin"/>
          </w:r>
          <w:r>
            <w:instrText xml:space="preserve"> HYPERLINK \l "bookmark137" </w:instrText>
          </w:r>
          <w:r>
            <w:fldChar w:fldCharType="separate"/>
          </w:r>
          <w:r>
            <w:rPr>
              <w:spacing w:val="1"/>
              <w:sz w:val="18"/>
              <w:szCs w:val="18"/>
            </w:rPr>
            <w:t>信息系统工程监理的意义和作用</w:t>
          </w:r>
          <w:r>
            <w:rPr>
              <w:spacing w:val="-75"/>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1"/>
              <w:sz w:val="18"/>
              <w:szCs w:val="18"/>
            </w:rPr>
            <w:t>213</w:t>
          </w:r>
          <w:r>
            <w:rPr>
              <w:rFonts w:ascii="Times New Roman" w:hAnsi="Times New Roman" w:eastAsia="Times New Roman" w:cs="Times New Roman"/>
              <w:spacing w:val="-1"/>
              <w:sz w:val="18"/>
              <w:szCs w:val="18"/>
            </w:rPr>
            <w:fldChar w:fldCharType="end"/>
          </w:r>
        </w:p>
        <w:p w14:paraId="74D9E84A">
          <w:pPr>
            <w:pStyle w:val="2"/>
            <w:tabs>
              <w:tab w:val="right" w:leader="dot" w:pos="3936"/>
            </w:tabs>
            <w:spacing w:before="107" w:line="219" w:lineRule="auto"/>
            <w:ind w:left="400"/>
            <w:rPr>
              <w:rFonts w:ascii="Times New Roman" w:hAnsi="Times New Roman" w:eastAsia="Times New Roman" w:cs="Times New Roman"/>
              <w:sz w:val="18"/>
              <w:szCs w:val="18"/>
            </w:rPr>
          </w:pPr>
          <w:bookmarkStart w:id="139" w:name="bookmark138"/>
          <w:bookmarkEnd w:id="139"/>
          <w:r>
            <w:fldChar w:fldCharType="begin"/>
          </w:r>
          <w:r>
            <w:instrText xml:space="preserve"> HYPERLINK \l "bookmark138" </w:instrText>
          </w:r>
          <w:r>
            <w:fldChar w:fldCharType="separate"/>
          </w:r>
          <w:r>
            <w:rPr>
              <w:rFonts w:ascii="Times New Roman" w:hAnsi="Times New Roman" w:eastAsia="Times New Roman" w:cs="Times New Roman"/>
              <w:spacing w:val="1"/>
              <w:sz w:val="18"/>
              <w:szCs w:val="18"/>
            </w:rPr>
            <w:t xml:space="preserve">8.1.1    </w:t>
          </w:r>
          <w:r>
            <w:rPr>
              <w:spacing w:val="1"/>
              <w:sz w:val="18"/>
              <w:szCs w:val="18"/>
            </w:rPr>
            <w:t>信息系统工程监理的地位</w:t>
          </w:r>
          <w:r>
            <w:rPr>
              <w:sz w:val="18"/>
              <w:szCs w:val="18"/>
            </w:rPr>
            <w:t>和作用</w:t>
          </w:r>
          <w:r>
            <w:rPr>
              <w:spacing w:val="-82"/>
              <w:sz w:val="18"/>
              <w:szCs w:val="18"/>
            </w:rPr>
            <w:t xml:space="preserve"> </w:t>
          </w:r>
          <w:r>
            <w:rPr>
              <w:sz w:val="18"/>
              <w:szCs w:val="18"/>
            </w:rPr>
            <w:tab/>
          </w:r>
          <w:r>
            <w:rPr>
              <w:rFonts w:ascii="Times New Roman" w:hAnsi="Times New Roman" w:eastAsia="Times New Roman" w:cs="Times New Roman"/>
              <w:spacing w:val="5"/>
              <w:sz w:val="18"/>
              <w:szCs w:val="18"/>
            </w:rPr>
            <w:t>213</w:t>
          </w:r>
          <w:r>
            <w:rPr>
              <w:rFonts w:ascii="Times New Roman" w:hAnsi="Times New Roman" w:eastAsia="Times New Roman" w:cs="Times New Roman"/>
              <w:spacing w:val="5"/>
              <w:sz w:val="18"/>
              <w:szCs w:val="18"/>
            </w:rPr>
            <w:fldChar w:fldCharType="end"/>
          </w:r>
        </w:p>
        <w:p w14:paraId="02A91C59">
          <w:pPr>
            <w:pStyle w:val="2"/>
            <w:spacing w:before="96" w:line="219" w:lineRule="auto"/>
            <w:ind w:left="409"/>
            <w:rPr>
              <w:sz w:val="18"/>
              <w:szCs w:val="18"/>
            </w:rPr>
          </w:pPr>
          <w:bookmarkStart w:id="140" w:name="bookmark139"/>
          <w:bookmarkEnd w:id="140"/>
          <w:r>
            <w:fldChar w:fldCharType="begin"/>
          </w:r>
          <w:r>
            <w:instrText xml:space="preserve"> HYPERLINK \l "bookmark139" </w:instrText>
          </w:r>
          <w:r>
            <w:fldChar w:fldCharType="separate"/>
          </w:r>
          <w:r>
            <w:rPr>
              <w:rFonts w:ascii="Times New Roman" w:hAnsi="Times New Roman" w:eastAsia="Times New Roman" w:cs="Times New Roman"/>
              <w:sz w:val="18"/>
              <w:szCs w:val="18"/>
            </w:rPr>
            <w:t xml:space="preserve">8.1.2    </w:t>
          </w:r>
          <w:r>
            <w:rPr>
              <w:sz w:val="18"/>
              <w:szCs w:val="18"/>
            </w:rPr>
            <w:t>信息系统工程监理的重要性与</w:t>
          </w:r>
          <w:r>
            <w:rPr>
              <w:sz w:val="18"/>
              <w:szCs w:val="18"/>
            </w:rPr>
            <w:fldChar w:fldCharType="end"/>
          </w:r>
        </w:p>
        <w:p w14:paraId="39D36395">
          <w:pPr>
            <w:pStyle w:val="2"/>
            <w:tabs>
              <w:tab w:val="right" w:leader="dot" w:pos="3936"/>
            </w:tabs>
            <w:spacing w:before="108" w:line="221" w:lineRule="auto"/>
            <w:ind w:left="949"/>
            <w:rPr>
              <w:rFonts w:ascii="Times New Roman" w:hAnsi="Times New Roman" w:eastAsia="Times New Roman" w:cs="Times New Roman"/>
              <w:sz w:val="18"/>
              <w:szCs w:val="18"/>
            </w:rPr>
          </w:pPr>
          <w:bookmarkStart w:id="141" w:name="bookmark139"/>
          <w:bookmarkEnd w:id="141"/>
          <w:r>
            <w:fldChar w:fldCharType="begin"/>
          </w:r>
          <w:r>
            <w:instrText xml:space="preserve"> HYPERLINK \l "bookmark139" </w:instrText>
          </w:r>
          <w:r>
            <w:fldChar w:fldCharType="separate"/>
          </w:r>
          <w:r>
            <w:rPr>
              <w:spacing w:val="15"/>
              <w:sz w:val="18"/>
              <w:szCs w:val="18"/>
            </w:rPr>
            <w:t>迫切性</w:t>
          </w:r>
          <w:r>
            <w:rPr>
              <w:spacing w:val="-67"/>
              <w:sz w:val="18"/>
              <w:szCs w:val="18"/>
            </w:rPr>
            <w:t xml:space="preserve"> </w:t>
          </w:r>
          <w:r>
            <w:rPr>
              <w:sz w:val="18"/>
              <w:szCs w:val="18"/>
            </w:rPr>
            <w:tab/>
          </w:r>
          <w:r>
            <w:rPr>
              <w:rFonts w:ascii="Times New Roman" w:hAnsi="Times New Roman" w:eastAsia="Times New Roman" w:cs="Times New Roman"/>
              <w:spacing w:val="2"/>
              <w:sz w:val="18"/>
              <w:szCs w:val="18"/>
            </w:rPr>
            <w:t>214</w:t>
          </w:r>
          <w:r>
            <w:rPr>
              <w:rFonts w:ascii="Times New Roman" w:hAnsi="Times New Roman" w:eastAsia="Times New Roman" w:cs="Times New Roman"/>
              <w:spacing w:val="2"/>
              <w:sz w:val="18"/>
              <w:szCs w:val="18"/>
            </w:rPr>
            <w:fldChar w:fldCharType="end"/>
          </w:r>
        </w:p>
        <w:p w14:paraId="1EE8A31C">
          <w:pPr>
            <w:pStyle w:val="2"/>
            <w:tabs>
              <w:tab w:val="right" w:leader="dot" w:pos="3926"/>
            </w:tabs>
            <w:spacing w:before="103" w:line="219" w:lineRule="auto"/>
            <w:ind w:left="400"/>
            <w:rPr>
              <w:rFonts w:ascii="Times New Roman" w:hAnsi="Times New Roman" w:eastAsia="Times New Roman" w:cs="Times New Roman"/>
              <w:sz w:val="18"/>
              <w:szCs w:val="18"/>
            </w:rPr>
          </w:pPr>
          <w:bookmarkStart w:id="142" w:name="bookmark140"/>
          <w:bookmarkEnd w:id="142"/>
          <w:r>
            <w:fldChar w:fldCharType="begin"/>
          </w:r>
          <w:r>
            <w:instrText xml:space="preserve"> HYPERLINK \l "bookmark140" </w:instrText>
          </w:r>
          <w:r>
            <w:fldChar w:fldCharType="separate"/>
          </w:r>
          <w:r>
            <w:rPr>
              <w:rFonts w:ascii="Times New Roman" w:hAnsi="Times New Roman" w:eastAsia="Times New Roman" w:cs="Times New Roman"/>
              <w:spacing w:val="-4"/>
              <w:sz w:val="18"/>
              <w:szCs w:val="18"/>
            </w:rPr>
            <w:t xml:space="preserve">8.1.3    </w:t>
          </w:r>
          <w:r>
            <w:rPr>
              <w:spacing w:val="-4"/>
              <w:sz w:val="18"/>
              <w:szCs w:val="18"/>
            </w:rPr>
            <w:t>信息系统工程监理的技术参考模型</w:t>
          </w:r>
          <w:r>
            <w:rPr>
              <w:spacing w:val="-66"/>
              <w:sz w:val="18"/>
              <w:szCs w:val="18"/>
            </w:rPr>
            <w:t xml:space="preserve"> </w:t>
          </w:r>
          <w:r>
            <w:rPr>
              <w:sz w:val="18"/>
              <w:szCs w:val="18"/>
            </w:rPr>
            <w:tab/>
          </w:r>
          <w:r>
            <w:rPr>
              <w:rFonts w:ascii="Times New Roman" w:hAnsi="Times New Roman" w:eastAsia="Times New Roman" w:cs="Times New Roman"/>
              <w:spacing w:val="6"/>
              <w:sz w:val="18"/>
              <w:szCs w:val="18"/>
            </w:rPr>
            <w:t>214</w:t>
          </w:r>
          <w:r>
            <w:rPr>
              <w:rFonts w:ascii="Times New Roman" w:hAnsi="Times New Roman" w:eastAsia="Times New Roman" w:cs="Times New Roman"/>
              <w:spacing w:val="6"/>
              <w:sz w:val="18"/>
              <w:szCs w:val="18"/>
            </w:rPr>
            <w:fldChar w:fldCharType="end"/>
          </w:r>
        </w:p>
        <w:p w14:paraId="65A6FD86">
          <w:pPr>
            <w:pStyle w:val="2"/>
            <w:tabs>
              <w:tab w:val="right" w:leader="dot" w:pos="3946"/>
            </w:tabs>
            <w:spacing w:before="97" w:line="219" w:lineRule="auto"/>
            <w:ind w:left="389"/>
            <w:rPr>
              <w:rFonts w:ascii="Times New Roman" w:hAnsi="Times New Roman" w:eastAsia="Times New Roman" w:cs="Times New Roman"/>
              <w:sz w:val="18"/>
              <w:szCs w:val="18"/>
            </w:rPr>
          </w:pPr>
          <w:bookmarkStart w:id="143" w:name="bookmark141"/>
          <w:bookmarkEnd w:id="143"/>
          <w:r>
            <w:fldChar w:fldCharType="begin"/>
          </w:r>
          <w:r>
            <w:instrText xml:space="preserve"> HYPERLINK \l "bookmark141" </w:instrText>
          </w:r>
          <w:r>
            <w:fldChar w:fldCharType="separate"/>
          </w:r>
          <w:r>
            <w:rPr>
              <w:spacing w:val="-1"/>
              <w:sz w:val="18"/>
              <w:szCs w:val="18"/>
            </w:rPr>
            <w:t>信息系统工程监理的相关概念</w:t>
          </w:r>
          <w:r>
            <w:rPr>
              <w:spacing w:val="-48"/>
              <w:sz w:val="18"/>
              <w:szCs w:val="18"/>
            </w:rPr>
            <w:t xml:space="preserve"> </w:t>
          </w:r>
          <w:r>
            <w:rPr>
              <w:sz w:val="18"/>
              <w:szCs w:val="18"/>
            </w:rPr>
            <w:tab/>
          </w:r>
          <w:r>
            <w:rPr>
              <w:spacing w:val="-50"/>
              <w:sz w:val="18"/>
              <w:szCs w:val="18"/>
            </w:rPr>
            <w:t xml:space="preserve"> </w:t>
          </w:r>
          <w:r>
            <w:rPr>
              <w:rFonts w:ascii="Times New Roman" w:hAnsi="Times New Roman" w:eastAsia="Times New Roman" w:cs="Times New Roman"/>
              <w:spacing w:val="-1"/>
              <w:sz w:val="18"/>
              <w:szCs w:val="18"/>
            </w:rPr>
            <w:t>215</w:t>
          </w:r>
          <w:r>
            <w:rPr>
              <w:rFonts w:ascii="Times New Roman" w:hAnsi="Times New Roman" w:eastAsia="Times New Roman" w:cs="Times New Roman"/>
              <w:spacing w:val="-1"/>
              <w:sz w:val="18"/>
              <w:szCs w:val="18"/>
            </w:rPr>
            <w:fldChar w:fldCharType="end"/>
          </w:r>
        </w:p>
        <w:p w14:paraId="071E98C1">
          <w:pPr>
            <w:pStyle w:val="2"/>
            <w:tabs>
              <w:tab w:val="right" w:leader="dot" w:pos="3936"/>
            </w:tabs>
            <w:spacing w:before="96" w:line="219" w:lineRule="auto"/>
            <w:ind w:left="400"/>
            <w:rPr>
              <w:rFonts w:ascii="Times New Roman" w:hAnsi="Times New Roman" w:eastAsia="Times New Roman" w:cs="Times New Roman"/>
              <w:sz w:val="18"/>
              <w:szCs w:val="18"/>
            </w:rPr>
          </w:pPr>
          <w:bookmarkStart w:id="144" w:name="bookmark142"/>
          <w:bookmarkEnd w:id="144"/>
          <w:r>
            <w:fldChar w:fldCharType="begin"/>
          </w:r>
          <w:r>
            <w:instrText xml:space="preserve"> HYPERLINK \l "bookmark142" </w:instrText>
          </w:r>
          <w:r>
            <w:fldChar w:fldCharType="separate"/>
          </w:r>
          <w:r>
            <w:rPr>
              <w:spacing w:val="-1"/>
              <w:sz w:val="18"/>
              <w:szCs w:val="18"/>
            </w:rPr>
            <w:t>信息系统工程监理的发展</w:t>
          </w:r>
          <w:r>
            <w:rPr>
              <w:spacing w:val="-51"/>
              <w:sz w:val="18"/>
              <w:szCs w:val="18"/>
            </w:rPr>
            <w:t xml:space="preserve"> </w:t>
          </w:r>
          <w:r>
            <w:rPr>
              <w:sz w:val="18"/>
              <w:szCs w:val="18"/>
            </w:rPr>
            <w:tab/>
          </w:r>
          <w:r>
            <w:rPr>
              <w:rFonts w:ascii="Times New Roman" w:hAnsi="Times New Roman" w:eastAsia="Times New Roman" w:cs="Times New Roman"/>
              <w:spacing w:val="5"/>
              <w:sz w:val="18"/>
              <w:szCs w:val="18"/>
            </w:rPr>
            <w:t>217</w:t>
          </w:r>
          <w:r>
            <w:rPr>
              <w:rFonts w:ascii="Times New Roman" w:hAnsi="Times New Roman" w:eastAsia="Times New Roman" w:cs="Times New Roman"/>
              <w:spacing w:val="5"/>
              <w:sz w:val="18"/>
              <w:szCs w:val="18"/>
            </w:rPr>
            <w:fldChar w:fldCharType="end"/>
          </w:r>
        </w:p>
        <w:p w14:paraId="3E51F711">
          <w:pPr>
            <w:pStyle w:val="2"/>
            <w:tabs>
              <w:tab w:val="right" w:leader="dot" w:pos="3946"/>
            </w:tabs>
            <w:spacing w:before="97" w:line="219" w:lineRule="auto"/>
            <w:ind w:left="400"/>
            <w:rPr>
              <w:rFonts w:ascii="Times New Roman" w:hAnsi="Times New Roman" w:eastAsia="Times New Roman" w:cs="Times New Roman"/>
              <w:sz w:val="18"/>
              <w:szCs w:val="18"/>
            </w:rPr>
          </w:pPr>
          <w:bookmarkStart w:id="145" w:name="bookmark143"/>
          <w:bookmarkEnd w:id="145"/>
          <w:r>
            <w:fldChar w:fldCharType="begin"/>
          </w:r>
          <w:r>
            <w:instrText xml:space="preserve"> HYPERLINK \l "bookmark143" </w:instrText>
          </w:r>
          <w:r>
            <w:fldChar w:fldCharType="separate"/>
          </w:r>
          <w:r>
            <w:rPr>
              <w:rFonts w:ascii="Times New Roman" w:hAnsi="Times New Roman" w:eastAsia="Times New Roman" w:cs="Times New Roman"/>
              <w:spacing w:val="-4"/>
              <w:sz w:val="18"/>
              <w:szCs w:val="18"/>
            </w:rPr>
            <w:t xml:space="preserve">8.3.1    </w:t>
          </w:r>
          <w:r>
            <w:rPr>
              <w:spacing w:val="-4"/>
              <w:sz w:val="18"/>
              <w:szCs w:val="18"/>
            </w:rPr>
            <w:t>我国信息系统工程监理服务的发展</w:t>
          </w:r>
          <w:r>
            <w:rPr>
              <w:spacing w:val="-56"/>
              <w:sz w:val="18"/>
              <w:szCs w:val="18"/>
            </w:rPr>
            <w:t xml:space="preserve"> </w:t>
          </w:r>
          <w:r>
            <w:rPr>
              <w:sz w:val="18"/>
              <w:szCs w:val="18"/>
            </w:rPr>
            <w:tab/>
          </w:r>
          <w:r>
            <w:rPr>
              <w:rFonts w:ascii="Times New Roman" w:hAnsi="Times New Roman" w:eastAsia="Times New Roman" w:cs="Times New Roman"/>
              <w:spacing w:val="5"/>
              <w:sz w:val="18"/>
              <w:szCs w:val="18"/>
            </w:rPr>
            <w:t>218</w:t>
          </w:r>
          <w:r>
            <w:rPr>
              <w:rFonts w:ascii="Times New Roman" w:hAnsi="Times New Roman" w:eastAsia="Times New Roman" w:cs="Times New Roman"/>
              <w:spacing w:val="5"/>
              <w:sz w:val="18"/>
              <w:szCs w:val="18"/>
            </w:rPr>
            <w:fldChar w:fldCharType="end"/>
          </w:r>
        </w:p>
        <w:p w14:paraId="56C26F05">
          <w:pPr>
            <w:pStyle w:val="2"/>
            <w:tabs>
              <w:tab w:val="right" w:leader="dot" w:pos="3936"/>
            </w:tabs>
            <w:spacing w:before="96" w:line="219" w:lineRule="auto"/>
            <w:ind w:left="400"/>
            <w:rPr>
              <w:rFonts w:ascii="Times New Roman" w:hAnsi="Times New Roman" w:eastAsia="Times New Roman" w:cs="Times New Roman"/>
              <w:sz w:val="18"/>
              <w:szCs w:val="18"/>
            </w:rPr>
          </w:pPr>
          <w:bookmarkStart w:id="146" w:name="bookmark144"/>
          <w:bookmarkEnd w:id="146"/>
          <w:r>
            <w:fldChar w:fldCharType="begin"/>
          </w:r>
          <w:r>
            <w:instrText xml:space="preserve"> HYPERLINK \l "bookmark144" </w:instrText>
          </w:r>
          <w:r>
            <w:fldChar w:fldCharType="separate"/>
          </w:r>
          <w:r>
            <w:rPr>
              <w:rFonts w:ascii="Times New Roman" w:hAnsi="Times New Roman" w:eastAsia="Times New Roman" w:cs="Times New Roman"/>
              <w:spacing w:val="-1"/>
              <w:sz w:val="18"/>
              <w:szCs w:val="18"/>
            </w:rPr>
            <w:t xml:space="preserve">8.3.2    </w:t>
          </w:r>
          <w:r>
            <w:rPr>
              <w:spacing w:val="-1"/>
              <w:sz w:val="18"/>
              <w:szCs w:val="18"/>
            </w:rPr>
            <w:t>信息化建设中普遍存在的问题</w:t>
          </w:r>
          <w:r>
            <w:rPr>
              <w:spacing w:val="-40"/>
              <w:sz w:val="18"/>
              <w:szCs w:val="18"/>
            </w:rPr>
            <w:t xml:space="preserve"> </w:t>
          </w:r>
          <w:r>
            <w:rPr>
              <w:sz w:val="18"/>
              <w:szCs w:val="18"/>
            </w:rPr>
            <w:tab/>
          </w:r>
          <w:r>
            <w:rPr>
              <w:rFonts w:ascii="Times New Roman" w:hAnsi="Times New Roman" w:eastAsia="Times New Roman" w:cs="Times New Roman"/>
              <w:spacing w:val="5"/>
              <w:sz w:val="18"/>
              <w:szCs w:val="18"/>
            </w:rPr>
            <w:t>219</w:t>
          </w:r>
          <w:r>
            <w:rPr>
              <w:rFonts w:ascii="Times New Roman" w:hAnsi="Times New Roman" w:eastAsia="Times New Roman" w:cs="Times New Roman"/>
              <w:spacing w:val="5"/>
              <w:sz w:val="18"/>
              <w:szCs w:val="18"/>
            </w:rPr>
            <w:fldChar w:fldCharType="end"/>
          </w:r>
        </w:p>
        <w:p w14:paraId="72F0E6FA">
          <w:pPr>
            <w:pStyle w:val="2"/>
            <w:tabs>
              <w:tab w:val="right" w:leader="dot" w:pos="3946"/>
            </w:tabs>
            <w:spacing w:before="95" w:line="219" w:lineRule="auto"/>
            <w:ind w:left="389"/>
            <w:rPr>
              <w:rFonts w:ascii="Times New Roman" w:hAnsi="Times New Roman" w:eastAsia="Times New Roman" w:cs="Times New Roman"/>
              <w:sz w:val="18"/>
              <w:szCs w:val="18"/>
            </w:rPr>
          </w:pPr>
          <w:bookmarkStart w:id="147" w:name="bookmark145"/>
          <w:bookmarkEnd w:id="147"/>
          <w:r>
            <w:fldChar w:fldCharType="begin"/>
          </w:r>
          <w:r>
            <w:instrText xml:space="preserve"> HYPERLINK \l "bookmark145" </w:instrText>
          </w:r>
          <w:r>
            <w:fldChar w:fldCharType="separate"/>
          </w:r>
          <w:r>
            <w:rPr>
              <w:spacing w:val="1"/>
              <w:sz w:val="18"/>
              <w:szCs w:val="18"/>
            </w:rPr>
            <w:t>信息系统工程监理的依据</w:t>
          </w:r>
          <w:r>
            <w:rPr>
              <w:spacing w:val="-62"/>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1"/>
              <w:sz w:val="18"/>
              <w:szCs w:val="18"/>
            </w:rPr>
            <w:t>220</w:t>
          </w:r>
          <w:r>
            <w:rPr>
              <w:rFonts w:ascii="Times New Roman" w:hAnsi="Times New Roman" w:eastAsia="Times New Roman" w:cs="Times New Roman"/>
              <w:spacing w:val="-1"/>
              <w:sz w:val="18"/>
              <w:szCs w:val="18"/>
            </w:rPr>
            <w:fldChar w:fldCharType="end"/>
          </w:r>
        </w:p>
        <w:p w14:paraId="74F92005">
          <w:pPr>
            <w:pStyle w:val="2"/>
            <w:tabs>
              <w:tab w:val="right" w:leader="dot" w:pos="3956"/>
            </w:tabs>
            <w:spacing w:before="88" w:line="219" w:lineRule="auto"/>
            <w:ind w:left="400"/>
            <w:rPr>
              <w:rFonts w:ascii="Times New Roman" w:hAnsi="Times New Roman" w:eastAsia="Times New Roman" w:cs="Times New Roman"/>
              <w:sz w:val="18"/>
              <w:szCs w:val="18"/>
            </w:rPr>
          </w:pPr>
          <w:bookmarkStart w:id="148" w:name="bookmark146"/>
          <w:bookmarkEnd w:id="148"/>
          <w:r>
            <w:fldChar w:fldCharType="begin"/>
          </w:r>
          <w:r>
            <w:instrText xml:space="preserve"> HYPERLINK \l "bookmark146" </w:instrText>
          </w:r>
          <w:r>
            <w:fldChar w:fldCharType="separate"/>
          </w:r>
          <w:r>
            <w:rPr>
              <w:spacing w:val="-1"/>
              <w:sz w:val="18"/>
              <w:szCs w:val="18"/>
            </w:rPr>
            <w:t>信息系统工程监理的风险</w:t>
          </w:r>
          <w:r>
            <w:rPr>
              <w:spacing w:val="-51"/>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1"/>
              <w:sz w:val="18"/>
              <w:szCs w:val="18"/>
            </w:rPr>
            <w:t>221</w:t>
          </w:r>
          <w:r>
            <w:rPr>
              <w:rFonts w:ascii="Times New Roman" w:hAnsi="Times New Roman" w:eastAsia="Times New Roman" w:cs="Times New Roman"/>
              <w:spacing w:val="-1"/>
              <w:sz w:val="18"/>
              <w:szCs w:val="18"/>
            </w:rPr>
            <w:fldChar w:fldCharType="end"/>
          </w:r>
        </w:p>
        <w:p w14:paraId="2705B010">
          <w:pPr>
            <w:pStyle w:val="2"/>
            <w:tabs>
              <w:tab w:val="right" w:leader="dot" w:pos="3876"/>
            </w:tabs>
            <w:spacing w:before="97" w:line="219" w:lineRule="auto"/>
            <w:ind w:left="400"/>
            <w:rPr>
              <w:rFonts w:ascii="Times New Roman" w:hAnsi="Times New Roman" w:eastAsia="Times New Roman" w:cs="Times New Roman"/>
              <w:sz w:val="18"/>
              <w:szCs w:val="18"/>
            </w:rPr>
          </w:pPr>
          <w:bookmarkStart w:id="149" w:name="bookmark147"/>
          <w:bookmarkEnd w:id="149"/>
          <w:r>
            <w:fldChar w:fldCharType="begin"/>
          </w:r>
          <w:r>
            <w:instrText xml:space="preserve"> HYPERLINK \l "bookmark147" </w:instrText>
          </w:r>
          <w:r>
            <w:fldChar w:fldCharType="separate"/>
          </w:r>
          <w:r>
            <w:rPr>
              <w:rFonts w:ascii="Times New Roman" w:hAnsi="Times New Roman" w:eastAsia="Times New Roman" w:cs="Times New Roman"/>
              <w:spacing w:val="-2"/>
              <w:sz w:val="18"/>
              <w:szCs w:val="18"/>
            </w:rPr>
            <w:t>8.5.1</w:t>
          </w:r>
          <w:r>
            <w:rPr>
              <w:rFonts w:ascii="Times New Roman" w:hAnsi="Times New Roman" w:eastAsia="Times New Roman" w:cs="Times New Roman"/>
              <w:spacing w:val="7"/>
              <w:sz w:val="18"/>
              <w:szCs w:val="18"/>
            </w:rPr>
            <w:t xml:space="preserve">    </w:t>
          </w:r>
          <w:r>
            <w:rPr>
              <w:spacing w:val="-2"/>
              <w:sz w:val="18"/>
              <w:szCs w:val="18"/>
            </w:rPr>
            <w:t>监理工作的风险类别</w:t>
          </w:r>
          <w:r>
            <w:rPr>
              <w:spacing w:val="-61"/>
              <w:sz w:val="18"/>
              <w:szCs w:val="18"/>
            </w:rPr>
            <w:t xml:space="preserve"> </w:t>
          </w:r>
          <w:r>
            <w:rPr>
              <w:sz w:val="18"/>
              <w:szCs w:val="18"/>
            </w:rPr>
            <w:tab/>
          </w:r>
          <w:r>
            <w:rPr>
              <w:spacing w:val="-40"/>
              <w:sz w:val="18"/>
              <w:szCs w:val="18"/>
            </w:rPr>
            <w:t xml:space="preserve"> </w:t>
          </w:r>
          <w:r>
            <w:rPr>
              <w:rFonts w:ascii="Times New Roman" w:hAnsi="Times New Roman" w:eastAsia="Times New Roman" w:cs="Times New Roman"/>
              <w:spacing w:val="-1"/>
              <w:sz w:val="18"/>
              <w:szCs w:val="18"/>
            </w:rPr>
            <w:t>21</w:t>
          </w:r>
          <w:r>
            <w:rPr>
              <w:rFonts w:ascii="Times New Roman" w:hAnsi="Times New Roman" w:eastAsia="Times New Roman" w:cs="Times New Roman"/>
              <w:spacing w:val="-1"/>
              <w:sz w:val="18"/>
              <w:szCs w:val="18"/>
            </w:rPr>
            <w:fldChar w:fldCharType="end"/>
          </w:r>
        </w:p>
        <w:p w14:paraId="2585F5EB">
          <w:pPr>
            <w:pStyle w:val="2"/>
            <w:tabs>
              <w:tab w:val="right" w:leader="dot" w:pos="3946"/>
            </w:tabs>
            <w:spacing w:before="97" w:line="220" w:lineRule="auto"/>
            <w:ind w:left="400"/>
            <w:rPr>
              <w:rFonts w:ascii="Times New Roman" w:hAnsi="Times New Roman" w:eastAsia="Times New Roman" w:cs="Times New Roman"/>
              <w:sz w:val="18"/>
              <w:szCs w:val="18"/>
            </w:rPr>
          </w:pPr>
          <w:bookmarkStart w:id="150" w:name="bookmark148"/>
          <w:bookmarkEnd w:id="150"/>
          <w:r>
            <w:fldChar w:fldCharType="begin"/>
          </w:r>
          <w:r>
            <w:instrText xml:space="preserve"> HYPERLINK \l "bookmark148" </w:instrText>
          </w:r>
          <w:r>
            <w:fldChar w:fldCharType="separate"/>
          </w:r>
          <w:r>
            <w:rPr>
              <w:rFonts w:ascii="Times New Roman" w:hAnsi="Times New Roman" w:eastAsia="Times New Roman" w:cs="Times New Roman"/>
              <w:spacing w:val="-1"/>
              <w:sz w:val="18"/>
              <w:szCs w:val="18"/>
            </w:rPr>
            <w:t xml:space="preserve">8.5.2    </w:t>
          </w:r>
          <w:r>
            <w:rPr>
              <w:spacing w:val="-1"/>
              <w:sz w:val="18"/>
              <w:szCs w:val="18"/>
            </w:rPr>
            <w:t>监理单位的风险防范方法</w:t>
          </w:r>
          <w:r>
            <w:rPr>
              <w:spacing w:val="-42"/>
              <w:sz w:val="18"/>
              <w:szCs w:val="18"/>
            </w:rPr>
            <w:t xml:space="preserve"> </w:t>
          </w:r>
          <w:r>
            <w:rPr>
              <w:sz w:val="18"/>
              <w:szCs w:val="18"/>
            </w:rPr>
            <w:tab/>
          </w:r>
          <w:r>
            <w:rPr>
              <w:spacing w:val="-60"/>
              <w:sz w:val="18"/>
              <w:szCs w:val="18"/>
            </w:rPr>
            <w:t xml:space="preserve"> </w:t>
          </w:r>
          <w:r>
            <w:rPr>
              <w:rFonts w:ascii="Times New Roman" w:hAnsi="Times New Roman" w:eastAsia="Times New Roman" w:cs="Times New Roman"/>
              <w:spacing w:val="-1"/>
              <w:sz w:val="18"/>
              <w:szCs w:val="18"/>
            </w:rPr>
            <w:t>222</w:t>
          </w:r>
          <w:r>
            <w:rPr>
              <w:rFonts w:ascii="Times New Roman" w:hAnsi="Times New Roman" w:eastAsia="Times New Roman" w:cs="Times New Roman"/>
              <w:spacing w:val="-1"/>
              <w:sz w:val="18"/>
              <w:szCs w:val="18"/>
            </w:rPr>
            <w:fldChar w:fldCharType="end"/>
          </w:r>
        </w:p>
        <w:p w14:paraId="057FE3DC">
          <w:pPr>
            <w:pStyle w:val="2"/>
            <w:tabs>
              <w:tab w:val="right" w:leader="dot" w:pos="3846"/>
            </w:tabs>
            <w:spacing w:before="83" w:line="219" w:lineRule="auto"/>
            <w:ind w:left="389"/>
            <w:rPr>
              <w:rFonts w:ascii="Times New Roman" w:hAnsi="Times New Roman" w:eastAsia="Times New Roman" w:cs="Times New Roman"/>
              <w:sz w:val="18"/>
              <w:szCs w:val="18"/>
            </w:rPr>
          </w:pPr>
          <w:bookmarkStart w:id="151" w:name="bookmark149"/>
          <w:bookmarkEnd w:id="151"/>
          <w:r>
            <w:fldChar w:fldCharType="begin"/>
          </w:r>
          <w:r>
            <w:instrText xml:space="preserve"> HYPERLINK \l "bookmark149" </w:instrText>
          </w:r>
          <w:r>
            <w:fldChar w:fldCharType="separate"/>
          </w:r>
          <w:r>
            <w:rPr>
              <w:spacing w:val="1"/>
              <w:sz w:val="18"/>
              <w:szCs w:val="18"/>
            </w:rPr>
            <w:t>信息系统工程监理服务的成本</w:t>
          </w:r>
          <w:r>
            <w:rPr>
              <w:spacing w:val="-64"/>
              <w:sz w:val="18"/>
              <w:szCs w:val="18"/>
            </w:rPr>
            <w:t xml:space="preserve"> </w:t>
          </w:r>
          <w:r>
            <w:rPr>
              <w:sz w:val="18"/>
              <w:szCs w:val="18"/>
            </w:rPr>
            <w:tab/>
          </w:r>
          <w:r>
            <w:rPr>
              <w:rFonts w:ascii="Times New Roman" w:hAnsi="Times New Roman" w:eastAsia="Times New Roman" w:cs="Times New Roman"/>
              <w:spacing w:val="8"/>
              <w:sz w:val="18"/>
              <w:szCs w:val="18"/>
            </w:rPr>
            <w:t>24</w:t>
          </w:r>
          <w:r>
            <w:rPr>
              <w:rFonts w:ascii="Times New Roman" w:hAnsi="Times New Roman" w:eastAsia="Times New Roman" w:cs="Times New Roman"/>
              <w:spacing w:val="8"/>
              <w:sz w:val="18"/>
              <w:szCs w:val="18"/>
            </w:rPr>
            <w:fldChar w:fldCharType="end"/>
          </w:r>
        </w:p>
        <w:p w14:paraId="235B6FA0">
          <w:pPr>
            <w:pStyle w:val="2"/>
            <w:tabs>
              <w:tab w:val="right" w:leader="dot" w:pos="3836"/>
            </w:tabs>
            <w:spacing w:before="96" w:line="218" w:lineRule="auto"/>
            <w:ind w:left="400"/>
            <w:rPr>
              <w:rFonts w:ascii="Times New Roman" w:hAnsi="Times New Roman" w:eastAsia="Times New Roman" w:cs="Times New Roman"/>
              <w:sz w:val="18"/>
              <w:szCs w:val="18"/>
            </w:rPr>
          </w:pPr>
          <w:bookmarkStart w:id="152" w:name="bookmark150"/>
          <w:bookmarkEnd w:id="152"/>
          <w:r>
            <w:fldChar w:fldCharType="begin"/>
          </w:r>
          <w:r>
            <w:instrText xml:space="preserve"> HYPERLINK \l "bookmark150" </w:instrText>
          </w:r>
          <w:r>
            <w:fldChar w:fldCharType="separate"/>
          </w:r>
          <w:r>
            <w:rPr>
              <w:spacing w:val="-1"/>
              <w:sz w:val="18"/>
              <w:szCs w:val="18"/>
            </w:rPr>
            <w:t>监理及相关服务的质量与评价</w:t>
          </w:r>
          <w:r>
            <w:rPr>
              <w:spacing w:val="-49"/>
              <w:sz w:val="18"/>
              <w:szCs w:val="18"/>
            </w:rPr>
            <w:t xml:space="preserve"> </w:t>
          </w:r>
          <w:r>
            <w:rPr>
              <w:sz w:val="18"/>
              <w:szCs w:val="18"/>
            </w:rPr>
            <w:tab/>
          </w:r>
          <w:r>
            <w:rPr>
              <w:rFonts w:ascii="Times New Roman" w:hAnsi="Times New Roman" w:eastAsia="Times New Roman" w:cs="Times New Roman"/>
              <w:spacing w:val="3"/>
              <w:sz w:val="18"/>
              <w:szCs w:val="18"/>
            </w:rPr>
            <w:t>24</w:t>
          </w:r>
          <w:r>
            <w:rPr>
              <w:rFonts w:ascii="Times New Roman" w:hAnsi="Times New Roman" w:eastAsia="Times New Roman" w:cs="Times New Roman"/>
              <w:spacing w:val="3"/>
              <w:sz w:val="18"/>
              <w:szCs w:val="18"/>
            </w:rPr>
            <w:fldChar w:fldCharType="end"/>
          </w:r>
        </w:p>
        <w:p w14:paraId="3DAA804C">
          <w:pPr>
            <w:spacing w:line="342" w:lineRule="auto"/>
            <w:rPr>
              <w:rFonts w:ascii="Arial"/>
              <w:sz w:val="21"/>
            </w:rPr>
          </w:pPr>
        </w:p>
        <w:p w14:paraId="3533CBC4">
          <w:pPr>
            <w:spacing w:line="343" w:lineRule="auto"/>
            <w:rPr>
              <w:rFonts w:ascii="Arial"/>
              <w:sz w:val="21"/>
            </w:rPr>
          </w:pPr>
        </w:p>
        <w:p w14:paraId="777A6F1F">
          <w:pPr>
            <w:pStyle w:val="2"/>
            <w:tabs>
              <w:tab w:val="right" w:leader="dot" w:pos="3846"/>
            </w:tabs>
            <w:spacing w:before="59" w:line="219" w:lineRule="auto"/>
            <w:ind w:left="409"/>
            <w:rPr>
              <w:rFonts w:ascii="Times New Roman" w:hAnsi="Times New Roman" w:eastAsia="Times New Roman" w:cs="Times New Roman"/>
              <w:sz w:val="18"/>
              <w:szCs w:val="18"/>
            </w:rPr>
          </w:pPr>
          <w:bookmarkStart w:id="153" w:name="bookmark151"/>
          <w:bookmarkEnd w:id="153"/>
          <w:r>
            <w:fldChar w:fldCharType="begin"/>
          </w:r>
          <w:r>
            <w:instrText xml:space="preserve"> HYPERLINK \l "bookmark151" </w:instrText>
          </w:r>
          <w:r>
            <w:fldChar w:fldCharType="separate"/>
          </w:r>
          <w:r>
            <w:rPr>
              <w:spacing w:val="5"/>
              <w:sz w:val="18"/>
              <w:szCs w:val="18"/>
            </w:rPr>
            <w:t>监理机构</w:t>
          </w:r>
          <w:r>
            <w:rPr>
              <w:spacing w:val="-71"/>
              <w:sz w:val="18"/>
              <w:szCs w:val="18"/>
            </w:rPr>
            <w:t xml:space="preserve"> </w:t>
          </w:r>
          <w:r>
            <w:rPr>
              <w:sz w:val="18"/>
              <w:szCs w:val="18"/>
            </w:rPr>
            <w:tab/>
          </w:r>
          <w:r>
            <w:rPr>
              <w:rFonts w:ascii="Times New Roman" w:hAnsi="Times New Roman" w:eastAsia="Times New Roman" w:cs="Times New Roman"/>
              <w:spacing w:val="-1"/>
              <w:sz w:val="18"/>
              <w:szCs w:val="18"/>
            </w:rPr>
            <w:t>26</w:t>
          </w:r>
          <w:r>
            <w:rPr>
              <w:rFonts w:ascii="Times New Roman" w:hAnsi="Times New Roman" w:eastAsia="Times New Roman" w:cs="Times New Roman"/>
              <w:spacing w:val="-1"/>
              <w:sz w:val="18"/>
              <w:szCs w:val="18"/>
            </w:rPr>
            <w:fldChar w:fldCharType="end"/>
          </w:r>
        </w:p>
        <w:p w14:paraId="30FFBC2B">
          <w:pPr>
            <w:pStyle w:val="2"/>
            <w:tabs>
              <w:tab w:val="right" w:leader="dot" w:pos="3936"/>
            </w:tabs>
            <w:spacing w:before="107" w:line="219" w:lineRule="auto"/>
            <w:ind w:left="400"/>
            <w:rPr>
              <w:rFonts w:ascii="Times New Roman" w:hAnsi="Times New Roman" w:eastAsia="Times New Roman" w:cs="Times New Roman"/>
              <w:sz w:val="18"/>
              <w:szCs w:val="18"/>
            </w:rPr>
          </w:pPr>
          <w:bookmarkStart w:id="154" w:name="bookmark152"/>
          <w:bookmarkEnd w:id="154"/>
          <w:r>
            <w:fldChar w:fldCharType="begin"/>
          </w:r>
          <w:r>
            <w:instrText xml:space="preserve"> HYPERLINK \l "bookmark152" </w:instrText>
          </w:r>
          <w:r>
            <w:fldChar w:fldCharType="separate"/>
          </w:r>
          <w:r>
            <w:rPr>
              <w:rFonts w:ascii="Times New Roman" w:hAnsi="Times New Roman" w:eastAsia="Times New Roman" w:cs="Times New Roman"/>
              <w:sz w:val="18"/>
              <w:szCs w:val="18"/>
            </w:rPr>
            <w:t xml:space="preserve">9.1.1    </w:t>
          </w:r>
          <w:r>
            <w:rPr>
              <w:sz w:val="18"/>
              <w:szCs w:val="18"/>
            </w:rPr>
            <w:t>监理机构的组织架构</w:t>
          </w:r>
          <w:r>
            <w:rPr>
              <w:spacing w:val="-52"/>
              <w:sz w:val="18"/>
              <w:szCs w:val="18"/>
            </w:rPr>
            <w:t xml:space="preserve"> </w:t>
          </w:r>
          <w:r>
            <w:rPr>
              <w:sz w:val="18"/>
              <w:szCs w:val="18"/>
            </w:rPr>
            <w:tab/>
          </w:r>
          <w:r>
            <w:rPr>
              <w:rFonts w:ascii="Times New Roman" w:hAnsi="Times New Roman" w:eastAsia="Times New Roman" w:cs="Times New Roman"/>
              <w:spacing w:val="2"/>
              <w:sz w:val="18"/>
              <w:szCs w:val="18"/>
            </w:rPr>
            <w:t>226</w:t>
          </w:r>
          <w:r>
            <w:rPr>
              <w:rFonts w:ascii="Times New Roman" w:hAnsi="Times New Roman" w:eastAsia="Times New Roman" w:cs="Times New Roman"/>
              <w:spacing w:val="2"/>
              <w:sz w:val="18"/>
              <w:szCs w:val="18"/>
            </w:rPr>
            <w:fldChar w:fldCharType="end"/>
          </w:r>
        </w:p>
        <w:p w14:paraId="28C3CECF">
          <w:pPr>
            <w:pStyle w:val="2"/>
            <w:tabs>
              <w:tab w:val="right" w:leader="dot" w:pos="3946"/>
            </w:tabs>
            <w:spacing w:before="78" w:line="221" w:lineRule="auto"/>
            <w:ind w:left="400"/>
            <w:rPr>
              <w:rFonts w:ascii="Times New Roman" w:hAnsi="Times New Roman" w:eastAsia="Times New Roman" w:cs="Times New Roman"/>
              <w:sz w:val="18"/>
              <w:szCs w:val="18"/>
            </w:rPr>
          </w:pPr>
          <w:bookmarkStart w:id="155" w:name="bookmark153"/>
          <w:bookmarkEnd w:id="155"/>
          <w:r>
            <w:fldChar w:fldCharType="begin"/>
          </w:r>
          <w:r>
            <w:instrText xml:space="preserve"> HYPERLINK \l "bookmark153" </w:instrText>
          </w:r>
          <w:r>
            <w:fldChar w:fldCharType="separate"/>
          </w:r>
          <w:r>
            <w:rPr>
              <w:rFonts w:ascii="Times New Roman" w:hAnsi="Times New Roman" w:eastAsia="Times New Roman" w:cs="Times New Roman"/>
              <w:spacing w:val="-2"/>
              <w:sz w:val="18"/>
              <w:szCs w:val="18"/>
            </w:rPr>
            <w:t>9.1.2</w:t>
          </w:r>
          <w:r>
            <w:rPr>
              <w:rFonts w:ascii="Times New Roman" w:hAnsi="Times New Roman" w:eastAsia="Times New Roman" w:cs="Times New Roman"/>
              <w:spacing w:val="8"/>
              <w:sz w:val="18"/>
              <w:szCs w:val="18"/>
            </w:rPr>
            <w:t xml:space="preserve">    </w:t>
          </w:r>
          <w:r>
            <w:rPr>
              <w:spacing w:val="-2"/>
              <w:sz w:val="18"/>
              <w:szCs w:val="18"/>
            </w:rPr>
            <w:t>监理人员的职责</w:t>
          </w:r>
          <w:r>
            <w:rPr>
              <w:spacing w:val="-60"/>
              <w:sz w:val="18"/>
              <w:szCs w:val="18"/>
            </w:rPr>
            <w:t xml:space="preserve"> </w:t>
          </w:r>
          <w:r>
            <w:rPr>
              <w:sz w:val="18"/>
              <w:szCs w:val="18"/>
            </w:rPr>
            <w:tab/>
          </w:r>
          <w:r>
            <w:rPr>
              <w:rFonts w:ascii="Times New Roman" w:hAnsi="Times New Roman" w:eastAsia="Times New Roman" w:cs="Times New Roman"/>
              <w:spacing w:val="5"/>
              <w:sz w:val="18"/>
              <w:szCs w:val="18"/>
            </w:rPr>
            <w:t>226</w:t>
          </w:r>
          <w:r>
            <w:rPr>
              <w:rFonts w:ascii="Times New Roman" w:hAnsi="Times New Roman" w:eastAsia="Times New Roman" w:cs="Times New Roman"/>
              <w:spacing w:val="5"/>
              <w:sz w:val="18"/>
              <w:szCs w:val="18"/>
            </w:rPr>
            <w:fldChar w:fldCharType="end"/>
          </w:r>
        </w:p>
        <w:p w14:paraId="0844292C">
          <w:pPr>
            <w:pStyle w:val="2"/>
            <w:tabs>
              <w:tab w:val="right" w:leader="dot" w:pos="3936"/>
            </w:tabs>
            <w:spacing w:before="94" w:line="220" w:lineRule="auto"/>
            <w:ind w:left="419"/>
            <w:rPr>
              <w:rFonts w:ascii="Times New Roman" w:hAnsi="Times New Roman" w:eastAsia="Times New Roman" w:cs="Times New Roman"/>
              <w:sz w:val="18"/>
              <w:szCs w:val="18"/>
            </w:rPr>
          </w:pPr>
          <w:bookmarkStart w:id="156" w:name="bookmark154"/>
          <w:bookmarkEnd w:id="156"/>
          <w:r>
            <w:fldChar w:fldCharType="begin"/>
          </w:r>
          <w:r>
            <w:instrText xml:space="preserve"> HYPERLINK \l "bookmark154" </w:instrText>
          </w:r>
          <w:r>
            <w:fldChar w:fldCharType="separate"/>
          </w:r>
          <w:r>
            <w:rPr>
              <w:spacing w:val="-2"/>
              <w:sz w:val="18"/>
              <w:szCs w:val="18"/>
            </w:rPr>
            <w:t>监理大纲</w:t>
          </w:r>
          <w:r>
            <w:rPr>
              <w:spacing w:val="-63"/>
              <w:sz w:val="18"/>
              <w:szCs w:val="18"/>
            </w:rPr>
            <w:t xml:space="preserve"> </w:t>
          </w:r>
          <w:r>
            <w:rPr>
              <w:sz w:val="18"/>
              <w:szCs w:val="18"/>
            </w:rPr>
            <w:tab/>
          </w:r>
          <w:r>
            <w:rPr>
              <w:rFonts w:ascii="Times New Roman" w:hAnsi="Times New Roman" w:eastAsia="Times New Roman" w:cs="Times New Roman"/>
              <w:spacing w:val="2"/>
              <w:sz w:val="18"/>
              <w:szCs w:val="18"/>
            </w:rPr>
            <w:t>228</w:t>
          </w:r>
          <w:r>
            <w:rPr>
              <w:rFonts w:ascii="Times New Roman" w:hAnsi="Times New Roman" w:eastAsia="Times New Roman" w:cs="Times New Roman"/>
              <w:spacing w:val="2"/>
              <w:sz w:val="18"/>
              <w:szCs w:val="18"/>
            </w:rPr>
            <w:fldChar w:fldCharType="end"/>
          </w:r>
        </w:p>
        <w:p w14:paraId="3FA582B2">
          <w:pPr>
            <w:pStyle w:val="2"/>
            <w:tabs>
              <w:tab w:val="right" w:leader="dot" w:pos="3946"/>
            </w:tabs>
            <w:spacing w:before="86" w:line="220" w:lineRule="auto"/>
            <w:ind w:left="400"/>
            <w:rPr>
              <w:rFonts w:ascii="Times New Roman" w:hAnsi="Times New Roman" w:eastAsia="Times New Roman" w:cs="Times New Roman"/>
              <w:sz w:val="18"/>
              <w:szCs w:val="18"/>
            </w:rPr>
          </w:pPr>
          <w:bookmarkStart w:id="157" w:name="bookmark155"/>
          <w:bookmarkEnd w:id="157"/>
          <w:r>
            <w:fldChar w:fldCharType="begin"/>
          </w:r>
          <w:r>
            <w:instrText xml:space="preserve"> HYPERLINK \l "bookmark155" </w:instrText>
          </w:r>
          <w:r>
            <w:fldChar w:fldCharType="separate"/>
          </w:r>
          <w:r>
            <w:rPr>
              <w:rFonts w:ascii="Times New Roman" w:hAnsi="Times New Roman" w:eastAsia="Times New Roman" w:cs="Times New Roman"/>
              <w:spacing w:val="1"/>
              <w:sz w:val="18"/>
              <w:szCs w:val="18"/>
            </w:rPr>
            <w:t xml:space="preserve">9.2.1    </w:t>
          </w:r>
          <w:r>
            <w:rPr>
              <w:spacing w:val="1"/>
              <w:sz w:val="18"/>
              <w:szCs w:val="18"/>
            </w:rPr>
            <w:t>监理大纲的作用</w:t>
          </w:r>
          <w:r>
            <w:rPr>
              <w:spacing w:val="-68"/>
              <w:sz w:val="18"/>
              <w:szCs w:val="18"/>
            </w:rPr>
            <w:t xml:space="preserve"> </w:t>
          </w:r>
          <w:r>
            <w:rPr>
              <w:sz w:val="18"/>
              <w:szCs w:val="18"/>
            </w:rPr>
            <w:tab/>
          </w:r>
          <w:r>
            <w:rPr>
              <w:rFonts w:ascii="Times New Roman" w:hAnsi="Times New Roman" w:eastAsia="Times New Roman" w:cs="Times New Roman"/>
              <w:spacing w:val="5"/>
              <w:sz w:val="18"/>
              <w:szCs w:val="18"/>
            </w:rPr>
            <w:t>228</w:t>
          </w:r>
          <w:r>
            <w:rPr>
              <w:rFonts w:ascii="Times New Roman" w:hAnsi="Times New Roman" w:eastAsia="Times New Roman" w:cs="Times New Roman"/>
              <w:spacing w:val="5"/>
              <w:sz w:val="18"/>
              <w:szCs w:val="18"/>
            </w:rPr>
            <w:fldChar w:fldCharType="end"/>
          </w:r>
        </w:p>
        <w:p w14:paraId="71F84413">
          <w:pPr>
            <w:pStyle w:val="2"/>
            <w:tabs>
              <w:tab w:val="right" w:leader="dot" w:pos="3936"/>
            </w:tabs>
            <w:spacing w:before="95" w:line="184" w:lineRule="auto"/>
            <w:ind w:left="400"/>
            <w:rPr>
              <w:rFonts w:ascii="Times New Roman" w:hAnsi="Times New Roman" w:eastAsia="Times New Roman" w:cs="Times New Roman"/>
              <w:sz w:val="18"/>
              <w:szCs w:val="18"/>
            </w:rPr>
          </w:pPr>
          <w:bookmarkStart w:id="158" w:name="bookmark156"/>
          <w:bookmarkEnd w:id="158"/>
          <w:r>
            <w:fldChar w:fldCharType="begin"/>
          </w:r>
          <w:r>
            <w:instrText xml:space="preserve"> HYPERLINK \l "bookmark156" </w:instrText>
          </w:r>
          <w:r>
            <w:fldChar w:fldCharType="separate"/>
          </w:r>
          <w:r>
            <w:rPr>
              <w:rFonts w:ascii="Times New Roman" w:hAnsi="Times New Roman" w:eastAsia="Times New Roman" w:cs="Times New Roman"/>
              <w:spacing w:val="-2"/>
              <w:sz w:val="18"/>
              <w:szCs w:val="18"/>
            </w:rPr>
            <w:t>9.2.2</w:t>
          </w:r>
          <w:r>
            <w:rPr>
              <w:rFonts w:ascii="Times New Roman" w:hAnsi="Times New Roman" w:eastAsia="Times New Roman" w:cs="Times New Roman"/>
              <w:spacing w:val="8"/>
              <w:sz w:val="18"/>
              <w:szCs w:val="18"/>
            </w:rPr>
            <w:t xml:space="preserve">    </w:t>
          </w:r>
          <w:r>
            <w:rPr>
              <w:spacing w:val="-2"/>
              <w:sz w:val="18"/>
              <w:szCs w:val="18"/>
            </w:rPr>
            <w:t>监理大纲的编制</w:t>
          </w:r>
          <w:r>
            <w:rPr>
              <w:spacing w:val="-60"/>
              <w:sz w:val="18"/>
              <w:szCs w:val="18"/>
            </w:rPr>
            <w:t xml:space="preserve"> </w:t>
          </w:r>
          <w:r>
            <w:rPr>
              <w:sz w:val="18"/>
              <w:szCs w:val="18"/>
            </w:rPr>
            <w:tab/>
          </w:r>
          <w:r>
            <w:rPr>
              <w:rFonts w:ascii="Times New Roman" w:hAnsi="Times New Roman" w:eastAsia="Times New Roman" w:cs="Times New Roman"/>
              <w:spacing w:val="2"/>
              <w:sz w:val="18"/>
              <w:szCs w:val="18"/>
            </w:rPr>
            <w:t>228</w:t>
          </w:r>
          <w:r>
            <w:rPr>
              <w:rFonts w:ascii="Times New Roman" w:hAnsi="Times New Roman" w:eastAsia="Times New Roman" w:cs="Times New Roman"/>
              <w:spacing w:val="2"/>
              <w:sz w:val="18"/>
              <w:szCs w:val="18"/>
            </w:rPr>
            <w:fldChar w:fldCharType="end"/>
          </w:r>
        </w:p>
      </w:sdtContent>
    </w:sdt>
    <w:p w14:paraId="153252DC">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8"/>
          <w:szCs w:val="18"/>
        </w:rPr>
        <w:id w:val="147473037"/>
        <w:docPartObj>
          <w:docPartGallery w:val="Table of Contents"/>
          <w:docPartUnique/>
        </w:docPartObj>
      </w:sdtPr>
      <w:sdtEndPr>
        <w:rPr>
          <w:rFonts w:ascii="Times New Roman" w:hAnsi="Times New Roman" w:eastAsia="Times New Roman" w:cs="Times New Roman"/>
          <w:sz w:val="18"/>
          <w:szCs w:val="18"/>
        </w:rPr>
      </w:sdtEndPr>
      <w:sdtContent>
        <w:p w14:paraId="0DB8C767">
          <w:pPr>
            <w:pStyle w:val="2"/>
            <w:tabs>
              <w:tab w:val="right" w:leader="dot" w:pos="3946"/>
            </w:tabs>
            <w:spacing w:before="1" w:line="217" w:lineRule="auto"/>
            <w:ind w:left="390"/>
            <w:rPr>
              <w:rFonts w:ascii="Times New Roman" w:hAnsi="Times New Roman" w:eastAsia="Times New Roman" w:cs="Times New Roman"/>
              <w:sz w:val="18"/>
              <w:szCs w:val="18"/>
            </w:rPr>
          </w:pPr>
          <w:bookmarkStart w:id="159" w:name="bookmark157"/>
          <w:bookmarkEnd w:id="159"/>
          <w:r>
            <w:fldChar w:fldCharType="begin"/>
          </w:r>
          <w:r>
            <w:instrText xml:space="preserve"> HYPERLINK \l "bookmark157" </w:instrText>
          </w:r>
          <w:r>
            <w:fldChar w:fldCharType="separate"/>
          </w:r>
          <w:r>
            <w:rPr>
              <w:rFonts w:ascii="Times New Roman" w:hAnsi="Times New Roman" w:eastAsia="Times New Roman" w:cs="Times New Roman"/>
              <w:spacing w:val="-2"/>
              <w:sz w:val="18"/>
              <w:szCs w:val="18"/>
            </w:rPr>
            <w:t>9.2.3</w:t>
          </w:r>
          <w:r>
            <w:rPr>
              <w:rFonts w:ascii="Times New Roman" w:hAnsi="Times New Roman" w:eastAsia="Times New Roman" w:cs="Times New Roman"/>
              <w:spacing w:val="6"/>
              <w:sz w:val="18"/>
              <w:szCs w:val="18"/>
            </w:rPr>
            <w:t xml:space="preserve">    </w:t>
          </w:r>
          <w:r>
            <w:rPr>
              <w:spacing w:val="-2"/>
              <w:sz w:val="18"/>
              <w:szCs w:val="18"/>
            </w:rPr>
            <w:t>监理大纲的内容</w:t>
          </w:r>
          <w:r>
            <w:rPr>
              <w:spacing w:val="-52"/>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pacing w:val="-1"/>
              <w:sz w:val="18"/>
              <w:szCs w:val="18"/>
            </w:rPr>
            <w:t>229</w:t>
          </w:r>
          <w:r>
            <w:rPr>
              <w:rFonts w:ascii="Times New Roman" w:hAnsi="Times New Roman" w:eastAsia="Times New Roman" w:cs="Times New Roman"/>
              <w:spacing w:val="-1"/>
              <w:sz w:val="18"/>
              <w:szCs w:val="18"/>
            </w:rPr>
            <w:fldChar w:fldCharType="end"/>
          </w:r>
        </w:p>
        <w:p w14:paraId="0A8EECA0">
          <w:pPr>
            <w:pStyle w:val="2"/>
            <w:tabs>
              <w:tab w:val="right" w:leader="dot" w:pos="3956"/>
            </w:tabs>
            <w:spacing w:before="108" w:line="221" w:lineRule="auto"/>
            <w:rPr>
              <w:rFonts w:ascii="Times New Roman" w:hAnsi="Times New Roman" w:eastAsia="Times New Roman" w:cs="Times New Roman"/>
              <w:sz w:val="18"/>
              <w:szCs w:val="18"/>
            </w:rPr>
          </w:pPr>
          <w:bookmarkStart w:id="160" w:name="bookmark158"/>
          <w:bookmarkEnd w:id="160"/>
          <w:r>
            <w:fldChar w:fldCharType="begin"/>
          </w:r>
          <w:r>
            <w:instrText xml:space="preserve"> HYPERLINK \l "bookmark158" </w:instrText>
          </w:r>
          <w:r>
            <w:fldChar w:fldCharType="separate"/>
          </w:r>
          <w:r>
            <w:rPr>
              <w:rFonts w:ascii="Times New Roman" w:hAnsi="Times New Roman" w:eastAsia="Times New Roman" w:cs="Times New Roman"/>
              <w:sz w:val="18"/>
              <w:szCs w:val="18"/>
            </w:rPr>
            <w:t>9.3</w:t>
          </w:r>
          <w:r>
            <w:rPr>
              <w:rFonts w:ascii="Times New Roman" w:hAnsi="Times New Roman" w:eastAsia="Times New Roman" w:cs="Times New Roman"/>
              <w:spacing w:val="4"/>
              <w:sz w:val="18"/>
              <w:szCs w:val="18"/>
            </w:rPr>
            <w:t xml:space="preserve">    </w:t>
          </w:r>
          <w:r>
            <w:rPr>
              <w:sz w:val="18"/>
              <w:szCs w:val="18"/>
            </w:rPr>
            <w:t>监理规划</w:t>
          </w:r>
          <w:r>
            <w:rPr>
              <w:spacing w:val="-72"/>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pacing w:val="-1"/>
              <w:sz w:val="18"/>
              <w:szCs w:val="18"/>
            </w:rPr>
            <w:t>230</w:t>
          </w:r>
          <w:r>
            <w:rPr>
              <w:rFonts w:ascii="Times New Roman" w:hAnsi="Times New Roman" w:eastAsia="Times New Roman" w:cs="Times New Roman"/>
              <w:spacing w:val="-1"/>
              <w:sz w:val="18"/>
              <w:szCs w:val="18"/>
            </w:rPr>
            <w:fldChar w:fldCharType="end"/>
          </w:r>
        </w:p>
        <w:p w14:paraId="726FE14C">
          <w:pPr>
            <w:pStyle w:val="2"/>
            <w:tabs>
              <w:tab w:val="right" w:leader="dot" w:pos="3946"/>
            </w:tabs>
            <w:spacing w:before="93" w:line="220" w:lineRule="auto"/>
            <w:ind w:left="390"/>
            <w:rPr>
              <w:rFonts w:ascii="Times New Roman" w:hAnsi="Times New Roman" w:eastAsia="Times New Roman" w:cs="Times New Roman"/>
              <w:sz w:val="18"/>
              <w:szCs w:val="18"/>
            </w:rPr>
          </w:pPr>
          <w:bookmarkStart w:id="161" w:name="bookmark159"/>
          <w:bookmarkEnd w:id="161"/>
          <w:r>
            <w:fldChar w:fldCharType="begin"/>
          </w:r>
          <w:r>
            <w:instrText xml:space="preserve"> HYPERLINK \l "bookmark159" </w:instrText>
          </w:r>
          <w:r>
            <w:fldChar w:fldCharType="separate"/>
          </w:r>
          <w:r>
            <w:rPr>
              <w:rFonts w:ascii="Times New Roman" w:hAnsi="Times New Roman" w:eastAsia="Times New Roman" w:cs="Times New Roman"/>
              <w:spacing w:val="1"/>
              <w:sz w:val="18"/>
              <w:szCs w:val="18"/>
            </w:rPr>
            <w:t xml:space="preserve">9.3.1    </w:t>
          </w:r>
          <w:r>
            <w:rPr>
              <w:spacing w:val="1"/>
              <w:sz w:val="18"/>
              <w:szCs w:val="18"/>
            </w:rPr>
            <w:t>监理规划的作用</w:t>
          </w:r>
          <w:r>
            <w:rPr>
              <w:spacing w:val="-68"/>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pacing w:val="-1"/>
              <w:sz w:val="18"/>
              <w:szCs w:val="18"/>
            </w:rPr>
            <w:t>230</w:t>
          </w:r>
          <w:r>
            <w:rPr>
              <w:rFonts w:ascii="Times New Roman" w:hAnsi="Times New Roman" w:eastAsia="Times New Roman" w:cs="Times New Roman"/>
              <w:spacing w:val="-1"/>
              <w:sz w:val="18"/>
              <w:szCs w:val="18"/>
            </w:rPr>
            <w:fldChar w:fldCharType="end"/>
          </w:r>
        </w:p>
        <w:p w14:paraId="6AE2F6F7">
          <w:pPr>
            <w:pStyle w:val="2"/>
            <w:tabs>
              <w:tab w:val="right" w:leader="dot" w:pos="3956"/>
            </w:tabs>
            <w:spacing w:before="95" w:line="219" w:lineRule="auto"/>
            <w:ind w:left="390"/>
            <w:rPr>
              <w:rFonts w:ascii="Times New Roman" w:hAnsi="Times New Roman" w:eastAsia="Times New Roman" w:cs="Times New Roman"/>
              <w:sz w:val="18"/>
              <w:szCs w:val="18"/>
            </w:rPr>
          </w:pPr>
          <w:bookmarkStart w:id="162" w:name="bookmark160"/>
          <w:bookmarkEnd w:id="162"/>
          <w:r>
            <w:fldChar w:fldCharType="begin"/>
          </w:r>
          <w:r>
            <w:instrText xml:space="preserve"> HYPERLINK \l "bookmark160" </w:instrText>
          </w:r>
          <w:r>
            <w:fldChar w:fldCharType="separate"/>
          </w:r>
          <w:r>
            <w:rPr>
              <w:rFonts w:ascii="Times New Roman" w:hAnsi="Times New Roman" w:eastAsia="Times New Roman" w:cs="Times New Roman"/>
              <w:sz w:val="18"/>
              <w:szCs w:val="18"/>
            </w:rPr>
            <w:t>9.3.2</w:t>
          </w:r>
          <w:r>
            <w:rPr>
              <w:rFonts w:ascii="Times New Roman" w:hAnsi="Times New Roman" w:eastAsia="Times New Roman" w:cs="Times New Roman"/>
              <w:spacing w:val="6"/>
              <w:sz w:val="18"/>
              <w:szCs w:val="18"/>
            </w:rPr>
            <w:t xml:space="preserve">    </w:t>
          </w:r>
          <w:r>
            <w:rPr>
              <w:sz w:val="18"/>
              <w:szCs w:val="18"/>
            </w:rPr>
            <w:t>监理规划的编制</w:t>
          </w:r>
          <w:r>
            <w:rPr>
              <w:spacing w:val="-76"/>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1"/>
              <w:sz w:val="18"/>
              <w:szCs w:val="18"/>
            </w:rPr>
            <w:t>231</w:t>
          </w:r>
          <w:r>
            <w:rPr>
              <w:rFonts w:ascii="Times New Roman" w:hAnsi="Times New Roman" w:eastAsia="Times New Roman" w:cs="Times New Roman"/>
              <w:spacing w:val="-1"/>
              <w:sz w:val="18"/>
              <w:szCs w:val="18"/>
            </w:rPr>
            <w:fldChar w:fldCharType="end"/>
          </w:r>
        </w:p>
        <w:p w14:paraId="27DB93AF">
          <w:pPr>
            <w:pStyle w:val="2"/>
            <w:tabs>
              <w:tab w:val="right" w:leader="dot" w:pos="3956"/>
            </w:tabs>
            <w:spacing w:before="107" w:line="219" w:lineRule="auto"/>
            <w:ind w:left="390"/>
            <w:rPr>
              <w:rFonts w:ascii="Times New Roman" w:hAnsi="Times New Roman" w:eastAsia="Times New Roman" w:cs="Times New Roman"/>
              <w:sz w:val="18"/>
              <w:szCs w:val="18"/>
            </w:rPr>
          </w:pPr>
          <w:bookmarkStart w:id="163" w:name="bookmark161"/>
          <w:bookmarkEnd w:id="163"/>
          <w:r>
            <w:fldChar w:fldCharType="begin"/>
          </w:r>
          <w:r>
            <w:instrText xml:space="preserve"> HYPERLINK \l "bookmark161" </w:instrText>
          </w:r>
          <w:r>
            <w:fldChar w:fldCharType="separate"/>
          </w:r>
          <w:r>
            <w:rPr>
              <w:rFonts w:ascii="Times New Roman" w:hAnsi="Times New Roman" w:eastAsia="Times New Roman" w:cs="Times New Roman"/>
              <w:spacing w:val="-2"/>
              <w:sz w:val="18"/>
              <w:szCs w:val="18"/>
            </w:rPr>
            <w:t>9.3.3</w:t>
          </w:r>
          <w:r>
            <w:rPr>
              <w:rFonts w:ascii="Times New Roman" w:hAnsi="Times New Roman" w:eastAsia="Times New Roman" w:cs="Times New Roman"/>
              <w:spacing w:val="6"/>
              <w:sz w:val="18"/>
              <w:szCs w:val="18"/>
            </w:rPr>
            <w:t xml:space="preserve">    </w:t>
          </w:r>
          <w:r>
            <w:rPr>
              <w:spacing w:val="-2"/>
              <w:sz w:val="18"/>
              <w:szCs w:val="18"/>
            </w:rPr>
            <w:t>监理规划的内容</w:t>
          </w:r>
          <w:r>
            <w:rPr>
              <w:spacing w:val="-52"/>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1"/>
              <w:sz w:val="18"/>
              <w:szCs w:val="18"/>
            </w:rPr>
            <w:t>233</w:t>
          </w:r>
          <w:r>
            <w:rPr>
              <w:rFonts w:ascii="Times New Roman" w:hAnsi="Times New Roman" w:eastAsia="Times New Roman" w:cs="Times New Roman"/>
              <w:spacing w:val="-1"/>
              <w:sz w:val="18"/>
              <w:szCs w:val="18"/>
            </w:rPr>
            <w:fldChar w:fldCharType="end"/>
          </w:r>
        </w:p>
        <w:p w14:paraId="5565C2DB">
          <w:pPr>
            <w:pStyle w:val="2"/>
            <w:tabs>
              <w:tab w:val="right" w:leader="dot" w:pos="3946"/>
            </w:tabs>
            <w:spacing w:before="96" w:line="220" w:lineRule="auto"/>
            <w:rPr>
              <w:rFonts w:ascii="Times New Roman" w:hAnsi="Times New Roman" w:eastAsia="Times New Roman" w:cs="Times New Roman"/>
              <w:sz w:val="18"/>
              <w:szCs w:val="18"/>
            </w:rPr>
          </w:pPr>
          <w:bookmarkStart w:id="164" w:name="bookmark162"/>
          <w:bookmarkEnd w:id="164"/>
          <w:r>
            <w:fldChar w:fldCharType="begin"/>
          </w:r>
          <w:r>
            <w:instrText xml:space="preserve"> HYPERLINK \l "bookmark162" </w:instrText>
          </w:r>
          <w:r>
            <w:fldChar w:fldCharType="separate"/>
          </w:r>
          <w:r>
            <w:rPr>
              <w:rFonts w:ascii="Times New Roman" w:hAnsi="Times New Roman" w:eastAsia="Times New Roman" w:cs="Times New Roman"/>
              <w:spacing w:val="-1"/>
              <w:sz w:val="18"/>
              <w:szCs w:val="18"/>
            </w:rPr>
            <w:t xml:space="preserve">9.4    </w:t>
          </w:r>
          <w:r>
            <w:rPr>
              <w:spacing w:val="-1"/>
              <w:sz w:val="18"/>
              <w:szCs w:val="18"/>
            </w:rPr>
            <w:t>监理实施细则</w:t>
          </w:r>
          <w:r>
            <w:rPr>
              <w:spacing w:val="-63"/>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1"/>
              <w:sz w:val="18"/>
              <w:szCs w:val="18"/>
            </w:rPr>
            <w:t>234</w:t>
          </w:r>
          <w:r>
            <w:rPr>
              <w:rFonts w:ascii="Times New Roman" w:hAnsi="Times New Roman" w:eastAsia="Times New Roman" w:cs="Times New Roman"/>
              <w:spacing w:val="-1"/>
              <w:sz w:val="18"/>
              <w:szCs w:val="18"/>
            </w:rPr>
            <w:fldChar w:fldCharType="end"/>
          </w:r>
        </w:p>
        <w:p w14:paraId="7B9CD235">
          <w:pPr>
            <w:pStyle w:val="2"/>
            <w:tabs>
              <w:tab w:val="right" w:leader="dot" w:pos="3946"/>
            </w:tabs>
            <w:spacing w:before="96" w:line="220" w:lineRule="auto"/>
            <w:ind w:left="390"/>
            <w:rPr>
              <w:rFonts w:ascii="Times New Roman" w:hAnsi="Times New Roman" w:eastAsia="Times New Roman" w:cs="Times New Roman"/>
              <w:sz w:val="18"/>
              <w:szCs w:val="18"/>
            </w:rPr>
          </w:pPr>
          <w:bookmarkStart w:id="165" w:name="bookmark163"/>
          <w:bookmarkEnd w:id="165"/>
          <w:r>
            <w:fldChar w:fldCharType="begin"/>
          </w:r>
          <w:r>
            <w:instrText xml:space="preserve"> HYPERLINK \l "bookmark163" </w:instrText>
          </w:r>
          <w:r>
            <w:fldChar w:fldCharType="separate"/>
          </w:r>
          <w:r>
            <w:rPr>
              <w:rFonts w:ascii="Times New Roman" w:hAnsi="Times New Roman" w:eastAsia="Times New Roman" w:cs="Times New Roman"/>
              <w:spacing w:val="1"/>
              <w:sz w:val="18"/>
              <w:szCs w:val="18"/>
            </w:rPr>
            <w:t xml:space="preserve">9.4.1    </w:t>
          </w:r>
          <w:r>
            <w:rPr>
              <w:spacing w:val="1"/>
              <w:sz w:val="18"/>
              <w:szCs w:val="18"/>
            </w:rPr>
            <w:t>监理实施细则的作用</w:t>
          </w:r>
          <w:r>
            <w:rPr>
              <w:sz w:val="18"/>
              <w:szCs w:val="18"/>
            </w:rPr>
            <w:tab/>
          </w:r>
          <w:r>
            <w:rPr>
              <w:spacing w:val="-49"/>
              <w:sz w:val="18"/>
              <w:szCs w:val="18"/>
            </w:rPr>
            <w:t xml:space="preserve"> </w:t>
          </w:r>
          <w:r>
            <w:rPr>
              <w:rFonts w:ascii="Times New Roman" w:hAnsi="Times New Roman" w:eastAsia="Times New Roman" w:cs="Times New Roman"/>
              <w:spacing w:val="-1"/>
              <w:sz w:val="18"/>
              <w:szCs w:val="18"/>
            </w:rPr>
            <w:t>234</w:t>
          </w:r>
          <w:r>
            <w:rPr>
              <w:rFonts w:ascii="Times New Roman" w:hAnsi="Times New Roman" w:eastAsia="Times New Roman" w:cs="Times New Roman"/>
              <w:spacing w:val="-1"/>
              <w:sz w:val="18"/>
              <w:szCs w:val="18"/>
            </w:rPr>
            <w:fldChar w:fldCharType="end"/>
          </w:r>
        </w:p>
        <w:p w14:paraId="457DF8FB">
          <w:pPr>
            <w:pStyle w:val="2"/>
            <w:tabs>
              <w:tab w:val="right" w:leader="dot" w:pos="3946"/>
            </w:tabs>
            <w:spacing w:before="95" w:line="219" w:lineRule="auto"/>
            <w:ind w:left="390"/>
            <w:rPr>
              <w:rFonts w:ascii="Times New Roman" w:hAnsi="Times New Roman" w:eastAsia="Times New Roman" w:cs="Times New Roman"/>
              <w:sz w:val="18"/>
              <w:szCs w:val="18"/>
            </w:rPr>
          </w:pPr>
          <w:bookmarkStart w:id="166" w:name="bookmark164"/>
          <w:bookmarkEnd w:id="166"/>
          <w:r>
            <w:fldChar w:fldCharType="begin"/>
          </w:r>
          <w:r>
            <w:instrText xml:space="preserve"> HYPERLINK \l "bookmark164" </w:instrText>
          </w:r>
          <w:r>
            <w:fldChar w:fldCharType="separate"/>
          </w:r>
          <w:r>
            <w:rPr>
              <w:rFonts w:ascii="Times New Roman" w:hAnsi="Times New Roman" w:eastAsia="Times New Roman" w:cs="Times New Roman"/>
              <w:spacing w:val="1"/>
              <w:sz w:val="18"/>
              <w:szCs w:val="18"/>
            </w:rPr>
            <w:t xml:space="preserve">9.4.2    </w:t>
          </w:r>
          <w:r>
            <w:rPr>
              <w:spacing w:val="1"/>
              <w:sz w:val="18"/>
              <w:szCs w:val="18"/>
            </w:rPr>
            <w:t>监理实施细则的编制</w:t>
          </w:r>
          <w:r>
            <w:rPr>
              <w:sz w:val="18"/>
              <w:szCs w:val="18"/>
            </w:rPr>
            <w:tab/>
          </w:r>
          <w:r>
            <w:rPr>
              <w:spacing w:val="-49"/>
              <w:sz w:val="18"/>
              <w:szCs w:val="18"/>
            </w:rPr>
            <w:t xml:space="preserve"> </w:t>
          </w:r>
          <w:r>
            <w:rPr>
              <w:rFonts w:ascii="Times New Roman" w:hAnsi="Times New Roman" w:eastAsia="Times New Roman" w:cs="Times New Roman"/>
              <w:spacing w:val="-1"/>
              <w:sz w:val="18"/>
              <w:szCs w:val="18"/>
            </w:rPr>
            <w:t>235</w:t>
          </w:r>
          <w:r>
            <w:rPr>
              <w:rFonts w:ascii="Times New Roman" w:hAnsi="Times New Roman" w:eastAsia="Times New Roman" w:cs="Times New Roman"/>
              <w:spacing w:val="-1"/>
              <w:sz w:val="18"/>
              <w:szCs w:val="18"/>
            </w:rPr>
            <w:fldChar w:fldCharType="end"/>
          </w:r>
        </w:p>
        <w:p w14:paraId="426F40CE">
          <w:pPr>
            <w:pStyle w:val="2"/>
            <w:tabs>
              <w:tab w:val="right" w:leader="dot" w:pos="3946"/>
            </w:tabs>
            <w:spacing w:before="87" w:line="219" w:lineRule="auto"/>
            <w:ind w:left="390"/>
            <w:rPr>
              <w:rFonts w:ascii="Times New Roman" w:hAnsi="Times New Roman" w:eastAsia="Times New Roman" w:cs="Times New Roman"/>
              <w:sz w:val="18"/>
              <w:szCs w:val="18"/>
            </w:rPr>
          </w:pPr>
          <w:bookmarkStart w:id="167" w:name="bookmark165"/>
          <w:bookmarkEnd w:id="167"/>
          <w:r>
            <w:fldChar w:fldCharType="begin"/>
          </w:r>
          <w:r>
            <w:instrText xml:space="preserve"> HYPERLINK \l "bookmark165" </w:instrText>
          </w:r>
          <w:r>
            <w:fldChar w:fldCharType="separate"/>
          </w:r>
          <w:r>
            <w:rPr>
              <w:rFonts w:ascii="Times New Roman" w:hAnsi="Times New Roman" w:eastAsia="Times New Roman" w:cs="Times New Roman"/>
              <w:sz w:val="18"/>
              <w:szCs w:val="18"/>
            </w:rPr>
            <w:t xml:space="preserve">9.4.3    </w:t>
          </w:r>
          <w:r>
            <w:rPr>
              <w:sz w:val="18"/>
              <w:szCs w:val="18"/>
            </w:rPr>
            <w:t>监理实施细则的内容</w:t>
          </w:r>
          <w:r>
            <w:rPr>
              <w:spacing w:val="-52"/>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pacing w:val="-1"/>
              <w:sz w:val="18"/>
              <w:szCs w:val="18"/>
            </w:rPr>
            <w:t>236</w:t>
          </w:r>
          <w:r>
            <w:rPr>
              <w:rFonts w:ascii="Times New Roman" w:hAnsi="Times New Roman" w:eastAsia="Times New Roman" w:cs="Times New Roman"/>
              <w:spacing w:val="-1"/>
              <w:sz w:val="18"/>
              <w:szCs w:val="18"/>
            </w:rPr>
            <w:fldChar w:fldCharType="end"/>
          </w:r>
        </w:p>
        <w:p w14:paraId="4624D9FA">
          <w:pPr>
            <w:pStyle w:val="2"/>
            <w:spacing w:before="97" w:line="220" w:lineRule="auto"/>
            <w:ind w:left="20"/>
            <w:rPr>
              <w:sz w:val="18"/>
              <w:szCs w:val="18"/>
            </w:rPr>
          </w:pPr>
          <w:bookmarkStart w:id="168" w:name="bookmark166"/>
          <w:bookmarkEnd w:id="168"/>
          <w:r>
            <w:fldChar w:fldCharType="begin"/>
          </w:r>
          <w:r>
            <w:instrText xml:space="preserve"> HYPERLINK \l "bookmark166" </w:instrText>
          </w:r>
          <w:r>
            <w:fldChar w:fldCharType="separate"/>
          </w:r>
          <w:r>
            <w:rPr>
              <w:rFonts w:ascii="Times New Roman" w:hAnsi="Times New Roman" w:eastAsia="Times New Roman" w:cs="Times New Roman"/>
              <w:spacing w:val="-1"/>
              <w:sz w:val="18"/>
              <w:szCs w:val="18"/>
            </w:rPr>
            <w:t xml:space="preserve">9.5    </w:t>
          </w:r>
          <w:r>
            <w:rPr>
              <w:spacing w:val="-1"/>
              <w:sz w:val="18"/>
              <w:szCs w:val="18"/>
            </w:rPr>
            <w:t>监理大纲、监理规划、监理实施细则的</w:t>
          </w:r>
          <w:r>
            <w:rPr>
              <w:spacing w:val="-1"/>
              <w:sz w:val="18"/>
              <w:szCs w:val="18"/>
            </w:rPr>
            <w:fldChar w:fldCharType="end"/>
          </w:r>
        </w:p>
        <w:p w14:paraId="39F629FC">
          <w:pPr>
            <w:pStyle w:val="2"/>
            <w:tabs>
              <w:tab w:val="right" w:leader="dot" w:pos="3806"/>
            </w:tabs>
            <w:spacing w:before="115" w:line="219" w:lineRule="auto"/>
            <w:ind w:left="390"/>
            <w:rPr>
              <w:rFonts w:ascii="Times New Roman" w:hAnsi="Times New Roman" w:eastAsia="Times New Roman" w:cs="Times New Roman"/>
              <w:sz w:val="18"/>
              <w:szCs w:val="18"/>
            </w:rPr>
          </w:pPr>
          <w:bookmarkStart w:id="169" w:name="bookmark166"/>
          <w:bookmarkEnd w:id="169"/>
          <w:r>
            <w:fldChar w:fldCharType="begin"/>
          </w:r>
          <w:r>
            <w:instrText xml:space="preserve"> HYPERLINK \l "bookmark166" </w:instrText>
          </w:r>
          <w:r>
            <w:fldChar w:fldCharType="separate"/>
          </w:r>
          <w:r>
            <w:rPr>
              <w:spacing w:val="-5"/>
              <w:sz w:val="18"/>
              <w:szCs w:val="18"/>
            </w:rPr>
            <w:t>异同</w:t>
          </w:r>
          <w:r>
            <w:rPr>
              <w:spacing w:val="-61"/>
              <w:sz w:val="18"/>
              <w:szCs w:val="18"/>
            </w:rPr>
            <w:t xml:space="preserve"> </w:t>
          </w:r>
          <w:r>
            <w:rPr>
              <w:sz w:val="18"/>
              <w:szCs w:val="18"/>
            </w:rPr>
            <w:tab/>
          </w:r>
          <w:r>
            <w:rPr>
              <w:rFonts w:ascii="Times New Roman" w:hAnsi="Times New Roman" w:eastAsia="Times New Roman" w:cs="Times New Roman"/>
              <w:spacing w:val="2"/>
              <w:sz w:val="18"/>
              <w:szCs w:val="18"/>
            </w:rPr>
            <w:t>237</w:t>
          </w:r>
          <w:r>
            <w:rPr>
              <w:rFonts w:ascii="Times New Roman" w:hAnsi="Times New Roman" w:eastAsia="Times New Roman" w:cs="Times New Roman"/>
              <w:spacing w:val="2"/>
              <w:sz w:val="18"/>
              <w:szCs w:val="18"/>
            </w:rPr>
            <w:fldChar w:fldCharType="end"/>
          </w:r>
        </w:p>
      </w:sdtContent>
    </w:sdt>
    <w:p w14:paraId="79E99E30">
      <w:pPr>
        <w:spacing w:line="337" w:lineRule="auto"/>
        <w:rPr>
          <w:rFonts w:ascii="Arial"/>
          <w:sz w:val="21"/>
        </w:rPr>
      </w:pPr>
    </w:p>
    <w:p w14:paraId="08C1B715">
      <w:pPr>
        <w:spacing w:line="337" w:lineRule="auto"/>
        <w:rPr>
          <w:rFonts w:ascii="Arial"/>
          <w:sz w:val="21"/>
        </w:rPr>
      </w:pPr>
    </w:p>
    <w:sdt>
      <w:sdtPr>
        <w:rPr>
          <w:rFonts w:ascii="Times New Roman" w:hAnsi="Times New Roman" w:eastAsia="Times New Roman" w:cs="Times New Roman"/>
          <w:sz w:val="18"/>
          <w:szCs w:val="18"/>
        </w:rPr>
        <w:id w:val="147482198"/>
        <w:docPartObj>
          <w:docPartGallery w:val="Table of Contents"/>
          <w:docPartUnique/>
        </w:docPartObj>
      </w:sdtPr>
      <w:sdtEndPr>
        <w:rPr>
          <w:rFonts w:ascii="Times New Roman" w:hAnsi="Times New Roman" w:eastAsia="Times New Roman" w:cs="Times New Roman"/>
          <w:sz w:val="18"/>
          <w:szCs w:val="18"/>
        </w:rPr>
      </w:sdtEndPr>
      <w:sdtContent>
        <w:p w14:paraId="77049D80">
          <w:pPr>
            <w:pStyle w:val="2"/>
            <w:tabs>
              <w:tab w:val="right" w:leader="dot" w:pos="3946"/>
            </w:tabs>
            <w:spacing w:before="58" w:line="220" w:lineRule="auto"/>
            <w:rPr>
              <w:rFonts w:ascii="Times New Roman" w:hAnsi="Times New Roman" w:eastAsia="Times New Roman" w:cs="Times New Roman"/>
              <w:sz w:val="18"/>
              <w:szCs w:val="18"/>
            </w:rPr>
          </w:pPr>
          <w:bookmarkStart w:id="170" w:name="bookmark167"/>
          <w:bookmarkEnd w:id="170"/>
          <w:r>
            <w:fldChar w:fldCharType="begin"/>
          </w:r>
          <w:r>
            <w:instrText xml:space="preserve"> HYPERLINK \l "bookmark167" </w:instrText>
          </w:r>
          <w:r>
            <w:fldChar w:fldCharType="separate"/>
          </w:r>
          <w:r>
            <w:rPr>
              <w:rFonts w:ascii="Times New Roman" w:hAnsi="Times New Roman" w:eastAsia="Times New Roman" w:cs="Times New Roman"/>
              <w:spacing w:val="-1"/>
              <w:sz w:val="18"/>
              <w:szCs w:val="18"/>
            </w:rPr>
            <w:t>10.1</w:t>
          </w:r>
          <w:r>
            <w:rPr>
              <w:rFonts w:ascii="Times New Roman" w:hAnsi="Times New Roman" w:eastAsia="Times New Roman" w:cs="Times New Roman"/>
              <w:spacing w:val="12"/>
              <w:w w:val="102"/>
              <w:sz w:val="18"/>
              <w:szCs w:val="18"/>
            </w:rPr>
            <w:t xml:space="preserve">   </w:t>
          </w:r>
          <w:r>
            <w:rPr>
              <w:spacing w:val="-1"/>
              <w:sz w:val="18"/>
              <w:szCs w:val="18"/>
            </w:rPr>
            <w:t>质量控制基础</w:t>
          </w:r>
          <w:r>
            <w:rPr>
              <w:spacing w:val="-70"/>
              <w:sz w:val="18"/>
              <w:szCs w:val="18"/>
            </w:rPr>
            <w:t xml:space="preserve"> </w:t>
          </w:r>
          <w:r>
            <w:rPr>
              <w:sz w:val="18"/>
              <w:szCs w:val="18"/>
            </w:rPr>
            <w:tab/>
          </w:r>
          <w:r>
            <w:rPr>
              <w:rFonts w:ascii="Times New Roman" w:hAnsi="Times New Roman" w:eastAsia="Times New Roman" w:cs="Times New Roman"/>
              <w:spacing w:val="2"/>
              <w:sz w:val="18"/>
              <w:szCs w:val="18"/>
            </w:rPr>
            <w:t>239</w:t>
          </w:r>
          <w:r>
            <w:rPr>
              <w:rFonts w:ascii="Times New Roman" w:hAnsi="Times New Roman" w:eastAsia="Times New Roman" w:cs="Times New Roman"/>
              <w:spacing w:val="2"/>
              <w:sz w:val="18"/>
              <w:szCs w:val="18"/>
            </w:rPr>
            <w:fldChar w:fldCharType="end"/>
          </w:r>
        </w:p>
        <w:p w14:paraId="2106FC78">
          <w:pPr>
            <w:pStyle w:val="2"/>
            <w:tabs>
              <w:tab w:val="right" w:leader="dot" w:pos="3946"/>
            </w:tabs>
            <w:spacing w:before="85" w:line="219" w:lineRule="auto"/>
            <w:ind w:left="390"/>
            <w:rPr>
              <w:rFonts w:ascii="Times New Roman" w:hAnsi="Times New Roman" w:eastAsia="Times New Roman" w:cs="Times New Roman"/>
              <w:sz w:val="18"/>
              <w:szCs w:val="18"/>
            </w:rPr>
          </w:pPr>
          <w:bookmarkStart w:id="171" w:name="bookmark168"/>
          <w:bookmarkEnd w:id="171"/>
          <w:r>
            <w:fldChar w:fldCharType="begin"/>
          </w:r>
          <w:r>
            <w:instrText xml:space="preserve"> HYPERLINK \l "bookmark168" </w:instrText>
          </w:r>
          <w:r>
            <w:fldChar w:fldCharType="separate"/>
          </w:r>
          <w:r>
            <w:rPr>
              <w:rFonts w:ascii="Times New Roman" w:hAnsi="Times New Roman" w:eastAsia="Times New Roman" w:cs="Times New Roman"/>
              <w:spacing w:val="-1"/>
              <w:sz w:val="18"/>
              <w:szCs w:val="18"/>
            </w:rPr>
            <w:t xml:space="preserve">10.1.1    </w:t>
          </w:r>
          <w:r>
            <w:rPr>
              <w:spacing w:val="-1"/>
              <w:sz w:val="18"/>
              <w:szCs w:val="18"/>
            </w:rPr>
            <w:t>质量控制的概念</w:t>
          </w:r>
          <w:r>
            <w:rPr>
              <w:spacing w:val="-55"/>
              <w:sz w:val="18"/>
              <w:szCs w:val="18"/>
            </w:rPr>
            <w:t xml:space="preserve"> </w:t>
          </w:r>
          <w:r>
            <w:rPr>
              <w:sz w:val="18"/>
              <w:szCs w:val="18"/>
            </w:rPr>
            <w:tab/>
          </w:r>
          <w:r>
            <w:rPr>
              <w:rFonts w:ascii="Times New Roman" w:hAnsi="Times New Roman" w:eastAsia="Times New Roman" w:cs="Times New Roman"/>
              <w:spacing w:val="2"/>
              <w:sz w:val="18"/>
              <w:szCs w:val="18"/>
            </w:rPr>
            <w:t>240</w:t>
          </w:r>
          <w:r>
            <w:rPr>
              <w:rFonts w:ascii="Times New Roman" w:hAnsi="Times New Roman" w:eastAsia="Times New Roman" w:cs="Times New Roman"/>
              <w:spacing w:val="2"/>
              <w:sz w:val="18"/>
              <w:szCs w:val="18"/>
            </w:rPr>
            <w:fldChar w:fldCharType="end"/>
          </w:r>
        </w:p>
        <w:p w14:paraId="53D6CF75">
          <w:pPr>
            <w:pStyle w:val="2"/>
            <w:tabs>
              <w:tab w:val="right" w:leader="dot" w:pos="3946"/>
            </w:tabs>
            <w:spacing w:before="97" w:line="220" w:lineRule="auto"/>
            <w:ind w:left="390"/>
            <w:rPr>
              <w:rFonts w:ascii="Times New Roman" w:hAnsi="Times New Roman" w:eastAsia="Times New Roman" w:cs="Times New Roman"/>
              <w:sz w:val="18"/>
              <w:szCs w:val="18"/>
            </w:rPr>
          </w:pPr>
          <w:bookmarkStart w:id="172" w:name="bookmark169"/>
          <w:bookmarkEnd w:id="172"/>
          <w:r>
            <w:fldChar w:fldCharType="begin"/>
          </w:r>
          <w:r>
            <w:instrText xml:space="preserve"> HYPERLINK \l "bookmark169" </w:instrText>
          </w:r>
          <w:r>
            <w:fldChar w:fldCharType="separate"/>
          </w:r>
          <w:r>
            <w:rPr>
              <w:rFonts w:ascii="Times New Roman" w:hAnsi="Times New Roman" w:eastAsia="Times New Roman" w:cs="Times New Roman"/>
              <w:sz w:val="18"/>
              <w:szCs w:val="18"/>
            </w:rPr>
            <w:t xml:space="preserve">10.1.2    </w:t>
          </w:r>
          <w:r>
            <w:rPr>
              <w:sz w:val="18"/>
              <w:szCs w:val="18"/>
            </w:rPr>
            <w:t>质量控制的原则</w:t>
          </w:r>
          <w:r>
            <w:rPr>
              <w:spacing w:val="-72"/>
              <w:sz w:val="18"/>
              <w:szCs w:val="18"/>
            </w:rPr>
            <w:t xml:space="preserve"> </w:t>
          </w:r>
          <w:r>
            <w:rPr>
              <w:sz w:val="18"/>
              <w:szCs w:val="18"/>
            </w:rPr>
            <w:tab/>
          </w:r>
          <w:r>
            <w:rPr>
              <w:rFonts w:ascii="Times New Roman" w:hAnsi="Times New Roman" w:eastAsia="Times New Roman" w:cs="Times New Roman"/>
              <w:spacing w:val="2"/>
              <w:sz w:val="18"/>
              <w:szCs w:val="18"/>
            </w:rPr>
            <w:t>240</w:t>
          </w:r>
          <w:r>
            <w:rPr>
              <w:rFonts w:ascii="Times New Roman" w:hAnsi="Times New Roman" w:eastAsia="Times New Roman" w:cs="Times New Roman"/>
              <w:spacing w:val="2"/>
              <w:sz w:val="18"/>
              <w:szCs w:val="18"/>
            </w:rPr>
            <w:fldChar w:fldCharType="end"/>
          </w:r>
        </w:p>
        <w:p w14:paraId="55B436D8">
          <w:pPr>
            <w:pStyle w:val="2"/>
            <w:tabs>
              <w:tab w:val="right" w:leader="dot" w:pos="3956"/>
            </w:tabs>
            <w:spacing w:before="95" w:line="219" w:lineRule="auto"/>
            <w:ind w:left="390"/>
            <w:rPr>
              <w:rFonts w:ascii="Times New Roman" w:hAnsi="Times New Roman" w:eastAsia="Times New Roman" w:cs="Times New Roman"/>
              <w:sz w:val="18"/>
              <w:szCs w:val="18"/>
            </w:rPr>
          </w:pPr>
          <w:bookmarkStart w:id="173" w:name="bookmark170"/>
          <w:bookmarkEnd w:id="173"/>
          <w:r>
            <w:fldChar w:fldCharType="begin"/>
          </w:r>
          <w:r>
            <w:instrText xml:space="preserve"> HYPERLINK \l "bookmark170" </w:instrText>
          </w:r>
          <w:r>
            <w:fldChar w:fldCharType="separate"/>
          </w:r>
          <w:r>
            <w:rPr>
              <w:rFonts w:ascii="Times New Roman" w:hAnsi="Times New Roman" w:eastAsia="Times New Roman" w:cs="Times New Roman"/>
              <w:sz w:val="18"/>
              <w:szCs w:val="18"/>
            </w:rPr>
            <w:t xml:space="preserve">10.1.3    </w:t>
          </w:r>
          <w:r>
            <w:rPr>
              <w:sz w:val="18"/>
              <w:szCs w:val="18"/>
            </w:rPr>
            <w:t>质量控制的特点</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241</w:t>
          </w:r>
          <w:r>
            <w:rPr>
              <w:rFonts w:ascii="Times New Roman" w:hAnsi="Times New Roman" w:eastAsia="Times New Roman" w:cs="Times New Roman"/>
              <w:spacing w:val="2"/>
              <w:sz w:val="18"/>
              <w:szCs w:val="18"/>
            </w:rPr>
            <w:fldChar w:fldCharType="end"/>
          </w:r>
        </w:p>
        <w:p w14:paraId="4D2BFCA2">
          <w:pPr>
            <w:pStyle w:val="2"/>
            <w:tabs>
              <w:tab w:val="right" w:leader="dot" w:pos="3946"/>
            </w:tabs>
            <w:spacing w:before="97" w:line="219" w:lineRule="auto"/>
            <w:rPr>
              <w:rFonts w:ascii="Times New Roman" w:hAnsi="Times New Roman" w:eastAsia="Times New Roman" w:cs="Times New Roman"/>
              <w:sz w:val="18"/>
              <w:szCs w:val="18"/>
            </w:rPr>
          </w:pPr>
          <w:bookmarkStart w:id="174" w:name="bookmark171"/>
          <w:bookmarkEnd w:id="174"/>
          <w:r>
            <w:fldChar w:fldCharType="begin"/>
          </w:r>
          <w:r>
            <w:instrText xml:space="preserve"> HYPERLINK \l "bookmark171" </w:instrText>
          </w:r>
          <w:r>
            <w:fldChar w:fldCharType="separate"/>
          </w:r>
          <w:r>
            <w:rPr>
              <w:rFonts w:ascii="Times New Roman" w:hAnsi="Times New Roman" w:eastAsia="Times New Roman" w:cs="Times New Roman"/>
              <w:sz w:val="18"/>
              <w:szCs w:val="18"/>
            </w:rPr>
            <w:t xml:space="preserve">10.2    </w:t>
          </w:r>
          <w:r>
            <w:rPr>
              <w:sz w:val="18"/>
              <w:szCs w:val="18"/>
            </w:rPr>
            <w:t>对质量影响因素的控制</w:t>
          </w:r>
          <w:r>
            <w:rPr>
              <w:spacing w:val="-76"/>
              <w:sz w:val="18"/>
              <w:szCs w:val="18"/>
            </w:rPr>
            <w:t xml:space="preserve"> </w:t>
          </w:r>
          <w:r>
            <w:rPr>
              <w:sz w:val="18"/>
              <w:szCs w:val="18"/>
            </w:rPr>
            <w:tab/>
          </w:r>
          <w:r>
            <w:rPr>
              <w:rFonts w:ascii="Times New Roman" w:hAnsi="Times New Roman" w:eastAsia="Times New Roman" w:cs="Times New Roman"/>
              <w:spacing w:val="2"/>
              <w:sz w:val="18"/>
              <w:szCs w:val="18"/>
            </w:rPr>
            <w:t>242</w:t>
          </w:r>
          <w:r>
            <w:rPr>
              <w:rFonts w:ascii="Times New Roman" w:hAnsi="Times New Roman" w:eastAsia="Times New Roman" w:cs="Times New Roman"/>
              <w:spacing w:val="2"/>
              <w:sz w:val="18"/>
              <w:szCs w:val="18"/>
            </w:rPr>
            <w:fldChar w:fldCharType="end"/>
          </w:r>
        </w:p>
        <w:p w14:paraId="1BF0D836">
          <w:pPr>
            <w:pStyle w:val="2"/>
            <w:tabs>
              <w:tab w:val="right" w:leader="dot" w:pos="3966"/>
            </w:tabs>
            <w:spacing w:before="87" w:line="220" w:lineRule="auto"/>
            <w:rPr>
              <w:rFonts w:ascii="Times New Roman" w:hAnsi="Times New Roman" w:eastAsia="Times New Roman" w:cs="Times New Roman"/>
              <w:sz w:val="18"/>
              <w:szCs w:val="18"/>
            </w:rPr>
          </w:pPr>
          <w:bookmarkStart w:id="175" w:name="bookmark172"/>
          <w:bookmarkEnd w:id="175"/>
          <w:r>
            <w:fldChar w:fldCharType="begin"/>
          </w:r>
          <w:r>
            <w:instrText xml:space="preserve"> HYPERLINK \l "bookmark172" </w:instrText>
          </w:r>
          <w:r>
            <w:fldChar w:fldCharType="separate"/>
          </w:r>
          <w:r>
            <w:rPr>
              <w:rFonts w:ascii="Times New Roman" w:hAnsi="Times New Roman" w:eastAsia="Times New Roman" w:cs="Times New Roman"/>
              <w:spacing w:val="-3"/>
              <w:sz w:val="18"/>
              <w:szCs w:val="18"/>
            </w:rPr>
            <w:t>10.3</w:t>
          </w:r>
          <w:r>
            <w:rPr>
              <w:rFonts w:ascii="Times New Roman" w:hAnsi="Times New Roman" w:eastAsia="Times New Roman" w:cs="Times New Roman"/>
              <w:spacing w:val="12"/>
              <w:sz w:val="18"/>
              <w:szCs w:val="18"/>
            </w:rPr>
            <w:t xml:space="preserve">   </w:t>
          </w:r>
          <w:r>
            <w:rPr>
              <w:spacing w:val="-3"/>
              <w:sz w:val="18"/>
              <w:szCs w:val="18"/>
            </w:rPr>
            <w:t>质量控制体系建设</w:t>
          </w:r>
          <w:r>
            <w:rPr>
              <w:spacing w:val="-51"/>
              <w:sz w:val="18"/>
              <w:szCs w:val="18"/>
            </w:rPr>
            <w:t xml:space="preserve"> </w:t>
          </w:r>
          <w:r>
            <w:rPr>
              <w:sz w:val="18"/>
              <w:szCs w:val="18"/>
            </w:rPr>
            <w:tab/>
          </w:r>
          <w:r>
            <w:rPr>
              <w:rFonts w:ascii="Times New Roman" w:hAnsi="Times New Roman" w:eastAsia="Times New Roman" w:cs="Times New Roman"/>
              <w:spacing w:val="-3"/>
              <w:sz w:val="18"/>
              <w:szCs w:val="18"/>
            </w:rPr>
            <w:t>243</w:t>
          </w:r>
          <w:r>
            <w:rPr>
              <w:rFonts w:ascii="Times New Roman" w:hAnsi="Times New Roman" w:eastAsia="Times New Roman" w:cs="Times New Roman"/>
              <w:spacing w:val="-3"/>
              <w:sz w:val="18"/>
              <w:szCs w:val="18"/>
            </w:rPr>
            <w:fldChar w:fldCharType="end"/>
          </w:r>
        </w:p>
        <w:p w14:paraId="66AE6EEB">
          <w:pPr>
            <w:pStyle w:val="2"/>
            <w:tabs>
              <w:tab w:val="right" w:leader="dot" w:pos="3956"/>
            </w:tabs>
            <w:spacing w:before="95" w:line="219" w:lineRule="auto"/>
            <w:ind w:left="390"/>
            <w:rPr>
              <w:rFonts w:ascii="Times New Roman" w:hAnsi="Times New Roman" w:eastAsia="Times New Roman" w:cs="Times New Roman"/>
              <w:sz w:val="18"/>
              <w:szCs w:val="18"/>
            </w:rPr>
          </w:pPr>
          <w:bookmarkStart w:id="176" w:name="bookmark173"/>
          <w:bookmarkEnd w:id="176"/>
          <w:r>
            <w:fldChar w:fldCharType="begin"/>
          </w:r>
          <w:r>
            <w:instrText xml:space="preserve"> HYPERLINK \l "bookmark173" </w:instrText>
          </w:r>
          <w:r>
            <w:fldChar w:fldCharType="separate"/>
          </w:r>
          <w:r>
            <w:rPr>
              <w:rFonts w:ascii="Times New Roman" w:hAnsi="Times New Roman" w:eastAsia="Times New Roman" w:cs="Times New Roman"/>
              <w:spacing w:val="-2"/>
              <w:sz w:val="18"/>
              <w:szCs w:val="18"/>
            </w:rPr>
            <w:t>10.3.1</w:t>
          </w:r>
          <w:r>
            <w:rPr>
              <w:rFonts w:ascii="Times New Roman" w:hAnsi="Times New Roman" w:eastAsia="Times New Roman" w:cs="Times New Roman"/>
              <w:spacing w:val="5"/>
              <w:sz w:val="18"/>
              <w:szCs w:val="18"/>
            </w:rPr>
            <w:t xml:space="preserve">    </w:t>
          </w:r>
          <w:r>
            <w:rPr>
              <w:spacing w:val="-2"/>
              <w:sz w:val="18"/>
              <w:szCs w:val="18"/>
            </w:rPr>
            <w:t>质量控制体系的概念</w:t>
          </w:r>
          <w:r>
            <w:rPr>
              <w:spacing w:val="-52"/>
              <w:sz w:val="18"/>
              <w:szCs w:val="18"/>
            </w:rPr>
            <w:t xml:space="preserve"> </w:t>
          </w:r>
          <w:r>
            <w:rPr>
              <w:sz w:val="18"/>
              <w:szCs w:val="18"/>
            </w:rPr>
            <w:tab/>
          </w:r>
          <w:r>
            <w:rPr>
              <w:rFonts w:ascii="Times New Roman" w:hAnsi="Times New Roman" w:eastAsia="Times New Roman" w:cs="Times New Roman"/>
              <w:spacing w:val="2"/>
              <w:sz w:val="18"/>
              <w:szCs w:val="18"/>
            </w:rPr>
            <w:t>243</w:t>
          </w:r>
          <w:r>
            <w:rPr>
              <w:rFonts w:ascii="Times New Roman" w:hAnsi="Times New Roman" w:eastAsia="Times New Roman" w:cs="Times New Roman"/>
              <w:spacing w:val="2"/>
              <w:sz w:val="18"/>
              <w:szCs w:val="18"/>
            </w:rPr>
            <w:fldChar w:fldCharType="end"/>
          </w:r>
        </w:p>
        <w:p w14:paraId="45B3F7EA">
          <w:pPr>
            <w:pStyle w:val="2"/>
            <w:tabs>
              <w:tab w:val="right" w:leader="dot" w:pos="3956"/>
            </w:tabs>
            <w:spacing w:before="107" w:line="220" w:lineRule="auto"/>
            <w:ind w:left="390"/>
            <w:rPr>
              <w:rFonts w:ascii="Times New Roman" w:hAnsi="Times New Roman" w:eastAsia="Times New Roman" w:cs="Times New Roman"/>
              <w:sz w:val="18"/>
              <w:szCs w:val="18"/>
            </w:rPr>
          </w:pPr>
          <w:bookmarkStart w:id="177" w:name="bookmark174"/>
          <w:bookmarkEnd w:id="177"/>
          <w:r>
            <w:fldChar w:fldCharType="begin"/>
          </w:r>
          <w:r>
            <w:instrText xml:space="preserve"> HYPERLINK \l "bookmark174" </w:instrText>
          </w:r>
          <w:r>
            <w:fldChar w:fldCharType="separate"/>
          </w:r>
          <w:r>
            <w:rPr>
              <w:rFonts w:ascii="Times New Roman" w:hAnsi="Times New Roman" w:eastAsia="Times New Roman" w:cs="Times New Roman"/>
              <w:sz w:val="18"/>
              <w:szCs w:val="18"/>
            </w:rPr>
            <w:t xml:space="preserve">10.3.2    </w:t>
          </w:r>
          <w:r>
            <w:rPr>
              <w:sz w:val="18"/>
              <w:szCs w:val="18"/>
            </w:rPr>
            <w:t>三方协同的质量控制</w:t>
          </w:r>
          <w:r>
            <w:rPr>
              <w:spacing w:val="-71"/>
              <w:sz w:val="18"/>
              <w:szCs w:val="18"/>
            </w:rPr>
            <w:t xml:space="preserve"> </w:t>
          </w:r>
          <w:r>
            <w:rPr>
              <w:sz w:val="18"/>
              <w:szCs w:val="18"/>
            </w:rPr>
            <w:tab/>
          </w:r>
          <w:r>
            <w:rPr>
              <w:rFonts w:ascii="Times New Roman" w:hAnsi="Times New Roman" w:eastAsia="Times New Roman" w:cs="Times New Roman"/>
              <w:spacing w:val="2"/>
              <w:sz w:val="18"/>
              <w:szCs w:val="18"/>
            </w:rPr>
            <w:t>245</w:t>
          </w:r>
          <w:r>
            <w:rPr>
              <w:rFonts w:ascii="Times New Roman" w:hAnsi="Times New Roman" w:eastAsia="Times New Roman" w:cs="Times New Roman"/>
              <w:spacing w:val="2"/>
              <w:sz w:val="18"/>
              <w:szCs w:val="18"/>
            </w:rPr>
            <w:fldChar w:fldCharType="end"/>
          </w:r>
        </w:p>
        <w:p w14:paraId="1A99B466">
          <w:pPr>
            <w:pStyle w:val="2"/>
            <w:tabs>
              <w:tab w:val="right" w:leader="dot" w:pos="3856"/>
            </w:tabs>
            <w:spacing w:before="95" w:line="220" w:lineRule="auto"/>
            <w:rPr>
              <w:rFonts w:ascii="Times New Roman" w:hAnsi="Times New Roman" w:eastAsia="Times New Roman" w:cs="Times New Roman"/>
              <w:sz w:val="18"/>
              <w:szCs w:val="18"/>
            </w:rPr>
          </w:pPr>
          <w:bookmarkStart w:id="178" w:name="bookmark175"/>
          <w:bookmarkEnd w:id="178"/>
          <w:r>
            <w:fldChar w:fldCharType="begin"/>
          </w:r>
          <w:r>
            <w:instrText xml:space="preserve"> HYPERLINK \l "bookmark175" </w:instrText>
          </w:r>
          <w:r>
            <w:fldChar w:fldCharType="separate"/>
          </w:r>
          <w:r>
            <w:rPr>
              <w:rFonts w:ascii="Times New Roman" w:hAnsi="Times New Roman" w:eastAsia="Times New Roman" w:cs="Times New Roman"/>
              <w:sz w:val="18"/>
              <w:szCs w:val="18"/>
            </w:rPr>
            <w:t>10.4</w:t>
          </w:r>
          <w:r>
            <w:rPr>
              <w:rFonts w:ascii="Times New Roman" w:hAnsi="Times New Roman" w:eastAsia="Times New Roman" w:cs="Times New Roman"/>
              <w:spacing w:val="12"/>
              <w:sz w:val="18"/>
              <w:szCs w:val="18"/>
            </w:rPr>
            <w:t xml:space="preserve">   </w:t>
          </w:r>
          <w:r>
            <w:rPr>
              <w:sz w:val="18"/>
              <w:szCs w:val="18"/>
            </w:rPr>
            <w:t>质量控制手段</w:t>
          </w:r>
          <w:r>
            <w:rPr>
              <w:spacing w:val="-68"/>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1"/>
              <w:sz w:val="18"/>
              <w:szCs w:val="18"/>
            </w:rPr>
            <w:t>247</w:t>
          </w:r>
          <w:r>
            <w:rPr>
              <w:rFonts w:ascii="Times New Roman" w:hAnsi="Times New Roman" w:eastAsia="Times New Roman" w:cs="Times New Roman"/>
              <w:spacing w:val="-1"/>
              <w:sz w:val="18"/>
              <w:szCs w:val="18"/>
            </w:rPr>
            <w:fldChar w:fldCharType="end"/>
          </w:r>
        </w:p>
        <w:p w14:paraId="215A4B2A">
          <w:pPr>
            <w:pStyle w:val="2"/>
            <w:tabs>
              <w:tab w:val="right" w:leader="dot" w:pos="3956"/>
            </w:tabs>
            <w:spacing w:before="76" w:line="220" w:lineRule="auto"/>
            <w:ind w:left="390"/>
            <w:rPr>
              <w:rFonts w:ascii="Times New Roman" w:hAnsi="Times New Roman" w:eastAsia="Times New Roman" w:cs="Times New Roman"/>
              <w:sz w:val="18"/>
              <w:szCs w:val="18"/>
            </w:rPr>
          </w:pPr>
          <w:bookmarkStart w:id="179" w:name="bookmark176"/>
          <w:bookmarkEnd w:id="179"/>
          <w:r>
            <w:fldChar w:fldCharType="begin"/>
          </w:r>
          <w:r>
            <w:instrText xml:space="preserve"> HYPERLINK \l "bookmark176" </w:instrText>
          </w:r>
          <w:r>
            <w:fldChar w:fldCharType="separate"/>
          </w:r>
          <w:r>
            <w:rPr>
              <w:rFonts w:ascii="Times New Roman" w:hAnsi="Times New Roman" w:eastAsia="Times New Roman" w:cs="Times New Roman"/>
              <w:spacing w:val="-3"/>
              <w:sz w:val="18"/>
              <w:szCs w:val="18"/>
            </w:rPr>
            <w:t xml:space="preserve">10.4.1    </w:t>
          </w:r>
          <w:r>
            <w:rPr>
              <w:spacing w:val="-3"/>
              <w:sz w:val="18"/>
              <w:szCs w:val="18"/>
            </w:rPr>
            <w:t>评审</w:t>
          </w:r>
          <w:r>
            <w:rPr>
              <w:spacing w:val="-56"/>
              <w:sz w:val="18"/>
              <w:szCs w:val="18"/>
            </w:rPr>
            <w:t xml:space="preserve"> </w:t>
          </w:r>
          <w:r>
            <w:rPr>
              <w:sz w:val="18"/>
              <w:szCs w:val="18"/>
            </w:rPr>
            <w:tab/>
          </w:r>
          <w:r>
            <w:rPr>
              <w:rFonts w:ascii="Times New Roman" w:hAnsi="Times New Roman" w:eastAsia="Times New Roman" w:cs="Times New Roman"/>
              <w:spacing w:val="-3"/>
              <w:sz w:val="18"/>
              <w:szCs w:val="18"/>
            </w:rPr>
            <w:t>247</w:t>
          </w:r>
          <w:r>
            <w:rPr>
              <w:rFonts w:ascii="Times New Roman" w:hAnsi="Times New Roman" w:eastAsia="Times New Roman" w:cs="Times New Roman"/>
              <w:spacing w:val="-3"/>
              <w:sz w:val="18"/>
              <w:szCs w:val="18"/>
            </w:rPr>
            <w:fldChar w:fldCharType="end"/>
          </w:r>
        </w:p>
        <w:p w14:paraId="57BF5013">
          <w:pPr>
            <w:pStyle w:val="2"/>
            <w:tabs>
              <w:tab w:val="right" w:leader="dot" w:pos="3946"/>
            </w:tabs>
            <w:spacing w:before="86" w:line="221" w:lineRule="auto"/>
            <w:ind w:left="390"/>
            <w:rPr>
              <w:rFonts w:ascii="Times New Roman" w:hAnsi="Times New Roman" w:eastAsia="Times New Roman" w:cs="Times New Roman"/>
              <w:sz w:val="18"/>
              <w:szCs w:val="18"/>
            </w:rPr>
          </w:pPr>
          <w:bookmarkStart w:id="180" w:name="bookmark177"/>
          <w:bookmarkEnd w:id="180"/>
          <w:r>
            <w:fldChar w:fldCharType="begin"/>
          </w:r>
          <w:r>
            <w:instrText xml:space="preserve"> HYPERLINK \l "bookmark177" </w:instrText>
          </w:r>
          <w:r>
            <w:fldChar w:fldCharType="separate"/>
          </w:r>
          <w:r>
            <w:rPr>
              <w:rFonts w:ascii="Times New Roman" w:hAnsi="Times New Roman" w:eastAsia="Times New Roman" w:cs="Times New Roman"/>
              <w:spacing w:val="-1"/>
              <w:sz w:val="18"/>
              <w:szCs w:val="18"/>
            </w:rPr>
            <w:t>10.4.2</w:t>
          </w:r>
          <w:r>
            <w:rPr>
              <w:rFonts w:ascii="Times New Roman" w:hAnsi="Times New Roman" w:eastAsia="Times New Roman" w:cs="Times New Roman"/>
              <w:spacing w:val="3"/>
              <w:sz w:val="18"/>
              <w:szCs w:val="18"/>
            </w:rPr>
            <w:t xml:space="preserve">    </w:t>
          </w:r>
          <w:r>
            <w:rPr>
              <w:spacing w:val="-1"/>
              <w:sz w:val="18"/>
              <w:szCs w:val="18"/>
            </w:rPr>
            <w:t>测试</w:t>
          </w:r>
          <w:r>
            <w:rPr>
              <w:spacing w:val="-66"/>
              <w:sz w:val="18"/>
              <w:szCs w:val="18"/>
            </w:rPr>
            <w:t xml:space="preserve"> </w:t>
          </w:r>
          <w:r>
            <w:rPr>
              <w:sz w:val="18"/>
              <w:szCs w:val="18"/>
            </w:rPr>
            <w:tab/>
          </w:r>
          <w:r>
            <w:rPr>
              <w:rFonts w:ascii="Times New Roman" w:hAnsi="Times New Roman" w:eastAsia="Times New Roman" w:cs="Times New Roman"/>
              <w:spacing w:val="2"/>
              <w:sz w:val="18"/>
              <w:szCs w:val="18"/>
            </w:rPr>
            <w:t>248</w:t>
          </w:r>
          <w:r>
            <w:rPr>
              <w:rFonts w:ascii="Times New Roman" w:hAnsi="Times New Roman" w:eastAsia="Times New Roman" w:cs="Times New Roman"/>
              <w:spacing w:val="2"/>
              <w:sz w:val="18"/>
              <w:szCs w:val="18"/>
            </w:rPr>
            <w:fldChar w:fldCharType="end"/>
          </w:r>
        </w:p>
      </w:sdtContent>
    </w:sdt>
    <w:p w14:paraId="544ED6FC">
      <w:pPr>
        <w:spacing w:line="221" w:lineRule="auto"/>
        <w:rPr>
          <w:rFonts w:ascii="Times New Roman" w:hAnsi="Times New Roman" w:eastAsia="Times New Roman" w:cs="Times New Roman"/>
          <w:sz w:val="18"/>
          <w:szCs w:val="18"/>
        </w:rPr>
        <w:sectPr>
          <w:type w:val="continuous"/>
          <w:pgSz w:w="10390" w:h="13320"/>
          <w:pgMar w:top="400" w:right="545" w:bottom="400" w:left="1250" w:header="0" w:footer="0" w:gutter="0"/>
          <w:cols w:equalWidth="0" w:num="2">
            <w:col w:w="4260" w:space="100"/>
            <w:col w:w="4235"/>
          </w:cols>
        </w:sectPr>
      </w:pPr>
    </w:p>
    <w:p w14:paraId="7DF26499">
      <w:pPr>
        <w:pStyle w:val="2"/>
        <w:spacing w:before="40" w:line="237" w:lineRule="auto"/>
        <w:rPr>
          <w:sz w:val="18"/>
          <w:szCs w:val="18"/>
        </w:rPr>
      </w:pPr>
      <w:r>
        <w:rPr>
          <w:rFonts w:ascii="Times New Roman" w:hAnsi="Times New Roman" w:eastAsia="Times New Roman" w:cs="Times New Roman"/>
          <w:position w:val="1"/>
          <w:sz w:val="25"/>
          <w:szCs w:val="25"/>
        </w:rPr>
        <w:t>VI</w:t>
      </w:r>
      <w:r>
        <w:rPr>
          <w:rFonts w:ascii="Times New Roman" w:hAnsi="Times New Roman" w:eastAsia="Times New Roman" w:cs="Times New Roman"/>
          <w:spacing w:val="12"/>
          <w:position w:val="1"/>
          <w:sz w:val="25"/>
          <w:szCs w:val="25"/>
        </w:rPr>
        <w:t xml:space="preserve"> </w:t>
      </w:r>
      <w:r>
        <w:rPr>
          <w:position w:val="-7"/>
          <w:sz w:val="25"/>
          <w:szCs w:val="25"/>
        </w:rPr>
        <w:drawing>
          <wp:inline distT="0" distB="0" distL="0" distR="0">
            <wp:extent cx="266065" cy="1968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2"/>
                    <a:stretch>
                      <a:fillRect/>
                    </a:stretch>
                  </pic:blipFill>
                  <pic:spPr>
                    <a:xfrm>
                      <a:off x="0" y="0"/>
                      <a:ext cx="266676" cy="196912"/>
                    </a:xfrm>
                    <a:prstGeom prst="rect">
                      <a:avLst/>
                    </a:prstGeom>
                  </pic:spPr>
                </pic:pic>
              </a:graphicData>
            </a:graphic>
          </wp:inline>
        </w:drawing>
      </w:r>
      <w:r>
        <w:rPr>
          <w:rFonts w:ascii="Times New Roman" w:hAnsi="Times New Roman" w:eastAsia="Times New Roman" w:cs="Times New Roman"/>
          <w:spacing w:val="4"/>
          <w:position w:val="1"/>
          <w:sz w:val="25"/>
          <w:szCs w:val="25"/>
        </w:rPr>
        <w:t xml:space="preserve">   </w:t>
      </w:r>
      <w:r>
        <w:rPr>
          <w:spacing w:val="12"/>
          <w:sz w:val="18"/>
          <w:szCs w:val="18"/>
        </w:rPr>
        <w:t>信息系统监理师教程(第2版)</w:t>
      </w:r>
    </w:p>
    <w:p w14:paraId="194E8821">
      <w:pPr>
        <w:spacing w:before="125"/>
      </w:pPr>
    </w:p>
    <w:p w14:paraId="1FD20D98">
      <w:pPr>
        <w:sectPr>
          <w:pgSz w:w="10390" w:h="13430"/>
          <w:pgMar w:top="400" w:right="1247" w:bottom="400" w:left="489" w:header="0" w:footer="0" w:gutter="0"/>
          <w:cols w:equalWidth="0" w:num="1">
            <w:col w:w="8653"/>
          </w:cols>
        </w:sectPr>
      </w:pPr>
    </w:p>
    <w:sdt>
      <w:sdtPr>
        <w:rPr>
          <w:rFonts w:ascii="Times New Roman" w:hAnsi="Times New Roman" w:eastAsia="Times New Roman" w:cs="Times New Roman"/>
          <w:sz w:val="18"/>
          <w:szCs w:val="18"/>
        </w:rPr>
        <w:id w:val="147456932"/>
        <w:docPartObj>
          <w:docPartGallery w:val="Table of Contents"/>
          <w:docPartUnique/>
        </w:docPartObj>
      </w:sdtPr>
      <w:sdtEndPr>
        <w:rPr>
          <w:rFonts w:ascii="Times New Roman" w:hAnsi="Times New Roman" w:eastAsia="Times New Roman" w:cs="Times New Roman"/>
          <w:sz w:val="18"/>
          <w:szCs w:val="18"/>
        </w:rPr>
      </w:sdtEndPr>
      <w:sdtContent>
        <w:p w14:paraId="0A3FC090">
          <w:pPr>
            <w:pStyle w:val="2"/>
            <w:tabs>
              <w:tab w:val="right" w:leader="dot" w:pos="4256"/>
            </w:tabs>
            <w:spacing w:line="219" w:lineRule="auto"/>
            <w:ind w:left="739"/>
            <w:rPr>
              <w:rFonts w:ascii="Times New Roman" w:hAnsi="Times New Roman" w:eastAsia="Times New Roman" w:cs="Times New Roman"/>
              <w:sz w:val="18"/>
              <w:szCs w:val="18"/>
            </w:rPr>
          </w:pPr>
          <w:bookmarkStart w:id="181" w:name="bookmark178"/>
          <w:bookmarkEnd w:id="181"/>
          <w:r>
            <w:fldChar w:fldCharType="begin"/>
          </w:r>
          <w:r>
            <w:instrText xml:space="preserve"> HYPERLINK \l "bookmark178" </w:instrText>
          </w:r>
          <w:r>
            <w:fldChar w:fldCharType="separate"/>
          </w:r>
          <w:r>
            <w:rPr>
              <w:rFonts w:ascii="Times New Roman" w:hAnsi="Times New Roman" w:eastAsia="Times New Roman" w:cs="Times New Roman"/>
              <w:spacing w:val="-1"/>
              <w:sz w:val="18"/>
              <w:szCs w:val="18"/>
            </w:rPr>
            <w:t xml:space="preserve">10.4.3    </w:t>
          </w:r>
          <w:r>
            <w:rPr>
              <w:spacing w:val="-1"/>
              <w:sz w:val="18"/>
              <w:szCs w:val="18"/>
            </w:rPr>
            <w:t>旁站</w:t>
          </w:r>
          <w:r>
            <w:rPr>
              <w:spacing w:val="-69"/>
              <w:sz w:val="18"/>
              <w:szCs w:val="18"/>
            </w:rPr>
            <w:t xml:space="preserve"> </w:t>
          </w:r>
          <w:r>
            <w:rPr>
              <w:sz w:val="18"/>
              <w:szCs w:val="18"/>
            </w:rPr>
            <w:tab/>
          </w:r>
          <w:r>
            <w:rPr>
              <w:rFonts w:ascii="Times New Roman" w:hAnsi="Times New Roman" w:eastAsia="Times New Roman" w:cs="Times New Roman"/>
              <w:spacing w:val="2"/>
              <w:sz w:val="18"/>
              <w:szCs w:val="18"/>
            </w:rPr>
            <w:t>250</w:t>
          </w:r>
          <w:r>
            <w:rPr>
              <w:rFonts w:ascii="Times New Roman" w:hAnsi="Times New Roman" w:eastAsia="Times New Roman" w:cs="Times New Roman"/>
              <w:spacing w:val="2"/>
              <w:sz w:val="18"/>
              <w:szCs w:val="18"/>
            </w:rPr>
            <w:fldChar w:fldCharType="end"/>
          </w:r>
        </w:p>
        <w:p w14:paraId="4523FAA7">
          <w:pPr>
            <w:pStyle w:val="2"/>
            <w:tabs>
              <w:tab w:val="right" w:leader="dot" w:pos="4266"/>
            </w:tabs>
            <w:spacing w:before="127" w:line="221" w:lineRule="auto"/>
            <w:ind w:left="739"/>
            <w:rPr>
              <w:rFonts w:ascii="Times New Roman" w:hAnsi="Times New Roman" w:eastAsia="Times New Roman" w:cs="Times New Roman"/>
              <w:sz w:val="18"/>
              <w:szCs w:val="18"/>
            </w:rPr>
          </w:pPr>
          <w:bookmarkStart w:id="182" w:name="bookmark179"/>
          <w:bookmarkEnd w:id="182"/>
          <w:r>
            <w:fldChar w:fldCharType="begin"/>
          </w:r>
          <w:r>
            <w:instrText xml:space="preserve"> HYPERLINK \l "bookmark179" </w:instrText>
          </w:r>
          <w:r>
            <w:fldChar w:fldCharType="separate"/>
          </w:r>
          <w:r>
            <w:rPr>
              <w:rFonts w:ascii="Times New Roman" w:hAnsi="Times New Roman" w:eastAsia="Times New Roman" w:cs="Times New Roman"/>
              <w:spacing w:val="1"/>
              <w:sz w:val="18"/>
              <w:szCs w:val="18"/>
            </w:rPr>
            <w:t>10.4.4</w:t>
          </w:r>
          <w:r>
            <w:rPr>
              <w:rFonts w:ascii="Times New Roman" w:hAnsi="Times New Roman" w:eastAsia="Times New Roman" w:cs="Times New Roman"/>
              <w:spacing w:val="8"/>
              <w:sz w:val="18"/>
              <w:szCs w:val="18"/>
            </w:rPr>
            <w:t xml:space="preserve">   </w:t>
          </w:r>
          <w:r>
            <w:rPr>
              <w:spacing w:val="1"/>
              <w:sz w:val="18"/>
              <w:szCs w:val="18"/>
            </w:rPr>
            <w:t>抽查</w:t>
          </w:r>
          <w:r>
            <w:rPr>
              <w:spacing w:val="-68"/>
              <w:sz w:val="18"/>
              <w:szCs w:val="18"/>
            </w:rPr>
            <w:t xml:space="preserve"> </w:t>
          </w:r>
          <w:r>
            <w:rPr>
              <w:sz w:val="18"/>
              <w:szCs w:val="18"/>
            </w:rPr>
            <w:tab/>
          </w:r>
          <w:r>
            <w:rPr>
              <w:rFonts w:ascii="Times New Roman" w:hAnsi="Times New Roman" w:eastAsia="Times New Roman" w:cs="Times New Roman"/>
              <w:spacing w:val="2"/>
              <w:sz w:val="18"/>
              <w:szCs w:val="18"/>
            </w:rPr>
            <w:t>250</w:t>
          </w:r>
          <w:r>
            <w:rPr>
              <w:rFonts w:ascii="Times New Roman" w:hAnsi="Times New Roman" w:eastAsia="Times New Roman" w:cs="Times New Roman"/>
              <w:spacing w:val="2"/>
              <w:sz w:val="18"/>
              <w:szCs w:val="18"/>
            </w:rPr>
            <w:fldChar w:fldCharType="end"/>
          </w:r>
        </w:p>
        <w:p w14:paraId="08E09D11">
          <w:pPr>
            <w:pStyle w:val="2"/>
            <w:tabs>
              <w:tab w:val="right" w:leader="dot" w:pos="4286"/>
            </w:tabs>
            <w:spacing w:before="104" w:line="220" w:lineRule="auto"/>
            <w:ind w:left="320"/>
            <w:rPr>
              <w:rFonts w:ascii="Times New Roman" w:hAnsi="Times New Roman" w:eastAsia="Times New Roman" w:cs="Times New Roman"/>
              <w:sz w:val="18"/>
              <w:szCs w:val="18"/>
            </w:rPr>
          </w:pPr>
          <w:bookmarkStart w:id="183" w:name="bookmark180"/>
          <w:bookmarkEnd w:id="183"/>
          <w:r>
            <w:fldChar w:fldCharType="begin"/>
          </w:r>
          <w:r>
            <w:instrText xml:space="preserve"> HYPERLINK \l "bookmark180" </w:instrText>
          </w:r>
          <w:r>
            <w:fldChar w:fldCharType="separate"/>
          </w:r>
          <w:r>
            <w:rPr>
              <w:rFonts w:ascii="Times New Roman" w:hAnsi="Times New Roman" w:eastAsia="Times New Roman" w:cs="Times New Roman"/>
              <w:sz w:val="18"/>
              <w:szCs w:val="18"/>
            </w:rPr>
            <w:t>10.5</w:t>
          </w:r>
          <w:r>
            <w:rPr>
              <w:rFonts w:ascii="Times New Roman" w:hAnsi="Times New Roman" w:eastAsia="Times New Roman" w:cs="Times New Roman"/>
              <w:spacing w:val="11"/>
              <w:w w:val="101"/>
              <w:sz w:val="18"/>
              <w:szCs w:val="18"/>
            </w:rPr>
            <w:t xml:space="preserve">   </w:t>
          </w:r>
          <w:r>
            <w:rPr>
              <w:sz w:val="18"/>
              <w:szCs w:val="18"/>
            </w:rPr>
            <w:t>质量控制点</w:t>
          </w:r>
          <w:r>
            <w:rPr>
              <w:spacing w:val="-76"/>
              <w:sz w:val="18"/>
              <w:szCs w:val="18"/>
            </w:rPr>
            <w:t xml:space="preserve"> </w:t>
          </w:r>
          <w:r>
            <w:rPr>
              <w:sz w:val="18"/>
              <w:szCs w:val="18"/>
            </w:rPr>
            <w:tab/>
          </w:r>
          <w:r>
            <w:rPr>
              <w:rFonts w:ascii="Times New Roman" w:hAnsi="Times New Roman" w:eastAsia="Times New Roman" w:cs="Times New Roman"/>
              <w:spacing w:val="2"/>
              <w:sz w:val="18"/>
              <w:szCs w:val="18"/>
            </w:rPr>
            <w:t>251</w:t>
          </w:r>
          <w:r>
            <w:rPr>
              <w:rFonts w:ascii="Times New Roman" w:hAnsi="Times New Roman" w:eastAsia="Times New Roman" w:cs="Times New Roman"/>
              <w:spacing w:val="2"/>
              <w:sz w:val="18"/>
              <w:szCs w:val="18"/>
            </w:rPr>
            <w:fldChar w:fldCharType="end"/>
          </w:r>
        </w:p>
        <w:p w14:paraId="5E3DA09F">
          <w:pPr>
            <w:pStyle w:val="2"/>
            <w:tabs>
              <w:tab w:val="right" w:leader="dot" w:pos="4266"/>
            </w:tabs>
            <w:spacing w:before="105" w:line="220" w:lineRule="auto"/>
            <w:ind w:left="320"/>
            <w:rPr>
              <w:rFonts w:ascii="Times New Roman" w:hAnsi="Times New Roman" w:eastAsia="Times New Roman" w:cs="Times New Roman"/>
              <w:sz w:val="18"/>
              <w:szCs w:val="18"/>
            </w:rPr>
          </w:pPr>
          <w:bookmarkStart w:id="184" w:name="bookmark181"/>
          <w:bookmarkEnd w:id="184"/>
          <w:r>
            <w:fldChar w:fldCharType="begin"/>
          </w:r>
          <w:r>
            <w:instrText xml:space="preserve"> HYPERLINK \l "bookmark181" </w:instrText>
          </w:r>
          <w:r>
            <w:fldChar w:fldCharType="separate"/>
          </w:r>
          <w:r>
            <w:rPr>
              <w:rFonts w:ascii="Times New Roman" w:hAnsi="Times New Roman" w:eastAsia="Times New Roman" w:cs="Times New Roman"/>
              <w:sz w:val="18"/>
              <w:szCs w:val="18"/>
            </w:rPr>
            <w:t>10.6</w:t>
          </w:r>
          <w:r>
            <w:rPr>
              <w:rFonts w:ascii="Times New Roman" w:hAnsi="Times New Roman" w:eastAsia="Times New Roman" w:cs="Times New Roman"/>
              <w:spacing w:val="10"/>
              <w:sz w:val="18"/>
              <w:szCs w:val="18"/>
            </w:rPr>
            <w:t xml:space="preserve">   </w:t>
          </w:r>
          <w:r>
            <w:rPr>
              <w:sz w:val="18"/>
              <w:szCs w:val="18"/>
            </w:rPr>
            <w:t>监理质量控制工作</w:t>
          </w:r>
          <w:r>
            <w:rPr>
              <w:spacing w:val="-71"/>
              <w:sz w:val="18"/>
              <w:szCs w:val="18"/>
            </w:rPr>
            <w:t xml:space="preserve"> </w:t>
          </w:r>
          <w:r>
            <w:rPr>
              <w:sz w:val="18"/>
              <w:szCs w:val="18"/>
            </w:rPr>
            <w:tab/>
          </w:r>
          <w:r>
            <w:rPr>
              <w:rFonts w:ascii="Times New Roman" w:hAnsi="Times New Roman" w:eastAsia="Times New Roman" w:cs="Times New Roman"/>
              <w:spacing w:val="2"/>
              <w:sz w:val="18"/>
              <w:szCs w:val="18"/>
            </w:rPr>
            <w:t>252</w:t>
          </w:r>
          <w:r>
            <w:rPr>
              <w:rFonts w:ascii="Times New Roman" w:hAnsi="Times New Roman" w:eastAsia="Times New Roman" w:cs="Times New Roman"/>
              <w:spacing w:val="2"/>
              <w:sz w:val="18"/>
              <w:szCs w:val="18"/>
            </w:rPr>
            <w:fldChar w:fldCharType="end"/>
          </w:r>
        </w:p>
        <w:p w14:paraId="525A56AB">
          <w:pPr>
            <w:pStyle w:val="2"/>
            <w:tabs>
              <w:tab w:val="right" w:leader="dot" w:pos="4266"/>
            </w:tabs>
            <w:spacing w:before="85" w:line="220" w:lineRule="auto"/>
            <w:ind w:left="739"/>
            <w:rPr>
              <w:rFonts w:ascii="Times New Roman" w:hAnsi="Times New Roman" w:eastAsia="Times New Roman" w:cs="Times New Roman"/>
              <w:sz w:val="18"/>
              <w:szCs w:val="18"/>
            </w:rPr>
          </w:pPr>
          <w:bookmarkStart w:id="185" w:name="bookmark182"/>
          <w:bookmarkEnd w:id="185"/>
          <w:r>
            <w:fldChar w:fldCharType="begin"/>
          </w:r>
          <w:r>
            <w:instrText xml:space="preserve"> HYPERLINK \l "bookmark182" </w:instrText>
          </w:r>
          <w:r>
            <w:fldChar w:fldCharType="separate"/>
          </w:r>
          <w:r>
            <w:rPr>
              <w:rFonts w:ascii="Times New Roman" w:hAnsi="Times New Roman" w:eastAsia="Times New Roman" w:cs="Times New Roman"/>
              <w:spacing w:val="-1"/>
              <w:sz w:val="18"/>
              <w:szCs w:val="18"/>
            </w:rPr>
            <w:t xml:space="preserve">10.6.1    </w:t>
          </w:r>
          <w:r>
            <w:rPr>
              <w:spacing w:val="-1"/>
              <w:sz w:val="18"/>
              <w:szCs w:val="18"/>
            </w:rPr>
            <w:t>招标阶段监理质量控制</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252</w:t>
          </w:r>
          <w:r>
            <w:rPr>
              <w:rFonts w:ascii="Times New Roman" w:hAnsi="Times New Roman" w:eastAsia="Times New Roman" w:cs="Times New Roman"/>
              <w:spacing w:val="2"/>
              <w:sz w:val="18"/>
              <w:szCs w:val="18"/>
            </w:rPr>
            <w:fldChar w:fldCharType="end"/>
          </w:r>
        </w:p>
        <w:p w14:paraId="574583F5">
          <w:pPr>
            <w:pStyle w:val="2"/>
            <w:tabs>
              <w:tab w:val="right" w:leader="dot" w:pos="4266"/>
            </w:tabs>
            <w:spacing w:before="126" w:line="220" w:lineRule="auto"/>
            <w:ind w:left="739"/>
            <w:rPr>
              <w:rFonts w:ascii="Times New Roman" w:hAnsi="Times New Roman" w:eastAsia="Times New Roman" w:cs="Times New Roman"/>
              <w:sz w:val="18"/>
              <w:szCs w:val="18"/>
            </w:rPr>
          </w:pPr>
          <w:bookmarkStart w:id="186" w:name="bookmark183"/>
          <w:bookmarkEnd w:id="186"/>
          <w:r>
            <w:fldChar w:fldCharType="begin"/>
          </w:r>
          <w:r>
            <w:instrText xml:space="preserve"> HYPERLINK \l "bookmark183" </w:instrText>
          </w:r>
          <w:r>
            <w:fldChar w:fldCharType="separate"/>
          </w:r>
          <w:r>
            <w:rPr>
              <w:rFonts w:ascii="Times New Roman" w:hAnsi="Times New Roman" w:eastAsia="Times New Roman" w:cs="Times New Roman"/>
              <w:spacing w:val="-1"/>
              <w:sz w:val="18"/>
              <w:szCs w:val="18"/>
            </w:rPr>
            <w:t>10.6.2</w:t>
          </w:r>
          <w:r>
            <w:rPr>
              <w:rFonts w:ascii="Times New Roman" w:hAnsi="Times New Roman" w:eastAsia="Times New Roman" w:cs="Times New Roman"/>
              <w:spacing w:val="15"/>
              <w:sz w:val="18"/>
              <w:szCs w:val="18"/>
            </w:rPr>
            <w:t xml:space="preserve">   </w:t>
          </w:r>
          <w:r>
            <w:rPr>
              <w:spacing w:val="-1"/>
              <w:sz w:val="18"/>
              <w:szCs w:val="18"/>
            </w:rPr>
            <w:t>设计阶段监理质量控制</w:t>
          </w:r>
          <w:r>
            <w:rPr>
              <w:spacing w:val="-75"/>
              <w:sz w:val="18"/>
              <w:szCs w:val="18"/>
            </w:rPr>
            <w:t xml:space="preserve"> </w:t>
          </w:r>
          <w:r>
            <w:rPr>
              <w:sz w:val="18"/>
              <w:szCs w:val="18"/>
            </w:rPr>
            <w:tab/>
          </w:r>
          <w:r>
            <w:rPr>
              <w:rFonts w:ascii="Times New Roman" w:hAnsi="Times New Roman" w:eastAsia="Times New Roman" w:cs="Times New Roman"/>
              <w:spacing w:val="2"/>
              <w:sz w:val="18"/>
              <w:szCs w:val="18"/>
            </w:rPr>
            <w:t>253</w:t>
          </w:r>
          <w:r>
            <w:rPr>
              <w:rFonts w:ascii="Times New Roman" w:hAnsi="Times New Roman" w:eastAsia="Times New Roman" w:cs="Times New Roman"/>
              <w:spacing w:val="2"/>
              <w:sz w:val="18"/>
              <w:szCs w:val="18"/>
            </w:rPr>
            <w:fldChar w:fldCharType="end"/>
          </w:r>
        </w:p>
        <w:p w14:paraId="16F16BDC">
          <w:pPr>
            <w:pStyle w:val="2"/>
            <w:tabs>
              <w:tab w:val="right" w:leader="dot" w:pos="4266"/>
            </w:tabs>
            <w:spacing w:before="85" w:line="220" w:lineRule="auto"/>
            <w:ind w:left="739"/>
            <w:rPr>
              <w:rFonts w:ascii="Times New Roman" w:hAnsi="Times New Roman" w:eastAsia="Times New Roman" w:cs="Times New Roman"/>
              <w:sz w:val="18"/>
              <w:szCs w:val="18"/>
            </w:rPr>
          </w:pPr>
          <w:bookmarkStart w:id="187" w:name="bookmark184"/>
          <w:bookmarkEnd w:id="187"/>
          <w:r>
            <w:fldChar w:fldCharType="begin"/>
          </w:r>
          <w:r>
            <w:instrText xml:space="preserve"> HYPERLINK \l "bookmark184" </w:instrText>
          </w:r>
          <w:r>
            <w:fldChar w:fldCharType="separate"/>
          </w:r>
          <w:r>
            <w:rPr>
              <w:rFonts w:ascii="Times New Roman" w:hAnsi="Times New Roman" w:eastAsia="Times New Roman" w:cs="Times New Roman"/>
              <w:sz w:val="18"/>
              <w:szCs w:val="18"/>
            </w:rPr>
            <w:t xml:space="preserve">10.6.3    </w:t>
          </w:r>
          <w:r>
            <w:rPr>
              <w:sz w:val="18"/>
              <w:szCs w:val="18"/>
            </w:rPr>
            <w:t>实施阶段监理质量控制</w:t>
          </w:r>
          <w:r>
            <w:rPr>
              <w:spacing w:val="-71"/>
              <w:sz w:val="18"/>
              <w:szCs w:val="18"/>
            </w:rPr>
            <w:t xml:space="preserve"> </w:t>
          </w:r>
          <w:r>
            <w:rPr>
              <w:sz w:val="18"/>
              <w:szCs w:val="18"/>
            </w:rPr>
            <w:tab/>
          </w:r>
          <w:r>
            <w:rPr>
              <w:rFonts w:ascii="Times New Roman" w:hAnsi="Times New Roman" w:eastAsia="Times New Roman" w:cs="Times New Roman"/>
              <w:spacing w:val="2"/>
              <w:sz w:val="18"/>
              <w:szCs w:val="18"/>
            </w:rPr>
            <w:t>253</w:t>
          </w:r>
          <w:r>
            <w:rPr>
              <w:rFonts w:ascii="Times New Roman" w:hAnsi="Times New Roman" w:eastAsia="Times New Roman" w:cs="Times New Roman"/>
              <w:spacing w:val="2"/>
              <w:sz w:val="18"/>
              <w:szCs w:val="18"/>
            </w:rPr>
            <w:fldChar w:fldCharType="end"/>
          </w:r>
        </w:p>
        <w:p w14:paraId="5B68FAB3">
          <w:pPr>
            <w:pStyle w:val="2"/>
            <w:tabs>
              <w:tab w:val="right" w:leader="dot" w:pos="4276"/>
            </w:tabs>
            <w:spacing w:before="115" w:line="219" w:lineRule="auto"/>
            <w:ind w:left="739"/>
            <w:rPr>
              <w:rFonts w:ascii="Times New Roman" w:hAnsi="Times New Roman" w:eastAsia="Times New Roman" w:cs="Times New Roman"/>
              <w:sz w:val="18"/>
              <w:szCs w:val="18"/>
            </w:rPr>
          </w:pPr>
          <w:bookmarkStart w:id="188" w:name="bookmark185"/>
          <w:bookmarkEnd w:id="188"/>
          <w:r>
            <w:fldChar w:fldCharType="begin"/>
          </w:r>
          <w:r>
            <w:instrText xml:space="preserve"> HYPERLINK \l "bookmark185" </w:instrText>
          </w:r>
          <w:r>
            <w:fldChar w:fldCharType="separate"/>
          </w:r>
          <w:r>
            <w:rPr>
              <w:rFonts w:ascii="Times New Roman" w:hAnsi="Times New Roman" w:eastAsia="Times New Roman" w:cs="Times New Roman"/>
              <w:spacing w:val="-1"/>
              <w:sz w:val="18"/>
              <w:szCs w:val="18"/>
            </w:rPr>
            <w:t>10.6.4</w:t>
          </w:r>
          <w:r>
            <w:rPr>
              <w:rFonts w:ascii="Times New Roman" w:hAnsi="Times New Roman" w:eastAsia="Times New Roman" w:cs="Times New Roman"/>
              <w:spacing w:val="15"/>
              <w:sz w:val="18"/>
              <w:szCs w:val="18"/>
            </w:rPr>
            <w:t xml:space="preserve">   </w:t>
          </w:r>
          <w:r>
            <w:rPr>
              <w:spacing w:val="-1"/>
              <w:sz w:val="18"/>
              <w:szCs w:val="18"/>
            </w:rPr>
            <w:t>验收阶段监理质量控制</w:t>
          </w:r>
          <w:r>
            <w:rPr>
              <w:spacing w:val="-75"/>
              <w:sz w:val="18"/>
              <w:szCs w:val="18"/>
            </w:rPr>
            <w:t xml:space="preserve"> </w:t>
          </w:r>
          <w:r>
            <w:rPr>
              <w:sz w:val="18"/>
              <w:szCs w:val="18"/>
            </w:rPr>
            <w:tab/>
          </w:r>
          <w:r>
            <w:rPr>
              <w:rFonts w:ascii="Times New Roman" w:hAnsi="Times New Roman" w:eastAsia="Times New Roman" w:cs="Times New Roman"/>
              <w:spacing w:val="2"/>
              <w:sz w:val="18"/>
              <w:szCs w:val="18"/>
            </w:rPr>
            <w:t>254</w:t>
          </w:r>
          <w:r>
            <w:rPr>
              <w:rFonts w:ascii="Times New Roman" w:hAnsi="Times New Roman" w:eastAsia="Times New Roman" w:cs="Times New Roman"/>
              <w:spacing w:val="2"/>
              <w:sz w:val="18"/>
              <w:szCs w:val="18"/>
            </w:rPr>
            <w:fldChar w:fldCharType="end"/>
          </w:r>
        </w:p>
        <w:p w14:paraId="09422B2D">
          <w:pPr>
            <w:spacing w:line="352" w:lineRule="auto"/>
            <w:rPr>
              <w:rFonts w:ascii="Arial"/>
              <w:sz w:val="21"/>
            </w:rPr>
          </w:pPr>
        </w:p>
        <w:p w14:paraId="419AAE71">
          <w:pPr>
            <w:spacing w:line="352" w:lineRule="auto"/>
            <w:rPr>
              <w:rFonts w:ascii="Arial"/>
              <w:sz w:val="21"/>
            </w:rPr>
          </w:pPr>
        </w:p>
        <w:p w14:paraId="1523ACD3">
          <w:pPr>
            <w:pStyle w:val="2"/>
            <w:tabs>
              <w:tab w:val="right" w:leader="dot" w:pos="4266"/>
            </w:tabs>
            <w:spacing w:before="59" w:line="220" w:lineRule="auto"/>
            <w:ind w:left="320"/>
            <w:rPr>
              <w:rFonts w:ascii="Times New Roman" w:hAnsi="Times New Roman" w:eastAsia="Times New Roman" w:cs="Times New Roman"/>
              <w:sz w:val="18"/>
              <w:szCs w:val="18"/>
            </w:rPr>
          </w:pPr>
          <w:bookmarkStart w:id="189" w:name="bookmark186"/>
          <w:bookmarkEnd w:id="189"/>
          <w:r>
            <w:fldChar w:fldCharType="begin"/>
          </w:r>
          <w:r>
            <w:instrText xml:space="preserve"> HYPERLINK \l "bookmark186" </w:instrText>
          </w:r>
          <w:r>
            <w:fldChar w:fldCharType="separate"/>
          </w:r>
          <w:r>
            <w:rPr>
              <w:rFonts w:ascii="Times New Roman" w:hAnsi="Times New Roman" w:eastAsia="Times New Roman" w:cs="Times New Roman"/>
              <w:sz w:val="18"/>
              <w:szCs w:val="18"/>
            </w:rPr>
            <w:t>11.1</w:t>
          </w:r>
          <w:r>
            <w:rPr>
              <w:rFonts w:ascii="Times New Roman" w:hAnsi="Times New Roman" w:eastAsia="Times New Roman" w:cs="Times New Roman"/>
              <w:spacing w:val="11"/>
              <w:w w:val="101"/>
              <w:sz w:val="18"/>
              <w:szCs w:val="18"/>
            </w:rPr>
            <w:t xml:space="preserve">   </w:t>
          </w:r>
          <w:r>
            <w:rPr>
              <w:sz w:val="18"/>
              <w:szCs w:val="18"/>
            </w:rPr>
            <w:t>进度与进度控制</w:t>
          </w:r>
          <w:r>
            <w:rPr>
              <w:spacing w:val="-76"/>
              <w:sz w:val="18"/>
              <w:szCs w:val="18"/>
            </w:rPr>
            <w:t xml:space="preserve"> </w:t>
          </w:r>
          <w:r>
            <w:rPr>
              <w:sz w:val="18"/>
              <w:szCs w:val="18"/>
            </w:rPr>
            <w:tab/>
          </w:r>
          <w:r>
            <w:rPr>
              <w:rFonts w:ascii="Times New Roman" w:hAnsi="Times New Roman" w:eastAsia="Times New Roman" w:cs="Times New Roman"/>
              <w:spacing w:val="2"/>
              <w:sz w:val="18"/>
              <w:szCs w:val="18"/>
            </w:rPr>
            <w:t>255</w:t>
          </w:r>
          <w:r>
            <w:rPr>
              <w:rFonts w:ascii="Times New Roman" w:hAnsi="Times New Roman" w:eastAsia="Times New Roman" w:cs="Times New Roman"/>
              <w:spacing w:val="2"/>
              <w:sz w:val="18"/>
              <w:szCs w:val="18"/>
            </w:rPr>
            <w:fldChar w:fldCharType="end"/>
          </w:r>
        </w:p>
        <w:p w14:paraId="04375DA7">
          <w:pPr>
            <w:pStyle w:val="2"/>
            <w:tabs>
              <w:tab w:val="right" w:leader="dot" w:pos="4266"/>
            </w:tabs>
            <w:spacing w:before="95" w:line="219" w:lineRule="auto"/>
            <w:ind w:left="739"/>
            <w:rPr>
              <w:rFonts w:ascii="Times New Roman" w:hAnsi="Times New Roman" w:eastAsia="Times New Roman" w:cs="Times New Roman"/>
              <w:sz w:val="18"/>
              <w:szCs w:val="18"/>
            </w:rPr>
          </w:pPr>
          <w:bookmarkStart w:id="190" w:name="bookmark187"/>
          <w:bookmarkEnd w:id="190"/>
          <w:r>
            <w:fldChar w:fldCharType="begin"/>
          </w:r>
          <w:r>
            <w:instrText xml:space="preserve"> HYPERLINK \l "bookmark187" </w:instrText>
          </w:r>
          <w:r>
            <w:fldChar w:fldCharType="separate"/>
          </w:r>
          <w:r>
            <w:rPr>
              <w:rFonts w:ascii="Times New Roman" w:hAnsi="Times New Roman" w:eastAsia="Times New Roman" w:cs="Times New Roman"/>
              <w:spacing w:val="4"/>
              <w:sz w:val="18"/>
              <w:szCs w:val="18"/>
            </w:rPr>
            <w:t>11.1.1</w:t>
          </w:r>
          <w:r>
            <w:rPr>
              <w:rFonts w:ascii="Times New Roman" w:hAnsi="Times New Roman" w:eastAsia="Times New Roman" w:cs="Times New Roman"/>
              <w:spacing w:val="1"/>
              <w:sz w:val="18"/>
              <w:szCs w:val="18"/>
            </w:rPr>
            <w:t xml:space="preserve">    </w:t>
          </w:r>
          <w:r>
            <w:rPr>
              <w:spacing w:val="4"/>
              <w:sz w:val="18"/>
              <w:szCs w:val="18"/>
            </w:rPr>
            <w:t>进度概述</w:t>
          </w:r>
          <w:r>
            <w:rPr>
              <w:spacing w:val="-65"/>
              <w:sz w:val="18"/>
              <w:szCs w:val="18"/>
            </w:rPr>
            <w:t xml:space="preserve"> </w:t>
          </w:r>
          <w:r>
            <w:rPr>
              <w:sz w:val="18"/>
              <w:szCs w:val="18"/>
            </w:rPr>
            <w:tab/>
          </w:r>
          <w:r>
            <w:rPr>
              <w:spacing w:val="-29"/>
              <w:sz w:val="18"/>
              <w:szCs w:val="18"/>
            </w:rPr>
            <w:t xml:space="preserve"> </w:t>
          </w:r>
          <w:r>
            <w:rPr>
              <w:rFonts w:ascii="Times New Roman" w:hAnsi="Times New Roman" w:eastAsia="Times New Roman" w:cs="Times New Roman"/>
              <w:spacing w:val="-1"/>
              <w:sz w:val="18"/>
              <w:szCs w:val="18"/>
            </w:rPr>
            <w:t>255</w:t>
          </w:r>
          <w:r>
            <w:rPr>
              <w:rFonts w:ascii="Times New Roman" w:hAnsi="Times New Roman" w:eastAsia="Times New Roman" w:cs="Times New Roman"/>
              <w:spacing w:val="-1"/>
              <w:sz w:val="18"/>
              <w:szCs w:val="18"/>
            </w:rPr>
            <w:fldChar w:fldCharType="end"/>
          </w:r>
        </w:p>
        <w:p w14:paraId="782C9FFC">
          <w:pPr>
            <w:pStyle w:val="2"/>
            <w:tabs>
              <w:tab w:val="right" w:leader="dot" w:pos="4266"/>
            </w:tabs>
            <w:spacing w:before="105" w:line="219" w:lineRule="auto"/>
            <w:ind w:left="739"/>
            <w:rPr>
              <w:rFonts w:ascii="Times New Roman" w:hAnsi="Times New Roman" w:eastAsia="Times New Roman" w:cs="Times New Roman"/>
              <w:sz w:val="18"/>
              <w:szCs w:val="18"/>
            </w:rPr>
          </w:pPr>
          <w:bookmarkStart w:id="191" w:name="bookmark188"/>
          <w:bookmarkEnd w:id="191"/>
          <w:r>
            <w:fldChar w:fldCharType="begin"/>
          </w:r>
          <w:r>
            <w:instrText xml:space="preserve"> HYPERLINK \l "bookmark188" </w:instrText>
          </w:r>
          <w:r>
            <w:fldChar w:fldCharType="separate"/>
          </w:r>
          <w:r>
            <w:rPr>
              <w:rFonts w:ascii="Times New Roman" w:hAnsi="Times New Roman" w:eastAsia="Times New Roman" w:cs="Times New Roman"/>
              <w:spacing w:val="-1"/>
              <w:sz w:val="18"/>
              <w:szCs w:val="18"/>
            </w:rPr>
            <w:t xml:space="preserve">11.1.2    </w:t>
          </w:r>
          <w:r>
            <w:rPr>
              <w:spacing w:val="-1"/>
              <w:sz w:val="18"/>
              <w:szCs w:val="18"/>
            </w:rPr>
            <w:t>进度控制的基本流程</w:t>
          </w:r>
          <w:r>
            <w:rPr>
              <w:spacing w:val="-52"/>
              <w:sz w:val="18"/>
              <w:szCs w:val="18"/>
            </w:rPr>
            <w:t xml:space="preserve"> </w:t>
          </w:r>
          <w:r>
            <w:rPr>
              <w:sz w:val="18"/>
              <w:szCs w:val="18"/>
            </w:rPr>
            <w:tab/>
          </w:r>
          <w:r>
            <w:rPr>
              <w:rFonts w:ascii="Times New Roman" w:hAnsi="Times New Roman" w:eastAsia="Times New Roman" w:cs="Times New Roman"/>
              <w:spacing w:val="2"/>
              <w:sz w:val="18"/>
              <w:szCs w:val="18"/>
            </w:rPr>
            <w:t>255</w:t>
          </w:r>
          <w:r>
            <w:rPr>
              <w:rFonts w:ascii="Times New Roman" w:hAnsi="Times New Roman" w:eastAsia="Times New Roman" w:cs="Times New Roman"/>
              <w:spacing w:val="2"/>
              <w:sz w:val="18"/>
              <w:szCs w:val="18"/>
            </w:rPr>
            <w:fldChar w:fldCharType="end"/>
          </w:r>
        </w:p>
        <w:p w14:paraId="0326FE3A">
          <w:pPr>
            <w:pStyle w:val="2"/>
            <w:tabs>
              <w:tab w:val="right" w:leader="dot" w:pos="4266"/>
            </w:tabs>
            <w:spacing w:before="98" w:line="220" w:lineRule="auto"/>
            <w:ind w:left="739"/>
            <w:rPr>
              <w:rFonts w:ascii="Times New Roman" w:hAnsi="Times New Roman" w:eastAsia="Times New Roman" w:cs="Times New Roman"/>
              <w:sz w:val="18"/>
              <w:szCs w:val="18"/>
            </w:rPr>
          </w:pPr>
          <w:bookmarkStart w:id="192" w:name="bookmark189"/>
          <w:bookmarkEnd w:id="192"/>
          <w:r>
            <w:fldChar w:fldCharType="begin"/>
          </w:r>
          <w:r>
            <w:instrText xml:space="preserve"> HYPERLINK \l "bookmark189" </w:instrText>
          </w:r>
          <w:r>
            <w:fldChar w:fldCharType="separate"/>
          </w:r>
          <w:r>
            <w:rPr>
              <w:rFonts w:ascii="Times New Roman" w:hAnsi="Times New Roman" w:eastAsia="Times New Roman" w:cs="Times New Roman"/>
              <w:spacing w:val="-1"/>
              <w:sz w:val="18"/>
              <w:szCs w:val="18"/>
            </w:rPr>
            <w:t xml:space="preserve">11.1.3    </w:t>
          </w:r>
          <w:r>
            <w:rPr>
              <w:spacing w:val="-1"/>
              <w:sz w:val="18"/>
              <w:szCs w:val="18"/>
            </w:rPr>
            <w:t>进度控制的意义</w:t>
          </w:r>
          <w:r>
            <w:rPr>
              <w:spacing w:val="-55"/>
              <w:sz w:val="18"/>
              <w:szCs w:val="18"/>
            </w:rPr>
            <w:t xml:space="preserve"> </w:t>
          </w:r>
          <w:r>
            <w:rPr>
              <w:sz w:val="18"/>
              <w:szCs w:val="18"/>
            </w:rPr>
            <w:tab/>
          </w:r>
          <w:r>
            <w:rPr>
              <w:rFonts w:ascii="Times New Roman" w:hAnsi="Times New Roman" w:eastAsia="Times New Roman" w:cs="Times New Roman"/>
              <w:spacing w:val="2"/>
              <w:sz w:val="18"/>
              <w:szCs w:val="18"/>
            </w:rPr>
            <w:t>259</w:t>
          </w:r>
          <w:r>
            <w:rPr>
              <w:rFonts w:ascii="Times New Roman" w:hAnsi="Times New Roman" w:eastAsia="Times New Roman" w:cs="Times New Roman"/>
              <w:spacing w:val="2"/>
              <w:sz w:val="18"/>
              <w:szCs w:val="18"/>
            </w:rPr>
            <w:fldChar w:fldCharType="end"/>
          </w:r>
        </w:p>
        <w:p w14:paraId="6E65CED9">
          <w:pPr>
            <w:pStyle w:val="2"/>
            <w:tabs>
              <w:tab w:val="right" w:leader="dot" w:pos="4266"/>
            </w:tabs>
            <w:spacing w:before="106" w:line="220" w:lineRule="auto"/>
            <w:ind w:left="320"/>
            <w:rPr>
              <w:rFonts w:ascii="Times New Roman" w:hAnsi="Times New Roman" w:eastAsia="Times New Roman" w:cs="Times New Roman"/>
              <w:sz w:val="18"/>
              <w:szCs w:val="18"/>
            </w:rPr>
          </w:pPr>
          <w:bookmarkStart w:id="193" w:name="bookmark190"/>
          <w:bookmarkEnd w:id="193"/>
          <w:r>
            <w:fldChar w:fldCharType="begin"/>
          </w:r>
          <w:r>
            <w:instrText xml:space="preserve"> HYPERLINK \l "bookmark190" </w:instrText>
          </w:r>
          <w:r>
            <w:fldChar w:fldCharType="separate"/>
          </w:r>
          <w:r>
            <w:rPr>
              <w:rFonts w:ascii="Times New Roman" w:hAnsi="Times New Roman" w:eastAsia="Times New Roman" w:cs="Times New Roman"/>
              <w:spacing w:val="2"/>
              <w:sz w:val="18"/>
              <w:szCs w:val="18"/>
            </w:rPr>
            <w:t xml:space="preserve">11.2   </w:t>
          </w:r>
          <w:r>
            <w:rPr>
              <w:spacing w:val="2"/>
              <w:sz w:val="18"/>
              <w:szCs w:val="18"/>
            </w:rPr>
            <w:t>进度控制的目标与范围</w:t>
          </w:r>
          <w:r>
            <w:rPr>
              <w:spacing w:val="-75"/>
              <w:sz w:val="18"/>
              <w:szCs w:val="18"/>
            </w:rPr>
            <w:t xml:space="preserve"> </w:t>
          </w:r>
          <w:r>
            <w:rPr>
              <w:sz w:val="18"/>
              <w:szCs w:val="18"/>
            </w:rPr>
            <w:tab/>
          </w:r>
          <w:r>
            <w:rPr>
              <w:rFonts w:ascii="Times New Roman" w:hAnsi="Times New Roman" w:eastAsia="Times New Roman" w:cs="Times New Roman"/>
              <w:spacing w:val="2"/>
              <w:sz w:val="18"/>
              <w:szCs w:val="18"/>
            </w:rPr>
            <w:t>260</w:t>
          </w:r>
          <w:r>
            <w:rPr>
              <w:rFonts w:ascii="Times New Roman" w:hAnsi="Times New Roman" w:eastAsia="Times New Roman" w:cs="Times New Roman"/>
              <w:spacing w:val="2"/>
              <w:sz w:val="18"/>
              <w:szCs w:val="18"/>
            </w:rPr>
            <w:fldChar w:fldCharType="end"/>
          </w:r>
        </w:p>
        <w:p w14:paraId="7F9138CB">
          <w:pPr>
            <w:pStyle w:val="2"/>
            <w:tabs>
              <w:tab w:val="right" w:leader="dot" w:pos="4286"/>
            </w:tabs>
            <w:spacing w:before="95" w:line="219" w:lineRule="auto"/>
            <w:ind w:left="320"/>
            <w:rPr>
              <w:rFonts w:ascii="Times New Roman" w:hAnsi="Times New Roman" w:eastAsia="Times New Roman" w:cs="Times New Roman"/>
              <w:sz w:val="18"/>
              <w:szCs w:val="18"/>
            </w:rPr>
          </w:pPr>
          <w:bookmarkStart w:id="194" w:name="bookmark191"/>
          <w:bookmarkEnd w:id="194"/>
          <w:r>
            <w:fldChar w:fldCharType="begin"/>
          </w:r>
          <w:r>
            <w:instrText xml:space="preserve"> HYPERLINK \l "bookmark191" </w:instrText>
          </w:r>
          <w:r>
            <w:fldChar w:fldCharType="separate"/>
          </w:r>
          <w:r>
            <w:rPr>
              <w:rFonts w:ascii="Times New Roman" w:hAnsi="Times New Roman" w:eastAsia="Times New Roman" w:cs="Times New Roman"/>
              <w:spacing w:val="1"/>
              <w:sz w:val="18"/>
              <w:szCs w:val="18"/>
            </w:rPr>
            <w:t>11.3</w:t>
          </w:r>
          <w:r>
            <w:rPr>
              <w:rFonts w:ascii="Times New Roman" w:hAnsi="Times New Roman" w:eastAsia="Times New Roman" w:cs="Times New Roman"/>
              <w:spacing w:val="12"/>
              <w:w w:val="101"/>
              <w:sz w:val="18"/>
              <w:szCs w:val="18"/>
            </w:rPr>
            <w:t xml:space="preserve">   </w:t>
          </w:r>
          <w:r>
            <w:rPr>
              <w:spacing w:val="1"/>
              <w:sz w:val="18"/>
              <w:szCs w:val="18"/>
            </w:rPr>
            <w:t>进度控制技术</w:t>
          </w:r>
          <w:r>
            <w:rPr>
              <w:spacing w:val="-69"/>
              <w:sz w:val="18"/>
              <w:szCs w:val="18"/>
            </w:rPr>
            <w:t xml:space="preserve"> </w:t>
          </w:r>
          <w:r>
            <w:rPr>
              <w:sz w:val="18"/>
              <w:szCs w:val="18"/>
            </w:rPr>
            <w:tab/>
          </w:r>
          <w:r>
            <w:rPr>
              <w:rFonts w:ascii="Times New Roman" w:hAnsi="Times New Roman" w:eastAsia="Times New Roman" w:cs="Times New Roman"/>
              <w:spacing w:val="2"/>
              <w:sz w:val="18"/>
              <w:szCs w:val="18"/>
            </w:rPr>
            <w:t>261</w:t>
          </w:r>
          <w:r>
            <w:rPr>
              <w:rFonts w:ascii="Times New Roman" w:hAnsi="Times New Roman" w:eastAsia="Times New Roman" w:cs="Times New Roman"/>
              <w:spacing w:val="2"/>
              <w:sz w:val="18"/>
              <w:szCs w:val="18"/>
            </w:rPr>
            <w:fldChar w:fldCharType="end"/>
          </w:r>
        </w:p>
        <w:p w14:paraId="34EE597B">
          <w:pPr>
            <w:pStyle w:val="2"/>
            <w:tabs>
              <w:tab w:val="right" w:leader="dot" w:pos="4286"/>
            </w:tabs>
            <w:spacing w:before="107" w:line="220" w:lineRule="auto"/>
            <w:ind w:left="739"/>
            <w:rPr>
              <w:rFonts w:ascii="Times New Roman" w:hAnsi="Times New Roman" w:eastAsia="Times New Roman" w:cs="Times New Roman"/>
              <w:sz w:val="18"/>
              <w:szCs w:val="18"/>
            </w:rPr>
          </w:pPr>
          <w:bookmarkStart w:id="195" w:name="bookmark192"/>
          <w:bookmarkEnd w:id="195"/>
          <w:r>
            <w:fldChar w:fldCharType="begin"/>
          </w:r>
          <w:r>
            <w:instrText xml:space="preserve"> HYPERLINK \l "bookmark192" </w:instrText>
          </w:r>
          <w:r>
            <w:fldChar w:fldCharType="separate"/>
          </w:r>
          <w:r>
            <w:rPr>
              <w:rFonts w:ascii="Times New Roman" w:hAnsi="Times New Roman" w:eastAsia="Times New Roman" w:cs="Times New Roman"/>
              <w:spacing w:val="-1"/>
              <w:sz w:val="18"/>
              <w:szCs w:val="18"/>
            </w:rPr>
            <w:t xml:space="preserve">11.3.1    </w:t>
          </w:r>
          <w:r>
            <w:rPr>
              <w:spacing w:val="-1"/>
              <w:sz w:val="18"/>
              <w:szCs w:val="18"/>
            </w:rPr>
            <w:t>图表控制法</w:t>
          </w:r>
          <w:r>
            <w:rPr>
              <w:spacing w:val="-57"/>
              <w:sz w:val="18"/>
              <w:szCs w:val="18"/>
            </w:rPr>
            <w:t xml:space="preserve"> </w:t>
          </w:r>
          <w:r>
            <w:rPr>
              <w:sz w:val="18"/>
              <w:szCs w:val="18"/>
            </w:rPr>
            <w:tab/>
          </w:r>
          <w:r>
            <w:rPr>
              <w:rFonts w:ascii="Times New Roman" w:hAnsi="Times New Roman" w:eastAsia="Times New Roman" w:cs="Times New Roman"/>
              <w:spacing w:val="2"/>
              <w:sz w:val="18"/>
              <w:szCs w:val="18"/>
            </w:rPr>
            <w:t>262</w:t>
          </w:r>
          <w:r>
            <w:rPr>
              <w:rFonts w:ascii="Times New Roman" w:hAnsi="Times New Roman" w:eastAsia="Times New Roman" w:cs="Times New Roman"/>
              <w:spacing w:val="2"/>
              <w:sz w:val="18"/>
              <w:szCs w:val="18"/>
            </w:rPr>
            <w:fldChar w:fldCharType="end"/>
          </w:r>
        </w:p>
        <w:p w14:paraId="166E8F33">
          <w:pPr>
            <w:pStyle w:val="2"/>
            <w:tabs>
              <w:tab w:val="right" w:leader="dot" w:pos="4276"/>
            </w:tabs>
            <w:spacing w:before="96" w:line="221" w:lineRule="auto"/>
            <w:ind w:left="739"/>
            <w:rPr>
              <w:rFonts w:ascii="Times New Roman" w:hAnsi="Times New Roman" w:eastAsia="Times New Roman" w:cs="Times New Roman"/>
              <w:sz w:val="18"/>
              <w:szCs w:val="18"/>
            </w:rPr>
          </w:pPr>
          <w:bookmarkStart w:id="196" w:name="bookmark193"/>
          <w:bookmarkEnd w:id="196"/>
          <w:r>
            <w:fldChar w:fldCharType="begin"/>
          </w:r>
          <w:r>
            <w:instrText xml:space="preserve"> HYPERLINK \l "bookmark193" </w:instrText>
          </w:r>
          <w:r>
            <w:fldChar w:fldCharType="separate"/>
          </w:r>
          <w:r>
            <w:rPr>
              <w:rFonts w:ascii="Times New Roman" w:hAnsi="Times New Roman" w:eastAsia="Times New Roman" w:cs="Times New Roman"/>
              <w:spacing w:val="-1"/>
              <w:sz w:val="18"/>
              <w:szCs w:val="18"/>
            </w:rPr>
            <w:t xml:space="preserve">11.3.2    </w:t>
          </w:r>
          <w:r>
            <w:rPr>
              <w:spacing w:val="-1"/>
              <w:sz w:val="18"/>
              <w:szCs w:val="18"/>
            </w:rPr>
            <w:t>网络图计划法</w:t>
          </w:r>
          <w:r>
            <w:rPr>
              <w:spacing w:val="-55"/>
              <w:sz w:val="18"/>
              <w:szCs w:val="18"/>
            </w:rPr>
            <w:t xml:space="preserve"> </w:t>
          </w:r>
          <w:r>
            <w:rPr>
              <w:sz w:val="18"/>
              <w:szCs w:val="18"/>
            </w:rPr>
            <w:tab/>
          </w:r>
          <w:r>
            <w:rPr>
              <w:rFonts w:ascii="Times New Roman" w:hAnsi="Times New Roman" w:eastAsia="Times New Roman" w:cs="Times New Roman"/>
              <w:spacing w:val="2"/>
              <w:sz w:val="18"/>
              <w:szCs w:val="18"/>
            </w:rPr>
            <w:t>263</w:t>
          </w:r>
          <w:r>
            <w:rPr>
              <w:rFonts w:ascii="Times New Roman" w:hAnsi="Times New Roman" w:eastAsia="Times New Roman" w:cs="Times New Roman"/>
              <w:spacing w:val="2"/>
              <w:sz w:val="18"/>
              <w:szCs w:val="18"/>
            </w:rPr>
            <w:fldChar w:fldCharType="end"/>
          </w:r>
        </w:p>
        <w:p w14:paraId="46B426B9">
          <w:pPr>
            <w:pStyle w:val="2"/>
            <w:tabs>
              <w:tab w:val="right" w:leader="dot" w:pos="4266"/>
            </w:tabs>
            <w:spacing w:before="104" w:line="220" w:lineRule="auto"/>
            <w:ind w:left="320"/>
            <w:rPr>
              <w:rFonts w:ascii="Times New Roman" w:hAnsi="Times New Roman" w:eastAsia="Times New Roman" w:cs="Times New Roman"/>
              <w:sz w:val="18"/>
              <w:szCs w:val="18"/>
            </w:rPr>
          </w:pPr>
          <w:bookmarkStart w:id="197" w:name="bookmark194"/>
          <w:bookmarkEnd w:id="197"/>
          <w:r>
            <w:fldChar w:fldCharType="begin"/>
          </w:r>
          <w:r>
            <w:instrText xml:space="preserve"> HYPERLINK \l "bookmark194" </w:instrText>
          </w:r>
          <w:r>
            <w:fldChar w:fldCharType="separate"/>
          </w:r>
          <w:r>
            <w:rPr>
              <w:rFonts w:ascii="Times New Roman" w:hAnsi="Times New Roman" w:eastAsia="Times New Roman" w:cs="Times New Roman"/>
              <w:sz w:val="18"/>
              <w:szCs w:val="18"/>
            </w:rPr>
            <w:t xml:space="preserve">11.4    </w:t>
          </w:r>
          <w:r>
            <w:rPr>
              <w:sz w:val="18"/>
              <w:szCs w:val="18"/>
            </w:rPr>
            <w:t>监理进度控制工作</w:t>
          </w:r>
          <w:r>
            <w:rPr>
              <w:spacing w:val="-67"/>
              <w:sz w:val="18"/>
              <w:szCs w:val="18"/>
            </w:rPr>
            <w:t xml:space="preserve"> </w:t>
          </w:r>
          <w:r>
            <w:rPr>
              <w:sz w:val="18"/>
              <w:szCs w:val="18"/>
            </w:rPr>
            <w:tab/>
          </w:r>
          <w:r>
            <w:rPr>
              <w:rFonts w:ascii="Times New Roman" w:hAnsi="Times New Roman" w:eastAsia="Times New Roman" w:cs="Times New Roman"/>
              <w:spacing w:val="2"/>
              <w:sz w:val="18"/>
              <w:szCs w:val="18"/>
            </w:rPr>
            <w:t>264</w:t>
          </w:r>
          <w:r>
            <w:rPr>
              <w:rFonts w:ascii="Times New Roman" w:hAnsi="Times New Roman" w:eastAsia="Times New Roman" w:cs="Times New Roman"/>
              <w:spacing w:val="2"/>
              <w:sz w:val="18"/>
              <w:szCs w:val="18"/>
            </w:rPr>
            <w:fldChar w:fldCharType="end"/>
          </w:r>
        </w:p>
        <w:p w14:paraId="7A1F8C75">
          <w:pPr>
            <w:pStyle w:val="2"/>
            <w:tabs>
              <w:tab w:val="right" w:leader="dot" w:pos="4266"/>
            </w:tabs>
            <w:spacing w:before="95" w:line="220" w:lineRule="auto"/>
            <w:ind w:left="739"/>
            <w:rPr>
              <w:rFonts w:ascii="Times New Roman" w:hAnsi="Times New Roman" w:eastAsia="Times New Roman" w:cs="Times New Roman"/>
              <w:sz w:val="18"/>
              <w:szCs w:val="18"/>
            </w:rPr>
          </w:pPr>
          <w:bookmarkStart w:id="198" w:name="bookmark195"/>
          <w:bookmarkEnd w:id="198"/>
          <w:r>
            <w:fldChar w:fldCharType="begin"/>
          </w:r>
          <w:r>
            <w:instrText xml:space="preserve"> HYPERLINK \l "bookmark195" </w:instrText>
          </w:r>
          <w:r>
            <w:fldChar w:fldCharType="separate"/>
          </w:r>
          <w:r>
            <w:rPr>
              <w:rFonts w:ascii="Times New Roman" w:hAnsi="Times New Roman" w:eastAsia="Times New Roman" w:cs="Times New Roman"/>
              <w:spacing w:val="-1"/>
              <w:sz w:val="18"/>
              <w:szCs w:val="18"/>
            </w:rPr>
            <w:t xml:space="preserve">11.4.1    </w:t>
          </w:r>
          <w:r>
            <w:rPr>
              <w:spacing w:val="-1"/>
              <w:sz w:val="18"/>
              <w:szCs w:val="18"/>
            </w:rPr>
            <w:t>监理进度控制程序</w:t>
          </w:r>
          <w:r>
            <w:rPr>
              <w:spacing w:val="-63"/>
              <w:sz w:val="18"/>
              <w:szCs w:val="18"/>
            </w:rPr>
            <w:t xml:space="preserve"> </w:t>
          </w:r>
          <w:r>
            <w:rPr>
              <w:sz w:val="18"/>
              <w:szCs w:val="18"/>
            </w:rPr>
            <w:tab/>
          </w:r>
          <w:r>
            <w:rPr>
              <w:rFonts w:ascii="Times New Roman" w:hAnsi="Times New Roman" w:eastAsia="Times New Roman" w:cs="Times New Roman"/>
              <w:spacing w:val="2"/>
              <w:sz w:val="18"/>
              <w:szCs w:val="18"/>
            </w:rPr>
            <w:t>264</w:t>
          </w:r>
          <w:r>
            <w:rPr>
              <w:rFonts w:ascii="Times New Roman" w:hAnsi="Times New Roman" w:eastAsia="Times New Roman" w:cs="Times New Roman"/>
              <w:spacing w:val="2"/>
              <w:sz w:val="18"/>
              <w:szCs w:val="18"/>
            </w:rPr>
            <w:fldChar w:fldCharType="end"/>
          </w:r>
        </w:p>
        <w:p w14:paraId="794B601D">
          <w:pPr>
            <w:pStyle w:val="2"/>
            <w:tabs>
              <w:tab w:val="right" w:leader="dot" w:pos="4126"/>
            </w:tabs>
            <w:spacing w:before="106" w:line="220" w:lineRule="auto"/>
            <w:ind w:left="739"/>
            <w:rPr>
              <w:rFonts w:ascii="Times New Roman" w:hAnsi="Times New Roman" w:eastAsia="Times New Roman" w:cs="Times New Roman"/>
              <w:sz w:val="18"/>
              <w:szCs w:val="18"/>
            </w:rPr>
          </w:pPr>
          <w:bookmarkStart w:id="199" w:name="bookmark196"/>
          <w:bookmarkEnd w:id="199"/>
          <w:r>
            <w:fldChar w:fldCharType="begin"/>
          </w:r>
          <w:r>
            <w:instrText xml:space="preserve"> HYPERLINK \l "bookmark196" </w:instrText>
          </w:r>
          <w:r>
            <w:fldChar w:fldCharType="separate"/>
          </w:r>
          <w:r>
            <w:rPr>
              <w:rFonts w:ascii="Times New Roman" w:hAnsi="Times New Roman" w:eastAsia="Times New Roman" w:cs="Times New Roman"/>
              <w:spacing w:val="-1"/>
              <w:sz w:val="18"/>
              <w:szCs w:val="18"/>
            </w:rPr>
            <w:t xml:space="preserve">11.4.2    </w:t>
          </w:r>
          <w:r>
            <w:rPr>
              <w:spacing w:val="-1"/>
              <w:sz w:val="18"/>
              <w:szCs w:val="18"/>
            </w:rPr>
            <w:t>监理进度控制方法</w:t>
          </w:r>
          <w:r>
            <w:rPr>
              <w:spacing w:val="-53"/>
              <w:sz w:val="18"/>
              <w:szCs w:val="18"/>
            </w:rPr>
            <w:t xml:space="preserve"> </w:t>
          </w:r>
          <w:r>
            <w:rPr>
              <w:sz w:val="18"/>
              <w:szCs w:val="18"/>
            </w:rPr>
            <w:tab/>
          </w:r>
          <w:r>
            <w:rPr>
              <w:rFonts w:ascii="Times New Roman" w:hAnsi="Times New Roman" w:eastAsia="Times New Roman" w:cs="Times New Roman"/>
              <w:spacing w:val="2"/>
              <w:sz w:val="18"/>
              <w:szCs w:val="18"/>
            </w:rPr>
            <w:t>267</w:t>
          </w:r>
          <w:r>
            <w:rPr>
              <w:rFonts w:ascii="Times New Roman" w:hAnsi="Times New Roman" w:eastAsia="Times New Roman" w:cs="Times New Roman"/>
              <w:spacing w:val="2"/>
              <w:sz w:val="18"/>
              <w:szCs w:val="18"/>
            </w:rPr>
            <w:fldChar w:fldCharType="end"/>
          </w:r>
        </w:p>
        <w:p w14:paraId="13AD413F">
          <w:pPr>
            <w:spacing w:line="356" w:lineRule="auto"/>
            <w:rPr>
              <w:rFonts w:ascii="Arial"/>
              <w:sz w:val="21"/>
            </w:rPr>
          </w:pPr>
        </w:p>
        <w:p w14:paraId="52B64B3D">
          <w:pPr>
            <w:spacing w:line="356" w:lineRule="auto"/>
            <w:rPr>
              <w:rFonts w:ascii="Arial"/>
              <w:sz w:val="21"/>
            </w:rPr>
          </w:pPr>
        </w:p>
        <w:p w14:paraId="6DC8EBF6">
          <w:pPr>
            <w:pStyle w:val="2"/>
            <w:tabs>
              <w:tab w:val="right" w:leader="dot" w:pos="4276"/>
            </w:tabs>
            <w:spacing w:before="59" w:line="220" w:lineRule="auto"/>
            <w:ind w:left="320"/>
            <w:rPr>
              <w:rFonts w:ascii="Times New Roman" w:hAnsi="Times New Roman" w:eastAsia="Times New Roman" w:cs="Times New Roman"/>
              <w:sz w:val="18"/>
              <w:szCs w:val="18"/>
            </w:rPr>
          </w:pPr>
          <w:bookmarkStart w:id="200" w:name="bookmark197"/>
          <w:bookmarkEnd w:id="200"/>
          <w:r>
            <w:fldChar w:fldCharType="begin"/>
          </w:r>
          <w:r>
            <w:instrText xml:space="preserve"> HYPERLINK \l "bookmark197" </w:instrText>
          </w:r>
          <w:r>
            <w:fldChar w:fldCharType="separate"/>
          </w:r>
          <w:r>
            <w:rPr>
              <w:rFonts w:ascii="Times New Roman" w:hAnsi="Times New Roman" w:eastAsia="Times New Roman" w:cs="Times New Roman"/>
              <w:spacing w:val="1"/>
              <w:sz w:val="18"/>
              <w:szCs w:val="18"/>
            </w:rPr>
            <w:t>12.1</w:t>
          </w:r>
          <w:r>
            <w:rPr>
              <w:rFonts w:ascii="Times New Roman" w:hAnsi="Times New Roman" w:eastAsia="Times New Roman" w:cs="Times New Roman"/>
              <w:spacing w:val="14"/>
              <w:w w:val="101"/>
              <w:sz w:val="18"/>
              <w:szCs w:val="18"/>
            </w:rPr>
            <w:t xml:space="preserve">   </w:t>
          </w:r>
          <w:r>
            <w:rPr>
              <w:spacing w:val="1"/>
              <w:sz w:val="18"/>
              <w:szCs w:val="18"/>
            </w:rPr>
            <w:t>投资与投资控制</w:t>
          </w:r>
          <w:r>
            <w:rPr>
              <w:spacing w:val="-76"/>
              <w:sz w:val="18"/>
              <w:szCs w:val="18"/>
            </w:rPr>
            <w:t xml:space="preserve"> </w:t>
          </w:r>
          <w:r>
            <w:rPr>
              <w:sz w:val="18"/>
              <w:szCs w:val="18"/>
            </w:rPr>
            <w:tab/>
          </w:r>
          <w:r>
            <w:rPr>
              <w:rFonts w:ascii="Times New Roman" w:hAnsi="Times New Roman" w:eastAsia="Times New Roman" w:cs="Times New Roman"/>
              <w:spacing w:val="2"/>
              <w:sz w:val="18"/>
              <w:szCs w:val="18"/>
            </w:rPr>
            <w:t>269</w:t>
          </w:r>
          <w:r>
            <w:rPr>
              <w:rFonts w:ascii="Times New Roman" w:hAnsi="Times New Roman" w:eastAsia="Times New Roman" w:cs="Times New Roman"/>
              <w:spacing w:val="2"/>
              <w:sz w:val="18"/>
              <w:szCs w:val="18"/>
            </w:rPr>
            <w:fldChar w:fldCharType="end"/>
          </w:r>
        </w:p>
        <w:p w14:paraId="6F363D28">
          <w:pPr>
            <w:pStyle w:val="2"/>
            <w:tabs>
              <w:tab w:val="right" w:leader="dot" w:pos="4276"/>
            </w:tabs>
            <w:spacing w:before="85" w:line="220" w:lineRule="auto"/>
            <w:ind w:left="320"/>
            <w:rPr>
              <w:rFonts w:ascii="Times New Roman" w:hAnsi="Times New Roman" w:eastAsia="Times New Roman" w:cs="Times New Roman"/>
              <w:sz w:val="18"/>
              <w:szCs w:val="18"/>
            </w:rPr>
          </w:pPr>
          <w:bookmarkStart w:id="201" w:name="bookmark198"/>
          <w:bookmarkEnd w:id="201"/>
          <w:r>
            <w:fldChar w:fldCharType="begin"/>
          </w:r>
          <w:r>
            <w:instrText xml:space="preserve"> HYPERLINK \l "bookmark198" </w:instrText>
          </w:r>
          <w:r>
            <w:fldChar w:fldCharType="separate"/>
          </w:r>
          <w:r>
            <w:rPr>
              <w:rFonts w:ascii="Times New Roman" w:hAnsi="Times New Roman" w:eastAsia="Times New Roman" w:cs="Times New Roman"/>
              <w:spacing w:val="-1"/>
              <w:sz w:val="18"/>
              <w:szCs w:val="18"/>
            </w:rPr>
            <w:t>12.2</w:t>
          </w:r>
          <w:r>
            <w:rPr>
              <w:rFonts w:ascii="Times New Roman" w:hAnsi="Times New Roman" w:eastAsia="Times New Roman" w:cs="Times New Roman"/>
              <w:spacing w:val="15"/>
              <w:sz w:val="18"/>
              <w:szCs w:val="18"/>
            </w:rPr>
            <w:t xml:space="preserve">   </w:t>
          </w:r>
          <w:r>
            <w:rPr>
              <w:spacing w:val="-1"/>
              <w:sz w:val="18"/>
              <w:szCs w:val="18"/>
            </w:rPr>
            <w:t>投资控制过程</w:t>
          </w:r>
          <w:r>
            <w:rPr>
              <w:spacing w:val="-67"/>
              <w:sz w:val="18"/>
              <w:szCs w:val="18"/>
            </w:rPr>
            <w:t xml:space="preserve"> </w:t>
          </w:r>
          <w:r>
            <w:rPr>
              <w:sz w:val="18"/>
              <w:szCs w:val="18"/>
            </w:rPr>
            <w:tab/>
          </w:r>
          <w:r>
            <w:rPr>
              <w:rFonts w:ascii="Times New Roman" w:hAnsi="Times New Roman" w:eastAsia="Times New Roman" w:cs="Times New Roman"/>
              <w:spacing w:val="2"/>
              <w:sz w:val="18"/>
              <w:szCs w:val="18"/>
            </w:rPr>
            <w:t>271</w:t>
          </w:r>
          <w:r>
            <w:rPr>
              <w:rFonts w:ascii="Times New Roman" w:hAnsi="Times New Roman" w:eastAsia="Times New Roman" w:cs="Times New Roman"/>
              <w:spacing w:val="2"/>
              <w:sz w:val="18"/>
              <w:szCs w:val="18"/>
            </w:rPr>
            <w:fldChar w:fldCharType="end"/>
          </w:r>
        </w:p>
        <w:p w14:paraId="57922743">
          <w:pPr>
            <w:pStyle w:val="2"/>
            <w:tabs>
              <w:tab w:val="right" w:leader="dot" w:pos="4286"/>
            </w:tabs>
            <w:spacing w:before="94" w:line="219" w:lineRule="auto"/>
            <w:ind w:left="739"/>
            <w:rPr>
              <w:rFonts w:ascii="Times New Roman" w:hAnsi="Times New Roman" w:eastAsia="Times New Roman" w:cs="Times New Roman"/>
              <w:sz w:val="18"/>
              <w:szCs w:val="18"/>
            </w:rPr>
          </w:pPr>
          <w:bookmarkStart w:id="202" w:name="bookmark199"/>
          <w:bookmarkEnd w:id="202"/>
          <w:r>
            <w:fldChar w:fldCharType="begin"/>
          </w:r>
          <w:r>
            <w:instrText xml:space="preserve"> HYPERLINK \l "bookmark199" </w:instrText>
          </w:r>
          <w:r>
            <w:fldChar w:fldCharType="separate"/>
          </w:r>
          <w:r>
            <w:rPr>
              <w:rFonts w:ascii="Times New Roman" w:hAnsi="Times New Roman" w:eastAsia="Times New Roman" w:cs="Times New Roman"/>
              <w:spacing w:val="-2"/>
              <w:sz w:val="18"/>
              <w:szCs w:val="18"/>
            </w:rPr>
            <w:t xml:space="preserve">12.2.1    </w:t>
          </w:r>
          <w:r>
            <w:rPr>
              <w:spacing w:val="-2"/>
              <w:sz w:val="18"/>
              <w:szCs w:val="18"/>
            </w:rPr>
            <w:t>规划成本管理</w:t>
          </w:r>
          <w:r>
            <w:rPr>
              <w:spacing w:val="-49"/>
              <w:sz w:val="18"/>
              <w:szCs w:val="18"/>
            </w:rPr>
            <w:t xml:space="preserve"> </w:t>
          </w:r>
          <w:r>
            <w:rPr>
              <w:sz w:val="18"/>
              <w:szCs w:val="18"/>
            </w:rPr>
            <w:tab/>
          </w:r>
          <w:r>
            <w:rPr>
              <w:rFonts w:ascii="Times New Roman" w:hAnsi="Times New Roman" w:eastAsia="Times New Roman" w:cs="Times New Roman"/>
              <w:spacing w:val="2"/>
              <w:sz w:val="18"/>
              <w:szCs w:val="18"/>
            </w:rPr>
            <w:t>271</w:t>
          </w:r>
          <w:r>
            <w:rPr>
              <w:rFonts w:ascii="Times New Roman" w:hAnsi="Times New Roman" w:eastAsia="Times New Roman" w:cs="Times New Roman"/>
              <w:spacing w:val="2"/>
              <w:sz w:val="18"/>
              <w:szCs w:val="18"/>
            </w:rPr>
            <w:fldChar w:fldCharType="end"/>
          </w:r>
        </w:p>
        <w:p w14:paraId="005ABE05">
          <w:pPr>
            <w:pStyle w:val="2"/>
            <w:tabs>
              <w:tab w:val="right" w:leader="dot" w:pos="4266"/>
            </w:tabs>
            <w:spacing w:before="106" w:line="218" w:lineRule="auto"/>
            <w:ind w:left="739"/>
            <w:rPr>
              <w:rFonts w:ascii="Times New Roman" w:hAnsi="Times New Roman" w:eastAsia="Times New Roman" w:cs="Times New Roman"/>
              <w:sz w:val="18"/>
              <w:szCs w:val="18"/>
            </w:rPr>
          </w:pPr>
          <w:bookmarkStart w:id="203" w:name="bookmark200"/>
          <w:bookmarkEnd w:id="203"/>
          <w:r>
            <w:fldChar w:fldCharType="begin"/>
          </w:r>
          <w:r>
            <w:instrText xml:space="preserve"> HYPERLINK \l "bookmark200" </w:instrText>
          </w:r>
          <w:r>
            <w:fldChar w:fldCharType="separate"/>
          </w:r>
          <w:r>
            <w:rPr>
              <w:rFonts w:ascii="Times New Roman" w:hAnsi="Times New Roman" w:eastAsia="Times New Roman" w:cs="Times New Roman"/>
              <w:spacing w:val="-1"/>
              <w:sz w:val="18"/>
              <w:szCs w:val="18"/>
            </w:rPr>
            <w:t xml:space="preserve">12.2.2    </w:t>
          </w:r>
          <w:r>
            <w:rPr>
              <w:spacing w:val="-1"/>
              <w:sz w:val="18"/>
              <w:szCs w:val="18"/>
            </w:rPr>
            <w:t>成本估算</w:t>
          </w:r>
          <w:r>
            <w:rPr>
              <w:spacing w:val="-57"/>
              <w:sz w:val="18"/>
              <w:szCs w:val="18"/>
            </w:rPr>
            <w:t xml:space="preserve"> </w:t>
          </w:r>
          <w:r>
            <w:rPr>
              <w:sz w:val="18"/>
              <w:szCs w:val="18"/>
            </w:rPr>
            <w:tab/>
          </w:r>
          <w:r>
            <w:rPr>
              <w:rFonts w:ascii="Times New Roman" w:hAnsi="Times New Roman" w:eastAsia="Times New Roman" w:cs="Times New Roman"/>
              <w:spacing w:val="2"/>
              <w:sz w:val="18"/>
              <w:szCs w:val="18"/>
            </w:rPr>
            <w:t>272</w:t>
          </w:r>
          <w:r>
            <w:rPr>
              <w:rFonts w:ascii="Times New Roman" w:hAnsi="Times New Roman" w:eastAsia="Times New Roman" w:cs="Times New Roman"/>
              <w:spacing w:val="2"/>
              <w:sz w:val="18"/>
              <w:szCs w:val="18"/>
            </w:rPr>
            <w:fldChar w:fldCharType="end"/>
          </w:r>
        </w:p>
        <w:p w14:paraId="40867C7B">
          <w:pPr>
            <w:pStyle w:val="2"/>
            <w:tabs>
              <w:tab w:val="right" w:leader="dot" w:pos="4266"/>
            </w:tabs>
            <w:spacing w:before="98" w:line="219" w:lineRule="auto"/>
            <w:ind w:left="739"/>
            <w:rPr>
              <w:rFonts w:ascii="Times New Roman" w:hAnsi="Times New Roman" w:eastAsia="Times New Roman" w:cs="Times New Roman"/>
              <w:sz w:val="18"/>
              <w:szCs w:val="18"/>
            </w:rPr>
          </w:pPr>
          <w:bookmarkStart w:id="204" w:name="bookmark201"/>
          <w:bookmarkEnd w:id="204"/>
          <w:r>
            <w:fldChar w:fldCharType="begin"/>
          </w:r>
          <w:r>
            <w:instrText xml:space="preserve"> HYPERLINK \l "bookmark201" </w:instrText>
          </w:r>
          <w:r>
            <w:fldChar w:fldCharType="separate"/>
          </w:r>
          <w:r>
            <w:rPr>
              <w:rFonts w:ascii="Times New Roman" w:hAnsi="Times New Roman" w:eastAsia="Times New Roman" w:cs="Times New Roman"/>
              <w:spacing w:val="-1"/>
              <w:sz w:val="18"/>
              <w:szCs w:val="18"/>
            </w:rPr>
            <w:t xml:space="preserve">12.2.3    </w:t>
          </w:r>
          <w:r>
            <w:rPr>
              <w:spacing w:val="-1"/>
              <w:sz w:val="18"/>
              <w:szCs w:val="18"/>
            </w:rPr>
            <w:t>成本预算</w:t>
          </w:r>
          <w:r>
            <w:rPr>
              <w:spacing w:val="-57"/>
              <w:sz w:val="18"/>
              <w:szCs w:val="18"/>
            </w:rPr>
            <w:t xml:space="preserve"> </w:t>
          </w:r>
          <w:r>
            <w:rPr>
              <w:sz w:val="18"/>
              <w:szCs w:val="18"/>
            </w:rPr>
            <w:tab/>
          </w:r>
          <w:r>
            <w:rPr>
              <w:rFonts w:ascii="Times New Roman" w:hAnsi="Times New Roman" w:eastAsia="Times New Roman" w:cs="Times New Roman"/>
              <w:spacing w:val="2"/>
              <w:sz w:val="18"/>
              <w:szCs w:val="18"/>
            </w:rPr>
            <w:t>275</w:t>
          </w:r>
          <w:r>
            <w:rPr>
              <w:rFonts w:ascii="Times New Roman" w:hAnsi="Times New Roman" w:eastAsia="Times New Roman" w:cs="Times New Roman"/>
              <w:spacing w:val="2"/>
              <w:sz w:val="18"/>
              <w:szCs w:val="18"/>
            </w:rPr>
            <w:fldChar w:fldCharType="end"/>
          </w:r>
        </w:p>
        <w:p w14:paraId="3ABB8509">
          <w:pPr>
            <w:pStyle w:val="2"/>
            <w:tabs>
              <w:tab w:val="right" w:leader="dot" w:pos="4266"/>
            </w:tabs>
            <w:spacing w:before="97" w:line="219" w:lineRule="auto"/>
            <w:ind w:left="739"/>
            <w:rPr>
              <w:rFonts w:ascii="Times New Roman" w:hAnsi="Times New Roman" w:eastAsia="Times New Roman" w:cs="Times New Roman"/>
              <w:sz w:val="18"/>
              <w:szCs w:val="18"/>
            </w:rPr>
          </w:pPr>
          <w:bookmarkStart w:id="205" w:name="bookmark202"/>
          <w:bookmarkEnd w:id="205"/>
          <w:r>
            <w:fldChar w:fldCharType="begin"/>
          </w:r>
          <w:r>
            <w:instrText xml:space="preserve"> HYPERLINK \l "bookmark202" </w:instrText>
          </w:r>
          <w:r>
            <w:fldChar w:fldCharType="separate"/>
          </w:r>
          <w:r>
            <w:rPr>
              <w:rFonts w:ascii="Times New Roman" w:hAnsi="Times New Roman" w:eastAsia="Times New Roman" w:cs="Times New Roman"/>
              <w:spacing w:val="1"/>
              <w:sz w:val="18"/>
              <w:szCs w:val="18"/>
            </w:rPr>
            <w:t xml:space="preserve">12.2.4    </w:t>
          </w:r>
          <w:r>
            <w:rPr>
              <w:spacing w:val="1"/>
              <w:sz w:val="18"/>
              <w:szCs w:val="18"/>
            </w:rPr>
            <w:t>成本控制</w:t>
          </w:r>
          <w:r>
            <w:rPr>
              <w:spacing w:val="-76"/>
              <w:sz w:val="18"/>
              <w:szCs w:val="18"/>
            </w:rPr>
            <w:t xml:space="preserve"> </w:t>
          </w:r>
          <w:r>
            <w:rPr>
              <w:sz w:val="18"/>
              <w:szCs w:val="18"/>
            </w:rPr>
            <w:tab/>
          </w:r>
          <w:r>
            <w:rPr>
              <w:rFonts w:ascii="Times New Roman" w:hAnsi="Times New Roman" w:eastAsia="Times New Roman" w:cs="Times New Roman"/>
              <w:spacing w:val="2"/>
              <w:sz w:val="18"/>
              <w:szCs w:val="18"/>
            </w:rPr>
            <w:t>277</w:t>
          </w:r>
          <w:r>
            <w:rPr>
              <w:rFonts w:ascii="Times New Roman" w:hAnsi="Times New Roman" w:eastAsia="Times New Roman" w:cs="Times New Roman"/>
              <w:spacing w:val="2"/>
              <w:sz w:val="18"/>
              <w:szCs w:val="18"/>
            </w:rPr>
            <w:fldChar w:fldCharType="end"/>
          </w:r>
        </w:p>
        <w:p w14:paraId="29AD6C26">
          <w:pPr>
            <w:pStyle w:val="2"/>
            <w:tabs>
              <w:tab w:val="right" w:leader="dot" w:pos="4126"/>
            </w:tabs>
            <w:spacing w:before="98" w:line="220" w:lineRule="auto"/>
            <w:ind w:left="320"/>
            <w:rPr>
              <w:rFonts w:ascii="Times New Roman" w:hAnsi="Times New Roman" w:eastAsia="Times New Roman" w:cs="Times New Roman"/>
              <w:sz w:val="18"/>
              <w:szCs w:val="18"/>
            </w:rPr>
          </w:pPr>
          <w:bookmarkStart w:id="206" w:name="bookmark203"/>
          <w:bookmarkEnd w:id="206"/>
          <w:r>
            <w:fldChar w:fldCharType="begin"/>
          </w:r>
          <w:r>
            <w:instrText xml:space="preserve"> HYPERLINK \l "bookmark203" </w:instrText>
          </w:r>
          <w:r>
            <w:fldChar w:fldCharType="separate"/>
          </w:r>
          <w:r>
            <w:rPr>
              <w:rFonts w:ascii="Times New Roman" w:hAnsi="Times New Roman" w:eastAsia="Times New Roman" w:cs="Times New Roman"/>
              <w:spacing w:val="-1"/>
              <w:sz w:val="18"/>
              <w:szCs w:val="18"/>
            </w:rPr>
            <w:t>12.3</w:t>
          </w:r>
          <w:r>
            <w:rPr>
              <w:rFonts w:ascii="Times New Roman" w:hAnsi="Times New Roman" w:eastAsia="Times New Roman" w:cs="Times New Roman"/>
              <w:spacing w:val="16"/>
              <w:w w:val="101"/>
              <w:sz w:val="18"/>
              <w:szCs w:val="18"/>
            </w:rPr>
            <w:t xml:space="preserve">   </w:t>
          </w:r>
          <w:r>
            <w:rPr>
              <w:spacing w:val="-1"/>
              <w:sz w:val="18"/>
              <w:szCs w:val="18"/>
            </w:rPr>
            <w:t>投资构成和投资控制方法</w:t>
          </w:r>
          <w:r>
            <w:rPr>
              <w:spacing w:val="-66"/>
              <w:sz w:val="18"/>
              <w:szCs w:val="18"/>
            </w:rPr>
            <w:t xml:space="preserve"> </w:t>
          </w:r>
          <w:r>
            <w:rPr>
              <w:sz w:val="18"/>
              <w:szCs w:val="18"/>
            </w:rPr>
            <w:tab/>
          </w:r>
          <w:r>
            <w:rPr>
              <w:rFonts w:ascii="Times New Roman" w:hAnsi="Times New Roman" w:eastAsia="Times New Roman" w:cs="Times New Roman"/>
              <w:spacing w:val="-3"/>
              <w:sz w:val="18"/>
              <w:szCs w:val="18"/>
            </w:rPr>
            <w:t>278</w:t>
          </w:r>
          <w:r>
            <w:rPr>
              <w:rFonts w:ascii="Times New Roman" w:hAnsi="Times New Roman" w:eastAsia="Times New Roman" w:cs="Times New Roman"/>
              <w:spacing w:val="-3"/>
              <w:sz w:val="18"/>
              <w:szCs w:val="18"/>
            </w:rPr>
            <w:fldChar w:fldCharType="end"/>
          </w:r>
        </w:p>
        <w:p w14:paraId="04BA9855">
          <w:pPr>
            <w:pStyle w:val="2"/>
            <w:spacing w:before="85" w:line="219" w:lineRule="auto"/>
            <w:ind w:left="739"/>
            <w:rPr>
              <w:sz w:val="18"/>
              <w:szCs w:val="18"/>
            </w:rPr>
          </w:pPr>
          <w:bookmarkStart w:id="207" w:name="bookmark204"/>
          <w:bookmarkEnd w:id="207"/>
          <w:r>
            <w:fldChar w:fldCharType="begin"/>
          </w:r>
          <w:r>
            <w:instrText xml:space="preserve"> HYPERLINK \l "bookmark204" </w:instrText>
          </w:r>
          <w:r>
            <w:fldChar w:fldCharType="separate"/>
          </w:r>
          <w:r>
            <w:rPr>
              <w:rFonts w:ascii="Times New Roman" w:hAnsi="Times New Roman" w:eastAsia="Times New Roman" w:cs="Times New Roman"/>
              <w:sz w:val="18"/>
              <w:szCs w:val="18"/>
            </w:rPr>
            <w:t xml:space="preserve">12.3.1    </w:t>
          </w:r>
          <w:r>
            <w:rPr>
              <w:sz w:val="18"/>
              <w:szCs w:val="18"/>
            </w:rPr>
            <w:t>信息系统工程建设项目投资构成</w:t>
          </w:r>
          <w:r>
            <w:rPr>
              <w:sz w:val="18"/>
              <w:szCs w:val="18"/>
            </w:rPr>
            <w:fldChar w:fldCharType="end"/>
          </w:r>
        </w:p>
        <w:p w14:paraId="18787F72">
          <w:pPr>
            <w:tabs>
              <w:tab w:val="right" w:leader="dot" w:pos="4256"/>
            </w:tabs>
            <w:spacing w:before="96" w:line="222" w:lineRule="auto"/>
            <w:ind w:left="1370"/>
            <w:rPr>
              <w:rFonts w:ascii="Times New Roman" w:hAnsi="Times New Roman" w:eastAsia="Times New Roman" w:cs="Times New Roman"/>
              <w:sz w:val="18"/>
              <w:szCs w:val="18"/>
            </w:rPr>
          </w:pPr>
          <w:bookmarkStart w:id="208" w:name="bookmark204"/>
          <w:bookmarkEnd w:id="208"/>
          <w:r>
            <w:fldChar w:fldCharType="begin"/>
          </w:r>
          <w:r>
            <w:instrText xml:space="preserve"> HYPERLINK \l "bookmark204" </w:instrText>
          </w:r>
          <w:r>
            <w:fldChar w:fldCharType="separate"/>
          </w:r>
          <w:r>
            <w:rPr>
              <w:rFonts w:ascii="黑体" w:hAnsi="黑体" w:eastAsia="黑体" w:cs="黑体"/>
              <w:spacing w:val="-6"/>
              <w:sz w:val="18"/>
              <w:szCs w:val="18"/>
            </w:rPr>
            <w:t>分析</w:t>
          </w:r>
          <w:r>
            <w:rPr>
              <w:rFonts w:ascii="黑体" w:hAnsi="黑体" w:eastAsia="黑体" w:cs="黑体"/>
              <w:spacing w:val="-59"/>
              <w:sz w:val="18"/>
              <w:szCs w:val="18"/>
            </w:rPr>
            <w:t xml:space="preserve"> </w:t>
          </w:r>
          <w:r>
            <w:rPr>
              <w:rFonts w:ascii="黑体" w:hAnsi="黑体" w:eastAsia="黑体" w:cs="黑体"/>
              <w:sz w:val="18"/>
              <w:szCs w:val="18"/>
            </w:rPr>
            <w:tab/>
          </w:r>
          <w:r>
            <w:rPr>
              <w:rFonts w:ascii="Times New Roman" w:hAnsi="Times New Roman" w:eastAsia="Times New Roman" w:cs="Times New Roman"/>
              <w:spacing w:val="2"/>
              <w:sz w:val="18"/>
              <w:szCs w:val="18"/>
            </w:rPr>
            <w:t>278</w:t>
          </w:r>
          <w:r>
            <w:rPr>
              <w:rFonts w:ascii="Times New Roman" w:hAnsi="Times New Roman" w:eastAsia="Times New Roman" w:cs="Times New Roman"/>
              <w:spacing w:val="2"/>
              <w:sz w:val="18"/>
              <w:szCs w:val="18"/>
            </w:rPr>
            <w:fldChar w:fldCharType="end"/>
          </w:r>
        </w:p>
        <w:p w14:paraId="059C7D61">
          <w:pPr>
            <w:pStyle w:val="2"/>
            <w:tabs>
              <w:tab w:val="right" w:leader="dot" w:pos="4276"/>
            </w:tabs>
            <w:spacing w:before="94" w:line="219" w:lineRule="auto"/>
            <w:ind w:left="739"/>
            <w:rPr>
              <w:rFonts w:ascii="Times New Roman" w:hAnsi="Times New Roman" w:eastAsia="Times New Roman" w:cs="Times New Roman"/>
              <w:sz w:val="18"/>
              <w:szCs w:val="18"/>
            </w:rPr>
          </w:pPr>
          <w:bookmarkStart w:id="209" w:name="bookmark205"/>
          <w:bookmarkEnd w:id="209"/>
          <w:r>
            <w:fldChar w:fldCharType="begin"/>
          </w:r>
          <w:r>
            <w:instrText xml:space="preserve"> HYPERLINK \l "bookmark205" </w:instrText>
          </w:r>
          <w:r>
            <w:fldChar w:fldCharType="separate"/>
          </w:r>
          <w:r>
            <w:rPr>
              <w:rFonts w:ascii="Times New Roman" w:hAnsi="Times New Roman" w:eastAsia="Times New Roman" w:cs="Times New Roman"/>
              <w:spacing w:val="-2"/>
              <w:sz w:val="18"/>
              <w:szCs w:val="18"/>
            </w:rPr>
            <w:t xml:space="preserve">12.3.2    </w:t>
          </w:r>
          <w:r>
            <w:rPr>
              <w:spacing w:val="-2"/>
              <w:sz w:val="18"/>
              <w:szCs w:val="18"/>
            </w:rPr>
            <w:t>投资控制中的技术经济分析</w:t>
          </w:r>
          <w:r>
            <w:rPr>
              <w:spacing w:val="-37"/>
              <w:sz w:val="18"/>
              <w:szCs w:val="18"/>
            </w:rPr>
            <w:t xml:space="preserve"> </w:t>
          </w:r>
          <w:r>
            <w:rPr>
              <w:sz w:val="18"/>
              <w:szCs w:val="18"/>
            </w:rPr>
            <w:tab/>
          </w:r>
          <w:r>
            <w:rPr>
              <w:rFonts w:ascii="Times New Roman" w:hAnsi="Times New Roman" w:eastAsia="Times New Roman" w:cs="Times New Roman"/>
              <w:spacing w:val="3"/>
              <w:sz w:val="18"/>
              <w:szCs w:val="18"/>
            </w:rPr>
            <w:t>281</w:t>
          </w:r>
          <w:r>
            <w:rPr>
              <w:rFonts w:ascii="Times New Roman" w:hAnsi="Times New Roman" w:eastAsia="Times New Roman" w:cs="Times New Roman"/>
              <w:spacing w:val="3"/>
              <w:sz w:val="18"/>
              <w:szCs w:val="18"/>
            </w:rPr>
            <w:fldChar w:fldCharType="end"/>
          </w:r>
        </w:p>
        <w:p w14:paraId="2E157CBD">
          <w:pPr>
            <w:pStyle w:val="2"/>
            <w:tabs>
              <w:tab w:val="right" w:leader="dot" w:pos="4266"/>
            </w:tabs>
            <w:spacing w:before="96" w:line="219" w:lineRule="auto"/>
            <w:ind w:left="739"/>
            <w:rPr>
              <w:rFonts w:ascii="Times New Roman" w:hAnsi="Times New Roman" w:eastAsia="Times New Roman" w:cs="Times New Roman"/>
              <w:sz w:val="18"/>
              <w:szCs w:val="18"/>
            </w:rPr>
          </w:pPr>
          <w:bookmarkStart w:id="210" w:name="bookmark206"/>
          <w:bookmarkEnd w:id="210"/>
          <w:r>
            <w:fldChar w:fldCharType="begin"/>
          </w:r>
          <w:r>
            <w:instrText xml:space="preserve"> HYPERLINK \l "bookmark206" </w:instrText>
          </w:r>
          <w:r>
            <w:fldChar w:fldCharType="separate"/>
          </w:r>
          <w:r>
            <w:rPr>
              <w:rFonts w:ascii="Times New Roman" w:hAnsi="Times New Roman" w:eastAsia="Times New Roman" w:cs="Times New Roman"/>
              <w:spacing w:val="-1"/>
              <w:sz w:val="18"/>
              <w:szCs w:val="18"/>
            </w:rPr>
            <w:t xml:space="preserve">12.3.3    </w:t>
          </w:r>
          <w:r>
            <w:rPr>
              <w:spacing w:val="-1"/>
              <w:sz w:val="18"/>
              <w:szCs w:val="18"/>
            </w:rPr>
            <w:t>投资控制的技术和方法</w:t>
          </w:r>
          <w:r>
            <w:rPr>
              <w:spacing w:val="-51"/>
              <w:sz w:val="18"/>
              <w:szCs w:val="18"/>
            </w:rPr>
            <w:t xml:space="preserve"> </w:t>
          </w:r>
          <w:r>
            <w:rPr>
              <w:sz w:val="18"/>
              <w:szCs w:val="18"/>
            </w:rPr>
            <w:tab/>
          </w:r>
          <w:r>
            <w:rPr>
              <w:rFonts w:ascii="Times New Roman" w:hAnsi="Times New Roman" w:eastAsia="Times New Roman" w:cs="Times New Roman"/>
              <w:spacing w:val="2"/>
              <w:sz w:val="18"/>
              <w:szCs w:val="18"/>
            </w:rPr>
            <w:t>284</w:t>
          </w:r>
          <w:r>
            <w:rPr>
              <w:rFonts w:ascii="Times New Roman" w:hAnsi="Times New Roman" w:eastAsia="Times New Roman" w:cs="Times New Roman"/>
              <w:spacing w:val="2"/>
              <w:sz w:val="18"/>
              <w:szCs w:val="18"/>
            </w:rPr>
            <w:fldChar w:fldCharType="end"/>
          </w:r>
        </w:p>
        <w:p w14:paraId="1C264D68">
          <w:pPr>
            <w:pStyle w:val="2"/>
            <w:tabs>
              <w:tab w:val="right" w:leader="dot" w:pos="4266"/>
            </w:tabs>
            <w:spacing w:before="97" w:line="220" w:lineRule="auto"/>
            <w:ind w:left="320"/>
            <w:rPr>
              <w:rFonts w:ascii="Times New Roman" w:hAnsi="Times New Roman" w:eastAsia="Times New Roman" w:cs="Times New Roman"/>
              <w:sz w:val="18"/>
              <w:szCs w:val="18"/>
            </w:rPr>
          </w:pPr>
          <w:bookmarkStart w:id="211" w:name="bookmark207"/>
          <w:bookmarkEnd w:id="211"/>
          <w:r>
            <w:fldChar w:fldCharType="begin"/>
          </w:r>
          <w:r>
            <w:instrText xml:space="preserve"> HYPERLINK \l "bookmark207" </w:instrText>
          </w:r>
          <w:r>
            <w:fldChar w:fldCharType="separate"/>
          </w:r>
          <w:r>
            <w:rPr>
              <w:rFonts w:ascii="Times New Roman" w:hAnsi="Times New Roman" w:eastAsia="Times New Roman" w:cs="Times New Roman"/>
              <w:spacing w:val="-2"/>
              <w:sz w:val="18"/>
              <w:szCs w:val="18"/>
            </w:rPr>
            <w:t xml:space="preserve">12.4    </w:t>
          </w:r>
          <w:r>
            <w:rPr>
              <w:spacing w:val="-2"/>
              <w:sz w:val="18"/>
              <w:szCs w:val="18"/>
            </w:rPr>
            <w:t>监理投资控制工作</w:t>
          </w:r>
          <w:r>
            <w:rPr>
              <w:spacing w:val="-45"/>
              <w:sz w:val="18"/>
              <w:szCs w:val="18"/>
            </w:rPr>
            <w:t xml:space="preserve"> </w:t>
          </w:r>
          <w:r>
            <w:rPr>
              <w:sz w:val="18"/>
              <w:szCs w:val="18"/>
            </w:rPr>
            <w:tab/>
          </w:r>
          <w:r>
            <w:rPr>
              <w:rFonts w:ascii="Times New Roman" w:hAnsi="Times New Roman" w:eastAsia="Times New Roman" w:cs="Times New Roman"/>
              <w:spacing w:val="2"/>
              <w:sz w:val="18"/>
              <w:szCs w:val="18"/>
            </w:rPr>
            <w:t>288</w:t>
          </w:r>
          <w:r>
            <w:rPr>
              <w:rFonts w:ascii="Times New Roman" w:hAnsi="Times New Roman" w:eastAsia="Times New Roman" w:cs="Times New Roman"/>
              <w:spacing w:val="2"/>
              <w:sz w:val="18"/>
              <w:szCs w:val="18"/>
            </w:rPr>
            <w:fldChar w:fldCharType="end"/>
          </w:r>
        </w:p>
        <w:p w14:paraId="790CA405">
          <w:pPr>
            <w:pStyle w:val="2"/>
            <w:tabs>
              <w:tab w:val="right" w:leader="dot" w:pos="4256"/>
            </w:tabs>
            <w:spacing w:before="85" w:line="184" w:lineRule="auto"/>
            <w:ind w:left="739"/>
            <w:rPr>
              <w:rFonts w:ascii="Times New Roman" w:hAnsi="Times New Roman" w:eastAsia="Times New Roman" w:cs="Times New Roman"/>
              <w:sz w:val="18"/>
              <w:szCs w:val="18"/>
            </w:rPr>
          </w:pPr>
          <w:bookmarkStart w:id="212" w:name="bookmark208"/>
          <w:bookmarkEnd w:id="212"/>
          <w:r>
            <w:fldChar w:fldCharType="begin"/>
          </w:r>
          <w:r>
            <w:instrText xml:space="preserve"> HYPERLINK \l "bookmark208" </w:instrText>
          </w:r>
          <w:r>
            <w:fldChar w:fldCharType="separate"/>
          </w:r>
          <w:r>
            <w:rPr>
              <w:rFonts w:ascii="Times New Roman" w:hAnsi="Times New Roman" w:eastAsia="Times New Roman" w:cs="Times New Roman"/>
              <w:spacing w:val="-1"/>
              <w:sz w:val="18"/>
              <w:szCs w:val="18"/>
            </w:rPr>
            <w:t xml:space="preserve">12.4.1    </w:t>
          </w:r>
          <w:r>
            <w:rPr>
              <w:spacing w:val="-1"/>
              <w:sz w:val="18"/>
              <w:szCs w:val="18"/>
            </w:rPr>
            <w:t>监理投资控制任务</w:t>
          </w:r>
          <w:r>
            <w:rPr>
              <w:spacing w:val="-53"/>
              <w:sz w:val="18"/>
              <w:szCs w:val="18"/>
            </w:rPr>
            <w:t xml:space="preserve"> </w:t>
          </w:r>
          <w:r>
            <w:rPr>
              <w:sz w:val="18"/>
              <w:szCs w:val="18"/>
            </w:rPr>
            <w:tab/>
          </w:r>
          <w:r>
            <w:rPr>
              <w:rFonts w:ascii="Times New Roman" w:hAnsi="Times New Roman" w:eastAsia="Times New Roman" w:cs="Times New Roman"/>
              <w:spacing w:val="2"/>
              <w:sz w:val="18"/>
              <w:szCs w:val="18"/>
            </w:rPr>
            <w:t>288</w:t>
          </w:r>
          <w:r>
            <w:rPr>
              <w:rFonts w:ascii="Times New Roman" w:hAnsi="Times New Roman" w:eastAsia="Times New Roman" w:cs="Times New Roman"/>
              <w:spacing w:val="2"/>
              <w:sz w:val="18"/>
              <w:szCs w:val="18"/>
            </w:rPr>
            <w:fldChar w:fldCharType="end"/>
          </w:r>
        </w:p>
      </w:sdtContent>
    </w:sdt>
    <w:p w14:paraId="7C45C16E">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8"/>
          <w:szCs w:val="18"/>
        </w:rPr>
        <w:id w:val="147482826"/>
        <w:docPartObj>
          <w:docPartGallery w:val="Table of Contents"/>
          <w:docPartUnique/>
        </w:docPartObj>
      </w:sdtPr>
      <w:sdtEndPr>
        <w:rPr>
          <w:rFonts w:ascii="Times New Roman" w:hAnsi="Times New Roman" w:eastAsia="Times New Roman" w:cs="Times New Roman"/>
          <w:sz w:val="18"/>
          <w:szCs w:val="18"/>
        </w:rPr>
      </w:sdtEndPr>
      <w:sdtContent>
        <w:p w14:paraId="555AEE27">
          <w:pPr>
            <w:pStyle w:val="2"/>
            <w:tabs>
              <w:tab w:val="right" w:leader="dot" w:pos="3946"/>
            </w:tabs>
            <w:spacing w:before="9" w:line="220" w:lineRule="auto"/>
            <w:ind w:left="399"/>
            <w:rPr>
              <w:rFonts w:ascii="Times New Roman" w:hAnsi="Times New Roman" w:eastAsia="Times New Roman" w:cs="Times New Roman"/>
              <w:sz w:val="18"/>
              <w:szCs w:val="18"/>
            </w:rPr>
          </w:pPr>
          <w:bookmarkStart w:id="213" w:name="bookmark209"/>
          <w:bookmarkEnd w:id="213"/>
          <w:r>
            <w:fldChar w:fldCharType="begin"/>
          </w:r>
          <w:r>
            <w:instrText xml:space="preserve"> HYPERLINK \l "bookmark209" </w:instrText>
          </w:r>
          <w:r>
            <w:fldChar w:fldCharType="separate"/>
          </w:r>
          <w:r>
            <w:rPr>
              <w:rFonts w:ascii="Times New Roman" w:hAnsi="Times New Roman" w:eastAsia="Times New Roman" w:cs="Times New Roman"/>
              <w:spacing w:val="-1"/>
              <w:sz w:val="18"/>
              <w:szCs w:val="18"/>
            </w:rPr>
            <w:t xml:space="preserve">12.4.2    </w:t>
          </w:r>
          <w:r>
            <w:rPr>
              <w:spacing w:val="-1"/>
              <w:sz w:val="18"/>
              <w:szCs w:val="18"/>
            </w:rPr>
            <w:t>监理投资控制措施</w:t>
          </w:r>
          <w:r>
            <w:rPr>
              <w:spacing w:val="-53"/>
              <w:sz w:val="18"/>
              <w:szCs w:val="18"/>
            </w:rPr>
            <w:t xml:space="preserve"> </w:t>
          </w:r>
          <w:r>
            <w:rPr>
              <w:sz w:val="18"/>
              <w:szCs w:val="18"/>
            </w:rPr>
            <w:tab/>
          </w:r>
          <w:r>
            <w:rPr>
              <w:rFonts w:ascii="Times New Roman" w:hAnsi="Times New Roman" w:eastAsia="Times New Roman" w:cs="Times New Roman"/>
              <w:spacing w:val="2"/>
              <w:sz w:val="18"/>
              <w:szCs w:val="18"/>
            </w:rPr>
            <w:t>288</w:t>
          </w:r>
          <w:r>
            <w:rPr>
              <w:rFonts w:ascii="Times New Roman" w:hAnsi="Times New Roman" w:eastAsia="Times New Roman" w:cs="Times New Roman"/>
              <w:spacing w:val="2"/>
              <w:sz w:val="18"/>
              <w:szCs w:val="18"/>
            </w:rPr>
            <w:fldChar w:fldCharType="end"/>
          </w:r>
        </w:p>
        <w:p w14:paraId="4BDEB9C8">
          <w:pPr>
            <w:pStyle w:val="2"/>
            <w:tabs>
              <w:tab w:val="right" w:leader="dot" w:pos="3936"/>
            </w:tabs>
            <w:spacing w:before="95" w:line="219" w:lineRule="auto"/>
            <w:ind w:left="399"/>
            <w:rPr>
              <w:rFonts w:ascii="Times New Roman" w:hAnsi="Times New Roman" w:eastAsia="Times New Roman" w:cs="Times New Roman"/>
              <w:sz w:val="18"/>
              <w:szCs w:val="18"/>
            </w:rPr>
          </w:pPr>
          <w:bookmarkStart w:id="214" w:name="bookmark210"/>
          <w:bookmarkEnd w:id="214"/>
          <w:r>
            <w:fldChar w:fldCharType="begin"/>
          </w:r>
          <w:r>
            <w:instrText xml:space="preserve"> HYPERLINK \l "bookmark210" </w:instrText>
          </w:r>
          <w:r>
            <w:fldChar w:fldCharType="separate"/>
          </w:r>
          <w:r>
            <w:rPr>
              <w:rFonts w:ascii="Times New Roman" w:hAnsi="Times New Roman" w:eastAsia="Times New Roman" w:cs="Times New Roman"/>
              <w:spacing w:val="-1"/>
              <w:sz w:val="18"/>
              <w:szCs w:val="18"/>
            </w:rPr>
            <w:t xml:space="preserve">12.4.3    </w:t>
          </w:r>
          <w:r>
            <w:rPr>
              <w:spacing w:val="-1"/>
              <w:sz w:val="18"/>
              <w:szCs w:val="18"/>
            </w:rPr>
            <w:t>工程计量与工程付款控制</w:t>
          </w:r>
          <w:r>
            <w:rPr>
              <w:spacing w:val="-60"/>
              <w:sz w:val="18"/>
              <w:szCs w:val="18"/>
            </w:rPr>
            <w:t xml:space="preserve"> </w:t>
          </w:r>
          <w:r>
            <w:rPr>
              <w:sz w:val="18"/>
              <w:szCs w:val="18"/>
            </w:rPr>
            <w:tab/>
          </w:r>
          <w:r>
            <w:rPr>
              <w:rFonts w:ascii="Times New Roman" w:hAnsi="Times New Roman" w:eastAsia="Times New Roman" w:cs="Times New Roman"/>
              <w:spacing w:val="2"/>
              <w:sz w:val="18"/>
              <w:szCs w:val="18"/>
            </w:rPr>
            <w:t>290</w:t>
          </w:r>
          <w:r>
            <w:rPr>
              <w:rFonts w:ascii="Times New Roman" w:hAnsi="Times New Roman" w:eastAsia="Times New Roman" w:cs="Times New Roman"/>
              <w:spacing w:val="2"/>
              <w:sz w:val="18"/>
              <w:szCs w:val="18"/>
            </w:rPr>
            <w:fldChar w:fldCharType="end"/>
          </w:r>
        </w:p>
        <w:p w14:paraId="39F3D77E">
          <w:pPr>
            <w:pStyle w:val="2"/>
            <w:tabs>
              <w:tab w:val="right" w:leader="dot" w:pos="3956"/>
            </w:tabs>
            <w:spacing w:before="126" w:line="219" w:lineRule="auto"/>
            <w:ind w:left="399"/>
            <w:rPr>
              <w:rFonts w:ascii="Times New Roman" w:hAnsi="Times New Roman" w:eastAsia="Times New Roman" w:cs="Times New Roman"/>
              <w:sz w:val="18"/>
              <w:szCs w:val="18"/>
            </w:rPr>
          </w:pPr>
          <w:bookmarkStart w:id="215" w:name="bookmark211"/>
          <w:bookmarkEnd w:id="215"/>
          <w:r>
            <w:fldChar w:fldCharType="begin"/>
          </w:r>
          <w:r>
            <w:instrText xml:space="preserve"> HYPERLINK \l "bookmark211" </w:instrText>
          </w:r>
          <w:r>
            <w:fldChar w:fldCharType="separate"/>
          </w:r>
          <w:r>
            <w:rPr>
              <w:rFonts w:ascii="Times New Roman" w:hAnsi="Times New Roman" w:eastAsia="Times New Roman" w:cs="Times New Roman"/>
              <w:spacing w:val="-1"/>
              <w:sz w:val="18"/>
              <w:szCs w:val="18"/>
            </w:rPr>
            <w:t>12.4.4</w:t>
          </w:r>
          <w:r>
            <w:rPr>
              <w:rFonts w:ascii="Times New Roman" w:hAnsi="Times New Roman" w:eastAsia="Times New Roman" w:cs="Times New Roman"/>
              <w:spacing w:val="14"/>
              <w:sz w:val="18"/>
              <w:szCs w:val="18"/>
            </w:rPr>
            <w:t xml:space="preserve">   </w:t>
          </w:r>
          <w:r>
            <w:rPr>
              <w:spacing w:val="-1"/>
              <w:sz w:val="18"/>
              <w:szCs w:val="18"/>
            </w:rPr>
            <w:t>竣工结算</w:t>
          </w:r>
          <w:r>
            <w:rPr>
              <w:spacing w:val="-68"/>
              <w:sz w:val="18"/>
              <w:szCs w:val="18"/>
            </w:rPr>
            <w:t xml:space="preserve"> </w:t>
          </w:r>
          <w:r>
            <w:rPr>
              <w:sz w:val="18"/>
              <w:szCs w:val="18"/>
            </w:rPr>
            <w:tab/>
          </w:r>
          <w:r>
            <w:rPr>
              <w:rFonts w:ascii="Times New Roman" w:hAnsi="Times New Roman" w:eastAsia="Times New Roman" w:cs="Times New Roman"/>
              <w:spacing w:val="2"/>
              <w:sz w:val="18"/>
              <w:szCs w:val="18"/>
            </w:rPr>
            <w:t>291</w:t>
          </w:r>
          <w:r>
            <w:rPr>
              <w:rFonts w:ascii="Times New Roman" w:hAnsi="Times New Roman" w:eastAsia="Times New Roman" w:cs="Times New Roman"/>
              <w:spacing w:val="2"/>
              <w:sz w:val="18"/>
              <w:szCs w:val="18"/>
            </w:rPr>
            <w:fldChar w:fldCharType="end"/>
          </w:r>
        </w:p>
        <w:p w14:paraId="15BCD46D">
          <w:pPr>
            <w:spacing w:line="241" w:lineRule="auto"/>
            <w:rPr>
              <w:rFonts w:ascii="Arial"/>
              <w:sz w:val="21"/>
            </w:rPr>
          </w:pPr>
        </w:p>
        <w:p w14:paraId="6A1B0941">
          <w:pPr>
            <w:spacing w:line="241" w:lineRule="auto"/>
            <w:rPr>
              <w:rFonts w:ascii="Arial"/>
              <w:sz w:val="21"/>
            </w:rPr>
          </w:pPr>
        </w:p>
        <w:p w14:paraId="3A7614CA">
          <w:pPr>
            <w:spacing w:line="241" w:lineRule="auto"/>
            <w:rPr>
              <w:rFonts w:ascii="Arial"/>
              <w:sz w:val="21"/>
            </w:rPr>
          </w:pPr>
        </w:p>
        <w:p w14:paraId="3F477A5B">
          <w:pPr>
            <w:pStyle w:val="2"/>
            <w:tabs>
              <w:tab w:val="right" w:leader="dot" w:pos="3946"/>
            </w:tabs>
            <w:spacing w:before="59" w:line="219" w:lineRule="auto"/>
            <w:rPr>
              <w:rFonts w:ascii="Times New Roman" w:hAnsi="Times New Roman" w:eastAsia="Times New Roman" w:cs="Times New Roman"/>
              <w:sz w:val="18"/>
              <w:szCs w:val="18"/>
            </w:rPr>
          </w:pPr>
          <w:bookmarkStart w:id="216" w:name="bookmark212"/>
          <w:bookmarkEnd w:id="216"/>
          <w:r>
            <w:fldChar w:fldCharType="begin"/>
          </w:r>
          <w:r>
            <w:instrText xml:space="preserve"> HYPERLINK \l "bookmark212" </w:instrText>
          </w:r>
          <w:r>
            <w:fldChar w:fldCharType="separate"/>
          </w:r>
          <w:r>
            <w:rPr>
              <w:rFonts w:ascii="Times New Roman" w:hAnsi="Times New Roman" w:eastAsia="Times New Roman" w:cs="Times New Roman"/>
              <w:spacing w:val="-2"/>
              <w:sz w:val="18"/>
              <w:szCs w:val="18"/>
            </w:rPr>
            <w:t>13.1</w:t>
          </w:r>
          <w:r>
            <w:rPr>
              <w:rFonts w:ascii="Times New Roman" w:hAnsi="Times New Roman" w:eastAsia="Times New Roman" w:cs="Times New Roman"/>
              <w:spacing w:val="15"/>
              <w:w w:val="102"/>
              <w:sz w:val="18"/>
              <w:szCs w:val="18"/>
            </w:rPr>
            <w:t xml:space="preserve">   </w:t>
          </w:r>
          <w:r>
            <w:rPr>
              <w:spacing w:val="-2"/>
              <w:sz w:val="18"/>
              <w:szCs w:val="18"/>
            </w:rPr>
            <w:t>信息系统工程合同的内容及分类</w:t>
          </w:r>
          <w:r>
            <w:rPr>
              <w:spacing w:val="-53"/>
              <w:sz w:val="18"/>
              <w:szCs w:val="18"/>
            </w:rPr>
            <w:t xml:space="preserve"> </w:t>
          </w:r>
          <w:r>
            <w:rPr>
              <w:sz w:val="18"/>
              <w:szCs w:val="18"/>
            </w:rPr>
            <w:tab/>
          </w:r>
          <w:r>
            <w:rPr>
              <w:rFonts w:ascii="Times New Roman" w:hAnsi="Times New Roman" w:eastAsia="Times New Roman" w:cs="Times New Roman"/>
              <w:spacing w:val="2"/>
              <w:sz w:val="18"/>
              <w:szCs w:val="18"/>
            </w:rPr>
            <w:t>294</w:t>
          </w:r>
          <w:r>
            <w:rPr>
              <w:rFonts w:ascii="Times New Roman" w:hAnsi="Times New Roman" w:eastAsia="Times New Roman" w:cs="Times New Roman"/>
              <w:spacing w:val="2"/>
              <w:sz w:val="18"/>
              <w:szCs w:val="18"/>
            </w:rPr>
            <w:fldChar w:fldCharType="end"/>
          </w:r>
        </w:p>
        <w:p w14:paraId="1F497A1F">
          <w:pPr>
            <w:pStyle w:val="2"/>
            <w:tabs>
              <w:tab w:val="right" w:leader="dot" w:pos="3946"/>
            </w:tabs>
            <w:spacing w:before="86" w:line="219" w:lineRule="auto"/>
            <w:ind w:left="399"/>
            <w:rPr>
              <w:rFonts w:ascii="Times New Roman" w:hAnsi="Times New Roman" w:eastAsia="Times New Roman" w:cs="Times New Roman"/>
              <w:sz w:val="18"/>
              <w:szCs w:val="18"/>
            </w:rPr>
          </w:pPr>
          <w:bookmarkStart w:id="217" w:name="bookmark213"/>
          <w:bookmarkEnd w:id="217"/>
          <w:r>
            <w:fldChar w:fldCharType="begin"/>
          </w:r>
          <w:r>
            <w:instrText xml:space="preserve"> HYPERLINK \l "bookmark213" </w:instrText>
          </w:r>
          <w:r>
            <w:fldChar w:fldCharType="separate"/>
          </w:r>
          <w:r>
            <w:rPr>
              <w:rFonts w:ascii="Times New Roman" w:hAnsi="Times New Roman" w:eastAsia="Times New Roman" w:cs="Times New Roman"/>
              <w:spacing w:val="-1"/>
              <w:sz w:val="18"/>
              <w:szCs w:val="18"/>
            </w:rPr>
            <w:t xml:space="preserve">13.1.1    </w:t>
          </w:r>
          <w:r>
            <w:rPr>
              <w:spacing w:val="-1"/>
              <w:sz w:val="18"/>
              <w:szCs w:val="18"/>
            </w:rPr>
            <w:t>合同的概念及其法律特征</w:t>
          </w:r>
          <w:r>
            <w:rPr>
              <w:spacing w:val="-50"/>
              <w:sz w:val="18"/>
              <w:szCs w:val="18"/>
            </w:rPr>
            <w:t xml:space="preserve"> </w:t>
          </w:r>
          <w:r>
            <w:rPr>
              <w:sz w:val="18"/>
              <w:szCs w:val="18"/>
            </w:rPr>
            <w:tab/>
          </w:r>
          <w:r>
            <w:rPr>
              <w:rFonts w:ascii="Times New Roman" w:hAnsi="Times New Roman" w:eastAsia="Times New Roman" w:cs="Times New Roman"/>
              <w:spacing w:val="2"/>
              <w:sz w:val="18"/>
              <w:szCs w:val="18"/>
            </w:rPr>
            <w:t>294</w:t>
          </w:r>
          <w:r>
            <w:rPr>
              <w:rFonts w:ascii="Times New Roman" w:hAnsi="Times New Roman" w:eastAsia="Times New Roman" w:cs="Times New Roman"/>
              <w:spacing w:val="2"/>
              <w:sz w:val="18"/>
              <w:szCs w:val="18"/>
            </w:rPr>
            <w:fldChar w:fldCharType="end"/>
          </w:r>
        </w:p>
        <w:p w14:paraId="21B96B3A">
          <w:pPr>
            <w:pStyle w:val="2"/>
            <w:tabs>
              <w:tab w:val="right" w:leader="dot" w:pos="3946"/>
            </w:tabs>
            <w:spacing w:before="116" w:line="219" w:lineRule="auto"/>
            <w:ind w:left="399"/>
            <w:rPr>
              <w:rFonts w:ascii="Times New Roman" w:hAnsi="Times New Roman" w:eastAsia="Times New Roman" w:cs="Times New Roman"/>
              <w:sz w:val="18"/>
              <w:szCs w:val="18"/>
            </w:rPr>
          </w:pPr>
          <w:bookmarkStart w:id="218" w:name="bookmark214"/>
          <w:bookmarkEnd w:id="218"/>
          <w:r>
            <w:fldChar w:fldCharType="begin"/>
          </w:r>
          <w:r>
            <w:instrText xml:space="preserve"> HYPERLINK \l "bookmark214" </w:instrText>
          </w:r>
          <w:r>
            <w:fldChar w:fldCharType="separate"/>
          </w:r>
          <w:r>
            <w:rPr>
              <w:rFonts w:ascii="Times New Roman" w:hAnsi="Times New Roman" w:eastAsia="Times New Roman" w:cs="Times New Roman"/>
              <w:spacing w:val="-1"/>
              <w:sz w:val="18"/>
              <w:szCs w:val="18"/>
            </w:rPr>
            <w:t xml:space="preserve">13.1.2    </w:t>
          </w:r>
          <w:r>
            <w:rPr>
              <w:spacing w:val="-1"/>
              <w:sz w:val="18"/>
              <w:szCs w:val="18"/>
            </w:rPr>
            <w:t>信息系统工程合同的分类</w:t>
          </w:r>
          <w:r>
            <w:rPr>
              <w:spacing w:val="-60"/>
              <w:sz w:val="18"/>
              <w:szCs w:val="18"/>
            </w:rPr>
            <w:t xml:space="preserve"> </w:t>
          </w:r>
          <w:r>
            <w:rPr>
              <w:sz w:val="18"/>
              <w:szCs w:val="18"/>
            </w:rPr>
            <w:tab/>
          </w:r>
          <w:r>
            <w:rPr>
              <w:rFonts w:ascii="Times New Roman" w:hAnsi="Times New Roman" w:eastAsia="Times New Roman" w:cs="Times New Roman"/>
              <w:spacing w:val="2"/>
              <w:sz w:val="18"/>
              <w:szCs w:val="18"/>
            </w:rPr>
            <w:t>295</w:t>
          </w:r>
          <w:r>
            <w:rPr>
              <w:rFonts w:ascii="Times New Roman" w:hAnsi="Times New Roman" w:eastAsia="Times New Roman" w:cs="Times New Roman"/>
              <w:spacing w:val="2"/>
              <w:sz w:val="18"/>
              <w:szCs w:val="18"/>
            </w:rPr>
            <w:fldChar w:fldCharType="end"/>
          </w:r>
        </w:p>
        <w:p w14:paraId="01644DA3">
          <w:pPr>
            <w:pStyle w:val="2"/>
            <w:tabs>
              <w:tab w:val="right" w:leader="dot" w:pos="3936"/>
            </w:tabs>
            <w:spacing w:before="97" w:line="219" w:lineRule="auto"/>
            <w:ind w:left="399"/>
            <w:rPr>
              <w:rFonts w:ascii="Times New Roman" w:hAnsi="Times New Roman" w:eastAsia="Times New Roman" w:cs="Times New Roman"/>
              <w:sz w:val="18"/>
              <w:szCs w:val="18"/>
            </w:rPr>
          </w:pPr>
          <w:bookmarkStart w:id="219" w:name="bookmark215"/>
          <w:bookmarkEnd w:id="219"/>
          <w:r>
            <w:fldChar w:fldCharType="begin"/>
          </w:r>
          <w:r>
            <w:instrText xml:space="preserve"> HYPERLINK \l "bookmark215" </w:instrText>
          </w:r>
          <w:r>
            <w:fldChar w:fldCharType="separate"/>
          </w:r>
          <w:r>
            <w:rPr>
              <w:rFonts w:ascii="Times New Roman" w:hAnsi="Times New Roman" w:eastAsia="Times New Roman" w:cs="Times New Roman"/>
              <w:sz w:val="18"/>
              <w:szCs w:val="18"/>
            </w:rPr>
            <w:t xml:space="preserve">13.1.3    </w:t>
          </w:r>
          <w:r>
            <w:rPr>
              <w:sz w:val="18"/>
              <w:szCs w:val="18"/>
            </w:rPr>
            <w:t>信息系统工程合同的作用</w:t>
          </w:r>
          <w:r>
            <w:rPr>
              <w:spacing w:val="-81"/>
              <w:sz w:val="18"/>
              <w:szCs w:val="18"/>
            </w:rPr>
            <w:t xml:space="preserve"> </w:t>
          </w:r>
          <w:r>
            <w:rPr>
              <w:sz w:val="18"/>
              <w:szCs w:val="18"/>
            </w:rPr>
            <w:tab/>
          </w:r>
          <w:r>
            <w:rPr>
              <w:rFonts w:ascii="Times New Roman" w:hAnsi="Times New Roman" w:eastAsia="Times New Roman" w:cs="Times New Roman"/>
              <w:spacing w:val="2"/>
              <w:sz w:val="18"/>
              <w:szCs w:val="18"/>
            </w:rPr>
            <w:t>298</w:t>
          </w:r>
          <w:r>
            <w:rPr>
              <w:rFonts w:ascii="Times New Roman" w:hAnsi="Times New Roman" w:eastAsia="Times New Roman" w:cs="Times New Roman"/>
              <w:spacing w:val="2"/>
              <w:sz w:val="18"/>
              <w:szCs w:val="18"/>
            </w:rPr>
            <w:fldChar w:fldCharType="end"/>
          </w:r>
        </w:p>
        <w:p w14:paraId="3EB6AD1C">
          <w:pPr>
            <w:pStyle w:val="2"/>
            <w:tabs>
              <w:tab w:val="right" w:leader="dot" w:pos="3946"/>
            </w:tabs>
            <w:spacing w:before="116" w:line="219" w:lineRule="auto"/>
            <w:ind w:left="399"/>
            <w:rPr>
              <w:rFonts w:ascii="Times New Roman" w:hAnsi="Times New Roman" w:eastAsia="Times New Roman" w:cs="Times New Roman"/>
              <w:sz w:val="18"/>
              <w:szCs w:val="18"/>
            </w:rPr>
          </w:pPr>
          <w:bookmarkStart w:id="220" w:name="bookmark216"/>
          <w:bookmarkEnd w:id="220"/>
          <w:r>
            <w:fldChar w:fldCharType="begin"/>
          </w:r>
          <w:r>
            <w:instrText xml:space="preserve"> HYPERLINK \l "bookmark216" </w:instrText>
          </w:r>
          <w:r>
            <w:fldChar w:fldCharType="separate"/>
          </w:r>
          <w:r>
            <w:rPr>
              <w:rFonts w:ascii="Times New Roman" w:hAnsi="Times New Roman" w:eastAsia="Times New Roman" w:cs="Times New Roman"/>
              <w:spacing w:val="-2"/>
              <w:sz w:val="18"/>
              <w:szCs w:val="18"/>
            </w:rPr>
            <w:t>13.1.4</w:t>
          </w:r>
          <w:r>
            <w:rPr>
              <w:rFonts w:ascii="Times New Roman" w:hAnsi="Times New Roman" w:eastAsia="Times New Roman" w:cs="Times New Roman"/>
              <w:spacing w:val="15"/>
              <w:sz w:val="18"/>
              <w:szCs w:val="18"/>
            </w:rPr>
            <w:t xml:space="preserve">   </w:t>
          </w:r>
          <w:r>
            <w:rPr>
              <w:spacing w:val="-2"/>
              <w:sz w:val="18"/>
              <w:szCs w:val="18"/>
            </w:rPr>
            <w:t>信息系统工程合同的主要内容</w:t>
          </w:r>
          <w:r>
            <w:rPr>
              <w:spacing w:val="-53"/>
              <w:sz w:val="18"/>
              <w:szCs w:val="18"/>
            </w:rPr>
            <w:t xml:space="preserve"> </w:t>
          </w:r>
          <w:r>
            <w:rPr>
              <w:sz w:val="18"/>
              <w:szCs w:val="18"/>
            </w:rPr>
            <w:tab/>
          </w:r>
          <w:r>
            <w:rPr>
              <w:rFonts w:ascii="Times New Roman" w:hAnsi="Times New Roman" w:eastAsia="Times New Roman" w:cs="Times New Roman"/>
              <w:spacing w:val="3"/>
              <w:sz w:val="18"/>
              <w:szCs w:val="18"/>
            </w:rPr>
            <w:t>299</w:t>
          </w:r>
          <w:r>
            <w:rPr>
              <w:rFonts w:ascii="Times New Roman" w:hAnsi="Times New Roman" w:eastAsia="Times New Roman" w:cs="Times New Roman"/>
              <w:spacing w:val="3"/>
              <w:sz w:val="18"/>
              <w:szCs w:val="18"/>
            </w:rPr>
            <w:fldChar w:fldCharType="end"/>
          </w:r>
        </w:p>
        <w:p w14:paraId="0C6C4E7F">
          <w:pPr>
            <w:pStyle w:val="2"/>
            <w:spacing w:before="87" w:line="219" w:lineRule="auto"/>
            <w:ind w:left="409"/>
            <w:rPr>
              <w:sz w:val="18"/>
              <w:szCs w:val="18"/>
            </w:rPr>
          </w:pPr>
          <w:bookmarkStart w:id="221" w:name="bookmark217"/>
          <w:bookmarkEnd w:id="221"/>
          <w:r>
            <w:fldChar w:fldCharType="begin"/>
          </w:r>
          <w:r>
            <w:instrText xml:space="preserve"> HYPERLINK \l "bookmark217" </w:instrText>
          </w:r>
          <w:r>
            <w:fldChar w:fldCharType="separate"/>
          </w:r>
          <w:r>
            <w:rPr>
              <w:rFonts w:ascii="Times New Roman" w:hAnsi="Times New Roman" w:eastAsia="Times New Roman" w:cs="Times New Roman"/>
              <w:spacing w:val="-2"/>
              <w:sz w:val="18"/>
              <w:szCs w:val="18"/>
            </w:rPr>
            <w:t xml:space="preserve">13.1.5    </w:t>
          </w:r>
          <w:r>
            <w:rPr>
              <w:spacing w:val="-2"/>
              <w:sz w:val="18"/>
              <w:szCs w:val="18"/>
            </w:rPr>
            <w:t>信息系统工程合同签订的注意</w:t>
          </w:r>
          <w:r>
            <w:rPr>
              <w:spacing w:val="-2"/>
              <w:sz w:val="18"/>
              <w:szCs w:val="18"/>
            </w:rPr>
            <w:fldChar w:fldCharType="end"/>
          </w:r>
        </w:p>
        <w:p w14:paraId="4990BFE8">
          <w:pPr>
            <w:tabs>
              <w:tab w:val="right" w:leader="dot" w:pos="3942"/>
            </w:tabs>
            <w:spacing w:before="105" w:line="222" w:lineRule="auto"/>
            <w:ind w:left="1029"/>
            <w:rPr>
              <w:rFonts w:ascii="Times New Roman" w:hAnsi="Times New Roman" w:eastAsia="Times New Roman" w:cs="Times New Roman"/>
              <w:sz w:val="18"/>
              <w:szCs w:val="18"/>
            </w:rPr>
          </w:pPr>
          <w:bookmarkStart w:id="222" w:name="bookmark217"/>
          <w:bookmarkEnd w:id="222"/>
          <w:r>
            <w:fldChar w:fldCharType="begin"/>
          </w:r>
          <w:r>
            <w:instrText xml:space="preserve"> HYPERLINK \l "bookmark217" </w:instrText>
          </w:r>
          <w:r>
            <w:fldChar w:fldCharType="separate"/>
          </w:r>
          <w:r>
            <w:rPr>
              <w:rFonts w:ascii="黑体" w:hAnsi="黑体" w:eastAsia="黑体" w:cs="黑体"/>
              <w:spacing w:val="-6"/>
              <w:sz w:val="18"/>
              <w:szCs w:val="18"/>
            </w:rPr>
            <w:t>事项</w:t>
          </w:r>
          <w:r>
            <w:rPr>
              <w:rFonts w:ascii="黑体" w:hAnsi="黑体" w:eastAsia="黑体" w:cs="黑体"/>
              <w:spacing w:val="-69"/>
              <w:sz w:val="18"/>
              <w:szCs w:val="18"/>
            </w:rPr>
            <w:t xml:space="preserve"> </w:t>
          </w:r>
          <w:r>
            <w:rPr>
              <w:rFonts w:ascii="黑体" w:hAnsi="黑体" w:eastAsia="黑体" w:cs="黑体"/>
              <w:sz w:val="18"/>
              <w:szCs w:val="18"/>
            </w:rPr>
            <w:tab/>
          </w:r>
          <w:r>
            <w:rPr>
              <w:rFonts w:ascii="Times New Roman" w:hAnsi="Times New Roman" w:eastAsia="Times New Roman" w:cs="Times New Roman"/>
              <w:spacing w:val="1"/>
              <w:sz w:val="18"/>
              <w:szCs w:val="18"/>
            </w:rPr>
            <w:t>300</w:t>
          </w:r>
          <w:r>
            <w:rPr>
              <w:rFonts w:ascii="Times New Roman" w:hAnsi="Times New Roman" w:eastAsia="Times New Roman" w:cs="Times New Roman"/>
              <w:spacing w:val="1"/>
              <w:sz w:val="18"/>
              <w:szCs w:val="18"/>
            </w:rPr>
            <w:fldChar w:fldCharType="end"/>
          </w:r>
        </w:p>
        <w:p w14:paraId="6A2E869D">
          <w:pPr>
            <w:pStyle w:val="2"/>
            <w:spacing w:before="94" w:line="219" w:lineRule="auto"/>
            <w:ind w:left="19"/>
            <w:rPr>
              <w:sz w:val="18"/>
              <w:szCs w:val="18"/>
            </w:rPr>
          </w:pPr>
          <w:bookmarkStart w:id="223" w:name="bookmark218"/>
          <w:bookmarkEnd w:id="223"/>
          <w:r>
            <w:fldChar w:fldCharType="begin"/>
          </w:r>
          <w:r>
            <w:instrText xml:space="preserve"> HYPERLINK \l "bookmark218" </w:instrText>
          </w:r>
          <w:r>
            <w:fldChar w:fldCharType="separate"/>
          </w:r>
          <w:r>
            <w:rPr>
              <w:rFonts w:ascii="Times New Roman" w:hAnsi="Times New Roman" w:eastAsia="Times New Roman" w:cs="Times New Roman"/>
              <w:spacing w:val="-1"/>
              <w:sz w:val="18"/>
              <w:szCs w:val="18"/>
            </w:rPr>
            <w:t xml:space="preserve">13.2    </w:t>
          </w:r>
          <w:r>
            <w:rPr>
              <w:spacing w:val="-1"/>
              <w:sz w:val="18"/>
              <w:szCs w:val="18"/>
            </w:rPr>
            <w:t>信息系统工程合同管理的内容与基本</w:t>
          </w:r>
          <w:r>
            <w:rPr>
              <w:spacing w:val="-1"/>
              <w:sz w:val="18"/>
              <w:szCs w:val="18"/>
            </w:rPr>
            <w:fldChar w:fldCharType="end"/>
          </w:r>
        </w:p>
        <w:p w14:paraId="3BACE894">
          <w:pPr>
            <w:pStyle w:val="2"/>
            <w:tabs>
              <w:tab w:val="right" w:leader="dot" w:pos="3942"/>
            </w:tabs>
            <w:spacing w:before="108" w:line="220" w:lineRule="auto"/>
            <w:ind w:left="489"/>
            <w:rPr>
              <w:rFonts w:ascii="Times New Roman" w:hAnsi="Times New Roman" w:eastAsia="Times New Roman" w:cs="Times New Roman"/>
              <w:sz w:val="18"/>
              <w:szCs w:val="18"/>
            </w:rPr>
          </w:pPr>
          <w:bookmarkStart w:id="224" w:name="bookmark218"/>
          <w:bookmarkEnd w:id="224"/>
          <w:r>
            <w:fldChar w:fldCharType="begin"/>
          </w:r>
          <w:r>
            <w:instrText xml:space="preserve"> HYPERLINK \l "bookmark218" </w:instrText>
          </w:r>
          <w:r>
            <w:fldChar w:fldCharType="separate"/>
          </w:r>
          <w:r>
            <w:rPr>
              <w:spacing w:val="8"/>
              <w:sz w:val="18"/>
              <w:szCs w:val="18"/>
            </w:rPr>
            <w:t>原则</w:t>
          </w:r>
          <w:r>
            <w:rPr>
              <w:spacing w:val="-77"/>
              <w:sz w:val="18"/>
              <w:szCs w:val="18"/>
            </w:rPr>
            <w:t xml:space="preserve"> </w:t>
          </w:r>
          <w:r>
            <w:rPr>
              <w:sz w:val="18"/>
              <w:szCs w:val="18"/>
            </w:rPr>
            <w:tab/>
          </w:r>
          <w:r>
            <w:rPr>
              <w:rFonts w:ascii="Times New Roman" w:hAnsi="Times New Roman" w:eastAsia="Times New Roman" w:cs="Times New Roman"/>
              <w:spacing w:val="1"/>
              <w:sz w:val="18"/>
              <w:szCs w:val="18"/>
            </w:rPr>
            <w:t>302</w:t>
          </w:r>
          <w:r>
            <w:rPr>
              <w:rFonts w:ascii="Times New Roman" w:hAnsi="Times New Roman" w:eastAsia="Times New Roman" w:cs="Times New Roman"/>
              <w:spacing w:val="1"/>
              <w:sz w:val="18"/>
              <w:szCs w:val="18"/>
            </w:rPr>
            <w:fldChar w:fldCharType="end"/>
          </w:r>
        </w:p>
        <w:p w14:paraId="4AC9A195">
          <w:pPr>
            <w:pStyle w:val="2"/>
            <w:spacing w:before="95" w:line="219" w:lineRule="auto"/>
            <w:ind w:left="419"/>
            <w:rPr>
              <w:sz w:val="18"/>
              <w:szCs w:val="18"/>
            </w:rPr>
          </w:pPr>
          <w:bookmarkStart w:id="225" w:name="bookmark219"/>
          <w:bookmarkEnd w:id="225"/>
          <w:r>
            <w:fldChar w:fldCharType="begin"/>
          </w:r>
          <w:r>
            <w:instrText xml:space="preserve"> HYPERLINK \l "bookmark219" </w:instrText>
          </w:r>
          <w:r>
            <w:fldChar w:fldCharType="separate"/>
          </w:r>
          <w:r>
            <w:rPr>
              <w:rFonts w:ascii="Times New Roman" w:hAnsi="Times New Roman" w:eastAsia="Times New Roman" w:cs="Times New Roman"/>
              <w:sz w:val="18"/>
              <w:szCs w:val="18"/>
            </w:rPr>
            <w:t xml:space="preserve">13.2.1    </w:t>
          </w:r>
          <w:r>
            <w:rPr>
              <w:sz w:val="18"/>
              <w:szCs w:val="18"/>
            </w:rPr>
            <w:t>信息系统工程合同管理的概</w:t>
          </w:r>
          <w:r>
            <w:rPr>
              <w:spacing w:val="-1"/>
              <w:sz w:val="18"/>
              <w:szCs w:val="18"/>
            </w:rPr>
            <w:t>念及</w:t>
          </w:r>
          <w:r>
            <w:rPr>
              <w:spacing w:val="-1"/>
              <w:sz w:val="18"/>
              <w:szCs w:val="18"/>
            </w:rPr>
            <w:fldChar w:fldCharType="end"/>
          </w:r>
        </w:p>
        <w:p w14:paraId="6E7985A6">
          <w:pPr>
            <w:tabs>
              <w:tab w:val="right" w:leader="dot" w:pos="3942"/>
            </w:tabs>
            <w:spacing w:before="107" w:line="223" w:lineRule="auto"/>
            <w:ind w:left="1029"/>
            <w:rPr>
              <w:rFonts w:ascii="Times New Roman" w:hAnsi="Times New Roman" w:eastAsia="Times New Roman" w:cs="Times New Roman"/>
              <w:sz w:val="18"/>
              <w:szCs w:val="18"/>
            </w:rPr>
          </w:pPr>
          <w:bookmarkStart w:id="226" w:name="bookmark219"/>
          <w:bookmarkEnd w:id="226"/>
          <w:r>
            <w:fldChar w:fldCharType="begin"/>
          </w:r>
          <w:r>
            <w:instrText xml:space="preserve"> HYPERLINK \l "bookmark219" </w:instrText>
          </w:r>
          <w:r>
            <w:fldChar w:fldCharType="separate"/>
          </w:r>
          <w:r>
            <w:rPr>
              <w:rFonts w:ascii="黑体" w:hAnsi="黑体" w:eastAsia="黑体" w:cs="黑体"/>
              <w:spacing w:val="-5"/>
              <w:sz w:val="18"/>
              <w:szCs w:val="18"/>
            </w:rPr>
            <w:t>意义</w:t>
          </w:r>
          <w:r>
            <w:rPr>
              <w:rFonts w:ascii="黑体" w:hAnsi="黑体" w:eastAsia="黑体" w:cs="黑体"/>
              <w:spacing w:val="-51"/>
              <w:sz w:val="18"/>
              <w:szCs w:val="18"/>
            </w:rPr>
            <w:t xml:space="preserve"> </w:t>
          </w:r>
          <w:r>
            <w:rPr>
              <w:rFonts w:ascii="黑体" w:hAnsi="黑体" w:eastAsia="黑体" w:cs="黑体"/>
              <w:sz w:val="18"/>
              <w:szCs w:val="18"/>
            </w:rPr>
            <w:tab/>
          </w:r>
          <w:r>
            <w:rPr>
              <w:rFonts w:ascii="Times New Roman" w:hAnsi="Times New Roman" w:eastAsia="Times New Roman" w:cs="Times New Roman"/>
              <w:spacing w:val="1"/>
              <w:sz w:val="18"/>
              <w:szCs w:val="18"/>
            </w:rPr>
            <w:t>303</w:t>
          </w:r>
          <w:r>
            <w:rPr>
              <w:rFonts w:ascii="Times New Roman" w:hAnsi="Times New Roman" w:eastAsia="Times New Roman" w:cs="Times New Roman"/>
              <w:spacing w:val="1"/>
              <w:sz w:val="18"/>
              <w:szCs w:val="18"/>
            </w:rPr>
            <w:fldChar w:fldCharType="end"/>
          </w:r>
        </w:p>
        <w:p w14:paraId="0F0FFE0A">
          <w:pPr>
            <w:pStyle w:val="2"/>
            <w:spacing w:before="92" w:line="219" w:lineRule="auto"/>
            <w:ind w:left="419"/>
            <w:rPr>
              <w:sz w:val="18"/>
              <w:szCs w:val="18"/>
            </w:rPr>
          </w:pPr>
          <w:bookmarkStart w:id="227" w:name="bookmark220"/>
          <w:bookmarkEnd w:id="227"/>
          <w:r>
            <w:fldChar w:fldCharType="begin"/>
          </w:r>
          <w:r>
            <w:instrText xml:space="preserve"> HYPERLINK \l "bookmark220" </w:instrText>
          </w:r>
          <w:r>
            <w:fldChar w:fldCharType="separate"/>
          </w:r>
          <w:r>
            <w:rPr>
              <w:rFonts w:ascii="Times New Roman" w:hAnsi="Times New Roman" w:eastAsia="Times New Roman" w:cs="Times New Roman"/>
              <w:spacing w:val="-2"/>
              <w:sz w:val="18"/>
              <w:szCs w:val="18"/>
            </w:rPr>
            <w:t xml:space="preserve">13.2.2    </w:t>
          </w:r>
          <w:r>
            <w:rPr>
              <w:spacing w:val="-2"/>
              <w:sz w:val="18"/>
              <w:szCs w:val="18"/>
            </w:rPr>
            <w:t>信息系统工程合同管理的主要</w:t>
          </w:r>
          <w:r>
            <w:rPr>
              <w:spacing w:val="-2"/>
              <w:sz w:val="18"/>
              <w:szCs w:val="18"/>
            </w:rPr>
            <w:fldChar w:fldCharType="end"/>
          </w:r>
        </w:p>
        <w:p w14:paraId="25D4BAE9">
          <w:pPr>
            <w:tabs>
              <w:tab w:val="right" w:leader="dot" w:pos="3942"/>
            </w:tabs>
            <w:spacing w:before="106" w:line="222" w:lineRule="auto"/>
            <w:ind w:left="1029"/>
            <w:rPr>
              <w:rFonts w:ascii="Times New Roman" w:hAnsi="Times New Roman" w:eastAsia="Times New Roman" w:cs="Times New Roman"/>
              <w:sz w:val="18"/>
              <w:szCs w:val="18"/>
            </w:rPr>
          </w:pPr>
          <w:bookmarkStart w:id="228" w:name="bookmark220"/>
          <w:bookmarkEnd w:id="228"/>
          <w:r>
            <w:fldChar w:fldCharType="begin"/>
          </w:r>
          <w:r>
            <w:instrText xml:space="preserve"> HYPERLINK \l "bookmark220" </w:instrText>
          </w:r>
          <w:r>
            <w:fldChar w:fldCharType="separate"/>
          </w:r>
          <w:r>
            <w:rPr>
              <w:rFonts w:ascii="黑体" w:hAnsi="黑体" w:eastAsia="黑体" w:cs="黑体"/>
              <w:spacing w:val="-10"/>
              <w:sz w:val="18"/>
              <w:szCs w:val="18"/>
            </w:rPr>
            <w:t>内容</w:t>
          </w:r>
          <w:r>
            <w:rPr>
              <w:rFonts w:ascii="黑体" w:hAnsi="黑体" w:eastAsia="黑体" w:cs="黑体"/>
              <w:spacing w:val="-62"/>
              <w:sz w:val="18"/>
              <w:szCs w:val="18"/>
            </w:rPr>
            <w:t xml:space="preserve"> </w:t>
          </w:r>
          <w:r>
            <w:rPr>
              <w:rFonts w:ascii="黑体" w:hAnsi="黑体" w:eastAsia="黑体" w:cs="黑体"/>
              <w:sz w:val="18"/>
              <w:szCs w:val="18"/>
            </w:rPr>
            <w:tab/>
          </w:r>
          <w:r>
            <w:rPr>
              <w:rFonts w:ascii="Times New Roman" w:hAnsi="Times New Roman" w:eastAsia="Times New Roman" w:cs="Times New Roman"/>
              <w:spacing w:val="1"/>
              <w:sz w:val="18"/>
              <w:szCs w:val="18"/>
            </w:rPr>
            <w:t>303</w:t>
          </w:r>
          <w:r>
            <w:rPr>
              <w:rFonts w:ascii="Times New Roman" w:hAnsi="Times New Roman" w:eastAsia="Times New Roman" w:cs="Times New Roman"/>
              <w:spacing w:val="1"/>
              <w:sz w:val="18"/>
              <w:szCs w:val="18"/>
            </w:rPr>
            <w:fldChar w:fldCharType="end"/>
          </w:r>
        </w:p>
        <w:p w14:paraId="5C970595">
          <w:pPr>
            <w:pStyle w:val="2"/>
            <w:tabs>
              <w:tab w:val="right" w:leader="dot" w:pos="3952"/>
            </w:tabs>
            <w:spacing w:before="94" w:line="219" w:lineRule="auto"/>
            <w:ind w:left="399"/>
            <w:rPr>
              <w:rFonts w:ascii="Times New Roman" w:hAnsi="Times New Roman" w:eastAsia="Times New Roman" w:cs="Times New Roman"/>
              <w:sz w:val="18"/>
              <w:szCs w:val="18"/>
            </w:rPr>
          </w:pPr>
          <w:bookmarkStart w:id="229" w:name="bookmark221"/>
          <w:bookmarkEnd w:id="229"/>
          <w:r>
            <w:fldChar w:fldCharType="begin"/>
          </w:r>
          <w:r>
            <w:instrText xml:space="preserve"> HYPERLINK \l "bookmark221" </w:instrText>
          </w:r>
          <w:r>
            <w:fldChar w:fldCharType="separate"/>
          </w:r>
          <w:r>
            <w:rPr>
              <w:rFonts w:ascii="Times New Roman" w:hAnsi="Times New Roman" w:eastAsia="Times New Roman" w:cs="Times New Roman"/>
              <w:spacing w:val="-1"/>
              <w:sz w:val="18"/>
              <w:szCs w:val="18"/>
            </w:rPr>
            <w:t xml:space="preserve">13.2.3    </w:t>
          </w:r>
          <w:r>
            <w:rPr>
              <w:spacing w:val="-1"/>
              <w:sz w:val="18"/>
              <w:szCs w:val="18"/>
            </w:rPr>
            <w:t>信息系统工程合同管理的原则</w:t>
          </w:r>
          <w:r>
            <w:rPr>
              <w:spacing w:val="-58"/>
              <w:sz w:val="18"/>
              <w:szCs w:val="18"/>
            </w:rPr>
            <w:t xml:space="preserve"> </w:t>
          </w:r>
          <w:r>
            <w:rPr>
              <w:sz w:val="18"/>
              <w:szCs w:val="18"/>
            </w:rPr>
            <w:tab/>
          </w:r>
          <w:r>
            <w:rPr>
              <w:rFonts w:ascii="Times New Roman" w:hAnsi="Times New Roman" w:eastAsia="Times New Roman" w:cs="Times New Roman"/>
              <w:spacing w:val="1"/>
              <w:sz w:val="18"/>
              <w:szCs w:val="18"/>
            </w:rPr>
            <w:t>308</w:t>
          </w:r>
          <w:r>
            <w:rPr>
              <w:rFonts w:ascii="Times New Roman" w:hAnsi="Times New Roman" w:eastAsia="Times New Roman" w:cs="Times New Roman"/>
              <w:spacing w:val="1"/>
              <w:sz w:val="18"/>
              <w:szCs w:val="18"/>
            </w:rPr>
            <w:fldChar w:fldCharType="end"/>
          </w:r>
        </w:p>
        <w:p w14:paraId="6FA7C997">
          <w:pPr>
            <w:pStyle w:val="2"/>
            <w:tabs>
              <w:tab w:val="right" w:leader="dot" w:pos="3942"/>
            </w:tabs>
            <w:spacing w:before="106" w:line="219" w:lineRule="auto"/>
            <w:rPr>
              <w:rFonts w:ascii="Times New Roman" w:hAnsi="Times New Roman" w:eastAsia="Times New Roman" w:cs="Times New Roman"/>
              <w:sz w:val="18"/>
              <w:szCs w:val="18"/>
            </w:rPr>
          </w:pPr>
          <w:bookmarkStart w:id="230" w:name="bookmark222"/>
          <w:bookmarkEnd w:id="230"/>
          <w:r>
            <w:fldChar w:fldCharType="begin"/>
          </w:r>
          <w:r>
            <w:instrText xml:space="preserve"> HYPERLINK \l "bookmark222" </w:instrText>
          </w:r>
          <w:r>
            <w:fldChar w:fldCharType="separate"/>
          </w:r>
          <w:r>
            <w:rPr>
              <w:rFonts w:ascii="Times New Roman" w:hAnsi="Times New Roman" w:eastAsia="Times New Roman" w:cs="Times New Roman"/>
              <w:spacing w:val="-3"/>
              <w:sz w:val="18"/>
              <w:szCs w:val="18"/>
            </w:rPr>
            <w:t>13.3</w:t>
          </w:r>
          <w:r>
            <w:rPr>
              <w:rFonts w:ascii="Times New Roman" w:hAnsi="Times New Roman" w:eastAsia="Times New Roman" w:cs="Times New Roman"/>
              <w:spacing w:val="14"/>
              <w:w w:val="101"/>
              <w:sz w:val="18"/>
              <w:szCs w:val="18"/>
            </w:rPr>
            <w:t xml:space="preserve">   </w:t>
          </w:r>
          <w:r>
            <w:rPr>
              <w:spacing w:val="-3"/>
              <w:sz w:val="18"/>
              <w:szCs w:val="18"/>
            </w:rPr>
            <w:t>合同索赔的处理</w:t>
          </w:r>
          <w:r>
            <w:rPr>
              <w:spacing w:val="-52"/>
              <w:sz w:val="18"/>
              <w:szCs w:val="18"/>
            </w:rPr>
            <w:t xml:space="preserve"> </w:t>
          </w:r>
          <w:r>
            <w:rPr>
              <w:sz w:val="18"/>
              <w:szCs w:val="18"/>
            </w:rPr>
            <w:tab/>
          </w:r>
          <w:r>
            <w:rPr>
              <w:rFonts w:ascii="Times New Roman" w:hAnsi="Times New Roman" w:eastAsia="Times New Roman" w:cs="Times New Roman"/>
              <w:spacing w:val="1"/>
              <w:sz w:val="18"/>
              <w:szCs w:val="18"/>
            </w:rPr>
            <w:t>309</w:t>
          </w:r>
          <w:r>
            <w:rPr>
              <w:rFonts w:ascii="Times New Roman" w:hAnsi="Times New Roman" w:eastAsia="Times New Roman" w:cs="Times New Roman"/>
              <w:spacing w:val="1"/>
              <w:sz w:val="18"/>
              <w:szCs w:val="18"/>
            </w:rPr>
            <w:fldChar w:fldCharType="end"/>
          </w:r>
        </w:p>
        <w:p w14:paraId="437F534B">
          <w:pPr>
            <w:pStyle w:val="2"/>
            <w:tabs>
              <w:tab w:val="right" w:leader="dot" w:pos="3952"/>
            </w:tabs>
            <w:spacing w:before="107" w:line="219" w:lineRule="auto"/>
            <w:ind w:left="399"/>
            <w:rPr>
              <w:rFonts w:ascii="Times New Roman" w:hAnsi="Times New Roman" w:eastAsia="Times New Roman" w:cs="Times New Roman"/>
              <w:sz w:val="18"/>
              <w:szCs w:val="18"/>
            </w:rPr>
          </w:pPr>
          <w:bookmarkStart w:id="231" w:name="bookmark223"/>
          <w:bookmarkEnd w:id="231"/>
          <w:r>
            <w:fldChar w:fldCharType="begin"/>
          </w:r>
          <w:r>
            <w:instrText xml:space="preserve"> HYPERLINK \l "bookmark223" </w:instrText>
          </w:r>
          <w:r>
            <w:fldChar w:fldCharType="separate"/>
          </w:r>
          <w:r>
            <w:rPr>
              <w:rFonts w:ascii="Times New Roman" w:hAnsi="Times New Roman" w:eastAsia="Times New Roman" w:cs="Times New Roman"/>
              <w:spacing w:val="-4"/>
              <w:sz w:val="18"/>
              <w:szCs w:val="18"/>
            </w:rPr>
            <w:t>13.3.1</w:t>
          </w:r>
          <w:r>
            <w:rPr>
              <w:rFonts w:ascii="Times New Roman" w:hAnsi="Times New Roman" w:eastAsia="Times New Roman" w:cs="Times New Roman"/>
              <w:spacing w:val="4"/>
              <w:sz w:val="18"/>
              <w:szCs w:val="18"/>
            </w:rPr>
            <w:t xml:space="preserve">    </w:t>
          </w:r>
          <w:r>
            <w:rPr>
              <w:spacing w:val="-4"/>
              <w:sz w:val="18"/>
              <w:szCs w:val="18"/>
            </w:rPr>
            <w:t>索赔概述</w:t>
          </w:r>
          <w:r>
            <w:rPr>
              <w:spacing w:val="-47"/>
              <w:sz w:val="18"/>
              <w:szCs w:val="18"/>
            </w:rPr>
            <w:t xml:space="preserve"> </w:t>
          </w:r>
          <w:r>
            <w:rPr>
              <w:sz w:val="18"/>
              <w:szCs w:val="18"/>
            </w:rPr>
            <w:tab/>
          </w:r>
          <w:r>
            <w:rPr>
              <w:rFonts w:ascii="Times New Roman" w:hAnsi="Times New Roman" w:eastAsia="Times New Roman" w:cs="Times New Roman"/>
              <w:spacing w:val="1"/>
              <w:sz w:val="18"/>
              <w:szCs w:val="18"/>
            </w:rPr>
            <w:t>309</w:t>
          </w:r>
          <w:r>
            <w:rPr>
              <w:rFonts w:ascii="Times New Roman" w:hAnsi="Times New Roman" w:eastAsia="Times New Roman" w:cs="Times New Roman"/>
              <w:spacing w:val="1"/>
              <w:sz w:val="18"/>
              <w:szCs w:val="18"/>
            </w:rPr>
            <w:fldChar w:fldCharType="end"/>
          </w:r>
        </w:p>
        <w:p w14:paraId="1A5EE453">
          <w:pPr>
            <w:pStyle w:val="2"/>
            <w:tabs>
              <w:tab w:val="right" w:leader="dot" w:pos="3962"/>
            </w:tabs>
            <w:spacing w:before="95" w:line="219" w:lineRule="auto"/>
            <w:ind w:left="399"/>
            <w:rPr>
              <w:rFonts w:ascii="Times New Roman" w:hAnsi="Times New Roman" w:eastAsia="Times New Roman" w:cs="Times New Roman"/>
              <w:sz w:val="18"/>
              <w:szCs w:val="18"/>
            </w:rPr>
          </w:pPr>
          <w:bookmarkStart w:id="232" w:name="bookmark224"/>
          <w:bookmarkEnd w:id="232"/>
          <w:r>
            <w:fldChar w:fldCharType="begin"/>
          </w:r>
          <w:r>
            <w:instrText xml:space="preserve"> HYPERLINK \l "bookmark224" </w:instrText>
          </w:r>
          <w:r>
            <w:fldChar w:fldCharType="separate"/>
          </w:r>
          <w:r>
            <w:rPr>
              <w:rFonts w:ascii="Times New Roman" w:hAnsi="Times New Roman" w:eastAsia="Times New Roman" w:cs="Times New Roman"/>
              <w:spacing w:val="-1"/>
              <w:sz w:val="18"/>
              <w:szCs w:val="18"/>
            </w:rPr>
            <w:t xml:space="preserve">13.3.2    </w:t>
          </w:r>
          <w:r>
            <w:rPr>
              <w:spacing w:val="-1"/>
              <w:sz w:val="18"/>
              <w:szCs w:val="18"/>
            </w:rPr>
            <w:t>索赔的依据</w:t>
          </w:r>
          <w:r>
            <w:rPr>
              <w:spacing w:val="-66"/>
              <w:sz w:val="18"/>
              <w:szCs w:val="18"/>
            </w:rPr>
            <w:t xml:space="preserve"> </w:t>
          </w:r>
          <w:r>
            <w:rPr>
              <w:sz w:val="18"/>
              <w:szCs w:val="18"/>
            </w:rPr>
            <w:tab/>
          </w:r>
          <w:r>
            <w:rPr>
              <w:rFonts w:ascii="Times New Roman" w:hAnsi="Times New Roman" w:eastAsia="Times New Roman" w:cs="Times New Roman"/>
              <w:spacing w:val="1"/>
              <w:sz w:val="18"/>
              <w:szCs w:val="18"/>
            </w:rPr>
            <w:t>311</w:t>
          </w:r>
          <w:r>
            <w:rPr>
              <w:rFonts w:ascii="Times New Roman" w:hAnsi="Times New Roman" w:eastAsia="Times New Roman" w:cs="Times New Roman"/>
              <w:spacing w:val="1"/>
              <w:sz w:val="18"/>
              <w:szCs w:val="18"/>
            </w:rPr>
            <w:fldChar w:fldCharType="end"/>
          </w:r>
        </w:p>
        <w:p w14:paraId="6058954B">
          <w:pPr>
            <w:pStyle w:val="2"/>
            <w:tabs>
              <w:tab w:val="right" w:leader="dot" w:pos="3962"/>
            </w:tabs>
            <w:spacing w:before="108" w:line="219" w:lineRule="auto"/>
            <w:ind w:left="399"/>
            <w:rPr>
              <w:rFonts w:ascii="Times New Roman" w:hAnsi="Times New Roman" w:eastAsia="Times New Roman" w:cs="Times New Roman"/>
              <w:sz w:val="18"/>
              <w:szCs w:val="18"/>
            </w:rPr>
          </w:pPr>
          <w:bookmarkStart w:id="233" w:name="bookmark225"/>
          <w:bookmarkEnd w:id="233"/>
          <w:r>
            <w:fldChar w:fldCharType="begin"/>
          </w:r>
          <w:r>
            <w:instrText xml:space="preserve"> HYPERLINK \l "bookmark225" </w:instrText>
          </w:r>
          <w:r>
            <w:fldChar w:fldCharType="separate"/>
          </w:r>
          <w:r>
            <w:rPr>
              <w:rFonts w:ascii="Times New Roman" w:hAnsi="Times New Roman" w:eastAsia="Times New Roman" w:cs="Times New Roman"/>
              <w:spacing w:val="-3"/>
              <w:sz w:val="18"/>
              <w:szCs w:val="18"/>
            </w:rPr>
            <w:t>13.3.3</w:t>
          </w:r>
          <w:r>
            <w:rPr>
              <w:rFonts w:ascii="Times New Roman" w:hAnsi="Times New Roman" w:eastAsia="Times New Roman" w:cs="Times New Roman"/>
              <w:spacing w:val="2"/>
              <w:sz w:val="18"/>
              <w:szCs w:val="18"/>
            </w:rPr>
            <w:t xml:space="preserve">    </w:t>
          </w:r>
          <w:r>
            <w:rPr>
              <w:spacing w:val="-3"/>
              <w:sz w:val="18"/>
              <w:szCs w:val="18"/>
            </w:rPr>
            <w:t>索赔的处理</w:t>
          </w:r>
          <w:r>
            <w:rPr>
              <w:spacing w:val="-56"/>
              <w:sz w:val="18"/>
              <w:szCs w:val="18"/>
            </w:rPr>
            <w:t xml:space="preserve"> </w:t>
          </w:r>
          <w:r>
            <w:rPr>
              <w:sz w:val="18"/>
              <w:szCs w:val="18"/>
            </w:rPr>
            <w:tab/>
          </w:r>
          <w:r>
            <w:rPr>
              <w:rFonts w:ascii="Times New Roman" w:hAnsi="Times New Roman" w:eastAsia="Times New Roman" w:cs="Times New Roman"/>
              <w:spacing w:val="1"/>
              <w:sz w:val="18"/>
              <w:szCs w:val="18"/>
            </w:rPr>
            <w:t>311</w:t>
          </w:r>
          <w:r>
            <w:rPr>
              <w:rFonts w:ascii="Times New Roman" w:hAnsi="Times New Roman" w:eastAsia="Times New Roman" w:cs="Times New Roman"/>
              <w:spacing w:val="1"/>
              <w:sz w:val="18"/>
              <w:szCs w:val="18"/>
            </w:rPr>
            <w:fldChar w:fldCharType="end"/>
          </w:r>
        </w:p>
        <w:p w14:paraId="12052D1A">
          <w:pPr>
            <w:pStyle w:val="2"/>
            <w:tabs>
              <w:tab w:val="right" w:leader="dot" w:pos="3962"/>
            </w:tabs>
            <w:spacing w:before="96" w:line="219" w:lineRule="auto"/>
            <w:rPr>
              <w:rFonts w:ascii="Times New Roman" w:hAnsi="Times New Roman" w:eastAsia="Times New Roman" w:cs="Times New Roman"/>
              <w:sz w:val="18"/>
              <w:szCs w:val="18"/>
            </w:rPr>
          </w:pPr>
          <w:bookmarkStart w:id="234" w:name="bookmark226"/>
          <w:bookmarkEnd w:id="234"/>
          <w:r>
            <w:fldChar w:fldCharType="begin"/>
          </w:r>
          <w:r>
            <w:instrText xml:space="preserve"> HYPERLINK \l "bookmark226" </w:instrText>
          </w:r>
          <w:r>
            <w:fldChar w:fldCharType="separate"/>
          </w:r>
          <w:r>
            <w:rPr>
              <w:rFonts w:ascii="Times New Roman" w:hAnsi="Times New Roman" w:eastAsia="Times New Roman" w:cs="Times New Roman"/>
              <w:spacing w:val="-1"/>
              <w:sz w:val="18"/>
              <w:szCs w:val="18"/>
            </w:rPr>
            <w:t>13.4</w:t>
          </w:r>
          <w:r>
            <w:rPr>
              <w:rFonts w:ascii="Times New Roman" w:hAnsi="Times New Roman" w:eastAsia="Times New Roman" w:cs="Times New Roman"/>
              <w:spacing w:val="12"/>
              <w:sz w:val="18"/>
              <w:szCs w:val="18"/>
            </w:rPr>
            <w:t xml:space="preserve">   </w:t>
          </w:r>
          <w:r>
            <w:rPr>
              <w:spacing w:val="-1"/>
              <w:sz w:val="18"/>
              <w:szCs w:val="18"/>
            </w:rPr>
            <w:t>合同争议的处理</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315</w:t>
          </w:r>
          <w:r>
            <w:rPr>
              <w:rFonts w:ascii="Times New Roman" w:hAnsi="Times New Roman" w:eastAsia="Times New Roman" w:cs="Times New Roman"/>
              <w:spacing w:val="1"/>
              <w:sz w:val="18"/>
              <w:szCs w:val="18"/>
            </w:rPr>
            <w:fldChar w:fldCharType="end"/>
          </w:r>
        </w:p>
        <w:p w14:paraId="2EBB233D">
          <w:pPr>
            <w:pStyle w:val="2"/>
            <w:tabs>
              <w:tab w:val="right" w:leader="dot" w:pos="3932"/>
            </w:tabs>
            <w:spacing w:before="107" w:line="219" w:lineRule="auto"/>
            <w:ind w:left="399"/>
            <w:rPr>
              <w:rFonts w:ascii="Times New Roman" w:hAnsi="Times New Roman" w:eastAsia="Times New Roman" w:cs="Times New Roman"/>
              <w:sz w:val="18"/>
              <w:szCs w:val="18"/>
            </w:rPr>
          </w:pPr>
          <w:bookmarkStart w:id="235" w:name="bookmark227"/>
          <w:bookmarkEnd w:id="235"/>
          <w:r>
            <w:fldChar w:fldCharType="begin"/>
          </w:r>
          <w:r>
            <w:instrText xml:space="preserve"> HYPERLINK \l "bookmark227" </w:instrText>
          </w:r>
          <w:r>
            <w:fldChar w:fldCharType="separate"/>
          </w:r>
          <w:r>
            <w:rPr>
              <w:rFonts w:ascii="Times New Roman" w:hAnsi="Times New Roman" w:eastAsia="Times New Roman" w:cs="Times New Roman"/>
              <w:spacing w:val="-1"/>
              <w:sz w:val="18"/>
              <w:szCs w:val="18"/>
            </w:rPr>
            <w:t xml:space="preserve">13.4.1    </w:t>
          </w:r>
          <w:r>
            <w:rPr>
              <w:spacing w:val="-1"/>
              <w:sz w:val="18"/>
              <w:szCs w:val="18"/>
            </w:rPr>
            <w:t>合同争议概述</w:t>
          </w:r>
          <w:r>
            <w:rPr>
              <w:spacing w:val="-55"/>
              <w:sz w:val="18"/>
              <w:szCs w:val="18"/>
            </w:rPr>
            <w:t xml:space="preserve"> </w:t>
          </w:r>
          <w:r>
            <w:rPr>
              <w:sz w:val="18"/>
              <w:szCs w:val="18"/>
            </w:rPr>
            <w:tab/>
          </w:r>
          <w:r>
            <w:rPr>
              <w:rFonts w:ascii="Times New Roman" w:hAnsi="Times New Roman" w:eastAsia="Times New Roman" w:cs="Times New Roman"/>
              <w:spacing w:val="1"/>
              <w:sz w:val="18"/>
              <w:szCs w:val="18"/>
            </w:rPr>
            <w:t>316</w:t>
          </w:r>
          <w:r>
            <w:rPr>
              <w:rFonts w:ascii="Times New Roman" w:hAnsi="Times New Roman" w:eastAsia="Times New Roman" w:cs="Times New Roman"/>
              <w:spacing w:val="1"/>
              <w:sz w:val="18"/>
              <w:szCs w:val="18"/>
            </w:rPr>
            <w:fldChar w:fldCharType="end"/>
          </w:r>
        </w:p>
        <w:p w14:paraId="5BFA2B6C">
          <w:pPr>
            <w:pStyle w:val="2"/>
            <w:tabs>
              <w:tab w:val="right" w:leader="dot" w:pos="3932"/>
            </w:tabs>
            <w:spacing w:before="96" w:line="219" w:lineRule="auto"/>
            <w:ind w:left="399"/>
            <w:rPr>
              <w:rFonts w:ascii="Times New Roman" w:hAnsi="Times New Roman" w:eastAsia="Times New Roman" w:cs="Times New Roman"/>
              <w:sz w:val="18"/>
              <w:szCs w:val="18"/>
            </w:rPr>
          </w:pPr>
          <w:bookmarkStart w:id="236" w:name="bookmark228"/>
          <w:bookmarkEnd w:id="236"/>
          <w:r>
            <w:fldChar w:fldCharType="begin"/>
          </w:r>
          <w:r>
            <w:instrText xml:space="preserve"> HYPERLINK \l "bookmark228" </w:instrText>
          </w:r>
          <w:r>
            <w:fldChar w:fldCharType="separate"/>
          </w:r>
          <w:r>
            <w:rPr>
              <w:rFonts w:ascii="Times New Roman" w:hAnsi="Times New Roman" w:eastAsia="Times New Roman" w:cs="Times New Roman"/>
              <w:spacing w:val="-1"/>
              <w:sz w:val="18"/>
              <w:szCs w:val="18"/>
            </w:rPr>
            <w:t xml:space="preserve">13.4.2    </w:t>
          </w:r>
          <w:r>
            <w:rPr>
              <w:spacing w:val="-1"/>
              <w:sz w:val="18"/>
              <w:szCs w:val="18"/>
            </w:rPr>
            <w:t>合同争议的起因</w:t>
          </w:r>
          <w:r>
            <w:rPr>
              <w:spacing w:val="-64"/>
              <w:sz w:val="18"/>
              <w:szCs w:val="18"/>
            </w:rPr>
            <w:t xml:space="preserve"> </w:t>
          </w:r>
          <w:r>
            <w:rPr>
              <w:sz w:val="18"/>
              <w:szCs w:val="18"/>
            </w:rPr>
            <w:tab/>
          </w:r>
          <w:r>
            <w:rPr>
              <w:rFonts w:ascii="Times New Roman" w:hAnsi="Times New Roman" w:eastAsia="Times New Roman" w:cs="Times New Roman"/>
              <w:spacing w:val="1"/>
              <w:sz w:val="18"/>
              <w:szCs w:val="18"/>
            </w:rPr>
            <w:t>316</w:t>
          </w:r>
          <w:r>
            <w:rPr>
              <w:rFonts w:ascii="Times New Roman" w:hAnsi="Times New Roman" w:eastAsia="Times New Roman" w:cs="Times New Roman"/>
              <w:spacing w:val="1"/>
              <w:sz w:val="18"/>
              <w:szCs w:val="18"/>
            </w:rPr>
            <w:fldChar w:fldCharType="end"/>
          </w:r>
        </w:p>
        <w:p w14:paraId="05EB31C1">
          <w:pPr>
            <w:pStyle w:val="2"/>
            <w:tabs>
              <w:tab w:val="right" w:leader="dot" w:pos="3942"/>
            </w:tabs>
            <w:spacing w:before="97" w:line="219" w:lineRule="auto"/>
            <w:ind w:left="399"/>
            <w:rPr>
              <w:rFonts w:ascii="Times New Roman" w:hAnsi="Times New Roman" w:eastAsia="Times New Roman" w:cs="Times New Roman"/>
              <w:sz w:val="18"/>
              <w:szCs w:val="18"/>
            </w:rPr>
          </w:pPr>
          <w:bookmarkStart w:id="237" w:name="bookmark229"/>
          <w:bookmarkEnd w:id="237"/>
          <w:r>
            <w:fldChar w:fldCharType="begin"/>
          </w:r>
          <w:r>
            <w:instrText xml:space="preserve"> HYPERLINK \l "bookmark229" </w:instrText>
          </w:r>
          <w:r>
            <w:fldChar w:fldCharType="separate"/>
          </w:r>
          <w:r>
            <w:rPr>
              <w:rFonts w:ascii="Times New Roman" w:hAnsi="Times New Roman" w:eastAsia="Times New Roman" w:cs="Times New Roman"/>
              <w:spacing w:val="-1"/>
              <w:sz w:val="18"/>
              <w:szCs w:val="18"/>
            </w:rPr>
            <w:t xml:space="preserve">13.4.3    </w:t>
          </w:r>
          <w:r>
            <w:rPr>
              <w:spacing w:val="-1"/>
              <w:sz w:val="18"/>
              <w:szCs w:val="18"/>
            </w:rPr>
            <w:t>合同争议的调解</w:t>
          </w:r>
          <w:r>
            <w:rPr>
              <w:spacing w:val="-54"/>
              <w:sz w:val="18"/>
              <w:szCs w:val="18"/>
            </w:rPr>
            <w:t xml:space="preserve"> </w:t>
          </w:r>
          <w:r>
            <w:rPr>
              <w:sz w:val="18"/>
              <w:szCs w:val="18"/>
            </w:rPr>
            <w:tab/>
          </w:r>
          <w:r>
            <w:rPr>
              <w:rFonts w:ascii="Times New Roman" w:hAnsi="Times New Roman" w:eastAsia="Times New Roman" w:cs="Times New Roman"/>
              <w:spacing w:val="1"/>
              <w:sz w:val="18"/>
              <w:szCs w:val="18"/>
            </w:rPr>
            <w:t>317</w:t>
          </w:r>
          <w:r>
            <w:rPr>
              <w:rFonts w:ascii="Times New Roman" w:hAnsi="Times New Roman" w:eastAsia="Times New Roman" w:cs="Times New Roman"/>
              <w:spacing w:val="1"/>
              <w:sz w:val="18"/>
              <w:szCs w:val="18"/>
            </w:rPr>
            <w:fldChar w:fldCharType="end"/>
          </w:r>
        </w:p>
        <w:p w14:paraId="0BDC01A1">
          <w:pPr>
            <w:pStyle w:val="2"/>
            <w:tabs>
              <w:tab w:val="right" w:leader="dot" w:pos="3942"/>
            </w:tabs>
            <w:spacing w:before="106" w:line="219" w:lineRule="auto"/>
            <w:rPr>
              <w:rFonts w:ascii="Times New Roman" w:hAnsi="Times New Roman" w:eastAsia="Times New Roman" w:cs="Times New Roman"/>
              <w:sz w:val="18"/>
              <w:szCs w:val="18"/>
            </w:rPr>
          </w:pPr>
          <w:bookmarkStart w:id="238" w:name="bookmark230"/>
          <w:bookmarkEnd w:id="238"/>
          <w:r>
            <w:fldChar w:fldCharType="begin"/>
          </w:r>
          <w:r>
            <w:instrText xml:space="preserve"> HYPERLINK \l "bookmark230" </w:instrText>
          </w:r>
          <w:r>
            <w:fldChar w:fldCharType="separate"/>
          </w:r>
          <w:r>
            <w:rPr>
              <w:rFonts w:ascii="Times New Roman" w:hAnsi="Times New Roman" w:eastAsia="Times New Roman" w:cs="Times New Roman"/>
              <w:spacing w:val="-1"/>
              <w:sz w:val="18"/>
              <w:szCs w:val="18"/>
            </w:rPr>
            <w:t>13.5</w:t>
          </w:r>
          <w:r>
            <w:rPr>
              <w:rFonts w:ascii="Times New Roman" w:hAnsi="Times New Roman" w:eastAsia="Times New Roman" w:cs="Times New Roman"/>
              <w:spacing w:val="12"/>
              <w:sz w:val="18"/>
              <w:szCs w:val="18"/>
            </w:rPr>
            <w:t xml:space="preserve">   </w:t>
          </w:r>
          <w:r>
            <w:rPr>
              <w:spacing w:val="-1"/>
              <w:sz w:val="18"/>
              <w:szCs w:val="18"/>
            </w:rPr>
            <w:t>合同违约的管理</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318</w:t>
          </w:r>
          <w:r>
            <w:rPr>
              <w:rFonts w:ascii="Times New Roman" w:hAnsi="Times New Roman" w:eastAsia="Times New Roman" w:cs="Times New Roman"/>
              <w:spacing w:val="1"/>
              <w:sz w:val="18"/>
              <w:szCs w:val="18"/>
            </w:rPr>
            <w:fldChar w:fldCharType="end"/>
          </w:r>
        </w:p>
        <w:p w14:paraId="2D5AEBC2">
          <w:pPr>
            <w:pStyle w:val="2"/>
            <w:tabs>
              <w:tab w:val="right" w:leader="dot" w:pos="3942"/>
            </w:tabs>
            <w:spacing w:before="86" w:line="219" w:lineRule="auto"/>
            <w:ind w:left="399"/>
            <w:rPr>
              <w:rFonts w:ascii="Times New Roman" w:hAnsi="Times New Roman" w:eastAsia="Times New Roman" w:cs="Times New Roman"/>
              <w:sz w:val="18"/>
              <w:szCs w:val="18"/>
            </w:rPr>
          </w:pPr>
          <w:bookmarkStart w:id="239" w:name="bookmark231"/>
          <w:bookmarkEnd w:id="239"/>
          <w:r>
            <w:fldChar w:fldCharType="begin"/>
          </w:r>
          <w:r>
            <w:instrText xml:space="preserve"> HYPERLINK \l "bookmark231" </w:instrText>
          </w:r>
          <w:r>
            <w:fldChar w:fldCharType="separate"/>
          </w:r>
          <w:r>
            <w:rPr>
              <w:rFonts w:ascii="Times New Roman" w:hAnsi="Times New Roman" w:eastAsia="Times New Roman" w:cs="Times New Roman"/>
              <w:spacing w:val="3"/>
              <w:sz w:val="18"/>
              <w:szCs w:val="18"/>
            </w:rPr>
            <w:t>13.5.1</w:t>
          </w:r>
          <w:r>
            <w:rPr>
              <w:rFonts w:ascii="Times New Roman" w:hAnsi="Times New Roman" w:eastAsia="Times New Roman" w:cs="Times New Roman"/>
              <w:spacing w:val="2"/>
              <w:sz w:val="18"/>
              <w:szCs w:val="18"/>
            </w:rPr>
            <w:t xml:space="preserve">    </w:t>
          </w:r>
          <w:r>
            <w:rPr>
              <w:spacing w:val="3"/>
              <w:sz w:val="18"/>
              <w:szCs w:val="18"/>
            </w:rPr>
            <w:t>合同违约概述</w:t>
          </w:r>
          <w:r>
            <w:rPr>
              <w:spacing w:val="-65"/>
              <w:sz w:val="18"/>
              <w:szCs w:val="18"/>
            </w:rPr>
            <w:t xml:space="preserve"> </w:t>
          </w:r>
          <w:r>
            <w:rPr>
              <w:sz w:val="18"/>
              <w:szCs w:val="18"/>
            </w:rPr>
            <w:tab/>
          </w:r>
          <w:r>
            <w:rPr>
              <w:spacing w:val="-9"/>
              <w:sz w:val="18"/>
              <w:szCs w:val="18"/>
            </w:rPr>
            <w:t xml:space="preserve"> </w:t>
          </w:r>
          <w:r>
            <w:rPr>
              <w:rFonts w:ascii="Times New Roman" w:hAnsi="Times New Roman" w:eastAsia="Times New Roman" w:cs="Times New Roman"/>
              <w:spacing w:val="-2"/>
              <w:sz w:val="18"/>
              <w:szCs w:val="18"/>
            </w:rPr>
            <w:t>318</w:t>
          </w:r>
          <w:r>
            <w:rPr>
              <w:rFonts w:ascii="Times New Roman" w:hAnsi="Times New Roman" w:eastAsia="Times New Roman" w:cs="Times New Roman"/>
              <w:spacing w:val="-2"/>
              <w:sz w:val="18"/>
              <w:szCs w:val="18"/>
            </w:rPr>
            <w:fldChar w:fldCharType="end"/>
          </w:r>
        </w:p>
        <w:p w14:paraId="51D350EF">
          <w:pPr>
            <w:pStyle w:val="2"/>
            <w:tabs>
              <w:tab w:val="right" w:leader="dot" w:pos="3932"/>
            </w:tabs>
            <w:spacing w:before="97" w:line="219" w:lineRule="auto"/>
            <w:ind w:left="399"/>
            <w:rPr>
              <w:rFonts w:ascii="Times New Roman" w:hAnsi="Times New Roman" w:eastAsia="Times New Roman" w:cs="Times New Roman"/>
              <w:sz w:val="18"/>
              <w:szCs w:val="18"/>
            </w:rPr>
          </w:pPr>
          <w:bookmarkStart w:id="240" w:name="bookmark232"/>
          <w:bookmarkEnd w:id="240"/>
          <w:r>
            <w:fldChar w:fldCharType="begin"/>
          </w:r>
          <w:r>
            <w:instrText xml:space="preserve"> HYPERLINK \l "bookmark232" </w:instrText>
          </w:r>
          <w:r>
            <w:fldChar w:fldCharType="separate"/>
          </w:r>
          <w:r>
            <w:rPr>
              <w:rFonts w:ascii="Times New Roman" w:hAnsi="Times New Roman" w:eastAsia="Times New Roman" w:cs="Times New Roman"/>
              <w:spacing w:val="-2"/>
              <w:sz w:val="18"/>
              <w:szCs w:val="18"/>
            </w:rPr>
            <w:t xml:space="preserve">13.5.2    </w:t>
          </w:r>
          <w:r>
            <w:rPr>
              <w:spacing w:val="-2"/>
              <w:sz w:val="18"/>
              <w:szCs w:val="18"/>
            </w:rPr>
            <w:t>对业主单位违约的管理</w:t>
          </w:r>
          <w:r>
            <w:rPr>
              <w:spacing w:val="-41"/>
              <w:sz w:val="18"/>
              <w:szCs w:val="18"/>
            </w:rPr>
            <w:t xml:space="preserve"> </w:t>
          </w:r>
          <w:r>
            <w:rPr>
              <w:sz w:val="18"/>
              <w:szCs w:val="18"/>
            </w:rPr>
            <w:tab/>
          </w:r>
          <w:r>
            <w:rPr>
              <w:rFonts w:ascii="Times New Roman" w:hAnsi="Times New Roman" w:eastAsia="Times New Roman" w:cs="Times New Roman"/>
              <w:spacing w:val="1"/>
              <w:sz w:val="18"/>
              <w:szCs w:val="18"/>
            </w:rPr>
            <w:t>319</w:t>
          </w:r>
          <w:r>
            <w:rPr>
              <w:rFonts w:ascii="Times New Roman" w:hAnsi="Times New Roman" w:eastAsia="Times New Roman" w:cs="Times New Roman"/>
              <w:spacing w:val="1"/>
              <w:sz w:val="18"/>
              <w:szCs w:val="18"/>
            </w:rPr>
            <w:fldChar w:fldCharType="end"/>
          </w:r>
        </w:p>
        <w:p w14:paraId="1D92DCF6">
          <w:pPr>
            <w:pStyle w:val="2"/>
            <w:tabs>
              <w:tab w:val="right" w:leader="dot" w:pos="3932"/>
            </w:tabs>
            <w:spacing w:before="97" w:line="219" w:lineRule="auto"/>
            <w:ind w:left="399"/>
            <w:rPr>
              <w:rFonts w:ascii="Times New Roman" w:hAnsi="Times New Roman" w:eastAsia="Times New Roman" w:cs="Times New Roman"/>
              <w:sz w:val="18"/>
              <w:szCs w:val="18"/>
            </w:rPr>
          </w:pPr>
          <w:bookmarkStart w:id="241" w:name="bookmark233"/>
          <w:bookmarkEnd w:id="241"/>
          <w:r>
            <w:fldChar w:fldCharType="begin"/>
          </w:r>
          <w:r>
            <w:instrText xml:space="preserve"> HYPERLINK \l "bookmark233" </w:instrText>
          </w:r>
          <w:r>
            <w:fldChar w:fldCharType="separate"/>
          </w:r>
          <w:r>
            <w:rPr>
              <w:rFonts w:ascii="Times New Roman" w:hAnsi="Times New Roman" w:eastAsia="Times New Roman" w:cs="Times New Roman"/>
              <w:spacing w:val="-1"/>
              <w:sz w:val="18"/>
              <w:szCs w:val="18"/>
            </w:rPr>
            <w:t xml:space="preserve">13.5.3    </w:t>
          </w:r>
          <w:r>
            <w:rPr>
              <w:spacing w:val="-1"/>
              <w:sz w:val="18"/>
              <w:szCs w:val="18"/>
            </w:rPr>
            <w:t>对承建单位违约的管理</w:t>
          </w:r>
          <w:r>
            <w:rPr>
              <w:spacing w:val="-51"/>
              <w:sz w:val="18"/>
              <w:szCs w:val="18"/>
            </w:rPr>
            <w:t xml:space="preserve"> </w:t>
          </w:r>
          <w:r>
            <w:rPr>
              <w:sz w:val="18"/>
              <w:szCs w:val="18"/>
            </w:rPr>
            <w:tab/>
          </w:r>
          <w:r>
            <w:rPr>
              <w:rFonts w:ascii="Times New Roman" w:hAnsi="Times New Roman" w:eastAsia="Times New Roman" w:cs="Times New Roman"/>
              <w:spacing w:val="1"/>
              <w:sz w:val="18"/>
              <w:szCs w:val="18"/>
            </w:rPr>
            <w:t>320</w:t>
          </w:r>
          <w:r>
            <w:rPr>
              <w:rFonts w:ascii="Times New Roman" w:hAnsi="Times New Roman" w:eastAsia="Times New Roman" w:cs="Times New Roman"/>
              <w:spacing w:val="1"/>
              <w:sz w:val="18"/>
              <w:szCs w:val="18"/>
            </w:rPr>
            <w:fldChar w:fldCharType="end"/>
          </w:r>
        </w:p>
        <w:p w14:paraId="617FC926">
          <w:pPr>
            <w:pStyle w:val="2"/>
            <w:tabs>
              <w:tab w:val="right" w:leader="dot" w:pos="3942"/>
            </w:tabs>
            <w:spacing w:before="106" w:line="219" w:lineRule="auto"/>
            <w:ind w:left="399"/>
            <w:rPr>
              <w:rFonts w:ascii="Times New Roman" w:hAnsi="Times New Roman" w:eastAsia="Times New Roman" w:cs="Times New Roman"/>
              <w:sz w:val="18"/>
              <w:szCs w:val="18"/>
            </w:rPr>
          </w:pPr>
          <w:bookmarkStart w:id="242" w:name="bookmark234"/>
          <w:bookmarkEnd w:id="242"/>
          <w:r>
            <w:fldChar w:fldCharType="begin"/>
          </w:r>
          <w:r>
            <w:instrText xml:space="preserve"> HYPERLINK \l "bookmark234" </w:instrText>
          </w:r>
          <w:r>
            <w:fldChar w:fldCharType="separate"/>
          </w:r>
          <w:r>
            <w:rPr>
              <w:rFonts w:ascii="Times New Roman" w:hAnsi="Times New Roman" w:eastAsia="Times New Roman" w:cs="Times New Roman"/>
              <w:spacing w:val="-1"/>
              <w:sz w:val="18"/>
              <w:szCs w:val="18"/>
            </w:rPr>
            <w:t xml:space="preserve">13.5.4    </w:t>
          </w:r>
          <w:r>
            <w:rPr>
              <w:spacing w:val="-1"/>
              <w:sz w:val="18"/>
              <w:szCs w:val="18"/>
            </w:rPr>
            <w:t>对其他违约的管理</w:t>
          </w:r>
          <w:r>
            <w:rPr>
              <w:spacing w:val="-63"/>
              <w:sz w:val="18"/>
              <w:szCs w:val="18"/>
            </w:rPr>
            <w:t xml:space="preserve"> </w:t>
          </w:r>
          <w:r>
            <w:rPr>
              <w:sz w:val="18"/>
              <w:szCs w:val="18"/>
            </w:rPr>
            <w:tab/>
          </w:r>
          <w:r>
            <w:rPr>
              <w:rFonts w:ascii="Times New Roman" w:hAnsi="Times New Roman" w:eastAsia="Times New Roman" w:cs="Times New Roman"/>
              <w:spacing w:val="1"/>
              <w:sz w:val="18"/>
              <w:szCs w:val="18"/>
            </w:rPr>
            <w:t>320</w:t>
          </w:r>
          <w:r>
            <w:rPr>
              <w:rFonts w:ascii="Times New Roman" w:hAnsi="Times New Roman" w:eastAsia="Times New Roman" w:cs="Times New Roman"/>
              <w:spacing w:val="1"/>
              <w:sz w:val="18"/>
              <w:szCs w:val="18"/>
            </w:rPr>
            <w:fldChar w:fldCharType="end"/>
          </w:r>
        </w:p>
        <w:p w14:paraId="259427D6">
          <w:pPr>
            <w:pStyle w:val="2"/>
            <w:tabs>
              <w:tab w:val="right" w:leader="dot" w:pos="3952"/>
            </w:tabs>
            <w:spacing w:before="87" w:line="219" w:lineRule="auto"/>
            <w:rPr>
              <w:rFonts w:ascii="Times New Roman" w:hAnsi="Times New Roman" w:eastAsia="Times New Roman" w:cs="Times New Roman"/>
              <w:sz w:val="18"/>
              <w:szCs w:val="18"/>
            </w:rPr>
          </w:pPr>
          <w:bookmarkStart w:id="243" w:name="bookmark235"/>
          <w:bookmarkEnd w:id="243"/>
          <w:r>
            <w:fldChar w:fldCharType="begin"/>
          </w:r>
          <w:r>
            <w:instrText xml:space="preserve"> HYPERLINK \l "bookmark235" </w:instrText>
          </w:r>
          <w:r>
            <w:fldChar w:fldCharType="separate"/>
          </w:r>
          <w:r>
            <w:rPr>
              <w:rFonts w:ascii="Times New Roman" w:hAnsi="Times New Roman" w:eastAsia="Times New Roman" w:cs="Times New Roman"/>
              <w:spacing w:val="-4"/>
              <w:sz w:val="18"/>
              <w:szCs w:val="18"/>
            </w:rPr>
            <w:t>13.6</w:t>
          </w:r>
          <w:r>
            <w:rPr>
              <w:rFonts w:ascii="Times New Roman" w:hAnsi="Times New Roman" w:eastAsia="Times New Roman" w:cs="Times New Roman"/>
              <w:spacing w:val="5"/>
              <w:sz w:val="18"/>
              <w:szCs w:val="18"/>
            </w:rPr>
            <w:t xml:space="preserve">    </w:t>
          </w:r>
          <w:r>
            <w:rPr>
              <w:spacing w:val="-4"/>
              <w:sz w:val="18"/>
              <w:szCs w:val="18"/>
            </w:rPr>
            <w:t>知识产权保护</w:t>
          </w:r>
          <w:r>
            <w:rPr>
              <w:spacing w:val="-57"/>
              <w:sz w:val="18"/>
              <w:szCs w:val="18"/>
            </w:rPr>
            <w:t xml:space="preserve"> </w:t>
          </w:r>
          <w:r>
            <w:rPr>
              <w:sz w:val="18"/>
              <w:szCs w:val="18"/>
            </w:rPr>
            <w:tab/>
          </w:r>
          <w:r>
            <w:rPr>
              <w:rFonts w:ascii="Times New Roman" w:hAnsi="Times New Roman" w:eastAsia="Times New Roman" w:cs="Times New Roman"/>
              <w:spacing w:val="1"/>
              <w:sz w:val="18"/>
              <w:szCs w:val="18"/>
            </w:rPr>
            <w:t>321</w:t>
          </w:r>
          <w:r>
            <w:rPr>
              <w:rFonts w:ascii="Times New Roman" w:hAnsi="Times New Roman" w:eastAsia="Times New Roman" w:cs="Times New Roman"/>
              <w:spacing w:val="1"/>
              <w:sz w:val="18"/>
              <w:szCs w:val="18"/>
            </w:rPr>
            <w:fldChar w:fldCharType="end"/>
          </w:r>
        </w:p>
        <w:p w14:paraId="19DD822B">
          <w:pPr>
            <w:pStyle w:val="2"/>
            <w:tabs>
              <w:tab w:val="right" w:leader="dot" w:pos="3822"/>
            </w:tabs>
            <w:spacing w:before="105" w:line="219" w:lineRule="auto"/>
            <w:ind w:left="399"/>
            <w:rPr>
              <w:rFonts w:ascii="Times New Roman" w:hAnsi="Times New Roman" w:eastAsia="Times New Roman" w:cs="Times New Roman"/>
              <w:sz w:val="18"/>
              <w:szCs w:val="18"/>
            </w:rPr>
          </w:pPr>
          <w:bookmarkStart w:id="244" w:name="bookmark236"/>
          <w:bookmarkEnd w:id="244"/>
          <w:r>
            <w:fldChar w:fldCharType="begin"/>
          </w:r>
          <w:r>
            <w:instrText xml:space="preserve"> HYPERLINK \l "bookmark236" </w:instrText>
          </w:r>
          <w:r>
            <w:fldChar w:fldCharType="separate"/>
          </w:r>
          <w:r>
            <w:rPr>
              <w:rFonts w:ascii="Times New Roman" w:hAnsi="Times New Roman" w:eastAsia="Times New Roman" w:cs="Times New Roman"/>
              <w:spacing w:val="-1"/>
              <w:sz w:val="18"/>
              <w:szCs w:val="18"/>
            </w:rPr>
            <w:t xml:space="preserve">13.6.1    </w:t>
          </w:r>
          <w:r>
            <w:rPr>
              <w:spacing w:val="-1"/>
              <w:sz w:val="18"/>
              <w:szCs w:val="18"/>
            </w:rPr>
            <w:t>知识产权的基本概念及分类</w:t>
          </w:r>
          <w:r>
            <w:rPr>
              <w:spacing w:val="-49"/>
              <w:sz w:val="18"/>
              <w:szCs w:val="18"/>
            </w:rPr>
            <w:t xml:space="preserve"> </w:t>
          </w:r>
          <w:r>
            <w:rPr>
              <w:sz w:val="18"/>
              <w:szCs w:val="18"/>
            </w:rPr>
            <w:tab/>
          </w:r>
          <w:r>
            <w:rPr>
              <w:rFonts w:ascii="Times New Roman" w:hAnsi="Times New Roman" w:eastAsia="Times New Roman" w:cs="Times New Roman"/>
              <w:spacing w:val="1"/>
              <w:sz w:val="18"/>
              <w:szCs w:val="18"/>
            </w:rPr>
            <w:t>321</w:t>
          </w:r>
          <w:r>
            <w:rPr>
              <w:rFonts w:ascii="Times New Roman" w:hAnsi="Times New Roman" w:eastAsia="Times New Roman" w:cs="Times New Roman"/>
              <w:spacing w:val="1"/>
              <w:sz w:val="18"/>
              <w:szCs w:val="18"/>
            </w:rPr>
            <w:fldChar w:fldCharType="end"/>
          </w:r>
        </w:p>
        <w:p w14:paraId="22218629">
          <w:pPr>
            <w:pStyle w:val="2"/>
            <w:tabs>
              <w:tab w:val="right" w:leader="dot" w:pos="3952"/>
            </w:tabs>
            <w:spacing w:before="87" w:line="219" w:lineRule="auto"/>
            <w:ind w:left="399"/>
            <w:rPr>
              <w:rFonts w:ascii="Times New Roman" w:hAnsi="Times New Roman" w:eastAsia="Times New Roman" w:cs="Times New Roman"/>
              <w:sz w:val="18"/>
              <w:szCs w:val="18"/>
            </w:rPr>
          </w:pPr>
          <w:bookmarkStart w:id="245" w:name="bookmark237"/>
          <w:bookmarkEnd w:id="245"/>
          <w:r>
            <w:fldChar w:fldCharType="begin"/>
          </w:r>
          <w:r>
            <w:instrText xml:space="preserve"> HYPERLINK \l "bookmark237" </w:instrText>
          </w:r>
          <w:r>
            <w:fldChar w:fldCharType="separate"/>
          </w:r>
          <w:r>
            <w:rPr>
              <w:rFonts w:ascii="Times New Roman" w:hAnsi="Times New Roman" w:eastAsia="Times New Roman" w:cs="Times New Roman"/>
              <w:sz w:val="18"/>
              <w:szCs w:val="18"/>
            </w:rPr>
            <w:t xml:space="preserve">13.6.2    </w:t>
          </w:r>
          <w:r>
            <w:rPr>
              <w:sz w:val="18"/>
              <w:szCs w:val="18"/>
            </w:rPr>
            <w:t>知识产权的保护</w:t>
          </w:r>
          <w:r>
            <w:rPr>
              <w:spacing w:val="-71"/>
              <w:sz w:val="18"/>
              <w:szCs w:val="18"/>
            </w:rPr>
            <w:t xml:space="preserve"> </w:t>
          </w:r>
          <w:r>
            <w:rPr>
              <w:sz w:val="18"/>
              <w:szCs w:val="18"/>
            </w:rPr>
            <w:tab/>
          </w:r>
          <w:r>
            <w:rPr>
              <w:rFonts w:ascii="Times New Roman" w:hAnsi="Times New Roman" w:eastAsia="Times New Roman" w:cs="Times New Roman"/>
              <w:spacing w:val="1"/>
              <w:sz w:val="18"/>
              <w:szCs w:val="18"/>
            </w:rPr>
            <w:t>323</w:t>
          </w:r>
          <w:r>
            <w:rPr>
              <w:rFonts w:ascii="Times New Roman" w:hAnsi="Times New Roman" w:eastAsia="Times New Roman" w:cs="Times New Roman"/>
              <w:spacing w:val="1"/>
              <w:sz w:val="18"/>
              <w:szCs w:val="18"/>
            </w:rPr>
            <w:fldChar w:fldCharType="end"/>
          </w:r>
        </w:p>
        <w:p w14:paraId="4492ABDC">
          <w:pPr>
            <w:pStyle w:val="2"/>
            <w:tabs>
              <w:tab w:val="right" w:leader="dot" w:pos="3942"/>
            </w:tabs>
            <w:spacing w:before="87" w:line="205" w:lineRule="auto"/>
            <w:ind w:left="399"/>
            <w:rPr>
              <w:rFonts w:ascii="Times New Roman" w:hAnsi="Times New Roman" w:eastAsia="Times New Roman" w:cs="Times New Roman"/>
              <w:sz w:val="18"/>
              <w:szCs w:val="18"/>
            </w:rPr>
          </w:pPr>
          <w:bookmarkStart w:id="246" w:name="bookmark238"/>
          <w:bookmarkEnd w:id="246"/>
          <w:r>
            <w:fldChar w:fldCharType="begin"/>
          </w:r>
          <w:r>
            <w:instrText xml:space="preserve"> HYPERLINK \l "bookmark238" </w:instrText>
          </w:r>
          <w:r>
            <w:fldChar w:fldCharType="separate"/>
          </w:r>
          <w:r>
            <w:rPr>
              <w:rFonts w:ascii="Times New Roman" w:hAnsi="Times New Roman" w:eastAsia="Times New Roman" w:cs="Times New Roman"/>
              <w:spacing w:val="-2"/>
              <w:sz w:val="18"/>
              <w:szCs w:val="18"/>
            </w:rPr>
            <w:t xml:space="preserve">13.6.3    </w:t>
          </w:r>
          <w:r>
            <w:rPr>
              <w:spacing w:val="-2"/>
              <w:sz w:val="18"/>
              <w:szCs w:val="18"/>
            </w:rPr>
            <w:t>知识产权保护的监理</w:t>
          </w:r>
          <w:r>
            <w:rPr>
              <w:spacing w:val="-33"/>
              <w:sz w:val="18"/>
              <w:szCs w:val="18"/>
            </w:rPr>
            <w:t xml:space="preserve"> </w:t>
          </w:r>
          <w:r>
            <w:rPr>
              <w:sz w:val="18"/>
              <w:szCs w:val="18"/>
            </w:rPr>
            <w:tab/>
          </w:r>
          <w:r>
            <w:rPr>
              <w:rFonts w:ascii="Times New Roman" w:hAnsi="Times New Roman" w:eastAsia="Times New Roman" w:cs="Times New Roman"/>
              <w:spacing w:val="1"/>
              <w:sz w:val="18"/>
              <w:szCs w:val="18"/>
            </w:rPr>
            <w:t>327</w:t>
          </w:r>
          <w:r>
            <w:rPr>
              <w:rFonts w:ascii="Times New Roman" w:hAnsi="Times New Roman" w:eastAsia="Times New Roman" w:cs="Times New Roman"/>
              <w:spacing w:val="1"/>
              <w:sz w:val="18"/>
              <w:szCs w:val="18"/>
            </w:rPr>
            <w:fldChar w:fldCharType="end"/>
          </w:r>
        </w:p>
      </w:sdtContent>
    </w:sdt>
    <w:p w14:paraId="76CE5C5A">
      <w:pPr>
        <w:spacing w:line="205" w:lineRule="auto"/>
        <w:rPr>
          <w:rFonts w:ascii="Times New Roman" w:hAnsi="Times New Roman" w:eastAsia="Times New Roman" w:cs="Times New Roman"/>
          <w:sz w:val="18"/>
          <w:szCs w:val="18"/>
        </w:rPr>
        <w:sectPr>
          <w:type w:val="continuous"/>
          <w:pgSz w:w="10390" w:h="13430"/>
          <w:pgMar w:top="400" w:right="1247" w:bottom="400" w:left="489" w:header="0" w:footer="0" w:gutter="0"/>
          <w:cols w:equalWidth="0" w:num="2">
            <w:col w:w="4591" w:space="100"/>
            <w:col w:w="3963"/>
          </w:cols>
        </w:sectPr>
      </w:pPr>
    </w:p>
    <w:p w14:paraId="114AE541">
      <w:pPr>
        <w:spacing w:line="278" w:lineRule="auto"/>
        <w:rPr>
          <w:rFonts w:ascii="Arial"/>
          <w:sz w:val="21"/>
        </w:rPr>
      </w:pPr>
    </w:p>
    <w:p w14:paraId="747AD41E">
      <w:pPr>
        <w:spacing w:line="278" w:lineRule="auto"/>
        <w:rPr>
          <w:rFonts w:ascii="Arial"/>
          <w:sz w:val="21"/>
        </w:rPr>
      </w:pPr>
    </w:p>
    <w:p w14:paraId="1F63F381">
      <w:pPr>
        <w:spacing w:line="278" w:lineRule="auto"/>
        <w:rPr>
          <w:rFonts w:ascii="Arial"/>
          <w:sz w:val="21"/>
        </w:rPr>
      </w:pPr>
    </w:p>
    <w:p w14:paraId="70B55D91">
      <w:pPr>
        <w:spacing w:line="278" w:lineRule="auto"/>
        <w:rPr>
          <w:rFonts w:ascii="Arial"/>
          <w:sz w:val="21"/>
        </w:rPr>
      </w:pPr>
    </w:p>
    <w:sdt>
      <w:sdtPr>
        <w:rPr>
          <w:rFonts w:ascii="Times New Roman" w:hAnsi="Times New Roman" w:eastAsia="Times New Roman" w:cs="Times New Roman"/>
          <w:sz w:val="18"/>
          <w:szCs w:val="18"/>
        </w:rPr>
        <w:id w:val="147471606"/>
        <w:docPartObj>
          <w:docPartGallery w:val="Table of Contents"/>
          <w:docPartUnique/>
        </w:docPartObj>
      </w:sdtPr>
      <w:sdtEndPr>
        <w:rPr>
          <w:rFonts w:ascii="Times New Roman" w:hAnsi="Times New Roman" w:eastAsia="Times New Roman" w:cs="Times New Roman"/>
          <w:sz w:val="18"/>
          <w:szCs w:val="18"/>
        </w:rPr>
      </w:sdtEndPr>
      <w:sdtContent>
        <w:p w14:paraId="5623026A">
          <w:pPr>
            <w:pStyle w:val="2"/>
            <w:tabs>
              <w:tab w:val="right" w:leader="dot" w:pos="3942"/>
            </w:tabs>
            <w:spacing w:before="58" w:line="219" w:lineRule="auto"/>
            <w:rPr>
              <w:rFonts w:ascii="Times New Roman" w:hAnsi="Times New Roman" w:eastAsia="Times New Roman" w:cs="Times New Roman"/>
              <w:sz w:val="18"/>
              <w:szCs w:val="18"/>
            </w:rPr>
          </w:pPr>
          <w:bookmarkStart w:id="247" w:name="bookmark239"/>
          <w:bookmarkEnd w:id="247"/>
          <w:r>
            <w:fldChar w:fldCharType="begin"/>
          </w:r>
          <w:r>
            <w:instrText xml:space="preserve"> HYPERLINK \l "bookmark239" </w:instrText>
          </w:r>
          <w:r>
            <w:fldChar w:fldCharType="separate"/>
          </w:r>
          <w:r>
            <w:rPr>
              <w:rFonts w:ascii="Times New Roman" w:hAnsi="Times New Roman" w:eastAsia="Times New Roman" w:cs="Times New Roman"/>
              <w:spacing w:val="-1"/>
              <w:sz w:val="18"/>
              <w:szCs w:val="18"/>
            </w:rPr>
            <w:t>14.1</w:t>
          </w:r>
          <w:r>
            <w:rPr>
              <w:rFonts w:ascii="Times New Roman" w:hAnsi="Times New Roman" w:eastAsia="Times New Roman" w:cs="Times New Roman"/>
              <w:spacing w:val="14"/>
              <w:w w:val="101"/>
              <w:sz w:val="18"/>
              <w:szCs w:val="18"/>
            </w:rPr>
            <w:t xml:space="preserve">   </w:t>
          </w:r>
          <w:r>
            <w:rPr>
              <w:spacing w:val="-1"/>
              <w:sz w:val="18"/>
              <w:szCs w:val="18"/>
            </w:rPr>
            <w:t>信息系统工程的信息与信息管理</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331</w:t>
          </w:r>
          <w:r>
            <w:rPr>
              <w:rFonts w:ascii="Times New Roman" w:hAnsi="Times New Roman" w:eastAsia="Times New Roman" w:cs="Times New Roman"/>
              <w:spacing w:val="1"/>
              <w:sz w:val="18"/>
              <w:szCs w:val="18"/>
            </w:rPr>
            <w:fldChar w:fldCharType="end"/>
          </w:r>
        </w:p>
        <w:p w14:paraId="4B3437C4">
          <w:pPr>
            <w:pStyle w:val="2"/>
            <w:tabs>
              <w:tab w:val="right" w:leader="dot" w:pos="3942"/>
            </w:tabs>
            <w:spacing w:before="116" w:line="219" w:lineRule="auto"/>
            <w:ind w:left="399"/>
            <w:rPr>
              <w:rFonts w:ascii="Times New Roman" w:hAnsi="Times New Roman" w:eastAsia="Times New Roman" w:cs="Times New Roman"/>
              <w:sz w:val="18"/>
              <w:szCs w:val="18"/>
            </w:rPr>
          </w:pPr>
          <w:bookmarkStart w:id="248" w:name="bookmark240"/>
          <w:bookmarkEnd w:id="248"/>
          <w:r>
            <w:fldChar w:fldCharType="begin"/>
          </w:r>
          <w:r>
            <w:instrText xml:space="preserve"> HYPERLINK \l "bookmark240" </w:instrText>
          </w:r>
          <w:r>
            <w:fldChar w:fldCharType="separate"/>
          </w:r>
          <w:r>
            <w:rPr>
              <w:rFonts w:ascii="Times New Roman" w:hAnsi="Times New Roman" w:eastAsia="Times New Roman" w:cs="Times New Roman"/>
              <w:sz w:val="18"/>
              <w:szCs w:val="18"/>
            </w:rPr>
            <w:t>14.1.1</w:t>
          </w:r>
          <w:r>
            <w:rPr>
              <w:rFonts w:ascii="Times New Roman" w:hAnsi="Times New Roman" w:eastAsia="Times New Roman" w:cs="Times New Roman"/>
              <w:spacing w:val="12"/>
              <w:w w:val="101"/>
              <w:sz w:val="18"/>
              <w:szCs w:val="18"/>
            </w:rPr>
            <w:t xml:space="preserve">   </w:t>
          </w:r>
          <w:r>
            <w:rPr>
              <w:sz w:val="18"/>
              <w:szCs w:val="18"/>
            </w:rPr>
            <w:t>信息系统工程中的信息</w:t>
          </w:r>
          <w:r>
            <w:rPr>
              <w:spacing w:val="-74"/>
              <w:sz w:val="18"/>
              <w:szCs w:val="18"/>
            </w:rPr>
            <w:t xml:space="preserve"> </w:t>
          </w:r>
          <w:r>
            <w:rPr>
              <w:sz w:val="18"/>
              <w:szCs w:val="18"/>
            </w:rPr>
            <w:tab/>
          </w:r>
          <w:r>
            <w:rPr>
              <w:rFonts w:ascii="Times New Roman" w:hAnsi="Times New Roman" w:eastAsia="Times New Roman" w:cs="Times New Roman"/>
              <w:spacing w:val="1"/>
              <w:sz w:val="18"/>
              <w:szCs w:val="18"/>
            </w:rPr>
            <w:t>331</w:t>
          </w:r>
          <w:r>
            <w:rPr>
              <w:rFonts w:ascii="Times New Roman" w:hAnsi="Times New Roman" w:eastAsia="Times New Roman" w:cs="Times New Roman"/>
              <w:spacing w:val="1"/>
              <w:sz w:val="18"/>
              <w:szCs w:val="18"/>
            </w:rPr>
            <w:fldChar w:fldCharType="end"/>
          </w:r>
        </w:p>
        <w:p w14:paraId="7FAA7620">
          <w:pPr>
            <w:pStyle w:val="2"/>
            <w:tabs>
              <w:tab w:val="right" w:leader="dot" w:pos="3842"/>
            </w:tabs>
            <w:spacing w:before="86" w:line="219" w:lineRule="auto"/>
            <w:ind w:left="399"/>
            <w:rPr>
              <w:rFonts w:ascii="Times New Roman" w:hAnsi="Times New Roman" w:eastAsia="Times New Roman" w:cs="Times New Roman"/>
              <w:sz w:val="18"/>
              <w:szCs w:val="18"/>
            </w:rPr>
          </w:pPr>
          <w:bookmarkStart w:id="249" w:name="bookmark241"/>
          <w:bookmarkEnd w:id="249"/>
          <w:r>
            <w:fldChar w:fldCharType="begin"/>
          </w:r>
          <w:r>
            <w:instrText xml:space="preserve"> HYPERLINK \l "bookmark241" </w:instrText>
          </w:r>
          <w:r>
            <w:fldChar w:fldCharType="separate"/>
          </w:r>
          <w:r>
            <w:rPr>
              <w:rFonts w:ascii="Times New Roman" w:hAnsi="Times New Roman" w:eastAsia="Times New Roman" w:cs="Times New Roman"/>
              <w:spacing w:val="-1"/>
              <w:sz w:val="18"/>
              <w:szCs w:val="18"/>
            </w:rPr>
            <w:t>14.1.2</w:t>
          </w:r>
          <w:r>
            <w:rPr>
              <w:rFonts w:ascii="Times New Roman" w:hAnsi="Times New Roman" w:eastAsia="Times New Roman" w:cs="Times New Roman"/>
              <w:spacing w:val="15"/>
              <w:w w:val="101"/>
              <w:sz w:val="18"/>
              <w:szCs w:val="18"/>
            </w:rPr>
            <w:t xml:space="preserve">   </w:t>
          </w:r>
          <w:r>
            <w:rPr>
              <w:spacing w:val="-1"/>
              <w:sz w:val="18"/>
              <w:szCs w:val="18"/>
            </w:rPr>
            <w:t>信息系统工程信息管理</w:t>
          </w:r>
          <w:r>
            <w:rPr>
              <w:spacing w:val="-67"/>
              <w:sz w:val="18"/>
              <w:szCs w:val="18"/>
            </w:rPr>
            <w:t xml:space="preserve"> </w:t>
          </w:r>
          <w:r>
            <w:rPr>
              <w:sz w:val="18"/>
              <w:szCs w:val="18"/>
            </w:rPr>
            <w:tab/>
          </w:r>
          <w:r>
            <w:rPr>
              <w:rFonts w:ascii="Times New Roman" w:hAnsi="Times New Roman" w:eastAsia="Times New Roman" w:cs="Times New Roman"/>
              <w:spacing w:val="2"/>
              <w:sz w:val="18"/>
              <w:szCs w:val="18"/>
            </w:rPr>
            <w:t>32</w:t>
          </w:r>
          <w:r>
            <w:rPr>
              <w:rFonts w:ascii="Times New Roman" w:hAnsi="Times New Roman" w:eastAsia="Times New Roman" w:cs="Times New Roman"/>
              <w:spacing w:val="2"/>
              <w:sz w:val="18"/>
              <w:szCs w:val="18"/>
            </w:rPr>
            <w:fldChar w:fldCharType="end"/>
          </w:r>
        </w:p>
        <w:p w14:paraId="72048B49">
          <w:pPr>
            <w:pStyle w:val="2"/>
            <w:spacing w:before="106" w:line="219" w:lineRule="auto"/>
            <w:ind w:left="410"/>
            <w:rPr>
              <w:sz w:val="18"/>
              <w:szCs w:val="18"/>
            </w:rPr>
          </w:pPr>
          <w:bookmarkStart w:id="250" w:name="bookmark242"/>
          <w:bookmarkEnd w:id="250"/>
          <w:r>
            <w:fldChar w:fldCharType="begin"/>
          </w:r>
          <w:r>
            <w:instrText xml:space="preserve"> HYPERLINK \l "bookmark242" </w:instrText>
          </w:r>
          <w:r>
            <w:fldChar w:fldCharType="separate"/>
          </w:r>
          <w:r>
            <w:rPr>
              <w:rFonts w:ascii="Times New Roman" w:hAnsi="Times New Roman" w:eastAsia="Times New Roman" w:cs="Times New Roman"/>
              <w:spacing w:val="-2"/>
              <w:sz w:val="18"/>
              <w:szCs w:val="18"/>
            </w:rPr>
            <w:t xml:space="preserve">14.1.3    </w:t>
          </w:r>
          <w:r>
            <w:rPr>
              <w:spacing w:val="-2"/>
              <w:sz w:val="18"/>
              <w:szCs w:val="18"/>
            </w:rPr>
            <w:t>监理信息管理工作的作用及</w:t>
          </w:r>
          <w:r>
            <w:rPr>
              <w:spacing w:val="-2"/>
              <w:sz w:val="18"/>
              <w:szCs w:val="18"/>
            </w:rPr>
            <w:fldChar w:fldCharType="end"/>
          </w:r>
        </w:p>
        <w:p w14:paraId="042E5126">
          <w:pPr>
            <w:pStyle w:val="2"/>
            <w:tabs>
              <w:tab w:val="right" w:leader="dot" w:pos="3822"/>
            </w:tabs>
            <w:spacing w:before="97" w:line="221" w:lineRule="auto"/>
            <w:ind w:left="1040"/>
            <w:rPr>
              <w:rFonts w:ascii="Times New Roman" w:hAnsi="Times New Roman" w:eastAsia="Times New Roman" w:cs="Times New Roman"/>
              <w:sz w:val="18"/>
              <w:szCs w:val="18"/>
            </w:rPr>
          </w:pPr>
          <w:bookmarkStart w:id="251" w:name="bookmark242"/>
          <w:bookmarkEnd w:id="251"/>
          <w:r>
            <w:fldChar w:fldCharType="begin"/>
          </w:r>
          <w:r>
            <w:instrText xml:space="preserve"> HYPERLINK \l "bookmark242" </w:instrText>
          </w:r>
          <w:r>
            <w:fldChar w:fldCharType="separate"/>
          </w:r>
          <w:r>
            <w:rPr>
              <w:spacing w:val="-3"/>
              <w:sz w:val="18"/>
              <w:szCs w:val="18"/>
            </w:rPr>
            <w:t>重要性</w:t>
          </w:r>
          <w:r>
            <w:rPr>
              <w:spacing w:val="-72"/>
              <w:sz w:val="18"/>
              <w:szCs w:val="18"/>
            </w:rPr>
            <w:t xml:space="preserve"> </w:t>
          </w:r>
          <w:r>
            <w:rPr>
              <w:sz w:val="18"/>
              <w:szCs w:val="18"/>
            </w:rPr>
            <w:tab/>
          </w:r>
          <w:r>
            <w:rPr>
              <w:rFonts w:ascii="Times New Roman" w:hAnsi="Times New Roman" w:eastAsia="Times New Roman" w:cs="Times New Roman"/>
              <w:spacing w:val="1"/>
              <w:sz w:val="18"/>
              <w:szCs w:val="18"/>
            </w:rPr>
            <w:t>33</w:t>
          </w:r>
          <w:r>
            <w:rPr>
              <w:rFonts w:ascii="Times New Roman" w:hAnsi="Times New Roman" w:eastAsia="Times New Roman" w:cs="Times New Roman"/>
              <w:spacing w:val="1"/>
              <w:sz w:val="18"/>
              <w:szCs w:val="18"/>
            </w:rPr>
            <w:fldChar w:fldCharType="end"/>
          </w:r>
        </w:p>
        <w:p w14:paraId="0C95BEAC">
          <w:pPr>
            <w:pStyle w:val="2"/>
            <w:tabs>
              <w:tab w:val="right" w:leader="dot" w:pos="3812"/>
            </w:tabs>
            <w:spacing w:before="94" w:line="219" w:lineRule="auto"/>
            <w:rPr>
              <w:rFonts w:ascii="Times New Roman" w:hAnsi="Times New Roman" w:eastAsia="Times New Roman" w:cs="Times New Roman"/>
              <w:sz w:val="18"/>
              <w:szCs w:val="18"/>
            </w:rPr>
          </w:pPr>
          <w:bookmarkStart w:id="252" w:name="bookmark243"/>
          <w:bookmarkEnd w:id="252"/>
          <w:r>
            <w:fldChar w:fldCharType="begin"/>
          </w:r>
          <w:r>
            <w:instrText xml:space="preserve"> HYPERLINK \l "bookmark243" </w:instrText>
          </w:r>
          <w:r>
            <w:fldChar w:fldCharType="separate"/>
          </w:r>
          <w:r>
            <w:rPr>
              <w:rFonts w:ascii="Times New Roman" w:hAnsi="Times New Roman" w:eastAsia="Times New Roman" w:cs="Times New Roman"/>
              <w:spacing w:val="-2"/>
              <w:sz w:val="18"/>
              <w:szCs w:val="18"/>
            </w:rPr>
            <w:t xml:space="preserve">14.2    </w:t>
          </w:r>
          <w:r>
            <w:rPr>
              <w:spacing w:val="-2"/>
              <w:sz w:val="18"/>
              <w:szCs w:val="18"/>
            </w:rPr>
            <w:t>信息资料管理方法</w:t>
          </w:r>
          <w:r>
            <w:rPr>
              <w:spacing w:val="-44"/>
              <w:sz w:val="18"/>
              <w:szCs w:val="18"/>
            </w:rPr>
            <w:t xml:space="preserve"> </w:t>
          </w:r>
          <w:r>
            <w:rPr>
              <w:sz w:val="18"/>
              <w:szCs w:val="18"/>
            </w:rPr>
            <w:tab/>
          </w:r>
          <w:r>
            <w:rPr>
              <w:rFonts w:ascii="Times New Roman" w:hAnsi="Times New Roman" w:eastAsia="Times New Roman" w:cs="Times New Roman"/>
              <w:spacing w:val="1"/>
              <w:sz w:val="18"/>
              <w:szCs w:val="18"/>
            </w:rPr>
            <w:t>34</w:t>
          </w:r>
          <w:r>
            <w:rPr>
              <w:rFonts w:ascii="Times New Roman" w:hAnsi="Times New Roman" w:eastAsia="Times New Roman" w:cs="Times New Roman"/>
              <w:spacing w:val="1"/>
              <w:sz w:val="18"/>
              <w:szCs w:val="18"/>
            </w:rPr>
            <w:fldChar w:fldCharType="end"/>
          </w:r>
        </w:p>
        <w:p w14:paraId="614FDF51">
          <w:pPr>
            <w:pStyle w:val="2"/>
            <w:tabs>
              <w:tab w:val="right" w:leader="dot" w:pos="3922"/>
            </w:tabs>
            <w:spacing w:before="96" w:line="219" w:lineRule="auto"/>
            <w:ind w:left="399"/>
            <w:rPr>
              <w:rFonts w:ascii="Times New Roman" w:hAnsi="Times New Roman" w:eastAsia="Times New Roman" w:cs="Times New Roman"/>
              <w:sz w:val="18"/>
              <w:szCs w:val="18"/>
            </w:rPr>
          </w:pPr>
          <w:bookmarkStart w:id="253" w:name="bookmark244"/>
          <w:bookmarkEnd w:id="253"/>
          <w:r>
            <w:fldChar w:fldCharType="begin"/>
          </w:r>
          <w:r>
            <w:instrText xml:space="preserve"> HYPERLINK \l "bookmark244" </w:instrText>
          </w:r>
          <w:r>
            <w:fldChar w:fldCharType="separate"/>
          </w:r>
          <w:r>
            <w:rPr>
              <w:rFonts w:ascii="Times New Roman" w:hAnsi="Times New Roman" w:eastAsia="Times New Roman" w:cs="Times New Roman"/>
              <w:sz w:val="18"/>
              <w:szCs w:val="18"/>
            </w:rPr>
            <w:t xml:space="preserve">14.2.1    </w:t>
          </w:r>
          <w:r>
            <w:rPr>
              <w:sz w:val="18"/>
              <w:szCs w:val="18"/>
            </w:rPr>
            <w:t>信息系统工程信息资</w:t>
          </w:r>
          <w:r>
            <w:rPr>
              <w:spacing w:val="-1"/>
              <w:sz w:val="18"/>
              <w:szCs w:val="18"/>
            </w:rPr>
            <w:t>料的划分</w:t>
          </w:r>
          <w:r>
            <w:rPr>
              <w:spacing w:val="-68"/>
              <w:sz w:val="18"/>
              <w:szCs w:val="18"/>
            </w:rPr>
            <w:t xml:space="preserve"> </w:t>
          </w:r>
          <w:r>
            <w:rPr>
              <w:sz w:val="18"/>
              <w:szCs w:val="18"/>
            </w:rPr>
            <w:tab/>
          </w:r>
          <w:r>
            <w:rPr>
              <w:rFonts w:ascii="Times New Roman" w:hAnsi="Times New Roman" w:eastAsia="Times New Roman" w:cs="Times New Roman"/>
              <w:spacing w:val="2"/>
              <w:sz w:val="18"/>
              <w:szCs w:val="18"/>
            </w:rPr>
            <w:t>334</w:t>
          </w:r>
          <w:r>
            <w:rPr>
              <w:rFonts w:ascii="Times New Roman" w:hAnsi="Times New Roman" w:eastAsia="Times New Roman" w:cs="Times New Roman"/>
              <w:spacing w:val="2"/>
              <w:sz w:val="18"/>
              <w:szCs w:val="18"/>
            </w:rPr>
            <w:fldChar w:fldCharType="end"/>
          </w:r>
        </w:p>
        <w:p w14:paraId="50A3BD55">
          <w:pPr>
            <w:pStyle w:val="2"/>
            <w:tabs>
              <w:tab w:val="right" w:leader="dot" w:pos="3822"/>
            </w:tabs>
            <w:spacing w:before="107" w:line="219" w:lineRule="auto"/>
            <w:ind w:left="399"/>
            <w:rPr>
              <w:rFonts w:ascii="Times New Roman" w:hAnsi="Times New Roman" w:eastAsia="Times New Roman" w:cs="Times New Roman"/>
              <w:sz w:val="18"/>
              <w:szCs w:val="18"/>
            </w:rPr>
          </w:pPr>
          <w:bookmarkStart w:id="254" w:name="bookmark245"/>
          <w:bookmarkEnd w:id="254"/>
          <w:r>
            <w:fldChar w:fldCharType="begin"/>
          </w:r>
          <w:r>
            <w:instrText xml:space="preserve"> HYPERLINK \l "bookmark245" </w:instrText>
          </w:r>
          <w:r>
            <w:fldChar w:fldCharType="separate"/>
          </w:r>
          <w:r>
            <w:rPr>
              <w:rFonts w:ascii="Times New Roman" w:hAnsi="Times New Roman" w:eastAsia="Times New Roman" w:cs="Times New Roman"/>
              <w:spacing w:val="-2"/>
              <w:sz w:val="18"/>
              <w:szCs w:val="18"/>
            </w:rPr>
            <w:t>14.2.2</w:t>
          </w:r>
          <w:r>
            <w:rPr>
              <w:rFonts w:ascii="Times New Roman" w:hAnsi="Times New Roman" w:eastAsia="Times New Roman" w:cs="Times New Roman"/>
              <w:spacing w:val="5"/>
              <w:sz w:val="18"/>
              <w:szCs w:val="18"/>
            </w:rPr>
            <w:t xml:space="preserve">    </w:t>
          </w:r>
          <w:r>
            <w:rPr>
              <w:spacing w:val="-2"/>
              <w:sz w:val="18"/>
              <w:szCs w:val="18"/>
            </w:rPr>
            <w:t>监理信息资料管理方法</w:t>
          </w:r>
          <w:r>
            <w:rPr>
              <w:spacing w:val="-50"/>
              <w:sz w:val="18"/>
              <w:szCs w:val="18"/>
            </w:rPr>
            <w:t xml:space="preserve"> </w:t>
          </w:r>
          <w:r>
            <w:rPr>
              <w:sz w:val="18"/>
              <w:szCs w:val="18"/>
            </w:rPr>
            <w:tab/>
          </w:r>
          <w:r>
            <w:rPr>
              <w:rFonts w:ascii="Times New Roman" w:hAnsi="Times New Roman" w:eastAsia="Times New Roman" w:cs="Times New Roman"/>
              <w:spacing w:val="2"/>
              <w:sz w:val="18"/>
              <w:szCs w:val="18"/>
            </w:rPr>
            <w:t>35</w:t>
          </w:r>
          <w:r>
            <w:rPr>
              <w:rFonts w:ascii="Times New Roman" w:hAnsi="Times New Roman" w:eastAsia="Times New Roman" w:cs="Times New Roman"/>
              <w:spacing w:val="2"/>
              <w:sz w:val="18"/>
              <w:szCs w:val="18"/>
            </w:rPr>
            <w:fldChar w:fldCharType="end"/>
          </w:r>
        </w:p>
        <w:p w14:paraId="51CDD950">
          <w:pPr>
            <w:pStyle w:val="2"/>
            <w:tabs>
              <w:tab w:val="right" w:leader="dot" w:pos="3822"/>
            </w:tabs>
            <w:spacing w:before="96" w:line="219" w:lineRule="auto"/>
            <w:ind w:left="399"/>
            <w:rPr>
              <w:rFonts w:ascii="Times New Roman" w:hAnsi="Times New Roman" w:eastAsia="Times New Roman" w:cs="Times New Roman"/>
              <w:sz w:val="18"/>
              <w:szCs w:val="18"/>
            </w:rPr>
          </w:pPr>
          <w:bookmarkStart w:id="255" w:name="bookmark246"/>
          <w:bookmarkEnd w:id="255"/>
          <w:r>
            <w:fldChar w:fldCharType="begin"/>
          </w:r>
          <w:r>
            <w:instrText xml:space="preserve"> HYPERLINK \l "bookmark246" </w:instrText>
          </w:r>
          <w:r>
            <w:fldChar w:fldCharType="separate"/>
          </w:r>
          <w:r>
            <w:rPr>
              <w:rFonts w:ascii="Times New Roman" w:hAnsi="Times New Roman" w:eastAsia="Times New Roman" w:cs="Times New Roman"/>
              <w:spacing w:val="-1"/>
              <w:sz w:val="18"/>
              <w:szCs w:val="18"/>
            </w:rPr>
            <w:t xml:space="preserve">14.2.3    </w:t>
          </w:r>
          <w:r>
            <w:rPr>
              <w:spacing w:val="-1"/>
              <w:sz w:val="18"/>
              <w:szCs w:val="18"/>
            </w:rPr>
            <w:t>制定文档编制策略</w:t>
          </w:r>
          <w:r>
            <w:rPr>
              <w:spacing w:val="-53"/>
              <w:sz w:val="18"/>
              <w:szCs w:val="18"/>
            </w:rPr>
            <w:t xml:space="preserve"> </w:t>
          </w:r>
          <w:r>
            <w:rPr>
              <w:sz w:val="18"/>
              <w:szCs w:val="18"/>
            </w:rPr>
            <w:tab/>
          </w:r>
          <w:r>
            <w:rPr>
              <w:rFonts w:ascii="Times New Roman" w:hAnsi="Times New Roman" w:eastAsia="Times New Roman" w:cs="Times New Roman"/>
              <w:spacing w:val="2"/>
              <w:sz w:val="18"/>
              <w:szCs w:val="18"/>
            </w:rPr>
            <w:t>37</w:t>
          </w:r>
          <w:r>
            <w:rPr>
              <w:rFonts w:ascii="Times New Roman" w:hAnsi="Times New Roman" w:eastAsia="Times New Roman" w:cs="Times New Roman"/>
              <w:spacing w:val="2"/>
              <w:sz w:val="18"/>
              <w:szCs w:val="18"/>
            </w:rPr>
            <w:fldChar w:fldCharType="end"/>
          </w:r>
        </w:p>
        <w:p w14:paraId="131AE00B">
          <w:pPr>
            <w:pStyle w:val="2"/>
            <w:tabs>
              <w:tab w:val="right" w:leader="dot" w:pos="3822"/>
            </w:tabs>
            <w:spacing w:before="97" w:line="219" w:lineRule="auto"/>
            <w:rPr>
              <w:rFonts w:ascii="Times New Roman" w:hAnsi="Times New Roman" w:eastAsia="Times New Roman" w:cs="Times New Roman"/>
              <w:sz w:val="18"/>
              <w:szCs w:val="18"/>
            </w:rPr>
          </w:pPr>
          <w:bookmarkStart w:id="256" w:name="bookmark247"/>
          <w:bookmarkEnd w:id="256"/>
          <w:r>
            <w:fldChar w:fldCharType="begin"/>
          </w:r>
          <w:r>
            <w:instrText xml:space="preserve"> HYPERLINK \l "bookmark247" </w:instrText>
          </w:r>
          <w:r>
            <w:fldChar w:fldCharType="separate"/>
          </w:r>
          <w:r>
            <w:rPr>
              <w:rFonts w:ascii="Times New Roman" w:hAnsi="Times New Roman" w:eastAsia="Times New Roman" w:cs="Times New Roman"/>
              <w:spacing w:val="-1"/>
              <w:sz w:val="18"/>
              <w:szCs w:val="18"/>
            </w:rPr>
            <w:t>14.3</w:t>
          </w:r>
          <w:r>
            <w:rPr>
              <w:rFonts w:ascii="Times New Roman" w:hAnsi="Times New Roman" w:eastAsia="Times New Roman" w:cs="Times New Roman"/>
              <w:spacing w:val="16"/>
              <w:sz w:val="18"/>
              <w:szCs w:val="18"/>
            </w:rPr>
            <w:t xml:space="preserve">   </w:t>
          </w:r>
          <w:r>
            <w:rPr>
              <w:spacing w:val="-1"/>
              <w:sz w:val="18"/>
              <w:szCs w:val="18"/>
            </w:rPr>
            <w:t>监理相关信息分类</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38</w:t>
          </w:r>
          <w:r>
            <w:rPr>
              <w:rFonts w:ascii="Times New Roman" w:hAnsi="Times New Roman" w:eastAsia="Times New Roman" w:cs="Times New Roman"/>
              <w:spacing w:val="1"/>
              <w:sz w:val="18"/>
              <w:szCs w:val="18"/>
            </w:rPr>
            <w:fldChar w:fldCharType="end"/>
          </w:r>
        </w:p>
        <w:p w14:paraId="59ABAA4D">
          <w:pPr>
            <w:pStyle w:val="2"/>
            <w:tabs>
              <w:tab w:val="right" w:leader="dot" w:pos="3912"/>
            </w:tabs>
            <w:spacing w:before="106" w:line="219" w:lineRule="auto"/>
            <w:rPr>
              <w:rFonts w:ascii="Times New Roman" w:hAnsi="Times New Roman" w:eastAsia="Times New Roman" w:cs="Times New Roman"/>
              <w:sz w:val="18"/>
              <w:szCs w:val="18"/>
            </w:rPr>
          </w:pPr>
          <w:bookmarkStart w:id="257" w:name="bookmark248"/>
          <w:bookmarkEnd w:id="257"/>
          <w:r>
            <w:fldChar w:fldCharType="begin"/>
          </w:r>
          <w:r>
            <w:instrText xml:space="preserve"> HYPERLINK \l "bookmark248" </w:instrText>
          </w:r>
          <w:r>
            <w:fldChar w:fldCharType="separate"/>
          </w:r>
          <w:r>
            <w:rPr>
              <w:rFonts w:ascii="Times New Roman" w:hAnsi="Times New Roman" w:eastAsia="Times New Roman" w:cs="Times New Roman"/>
              <w:spacing w:val="-2"/>
              <w:sz w:val="18"/>
              <w:szCs w:val="18"/>
            </w:rPr>
            <w:t xml:space="preserve">14.4    </w:t>
          </w:r>
          <w:r>
            <w:rPr>
              <w:spacing w:val="-2"/>
              <w:sz w:val="18"/>
              <w:szCs w:val="18"/>
            </w:rPr>
            <w:t>监理信息管理工作</w:t>
          </w:r>
          <w:r>
            <w:rPr>
              <w:spacing w:val="-54"/>
              <w:sz w:val="18"/>
              <w:szCs w:val="18"/>
            </w:rPr>
            <w:t xml:space="preserve"> </w:t>
          </w:r>
          <w:r>
            <w:rPr>
              <w:sz w:val="18"/>
              <w:szCs w:val="18"/>
            </w:rPr>
            <w:tab/>
          </w:r>
          <w:r>
            <w:rPr>
              <w:rFonts w:ascii="Times New Roman" w:hAnsi="Times New Roman" w:eastAsia="Times New Roman" w:cs="Times New Roman"/>
              <w:spacing w:val="1"/>
              <w:sz w:val="18"/>
              <w:szCs w:val="18"/>
            </w:rPr>
            <w:t>339</w:t>
          </w:r>
          <w:r>
            <w:rPr>
              <w:rFonts w:ascii="Times New Roman" w:hAnsi="Times New Roman" w:eastAsia="Times New Roman" w:cs="Times New Roman"/>
              <w:spacing w:val="1"/>
              <w:sz w:val="18"/>
              <w:szCs w:val="18"/>
            </w:rPr>
            <w:fldChar w:fldCharType="end"/>
          </w:r>
        </w:p>
        <w:p w14:paraId="51B27B9F">
          <w:pPr>
            <w:pStyle w:val="2"/>
            <w:tabs>
              <w:tab w:val="right" w:leader="dot" w:pos="3912"/>
            </w:tabs>
            <w:spacing w:before="96" w:line="219" w:lineRule="auto"/>
            <w:ind w:left="399"/>
            <w:rPr>
              <w:rFonts w:ascii="Times New Roman" w:hAnsi="Times New Roman" w:eastAsia="Times New Roman" w:cs="Times New Roman"/>
              <w:sz w:val="18"/>
              <w:szCs w:val="18"/>
            </w:rPr>
          </w:pPr>
          <w:bookmarkStart w:id="258" w:name="bookmark249"/>
          <w:bookmarkEnd w:id="258"/>
          <w:r>
            <w:fldChar w:fldCharType="begin"/>
          </w:r>
          <w:r>
            <w:instrText xml:space="preserve"> HYPERLINK \l "bookmark249" </w:instrText>
          </w:r>
          <w:r>
            <w:fldChar w:fldCharType="separate"/>
          </w:r>
          <w:r>
            <w:rPr>
              <w:rFonts w:ascii="Times New Roman" w:hAnsi="Times New Roman" w:eastAsia="Times New Roman" w:cs="Times New Roman"/>
              <w:sz w:val="18"/>
              <w:szCs w:val="18"/>
            </w:rPr>
            <w:t xml:space="preserve">14.4.1    </w:t>
          </w:r>
          <w:r>
            <w:rPr>
              <w:sz w:val="18"/>
              <w:szCs w:val="18"/>
            </w:rPr>
            <w:t>总控类文档</w:t>
          </w:r>
          <w:r>
            <w:rPr>
              <w:spacing w:val="-71"/>
              <w:sz w:val="18"/>
              <w:szCs w:val="18"/>
            </w:rPr>
            <w:t xml:space="preserve"> </w:t>
          </w:r>
          <w:r>
            <w:rPr>
              <w:sz w:val="18"/>
              <w:szCs w:val="18"/>
            </w:rPr>
            <w:tab/>
          </w:r>
          <w:r>
            <w:rPr>
              <w:rFonts w:ascii="Times New Roman" w:hAnsi="Times New Roman" w:eastAsia="Times New Roman" w:cs="Times New Roman"/>
              <w:spacing w:val="1"/>
              <w:sz w:val="18"/>
              <w:szCs w:val="18"/>
            </w:rPr>
            <w:t>340</w:t>
          </w:r>
          <w:r>
            <w:rPr>
              <w:rFonts w:ascii="Times New Roman" w:hAnsi="Times New Roman" w:eastAsia="Times New Roman" w:cs="Times New Roman"/>
              <w:spacing w:val="1"/>
              <w:sz w:val="18"/>
              <w:szCs w:val="18"/>
            </w:rPr>
            <w:fldChar w:fldCharType="end"/>
          </w:r>
        </w:p>
        <w:p w14:paraId="2EBDBA23">
          <w:pPr>
            <w:pStyle w:val="2"/>
            <w:tabs>
              <w:tab w:val="right" w:leader="dot" w:pos="3912"/>
            </w:tabs>
            <w:spacing w:before="97" w:line="219" w:lineRule="auto"/>
            <w:ind w:left="399"/>
            <w:rPr>
              <w:rFonts w:ascii="Times New Roman" w:hAnsi="Times New Roman" w:eastAsia="Times New Roman" w:cs="Times New Roman"/>
              <w:sz w:val="18"/>
              <w:szCs w:val="18"/>
            </w:rPr>
          </w:pPr>
          <w:bookmarkStart w:id="259" w:name="bookmark250"/>
          <w:bookmarkEnd w:id="259"/>
          <w:r>
            <w:fldChar w:fldCharType="begin"/>
          </w:r>
          <w:r>
            <w:instrText xml:space="preserve"> HYPERLINK \l "bookmark250" </w:instrText>
          </w:r>
          <w:r>
            <w:fldChar w:fldCharType="separate"/>
          </w:r>
          <w:r>
            <w:rPr>
              <w:rFonts w:ascii="Times New Roman" w:hAnsi="Times New Roman" w:eastAsia="Times New Roman" w:cs="Times New Roman"/>
              <w:sz w:val="18"/>
              <w:szCs w:val="18"/>
            </w:rPr>
            <w:t xml:space="preserve">14.4.2    </w:t>
          </w:r>
          <w:r>
            <w:rPr>
              <w:sz w:val="18"/>
              <w:szCs w:val="18"/>
            </w:rPr>
            <w:t>监理实施类文档</w:t>
          </w:r>
          <w:r>
            <w:rPr>
              <w:spacing w:val="-72"/>
              <w:sz w:val="18"/>
              <w:szCs w:val="18"/>
            </w:rPr>
            <w:t xml:space="preserve"> </w:t>
          </w:r>
          <w:r>
            <w:rPr>
              <w:sz w:val="18"/>
              <w:szCs w:val="18"/>
            </w:rPr>
            <w:tab/>
          </w:r>
          <w:r>
            <w:rPr>
              <w:rFonts w:ascii="Times New Roman" w:hAnsi="Times New Roman" w:eastAsia="Times New Roman" w:cs="Times New Roman"/>
              <w:spacing w:val="1"/>
              <w:sz w:val="18"/>
              <w:szCs w:val="18"/>
            </w:rPr>
            <w:t>340</w:t>
          </w:r>
          <w:r>
            <w:rPr>
              <w:rFonts w:ascii="Times New Roman" w:hAnsi="Times New Roman" w:eastAsia="Times New Roman" w:cs="Times New Roman"/>
              <w:spacing w:val="1"/>
              <w:sz w:val="18"/>
              <w:szCs w:val="18"/>
            </w:rPr>
            <w:fldChar w:fldCharType="end"/>
          </w:r>
        </w:p>
        <w:p w14:paraId="6B8974F0">
          <w:pPr>
            <w:pStyle w:val="2"/>
            <w:tabs>
              <w:tab w:val="right" w:leader="dot" w:pos="3912"/>
            </w:tabs>
            <w:spacing w:before="106" w:line="219" w:lineRule="auto"/>
            <w:ind w:left="399"/>
            <w:rPr>
              <w:rFonts w:ascii="Times New Roman" w:hAnsi="Times New Roman" w:eastAsia="Times New Roman" w:cs="Times New Roman"/>
              <w:sz w:val="18"/>
              <w:szCs w:val="18"/>
            </w:rPr>
          </w:pPr>
          <w:bookmarkStart w:id="260" w:name="bookmark251"/>
          <w:bookmarkEnd w:id="260"/>
          <w:r>
            <w:fldChar w:fldCharType="begin"/>
          </w:r>
          <w:r>
            <w:instrText xml:space="preserve"> HYPERLINK \l "bookmark251" </w:instrText>
          </w:r>
          <w:r>
            <w:fldChar w:fldCharType="separate"/>
          </w:r>
          <w:r>
            <w:rPr>
              <w:rFonts w:ascii="Times New Roman" w:hAnsi="Times New Roman" w:eastAsia="Times New Roman" w:cs="Times New Roman"/>
              <w:spacing w:val="10"/>
              <w:sz w:val="18"/>
              <w:szCs w:val="18"/>
            </w:rPr>
            <w:t>14.4.3</w:t>
          </w:r>
          <w:r>
            <w:rPr>
              <w:rFonts w:ascii="Times New Roman" w:hAnsi="Times New Roman" w:eastAsia="Times New Roman" w:cs="Times New Roman"/>
              <w:spacing w:val="3"/>
              <w:sz w:val="18"/>
              <w:szCs w:val="18"/>
            </w:rPr>
            <w:t xml:space="preserve">    </w:t>
          </w:r>
          <w:r>
            <w:rPr>
              <w:spacing w:val="10"/>
              <w:sz w:val="18"/>
              <w:szCs w:val="18"/>
            </w:rPr>
            <w:t>监理回复(批复)类文档</w:t>
          </w:r>
          <w:r>
            <w:rPr>
              <w:spacing w:val="-74"/>
              <w:sz w:val="18"/>
              <w:szCs w:val="18"/>
            </w:rPr>
            <w:t xml:space="preserve"> </w:t>
          </w:r>
          <w:r>
            <w:rPr>
              <w:sz w:val="18"/>
              <w:szCs w:val="18"/>
            </w:rPr>
            <w:tab/>
          </w:r>
          <w:r>
            <w:rPr>
              <w:rFonts w:ascii="Times New Roman" w:hAnsi="Times New Roman" w:eastAsia="Times New Roman" w:cs="Times New Roman"/>
              <w:spacing w:val="1"/>
              <w:sz w:val="18"/>
              <w:szCs w:val="18"/>
            </w:rPr>
            <w:t>342</w:t>
          </w:r>
          <w:r>
            <w:rPr>
              <w:rFonts w:ascii="Times New Roman" w:hAnsi="Times New Roman" w:eastAsia="Times New Roman" w:cs="Times New Roman"/>
              <w:spacing w:val="1"/>
              <w:sz w:val="18"/>
              <w:szCs w:val="18"/>
            </w:rPr>
            <w:fldChar w:fldCharType="end"/>
          </w:r>
        </w:p>
        <w:p w14:paraId="0D1EB6A5">
          <w:pPr>
            <w:pStyle w:val="2"/>
            <w:tabs>
              <w:tab w:val="right" w:leader="dot" w:pos="3922"/>
            </w:tabs>
            <w:spacing w:before="97" w:line="219" w:lineRule="auto"/>
            <w:ind w:left="399"/>
            <w:rPr>
              <w:rFonts w:ascii="Times New Roman" w:hAnsi="Times New Roman" w:eastAsia="Times New Roman" w:cs="Times New Roman"/>
              <w:sz w:val="18"/>
              <w:szCs w:val="18"/>
            </w:rPr>
          </w:pPr>
          <w:bookmarkStart w:id="261" w:name="bookmark252"/>
          <w:bookmarkEnd w:id="261"/>
          <w:r>
            <w:fldChar w:fldCharType="begin"/>
          </w:r>
          <w:r>
            <w:instrText xml:space="preserve"> HYPERLINK \l "bookmark252" </w:instrText>
          </w:r>
          <w:r>
            <w:fldChar w:fldCharType="separate"/>
          </w:r>
          <w:r>
            <w:rPr>
              <w:rFonts w:ascii="Times New Roman" w:hAnsi="Times New Roman" w:eastAsia="Times New Roman" w:cs="Times New Roman"/>
              <w:sz w:val="18"/>
              <w:szCs w:val="18"/>
            </w:rPr>
            <w:t xml:space="preserve">14.4.4    </w:t>
          </w:r>
          <w:r>
            <w:rPr>
              <w:sz w:val="18"/>
              <w:szCs w:val="18"/>
            </w:rPr>
            <w:t>监理日志及内部文档</w:t>
          </w:r>
          <w:r>
            <w:rPr>
              <w:spacing w:val="-72"/>
              <w:sz w:val="18"/>
              <w:szCs w:val="18"/>
            </w:rPr>
            <w:t xml:space="preserve"> </w:t>
          </w:r>
          <w:r>
            <w:rPr>
              <w:sz w:val="18"/>
              <w:szCs w:val="18"/>
            </w:rPr>
            <w:tab/>
          </w:r>
          <w:r>
            <w:rPr>
              <w:rFonts w:ascii="Times New Roman" w:hAnsi="Times New Roman" w:eastAsia="Times New Roman" w:cs="Times New Roman"/>
              <w:spacing w:val="1"/>
              <w:sz w:val="18"/>
              <w:szCs w:val="18"/>
            </w:rPr>
            <w:t>342</w:t>
          </w:r>
          <w:r>
            <w:rPr>
              <w:rFonts w:ascii="Times New Roman" w:hAnsi="Times New Roman" w:eastAsia="Times New Roman" w:cs="Times New Roman"/>
              <w:spacing w:val="1"/>
              <w:sz w:val="18"/>
              <w:szCs w:val="18"/>
            </w:rPr>
            <w:fldChar w:fldCharType="end"/>
          </w:r>
        </w:p>
        <w:p w14:paraId="4B5BAE77">
          <w:pPr>
            <w:pStyle w:val="2"/>
            <w:tabs>
              <w:tab w:val="right" w:leader="dot" w:pos="3912"/>
            </w:tabs>
            <w:spacing w:before="106" w:line="219" w:lineRule="auto"/>
            <w:ind w:left="399"/>
            <w:rPr>
              <w:rFonts w:ascii="Times New Roman" w:hAnsi="Times New Roman" w:eastAsia="Times New Roman" w:cs="Times New Roman"/>
              <w:sz w:val="18"/>
              <w:szCs w:val="18"/>
            </w:rPr>
          </w:pPr>
          <w:bookmarkStart w:id="262" w:name="bookmark253"/>
          <w:bookmarkEnd w:id="262"/>
          <w:r>
            <w:fldChar w:fldCharType="begin"/>
          </w:r>
          <w:r>
            <w:instrText xml:space="preserve"> HYPERLINK \l "bookmark253" </w:instrText>
          </w:r>
          <w:r>
            <w:fldChar w:fldCharType="separate"/>
          </w:r>
          <w:r>
            <w:rPr>
              <w:rFonts w:ascii="Times New Roman" w:hAnsi="Times New Roman" w:eastAsia="Times New Roman" w:cs="Times New Roman"/>
              <w:sz w:val="18"/>
              <w:szCs w:val="18"/>
            </w:rPr>
            <w:t xml:space="preserve">14.4.5    </w:t>
          </w:r>
          <w:r>
            <w:rPr>
              <w:sz w:val="18"/>
              <w:szCs w:val="18"/>
            </w:rPr>
            <w:t>监理信息管理示例</w:t>
          </w:r>
          <w:r>
            <w:rPr>
              <w:spacing w:val="-71"/>
              <w:sz w:val="18"/>
              <w:szCs w:val="18"/>
            </w:rPr>
            <w:t xml:space="preserve"> </w:t>
          </w:r>
          <w:r>
            <w:rPr>
              <w:sz w:val="18"/>
              <w:szCs w:val="18"/>
            </w:rPr>
            <w:tab/>
          </w:r>
          <w:r>
            <w:rPr>
              <w:rFonts w:ascii="Times New Roman" w:hAnsi="Times New Roman" w:eastAsia="Times New Roman" w:cs="Times New Roman"/>
              <w:spacing w:val="1"/>
              <w:sz w:val="18"/>
              <w:szCs w:val="18"/>
            </w:rPr>
            <w:t>342</w:t>
          </w:r>
          <w:r>
            <w:rPr>
              <w:rFonts w:ascii="Times New Roman" w:hAnsi="Times New Roman" w:eastAsia="Times New Roman" w:cs="Times New Roman"/>
              <w:spacing w:val="1"/>
              <w:sz w:val="18"/>
              <w:szCs w:val="18"/>
            </w:rPr>
            <w:fldChar w:fldCharType="end"/>
          </w:r>
        </w:p>
        <w:p w14:paraId="34098F1E">
          <w:pPr>
            <w:spacing w:line="341" w:lineRule="auto"/>
            <w:rPr>
              <w:rFonts w:ascii="Arial"/>
              <w:sz w:val="21"/>
            </w:rPr>
          </w:pPr>
        </w:p>
        <w:p w14:paraId="3972F90B">
          <w:pPr>
            <w:spacing w:line="342" w:lineRule="auto"/>
            <w:rPr>
              <w:rFonts w:ascii="Arial"/>
              <w:sz w:val="21"/>
            </w:rPr>
          </w:pPr>
        </w:p>
        <w:p w14:paraId="7DF1CE18">
          <w:pPr>
            <w:pStyle w:val="2"/>
            <w:tabs>
              <w:tab w:val="right" w:leader="dot" w:pos="3912"/>
            </w:tabs>
            <w:spacing w:before="60" w:line="219" w:lineRule="auto"/>
            <w:rPr>
              <w:rFonts w:ascii="Times New Roman" w:hAnsi="Times New Roman" w:eastAsia="Times New Roman" w:cs="Times New Roman"/>
              <w:sz w:val="18"/>
              <w:szCs w:val="18"/>
            </w:rPr>
          </w:pPr>
          <w:bookmarkStart w:id="263" w:name="bookmark254"/>
          <w:bookmarkEnd w:id="263"/>
          <w:r>
            <w:fldChar w:fldCharType="begin"/>
          </w:r>
          <w:r>
            <w:instrText xml:space="preserve"> HYPERLINK \l "bookmark254" </w:instrText>
          </w:r>
          <w:r>
            <w:fldChar w:fldCharType="separate"/>
          </w:r>
          <w:r>
            <w:rPr>
              <w:rFonts w:ascii="Times New Roman" w:hAnsi="Times New Roman" w:eastAsia="Times New Roman" w:cs="Times New Roman"/>
              <w:spacing w:val="-1"/>
              <w:sz w:val="18"/>
              <w:szCs w:val="18"/>
            </w:rPr>
            <w:t>15.1</w:t>
          </w:r>
          <w:r>
            <w:rPr>
              <w:rFonts w:ascii="Times New Roman" w:hAnsi="Times New Roman" w:eastAsia="Times New Roman" w:cs="Times New Roman"/>
              <w:spacing w:val="17"/>
              <w:sz w:val="18"/>
              <w:szCs w:val="18"/>
            </w:rPr>
            <w:t xml:space="preserve">   </w:t>
          </w:r>
          <w:r>
            <w:rPr>
              <w:spacing w:val="-1"/>
              <w:sz w:val="18"/>
              <w:szCs w:val="18"/>
            </w:rPr>
            <w:t>组织协调的概念与内容</w:t>
          </w:r>
          <w:r>
            <w:rPr>
              <w:spacing w:val="-69"/>
              <w:sz w:val="18"/>
              <w:szCs w:val="18"/>
            </w:rPr>
            <w:t xml:space="preserve"> </w:t>
          </w:r>
          <w:r>
            <w:rPr>
              <w:sz w:val="18"/>
              <w:szCs w:val="18"/>
            </w:rPr>
            <w:tab/>
          </w:r>
          <w:r>
            <w:rPr>
              <w:rFonts w:ascii="Times New Roman" w:hAnsi="Times New Roman" w:eastAsia="Times New Roman" w:cs="Times New Roman"/>
              <w:spacing w:val="1"/>
              <w:sz w:val="18"/>
              <w:szCs w:val="18"/>
            </w:rPr>
            <w:t>355</w:t>
          </w:r>
          <w:r>
            <w:rPr>
              <w:rFonts w:ascii="Times New Roman" w:hAnsi="Times New Roman" w:eastAsia="Times New Roman" w:cs="Times New Roman"/>
              <w:spacing w:val="1"/>
              <w:sz w:val="18"/>
              <w:szCs w:val="18"/>
            </w:rPr>
            <w:fldChar w:fldCharType="end"/>
          </w:r>
        </w:p>
        <w:p w14:paraId="4786B071">
          <w:pPr>
            <w:pStyle w:val="2"/>
            <w:tabs>
              <w:tab w:val="right" w:leader="dot" w:pos="3912"/>
            </w:tabs>
            <w:spacing w:before="96" w:line="219" w:lineRule="auto"/>
            <w:ind w:left="399"/>
            <w:rPr>
              <w:rFonts w:ascii="Times New Roman" w:hAnsi="Times New Roman" w:eastAsia="Times New Roman" w:cs="Times New Roman"/>
              <w:sz w:val="18"/>
              <w:szCs w:val="18"/>
            </w:rPr>
          </w:pPr>
          <w:bookmarkStart w:id="264" w:name="bookmark255"/>
          <w:bookmarkEnd w:id="264"/>
          <w:r>
            <w:fldChar w:fldCharType="begin"/>
          </w:r>
          <w:r>
            <w:instrText xml:space="preserve"> HYPERLINK \l "bookmark255" </w:instrText>
          </w:r>
          <w:r>
            <w:fldChar w:fldCharType="separate"/>
          </w:r>
          <w:r>
            <w:rPr>
              <w:rFonts w:ascii="Times New Roman" w:hAnsi="Times New Roman" w:eastAsia="Times New Roman" w:cs="Times New Roman"/>
              <w:spacing w:val="-2"/>
              <w:sz w:val="18"/>
              <w:szCs w:val="18"/>
            </w:rPr>
            <w:t xml:space="preserve">15.1.1    </w:t>
          </w:r>
          <w:r>
            <w:rPr>
              <w:spacing w:val="-2"/>
              <w:sz w:val="18"/>
              <w:szCs w:val="18"/>
            </w:rPr>
            <w:t>组织协调的概念</w:t>
          </w:r>
          <w:r>
            <w:rPr>
              <w:spacing w:val="-38"/>
              <w:sz w:val="18"/>
              <w:szCs w:val="18"/>
            </w:rPr>
            <w:t xml:space="preserve"> </w:t>
          </w:r>
          <w:r>
            <w:rPr>
              <w:sz w:val="18"/>
              <w:szCs w:val="18"/>
            </w:rPr>
            <w:tab/>
          </w:r>
          <w:r>
            <w:rPr>
              <w:rFonts w:ascii="Times New Roman" w:hAnsi="Times New Roman" w:eastAsia="Times New Roman" w:cs="Times New Roman"/>
              <w:spacing w:val="1"/>
              <w:sz w:val="18"/>
              <w:szCs w:val="18"/>
            </w:rPr>
            <w:t>355</w:t>
          </w:r>
          <w:r>
            <w:rPr>
              <w:rFonts w:ascii="Times New Roman" w:hAnsi="Times New Roman" w:eastAsia="Times New Roman" w:cs="Times New Roman"/>
              <w:spacing w:val="1"/>
              <w:sz w:val="18"/>
              <w:szCs w:val="18"/>
            </w:rPr>
            <w:fldChar w:fldCharType="end"/>
          </w:r>
        </w:p>
        <w:p w14:paraId="7F4D724B">
          <w:pPr>
            <w:pStyle w:val="2"/>
            <w:tabs>
              <w:tab w:val="right" w:leader="dot" w:pos="3912"/>
            </w:tabs>
            <w:spacing w:before="96" w:line="219" w:lineRule="auto"/>
            <w:ind w:left="399"/>
            <w:rPr>
              <w:rFonts w:ascii="Times New Roman" w:hAnsi="Times New Roman" w:eastAsia="Times New Roman" w:cs="Times New Roman"/>
              <w:sz w:val="18"/>
              <w:szCs w:val="18"/>
            </w:rPr>
          </w:pPr>
          <w:bookmarkStart w:id="265" w:name="bookmark256"/>
          <w:bookmarkEnd w:id="265"/>
          <w:r>
            <w:fldChar w:fldCharType="begin"/>
          </w:r>
          <w:r>
            <w:instrText xml:space="preserve"> HYPERLINK \l "bookmark256" </w:instrText>
          </w:r>
          <w:r>
            <w:fldChar w:fldCharType="separate"/>
          </w:r>
          <w:r>
            <w:rPr>
              <w:rFonts w:ascii="Times New Roman" w:hAnsi="Times New Roman" w:eastAsia="Times New Roman" w:cs="Times New Roman"/>
              <w:sz w:val="18"/>
              <w:szCs w:val="18"/>
            </w:rPr>
            <w:t xml:space="preserve">15.1.2    </w:t>
          </w:r>
          <w:r>
            <w:rPr>
              <w:sz w:val="18"/>
              <w:szCs w:val="18"/>
            </w:rPr>
            <w:t>系统内部的协调</w:t>
          </w:r>
          <w:r>
            <w:rPr>
              <w:spacing w:val="-72"/>
              <w:sz w:val="18"/>
              <w:szCs w:val="18"/>
            </w:rPr>
            <w:t xml:space="preserve"> </w:t>
          </w:r>
          <w:r>
            <w:rPr>
              <w:sz w:val="18"/>
              <w:szCs w:val="18"/>
            </w:rPr>
            <w:tab/>
          </w:r>
          <w:r>
            <w:rPr>
              <w:rFonts w:ascii="Times New Roman" w:hAnsi="Times New Roman" w:eastAsia="Times New Roman" w:cs="Times New Roman"/>
              <w:spacing w:val="1"/>
              <w:sz w:val="18"/>
              <w:szCs w:val="18"/>
            </w:rPr>
            <w:t>355</w:t>
          </w:r>
          <w:r>
            <w:rPr>
              <w:rFonts w:ascii="Times New Roman" w:hAnsi="Times New Roman" w:eastAsia="Times New Roman" w:cs="Times New Roman"/>
              <w:spacing w:val="1"/>
              <w:sz w:val="18"/>
              <w:szCs w:val="18"/>
            </w:rPr>
            <w:fldChar w:fldCharType="end"/>
          </w:r>
        </w:p>
        <w:p w14:paraId="39486C05">
          <w:pPr>
            <w:pStyle w:val="2"/>
            <w:tabs>
              <w:tab w:val="right" w:leader="dot" w:pos="3912"/>
            </w:tabs>
            <w:spacing w:before="97" w:line="219" w:lineRule="auto"/>
            <w:ind w:left="399"/>
            <w:rPr>
              <w:rFonts w:ascii="Times New Roman" w:hAnsi="Times New Roman" w:eastAsia="Times New Roman" w:cs="Times New Roman"/>
              <w:sz w:val="18"/>
              <w:szCs w:val="18"/>
            </w:rPr>
          </w:pPr>
          <w:bookmarkStart w:id="266" w:name="bookmark257"/>
          <w:bookmarkEnd w:id="266"/>
          <w:r>
            <w:fldChar w:fldCharType="begin"/>
          </w:r>
          <w:r>
            <w:instrText xml:space="preserve"> HYPERLINK \l "bookmark257" </w:instrText>
          </w:r>
          <w:r>
            <w:fldChar w:fldCharType="separate"/>
          </w:r>
          <w:r>
            <w:rPr>
              <w:rFonts w:ascii="Times New Roman" w:hAnsi="Times New Roman" w:eastAsia="Times New Roman" w:cs="Times New Roman"/>
              <w:sz w:val="18"/>
              <w:szCs w:val="18"/>
            </w:rPr>
            <w:t xml:space="preserve">15.1.3    </w:t>
          </w:r>
          <w:r>
            <w:rPr>
              <w:sz w:val="18"/>
              <w:szCs w:val="18"/>
            </w:rPr>
            <w:t>系统外部的协调</w:t>
          </w:r>
          <w:r>
            <w:rPr>
              <w:spacing w:val="-72"/>
              <w:sz w:val="18"/>
              <w:szCs w:val="18"/>
            </w:rPr>
            <w:t xml:space="preserve"> </w:t>
          </w:r>
          <w:r>
            <w:rPr>
              <w:sz w:val="18"/>
              <w:szCs w:val="18"/>
            </w:rPr>
            <w:tab/>
          </w:r>
          <w:r>
            <w:rPr>
              <w:rFonts w:ascii="Times New Roman" w:hAnsi="Times New Roman" w:eastAsia="Times New Roman" w:cs="Times New Roman"/>
              <w:spacing w:val="1"/>
              <w:sz w:val="18"/>
              <w:szCs w:val="18"/>
            </w:rPr>
            <w:t>356</w:t>
          </w:r>
          <w:r>
            <w:rPr>
              <w:rFonts w:ascii="Times New Roman" w:hAnsi="Times New Roman" w:eastAsia="Times New Roman" w:cs="Times New Roman"/>
              <w:spacing w:val="1"/>
              <w:sz w:val="18"/>
              <w:szCs w:val="18"/>
            </w:rPr>
            <w:fldChar w:fldCharType="end"/>
          </w:r>
        </w:p>
        <w:p w14:paraId="435C2DBF">
          <w:pPr>
            <w:pStyle w:val="2"/>
            <w:tabs>
              <w:tab w:val="right" w:leader="dot" w:pos="3912"/>
            </w:tabs>
            <w:spacing w:before="96" w:line="219" w:lineRule="auto"/>
            <w:ind w:left="399"/>
            <w:rPr>
              <w:rFonts w:ascii="Times New Roman" w:hAnsi="Times New Roman" w:eastAsia="Times New Roman" w:cs="Times New Roman"/>
              <w:sz w:val="18"/>
              <w:szCs w:val="18"/>
            </w:rPr>
          </w:pPr>
          <w:bookmarkStart w:id="267" w:name="bookmark258"/>
          <w:bookmarkEnd w:id="267"/>
          <w:r>
            <w:fldChar w:fldCharType="begin"/>
          </w:r>
          <w:r>
            <w:instrText xml:space="preserve"> HYPERLINK \l "bookmark258" </w:instrText>
          </w:r>
          <w:r>
            <w:fldChar w:fldCharType="separate"/>
          </w:r>
          <w:r>
            <w:rPr>
              <w:rFonts w:ascii="Times New Roman" w:hAnsi="Times New Roman" w:eastAsia="Times New Roman" w:cs="Times New Roman"/>
              <w:sz w:val="18"/>
              <w:szCs w:val="18"/>
            </w:rPr>
            <w:t xml:space="preserve">15.1.4    </w:t>
          </w:r>
          <w:r>
            <w:rPr>
              <w:sz w:val="18"/>
              <w:szCs w:val="18"/>
            </w:rPr>
            <w:t>社团关系的协调</w:t>
          </w:r>
          <w:r>
            <w:rPr>
              <w:spacing w:val="-72"/>
              <w:sz w:val="18"/>
              <w:szCs w:val="18"/>
            </w:rPr>
            <w:t xml:space="preserve"> </w:t>
          </w:r>
          <w:r>
            <w:rPr>
              <w:sz w:val="18"/>
              <w:szCs w:val="18"/>
            </w:rPr>
            <w:tab/>
          </w:r>
          <w:r>
            <w:rPr>
              <w:rFonts w:ascii="Times New Roman" w:hAnsi="Times New Roman" w:eastAsia="Times New Roman" w:cs="Times New Roman"/>
              <w:spacing w:val="1"/>
              <w:sz w:val="18"/>
              <w:szCs w:val="18"/>
            </w:rPr>
            <w:t>357</w:t>
          </w:r>
          <w:r>
            <w:rPr>
              <w:rFonts w:ascii="Times New Roman" w:hAnsi="Times New Roman" w:eastAsia="Times New Roman" w:cs="Times New Roman"/>
              <w:spacing w:val="1"/>
              <w:sz w:val="18"/>
              <w:szCs w:val="18"/>
            </w:rPr>
            <w:fldChar w:fldCharType="end"/>
          </w:r>
        </w:p>
        <w:p w14:paraId="6A33B638">
          <w:pPr>
            <w:pStyle w:val="2"/>
            <w:tabs>
              <w:tab w:val="right" w:leader="dot" w:pos="3922"/>
            </w:tabs>
            <w:spacing w:before="106" w:line="219" w:lineRule="auto"/>
            <w:rPr>
              <w:rFonts w:ascii="Times New Roman" w:hAnsi="Times New Roman" w:eastAsia="Times New Roman" w:cs="Times New Roman"/>
              <w:sz w:val="18"/>
              <w:szCs w:val="18"/>
            </w:rPr>
          </w:pPr>
          <w:bookmarkStart w:id="268" w:name="bookmark259"/>
          <w:bookmarkEnd w:id="268"/>
          <w:r>
            <w:fldChar w:fldCharType="begin"/>
          </w:r>
          <w:r>
            <w:instrText xml:space="preserve"> HYPERLINK \l "bookmark259" </w:instrText>
          </w:r>
          <w:r>
            <w:fldChar w:fldCharType="separate"/>
          </w:r>
          <w:r>
            <w:rPr>
              <w:rFonts w:ascii="Times New Roman" w:hAnsi="Times New Roman" w:eastAsia="Times New Roman" w:cs="Times New Roman"/>
              <w:sz w:val="18"/>
              <w:szCs w:val="18"/>
            </w:rPr>
            <w:t>15.2</w:t>
          </w:r>
          <w:r>
            <w:rPr>
              <w:rFonts w:ascii="Times New Roman" w:hAnsi="Times New Roman" w:eastAsia="Times New Roman" w:cs="Times New Roman"/>
              <w:spacing w:val="15"/>
              <w:sz w:val="18"/>
              <w:szCs w:val="18"/>
            </w:rPr>
            <w:t xml:space="preserve">   </w:t>
          </w:r>
          <w:r>
            <w:rPr>
              <w:sz w:val="18"/>
              <w:szCs w:val="18"/>
            </w:rPr>
            <w:t>组织协调的基本原则</w:t>
          </w:r>
          <w:r>
            <w:rPr>
              <w:spacing w:val="-76"/>
              <w:sz w:val="18"/>
              <w:szCs w:val="18"/>
            </w:rPr>
            <w:t xml:space="preserve"> </w:t>
          </w:r>
          <w:r>
            <w:rPr>
              <w:sz w:val="18"/>
              <w:szCs w:val="18"/>
            </w:rPr>
            <w:tab/>
          </w:r>
          <w:r>
            <w:rPr>
              <w:rFonts w:ascii="Times New Roman" w:hAnsi="Times New Roman" w:eastAsia="Times New Roman" w:cs="Times New Roman"/>
              <w:spacing w:val="1"/>
              <w:sz w:val="18"/>
              <w:szCs w:val="18"/>
            </w:rPr>
            <w:t>359</w:t>
          </w:r>
          <w:r>
            <w:rPr>
              <w:rFonts w:ascii="Times New Roman" w:hAnsi="Times New Roman" w:eastAsia="Times New Roman" w:cs="Times New Roman"/>
              <w:spacing w:val="1"/>
              <w:sz w:val="18"/>
              <w:szCs w:val="18"/>
            </w:rPr>
            <w:fldChar w:fldCharType="end"/>
          </w:r>
        </w:p>
        <w:p w14:paraId="540778B1">
          <w:pPr>
            <w:pStyle w:val="2"/>
            <w:tabs>
              <w:tab w:val="right" w:leader="dot" w:pos="3912"/>
            </w:tabs>
            <w:spacing w:before="88" w:line="220" w:lineRule="auto"/>
            <w:rPr>
              <w:rFonts w:ascii="Times New Roman" w:hAnsi="Times New Roman" w:eastAsia="Times New Roman" w:cs="Times New Roman"/>
              <w:sz w:val="18"/>
              <w:szCs w:val="18"/>
            </w:rPr>
          </w:pPr>
          <w:bookmarkStart w:id="269" w:name="bookmark260"/>
          <w:bookmarkEnd w:id="269"/>
          <w:r>
            <w:fldChar w:fldCharType="begin"/>
          </w:r>
          <w:r>
            <w:instrText xml:space="preserve"> HYPERLINK \l "bookmark260" </w:instrText>
          </w:r>
          <w:r>
            <w:fldChar w:fldCharType="separate"/>
          </w:r>
          <w:r>
            <w:rPr>
              <w:rFonts w:ascii="Times New Roman" w:hAnsi="Times New Roman" w:eastAsia="Times New Roman" w:cs="Times New Roman"/>
              <w:spacing w:val="-3"/>
              <w:sz w:val="18"/>
              <w:szCs w:val="18"/>
            </w:rPr>
            <w:t>15.3</w:t>
          </w:r>
          <w:r>
            <w:rPr>
              <w:rFonts w:ascii="Times New Roman" w:hAnsi="Times New Roman" w:eastAsia="Times New Roman" w:cs="Times New Roman"/>
              <w:spacing w:val="5"/>
              <w:sz w:val="18"/>
              <w:szCs w:val="18"/>
            </w:rPr>
            <w:t xml:space="preserve">    </w:t>
          </w:r>
          <w:r>
            <w:rPr>
              <w:spacing w:val="-3"/>
              <w:sz w:val="18"/>
              <w:szCs w:val="18"/>
            </w:rPr>
            <w:t>监理组织协调工作</w:t>
          </w:r>
          <w:r>
            <w:rPr>
              <w:spacing w:val="-60"/>
              <w:sz w:val="18"/>
              <w:szCs w:val="18"/>
            </w:rPr>
            <w:t xml:space="preserve"> </w:t>
          </w:r>
          <w:r>
            <w:rPr>
              <w:sz w:val="18"/>
              <w:szCs w:val="18"/>
            </w:rPr>
            <w:tab/>
          </w:r>
          <w:r>
            <w:rPr>
              <w:rFonts w:ascii="Times New Roman" w:hAnsi="Times New Roman" w:eastAsia="Times New Roman" w:cs="Times New Roman"/>
              <w:spacing w:val="1"/>
              <w:sz w:val="18"/>
              <w:szCs w:val="18"/>
            </w:rPr>
            <w:t>360</w:t>
          </w:r>
          <w:r>
            <w:rPr>
              <w:rFonts w:ascii="Times New Roman" w:hAnsi="Times New Roman" w:eastAsia="Times New Roman" w:cs="Times New Roman"/>
              <w:spacing w:val="1"/>
              <w:sz w:val="18"/>
              <w:szCs w:val="18"/>
            </w:rPr>
            <w:fldChar w:fldCharType="end"/>
          </w:r>
        </w:p>
        <w:p w14:paraId="6CB1540B">
          <w:pPr>
            <w:pStyle w:val="2"/>
            <w:tabs>
              <w:tab w:val="right" w:leader="dot" w:pos="3912"/>
            </w:tabs>
            <w:spacing w:before="94" w:line="219" w:lineRule="auto"/>
            <w:ind w:left="399"/>
            <w:rPr>
              <w:rFonts w:ascii="Times New Roman" w:hAnsi="Times New Roman" w:eastAsia="Times New Roman" w:cs="Times New Roman"/>
              <w:sz w:val="18"/>
              <w:szCs w:val="18"/>
            </w:rPr>
          </w:pPr>
          <w:bookmarkStart w:id="270" w:name="bookmark261"/>
          <w:bookmarkEnd w:id="270"/>
          <w:r>
            <w:fldChar w:fldCharType="begin"/>
          </w:r>
          <w:r>
            <w:instrText xml:space="preserve"> HYPERLINK \l "bookmark261" </w:instrText>
          </w:r>
          <w:r>
            <w:fldChar w:fldCharType="separate"/>
          </w:r>
          <w:r>
            <w:rPr>
              <w:rFonts w:ascii="Times New Roman" w:hAnsi="Times New Roman" w:eastAsia="Times New Roman" w:cs="Times New Roman"/>
              <w:spacing w:val="-3"/>
              <w:sz w:val="18"/>
              <w:szCs w:val="18"/>
            </w:rPr>
            <w:t>15.3.1</w:t>
          </w:r>
          <w:r>
            <w:rPr>
              <w:rFonts w:ascii="Times New Roman" w:hAnsi="Times New Roman" w:eastAsia="Times New Roman" w:cs="Times New Roman"/>
              <w:spacing w:val="5"/>
              <w:sz w:val="18"/>
              <w:szCs w:val="18"/>
            </w:rPr>
            <w:t xml:space="preserve">    </w:t>
          </w:r>
          <w:r>
            <w:rPr>
              <w:spacing w:val="-3"/>
              <w:sz w:val="18"/>
              <w:szCs w:val="18"/>
            </w:rPr>
            <w:t>监理会议</w:t>
          </w:r>
          <w:r>
            <w:rPr>
              <w:spacing w:val="-51"/>
              <w:sz w:val="18"/>
              <w:szCs w:val="18"/>
            </w:rPr>
            <w:t xml:space="preserve"> </w:t>
          </w:r>
          <w:r>
            <w:rPr>
              <w:sz w:val="18"/>
              <w:szCs w:val="18"/>
            </w:rPr>
            <w:tab/>
          </w:r>
          <w:r>
            <w:rPr>
              <w:rFonts w:ascii="Times New Roman" w:hAnsi="Times New Roman" w:eastAsia="Times New Roman" w:cs="Times New Roman"/>
              <w:spacing w:val="1"/>
              <w:sz w:val="18"/>
              <w:szCs w:val="18"/>
            </w:rPr>
            <w:t>360</w:t>
          </w:r>
          <w:r>
            <w:rPr>
              <w:rFonts w:ascii="Times New Roman" w:hAnsi="Times New Roman" w:eastAsia="Times New Roman" w:cs="Times New Roman"/>
              <w:spacing w:val="1"/>
              <w:sz w:val="18"/>
              <w:szCs w:val="18"/>
            </w:rPr>
            <w:fldChar w:fldCharType="end"/>
          </w:r>
        </w:p>
        <w:p w14:paraId="5E954674">
          <w:pPr>
            <w:pStyle w:val="2"/>
            <w:tabs>
              <w:tab w:val="right" w:leader="dot" w:pos="3922"/>
            </w:tabs>
            <w:spacing w:before="106" w:line="218" w:lineRule="auto"/>
            <w:ind w:left="399"/>
            <w:rPr>
              <w:rFonts w:ascii="Times New Roman" w:hAnsi="Times New Roman" w:eastAsia="Times New Roman" w:cs="Times New Roman"/>
              <w:sz w:val="18"/>
              <w:szCs w:val="18"/>
            </w:rPr>
          </w:pPr>
          <w:bookmarkStart w:id="271" w:name="bookmark262"/>
          <w:bookmarkEnd w:id="271"/>
          <w:r>
            <w:fldChar w:fldCharType="begin"/>
          </w:r>
          <w:r>
            <w:instrText xml:space="preserve"> HYPERLINK \l "bookmark262" </w:instrText>
          </w:r>
          <w:r>
            <w:fldChar w:fldCharType="separate"/>
          </w:r>
          <w:r>
            <w:rPr>
              <w:rFonts w:ascii="Times New Roman" w:hAnsi="Times New Roman" w:eastAsia="Times New Roman" w:cs="Times New Roman"/>
              <w:spacing w:val="-1"/>
              <w:sz w:val="18"/>
              <w:szCs w:val="18"/>
            </w:rPr>
            <w:t>15.3.2</w:t>
          </w:r>
          <w:r>
            <w:rPr>
              <w:rFonts w:ascii="Times New Roman" w:hAnsi="Times New Roman" w:eastAsia="Times New Roman" w:cs="Times New Roman"/>
              <w:spacing w:val="2"/>
              <w:sz w:val="18"/>
              <w:szCs w:val="18"/>
            </w:rPr>
            <w:t xml:space="preserve">    </w:t>
          </w:r>
          <w:r>
            <w:rPr>
              <w:spacing w:val="-1"/>
              <w:sz w:val="18"/>
              <w:szCs w:val="18"/>
            </w:rPr>
            <w:t>监理报告</w:t>
          </w:r>
          <w:r>
            <w:rPr>
              <w:spacing w:val="-69"/>
              <w:sz w:val="18"/>
              <w:szCs w:val="18"/>
            </w:rPr>
            <w:t xml:space="preserve"> </w:t>
          </w:r>
          <w:r>
            <w:rPr>
              <w:sz w:val="18"/>
              <w:szCs w:val="18"/>
            </w:rPr>
            <w:tab/>
          </w:r>
          <w:r>
            <w:rPr>
              <w:rFonts w:ascii="Times New Roman" w:hAnsi="Times New Roman" w:eastAsia="Times New Roman" w:cs="Times New Roman"/>
              <w:spacing w:val="1"/>
              <w:sz w:val="18"/>
              <w:szCs w:val="18"/>
            </w:rPr>
            <w:t>363</w:t>
          </w:r>
          <w:r>
            <w:rPr>
              <w:rFonts w:ascii="Times New Roman" w:hAnsi="Times New Roman" w:eastAsia="Times New Roman" w:cs="Times New Roman"/>
              <w:spacing w:val="1"/>
              <w:sz w:val="18"/>
              <w:szCs w:val="18"/>
            </w:rPr>
            <w:fldChar w:fldCharType="end"/>
          </w:r>
        </w:p>
        <w:p w14:paraId="1D293EF7">
          <w:pPr>
            <w:pStyle w:val="2"/>
            <w:tabs>
              <w:tab w:val="right" w:leader="dot" w:pos="3932"/>
            </w:tabs>
            <w:spacing w:before="79" w:line="220" w:lineRule="auto"/>
            <w:ind w:left="399"/>
            <w:rPr>
              <w:rFonts w:ascii="Times New Roman" w:hAnsi="Times New Roman" w:eastAsia="Times New Roman" w:cs="Times New Roman"/>
              <w:sz w:val="18"/>
              <w:szCs w:val="18"/>
            </w:rPr>
          </w:pPr>
          <w:bookmarkStart w:id="272" w:name="bookmark263"/>
          <w:bookmarkEnd w:id="272"/>
          <w:r>
            <w:fldChar w:fldCharType="begin"/>
          </w:r>
          <w:r>
            <w:instrText xml:space="preserve"> HYPERLINK \l "bookmark263" </w:instrText>
          </w:r>
          <w:r>
            <w:fldChar w:fldCharType="separate"/>
          </w:r>
          <w:r>
            <w:rPr>
              <w:rFonts w:ascii="Times New Roman" w:hAnsi="Times New Roman" w:eastAsia="Times New Roman" w:cs="Times New Roman"/>
              <w:spacing w:val="-1"/>
              <w:sz w:val="18"/>
              <w:szCs w:val="18"/>
            </w:rPr>
            <w:t xml:space="preserve">15.3.3    </w:t>
          </w:r>
          <w:r>
            <w:rPr>
              <w:spacing w:val="-1"/>
              <w:sz w:val="18"/>
              <w:szCs w:val="18"/>
            </w:rPr>
            <w:t>沟通协调</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364</w:t>
          </w:r>
          <w:r>
            <w:rPr>
              <w:rFonts w:ascii="Times New Roman" w:hAnsi="Times New Roman" w:eastAsia="Times New Roman" w:cs="Times New Roman"/>
              <w:spacing w:val="1"/>
              <w:sz w:val="18"/>
              <w:szCs w:val="18"/>
            </w:rPr>
            <w:fldChar w:fldCharType="end"/>
          </w:r>
        </w:p>
        <w:p w14:paraId="0500958A">
          <w:pPr>
            <w:spacing w:line="341" w:lineRule="auto"/>
            <w:rPr>
              <w:rFonts w:ascii="Arial"/>
              <w:sz w:val="21"/>
            </w:rPr>
          </w:pPr>
        </w:p>
        <w:p w14:paraId="3E8D0CF4">
          <w:pPr>
            <w:spacing w:line="341" w:lineRule="auto"/>
            <w:rPr>
              <w:rFonts w:ascii="Arial"/>
              <w:sz w:val="21"/>
            </w:rPr>
          </w:pPr>
        </w:p>
        <w:p w14:paraId="781DA045">
          <w:pPr>
            <w:pStyle w:val="2"/>
            <w:tabs>
              <w:tab w:val="right" w:leader="dot" w:pos="3922"/>
            </w:tabs>
            <w:spacing w:before="59" w:line="219" w:lineRule="auto"/>
            <w:rPr>
              <w:rFonts w:ascii="Times New Roman" w:hAnsi="Times New Roman" w:eastAsia="Times New Roman" w:cs="Times New Roman"/>
              <w:sz w:val="18"/>
              <w:szCs w:val="18"/>
            </w:rPr>
          </w:pPr>
          <w:bookmarkStart w:id="273" w:name="bookmark264"/>
          <w:bookmarkEnd w:id="273"/>
          <w:r>
            <w:fldChar w:fldCharType="begin"/>
          </w:r>
          <w:r>
            <w:instrText xml:space="preserve"> HYPERLINK \l "bookmark264" </w:instrText>
          </w:r>
          <w:r>
            <w:fldChar w:fldCharType="separate"/>
          </w:r>
          <w:r>
            <w:rPr>
              <w:rFonts w:ascii="Times New Roman" w:hAnsi="Times New Roman" w:eastAsia="Times New Roman" w:cs="Times New Roman"/>
              <w:spacing w:val="-3"/>
              <w:sz w:val="18"/>
              <w:szCs w:val="18"/>
            </w:rPr>
            <w:t>16.1</w:t>
          </w:r>
          <w:r>
            <w:rPr>
              <w:rFonts w:ascii="Times New Roman" w:hAnsi="Times New Roman" w:eastAsia="Times New Roman" w:cs="Times New Roman"/>
              <w:spacing w:val="18"/>
              <w:sz w:val="18"/>
              <w:szCs w:val="18"/>
            </w:rPr>
            <w:t xml:space="preserve">   </w:t>
          </w:r>
          <w:r>
            <w:rPr>
              <w:spacing w:val="-3"/>
              <w:sz w:val="18"/>
              <w:szCs w:val="18"/>
            </w:rPr>
            <w:t>项目及项目管理的重要性</w:t>
          </w:r>
          <w:r>
            <w:rPr>
              <w:spacing w:val="-51"/>
              <w:sz w:val="18"/>
              <w:szCs w:val="18"/>
            </w:rPr>
            <w:t xml:space="preserve"> </w:t>
          </w:r>
          <w:r>
            <w:rPr>
              <w:sz w:val="18"/>
              <w:szCs w:val="18"/>
            </w:rPr>
            <w:tab/>
          </w:r>
          <w:r>
            <w:rPr>
              <w:rFonts w:ascii="Times New Roman" w:hAnsi="Times New Roman" w:eastAsia="Times New Roman" w:cs="Times New Roman"/>
              <w:spacing w:val="1"/>
              <w:sz w:val="18"/>
              <w:szCs w:val="18"/>
            </w:rPr>
            <w:t>367</w:t>
          </w:r>
          <w:r>
            <w:rPr>
              <w:rFonts w:ascii="Times New Roman" w:hAnsi="Times New Roman" w:eastAsia="Times New Roman" w:cs="Times New Roman"/>
              <w:spacing w:val="1"/>
              <w:sz w:val="18"/>
              <w:szCs w:val="18"/>
            </w:rPr>
            <w:fldChar w:fldCharType="end"/>
          </w:r>
        </w:p>
        <w:p w14:paraId="449E4220">
          <w:pPr>
            <w:pStyle w:val="2"/>
            <w:tabs>
              <w:tab w:val="right" w:leader="dot" w:pos="3922"/>
            </w:tabs>
            <w:spacing w:before="107" w:line="220" w:lineRule="auto"/>
            <w:ind w:left="399"/>
            <w:rPr>
              <w:rFonts w:ascii="Times New Roman" w:hAnsi="Times New Roman" w:eastAsia="Times New Roman" w:cs="Times New Roman"/>
              <w:sz w:val="18"/>
              <w:szCs w:val="18"/>
            </w:rPr>
          </w:pPr>
          <w:bookmarkStart w:id="274" w:name="bookmark265"/>
          <w:bookmarkEnd w:id="274"/>
          <w:r>
            <w:fldChar w:fldCharType="begin"/>
          </w:r>
          <w:r>
            <w:instrText xml:space="preserve"> HYPERLINK \l "bookmark265" </w:instrText>
          </w:r>
          <w:r>
            <w:fldChar w:fldCharType="separate"/>
          </w:r>
          <w:r>
            <w:rPr>
              <w:rFonts w:ascii="Times New Roman" w:hAnsi="Times New Roman" w:eastAsia="Times New Roman" w:cs="Times New Roman"/>
              <w:spacing w:val="-4"/>
              <w:sz w:val="18"/>
              <w:szCs w:val="18"/>
            </w:rPr>
            <w:t>16.1.1</w:t>
          </w:r>
          <w:r>
            <w:rPr>
              <w:rFonts w:ascii="Times New Roman" w:hAnsi="Times New Roman" w:eastAsia="Times New Roman" w:cs="Times New Roman"/>
              <w:spacing w:val="4"/>
              <w:sz w:val="18"/>
              <w:szCs w:val="18"/>
            </w:rPr>
            <w:t xml:space="preserve">    </w:t>
          </w:r>
          <w:r>
            <w:rPr>
              <w:spacing w:val="-4"/>
              <w:sz w:val="18"/>
              <w:szCs w:val="18"/>
            </w:rPr>
            <w:t>项目基础</w:t>
          </w:r>
          <w:r>
            <w:rPr>
              <w:spacing w:val="-47"/>
              <w:sz w:val="18"/>
              <w:szCs w:val="18"/>
            </w:rPr>
            <w:t xml:space="preserve"> </w:t>
          </w:r>
          <w:r>
            <w:rPr>
              <w:sz w:val="18"/>
              <w:szCs w:val="18"/>
            </w:rPr>
            <w:tab/>
          </w:r>
          <w:r>
            <w:rPr>
              <w:rFonts w:ascii="Times New Roman" w:hAnsi="Times New Roman" w:eastAsia="Times New Roman" w:cs="Times New Roman"/>
              <w:spacing w:val="1"/>
              <w:sz w:val="18"/>
              <w:szCs w:val="18"/>
            </w:rPr>
            <w:t>367</w:t>
          </w:r>
          <w:r>
            <w:rPr>
              <w:rFonts w:ascii="Times New Roman" w:hAnsi="Times New Roman" w:eastAsia="Times New Roman" w:cs="Times New Roman"/>
              <w:spacing w:val="1"/>
              <w:sz w:val="18"/>
              <w:szCs w:val="18"/>
            </w:rPr>
            <w:fldChar w:fldCharType="end"/>
          </w:r>
        </w:p>
        <w:p w14:paraId="563683ED">
          <w:pPr>
            <w:pStyle w:val="2"/>
            <w:tabs>
              <w:tab w:val="right" w:leader="dot" w:pos="3912"/>
            </w:tabs>
            <w:spacing w:before="86" w:line="220" w:lineRule="auto"/>
            <w:ind w:left="399"/>
            <w:rPr>
              <w:rFonts w:ascii="Times New Roman" w:hAnsi="Times New Roman" w:eastAsia="Times New Roman" w:cs="Times New Roman"/>
              <w:sz w:val="18"/>
              <w:szCs w:val="18"/>
            </w:rPr>
          </w:pPr>
          <w:bookmarkStart w:id="275" w:name="bookmark266"/>
          <w:bookmarkEnd w:id="275"/>
          <w:r>
            <w:fldChar w:fldCharType="begin"/>
          </w:r>
          <w:r>
            <w:instrText xml:space="preserve"> HYPERLINK \l "bookmark266" </w:instrText>
          </w:r>
          <w:r>
            <w:fldChar w:fldCharType="separate"/>
          </w:r>
          <w:r>
            <w:rPr>
              <w:rFonts w:ascii="Times New Roman" w:hAnsi="Times New Roman" w:eastAsia="Times New Roman" w:cs="Times New Roman"/>
              <w:sz w:val="18"/>
              <w:szCs w:val="18"/>
            </w:rPr>
            <w:t xml:space="preserve">16.1.2    </w:t>
          </w:r>
          <w:r>
            <w:rPr>
              <w:sz w:val="18"/>
              <w:szCs w:val="18"/>
            </w:rPr>
            <w:t>项目成功的标准</w:t>
          </w:r>
          <w:r>
            <w:rPr>
              <w:spacing w:val="-61"/>
              <w:sz w:val="18"/>
              <w:szCs w:val="18"/>
            </w:rPr>
            <w:t xml:space="preserve"> </w:t>
          </w:r>
          <w:r>
            <w:rPr>
              <w:sz w:val="18"/>
              <w:szCs w:val="18"/>
            </w:rPr>
            <w:tab/>
          </w:r>
          <w:r>
            <w:rPr>
              <w:rFonts w:ascii="Times New Roman" w:hAnsi="Times New Roman" w:eastAsia="Times New Roman" w:cs="Times New Roman"/>
              <w:spacing w:val="1"/>
              <w:sz w:val="18"/>
              <w:szCs w:val="18"/>
            </w:rPr>
            <w:t>369</w:t>
          </w:r>
          <w:r>
            <w:rPr>
              <w:rFonts w:ascii="Times New Roman" w:hAnsi="Times New Roman" w:eastAsia="Times New Roman" w:cs="Times New Roman"/>
              <w:spacing w:val="1"/>
              <w:sz w:val="18"/>
              <w:szCs w:val="18"/>
            </w:rPr>
            <w:fldChar w:fldCharType="end"/>
          </w:r>
        </w:p>
        <w:p w14:paraId="66A464EF">
          <w:pPr>
            <w:pStyle w:val="2"/>
            <w:tabs>
              <w:tab w:val="right" w:leader="dot" w:pos="3922"/>
            </w:tabs>
            <w:spacing w:before="105" w:line="220" w:lineRule="auto"/>
            <w:rPr>
              <w:rFonts w:ascii="Times New Roman" w:hAnsi="Times New Roman" w:eastAsia="Times New Roman" w:cs="Times New Roman"/>
              <w:sz w:val="18"/>
              <w:szCs w:val="18"/>
            </w:rPr>
          </w:pPr>
          <w:bookmarkStart w:id="276" w:name="bookmark267"/>
          <w:bookmarkEnd w:id="276"/>
          <w:r>
            <w:fldChar w:fldCharType="begin"/>
          </w:r>
          <w:r>
            <w:instrText xml:space="preserve"> HYPERLINK \l "bookmark267" </w:instrText>
          </w:r>
          <w:r>
            <w:fldChar w:fldCharType="separate"/>
          </w:r>
          <w:r>
            <w:rPr>
              <w:rFonts w:ascii="Times New Roman" w:hAnsi="Times New Roman" w:eastAsia="Times New Roman" w:cs="Times New Roman"/>
              <w:spacing w:val="-3"/>
              <w:sz w:val="18"/>
              <w:szCs w:val="18"/>
            </w:rPr>
            <w:t xml:space="preserve">16.2    </w:t>
          </w:r>
          <w:r>
            <w:rPr>
              <w:spacing w:val="-3"/>
              <w:sz w:val="18"/>
              <w:szCs w:val="18"/>
            </w:rPr>
            <w:t>项目环境</w:t>
          </w:r>
          <w:r>
            <w:rPr>
              <w:spacing w:val="-51"/>
              <w:sz w:val="18"/>
              <w:szCs w:val="18"/>
            </w:rPr>
            <w:t xml:space="preserve"> </w:t>
          </w:r>
          <w:r>
            <w:rPr>
              <w:sz w:val="18"/>
              <w:szCs w:val="18"/>
            </w:rPr>
            <w:tab/>
          </w:r>
          <w:r>
            <w:rPr>
              <w:rFonts w:ascii="Times New Roman" w:hAnsi="Times New Roman" w:eastAsia="Times New Roman" w:cs="Times New Roman"/>
              <w:spacing w:val="1"/>
              <w:sz w:val="18"/>
              <w:szCs w:val="18"/>
            </w:rPr>
            <w:t>370</w:t>
          </w:r>
          <w:r>
            <w:rPr>
              <w:rFonts w:ascii="Times New Roman" w:hAnsi="Times New Roman" w:eastAsia="Times New Roman" w:cs="Times New Roman"/>
              <w:spacing w:val="1"/>
              <w:sz w:val="18"/>
              <w:szCs w:val="18"/>
            </w:rPr>
            <w:fldChar w:fldCharType="end"/>
          </w:r>
        </w:p>
        <w:p w14:paraId="552D56C8">
          <w:pPr>
            <w:pStyle w:val="2"/>
            <w:tabs>
              <w:tab w:val="right" w:leader="dot" w:pos="3912"/>
            </w:tabs>
            <w:spacing w:before="85" w:line="219" w:lineRule="auto"/>
            <w:rPr>
              <w:rFonts w:ascii="Times New Roman" w:hAnsi="Times New Roman" w:eastAsia="Times New Roman" w:cs="Times New Roman"/>
              <w:sz w:val="18"/>
              <w:szCs w:val="18"/>
            </w:rPr>
          </w:pPr>
          <w:bookmarkStart w:id="277" w:name="bookmark268"/>
          <w:bookmarkEnd w:id="277"/>
          <w:r>
            <w:fldChar w:fldCharType="begin"/>
          </w:r>
          <w:r>
            <w:instrText xml:space="preserve"> HYPERLINK \l "bookmark268" </w:instrText>
          </w:r>
          <w:r>
            <w:fldChar w:fldCharType="separate"/>
          </w:r>
          <w:r>
            <w:rPr>
              <w:rFonts w:ascii="Times New Roman" w:hAnsi="Times New Roman" w:eastAsia="Times New Roman" w:cs="Times New Roman"/>
              <w:spacing w:val="1"/>
              <w:sz w:val="18"/>
              <w:szCs w:val="18"/>
            </w:rPr>
            <w:t>16.3</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PMBOK</w:t>
          </w:r>
          <w:r>
            <w:rPr>
              <w:rFonts w:ascii="Times New Roman" w:hAnsi="Times New Roman" w:eastAsia="Times New Roman" w:cs="Times New Roman"/>
              <w:spacing w:val="1"/>
              <w:sz w:val="18"/>
              <w:szCs w:val="18"/>
            </w:rPr>
            <w:t xml:space="preserve"> </w:t>
          </w:r>
          <w:r>
            <w:rPr>
              <w:spacing w:val="1"/>
              <w:sz w:val="18"/>
              <w:szCs w:val="18"/>
            </w:rPr>
            <w:t>项目管理知识体系</w:t>
          </w:r>
          <w:r>
            <w:rPr>
              <w:spacing w:val="-77"/>
              <w:sz w:val="18"/>
              <w:szCs w:val="18"/>
            </w:rPr>
            <w:t xml:space="preserve"> </w:t>
          </w:r>
          <w:r>
            <w:rPr>
              <w:sz w:val="18"/>
              <w:szCs w:val="18"/>
            </w:rPr>
            <w:tab/>
          </w:r>
          <w:r>
            <w:rPr>
              <w:rFonts w:ascii="Times New Roman" w:hAnsi="Times New Roman" w:eastAsia="Times New Roman" w:cs="Times New Roman"/>
              <w:spacing w:val="1"/>
              <w:sz w:val="18"/>
              <w:szCs w:val="18"/>
            </w:rPr>
            <w:t>373</w:t>
          </w:r>
          <w:r>
            <w:rPr>
              <w:rFonts w:ascii="Times New Roman" w:hAnsi="Times New Roman" w:eastAsia="Times New Roman" w:cs="Times New Roman"/>
              <w:spacing w:val="1"/>
              <w:sz w:val="18"/>
              <w:szCs w:val="18"/>
            </w:rPr>
            <w:fldChar w:fldCharType="end"/>
          </w:r>
        </w:p>
      </w:sdtContent>
    </w:sdt>
    <w:p w14:paraId="0832E6BF">
      <w:pPr>
        <w:spacing w:line="14" w:lineRule="auto"/>
        <w:rPr>
          <w:rFonts w:ascii="Arial"/>
          <w:sz w:val="2"/>
        </w:rPr>
      </w:pPr>
      <w:r>
        <w:rPr>
          <w:rFonts w:ascii="Arial" w:hAnsi="Arial" w:eastAsia="Arial" w:cs="Arial"/>
          <w:sz w:val="2"/>
          <w:szCs w:val="2"/>
        </w:rPr>
        <w:br w:type="column"/>
      </w:r>
    </w:p>
    <w:sdt>
      <w:sdtPr>
        <w:rPr>
          <w:rFonts w:ascii="宋体" w:hAnsi="宋体" w:eastAsia="宋体" w:cs="宋体"/>
          <w:sz w:val="18"/>
          <w:szCs w:val="18"/>
        </w:rPr>
        <w:id w:val="147473704"/>
        <w:docPartObj>
          <w:docPartGallery w:val="Table of Contents"/>
          <w:docPartUnique/>
        </w:docPartObj>
      </w:sdtPr>
      <w:sdtEndPr>
        <w:rPr>
          <w:rFonts w:ascii="Times New Roman" w:hAnsi="Times New Roman" w:eastAsia="Times New Roman" w:cs="Times New Roman"/>
          <w:sz w:val="18"/>
          <w:szCs w:val="18"/>
        </w:rPr>
      </w:sdtEndPr>
      <w:sdtContent>
        <w:p w14:paraId="25992BD8">
          <w:pPr>
            <w:pStyle w:val="2"/>
            <w:jc w:val="right"/>
            <w:rPr>
              <w:rFonts w:ascii="Times New Roman" w:hAnsi="Times New Roman" w:eastAsia="Times New Roman" w:cs="Times New Roman"/>
              <w:sz w:val="25"/>
              <w:szCs w:val="25"/>
            </w:rPr>
          </w:pPr>
          <w:r>
            <w:rPr>
              <w:spacing w:val="-20"/>
              <w:sz w:val="18"/>
              <w:szCs w:val="18"/>
            </w:rPr>
            <w:t>目</w:t>
          </w:r>
          <w:r>
            <w:rPr>
              <w:spacing w:val="7"/>
              <w:sz w:val="18"/>
              <w:szCs w:val="18"/>
            </w:rPr>
            <w:t xml:space="preserve">  </w:t>
          </w:r>
          <w:r>
            <w:rPr>
              <w:spacing w:val="-20"/>
              <w:sz w:val="18"/>
              <w:szCs w:val="18"/>
            </w:rPr>
            <w:t>录</w:t>
          </w:r>
          <w:r>
            <w:rPr>
              <w:spacing w:val="78"/>
              <w:sz w:val="18"/>
              <w:szCs w:val="18"/>
            </w:rPr>
            <w:t xml:space="preserve"> </w:t>
          </w:r>
          <w:r>
            <w:rPr>
              <w:position w:val="-7"/>
              <w:sz w:val="18"/>
              <w:szCs w:val="18"/>
            </w:rPr>
            <w:drawing>
              <wp:inline distT="0" distB="0" distL="0" distR="0">
                <wp:extent cx="278765" cy="19558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3"/>
                        <a:stretch>
                          <a:fillRect/>
                        </a:stretch>
                      </pic:blipFill>
                      <pic:spPr>
                        <a:xfrm>
                          <a:off x="0" y="0"/>
                          <a:ext cx="279393" cy="195901"/>
                        </a:xfrm>
                        <a:prstGeom prst="rect">
                          <a:avLst/>
                        </a:prstGeom>
                      </pic:spPr>
                    </pic:pic>
                  </a:graphicData>
                </a:graphic>
              </wp:inline>
            </w:drawing>
          </w:r>
          <w:r>
            <w:rPr>
              <w:spacing w:val="-30"/>
              <w:sz w:val="18"/>
              <w:szCs w:val="18"/>
            </w:rPr>
            <w:t xml:space="preserve"> </w:t>
          </w:r>
          <w:r>
            <w:rPr>
              <w:rFonts w:ascii="Times New Roman" w:hAnsi="Times New Roman" w:eastAsia="Times New Roman" w:cs="Times New Roman"/>
              <w:spacing w:val="-19"/>
              <w:sz w:val="25"/>
              <w:szCs w:val="25"/>
            </w:rPr>
            <w:t>VI</w:t>
          </w:r>
          <w:r>
            <w:rPr>
              <w:rFonts w:ascii="Times New Roman" w:hAnsi="Times New Roman" w:eastAsia="Times New Roman" w:cs="Times New Roman"/>
              <w:spacing w:val="-7"/>
              <w:sz w:val="25"/>
              <w:szCs w:val="25"/>
            </w:rPr>
            <w:t>I</w:t>
          </w:r>
        </w:p>
        <w:p w14:paraId="66084DF1">
          <w:pPr>
            <w:spacing w:line="297" w:lineRule="auto"/>
            <w:rPr>
              <w:rFonts w:ascii="Arial"/>
              <w:sz w:val="21"/>
            </w:rPr>
          </w:pPr>
        </w:p>
        <w:p w14:paraId="5421B960">
          <w:pPr>
            <w:pStyle w:val="2"/>
            <w:tabs>
              <w:tab w:val="right" w:leader="dot" w:pos="3942"/>
            </w:tabs>
            <w:spacing w:before="59" w:line="220" w:lineRule="auto"/>
            <w:ind w:left="399"/>
            <w:rPr>
              <w:rFonts w:ascii="Times New Roman" w:hAnsi="Times New Roman" w:eastAsia="Times New Roman" w:cs="Times New Roman"/>
              <w:sz w:val="18"/>
              <w:szCs w:val="18"/>
            </w:rPr>
          </w:pPr>
          <w:bookmarkStart w:id="278" w:name="bookmark269"/>
          <w:bookmarkEnd w:id="278"/>
          <w:r>
            <w:fldChar w:fldCharType="begin"/>
          </w:r>
          <w:r>
            <w:instrText xml:space="preserve"> HYPERLINK \l "bookmark269" </w:instrText>
          </w:r>
          <w:r>
            <w:fldChar w:fldCharType="separate"/>
          </w:r>
          <w:r>
            <w:rPr>
              <w:rFonts w:ascii="Times New Roman" w:hAnsi="Times New Roman" w:eastAsia="Times New Roman" w:cs="Times New Roman"/>
              <w:spacing w:val="-1"/>
              <w:sz w:val="18"/>
              <w:szCs w:val="18"/>
            </w:rPr>
            <w:t>16.3.1</w:t>
          </w:r>
          <w:r>
            <w:rPr>
              <w:rFonts w:ascii="Times New Roman" w:hAnsi="Times New Roman" w:eastAsia="Times New Roman" w:cs="Times New Roman"/>
              <w:spacing w:val="12"/>
              <w:w w:val="101"/>
              <w:sz w:val="18"/>
              <w:szCs w:val="18"/>
            </w:rPr>
            <w:t xml:space="preserve">   </w:t>
          </w:r>
          <w:r>
            <w:rPr>
              <w:spacing w:val="-1"/>
              <w:sz w:val="18"/>
              <w:szCs w:val="18"/>
            </w:rPr>
            <w:t>项目生命周期和项目阶段</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374</w:t>
          </w:r>
          <w:r>
            <w:rPr>
              <w:rFonts w:ascii="Times New Roman" w:hAnsi="Times New Roman" w:eastAsia="Times New Roman" w:cs="Times New Roman"/>
              <w:spacing w:val="1"/>
              <w:sz w:val="18"/>
              <w:szCs w:val="18"/>
            </w:rPr>
            <w:fldChar w:fldCharType="end"/>
          </w:r>
        </w:p>
        <w:p w14:paraId="1ACF53F8">
          <w:pPr>
            <w:pStyle w:val="2"/>
            <w:tabs>
              <w:tab w:val="right" w:leader="dot" w:pos="3942"/>
            </w:tabs>
            <w:spacing w:before="95" w:line="219" w:lineRule="auto"/>
            <w:ind w:left="399"/>
            <w:rPr>
              <w:rFonts w:ascii="Times New Roman" w:hAnsi="Times New Roman" w:eastAsia="Times New Roman" w:cs="Times New Roman"/>
              <w:sz w:val="18"/>
              <w:szCs w:val="18"/>
            </w:rPr>
          </w:pPr>
          <w:bookmarkStart w:id="279" w:name="bookmark270"/>
          <w:bookmarkEnd w:id="279"/>
          <w:r>
            <w:fldChar w:fldCharType="begin"/>
          </w:r>
          <w:r>
            <w:instrText xml:space="preserve"> HYPERLINK \l "bookmark270" </w:instrText>
          </w:r>
          <w:r>
            <w:fldChar w:fldCharType="separate"/>
          </w:r>
          <w:r>
            <w:rPr>
              <w:rFonts w:ascii="Times New Roman" w:hAnsi="Times New Roman" w:eastAsia="Times New Roman" w:cs="Times New Roman"/>
              <w:sz w:val="18"/>
              <w:szCs w:val="18"/>
            </w:rPr>
            <w:t xml:space="preserve">16.3.2    </w:t>
          </w:r>
          <w:r>
            <w:rPr>
              <w:sz w:val="18"/>
              <w:szCs w:val="18"/>
            </w:rPr>
            <w:t>项目管理过程组</w:t>
          </w:r>
          <w:r>
            <w:rPr>
              <w:spacing w:val="-62"/>
              <w:sz w:val="18"/>
              <w:szCs w:val="18"/>
            </w:rPr>
            <w:t xml:space="preserve"> </w:t>
          </w:r>
          <w:r>
            <w:rPr>
              <w:sz w:val="18"/>
              <w:szCs w:val="18"/>
            </w:rPr>
            <w:tab/>
          </w:r>
          <w:r>
            <w:rPr>
              <w:rFonts w:ascii="Times New Roman" w:hAnsi="Times New Roman" w:eastAsia="Times New Roman" w:cs="Times New Roman"/>
              <w:spacing w:val="1"/>
              <w:sz w:val="18"/>
              <w:szCs w:val="18"/>
            </w:rPr>
            <w:t>377</w:t>
          </w:r>
          <w:r>
            <w:rPr>
              <w:rFonts w:ascii="Times New Roman" w:hAnsi="Times New Roman" w:eastAsia="Times New Roman" w:cs="Times New Roman"/>
              <w:spacing w:val="1"/>
              <w:sz w:val="18"/>
              <w:szCs w:val="18"/>
            </w:rPr>
            <w:fldChar w:fldCharType="end"/>
          </w:r>
        </w:p>
        <w:p w14:paraId="203B366D">
          <w:pPr>
            <w:pStyle w:val="2"/>
            <w:tabs>
              <w:tab w:val="right" w:leader="dot" w:pos="3942"/>
            </w:tabs>
            <w:spacing w:before="96" w:line="219" w:lineRule="auto"/>
            <w:ind w:left="399"/>
            <w:rPr>
              <w:rFonts w:ascii="Times New Roman" w:hAnsi="Times New Roman" w:eastAsia="Times New Roman" w:cs="Times New Roman"/>
              <w:sz w:val="18"/>
              <w:szCs w:val="18"/>
            </w:rPr>
          </w:pPr>
          <w:bookmarkStart w:id="280" w:name="bookmark271"/>
          <w:bookmarkEnd w:id="280"/>
          <w:r>
            <w:fldChar w:fldCharType="begin"/>
          </w:r>
          <w:r>
            <w:instrText xml:space="preserve"> HYPERLINK \l "bookmark271" </w:instrText>
          </w:r>
          <w:r>
            <w:fldChar w:fldCharType="separate"/>
          </w:r>
          <w:r>
            <w:rPr>
              <w:rFonts w:ascii="Times New Roman" w:hAnsi="Times New Roman" w:eastAsia="Times New Roman" w:cs="Times New Roman"/>
              <w:sz w:val="18"/>
              <w:szCs w:val="18"/>
            </w:rPr>
            <w:t xml:space="preserve">16.3.3    </w:t>
          </w:r>
          <w:r>
            <w:rPr>
              <w:sz w:val="18"/>
              <w:szCs w:val="18"/>
            </w:rPr>
            <w:t>项目管理原则</w:t>
          </w:r>
          <w:r>
            <w:rPr>
              <w:spacing w:val="-72"/>
              <w:sz w:val="18"/>
              <w:szCs w:val="18"/>
            </w:rPr>
            <w:t xml:space="preserve"> </w:t>
          </w:r>
          <w:r>
            <w:rPr>
              <w:sz w:val="18"/>
              <w:szCs w:val="18"/>
            </w:rPr>
            <w:tab/>
          </w:r>
          <w:r>
            <w:rPr>
              <w:rFonts w:ascii="Times New Roman" w:hAnsi="Times New Roman" w:eastAsia="Times New Roman" w:cs="Times New Roman"/>
              <w:spacing w:val="1"/>
              <w:sz w:val="18"/>
              <w:szCs w:val="18"/>
            </w:rPr>
            <w:t>379</w:t>
          </w:r>
          <w:r>
            <w:rPr>
              <w:rFonts w:ascii="Times New Roman" w:hAnsi="Times New Roman" w:eastAsia="Times New Roman" w:cs="Times New Roman"/>
              <w:spacing w:val="1"/>
              <w:sz w:val="18"/>
              <w:szCs w:val="18"/>
            </w:rPr>
            <w:fldChar w:fldCharType="end"/>
          </w:r>
        </w:p>
        <w:p w14:paraId="57D03291">
          <w:pPr>
            <w:pStyle w:val="2"/>
            <w:tabs>
              <w:tab w:val="right" w:leader="dot" w:pos="3942"/>
            </w:tabs>
            <w:spacing w:before="106" w:line="219" w:lineRule="auto"/>
            <w:ind w:left="399"/>
            <w:rPr>
              <w:rFonts w:ascii="Times New Roman" w:hAnsi="Times New Roman" w:eastAsia="Times New Roman" w:cs="Times New Roman"/>
              <w:sz w:val="18"/>
              <w:szCs w:val="18"/>
            </w:rPr>
          </w:pPr>
          <w:bookmarkStart w:id="281" w:name="bookmark272"/>
          <w:bookmarkEnd w:id="281"/>
          <w:r>
            <w:fldChar w:fldCharType="begin"/>
          </w:r>
          <w:r>
            <w:instrText xml:space="preserve"> HYPERLINK \l "bookmark272" </w:instrText>
          </w:r>
          <w:r>
            <w:fldChar w:fldCharType="separate"/>
          </w:r>
          <w:r>
            <w:rPr>
              <w:rFonts w:ascii="Times New Roman" w:hAnsi="Times New Roman" w:eastAsia="Times New Roman" w:cs="Times New Roman"/>
              <w:spacing w:val="-1"/>
              <w:sz w:val="18"/>
              <w:szCs w:val="18"/>
            </w:rPr>
            <w:t>16.3.4</w:t>
          </w:r>
          <w:r>
            <w:rPr>
              <w:rFonts w:ascii="Times New Roman" w:hAnsi="Times New Roman" w:eastAsia="Times New Roman" w:cs="Times New Roman"/>
              <w:spacing w:val="11"/>
              <w:w w:val="101"/>
              <w:sz w:val="18"/>
              <w:szCs w:val="18"/>
            </w:rPr>
            <w:t xml:space="preserve">   </w:t>
          </w:r>
          <w:r>
            <w:rPr>
              <w:spacing w:val="-1"/>
              <w:sz w:val="18"/>
              <w:szCs w:val="18"/>
            </w:rPr>
            <w:t>项目管理知识领域</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380</w:t>
          </w:r>
          <w:r>
            <w:rPr>
              <w:rFonts w:ascii="Times New Roman" w:hAnsi="Times New Roman" w:eastAsia="Times New Roman" w:cs="Times New Roman"/>
              <w:spacing w:val="1"/>
              <w:sz w:val="18"/>
              <w:szCs w:val="18"/>
            </w:rPr>
            <w:fldChar w:fldCharType="end"/>
          </w:r>
        </w:p>
        <w:p w14:paraId="07E3B08E">
          <w:pPr>
            <w:pStyle w:val="2"/>
            <w:tabs>
              <w:tab w:val="right" w:leader="dot" w:pos="3932"/>
            </w:tabs>
            <w:spacing w:before="96" w:line="219" w:lineRule="auto"/>
            <w:rPr>
              <w:rFonts w:ascii="Times New Roman" w:hAnsi="Times New Roman" w:eastAsia="Times New Roman" w:cs="Times New Roman"/>
              <w:sz w:val="18"/>
              <w:szCs w:val="18"/>
            </w:rPr>
          </w:pPr>
          <w:bookmarkStart w:id="282" w:name="bookmark273"/>
          <w:bookmarkEnd w:id="282"/>
          <w:r>
            <w:fldChar w:fldCharType="begin"/>
          </w:r>
          <w:r>
            <w:instrText xml:space="preserve"> HYPERLINK \l "bookmark273" </w:instrText>
          </w:r>
          <w:r>
            <w:fldChar w:fldCharType="separate"/>
          </w:r>
          <w:r>
            <w:rPr>
              <w:rFonts w:ascii="Times New Roman" w:hAnsi="Times New Roman" w:eastAsia="Times New Roman" w:cs="Times New Roman"/>
              <w:sz w:val="18"/>
              <w:szCs w:val="18"/>
            </w:rPr>
            <w:t xml:space="preserve">16.4    </w:t>
          </w:r>
          <w:r>
            <w:rPr>
              <w:sz w:val="18"/>
              <w:szCs w:val="18"/>
            </w:rPr>
            <w:t>项目管理与监理工作的关系</w:t>
          </w:r>
          <w:r>
            <w:rPr>
              <w:spacing w:val="-77"/>
              <w:sz w:val="18"/>
              <w:szCs w:val="18"/>
            </w:rPr>
            <w:t xml:space="preserve"> </w:t>
          </w:r>
          <w:r>
            <w:rPr>
              <w:sz w:val="18"/>
              <w:szCs w:val="18"/>
            </w:rPr>
            <w:tab/>
          </w:r>
          <w:r>
            <w:rPr>
              <w:rFonts w:ascii="Times New Roman" w:hAnsi="Times New Roman" w:eastAsia="Times New Roman" w:cs="Times New Roman"/>
              <w:spacing w:val="1"/>
              <w:sz w:val="18"/>
              <w:szCs w:val="18"/>
            </w:rPr>
            <w:t>382</w:t>
          </w:r>
          <w:r>
            <w:rPr>
              <w:rFonts w:ascii="Times New Roman" w:hAnsi="Times New Roman" w:eastAsia="Times New Roman" w:cs="Times New Roman"/>
              <w:spacing w:val="1"/>
              <w:sz w:val="18"/>
              <w:szCs w:val="18"/>
            </w:rPr>
            <w:fldChar w:fldCharType="end"/>
          </w:r>
        </w:p>
        <w:p w14:paraId="710BBE08">
          <w:pPr>
            <w:spacing w:line="346" w:lineRule="auto"/>
            <w:rPr>
              <w:rFonts w:ascii="Arial"/>
              <w:sz w:val="21"/>
            </w:rPr>
          </w:pPr>
        </w:p>
        <w:p w14:paraId="50C70C8A">
          <w:pPr>
            <w:spacing w:line="347" w:lineRule="auto"/>
            <w:rPr>
              <w:rFonts w:ascii="Arial"/>
              <w:sz w:val="21"/>
            </w:rPr>
          </w:pPr>
        </w:p>
        <w:p w14:paraId="70D7B9CE">
          <w:pPr>
            <w:pStyle w:val="2"/>
            <w:tabs>
              <w:tab w:val="right" w:leader="dot" w:pos="3952"/>
            </w:tabs>
            <w:spacing w:before="59" w:line="219" w:lineRule="auto"/>
            <w:rPr>
              <w:rFonts w:ascii="Times New Roman" w:hAnsi="Times New Roman" w:eastAsia="Times New Roman" w:cs="Times New Roman"/>
              <w:sz w:val="18"/>
              <w:szCs w:val="18"/>
            </w:rPr>
          </w:pPr>
          <w:bookmarkStart w:id="283" w:name="bookmark274"/>
          <w:bookmarkEnd w:id="283"/>
          <w:r>
            <w:fldChar w:fldCharType="begin"/>
          </w:r>
          <w:r>
            <w:instrText xml:space="preserve"> HYPERLINK \l "bookmark274" </w:instrText>
          </w:r>
          <w:r>
            <w:fldChar w:fldCharType="separate"/>
          </w:r>
          <w:r>
            <w:rPr>
              <w:rFonts w:ascii="Times New Roman" w:hAnsi="Times New Roman" w:eastAsia="Times New Roman" w:cs="Times New Roman"/>
              <w:spacing w:val="-1"/>
              <w:sz w:val="18"/>
              <w:szCs w:val="18"/>
            </w:rPr>
            <w:t>17.1</w:t>
          </w:r>
          <w:r>
            <w:rPr>
              <w:rFonts w:ascii="Times New Roman" w:hAnsi="Times New Roman" w:eastAsia="Times New Roman" w:cs="Times New Roman"/>
              <w:spacing w:val="12"/>
              <w:sz w:val="18"/>
              <w:szCs w:val="18"/>
            </w:rPr>
            <w:t xml:space="preserve">   </w:t>
          </w:r>
          <w:r>
            <w:rPr>
              <w:spacing w:val="-1"/>
              <w:sz w:val="18"/>
              <w:szCs w:val="18"/>
            </w:rPr>
            <w:t>工程变更概述</w:t>
          </w:r>
          <w:r>
            <w:rPr>
              <w:spacing w:val="-68"/>
              <w:sz w:val="18"/>
              <w:szCs w:val="18"/>
            </w:rPr>
            <w:t xml:space="preserve"> </w:t>
          </w:r>
          <w:r>
            <w:rPr>
              <w:sz w:val="18"/>
              <w:szCs w:val="18"/>
            </w:rPr>
            <w:tab/>
          </w:r>
          <w:r>
            <w:rPr>
              <w:rFonts w:ascii="Times New Roman" w:hAnsi="Times New Roman" w:eastAsia="Times New Roman" w:cs="Times New Roman"/>
              <w:spacing w:val="1"/>
              <w:sz w:val="18"/>
              <w:szCs w:val="18"/>
            </w:rPr>
            <w:t>383</w:t>
          </w:r>
          <w:r>
            <w:rPr>
              <w:rFonts w:ascii="Times New Roman" w:hAnsi="Times New Roman" w:eastAsia="Times New Roman" w:cs="Times New Roman"/>
              <w:spacing w:val="1"/>
              <w:sz w:val="18"/>
              <w:szCs w:val="18"/>
            </w:rPr>
            <w:fldChar w:fldCharType="end"/>
          </w:r>
        </w:p>
        <w:p w14:paraId="71F8895D">
          <w:pPr>
            <w:pStyle w:val="2"/>
            <w:tabs>
              <w:tab w:val="right" w:leader="dot" w:pos="3942"/>
            </w:tabs>
            <w:spacing w:before="106" w:line="220" w:lineRule="auto"/>
            <w:ind w:left="399"/>
            <w:rPr>
              <w:rFonts w:ascii="Times New Roman" w:hAnsi="Times New Roman" w:eastAsia="Times New Roman" w:cs="Times New Roman"/>
              <w:sz w:val="18"/>
              <w:szCs w:val="18"/>
            </w:rPr>
          </w:pPr>
          <w:bookmarkStart w:id="284" w:name="bookmark275"/>
          <w:bookmarkEnd w:id="284"/>
          <w:r>
            <w:fldChar w:fldCharType="begin"/>
          </w:r>
          <w:r>
            <w:instrText xml:space="preserve"> HYPERLINK \l "bookmark275" </w:instrText>
          </w:r>
          <w:r>
            <w:fldChar w:fldCharType="separate"/>
          </w:r>
          <w:r>
            <w:rPr>
              <w:rFonts w:ascii="Times New Roman" w:hAnsi="Times New Roman" w:eastAsia="Times New Roman" w:cs="Times New Roman"/>
              <w:spacing w:val="-3"/>
              <w:sz w:val="18"/>
              <w:szCs w:val="18"/>
            </w:rPr>
            <w:t>17.1.1</w:t>
          </w:r>
          <w:r>
            <w:rPr>
              <w:rFonts w:ascii="Times New Roman" w:hAnsi="Times New Roman" w:eastAsia="Times New Roman" w:cs="Times New Roman"/>
              <w:spacing w:val="7"/>
              <w:sz w:val="18"/>
              <w:szCs w:val="18"/>
            </w:rPr>
            <w:t xml:space="preserve">    </w:t>
          </w:r>
          <w:r>
            <w:rPr>
              <w:spacing w:val="-3"/>
              <w:sz w:val="18"/>
              <w:szCs w:val="18"/>
            </w:rPr>
            <w:t>工程变更的原因</w:t>
          </w:r>
          <w:r>
            <w:rPr>
              <w:spacing w:val="-61"/>
              <w:sz w:val="18"/>
              <w:szCs w:val="18"/>
            </w:rPr>
            <w:t xml:space="preserve"> </w:t>
          </w:r>
          <w:r>
            <w:rPr>
              <w:sz w:val="18"/>
              <w:szCs w:val="18"/>
            </w:rPr>
            <w:tab/>
          </w:r>
          <w:r>
            <w:rPr>
              <w:rFonts w:ascii="Times New Roman" w:hAnsi="Times New Roman" w:eastAsia="Times New Roman" w:cs="Times New Roman"/>
              <w:spacing w:val="1"/>
              <w:sz w:val="18"/>
              <w:szCs w:val="18"/>
            </w:rPr>
            <w:t>383</w:t>
          </w:r>
          <w:r>
            <w:rPr>
              <w:rFonts w:ascii="Times New Roman" w:hAnsi="Times New Roman" w:eastAsia="Times New Roman" w:cs="Times New Roman"/>
              <w:spacing w:val="1"/>
              <w:sz w:val="18"/>
              <w:szCs w:val="18"/>
            </w:rPr>
            <w:fldChar w:fldCharType="end"/>
          </w:r>
        </w:p>
        <w:p w14:paraId="751E11E8">
          <w:pPr>
            <w:pStyle w:val="2"/>
            <w:tabs>
              <w:tab w:val="right" w:leader="dot" w:pos="3932"/>
            </w:tabs>
            <w:spacing w:before="96" w:line="220" w:lineRule="auto"/>
            <w:ind w:left="399"/>
            <w:rPr>
              <w:rFonts w:ascii="Times New Roman" w:hAnsi="Times New Roman" w:eastAsia="Times New Roman" w:cs="Times New Roman"/>
              <w:sz w:val="18"/>
              <w:szCs w:val="18"/>
            </w:rPr>
          </w:pPr>
          <w:bookmarkStart w:id="285" w:name="bookmark276"/>
          <w:bookmarkEnd w:id="285"/>
          <w:r>
            <w:fldChar w:fldCharType="begin"/>
          </w:r>
          <w:r>
            <w:instrText xml:space="preserve"> HYPERLINK \l "bookmark276" </w:instrText>
          </w:r>
          <w:r>
            <w:fldChar w:fldCharType="separate"/>
          </w:r>
          <w:r>
            <w:rPr>
              <w:rFonts w:ascii="Times New Roman" w:hAnsi="Times New Roman" w:eastAsia="Times New Roman" w:cs="Times New Roman"/>
              <w:sz w:val="18"/>
              <w:szCs w:val="18"/>
            </w:rPr>
            <w:t xml:space="preserve">17.1.2    </w:t>
          </w:r>
          <w:r>
            <w:rPr>
              <w:sz w:val="18"/>
              <w:szCs w:val="18"/>
            </w:rPr>
            <w:t>工程变更的影响</w:t>
          </w:r>
          <w:r>
            <w:rPr>
              <w:spacing w:val="-62"/>
              <w:sz w:val="18"/>
              <w:szCs w:val="18"/>
            </w:rPr>
            <w:t xml:space="preserve"> </w:t>
          </w:r>
          <w:r>
            <w:rPr>
              <w:sz w:val="18"/>
              <w:szCs w:val="18"/>
            </w:rPr>
            <w:tab/>
          </w:r>
          <w:r>
            <w:rPr>
              <w:rFonts w:ascii="Times New Roman" w:hAnsi="Times New Roman" w:eastAsia="Times New Roman" w:cs="Times New Roman"/>
              <w:spacing w:val="1"/>
              <w:sz w:val="18"/>
              <w:szCs w:val="18"/>
            </w:rPr>
            <w:t>384</w:t>
          </w:r>
          <w:r>
            <w:rPr>
              <w:rFonts w:ascii="Times New Roman" w:hAnsi="Times New Roman" w:eastAsia="Times New Roman" w:cs="Times New Roman"/>
              <w:spacing w:val="1"/>
              <w:sz w:val="18"/>
              <w:szCs w:val="18"/>
            </w:rPr>
            <w:fldChar w:fldCharType="end"/>
          </w:r>
        </w:p>
        <w:p w14:paraId="66E1FF2A">
          <w:pPr>
            <w:pStyle w:val="2"/>
            <w:tabs>
              <w:tab w:val="right" w:leader="dot" w:pos="3942"/>
            </w:tabs>
            <w:spacing w:before="95" w:line="219" w:lineRule="auto"/>
            <w:ind w:left="399"/>
            <w:rPr>
              <w:rFonts w:ascii="Times New Roman" w:hAnsi="Times New Roman" w:eastAsia="Times New Roman" w:cs="Times New Roman"/>
              <w:sz w:val="18"/>
              <w:szCs w:val="18"/>
            </w:rPr>
          </w:pPr>
          <w:bookmarkStart w:id="286" w:name="bookmark277"/>
          <w:bookmarkEnd w:id="286"/>
          <w:r>
            <w:fldChar w:fldCharType="begin"/>
          </w:r>
          <w:r>
            <w:instrText xml:space="preserve"> HYPERLINK \l "bookmark277" </w:instrText>
          </w:r>
          <w:r>
            <w:fldChar w:fldCharType="separate"/>
          </w:r>
          <w:r>
            <w:rPr>
              <w:rFonts w:ascii="Times New Roman" w:hAnsi="Times New Roman" w:eastAsia="Times New Roman" w:cs="Times New Roman"/>
              <w:sz w:val="18"/>
              <w:szCs w:val="18"/>
            </w:rPr>
            <w:t xml:space="preserve">17.1.3    </w:t>
          </w:r>
          <w:r>
            <w:rPr>
              <w:sz w:val="18"/>
              <w:szCs w:val="18"/>
            </w:rPr>
            <w:t>工程变更的分类</w:t>
          </w:r>
          <w:r>
            <w:rPr>
              <w:spacing w:val="-62"/>
              <w:sz w:val="18"/>
              <w:szCs w:val="18"/>
            </w:rPr>
            <w:t xml:space="preserve"> </w:t>
          </w:r>
          <w:r>
            <w:rPr>
              <w:sz w:val="18"/>
              <w:szCs w:val="18"/>
            </w:rPr>
            <w:tab/>
          </w:r>
          <w:r>
            <w:rPr>
              <w:rFonts w:ascii="Times New Roman" w:hAnsi="Times New Roman" w:eastAsia="Times New Roman" w:cs="Times New Roman"/>
              <w:spacing w:val="1"/>
              <w:sz w:val="18"/>
              <w:szCs w:val="18"/>
            </w:rPr>
            <w:t>384</w:t>
          </w:r>
          <w:r>
            <w:rPr>
              <w:rFonts w:ascii="Times New Roman" w:hAnsi="Times New Roman" w:eastAsia="Times New Roman" w:cs="Times New Roman"/>
              <w:spacing w:val="1"/>
              <w:sz w:val="18"/>
              <w:szCs w:val="18"/>
            </w:rPr>
            <w:fldChar w:fldCharType="end"/>
          </w:r>
        </w:p>
        <w:p w14:paraId="7965974C">
          <w:pPr>
            <w:pStyle w:val="2"/>
            <w:tabs>
              <w:tab w:val="right" w:leader="dot" w:pos="3952"/>
            </w:tabs>
            <w:spacing w:before="97" w:line="220" w:lineRule="auto"/>
            <w:rPr>
              <w:rFonts w:ascii="Times New Roman" w:hAnsi="Times New Roman" w:eastAsia="Times New Roman" w:cs="Times New Roman"/>
              <w:sz w:val="18"/>
              <w:szCs w:val="18"/>
            </w:rPr>
          </w:pPr>
          <w:bookmarkStart w:id="287" w:name="bookmark278"/>
          <w:bookmarkEnd w:id="287"/>
          <w:r>
            <w:fldChar w:fldCharType="begin"/>
          </w:r>
          <w:r>
            <w:instrText xml:space="preserve"> HYPERLINK \l "bookmark278" </w:instrText>
          </w:r>
          <w:r>
            <w:fldChar w:fldCharType="separate"/>
          </w:r>
          <w:r>
            <w:rPr>
              <w:rFonts w:ascii="Times New Roman" w:hAnsi="Times New Roman" w:eastAsia="Times New Roman" w:cs="Times New Roman"/>
              <w:sz w:val="18"/>
              <w:szCs w:val="18"/>
            </w:rPr>
            <w:t>17.2</w:t>
          </w:r>
          <w:r>
            <w:rPr>
              <w:rFonts w:ascii="Times New Roman" w:hAnsi="Times New Roman" w:eastAsia="Times New Roman" w:cs="Times New Roman"/>
              <w:spacing w:val="15"/>
              <w:sz w:val="18"/>
              <w:szCs w:val="18"/>
            </w:rPr>
            <w:t xml:space="preserve">   </w:t>
          </w:r>
          <w:r>
            <w:rPr>
              <w:sz w:val="18"/>
              <w:szCs w:val="18"/>
            </w:rPr>
            <w:t>变更控制原则</w:t>
          </w:r>
          <w:r>
            <w:rPr>
              <w:spacing w:val="-77"/>
              <w:sz w:val="18"/>
              <w:szCs w:val="18"/>
            </w:rPr>
            <w:t xml:space="preserve"> </w:t>
          </w:r>
          <w:r>
            <w:rPr>
              <w:sz w:val="18"/>
              <w:szCs w:val="18"/>
            </w:rPr>
            <w:tab/>
          </w:r>
          <w:r>
            <w:rPr>
              <w:rFonts w:ascii="Times New Roman" w:hAnsi="Times New Roman" w:eastAsia="Times New Roman" w:cs="Times New Roman"/>
              <w:spacing w:val="1"/>
              <w:sz w:val="18"/>
              <w:szCs w:val="18"/>
            </w:rPr>
            <w:t>385</w:t>
          </w:r>
          <w:r>
            <w:rPr>
              <w:rFonts w:ascii="Times New Roman" w:hAnsi="Times New Roman" w:eastAsia="Times New Roman" w:cs="Times New Roman"/>
              <w:spacing w:val="1"/>
              <w:sz w:val="18"/>
              <w:szCs w:val="18"/>
            </w:rPr>
            <w:fldChar w:fldCharType="end"/>
          </w:r>
        </w:p>
        <w:p w14:paraId="2E06934E">
          <w:pPr>
            <w:pStyle w:val="2"/>
            <w:tabs>
              <w:tab w:val="right" w:leader="dot" w:pos="3942"/>
            </w:tabs>
            <w:spacing w:before="105" w:line="220" w:lineRule="auto"/>
            <w:rPr>
              <w:rFonts w:ascii="Times New Roman" w:hAnsi="Times New Roman" w:eastAsia="Times New Roman" w:cs="Times New Roman"/>
              <w:sz w:val="18"/>
              <w:szCs w:val="18"/>
            </w:rPr>
          </w:pPr>
          <w:bookmarkStart w:id="288" w:name="bookmark279"/>
          <w:bookmarkEnd w:id="288"/>
          <w:r>
            <w:fldChar w:fldCharType="begin"/>
          </w:r>
          <w:r>
            <w:instrText xml:space="preserve"> HYPERLINK \l "bookmark279" </w:instrText>
          </w:r>
          <w:r>
            <w:fldChar w:fldCharType="separate"/>
          </w:r>
          <w:r>
            <w:rPr>
              <w:rFonts w:ascii="Times New Roman" w:hAnsi="Times New Roman" w:eastAsia="Times New Roman" w:cs="Times New Roman"/>
              <w:sz w:val="18"/>
              <w:szCs w:val="18"/>
            </w:rPr>
            <w:t>17.3</w:t>
          </w:r>
          <w:r>
            <w:rPr>
              <w:rFonts w:ascii="Times New Roman" w:hAnsi="Times New Roman" w:eastAsia="Times New Roman" w:cs="Times New Roman"/>
              <w:spacing w:val="15"/>
              <w:sz w:val="18"/>
              <w:szCs w:val="18"/>
            </w:rPr>
            <w:t xml:space="preserve">   </w:t>
          </w:r>
          <w:r>
            <w:rPr>
              <w:sz w:val="18"/>
              <w:szCs w:val="18"/>
            </w:rPr>
            <w:t>变更控制方法</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386</w:t>
          </w:r>
          <w:r>
            <w:rPr>
              <w:rFonts w:ascii="Times New Roman" w:hAnsi="Times New Roman" w:eastAsia="Times New Roman" w:cs="Times New Roman"/>
              <w:spacing w:val="1"/>
              <w:sz w:val="18"/>
              <w:szCs w:val="18"/>
            </w:rPr>
            <w:fldChar w:fldCharType="end"/>
          </w:r>
        </w:p>
        <w:p w14:paraId="632E9A9D">
          <w:pPr>
            <w:pStyle w:val="2"/>
            <w:tabs>
              <w:tab w:val="right" w:leader="dot" w:pos="3942"/>
            </w:tabs>
            <w:spacing w:before="96" w:line="220" w:lineRule="auto"/>
            <w:ind w:left="399"/>
            <w:rPr>
              <w:rFonts w:ascii="Times New Roman" w:hAnsi="Times New Roman" w:eastAsia="Times New Roman" w:cs="Times New Roman"/>
              <w:sz w:val="18"/>
              <w:szCs w:val="18"/>
            </w:rPr>
          </w:pPr>
          <w:bookmarkStart w:id="289" w:name="bookmark280"/>
          <w:bookmarkEnd w:id="289"/>
          <w:r>
            <w:fldChar w:fldCharType="begin"/>
          </w:r>
          <w:r>
            <w:instrText xml:space="preserve"> HYPERLINK \l "bookmark280" </w:instrText>
          </w:r>
          <w:r>
            <w:fldChar w:fldCharType="separate"/>
          </w:r>
          <w:r>
            <w:rPr>
              <w:rFonts w:ascii="Times New Roman" w:hAnsi="Times New Roman" w:eastAsia="Times New Roman" w:cs="Times New Roman"/>
              <w:sz w:val="18"/>
              <w:szCs w:val="18"/>
            </w:rPr>
            <w:t xml:space="preserve">17.3.1    </w:t>
          </w:r>
          <w:r>
            <w:rPr>
              <w:sz w:val="18"/>
              <w:szCs w:val="18"/>
            </w:rPr>
            <w:t>变更控制程序</w:t>
          </w:r>
          <w:r>
            <w:rPr>
              <w:spacing w:val="-71"/>
              <w:sz w:val="18"/>
              <w:szCs w:val="18"/>
            </w:rPr>
            <w:t xml:space="preserve"> </w:t>
          </w:r>
          <w:r>
            <w:rPr>
              <w:sz w:val="18"/>
              <w:szCs w:val="18"/>
            </w:rPr>
            <w:tab/>
          </w:r>
          <w:r>
            <w:rPr>
              <w:rFonts w:ascii="Times New Roman" w:hAnsi="Times New Roman" w:eastAsia="Times New Roman" w:cs="Times New Roman"/>
              <w:spacing w:val="1"/>
              <w:sz w:val="18"/>
              <w:szCs w:val="18"/>
            </w:rPr>
            <w:t>386</w:t>
          </w:r>
          <w:r>
            <w:rPr>
              <w:rFonts w:ascii="Times New Roman" w:hAnsi="Times New Roman" w:eastAsia="Times New Roman" w:cs="Times New Roman"/>
              <w:spacing w:val="1"/>
              <w:sz w:val="18"/>
              <w:szCs w:val="18"/>
            </w:rPr>
            <w:fldChar w:fldCharType="end"/>
          </w:r>
        </w:p>
        <w:p w14:paraId="71F4A4CA">
          <w:pPr>
            <w:pStyle w:val="2"/>
            <w:tabs>
              <w:tab w:val="right" w:leader="dot" w:pos="3942"/>
            </w:tabs>
            <w:spacing w:before="95" w:line="220" w:lineRule="auto"/>
            <w:ind w:left="399"/>
            <w:rPr>
              <w:rFonts w:ascii="Times New Roman" w:hAnsi="Times New Roman" w:eastAsia="Times New Roman" w:cs="Times New Roman"/>
              <w:sz w:val="18"/>
              <w:szCs w:val="18"/>
            </w:rPr>
          </w:pPr>
          <w:bookmarkStart w:id="290" w:name="bookmark281"/>
          <w:bookmarkEnd w:id="290"/>
          <w:r>
            <w:fldChar w:fldCharType="begin"/>
          </w:r>
          <w:r>
            <w:instrText xml:space="preserve"> HYPERLINK \l "bookmark281" </w:instrText>
          </w:r>
          <w:r>
            <w:fldChar w:fldCharType="separate"/>
          </w:r>
          <w:r>
            <w:rPr>
              <w:rFonts w:ascii="Times New Roman" w:hAnsi="Times New Roman" w:eastAsia="Times New Roman" w:cs="Times New Roman"/>
              <w:sz w:val="18"/>
              <w:szCs w:val="18"/>
            </w:rPr>
            <w:t xml:space="preserve">17.3.2    </w:t>
          </w:r>
          <w:r>
            <w:rPr>
              <w:sz w:val="18"/>
              <w:szCs w:val="18"/>
            </w:rPr>
            <w:t>变更控制系统</w:t>
          </w:r>
          <w:r>
            <w:rPr>
              <w:spacing w:val="-62"/>
              <w:sz w:val="18"/>
              <w:szCs w:val="18"/>
            </w:rPr>
            <w:t xml:space="preserve"> </w:t>
          </w:r>
          <w:r>
            <w:rPr>
              <w:sz w:val="18"/>
              <w:szCs w:val="18"/>
            </w:rPr>
            <w:tab/>
          </w:r>
          <w:r>
            <w:rPr>
              <w:rFonts w:ascii="Times New Roman" w:hAnsi="Times New Roman" w:eastAsia="Times New Roman" w:cs="Times New Roman"/>
              <w:spacing w:val="1"/>
              <w:sz w:val="18"/>
              <w:szCs w:val="18"/>
            </w:rPr>
            <w:t>388</w:t>
          </w:r>
          <w:r>
            <w:rPr>
              <w:rFonts w:ascii="Times New Roman" w:hAnsi="Times New Roman" w:eastAsia="Times New Roman" w:cs="Times New Roman"/>
              <w:spacing w:val="1"/>
              <w:sz w:val="18"/>
              <w:szCs w:val="18"/>
            </w:rPr>
            <w:fldChar w:fldCharType="end"/>
          </w:r>
        </w:p>
        <w:p w14:paraId="3219B06A">
          <w:pPr>
            <w:pStyle w:val="2"/>
            <w:tabs>
              <w:tab w:val="right" w:leader="dot" w:pos="3942"/>
            </w:tabs>
            <w:spacing w:before="105" w:line="219" w:lineRule="auto"/>
            <w:ind w:left="399"/>
            <w:rPr>
              <w:rFonts w:ascii="Times New Roman" w:hAnsi="Times New Roman" w:eastAsia="Times New Roman" w:cs="Times New Roman"/>
              <w:sz w:val="18"/>
              <w:szCs w:val="18"/>
            </w:rPr>
          </w:pPr>
          <w:bookmarkStart w:id="291" w:name="bookmark282"/>
          <w:bookmarkEnd w:id="291"/>
          <w:r>
            <w:fldChar w:fldCharType="begin"/>
          </w:r>
          <w:r>
            <w:instrText xml:space="preserve"> HYPERLINK \l "bookmark282" </w:instrText>
          </w:r>
          <w:r>
            <w:fldChar w:fldCharType="separate"/>
          </w:r>
          <w:r>
            <w:rPr>
              <w:rFonts w:ascii="Times New Roman" w:hAnsi="Times New Roman" w:eastAsia="Times New Roman" w:cs="Times New Roman"/>
              <w:sz w:val="18"/>
              <w:szCs w:val="18"/>
            </w:rPr>
            <w:t xml:space="preserve">17.3.3    </w:t>
          </w:r>
          <w:r>
            <w:rPr>
              <w:sz w:val="18"/>
              <w:szCs w:val="18"/>
            </w:rPr>
            <w:t>变更控制方法与技术</w:t>
          </w:r>
          <w:r>
            <w:rPr>
              <w:spacing w:val="-62"/>
              <w:sz w:val="18"/>
              <w:szCs w:val="18"/>
            </w:rPr>
            <w:t xml:space="preserve"> </w:t>
          </w:r>
          <w:r>
            <w:rPr>
              <w:sz w:val="18"/>
              <w:szCs w:val="18"/>
            </w:rPr>
            <w:tab/>
          </w:r>
          <w:r>
            <w:rPr>
              <w:rFonts w:ascii="Times New Roman" w:hAnsi="Times New Roman" w:eastAsia="Times New Roman" w:cs="Times New Roman"/>
              <w:spacing w:val="1"/>
              <w:sz w:val="18"/>
              <w:szCs w:val="18"/>
            </w:rPr>
            <w:t>388</w:t>
          </w:r>
          <w:r>
            <w:rPr>
              <w:rFonts w:ascii="Times New Roman" w:hAnsi="Times New Roman" w:eastAsia="Times New Roman" w:cs="Times New Roman"/>
              <w:spacing w:val="1"/>
              <w:sz w:val="18"/>
              <w:szCs w:val="18"/>
            </w:rPr>
            <w:fldChar w:fldCharType="end"/>
          </w:r>
        </w:p>
        <w:p w14:paraId="071406B3">
          <w:pPr>
            <w:pStyle w:val="2"/>
            <w:tabs>
              <w:tab w:val="right" w:leader="dot" w:pos="3942"/>
            </w:tabs>
            <w:spacing w:before="97" w:line="219" w:lineRule="auto"/>
            <w:rPr>
              <w:rFonts w:ascii="Times New Roman" w:hAnsi="Times New Roman" w:eastAsia="Times New Roman" w:cs="Times New Roman"/>
              <w:sz w:val="18"/>
              <w:szCs w:val="18"/>
            </w:rPr>
          </w:pPr>
          <w:bookmarkStart w:id="292" w:name="bookmark283"/>
          <w:bookmarkEnd w:id="292"/>
          <w:r>
            <w:fldChar w:fldCharType="begin"/>
          </w:r>
          <w:r>
            <w:instrText xml:space="preserve"> HYPERLINK \l "bookmark283" </w:instrText>
          </w:r>
          <w:r>
            <w:fldChar w:fldCharType="separate"/>
          </w:r>
          <w:r>
            <w:rPr>
              <w:rFonts w:ascii="Times New Roman" w:hAnsi="Times New Roman" w:eastAsia="Times New Roman" w:cs="Times New Roman"/>
              <w:spacing w:val="-1"/>
              <w:sz w:val="18"/>
              <w:szCs w:val="18"/>
            </w:rPr>
            <w:t>17.4</w:t>
          </w:r>
          <w:r>
            <w:rPr>
              <w:rFonts w:ascii="Times New Roman" w:hAnsi="Times New Roman" w:eastAsia="Times New Roman" w:cs="Times New Roman"/>
              <w:spacing w:val="16"/>
              <w:sz w:val="18"/>
              <w:szCs w:val="18"/>
            </w:rPr>
            <w:t xml:space="preserve">   </w:t>
          </w:r>
          <w:r>
            <w:rPr>
              <w:spacing w:val="-1"/>
              <w:sz w:val="18"/>
              <w:szCs w:val="18"/>
            </w:rPr>
            <w:t>变更控制内容</w:t>
          </w:r>
          <w:r>
            <w:rPr>
              <w:spacing w:val="-70"/>
              <w:sz w:val="18"/>
              <w:szCs w:val="18"/>
            </w:rPr>
            <w:t xml:space="preserve"> </w:t>
          </w:r>
          <w:r>
            <w:rPr>
              <w:sz w:val="18"/>
              <w:szCs w:val="18"/>
            </w:rPr>
            <w:tab/>
          </w:r>
          <w:r>
            <w:rPr>
              <w:rFonts w:ascii="Times New Roman" w:hAnsi="Times New Roman" w:eastAsia="Times New Roman" w:cs="Times New Roman"/>
              <w:spacing w:val="1"/>
              <w:sz w:val="18"/>
              <w:szCs w:val="18"/>
            </w:rPr>
            <w:t>389</w:t>
          </w:r>
          <w:r>
            <w:rPr>
              <w:rFonts w:ascii="Times New Roman" w:hAnsi="Times New Roman" w:eastAsia="Times New Roman" w:cs="Times New Roman"/>
              <w:spacing w:val="1"/>
              <w:sz w:val="18"/>
              <w:szCs w:val="18"/>
            </w:rPr>
            <w:fldChar w:fldCharType="end"/>
          </w:r>
        </w:p>
        <w:p w14:paraId="1D7ED561">
          <w:pPr>
            <w:pStyle w:val="2"/>
            <w:tabs>
              <w:tab w:val="right" w:leader="dot" w:pos="3942"/>
            </w:tabs>
            <w:spacing w:before="97" w:line="220" w:lineRule="auto"/>
            <w:ind w:left="399"/>
            <w:rPr>
              <w:rFonts w:ascii="Times New Roman" w:hAnsi="Times New Roman" w:eastAsia="Times New Roman" w:cs="Times New Roman"/>
              <w:sz w:val="18"/>
              <w:szCs w:val="18"/>
            </w:rPr>
          </w:pPr>
          <w:bookmarkStart w:id="293" w:name="bookmark284"/>
          <w:bookmarkEnd w:id="293"/>
          <w:r>
            <w:fldChar w:fldCharType="begin"/>
          </w:r>
          <w:r>
            <w:instrText xml:space="preserve"> HYPERLINK \l "bookmark284" </w:instrText>
          </w:r>
          <w:r>
            <w:fldChar w:fldCharType="separate"/>
          </w:r>
          <w:r>
            <w:rPr>
              <w:rFonts w:ascii="Times New Roman" w:hAnsi="Times New Roman" w:eastAsia="Times New Roman" w:cs="Times New Roman"/>
              <w:spacing w:val="-1"/>
              <w:sz w:val="18"/>
              <w:szCs w:val="18"/>
            </w:rPr>
            <w:t>17.4.1</w:t>
          </w:r>
          <w:r>
            <w:rPr>
              <w:rFonts w:ascii="Times New Roman" w:hAnsi="Times New Roman" w:eastAsia="Times New Roman" w:cs="Times New Roman"/>
              <w:spacing w:val="6"/>
              <w:sz w:val="18"/>
              <w:szCs w:val="18"/>
            </w:rPr>
            <w:t xml:space="preserve">    </w:t>
          </w:r>
          <w:r>
            <w:rPr>
              <w:spacing w:val="-1"/>
              <w:sz w:val="18"/>
              <w:szCs w:val="18"/>
            </w:rPr>
            <w:t>需求变更控制</w:t>
          </w:r>
          <w:r>
            <w:rPr>
              <w:spacing w:val="-74"/>
              <w:sz w:val="18"/>
              <w:szCs w:val="18"/>
            </w:rPr>
            <w:t xml:space="preserve"> </w:t>
          </w:r>
          <w:r>
            <w:rPr>
              <w:sz w:val="18"/>
              <w:szCs w:val="18"/>
            </w:rPr>
            <w:tab/>
          </w:r>
          <w:r>
            <w:rPr>
              <w:rFonts w:ascii="Times New Roman" w:hAnsi="Times New Roman" w:eastAsia="Times New Roman" w:cs="Times New Roman"/>
              <w:spacing w:val="1"/>
              <w:sz w:val="18"/>
              <w:szCs w:val="18"/>
            </w:rPr>
            <w:t>389</w:t>
          </w:r>
          <w:r>
            <w:rPr>
              <w:rFonts w:ascii="Times New Roman" w:hAnsi="Times New Roman" w:eastAsia="Times New Roman" w:cs="Times New Roman"/>
              <w:spacing w:val="1"/>
              <w:sz w:val="18"/>
              <w:szCs w:val="18"/>
            </w:rPr>
            <w:fldChar w:fldCharType="end"/>
          </w:r>
        </w:p>
        <w:p w14:paraId="37047CDA">
          <w:pPr>
            <w:pStyle w:val="2"/>
            <w:tabs>
              <w:tab w:val="right" w:leader="dot" w:pos="3932"/>
            </w:tabs>
            <w:spacing w:before="95" w:line="220" w:lineRule="auto"/>
            <w:ind w:left="399"/>
            <w:rPr>
              <w:rFonts w:ascii="Times New Roman" w:hAnsi="Times New Roman" w:eastAsia="Times New Roman" w:cs="Times New Roman"/>
              <w:sz w:val="18"/>
              <w:szCs w:val="18"/>
            </w:rPr>
          </w:pPr>
          <w:bookmarkStart w:id="294" w:name="bookmark285"/>
          <w:bookmarkEnd w:id="294"/>
          <w:r>
            <w:fldChar w:fldCharType="begin"/>
          </w:r>
          <w:r>
            <w:instrText xml:space="preserve"> HYPERLINK \l "bookmark285" </w:instrText>
          </w:r>
          <w:r>
            <w:fldChar w:fldCharType="separate"/>
          </w:r>
          <w:r>
            <w:rPr>
              <w:rFonts w:ascii="Times New Roman" w:hAnsi="Times New Roman" w:eastAsia="Times New Roman" w:cs="Times New Roman"/>
              <w:spacing w:val="1"/>
              <w:sz w:val="18"/>
              <w:szCs w:val="18"/>
            </w:rPr>
            <w:t>17.4.2</w:t>
          </w:r>
          <w:r>
            <w:rPr>
              <w:rFonts w:ascii="Times New Roman" w:hAnsi="Times New Roman" w:eastAsia="Times New Roman" w:cs="Times New Roman"/>
              <w:sz w:val="18"/>
              <w:szCs w:val="18"/>
            </w:rPr>
            <w:t xml:space="preserve">    </w:t>
          </w:r>
          <w:r>
            <w:rPr>
              <w:spacing w:val="1"/>
              <w:sz w:val="18"/>
              <w:szCs w:val="18"/>
            </w:rPr>
            <w:t>进度变更控制</w:t>
          </w:r>
          <w:r>
            <w:rPr>
              <w:spacing w:val="-74"/>
              <w:sz w:val="18"/>
              <w:szCs w:val="18"/>
            </w:rPr>
            <w:t xml:space="preserve"> </w:t>
          </w:r>
          <w:r>
            <w:rPr>
              <w:sz w:val="18"/>
              <w:szCs w:val="18"/>
            </w:rPr>
            <w:tab/>
          </w:r>
          <w:r>
            <w:rPr>
              <w:rFonts w:ascii="Times New Roman" w:hAnsi="Times New Roman" w:eastAsia="Times New Roman" w:cs="Times New Roman"/>
              <w:spacing w:val="1"/>
              <w:sz w:val="18"/>
              <w:szCs w:val="18"/>
            </w:rPr>
            <w:t>390</w:t>
          </w:r>
          <w:r>
            <w:rPr>
              <w:rFonts w:ascii="Times New Roman" w:hAnsi="Times New Roman" w:eastAsia="Times New Roman" w:cs="Times New Roman"/>
              <w:spacing w:val="1"/>
              <w:sz w:val="18"/>
              <w:szCs w:val="18"/>
            </w:rPr>
            <w:fldChar w:fldCharType="end"/>
          </w:r>
        </w:p>
        <w:p w14:paraId="753E932F">
          <w:pPr>
            <w:pStyle w:val="2"/>
            <w:tabs>
              <w:tab w:val="right" w:leader="dot" w:pos="3952"/>
            </w:tabs>
            <w:spacing w:before="96" w:line="220" w:lineRule="auto"/>
            <w:ind w:left="399"/>
            <w:rPr>
              <w:rFonts w:ascii="Times New Roman" w:hAnsi="Times New Roman" w:eastAsia="Times New Roman" w:cs="Times New Roman"/>
              <w:sz w:val="18"/>
              <w:szCs w:val="18"/>
            </w:rPr>
          </w:pPr>
          <w:bookmarkStart w:id="295" w:name="bookmark286"/>
          <w:bookmarkEnd w:id="295"/>
          <w:r>
            <w:fldChar w:fldCharType="begin"/>
          </w:r>
          <w:r>
            <w:instrText xml:space="preserve"> HYPERLINK \l "bookmark286" </w:instrText>
          </w:r>
          <w:r>
            <w:fldChar w:fldCharType="separate"/>
          </w:r>
          <w:r>
            <w:rPr>
              <w:rFonts w:ascii="Times New Roman" w:hAnsi="Times New Roman" w:eastAsia="Times New Roman" w:cs="Times New Roman"/>
              <w:sz w:val="18"/>
              <w:szCs w:val="18"/>
            </w:rPr>
            <w:t xml:space="preserve">17.4.3    </w:t>
          </w:r>
          <w:r>
            <w:rPr>
              <w:sz w:val="18"/>
              <w:szCs w:val="18"/>
            </w:rPr>
            <w:t>投资变更控制</w:t>
          </w:r>
          <w:r>
            <w:rPr>
              <w:spacing w:val="-62"/>
              <w:sz w:val="18"/>
              <w:szCs w:val="18"/>
            </w:rPr>
            <w:t xml:space="preserve"> </w:t>
          </w:r>
          <w:r>
            <w:rPr>
              <w:sz w:val="18"/>
              <w:szCs w:val="18"/>
            </w:rPr>
            <w:tab/>
          </w:r>
          <w:r>
            <w:rPr>
              <w:rFonts w:ascii="Times New Roman" w:hAnsi="Times New Roman" w:eastAsia="Times New Roman" w:cs="Times New Roman"/>
              <w:spacing w:val="1"/>
              <w:sz w:val="18"/>
              <w:szCs w:val="18"/>
            </w:rPr>
            <w:t>391</w:t>
          </w:r>
          <w:r>
            <w:rPr>
              <w:rFonts w:ascii="Times New Roman" w:hAnsi="Times New Roman" w:eastAsia="Times New Roman" w:cs="Times New Roman"/>
              <w:spacing w:val="1"/>
              <w:sz w:val="18"/>
              <w:szCs w:val="18"/>
            </w:rPr>
            <w:fldChar w:fldCharType="end"/>
          </w:r>
        </w:p>
        <w:p w14:paraId="742CE93E">
          <w:pPr>
            <w:pStyle w:val="2"/>
            <w:tabs>
              <w:tab w:val="right" w:leader="dot" w:pos="3942"/>
            </w:tabs>
            <w:spacing w:before="95" w:line="220" w:lineRule="auto"/>
            <w:ind w:left="399"/>
            <w:rPr>
              <w:rFonts w:ascii="Times New Roman" w:hAnsi="Times New Roman" w:eastAsia="Times New Roman" w:cs="Times New Roman"/>
              <w:sz w:val="18"/>
              <w:szCs w:val="18"/>
            </w:rPr>
          </w:pPr>
          <w:bookmarkStart w:id="296" w:name="bookmark287"/>
          <w:bookmarkEnd w:id="296"/>
          <w:r>
            <w:fldChar w:fldCharType="begin"/>
          </w:r>
          <w:r>
            <w:instrText xml:space="preserve"> HYPERLINK \l "bookmark287" </w:instrText>
          </w:r>
          <w:r>
            <w:fldChar w:fldCharType="separate"/>
          </w:r>
          <w:r>
            <w:rPr>
              <w:rFonts w:ascii="Times New Roman" w:hAnsi="Times New Roman" w:eastAsia="Times New Roman" w:cs="Times New Roman"/>
              <w:spacing w:val="1"/>
              <w:sz w:val="18"/>
              <w:szCs w:val="18"/>
            </w:rPr>
            <w:t>17.4.4</w:t>
          </w:r>
          <w:r>
            <w:rPr>
              <w:rFonts w:ascii="Times New Roman" w:hAnsi="Times New Roman" w:eastAsia="Times New Roman" w:cs="Times New Roman"/>
              <w:sz w:val="18"/>
              <w:szCs w:val="18"/>
            </w:rPr>
            <w:t xml:space="preserve">    </w:t>
          </w:r>
          <w:r>
            <w:rPr>
              <w:spacing w:val="1"/>
              <w:sz w:val="18"/>
              <w:szCs w:val="18"/>
            </w:rPr>
            <w:t>合同变更控制</w:t>
          </w:r>
          <w:r>
            <w:rPr>
              <w:sz w:val="18"/>
              <w:szCs w:val="18"/>
            </w:rPr>
            <w:tab/>
          </w:r>
          <w:r>
            <w:rPr>
              <w:rFonts w:ascii="Times New Roman" w:hAnsi="Times New Roman" w:eastAsia="Times New Roman" w:cs="Times New Roman"/>
              <w:spacing w:val="1"/>
              <w:sz w:val="18"/>
              <w:szCs w:val="18"/>
            </w:rPr>
            <w:t>392</w:t>
          </w:r>
          <w:r>
            <w:rPr>
              <w:rFonts w:ascii="Times New Roman" w:hAnsi="Times New Roman" w:eastAsia="Times New Roman" w:cs="Times New Roman"/>
              <w:spacing w:val="1"/>
              <w:sz w:val="18"/>
              <w:szCs w:val="18"/>
            </w:rPr>
            <w:fldChar w:fldCharType="end"/>
          </w:r>
        </w:p>
        <w:p w14:paraId="19DA8EB8">
          <w:pPr>
            <w:pStyle w:val="2"/>
            <w:tabs>
              <w:tab w:val="right" w:leader="dot" w:pos="3942"/>
            </w:tabs>
            <w:spacing w:before="96" w:line="220" w:lineRule="auto"/>
            <w:rPr>
              <w:rFonts w:ascii="Times New Roman" w:hAnsi="Times New Roman" w:eastAsia="Times New Roman" w:cs="Times New Roman"/>
              <w:sz w:val="18"/>
              <w:szCs w:val="18"/>
            </w:rPr>
          </w:pPr>
          <w:bookmarkStart w:id="297" w:name="bookmark288"/>
          <w:bookmarkEnd w:id="297"/>
          <w:r>
            <w:fldChar w:fldCharType="begin"/>
          </w:r>
          <w:r>
            <w:instrText xml:space="preserve"> HYPERLINK \l "bookmark288" </w:instrText>
          </w:r>
          <w:r>
            <w:fldChar w:fldCharType="separate"/>
          </w:r>
          <w:r>
            <w:rPr>
              <w:rFonts w:ascii="Times New Roman" w:hAnsi="Times New Roman" w:eastAsia="Times New Roman" w:cs="Times New Roman"/>
              <w:spacing w:val="-3"/>
              <w:sz w:val="18"/>
              <w:szCs w:val="18"/>
            </w:rPr>
            <w:t>17.5</w:t>
          </w:r>
          <w:r>
            <w:rPr>
              <w:rFonts w:ascii="Times New Roman" w:hAnsi="Times New Roman" w:eastAsia="Times New Roman" w:cs="Times New Roman"/>
              <w:spacing w:val="5"/>
              <w:sz w:val="18"/>
              <w:szCs w:val="18"/>
            </w:rPr>
            <w:t xml:space="preserve">    </w:t>
          </w:r>
          <w:r>
            <w:rPr>
              <w:spacing w:val="-3"/>
              <w:sz w:val="18"/>
              <w:szCs w:val="18"/>
            </w:rPr>
            <w:t>监理变更控制要点</w:t>
          </w:r>
          <w:r>
            <w:rPr>
              <w:spacing w:val="-61"/>
              <w:sz w:val="18"/>
              <w:szCs w:val="18"/>
            </w:rPr>
            <w:t xml:space="preserve"> </w:t>
          </w:r>
          <w:r>
            <w:rPr>
              <w:sz w:val="18"/>
              <w:szCs w:val="18"/>
            </w:rPr>
            <w:tab/>
          </w:r>
          <w:r>
            <w:rPr>
              <w:rFonts w:ascii="Times New Roman" w:hAnsi="Times New Roman" w:eastAsia="Times New Roman" w:cs="Times New Roman"/>
              <w:spacing w:val="1"/>
              <w:sz w:val="18"/>
              <w:szCs w:val="18"/>
            </w:rPr>
            <w:t>393</w:t>
          </w:r>
          <w:r>
            <w:rPr>
              <w:rFonts w:ascii="Times New Roman" w:hAnsi="Times New Roman" w:eastAsia="Times New Roman" w:cs="Times New Roman"/>
              <w:spacing w:val="1"/>
              <w:sz w:val="18"/>
              <w:szCs w:val="18"/>
            </w:rPr>
            <w:fldChar w:fldCharType="end"/>
          </w:r>
        </w:p>
        <w:p w14:paraId="6869B429">
          <w:pPr>
            <w:spacing w:line="346" w:lineRule="auto"/>
            <w:rPr>
              <w:rFonts w:ascii="Arial"/>
              <w:sz w:val="21"/>
            </w:rPr>
          </w:pPr>
        </w:p>
        <w:p w14:paraId="66A5F824">
          <w:pPr>
            <w:spacing w:line="346" w:lineRule="auto"/>
            <w:rPr>
              <w:rFonts w:ascii="Arial"/>
              <w:sz w:val="21"/>
            </w:rPr>
          </w:pPr>
        </w:p>
        <w:p w14:paraId="57B218C1">
          <w:pPr>
            <w:pStyle w:val="2"/>
            <w:tabs>
              <w:tab w:val="right" w:leader="dot" w:pos="3952"/>
            </w:tabs>
            <w:spacing w:before="59" w:line="219" w:lineRule="auto"/>
            <w:rPr>
              <w:rFonts w:ascii="Times New Roman" w:hAnsi="Times New Roman" w:eastAsia="Times New Roman" w:cs="Times New Roman"/>
              <w:sz w:val="18"/>
              <w:szCs w:val="18"/>
            </w:rPr>
          </w:pPr>
          <w:bookmarkStart w:id="298" w:name="bookmark289"/>
          <w:bookmarkEnd w:id="298"/>
          <w:r>
            <w:fldChar w:fldCharType="begin"/>
          </w:r>
          <w:r>
            <w:instrText xml:space="preserve"> HYPERLINK \l "bookmark289" </w:instrText>
          </w:r>
          <w:r>
            <w:fldChar w:fldCharType="separate"/>
          </w:r>
          <w:r>
            <w:rPr>
              <w:rFonts w:ascii="Times New Roman" w:hAnsi="Times New Roman" w:eastAsia="Times New Roman" w:cs="Times New Roman"/>
              <w:spacing w:val="-3"/>
              <w:sz w:val="18"/>
              <w:szCs w:val="18"/>
            </w:rPr>
            <w:t>18.1</w:t>
          </w:r>
          <w:r>
            <w:rPr>
              <w:rFonts w:ascii="Times New Roman" w:hAnsi="Times New Roman" w:eastAsia="Times New Roman" w:cs="Times New Roman"/>
              <w:spacing w:val="13"/>
              <w:w w:val="101"/>
              <w:sz w:val="18"/>
              <w:szCs w:val="18"/>
            </w:rPr>
            <w:t xml:space="preserve">   </w:t>
          </w:r>
          <w:r>
            <w:rPr>
              <w:spacing w:val="-3"/>
              <w:sz w:val="18"/>
              <w:szCs w:val="18"/>
            </w:rPr>
            <w:t>风险管理概述</w:t>
          </w:r>
          <w:r>
            <w:rPr>
              <w:spacing w:val="-52"/>
              <w:sz w:val="18"/>
              <w:szCs w:val="18"/>
            </w:rPr>
            <w:t xml:space="preserve"> </w:t>
          </w:r>
          <w:r>
            <w:rPr>
              <w:sz w:val="18"/>
              <w:szCs w:val="18"/>
            </w:rPr>
            <w:tab/>
          </w:r>
          <w:r>
            <w:rPr>
              <w:rFonts w:ascii="Times New Roman" w:hAnsi="Times New Roman" w:eastAsia="Times New Roman" w:cs="Times New Roman"/>
              <w:spacing w:val="1"/>
              <w:sz w:val="18"/>
              <w:szCs w:val="18"/>
            </w:rPr>
            <w:t>395</w:t>
          </w:r>
          <w:r>
            <w:rPr>
              <w:rFonts w:ascii="Times New Roman" w:hAnsi="Times New Roman" w:eastAsia="Times New Roman" w:cs="Times New Roman"/>
              <w:spacing w:val="1"/>
              <w:sz w:val="18"/>
              <w:szCs w:val="18"/>
            </w:rPr>
            <w:fldChar w:fldCharType="end"/>
          </w:r>
        </w:p>
        <w:p w14:paraId="0A4CF63D">
          <w:pPr>
            <w:pStyle w:val="2"/>
            <w:tabs>
              <w:tab w:val="right" w:leader="dot" w:pos="3952"/>
            </w:tabs>
            <w:spacing w:before="96" w:line="219" w:lineRule="auto"/>
            <w:rPr>
              <w:rFonts w:ascii="Times New Roman" w:hAnsi="Times New Roman" w:eastAsia="Times New Roman" w:cs="Times New Roman"/>
              <w:sz w:val="18"/>
              <w:szCs w:val="18"/>
            </w:rPr>
          </w:pPr>
          <w:bookmarkStart w:id="299" w:name="bookmark290"/>
          <w:bookmarkEnd w:id="299"/>
          <w:r>
            <w:fldChar w:fldCharType="begin"/>
          </w:r>
          <w:r>
            <w:instrText xml:space="preserve"> HYPERLINK \l "bookmark290" </w:instrText>
          </w:r>
          <w:r>
            <w:fldChar w:fldCharType="separate"/>
          </w:r>
          <w:r>
            <w:rPr>
              <w:rFonts w:ascii="Times New Roman" w:hAnsi="Times New Roman" w:eastAsia="Times New Roman" w:cs="Times New Roman"/>
              <w:sz w:val="18"/>
              <w:szCs w:val="18"/>
            </w:rPr>
            <w:t>18.2</w:t>
          </w:r>
          <w:r>
            <w:rPr>
              <w:rFonts w:ascii="Times New Roman" w:hAnsi="Times New Roman" w:eastAsia="Times New Roman" w:cs="Times New Roman"/>
              <w:spacing w:val="15"/>
              <w:sz w:val="18"/>
              <w:szCs w:val="18"/>
            </w:rPr>
            <w:t xml:space="preserve">   </w:t>
          </w:r>
          <w:r>
            <w:rPr>
              <w:sz w:val="18"/>
              <w:szCs w:val="18"/>
            </w:rPr>
            <w:t>风险管理过程</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396</w:t>
          </w:r>
          <w:r>
            <w:rPr>
              <w:rFonts w:ascii="Times New Roman" w:hAnsi="Times New Roman" w:eastAsia="Times New Roman" w:cs="Times New Roman"/>
              <w:spacing w:val="1"/>
              <w:sz w:val="18"/>
              <w:szCs w:val="18"/>
            </w:rPr>
            <w:fldChar w:fldCharType="end"/>
          </w:r>
        </w:p>
        <w:p w14:paraId="2329D885">
          <w:pPr>
            <w:pStyle w:val="2"/>
            <w:tabs>
              <w:tab w:val="right" w:leader="dot" w:pos="3952"/>
            </w:tabs>
            <w:spacing w:before="87" w:line="220" w:lineRule="auto"/>
            <w:ind w:left="399"/>
            <w:rPr>
              <w:rFonts w:ascii="Times New Roman" w:hAnsi="Times New Roman" w:eastAsia="Times New Roman" w:cs="Times New Roman"/>
              <w:sz w:val="18"/>
              <w:szCs w:val="18"/>
            </w:rPr>
          </w:pPr>
          <w:bookmarkStart w:id="300" w:name="bookmark291"/>
          <w:bookmarkEnd w:id="300"/>
          <w:r>
            <w:fldChar w:fldCharType="begin"/>
          </w:r>
          <w:r>
            <w:instrText xml:space="preserve"> HYPERLINK \l "bookmark291" </w:instrText>
          </w:r>
          <w:r>
            <w:fldChar w:fldCharType="separate"/>
          </w:r>
          <w:r>
            <w:rPr>
              <w:rFonts w:ascii="Times New Roman" w:hAnsi="Times New Roman" w:eastAsia="Times New Roman" w:cs="Times New Roman"/>
              <w:spacing w:val="-1"/>
              <w:sz w:val="18"/>
              <w:szCs w:val="18"/>
            </w:rPr>
            <w:t xml:space="preserve">18.2.1    </w:t>
          </w:r>
          <w:r>
            <w:rPr>
              <w:spacing w:val="-1"/>
              <w:sz w:val="18"/>
              <w:szCs w:val="18"/>
            </w:rPr>
            <w:t>风险规划</w:t>
          </w:r>
          <w:r>
            <w:rPr>
              <w:spacing w:val="-68"/>
              <w:sz w:val="18"/>
              <w:szCs w:val="18"/>
            </w:rPr>
            <w:t xml:space="preserve"> </w:t>
          </w:r>
          <w:r>
            <w:rPr>
              <w:sz w:val="18"/>
              <w:szCs w:val="18"/>
            </w:rPr>
            <w:tab/>
          </w:r>
          <w:r>
            <w:rPr>
              <w:rFonts w:ascii="Times New Roman" w:hAnsi="Times New Roman" w:eastAsia="Times New Roman" w:cs="Times New Roman"/>
              <w:spacing w:val="1"/>
              <w:sz w:val="18"/>
              <w:szCs w:val="18"/>
            </w:rPr>
            <w:t>396</w:t>
          </w:r>
          <w:r>
            <w:rPr>
              <w:rFonts w:ascii="Times New Roman" w:hAnsi="Times New Roman" w:eastAsia="Times New Roman" w:cs="Times New Roman"/>
              <w:spacing w:val="1"/>
              <w:sz w:val="18"/>
              <w:szCs w:val="18"/>
            </w:rPr>
            <w:fldChar w:fldCharType="end"/>
          </w:r>
        </w:p>
        <w:p w14:paraId="4300E114">
          <w:pPr>
            <w:pStyle w:val="2"/>
            <w:tabs>
              <w:tab w:val="right" w:leader="dot" w:pos="3952"/>
            </w:tabs>
            <w:spacing w:before="95" w:line="220" w:lineRule="auto"/>
            <w:ind w:left="399"/>
            <w:rPr>
              <w:rFonts w:ascii="Times New Roman" w:hAnsi="Times New Roman" w:eastAsia="Times New Roman" w:cs="Times New Roman"/>
              <w:sz w:val="18"/>
              <w:szCs w:val="18"/>
            </w:rPr>
          </w:pPr>
          <w:bookmarkStart w:id="301" w:name="bookmark292"/>
          <w:bookmarkEnd w:id="301"/>
          <w:r>
            <w:fldChar w:fldCharType="begin"/>
          </w:r>
          <w:r>
            <w:instrText xml:space="preserve"> HYPERLINK \l "bookmark292" </w:instrText>
          </w:r>
          <w:r>
            <w:fldChar w:fldCharType="separate"/>
          </w:r>
          <w:r>
            <w:rPr>
              <w:rFonts w:ascii="Times New Roman" w:hAnsi="Times New Roman" w:eastAsia="Times New Roman" w:cs="Times New Roman"/>
              <w:sz w:val="18"/>
              <w:szCs w:val="18"/>
            </w:rPr>
            <w:t xml:space="preserve">18.2.2    </w:t>
          </w:r>
          <w:r>
            <w:rPr>
              <w:sz w:val="18"/>
              <w:szCs w:val="18"/>
            </w:rPr>
            <w:t>风险识别</w:t>
          </w:r>
          <w:r>
            <w:rPr>
              <w:spacing w:val="-72"/>
              <w:sz w:val="18"/>
              <w:szCs w:val="18"/>
            </w:rPr>
            <w:t xml:space="preserve"> </w:t>
          </w:r>
          <w:r>
            <w:rPr>
              <w:sz w:val="18"/>
              <w:szCs w:val="18"/>
            </w:rPr>
            <w:tab/>
          </w:r>
          <w:r>
            <w:rPr>
              <w:rFonts w:ascii="Times New Roman" w:hAnsi="Times New Roman" w:eastAsia="Times New Roman" w:cs="Times New Roman"/>
              <w:spacing w:val="1"/>
              <w:sz w:val="18"/>
              <w:szCs w:val="18"/>
            </w:rPr>
            <w:t>398</w:t>
          </w:r>
          <w:r>
            <w:rPr>
              <w:rFonts w:ascii="Times New Roman" w:hAnsi="Times New Roman" w:eastAsia="Times New Roman" w:cs="Times New Roman"/>
              <w:spacing w:val="1"/>
              <w:sz w:val="18"/>
              <w:szCs w:val="18"/>
            </w:rPr>
            <w:fldChar w:fldCharType="end"/>
          </w:r>
        </w:p>
        <w:p w14:paraId="7CD85690">
          <w:pPr>
            <w:pStyle w:val="2"/>
            <w:tabs>
              <w:tab w:val="right" w:leader="dot" w:pos="3952"/>
            </w:tabs>
            <w:spacing w:before="96" w:line="220" w:lineRule="auto"/>
            <w:ind w:left="399"/>
            <w:rPr>
              <w:rFonts w:ascii="Times New Roman" w:hAnsi="Times New Roman" w:eastAsia="Times New Roman" w:cs="Times New Roman"/>
              <w:sz w:val="18"/>
              <w:szCs w:val="18"/>
            </w:rPr>
          </w:pPr>
          <w:bookmarkStart w:id="302" w:name="bookmark293"/>
          <w:bookmarkEnd w:id="302"/>
          <w:r>
            <w:fldChar w:fldCharType="begin"/>
          </w:r>
          <w:r>
            <w:instrText xml:space="preserve"> HYPERLINK \l "bookmark293" </w:instrText>
          </w:r>
          <w:r>
            <w:fldChar w:fldCharType="separate"/>
          </w:r>
          <w:r>
            <w:rPr>
              <w:rFonts w:ascii="Times New Roman" w:hAnsi="Times New Roman" w:eastAsia="Times New Roman" w:cs="Times New Roman"/>
              <w:spacing w:val="-1"/>
              <w:sz w:val="18"/>
              <w:szCs w:val="18"/>
            </w:rPr>
            <w:t>18.2.3</w:t>
          </w:r>
          <w:r>
            <w:rPr>
              <w:rFonts w:ascii="Times New Roman" w:hAnsi="Times New Roman" w:eastAsia="Times New Roman" w:cs="Times New Roman"/>
              <w:spacing w:val="13"/>
              <w:w w:val="101"/>
              <w:sz w:val="18"/>
              <w:szCs w:val="18"/>
            </w:rPr>
            <w:t xml:space="preserve">   </w:t>
          </w:r>
          <w:r>
            <w:rPr>
              <w:spacing w:val="-1"/>
              <w:sz w:val="18"/>
              <w:szCs w:val="18"/>
            </w:rPr>
            <w:t>风险分析</w:t>
          </w:r>
          <w:r>
            <w:rPr>
              <w:spacing w:val="-67"/>
              <w:sz w:val="18"/>
              <w:szCs w:val="18"/>
            </w:rPr>
            <w:t xml:space="preserve"> </w:t>
          </w:r>
          <w:r>
            <w:rPr>
              <w:sz w:val="18"/>
              <w:szCs w:val="18"/>
            </w:rPr>
            <w:tab/>
          </w:r>
          <w:r>
            <w:rPr>
              <w:rFonts w:ascii="Times New Roman" w:hAnsi="Times New Roman" w:eastAsia="Times New Roman" w:cs="Times New Roman"/>
              <w:spacing w:val="1"/>
              <w:sz w:val="18"/>
              <w:szCs w:val="18"/>
            </w:rPr>
            <w:t>399</w:t>
          </w:r>
          <w:r>
            <w:rPr>
              <w:rFonts w:ascii="Times New Roman" w:hAnsi="Times New Roman" w:eastAsia="Times New Roman" w:cs="Times New Roman"/>
              <w:spacing w:val="1"/>
              <w:sz w:val="18"/>
              <w:szCs w:val="18"/>
            </w:rPr>
            <w:fldChar w:fldCharType="end"/>
          </w:r>
        </w:p>
        <w:p w14:paraId="0B6C5A7D">
          <w:pPr>
            <w:pStyle w:val="2"/>
            <w:tabs>
              <w:tab w:val="right" w:leader="dot" w:pos="3967"/>
            </w:tabs>
            <w:spacing w:before="95" w:line="220" w:lineRule="auto"/>
            <w:ind w:left="399"/>
            <w:rPr>
              <w:rFonts w:ascii="Times New Roman" w:hAnsi="Times New Roman" w:eastAsia="Times New Roman" w:cs="Times New Roman"/>
              <w:sz w:val="18"/>
              <w:szCs w:val="18"/>
            </w:rPr>
          </w:pPr>
          <w:bookmarkStart w:id="303" w:name="bookmark294"/>
          <w:bookmarkEnd w:id="303"/>
          <w:r>
            <w:fldChar w:fldCharType="begin"/>
          </w:r>
          <w:r>
            <w:instrText xml:space="preserve"> HYPERLINK \l "bookmark294" </w:instrText>
          </w:r>
          <w:r>
            <w:fldChar w:fldCharType="separate"/>
          </w:r>
          <w:r>
            <w:rPr>
              <w:rFonts w:ascii="Times New Roman" w:hAnsi="Times New Roman" w:eastAsia="Times New Roman" w:cs="Times New Roman"/>
              <w:spacing w:val="-2"/>
              <w:sz w:val="18"/>
              <w:szCs w:val="18"/>
            </w:rPr>
            <w:t xml:space="preserve">18.2.4    </w:t>
          </w:r>
          <w:r>
            <w:rPr>
              <w:spacing w:val="-2"/>
              <w:sz w:val="18"/>
              <w:szCs w:val="18"/>
            </w:rPr>
            <w:t>风险应对</w:t>
          </w:r>
          <w:r>
            <w:rPr>
              <w:spacing w:val="-53"/>
              <w:sz w:val="18"/>
              <w:szCs w:val="18"/>
            </w:rPr>
            <w:t xml:space="preserve"> </w:t>
          </w:r>
          <w:r>
            <w:rPr>
              <w:sz w:val="18"/>
              <w:szCs w:val="18"/>
            </w:rPr>
            <w:tab/>
          </w:r>
          <w:r>
            <w:rPr>
              <w:rFonts w:ascii="Times New Roman" w:hAnsi="Times New Roman" w:eastAsia="Times New Roman" w:cs="Times New Roman"/>
              <w:spacing w:val="2"/>
              <w:sz w:val="18"/>
              <w:szCs w:val="18"/>
            </w:rPr>
            <w:t>401</w:t>
          </w:r>
          <w:r>
            <w:rPr>
              <w:rFonts w:ascii="Times New Roman" w:hAnsi="Times New Roman" w:eastAsia="Times New Roman" w:cs="Times New Roman"/>
              <w:spacing w:val="2"/>
              <w:sz w:val="18"/>
              <w:szCs w:val="18"/>
            </w:rPr>
            <w:fldChar w:fldCharType="end"/>
          </w:r>
        </w:p>
        <w:p w14:paraId="10F22113">
          <w:pPr>
            <w:pStyle w:val="2"/>
            <w:tabs>
              <w:tab w:val="right" w:leader="dot" w:pos="3947"/>
            </w:tabs>
            <w:spacing w:before="86" w:line="220" w:lineRule="auto"/>
            <w:ind w:left="399"/>
            <w:rPr>
              <w:rFonts w:ascii="Times New Roman" w:hAnsi="Times New Roman" w:eastAsia="Times New Roman" w:cs="Times New Roman"/>
              <w:sz w:val="18"/>
              <w:szCs w:val="18"/>
            </w:rPr>
          </w:pPr>
          <w:bookmarkStart w:id="304" w:name="bookmark295"/>
          <w:bookmarkEnd w:id="304"/>
          <w:r>
            <w:fldChar w:fldCharType="begin"/>
          </w:r>
          <w:r>
            <w:instrText xml:space="preserve"> HYPERLINK \l "bookmark295" </w:instrText>
          </w:r>
          <w:r>
            <w:fldChar w:fldCharType="separate"/>
          </w:r>
          <w:r>
            <w:rPr>
              <w:rFonts w:ascii="Times New Roman" w:hAnsi="Times New Roman" w:eastAsia="Times New Roman" w:cs="Times New Roman"/>
              <w:spacing w:val="-3"/>
              <w:sz w:val="18"/>
              <w:szCs w:val="18"/>
            </w:rPr>
            <w:t>18.2.5</w:t>
          </w:r>
          <w:r>
            <w:rPr>
              <w:rFonts w:ascii="Times New Roman" w:hAnsi="Times New Roman" w:eastAsia="Times New Roman" w:cs="Times New Roman"/>
              <w:spacing w:val="2"/>
              <w:sz w:val="18"/>
              <w:szCs w:val="18"/>
            </w:rPr>
            <w:t xml:space="preserve">    </w:t>
          </w:r>
          <w:r>
            <w:rPr>
              <w:spacing w:val="-3"/>
              <w:sz w:val="18"/>
              <w:szCs w:val="18"/>
            </w:rPr>
            <w:t>风险监控</w:t>
          </w:r>
          <w:r>
            <w:rPr>
              <w:spacing w:val="-50"/>
              <w:sz w:val="18"/>
              <w:szCs w:val="18"/>
            </w:rPr>
            <w:t xml:space="preserve"> </w:t>
          </w:r>
          <w:r>
            <w:rPr>
              <w:sz w:val="18"/>
              <w:szCs w:val="18"/>
            </w:rPr>
            <w:tab/>
          </w:r>
          <w:r>
            <w:rPr>
              <w:rFonts w:ascii="Times New Roman" w:hAnsi="Times New Roman" w:eastAsia="Times New Roman" w:cs="Times New Roman"/>
              <w:spacing w:val="2"/>
              <w:sz w:val="18"/>
              <w:szCs w:val="18"/>
            </w:rPr>
            <w:t>402</w:t>
          </w:r>
          <w:r>
            <w:rPr>
              <w:rFonts w:ascii="Times New Roman" w:hAnsi="Times New Roman" w:eastAsia="Times New Roman" w:cs="Times New Roman"/>
              <w:spacing w:val="2"/>
              <w:sz w:val="18"/>
              <w:szCs w:val="18"/>
            </w:rPr>
            <w:fldChar w:fldCharType="end"/>
          </w:r>
        </w:p>
        <w:p w14:paraId="3A156153">
          <w:pPr>
            <w:pStyle w:val="2"/>
            <w:tabs>
              <w:tab w:val="right" w:leader="dot" w:pos="3947"/>
            </w:tabs>
            <w:spacing w:before="83" w:line="218" w:lineRule="auto"/>
            <w:rPr>
              <w:rFonts w:ascii="Times New Roman" w:hAnsi="Times New Roman" w:eastAsia="Times New Roman" w:cs="Times New Roman"/>
              <w:sz w:val="18"/>
              <w:szCs w:val="18"/>
            </w:rPr>
          </w:pPr>
          <w:bookmarkStart w:id="305" w:name="bookmark296"/>
          <w:bookmarkEnd w:id="305"/>
          <w:r>
            <w:fldChar w:fldCharType="begin"/>
          </w:r>
          <w:r>
            <w:instrText xml:space="preserve"> HYPERLINK \l "bookmark296" </w:instrText>
          </w:r>
          <w:r>
            <w:fldChar w:fldCharType="separate"/>
          </w:r>
          <w:r>
            <w:rPr>
              <w:rFonts w:ascii="Times New Roman" w:hAnsi="Times New Roman" w:eastAsia="Times New Roman" w:cs="Times New Roman"/>
              <w:spacing w:val="-2"/>
              <w:sz w:val="18"/>
              <w:szCs w:val="18"/>
            </w:rPr>
            <w:t xml:space="preserve">18.3    </w:t>
          </w:r>
          <w:r>
            <w:rPr>
              <w:spacing w:val="-2"/>
              <w:sz w:val="18"/>
              <w:szCs w:val="18"/>
            </w:rPr>
            <w:t>风险评估技术与方法</w:t>
          </w:r>
          <w:r>
            <w:rPr>
              <w:spacing w:val="-43"/>
              <w:sz w:val="18"/>
              <w:szCs w:val="18"/>
            </w:rPr>
            <w:t xml:space="preserve"> </w:t>
          </w:r>
          <w:r>
            <w:rPr>
              <w:sz w:val="18"/>
              <w:szCs w:val="18"/>
            </w:rPr>
            <w:tab/>
          </w:r>
          <w:r>
            <w:rPr>
              <w:rFonts w:ascii="Times New Roman" w:hAnsi="Times New Roman" w:eastAsia="Times New Roman" w:cs="Times New Roman"/>
              <w:spacing w:val="2"/>
              <w:sz w:val="18"/>
              <w:szCs w:val="18"/>
            </w:rPr>
            <w:t>404</w:t>
          </w:r>
          <w:r>
            <w:rPr>
              <w:rFonts w:ascii="Times New Roman" w:hAnsi="Times New Roman" w:eastAsia="Times New Roman" w:cs="Times New Roman"/>
              <w:spacing w:val="2"/>
              <w:sz w:val="18"/>
              <w:szCs w:val="18"/>
            </w:rPr>
            <w:fldChar w:fldCharType="end"/>
          </w:r>
        </w:p>
        <w:p w14:paraId="50417852">
          <w:pPr>
            <w:pStyle w:val="2"/>
            <w:tabs>
              <w:tab w:val="right" w:leader="dot" w:pos="3947"/>
            </w:tabs>
            <w:spacing w:before="99" w:line="219" w:lineRule="auto"/>
            <w:ind w:left="399"/>
            <w:rPr>
              <w:rFonts w:ascii="Times New Roman" w:hAnsi="Times New Roman" w:eastAsia="Times New Roman" w:cs="Times New Roman"/>
              <w:sz w:val="18"/>
              <w:szCs w:val="18"/>
            </w:rPr>
          </w:pPr>
          <w:bookmarkStart w:id="306" w:name="bookmark297"/>
          <w:bookmarkEnd w:id="306"/>
          <w:r>
            <w:fldChar w:fldCharType="begin"/>
          </w:r>
          <w:r>
            <w:instrText xml:space="preserve"> HYPERLINK \l "bookmark297" </w:instrText>
          </w:r>
          <w:r>
            <w:fldChar w:fldCharType="separate"/>
          </w:r>
          <w:r>
            <w:rPr>
              <w:rFonts w:ascii="Times New Roman" w:hAnsi="Times New Roman" w:eastAsia="Times New Roman" w:cs="Times New Roman"/>
              <w:spacing w:val="-2"/>
              <w:sz w:val="18"/>
              <w:szCs w:val="18"/>
            </w:rPr>
            <w:t xml:space="preserve">18.3.1    </w:t>
          </w:r>
          <w:r>
            <w:rPr>
              <w:spacing w:val="-2"/>
              <w:sz w:val="18"/>
              <w:szCs w:val="18"/>
            </w:rPr>
            <w:t>技术的选择</w:t>
          </w:r>
          <w:r>
            <w:rPr>
              <w:spacing w:val="-52"/>
              <w:sz w:val="18"/>
              <w:szCs w:val="18"/>
            </w:rPr>
            <w:t xml:space="preserve"> </w:t>
          </w:r>
          <w:r>
            <w:rPr>
              <w:sz w:val="18"/>
              <w:szCs w:val="18"/>
            </w:rPr>
            <w:tab/>
          </w:r>
          <w:r>
            <w:rPr>
              <w:rFonts w:ascii="Times New Roman" w:hAnsi="Times New Roman" w:eastAsia="Times New Roman" w:cs="Times New Roman"/>
              <w:spacing w:val="2"/>
              <w:sz w:val="18"/>
              <w:szCs w:val="18"/>
            </w:rPr>
            <w:t>404</w:t>
          </w:r>
          <w:r>
            <w:rPr>
              <w:rFonts w:ascii="Times New Roman" w:hAnsi="Times New Roman" w:eastAsia="Times New Roman" w:cs="Times New Roman"/>
              <w:spacing w:val="2"/>
              <w:sz w:val="18"/>
              <w:szCs w:val="18"/>
            </w:rPr>
            <w:fldChar w:fldCharType="end"/>
          </w:r>
        </w:p>
        <w:p w14:paraId="30B42130">
          <w:pPr>
            <w:pStyle w:val="2"/>
            <w:tabs>
              <w:tab w:val="right" w:leader="dot" w:pos="3937"/>
            </w:tabs>
            <w:spacing w:before="97" w:line="219" w:lineRule="auto"/>
            <w:ind w:left="399"/>
            <w:rPr>
              <w:rFonts w:ascii="Times New Roman" w:hAnsi="Times New Roman" w:eastAsia="Times New Roman" w:cs="Times New Roman"/>
              <w:sz w:val="18"/>
              <w:szCs w:val="18"/>
            </w:rPr>
          </w:pPr>
          <w:bookmarkStart w:id="307" w:name="bookmark298"/>
          <w:bookmarkEnd w:id="307"/>
          <w:r>
            <w:fldChar w:fldCharType="begin"/>
          </w:r>
          <w:r>
            <w:instrText xml:space="preserve"> HYPERLINK \l "bookmark298" </w:instrText>
          </w:r>
          <w:r>
            <w:fldChar w:fldCharType="separate"/>
          </w:r>
          <w:r>
            <w:rPr>
              <w:rFonts w:ascii="Times New Roman" w:hAnsi="Times New Roman" w:eastAsia="Times New Roman" w:cs="Times New Roman"/>
              <w:spacing w:val="-2"/>
              <w:sz w:val="18"/>
              <w:szCs w:val="18"/>
            </w:rPr>
            <w:t xml:space="preserve">18.3.2    </w:t>
          </w:r>
          <w:r>
            <w:rPr>
              <w:spacing w:val="-2"/>
              <w:sz w:val="18"/>
              <w:szCs w:val="18"/>
            </w:rPr>
            <w:t>技术的类型</w:t>
          </w:r>
          <w:r>
            <w:rPr>
              <w:spacing w:val="-52"/>
              <w:sz w:val="18"/>
              <w:szCs w:val="18"/>
            </w:rPr>
            <w:t xml:space="preserve"> </w:t>
          </w:r>
          <w:r>
            <w:rPr>
              <w:sz w:val="18"/>
              <w:szCs w:val="18"/>
            </w:rPr>
            <w:tab/>
          </w:r>
          <w:r>
            <w:rPr>
              <w:rFonts w:ascii="Times New Roman" w:hAnsi="Times New Roman" w:eastAsia="Times New Roman" w:cs="Times New Roman"/>
              <w:spacing w:val="2"/>
              <w:sz w:val="18"/>
              <w:szCs w:val="18"/>
            </w:rPr>
            <w:t>404</w:t>
          </w:r>
          <w:r>
            <w:rPr>
              <w:rFonts w:ascii="Times New Roman" w:hAnsi="Times New Roman" w:eastAsia="Times New Roman" w:cs="Times New Roman"/>
              <w:spacing w:val="2"/>
              <w:sz w:val="18"/>
              <w:szCs w:val="18"/>
            </w:rPr>
            <w:fldChar w:fldCharType="end"/>
          </w:r>
        </w:p>
        <w:p w14:paraId="6BA22AAF">
          <w:pPr>
            <w:spacing w:line="336" w:lineRule="auto"/>
            <w:rPr>
              <w:rFonts w:ascii="Arial"/>
              <w:sz w:val="21"/>
            </w:rPr>
          </w:pPr>
        </w:p>
        <w:p w14:paraId="1ACAF0C0">
          <w:pPr>
            <w:spacing w:line="337" w:lineRule="auto"/>
            <w:rPr>
              <w:rFonts w:ascii="Arial"/>
              <w:sz w:val="21"/>
            </w:rPr>
          </w:pPr>
        </w:p>
        <w:p w14:paraId="47F5CB47">
          <w:pPr>
            <w:pStyle w:val="2"/>
            <w:tabs>
              <w:tab w:val="right" w:leader="dot" w:pos="3957"/>
            </w:tabs>
            <w:spacing w:before="59" w:line="184" w:lineRule="auto"/>
            <w:rPr>
              <w:rFonts w:ascii="Times New Roman" w:hAnsi="Times New Roman" w:eastAsia="Times New Roman" w:cs="Times New Roman"/>
              <w:sz w:val="18"/>
              <w:szCs w:val="18"/>
            </w:rPr>
          </w:pPr>
          <w:bookmarkStart w:id="308" w:name="bookmark299"/>
          <w:bookmarkEnd w:id="308"/>
          <w:r>
            <w:fldChar w:fldCharType="begin"/>
          </w:r>
          <w:r>
            <w:instrText xml:space="preserve"> HYPERLINK \l "bookmark299" </w:instrText>
          </w:r>
          <w:r>
            <w:fldChar w:fldCharType="separate"/>
          </w:r>
          <w:r>
            <w:rPr>
              <w:rFonts w:ascii="Times New Roman" w:hAnsi="Times New Roman" w:eastAsia="Times New Roman" w:cs="Times New Roman"/>
              <w:spacing w:val="5"/>
              <w:sz w:val="18"/>
              <w:szCs w:val="18"/>
            </w:rPr>
            <w:t>19.1</w:t>
          </w:r>
          <w:r>
            <w:rPr>
              <w:rFonts w:ascii="Times New Roman" w:hAnsi="Times New Roman" w:eastAsia="Times New Roman" w:cs="Times New Roman"/>
              <w:spacing w:val="15"/>
              <w:w w:val="101"/>
              <w:sz w:val="18"/>
              <w:szCs w:val="18"/>
            </w:rPr>
            <w:t xml:space="preserve">   </w:t>
          </w:r>
          <w:r>
            <w:rPr>
              <w:spacing w:val="5"/>
              <w:sz w:val="18"/>
              <w:szCs w:val="18"/>
            </w:rPr>
            <w:t>法律法规</w:t>
          </w:r>
          <w:r>
            <w:rPr>
              <w:spacing w:val="-68"/>
              <w:sz w:val="18"/>
              <w:szCs w:val="18"/>
            </w:rPr>
            <w:t xml:space="preserve"> </w:t>
          </w:r>
          <w:r>
            <w:rPr>
              <w:sz w:val="18"/>
              <w:szCs w:val="18"/>
            </w:rPr>
            <w:tab/>
          </w:r>
          <w:r>
            <w:rPr>
              <w:rFonts w:ascii="Times New Roman" w:hAnsi="Times New Roman" w:eastAsia="Times New Roman" w:cs="Times New Roman"/>
              <w:spacing w:val="2"/>
              <w:sz w:val="18"/>
              <w:szCs w:val="18"/>
            </w:rPr>
            <w:t>407</w:t>
          </w:r>
          <w:r>
            <w:rPr>
              <w:rFonts w:ascii="Times New Roman" w:hAnsi="Times New Roman" w:eastAsia="Times New Roman" w:cs="Times New Roman"/>
              <w:spacing w:val="2"/>
              <w:sz w:val="18"/>
              <w:szCs w:val="18"/>
            </w:rPr>
            <w:fldChar w:fldCharType="end"/>
          </w:r>
        </w:p>
      </w:sdtContent>
    </w:sdt>
    <w:p w14:paraId="1F84D65B">
      <w:pPr>
        <w:spacing w:line="184" w:lineRule="auto"/>
        <w:rPr>
          <w:rFonts w:ascii="Times New Roman" w:hAnsi="Times New Roman" w:eastAsia="Times New Roman" w:cs="Times New Roman"/>
          <w:sz w:val="18"/>
          <w:szCs w:val="18"/>
        </w:rPr>
        <w:sectPr>
          <w:pgSz w:w="10360" w:h="13260"/>
          <w:pgMar w:top="400" w:right="444" w:bottom="400" w:left="1239" w:header="0" w:footer="0" w:gutter="0"/>
          <w:cols w:equalWidth="0" w:num="2">
            <w:col w:w="4251" w:space="100"/>
            <w:col w:w="4326"/>
          </w:cols>
        </w:sectPr>
      </w:pPr>
    </w:p>
    <w:p w14:paraId="26BD182B">
      <w:pPr>
        <w:pStyle w:val="2"/>
        <w:spacing w:before="73" w:line="185" w:lineRule="auto"/>
        <w:rPr>
          <w:sz w:val="18"/>
          <w:szCs w:val="18"/>
        </w:rPr>
      </w:pPr>
      <w:bookmarkStart w:id="309" w:name="bookmark300"/>
      <w:bookmarkEnd w:id="309"/>
      <w:r>
        <w:rPr>
          <w:rFonts w:ascii="Times New Roman" w:hAnsi="Times New Roman" w:eastAsia="Times New Roman" w:cs="Times New Roman"/>
          <w:position w:val="-2"/>
          <w:sz w:val="33"/>
          <w:szCs w:val="33"/>
        </w:rPr>
        <w:t>VII</w:t>
      </w:r>
      <w:r>
        <w:rPr>
          <w:rFonts w:ascii="Times New Roman" w:hAnsi="Times New Roman" w:eastAsia="Times New Roman" w:cs="Times New Roman"/>
          <w:spacing w:val="11"/>
          <w:position w:val="-2"/>
          <w:sz w:val="33"/>
          <w:szCs w:val="33"/>
        </w:rPr>
        <w:t xml:space="preserve">      </w:t>
      </w:r>
      <w:r>
        <w:rPr>
          <w:spacing w:val="14"/>
          <w:sz w:val="18"/>
          <w:szCs w:val="18"/>
        </w:rPr>
        <w:t>信息系统监理师教程(第2版)</w:t>
      </w:r>
    </w:p>
    <w:p w14:paraId="1E58E4C0">
      <w:pPr>
        <w:spacing w:before="79"/>
      </w:pPr>
    </w:p>
    <w:p w14:paraId="6C694A9F">
      <w:pPr>
        <w:sectPr>
          <w:pgSz w:w="10400" w:h="13330"/>
          <w:pgMar w:top="400" w:right="1212" w:bottom="400" w:left="459" w:header="0" w:footer="0" w:gutter="0"/>
          <w:cols w:equalWidth="0" w:num="1">
            <w:col w:w="8728"/>
          </w:cols>
        </w:sectPr>
      </w:pPr>
    </w:p>
    <w:sdt>
      <w:sdtPr>
        <w:rPr>
          <w:rFonts w:ascii="Times New Roman" w:hAnsi="Times New Roman" w:eastAsia="Times New Roman" w:cs="Times New Roman"/>
          <w:sz w:val="18"/>
          <w:szCs w:val="18"/>
        </w:rPr>
        <w:id w:val="147468229"/>
        <w:docPartObj>
          <w:docPartGallery w:val="Table of Contents"/>
          <w:docPartUnique/>
        </w:docPartObj>
      </w:sdtPr>
      <w:sdtEndPr>
        <w:rPr>
          <w:rFonts w:ascii="Times New Roman" w:hAnsi="Times New Roman" w:eastAsia="Times New Roman" w:cs="Times New Roman"/>
          <w:sz w:val="18"/>
          <w:szCs w:val="18"/>
        </w:rPr>
      </w:sdtEndPr>
      <w:sdtContent>
        <w:p w14:paraId="162CB626">
          <w:pPr>
            <w:pStyle w:val="2"/>
            <w:tabs>
              <w:tab w:val="right" w:leader="dot" w:pos="4357"/>
            </w:tabs>
            <w:spacing w:before="19" w:line="219" w:lineRule="auto"/>
            <w:ind w:left="789"/>
            <w:rPr>
              <w:rFonts w:ascii="Times New Roman" w:hAnsi="Times New Roman" w:eastAsia="Times New Roman" w:cs="Times New Roman"/>
              <w:sz w:val="18"/>
              <w:szCs w:val="18"/>
            </w:rPr>
          </w:pPr>
          <w:bookmarkStart w:id="310" w:name="bookmark301"/>
          <w:bookmarkEnd w:id="310"/>
          <w:r>
            <w:fldChar w:fldCharType="begin"/>
          </w:r>
          <w:r>
            <w:instrText xml:space="preserve"> HYPERLINK \l "bookmark301" </w:instrText>
          </w:r>
          <w:r>
            <w:fldChar w:fldCharType="separate"/>
          </w:r>
          <w:r>
            <w:rPr>
              <w:rFonts w:ascii="Times New Roman" w:hAnsi="Times New Roman" w:eastAsia="Times New Roman" w:cs="Times New Roman"/>
              <w:sz w:val="18"/>
              <w:szCs w:val="18"/>
            </w:rPr>
            <w:t xml:space="preserve">19.1.1    </w:t>
          </w:r>
          <w:r>
            <w:rPr>
              <w:sz w:val="18"/>
              <w:szCs w:val="18"/>
            </w:rPr>
            <w:t>法律的基本概念</w:t>
          </w:r>
          <w:r>
            <w:rPr>
              <w:spacing w:val="-61"/>
              <w:sz w:val="18"/>
              <w:szCs w:val="18"/>
            </w:rPr>
            <w:t xml:space="preserve"> </w:t>
          </w:r>
          <w:r>
            <w:rPr>
              <w:sz w:val="18"/>
              <w:szCs w:val="18"/>
            </w:rPr>
            <w:tab/>
          </w:r>
          <w:r>
            <w:rPr>
              <w:rFonts w:ascii="Times New Roman" w:hAnsi="Times New Roman" w:eastAsia="Times New Roman" w:cs="Times New Roman"/>
              <w:spacing w:val="2"/>
              <w:sz w:val="18"/>
              <w:szCs w:val="18"/>
            </w:rPr>
            <w:t>407</w:t>
          </w:r>
          <w:r>
            <w:rPr>
              <w:rFonts w:ascii="Times New Roman" w:hAnsi="Times New Roman" w:eastAsia="Times New Roman" w:cs="Times New Roman"/>
              <w:spacing w:val="2"/>
              <w:sz w:val="18"/>
              <w:szCs w:val="18"/>
            </w:rPr>
            <w:fldChar w:fldCharType="end"/>
          </w:r>
        </w:p>
        <w:p w14:paraId="3DE69C78">
          <w:pPr>
            <w:pStyle w:val="2"/>
            <w:tabs>
              <w:tab w:val="right" w:leader="dot" w:pos="4357"/>
            </w:tabs>
            <w:spacing w:before="97" w:line="219" w:lineRule="auto"/>
            <w:ind w:left="789"/>
            <w:rPr>
              <w:rFonts w:ascii="Times New Roman" w:hAnsi="Times New Roman" w:eastAsia="Times New Roman" w:cs="Times New Roman"/>
              <w:sz w:val="18"/>
              <w:szCs w:val="18"/>
            </w:rPr>
          </w:pPr>
          <w:bookmarkStart w:id="311" w:name="bookmark302"/>
          <w:bookmarkEnd w:id="311"/>
          <w:r>
            <w:fldChar w:fldCharType="begin"/>
          </w:r>
          <w:r>
            <w:instrText xml:space="preserve"> HYPERLINK \l "bookmark302" </w:instrText>
          </w:r>
          <w:r>
            <w:fldChar w:fldCharType="separate"/>
          </w:r>
          <w:r>
            <w:rPr>
              <w:rFonts w:ascii="Times New Roman" w:hAnsi="Times New Roman" w:eastAsia="Times New Roman" w:cs="Times New Roman"/>
              <w:spacing w:val="1"/>
              <w:sz w:val="18"/>
              <w:szCs w:val="18"/>
            </w:rPr>
            <w:t>19.1.2</w:t>
          </w:r>
          <w:r>
            <w:rPr>
              <w:rFonts w:ascii="Times New Roman" w:hAnsi="Times New Roman" w:eastAsia="Times New Roman" w:cs="Times New Roman"/>
              <w:spacing w:val="12"/>
              <w:sz w:val="18"/>
              <w:szCs w:val="18"/>
            </w:rPr>
            <w:t xml:space="preserve">   </w:t>
          </w:r>
          <w:r>
            <w:rPr>
              <w:spacing w:val="1"/>
              <w:sz w:val="18"/>
              <w:szCs w:val="18"/>
            </w:rPr>
            <w:t>我国现行法律体系</w:t>
          </w:r>
          <w:r>
            <w:rPr>
              <w:spacing w:val="-77"/>
              <w:sz w:val="18"/>
              <w:szCs w:val="18"/>
            </w:rPr>
            <w:t xml:space="preserve"> </w:t>
          </w:r>
          <w:r>
            <w:rPr>
              <w:sz w:val="18"/>
              <w:szCs w:val="18"/>
            </w:rPr>
            <w:tab/>
          </w:r>
          <w:r>
            <w:rPr>
              <w:rFonts w:ascii="Times New Roman" w:hAnsi="Times New Roman" w:eastAsia="Times New Roman" w:cs="Times New Roman"/>
              <w:spacing w:val="2"/>
              <w:sz w:val="18"/>
              <w:szCs w:val="18"/>
            </w:rPr>
            <w:t>407</w:t>
          </w:r>
          <w:r>
            <w:rPr>
              <w:rFonts w:ascii="Times New Roman" w:hAnsi="Times New Roman" w:eastAsia="Times New Roman" w:cs="Times New Roman"/>
              <w:spacing w:val="2"/>
              <w:sz w:val="18"/>
              <w:szCs w:val="18"/>
            </w:rPr>
            <w:fldChar w:fldCharType="end"/>
          </w:r>
        </w:p>
        <w:p w14:paraId="228C1B62">
          <w:pPr>
            <w:pStyle w:val="2"/>
            <w:tabs>
              <w:tab w:val="right" w:leader="dot" w:pos="4357"/>
            </w:tabs>
            <w:spacing w:before="87" w:line="220" w:lineRule="auto"/>
            <w:ind w:left="789"/>
            <w:rPr>
              <w:rFonts w:ascii="Times New Roman" w:hAnsi="Times New Roman" w:eastAsia="Times New Roman" w:cs="Times New Roman"/>
              <w:sz w:val="18"/>
              <w:szCs w:val="18"/>
            </w:rPr>
          </w:pPr>
          <w:bookmarkStart w:id="312" w:name="bookmark303"/>
          <w:bookmarkEnd w:id="312"/>
          <w:r>
            <w:fldChar w:fldCharType="begin"/>
          </w:r>
          <w:r>
            <w:instrText xml:space="preserve"> HYPERLINK \l "bookmark303" </w:instrText>
          </w:r>
          <w:r>
            <w:fldChar w:fldCharType="separate"/>
          </w:r>
          <w:r>
            <w:rPr>
              <w:rFonts w:ascii="Times New Roman" w:hAnsi="Times New Roman" w:eastAsia="Times New Roman" w:cs="Times New Roman"/>
              <w:spacing w:val="-1"/>
              <w:sz w:val="18"/>
              <w:szCs w:val="18"/>
            </w:rPr>
            <w:t xml:space="preserve">19.1.3    </w:t>
          </w:r>
          <w:r>
            <w:rPr>
              <w:spacing w:val="-1"/>
              <w:sz w:val="18"/>
              <w:szCs w:val="18"/>
            </w:rPr>
            <w:t>诉讼时效</w:t>
          </w:r>
          <w:r>
            <w:rPr>
              <w:spacing w:val="-58"/>
              <w:sz w:val="18"/>
              <w:szCs w:val="18"/>
            </w:rPr>
            <w:t xml:space="preserve"> </w:t>
          </w:r>
          <w:r>
            <w:rPr>
              <w:sz w:val="18"/>
              <w:szCs w:val="18"/>
            </w:rPr>
            <w:tab/>
          </w:r>
          <w:r>
            <w:rPr>
              <w:rFonts w:ascii="Times New Roman" w:hAnsi="Times New Roman" w:eastAsia="Times New Roman" w:cs="Times New Roman"/>
              <w:spacing w:val="2"/>
              <w:sz w:val="18"/>
              <w:szCs w:val="18"/>
            </w:rPr>
            <w:t>407</w:t>
          </w:r>
          <w:r>
            <w:rPr>
              <w:rFonts w:ascii="Times New Roman" w:hAnsi="Times New Roman" w:eastAsia="Times New Roman" w:cs="Times New Roman"/>
              <w:spacing w:val="2"/>
              <w:sz w:val="18"/>
              <w:szCs w:val="18"/>
            </w:rPr>
            <w:fldChar w:fldCharType="end"/>
          </w:r>
        </w:p>
        <w:p w14:paraId="68884361">
          <w:pPr>
            <w:pStyle w:val="2"/>
            <w:tabs>
              <w:tab w:val="right" w:leader="dot" w:pos="4347"/>
            </w:tabs>
            <w:spacing w:before="104" w:line="219" w:lineRule="auto"/>
            <w:ind w:left="789"/>
            <w:rPr>
              <w:rFonts w:ascii="Times New Roman" w:hAnsi="Times New Roman" w:eastAsia="Times New Roman" w:cs="Times New Roman"/>
              <w:sz w:val="18"/>
              <w:szCs w:val="18"/>
            </w:rPr>
          </w:pPr>
          <w:bookmarkStart w:id="313" w:name="bookmark304"/>
          <w:bookmarkEnd w:id="313"/>
          <w:r>
            <w:fldChar w:fldCharType="begin"/>
          </w:r>
          <w:r>
            <w:instrText xml:space="preserve"> HYPERLINK \l "bookmark304" </w:instrText>
          </w:r>
          <w:r>
            <w:fldChar w:fldCharType="separate"/>
          </w:r>
          <w:r>
            <w:rPr>
              <w:rFonts w:ascii="Times New Roman" w:hAnsi="Times New Roman" w:eastAsia="Times New Roman" w:cs="Times New Roman"/>
              <w:sz w:val="18"/>
              <w:szCs w:val="18"/>
            </w:rPr>
            <w:t xml:space="preserve">19.1.4    </w:t>
          </w:r>
          <w:r>
            <w:rPr>
              <w:sz w:val="18"/>
              <w:szCs w:val="18"/>
            </w:rPr>
            <w:t>信息系统工程常用的法律法规</w:t>
          </w:r>
          <w:r>
            <w:rPr>
              <w:spacing w:val="-62"/>
              <w:sz w:val="18"/>
              <w:szCs w:val="18"/>
            </w:rPr>
            <w:t xml:space="preserve"> </w:t>
          </w:r>
          <w:r>
            <w:rPr>
              <w:sz w:val="18"/>
              <w:szCs w:val="18"/>
            </w:rPr>
            <w:tab/>
          </w:r>
          <w:r>
            <w:rPr>
              <w:rFonts w:ascii="Times New Roman" w:hAnsi="Times New Roman" w:eastAsia="Times New Roman" w:cs="Times New Roman"/>
              <w:spacing w:val="3"/>
              <w:sz w:val="18"/>
              <w:szCs w:val="18"/>
            </w:rPr>
            <w:t>408</w:t>
          </w:r>
          <w:r>
            <w:rPr>
              <w:rFonts w:ascii="Times New Roman" w:hAnsi="Times New Roman" w:eastAsia="Times New Roman" w:cs="Times New Roman"/>
              <w:spacing w:val="3"/>
              <w:sz w:val="18"/>
              <w:szCs w:val="18"/>
            </w:rPr>
            <w:fldChar w:fldCharType="end"/>
          </w:r>
        </w:p>
        <w:p w14:paraId="75A830BC">
          <w:pPr>
            <w:pStyle w:val="2"/>
            <w:tabs>
              <w:tab w:val="right" w:leader="dot" w:pos="4347"/>
            </w:tabs>
            <w:spacing w:before="117" w:line="220" w:lineRule="auto"/>
            <w:ind w:left="390"/>
            <w:rPr>
              <w:rFonts w:ascii="Times New Roman" w:hAnsi="Times New Roman" w:eastAsia="Times New Roman" w:cs="Times New Roman"/>
              <w:sz w:val="18"/>
              <w:szCs w:val="18"/>
            </w:rPr>
          </w:pPr>
          <w:bookmarkStart w:id="314" w:name="bookmark305"/>
          <w:bookmarkEnd w:id="314"/>
          <w:r>
            <w:fldChar w:fldCharType="begin"/>
          </w:r>
          <w:r>
            <w:instrText xml:space="preserve"> HYPERLINK \l "bookmark305" </w:instrText>
          </w:r>
          <w:r>
            <w:fldChar w:fldCharType="separate"/>
          </w:r>
          <w:r>
            <w:rPr>
              <w:rFonts w:ascii="Times New Roman" w:hAnsi="Times New Roman" w:eastAsia="Times New Roman" w:cs="Times New Roman"/>
              <w:spacing w:val="1"/>
              <w:sz w:val="18"/>
              <w:szCs w:val="18"/>
            </w:rPr>
            <w:t xml:space="preserve">19.2    </w:t>
          </w:r>
          <w:r>
            <w:rPr>
              <w:spacing w:val="1"/>
              <w:sz w:val="18"/>
              <w:szCs w:val="18"/>
            </w:rPr>
            <w:t>标准规范</w:t>
          </w:r>
          <w:r>
            <w:rPr>
              <w:spacing w:val="-69"/>
              <w:sz w:val="18"/>
              <w:szCs w:val="18"/>
            </w:rPr>
            <w:t xml:space="preserve"> </w:t>
          </w:r>
          <w:r>
            <w:rPr>
              <w:sz w:val="18"/>
              <w:szCs w:val="18"/>
            </w:rPr>
            <w:tab/>
          </w:r>
          <w:r>
            <w:rPr>
              <w:rFonts w:ascii="Times New Roman" w:hAnsi="Times New Roman" w:eastAsia="Times New Roman" w:cs="Times New Roman"/>
              <w:spacing w:val="2"/>
              <w:sz w:val="18"/>
              <w:szCs w:val="18"/>
            </w:rPr>
            <w:t>412</w:t>
          </w:r>
          <w:r>
            <w:rPr>
              <w:rFonts w:ascii="Times New Roman" w:hAnsi="Times New Roman" w:eastAsia="Times New Roman" w:cs="Times New Roman"/>
              <w:spacing w:val="2"/>
              <w:sz w:val="18"/>
              <w:szCs w:val="18"/>
            </w:rPr>
            <w:fldChar w:fldCharType="end"/>
          </w:r>
        </w:p>
        <w:p w14:paraId="0DA3EAB3">
          <w:pPr>
            <w:pStyle w:val="2"/>
            <w:tabs>
              <w:tab w:val="right" w:leader="dot" w:pos="4347"/>
            </w:tabs>
            <w:spacing w:before="85" w:line="219" w:lineRule="auto"/>
            <w:ind w:left="789"/>
            <w:rPr>
              <w:rFonts w:ascii="Times New Roman" w:hAnsi="Times New Roman" w:eastAsia="Times New Roman" w:cs="Times New Roman"/>
              <w:sz w:val="18"/>
              <w:szCs w:val="18"/>
            </w:rPr>
          </w:pPr>
          <w:bookmarkStart w:id="315" w:name="bookmark306"/>
          <w:bookmarkEnd w:id="315"/>
          <w:r>
            <w:fldChar w:fldCharType="begin"/>
          </w:r>
          <w:r>
            <w:instrText xml:space="preserve"> HYPERLINK \l "bookmark306" </w:instrText>
          </w:r>
          <w:r>
            <w:fldChar w:fldCharType="separate"/>
          </w:r>
          <w:r>
            <w:rPr>
              <w:rFonts w:ascii="Times New Roman" w:hAnsi="Times New Roman" w:eastAsia="Times New Roman" w:cs="Times New Roman"/>
              <w:sz w:val="18"/>
              <w:szCs w:val="18"/>
            </w:rPr>
            <w:t xml:space="preserve">19.2.1    </w:t>
          </w:r>
          <w:r>
            <w:rPr>
              <w:sz w:val="18"/>
              <w:szCs w:val="18"/>
            </w:rPr>
            <w:t>标准的概念及分类</w:t>
          </w:r>
          <w:r>
            <w:rPr>
              <w:spacing w:val="-61"/>
              <w:sz w:val="18"/>
              <w:szCs w:val="18"/>
            </w:rPr>
            <w:t xml:space="preserve"> </w:t>
          </w:r>
          <w:r>
            <w:rPr>
              <w:sz w:val="18"/>
              <w:szCs w:val="18"/>
            </w:rPr>
            <w:tab/>
          </w:r>
          <w:r>
            <w:rPr>
              <w:rFonts w:ascii="Times New Roman" w:hAnsi="Times New Roman" w:eastAsia="Times New Roman" w:cs="Times New Roman"/>
              <w:spacing w:val="2"/>
              <w:sz w:val="18"/>
              <w:szCs w:val="18"/>
            </w:rPr>
            <w:t>412</w:t>
          </w:r>
          <w:r>
            <w:rPr>
              <w:rFonts w:ascii="Times New Roman" w:hAnsi="Times New Roman" w:eastAsia="Times New Roman" w:cs="Times New Roman"/>
              <w:spacing w:val="2"/>
              <w:sz w:val="18"/>
              <w:szCs w:val="18"/>
            </w:rPr>
            <w:fldChar w:fldCharType="end"/>
          </w:r>
        </w:p>
        <w:p w14:paraId="77360A3E">
          <w:pPr>
            <w:pStyle w:val="2"/>
            <w:tabs>
              <w:tab w:val="right" w:leader="dot" w:pos="4337"/>
            </w:tabs>
            <w:spacing w:before="97" w:line="184" w:lineRule="auto"/>
            <w:ind w:left="789"/>
            <w:rPr>
              <w:rFonts w:ascii="Times New Roman" w:hAnsi="Times New Roman" w:eastAsia="Times New Roman" w:cs="Times New Roman"/>
              <w:sz w:val="18"/>
              <w:szCs w:val="18"/>
            </w:rPr>
          </w:pPr>
          <w:bookmarkStart w:id="316" w:name="bookmark307"/>
          <w:bookmarkEnd w:id="316"/>
          <w:r>
            <w:fldChar w:fldCharType="begin"/>
          </w:r>
          <w:r>
            <w:instrText xml:space="preserve"> HYPERLINK \l "bookmark307" </w:instrText>
          </w:r>
          <w:r>
            <w:fldChar w:fldCharType="separate"/>
          </w:r>
          <w:r>
            <w:rPr>
              <w:rFonts w:ascii="Times New Roman" w:hAnsi="Times New Roman" w:eastAsia="Times New Roman" w:cs="Times New Roman"/>
              <w:sz w:val="18"/>
              <w:szCs w:val="18"/>
            </w:rPr>
            <w:t xml:space="preserve">19.2.2    </w:t>
          </w:r>
          <w:r>
            <w:rPr>
              <w:sz w:val="18"/>
              <w:szCs w:val="18"/>
            </w:rPr>
            <w:t>信息化标准体系</w:t>
          </w:r>
          <w:r>
            <w:rPr>
              <w:spacing w:val="-71"/>
              <w:sz w:val="18"/>
              <w:szCs w:val="18"/>
            </w:rPr>
            <w:t xml:space="preserve"> </w:t>
          </w:r>
          <w:r>
            <w:rPr>
              <w:sz w:val="18"/>
              <w:szCs w:val="18"/>
            </w:rPr>
            <w:tab/>
          </w:r>
          <w:r>
            <w:rPr>
              <w:rFonts w:ascii="Times New Roman" w:hAnsi="Times New Roman" w:eastAsia="Times New Roman" w:cs="Times New Roman"/>
              <w:spacing w:val="2"/>
              <w:sz w:val="18"/>
              <w:szCs w:val="18"/>
            </w:rPr>
            <w:t>415</w:t>
          </w:r>
          <w:r>
            <w:rPr>
              <w:rFonts w:ascii="Times New Roman" w:hAnsi="Times New Roman" w:eastAsia="Times New Roman" w:cs="Times New Roman"/>
              <w:spacing w:val="2"/>
              <w:sz w:val="18"/>
              <w:szCs w:val="18"/>
            </w:rPr>
            <w:fldChar w:fldCharType="end"/>
          </w:r>
        </w:p>
      </w:sdtContent>
    </w:sdt>
    <w:p w14:paraId="40CCDB54">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8"/>
          <w:szCs w:val="18"/>
        </w:rPr>
        <w:id w:val="147452513"/>
        <w:docPartObj>
          <w:docPartGallery w:val="Table of Contents"/>
          <w:docPartUnique/>
        </w:docPartObj>
      </w:sdtPr>
      <w:sdtEndPr>
        <w:rPr>
          <w:rFonts w:ascii="Times New Roman" w:hAnsi="Times New Roman" w:eastAsia="Times New Roman" w:cs="Times New Roman"/>
          <w:sz w:val="18"/>
          <w:szCs w:val="18"/>
        </w:rPr>
      </w:sdtEndPr>
      <w:sdtContent>
        <w:p w14:paraId="2573324F">
          <w:pPr>
            <w:pStyle w:val="2"/>
            <w:tabs>
              <w:tab w:val="right" w:leader="dot" w:pos="3917"/>
            </w:tabs>
            <w:spacing w:line="217" w:lineRule="auto"/>
            <w:ind w:left="390"/>
            <w:rPr>
              <w:rFonts w:ascii="Times New Roman" w:hAnsi="Times New Roman" w:eastAsia="Times New Roman" w:cs="Times New Roman"/>
              <w:sz w:val="18"/>
              <w:szCs w:val="18"/>
            </w:rPr>
          </w:pPr>
          <w:bookmarkStart w:id="317" w:name="bookmark308"/>
          <w:bookmarkEnd w:id="317"/>
          <w:r>
            <w:fldChar w:fldCharType="begin"/>
          </w:r>
          <w:r>
            <w:instrText xml:space="preserve"> HYPERLINK \l "bookmark308" </w:instrText>
          </w:r>
          <w:r>
            <w:fldChar w:fldCharType="separate"/>
          </w:r>
          <w:r>
            <w:rPr>
              <w:rFonts w:ascii="Times New Roman" w:hAnsi="Times New Roman" w:eastAsia="Times New Roman" w:cs="Times New Roman"/>
              <w:spacing w:val="-2"/>
              <w:sz w:val="18"/>
              <w:szCs w:val="18"/>
            </w:rPr>
            <w:t xml:space="preserve">19.2.3    </w:t>
          </w:r>
          <w:r>
            <w:rPr>
              <w:spacing w:val="-2"/>
              <w:sz w:val="18"/>
              <w:szCs w:val="18"/>
            </w:rPr>
            <w:t>系统与软件工程标准</w:t>
          </w:r>
          <w:r>
            <w:rPr>
              <w:spacing w:val="-43"/>
              <w:sz w:val="18"/>
              <w:szCs w:val="18"/>
            </w:rPr>
            <w:t xml:space="preserve"> </w:t>
          </w:r>
          <w:r>
            <w:rPr>
              <w:sz w:val="18"/>
              <w:szCs w:val="18"/>
            </w:rPr>
            <w:tab/>
          </w:r>
          <w:r>
            <w:rPr>
              <w:rFonts w:ascii="Times New Roman" w:hAnsi="Times New Roman" w:eastAsia="Times New Roman" w:cs="Times New Roman"/>
              <w:spacing w:val="3"/>
              <w:sz w:val="18"/>
              <w:szCs w:val="18"/>
            </w:rPr>
            <w:t>415</w:t>
          </w:r>
          <w:r>
            <w:rPr>
              <w:rFonts w:ascii="Times New Roman" w:hAnsi="Times New Roman" w:eastAsia="Times New Roman" w:cs="Times New Roman"/>
              <w:spacing w:val="3"/>
              <w:sz w:val="18"/>
              <w:szCs w:val="18"/>
            </w:rPr>
            <w:fldChar w:fldCharType="end"/>
          </w:r>
        </w:p>
        <w:p w14:paraId="22C289E2">
          <w:pPr>
            <w:pStyle w:val="2"/>
            <w:tabs>
              <w:tab w:val="right" w:leader="dot" w:pos="3957"/>
            </w:tabs>
            <w:spacing w:before="106" w:line="219" w:lineRule="auto"/>
            <w:ind w:left="390"/>
            <w:rPr>
              <w:rFonts w:ascii="Times New Roman" w:hAnsi="Times New Roman" w:eastAsia="Times New Roman" w:cs="Times New Roman"/>
              <w:sz w:val="18"/>
              <w:szCs w:val="18"/>
            </w:rPr>
          </w:pPr>
          <w:bookmarkStart w:id="318" w:name="bookmark309"/>
          <w:bookmarkEnd w:id="318"/>
          <w:r>
            <w:fldChar w:fldCharType="begin"/>
          </w:r>
          <w:r>
            <w:instrText xml:space="preserve"> HYPERLINK \l "bookmark309" </w:instrText>
          </w:r>
          <w:r>
            <w:fldChar w:fldCharType="separate"/>
          </w:r>
          <w:r>
            <w:rPr>
              <w:rFonts w:ascii="Times New Roman" w:hAnsi="Times New Roman" w:eastAsia="Times New Roman" w:cs="Times New Roman"/>
              <w:spacing w:val="-2"/>
              <w:sz w:val="18"/>
              <w:szCs w:val="18"/>
            </w:rPr>
            <w:t xml:space="preserve">19.2.4    </w:t>
          </w:r>
          <w:r>
            <w:rPr>
              <w:spacing w:val="-2"/>
              <w:sz w:val="18"/>
              <w:szCs w:val="18"/>
            </w:rPr>
            <w:t>信息技术标准</w:t>
          </w:r>
          <w:r>
            <w:rPr>
              <w:spacing w:val="-39"/>
              <w:sz w:val="18"/>
              <w:szCs w:val="18"/>
            </w:rPr>
            <w:t xml:space="preserve"> </w:t>
          </w:r>
          <w:r>
            <w:rPr>
              <w:sz w:val="18"/>
              <w:szCs w:val="18"/>
            </w:rPr>
            <w:tab/>
          </w:r>
          <w:r>
            <w:rPr>
              <w:rFonts w:ascii="Times New Roman" w:hAnsi="Times New Roman" w:eastAsia="Times New Roman" w:cs="Times New Roman"/>
              <w:spacing w:val="2"/>
              <w:sz w:val="18"/>
              <w:szCs w:val="18"/>
            </w:rPr>
            <w:t>419</w:t>
          </w:r>
          <w:r>
            <w:rPr>
              <w:rFonts w:ascii="Times New Roman" w:hAnsi="Times New Roman" w:eastAsia="Times New Roman" w:cs="Times New Roman"/>
              <w:spacing w:val="2"/>
              <w:sz w:val="18"/>
              <w:szCs w:val="18"/>
            </w:rPr>
            <w:fldChar w:fldCharType="end"/>
          </w:r>
        </w:p>
        <w:p w14:paraId="792C696F">
          <w:pPr>
            <w:pStyle w:val="2"/>
            <w:tabs>
              <w:tab w:val="right" w:leader="dot" w:pos="3957"/>
            </w:tabs>
            <w:spacing w:before="87" w:line="219" w:lineRule="auto"/>
            <w:ind w:left="390"/>
            <w:rPr>
              <w:rFonts w:ascii="Times New Roman" w:hAnsi="Times New Roman" w:eastAsia="Times New Roman" w:cs="Times New Roman"/>
              <w:sz w:val="18"/>
              <w:szCs w:val="18"/>
            </w:rPr>
          </w:pPr>
          <w:bookmarkStart w:id="319" w:name="bookmark310"/>
          <w:bookmarkEnd w:id="319"/>
          <w:r>
            <w:fldChar w:fldCharType="begin"/>
          </w:r>
          <w:r>
            <w:instrText xml:space="preserve"> HYPERLINK \l "bookmark310" </w:instrText>
          </w:r>
          <w:r>
            <w:fldChar w:fldCharType="separate"/>
          </w:r>
          <w:r>
            <w:rPr>
              <w:rFonts w:ascii="Times New Roman" w:hAnsi="Times New Roman" w:eastAsia="Times New Roman" w:cs="Times New Roman"/>
              <w:spacing w:val="-1"/>
              <w:sz w:val="18"/>
              <w:szCs w:val="18"/>
            </w:rPr>
            <w:t xml:space="preserve">19.2.5    </w:t>
          </w:r>
          <w:r>
            <w:rPr>
              <w:spacing w:val="-1"/>
              <w:sz w:val="18"/>
              <w:szCs w:val="18"/>
            </w:rPr>
            <w:t>信息技术服务标准</w:t>
          </w:r>
          <w:r>
            <w:rPr>
              <w:spacing w:val="-54"/>
              <w:sz w:val="18"/>
              <w:szCs w:val="18"/>
            </w:rPr>
            <w:t xml:space="preserve"> </w:t>
          </w:r>
          <w:r>
            <w:rPr>
              <w:sz w:val="18"/>
              <w:szCs w:val="18"/>
            </w:rPr>
            <w:tab/>
          </w:r>
          <w:r>
            <w:rPr>
              <w:rFonts w:ascii="Times New Roman" w:hAnsi="Times New Roman" w:eastAsia="Times New Roman" w:cs="Times New Roman"/>
              <w:spacing w:val="2"/>
              <w:sz w:val="18"/>
              <w:szCs w:val="18"/>
            </w:rPr>
            <w:t>427</w:t>
          </w:r>
          <w:r>
            <w:rPr>
              <w:rFonts w:ascii="Times New Roman" w:hAnsi="Times New Roman" w:eastAsia="Times New Roman" w:cs="Times New Roman"/>
              <w:spacing w:val="2"/>
              <w:sz w:val="18"/>
              <w:szCs w:val="18"/>
            </w:rPr>
            <w:fldChar w:fldCharType="end"/>
          </w:r>
        </w:p>
        <w:p w14:paraId="478F6813">
          <w:pPr>
            <w:pStyle w:val="2"/>
            <w:tabs>
              <w:tab w:val="right" w:leader="dot" w:pos="3947"/>
            </w:tabs>
            <w:spacing w:before="108" w:line="221" w:lineRule="auto"/>
            <w:rPr>
              <w:rFonts w:ascii="Times New Roman" w:hAnsi="Times New Roman" w:eastAsia="Times New Roman" w:cs="Times New Roman"/>
              <w:sz w:val="18"/>
              <w:szCs w:val="18"/>
            </w:rPr>
          </w:pPr>
          <w:bookmarkStart w:id="320" w:name="bookmark311"/>
          <w:bookmarkEnd w:id="320"/>
          <w:r>
            <w:fldChar w:fldCharType="begin"/>
          </w:r>
          <w:r>
            <w:instrText xml:space="preserve"> HYPERLINK \l "bookmark311" </w:instrText>
          </w:r>
          <w:r>
            <w:fldChar w:fldCharType="separate"/>
          </w:r>
          <w:r>
            <w:rPr>
              <w:rFonts w:ascii="Times New Roman" w:hAnsi="Times New Roman" w:eastAsia="Times New Roman" w:cs="Times New Roman"/>
              <w:spacing w:val="-4"/>
              <w:sz w:val="18"/>
              <w:szCs w:val="18"/>
            </w:rPr>
            <w:t>19.3</w:t>
          </w:r>
          <w:r>
            <w:rPr>
              <w:rFonts w:ascii="Times New Roman" w:hAnsi="Times New Roman" w:eastAsia="Times New Roman" w:cs="Times New Roman"/>
              <w:spacing w:val="4"/>
              <w:sz w:val="18"/>
              <w:szCs w:val="18"/>
            </w:rPr>
            <w:t xml:space="preserve">    </w:t>
          </w:r>
          <w:r>
            <w:rPr>
              <w:spacing w:val="-4"/>
              <w:sz w:val="18"/>
              <w:szCs w:val="18"/>
            </w:rPr>
            <w:t>监理合同</w:t>
          </w:r>
          <w:r>
            <w:rPr>
              <w:spacing w:val="-60"/>
              <w:sz w:val="18"/>
              <w:szCs w:val="18"/>
            </w:rPr>
            <w:t xml:space="preserve"> </w:t>
          </w:r>
          <w:r>
            <w:rPr>
              <w:sz w:val="18"/>
              <w:szCs w:val="18"/>
            </w:rPr>
            <w:tab/>
          </w:r>
          <w:r>
            <w:rPr>
              <w:rFonts w:ascii="Times New Roman" w:hAnsi="Times New Roman" w:eastAsia="Times New Roman" w:cs="Times New Roman"/>
              <w:spacing w:val="2"/>
              <w:sz w:val="18"/>
              <w:szCs w:val="18"/>
            </w:rPr>
            <w:t>428</w:t>
          </w:r>
          <w:r>
            <w:rPr>
              <w:rFonts w:ascii="Times New Roman" w:hAnsi="Times New Roman" w:eastAsia="Times New Roman" w:cs="Times New Roman"/>
              <w:spacing w:val="2"/>
              <w:sz w:val="18"/>
              <w:szCs w:val="18"/>
            </w:rPr>
            <w:fldChar w:fldCharType="end"/>
          </w:r>
        </w:p>
        <w:p w14:paraId="4E406C08">
          <w:pPr>
            <w:pStyle w:val="2"/>
            <w:tabs>
              <w:tab w:val="right" w:leader="dot" w:pos="3947"/>
            </w:tabs>
            <w:spacing w:before="93" w:line="219" w:lineRule="auto"/>
            <w:rPr>
              <w:rFonts w:ascii="Times New Roman" w:hAnsi="Times New Roman" w:eastAsia="Times New Roman" w:cs="Times New Roman"/>
              <w:sz w:val="18"/>
              <w:szCs w:val="18"/>
            </w:rPr>
          </w:pPr>
          <w:bookmarkStart w:id="321" w:name="bookmark312"/>
          <w:bookmarkEnd w:id="321"/>
          <w:r>
            <w:fldChar w:fldCharType="begin"/>
          </w:r>
          <w:r>
            <w:instrText xml:space="preserve"> HYPERLINK \l "bookmark312" </w:instrText>
          </w:r>
          <w:r>
            <w:fldChar w:fldCharType="separate"/>
          </w:r>
          <w:r>
            <w:rPr>
              <w:rFonts w:ascii="Times New Roman" w:hAnsi="Times New Roman" w:eastAsia="Times New Roman" w:cs="Times New Roman"/>
              <w:spacing w:val="-3"/>
              <w:sz w:val="18"/>
              <w:szCs w:val="18"/>
            </w:rPr>
            <w:t>19.4</w:t>
          </w:r>
          <w:r>
            <w:rPr>
              <w:rFonts w:ascii="Times New Roman" w:hAnsi="Times New Roman" w:eastAsia="Times New Roman" w:cs="Times New Roman"/>
              <w:spacing w:val="4"/>
              <w:sz w:val="18"/>
              <w:szCs w:val="18"/>
            </w:rPr>
            <w:t xml:space="preserve">    </w:t>
          </w:r>
          <w:r>
            <w:rPr>
              <w:spacing w:val="-3"/>
              <w:sz w:val="18"/>
              <w:szCs w:val="18"/>
            </w:rPr>
            <w:t>监理服务能力</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430</w:t>
          </w:r>
          <w:r>
            <w:rPr>
              <w:rFonts w:ascii="Times New Roman" w:hAnsi="Times New Roman" w:eastAsia="Times New Roman" w:cs="Times New Roman"/>
              <w:spacing w:val="2"/>
              <w:sz w:val="18"/>
              <w:szCs w:val="18"/>
            </w:rPr>
            <w:fldChar w:fldCharType="end"/>
          </w:r>
        </w:p>
      </w:sdtContent>
    </w:sdt>
    <w:p w14:paraId="5F86D7E8">
      <w:pPr>
        <w:spacing w:line="219" w:lineRule="auto"/>
        <w:rPr>
          <w:rFonts w:ascii="Times New Roman" w:hAnsi="Times New Roman" w:eastAsia="Times New Roman" w:cs="Times New Roman"/>
          <w:sz w:val="18"/>
          <w:szCs w:val="18"/>
        </w:rPr>
        <w:sectPr>
          <w:type w:val="continuous"/>
          <w:pgSz w:w="10400" w:h="13330"/>
          <w:pgMar w:top="400" w:right="1212" w:bottom="400" w:left="459" w:header="0" w:footer="0" w:gutter="0"/>
          <w:cols w:equalWidth="0" w:num="2">
            <w:col w:w="4650" w:space="100"/>
            <w:col w:w="3978"/>
          </w:cols>
        </w:sectPr>
      </w:pPr>
    </w:p>
    <w:p w14:paraId="281A9596">
      <w:pPr>
        <w:spacing w:line="300" w:lineRule="auto"/>
        <w:rPr>
          <w:rFonts w:ascii="Arial"/>
          <w:sz w:val="21"/>
        </w:rPr>
      </w:pPr>
    </w:p>
    <w:p w14:paraId="4BA6D0F1">
      <w:pPr>
        <w:pStyle w:val="2"/>
        <w:spacing w:before="89" w:line="219" w:lineRule="auto"/>
        <w:ind w:left="2693"/>
        <w:rPr>
          <w:sz w:val="27"/>
          <w:szCs w:val="27"/>
        </w:rPr>
      </w:pPr>
      <w:r>
        <w:rPr>
          <w:b/>
          <w:bCs/>
          <w:color w:val="008BE8"/>
          <w:spacing w:val="3"/>
          <w:sz w:val="27"/>
          <w:szCs w:val="27"/>
        </w:rPr>
        <w:t>第三篇</w:t>
      </w:r>
      <w:r>
        <w:rPr>
          <w:color w:val="008BE8"/>
          <w:spacing w:val="3"/>
          <w:sz w:val="27"/>
          <w:szCs w:val="27"/>
        </w:rPr>
        <w:t xml:space="preserve"> </w:t>
      </w:r>
      <w:r>
        <w:rPr>
          <w:b/>
          <w:bCs/>
          <w:color w:val="008BE8"/>
          <w:spacing w:val="3"/>
          <w:sz w:val="27"/>
          <w:szCs w:val="27"/>
        </w:rPr>
        <w:t>信息系统工程监理实务</w:t>
      </w:r>
    </w:p>
    <w:p w14:paraId="4B3EC9DF">
      <w:pPr>
        <w:spacing w:before="58"/>
      </w:pPr>
    </w:p>
    <w:p w14:paraId="163FACE9">
      <w:pPr>
        <w:sectPr>
          <w:type w:val="continuous"/>
          <w:pgSz w:w="10400" w:h="13330"/>
          <w:pgMar w:top="400" w:right="1212" w:bottom="400" w:left="459" w:header="0" w:footer="0" w:gutter="0"/>
          <w:cols w:equalWidth="0" w:num="1">
            <w:col w:w="8728"/>
          </w:cols>
        </w:sectPr>
      </w:pPr>
    </w:p>
    <w:p w14:paraId="337C6255">
      <w:pPr>
        <w:spacing w:line="459" w:lineRule="auto"/>
        <w:rPr>
          <w:rFonts w:ascii="Arial"/>
          <w:sz w:val="21"/>
        </w:rPr>
      </w:pPr>
    </w:p>
    <w:sdt>
      <w:sdtPr>
        <w:rPr>
          <w:rFonts w:ascii="Times New Roman" w:hAnsi="Times New Roman" w:eastAsia="Times New Roman" w:cs="Times New Roman"/>
          <w:sz w:val="18"/>
          <w:szCs w:val="18"/>
        </w:rPr>
        <w:id w:val="147472127"/>
        <w:docPartObj>
          <w:docPartGallery w:val="Table of Contents"/>
          <w:docPartUnique/>
        </w:docPartObj>
      </w:sdtPr>
      <w:sdtEndPr>
        <w:rPr>
          <w:rFonts w:ascii="Times New Roman" w:hAnsi="Times New Roman" w:eastAsia="Times New Roman" w:cs="Times New Roman"/>
          <w:sz w:val="18"/>
          <w:szCs w:val="18"/>
        </w:rPr>
      </w:sdtEndPr>
      <w:sdtContent>
        <w:p w14:paraId="3B027329">
          <w:pPr>
            <w:pStyle w:val="2"/>
            <w:tabs>
              <w:tab w:val="right" w:leader="dot" w:pos="4357"/>
            </w:tabs>
            <w:spacing w:before="59" w:line="220" w:lineRule="auto"/>
            <w:ind w:left="389"/>
            <w:rPr>
              <w:rFonts w:ascii="Times New Roman" w:hAnsi="Times New Roman" w:eastAsia="Times New Roman" w:cs="Times New Roman"/>
              <w:sz w:val="18"/>
              <w:szCs w:val="18"/>
            </w:rPr>
          </w:pPr>
          <w:bookmarkStart w:id="322" w:name="bookmark313"/>
          <w:bookmarkEnd w:id="322"/>
          <w:r>
            <w:fldChar w:fldCharType="begin"/>
          </w:r>
          <w:r>
            <w:instrText xml:space="preserve"> HYPERLINK \l "bookmark313" </w:instrText>
          </w:r>
          <w:r>
            <w:fldChar w:fldCharType="separate"/>
          </w:r>
          <w:r>
            <w:rPr>
              <w:rFonts w:ascii="Times New Roman" w:hAnsi="Times New Roman" w:eastAsia="Times New Roman" w:cs="Times New Roman"/>
              <w:spacing w:val="1"/>
              <w:sz w:val="18"/>
              <w:szCs w:val="18"/>
            </w:rPr>
            <w:t>20.1</w:t>
          </w:r>
          <w:r>
            <w:rPr>
              <w:rFonts w:ascii="Times New Roman" w:hAnsi="Times New Roman" w:eastAsia="Times New Roman" w:cs="Times New Roman"/>
              <w:spacing w:val="15"/>
              <w:w w:val="101"/>
              <w:sz w:val="18"/>
              <w:szCs w:val="18"/>
            </w:rPr>
            <w:t xml:space="preserve">   </w:t>
          </w:r>
          <w:r>
            <w:rPr>
              <w:spacing w:val="1"/>
              <w:sz w:val="18"/>
              <w:szCs w:val="18"/>
            </w:rPr>
            <w:t>规划阶段监理基础工作</w:t>
          </w:r>
          <w:r>
            <w:rPr>
              <w:spacing w:val="-72"/>
              <w:sz w:val="18"/>
              <w:szCs w:val="18"/>
            </w:rPr>
            <w:t xml:space="preserve"> </w:t>
          </w:r>
          <w:r>
            <w:rPr>
              <w:sz w:val="18"/>
              <w:szCs w:val="18"/>
            </w:rPr>
            <w:tab/>
          </w:r>
          <w:r>
            <w:rPr>
              <w:rFonts w:ascii="Times New Roman" w:hAnsi="Times New Roman" w:eastAsia="Times New Roman" w:cs="Times New Roman"/>
              <w:spacing w:val="2"/>
              <w:sz w:val="18"/>
              <w:szCs w:val="18"/>
            </w:rPr>
            <w:t>439</w:t>
          </w:r>
          <w:r>
            <w:rPr>
              <w:rFonts w:ascii="Times New Roman" w:hAnsi="Times New Roman" w:eastAsia="Times New Roman" w:cs="Times New Roman"/>
              <w:spacing w:val="2"/>
              <w:sz w:val="18"/>
              <w:szCs w:val="18"/>
            </w:rPr>
            <w:fldChar w:fldCharType="end"/>
          </w:r>
        </w:p>
        <w:p w14:paraId="30547468">
          <w:pPr>
            <w:pStyle w:val="2"/>
            <w:tabs>
              <w:tab w:val="right" w:leader="dot" w:pos="4357"/>
            </w:tabs>
            <w:spacing w:before="95" w:line="220" w:lineRule="auto"/>
            <w:ind w:left="789"/>
            <w:rPr>
              <w:rFonts w:ascii="Times New Roman" w:hAnsi="Times New Roman" w:eastAsia="Times New Roman" w:cs="Times New Roman"/>
              <w:sz w:val="18"/>
              <w:szCs w:val="18"/>
            </w:rPr>
          </w:pPr>
          <w:bookmarkStart w:id="323" w:name="bookmark314"/>
          <w:bookmarkEnd w:id="323"/>
          <w:r>
            <w:fldChar w:fldCharType="begin"/>
          </w:r>
          <w:r>
            <w:instrText xml:space="preserve"> HYPERLINK \l "bookmark314" </w:instrText>
          </w:r>
          <w:r>
            <w:fldChar w:fldCharType="separate"/>
          </w:r>
          <w:r>
            <w:rPr>
              <w:rFonts w:ascii="Times New Roman" w:hAnsi="Times New Roman" w:eastAsia="Times New Roman" w:cs="Times New Roman"/>
              <w:spacing w:val="1"/>
              <w:sz w:val="18"/>
              <w:szCs w:val="18"/>
            </w:rPr>
            <w:t>20.1.1</w:t>
          </w:r>
          <w:r>
            <w:rPr>
              <w:rFonts w:ascii="Times New Roman" w:hAnsi="Times New Roman" w:eastAsia="Times New Roman" w:cs="Times New Roman"/>
              <w:spacing w:val="15"/>
              <w:w w:val="101"/>
              <w:sz w:val="18"/>
              <w:szCs w:val="18"/>
            </w:rPr>
            <w:t xml:space="preserve">   </w:t>
          </w:r>
          <w:r>
            <w:rPr>
              <w:spacing w:val="1"/>
              <w:sz w:val="18"/>
              <w:szCs w:val="18"/>
            </w:rPr>
            <w:t>监理活动</w:t>
          </w:r>
          <w:r>
            <w:rPr>
              <w:spacing w:val="-73"/>
              <w:sz w:val="18"/>
              <w:szCs w:val="18"/>
            </w:rPr>
            <w:t xml:space="preserve"> </w:t>
          </w:r>
          <w:r>
            <w:rPr>
              <w:sz w:val="18"/>
              <w:szCs w:val="18"/>
            </w:rPr>
            <w:tab/>
          </w:r>
          <w:r>
            <w:rPr>
              <w:rFonts w:ascii="Times New Roman" w:hAnsi="Times New Roman" w:eastAsia="Times New Roman" w:cs="Times New Roman"/>
              <w:spacing w:val="2"/>
              <w:sz w:val="18"/>
              <w:szCs w:val="18"/>
            </w:rPr>
            <w:t>439</w:t>
          </w:r>
          <w:r>
            <w:rPr>
              <w:rFonts w:ascii="Times New Roman" w:hAnsi="Times New Roman" w:eastAsia="Times New Roman" w:cs="Times New Roman"/>
              <w:spacing w:val="2"/>
              <w:sz w:val="18"/>
              <w:szCs w:val="18"/>
            </w:rPr>
            <w:fldChar w:fldCharType="end"/>
          </w:r>
        </w:p>
        <w:p w14:paraId="2850CDE1">
          <w:pPr>
            <w:pStyle w:val="2"/>
            <w:tabs>
              <w:tab w:val="right" w:leader="dot" w:pos="4257"/>
            </w:tabs>
            <w:spacing w:before="105" w:line="219" w:lineRule="auto"/>
            <w:ind w:left="789"/>
            <w:rPr>
              <w:rFonts w:ascii="Times New Roman" w:hAnsi="Times New Roman" w:eastAsia="Times New Roman" w:cs="Times New Roman"/>
              <w:sz w:val="18"/>
              <w:szCs w:val="18"/>
            </w:rPr>
          </w:pPr>
          <w:bookmarkStart w:id="324" w:name="bookmark315"/>
          <w:bookmarkEnd w:id="324"/>
          <w:r>
            <w:fldChar w:fldCharType="begin"/>
          </w:r>
          <w:r>
            <w:instrText xml:space="preserve"> HYPERLINK \l "bookmark315" </w:instrText>
          </w:r>
          <w:r>
            <w:fldChar w:fldCharType="separate"/>
          </w:r>
          <w:r>
            <w:rPr>
              <w:rFonts w:ascii="Times New Roman" w:hAnsi="Times New Roman" w:eastAsia="Times New Roman" w:cs="Times New Roman"/>
              <w:spacing w:val="-2"/>
              <w:sz w:val="18"/>
              <w:szCs w:val="18"/>
            </w:rPr>
            <w:t>20.1.2</w:t>
          </w:r>
          <w:r>
            <w:rPr>
              <w:rFonts w:ascii="Times New Roman" w:hAnsi="Times New Roman" w:eastAsia="Times New Roman" w:cs="Times New Roman"/>
              <w:spacing w:val="8"/>
              <w:sz w:val="18"/>
              <w:szCs w:val="18"/>
            </w:rPr>
            <w:t xml:space="preserve">    </w:t>
          </w:r>
          <w:r>
            <w:rPr>
              <w:spacing w:val="-2"/>
              <w:sz w:val="18"/>
              <w:szCs w:val="18"/>
            </w:rPr>
            <w:t>典型监理工作</w:t>
          </w:r>
          <w:r>
            <w:rPr>
              <w:spacing w:val="-59"/>
              <w:sz w:val="18"/>
              <w:szCs w:val="18"/>
            </w:rPr>
            <w:t xml:space="preserve"> </w:t>
          </w:r>
          <w:r>
            <w:rPr>
              <w:sz w:val="18"/>
              <w:szCs w:val="18"/>
            </w:rPr>
            <w:tab/>
          </w:r>
          <w:r>
            <w:rPr>
              <w:rFonts w:ascii="Times New Roman" w:hAnsi="Times New Roman" w:eastAsia="Times New Roman" w:cs="Times New Roman"/>
              <w:spacing w:val="4"/>
              <w:sz w:val="18"/>
              <w:szCs w:val="18"/>
            </w:rPr>
            <w:t>40</w:t>
          </w:r>
          <w:r>
            <w:rPr>
              <w:rFonts w:ascii="Times New Roman" w:hAnsi="Times New Roman" w:eastAsia="Times New Roman" w:cs="Times New Roman"/>
              <w:spacing w:val="4"/>
              <w:sz w:val="18"/>
              <w:szCs w:val="18"/>
            </w:rPr>
            <w:fldChar w:fldCharType="end"/>
          </w:r>
        </w:p>
        <w:p w14:paraId="57F7477D">
          <w:pPr>
            <w:pStyle w:val="2"/>
            <w:tabs>
              <w:tab w:val="right" w:leader="dot" w:pos="4257"/>
            </w:tabs>
            <w:spacing w:before="97" w:line="220" w:lineRule="auto"/>
            <w:ind w:left="389"/>
            <w:rPr>
              <w:rFonts w:ascii="Times New Roman" w:hAnsi="Times New Roman" w:eastAsia="Times New Roman" w:cs="Times New Roman"/>
              <w:sz w:val="18"/>
              <w:szCs w:val="18"/>
            </w:rPr>
          </w:pPr>
          <w:bookmarkStart w:id="325" w:name="bookmark316"/>
          <w:bookmarkEnd w:id="325"/>
          <w:r>
            <w:fldChar w:fldCharType="begin"/>
          </w:r>
          <w:r>
            <w:instrText xml:space="preserve"> HYPERLINK \l "bookmark316" </w:instrText>
          </w:r>
          <w:r>
            <w:fldChar w:fldCharType="separate"/>
          </w:r>
          <w:r>
            <w:rPr>
              <w:rFonts w:ascii="Times New Roman" w:hAnsi="Times New Roman" w:eastAsia="Times New Roman" w:cs="Times New Roman"/>
              <w:spacing w:val="-1"/>
              <w:sz w:val="18"/>
              <w:szCs w:val="18"/>
            </w:rPr>
            <w:t xml:space="preserve">20.2    </w:t>
          </w:r>
          <w:r>
            <w:rPr>
              <w:spacing w:val="-1"/>
              <w:sz w:val="18"/>
              <w:szCs w:val="18"/>
            </w:rPr>
            <w:t>招标阶段监理基础工作</w:t>
          </w:r>
          <w:r>
            <w:rPr>
              <w:spacing w:val="-38"/>
              <w:sz w:val="18"/>
              <w:szCs w:val="18"/>
            </w:rPr>
            <w:t xml:space="preserve"> </w:t>
          </w:r>
          <w:r>
            <w:rPr>
              <w:sz w:val="18"/>
              <w:szCs w:val="18"/>
            </w:rPr>
            <w:tab/>
          </w:r>
          <w:r>
            <w:rPr>
              <w:rFonts w:ascii="Times New Roman" w:hAnsi="Times New Roman" w:eastAsia="Times New Roman" w:cs="Times New Roman"/>
              <w:spacing w:val="4"/>
              <w:sz w:val="18"/>
              <w:szCs w:val="18"/>
            </w:rPr>
            <w:t>45</w:t>
          </w:r>
          <w:r>
            <w:rPr>
              <w:rFonts w:ascii="Times New Roman" w:hAnsi="Times New Roman" w:eastAsia="Times New Roman" w:cs="Times New Roman"/>
              <w:spacing w:val="4"/>
              <w:sz w:val="18"/>
              <w:szCs w:val="18"/>
            </w:rPr>
            <w:fldChar w:fldCharType="end"/>
          </w:r>
        </w:p>
        <w:p w14:paraId="2BA30EAF">
          <w:pPr>
            <w:pStyle w:val="2"/>
            <w:tabs>
              <w:tab w:val="right" w:leader="dot" w:pos="4357"/>
            </w:tabs>
            <w:spacing w:before="96" w:line="221" w:lineRule="auto"/>
            <w:ind w:left="789"/>
            <w:rPr>
              <w:rFonts w:ascii="Times New Roman" w:hAnsi="Times New Roman" w:eastAsia="Times New Roman" w:cs="Times New Roman"/>
              <w:sz w:val="18"/>
              <w:szCs w:val="18"/>
            </w:rPr>
          </w:pPr>
          <w:bookmarkStart w:id="326" w:name="bookmark317"/>
          <w:bookmarkEnd w:id="326"/>
          <w:r>
            <w:fldChar w:fldCharType="begin"/>
          </w:r>
          <w:r>
            <w:instrText xml:space="preserve"> HYPERLINK \l "bookmark317" </w:instrText>
          </w:r>
          <w:r>
            <w:fldChar w:fldCharType="separate"/>
          </w:r>
          <w:r>
            <w:rPr>
              <w:rFonts w:ascii="Times New Roman" w:hAnsi="Times New Roman" w:eastAsia="Times New Roman" w:cs="Times New Roman"/>
              <w:spacing w:val="1"/>
              <w:sz w:val="18"/>
              <w:szCs w:val="18"/>
            </w:rPr>
            <w:t>20.2.1</w:t>
          </w:r>
          <w:r>
            <w:rPr>
              <w:rFonts w:ascii="Times New Roman" w:hAnsi="Times New Roman" w:eastAsia="Times New Roman" w:cs="Times New Roman"/>
              <w:spacing w:val="14"/>
              <w:sz w:val="18"/>
              <w:szCs w:val="18"/>
            </w:rPr>
            <w:t xml:space="preserve">   </w:t>
          </w:r>
          <w:r>
            <w:rPr>
              <w:spacing w:val="1"/>
              <w:sz w:val="18"/>
              <w:szCs w:val="18"/>
            </w:rPr>
            <w:t>监理要求</w:t>
          </w:r>
          <w:r>
            <w:rPr>
              <w:spacing w:val="-69"/>
              <w:sz w:val="18"/>
              <w:szCs w:val="18"/>
            </w:rPr>
            <w:t xml:space="preserve"> </w:t>
          </w:r>
          <w:r>
            <w:rPr>
              <w:sz w:val="18"/>
              <w:szCs w:val="18"/>
            </w:rPr>
            <w:tab/>
          </w:r>
          <w:r>
            <w:rPr>
              <w:rFonts w:ascii="Times New Roman" w:hAnsi="Times New Roman" w:eastAsia="Times New Roman" w:cs="Times New Roman"/>
              <w:spacing w:val="2"/>
              <w:sz w:val="18"/>
              <w:szCs w:val="18"/>
            </w:rPr>
            <w:t>445</w:t>
          </w:r>
          <w:r>
            <w:rPr>
              <w:rFonts w:ascii="Times New Roman" w:hAnsi="Times New Roman" w:eastAsia="Times New Roman" w:cs="Times New Roman"/>
              <w:spacing w:val="2"/>
              <w:sz w:val="18"/>
              <w:szCs w:val="18"/>
            </w:rPr>
            <w:fldChar w:fldCharType="end"/>
          </w:r>
        </w:p>
        <w:p w14:paraId="00CECF25">
          <w:pPr>
            <w:pStyle w:val="2"/>
            <w:tabs>
              <w:tab w:val="right" w:leader="dot" w:pos="4267"/>
            </w:tabs>
            <w:spacing w:before="104" w:line="220" w:lineRule="auto"/>
            <w:ind w:left="789"/>
            <w:rPr>
              <w:rFonts w:ascii="Times New Roman" w:hAnsi="Times New Roman" w:eastAsia="Times New Roman" w:cs="Times New Roman"/>
              <w:sz w:val="18"/>
              <w:szCs w:val="18"/>
            </w:rPr>
          </w:pPr>
          <w:bookmarkStart w:id="327" w:name="bookmark318"/>
          <w:bookmarkEnd w:id="327"/>
          <w:r>
            <w:fldChar w:fldCharType="begin"/>
          </w:r>
          <w:r>
            <w:instrText xml:space="preserve"> HYPERLINK \l "bookmark318" </w:instrText>
          </w:r>
          <w:r>
            <w:fldChar w:fldCharType="separate"/>
          </w:r>
          <w:r>
            <w:rPr>
              <w:rFonts w:ascii="Times New Roman" w:hAnsi="Times New Roman" w:eastAsia="Times New Roman" w:cs="Times New Roman"/>
              <w:spacing w:val="-2"/>
              <w:sz w:val="18"/>
              <w:szCs w:val="18"/>
            </w:rPr>
            <w:t>20.2.2</w:t>
          </w:r>
          <w:r>
            <w:rPr>
              <w:rFonts w:ascii="Times New Roman" w:hAnsi="Times New Roman" w:eastAsia="Times New Roman" w:cs="Times New Roman"/>
              <w:spacing w:val="5"/>
              <w:sz w:val="18"/>
              <w:szCs w:val="18"/>
            </w:rPr>
            <w:t xml:space="preserve">    </w:t>
          </w:r>
          <w:r>
            <w:rPr>
              <w:spacing w:val="-2"/>
              <w:sz w:val="18"/>
              <w:szCs w:val="18"/>
            </w:rPr>
            <w:t>监理活动</w:t>
          </w:r>
          <w:r>
            <w:rPr>
              <w:spacing w:val="-62"/>
              <w:sz w:val="18"/>
              <w:szCs w:val="18"/>
            </w:rPr>
            <w:t xml:space="preserve"> </w:t>
          </w:r>
          <w:r>
            <w:rPr>
              <w:sz w:val="18"/>
              <w:szCs w:val="18"/>
            </w:rPr>
            <w:tab/>
          </w:r>
          <w:r>
            <w:rPr>
              <w:rFonts w:ascii="Times New Roman" w:hAnsi="Times New Roman" w:eastAsia="Times New Roman" w:cs="Times New Roman"/>
              <w:spacing w:val="4"/>
              <w:sz w:val="18"/>
              <w:szCs w:val="18"/>
            </w:rPr>
            <w:t>45</w:t>
          </w:r>
          <w:r>
            <w:rPr>
              <w:rFonts w:ascii="Times New Roman" w:hAnsi="Times New Roman" w:eastAsia="Times New Roman" w:cs="Times New Roman"/>
              <w:spacing w:val="4"/>
              <w:sz w:val="18"/>
              <w:szCs w:val="18"/>
            </w:rPr>
            <w:fldChar w:fldCharType="end"/>
          </w:r>
        </w:p>
        <w:p w14:paraId="66465ED4">
          <w:pPr>
            <w:pStyle w:val="2"/>
            <w:tabs>
              <w:tab w:val="right" w:leader="dot" w:pos="4267"/>
            </w:tabs>
            <w:spacing w:before="95" w:line="219" w:lineRule="auto"/>
            <w:ind w:left="789"/>
            <w:rPr>
              <w:rFonts w:ascii="Times New Roman" w:hAnsi="Times New Roman" w:eastAsia="Times New Roman" w:cs="Times New Roman"/>
              <w:sz w:val="18"/>
              <w:szCs w:val="18"/>
            </w:rPr>
          </w:pPr>
          <w:bookmarkStart w:id="328" w:name="bookmark319"/>
          <w:bookmarkEnd w:id="328"/>
          <w:r>
            <w:fldChar w:fldCharType="begin"/>
          </w:r>
          <w:r>
            <w:instrText xml:space="preserve"> HYPERLINK \l "bookmark319" </w:instrText>
          </w:r>
          <w:r>
            <w:fldChar w:fldCharType="separate"/>
          </w:r>
          <w:r>
            <w:rPr>
              <w:rFonts w:ascii="Times New Roman" w:hAnsi="Times New Roman" w:eastAsia="Times New Roman" w:cs="Times New Roman"/>
              <w:spacing w:val="-2"/>
              <w:sz w:val="18"/>
              <w:szCs w:val="18"/>
            </w:rPr>
            <w:t>20.2.3</w:t>
          </w:r>
          <w:r>
            <w:rPr>
              <w:rFonts w:ascii="Times New Roman" w:hAnsi="Times New Roman" w:eastAsia="Times New Roman" w:cs="Times New Roman"/>
              <w:spacing w:val="5"/>
              <w:sz w:val="18"/>
              <w:szCs w:val="18"/>
            </w:rPr>
            <w:t xml:space="preserve">    </w:t>
          </w:r>
          <w:r>
            <w:rPr>
              <w:spacing w:val="-2"/>
              <w:sz w:val="18"/>
              <w:szCs w:val="18"/>
            </w:rPr>
            <w:t>监理内容</w:t>
          </w:r>
          <w:r>
            <w:rPr>
              <w:spacing w:val="-62"/>
              <w:sz w:val="18"/>
              <w:szCs w:val="18"/>
            </w:rPr>
            <w:t xml:space="preserve"> </w:t>
          </w:r>
          <w:r>
            <w:rPr>
              <w:sz w:val="18"/>
              <w:szCs w:val="18"/>
            </w:rPr>
            <w:tab/>
          </w:r>
          <w:r>
            <w:rPr>
              <w:rFonts w:ascii="Times New Roman" w:hAnsi="Times New Roman" w:eastAsia="Times New Roman" w:cs="Times New Roman"/>
              <w:spacing w:val="4"/>
              <w:sz w:val="18"/>
              <w:szCs w:val="18"/>
            </w:rPr>
            <w:t>46</w:t>
          </w:r>
          <w:r>
            <w:rPr>
              <w:rFonts w:ascii="Times New Roman" w:hAnsi="Times New Roman" w:eastAsia="Times New Roman" w:cs="Times New Roman"/>
              <w:spacing w:val="4"/>
              <w:sz w:val="18"/>
              <w:szCs w:val="18"/>
            </w:rPr>
            <w:fldChar w:fldCharType="end"/>
          </w:r>
        </w:p>
        <w:p w14:paraId="48CD090B">
          <w:pPr>
            <w:pStyle w:val="2"/>
            <w:tabs>
              <w:tab w:val="right" w:leader="dot" w:pos="4357"/>
            </w:tabs>
            <w:spacing w:before="87" w:line="220" w:lineRule="auto"/>
            <w:ind w:left="389"/>
            <w:rPr>
              <w:rFonts w:ascii="Times New Roman" w:hAnsi="Times New Roman" w:eastAsia="Times New Roman" w:cs="Times New Roman"/>
              <w:sz w:val="18"/>
              <w:szCs w:val="18"/>
            </w:rPr>
          </w:pPr>
          <w:bookmarkStart w:id="329" w:name="bookmark320"/>
          <w:bookmarkEnd w:id="329"/>
          <w:r>
            <w:fldChar w:fldCharType="begin"/>
          </w:r>
          <w:r>
            <w:instrText xml:space="preserve"> HYPERLINK \l "bookmark320" </w:instrText>
          </w:r>
          <w:r>
            <w:fldChar w:fldCharType="separate"/>
          </w:r>
          <w:r>
            <w:rPr>
              <w:rFonts w:ascii="Times New Roman" w:hAnsi="Times New Roman" w:eastAsia="Times New Roman" w:cs="Times New Roman"/>
              <w:sz w:val="18"/>
              <w:szCs w:val="18"/>
            </w:rPr>
            <w:t xml:space="preserve">20.3    </w:t>
          </w:r>
          <w:r>
            <w:rPr>
              <w:sz w:val="18"/>
              <w:szCs w:val="18"/>
            </w:rPr>
            <w:t>设计阶段监理基础工作</w:t>
          </w:r>
          <w:r>
            <w:rPr>
              <w:spacing w:val="-56"/>
              <w:sz w:val="18"/>
              <w:szCs w:val="18"/>
            </w:rPr>
            <w:t xml:space="preserve"> </w:t>
          </w:r>
          <w:r>
            <w:rPr>
              <w:sz w:val="18"/>
              <w:szCs w:val="18"/>
            </w:rPr>
            <w:tab/>
          </w:r>
          <w:r>
            <w:rPr>
              <w:rFonts w:ascii="Times New Roman" w:hAnsi="Times New Roman" w:eastAsia="Times New Roman" w:cs="Times New Roman"/>
              <w:spacing w:val="2"/>
              <w:sz w:val="18"/>
              <w:szCs w:val="18"/>
            </w:rPr>
            <w:t>451</w:t>
          </w:r>
          <w:r>
            <w:rPr>
              <w:rFonts w:ascii="Times New Roman" w:hAnsi="Times New Roman" w:eastAsia="Times New Roman" w:cs="Times New Roman"/>
              <w:spacing w:val="2"/>
              <w:sz w:val="18"/>
              <w:szCs w:val="18"/>
            </w:rPr>
            <w:fldChar w:fldCharType="end"/>
          </w:r>
        </w:p>
        <w:p w14:paraId="2D2B48DB">
          <w:pPr>
            <w:pStyle w:val="2"/>
            <w:tabs>
              <w:tab w:val="right" w:leader="dot" w:pos="4367"/>
            </w:tabs>
            <w:spacing w:before="106" w:line="221" w:lineRule="auto"/>
            <w:ind w:left="789"/>
            <w:rPr>
              <w:rFonts w:ascii="Times New Roman" w:hAnsi="Times New Roman" w:eastAsia="Times New Roman" w:cs="Times New Roman"/>
              <w:sz w:val="18"/>
              <w:szCs w:val="18"/>
            </w:rPr>
          </w:pPr>
          <w:bookmarkStart w:id="330" w:name="bookmark321"/>
          <w:bookmarkEnd w:id="330"/>
          <w:r>
            <w:fldChar w:fldCharType="begin"/>
          </w:r>
          <w:r>
            <w:instrText xml:space="preserve"> HYPERLINK \l "bookmark321" </w:instrText>
          </w:r>
          <w:r>
            <w:fldChar w:fldCharType="separate"/>
          </w:r>
          <w:r>
            <w:rPr>
              <w:rFonts w:ascii="Times New Roman" w:hAnsi="Times New Roman" w:eastAsia="Times New Roman" w:cs="Times New Roman"/>
              <w:spacing w:val="-2"/>
              <w:sz w:val="18"/>
              <w:szCs w:val="18"/>
            </w:rPr>
            <w:t>20.3.1</w:t>
          </w:r>
          <w:r>
            <w:rPr>
              <w:rFonts w:ascii="Times New Roman" w:hAnsi="Times New Roman" w:eastAsia="Times New Roman" w:cs="Times New Roman"/>
              <w:spacing w:val="5"/>
              <w:sz w:val="18"/>
              <w:szCs w:val="18"/>
            </w:rPr>
            <w:t xml:space="preserve">    </w:t>
          </w:r>
          <w:r>
            <w:rPr>
              <w:spacing w:val="-2"/>
              <w:sz w:val="18"/>
              <w:szCs w:val="18"/>
            </w:rPr>
            <w:t>监理要求</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451</w:t>
          </w:r>
          <w:r>
            <w:rPr>
              <w:rFonts w:ascii="Times New Roman" w:hAnsi="Times New Roman" w:eastAsia="Times New Roman" w:cs="Times New Roman"/>
              <w:spacing w:val="2"/>
              <w:sz w:val="18"/>
              <w:szCs w:val="18"/>
            </w:rPr>
            <w:fldChar w:fldCharType="end"/>
          </w:r>
        </w:p>
        <w:p w14:paraId="44F37D77">
          <w:pPr>
            <w:pStyle w:val="2"/>
            <w:tabs>
              <w:tab w:val="right" w:leader="dot" w:pos="4357"/>
            </w:tabs>
            <w:spacing w:before="94" w:line="220" w:lineRule="auto"/>
            <w:ind w:left="789"/>
            <w:rPr>
              <w:rFonts w:ascii="Times New Roman" w:hAnsi="Times New Roman" w:eastAsia="Times New Roman" w:cs="Times New Roman"/>
              <w:sz w:val="18"/>
              <w:szCs w:val="18"/>
            </w:rPr>
          </w:pPr>
          <w:bookmarkStart w:id="331" w:name="bookmark322"/>
          <w:bookmarkEnd w:id="331"/>
          <w:r>
            <w:fldChar w:fldCharType="begin"/>
          </w:r>
          <w:r>
            <w:instrText xml:space="preserve"> HYPERLINK \l "bookmark322" </w:instrText>
          </w:r>
          <w:r>
            <w:fldChar w:fldCharType="separate"/>
          </w:r>
          <w:r>
            <w:rPr>
              <w:rFonts w:ascii="Times New Roman" w:hAnsi="Times New Roman" w:eastAsia="Times New Roman" w:cs="Times New Roman"/>
              <w:sz w:val="18"/>
              <w:szCs w:val="18"/>
            </w:rPr>
            <w:t>20.3.2</w:t>
          </w:r>
          <w:r>
            <w:rPr>
              <w:rFonts w:ascii="Times New Roman" w:hAnsi="Times New Roman" w:eastAsia="Times New Roman" w:cs="Times New Roman"/>
              <w:spacing w:val="15"/>
              <w:w w:val="101"/>
              <w:sz w:val="18"/>
              <w:szCs w:val="18"/>
            </w:rPr>
            <w:t xml:space="preserve">   </w:t>
          </w:r>
          <w:r>
            <w:rPr>
              <w:sz w:val="18"/>
              <w:szCs w:val="18"/>
            </w:rPr>
            <w:t>监理活动</w:t>
          </w:r>
          <w:r>
            <w:rPr>
              <w:spacing w:val="-73"/>
              <w:sz w:val="18"/>
              <w:szCs w:val="18"/>
            </w:rPr>
            <w:t xml:space="preserve"> </w:t>
          </w:r>
          <w:r>
            <w:rPr>
              <w:sz w:val="18"/>
              <w:szCs w:val="18"/>
            </w:rPr>
            <w:tab/>
          </w:r>
          <w:r>
            <w:rPr>
              <w:rFonts w:ascii="Times New Roman" w:hAnsi="Times New Roman" w:eastAsia="Times New Roman" w:cs="Times New Roman"/>
              <w:spacing w:val="2"/>
              <w:sz w:val="18"/>
              <w:szCs w:val="18"/>
            </w:rPr>
            <w:t>452</w:t>
          </w:r>
          <w:r>
            <w:rPr>
              <w:rFonts w:ascii="Times New Roman" w:hAnsi="Times New Roman" w:eastAsia="Times New Roman" w:cs="Times New Roman"/>
              <w:spacing w:val="2"/>
              <w:sz w:val="18"/>
              <w:szCs w:val="18"/>
            </w:rPr>
            <w:fldChar w:fldCharType="end"/>
          </w:r>
        </w:p>
        <w:p w14:paraId="66E105E0">
          <w:pPr>
            <w:pStyle w:val="2"/>
            <w:tabs>
              <w:tab w:val="right" w:leader="dot" w:pos="4357"/>
            </w:tabs>
            <w:spacing w:before="95" w:line="219" w:lineRule="auto"/>
            <w:ind w:left="789"/>
            <w:rPr>
              <w:rFonts w:ascii="Times New Roman" w:hAnsi="Times New Roman" w:eastAsia="Times New Roman" w:cs="Times New Roman"/>
              <w:sz w:val="18"/>
              <w:szCs w:val="18"/>
            </w:rPr>
          </w:pPr>
          <w:bookmarkStart w:id="332" w:name="bookmark323"/>
          <w:bookmarkEnd w:id="332"/>
          <w:r>
            <w:fldChar w:fldCharType="begin"/>
          </w:r>
          <w:r>
            <w:instrText xml:space="preserve"> HYPERLINK \l "bookmark323" </w:instrText>
          </w:r>
          <w:r>
            <w:fldChar w:fldCharType="separate"/>
          </w:r>
          <w:r>
            <w:rPr>
              <w:rFonts w:ascii="Times New Roman" w:hAnsi="Times New Roman" w:eastAsia="Times New Roman" w:cs="Times New Roman"/>
              <w:spacing w:val="-2"/>
              <w:sz w:val="18"/>
              <w:szCs w:val="18"/>
            </w:rPr>
            <w:t>20.3.3</w:t>
          </w:r>
          <w:r>
            <w:rPr>
              <w:rFonts w:ascii="Times New Roman" w:hAnsi="Times New Roman" w:eastAsia="Times New Roman" w:cs="Times New Roman"/>
              <w:spacing w:val="5"/>
              <w:sz w:val="18"/>
              <w:szCs w:val="18"/>
            </w:rPr>
            <w:t xml:space="preserve">    </w:t>
          </w:r>
          <w:r>
            <w:rPr>
              <w:spacing w:val="-2"/>
              <w:sz w:val="18"/>
              <w:szCs w:val="18"/>
            </w:rPr>
            <w:t>监理内容</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452</w:t>
          </w:r>
          <w:r>
            <w:rPr>
              <w:rFonts w:ascii="Times New Roman" w:hAnsi="Times New Roman" w:eastAsia="Times New Roman" w:cs="Times New Roman"/>
              <w:spacing w:val="2"/>
              <w:sz w:val="18"/>
              <w:szCs w:val="18"/>
            </w:rPr>
            <w:fldChar w:fldCharType="end"/>
          </w:r>
        </w:p>
        <w:p w14:paraId="5E247D80">
          <w:pPr>
            <w:pStyle w:val="2"/>
            <w:tabs>
              <w:tab w:val="right" w:leader="dot" w:pos="4357"/>
            </w:tabs>
            <w:spacing w:before="97" w:line="220" w:lineRule="auto"/>
            <w:ind w:left="789"/>
            <w:rPr>
              <w:rFonts w:ascii="Times New Roman" w:hAnsi="Times New Roman" w:eastAsia="Times New Roman" w:cs="Times New Roman"/>
              <w:sz w:val="18"/>
              <w:szCs w:val="18"/>
            </w:rPr>
          </w:pPr>
          <w:bookmarkStart w:id="333" w:name="bookmark324"/>
          <w:bookmarkEnd w:id="333"/>
          <w:r>
            <w:fldChar w:fldCharType="begin"/>
          </w:r>
          <w:r>
            <w:instrText xml:space="preserve"> HYPERLINK \l "bookmark324" </w:instrText>
          </w:r>
          <w:r>
            <w:fldChar w:fldCharType="separate"/>
          </w:r>
          <w:r>
            <w:rPr>
              <w:rFonts w:ascii="Times New Roman" w:hAnsi="Times New Roman" w:eastAsia="Times New Roman" w:cs="Times New Roman"/>
              <w:spacing w:val="-1"/>
              <w:sz w:val="18"/>
              <w:szCs w:val="18"/>
            </w:rPr>
            <w:t xml:space="preserve">20.3.4    </w:t>
          </w:r>
          <w:r>
            <w:rPr>
              <w:spacing w:val="-1"/>
              <w:sz w:val="18"/>
              <w:szCs w:val="18"/>
            </w:rPr>
            <w:t>监理流程</w:t>
          </w:r>
          <w:r>
            <w:rPr>
              <w:spacing w:val="-48"/>
              <w:sz w:val="18"/>
              <w:szCs w:val="18"/>
            </w:rPr>
            <w:t xml:space="preserve"> </w:t>
          </w:r>
          <w:r>
            <w:rPr>
              <w:sz w:val="18"/>
              <w:szCs w:val="18"/>
            </w:rPr>
            <w:tab/>
          </w:r>
          <w:r>
            <w:rPr>
              <w:rFonts w:ascii="Times New Roman" w:hAnsi="Times New Roman" w:eastAsia="Times New Roman" w:cs="Times New Roman"/>
              <w:spacing w:val="2"/>
              <w:sz w:val="18"/>
              <w:szCs w:val="18"/>
            </w:rPr>
            <w:t>454</w:t>
          </w:r>
          <w:r>
            <w:rPr>
              <w:rFonts w:ascii="Times New Roman" w:hAnsi="Times New Roman" w:eastAsia="Times New Roman" w:cs="Times New Roman"/>
              <w:spacing w:val="2"/>
              <w:sz w:val="18"/>
              <w:szCs w:val="18"/>
            </w:rPr>
            <w:fldChar w:fldCharType="end"/>
          </w:r>
        </w:p>
        <w:p w14:paraId="3AFA90FB">
          <w:pPr>
            <w:pStyle w:val="2"/>
            <w:tabs>
              <w:tab w:val="right" w:leader="dot" w:pos="4347"/>
            </w:tabs>
            <w:spacing w:before="96" w:line="220" w:lineRule="auto"/>
            <w:ind w:left="389"/>
            <w:rPr>
              <w:rFonts w:ascii="Times New Roman" w:hAnsi="Times New Roman" w:eastAsia="Times New Roman" w:cs="Times New Roman"/>
              <w:sz w:val="18"/>
              <w:szCs w:val="18"/>
            </w:rPr>
          </w:pPr>
          <w:bookmarkStart w:id="334" w:name="bookmark325"/>
          <w:bookmarkEnd w:id="334"/>
          <w:r>
            <w:fldChar w:fldCharType="begin"/>
          </w:r>
          <w:r>
            <w:instrText xml:space="preserve"> HYPERLINK \l "bookmark325" </w:instrText>
          </w:r>
          <w:r>
            <w:fldChar w:fldCharType="separate"/>
          </w:r>
          <w:r>
            <w:rPr>
              <w:rFonts w:ascii="Times New Roman" w:hAnsi="Times New Roman" w:eastAsia="Times New Roman" w:cs="Times New Roman"/>
              <w:sz w:val="18"/>
              <w:szCs w:val="18"/>
            </w:rPr>
            <w:t xml:space="preserve">20.4    </w:t>
          </w:r>
          <w:r>
            <w:rPr>
              <w:sz w:val="18"/>
              <w:szCs w:val="18"/>
            </w:rPr>
            <w:t>实施阶段监理基础工作</w:t>
          </w:r>
          <w:r>
            <w:rPr>
              <w:spacing w:val="-56"/>
              <w:sz w:val="18"/>
              <w:szCs w:val="18"/>
            </w:rPr>
            <w:t xml:space="preserve"> </w:t>
          </w:r>
          <w:r>
            <w:rPr>
              <w:sz w:val="18"/>
              <w:szCs w:val="18"/>
            </w:rPr>
            <w:tab/>
          </w:r>
          <w:r>
            <w:rPr>
              <w:rFonts w:ascii="Times New Roman" w:hAnsi="Times New Roman" w:eastAsia="Times New Roman" w:cs="Times New Roman"/>
              <w:spacing w:val="2"/>
              <w:sz w:val="18"/>
              <w:szCs w:val="18"/>
            </w:rPr>
            <w:t>456</w:t>
          </w:r>
          <w:r>
            <w:rPr>
              <w:rFonts w:ascii="Times New Roman" w:hAnsi="Times New Roman" w:eastAsia="Times New Roman" w:cs="Times New Roman"/>
              <w:spacing w:val="2"/>
              <w:sz w:val="18"/>
              <w:szCs w:val="18"/>
            </w:rPr>
            <w:fldChar w:fldCharType="end"/>
          </w:r>
        </w:p>
        <w:p w14:paraId="156BA2F6">
          <w:pPr>
            <w:pStyle w:val="2"/>
            <w:tabs>
              <w:tab w:val="right" w:leader="dot" w:pos="4347"/>
            </w:tabs>
            <w:spacing w:before="96" w:line="221" w:lineRule="auto"/>
            <w:ind w:left="789"/>
            <w:rPr>
              <w:rFonts w:ascii="Times New Roman" w:hAnsi="Times New Roman" w:eastAsia="Times New Roman" w:cs="Times New Roman"/>
              <w:sz w:val="18"/>
              <w:szCs w:val="18"/>
            </w:rPr>
          </w:pPr>
          <w:bookmarkStart w:id="335" w:name="bookmark326"/>
          <w:bookmarkEnd w:id="335"/>
          <w:r>
            <w:fldChar w:fldCharType="begin"/>
          </w:r>
          <w:r>
            <w:instrText xml:space="preserve"> HYPERLINK \l "bookmark326" </w:instrText>
          </w:r>
          <w:r>
            <w:fldChar w:fldCharType="separate"/>
          </w:r>
          <w:r>
            <w:rPr>
              <w:rFonts w:ascii="Times New Roman" w:hAnsi="Times New Roman" w:eastAsia="Times New Roman" w:cs="Times New Roman"/>
              <w:spacing w:val="-2"/>
              <w:sz w:val="18"/>
              <w:szCs w:val="18"/>
            </w:rPr>
            <w:t>20.4.1</w:t>
          </w:r>
          <w:r>
            <w:rPr>
              <w:rFonts w:ascii="Times New Roman" w:hAnsi="Times New Roman" w:eastAsia="Times New Roman" w:cs="Times New Roman"/>
              <w:spacing w:val="5"/>
              <w:sz w:val="18"/>
              <w:szCs w:val="18"/>
            </w:rPr>
            <w:t xml:space="preserve">    </w:t>
          </w:r>
          <w:r>
            <w:rPr>
              <w:spacing w:val="-2"/>
              <w:sz w:val="18"/>
              <w:szCs w:val="18"/>
            </w:rPr>
            <w:t>监理要求</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456</w:t>
          </w:r>
          <w:r>
            <w:rPr>
              <w:rFonts w:ascii="Times New Roman" w:hAnsi="Times New Roman" w:eastAsia="Times New Roman" w:cs="Times New Roman"/>
              <w:spacing w:val="2"/>
              <w:sz w:val="18"/>
              <w:szCs w:val="18"/>
            </w:rPr>
            <w:fldChar w:fldCharType="end"/>
          </w:r>
        </w:p>
        <w:p w14:paraId="0116AB78">
          <w:pPr>
            <w:pStyle w:val="2"/>
            <w:tabs>
              <w:tab w:val="right" w:leader="dot" w:pos="4347"/>
            </w:tabs>
            <w:spacing w:before="104" w:line="220" w:lineRule="auto"/>
            <w:ind w:left="789"/>
            <w:rPr>
              <w:rFonts w:ascii="Times New Roman" w:hAnsi="Times New Roman" w:eastAsia="Times New Roman" w:cs="Times New Roman"/>
              <w:sz w:val="18"/>
              <w:szCs w:val="18"/>
            </w:rPr>
          </w:pPr>
          <w:bookmarkStart w:id="336" w:name="bookmark327"/>
          <w:bookmarkEnd w:id="336"/>
          <w:r>
            <w:fldChar w:fldCharType="begin"/>
          </w:r>
          <w:r>
            <w:instrText xml:space="preserve"> HYPERLINK \l "bookmark327" </w:instrText>
          </w:r>
          <w:r>
            <w:fldChar w:fldCharType="separate"/>
          </w:r>
          <w:r>
            <w:rPr>
              <w:rFonts w:ascii="Times New Roman" w:hAnsi="Times New Roman" w:eastAsia="Times New Roman" w:cs="Times New Roman"/>
              <w:sz w:val="18"/>
              <w:szCs w:val="18"/>
            </w:rPr>
            <w:t>20.4.2</w:t>
          </w:r>
          <w:r>
            <w:rPr>
              <w:rFonts w:ascii="Times New Roman" w:hAnsi="Times New Roman" w:eastAsia="Times New Roman" w:cs="Times New Roman"/>
              <w:spacing w:val="15"/>
              <w:w w:val="101"/>
              <w:sz w:val="18"/>
              <w:szCs w:val="18"/>
            </w:rPr>
            <w:t xml:space="preserve">   </w:t>
          </w:r>
          <w:r>
            <w:rPr>
              <w:sz w:val="18"/>
              <w:szCs w:val="18"/>
            </w:rPr>
            <w:t>监理活动</w:t>
          </w:r>
          <w:r>
            <w:rPr>
              <w:spacing w:val="-73"/>
              <w:sz w:val="18"/>
              <w:szCs w:val="18"/>
            </w:rPr>
            <w:t xml:space="preserve"> </w:t>
          </w:r>
          <w:r>
            <w:rPr>
              <w:sz w:val="18"/>
              <w:szCs w:val="18"/>
            </w:rPr>
            <w:tab/>
          </w:r>
          <w:r>
            <w:rPr>
              <w:rFonts w:ascii="Times New Roman" w:hAnsi="Times New Roman" w:eastAsia="Times New Roman" w:cs="Times New Roman"/>
              <w:spacing w:val="2"/>
              <w:sz w:val="18"/>
              <w:szCs w:val="18"/>
            </w:rPr>
            <w:t>456</w:t>
          </w:r>
          <w:r>
            <w:rPr>
              <w:rFonts w:ascii="Times New Roman" w:hAnsi="Times New Roman" w:eastAsia="Times New Roman" w:cs="Times New Roman"/>
              <w:spacing w:val="2"/>
              <w:sz w:val="18"/>
              <w:szCs w:val="18"/>
            </w:rPr>
            <w:fldChar w:fldCharType="end"/>
          </w:r>
        </w:p>
        <w:p w14:paraId="0BF37078">
          <w:pPr>
            <w:pStyle w:val="2"/>
            <w:tabs>
              <w:tab w:val="right" w:leader="dot" w:pos="4357"/>
            </w:tabs>
            <w:spacing w:before="95" w:line="219" w:lineRule="auto"/>
            <w:ind w:left="789"/>
            <w:rPr>
              <w:rFonts w:ascii="Times New Roman" w:hAnsi="Times New Roman" w:eastAsia="Times New Roman" w:cs="Times New Roman"/>
              <w:sz w:val="18"/>
              <w:szCs w:val="18"/>
            </w:rPr>
          </w:pPr>
          <w:bookmarkStart w:id="337" w:name="bookmark328"/>
          <w:bookmarkEnd w:id="337"/>
          <w:r>
            <w:fldChar w:fldCharType="begin"/>
          </w:r>
          <w:r>
            <w:instrText xml:space="preserve"> HYPERLINK \l "bookmark328" </w:instrText>
          </w:r>
          <w:r>
            <w:fldChar w:fldCharType="separate"/>
          </w:r>
          <w:r>
            <w:rPr>
              <w:rFonts w:ascii="Times New Roman" w:hAnsi="Times New Roman" w:eastAsia="Times New Roman" w:cs="Times New Roman"/>
              <w:spacing w:val="-2"/>
              <w:sz w:val="18"/>
              <w:szCs w:val="18"/>
            </w:rPr>
            <w:t>20.4.3</w:t>
          </w:r>
          <w:r>
            <w:rPr>
              <w:rFonts w:ascii="Times New Roman" w:hAnsi="Times New Roman" w:eastAsia="Times New Roman" w:cs="Times New Roman"/>
              <w:spacing w:val="5"/>
              <w:sz w:val="18"/>
              <w:szCs w:val="18"/>
            </w:rPr>
            <w:t xml:space="preserve">    </w:t>
          </w:r>
          <w:r>
            <w:rPr>
              <w:spacing w:val="-2"/>
              <w:sz w:val="18"/>
              <w:szCs w:val="18"/>
            </w:rPr>
            <w:t>监理内容</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458</w:t>
          </w:r>
          <w:r>
            <w:rPr>
              <w:rFonts w:ascii="Times New Roman" w:hAnsi="Times New Roman" w:eastAsia="Times New Roman" w:cs="Times New Roman"/>
              <w:spacing w:val="2"/>
              <w:sz w:val="18"/>
              <w:szCs w:val="18"/>
            </w:rPr>
            <w:fldChar w:fldCharType="end"/>
          </w:r>
        </w:p>
        <w:p w14:paraId="6F6136BB">
          <w:pPr>
            <w:pStyle w:val="2"/>
            <w:tabs>
              <w:tab w:val="right" w:leader="dot" w:pos="4357"/>
            </w:tabs>
            <w:spacing w:before="96" w:line="220" w:lineRule="auto"/>
            <w:ind w:left="789"/>
            <w:rPr>
              <w:rFonts w:ascii="Times New Roman" w:hAnsi="Times New Roman" w:eastAsia="Times New Roman" w:cs="Times New Roman"/>
              <w:sz w:val="18"/>
              <w:szCs w:val="18"/>
            </w:rPr>
          </w:pPr>
          <w:bookmarkStart w:id="338" w:name="bookmark329"/>
          <w:bookmarkEnd w:id="338"/>
          <w:r>
            <w:fldChar w:fldCharType="begin"/>
          </w:r>
          <w:r>
            <w:instrText xml:space="preserve"> HYPERLINK \l "bookmark329" </w:instrText>
          </w:r>
          <w:r>
            <w:fldChar w:fldCharType="separate"/>
          </w:r>
          <w:r>
            <w:rPr>
              <w:rFonts w:ascii="Times New Roman" w:hAnsi="Times New Roman" w:eastAsia="Times New Roman" w:cs="Times New Roman"/>
              <w:spacing w:val="-2"/>
              <w:sz w:val="18"/>
              <w:szCs w:val="18"/>
            </w:rPr>
            <w:t>20.4.4</w:t>
          </w:r>
          <w:r>
            <w:rPr>
              <w:rFonts w:ascii="Times New Roman" w:hAnsi="Times New Roman" w:eastAsia="Times New Roman" w:cs="Times New Roman"/>
              <w:spacing w:val="5"/>
              <w:sz w:val="18"/>
              <w:szCs w:val="18"/>
            </w:rPr>
            <w:t xml:space="preserve">    </w:t>
          </w:r>
          <w:r>
            <w:rPr>
              <w:spacing w:val="-2"/>
              <w:sz w:val="18"/>
              <w:szCs w:val="18"/>
            </w:rPr>
            <w:t>监理流程</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462</w:t>
          </w:r>
          <w:r>
            <w:rPr>
              <w:rFonts w:ascii="Times New Roman" w:hAnsi="Times New Roman" w:eastAsia="Times New Roman" w:cs="Times New Roman"/>
              <w:spacing w:val="2"/>
              <w:sz w:val="18"/>
              <w:szCs w:val="18"/>
            </w:rPr>
            <w:fldChar w:fldCharType="end"/>
          </w:r>
        </w:p>
        <w:p w14:paraId="1C5B62F8">
          <w:pPr>
            <w:pStyle w:val="2"/>
            <w:tabs>
              <w:tab w:val="right" w:leader="dot" w:pos="4357"/>
            </w:tabs>
            <w:spacing w:before="96" w:line="219" w:lineRule="auto"/>
            <w:ind w:left="389"/>
            <w:rPr>
              <w:rFonts w:ascii="Times New Roman" w:hAnsi="Times New Roman" w:eastAsia="Times New Roman" w:cs="Times New Roman"/>
              <w:sz w:val="18"/>
              <w:szCs w:val="18"/>
            </w:rPr>
          </w:pPr>
          <w:bookmarkStart w:id="339" w:name="bookmark330"/>
          <w:bookmarkEnd w:id="339"/>
          <w:r>
            <w:fldChar w:fldCharType="begin"/>
          </w:r>
          <w:r>
            <w:instrText xml:space="preserve"> HYPERLINK \l "bookmark330" </w:instrText>
          </w:r>
          <w:r>
            <w:fldChar w:fldCharType="separate"/>
          </w:r>
          <w:r>
            <w:rPr>
              <w:rFonts w:ascii="Times New Roman" w:hAnsi="Times New Roman" w:eastAsia="Times New Roman" w:cs="Times New Roman"/>
              <w:spacing w:val="-1"/>
              <w:sz w:val="18"/>
              <w:szCs w:val="18"/>
            </w:rPr>
            <w:t xml:space="preserve">20.5    </w:t>
          </w:r>
          <w:r>
            <w:rPr>
              <w:spacing w:val="-1"/>
              <w:sz w:val="18"/>
              <w:szCs w:val="18"/>
            </w:rPr>
            <w:t>验收阶段监理基础工作</w:t>
          </w:r>
          <w:r>
            <w:rPr>
              <w:spacing w:val="-38"/>
              <w:sz w:val="18"/>
              <w:szCs w:val="18"/>
            </w:rPr>
            <w:t xml:space="preserve"> </w:t>
          </w:r>
          <w:r>
            <w:rPr>
              <w:sz w:val="18"/>
              <w:szCs w:val="18"/>
            </w:rPr>
            <w:tab/>
          </w:r>
          <w:r>
            <w:rPr>
              <w:rFonts w:ascii="Times New Roman" w:hAnsi="Times New Roman" w:eastAsia="Times New Roman" w:cs="Times New Roman"/>
              <w:spacing w:val="2"/>
              <w:sz w:val="18"/>
              <w:szCs w:val="18"/>
            </w:rPr>
            <w:t>464</w:t>
          </w:r>
          <w:r>
            <w:rPr>
              <w:rFonts w:ascii="Times New Roman" w:hAnsi="Times New Roman" w:eastAsia="Times New Roman" w:cs="Times New Roman"/>
              <w:spacing w:val="2"/>
              <w:sz w:val="18"/>
              <w:szCs w:val="18"/>
            </w:rPr>
            <w:fldChar w:fldCharType="end"/>
          </w:r>
        </w:p>
        <w:p w14:paraId="6F4F3431">
          <w:pPr>
            <w:pStyle w:val="2"/>
            <w:tabs>
              <w:tab w:val="right" w:leader="dot" w:pos="4347"/>
            </w:tabs>
            <w:spacing w:before="87" w:line="221" w:lineRule="auto"/>
            <w:ind w:left="789"/>
            <w:rPr>
              <w:rFonts w:ascii="Times New Roman" w:hAnsi="Times New Roman" w:eastAsia="Times New Roman" w:cs="Times New Roman"/>
              <w:sz w:val="18"/>
              <w:szCs w:val="18"/>
            </w:rPr>
          </w:pPr>
          <w:bookmarkStart w:id="340" w:name="bookmark331"/>
          <w:bookmarkEnd w:id="340"/>
          <w:r>
            <w:fldChar w:fldCharType="begin"/>
          </w:r>
          <w:r>
            <w:instrText xml:space="preserve"> HYPERLINK \l "bookmark331" </w:instrText>
          </w:r>
          <w:r>
            <w:fldChar w:fldCharType="separate"/>
          </w:r>
          <w:r>
            <w:rPr>
              <w:rFonts w:ascii="Times New Roman" w:hAnsi="Times New Roman" w:eastAsia="Times New Roman" w:cs="Times New Roman"/>
              <w:spacing w:val="1"/>
              <w:sz w:val="18"/>
              <w:szCs w:val="18"/>
            </w:rPr>
            <w:t xml:space="preserve">20.5.1    </w:t>
          </w:r>
          <w:r>
            <w:rPr>
              <w:spacing w:val="1"/>
              <w:sz w:val="18"/>
              <w:szCs w:val="18"/>
            </w:rPr>
            <w:t>监理要求</w:t>
          </w:r>
          <w:r>
            <w:rPr>
              <w:spacing w:val="-65"/>
              <w:sz w:val="18"/>
              <w:szCs w:val="18"/>
            </w:rPr>
            <w:t xml:space="preserve"> </w:t>
          </w:r>
          <w:r>
            <w:rPr>
              <w:sz w:val="18"/>
              <w:szCs w:val="18"/>
            </w:rPr>
            <w:tab/>
          </w:r>
          <w:r>
            <w:rPr>
              <w:rFonts w:ascii="Times New Roman" w:hAnsi="Times New Roman" w:eastAsia="Times New Roman" w:cs="Times New Roman"/>
              <w:spacing w:val="2"/>
              <w:sz w:val="18"/>
              <w:szCs w:val="18"/>
            </w:rPr>
            <w:t>464</w:t>
          </w:r>
          <w:r>
            <w:rPr>
              <w:rFonts w:ascii="Times New Roman" w:hAnsi="Times New Roman" w:eastAsia="Times New Roman" w:cs="Times New Roman"/>
              <w:spacing w:val="2"/>
              <w:sz w:val="18"/>
              <w:szCs w:val="18"/>
            </w:rPr>
            <w:fldChar w:fldCharType="end"/>
          </w:r>
        </w:p>
        <w:p w14:paraId="395E27D7">
          <w:pPr>
            <w:pStyle w:val="2"/>
            <w:tabs>
              <w:tab w:val="right" w:leader="dot" w:pos="4337"/>
            </w:tabs>
            <w:spacing w:before="94" w:line="219" w:lineRule="auto"/>
            <w:ind w:left="789"/>
            <w:rPr>
              <w:rFonts w:ascii="Times New Roman" w:hAnsi="Times New Roman" w:eastAsia="Times New Roman" w:cs="Times New Roman"/>
              <w:sz w:val="18"/>
              <w:szCs w:val="18"/>
            </w:rPr>
          </w:pPr>
          <w:bookmarkStart w:id="341" w:name="bookmark332"/>
          <w:bookmarkEnd w:id="341"/>
          <w:r>
            <w:fldChar w:fldCharType="begin"/>
          </w:r>
          <w:r>
            <w:instrText xml:space="preserve"> HYPERLINK \l "bookmark332" </w:instrText>
          </w:r>
          <w:r>
            <w:fldChar w:fldCharType="separate"/>
          </w:r>
          <w:r>
            <w:rPr>
              <w:rFonts w:ascii="Times New Roman" w:hAnsi="Times New Roman" w:eastAsia="Times New Roman" w:cs="Times New Roman"/>
              <w:spacing w:val="-1"/>
              <w:sz w:val="18"/>
              <w:szCs w:val="18"/>
            </w:rPr>
            <w:t xml:space="preserve">20.5.2    </w:t>
          </w:r>
          <w:r>
            <w:rPr>
              <w:spacing w:val="-1"/>
              <w:sz w:val="18"/>
              <w:szCs w:val="18"/>
            </w:rPr>
            <w:t>监理内容</w:t>
          </w:r>
          <w:r>
            <w:rPr>
              <w:spacing w:val="-48"/>
              <w:sz w:val="18"/>
              <w:szCs w:val="18"/>
            </w:rPr>
            <w:t xml:space="preserve"> </w:t>
          </w:r>
          <w:r>
            <w:rPr>
              <w:sz w:val="18"/>
              <w:szCs w:val="18"/>
            </w:rPr>
            <w:tab/>
          </w:r>
          <w:r>
            <w:rPr>
              <w:rFonts w:ascii="Times New Roman" w:hAnsi="Times New Roman" w:eastAsia="Times New Roman" w:cs="Times New Roman"/>
              <w:spacing w:val="2"/>
              <w:sz w:val="18"/>
              <w:szCs w:val="18"/>
            </w:rPr>
            <w:t>464</w:t>
          </w:r>
          <w:r>
            <w:rPr>
              <w:rFonts w:ascii="Times New Roman" w:hAnsi="Times New Roman" w:eastAsia="Times New Roman" w:cs="Times New Roman"/>
              <w:spacing w:val="2"/>
              <w:sz w:val="18"/>
              <w:szCs w:val="18"/>
            </w:rPr>
            <w:fldChar w:fldCharType="end"/>
          </w:r>
        </w:p>
        <w:p w14:paraId="1A5FAFF5">
          <w:pPr>
            <w:pStyle w:val="2"/>
            <w:tabs>
              <w:tab w:val="right" w:leader="dot" w:pos="4357"/>
            </w:tabs>
            <w:spacing w:before="97" w:line="220" w:lineRule="auto"/>
            <w:ind w:left="789"/>
            <w:rPr>
              <w:rFonts w:ascii="Times New Roman" w:hAnsi="Times New Roman" w:eastAsia="Times New Roman" w:cs="Times New Roman"/>
              <w:sz w:val="18"/>
              <w:szCs w:val="18"/>
            </w:rPr>
          </w:pPr>
          <w:bookmarkStart w:id="342" w:name="bookmark333"/>
          <w:bookmarkEnd w:id="342"/>
          <w:r>
            <w:fldChar w:fldCharType="begin"/>
          </w:r>
          <w:r>
            <w:instrText xml:space="preserve"> HYPERLINK \l "bookmark333" </w:instrText>
          </w:r>
          <w:r>
            <w:fldChar w:fldCharType="separate"/>
          </w:r>
          <w:r>
            <w:rPr>
              <w:rFonts w:ascii="Times New Roman" w:hAnsi="Times New Roman" w:eastAsia="Times New Roman" w:cs="Times New Roman"/>
              <w:spacing w:val="-2"/>
              <w:sz w:val="18"/>
              <w:szCs w:val="18"/>
            </w:rPr>
            <w:t>20.5.3</w:t>
          </w:r>
          <w:r>
            <w:rPr>
              <w:rFonts w:ascii="Times New Roman" w:hAnsi="Times New Roman" w:eastAsia="Times New Roman" w:cs="Times New Roman"/>
              <w:spacing w:val="5"/>
              <w:sz w:val="18"/>
              <w:szCs w:val="18"/>
            </w:rPr>
            <w:t xml:space="preserve">    </w:t>
          </w:r>
          <w:r>
            <w:rPr>
              <w:spacing w:val="-2"/>
              <w:sz w:val="18"/>
              <w:szCs w:val="18"/>
            </w:rPr>
            <w:t>监理流程</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467</w:t>
          </w:r>
          <w:r>
            <w:rPr>
              <w:rFonts w:ascii="Times New Roman" w:hAnsi="Times New Roman" w:eastAsia="Times New Roman" w:cs="Times New Roman"/>
              <w:spacing w:val="2"/>
              <w:sz w:val="18"/>
              <w:szCs w:val="18"/>
            </w:rPr>
            <w:fldChar w:fldCharType="end"/>
          </w:r>
        </w:p>
        <w:p w14:paraId="3D3A5336">
          <w:pPr>
            <w:spacing w:line="341" w:lineRule="auto"/>
            <w:rPr>
              <w:rFonts w:ascii="Arial"/>
              <w:sz w:val="21"/>
            </w:rPr>
          </w:pPr>
        </w:p>
        <w:p w14:paraId="24CD7617">
          <w:pPr>
            <w:spacing w:line="341" w:lineRule="auto"/>
            <w:rPr>
              <w:rFonts w:ascii="Arial"/>
              <w:sz w:val="21"/>
            </w:rPr>
          </w:pPr>
        </w:p>
        <w:p w14:paraId="62707013">
          <w:pPr>
            <w:pStyle w:val="2"/>
            <w:tabs>
              <w:tab w:val="right" w:leader="dot" w:pos="4347"/>
            </w:tabs>
            <w:spacing w:before="58" w:line="219" w:lineRule="auto"/>
            <w:ind w:left="389"/>
            <w:rPr>
              <w:rFonts w:ascii="Times New Roman" w:hAnsi="Times New Roman" w:eastAsia="Times New Roman" w:cs="Times New Roman"/>
              <w:sz w:val="18"/>
              <w:szCs w:val="18"/>
            </w:rPr>
          </w:pPr>
          <w:bookmarkStart w:id="343" w:name="bookmark334"/>
          <w:bookmarkEnd w:id="343"/>
          <w:r>
            <w:fldChar w:fldCharType="begin"/>
          </w:r>
          <w:r>
            <w:instrText xml:space="preserve"> HYPERLINK \l "bookmark334" </w:instrText>
          </w:r>
          <w:r>
            <w:fldChar w:fldCharType="separate"/>
          </w:r>
          <w:r>
            <w:rPr>
              <w:rFonts w:ascii="Times New Roman" w:hAnsi="Times New Roman" w:eastAsia="Times New Roman" w:cs="Times New Roman"/>
              <w:spacing w:val="-2"/>
              <w:sz w:val="18"/>
              <w:szCs w:val="18"/>
            </w:rPr>
            <w:t>21.1</w:t>
          </w:r>
          <w:r>
            <w:rPr>
              <w:rFonts w:ascii="Times New Roman" w:hAnsi="Times New Roman" w:eastAsia="Times New Roman" w:cs="Times New Roman"/>
              <w:spacing w:val="4"/>
              <w:sz w:val="18"/>
              <w:szCs w:val="18"/>
            </w:rPr>
            <w:t xml:space="preserve">    </w:t>
          </w:r>
          <w:r>
            <w:rPr>
              <w:spacing w:val="-2"/>
              <w:sz w:val="18"/>
              <w:szCs w:val="18"/>
            </w:rPr>
            <w:t>概述</w:t>
          </w:r>
          <w:r>
            <w:rPr>
              <w:spacing w:val="-60"/>
              <w:sz w:val="18"/>
              <w:szCs w:val="18"/>
            </w:rPr>
            <w:t xml:space="preserve"> </w:t>
          </w:r>
          <w:r>
            <w:rPr>
              <w:sz w:val="18"/>
              <w:szCs w:val="18"/>
            </w:rPr>
            <w:tab/>
          </w:r>
          <w:r>
            <w:rPr>
              <w:rFonts w:ascii="Times New Roman" w:hAnsi="Times New Roman" w:eastAsia="Times New Roman" w:cs="Times New Roman"/>
              <w:spacing w:val="2"/>
              <w:sz w:val="18"/>
              <w:szCs w:val="18"/>
            </w:rPr>
            <w:t>470</w:t>
          </w:r>
          <w:r>
            <w:rPr>
              <w:rFonts w:ascii="Times New Roman" w:hAnsi="Times New Roman" w:eastAsia="Times New Roman" w:cs="Times New Roman"/>
              <w:spacing w:val="2"/>
              <w:sz w:val="18"/>
              <w:szCs w:val="18"/>
            </w:rPr>
            <w:fldChar w:fldCharType="end"/>
          </w:r>
        </w:p>
        <w:p w14:paraId="0B00E731">
          <w:pPr>
            <w:pStyle w:val="2"/>
            <w:tabs>
              <w:tab w:val="right" w:leader="dot" w:pos="4347"/>
            </w:tabs>
            <w:spacing w:before="86" w:line="219" w:lineRule="auto"/>
            <w:ind w:left="789"/>
            <w:rPr>
              <w:rFonts w:ascii="Times New Roman" w:hAnsi="Times New Roman" w:eastAsia="Times New Roman" w:cs="Times New Roman"/>
              <w:sz w:val="18"/>
              <w:szCs w:val="18"/>
            </w:rPr>
          </w:pPr>
          <w:bookmarkStart w:id="344" w:name="bookmark335"/>
          <w:bookmarkEnd w:id="344"/>
          <w:r>
            <w:fldChar w:fldCharType="begin"/>
          </w:r>
          <w:r>
            <w:instrText xml:space="preserve"> HYPERLINK \l "bookmark335" </w:instrText>
          </w:r>
          <w:r>
            <w:fldChar w:fldCharType="separate"/>
          </w:r>
          <w:r>
            <w:rPr>
              <w:rFonts w:ascii="Times New Roman" w:hAnsi="Times New Roman" w:eastAsia="Times New Roman" w:cs="Times New Roman"/>
              <w:spacing w:val="1"/>
              <w:sz w:val="18"/>
              <w:szCs w:val="18"/>
            </w:rPr>
            <w:t>21.1.1</w:t>
          </w:r>
          <w:r>
            <w:rPr>
              <w:rFonts w:ascii="Times New Roman" w:hAnsi="Times New Roman" w:eastAsia="Times New Roman" w:cs="Times New Roman"/>
              <w:spacing w:val="13"/>
              <w:w w:val="102"/>
              <w:sz w:val="18"/>
              <w:szCs w:val="18"/>
            </w:rPr>
            <w:t xml:space="preserve">   </w:t>
          </w:r>
          <w:r>
            <w:rPr>
              <w:spacing w:val="1"/>
              <w:sz w:val="18"/>
              <w:szCs w:val="18"/>
            </w:rPr>
            <w:t>基本概念</w:t>
          </w:r>
          <w:r>
            <w:rPr>
              <w:spacing w:val="-68"/>
              <w:sz w:val="18"/>
              <w:szCs w:val="18"/>
            </w:rPr>
            <w:t xml:space="preserve"> </w:t>
          </w:r>
          <w:r>
            <w:rPr>
              <w:sz w:val="18"/>
              <w:szCs w:val="18"/>
            </w:rPr>
            <w:tab/>
          </w:r>
          <w:r>
            <w:rPr>
              <w:rFonts w:ascii="Times New Roman" w:hAnsi="Times New Roman" w:eastAsia="Times New Roman" w:cs="Times New Roman"/>
              <w:spacing w:val="2"/>
              <w:sz w:val="18"/>
              <w:szCs w:val="18"/>
            </w:rPr>
            <w:t>470</w:t>
          </w:r>
          <w:r>
            <w:rPr>
              <w:rFonts w:ascii="Times New Roman" w:hAnsi="Times New Roman" w:eastAsia="Times New Roman" w:cs="Times New Roman"/>
              <w:spacing w:val="2"/>
              <w:sz w:val="18"/>
              <w:szCs w:val="18"/>
            </w:rPr>
            <w:fldChar w:fldCharType="end"/>
          </w:r>
        </w:p>
      </w:sdtContent>
    </w:sdt>
    <w:p w14:paraId="026AF7DC">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8"/>
          <w:szCs w:val="18"/>
        </w:rPr>
        <w:id w:val="147458144"/>
        <w:docPartObj>
          <w:docPartGallery w:val="Table of Contents"/>
          <w:docPartUnique/>
        </w:docPartObj>
      </w:sdtPr>
      <w:sdtEndPr>
        <w:rPr>
          <w:rFonts w:ascii="Times New Roman" w:hAnsi="Times New Roman" w:eastAsia="Times New Roman" w:cs="Times New Roman"/>
          <w:sz w:val="18"/>
          <w:szCs w:val="18"/>
        </w:rPr>
      </w:sdtEndPr>
      <w:sdtContent>
        <w:p w14:paraId="265A4B3A">
          <w:pPr>
            <w:pStyle w:val="2"/>
            <w:tabs>
              <w:tab w:val="right" w:leader="dot" w:pos="3947"/>
            </w:tabs>
            <w:spacing w:line="217" w:lineRule="auto"/>
            <w:ind w:left="390"/>
            <w:rPr>
              <w:rFonts w:ascii="Times New Roman" w:hAnsi="Times New Roman" w:eastAsia="Times New Roman" w:cs="Times New Roman"/>
              <w:sz w:val="18"/>
              <w:szCs w:val="18"/>
            </w:rPr>
          </w:pPr>
          <w:bookmarkStart w:id="345" w:name="bookmark336"/>
          <w:bookmarkEnd w:id="345"/>
          <w:r>
            <w:fldChar w:fldCharType="begin"/>
          </w:r>
          <w:r>
            <w:instrText xml:space="preserve"> HYPERLINK \l "bookmark336" </w:instrText>
          </w:r>
          <w:r>
            <w:fldChar w:fldCharType="separate"/>
          </w:r>
          <w:r>
            <w:rPr>
              <w:rFonts w:ascii="Times New Roman" w:hAnsi="Times New Roman" w:eastAsia="Times New Roman" w:cs="Times New Roman"/>
              <w:spacing w:val="-1"/>
              <w:sz w:val="18"/>
              <w:szCs w:val="18"/>
            </w:rPr>
            <w:t xml:space="preserve">21.1.2    </w:t>
          </w:r>
          <w:r>
            <w:rPr>
              <w:spacing w:val="-1"/>
              <w:sz w:val="18"/>
              <w:szCs w:val="18"/>
            </w:rPr>
            <w:t>基础设施工程建设任务</w:t>
          </w:r>
          <w:r>
            <w:rPr>
              <w:spacing w:val="-41"/>
              <w:sz w:val="18"/>
              <w:szCs w:val="18"/>
            </w:rPr>
            <w:t xml:space="preserve"> </w:t>
          </w:r>
          <w:r>
            <w:rPr>
              <w:sz w:val="18"/>
              <w:szCs w:val="18"/>
            </w:rPr>
            <w:tab/>
          </w:r>
          <w:r>
            <w:rPr>
              <w:rFonts w:ascii="Times New Roman" w:hAnsi="Times New Roman" w:eastAsia="Times New Roman" w:cs="Times New Roman"/>
              <w:spacing w:val="3"/>
              <w:sz w:val="18"/>
              <w:szCs w:val="18"/>
            </w:rPr>
            <w:t>470</w:t>
          </w:r>
          <w:r>
            <w:rPr>
              <w:rFonts w:ascii="Times New Roman" w:hAnsi="Times New Roman" w:eastAsia="Times New Roman" w:cs="Times New Roman"/>
              <w:spacing w:val="3"/>
              <w:sz w:val="18"/>
              <w:szCs w:val="18"/>
            </w:rPr>
            <w:fldChar w:fldCharType="end"/>
          </w:r>
        </w:p>
        <w:p w14:paraId="256B70FE">
          <w:pPr>
            <w:pStyle w:val="2"/>
            <w:tabs>
              <w:tab w:val="right" w:leader="dot" w:pos="3957"/>
            </w:tabs>
            <w:spacing w:before="97" w:line="220" w:lineRule="auto"/>
            <w:rPr>
              <w:rFonts w:ascii="Times New Roman" w:hAnsi="Times New Roman" w:eastAsia="Times New Roman" w:cs="Times New Roman"/>
              <w:sz w:val="18"/>
              <w:szCs w:val="18"/>
            </w:rPr>
          </w:pPr>
          <w:bookmarkStart w:id="346" w:name="bookmark337"/>
          <w:bookmarkEnd w:id="346"/>
          <w:r>
            <w:fldChar w:fldCharType="begin"/>
          </w:r>
          <w:r>
            <w:instrText xml:space="preserve"> HYPERLINK \l "bookmark337" </w:instrText>
          </w:r>
          <w:r>
            <w:fldChar w:fldCharType="separate"/>
          </w:r>
          <w:r>
            <w:rPr>
              <w:rFonts w:ascii="Times New Roman" w:hAnsi="Times New Roman" w:eastAsia="Times New Roman" w:cs="Times New Roman"/>
              <w:spacing w:val="-1"/>
              <w:sz w:val="18"/>
              <w:szCs w:val="18"/>
            </w:rPr>
            <w:t xml:space="preserve">21.2    </w:t>
          </w:r>
          <w:r>
            <w:rPr>
              <w:spacing w:val="-1"/>
              <w:sz w:val="18"/>
              <w:szCs w:val="18"/>
            </w:rPr>
            <w:t>招标阶段监理工作</w:t>
          </w:r>
          <w:r>
            <w:rPr>
              <w:spacing w:val="-51"/>
              <w:sz w:val="18"/>
              <w:szCs w:val="18"/>
            </w:rPr>
            <w:t xml:space="preserve"> </w:t>
          </w:r>
          <w:r>
            <w:rPr>
              <w:sz w:val="18"/>
              <w:szCs w:val="18"/>
            </w:rPr>
            <w:tab/>
          </w:r>
          <w:r>
            <w:rPr>
              <w:rFonts w:ascii="Times New Roman" w:hAnsi="Times New Roman" w:eastAsia="Times New Roman" w:cs="Times New Roman"/>
              <w:spacing w:val="2"/>
              <w:sz w:val="18"/>
              <w:szCs w:val="18"/>
            </w:rPr>
            <w:t>471</w:t>
          </w:r>
          <w:r>
            <w:rPr>
              <w:rFonts w:ascii="Times New Roman" w:hAnsi="Times New Roman" w:eastAsia="Times New Roman" w:cs="Times New Roman"/>
              <w:spacing w:val="2"/>
              <w:sz w:val="18"/>
              <w:szCs w:val="18"/>
            </w:rPr>
            <w:fldChar w:fldCharType="end"/>
          </w:r>
        </w:p>
        <w:p w14:paraId="33234ED6">
          <w:pPr>
            <w:pStyle w:val="2"/>
            <w:tabs>
              <w:tab w:val="right" w:leader="dot" w:pos="3977"/>
            </w:tabs>
            <w:spacing w:before="96" w:line="220" w:lineRule="auto"/>
            <w:ind w:left="390"/>
            <w:rPr>
              <w:rFonts w:ascii="Times New Roman" w:hAnsi="Times New Roman" w:eastAsia="Times New Roman" w:cs="Times New Roman"/>
              <w:sz w:val="18"/>
              <w:szCs w:val="18"/>
            </w:rPr>
          </w:pPr>
          <w:bookmarkStart w:id="347" w:name="bookmark338"/>
          <w:bookmarkEnd w:id="347"/>
          <w:r>
            <w:fldChar w:fldCharType="begin"/>
          </w:r>
          <w:r>
            <w:instrText xml:space="preserve"> HYPERLINK \l "bookmark338" </w:instrText>
          </w:r>
          <w:r>
            <w:fldChar w:fldCharType="separate"/>
          </w:r>
          <w:r>
            <w:rPr>
              <w:rFonts w:ascii="Times New Roman" w:hAnsi="Times New Roman" w:eastAsia="Times New Roman" w:cs="Times New Roman"/>
              <w:sz w:val="18"/>
              <w:szCs w:val="18"/>
            </w:rPr>
            <w:t>21.2.1</w:t>
          </w:r>
          <w:r>
            <w:rPr>
              <w:rFonts w:ascii="Times New Roman" w:hAnsi="Times New Roman" w:eastAsia="Times New Roman" w:cs="Times New Roman"/>
              <w:spacing w:val="5"/>
              <w:sz w:val="18"/>
              <w:szCs w:val="18"/>
            </w:rPr>
            <w:t xml:space="preserve">    </w:t>
          </w:r>
          <w:r>
            <w:rPr>
              <w:sz w:val="18"/>
              <w:szCs w:val="18"/>
            </w:rPr>
            <w:t>监理活动</w:t>
          </w:r>
          <w:r>
            <w:rPr>
              <w:spacing w:val="-71"/>
              <w:sz w:val="18"/>
              <w:szCs w:val="18"/>
            </w:rPr>
            <w:t xml:space="preserve"> </w:t>
          </w:r>
          <w:r>
            <w:rPr>
              <w:sz w:val="18"/>
              <w:szCs w:val="18"/>
            </w:rPr>
            <w:tab/>
          </w:r>
          <w:r>
            <w:rPr>
              <w:rFonts w:ascii="Times New Roman" w:hAnsi="Times New Roman" w:eastAsia="Times New Roman" w:cs="Times New Roman"/>
              <w:spacing w:val="2"/>
              <w:sz w:val="18"/>
              <w:szCs w:val="18"/>
            </w:rPr>
            <w:t>471</w:t>
          </w:r>
          <w:r>
            <w:rPr>
              <w:rFonts w:ascii="Times New Roman" w:hAnsi="Times New Roman" w:eastAsia="Times New Roman" w:cs="Times New Roman"/>
              <w:spacing w:val="2"/>
              <w:sz w:val="18"/>
              <w:szCs w:val="18"/>
            </w:rPr>
            <w:fldChar w:fldCharType="end"/>
          </w:r>
        </w:p>
        <w:p w14:paraId="13E5DD5A">
          <w:pPr>
            <w:pStyle w:val="2"/>
            <w:tabs>
              <w:tab w:val="right" w:leader="dot" w:pos="3957"/>
            </w:tabs>
            <w:spacing w:before="105" w:line="219" w:lineRule="auto"/>
            <w:ind w:left="390"/>
            <w:rPr>
              <w:rFonts w:ascii="Times New Roman" w:hAnsi="Times New Roman" w:eastAsia="Times New Roman" w:cs="Times New Roman"/>
              <w:sz w:val="18"/>
              <w:szCs w:val="18"/>
            </w:rPr>
          </w:pPr>
          <w:bookmarkStart w:id="348" w:name="bookmark339"/>
          <w:bookmarkEnd w:id="348"/>
          <w:r>
            <w:fldChar w:fldCharType="begin"/>
          </w:r>
          <w:r>
            <w:instrText xml:space="preserve"> HYPERLINK \l "bookmark339" </w:instrText>
          </w:r>
          <w:r>
            <w:fldChar w:fldCharType="separate"/>
          </w:r>
          <w:r>
            <w:rPr>
              <w:rFonts w:ascii="Times New Roman" w:hAnsi="Times New Roman" w:eastAsia="Times New Roman" w:cs="Times New Roman"/>
              <w:spacing w:val="-2"/>
              <w:sz w:val="18"/>
              <w:szCs w:val="18"/>
            </w:rPr>
            <w:t>21.2.2</w:t>
          </w:r>
          <w:r>
            <w:rPr>
              <w:rFonts w:ascii="Times New Roman" w:hAnsi="Times New Roman" w:eastAsia="Times New Roman" w:cs="Times New Roman"/>
              <w:spacing w:val="5"/>
              <w:sz w:val="18"/>
              <w:szCs w:val="18"/>
            </w:rPr>
            <w:t xml:space="preserve">    </w:t>
          </w:r>
          <w:r>
            <w:rPr>
              <w:spacing w:val="-2"/>
              <w:sz w:val="18"/>
              <w:szCs w:val="18"/>
            </w:rPr>
            <w:t>监理内容</w:t>
          </w:r>
          <w:r>
            <w:rPr>
              <w:spacing w:val="-51"/>
              <w:sz w:val="18"/>
              <w:szCs w:val="18"/>
            </w:rPr>
            <w:t xml:space="preserve"> </w:t>
          </w:r>
          <w:r>
            <w:rPr>
              <w:sz w:val="18"/>
              <w:szCs w:val="18"/>
            </w:rPr>
            <w:tab/>
          </w:r>
          <w:r>
            <w:rPr>
              <w:rFonts w:ascii="Times New Roman" w:hAnsi="Times New Roman" w:eastAsia="Times New Roman" w:cs="Times New Roman"/>
              <w:spacing w:val="2"/>
              <w:sz w:val="18"/>
              <w:szCs w:val="18"/>
            </w:rPr>
            <w:t>472</w:t>
          </w:r>
          <w:r>
            <w:rPr>
              <w:rFonts w:ascii="Times New Roman" w:hAnsi="Times New Roman" w:eastAsia="Times New Roman" w:cs="Times New Roman"/>
              <w:spacing w:val="2"/>
              <w:sz w:val="18"/>
              <w:szCs w:val="18"/>
            </w:rPr>
            <w:fldChar w:fldCharType="end"/>
          </w:r>
        </w:p>
        <w:p w14:paraId="204860E9">
          <w:pPr>
            <w:pStyle w:val="2"/>
            <w:tabs>
              <w:tab w:val="right" w:leader="dot" w:pos="3967"/>
            </w:tabs>
            <w:spacing w:before="97" w:line="220" w:lineRule="auto"/>
            <w:rPr>
              <w:rFonts w:ascii="Times New Roman" w:hAnsi="Times New Roman" w:eastAsia="Times New Roman" w:cs="Times New Roman"/>
              <w:sz w:val="18"/>
              <w:szCs w:val="18"/>
            </w:rPr>
          </w:pPr>
          <w:bookmarkStart w:id="349" w:name="bookmark340"/>
          <w:bookmarkEnd w:id="349"/>
          <w:r>
            <w:fldChar w:fldCharType="begin"/>
          </w:r>
          <w:r>
            <w:instrText xml:space="preserve"> HYPERLINK \l "bookmark340" </w:instrText>
          </w:r>
          <w:r>
            <w:fldChar w:fldCharType="separate"/>
          </w:r>
          <w:r>
            <w:rPr>
              <w:rFonts w:ascii="Times New Roman" w:hAnsi="Times New Roman" w:eastAsia="Times New Roman" w:cs="Times New Roman"/>
              <w:sz w:val="18"/>
              <w:szCs w:val="18"/>
            </w:rPr>
            <w:t>21.3</w:t>
          </w:r>
          <w:r>
            <w:rPr>
              <w:rFonts w:ascii="Times New Roman" w:hAnsi="Times New Roman" w:eastAsia="Times New Roman" w:cs="Times New Roman"/>
              <w:spacing w:val="16"/>
              <w:w w:val="102"/>
              <w:sz w:val="18"/>
              <w:szCs w:val="18"/>
            </w:rPr>
            <w:t xml:space="preserve">   </w:t>
          </w:r>
          <w:r>
            <w:rPr>
              <w:sz w:val="18"/>
              <w:szCs w:val="18"/>
            </w:rPr>
            <w:t>设计阶段监理工作</w:t>
          </w:r>
          <w:r>
            <w:rPr>
              <w:spacing w:val="-72"/>
              <w:sz w:val="18"/>
              <w:szCs w:val="18"/>
            </w:rPr>
            <w:t xml:space="preserve"> </w:t>
          </w:r>
          <w:r>
            <w:rPr>
              <w:sz w:val="18"/>
              <w:szCs w:val="18"/>
            </w:rPr>
            <w:tab/>
          </w:r>
          <w:r>
            <w:rPr>
              <w:rFonts w:ascii="Times New Roman" w:hAnsi="Times New Roman" w:eastAsia="Times New Roman" w:cs="Times New Roman"/>
              <w:spacing w:val="2"/>
              <w:sz w:val="18"/>
              <w:szCs w:val="18"/>
            </w:rPr>
            <w:t>474</w:t>
          </w:r>
          <w:r>
            <w:rPr>
              <w:rFonts w:ascii="Times New Roman" w:hAnsi="Times New Roman" w:eastAsia="Times New Roman" w:cs="Times New Roman"/>
              <w:spacing w:val="2"/>
              <w:sz w:val="18"/>
              <w:szCs w:val="18"/>
            </w:rPr>
            <w:fldChar w:fldCharType="end"/>
          </w:r>
        </w:p>
        <w:p w14:paraId="79B393E2">
          <w:pPr>
            <w:pStyle w:val="2"/>
            <w:tabs>
              <w:tab w:val="right" w:leader="dot" w:pos="3947"/>
            </w:tabs>
            <w:spacing w:before="95" w:line="220" w:lineRule="auto"/>
            <w:ind w:left="390"/>
            <w:rPr>
              <w:rFonts w:ascii="Times New Roman" w:hAnsi="Times New Roman" w:eastAsia="Times New Roman" w:cs="Times New Roman"/>
              <w:sz w:val="18"/>
              <w:szCs w:val="18"/>
            </w:rPr>
          </w:pPr>
          <w:bookmarkStart w:id="350" w:name="bookmark341"/>
          <w:bookmarkEnd w:id="350"/>
          <w:r>
            <w:fldChar w:fldCharType="begin"/>
          </w:r>
          <w:r>
            <w:instrText xml:space="preserve"> HYPERLINK \l "bookmark341" </w:instrText>
          </w:r>
          <w:r>
            <w:fldChar w:fldCharType="separate"/>
          </w:r>
          <w:r>
            <w:rPr>
              <w:rFonts w:ascii="Times New Roman" w:hAnsi="Times New Roman" w:eastAsia="Times New Roman" w:cs="Times New Roman"/>
              <w:spacing w:val="-2"/>
              <w:sz w:val="18"/>
              <w:szCs w:val="18"/>
            </w:rPr>
            <w:t>21.3.1</w:t>
          </w:r>
          <w:r>
            <w:rPr>
              <w:rFonts w:ascii="Times New Roman" w:hAnsi="Times New Roman" w:eastAsia="Times New Roman" w:cs="Times New Roman"/>
              <w:spacing w:val="10"/>
              <w:sz w:val="18"/>
              <w:szCs w:val="18"/>
            </w:rPr>
            <w:t xml:space="preserve">    </w:t>
          </w:r>
          <w:r>
            <w:rPr>
              <w:spacing w:val="-2"/>
              <w:sz w:val="18"/>
              <w:szCs w:val="18"/>
            </w:rPr>
            <w:t>监理活动</w:t>
          </w:r>
          <w:r>
            <w:rPr>
              <w:spacing w:val="-71"/>
              <w:sz w:val="18"/>
              <w:szCs w:val="18"/>
            </w:rPr>
            <w:t xml:space="preserve"> </w:t>
          </w:r>
          <w:r>
            <w:rPr>
              <w:sz w:val="18"/>
              <w:szCs w:val="18"/>
            </w:rPr>
            <w:tab/>
          </w:r>
          <w:r>
            <w:rPr>
              <w:rFonts w:ascii="Times New Roman" w:hAnsi="Times New Roman" w:eastAsia="Times New Roman" w:cs="Times New Roman"/>
              <w:spacing w:val="2"/>
              <w:sz w:val="18"/>
              <w:szCs w:val="18"/>
            </w:rPr>
            <w:t>474</w:t>
          </w:r>
          <w:r>
            <w:rPr>
              <w:rFonts w:ascii="Times New Roman" w:hAnsi="Times New Roman" w:eastAsia="Times New Roman" w:cs="Times New Roman"/>
              <w:spacing w:val="2"/>
              <w:sz w:val="18"/>
              <w:szCs w:val="18"/>
            </w:rPr>
            <w:fldChar w:fldCharType="end"/>
          </w:r>
        </w:p>
        <w:p w14:paraId="32C93B74">
          <w:pPr>
            <w:pStyle w:val="2"/>
            <w:tabs>
              <w:tab w:val="right" w:leader="dot" w:pos="3947"/>
            </w:tabs>
            <w:spacing w:before="95" w:line="219" w:lineRule="auto"/>
            <w:ind w:left="390"/>
            <w:rPr>
              <w:rFonts w:ascii="Times New Roman" w:hAnsi="Times New Roman" w:eastAsia="Times New Roman" w:cs="Times New Roman"/>
              <w:sz w:val="18"/>
              <w:szCs w:val="18"/>
            </w:rPr>
          </w:pPr>
          <w:bookmarkStart w:id="351" w:name="bookmark342"/>
          <w:bookmarkEnd w:id="351"/>
          <w:r>
            <w:fldChar w:fldCharType="begin"/>
          </w:r>
          <w:r>
            <w:instrText xml:space="preserve"> HYPERLINK \l "bookmark342" </w:instrText>
          </w:r>
          <w:r>
            <w:fldChar w:fldCharType="separate"/>
          </w:r>
          <w:r>
            <w:rPr>
              <w:rFonts w:ascii="Times New Roman" w:hAnsi="Times New Roman" w:eastAsia="Times New Roman" w:cs="Times New Roman"/>
              <w:spacing w:val="-2"/>
              <w:sz w:val="18"/>
              <w:szCs w:val="18"/>
            </w:rPr>
            <w:t>21.3.2</w:t>
          </w:r>
          <w:r>
            <w:rPr>
              <w:rFonts w:ascii="Times New Roman" w:hAnsi="Times New Roman" w:eastAsia="Times New Roman" w:cs="Times New Roman"/>
              <w:spacing w:val="7"/>
              <w:sz w:val="18"/>
              <w:szCs w:val="18"/>
            </w:rPr>
            <w:t xml:space="preserve">    </w:t>
          </w:r>
          <w:r>
            <w:rPr>
              <w:spacing w:val="-2"/>
              <w:sz w:val="18"/>
              <w:szCs w:val="18"/>
            </w:rPr>
            <w:t>监理内容</w:t>
          </w:r>
          <w:r>
            <w:rPr>
              <w:spacing w:val="-59"/>
              <w:sz w:val="18"/>
              <w:szCs w:val="18"/>
            </w:rPr>
            <w:t xml:space="preserve"> </w:t>
          </w:r>
          <w:r>
            <w:rPr>
              <w:sz w:val="18"/>
              <w:szCs w:val="18"/>
            </w:rPr>
            <w:tab/>
          </w:r>
          <w:r>
            <w:rPr>
              <w:rFonts w:ascii="Times New Roman" w:hAnsi="Times New Roman" w:eastAsia="Times New Roman" w:cs="Times New Roman"/>
              <w:spacing w:val="2"/>
              <w:sz w:val="18"/>
              <w:szCs w:val="18"/>
            </w:rPr>
            <w:t>474</w:t>
          </w:r>
          <w:r>
            <w:rPr>
              <w:rFonts w:ascii="Times New Roman" w:hAnsi="Times New Roman" w:eastAsia="Times New Roman" w:cs="Times New Roman"/>
              <w:spacing w:val="2"/>
              <w:sz w:val="18"/>
              <w:szCs w:val="18"/>
            </w:rPr>
            <w:fldChar w:fldCharType="end"/>
          </w:r>
        </w:p>
        <w:p w14:paraId="0E23C843">
          <w:pPr>
            <w:pStyle w:val="2"/>
            <w:tabs>
              <w:tab w:val="right" w:leader="dot" w:pos="3937"/>
            </w:tabs>
            <w:spacing w:before="97" w:line="220" w:lineRule="auto"/>
            <w:rPr>
              <w:rFonts w:ascii="Times New Roman" w:hAnsi="Times New Roman" w:eastAsia="Times New Roman" w:cs="Times New Roman"/>
              <w:sz w:val="18"/>
              <w:szCs w:val="18"/>
            </w:rPr>
          </w:pPr>
          <w:bookmarkStart w:id="352" w:name="bookmark343"/>
          <w:bookmarkEnd w:id="352"/>
          <w:r>
            <w:fldChar w:fldCharType="begin"/>
          </w:r>
          <w:r>
            <w:instrText xml:space="preserve"> HYPERLINK \l "bookmark343" </w:instrText>
          </w:r>
          <w:r>
            <w:fldChar w:fldCharType="separate"/>
          </w:r>
          <w:r>
            <w:rPr>
              <w:rFonts w:ascii="Times New Roman" w:hAnsi="Times New Roman" w:eastAsia="Times New Roman" w:cs="Times New Roman"/>
              <w:spacing w:val="-1"/>
              <w:sz w:val="18"/>
              <w:szCs w:val="18"/>
            </w:rPr>
            <w:t xml:space="preserve">21.4    </w:t>
          </w:r>
          <w:r>
            <w:rPr>
              <w:spacing w:val="-1"/>
              <w:sz w:val="18"/>
              <w:szCs w:val="18"/>
            </w:rPr>
            <w:t>实施阶段监理工作</w:t>
          </w:r>
          <w:r>
            <w:rPr>
              <w:spacing w:val="-51"/>
              <w:sz w:val="18"/>
              <w:szCs w:val="18"/>
            </w:rPr>
            <w:t xml:space="preserve"> </w:t>
          </w:r>
          <w:r>
            <w:rPr>
              <w:sz w:val="18"/>
              <w:szCs w:val="18"/>
            </w:rPr>
            <w:tab/>
          </w:r>
          <w:r>
            <w:rPr>
              <w:rFonts w:ascii="Times New Roman" w:hAnsi="Times New Roman" w:eastAsia="Times New Roman" w:cs="Times New Roman"/>
              <w:spacing w:val="2"/>
              <w:sz w:val="18"/>
              <w:szCs w:val="18"/>
            </w:rPr>
            <w:t>476</w:t>
          </w:r>
          <w:r>
            <w:rPr>
              <w:rFonts w:ascii="Times New Roman" w:hAnsi="Times New Roman" w:eastAsia="Times New Roman" w:cs="Times New Roman"/>
              <w:spacing w:val="2"/>
              <w:sz w:val="18"/>
              <w:szCs w:val="18"/>
            </w:rPr>
            <w:fldChar w:fldCharType="end"/>
          </w:r>
        </w:p>
        <w:p w14:paraId="32B11A88">
          <w:pPr>
            <w:pStyle w:val="2"/>
            <w:tabs>
              <w:tab w:val="right" w:leader="dot" w:pos="3947"/>
            </w:tabs>
            <w:spacing w:before="106" w:line="220" w:lineRule="auto"/>
            <w:ind w:left="390"/>
            <w:rPr>
              <w:rFonts w:ascii="Times New Roman" w:hAnsi="Times New Roman" w:eastAsia="Times New Roman" w:cs="Times New Roman"/>
              <w:sz w:val="18"/>
              <w:szCs w:val="18"/>
            </w:rPr>
          </w:pPr>
          <w:bookmarkStart w:id="353" w:name="bookmark344"/>
          <w:bookmarkEnd w:id="353"/>
          <w:r>
            <w:fldChar w:fldCharType="begin"/>
          </w:r>
          <w:r>
            <w:instrText xml:space="preserve"> HYPERLINK \l "bookmark344" </w:instrText>
          </w:r>
          <w:r>
            <w:fldChar w:fldCharType="separate"/>
          </w:r>
          <w:r>
            <w:rPr>
              <w:rFonts w:ascii="Times New Roman" w:hAnsi="Times New Roman" w:eastAsia="Times New Roman" w:cs="Times New Roman"/>
              <w:spacing w:val="-2"/>
              <w:sz w:val="18"/>
              <w:szCs w:val="18"/>
            </w:rPr>
            <w:t>21.4.1</w:t>
          </w:r>
          <w:r>
            <w:rPr>
              <w:rFonts w:ascii="Times New Roman" w:hAnsi="Times New Roman" w:eastAsia="Times New Roman" w:cs="Times New Roman"/>
              <w:spacing w:val="5"/>
              <w:sz w:val="18"/>
              <w:szCs w:val="18"/>
            </w:rPr>
            <w:t xml:space="preserve">    </w:t>
          </w:r>
          <w:r>
            <w:rPr>
              <w:spacing w:val="-2"/>
              <w:sz w:val="18"/>
              <w:szCs w:val="18"/>
            </w:rPr>
            <w:t>监理活动</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476</w:t>
          </w:r>
          <w:r>
            <w:rPr>
              <w:rFonts w:ascii="Times New Roman" w:hAnsi="Times New Roman" w:eastAsia="Times New Roman" w:cs="Times New Roman"/>
              <w:spacing w:val="2"/>
              <w:sz w:val="18"/>
              <w:szCs w:val="18"/>
            </w:rPr>
            <w:fldChar w:fldCharType="end"/>
          </w:r>
        </w:p>
        <w:p w14:paraId="53B4C7F0">
          <w:pPr>
            <w:pStyle w:val="2"/>
            <w:tabs>
              <w:tab w:val="right" w:leader="dot" w:pos="3947"/>
            </w:tabs>
            <w:spacing w:before="85" w:line="219" w:lineRule="auto"/>
            <w:ind w:left="390"/>
            <w:rPr>
              <w:rFonts w:ascii="Times New Roman" w:hAnsi="Times New Roman" w:eastAsia="Times New Roman" w:cs="Times New Roman"/>
              <w:sz w:val="18"/>
              <w:szCs w:val="18"/>
            </w:rPr>
          </w:pPr>
          <w:bookmarkStart w:id="354" w:name="bookmark345"/>
          <w:bookmarkEnd w:id="354"/>
          <w:r>
            <w:fldChar w:fldCharType="begin"/>
          </w:r>
          <w:r>
            <w:instrText xml:space="preserve"> HYPERLINK \l "bookmark345" </w:instrText>
          </w:r>
          <w:r>
            <w:fldChar w:fldCharType="separate"/>
          </w:r>
          <w:r>
            <w:rPr>
              <w:rFonts w:ascii="Times New Roman" w:hAnsi="Times New Roman" w:eastAsia="Times New Roman" w:cs="Times New Roman"/>
              <w:spacing w:val="-2"/>
              <w:sz w:val="18"/>
              <w:szCs w:val="18"/>
            </w:rPr>
            <w:t>21.4.2</w:t>
          </w:r>
          <w:r>
            <w:rPr>
              <w:rFonts w:ascii="Times New Roman" w:hAnsi="Times New Roman" w:eastAsia="Times New Roman" w:cs="Times New Roman"/>
              <w:spacing w:val="7"/>
              <w:sz w:val="18"/>
              <w:szCs w:val="18"/>
            </w:rPr>
            <w:t xml:space="preserve">    </w:t>
          </w:r>
          <w:r>
            <w:rPr>
              <w:spacing w:val="-2"/>
              <w:sz w:val="18"/>
              <w:szCs w:val="18"/>
            </w:rPr>
            <w:t>监理内容</w:t>
          </w:r>
          <w:r>
            <w:rPr>
              <w:spacing w:val="-59"/>
              <w:sz w:val="18"/>
              <w:szCs w:val="18"/>
            </w:rPr>
            <w:t xml:space="preserve"> </w:t>
          </w:r>
          <w:r>
            <w:rPr>
              <w:sz w:val="18"/>
              <w:szCs w:val="18"/>
            </w:rPr>
            <w:tab/>
          </w:r>
          <w:r>
            <w:rPr>
              <w:rFonts w:ascii="Times New Roman" w:hAnsi="Times New Roman" w:eastAsia="Times New Roman" w:cs="Times New Roman"/>
              <w:spacing w:val="2"/>
              <w:sz w:val="18"/>
              <w:szCs w:val="18"/>
            </w:rPr>
            <w:t>477</w:t>
          </w:r>
          <w:r>
            <w:rPr>
              <w:rFonts w:ascii="Times New Roman" w:hAnsi="Times New Roman" w:eastAsia="Times New Roman" w:cs="Times New Roman"/>
              <w:spacing w:val="2"/>
              <w:sz w:val="18"/>
              <w:szCs w:val="18"/>
            </w:rPr>
            <w:fldChar w:fldCharType="end"/>
          </w:r>
        </w:p>
        <w:p w14:paraId="00C7F865">
          <w:pPr>
            <w:pStyle w:val="2"/>
            <w:tabs>
              <w:tab w:val="right" w:leader="dot" w:pos="3947"/>
            </w:tabs>
            <w:spacing w:before="99" w:line="222" w:lineRule="auto"/>
            <w:ind w:left="390"/>
            <w:rPr>
              <w:rFonts w:ascii="Times New Roman" w:hAnsi="Times New Roman" w:eastAsia="Times New Roman" w:cs="Times New Roman"/>
              <w:sz w:val="18"/>
              <w:szCs w:val="18"/>
            </w:rPr>
          </w:pPr>
          <w:bookmarkStart w:id="355" w:name="bookmark346"/>
          <w:bookmarkEnd w:id="355"/>
          <w:r>
            <w:fldChar w:fldCharType="begin"/>
          </w:r>
          <w:r>
            <w:instrText xml:space="preserve"> HYPERLINK \l "bookmark346" </w:instrText>
          </w:r>
          <w:r>
            <w:fldChar w:fldCharType="separate"/>
          </w:r>
          <w:r>
            <w:rPr>
              <w:rFonts w:ascii="Times New Roman" w:hAnsi="Times New Roman" w:eastAsia="Times New Roman" w:cs="Times New Roman"/>
              <w:spacing w:val="1"/>
              <w:sz w:val="18"/>
              <w:szCs w:val="18"/>
            </w:rPr>
            <w:t xml:space="preserve">21.4.3    </w:t>
          </w:r>
          <w:r>
            <w:rPr>
              <w:spacing w:val="1"/>
              <w:sz w:val="18"/>
              <w:szCs w:val="18"/>
            </w:rPr>
            <w:t>监理要点</w:t>
          </w:r>
          <w:r>
            <w:rPr>
              <w:spacing w:val="-65"/>
              <w:sz w:val="18"/>
              <w:szCs w:val="18"/>
            </w:rPr>
            <w:t xml:space="preserve"> </w:t>
          </w:r>
          <w:r>
            <w:rPr>
              <w:sz w:val="18"/>
              <w:szCs w:val="18"/>
            </w:rPr>
            <w:tab/>
          </w:r>
          <w:r>
            <w:rPr>
              <w:rFonts w:ascii="Times New Roman" w:hAnsi="Times New Roman" w:eastAsia="Times New Roman" w:cs="Times New Roman"/>
              <w:spacing w:val="2"/>
              <w:sz w:val="18"/>
              <w:szCs w:val="18"/>
            </w:rPr>
            <w:t>478</w:t>
          </w:r>
          <w:r>
            <w:rPr>
              <w:rFonts w:ascii="Times New Roman" w:hAnsi="Times New Roman" w:eastAsia="Times New Roman" w:cs="Times New Roman"/>
              <w:spacing w:val="2"/>
              <w:sz w:val="18"/>
              <w:szCs w:val="18"/>
            </w:rPr>
            <w:fldChar w:fldCharType="end"/>
          </w:r>
        </w:p>
        <w:p w14:paraId="217C4859">
          <w:pPr>
            <w:pStyle w:val="2"/>
            <w:tabs>
              <w:tab w:val="right" w:leader="dot" w:pos="3967"/>
            </w:tabs>
            <w:spacing w:before="91" w:line="219" w:lineRule="auto"/>
            <w:rPr>
              <w:rFonts w:ascii="Times New Roman" w:hAnsi="Times New Roman" w:eastAsia="Times New Roman" w:cs="Times New Roman"/>
              <w:sz w:val="18"/>
              <w:szCs w:val="18"/>
            </w:rPr>
          </w:pPr>
          <w:bookmarkStart w:id="356" w:name="bookmark347"/>
          <w:bookmarkEnd w:id="356"/>
          <w:r>
            <w:fldChar w:fldCharType="begin"/>
          </w:r>
          <w:r>
            <w:instrText xml:space="preserve"> HYPERLINK \l "bookmark347" </w:instrText>
          </w:r>
          <w:r>
            <w:fldChar w:fldCharType="separate"/>
          </w:r>
          <w:r>
            <w:rPr>
              <w:rFonts w:ascii="Times New Roman" w:hAnsi="Times New Roman" w:eastAsia="Times New Roman" w:cs="Times New Roman"/>
              <w:spacing w:val="-1"/>
              <w:sz w:val="18"/>
              <w:szCs w:val="18"/>
            </w:rPr>
            <w:t>21.5</w:t>
          </w:r>
          <w:r>
            <w:rPr>
              <w:rFonts w:ascii="Times New Roman" w:hAnsi="Times New Roman" w:eastAsia="Times New Roman" w:cs="Times New Roman"/>
              <w:spacing w:val="14"/>
              <w:w w:val="102"/>
              <w:sz w:val="18"/>
              <w:szCs w:val="18"/>
            </w:rPr>
            <w:t xml:space="preserve">   </w:t>
          </w:r>
          <w:r>
            <w:rPr>
              <w:spacing w:val="-1"/>
              <w:sz w:val="18"/>
              <w:szCs w:val="18"/>
            </w:rPr>
            <w:t>验收阶段监理工作</w:t>
          </w:r>
          <w:r>
            <w:rPr>
              <w:spacing w:val="-54"/>
              <w:sz w:val="18"/>
              <w:szCs w:val="18"/>
            </w:rPr>
            <w:t xml:space="preserve"> </w:t>
          </w:r>
          <w:r>
            <w:rPr>
              <w:sz w:val="18"/>
              <w:szCs w:val="18"/>
            </w:rPr>
            <w:tab/>
          </w:r>
          <w:r>
            <w:rPr>
              <w:rFonts w:ascii="Times New Roman" w:hAnsi="Times New Roman" w:eastAsia="Times New Roman" w:cs="Times New Roman"/>
              <w:spacing w:val="2"/>
              <w:sz w:val="18"/>
              <w:szCs w:val="18"/>
            </w:rPr>
            <w:t>481</w:t>
          </w:r>
          <w:r>
            <w:rPr>
              <w:rFonts w:ascii="Times New Roman" w:hAnsi="Times New Roman" w:eastAsia="Times New Roman" w:cs="Times New Roman"/>
              <w:spacing w:val="2"/>
              <w:sz w:val="18"/>
              <w:szCs w:val="18"/>
            </w:rPr>
            <w:fldChar w:fldCharType="end"/>
          </w:r>
        </w:p>
        <w:p w14:paraId="5D4A4F0F">
          <w:pPr>
            <w:pStyle w:val="2"/>
            <w:tabs>
              <w:tab w:val="right" w:leader="dot" w:pos="3967"/>
            </w:tabs>
            <w:spacing w:before="107" w:line="220" w:lineRule="auto"/>
            <w:ind w:left="390"/>
            <w:rPr>
              <w:rFonts w:ascii="Times New Roman" w:hAnsi="Times New Roman" w:eastAsia="Times New Roman" w:cs="Times New Roman"/>
              <w:sz w:val="18"/>
              <w:szCs w:val="18"/>
            </w:rPr>
          </w:pPr>
          <w:bookmarkStart w:id="357" w:name="bookmark348"/>
          <w:bookmarkEnd w:id="357"/>
          <w:r>
            <w:fldChar w:fldCharType="begin"/>
          </w:r>
          <w:r>
            <w:instrText xml:space="preserve"> HYPERLINK \l "bookmark348" </w:instrText>
          </w:r>
          <w:r>
            <w:fldChar w:fldCharType="separate"/>
          </w:r>
          <w:r>
            <w:rPr>
              <w:rFonts w:ascii="Times New Roman" w:hAnsi="Times New Roman" w:eastAsia="Times New Roman" w:cs="Times New Roman"/>
              <w:spacing w:val="-2"/>
              <w:sz w:val="18"/>
              <w:szCs w:val="18"/>
            </w:rPr>
            <w:t>21.5.1</w:t>
          </w:r>
          <w:r>
            <w:rPr>
              <w:rFonts w:ascii="Times New Roman" w:hAnsi="Times New Roman" w:eastAsia="Times New Roman" w:cs="Times New Roman"/>
              <w:spacing w:val="5"/>
              <w:sz w:val="18"/>
              <w:szCs w:val="18"/>
            </w:rPr>
            <w:t xml:space="preserve">    </w:t>
          </w:r>
          <w:r>
            <w:rPr>
              <w:spacing w:val="-2"/>
              <w:sz w:val="18"/>
              <w:szCs w:val="18"/>
            </w:rPr>
            <w:t>监理活动</w:t>
          </w:r>
          <w:r>
            <w:rPr>
              <w:spacing w:val="-62"/>
              <w:sz w:val="18"/>
              <w:szCs w:val="18"/>
            </w:rPr>
            <w:t xml:space="preserve"> </w:t>
          </w:r>
          <w:r>
            <w:rPr>
              <w:sz w:val="18"/>
              <w:szCs w:val="18"/>
            </w:rPr>
            <w:tab/>
          </w:r>
          <w:r>
            <w:rPr>
              <w:rFonts w:ascii="Times New Roman" w:hAnsi="Times New Roman" w:eastAsia="Times New Roman" w:cs="Times New Roman"/>
              <w:spacing w:val="2"/>
              <w:sz w:val="18"/>
              <w:szCs w:val="18"/>
            </w:rPr>
            <w:t>481</w:t>
          </w:r>
          <w:r>
            <w:rPr>
              <w:rFonts w:ascii="Times New Roman" w:hAnsi="Times New Roman" w:eastAsia="Times New Roman" w:cs="Times New Roman"/>
              <w:spacing w:val="2"/>
              <w:sz w:val="18"/>
              <w:szCs w:val="18"/>
            </w:rPr>
            <w:fldChar w:fldCharType="end"/>
          </w:r>
        </w:p>
        <w:p w14:paraId="3AE58473">
          <w:pPr>
            <w:pStyle w:val="2"/>
            <w:tabs>
              <w:tab w:val="right" w:leader="dot" w:pos="3967"/>
            </w:tabs>
            <w:spacing w:before="95" w:line="219" w:lineRule="auto"/>
            <w:ind w:left="390"/>
            <w:rPr>
              <w:rFonts w:ascii="Times New Roman" w:hAnsi="Times New Roman" w:eastAsia="Times New Roman" w:cs="Times New Roman"/>
              <w:sz w:val="18"/>
              <w:szCs w:val="18"/>
            </w:rPr>
          </w:pPr>
          <w:bookmarkStart w:id="358" w:name="bookmark349"/>
          <w:bookmarkEnd w:id="358"/>
          <w:r>
            <w:fldChar w:fldCharType="begin"/>
          </w:r>
          <w:r>
            <w:instrText xml:space="preserve"> HYPERLINK \l "bookmark349" </w:instrText>
          </w:r>
          <w:r>
            <w:fldChar w:fldCharType="separate"/>
          </w:r>
          <w:r>
            <w:rPr>
              <w:rFonts w:ascii="Times New Roman" w:hAnsi="Times New Roman" w:eastAsia="Times New Roman" w:cs="Times New Roman"/>
              <w:spacing w:val="-2"/>
              <w:sz w:val="18"/>
              <w:szCs w:val="18"/>
            </w:rPr>
            <w:t>21.5.2</w:t>
          </w:r>
          <w:r>
            <w:rPr>
              <w:rFonts w:ascii="Times New Roman" w:hAnsi="Times New Roman" w:eastAsia="Times New Roman" w:cs="Times New Roman"/>
              <w:spacing w:val="7"/>
              <w:sz w:val="18"/>
              <w:szCs w:val="18"/>
            </w:rPr>
            <w:t xml:space="preserve">    </w:t>
          </w:r>
          <w:r>
            <w:rPr>
              <w:spacing w:val="-2"/>
              <w:sz w:val="18"/>
              <w:szCs w:val="18"/>
            </w:rPr>
            <w:t>监理内容</w:t>
          </w:r>
          <w:r>
            <w:rPr>
              <w:spacing w:val="-49"/>
              <w:sz w:val="18"/>
              <w:szCs w:val="18"/>
            </w:rPr>
            <w:t xml:space="preserve"> </w:t>
          </w:r>
          <w:r>
            <w:rPr>
              <w:sz w:val="18"/>
              <w:szCs w:val="18"/>
            </w:rPr>
            <w:tab/>
          </w:r>
          <w:r>
            <w:rPr>
              <w:rFonts w:ascii="Times New Roman" w:hAnsi="Times New Roman" w:eastAsia="Times New Roman" w:cs="Times New Roman"/>
              <w:spacing w:val="2"/>
              <w:sz w:val="18"/>
              <w:szCs w:val="18"/>
            </w:rPr>
            <w:t>481</w:t>
          </w:r>
          <w:r>
            <w:rPr>
              <w:rFonts w:ascii="Times New Roman" w:hAnsi="Times New Roman" w:eastAsia="Times New Roman" w:cs="Times New Roman"/>
              <w:spacing w:val="2"/>
              <w:sz w:val="18"/>
              <w:szCs w:val="18"/>
            </w:rPr>
            <w:fldChar w:fldCharType="end"/>
          </w:r>
        </w:p>
        <w:p w14:paraId="61EA1481">
          <w:pPr>
            <w:pStyle w:val="2"/>
            <w:tabs>
              <w:tab w:val="right" w:leader="dot" w:pos="3957"/>
            </w:tabs>
            <w:spacing w:before="96" w:line="219" w:lineRule="auto"/>
            <w:rPr>
              <w:rFonts w:ascii="Times New Roman" w:hAnsi="Times New Roman" w:eastAsia="Times New Roman" w:cs="Times New Roman"/>
              <w:sz w:val="18"/>
              <w:szCs w:val="18"/>
            </w:rPr>
          </w:pPr>
          <w:bookmarkStart w:id="359" w:name="bookmark350"/>
          <w:bookmarkEnd w:id="359"/>
          <w:r>
            <w:fldChar w:fldCharType="begin"/>
          </w:r>
          <w:r>
            <w:instrText xml:space="preserve"> HYPERLINK \l "bookmark350" </w:instrText>
          </w:r>
          <w:r>
            <w:fldChar w:fldCharType="separate"/>
          </w:r>
          <w:r>
            <w:rPr>
              <w:rFonts w:ascii="Times New Roman" w:hAnsi="Times New Roman" w:eastAsia="Times New Roman" w:cs="Times New Roman"/>
              <w:spacing w:val="-1"/>
              <w:sz w:val="18"/>
              <w:szCs w:val="18"/>
            </w:rPr>
            <w:t>21.6</w:t>
          </w:r>
          <w:r>
            <w:rPr>
              <w:rFonts w:ascii="Times New Roman" w:hAnsi="Times New Roman" w:eastAsia="Times New Roman" w:cs="Times New Roman"/>
              <w:spacing w:val="14"/>
              <w:w w:val="101"/>
              <w:sz w:val="18"/>
              <w:szCs w:val="18"/>
            </w:rPr>
            <w:t xml:space="preserve">   </w:t>
          </w:r>
          <w:r>
            <w:rPr>
              <w:spacing w:val="-1"/>
              <w:sz w:val="18"/>
              <w:szCs w:val="18"/>
            </w:rPr>
            <w:t>各子系统工程监理内容</w:t>
          </w:r>
          <w:r>
            <w:rPr>
              <w:spacing w:val="-51"/>
              <w:sz w:val="18"/>
              <w:szCs w:val="18"/>
            </w:rPr>
            <w:t xml:space="preserve"> </w:t>
          </w:r>
          <w:r>
            <w:rPr>
              <w:sz w:val="18"/>
              <w:szCs w:val="18"/>
            </w:rPr>
            <w:tab/>
          </w:r>
          <w:r>
            <w:rPr>
              <w:rFonts w:ascii="Times New Roman" w:hAnsi="Times New Roman" w:eastAsia="Times New Roman" w:cs="Times New Roman"/>
              <w:spacing w:val="2"/>
              <w:sz w:val="18"/>
              <w:szCs w:val="18"/>
            </w:rPr>
            <w:t>485</w:t>
          </w:r>
          <w:r>
            <w:rPr>
              <w:rFonts w:ascii="Times New Roman" w:hAnsi="Times New Roman" w:eastAsia="Times New Roman" w:cs="Times New Roman"/>
              <w:spacing w:val="2"/>
              <w:sz w:val="18"/>
              <w:szCs w:val="18"/>
            </w:rPr>
            <w:fldChar w:fldCharType="end"/>
          </w:r>
        </w:p>
        <w:p w14:paraId="1C6C8C34">
          <w:pPr>
            <w:pStyle w:val="2"/>
            <w:tabs>
              <w:tab w:val="right" w:leader="dot" w:pos="3957"/>
            </w:tabs>
            <w:spacing w:before="96" w:line="219" w:lineRule="auto"/>
            <w:ind w:left="390"/>
            <w:rPr>
              <w:rFonts w:ascii="Times New Roman" w:hAnsi="Times New Roman" w:eastAsia="Times New Roman" w:cs="Times New Roman"/>
              <w:sz w:val="18"/>
              <w:szCs w:val="18"/>
            </w:rPr>
          </w:pPr>
          <w:bookmarkStart w:id="360" w:name="bookmark351"/>
          <w:bookmarkEnd w:id="360"/>
          <w:r>
            <w:fldChar w:fldCharType="begin"/>
          </w:r>
          <w:r>
            <w:instrText xml:space="preserve"> HYPERLINK \l "bookmark351" </w:instrText>
          </w:r>
          <w:r>
            <w:fldChar w:fldCharType="separate"/>
          </w:r>
          <w:r>
            <w:rPr>
              <w:rFonts w:ascii="Times New Roman" w:hAnsi="Times New Roman" w:eastAsia="Times New Roman" w:cs="Times New Roman"/>
              <w:sz w:val="18"/>
              <w:szCs w:val="18"/>
            </w:rPr>
            <w:t xml:space="preserve">21.6.1    </w:t>
          </w:r>
          <w:r>
            <w:rPr>
              <w:sz w:val="18"/>
              <w:szCs w:val="18"/>
            </w:rPr>
            <w:t>通用布缆系统工程</w:t>
          </w:r>
          <w:r>
            <w:rPr>
              <w:spacing w:val="-51"/>
              <w:sz w:val="18"/>
              <w:szCs w:val="18"/>
            </w:rPr>
            <w:t xml:space="preserve"> </w:t>
          </w:r>
          <w:r>
            <w:rPr>
              <w:sz w:val="18"/>
              <w:szCs w:val="18"/>
            </w:rPr>
            <w:tab/>
          </w:r>
          <w:r>
            <w:rPr>
              <w:rFonts w:ascii="Times New Roman" w:hAnsi="Times New Roman" w:eastAsia="Times New Roman" w:cs="Times New Roman"/>
              <w:spacing w:val="2"/>
              <w:sz w:val="18"/>
              <w:szCs w:val="18"/>
            </w:rPr>
            <w:t>485</w:t>
          </w:r>
          <w:r>
            <w:rPr>
              <w:rFonts w:ascii="Times New Roman" w:hAnsi="Times New Roman" w:eastAsia="Times New Roman" w:cs="Times New Roman"/>
              <w:spacing w:val="2"/>
              <w:sz w:val="18"/>
              <w:szCs w:val="18"/>
            </w:rPr>
            <w:fldChar w:fldCharType="end"/>
          </w:r>
        </w:p>
        <w:p w14:paraId="2AEEF838">
          <w:pPr>
            <w:pStyle w:val="2"/>
            <w:tabs>
              <w:tab w:val="right" w:leader="dot" w:pos="3967"/>
            </w:tabs>
            <w:spacing w:before="96" w:line="219" w:lineRule="auto"/>
            <w:ind w:left="390"/>
            <w:rPr>
              <w:rFonts w:ascii="Times New Roman" w:hAnsi="Times New Roman" w:eastAsia="Times New Roman" w:cs="Times New Roman"/>
              <w:sz w:val="18"/>
              <w:szCs w:val="18"/>
            </w:rPr>
          </w:pPr>
          <w:bookmarkStart w:id="361" w:name="bookmark352"/>
          <w:bookmarkEnd w:id="361"/>
          <w:r>
            <w:fldChar w:fldCharType="begin"/>
          </w:r>
          <w:r>
            <w:instrText xml:space="preserve"> HYPERLINK \l "bookmark352" </w:instrText>
          </w:r>
          <w:r>
            <w:fldChar w:fldCharType="separate"/>
          </w:r>
          <w:r>
            <w:rPr>
              <w:rFonts w:ascii="Times New Roman" w:hAnsi="Times New Roman" w:eastAsia="Times New Roman" w:cs="Times New Roman"/>
              <w:spacing w:val="1"/>
              <w:sz w:val="18"/>
              <w:szCs w:val="18"/>
            </w:rPr>
            <w:t xml:space="preserve">21.6.2    </w:t>
          </w:r>
          <w:r>
            <w:rPr>
              <w:spacing w:val="1"/>
              <w:sz w:val="18"/>
              <w:szCs w:val="18"/>
            </w:rPr>
            <w:t>计算机网络系统工程</w:t>
          </w:r>
          <w:r>
            <w:rPr>
              <w:spacing w:val="-60"/>
              <w:sz w:val="18"/>
              <w:szCs w:val="18"/>
            </w:rPr>
            <w:t xml:space="preserve"> </w:t>
          </w:r>
          <w:r>
            <w:rPr>
              <w:sz w:val="18"/>
              <w:szCs w:val="18"/>
            </w:rPr>
            <w:tab/>
          </w:r>
          <w:r>
            <w:rPr>
              <w:rFonts w:ascii="Times New Roman" w:hAnsi="Times New Roman" w:eastAsia="Times New Roman" w:cs="Times New Roman"/>
              <w:spacing w:val="2"/>
              <w:sz w:val="18"/>
              <w:szCs w:val="18"/>
            </w:rPr>
            <w:t>490</w:t>
          </w:r>
          <w:r>
            <w:rPr>
              <w:rFonts w:ascii="Times New Roman" w:hAnsi="Times New Roman" w:eastAsia="Times New Roman" w:cs="Times New Roman"/>
              <w:spacing w:val="2"/>
              <w:sz w:val="18"/>
              <w:szCs w:val="18"/>
            </w:rPr>
            <w:fldChar w:fldCharType="end"/>
          </w:r>
        </w:p>
        <w:p w14:paraId="4F334666">
          <w:pPr>
            <w:pStyle w:val="2"/>
            <w:tabs>
              <w:tab w:val="right" w:leader="dot" w:pos="3957"/>
            </w:tabs>
            <w:spacing w:before="108" w:line="220" w:lineRule="auto"/>
            <w:ind w:left="390"/>
            <w:rPr>
              <w:rFonts w:ascii="Times New Roman" w:hAnsi="Times New Roman" w:eastAsia="Times New Roman" w:cs="Times New Roman"/>
              <w:sz w:val="18"/>
              <w:szCs w:val="18"/>
            </w:rPr>
          </w:pPr>
          <w:bookmarkStart w:id="362" w:name="bookmark353"/>
          <w:bookmarkEnd w:id="362"/>
          <w:r>
            <w:fldChar w:fldCharType="begin"/>
          </w:r>
          <w:r>
            <w:instrText xml:space="preserve"> HYPERLINK \l "bookmark353" </w:instrText>
          </w:r>
          <w:r>
            <w:fldChar w:fldCharType="separate"/>
          </w:r>
          <w:r>
            <w:rPr>
              <w:rFonts w:ascii="Times New Roman" w:hAnsi="Times New Roman" w:eastAsia="Times New Roman" w:cs="Times New Roman"/>
              <w:spacing w:val="-1"/>
              <w:sz w:val="18"/>
              <w:szCs w:val="18"/>
            </w:rPr>
            <w:t xml:space="preserve">21.6.3    </w:t>
          </w:r>
          <w:r>
            <w:rPr>
              <w:spacing w:val="-1"/>
              <w:sz w:val="18"/>
              <w:szCs w:val="18"/>
            </w:rPr>
            <w:t>安全防范系统工程</w:t>
          </w:r>
          <w:r>
            <w:rPr>
              <w:spacing w:val="-44"/>
              <w:sz w:val="18"/>
              <w:szCs w:val="18"/>
            </w:rPr>
            <w:t xml:space="preserve"> </w:t>
          </w:r>
          <w:r>
            <w:rPr>
              <w:sz w:val="18"/>
              <w:szCs w:val="18"/>
            </w:rPr>
            <w:tab/>
          </w:r>
          <w:r>
            <w:rPr>
              <w:rFonts w:ascii="Times New Roman" w:hAnsi="Times New Roman" w:eastAsia="Times New Roman" w:cs="Times New Roman"/>
              <w:spacing w:val="2"/>
              <w:sz w:val="18"/>
              <w:szCs w:val="18"/>
            </w:rPr>
            <w:t>494</w:t>
          </w:r>
          <w:r>
            <w:rPr>
              <w:rFonts w:ascii="Times New Roman" w:hAnsi="Times New Roman" w:eastAsia="Times New Roman" w:cs="Times New Roman"/>
              <w:spacing w:val="2"/>
              <w:sz w:val="18"/>
              <w:szCs w:val="18"/>
            </w:rPr>
            <w:fldChar w:fldCharType="end"/>
          </w:r>
        </w:p>
        <w:p w14:paraId="55849191">
          <w:pPr>
            <w:pStyle w:val="2"/>
            <w:tabs>
              <w:tab w:val="right" w:leader="dot" w:pos="3957"/>
            </w:tabs>
            <w:spacing w:before="96" w:line="220" w:lineRule="auto"/>
            <w:ind w:left="390"/>
            <w:rPr>
              <w:rFonts w:ascii="Times New Roman" w:hAnsi="Times New Roman" w:eastAsia="Times New Roman" w:cs="Times New Roman"/>
              <w:sz w:val="18"/>
              <w:szCs w:val="18"/>
            </w:rPr>
          </w:pPr>
          <w:bookmarkStart w:id="363" w:name="bookmark354"/>
          <w:bookmarkEnd w:id="363"/>
          <w:r>
            <w:fldChar w:fldCharType="begin"/>
          </w:r>
          <w:r>
            <w:instrText xml:space="preserve"> HYPERLINK \l "bookmark354" </w:instrText>
          </w:r>
          <w:r>
            <w:fldChar w:fldCharType="separate"/>
          </w:r>
          <w:r>
            <w:rPr>
              <w:rFonts w:ascii="Times New Roman" w:hAnsi="Times New Roman" w:eastAsia="Times New Roman" w:cs="Times New Roman"/>
              <w:spacing w:val="1"/>
              <w:sz w:val="18"/>
              <w:szCs w:val="18"/>
            </w:rPr>
            <w:t>21.6.4</w:t>
          </w:r>
          <w:r>
            <w:rPr>
              <w:rFonts w:ascii="Times New Roman" w:hAnsi="Times New Roman" w:eastAsia="Times New Roman" w:cs="Times New Roman"/>
              <w:spacing w:val="12"/>
              <w:w w:val="102"/>
              <w:sz w:val="18"/>
              <w:szCs w:val="18"/>
            </w:rPr>
            <w:t xml:space="preserve">   </w:t>
          </w:r>
          <w:r>
            <w:rPr>
              <w:spacing w:val="1"/>
              <w:sz w:val="18"/>
              <w:szCs w:val="18"/>
            </w:rPr>
            <w:t>环境系统工程</w:t>
          </w:r>
          <w:r>
            <w:rPr>
              <w:spacing w:val="-67"/>
              <w:sz w:val="18"/>
              <w:szCs w:val="18"/>
            </w:rPr>
            <w:t xml:space="preserve"> </w:t>
          </w:r>
          <w:r>
            <w:rPr>
              <w:sz w:val="18"/>
              <w:szCs w:val="18"/>
            </w:rPr>
            <w:tab/>
          </w:r>
          <w:r>
            <w:rPr>
              <w:rFonts w:ascii="Times New Roman" w:hAnsi="Times New Roman" w:eastAsia="Times New Roman" w:cs="Times New Roman"/>
              <w:spacing w:val="2"/>
              <w:sz w:val="18"/>
              <w:szCs w:val="18"/>
            </w:rPr>
            <w:t>498</w:t>
          </w:r>
          <w:r>
            <w:rPr>
              <w:rFonts w:ascii="Times New Roman" w:hAnsi="Times New Roman" w:eastAsia="Times New Roman" w:cs="Times New Roman"/>
              <w:spacing w:val="2"/>
              <w:sz w:val="18"/>
              <w:szCs w:val="18"/>
            </w:rPr>
            <w:fldChar w:fldCharType="end"/>
          </w:r>
        </w:p>
        <w:p w14:paraId="4B54307A">
          <w:pPr>
            <w:pStyle w:val="2"/>
            <w:tabs>
              <w:tab w:val="right" w:leader="dot" w:pos="3957"/>
            </w:tabs>
            <w:spacing w:before="85" w:line="219" w:lineRule="auto"/>
            <w:ind w:left="390"/>
            <w:rPr>
              <w:rFonts w:ascii="Times New Roman" w:hAnsi="Times New Roman" w:eastAsia="Times New Roman" w:cs="Times New Roman"/>
              <w:sz w:val="18"/>
              <w:szCs w:val="18"/>
            </w:rPr>
          </w:pPr>
          <w:bookmarkStart w:id="364" w:name="bookmark355"/>
          <w:bookmarkEnd w:id="364"/>
          <w:r>
            <w:fldChar w:fldCharType="begin"/>
          </w:r>
          <w:r>
            <w:instrText xml:space="preserve"> HYPERLINK \l "bookmark355" </w:instrText>
          </w:r>
          <w:r>
            <w:fldChar w:fldCharType="separate"/>
          </w:r>
          <w:r>
            <w:rPr>
              <w:rFonts w:ascii="Times New Roman" w:hAnsi="Times New Roman" w:eastAsia="Times New Roman" w:cs="Times New Roman"/>
              <w:spacing w:val="-1"/>
              <w:sz w:val="18"/>
              <w:szCs w:val="18"/>
            </w:rPr>
            <w:t xml:space="preserve">21.6.5    </w:t>
          </w:r>
          <w:r>
            <w:rPr>
              <w:spacing w:val="-1"/>
              <w:sz w:val="18"/>
              <w:szCs w:val="18"/>
            </w:rPr>
            <w:t>动力环境监控系统工程</w:t>
          </w:r>
          <w:r>
            <w:rPr>
              <w:spacing w:val="-41"/>
              <w:sz w:val="18"/>
              <w:szCs w:val="18"/>
            </w:rPr>
            <w:t xml:space="preserve"> </w:t>
          </w:r>
          <w:r>
            <w:rPr>
              <w:sz w:val="18"/>
              <w:szCs w:val="18"/>
            </w:rPr>
            <w:tab/>
          </w:r>
          <w:r>
            <w:rPr>
              <w:rFonts w:ascii="Times New Roman" w:hAnsi="Times New Roman" w:eastAsia="Times New Roman" w:cs="Times New Roman"/>
              <w:spacing w:val="3"/>
              <w:sz w:val="18"/>
              <w:szCs w:val="18"/>
            </w:rPr>
            <w:t>499</w:t>
          </w:r>
          <w:r>
            <w:rPr>
              <w:rFonts w:ascii="Times New Roman" w:hAnsi="Times New Roman" w:eastAsia="Times New Roman" w:cs="Times New Roman"/>
              <w:spacing w:val="3"/>
              <w:sz w:val="18"/>
              <w:szCs w:val="18"/>
            </w:rPr>
            <w:fldChar w:fldCharType="end"/>
          </w:r>
        </w:p>
        <w:p w14:paraId="262196CA">
          <w:pPr>
            <w:spacing w:line="341" w:lineRule="auto"/>
            <w:rPr>
              <w:rFonts w:ascii="Arial"/>
              <w:sz w:val="21"/>
            </w:rPr>
          </w:pPr>
        </w:p>
        <w:p w14:paraId="3A3FD2EC">
          <w:pPr>
            <w:spacing w:line="342" w:lineRule="auto"/>
            <w:rPr>
              <w:rFonts w:ascii="Arial"/>
              <w:sz w:val="21"/>
            </w:rPr>
          </w:pPr>
        </w:p>
        <w:p w14:paraId="6256ABA3">
          <w:pPr>
            <w:pStyle w:val="2"/>
            <w:tabs>
              <w:tab w:val="right" w:leader="dot" w:pos="3961"/>
            </w:tabs>
            <w:spacing w:before="59" w:line="219" w:lineRule="auto"/>
            <w:rPr>
              <w:rFonts w:ascii="Times New Roman" w:hAnsi="Times New Roman" w:eastAsia="Times New Roman" w:cs="Times New Roman"/>
              <w:sz w:val="18"/>
              <w:szCs w:val="18"/>
            </w:rPr>
          </w:pPr>
          <w:bookmarkStart w:id="365" w:name="bookmark356"/>
          <w:bookmarkEnd w:id="365"/>
          <w:r>
            <w:fldChar w:fldCharType="begin"/>
          </w:r>
          <w:r>
            <w:instrText xml:space="preserve"> HYPERLINK \l "bookmark356" </w:instrText>
          </w:r>
          <w:r>
            <w:fldChar w:fldCharType="separate"/>
          </w:r>
          <w:r>
            <w:rPr>
              <w:rFonts w:ascii="Times New Roman" w:hAnsi="Times New Roman" w:eastAsia="Times New Roman" w:cs="Times New Roman"/>
              <w:spacing w:val="-2"/>
              <w:sz w:val="18"/>
              <w:szCs w:val="18"/>
            </w:rPr>
            <w:t>22.1</w:t>
          </w:r>
          <w:r>
            <w:rPr>
              <w:rFonts w:ascii="Times New Roman" w:hAnsi="Times New Roman" w:eastAsia="Times New Roman" w:cs="Times New Roman"/>
              <w:spacing w:val="2"/>
              <w:sz w:val="18"/>
              <w:szCs w:val="18"/>
            </w:rPr>
            <w:t xml:space="preserve">    </w:t>
          </w:r>
          <w:r>
            <w:rPr>
              <w:spacing w:val="-2"/>
              <w:sz w:val="18"/>
              <w:szCs w:val="18"/>
            </w:rPr>
            <w:t>概述</w:t>
          </w:r>
          <w:r>
            <w:rPr>
              <w:spacing w:val="-62"/>
              <w:sz w:val="18"/>
              <w:szCs w:val="18"/>
            </w:rPr>
            <w:t xml:space="preserve"> </w:t>
          </w:r>
          <w:r>
            <w:rPr>
              <w:sz w:val="18"/>
              <w:szCs w:val="18"/>
            </w:rPr>
            <w:tab/>
          </w:r>
          <w:r>
            <w:rPr>
              <w:rFonts w:ascii="Times New Roman" w:hAnsi="Times New Roman" w:eastAsia="Times New Roman" w:cs="Times New Roman"/>
              <w:sz w:val="18"/>
              <w:szCs w:val="18"/>
            </w:rPr>
            <w:t>502</w:t>
          </w:r>
          <w:r>
            <w:rPr>
              <w:rFonts w:ascii="Times New Roman" w:hAnsi="Times New Roman" w:eastAsia="Times New Roman" w:cs="Times New Roman"/>
              <w:sz w:val="18"/>
              <w:szCs w:val="18"/>
            </w:rPr>
            <w:fldChar w:fldCharType="end"/>
          </w:r>
        </w:p>
        <w:p w14:paraId="7F0B0414">
          <w:pPr>
            <w:pStyle w:val="2"/>
            <w:tabs>
              <w:tab w:val="right" w:leader="dot" w:pos="3941"/>
            </w:tabs>
            <w:spacing w:before="95" w:line="219" w:lineRule="auto"/>
            <w:ind w:left="390"/>
            <w:rPr>
              <w:rFonts w:ascii="Times New Roman" w:hAnsi="Times New Roman" w:eastAsia="Times New Roman" w:cs="Times New Roman"/>
              <w:sz w:val="18"/>
              <w:szCs w:val="18"/>
            </w:rPr>
          </w:pPr>
          <w:bookmarkStart w:id="366" w:name="bookmark357"/>
          <w:bookmarkEnd w:id="366"/>
          <w:r>
            <w:fldChar w:fldCharType="begin"/>
          </w:r>
          <w:r>
            <w:instrText xml:space="preserve"> HYPERLINK \l "bookmark357" </w:instrText>
          </w:r>
          <w:r>
            <w:fldChar w:fldCharType="separate"/>
          </w:r>
          <w:r>
            <w:rPr>
              <w:rFonts w:ascii="Times New Roman" w:hAnsi="Times New Roman" w:eastAsia="Times New Roman" w:cs="Times New Roman"/>
              <w:spacing w:val="2"/>
              <w:sz w:val="18"/>
              <w:szCs w:val="18"/>
            </w:rPr>
            <w:t>22.1.1</w:t>
          </w:r>
          <w:r>
            <w:rPr>
              <w:rFonts w:ascii="Times New Roman" w:hAnsi="Times New Roman" w:eastAsia="Times New Roman" w:cs="Times New Roman"/>
              <w:spacing w:val="13"/>
              <w:w w:val="102"/>
              <w:sz w:val="18"/>
              <w:szCs w:val="18"/>
            </w:rPr>
            <w:t xml:space="preserve">   </w:t>
          </w:r>
          <w:r>
            <w:rPr>
              <w:spacing w:val="2"/>
              <w:sz w:val="18"/>
              <w:szCs w:val="18"/>
            </w:rPr>
            <w:t>基本概念</w:t>
          </w:r>
          <w:r>
            <w:rPr>
              <w:spacing w:val="-68"/>
              <w:sz w:val="18"/>
              <w:szCs w:val="18"/>
            </w:rPr>
            <w:t xml:space="preserve"> </w:t>
          </w:r>
          <w:r>
            <w:rPr>
              <w:sz w:val="18"/>
              <w:szCs w:val="18"/>
            </w:rPr>
            <w:tab/>
          </w:r>
          <w:r>
            <w:rPr>
              <w:rFonts w:ascii="Times New Roman" w:hAnsi="Times New Roman" w:eastAsia="Times New Roman" w:cs="Times New Roman"/>
              <w:sz w:val="18"/>
              <w:szCs w:val="18"/>
            </w:rPr>
            <w:t>502</w:t>
          </w:r>
          <w:r>
            <w:rPr>
              <w:rFonts w:ascii="Times New Roman" w:hAnsi="Times New Roman" w:eastAsia="Times New Roman" w:cs="Times New Roman"/>
              <w:sz w:val="18"/>
              <w:szCs w:val="18"/>
            </w:rPr>
            <w:fldChar w:fldCharType="end"/>
          </w:r>
        </w:p>
        <w:p w14:paraId="26227C19">
          <w:pPr>
            <w:pStyle w:val="2"/>
            <w:spacing w:before="108" w:line="219" w:lineRule="auto"/>
            <w:ind w:left="409"/>
            <w:rPr>
              <w:sz w:val="18"/>
              <w:szCs w:val="18"/>
            </w:rPr>
          </w:pPr>
          <w:bookmarkStart w:id="367" w:name="bookmark358"/>
          <w:bookmarkEnd w:id="367"/>
          <w:r>
            <w:fldChar w:fldCharType="begin"/>
          </w:r>
          <w:r>
            <w:instrText xml:space="preserve"> HYPERLINK \l "bookmark358" </w:instrText>
          </w:r>
          <w:r>
            <w:fldChar w:fldCharType="separate"/>
          </w:r>
          <w:r>
            <w:rPr>
              <w:rFonts w:ascii="Times New Roman" w:hAnsi="Times New Roman" w:eastAsia="Times New Roman" w:cs="Times New Roman"/>
              <w:sz w:val="18"/>
              <w:szCs w:val="18"/>
            </w:rPr>
            <w:t xml:space="preserve">22.1.2    </w:t>
          </w:r>
          <w:r>
            <w:rPr>
              <w:sz w:val="18"/>
              <w:szCs w:val="18"/>
            </w:rPr>
            <w:t>软件工程建设阶段划分及监理</w:t>
          </w:r>
          <w:r>
            <w:rPr>
              <w:sz w:val="18"/>
              <w:szCs w:val="18"/>
            </w:rPr>
            <w:fldChar w:fldCharType="end"/>
          </w:r>
        </w:p>
        <w:p w14:paraId="2819315A">
          <w:pPr>
            <w:tabs>
              <w:tab w:val="right" w:leader="dot" w:pos="3951"/>
            </w:tabs>
            <w:spacing w:before="85" w:line="221" w:lineRule="auto"/>
            <w:ind w:left="1049"/>
            <w:rPr>
              <w:rFonts w:ascii="Times New Roman" w:hAnsi="Times New Roman" w:eastAsia="Times New Roman" w:cs="Times New Roman"/>
              <w:sz w:val="18"/>
              <w:szCs w:val="18"/>
            </w:rPr>
          </w:pPr>
          <w:bookmarkStart w:id="368" w:name="bookmark358"/>
          <w:bookmarkEnd w:id="368"/>
          <w:r>
            <w:fldChar w:fldCharType="begin"/>
          </w:r>
          <w:r>
            <w:instrText xml:space="preserve"> HYPERLINK \l "bookmark358" </w:instrText>
          </w:r>
          <w:r>
            <w:fldChar w:fldCharType="separate"/>
          </w:r>
          <w:r>
            <w:rPr>
              <w:rFonts w:ascii="黑体" w:hAnsi="黑体" w:eastAsia="黑体" w:cs="黑体"/>
              <w:spacing w:val="-4"/>
              <w:sz w:val="18"/>
              <w:szCs w:val="18"/>
            </w:rPr>
            <w:t>任务</w:t>
          </w:r>
          <w:r>
            <w:rPr>
              <w:rFonts w:ascii="黑体" w:hAnsi="黑体" w:eastAsia="黑体" w:cs="黑体"/>
              <w:spacing w:val="-63"/>
              <w:sz w:val="18"/>
              <w:szCs w:val="18"/>
            </w:rPr>
            <w:t xml:space="preserve"> </w:t>
          </w:r>
          <w:r>
            <w:rPr>
              <w:rFonts w:ascii="黑体" w:hAnsi="黑体" w:eastAsia="黑体" w:cs="黑体"/>
              <w:sz w:val="18"/>
              <w:szCs w:val="18"/>
            </w:rPr>
            <w:tab/>
          </w:r>
          <w:r>
            <w:rPr>
              <w:rFonts w:ascii="Times New Roman" w:hAnsi="Times New Roman" w:eastAsia="Times New Roman" w:cs="Times New Roman"/>
              <w:sz w:val="18"/>
              <w:szCs w:val="18"/>
            </w:rPr>
            <w:t>503</w:t>
          </w:r>
          <w:r>
            <w:rPr>
              <w:rFonts w:ascii="Times New Roman" w:hAnsi="Times New Roman" w:eastAsia="Times New Roman" w:cs="Times New Roman"/>
              <w:sz w:val="18"/>
              <w:szCs w:val="18"/>
            </w:rPr>
            <w:fldChar w:fldCharType="end"/>
          </w:r>
        </w:p>
        <w:p w14:paraId="08BE54F6">
          <w:pPr>
            <w:pStyle w:val="2"/>
            <w:tabs>
              <w:tab w:val="right" w:leader="dot" w:pos="3951"/>
            </w:tabs>
            <w:spacing w:before="87" w:line="184" w:lineRule="auto"/>
            <w:rPr>
              <w:rFonts w:ascii="Times New Roman" w:hAnsi="Times New Roman" w:eastAsia="Times New Roman" w:cs="Times New Roman"/>
              <w:sz w:val="18"/>
              <w:szCs w:val="18"/>
            </w:rPr>
          </w:pPr>
          <w:bookmarkStart w:id="369" w:name="bookmark359"/>
          <w:bookmarkEnd w:id="369"/>
          <w:r>
            <w:fldChar w:fldCharType="begin"/>
          </w:r>
          <w:r>
            <w:instrText xml:space="preserve"> HYPERLINK \l "bookmark359" </w:instrText>
          </w:r>
          <w:r>
            <w:fldChar w:fldCharType="separate"/>
          </w:r>
          <w:r>
            <w:rPr>
              <w:rFonts w:ascii="Times New Roman" w:hAnsi="Times New Roman" w:eastAsia="Times New Roman" w:cs="Times New Roman"/>
              <w:spacing w:val="-1"/>
              <w:sz w:val="18"/>
              <w:szCs w:val="18"/>
            </w:rPr>
            <w:t>22.2</w:t>
          </w:r>
          <w:r>
            <w:rPr>
              <w:rFonts w:ascii="Times New Roman" w:hAnsi="Times New Roman" w:eastAsia="Times New Roman" w:cs="Times New Roman"/>
              <w:spacing w:val="11"/>
              <w:sz w:val="18"/>
              <w:szCs w:val="18"/>
            </w:rPr>
            <w:t xml:space="preserve">   </w:t>
          </w:r>
          <w:r>
            <w:rPr>
              <w:spacing w:val="-1"/>
              <w:sz w:val="18"/>
              <w:szCs w:val="18"/>
            </w:rPr>
            <w:t>招标阶段监理工作</w:t>
          </w:r>
          <w:r>
            <w:rPr>
              <w:spacing w:val="-52"/>
              <w:sz w:val="18"/>
              <w:szCs w:val="18"/>
            </w:rPr>
            <w:t xml:space="preserve"> </w:t>
          </w:r>
          <w:r>
            <w:rPr>
              <w:sz w:val="18"/>
              <w:szCs w:val="18"/>
            </w:rPr>
            <w:tab/>
          </w:r>
          <w:r>
            <w:rPr>
              <w:rFonts w:ascii="Times New Roman" w:hAnsi="Times New Roman" w:eastAsia="Times New Roman" w:cs="Times New Roman"/>
              <w:sz w:val="18"/>
              <w:szCs w:val="18"/>
            </w:rPr>
            <w:t>503</w:t>
          </w:r>
          <w:r>
            <w:rPr>
              <w:rFonts w:ascii="Times New Roman" w:hAnsi="Times New Roman" w:eastAsia="Times New Roman" w:cs="Times New Roman"/>
              <w:sz w:val="18"/>
              <w:szCs w:val="18"/>
            </w:rPr>
            <w:fldChar w:fldCharType="end"/>
          </w:r>
        </w:p>
      </w:sdtContent>
    </w:sdt>
    <w:p w14:paraId="705D0AEF">
      <w:pPr>
        <w:spacing w:line="184" w:lineRule="auto"/>
        <w:rPr>
          <w:rFonts w:ascii="Times New Roman" w:hAnsi="Times New Roman" w:eastAsia="Times New Roman" w:cs="Times New Roman"/>
          <w:sz w:val="18"/>
          <w:szCs w:val="18"/>
        </w:rPr>
        <w:sectPr>
          <w:type w:val="continuous"/>
          <w:pgSz w:w="10400" w:h="13330"/>
          <w:pgMar w:top="400" w:right="1212" w:bottom="400" w:left="459" w:header="0" w:footer="0" w:gutter="0"/>
          <w:cols w:equalWidth="0" w:num="2">
            <w:col w:w="4650" w:space="100"/>
            <w:col w:w="3978"/>
          </w:cols>
        </w:sectPr>
      </w:pPr>
    </w:p>
    <w:p w14:paraId="2DC00BAB">
      <w:pPr>
        <w:spacing w:line="307" w:lineRule="auto"/>
        <w:rPr>
          <w:rFonts w:ascii="Arial"/>
          <w:sz w:val="21"/>
        </w:rPr>
      </w:pPr>
    </w:p>
    <w:p w14:paraId="3EE069FC">
      <w:pPr>
        <w:spacing w:line="308" w:lineRule="auto"/>
        <w:rPr>
          <w:rFonts w:ascii="Arial"/>
          <w:sz w:val="21"/>
        </w:rPr>
      </w:pPr>
    </w:p>
    <w:sdt>
      <w:sdtPr>
        <w:rPr>
          <w:rFonts w:ascii="Times New Roman" w:hAnsi="Times New Roman" w:eastAsia="Times New Roman" w:cs="Times New Roman"/>
          <w:sz w:val="18"/>
          <w:szCs w:val="18"/>
        </w:rPr>
        <w:id w:val="147462366"/>
        <w:docPartObj>
          <w:docPartGallery w:val="Table of Contents"/>
          <w:docPartUnique/>
        </w:docPartObj>
      </w:sdtPr>
      <w:sdtEndPr>
        <w:rPr>
          <w:rFonts w:ascii="Times New Roman" w:hAnsi="Times New Roman" w:eastAsia="Times New Roman" w:cs="Times New Roman"/>
          <w:sz w:val="18"/>
          <w:szCs w:val="18"/>
        </w:rPr>
      </w:sdtEndPr>
      <w:sdtContent>
        <w:p w14:paraId="1D4ACE62">
          <w:pPr>
            <w:pStyle w:val="2"/>
            <w:tabs>
              <w:tab w:val="right" w:leader="dot" w:pos="3961"/>
            </w:tabs>
            <w:spacing w:before="59" w:line="220" w:lineRule="auto"/>
            <w:ind w:left="409"/>
            <w:rPr>
              <w:rFonts w:ascii="Times New Roman" w:hAnsi="Times New Roman" w:eastAsia="Times New Roman" w:cs="Times New Roman"/>
              <w:sz w:val="18"/>
              <w:szCs w:val="18"/>
            </w:rPr>
          </w:pPr>
          <w:bookmarkStart w:id="370" w:name="bookmark360"/>
          <w:bookmarkEnd w:id="370"/>
          <w:r>
            <w:fldChar w:fldCharType="begin"/>
          </w:r>
          <w:r>
            <w:instrText xml:space="preserve"> HYPERLINK \l "bookmark360" </w:instrText>
          </w:r>
          <w:r>
            <w:fldChar w:fldCharType="separate"/>
          </w:r>
          <w:r>
            <w:rPr>
              <w:rFonts w:ascii="Times New Roman" w:hAnsi="Times New Roman" w:eastAsia="Times New Roman" w:cs="Times New Roman"/>
              <w:sz w:val="18"/>
              <w:szCs w:val="18"/>
            </w:rPr>
            <w:t>22.2.1</w:t>
          </w:r>
          <w:r>
            <w:rPr>
              <w:rFonts w:ascii="Times New Roman" w:hAnsi="Times New Roman" w:eastAsia="Times New Roman" w:cs="Times New Roman"/>
              <w:spacing w:val="15"/>
              <w:w w:val="101"/>
              <w:sz w:val="18"/>
              <w:szCs w:val="18"/>
            </w:rPr>
            <w:t xml:space="preserve">   </w:t>
          </w:r>
          <w:r>
            <w:rPr>
              <w:sz w:val="18"/>
              <w:szCs w:val="18"/>
            </w:rPr>
            <w:t>监理活动</w:t>
          </w:r>
          <w:r>
            <w:rPr>
              <w:spacing w:val="-73"/>
              <w:sz w:val="18"/>
              <w:szCs w:val="18"/>
            </w:rPr>
            <w:t xml:space="preserve"> </w:t>
          </w:r>
          <w:r>
            <w:rPr>
              <w:sz w:val="18"/>
              <w:szCs w:val="18"/>
            </w:rPr>
            <w:tab/>
          </w:r>
          <w:r>
            <w:rPr>
              <w:rFonts w:ascii="Times New Roman" w:hAnsi="Times New Roman" w:eastAsia="Times New Roman" w:cs="Times New Roman"/>
              <w:sz w:val="18"/>
              <w:szCs w:val="18"/>
            </w:rPr>
            <w:t>503</w:t>
          </w:r>
          <w:r>
            <w:rPr>
              <w:rFonts w:ascii="Times New Roman" w:hAnsi="Times New Roman" w:eastAsia="Times New Roman" w:cs="Times New Roman"/>
              <w:sz w:val="18"/>
              <w:szCs w:val="18"/>
            </w:rPr>
            <w:fldChar w:fldCharType="end"/>
          </w:r>
        </w:p>
        <w:p w14:paraId="5BE0B875">
          <w:pPr>
            <w:pStyle w:val="2"/>
            <w:tabs>
              <w:tab w:val="right" w:leader="dot" w:pos="3961"/>
            </w:tabs>
            <w:spacing w:before="105" w:line="219" w:lineRule="auto"/>
            <w:ind w:left="409"/>
            <w:rPr>
              <w:rFonts w:ascii="Times New Roman" w:hAnsi="Times New Roman" w:eastAsia="Times New Roman" w:cs="Times New Roman"/>
              <w:sz w:val="18"/>
              <w:szCs w:val="18"/>
            </w:rPr>
          </w:pPr>
          <w:bookmarkStart w:id="371" w:name="bookmark361"/>
          <w:bookmarkEnd w:id="371"/>
          <w:r>
            <w:fldChar w:fldCharType="begin"/>
          </w:r>
          <w:r>
            <w:instrText xml:space="preserve"> HYPERLINK \l "bookmark361" </w:instrText>
          </w:r>
          <w:r>
            <w:fldChar w:fldCharType="separate"/>
          </w:r>
          <w:r>
            <w:rPr>
              <w:rFonts w:ascii="Times New Roman" w:hAnsi="Times New Roman" w:eastAsia="Times New Roman" w:cs="Times New Roman"/>
              <w:spacing w:val="-1"/>
              <w:sz w:val="18"/>
              <w:szCs w:val="18"/>
            </w:rPr>
            <w:t xml:space="preserve">22.2.2    </w:t>
          </w:r>
          <w:r>
            <w:rPr>
              <w:spacing w:val="-1"/>
              <w:sz w:val="18"/>
              <w:szCs w:val="18"/>
            </w:rPr>
            <w:t>监理内容</w:t>
          </w:r>
          <w:r>
            <w:rPr>
              <w:spacing w:val="-48"/>
              <w:sz w:val="18"/>
              <w:szCs w:val="18"/>
            </w:rPr>
            <w:t xml:space="preserve"> </w:t>
          </w:r>
          <w:r>
            <w:rPr>
              <w:sz w:val="18"/>
              <w:szCs w:val="18"/>
            </w:rPr>
            <w:tab/>
          </w:r>
          <w:r>
            <w:rPr>
              <w:rFonts w:ascii="Times New Roman" w:hAnsi="Times New Roman" w:eastAsia="Times New Roman" w:cs="Times New Roman"/>
              <w:sz w:val="18"/>
              <w:szCs w:val="18"/>
            </w:rPr>
            <w:t>504</w:t>
          </w:r>
          <w:r>
            <w:rPr>
              <w:rFonts w:ascii="Times New Roman" w:hAnsi="Times New Roman" w:eastAsia="Times New Roman" w:cs="Times New Roman"/>
              <w:sz w:val="18"/>
              <w:szCs w:val="18"/>
            </w:rPr>
            <w:fldChar w:fldCharType="end"/>
          </w:r>
        </w:p>
        <w:p w14:paraId="3481E1C4">
          <w:pPr>
            <w:pStyle w:val="2"/>
            <w:tabs>
              <w:tab w:val="right" w:leader="dot" w:pos="3961"/>
            </w:tabs>
            <w:spacing w:before="86" w:line="220" w:lineRule="auto"/>
            <w:rPr>
              <w:rFonts w:ascii="Times New Roman" w:hAnsi="Times New Roman" w:eastAsia="Times New Roman" w:cs="Times New Roman"/>
              <w:sz w:val="18"/>
              <w:szCs w:val="18"/>
            </w:rPr>
          </w:pPr>
          <w:bookmarkStart w:id="372" w:name="bookmark362"/>
          <w:bookmarkEnd w:id="372"/>
          <w:r>
            <w:fldChar w:fldCharType="begin"/>
          </w:r>
          <w:r>
            <w:instrText xml:space="preserve"> HYPERLINK \l "bookmark362" </w:instrText>
          </w:r>
          <w:r>
            <w:fldChar w:fldCharType="separate"/>
          </w:r>
          <w:r>
            <w:rPr>
              <w:rFonts w:ascii="Times New Roman" w:hAnsi="Times New Roman" w:eastAsia="Times New Roman" w:cs="Times New Roman"/>
              <w:spacing w:val="1"/>
              <w:sz w:val="18"/>
              <w:szCs w:val="18"/>
            </w:rPr>
            <w:t>22.3</w:t>
          </w:r>
          <w:r>
            <w:rPr>
              <w:rFonts w:ascii="Times New Roman" w:hAnsi="Times New Roman" w:eastAsia="Times New Roman" w:cs="Times New Roman"/>
              <w:spacing w:val="16"/>
              <w:sz w:val="18"/>
              <w:szCs w:val="18"/>
            </w:rPr>
            <w:t xml:space="preserve">   </w:t>
          </w:r>
          <w:r>
            <w:rPr>
              <w:spacing w:val="1"/>
              <w:sz w:val="18"/>
              <w:szCs w:val="18"/>
            </w:rPr>
            <w:t>设计阶段监理工作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506</w:t>
          </w:r>
          <w:r>
            <w:rPr>
              <w:rFonts w:ascii="Times New Roman" w:hAnsi="Times New Roman" w:eastAsia="Times New Roman" w:cs="Times New Roman"/>
              <w:sz w:val="18"/>
              <w:szCs w:val="18"/>
            </w:rPr>
            <w:fldChar w:fldCharType="end"/>
          </w:r>
        </w:p>
        <w:p w14:paraId="77531588">
          <w:pPr>
            <w:pStyle w:val="2"/>
            <w:tabs>
              <w:tab w:val="right" w:leader="dot" w:pos="3811"/>
            </w:tabs>
            <w:spacing w:before="105" w:line="220" w:lineRule="auto"/>
            <w:ind w:left="409"/>
            <w:rPr>
              <w:rFonts w:ascii="Times New Roman" w:hAnsi="Times New Roman" w:eastAsia="Times New Roman" w:cs="Times New Roman"/>
              <w:sz w:val="18"/>
              <w:szCs w:val="18"/>
            </w:rPr>
          </w:pPr>
          <w:bookmarkStart w:id="373" w:name="bookmark363"/>
          <w:bookmarkEnd w:id="373"/>
          <w:r>
            <w:fldChar w:fldCharType="begin"/>
          </w:r>
          <w:r>
            <w:instrText xml:space="preserve"> HYPERLINK \l "bookmark363" </w:instrText>
          </w:r>
          <w:r>
            <w:fldChar w:fldCharType="separate"/>
          </w:r>
          <w:r>
            <w:rPr>
              <w:rFonts w:ascii="Times New Roman" w:hAnsi="Times New Roman" w:eastAsia="Times New Roman" w:cs="Times New Roman"/>
              <w:spacing w:val="1"/>
              <w:sz w:val="18"/>
              <w:szCs w:val="18"/>
            </w:rPr>
            <w:t xml:space="preserve">22.3.1    </w:t>
          </w:r>
          <w:r>
            <w:rPr>
              <w:spacing w:val="1"/>
              <w:sz w:val="18"/>
              <w:szCs w:val="18"/>
            </w:rPr>
            <w:t>监理活动</w:t>
          </w:r>
          <w:r>
            <w:rPr>
              <w:spacing w:val="-65"/>
              <w:sz w:val="18"/>
              <w:szCs w:val="18"/>
            </w:rPr>
            <w:t xml:space="preserve"> </w:t>
          </w:r>
          <w:r>
            <w:rPr>
              <w:sz w:val="18"/>
              <w:szCs w:val="18"/>
            </w:rPr>
            <w:tab/>
          </w:r>
          <w:r>
            <w:rPr>
              <w:rFonts w:ascii="Times New Roman" w:hAnsi="Times New Roman" w:eastAsia="Times New Roman" w:cs="Times New Roman"/>
              <w:sz w:val="18"/>
              <w:szCs w:val="18"/>
            </w:rPr>
            <w:t>506</w:t>
          </w:r>
          <w:r>
            <w:rPr>
              <w:rFonts w:ascii="Times New Roman" w:hAnsi="Times New Roman" w:eastAsia="Times New Roman" w:cs="Times New Roman"/>
              <w:sz w:val="18"/>
              <w:szCs w:val="18"/>
            </w:rPr>
            <w:fldChar w:fldCharType="end"/>
          </w:r>
        </w:p>
        <w:p w14:paraId="4B1F0302">
          <w:pPr>
            <w:pStyle w:val="2"/>
            <w:tabs>
              <w:tab w:val="right" w:leader="dot" w:pos="3941"/>
            </w:tabs>
            <w:spacing w:before="95" w:line="219" w:lineRule="auto"/>
            <w:ind w:left="409"/>
            <w:rPr>
              <w:rFonts w:ascii="Times New Roman" w:hAnsi="Times New Roman" w:eastAsia="Times New Roman" w:cs="Times New Roman"/>
              <w:sz w:val="18"/>
              <w:szCs w:val="18"/>
            </w:rPr>
          </w:pPr>
          <w:bookmarkStart w:id="374" w:name="bookmark364"/>
          <w:bookmarkEnd w:id="374"/>
          <w:r>
            <w:fldChar w:fldCharType="begin"/>
          </w:r>
          <w:r>
            <w:instrText xml:space="preserve"> HYPERLINK \l "bookmark364" </w:instrText>
          </w:r>
          <w:r>
            <w:fldChar w:fldCharType="separate"/>
          </w:r>
          <w:r>
            <w:rPr>
              <w:rFonts w:ascii="Times New Roman" w:hAnsi="Times New Roman" w:eastAsia="Times New Roman" w:cs="Times New Roman"/>
              <w:spacing w:val="1"/>
              <w:sz w:val="18"/>
              <w:szCs w:val="18"/>
            </w:rPr>
            <w:t xml:space="preserve">22.3.2    </w:t>
          </w:r>
          <w:r>
            <w:rPr>
              <w:spacing w:val="1"/>
              <w:sz w:val="18"/>
              <w:szCs w:val="18"/>
            </w:rPr>
            <w:t>监理内容</w:t>
          </w:r>
          <w:r>
            <w:rPr>
              <w:spacing w:val="-65"/>
              <w:sz w:val="18"/>
              <w:szCs w:val="18"/>
            </w:rPr>
            <w:t xml:space="preserve"> </w:t>
          </w:r>
          <w:r>
            <w:rPr>
              <w:sz w:val="18"/>
              <w:szCs w:val="18"/>
            </w:rPr>
            <w:tab/>
          </w:r>
          <w:r>
            <w:rPr>
              <w:rFonts w:ascii="Times New Roman" w:hAnsi="Times New Roman" w:eastAsia="Times New Roman" w:cs="Times New Roman"/>
              <w:sz w:val="18"/>
              <w:szCs w:val="18"/>
            </w:rPr>
            <w:t>506</w:t>
          </w:r>
          <w:r>
            <w:rPr>
              <w:rFonts w:ascii="Times New Roman" w:hAnsi="Times New Roman" w:eastAsia="Times New Roman" w:cs="Times New Roman"/>
              <w:sz w:val="18"/>
              <w:szCs w:val="18"/>
            </w:rPr>
            <w:fldChar w:fldCharType="end"/>
          </w:r>
        </w:p>
        <w:p w14:paraId="6DE90E24">
          <w:pPr>
            <w:pStyle w:val="2"/>
            <w:tabs>
              <w:tab w:val="right" w:leader="dot" w:pos="3821"/>
            </w:tabs>
            <w:spacing w:before="106" w:line="220" w:lineRule="auto"/>
            <w:rPr>
              <w:rFonts w:ascii="Times New Roman" w:hAnsi="Times New Roman" w:eastAsia="Times New Roman" w:cs="Times New Roman"/>
              <w:sz w:val="18"/>
              <w:szCs w:val="18"/>
            </w:rPr>
          </w:pPr>
          <w:bookmarkStart w:id="375" w:name="bookmark365"/>
          <w:bookmarkEnd w:id="375"/>
          <w:r>
            <w:fldChar w:fldCharType="begin"/>
          </w:r>
          <w:r>
            <w:instrText xml:space="preserve"> HYPERLINK \l "bookmark365" </w:instrText>
          </w:r>
          <w:r>
            <w:fldChar w:fldCharType="separate"/>
          </w:r>
          <w:r>
            <w:rPr>
              <w:rFonts w:ascii="Times New Roman" w:hAnsi="Times New Roman" w:eastAsia="Times New Roman" w:cs="Times New Roman"/>
              <w:spacing w:val="1"/>
              <w:sz w:val="18"/>
              <w:szCs w:val="18"/>
            </w:rPr>
            <w:t xml:space="preserve">22.4    </w:t>
          </w:r>
          <w:r>
            <w:rPr>
              <w:spacing w:val="1"/>
              <w:sz w:val="18"/>
              <w:szCs w:val="18"/>
            </w:rPr>
            <w:t>实施阶段监理工作</w:t>
          </w:r>
          <w:r>
            <w:rPr>
              <w:spacing w:val="-72"/>
              <w:sz w:val="18"/>
              <w:szCs w:val="18"/>
            </w:rPr>
            <w:t xml:space="preserve"> </w:t>
          </w:r>
          <w:r>
            <w:rPr>
              <w:sz w:val="18"/>
              <w:szCs w:val="18"/>
            </w:rPr>
            <w:tab/>
          </w:r>
          <w:r>
            <w:rPr>
              <w:rFonts w:ascii="Times New Roman" w:hAnsi="Times New Roman" w:eastAsia="Times New Roman" w:cs="Times New Roman"/>
              <w:spacing w:val="-4"/>
              <w:sz w:val="18"/>
              <w:szCs w:val="18"/>
            </w:rPr>
            <w:t>511</w:t>
          </w:r>
          <w:r>
            <w:rPr>
              <w:rFonts w:ascii="Times New Roman" w:hAnsi="Times New Roman" w:eastAsia="Times New Roman" w:cs="Times New Roman"/>
              <w:spacing w:val="-4"/>
              <w:sz w:val="18"/>
              <w:szCs w:val="18"/>
            </w:rPr>
            <w:fldChar w:fldCharType="end"/>
          </w:r>
        </w:p>
        <w:p w14:paraId="43902B75">
          <w:pPr>
            <w:pStyle w:val="2"/>
            <w:tabs>
              <w:tab w:val="right" w:leader="dot" w:pos="3971"/>
            </w:tabs>
            <w:spacing w:before="96" w:line="220" w:lineRule="auto"/>
            <w:ind w:left="409"/>
            <w:rPr>
              <w:rFonts w:ascii="Times New Roman" w:hAnsi="Times New Roman" w:eastAsia="Times New Roman" w:cs="Times New Roman"/>
              <w:sz w:val="18"/>
              <w:szCs w:val="18"/>
            </w:rPr>
          </w:pPr>
          <w:bookmarkStart w:id="376" w:name="bookmark366"/>
          <w:bookmarkEnd w:id="376"/>
          <w:r>
            <w:fldChar w:fldCharType="begin"/>
          </w:r>
          <w:r>
            <w:instrText xml:space="preserve"> HYPERLINK \l "bookmark366" </w:instrText>
          </w:r>
          <w:r>
            <w:fldChar w:fldCharType="separate"/>
          </w:r>
          <w:r>
            <w:rPr>
              <w:rFonts w:ascii="Times New Roman" w:hAnsi="Times New Roman" w:eastAsia="Times New Roman" w:cs="Times New Roman"/>
              <w:spacing w:val="-2"/>
              <w:sz w:val="18"/>
              <w:szCs w:val="18"/>
            </w:rPr>
            <w:t>22.4.1</w:t>
          </w:r>
          <w:r>
            <w:rPr>
              <w:rFonts w:ascii="Times New Roman" w:hAnsi="Times New Roman" w:eastAsia="Times New Roman" w:cs="Times New Roman"/>
              <w:spacing w:val="5"/>
              <w:sz w:val="18"/>
              <w:szCs w:val="18"/>
            </w:rPr>
            <w:t xml:space="preserve">    </w:t>
          </w:r>
          <w:r>
            <w:rPr>
              <w:spacing w:val="-2"/>
              <w:sz w:val="18"/>
              <w:szCs w:val="18"/>
            </w:rPr>
            <w:t>监理活动</w:t>
          </w:r>
          <w:r>
            <w:rPr>
              <w:spacing w:val="-62"/>
              <w:sz w:val="18"/>
              <w:szCs w:val="18"/>
            </w:rPr>
            <w:t xml:space="preserve"> </w:t>
          </w:r>
          <w:r>
            <w:rPr>
              <w:sz w:val="18"/>
              <w:szCs w:val="18"/>
            </w:rPr>
            <w:tab/>
          </w:r>
          <w:r>
            <w:rPr>
              <w:rFonts w:ascii="Times New Roman" w:hAnsi="Times New Roman" w:eastAsia="Times New Roman" w:cs="Times New Roman"/>
              <w:sz w:val="18"/>
              <w:szCs w:val="18"/>
            </w:rPr>
            <w:t>511</w:t>
          </w:r>
          <w:r>
            <w:rPr>
              <w:rFonts w:ascii="Times New Roman" w:hAnsi="Times New Roman" w:eastAsia="Times New Roman" w:cs="Times New Roman"/>
              <w:sz w:val="18"/>
              <w:szCs w:val="18"/>
            </w:rPr>
            <w:fldChar w:fldCharType="end"/>
          </w:r>
        </w:p>
        <w:p w14:paraId="1B516C5A">
          <w:pPr>
            <w:pStyle w:val="2"/>
            <w:tabs>
              <w:tab w:val="right" w:leader="dot" w:pos="3951"/>
            </w:tabs>
            <w:spacing w:before="105" w:line="219" w:lineRule="auto"/>
            <w:ind w:left="409"/>
            <w:rPr>
              <w:rFonts w:ascii="Times New Roman" w:hAnsi="Times New Roman" w:eastAsia="Times New Roman" w:cs="Times New Roman"/>
              <w:sz w:val="18"/>
              <w:szCs w:val="18"/>
            </w:rPr>
          </w:pPr>
          <w:bookmarkStart w:id="377" w:name="bookmark367"/>
          <w:bookmarkEnd w:id="377"/>
          <w:r>
            <w:fldChar w:fldCharType="begin"/>
          </w:r>
          <w:r>
            <w:instrText xml:space="preserve"> HYPERLINK \l "bookmark367" </w:instrText>
          </w:r>
          <w:r>
            <w:fldChar w:fldCharType="separate"/>
          </w:r>
          <w:r>
            <w:rPr>
              <w:rFonts w:ascii="Times New Roman" w:hAnsi="Times New Roman" w:eastAsia="Times New Roman" w:cs="Times New Roman"/>
              <w:spacing w:val="1"/>
              <w:sz w:val="18"/>
              <w:szCs w:val="18"/>
            </w:rPr>
            <w:t xml:space="preserve">22.4.2    </w:t>
          </w:r>
          <w:r>
            <w:rPr>
              <w:spacing w:val="1"/>
              <w:sz w:val="18"/>
              <w:szCs w:val="18"/>
            </w:rPr>
            <w:t>监理内容</w:t>
          </w:r>
          <w:r>
            <w:rPr>
              <w:spacing w:val="-65"/>
              <w:sz w:val="18"/>
              <w:szCs w:val="18"/>
            </w:rPr>
            <w:t xml:space="preserve"> </w:t>
          </w:r>
          <w:r>
            <w:rPr>
              <w:sz w:val="18"/>
              <w:szCs w:val="18"/>
            </w:rPr>
            <w:tab/>
          </w:r>
          <w:r>
            <w:rPr>
              <w:rFonts w:ascii="Times New Roman" w:hAnsi="Times New Roman" w:eastAsia="Times New Roman" w:cs="Times New Roman"/>
              <w:sz w:val="18"/>
              <w:szCs w:val="18"/>
            </w:rPr>
            <w:t>512</w:t>
          </w:r>
          <w:r>
            <w:rPr>
              <w:rFonts w:ascii="Times New Roman" w:hAnsi="Times New Roman" w:eastAsia="Times New Roman" w:cs="Times New Roman"/>
              <w:sz w:val="18"/>
              <w:szCs w:val="18"/>
            </w:rPr>
            <w:fldChar w:fldCharType="end"/>
          </w:r>
        </w:p>
        <w:p w14:paraId="3FD21E1D">
          <w:pPr>
            <w:pStyle w:val="2"/>
            <w:tabs>
              <w:tab w:val="right" w:leader="dot" w:pos="3951"/>
            </w:tabs>
            <w:spacing w:before="106" w:line="219" w:lineRule="auto"/>
            <w:rPr>
              <w:rFonts w:ascii="Times New Roman" w:hAnsi="Times New Roman" w:eastAsia="Times New Roman" w:cs="Times New Roman"/>
              <w:sz w:val="18"/>
              <w:szCs w:val="18"/>
            </w:rPr>
          </w:pPr>
          <w:bookmarkStart w:id="378" w:name="bookmark368"/>
          <w:bookmarkEnd w:id="378"/>
          <w:r>
            <w:fldChar w:fldCharType="begin"/>
          </w:r>
          <w:r>
            <w:instrText xml:space="preserve"> HYPERLINK \l "bookmark368" </w:instrText>
          </w:r>
          <w:r>
            <w:fldChar w:fldCharType="separate"/>
          </w:r>
          <w:r>
            <w:rPr>
              <w:rFonts w:ascii="Times New Roman" w:hAnsi="Times New Roman" w:eastAsia="Times New Roman" w:cs="Times New Roman"/>
              <w:spacing w:val="-1"/>
              <w:sz w:val="18"/>
              <w:szCs w:val="18"/>
            </w:rPr>
            <w:t xml:space="preserve">22.5    </w:t>
          </w:r>
          <w:r>
            <w:rPr>
              <w:spacing w:val="-1"/>
              <w:sz w:val="18"/>
              <w:szCs w:val="18"/>
            </w:rPr>
            <w:t>验收阶段监理工作</w:t>
          </w:r>
          <w:r>
            <w:rPr>
              <w:spacing w:val="-41"/>
              <w:sz w:val="18"/>
              <w:szCs w:val="18"/>
            </w:rPr>
            <w:t xml:space="preserve"> </w:t>
          </w:r>
          <w:r>
            <w:rPr>
              <w:sz w:val="18"/>
              <w:szCs w:val="18"/>
            </w:rPr>
            <w:tab/>
          </w:r>
          <w:r>
            <w:rPr>
              <w:rFonts w:ascii="Times New Roman" w:hAnsi="Times New Roman" w:eastAsia="Times New Roman" w:cs="Times New Roman"/>
              <w:sz w:val="18"/>
              <w:szCs w:val="18"/>
            </w:rPr>
            <w:t>514</w:t>
          </w:r>
          <w:r>
            <w:rPr>
              <w:rFonts w:ascii="Times New Roman" w:hAnsi="Times New Roman" w:eastAsia="Times New Roman" w:cs="Times New Roman"/>
              <w:sz w:val="18"/>
              <w:szCs w:val="18"/>
            </w:rPr>
            <w:fldChar w:fldCharType="end"/>
          </w:r>
        </w:p>
        <w:p w14:paraId="52DDE1B8">
          <w:pPr>
            <w:pStyle w:val="2"/>
            <w:tabs>
              <w:tab w:val="right" w:leader="dot" w:pos="3951"/>
            </w:tabs>
            <w:spacing w:before="107" w:line="220" w:lineRule="auto"/>
            <w:ind w:left="409"/>
            <w:rPr>
              <w:rFonts w:ascii="Times New Roman" w:hAnsi="Times New Roman" w:eastAsia="Times New Roman" w:cs="Times New Roman"/>
              <w:sz w:val="18"/>
              <w:szCs w:val="18"/>
            </w:rPr>
          </w:pPr>
          <w:bookmarkStart w:id="379" w:name="bookmark369"/>
          <w:bookmarkEnd w:id="379"/>
          <w:r>
            <w:fldChar w:fldCharType="begin"/>
          </w:r>
          <w:r>
            <w:instrText xml:space="preserve"> HYPERLINK \l "bookmark369" </w:instrText>
          </w:r>
          <w:r>
            <w:fldChar w:fldCharType="separate"/>
          </w:r>
          <w:r>
            <w:rPr>
              <w:rFonts w:ascii="Times New Roman" w:hAnsi="Times New Roman" w:eastAsia="Times New Roman" w:cs="Times New Roman"/>
              <w:spacing w:val="-2"/>
              <w:sz w:val="18"/>
              <w:szCs w:val="18"/>
            </w:rPr>
            <w:t>22.5.1</w:t>
          </w:r>
          <w:r>
            <w:rPr>
              <w:rFonts w:ascii="Times New Roman" w:hAnsi="Times New Roman" w:eastAsia="Times New Roman" w:cs="Times New Roman"/>
              <w:spacing w:val="5"/>
              <w:sz w:val="18"/>
              <w:szCs w:val="18"/>
            </w:rPr>
            <w:t xml:space="preserve">    </w:t>
          </w:r>
          <w:r>
            <w:rPr>
              <w:spacing w:val="-2"/>
              <w:sz w:val="18"/>
              <w:szCs w:val="18"/>
            </w:rPr>
            <w:t>监理活动</w:t>
          </w:r>
          <w:r>
            <w:rPr>
              <w:spacing w:val="-62"/>
              <w:sz w:val="18"/>
              <w:szCs w:val="18"/>
            </w:rPr>
            <w:t xml:space="preserve"> </w:t>
          </w:r>
          <w:r>
            <w:rPr>
              <w:sz w:val="18"/>
              <w:szCs w:val="18"/>
            </w:rPr>
            <w:tab/>
          </w:r>
          <w:r>
            <w:rPr>
              <w:rFonts w:ascii="Times New Roman" w:hAnsi="Times New Roman" w:eastAsia="Times New Roman" w:cs="Times New Roman"/>
              <w:sz w:val="18"/>
              <w:szCs w:val="18"/>
            </w:rPr>
            <w:t>514</w:t>
          </w:r>
          <w:r>
            <w:rPr>
              <w:rFonts w:ascii="Times New Roman" w:hAnsi="Times New Roman" w:eastAsia="Times New Roman" w:cs="Times New Roman"/>
              <w:sz w:val="18"/>
              <w:szCs w:val="18"/>
            </w:rPr>
            <w:fldChar w:fldCharType="end"/>
          </w:r>
        </w:p>
        <w:p w14:paraId="4030A69D">
          <w:pPr>
            <w:pStyle w:val="2"/>
            <w:tabs>
              <w:tab w:val="right" w:leader="dot" w:pos="3951"/>
            </w:tabs>
            <w:spacing w:before="95" w:line="219" w:lineRule="auto"/>
            <w:ind w:left="409"/>
            <w:rPr>
              <w:rFonts w:ascii="Times New Roman" w:hAnsi="Times New Roman" w:eastAsia="Times New Roman" w:cs="Times New Roman"/>
              <w:sz w:val="18"/>
              <w:szCs w:val="18"/>
            </w:rPr>
          </w:pPr>
          <w:bookmarkStart w:id="380" w:name="bookmark370"/>
          <w:bookmarkEnd w:id="380"/>
          <w:r>
            <w:fldChar w:fldCharType="begin"/>
          </w:r>
          <w:r>
            <w:instrText xml:space="preserve"> HYPERLINK \l "bookmark370" </w:instrText>
          </w:r>
          <w:r>
            <w:fldChar w:fldCharType="separate"/>
          </w:r>
          <w:r>
            <w:rPr>
              <w:rFonts w:ascii="Times New Roman" w:hAnsi="Times New Roman" w:eastAsia="Times New Roman" w:cs="Times New Roman"/>
              <w:spacing w:val="-2"/>
              <w:sz w:val="18"/>
              <w:szCs w:val="18"/>
            </w:rPr>
            <w:t>22.5.2</w:t>
          </w:r>
          <w:r>
            <w:rPr>
              <w:rFonts w:ascii="Times New Roman" w:hAnsi="Times New Roman" w:eastAsia="Times New Roman" w:cs="Times New Roman"/>
              <w:spacing w:val="5"/>
              <w:sz w:val="18"/>
              <w:szCs w:val="18"/>
            </w:rPr>
            <w:t xml:space="preserve">    </w:t>
          </w:r>
          <w:r>
            <w:rPr>
              <w:spacing w:val="-2"/>
              <w:sz w:val="18"/>
              <w:szCs w:val="18"/>
            </w:rPr>
            <w:t>监理内容</w:t>
          </w:r>
          <w:r>
            <w:rPr>
              <w:spacing w:val="-51"/>
              <w:sz w:val="18"/>
              <w:szCs w:val="18"/>
            </w:rPr>
            <w:t xml:space="preserve"> </w:t>
          </w:r>
          <w:r>
            <w:rPr>
              <w:sz w:val="18"/>
              <w:szCs w:val="18"/>
            </w:rPr>
            <w:tab/>
          </w:r>
          <w:r>
            <w:rPr>
              <w:rFonts w:ascii="Times New Roman" w:hAnsi="Times New Roman" w:eastAsia="Times New Roman" w:cs="Times New Roman"/>
              <w:sz w:val="18"/>
              <w:szCs w:val="18"/>
            </w:rPr>
            <w:t>514</w:t>
          </w:r>
          <w:r>
            <w:rPr>
              <w:rFonts w:ascii="Times New Roman" w:hAnsi="Times New Roman" w:eastAsia="Times New Roman" w:cs="Times New Roman"/>
              <w:sz w:val="18"/>
              <w:szCs w:val="18"/>
            </w:rPr>
            <w:fldChar w:fldCharType="end"/>
          </w:r>
        </w:p>
        <w:p w14:paraId="510DD780">
          <w:pPr>
            <w:pStyle w:val="2"/>
            <w:tabs>
              <w:tab w:val="right" w:leader="dot" w:pos="3951"/>
            </w:tabs>
            <w:spacing w:before="97" w:line="219" w:lineRule="auto"/>
            <w:rPr>
              <w:rFonts w:ascii="Times New Roman" w:hAnsi="Times New Roman" w:eastAsia="Times New Roman" w:cs="Times New Roman"/>
              <w:sz w:val="18"/>
              <w:szCs w:val="18"/>
            </w:rPr>
          </w:pPr>
          <w:bookmarkStart w:id="381" w:name="bookmark371"/>
          <w:bookmarkEnd w:id="381"/>
          <w:r>
            <w:fldChar w:fldCharType="begin"/>
          </w:r>
          <w:r>
            <w:instrText xml:space="preserve"> HYPERLINK \l "bookmark371" </w:instrText>
          </w:r>
          <w:r>
            <w:fldChar w:fldCharType="separate"/>
          </w:r>
          <w:r>
            <w:rPr>
              <w:rFonts w:ascii="Times New Roman" w:hAnsi="Times New Roman" w:eastAsia="Times New Roman" w:cs="Times New Roman"/>
              <w:spacing w:val="1"/>
              <w:sz w:val="18"/>
              <w:szCs w:val="18"/>
            </w:rPr>
            <w:t xml:space="preserve">22.6    </w:t>
          </w:r>
          <w:r>
            <w:rPr>
              <w:spacing w:val="1"/>
              <w:sz w:val="18"/>
              <w:szCs w:val="18"/>
            </w:rPr>
            <w:t>软件支持过程的监理工作</w:t>
          </w:r>
          <w:r>
            <w:rPr>
              <w:spacing w:val="-66"/>
              <w:sz w:val="18"/>
              <w:szCs w:val="18"/>
            </w:rPr>
            <w:t xml:space="preserve"> </w:t>
          </w:r>
          <w:r>
            <w:rPr>
              <w:sz w:val="18"/>
              <w:szCs w:val="18"/>
            </w:rPr>
            <w:tab/>
          </w:r>
          <w:r>
            <w:rPr>
              <w:rFonts w:ascii="Times New Roman" w:hAnsi="Times New Roman" w:eastAsia="Times New Roman" w:cs="Times New Roman"/>
              <w:spacing w:val="1"/>
              <w:sz w:val="18"/>
              <w:szCs w:val="18"/>
            </w:rPr>
            <w:t>516</w:t>
          </w:r>
          <w:r>
            <w:rPr>
              <w:rFonts w:ascii="Times New Roman" w:hAnsi="Times New Roman" w:eastAsia="Times New Roman" w:cs="Times New Roman"/>
              <w:spacing w:val="1"/>
              <w:sz w:val="18"/>
              <w:szCs w:val="18"/>
            </w:rPr>
            <w:fldChar w:fldCharType="end"/>
          </w:r>
        </w:p>
        <w:p w14:paraId="0C181E52">
          <w:pPr>
            <w:pStyle w:val="2"/>
            <w:tabs>
              <w:tab w:val="right" w:leader="dot" w:pos="3981"/>
            </w:tabs>
            <w:spacing w:before="106" w:line="219" w:lineRule="auto"/>
            <w:ind w:left="409"/>
            <w:rPr>
              <w:rFonts w:ascii="Times New Roman" w:hAnsi="Times New Roman" w:eastAsia="Times New Roman" w:cs="Times New Roman"/>
              <w:sz w:val="18"/>
              <w:szCs w:val="18"/>
            </w:rPr>
          </w:pPr>
          <w:bookmarkStart w:id="382" w:name="bookmark372"/>
          <w:bookmarkEnd w:id="382"/>
          <w:r>
            <w:fldChar w:fldCharType="begin"/>
          </w:r>
          <w:r>
            <w:instrText xml:space="preserve"> HYPERLINK \l "bookmark372" </w:instrText>
          </w:r>
          <w:r>
            <w:fldChar w:fldCharType="separate"/>
          </w:r>
          <w:r>
            <w:rPr>
              <w:rFonts w:ascii="Times New Roman" w:hAnsi="Times New Roman" w:eastAsia="Times New Roman" w:cs="Times New Roman"/>
              <w:spacing w:val="-1"/>
              <w:sz w:val="18"/>
              <w:szCs w:val="18"/>
            </w:rPr>
            <w:t xml:space="preserve">22.6.1    </w:t>
          </w:r>
          <w:r>
            <w:rPr>
              <w:spacing w:val="-1"/>
              <w:sz w:val="18"/>
              <w:szCs w:val="18"/>
            </w:rPr>
            <w:t>文档编制过程的监理</w:t>
          </w:r>
          <w:r>
            <w:rPr>
              <w:spacing w:val="-43"/>
              <w:sz w:val="18"/>
              <w:szCs w:val="18"/>
            </w:rPr>
            <w:t xml:space="preserve"> </w:t>
          </w:r>
          <w:r>
            <w:rPr>
              <w:sz w:val="18"/>
              <w:szCs w:val="18"/>
            </w:rPr>
            <w:tab/>
          </w:r>
          <w:r>
            <w:rPr>
              <w:rFonts w:ascii="Times New Roman" w:hAnsi="Times New Roman" w:eastAsia="Times New Roman" w:cs="Times New Roman"/>
              <w:sz w:val="18"/>
              <w:szCs w:val="18"/>
            </w:rPr>
            <w:t>516</w:t>
          </w:r>
          <w:r>
            <w:rPr>
              <w:rFonts w:ascii="Times New Roman" w:hAnsi="Times New Roman" w:eastAsia="Times New Roman" w:cs="Times New Roman"/>
              <w:sz w:val="18"/>
              <w:szCs w:val="18"/>
            </w:rPr>
            <w:fldChar w:fldCharType="end"/>
          </w:r>
        </w:p>
        <w:p w14:paraId="2C1D94D9">
          <w:pPr>
            <w:pStyle w:val="2"/>
            <w:tabs>
              <w:tab w:val="right" w:leader="dot" w:pos="3951"/>
            </w:tabs>
            <w:spacing w:before="97" w:line="219" w:lineRule="auto"/>
            <w:ind w:left="409"/>
            <w:rPr>
              <w:rFonts w:ascii="Times New Roman" w:hAnsi="Times New Roman" w:eastAsia="Times New Roman" w:cs="Times New Roman"/>
              <w:sz w:val="18"/>
              <w:szCs w:val="18"/>
            </w:rPr>
          </w:pPr>
          <w:bookmarkStart w:id="383" w:name="bookmark373"/>
          <w:bookmarkEnd w:id="383"/>
          <w:r>
            <w:fldChar w:fldCharType="begin"/>
          </w:r>
          <w:r>
            <w:instrText xml:space="preserve"> HYPERLINK \l "bookmark373" </w:instrText>
          </w:r>
          <w:r>
            <w:fldChar w:fldCharType="separate"/>
          </w:r>
          <w:r>
            <w:rPr>
              <w:rFonts w:ascii="Times New Roman" w:hAnsi="Times New Roman" w:eastAsia="Times New Roman" w:cs="Times New Roman"/>
              <w:sz w:val="18"/>
              <w:szCs w:val="18"/>
            </w:rPr>
            <w:t>22.6.2</w:t>
          </w:r>
          <w:r>
            <w:rPr>
              <w:rFonts w:ascii="Times New Roman" w:hAnsi="Times New Roman" w:eastAsia="Times New Roman" w:cs="Times New Roman"/>
              <w:spacing w:val="16"/>
              <w:w w:val="101"/>
              <w:sz w:val="18"/>
              <w:szCs w:val="18"/>
            </w:rPr>
            <w:t xml:space="preserve">   </w:t>
          </w:r>
          <w:r>
            <w:rPr>
              <w:sz w:val="18"/>
              <w:szCs w:val="18"/>
            </w:rPr>
            <w:t>配置管理过程的监理</w:t>
          </w:r>
          <w:r>
            <w:rPr>
              <w:spacing w:val="-66"/>
              <w:sz w:val="18"/>
              <w:szCs w:val="18"/>
            </w:rPr>
            <w:t xml:space="preserve"> </w:t>
          </w:r>
          <w:r>
            <w:rPr>
              <w:sz w:val="18"/>
              <w:szCs w:val="18"/>
            </w:rPr>
            <w:tab/>
          </w:r>
          <w:r>
            <w:rPr>
              <w:rFonts w:ascii="Times New Roman" w:hAnsi="Times New Roman" w:eastAsia="Times New Roman" w:cs="Times New Roman"/>
              <w:spacing w:val="1"/>
              <w:sz w:val="18"/>
              <w:szCs w:val="18"/>
            </w:rPr>
            <w:t>517</w:t>
          </w:r>
          <w:r>
            <w:rPr>
              <w:rFonts w:ascii="Times New Roman" w:hAnsi="Times New Roman" w:eastAsia="Times New Roman" w:cs="Times New Roman"/>
              <w:spacing w:val="1"/>
              <w:sz w:val="18"/>
              <w:szCs w:val="18"/>
            </w:rPr>
            <w:fldChar w:fldCharType="end"/>
          </w:r>
        </w:p>
        <w:p w14:paraId="079E734E">
          <w:pPr>
            <w:pStyle w:val="2"/>
            <w:tabs>
              <w:tab w:val="right" w:leader="dot" w:pos="3951"/>
            </w:tabs>
            <w:spacing w:before="106" w:line="220" w:lineRule="auto"/>
            <w:ind w:left="409"/>
            <w:rPr>
              <w:rFonts w:ascii="Times New Roman" w:hAnsi="Times New Roman" w:eastAsia="Times New Roman" w:cs="Times New Roman"/>
              <w:sz w:val="18"/>
              <w:szCs w:val="18"/>
            </w:rPr>
          </w:pPr>
          <w:bookmarkStart w:id="384" w:name="bookmark374"/>
          <w:bookmarkEnd w:id="384"/>
          <w:r>
            <w:fldChar w:fldCharType="begin"/>
          </w:r>
          <w:r>
            <w:instrText xml:space="preserve"> HYPERLINK \l "bookmark374" </w:instrText>
          </w:r>
          <w:r>
            <w:fldChar w:fldCharType="separate"/>
          </w:r>
          <w:r>
            <w:rPr>
              <w:rFonts w:ascii="Times New Roman" w:hAnsi="Times New Roman" w:eastAsia="Times New Roman" w:cs="Times New Roman"/>
              <w:spacing w:val="-1"/>
              <w:sz w:val="18"/>
              <w:szCs w:val="18"/>
            </w:rPr>
            <w:t xml:space="preserve">22.6.3    </w:t>
          </w:r>
          <w:r>
            <w:rPr>
              <w:spacing w:val="-1"/>
              <w:sz w:val="18"/>
              <w:szCs w:val="18"/>
            </w:rPr>
            <w:t>质量保证过程的监理</w:t>
          </w:r>
          <w:r>
            <w:rPr>
              <w:spacing w:val="-43"/>
              <w:sz w:val="18"/>
              <w:szCs w:val="18"/>
            </w:rPr>
            <w:t xml:space="preserve"> </w:t>
          </w:r>
          <w:r>
            <w:rPr>
              <w:sz w:val="18"/>
              <w:szCs w:val="18"/>
            </w:rPr>
            <w:tab/>
          </w:r>
          <w:r>
            <w:rPr>
              <w:rFonts w:ascii="Times New Roman" w:hAnsi="Times New Roman" w:eastAsia="Times New Roman" w:cs="Times New Roman"/>
              <w:spacing w:val="1"/>
              <w:sz w:val="18"/>
              <w:szCs w:val="18"/>
            </w:rPr>
            <w:t>517</w:t>
          </w:r>
          <w:r>
            <w:rPr>
              <w:rFonts w:ascii="Times New Roman" w:hAnsi="Times New Roman" w:eastAsia="Times New Roman" w:cs="Times New Roman"/>
              <w:spacing w:val="1"/>
              <w:sz w:val="18"/>
              <w:szCs w:val="18"/>
            </w:rPr>
            <w:fldChar w:fldCharType="end"/>
          </w:r>
        </w:p>
        <w:p w14:paraId="7AC54D7C">
          <w:pPr>
            <w:pStyle w:val="2"/>
            <w:tabs>
              <w:tab w:val="right" w:leader="dot" w:pos="3981"/>
            </w:tabs>
            <w:spacing w:before="96" w:line="219" w:lineRule="auto"/>
            <w:rPr>
              <w:rFonts w:ascii="Times New Roman" w:hAnsi="Times New Roman" w:eastAsia="Times New Roman" w:cs="Times New Roman"/>
              <w:sz w:val="18"/>
              <w:szCs w:val="18"/>
            </w:rPr>
          </w:pPr>
          <w:bookmarkStart w:id="385" w:name="bookmark375"/>
          <w:bookmarkEnd w:id="385"/>
          <w:r>
            <w:fldChar w:fldCharType="begin"/>
          </w:r>
          <w:r>
            <w:instrText xml:space="preserve"> HYPERLINK \l "bookmark375" </w:instrText>
          </w:r>
          <w:r>
            <w:fldChar w:fldCharType="separate"/>
          </w:r>
          <w:r>
            <w:rPr>
              <w:rFonts w:ascii="Times New Roman" w:hAnsi="Times New Roman" w:eastAsia="Times New Roman" w:cs="Times New Roman"/>
              <w:spacing w:val="-1"/>
              <w:sz w:val="18"/>
              <w:szCs w:val="18"/>
            </w:rPr>
            <w:t xml:space="preserve">22.7    </w:t>
          </w:r>
          <w:r>
            <w:rPr>
              <w:spacing w:val="-1"/>
              <w:sz w:val="18"/>
              <w:szCs w:val="18"/>
            </w:rPr>
            <w:t>软件工程项目文档清单</w:t>
          </w:r>
          <w:r>
            <w:rPr>
              <w:spacing w:val="-38"/>
              <w:sz w:val="18"/>
              <w:szCs w:val="18"/>
            </w:rPr>
            <w:t xml:space="preserve"> </w:t>
          </w:r>
          <w:r>
            <w:rPr>
              <w:sz w:val="18"/>
              <w:szCs w:val="18"/>
            </w:rPr>
            <w:tab/>
          </w:r>
          <w:r>
            <w:rPr>
              <w:rFonts w:ascii="Times New Roman" w:hAnsi="Times New Roman" w:eastAsia="Times New Roman" w:cs="Times New Roman"/>
              <w:sz w:val="18"/>
              <w:szCs w:val="18"/>
            </w:rPr>
            <w:t>518</w:t>
          </w:r>
          <w:r>
            <w:rPr>
              <w:rFonts w:ascii="Times New Roman" w:hAnsi="Times New Roman" w:eastAsia="Times New Roman" w:cs="Times New Roman"/>
              <w:sz w:val="18"/>
              <w:szCs w:val="18"/>
            </w:rPr>
            <w:fldChar w:fldCharType="end"/>
          </w:r>
        </w:p>
        <w:p w14:paraId="539D417C">
          <w:pPr>
            <w:spacing w:line="241" w:lineRule="auto"/>
            <w:rPr>
              <w:rFonts w:ascii="Arial"/>
              <w:sz w:val="21"/>
            </w:rPr>
          </w:pPr>
        </w:p>
        <w:p w14:paraId="4B5EC7C5">
          <w:pPr>
            <w:spacing w:line="241" w:lineRule="auto"/>
            <w:rPr>
              <w:rFonts w:ascii="Arial"/>
              <w:sz w:val="21"/>
            </w:rPr>
          </w:pPr>
        </w:p>
        <w:p w14:paraId="5167EB32">
          <w:pPr>
            <w:spacing w:line="241" w:lineRule="auto"/>
            <w:rPr>
              <w:rFonts w:ascii="Arial"/>
              <w:sz w:val="21"/>
            </w:rPr>
          </w:pPr>
        </w:p>
        <w:p w14:paraId="28CD4A75">
          <w:pPr>
            <w:pStyle w:val="2"/>
            <w:tabs>
              <w:tab w:val="right" w:leader="dot" w:pos="3971"/>
            </w:tabs>
            <w:spacing w:before="59" w:line="219" w:lineRule="auto"/>
            <w:rPr>
              <w:rFonts w:ascii="Times New Roman" w:hAnsi="Times New Roman" w:eastAsia="Times New Roman" w:cs="Times New Roman"/>
              <w:sz w:val="18"/>
              <w:szCs w:val="18"/>
            </w:rPr>
          </w:pPr>
          <w:bookmarkStart w:id="386" w:name="bookmark376"/>
          <w:bookmarkEnd w:id="386"/>
          <w:r>
            <w:fldChar w:fldCharType="begin"/>
          </w:r>
          <w:r>
            <w:instrText xml:space="preserve"> HYPERLINK \l "bookmark376" </w:instrText>
          </w:r>
          <w:r>
            <w:fldChar w:fldCharType="separate"/>
          </w:r>
          <w:r>
            <w:rPr>
              <w:rFonts w:ascii="Times New Roman" w:hAnsi="Times New Roman" w:eastAsia="Times New Roman" w:cs="Times New Roman"/>
              <w:spacing w:val="3"/>
              <w:sz w:val="18"/>
              <w:szCs w:val="18"/>
            </w:rPr>
            <w:t>23.1</w:t>
          </w:r>
          <w:r>
            <w:rPr>
              <w:rFonts w:ascii="Times New Roman" w:hAnsi="Times New Roman" w:eastAsia="Times New Roman" w:cs="Times New Roman"/>
              <w:spacing w:val="16"/>
              <w:sz w:val="18"/>
              <w:szCs w:val="18"/>
            </w:rPr>
            <w:t xml:space="preserve">   </w:t>
          </w:r>
          <w:r>
            <w:rPr>
              <w:spacing w:val="3"/>
              <w:sz w:val="18"/>
              <w:szCs w:val="18"/>
            </w:rPr>
            <w:t>概述</w:t>
          </w:r>
          <w:r>
            <w:rPr>
              <w:spacing w:val="-68"/>
              <w:sz w:val="18"/>
              <w:szCs w:val="18"/>
            </w:rPr>
            <w:t xml:space="preserve"> </w:t>
          </w:r>
          <w:r>
            <w:rPr>
              <w:sz w:val="18"/>
              <w:szCs w:val="18"/>
            </w:rPr>
            <w:tab/>
          </w:r>
          <w:r>
            <w:rPr>
              <w:rFonts w:ascii="Times New Roman" w:hAnsi="Times New Roman" w:eastAsia="Times New Roman" w:cs="Times New Roman"/>
              <w:sz w:val="18"/>
              <w:szCs w:val="18"/>
            </w:rPr>
            <w:t>520</w:t>
          </w:r>
          <w:r>
            <w:rPr>
              <w:rFonts w:ascii="Times New Roman" w:hAnsi="Times New Roman" w:eastAsia="Times New Roman" w:cs="Times New Roman"/>
              <w:sz w:val="18"/>
              <w:szCs w:val="18"/>
            </w:rPr>
            <w:fldChar w:fldCharType="end"/>
          </w:r>
        </w:p>
        <w:p w14:paraId="24956C1A">
          <w:pPr>
            <w:pStyle w:val="2"/>
            <w:tabs>
              <w:tab w:val="right" w:leader="dot" w:pos="3951"/>
            </w:tabs>
            <w:spacing w:before="75" w:line="219" w:lineRule="auto"/>
            <w:ind w:left="409"/>
            <w:rPr>
              <w:rFonts w:ascii="Times New Roman" w:hAnsi="Times New Roman" w:eastAsia="Times New Roman" w:cs="Times New Roman"/>
              <w:sz w:val="18"/>
              <w:szCs w:val="18"/>
            </w:rPr>
          </w:pPr>
          <w:bookmarkStart w:id="387" w:name="bookmark377"/>
          <w:bookmarkEnd w:id="387"/>
          <w:r>
            <w:fldChar w:fldCharType="begin"/>
          </w:r>
          <w:r>
            <w:instrText xml:space="preserve"> HYPERLINK \l "bookmark377" </w:instrText>
          </w:r>
          <w:r>
            <w:fldChar w:fldCharType="separate"/>
          </w:r>
          <w:r>
            <w:rPr>
              <w:rFonts w:ascii="Times New Roman" w:hAnsi="Times New Roman" w:eastAsia="Times New Roman" w:cs="Times New Roman"/>
              <w:spacing w:val="2"/>
              <w:sz w:val="18"/>
              <w:szCs w:val="18"/>
            </w:rPr>
            <w:t>23.1.1</w:t>
          </w:r>
          <w:r>
            <w:rPr>
              <w:rFonts w:ascii="Times New Roman" w:hAnsi="Times New Roman" w:eastAsia="Times New Roman" w:cs="Times New Roman"/>
              <w:spacing w:val="13"/>
              <w:w w:val="102"/>
              <w:sz w:val="18"/>
              <w:szCs w:val="18"/>
            </w:rPr>
            <w:t xml:space="preserve">   </w:t>
          </w:r>
          <w:r>
            <w:rPr>
              <w:spacing w:val="2"/>
              <w:sz w:val="18"/>
              <w:szCs w:val="18"/>
            </w:rPr>
            <w:t>基本概念</w:t>
          </w:r>
          <w:r>
            <w:rPr>
              <w:spacing w:val="-68"/>
              <w:sz w:val="18"/>
              <w:szCs w:val="18"/>
            </w:rPr>
            <w:t xml:space="preserve"> </w:t>
          </w:r>
          <w:r>
            <w:rPr>
              <w:sz w:val="18"/>
              <w:szCs w:val="18"/>
            </w:rPr>
            <w:tab/>
          </w:r>
          <w:r>
            <w:rPr>
              <w:rFonts w:ascii="Times New Roman" w:hAnsi="Times New Roman" w:eastAsia="Times New Roman" w:cs="Times New Roman"/>
              <w:sz w:val="18"/>
              <w:szCs w:val="18"/>
            </w:rPr>
            <w:t>520</w:t>
          </w:r>
          <w:r>
            <w:rPr>
              <w:rFonts w:ascii="Times New Roman" w:hAnsi="Times New Roman" w:eastAsia="Times New Roman" w:cs="Times New Roman"/>
              <w:sz w:val="18"/>
              <w:szCs w:val="18"/>
            </w:rPr>
            <w:fldChar w:fldCharType="end"/>
          </w:r>
        </w:p>
        <w:p w14:paraId="00CC26C6">
          <w:pPr>
            <w:pStyle w:val="2"/>
            <w:tabs>
              <w:tab w:val="right" w:leader="dot" w:pos="3961"/>
            </w:tabs>
            <w:spacing w:before="98" w:line="219" w:lineRule="auto"/>
            <w:ind w:left="409"/>
            <w:rPr>
              <w:rFonts w:ascii="Times New Roman" w:hAnsi="Times New Roman" w:eastAsia="Times New Roman" w:cs="Times New Roman"/>
              <w:sz w:val="18"/>
              <w:szCs w:val="18"/>
            </w:rPr>
          </w:pPr>
          <w:bookmarkStart w:id="388" w:name="bookmark378"/>
          <w:bookmarkEnd w:id="388"/>
          <w:r>
            <w:fldChar w:fldCharType="begin"/>
          </w:r>
          <w:r>
            <w:instrText xml:space="preserve"> HYPERLINK \l "bookmark378" </w:instrText>
          </w:r>
          <w:r>
            <w:fldChar w:fldCharType="separate"/>
          </w:r>
          <w:r>
            <w:rPr>
              <w:rFonts w:ascii="Times New Roman" w:hAnsi="Times New Roman" w:eastAsia="Times New Roman" w:cs="Times New Roman"/>
              <w:spacing w:val="-1"/>
              <w:sz w:val="18"/>
              <w:szCs w:val="18"/>
            </w:rPr>
            <w:t xml:space="preserve">23.1.2    </w:t>
          </w:r>
          <w:r>
            <w:rPr>
              <w:spacing w:val="-1"/>
              <w:sz w:val="18"/>
              <w:szCs w:val="18"/>
            </w:rPr>
            <w:t>数据中心工程主要建设任务</w:t>
          </w:r>
          <w:r>
            <w:rPr>
              <w:spacing w:val="-39"/>
              <w:sz w:val="18"/>
              <w:szCs w:val="18"/>
            </w:rPr>
            <w:t xml:space="preserve"> </w:t>
          </w:r>
          <w:r>
            <w:rPr>
              <w:sz w:val="18"/>
              <w:szCs w:val="18"/>
            </w:rPr>
            <w:tab/>
          </w:r>
          <w:r>
            <w:rPr>
              <w:rFonts w:ascii="Times New Roman" w:hAnsi="Times New Roman" w:eastAsia="Times New Roman" w:cs="Times New Roman"/>
              <w:spacing w:val="1"/>
              <w:sz w:val="18"/>
              <w:szCs w:val="18"/>
            </w:rPr>
            <w:t>521</w:t>
          </w:r>
          <w:r>
            <w:rPr>
              <w:rFonts w:ascii="Times New Roman" w:hAnsi="Times New Roman" w:eastAsia="Times New Roman" w:cs="Times New Roman"/>
              <w:spacing w:val="1"/>
              <w:sz w:val="18"/>
              <w:szCs w:val="18"/>
            </w:rPr>
            <w:fldChar w:fldCharType="end"/>
          </w:r>
        </w:p>
        <w:p w14:paraId="7DED8BA6">
          <w:pPr>
            <w:pStyle w:val="2"/>
            <w:tabs>
              <w:tab w:val="right" w:leader="dot" w:pos="3961"/>
            </w:tabs>
            <w:spacing w:before="96" w:line="220" w:lineRule="auto"/>
            <w:rPr>
              <w:rFonts w:ascii="Times New Roman" w:hAnsi="Times New Roman" w:eastAsia="Times New Roman" w:cs="Times New Roman"/>
              <w:sz w:val="18"/>
              <w:szCs w:val="18"/>
            </w:rPr>
          </w:pPr>
          <w:bookmarkStart w:id="389" w:name="bookmark379"/>
          <w:bookmarkEnd w:id="389"/>
          <w:r>
            <w:fldChar w:fldCharType="begin"/>
          </w:r>
          <w:r>
            <w:instrText xml:space="preserve"> HYPERLINK \l "bookmark379" </w:instrText>
          </w:r>
          <w:r>
            <w:fldChar w:fldCharType="separate"/>
          </w:r>
          <w:r>
            <w:rPr>
              <w:rFonts w:ascii="Times New Roman" w:hAnsi="Times New Roman" w:eastAsia="Times New Roman" w:cs="Times New Roman"/>
              <w:spacing w:val="1"/>
              <w:sz w:val="18"/>
              <w:szCs w:val="18"/>
            </w:rPr>
            <w:t>23.2</w:t>
          </w:r>
          <w:r>
            <w:rPr>
              <w:rFonts w:ascii="Times New Roman" w:hAnsi="Times New Roman" w:eastAsia="Times New Roman" w:cs="Times New Roman"/>
              <w:spacing w:val="16"/>
              <w:sz w:val="18"/>
              <w:szCs w:val="18"/>
            </w:rPr>
            <w:t xml:space="preserve">   </w:t>
          </w:r>
          <w:r>
            <w:rPr>
              <w:spacing w:val="1"/>
              <w:sz w:val="18"/>
              <w:szCs w:val="18"/>
            </w:rPr>
            <w:t>招标阶段监理工作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525</w:t>
          </w:r>
          <w:r>
            <w:rPr>
              <w:rFonts w:ascii="Times New Roman" w:hAnsi="Times New Roman" w:eastAsia="Times New Roman" w:cs="Times New Roman"/>
              <w:sz w:val="18"/>
              <w:szCs w:val="18"/>
            </w:rPr>
            <w:fldChar w:fldCharType="end"/>
          </w:r>
        </w:p>
        <w:p w14:paraId="0C0397C1">
          <w:pPr>
            <w:pStyle w:val="2"/>
            <w:tabs>
              <w:tab w:val="right" w:leader="dot" w:pos="3951"/>
            </w:tabs>
            <w:spacing w:before="96" w:line="220" w:lineRule="auto"/>
            <w:ind w:left="409"/>
            <w:rPr>
              <w:rFonts w:ascii="Times New Roman" w:hAnsi="Times New Roman" w:eastAsia="Times New Roman" w:cs="Times New Roman"/>
              <w:sz w:val="18"/>
              <w:szCs w:val="18"/>
            </w:rPr>
          </w:pPr>
          <w:bookmarkStart w:id="390" w:name="bookmark380"/>
          <w:bookmarkEnd w:id="390"/>
          <w:r>
            <w:fldChar w:fldCharType="begin"/>
          </w:r>
          <w:r>
            <w:instrText xml:space="preserve"> HYPERLINK \l "bookmark380" </w:instrText>
          </w:r>
          <w:r>
            <w:fldChar w:fldCharType="separate"/>
          </w:r>
          <w:r>
            <w:rPr>
              <w:rFonts w:ascii="Times New Roman" w:hAnsi="Times New Roman" w:eastAsia="Times New Roman" w:cs="Times New Roman"/>
              <w:spacing w:val="2"/>
              <w:sz w:val="18"/>
              <w:szCs w:val="18"/>
            </w:rPr>
            <w:t xml:space="preserve">23.2.1    </w:t>
          </w:r>
          <w:r>
            <w:rPr>
              <w:spacing w:val="2"/>
              <w:sz w:val="18"/>
              <w:szCs w:val="18"/>
            </w:rPr>
            <w:t>监理活动</w:t>
          </w:r>
          <w:r>
            <w:rPr>
              <w:spacing w:val="-69"/>
              <w:sz w:val="18"/>
              <w:szCs w:val="18"/>
            </w:rPr>
            <w:t xml:space="preserve"> </w:t>
          </w:r>
          <w:r>
            <w:rPr>
              <w:sz w:val="18"/>
              <w:szCs w:val="18"/>
            </w:rPr>
            <w:tab/>
          </w:r>
          <w:r>
            <w:rPr>
              <w:rFonts w:ascii="Times New Roman" w:hAnsi="Times New Roman" w:eastAsia="Times New Roman" w:cs="Times New Roman"/>
              <w:sz w:val="18"/>
              <w:szCs w:val="18"/>
            </w:rPr>
            <w:t>526</w:t>
          </w:r>
          <w:r>
            <w:rPr>
              <w:rFonts w:ascii="Times New Roman" w:hAnsi="Times New Roman" w:eastAsia="Times New Roman" w:cs="Times New Roman"/>
              <w:sz w:val="18"/>
              <w:szCs w:val="18"/>
            </w:rPr>
            <w:fldChar w:fldCharType="end"/>
          </w:r>
        </w:p>
        <w:p w14:paraId="4F5D9907">
          <w:pPr>
            <w:pStyle w:val="2"/>
            <w:tabs>
              <w:tab w:val="right" w:leader="dot" w:pos="3951"/>
            </w:tabs>
            <w:spacing w:before="98" w:line="222" w:lineRule="auto"/>
            <w:ind w:left="409"/>
            <w:rPr>
              <w:rFonts w:ascii="Times New Roman" w:hAnsi="Times New Roman" w:eastAsia="Times New Roman" w:cs="Times New Roman"/>
              <w:sz w:val="18"/>
              <w:szCs w:val="18"/>
            </w:rPr>
          </w:pPr>
          <w:bookmarkStart w:id="391" w:name="bookmark381"/>
          <w:bookmarkEnd w:id="391"/>
          <w:r>
            <w:fldChar w:fldCharType="begin"/>
          </w:r>
          <w:r>
            <w:instrText xml:space="preserve"> HYPERLINK \l "bookmark381" </w:instrText>
          </w:r>
          <w:r>
            <w:fldChar w:fldCharType="separate"/>
          </w:r>
          <w:r>
            <w:rPr>
              <w:rFonts w:ascii="Times New Roman" w:hAnsi="Times New Roman" w:eastAsia="Times New Roman" w:cs="Times New Roman"/>
              <w:spacing w:val="1"/>
              <w:sz w:val="18"/>
              <w:szCs w:val="18"/>
            </w:rPr>
            <w:t xml:space="preserve">23.2.2    </w:t>
          </w:r>
          <w:r>
            <w:rPr>
              <w:spacing w:val="1"/>
              <w:sz w:val="18"/>
              <w:szCs w:val="18"/>
            </w:rPr>
            <w:t>监理要点</w:t>
          </w:r>
          <w:r>
            <w:rPr>
              <w:spacing w:val="-76"/>
              <w:sz w:val="18"/>
              <w:szCs w:val="18"/>
            </w:rPr>
            <w:t xml:space="preserve"> </w:t>
          </w:r>
          <w:r>
            <w:rPr>
              <w:sz w:val="18"/>
              <w:szCs w:val="18"/>
            </w:rPr>
            <w:tab/>
          </w:r>
          <w:r>
            <w:rPr>
              <w:rFonts w:ascii="Times New Roman" w:hAnsi="Times New Roman" w:eastAsia="Times New Roman" w:cs="Times New Roman"/>
              <w:sz w:val="18"/>
              <w:szCs w:val="18"/>
            </w:rPr>
            <w:t>526</w:t>
          </w:r>
          <w:r>
            <w:rPr>
              <w:rFonts w:ascii="Times New Roman" w:hAnsi="Times New Roman" w:eastAsia="Times New Roman" w:cs="Times New Roman"/>
              <w:sz w:val="18"/>
              <w:szCs w:val="18"/>
            </w:rPr>
            <w:fldChar w:fldCharType="end"/>
          </w:r>
        </w:p>
        <w:p w14:paraId="0AE72A59">
          <w:pPr>
            <w:pStyle w:val="2"/>
            <w:tabs>
              <w:tab w:val="right" w:leader="dot" w:pos="3961"/>
            </w:tabs>
            <w:spacing w:before="91" w:line="220" w:lineRule="auto"/>
            <w:ind w:left="409"/>
            <w:rPr>
              <w:rFonts w:ascii="Times New Roman" w:hAnsi="Times New Roman" w:eastAsia="Times New Roman" w:cs="Times New Roman"/>
              <w:sz w:val="18"/>
              <w:szCs w:val="18"/>
            </w:rPr>
          </w:pPr>
          <w:bookmarkStart w:id="392" w:name="bookmark382"/>
          <w:bookmarkEnd w:id="392"/>
          <w:r>
            <w:fldChar w:fldCharType="begin"/>
          </w:r>
          <w:r>
            <w:instrText xml:space="preserve"> HYPERLINK \l "bookmark382" </w:instrText>
          </w:r>
          <w:r>
            <w:fldChar w:fldCharType="separate"/>
          </w:r>
          <w:r>
            <w:rPr>
              <w:rFonts w:ascii="Times New Roman" w:hAnsi="Times New Roman" w:eastAsia="Times New Roman" w:cs="Times New Roman"/>
              <w:spacing w:val="-1"/>
              <w:sz w:val="18"/>
              <w:szCs w:val="18"/>
            </w:rPr>
            <w:t xml:space="preserve">23.2.3    </w:t>
          </w:r>
          <w:r>
            <w:rPr>
              <w:spacing w:val="-1"/>
              <w:sz w:val="18"/>
              <w:szCs w:val="18"/>
            </w:rPr>
            <w:t>监理流程</w:t>
          </w:r>
          <w:r>
            <w:rPr>
              <w:spacing w:val="-48"/>
              <w:sz w:val="18"/>
              <w:szCs w:val="18"/>
            </w:rPr>
            <w:t xml:space="preserve"> </w:t>
          </w:r>
          <w:r>
            <w:rPr>
              <w:sz w:val="18"/>
              <w:szCs w:val="18"/>
            </w:rPr>
            <w:tab/>
          </w:r>
          <w:r>
            <w:rPr>
              <w:rFonts w:ascii="Times New Roman" w:hAnsi="Times New Roman" w:eastAsia="Times New Roman" w:cs="Times New Roman"/>
              <w:sz w:val="18"/>
              <w:szCs w:val="18"/>
            </w:rPr>
            <w:t>527</w:t>
          </w:r>
          <w:r>
            <w:rPr>
              <w:rFonts w:ascii="Times New Roman" w:hAnsi="Times New Roman" w:eastAsia="Times New Roman" w:cs="Times New Roman"/>
              <w:sz w:val="18"/>
              <w:szCs w:val="18"/>
            </w:rPr>
            <w:fldChar w:fldCharType="end"/>
          </w:r>
        </w:p>
        <w:p w14:paraId="7E09BA54">
          <w:pPr>
            <w:pStyle w:val="2"/>
            <w:tabs>
              <w:tab w:val="right" w:leader="dot" w:pos="3951"/>
            </w:tabs>
            <w:spacing w:before="95" w:line="220" w:lineRule="auto"/>
            <w:rPr>
              <w:rFonts w:ascii="Times New Roman" w:hAnsi="Times New Roman" w:eastAsia="Times New Roman" w:cs="Times New Roman"/>
              <w:sz w:val="18"/>
              <w:szCs w:val="18"/>
            </w:rPr>
          </w:pPr>
          <w:bookmarkStart w:id="393" w:name="bookmark383"/>
          <w:bookmarkEnd w:id="393"/>
          <w:r>
            <w:fldChar w:fldCharType="begin"/>
          </w:r>
          <w:r>
            <w:instrText xml:space="preserve"> HYPERLINK \l "bookmark383" </w:instrText>
          </w:r>
          <w:r>
            <w:fldChar w:fldCharType="separate"/>
          </w:r>
          <w:r>
            <w:rPr>
              <w:rFonts w:ascii="Times New Roman" w:hAnsi="Times New Roman" w:eastAsia="Times New Roman" w:cs="Times New Roman"/>
              <w:spacing w:val="1"/>
              <w:sz w:val="18"/>
              <w:szCs w:val="18"/>
            </w:rPr>
            <w:t xml:space="preserve">23.3    </w:t>
          </w:r>
          <w:r>
            <w:rPr>
              <w:spacing w:val="1"/>
              <w:sz w:val="18"/>
              <w:szCs w:val="18"/>
            </w:rPr>
            <w:t>设计阶段监理工作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527</w:t>
          </w:r>
          <w:r>
            <w:rPr>
              <w:rFonts w:ascii="Times New Roman" w:hAnsi="Times New Roman" w:eastAsia="Times New Roman" w:cs="Times New Roman"/>
              <w:sz w:val="18"/>
              <w:szCs w:val="18"/>
            </w:rPr>
            <w:fldChar w:fldCharType="end"/>
          </w:r>
        </w:p>
        <w:p w14:paraId="77C6957C">
          <w:pPr>
            <w:pStyle w:val="2"/>
            <w:tabs>
              <w:tab w:val="right" w:leader="dot" w:pos="3961"/>
            </w:tabs>
            <w:spacing w:before="96" w:line="220" w:lineRule="auto"/>
            <w:ind w:left="409"/>
            <w:rPr>
              <w:rFonts w:ascii="Times New Roman" w:hAnsi="Times New Roman" w:eastAsia="Times New Roman" w:cs="Times New Roman"/>
              <w:sz w:val="18"/>
              <w:szCs w:val="18"/>
            </w:rPr>
          </w:pPr>
          <w:bookmarkStart w:id="394" w:name="bookmark384"/>
          <w:bookmarkEnd w:id="394"/>
          <w:r>
            <w:fldChar w:fldCharType="begin"/>
          </w:r>
          <w:r>
            <w:instrText xml:space="preserve"> HYPERLINK \l "bookmark384" </w:instrText>
          </w:r>
          <w:r>
            <w:fldChar w:fldCharType="separate"/>
          </w:r>
          <w:r>
            <w:rPr>
              <w:rFonts w:ascii="Times New Roman" w:hAnsi="Times New Roman" w:eastAsia="Times New Roman" w:cs="Times New Roman"/>
              <w:spacing w:val="-2"/>
              <w:sz w:val="18"/>
              <w:szCs w:val="18"/>
            </w:rPr>
            <w:t>23.3.1</w:t>
          </w:r>
          <w:r>
            <w:rPr>
              <w:rFonts w:ascii="Times New Roman" w:hAnsi="Times New Roman" w:eastAsia="Times New Roman" w:cs="Times New Roman"/>
              <w:spacing w:val="5"/>
              <w:sz w:val="18"/>
              <w:szCs w:val="18"/>
            </w:rPr>
            <w:t xml:space="preserve">    </w:t>
          </w:r>
          <w:r>
            <w:rPr>
              <w:spacing w:val="-2"/>
              <w:sz w:val="18"/>
              <w:szCs w:val="18"/>
            </w:rPr>
            <w:t>监理活动</w:t>
          </w:r>
          <w:r>
            <w:rPr>
              <w:spacing w:val="-62"/>
              <w:sz w:val="18"/>
              <w:szCs w:val="18"/>
            </w:rPr>
            <w:t xml:space="preserve"> </w:t>
          </w:r>
          <w:r>
            <w:rPr>
              <w:sz w:val="18"/>
              <w:szCs w:val="18"/>
            </w:rPr>
            <w:tab/>
          </w:r>
          <w:r>
            <w:rPr>
              <w:rFonts w:ascii="Times New Roman" w:hAnsi="Times New Roman" w:eastAsia="Times New Roman" w:cs="Times New Roman"/>
              <w:sz w:val="18"/>
              <w:szCs w:val="18"/>
            </w:rPr>
            <w:t>527</w:t>
          </w:r>
          <w:r>
            <w:rPr>
              <w:rFonts w:ascii="Times New Roman" w:hAnsi="Times New Roman" w:eastAsia="Times New Roman" w:cs="Times New Roman"/>
              <w:sz w:val="18"/>
              <w:szCs w:val="18"/>
            </w:rPr>
            <w:fldChar w:fldCharType="end"/>
          </w:r>
        </w:p>
        <w:p w14:paraId="636BF1F8">
          <w:pPr>
            <w:pStyle w:val="2"/>
            <w:tabs>
              <w:tab w:val="right" w:leader="dot" w:pos="3961"/>
            </w:tabs>
            <w:spacing w:before="95" w:line="219" w:lineRule="auto"/>
            <w:ind w:left="409"/>
            <w:rPr>
              <w:rFonts w:ascii="Times New Roman" w:hAnsi="Times New Roman" w:eastAsia="Times New Roman" w:cs="Times New Roman"/>
              <w:sz w:val="18"/>
              <w:szCs w:val="18"/>
            </w:rPr>
          </w:pPr>
          <w:bookmarkStart w:id="395" w:name="bookmark385"/>
          <w:bookmarkEnd w:id="395"/>
          <w:r>
            <w:fldChar w:fldCharType="begin"/>
          </w:r>
          <w:r>
            <w:instrText xml:space="preserve"> HYPERLINK \l "bookmark385" </w:instrText>
          </w:r>
          <w:r>
            <w:fldChar w:fldCharType="separate"/>
          </w:r>
          <w:r>
            <w:rPr>
              <w:rFonts w:ascii="Times New Roman" w:hAnsi="Times New Roman" w:eastAsia="Times New Roman" w:cs="Times New Roman"/>
              <w:spacing w:val="-2"/>
              <w:sz w:val="18"/>
              <w:szCs w:val="18"/>
            </w:rPr>
            <w:t>23.3.2</w:t>
          </w:r>
          <w:r>
            <w:rPr>
              <w:rFonts w:ascii="Times New Roman" w:hAnsi="Times New Roman" w:eastAsia="Times New Roman" w:cs="Times New Roman"/>
              <w:spacing w:val="5"/>
              <w:sz w:val="18"/>
              <w:szCs w:val="18"/>
            </w:rPr>
            <w:t xml:space="preserve">    </w:t>
          </w:r>
          <w:r>
            <w:rPr>
              <w:spacing w:val="-2"/>
              <w:sz w:val="18"/>
              <w:szCs w:val="18"/>
            </w:rPr>
            <w:t>监理内容</w:t>
          </w:r>
          <w:r>
            <w:rPr>
              <w:spacing w:val="-62"/>
              <w:sz w:val="18"/>
              <w:szCs w:val="18"/>
            </w:rPr>
            <w:t xml:space="preserve"> </w:t>
          </w:r>
          <w:r>
            <w:rPr>
              <w:sz w:val="18"/>
              <w:szCs w:val="18"/>
            </w:rPr>
            <w:tab/>
          </w:r>
          <w:r>
            <w:rPr>
              <w:rFonts w:ascii="Times New Roman" w:hAnsi="Times New Roman" w:eastAsia="Times New Roman" w:cs="Times New Roman"/>
              <w:sz w:val="18"/>
              <w:szCs w:val="18"/>
            </w:rPr>
            <w:t>528</w:t>
          </w:r>
          <w:r>
            <w:rPr>
              <w:rFonts w:ascii="Times New Roman" w:hAnsi="Times New Roman" w:eastAsia="Times New Roman" w:cs="Times New Roman"/>
              <w:sz w:val="18"/>
              <w:szCs w:val="18"/>
            </w:rPr>
            <w:fldChar w:fldCharType="end"/>
          </w:r>
        </w:p>
        <w:p w14:paraId="2C42700D">
          <w:pPr>
            <w:pStyle w:val="2"/>
            <w:tabs>
              <w:tab w:val="right" w:leader="dot" w:pos="3961"/>
            </w:tabs>
            <w:spacing w:before="99" w:line="222" w:lineRule="auto"/>
            <w:ind w:left="409"/>
            <w:rPr>
              <w:rFonts w:ascii="Times New Roman" w:hAnsi="Times New Roman" w:eastAsia="Times New Roman" w:cs="Times New Roman"/>
              <w:sz w:val="18"/>
              <w:szCs w:val="18"/>
            </w:rPr>
          </w:pPr>
          <w:bookmarkStart w:id="396" w:name="bookmark386"/>
          <w:bookmarkEnd w:id="396"/>
          <w:r>
            <w:fldChar w:fldCharType="begin"/>
          </w:r>
          <w:r>
            <w:instrText xml:space="preserve"> HYPERLINK \l "bookmark386" </w:instrText>
          </w:r>
          <w:r>
            <w:fldChar w:fldCharType="separate"/>
          </w:r>
          <w:r>
            <w:rPr>
              <w:rFonts w:ascii="Times New Roman" w:hAnsi="Times New Roman" w:eastAsia="Times New Roman" w:cs="Times New Roman"/>
              <w:spacing w:val="-2"/>
              <w:sz w:val="18"/>
              <w:szCs w:val="18"/>
            </w:rPr>
            <w:t>23.3.3</w:t>
          </w:r>
          <w:r>
            <w:rPr>
              <w:rFonts w:ascii="Times New Roman" w:hAnsi="Times New Roman" w:eastAsia="Times New Roman" w:cs="Times New Roman"/>
              <w:spacing w:val="5"/>
              <w:sz w:val="18"/>
              <w:szCs w:val="18"/>
            </w:rPr>
            <w:t xml:space="preserve">    </w:t>
          </w:r>
          <w:r>
            <w:rPr>
              <w:spacing w:val="-2"/>
              <w:sz w:val="18"/>
              <w:szCs w:val="18"/>
            </w:rPr>
            <w:t>监理要点</w:t>
          </w:r>
          <w:r>
            <w:rPr>
              <w:spacing w:val="-62"/>
              <w:sz w:val="18"/>
              <w:szCs w:val="18"/>
            </w:rPr>
            <w:t xml:space="preserve"> </w:t>
          </w:r>
          <w:r>
            <w:rPr>
              <w:sz w:val="18"/>
              <w:szCs w:val="18"/>
            </w:rPr>
            <w:tab/>
          </w:r>
          <w:r>
            <w:rPr>
              <w:rFonts w:ascii="Times New Roman" w:hAnsi="Times New Roman" w:eastAsia="Times New Roman" w:cs="Times New Roman"/>
              <w:sz w:val="18"/>
              <w:szCs w:val="18"/>
            </w:rPr>
            <w:t>529</w:t>
          </w:r>
          <w:r>
            <w:rPr>
              <w:rFonts w:ascii="Times New Roman" w:hAnsi="Times New Roman" w:eastAsia="Times New Roman" w:cs="Times New Roman"/>
              <w:sz w:val="18"/>
              <w:szCs w:val="18"/>
            </w:rPr>
            <w:fldChar w:fldCharType="end"/>
          </w:r>
        </w:p>
        <w:p w14:paraId="54FB2BEF">
          <w:pPr>
            <w:pStyle w:val="2"/>
            <w:tabs>
              <w:tab w:val="right" w:leader="dot" w:pos="3961"/>
            </w:tabs>
            <w:spacing w:before="82" w:line="220" w:lineRule="auto"/>
            <w:ind w:left="409"/>
            <w:rPr>
              <w:rFonts w:ascii="Times New Roman" w:hAnsi="Times New Roman" w:eastAsia="Times New Roman" w:cs="Times New Roman"/>
              <w:sz w:val="18"/>
              <w:szCs w:val="18"/>
            </w:rPr>
          </w:pPr>
          <w:bookmarkStart w:id="397" w:name="bookmark387"/>
          <w:bookmarkEnd w:id="397"/>
          <w:r>
            <w:fldChar w:fldCharType="begin"/>
          </w:r>
          <w:r>
            <w:instrText xml:space="preserve"> HYPERLINK \l "bookmark387" </w:instrText>
          </w:r>
          <w:r>
            <w:fldChar w:fldCharType="separate"/>
          </w:r>
          <w:r>
            <w:rPr>
              <w:rFonts w:ascii="Times New Roman" w:hAnsi="Times New Roman" w:eastAsia="Times New Roman" w:cs="Times New Roman"/>
              <w:spacing w:val="-2"/>
              <w:sz w:val="18"/>
              <w:szCs w:val="18"/>
            </w:rPr>
            <w:t>23.3.4</w:t>
          </w:r>
          <w:r>
            <w:rPr>
              <w:rFonts w:ascii="Times New Roman" w:hAnsi="Times New Roman" w:eastAsia="Times New Roman" w:cs="Times New Roman"/>
              <w:spacing w:val="5"/>
              <w:sz w:val="18"/>
              <w:szCs w:val="18"/>
            </w:rPr>
            <w:t xml:space="preserve">    </w:t>
          </w:r>
          <w:r>
            <w:rPr>
              <w:spacing w:val="-2"/>
              <w:sz w:val="18"/>
              <w:szCs w:val="18"/>
            </w:rPr>
            <w:t>监理流程</w:t>
          </w:r>
          <w:r>
            <w:rPr>
              <w:spacing w:val="-51"/>
              <w:sz w:val="18"/>
              <w:szCs w:val="18"/>
            </w:rPr>
            <w:t xml:space="preserve"> </w:t>
          </w:r>
          <w:r>
            <w:rPr>
              <w:sz w:val="18"/>
              <w:szCs w:val="18"/>
            </w:rPr>
            <w:tab/>
          </w:r>
          <w:r>
            <w:rPr>
              <w:rFonts w:ascii="Times New Roman" w:hAnsi="Times New Roman" w:eastAsia="Times New Roman" w:cs="Times New Roman"/>
              <w:sz w:val="18"/>
              <w:szCs w:val="18"/>
            </w:rPr>
            <w:t>530</w:t>
          </w:r>
          <w:r>
            <w:rPr>
              <w:rFonts w:ascii="Times New Roman" w:hAnsi="Times New Roman" w:eastAsia="Times New Roman" w:cs="Times New Roman"/>
              <w:sz w:val="18"/>
              <w:szCs w:val="18"/>
            </w:rPr>
            <w:fldChar w:fldCharType="end"/>
          </w:r>
        </w:p>
        <w:p w14:paraId="23E92B35">
          <w:pPr>
            <w:pStyle w:val="2"/>
            <w:tabs>
              <w:tab w:val="right" w:leader="dot" w:pos="3971"/>
            </w:tabs>
            <w:spacing w:before="95" w:line="220" w:lineRule="auto"/>
            <w:rPr>
              <w:rFonts w:ascii="Times New Roman" w:hAnsi="Times New Roman" w:eastAsia="Times New Roman" w:cs="Times New Roman"/>
              <w:sz w:val="18"/>
              <w:szCs w:val="18"/>
            </w:rPr>
          </w:pPr>
          <w:bookmarkStart w:id="398" w:name="bookmark388"/>
          <w:bookmarkEnd w:id="398"/>
          <w:r>
            <w:fldChar w:fldCharType="begin"/>
          </w:r>
          <w:r>
            <w:instrText xml:space="preserve"> HYPERLINK \l "bookmark388" </w:instrText>
          </w:r>
          <w:r>
            <w:fldChar w:fldCharType="separate"/>
          </w:r>
          <w:r>
            <w:rPr>
              <w:rFonts w:ascii="Times New Roman" w:hAnsi="Times New Roman" w:eastAsia="Times New Roman" w:cs="Times New Roman"/>
              <w:sz w:val="18"/>
              <w:szCs w:val="18"/>
            </w:rPr>
            <w:t>23.4</w:t>
          </w:r>
          <w:r>
            <w:rPr>
              <w:rFonts w:ascii="Times New Roman" w:hAnsi="Times New Roman" w:eastAsia="Times New Roman" w:cs="Times New Roman"/>
              <w:spacing w:val="6"/>
              <w:sz w:val="18"/>
              <w:szCs w:val="18"/>
            </w:rPr>
            <w:t xml:space="preserve">    </w:t>
          </w:r>
          <w:r>
            <w:rPr>
              <w:sz w:val="18"/>
              <w:szCs w:val="18"/>
            </w:rPr>
            <w:t>实施阶段监理工作</w:t>
          </w:r>
          <w:r>
            <w:rPr>
              <w:spacing w:val="-81"/>
              <w:sz w:val="18"/>
              <w:szCs w:val="18"/>
            </w:rPr>
            <w:t xml:space="preserve"> </w:t>
          </w:r>
          <w:r>
            <w:rPr>
              <w:sz w:val="18"/>
              <w:szCs w:val="18"/>
            </w:rPr>
            <w:tab/>
          </w:r>
          <w:r>
            <w:rPr>
              <w:rFonts w:ascii="Times New Roman" w:hAnsi="Times New Roman" w:eastAsia="Times New Roman" w:cs="Times New Roman"/>
              <w:sz w:val="18"/>
              <w:szCs w:val="18"/>
            </w:rPr>
            <w:t>531</w:t>
          </w:r>
          <w:r>
            <w:rPr>
              <w:rFonts w:ascii="Times New Roman" w:hAnsi="Times New Roman" w:eastAsia="Times New Roman" w:cs="Times New Roman"/>
              <w:sz w:val="18"/>
              <w:szCs w:val="18"/>
            </w:rPr>
            <w:fldChar w:fldCharType="end"/>
          </w:r>
        </w:p>
        <w:p w14:paraId="0C92E235">
          <w:pPr>
            <w:pStyle w:val="2"/>
            <w:tabs>
              <w:tab w:val="right" w:leader="dot" w:pos="3981"/>
            </w:tabs>
            <w:spacing w:before="85" w:line="220" w:lineRule="auto"/>
            <w:ind w:left="409"/>
            <w:rPr>
              <w:rFonts w:ascii="Times New Roman" w:hAnsi="Times New Roman" w:eastAsia="Times New Roman" w:cs="Times New Roman"/>
              <w:sz w:val="18"/>
              <w:szCs w:val="18"/>
            </w:rPr>
          </w:pPr>
          <w:bookmarkStart w:id="399" w:name="bookmark389"/>
          <w:bookmarkEnd w:id="399"/>
          <w:r>
            <w:fldChar w:fldCharType="begin"/>
          </w:r>
          <w:r>
            <w:instrText xml:space="preserve"> HYPERLINK \l "bookmark389" </w:instrText>
          </w:r>
          <w:r>
            <w:fldChar w:fldCharType="separate"/>
          </w:r>
          <w:r>
            <w:rPr>
              <w:rFonts w:ascii="Times New Roman" w:hAnsi="Times New Roman" w:eastAsia="Times New Roman" w:cs="Times New Roman"/>
              <w:sz w:val="18"/>
              <w:szCs w:val="18"/>
            </w:rPr>
            <w:t>23.4.1</w:t>
          </w:r>
          <w:r>
            <w:rPr>
              <w:rFonts w:ascii="Times New Roman" w:hAnsi="Times New Roman" w:eastAsia="Times New Roman" w:cs="Times New Roman"/>
              <w:spacing w:val="5"/>
              <w:sz w:val="18"/>
              <w:szCs w:val="18"/>
            </w:rPr>
            <w:t xml:space="preserve">    </w:t>
          </w:r>
          <w:r>
            <w:rPr>
              <w:sz w:val="18"/>
              <w:szCs w:val="18"/>
            </w:rPr>
            <w:t>监理活动</w:t>
          </w:r>
          <w:r>
            <w:rPr>
              <w:spacing w:val="-71"/>
              <w:sz w:val="18"/>
              <w:szCs w:val="18"/>
            </w:rPr>
            <w:t xml:space="preserve"> </w:t>
          </w:r>
          <w:r>
            <w:rPr>
              <w:sz w:val="18"/>
              <w:szCs w:val="18"/>
            </w:rPr>
            <w:tab/>
          </w:r>
          <w:r>
            <w:rPr>
              <w:rFonts w:ascii="Times New Roman" w:hAnsi="Times New Roman" w:eastAsia="Times New Roman" w:cs="Times New Roman"/>
              <w:sz w:val="18"/>
              <w:szCs w:val="18"/>
            </w:rPr>
            <w:t>531</w:t>
          </w:r>
          <w:r>
            <w:rPr>
              <w:rFonts w:ascii="Times New Roman" w:hAnsi="Times New Roman" w:eastAsia="Times New Roman" w:cs="Times New Roman"/>
              <w:sz w:val="18"/>
              <w:szCs w:val="18"/>
            </w:rPr>
            <w:fldChar w:fldCharType="end"/>
          </w:r>
        </w:p>
        <w:p w14:paraId="42190F90">
          <w:pPr>
            <w:pStyle w:val="2"/>
            <w:tabs>
              <w:tab w:val="right" w:leader="dot" w:pos="3971"/>
            </w:tabs>
            <w:spacing w:before="96" w:line="219" w:lineRule="auto"/>
            <w:ind w:left="409"/>
            <w:rPr>
              <w:rFonts w:ascii="Times New Roman" w:hAnsi="Times New Roman" w:eastAsia="Times New Roman" w:cs="Times New Roman"/>
              <w:sz w:val="18"/>
              <w:szCs w:val="18"/>
            </w:rPr>
          </w:pPr>
          <w:bookmarkStart w:id="400" w:name="bookmark390"/>
          <w:bookmarkEnd w:id="400"/>
          <w:r>
            <w:fldChar w:fldCharType="begin"/>
          </w:r>
          <w:r>
            <w:instrText xml:space="preserve"> HYPERLINK \l "bookmark390" </w:instrText>
          </w:r>
          <w:r>
            <w:fldChar w:fldCharType="separate"/>
          </w:r>
          <w:r>
            <w:rPr>
              <w:rFonts w:ascii="Times New Roman" w:hAnsi="Times New Roman" w:eastAsia="Times New Roman" w:cs="Times New Roman"/>
              <w:spacing w:val="-1"/>
              <w:sz w:val="18"/>
              <w:szCs w:val="18"/>
            </w:rPr>
            <w:t xml:space="preserve">23.4.2    </w:t>
          </w:r>
          <w:r>
            <w:rPr>
              <w:spacing w:val="-1"/>
              <w:sz w:val="18"/>
              <w:szCs w:val="18"/>
            </w:rPr>
            <w:t>监理内容</w:t>
          </w:r>
          <w:r>
            <w:rPr>
              <w:spacing w:val="-48"/>
              <w:sz w:val="18"/>
              <w:szCs w:val="18"/>
            </w:rPr>
            <w:t xml:space="preserve"> </w:t>
          </w:r>
          <w:r>
            <w:rPr>
              <w:sz w:val="18"/>
              <w:szCs w:val="18"/>
            </w:rPr>
            <w:tab/>
          </w:r>
          <w:r>
            <w:rPr>
              <w:rFonts w:ascii="Times New Roman" w:hAnsi="Times New Roman" w:eastAsia="Times New Roman" w:cs="Times New Roman"/>
              <w:sz w:val="18"/>
              <w:szCs w:val="18"/>
            </w:rPr>
            <w:t>531</w:t>
          </w:r>
          <w:r>
            <w:rPr>
              <w:rFonts w:ascii="Times New Roman" w:hAnsi="Times New Roman" w:eastAsia="Times New Roman" w:cs="Times New Roman"/>
              <w:sz w:val="18"/>
              <w:szCs w:val="18"/>
            </w:rPr>
            <w:fldChar w:fldCharType="end"/>
          </w:r>
        </w:p>
        <w:p w14:paraId="55E7B148">
          <w:pPr>
            <w:pStyle w:val="2"/>
            <w:tabs>
              <w:tab w:val="right" w:leader="dot" w:pos="3971"/>
            </w:tabs>
            <w:spacing w:before="97" w:line="221" w:lineRule="auto"/>
            <w:ind w:left="409"/>
            <w:rPr>
              <w:rFonts w:ascii="Times New Roman" w:hAnsi="Times New Roman" w:eastAsia="Times New Roman" w:cs="Times New Roman"/>
              <w:sz w:val="18"/>
              <w:szCs w:val="18"/>
            </w:rPr>
          </w:pPr>
          <w:bookmarkStart w:id="401" w:name="bookmark391"/>
          <w:bookmarkEnd w:id="401"/>
          <w:r>
            <w:fldChar w:fldCharType="begin"/>
          </w:r>
          <w:r>
            <w:instrText xml:space="preserve"> HYPERLINK \l "bookmark391" </w:instrText>
          </w:r>
          <w:r>
            <w:fldChar w:fldCharType="separate"/>
          </w:r>
          <w:r>
            <w:rPr>
              <w:rFonts w:ascii="Times New Roman" w:hAnsi="Times New Roman" w:eastAsia="Times New Roman" w:cs="Times New Roman"/>
              <w:spacing w:val="1"/>
              <w:sz w:val="18"/>
              <w:szCs w:val="18"/>
            </w:rPr>
            <w:t xml:space="preserve">23.4.3    </w:t>
          </w:r>
          <w:r>
            <w:rPr>
              <w:spacing w:val="1"/>
              <w:sz w:val="18"/>
              <w:szCs w:val="18"/>
            </w:rPr>
            <w:t>监理记录要求</w:t>
          </w:r>
          <w:r>
            <w:rPr>
              <w:spacing w:val="-67"/>
              <w:sz w:val="18"/>
              <w:szCs w:val="18"/>
            </w:rPr>
            <w:t xml:space="preserve"> </w:t>
          </w:r>
          <w:r>
            <w:rPr>
              <w:sz w:val="18"/>
              <w:szCs w:val="18"/>
            </w:rPr>
            <w:tab/>
          </w:r>
          <w:r>
            <w:rPr>
              <w:rFonts w:ascii="Times New Roman" w:hAnsi="Times New Roman" w:eastAsia="Times New Roman" w:cs="Times New Roman"/>
              <w:sz w:val="18"/>
              <w:szCs w:val="18"/>
            </w:rPr>
            <w:t>535</w:t>
          </w:r>
          <w:r>
            <w:rPr>
              <w:rFonts w:ascii="Times New Roman" w:hAnsi="Times New Roman" w:eastAsia="Times New Roman" w:cs="Times New Roman"/>
              <w:sz w:val="18"/>
              <w:szCs w:val="18"/>
            </w:rPr>
            <w:fldChar w:fldCharType="end"/>
          </w:r>
        </w:p>
        <w:p w14:paraId="06B4F4CA">
          <w:pPr>
            <w:pStyle w:val="2"/>
            <w:tabs>
              <w:tab w:val="right" w:leader="dot" w:pos="3961"/>
            </w:tabs>
            <w:spacing w:before="84" w:line="220" w:lineRule="auto"/>
            <w:ind w:left="409"/>
            <w:rPr>
              <w:rFonts w:ascii="Times New Roman" w:hAnsi="Times New Roman" w:eastAsia="Times New Roman" w:cs="Times New Roman"/>
              <w:sz w:val="18"/>
              <w:szCs w:val="18"/>
            </w:rPr>
          </w:pPr>
          <w:bookmarkStart w:id="402" w:name="bookmark392"/>
          <w:bookmarkEnd w:id="402"/>
          <w:r>
            <w:fldChar w:fldCharType="begin"/>
          </w:r>
          <w:r>
            <w:instrText xml:space="preserve"> HYPERLINK \l "bookmark392" </w:instrText>
          </w:r>
          <w:r>
            <w:fldChar w:fldCharType="separate"/>
          </w:r>
          <w:r>
            <w:rPr>
              <w:rFonts w:ascii="Times New Roman" w:hAnsi="Times New Roman" w:eastAsia="Times New Roman" w:cs="Times New Roman"/>
              <w:spacing w:val="-2"/>
              <w:sz w:val="18"/>
              <w:szCs w:val="18"/>
            </w:rPr>
            <w:t>23.4.4</w:t>
          </w:r>
          <w:r>
            <w:rPr>
              <w:rFonts w:ascii="Times New Roman" w:hAnsi="Times New Roman" w:eastAsia="Times New Roman" w:cs="Times New Roman"/>
              <w:spacing w:val="5"/>
              <w:sz w:val="18"/>
              <w:szCs w:val="18"/>
            </w:rPr>
            <w:t xml:space="preserve">    </w:t>
          </w:r>
          <w:r>
            <w:rPr>
              <w:spacing w:val="-2"/>
              <w:sz w:val="18"/>
              <w:szCs w:val="18"/>
            </w:rPr>
            <w:t>监理流程</w:t>
          </w:r>
          <w:r>
            <w:rPr>
              <w:spacing w:val="-62"/>
              <w:sz w:val="18"/>
              <w:szCs w:val="18"/>
            </w:rPr>
            <w:t xml:space="preserve"> </w:t>
          </w:r>
          <w:r>
            <w:rPr>
              <w:sz w:val="18"/>
              <w:szCs w:val="18"/>
            </w:rPr>
            <w:tab/>
          </w:r>
          <w:r>
            <w:rPr>
              <w:rFonts w:ascii="Times New Roman" w:hAnsi="Times New Roman" w:eastAsia="Times New Roman" w:cs="Times New Roman"/>
              <w:sz w:val="18"/>
              <w:szCs w:val="18"/>
            </w:rPr>
            <w:t>535</w:t>
          </w:r>
          <w:r>
            <w:rPr>
              <w:rFonts w:ascii="Times New Roman" w:hAnsi="Times New Roman" w:eastAsia="Times New Roman" w:cs="Times New Roman"/>
              <w:sz w:val="18"/>
              <w:szCs w:val="18"/>
            </w:rPr>
            <w:fldChar w:fldCharType="end"/>
          </w:r>
        </w:p>
        <w:p w14:paraId="6EC8193B">
          <w:pPr>
            <w:pStyle w:val="2"/>
            <w:tabs>
              <w:tab w:val="right" w:leader="dot" w:pos="3811"/>
            </w:tabs>
            <w:spacing w:before="105" w:line="219" w:lineRule="auto"/>
            <w:rPr>
              <w:rFonts w:ascii="Times New Roman" w:hAnsi="Times New Roman" w:eastAsia="Times New Roman" w:cs="Times New Roman"/>
              <w:sz w:val="18"/>
              <w:szCs w:val="18"/>
            </w:rPr>
          </w:pPr>
          <w:bookmarkStart w:id="403" w:name="bookmark393"/>
          <w:bookmarkEnd w:id="403"/>
          <w:r>
            <w:fldChar w:fldCharType="begin"/>
          </w:r>
          <w:r>
            <w:instrText xml:space="preserve"> HYPERLINK \l "bookmark393" </w:instrText>
          </w:r>
          <w:r>
            <w:fldChar w:fldCharType="separate"/>
          </w:r>
          <w:r>
            <w:rPr>
              <w:rFonts w:ascii="Times New Roman" w:hAnsi="Times New Roman" w:eastAsia="Times New Roman" w:cs="Times New Roman"/>
              <w:spacing w:val="1"/>
              <w:sz w:val="18"/>
              <w:szCs w:val="18"/>
            </w:rPr>
            <w:t>23.5</w:t>
          </w:r>
          <w:r>
            <w:rPr>
              <w:rFonts w:ascii="Times New Roman" w:hAnsi="Times New Roman" w:eastAsia="Times New Roman" w:cs="Times New Roman"/>
              <w:spacing w:val="12"/>
              <w:w w:val="102"/>
              <w:sz w:val="18"/>
              <w:szCs w:val="18"/>
            </w:rPr>
            <w:t xml:space="preserve">   </w:t>
          </w:r>
          <w:r>
            <w:rPr>
              <w:spacing w:val="1"/>
              <w:sz w:val="18"/>
              <w:szCs w:val="18"/>
            </w:rPr>
            <w:t>验收阶段监理工作</w:t>
          </w:r>
          <w:r>
            <w:rPr>
              <w:spacing w:val="-72"/>
              <w:sz w:val="18"/>
              <w:szCs w:val="18"/>
            </w:rPr>
            <w:t xml:space="preserve"> </w:t>
          </w:r>
          <w:r>
            <w:rPr>
              <w:sz w:val="18"/>
              <w:szCs w:val="18"/>
            </w:rPr>
            <w:tab/>
          </w:r>
          <w:r>
            <w:rPr>
              <w:rFonts w:ascii="Times New Roman" w:hAnsi="Times New Roman" w:eastAsia="Times New Roman" w:cs="Times New Roman"/>
              <w:spacing w:val="-4"/>
              <w:sz w:val="18"/>
              <w:szCs w:val="18"/>
            </w:rPr>
            <w:t>536</w:t>
          </w:r>
          <w:r>
            <w:rPr>
              <w:rFonts w:ascii="Times New Roman" w:hAnsi="Times New Roman" w:eastAsia="Times New Roman" w:cs="Times New Roman"/>
              <w:spacing w:val="-4"/>
              <w:sz w:val="18"/>
              <w:szCs w:val="18"/>
            </w:rPr>
            <w:fldChar w:fldCharType="end"/>
          </w:r>
        </w:p>
        <w:p w14:paraId="7461ABF5">
          <w:pPr>
            <w:pStyle w:val="2"/>
            <w:tabs>
              <w:tab w:val="right" w:leader="dot" w:pos="3951"/>
            </w:tabs>
            <w:spacing w:before="97" w:line="184" w:lineRule="auto"/>
            <w:ind w:left="409"/>
            <w:rPr>
              <w:rFonts w:ascii="Times New Roman" w:hAnsi="Times New Roman" w:eastAsia="Times New Roman" w:cs="Times New Roman"/>
              <w:sz w:val="18"/>
              <w:szCs w:val="18"/>
            </w:rPr>
          </w:pPr>
          <w:bookmarkStart w:id="404" w:name="bookmark394"/>
          <w:bookmarkEnd w:id="404"/>
          <w:r>
            <w:fldChar w:fldCharType="begin"/>
          </w:r>
          <w:r>
            <w:instrText xml:space="preserve"> HYPERLINK \l "bookmark394" </w:instrText>
          </w:r>
          <w:r>
            <w:fldChar w:fldCharType="separate"/>
          </w:r>
          <w:r>
            <w:rPr>
              <w:rFonts w:ascii="Times New Roman" w:hAnsi="Times New Roman" w:eastAsia="Times New Roman" w:cs="Times New Roman"/>
              <w:spacing w:val="-2"/>
              <w:sz w:val="18"/>
              <w:szCs w:val="18"/>
            </w:rPr>
            <w:t>23.5.1</w:t>
          </w:r>
          <w:r>
            <w:rPr>
              <w:rFonts w:ascii="Times New Roman" w:hAnsi="Times New Roman" w:eastAsia="Times New Roman" w:cs="Times New Roman"/>
              <w:spacing w:val="5"/>
              <w:sz w:val="18"/>
              <w:szCs w:val="18"/>
            </w:rPr>
            <w:t xml:space="preserve">    </w:t>
          </w:r>
          <w:r>
            <w:rPr>
              <w:spacing w:val="-2"/>
              <w:sz w:val="18"/>
              <w:szCs w:val="18"/>
            </w:rPr>
            <w:t>监理活动</w:t>
          </w:r>
          <w:r>
            <w:rPr>
              <w:spacing w:val="-62"/>
              <w:sz w:val="18"/>
              <w:szCs w:val="18"/>
            </w:rPr>
            <w:t xml:space="preserve"> </w:t>
          </w:r>
          <w:r>
            <w:rPr>
              <w:sz w:val="18"/>
              <w:szCs w:val="18"/>
            </w:rPr>
            <w:tab/>
          </w:r>
          <w:r>
            <w:rPr>
              <w:rFonts w:ascii="Times New Roman" w:hAnsi="Times New Roman" w:eastAsia="Times New Roman" w:cs="Times New Roman"/>
              <w:sz w:val="18"/>
              <w:szCs w:val="18"/>
            </w:rPr>
            <w:t>536</w:t>
          </w:r>
          <w:r>
            <w:rPr>
              <w:rFonts w:ascii="Times New Roman" w:hAnsi="Times New Roman" w:eastAsia="Times New Roman" w:cs="Times New Roman"/>
              <w:sz w:val="18"/>
              <w:szCs w:val="18"/>
            </w:rPr>
            <w:fldChar w:fldCharType="end"/>
          </w:r>
        </w:p>
      </w:sdtContent>
    </w:sdt>
    <w:p w14:paraId="4DDF7FE0">
      <w:pPr>
        <w:spacing w:line="14" w:lineRule="auto"/>
        <w:rPr>
          <w:rFonts w:ascii="Arial"/>
          <w:sz w:val="2"/>
        </w:rPr>
      </w:pPr>
      <w:r>
        <w:rPr>
          <w:rFonts w:ascii="Arial" w:hAnsi="Arial" w:eastAsia="Arial" w:cs="Arial"/>
          <w:sz w:val="2"/>
          <w:szCs w:val="2"/>
        </w:rPr>
        <w:br w:type="column"/>
      </w:r>
      <w:r>
        <w:drawing>
          <wp:anchor distT="0" distB="0" distL="0" distR="0" simplePos="0" relativeHeight="251675648" behindDoc="0" locked="0" layoutInCell="1" allowOverlap="1">
            <wp:simplePos x="0" y="0"/>
            <wp:positionH relativeFrom="column">
              <wp:posOffset>2781300</wp:posOffset>
            </wp:positionH>
            <wp:positionV relativeFrom="paragraph">
              <wp:posOffset>0</wp:posOffset>
            </wp:positionV>
            <wp:extent cx="254000" cy="1968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4"/>
                    <a:stretch>
                      <a:fillRect/>
                    </a:stretch>
                  </pic:blipFill>
                  <pic:spPr>
                    <a:xfrm>
                      <a:off x="0" y="0"/>
                      <a:ext cx="253969" cy="196822"/>
                    </a:xfrm>
                    <a:prstGeom prst="rect">
                      <a:avLst/>
                    </a:prstGeom>
                  </pic:spPr>
                </pic:pic>
              </a:graphicData>
            </a:graphic>
          </wp:anchor>
        </w:drawing>
      </w:r>
    </w:p>
    <w:sdt>
      <w:sdtPr>
        <w:rPr>
          <w:rFonts w:ascii="宋体" w:hAnsi="宋体" w:eastAsia="宋体" w:cs="宋体"/>
          <w:sz w:val="18"/>
          <w:szCs w:val="18"/>
        </w:rPr>
        <w:id w:val="147452561"/>
        <w:docPartObj>
          <w:docPartGallery w:val="Table of Contents"/>
          <w:docPartUnique/>
        </w:docPartObj>
      </w:sdtPr>
      <w:sdtEndPr>
        <w:rPr>
          <w:rFonts w:ascii="Times New Roman" w:hAnsi="Times New Roman" w:eastAsia="Times New Roman" w:cs="Times New Roman"/>
          <w:sz w:val="18"/>
          <w:szCs w:val="18"/>
        </w:rPr>
      </w:sdtEndPr>
      <w:sdtContent>
        <w:p w14:paraId="11C3C5A9">
          <w:pPr>
            <w:pStyle w:val="2"/>
            <w:spacing w:before="1" w:line="235" w:lineRule="auto"/>
            <w:ind w:left="2852"/>
            <w:rPr>
              <w:rFonts w:ascii="Times New Roman" w:hAnsi="Times New Roman" w:eastAsia="Times New Roman" w:cs="Times New Roman"/>
              <w:sz w:val="25"/>
              <w:szCs w:val="25"/>
            </w:rPr>
          </w:pPr>
          <w:r>
            <w:rPr>
              <w:b/>
              <w:bCs/>
              <w:spacing w:val="-14"/>
              <w:sz w:val="18"/>
              <w:szCs w:val="18"/>
            </w:rPr>
            <w:t>目</w:t>
          </w:r>
          <w:r>
            <w:rPr>
              <w:spacing w:val="10"/>
              <w:sz w:val="18"/>
              <w:szCs w:val="18"/>
            </w:rPr>
            <w:t xml:space="preserve">  </w:t>
          </w:r>
          <w:r>
            <w:rPr>
              <w:b/>
              <w:bCs/>
              <w:spacing w:val="-14"/>
              <w:sz w:val="18"/>
              <w:szCs w:val="18"/>
            </w:rPr>
            <w:t>录</w:t>
          </w:r>
          <w:r>
            <w:rPr>
              <w:spacing w:val="66"/>
              <w:sz w:val="18"/>
              <w:szCs w:val="18"/>
            </w:rPr>
            <w:t xml:space="preserve"> </w:t>
          </w:r>
          <w:r>
            <w:rPr>
              <w:position w:val="-8"/>
              <w:sz w:val="18"/>
              <w:szCs w:val="18"/>
            </w:rPr>
            <w:drawing>
              <wp:inline distT="0" distB="0" distL="0" distR="0">
                <wp:extent cx="266065" cy="19558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5"/>
                        <a:stretch>
                          <a:fillRect/>
                        </a:stretch>
                      </pic:blipFill>
                      <pic:spPr>
                        <a:xfrm>
                          <a:off x="0" y="0"/>
                          <a:ext cx="266641" cy="195946"/>
                        </a:xfrm>
                        <a:prstGeom prst="rect">
                          <a:avLst/>
                        </a:prstGeom>
                      </pic:spPr>
                    </pic:pic>
                  </a:graphicData>
                </a:graphic>
              </wp:inline>
            </w:drawing>
          </w:r>
          <w:r>
            <w:rPr>
              <w:spacing w:val="20"/>
              <w:sz w:val="18"/>
              <w:szCs w:val="18"/>
            </w:rPr>
            <w:t xml:space="preserve"> </w:t>
          </w:r>
          <w:r>
            <w:rPr>
              <w:rFonts w:ascii="Times New Roman" w:hAnsi="Times New Roman" w:eastAsia="Times New Roman" w:cs="Times New Roman"/>
              <w:spacing w:val="-14"/>
              <w:sz w:val="25"/>
              <w:szCs w:val="25"/>
            </w:rPr>
            <w:t>IX</w:t>
          </w:r>
        </w:p>
        <w:p w14:paraId="5ABE586D">
          <w:pPr>
            <w:spacing w:line="287" w:lineRule="auto"/>
            <w:rPr>
              <w:rFonts w:ascii="Arial"/>
              <w:sz w:val="21"/>
            </w:rPr>
          </w:pPr>
        </w:p>
        <w:p w14:paraId="3351F876">
          <w:pPr>
            <w:pStyle w:val="2"/>
            <w:tabs>
              <w:tab w:val="right" w:leader="dot" w:pos="3941"/>
            </w:tabs>
            <w:spacing w:before="58" w:line="219" w:lineRule="auto"/>
            <w:ind w:left="390"/>
            <w:rPr>
              <w:rFonts w:ascii="Times New Roman" w:hAnsi="Times New Roman" w:eastAsia="Times New Roman" w:cs="Times New Roman"/>
              <w:sz w:val="18"/>
              <w:szCs w:val="18"/>
            </w:rPr>
          </w:pPr>
          <w:bookmarkStart w:id="405" w:name="bookmark395"/>
          <w:bookmarkEnd w:id="405"/>
          <w:r>
            <w:fldChar w:fldCharType="begin"/>
          </w:r>
          <w:r>
            <w:instrText xml:space="preserve"> HYPERLINK \l "bookmark395" </w:instrText>
          </w:r>
          <w:r>
            <w:fldChar w:fldCharType="separate"/>
          </w:r>
          <w:r>
            <w:rPr>
              <w:rFonts w:ascii="Times New Roman" w:hAnsi="Times New Roman" w:eastAsia="Times New Roman" w:cs="Times New Roman"/>
              <w:spacing w:val="-1"/>
              <w:sz w:val="18"/>
              <w:szCs w:val="18"/>
            </w:rPr>
            <w:t xml:space="preserve">23.5.2    </w:t>
          </w:r>
          <w:r>
            <w:rPr>
              <w:spacing w:val="-1"/>
              <w:sz w:val="18"/>
              <w:szCs w:val="18"/>
            </w:rPr>
            <w:t>监理内容</w:t>
          </w:r>
          <w:r>
            <w:rPr>
              <w:spacing w:val="-48"/>
              <w:sz w:val="18"/>
              <w:szCs w:val="18"/>
            </w:rPr>
            <w:t xml:space="preserve"> </w:t>
          </w:r>
          <w:r>
            <w:rPr>
              <w:sz w:val="18"/>
              <w:szCs w:val="18"/>
            </w:rPr>
            <w:tab/>
          </w:r>
          <w:r>
            <w:rPr>
              <w:rFonts w:ascii="Times New Roman" w:hAnsi="Times New Roman" w:eastAsia="Times New Roman" w:cs="Times New Roman"/>
              <w:sz w:val="18"/>
              <w:szCs w:val="18"/>
            </w:rPr>
            <w:t>537</w:t>
          </w:r>
          <w:r>
            <w:rPr>
              <w:rFonts w:ascii="Times New Roman" w:hAnsi="Times New Roman" w:eastAsia="Times New Roman" w:cs="Times New Roman"/>
              <w:sz w:val="18"/>
              <w:szCs w:val="18"/>
            </w:rPr>
            <w:fldChar w:fldCharType="end"/>
          </w:r>
        </w:p>
        <w:p w14:paraId="44FF166E">
          <w:pPr>
            <w:pStyle w:val="2"/>
            <w:tabs>
              <w:tab w:val="right" w:leader="dot" w:pos="3941"/>
            </w:tabs>
            <w:spacing w:before="107" w:line="220" w:lineRule="auto"/>
            <w:ind w:left="390"/>
            <w:rPr>
              <w:rFonts w:ascii="Times New Roman" w:hAnsi="Times New Roman" w:eastAsia="Times New Roman" w:cs="Times New Roman"/>
              <w:sz w:val="18"/>
              <w:szCs w:val="18"/>
            </w:rPr>
          </w:pPr>
          <w:bookmarkStart w:id="406" w:name="bookmark396"/>
          <w:bookmarkEnd w:id="406"/>
          <w:r>
            <w:fldChar w:fldCharType="begin"/>
          </w:r>
          <w:r>
            <w:instrText xml:space="preserve"> HYPERLINK \l "bookmark396" </w:instrText>
          </w:r>
          <w:r>
            <w:fldChar w:fldCharType="separate"/>
          </w:r>
          <w:r>
            <w:rPr>
              <w:rFonts w:ascii="Times New Roman" w:hAnsi="Times New Roman" w:eastAsia="Times New Roman" w:cs="Times New Roman"/>
              <w:spacing w:val="-1"/>
              <w:sz w:val="18"/>
              <w:szCs w:val="18"/>
            </w:rPr>
            <w:t xml:space="preserve">23.5.3    </w:t>
          </w:r>
          <w:r>
            <w:rPr>
              <w:spacing w:val="-1"/>
              <w:sz w:val="18"/>
              <w:szCs w:val="18"/>
            </w:rPr>
            <w:t>监理流程</w:t>
          </w:r>
          <w:r>
            <w:rPr>
              <w:spacing w:val="-48"/>
              <w:sz w:val="18"/>
              <w:szCs w:val="18"/>
            </w:rPr>
            <w:t xml:space="preserve"> </w:t>
          </w:r>
          <w:r>
            <w:rPr>
              <w:sz w:val="18"/>
              <w:szCs w:val="18"/>
            </w:rPr>
            <w:tab/>
          </w:r>
          <w:r>
            <w:rPr>
              <w:rFonts w:ascii="Times New Roman" w:hAnsi="Times New Roman" w:eastAsia="Times New Roman" w:cs="Times New Roman"/>
              <w:sz w:val="18"/>
              <w:szCs w:val="18"/>
            </w:rPr>
            <w:t>540</w:t>
          </w:r>
          <w:r>
            <w:rPr>
              <w:rFonts w:ascii="Times New Roman" w:hAnsi="Times New Roman" w:eastAsia="Times New Roman" w:cs="Times New Roman"/>
              <w:sz w:val="18"/>
              <w:szCs w:val="18"/>
            </w:rPr>
            <w:fldChar w:fldCharType="end"/>
          </w:r>
        </w:p>
        <w:p w14:paraId="083DA048">
          <w:pPr>
            <w:spacing w:line="351" w:lineRule="auto"/>
            <w:rPr>
              <w:rFonts w:ascii="Arial"/>
              <w:sz w:val="21"/>
            </w:rPr>
          </w:pPr>
        </w:p>
        <w:p w14:paraId="77661050">
          <w:pPr>
            <w:spacing w:line="351" w:lineRule="auto"/>
            <w:rPr>
              <w:rFonts w:ascii="Arial"/>
              <w:sz w:val="21"/>
            </w:rPr>
          </w:pPr>
        </w:p>
        <w:p w14:paraId="36A62395">
          <w:pPr>
            <w:pStyle w:val="2"/>
            <w:tabs>
              <w:tab w:val="right" w:leader="dot" w:pos="3951"/>
            </w:tabs>
            <w:spacing w:before="58" w:line="219" w:lineRule="auto"/>
            <w:rPr>
              <w:rFonts w:ascii="Times New Roman" w:hAnsi="Times New Roman" w:eastAsia="Times New Roman" w:cs="Times New Roman"/>
              <w:sz w:val="18"/>
              <w:szCs w:val="18"/>
            </w:rPr>
          </w:pPr>
          <w:bookmarkStart w:id="407" w:name="bookmark397"/>
          <w:bookmarkEnd w:id="407"/>
          <w:r>
            <w:fldChar w:fldCharType="begin"/>
          </w:r>
          <w:r>
            <w:instrText xml:space="preserve"> HYPERLINK \l "bookmark397" </w:instrText>
          </w:r>
          <w:r>
            <w:fldChar w:fldCharType="separate"/>
          </w:r>
          <w:r>
            <w:rPr>
              <w:rFonts w:ascii="Times New Roman" w:hAnsi="Times New Roman" w:eastAsia="Times New Roman" w:cs="Times New Roman"/>
              <w:spacing w:val="-2"/>
              <w:sz w:val="18"/>
              <w:szCs w:val="18"/>
            </w:rPr>
            <w:t>24.1</w:t>
          </w:r>
          <w:r>
            <w:rPr>
              <w:rFonts w:ascii="Times New Roman" w:hAnsi="Times New Roman" w:eastAsia="Times New Roman" w:cs="Times New Roman"/>
              <w:spacing w:val="2"/>
              <w:sz w:val="18"/>
              <w:szCs w:val="18"/>
            </w:rPr>
            <w:t xml:space="preserve">    </w:t>
          </w:r>
          <w:r>
            <w:rPr>
              <w:spacing w:val="-2"/>
              <w:sz w:val="18"/>
              <w:szCs w:val="18"/>
            </w:rPr>
            <w:t>概述</w:t>
          </w:r>
          <w:r>
            <w:rPr>
              <w:spacing w:val="-62"/>
              <w:sz w:val="18"/>
              <w:szCs w:val="18"/>
            </w:rPr>
            <w:t xml:space="preserve"> </w:t>
          </w:r>
          <w:r>
            <w:rPr>
              <w:sz w:val="18"/>
              <w:szCs w:val="18"/>
            </w:rPr>
            <w:tab/>
          </w:r>
          <w:r>
            <w:rPr>
              <w:rFonts w:ascii="Times New Roman" w:hAnsi="Times New Roman" w:eastAsia="Times New Roman" w:cs="Times New Roman"/>
              <w:sz w:val="18"/>
              <w:szCs w:val="18"/>
            </w:rPr>
            <w:t>541</w:t>
          </w:r>
          <w:r>
            <w:rPr>
              <w:rFonts w:ascii="Times New Roman" w:hAnsi="Times New Roman" w:eastAsia="Times New Roman" w:cs="Times New Roman"/>
              <w:sz w:val="18"/>
              <w:szCs w:val="18"/>
            </w:rPr>
            <w:fldChar w:fldCharType="end"/>
          </w:r>
        </w:p>
        <w:p w14:paraId="050EACFB">
          <w:pPr>
            <w:pStyle w:val="2"/>
            <w:tabs>
              <w:tab w:val="right" w:leader="dot" w:pos="3961"/>
            </w:tabs>
            <w:spacing w:before="105" w:line="219" w:lineRule="auto"/>
            <w:ind w:left="390"/>
            <w:rPr>
              <w:rFonts w:ascii="Times New Roman" w:hAnsi="Times New Roman" w:eastAsia="Times New Roman" w:cs="Times New Roman"/>
              <w:sz w:val="18"/>
              <w:szCs w:val="18"/>
            </w:rPr>
          </w:pPr>
          <w:bookmarkStart w:id="408" w:name="bookmark398"/>
          <w:bookmarkEnd w:id="408"/>
          <w:r>
            <w:fldChar w:fldCharType="begin"/>
          </w:r>
          <w:r>
            <w:instrText xml:space="preserve"> HYPERLINK \l "bookmark398" </w:instrText>
          </w:r>
          <w:r>
            <w:fldChar w:fldCharType="separate"/>
          </w:r>
          <w:r>
            <w:rPr>
              <w:rFonts w:ascii="Times New Roman" w:hAnsi="Times New Roman" w:eastAsia="Times New Roman" w:cs="Times New Roman"/>
              <w:spacing w:val="1"/>
              <w:sz w:val="18"/>
              <w:szCs w:val="18"/>
            </w:rPr>
            <w:t xml:space="preserve">24.1.1    </w:t>
          </w:r>
          <w:r>
            <w:rPr>
              <w:spacing w:val="1"/>
              <w:sz w:val="18"/>
              <w:szCs w:val="18"/>
            </w:rPr>
            <w:t>基本概念</w:t>
          </w:r>
          <w:r>
            <w:rPr>
              <w:spacing w:val="-65"/>
              <w:sz w:val="18"/>
              <w:szCs w:val="18"/>
            </w:rPr>
            <w:t xml:space="preserve"> </w:t>
          </w:r>
          <w:r>
            <w:rPr>
              <w:sz w:val="18"/>
              <w:szCs w:val="18"/>
            </w:rPr>
            <w:tab/>
          </w:r>
          <w:r>
            <w:rPr>
              <w:rFonts w:ascii="Times New Roman" w:hAnsi="Times New Roman" w:eastAsia="Times New Roman" w:cs="Times New Roman"/>
              <w:sz w:val="18"/>
              <w:szCs w:val="18"/>
            </w:rPr>
            <w:t>541</w:t>
          </w:r>
          <w:r>
            <w:rPr>
              <w:rFonts w:ascii="Times New Roman" w:hAnsi="Times New Roman" w:eastAsia="Times New Roman" w:cs="Times New Roman"/>
              <w:sz w:val="18"/>
              <w:szCs w:val="18"/>
            </w:rPr>
            <w:fldChar w:fldCharType="end"/>
          </w:r>
        </w:p>
        <w:p w14:paraId="2E079C05">
          <w:pPr>
            <w:pStyle w:val="2"/>
            <w:spacing w:before="107" w:line="219" w:lineRule="auto"/>
            <w:ind w:left="400"/>
            <w:rPr>
              <w:sz w:val="18"/>
              <w:szCs w:val="18"/>
            </w:rPr>
          </w:pPr>
          <w:bookmarkStart w:id="409" w:name="bookmark399"/>
          <w:bookmarkEnd w:id="409"/>
          <w:r>
            <w:fldChar w:fldCharType="begin"/>
          </w:r>
          <w:r>
            <w:instrText xml:space="preserve"> HYPERLINK \l "bookmark399" </w:instrText>
          </w:r>
          <w:r>
            <w:fldChar w:fldCharType="separate"/>
          </w:r>
          <w:r>
            <w:rPr>
              <w:rFonts w:ascii="Times New Roman" w:hAnsi="Times New Roman" w:eastAsia="Times New Roman" w:cs="Times New Roman"/>
              <w:sz w:val="18"/>
              <w:szCs w:val="18"/>
            </w:rPr>
            <w:t xml:space="preserve">24.1.2    </w:t>
          </w:r>
          <w:r>
            <w:rPr>
              <w:sz w:val="18"/>
              <w:szCs w:val="18"/>
            </w:rPr>
            <w:t>信息安全建设阶段划分及监理</w:t>
          </w:r>
          <w:r>
            <w:rPr>
              <w:sz w:val="18"/>
              <w:szCs w:val="18"/>
            </w:rPr>
            <w:fldChar w:fldCharType="end"/>
          </w:r>
        </w:p>
        <w:p w14:paraId="2FE172D7">
          <w:pPr>
            <w:tabs>
              <w:tab w:val="right" w:leader="dot" w:pos="3951"/>
            </w:tabs>
            <w:spacing w:before="95" w:line="221" w:lineRule="auto"/>
            <w:ind w:left="1050"/>
            <w:rPr>
              <w:rFonts w:ascii="Times New Roman" w:hAnsi="Times New Roman" w:eastAsia="Times New Roman" w:cs="Times New Roman"/>
              <w:sz w:val="18"/>
              <w:szCs w:val="18"/>
            </w:rPr>
          </w:pPr>
          <w:bookmarkStart w:id="410" w:name="bookmark399"/>
          <w:bookmarkEnd w:id="410"/>
          <w:r>
            <w:fldChar w:fldCharType="begin"/>
          </w:r>
          <w:r>
            <w:instrText xml:space="preserve"> HYPERLINK \l "bookmark399" </w:instrText>
          </w:r>
          <w:r>
            <w:fldChar w:fldCharType="separate"/>
          </w:r>
          <w:r>
            <w:rPr>
              <w:rFonts w:ascii="黑体" w:hAnsi="黑体" w:eastAsia="黑体" w:cs="黑体"/>
              <w:spacing w:val="-4"/>
              <w:sz w:val="18"/>
              <w:szCs w:val="18"/>
            </w:rPr>
            <w:t>任务</w:t>
          </w:r>
          <w:r>
            <w:rPr>
              <w:rFonts w:ascii="黑体" w:hAnsi="黑体" w:eastAsia="黑体" w:cs="黑体"/>
              <w:spacing w:val="-64"/>
              <w:sz w:val="18"/>
              <w:szCs w:val="18"/>
            </w:rPr>
            <w:t xml:space="preserve"> </w:t>
          </w:r>
          <w:r>
            <w:rPr>
              <w:rFonts w:ascii="黑体" w:hAnsi="黑体" w:eastAsia="黑体" w:cs="黑体"/>
              <w:sz w:val="18"/>
              <w:szCs w:val="18"/>
            </w:rPr>
            <w:tab/>
          </w:r>
          <w:r>
            <w:rPr>
              <w:rFonts w:ascii="Times New Roman" w:hAnsi="Times New Roman" w:eastAsia="Times New Roman" w:cs="Times New Roman"/>
              <w:sz w:val="18"/>
              <w:szCs w:val="18"/>
            </w:rPr>
            <w:t>543</w:t>
          </w:r>
          <w:r>
            <w:rPr>
              <w:rFonts w:ascii="Times New Roman" w:hAnsi="Times New Roman" w:eastAsia="Times New Roman" w:cs="Times New Roman"/>
              <w:sz w:val="18"/>
              <w:szCs w:val="18"/>
            </w:rPr>
            <w:fldChar w:fldCharType="end"/>
          </w:r>
        </w:p>
        <w:p w14:paraId="4E1CE73B">
          <w:pPr>
            <w:pStyle w:val="2"/>
            <w:tabs>
              <w:tab w:val="right" w:leader="dot" w:pos="3951"/>
            </w:tabs>
            <w:spacing w:before="117" w:line="220" w:lineRule="auto"/>
            <w:rPr>
              <w:rFonts w:ascii="Times New Roman" w:hAnsi="Times New Roman" w:eastAsia="Times New Roman" w:cs="Times New Roman"/>
              <w:sz w:val="18"/>
              <w:szCs w:val="18"/>
            </w:rPr>
          </w:pPr>
          <w:bookmarkStart w:id="411" w:name="bookmark400"/>
          <w:bookmarkEnd w:id="411"/>
          <w:r>
            <w:fldChar w:fldCharType="begin"/>
          </w:r>
          <w:r>
            <w:instrText xml:space="preserve"> HYPERLINK \l "bookmark400" </w:instrText>
          </w:r>
          <w:r>
            <w:fldChar w:fldCharType="separate"/>
          </w:r>
          <w:r>
            <w:rPr>
              <w:rFonts w:ascii="Times New Roman" w:hAnsi="Times New Roman" w:eastAsia="Times New Roman" w:cs="Times New Roman"/>
              <w:spacing w:val="1"/>
              <w:sz w:val="18"/>
              <w:szCs w:val="18"/>
            </w:rPr>
            <w:t>24.2</w:t>
          </w:r>
          <w:r>
            <w:rPr>
              <w:rFonts w:ascii="Times New Roman" w:hAnsi="Times New Roman" w:eastAsia="Times New Roman" w:cs="Times New Roman"/>
              <w:spacing w:val="12"/>
              <w:sz w:val="18"/>
              <w:szCs w:val="18"/>
            </w:rPr>
            <w:t xml:space="preserve">   </w:t>
          </w:r>
          <w:r>
            <w:rPr>
              <w:spacing w:val="1"/>
              <w:sz w:val="18"/>
              <w:szCs w:val="18"/>
            </w:rPr>
            <w:t>规划设计阶段监理工作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544</w:t>
          </w:r>
          <w:r>
            <w:rPr>
              <w:rFonts w:ascii="Times New Roman" w:hAnsi="Times New Roman" w:eastAsia="Times New Roman" w:cs="Times New Roman"/>
              <w:sz w:val="18"/>
              <w:szCs w:val="18"/>
            </w:rPr>
            <w:fldChar w:fldCharType="end"/>
          </w:r>
        </w:p>
        <w:p w14:paraId="0BC0FEF5">
          <w:pPr>
            <w:pStyle w:val="2"/>
            <w:tabs>
              <w:tab w:val="right" w:leader="dot" w:pos="3951"/>
            </w:tabs>
            <w:spacing w:before="85" w:line="220" w:lineRule="auto"/>
            <w:ind w:left="390"/>
            <w:rPr>
              <w:rFonts w:ascii="Times New Roman" w:hAnsi="Times New Roman" w:eastAsia="Times New Roman" w:cs="Times New Roman"/>
              <w:sz w:val="18"/>
              <w:szCs w:val="18"/>
            </w:rPr>
          </w:pPr>
          <w:bookmarkStart w:id="412" w:name="bookmark401"/>
          <w:bookmarkEnd w:id="412"/>
          <w:r>
            <w:fldChar w:fldCharType="begin"/>
          </w:r>
          <w:r>
            <w:instrText xml:space="preserve"> HYPERLINK \l "bookmark401" </w:instrText>
          </w:r>
          <w:r>
            <w:fldChar w:fldCharType="separate"/>
          </w:r>
          <w:r>
            <w:rPr>
              <w:rFonts w:ascii="Times New Roman" w:hAnsi="Times New Roman" w:eastAsia="Times New Roman" w:cs="Times New Roman"/>
              <w:sz w:val="18"/>
              <w:szCs w:val="18"/>
            </w:rPr>
            <w:t>24.2.1</w:t>
          </w:r>
          <w:r>
            <w:rPr>
              <w:rFonts w:ascii="Times New Roman" w:hAnsi="Times New Roman" w:eastAsia="Times New Roman" w:cs="Times New Roman"/>
              <w:spacing w:val="5"/>
              <w:sz w:val="18"/>
              <w:szCs w:val="18"/>
            </w:rPr>
            <w:t xml:space="preserve">    </w:t>
          </w:r>
          <w:r>
            <w:rPr>
              <w:sz w:val="18"/>
              <w:szCs w:val="18"/>
            </w:rPr>
            <w:t>监理活动</w:t>
          </w:r>
          <w:r>
            <w:rPr>
              <w:spacing w:val="-71"/>
              <w:sz w:val="18"/>
              <w:szCs w:val="18"/>
            </w:rPr>
            <w:t xml:space="preserve"> </w:t>
          </w:r>
          <w:r>
            <w:rPr>
              <w:sz w:val="18"/>
              <w:szCs w:val="18"/>
            </w:rPr>
            <w:tab/>
          </w:r>
          <w:r>
            <w:rPr>
              <w:rFonts w:ascii="Times New Roman" w:hAnsi="Times New Roman" w:eastAsia="Times New Roman" w:cs="Times New Roman"/>
              <w:sz w:val="18"/>
              <w:szCs w:val="18"/>
            </w:rPr>
            <w:t>544</w:t>
          </w:r>
          <w:r>
            <w:rPr>
              <w:rFonts w:ascii="Times New Roman" w:hAnsi="Times New Roman" w:eastAsia="Times New Roman" w:cs="Times New Roman"/>
              <w:sz w:val="18"/>
              <w:szCs w:val="18"/>
            </w:rPr>
            <w:fldChar w:fldCharType="end"/>
          </w:r>
        </w:p>
        <w:p w14:paraId="357EFDDE">
          <w:pPr>
            <w:pStyle w:val="2"/>
            <w:tabs>
              <w:tab w:val="right" w:leader="dot" w:pos="3951"/>
            </w:tabs>
            <w:spacing w:before="105" w:line="219" w:lineRule="auto"/>
            <w:ind w:left="390"/>
            <w:rPr>
              <w:rFonts w:ascii="Times New Roman" w:hAnsi="Times New Roman" w:eastAsia="Times New Roman" w:cs="Times New Roman"/>
              <w:sz w:val="18"/>
              <w:szCs w:val="18"/>
            </w:rPr>
          </w:pPr>
          <w:bookmarkStart w:id="413" w:name="bookmark402"/>
          <w:bookmarkEnd w:id="413"/>
          <w:r>
            <w:fldChar w:fldCharType="begin"/>
          </w:r>
          <w:r>
            <w:instrText xml:space="preserve"> HYPERLINK \l "bookmark402" </w:instrText>
          </w:r>
          <w:r>
            <w:fldChar w:fldCharType="separate"/>
          </w:r>
          <w:r>
            <w:rPr>
              <w:rFonts w:ascii="Times New Roman" w:hAnsi="Times New Roman" w:eastAsia="Times New Roman" w:cs="Times New Roman"/>
              <w:spacing w:val="-2"/>
              <w:sz w:val="18"/>
              <w:szCs w:val="18"/>
            </w:rPr>
            <w:t>24.2.2</w:t>
          </w:r>
          <w:r>
            <w:rPr>
              <w:rFonts w:ascii="Times New Roman" w:hAnsi="Times New Roman" w:eastAsia="Times New Roman" w:cs="Times New Roman"/>
              <w:spacing w:val="7"/>
              <w:sz w:val="18"/>
              <w:szCs w:val="18"/>
            </w:rPr>
            <w:t xml:space="preserve">    </w:t>
          </w:r>
          <w:r>
            <w:rPr>
              <w:spacing w:val="-2"/>
              <w:sz w:val="18"/>
              <w:szCs w:val="18"/>
            </w:rPr>
            <w:t>监理内容</w:t>
          </w:r>
          <w:r>
            <w:rPr>
              <w:spacing w:val="-70"/>
              <w:sz w:val="18"/>
              <w:szCs w:val="18"/>
            </w:rPr>
            <w:t xml:space="preserve"> </w:t>
          </w:r>
          <w:r>
            <w:rPr>
              <w:sz w:val="18"/>
              <w:szCs w:val="18"/>
            </w:rPr>
            <w:tab/>
          </w:r>
          <w:r>
            <w:rPr>
              <w:rFonts w:ascii="Times New Roman" w:hAnsi="Times New Roman" w:eastAsia="Times New Roman" w:cs="Times New Roman"/>
              <w:sz w:val="18"/>
              <w:szCs w:val="18"/>
            </w:rPr>
            <w:t>545</w:t>
          </w:r>
          <w:r>
            <w:rPr>
              <w:rFonts w:ascii="Times New Roman" w:hAnsi="Times New Roman" w:eastAsia="Times New Roman" w:cs="Times New Roman"/>
              <w:sz w:val="18"/>
              <w:szCs w:val="18"/>
            </w:rPr>
            <w:fldChar w:fldCharType="end"/>
          </w:r>
        </w:p>
        <w:p w14:paraId="22A77DD0">
          <w:pPr>
            <w:pStyle w:val="2"/>
            <w:tabs>
              <w:tab w:val="right" w:leader="dot" w:pos="3941"/>
            </w:tabs>
            <w:spacing w:before="97" w:line="220" w:lineRule="auto"/>
            <w:rPr>
              <w:rFonts w:ascii="Times New Roman" w:hAnsi="Times New Roman" w:eastAsia="Times New Roman" w:cs="Times New Roman"/>
              <w:sz w:val="18"/>
              <w:szCs w:val="18"/>
            </w:rPr>
          </w:pPr>
          <w:bookmarkStart w:id="414" w:name="bookmark403"/>
          <w:bookmarkEnd w:id="414"/>
          <w:r>
            <w:fldChar w:fldCharType="begin"/>
          </w:r>
          <w:r>
            <w:instrText xml:space="preserve"> HYPERLINK \l "bookmark403" </w:instrText>
          </w:r>
          <w:r>
            <w:fldChar w:fldCharType="separate"/>
          </w:r>
          <w:r>
            <w:rPr>
              <w:rFonts w:ascii="Times New Roman" w:hAnsi="Times New Roman" w:eastAsia="Times New Roman" w:cs="Times New Roman"/>
              <w:spacing w:val="1"/>
              <w:sz w:val="18"/>
              <w:szCs w:val="18"/>
            </w:rPr>
            <w:t>24.3</w:t>
          </w:r>
          <w:r>
            <w:rPr>
              <w:rFonts w:ascii="Times New Roman" w:hAnsi="Times New Roman" w:eastAsia="Times New Roman" w:cs="Times New Roman"/>
              <w:spacing w:val="16"/>
              <w:sz w:val="18"/>
              <w:szCs w:val="18"/>
            </w:rPr>
            <w:t xml:space="preserve">   </w:t>
          </w:r>
          <w:r>
            <w:rPr>
              <w:spacing w:val="1"/>
              <w:sz w:val="18"/>
              <w:szCs w:val="18"/>
            </w:rPr>
            <w:t>招标阶段监理工作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553</w:t>
          </w:r>
          <w:r>
            <w:rPr>
              <w:rFonts w:ascii="Times New Roman" w:hAnsi="Times New Roman" w:eastAsia="Times New Roman" w:cs="Times New Roman"/>
              <w:sz w:val="18"/>
              <w:szCs w:val="18"/>
            </w:rPr>
            <w:fldChar w:fldCharType="end"/>
          </w:r>
        </w:p>
        <w:p w14:paraId="5D95B41B">
          <w:pPr>
            <w:pStyle w:val="2"/>
            <w:tabs>
              <w:tab w:val="right" w:leader="dot" w:pos="3971"/>
            </w:tabs>
            <w:spacing w:before="105" w:line="220" w:lineRule="auto"/>
            <w:ind w:left="390"/>
            <w:rPr>
              <w:rFonts w:ascii="Times New Roman" w:hAnsi="Times New Roman" w:eastAsia="Times New Roman" w:cs="Times New Roman"/>
              <w:sz w:val="18"/>
              <w:szCs w:val="18"/>
            </w:rPr>
          </w:pPr>
          <w:bookmarkStart w:id="415" w:name="bookmark404"/>
          <w:bookmarkEnd w:id="415"/>
          <w:r>
            <w:fldChar w:fldCharType="begin"/>
          </w:r>
          <w:r>
            <w:instrText xml:space="preserve"> HYPERLINK \l "bookmark404" </w:instrText>
          </w:r>
          <w:r>
            <w:fldChar w:fldCharType="separate"/>
          </w:r>
          <w:r>
            <w:rPr>
              <w:rFonts w:ascii="Times New Roman" w:hAnsi="Times New Roman" w:eastAsia="Times New Roman" w:cs="Times New Roman"/>
              <w:spacing w:val="1"/>
              <w:sz w:val="18"/>
              <w:szCs w:val="18"/>
            </w:rPr>
            <w:t xml:space="preserve">24.3.1    </w:t>
          </w:r>
          <w:r>
            <w:rPr>
              <w:spacing w:val="1"/>
              <w:sz w:val="18"/>
              <w:szCs w:val="18"/>
            </w:rPr>
            <w:t>监理活动</w:t>
          </w:r>
          <w:r>
            <w:rPr>
              <w:spacing w:val="-65"/>
              <w:sz w:val="18"/>
              <w:szCs w:val="18"/>
            </w:rPr>
            <w:t xml:space="preserve"> </w:t>
          </w:r>
          <w:r>
            <w:rPr>
              <w:sz w:val="18"/>
              <w:szCs w:val="18"/>
            </w:rPr>
            <w:tab/>
          </w:r>
          <w:r>
            <w:rPr>
              <w:rFonts w:ascii="Times New Roman" w:hAnsi="Times New Roman" w:eastAsia="Times New Roman" w:cs="Times New Roman"/>
              <w:sz w:val="18"/>
              <w:szCs w:val="18"/>
            </w:rPr>
            <w:t>553</w:t>
          </w:r>
          <w:r>
            <w:rPr>
              <w:rFonts w:ascii="Times New Roman" w:hAnsi="Times New Roman" w:eastAsia="Times New Roman" w:cs="Times New Roman"/>
              <w:sz w:val="18"/>
              <w:szCs w:val="18"/>
            </w:rPr>
            <w:fldChar w:fldCharType="end"/>
          </w:r>
        </w:p>
        <w:p w14:paraId="41165328">
          <w:pPr>
            <w:pStyle w:val="2"/>
            <w:tabs>
              <w:tab w:val="right" w:leader="dot" w:pos="3941"/>
            </w:tabs>
            <w:spacing w:before="96" w:line="219" w:lineRule="auto"/>
            <w:ind w:left="390"/>
            <w:rPr>
              <w:rFonts w:ascii="Times New Roman" w:hAnsi="Times New Roman" w:eastAsia="Times New Roman" w:cs="Times New Roman"/>
              <w:sz w:val="18"/>
              <w:szCs w:val="18"/>
            </w:rPr>
          </w:pPr>
          <w:bookmarkStart w:id="416" w:name="bookmark405"/>
          <w:bookmarkEnd w:id="416"/>
          <w:r>
            <w:fldChar w:fldCharType="begin"/>
          </w:r>
          <w:r>
            <w:instrText xml:space="preserve"> HYPERLINK \l "bookmark405" </w:instrText>
          </w:r>
          <w:r>
            <w:fldChar w:fldCharType="separate"/>
          </w:r>
          <w:r>
            <w:rPr>
              <w:rFonts w:ascii="Times New Roman" w:hAnsi="Times New Roman" w:eastAsia="Times New Roman" w:cs="Times New Roman"/>
              <w:spacing w:val="-2"/>
              <w:sz w:val="18"/>
              <w:szCs w:val="18"/>
            </w:rPr>
            <w:t>24.3.2</w:t>
          </w:r>
          <w:r>
            <w:rPr>
              <w:rFonts w:ascii="Times New Roman" w:hAnsi="Times New Roman" w:eastAsia="Times New Roman" w:cs="Times New Roman"/>
              <w:spacing w:val="7"/>
              <w:sz w:val="18"/>
              <w:szCs w:val="18"/>
            </w:rPr>
            <w:t xml:space="preserve">    </w:t>
          </w:r>
          <w:r>
            <w:rPr>
              <w:spacing w:val="-2"/>
              <w:sz w:val="18"/>
              <w:szCs w:val="18"/>
            </w:rPr>
            <w:t>监理内容</w:t>
          </w:r>
          <w:r>
            <w:rPr>
              <w:spacing w:val="-59"/>
              <w:sz w:val="18"/>
              <w:szCs w:val="18"/>
            </w:rPr>
            <w:t xml:space="preserve"> </w:t>
          </w:r>
          <w:r>
            <w:rPr>
              <w:sz w:val="18"/>
              <w:szCs w:val="18"/>
            </w:rPr>
            <w:tab/>
          </w:r>
          <w:r>
            <w:rPr>
              <w:rFonts w:ascii="Times New Roman" w:hAnsi="Times New Roman" w:eastAsia="Times New Roman" w:cs="Times New Roman"/>
              <w:sz w:val="18"/>
              <w:szCs w:val="18"/>
            </w:rPr>
            <w:t>553</w:t>
          </w:r>
          <w:r>
            <w:rPr>
              <w:rFonts w:ascii="Times New Roman" w:hAnsi="Times New Roman" w:eastAsia="Times New Roman" w:cs="Times New Roman"/>
              <w:sz w:val="18"/>
              <w:szCs w:val="18"/>
            </w:rPr>
            <w:fldChar w:fldCharType="end"/>
          </w:r>
        </w:p>
        <w:p w14:paraId="2396C3D7">
          <w:pPr>
            <w:pStyle w:val="2"/>
            <w:tabs>
              <w:tab w:val="right" w:leader="dot" w:pos="3941"/>
            </w:tabs>
            <w:spacing w:before="97" w:line="220" w:lineRule="auto"/>
            <w:rPr>
              <w:rFonts w:ascii="Times New Roman" w:hAnsi="Times New Roman" w:eastAsia="Times New Roman" w:cs="Times New Roman"/>
              <w:sz w:val="18"/>
              <w:szCs w:val="18"/>
            </w:rPr>
          </w:pPr>
          <w:bookmarkStart w:id="417" w:name="bookmark406"/>
          <w:bookmarkEnd w:id="417"/>
          <w:r>
            <w:fldChar w:fldCharType="begin"/>
          </w:r>
          <w:r>
            <w:instrText xml:space="preserve"> HYPERLINK \l "bookmark406" </w:instrText>
          </w:r>
          <w:r>
            <w:fldChar w:fldCharType="separate"/>
          </w:r>
          <w:r>
            <w:rPr>
              <w:rFonts w:ascii="Times New Roman" w:hAnsi="Times New Roman" w:eastAsia="Times New Roman" w:cs="Times New Roman"/>
              <w:sz w:val="18"/>
              <w:szCs w:val="18"/>
            </w:rPr>
            <w:t>24.4</w:t>
          </w:r>
          <w:r>
            <w:rPr>
              <w:rFonts w:ascii="Times New Roman" w:hAnsi="Times New Roman" w:eastAsia="Times New Roman" w:cs="Times New Roman"/>
              <w:spacing w:val="13"/>
              <w:w w:val="101"/>
              <w:sz w:val="18"/>
              <w:szCs w:val="18"/>
            </w:rPr>
            <w:t xml:space="preserve">   </w:t>
          </w:r>
          <w:r>
            <w:rPr>
              <w:sz w:val="18"/>
              <w:szCs w:val="18"/>
            </w:rPr>
            <w:t>设计阶段监理工作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554</w:t>
          </w:r>
          <w:r>
            <w:rPr>
              <w:rFonts w:ascii="Times New Roman" w:hAnsi="Times New Roman" w:eastAsia="Times New Roman" w:cs="Times New Roman"/>
              <w:sz w:val="18"/>
              <w:szCs w:val="18"/>
            </w:rPr>
            <w:fldChar w:fldCharType="end"/>
          </w:r>
        </w:p>
        <w:p w14:paraId="36ED4595">
          <w:pPr>
            <w:pStyle w:val="2"/>
            <w:tabs>
              <w:tab w:val="right" w:leader="dot" w:pos="3931"/>
            </w:tabs>
            <w:spacing w:before="105" w:line="220" w:lineRule="auto"/>
            <w:ind w:left="390"/>
            <w:rPr>
              <w:rFonts w:ascii="Times New Roman" w:hAnsi="Times New Roman" w:eastAsia="Times New Roman" w:cs="Times New Roman"/>
              <w:sz w:val="18"/>
              <w:szCs w:val="18"/>
            </w:rPr>
          </w:pPr>
          <w:bookmarkStart w:id="418" w:name="bookmark407"/>
          <w:bookmarkEnd w:id="418"/>
          <w:r>
            <w:fldChar w:fldCharType="begin"/>
          </w:r>
          <w:r>
            <w:instrText xml:space="preserve"> HYPERLINK \l "bookmark407" </w:instrText>
          </w:r>
          <w:r>
            <w:fldChar w:fldCharType="separate"/>
          </w:r>
          <w:r>
            <w:rPr>
              <w:rFonts w:ascii="Times New Roman" w:hAnsi="Times New Roman" w:eastAsia="Times New Roman" w:cs="Times New Roman"/>
              <w:spacing w:val="1"/>
              <w:sz w:val="18"/>
              <w:szCs w:val="18"/>
            </w:rPr>
            <w:t xml:space="preserve">24.4.1    </w:t>
          </w:r>
          <w:r>
            <w:rPr>
              <w:spacing w:val="1"/>
              <w:sz w:val="18"/>
              <w:szCs w:val="18"/>
            </w:rPr>
            <w:t>设计阶段监理活动</w:t>
          </w:r>
          <w:r>
            <w:rPr>
              <w:spacing w:val="-70"/>
              <w:sz w:val="18"/>
              <w:szCs w:val="18"/>
            </w:rPr>
            <w:t xml:space="preserve"> </w:t>
          </w:r>
          <w:r>
            <w:rPr>
              <w:sz w:val="18"/>
              <w:szCs w:val="18"/>
            </w:rPr>
            <w:tab/>
          </w:r>
          <w:r>
            <w:rPr>
              <w:rFonts w:ascii="Times New Roman" w:hAnsi="Times New Roman" w:eastAsia="Times New Roman" w:cs="Times New Roman"/>
              <w:spacing w:val="1"/>
              <w:sz w:val="18"/>
              <w:szCs w:val="18"/>
            </w:rPr>
            <w:t>554</w:t>
          </w:r>
          <w:r>
            <w:rPr>
              <w:rFonts w:ascii="Times New Roman" w:hAnsi="Times New Roman" w:eastAsia="Times New Roman" w:cs="Times New Roman"/>
              <w:spacing w:val="1"/>
              <w:sz w:val="18"/>
              <w:szCs w:val="18"/>
            </w:rPr>
            <w:fldChar w:fldCharType="end"/>
          </w:r>
        </w:p>
        <w:p w14:paraId="0F31C2E0">
          <w:pPr>
            <w:pStyle w:val="2"/>
            <w:tabs>
              <w:tab w:val="right" w:leader="dot" w:pos="3941"/>
            </w:tabs>
            <w:spacing w:before="95" w:line="219" w:lineRule="auto"/>
            <w:ind w:left="390"/>
            <w:rPr>
              <w:rFonts w:ascii="Times New Roman" w:hAnsi="Times New Roman" w:eastAsia="Times New Roman" w:cs="Times New Roman"/>
              <w:sz w:val="18"/>
              <w:szCs w:val="18"/>
            </w:rPr>
          </w:pPr>
          <w:bookmarkStart w:id="419" w:name="bookmark408"/>
          <w:bookmarkEnd w:id="419"/>
          <w:r>
            <w:fldChar w:fldCharType="begin"/>
          </w:r>
          <w:r>
            <w:instrText xml:space="preserve"> HYPERLINK \l "bookmark408" </w:instrText>
          </w:r>
          <w:r>
            <w:fldChar w:fldCharType="separate"/>
          </w:r>
          <w:r>
            <w:rPr>
              <w:rFonts w:ascii="Times New Roman" w:hAnsi="Times New Roman" w:eastAsia="Times New Roman" w:cs="Times New Roman"/>
              <w:sz w:val="18"/>
              <w:szCs w:val="18"/>
            </w:rPr>
            <w:t xml:space="preserve">24.4.2    </w:t>
          </w:r>
          <w:r>
            <w:rPr>
              <w:sz w:val="18"/>
              <w:szCs w:val="18"/>
            </w:rPr>
            <w:t>设计阶段监理内容</w:t>
          </w:r>
          <w:r>
            <w:rPr>
              <w:spacing w:val="-51"/>
              <w:sz w:val="18"/>
              <w:szCs w:val="18"/>
            </w:rPr>
            <w:t xml:space="preserve"> </w:t>
          </w:r>
          <w:r>
            <w:rPr>
              <w:sz w:val="18"/>
              <w:szCs w:val="18"/>
            </w:rPr>
            <w:tab/>
          </w:r>
          <w:r>
            <w:rPr>
              <w:rFonts w:ascii="Times New Roman" w:hAnsi="Times New Roman" w:eastAsia="Times New Roman" w:cs="Times New Roman"/>
              <w:sz w:val="18"/>
              <w:szCs w:val="18"/>
            </w:rPr>
            <w:t>555</w:t>
          </w:r>
          <w:r>
            <w:rPr>
              <w:rFonts w:ascii="Times New Roman" w:hAnsi="Times New Roman" w:eastAsia="Times New Roman" w:cs="Times New Roman"/>
              <w:sz w:val="18"/>
              <w:szCs w:val="18"/>
            </w:rPr>
            <w:fldChar w:fldCharType="end"/>
          </w:r>
        </w:p>
        <w:p w14:paraId="26BA5DB2">
          <w:pPr>
            <w:pStyle w:val="2"/>
            <w:tabs>
              <w:tab w:val="right" w:leader="dot" w:pos="3931"/>
            </w:tabs>
            <w:spacing w:before="107" w:line="220" w:lineRule="auto"/>
            <w:ind w:left="390"/>
            <w:rPr>
              <w:rFonts w:ascii="Times New Roman" w:hAnsi="Times New Roman" w:eastAsia="Times New Roman" w:cs="Times New Roman"/>
              <w:sz w:val="18"/>
              <w:szCs w:val="18"/>
            </w:rPr>
          </w:pPr>
          <w:bookmarkStart w:id="420" w:name="bookmark409"/>
          <w:bookmarkEnd w:id="420"/>
          <w:r>
            <w:fldChar w:fldCharType="begin"/>
          </w:r>
          <w:r>
            <w:instrText xml:space="preserve"> HYPERLINK \l "bookmark409" </w:instrText>
          </w:r>
          <w:r>
            <w:fldChar w:fldCharType="separate"/>
          </w:r>
          <w:r>
            <w:rPr>
              <w:rFonts w:ascii="Times New Roman" w:hAnsi="Times New Roman" w:eastAsia="Times New Roman" w:cs="Times New Roman"/>
              <w:spacing w:val="1"/>
              <w:sz w:val="18"/>
              <w:szCs w:val="18"/>
            </w:rPr>
            <w:t xml:space="preserve">24.4.3    </w:t>
          </w:r>
          <w:r>
            <w:rPr>
              <w:spacing w:val="1"/>
              <w:sz w:val="18"/>
              <w:szCs w:val="18"/>
            </w:rPr>
            <w:t>深化设计阶段监理活动</w:t>
          </w:r>
          <w:r>
            <w:rPr>
              <w:spacing w:val="-71"/>
              <w:sz w:val="18"/>
              <w:szCs w:val="18"/>
            </w:rPr>
            <w:t xml:space="preserve"> </w:t>
          </w:r>
          <w:r>
            <w:rPr>
              <w:sz w:val="18"/>
              <w:szCs w:val="18"/>
            </w:rPr>
            <w:tab/>
          </w:r>
          <w:r>
            <w:rPr>
              <w:rFonts w:ascii="Times New Roman" w:hAnsi="Times New Roman" w:eastAsia="Times New Roman" w:cs="Times New Roman"/>
              <w:spacing w:val="1"/>
              <w:sz w:val="18"/>
              <w:szCs w:val="18"/>
            </w:rPr>
            <w:t>556</w:t>
          </w:r>
          <w:r>
            <w:rPr>
              <w:rFonts w:ascii="Times New Roman" w:hAnsi="Times New Roman" w:eastAsia="Times New Roman" w:cs="Times New Roman"/>
              <w:spacing w:val="1"/>
              <w:sz w:val="18"/>
              <w:szCs w:val="18"/>
            </w:rPr>
            <w:fldChar w:fldCharType="end"/>
          </w:r>
        </w:p>
        <w:p w14:paraId="03AB82C0">
          <w:pPr>
            <w:pStyle w:val="2"/>
            <w:tabs>
              <w:tab w:val="right" w:leader="dot" w:pos="3931"/>
            </w:tabs>
            <w:spacing w:before="105" w:line="219" w:lineRule="auto"/>
            <w:ind w:left="390"/>
            <w:rPr>
              <w:rFonts w:ascii="Times New Roman" w:hAnsi="Times New Roman" w:eastAsia="Times New Roman" w:cs="Times New Roman"/>
              <w:sz w:val="18"/>
              <w:szCs w:val="18"/>
            </w:rPr>
          </w:pPr>
          <w:bookmarkStart w:id="421" w:name="bookmark410"/>
          <w:bookmarkEnd w:id="421"/>
          <w:r>
            <w:fldChar w:fldCharType="begin"/>
          </w:r>
          <w:r>
            <w:instrText xml:space="preserve"> HYPERLINK \l "bookmark410" </w:instrText>
          </w:r>
          <w:r>
            <w:fldChar w:fldCharType="separate"/>
          </w:r>
          <w:r>
            <w:rPr>
              <w:rFonts w:ascii="Times New Roman" w:hAnsi="Times New Roman" w:eastAsia="Times New Roman" w:cs="Times New Roman"/>
              <w:sz w:val="18"/>
              <w:szCs w:val="18"/>
            </w:rPr>
            <w:t xml:space="preserve">24.4.4    </w:t>
          </w:r>
          <w:r>
            <w:rPr>
              <w:sz w:val="18"/>
              <w:szCs w:val="18"/>
            </w:rPr>
            <w:t>深化设计阶段监理内容</w:t>
          </w:r>
          <w:r>
            <w:rPr>
              <w:spacing w:val="-62"/>
              <w:sz w:val="18"/>
              <w:szCs w:val="18"/>
            </w:rPr>
            <w:t xml:space="preserve"> </w:t>
          </w:r>
          <w:r>
            <w:rPr>
              <w:sz w:val="18"/>
              <w:szCs w:val="18"/>
            </w:rPr>
            <w:tab/>
          </w:r>
          <w:r>
            <w:rPr>
              <w:rFonts w:ascii="Times New Roman" w:hAnsi="Times New Roman" w:eastAsia="Times New Roman" w:cs="Times New Roman"/>
              <w:spacing w:val="1"/>
              <w:sz w:val="18"/>
              <w:szCs w:val="18"/>
            </w:rPr>
            <w:t>556</w:t>
          </w:r>
          <w:r>
            <w:rPr>
              <w:rFonts w:ascii="Times New Roman" w:hAnsi="Times New Roman" w:eastAsia="Times New Roman" w:cs="Times New Roman"/>
              <w:spacing w:val="1"/>
              <w:sz w:val="18"/>
              <w:szCs w:val="18"/>
            </w:rPr>
            <w:fldChar w:fldCharType="end"/>
          </w:r>
        </w:p>
        <w:p w14:paraId="70087C77">
          <w:pPr>
            <w:pStyle w:val="2"/>
            <w:tabs>
              <w:tab w:val="right" w:leader="dot" w:pos="3941"/>
            </w:tabs>
            <w:spacing w:before="97" w:line="220" w:lineRule="auto"/>
            <w:rPr>
              <w:rFonts w:ascii="Times New Roman" w:hAnsi="Times New Roman" w:eastAsia="Times New Roman" w:cs="Times New Roman"/>
              <w:sz w:val="18"/>
              <w:szCs w:val="18"/>
            </w:rPr>
          </w:pPr>
          <w:bookmarkStart w:id="422" w:name="bookmark411"/>
          <w:bookmarkEnd w:id="422"/>
          <w:r>
            <w:fldChar w:fldCharType="begin"/>
          </w:r>
          <w:r>
            <w:instrText xml:space="preserve"> HYPERLINK \l "bookmark411" </w:instrText>
          </w:r>
          <w:r>
            <w:fldChar w:fldCharType="separate"/>
          </w:r>
          <w:r>
            <w:rPr>
              <w:rFonts w:ascii="Times New Roman" w:hAnsi="Times New Roman" w:eastAsia="Times New Roman" w:cs="Times New Roman"/>
              <w:spacing w:val="1"/>
              <w:sz w:val="18"/>
              <w:szCs w:val="18"/>
            </w:rPr>
            <w:t xml:space="preserve">24.5    </w:t>
          </w:r>
          <w:r>
            <w:rPr>
              <w:spacing w:val="1"/>
              <w:sz w:val="18"/>
              <w:szCs w:val="18"/>
            </w:rPr>
            <w:t>实施阶段监理工作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559</w:t>
          </w:r>
          <w:r>
            <w:rPr>
              <w:rFonts w:ascii="Times New Roman" w:hAnsi="Times New Roman" w:eastAsia="Times New Roman" w:cs="Times New Roman"/>
              <w:sz w:val="18"/>
              <w:szCs w:val="18"/>
            </w:rPr>
            <w:fldChar w:fldCharType="end"/>
          </w:r>
        </w:p>
        <w:p w14:paraId="2FB581F9">
          <w:pPr>
            <w:pStyle w:val="2"/>
            <w:tabs>
              <w:tab w:val="right" w:leader="dot" w:pos="3931"/>
            </w:tabs>
            <w:spacing w:before="85" w:line="220" w:lineRule="auto"/>
            <w:ind w:left="390"/>
            <w:rPr>
              <w:rFonts w:ascii="Times New Roman" w:hAnsi="Times New Roman" w:eastAsia="Times New Roman" w:cs="Times New Roman"/>
              <w:sz w:val="18"/>
              <w:szCs w:val="18"/>
            </w:rPr>
          </w:pPr>
          <w:bookmarkStart w:id="423" w:name="bookmark412"/>
          <w:bookmarkEnd w:id="423"/>
          <w:r>
            <w:fldChar w:fldCharType="begin"/>
          </w:r>
          <w:r>
            <w:instrText xml:space="preserve"> HYPERLINK \l "bookmark412" </w:instrText>
          </w:r>
          <w:r>
            <w:fldChar w:fldCharType="separate"/>
          </w:r>
          <w:r>
            <w:rPr>
              <w:rFonts w:ascii="Times New Roman" w:hAnsi="Times New Roman" w:eastAsia="Times New Roman" w:cs="Times New Roman"/>
              <w:sz w:val="18"/>
              <w:szCs w:val="18"/>
            </w:rPr>
            <w:t>24.5.1</w:t>
          </w:r>
          <w:r>
            <w:rPr>
              <w:rFonts w:ascii="Times New Roman" w:hAnsi="Times New Roman" w:eastAsia="Times New Roman" w:cs="Times New Roman"/>
              <w:spacing w:val="5"/>
              <w:sz w:val="18"/>
              <w:szCs w:val="18"/>
            </w:rPr>
            <w:t xml:space="preserve">    </w:t>
          </w:r>
          <w:r>
            <w:rPr>
              <w:sz w:val="18"/>
              <w:szCs w:val="18"/>
            </w:rPr>
            <w:t>监理活动</w:t>
          </w:r>
          <w:r>
            <w:rPr>
              <w:spacing w:val="-71"/>
              <w:sz w:val="18"/>
              <w:szCs w:val="18"/>
            </w:rPr>
            <w:t xml:space="preserve"> </w:t>
          </w:r>
          <w:r>
            <w:rPr>
              <w:sz w:val="18"/>
              <w:szCs w:val="18"/>
            </w:rPr>
            <w:tab/>
          </w:r>
          <w:r>
            <w:rPr>
              <w:rFonts w:ascii="Times New Roman" w:hAnsi="Times New Roman" w:eastAsia="Times New Roman" w:cs="Times New Roman"/>
              <w:sz w:val="18"/>
              <w:szCs w:val="18"/>
            </w:rPr>
            <w:t>559</w:t>
          </w:r>
          <w:r>
            <w:rPr>
              <w:rFonts w:ascii="Times New Roman" w:hAnsi="Times New Roman" w:eastAsia="Times New Roman" w:cs="Times New Roman"/>
              <w:sz w:val="18"/>
              <w:szCs w:val="18"/>
            </w:rPr>
            <w:fldChar w:fldCharType="end"/>
          </w:r>
        </w:p>
        <w:p w14:paraId="31A183F1">
          <w:pPr>
            <w:pStyle w:val="2"/>
            <w:tabs>
              <w:tab w:val="right" w:leader="dot" w:pos="3941"/>
            </w:tabs>
            <w:spacing w:before="95" w:line="219" w:lineRule="auto"/>
            <w:ind w:left="390"/>
            <w:rPr>
              <w:rFonts w:ascii="Times New Roman" w:hAnsi="Times New Roman" w:eastAsia="Times New Roman" w:cs="Times New Roman"/>
              <w:sz w:val="18"/>
              <w:szCs w:val="18"/>
            </w:rPr>
          </w:pPr>
          <w:bookmarkStart w:id="424" w:name="bookmark413"/>
          <w:bookmarkEnd w:id="424"/>
          <w:r>
            <w:fldChar w:fldCharType="begin"/>
          </w:r>
          <w:r>
            <w:instrText xml:space="preserve"> HYPERLINK \l "bookmark413" </w:instrText>
          </w:r>
          <w:r>
            <w:fldChar w:fldCharType="separate"/>
          </w:r>
          <w:r>
            <w:rPr>
              <w:rFonts w:ascii="Times New Roman" w:hAnsi="Times New Roman" w:eastAsia="Times New Roman" w:cs="Times New Roman"/>
              <w:spacing w:val="-2"/>
              <w:sz w:val="18"/>
              <w:szCs w:val="18"/>
            </w:rPr>
            <w:t>24.5.2</w:t>
          </w:r>
          <w:r>
            <w:rPr>
              <w:rFonts w:ascii="Times New Roman" w:hAnsi="Times New Roman" w:eastAsia="Times New Roman" w:cs="Times New Roman"/>
              <w:spacing w:val="5"/>
              <w:sz w:val="18"/>
              <w:szCs w:val="18"/>
            </w:rPr>
            <w:t xml:space="preserve">    </w:t>
          </w:r>
          <w:r>
            <w:rPr>
              <w:spacing w:val="-2"/>
              <w:sz w:val="18"/>
              <w:szCs w:val="18"/>
            </w:rPr>
            <w:t>监理内容</w:t>
          </w:r>
          <w:r>
            <w:rPr>
              <w:spacing w:val="-51"/>
              <w:sz w:val="18"/>
              <w:szCs w:val="18"/>
            </w:rPr>
            <w:t xml:space="preserve"> </w:t>
          </w:r>
          <w:r>
            <w:rPr>
              <w:sz w:val="18"/>
              <w:szCs w:val="18"/>
            </w:rPr>
            <w:tab/>
          </w:r>
          <w:r>
            <w:rPr>
              <w:rFonts w:ascii="Times New Roman" w:hAnsi="Times New Roman" w:eastAsia="Times New Roman" w:cs="Times New Roman"/>
              <w:sz w:val="18"/>
              <w:szCs w:val="18"/>
            </w:rPr>
            <w:t>560</w:t>
          </w:r>
          <w:r>
            <w:rPr>
              <w:rFonts w:ascii="Times New Roman" w:hAnsi="Times New Roman" w:eastAsia="Times New Roman" w:cs="Times New Roman"/>
              <w:sz w:val="18"/>
              <w:szCs w:val="18"/>
            </w:rPr>
            <w:fldChar w:fldCharType="end"/>
          </w:r>
        </w:p>
        <w:p w14:paraId="087AB5A0">
          <w:pPr>
            <w:pStyle w:val="2"/>
            <w:tabs>
              <w:tab w:val="right" w:leader="dot" w:pos="3961"/>
            </w:tabs>
            <w:spacing w:before="95" w:line="218" w:lineRule="auto"/>
            <w:rPr>
              <w:rFonts w:ascii="Times New Roman" w:hAnsi="Times New Roman" w:eastAsia="Times New Roman" w:cs="Times New Roman"/>
              <w:sz w:val="18"/>
              <w:szCs w:val="18"/>
            </w:rPr>
          </w:pPr>
          <w:bookmarkStart w:id="425" w:name="bookmark414"/>
          <w:bookmarkEnd w:id="425"/>
          <w:r>
            <w:fldChar w:fldCharType="begin"/>
          </w:r>
          <w:r>
            <w:instrText xml:space="preserve"> HYPERLINK \l "bookmark414" </w:instrText>
          </w:r>
          <w:r>
            <w:fldChar w:fldCharType="separate"/>
          </w:r>
          <w:r>
            <w:rPr>
              <w:rFonts w:ascii="Times New Roman" w:hAnsi="Times New Roman" w:eastAsia="Times New Roman" w:cs="Times New Roman"/>
              <w:spacing w:val="1"/>
              <w:sz w:val="18"/>
              <w:szCs w:val="18"/>
            </w:rPr>
            <w:t>24.6</w:t>
          </w:r>
          <w:r>
            <w:rPr>
              <w:rFonts w:ascii="Times New Roman" w:hAnsi="Times New Roman" w:eastAsia="Times New Roman" w:cs="Times New Roman"/>
              <w:spacing w:val="12"/>
              <w:sz w:val="18"/>
              <w:szCs w:val="18"/>
            </w:rPr>
            <w:t xml:space="preserve">   </w:t>
          </w:r>
          <w:r>
            <w:rPr>
              <w:spacing w:val="1"/>
              <w:sz w:val="18"/>
              <w:szCs w:val="18"/>
            </w:rPr>
            <w:t>测试评估阶段监理工作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561</w:t>
          </w:r>
          <w:r>
            <w:rPr>
              <w:rFonts w:ascii="Times New Roman" w:hAnsi="Times New Roman" w:eastAsia="Times New Roman" w:cs="Times New Roman"/>
              <w:sz w:val="18"/>
              <w:szCs w:val="18"/>
            </w:rPr>
            <w:fldChar w:fldCharType="end"/>
          </w:r>
        </w:p>
        <w:p w14:paraId="7FE7293D">
          <w:pPr>
            <w:pStyle w:val="2"/>
            <w:tabs>
              <w:tab w:val="right" w:leader="dot" w:pos="3971"/>
            </w:tabs>
            <w:spacing w:before="100" w:line="220" w:lineRule="auto"/>
            <w:ind w:left="390"/>
            <w:rPr>
              <w:rFonts w:ascii="Times New Roman" w:hAnsi="Times New Roman" w:eastAsia="Times New Roman" w:cs="Times New Roman"/>
              <w:sz w:val="18"/>
              <w:szCs w:val="18"/>
            </w:rPr>
          </w:pPr>
          <w:bookmarkStart w:id="426" w:name="bookmark415"/>
          <w:bookmarkEnd w:id="426"/>
          <w:r>
            <w:fldChar w:fldCharType="begin"/>
          </w:r>
          <w:r>
            <w:instrText xml:space="preserve"> HYPERLINK \l "bookmark415" </w:instrText>
          </w:r>
          <w:r>
            <w:fldChar w:fldCharType="separate"/>
          </w:r>
          <w:r>
            <w:rPr>
              <w:rFonts w:ascii="Times New Roman" w:hAnsi="Times New Roman" w:eastAsia="Times New Roman" w:cs="Times New Roman"/>
              <w:sz w:val="18"/>
              <w:szCs w:val="18"/>
            </w:rPr>
            <w:t>24.6.1</w:t>
          </w:r>
          <w:r>
            <w:rPr>
              <w:rFonts w:ascii="Times New Roman" w:hAnsi="Times New Roman" w:eastAsia="Times New Roman" w:cs="Times New Roman"/>
              <w:spacing w:val="5"/>
              <w:sz w:val="18"/>
              <w:szCs w:val="18"/>
            </w:rPr>
            <w:t xml:space="preserve">    </w:t>
          </w:r>
          <w:r>
            <w:rPr>
              <w:sz w:val="18"/>
              <w:szCs w:val="18"/>
            </w:rPr>
            <w:t>监理活动</w:t>
          </w:r>
          <w:r>
            <w:rPr>
              <w:spacing w:val="-71"/>
              <w:sz w:val="18"/>
              <w:szCs w:val="18"/>
            </w:rPr>
            <w:t xml:space="preserve"> </w:t>
          </w:r>
          <w:r>
            <w:rPr>
              <w:sz w:val="18"/>
              <w:szCs w:val="18"/>
            </w:rPr>
            <w:tab/>
          </w:r>
          <w:r>
            <w:rPr>
              <w:rFonts w:ascii="Times New Roman" w:hAnsi="Times New Roman" w:eastAsia="Times New Roman" w:cs="Times New Roman"/>
              <w:sz w:val="18"/>
              <w:szCs w:val="18"/>
            </w:rPr>
            <w:t>561</w:t>
          </w:r>
          <w:r>
            <w:rPr>
              <w:rFonts w:ascii="Times New Roman" w:hAnsi="Times New Roman" w:eastAsia="Times New Roman" w:cs="Times New Roman"/>
              <w:sz w:val="18"/>
              <w:szCs w:val="18"/>
            </w:rPr>
            <w:fldChar w:fldCharType="end"/>
          </w:r>
        </w:p>
        <w:p w14:paraId="5E740995">
          <w:pPr>
            <w:pStyle w:val="2"/>
            <w:tabs>
              <w:tab w:val="right" w:leader="dot" w:pos="3941"/>
            </w:tabs>
            <w:spacing w:before="95" w:line="219" w:lineRule="auto"/>
            <w:ind w:left="390"/>
            <w:rPr>
              <w:rFonts w:ascii="Times New Roman" w:hAnsi="Times New Roman" w:eastAsia="Times New Roman" w:cs="Times New Roman"/>
              <w:sz w:val="18"/>
              <w:szCs w:val="18"/>
            </w:rPr>
          </w:pPr>
          <w:bookmarkStart w:id="427" w:name="bookmark416"/>
          <w:bookmarkEnd w:id="427"/>
          <w:r>
            <w:fldChar w:fldCharType="begin"/>
          </w:r>
          <w:r>
            <w:instrText xml:space="preserve"> HYPERLINK \l "bookmark416" </w:instrText>
          </w:r>
          <w:r>
            <w:fldChar w:fldCharType="separate"/>
          </w:r>
          <w:r>
            <w:rPr>
              <w:rFonts w:ascii="Times New Roman" w:hAnsi="Times New Roman" w:eastAsia="Times New Roman" w:cs="Times New Roman"/>
              <w:spacing w:val="-2"/>
              <w:sz w:val="18"/>
              <w:szCs w:val="18"/>
            </w:rPr>
            <w:t>24.6.2</w:t>
          </w:r>
          <w:r>
            <w:rPr>
              <w:rFonts w:ascii="Times New Roman" w:hAnsi="Times New Roman" w:eastAsia="Times New Roman" w:cs="Times New Roman"/>
              <w:spacing w:val="7"/>
              <w:sz w:val="18"/>
              <w:szCs w:val="18"/>
            </w:rPr>
            <w:t xml:space="preserve">    </w:t>
          </w:r>
          <w:r>
            <w:rPr>
              <w:spacing w:val="-2"/>
              <w:sz w:val="18"/>
              <w:szCs w:val="18"/>
            </w:rPr>
            <w:t>监理内容</w:t>
          </w:r>
          <w:r>
            <w:rPr>
              <w:spacing w:val="-70"/>
              <w:sz w:val="18"/>
              <w:szCs w:val="18"/>
            </w:rPr>
            <w:t xml:space="preserve"> </w:t>
          </w:r>
          <w:r>
            <w:rPr>
              <w:sz w:val="18"/>
              <w:szCs w:val="18"/>
            </w:rPr>
            <w:tab/>
          </w:r>
          <w:r>
            <w:rPr>
              <w:rFonts w:ascii="Times New Roman" w:hAnsi="Times New Roman" w:eastAsia="Times New Roman" w:cs="Times New Roman"/>
              <w:sz w:val="18"/>
              <w:szCs w:val="18"/>
            </w:rPr>
            <w:t>562</w:t>
          </w:r>
          <w:r>
            <w:rPr>
              <w:rFonts w:ascii="Times New Roman" w:hAnsi="Times New Roman" w:eastAsia="Times New Roman" w:cs="Times New Roman"/>
              <w:sz w:val="18"/>
              <w:szCs w:val="18"/>
            </w:rPr>
            <w:fldChar w:fldCharType="end"/>
          </w:r>
        </w:p>
        <w:p w14:paraId="32E8B759">
          <w:pPr>
            <w:pStyle w:val="2"/>
            <w:tabs>
              <w:tab w:val="right" w:leader="dot" w:pos="3941"/>
            </w:tabs>
            <w:spacing w:before="96" w:line="219" w:lineRule="auto"/>
            <w:rPr>
              <w:rFonts w:ascii="Times New Roman" w:hAnsi="Times New Roman" w:eastAsia="Times New Roman" w:cs="Times New Roman"/>
              <w:sz w:val="18"/>
              <w:szCs w:val="18"/>
            </w:rPr>
          </w:pPr>
          <w:bookmarkStart w:id="428" w:name="bookmark417"/>
          <w:bookmarkEnd w:id="428"/>
          <w:r>
            <w:fldChar w:fldCharType="begin"/>
          </w:r>
          <w:r>
            <w:instrText xml:space="preserve"> HYPERLINK \l "bookmark417" </w:instrText>
          </w:r>
          <w:r>
            <w:fldChar w:fldCharType="separate"/>
          </w:r>
          <w:r>
            <w:rPr>
              <w:rFonts w:ascii="Times New Roman" w:hAnsi="Times New Roman" w:eastAsia="Times New Roman" w:cs="Times New Roman"/>
              <w:spacing w:val="-1"/>
              <w:sz w:val="18"/>
              <w:szCs w:val="18"/>
            </w:rPr>
            <w:t xml:space="preserve">24.7    </w:t>
          </w:r>
          <w:r>
            <w:rPr>
              <w:spacing w:val="-1"/>
              <w:sz w:val="18"/>
              <w:szCs w:val="18"/>
            </w:rPr>
            <w:t>验收阶段监理工作</w:t>
          </w:r>
          <w:r>
            <w:rPr>
              <w:spacing w:val="-41"/>
              <w:sz w:val="18"/>
              <w:szCs w:val="18"/>
            </w:rPr>
            <w:t xml:space="preserve"> </w:t>
          </w:r>
          <w:r>
            <w:rPr>
              <w:sz w:val="18"/>
              <w:szCs w:val="18"/>
            </w:rPr>
            <w:tab/>
          </w:r>
          <w:r>
            <w:rPr>
              <w:rFonts w:ascii="Times New Roman" w:hAnsi="Times New Roman" w:eastAsia="Times New Roman" w:cs="Times New Roman"/>
              <w:sz w:val="18"/>
              <w:szCs w:val="18"/>
            </w:rPr>
            <w:t>567</w:t>
          </w:r>
          <w:r>
            <w:rPr>
              <w:rFonts w:ascii="Times New Roman" w:hAnsi="Times New Roman" w:eastAsia="Times New Roman" w:cs="Times New Roman"/>
              <w:sz w:val="18"/>
              <w:szCs w:val="18"/>
            </w:rPr>
            <w:fldChar w:fldCharType="end"/>
          </w:r>
        </w:p>
        <w:p w14:paraId="7CE55EF8">
          <w:pPr>
            <w:pStyle w:val="2"/>
            <w:tabs>
              <w:tab w:val="right" w:leader="dot" w:pos="3941"/>
            </w:tabs>
            <w:spacing w:before="97" w:line="220" w:lineRule="auto"/>
            <w:ind w:left="390"/>
            <w:rPr>
              <w:rFonts w:ascii="Times New Roman" w:hAnsi="Times New Roman" w:eastAsia="Times New Roman" w:cs="Times New Roman"/>
              <w:sz w:val="18"/>
              <w:szCs w:val="18"/>
            </w:rPr>
          </w:pPr>
          <w:bookmarkStart w:id="429" w:name="bookmark418"/>
          <w:bookmarkEnd w:id="429"/>
          <w:r>
            <w:fldChar w:fldCharType="begin"/>
          </w:r>
          <w:r>
            <w:instrText xml:space="preserve"> HYPERLINK \l "bookmark418" </w:instrText>
          </w:r>
          <w:r>
            <w:fldChar w:fldCharType="separate"/>
          </w:r>
          <w:r>
            <w:rPr>
              <w:rFonts w:ascii="Times New Roman" w:hAnsi="Times New Roman" w:eastAsia="Times New Roman" w:cs="Times New Roman"/>
              <w:spacing w:val="-2"/>
              <w:sz w:val="18"/>
              <w:szCs w:val="18"/>
            </w:rPr>
            <w:t>24.7.1</w:t>
          </w:r>
          <w:r>
            <w:rPr>
              <w:rFonts w:ascii="Times New Roman" w:hAnsi="Times New Roman" w:eastAsia="Times New Roman" w:cs="Times New Roman"/>
              <w:spacing w:val="7"/>
              <w:sz w:val="18"/>
              <w:szCs w:val="18"/>
            </w:rPr>
            <w:t xml:space="preserve">    </w:t>
          </w:r>
          <w:r>
            <w:rPr>
              <w:spacing w:val="-2"/>
              <w:sz w:val="18"/>
              <w:szCs w:val="18"/>
            </w:rPr>
            <w:t>监理活动</w:t>
          </w:r>
          <w:r>
            <w:rPr>
              <w:spacing w:val="-59"/>
              <w:sz w:val="18"/>
              <w:szCs w:val="18"/>
            </w:rPr>
            <w:t xml:space="preserve"> </w:t>
          </w:r>
          <w:r>
            <w:rPr>
              <w:sz w:val="18"/>
              <w:szCs w:val="18"/>
            </w:rPr>
            <w:tab/>
          </w:r>
          <w:r>
            <w:rPr>
              <w:rFonts w:ascii="Times New Roman" w:hAnsi="Times New Roman" w:eastAsia="Times New Roman" w:cs="Times New Roman"/>
              <w:sz w:val="18"/>
              <w:szCs w:val="18"/>
            </w:rPr>
            <w:t>567</w:t>
          </w:r>
          <w:r>
            <w:rPr>
              <w:rFonts w:ascii="Times New Roman" w:hAnsi="Times New Roman" w:eastAsia="Times New Roman" w:cs="Times New Roman"/>
              <w:sz w:val="18"/>
              <w:szCs w:val="18"/>
            </w:rPr>
            <w:fldChar w:fldCharType="end"/>
          </w:r>
        </w:p>
        <w:p w14:paraId="793A4515">
          <w:pPr>
            <w:pStyle w:val="2"/>
            <w:tabs>
              <w:tab w:val="right" w:leader="dot" w:pos="3941"/>
            </w:tabs>
            <w:spacing w:before="95" w:line="219" w:lineRule="auto"/>
            <w:ind w:left="390"/>
            <w:rPr>
              <w:rFonts w:ascii="Times New Roman" w:hAnsi="Times New Roman" w:eastAsia="Times New Roman" w:cs="Times New Roman"/>
              <w:sz w:val="18"/>
              <w:szCs w:val="18"/>
            </w:rPr>
          </w:pPr>
          <w:bookmarkStart w:id="430" w:name="bookmark419"/>
          <w:bookmarkEnd w:id="430"/>
          <w:r>
            <w:fldChar w:fldCharType="begin"/>
          </w:r>
          <w:r>
            <w:instrText xml:space="preserve"> HYPERLINK \l "bookmark419" </w:instrText>
          </w:r>
          <w:r>
            <w:fldChar w:fldCharType="separate"/>
          </w:r>
          <w:r>
            <w:rPr>
              <w:rFonts w:ascii="Times New Roman" w:hAnsi="Times New Roman" w:eastAsia="Times New Roman" w:cs="Times New Roman"/>
              <w:spacing w:val="-2"/>
              <w:sz w:val="18"/>
              <w:szCs w:val="18"/>
            </w:rPr>
            <w:t>24.7.2</w:t>
          </w:r>
          <w:r>
            <w:rPr>
              <w:rFonts w:ascii="Times New Roman" w:hAnsi="Times New Roman" w:eastAsia="Times New Roman" w:cs="Times New Roman"/>
              <w:spacing w:val="7"/>
              <w:sz w:val="18"/>
              <w:szCs w:val="18"/>
            </w:rPr>
            <w:t xml:space="preserve">    </w:t>
          </w:r>
          <w:r>
            <w:rPr>
              <w:spacing w:val="-2"/>
              <w:sz w:val="18"/>
              <w:szCs w:val="18"/>
            </w:rPr>
            <w:t>监理内容</w:t>
          </w:r>
          <w:r>
            <w:rPr>
              <w:spacing w:val="-59"/>
              <w:sz w:val="18"/>
              <w:szCs w:val="18"/>
            </w:rPr>
            <w:t xml:space="preserve"> </w:t>
          </w:r>
          <w:r>
            <w:rPr>
              <w:sz w:val="18"/>
              <w:szCs w:val="18"/>
            </w:rPr>
            <w:tab/>
          </w:r>
          <w:r>
            <w:rPr>
              <w:rFonts w:ascii="Times New Roman" w:hAnsi="Times New Roman" w:eastAsia="Times New Roman" w:cs="Times New Roman"/>
              <w:sz w:val="18"/>
              <w:szCs w:val="18"/>
            </w:rPr>
            <w:t>568</w:t>
          </w:r>
          <w:r>
            <w:rPr>
              <w:rFonts w:ascii="Times New Roman" w:hAnsi="Times New Roman" w:eastAsia="Times New Roman" w:cs="Times New Roman"/>
              <w:sz w:val="18"/>
              <w:szCs w:val="18"/>
            </w:rPr>
            <w:fldChar w:fldCharType="end"/>
          </w:r>
        </w:p>
        <w:p w14:paraId="356B3562">
          <w:pPr>
            <w:pStyle w:val="2"/>
            <w:tabs>
              <w:tab w:val="right" w:leader="dot" w:pos="3941"/>
            </w:tabs>
            <w:spacing w:before="87" w:line="219" w:lineRule="auto"/>
            <w:rPr>
              <w:rFonts w:ascii="Times New Roman" w:hAnsi="Times New Roman" w:eastAsia="Times New Roman" w:cs="Times New Roman"/>
              <w:sz w:val="18"/>
              <w:szCs w:val="18"/>
            </w:rPr>
          </w:pPr>
          <w:bookmarkStart w:id="431" w:name="bookmark420"/>
          <w:bookmarkEnd w:id="431"/>
          <w:r>
            <w:fldChar w:fldCharType="begin"/>
          </w:r>
          <w:r>
            <w:instrText xml:space="preserve"> HYPERLINK \l "bookmark420" </w:instrText>
          </w:r>
          <w:r>
            <w:fldChar w:fldCharType="separate"/>
          </w:r>
          <w:r>
            <w:rPr>
              <w:rFonts w:ascii="Times New Roman" w:hAnsi="Times New Roman" w:eastAsia="Times New Roman" w:cs="Times New Roman"/>
              <w:spacing w:val="-3"/>
              <w:sz w:val="18"/>
              <w:szCs w:val="18"/>
            </w:rPr>
            <w:t xml:space="preserve">24.8    </w:t>
          </w:r>
          <w:r>
            <w:rPr>
              <w:spacing w:val="-3"/>
              <w:sz w:val="18"/>
              <w:szCs w:val="18"/>
            </w:rPr>
            <w:t>信息安全合规性要求</w:t>
          </w:r>
          <w:r>
            <w:rPr>
              <w:spacing w:val="-55"/>
              <w:sz w:val="18"/>
              <w:szCs w:val="18"/>
            </w:rPr>
            <w:t xml:space="preserve"> </w:t>
          </w:r>
          <w:r>
            <w:rPr>
              <w:sz w:val="18"/>
              <w:szCs w:val="18"/>
            </w:rPr>
            <w:tab/>
          </w:r>
          <w:r>
            <w:rPr>
              <w:rFonts w:ascii="Times New Roman" w:hAnsi="Times New Roman" w:eastAsia="Times New Roman" w:cs="Times New Roman"/>
              <w:sz w:val="18"/>
              <w:szCs w:val="18"/>
            </w:rPr>
            <w:t>569</w:t>
          </w:r>
          <w:r>
            <w:rPr>
              <w:rFonts w:ascii="Times New Roman" w:hAnsi="Times New Roman" w:eastAsia="Times New Roman" w:cs="Times New Roman"/>
              <w:sz w:val="18"/>
              <w:szCs w:val="18"/>
            </w:rPr>
            <w:fldChar w:fldCharType="end"/>
          </w:r>
        </w:p>
        <w:p w14:paraId="341D374F">
          <w:pPr>
            <w:pStyle w:val="2"/>
            <w:tabs>
              <w:tab w:val="right" w:leader="dot" w:pos="3841"/>
            </w:tabs>
            <w:spacing w:before="95" w:line="218" w:lineRule="auto"/>
            <w:ind w:left="390"/>
            <w:rPr>
              <w:rFonts w:ascii="Times New Roman" w:hAnsi="Times New Roman" w:eastAsia="Times New Roman" w:cs="Times New Roman"/>
              <w:sz w:val="18"/>
              <w:szCs w:val="18"/>
            </w:rPr>
          </w:pPr>
          <w:bookmarkStart w:id="432" w:name="bookmark421"/>
          <w:bookmarkEnd w:id="432"/>
          <w:r>
            <w:fldChar w:fldCharType="begin"/>
          </w:r>
          <w:r>
            <w:instrText xml:space="preserve"> HYPERLINK \l "bookmark421" </w:instrText>
          </w:r>
          <w:r>
            <w:fldChar w:fldCharType="separate"/>
          </w:r>
          <w:r>
            <w:rPr>
              <w:rFonts w:ascii="Times New Roman" w:hAnsi="Times New Roman" w:eastAsia="Times New Roman" w:cs="Times New Roman"/>
              <w:spacing w:val="-2"/>
              <w:sz w:val="18"/>
              <w:szCs w:val="18"/>
            </w:rPr>
            <w:t>24.8.1</w:t>
          </w:r>
          <w:r>
            <w:rPr>
              <w:rFonts w:ascii="Times New Roman" w:hAnsi="Times New Roman" w:eastAsia="Times New Roman" w:cs="Times New Roman"/>
              <w:spacing w:val="7"/>
              <w:sz w:val="18"/>
              <w:szCs w:val="18"/>
            </w:rPr>
            <w:t xml:space="preserve">    </w:t>
          </w:r>
          <w:r>
            <w:rPr>
              <w:spacing w:val="-2"/>
              <w:sz w:val="18"/>
              <w:szCs w:val="18"/>
            </w:rPr>
            <w:t>风险评估</w:t>
          </w:r>
          <w:r>
            <w:rPr>
              <w:spacing w:val="-59"/>
              <w:sz w:val="18"/>
              <w:szCs w:val="18"/>
            </w:rPr>
            <w:t xml:space="preserve"> </w:t>
          </w:r>
          <w:r>
            <w:rPr>
              <w:sz w:val="18"/>
              <w:szCs w:val="18"/>
            </w:rPr>
            <w:tab/>
          </w:r>
          <w:r>
            <w:rPr>
              <w:rFonts w:ascii="Times New Roman" w:hAnsi="Times New Roman" w:eastAsia="Times New Roman" w:cs="Times New Roman"/>
              <w:spacing w:val="4"/>
              <w:sz w:val="18"/>
              <w:szCs w:val="18"/>
            </w:rPr>
            <w:t>569</w:t>
          </w:r>
          <w:r>
            <w:rPr>
              <w:rFonts w:ascii="Times New Roman" w:hAnsi="Times New Roman" w:eastAsia="Times New Roman" w:cs="Times New Roman"/>
              <w:spacing w:val="4"/>
              <w:sz w:val="18"/>
              <w:szCs w:val="18"/>
            </w:rPr>
            <w:fldChar w:fldCharType="end"/>
          </w:r>
        </w:p>
        <w:p w14:paraId="2D8F9309">
          <w:pPr>
            <w:pStyle w:val="2"/>
            <w:tabs>
              <w:tab w:val="right" w:leader="dot" w:pos="3841"/>
            </w:tabs>
            <w:spacing w:before="99" w:line="219" w:lineRule="auto"/>
            <w:ind w:left="390"/>
            <w:rPr>
              <w:rFonts w:ascii="Times New Roman" w:hAnsi="Times New Roman" w:eastAsia="Times New Roman" w:cs="Times New Roman"/>
              <w:sz w:val="18"/>
              <w:szCs w:val="18"/>
            </w:rPr>
          </w:pPr>
          <w:bookmarkStart w:id="433" w:name="bookmark422"/>
          <w:bookmarkEnd w:id="433"/>
          <w:r>
            <w:fldChar w:fldCharType="begin"/>
          </w:r>
          <w:r>
            <w:instrText xml:space="preserve"> HYPERLINK \l "bookmark422" </w:instrText>
          </w:r>
          <w:r>
            <w:fldChar w:fldCharType="separate"/>
          </w:r>
          <w:r>
            <w:rPr>
              <w:rFonts w:ascii="Times New Roman" w:hAnsi="Times New Roman" w:eastAsia="Times New Roman" w:cs="Times New Roman"/>
              <w:spacing w:val="1"/>
              <w:sz w:val="18"/>
              <w:szCs w:val="18"/>
            </w:rPr>
            <w:t>24.8.2</w:t>
          </w:r>
          <w:r>
            <w:rPr>
              <w:rFonts w:ascii="Times New Roman" w:hAnsi="Times New Roman" w:eastAsia="Times New Roman" w:cs="Times New Roman"/>
              <w:spacing w:val="15"/>
              <w:w w:val="101"/>
              <w:sz w:val="18"/>
              <w:szCs w:val="18"/>
            </w:rPr>
            <w:t xml:space="preserve">   </w:t>
          </w:r>
          <w:r>
            <w:rPr>
              <w:spacing w:val="1"/>
              <w:sz w:val="18"/>
              <w:szCs w:val="18"/>
            </w:rPr>
            <w:t>等级保护</w:t>
          </w:r>
          <w:r>
            <w:rPr>
              <w:spacing w:val="-73"/>
              <w:sz w:val="18"/>
              <w:szCs w:val="18"/>
            </w:rPr>
            <w:t xml:space="preserve"> </w:t>
          </w:r>
          <w:r>
            <w:rPr>
              <w:sz w:val="18"/>
              <w:szCs w:val="18"/>
            </w:rPr>
            <w:tab/>
          </w:r>
          <w:r>
            <w:rPr>
              <w:spacing w:val="-59"/>
              <w:sz w:val="18"/>
              <w:szCs w:val="18"/>
            </w:rPr>
            <w:t xml:space="preserve"> </w:t>
          </w:r>
          <w:r>
            <w:rPr>
              <w:rFonts w:ascii="Times New Roman" w:hAnsi="Times New Roman" w:eastAsia="Times New Roman" w:cs="Times New Roman"/>
              <w:spacing w:val="-2"/>
              <w:sz w:val="18"/>
              <w:szCs w:val="18"/>
            </w:rPr>
            <w:t>569</w:t>
          </w:r>
          <w:r>
            <w:rPr>
              <w:rFonts w:ascii="Times New Roman" w:hAnsi="Times New Roman" w:eastAsia="Times New Roman" w:cs="Times New Roman"/>
              <w:spacing w:val="-2"/>
              <w:sz w:val="18"/>
              <w:szCs w:val="18"/>
            </w:rPr>
            <w:fldChar w:fldCharType="end"/>
          </w:r>
        </w:p>
        <w:p w14:paraId="7CC6AC0D">
          <w:pPr>
            <w:pStyle w:val="2"/>
            <w:tabs>
              <w:tab w:val="right" w:leader="dot" w:pos="3941"/>
            </w:tabs>
            <w:spacing w:before="86" w:line="219" w:lineRule="auto"/>
            <w:ind w:left="390"/>
            <w:rPr>
              <w:rFonts w:ascii="Times New Roman" w:hAnsi="Times New Roman" w:eastAsia="Times New Roman" w:cs="Times New Roman"/>
              <w:sz w:val="18"/>
              <w:szCs w:val="18"/>
            </w:rPr>
          </w:pPr>
          <w:bookmarkStart w:id="434" w:name="bookmark423"/>
          <w:bookmarkEnd w:id="434"/>
          <w:r>
            <w:fldChar w:fldCharType="begin"/>
          </w:r>
          <w:r>
            <w:instrText xml:space="preserve"> HYPERLINK \l "bookmark423" </w:instrText>
          </w:r>
          <w:r>
            <w:fldChar w:fldCharType="separate"/>
          </w:r>
          <w:r>
            <w:rPr>
              <w:rFonts w:ascii="Times New Roman" w:hAnsi="Times New Roman" w:eastAsia="Times New Roman" w:cs="Times New Roman"/>
              <w:spacing w:val="5"/>
              <w:sz w:val="18"/>
              <w:szCs w:val="18"/>
            </w:rPr>
            <w:t>24.8.3</w:t>
          </w:r>
          <w:r>
            <w:rPr>
              <w:rFonts w:ascii="Times New Roman" w:hAnsi="Times New Roman" w:eastAsia="Times New Roman" w:cs="Times New Roman"/>
              <w:spacing w:val="13"/>
              <w:w w:val="101"/>
              <w:sz w:val="18"/>
              <w:szCs w:val="18"/>
            </w:rPr>
            <w:t xml:space="preserve">   </w:t>
          </w:r>
          <w:r>
            <w:rPr>
              <w:spacing w:val="5"/>
              <w:sz w:val="18"/>
              <w:szCs w:val="18"/>
            </w:rPr>
            <w:t>信息安全技术体系</w:t>
          </w:r>
          <w:r>
            <w:rPr>
              <w:spacing w:val="-77"/>
              <w:sz w:val="18"/>
              <w:szCs w:val="18"/>
            </w:rPr>
            <w:t xml:space="preserve"> </w:t>
          </w:r>
          <w:r>
            <w:rPr>
              <w:sz w:val="18"/>
              <w:szCs w:val="18"/>
            </w:rPr>
            <w:tab/>
          </w:r>
          <w:r>
            <w:rPr>
              <w:spacing w:val="-9"/>
              <w:sz w:val="18"/>
              <w:szCs w:val="18"/>
            </w:rPr>
            <w:t xml:space="preserve"> </w:t>
          </w:r>
          <w:r>
            <w:rPr>
              <w:rFonts w:ascii="Times New Roman" w:hAnsi="Times New Roman" w:eastAsia="Times New Roman" w:cs="Times New Roman"/>
              <w:spacing w:val="-2"/>
              <w:sz w:val="18"/>
              <w:szCs w:val="18"/>
            </w:rPr>
            <w:t>570</w:t>
          </w:r>
          <w:r>
            <w:rPr>
              <w:rFonts w:ascii="Times New Roman" w:hAnsi="Times New Roman" w:eastAsia="Times New Roman" w:cs="Times New Roman"/>
              <w:spacing w:val="-2"/>
              <w:sz w:val="18"/>
              <w:szCs w:val="18"/>
            </w:rPr>
            <w:fldChar w:fldCharType="end"/>
          </w:r>
        </w:p>
        <w:p w14:paraId="1343B244">
          <w:pPr>
            <w:pStyle w:val="2"/>
            <w:tabs>
              <w:tab w:val="right" w:leader="dot" w:pos="3951"/>
            </w:tabs>
            <w:spacing w:before="97" w:line="219" w:lineRule="auto"/>
            <w:ind w:left="390"/>
            <w:rPr>
              <w:rFonts w:ascii="Times New Roman" w:hAnsi="Times New Roman" w:eastAsia="Times New Roman" w:cs="Times New Roman"/>
              <w:sz w:val="18"/>
              <w:szCs w:val="18"/>
            </w:rPr>
          </w:pPr>
          <w:bookmarkStart w:id="435" w:name="bookmark424"/>
          <w:bookmarkEnd w:id="435"/>
          <w:r>
            <w:fldChar w:fldCharType="begin"/>
          </w:r>
          <w:r>
            <w:instrText xml:space="preserve"> HYPERLINK \l "bookmark424" </w:instrText>
          </w:r>
          <w:r>
            <w:fldChar w:fldCharType="separate"/>
          </w:r>
          <w:r>
            <w:rPr>
              <w:rFonts w:ascii="Times New Roman" w:hAnsi="Times New Roman" w:eastAsia="Times New Roman" w:cs="Times New Roman"/>
              <w:sz w:val="18"/>
              <w:szCs w:val="18"/>
            </w:rPr>
            <w:t>24.8.4</w:t>
          </w:r>
          <w:r>
            <w:rPr>
              <w:rFonts w:ascii="Times New Roman" w:hAnsi="Times New Roman" w:eastAsia="Times New Roman" w:cs="Times New Roman"/>
              <w:spacing w:val="13"/>
              <w:w w:val="101"/>
              <w:sz w:val="18"/>
              <w:szCs w:val="18"/>
            </w:rPr>
            <w:t xml:space="preserve">   </w:t>
          </w:r>
          <w:r>
            <w:rPr>
              <w:sz w:val="18"/>
              <w:szCs w:val="18"/>
            </w:rPr>
            <w:t>信息安全管理体系</w:t>
          </w:r>
          <w:r>
            <w:rPr>
              <w:spacing w:val="-77"/>
              <w:sz w:val="18"/>
              <w:szCs w:val="18"/>
            </w:rPr>
            <w:t xml:space="preserve"> </w:t>
          </w:r>
          <w:r>
            <w:rPr>
              <w:sz w:val="18"/>
              <w:szCs w:val="18"/>
            </w:rPr>
            <w:tab/>
          </w:r>
          <w:r>
            <w:rPr>
              <w:rFonts w:ascii="Times New Roman" w:hAnsi="Times New Roman" w:eastAsia="Times New Roman" w:cs="Times New Roman"/>
              <w:sz w:val="18"/>
              <w:szCs w:val="18"/>
            </w:rPr>
            <w:t>570</w:t>
          </w:r>
          <w:r>
            <w:rPr>
              <w:rFonts w:ascii="Times New Roman" w:hAnsi="Times New Roman" w:eastAsia="Times New Roman" w:cs="Times New Roman"/>
              <w:sz w:val="18"/>
              <w:szCs w:val="18"/>
            </w:rPr>
            <w:fldChar w:fldCharType="end"/>
          </w:r>
        </w:p>
        <w:p w14:paraId="0C7B2580">
          <w:pPr>
            <w:pStyle w:val="2"/>
            <w:tabs>
              <w:tab w:val="right" w:leader="dot" w:pos="3955"/>
            </w:tabs>
            <w:spacing w:before="86" w:line="219" w:lineRule="auto"/>
            <w:ind w:left="390"/>
            <w:rPr>
              <w:rFonts w:ascii="Times New Roman" w:hAnsi="Times New Roman" w:eastAsia="Times New Roman" w:cs="Times New Roman"/>
              <w:sz w:val="18"/>
              <w:szCs w:val="18"/>
            </w:rPr>
          </w:pPr>
          <w:bookmarkStart w:id="436" w:name="bookmark425"/>
          <w:bookmarkEnd w:id="436"/>
          <w:r>
            <w:fldChar w:fldCharType="begin"/>
          </w:r>
          <w:r>
            <w:instrText xml:space="preserve"> HYPERLINK \l "bookmark425" </w:instrText>
          </w:r>
          <w:r>
            <w:fldChar w:fldCharType="separate"/>
          </w:r>
          <w:r>
            <w:rPr>
              <w:rFonts w:ascii="Times New Roman" w:hAnsi="Times New Roman" w:eastAsia="Times New Roman" w:cs="Times New Roman"/>
              <w:spacing w:val="-1"/>
              <w:sz w:val="18"/>
              <w:szCs w:val="18"/>
            </w:rPr>
            <w:t>24.8.5</w:t>
          </w:r>
          <w:r>
            <w:rPr>
              <w:rFonts w:ascii="Times New Roman" w:hAnsi="Times New Roman" w:eastAsia="Times New Roman" w:cs="Times New Roman"/>
              <w:spacing w:val="10"/>
              <w:sz w:val="18"/>
              <w:szCs w:val="18"/>
            </w:rPr>
            <w:t xml:space="preserve">   </w:t>
          </w:r>
          <w:r>
            <w:rPr>
              <w:spacing w:val="-1"/>
              <w:sz w:val="18"/>
              <w:szCs w:val="18"/>
            </w:rPr>
            <w:t>信息系统安全测评</w:t>
          </w:r>
          <w:r>
            <w:rPr>
              <w:spacing w:val="-53"/>
              <w:sz w:val="18"/>
              <w:szCs w:val="18"/>
            </w:rPr>
            <w:t xml:space="preserve"> </w:t>
          </w:r>
          <w:r>
            <w:rPr>
              <w:sz w:val="18"/>
              <w:szCs w:val="18"/>
            </w:rPr>
            <w:tab/>
          </w:r>
          <w:r>
            <w:rPr>
              <w:rFonts w:ascii="Times New Roman" w:hAnsi="Times New Roman" w:eastAsia="Times New Roman" w:cs="Times New Roman"/>
              <w:spacing w:val="-6"/>
              <w:sz w:val="18"/>
              <w:szCs w:val="18"/>
            </w:rPr>
            <w:t>570</w:t>
          </w:r>
          <w:r>
            <w:rPr>
              <w:rFonts w:ascii="Times New Roman" w:hAnsi="Times New Roman" w:eastAsia="Times New Roman" w:cs="Times New Roman"/>
              <w:spacing w:val="-6"/>
              <w:sz w:val="18"/>
              <w:szCs w:val="18"/>
            </w:rPr>
            <w:fldChar w:fldCharType="end"/>
          </w:r>
        </w:p>
        <w:p w14:paraId="78A0073F">
          <w:pPr>
            <w:pStyle w:val="2"/>
            <w:tabs>
              <w:tab w:val="right" w:leader="dot" w:pos="3931"/>
            </w:tabs>
            <w:spacing w:before="97" w:line="219" w:lineRule="auto"/>
            <w:ind w:left="390"/>
            <w:rPr>
              <w:rFonts w:ascii="Times New Roman" w:hAnsi="Times New Roman" w:eastAsia="Times New Roman" w:cs="Times New Roman"/>
              <w:sz w:val="18"/>
              <w:szCs w:val="18"/>
            </w:rPr>
          </w:pPr>
          <w:bookmarkStart w:id="437" w:name="bookmark426"/>
          <w:bookmarkEnd w:id="437"/>
          <w:r>
            <w:fldChar w:fldCharType="begin"/>
          </w:r>
          <w:r>
            <w:instrText xml:space="preserve"> HYPERLINK \l "bookmark426" </w:instrText>
          </w:r>
          <w:r>
            <w:fldChar w:fldCharType="separate"/>
          </w:r>
          <w:r>
            <w:rPr>
              <w:rFonts w:ascii="Times New Roman" w:hAnsi="Times New Roman" w:eastAsia="Times New Roman" w:cs="Times New Roman"/>
              <w:spacing w:val="-2"/>
              <w:sz w:val="18"/>
              <w:szCs w:val="18"/>
            </w:rPr>
            <w:t>24.8.6</w:t>
          </w:r>
          <w:r>
            <w:rPr>
              <w:rFonts w:ascii="Times New Roman" w:hAnsi="Times New Roman" w:eastAsia="Times New Roman" w:cs="Times New Roman"/>
              <w:spacing w:val="12"/>
              <w:sz w:val="18"/>
              <w:szCs w:val="18"/>
            </w:rPr>
            <w:t xml:space="preserve">   </w:t>
          </w:r>
          <w:r>
            <w:rPr>
              <w:spacing w:val="-2"/>
              <w:sz w:val="18"/>
              <w:szCs w:val="18"/>
            </w:rPr>
            <w:t>应急管理</w:t>
          </w:r>
          <w:r>
            <w:rPr>
              <w:spacing w:val="-52"/>
              <w:sz w:val="18"/>
              <w:szCs w:val="18"/>
            </w:rPr>
            <w:t xml:space="preserve"> </w:t>
          </w:r>
          <w:r>
            <w:rPr>
              <w:sz w:val="18"/>
              <w:szCs w:val="18"/>
            </w:rPr>
            <w:tab/>
          </w:r>
          <w:r>
            <w:rPr>
              <w:rFonts w:ascii="Times New Roman" w:hAnsi="Times New Roman" w:eastAsia="Times New Roman" w:cs="Times New Roman"/>
              <w:sz w:val="18"/>
              <w:szCs w:val="18"/>
            </w:rPr>
            <w:t>570</w:t>
          </w:r>
          <w:r>
            <w:rPr>
              <w:rFonts w:ascii="Times New Roman" w:hAnsi="Times New Roman" w:eastAsia="Times New Roman" w:cs="Times New Roman"/>
              <w:sz w:val="18"/>
              <w:szCs w:val="18"/>
            </w:rPr>
            <w:fldChar w:fldCharType="end"/>
          </w:r>
        </w:p>
        <w:p w14:paraId="1D12A881">
          <w:pPr>
            <w:pStyle w:val="2"/>
            <w:tabs>
              <w:tab w:val="right" w:leader="dot" w:pos="3981"/>
            </w:tabs>
            <w:spacing w:before="96" w:line="219" w:lineRule="auto"/>
            <w:ind w:left="390"/>
            <w:rPr>
              <w:rFonts w:ascii="Times New Roman" w:hAnsi="Times New Roman" w:eastAsia="Times New Roman" w:cs="Times New Roman"/>
              <w:sz w:val="18"/>
              <w:szCs w:val="18"/>
            </w:rPr>
          </w:pPr>
          <w:bookmarkStart w:id="438" w:name="bookmark427"/>
          <w:bookmarkEnd w:id="438"/>
          <w:r>
            <w:fldChar w:fldCharType="begin"/>
          </w:r>
          <w:r>
            <w:instrText xml:space="preserve"> HYPERLINK \l "bookmark427" </w:instrText>
          </w:r>
          <w:r>
            <w:fldChar w:fldCharType="separate"/>
          </w:r>
          <w:r>
            <w:rPr>
              <w:rFonts w:ascii="Times New Roman" w:hAnsi="Times New Roman" w:eastAsia="Times New Roman" w:cs="Times New Roman"/>
              <w:spacing w:val="-1"/>
              <w:sz w:val="18"/>
              <w:szCs w:val="18"/>
            </w:rPr>
            <w:t>24.8.7</w:t>
          </w:r>
          <w:r>
            <w:rPr>
              <w:rFonts w:ascii="Times New Roman" w:hAnsi="Times New Roman" w:eastAsia="Times New Roman" w:cs="Times New Roman"/>
              <w:spacing w:val="3"/>
              <w:sz w:val="18"/>
              <w:szCs w:val="18"/>
            </w:rPr>
            <w:t xml:space="preserve">    </w:t>
          </w:r>
          <w:r>
            <w:rPr>
              <w:spacing w:val="-1"/>
              <w:sz w:val="18"/>
              <w:szCs w:val="18"/>
            </w:rPr>
            <w:t>业务连续性</w:t>
          </w:r>
          <w:r>
            <w:rPr>
              <w:spacing w:val="-52"/>
              <w:sz w:val="18"/>
              <w:szCs w:val="18"/>
            </w:rPr>
            <w:t xml:space="preserve"> </w:t>
          </w:r>
          <w:r>
            <w:rPr>
              <w:sz w:val="18"/>
              <w:szCs w:val="18"/>
            </w:rPr>
            <w:tab/>
          </w:r>
          <w:r>
            <w:rPr>
              <w:rFonts w:ascii="Times New Roman" w:hAnsi="Times New Roman" w:eastAsia="Times New Roman" w:cs="Times New Roman"/>
              <w:sz w:val="18"/>
              <w:szCs w:val="18"/>
            </w:rPr>
            <w:t>571</w:t>
          </w:r>
          <w:r>
            <w:rPr>
              <w:rFonts w:ascii="Times New Roman" w:hAnsi="Times New Roman" w:eastAsia="Times New Roman" w:cs="Times New Roman"/>
              <w:sz w:val="18"/>
              <w:szCs w:val="18"/>
            </w:rPr>
            <w:fldChar w:fldCharType="end"/>
          </w:r>
        </w:p>
        <w:p w14:paraId="63040335">
          <w:pPr>
            <w:pStyle w:val="2"/>
            <w:tabs>
              <w:tab w:val="right" w:leader="dot" w:pos="3951"/>
            </w:tabs>
            <w:spacing w:before="97" w:line="205" w:lineRule="auto"/>
            <w:ind w:left="390"/>
            <w:rPr>
              <w:rFonts w:ascii="Times New Roman" w:hAnsi="Times New Roman" w:eastAsia="Times New Roman" w:cs="Times New Roman"/>
              <w:sz w:val="18"/>
              <w:szCs w:val="18"/>
            </w:rPr>
          </w:pPr>
          <w:bookmarkStart w:id="439" w:name="bookmark428"/>
          <w:bookmarkEnd w:id="439"/>
          <w:r>
            <w:fldChar w:fldCharType="begin"/>
          </w:r>
          <w:r>
            <w:instrText xml:space="preserve"> HYPERLINK \l "bookmark428" </w:instrText>
          </w:r>
          <w:r>
            <w:fldChar w:fldCharType="separate"/>
          </w:r>
          <w:r>
            <w:rPr>
              <w:rFonts w:ascii="Times New Roman" w:hAnsi="Times New Roman" w:eastAsia="Times New Roman" w:cs="Times New Roman"/>
              <w:spacing w:val="1"/>
              <w:sz w:val="18"/>
              <w:szCs w:val="18"/>
            </w:rPr>
            <w:t xml:space="preserve">24.8.8    </w:t>
          </w:r>
          <w:r>
            <w:rPr>
              <w:spacing w:val="1"/>
              <w:sz w:val="18"/>
              <w:szCs w:val="18"/>
            </w:rPr>
            <w:t>网络安全审查</w:t>
          </w:r>
          <w:r>
            <w:rPr>
              <w:spacing w:val="-68"/>
              <w:sz w:val="18"/>
              <w:szCs w:val="18"/>
            </w:rPr>
            <w:t xml:space="preserve"> </w:t>
          </w:r>
          <w:r>
            <w:rPr>
              <w:sz w:val="18"/>
              <w:szCs w:val="18"/>
            </w:rPr>
            <w:tab/>
          </w:r>
          <w:r>
            <w:rPr>
              <w:rFonts w:ascii="Times New Roman" w:hAnsi="Times New Roman" w:eastAsia="Times New Roman" w:cs="Times New Roman"/>
              <w:sz w:val="18"/>
              <w:szCs w:val="18"/>
            </w:rPr>
            <w:t>571</w:t>
          </w:r>
          <w:r>
            <w:rPr>
              <w:rFonts w:ascii="Times New Roman" w:hAnsi="Times New Roman" w:eastAsia="Times New Roman" w:cs="Times New Roman"/>
              <w:sz w:val="18"/>
              <w:szCs w:val="18"/>
            </w:rPr>
            <w:fldChar w:fldCharType="end"/>
          </w:r>
        </w:p>
      </w:sdtContent>
    </w:sdt>
    <w:p w14:paraId="789D129F">
      <w:pPr>
        <w:spacing w:line="205" w:lineRule="auto"/>
        <w:rPr>
          <w:rFonts w:ascii="Times New Roman" w:hAnsi="Times New Roman" w:eastAsia="Times New Roman" w:cs="Times New Roman"/>
          <w:sz w:val="18"/>
          <w:szCs w:val="18"/>
        </w:rPr>
        <w:sectPr>
          <w:pgSz w:w="10340" w:h="13320"/>
          <w:pgMar w:top="400" w:right="10" w:bottom="400" w:left="1180" w:header="0" w:footer="0" w:gutter="0"/>
          <w:cols w:equalWidth="0" w:num="2">
            <w:col w:w="4270" w:space="100"/>
            <w:col w:w="4780"/>
          </w:cols>
        </w:sectPr>
      </w:pPr>
    </w:p>
    <w:p w14:paraId="6D11D9A5">
      <w:pPr>
        <w:pStyle w:val="2"/>
        <w:rPr>
          <w:sz w:val="18"/>
          <w:szCs w:val="18"/>
        </w:rPr>
      </w:pPr>
      <w:r>
        <w:rPr>
          <w:rFonts w:ascii="Times New Roman" w:hAnsi="Times New Roman" w:eastAsia="Times New Roman" w:cs="Times New Roman"/>
          <w:spacing w:val="13"/>
          <w:sz w:val="26"/>
          <w:szCs w:val="26"/>
        </w:rPr>
        <w:t>X</w:t>
      </w:r>
      <w:r>
        <w:rPr>
          <w:rFonts w:ascii="Times New Roman" w:hAnsi="Times New Roman" w:eastAsia="Times New Roman" w:cs="Times New Roman"/>
          <w:spacing w:val="60"/>
          <w:sz w:val="26"/>
          <w:szCs w:val="26"/>
        </w:rPr>
        <w:t xml:space="preserve"> </w:t>
      </w:r>
      <w:r>
        <w:rPr>
          <w:position w:val="-7"/>
          <w:sz w:val="26"/>
          <w:szCs w:val="26"/>
        </w:rPr>
        <w:drawing>
          <wp:inline distT="0" distB="0" distL="0" distR="0">
            <wp:extent cx="266065" cy="20256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6"/>
                    <a:stretch>
                      <a:fillRect/>
                    </a:stretch>
                  </pic:blipFill>
                  <pic:spPr>
                    <a:xfrm>
                      <a:off x="0" y="0"/>
                      <a:ext cx="266690" cy="203175"/>
                    </a:xfrm>
                    <a:prstGeom prst="rect">
                      <a:avLst/>
                    </a:prstGeom>
                  </pic:spPr>
                </pic:pic>
              </a:graphicData>
            </a:graphic>
          </wp:inline>
        </w:drawing>
      </w:r>
      <w:r>
        <w:rPr>
          <w:rFonts w:ascii="Times New Roman" w:hAnsi="Times New Roman" w:eastAsia="Times New Roman" w:cs="Times New Roman"/>
          <w:spacing w:val="30"/>
          <w:sz w:val="26"/>
          <w:szCs w:val="26"/>
        </w:rPr>
        <w:t xml:space="preserve">  </w:t>
      </w:r>
      <w:r>
        <w:rPr>
          <w:spacing w:val="13"/>
          <w:sz w:val="18"/>
          <w:szCs w:val="18"/>
        </w:rPr>
        <w:t>信息系统监理师教程(第2版)</w:t>
      </w:r>
    </w:p>
    <w:p w14:paraId="2CAF22B0">
      <w:pPr>
        <w:spacing w:before="135"/>
      </w:pPr>
    </w:p>
    <w:p w14:paraId="4144C24F">
      <w:pPr>
        <w:sectPr>
          <w:pgSz w:w="10370" w:h="13410"/>
          <w:pgMar w:top="400" w:right="1218" w:bottom="400" w:left="539" w:header="0" w:footer="0" w:gutter="0"/>
          <w:cols w:equalWidth="0" w:num="1">
            <w:col w:w="8612"/>
          </w:cols>
        </w:sectPr>
      </w:pPr>
    </w:p>
    <w:sdt>
      <w:sdtPr>
        <w:rPr>
          <w:rFonts w:ascii="Times New Roman" w:hAnsi="Times New Roman" w:eastAsia="Times New Roman" w:cs="Times New Roman"/>
          <w:sz w:val="18"/>
          <w:szCs w:val="18"/>
        </w:rPr>
        <w:id w:val="147460289"/>
        <w:docPartObj>
          <w:docPartGallery w:val="Table of Contents"/>
          <w:docPartUnique/>
        </w:docPartObj>
      </w:sdtPr>
      <w:sdtEndPr>
        <w:rPr>
          <w:rFonts w:ascii="Times New Roman" w:hAnsi="Times New Roman" w:eastAsia="Times New Roman" w:cs="Times New Roman"/>
          <w:sz w:val="18"/>
          <w:szCs w:val="18"/>
        </w:rPr>
      </w:sdtEndPr>
      <w:sdtContent>
        <w:p w14:paraId="54DCCE92">
          <w:pPr>
            <w:pStyle w:val="2"/>
            <w:tabs>
              <w:tab w:val="right" w:leader="dot" w:pos="4061"/>
            </w:tabs>
            <w:spacing w:before="20" w:line="219" w:lineRule="auto"/>
            <w:ind w:left="290"/>
            <w:rPr>
              <w:rFonts w:ascii="Times New Roman" w:hAnsi="Times New Roman" w:eastAsia="Times New Roman" w:cs="Times New Roman"/>
              <w:sz w:val="18"/>
              <w:szCs w:val="18"/>
            </w:rPr>
          </w:pPr>
          <w:bookmarkStart w:id="440" w:name="bookmark429"/>
          <w:bookmarkEnd w:id="440"/>
          <w:r>
            <w:fldChar w:fldCharType="begin"/>
          </w:r>
          <w:r>
            <w:instrText xml:space="preserve"> HYPERLINK \l "bookmark429" </w:instrText>
          </w:r>
          <w:r>
            <w:fldChar w:fldCharType="separate"/>
          </w:r>
          <w:r>
            <w:rPr>
              <w:rFonts w:ascii="Times New Roman" w:hAnsi="Times New Roman" w:eastAsia="Times New Roman" w:cs="Times New Roman"/>
              <w:spacing w:val="-1"/>
              <w:sz w:val="18"/>
              <w:szCs w:val="18"/>
            </w:rPr>
            <w:t>24.9</w:t>
          </w:r>
          <w:r>
            <w:rPr>
              <w:rFonts w:ascii="Times New Roman" w:hAnsi="Times New Roman" w:eastAsia="Times New Roman" w:cs="Times New Roman"/>
              <w:spacing w:val="15"/>
              <w:sz w:val="18"/>
              <w:szCs w:val="18"/>
            </w:rPr>
            <w:t xml:space="preserve">   </w:t>
          </w:r>
          <w:r>
            <w:rPr>
              <w:spacing w:val="-1"/>
              <w:sz w:val="18"/>
              <w:szCs w:val="18"/>
            </w:rPr>
            <w:t>信息安全关键技术要求</w:t>
          </w:r>
          <w:r>
            <w:rPr>
              <w:spacing w:val="-53"/>
              <w:sz w:val="18"/>
              <w:szCs w:val="18"/>
            </w:rPr>
            <w:t xml:space="preserve"> </w:t>
          </w:r>
          <w:r>
            <w:rPr>
              <w:sz w:val="18"/>
              <w:szCs w:val="18"/>
            </w:rPr>
            <w:tab/>
          </w:r>
          <w:r>
            <w:rPr>
              <w:rFonts w:ascii="Times New Roman" w:hAnsi="Times New Roman" w:eastAsia="Times New Roman" w:cs="Times New Roman"/>
              <w:sz w:val="18"/>
              <w:szCs w:val="18"/>
            </w:rPr>
            <w:t>571</w:t>
          </w:r>
          <w:r>
            <w:rPr>
              <w:rFonts w:ascii="Times New Roman" w:hAnsi="Times New Roman" w:eastAsia="Times New Roman" w:cs="Times New Roman"/>
              <w:sz w:val="18"/>
              <w:szCs w:val="18"/>
            </w:rPr>
            <w:fldChar w:fldCharType="end"/>
          </w:r>
        </w:p>
        <w:p w14:paraId="10396684">
          <w:pPr>
            <w:pStyle w:val="2"/>
            <w:tabs>
              <w:tab w:val="right" w:leader="dot" w:pos="4231"/>
            </w:tabs>
            <w:spacing w:before="107" w:line="221" w:lineRule="auto"/>
            <w:ind w:left="680"/>
            <w:rPr>
              <w:rFonts w:ascii="Times New Roman" w:hAnsi="Times New Roman" w:eastAsia="Times New Roman" w:cs="Times New Roman"/>
              <w:sz w:val="18"/>
              <w:szCs w:val="18"/>
            </w:rPr>
          </w:pPr>
          <w:bookmarkStart w:id="441" w:name="bookmark430"/>
          <w:bookmarkEnd w:id="441"/>
          <w:r>
            <w:fldChar w:fldCharType="begin"/>
          </w:r>
          <w:r>
            <w:instrText xml:space="preserve"> HYPERLINK \l "bookmark430" </w:instrText>
          </w:r>
          <w:r>
            <w:fldChar w:fldCharType="separate"/>
          </w:r>
          <w:r>
            <w:rPr>
              <w:rFonts w:ascii="Times New Roman" w:hAnsi="Times New Roman" w:eastAsia="Times New Roman" w:cs="Times New Roman"/>
              <w:spacing w:val="1"/>
              <w:sz w:val="18"/>
              <w:szCs w:val="18"/>
            </w:rPr>
            <w:t>24.9.1</w:t>
          </w:r>
          <w:r>
            <w:rPr>
              <w:rFonts w:ascii="Times New Roman" w:hAnsi="Times New Roman" w:eastAsia="Times New Roman" w:cs="Times New Roman"/>
              <w:spacing w:val="10"/>
              <w:sz w:val="18"/>
              <w:szCs w:val="18"/>
            </w:rPr>
            <w:t xml:space="preserve">   </w:t>
          </w:r>
          <w:r>
            <w:rPr>
              <w:spacing w:val="1"/>
              <w:sz w:val="18"/>
              <w:szCs w:val="18"/>
            </w:rPr>
            <w:t>物理安全</w:t>
          </w:r>
          <w:r>
            <w:rPr>
              <w:spacing w:val="-67"/>
              <w:sz w:val="18"/>
              <w:szCs w:val="18"/>
            </w:rPr>
            <w:t xml:space="preserve"> </w:t>
          </w:r>
          <w:r>
            <w:rPr>
              <w:sz w:val="18"/>
              <w:szCs w:val="18"/>
            </w:rPr>
            <w:tab/>
          </w:r>
          <w:r>
            <w:rPr>
              <w:rFonts w:ascii="Times New Roman" w:hAnsi="Times New Roman" w:eastAsia="Times New Roman" w:cs="Times New Roman"/>
              <w:sz w:val="18"/>
              <w:szCs w:val="18"/>
            </w:rPr>
            <w:t>571</w:t>
          </w:r>
          <w:r>
            <w:rPr>
              <w:rFonts w:ascii="Times New Roman" w:hAnsi="Times New Roman" w:eastAsia="Times New Roman" w:cs="Times New Roman"/>
              <w:sz w:val="18"/>
              <w:szCs w:val="18"/>
            </w:rPr>
            <w:fldChar w:fldCharType="end"/>
          </w:r>
        </w:p>
        <w:p w14:paraId="778AA274">
          <w:pPr>
            <w:pStyle w:val="2"/>
            <w:tabs>
              <w:tab w:val="right" w:leader="dot" w:pos="2591"/>
            </w:tabs>
            <w:spacing w:before="114" w:line="221" w:lineRule="auto"/>
            <w:ind w:left="680"/>
            <w:rPr>
              <w:sz w:val="18"/>
              <w:szCs w:val="18"/>
            </w:rPr>
          </w:pPr>
          <w:bookmarkStart w:id="442" w:name="bookmark431"/>
          <w:bookmarkEnd w:id="442"/>
          <w:r>
            <w:fldChar w:fldCharType="begin"/>
          </w:r>
          <w:r>
            <w:instrText xml:space="preserve"> HYPERLINK \l "bookmark431" </w:instrText>
          </w:r>
          <w:r>
            <w:fldChar w:fldCharType="separate"/>
          </w:r>
          <w:r>
            <w:rPr>
              <w:spacing w:val="-2"/>
              <w:sz w:val="18"/>
              <w:szCs w:val="18"/>
            </w:rPr>
            <w:t>24.9.2 网络安全</w:t>
          </w:r>
          <w:r>
            <w:rPr>
              <w:spacing w:val="-29"/>
              <w:sz w:val="18"/>
              <w:szCs w:val="18"/>
            </w:rPr>
            <w:t xml:space="preserve"> </w:t>
          </w:r>
          <w:r>
            <w:rPr>
              <w:sz w:val="18"/>
              <w:szCs w:val="18"/>
            </w:rPr>
            <w:tab/>
          </w:r>
          <w:r>
            <w:rPr>
              <w:sz w:val="18"/>
              <w:szCs w:val="18"/>
            </w:rPr>
            <w:fldChar w:fldCharType="end"/>
          </w:r>
        </w:p>
        <w:p w14:paraId="29FE2046">
          <w:pPr>
            <w:tabs>
              <w:tab w:val="right" w:leader="dot" w:pos="4237"/>
            </w:tabs>
            <w:spacing w:before="91" w:line="242" w:lineRule="auto"/>
            <w:ind w:left="3760"/>
            <w:rPr>
              <w:rFonts w:ascii="黑体" w:hAnsi="黑体" w:eastAsia="黑体" w:cs="黑体"/>
              <w:sz w:val="18"/>
              <w:szCs w:val="18"/>
            </w:rPr>
          </w:pPr>
          <w:bookmarkStart w:id="443" w:name="bookmark432"/>
          <w:bookmarkEnd w:id="443"/>
          <w:r>
            <w:fldChar w:fldCharType="begin"/>
          </w:r>
          <w:r>
            <w:instrText xml:space="preserve"> HYPERLINK \l "bookmark432" </w:instrText>
          </w:r>
          <w:r>
            <w:fldChar w:fldCharType="separate"/>
          </w:r>
          <w:r>
            <w:rPr>
              <w:rFonts w:ascii="黑体" w:hAnsi="黑体" w:eastAsia="黑体" w:cs="黑体"/>
              <w:sz w:val="18"/>
              <w:szCs w:val="18"/>
            </w:rPr>
            <w:tab/>
          </w:r>
          <w:r>
            <w:rPr>
              <w:rFonts w:ascii="黑体" w:hAnsi="黑体" w:eastAsia="黑体" w:cs="黑体"/>
              <w:spacing w:val="-43"/>
              <w:sz w:val="18"/>
              <w:szCs w:val="18"/>
            </w:rPr>
            <w:t xml:space="preserve"> </w:t>
          </w:r>
          <w:r>
            <w:rPr>
              <w:rFonts w:ascii="黑体" w:hAnsi="黑体" w:eastAsia="黑体" w:cs="黑体"/>
              <w:spacing w:val="-1"/>
              <w:sz w:val="18"/>
              <w:szCs w:val="18"/>
            </w:rPr>
            <w:t>574</w:t>
          </w:r>
          <w:r>
            <w:rPr>
              <w:rFonts w:ascii="黑体" w:hAnsi="黑体" w:eastAsia="黑体" w:cs="黑体"/>
              <w:spacing w:val="-1"/>
              <w:sz w:val="18"/>
              <w:szCs w:val="18"/>
            </w:rPr>
            <w:fldChar w:fldCharType="end"/>
          </w:r>
        </w:p>
        <w:p w14:paraId="468C65EC">
          <w:pPr>
            <w:pStyle w:val="2"/>
            <w:tabs>
              <w:tab w:val="right" w:leader="dot" w:pos="4221"/>
            </w:tabs>
            <w:spacing w:before="77" w:line="221" w:lineRule="auto"/>
            <w:ind w:left="680"/>
            <w:rPr>
              <w:rFonts w:ascii="Times New Roman" w:hAnsi="Times New Roman" w:eastAsia="Times New Roman" w:cs="Times New Roman"/>
              <w:sz w:val="18"/>
              <w:szCs w:val="18"/>
            </w:rPr>
          </w:pPr>
          <w:bookmarkStart w:id="444" w:name="bookmark433"/>
          <w:bookmarkEnd w:id="444"/>
          <w:r>
            <w:fldChar w:fldCharType="begin"/>
          </w:r>
          <w:r>
            <w:instrText xml:space="preserve"> HYPERLINK \l "bookmark433" </w:instrText>
          </w:r>
          <w:r>
            <w:fldChar w:fldCharType="separate"/>
          </w:r>
          <w:r>
            <w:rPr>
              <w:rFonts w:ascii="Times New Roman" w:hAnsi="Times New Roman" w:eastAsia="Times New Roman" w:cs="Times New Roman"/>
              <w:spacing w:val="1"/>
              <w:sz w:val="18"/>
              <w:szCs w:val="18"/>
            </w:rPr>
            <w:t>24.9.4</w:t>
          </w:r>
          <w:r>
            <w:rPr>
              <w:rFonts w:ascii="Times New Roman" w:hAnsi="Times New Roman" w:eastAsia="Times New Roman" w:cs="Times New Roman"/>
              <w:spacing w:val="10"/>
              <w:sz w:val="18"/>
              <w:szCs w:val="18"/>
            </w:rPr>
            <w:t xml:space="preserve">   </w:t>
          </w:r>
          <w:r>
            <w:rPr>
              <w:spacing w:val="1"/>
              <w:sz w:val="18"/>
              <w:szCs w:val="18"/>
            </w:rPr>
            <w:t>应用系统安全</w:t>
          </w:r>
          <w:r>
            <w:rPr>
              <w:spacing w:val="-69"/>
              <w:sz w:val="18"/>
              <w:szCs w:val="18"/>
            </w:rPr>
            <w:t xml:space="preserve"> </w:t>
          </w:r>
          <w:r>
            <w:rPr>
              <w:sz w:val="18"/>
              <w:szCs w:val="18"/>
            </w:rPr>
            <w:tab/>
          </w:r>
          <w:r>
            <w:rPr>
              <w:rFonts w:ascii="Times New Roman" w:hAnsi="Times New Roman" w:eastAsia="Times New Roman" w:cs="Times New Roman"/>
              <w:sz w:val="18"/>
              <w:szCs w:val="18"/>
            </w:rPr>
            <w:t>576</w:t>
          </w:r>
          <w:r>
            <w:rPr>
              <w:rFonts w:ascii="Times New Roman" w:hAnsi="Times New Roman" w:eastAsia="Times New Roman" w:cs="Times New Roman"/>
              <w:sz w:val="18"/>
              <w:szCs w:val="18"/>
            </w:rPr>
            <w:fldChar w:fldCharType="end"/>
          </w:r>
        </w:p>
        <w:p w14:paraId="0B7318FF">
          <w:pPr>
            <w:pStyle w:val="2"/>
            <w:tabs>
              <w:tab w:val="right" w:leader="dot" w:pos="4221"/>
            </w:tabs>
            <w:spacing w:before="114" w:line="219" w:lineRule="auto"/>
            <w:ind w:left="680"/>
            <w:rPr>
              <w:rFonts w:ascii="Times New Roman" w:hAnsi="Times New Roman" w:eastAsia="Times New Roman" w:cs="Times New Roman"/>
              <w:sz w:val="18"/>
              <w:szCs w:val="18"/>
            </w:rPr>
          </w:pPr>
          <w:bookmarkStart w:id="445" w:name="bookmark434"/>
          <w:bookmarkEnd w:id="445"/>
          <w:r>
            <w:fldChar w:fldCharType="begin"/>
          </w:r>
          <w:r>
            <w:instrText xml:space="preserve"> HYPERLINK \l "bookmark434" </w:instrText>
          </w:r>
          <w:r>
            <w:fldChar w:fldCharType="separate"/>
          </w:r>
          <w:r>
            <w:rPr>
              <w:rFonts w:ascii="Times New Roman" w:hAnsi="Times New Roman" w:eastAsia="Times New Roman" w:cs="Times New Roman"/>
              <w:sz w:val="18"/>
              <w:szCs w:val="18"/>
            </w:rPr>
            <w:t>24.9.5</w:t>
          </w:r>
          <w:r>
            <w:rPr>
              <w:rFonts w:ascii="Times New Roman" w:hAnsi="Times New Roman" w:eastAsia="Times New Roman" w:cs="Times New Roman"/>
              <w:spacing w:val="17"/>
              <w:w w:val="101"/>
              <w:sz w:val="18"/>
              <w:szCs w:val="18"/>
            </w:rPr>
            <w:t xml:space="preserve">   </w:t>
          </w:r>
          <w:r>
            <w:rPr>
              <w:sz w:val="18"/>
              <w:szCs w:val="18"/>
            </w:rPr>
            <w:t>数据备份与灾难恢复</w:t>
          </w:r>
          <w:r>
            <w:rPr>
              <w:spacing w:val="-69"/>
              <w:sz w:val="18"/>
              <w:szCs w:val="18"/>
            </w:rPr>
            <w:t xml:space="preserve"> </w:t>
          </w:r>
          <w:r>
            <w:rPr>
              <w:sz w:val="18"/>
              <w:szCs w:val="18"/>
            </w:rPr>
            <w:tab/>
          </w:r>
          <w:r>
            <w:rPr>
              <w:rFonts w:ascii="Times New Roman" w:hAnsi="Times New Roman" w:eastAsia="Times New Roman" w:cs="Times New Roman"/>
              <w:spacing w:val="1"/>
              <w:sz w:val="18"/>
              <w:szCs w:val="18"/>
            </w:rPr>
            <w:t>577</w:t>
          </w:r>
          <w:r>
            <w:rPr>
              <w:rFonts w:ascii="Times New Roman" w:hAnsi="Times New Roman" w:eastAsia="Times New Roman" w:cs="Times New Roman"/>
              <w:spacing w:val="1"/>
              <w:sz w:val="18"/>
              <w:szCs w:val="18"/>
            </w:rPr>
            <w:fldChar w:fldCharType="end"/>
          </w:r>
        </w:p>
        <w:p w14:paraId="2F79A9AC">
          <w:pPr>
            <w:pStyle w:val="2"/>
            <w:spacing w:before="292" w:line="219" w:lineRule="auto"/>
            <w:ind w:left="292"/>
            <w:rPr>
              <w:rFonts w:ascii="Times New Roman" w:hAnsi="Times New Roman" w:eastAsia="Times New Roman" w:cs="Times New Roman"/>
              <w:sz w:val="18"/>
              <w:szCs w:val="18"/>
            </w:rPr>
          </w:pPr>
          <w:bookmarkStart w:id="446" w:name="bookmark435"/>
          <w:bookmarkEnd w:id="446"/>
          <w:r>
            <w:fldChar w:fldCharType="begin"/>
          </w:r>
          <w:r>
            <w:instrText xml:space="preserve"> HYPERLINK \l "bookmark435" </w:instrText>
          </w:r>
          <w:r>
            <w:fldChar w:fldCharType="separate"/>
          </w:r>
          <w:r>
            <w:rPr>
              <w:b/>
              <w:bCs/>
              <w:spacing w:val="8"/>
              <w:sz w:val="18"/>
              <w:szCs w:val="18"/>
            </w:rPr>
            <w:t>第</w:t>
          </w:r>
          <w:r>
            <w:rPr>
              <w:spacing w:val="-1"/>
              <w:sz w:val="18"/>
              <w:szCs w:val="18"/>
            </w:rPr>
            <w:t xml:space="preserve"> </w:t>
          </w:r>
          <w:r>
            <w:rPr>
              <w:b/>
              <w:bCs/>
              <w:spacing w:val="8"/>
              <w:sz w:val="18"/>
              <w:szCs w:val="18"/>
            </w:rPr>
            <w:t>2</w:t>
          </w:r>
          <w:r>
            <w:rPr>
              <w:spacing w:val="-11"/>
              <w:sz w:val="18"/>
              <w:szCs w:val="18"/>
            </w:rPr>
            <w:t xml:space="preserve"> </w:t>
          </w:r>
          <w:r>
            <w:rPr>
              <w:b/>
              <w:bCs/>
              <w:spacing w:val="8"/>
              <w:sz w:val="18"/>
              <w:szCs w:val="18"/>
            </w:rPr>
            <w:t>5</w:t>
          </w:r>
          <w:r>
            <w:rPr>
              <w:spacing w:val="8"/>
              <w:sz w:val="18"/>
              <w:szCs w:val="18"/>
            </w:rPr>
            <w:t xml:space="preserve"> </w:t>
          </w:r>
          <w:r>
            <w:rPr>
              <w:b/>
              <w:bCs/>
              <w:spacing w:val="8"/>
              <w:sz w:val="18"/>
              <w:szCs w:val="18"/>
            </w:rPr>
            <w:t>章</w:t>
          </w:r>
          <w:r>
            <w:rPr>
              <w:spacing w:val="37"/>
              <w:sz w:val="18"/>
              <w:szCs w:val="18"/>
            </w:rPr>
            <w:t xml:space="preserve"> </w:t>
          </w:r>
          <w:r>
            <w:rPr>
              <w:b/>
              <w:bCs/>
              <w:spacing w:val="8"/>
              <w:sz w:val="18"/>
              <w:szCs w:val="18"/>
            </w:rPr>
            <w:t>运行维护监理</w:t>
          </w:r>
          <w:r>
            <w:rPr>
              <w:sz w:val="18"/>
              <w:szCs w:val="18"/>
            </w:rPr>
            <w:t xml:space="preserve">                </w:t>
          </w:r>
          <w:r>
            <w:rPr>
              <w:rFonts w:ascii="Times New Roman" w:hAnsi="Times New Roman" w:eastAsia="Times New Roman" w:cs="Times New Roman"/>
              <w:b/>
              <w:bCs/>
              <w:spacing w:val="8"/>
              <w:sz w:val="18"/>
              <w:szCs w:val="18"/>
            </w:rPr>
            <w:t>578</w:t>
          </w:r>
          <w:r>
            <w:rPr>
              <w:rFonts w:ascii="Times New Roman" w:hAnsi="Times New Roman" w:eastAsia="Times New Roman" w:cs="Times New Roman"/>
              <w:b/>
              <w:bCs/>
              <w:spacing w:val="8"/>
              <w:sz w:val="18"/>
              <w:szCs w:val="18"/>
            </w:rPr>
            <w:fldChar w:fldCharType="end"/>
          </w:r>
        </w:p>
        <w:p w14:paraId="2AD19705">
          <w:pPr>
            <w:pStyle w:val="2"/>
            <w:tabs>
              <w:tab w:val="right" w:leader="dot" w:pos="4201"/>
            </w:tabs>
            <w:spacing w:before="261" w:line="219" w:lineRule="auto"/>
            <w:ind w:left="290"/>
            <w:rPr>
              <w:rFonts w:ascii="Times New Roman" w:hAnsi="Times New Roman" w:eastAsia="Times New Roman" w:cs="Times New Roman"/>
              <w:sz w:val="18"/>
              <w:szCs w:val="18"/>
            </w:rPr>
          </w:pPr>
          <w:bookmarkStart w:id="447" w:name="bookmark436"/>
          <w:bookmarkEnd w:id="447"/>
          <w:r>
            <w:fldChar w:fldCharType="begin"/>
          </w:r>
          <w:r>
            <w:instrText xml:space="preserve"> HYPERLINK \l "bookmark436" </w:instrText>
          </w:r>
          <w:r>
            <w:fldChar w:fldCharType="separate"/>
          </w:r>
          <w:r>
            <w:rPr>
              <w:rFonts w:ascii="Times New Roman" w:hAnsi="Times New Roman" w:eastAsia="Times New Roman" w:cs="Times New Roman"/>
              <w:spacing w:val="-2"/>
              <w:sz w:val="18"/>
              <w:szCs w:val="18"/>
            </w:rPr>
            <w:t>25.1</w:t>
          </w:r>
          <w:r>
            <w:rPr>
              <w:rFonts w:ascii="Times New Roman" w:hAnsi="Times New Roman" w:eastAsia="Times New Roman" w:cs="Times New Roman"/>
              <w:spacing w:val="2"/>
              <w:sz w:val="18"/>
              <w:szCs w:val="18"/>
            </w:rPr>
            <w:t xml:space="preserve">    </w:t>
          </w:r>
          <w:r>
            <w:rPr>
              <w:spacing w:val="-2"/>
              <w:sz w:val="18"/>
              <w:szCs w:val="18"/>
            </w:rPr>
            <w:t>概述</w:t>
          </w:r>
          <w:r>
            <w:rPr>
              <w:spacing w:val="-53"/>
              <w:sz w:val="18"/>
              <w:szCs w:val="18"/>
            </w:rPr>
            <w:t xml:space="preserve"> </w:t>
          </w:r>
          <w:r>
            <w:rPr>
              <w:sz w:val="18"/>
              <w:szCs w:val="18"/>
            </w:rPr>
            <w:tab/>
          </w:r>
          <w:r>
            <w:rPr>
              <w:rFonts w:ascii="Times New Roman" w:hAnsi="Times New Roman" w:eastAsia="Times New Roman" w:cs="Times New Roman"/>
              <w:sz w:val="18"/>
              <w:szCs w:val="18"/>
            </w:rPr>
            <w:t>578</w:t>
          </w:r>
          <w:r>
            <w:rPr>
              <w:rFonts w:ascii="Times New Roman" w:hAnsi="Times New Roman" w:eastAsia="Times New Roman" w:cs="Times New Roman"/>
              <w:sz w:val="18"/>
              <w:szCs w:val="18"/>
            </w:rPr>
            <w:fldChar w:fldCharType="end"/>
          </w:r>
        </w:p>
        <w:p w14:paraId="27BCF6BA">
          <w:pPr>
            <w:pStyle w:val="2"/>
            <w:tabs>
              <w:tab w:val="right" w:leader="dot" w:pos="4211"/>
            </w:tabs>
            <w:spacing w:before="105" w:line="219" w:lineRule="auto"/>
            <w:ind w:left="680"/>
            <w:rPr>
              <w:rFonts w:ascii="Times New Roman" w:hAnsi="Times New Roman" w:eastAsia="Times New Roman" w:cs="Times New Roman"/>
              <w:sz w:val="18"/>
              <w:szCs w:val="18"/>
            </w:rPr>
          </w:pPr>
          <w:bookmarkStart w:id="448" w:name="bookmark437"/>
          <w:bookmarkEnd w:id="448"/>
          <w:r>
            <w:fldChar w:fldCharType="begin"/>
          </w:r>
          <w:r>
            <w:instrText xml:space="preserve"> HYPERLINK \l "bookmark437" </w:instrText>
          </w:r>
          <w:r>
            <w:fldChar w:fldCharType="separate"/>
          </w:r>
          <w:r>
            <w:rPr>
              <w:rFonts w:ascii="Times New Roman" w:hAnsi="Times New Roman" w:eastAsia="Times New Roman" w:cs="Times New Roman"/>
              <w:spacing w:val="1"/>
              <w:sz w:val="18"/>
              <w:szCs w:val="18"/>
            </w:rPr>
            <w:t>25.1.1</w:t>
          </w:r>
          <w:r>
            <w:rPr>
              <w:rFonts w:ascii="Times New Roman" w:hAnsi="Times New Roman" w:eastAsia="Times New Roman" w:cs="Times New Roman"/>
              <w:spacing w:val="13"/>
              <w:w w:val="101"/>
              <w:sz w:val="18"/>
              <w:szCs w:val="18"/>
            </w:rPr>
            <w:t xml:space="preserve">   </w:t>
          </w:r>
          <w:r>
            <w:rPr>
              <w:spacing w:val="1"/>
              <w:sz w:val="18"/>
              <w:szCs w:val="18"/>
            </w:rPr>
            <w:t>基本概念</w:t>
          </w:r>
          <w:r>
            <w:rPr>
              <w:spacing w:val="-67"/>
              <w:sz w:val="18"/>
              <w:szCs w:val="18"/>
            </w:rPr>
            <w:t xml:space="preserve"> </w:t>
          </w:r>
          <w:r>
            <w:rPr>
              <w:sz w:val="18"/>
              <w:szCs w:val="18"/>
            </w:rPr>
            <w:tab/>
          </w:r>
          <w:r>
            <w:rPr>
              <w:rFonts w:ascii="Times New Roman" w:hAnsi="Times New Roman" w:eastAsia="Times New Roman" w:cs="Times New Roman"/>
              <w:sz w:val="18"/>
              <w:szCs w:val="18"/>
            </w:rPr>
            <w:t>579</w:t>
          </w:r>
          <w:r>
            <w:rPr>
              <w:rFonts w:ascii="Times New Roman" w:hAnsi="Times New Roman" w:eastAsia="Times New Roman" w:cs="Times New Roman"/>
              <w:sz w:val="18"/>
              <w:szCs w:val="18"/>
            </w:rPr>
            <w:fldChar w:fldCharType="end"/>
          </w:r>
        </w:p>
        <w:p w14:paraId="32880970">
          <w:pPr>
            <w:pStyle w:val="2"/>
            <w:tabs>
              <w:tab w:val="right" w:leader="dot" w:pos="4221"/>
            </w:tabs>
            <w:spacing w:before="118" w:line="220" w:lineRule="auto"/>
            <w:ind w:left="680"/>
            <w:rPr>
              <w:rFonts w:ascii="Times New Roman" w:hAnsi="Times New Roman" w:eastAsia="Times New Roman" w:cs="Times New Roman"/>
              <w:sz w:val="18"/>
              <w:szCs w:val="18"/>
            </w:rPr>
          </w:pPr>
          <w:bookmarkStart w:id="449" w:name="bookmark438"/>
          <w:bookmarkEnd w:id="449"/>
          <w:r>
            <w:fldChar w:fldCharType="begin"/>
          </w:r>
          <w:r>
            <w:instrText xml:space="preserve"> HYPERLINK \l "bookmark438" </w:instrText>
          </w:r>
          <w:r>
            <w:fldChar w:fldCharType="separate"/>
          </w:r>
          <w:r>
            <w:rPr>
              <w:rFonts w:ascii="Times New Roman" w:hAnsi="Times New Roman" w:eastAsia="Times New Roman" w:cs="Times New Roman"/>
              <w:spacing w:val="-1"/>
              <w:sz w:val="18"/>
              <w:szCs w:val="18"/>
            </w:rPr>
            <w:t xml:space="preserve">25.1.2    </w:t>
          </w:r>
          <w:r>
            <w:rPr>
              <w:spacing w:val="-1"/>
              <w:sz w:val="18"/>
              <w:szCs w:val="18"/>
            </w:rPr>
            <w:t>运行维护监理与建设监理的对比</w:t>
          </w:r>
          <w:r>
            <w:rPr>
              <w:spacing w:val="-38"/>
              <w:sz w:val="18"/>
              <w:szCs w:val="18"/>
            </w:rPr>
            <w:t xml:space="preserve"> </w:t>
          </w:r>
          <w:r>
            <w:rPr>
              <w:sz w:val="18"/>
              <w:szCs w:val="18"/>
            </w:rPr>
            <w:tab/>
          </w:r>
          <w:r>
            <w:rPr>
              <w:rFonts w:ascii="Times New Roman" w:hAnsi="Times New Roman" w:eastAsia="Times New Roman" w:cs="Times New Roman"/>
              <w:spacing w:val="3"/>
              <w:sz w:val="18"/>
              <w:szCs w:val="18"/>
            </w:rPr>
            <w:t>579</w:t>
          </w:r>
          <w:r>
            <w:rPr>
              <w:rFonts w:ascii="Times New Roman" w:hAnsi="Times New Roman" w:eastAsia="Times New Roman" w:cs="Times New Roman"/>
              <w:spacing w:val="3"/>
              <w:sz w:val="18"/>
              <w:szCs w:val="18"/>
            </w:rPr>
            <w:fldChar w:fldCharType="end"/>
          </w:r>
        </w:p>
        <w:p w14:paraId="0056A4C9">
          <w:pPr>
            <w:pStyle w:val="2"/>
            <w:tabs>
              <w:tab w:val="right" w:leader="dot" w:pos="4201"/>
            </w:tabs>
            <w:spacing w:before="85" w:line="220" w:lineRule="auto"/>
            <w:ind w:left="680"/>
            <w:rPr>
              <w:rFonts w:ascii="Times New Roman" w:hAnsi="Times New Roman" w:eastAsia="Times New Roman" w:cs="Times New Roman"/>
              <w:sz w:val="18"/>
              <w:szCs w:val="18"/>
            </w:rPr>
          </w:pPr>
          <w:bookmarkStart w:id="450" w:name="bookmark439"/>
          <w:bookmarkEnd w:id="450"/>
          <w:r>
            <w:fldChar w:fldCharType="begin"/>
          </w:r>
          <w:r>
            <w:instrText xml:space="preserve"> HYPERLINK \l "bookmark439" </w:instrText>
          </w:r>
          <w:r>
            <w:fldChar w:fldCharType="separate"/>
          </w:r>
          <w:r>
            <w:rPr>
              <w:rFonts w:ascii="Times New Roman" w:hAnsi="Times New Roman" w:eastAsia="Times New Roman" w:cs="Times New Roman"/>
              <w:sz w:val="18"/>
              <w:szCs w:val="18"/>
            </w:rPr>
            <w:t xml:space="preserve">25.1.3    </w:t>
          </w:r>
          <w:r>
            <w:rPr>
              <w:sz w:val="18"/>
              <w:szCs w:val="18"/>
            </w:rPr>
            <w:t>运行维护监理的阶段及要求</w:t>
          </w:r>
          <w:r>
            <w:rPr>
              <w:spacing w:val="-52"/>
              <w:sz w:val="18"/>
              <w:szCs w:val="18"/>
            </w:rPr>
            <w:t xml:space="preserve"> </w:t>
          </w:r>
          <w:r>
            <w:rPr>
              <w:sz w:val="18"/>
              <w:szCs w:val="18"/>
            </w:rPr>
            <w:tab/>
          </w:r>
          <w:r>
            <w:rPr>
              <w:rFonts w:ascii="Times New Roman" w:hAnsi="Times New Roman" w:eastAsia="Times New Roman" w:cs="Times New Roman"/>
              <w:spacing w:val="1"/>
              <w:sz w:val="18"/>
              <w:szCs w:val="18"/>
            </w:rPr>
            <w:t>580</w:t>
          </w:r>
          <w:r>
            <w:rPr>
              <w:rFonts w:ascii="Times New Roman" w:hAnsi="Times New Roman" w:eastAsia="Times New Roman" w:cs="Times New Roman"/>
              <w:spacing w:val="1"/>
              <w:sz w:val="18"/>
              <w:szCs w:val="18"/>
            </w:rPr>
            <w:fldChar w:fldCharType="end"/>
          </w:r>
        </w:p>
        <w:p w14:paraId="490545AB">
          <w:pPr>
            <w:pStyle w:val="2"/>
            <w:tabs>
              <w:tab w:val="right" w:leader="dot" w:pos="4251"/>
            </w:tabs>
            <w:spacing w:before="106" w:line="220" w:lineRule="auto"/>
            <w:ind w:left="290"/>
            <w:rPr>
              <w:rFonts w:ascii="Times New Roman" w:hAnsi="Times New Roman" w:eastAsia="Times New Roman" w:cs="Times New Roman"/>
              <w:sz w:val="18"/>
              <w:szCs w:val="18"/>
            </w:rPr>
          </w:pPr>
          <w:bookmarkStart w:id="451" w:name="bookmark440"/>
          <w:bookmarkEnd w:id="451"/>
          <w:r>
            <w:fldChar w:fldCharType="begin"/>
          </w:r>
          <w:r>
            <w:instrText xml:space="preserve"> HYPERLINK \l "bookmark440" </w:instrText>
          </w:r>
          <w:r>
            <w:fldChar w:fldCharType="separate"/>
          </w:r>
          <w:r>
            <w:rPr>
              <w:rFonts w:ascii="Times New Roman" w:hAnsi="Times New Roman" w:eastAsia="Times New Roman" w:cs="Times New Roman"/>
              <w:spacing w:val="1"/>
              <w:sz w:val="18"/>
              <w:szCs w:val="18"/>
            </w:rPr>
            <w:t>25.2</w:t>
          </w:r>
          <w:r>
            <w:rPr>
              <w:rFonts w:ascii="Times New Roman" w:hAnsi="Times New Roman" w:eastAsia="Times New Roman" w:cs="Times New Roman"/>
              <w:spacing w:val="9"/>
              <w:sz w:val="18"/>
              <w:szCs w:val="18"/>
            </w:rPr>
            <w:t xml:space="preserve">   </w:t>
          </w:r>
          <w:r>
            <w:rPr>
              <w:spacing w:val="1"/>
              <w:sz w:val="18"/>
              <w:szCs w:val="18"/>
            </w:rPr>
            <w:t>招标阶段监理工作</w:t>
          </w:r>
          <w:r>
            <w:rPr>
              <w:spacing w:val="-71"/>
              <w:sz w:val="18"/>
              <w:szCs w:val="18"/>
            </w:rPr>
            <w:t xml:space="preserve"> </w:t>
          </w:r>
          <w:r>
            <w:rPr>
              <w:sz w:val="18"/>
              <w:szCs w:val="18"/>
            </w:rPr>
            <w:tab/>
          </w:r>
          <w:r>
            <w:rPr>
              <w:rFonts w:ascii="Times New Roman" w:hAnsi="Times New Roman" w:eastAsia="Times New Roman" w:cs="Times New Roman"/>
              <w:sz w:val="18"/>
              <w:szCs w:val="18"/>
            </w:rPr>
            <w:t>581</w:t>
          </w:r>
          <w:r>
            <w:rPr>
              <w:rFonts w:ascii="Times New Roman" w:hAnsi="Times New Roman" w:eastAsia="Times New Roman" w:cs="Times New Roman"/>
              <w:sz w:val="18"/>
              <w:szCs w:val="18"/>
            </w:rPr>
            <w:fldChar w:fldCharType="end"/>
          </w:r>
        </w:p>
        <w:p w14:paraId="53B7A487">
          <w:pPr>
            <w:pStyle w:val="2"/>
            <w:tabs>
              <w:tab w:val="right" w:leader="dot" w:pos="4211"/>
            </w:tabs>
            <w:spacing w:before="95" w:line="220" w:lineRule="auto"/>
            <w:ind w:left="680"/>
            <w:rPr>
              <w:rFonts w:ascii="Times New Roman" w:hAnsi="Times New Roman" w:eastAsia="Times New Roman" w:cs="Times New Roman"/>
              <w:sz w:val="18"/>
              <w:szCs w:val="18"/>
            </w:rPr>
          </w:pPr>
          <w:bookmarkStart w:id="452" w:name="bookmark441"/>
          <w:bookmarkEnd w:id="452"/>
          <w:r>
            <w:fldChar w:fldCharType="begin"/>
          </w:r>
          <w:r>
            <w:instrText xml:space="preserve"> HYPERLINK \l "bookmark441" </w:instrText>
          </w:r>
          <w:r>
            <w:fldChar w:fldCharType="separate"/>
          </w:r>
          <w:r>
            <w:rPr>
              <w:rFonts w:ascii="Times New Roman" w:hAnsi="Times New Roman" w:eastAsia="Times New Roman" w:cs="Times New Roman"/>
              <w:sz w:val="18"/>
              <w:szCs w:val="18"/>
            </w:rPr>
            <w:t xml:space="preserve">25.2.1    </w:t>
          </w:r>
          <w:r>
            <w:rPr>
              <w:sz w:val="18"/>
              <w:szCs w:val="18"/>
            </w:rPr>
            <w:t>监理活动</w:t>
          </w:r>
          <w:r>
            <w:rPr>
              <w:spacing w:val="-62"/>
              <w:sz w:val="18"/>
              <w:szCs w:val="18"/>
            </w:rPr>
            <w:t xml:space="preserve"> </w:t>
          </w:r>
          <w:r>
            <w:rPr>
              <w:sz w:val="18"/>
              <w:szCs w:val="18"/>
            </w:rPr>
            <w:tab/>
          </w:r>
          <w:r>
            <w:rPr>
              <w:rFonts w:ascii="Times New Roman" w:hAnsi="Times New Roman" w:eastAsia="Times New Roman" w:cs="Times New Roman"/>
              <w:sz w:val="18"/>
              <w:szCs w:val="18"/>
            </w:rPr>
            <w:t>582</w:t>
          </w:r>
          <w:r>
            <w:rPr>
              <w:rFonts w:ascii="Times New Roman" w:hAnsi="Times New Roman" w:eastAsia="Times New Roman" w:cs="Times New Roman"/>
              <w:sz w:val="18"/>
              <w:szCs w:val="18"/>
            </w:rPr>
            <w:fldChar w:fldCharType="end"/>
          </w:r>
        </w:p>
        <w:p w14:paraId="53961AC6">
          <w:pPr>
            <w:pStyle w:val="2"/>
            <w:tabs>
              <w:tab w:val="right" w:leader="dot" w:pos="4211"/>
            </w:tabs>
            <w:spacing w:before="96" w:line="219" w:lineRule="auto"/>
            <w:ind w:left="680"/>
            <w:rPr>
              <w:rFonts w:ascii="Times New Roman" w:hAnsi="Times New Roman" w:eastAsia="Times New Roman" w:cs="Times New Roman"/>
              <w:sz w:val="18"/>
              <w:szCs w:val="18"/>
            </w:rPr>
          </w:pPr>
          <w:bookmarkStart w:id="453" w:name="bookmark442"/>
          <w:bookmarkEnd w:id="453"/>
          <w:r>
            <w:fldChar w:fldCharType="begin"/>
          </w:r>
          <w:r>
            <w:instrText xml:space="preserve"> HYPERLINK \l "bookmark442" </w:instrText>
          </w:r>
          <w:r>
            <w:fldChar w:fldCharType="separate"/>
          </w:r>
          <w:r>
            <w:rPr>
              <w:rFonts w:ascii="Times New Roman" w:hAnsi="Times New Roman" w:eastAsia="Times New Roman" w:cs="Times New Roman"/>
              <w:spacing w:val="1"/>
              <w:sz w:val="18"/>
              <w:szCs w:val="18"/>
            </w:rPr>
            <w:t xml:space="preserve">25.2.2    </w:t>
          </w:r>
          <w:r>
            <w:rPr>
              <w:spacing w:val="1"/>
              <w:sz w:val="18"/>
              <w:szCs w:val="18"/>
            </w:rPr>
            <w:t>监理内容</w:t>
          </w:r>
          <w:r>
            <w:rPr>
              <w:spacing w:val="-66"/>
              <w:sz w:val="18"/>
              <w:szCs w:val="18"/>
            </w:rPr>
            <w:t xml:space="preserve"> </w:t>
          </w:r>
          <w:r>
            <w:rPr>
              <w:sz w:val="18"/>
              <w:szCs w:val="18"/>
            </w:rPr>
            <w:tab/>
          </w:r>
          <w:r>
            <w:rPr>
              <w:rFonts w:ascii="Times New Roman" w:hAnsi="Times New Roman" w:eastAsia="Times New Roman" w:cs="Times New Roman"/>
              <w:sz w:val="18"/>
              <w:szCs w:val="18"/>
            </w:rPr>
            <w:t>582</w:t>
          </w:r>
          <w:r>
            <w:rPr>
              <w:rFonts w:ascii="Times New Roman" w:hAnsi="Times New Roman" w:eastAsia="Times New Roman" w:cs="Times New Roman"/>
              <w:sz w:val="18"/>
              <w:szCs w:val="18"/>
            </w:rPr>
            <w:fldChar w:fldCharType="end"/>
          </w:r>
        </w:p>
        <w:p w14:paraId="025272C4">
          <w:pPr>
            <w:pStyle w:val="2"/>
            <w:tabs>
              <w:tab w:val="right" w:leader="dot" w:pos="4211"/>
            </w:tabs>
            <w:spacing w:before="106" w:line="219" w:lineRule="auto"/>
            <w:ind w:left="680"/>
            <w:rPr>
              <w:rFonts w:ascii="Times New Roman" w:hAnsi="Times New Roman" w:eastAsia="Times New Roman" w:cs="Times New Roman"/>
              <w:sz w:val="18"/>
              <w:szCs w:val="18"/>
            </w:rPr>
          </w:pPr>
          <w:bookmarkStart w:id="454" w:name="bookmark443"/>
          <w:bookmarkEnd w:id="454"/>
          <w:r>
            <w:fldChar w:fldCharType="begin"/>
          </w:r>
          <w:r>
            <w:instrText xml:space="preserve"> HYPERLINK \l "bookmark443" </w:instrText>
          </w:r>
          <w:r>
            <w:fldChar w:fldCharType="separate"/>
          </w:r>
          <w:r>
            <w:rPr>
              <w:rFonts w:ascii="Times New Roman" w:hAnsi="Times New Roman" w:eastAsia="Times New Roman" w:cs="Times New Roman"/>
              <w:sz w:val="18"/>
              <w:szCs w:val="18"/>
            </w:rPr>
            <w:t xml:space="preserve">25.2.3    </w:t>
          </w:r>
          <w:r>
            <w:rPr>
              <w:sz w:val="18"/>
              <w:szCs w:val="18"/>
            </w:rPr>
            <w:t>主要输出文档</w:t>
          </w:r>
          <w:r>
            <w:rPr>
              <w:spacing w:val="-62"/>
              <w:sz w:val="18"/>
              <w:szCs w:val="18"/>
            </w:rPr>
            <w:t xml:space="preserve"> </w:t>
          </w:r>
          <w:r>
            <w:rPr>
              <w:sz w:val="18"/>
              <w:szCs w:val="18"/>
            </w:rPr>
            <w:tab/>
          </w:r>
          <w:r>
            <w:rPr>
              <w:rFonts w:ascii="Times New Roman" w:hAnsi="Times New Roman" w:eastAsia="Times New Roman" w:cs="Times New Roman"/>
              <w:sz w:val="18"/>
              <w:szCs w:val="18"/>
            </w:rPr>
            <w:t>584</w:t>
          </w:r>
          <w:r>
            <w:rPr>
              <w:rFonts w:ascii="Times New Roman" w:hAnsi="Times New Roman" w:eastAsia="Times New Roman" w:cs="Times New Roman"/>
              <w:sz w:val="18"/>
              <w:szCs w:val="18"/>
            </w:rPr>
            <w:fldChar w:fldCharType="end"/>
          </w:r>
        </w:p>
        <w:p w14:paraId="4266C3EC">
          <w:pPr>
            <w:pStyle w:val="2"/>
            <w:tabs>
              <w:tab w:val="right" w:leader="dot" w:pos="4211"/>
            </w:tabs>
            <w:spacing w:before="97" w:line="220" w:lineRule="auto"/>
            <w:ind w:left="290"/>
            <w:rPr>
              <w:rFonts w:ascii="Times New Roman" w:hAnsi="Times New Roman" w:eastAsia="Times New Roman" w:cs="Times New Roman"/>
              <w:sz w:val="18"/>
              <w:szCs w:val="18"/>
            </w:rPr>
          </w:pPr>
          <w:bookmarkStart w:id="455" w:name="bookmark444"/>
          <w:bookmarkEnd w:id="455"/>
          <w:r>
            <w:fldChar w:fldCharType="begin"/>
          </w:r>
          <w:r>
            <w:instrText xml:space="preserve"> HYPERLINK \l "bookmark444" </w:instrText>
          </w:r>
          <w:r>
            <w:fldChar w:fldCharType="separate"/>
          </w:r>
          <w:r>
            <w:rPr>
              <w:rFonts w:ascii="Times New Roman" w:hAnsi="Times New Roman" w:eastAsia="Times New Roman" w:cs="Times New Roman"/>
              <w:spacing w:val="1"/>
              <w:sz w:val="18"/>
              <w:szCs w:val="18"/>
            </w:rPr>
            <w:t>25.3</w:t>
          </w:r>
          <w:r>
            <w:rPr>
              <w:rFonts w:ascii="Times New Roman" w:hAnsi="Times New Roman" w:eastAsia="Times New Roman" w:cs="Times New Roman"/>
              <w:spacing w:val="16"/>
              <w:sz w:val="18"/>
              <w:szCs w:val="18"/>
            </w:rPr>
            <w:t xml:space="preserve">   </w:t>
          </w:r>
          <w:r>
            <w:rPr>
              <w:spacing w:val="1"/>
              <w:sz w:val="18"/>
              <w:szCs w:val="18"/>
            </w:rPr>
            <w:t>实施阶段监理工作</w:t>
          </w:r>
          <w:r>
            <w:rPr>
              <w:spacing w:val="-72"/>
              <w:sz w:val="18"/>
              <w:szCs w:val="18"/>
            </w:rPr>
            <w:t xml:space="preserve"> </w:t>
          </w:r>
          <w:r>
            <w:rPr>
              <w:sz w:val="18"/>
              <w:szCs w:val="18"/>
            </w:rPr>
            <w:tab/>
          </w:r>
          <w:r>
            <w:rPr>
              <w:rFonts w:ascii="Times New Roman" w:hAnsi="Times New Roman" w:eastAsia="Times New Roman" w:cs="Times New Roman"/>
              <w:sz w:val="18"/>
              <w:szCs w:val="18"/>
            </w:rPr>
            <w:t>584</w:t>
          </w:r>
          <w:r>
            <w:rPr>
              <w:rFonts w:ascii="Times New Roman" w:hAnsi="Times New Roman" w:eastAsia="Times New Roman" w:cs="Times New Roman"/>
              <w:sz w:val="18"/>
              <w:szCs w:val="18"/>
            </w:rPr>
            <w:fldChar w:fldCharType="end"/>
          </w:r>
        </w:p>
        <w:p w14:paraId="04961B3A">
          <w:pPr>
            <w:pStyle w:val="2"/>
            <w:tabs>
              <w:tab w:val="right" w:leader="dot" w:pos="4211"/>
            </w:tabs>
            <w:spacing w:before="105" w:line="220" w:lineRule="auto"/>
            <w:ind w:left="680"/>
            <w:rPr>
              <w:rFonts w:ascii="Times New Roman" w:hAnsi="Times New Roman" w:eastAsia="Times New Roman" w:cs="Times New Roman"/>
              <w:sz w:val="18"/>
              <w:szCs w:val="18"/>
            </w:rPr>
          </w:pPr>
          <w:bookmarkStart w:id="456" w:name="bookmark445"/>
          <w:bookmarkEnd w:id="456"/>
          <w:r>
            <w:fldChar w:fldCharType="begin"/>
          </w:r>
          <w:r>
            <w:instrText xml:space="preserve"> HYPERLINK \l "bookmark445" </w:instrText>
          </w:r>
          <w:r>
            <w:fldChar w:fldCharType="separate"/>
          </w:r>
          <w:r>
            <w:rPr>
              <w:rFonts w:ascii="Times New Roman" w:hAnsi="Times New Roman" w:eastAsia="Times New Roman" w:cs="Times New Roman"/>
              <w:spacing w:val="3"/>
              <w:sz w:val="18"/>
              <w:szCs w:val="18"/>
            </w:rPr>
            <w:t>25.3.1</w:t>
          </w:r>
          <w:r>
            <w:rPr>
              <w:rFonts w:ascii="Times New Roman" w:hAnsi="Times New Roman" w:eastAsia="Times New Roman" w:cs="Times New Roman"/>
              <w:spacing w:val="13"/>
              <w:sz w:val="18"/>
              <w:szCs w:val="18"/>
            </w:rPr>
            <w:t xml:space="preserve">   </w:t>
          </w:r>
          <w:r>
            <w:rPr>
              <w:spacing w:val="3"/>
              <w:sz w:val="18"/>
              <w:szCs w:val="18"/>
            </w:rPr>
            <w:t>质量控制</w:t>
          </w:r>
          <w:r>
            <w:rPr>
              <w:spacing w:val="-76"/>
              <w:sz w:val="18"/>
              <w:szCs w:val="18"/>
            </w:rPr>
            <w:t xml:space="preserve"> </w:t>
          </w:r>
          <w:r>
            <w:rPr>
              <w:sz w:val="18"/>
              <w:szCs w:val="18"/>
            </w:rPr>
            <w:tab/>
          </w:r>
          <w:r>
            <w:rPr>
              <w:rFonts w:ascii="Times New Roman" w:hAnsi="Times New Roman" w:eastAsia="Times New Roman" w:cs="Times New Roman"/>
              <w:sz w:val="18"/>
              <w:szCs w:val="18"/>
            </w:rPr>
            <w:t>585</w:t>
          </w:r>
          <w:r>
            <w:rPr>
              <w:rFonts w:ascii="Times New Roman" w:hAnsi="Times New Roman" w:eastAsia="Times New Roman" w:cs="Times New Roman"/>
              <w:sz w:val="18"/>
              <w:szCs w:val="18"/>
            </w:rPr>
            <w:fldChar w:fldCharType="end"/>
          </w:r>
        </w:p>
        <w:p w14:paraId="09E47C39">
          <w:pPr>
            <w:pStyle w:val="2"/>
            <w:tabs>
              <w:tab w:val="right" w:leader="dot" w:pos="4211"/>
            </w:tabs>
            <w:spacing w:before="96" w:line="220" w:lineRule="auto"/>
            <w:ind w:left="680"/>
            <w:rPr>
              <w:rFonts w:ascii="Times New Roman" w:hAnsi="Times New Roman" w:eastAsia="Times New Roman" w:cs="Times New Roman"/>
              <w:sz w:val="18"/>
              <w:szCs w:val="18"/>
            </w:rPr>
          </w:pPr>
          <w:bookmarkStart w:id="457" w:name="bookmark446"/>
          <w:bookmarkEnd w:id="457"/>
          <w:r>
            <w:fldChar w:fldCharType="begin"/>
          </w:r>
          <w:r>
            <w:instrText xml:space="preserve"> HYPERLINK \l "bookmark446" </w:instrText>
          </w:r>
          <w:r>
            <w:fldChar w:fldCharType="separate"/>
          </w:r>
          <w:r>
            <w:rPr>
              <w:rFonts w:ascii="Times New Roman" w:hAnsi="Times New Roman" w:eastAsia="Times New Roman" w:cs="Times New Roman"/>
              <w:spacing w:val="3"/>
              <w:sz w:val="18"/>
              <w:szCs w:val="18"/>
            </w:rPr>
            <w:t>25.3.2</w:t>
          </w:r>
          <w:r>
            <w:rPr>
              <w:rFonts w:ascii="Times New Roman" w:hAnsi="Times New Roman" w:eastAsia="Times New Roman" w:cs="Times New Roman"/>
              <w:spacing w:val="9"/>
              <w:sz w:val="18"/>
              <w:szCs w:val="18"/>
            </w:rPr>
            <w:t xml:space="preserve">   </w:t>
          </w:r>
          <w:r>
            <w:rPr>
              <w:spacing w:val="3"/>
              <w:sz w:val="18"/>
              <w:szCs w:val="18"/>
            </w:rPr>
            <w:t>进度控制</w:t>
          </w:r>
          <w:r>
            <w:rPr>
              <w:spacing w:val="-74"/>
              <w:sz w:val="18"/>
              <w:szCs w:val="18"/>
            </w:rPr>
            <w:t xml:space="preserve"> </w:t>
          </w:r>
          <w:r>
            <w:rPr>
              <w:sz w:val="18"/>
              <w:szCs w:val="18"/>
            </w:rPr>
            <w:tab/>
          </w:r>
          <w:r>
            <w:rPr>
              <w:rFonts w:ascii="Times New Roman" w:hAnsi="Times New Roman" w:eastAsia="Times New Roman" w:cs="Times New Roman"/>
              <w:sz w:val="18"/>
              <w:szCs w:val="18"/>
            </w:rPr>
            <w:t>587</w:t>
          </w:r>
          <w:r>
            <w:rPr>
              <w:rFonts w:ascii="Times New Roman" w:hAnsi="Times New Roman" w:eastAsia="Times New Roman" w:cs="Times New Roman"/>
              <w:sz w:val="18"/>
              <w:szCs w:val="18"/>
            </w:rPr>
            <w:fldChar w:fldCharType="end"/>
          </w:r>
        </w:p>
        <w:p w14:paraId="2DBEE338">
          <w:pPr>
            <w:pStyle w:val="2"/>
            <w:tabs>
              <w:tab w:val="right" w:leader="dot" w:pos="4211"/>
            </w:tabs>
            <w:spacing w:before="105" w:line="220" w:lineRule="auto"/>
            <w:ind w:left="680"/>
            <w:rPr>
              <w:rFonts w:ascii="Times New Roman" w:hAnsi="Times New Roman" w:eastAsia="Times New Roman" w:cs="Times New Roman"/>
              <w:sz w:val="18"/>
              <w:szCs w:val="18"/>
            </w:rPr>
          </w:pPr>
          <w:bookmarkStart w:id="458" w:name="bookmark447"/>
          <w:bookmarkEnd w:id="458"/>
          <w:r>
            <w:fldChar w:fldCharType="begin"/>
          </w:r>
          <w:r>
            <w:instrText xml:space="preserve"> HYPERLINK \l "bookmark447" </w:instrText>
          </w:r>
          <w:r>
            <w:fldChar w:fldCharType="separate"/>
          </w:r>
          <w:r>
            <w:rPr>
              <w:rFonts w:ascii="Times New Roman" w:hAnsi="Times New Roman" w:eastAsia="Times New Roman" w:cs="Times New Roman"/>
              <w:spacing w:val="1"/>
              <w:sz w:val="18"/>
              <w:szCs w:val="18"/>
            </w:rPr>
            <w:t xml:space="preserve">25.3.3    </w:t>
          </w:r>
          <w:r>
            <w:rPr>
              <w:spacing w:val="1"/>
              <w:sz w:val="18"/>
              <w:szCs w:val="18"/>
            </w:rPr>
            <w:t>投资控制</w:t>
          </w:r>
          <w:r>
            <w:rPr>
              <w:spacing w:val="-66"/>
              <w:sz w:val="18"/>
              <w:szCs w:val="18"/>
            </w:rPr>
            <w:t xml:space="preserve"> </w:t>
          </w:r>
          <w:r>
            <w:rPr>
              <w:sz w:val="18"/>
              <w:szCs w:val="18"/>
            </w:rPr>
            <w:tab/>
          </w:r>
          <w:r>
            <w:rPr>
              <w:rFonts w:ascii="Times New Roman" w:hAnsi="Times New Roman" w:eastAsia="Times New Roman" w:cs="Times New Roman"/>
              <w:sz w:val="18"/>
              <w:szCs w:val="18"/>
            </w:rPr>
            <w:t>587</w:t>
          </w:r>
          <w:r>
            <w:rPr>
              <w:rFonts w:ascii="Times New Roman" w:hAnsi="Times New Roman" w:eastAsia="Times New Roman" w:cs="Times New Roman"/>
              <w:sz w:val="18"/>
              <w:szCs w:val="18"/>
            </w:rPr>
            <w:fldChar w:fldCharType="end"/>
          </w:r>
        </w:p>
        <w:p w14:paraId="535C962E">
          <w:pPr>
            <w:pStyle w:val="2"/>
            <w:tabs>
              <w:tab w:val="right" w:leader="dot" w:pos="4211"/>
            </w:tabs>
            <w:spacing w:before="96" w:line="184" w:lineRule="auto"/>
            <w:ind w:left="680"/>
            <w:rPr>
              <w:rFonts w:ascii="Times New Roman" w:hAnsi="Times New Roman" w:eastAsia="Times New Roman" w:cs="Times New Roman"/>
              <w:sz w:val="18"/>
              <w:szCs w:val="18"/>
            </w:rPr>
          </w:pPr>
          <w:bookmarkStart w:id="459" w:name="bookmark448"/>
          <w:bookmarkEnd w:id="459"/>
          <w:r>
            <w:fldChar w:fldCharType="begin"/>
          </w:r>
          <w:r>
            <w:instrText xml:space="preserve"> HYPERLINK \l "bookmark448" </w:instrText>
          </w:r>
          <w:r>
            <w:fldChar w:fldCharType="separate"/>
          </w:r>
          <w:r>
            <w:rPr>
              <w:rFonts w:ascii="Times New Roman" w:hAnsi="Times New Roman" w:eastAsia="Times New Roman" w:cs="Times New Roman"/>
              <w:spacing w:val="1"/>
              <w:sz w:val="18"/>
              <w:szCs w:val="18"/>
            </w:rPr>
            <w:t xml:space="preserve">25.3.4    </w:t>
          </w:r>
          <w:r>
            <w:rPr>
              <w:spacing w:val="1"/>
              <w:sz w:val="18"/>
              <w:szCs w:val="18"/>
            </w:rPr>
            <w:t>安全控制</w:t>
          </w:r>
          <w:r>
            <w:rPr>
              <w:spacing w:val="-66"/>
              <w:sz w:val="18"/>
              <w:szCs w:val="18"/>
            </w:rPr>
            <w:t xml:space="preserve"> </w:t>
          </w:r>
          <w:r>
            <w:rPr>
              <w:sz w:val="18"/>
              <w:szCs w:val="18"/>
            </w:rPr>
            <w:tab/>
          </w:r>
          <w:r>
            <w:rPr>
              <w:rFonts w:ascii="Times New Roman" w:hAnsi="Times New Roman" w:eastAsia="Times New Roman" w:cs="Times New Roman"/>
              <w:sz w:val="18"/>
              <w:szCs w:val="18"/>
            </w:rPr>
            <w:t>589</w:t>
          </w:r>
          <w:r>
            <w:rPr>
              <w:rFonts w:ascii="Times New Roman" w:hAnsi="Times New Roman" w:eastAsia="Times New Roman" w:cs="Times New Roman"/>
              <w:sz w:val="18"/>
              <w:szCs w:val="18"/>
            </w:rPr>
            <w:fldChar w:fldCharType="end"/>
          </w:r>
        </w:p>
      </w:sdtContent>
    </w:sdt>
    <w:p w14:paraId="2D492FF1">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8"/>
          <w:szCs w:val="18"/>
        </w:rPr>
        <w:id w:val="147459560"/>
        <w:docPartObj>
          <w:docPartGallery w:val="Table of Contents"/>
          <w:docPartUnique/>
        </w:docPartObj>
      </w:sdtPr>
      <w:sdtEndPr>
        <w:rPr>
          <w:rFonts w:ascii="Times New Roman" w:hAnsi="Times New Roman" w:eastAsia="Times New Roman" w:cs="Times New Roman"/>
          <w:sz w:val="18"/>
          <w:szCs w:val="18"/>
        </w:rPr>
      </w:sdtEndPr>
      <w:sdtContent>
        <w:p w14:paraId="724C99BA">
          <w:pPr>
            <w:pStyle w:val="2"/>
            <w:tabs>
              <w:tab w:val="right" w:leader="dot" w:pos="3951"/>
            </w:tabs>
            <w:spacing w:line="217" w:lineRule="auto"/>
            <w:ind w:left="399"/>
            <w:rPr>
              <w:rFonts w:ascii="Times New Roman" w:hAnsi="Times New Roman" w:eastAsia="Times New Roman" w:cs="Times New Roman"/>
              <w:sz w:val="18"/>
              <w:szCs w:val="18"/>
            </w:rPr>
          </w:pPr>
          <w:bookmarkStart w:id="460" w:name="bookmark449"/>
          <w:bookmarkEnd w:id="460"/>
          <w:r>
            <w:fldChar w:fldCharType="begin"/>
          </w:r>
          <w:r>
            <w:instrText xml:space="preserve"> HYPERLINK \l "bookmark449" </w:instrText>
          </w:r>
          <w:r>
            <w:fldChar w:fldCharType="separate"/>
          </w:r>
          <w:r>
            <w:rPr>
              <w:rFonts w:ascii="Times New Roman" w:hAnsi="Times New Roman" w:eastAsia="Times New Roman" w:cs="Times New Roman"/>
              <w:spacing w:val="1"/>
              <w:sz w:val="18"/>
              <w:szCs w:val="18"/>
            </w:rPr>
            <w:t>25.3.5</w:t>
          </w:r>
          <w:r>
            <w:rPr>
              <w:rFonts w:ascii="Times New Roman" w:hAnsi="Times New Roman" w:eastAsia="Times New Roman" w:cs="Times New Roman"/>
              <w:spacing w:val="10"/>
              <w:sz w:val="18"/>
              <w:szCs w:val="18"/>
            </w:rPr>
            <w:t xml:space="preserve">   </w:t>
          </w:r>
          <w:r>
            <w:rPr>
              <w:spacing w:val="1"/>
              <w:sz w:val="18"/>
              <w:szCs w:val="18"/>
            </w:rPr>
            <w:t>合同管理</w:t>
          </w:r>
          <w:r>
            <w:rPr>
              <w:spacing w:val="-67"/>
              <w:sz w:val="18"/>
              <w:szCs w:val="18"/>
            </w:rPr>
            <w:t xml:space="preserve"> </w:t>
          </w:r>
          <w:r>
            <w:rPr>
              <w:sz w:val="18"/>
              <w:szCs w:val="18"/>
            </w:rPr>
            <w:tab/>
          </w:r>
          <w:r>
            <w:rPr>
              <w:rFonts w:ascii="Times New Roman" w:hAnsi="Times New Roman" w:eastAsia="Times New Roman" w:cs="Times New Roman"/>
              <w:sz w:val="18"/>
              <w:szCs w:val="18"/>
            </w:rPr>
            <w:t>590</w:t>
          </w:r>
          <w:r>
            <w:rPr>
              <w:rFonts w:ascii="Times New Roman" w:hAnsi="Times New Roman" w:eastAsia="Times New Roman" w:cs="Times New Roman"/>
              <w:sz w:val="18"/>
              <w:szCs w:val="18"/>
            </w:rPr>
            <w:fldChar w:fldCharType="end"/>
          </w:r>
        </w:p>
        <w:p w14:paraId="294B30F4">
          <w:pPr>
            <w:pStyle w:val="2"/>
            <w:tabs>
              <w:tab w:val="right" w:leader="dot" w:pos="3971"/>
            </w:tabs>
            <w:spacing w:before="126" w:line="219" w:lineRule="auto"/>
            <w:ind w:left="399"/>
            <w:rPr>
              <w:rFonts w:ascii="Times New Roman" w:hAnsi="Times New Roman" w:eastAsia="Times New Roman" w:cs="Times New Roman"/>
              <w:sz w:val="18"/>
              <w:szCs w:val="18"/>
            </w:rPr>
          </w:pPr>
          <w:bookmarkStart w:id="461" w:name="bookmark450"/>
          <w:bookmarkEnd w:id="461"/>
          <w:r>
            <w:fldChar w:fldCharType="begin"/>
          </w:r>
          <w:r>
            <w:instrText xml:space="preserve"> HYPERLINK \l "bookmark450" </w:instrText>
          </w:r>
          <w:r>
            <w:fldChar w:fldCharType="separate"/>
          </w:r>
          <w:r>
            <w:rPr>
              <w:rFonts w:ascii="Times New Roman" w:hAnsi="Times New Roman" w:eastAsia="Times New Roman" w:cs="Times New Roman"/>
              <w:spacing w:val="-2"/>
              <w:sz w:val="18"/>
              <w:szCs w:val="18"/>
            </w:rPr>
            <w:t>25.3.6</w:t>
          </w:r>
          <w:r>
            <w:rPr>
              <w:rFonts w:ascii="Times New Roman" w:hAnsi="Times New Roman" w:eastAsia="Times New Roman" w:cs="Times New Roman"/>
              <w:spacing w:val="9"/>
              <w:sz w:val="18"/>
              <w:szCs w:val="18"/>
            </w:rPr>
            <w:t xml:space="preserve">   </w:t>
          </w:r>
          <w:r>
            <w:rPr>
              <w:spacing w:val="-2"/>
              <w:sz w:val="18"/>
              <w:szCs w:val="18"/>
            </w:rPr>
            <w:t>文档资料管理</w:t>
          </w:r>
          <w:r>
            <w:rPr>
              <w:spacing w:val="-49"/>
              <w:sz w:val="18"/>
              <w:szCs w:val="18"/>
            </w:rPr>
            <w:t xml:space="preserve"> </w:t>
          </w:r>
          <w:r>
            <w:rPr>
              <w:sz w:val="18"/>
              <w:szCs w:val="18"/>
            </w:rPr>
            <w:tab/>
          </w:r>
          <w:r>
            <w:rPr>
              <w:rFonts w:ascii="Times New Roman" w:hAnsi="Times New Roman" w:eastAsia="Times New Roman" w:cs="Times New Roman"/>
              <w:spacing w:val="-3"/>
              <w:sz w:val="18"/>
              <w:szCs w:val="18"/>
            </w:rPr>
            <w:t>591</w:t>
          </w:r>
          <w:r>
            <w:rPr>
              <w:rFonts w:ascii="Times New Roman" w:hAnsi="Times New Roman" w:eastAsia="Times New Roman" w:cs="Times New Roman"/>
              <w:spacing w:val="-3"/>
              <w:sz w:val="18"/>
              <w:szCs w:val="18"/>
            </w:rPr>
            <w:fldChar w:fldCharType="end"/>
          </w:r>
        </w:p>
        <w:p w14:paraId="78BCF34F">
          <w:pPr>
            <w:pStyle w:val="2"/>
            <w:tabs>
              <w:tab w:val="right" w:leader="dot" w:pos="3951"/>
            </w:tabs>
            <w:spacing w:before="86" w:line="219" w:lineRule="auto"/>
            <w:ind w:left="399"/>
            <w:rPr>
              <w:rFonts w:ascii="Times New Roman" w:hAnsi="Times New Roman" w:eastAsia="Times New Roman" w:cs="Times New Roman"/>
              <w:sz w:val="18"/>
              <w:szCs w:val="18"/>
            </w:rPr>
          </w:pPr>
          <w:bookmarkStart w:id="462" w:name="bookmark451"/>
          <w:bookmarkEnd w:id="462"/>
          <w:r>
            <w:fldChar w:fldCharType="begin"/>
          </w:r>
          <w:r>
            <w:instrText xml:space="preserve"> HYPERLINK \l "bookmark451" </w:instrText>
          </w:r>
          <w:r>
            <w:fldChar w:fldCharType="separate"/>
          </w:r>
          <w:r>
            <w:rPr>
              <w:rFonts w:ascii="Times New Roman" w:hAnsi="Times New Roman" w:eastAsia="Times New Roman" w:cs="Times New Roman"/>
              <w:spacing w:val="-2"/>
              <w:sz w:val="18"/>
              <w:szCs w:val="18"/>
            </w:rPr>
            <w:t>25.3.7</w:t>
          </w:r>
          <w:r>
            <w:rPr>
              <w:rFonts w:ascii="Times New Roman" w:hAnsi="Times New Roman" w:eastAsia="Times New Roman" w:cs="Times New Roman"/>
              <w:spacing w:val="12"/>
              <w:sz w:val="18"/>
              <w:szCs w:val="18"/>
            </w:rPr>
            <w:t xml:space="preserve">   </w:t>
          </w:r>
          <w:r>
            <w:rPr>
              <w:spacing w:val="-2"/>
              <w:sz w:val="18"/>
              <w:szCs w:val="18"/>
            </w:rPr>
            <w:t>配置管理</w:t>
          </w:r>
          <w:r>
            <w:rPr>
              <w:spacing w:val="-52"/>
              <w:sz w:val="18"/>
              <w:szCs w:val="18"/>
            </w:rPr>
            <w:t xml:space="preserve"> </w:t>
          </w:r>
          <w:r>
            <w:rPr>
              <w:sz w:val="18"/>
              <w:szCs w:val="18"/>
            </w:rPr>
            <w:tab/>
          </w:r>
          <w:r>
            <w:rPr>
              <w:rFonts w:ascii="Times New Roman" w:hAnsi="Times New Roman" w:eastAsia="Times New Roman" w:cs="Times New Roman"/>
              <w:sz w:val="18"/>
              <w:szCs w:val="18"/>
            </w:rPr>
            <w:t>591</w:t>
          </w:r>
          <w:r>
            <w:rPr>
              <w:rFonts w:ascii="Times New Roman" w:hAnsi="Times New Roman" w:eastAsia="Times New Roman" w:cs="Times New Roman"/>
              <w:sz w:val="18"/>
              <w:szCs w:val="18"/>
            </w:rPr>
            <w:fldChar w:fldCharType="end"/>
          </w:r>
        </w:p>
        <w:p w14:paraId="3BEFE575">
          <w:pPr>
            <w:pStyle w:val="2"/>
            <w:tabs>
              <w:tab w:val="right" w:leader="dot" w:pos="3951"/>
            </w:tabs>
            <w:spacing w:before="107" w:line="219" w:lineRule="auto"/>
            <w:ind w:left="399"/>
            <w:rPr>
              <w:rFonts w:ascii="Times New Roman" w:hAnsi="Times New Roman" w:eastAsia="Times New Roman" w:cs="Times New Roman"/>
              <w:sz w:val="18"/>
              <w:szCs w:val="18"/>
            </w:rPr>
          </w:pPr>
          <w:bookmarkStart w:id="463" w:name="bookmark452"/>
          <w:bookmarkEnd w:id="463"/>
          <w:r>
            <w:fldChar w:fldCharType="begin"/>
          </w:r>
          <w:r>
            <w:instrText xml:space="preserve"> HYPERLINK \l "bookmark452" </w:instrText>
          </w:r>
          <w:r>
            <w:fldChar w:fldCharType="separate"/>
          </w:r>
          <w:r>
            <w:rPr>
              <w:rFonts w:ascii="Times New Roman" w:hAnsi="Times New Roman" w:eastAsia="Times New Roman" w:cs="Times New Roman"/>
              <w:spacing w:val="-2"/>
              <w:sz w:val="18"/>
              <w:szCs w:val="18"/>
            </w:rPr>
            <w:t>25.3.8</w:t>
          </w:r>
          <w:r>
            <w:rPr>
              <w:rFonts w:ascii="Times New Roman" w:hAnsi="Times New Roman" w:eastAsia="Times New Roman" w:cs="Times New Roman"/>
              <w:spacing w:val="12"/>
              <w:sz w:val="18"/>
              <w:szCs w:val="18"/>
            </w:rPr>
            <w:t xml:space="preserve">   </w:t>
          </w:r>
          <w:r>
            <w:rPr>
              <w:spacing w:val="-2"/>
              <w:sz w:val="18"/>
              <w:szCs w:val="18"/>
            </w:rPr>
            <w:t>应急管理</w:t>
          </w:r>
          <w:r>
            <w:rPr>
              <w:spacing w:val="-52"/>
              <w:sz w:val="18"/>
              <w:szCs w:val="18"/>
            </w:rPr>
            <w:t xml:space="preserve"> </w:t>
          </w:r>
          <w:r>
            <w:rPr>
              <w:sz w:val="18"/>
              <w:szCs w:val="18"/>
            </w:rPr>
            <w:tab/>
          </w:r>
          <w:r>
            <w:rPr>
              <w:rFonts w:ascii="Times New Roman" w:hAnsi="Times New Roman" w:eastAsia="Times New Roman" w:cs="Times New Roman"/>
              <w:sz w:val="18"/>
              <w:szCs w:val="18"/>
            </w:rPr>
            <w:t>593</w:t>
          </w:r>
          <w:r>
            <w:rPr>
              <w:rFonts w:ascii="Times New Roman" w:hAnsi="Times New Roman" w:eastAsia="Times New Roman" w:cs="Times New Roman"/>
              <w:sz w:val="18"/>
              <w:szCs w:val="18"/>
            </w:rPr>
            <w:fldChar w:fldCharType="end"/>
          </w:r>
        </w:p>
        <w:p w14:paraId="77AD8821">
          <w:pPr>
            <w:pStyle w:val="2"/>
            <w:tabs>
              <w:tab w:val="right" w:leader="dot" w:pos="3951"/>
            </w:tabs>
            <w:spacing w:before="106" w:line="219" w:lineRule="auto"/>
            <w:ind w:left="399"/>
            <w:rPr>
              <w:rFonts w:ascii="Times New Roman" w:hAnsi="Times New Roman" w:eastAsia="Times New Roman" w:cs="Times New Roman"/>
              <w:sz w:val="18"/>
              <w:szCs w:val="18"/>
            </w:rPr>
          </w:pPr>
          <w:bookmarkStart w:id="464" w:name="bookmark453"/>
          <w:bookmarkEnd w:id="464"/>
          <w:r>
            <w:fldChar w:fldCharType="begin"/>
          </w:r>
          <w:r>
            <w:instrText xml:space="preserve"> HYPERLINK \l "bookmark453" </w:instrText>
          </w:r>
          <w:r>
            <w:fldChar w:fldCharType="separate"/>
          </w:r>
          <w:r>
            <w:rPr>
              <w:rFonts w:ascii="Times New Roman" w:hAnsi="Times New Roman" w:eastAsia="Times New Roman" w:cs="Times New Roman"/>
              <w:spacing w:val="-2"/>
              <w:sz w:val="18"/>
              <w:szCs w:val="18"/>
            </w:rPr>
            <w:t>25.3.9</w:t>
          </w:r>
          <w:r>
            <w:rPr>
              <w:rFonts w:ascii="Times New Roman" w:hAnsi="Times New Roman" w:eastAsia="Times New Roman" w:cs="Times New Roman"/>
              <w:spacing w:val="10"/>
              <w:sz w:val="18"/>
              <w:szCs w:val="18"/>
            </w:rPr>
            <w:t xml:space="preserve">   </w:t>
          </w:r>
          <w:r>
            <w:rPr>
              <w:spacing w:val="-2"/>
              <w:sz w:val="18"/>
              <w:szCs w:val="18"/>
            </w:rPr>
            <w:t>效能管理</w:t>
          </w:r>
          <w:r>
            <w:rPr>
              <w:spacing w:val="-46"/>
              <w:sz w:val="18"/>
              <w:szCs w:val="18"/>
            </w:rPr>
            <w:t xml:space="preserve"> </w:t>
          </w:r>
          <w:r>
            <w:rPr>
              <w:sz w:val="18"/>
              <w:szCs w:val="18"/>
            </w:rPr>
            <w:tab/>
          </w:r>
          <w:r>
            <w:rPr>
              <w:rFonts w:ascii="Times New Roman" w:hAnsi="Times New Roman" w:eastAsia="Times New Roman" w:cs="Times New Roman"/>
              <w:sz w:val="18"/>
              <w:szCs w:val="18"/>
            </w:rPr>
            <w:t>596</w:t>
          </w:r>
          <w:r>
            <w:rPr>
              <w:rFonts w:ascii="Times New Roman" w:hAnsi="Times New Roman" w:eastAsia="Times New Roman" w:cs="Times New Roman"/>
              <w:sz w:val="18"/>
              <w:szCs w:val="18"/>
            </w:rPr>
            <w:fldChar w:fldCharType="end"/>
          </w:r>
        </w:p>
        <w:p w14:paraId="1EA645DB">
          <w:pPr>
            <w:pStyle w:val="2"/>
            <w:tabs>
              <w:tab w:val="right" w:leader="dot" w:pos="3941"/>
            </w:tabs>
            <w:spacing w:before="107" w:line="220" w:lineRule="auto"/>
            <w:ind w:left="399"/>
            <w:rPr>
              <w:rFonts w:ascii="Times New Roman" w:hAnsi="Times New Roman" w:eastAsia="Times New Roman" w:cs="Times New Roman"/>
              <w:sz w:val="18"/>
              <w:szCs w:val="18"/>
            </w:rPr>
          </w:pPr>
          <w:bookmarkStart w:id="465" w:name="bookmark454"/>
          <w:bookmarkEnd w:id="465"/>
          <w:r>
            <w:fldChar w:fldCharType="begin"/>
          </w:r>
          <w:r>
            <w:instrText xml:space="preserve"> HYPERLINK \l "bookmark454" </w:instrText>
          </w:r>
          <w:r>
            <w:fldChar w:fldCharType="separate"/>
          </w:r>
          <w:r>
            <w:rPr>
              <w:rFonts w:ascii="Times New Roman" w:hAnsi="Times New Roman" w:eastAsia="Times New Roman" w:cs="Times New Roman"/>
              <w:sz w:val="18"/>
              <w:szCs w:val="18"/>
            </w:rPr>
            <w:t>25.3.10</w:t>
          </w:r>
          <w:r>
            <w:rPr>
              <w:rFonts w:ascii="Times New Roman" w:hAnsi="Times New Roman" w:eastAsia="Times New Roman" w:cs="Times New Roman"/>
              <w:spacing w:val="16"/>
              <w:sz w:val="18"/>
              <w:szCs w:val="18"/>
            </w:rPr>
            <w:t xml:space="preserve">   </w:t>
          </w:r>
          <w:r>
            <w:rPr>
              <w:sz w:val="18"/>
              <w:szCs w:val="18"/>
            </w:rPr>
            <w:t>沟通协调</w:t>
          </w:r>
          <w:r>
            <w:rPr>
              <w:spacing w:val="-75"/>
              <w:sz w:val="18"/>
              <w:szCs w:val="18"/>
            </w:rPr>
            <w:t xml:space="preserve"> </w:t>
          </w:r>
          <w:r>
            <w:rPr>
              <w:sz w:val="18"/>
              <w:szCs w:val="18"/>
            </w:rPr>
            <w:tab/>
          </w:r>
          <w:r>
            <w:rPr>
              <w:spacing w:val="-49"/>
              <w:sz w:val="18"/>
              <w:szCs w:val="18"/>
            </w:rPr>
            <w:t xml:space="preserve"> </w:t>
          </w:r>
          <w:r>
            <w:rPr>
              <w:rFonts w:ascii="Times New Roman" w:hAnsi="Times New Roman" w:eastAsia="Times New Roman" w:cs="Times New Roman"/>
              <w:spacing w:val="-2"/>
              <w:sz w:val="18"/>
              <w:szCs w:val="18"/>
            </w:rPr>
            <w:t>598</w:t>
          </w:r>
          <w:r>
            <w:rPr>
              <w:rFonts w:ascii="Times New Roman" w:hAnsi="Times New Roman" w:eastAsia="Times New Roman" w:cs="Times New Roman"/>
              <w:spacing w:val="-2"/>
              <w:sz w:val="18"/>
              <w:szCs w:val="18"/>
            </w:rPr>
            <w:fldChar w:fldCharType="end"/>
          </w:r>
        </w:p>
        <w:p w14:paraId="25426F7F">
          <w:pPr>
            <w:pStyle w:val="2"/>
            <w:tabs>
              <w:tab w:val="right" w:leader="dot" w:pos="3961"/>
            </w:tabs>
            <w:spacing w:before="115" w:line="219" w:lineRule="auto"/>
            <w:ind w:left="399"/>
            <w:rPr>
              <w:rFonts w:ascii="Times New Roman" w:hAnsi="Times New Roman" w:eastAsia="Times New Roman" w:cs="Times New Roman"/>
              <w:sz w:val="18"/>
              <w:szCs w:val="18"/>
            </w:rPr>
          </w:pPr>
          <w:bookmarkStart w:id="466" w:name="bookmark455"/>
          <w:bookmarkEnd w:id="466"/>
          <w:r>
            <w:fldChar w:fldCharType="begin"/>
          </w:r>
          <w:r>
            <w:instrText xml:space="preserve"> HYPERLINK \l "bookmark455" </w:instrText>
          </w:r>
          <w:r>
            <w:fldChar w:fldCharType="separate"/>
          </w:r>
          <w:r>
            <w:rPr>
              <w:rFonts w:ascii="Times New Roman" w:hAnsi="Times New Roman" w:eastAsia="Times New Roman" w:cs="Times New Roman"/>
              <w:spacing w:val="2"/>
              <w:sz w:val="18"/>
              <w:szCs w:val="18"/>
            </w:rPr>
            <w:t xml:space="preserve">25.3.11   </w:t>
          </w:r>
          <w:r>
            <w:rPr>
              <w:spacing w:val="2"/>
              <w:sz w:val="18"/>
              <w:szCs w:val="18"/>
            </w:rPr>
            <w:t>主要输出文档</w:t>
          </w:r>
          <w:r>
            <w:rPr>
              <w:spacing w:val="-69"/>
              <w:sz w:val="18"/>
              <w:szCs w:val="18"/>
            </w:rPr>
            <w:t xml:space="preserve"> </w:t>
          </w:r>
          <w:r>
            <w:rPr>
              <w:sz w:val="18"/>
              <w:szCs w:val="18"/>
            </w:rPr>
            <w:tab/>
          </w:r>
          <w:r>
            <w:rPr>
              <w:spacing w:val="-19"/>
              <w:sz w:val="18"/>
              <w:szCs w:val="18"/>
            </w:rPr>
            <w:t xml:space="preserve"> </w:t>
          </w:r>
          <w:r>
            <w:rPr>
              <w:rFonts w:ascii="Times New Roman" w:hAnsi="Times New Roman" w:eastAsia="Times New Roman" w:cs="Times New Roman"/>
              <w:spacing w:val="-2"/>
              <w:sz w:val="18"/>
              <w:szCs w:val="18"/>
            </w:rPr>
            <w:t>598</w:t>
          </w:r>
          <w:r>
            <w:rPr>
              <w:rFonts w:ascii="Times New Roman" w:hAnsi="Times New Roman" w:eastAsia="Times New Roman" w:cs="Times New Roman"/>
              <w:spacing w:val="-2"/>
              <w:sz w:val="18"/>
              <w:szCs w:val="18"/>
            </w:rPr>
            <w:fldChar w:fldCharType="end"/>
          </w:r>
        </w:p>
        <w:p w14:paraId="10052807">
          <w:pPr>
            <w:tabs>
              <w:tab w:val="right" w:leader="dot" w:pos="3941"/>
            </w:tabs>
            <w:spacing w:before="85" w:line="222" w:lineRule="auto"/>
            <w:rPr>
              <w:rFonts w:ascii="Times New Roman" w:hAnsi="Times New Roman" w:eastAsia="Times New Roman" w:cs="Times New Roman"/>
              <w:sz w:val="18"/>
              <w:szCs w:val="18"/>
            </w:rPr>
          </w:pPr>
          <w:bookmarkStart w:id="467" w:name="bookmark456"/>
          <w:bookmarkEnd w:id="467"/>
          <w:r>
            <w:fldChar w:fldCharType="begin"/>
          </w:r>
          <w:r>
            <w:instrText xml:space="preserve"> HYPERLINK \l "bookmark456" </w:instrText>
          </w:r>
          <w:r>
            <w:fldChar w:fldCharType="separate"/>
          </w:r>
          <w:r>
            <w:rPr>
              <w:rFonts w:ascii="Times New Roman" w:hAnsi="Times New Roman" w:eastAsia="Times New Roman" w:cs="Times New Roman"/>
              <w:spacing w:val="-1"/>
              <w:sz w:val="18"/>
              <w:szCs w:val="18"/>
            </w:rPr>
            <w:t>25.4</w:t>
          </w:r>
          <w:r>
            <w:rPr>
              <w:rFonts w:ascii="Times New Roman" w:hAnsi="Times New Roman" w:eastAsia="Times New Roman" w:cs="Times New Roman"/>
              <w:spacing w:val="14"/>
              <w:w w:val="101"/>
              <w:sz w:val="18"/>
              <w:szCs w:val="18"/>
            </w:rPr>
            <w:t xml:space="preserve">   </w:t>
          </w:r>
          <w:r>
            <w:rPr>
              <w:rFonts w:ascii="黑体" w:hAnsi="黑体" w:eastAsia="黑体" w:cs="黑体"/>
              <w:spacing w:val="-1"/>
              <w:sz w:val="18"/>
              <w:szCs w:val="18"/>
            </w:rPr>
            <w:t>评估阶段监理工作</w:t>
          </w:r>
          <w:r>
            <w:rPr>
              <w:rFonts w:ascii="黑体" w:hAnsi="黑体" w:eastAsia="黑体" w:cs="黑体"/>
              <w:spacing w:val="-63"/>
              <w:sz w:val="18"/>
              <w:szCs w:val="18"/>
            </w:rPr>
            <w:t xml:space="preserve"> </w:t>
          </w:r>
          <w:r>
            <w:rPr>
              <w:rFonts w:ascii="黑体" w:hAnsi="黑体" w:eastAsia="黑体" w:cs="黑体"/>
              <w:sz w:val="18"/>
              <w:szCs w:val="18"/>
            </w:rPr>
            <w:tab/>
          </w:r>
          <w:r>
            <w:rPr>
              <w:rFonts w:ascii="Times New Roman" w:hAnsi="Times New Roman" w:eastAsia="Times New Roman" w:cs="Times New Roman"/>
              <w:sz w:val="18"/>
              <w:szCs w:val="18"/>
            </w:rPr>
            <w:t>599</w:t>
          </w:r>
          <w:r>
            <w:rPr>
              <w:rFonts w:ascii="Times New Roman" w:hAnsi="Times New Roman" w:eastAsia="Times New Roman" w:cs="Times New Roman"/>
              <w:sz w:val="18"/>
              <w:szCs w:val="18"/>
            </w:rPr>
            <w:fldChar w:fldCharType="end"/>
          </w:r>
        </w:p>
        <w:p w14:paraId="6157658F">
          <w:pPr>
            <w:spacing w:line="364" w:lineRule="auto"/>
            <w:rPr>
              <w:rFonts w:ascii="Arial"/>
              <w:sz w:val="21"/>
            </w:rPr>
          </w:pPr>
        </w:p>
        <w:p w14:paraId="3FE56593">
          <w:pPr>
            <w:pStyle w:val="2"/>
            <w:tabs>
              <w:tab w:val="right" w:leader="dot" w:pos="3941"/>
            </w:tabs>
            <w:spacing w:before="59" w:line="219" w:lineRule="auto"/>
            <w:ind w:left="399"/>
            <w:rPr>
              <w:rFonts w:ascii="Times New Roman" w:hAnsi="Times New Roman" w:eastAsia="Times New Roman" w:cs="Times New Roman"/>
              <w:sz w:val="18"/>
              <w:szCs w:val="18"/>
            </w:rPr>
          </w:pPr>
          <w:bookmarkStart w:id="468" w:name="bookmark457"/>
          <w:bookmarkEnd w:id="468"/>
          <w:r>
            <w:fldChar w:fldCharType="begin"/>
          </w:r>
          <w:r>
            <w:instrText xml:space="preserve"> HYPERLINK \l "bookmark457" </w:instrText>
          </w:r>
          <w:r>
            <w:fldChar w:fldCharType="separate"/>
          </w:r>
          <w:r>
            <w:rPr>
              <w:rFonts w:ascii="Times New Roman" w:hAnsi="Times New Roman" w:eastAsia="Times New Roman" w:cs="Times New Roman"/>
              <w:spacing w:val="-1"/>
              <w:sz w:val="18"/>
              <w:szCs w:val="18"/>
            </w:rPr>
            <w:t xml:space="preserve">25.4.2    </w:t>
          </w:r>
          <w:r>
            <w:rPr>
              <w:spacing w:val="-1"/>
              <w:sz w:val="18"/>
              <w:szCs w:val="18"/>
            </w:rPr>
            <w:t>监理内容</w:t>
          </w:r>
          <w:r>
            <w:rPr>
              <w:spacing w:val="-47"/>
              <w:sz w:val="18"/>
              <w:szCs w:val="18"/>
            </w:rPr>
            <w:t xml:space="preserve"> </w:t>
          </w:r>
          <w:r>
            <w:rPr>
              <w:sz w:val="18"/>
              <w:szCs w:val="18"/>
            </w:rPr>
            <w:tab/>
          </w:r>
          <w:r>
            <w:rPr>
              <w:rFonts w:ascii="Times New Roman" w:hAnsi="Times New Roman" w:eastAsia="Times New Roman" w:cs="Times New Roman"/>
              <w:sz w:val="18"/>
              <w:szCs w:val="18"/>
            </w:rPr>
            <w:t>599</w:t>
          </w:r>
          <w:r>
            <w:rPr>
              <w:rFonts w:ascii="Times New Roman" w:hAnsi="Times New Roman" w:eastAsia="Times New Roman" w:cs="Times New Roman"/>
              <w:sz w:val="18"/>
              <w:szCs w:val="18"/>
            </w:rPr>
            <w:fldChar w:fldCharType="end"/>
          </w:r>
        </w:p>
        <w:p w14:paraId="20CD4ABA">
          <w:pPr>
            <w:pStyle w:val="2"/>
            <w:tabs>
              <w:tab w:val="right" w:leader="dot" w:pos="3942"/>
            </w:tabs>
            <w:spacing w:before="106" w:line="219" w:lineRule="auto"/>
            <w:ind w:left="399"/>
            <w:rPr>
              <w:rFonts w:ascii="Times New Roman" w:hAnsi="Times New Roman" w:eastAsia="Times New Roman" w:cs="Times New Roman"/>
              <w:sz w:val="18"/>
              <w:szCs w:val="18"/>
            </w:rPr>
          </w:pPr>
          <w:bookmarkStart w:id="469" w:name="bookmark458"/>
          <w:bookmarkEnd w:id="469"/>
          <w:r>
            <w:fldChar w:fldCharType="begin"/>
          </w:r>
          <w:r>
            <w:instrText xml:space="preserve"> HYPERLINK \l "bookmark458" </w:instrText>
          </w:r>
          <w:r>
            <w:fldChar w:fldCharType="separate"/>
          </w:r>
          <w:r>
            <w:rPr>
              <w:rFonts w:ascii="Times New Roman" w:hAnsi="Times New Roman" w:eastAsia="Times New Roman" w:cs="Times New Roman"/>
              <w:spacing w:val="-2"/>
              <w:sz w:val="18"/>
              <w:szCs w:val="18"/>
            </w:rPr>
            <w:t>25.4.3</w:t>
          </w:r>
          <w:r>
            <w:rPr>
              <w:rFonts w:ascii="Times New Roman" w:hAnsi="Times New Roman" w:eastAsia="Times New Roman" w:cs="Times New Roman"/>
              <w:spacing w:val="8"/>
              <w:sz w:val="18"/>
              <w:szCs w:val="18"/>
            </w:rPr>
            <w:t xml:space="preserve">    </w:t>
          </w:r>
          <w:r>
            <w:rPr>
              <w:spacing w:val="-2"/>
              <w:sz w:val="18"/>
              <w:szCs w:val="18"/>
            </w:rPr>
            <w:t>主要输出文档</w:t>
          </w:r>
          <w:r>
            <w:rPr>
              <w:spacing w:val="-70"/>
              <w:sz w:val="18"/>
              <w:szCs w:val="18"/>
            </w:rPr>
            <w:t xml:space="preserve"> </w:t>
          </w:r>
          <w:r>
            <w:rPr>
              <w:sz w:val="18"/>
              <w:szCs w:val="18"/>
            </w:rPr>
            <w:tab/>
          </w:r>
          <w:r>
            <w:rPr>
              <w:rFonts w:ascii="Times New Roman" w:hAnsi="Times New Roman" w:eastAsia="Times New Roman" w:cs="Times New Roman"/>
              <w:spacing w:val="1"/>
              <w:sz w:val="18"/>
              <w:szCs w:val="18"/>
            </w:rPr>
            <w:t>600</w:t>
          </w:r>
          <w:r>
            <w:rPr>
              <w:rFonts w:ascii="Times New Roman" w:hAnsi="Times New Roman" w:eastAsia="Times New Roman" w:cs="Times New Roman"/>
              <w:spacing w:val="1"/>
              <w:sz w:val="18"/>
              <w:szCs w:val="18"/>
            </w:rPr>
            <w:fldChar w:fldCharType="end"/>
          </w:r>
        </w:p>
        <w:p w14:paraId="533F297E">
          <w:pPr>
            <w:tabs>
              <w:tab w:val="right" w:leader="dot" w:pos="3942"/>
            </w:tabs>
            <w:spacing w:before="105" w:line="221" w:lineRule="auto"/>
            <w:rPr>
              <w:rFonts w:ascii="Times New Roman" w:hAnsi="Times New Roman" w:eastAsia="Times New Roman" w:cs="Times New Roman"/>
              <w:sz w:val="18"/>
              <w:szCs w:val="18"/>
            </w:rPr>
          </w:pPr>
          <w:bookmarkStart w:id="470" w:name="bookmark459"/>
          <w:bookmarkEnd w:id="470"/>
          <w:r>
            <w:fldChar w:fldCharType="begin"/>
          </w:r>
          <w:r>
            <w:instrText xml:space="preserve"> HYPERLINK \l "bookmark459" </w:instrText>
          </w:r>
          <w:r>
            <w:fldChar w:fldCharType="separate"/>
          </w:r>
          <w:r>
            <w:rPr>
              <w:rFonts w:ascii="Times New Roman" w:hAnsi="Times New Roman" w:eastAsia="Times New Roman" w:cs="Times New Roman"/>
              <w:spacing w:val="-1"/>
              <w:sz w:val="18"/>
              <w:szCs w:val="18"/>
            </w:rPr>
            <w:t>25.5</w:t>
          </w:r>
          <w:r>
            <w:rPr>
              <w:rFonts w:ascii="Times New Roman" w:hAnsi="Times New Roman" w:eastAsia="Times New Roman" w:cs="Times New Roman"/>
              <w:spacing w:val="11"/>
              <w:w w:val="101"/>
              <w:sz w:val="18"/>
              <w:szCs w:val="18"/>
            </w:rPr>
            <w:t xml:space="preserve">   </w:t>
          </w:r>
          <w:r>
            <w:rPr>
              <w:rFonts w:ascii="黑体" w:hAnsi="黑体" w:eastAsia="黑体" w:cs="黑体"/>
              <w:spacing w:val="-1"/>
              <w:sz w:val="18"/>
              <w:szCs w:val="18"/>
            </w:rPr>
            <w:t>运行维护服务的监理要点</w:t>
          </w:r>
          <w:r>
            <w:rPr>
              <w:rFonts w:ascii="黑体" w:hAnsi="黑体" w:eastAsia="黑体" w:cs="黑体"/>
              <w:spacing w:val="-51"/>
              <w:sz w:val="18"/>
              <w:szCs w:val="18"/>
            </w:rPr>
            <w:t xml:space="preserve"> </w:t>
          </w:r>
          <w:r>
            <w:rPr>
              <w:rFonts w:ascii="黑体" w:hAnsi="黑体" w:eastAsia="黑体" w:cs="黑体"/>
              <w:sz w:val="18"/>
              <w:szCs w:val="18"/>
            </w:rPr>
            <w:tab/>
          </w:r>
          <w:r>
            <w:rPr>
              <w:rFonts w:ascii="Times New Roman" w:hAnsi="Times New Roman" w:eastAsia="Times New Roman" w:cs="Times New Roman"/>
              <w:spacing w:val="1"/>
              <w:sz w:val="18"/>
              <w:szCs w:val="18"/>
            </w:rPr>
            <w:t>600</w:t>
          </w:r>
          <w:r>
            <w:rPr>
              <w:rFonts w:ascii="Times New Roman" w:hAnsi="Times New Roman" w:eastAsia="Times New Roman" w:cs="Times New Roman"/>
              <w:spacing w:val="1"/>
              <w:sz w:val="18"/>
              <w:szCs w:val="18"/>
            </w:rPr>
            <w:fldChar w:fldCharType="end"/>
          </w:r>
        </w:p>
        <w:p w14:paraId="3EE13D85">
          <w:pPr>
            <w:pStyle w:val="2"/>
            <w:spacing w:before="96" w:line="219" w:lineRule="auto"/>
            <w:ind w:left="419"/>
            <w:rPr>
              <w:sz w:val="18"/>
              <w:szCs w:val="18"/>
            </w:rPr>
          </w:pPr>
          <w:bookmarkStart w:id="471" w:name="bookmark460"/>
          <w:bookmarkEnd w:id="471"/>
          <w:r>
            <w:fldChar w:fldCharType="begin"/>
          </w:r>
          <w:r>
            <w:instrText xml:space="preserve"> HYPERLINK \l "bookmark460" </w:instrText>
          </w:r>
          <w:r>
            <w:fldChar w:fldCharType="separate"/>
          </w:r>
          <w:r>
            <w:rPr>
              <w:rFonts w:ascii="Times New Roman" w:hAnsi="Times New Roman" w:eastAsia="Times New Roman" w:cs="Times New Roman"/>
              <w:sz w:val="18"/>
              <w:szCs w:val="18"/>
            </w:rPr>
            <w:t>25.5.1</w:t>
          </w:r>
          <w:r>
            <w:rPr>
              <w:rFonts w:ascii="Times New Roman" w:hAnsi="Times New Roman" w:eastAsia="Times New Roman" w:cs="Times New Roman"/>
              <w:spacing w:val="16"/>
              <w:w w:val="101"/>
              <w:sz w:val="18"/>
              <w:szCs w:val="18"/>
            </w:rPr>
            <w:t xml:space="preserve">   </w:t>
          </w:r>
          <w:r>
            <w:rPr>
              <w:sz w:val="18"/>
              <w:szCs w:val="18"/>
            </w:rPr>
            <w:t>基础设施类运行维护服务的监理</w:t>
          </w:r>
          <w:r>
            <w:rPr>
              <w:sz w:val="18"/>
              <w:szCs w:val="18"/>
            </w:rPr>
            <w:fldChar w:fldCharType="end"/>
          </w:r>
        </w:p>
        <w:p w14:paraId="117A2C97">
          <w:pPr>
            <w:pStyle w:val="2"/>
            <w:tabs>
              <w:tab w:val="right" w:leader="dot" w:pos="3942"/>
            </w:tabs>
            <w:spacing w:before="99" w:line="222" w:lineRule="auto"/>
            <w:ind w:left="1049"/>
            <w:rPr>
              <w:rFonts w:ascii="Times New Roman" w:hAnsi="Times New Roman" w:eastAsia="Times New Roman" w:cs="Times New Roman"/>
              <w:sz w:val="18"/>
              <w:szCs w:val="18"/>
            </w:rPr>
          </w:pPr>
          <w:bookmarkStart w:id="472" w:name="bookmark460"/>
          <w:bookmarkEnd w:id="472"/>
          <w:r>
            <w:fldChar w:fldCharType="begin"/>
          </w:r>
          <w:r>
            <w:instrText xml:space="preserve"> HYPERLINK \l "bookmark460" </w:instrText>
          </w:r>
          <w:r>
            <w:fldChar w:fldCharType="separate"/>
          </w:r>
          <w:r>
            <w:rPr>
              <w:spacing w:val="-4"/>
              <w:sz w:val="18"/>
              <w:szCs w:val="18"/>
            </w:rPr>
            <w:t>要点</w:t>
          </w:r>
          <w:r>
            <w:rPr>
              <w:spacing w:val="-63"/>
              <w:sz w:val="18"/>
              <w:szCs w:val="18"/>
            </w:rPr>
            <w:t xml:space="preserve"> </w:t>
          </w:r>
          <w:r>
            <w:rPr>
              <w:sz w:val="18"/>
              <w:szCs w:val="18"/>
            </w:rPr>
            <w:tab/>
          </w:r>
          <w:r>
            <w:rPr>
              <w:rFonts w:ascii="Times New Roman" w:hAnsi="Times New Roman" w:eastAsia="Times New Roman" w:cs="Times New Roman"/>
              <w:spacing w:val="1"/>
              <w:sz w:val="18"/>
              <w:szCs w:val="18"/>
            </w:rPr>
            <w:t>600</w:t>
          </w:r>
          <w:r>
            <w:rPr>
              <w:rFonts w:ascii="Times New Roman" w:hAnsi="Times New Roman" w:eastAsia="Times New Roman" w:cs="Times New Roman"/>
              <w:spacing w:val="1"/>
              <w:sz w:val="18"/>
              <w:szCs w:val="18"/>
            </w:rPr>
            <w:fldChar w:fldCharType="end"/>
          </w:r>
        </w:p>
        <w:p w14:paraId="2C292EE5">
          <w:pPr>
            <w:pStyle w:val="2"/>
            <w:tabs>
              <w:tab w:val="right" w:leader="dot" w:pos="3962"/>
            </w:tabs>
            <w:spacing w:before="101" w:line="219" w:lineRule="auto"/>
            <w:ind w:left="399"/>
            <w:rPr>
              <w:rFonts w:ascii="Times New Roman" w:hAnsi="Times New Roman" w:eastAsia="Times New Roman" w:cs="Times New Roman"/>
              <w:sz w:val="18"/>
              <w:szCs w:val="18"/>
            </w:rPr>
          </w:pPr>
          <w:bookmarkStart w:id="473" w:name="bookmark461"/>
          <w:bookmarkEnd w:id="473"/>
          <w:r>
            <w:fldChar w:fldCharType="begin"/>
          </w:r>
          <w:r>
            <w:instrText xml:space="preserve"> HYPERLINK \l "bookmark461" </w:instrText>
          </w:r>
          <w:r>
            <w:fldChar w:fldCharType="separate"/>
          </w:r>
          <w:r>
            <w:rPr>
              <w:rFonts w:ascii="Times New Roman" w:hAnsi="Times New Roman" w:eastAsia="Times New Roman" w:cs="Times New Roman"/>
              <w:spacing w:val="-2"/>
              <w:sz w:val="18"/>
              <w:szCs w:val="18"/>
            </w:rPr>
            <w:t>25.5.2</w:t>
          </w:r>
          <w:r>
            <w:rPr>
              <w:rFonts w:ascii="Times New Roman" w:hAnsi="Times New Roman" w:eastAsia="Times New Roman" w:cs="Times New Roman"/>
              <w:spacing w:val="13"/>
              <w:sz w:val="18"/>
              <w:szCs w:val="18"/>
            </w:rPr>
            <w:t xml:space="preserve">   </w:t>
          </w:r>
          <w:r>
            <w:rPr>
              <w:spacing w:val="-2"/>
              <w:sz w:val="18"/>
              <w:szCs w:val="18"/>
            </w:rPr>
            <w:t>软件类运行维护服务的监理要点</w:t>
          </w:r>
          <w:r>
            <w:rPr>
              <w:spacing w:val="-75"/>
              <w:sz w:val="18"/>
              <w:szCs w:val="18"/>
            </w:rPr>
            <w:t xml:space="preserve"> </w:t>
          </w:r>
          <w:r>
            <w:rPr>
              <w:sz w:val="18"/>
              <w:szCs w:val="18"/>
            </w:rPr>
            <w:tab/>
          </w:r>
          <w:r>
            <w:rPr>
              <w:rFonts w:ascii="Times New Roman" w:hAnsi="Times New Roman" w:eastAsia="Times New Roman" w:cs="Times New Roman"/>
              <w:spacing w:val="4"/>
              <w:sz w:val="18"/>
              <w:szCs w:val="18"/>
            </w:rPr>
            <w:t>601</w:t>
          </w:r>
          <w:r>
            <w:rPr>
              <w:rFonts w:ascii="Times New Roman" w:hAnsi="Times New Roman" w:eastAsia="Times New Roman" w:cs="Times New Roman"/>
              <w:spacing w:val="4"/>
              <w:sz w:val="18"/>
              <w:szCs w:val="18"/>
            </w:rPr>
            <w:fldChar w:fldCharType="end"/>
          </w:r>
        </w:p>
        <w:p w14:paraId="347E9C0B">
          <w:pPr>
            <w:pStyle w:val="2"/>
            <w:tabs>
              <w:tab w:val="right" w:leader="dot" w:pos="3932"/>
            </w:tabs>
            <w:spacing w:before="97" w:line="219" w:lineRule="auto"/>
            <w:ind w:left="399"/>
            <w:rPr>
              <w:rFonts w:ascii="Times New Roman" w:hAnsi="Times New Roman" w:eastAsia="Times New Roman" w:cs="Times New Roman"/>
              <w:sz w:val="18"/>
              <w:szCs w:val="18"/>
            </w:rPr>
          </w:pPr>
          <w:bookmarkStart w:id="474" w:name="bookmark462"/>
          <w:bookmarkEnd w:id="474"/>
          <w:r>
            <w:fldChar w:fldCharType="begin"/>
          </w:r>
          <w:r>
            <w:instrText xml:space="preserve"> HYPERLINK \l "bookmark462" </w:instrText>
          </w:r>
          <w:r>
            <w:fldChar w:fldCharType="separate"/>
          </w:r>
          <w:r>
            <w:rPr>
              <w:rFonts w:ascii="Times New Roman" w:hAnsi="Times New Roman" w:eastAsia="Times New Roman" w:cs="Times New Roman"/>
              <w:spacing w:val="-2"/>
              <w:sz w:val="18"/>
              <w:szCs w:val="18"/>
            </w:rPr>
            <w:t>25.5.3</w:t>
          </w:r>
          <w:r>
            <w:rPr>
              <w:rFonts w:ascii="Times New Roman" w:hAnsi="Times New Roman" w:eastAsia="Times New Roman" w:cs="Times New Roman"/>
              <w:spacing w:val="13"/>
              <w:sz w:val="18"/>
              <w:szCs w:val="18"/>
            </w:rPr>
            <w:t xml:space="preserve">   </w:t>
          </w:r>
          <w:r>
            <w:rPr>
              <w:spacing w:val="-2"/>
              <w:sz w:val="18"/>
              <w:szCs w:val="18"/>
            </w:rPr>
            <w:t>数据类运行维护服务的监理要点</w:t>
          </w:r>
          <w:r>
            <w:rPr>
              <w:spacing w:val="-75"/>
              <w:sz w:val="18"/>
              <w:szCs w:val="18"/>
            </w:rPr>
            <w:t xml:space="preserve"> </w:t>
          </w:r>
          <w:r>
            <w:rPr>
              <w:sz w:val="18"/>
              <w:szCs w:val="18"/>
            </w:rPr>
            <w:tab/>
          </w:r>
          <w:r>
            <w:rPr>
              <w:rFonts w:ascii="Times New Roman" w:hAnsi="Times New Roman" w:eastAsia="Times New Roman" w:cs="Times New Roman"/>
              <w:spacing w:val="-4"/>
              <w:sz w:val="18"/>
              <w:szCs w:val="18"/>
            </w:rPr>
            <w:t>602</w:t>
          </w:r>
          <w:r>
            <w:rPr>
              <w:rFonts w:ascii="Times New Roman" w:hAnsi="Times New Roman" w:eastAsia="Times New Roman" w:cs="Times New Roman"/>
              <w:spacing w:val="-4"/>
              <w:sz w:val="18"/>
              <w:szCs w:val="18"/>
            </w:rPr>
            <w:fldChar w:fldCharType="end"/>
          </w:r>
        </w:p>
        <w:p w14:paraId="138E3DBC">
          <w:pPr>
            <w:pStyle w:val="2"/>
            <w:spacing w:before="106" w:line="219" w:lineRule="auto"/>
            <w:ind w:left="399"/>
            <w:rPr>
              <w:sz w:val="18"/>
              <w:szCs w:val="18"/>
            </w:rPr>
          </w:pPr>
          <w:bookmarkStart w:id="475" w:name="bookmark463"/>
          <w:bookmarkEnd w:id="475"/>
          <w:r>
            <w:fldChar w:fldCharType="begin"/>
          </w:r>
          <w:r>
            <w:instrText xml:space="preserve"> HYPERLINK \l "bookmark463" </w:instrText>
          </w:r>
          <w:r>
            <w:fldChar w:fldCharType="separate"/>
          </w:r>
          <w:r>
            <w:rPr>
              <w:rFonts w:ascii="Times New Roman" w:hAnsi="Times New Roman" w:eastAsia="Times New Roman" w:cs="Times New Roman"/>
              <w:sz w:val="18"/>
              <w:szCs w:val="18"/>
            </w:rPr>
            <w:t>25.5.4</w:t>
          </w:r>
          <w:r>
            <w:rPr>
              <w:rFonts w:ascii="Times New Roman" w:hAnsi="Times New Roman" w:eastAsia="Times New Roman" w:cs="Times New Roman"/>
              <w:spacing w:val="16"/>
              <w:w w:val="101"/>
              <w:sz w:val="18"/>
              <w:szCs w:val="18"/>
            </w:rPr>
            <w:t xml:space="preserve">   </w:t>
          </w:r>
          <w:r>
            <w:rPr>
              <w:sz w:val="18"/>
              <w:szCs w:val="18"/>
            </w:rPr>
            <w:t>信息安全类运行维护服务的监理</w:t>
          </w:r>
          <w:r>
            <w:rPr>
              <w:sz w:val="18"/>
              <w:szCs w:val="18"/>
            </w:rPr>
            <w:fldChar w:fldCharType="end"/>
          </w:r>
        </w:p>
        <w:p w14:paraId="5825842B">
          <w:pPr>
            <w:pStyle w:val="2"/>
            <w:tabs>
              <w:tab w:val="right" w:leader="dot" w:pos="3952"/>
            </w:tabs>
            <w:spacing w:before="99" w:line="222" w:lineRule="auto"/>
            <w:ind w:left="1049"/>
            <w:rPr>
              <w:rFonts w:ascii="Times New Roman" w:hAnsi="Times New Roman" w:eastAsia="Times New Roman" w:cs="Times New Roman"/>
              <w:sz w:val="18"/>
              <w:szCs w:val="18"/>
            </w:rPr>
          </w:pPr>
          <w:bookmarkStart w:id="476" w:name="bookmark463"/>
          <w:bookmarkEnd w:id="476"/>
          <w:r>
            <w:fldChar w:fldCharType="begin"/>
          </w:r>
          <w:r>
            <w:instrText xml:space="preserve"> HYPERLINK \l "bookmark463" </w:instrText>
          </w:r>
          <w:r>
            <w:fldChar w:fldCharType="separate"/>
          </w:r>
          <w:r>
            <w:rPr>
              <w:spacing w:val="-4"/>
              <w:sz w:val="18"/>
              <w:szCs w:val="18"/>
            </w:rPr>
            <w:t>要点</w:t>
          </w:r>
          <w:r>
            <w:rPr>
              <w:spacing w:val="-63"/>
              <w:sz w:val="18"/>
              <w:szCs w:val="18"/>
            </w:rPr>
            <w:t xml:space="preserve"> </w:t>
          </w:r>
          <w:r>
            <w:rPr>
              <w:sz w:val="18"/>
              <w:szCs w:val="18"/>
            </w:rPr>
            <w:tab/>
          </w:r>
          <w:r>
            <w:rPr>
              <w:rFonts w:ascii="Times New Roman" w:hAnsi="Times New Roman" w:eastAsia="Times New Roman" w:cs="Times New Roman"/>
              <w:spacing w:val="1"/>
              <w:sz w:val="18"/>
              <w:szCs w:val="18"/>
            </w:rPr>
            <w:t>603</w:t>
          </w:r>
          <w:r>
            <w:rPr>
              <w:rFonts w:ascii="Times New Roman" w:hAnsi="Times New Roman" w:eastAsia="Times New Roman" w:cs="Times New Roman"/>
              <w:spacing w:val="1"/>
              <w:sz w:val="18"/>
              <w:szCs w:val="18"/>
            </w:rPr>
            <w:fldChar w:fldCharType="end"/>
          </w:r>
        </w:p>
      </w:sdtContent>
    </w:sdt>
    <w:p w14:paraId="31FF4DC5">
      <w:pPr>
        <w:spacing w:line="222" w:lineRule="auto"/>
        <w:rPr>
          <w:rFonts w:ascii="Times New Roman" w:hAnsi="Times New Roman" w:eastAsia="Times New Roman" w:cs="Times New Roman"/>
          <w:sz w:val="18"/>
          <w:szCs w:val="18"/>
        </w:rPr>
        <w:sectPr>
          <w:type w:val="continuous"/>
          <w:pgSz w:w="10370" w:h="13410"/>
          <w:pgMar w:top="400" w:right="1218" w:bottom="400" w:left="539" w:header="0" w:footer="0" w:gutter="0"/>
          <w:cols w:equalWidth="0" w:num="2">
            <w:col w:w="4541" w:space="100"/>
            <w:col w:w="3972"/>
          </w:cols>
        </w:sectPr>
      </w:pPr>
    </w:p>
    <w:p w14:paraId="4DA5FDD3">
      <w:pPr>
        <w:spacing w:line="241" w:lineRule="auto"/>
        <w:rPr>
          <w:rFonts w:ascii="Arial"/>
          <w:sz w:val="21"/>
        </w:rPr>
      </w:pPr>
    </w:p>
    <w:p w14:paraId="67376A1D">
      <w:pPr>
        <w:spacing w:line="241" w:lineRule="auto"/>
        <w:rPr>
          <w:rFonts w:ascii="Arial"/>
          <w:sz w:val="21"/>
        </w:rPr>
      </w:pPr>
    </w:p>
    <w:p w14:paraId="34A7D982">
      <w:pPr>
        <w:spacing w:line="241" w:lineRule="auto"/>
        <w:rPr>
          <w:rFonts w:ascii="Arial"/>
          <w:sz w:val="21"/>
        </w:rPr>
      </w:pPr>
    </w:p>
    <w:p w14:paraId="22D9CE30">
      <w:pPr>
        <w:spacing w:line="241" w:lineRule="auto"/>
        <w:rPr>
          <w:rFonts w:ascii="Arial"/>
          <w:sz w:val="21"/>
        </w:rPr>
      </w:pPr>
    </w:p>
    <w:p w14:paraId="008BA0CD">
      <w:pPr>
        <w:spacing w:line="241" w:lineRule="auto"/>
        <w:rPr>
          <w:rFonts w:ascii="Arial"/>
          <w:sz w:val="21"/>
        </w:rPr>
      </w:pPr>
    </w:p>
    <w:p w14:paraId="448110EC">
      <w:pPr>
        <w:spacing w:line="241" w:lineRule="auto"/>
        <w:rPr>
          <w:rFonts w:ascii="Arial"/>
          <w:sz w:val="21"/>
        </w:rPr>
      </w:pPr>
    </w:p>
    <w:p w14:paraId="7CDB043F">
      <w:pPr>
        <w:spacing w:line="241" w:lineRule="auto"/>
        <w:rPr>
          <w:rFonts w:ascii="Arial"/>
          <w:sz w:val="21"/>
        </w:rPr>
      </w:pPr>
    </w:p>
    <w:p w14:paraId="28BE33D2">
      <w:pPr>
        <w:spacing w:line="241" w:lineRule="auto"/>
        <w:rPr>
          <w:rFonts w:ascii="Arial"/>
          <w:sz w:val="21"/>
        </w:rPr>
      </w:pPr>
    </w:p>
    <w:p w14:paraId="458C3204">
      <w:pPr>
        <w:spacing w:line="241" w:lineRule="auto"/>
        <w:rPr>
          <w:rFonts w:ascii="Arial"/>
          <w:sz w:val="21"/>
        </w:rPr>
      </w:pPr>
    </w:p>
    <w:p w14:paraId="34094010">
      <w:pPr>
        <w:spacing w:line="242" w:lineRule="auto"/>
        <w:rPr>
          <w:rFonts w:ascii="Arial"/>
          <w:sz w:val="21"/>
        </w:rPr>
      </w:pPr>
    </w:p>
    <w:p w14:paraId="278D376E">
      <w:pPr>
        <w:spacing w:line="242" w:lineRule="auto"/>
        <w:rPr>
          <w:rFonts w:ascii="Arial"/>
          <w:sz w:val="21"/>
        </w:rPr>
      </w:pPr>
    </w:p>
    <w:p w14:paraId="5F528164">
      <w:pPr>
        <w:spacing w:line="242" w:lineRule="auto"/>
        <w:rPr>
          <w:rFonts w:ascii="Arial"/>
          <w:sz w:val="21"/>
        </w:rPr>
      </w:pPr>
    </w:p>
    <w:p w14:paraId="31F14849">
      <w:pPr>
        <w:spacing w:line="242" w:lineRule="auto"/>
        <w:rPr>
          <w:rFonts w:ascii="Arial"/>
          <w:sz w:val="21"/>
        </w:rPr>
      </w:pPr>
    </w:p>
    <w:p w14:paraId="003693A6">
      <w:pPr>
        <w:spacing w:line="242" w:lineRule="auto"/>
        <w:rPr>
          <w:rFonts w:ascii="Arial"/>
          <w:sz w:val="21"/>
        </w:rPr>
      </w:pPr>
    </w:p>
    <w:p w14:paraId="2FDAAFFA">
      <w:pPr>
        <w:spacing w:line="242" w:lineRule="auto"/>
        <w:rPr>
          <w:rFonts w:ascii="Arial"/>
          <w:sz w:val="21"/>
        </w:rPr>
      </w:pPr>
    </w:p>
    <w:p w14:paraId="18B39C8D">
      <w:pPr>
        <w:spacing w:line="242" w:lineRule="auto"/>
        <w:rPr>
          <w:rFonts w:ascii="Arial"/>
          <w:sz w:val="21"/>
        </w:rPr>
      </w:pPr>
    </w:p>
    <w:p w14:paraId="0142C21B">
      <w:pPr>
        <w:spacing w:line="242" w:lineRule="auto"/>
        <w:rPr>
          <w:rFonts w:ascii="Arial"/>
          <w:sz w:val="21"/>
        </w:rPr>
      </w:pPr>
    </w:p>
    <w:p w14:paraId="2CF244B8">
      <w:pPr>
        <w:spacing w:line="242" w:lineRule="auto"/>
        <w:rPr>
          <w:rFonts w:ascii="Arial"/>
          <w:sz w:val="21"/>
        </w:rPr>
      </w:pPr>
    </w:p>
    <w:p w14:paraId="1C00271F">
      <w:pPr>
        <w:spacing w:line="242" w:lineRule="auto"/>
        <w:rPr>
          <w:rFonts w:ascii="Arial"/>
          <w:sz w:val="21"/>
        </w:rPr>
      </w:pPr>
    </w:p>
    <w:p w14:paraId="6024B0C6">
      <w:pPr>
        <w:spacing w:line="242" w:lineRule="auto"/>
        <w:rPr>
          <w:rFonts w:ascii="Arial"/>
          <w:sz w:val="21"/>
        </w:rPr>
      </w:pPr>
    </w:p>
    <w:p w14:paraId="341F437B">
      <w:pPr>
        <w:spacing w:line="242" w:lineRule="auto"/>
        <w:rPr>
          <w:rFonts w:ascii="Arial"/>
          <w:sz w:val="21"/>
        </w:rPr>
      </w:pPr>
    </w:p>
    <w:p w14:paraId="11C6FCA8">
      <w:pPr>
        <w:spacing w:line="242" w:lineRule="auto"/>
        <w:rPr>
          <w:rFonts w:ascii="Arial"/>
          <w:sz w:val="21"/>
        </w:rPr>
      </w:pPr>
    </w:p>
    <w:p w14:paraId="1454ECCB">
      <w:pPr>
        <w:spacing w:line="242" w:lineRule="auto"/>
        <w:rPr>
          <w:rFonts w:ascii="Arial"/>
          <w:sz w:val="21"/>
        </w:rPr>
      </w:pPr>
    </w:p>
    <w:p w14:paraId="55C54CCD">
      <w:pPr>
        <w:spacing w:line="242" w:lineRule="auto"/>
        <w:rPr>
          <w:rFonts w:ascii="Arial"/>
          <w:sz w:val="21"/>
        </w:rPr>
      </w:pPr>
    </w:p>
    <w:p w14:paraId="538C4331">
      <w:pPr>
        <w:spacing w:before="195" w:line="221" w:lineRule="auto"/>
        <w:ind w:left="1768"/>
        <w:outlineLvl w:val="1"/>
        <w:rPr>
          <w:rFonts w:ascii="黑体" w:hAnsi="黑体" w:eastAsia="黑体" w:cs="黑体"/>
          <w:sz w:val="60"/>
          <w:szCs w:val="60"/>
        </w:rPr>
      </w:pPr>
      <w:r>
        <w:drawing>
          <wp:anchor distT="0" distB="0" distL="0" distR="0" simplePos="0" relativeHeight="251676672" behindDoc="1" locked="0" layoutInCell="1" allowOverlap="1">
            <wp:simplePos x="0" y="0"/>
            <wp:positionH relativeFrom="column">
              <wp:posOffset>0</wp:posOffset>
            </wp:positionH>
            <wp:positionV relativeFrom="paragraph">
              <wp:posOffset>-3959225</wp:posOffset>
            </wp:positionV>
            <wp:extent cx="6565900" cy="84391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7"/>
                    <a:stretch>
                      <a:fillRect/>
                    </a:stretch>
                  </pic:blipFill>
                  <pic:spPr>
                    <a:xfrm>
                      <a:off x="0" y="0"/>
                      <a:ext cx="6565900" cy="8439164"/>
                    </a:xfrm>
                    <a:prstGeom prst="rect">
                      <a:avLst/>
                    </a:prstGeom>
                  </pic:spPr>
                </pic:pic>
              </a:graphicData>
            </a:graphic>
          </wp:anchor>
        </w:drawing>
      </w:r>
      <w:bookmarkStart w:id="477" w:name="bookmark10"/>
      <w:bookmarkEnd w:id="477"/>
      <w:bookmarkStart w:id="478" w:name="bookmark464"/>
      <w:bookmarkEnd w:id="478"/>
      <w:r>
        <w:rPr>
          <w:rFonts w:ascii="黑体" w:hAnsi="黑体" w:eastAsia="黑体" w:cs="黑体"/>
          <w:b/>
          <w:bCs/>
          <w:spacing w:val="-6"/>
          <w:sz w:val="60"/>
          <w:szCs w:val="60"/>
        </w:rPr>
        <w:t>第一篇</w:t>
      </w:r>
      <w:r>
        <w:rPr>
          <w:rFonts w:ascii="黑体" w:hAnsi="黑体" w:eastAsia="黑体" w:cs="黑体"/>
          <w:spacing w:val="274"/>
          <w:sz w:val="60"/>
          <w:szCs w:val="60"/>
        </w:rPr>
        <w:t xml:space="preserve"> </w:t>
      </w:r>
      <w:r>
        <w:rPr>
          <w:rFonts w:ascii="黑体" w:hAnsi="黑体" w:eastAsia="黑体" w:cs="黑体"/>
          <w:b/>
          <w:bCs/>
          <w:spacing w:val="-6"/>
          <w:sz w:val="60"/>
          <w:szCs w:val="60"/>
        </w:rPr>
        <w:t>信息系统工程知识</w:t>
      </w:r>
    </w:p>
    <w:p w14:paraId="29216299">
      <w:pPr>
        <w:spacing w:line="221" w:lineRule="auto"/>
        <w:rPr>
          <w:rFonts w:ascii="黑体" w:hAnsi="黑体" w:eastAsia="黑体" w:cs="黑体"/>
          <w:sz w:val="60"/>
          <w:szCs w:val="60"/>
        </w:rPr>
        <w:sectPr>
          <w:pgSz w:w="10340" w:h="13300"/>
          <w:pgMar w:top="400" w:right="0" w:bottom="400" w:left="0" w:header="0" w:footer="0" w:gutter="0"/>
          <w:cols w:space="720" w:num="1"/>
        </w:sectPr>
      </w:pPr>
    </w:p>
    <w:p w14:paraId="6728174A">
      <w:pPr>
        <w:rPr>
          <w:rFonts w:ascii="Arial"/>
          <w:sz w:val="21"/>
        </w:rPr>
      </w:pPr>
    </w:p>
    <w:p w14:paraId="6C694C87">
      <w:pPr>
        <w:rPr>
          <w:rFonts w:ascii="Arial" w:hAnsi="Arial" w:eastAsia="Arial" w:cs="Arial"/>
          <w:sz w:val="21"/>
          <w:szCs w:val="21"/>
        </w:rPr>
        <w:sectPr>
          <w:pgSz w:w="10370" w:h="13390"/>
          <w:pgMar w:top="0" w:right="0" w:bottom="0" w:left="0" w:header="0" w:footer="0" w:gutter="0"/>
          <w:cols w:space="720" w:num="1"/>
        </w:sectPr>
      </w:pPr>
    </w:p>
    <w:p w14:paraId="769F1418">
      <w:pPr>
        <w:spacing w:line="255" w:lineRule="auto"/>
        <w:rPr>
          <w:rFonts w:ascii="Arial"/>
          <w:sz w:val="21"/>
        </w:rPr>
      </w:pPr>
    </w:p>
    <w:p w14:paraId="5AABC917">
      <w:pPr>
        <w:spacing w:line="255" w:lineRule="auto"/>
        <w:rPr>
          <w:rFonts w:ascii="Arial"/>
          <w:sz w:val="21"/>
        </w:rPr>
      </w:pPr>
    </w:p>
    <w:p w14:paraId="5A86FE62">
      <w:pPr>
        <w:spacing w:line="255" w:lineRule="auto"/>
        <w:rPr>
          <w:rFonts w:ascii="Arial"/>
          <w:sz w:val="21"/>
        </w:rPr>
      </w:pPr>
    </w:p>
    <w:p w14:paraId="2CDC2944">
      <w:pPr>
        <w:spacing w:before="130" w:line="235" w:lineRule="auto"/>
        <w:ind w:left="2195"/>
        <w:rPr>
          <w:sz w:val="40"/>
          <w:szCs w:val="40"/>
        </w:rPr>
      </w:pPr>
      <w:bookmarkStart w:id="479" w:name="bookmark465"/>
      <w:bookmarkEnd w:id="479"/>
      <w:r>
        <w:rPr>
          <w:rFonts w:ascii="黑体" w:hAnsi="黑体" w:eastAsia="黑体" w:cs="黑体"/>
          <w:b/>
          <w:bCs/>
          <w:color w:val="007EEE"/>
          <w:spacing w:val="-14"/>
          <w:sz w:val="40"/>
          <w:szCs w:val="40"/>
        </w:rPr>
        <w:t>第</w:t>
      </w:r>
      <w:r>
        <w:rPr>
          <w:rFonts w:ascii="黑体" w:hAnsi="黑体" w:eastAsia="黑体" w:cs="黑体"/>
          <w:color w:val="007EEE"/>
          <w:spacing w:val="-62"/>
          <w:sz w:val="40"/>
          <w:szCs w:val="40"/>
        </w:rPr>
        <w:t xml:space="preserve"> </w:t>
      </w:r>
      <w:r>
        <w:rPr>
          <w:rFonts w:ascii="黑体" w:hAnsi="黑体" w:eastAsia="黑体" w:cs="黑体"/>
          <w:b/>
          <w:bCs/>
          <w:color w:val="007EEE"/>
          <w:spacing w:val="-14"/>
          <w:sz w:val="40"/>
          <w:szCs w:val="40"/>
        </w:rPr>
        <w:t>1</w:t>
      </w:r>
      <w:r>
        <w:rPr>
          <w:rFonts w:ascii="黑体" w:hAnsi="黑体" w:eastAsia="黑体" w:cs="黑体"/>
          <w:color w:val="007EEE"/>
          <w:spacing w:val="-83"/>
          <w:sz w:val="40"/>
          <w:szCs w:val="40"/>
        </w:rPr>
        <w:t xml:space="preserve"> </w:t>
      </w:r>
      <w:r>
        <w:rPr>
          <w:rFonts w:ascii="黑体" w:hAnsi="黑体" w:eastAsia="黑体" w:cs="黑体"/>
          <w:b/>
          <w:bCs/>
          <w:color w:val="007EEE"/>
          <w:spacing w:val="-14"/>
          <w:sz w:val="40"/>
          <w:szCs w:val="40"/>
        </w:rPr>
        <w:t>章</w:t>
      </w:r>
      <w:r>
        <w:rPr>
          <w:rFonts w:ascii="黑体" w:hAnsi="黑体" w:eastAsia="黑体" w:cs="黑体"/>
          <w:color w:val="007EEE"/>
          <w:spacing w:val="186"/>
          <w:sz w:val="40"/>
          <w:szCs w:val="40"/>
        </w:rPr>
        <w:t xml:space="preserve"> </w:t>
      </w:r>
      <w:r>
        <w:rPr>
          <w:rFonts w:ascii="黑体" w:hAnsi="黑体" w:eastAsia="黑体" w:cs="黑体"/>
          <w:b/>
          <w:bCs/>
          <w:color w:val="007EEE"/>
          <w:spacing w:val="-14"/>
          <w:sz w:val="40"/>
          <w:szCs w:val="40"/>
        </w:rPr>
        <w:t>信息与信息化</w:t>
      </w:r>
      <w:r>
        <w:rPr>
          <w:rFonts w:ascii="黑体" w:hAnsi="黑体" w:eastAsia="黑体" w:cs="黑体"/>
          <w:color w:val="007EEE"/>
          <w:spacing w:val="34"/>
          <w:sz w:val="40"/>
          <w:szCs w:val="40"/>
        </w:rPr>
        <w:t xml:space="preserve">     </w:t>
      </w:r>
      <w:r>
        <w:rPr>
          <w:position w:val="-3"/>
          <w:sz w:val="40"/>
          <w:szCs w:val="40"/>
        </w:rPr>
        <w:drawing>
          <wp:inline distT="0" distB="0" distL="0" distR="0">
            <wp:extent cx="628650" cy="2597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8"/>
                    <a:stretch>
                      <a:fillRect/>
                    </a:stretch>
                  </pic:blipFill>
                  <pic:spPr>
                    <a:xfrm>
                      <a:off x="0" y="0"/>
                      <a:ext cx="628667" cy="260316"/>
                    </a:xfrm>
                    <a:prstGeom prst="rect">
                      <a:avLst/>
                    </a:prstGeom>
                  </pic:spPr>
                </pic:pic>
              </a:graphicData>
            </a:graphic>
          </wp:inline>
        </w:drawing>
      </w:r>
    </w:p>
    <w:p w14:paraId="7AE68740">
      <w:pPr>
        <w:spacing w:line="355" w:lineRule="auto"/>
        <w:rPr>
          <w:rFonts w:ascii="Arial"/>
          <w:sz w:val="21"/>
        </w:rPr>
      </w:pPr>
    </w:p>
    <w:p w14:paraId="200A5F1B">
      <w:pPr>
        <w:spacing w:line="356" w:lineRule="auto"/>
        <w:rPr>
          <w:rFonts w:ascii="Arial"/>
          <w:sz w:val="21"/>
        </w:rPr>
      </w:pPr>
    </w:p>
    <w:p w14:paraId="44FE0CE2">
      <w:pPr>
        <w:pStyle w:val="2"/>
        <w:spacing w:before="62" w:line="298" w:lineRule="auto"/>
        <w:ind w:firstLine="390"/>
        <w:jc w:val="both"/>
        <w:rPr>
          <w:sz w:val="19"/>
          <w:szCs w:val="19"/>
        </w:rPr>
      </w:pPr>
      <w:r>
        <w:rPr>
          <w:spacing w:val="13"/>
          <w:sz w:val="19"/>
          <w:szCs w:val="19"/>
        </w:rPr>
        <w:t>人类社会经历了农业革命、工业革命，正在经历信息革命。以信息技术为代表的新一</w:t>
      </w:r>
      <w:r>
        <w:rPr>
          <w:spacing w:val="12"/>
          <w:sz w:val="19"/>
          <w:szCs w:val="19"/>
        </w:rPr>
        <w:t>轮科</w:t>
      </w:r>
      <w:r>
        <w:rPr>
          <w:sz w:val="19"/>
          <w:szCs w:val="19"/>
        </w:rPr>
        <w:t xml:space="preserve">  </w:t>
      </w:r>
      <w:r>
        <w:rPr>
          <w:spacing w:val="10"/>
          <w:sz w:val="19"/>
          <w:szCs w:val="19"/>
        </w:rPr>
        <w:t>技革命方兴未艾，信息技术与生物技术、新能源技术、新材料技术等交叉融合，引</w:t>
      </w:r>
      <w:r>
        <w:rPr>
          <w:spacing w:val="9"/>
          <w:sz w:val="19"/>
          <w:szCs w:val="19"/>
        </w:rPr>
        <w:t>发了以绿色、</w:t>
      </w:r>
      <w:r>
        <w:rPr>
          <w:sz w:val="19"/>
          <w:szCs w:val="19"/>
        </w:rPr>
        <w:t xml:space="preserve"> </w:t>
      </w:r>
      <w:r>
        <w:rPr>
          <w:spacing w:val="13"/>
          <w:sz w:val="19"/>
          <w:szCs w:val="19"/>
        </w:rPr>
        <w:t>智能、泛在为特征的群体性技术突破。全球信息化进入全面渗透、跨界融合、加速创新、引领</w:t>
      </w:r>
      <w:r>
        <w:rPr>
          <w:spacing w:val="4"/>
          <w:sz w:val="19"/>
          <w:szCs w:val="19"/>
        </w:rPr>
        <w:t xml:space="preserve"> </w:t>
      </w:r>
      <w:r>
        <w:rPr>
          <w:spacing w:val="13"/>
          <w:sz w:val="19"/>
          <w:szCs w:val="19"/>
        </w:rPr>
        <w:t>发展的新阶段。世界经济数字化转型加速，新一代信息技</w:t>
      </w:r>
      <w:r>
        <w:rPr>
          <w:spacing w:val="12"/>
          <w:sz w:val="19"/>
          <w:szCs w:val="19"/>
        </w:rPr>
        <w:t>术加速迭代升级和融合应用，数字经</w:t>
      </w:r>
      <w:r>
        <w:rPr>
          <w:sz w:val="19"/>
          <w:szCs w:val="19"/>
        </w:rPr>
        <w:t xml:space="preserve">  </w:t>
      </w:r>
      <w:r>
        <w:rPr>
          <w:spacing w:val="13"/>
          <w:sz w:val="19"/>
          <w:szCs w:val="19"/>
        </w:rPr>
        <w:t>济引领生产要素、组织形态、商业模式全方位变革。数字空间国际竞</w:t>
      </w:r>
      <w:r>
        <w:rPr>
          <w:spacing w:val="12"/>
          <w:sz w:val="19"/>
          <w:szCs w:val="19"/>
        </w:rPr>
        <w:t>争合作进入新阶段，以信</w:t>
      </w:r>
      <w:r>
        <w:rPr>
          <w:sz w:val="19"/>
          <w:szCs w:val="19"/>
        </w:rPr>
        <w:t xml:space="preserve">  </w:t>
      </w:r>
      <w:r>
        <w:rPr>
          <w:spacing w:val="13"/>
          <w:sz w:val="19"/>
          <w:szCs w:val="19"/>
        </w:rPr>
        <w:t>息技术生态优势、数字化转型势能、数据治理能力为核心</w:t>
      </w:r>
      <w:r>
        <w:rPr>
          <w:spacing w:val="12"/>
          <w:sz w:val="19"/>
          <w:szCs w:val="19"/>
        </w:rPr>
        <w:t>的国家创新力和竞争力正在成为世界</w:t>
      </w:r>
      <w:r>
        <w:rPr>
          <w:sz w:val="19"/>
          <w:szCs w:val="19"/>
        </w:rPr>
        <w:t xml:space="preserve">  </w:t>
      </w:r>
      <w:r>
        <w:rPr>
          <w:spacing w:val="13"/>
          <w:sz w:val="19"/>
          <w:szCs w:val="19"/>
        </w:rPr>
        <w:t>各国新一轮的竞争焦点，数字领域规则体系及核心技术生</w:t>
      </w:r>
      <w:r>
        <w:rPr>
          <w:spacing w:val="12"/>
          <w:sz w:val="19"/>
          <w:szCs w:val="19"/>
        </w:rPr>
        <w:t>态体系的竞争日趋激烈。加快信息化</w:t>
      </w:r>
      <w:r>
        <w:rPr>
          <w:sz w:val="19"/>
          <w:szCs w:val="19"/>
        </w:rPr>
        <w:t xml:space="preserve">  </w:t>
      </w:r>
      <w:r>
        <w:rPr>
          <w:spacing w:val="6"/>
          <w:sz w:val="19"/>
          <w:szCs w:val="19"/>
        </w:rPr>
        <w:t>发展，建设数字国家已经成为全球的共识。</w:t>
      </w:r>
    </w:p>
    <w:p w14:paraId="66D138B8">
      <w:pPr>
        <w:spacing w:line="438" w:lineRule="auto"/>
        <w:rPr>
          <w:rFonts w:ascii="Arial"/>
          <w:sz w:val="21"/>
        </w:rPr>
      </w:pPr>
    </w:p>
    <w:p w14:paraId="2DAB55B0">
      <w:pPr>
        <w:pStyle w:val="2"/>
        <w:spacing w:before="62" w:line="221" w:lineRule="auto"/>
        <w:ind w:left="2"/>
        <w:rPr>
          <w:rFonts w:ascii="黑体" w:hAnsi="黑体" w:eastAsia="黑体" w:cs="黑体"/>
          <w:sz w:val="19"/>
          <w:szCs w:val="19"/>
        </w:rPr>
      </w:pPr>
      <w:r>
        <w:rPr>
          <w:b/>
          <w:bCs/>
          <w:color w:val="0066DB"/>
          <w:spacing w:val="-8"/>
          <w:sz w:val="19"/>
          <w:szCs w:val="19"/>
        </w:rPr>
        <w:t>1.1</w:t>
      </w:r>
      <w:r>
        <w:rPr>
          <w:color w:val="0066DB"/>
          <w:spacing w:val="4"/>
          <w:sz w:val="19"/>
          <w:szCs w:val="19"/>
        </w:rPr>
        <w:t xml:space="preserve">    </w:t>
      </w:r>
      <w:r>
        <w:rPr>
          <w:rFonts w:ascii="黑体" w:hAnsi="黑体" w:eastAsia="黑体" w:cs="黑体"/>
          <w:b/>
          <w:bCs/>
          <w:color w:val="0066DB"/>
          <w:spacing w:val="-8"/>
          <w:sz w:val="19"/>
          <w:szCs w:val="19"/>
        </w:rPr>
        <w:t>信</w:t>
      </w:r>
      <w:r>
        <w:rPr>
          <w:rFonts w:ascii="黑体" w:hAnsi="黑体" w:eastAsia="黑体" w:cs="黑体"/>
          <w:color w:val="0066DB"/>
          <w:spacing w:val="17"/>
          <w:sz w:val="19"/>
          <w:szCs w:val="19"/>
        </w:rPr>
        <w:t xml:space="preserve"> </w:t>
      </w:r>
      <w:r>
        <w:rPr>
          <w:rFonts w:ascii="黑体" w:hAnsi="黑体" w:eastAsia="黑体" w:cs="黑体"/>
          <w:b/>
          <w:bCs/>
          <w:color w:val="0066DB"/>
          <w:spacing w:val="-8"/>
          <w:sz w:val="19"/>
          <w:szCs w:val="19"/>
        </w:rPr>
        <w:t>息</w:t>
      </w:r>
      <w:r>
        <w:rPr>
          <w:rFonts w:ascii="黑体" w:hAnsi="黑体" w:eastAsia="黑体" w:cs="黑体"/>
          <w:color w:val="0066DB"/>
          <w:spacing w:val="21"/>
          <w:sz w:val="19"/>
          <w:szCs w:val="19"/>
        </w:rPr>
        <w:t xml:space="preserve"> </w:t>
      </w:r>
      <w:r>
        <w:rPr>
          <w:rFonts w:ascii="黑体" w:hAnsi="黑体" w:eastAsia="黑体" w:cs="黑体"/>
          <w:b/>
          <w:bCs/>
          <w:color w:val="0066DB"/>
          <w:spacing w:val="-8"/>
          <w:sz w:val="19"/>
          <w:szCs w:val="19"/>
        </w:rPr>
        <w:t>与</w:t>
      </w:r>
      <w:r>
        <w:rPr>
          <w:rFonts w:ascii="黑体" w:hAnsi="黑体" w:eastAsia="黑体" w:cs="黑体"/>
          <w:color w:val="0066DB"/>
          <w:spacing w:val="14"/>
          <w:sz w:val="19"/>
          <w:szCs w:val="19"/>
        </w:rPr>
        <w:t xml:space="preserve"> </w:t>
      </w:r>
      <w:r>
        <w:rPr>
          <w:rFonts w:ascii="黑体" w:hAnsi="黑体" w:eastAsia="黑体" w:cs="黑体"/>
          <w:b/>
          <w:bCs/>
          <w:color w:val="0066DB"/>
          <w:spacing w:val="-8"/>
          <w:sz w:val="19"/>
          <w:szCs w:val="19"/>
        </w:rPr>
        <w:t>信</w:t>
      </w:r>
      <w:r>
        <w:rPr>
          <w:rFonts w:ascii="黑体" w:hAnsi="黑体" w:eastAsia="黑体" w:cs="黑体"/>
          <w:color w:val="0066DB"/>
          <w:spacing w:val="15"/>
          <w:sz w:val="19"/>
          <w:szCs w:val="19"/>
        </w:rPr>
        <w:t xml:space="preserve"> </w:t>
      </w:r>
      <w:r>
        <w:rPr>
          <w:rFonts w:ascii="黑体" w:hAnsi="黑体" w:eastAsia="黑体" w:cs="黑体"/>
          <w:b/>
          <w:bCs/>
          <w:color w:val="0066DB"/>
          <w:spacing w:val="-8"/>
          <w:sz w:val="19"/>
          <w:szCs w:val="19"/>
        </w:rPr>
        <w:t>息</w:t>
      </w:r>
      <w:r>
        <w:rPr>
          <w:rFonts w:ascii="黑体" w:hAnsi="黑体" w:eastAsia="黑体" w:cs="黑体"/>
          <w:color w:val="0066DB"/>
          <w:spacing w:val="15"/>
          <w:sz w:val="19"/>
          <w:szCs w:val="19"/>
        </w:rPr>
        <w:t xml:space="preserve"> </w:t>
      </w:r>
      <w:r>
        <w:rPr>
          <w:rFonts w:ascii="黑体" w:hAnsi="黑体" w:eastAsia="黑体" w:cs="黑体"/>
          <w:b/>
          <w:bCs/>
          <w:color w:val="0066DB"/>
          <w:spacing w:val="-8"/>
          <w:sz w:val="19"/>
          <w:szCs w:val="19"/>
        </w:rPr>
        <w:t>化</w:t>
      </w:r>
      <w:r>
        <w:rPr>
          <w:rFonts w:ascii="黑体" w:hAnsi="黑体" w:eastAsia="黑体" w:cs="黑体"/>
          <w:color w:val="0066DB"/>
          <w:spacing w:val="-8"/>
          <w:sz w:val="19"/>
          <w:szCs w:val="19"/>
        </w:rPr>
        <w:t xml:space="preserve"> </w:t>
      </w:r>
      <w:r>
        <w:rPr>
          <w:rFonts w:ascii="黑体" w:hAnsi="黑体" w:eastAsia="黑体" w:cs="黑体"/>
          <w:b/>
          <w:bCs/>
          <w:color w:val="0066DB"/>
          <w:spacing w:val="-8"/>
          <w:sz w:val="19"/>
          <w:szCs w:val="19"/>
        </w:rPr>
        <w:t>概</w:t>
      </w:r>
      <w:r>
        <w:rPr>
          <w:rFonts w:ascii="黑体" w:hAnsi="黑体" w:eastAsia="黑体" w:cs="黑体"/>
          <w:color w:val="0066DB"/>
          <w:spacing w:val="12"/>
          <w:sz w:val="19"/>
          <w:szCs w:val="19"/>
        </w:rPr>
        <w:t xml:space="preserve"> </w:t>
      </w:r>
      <w:r>
        <w:rPr>
          <w:rFonts w:ascii="黑体" w:hAnsi="黑体" w:eastAsia="黑体" w:cs="黑体"/>
          <w:b/>
          <w:bCs/>
          <w:color w:val="0066DB"/>
          <w:spacing w:val="-8"/>
          <w:sz w:val="19"/>
          <w:szCs w:val="19"/>
        </w:rPr>
        <w:t>述</w:t>
      </w:r>
    </w:p>
    <w:p w14:paraId="5DC30A01">
      <w:pPr>
        <w:pStyle w:val="2"/>
        <w:spacing w:before="296" w:line="219" w:lineRule="auto"/>
        <w:ind w:left="2"/>
        <w:rPr>
          <w:sz w:val="25"/>
          <w:szCs w:val="25"/>
        </w:rPr>
      </w:pPr>
      <w:r>
        <w:rPr>
          <w:b/>
          <w:bCs/>
          <w:color w:val="005CB8"/>
          <w:spacing w:val="-21"/>
          <w:sz w:val="25"/>
          <w:szCs w:val="25"/>
        </w:rPr>
        <w:t>1.1.1</w:t>
      </w:r>
      <w:r>
        <w:rPr>
          <w:color w:val="005CB8"/>
          <w:spacing w:val="-21"/>
          <w:sz w:val="25"/>
          <w:szCs w:val="25"/>
        </w:rPr>
        <w:t xml:space="preserve">  </w:t>
      </w:r>
      <w:r>
        <w:rPr>
          <w:b/>
          <w:bCs/>
          <w:color w:val="005CB8"/>
          <w:spacing w:val="-21"/>
          <w:sz w:val="25"/>
          <w:szCs w:val="25"/>
        </w:rPr>
        <w:t>信息</w:t>
      </w:r>
    </w:p>
    <w:p w14:paraId="15388347">
      <w:pPr>
        <w:pStyle w:val="2"/>
        <w:spacing w:before="201" w:line="222" w:lineRule="auto"/>
        <w:ind w:left="392"/>
        <w:rPr>
          <w:rFonts w:ascii="黑体" w:hAnsi="黑体" w:eastAsia="黑体" w:cs="黑体"/>
          <w:sz w:val="19"/>
          <w:szCs w:val="19"/>
        </w:rPr>
      </w:pPr>
      <w:r>
        <w:rPr>
          <w:b/>
          <w:bCs/>
          <w:color w:val="0076DE"/>
          <w:spacing w:val="7"/>
          <w:sz w:val="19"/>
          <w:szCs w:val="19"/>
        </w:rPr>
        <w:t>1.</w:t>
      </w:r>
      <w:r>
        <w:rPr>
          <w:rFonts w:ascii="黑体" w:hAnsi="黑体" w:eastAsia="黑体" w:cs="黑体"/>
          <w:b/>
          <w:bCs/>
          <w:color w:val="0076DE"/>
          <w:spacing w:val="7"/>
          <w:sz w:val="19"/>
          <w:szCs w:val="19"/>
        </w:rPr>
        <w:t>数据、信息和知识</w:t>
      </w:r>
    </w:p>
    <w:p w14:paraId="250F72DE">
      <w:pPr>
        <w:pStyle w:val="2"/>
        <w:spacing w:before="152" w:line="295" w:lineRule="auto"/>
        <w:ind w:right="62" w:firstLine="390"/>
        <w:jc w:val="both"/>
        <w:rPr>
          <w:sz w:val="19"/>
          <w:szCs w:val="19"/>
        </w:rPr>
      </w:pPr>
      <w:r>
        <w:rPr>
          <w:spacing w:val="13"/>
          <w:sz w:val="19"/>
          <w:szCs w:val="19"/>
        </w:rPr>
        <w:t>数据由原始事实组成，例如员工人数、每周工作总小时数、库存零件数或生产线上生产的</w:t>
      </w:r>
      <w:r>
        <w:rPr>
          <w:spacing w:val="6"/>
          <w:sz w:val="19"/>
          <w:szCs w:val="19"/>
        </w:rPr>
        <w:t xml:space="preserve"> </w:t>
      </w:r>
      <w:r>
        <w:rPr>
          <w:spacing w:val="13"/>
          <w:sz w:val="19"/>
          <w:szCs w:val="19"/>
        </w:rPr>
        <w:t>零件数。数据代表现实世界。例如，医疗机构维护患者的医疗数据，这些数据代表了具有特定</w:t>
      </w:r>
      <w:r>
        <w:rPr>
          <w:spacing w:val="9"/>
          <w:sz w:val="19"/>
          <w:szCs w:val="19"/>
        </w:rPr>
        <w:t xml:space="preserve"> </w:t>
      </w:r>
      <w:r>
        <w:rPr>
          <w:spacing w:val="13"/>
          <w:sz w:val="19"/>
          <w:szCs w:val="19"/>
        </w:rPr>
        <w:t>健康状况的实际患者。常见的数据有字母数字数据、图像</w:t>
      </w:r>
      <w:r>
        <w:rPr>
          <w:spacing w:val="12"/>
          <w:sz w:val="19"/>
          <w:szCs w:val="19"/>
        </w:rPr>
        <w:t>数据、音频数据和视频数据，不同类</w:t>
      </w:r>
      <w:r>
        <w:rPr>
          <w:sz w:val="19"/>
          <w:szCs w:val="19"/>
        </w:rPr>
        <w:t xml:space="preserve"> </w:t>
      </w:r>
      <w:r>
        <w:rPr>
          <w:spacing w:val="6"/>
          <w:sz w:val="19"/>
          <w:szCs w:val="19"/>
        </w:rPr>
        <w:t>型的数据可以表示不同的事实。</w:t>
      </w:r>
    </w:p>
    <w:p w14:paraId="38DB3460">
      <w:pPr>
        <w:pStyle w:val="2"/>
        <w:spacing w:before="15" w:line="292" w:lineRule="auto"/>
        <w:ind w:right="85" w:firstLine="390"/>
        <w:jc w:val="both"/>
        <w:rPr>
          <w:sz w:val="19"/>
          <w:szCs w:val="19"/>
        </w:rPr>
      </w:pPr>
      <w:r>
        <w:rPr>
          <w:spacing w:val="13"/>
          <w:sz w:val="19"/>
          <w:szCs w:val="19"/>
        </w:rPr>
        <w:t>信息是一组经过处理和加工的数据集合，具有超出个别事实价值的附加价值。例如，购物</w:t>
      </w:r>
      <w:r>
        <w:rPr>
          <w:spacing w:val="1"/>
          <w:sz w:val="19"/>
          <w:szCs w:val="19"/>
        </w:rPr>
        <w:t xml:space="preserve"> </w:t>
      </w:r>
      <w:r>
        <w:rPr>
          <w:spacing w:val="13"/>
          <w:sz w:val="19"/>
          <w:szCs w:val="19"/>
        </w:rPr>
        <w:t>网站可以将购物者和销售者通过电子设备结合起来，这样</w:t>
      </w:r>
      <w:r>
        <w:rPr>
          <w:spacing w:val="12"/>
          <w:sz w:val="19"/>
          <w:szCs w:val="19"/>
        </w:rPr>
        <w:t>他们在在线购物时就可以分享信息并</w:t>
      </w:r>
      <w:r>
        <w:rPr>
          <w:sz w:val="19"/>
          <w:szCs w:val="19"/>
        </w:rPr>
        <w:t xml:space="preserve"> </w:t>
      </w:r>
      <w:r>
        <w:rPr>
          <w:spacing w:val="9"/>
          <w:sz w:val="19"/>
          <w:szCs w:val="19"/>
        </w:rPr>
        <w:t>提出建议，信息的自由交换刺激了销售，有助于</w:t>
      </w:r>
      <w:r>
        <w:rPr>
          <w:spacing w:val="8"/>
          <w:sz w:val="19"/>
          <w:szCs w:val="19"/>
        </w:rPr>
        <w:t>确保购物者获得更好的价值。</w:t>
      </w:r>
    </w:p>
    <w:p w14:paraId="1D4C8885">
      <w:pPr>
        <w:pStyle w:val="2"/>
        <w:spacing w:before="29" w:line="271" w:lineRule="auto"/>
        <w:ind w:firstLine="390"/>
        <w:jc w:val="both"/>
        <w:rPr>
          <w:sz w:val="19"/>
          <w:szCs w:val="19"/>
        </w:rPr>
      </w:pPr>
      <w:r>
        <w:rPr>
          <w:spacing w:val="10"/>
          <w:sz w:val="19"/>
          <w:szCs w:val="19"/>
        </w:rPr>
        <w:t>将数据转换为信息是一个过程，也可以是为取得规定的结果而执行的一组逻辑相关的任务。</w:t>
      </w:r>
      <w:r>
        <w:rPr>
          <w:spacing w:val="3"/>
          <w:sz w:val="19"/>
          <w:szCs w:val="19"/>
        </w:rPr>
        <w:t xml:space="preserve"> </w:t>
      </w:r>
      <w:r>
        <w:rPr>
          <w:spacing w:val="5"/>
          <w:sz w:val="19"/>
          <w:szCs w:val="19"/>
        </w:rPr>
        <w:t>定义数据与数据之间的关系以创建有用的信息的过程需要知识。知识是对一组信息的认识和理解。</w:t>
      </w:r>
      <w:r>
        <w:rPr>
          <w:spacing w:val="9"/>
          <w:sz w:val="19"/>
          <w:szCs w:val="19"/>
        </w:rPr>
        <w:t xml:space="preserve"> </w:t>
      </w:r>
      <w:r>
        <w:rPr>
          <w:spacing w:val="8"/>
          <w:sz w:val="19"/>
          <w:szCs w:val="19"/>
        </w:rPr>
        <w:t>拥有知识意味着理解信息中的关系。知识工作者是创造、使用和传播知识的人，</w:t>
      </w:r>
      <w:r>
        <w:rPr>
          <w:spacing w:val="7"/>
          <w:sz w:val="19"/>
          <w:szCs w:val="19"/>
        </w:rPr>
        <w:t>通常是科学、工</w:t>
      </w:r>
      <w:r>
        <w:rPr>
          <w:sz w:val="19"/>
          <w:szCs w:val="19"/>
        </w:rPr>
        <w:t xml:space="preserve">  </w:t>
      </w:r>
      <w:r>
        <w:rPr>
          <w:spacing w:val="6"/>
          <w:sz w:val="19"/>
          <w:szCs w:val="19"/>
        </w:rPr>
        <w:t>程、商业和其他领域的专业人员。知识管理是一种战略，通过这种战略，</w:t>
      </w:r>
      <w:r>
        <w:rPr>
          <w:spacing w:val="67"/>
          <w:sz w:val="19"/>
          <w:szCs w:val="19"/>
        </w:rPr>
        <w:t xml:space="preserve"> </w:t>
      </w:r>
      <w:r>
        <w:rPr>
          <w:spacing w:val="6"/>
          <w:sz w:val="19"/>
          <w:szCs w:val="19"/>
        </w:rPr>
        <w:t>一个组织系统地收集、</w:t>
      </w:r>
    </w:p>
    <w:p w14:paraId="0ED4B572">
      <w:pPr>
        <w:spacing w:line="271" w:lineRule="auto"/>
        <w:rPr>
          <w:sz w:val="19"/>
          <w:szCs w:val="19"/>
        </w:rPr>
        <w:sectPr>
          <w:pgSz w:w="10330" w:h="13310"/>
          <w:pgMar w:top="400" w:right="724" w:bottom="400" w:left="1209" w:header="0" w:footer="0" w:gutter="0"/>
          <w:cols w:equalWidth="0" w:num="1">
            <w:col w:w="8396"/>
          </w:cols>
        </w:sectPr>
      </w:pPr>
    </w:p>
    <w:p w14:paraId="58DBFA28">
      <w:pPr>
        <w:pStyle w:val="2"/>
        <w:spacing w:before="86" w:line="315" w:lineRule="auto"/>
        <w:ind w:right="192"/>
        <w:rPr>
          <w:sz w:val="19"/>
          <w:szCs w:val="19"/>
        </w:rPr>
      </w:pPr>
      <w:r>
        <w:rPr>
          <w:spacing w:val="10"/>
          <w:sz w:val="19"/>
          <w:szCs w:val="19"/>
        </w:rPr>
        <w:t>组织、存储、分析和分享其集体知识和经验，目标是通过释放</w:t>
      </w:r>
      <w:r>
        <w:rPr>
          <w:spacing w:val="6"/>
          <w:sz w:val="19"/>
          <w:szCs w:val="19"/>
        </w:rPr>
        <w:t xml:space="preserve"> </w:t>
      </w:r>
      <w:r>
        <w:rPr>
          <w:spacing w:val="3"/>
          <w:sz w:val="19"/>
          <w:szCs w:val="19"/>
        </w:rPr>
        <w:t>组织最佳思维的集体价值，以更有效的方式处理问题。</w:t>
      </w:r>
    </w:p>
    <w:p w14:paraId="0EB88205">
      <w:pPr>
        <w:pStyle w:val="2"/>
        <w:spacing w:before="1" w:line="283" w:lineRule="auto"/>
        <w:ind w:right="191" w:firstLine="390"/>
        <w:jc w:val="both"/>
        <w:rPr>
          <w:sz w:val="19"/>
          <w:szCs w:val="19"/>
        </w:rPr>
      </w:pPr>
      <w:r>
        <w:rPr>
          <w:spacing w:val="10"/>
          <w:sz w:val="19"/>
          <w:szCs w:val="19"/>
        </w:rPr>
        <w:t>数据、信息和知识之间具有内在的关联关系。信息的价值</w:t>
      </w:r>
      <w:r>
        <w:rPr>
          <w:spacing w:val="16"/>
          <w:sz w:val="19"/>
          <w:szCs w:val="19"/>
        </w:rPr>
        <w:t xml:space="preserve"> </w:t>
      </w:r>
      <w:r>
        <w:rPr>
          <w:spacing w:val="10"/>
          <w:sz w:val="19"/>
          <w:szCs w:val="19"/>
        </w:rPr>
        <w:t>与其如何帮助决策者实现组织目标直接相关，有价值的信息可</w:t>
      </w:r>
      <w:r>
        <w:rPr>
          <w:spacing w:val="7"/>
          <w:sz w:val="19"/>
          <w:szCs w:val="19"/>
        </w:rPr>
        <w:t xml:space="preserve"> </w:t>
      </w:r>
      <w:r>
        <w:rPr>
          <w:spacing w:val="5"/>
          <w:sz w:val="19"/>
          <w:szCs w:val="19"/>
        </w:rPr>
        <w:t>以帮助组织中的人员更好地执行任务。</w:t>
      </w:r>
    </w:p>
    <w:p w14:paraId="276D649E">
      <w:pPr>
        <w:pStyle w:val="2"/>
        <w:spacing w:before="42" w:line="264" w:lineRule="auto"/>
        <w:ind w:right="185" w:firstLine="390"/>
        <w:jc w:val="both"/>
        <w:rPr>
          <w:sz w:val="19"/>
          <w:szCs w:val="19"/>
        </w:rPr>
      </w:pPr>
      <w:r>
        <w:rPr>
          <w:sz w:val="19"/>
          <w:szCs w:val="19"/>
        </w:rPr>
        <w:t>DIKW</w:t>
      </w:r>
      <w:r>
        <w:rPr>
          <w:spacing w:val="14"/>
          <w:sz w:val="19"/>
          <w:szCs w:val="19"/>
        </w:rPr>
        <w:t>(</w:t>
      </w:r>
      <w:r>
        <w:rPr>
          <w:sz w:val="19"/>
          <w:szCs w:val="19"/>
        </w:rPr>
        <w:t>Data</w:t>
      </w:r>
      <w:r>
        <w:rPr>
          <w:spacing w:val="14"/>
          <w:sz w:val="19"/>
          <w:szCs w:val="19"/>
        </w:rPr>
        <w:t>-</w:t>
      </w:r>
      <w:r>
        <w:rPr>
          <w:sz w:val="19"/>
          <w:szCs w:val="19"/>
        </w:rPr>
        <w:t>Information</w:t>
      </w:r>
      <w:r>
        <w:rPr>
          <w:spacing w:val="14"/>
          <w:sz w:val="19"/>
          <w:szCs w:val="19"/>
        </w:rPr>
        <w:t>-</w:t>
      </w:r>
      <w:r>
        <w:rPr>
          <w:sz w:val="19"/>
          <w:szCs w:val="19"/>
        </w:rPr>
        <w:t>Knowledge</w:t>
      </w:r>
      <w:r>
        <w:rPr>
          <w:spacing w:val="14"/>
          <w:sz w:val="19"/>
          <w:szCs w:val="19"/>
        </w:rPr>
        <w:t>-</w:t>
      </w:r>
      <w:r>
        <w:rPr>
          <w:sz w:val="19"/>
          <w:szCs w:val="19"/>
        </w:rPr>
        <w:t>Wisdom</w:t>
      </w:r>
      <w:r>
        <w:rPr>
          <w:spacing w:val="14"/>
          <w:sz w:val="19"/>
          <w:szCs w:val="19"/>
        </w:rPr>
        <w:t>)  模型很好地</w:t>
      </w:r>
      <w:r>
        <w:rPr>
          <w:spacing w:val="3"/>
          <w:sz w:val="19"/>
          <w:szCs w:val="19"/>
        </w:rPr>
        <w:t xml:space="preserve"> </w:t>
      </w:r>
      <w:r>
        <w:rPr>
          <w:spacing w:val="10"/>
          <w:sz w:val="19"/>
          <w:szCs w:val="19"/>
        </w:rPr>
        <w:t>诠释了数据、信息、知识和智慧之间的关系，并揭示了它们的</w:t>
      </w:r>
      <w:r>
        <w:rPr>
          <w:spacing w:val="13"/>
          <w:sz w:val="19"/>
          <w:szCs w:val="19"/>
        </w:rPr>
        <w:t xml:space="preserve"> </w:t>
      </w:r>
      <w:r>
        <w:rPr>
          <w:spacing w:val="7"/>
          <w:sz w:val="19"/>
          <w:szCs w:val="19"/>
        </w:rPr>
        <w:t>转化过程与方法，如图1-1所示。</w:t>
      </w:r>
    </w:p>
    <w:p w14:paraId="40C8E69D">
      <w:pPr>
        <w:spacing w:line="14" w:lineRule="auto"/>
        <w:rPr>
          <w:rFonts w:ascii="Arial"/>
          <w:sz w:val="2"/>
        </w:rPr>
      </w:pPr>
      <w:r>
        <w:rPr>
          <w:rFonts w:ascii="Arial" w:hAnsi="Arial" w:eastAsia="Arial" w:cs="Arial"/>
          <w:sz w:val="2"/>
          <w:szCs w:val="2"/>
        </w:rPr>
        <w:br w:type="column"/>
      </w:r>
    </w:p>
    <w:p w14:paraId="3F050054">
      <w:pPr>
        <w:spacing w:line="302" w:lineRule="auto"/>
        <w:rPr>
          <w:rFonts w:ascii="Arial"/>
          <w:sz w:val="21"/>
        </w:rPr>
      </w:pPr>
    </w:p>
    <w:p w14:paraId="5D28AA02">
      <w:pPr>
        <w:pStyle w:val="2"/>
        <w:spacing w:before="62" w:line="206" w:lineRule="auto"/>
        <w:ind w:left="1649" w:right="695"/>
        <w:rPr>
          <w:sz w:val="19"/>
          <w:szCs w:val="19"/>
        </w:rPr>
      </w:pPr>
      <w:r>
        <w:pict>
          <v:shape id="_x0000_s1039" o:spid="_x0000_s1039" o:spt="202" type="#_x0000_t202" style="position:absolute;left:0pt;margin-left:41.95pt;margin-top:10.6pt;height:73.9pt;width:20.65pt;z-index:251678720;mso-width-relative:page;mso-height-relative:page;" filled="f" stroked="f" coordsize="21600,21600">
            <v:path/>
            <v:fill on="f" focussize="0,0"/>
            <v:stroke on="f"/>
            <v:imagedata o:title=""/>
            <o:lock v:ext="edit" aspectratio="f"/>
            <v:textbox inset="0mm,0mm,0mm,0mm">
              <w:txbxContent>
                <w:p w14:paraId="3642FEBB">
                  <w:pPr>
                    <w:pStyle w:val="2"/>
                    <w:spacing w:before="19" w:line="221" w:lineRule="auto"/>
                    <w:ind w:left="20"/>
                    <w:rPr>
                      <w:sz w:val="19"/>
                      <w:szCs w:val="19"/>
                    </w:rPr>
                  </w:pPr>
                  <w:r>
                    <w:rPr>
                      <w:spacing w:val="-3"/>
                      <w:sz w:val="19"/>
                      <w:szCs w:val="19"/>
                    </w:rPr>
                    <w:t>智慧</w:t>
                  </w:r>
                </w:p>
                <w:p w14:paraId="09D4FAEC">
                  <w:pPr>
                    <w:pStyle w:val="2"/>
                    <w:spacing w:before="174" w:line="221" w:lineRule="auto"/>
                    <w:ind w:left="20"/>
                    <w:rPr>
                      <w:sz w:val="19"/>
                      <w:szCs w:val="19"/>
                    </w:rPr>
                  </w:pPr>
                  <w:r>
                    <w:rPr>
                      <w:spacing w:val="-3"/>
                      <w:sz w:val="19"/>
                      <w:szCs w:val="19"/>
                    </w:rPr>
                    <w:t>知识</w:t>
                  </w:r>
                </w:p>
                <w:p w14:paraId="0297D3C8">
                  <w:pPr>
                    <w:pStyle w:val="2"/>
                    <w:spacing w:before="170" w:line="219" w:lineRule="auto"/>
                    <w:ind w:left="20"/>
                    <w:rPr>
                      <w:sz w:val="19"/>
                      <w:szCs w:val="19"/>
                    </w:rPr>
                  </w:pPr>
                  <w:r>
                    <w:rPr>
                      <w:spacing w:val="-2"/>
                      <w:sz w:val="19"/>
                      <w:szCs w:val="19"/>
                    </w:rPr>
                    <w:t>信息</w:t>
                  </w:r>
                </w:p>
                <w:p w14:paraId="2DA455FD">
                  <w:pPr>
                    <w:spacing w:before="184" w:line="222" w:lineRule="auto"/>
                    <w:ind w:left="20"/>
                    <w:rPr>
                      <w:rFonts w:ascii="黑体" w:hAnsi="黑体" w:eastAsia="黑体" w:cs="黑体"/>
                      <w:sz w:val="19"/>
                      <w:szCs w:val="19"/>
                    </w:rPr>
                  </w:pPr>
                  <w:r>
                    <w:rPr>
                      <w:rFonts w:ascii="黑体" w:hAnsi="黑体" w:eastAsia="黑体" w:cs="黑体"/>
                      <w:spacing w:val="-3"/>
                      <w:sz w:val="19"/>
                      <w:szCs w:val="19"/>
                    </w:rPr>
                    <w:t>数据</w:t>
                  </w:r>
                </w:p>
              </w:txbxContent>
            </v:textbox>
          </v:shape>
        </w:pict>
      </w:r>
      <w:r>
        <w:drawing>
          <wp:anchor distT="0" distB="0" distL="0" distR="0" simplePos="0" relativeHeight="251677696" behindDoc="1" locked="0" layoutInCell="1" allowOverlap="1">
            <wp:simplePos x="0" y="0"/>
            <wp:positionH relativeFrom="column">
              <wp:posOffset>0</wp:posOffset>
            </wp:positionH>
            <wp:positionV relativeFrom="paragraph">
              <wp:posOffset>-168910</wp:posOffset>
            </wp:positionV>
            <wp:extent cx="1657350" cy="13081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9"/>
                    <a:stretch>
                      <a:fillRect/>
                    </a:stretch>
                  </pic:blipFill>
                  <pic:spPr>
                    <a:xfrm>
                      <a:off x="0" y="0"/>
                      <a:ext cx="1657335" cy="1308092"/>
                    </a:xfrm>
                    <a:prstGeom prst="rect">
                      <a:avLst/>
                    </a:prstGeom>
                  </pic:spPr>
                </pic:pic>
              </a:graphicData>
            </a:graphic>
          </wp:anchor>
        </w:drawing>
      </w:r>
      <w:r>
        <w:rPr>
          <w:spacing w:val="-12"/>
          <w:w w:val="97"/>
          <w:sz w:val="19"/>
          <w:szCs w:val="19"/>
        </w:rPr>
        <w:t>理解</w:t>
      </w:r>
      <w:r>
        <w:rPr>
          <w:sz w:val="19"/>
          <w:szCs w:val="19"/>
        </w:rPr>
        <w:t xml:space="preserve"> </w:t>
      </w:r>
      <w:r>
        <w:rPr>
          <w:spacing w:val="-16"/>
          <w:sz w:val="19"/>
          <w:szCs w:val="19"/>
        </w:rPr>
        <w:t>内化</w:t>
      </w:r>
    </w:p>
    <w:p w14:paraId="021779C4">
      <w:pPr>
        <w:pStyle w:val="2"/>
        <w:spacing w:before="115" w:line="208" w:lineRule="auto"/>
        <w:ind w:left="1969" w:right="344" w:firstLine="10"/>
        <w:rPr>
          <w:sz w:val="19"/>
          <w:szCs w:val="19"/>
        </w:rPr>
      </w:pPr>
      <w:r>
        <w:rPr>
          <w:spacing w:val="-5"/>
          <w:sz w:val="19"/>
          <w:szCs w:val="19"/>
        </w:rPr>
        <w:t>理解</w:t>
      </w:r>
      <w:r>
        <w:rPr>
          <w:sz w:val="19"/>
          <w:szCs w:val="19"/>
        </w:rPr>
        <w:t xml:space="preserve"> </w:t>
      </w:r>
      <w:r>
        <w:rPr>
          <w:spacing w:val="-2"/>
          <w:sz w:val="19"/>
          <w:szCs w:val="19"/>
        </w:rPr>
        <w:t>应用</w:t>
      </w:r>
    </w:p>
    <w:p w14:paraId="17E027F0">
      <w:pPr>
        <w:pStyle w:val="2"/>
        <w:spacing w:before="95" w:line="214" w:lineRule="auto"/>
        <w:ind w:left="2228" w:right="122" w:hanging="29"/>
        <w:rPr>
          <w:sz w:val="19"/>
          <w:szCs w:val="19"/>
        </w:rPr>
      </w:pPr>
      <w:r>
        <w:rPr>
          <w:spacing w:val="-4"/>
          <w:sz w:val="19"/>
          <w:szCs w:val="19"/>
        </w:rPr>
        <w:t>加工</w:t>
      </w:r>
      <w:r>
        <w:rPr>
          <w:sz w:val="19"/>
          <w:szCs w:val="19"/>
        </w:rPr>
        <w:t xml:space="preserve"> </w:t>
      </w:r>
      <w:r>
        <w:rPr>
          <w:spacing w:val="-14"/>
          <w:w w:val="95"/>
          <w:sz w:val="19"/>
          <w:szCs w:val="19"/>
        </w:rPr>
        <w:t>处理</w:t>
      </w:r>
    </w:p>
    <w:p w14:paraId="22EA25CC">
      <w:pPr>
        <w:spacing w:line="242" w:lineRule="auto"/>
        <w:rPr>
          <w:rFonts w:ascii="Arial"/>
          <w:sz w:val="21"/>
        </w:rPr>
      </w:pPr>
    </w:p>
    <w:p w14:paraId="006AA687">
      <w:pPr>
        <w:pStyle w:val="2"/>
        <w:spacing w:before="62" w:line="219" w:lineRule="auto"/>
        <w:ind w:left="559"/>
        <w:rPr>
          <w:sz w:val="19"/>
          <w:szCs w:val="19"/>
        </w:rPr>
      </w:pPr>
      <w:r>
        <w:rPr>
          <w:spacing w:val="-1"/>
          <w:sz w:val="19"/>
          <w:szCs w:val="19"/>
        </w:rPr>
        <w:t>图1-1</w:t>
      </w:r>
      <w:r>
        <w:rPr>
          <w:spacing w:val="55"/>
          <w:w w:val="101"/>
          <w:sz w:val="19"/>
          <w:szCs w:val="19"/>
        </w:rPr>
        <w:t xml:space="preserve"> </w:t>
      </w:r>
      <w:r>
        <w:rPr>
          <w:rFonts w:ascii="Times New Roman" w:hAnsi="Times New Roman" w:eastAsia="Times New Roman" w:cs="Times New Roman"/>
          <w:spacing w:val="-1"/>
          <w:sz w:val="19"/>
          <w:szCs w:val="19"/>
        </w:rPr>
        <w:t>DIKW</w:t>
      </w:r>
      <w:r>
        <w:rPr>
          <w:spacing w:val="-1"/>
          <w:sz w:val="19"/>
          <w:szCs w:val="19"/>
        </w:rPr>
        <w:t>模型</w:t>
      </w:r>
    </w:p>
    <w:p w14:paraId="5181F739">
      <w:pPr>
        <w:spacing w:line="219" w:lineRule="auto"/>
        <w:rPr>
          <w:sz w:val="19"/>
          <w:szCs w:val="19"/>
        </w:rPr>
        <w:sectPr>
          <w:type w:val="continuous"/>
          <w:pgSz w:w="10330" w:h="13310"/>
          <w:pgMar w:top="400" w:right="724" w:bottom="400" w:left="1209" w:header="0" w:footer="0" w:gutter="0"/>
          <w:cols w:equalWidth="0" w:num="2">
            <w:col w:w="5601" w:space="100"/>
            <w:col w:w="2696"/>
          </w:cols>
        </w:sectPr>
      </w:pPr>
    </w:p>
    <w:p w14:paraId="124A9A2A">
      <w:pPr>
        <w:pStyle w:val="2"/>
        <w:spacing w:before="77" w:line="214" w:lineRule="auto"/>
        <w:rPr>
          <w:sz w:val="19"/>
          <w:szCs w:val="19"/>
        </w:rPr>
      </w:pPr>
      <w:r>
        <w:rPr>
          <w:rFonts w:ascii="Times New Roman" w:hAnsi="Times New Roman" w:eastAsia="Times New Roman" w:cs="Times New Roman"/>
          <w:spacing w:val="3"/>
          <w:position w:val="2"/>
          <w:sz w:val="19"/>
          <w:szCs w:val="19"/>
        </w:rPr>
        <w:t xml:space="preserve">4                </w:t>
      </w:r>
      <w:r>
        <w:rPr>
          <w:spacing w:val="3"/>
          <w:sz w:val="19"/>
          <w:szCs w:val="19"/>
        </w:rPr>
        <w:t>信息系统监理师教程(第2版)</w:t>
      </w:r>
    </w:p>
    <w:p w14:paraId="60A34E9D">
      <w:pPr>
        <w:spacing w:line="346" w:lineRule="auto"/>
        <w:rPr>
          <w:rFonts w:ascii="Arial"/>
          <w:sz w:val="21"/>
        </w:rPr>
      </w:pPr>
    </w:p>
    <w:p w14:paraId="1B05D2FF">
      <w:pPr>
        <w:pStyle w:val="2"/>
        <w:spacing w:before="61" w:line="221" w:lineRule="auto"/>
        <w:ind w:left="652"/>
        <w:rPr>
          <w:rFonts w:ascii="黑体" w:hAnsi="黑体" w:eastAsia="黑体" w:cs="黑体"/>
          <w:sz w:val="19"/>
          <w:szCs w:val="19"/>
        </w:rPr>
      </w:pPr>
      <w:r>
        <w:rPr>
          <w:b/>
          <w:bCs/>
          <w:color w:val="007EDF"/>
          <w:spacing w:val="7"/>
          <w:sz w:val="19"/>
          <w:szCs w:val="19"/>
        </w:rPr>
        <w:t>2.</w:t>
      </w:r>
      <w:r>
        <w:rPr>
          <w:rFonts w:ascii="黑体" w:hAnsi="黑体" w:eastAsia="黑体" w:cs="黑体"/>
          <w:b/>
          <w:bCs/>
          <w:color w:val="007EDF"/>
          <w:spacing w:val="7"/>
          <w:sz w:val="19"/>
          <w:szCs w:val="19"/>
        </w:rPr>
        <w:t>有价值的信息的特征</w:t>
      </w:r>
    </w:p>
    <w:p w14:paraId="07B7556F">
      <w:pPr>
        <w:pStyle w:val="2"/>
        <w:spacing w:before="155" w:line="218" w:lineRule="auto"/>
        <w:ind w:left="649"/>
        <w:rPr>
          <w:sz w:val="19"/>
          <w:szCs w:val="19"/>
        </w:rPr>
      </w:pPr>
      <w:r>
        <w:rPr>
          <w:spacing w:val="9"/>
          <w:sz w:val="19"/>
          <w:szCs w:val="19"/>
        </w:rPr>
        <w:t>有价值的信息的特征如表1-1所示。</w:t>
      </w:r>
    </w:p>
    <w:p w14:paraId="1B6D169C">
      <w:pPr>
        <w:spacing w:before="182" w:line="221" w:lineRule="auto"/>
        <w:ind w:left="3292"/>
        <w:rPr>
          <w:rFonts w:ascii="黑体" w:hAnsi="黑体" w:eastAsia="黑体" w:cs="黑体"/>
          <w:sz w:val="19"/>
          <w:szCs w:val="19"/>
        </w:rPr>
      </w:pPr>
      <w:r>
        <w:rPr>
          <w:rFonts w:ascii="黑体" w:hAnsi="黑体" w:eastAsia="黑体" w:cs="黑体"/>
          <w:b/>
          <w:bCs/>
          <w:spacing w:val="-9"/>
          <w:sz w:val="19"/>
          <w:szCs w:val="19"/>
        </w:rPr>
        <w:t>表1-1</w:t>
      </w:r>
      <w:r>
        <w:rPr>
          <w:rFonts w:ascii="黑体" w:hAnsi="黑体" w:eastAsia="黑体" w:cs="黑体"/>
          <w:spacing w:val="82"/>
          <w:sz w:val="19"/>
          <w:szCs w:val="19"/>
        </w:rPr>
        <w:t xml:space="preserve"> </w:t>
      </w:r>
      <w:r>
        <w:rPr>
          <w:rFonts w:ascii="黑体" w:hAnsi="黑体" w:eastAsia="黑体" w:cs="黑体"/>
          <w:b/>
          <w:bCs/>
          <w:spacing w:val="-9"/>
          <w:sz w:val="19"/>
          <w:szCs w:val="19"/>
        </w:rPr>
        <w:t>有价值的信息的特征</w:t>
      </w:r>
    </w:p>
    <w:p w14:paraId="6F9FF248">
      <w:pPr>
        <w:spacing w:line="114" w:lineRule="exact"/>
      </w:pPr>
    </w:p>
    <w:tbl>
      <w:tblPr>
        <w:tblStyle w:val="5"/>
        <w:tblW w:w="8322" w:type="dxa"/>
        <w:tblInd w:w="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0"/>
        <w:gridCol w:w="7052"/>
      </w:tblGrid>
      <w:tr w14:paraId="2BE07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270" w:type="dxa"/>
            <w:tcBorders>
              <w:left w:val="nil"/>
            </w:tcBorders>
            <w:vAlign w:val="top"/>
          </w:tcPr>
          <w:p w14:paraId="138717DB">
            <w:pPr>
              <w:pStyle w:val="6"/>
              <w:spacing w:before="80" w:line="219" w:lineRule="auto"/>
              <w:ind w:left="442"/>
            </w:pPr>
            <w:r>
              <w:rPr>
                <w:b/>
                <w:bCs/>
                <w:spacing w:val="-4"/>
              </w:rPr>
              <w:t>特征</w:t>
            </w:r>
          </w:p>
        </w:tc>
        <w:tc>
          <w:tcPr>
            <w:tcW w:w="7052" w:type="dxa"/>
            <w:tcBorders>
              <w:right w:val="nil"/>
            </w:tcBorders>
            <w:vAlign w:val="top"/>
          </w:tcPr>
          <w:p w14:paraId="159DE3AE">
            <w:pPr>
              <w:pStyle w:val="6"/>
              <w:spacing w:before="80" w:line="220" w:lineRule="auto"/>
              <w:ind w:left="3327"/>
            </w:pPr>
            <w:r>
              <w:rPr>
                <w:b/>
                <w:bCs/>
                <w:spacing w:val="-5"/>
              </w:rPr>
              <w:t>定义</w:t>
            </w:r>
          </w:p>
        </w:tc>
      </w:tr>
      <w:tr w14:paraId="1EAC2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270" w:type="dxa"/>
            <w:tcBorders>
              <w:left w:val="nil"/>
            </w:tcBorders>
            <w:vAlign w:val="top"/>
          </w:tcPr>
          <w:p w14:paraId="5ABB18D5">
            <w:pPr>
              <w:pStyle w:val="6"/>
              <w:spacing w:before="198" w:line="219" w:lineRule="auto"/>
              <w:ind w:left="350"/>
            </w:pPr>
            <w:r>
              <w:rPr>
                <w:spacing w:val="-2"/>
              </w:rPr>
              <w:t>便捷性</w:t>
            </w:r>
          </w:p>
        </w:tc>
        <w:tc>
          <w:tcPr>
            <w:tcW w:w="7052" w:type="dxa"/>
            <w:tcBorders>
              <w:right w:val="nil"/>
            </w:tcBorders>
            <w:vAlign w:val="top"/>
          </w:tcPr>
          <w:p w14:paraId="269506B1">
            <w:pPr>
              <w:pStyle w:val="6"/>
              <w:spacing w:before="58" w:line="248" w:lineRule="auto"/>
              <w:ind w:left="24" w:right="5" w:firstLine="10"/>
            </w:pPr>
            <w:r>
              <w:rPr>
                <w:spacing w:val="-6"/>
              </w:rPr>
              <w:t>授权用户能方便地获取信息，以便他们能够以适当的格式且在适当的时间获取信息，以</w:t>
            </w:r>
            <w:r>
              <w:rPr>
                <w:spacing w:val="13"/>
              </w:rPr>
              <w:t xml:space="preserve"> </w:t>
            </w:r>
            <w:r>
              <w:rPr>
                <w:spacing w:val="-1"/>
              </w:rPr>
              <w:t>满足他们的需要</w:t>
            </w:r>
          </w:p>
        </w:tc>
      </w:tr>
      <w:tr w14:paraId="6F958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270" w:type="dxa"/>
            <w:tcBorders>
              <w:left w:val="nil"/>
            </w:tcBorders>
            <w:vAlign w:val="top"/>
          </w:tcPr>
          <w:p w14:paraId="13DFB0A7">
            <w:pPr>
              <w:pStyle w:val="6"/>
              <w:spacing w:before="80" w:line="220" w:lineRule="auto"/>
              <w:ind w:left="350"/>
            </w:pPr>
            <w:r>
              <w:rPr>
                <w:spacing w:val="-2"/>
              </w:rPr>
              <w:t>准确性</w:t>
            </w:r>
          </w:p>
        </w:tc>
        <w:tc>
          <w:tcPr>
            <w:tcW w:w="7052" w:type="dxa"/>
            <w:tcBorders>
              <w:right w:val="nil"/>
            </w:tcBorders>
            <w:vAlign w:val="top"/>
          </w:tcPr>
          <w:p w14:paraId="3A024468">
            <w:pPr>
              <w:pStyle w:val="6"/>
              <w:spacing w:before="78" w:line="219" w:lineRule="auto"/>
              <w:ind w:left="24"/>
            </w:pPr>
            <w:r>
              <w:t>信息准确无误。在某些情况下，不准确的数据输入</w:t>
            </w:r>
            <w:r>
              <w:rPr>
                <w:spacing w:val="-1"/>
              </w:rPr>
              <w:t>会产生不准确的结果</w:t>
            </w:r>
          </w:p>
        </w:tc>
      </w:tr>
      <w:tr w14:paraId="5655E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270" w:type="dxa"/>
            <w:tcBorders>
              <w:left w:val="nil"/>
            </w:tcBorders>
            <w:vAlign w:val="top"/>
          </w:tcPr>
          <w:p w14:paraId="62047126">
            <w:pPr>
              <w:pStyle w:val="6"/>
              <w:spacing w:before="80" w:line="219" w:lineRule="auto"/>
              <w:ind w:left="350"/>
            </w:pPr>
            <w:r>
              <w:rPr>
                <w:spacing w:val="-2"/>
              </w:rPr>
              <w:t>完整性</w:t>
            </w:r>
          </w:p>
        </w:tc>
        <w:tc>
          <w:tcPr>
            <w:tcW w:w="7052" w:type="dxa"/>
            <w:tcBorders>
              <w:right w:val="nil"/>
            </w:tcBorders>
            <w:vAlign w:val="top"/>
          </w:tcPr>
          <w:p w14:paraId="57A9D594">
            <w:pPr>
              <w:pStyle w:val="6"/>
              <w:spacing w:before="79" w:line="218" w:lineRule="auto"/>
              <w:ind w:right="2"/>
              <w:jc w:val="right"/>
            </w:pPr>
            <w:r>
              <w:rPr>
                <w:spacing w:val="-5"/>
              </w:rPr>
              <w:t>完整的信息包含所有重要的事实。例如，未能包含所有重要</w:t>
            </w:r>
            <w:r>
              <w:rPr>
                <w:spacing w:val="-6"/>
              </w:rPr>
              <w:t>成本的投资报告是不完整的</w:t>
            </w:r>
          </w:p>
        </w:tc>
      </w:tr>
      <w:tr w14:paraId="375C0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270" w:type="dxa"/>
            <w:tcBorders>
              <w:left w:val="nil"/>
            </w:tcBorders>
            <w:vAlign w:val="top"/>
          </w:tcPr>
          <w:p w14:paraId="120EA8D5">
            <w:pPr>
              <w:pStyle w:val="6"/>
              <w:spacing w:before="82" w:line="220" w:lineRule="auto"/>
              <w:ind w:left="350"/>
            </w:pPr>
            <w:r>
              <w:rPr>
                <w:spacing w:val="-2"/>
              </w:rPr>
              <w:t>经济性</w:t>
            </w:r>
          </w:p>
        </w:tc>
        <w:tc>
          <w:tcPr>
            <w:tcW w:w="7052" w:type="dxa"/>
            <w:tcBorders>
              <w:right w:val="nil"/>
            </w:tcBorders>
            <w:vAlign w:val="top"/>
          </w:tcPr>
          <w:p w14:paraId="4C6201E6">
            <w:pPr>
              <w:pStyle w:val="6"/>
              <w:spacing w:before="80" w:line="218" w:lineRule="auto"/>
              <w:jc w:val="right"/>
            </w:pPr>
            <w:r>
              <w:t>信息的产生也应该是相对经济的。决策者必须始终平衡信息的价</w:t>
            </w:r>
            <w:r>
              <w:rPr>
                <w:spacing w:val="-1"/>
              </w:rPr>
              <w:t>值和生产信息的成本</w:t>
            </w:r>
          </w:p>
        </w:tc>
      </w:tr>
      <w:tr w14:paraId="6D2B6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270" w:type="dxa"/>
            <w:tcBorders>
              <w:left w:val="nil"/>
            </w:tcBorders>
            <w:vAlign w:val="top"/>
          </w:tcPr>
          <w:p w14:paraId="37662BF1">
            <w:pPr>
              <w:spacing w:line="269" w:lineRule="auto"/>
              <w:rPr>
                <w:rFonts w:ascii="Arial"/>
                <w:sz w:val="21"/>
              </w:rPr>
            </w:pPr>
          </w:p>
          <w:p w14:paraId="2B1EC1D0">
            <w:pPr>
              <w:pStyle w:val="6"/>
              <w:spacing w:before="62" w:line="220" w:lineRule="auto"/>
              <w:ind w:left="350"/>
            </w:pPr>
            <w:r>
              <w:rPr>
                <w:spacing w:val="-3"/>
              </w:rPr>
              <w:t>灵活性</w:t>
            </w:r>
          </w:p>
        </w:tc>
        <w:tc>
          <w:tcPr>
            <w:tcW w:w="7052" w:type="dxa"/>
            <w:tcBorders>
              <w:right w:val="nil"/>
            </w:tcBorders>
            <w:vAlign w:val="top"/>
          </w:tcPr>
          <w:p w14:paraId="1EA160F2">
            <w:pPr>
              <w:pStyle w:val="6"/>
              <w:spacing w:before="73" w:line="248" w:lineRule="auto"/>
              <w:ind w:left="24" w:right="9" w:firstLine="40"/>
              <w:jc w:val="both"/>
            </w:pPr>
            <w:r>
              <w:rPr>
                <w:spacing w:val="-7"/>
              </w:rPr>
              <w:t>灵活的信息可以用于多种目的。例如，关于某一特定零件库存量的信息，销售代表可用</w:t>
            </w:r>
            <w:r>
              <w:rPr>
                <w:spacing w:val="17"/>
              </w:rPr>
              <w:t xml:space="preserve"> </w:t>
            </w:r>
            <w:r>
              <w:rPr>
                <w:spacing w:val="-6"/>
              </w:rPr>
              <w:t>来确定销售是否能达成，生产经理可以用来确定是否需要更多库存，财务主管可以用来</w:t>
            </w:r>
            <w:r>
              <w:rPr>
                <w:spacing w:val="14"/>
              </w:rPr>
              <w:t xml:space="preserve"> </w:t>
            </w:r>
            <w:r>
              <w:rPr>
                <w:spacing w:val="-1"/>
              </w:rPr>
              <w:t>确定公司的库存投资总价值</w:t>
            </w:r>
          </w:p>
        </w:tc>
      </w:tr>
      <w:tr w14:paraId="59B54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270" w:type="dxa"/>
            <w:tcBorders>
              <w:left w:val="nil"/>
            </w:tcBorders>
            <w:vAlign w:val="top"/>
          </w:tcPr>
          <w:p w14:paraId="5A9659BD">
            <w:pPr>
              <w:pStyle w:val="6"/>
              <w:spacing w:before="84" w:line="220" w:lineRule="auto"/>
              <w:ind w:left="350"/>
            </w:pPr>
            <w:r>
              <w:rPr>
                <w:spacing w:val="-2"/>
              </w:rPr>
              <w:t>相关性</w:t>
            </w:r>
          </w:p>
        </w:tc>
        <w:tc>
          <w:tcPr>
            <w:tcW w:w="7052" w:type="dxa"/>
            <w:tcBorders>
              <w:right w:val="nil"/>
            </w:tcBorders>
            <w:vAlign w:val="top"/>
          </w:tcPr>
          <w:p w14:paraId="7838D1EE">
            <w:pPr>
              <w:pStyle w:val="6"/>
              <w:spacing w:before="82" w:line="218" w:lineRule="auto"/>
              <w:jc w:val="right"/>
            </w:pPr>
            <w:r>
              <w:t>相关的信息对决策者很重要。显示木材价格下降的信息可能与计</w:t>
            </w:r>
            <w:r>
              <w:rPr>
                <w:spacing w:val="-1"/>
              </w:rPr>
              <w:t>算机芯片制造商无关</w:t>
            </w:r>
          </w:p>
        </w:tc>
      </w:tr>
      <w:tr w14:paraId="0FFB5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270" w:type="dxa"/>
            <w:tcBorders>
              <w:left w:val="nil"/>
            </w:tcBorders>
            <w:vAlign w:val="top"/>
          </w:tcPr>
          <w:p w14:paraId="69E3EEBE">
            <w:pPr>
              <w:spacing w:line="272" w:lineRule="auto"/>
              <w:rPr>
                <w:rFonts w:ascii="Arial"/>
                <w:sz w:val="21"/>
              </w:rPr>
            </w:pPr>
          </w:p>
          <w:p w14:paraId="2D9A5720">
            <w:pPr>
              <w:pStyle w:val="6"/>
              <w:spacing w:before="62" w:line="221" w:lineRule="auto"/>
              <w:ind w:left="350"/>
            </w:pPr>
            <w:r>
              <w:rPr>
                <w:spacing w:val="-2"/>
              </w:rPr>
              <w:t>可靠性</w:t>
            </w:r>
          </w:p>
        </w:tc>
        <w:tc>
          <w:tcPr>
            <w:tcW w:w="7052" w:type="dxa"/>
            <w:tcBorders>
              <w:right w:val="nil"/>
            </w:tcBorders>
            <w:vAlign w:val="top"/>
          </w:tcPr>
          <w:p w14:paraId="554255A9">
            <w:pPr>
              <w:pStyle w:val="6"/>
              <w:spacing w:before="75" w:line="244" w:lineRule="auto"/>
              <w:ind w:left="24" w:firstLine="9"/>
              <w:jc w:val="both"/>
            </w:pPr>
            <w:r>
              <w:rPr>
                <w:spacing w:val="-8"/>
              </w:rPr>
              <w:t>用户信任可靠的信息。在许多情况下，信息的可靠性取决于数据收集方法的可靠性。在</w:t>
            </w:r>
            <w:r>
              <w:rPr>
                <w:spacing w:val="5"/>
              </w:rPr>
              <w:t xml:space="preserve">  </w:t>
            </w:r>
            <w:r>
              <w:rPr>
                <w:spacing w:val="-5"/>
              </w:rPr>
              <w:t>其他情况下，可靠性取决于信息的来源。来自未知来源的油价上涨</w:t>
            </w:r>
            <w:r>
              <w:rPr>
                <w:spacing w:val="-6"/>
              </w:rPr>
              <w:t>的信息可能是谣言，</w:t>
            </w:r>
            <w:r>
              <w:t xml:space="preserve"> </w:t>
            </w:r>
            <w:r>
              <w:rPr>
                <w:spacing w:val="-4"/>
              </w:rPr>
              <w:t>不可靠</w:t>
            </w:r>
          </w:p>
        </w:tc>
      </w:tr>
      <w:tr w14:paraId="24409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70" w:type="dxa"/>
            <w:tcBorders>
              <w:left w:val="nil"/>
            </w:tcBorders>
            <w:vAlign w:val="top"/>
          </w:tcPr>
          <w:p w14:paraId="336E8014">
            <w:pPr>
              <w:pStyle w:val="6"/>
              <w:spacing w:before="76" w:line="221" w:lineRule="auto"/>
              <w:ind w:left="350"/>
            </w:pPr>
            <w:r>
              <w:rPr>
                <w:spacing w:val="-3"/>
              </w:rPr>
              <w:t>安全性</w:t>
            </w:r>
          </w:p>
        </w:tc>
        <w:tc>
          <w:tcPr>
            <w:tcW w:w="7052" w:type="dxa"/>
            <w:tcBorders>
              <w:right w:val="nil"/>
            </w:tcBorders>
            <w:vAlign w:val="top"/>
          </w:tcPr>
          <w:p w14:paraId="62FE4178">
            <w:pPr>
              <w:pStyle w:val="6"/>
              <w:spacing w:before="75" w:line="219" w:lineRule="auto"/>
              <w:ind w:left="24"/>
            </w:pPr>
            <w:r>
              <w:rPr>
                <w:spacing w:val="1"/>
              </w:rPr>
              <w:t>信息应该是安全的，不被未授权的用户访问</w:t>
            </w:r>
          </w:p>
        </w:tc>
      </w:tr>
      <w:tr w14:paraId="0016D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270" w:type="dxa"/>
            <w:tcBorders>
              <w:left w:val="nil"/>
            </w:tcBorders>
            <w:vAlign w:val="top"/>
          </w:tcPr>
          <w:p w14:paraId="7FA97FDF">
            <w:pPr>
              <w:pStyle w:val="6"/>
              <w:spacing w:before="204" w:line="219" w:lineRule="auto"/>
              <w:ind w:left="350"/>
            </w:pPr>
            <w:r>
              <w:rPr>
                <w:spacing w:val="-3"/>
              </w:rPr>
              <w:t>简单性</w:t>
            </w:r>
          </w:p>
        </w:tc>
        <w:tc>
          <w:tcPr>
            <w:tcW w:w="7052" w:type="dxa"/>
            <w:tcBorders>
              <w:right w:val="nil"/>
            </w:tcBorders>
            <w:vAlign w:val="top"/>
          </w:tcPr>
          <w:p w14:paraId="12140F27">
            <w:pPr>
              <w:pStyle w:val="6"/>
              <w:spacing w:before="75"/>
              <w:ind w:left="24" w:right="8" w:firstLine="30"/>
            </w:pPr>
            <w:r>
              <w:rPr>
                <w:spacing w:val="-6"/>
              </w:rPr>
              <w:t>信息应该是简单的。过度复杂而详细的信息没有必要。事实上，</w:t>
            </w:r>
            <w:r>
              <w:rPr>
                <w:spacing w:val="-7"/>
              </w:rPr>
              <w:t>过多的信息会导致信息</w:t>
            </w:r>
            <w:r>
              <w:t xml:space="preserve"> 过载，从而使决策者拥有过多的信息而无法确定什么是真正重要的</w:t>
            </w:r>
          </w:p>
        </w:tc>
      </w:tr>
      <w:tr w14:paraId="7F249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270" w:type="dxa"/>
            <w:tcBorders>
              <w:left w:val="nil"/>
            </w:tcBorders>
            <w:vAlign w:val="top"/>
          </w:tcPr>
          <w:p w14:paraId="69508706">
            <w:pPr>
              <w:pStyle w:val="6"/>
              <w:spacing w:before="77" w:line="221" w:lineRule="auto"/>
              <w:ind w:left="350"/>
            </w:pPr>
            <w:r>
              <w:rPr>
                <w:spacing w:val="-2"/>
              </w:rPr>
              <w:t>及时性</w:t>
            </w:r>
          </w:p>
        </w:tc>
        <w:tc>
          <w:tcPr>
            <w:tcW w:w="7052" w:type="dxa"/>
            <w:tcBorders>
              <w:right w:val="nil"/>
            </w:tcBorders>
            <w:vAlign w:val="top"/>
          </w:tcPr>
          <w:p w14:paraId="34AC1D06">
            <w:pPr>
              <w:pStyle w:val="6"/>
              <w:spacing w:before="75" w:line="219" w:lineRule="auto"/>
              <w:ind w:left="24"/>
            </w:pPr>
            <w:r>
              <w:t>信息需要及时提供。知道上周的天气状况对决定今天穿什么外套是没有帮助的</w:t>
            </w:r>
          </w:p>
        </w:tc>
      </w:tr>
      <w:tr w14:paraId="2B688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1270" w:type="dxa"/>
            <w:tcBorders>
              <w:left w:val="nil"/>
            </w:tcBorders>
            <w:vAlign w:val="top"/>
          </w:tcPr>
          <w:p w14:paraId="072A9CF8">
            <w:pPr>
              <w:pStyle w:val="6"/>
              <w:spacing w:before="197" w:line="219" w:lineRule="auto"/>
              <w:ind w:left="249"/>
            </w:pPr>
            <w:r>
              <w:rPr>
                <w:spacing w:val="-2"/>
              </w:rPr>
              <w:t>可检验性</w:t>
            </w:r>
          </w:p>
        </w:tc>
        <w:tc>
          <w:tcPr>
            <w:tcW w:w="7052" w:type="dxa"/>
            <w:tcBorders>
              <w:right w:val="nil"/>
            </w:tcBorders>
            <w:vAlign w:val="top"/>
          </w:tcPr>
          <w:p w14:paraId="640FDF89">
            <w:pPr>
              <w:pStyle w:val="6"/>
              <w:spacing w:before="78" w:line="236" w:lineRule="auto"/>
              <w:ind w:left="24" w:firstLine="9"/>
            </w:pPr>
            <w:r>
              <w:rPr>
                <w:spacing w:val="-5"/>
              </w:rPr>
              <w:t>信息应该是可核实的。这意味着可以检查信</w:t>
            </w:r>
            <w:r>
              <w:rPr>
                <w:spacing w:val="-6"/>
              </w:rPr>
              <w:t>息以确保其是正确的，可以通过多个来源，</w:t>
            </w:r>
            <w:r>
              <w:t xml:space="preserve"> </w:t>
            </w:r>
            <w:r>
              <w:rPr>
                <w:spacing w:val="-3"/>
              </w:rPr>
              <w:t>采用获得该信息的相同方法，检查信息的正确性</w:t>
            </w:r>
          </w:p>
        </w:tc>
      </w:tr>
    </w:tbl>
    <w:p w14:paraId="4BF8045A">
      <w:pPr>
        <w:pStyle w:val="2"/>
        <w:spacing w:before="242" w:line="219" w:lineRule="auto"/>
        <w:ind w:left="262"/>
        <w:rPr>
          <w:sz w:val="25"/>
          <w:szCs w:val="25"/>
        </w:rPr>
      </w:pPr>
      <w:r>
        <w:rPr>
          <w:b/>
          <w:bCs/>
          <w:color w:val="007EE0"/>
          <w:spacing w:val="-22"/>
          <w:sz w:val="25"/>
          <w:szCs w:val="25"/>
        </w:rPr>
        <w:t>1.1.2</w:t>
      </w:r>
      <w:r>
        <w:rPr>
          <w:color w:val="007EE0"/>
          <w:spacing w:val="89"/>
          <w:sz w:val="25"/>
          <w:szCs w:val="25"/>
        </w:rPr>
        <w:t xml:space="preserve"> </w:t>
      </w:r>
      <w:r>
        <w:rPr>
          <w:b/>
          <w:bCs/>
          <w:color w:val="007EE0"/>
          <w:spacing w:val="-22"/>
          <w:sz w:val="25"/>
          <w:szCs w:val="25"/>
        </w:rPr>
        <w:t>信息化</w:t>
      </w:r>
    </w:p>
    <w:p w14:paraId="2D23E79D">
      <w:pPr>
        <w:pStyle w:val="2"/>
        <w:spacing w:before="260" w:line="221" w:lineRule="auto"/>
        <w:ind w:left="652"/>
        <w:rPr>
          <w:rFonts w:ascii="黑体" w:hAnsi="黑体" w:eastAsia="黑体" w:cs="黑体"/>
          <w:sz w:val="19"/>
          <w:szCs w:val="19"/>
        </w:rPr>
      </w:pPr>
      <w:r>
        <w:rPr>
          <w:b/>
          <w:bCs/>
          <w:color w:val="008AE7"/>
          <w:spacing w:val="6"/>
          <w:sz w:val="19"/>
          <w:szCs w:val="19"/>
        </w:rPr>
        <w:t>1.</w:t>
      </w:r>
      <w:r>
        <w:rPr>
          <w:rFonts w:ascii="黑体" w:hAnsi="黑体" w:eastAsia="黑体" w:cs="黑体"/>
          <w:b/>
          <w:bCs/>
          <w:color w:val="008AE7"/>
          <w:spacing w:val="6"/>
          <w:sz w:val="19"/>
          <w:szCs w:val="19"/>
        </w:rPr>
        <w:t>信息化概述</w:t>
      </w:r>
    </w:p>
    <w:p w14:paraId="114FBD66">
      <w:pPr>
        <w:pStyle w:val="2"/>
        <w:spacing w:before="156" w:line="278" w:lineRule="auto"/>
        <w:ind w:left="259" w:right="2" w:firstLine="389"/>
        <w:rPr>
          <w:sz w:val="19"/>
          <w:szCs w:val="19"/>
        </w:rPr>
      </w:pPr>
      <w:r>
        <w:rPr>
          <w:spacing w:val="18"/>
          <w:sz w:val="19"/>
          <w:szCs w:val="19"/>
        </w:rPr>
        <w:t>信息化的概念起源于20世纪60年代的日本，</w:t>
      </w:r>
      <w:r>
        <w:rPr>
          <w:spacing w:val="17"/>
          <w:sz w:val="19"/>
          <w:szCs w:val="19"/>
        </w:rPr>
        <w:t>而后被译成英文传播到西方，西方社会到20</w:t>
      </w:r>
      <w:r>
        <w:rPr>
          <w:sz w:val="19"/>
          <w:szCs w:val="19"/>
        </w:rPr>
        <w:t xml:space="preserve"> </w:t>
      </w:r>
      <w:r>
        <w:rPr>
          <w:spacing w:val="10"/>
          <w:sz w:val="19"/>
          <w:szCs w:val="19"/>
        </w:rPr>
        <w:t>世纪70年代后期才开始普遍使用“信息社会”和“信息化”的概念。</w:t>
      </w:r>
    </w:p>
    <w:p w14:paraId="0EA5DE69">
      <w:pPr>
        <w:pStyle w:val="2"/>
        <w:spacing w:before="37" w:line="288" w:lineRule="auto"/>
        <w:ind w:left="259" w:right="34" w:firstLine="389"/>
        <w:rPr>
          <w:sz w:val="19"/>
          <w:szCs w:val="19"/>
        </w:rPr>
      </w:pPr>
      <w:r>
        <w:rPr>
          <w:spacing w:val="12"/>
          <w:sz w:val="19"/>
          <w:szCs w:val="19"/>
        </w:rPr>
        <w:t>我国1997年召开的首届全国信息化工作会议，对信息化的定义为：“信息化是指培育、发</w:t>
      </w:r>
      <w:r>
        <w:rPr>
          <w:spacing w:val="5"/>
          <w:sz w:val="19"/>
          <w:szCs w:val="19"/>
        </w:rPr>
        <w:t xml:space="preserve"> </w:t>
      </w:r>
      <w:r>
        <w:rPr>
          <w:spacing w:val="9"/>
          <w:sz w:val="19"/>
          <w:szCs w:val="19"/>
        </w:rPr>
        <w:t>展以智能化工具为代表的新的生产力并使之造福于社会的历史过程。”</w:t>
      </w:r>
    </w:p>
    <w:p w14:paraId="3AF6D86A">
      <w:pPr>
        <w:pStyle w:val="2"/>
        <w:spacing w:before="117" w:line="223" w:lineRule="auto"/>
        <w:ind w:left="652"/>
        <w:rPr>
          <w:rFonts w:ascii="黑体" w:hAnsi="黑体" w:eastAsia="黑体" w:cs="黑体"/>
          <w:sz w:val="19"/>
          <w:szCs w:val="19"/>
        </w:rPr>
      </w:pPr>
      <w:r>
        <w:rPr>
          <w:b/>
          <w:bCs/>
          <w:color w:val="007BCD"/>
          <w:spacing w:val="8"/>
          <w:sz w:val="19"/>
          <w:szCs w:val="19"/>
        </w:rPr>
        <w:t>2.</w:t>
      </w:r>
      <w:r>
        <w:rPr>
          <w:rFonts w:ascii="黑体" w:hAnsi="黑体" w:eastAsia="黑体" w:cs="黑体"/>
          <w:b/>
          <w:bCs/>
          <w:color w:val="007BCD"/>
          <w:spacing w:val="8"/>
          <w:sz w:val="19"/>
          <w:szCs w:val="19"/>
        </w:rPr>
        <w:t>信息化的核心和内涵</w:t>
      </w:r>
    </w:p>
    <w:p w14:paraId="697CD6F7">
      <w:pPr>
        <w:pStyle w:val="2"/>
        <w:spacing w:before="132" w:line="293" w:lineRule="auto"/>
        <w:ind w:left="259" w:firstLine="389"/>
        <w:jc w:val="both"/>
        <w:rPr>
          <w:sz w:val="19"/>
          <w:szCs w:val="19"/>
        </w:rPr>
      </w:pPr>
      <w:r>
        <w:rPr>
          <w:spacing w:val="13"/>
          <w:sz w:val="19"/>
          <w:szCs w:val="19"/>
        </w:rPr>
        <w:t>信息化的核心是要通过全体社会成员的共同努力，在经济和社会</w:t>
      </w:r>
      <w:r>
        <w:rPr>
          <w:spacing w:val="12"/>
          <w:sz w:val="19"/>
          <w:szCs w:val="19"/>
        </w:rPr>
        <w:t>各个领域充分应用基于现</w:t>
      </w:r>
      <w:r>
        <w:rPr>
          <w:sz w:val="19"/>
          <w:szCs w:val="19"/>
        </w:rPr>
        <w:t xml:space="preserve"> </w:t>
      </w:r>
      <w:r>
        <w:rPr>
          <w:spacing w:val="17"/>
          <w:sz w:val="19"/>
          <w:szCs w:val="19"/>
        </w:rPr>
        <w:t>代信息技术的先进社会生产工具(表现为各种信息系统或软硬件产品)创建信息时代的社会生</w:t>
      </w:r>
      <w:r>
        <w:rPr>
          <w:sz w:val="19"/>
          <w:szCs w:val="19"/>
        </w:rPr>
        <w:t xml:space="preserve"> </w:t>
      </w:r>
      <w:r>
        <w:rPr>
          <w:spacing w:val="16"/>
          <w:sz w:val="19"/>
          <w:szCs w:val="19"/>
        </w:rPr>
        <w:t>产力，并推动生产关系和上层建筑的改革(表现</w:t>
      </w:r>
      <w:r>
        <w:rPr>
          <w:spacing w:val="15"/>
          <w:sz w:val="19"/>
          <w:szCs w:val="19"/>
        </w:rPr>
        <w:t>为法律、法规、制度、规范、标准、组织结构</w:t>
      </w:r>
      <w:r>
        <w:rPr>
          <w:sz w:val="19"/>
          <w:szCs w:val="19"/>
        </w:rPr>
        <w:t xml:space="preserve"> </w:t>
      </w:r>
      <w:r>
        <w:rPr>
          <w:spacing w:val="12"/>
          <w:sz w:val="19"/>
          <w:szCs w:val="19"/>
        </w:rPr>
        <w:t>等),使国家的综合实力、社会的文明素质和人民的生活质量全面提升。</w:t>
      </w:r>
    </w:p>
    <w:p w14:paraId="28A2A914">
      <w:pPr>
        <w:pStyle w:val="2"/>
        <w:spacing w:before="33" w:line="219" w:lineRule="auto"/>
        <w:ind w:right="25"/>
        <w:jc w:val="right"/>
        <w:rPr>
          <w:sz w:val="19"/>
          <w:szCs w:val="19"/>
        </w:rPr>
      </w:pPr>
      <w:r>
        <w:rPr>
          <w:spacing w:val="13"/>
          <w:sz w:val="19"/>
          <w:szCs w:val="19"/>
        </w:rPr>
        <w:t>信息化的基本内涵启示人们：信息化的主体是全体社会成员，包括政府、企业、事业、团</w:t>
      </w:r>
    </w:p>
    <w:p w14:paraId="1EC7D6AC">
      <w:pPr>
        <w:spacing w:line="219" w:lineRule="auto"/>
        <w:rPr>
          <w:sz w:val="19"/>
          <w:szCs w:val="19"/>
        </w:rPr>
        <w:sectPr>
          <w:pgSz w:w="10350" w:h="13410"/>
          <w:pgMar w:top="400" w:right="1187" w:bottom="400" w:left="569" w:header="0" w:footer="0" w:gutter="0"/>
          <w:cols w:space="720" w:num="1"/>
        </w:sectPr>
      </w:pPr>
    </w:p>
    <w:p w14:paraId="5F77679A">
      <w:pPr>
        <w:pStyle w:val="2"/>
        <w:spacing w:before="47" w:line="219" w:lineRule="auto"/>
        <w:jc w:val="right"/>
        <w:rPr>
          <w:rFonts w:ascii="Times New Roman" w:hAnsi="Times New Roman" w:eastAsia="Times New Roman" w:cs="Times New Roman"/>
          <w:sz w:val="17"/>
          <w:szCs w:val="17"/>
        </w:rPr>
      </w:pPr>
      <w:r>
        <w:rPr>
          <w:spacing w:val="-2"/>
          <w:sz w:val="20"/>
          <w:szCs w:val="20"/>
        </w:rPr>
        <w:t>第1章 信息与信息化</w:t>
      </w:r>
      <w:r>
        <w:rPr>
          <w:spacing w:val="4"/>
          <w:sz w:val="20"/>
          <w:szCs w:val="20"/>
        </w:rPr>
        <w:t xml:space="preserve">       </w:t>
      </w:r>
      <w:r>
        <w:rPr>
          <w:rFonts w:ascii="Times New Roman" w:hAnsi="Times New Roman" w:eastAsia="Times New Roman" w:cs="Times New Roman"/>
          <w:spacing w:val="-2"/>
          <w:position w:val="1"/>
          <w:sz w:val="17"/>
          <w:szCs w:val="17"/>
        </w:rPr>
        <w:t>5</w:t>
      </w:r>
    </w:p>
    <w:p w14:paraId="1306026D">
      <w:pPr>
        <w:spacing w:line="297" w:lineRule="auto"/>
        <w:rPr>
          <w:rFonts w:ascii="Arial"/>
          <w:sz w:val="21"/>
        </w:rPr>
      </w:pPr>
    </w:p>
    <w:p w14:paraId="1949D3FF">
      <w:pPr>
        <w:pStyle w:val="2"/>
        <w:spacing w:before="65" w:line="279" w:lineRule="auto"/>
        <w:ind w:left="100" w:right="221"/>
        <w:jc w:val="both"/>
        <w:rPr>
          <w:sz w:val="20"/>
          <w:szCs w:val="20"/>
        </w:rPr>
      </w:pPr>
      <w:r>
        <w:rPr>
          <w:spacing w:val="3"/>
          <w:sz w:val="20"/>
          <w:szCs w:val="20"/>
        </w:rPr>
        <w:t>体和个人；信息化的时域是一个长期的过程；信息化的空</w:t>
      </w:r>
      <w:r>
        <w:rPr>
          <w:spacing w:val="2"/>
          <w:sz w:val="20"/>
          <w:szCs w:val="20"/>
        </w:rPr>
        <w:t>域是政治、经济、文化、军事和社会</w:t>
      </w:r>
      <w:r>
        <w:rPr>
          <w:sz w:val="20"/>
          <w:szCs w:val="20"/>
        </w:rPr>
        <w:t xml:space="preserve"> </w:t>
      </w:r>
      <w:r>
        <w:rPr>
          <w:spacing w:val="3"/>
          <w:sz w:val="20"/>
          <w:szCs w:val="20"/>
        </w:rPr>
        <w:t>的一切领域；信息化的手段是基于现代信息技术的先进社会生产工具；</w:t>
      </w:r>
      <w:r>
        <w:rPr>
          <w:spacing w:val="2"/>
          <w:sz w:val="20"/>
          <w:szCs w:val="20"/>
        </w:rPr>
        <w:t>信息化的途径是创建信</w:t>
      </w:r>
      <w:r>
        <w:rPr>
          <w:sz w:val="20"/>
          <w:szCs w:val="20"/>
        </w:rPr>
        <w:t xml:space="preserve"> </w:t>
      </w:r>
      <w:r>
        <w:rPr>
          <w:spacing w:val="3"/>
          <w:sz w:val="20"/>
          <w:szCs w:val="20"/>
        </w:rPr>
        <w:t>息时代的社会生产力，推动社会生产关系及社会上层建筑的改革；信息化</w:t>
      </w:r>
      <w:r>
        <w:rPr>
          <w:spacing w:val="2"/>
          <w:sz w:val="20"/>
          <w:szCs w:val="20"/>
        </w:rPr>
        <w:t>的目标是推动国家的</w:t>
      </w:r>
      <w:r>
        <w:rPr>
          <w:sz w:val="20"/>
          <w:szCs w:val="20"/>
        </w:rPr>
        <w:t xml:space="preserve"> </w:t>
      </w:r>
      <w:r>
        <w:rPr>
          <w:spacing w:val="-3"/>
          <w:sz w:val="20"/>
          <w:szCs w:val="20"/>
        </w:rPr>
        <w:t>综合实力、社会的文明素质和人民的生活质量的提升。</w:t>
      </w:r>
    </w:p>
    <w:p w14:paraId="085B95A0">
      <w:pPr>
        <w:spacing w:line="345" w:lineRule="auto"/>
        <w:rPr>
          <w:rFonts w:ascii="Arial"/>
          <w:sz w:val="21"/>
        </w:rPr>
      </w:pPr>
    </w:p>
    <w:p w14:paraId="054E7B6D">
      <w:pPr>
        <w:pStyle w:val="2"/>
        <w:spacing w:before="81" w:line="219" w:lineRule="auto"/>
        <w:ind w:left="103"/>
        <w:rPr>
          <w:sz w:val="25"/>
          <w:szCs w:val="25"/>
        </w:rPr>
      </w:pPr>
      <w:r>
        <w:rPr>
          <w:b/>
          <w:bCs/>
          <w:color w:val="0074DA"/>
          <w:spacing w:val="10"/>
          <w:sz w:val="25"/>
          <w:szCs w:val="25"/>
        </w:rPr>
        <w:t>1.2</w:t>
      </w:r>
      <w:r>
        <w:rPr>
          <w:color w:val="0074DA"/>
          <w:spacing w:val="38"/>
          <w:sz w:val="25"/>
          <w:szCs w:val="25"/>
        </w:rPr>
        <w:t xml:space="preserve">  </w:t>
      </w:r>
      <w:r>
        <w:rPr>
          <w:b/>
          <w:bCs/>
          <w:color w:val="0074DA"/>
          <w:spacing w:val="10"/>
          <w:sz w:val="25"/>
          <w:szCs w:val="25"/>
        </w:rPr>
        <w:t>国家信息化</w:t>
      </w:r>
    </w:p>
    <w:p w14:paraId="76C6D87E">
      <w:pPr>
        <w:pStyle w:val="2"/>
        <w:spacing w:before="274" w:line="273" w:lineRule="auto"/>
        <w:ind w:left="100" w:right="207" w:firstLine="420"/>
        <w:rPr>
          <w:sz w:val="20"/>
          <w:szCs w:val="20"/>
        </w:rPr>
      </w:pPr>
      <w:r>
        <w:rPr>
          <w:spacing w:val="3"/>
          <w:sz w:val="20"/>
          <w:szCs w:val="20"/>
        </w:rPr>
        <w:t>国家信息化是指在国家统一规划和组织下，在农业、工业、科学技术</w:t>
      </w:r>
      <w:r>
        <w:rPr>
          <w:spacing w:val="2"/>
          <w:sz w:val="20"/>
          <w:szCs w:val="20"/>
        </w:rPr>
        <w:t>、国防及社会生活各</w:t>
      </w:r>
      <w:r>
        <w:rPr>
          <w:sz w:val="20"/>
          <w:szCs w:val="20"/>
        </w:rPr>
        <w:t xml:space="preserve"> </w:t>
      </w:r>
      <w:r>
        <w:rPr>
          <w:spacing w:val="-2"/>
          <w:sz w:val="20"/>
          <w:szCs w:val="20"/>
        </w:rPr>
        <w:t>个方面应用现代信息技术，深入开发、广泛利用信息资源，加速实现国家现代化进程。</w:t>
      </w:r>
    </w:p>
    <w:p w14:paraId="3374D3A1">
      <w:pPr>
        <w:pStyle w:val="2"/>
        <w:spacing w:before="197" w:line="219" w:lineRule="auto"/>
        <w:ind w:left="102"/>
        <w:rPr>
          <w:sz w:val="25"/>
          <w:szCs w:val="25"/>
        </w:rPr>
      </w:pPr>
      <w:r>
        <w:rPr>
          <w:b/>
          <w:bCs/>
          <w:color w:val="006EDC"/>
          <w:spacing w:val="-17"/>
          <w:sz w:val="25"/>
          <w:szCs w:val="25"/>
        </w:rPr>
        <w:t>1.2.1</w:t>
      </w:r>
      <w:r>
        <w:rPr>
          <w:color w:val="006EDC"/>
          <w:spacing w:val="104"/>
          <w:sz w:val="25"/>
          <w:szCs w:val="25"/>
        </w:rPr>
        <w:t xml:space="preserve"> </w:t>
      </w:r>
      <w:r>
        <w:rPr>
          <w:b/>
          <w:bCs/>
          <w:color w:val="006EDC"/>
          <w:spacing w:val="-17"/>
          <w:sz w:val="25"/>
          <w:szCs w:val="25"/>
        </w:rPr>
        <w:t>国家信息化战略与规划</w:t>
      </w:r>
    </w:p>
    <w:p w14:paraId="1AB45347">
      <w:pPr>
        <w:pStyle w:val="2"/>
        <w:spacing w:before="162" w:line="284" w:lineRule="auto"/>
        <w:ind w:left="100" w:right="136" w:firstLine="420"/>
        <w:jc w:val="both"/>
        <w:rPr>
          <w:sz w:val="20"/>
          <w:szCs w:val="20"/>
        </w:rPr>
      </w:pPr>
      <w:r>
        <w:rPr>
          <w:spacing w:val="5"/>
          <w:sz w:val="20"/>
          <w:szCs w:val="20"/>
        </w:rPr>
        <w:t>国家信息化发展战略指一个国家对其国内信息产业等所作的发展规划。2016年</w:t>
      </w:r>
      <w:r>
        <w:rPr>
          <w:spacing w:val="4"/>
          <w:sz w:val="20"/>
          <w:szCs w:val="20"/>
        </w:rPr>
        <w:t>7月中共中</w:t>
      </w:r>
      <w:r>
        <w:rPr>
          <w:sz w:val="20"/>
          <w:szCs w:val="20"/>
        </w:rPr>
        <w:t xml:space="preserve"> </w:t>
      </w:r>
      <w:r>
        <w:rPr>
          <w:spacing w:val="3"/>
          <w:sz w:val="20"/>
          <w:szCs w:val="20"/>
        </w:rPr>
        <w:t>央办公厅、国务院办公厅颁布的《国家信息化发展战略</w:t>
      </w:r>
      <w:r>
        <w:rPr>
          <w:spacing w:val="2"/>
          <w:sz w:val="20"/>
          <w:szCs w:val="20"/>
        </w:rPr>
        <w:t>纲要》强调国家信息化发展战略总目标</w:t>
      </w:r>
      <w:r>
        <w:rPr>
          <w:sz w:val="20"/>
          <w:szCs w:val="20"/>
        </w:rPr>
        <w:t xml:space="preserve">  </w:t>
      </w:r>
      <w:r>
        <w:rPr>
          <w:spacing w:val="5"/>
          <w:sz w:val="20"/>
          <w:szCs w:val="20"/>
        </w:rPr>
        <w:t>是建设网络强国，分“三步走”:第一步，到2020年，核心关键技术部分领域达到国际先进水</w:t>
      </w:r>
      <w:r>
        <w:rPr>
          <w:spacing w:val="13"/>
          <w:sz w:val="20"/>
          <w:szCs w:val="20"/>
        </w:rPr>
        <w:t xml:space="preserve"> </w:t>
      </w:r>
      <w:r>
        <w:rPr>
          <w:spacing w:val="3"/>
          <w:sz w:val="20"/>
          <w:szCs w:val="20"/>
        </w:rPr>
        <w:t>平，信息产业国际竞争力大幅提升，信息化成为驱动现代</w:t>
      </w:r>
      <w:r>
        <w:rPr>
          <w:spacing w:val="2"/>
          <w:sz w:val="20"/>
          <w:szCs w:val="20"/>
        </w:rPr>
        <w:t>化建设的先导力量；第二步，到2025</w:t>
      </w:r>
      <w:r>
        <w:rPr>
          <w:sz w:val="20"/>
          <w:szCs w:val="20"/>
        </w:rPr>
        <w:t xml:space="preserve">  </w:t>
      </w:r>
      <w:r>
        <w:rPr>
          <w:spacing w:val="5"/>
          <w:sz w:val="20"/>
          <w:szCs w:val="20"/>
        </w:rPr>
        <w:t>年，建成国际领先的移动通信网络，根本改变核心关键技术受制于人的局面，</w:t>
      </w:r>
      <w:r>
        <w:rPr>
          <w:spacing w:val="4"/>
          <w:sz w:val="20"/>
          <w:szCs w:val="20"/>
        </w:rPr>
        <w:t>实现技术先进、</w:t>
      </w:r>
      <w:r>
        <w:rPr>
          <w:sz w:val="20"/>
          <w:szCs w:val="20"/>
        </w:rPr>
        <w:t xml:space="preserve"> </w:t>
      </w:r>
      <w:r>
        <w:rPr>
          <w:spacing w:val="3"/>
          <w:sz w:val="20"/>
          <w:szCs w:val="20"/>
        </w:rPr>
        <w:t>产业发达、应用领先、网络安全坚不可摧的战略目标，</w:t>
      </w:r>
      <w:r>
        <w:rPr>
          <w:spacing w:val="2"/>
          <w:sz w:val="20"/>
          <w:szCs w:val="20"/>
        </w:rPr>
        <w:t>涌现一批具有强大国际竞争力的大型跨</w:t>
      </w:r>
      <w:r>
        <w:rPr>
          <w:sz w:val="20"/>
          <w:szCs w:val="20"/>
        </w:rPr>
        <w:t xml:space="preserve">  </w:t>
      </w:r>
      <w:r>
        <w:rPr>
          <w:spacing w:val="3"/>
          <w:sz w:val="20"/>
          <w:szCs w:val="20"/>
        </w:rPr>
        <w:t>国网信企业；第三步，到21世纪中叶，信息化全面支撑富强民主文明和谐的社</w:t>
      </w:r>
      <w:r>
        <w:rPr>
          <w:spacing w:val="2"/>
          <w:sz w:val="20"/>
          <w:szCs w:val="20"/>
        </w:rPr>
        <w:t>会主义现代化国</w:t>
      </w:r>
      <w:r>
        <w:rPr>
          <w:sz w:val="20"/>
          <w:szCs w:val="20"/>
        </w:rPr>
        <w:t xml:space="preserve"> </w:t>
      </w:r>
      <w:r>
        <w:rPr>
          <w:spacing w:val="3"/>
          <w:sz w:val="20"/>
          <w:szCs w:val="20"/>
        </w:rPr>
        <w:t>家建设，网络强国地位日益巩固，在引领全球信息化发展方面</w:t>
      </w:r>
      <w:r>
        <w:rPr>
          <w:spacing w:val="2"/>
          <w:sz w:val="20"/>
          <w:szCs w:val="20"/>
        </w:rPr>
        <w:t>有更大作为。当前，我国全面部</w:t>
      </w:r>
      <w:r>
        <w:rPr>
          <w:sz w:val="20"/>
          <w:szCs w:val="20"/>
        </w:rPr>
        <w:t xml:space="preserve">  </w:t>
      </w:r>
      <w:r>
        <w:rPr>
          <w:spacing w:val="3"/>
          <w:sz w:val="20"/>
          <w:szCs w:val="20"/>
        </w:rPr>
        <w:t>署了“构建产业数字化转型发展体系”重大任务，明确我国</w:t>
      </w:r>
      <w:r>
        <w:rPr>
          <w:spacing w:val="2"/>
          <w:sz w:val="20"/>
          <w:szCs w:val="20"/>
        </w:rPr>
        <w:t>信息化进入加快数字化发展、建设</w:t>
      </w:r>
      <w:r>
        <w:rPr>
          <w:sz w:val="20"/>
          <w:szCs w:val="20"/>
        </w:rPr>
        <w:t xml:space="preserve">  数字中国的新阶段。我国信息化发展战略概括为：以信息化促进工业化，以工业化带动信息化， </w:t>
      </w:r>
      <w:r>
        <w:rPr>
          <w:spacing w:val="-3"/>
          <w:sz w:val="20"/>
          <w:szCs w:val="20"/>
        </w:rPr>
        <w:t>走出中国特色的信息化道路。</w:t>
      </w:r>
    </w:p>
    <w:p w14:paraId="6B367A48">
      <w:pPr>
        <w:pStyle w:val="2"/>
        <w:spacing w:before="65" w:line="274" w:lineRule="auto"/>
        <w:ind w:right="166" w:firstLine="520"/>
        <w:jc w:val="both"/>
        <w:rPr>
          <w:sz w:val="20"/>
          <w:szCs w:val="20"/>
        </w:rPr>
      </w:pPr>
      <w:r>
        <w:rPr>
          <w:spacing w:val="-1"/>
          <w:sz w:val="20"/>
          <w:szCs w:val="20"/>
        </w:rPr>
        <w:t>国家在每个“五年规划”出台后，都会制定该“五年规划”期间</w:t>
      </w:r>
      <w:r>
        <w:rPr>
          <w:spacing w:val="-2"/>
          <w:sz w:val="20"/>
          <w:szCs w:val="20"/>
        </w:rPr>
        <w:t>的国家信息化规划，例如，</w:t>
      </w:r>
      <w:r>
        <w:rPr>
          <w:sz w:val="20"/>
          <w:szCs w:val="20"/>
        </w:rPr>
        <w:t xml:space="preserve"> </w:t>
      </w:r>
      <w:r>
        <w:rPr>
          <w:spacing w:val="6"/>
          <w:sz w:val="20"/>
          <w:szCs w:val="20"/>
        </w:rPr>
        <w:t>“十四五”期间，依据《中华人民共和国国民经济和社会发展第十四个五年</w:t>
      </w:r>
      <w:r>
        <w:rPr>
          <w:spacing w:val="5"/>
          <w:sz w:val="20"/>
          <w:szCs w:val="20"/>
        </w:rPr>
        <w:t>规划和2035年远景</w:t>
      </w:r>
      <w:r>
        <w:rPr>
          <w:sz w:val="20"/>
          <w:szCs w:val="20"/>
        </w:rPr>
        <w:t xml:space="preserve"> 目标纲要》(简称“十四五规划”)、《国家信息化发展战略纲要》等制定的《“十四五”国家信</w:t>
      </w:r>
      <w:r>
        <w:rPr>
          <w:spacing w:val="12"/>
          <w:sz w:val="20"/>
          <w:szCs w:val="20"/>
        </w:rPr>
        <w:t xml:space="preserve"> </w:t>
      </w:r>
      <w:r>
        <w:rPr>
          <w:spacing w:val="5"/>
          <w:sz w:val="20"/>
          <w:szCs w:val="20"/>
        </w:rPr>
        <w:t>息化规划》中指出，我国“十四五”时期信息化发展目标为：到2025年，</w:t>
      </w:r>
      <w:r>
        <w:rPr>
          <w:spacing w:val="4"/>
          <w:sz w:val="20"/>
          <w:szCs w:val="20"/>
        </w:rPr>
        <w:t>数字中国建设取得决</w:t>
      </w:r>
      <w:r>
        <w:rPr>
          <w:sz w:val="20"/>
          <w:szCs w:val="20"/>
        </w:rPr>
        <w:t xml:space="preserve"> </w:t>
      </w:r>
      <w:r>
        <w:rPr>
          <w:spacing w:val="7"/>
          <w:sz w:val="20"/>
          <w:szCs w:val="20"/>
        </w:rPr>
        <w:t>定性进展，信息化发展水平大幅跃升，数字基础设</w:t>
      </w:r>
      <w:r>
        <w:rPr>
          <w:spacing w:val="6"/>
          <w:sz w:val="20"/>
          <w:szCs w:val="20"/>
        </w:rPr>
        <w:t>施全面夯实，数字技术创新能力显著增强，</w:t>
      </w:r>
      <w:r>
        <w:rPr>
          <w:sz w:val="20"/>
          <w:szCs w:val="20"/>
        </w:rPr>
        <w:t xml:space="preserve"> </w:t>
      </w:r>
      <w:r>
        <w:rPr>
          <w:spacing w:val="5"/>
          <w:sz w:val="20"/>
          <w:szCs w:val="20"/>
        </w:rPr>
        <w:t>数据要素价值充分发挥，数字经济高质量发展，数字治理效能整体提升。信息化主攻方向着力</w:t>
      </w:r>
      <w:r>
        <w:rPr>
          <w:spacing w:val="10"/>
          <w:sz w:val="20"/>
          <w:szCs w:val="20"/>
        </w:rPr>
        <w:t xml:space="preserve"> </w:t>
      </w:r>
      <w:r>
        <w:rPr>
          <w:spacing w:val="5"/>
          <w:sz w:val="20"/>
          <w:szCs w:val="20"/>
        </w:rPr>
        <w:t>在深化创新驱动、优化要素资源配置、支撑共建共治共享、促进健康和谐共生、防范化解风险</w:t>
      </w:r>
      <w:r>
        <w:rPr>
          <w:spacing w:val="2"/>
          <w:sz w:val="20"/>
          <w:szCs w:val="20"/>
        </w:rPr>
        <w:t xml:space="preserve"> 等方面取得突破，推动实现更高质量、更有效率</w:t>
      </w:r>
      <w:r>
        <w:rPr>
          <w:spacing w:val="1"/>
          <w:sz w:val="20"/>
          <w:szCs w:val="20"/>
        </w:rPr>
        <w:t>、更加公平、更可持续、更为安全发展。</w:t>
      </w:r>
    </w:p>
    <w:p w14:paraId="3FC1EA4A">
      <w:pPr>
        <w:pStyle w:val="2"/>
        <w:spacing w:before="78" w:line="277" w:lineRule="auto"/>
        <w:ind w:left="100" w:right="202" w:firstLine="420"/>
        <w:jc w:val="both"/>
        <w:rPr>
          <w:sz w:val="20"/>
          <w:szCs w:val="20"/>
        </w:rPr>
      </w:pPr>
      <w:r>
        <w:rPr>
          <w:spacing w:val="-2"/>
          <w:sz w:val="20"/>
          <w:szCs w:val="20"/>
        </w:rPr>
        <w:t>同时，各行业也会制定该期间的本行业信息化规划，例如，《“十四五”推</w:t>
      </w:r>
      <w:r>
        <w:rPr>
          <w:spacing w:val="-3"/>
          <w:sz w:val="20"/>
          <w:szCs w:val="20"/>
        </w:rPr>
        <w:t>进国家政务信息</w:t>
      </w:r>
      <w:r>
        <w:rPr>
          <w:sz w:val="20"/>
          <w:szCs w:val="20"/>
        </w:rPr>
        <w:t xml:space="preserve"> </w:t>
      </w:r>
      <w:r>
        <w:rPr>
          <w:spacing w:val="1"/>
          <w:sz w:val="20"/>
          <w:szCs w:val="20"/>
        </w:rPr>
        <w:t>化规划》,作为“十四五”期间统筹推进国家政务信息化工作</w:t>
      </w:r>
      <w:r>
        <w:rPr>
          <w:sz w:val="20"/>
          <w:szCs w:val="20"/>
        </w:rPr>
        <w:t xml:space="preserve">，指导各地方有序开展政务信息化 </w:t>
      </w:r>
      <w:r>
        <w:rPr>
          <w:spacing w:val="-5"/>
          <w:sz w:val="20"/>
          <w:szCs w:val="20"/>
        </w:rPr>
        <w:t>建设的重要依据。</w:t>
      </w:r>
    </w:p>
    <w:p w14:paraId="7CCCE170">
      <w:pPr>
        <w:pStyle w:val="2"/>
        <w:spacing w:before="199" w:line="219" w:lineRule="auto"/>
        <w:ind w:left="102"/>
        <w:rPr>
          <w:sz w:val="25"/>
          <w:szCs w:val="25"/>
        </w:rPr>
      </w:pPr>
      <w:r>
        <w:rPr>
          <w:b/>
          <w:bCs/>
          <w:color w:val="006DCE"/>
          <w:spacing w:val="-19"/>
          <w:sz w:val="25"/>
          <w:szCs w:val="25"/>
        </w:rPr>
        <w:t>1.2.2</w:t>
      </w:r>
      <w:r>
        <w:rPr>
          <w:color w:val="006DCE"/>
          <w:spacing w:val="100"/>
          <w:sz w:val="25"/>
          <w:szCs w:val="25"/>
        </w:rPr>
        <w:t xml:space="preserve"> </w:t>
      </w:r>
      <w:r>
        <w:rPr>
          <w:b/>
          <w:bCs/>
          <w:color w:val="006DCE"/>
          <w:spacing w:val="-19"/>
          <w:sz w:val="25"/>
          <w:szCs w:val="25"/>
        </w:rPr>
        <w:t>我国信息化发展历程</w:t>
      </w:r>
    </w:p>
    <w:p w14:paraId="2AF952B4">
      <w:pPr>
        <w:pStyle w:val="2"/>
        <w:spacing w:before="145" w:line="281" w:lineRule="auto"/>
        <w:ind w:left="100" w:right="186" w:firstLine="420"/>
        <w:rPr>
          <w:sz w:val="20"/>
          <w:szCs w:val="20"/>
        </w:rPr>
      </w:pPr>
      <w:r>
        <w:rPr>
          <w:spacing w:val="8"/>
          <w:sz w:val="20"/>
          <w:szCs w:val="20"/>
        </w:rPr>
        <w:t xml:space="preserve">我国是信息化起步较早的国家，早在20世纪50年代，我国就着手发展航空工业和原子能 </w:t>
      </w:r>
      <w:r>
        <w:rPr>
          <w:spacing w:val="3"/>
          <w:sz w:val="20"/>
          <w:szCs w:val="20"/>
        </w:rPr>
        <w:t>工业，1956制定的《十二年科学技术发展规划》就已经</w:t>
      </w:r>
      <w:r>
        <w:rPr>
          <w:spacing w:val="2"/>
          <w:sz w:val="20"/>
          <w:szCs w:val="20"/>
        </w:rPr>
        <w:t>将计算机、电子学、半导体、自动化作</w:t>
      </w:r>
    </w:p>
    <w:p w14:paraId="1198EBC0">
      <w:pPr>
        <w:spacing w:line="281" w:lineRule="auto"/>
        <w:rPr>
          <w:sz w:val="20"/>
          <w:szCs w:val="20"/>
        </w:rPr>
        <w:sectPr>
          <w:pgSz w:w="10320" w:h="13260"/>
          <w:pgMar w:top="400" w:right="603" w:bottom="400" w:left="1079" w:header="0" w:footer="0" w:gutter="0"/>
          <w:cols w:space="720" w:num="1"/>
        </w:sectPr>
      </w:pPr>
    </w:p>
    <w:p w14:paraId="71514A53">
      <w:pPr>
        <w:pStyle w:val="2"/>
        <w:spacing w:before="57" w:line="219" w:lineRule="auto"/>
        <w:rPr>
          <w:sz w:val="18"/>
          <w:szCs w:val="18"/>
        </w:rPr>
      </w:pPr>
      <w:bookmarkStart w:id="480" w:name="bookmark466"/>
      <w:bookmarkEnd w:id="480"/>
      <w:r>
        <w:rPr>
          <w:rFonts w:ascii="Times New Roman" w:hAnsi="Times New Roman" w:eastAsia="Times New Roman" w:cs="Times New Roman"/>
          <w:spacing w:val="9"/>
          <w:sz w:val="18"/>
          <w:szCs w:val="18"/>
        </w:rPr>
        <w:t xml:space="preserve">6                </w:t>
      </w:r>
      <w:r>
        <w:rPr>
          <w:spacing w:val="9"/>
          <w:sz w:val="18"/>
          <w:szCs w:val="18"/>
        </w:rPr>
        <w:t>信息系统监理师教程(第2版)</w:t>
      </w:r>
    </w:p>
    <w:p w14:paraId="4511D015">
      <w:pPr>
        <w:spacing w:line="315" w:lineRule="auto"/>
        <w:rPr>
          <w:rFonts w:ascii="Arial"/>
          <w:sz w:val="21"/>
        </w:rPr>
      </w:pPr>
    </w:p>
    <w:p w14:paraId="2517BBF6">
      <w:pPr>
        <w:pStyle w:val="2"/>
        <w:spacing w:before="58" w:line="323" w:lineRule="auto"/>
        <w:ind w:left="260"/>
        <w:jc w:val="both"/>
        <w:rPr>
          <w:sz w:val="18"/>
          <w:szCs w:val="18"/>
        </w:rPr>
      </w:pPr>
      <w:r>
        <w:rPr>
          <w:spacing w:val="23"/>
          <w:sz w:val="18"/>
          <w:szCs w:val="18"/>
        </w:rPr>
        <w:t>为科学规划的紧急措施。然而，特殊的国情决定了我国在个别的信息技术方面与</w:t>
      </w:r>
      <w:r>
        <w:rPr>
          <w:spacing w:val="22"/>
          <w:sz w:val="18"/>
          <w:szCs w:val="18"/>
        </w:rPr>
        <w:t>国际水平差距</w:t>
      </w:r>
      <w:r>
        <w:rPr>
          <w:sz w:val="18"/>
          <w:szCs w:val="18"/>
        </w:rPr>
        <w:t xml:space="preserve"> </w:t>
      </w:r>
      <w:r>
        <w:rPr>
          <w:spacing w:val="23"/>
          <w:sz w:val="18"/>
          <w:szCs w:val="18"/>
        </w:rPr>
        <w:t>不大，而整体信息化发展则相对缓慢。这种现象一直持续到改革开放之后，我国</w:t>
      </w:r>
      <w:r>
        <w:rPr>
          <w:spacing w:val="22"/>
          <w:sz w:val="18"/>
          <w:szCs w:val="18"/>
        </w:rPr>
        <w:t>的信息化才开</w:t>
      </w:r>
      <w:r>
        <w:rPr>
          <w:sz w:val="18"/>
          <w:szCs w:val="18"/>
        </w:rPr>
        <w:t xml:space="preserve"> </w:t>
      </w:r>
      <w:r>
        <w:rPr>
          <w:spacing w:val="23"/>
          <w:sz w:val="18"/>
          <w:szCs w:val="18"/>
        </w:rPr>
        <w:t>始真正全面地发展。关于改革开放后我国信息化的发展进程，基于研究视角的</w:t>
      </w:r>
      <w:r>
        <w:rPr>
          <w:spacing w:val="22"/>
          <w:sz w:val="18"/>
          <w:szCs w:val="18"/>
        </w:rPr>
        <w:t>不同，划分阶段</w:t>
      </w:r>
      <w:r>
        <w:rPr>
          <w:sz w:val="18"/>
          <w:szCs w:val="18"/>
        </w:rPr>
        <w:t xml:space="preserve"> </w:t>
      </w:r>
      <w:r>
        <w:rPr>
          <w:spacing w:val="23"/>
          <w:sz w:val="18"/>
          <w:szCs w:val="18"/>
        </w:rPr>
        <w:t>方式也各有所异，目前存在两阶段法、三阶段法和四阶段法等分类方式。本</w:t>
      </w:r>
      <w:r>
        <w:rPr>
          <w:spacing w:val="22"/>
          <w:sz w:val="18"/>
          <w:szCs w:val="18"/>
        </w:rPr>
        <w:t>书按照信息化管理</w:t>
      </w:r>
      <w:r>
        <w:rPr>
          <w:sz w:val="18"/>
          <w:szCs w:val="18"/>
        </w:rPr>
        <w:t xml:space="preserve"> </w:t>
      </w:r>
      <w:r>
        <w:rPr>
          <w:spacing w:val="18"/>
          <w:sz w:val="18"/>
          <w:szCs w:val="18"/>
        </w:rPr>
        <w:t>体制的演进变化以及信息化发展侧重点的变化，把我国的信息化</w:t>
      </w:r>
      <w:r>
        <w:rPr>
          <w:spacing w:val="17"/>
          <w:sz w:val="18"/>
          <w:szCs w:val="18"/>
        </w:rPr>
        <w:t>发展划分为如下五个阶段：</w:t>
      </w:r>
    </w:p>
    <w:p w14:paraId="72804D61">
      <w:pPr>
        <w:pStyle w:val="2"/>
        <w:spacing w:before="24" w:line="219" w:lineRule="auto"/>
        <w:ind w:left="660"/>
        <w:rPr>
          <w:sz w:val="18"/>
          <w:szCs w:val="18"/>
        </w:rPr>
      </w:pPr>
      <w:r>
        <w:rPr>
          <w:spacing w:val="20"/>
          <w:sz w:val="18"/>
          <w:szCs w:val="18"/>
        </w:rPr>
        <w:t>(1)信息化研究探索阶段(1982</w:t>
      </w:r>
      <w:r>
        <w:rPr>
          <w:spacing w:val="-59"/>
          <w:sz w:val="18"/>
          <w:szCs w:val="18"/>
        </w:rPr>
        <w:t xml:space="preserve"> </w:t>
      </w:r>
      <w:r>
        <w:rPr>
          <w:spacing w:val="20"/>
          <w:sz w:val="18"/>
          <w:szCs w:val="18"/>
        </w:rPr>
        <w:t>—</w:t>
      </w:r>
      <w:r>
        <w:rPr>
          <w:spacing w:val="-44"/>
          <w:sz w:val="18"/>
          <w:szCs w:val="18"/>
        </w:rPr>
        <w:t xml:space="preserve"> </w:t>
      </w:r>
      <w:r>
        <w:rPr>
          <w:spacing w:val="20"/>
          <w:sz w:val="18"/>
          <w:szCs w:val="18"/>
        </w:rPr>
        <w:t>1992年);</w:t>
      </w:r>
    </w:p>
    <w:p w14:paraId="1BDF9090">
      <w:pPr>
        <w:pStyle w:val="2"/>
        <w:spacing w:before="107" w:line="219" w:lineRule="auto"/>
        <w:ind w:left="660"/>
        <w:rPr>
          <w:sz w:val="18"/>
          <w:szCs w:val="18"/>
        </w:rPr>
      </w:pPr>
      <w:r>
        <w:rPr>
          <w:spacing w:val="20"/>
          <w:sz w:val="18"/>
          <w:szCs w:val="18"/>
        </w:rPr>
        <w:t>(2)信息化形成实践阶段(1993</w:t>
      </w:r>
      <w:r>
        <w:rPr>
          <w:spacing w:val="-59"/>
          <w:sz w:val="18"/>
          <w:szCs w:val="18"/>
        </w:rPr>
        <w:t xml:space="preserve"> </w:t>
      </w:r>
      <w:r>
        <w:rPr>
          <w:spacing w:val="20"/>
          <w:sz w:val="18"/>
          <w:szCs w:val="18"/>
        </w:rPr>
        <w:t>—</w:t>
      </w:r>
      <w:r>
        <w:rPr>
          <w:spacing w:val="-44"/>
          <w:sz w:val="18"/>
          <w:szCs w:val="18"/>
        </w:rPr>
        <w:t xml:space="preserve"> </w:t>
      </w:r>
      <w:r>
        <w:rPr>
          <w:spacing w:val="20"/>
          <w:sz w:val="18"/>
          <w:szCs w:val="18"/>
        </w:rPr>
        <w:t>1997年);</w:t>
      </w:r>
    </w:p>
    <w:p w14:paraId="0F050155">
      <w:pPr>
        <w:pStyle w:val="2"/>
        <w:spacing w:before="97" w:line="219" w:lineRule="auto"/>
        <w:ind w:left="660"/>
        <w:rPr>
          <w:sz w:val="18"/>
          <w:szCs w:val="18"/>
        </w:rPr>
      </w:pPr>
      <w:r>
        <w:rPr>
          <w:spacing w:val="20"/>
          <w:sz w:val="18"/>
          <w:szCs w:val="18"/>
        </w:rPr>
        <w:t>(3)信息化加速推进阶段(1998</w:t>
      </w:r>
      <w:r>
        <w:rPr>
          <w:spacing w:val="-48"/>
          <w:sz w:val="18"/>
          <w:szCs w:val="18"/>
        </w:rPr>
        <w:t xml:space="preserve"> </w:t>
      </w:r>
      <w:r>
        <w:rPr>
          <w:spacing w:val="20"/>
          <w:sz w:val="18"/>
          <w:szCs w:val="18"/>
        </w:rPr>
        <w:t>—</w:t>
      </w:r>
      <w:r>
        <w:rPr>
          <w:spacing w:val="-55"/>
          <w:sz w:val="18"/>
          <w:szCs w:val="18"/>
        </w:rPr>
        <w:t xml:space="preserve"> </w:t>
      </w:r>
      <w:r>
        <w:rPr>
          <w:spacing w:val="20"/>
          <w:sz w:val="18"/>
          <w:szCs w:val="18"/>
        </w:rPr>
        <w:t>2001年);</w:t>
      </w:r>
    </w:p>
    <w:p w14:paraId="14D4DE2C">
      <w:pPr>
        <w:pStyle w:val="2"/>
        <w:spacing w:before="106" w:line="219" w:lineRule="auto"/>
        <w:ind w:left="660"/>
        <w:rPr>
          <w:sz w:val="18"/>
          <w:szCs w:val="18"/>
        </w:rPr>
      </w:pPr>
      <w:r>
        <w:rPr>
          <w:spacing w:val="20"/>
          <w:sz w:val="18"/>
          <w:szCs w:val="18"/>
        </w:rPr>
        <w:t>(4)信息化全面发展阶段(2002</w:t>
      </w:r>
      <w:r>
        <w:rPr>
          <w:spacing w:val="-48"/>
          <w:sz w:val="18"/>
          <w:szCs w:val="18"/>
        </w:rPr>
        <w:t xml:space="preserve"> </w:t>
      </w:r>
      <w:r>
        <w:rPr>
          <w:spacing w:val="20"/>
          <w:sz w:val="18"/>
          <w:szCs w:val="18"/>
        </w:rPr>
        <w:t>—</w:t>
      </w:r>
      <w:r>
        <w:rPr>
          <w:spacing w:val="-55"/>
          <w:sz w:val="18"/>
          <w:szCs w:val="18"/>
        </w:rPr>
        <w:t xml:space="preserve"> </w:t>
      </w:r>
      <w:r>
        <w:rPr>
          <w:spacing w:val="20"/>
          <w:sz w:val="18"/>
          <w:szCs w:val="18"/>
        </w:rPr>
        <w:t>2011年);</w:t>
      </w:r>
    </w:p>
    <w:p w14:paraId="4BB89037">
      <w:pPr>
        <w:pStyle w:val="2"/>
        <w:spacing w:before="107" w:line="219" w:lineRule="auto"/>
        <w:ind w:left="660"/>
        <w:rPr>
          <w:sz w:val="18"/>
          <w:szCs w:val="18"/>
        </w:rPr>
      </w:pPr>
      <w:r>
        <w:rPr>
          <w:spacing w:val="25"/>
          <w:sz w:val="18"/>
          <w:szCs w:val="18"/>
        </w:rPr>
        <w:t>(5)信息化创新跨越阶段(2012年至今)。</w:t>
      </w:r>
    </w:p>
    <w:p w14:paraId="6E1327E7">
      <w:pPr>
        <w:pStyle w:val="2"/>
        <w:spacing w:before="96" w:line="315" w:lineRule="auto"/>
        <w:ind w:left="260" w:firstLine="399"/>
        <w:rPr>
          <w:sz w:val="18"/>
          <w:szCs w:val="18"/>
        </w:rPr>
      </w:pPr>
      <w:r>
        <w:rPr>
          <w:spacing w:val="27"/>
          <w:sz w:val="18"/>
          <w:szCs w:val="18"/>
        </w:rPr>
        <w:t>下文按照各个发展阶段的不同特征，从管理体制以及重大事件两个角度回顾20世</w:t>
      </w:r>
      <w:r>
        <w:rPr>
          <w:spacing w:val="26"/>
          <w:sz w:val="18"/>
          <w:szCs w:val="18"/>
        </w:rPr>
        <w:t>纪80年</w:t>
      </w:r>
      <w:r>
        <w:rPr>
          <w:sz w:val="18"/>
          <w:szCs w:val="18"/>
        </w:rPr>
        <w:t xml:space="preserve"> </w:t>
      </w:r>
      <w:r>
        <w:rPr>
          <w:spacing w:val="16"/>
          <w:sz w:val="18"/>
          <w:szCs w:val="18"/>
        </w:rPr>
        <w:t>代以来我国信息化发展的历史演变过程。</w:t>
      </w:r>
    </w:p>
    <w:p w14:paraId="0600D91C">
      <w:pPr>
        <w:pStyle w:val="2"/>
        <w:spacing w:before="82" w:line="221" w:lineRule="auto"/>
        <w:ind w:left="662"/>
        <w:rPr>
          <w:rFonts w:ascii="黑体" w:hAnsi="黑体" w:eastAsia="黑体" w:cs="黑体"/>
          <w:sz w:val="18"/>
          <w:szCs w:val="18"/>
        </w:rPr>
      </w:pPr>
      <w:r>
        <w:rPr>
          <w:b/>
          <w:bCs/>
          <w:color w:val="008ADA"/>
          <w:spacing w:val="15"/>
          <w:sz w:val="18"/>
          <w:szCs w:val="18"/>
        </w:rPr>
        <w:t>1.</w:t>
      </w:r>
      <w:r>
        <w:rPr>
          <w:rFonts w:ascii="黑体" w:hAnsi="黑体" w:eastAsia="黑体" w:cs="黑体"/>
          <w:b/>
          <w:bCs/>
          <w:color w:val="008ADA"/>
          <w:spacing w:val="15"/>
          <w:sz w:val="18"/>
          <w:szCs w:val="18"/>
        </w:rPr>
        <w:t>信息化管理体制演进</w:t>
      </w:r>
    </w:p>
    <w:p w14:paraId="7F956869">
      <w:pPr>
        <w:pStyle w:val="2"/>
        <w:spacing w:before="168" w:line="318" w:lineRule="auto"/>
        <w:ind w:left="260" w:right="1" w:firstLine="399"/>
        <w:jc w:val="both"/>
        <w:rPr>
          <w:sz w:val="18"/>
          <w:szCs w:val="18"/>
        </w:rPr>
      </w:pPr>
      <w:r>
        <w:rPr>
          <w:spacing w:val="23"/>
          <w:sz w:val="18"/>
          <w:szCs w:val="18"/>
        </w:rPr>
        <w:t>20世纪80年代以来，我国的信息化发展取得了巨大成就。信</w:t>
      </w:r>
      <w:r>
        <w:rPr>
          <w:spacing w:val="22"/>
          <w:sz w:val="18"/>
          <w:szCs w:val="18"/>
        </w:rPr>
        <w:t>息技术的快速发展，</w:t>
      </w:r>
      <w:r>
        <w:rPr>
          <w:spacing w:val="78"/>
          <w:sz w:val="18"/>
          <w:szCs w:val="18"/>
        </w:rPr>
        <w:t xml:space="preserve"> </w:t>
      </w:r>
      <w:r>
        <w:rPr>
          <w:spacing w:val="22"/>
          <w:sz w:val="18"/>
          <w:szCs w:val="18"/>
        </w:rPr>
        <w:t>一方面</w:t>
      </w:r>
      <w:r>
        <w:rPr>
          <w:sz w:val="18"/>
          <w:szCs w:val="18"/>
        </w:rPr>
        <w:t xml:space="preserve"> </w:t>
      </w:r>
      <w:r>
        <w:rPr>
          <w:spacing w:val="23"/>
          <w:sz w:val="18"/>
          <w:szCs w:val="18"/>
        </w:rPr>
        <w:t>与吸收借鉴国外诸多信息化的成果和经验有关；另一方面与我国完善信息化管</w:t>
      </w:r>
      <w:r>
        <w:rPr>
          <w:spacing w:val="22"/>
          <w:sz w:val="18"/>
          <w:szCs w:val="18"/>
        </w:rPr>
        <w:t>理体制，不断提</w:t>
      </w:r>
      <w:r>
        <w:rPr>
          <w:sz w:val="18"/>
          <w:szCs w:val="18"/>
        </w:rPr>
        <w:t xml:space="preserve"> </w:t>
      </w:r>
      <w:r>
        <w:rPr>
          <w:spacing w:val="14"/>
          <w:sz w:val="18"/>
          <w:szCs w:val="18"/>
        </w:rPr>
        <w:t>高信息化领导力有关。</w:t>
      </w:r>
    </w:p>
    <w:p w14:paraId="0105CA8E">
      <w:pPr>
        <w:pStyle w:val="2"/>
        <w:spacing w:line="336" w:lineRule="auto"/>
        <w:ind w:left="260" w:firstLine="399"/>
        <w:rPr>
          <w:sz w:val="18"/>
          <w:szCs w:val="18"/>
        </w:rPr>
      </w:pPr>
      <w:r>
        <w:pict>
          <v:shape id="_x0000_s1040" o:spid="_x0000_s1040" o:spt="202" type="#_x0000_t202" style="position:absolute;left:0pt;margin-left:36.4pt;margin-top:80.3pt;height:54.8pt;width:11.1pt;z-index:251679744;mso-width-relative:page;mso-height-relative:page;" filled="f" stroked="f" coordsize="21600,21600">
            <v:path/>
            <v:fill on="f" focussize="0,0"/>
            <v:stroke on="f"/>
            <v:imagedata o:title=""/>
            <o:lock v:ext="edit" aspectratio="f"/>
            <v:textbox inset="0mm,0mm,0mm,0mm" style="layout-flow:vertical-ideographic;">
              <w:txbxContent>
                <w:p w14:paraId="6E5317C0">
                  <w:pPr>
                    <w:pStyle w:val="2"/>
                    <w:spacing w:before="19" w:line="203" w:lineRule="auto"/>
                    <w:ind w:left="20"/>
                    <w:rPr>
                      <w:sz w:val="16"/>
                      <w:szCs w:val="16"/>
                    </w:rPr>
                  </w:pPr>
                  <w:r>
                    <w:rPr>
                      <w:spacing w:val="15"/>
                      <w:sz w:val="16"/>
                      <w:szCs w:val="16"/>
                    </w:rPr>
                    <w:t>管理体制演进</w:t>
                  </w:r>
                </w:p>
              </w:txbxContent>
            </v:textbox>
          </v:shape>
        </w:pict>
      </w:r>
      <w:r>
        <w:rPr>
          <w:spacing w:val="23"/>
          <w:sz w:val="18"/>
          <w:szCs w:val="18"/>
        </w:rPr>
        <w:t>因此，有效加强国家层面对信息化的强有力领导，是诸多重大举措中最重要的环节。四十</w:t>
      </w:r>
      <w:r>
        <w:rPr>
          <w:sz w:val="18"/>
          <w:szCs w:val="18"/>
        </w:rPr>
        <w:t xml:space="preserve"> </w:t>
      </w:r>
      <w:r>
        <w:rPr>
          <w:spacing w:val="18"/>
          <w:sz w:val="18"/>
          <w:szCs w:val="18"/>
        </w:rPr>
        <w:t>多年来我国信息化管理体制的演进过程如图1-2所示。</w:t>
      </w:r>
    </w:p>
    <w:p w14:paraId="34FEBD50">
      <w:pPr>
        <w:spacing w:line="93" w:lineRule="exact"/>
      </w:pPr>
    </w:p>
    <w:tbl>
      <w:tblPr>
        <w:tblStyle w:val="5"/>
        <w:tblW w:w="6989" w:type="dxa"/>
        <w:tblInd w:w="10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2"/>
        <w:gridCol w:w="1338"/>
        <w:gridCol w:w="1338"/>
        <w:gridCol w:w="1338"/>
        <w:gridCol w:w="1353"/>
      </w:tblGrid>
      <w:tr w14:paraId="2A23B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622" w:type="dxa"/>
            <w:vAlign w:val="top"/>
          </w:tcPr>
          <w:p w14:paraId="2B727DE7">
            <w:pPr>
              <w:pStyle w:val="6"/>
              <w:spacing w:before="250" w:line="219" w:lineRule="auto"/>
              <w:ind w:left="185"/>
              <w:rPr>
                <w:sz w:val="13"/>
                <w:szCs w:val="13"/>
              </w:rPr>
            </w:pPr>
            <w:r>
              <w:rPr>
                <w:spacing w:val="-1"/>
                <w:sz w:val="13"/>
                <w:szCs w:val="13"/>
              </w:rPr>
              <w:t>&gt;1986年2月成立"国家</w:t>
            </w:r>
          </w:p>
          <w:p w14:paraId="55DD6728">
            <w:pPr>
              <w:pStyle w:val="6"/>
              <w:spacing w:before="5" w:line="219" w:lineRule="auto"/>
              <w:jc w:val="right"/>
              <w:rPr>
                <w:sz w:val="13"/>
                <w:szCs w:val="13"/>
              </w:rPr>
            </w:pPr>
            <w:r>
              <w:rPr>
                <w:sz w:val="13"/>
                <w:szCs w:val="13"/>
              </w:rPr>
              <w:t>经济信息管理领导小组”</w:t>
            </w:r>
          </w:p>
        </w:tc>
        <w:tc>
          <w:tcPr>
            <w:tcW w:w="1338" w:type="dxa"/>
            <w:vMerge w:val="restart"/>
            <w:tcBorders>
              <w:bottom w:val="nil"/>
            </w:tcBorders>
            <w:vAlign w:val="top"/>
          </w:tcPr>
          <w:p w14:paraId="3000467A">
            <w:pPr>
              <w:spacing w:line="253" w:lineRule="auto"/>
              <w:rPr>
                <w:rFonts w:ascii="Arial"/>
                <w:sz w:val="21"/>
              </w:rPr>
            </w:pPr>
          </w:p>
          <w:p w14:paraId="5F9C6072">
            <w:pPr>
              <w:spacing w:line="253" w:lineRule="auto"/>
              <w:rPr>
                <w:rFonts w:ascii="Arial"/>
                <w:sz w:val="21"/>
              </w:rPr>
            </w:pPr>
          </w:p>
          <w:p w14:paraId="0FC04FFD">
            <w:pPr>
              <w:spacing w:line="253" w:lineRule="auto"/>
              <w:rPr>
                <w:rFonts w:ascii="Arial"/>
                <w:sz w:val="21"/>
              </w:rPr>
            </w:pPr>
          </w:p>
          <w:p w14:paraId="65856B9F">
            <w:pPr>
              <w:spacing w:line="253" w:lineRule="auto"/>
              <w:rPr>
                <w:rFonts w:ascii="Arial"/>
                <w:sz w:val="21"/>
              </w:rPr>
            </w:pPr>
          </w:p>
          <w:p w14:paraId="4C5AF9CB">
            <w:pPr>
              <w:spacing w:line="253" w:lineRule="auto"/>
              <w:rPr>
                <w:rFonts w:ascii="Arial"/>
                <w:sz w:val="21"/>
              </w:rPr>
            </w:pPr>
          </w:p>
          <w:p w14:paraId="438DCE7B">
            <w:pPr>
              <w:spacing w:line="254" w:lineRule="auto"/>
              <w:rPr>
                <w:rFonts w:ascii="Arial"/>
                <w:sz w:val="21"/>
              </w:rPr>
            </w:pPr>
          </w:p>
          <w:p w14:paraId="08FE30D3">
            <w:pPr>
              <w:pStyle w:val="6"/>
              <w:spacing w:before="42" w:line="220" w:lineRule="auto"/>
              <w:ind w:left="153" w:right="189"/>
              <w:rPr>
                <w:sz w:val="13"/>
                <w:szCs w:val="13"/>
              </w:rPr>
            </w:pPr>
            <w:r>
              <w:rPr>
                <w:spacing w:val="-1"/>
                <w:sz w:val="13"/>
                <w:szCs w:val="13"/>
              </w:rPr>
              <w:t>&gt;1996年4月成立</w:t>
            </w:r>
            <w:r>
              <w:rPr>
                <w:sz w:val="13"/>
                <w:szCs w:val="13"/>
              </w:rPr>
              <w:t xml:space="preserve">  </w:t>
            </w:r>
            <w:r>
              <w:rPr>
                <w:spacing w:val="10"/>
                <w:sz w:val="13"/>
                <w:szCs w:val="13"/>
              </w:rPr>
              <w:t>“国务院信息化</w:t>
            </w:r>
            <w:r>
              <w:rPr>
                <w:spacing w:val="4"/>
                <w:sz w:val="13"/>
                <w:szCs w:val="13"/>
              </w:rPr>
              <w:t xml:space="preserve"> </w:t>
            </w:r>
            <w:r>
              <w:rPr>
                <w:spacing w:val="25"/>
                <w:sz w:val="13"/>
                <w:szCs w:val="13"/>
              </w:rPr>
              <w:t>领导小组”</w:t>
            </w:r>
          </w:p>
        </w:tc>
        <w:tc>
          <w:tcPr>
            <w:tcW w:w="1338" w:type="dxa"/>
            <w:vMerge w:val="restart"/>
            <w:tcBorders>
              <w:bottom w:val="nil"/>
            </w:tcBorders>
            <w:vAlign w:val="top"/>
          </w:tcPr>
          <w:p w14:paraId="5981B26E">
            <w:pPr>
              <w:spacing w:line="268" w:lineRule="auto"/>
              <w:rPr>
                <w:rFonts w:ascii="Arial"/>
                <w:sz w:val="21"/>
              </w:rPr>
            </w:pPr>
          </w:p>
          <w:p w14:paraId="7717A4DC">
            <w:pPr>
              <w:spacing w:line="268" w:lineRule="auto"/>
              <w:rPr>
                <w:rFonts w:ascii="Arial"/>
                <w:sz w:val="21"/>
              </w:rPr>
            </w:pPr>
          </w:p>
          <w:p w14:paraId="671706FB">
            <w:pPr>
              <w:spacing w:line="268" w:lineRule="auto"/>
              <w:rPr>
                <w:rFonts w:ascii="Arial"/>
                <w:sz w:val="21"/>
              </w:rPr>
            </w:pPr>
          </w:p>
          <w:p w14:paraId="1CE81D47">
            <w:pPr>
              <w:pStyle w:val="6"/>
              <w:spacing w:before="42" w:line="219" w:lineRule="auto"/>
              <w:ind w:left="205" w:right="85"/>
              <w:rPr>
                <w:sz w:val="13"/>
                <w:szCs w:val="13"/>
              </w:rPr>
            </w:pPr>
            <w:r>
              <w:rPr>
                <w:color w:val="007FC9"/>
                <w:spacing w:val="-2"/>
                <w:sz w:val="13"/>
                <w:szCs w:val="13"/>
              </w:rPr>
              <w:t>&gt;2001</w:t>
            </w:r>
            <w:r>
              <w:rPr>
                <w:spacing w:val="-2"/>
                <w:sz w:val="13"/>
                <w:szCs w:val="13"/>
              </w:rPr>
              <w:t>年8月成立</w:t>
            </w:r>
            <w:r>
              <w:rPr>
                <w:spacing w:val="2"/>
                <w:sz w:val="13"/>
                <w:szCs w:val="13"/>
              </w:rPr>
              <w:t xml:space="preserve">   </w:t>
            </w:r>
            <w:r>
              <w:rPr>
                <w:spacing w:val="6"/>
                <w:sz w:val="13"/>
                <w:szCs w:val="13"/>
              </w:rPr>
              <w:t>"国家信息化专</w:t>
            </w:r>
            <w:r>
              <w:rPr>
                <w:sz w:val="13"/>
                <w:szCs w:val="13"/>
              </w:rPr>
              <w:t xml:space="preserve">   </w:t>
            </w:r>
            <w:r>
              <w:rPr>
                <w:spacing w:val="18"/>
                <w:sz w:val="13"/>
                <w:szCs w:val="13"/>
              </w:rPr>
              <w:t>家咨询委员会”</w:t>
            </w:r>
          </w:p>
        </w:tc>
        <w:tc>
          <w:tcPr>
            <w:tcW w:w="1338" w:type="dxa"/>
            <w:vMerge w:val="restart"/>
            <w:tcBorders>
              <w:bottom w:val="nil"/>
            </w:tcBorders>
            <w:vAlign w:val="top"/>
          </w:tcPr>
          <w:p w14:paraId="3DFB4190">
            <w:pPr>
              <w:spacing w:line="297" w:lineRule="auto"/>
              <w:rPr>
                <w:rFonts w:ascii="Arial"/>
                <w:sz w:val="21"/>
              </w:rPr>
            </w:pPr>
          </w:p>
          <w:p w14:paraId="607961E0">
            <w:pPr>
              <w:spacing w:line="297" w:lineRule="auto"/>
              <w:rPr>
                <w:rFonts w:ascii="Arial"/>
                <w:sz w:val="21"/>
              </w:rPr>
            </w:pPr>
          </w:p>
          <w:p w14:paraId="1D132E6F">
            <w:pPr>
              <w:pStyle w:val="6"/>
              <w:spacing w:before="42" w:line="219" w:lineRule="auto"/>
              <w:ind w:left="156"/>
              <w:rPr>
                <w:sz w:val="13"/>
                <w:szCs w:val="13"/>
              </w:rPr>
            </w:pPr>
            <w:r>
              <w:rPr>
                <w:spacing w:val="1"/>
                <w:sz w:val="13"/>
                <w:szCs w:val="13"/>
              </w:rPr>
              <w:t>&gt;2008年7月“国</w:t>
            </w:r>
          </w:p>
          <w:p w14:paraId="1052ABC5">
            <w:pPr>
              <w:pStyle w:val="6"/>
              <w:spacing w:before="26" w:line="225" w:lineRule="auto"/>
              <w:ind w:left="207" w:right="85"/>
              <w:rPr>
                <w:sz w:val="13"/>
                <w:szCs w:val="13"/>
              </w:rPr>
            </w:pPr>
            <w:r>
              <w:rPr>
                <w:spacing w:val="-1"/>
                <w:sz w:val="13"/>
                <w:szCs w:val="13"/>
              </w:rPr>
              <w:t>务院信息化工作办</w:t>
            </w:r>
            <w:r>
              <w:rPr>
                <w:sz w:val="13"/>
                <w:szCs w:val="13"/>
              </w:rPr>
              <w:t xml:space="preserve"> </w:t>
            </w:r>
            <w:r>
              <w:rPr>
                <w:spacing w:val="-2"/>
                <w:sz w:val="13"/>
                <w:szCs w:val="13"/>
              </w:rPr>
              <w:t>公室”的工作职责</w:t>
            </w:r>
            <w:r>
              <w:rPr>
                <w:spacing w:val="5"/>
                <w:sz w:val="13"/>
                <w:szCs w:val="13"/>
              </w:rPr>
              <w:t xml:space="preserve"> </w:t>
            </w:r>
            <w:r>
              <w:rPr>
                <w:spacing w:val="-1"/>
                <w:sz w:val="13"/>
                <w:szCs w:val="13"/>
              </w:rPr>
              <w:t>划归新组建的工业</w:t>
            </w:r>
            <w:r>
              <w:rPr>
                <w:spacing w:val="2"/>
                <w:sz w:val="13"/>
                <w:szCs w:val="13"/>
              </w:rPr>
              <w:t xml:space="preserve"> </w:t>
            </w:r>
            <w:r>
              <w:rPr>
                <w:sz w:val="13"/>
                <w:szCs w:val="13"/>
              </w:rPr>
              <w:t>和信息化部</w:t>
            </w:r>
          </w:p>
        </w:tc>
        <w:tc>
          <w:tcPr>
            <w:tcW w:w="1353" w:type="dxa"/>
            <w:vMerge w:val="restart"/>
            <w:tcBorders>
              <w:bottom w:val="nil"/>
            </w:tcBorders>
            <w:vAlign w:val="top"/>
          </w:tcPr>
          <w:p w14:paraId="3E3BEDBE">
            <w:pPr>
              <w:spacing w:line="297" w:lineRule="auto"/>
              <w:rPr>
                <w:rFonts w:ascii="Arial"/>
                <w:sz w:val="21"/>
              </w:rPr>
            </w:pPr>
          </w:p>
          <w:p w14:paraId="715E7572">
            <w:pPr>
              <w:spacing w:line="297" w:lineRule="auto"/>
              <w:rPr>
                <w:rFonts w:ascii="Arial"/>
                <w:sz w:val="21"/>
              </w:rPr>
            </w:pPr>
          </w:p>
          <w:p w14:paraId="2ABECA60">
            <w:pPr>
              <w:pStyle w:val="6"/>
              <w:spacing w:before="43" w:line="230" w:lineRule="auto"/>
              <w:ind w:left="168" w:right="71"/>
              <w:jc w:val="right"/>
              <w:rPr>
                <w:sz w:val="13"/>
                <w:szCs w:val="13"/>
              </w:rPr>
            </w:pPr>
            <w:r>
              <w:rPr>
                <w:spacing w:val="-1"/>
                <w:sz w:val="13"/>
                <w:szCs w:val="13"/>
              </w:rPr>
              <w:t>&gt;2018年“中央网络</w:t>
            </w:r>
            <w:r>
              <w:rPr>
                <w:spacing w:val="1"/>
                <w:sz w:val="13"/>
                <w:szCs w:val="13"/>
              </w:rPr>
              <w:t xml:space="preserve"> </w:t>
            </w:r>
            <w:r>
              <w:rPr>
                <w:spacing w:val="-1"/>
                <w:sz w:val="13"/>
                <w:szCs w:val="13"/>
              </w:rPr>
              <w:t>安全和信息化领导</w:t>
            </w:r>
          </w:p>
          <w:p w14:paraId="79D33EF7">
            <w:pPr>
              <w:pStyle w:val="6"/>
              <w:spacing w:before="5" w:line="229" w:lineRule="auto"/>
              <w:ind w:left="228" w:right="58" w:firstLine="70"/>
              <w:jc w:val="both"/>
              <w:rPr>
                <w:sz w:val="13"/>
                <w:szCs w:val="13"/>
              </w:rPr>
            </w:pPr>
            <w:r>
              <w:rPr>
                <w:spacing w:val="-2"/>
                <w:sz w:val="13"/>
                <w:szCs w:val="13"/>
              </w:rPr>
              <w:t>小组”改为"中央</w:t>
            </w:r>
            <w:r>
              <w:rPr>
                <w:spacing w:val="6"/>
                <w:sz w:val="13"/>
                <w:szCs w:val="13"/>
              </w:rPr>
              <w:t xml:space="preserve"> </w:t>
            </w:r>
            <w:r>
              <w:rPr>
                <w:spacing w:val="1"/>
                <w:sz w:val="13"/>
                <w:szCs w:val="13"/>
              </w:rPr>
              <w:t>网络安全和信息化</w:t>
            </w:r>
            <w:r>
              <w:rPr>
                <w:spacing w:val="6"/>
                <w:sz w:val="13"/>
                <w:szCs w:val="13"/>
              </w:rPr>
              <w:t xml:space="preserve"> </w:t>
            </w:r>
            <w:r>
              <w:rPr>
                <w:spacing w:val="32"/>
                <w:sz w:val="13"/>
                <w:szCs w:val="13"/>
              </w:rPr>
              <w:t>委员会”</w:t>
            </w:r>
          </w:p>
        </w:tc>
      </w:tr>
      <w:tr w14:paraId="433C2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7" w:hRule="atLeast"/>
        </w:trPr>
        <w:tc>
          <w:tcPr>
            <w:tcW w:w="1622" w:type="dxa"/>
            <w:vMerge w:val="restart"/>
            <w:tcBorders>
              <w:bottom w:val="nil"/>
            </w:tcBorders>
            <w:vAlign w:val="top"/>
          </w:tcPr>
          <w:p w14:paraId="2A53311F">
            <w:pPr>
              <w:pStyle w:val="6"/>
              <w:spacing w:before="116" w:line="214" w:lineRule="auto"/>
              <w:ind w:left="215"/>
              <w:rPr>
                <w:sz w:val="13"/>
                <w:szCs w:val="13"/>
              </w:rPr>
            </w:pPr>
            <w:r>
              <w:rPr>
                <w:spacing w:val="-1"/>
                <w:sz w:val="13"/>
                <w:szCs w:val="13"/>
              </w:rPr>
              <w:t>&gt;1984年"计算机与大</w:t>
            </w:r>
          </w:p>
          <w:p w14:paraId="14C692A1">
            <w:pPr>
              <w:pStyle w:val="6"/>
              <w:spacing w:line="219" w:lineRule="auto"/>
              <w:ind w:left="114"/>
              <w:rPr>
                <w:sz w:val="13"/>
                <w:szCs w:val="13"/>
              </w:rPr>
            </w:pPr>
            <w:r>
              <w:rPr>
                <w:spacing w:val="1"/>
                <w:sz w:val="13"/>
                <w:szCs w:val="13"/>
              </w:rPr>
              <w:t>规模集成电路领导小组"</w:t>
            </w:r>
          </w:p>
          <w:p w14:paraId="061D2623">
            <w:pPr>
              <w:pStyle w:val="6"/>
              <w:spacing w:before="5" w:line="210" w:lineRule="auto"/>
              <w:ind w:left="165" w:right="198" w:firstLine="19"/>
              <w:rPr>
                <w:sz w:val="13"/>
                <w:szCs w:val="13"/>
              </w:rPr>
            </w:pPr>
            <w:r>
              <w:rPr>
                <w:spacing w:val="-1"/>
                <w:sz w:val="13"/>
                <w:szCs w:val="13"/>
              </w:rPr>
              <w:t>更名为"国务院电子振</w:t>
            </w:r>
            <w:r>
              <w:rPr>
                <w:spacing w:val="2"/>
                <w:sz w:val="13"/>
                <w:szCs w:val="13"/>
              </w:rPr>
              <w:t xml:space="preserve"> </w:t>
            </w:r>
            <w:r>
              <w:rPr>
                <w:spacing w:val="21"/>
                <w:sz w:val="13"/>
                <w:szCs w:val="13"/>
              </w:rPr>
              <w:t>兴领导小组”</w:t>
            </w:r>
          </w:p>
        </w:tc>
        <w:tc>
          <w:tcPr>
            <w:tcW w:w="1338" w:type="dxa"/>
            <w:vMerge w:val="continue"/>
            <w:tcBorders>
              <w:top w:val="nil"/>
              <w:bottom w:val="nil"/>
            </w:tcBorders>
            <w:vAlign w:val="top"/>
          </w:tcPr>
          <w:p w14:paraId="00531315">
            <w:pPr>
              <w:rPr>
                <w:rFonts w:ascii="Arial"/>
                <w:sz w:val="21"/>
              </w:rPr>
            </w:pPr>
          </w:p>
        </w:tc>
        <w:tc>
          <w:tcPr>
            <w:tcW w:w="1338" w:type="dxa"/>
            <w:vMerge w:val="continue"/>
            <w:tcBorders>
              <w:top w:val="nil"/>
            </w:tcBorders>
            <w:vAlign w:val="top"/>
          </w:tcPr>
          <w:p w14:paraId="3C63B6BC">
            <w:pPr>
              <w:rPr>
                <w:rFonts w:ascii="Arial"/>
                <w:sz w:val="21"/>
              </w:rPr>
            </w:pPr>
          </w:p>
        </w:tc>
        <w:tc>
          <w:tcPr>
            <w:tcW w:w="1338" w:type="dxa"/>
            <w:vMerge w:val="continue"/>
            <w:tcBorders>
              <w:top w:val="nil"/>
              <w:bottom w:val="nil"/>
            </w:tcBorders>
            <w:vAlign w:val="top"/>
          </w:tcPr>
          <w:p w14:paraId="05B01CB0">
            <w:pPr>
              <w:rPr>
                <w:rFonts w:ascii="Arial"/>
                <w:sz w:val="21"/>
              </w:rPr>
            </w:pPr>
          </w:p>
        </w:tc>
        <w:tc>
          <w:tcPr>
            <w:tcW w:w="1353" w:type="dxa"/>
            <w:vMerge w:val="continue"/>
            <w:tcBorders>
              <w:top w:val="nil"/>
              <w:bottom w:val="nil"/>
            </w:tcBorders>
            <w:vAlign w:val="top"/>
          </w:tcPr>
          <w:p w14:paraId="0903A9A5">
            <w:pPr>
              <w:rPr>
                <w:rFonts w:ascii="Arial"/>
                <w:sz w:val="21"/>
              </w:rPr>
            </w:pPr>
          </w:p>
        </w:tc>
      </w:tr>
      <w:tr w14:paraId="0158C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 w:hRule="atLeast"/>
        </w:trPr>
        <w:tc>
          <w:tcPr>
            <w:tcW w:w="1622" w:type="dxa"/>
            <w:vMerge w:val="continue"/>
            <w:tcBorders>
              <w:top w:val="nil"/>
            </w:tcBorders>
            <w:vAlign w:val="top"/>
          </w:tcPr>
          <w:p w14:paraId="35FB408F">
            <w:pPr>
              <w:rPr>
                <w:rFonts w:ascii="Arial"/>
                <w:sz w:val="21"/>
              </w:rPr>
            </w:pPr>
          </w:p>
        </w:tc>
        <w:tc>
          <w:tcPr>
            <w:tcW w:w="1338" w:type="dxa"/>
            <w:vMerge w:val="continue"/>
            <w:tcBorders>
              <w:top w:val="nil"/>
              <w:bottom w:val="nil"/>
            </w:tcBorders>
            <w:vAlign w:val="top"/>
          </w:tcPr>
          <w:p w14:paraId="492806D0">
            <w:pPr>
              <w:rPr>
                <w:rFonts w:ascii="Arial"/>
                <w:sz w:val="21"/>
              </w:rPr>
            </w:pPr>
          </w:p>
        </w:tc>
        <w:tc>
          <w:tcPr>
            <w:tcW w:w="1338" w:type="dxa"/>
            <w:vMerge w:val="restart"/>
            <w:tcBorders>
              <w:bottom w:val="nil"/>
            </w:tcBorders>
            <w:vAlign w:val="top"/>
          </w:tcPr>
          <w:p w14:paraId="097465C7">
            <w:pPr>
              <w:pStyle w:val="6"/>
              <w:spacing w:before="89" w:line="230" w:lineRule="auto"/>
              <w:ind w:left="205" w:right="215"/>
              <w:jc w:val="both"/>
              <w:rPr>
                <w:sz w:val="13"/>
                <w:szCs w:val="13"/>
              </w:rPr>
            </w:pPr>
            <w:r>
              <w:rPr>
                <w:spacing w:val="-1"/>
                <w:sz w:val="13"/>
                <w:szCs w:val="13"/>
              </w:rPr>
              <w:t>&gt;2001年8月中央</w:t>
            </w:r>
            <w:r>
              <w:rPr>
                <w:sz w:val="13"/>
                <w:szCs w:val="13"/>
              </w:rPr>
              <w:t xml:space="preserve"> </w:t>
            </w:r>
            <w:r>
              <w:rPr>
                <w:spacing w:val="-1"/>
                <w:sz w:val="13"/>
                <w:szCs w:val="13"/>
              </w:rPr>
              <w:t>重组“国家信息</w:t>
            </w:r>
            <w:r>
              <w:rPr>
                <w:sz w:val="13"/>
                <w:szCs w:val="13"/>
              </w:rPr>
              <w:t xml:space="preserve"> </w:t>
            </w:r>
            <w:r>
              <w:rPr>
                <w:spacing w:val="21"/>
                <w:sz w:val="13"/>
                <w:szCs w:val="13"/>
              </w:rPr>
              <w:t>化领导小组”</w:t>
            </w:r>
          </w:p>
        </w:tc>
        <w:tc>
          <w:tcPr>
            <w:tcW w:w="1338" w:type="dxa"/>
            <w:vMerge w:val="continue"/>
            <w:tcBorders>
              <w:top w:val="nil"/>
              <w:bottom w:val="nil"/>
            </w:tcBorders>
            <w:vAlign w:val="top"/>
          </w:tcPr>
          <w:p w14:paraId="0AC83575">
            <w:pPr>
              <w:rPr>
                <w:rFonts w:ascii="Arial"/>
                <w:sz w:val="21"/>
              </w:rPr>
            </w:pPr>
          </w:p>
        </w:tc>
        <w:tc>
          <w:tcPr>
            <w:tcW w:w="1353" w:type="dxa"/>
            <w:vMerge w:val="continue"/>
            <w:tcBorders>
              <w:top w:val="nil"/>
              <w:bottom w:val="nil"/>
            </w:tcBorders>
            <w:vAlign w:val="top"/>
          </w:tcPr>
          <w:p w14:paraId="1EE35834">
            <w:pPr>
              <w:rPr>
                <w:rFonts w:ascii="Arial"/>
                <w:sz w:val="21"/>
              </w:rPr>
            </w:pPr>
          </w:p>
        </w:tc>
      </w:tr>
      <w:tr w14:paraId="6DFEB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 w:hRule="atLeast"/>
        </w:trPr>
        <w:tc>
          <w:tcPr>
            <w:tcW w:w="1622" w:type="dxa"/>
            <w:vMerge w:val="restart"/>
            <w:tcBorders>
              <w:bottom w:val="nil"/>
            </w:tcBorders>
            <w:vAlign w:val="top"/>
          </w:tcPr>
          <w:p w14:paraId="323C0C1C">
            <w:pPr>
              <w:pStyle w:val="6"/>
              <w:spacing w:before="149" w:line="216" w:lineRule="auto"/>
              <w:ind w:left="154" w:right="163" w:firstLine="60"/>
              <w:rPr>
                <w:sz w:val="13"/>
                <w:szCs w:val="13"/>
              </w:rPr>
            </w:pPr>
            <w:r>
              <w:rPr>
                <w:color w:val="0089D9"/>
                <w:spacing w:val="-1"/>
                <w:sz w:val="13"/>
                <w:szCs w:val="13"/>
              </w:rPr>
              <w:t>&gt;1</w:t>
            </w:r>
            <w:r>
              <w:rPr>
                <w:spacing w:val="-1"/>
                <w:sz w:val="13"/>
                <w:szCs w:val="13"/>
              </w:rPr>
              <w:t>982年10月成立"计</w:t>
            </w:r>
            <w:r>
              <w:rPr>
                <w:spacing w:val="3"/>
                <w:sz w:val="13"/>
                <w:szCs w:val="13"/>
              </w:rPr>
              <w:t xml:space="preserve">  </w:t>
            </w:r>
            <w:r>
              <w:rPr>
                <w:spacing w:val="-1"/>
                <w:sz w:val="13"/>
                <w:szCs w:val="13"/>
              </w:rPr>
              <w:t>算机与大规模集成电路</w:t>
            </w:r>
            <w:r>
              <w:rPr>
                <w:spacing w:val="2"/>
                <w:sz w:val="13"/>
                <w:szCs w:val="13"/>
              </w:rPr>
              <w:t xml:space="preserve"> </w:t>
            </w:r>
            <w:r>
              <w:rPr>
                <w:spacing w:val="27"/>
                <w:sz w:val="13"/>
                <w:szCs w:val="13"/>
              </w:rPr>
              <w:t>领导小组”</w:t>
            </w:r>
          </w:p>
        </w:tc>
        <w:tc>
          <w:tcPr>
            <w:tcW w:w="1338" w:type="dxa"/>
            <w:vMerge w:val="continue"/>
            <w:tcBorders>
              <w:top w:val="nil"/>
              <w:bottom w:val="nil"/>
            </w:tcBorders>
            <w:vAlign w:val="top"/>
          </w:tcPr>
          <w:p w14:paraId="105A6E11">
            <w:pPr>
              <w:rPr>
                <w:rFonts w:ascii="Arial"/>
                <w:sz w:val="21"/>
              </w:rPr>
            </w:pPr>
          </w:p>
        </w:tc>
        <w:tc>
          <w:tcPr>
            <w:tcW w:w="1338" w:type="dxa"/>
            <w:vMerge w:val="continue"/>
            <w:tcBorders>
              <w:top w:val="nil"/>
              <w:bottom w:val="nil"/>
            </w:tcBorders>
            <w:vAlign w:val="top"/>
          </w:tcPr>
          <w:p w14:paraId="2FCB5D5C">
            <w:pPr>
              <w:rPr>
                <w:rFonts w:ascii="Arial"/>
                <w:sz w:val="21"/>
              </w:rPr>
            </w:pPr>
          </w:p>
        </w:tc>
        <w:tc>
          <w:tcPr>
            <w:tcW w:w="1338" w:type="dxa"/>
            <w:vMerge w:val="continue"/>
            <w:tcBorders>
              <w:top w:val="nil"/>
            </w:tcBorders>
            <w:vAlign w:val="top"/>
          </w:tcPr>
          <w:p w14:paraId="66BC3DCD">
            <w:pPr>
              <w:rPr>
                <w:rFonts w:ascii="Arial"/>
                <w:sz w:val="21"/>
              </w:rPr>
            </w:pPr>
          </w:p>
        </w:tc>
        <w:tc>
          <w:tcPr>
            <w:tcW w:w="1353" w:type="dxa"/>
            <w:vMerge w:val="continue"/>
            <w:tcBorders>
              <w:top w:val="nil"/>
            </w:tcBorders>
            <w:vAlign w:val="top"/>
          </w:tcPr>
          <w:p w14:paraId="41404157">
            <w:pPr>
              <w:rPr>
                <w:rFonts w:ascii="Arial"/>
                <w:sz w:val="21"/>
              </w:rPr>
            </w:pPr>
          </w:p>
        </w:tc>
      </w:tr>
      <w:tr w14:paraId="6AB39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622" w:type="dxa"/>
            <w:vMerge w:val="continue"/>
            <w:tcBorders>
              <w:top w:val="nil"/>
              <w:bottom w:val="nil"/>
            </w:tcBorders>
            <w:vAlign w:val="top"/>
          </w:tcPr>
          <w:p w14:paraId="5FA5E950">
            <w:pPr>
              <w:rPr>
                <w:rFonts w:ascii="Arial"/>
                <w:sz w:val="21"/>
              </w:rPr>
            </w:pPr>
          </w:p>
        </w:tc>
        <w:tc>
          <w:tcPr>
            <w:tcW w:w="1338" w:type="dxa"/>
            <w:vMerge w:val="continue"/>
            <w:tcBorders>
              <w:top w:val="nil"/>
              <w:bottom w:val="nil"/>
            </w:tcBorders>
            <w:vAlign w:val="top"/>
          </w:tcPr>
          <w:p w14:paraId="326F3C2B">
            <w:pPr>
              <w:rPr>
                <w:rFonts w:ascii="Arial"/>
                <w:sz w:val="21"/>
              </w:rPr>
            </w:pPr>
          </w:p>
        </w:tc>
        <w:tc>
          <w:tcPr>
            <w:tcW w:w="1338" w:type="dxa"/>
            <w:vMerge w:val="continue"/>
            <w:tcBorders>
              <w:top w:val="nil"/>
            </w:tcBorders>
            <w:vAlign w:val="top"/>
          </w:tcPr>
          <w:p w14:paraId="3CB0123E">
            <w:pPr>
              <w:rPr>
                <w:rFonts w:ascii="Arial"/>
                <w:sz w:val="21"/>
              </w:rPr>
            </w:pPr>
          </w:p>
        </w:tc>
        <w:tc>
          <w:tcPr>
            <w:tcW w:w="1338" w:type="dxa"/>
            <w:vMerge w:val="restart"/>
            <w:tcBorders>
              <w:bottom w:val="nil"/>
            </w:tcBorders>
            <w:vAlign w:val="top"/>
          </w:tcPr>
          <w:p w14:paraId="7D465975">
            <w:pPr>
              <w:pStyle w:val="6"/>
              <w:spacing w:before="171" w:line="214" w:lineRule="auto"/>
              <w:ind w:left="127"/>
              <w:rPr>
                <w:sz w:val="13"/>
                <w:szCs w:val="13"/>
              </w:rPr>
            </w:pPr>
            <w:r>
              <w:rPr>
                <w:spacing w:val="-1"/>
                <w:sz w:val="13"/>
                <w:szCs w:val="13"/>
              </w:rPr>
              <w:t>&gt;2003年国务院换</w:t>
            </w:r>
          </w:p>
          <w:p w14:paraId="7D21FA3F">
            <w:pPr>
              <w:pStyle w:val="6"/>
              <w:spacing w:line="212" w:lineRule="auto"/>
              <w:ind w:left="267"/>
              <w:rPr>
                <w:sz w:val="13"/>
                <w:szCs w:val="13"/>
              </w:rPr>
            </w:pPr>
            <w:r>
              <w:rPr>
                <w:sz w:val="13"/>
                <w:szCs w:val="13"/>
              </w:rPr>
              <w:t>届后，成立"新一</w:t>
            </w:r>
          </w:p>
          <w:p w14:paraId="170EE26B">
            <w:pPr>
              <w:pStyle w:val="6"/>
              <w:spacing w:line="232" w:lineRule="auto"/>
              <w:ind w:left="216" w:right="88" w:hanging="9"/>
              <w:rPr>
                <w:sz w:val="13"/>
                <w:szCs w:val="13"/>
              </w:rPr>
            </w:pPr>
            <w:r>
              <w:rPr>
                <w:spacing w:val="-1"/>
                <w:sz w:val="13"/>
                <w:szCs w:val="13"/>
              </w:rPr>
              <w:t>届国家信息化领导</w:t>
            </w:r>
            <w:r>
              <w:rPr>
                <w:sz w:val="13"/>
                <w:szCs w:val="13"/>
              </w:rPr>
              <w:t xml:space="preserve"> </w:t>
            </w:r>
            <w:r>
              <w:rPr>
                <w:spacing w:val="24"/>
                <w:sz w:val="13"/>
                <w:szCs w:val="13"/>
              </w:rPr>
              <w:t>小组</w:t>
            </w:r>
            <w:r>
              <w:rPr>
                <w:spacing w:val="-11"/>
                <w:sz w:val="13"/>
                <w:szCs w:val="13"/>
              </w:rPr>
              <w:t xml:space="preserve"> </w:t>
            </w:r>
            <w:r>
              <w:rPr>
                <w:spacing w:val="24"/>
                <w:sz w:val="13"/>
                <w:szCs w:val="13"/>
              </w:rPr>
              <w:t>”</w:t>
            </w:r>
          </w:p>
        </w:tc>
        <w:tc>
          <w:tcPr>
            <w:tcW w:w="1353" w:type="dxa"/>
            <w:vMerge w:val="restart"/>
            <w:tcBorders>
              <w:bottom w:val="nil"/>
            </w:tcBorders>
            <w:vAlign w:val="top"/>
          </w:tcPr>
          <w:p w14:paraId="0E596CF7">
            <w:pPr>
              <w:pStyle w:val="6"/>
              <w:spacing w:before="91" w:line="219" w:lineRule="auto"/>
              <w:ind w:left="139"/>
              <w:rPr>
                <w:sz w:val="13"/>
                <w:szCs w:val="13"/>
              </w:rPr>
            </w:pPr>
            <w:r>
              <w:rPr>
                <w:spacing w:val="17"/>
                <w:sz w:val="13"/>
                <w:szCs w:val="13"/>
              </w:rPr>
              <w:t>&gt;2014年2月成立</w:t>
            </w:r>
          </w:p>
          <w:p w14:paraId="66A39164">
            <w:pPr>
              <w:pStyle w:val="6"/>
              <w:spacing w:before="6" w:line="227" w:lineRule="auto"/>
              <w:ind w:left="239" w:right="23" w:hanging="65"/>
              <w:rPr>
                <w:sz w:val="13"/>
                <w:szCs w:val="13"/>
              </w:rPr>
            </w:pPr>
            <w:r>
              <w:rPr>
                <w:spacing w:val="9"/>
                <w:sz w:val="13"/>
                <w:szCs w:val="13"/>
              </w:rPr>
              <w:t>“中央网络安全和</w:t>
            </w:r>
            <w:r>
              <w:rPr>
                <w:spacing w:val="2"/>
                <w:sz w:val="13"/>
                <w:szCs w:val="13"/>
              </w:rPr>
              <w:t xml:space="preserve"> </w:t>
            </w:r>
            <w:r>
              <w:rPr>
                <w:spacing w:val="4"/>
                <w:sz w:val="13"/>
                <w:szCs w:val="13"/>
              </w:rPr>
              <w:t>信息化领导小组",</w:t>
            </w:r>
          </w:p>
          <w:p w14:paraId="7AC1D7D4">
            <w:pPr>
              <w:pStyle w:val="6"/>
              <w:spacing w:before="19" w:line="219" w:lineRule="auto"/>
              <w:ind w:left="219"/>
              <w:rPr>
                <w:sz w:val="13"/>
                <w:szCs w:val="13"/>
              </w:rPr>
            </w:pPr>
            <w:r>
              <w:rPr>
                <w:sz w:val="13"/>
                <w:szCs w:val="13"/>
              </w:rPr>
              <w:t>由习近平任组长</w:t>
            </w:r>
          </w:p>
        </w:tc>
      </w:tr>
      <w:tr w14:paraId="20E6C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 w:hRule="atLeast"/>
        </w:trPr>
        <w:tc>
          <w:tcPr>
            <w:tcW w:w="1622" w:type="dxa"/>
            <w:vMerge w:val="continue"/>
            <w:tcBorders>
              <w:top w:val="nil"/>
              <w:bottom w:val="nil"/>
            </w:tcBorders>
            <w:vAlign w:val="top"/>
          </w:tcPr>
          <w:p w14:paraId="2B9CBD59">
            <w:pPr>
              <w:rPr>
                <w:rFonts w:ascii="Arial"/>
                <w:sz w:val="21"/>
              </w:rPr>
            </w:pPr>
          </w:p>
        </w:tc>
        <w:tc>
          <w:tcPr>
            <w:tcW w:w="1338" w:type="dxa"/>
            <w:vMerge w:val="continue"/>
            <w:tcBorders>
              <w:top w:val="nil"/>
            </w:tcBorders>
            <w:vAlign w:val="top"/>
          </w:tcPr>
          <w:p w14:paraId="102A2A31">
            <w:pPr>
              <w:rPr>
                <w:rFonts w:ascii="Arial"/>
                <w:sz w:val="21"/>
              </w:rPr>
            </w:pPr>
          </w:p>
        </w:tc>
        <w:tc>
          <w:tcPr>
            <w:tcW w:w="1338" w:type="dxa"/>
            <w:vMerge w:val="restart"/>
            <w:tcBorders>
              <w:bottom w:val="nil"/>
            </w:tcBorders>
            <w:vAlign w:val="top"/>
          </w:tcPr>
          <w:p w14:paraId="15B99584">
            <w:pPr>
              <w:pStyle w:val="6"/>
              <w:spacing w:before="141" w:line="230" w:lineRule="auto"/>
              <w:ind w:left="175" w:right="184"/>
              <w:jc w:val="both"/>
              <w:rPr>
                <w:sz w:val="13"/>
                <w:szCs w:val="13"/>
              </w:rPr>
            </w:pPr>
            <w:r>
              <w:rPr>
                <w:spacing w:val="-1"/>
                <w:sz w:val="13"/>
                <w:szCs w:val="13"/>
              </w:rPr>
              <w:t>&gt;1999年12月国家</w:t>
            </w:r>
            <w:r>
              <w:rPr>
                <w:spacing w:val="1"/>
                <w:sz w:val="13"/>
                <w:szCs w:val="13"/>
              </w:rPr>
              <w:t xml:space="preserve"> </w:t>
            </w:r>
            <w:r>
              <w:rPr>
                <w:spacing w:val="-1"/>
                <w:sz w:val="13"/>
                <w:szCs w:val="13"/>
              </w:rPr>
              <w:t>成立"信息化工作</w:t>
            </w:r>
            <w:r>
              <w:rPr>
                <w:sz w:val="13"/>
                <w:szCs w:val="13"/>
              </w:rPr>
              <w:t xml:space="preserve"> </w:t>
            </w:r>
            <w:r>
              <w:rPr>
                <w:spacing w:val="31"/>
                <w:sz w:val="13"/>
                <w:szCs w:val="13"/>
              </w:rPr>
              <w:t>领导小组”</w:t>
            </w:r>
          </w:p>
        </w:tc>
        <w:tc>
          <w:tcPr>
            <w:tcW w:w="1338" w:type="dxa"/>
            <w:vMerge w:val="continue"/>
            <w:tcBorders>
              <w:top w:val="nil"/>
              <w:bottom w:val="nil"/>
            </w:tcBorders>
            <w:vAlign w:val="top"/>
          </w:tcPr>
          <w:p w14:paraId="792AB047">
            <w:pPr>
              <w:rPr>
                <w:rFonts w:ascii="Arial"/>
                <w:sz w:val="21"/>
              </w:rPr>
            </w:pPr>
          </w:p>
        </w:tc>
        <w:tc>
          <w:tcPr>
            <w:tcW w:w="1353" w:type="dxa"/>
            <w:vMerge w:val="continue"/>
            <w:tcBorders>
              <w:top w:val="nil"/>
              <w:bottom w:val="nil"/>
            </w:tcBorders>
            <w:vAlign w:val="top"/>
          </w:tcPr>
          <w:p w14:paraId="6898EBF6">
            <w:pPr>
              <w:rPr>
                <w:rFonts w:ascii="Arial"/>
                <w:sz w:val="21"/>
              </w:rPr>
            </w:pPr>
          </w:p>
        </w:tc>
      </w:tr>
      <w:tr w14:paraId="700A7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22" w:type="dxa"/>
            <w:vMerge w:val="continue"/>
            <w:tcBorders>
              <w:top w:val="nil"/>
            </w:tcBorders>
            <w:vAlign w:val="top"/>
          </w:tcPr>
          <w:p w14:paraId="5CFFA5D8">
            <w:pPr>
              <w:rPr>
                <w:rFonts w:ascii="Arial"/>
                <w:sz w:val="21"/>
              </w:rPr>
            </w:pPr>
          </w:p>
        </w:tc>
        <w:tc>
          <w:tcPr>
            <w:tcW w:w="1338" w:type="dxa"/>
            <w:vMerge w:val="restart"/>
            <w:tcBorders>
              <w:bottom w:val="nil"/>
            </w:tcBorders>
            <w:vAlign w:val="top"/>
          </w:tcPr>
          <w:p w14:paraId="67D6AED0">
            <w:pPr>
              <w:pStyle w:val="6"/>
              <w:spacing w:before="103" w:line="224" w:lineRule="auto"/>
              <w:ind w:left="153" w:right="129"/>
              <w:rPr>
                <w:sz w:val="13"/>
                <w:szCs w:val="13"/>
              </w:rPr>
            </w:pPr>
            <w:r>
              <w:rPr>
                <w:spacing w:val="-1"/>
                <w:sz w:val="13"/>
                <w:szCs w:val="13"/>
              </w:rPr>
              <w:t>&gt;1993年12月召开</w:t>
            </w:r>
            <w:r>
              <w:rPr>
                <w:sz w:val="13"/>
                <w:szCs w:val="13"/>
              </w:rPr>
              <w:t xml:space="preserve">  国家经济信息化联</w:t>
            </w:r>
            <w:r>
              <w:rPr>
                <w:spacing w:val="4"/>
                <w:sz w:val="13"/>
                <w:szCs w:val="13"/>
              </w:rPr>
              <w:t xml:space="preserve"> </w:t>
            </w:r>
            <w:r>
              <w:rPr>
                <w:spacing w:val="-2"/>
                <w:sz w:val="13"/>
                <w:szCs w:val="13"/>
              </w:rPr>
              <w:t>席会议</w:t>
            </w:r>
          </w:p>
        </w:tc>
        <w:tc>
          <w:tcPr>
            <w:tcW w:w="1338" w:type="dxa"/>
            <w:vMerge w:val="continue"/>
            <w:tcBorders>
              <w:top w:val="nil"/>
              <w:bottom w:val="nil"/>
            </w:tcBorders>
            <w:vAlign w:val="top"/>
          </w:tcPr>
          <w:p w14:paraId="02A9C8B9">
            <w:pPr>
              <w:rPr>
                <w:rFonts w:ascii="Arial"/>
                <w:sz w:val="21"/>
              </w:rPr>
            </w:pPr>
          </w:p>
        </w:tc>
        <w:tc>
          <w:tcPr>
            <w:tcW w:w="1338" w:type="dxa"/>
            <w:vMerge w:val="continue"/>
            <w:tcBorders>
              <w:top w:val="nil"/>
              <w:bottom w:val="nil"/>
            </w:tcBorders>
            <w:vAlign w:val="top"/>
          </w:tcPr>
          <w:p w14:paraId="726C9365">
            <w:pPr>
              <w:rPr>
                <w:rFonts w:ascii="Arial"/>
                <w:sz w:val="21"/>
              </w:rPr>
            </w:pPr>
          </w:p>
        </w:tc>
        <w:tc>
          <w:tcPr>
            <w:tcW w:w="1353" w:type="dxa"/>
            <w:vMerge w:val="continue"/>
            <w:tcBorders>
              <w:top w:val="nil"/>
              <w:bottom w:val="nil"/>
            </w:tcBorders>
            <w:vAlign w:val="top"/>
          </w:tcPr>
          <w:p w14:paraId="367FCF8A">
            <w:pPr>
              <w:rPr>
                <w:rFonts w:ascii="Arial"/>
                <w:sz w:val="21"/>
              </w:rPr>
            </w:pPr>
          </w:p>
        </w:tc>
      </w:tr>
      <w:tr w14:paraId="7B10D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22" w:type="dxa"/>
            <w:vAlign w:val="top"/>
          </w:tcPr>
          <w:p w14:paraId="27B14273">
            <w:pPr>
              <w:pStyle w:val="6"/>
              <w:spacing w:before="153" w:line="230" w:lineRule="auto"/>
              <w:ind w:left="153" w:right="117" w:hanging="39"/>
              <w:rPr>
                <w:sz w:val="13"/>
                <w:szCs w:val="13"/>
              </w:rPr>
            </w:pPr>
            <w:r>
              <w:rPr>
                <w:spacing w:val="1"/>
                <w:sz w:val="13"/>
                <w:szCs w:val="13"/>
              </w:rPr>
              <w:t>&gt;20世纪80年代初期，信</w:t>
            </w:r>
            <w:r>
              <w:rPr>
                <w:sz w:val="13"/>
                <w:szCs w:val="13"/>
              </w:rPr>
              <w:t xml:space="preserve"> </w:t>
            </w:r>
            <w:r>
              <w:rPr>
                <w:spacing w:val="-1"/>
                <w:sz w:val="13"/>
                <w:szCs w:val="13"/>
              </w:rPr>
              <w:t>息化管理体制开始建立</w:t>
            </w:r>
          </w:p>
        </w:tc>
        <w:tc>
          <w:tcPr>
            <w:tcW w:w="1338" w:type="dxa"/>
            <w:vMerge w:val="continue"/>
            <w:tcBorders>
              <w:top w:val="nil"/>
            </w:tcBorders>
            <w:vAlign w:val="top"/>
          </w:tcPr>
          <w:p w14:paraId="72986208">
            <w:pPr>
              <w:rPr>
                <w:rFonts w:ascii="Arial"/>
                <w:sz w:val="21"/>
              </w:rPr>
            </w:pPr>
          </w:p>
        </w:tc>
        <w:tc>
          <w:tcPr>
            <w:tcW w:w="1338" w:type="dxa"/>
            <w:vMerge w:val="continue"/>
            <w:tcBorders>
              <w:top w:val="nil"/>
            </w:tcBorders>
            <w:vAlign w:val="top"/>
          </w:tcPr>
          <w:p w14:paraId="2D9ACCA4">
            <w:pPr>
              <w:rPr>
                <w:rFonts w:ascii="Arial"/>
                <w:sz w:val="21"/>
              </w:rPr>
            </w:pPr>
          </w:p>
        </w:tc>
        <w:tc>
          <w:tcPr>
            <w:tcW w:w="1338" w:type="dxa"/>
            <w:vMerge w:val="continue"/>
            <w:tcBorders>
              <w:top w:val="nil"/>
            </w:tcBorders>
            <w:vAlign w:val="top"/>
          </w:tcPr>
          <w:p w14:paraId="08439FB2">
            <w:pPr>
              <w:rPr>
                <w:rFonts w:ascii="Arial"/>
                <w:sz w:val="21"/>
              </w:rPr>
            </w:pPr>
          </w:p>
        </w:tc>
        <w:tc>
          <w:tcPr>
            <w:tcW w:w="1353" w:type="dxa"/>
            <w:vMerge w:val="continue"/>
            <w:tcBorders>
              <w:top w:val="nil"/>
            </w:tcBorders>
            <w:vAlign w:val="top"/>
          </w:tcPr>
          <w:p w14:paraId="32979B16">
            <w:pPr>
              <w:rPr>
                <w:rFonts w:ascii="Arial"/>
                <w:sz w:val="21"/>
              </w:rPr>
            </w:pPr>
          </w:p>
        </w:tc>
      </w:tr>
    </w:tbl>
    <w:p w14:paraId="2896D167">
      <w:pPr>
        <w:pStyle w:val="2"/>
        <w:spacing w:before="71" w:line="221" w:lineRule="auto"/>
        <w:ind w:left="1370"/>
        <w:rPr>
          <w:sz w:val="18"/>
          <w:szCs w:val="18"/>
        </w:rPr>
      </w:pPr>
      <w:r>
        <w:rPr>
          <w:spacing w:val="-4"/>
          <w:sz w:val="18"/>
          <w:szCs w:val="18"/>
        </w:rPr>
        <w:t xml:space="preserve">研究探索阶段     形成实践阶段   加速推进阶段  </w:t>
      </w:r>
      <w:r>
        <w:rPr>
          <w:spacing w:val="-5"/>
          <w:sz w:val="18"/>
          <w:szCs w:val="18"/>
        </w:rPr>
        <w:t xml:space="preserve">  全面发展阶段   创新跨越阶段</w:t>
      </w:r>
    </w:p>
    <w:p w14:paraId="0FEA1CBA">
      <w:pPr>
        <w:pStyle w:val="2"/>
        <w:spacing w:before="126" w:line="219" w:lineRule="auto"/>
        <w:ind w:left="3140"/>
        <w:rPr>
          <w:sz w:val="18"/>
          <w:szCs w:val="18"/>
        </w:rPr>
      </w:pPr>
      <w:r>
        <w:rPr>
          <w:sz w:val="18"/>
          <w:szCs w:val="18"/>
        </w:rPr>
        <w:t>图1-2</w:t>
      </w:r>
      <w:r>
        <w:rPr>
          <w:spacing w:val="62"/>
          <w:sz w:val="18"/>
          <w:szCs w:val="18"/>
        </w:rPr>
        <w:t xml:space="preserve"> </w:t>
      </w:r>
      <w:r>
        <w:rPr>
          <w:sz w:val="18"/>
          <w:szCs w:val="18"/>
        </w:rPr>
        <w:t>信息化管理体制演进过程</w:t>
      </w:r>
    </w:p>
    <w:p w14:paraId="3BD7C143">
      <w:pPr>
        <w:pStyle w:val="2"/>
        <w:spacing w:before="285" w:line="222" w:lineRule="auto"/>
        <w:ind w:left="660"/>
        <w:rPr>
          <w:rFonts w:ascii="黑体" w:hAnsi="黑体" w:eastAsia="黑体" w:cs="黑体"/>
          <w:sz w:val="18"/>
          <w:szCs w:val="18"/>
        </w:rPr>
      </w:pPr>
      <w:r>
        <w:rPr>
          <w:color w:val="008ADA"/>
          <w:spacing w:val="18"/>
          <w:sz w:val="18"/>
          <w:szCs w:val="18"/>
        </w:rPr>
        <w:t>2.</w:t>
      </w:r>
      <w:r>
        <w:rPr>
          <w:rFonts w:ascii="黑体" w:hAnsi="黑体" w:eastAsia="黑体" w:cs="黑体"/>
          <w:color w:val="008ADA"/>
          <w:spacing w:val="18"/>
          <w:sz w:val="18"/>
          <w:szCs w:val="18"/>
        </w:rPr>
        <w:t>信息化重大事件记录</w:t>
      </w:r>
    </w:p>
    <w:p w14:paraId="20AA967D">
      <w:pPr>
        <w:pStyle w:val="2"/>
        <w:spacing w:before="154" w:line="322" w:lineRule="auto"/>
        <w:ind w:left="260" w:right="14" w:firstLine="399"/>
        <w:rPr>
          <w:sz w:val="18"/>
          <w:szCs w:val="18"/>
        </w:rPr>
      </w:pPr>
      <w:r>
        <w:rPr>
          <w:spacing w:val="23"/>
          <w:sz w:val="18"/>
          <w:szCs w:val="18"/>
        </w:rPr>
        <w:t>按照信息化发展阶段划分，对四十年来在我国信息化发展</w:t>
      </w:r>
      <w:r>
        <w:rPr>
          <w:spacing w:val="22"/>
          <w:sz w:val="18"/>
          <w:szCs w:val="18"/>
        </w:rPr>
        <w:t>过程中起到决定性作用的一系列</w:t>
      </w:r>
      <w:r>
        <w:rPr>
          <w:sz w:val="18"/>
          <w:szCs w:val="18"/>
        </w:rPr>
        <w:t xml:space="preserve"> </w:t>
      </w:r>
      <w:r>
        <w:rPr>
          <w:spacing w:val="14"/>
          <w:sz w:val="18"/>
          <w:szCs w:val="18"/>
        </w:rPr>
        <w:t>大事件回顾如下。</w:t>
      </w:r>
    </w:p>
    <w:p w14:paraId="43A93583">
      <w:pPr>
        <w:pStyle w:val="2"/>
        <w:spacing w:before="1" w:line="317" w:lineRule="auto"/>
        <w:ind w:left="260" w:right="8" w:firstLine="399"/>
        <w:rPr>
          <w:sz w:val="18"/>
          <w:szCs w:val="18"/>
        </w:rPr>
      </w:pPr>
      <w:r>
        <w:rPr>
          <w:spacing w:val="23"/>
          <w:sz w:val="18"/>
          <w:szCs w:val="18"/>
        </w:rPr>
        <w:t>1984年11月，电子振兴领导小组发布“电子和信息产业发展战略”,指出我国电子和信息</w:t>
      </w:r>
      <w:r>
        <w:rPr>
          <w:spacing w:val="6"/>
          <w:sz w:val="18"/>
          <w:szCs w:val="18"/>
        </w:rPr>
        <w:t xml:space="preserve"> </w:t>
      </w:r>
      <w:r>
        <w:rPr>
          <w:spacing w:val="22"/>
          <w:sz w:val="18"/>
          <w:szCs w:val="18"/>
        </w:rPr>
        <w:t>产业要实现两个转移：第一</w:t>
      </w:r>
      <w:r>
        <w:rPr>
          <w:spacing w:val="-45"/>
          <w:sz w:val="18"/>
          <w:szCs w:val="18"/>
        </w:rPr>
        <w:t xml:space="preserve"> </w:t>
      </w:r>
      <w:r>
        <w:rPr>
          <w:spacing w:val="22"/>
          <w:sz w:val="18"/>
          <w:szCs w:val="18"/>
        </w:rPr>
        <w:t>，把电子和信息产业的</w:t>
      </w:r>
      <w:r>
        <w:rPr>
          <w:spacing w:val="21"/>
          <w:sz w:val="18"/>
          <w:szCs w:val="18"/>
        </w:rPr>
        <w:t>服务重点转移到为发展国民经济、为四个现</w:t>
      </w:r>
    </w:p>
    <w:p w14:paraId="19391A30">
      <w:pPr>
        <w:spacing w:line="317" w:lineRule="auto"/>
        <w:rPr>
          <w:sz w:val="18"/>
          <w:szCs w:val="18"/>
        </w:rPr>
        <w:sectPr>
          <w:pgSz w:w="10360" w:h="13300"/>
          <w:pgMar w:top="400" w:right="1231" w:bottom="400" w:left="550" w:header="0" w:footer="0" w:gutter="0"/>
          <w:cols w:space="720" w:num="1"/>
        </w:sectPr>
      </w:pPr>
    </w:p>
    <w:p w14:paraId="1EA83319">
      <w:pPr>
        <w:pStyle w:val="2"/>
        <w:spacing w:before="87" w:line="219" w:lineRule="auto"/>
        <w:jc w:val="right"/>
        <w:rPr>
          <w:rFonts w:ascii="Times New Roman" w:hAnsi="Times New Roman" w:eastAsia="Times New Roman" w:cs="Times New Roman"/>
          <w:sz w:val="20"/>
          <w:szCs w:val="20"/>
        </w:rPr>
      </w:pPr>
      <w:r>
        <w:rPr>
          <w:spacing w:val="-2"/>
          <w:sz w:val="20"/>
          <w:szCs w:val="20"/>
        </w:rPr>
        <w:t>第1章 信息与信息化</w:t>
      </w:r>
      <w:r>
        <w:rPr>
          <w:spacing w:val="4"/>
          <w:sz w:val="20"/>
          <w:szCs w:val="20"/>
        </w:rPr>
        <w:t xml:space="preserve">       </w:t>
      </w:r>
      <w:r>
        <w:rPr>
          <w:rFonts w:ascii="Times New Roman" w:hAnsi="Times New Roman" w:eastAsia="Times New Roman" w:cs="Times New Roman"/>
          <w:spacing w:val="-2"/>
          <w:position w:val="1"/>
          <w:sz w:val="20"/>
          <w:szCs w:val="20"/>
        </w:rPr>
        <w:t>7</w:t>
      </w:r>
    </w:p>
    <w:p w14:paraId="6E2BE98F">
      <w:pPr>
        <w:spacing w:line="284" w:lineRule="auto"/>
        <w:rPr>
          <w:rFonts w:ascii="Arial"/>
          <w:sz w:val="21"/>
        </w:rPr>
      </w:pPr>
    </w:p>
    <w:p w14:paraId="25290A05">
      <w:pPr>
        <w:pStyle w:val="2"/>
        <w:spacing w:before="65" w:line="283" w:lineRule="auto"/>
        <w:ind w:right="142"/>
        <w:jc w:val="both"/>
        <w:rPr>
          <w:sz w:val="20"/>
          <w:szCs w:val="20"/>
        </w:rPr>
      </w:pPr>
      <w:r>
        <w:rPr>
          <w:spacing w:val="3"/>
          <w:sz w:val="20"/>
          <w:szCs w:val="20"/>
        </w:rPr>
        <w:t>代化建设、为整个社会生活服务的轨道上来；第二，电子工业的发展要转移到以微电</w:t>
      </w:r>
      <w:r>
        <w:rPr>
          <w:spacing w:val="2"/>
          <w:sz w:val="20"/>
          <w:szCs w:val="20"/>
        </w:rPr>
        <w:t>子技术为</w:t>
      </w:r>
      <w:r>
        <w:rPr>
          <w:sz w:val="20"/>
          <w:szCs w:val="20"/>
        </w:rPr>
        <w:t xml:space="preserve">  </w:t>
      </w:r>
      <w:r>
        <w:rPr>
          <w:spacing w:val="3"/>
          <w:sz w:val="20"/>
          <w:szCs w:val="20"/>
        </w:rPr>
        <w:t>基础、以计算机和通信装备为主体的轨道上来，并确定集成电路、计算机、通信和软</w:t>
      </w:r>
      <w:r>
        <w:rPr>
          <w:spacing w:val="2"/>
          <w:sz w:val="20"/>
          <w:szCs w:val="20"/>
        </w:rPr>
        <w:t>件为发展</w:t>
      </w:r>
      <w:r>
        <w:rPr>
          <w:sz w:val="20"/>
          <w:szCs w:val="20"/>
        </w:rPr>
        <w:t xml:space="preserve">  </w:t>
      </w:r>
      <w:r>
        <w:rPr>
          <w:spacing w:val="3"/>
          <w:sz w:val="20"/>
          <w:szCs w:val="20"/>
        </w:rPr>
        <w:t>的重要领域。在“七五”期间，重点发展十二项应用系统工程：邮电通信系统、国家经济信息</w:t>
      </w:r>
      <w:r>
        <w:rPr>
          <w:sz w:val="20"/>
          <w:szCs w:val="20"/>
        </w:rPr>
        <w:t xml:space="preserve">  </w:t>
      </w:r>
      <w:r>
        <w:rPr>
          <w:spacing w:val="3"/>
          <w:sz w:val="20"/>
          <w:szCs w:val="20"/>
        </w:rPr>
        <w:t>系统、银行业务管理系统、电网监控系统、京沪铁路运营系统、天气预报系统、科技情报信息</w:t>
      </w:r>
      <w:r>
        <w:rPr>
          <w:sz w:val="20"/>
          <w:szCs w:val="20"/>
        </w:rPr>
        <w:t xml:space="preserve">  </w:t>
      </w:r>
      <w:r>
        <w:rPr>
          <w:spacing w:val="5"/>
          <w:sz w:val="20"/>
          <w:szCs w:val="20"/>
        </w:rPr>
        <w:t>系统、民航旅客服务计算机系统、航天实时测控与数据处理系统、公安信息系统、财税系统、</w:t>
      </w:r>
      <w:r>
        <w:rPr>
          <w:spacing w:val="4"/>
          <w:sz w:val="20"/>
          <w:szCs w:val="20"/>
        </w:rPr>
        <w:t xml:space="preserve"> </w:t>
      </w:r>
      <w:r>
        <w:rPr>
          <w:sz w:val="20"/>
          <w:szCs w:val="20"/>
        </w:rPr>
        <w:t>军事指挥系统，并建立电子信息技术推广应用贴息贷款，支持应用电子信息技术改造传统产业。</w:t>
      </w:r>
      <w:r>
        <w:rPr>
          <w:spacing w:val="9"/>
          <w:sz w:val="20"/>
          <w:szCs w:val="20"/>
        </w:rPr>
        <w:t xml:space="preserve"> </w:t>
      </w:r>
      <w:r>
        <w:rPr>
          <w:spacing w:val="3"/>
          <w:sz w:val="20"/>
          <w:szCs w:val="20"/>
        </w:rPr>
        <w:t>这些信息系统的建设和发展，为之后的信息化建设奠定了广泛的技术和社会基础，</w:t>
      </w:r>
      <w:r>
        <w:rPr>
          <w:spacing w:val="2"/>
          <w:sz w:val="20"/>
          <w:szCs w:val="20"/>
        </w:rPr>
        <w:t>培养了一大</w:t>
      </w:r>
      <w:r>
        <w:rPr>
          <w:sz w:val="20"/>
          <w:szCs w:val="20"/>
        </w:rPr>
        <w:t xml:space="preserve">  </w:t>
      </w:r>
      <w:r>
        <w:rPr>
          <w:spacing w:val="-1"/>
          <w:sz w:val="20"/>
          <w:szCs w:val="20"/>
        </w:rPr>
        <w:t>批信息技术应用人才，并在一些领域取得了</w:t>
      </w:r>
      <w:r>
        <w:rPr>
          <w:spacing w:val="-2"/>
          <w:sz w:val="20"/>
          <w:szCs w:val="20"/>
        </w:rPr>
        <w:t>明显的经济效益。</w:t>
      </w:r>
    </w:p>
    <w:p w14:paraId="0BB34A6D">
      <w:pPr>
        <w:pStyle w:val="2"/>
        <w:spacing w:before="80" w:line="274" w:lineRule="auto"/>
        <w:ind w:right="254" w:firstLine="400"/>
        <w:rPr>
          <w:sz w:val="20"/>
          <w:szCs w:val="20"/>
        </w:rPr>
      </w:pPr>
      <w:r>
        <w:rPr>
          <w:spacing w:val="-2"/>
          <w:sz w:val="20"/>
          <w:szCs w:val="20"/>
        </w:rPr>
        <w:t>1993年，以“金桥”“金关”“金卡”等重大信</w:t>
      </w:r>
      <w:r>
        <w:rPr>
          <w:spacing w:val="-3"/>
          <w:sz w:val="20"/>
          <w:szCs w:val="20"/>
        </w:rPr>
        <w:t>息化应用工程为标志，信息化建设进入一个</w:t>
      </w:r>
      <w:r>
        <w:rPr>
          <w:sz w:val="20"/>
          <w:szCs w:val="20"/>
        </w:rPr>
        <w:t xml:space="preserve"> 新阶段。</w:t>
      </w:r>
    </w:p>
    <w:p w14:paraId="31B6F7A6">
      <w:pPr>
        <w:pStyle w:val="2"/>
        <w:spacing w:before="36" w:line="286" w:lineRule="auto"/>
        <w:ind w:right="214" w:firstLine="400"/>
        <w:jc w:val="both"/>
        <w:rPr>
          <w:sz w:val="20"/>
          <w:szCs w:val="20"/>
        </w:rPr>
      </w:pPr>
      <w:r>
        <w:rPr>
          <w:spacing w:val="12"/>
          <w:sz w:val="20"/>
          <w:szCs w:val="20"/>
        </w:rPr>
        <w:t>1997年4月18日—4月21日，国务院信息化工作领导小组在深圳召开首次全</w:t>
      </w:r>
      <w:r>
        <w:rPr>
          <w:spacing w:val="11"/>
          <w:sz w:val="20"/>
          <w:szCs w:val="20"/>
        </w:rPr>
        <w:t>国信息化工</w:t>
      </w:r>
      <w:r>
        <w:rPr>
          <w:sz w:val="20"/>
          <w:szCs w:val="20"/>
        </w:rPr>
        <w:t xml:space="preserve"> </w:t>
      </w:r>
      <w:r>
        <w:rPr>
          <w:spacing w:val="3"/>
          <w:sz w:val="20"/>
          <w:szCs w:val="20"/>
        </w:rPr>
        <w:t>作会议，会议全面部署了信息化工作，通过了相关发展规划。此后，全国信息化工作从解决应</w:t>
      </w:r>
      <w:r>
        <w:rPr>
          <w:spacing w:val="14"/>
          <w:sz w:val="20"/>
          <w:szCs w:val="20"/>
        </w:rPr>
        <w:t xml:space="preserve"> </w:t>
      </w:r>
      <w:r>
        <w:rPr>
          <w:spacing w:val="-1"/>
          <w:sz w:val="20"/>
          <w:szCs w:val="20"/>
        </w:rPr>
        <w:t>急性热点问题，步入为经济发展和社会全面进步服务的有组织、有计划</w:t>
      </w:r>
      <w:r>
        <w:rPr>
          <w:spacing w:val="-2"/>
          <w:sz w:val="20"/>
          <w:szCs w:val="20"/>
        </w:rPr>
        <w:t>的发展轨道。</w:t>
      </w:r>
    </w:p>
    <w:p w14:paraId="77C5F402">
      <w:pPr>
        <w:pStyle w:val="2"/>
        <w:spacing w:before="18" w:line="281" w:lineRule="auto"/>
        <w:ind w:right="224" w:firstLine="400"/>
        <w:jc w:val="both"/>
        <w:rPr>
          <w:sz w:val="20"/>
          <w:szCs w:val="20"/>
        </w:rPr>
      </w:pPr>
      <w:r>
        <w:rPr>
          <w:spacing w:val="8"/>
          <w:sz w:val="20"/>
          <w:szCs w:val="20"/>
        </w:rPr>
        <w:t>2000年10月11日，中国共产党第十五届中央委</w:t>
      </w:r>
      <w:r>
        <w:rPr>
          <w:spacing w:val="7"/>
          <w:sz w:val="20"/>
          <w:szCs w:val="20"/>
        </w:rPr>
        <w:t>员会第五次全体会议就信息化建设作出重</w:t>
      </w:r>
      <w:r>
        <w:rPr>
          <w:sz w:val="20"/>
          <w:szCs w:val="20"/>
        </w:rPr>
        <w:t xml:space="preserve"> </w:t>
      </w:r>
      <w:r>
        <w:rPr>
          <w:spacing w:val="3"/>
          <w:sz w:val="20"/>
          <w:szCs w:val="20"/>
        </w:rPr>
        <w:t>大决策，明确指出“大力推进国民经济和社会信息化，是覆盖现代化建设全局的战略举措。以</w:t>
      </w:r>
      <w:r>
        <w:rPr>
          <w:spacing w:val="4"/>
          <w:sz w:val="20"/>
          <w:szCs w:val="20"/>
        </w:rPr>
        <w:t xml:space="preserve"> </w:t>
      </w:r>
      <w:r>
        <w:rPr>
          <w:spacing w:val="3"/>
          <w:sz w:val="20"/>
          <w:szCs w:val="20"/>
        </w:rPr>
        <w:t>信息化带动工业化，发挥后发优势，实现社会生产力的跨越式发展”。中共十五</w:t>
      </w:r>
      <w:r>
        <w:rPr>
          <w:spacing w:val="2"/>
          <w:sz w:val="20"/>
          <w:szCs w:val="20"/>
        </w:rPr>
        <w:t>届五中全会还</w:t>
      </w:r>
      <w:r>
        <w:rPr>
          <w:sz w:val="20"/>
          <w:szCs w:val="20"/>
        </w:rPr>
        <w:t xml:space="preserve"> </w:t>
      </w:r>
      <w:r>
        <w:rPr>
          <w:spacing w:val="3"/>
          <w:sz w:val="20"/>
          <w:szCs w:val="20"/>
        </w:rPr>
        <w:t>强调，要加强现代信息基础设施建设，抓紧发展和完善国家宽带传输网络，加快</w:t>
      </w:r>
      <w:r>
        <w:rPr>
          <w:spacing w:val="2"/>
          <w:sz w:val="20"/>
          <w:szCs w:val="20"/>
        </w:rPr>
        <w:t>用户接入网建</w:t>
      </w:r>
      <w:r>
        <w:rPr>
          <w:sz w:val="20"/>
          <w:szCs w:val="20"/>
        </w:rPr>
        <w:t xml:space="preserve"> </w:t>
      </w:r>
      <w:r>
        <w:rPr>
          <w:spacing w:val="-2"/>
          <w:sz w:val="20"/>
          <w:szCs w:val="20"/>
        </w:rPr>
        <w:t>设，扩大利用互联网，促进电信、电视、计算机三网融合。</w:t>
      </w:r>
    </w:p>
    <w:p w14:paraId="2178759D">
      <w:pPr>
        <w:pStyle w:val="2"/>
        <w:spacing w:before="48" w:line="281" w:lineRule="auto"/>
        <w:ind w:right="200" w:firstLine="400"/>
        <w:jc w:val="both"/>
        <w:rPr>
          <w:sz w:val="20"/>
          <w:szCs w:val="20"/>
        </w:rPr>
      </w:pPr>
      <w:r>
        <w:rPr>
          <w:spacing w:val="6"/>
          <w:sz w:val="20"/>
          <w:szCs w:val="20"/>
        </w:rPr>
        <w:t>2006年5月，中共中央办公厅、国务院办</w:t>
      </w:r>
      <w:r>
        <w:rPr>
          <w:spacing w:val="5"/>
          <w:sz w:val="20"/>
          <w:szCs w:val="20"/>
        </w:rPr>
        <w:t>公厅印发《2006-2020年国家信息化发展战略》,</w:t>
      </w:r>
      <w:r>
        <w:rPr>
          <w:sz w:val="20"/>
          <w:szCs w:val="20"/>
        </w:rPr>
        <w:t xml:space="preserve"> </w:t>
      </w:r>
      <w:r>
        <w:rPr>
          <w:spacing w:val="3"/>
          <w:sz w:val="20"/>
          <w:szCs w:val="20"/>
        </w:rPr>
        <w:t>提出到2020年我国信息化发展的战略目标是：综合信息基础设施基本</w:t>
      </w:r>
      <w:r>
        <w:rPr>
          <w:spacing w:val="2"/>
          <w:sz w:val="20"/>
          <w:szCs w:val="20"/>
        </w:rPr>
        <w:t>普及，信息技术自主创新</w:t>
      </w:r>
      <w:r>
        <w:rPr>
          <w:sz w:val="20"/>
          <w:szCs w:val="20"/>
        </w:rPr>
        <w:t xml:space="preserve"> </w:t>
      </w:r>
      <w:r>
        <w:rPr>
          <w:spacing w:val="3"/>
          <w:sz w:val="20"/>
          <w:szCs w:val="20"/>
        </w:rPr>
        <w:t>能力显著增强，信息产业结构全面优化，国家信</w:t>
      </w:r>
      <w:r>
        <w:rPr>
          <w:spacing w:val="2"/>
          <w:sz w:val="20"/>
          <w:szCs w:val="20"/>
        </w:rPr>
        <w:t>息安全保障水平大幅提高，国民经济和社会信</w:t>
      </w:r>
      <w:r>
        <w:rPr>
          <w:sz w:val="20"/>
          <w:szCs w:val="20"/>
        </w:rPr>
        <w:t xml:space="preserve"> </w:t>
      </w:r>
      <w:r>
        <w:rPr>
          <w:spacing w:val="3"/>
          <w:sz w:val="20"/>
          <w:szCs w:val="20"/>
        </w:rPr>
        <w:t>息化取得明显成效，新型工业化发展模式初步确立，国家信息化发展的制度环境</w:t>
      </w:r>
      <w:r>
        <w:rPr>
          <w:spacing w:val="2"/>
          <w:sz w:val="20"/>
          <w:szCs w:val="20"/>
        </w:rPr>
        <w:t>和政策体系基</w:t>
      </w:r>
      <w:r>
        <w:rPr>
          <w:sz w:val="20"/>
          <w:szCs w:val="20"/>
        </w:rPr>
        <w:t xml:space="preserve"> </w:t>
      </w:r>
      <w:r>
        <w:rPr>
          <w:spacing w:val="-1"/>
          <w:sz w:val="20"/>
          <w:szCs w:val="20"/>
        </w:rPr>
        <w:t>本完善，国民信息技术应用能力显著提高，为迈向信息社会奠定</w:t>
      </w:r>
      <w:r>
        <w:rPr>
          <w:spacing w:val="-2"/>
          <w:sz w:val="20"/>
          <w:szCs w:val="20"/>
        </w:rPr>
        <w:t>坚实基础。</w:t>
      </w:r>
    </w:p>
    <w:p w14:paraId="28C009B4">
      <w:pPr>
        <w:pStyle w:val="2"/>
        <w:spacing w:before="28" w:line="286" w:lineRule="auto"/>
        <w:ind w:right="230" w:firstLine="400"/>
        <w:jc w:val="both"/>
        <w:rPr>
          <w:sz w:val="20"/>
          <w:szCs w:val="20"/>
        </w:rPr>
      </w:pPr>
      <w:r>
        <w:rPr>
          <w:spacing w:val="8"/>
          <w:sz w:val="20"/>
          <w:szCs w:val="20"/>
        </w:rPr>
        <w:t>2012年11月，党的十八大报告明确指出，“坚持走中国特色</w:t>
      </w:r>
      <w:r>
        <w:rPr>
          <w:spacing w:val="7"/>
          <w:sz w:val="20"/>
          <w:szCs w:val="20"/>
        </w:rPr>
        <w:t>新型工业化、信息化、城镇</w:t>
      </w:r>
      <w:r>
        <w:rPr>
          <w:sz w:val="20"/>
          <w:szCs w:val="20"/>
        </w:rPr>
        <w:t xml:space="preserve"> </w:t>
      </w:r>
      <w:r>
        <w:rPr>
          <w:spacing w:val="3"/>
          <w:sz w:val="20"/>
          <w:szCs w:val="20"/>
        </w:rPr>
        <w:t>化、农业现代化道路，推动信息化和工业化深度融合、工业化和城镇化良性互动、城镇</w:t>
      </w:r>
      <w:r>
        <w:rPr>
          <w:spacing w:val="2"/>
          <w:sz w:val="20"/>
          <w:szCs w:val="20"/>
        </w:rPr>
        <w:t>化和农</w:t>
      </w:r>
      <w:r>
        <w:rPr>
          <w:sz w:val="20"/>
          <w:szCs w:val="20"/>
        </w:rPr>
        <w:t xml:space="preserve"> </w:t>
      </w:r>
      <w:r>
        <w:rPr>
          <w:spacing w:val="-4"/>
          <w:sz w:val="20"/>
          <w:szCs w:val="20"/>
        </w:rPr>
        <w:t>业现代化相互协调，促进工业化、信息化、城镇化、农业现代化同步发展”。</w:t>
      </w:r>
    </w:p>
    <w:p w14:paraId="025454E7">
      <w:pPr>
        <w:pStyle w:val="2"/>
        <w:spacing w:before="1" w:line="281" w:lineRule="auto"/>
        <w:ind w:right="162" w:firstLine="400"/>
        <w:jc w:val="both"/>
        <w:rPr>
          <w:sz w:val="20"/>
          <w:szCs w:val="20"/>
        </w:rPr>
      </w:pPr>
      <w:r>
        <w:rPr>
          <w:spacing w:val="7"/>
          <w:sz w:val="20"/>
          <w:szCs w:val="20"/>
        </w:rPr>
        <w:t>2014年2月底，中央网络安全和信息化领导小组宣告成立，并在北京召开了第一次会议。</w:t>
      </w:r>
      <w:r>
        <w:rPr>
          <w:spacing w:val="1"/>
          <w:sz w:val="20"/>
          <w:szCs w:val="20"/>
        </w:rPr>
        <w:t xml:space="preserve"> </w:t>
      </w:r>
      <w:r>
        <w:rPr>
          <w:spacing w:val="4"/>
          <w:sz w:val="20"/>
          <w:szCs w:val="20"/>
        </w:rPr>
        <w:t>中共中央总书记、国家主席、中央军委主席习近平亲自担任组长，李克强、刘云山任副组长。</w:t>
      </w:r>
      <w:r>
        <w:rPr>
          <w:spacing w:val="5"/>
          <w:sz w:val="20"/>
          <w:szCs w:val="20"/>
        </w:rPr>
        <w:t xml:space="preserve"> </w:t>
      </w:r>
      <w:r>
        <w:rPr>
          <w:spacing w:val="2"/>
          <w:sz w:val="20"/>
          <w:szCs w:val="20"/>
        </w:rPr>
        <w:t>由国家领导人担任组长的中央网络安全和信息化领导小组的成立，意味着信息安全已上升到国</w:t>
      </w:r>
      <w:r>
        <w:rPr>
          <w:spacing w:val="3"/>
          <w:sz w:val="20"/>
          <w:szCs w:val="20"/>
        </w:rPr>
        <w:t xml:space="preserve">  </w:t>
      </w:r>
      <w:r>
        <w:rPr>
          <w:spacing w:val="5"/>
          <w:sz w:val="20"/>
          <w:szCs w:val="20"/>
        </w:rPr>
        <w:t>家战略的高度。习近平在会上作出重要指示，网络安全和</w:t>
      </w:r>
      <w:r>
        <w:rPr>
          <w:spacing w:val="4"/>
          <w:sz w:val="20"/>
          <w:szCs w:val="20"/>
        </w:rPr>
        <w:t>信息化是事关国家安全和国家发展、</w:t>
      </w:r>
      <w:r>
        <w:rPr>
          <w:sz w:val="20"/>
          <w:szCs w:val="20"/>
        </w:rPr>
        <w:t xml:space="preserve"> </w:t>
      </w:r>
      <w:r>
        <w:rPr>
          <w:spacing w:val="-2"/>
          <w:sz w:val="20"/>
          <w:szCs w:val="20"/>
        </w:rPr>
        <w:t>事关广大人民群众工作生活的重大战略问题，要努力把我国建设成为网络强国。</w:t>
      </w:r>
    </w:p>
    <w:p w14:paraId="01C41FA9">
      <w:pPr>
        <w:pStyle w:val="2"/>
        <w:spacing w:before="26" w:line="269" w:lineRule="auto"/>
        <w:ind w:right="213" w:firstLine="400"/>
        <w:jc w:val="both"/>
        <w:rPr>
          <w:sz w:val="20"/>
          <w:szCs w:val="20"/>
        </w:rPr>
      </w:pPr>
      <w:r>
        <w:rPr>
          <w:spacing w:val="8"/>
          <w:sz w:val="20"/>
          <w:szCs w:val="20"/>
        </w:rPr>
        <w:t>2017年10月，党的十九大报告明确提出了“推动互联网、大数据、人工智能和实体经济</w:t>
      </w:r>
      <w:r>
        <w:rPr>
          <w:spacing w:val="10"/>
          <w:sz w:val="20"/>
          <w:szCs w:val="20"/>
        </w:rPr>
        <w:t xml:space="preserve"> </w:t>
      </w:r>
      <w:r>
        <w:rPr>
          <w:spacing w:val="3"/>
          <w:sz w:val="20"/>
          <w:szCs w:val="20"/>
        </w:rPr>
        <w:t>深度融合，建设网络强国、数字中国、智慧社会”的发展目标，开启了由网络大国迈</w:t>
      </w:r>
      <w:r>
        <w:rPr>
          <w:spacing w:val="2"/>
          <w:sz w:val="20"/>
          <w:szCs w:val="20"/>
        </w:rPr>
        <w:t>向网络强</w:t>
      </w:r>
      <w:r>
        <w:rPr>
          <w:sz w:val="20"/>
          <w:szCs w:val="20"/>
        </w:rPr>
        <w:t xml:space="preserve"> </w:t>
      </w:r>
      <w:r>
        <w:rPr>
          <w:spacing w:val="-5"/>
          <w:sz w:val="20"/>
          <w:szCs w:val="20"/>
        </w:rPr>
        <w:t>国的新时代。</w:t>
      </w:r>
    </w:p>
    <w:p w14:paraId="334A2FE3">
      <w:pPr>
        <w:pStyle w:val="2"/>
        <w:spacing w:before="36" w:line="278" w:lineRule="auto"/>
        <w:ind w:right="213" w:firstLine="400"/>
        <w:jc w:val="both"/>
        <w:rPr>
          <w:sz w:val="20"/>
          <w:szCs w:val="20"/>
        </w:rPr>
      </w:pPr>
      <w:r>
        <w:rPr>
          <w:spacing w:val="11"/>
          <w:sz w:val="20"/>
          <w:szCs w:val="20"/>
        </w:rPr>
        <w:t>2021年3月11日，十三届全国人大四次会议表决通过的国</w:t>
      </w:r>
      <w:r>
        <w:rPr>
          <w:spacing w:val="10"/>
          <w:sz w:val="20"/>
          <w:szCs w:val="20"/>
        </w:rPr>
        <w:t>家“十四五”规划中，专门设</w:t>
      </w:r>
      <w:r>
        <w:rPr>
          <w:sz w:val="20"/>
          <w:szCs w:val="20"/>
        </w:rPr>
        <w:t xml:space="preserve"> </w:t>
      </w:r>
      <w:r>
        <w:rPr>
          <w:spacing w:val="3"/>
          <w:sz w:val="20"/>
          <w:szCs w:val="20"/>
        </w:rPr>
        <w:t>置“加快数字化发展建设数字中国”章节，并对加快建设数字经济、数字社会、数字政府，营</w:t>
      </w:r>
      <w:r>
        <w:rPr>
          <w:sz w:val="20"/>
          <w:szCs w:val="20"/>
        </w:rPr>
        <w:t xml:space="preserve"> </w:t>
      </w:r>
      <w:r>
        <w:rPr>
          <w:spacing w:val="-3"/>
          <w:sz w:val="20"/>
          <w:szCs w:val="20"/>
        </w:rPr>
        <w:t>造良好数字生态作出明确部署。</w:t>
      </w:r>
    </w:p>
    <w:p w14:paraId="7FEF6D31">
      <w:pPr>
        <w:spacing w:line="278" w:lineRule="auto"/>
        <w:rPr>
          <w:sz w:val="20"/>
          <w:szCs w:val="20"/>
        </w:rPr>
        <w:sectPr>
          <w:pgSz w:w="10330" w:h="13300"/>
          <w:pgMar w:top="400" w:right="617" w:bottom="400" w:left="1159" w:header="0" w:footer="0" w:gutter="0"/>
          <w:cols w:space="720" w:num="1"/>
        </w:sectPr>
      </w:pPr>
    </w:p>
    <w:p w14:paraId="57E534C1">
      <w:pPr>
        <w:pStyle w:val="2"/>
        <w:spacing w:before="108" w:line="219" w:lineRule="auto"/>
        <w:rPr>
          <w:sz w:val="20"/>
          <w:szCs w:val="20"/>
        </w:rPr>
      </w:pPr>
      <w:r>
        <w:rPr>
          <w:rFonts w:ascii="Times New Roman" w:hAnsi="Times New Roman" w:eastAsia="Times New Roman" w:cs="Times New Roman"/>
          <w:spacing w:val="-4"/>
          <w:sz w:val="20"/>
          <w:szCs w:val="20"/>
        </w:rPr>
        <w:t>8</w:t>
      </w:r>
      <w:r>
        <w:rPr>
          <w:rFonts w:ascii="Times New Roman" w:hAnsi="Times New Roman" w:eastAsia="Times New Roman" w:cs="Times New Roman"/>
          <w:spacing w:val="2"/>
          <w:sz w:val="20"/>
          <w:szCs w:val="20"/>
        </w:rPr>
        <w:t xml:space="preserve">               </w:t>
      </w:r>
      <w:r>
        <w:rPr>
          <w:spacing w:val="-4"/>
          <w:sz w:val="20"/>
          <w:szCs w:val="20"/>
        </w:rPr>
        <w:t>信息系统监理师教程(第2版)</w:t>
      </w:r>
    </w:p>
    <w:p w14:paraId="10C1D7FA">
      <w:pPr>
        <w:spacing w:line="304" w:lineRule="auto"/>
        <w:rPr>
          <w:rFonts w:ascii="Arial"/>
          <w:sz w:val="21"/>
        </w:rPr>
      </w:pPr>
    </w:p>
    <w:p w14:paraId="7AE3DAB7">
      <w:pPr>
        <w:pStyle w:val="2"/>
        <w:spacing w:before="65" w:line="295" w:lineRule="auto"/>
        <w:ind w:left="239" w:right="67" w:firstLine="420"/>
        <w:rPr>
          <w:sz w:val="20"/>
          <w:szCs w:val="20"/>
        </w:rPr>
      </w:pPr>
      <w:r>
        <w:rPr>
          <w:spacing w:val="7"/>
          <w:sz w:val="20"/>
          <w:szCs w:val="20"/>
        </w:rPr>
        <w:t>2021年12月12日，国务院印发《“十四五”数字经济发展规划》中指出，“十四五”时</w:t>
      </w:r>
      <w:r>
        <w:rPr>
          <w:spacing w:val="17"/>
          <w:sz w:val="20"/>
          <w:szCs w:val="20"/>
        </w:rPr>
        <w:t xml:space="preserve"> </w:t>
      </w:r>
      <w:r>
        <w:rPr>
          <w:spacing w:val="-1"/>
          <w:sz w:val="20"/>
          <w:szCs w:val="20"/>
        </w:rPr>
        <w:t>期，我国数字经济转向深化应用、规范发展</w:t>
      </w:r>
      <w:r>
        <w:rPr>
          <w:spacing w:val="-2"/>
          <w:sz w:val="20"/>
          <w:szCs w:val="20"/>
        </w:rPr>
        <w:t>、普惠共享的新阶段。</w:t>
      </w:r>
    </w:p>
    <w:p w14:paraId="6F9ADD3C">
      <w:pPr>
        <w:pStyle w:val="2"/>
        <w:spacing w:line="287" w:lineRule="auto"/>
        <w:ind w:left="239" w:right="19" w:firstLine="420"/>
        <w:rPr>
          <w:sz w:val="20"/>
          <w:szCs w:val="20"/>
        </w:rPr>
      </w:pPr>
      <w:r>
        <w:rPr>
          <w:spacing w:val="7"/>
          <w:sz w:val="20"/>
          <w:szCs w:val="20"/>
        </w:rPr>
        <w:t>2022年10月，党的二十大报告明确指出，建设现代化产业体系，坚持把发展经济的着力</w:t>
      </w:r>
      <w:r>
        <w:rPr>
          <w:spacing w:val="9"/>
          <w:sz w:val="20"/>
          <w:szCs w:val="20"/>
        </w:rPr>
        <w:t xml:space="preserve"> </w:t>
      </w:r>
      <w:r>
        <w:rPr>
          <w:spacing w:val="4"/>
          <w:sz w:val="20"/>
          <w:szCs w:val="20"/>
        </w:rPr>
        <w:t>点放在实体经济上，推进新型工业化，加快建设制造强国、质量强国、航天强国、交通强国、</w:t>
      </w:r>
      <w:r>
        <w:rPr>
          <w:spacing w:val="15"/>
          <w:sz w:val="20"/>
          <w:szCs w:val="20"/>
        </w:rPr>
        <w:t xml:space="preserve"> </w:t>
      </w:r>
      <w:r>
        <w:rPr>
          <w:spacing w:val="-5"/>
          <w:sz w:val="20"/>
          <w:szCs w:val="20"/>
        </w:rPr>
        <w:t>网络强国、数字中国。</w:t>
      </w:r>
    </w:p>
    <w:p w14:paraId="1BADA662">
      <w:pPr>
        <w:spacing w:line="279" w:lineRule="auto"/>
        <w:rPr>
          <w:rFonts w:ascii="Arial"/>
          <w:sz w:val="21"/>
        </w:rPr>
      </w:pPr>
    </w:p>
    <w:p w14:paraId="49AEEDA4">
      <w:pPr>
        <w:pStyle w:val="2"/>
        <w:spacing w:before="94" w:line="221" w:lineRule="auto"/>
        <w:ind w:left="243"/>
        <w:rPr>
          <w:rFonts w:ascii="黑体" w:hAnsi="黑体" w:eastAsia="黑体" w:cs="黑体"/>
          <w:sz w:val="29"/>
          <w:szCs w:val="29"/>
        </w:rPr>
      </w:pPr>
      <w:bookmarkStart w:id="481" w:name="bookmark467"/>
      <w:bookmarkEnd w:id="481"/>
      <w:r>
        <w:rPr>
          <w:b/>
          <w:bCs/>
          <w:color w:val="005DC8"/>
          <w:spacing w:val="-17"/>
          <w:sz w:val="29"/>
          <w:szCs w:val="29"/>
        </w:rPr>
        <w:t>1.3</w:t>
      </w:r>
      <w:r>
        <w:rPr>
          <w:color w:val="005DC8"/>
          <w:spacing w:val="11"/>
          <w:sz w:val="29"/>
          <w:szCs w:val="29"/>
        </w:rPr>
        <w:t xml:space="preserve">  </w:t>
      </w:r>
      <w:r>
        <w:rPr>
          <w:rFonts w:ascii="黑体" w:hAnsi="黑体" w:eastAsia="黑体" w:cs="黑体"/>
          <w:b/>
          <w:bCs/>
          <w:color w:val="005DC8"/>
          <w:spacing w:val="-17"/>
          <w:sz w:val="29"/>
          <w:szCs w:val="29"/>
        </w:rPr>
        <w:t>信息基础设施</w:t>
      </w:r>
    </w:p>
    <w:p w14:paraId="2AC17F0E">
      <w:pPr>
        <w:pStyle w:val="2"/>
        <w:spacing w:before="258" w:line="282" w:lineRule="auto"/>
        <w:ind w:left="139" w:firstLine="520"/>
        <w:jc w:val="both"/>
        <w:rPr>
          <w:sz w:val="20"/>
          <w:szCs w:val="20"/>
        </w:rPr>
      </w:pPr>
      <w:r>
        <w:rPr>
          <w:spacing w:val="5"/>
          <w:sz w:val="20"/>
          <w:szCs w:val="20"/>
        </w:rPr>
        <w:t>2018年召开的中央经济工作会议，首次提出“加快5</w:t>
      </w:r>
      <w:r>
        <w:rPr>
          <w:rFonts w:ascii="Times New Roman" w:hAnsi="Times New Roman" w:eastAsia="Times New Roman" w:cs="Times New Roman"/>
          <w:spacing w:val="5"/>
          <w:sz w:val="20"/>
          <w:szCs w:val="20"/>
        </w:rPr>
        <w:t xml:space="preserve">G </w:t>
      </w:r>
      <w:r>
        <w:rPr>
          <w:spacing w:val="5"/>
          <w:sz w:val="20"/>
          <w:szCs w:val="20"/>
        </w:rPr>
        <w:t>商用步伐，加强人工智能、工业互</w:t>
      </w:r>
      <w:r>
        <w:rPr>
          <w:spacing w:val="2"/>
          <w:sz w:val="20"/>
          <w:szCs w:val="20"/>
        </w:rPr>
        <w:t xml:space="preserve"> </w:t>
      </w:r>
      <w:r>
        <w:rPr>
          <w:sz w:val="20"/>
          <w:szCs w:val="20"/>
        </w:rPr>
        <w:t>联网、物联网等新型基础设施建设”,“新型基础设</w:t>
      </w:r>
      <w:r>
        <w:rPr>
          <w:spacing w:val="-1"/>
          <w:sz w:val="20"/>
          <w:szCs w:val="20"/>
        </w:rPr>
        <w:t>施建设”(简称“新基建”)的提法由此产生，</w:t>
      </w:r>
      <w:r>
        <w:rPr>
          <w:sz w:val="20"/>
          <w:szCs w:val="20"/>
        </w:rPr>
        <w:t xml:space="preserve"> </w:t>
      </w:r>
      <w:r>
        <w:rPr>
          <w:spacing w:val="5"/>
          <w:sz w:val="20"/>
          <w:szCs w:val="20"/>
        </w:rPr>
        <w:t>主要包括5</w:t>
      </w:r>
      <w:r>
        <w:rPr>
          <w:rFonts w:ascii="Times New Roman" w:hAnsi="Times New Roman" w:eastAsia="Times New Roman" w:cs="Times New Roman"/>
          <w:spacing w:val="5"/>
          <w:sz w:val="20"/>
          <w:szCs w:val="20"/>
        </w:rPr>
        <w:t>G</w:t>
      </w:r>
      <w:r>
        <w:rPr>
          <w:rFonts w:ascii="Times New Roman" w:hAnsi="Times New Roman" w:eastAsia="Times New Roman" w:cs="Times New Roman"/>
          <w:spacing w:val="-6"/>
          <w:sz w:val="20"/>
          <w:szCs w:val="20"/>
        </w:rPr>
        <w:t xml:space="preserve"> </w:t>
      </w:r>
      <w:r>
        <w:rPr>
          <w:spacing w:val="5"/>
          <w:sz w:val="20"/>
          <w:szCs w:val="20"/>
        </w:rPr>
        <w:t>基建、特高压、城际高速铁路和城际轨道交通、新能源汽车充电桩、大数据中心、</w:t>
      </w:r>
      <w:r>
        <w:rPr>
          <w:sz w:val="20"/>
          <w:szCs w:val="20"/>
        </w:rPr>
        <w:t xml:space="preserve"> 人工智能、工业互联网等七大领域。“新基建”是立足于高新科技的基础设施建设，与传统“铁</w:t>
      </w:r>
      <w:r>
        <w:rPr>
          <w:spacing w:val="3"/>
          <w:sz w:val="20"/>
          <w:szCs w:val="20"/>
        </w:rPr>
        <w:t xml:space="preserve">  </w:t>
      </w:r>
      <w:r>
        <w:rPr>
          <w:spacing w:val="5"/>
          <w:sz w:val="20"/>
          <w:szCs w:val="20"/>
        </w:rPr>
        <w:t>公基”相对应，是结合新一轮科技革命和产业变革特征，面向国家战略需求，为经济社会的创</w:t>
      </w:r>
      <w:r>
        <w:rPr>
          <w:spacing w:val="4"/>
          <w:sz w:val="20"/>
          <w:szCs w:val="20"/>
        </w:rPr>
        <w:t xml:space="preserve">  </w:t>
      </w:r>
      <w:r>
        <w:rPr>
          <w:spacing w:val="7"/>
          <w:sz w:val="20"/>
          <w:szCs w:val="20"/>
        </w:rPr>
        <w:t>新、协调、绿色、开放、共享发展提供底层支撑的具有乘数效应的战略性</w:t>
      </w:r>
      <w:r>
        <w:rPr>
          <w:spacing w:val="6"/>
          <w:sz w:val="20"/>
          <w:szCs w:val="20"/>
        </w:rPr>
        <w:t>、网络型基础设施。</w:t>
      </w:r>
      <w:r>
        <w:rPr>
          <w:sz w:val="20"/>
          <w:szCs w:val="20"/>
        </w:rPr>
        <w:t xml:space="preserve"> </w:t>
      </w:r>
      <w:r>
        <w:rPr>
          <w:spacing w:val="-1"/>
          <w:sz w:val="20"/>
          <w:szCs w:val="20"/>
        </w:rPr>
        <w:t>“新基建”的内涵更丰富，更能体现数字经济的特征，能够更好地推动中国经济转型升级。</w:t>
      </w:r>
    </w:p>
    <w:p w14:paraId="28DA1B1C">
      <w:pPr>
        <w:pStyle w:val="2"/>
        <w:spacing w:before="77" w:line="280" w:lineRule="auto"/>
        <w:ind w:left="239" w:right="57" w:firstLine="420"/>
        <w:jc w:val="both"/>
        <w:rPr>
          <w:sz w:val="20"/>
          <w:szCs w:val="20"/>
        </w:rPr>
      </w:pPr>
      <w:r>
        <w:rPr>
          <w:spacing w:val="3"/>
          <w:sz w:val="20"/>
          <w:szCs w:val="20"/>
        </w:rPr>
        <w:t>新型基础设施是以新发展理念为引领，以技术创新为驱动，以信息网络为基础，面向高质</w:t>
      </w:r>
      <w:r>
        <w:rPr>
          <w:spacing w:val="4"/>
          <w:sz w:val="20"/>
          <w:szCs w:val="20"/>
        </w:rPr>
        <w:t xml:space="preserve"> </w:t>
      </w:r>
      <w:r>
        <w:rPr>
          <w:spacing w:val="3"/>
          <w:sz w:val="20"/>
          <w:szCs w:val="20"/>
        </w:rPr>
        <w:t>量发展需要，提供数字转型、智能升级、融合创新等服务的</w:t>
      </w:r>
      <w:r>
        <w:rPr>
          <w:spacing w:val="2"/>
          <w:sz w:val="20"/>
          <w:szCs w:val="20"/>
        </w:rPr>
        <w:t>基础设施体系。目前，新型基础设</w:t>
      </w:r>
      <w:r>
        <w:rPr>
          <w:sz w:val="20"/>
          <w:szCs w:val="20"/>
        </w:rPr>
        <w:t xml:space="preserve"> </w:t>
      </w:r>
      <w:r>
        <w:rPr>
          <w:spacing w:val="3"/>
          <w:sz w:val="20"/>
          <w:szCs w:val="20"/>
        </w:rPr>
        <w:t>施主要包括信息基础设施、融合基础设施和创新基础设施。信息基础</w:t>
      </w:r>
      <w:r>
        <w:rPr>
          <w:spacing w:val="2"/>
          <w:sz w:val="20"/>
          <w:szCs w:val="20"/>
        </w:rPr>
        <w:t>设施主要指基于新一代信</w:t>
      </w:r>
      <w:r>
        <w:rPr>
          <w:sz w:val="20"/>
          <w:szCs w:val="20"/>
        </w:rPr>
        <w:t xml:space="preserve"> </w:t>
      </w:r>
      <w:r>
        <w:rPr>
          <w:spacing w:val="-5"/>
          <w:sz w:val="20"/>
          <w:szCs w:val="20"/>
        </w:rPr>
        <w:t>息技术演化生成的基础设施，信息基础设施凸显“技术新”。其内容包括：</w:t>
      </w:r>
    </w:p>
    <w:p w14:paraId="7ADC16B0">
      <w:pPr>
        <w:pStyle w:val="2"/>
        <w:spacing w:before="59" w:line="219" w:lineRule="auto"/>
        <w:ind w:left="659"/>
        <w:rPr>
          <w:sz w:val="20"/>
          <w:szCs w:val="20"/>
        </w:rPr>
      </w:pPr>
      <w:r>
        <w:rPr>
          <w:spacing w:val="-4"/>
          <w:sz w:val="20"/>
          <w:szCs w:val="20"/>
        </w:rPr>
        <w:t>● 以 5G、</w:t>
      </w:r>
      <w:r>
        <w:rPr>
          <w:spacing w:val="-54"/>
          <w:sz w:val="20"/>
          <w:szCs w:val="20"/>
        </w:rPr>
        <w:t xml:space="preserve"> </w:t>
      </w:r>
      <w:r>
        <w:rPr>
          <w:spacing w:val="-4"/>
          <w:sz w:val="20"/>
          <w:szCs w:val="20"/>
        </w:rPr>
        <w:t>物联网、工业互联网、卫星互联网为代表</w:t>
      </w:r>
      <w:r>
        <w:rPr>
          <w:spacing w:val="-5"/>
          <w:sz w:val="20"/>
          <w:szCs w:val="20"/>
        </w:rPr>
        <w:t>的通信网络基础设施；</w:t>
      </w:r>
    </w:p>
    <w:p w14:paraId="36E44C12">
      <w:pPr>
        <w:pStyle w:val="2"/>
        <w:spacing w:before="83" w:line="219" w:lineRule="auto"/>
        <w:ind w:left="659"/>
        <w:rPr>
          <w:sz w:val="20"/>
          <w:szCs w:val="20"/>
        </w:rPr>
      </w:pPr>
      <w:r>
        <w:rPr>
          <w:spacing w:val="1"/>
          <w:sz w:val="20"/>
          <w:szCs w:val="20"/>
        </w:rPr>
        <w:t>●以人工智能、云计算、区块链等为代表的新技术基础设施；</w:t>
      </w:r>
    </w:p>
    <w:p w14:paraId="5863E576">
      <w:pPr>
        <w:pStyle w:val="2"/>
        <w:spacing w:before="83" w:line="219" w:lineRule="auto"/>
        <w:ind w:left="659"/>
        <w:rPr>
          <w:sz w:val="20"/>
          <w:szCs w:val="20"/>
        </w:rPr>
      </w:pPr>
      <w:r>
        <w:rPr>
          <w:spacing w:val="1"/>
          <w:sz w:val="20"/>
          <w:szCs w:val="20"/>
        </w:rPr>
        <w:t>●以数据中心、智能计算中心为代表的算力基础设施等。</w:t>
      </w:r>
    </w:p>
    <w:p w14:paraId="7BA4858B">
      <w:pPr>
        <w:pStyle w:val="2"/>
        <w:spacing w:before="100" w:line="289" w:lineRule="auto"/>
        <w:ind w:left="239" w:firstLine="420"/>
        <w:jc w:val="both"/>
        <w:rPr>
          <w:sz w:val="16"/>
          <w:szCs w:val="16"/>
        </w:rPr>
      </w:pPr>
      <w:r>
        <w:rPr>
          <w:spacing w:val="3"/>
          <w:sz w:val="20"/>
          <w:szCs w:val="20"/>
        </w:rPr>
        <w:t>国家“十四五”规划中明确提出九大战略性新兴产业，具体包括：新一</w:t>
      </w:r>
      <w:r>
        <w:rPr>
          <w:spacing w:val="2"/>
          <w:sz w:val="20"/>
          <w:szCs w:val="20"/>
        </w:rPr>
        <w:t>代信息技术、生物</w:t>
      </w:r>
      <w:r>
        <w:rPr>
          <w:sz w:val="20"/>
          <w:szCs w:val="20"/>
        </w:rPr>
        <w:t xml:space="preserve"> </w:t>
      </w:r>
      <w:r>
        <w:rPr>
          <w:spacing w:val="3"/>
          <w:sz w:val="20"/>
          <w:szCs w:val="20"/>
        </w:rPr>
        <w:t>技术、新能源、新材料、高端装备、新能源汽车、绿色环保、航</w:t>
      </w:r>
      <w:r>
        <w:rPr>
          <w:spacing w:val="2"/>
          <w:sz w:val="20"/>
          <w:szCs w:val="20"/>
        </w:rPr>
        <w:t>空航天、海洋装备。其中新一</w:t>
      </w:r>
      <w:r>
        <w:rPr>
          <w:sz w:val="20"/>
          <w:szCs w:val="20"/>
        </w:rPr>
        <w:t xml:space="preserve">  代信息技术产业居于首位。关于发展“新一代信息技术产业”的主要内容是：“加快建设宽带、 </w:t>
      </w:r>
      <w:r>
        <w:rPr>
          <w:spacing w:val="3"/>
          <w:sz w:val="20"/>
          <w:szCs w:val="20"/>
        </w:rPr>
        <w:t>泛在、融合、安全的信息网络基础设施，推动新一代移动通信</w:t>
      </w:r>
      <w:r>
        <w:rPr>
          <w:spacing w:val="2"/>
          <w:sz w:val="20"/>
          <w:szCs w:val="20"/>
        </w:rPr>
        <w:t>、下一代互联网核心设备和智能</w:t>
      </w:r>
      <w:r>
        <w:rPr>
          <w:sz w:val="20"/>
          <w:szCs w:val="20"/>
        </w:rPr>
        <w:t xml:space="preserve">  </w:t>
      </w:r>
      <w:r>
        <w:rPr>
          <w:spacing w:val="3"/>
          <w:sz w:val="20"/>
          <w:szCs w:val="20"/>
        </w:rPr>
        <w:t>终端的研发及产业化，加快推进三网融合，促进物联网、云计算</w:t>
      </w:r>
      <w:r>
        <w:rPr>
          <w:spacing w:val="2"/>
          <w:sz w:val="20"/>
          <w:szCs w:val="20"/>
        </w:rPr>
        <w:t>的研发和示范应用。着力发展</w:t>
      </w:r>
      <w:r>
        <w:rPr>
          <w:sz w:val="20"/>
          <w:szCs w:val="20"/>
        </w:rPr>
        <w:t xml:space="preserve">  </w:t>
      </w:r>
      <w:r>
        <w:rPr>
          <w:spacing w:val="3"/>
          <w:sz w:val="20"/>
          <w:szCs w:val="20"/>
        </w:rPr>
        <w:t>集成电路、新型显示、高端软件、高端服务器等核心基础产</w:t>
      </w:r>
      <w:r>
        <w:rPr>
          <w:spacing w:val="2"/>
          <w:sz w:val="20"/>
          <w:szCs w:val="20"/>
        </w:rPr>
        <w:t>业。提升软件服务、网络增值服务</w:t>
      </w:r>
      <w:r>
        <w:rPr>
          <w:sz w:val="20"/>
          <w:szCs w:val="20"/>
        </w:rPr>
        <w:t xml:space="preserve">  </w:t>
      </w:r>
      <w:r>
        <w:rPr>
          <w:spacing w:val="3"/>
          <w:sz w:val="20"/>
          <w:szCs w:val="20"/>
        </w:rPr>
        <w:t>等信息服务能力，加快重要基础设施智能化改造。大力发展数字虚</w:t>
      </w:r>
      <w:r>
        <w:rPr>
          <w:spacing w:val="2"/>
          <w:sz w:val="20"/>
          <w:szCs w:val="20"/>
        </w:rPr>
        <w:t>拟等技术，促进文化创意产</w:t>
      </w:r>
      <w:r>
        <w:rPr>
          <w:sz w:val="20"/>
          <w:szCs w:val="20"/>
        </w:rPr>
        <w:t xml:space="preserve">  </w:t>
      </w:r>
      <w:r>
        <w:rPr>
          <w:spacing w:val="35"/>
          <w:sz w:val="16"/>
          <w:szCs w:val="16"/>
        </w:rPr>
        <w:t>业发展。”</w:t>
      </w:r>
    </w:p>
    <w:p w14:paraId="036CA794">
      <w:pPr>
        <w:pStyle w:val="2"/>
        <w:spacing w:before="30" w:line="281" w:lineRule="auto"/>
        <w:ind w:left="239" w:right="19" w:firstLine="420"/>
        <w:rPr>
          <w:sz w:val="20"/>
          <w:szCs w:val="20"/>
        </w:rPr>
      </w:pPr>
      <w:r>
        <w:rPr>
          <w:spacing w:val="4"/>
          <w:sz w:val="20"/>
          <w:szCs w:val="20"/>
        </w:rPr>
        <w:t>国家“十四五”规划明确了未来数字经济七大重点产业，包括云计算、大数据、物联网、</w:t>
      </w:r>
      <w:r>
        <w:rPr>
          <w:spacing w:val="3"/>
          <w:sz w:val="20"/>
          <w:szCs w:val="20"/>
        </w:rPr>
        <w:t xml:space="preserve"> </w:t>
      </w:r>
      <w:r>
        <w:rPr>
          <w:spacing w:val="-2"/>
          <w:sz w:val="20"/>
          <w:szCs w:val="20"/>
        </w:rPr>
        <w:t>工业互联网、区块链、人工智能、虚拟现实和增强现实。</w:t>
      </w:r>
    </w:p>
    <w:p w14:paraId="066FB977">
      <w:pPr>
        <w:pStyle w:val="2"/>
        <w:spacing w:before="180" w:line="219" w:lineRule="auto"/>
        <w:ind w:left="242"/>
        <w:rPr>
          <w:sz w:val="26"/>
          <w:szCs w:val="26"/>
        </w:rPr>
      </w:pPr>
      <w:r>
        <w:rPr>
          <w:b/>
          <w:bCs/>
          <w:color w:val="2373CF"/>
          <w:spacing w:val="-23"/>
          <w:sz w:val="26"/>
          <w:szCs w:val="26"/>
        </w:rPr>
        <w:t>1.3.1</w:t>
      </w:r>
      <w:r>
        <w:rPr>
          <w:color w:val="2373CF"/>
          <w:spacing w:val="80"/>
          <w:sz w:val="26"/>
          <w:szCs w:val="26"/>
        </w:rPr>
        <w:t xml:space="preserve"> </w:t>
      </w:r>
      <w:r>
        <w:rPr>
          <w:b/>
          <w:bCs/>
          <w:color w:val="2373CF"/>
          <w:spacing w:val="-23"/>
          <w:sz w:val="26"/>
          <w:szCs w:val="26"/>
        </w:rPr>
        <w:t>云计算</w:t>
      </w:r>
    </w:p>
    <w:p w14:paraId="70D95750">
      <w:pPr>
        <w:pStyle w:val="2"/>
        <w:spacing w:before="151" w:line="268" w:lineRule="auto"/>
        <w:ind w:left="239" w:right="50" w:firstLine="320"/>
        <w:jc w:val="both"/>
        <w:rPr>
          <w:sz w:val="20"/>
          <w:szCs w:val="20"/>
        </w:rPr>
      </w:pPr>
      <w:r>
        <w:rPr>
          <w:spacing w:val="1"/>
          <w:sz w:val="20"/>
          <w:szCs w:val="20"/>
        </w:rPr>
        <w:t>“云”是一些可以自我维护和管理的虚拟计算资源，通常为一些</w:t>
      </w:r>
      <w:r>
        <w:rPr>
          <w:sz w:val="20"/>
          <w:szCs w:val="20"/>
        </w:rPr>
        <w:t xml:space="preserve">大型服务器集群，包括计算 </w:t>
      </w:r>
      <w:r>
        <w:rPr>
          <w:spacing w:val="3"/>
          <w:sz w:val="20"/>
          <w:szCs w:val="20"/>
        </w:rPr>
        <w:t xml:space="preserve">服务器、存储服务器等。云计算将所有的计算资源集中起来，由软件实现自动管理，应用提供 </w:t>
      </w:r>
      <w:r>
        <w:rPr>
          <w:spacing w:val="-1"/>
          <w:sz w:val="20"/>
          <w:szCs w:val="20"/>
        </w:rPr>
        <w:t>者无须关注烦琐的细节，可以更加专注于自己的业务，有利于创新和降</w:t>
      </w:r>
      <w:r>
        <w:rPr>
          <w:spacing w:val="-2"/>
          <w:sz w:val="20"/>
          <w:szCs w:val="20"/>
        </w:rPr>
        <w:t>低成本。</w:t>
      </w:r>
    </w:p>
    <w:p w14:paraId="2765BD25">
      <w:pPr>
        <w:spacing w:line="268" w:lineRule="auto"/>
        <w:rPr>
          <w:sz w:val="20"/>
          <w:szCs w:val="20"/>
        </w:rPr>
        <w:sectPr>
          <w:pgSz w:w="10400" w:h="13390"/>
          <w:pgMar w:top="400" w:right="1139" w:bottom="400" w:left="620" w:header="0" w:footer="0" w:gutter="0"/>
          <w:cols w:space="720" w:num="1"/>
        </w:sectPr>
      </w:pPr>
    </w:p>
    <w:p w14:paraId="499B4CC5">
      <w:pPr>
        <w:pStyle w:val="2"/>
        <w:spacing w:before="96" w:line="219" w:lineRule="auto"/>
        <w:jc w:val="right"/>
        <w:rPr>
          <w:rFonts w:ascii="Times New Roman" w:hAnsi="Times New Roman" w:eastAsia="Times New Roman" w:cs="Times New Roman"/>
          <w:sz w:val="19"/>
          <w:szCs w:val="19"/>
        </w:rPr>
      </w:pPr>
      <w:r>
        <w:rPr>
          <w:spacing w:val="5"/>
          <w:sz w:val="19"/>
          <w:szCs w:val="19"/>
        </w:rPr>
        <w:t>第1章</w:t>
      </w:r>
      <w:r>
        <w:rPr>
          <w:spacing w:val="39"/>
          <w:sz w:val="19"/>
          <w:szCs w:val="19"/>
        </w:rPr>
        <w:t xml:space="preserve"> </w:t>
      </w:r>
      <w:r>
        <w:rPr>
          <w:spacing w:val="5"/>
          <w:sz w:val="19"/>
          <w:szCs w:val="19"/>
        </w:rPr>
        <w:t>信息与信息化</w:t>
      </w:r>
      <w:r>
        <w:rPr>
          <w:spacing w:val="6"/>
          <w:sz w:val="19"/>
          <w:szCs w:val="19"/>
        </w:rPr>
        <w:t xml:space="preserve">       </w:t>
      </w:r>
      <w:r>
        <w:rPr>
          <w:rFonts w:ascii="Times New Roman" w:hAnsi="Times New Roman" w:eastAsia="Times New Roman" w:cs="Times New Roman"/>
          <w:spacing w:val="5"/>
          <w:sz w:val="19"/>
          <w:szCs w:val="19"/>
        </w:rPr>
        <w:t>9</w:t>
      </w:r>
    </w:p>
    <w:p w14:paraId="299184F7">
      <w:pPr>
        <w:spacing w:line="318" w:lineRule="auto"/>
        <w:rPr>
          <w:rFonts w:ascii="Arial"/>
          <w:sz w:val="21"/>
        </w:rPr>
      </w:pPr>
    </w:p>
    <w:p w14:paraId="19102CDF">
      <w:pPr>
        <w:pStyle w:val="2"/>
        <w:spacing w:before="61" w:line="222" w:lineRule="auto"/>
        <w:ind w:left="507"/>
        <w:rPr>
          <w:rFonts w:ascii="黑体" w:hAnsi="黑体" w:eastAsia="黑体" w:cs="黑体"/>
          <w:sz w:val="19"/>
          <w:szCs w:val="19"/>
        </w:rPr>
      </w:pPr>
      <w:r>
        <w:rPr>
          <w:b/>
          <w:bCs/>
          <w:color w:val="0056C7"/>
          <w:spacing w:val="4"/>
          <w:sz w:val="19"/>
          <w:szCs w:val="19"/>
        </w:rPr>
        <w:t>1.</w:t>
      </w:r>
      <w:r>
        <w:rPr>
          <w:rFonts w:ascii="黑体" w:hAnsi="黑体" w:eastAsia="黑体" w:cs="黑体"/>
          <w:b/>
          <w:bCs/>
          <w:color w:val="0056C7"/>
          <w:spacing w:val="4"/>
          <w:sz w:val="19"/>
          <w:szCs w:val="19"/>
        </w:rPr>
        <w:t>云计算的定义</w:t>
      </w:r>
    </w:p>
    <w:p w14:paraId="5E2D1FFC">
      <w:pPr>
        <w:pStyle w:val="2"/>
        <w:spacing w:before="173" w:line="295" w:lineRule="auto"/>
        <w:ind w:left="94" w:right="235" w:firstLine="410"/>
        <w:jc w:val="both"/>
        <w:rPr>
          <w:sz w:val="19"/>
          <w:szCs w:val="19"/>
        </w:rPr>
      </w:pPr>
      <w:r>
        <w:rPr>
          <w:spacing w:val="13"/>
          <w:sz w:val="19"/>
          <w:szCs w:val="19"/>
        </w:rPr>
        <w:t>狭义云计算是指基础设施的交付和使用模式，即通过网络以按需、易扩展的方式获得所需</w:t>
      </w:r>
      <w:r>
        <w:rPr>
          <w:spacing w:val="3"/>
          <w:sz w:val="19"/>
          <w:szCs w:val="19"/>
        </w:rPr>
        <w:t xml:space="preserve"> </w:t>
      </w:r>
      <w:r>
        <w:rPr>
          <w:spacing w:val="12"/>
          <w:sz w:val="19"/>
          <w:szCs w:val="19"/>
        </w:rPr>
        <w:t>的资源(包括软件、硬件和平台)。提供资源的网络被称为“云”。“云”中的资源在使用者看</w:t>
      </w:r>
      <w:r>
        <w:rPr>
          <w:spacing w:val="13"/>
          <w:sz w:val="19"/>
          <w:szCs w:val="19"/>
        </w:rPr>
        <w:t xml:space="preserve"> 来是可以无限扩展的，并且可以随时获取、按需使用、随时扩展、按使用付费。这种特性使得</w:t>
      </w:r>
      <w:r>
        <w:rPr>
          <w:spacing w:val="3"/>
          <w:sz w:val="19"/>
          <w:szCs w:val="19"/>
        </w:rPr>
        <w:t xml:space="preserve"> </w:t>
      </w:r>
      <w:r>
        <w:rPr>
          <w:spacing w:val="6"/>
          <w:sz w:val="19"/>
          <w:szCs w:val="19"/>
        </w:rPr>
        <w:t>云被称为像水电一样使用的基础设施。</w:t>
      </w:r>
    </w:p>
    <w:p w14:paraId="1D667766">
      <w:pPr>
        <w:pStyle w:val="2"/>
        <w:spacing w:before="57" w:line="288" w:lineRule="auto"/>
        <w:ind w:left="95" w:right="219" w:firstLine="410"/>
        <w:rPr>
          <w:sz w:val="19"/>
          <w:szCs w:val="19"/>
        </w:rPr>
      </w:pPr>
      <w:r>
        <w:rPr>
          <w:spacing w:val="14"/>
          <w:sz w:val="19"/>
          <w:szCs w:val="19"/>
        </w:rPr>
        <w:t>广义云计算是指服务的交付和使用模式，即</w:t>
      </w:r>
      <w:r>
        <w:rPr>
          <w:spacing w:val="13"/>
          <w:sz w:val="19"/>
          <w:szCs w:val="19"/>
        </w:rPr>
        <w:t>通过网络以按需、易扩展的方式获得所需的服</w:t>
      </w:r>
      <w:r>
        <w:rPr>
          <w:sz w:val="19"/>
          <w:szCs w:val="19"/>
        </w:rPr>
        <w:t xml:space="preserve"> </w:t>
      </w:r>
      <w:r>
        <w:rPr>
          <w:spacing w:val="9"/>
          <w:sz w:val="19"/>
          <w:szCs w:val="19"/>
        </w:rPr>
        <w:t>务。这种服务可以是与软件、互联网相关的，也可以是任意其他的服务。</w:t>
      </w:r>
    </w:p>
    <w:p w14:paraId="16A11BB4">
      <w:pPr>
        <w:pStyle w:val="2"/>
        <w:spacing w:before="113" w:line="221" w:lineRule="auto"/>
        <w:ind w:left="507"/>
        <w:rPr>
          <w:rFonts w:ascii="黑体" w:hAnsi="黑体" w:eastAsia="黑体" w:cs="黑体"/>
          <w:sz w:val="19"/>
          <w:szCs w:val="19"/>
        </w:rPr>
      </w:pPr>
      <w:r>
        <w:rPr>
          <w:b/>
          <w:bCs/>
          <w:color w:val="004CD0"/>
          <w:spacing w:val="7"/>
          <w:sz w:val="19"/>
          <w:szCs w:val="19"/>
        </w:rPr>
        <w:t>2.</w:t>
      </w:r>
      <w:r>
        <w:rPr>
          <w:rFonts w:ascii="黑体" w:hAnsi="黑体" w:eastAsia="黑体" w:cs="黑体"/>
          <w:b/>
          <w:bCs/>
          <w:color w:val="004CD0"/>
          <w:spacing w:val="7"/>
          <w:sz w:val="19"/>
          <w:szCs w:val="19"/>
        </w:rPr>
        <w:t>云计算的特征</w:t>
      </w:r>
    </w:p>
    <w:p w14:paraId="3A6CED52">
      <w:pPr>
        <w:pStyle w:val="2"/>
        <w:spacing w:before="158" w:line="296" w:lineRule="auto"/>
        <w:ind w:left="94" w:right="235" w:firstLine="410"/>
        <w:jc w:val="both"/>
        <w:rPr>
          <w:sz w:val="19"/>
          <w:szCs w:val="19"/>
        </w:rPr>
      </w:pPr>
      <w:r>
        <w:rPr>
          <w:spacing w:val="13"/>
          <w:sz w:val="19"/>
          <w:szCs w:val="19"/>
        </w:rPr>
        <w:t>云计算通过不断提高“云”的处理能力，进而减少用户终端的处理负担，最终将用户终端</w:t>
      </w:r>
      <w:r>
        <w:rPr>
          <w:spacing w:val="1"/>
          <w:sz w:val="19"/>
          <w:szCs w:val="19"/>
        </w:rPr>
        <w:t xml:space="preserve"> </w:t>
      </w:r>
      <w:r>
        <w:rPr>
          <w:spacing w:val="13"/>
          <w:sz w:val="19"/>
          <w:szCs w:val="19"/>
        </w:rPr>
        <w:t>简化为输入输出设备，并能按需享受“云”强大的计算</w:t>
      </w:r>
      <w:r>
        <w:rPr>
          <w:spacing w:val="12"/>
          <w:sz w:val="19"/>
          <w:szCs w:val="19"/>
        </w:rPr>
        <w:t>处理能力。云计算的核心思想是将大量</w:t>
      </w:r>
      <w:r>
        <w:rPr>
          <w:sz w:val="19"/>
          <w:szCs w:val="19"/>
        </w:rPr>
        <w:t xml:space="preserve"> </w:t>
      </w:r>
      <w:r>
        <w:rPr>
          <w:spacing w:val="13"/>
          <w:sz w:val="19"/>
          <w:szCs w:val="19"/>
        </w:rPr>
        <w:t>用网络连接的计算资源纳入统一管理和调度，构成一个计算资源池，向用户提供按需服务。云</w:t>
      </w:r>
      <w:r>
        <w:rPr>
          <w:spacing w:val="7"/>
          <w:sz w:val="19"/>
          <w:szCs w:val="19"/>
        </w:rPr>
        <w:t xml:space="preserve"> </w:t>
      </w:r>
      <w:r>
        <w:rPr>
          <w:spacing w:val="18"/>
          <w:sz w:val="19"/>
          <w:szCs w:val="19"/>
        </w:rPr>
        <w:t>计算的特征主要表现为超大规模、高可扩展性、虚拟化、高可靠性、通用性、廉价性和灵活</w:t>
      </w:r>
      <w:r>
        <w:rPr>
          <w:spacing w:val="6"/>
          <w:sz w:val="19"/>
          <w:szCs w:val="19"/>
        </w:rPr>
        <w:t xml:space="preserve"> </w:t>
      </w:r>
      <w:r>
        <w:rPr>
          <w:spacing w:val="1"/>
          <w:sz w:val="19"/>
          <w:szCs w:val="19"/>
        </w:rPr>
        <w:t>定制。</w:t>
      </w:r>
    </w:p>
    <w:p w14:paraId="7C046551">
      <w:pPr>
        <w:pStyle w:val="2"/>
        <w:spacing w:before="53" w:line="293" w:lineRule="auto"/>
        <w:ind w:left="94" w:right="235" w:firstLine="410"/>
        <w:rPr>
          <w:sz w:val="19"/>
          <w:szCs w:val="19"/>
        </w:rPr>
      </w:pPr>
      <w:r>
        <w:rPr>
          <w:spacing w:val="14"/>
          <w:sz w:val="19"/>
          <w:szCs w:val="19"/>
        </w:rPr>
        <w:t>(1)超大规模。“云”具有相当大的规模，以阿里云为例，截至2020年，阿里云在全球22</w:t>
      </w:r>
      <w:r>
        <w:rPr>
          <w:spacing w:val="3"/>
          <w:sz w:val="19"/>
          <w:szCs w:val="19"/>
        </w:rPr>
        <w:t xml:space="preserve"> </w:t>
      </w:r>
      <w:r>
        <w:rPr>
          <w:spacing w:val="10"/>
          <w:sz w:val="19"/>
          <w:szCs w:val="19"/>
        </w:rPr>
        <w:t>个地域部署了上百个数据中心，服务器的总规模数已经接近200万台。“云”能赋予用户前所未</w:t>
      </w:r>
      <w:r>
        <w:rPr>
          <w:spacing w:val="13"/>
          <w:sz w:val="19"/>
          <w:szCs w:val="19"/>
        </w:rPr>
        <w:t xml:space="preserve"> 有的计算能力。云业务的需求和使用与具体的物理资源无关，信息技术</w:t>
      </w:r>
      <w:r>
        <w:rPr>
          <w:spacing w:val="-36"/>
          <w:sz w:val="19"/>
          <w:szCs w:val="19"/>
        </w:rPr>
        <w:t xml:space="preserve"> </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IT</w:t>
      </w:r>
      <w:r>
        <w:rPr>
          <w:rFonts w:ascii="Times New Roman" w:hAnsi="Times New Roman" w:eastAsia="Times New Roman" w:cs="Times New Roman"/>
          <w:spacing w:val="13"/>
          <w:sz w:val="19"/>
          <w:szCs w:val="19"/>
        </w:rPr>
        <w:t>)</w:t>
      </w:r>
      <w:r>
        <w:rPr>
          <w:rFonts w:ascii="Times New Roman" w:hAnsi="Times New Roman" w:eastAsia="Times New Roman" w:cs="Times New Roman"/>
          <w:spacing w:val="3"/>
          <w:sz w:val="19"/>
          <w:szCs w:val="19"/>
        </w:rPr>
        <w:t xml:space="preserve">    </w:t>
      </w:r>
      <w:r>
        <w:rPr>
          <w:spacing w:val="13"/>
          <w:sz w:val="19"/>
          <w:szCs w:val="19"/>
        </w:rPr>
        <w:t>系统和业务均可</w:t>
      </w:r>
      <w:r>
        <w:rPr>
          <w:sz w:val="19"/>
          <w:szCs w:val="19"/>
        </w:rPr>
        <w:t xml:space="preserve"> </w:t>
      </w:r>
      <w:r>
        <w:rPr>
          <w:spacing w:val="13"/>
          <w:sz w:val="19"/>
          <w:szCs w:val="19"/>
        </w:rPr>
        <w:t>运行在虚拟平台之上。云计算支持用户在任何有互联网的地方，使用任何上网终端获取应用服</w:t>
      </w:r>
      <w:r>
        <w:rPr>
          <w:spacing w:val="3"/>
          <w:sz w:val="19"/>
          <w:szCs w:val="19"/>
        </w:rPr>
        <w:t xml:space="preserve"> </w:t>
      </w:r>
      <w:r>
        <w:rPr>
          <w:spacing w:val="7"/>
          <w:sz w:val="19"/>
          <w:szCs w:val="19"/>
        </w:rPr>
        <w:t>务。用户所请求的资源来自规模巨大的云平台。</w:t>
      </w:r>
    </w:p>
    <w:p w14:paraId="48D6E735">
      <w:pPr>
        <w:pStyle w:val="2"/>
        <w:spacing w:before="64" w:line="266" w:lineRule="auto"/>
        <w:ind w:left="94" w:right="252" w:firstLine="410"/>
        <w:rPr>
          <w:sz w:val="19"/>
          <w:szCs w:val="19"/>
        </w:rPr>
      </w:pPr>
      <w:r>
        <w:rPr>
          <w:spacing w:val="20"/>
          <w:sz w:val="19"/>
          <w:szCs w:val="19"/>
        </w:rPr>
        <w:t>(2)高可扩展性。“云”不仅规模超大，还可以动态伸缩，满足应用和用户规模增</w:t>
      </w:r>
      <w:r>
        <w:rPr>
          <w:spacing w:val="19"/>
          <w:sz w:val="19"/>
          <w:szCs w:val="19"/>
        </w:rPr>
        <w:t>长的</w:t>
      </w:r>
      <w:r>
        <w:rPr>
          <w:sz w:val="19"/>
          <w:szCs w:val="19"/>
        </w:rPr>
        <w:t xml:space="preserve"> </w:t>
      </w:r>
      <w:r>
        <w:rPr>
          <w:spacing w:val="1"/>
          <w:sz w:val="19"/>
          <w:szCs w:val="19"/>
        </w:rPr>
        <w:t>需要。</w:t>
      </w:r>
    </w:p>
    <w:p w14:paraId="27AEE36B">
      <w:pPr>
        <w:pStyle w:val="2"/>
        <w:spacing w:before="82" w:line="268" w:lineRule="auto"/>
        <w:ind w:left="94" w:right="237" w:firstLine="410"/>
        <w:rPr>
          <w:sz w:val="19"/>
          <w:szCs w:val="19"/>
        </w:rPr>
      </w:pPr>
      <w:r>
        <w:rPr>
          <w:spacing w:val="12"/>
          <w:sz w:val="19"/>
          <w:szCs w:val="19"/>
        </w:rPr>
        <w:t>(3)虚拟化。云计算是一个虚拟的资源池，用户所请求的资源来自“云”,而不是固定的有</w:t>
      </w:r>
      <w:r>
        <w:rPr>
          <w:spacing w:val="16"/>
          <w:sz w:val="19"/>
          <w:szCs w:val="19"/>
        </w:rPr>
        <w:t xml:space="preserve"> </w:t>
      </w:r>
      <w:r>
        <w:rPr>
          <w:spacing w:val="13"/>
          <w:sz w:val="19"/>
          <w:szCs w:val="19"/>
        </w:rPr>
        <w:t>形实体。用户只需要一台笔记本或者一部手机，就可以通过网络服务实现所需要的一切，甚至</w:t>
      </w:r>
      <w:r>
        <w:rPr>
          <w:spacing w:val="5"/>
          <w:sz w:val="19"/>
          <w:szCs w:val="19"/>
        </w:rPr>
        <w:t xml:space="preserve"> </w:t>
      </w:r>
      <w:r>
        <w:rPr>
          <w:spacing w:val="7"/>
          <w:sz w:val="19"/>
          <w:szCs w:val="19"/>
        </w:rPr>
        <w:t>包括超级计算。</w:t>
      </w:r>
    </w:p>
    <w:p w14:paraId="4521081B">
      <w:pPr>
        <w:pStyle w:val="2"/>
        <w:spacing w:before="103" w:line="258" w:lineRule="auto"/>
        <w:ind w:left="95" w:right="238" w:firstLine="410"/>
        <w:rPr>
          <w:sz w:val="19"/>
          <w:szCs w:val="19"/>
        </w:rPr>
      </w:pPr>
      <w:r>
        <w:rPr>
          <w:spacing w:val="15"/>
          <w:sz w:val="19"/>
          <w:szCs w:val="19"/>
        </w:rPr>
        <w:t>(4)高可靠性。用户无须担心个人计算机崩溃导致的数据丢失，因为其所有的数据都保存</w:t>
      </w:r>
      <w:r>
        <w:rPr>
          <w:spacing w:val="2"/>
          <w:sz w:val="19"/>
          <w:szCs w:val="19"/>
        </w:rPr>
        <w:t xml:space="preserve"> </w:t>
      </w:r>
      <w:r>
        <w:rPr>
          <w:spacing w:val="7"/>
          <w:sz w:val="19"/>
          <w:szCs w:val="19"/>
        </w:rPr>
        <w:t>在“云”上。</w:t>
      </w:r>
    </w:p>
    <w:p w14:paraId="298ABA61">
      <w:pPr>
        <w:pStyle w:val="2"/>
        <w:spacing w:before="90" w:line="219" w:lineRule="auto"/>
        <w:ind w:left="505"/>
        <w:rPr>
          <w:sz w:val="19"/>
          <w:szCs w:val="19"/>
        </w:rPr>
      </w:pPr>
      <w:r>
        <w:rPr>
          <w:spacing w:val="11"/>
          <w:sz w:val="19"/>
          <w:szCs w:val="19"/>
        </w:rPr>
        <w:t>(5)通用性。云计算没有特定的应用，同一个“云”可以同时</w:t>
      </w:r>
      <w:r>
        <w:rPr>
          <w:spacing w:val="10"/>
          <w:sz w:val="19"/>
          <w:szCs w:val="19"/>
        </w:rPr>
        <w:t>支撑不同的应用运行。</w:t>
      </w:r>
    </w:p>
    <w:p w14:paraId="403C6675">
      <w:pPr>
        <w:pStyle w:val="2"/>
        <w:spacing w:before="63" w:line="274" w:lineRule="auto"/>
        <w:ind w:left="95" w:right="238" w:firstLine="410"/>
        <w:rPr>
          <w:sz w:val="19"/>
          <w:szCs w:val="19"/>
        </w:rPr>
      </w:pPr>
      <w:r>
        <w:rPr>
          <w:spacing w:val="10"/>
          <w:sz w:val="19"/>
          <w:szCs w:val="19"/>
        </w:rPr>
        <w:t>(6)廉价性。由于“云”的特殊容错措施，因而可以采用廉价的节点来构成“云”。云计算</w:t>
      </w:r>
      <w:r>
        <w:rPr>
          <w:spacing w:val="2"/>
          <w:sz w:val="19"/>
          <w:szCs w:val="19"/>
        </w:rPr>
        <w:t xml:space="preserve"> </w:t>
      </w:r>
      <w:r>
        <w:rPr>
          <w:spacing w:val="13"/>
          <w:sz w:val="19"/>
          <w:szCs w:val="19"/>
        </w:rPr>
        <w:t>将数据送到互联网的超级计算机集群中进行处理，个人只需支付低廉的服务费用，就可完成数</w:t>
      </w:r>
      <w:r>
        <w:rPr>
          <w:spacing w:val="4"/>
          <w:sz w:val="19"/>
          <w:szCs w:val="19"/>
        </w:rPr>
        <w:t xml:space="preserve"> </w:t>
      </w:r>
      <w:r>
        <w:rPr>
          <w:spacing w:val="9"/>
          <w:sz w:val="19"/>
          <w:szCs w:val="19"/>
        </w:rPr>
        <w:t>据的计算和处理。企业无须负担日益高昂的</w:t>
      </w:r>
      <w:r>
        <w:rPr>
          <w:spacing w:val="8"/>
          <w:sz w:val="19"/>
          <w:szCs w:val="19"/>
        </w:rPr>
        <w:t>数据中心管理费用，从而大大降低了成本。</w:t>
      </w:r>
    </w:p>
    <w:p w14:paraId="29FA5CBC">
      <w:pPr>
        <w:pStyle w:val="2"/>
        <w:spacing w:before="76" w:line="264" w:lineRule="auto"/>
        <w:ind w:right="192" w:firstLine="505"/>
        <w:rPr>
          <w:sz w:val="19"/>
          <w:szCs w:val="19"/>
        </w:rPr>
      </w:pPr>
      <w:r>
        <w:rPr>
          <w:spacing w:val="11"/>
          <w:sz w:val="19"/>
          <w:szCs w:val="19"/>
        </w:rPr>
        <w:t>(7)灵活定制。用户可以根据自己的需要定制相应的服务、应用及资源，根据用户的需求，</w:t>
      </w:r>
      <w:r>
        <w:rPr>
          <w:spacing w:val="7"/>
          <w:sz w:val="19"/>
          <w:szCs w:val="19"/>
        </w:rPr>
        <w:t xml:space="preserve"> </w:t>
      </w:r>
      <w:r>
        <w:rPr>
          <w:spacing w:val="9"/>
          <w:sz w:val="19"/>
          <w:szCs w:val="19"/>
        </w:rPr>
        <w:t>“云”来提供所需的服务。</w:t>
      </w:r>
    </w:p>
    <w:p w14:paraId="6D40AB69">
      <w:pPr>
        <w:pStyle w:val="2"/>
        <w:spacing w:before="172" w:line="221" w:lineRule="auto"/>
        <w:ind w:left="507"/>
        <w:rPr>
          <w:rFonts w:ascii="黑体" w:hAnsi="黑体" w:eastAsia="黑体" w:cs="黑体"/>
          <w:sz w:val="19"/>
          <w:szCs w:val="19"/>
        </w:rPr>
      </w:pPr>
      <w:r>
        <w:rPr>
          <w:b/>
          <w:bCs/>
          <w:color w:val="004BBC"/>
          <w:spacing w:val="7"/>
          <w:sz w:val="19"/>
          <w:szCs w:val="19"/>
        </w:rPr>
        <w:t>3.</w:t>
      </w:r>
      <w:r>
        <w:rPr>
          <w:rFonts w:ascii="黑体" w:hAnsi="黑体" w:eastAsia="黑体" w:cs="黑体"/>
          <w:b/>
          <w:bCs/>
          <w:color w:val="004BBC"/>
          <w:spacing w:val="7"/>
          <w:sz w:val="19"/>
          <w:szCs w:val="19"/>
        </w:rPr>
        <w:t>云计算的分类</w:t>
      </w:r>
    </w:p>
    <w:p w14:paraId="5D56DBB0">
      <w:pPr>
        <w:spacing w:before="235" w:line="225" w:lineRule="auto"/>
        <w:ind w:left="505"/>
        <w:rPr>
          <w:rFonts w:ascii="楷体" w:hAnsi="楷体" w:eastAsia="楷体" w:cs="楷体"/>
          <w:sz w:val="19"/>
          <w:szCs w:val="19"/>
        </w:rPr>
      </w:pPr>
      <w:r>
        <w:rPr>
          <w:rFonts w:ascii="楷体" w:hAnsi="楷体" w:eastAsia="楷体" w:cs="楷体"/>
          <w:spacing w:val="17"/>
          <w:sz w:val="19"/>
          <w:szCs w:val="19"/>
        </w:rPr>
        <w:t>1)按服务类型分类</w:t>
      </w:r>
    </w:p>
    <w:p w14:paraId="702A916D">
      <w:pPr>
        <w:pStyle w:val="2"/>
        <w:spacing w:before="39" w:line="212" w:lineRule="auto"/>
        <w:ind w:left="505"/>
        <w:rPr>
          <w:rFonts w:ascii="Times New Roman" w:hAnsi="Times New Roman" w:eastAsia="Times New Roman" w:cs="Times New Roman"/>
          <w:sz w:val="19"/>
          <w:szCs w:val="19"/>
        </w:rPr>
      </w:pPr>
      <w:r>
        <w:rPr>
          <w:spacing w:val="10"/>
          <w:sz w:val="19"/>
          <w:szCs w:val="19"/>
        </w:rPr>
        <w:t>按服务类型的不同，云计算可分为基础设施云</w:t>
      </w:r>
      <w:r>
        <w:rPr>
          <w:spacing w:val="-33"/>
          <w:sz w:val="19"/>
          <w:szCs w:val="19"/>
        </w:rPr>
        <w:t xml:space="preserve"> </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Infrastructure</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Cloud</w:t>
      </w:r>
      <w:r>
        <w:rPr>
          <w:rFonts w:ascii="Times New Roman" w:hAnsi="Times New Roman" w:eastAsia="Times New Roman" w:cs="Times New Roman"/>
          <w:spacing w:val="10"/>
          <w:sz w:val="19"/>
          <w:szCs w:val="19"/>
        </w:rPr>
        <w:t>)</w:t>
      </w:r>
      <w:r>
        <w:rPr>
          <w:spacing w:val="10"/>
          <w:sz w:val="19"/>
          <w:szCs w:val="19"/>
        </w:rPr>
        <w:t>、平 台</w:t>
      </w:r>
      <w:r>
        <w:rPr>
          <w:spacing w:val="-19"/>
          <w:sz w:val="19"/>
          <w:szCs w:val="19"/>
        </w:rPr>
        <w:t xml:space="preserve"> </w:t>
      </w:r>
      <w:r>
        <w:rPr>
          <w:spacing w:val="10"/>
          <w:sz w:val="19"/>
          <w:szCs w:val="19"/>
        </w:rPr>
        <w:t>云</w:t>
      </w:r>
      <w:r>
        <w:rPr>
          <w:spacing w:val="-56"/>
          <w:sz w:val="19"/>
          <w:szCs w:val="19"/>
        </w:rPr>
        <w:t xml:space="preserve"> </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Platform</w:t>
      </w:r>
    </w:p>
    <w:p w14:paraId="2B8B4953">
      <w:pPr>
        <w:pStyle w:val="2"/>
        <w:spacing w:before="132" w:line="212" w:lineRule="auto"/>
        <w:ind w:left="94"/>
        <w:rPr>
          <w:sz w:val="19"/>
          <w:szCs w:val="19"/>
        </w:rPr>
      </w:pPr>
      <w:r>
        <w:rPr>
          <w:rFonts w:ascii="Times New Roman" w:hAnsi="Times New Roman" w:eastAsia="Times New Roman" w:cs="Times New Roman"/>
          <w:sz w:val="19"/>
          <w:szCs w:val="19"/>
        </w:rPr>
        <w:t>Cloud</w:t>
      </w:r>
      <w:r>
        <w:rPr>
          <w:rFonts w:ascii="Times New Roman" w:hAnsi="Times New Roman" w:eastAsia="Times New Roman" w:cs="Times New Roman"/>
          <w:spacing w:val="7"/>
          <w:sz w:val="19"/>
          <w:szCs w:val="19"/>
        </w:rPr>
        <w:t>)</w:t>
      </w:r>
      <w:r>
        <w:rPr>
          <w:rFonts w:ascii="Times New Roman" w:hAnsi="Times New Roman" w:eastAsia="Times New Roman" w:cs="Times New Roman"/>
          <w:spacing w:val="28"/>
          <w:w w:val="101"/>
          <w:sz w:val="19"/>
          <w:szCs w:val="19"/>
        </w:rPr>
        <w:t xml:space="preserve">  </w:t>
      </w:r>
      <w:r>
        <w:rPr>
          <w:spacing w:val="7"/>
          <w:sz w:val="19"/>
          <w:szCs w:val="19"/>
        </w:rPr>
        <w:t>和应用云</w:t>
      </w:r>
      <w:r>
        <w:rPr>
          <w:spacing w:val="-46"/>
          <w:sz w:val="19"/>
          <w:szCs w:val="19"/>
        </w:rPr>
        <w:t xml:space="preserve"> </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Application</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Cloud</w:t>
      </w:r>
      <w:r>
        <w:rPr>
          <w:rFonts w:ascii="Times New Roman" w:hAnsi="Times New Roman" w:eastAsia="Times New Roman" w:cs="Times New Roman"/>
          <w:spacing w:val="7"/>
          <w:sz w:val="19"/>
          <w:szCs w:val="19"/>
        </w:rPr>
        <w:t xml:space="preserve">) </w:t>
      </w:r>
      <w:r>
        <w:rPr>
          <w:spacing w:val="7"/>
          <w:sz w:val="19"/>
          <w:szCs w:val="19"/>
        </w:rPr>
        <w:t>三种。</w:t>
      </w:r>
    </w:p>
    <w:p w14:paraId="2A48CAE2">
      <w:pPr>
        <w:spacing w:line="212" w:lineRule="auto"/>
        <w:rPr>
          <w:sz w:val="19"/>
          <w:szCs w:val="19"/>
        </w:rPr>
        <w:sectPr>
          <w:pgSz w:w="10320" w:h="13310"/>
          <w:pgMar w:top="400" w:right="632" w:bottom="400" w:left="1025" w:header="0" w:footer="0" w:gutter="0"/>
          <w:cols w:space="720" w:num="1"/>
        </w:sectPr>
      </w:pPr>
    </w:p>
    <w:p w14:paraId="259B791F">
      <w:pPr>
        <w:pStyle w:val="2"/>
        <w:spacing w:before="117" w:line="219" w:lineRule="auto"/>
        <w:rPr>
          <w:sz w:val="19"/>
          <w:szCs w:val="19"/>
        </w:rPr>
      </w:pPr>
      <w:r>
        <w:rPr>
          <w:rFonts w:ascii="Times New Roman" w:hAnsi="Times New Roman" w:eastAsia="Times New Roman" w:cs="Times New Roman"/>
          <w:spacing w:val="3"/>
          <w:position w:val="1"/>
          <w:sz w:val="19"/>
          <w:szCs w:val="19"/>
        </w:rPr>
        <w:t xml:space="preserve">10               </w:t>
      </w:r>
      <w:r>
        <w:rPr>
          <w:spacing w:val="3"/>
          <w:sz w:val="19"/>
          <w:szCs w:val="19"/>
        </w:rPr>
        <w:t>信息系统监理师教程(第2版)</w:t>
      </w:r>
    </w:p>
    <w:p w14:paraId="5E47A74C">
      <w:pPr>
        <w:spacing w:line="340" w:lineRule="auto"/>
        <w:rPr>
          <w:rFonts w:ascii="Arial"/>
          <w:sz w:val="21"/>
        </w:rPr>
      </w:pPr>
    </w:p>
    <w:p w14:paraId="77EB6773">
      <w:pPr>
        <w:pStyle w:val="2"/>
        <w:spacing w:before="62" w:line="295" w:lineRule="auto"/>
        <w:ind w:left="959" w:right="71" w:hanging="289"/>
        <w:rPr>
          <w:sz w:val="19"/>
          <w:szCs w:val="19"/>
        </w:rPr>
      </w:pPr>
      <w:r>
        <w:rPr>
          <w:spacing w:val="13"/>
          <w:sz w:val="19"/>
          <w:szCs w:val="19"/>
        </w:rPr>
        <w:t>●基础设施云。为用户提供的是底层的、接近于直接操作硬件资</w:t>
      </w:r>
      <w:r>
        <w:rPr>
          <w:spacing w:val="12"/>
          <w:sz w:val="19"/>
          <w:szCs w:val="19"/>
        </w:rPr>
        <w:t>源的服务接口，用户通过</w:t>
      </w:r>
      <w:r>
        <w:rPr>
          <w:sz w:val="19"/>
          <w:szCs w:val="19"/>
        </w:rPr>
        <w:t xml:space="preserve"> </w:t>
      </w:r>
      <w:r>
        <w:rPr>
          <w:spacing w:val="11"/>
          <w:sz w:val="19"/>
          <w:szCs w:val="19"/>
        </w:rPr>
        <w:t>调用这些接口，可以直接获得计算和存储能</w:t>
      </w:r>
      <w:r>
        <w:rPr>
          <w:spacing w:val="10"/>
          <w:sz w:val="19"/>
          <w:szCs w:val="19"/>
        </w:rPr>
        <w:t>力，而且自由、灵活，几乎不受逻辑上的限</w:t>
      </w:r>
      <w:r>
        <w:rPr>
          <w:sz w:val="19"/>
          <w:szCs w:val="19"/>
        </w:rPr>
        <w:t xml:space="preserve"> </w:t>
      </w:r>
      <w:r>
        <w:rPr>
          <w:spacing w:val="11"/>
          <w:sz w:val="19"/>
          <w:szCs w:val="19"/>
        </w:rPr>
        <w:t>制。但是，用户需要进行大量的工作设计和实现自己的应用，因为基础</w:t>
      </w:r>
      <w:r>
        <w:rPr>
          <w:spacing w:val="10"/>
          <w:sz w:val="19"/>
          <w:szCs w:val="19"/>
        </w:rPr>
        <w:t>设施云除了为用</w:t>
      </w:r>
      <w:r>
        <w:rPr>
          <w:sz w:val="19"/>
          <w:szCs w:val="19"/>
        </w:rPr>
        <w:t xml:space="preserve"> </w:t>
      </w:r>
      <w:r>
        <w:rPr>
          <w:spacing w:val="2"/>
          <w:sz w:val="19"/>
          <w:szCs w:val="19"/>
        </w:rPr>
        <w:t>户提供计算和存储等基础功能外，</w:t>
      </w:r>
      <w:r>
        <w:rPr>
          <w:spacing w:val="73"/>
          <w:sz w:val="19"/>
          <w:szCs w:val="19"/>
        </w:rPr>
        <w:t xml:space="preserve"> </w:t>
      </w:r>
      <w:r>
        <w:rPr>
          <w:spacing w:val="2"/>
          <w:sz w:val="19"/>
          <w:szCs w:val="19"/>
        </w:rPr>
        <w:t>一般不进一步扩展应用类型。</w:t>
      </w:r>
    </w:p>
    <w:p w14:paraId="35ED7FA3">
      <w:pPr>
        <w:pStyle w:val="2"/>
        <w:spacing w:before="103" w:line="294" w:lineRule="auto"/>
        <w:ind w:left="959" w:right="53" w:hanging="289"/>
        <w:rPr>
          <w:sz w:val="19"/>
          <w:szCs w:val="19"/>
        </w:rPr>
      </w:pPr>
      <w:r>
        <w:rPr>
          <w:spacing w:val="13"/>
          <w:sz w:val="19"/>
          <w:szCs w:val="19"/>
        </w:rPr>
        <w:t>●平台云。为用户提供托管平台，用户可以将他们开发和运营的应</w:t>
      </w:r>
      <w:r>
        <w:rPr>
          <w:spacing w:val="12"/>
          <w:sz w:val="19"/>
          <w:szCs w:val="19"/>
        </w:rPr>
        <w:t>用托管到云平台中。但</w:t>
      </w:r>
      <w:r>
        <w:rPr>
          <w:sz w:val="19"/>
          <w:szCs w:val="19"/>
        </w:rPr>
        <w:t xml:space="preserve"> </w:t>
      </w:r>
      <w:r>
        <w:rPr>
          <w:spacing w:val="11"/>
          <w:sz w:val="19"/>
          <w:szCs w:val="19"/>
        </w:rPr>
        <w:t>是，这个应用的开发部署必须遵守该平台特定的规则和限制，如语言、编程框架、数据</w:t>
      </w:r>
      <w:r>
        <w:rPr>
          <w:spacing w:val="12"/>
          <w:sz w:val="19"/>
          <w:szCs w:val="19"/>
        </w:rPr>
        <w:t xml:space="preserve"> </w:t>
      </w:r>
      <w:r>
        <w:rPr>
          <w:spacing w:val="4"/>
          <w:sz w:val="19"/>
          <w:szCs w:val="19"/>
        </w:rPr>
        <w:t>存储模型等。</w:t>
      </w:r>
    </w:p>
    <w:p w14:paraId="46BA95C0">
      <w:pPr>
        <w:pStyle w:val="2"/>
        <w:spacing w:before="83" w:line="275" w:lineRule="auto"/>
        <w:ind w:left="959" w:right="39" w:hanging="289"/>
        <w:rPr>
          <w:sz w:val="19"/>
          <w:szCs w:val="19"/>
        </w:rPr>
      </w:pPr>
      <w:r>
        <w:rPr>
          <w:spacing w:val="14"/>
          <w:sz w:val="19"/>
          <w:szCs w:val="19"/>
        </w:rPr>
        <w:t>●应用云。为用户提供可以为其直接所用的应用，针对某一项特定的业务或功能。</w:t>
      </w:r>
      <w:r>
        <w:rPr>
          <w:spacing w:val="13"/>
          <w:sz w:val="19"/>
          <w:szCs w:val="19"/>
        </w:rPr>
        <w:t>但是，</w:t>
      </w:r>
      <w:r>
        <w:rPr>
          <w:sz w:val="19"/>
          <w:szCs w:val="19"/>
        </w:rPr>
        <w:t xml:space="preserve"> </w:t>
      </w:r>
      <w:r>
        <w:rPr>
          <w:spacing w:val="8"/>
          <w:sz w:val="19"/>
          <w:szCs w:val="19"/>
        </w:rPr>
        <w:t>其灵活性也是最低的，因为一种应用云只针对一种特定的业务或功能。</w:t>
      </w:r>
    </w:p>
    <w:p w14:paraId="14E33E60">
      <w:pPr>
        <w:spacing w:before="182" w:line="224" w:lineRule="auto"/>
        <w:ind w:left="670"/>
        <w:rPr>
          <w:rFonts w:ascii="楷体" w:hAnsi="楷体" w:eastAsia="楷体" w:cs="楷体"/>
          <w:sz w:val="19"/>
          <w:szCs w:val="19"/>
        </w:rPr>
      </w:pPr>
      <w:bookmarkStart w:id="482" w:name="bookmark468"/>
      <w:bookmarkEnd w:id="482"/>
      <w:r>
        <w:rPr>
          <w:rFonts w:ascii="楷体" w:hAnsi="楷体" w:eastAsia="楷体" w:cs="楷体"/>
          <w:spacing w:val="19"/>
          <w:sz w:val="19"/>
          <w:szCs w:val="19"/>
        </w:rPr>
        <w:t>2)按部署范围分类</w:t>
      </w:r>
    </w:p>
    <w:p w14:paraId="4FB66D23">
      <w:pPr>
        <w:pStyle w:val="2"/>
        <w:spacing w:before="51" w:line="212" w:lineRule="auto"/>
        <w:ind w:left="670"/>
        <w:rPr>
          <w:sz w:val="19"/>
          <w:szCs w:val="19"/>
        </w:rPr>
      </w:pPr>
      <w:r>
        <w:rPr>
          <w:spacing w:val="8"/>
          <w:sz w:val="19"/>
          <w:szCs w:val="19"/>
        </w:rPr>
        <w:t>按部署范围的不同，云计算可分为公有云</w:t>
      </w:r>
      <w:r>
        <w:rPr>
          <w:spacing w:val="-46"/>
          <w:sz w:val="19"/>
          <w:szCs w:val="19"/>
        </w:rPr>
        <w:t xml:space="preserve"> </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Public</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z w:val="19"/>
          <w:szCs w:val="19"/>
        </w:rPr>
        <w:t>Cloud</w:t>
      </w:r>
      <w:r>
        <w:rPr>
          <w:rFonts w:ascii="Times New Roman" w:hAnsi="Times New Roman" w:eastAsia="Times New Roman" w:cs="Times New Roman"/>
          <w:spacing w:val="8"/>
          <w:sz w:val="19"/>
          <w:szCs w:val="19"/>
        </w:rPr>
        <w:t>)</w:t>
      </w:r>
      <w:r>
        <w:rPr>
          <w:spacing w:val="8"/>
          <w:sz w:val="19"/>
          <w:szCs w:val="19"/>
        </w:rPr>
        <w:t>、</w:t>
      </w:r>
      <w:r>
        <w:rPr>
          <w:spacing w:val="7"/>
          <w:sz w:val="19"/>
          <w:szCs w:val="19"/>
        </w:rPr>
        <w:t>私有云</w:t>
      </w:r>
      <w:r>
        <w:rPr>
          <w:spacing w:val="-46"/>
          <w:sz w:val="19"/>
          <w:szCs w:val="19"/>
        </w:rPr>
        <w:t xml:space="preserve"> </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Private</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Cloud</w:t>
      </w:r>
      <w:r>
        <w:rPr>
          <w:rFonts w:ascii="Times New Roman" w:hAnsi="Times New Roman" w:eastAsia="Times New Roman" w:cs="Times New Roman"/>
          <w:spacing w:val="7"/>
          <w:sz w:val="19"/>
          <w:szCs w:val="19"/>
        </w:rPr>
        <w:t xml:space="preserve">) </w:t>
      </w:r>
      <w:r>
        <w:rPr>
          <w:spacing w:val="7"/>
          <w:sz w:val="19"/>
          <w:szCs w:val="19"/>
        </w:rPr>
        <w:t>和混合</w:t>
      </w:r>
    </w:p>
    <w:p w14:paraId="3ADD7C69">
      <w:pPr>
        <w:pStyle w:val="2"/>
        <w:spacing w:before="148" w:line="215" w:lineRule="auto"/>
        <w:ind w:left="290"/>
        <w:rPr>
          <w:sz w:val="19"/>
          <w:szCs w:val="19"/>
        </w:rPr>
      </w:pPr>
      <w:r>
        <w:rPr>
          <w:spacing w:val="-1"/>
          <w:sz w:val="19"/>
          <w:szCs w:val="19"/>
        </w:rPr>
        <w:t>云 (Hybrid  Cloud)三种。</w:t>
      </w:r>
    </w:p>
    <w:p w14:paraId="325DDF93">
      <w:pPr>
        <w:pStyle w:val="2"/>
        <w:spacing w:before="65" w:line="295" w:lineRule="auto"/>
        <w:ind w:left="959" w:right="67" w:hanging="289"/>
        <w:rPr>
          <w:sz w:val="19"/>
          <w:szCs w:val="19"/>
        </w:rPr>
      </w:pPr>
      <w:r>
        <w:rPr>
          <w:spacing w:val="13"/>
          <w:sz w:val="19"/>
          <w:szCs w:val="19"/>
        </w:rPr>
        <w:t>●公有云。指通过互联网提供服务的云，所有的基础设施均由云服务提供商负责，用户只</w:t>
      </w:r>
      <w:r>
        <w:rPr>
          <w:spacing w:val="9"/>
          <w:sz w:val="19"/>
          <w:szCs w:val="19"/>
        </w:rPr>
        <w:t xml:space="preserve"> </w:t>
      </w:r>
      <w:r>
        <w:rPr>
          <w:spacing w:val="10"/>
          <w:sz w:val="19"/>
          <w:szCs w:val="19"/>
        </w:rPr>
        <w:t>需拥有能够接入网络的终端即可。对使用者而言，其所应用的程序、服务及相关数据都</w:t>
      </w:r>
      <w:r>
        <w:rPr>
          <w:spacing w:val="17"/>
          <w:sz w:val="19"/>
          <w:szCs w:val="19"/>
        </w:rPr>
        <w:t xml:space="preserve"> </w:t>
      </w:r>
      <w:r>
        <w:rPr>
          <w:spacing w:val="10"/>
          <w:sz w:val="19"/>
          <w:szCs w:val="19"/>
        </w:rPr>
        <w:t>来自公有云的提供者，只需要通过配置公有云中的虚拟化私有资源，即可获得相应的服</w:t>
      </w:r>
      <w:r>
        <w:rPr>
          <w:spacing w:val="16"/>
          <w:sz w:val="19"/>
          <w:szCs w:val="19"/>
        </w:rPr>
        <w:t xml:space="preserve"> </w:t>
      </w:r>
      <w:r>
        <w:rPr>
          <w:spacing w:val="6"/>
          <w:sz w:val="19"/>
          <w:szCs w:val="19"/>
        </w:rPr>
        <w:t>务，无须进行相应的投资和建设。</w:t>
      </w:r>
    </w:p>
    <w:p w14:paraId="02596634">
      <w:pPr>
        <w:pStyle w:val="2"/>
        <w:spacing w:before="82" w:line="287" w:lineRule="auto"/>
        <w:ind w:left="959" w:hanging="289"/>
        <w:rPr>
          <w:sz w:val="19"/>
          <w:szCs w:val="19"/>
        </w:rPr>
      </w:pPr>
      <w:r>
        <w:rPr>
          <w:spacing w:val="15"/>
          <w:sz w:val="19"/>
          <w:szCs w:val="19"/>
        </w:rPr>
        <w:t>●私有云。指使用自有基础设施构建的云，其提供的服务仅供内部人员或分支机构使</w:t>
      </w:r>
      <w:r>
        <w:rPr>
          <w:spacing w:val="14"/>
          <w:sz w:val="19"/>
          <w:szCs w:val="19"/>
        </w:rPr>
        <w:t>用。</w:t>
      </w:r>
      <w:r>
        <w:rPr>
          <w:sz w:val="19"/>
          <w:szCs w:val="19"/>
        </w:rPr>
        <w:t xml:space="preserve"> </w:t>
      </w:r>
      <w:r>
        <w:rPr>
          <w:spacing w:val="11"/>
          <w:sz w:val="19"/>
          <w:szCs w:val="19"/>
        </w:rPr>
        <w:t>私有云的部署比较适合于有众多分支机构的大型企业或政府部门。大型企业数据中心的</w:t>
      </w:r>
      <w:r>
        <w:rPr>
          <w:spacing w:val="16"/>
          <w:sz w:val="19"/>
          <w:szCs w:val="19"/>
        </w:rPr>
        <w:t xml:space="preserve"> </w:t>
      </w:r>
      <w:r>
        <w:rPr>
          <w:spacing w:val="8"/>
          <w:sz w:val="19"/>
          <w:szCs w:val="19"/>
        </w:rPr>
        <w:t>集中化趋势日益明显，私有云将会成为企业部署信息系统的主流模式。</w:t>
      </w:r>
    </w:p>
    <w:p w14:paraId="672661A4">
      <w:pPr>
        <w:pStyle w:val="2"/>
        <w:spacing w:before="85" w:line="287" w:lineRule="auto"/>
        <w:ind w:left="959" w:right="55" w:hanging="289"/>
        <w:rPr>
          <w:sz w:val="19"/>
          <w:szCs w:val="19"/>
        </w:rPr>
      </w:pPr>
      <w:r>
        <w:rPr>
          <w:spacing w:val="13"/>
          <w:sz w:val="19"/>
          <w:szCs w:val="19"/>
        </w:rPr>
        <w:t>●混合云。指部分使用公有云、部分使用私有云所构建的云，其提供</w:t>
      </w:r>
      <w:r>
        <w:rPr>
          <w:spacing w:val="12"/>
          <w:sz w:val="19"/>
          <w:szCs w:val="19"/>
        </w:rPr>
        <w:t>的服务可以供他人使</w:t>
      </w:r>
      <w:r>
        <w:rPr>
          <w:sz w:val="19"/>
          <w:szCs w:val="19"/>
        </w:rPr>
        <w:t xml:space="preserve"> </w:t>
      </w:r>
      <w:r>
        <w:rPr>
          <w:spacing w:val="17"/>
          <w:sz w:val="19"/>
          <w:szCs w:val="19"/>
        </w:rPr>
        <w:t>用。混合云可以结合公有云和私有云的优势，但其部署方</w:t>
      </w:r>
      <w:r>
        <w:rPr>
          <w:spacing w:val="16"/>
          <w:sz w:val="19"/>
          <w:szCs w:val="19"/>
        </w:rPr>
        <w:t>式对服务提供者的技术要求</w:t>
      </w:r>
      <w:r>
        <w:rPr>
          <w:sz w:val="19"/>
          <w:szCs w:val="19"/>
        </w:rPr>
        <w:t xml:space="preserve"> </w:t>
      </w:r>
      <w:r>
        <w:rPr>
          <w:spacing w:val="5"/>
          <w:sz w:val="19"/>
          <w:szCs w:val="19"/>
        </w:rPr>
        <w:t>较高。</w:t>
      </w:r>
    </w:p>
    <w:p w14:paraId="2D7D60F4">
      <w:pPr>
        <w:pStyle w:val="2"/>
        <w:spacing w:before="201" w:line="221" w:lineRule="auto"/>
        <w:ind w:left="672"/>
        <w:rPr>
          <w:rFonts w:ascii="黑体" w:hAnsi="黑体" w:eastAsia="黑体" w:cs="黑体"/>
          <w:sz w:val="19"/>
          <w:szCs w:val="19"/>
        </w:rPr>
      </w:pPr>
      <w:r>
        <w:rPr>
          <w:b/>
          <w:bCs/>
          <w:color w:val="0064D7"/>
          <w:spacing w:val="8"/>
          <w:sz w:val="19"/>
          <w:szCs w:val="19"/>
        </w:rPr>
        <w:t>4.</w:t>
      </w:r>
      <w:r>
        <w:rPr>
          <w:rFonts w:ascii="黑体" w:hAnsi="黑体" w:eastAsia="黑体" w:cs="黑体"/>
          <w:b/>
          <w:bCs/>
          <w:color w:val="0064D7"/>
          <w:spacing w:val="8"/>
          <w:sz w:val="19"/>
          <w:szCs w:val="19"/>
        </w:rPr>
        <w:t>云计算的服务类型</w:t>
      </w:r>
    </w:p>
    <w:p w14:paraId="1D419117">
      <w:pPr>
        <w:pStyle w:val="2"/>
        <w:spacing w:before="59" w:line="2230" w:lineRule="exact"/>
        <w:ind w:firstLine="5609"/>
      </w:pPr>
      <w:r>
        <w:pict>
          <v:shape id="_x0000_s1041" o:spid="_x0000_s1041" o:spt="202" type="#_x0000_t202" style="position:absolute;left:0pt;margin-left:13.5pt;margin-top:4.75pt;height:111.85pt;width:260.75pt;z-index:251680768;mso-width-relative:page;mso-height-relative:page;" filled="f" stroked="f" coordsize="21600,21600">
            <v:path/>
            <v:fill on="f" focussize="0,0"/>
            <v:stroke on="f"/>
            <v:imagedata o:title=""/>
            <o:lock v:ext="edit" aspectratio="f"/>
            <v:textbox inset="0mm,0mm,0mm,0mm">
              <w:txbxContent>
                <w:p w14:paraId="1ED876B0">
                  <w:pPr>
                    <w:pStyle w:val="2"/>
                    <w:spacing w:before="19" w:line="308" w:lineRule="auto"/>
                    <w:ind w:left="20" w:right="20" w:firstLine="379"/>
                    <w:jc w:val="both"/>
                    <w:rPr>
                      <w:sz w:val="19"/>
                      <w:szCs w:val="19"/>
                    </w:rPr>
                  </w:pPr>
                  <w:r>
                    <w:rPr>
                      <w:spacing w:val="11"/>
                      <w:sz w:val="19"/>
                      <w:szCs w:val="19"/>
                    </w:rPr>
                    <w:t>云计算从一开始就以实现一切即服务</w:t>
                  </w:r>
                  <w:r>
                    <w:rPr>
                      <w:spacing w:val="-46"/>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Everything</w:t>
                  </w:r>
                  <w:r>
                    <w:rPr>
                      <w:rFonts w:ascii="Times New Roman" w:hAnsi="Times New Roman" w:eastAsia="Times New Roman" w:cs="Times New Roman"/>
                      <w:spacing w:val="20"/>
                      <w:w w:val="101"/>
                      <w:sz w:val="19"/>
                      <w:szCs w:val="19"/>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pacing w:val="21"/>
                      <w:sz w:val="19"/>
                      <w:szCs w:val="19"/>
                    </w:rPr>
                    <w:t xml:space="preserve">  </w:t>
                  </w:r>
                  <w:r>
                    <w:rPr>
                      <w:rFonts w:ascii="Times New Roman" w:hAnsi="Times New Roman" w:eastAsia="Times New Roman" w:cs="Times New Roman"/>
                      <w:sz w:val="19"/>
                      <w:szCs w:val="19"/>
                    </w:rPr>
                    <w:t>a   Servic</w:t>
                  </w:r>
                  <w:r>
                    <w:rPr>
                      <w:rFonts w:ascii="Times New Roman" w:hAnsi="Times New Roman" w:eastAsia="Times New Roman" w:cs="Times New Roman"/>
                      <w:spacing w:val="16"/>
                      <w:sz w:val="19"/>
                      <w:szCs w:val="19"/>
                    </w:rPr>
                    <w:t>,</w:t>
                  </w:r>
                  <w:r>
                    <w:rPr>
                      <w:rFonts w:ascii="Times New Roman" w:hAnsi="Times New Roman" w:eastAsia="Times New Roman" w:cs="Times New Roman"/>
                      <w:sz w:val="19"/>
                      <w:szCs w:val="19"/>
                    </w:rPr>
                    <w:t>EaaS</w:t>
                  </w:r>
                  <w:r>
                    <w:rPr>
                      <w:rFonts w:ascii="Times New Roman" w:hAnsi="Times New Roman" w:eastAsia="Times New Roman" w:cs="Times New Roman"/>
                      <w:spacing w:val="16"/>
                      <w:sz w:val="19"/>
                      <w:szCs w:val="19"/>
                    </w:rPr>
                    <w:t xml:space="preserve">)      </w:t>
                  </w:r>
                  <w:r>
                    <w:rPr>
                      <w:spacing w:val="16"/>
                      <w:sz w:val="19"/>
                      <w:szCs w:val="19"/>
                    </w:rPr>
                    <w:t xml:space="preserve">为首要任务。从体系结构上看，云计算的 </w:t>
                  </w:r>
                  <w:r>
                    <w:rPr>
                      <w:spacing w:val="12"/>
                      <w:sz w:val="19"/>
                      <w:szCs w:val="19"/>
                    </w:rPr>
                    <w:t>服务类型如图1-3所示，不仅实现了按需提供所需的资源，</w:t>
                  </w:r>
                  <w:r>
                    <w:rPr>
                      <w:spacing w:val="4"/>
                      <w:sz w:val="19"/>
                      <w:szCs w:val="19"/>
                    </w:rPr>
                    <w:t xml:space="preserve"> </w:t>
                  </w:r>
                  <w:r>
                    <w:rPr>
                      <w:spacing w:val="6"/>
                      <w:sz w:val="19"/>
                      <w:szCs w:val="19"/>
                    </w:rPr>
                    <w:t>也同时定义了新的应用开发模型。</w:t>
                  </w:r>
                </w:p>
                <w:p w14:paraId="2A8D1F94">
                  <w:pPr>
                    <w:pStyle w:val="2"/>
                    <w:spacing w:before="94" w:line="219" w:lineRule="auto"/>
                    <w:ind w:left="399"/>
                    <w:rPr>
                      <w:sz w:val="19"/>
                      <w:szCs w:val="19"/>
                    </w:rPr>
                  </w:pPr>
                  <w:r>
                    <w:rPr>
                      <w:spacing w:val="17"/>
                      <w:sz w:val="19"/>
                      <w:szCs w:val="19"/>
                    </w:rPr>
                    <w:t>1)基础设施即服务</w:t>
                  </w:r>
                </w:p>
                <w:p w14:paraId="4569B42D">
                  <w:pPr>
                    <w:pStyle w:val="2"/>
                    <w:spacing w:before="62" w:line="275" w:lineRule="auto"/>
                    <w:ind w:left="20" w:right="61" w:firstLine="379"/>
                    <w:rPr>
                      <w:sz w:val="19"/>
                      <w:szCs w:val="19"/>
                    </w:rPr>
                  </w:pPr>
                  <w:r>
                    <w:rPr>
                      <w:spacing w:val="4"/>
                      <w:sz w:val="19"/>
                      <w:szCs w:val="19"/>
                    </w:rPr>
                    <w:t>基础设施即服务</w:t>
                  </w:r>
                  <w:r>
                    <w:rPr>
                      <w:spacing w:val="-28"/>
                      <w:sz w:val="19"/>
                      <w:szCs w:val="19"/>
                    </w:rPr>
                    <w:t xml:space="preserve"> </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Infrastructure</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Service</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IaaS</w:t>
                  </w:r>
                  <w:r>
                    <w:rPr>
                      <w:rFonts w:ascii="Times New Roman" w:hAnsi="Times New Roman" w:eastAsia="Times New Roman" w:cs="Times New Roman"/>
                      <w:spacing w:val="4"/>
                      <w:sz w:val="19"/>
                      <w:szCs w:val="19"/>
                    </w:rPr>
                    <w:t>)</w:t>
                  </w:r>
                  <w:r>
                    <w:rPr>
                      <w:rFonts w:ascii="Times New Roman" w:hAnsi="Times New Roman" w:eastAsia="Times New Roman" w:cs="Times New Roman"/>
                      <w:spacing w:val="14"/>
                      <w:w w:val="101"/>
                      <w:sz w:val="19"/>
                      <w:szCs w:val="19"/>
                    </w:rPr>
                    <w:t xml:space="preserve"> </w:t>
                  </w:r>
                  <w:r>
                    <w:rPr>
                      <w:spacing w:val="4"/>
                      <w:sz w:val="19"/>
                      <w:szCs w:val="19"/>
                    </w:rPr>
                    <w:t>指</w:t>
                  </w:r>
                  <w:r>
                    <w:rPr>
                      <w:sz w:val="19"/>
                      <w:szCs w:val="19"/>
                    </w:rPr>
                    <w:t xml:space="preserve">  </w:t>
                  </w:r>
                  <w:r>
                    <w:rPr>
                      <w:spacing w:val="9"/>
                      <w:sz w:val="19"/>
                      <w:szCs w:val="19"/>
                    </w:rPr>
                    <w:t>的是以服务形式提供服务器、存储和网络硬件。</w:t>
                  </w:r>
                  <w:r>
                    <w:rPr>
                      <w:spacing w:val="62"/>
                      <w:sz w:val="19"/>
                      <w:szCs w:val="19"/>
                    </w:rPr>
                    <w:t xml:space="preserve"> </w:t>
                  </w:r>
                  <w:r>
                    <w:rPr>
                      <w:spacing w:val="9"/>
                      <w:sz w:val="19"/>
                      <w:szCs w:val="19"/>
                    </w:rPr>
                    <w:t>一般利用</w:t>
                  </w:r>
                </w:p>
              </w:txbxContent>
            </v:textbox>
          </v:shape>
        </w:pict>
      </w:r>
      <w:r>
        <w:rPr>
          <w:position w:val="-44"/>
        </w:rPr>
        <w:pict>
          <v:group id="_x0000_s1042" o:spid="_x0000_s1042" o:spt="203" style="height:111.55pt;width:150.55pt;" coordsize="3011,2231">
            <o:lock v:ext="edit"/>
            <v:shape id="_x0000_s1043" o:spid="_x0000_s1043" o:spt="75" type="#_x0000_t75" style="position:absolute;left:0;top:0;height:2231;width:3011;" filled="f" stroked="f" coordsize="21600,21600">
              <v:path/>
              <v:fill on="f" focussize="0,0"/>
              <v:stroke on="f"/>
              <v:imagedata r:id="rId30" o:title=""/>
              <o:lock v:ext="edit" aspectratio="t"/>
            </v:shape>
            <v:shape id="_x0000_s1044" o:spid="_x0000_s1044" o:spt="202" type="#_x0000_t202" style="position:absolute;left:250;top:198;height:1820;width:1968;" filled="f" stroked="f" coordsize="21600,21600">
              <v:path/>
              <v:fill on="f" focussize="0,0"/>
              <v:stroke on="f"/>
              <v:imagedata o:title=""/>
              <o:lock v:ext="edit" aspectratio="f"/>
              <v:textbox inset="0mm,0mm,0mm,0mm">
                <w:txbxContent>
                  <w:p w14:paraId="4783A899">
                    <w:pPr>
                      <w:spacing w:before="20" w:line="220" w:lineRule="auto"/>
                      <w:ind w:left="599"/>
                      <w:rPr>
                        <w:rFonts w:ascii="宋体" w:hAnsi="宋体" w:eastAsia="宋体" w:cs="宋体"/>
                        <w:sz w:val="19"/>
                        <w:szCs w:val="19"/>
                      </w:rPr>
                    </w:pPr>
                    <w:r>
                      <w:rPr>
                        <w:rFonts w:ascii="宋体" w:hAnsi="宋体" w:eastAsia="宋体" w:cs="宋体"/>
                        <w:spacing w:val="-14"/>
                        <w:sz w:val="19"/>
                        <w:szCs w:val="19"/>
                      </w:rPr>
                      <w:t>应用程序</w:t>
                    </w:r>
                  </w:p>
                  <w:p w14:paraId="27DBAF0D">
                    <w:pPr>
                      <w:spacing w:line="249" w:lineRule="auto"/>
                      <w:rPr>
                        <w:rFonts w:ascii="Arial"/>
                        <w:sz w:val="21"/>
                      </w:rPr>
                    </w:pPr>
                  </w:p>
                  <w:p w14:paraId="351D5FD6">
                    <w:pPr>
                      <w:spacing w:before="62" w:line="219" w:lineRule="auto"/>
                      <w:ind w:left="429"/>
                      <w:rPr>
                        <w:rFonts w:ascii="宋体" w:hAnsi="宋体" w:eastAsia="宋体" w:cs="宋体"/>
                        <w:sz w:val="19"/>
                        <w:szCs w:val="19"/>
                      </w:rPr>
                    </w:pPr>
                    <w:r>
                      <w:rPr>
                        <w:rFonts w:ascii="宋体" w:hAnsi="宋体" w:eastAsia="宋体" w:cs="宋体"/>
                        <w:spacing w:val="-15"/>
                        <w:sz w:val="19"/>
                        <w:szCs w:val="19"/>
                      </w:rPr>
                      <w:t>软件开发环境</w:t>
                    </w:r>
                  </w:p>
                  <w:p w14:paraId="39703777">
                    <w:pPr>
                      <w:spacing w:before="204" w:line="205" w:lineRule="auto"/>
                      <w:ind w:right="2"/>
                      <w:jc w:val="right"/>
                      <w:rPr>
                        <w:rFonts w:ascii="宋体" w:hAnsi="宋体" w:eastAsia="宋体" w:cs="宋体"/>
                        <w:sz w:val="19"/>
                        <w:szCs w:val="19"/>
                      </w:rPr>
                    </w:pPr>
                    <w:r>
                      <w:rPr>
                        <w:rFonts w:ascii="宋体" w:hAnsi="宋体" w:eastAsia="宋体" w:cs="宋体"/>
                        <w:spacing w:val="-7"/>
                        <w:sz w:val="19"/>
                        <w:szCs w:val="19"/>
                      </w:rPr>
                      <w:t>计算</w:t>
                    </w:r>
                    <w:r>
                      <w:rPr>
                        <w:rFonts w:ascii="宋体" w:hAnsi="宋体" w:eastAsia="宋体" w:cs="宋体"/>
                        <w:spacing w:val="24"/>
                        <w:sz w:val="19"/>
                        <w:szCs w:val="19"/>
                      </w:rPr>
                      <w:t xml:space="preserve">   </w:t>
                    </w:r>
                    <w:r>
                      <w:rPr>
                        <w:rFonts w:ascii="宋体" w:hAnsi="宋体" w:eastAsia="宋体" w:cs="宋体"/>
                        <w:spacing w:val="-7"/>
                        <w:sz w:val="19"/>
                        <w:szCs w:val="19"/>
                      </w:rPr>
                      <w:t>存储</w:t>
                    </w:r>
                    <w:r>
                      <w:rPr>
                        <w:rFonts w:ascii="宋体" w:hAnsi="宋体" w:eastAsia="宋体" w:cs="宋体"/>
                        <w:spacing w:val="7"/>
                        <w:sz w:val="19"/>
                        <w:szCs w:val="19"/>
                      </w:rPr>
                      <w:t xml:space="preserve">   </w:t>
                    </w:r>
                    <w:r>
                      <w:rPr>
                        <w:rFonts w:ascii="宋体" w:hAnsi="宋体" w:eastAsia="宋体" w:cs="宋体"/>
                        <w:spacing w:val="-7"/>
                        <w:sz w:val="19"/>
                        <w:szCs w:val="19"/>
                      </w:rPr>
                      <w:t>通信带</w:t>
                    </w:r>
                  </w:p>
                  <w:p w14:paraId="3B292430">
                    <w:pPr>
                      <w:spacing w:line="231" w:lineRule="auto"/>
                      <w:ind w:left="20"/>
                      <w:rPr>
                        <w:rFonts w:ascii="宋体" w:hAnsi="宋体" w:eastAsia="宋体" w:cs="宋体"/>
                        <w:sz w:val="19"/>
                        <w:szCs w:val="19"/>
                      </w:rPr>
                    </w:pPr>
                    <w:r>
                      <w:rPr>
                        <w:rFonts w:ascii="宋体" w:hAnsi="宋体" w:eastAsia="宋体" w:cs="宋体"/>
                        <w:spacing w:val="-7"/>
                        <w:sz w:val="19"/>
                        <w:szCs w:val="19"/>
                      </w:rPr>
                      <w:t xml:space="preserve">资源    </w:t>
                    </w:r>
                    <w:r>
                      <w:rPr>
                        <w:rFonts w:ascii="宋体" w:hAnsi="宋体" w:eastAsia="宋体" w:cs="宋体"/>
                        <w:spacing w:val="-7"/>
                        <w:position w:val="-1"/>
                        <w:sz w:val="19"/>
                        <w:szCs w:val="19"/>
                      </w:rPr>
                      <w:t>资源</w:t>
                    </w:r>
                    <w:r>
                      <w:rPr>
                        <w:rFonts w:ascii="宋体" w:hAnsi="宋体" w:eastAsia="宋体" w:cs="宋体"/>
                        <w:spacing w:val="8"/>
                        <w:position w:val="-1"/>
                        <w:sz w:val="19"/>
                        <w:szCs w:val="19"/>
                      </w:rPr>
                      <w:t xml:space="preserve">   </w:t>
                    </w:r>
                    <w:r>
                      <w:rPr>
                        <w:rFonts w:ascii="宋体" w:hAnsi="宋体" w:eastAsia="宋体" w:cs="宋体"/>
                        <w:spacing w:val="-7"/>
                        <w:position w:val="1"/>
                        <w:sz w:val="19"/>
                        <w:szCs w:val="19"/>
                      </w:rPr>
                      <w:t>宽资源</w:t>
                    </w:r>
                  </w:p>
                  <w:p w14:paraId="74FD64A0">
                    <w:pPr>
                      <w:spacing w:before="151" w:line="219" w:lineRule="auto"/>
                      <w:ind w:left="409"/>
                      <w:rPr>
                        <w:rFonts w:ascii="宋体" w:hAnsi="宋体" w:eastAsia="宋体" w:cs="宋体"/>
                        <w:sz w:val="19"/>
                        <w:szCs w:val="19"/>
                      </w:rPr>
                    </w:pPr>
                    <w:r>
                      <w:rPr>
                        <w:rFonts w:ascii="宋体" w:hAnsi="宋体" w:eastAsia="宋体" w:cs="宋体"/>
                        <w:spacing w:val="-15"/>
                        <w:w w:val="97"/>
                        <w:sz w:val="19"/>
                        <w:szCs w:val="19"/>
                      </w:rPr>
                      <w:t>硬件/操作系统</w:t>
                    </w:r>
                  </w:p>
                </w:txbxContent>
              </v:textbox>
            </v:shape>
            <v:shape id="_x0000_s1045" o:spid="_x0000_s1045" o:spt="202" type="#_x0000_t202" style="position:absolute;left:2550;top:226;height:1513;width:417;" filled="f" stroked="f" coordsize="21600,21600">
              <v:path/>
              <v:fill on="f" focussize="0,0"/>
              <v:stroke on="f"/>
              <v:imagedata o:title=""/>
              <o:lock v:ext="edit" aspectratio="f"/>
              <v:textbox inset="0mm,0mm,0mm,0mm">
                <w:txbxContent>
                  <w:p w14:paraId="79EE9941">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SaaS</w:t>
                    </w:r>
                  </w:p>
                  <w:p w14:paraId="3C67A20D">
                    <w:pPr>
                      <w:spacing w:line="312" w:lineRule="auto"/>
                      <w:rPr>
                        <w:rFonts w:ascii="Arial"/>
                        <w:sz w:val="21"/>
                      </w:rPr>
                    </w:pPr>
                  </w:p>
                  <w:p w14:paraId="71A542D8">
                    <w:pPr>
                      <w:spacing w:before="54"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PaaS</w:t>
                    </w:r>
                  </w:p>
                  <w:p w14:paraId="344FCCA5">
                    <w:pPr>
                      <w:spacing w:line="285" w:lineRule="auto"/>
                      <w:rPr>
                        <w:rFonts w:ascii="Arial"/>
                        <w:sz w:val="21"/>
                      </w:rPr>
                    </w:pPr>
                  </w:p>
                  <w:p w14:paraId="4BBD831A">
                    <w:pPr>
                      <w:spacing w:line="285" w:lineRule="auto"/>
                      <w:rPr>
                        <w:rFonts w:ascii="Arial"/>
                        <w:sz w:val="21"/>
                      </w:rPr>
                    </w:pPr>
                  </w:p>
                  <w:p w14:paraId="1C1C6906">
                    <w:pPr>
                      <w:spacing w:before="55"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IaaS</w:t>
                    </w:r>
                  </w:p>
                </w:txbxContent>
              </v:textbox>
            </v:shape>
            <w10:wrap type="none"/>
            <w10:anchorlock/>
          </v:group>
        </w:pict>
      </w:r>
    </w:p>
    <w:p w14:paraId="46467755">
      <w:pPr>
        <w:pStyle w:val="2"/>
        <w:spacing w:before="67" w:line="228" w:lineRule="auto"/>
        <w:ind w:left="290"/>
        <w:rPr>
          <w:sz w:val="19"/>
          <w:szCs w:val="19"/>
        </w:rPr>
      </w:pPr>
      <w:r>
        <w:rPr>
          <w:spacing w:val="8"/>
          <w:sz w:val="19"/>
          <w:szCs w:val="19"/>
        </w:rPr>
        <w:t xml:space="preserve">网格计算架构建立虚拟化的环境，网络光纤、服务器、存       </w:t>
      </w:r>
      <w:r>
        <w:rPr>
          <w:spacing w:val="8"/>
          <w:position w:val="2"/>
          <w:sz w:val="19"/>
          <w:szCs w:val="19"/>
        </w:rPr>
        <w:t>图1</w:t>
      </w:r>
      <w:r>
        <w:rPr>
          <w:spacing w:val="7"/>
          <w:position w:val="2"/>
          <w:sz w:val="19"/>
          <w:szCs w:val="19"/>
        </w:rPr>
        <w:t>-3</w:t>
      </w:r>
      <w:r>
        <w:rPr>
          <w:spacing w:val="73"/>
          <w:position w:val="2"/>
          <w:sz w:val="19"/>
          <w:szCs w:val="19"/>
        </w:rPr>
        <w:t xml:space="preserve"> </w:t>
      </w:r>
      <w:r>
        <w:rPr>
          <w:spacing w:val="7"/>
          <w:position w:val="2"/>
          <w:sz w:val="19"/>
          <w:szCs w:val="19"/>
        </w:rPr>
        <w:t>云计算的服务类型</w:t>
      </w:r>
    </w:p>
    <w:p w14:paraId="0D5D208D">
      <w:pPr>
        <w:pStyle w:val="2"/>
        <w:spacing w:before="94" w:line="285" w:lineRule="auto"/>
        <w:ind w:left="290" w:right="41"/>
        <w:jc w:val="both"/>
        <w:rPr>
          <w:sz w:val="19"/>
          <w:szCs w:val="19"/>
        </w:rPr>
      </w:pPr>
      <w:r>
        <w:rPr>
          <w:spacing w:val="12"/>
          <w:sz w:val="19"/>
          <w:szCs w:val="19"/>
        </w:rPr>
        <w:t>储设备、虚拟化、集群和动态配置软件被涵盖在</w:t>
      </w:r>
      <w:r>
        <w:rPr>
          <w:rFonts w:ascii="Times New Roman" w:hAnsi="Times New Roman" w:eastAsia="Times New Roman" w:cs="Times New Roman"/>
          <w:sz w:val="19"/>
          <w:szCs w:val="19"/>
        </w:rPr>
        <w:t>IaaS</w:t>
      </w:r>
      <w:r>
        <w:rPr>
          <w:rFonts w:ascii="Times New Roman" w:hAnsi="Times New Roman" w:eastAsia="Times New Roman" w:cs="Times New Roman"/>
          <w:spacing w:val="37"/>
          <w:w w:val="101"/>
          <w:sz w:val="19"/>
          <w:szCs w:val="19"/>
        </w:rPr>
        <w:t xml:space="preserve"> </w:t>
      </w:r>
      <w:r>
        <w:rPr>
          <w:spacing w:val="12"/>
          <w:sz w:val="19"/>
          <w:szCs w:val="19"/>
        </w:rPr>
        <w:t>之中。在</w:t>
      </w:r>
      <w:r>
        <w:rPr>
          <w:rFonts w:ascii="Times New Roman" w:hAnsi="Times New Roman" w:eastAsia="Times New Roman" w:cs="Times New Roman"/>
          <w:sz w:val="19"/>
          <w:szCs w:val="19"/>
        </w:rPr>
        <w:t>IaaS</w:t>
      </w:r>
      <w:r>
        <w:rPr>
          <w:rFonts w:ascii="Times New Roman" w:hAnsi="Times New Roman" w:eastAsia="Times New Roman" w:cs="Times New Roman"/>
          <w:spacing w:val="1"/>
          <w:sz w:val="19"/>
          <w:szCs w:val="19"/>
        </w:rPr>
        <w:t xml:space="preserve">  </w:t>
      </w:r>
      <w:r>
        <w:rPr>
          <w:spacing w:val="12"/>
          <w:sz w:val="19"/>
          <w:szCs w:val="19"/>
        </w:rPr>
        <w:t>环境中，用户相当于在使用</w:t>
      </w:r>
      <w:r>
        <w:rPr>
          <w:sz w:val="19"/>
          <w:szCs w:val="19"/>
        </w:rPr>
        <w:t xml:space="preserve"> </w:t>
      </w:r>
      <w:r>
        <w:rPr>
          <w:spacing w:val="13"/>
          <w:sz w:val="19"/>
          <w:szCs w:val="19"/>
        </w:rPr>
        <w:t>裸机和存储设备，虽然可以在其上运行操作系统，但用户必须自己考虑如何让多台机</w:t>
      </w:r>
      <w:r>
        <w:rPr>
          <w:spacing w:val="12"/>
          <w:sz w:val="19"/>
          <w:szCs w:val="19"/>
        </w:rPr>
        <w:t>器协同工</w:t>
      </w:r>
      <w:r>
        <w:rPr>
          <w:sz w:val="19"/>
          <w:szCs w:val="19"/>
        </w:rPr>
        <w:t xml:space="preserve"> </w:t>
      </w:r>
      <w:r>
        <w:rPr>
          <w:spacing w:val="10"/>
          <w:sz w:val="19"/>
          <w:szCs w:val="19"/>
        </w:rPr>
        <w:t>作</w:t>
      </w:r>
      <w:r>
        <w:rPr>
          <w:spacing w:val="-35"/>
          <w:sz w:val="19"/>
          <w:szCs w:val="19"/>
        </w:rPr>
        <w:t xml:space="preserve"> </w:t>
      </w:r>
      <w:r>
        <w:rPr>
          <w:spacing w:val="10"/>
          <w:sz w:val="19"/>
          <w:szCs w:val="19"/>
        </w:rPr>
        <w:t>。</w:t>
      </w:r>
      <w:r>
        <w:rPr>
          <w:rFonts w:ascii="Times New Roman" w:hAnsi="Times New Roman" w:eastAsia="Times New Roman" w:cs="Times New Roman"/>
          <w:sz w:val="19"/>
          <w:szCs w:val="19"/>
        </w:rPr>
        <w:t>IaaS</w:t>
      </w:r>
      <w:r>
        <w:rPr>
          <w:rFonts w:ascii="Times New Roman" w:hAnsi="Times New Roman" w:eastAsia="Times New Roman" w:cs="Times New Roman"/>
          <w:spacing w:val="1"/>
          <w:sz w:val="19"/>
          <w:szCs w:val="19"/>
        </w:rPr>
        <w:t xml:space="preserve">  </w:t>
      </w:r>
      <w:r>
        <w:rPr>
          <w:spacing w:val="10"/>
          <w:sz w:val="19"/>
          <w:szCs w:val="19"/>
        </w:rPr>
        <w:t>的最大优势在于允许用户动态申请或释放节点，</w:t>
      </w:r>
      <w:r>
        <w:rPr>
          <w:spacing w:val="9"/>
          <w:sz w:val="19"/>
          <w:szCs w:val="19"/>
        </w:rPr>
        <w:t>按使用量计费。运行</w:t>
      </w:r>
      <w:r>
        <w:rPr>
          <w:rFonts w:ascii="Times New Roman" w:hAnsi="Times New Roman" w:eastAsia="Times New Roman" w:cs="Times New Roman"/>
          <w:sz w:val="19"/>
          <w:szCs w:val="19"/>
        </w:rPr>
        <w:t>IaaS</w:t>
      </w:r>
      <w:r>
        <w:rPr>
          <w:rFonts w:ascii="Times New Roman" w:hAnsi="Times New Roman" w:eastAsia="Times New Roman" w:cs="Times New Roman"/>
          <w:spacing w:val="1"/>
          <w:sz w:val="19"/>
          <w:szCs w:val="19"/>
        </w:rPr>
        <w:t xml:space="preserve">  </w:t>
      </w:r>
      <w:r>
        <w:rPr>
          <w:spacing w:val="9"/>
          <w:sz w:val="19"/>
          <w:szCs w:val="19"/>
        </w:rPr>
        <w:t>的服务器规</w:t>
      </w:r>
      <w:r>
        <w:rPr>
          <w:spacing w:val="1"/>
          <w:sz w:val="19"/>
          <w:szCs w:val="19"/>
        </w:rPr>
        <w:t xml:space="preserve"> </w:t>
      </w:r>
      <w:r>
        <w:rPr>
          <w:spacing w:val="13"/>
          <w:sz w:val="19"/>
          <w:szCs w:val="19"/>
        </w:rPr>
        <w:t>模通常多达几十万台，用户可以认为能够申请的资源是无</w:t>
      </w:r>
      <w:r>
        <w:rPr>
          <w:spacing w:val="12"/>
          <w:sz w:val="19"/>
          <w:szCs w:val="19"/>
        </w:rPr>
        <w:t>限的。由于</w:t>
      </w:r>
      <w:r>
        <w:rPr>
          <w:rFonts w:ascii="Times New Roman" w:hAnsi="Times New Roman" w:eastAsia="Times New Roman" w:cs="Times New Roman"/>
          <w:sz w:val="19"/>
          <w:szCs w:val="19"/>
        </w:rPr>
        <w:t>IaaS</w:t>
      </w:r>
      <w:r>
        <w:rPr>
          <w:rFonts w:ascii="Times New Roman" w:hAnsi="Times New Roman" w:eastAsia="Times New Roman" w:cs="Times New Roman"/>
          <w:spacing w:val="40"/>
          <w:sz w:val="19"/>
          <w:szCs w:val="19"/>
        </w:rPr>
        <w:t xml:space="preserve"> </w:t>
      </w:r>
      <w:r>
        <w:rPr>
          <w:spacing w:val="12"/>
          <w:sz w:val="19"/>
          <w:szCs w:val="19"/>
        </w:rPr>
        <w:t>是供公众共享的，因</w:t>
      </w:r>
    </w:p>
    <w:p w14:paraId="054C2E84">
      <w:pPr>
        <w:spacing w:line="285" w:lineRule="auto"/>
        <w:rPr>
          <w:sz w:val="19"/>
          <w:szCs w:val="19"/>
        </w:rPr>
        <w:sectPr>
          <w:pgSz w:w="10340" w:h="13420"/>
          <w:pgMar w:top="400" w:right="1085" w:bottom="400" w:left="590" w:header="0" w:footer="0" w:gutter="0"/>
          <w:cols w:space="720" w:num="1"/>
        </w:sectPr>
      </w:pPr>
    </w:p>
    <w:p w14:paraId="1CFEA782">
      <w:pPr>
        <w:pStyle w:val="2"/>
        <w:spacing w:before="77" w:line="219" w:lineRule="auto"/>
        <w:jc w:val="right"/>
        <w:rPr>
          <w:rFonts w:ascii="Times New Roman" w:hAnsi="Times New Roman" w:eastAsia="Times New Roman" w:cs="Times New Roman"/>
          <w:sz w:val="16"/>
          <w:szCs w:val="16"/>
        </w:rPr>
      </w:pPr>
      <w:r>
        <w:rPr>
          <w:spacing w:val="-3"/>
          <w:sz w:val="20"/>
          <w:szCs w:val="20"/>
        </w:rPr>
        <w:t>第1章 信息与信息化</w:t>
      </w:r>
      <w:r>
        <w:rPr>
          <w:spacing w:val="2"/>
          <w:sz w:val="20"/>
          <w:szCs w:val="20"/>
        </w:rPr>
        <w:t xml:space="preserve">       </w:t>
      </w:r>
      <w:r>
        <w:rPr>
          <w:rFonts w:ascii="Times New Roman" w:hAnsi="Times New Roman" w:eastAsia="Times New Roman" w:cs="Times New Roman"/>
          <w:spacing w:val="-3"/>
          <w:sz w:val="16"/>
          <w:szCs w:val="16"/>
        </w:rPr>
        <w:t>11</w:t>
      </w:r>
    </w:p>
    <w:p w14:paraId="1DA7E92F">
      <w:pPr>
        <w:spacing w:line="307" w:lineRule="auto"/>
        <w:rPr>
          <w:rFonts w:ascii="Arial"/>
          <w:sz w:val="21"/>
        </w:rPr>
      </w:pPr>
    </w:p>
    <w:p w14:paraId="1269DB22">
      <w:pPr>
        <w:pStyle w:val="2"/>
        <w:spacing w:before="65" w:line="219" w:lineRule="auto"/>
        <w:ind w:left="99"/>
        <w:rPr>
          <w:sz w:val="20"/>
          <w:szCs w:val="20"/>
        </w:rPr>
      </w:pPr>
      <w:bookmarkStart w:id="483" w:name="bookmark469"/>
      <w:bookmarkEnd w:id="483"/>
      <w:r>
        <w:rPr>
          <w:spacing w:val="-4"/>
          <w:sz w:val="20"/>
          <w:szCs w:val="20"/>
        </w:rPr>
        <w:t>而资源使用率较高。</w:t>
      </w:r>
    </w:p>
    <w:p w14:paraId="127B2EE3">
      <w:pPr>
        <w:spacing w:before="158" w:line="224" w:lineRule="auto"/>
        <w:ind w:left="509"/>
        <w:rPr>
          <w:rFonts w:ascii="楷体" w:hAnsi="楷体" w:eastAsia="楷体" w:cs="楷体"/>
          <w:sz w:val="20"/>
          <w:szCs w:val="20"/>
        </w:rPr>
      </w:pPr>
      <w:r>
        <w:rPr>
          <w:rFonts w:ascii="楷体" w:hAnsi="楷体" w:eastAsia="楷体" w:cs="楷体"/>
          <w:spacing w:val="11"/>
          <w:sz w:val="20"/>
          <w:szCs w:val="20"/>
        </w:rPr>
        <w:t>2)平台即服务</w:t>
      </w:r>
    </w:p>
    <w:p w14:paraId="634E7445">
      <w:pPr>
        <w:pStyle w:val="2"/>
        <w:spacing w:before="39" w:line="293" w:lineRule="auto"/>
        <w:ind w:left="99" w:right="232" w:firstLine="409"/>
        <w:rPr>
          <w:sz w:val="20"/>
          <w:szCs w:val="20"/>
        </w:rPr>
      </w:pPr>
      <w:r>
        <w:rPr>
          <w:spacing w:val="5"/>
          <w:sz w:val="20"/>
          <w:szCs w:val="20"/>
        </w:rPr>
        <w:t>平台即服务</w:t>
      </w:r>
      <w:r>
        <w:rPr>
          <w:spacing w:val="-43"/>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Platform</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as</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Service</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PaaS</w:t>
      </w:r>
      <w:r>
        <w:rPr>
          <w:rFonts w:ascii="Times New Roman" w:hAnsi="Times New Roman" w:eastAsia="Times New Roman" w:cs="Times New Roman"/>
          <w:spacing w:val="5"/>
          <w:sz w:val="20"/>
          <w:szCs w:val="20"/>
        </w:rPr>
        <w:t>)</w:t>
      </w:r>
      <w:r>
        <w:rPr>
          <w:rFonts w:ascii="Times New Roman" w:hAnsi="Times New Roman" w:eastAsia="Times New Roman" w:cs="Times New Roman"/>
          <w:spacing w:val="12"/>
          <w:sz w:val="20"/>
          <w:szCs w:val="20"/>
        </w:rPr>
        <w:t xml:space="preserve"> </w:t>
      </w:r>
      <w:r>
        <w:rPr>
          <w:spacing w:val="5"/>
          <w:sz w:val="20"/>
          <w:szCs w:val="20"/>
        </w:rPr>
        <w:t>在</w:t>
      </w:r>
      <w:r>
        <w:rPr>
          <w:rFonts w:ascii="Times New Roman" w:hAnsi="Times New Roman" w:eastAsia="Times New Roman" w:cs="Times New Roman"/>
          <w:sz w:val="20"/>
          <w:szCs w:val="20"/>
        </w:rPr>
        <w:t>IaaS</w:t>
      </w:r>
      <w:r>
        <w:rPr>
          <w:rFonts w:ascii="Times New Roman" w:hAnsi="Times New Roman" w:eastAsia="Times New Roman" w:cs="Times New Roman"/>
          <w:spacing w:val="20"/>
          <w:sz w:val="20"/>
          <w:szCs w:val="20"/>
        </w:rPr>
        <w:t xml:space="preserve"> </w:t>
      </w:r>
      <w:r>
        <w:rPr>
          <w:spacing w:val="5"/>
          <w:sz w:val="20"/>
          <w:szCs w:val="20"/>
        </w:rPr>
        <w:t>之上，把软件开发环境作为一种服务来</w:t>
      </w:r>
      <w:r>
        <w:rPr>
          <w:sz w:val="20"/>
          <w:szCs w:val="20"/>
        </w:rPr>
        <w:t xml:space="preserve"> </w:t>
      </w:r>
      <w:r>
        <w:rPr>
          <w:spacing w:val="1"/>
          <w:sz w:val="20"/>
          <w:szCs w:val="20"/>
        </w:rPr>
        <w:t>提供，指的是以服务形式将应用程序开发及部署平台提供给第三方开发人员。</w:t>
      </w:r>
      <w:r>
        <w:rPr>
          <w:rFonts w:ascii="Times New Roman" w:hAnsi="Times New Roman" w:eastAsia="Times New Roman" w:cs="Times New Roman"/>
          <w:sz w:val="20"/>
          <w:szCs w:val="20"/>
        </w:rPr>
        <w:t>PaaS</w:t>
      </w:r>
      <w:r>
        <w:rPr>
          <w:rFonts w:ascii="Times New Roman" w:hAnsi="Times New Roman" w:eastAsia="Times New Roman" w:cs="Times New Roman"/>
          <w:spacing w:val="48"/>
          <w:w w:val="101"/>
          <w:sz w:val="20"/>
          <w:szCs w:val="20"/>
        </w:rPr>
        <w:t xml:space="preserve"> </w:t>
      </w:r>
      <w:r>
        <w:rPr>
          <w:spacing w:val="1"/>
          <w:sz w:val="20"/>
          <w:szCs w:val="20"/>
        </w:rPr>
        <w:t>一般包含数</w:t>
      </w:r>
      <w:r>
        <w:rPr>
          <w:sz w:val="20"/>
          <w:szCs w:val="20"/>
        </w:rPr>
        <w:t xml:space="preserve"> </w:t>
      </w:r>
      <w:r>
        <w:rPr>
          <w:spacing w:val="-2"/>
          <w:sz w:val="20"/>
          <w:szCs w:val="20"/>
        </w:rPr>
        <w:t>据库、中间件及开发工具，均以服务形式通过互联网提供。</w:t>
      </w:r>
    </w:p>
    <w:p w14:paraId="4A8D81B1">
      <w:pPr>
        <w:spacing w:before="114" w:line="225" w:lineRule="auto"/>
        <w:ind w:left="512"/>
        <w:rPr>
          <w:rFonts w:ascii="楷体" w:hAnsi="楷体" w:eastAsia="楷体" w:cs="楷体"/>
          <w:sz w:val="20"/>
          <w:szCs w:val="20"/>
        </w:rPr>
      </w:pPr>
      <w:r>
        <w:rPr>
          <w:rFonts w:ascii="楷体" w:hAnsi="楷体" w:eastAsia="楷体" w:cs="楷体"/>
          <w:b/>
          <w:bCs/>
          <w:spacing w:val="8"/>
          <w:sz w:val="20"/>
          <w:szCs w:val="20"/>
        </w:rPr>
        <w:t>3)软件即服务</w:t>
      </w:r>
    </w:p>
    <w:p w14:paraId="6939D8EA">
      <w:pPr>
        <w:pStyle w:val="2"/>
        <w:spacing w:before="49" w:line="293" w:lineRule="auto"/>
        <w:ind w:left="99" w:right="237" w:firstLine="409"/>
        <w:jc w:val="both"/>
        <w:rPr>
          <w:sz w:val="20"/>
          <w:szCs w:val="20"/>
        </w:rPr>
      </w:pPr>
      <w:r>
        <w:rPr>
          <w:sz w:val="20"/>
          <w:szCs w:val="20"/>
        </w:rPr>
        <w:t>软件即服务</w:t>
      </w:r>
      <w:r>
        <w:rPr>
          <w:spacing w:val="-38"/>
          <w:sz w:val="20"/>
          <w:szCs w:val="20"/>
        </w:rPr>
        <w:t xml:space="preserve"> </w:t>
      </w:r>
      <w:r>
        <w:rPr>
          <w:rFonts w:ascii="Times New Roman" w:hAnsi="Times New Roman" w:eastAsia="Times New Roman" w:cs="Times New Roman"/>
          <w:sz w:val="20"/>
          <w:szCs w:val="20"/>
        </w:rPr>
        <w:t xml:space="preserve">(Software   as   a   Service,SaaS) </w:t>
      </w:r>
      <w:r>
        <w:rPr>
          <w:sz w:val="20"/>
          <w:szCs w:val="20"/>
        </w:rPr>
        <w:t xml:space="preserve">指的是将应用程序以服务形式提供给用户，应用 </w:t>
      </w:r>
      <w:r>
        <w:rPr>
          <w:spacing w:val="6"/>
          <w:sz w:val="20"/>
          <w:szCs w:val="20"/>
        </w:rPr>
        <w:t>程序可以是公有云提供商提供的商用</w:t>
      </w:r>
      <w:r>
        <w:rPr>
          <w:rFonts w:ascii="Times New Roman" w:hAnsi="Times New Roman" w:eastAsia="Times New Roman" w:cs="Times New Roman"/>
          <w:sz w:val="20"/>
          <w:szCs w:val="20"/>
        </w:rPr>
        <w:t>SaaS</w:t>
      </w:r>
      <w:r>
        <w:rPr>
          <w:rFonts w:ascii="Times New Roman" w:hAnsi="Times New Roman" w:eastAsia="Times New Roman" w:cs="Times New Roman"/>
          <w:spacing w:val="6"/>
          <w:sz w:val="20"/>
          <w:szCs w:val="20"/>
        </w:rPr>
        <w:t xml:space="preserve"> </w:t>
      </w:r>
      <w:r>
        <w:rPr>
          <w:spacing w:val="6"/>
          <w:sz w:val="20"/>
          <w:szCs w:val="20"/>
        </w:rPr>
        <w:t>应用，或</w:t>
      </w:r>
      <w:r>
        <w:rPr>
          <w:spacing w:val="5"/>
          <w:sz w:val="20"/>
          <w:szCs w:val="20"/>
        </w:rPr>
        <w:t>私有云提供商提供的商用或定制的</w:t>
      </w:r>
      <w:r>
        <w:rPr>
          <w:rFonts w:ascii="Times New Roman" w:hAnsi="Times New Roman" w:eastAsia="Times New Roman" w:cs="Times New Roman"/>
          <w:sz w:val="20"/>
          <w:szCs w:val="20"/>
        </w:rPr>
        <w:t>SaaS</w:t>
      </w:r>
      <w:r>
        <w:rPr>
          <w:rFonts w:ascii="Times New Roman" w:hAnsi="Times New Roman" w:eastAsia="Times New Roman" w:cs="Times New Roman"/>
          <w:spacing w:val="5"/>
          <w:sz w:val="20"/>
          <w:szCs w:val="20"/>
        </w:rPr>
        <w:t xml:space="preserve"> </w:t>
      </w:r>
      <w:r>
        <w:rPr>
          <w:spacing w:val="5"/>
          <w:sz w:val="20"/>
          <w:szCs w:val="20"/>
        </w:rPr>
        <w:t>应</w:t>
      </w:r>
      <w:r>
        <w:rPr>
          <w:sz w:val="20"/>
          <w:szCs w:val="20"/>
        </w:rPr>
        <w:t xml:space="preserve"> </w:t>
      </w:r>
      <w:r>
        <w:rPr>
          <w:spacing w:val="-4"/>
          <w:sz w:val="20"/>
          <w:szCs w:val="20"/>
        </w:rPr>
        <w:t>用</w:t>
      </w:r>
      <w:r>
        <w:rPr>
          <w:spacing w:val="-51"/>
          <w:sz w:val="20"/>
          <w:szCs w:val="20"/>
        </w:rPr>
        <w:t xml:space="preserve"> </w:t>
      </w:r>
      <w:r>
        <w:rPr>
          <w:spacing w:val="-4"/>
          <w:sz w:val="20"/>
          <w:szCs w:val="20"/>
        </w:rPr>
        <w:t>。</w:t>
      </w:r>
      <w:r>
        <w:rPr>
          <w:rFonts w:ascii="Times New Roman" w:hAnsi="Times New Roman" w:eastAsia="Times New Roman" w:cs="Times New Roman"/>
          <w:spacing w:val="-4"/>
          <w:sz w:val="20"/>
          <w:szCs w:val="20"/>
        </w:rPr>
        <w:t>SaaS</w:t>
      </w:r>
      <w:r>
        <w:rPr>
          <w:rFonts w:ascii="Times New Roman" w:hAnsi="Times New Roman" w:eastAsia="Times New Roman" w:cs="Times New Roman"/>
          <w:spacing w:val="23"/>
          <w:sz w:val="20"/>
          <w:szCs w:val="20"/>
        </w:rPr>
        <w:t xml:space="preserve"> </w:t>
      </w:r>
      <w:r>
        <w:rPr>
          <w:spacing w:val="-4"/>
          <w:sz w:val="20"/>
          <w:szCs w:val="20"/>
        </w:rPr>
        <w:t>一般通过浏览器将程序提供给成千上万</w:t>
      </w:r>
      <w:r>
        <w:rPr>
          <w:spacing w:val="-5"/>
          <w:sz w:val="20"/>
          <w:szCs w:val="20"/>
        </w:rPr>
        <w:t>的用户使用。</w:t>
      </w:r>
    </w:p>
    <w:p w14:paraId="3036F627">
      <w:pPr>
        <w:pStyle w:val="2"/>
        <w:spacing w:before="178" w:line="219" w:lineRule="auto"/>
        <w:ind w:left="102"/>
        <w:rPr>
          <w:sz w:val="26"/>
          <w:szCs w:val="26"/>
        </w:rPr>
      </w:pPr>
      <w:r>
        <w:rPr>
          <w:b/>
          <w:bCs/>
          <w:color w:val="0055D7"/>
          <w:spacing w:val="-25"/>
          <w:sz w:val="26"/>
          <w:szCs w:val="26"/>
        </w:rPr>
        <w:t>1.3.2</w:t>
      </w:r>
      <w:r>
        <w:rPr>
          <w:color w:val="0055D7"/>
          <w:spacing w:val="99"/>
          <w:sz w:val="26"/>
          <w:szCs w:val="26"/>
        </w:rPr>
        <w:t xml:space="preserve"> </w:t>
      </w:r>
      <w:r>
        <w:rPr>
          <w:b/>
          <w:bCs/>
          <w:color w:val="0055D7"/>
          <w:spacing w:val="-25"/>
          <w:sz w:val="26"/>
          <w:szCs w:val="26"/>
        </w:rPr>
        <w:t>大数据</w:t>
      </w:r>
    </w:p>
    <w:p w14:paraId="6FB68BFF">
      <w:pPr>
        <w:pStyle w:val="2"/>
        <w:spacing w:before="152" w:line="293" w:lineRule="auto"/>
        <w:ind w:left="99" w:right="245" w:firstLine="409"/>
        <w:jc w:val="both"/>
        <w:rPr>
          <w:sz w:val="16"/>
          <w:szCs w:val="16"/>
        </w:rPr>
      </w:pPr>
      <w:r>
        <w:rPr>
          <w:spacing w:val="3"/>
          <w:sz w:val="20"/>
          <w:szCs w:val="20"/>
        </w:rPr>
        <w:t>大数据是重要的生产要素，是数据的集合，以容量大、类型多、速</w:t>
      </w:r>
      <w:r>
        <w:rPr>
          <w:spacing w:val="2"/>
          <w:sz w:val="20"/>
          <w:szCs w:val="20"/>
        </w:rPr>
        <w:t>度快、精度准、价值高</w:t>
      </w:r>
      <w:r>
        <w:rPr>
          <w:sz w:val="20"/>
          <w:szCs w:val="20"/>
        </w:rPr>
        <w:t xml:space="preserve"> </w:t>
      </w:r>
      <w:r>
        <w:rPr>
          <w:spacing w:val="3"/>
          <w:sz w:val="20"/>
          <w:szCs w:val="20"/>
        </w:rPr>
        <w:t>为主要特征。大数据产业是以数据生成、采</w:t>
      </w:r>
      <w:r>
        <w:rPr>
          <w:spacing w:val="2"/>
          <w:sz w:val="20"/>
          <w:szCs w:val="20"/>
        </w:rPr>
        <w:t>集、存储、加工、分析、服务为主的战略性新兴产</w:t>
      </w:r>
      <w:r>
        <w:rPr>
          <w:sz w:val="20"/>
          <w:szCs w:val="20"/>
        </w:rPr>
        <w:t xml:space="preserve"> </w:t>
      </w:r>
      <w:r>
        <w:rPr>
          <w:spacing w:val="3"/>
          <w:sz w:val="20"/>
          <w:szCs w:val="20"/>
        </w:rPr>
        <w:t>业，是激活数据要素潜能的关键支撑，是加快经济社会发展质量变革、效率变革、动力变革的</w:t>
      </w:r>
      <w:r>
        <w:rPr>
          <w:spacing w:val="1"/>
          <w:sz w:val="20"/>
          <w:szCs w:val="20"/>
        </w:rPr>
        <w:t xml:space="preserve"> </w:t>
      </w:r>
      <w:r>
        <w:rPr>
          <w:spacing w:val="24"/>
          <w:sz w:val="16"/>
          <w:szCs w:val="16"/>
        </w:rPr>
        <w:t>重要引擎</w:t>
      </w:r>
      <w:r>
        <w:rPr>
          <w:spacing w:val="-38"/>
          <w:sz w:val="16"/>
          <w:szCs w:val="16"/>
        </w:rPr>
        <w:t xml:space="preserve"> </w:t>
      </w:r>
      <w:r>
        <w:rPr>
          <w:spacing w:val="24"/>
          <w:sz w:val="16"/>
          <w:szCs w:val="16"/>
        </w:rPr>
        <w:t>。</w:t>
      </w:r>
    </w:p>
    <w:p w14:paraId="70C2F6F8">
      <w:pPr>
        <w:pStyle w:val="2"/>
        <w:spacing w:before="142" w:line="222" w:lineRule="auto"/>
        <w:ind w:left="512"/>
        <w:rPr>
          <w:rFonts w:ascii="黑体" w:hAnsi="黑体" w:eastAsia="黑体" w:cs="黑体"/>
          <w:sz w:val="20"/>
          <w:szCs w:val="20"/>
        </w:rPr>
      </w:pPr>
      <w:r>
        <w:rPr>
          <w:b/>
          <w:bCs/>
          <w:color w:val="004FC6"/>
          <w:spacing w:val="-3"/>
          <w:sz w:val="20"/>
          <w:szCs w:val="20"/>
        </w:rPr>
        <w:t>1.</w:t>
      </w:r>
      <w:r>
        <w:rPr>
          <w:rFonts w:ascii="黑体" w:hAnsi="黑体" w:eastAsia="黑体" w:cs="黑体"/>
          <w:b/>
          <w:bCs/>
          <w:color w:val="004FC6"/>
          <w:spacing w:val="-3"/>
          <w:sz w:val="20"/>
          <w:szCs w:val="20"/>
        </w:rPr>
        <w:t>大数据的定义</w:t>
      </w:r>
    </w:p>
    <w:p w14:paraId="12E47265">
      <w:pPr>
        <w:pStyle w:val="2"/>
        <w:spacing w:before="140" w:line="307" w:lineRule="auto"/>
        <w:ind w:left="99" w:right="252" w:firstLine="409"/>
        <w:jc w:val="both"/>
        <w:rPr>
          <w:sz w:val="16"/>
          <w:szCs w:val="16"/>
        </w:rPr>
      </w:pPr>
      <w:r>
        <w:rPr>
          <w:spacing w:val="3"/>
          <w:sz w:val="20"/>
          <w:szCs w:val="20"/>
        </w:rPr>
        <w:t>维基百科对大数据的定义是：巨量数据、大资料，是指所涉及的</w:t>
      </w:r>
      <w:r>
        <w:rPr>
          <w:spacing w:val="2"/>
          <w:sz w:val="20"/>
          <w:szCs w:val="20"/>
        </w:rPr>
        <w:t>数据量规模巨大到无法通</w:t>
      </w:r>
      <w:r>
        <w:rPr>
          <w:sz w:val="20"/>
          <w:szCs w:val="20"/>
        </w:rPr>
        <w:t xml:space="preserve"> </w:t>
      </w:r>
      <w:r>
        <w:rPr>
          <w:spacing w:val="3"/>
          <w:sz w:val="20"/>
          <w:szCs w:val="20"/>
        </w:rPr>
        <w:t>过当前的技术和工具，在一定的时间内进行截取、管理、处理，并整理成需求者</w:t>
      </w:r>
      <w:r>
        <w:rPr>
          <w:spacing w:val="2"/>
          <w:sz w:val="20"/>
          <w:szCs w:val="20"/>
        </w:rPr>
        <w:t>所需要的决策</w:t>
      </w:r>
      <w:r>
        <w:rPr>
          <w:sz w:val="20"/>
          <w:szCs w:val="20"/>
        </w:rPr>
        <w:t xml:space="preserve"> </w:t>
      </w:r>
      <w:r>
        <w:rPr>
          <w:spacing w:val="-7"/>
          <w:sz w:val="16"/>
          <w:szCs w:val="16"/>
        </w:rPr>
        <w:t>信</w:t>
      </w:r>
      <w:r>
        <w:rPr>
          <w:spacing w:val="-12"/>
          <w:sz w:val="16"/>
          <w:szCs w:val="16"/>
        </w:rPr>
        <w:t xml:space="preserve"> </w:t>
      </w:r>
      <w:r>
        <w:rPr>
          <w:spacing w:val="-7"/>
          <w:sz w:val="16"/>
          <w:szCs w:val="16"/>
        </w:rPr>
        <w:t>息</w:t>
      </w:r>
      <w:r>
        <w:rPr>
          <w:spacing w:val="-25"/>
          <w:sz w:val="16"/>
          <w:szCs w:val="16"/>
        </w:rPr>
        <w:t xml:space="preserve"> </w:t>
      </w:r>
      <w:r>
        <w:rPr>
          <w:spacing w:val="-7"/>
          <w:sz w:val="16"/>
          <w:szCs w:val="16"/>
        </w:rPr>
        <w:t>。</w:t>
      </w:r>
    </w:p>
    <w:p w14:paraId="34723B2E">
      <w:pPr>
        <w:pStyle w:val="2"/>
        <w:spacing w:before="3" w:line="279" w:lineRule="auto"/>
        <w:ind w:right="181" w:firstLine="509"/>
        <w:jc w:val="both"/>
        <w:rPr>
          <w:sz w:val="20"/>
          <w:szCs w:val="20"/>
        </w:rPr>
      </w:pPr>
      <w:r>
        <w:rPr>
          <w:spacing w:val="4"/>
          <w:sz w:val="20"/>
          <w:szCs w:val="20"/>
        </w:rPr>
        <w:t>被誉为“大数据时代的预言家”的维克托 ·</w:t>
      </w:r>
      <w:r>
        <w:rPr>
          <w:spacing w:val="-82"/>
          <w:sz w:val="20"/>
          <w:szCs w:val="20"/>
        </w:rPr>
        <w:t xml:space="preserve"> </w:t>
      </w:r>
      <w:r>
        <w:rPr>
          <w:spacing w:val="4"/>
          <w:sz w:val="20"/>
          <w:szCs w:val="20"/>
        </w:rPr>
        <w:t>迈尔-舍恩伯格、肯尼思 ·</w:t>
      </w:r>
      <w:r>
        <w:rPr>
          <w:spacing w:val="-80"/>
          <w:sz w:val="20"/>
          <w:szCs w:val="20"/>
        </w:rPr>
        <w:t xml:space="preserve"> </w:t>
      </w:r>
      <w:r>
        <w:rPr>
          <w:spacing w:val="4"/>
          <w:sz w:val="20"/>
          <w:szCs w:val="20"/>
        </w:rPr>
        <w:t>库</w:t>
      </w:r>
      <w:r>
        <w:rPr>
          <w:spacing w:val="3"/>
          <w:sz w:val="20"/>
          <w:szCs w:val="20"/>
        </w:rPr>
        <w:t>克耶在其专著</w:t>
      </w:r>
      <w:r>
        <w:rPr>
          <w:sz w:val="20"/>
          <w:szCs w:val="20"/>
        </w:rPr>
        <w:t xml:space="preserve">  </w:t>
      </w:r>
      <w:r>
        <w:rPr>
          <w:spacing w:val="-3"/>
          <w:sz w:val="20"/>
          <w:szCs w:val="20"/>
        </w:rPr>
        <w:t>《大数据时代：生活、工作与思维的大变革》中对大数据的定义为：大数据是人们获得新的认知、</w:t>
      </w:r>
      <w:r>
        <w:rPr>
          <w:spacing w:val="18"/>
          <w:sz w:val="20"/>
          <w:szCs w:val="20"/>
        </w:rPr>
        <w:t xml:space="preserve"> </w:t>
      </w:r>
      <w:r>
        <w:rPr>
          <w:spacing w:val="6"/>
          <w:sz w:val="20"/>
          <w:szCs w:val="20"/>
        </w:rPr>
        <w:t>创造新的价值的源泉。大数据是人们在大规模</w:t>
      </w:r>
      <w:r>
        <w:rPr>
          <w:spacing w:val="5"/>
          <w:sz w:val="20"/>
          <w:szCs w:val="20"/>
        </w:rPr>
        <w:t>数据的基础上可以做到的事情，而这些事情在小</w:t>
      </w:r>
      <w:r>
        <w:rPr>
          <w:sz w:val="20"/>
          <w:szCs w:val="20"/>
        </w:rPr>
        <w:t xml:space="preserve"> </w:t>
      </w:r>
      <w:r>
        <w:rPr>
          <w:spacing w:val="4"/>
          <w:sz w:val="20"/>
          <w:szCs w:val="20"/>
        </w:rPr>
        <w:t>规模的数据基础上是无法完成的。</w:t>
      </w:r>
    </w:p>
    <w:p w14:paraId="76479A76">
      <w:pPr>
        <w:pStyle w:val="2"/>
        <w:spacing w:before="27" w:line="278" w:lineRule="auto"/>
        <w:ind w:left="99" w:right="254" w:firstLine="409"/>
        <w:jc w:val="both"/>
        <w:rPr>
          <w:sz w:val="20"/>
          <w:szCs w:val="20"/>
        </w:rPr>
      </w:pPr>
      <w:r>
        <w:rPr>
          <w:spacing w:val="2"/>
          <w:sz w:val="20"/>
          <w:szCs w:val="20"/>
        </w:rPr>
        <w:t>本教程在学术领域及各个研究机构和行业研究的基础上，将大数据定义为：海量数据或巨</w:t>
      </w:r>
      <w:r>
        <w:rPr>
          <w:spacing w:val="11"/>
          <w:sz w:val="20"/>
          <w:szCs w:val="20"/>
        </w:rPr>
        <w:t xml:space="preserve"> </w:t>
      </w:r>
      <w:r>
        <w:rPr>
          <w:spacing w:val="3"/>
          <w:sz w:val="20"/>
          <w:szCs w:val="20"/>
        </w:rPr>
        <w:t>量数据，其规模巨大到无法通过目前主流的计算机系统在合理时间内获取、存</w:t>
      </w:r>
      <w:r>
        <w:rPr>
          <w:spacing w:val="2"/>
          <w:sz w:val="20"/>
          <w:szCs w:val="20"/>
        </w:rPr>
        <w:t>储、管理、处理</w:t>
      </w:r>
      <w:r>
        <w:rPr>
          <w:sz w:val="20"/>
          <w:szCs w:val="20"/>
        </w:rPr>
        <w:t xml:space="preserve"> </w:t>
      </w:r>
      <w:r>
        <w:rPr>
          <w:spacing w:val="-4"/>
          <w:sz w:val="20"/>
          <w:szCs w:val="20"/>
        </w:rPr>
        <w:t>并提炼以帮助使用者决策。</w:t>
      </w:r>
    </w:p>
    <w:p w14:paraId="3FFB2D93">
      <w:pPr>
        <w:pStyle w:val="2"/>
        <w:spacing w:before="124" w:line="221" w:lineRule="auto"/>
        <w:ind w:left="512"/>
        <w:rPr>
          <w:rFonts w:ascii="黑体" w:hAnsi="黑体" w:eastAsia="黑体" w:cs="黑体"/>
          <w:sz w:val="20"/>
          <w:szCs w:val="20"/>
        </w:rPr>
      </w:pPr>
      <w:r>
        <w:rPr>
          <w:b/>
          <w:bCs/>
          <w:color w:val="0057CB"/>
          <w:spacing w:val="-5"/>
          <w:sz w:val="20"/>
          <w:szCs w:val="20"/>
        </w:rPr>
        <w:t>2.</w:t>
      </w:r>
      <w:r>
        <w:rPr>
          <w:rFonts w:ascii="黑体" w:hAnsi="黑体" w:eastAsia="黑体" w:cs="黑体"/>
          <w:b/>
          <w:bCs/>
          <w:color w:val="0057CB"/>
          <w:spacing w:val="-5"/>
          <w:sz w:val="20"/>
          <w:szCs w:val="20"/>
        </w:rPr>
        <w:t>大数据的特征</w:t>
      </w:r>
    </w:p>
    <w:p w14:paraId="3309A0FD">
      <w:pPr>
        <w:pStyle w:val="2"/>
        <w:spacing w:before="116" w:line="294" w:lineRule="auto"/>
        <w:ind w:left="99" w:right="234" w:firstLine="409"/>
        <w:jc w:val="both"/>
        <w:rPr>
          <w:sz w:val="16"/>
          <w:szCs w:val="16"/>
        </w:rPr>
      </w:pPr>
      <w:r>
        <w:rPr>
          <w:spacing w:val="5"/>
          <w:sz w:val="20"/>
          <w:szCs w:val="20"/>
        </w:rPr>
        <w:t>目前关于大数据的特征的说法还具有一定的争议，本教程采用普遍被接受的4V——规 模</w:t>
      </w:r>
      <w:r>
        <w:rPr>
          <w:spacing w:val="7"/>
          <w:sz w:val="20"/>
          <w:szCs w:val="20"/>
        </w:rPr>
        <w:t xml:space="preserve"> </w:t>
      </w:r>
      <w:r>
        <w:rPr>
          <w:spacing w:val="9"/>
          <w:sz w:val="20"/>
          <w:szCs w:val="20"/>
        </w:rPr>
        <w:t>性</w:t>
      </w:r>
      <w:r>
        <w:rPr>
          <w:spacing w:val="-3"/>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Volume</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8"/>
          <w:sz w:val="20"/>
          <w:szCs w:val="20"/>
        </w:rPr>
        <w:t xml:space="preserve"> </w:t>
      </w:r>
      <w:r>
        <w:rPr>
          <w:spacing w:val="9"/>
          <w:sz w:val="20"/>
          <w:szCs w:val="20"/>
        </w:rPr>
        <w:t>、 多样性</w:t>
      </w:r>
      <w:r>
        <w:rPr>
          <w:spacing w:val="-48"/>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Variety</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8"/>
          <w:sz w:val="20"/>
          <w:szCs w:val="20"/>
        </w:rPr>
        <w:t xml:space="preserve"> </w:t>
      </w:r>
      <w:r>
        <w:rPr>
          <w:spacing w:val="9"/>
          <w:sz w:val="20"/>
          <w:szCs w:val="20"/>
        </w:rPr>
        <w:t>、 价值密度</w:t>
      </w:r>
      <w:r>
        <w:rPr>
          <w:spacing w:val="-52"/>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Value</w:t>
      </w:r>
      <w:r>
        <w:rPr>
          <w:rFonts w:ascii="Times New Roman" w:hAnsi="Times New Roman" w:eastAsia="Times New Roman" w:cs="Times New Roman"/>
          <w:spacing w:val="9"/>
          <w:sz w:val="20"/>
          <w:szCs w:val="20"/>
        </w:rPr>
        <w:t xml:space="preserve">)   </w:t>
      </w:r>
      <w:r>
        <w:rPr>
          <w:spacing w:val="9"/>
          <w:sz w:val="20"/>
          <w:szCs w:val="20"/>
        </w:rPr>
        <w:t>和速度</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Velocity</w:t>
      </w:r>
      <w:r>
        <w:rPr>
          <w:rFonts w:ascii="Times New Roman" w:hAnsi="Times New Roman" w:eastAsia="Times New Roman" w:cs="Times New Roman"/>
          <w:spacing w:val="9"/>
          <w:sz w:val="20"/>
          <w:szCs w:val="20"/>
        </w:rPr>
        <w:t xml:space="preserve">)   </w:t>
      </w:r>
      <w:r>
        <w:rPr>
          <w:spacing w:val="9"/>
          <w:sz w:val="20"/>
          <w:szCs w:val="20"/>
        </w:rPr>
        <w:t>进行描述，如图1-4</w:t>
      </w:r>
      <w:r>
        <w:rPr>
          <w:sz w:val="20"/>
          <w:szCs w:val="20"/>
        </w:rPr>
        <w:t xml:space="preserve"> </w:t>
      </w:r>
      <w:r>
        <w:rPr>
          <w:spacing w:val="-5"/>
          <w:sz w:val="16"/>
          <w:szCs w:val="16"/>
        </w:rPr>
        <w:t>所</w:t>
      </w:r>
      <w:r>
        <w:rPr>
          <w:spacing w:val="-18"/>
          <w:sz w:val="16"/>
          <w:szCs w:val="16"/>
        </w:rPr>
        <w:t xml:space="preserve"> </w:t>
      </w:r>
      <w:r>
        <w:rPr>
          <w:spacing w:val="-5"/>
          <w:sz w:val="16"/>
          <w:szCs w:val="16"/>
        </w:rPr>
        <w:t>示</w:t>
      </w:r>
      <w:r>
        <w:rPr>
          <w:spacing w:val="-25"/>
          <w:sz w:val="16"/>
          <w:szCs w:val="16"/>
        </w:rPr>
        <w:t xml:space="preserve"> </w:t>
      </w:r>
      <w:r>
        <w:rPr>
          <w:spacing w:val="-5"/>
          <w:sz w:val="16"/>
          <w:szCs w:val="16"/>
        </w:rPr>
        <w:t>。</w:t>
      </w:r>
    </w:p>
    <w:p w14:paraId="638E3DB3">
      <w:pPr>
        <w:pStyle w:val="2"/>
        <w:spacing w:before="16" w:line="261" w:lineRule="auto"/>
        <w:ind w:left="99" w:right="251" w:firstLine="409"/>
        <w:rPr>
          <w:sz w:val="20"/>
          <w:szCs w:val="20"/>
        </w:rPr>
      </w:pPr>
      <w:r>
        <w:rPr>
          <w:spacing w:val="12"/>
          <w:sz w:val="20"/>
          <w:szCs w:val="20"/>
        </w:rPr>
        <w:t>(1)规模性</w:t>
      </w:r>
      <w:r>
        <w:rPr>
          <w:spacing w:val="-38"/>
          <w:sz w:val="20"/>
          <w:szCs w:val="20"/>
        </w:rPr>
        <w:t xml:space="preserve"> </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Volume</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22"/>
          <w:sz w:val="20"/>
          <w:szCs w:val="20"/>
        </w:rPr>
        <w:t xml:space="preserve"> </w:t>
      </w:r>
      <w:r>
        <w:rPr>
          <w:spacing w:val="12"/>
          <w:sz w:val="20"/>
          <w:szCs w:val="20"/>
        </w:rPr>
        <w:t>。 非结构化数据的超大规模和增长，导致数据集合的规模</w:t>
      </w:r>
      <w:r>
        <w:rPr>
          <w:spacing w:val="11"/>
          <w:sz w:val="20"/>
          <w:szCs w:val="20"/>
        </w:rPr>
        <w:t>不断扩</w:t>
      </w:r>
      <w:r>
        <w:rPr>
          <w:sz w:val="20"/>
          <w:szCs w:val="20"/>
        </w:rPr>
        <w:t xml:space="preserve"> </w:t>
      </w:r>
      <w:r>
        <w:rPr>
          <w:spacing w:val="5"/>
          <w:sz w:val="20"/>
          <w:szCs w:val="20"/>
        </w:rPr>
        <w:t>大，数据的单位已从</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 xml:space="preserve"> </w:t>
      </w:r>
      <w:r>
        <w:rPr>
          <w:spacing w:val="5"/>
          <w:sz w:val="20"/>
          <w:szCs w:val="20"/>
        </w:rPr>
        <w:t>到</w:t>
      </w:r>
      <w:r>
        <w:rPr>
          <w:spacing w:val="-47"/>
          <w:sz w:val="20"/>
          <w:szCs w:val="20"/>
        </w:rPr>
        <w:t xml:space="preserve"> </w:t>
      </w:r>
      <w:r>
        <w:rPr>
          <w:rFonts w:ascii="Times New Roman" w:hAnsi="Times New Roman" w:eastAsia="Times New Roman" w:cs="Times New Roman"/>
          <w:sz w:val="20"/>
          <w:szCs w:val="20"/>
        </w:rPr>
        <w:t>TB</w:t>
      </w:r>
      <w:r>
        <w:rPr>
          <w:rFonts w:ascii="Times New Roman" w:hAnsi="Times New Roman" w:eastAsia="Times New Roman" w:cs="Times New Roman"/>
          <w:spacing w:val="5"/>
          <w:sz w:val="20"/>
          <w:szCs w:val="20"/>
        </w:rPr>
        <w:t>(1</w:t>
      </w:r>
      <w:r>
        <w:rPr>
          <w:rFonts w:ascii="Times New Roman" w:hAnsi="Times New Roman" w:eastAsia="Times New Roman" w:cs="Times New Roman"/>
          <w:sz w:val="20"/>
          <w:szCs w:val="20"/>
        </w:rPr>
        <w:t>TB</w:t>
      </w:r>
      <w:r>
        <w:rPr>
          <w:rFonts w:ascii="Times New Roman" w:hAnsi="Times New Roman" w:eastAsia="Times New Roman" w:cs="Times New Roman"/>
          <w:spacing w:val="5"/>
          <w:sz w:val="20"/>
          <w:szCs w:val="20"/>
        </w:rPr>
        <w:t>=1024</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 xml:space="preserve">)      </w:t>
      </w:r>
      <w:r>
        <w:rPr>
          <w:spacing w:val="5"/>
          <w:sz w:val="20"/>
          <w:szCs w:val="20"/>
        </w:rPr>
        <w:t>再</w:t>
      </w:r>
      <w:r>
        <w:rPr>
          <w:spacing w:val="-34"/>
          <w:sz w:val="20"/>
          <w:szCs w:val="20"/>
        </w:rPr>
        <w:t xml:space="preserve"> </w:t>
      </w:r>
      <w:r>
        <w:rPr>
          <w:spacing w:val="5"/>
          <w:sz w:val="20"/>
          <w:szCs w:val="20"/>
        </w:rPr>
        <w:t>到</w:t>
      </w:r>
      <w:r>
        <w:rPr>
          <w:rFonts w:ascii="Times New Roman" w:hAnsi="Times New Roman" w:eastAsia="Times New Roman" w:cs="Times New Roman"/>
          <w:sz w:val="20"/>
          <w:szCs w:val="20"/>
        </w:rPr>
        <w:t>PB</w:t>
      </w:r>
      <w:r>
        <w:rPr>
          <w:rFonts w:ascii="Times New Roman" w:hAnsi="Times New Roman" w:eastAsia="Times New Roman" w:cs="Times New Roman"/>
          <w:spacing w:val="5"/>
          <w:sz w:val="20"/>
          <w:szCs w:val="20"/>
        </w:rPr>
        <w:t>(1</w:t>
      </w:r>
      <w:r>
        <w:rPr>
          <w:rFonts w:ascii="Times New Roman" w:hAnsi="Times New Roman" w:eastAsia="Times New Roman" w:cs="Times New Roman"/>
          <w:sz w:val="20"/>
          <w:szCs w:val="20"/>
        </w:rPr>
        <w:t>PB</w:t>
      </w:r>
      <w:r>
        <w:rPr>
          <w:rFonts w:ascii="Times New Roman" w:hAnsi="Times New Roman" w:eastAsia="Times New Roman" w:cs="Times New Roman"/>
          <w:spacing w:val="5"/>
          <w:sz w:val="20"/>
          <w:szCs w:val="20"/>
        </w:rPr>
        <w:t>=1024</w:t>
      </w:r>
      <w:r>
        <w:rPr>
          <w:rFonts w:ascii="Times New Roman" w:hAnsi="Times New Roman" w:eastAsia="Times New Roman" w:cs="Times New Roman"/>
          <w:sz w:val="20"/>
          <w:szCs w:val="20"/>
        </w:rPr>
        <w:t>TB</w:t>
      </w:r>
      <w:r>
        <w:rPr>
          <w:rFonts w:ascii="Times New Roman" w:hAnsi="Times New Roman" w:eastAsia="Times New Roman" w:cs="Times New Roman"/>
          <w:spacing w:val="5"/>
          <w:sz w:val="20"/>
          <w:szCs w:val="20"/>
        </w:rPr>
        <w:t xml:space="preserve">)     </w:t>
      </w:r>
      <w:r>
        <w:rPr>
          <w:spacing w:val="5"/>
          <w:sz w:val="20"/>
          <w:szCs w:val="20"/>
        </w:rPr>
        <w:t>级，甚</w:t>
      </w:r>
      <w:r>
        <w:rPr>
          <w:spacing w:val="4"/>
          <w:sz w:val="20"/>
          <w:szCs w:val="20"/>
        </w:rPr>
        <w:t>至开始以</w:t>
      </w:r>
      <w:r>
        <w:rPr>
          <w:rFonts w:ascii="Times New Roman" w:hAnsi="Times New Roman" w:eastAsia="Times New Roman" w:cs="Times New Roman"/>
          <w:sz w:val="20"/>
          <w:szCs w:val="20"/>
        </w:rPr>
        <w:t xml:space="preserve">EB </w:t>
      </w:r>
      <w:r>
        <w:rPr>
          <w:rFonts w:ascii="Times New Roman" w:hAnsi="Times New Roman" w:eastAsia="Times New Roman" w:cs="Times New Roman"/>
          <w:spacing w:val="-1"/>
          <w:sz w:val="20"/>
          <w:szCs w:val="20"/>
        </w:rPr>
        <w:t xml:space="preserve">(1EB=1024PB)   </w:t>
      </w:r>
      <w:r>
        <w:rPr>
          <w:spacing w:val="-1"/>
          <w:sz w:val="20"/>
          <w:szCs w:val="20"/>
        </w:rPr>
        <w:t>和</w:t>
      </w:r>
      <w:r>
        <w:rPr>
          <w:spacing w:val="-40"/>
          <w:sz w:val="20"/>
          <w:szCs w:val="20"/>
        </w:rPr>
        <w:t xml:space="preserve"> </w:t>
      </w:r>
      <w:r>
        <w:rPr>
          <w:rFonts w:ascii="Times New Roman" w:hAnsi="Times New Roman" w:eastAsia="Times New Roman" w:cs="Times New Roman"/>
          <w:spacing w:val="-1"/>
          <w:sz w:val="20"/>
          <w:szCs w:val="20"/>
        </w:rPr>
        <w:t xml:space="preserve">ZB(1ZB=1024EB)     </w:t>
      </w:r>
      <w:r>
        <w:rPr>
          <w:spacing w:val="-1"/>
          <w:sz w:val="20"/>
          <w:szCs w:val="20"/>
        </w:rPr>
        <w:t>来计数。</w:t>
      </w:r>
    </w:p>
    <w:p w14:paraId="0E71F077">
      <w:pPr>
        <w:pStyle w:val="2"/>
        <w:spacing w:before="69" w:line="273" w:lineRule="auto"/>
        <w:ind w:left="99" w:right="241" w:firstLine="409"/>
        <w:rPr>
          <w:sz w:val="20"/>
          <w:szCs w:val="20"/>
        </w:rPr>
      </w:pPr>
      <w:r>
        <w:rPr>
          <w:spacing w:val="3"/>
          <w:sz w:val="20"/>
          <w:szCs w:val="20"/>
        </w:rPr>
        <w:t>(2)多样性</w:t>
      </w:r>
      <w:r>
        <w:rPr>
          <w:spacing w:val="-58"/>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Variety</w:t>
      </w:r>
      <w:r>
        <w:rPr>
          <w:rFonts w:ascii="Times New Roman" w:hAnsi="Times New Roman" w:eastAsia="Times New Roman" w:cs="Times New Roman"/>
          <w:spacing w:val="3"/>
          <w:sz w:val="20"/>
          <w:szCs w:val="20"/>
        </w:rPr>
        <w:t>)</w:t>
      </w:r>
      <w:r>
        <w:rPr>
          <w:rFonts w:ascii="Times New Roman" w:hAnsi="Times New Roman" w:eastAsia="Times New Roman" w:cs="Times New Roman"/>
          <w:spacing w:val="-23"/>
          <w:sz w:val="20"/>
          <w:szCs w:val="20"/>
        </w:rPr>
        <w:t xml:space="preserve"> </w:t>
      </w:r>
      <w:r>
        <w:rPr>
          <w:spacing w:val="3"/>
          <w:sz w:val="20"/>
          <w:szCs w:val="20"/>
        </w:rPr>
        <w:t>。 大数据的类型不仅包括数字、日期、文字等结构化数据，还包括网</w:t>
      </w:r>
      <w:r>
        <w:rPr>
          <w:sz w:val="20"/>
          <w:szCs w:val="20"/>
        </w:rPr>
        <w:t xml:space="preserve"> </w:t>
      </w:r>
      <w:r>
        <w:rPr>
          <w:spacing w:val="3"/>
          <w:sz w:val="20"/>
          <w:szCs w:val="20"/>
        </w:rPr>
        <w:t>络日志、音频、视频、图片、地理位置信息等半结构化数据甚至是非结构化数</w:t>
      </w:r>
      <w:r>
        <w:rPr>
          <w:spacing w:val="2"/>
          <w:sz w:val="20"/>
          <w:szCs w:val="20"/>
        </w:rPr>
        <w:t>据，具有异构性</w:t>
      </w:r>
    </w:p>
    <w:p w14:paraId="240F2AC5">
      <w:pPr>
        <w:spacing w:line="273" w:lineRule="auto"/>
        <w:rPr>
          <w:sz w:val="20"/>
          <w:szCs w:val="20"/>
        </w:rPr>
        <w:sectPr>
          <w:pgSz w:w="10330" w:h="13310"/>
          <w:pgMar w:top="400" w:right="568" w:bottom="400" w:left="1090" w:header="0" w:footer="0" w:gutter="0"/>
          <w:cols w:space="720" w:num="1"/>
        </w:sectPr>
      </w:pPr>
    </w:p>
    <w:p w14:paraId="6083ABA4">
      <w:pPr>
        <w:spacing w:before="149" w:line="188" w:lineRule="auto"/>
        <w:jc w:val="right"/>
        <w:rPr>
          <w:rFonts w:ascii="Times New Roman" w:hAnsi="Times New Roman" w:eastAsia="Times New Roman" w:cs="Times New Roman"/>
          <w:sz w:val="19"/>
          <w:szCs w:val="19"/>
        </w:rPr>
      </w:pPr>
      <w:r>
        <w:rPr>
          <w:rFonts w:ascii="Times New Roman" w:hAnsi="Times New Roman" w:eastAsia="Times New Roman" w:cs="Times New Roman"/>
          <w:b/>
          <w:bCs/>
          <w:spacing w:val="-7"/>
          <w:sz w:val="19"/>
          <w:szCs w:val="19"/>
        </w:rPr>
        <w:t>12</w:t>
      </w:r>
    </w:p>
    <w:p w14:paraId="1EC64491">
      <w:pPr>
        <w:spacing w:line="14" w:lineRule="auto"/>
        <w:rPr>
          <w:rFonts w:ascii="Arial"/>
          <w:sz w:val="2"/>
        </w:rPr>
      </w:pPr>
      <w:r>
        <w:rPr>
          <w:rFonts w:ascii="Arial" w:hAnsi="Arial" w:eastAsia="Arial" w:cs="Arial"/>
          <w:sz w:val="2"/>
          <w:szCs w:val="2"/>
        </w:rPr>
        <w:br w:type="column"/>
      </w:r>
    </w:p>
    <w:p w14:paraId="38925CF5">
      <w:pPr>
        <w:spacing w:line="388" w:lineRule="exact"/>
        <w:ind w:firstLine="90"/>
      </w:pPr>
      <w:r>
        <w:rPr>
          <w:position w:val="-7"/>
        </w:rPr>
        <w:drawing>
          <wp:inline distT="0" distB="0" distL="0" distR="0">
            <wp:extent cx="310515" cy="24638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1"/>
                    <a:stretch>
                      <a:fillRect/>
                    </a:stretch>
                  </pic:blipFill>
                  <pic:spPr>
                    <a:xfrm>
                      <a:off x="0" y="0"/>
                      <a:ext cx="311102" cy="246750"/>
                    </a:xfrm>
                    <a:prstGeom prst="rect">
                      <a:avLst/>
                    </a:prstGeom>
                  </pic:spPr>
                </pic:pic>
              </a:graphicData>
            </a:graphic>
          </wp:inline>
        </w:drawing>
      </w:r>
    </w:p>
    <w:p w14:paraId="223F2AF1">
      <w:pPr>
        <w:spacing w:line="14" w:lineRule="auto"/>
        <w:rPr>
          <w:rFonts w:ascii="Arial"/>
          <w:sz w:val="2"/>
        </w:rPr>
      </w:pPr>
      <w:r>
        <w:rPr>
          <w:rFonts w:ascii="Arial" w:hAnsi="Arial" w:eastAsia="Arial" w:cs="Arial"/>
          <w:sz w:val="2"/>
          <w:szCs w:val="2"/>
        </w:rPr>
        <w:br w:type="column"/>
      </w:r>
    </w:p>
    <w:p w14:paraId="7D10D993">
      <w:pPr>
        <w:pStyle w:val="2"/>
        <w:spacing w:before="116" w:line="219" w:lineRule="auto"/>
        <w:rPr>
          <w:sz w:val="19"/>
          <w:szCs w:val="19"/>
        </w:rPr>
      </w:pPr>
      <w:r>
        <w:rPr>
          <w:spacing w:val="5"/>
          <w:sz w:val="19"/>
          <w:szCs w:val="19"/>
        </w:rPr>
        <w:t>信息系统监理师教程(第2版)</w:t>
      </w:r>
    </w:p>
    <w:p w14:paraId="2886757C">
      <w:pPr>
        <w:spacing w:line="219" w:lineRule="auto"/>
        <w:rPr>
          <w:sz w:val="19"/>
          <w:szCs w:val="19"/>
        </w:rPr>
        <w:sectPr>
          <w:pgSz w:w="10360" w:h="13410"/>
          <w:pgMar w:top="360" w:right="1124" w:bottom="400" w:left="0" w:header="0" w:footer="0" w:gutter="0"/>
          <w:cols w:equalWidth="0" w:num="3">
            <w:col w:w="738" w:space="2"/>
            <w:col w:w="720" w:space="0"/>
            <w:col w:w="7776"/>
          </w:cols>
        </w:sectPr>
      </w:pPr>
    </w:p>
    <w:p w14:paraId="660879B7">
      <w:pPr>
        <w:spacing w:line="284" w:lineRule="auto"/>
        <w:rPr>
          <w:rFonts w:ascii="Arial"/>
          <w:sz w:val="21"/>
        </w:rPr>
      </w:pPr>
      <w:r>
        <w:drawing>
          <wp:anchor distT="0" distB="0" distL="0" distR="0" simplePos="0" relativeHeight="251681792" behindDoc="0" locked="0" layoutInCell="1" allowOverlap="1">
            <wp:simplePos x="0" y="0"/>
            <wp:positionH relativeFrom="column">
              <wp:posOffset>0</wp:posOffset>
            </wp:positionH>
            <wp:positionV relativeFrom="paragraph">
              <wp:posOffset>-227965</wp:posOffset>
            </wp:positionV>
            <wp:extent cx="279400" cy="2032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2"/>
                    <a:stretch>
                      <a:fillRect/>
                    </a:stretch>
                  </pic:blipFill>
                  <pic:spPr>
                    <a:xfrm>
                      <a:off x="0" y="0"/>
                      <a:ext cx="279393" cy="203261"/>
                    </a:xfrm>
                    <a:prstGeom prst="rect">
                      <a:avLst/>
                    </a:prstGeom>
                  </pic:spPr>
                </pic:pic>
              </a:graphicData>
            </a:graphic>
          </wp:anchor>
        </w:drawing>
      </w:r>
    </w:p>
    <w:p w14:paraId="12C56D2B">
      <w:pPr>
        <w:pStyle w:val="2"/>
        <w:spacing w:before="62" w:line="219" w:lineRule="auto"/>
        <w:ind w:left="830"/>
        <w:rPr>
          <w:sz w:val="19"/>
          <w:szCs w:val="19"/>
        </w:rPr>
      </w:pPr>
      <w:r>
        <w:rPr>
          <w:spacing w:val="5"/>
          <w:sz w:val="19"/>
          <w:szCs w:val="19"/>
        </w:rPr>
        <w:t>和多样性的特点。</w:t>
      </w:r>
    </w:p>
    <w:p w14:paraId="63D53640">
      <w:pPr>
        <w:pStyle w:val="2"/>
        <w:spacing w:before="156" w:line="4090" w:lineRule="exact"/>
        <w:ind w:firstLine="1869"/>
      </w:pPr>
      <w:r>
        <w:rPr>
          <w:position w:val="-81"/>
        </w:rPr>
        <w:pict>
          <v:group id="_x0000_s1046" o:spid="_x0000_s1046" o:spt="203" style="height:204.5pt;width:308.55pt;" coordsize="6170,4090">
            <o:lock v:ext="edit"/>
            <v:shape id="_x0000_s1047" o:spid="_x0000_s1047" o:spt="75" type="#_x0000_t75" style="position:absolute;left:0;top:0;height:4090;width:6170;" filled="f" stroked="f" coordsize="21600,21600">
              <v:path/>
              <v:fill on="f" focussize="0,0"/>
              <v:stroke on="f"/>
              <v:imagedata r:id="rId33" o:title=""/>
              <o:lock v:ext="edit" aspectratio="t"/>
            </v:shape>
            <v:shape id="_x0000_s1048" o:spid="_x0000_s1048" o:spt="202" type="#_x0000_t202" style="position:absolute;left:2090;top:107;height:3740;width:3847;" filled="f" stroked="f" coordsize="21600,21600">
              <v:path/>
              <v:fill on="f" focussize="0,0"/>
              <v:stroke on="f"/>
              <v:imagedata o:title=""/>
              <o:lock v:ext="edit" aspectratio="f"/>
              <v:textbox inset="0mm,0mm,0mm,0mm">
                <w:txbxContent>
                  <w:p w14:paraId="6280210B">
                    <w:pPr>
                      <w:spacing w:before="19" w:line="209" w:lineRule="auto"/>
                      <w:ind w:left="20" w:right="1448"/>
                      <w:rPr>
                        <w:rFonts w:ascii="宋体" w:hAnsi="宋体" w:eastAsia="宋体" w:cs="宋体"/>
                        <w:sz w:val="19"/>
                        <w:szCs w:val="19"/>
                      </w:rPr>
                    </w:pPr>
                    <w:r>
                      <w:rPr>
                        <w:rFonts w:ascii="宋体" w:hAnsi="宋体" w:eastAsia="宋体" w:cs="宋体"/>
                        <w:spacing w:val="-15"/>
                        <w:w w:val="97"/>
                        <w:sz w:val="19"/>
                        <w:szCs w:val="19"/>
                      </w:rPr>
                      <w:t>非结构化数据的超大规模和增长</w:t>
                    </w:r>
                    <w:r>
                      <w:rPr>
                        <w:rFonts w:ascii="宋体" w:hAnsi="宋体" w:eastAsia="宋体" w:cs="宋体"/>
                        <w:spacing w:val="6"/>
                        <w:sz w:val="19"/>
                        <w:szCs w:val="19"/>
                      </w:rPr>
                      <w:t xml:space="preserve"> </w:t>
                    </w:r>
                    <w:r>
                      <w:rPr>
                        <w:rFonts w:ascii="宋体" w:hAnsi="宋体" w:eastAsia="宋体" w:cs="宋体"/>
                        <w:spacing w:val="-4"/>
                        <w:sz w:val="19"/>
                        <w:szCs w:val="19"/>
                      </w:rPr>
                      <w:t>总数据量的80%~90%</w:t>
                    </w:r>
                  </w:p>
                  <w:p w14:paraId="49062CD5">
                    <w:pPr>
                      <w:spacing w:before="1" w:line="215" w:lineRule="auto"/>
                      <w:ind w:left="20" w:right="1449"/>
                      <w:rPr>
                        <w:rFonts w:ascii="宋体" w:hAnsi="宋体" w:eastAsia="宋体" w:cs="宋体"/>
                        <w:sz w:val="19"/>
                        <w:szCs w:val="19"/>
                      </w:rPr>
                    </w:pPr>
                    <w:r>
                      <w:rPr>
                        <w:rFonts w:ascii="宋体" w:hAnsi="宋体" w:eastAsia="宋体" w:cs="宋体"/>
                        <w:spacing w:val="-18"/>
                        <w:sz w:val="19"/>
                        <w:szCs w:val="19"/>
                      </w:rPr>
                      <w:t>比结构化数据增长快10倍到50倍</w:t>
                    </w:r>
                    <w:r>
                      <w:rPr>
                        <w:rFonts w:ascii="宋体" w:hAnsi="宋体" w:eastAsia="宋体" w:cs="宋体"/>
                        <w:spacing w:val="3"/>
                        <w:sz w:val="19"/>
                        <w:szCs w:val="19"/>
                      </w:rPr>
                      <w:t xml:space="preserve"> </w:t>
                    </w:r>
                    <w:r>
                      <w:rPr>
                        <w:rFonts w:ascii="宋体" w:hAnsi="宋体" w:eastAsia="宋体" w:cs="宋体"/>
                        <w:spacing w:val="-16"/>
                        <w:sz w:val="19"/>
                        <w:szCs w:val="19"/>
                      </w:rPr>
                      <w:t>是传统数据仓库的10倍到50倍</w:t>
                    </w:r>
                  </w:p>
                  <w:p w14:paraId="4C57CDCA">
                    <w:pPr>
                      <w:spacing w:before="145" w:line="194" w:lineRule="auto"/>
                      <w:ind w:left="20"/>
                      <w:rPr>
                        <w:rFonts w:ascii="宋体" w:hAnsi="宋体" w:eastAsia="宋体" w:cs="宋体"/>
                        <w:sz w:val="19"/>
                        <w:szCs w:val="19"/>
                      </w:rPr>
                    </w:pPr>
                    <w:r>
                      <w:rPr>
                        <w:rFonts w:ascii="宋体" w:hAnsi="宋体" w:eastAsia="宋体" w:cs="宋体"/>
                        <w:spacing w:val="-19"/>
                        <w:sz w:val="19"/>
                        <w:szCs w:val="19"/>
                      </w:rPr>
                      <w:t>大数据的异构和多样性</w:t>
                    </w:r>
                  </w:p>
                  <w:p w14:paraId="57A78B8C">
                    <w:pPr>
                      <w:spacing w:line="218" w:lineRule="auto"/>
                      <w:ind w:left="20"/>
                      <w:rPr>
                        <w:rFonts w:ascii="宋体" w:hAnsi="宋体" w:eastAsia="宋体" w:cs="宋体"/>
                        <w:sz w:val="19"/>
                        <w:szCs w:val="19"/>
                      </w:rPr>
                    </w:pPr>
                    <w:r>
                      <w:rPr>
                        <w:rFonts w:ascii="宋体" w:hAnsi="宋体" w:eastAsia="宋体" w:cs="宋体"/>
                        <w:spacing w:val="-13"/>
                        <w:sz w:val="19"/>
                        <w:szCs w:val="19"/>
                      </w:rPr>
                      <w:t>很多不同形式(文本、图像、视频、机器数据)</w:t>
                    </w:r>
                  </w:p>
                  <w:p w14:paraId="23BDEE5E">
                    <w:pPr>
                      <w:spacing w:before="5" w:line="207" w:lineRule="auto"/>
                      <w:ind w:left="20" w:right="2124"/>
                      <w:rPr>
                        <w:rFonts w:ascii="宋体" w:hAnsi="宋体" w:eastAsia="宋体" w:cs="宋体"/>
                        <w:sz w:val="19"/>
                        <w:szCs w:val="19"/>
                      </w:rPr>
                    </w:pPr>
                    <w:r>
                      <w:rPr>
                        <w:rFonts w:ascii="宋体" w:hAnsi="宋体" w:eastAsia="宋体" w:cs="宋体"/>
                        <w:spacing w:val="-19"/>
                        <w:w w:val="99"/>
                        <w:sz w:val="19"/>
                        <w:szCs w:val="19"/>
                      </w:rPr>
                      <w:t>无模式或者模式不明显</w:t>
                    </w:r>
                    <w:r>
                      <w:rPr>
                        <w:rFonts w:ascii="宋体" w:hAnsi="宋体" w:eastAsia="宋体" w:cs="宋体"/>
                        <w:spacing w:val="9"/>
                        <w:sz w:val="19"/>
                        <w:szCs w:val="19"/>
                      </w:rPr>
                      <w:t xml:space="preserve"> </w:t>
                    </w:r>
                    <w:r>
                      <w:rPr>
                        <w:rFonts w:ascii="宋体" w:hAnsi="宋体" w:eastAsia="宋体" w:cs="宋体"/>
                        <w:spacing w:val="-17"/>
                        <w:sz w:val="19"/>
                        <w:szCs w:val="19"/>
                      </w:rPr>
                      <w:t>不连贯的语法或句义</w:t>
                    </w:r>
                  </w:p>
                  <w:p w14:paraId="46861AD5">
                    <w:pPr>
                      <w:spacing w:before="135" w:line="204" w:lineRule="auto"/>
                      <w:ind w:left="20"/>
                      <w:rPr>
                        <w:rFonts w:ascii="宋体" w:hAnsi="宋体" w:eastAsia="宋体" w:cs="宋体"/>
                        <w:sz w:val="19"/>
                        <w:szCs w:val="19"/>
                      </w:rPr>
                    </w:pPr>
                    <w:r>
                      <w:rPr>
                        <w:rFonts w:ascii="宋体" w:hAnsi="宋体" w:eastAsia="宋体" w:cs="宋体"/>
                        <w:spacing w:val="-17"/>
                        <w:sz w:val="19"/>
                        <w:szCs w:val="19"/>
                      </w:rPr>
                      <w:t>大量的不相关信息</w:t>
                    </w:r>
                  </w:p>
                  <w:p w14:paraId="3BA5A42E">
                    <w:pPr>
                      <w:spacing w:line="213" w:lineRule="auto"/>
                      <w:ind w:left="20"/>
                      <w:rPr>
                        <w:rFonts w:ascii="宋体" w:hAnsi="宋体" w:eastAsia="宋体" w:cs="宋体"/>
                        <w:sz w:val="19"/>
                        <w:szCs w:val="19"/>
                      </w:rPr>
                    </w:pPr>
                    <w:r>
                      <w:rPr>
                        <w:rFonts w:ascii="宋体" w:hAnsi="宋体" w:eastAsia="宋体" w:cs="宋体"/>
                        <w:spacing w:val="-16"/>
                        <w:w w:val="98"/>
                        <w:sz w:val="19"/>
                        <w:szCs w:val="19"/>
                      </w:rPr>
                      <w:t>对未来趋势与模式的可预测分析</w:t>
                    </w:r>
                  </w:p>
                  <w:p w14:paraId="698CA600">
                    <w:pPr>
                      <w:spacing w:before="1" w:line="205" w:lineRule="auto"/>
                      <w:ind w:left="20" w:right="20"/>
                      <w:rPr>
                        <w:rFonts w:ascii="宋体" w:hAnsi="宋体" w:eastAsia="宋体" w:cs="宋体"/>
                        <w:sz w:val="19"/>
                        <w:szCs w:val="19"/>
                      </w:rPr>
                    </w:pPr>
                    <w:r>
                      <w:rPr>
                        <w:rFonts w:ascii="宋体" w:hAnsi="宋体" w:eastAsia="宋体" w:cs="宋体"/>
                        <w:spacing w:val="-15"/>
                        <w:sz w:val="19"/>
                        <w:szCs w:val="19"/>
                      </w:rPr>
                      <w:t>深度复杂分析(机器学习、人工智能</w:t>
                    </w:r>
                    <w:r>
                      <w:rPr>
                        <w:rFonts w:ascii="Times New Roman" w:hAnsi="Times New Roman" w:eastAsia="Times New Roman" w:cs="Times New Roman"/>
                        <w:spacing w:val="-15"/>
                        <w:sz w:val="19"/>
                        <w:szCs w:val="19"/>
                      </w:rPr>
                      <w:t>VS</w:t>
                    </w:r>
                    <w:r>
                      <w:rPr>
                        <w:rFonts w:ascii="宋体" w:hAnsi="宋体" w:eastAsia="宋体" w:cs="宋体"/>
                        <w:spacing w:val="-15"/>
                        <w:sz w:val="19"/>
                        <w:szCs w:val="19"/>
                      </w:rPr>
                      <w:t>传统商务智</w:t>
                    </w:r>
                    <w:r>
                      <w:rPr>
                        <w:rFonts w:ascii="宋体" w:hAnsi="宋体" w:eastAsia="宋体" w:cs="宋体"/>
                        <w:spacing w:val="12"/>
                        <w:sz w:val="19"/>
                        <w:szCs w:val="19"/>
                      </w:rPr>
                      <w:t xml:space="preserve"> </w:t>
                    </w:r>
                    <w:r>
                      <w:rPr>
                        <w:rFonts w:ascii="宋体" w:hAnsi="宋体" w:eastAsia="宋体" w:cs="宋体"/>
                        <w:spacing w:val="-2"/>
                        <w:sz w:val="19"/>
                        <w:szCs w:val="19"/>
                      </w:rPr>
                      <w:t>能(咨询、报告等))</w:t>
                    </w:r>
                  </w:p>
                  <w:p w14:paraId="70FA9AB2">
                    <w:pPr>
                      <w:spacing w:before="230" w:line="208" w:lineRule="auto"/>
                      <w:ind w:left="20" w:right="1958"/>
                      <w:rPr>
                        <w:rFonts w:ascii="宋体" w:hAnsi="宋体" w:eastAsia="宋体" w:cs="宋体"/>
                        <w:sz w:val="19"/>
                        <w:szCs w:val="19"/>
                      </w:rPr>
                    </w:pPr>
                    <w:r>
                      <w:rPr>
                        <w:rFonts w:ascii="宋体" w:hAnsi="宋体" w:eastAsia="宋体" w:cs="宋体"/>
                        <w:spacing w:val="-15"/>
                        <w:w w:val="97"/>
                        <w:sz w:val="19"/>
                        <w:szCs w:val="19"/>
                      </w:rPr>
                      <w:t>实时分析而非批量式分析</w:t>
                    </w:r>
                    <w:r>
                      <w:rPr>
                        <w:rFonts w:ascii="宋体" w:hAnsi="宋体" w:eastAsia="宋体" w:cs="宋体"/>
                        <w:spacing w:val="4"/>
                        <w:sz w:val="19"/>
                        <w:szCs w:val="19"/>
                      </w:rPr>
                      <w:t xml:space="preserve"> </w:t>
                    </w:r>
                    <w:r>
                      <w:rPr>
                        <w:rFonts w:ascii="宋体" w:hAnsi="宋体" w:eastAsia="宋体" w:cs="宋体"/>
                        <w:spacing w:val="-18"/>
                        <w:w w:val="98"/>
                        <w:sz w:val="19"/>
                        <w:szCs w:val="19"/>
                      </w:rPr>
                      <w:t>数据输入、处理与丢弃</w:t>
                    </w:r>
                    <w:r>
                      <w:rPr>
                        <w:rFonts w:ascii="宋体" w:hAnsi="宋体" w:eastAsia="宋体" w:cs="宋体"/>
                        <w:spacing w:val="7"/>
                        <w:sz w:val="19"/>
                        <w:szCs w:val="19"/>
                      </w:rPr>
                      <w:t xml:space="preserve">  </w:t>
                    </w:r>
                    <w:r>
                      <w:rPr>
                        <w:rFonts w:ascii="宋体" w:hAnsi="宋体" w:eastAsia="宋体" w:cs="宋体"/>
                        <w:spacing w:val="-15"/>
                        <w:w w:val="98"/>
                        <w:sz w:val="19"/>
                        <w:szCs w:val="19"/>
                      </w:rPr>
                      <w:t>立竿见影而非事后见效</w:t>
                    </w:r>
                  </w:p>
                </w:txbxContent>
              </v:textbox>
            </v:shape>
            <v:shape id="_x0000_s1049" o:spid="_x0000_s1049" o:spt="202" type="#_x0000_t202" style="position:absolute;left:240;top:428;height:3231;width:1405;" filled="f" stroked="f" coordsize="21600,21600">
              <v:path/>
              <v:fill on="f" focussize="0,0"/>
              <v:stroke on="f"/>
              <v:imagedata o:title=""/>
              <o:lock v:ext="edit" aspectratio="f"/>
              <v:textbox inset="0mm,0mm,0mm,0mm">
                <w:txbxContent>
                  <w:p w14:paraId="4B397E2C">
                    <w:pPr>
                      <w:spacing w:before="20" w:line="212" w:lineRule="auto"/>
                      <w:ind w:left="22"/>
                      <w:rPr>
                        <w:rFonts w:ascii="Times New Roman" w:hAnsi="Times New Roman" w:eastAsia="Times New Roman" w:cs="Times New Roman"/>
                        <w:sz w:val="19"/>
                        <w:szCs w:val="19"/>
                      </w:rPr>
                    </w:pPr>
                    <w:bookmarkStart w:id="783" w:name="bookmark470"/>
                    <w:bookmarkEnd w:id="783"/>
                    <w:r>
                      <w:rPr>
                        <w:rFonts w:ascii="宋体" w:hAnsi="宋体" w:eastAsia="宋体" w:cs="宋体"/>
                        <w:b/>
                        <w:bCs/>
                        <w:spacing w:val="-6"/>
                        <w:sz w:val="19"/>
                        <w:szCs w:val="19"/>
                      </w:rPr>
                      <w:t>规模性</w:t>
                    </w:r>
                    <w:r>
                      <w:rPr>
                        <w:rFonts w:ascii="宋体" w:hAnsi="宋体" w:eastAsia="宋体" w:cs="宋体"/>
                        <w:spacing w:val="-46"/>
                        <w:sz w:val="19"/>
                        <w:szCs w:val="19"/>
                      </w:rPr>
                      <w:t xml:space="preserve"> </w:t>
                    </w:r>
                    <w:r>
                      <w:rPr>
                        <w:rFonts w:ascii="Times New Roman" w:hAnsi="Times New Roman" w:eastAsia="Times New Roman" w:cs="Times New Roman"/>
                        <w:b/>
                        <w:bCs/>
                        <w:spacing w:val="-6"/>
                        <w:sz w:val="19"/>
                        <w:szCs w:val="19"/>
                      </w:rPr>
                      <w:t>(Volume)</w:t>
                    </w:r>
                  </w:p>
                  <w:p w14:paraId="7129C9E9">
                    <w:pPr>
                      <w:rPr>
                        <w:rFonts w:ascii="Arial"/>
                        <w:sz w:val="21"/>
                      </w:rPr>
                    </w:pPr>
                  </w:p>
                  <w:p w14:paraId="7BC9F186">
                    <w:pPr>
                      <w:spacing w:line="241" w:lineRule="auto"/>
                      <w:rPr>
                        <w:rFonts w:ascii="Arial"/>
                        <w:sz w:val="21"/>
                      </w:rPr>
                    </w:pPr>
                  </w:p>
                  <w:p w14:paraId="0BA28C12">
                    <w:pPr>
                      <w:spacing w:line="241" w:lineRule="auto"/>
                      <w:rPr>
                        <w:rFonts w:ascii="Arial"/>
                        <w:sz w:val="21"/>
                      </w:rPr>
                    </w:pPr>
                  </w:p>
                  <w:p w14:paraId="23994885">
                    <w:pPr>
                      <w:spacing w:before="62" w:line="212" w:lineRule="auto"/>
                      <w:ind w:left="20"/>
                      <w:rPr>
                        <w:rFonts w:ascii="Times New Roman" w:hAnsi="Times New Roman" w:eastAsia="Times New Roman" w:cs="Times New Roman"/>
                        <w:sz w:val="19"/>
                        <w:szCs w:val="19"/>
                      </w:rPr>
                    </w:pPr>
                    <w:r>
                      <w:rPr>
                        <w:rFonts w:ascii="宋体" w:hAnsi="宋体" w:eastAsia="宋体" w:cs="宋体"/>
                        <w:spacing w:val="-2"/>
                        <w:sz w:val="19"/>
                        <w:szCs w:val="19"/>
                      </w:rPr>
                      <w:t>多样性</w:t>
                    </w:r>
                    <w:r>
                      <w:rPr>
                        <w:rFonts w:ascii="Times New Roman" w:hAnsi="Times New Roman" w:eastAsia="Times New Roman" w:cs="Times New Roman"/>
                        <w:spacing w:val="-2"/>
                        <w:sz w:val="19"/>
                        <w:szCs w:val="19"/>
                      </w:rPr>
                      <w:t>(Variety)</w:t>
                    </w:r>
                  </w:p>
                  <w:p w14:paraId="2042FE2E">
                    <w:pPr>
                      <w:spacing w:line="241" w:lineRule="auto"/>
                      <w:rPr>
                        <w:rFonts w:ascii="Arial"/>
                        <w:sz w:val="21"/>
                      </w:rPr>
                    </w:pPr>
                  </w:p>
                  <w:p w14:paraId="749E4CBE">
                    <w:pPr>
                      <w:spacing w:line="242" w:lineRule="auto"/>
                      <w:rPr>
                        <w:rFonts w:ascii="Arial"/>
                        <w:sz w:val="21"/>
                      </w:rPr>
                    </w:pPr>
                  </w:p>
                  <w:p w14:paraId="4642F628">
                    <w:pPr>
                      <w:spacing w:line="242" w:lineRule="auto"/>
                      <w:rPr>
                        <w:rFonts w:ascii="Arial"/>
                        <w:sz w:val="21"/>
                      </w:rPr>
                    </w:pPr>
                  </w:p>
                  <w:p w14:paraId="7358142C">
                    <w:pPr>
                      <w:spacing w:before="62" w:line="218" w:lineRule="auto"/>
                      <w:ind w:left="20"/>
                      <w:rPr>
                        <w:rFonts w:ascii="宋体" w:hAnsi="宋体" w:eastAsia="宋体" w:cs="宋体"/>
                        <w:sz w:val="19"/>
                        <w:szCs w:val="19"/>
                      </w:rPr>
                    </w:pPr>
                    <w:r>
                      <w:rPr>
                        <w:rFonts w:ascii="宋体" w:hAnsi="宋体" w:eastAsia="宋体" w:cs="宋体"/>
                        <w:spacing w:val="-6"/>
                        <w:sz w:val="19"/>
                        <w:szCs w:val="19"/>
                      </w:rPr>
                      <w:t>价值密度(Value)</w:t>
                    </w:r>
                  </w:p>
                  <w:p w14:paraId="6E313A20">
                    <w:pPr>
                      <w:spacing w:line="339" w:lineRule="auto"/>
                      <w:rPr>
                        <w:rFonts w:ascii="Arial"/>
                        <w:sz w:val="21"/>
                      </w:rPr>
                    </w:pPr>
                  </w:p>
                  <w:p w14:paraId="15303248">
                    <w:pPr>
                      <w:spacing w:line="340" w:lineRule="auto"/>
                      <w:rPr>
                        <w:rFonts w:ascii="Arial"/>
                        <w:sz w:val="21"/>
                      </w:rPr>
                    </w:pPr>
                  </w:p>
                  <w:p w14:paraId="7F96D2F3">
                    <w:pPr>
                      <w:spacing w:before="62" w:line="212" w:lineRule="auto"/>
                      <w:ind w:left="119"/>
                      <w:rPr>
                        <w:rFonts w:ascii="Times New Roman" w:hAnsi="Times New Roman" w:eastAsia="Times New Roman" w:cs="Times New Roman"/>
                        <w:sz w:val="19"/>
                        <w:szCs w:val="19"/>
                      </w:rPr>
                    </w:pPr>
                    <w:r>
                      <w:rPr>
                        <w:rFonts w:ascii="宋体" w:hAnsi="宋体" w:eastAsia="宋体" w:cs="宋体"/>
                        <w:spacing w:val="-1"/>
                        <w:sz w:val="19"/>
                        <w:szCs w:val="19"/>
                      </w:rPr>
                      <w:t>速度</w:t>
                    </w:r>
                    <w:r>
                      <w:rPr>
                        <w:rFonts w:ascii="Times New Roman" w:hAnsi="Times New Roman" w:eastAsia="Times New Roman" w:cs="Times New Roman"/>
                        <w:spacing w:val="-1"/>
                        <w:sz w:val="19"/>
                        <w:szCs w:val="19"/>
                      </w:rPr>
                      <w:t>(Velocity)</w:t>
                    </w:r>
                  </w:p>
                </w:txbxContent>
              </v:textbox>
            </v:shape>
            <w10:wrap type="none"/>
            <w10:anchorlock/>
          </v:group>
        </w:pict>
      </w:r>
    </w:p>
    <w:p w14:paraId="1E50FA1F">
      <w:pPr>
        <w:pStyle w:val="2"/>
        <w:spacing w:before="77" w:line="219" w:lineRule="auto"/>
        <w:ind w:left="3980"/>
        <w:rPr>
          <w:sz w:val="19"/>
          <w:szCs w:val="19"/>
        </w:rPr>
      </w:pPr>
      <w:r>
        <w:rPr>
          <w:spacing w:val="1"/>
          <w:sz w:val="19"/>
          <w:szCs w:val="19"/>
        </w:rPr>
        <w:t>图1-4</w:t>
      </w:r>
      <w:r>
        <w:rPr>
          <w:spacing w:val="67"/>
          <w:sz w:val="19"/>
          <w:szCs w:val="19"/>
        </w:rPr>
        <w:t xml:space="preserve"> </w:t>
      </w:r>
      <w:r>
        <w:rPr>
          <w:spacing w:val="1"/>
          <w:sz w:val="19"/>
          <w:szCs w:val="19"/>
        </w:rPr>
        <w:t>大数据的4</w:t>
      </w:r>
      <w:r>
        <w:rPr>
          <w:rFonts w:ascii="Times New Roman" w:hAnsi="Times New Roman" w:eastAsia="Times New Roman" w:cs="Times New Roman"/>
          <w:spacing w:val="1"/>
          <w:sz w:val="19"/>
          <w:szCs w:val="19"/>
        </w:rPr>
        <w:t>V</w:t>
      </w:r>
      <w:r>
        <w:rPr>
          <w:spacing w:val="1"/>
          <w:sz w:val="19"/>
          <w:szCs w:val="19"/>
        </w:rPr>
        <w:t>特征</w:t>
      </w:r>
    </w:p>
    <w:p w14:paraId="16D83285">
      <w:pPr>
        <w:pStyle w:val="2"/>
        <w:spacing w:before="172" w:line="311" w:lineRule="auto"/>
        <w:ind w:left="830" w:right="59" w:firstLine="399"/>
        <w:rPr>
          <w:sz w:val="19"/>
          <w:szCs w:val="19"/>
        </w:rPr>
      </w:pPr>
      <w:r>
        <w:rPr>
          <w:spacing w:val="16"/>
          <w:sz w:val="19"/>
          <w:szCs w:val="19"/>
        </w:rPr>
        <w:t>(3)价值密度</w:t>
      </w:r>
      <w:r>
        <w:rPr>
          <w:spacing w:val="-46"/>
          <w:sz w:val="19"/>
          <w:szCs w:val="19"/>
        </w:rPr>
        <w:t xml:space="preserve"> </w:t>
      </w:r>
      <w:r>
        <w:rPr>
          <w:rFonts w:ascii="Times New Roman" w:hAnsi="Times New Roman" w:eastAsia="Times New Roman" w:cs="Times New Roman"/>
          <w:spacing w:val="16"/>
          <w:sz w:val="19"/>
          <w:szCs w:val="19"/>
        </w:rPr>
        <w:t>(</w:t>
      </w:r>
      <w:r>
        <w:rPr>
          <w:rFonts w:ascii="Times New Roman" w:hAnsi="Times New Roman" w:eastAsia="Times New Roman" w:cs="Times New Roman"/>
          <w:sz w:val="19"/>
          <w:szCs w:val="19"/>
        </w:rPr>
        <w:t>Value</w:t>
      </w:r>
      <w:r>
        <w:rPr>
          <w:rFonts w:ascii="Times New Roman" w:hAnsi="Times New Roman" w:eastAsia="Times New Roman" w:cs="Times New Roman"/>
          <w:spacing w:val="16"/>
          <w:sz w:val="19"/>
          <w:szCs w:val="19"/>
        </w:rPr>
        <w:t>)</w:t>
      </w:r>
      <w:r>
        <w:rPr>
          <w:rFonts w:ascii="Times New Roman" w:hAnsi="Times New Roman" w:eastAsia="Times New Roman" w:cs="Times New Roman"/>
          <w:spacing w:val="-21"/>
          <w:sz w:val="19"/>
          <w:szCs w:val="19"/>
        </w:rPr>
        <w:t xml:space="preserve"> </w:t>
      </w:r>
      <w:r>
        <w:rPr>
          <w:spacing w:val="16"/>
          <w:sz w:val="19"/>
          <w:szCs w:val="19"/>
        </w:rPr>
        <w:t>。</w:t>
      </w:r>
      <w:r>
        <w:rPr>
          <w:spacing w:val="43"/>
          <w:sz w:val="19"/>
          <w:szCs w:val="19"/>
        </w:rPr>
        <w:t xml:space="preserve"> </w:t>
      </w:r>
      <w:r>
        <w:rPr>
          <w:spacing w:val="16"/>
          <w:sz w:val="19"/>
          <w:szCs w:val="19"/>
        </w:rPr>
        <w:t>大数据本身存在较大的潜在价值，</w:t>
      </w:r>
      <w:r>
        <w:rPr>
          <w:spacing w:val="15"/>
          <w:sz w:val="19"/>
          <w:szCs w:val="19"/>
        </w:rPr>
        <w:t>但由于大数据的数据量过大，</w:t>
      </w:r>
      <w:r>
        <w:rPr>
          <w:sz w:val="19"/>
          <w:szCs w:val="19"/>
        </w:rPr>
        <w:t xml:space="preserve"> </w:t>
      </w:r>
      <w:r>
        <w:rPr>
          <w:spacing w:val="9"/>
          <w:sz w:val="19"/>
          <w:szCs w:val="19"/>
        </w:rPr>
        <w:t>其价值往往呈现稀疏性的特点。单位数据的价值密度在不断降低</w:t>
      </w:r>
      <w:r>
        <w:rPr>
          <w:spacing w:val="8"/>
          <w:sz w:val="19"/>
          <w:szCs w:val="19"/>
        </w:rPr>
        <w:t>，但是数据的整体价值在提高。</w:t>
      </w:r>
    </w:p>
    <w:p w14:paraId="0495C3EA">
      <w:pPr>
        <w:pStyle w:val="2"/>
        <w:spacing w:before="2" w:line="316" w:lineRule="auto"/>
        <w:ind w:left="830" w:right="104" w:firstLine="399"/>
        <w:rPr>
          <w:sz w:val="19"/>
          <w:szCs w:val="19"/>
        </w:rPr>
      </w:pPr>
      <w:r>
        <w:rPr>
          <w:spacing w:val="9"/>
          <w:sz w:val="19"/>
          <w:szCs w:val="19"/>
        </w:rPr>
        <w:t>(</w:t>
      </w:r>
      <w:r>
        <w:rPr>
          <w:spacing w:val="-39"/>
          <w:sz w:val="19"/>
          <w:szCs w:val="19"/>
        </w:rPr>
        <w:t xml:space="preserve"> </w:t>
      </w:r>
      <w:r>
        <w:rPr>
          <w:spacing w:val="9"/>
          <w:sz w:val="19"/>
          <w:szCs w:val="19"/>
        </w:rPr>
        <w:t>4</w:t>
      </w:r>
      <w:r>
        <w:rPr>
          <w:spacing w:val="-38"/>
          <w:sz w:val="19"/>
          <w:szCs w:val="19"/>
        </w:rPr>
        <w:t xml:space="preserve"> </w:t>
      </w:r>
      <w:r>
        <w:rPr>
          <w:spacing w:val="9"/>
          <w:sz w:val="19"/>
          <w:szCs w:val="19"/>
        </w:rPr>
        <w:t>)</w:t>
      </w:r>
      <w:r>
        <w:rPr>
          <w:spacing w:val="-39"/>
          <w:sz w:val="19"/>
          <w:szCs w:val="19"/>
        </w:rPr>
        <w:t xml:space="preserve"> </w:t>
      </w:r>
      <w:r>
        <w:rPr>
          <w:spacing w:val="9"/>
          <w:sz w:val="19"/>
          <w:szCs w:val="19"/>
        </w:rPr>
        <w:t>速</w:t>
      </w:r>
      <w:r>
        <w:rPr>
          <w:spacing w:val="-39"/>
          <w:sz w:val="19"/>
          <w:szCs w:val="19"/>
        </w:rPr>
        <w:t xml:space="preserve"> </w:t>
      </w:r>
      <w:r>
        <w:rPr>
          <w:spacing w:val="9"/>
          <w:sz w:val="19"/>
          <w:szCs w:val="19"/>
        </w:rPr>
        <w:t>度</w:t>
      </w:r>
      <w:r>
        <w:rPr>
          <w:spacing w:val="-46"/>
          <w:sz w:val="19"/>
          <w:szCs w:val="19"/>
        </w:rPr>
        <w:t xml:space="preserve"> </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Velocity</w:t>
      </w:r>
      <w:r>
        <w:rPr>
          <w:rFonts w:ascii="Times New Roman" w:hAnsi="Times New Roman" w:eastAsia="Times New Roman" w:cs="Times New Roman"/>
          <w:spacing w:val="9"/>
          <w:sz w:val="19"/>
          <w:szCs w:val="19"/>
        </w:rPr>
        <w:t>)</w:t>
      </w:r>
      <w:r>
        <w:rPr>
          <w:rFonts w:ascii="Times New Roman" w:hAnsi="Times New Roman" w:eastAsia="Times New Roman" w:cs="Times New Roman"/>
          <w:spacing w:val="-22"/>
          <w:sz w:val="19"/>
          <w:szCs w:val="19"/>
        </w:rPr>
        <w:t xml:space="preserve"> </w:t>
      </w:r>
      <w:r>
        <w:rPr>
          <w:spacing w:val="9"/>
          <w:sz w:val="19"/>
          <w:szCs w:val="19"/>
        </w:rPr>
        <w:t>。</w:t>
      </w:r>
      <w:r>
        <w:rPr>
          <w:spacing w:val="43"/>
          <w:sz w:val="19"/>
          <w:szCs w:val="19"/>
        </w:rPr>
        <w:t xml:space="preserve"> </w:t>
      </w:r>
      <w:r>
        <w:rPr>
          <w:spacing w:val="9"/>
          <w:sz w:val="19"/>
          <w:szCs w:val="19"/>
        </w:rPr>
        <w:t>大数据的处理速度非常快，</w:t>
      </w:r>
      <w:r>
        <w:rPr>
          <w:spacing w:val="8"/>
          <w:sz w:val="19"/>
          <w:szCs w:val="19"/>
        </w:rPr>
        <w:t>这是衡量大数据的一个重要特征。数据</w:t>
      </w:r>
      <w:r>
        <w:rPr>
          <w:sz w:val="19"/>
          <w:szCs w:val="19"/>
        </w:rPr>
        <w:t xml:space="preserve"> </w:t>
      </w:r>
      <w:r>
        <w:rPr>
          <w:spacing w:val="8"/>
          <w:sz w:val="19"/>
          <w:szCs w:val="19"/>
        </w:rPr>
        <w:t>是在线的，是随时能调用和计算的，这是大数据区别于传统数据最大的特征。</w:t>
      </w:r>
    </w:p>
    <w:p w14:paraId="77AA1894">
      <w:pPr>
        <w:pStyle w:val="2"/>
        <w:spacing w:before="115" w:line="221" w:lineRule="auto"/>
        <w:ind w:left="1232"/>
        <w:rPr>
          <w:rFonts w:ascii="黑体" w:hAnsi="黑体" w:eastAsia="黑体" w:cs="黑体"/>
          <w:sz w:val="19"/>
          <w:szCs w:val="19"/>
        </w:rPr>
      </w:pPr>
      <w:r>
        <w:rPr>
          <w:b/>
          <w:bCs/>
          <w:color w:val="0062D3"/>
          <w:spacing w:val="6"/>
          <w:sz w:val="19"/>
          <w:szCs w:val="19"/>
        </w:rPr>
        <w:t>3.</w:t>
      </w:r>
      <w:r>
        <w:rPr>
          <w:rFonts w:ascii="黑体" w:hAnsi="黑体" w:eastAsia="黑体" w:cs="黑体"/>
          <w:b/>
          <w:bCs/>
          <w:color w:val="0062D3"/>
          <w:spacing w:val="6"/>
          <w:sz w:val="19"/>
          <w:szCs w:val="19"/>
        </w:rPr>
        <w:t>大数据的结构分类</w:t>
      </w:r>
    </w:p>
    <w:p w14:paraId="1F7148E4">
      <w:pPr>
        <w:pStyle w:val="2"/>
        <w:spacing w:before="126" w:line="304" w:lineRule="auto"/>
        <w:ind w:left="830" w:right="82" w:firstLine="399"/>
        <w:jc w:val="both"/>
        <w:rPr>
          <w:sz w:val="19"/>
          <w:szCs w:val="19"/>
        </w:rPr>
      </w:pPr>
      <w:r>
        <w:rPr>
          <w:spacing w:val="13"/>
          <w:sz w:val="19"/>
          <w:szCs w:val="19"/>
        </w:rPr>
        <w:t>在大数据时代，移动通信、云计算、传感器、普适计算等新技术逐步融入生产、生活和社</w:t>
      </w:r>
      <w:r>
        <w:rPr>
          <w:sz w:val="19"/>
          <w:szCs w:val="19"/>
        </w:rPr>
        <w:t xml:space="preserve"> </w:t>
      </w:r>
      <w:r>
        <w:rPr>
          <w:spacing w:val="13"/>
          <w:sz w:val="19"/>
          <w:szCs w:val="19"/>
        </w:rPr>
        <w:t>会管理全过程。由于生产、生活和社会管理是一个复杂的系统，大数据由来自多个来源的</w:t>
      </w:r>
      <w:r>
        <w:rPr>
          <w:spacing w:val="12"/>
          <w:sz w:val="19"/>
          <w:szCs w:val="19"/>
        </w:rPr>
        <w:t>异构</w:t>
      </w:r>
      <w:r>
        <w:rPr>
          <w:sz w:val="19"/>
          <w:szCs w:val="19"/>
        </w:rPr>
        <w:t xml:space="preserve"> </w:t>
      </w:r>
      <w:r>
        <w:rPr>
          <w:spacing w:val="13"/>
          <w:sz w:val="19"/>
          <w:szCs w:val="19"/>
        </w:rPr>
        <w:t>数据组成，极为复杂。从数据结构化的程度来看，大数据的类型可以分为结构化数据、半</w:t>
      </w:r>
      <w:r>
        <w:rPr>
          <w:spacing w:val="12"/>
          <w:sz w:val="19"/>
          <w:szCs w:val="19"/>
        </w:rPr>
        <w:t>结构</w:t>
      </w:r>
      <w:r>
        <w:rPr>
          <w:sz w:val="19"/>
          <w:szCs w:val="19"/>
        </w:rPr>
        <w:t xml:space="preserve"> </w:t>
      </w:r>
      <w:r>
        <w:rPr>
          <w:spacing w:val="4"/>
          <w:sz w:val="19"/>
          <w:szCs w:val="19"/>
        </w:rPr>
        <w:t>化数据和非结构化数据。</w:t>
      </w:r>
    </w:p>
    <w:p w14:paraId="795BF7FC">
      <w:pPr>
        <w:pStyle w:val="2"/>
        <w:spacing w:line="270" w:lineRule="auto"/>
        <w:ind w:left="830" w:right="86" w:firstLine="399"/>
        <w:rPr>
          <w:sz w:val="19"/>
          <w:szCs w:val="19"/>
        </w:rPr>
      </w:pPr>
      <w:r>
        <w:rPr>
          <w:spacing w:val="15"/>
          <w:sz w:val="19"/>
          <w:szCs w:val="19"/>
        </w:rPr>
        <w:t>(1)结构化数据。结构化的数据一般是指可以使用关系型数据库表示和存储，可以用二维</w:t>
      </w:r>
      <w:r>
        <w:rPr>
          <w:spacing w:val="2"/>
          <w:sz w:val="19"/>
          <w:szCs w:val="19"/>
        </w:rPr>
        <w:t xml:space="preserve"> </w:t>
      </w:r>
      <w:r>
        <w:rPr>
          <w:spacing w:val="9"/>
          <w:sz w:val="19"/>
          <w:szCs w:val="19"/>
        </w:rPr>
        <w:t>表来逻辑表达实现的数据。结构化数据通常是先有结构再有数据。公众号：项目管理课堂</w:t>
      </w:r>
    </w:p>
    <w:p w14:paraId="13E2E4EE">
      <w:pPr>
        <w:pStyle w:val="2"/>
        <w:spacing w:before="77" w:line="285" w:lineRule="auto"/>
        <w:ind w:left="830" w:firstLine="399"/>
        <w:rPr>
          <w:sz w:val="19"/>
          <w:szCs w:val="19"/>
        </w:rPr>
      </w:pPr>
      <w:r>
        <w:rPr>
          <w:spacing w:val="15"/>
          <w:sz w:val="19"/>
          <w:szCs w:val="19"/>
        </w:rPr>
        <w:t>(2)半结构化数据。半结构化数据是结构化数据</w:t>
      </w:r>
      <w:r>
        <w:rPr>
          <w:spacing w:val="14"/>
          <w:sz w:val="19"/>
          <w:szCs w:val="19"/>
        </w:rPr>
        <w:t>的一种形式，并不符合关系型数据库或其</w:t>
      </w:r>
      <w:r>
        <w:rPr>
          <w:sz w:val="19"/>
          <w:szCs w:val="19"/>
        </w:rPr>
        <w:t xml:space="preserve">  </w:t>
      </w:r>
      <w:r>
        <w:rPr>
          <w:spacing w:val="13"/>
          <w:sz w:val="19"/>
          <w:szCs w:val="19"/>
        </w:rPr>
        <w:t>他数据表的形式关联起来的数据模型结构，但包含相关标记，用来分隔语义元素</w:t>
      </w:r>
      <w:r>
        <w:rPr>
          <w:spacing w:val="12"/>
          <w:sz w:val="19"/>
          <w:szCs w:val="19"/>
        </w:rPr>
        <w:t>，以及对记录</w:t>
      </w:r>
      <w:r>
        <w:rPr>
          <w:sz w:val="19"/>
          <w:szCs w:val="19"/>
        </w:rPr>
        <w:t xml:space="preserve">  </w:t>
      </w:r>
      <w:r>
        <w:rPr>
          <w:spacing w:val="10"/>
          <w:sz w:val="19"/>
          <w:szCs w:val="19"/>
        </w:rPr>
        <w:t>和字段进行分层，数据的结构和内容混在一起，没有明显的区分，因此也被称为自描述的结构。</w:t>
      </w:r>
      <w:r>
        <w:rPr>
          <w:spacing w:val="4"/>
          <w:sz w:val="19"/>
          <w:szCs w:val="19"/>
        </w:rPr>
        <w:t xml:space="preserve"> </w:t>
      </w:r>
      <w:r>
        <w:rPr>
          <w:spacing w:val="13"/>
          <w:sz w:val="19"/>
          <w:szCs w:val="19"/>
        </w:rPr>
        <w:t>半结构化数据通常是先有数据再有结构。简单地说，半结构化数据就是介于完全结构化数据和</w:t>
      </w:r>
      <w:r>
        <w:rPr>
          <w:sz w:val="19"/>
          <w:szCs w:val="19"/>
        </w:rPr>
        <w:t xml:space="preserve">  </w:t>
      </w:r>
      <w:r>
        <w:rPr>
          <w:spacing w:val="8"/>
          <w:sz w:val="19"/>
          <w:szCs w:val="19"/>
        </w:rPr>
        <w:t>完全无结构的数据之间的数据。例如，超文本标记语言</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Hyper</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Text</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Markup</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Language</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HTML</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 xml:space="preserve">   </w:t>
      </w:r>
      <w:r>
        <w:rPr>
          <w:spacing w:val="9"/>
          <w:sz w:val="19"/>
          <w:szCs w:val="19"/>
        </w:rPr>
        <w:t>文档，</w:t>
      </w:r>
      <w:r>
        <w:rPr>
          <w:rFonts w:ascii="Times New Roman" w:hAnsi="Times New Roman" w:eastAsia="Times New Roman" w:cs="Times New Roman"/>
          <w:sz w:val="19"/>
          <w:szCs w:val="19"/>
        </w:rPr>
        <w:t>JS</w:t>
      </w:r>
      <w:r>
        <w:rPr>
          <w:rFonts w:ascii="Times New Roman" w:hAnsi="Times New Roman" w:eastAsia="Times New Roman" w:cs="Times New Roman"/>
          <w:spacing w:val="27"/>
          <w:sz w:val="19"/>
          <w:szCs w:val="19"/>
        </w:rPr>
        <w:t xml:space="preserve"> </w:t>
      </w:r>
      <w:r>
        <w:rPr>
          <w:spacing w:val="9"/>
          <w:sz w:val="19"/>
          <w:szCs w:val="19"/>
        </w:rPr>
        <w:t>对象标记</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JavaScript</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Object</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Notation</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JSON</w:t>
      </w:r>
      <w:r>
        <w:rPr>
          <w:rFonts w:ascii="Times New Roman" w:hAnsi="Times New Roman" w:eastAsia="Times New Roman" w:cs="Times New Roman"/>
          <w:spacing w:val="9"/>
          <w:sz w:val="19"/>
          <w:szCs w:val="19"/>
        </w:rPr>
        <w:t>),</w:t>
      </w:r>
      <w:r>
        <w:rPr>
          <w:rFonts w:ascii="Times New Roman" w:hAnsi="Times New Roman" w:eastAsia="Times New Roman" w:cs="Times New Roman"/>
          <w:spacing w:val="32"/>
          <w:w w:val="101"/>
          <w:sz w:val="19"/>
          <w:szCs w:val="19"/>
        </w:rPr>
        <w:t xml:space="preserve"> </w:t>
      </w:r>
      <w:r>
        <w:rPr>
          <w:spacing w:val="9"/>
          <w:sz w:val="19"/>
          <w:szCs w:val="19"/>
        </w:rPr>
        <w:t>可扩展标记语言</w:t>
      </w:r>
      <w:r>
        <w:rPr>
          <w:spacing w:val="-49"/>
          <w:sz w:val="19"/>
          <w:szCs w:val="19"/>
        </w:rPr>
        <w:t xml:space="preserve"> </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EXtensible</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z w:val="19"/>
          <w:szCs w:val="19"/>
        </w:rPr>
        <w:t>Markup   Language</w:t>
      </w:r>
      <w:r>
        <w:rPr>
          <w:rFonts w:ascii="Times New Roman" w:hAnsi="Times New Roman" w:eastAsia="Times New Roman" w:cs="Times New Roman"/>
          <w:spacing w:val="5"/>
          <w:sz w:val="19"/>
          <w:szCs w:val="19"/>
        </w:rPr>
        <w:t>,</w:t>
      </w:r>
      <w:r>
        <w:rPr>
          <w:rFonts w:ascii="Times New Roman" w:hAnsi="Times New Roman" w:eastAsia="Times New Roman" w:cs="Times New Roman"/>
          <w:sz w:val="19"/>
          <w:szCs w:val="19"/>
        </w:rPr>
        <w:t>XML</w:t>
      </w:r>
      <w:r>
        <w:rPr>
          <w:rFonts w:ascii="Times New Roman" w:hAnsi="Times New Roman" w:eastAsia="Times New Roman" w:cs="Times New Roman"/>
          <w:spacing w:val="5"/>
          <w:sz w:val="19"/>
          <w:szCs w:val="19"/>
        </w:rPr>
        <w:t xml:space="preserve">)      </w:t>
      </w:r>
      <w:r>
        <w:rPr>
          <w:spacing w:val="5"/>
          <w:sz w:val="19"/>
          <w:szCs w:val="19"/>
        </w:rPr>
        <w:t>和</w:t>
      </w:r>
      <w:r>
        <w:rPr>
          <w:spacing w:val="-39"/>
          <w:sz w:val="19"/>
          <w:szCs w:val="19"/>
        </w:rPr>
        <w:t xml:space="preserve"> </w:t>
      </w:r>
      <w:r>
        <w:rPr>
          <w:spacing w:val="5"/>
          <w:sz w:val="19"/>
          <w:szCs w:val="19"/>
        </w:rPr>
        <w:t>一</w:t>
      </w:r>
      <w:r>
        <w:rPr>
          <w:spacing w:val="-46"/>
          <w:sz w:val="19"/>
          <w:szCs w:val="19"/>
        </w:rPr>
        <w:t xml:space="preserve"> </w:t>
      </w:r>
      <w:r>
        <w:rPr>
          <w:spacing w:val="5"/>
          <w:sz w:val="19"/>
          <w:szCs w:val="19"/>
        </w:rPr>
        <w:t>些</w:t>
      </w:r>
      <w:r>
        <w:rPr>
          <w:rFonts w:ascii="Times New Roman" w:hAnsi="Times New Roman" w:eastAsia="Times New Roman" w:cs="Times New Roman"/>
          <w:sz w:val="19"/>
          <w:szCs w:val="19"/>
        </w:rPr>
        <w:t>NoSQL</w:t>
      </w:r>
      <w:r>
        <w:rPr>
          <w:rFonts w:ascii="Times New Roman" w:hAnsi="Times New Roman" w:eastAsia="Times New Roman" w:cs="Times New Roman"/>
          <w:spacing w:val="5"/>
          <w:sz w:val="19"/>
          <w:szCs w:val="19"/>
        </w:rPr>
        <w:t xml:space="preserve">  </w:t>
      </w:r>
      <w:r>
        <w:rPr>
          <w:spacing w:val="5"/>
          <w:sz w:val="19"/>
          <w:szCs w:val="19"/>
        </w:rPr>
        <w:t>数据库等就属于半结构化数据。</w:t>
      </w:r>
    </w:p>
    <w:p w14:paraId="401CAA30">
      <w:pPr>
        <w:pStyle w:val="2"/>
        <w:spacing w:before="93" w:line="269" w:lineRule="auto"/>
        <w:ind w:left="830" w:right="80" w:firstLine="399"/>
        <w:rPr>
          <w:sz w:val="19"/>
          <w:szCs w:val="19"/>
        </w:rPr>
      </w:pPr>
      <w:r>
        <w:rPr>
          <w:spacing w:val="15"/>
          <w:sz w:val="19"/>
          <w:szCs w:val="19"/>
        </w:rPr>
        <w:t>(3)非结构化数据。顾名思义，非结构化数据就是没有固定结构的数据，包括所有格式的</w:t>
      </w:r>
      <w:r>
        <w:rPr>
          <w:spacing w:val="8"/>
          <w:sz w:val="19"/>
          <w:szCs w:val="19"/>
        </w:rPr>
        <w:t xml:space="preserve"> </w:t>
      </w:r>
      <w:r>
        <w:rPr>
          <w:spacing w:val="15"/>
          <w:sz w:val="19"/>
          <w:szCs w:val="19"/>
        </w:rPr>
        <w:t>办公文档、文本、图片、各类报表、图像和音频/视频信息等都属于非结构化数据。对于这类</w:t>
      </w:r>
      <w:r>
        <w:rPr>
          <w:spacing w:val="7"/>
          <w:sz w:val="19"/>
          <w:szCs w:val="19"/>
        </w:rPr>
        <w:t xml:space="preserve"> </w:t>
      </w:r>
      <w:r>
        <w:rPr>
          <w:spacing w:val="8"/>
          <w:sz w:val="19"/>
          <w:szCs w:val="19"/>
        </w:rPr>
        <w:t>数据，一般直接整体进行存储，而且一般存储为二进制的数据格式。</w:t>
      </w:r>
    </w:p>
    <w:p w14:paraId="00BF9359">
      <w:pPr>
        <w:spacing w:line="269" w:lineRule="auto"/>
        <w:rPr>
          <w:sz w:val="19"/>
          <w:szCs w:val="19"/>
        </w:rPr>
        <w:sectPr>
          <w:type w:val="continuous"/>
          <w:pgSz w:w="10360" w:h="13410"/>
          <w:pgMar w:top="360" w:right="1124" w:bottom="400" w:left="0" w:header="0" w:footer="0" w:gutter="0"/>
          <w:cols w:equalWidth="0" w:num="1">
            <w:col w:w="9236"/>
          </w:cols>
        </w:sectPr>
      </w:pPr>
    </w:p>
    <w:p w14:paraId="3E1A9531">
      <w:pPr>
        <w:pStyle w:val="2"/>
        <w:jc w:val="right"/>
        <w:rPr>
          <w:rFonts w:ascii="Times New Roman" w:hAnsi="Times New Roman" w:eastAsia="Times New Roman" w:cs="Times New Roman"/>
          <w:sz w:val="19"/>
          <w:szCs w:val="19"/>
        </w:rPr>
      </w:pPr>
      <w:r>
        <w:rPr>
          <w:spacing w:val="3"/>
          <w:sz w:val="19"/>
          <w:szCs w:val="19"/>
        </w:rPr>
        <w:t>第1章</w:t>
      </w:r>
      <w:r>
        <w:rPr>
          <w:spacing w:val="26"/>
          <w:sz w:val="19"/>
          <w:szCs w:val="19"/>
        </w:rPr>
        <w:t xml:space="preserve"> </w:t>
      </w:r>
      <w:r>
        <w:rPr>
          <w:spacing w:val="3"/>
          <w:sz w:val="19"/>
          <w:szCs w:val="19"/>
        </w:rPr>
        <w:t xml:space="preserve">信息与信息化 </w:t>
      </w:r>
      <w:r>
        <w:rPr>
          <w:position w:val="-10"/>
          <w:sz w:val="19"/>
          <w:szCs w:val="19"/>
        </w:rPr>
        <w:drawing>
          <wp:inline distT="0" distB="0" distL="0" distR="0">
            <wp:extent cx="330200" cy="24066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4"/>
                    <a:stretch>
                      <a:fillRect/>
                    </a:stretch>
                  </pic:blipFill>
                  <pic:spPr>
                    <a:xfrm>
                      <a:off x="0" y="0"/>
                      <a:ext cx="330223" cy="241292"/>
                    </a:xfrm>
                    <a:prstGeom prst="rect">
                      <a:avLst/>
                    </a:prstGeom>
                  </pic:spPr>
                </pic:pic>
              </a:graphicData>
            </a:graphic>
          </wp:inline>
        </w:drawing>
      </w:r>
      <w:r>
        <w:rPr>
          <w:spacing w:val="-16"/>
          <w:sz w:val="19"/>
          <w:szCs w:val="19"/>
        </w:rPr>
        <w:t xml:space="preserve"> </w:t>
      </w:r>
      <w:r>
        <w:rPr>
          <w:rFonts w:ascii="Times New Roman" w:hAnsi="Times New Roman" w:eastAsia="Times New Roman" w:cs="Times New Roman"/>
          <w:spacing w:val="3"/>
          <w:position w:val="-1"/>
          <w:sz w:val="19"/>
          <w:szCs w:val="19"/>
        </w:rPr>
        <w:t>13</w:t>
      </w:r>
    </w:p>
    <w:p w14:paraId="02D427A9">
      <w:pPr>
        <w:spacing w:line="279" w:lineRule="auto"/>
        <w:rPr>
          <w:rFonts w:ascii="Arial"/>
          <w:sz w:val="21"/>
        </w:rPr>
      </w:pPr>
    </w:p>
    <w:p w14:paraId="6D50327D">
      <w:pPr>
        <w:pStyle w:val="2"/>
        <w:spacing w:before="62" w:line="221" w:lineRule="auto"/>
        <w:ind w:left="402"/>
        <w:rPr>
          <w:rFonts w:ascii="黑体" w:hAnsi="黑体" w:eastAsia="黑体" w:cs="黑体"/>
          <w:sz w:val="19"/>
          <w:szCs w:val="19"/>
        </w:rPr>
      </w:pPr>
      <w:bookmarkStart w:id="484" w:name="bookmark471"/>
      <w:bookmarkEnd w:id="484"/>
      <w:r>
        <w:rPr>
          <w:b/>
          <w:bCs/>
          <w:color w:val="0057C9"/>
          <w:spacing w:val="7"/>
          <w:sz w:val="19"/>
          <w:szCs w:val="19"/>
        </w:rPr>
        <w:t>4.</w:t>
      </w:r>
      <w:r>
        <w:rPr>
          <w:rFonts w:ascii="黑体" w:hAnsi="黑体" w:eastAsia="黑体" w:cs="黑体"/>
          <w:b/>
          <w:bCs/>
          <w:color w:val="0057C9"/>
          <w:spacing w:val="7"/>
          <w:sz w:val="19"/>
          <w:szCs w:val="19"/>
        </w:rPr>
        <w:t>大数据系统与常用技术</w:t>
      </w:r>
    </w:p>
    <w:p w14:paraId="7E1619CC">
      <w:pPr>
        <w:spacing w:before="235" w:line="212" w:lineRule="auto"/>
        <w:ind w:left="400"/>
        <w:rPr>
          <w:rFonts w:ascii="楷体" w:hAnsi="楷体" w:eastAsia="楷体" w:cs="楷体"/>
          <w:sz w:val="19"/>
          <w:szCs w:val="19"/>
        </w:rPr>
      </w:pPr>
      <w:r>
        <w:rPr>
          <w:rFonts w:ascii="Times New Roman" w:hAnsi="Times New Roman" w:eastAsia="Times New Roman" w:cs="Times New Roman"/>
          <w:sz w:val="19"/>
          <w:szCs w:val="19"/>
        </w:rPr>
        <w:t>1)Hadoop</w:t>
      </w:r>
      <w:r>
        <w:rPr>
          <w:rFonts w:ascii="Times New Roman" w:hAnsi="Times New Roman" w:eastAsia="Times New Roman" w:cs="Times New Roman"/>
          <w:spacing w:val="10"/>
          <w:sz w:val="19"/>
          <w:szCs w:val="19"/>
        </w:rPr>
        <w:t xml:space="preserve">    </w:t>
      </w:r>
      <w:r>
        <w:rPr>
          <w:rFonts w:ascii="楷体" w:hAnsi="楷体" w:eastAsia="楷体" w:cs="楷体"/>
          <w:sz w:val="19"/>
          <w:szCs w:val="19"/>
        </w:rPr>
        <w:t>生态系统</w:t>
      </w:r>
    </w:p>
    <w:p w14:paraId="742D756D">
      <w:pPr>
        <w:pStyle w:val="2"/>
        <w:spacing w:before="102" w:line="287" w:lineRule="auto"/>
        <w:ind w:right="272" w:firstLine="400"/>
        <w:rPr>
          <w:sz w:val="19"/>
          <w:szCs w:val="19"/>
        </w:rPr>
      </w:pPr>
      <w:r>
        <w:rPr>
          <w:rFonts w:ascii="Times New Roman" w:hAnsi="Times New Roman" w:eastAsia="Times New Roman" w:cs="Times New Roman"/>
          <w:sz w:val="19"/>
          <w:szCs w:val="19"/>
        </w:rPr>
        <w:t>Hadoop</w:t>
      </w:r>
      <w:r>
        <w:rPr>
          <w:rFonts w:ascii="Times New Roman" w:hAnsi="Times New Roman" w:eastAsia="Times New Roman" w:cs="Times New Roman"/>
          <w:spacing w:val="29"/>
          <w:w w:val="101"/>
          <w:sz w:val="19"/>
          <w:szCs w:val="19"/>
        </w:rPr>
        <w:t xml:space="preserve"> </w:t>
      </w:r>
      <w:r>
        <w:rPr>
          <w:spacing w:val="17"/>
          <w:sz w:val="19"/>
          <w:szCs w:val="19"/>
        </w:rPr>
        <w:t>是一个能够对大量数据进行分布式处理的软件框架，具有可靠、高效、可伸缩的</w:t>
      </w:r>
      <w:r>
        <w:rPr>
          <w:sz w:val="19"/>
          <w:szCs w:val="19"/>
        </w:rPr>
        <w:t xml:space="preserve"> </w:t>
      </w:r>
      <w:r>
        <w:rPr>
          <w:spacing w:val="4"/>
          <w:sz w:val="19"/>
          <w:szCs w:val="19"/>
        </w:rPr>
        <w:t>特点。</w:t>
      </w:r>
      <w:r>
        <w:rPr>
          <w:rFonts w:ascii="Times New Roman" w:hAnsi="Times New Roman" w:eastAsia="Times New Roman" w:cs="Times New Roman"/>
          <w:sz w:val="19"/>
          <w:szCs w:val="19"/>
        </w:rPr>
        <w:t>Hadoop</w:t>
      </w:r>
      <w:r>
        <w:rPr>
          <w:rFonts w:ascii="Times New Roman" w:hAnsi="Times New Roman" w:eastAsia="Times New Roman" w:cs="Times New Roman"/>
          <w:spacing w:val="4"/>
          <w:sz w:val="19"/>
          <w:szCs w:val="19"/>
        </w:rPr>
        <w:t xml:space="preserve">2.0  </w:t>
      </w:r>
      <w:r>
        <w:rPr>
          <w:spacing w:val="4"/>
          <w:sz w:val="19"/>
          <w:szCs w:val="19"/>
        </w:rPr>
        <w:t>主要由三部分组成：</w:t>
      </w:r>
      <w:r>
        <w:rPr>
          <w:rFonts w:ascii="Times New Roman" w:hAnsi="Times New Roman" w:eastAsia="Times New Roman" w:cs="Times New Roman"/>
          <w:sz w:val="19"/>
          <w:szCs w:val="19"/>
        </w:rPr>
        <w:t>Hadoop</w:t>
      </w:r>
      <w:r>
        <w:rPr>
          <w:rFonts w:ascii="Times New Roman" w:hAnsi="Times New Roman" w:eastAsia="Times New Roman" w:cs="Times New Roman"/>
          <w:spacing w:val="4"/>
          <w:sz w:val="19"/>
          <w:szCs w:val="19"/>
        </w:rPr>
        <w:t xml:space="preserve">  </w:t>
      </w:r>
      <w:r>
        <w:rPr>
          <w:spacing w:val="4"/>
          <w:sz w:val="19"/>
          <w:szCs w:val="19"/>
        </w:rPr>
        <w:t>分布式文件系统</w:t>
      </w:r>
      <w:r>
        <w:rPr>
          <w:spacing w:val="-44"/>
          <w:sz w:val="19"/>
          <w:szCs w:val="19"/>
        </w:rPr>
        <w:t xml:space="preserve"> </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Hadoop</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Distributed</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File</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System</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 xml:space="preserve">  HDFS</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MapReduce</w:t>
      </w:r>
      <w:r>
        <w:rPr>
          <w:rFonts w:ascii="Times New Roman" w:hAnsi="Times New Roman" w:eastAsia="Times New Roman" w:cs="Times New Roman"/>
          <w:spacing w:val="11"/>
          <w:sz w:val="19"/>
          <w:szCs w:val="19"/>
        </w:rPr>
        <w:t xml:space="preserve">     </w:t>
      </w:r>
      <w:r>
        <w:rPr>
          <w:spacing w:val="11"/>
          <w:sz w:val="19"/>
          <w:szCs w:val="19"/>
        </w:rPr>
        <w:t>编程模型和</w:t>
      </w:r>
      <w:r>
        <w:rPr>
          <w:rFonts w:ascii="Times New Roman" w:hAnsi="Times New Roman" w:eastAsia="Times New Roman" w:cs="Times New Roman"/>
          <w:sz w:val="19"/>
          <w:szCs w:val="19"/>
        </w:rPr>
        <w:t>Yarn</w:t>
      </w:r>
      <w:r>
        <w:rPr>
          <w:rFonts w:ascii="Times New Roman" w:hAnsi="Times New Roman" w:eastAsia="Times New Roman" w:cs="Times New Roman"/>
          <w:spacing w:val="15"/>
          <w:sz w:val="19"/>
          <w:szCs w:val="19"/>
        </w:rPr>
        <w:t xml:space="preserve"> </w:t>
      </w:r>
      <w:r>
        <w:rPr>
          <w:spacing w:val="11"/>
          <w:sz w:val="19"/>
          <w:szCs w:val="19"/>
        </w:rPr>
        <w:t>资源管理。整个</w:t>
      </w:r>
      <w:r>
        <w:rPr>
          <w:rFonts w:ascii="Times New Roman" w:hAnsi="Times New Roman" w:eastAsia="Times New Roman" w:cs="Times New Roman"/>
          <w:sz w:val="19"/>
          <w:szCs w:val="19"/>
        </w:rPr>
        <w:t>Hadoop</w:t>
      </w:r>
      <w:r>
        <w:rPr>
          <w:rFonts w:ascii="Times New Roman" w:hAnsi="Times New Roman" w:eastAsia="Times New Roman" w:cs="Times New Roman"/>
          <w:spacing w:val="11"/>
          <w:sz w:val="19"/>
          <w:szCs w:val="19"/>
        </w:rPr>
        <w:t xml:space="preserve">  </w:t>
      </w:r>
      <w:r>
        <w:rPr>
          <w:spacing w:val="11"/>
          <w:sz w:val="19"/>
          <w:szCs w:val="19"/>
        </w:rPr>
        <w:t>家族由几</w:t>
      </w:r>
      <w:r>
        <w:rPr>
          <w:spacing w:val="10"/>
          <w:sz w:val="19"/>
          <w:szCs w:val="19"/>
        </w:rPr>
        <w:t>个子项目组成，如图1-5</w:t>
      </w:r>
      <w:r>
        <w:rPr>
          <w:sz w:val="19"/>
          <w:szCs w:val="19"/>
        </w:rPr>
        <w:t xml:space="preserve"> </w:t>
      </w:r>
      <w:r>
        <w:rPr>
          <w:spacing w:val="5"/>
          <w:sz w:val="19"/>
          <w:szCs w:val="19"/>
        </w:rPr>
        <w:t>所示。</w:t>
      </w:r>
    </w:p>
    <w:p w14:paraId="0206E72B">
      <w:pPr>
        <w:pStyle w:val="2"/>
        <w:spacing w:before="91" w:line="4800" w:lineRule="exact"/>
        <w:ind w:firstLine="660"/>
      </w:pPr>
      <w:r>
        <mc:AlternateContent>
          <mc:Choice Requires="wps">
            <w:drawing>
              <wp:anchor distT="0" distB="0" distL="0" distR="0" simplePos="0" relativeHeight="251684864" behindDoc="0" locked="0" layoutInCell="1" allowOverlap="1">
                <wp:simplePos x="0" y="0"/>
                <wp:positionH relativeFrom="column">
                  <wp:posOffset>906780</wp:posOffset>
                </wp:positionH>
                <wp:positionV relativeFrom="paragraph">
                  <wp:posOffset>1525905</wp:posOffset>
                </wp:positionV>
                <wp:extent cx="294005" cy="164465"/>
                <wp:effectExtent l="0" t="0" r="0" b="0"/>
                <wp:wrapNone/>
                <wp:docPr id="46" name="TextBox 46"/>
                <wp:cNvGraphicFramePr/>
                <a:graphic xmlns:a="http://schemas.openxmlformats.org/drawingml/2006/main">
                  <a:graphicData uri="http://schemas.microsoft.com/office/word/2010/wordprocessingShape">
                    <wps:wsp>
                      <wps:cNvSpPr txBox="1"/>
                      <wps:spPr>
                        <a:xfrm rot="5400000">
                          <a:off x="907122" y="1526144"/>
                          <a:ext cx="294004"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CA1360">
                            <w:pPr>
                              <w:pStyle w:val="2"/>
                              <w:spacing w:before="70" w:line="182" w:lineRule="auto"/>
                              <w:ind w:left="20"/>
                              <w:rPr>
                                <w:sz w:val="17"/>
                                <w:szCs w:val="17"/>
                              </w:rPr>
                            </w:pPr>
                            <w:r>
                              <w:rPr>
                                <w:spacing w:val="-1"/>
                                <w:sz w:val="17"/>
                                <w:szCs w:val="17"/>
                              </w:rPr>
                              <w:t>HBase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 o:spid="_x0000_s1026" o:spt="202" type="#_x0000_t202" style="position:absolute;left:0pt;margin-left:71.4pt;margin-top:120.15pt;height:12.95pt;width:23.15pt;rotation:5898240f;z-index:251684864;mso-width-relative:page;mso-height-relative:page;" filled="f" stroked="f" coordsize="21600,21600" o:gfxdata="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PJbwTYAAAACwEAAA8AAAAA&#10;AAAAAQAgAAAAIgAAAGRycy9kb3ducmV2LnhtbFBLAQIUABQAAAAIAIdO4kD7pMTpTQIAAKEEAAAO&#10;AAAAAAAAAAEAIAAAACcBAABkcnMvZTJvRG9jLnhtbFBLBQYAAAAABgAGAFkBAADmBQAAAAA=&#10;">
                <v:fill on="f" focussize="0,0"/>
                <v:stroke on="f" weight="0pt" miterlimit="0" joinstyle="miter"/>
                <v:imagedata o:title=""/>
                <o:lock v:ext="edit" aspectratio="f"/>
                <v:textbox inset="0mm,0mm,0mm,0mm">
                  <w:txbxContent>
                    <w:p w14:paraId="4ECA1360">
                      <w:pPr>
                        <w:pStyle w:val="2"/>
                        <w:spacing w:before="70" w:line="182" w:lineRule="auto"/>
                        <w:ind w:left="20"/>
                        <w:rPr>
                          <w:sz w:val="17"/>
                          <w:szCs w:val="17"/>
                        </w:rPr>
                      </w:pPr>
                      <w:r>
                        <w:rPr>
                          <w:spacing w:val="-1"/>
                          <w:sz w:val="17"/>
                          <w:szCs w:val="17"/>
                        </w:rPr>
                        <w:t>HBase</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column">
                  <wp:posOffset>4392930</wp:posOffset>
                </wp:positionH>
                <wp:positionV relativeFrom="paragraph">
                  <wp:posOffset>1294130</wp:posOffset>
                </wp:positionV>
                <wp:extent cx="346075" cy="198120"/>
                <wp:effectExtent l="0" t="0" r="0" b="0"/>
                <wp:wrapNone/>
                <wp:docPr id="48" name="TextBox 48"/>
                <wp:cNvGraphicFramePr/>
                <a:graphic xmlns:a="http://schemas.openxmlformats.org/drawingml/2006/main">
                  <a:graphicData uri="http://schemas.microsoft.com/office/word/2010/wordprocessingShape">
                    <wps:wsp>
                      <wps:cNvSpPr txBox="1"/>
                      <wps:spPr>
                        <a:xfrm rot="5400000">
                          <a:off x="4393395" y="1294135"/>
                          <a:ext cx="346075"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D619E2A">
                            <w:pPr>
                              <w:pStyle w:val="2"/>
                              <w:spacing w:before="70"/>
                              <w:ind w:left="20"/>
                              <w:rPr>
                                <w:sz w:val="17"/>
                                <w:szCs w:val="17"/>
                              </w:rPr>
                            </w:pPr>
                            <w:r>
                              <w:rPr>
                                <w:spacing w:val="-1"/>
                                <w:sz w:val="17"/>
                                <w:szCs w:val="17"/>
                              </w:rPr>
                              <w:t>Chukwa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 o:spid="_x0000_s1026" o:spt="202" type="#_x0000_t202" style="position:absolute;left:0pt;margin-left:345.9pt;margin-top:101.9pt;height:15.6pt;width:27.25pt;rotation:5898240f;z-index:251683840;mso-width-relative:page;mso-height-relative:page;" filled="f" stroked="f" coordsize="21600,21600" o:gfxdata="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oo2lNgAAAALAQAADwAA&#10;AAAAAAABACAAAAAiAAAAZHJzL2Rvd25yZXYueG1sUEsBAhQAFAAAAAgAh07iQH/ouCBPAgAAogQA&#10;AA4AAAAAAAAAAQAgAAAAJwEAAGRycy9lMm9Eb2MueG1sUEsFBgAAAAAGAAYAWQEAAOgFAAAAAA==&#10;">
                <v:fill on="f" focussize="0,0"/>
                <v:stroke on="f" weight="0pt" miterlimit="0" joinstyle="miter"/>
                <v:imagedata o:title=""/>
                <o:lock v:ext="edit" aspectratio="f"/>
                <v:textbox inset="0mm,0mm,0mm,0mm">
                  <w:txbxContent>
                    <w:p w14:paraId="5D619E2A">
                      <w:pPr>
                        <w:pStyle w:val="2"/>
                        <w:spacing w:before="70"/>
                        <w:ind w:left="20"/>
                        <w:rPr>
                          <w:sz w:val="17"/>
                          <w:szCs w:val="17"/>
                        </w:rPr>
                      </w:pPr>
                      <w:r>
                        <w:rPr>
                          <w:spacing w:val="-1"/>
                          <w:sz w:val="17"/>
                          <w:szCs w:val="17"/>
                        </w:rPr>
                        <w:t>Chukwa</w:t>
                      </w:r>
                    </w:p>
                  </w:txbxContent>
                </v:textbox>
              </v:shape>
            </w:pict>
          </mc:Fallback>
        </mc:AlternateContent>
      </w:r>
      <w:r>
        <mc:AlternateContent>
          <mc:Choice Requires="wps">
            <w:drawing>
              <wp:anchor distT="0" distB="0" distL="0" distR="0" simplePos="0" relativeHeight="251682816" behindDoc="0" locked="0" layoutInCell="1" allowOverlap="1">
                <wp:simplePos x="0" y="0"/>
                <wp:positionH relativeFrom="column">
                  <wp:posOffset>3975100</wp:posOffset>
                </wp:positionH>
                <wp:positionV relativeFrom="paragraph">
                  <wp:posOffset>1305560</wp:posOffset>
                </wp:positionV>
                <wp:extent cx="293370" cy="198120"/>
                <wp:effectExtent l="0" t="0" r="0" b="0"/>
                <wp:wrapNone/>
                <wp:docPr id="50" name="TextBox 50"/>
                <wp:cNvGraphicFramePr/>
                <a:graphic xmlns:a="http://schemas.openxmlformats.org/drawingml/2006/main">
                  <a:graphicData uri="http://schemas.microsoft.com/office/word/2010/wordprocessingShape">
                    <wps:wsp>
                      <wps:cNvSpPr txBox="1"/>
                      <wps:spPr>
                        <a:xfrm rot="5400000">
                          <a:off x="3975486" y="1305666"/>
                          <a:ext cx="293370"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001C09">
                            <w:pPr>
                              <w:pStyle w:val="2"/>
                              <w:spacing w:before="70"/>
                              <w:ind w:left="20"/>
                              <w:rPr>
                                <w:sz w:val="17"/>
                                <w:szCs w:val="17"/>
                              </w:rPr>
                            </w:pPr>
                            <w:r>
                              <w:rPr>
                                <w:spacing w:val="-1"/>
                                <w:sz w:val="17"/>
                                <w:szCs w:val="17"/>
                              </w:rPr>
                              <w:t>Flume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 o:spid="_x0000_s1026" o:spt="202" type="#_x0000_t202" style="position:absolute;left:0pt;margin-left:313pt;margin-top:102.8pt;height:15.6pt;width:23.1pt;rotation:5898240f;z-index:251682816;mso-width-relative:page;mso-height-relative:page;" filled="f" stroked="f" coordsize="21600,21600" o:gfxdata="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XoiyDYAAAACwEAAA8A&#10;AAAAAAAAAQAgAAAAIgAAAGRycy9kb3ducmV2LnhtbFBLAQIUABQAAAAIAIdO4kAci2YwUAIAAKIE&#10;AAAOAAAAAAAAAAEAIAAAACcBAABkcnMvZTJvRG9jLnhtbFBLBQYAAAAABgAGAFkBAADpBQAAAAA=&#10;">
                <v:fill on="f" focussize="0,0"/>
                <v:stroke on="f" weight="0pt" miterlimit="0" joinstyle="miter"/>
                <v:imagedata o:title=""/>
                <o:lock v:ext="edit" aspectratio="f"/>
                <v:textbox inset="0mm,0mm,0mm,0mm">
                  <w:txbxContent>
                    <w:p w14:paraId="78001C09">
                      <w:pPr>
                        <w:pStyle w:val="2"/>
                        <w:spacing w:before="70"/>
                        <w:ind w:left="20"/>
                        <w:rPr>
                          <w:sz w:val="17"/>
                          <w:szCs w:val="17"/>
                        </w:rPr>
                      </w:pPr>
                      <w:r>
                        <w:rPr>
                          <w:spacing w:val="-1"/>
                          <w:sz w:val="17"/>
                          <w:szCs w:val="17"/>
                        </w:rPr>
                        <w:t>Flume</w:t>
                      </w:r>
                    </w:p>
                  </w:txbxContent>
                </v:textbox>
              </v:shape>
            </w:pict>
          </mc:Fallback>
        </mc:AlternateContent>
      </w:r>
      <w:r>
        <w:rPr>
          <w:position w:val="-96"/>
        </w:rPr>
        <w:pict>
          <v:group id="_x0000_s1050" o:spid="_x0000_s1050" o:spt="203" style="height:240.05pt;width:351pt;" coordsize="7020,4801">
            <o:lock v:ext="edit"/>
            <v:shape id="_x0000_s1051" o:spid="_x0000_s1051" o:spt="75" type="#_x0000_t75" style="position:absolute;left:0;top:0;height:4801;width:7020;" filled="f" stroked="f" coordsize="21600,21600">
              <v:path/>
              <v:fill on="f" focussize="0,0"/>
              <v:stroke on="f"/>
              <v:imagedata r:id="rId35" o:title=""/>
              <o:lock v:ext="edit" aspectratio="t"/>
            </v:shape>
            <v:shape id="_x0000_s1052" o:spid="_x0000_s1052" o:spt="202" type="#_x0000_t202" style="position:absolute;left:1720;top:220;height:4436;width:3778;" filled="f" stroked="f" coordsize="21600,21600">
              <v:path/>
              <v:fill on="f" focussize="0,0"/>
              <v:stroke on="f"/>
              <v:imagedata o:title=""/>
              <o:lock v:ext="edit" aspectratio="f"/>
              <v:textbox inset="0mm,0mm,0mm,0mm">
                <w:txbxContent>
                  <w:p w14:paraId="108D6E7B">
                    <w:pPr>
                      <w:spacing w:before="19" w:line="158" w:lineRule="auto"/>
                      <w:ind w:left="153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Ambari</w:t>
                    </w:r>
                  </w:p>
                  <w:p w14:paraId="1538CF2F">
                    <w:pPr>
                      <w:spacing w:line="219" w:lineRule="auto"/>
                      <w:ind w:left="599"/>
                      <w:rPr>
                        <w:rFonts w:ascii="宋体" w:hAnsi="宋体" w:eastAsia="宋体" w:cs="宋体"/>
                        <w:sz w:val="18"/>
                        <w:szCs w:val="18"/>
                      </w:rPr>
                    </w:pPr>
                    <w:r>
                      <w:rPr>
                        <w:rFonts w:ascii="宋体" w:hAnsi="宋体" w:eastAsia="宋体" w:cs="宋体"/>
                        <w:spacing w:val="-7"/>
                        <w:sz w:val="18"/>
                        <w:szCs w:val="18"/>
                      </w:rPr>
                      <w:t>(安装、部署、配置和管理工具)</w:t>
                    </w:r>
                  </w:p>
                  <w:p w14:paraId="04BE8DAB">
                    <w:pPr>
                      <w:spacing w:line="305" w:lineRule="auto"/>
                      <w:rPr>
                        <w:rFonts w:ascii="Arial"/>
                        <w:sz w:val="21"/>
                      </w:rPr>
                    </w:pPr>
                  </w:p>
                  <w:p w14:paraId="50EDF77A">
                    <w:pPr>
                      <w:spacing w:before="55" w:line="192" w:lineRule="auto"/>
                      <w:ind w:left="1580"/>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Ooize</w:t>
                    </w:r>
                  </w:p>
                  <w:p w14:paraId="4A634762">
                    <w:pPr>
                      <w:spacing w:line="220" w:lineRule="auto"/>
                      <w:ind w:left="1109"/>
                      <w:rPr>
                        <w:rFonts w:ascii="宋体" w:hAnsi="宋体" w:eastAsia="宋体" w:cs="宋体"/>
                        <w:sz w:val="19"/>
                        <w:szCs w:val="19"/>
                      </w:rPr>
                    </w:pPr>
                    <w:r>
                      <w:rPr>
                        <w:rFonts w:ascii="宋体" w:hAnsi="宋体" w:eastAsia="宋体" w:cs="宋体"/>
                        <w:spacing w:val="-13"/>
                        <w:sz w:val="19"/>
                        <w:szCs w:val="19"/>
                      </w:rPr>
                      <w:t>(作业流调度系统)</w:t>
                    </w:r>
                  </w:p>
                  <w:p w14:paraId="6372965E">
                    <w:pPr>
                      <w:spacing w:line="362" w:lineRule="auto"/>
                      <w:rPr>
                        <w:rFonts w:ascii="Arial"/>
                        <w:sz w:val="21"/>
                      </w:rPr>
                    </w:pPr>
                  </w:p>
                  <w:p w14:paraId="00D37D6F">
                    <w:pPr>
                      <w:spacing w:before="55" w:line="192" w:lineRule="auto"/>
                      <w:ind w:left="229"/>
                      <w:rPr>
                        <w:rFonts w:ascii="Times New Roman" w:hAnsi="Times New Roman" w:eastAsia="Times New Roman" w:cs="Times New Roman"/>
                        <w:sz w:val="19"/>
                        <w:szCs w:val="19"/>
                      </w:rPr>
                    </w:pPr>
                    <w:r>
                      <w:rPr>
                        <w:rFonts w:ascii="Times New Roman" w:hAnsi="Times New Roman" w:eastAsia="Times New Roman" w:cs="Times New Roman"/>
                        <w:spacing w:val="-2"/>
                        <w:position w:val="-1"/>
                        <w:sz w:val="19"/>
                        <w:szCs w:val="19"/>
                      </w:rPr>
                      <w:t xml:space="preserve">Hive                    </w:t>
                    </w:r>
                    <w:r>
                      <w:rPr>
                        <w:rFonts w:ascii="Times New Roman" w:hAnsi="Times New Roman" w:eastAsia="Times New Roman" w:cs="Times New Roman"/>
                        <w:spacing w:val="-3"/>
                        <w:position w:val="-1"/>
                        <w:sz w:val="19"/>
                        <w:szCs w:val="19"/>
                      </w:rPr>
                      <w:t xml:space="preserve">   </w:t>
                    </w:r>
                    <w:r>
                      <w:rPr>
                        <w:rFonts w:ascii="Times New Roman" w:hAnsi="Times New Roman" w:eastAsia="Times New Roman" w:cs="Times New Roman"/>
                        <w:spacing w:val="-3"/>
                        <w:sz w:val="19"/>
                        <w:szCs w:val="19"/>
                      </w:rPr>
                      <w:t>Pig</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pacing w:val="-3"/>
                        <w:sz w:val="19"/>
                        <w:szCs w:val="19"/>
                      </w:rPr>
                      <w:t>Mahout</w:t>
                    </w:r>
                  </w:p>
                  <w:p w14:paraId="341DDC71">
                    <w:pPr>
                      <w:spacing w:line="218" w:lineRule="auto"/>
                      <w:ind w:left="20"/>
                      <w:rPr>
                        <w:rFonts w:ascii="宋体" w:hAnsi="宋体" w:eastAsia="宋体" w:cs="宋体"/>
                        <w:sz w:val="19"/>
                        <w:szCs w:val="19"/>
                      </w:rPr>
                    </w:pPr>
                    <w:r>
                      <w:rPr>
                        <w:rFonts w:ascii="宋体" w:hAnsi="宋体" w:eastAsia="宋体" w:cs="宋体"/>
                        <w:spacing w:val="-12"/>
                        <w:sz w:val="19"/>
                        <w:szCs w:val="19"/>
                      </w:rPr>
                      <w:t>(数据仓库)</w:t>
                    </w:r>
                    <w:r>
                      <w:rPr>
                        <w:rFonts w:ascii="宋体" w:hAnsi="宋体" w:eastAsia="宋体" w:cs="宋体"/>
                        <w:spacing w:val="8"/>
                        <w:sz w:val="19"/>
                        <w:szCs w:val="19"/>
                      </w:rPr>
                      <w:t xml:space="preserve">    </w:t>
                    </w:r>
                    <w:r>
                      <w:rPr>
                        <w:rFonts w:ascii="宋体" w:hAnsi="宋体" w:eastAsia="宋体" w:cs="宋体"/>
                        <w:spacing w:val="-12"/>
                        <w:sz w:val="19"/>
                        <w:szCs w:val="19"/>
                      </w:rPr>
                      <w:t>(数据流处理)</w:t>
                    </w:r>
                    <w:r>
                      <w:rPr>
                        <w:rFonts w:ascii="宋体" w:hAnsi="宋体" w:eastAsia="宋体" w:cs="宋体"/>
                        <w:spacing w:val="6"/>
                        <w:sz w:val="19"/>
                        <w:szCs w:val="19"/>
                      </w:rPr>
                      <w:t xml:space="preserve">   </w:t>
                    </w:r>
                    <w:r>
                      <w:rPr>
                        <w:rFonts w:ascii="宋体" w:hAnsi="宋体" w:eastAsia="宋体" w:cs="宋体"/>
                        <w:spacing w:val="-12"/>
                        <w:sz w:val="19"/>
                        <w:szCs w:val="19"/>
                      </w:rPr>
                      <w:t>(数据挖掘库)</w:t>
                    </w:r>
                  </w:p>
                  <w:p w14:paraId="5723DC54">
                    <w:pPr>
                      <w:spacing w:line="454" w:lineRule="auto"/>
                      <w:rPr>
                        <w:rFonts w:ascii="Arial"/>
                        <w:sz w:val="21"/>
                      </w:rPr>
                    </w:pPr>
                  </w:p>
                  <w:p w14:paraId="652063B4">
                    <w:pPr>
                      <w:spacing w:before="55" w:line="201" w:lineRule="auto"/>
                      <w:ind w:left="279"/>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MapReduce</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8"/>
                        <w:sz w:val="19"/>
                        <w:szCs w:val="19"/>
                      </w:rPr>
                      <w:t>Spark</w:t>
                    </w:r>
                  </w:p>
                  <w:p w14:paraId="6408106B">
                    <w:pPr>
                      <w:spacing w:line="217" w:lineRule="auto"/>
                      <w:ind w:left="40"/>
                      <w:rPr>
                        <w:rFonts w:ascii="宋体" w:hAnsi="宋体" w:eastAsia="宋体" w:cs="宋体"/>
                        <w:sz w:val="19"/>
                        <w:szCs w:val="19"/>
                      </w:rPr>
                    </w:pPr>
                    <w:r>
                      <w:rPr>
                        <w:rFonts w:ascii="宋体" w:hAnsi="宋体" w:eastAsia="宋体" w:cs="宋体"/>
                        <w:spacing w:val="-15"/>
                        <w:sz w:val="19"/>
                        <w:szCs w:val="19"/>
                      </w:rPr>
                      <w:t>(分布式计算框架)</w:t>
                    </w:r>
                    <w:r>
                      <w:rPr>
                        <w:rFonts w:ascii="宋体" w:hAnsi="宋体" w:eastAsia="宋体" w:cs="宋体"/>
                        <w:spacing w:val="5"/>
                        <w:sz w:val="19"/>
                        <w:szCs w:val="19"/>
                      </w:rPr>
                      <w:t xml:space="preserve">      </w:t>
                    </w:r>
                    <w:r>
                      <w:rPr>
                        <w:rFonts w:ascii="宋体" w:hAnsi="宋体" w:eastAsia="宋体" w:cs="宋体"/>
                        <w:spacing w:val="-15"/>
                        <w:sz w:val="19"/>
                        <w:szCs w:val="19"/>
                      </w:rPr>
                      <w:t>(分布式内存计算框架)</w:t>
                    </w:r>
                  </w:p>
                  <w:p w14:paraId="05B5DE69">
                    <w:pPr>
                      <w:spacing w:line="411" w:lineRule="auto"/>
                      <w:rPr>
                        <w:rFonts w:ascii="Arial"/>
                        <w:sz w:val="21"/>
                      </w:rPr>
                    </w:pPr>
                  </w:p>
                  <w:p w14:paraId="47F934DA">
                    <w:pPr>
                      <w:spacing w:before="55" w:line="183" w:lineRule="auto"/>
                      <w:ind w:left="1619"/>
                      <w:rPr>
                        <w:rFonts w:ascii="Times New Roman" w:hAnsi="Times New Roman" w:eastAsia="Times New Roman" w:cs="Times New Roman"/>
                        <w:sz w:val="19"/>
                        <w:szCs w:val="19"/>
                      </w:rPr>
                    </w:pPr>
                    <w:r>
                      <w:rPr>
                        <w:rFonts w:ascii="Times New Roman" w:hAnsi="Times New Roman" w:eastAsia="Times New Roman" w:cs="Times New Roman"/>
                        <w:spacing w:val="-2"/>
                        <w:w w:val="92"/>
                        <w:sz w:val="19"/>
                        <w:szCs w:val="19"/>
                      </w:rPr>
                      <w:t>Yarn</w:t>
                    </w:r>
                  </w:p>
                  <w:p w14:paraId="062047A3">
                    <w:pPr>
                      <w:spacing w:before="1" w:line="218" w:lineRule="auto"/>
                      <w:ind w:left="1109"/>
                      <w:rPr>
                        <w:rFonts w:ascii="宋体" w:hAnsi="宋体" w:eastAsia="宋体" w:cs="宋体"/>
                        <w:sz w:val="19"/>
                        <w:szCs w:val="19"/>
                      </w:rPr>
                    </w:pPr>
                    <w:r>
                      <w:rPr>
                        <w:rFonts w:ascii="宋体" w:hAnsi="宋体" w:eastAsia="宋体" w:cs="宋体"/>
                        <w:spacing w:val="-13"/>
                        <w:sz w:val="19"/>
                        <w:szCs w:val="19"/>
                      </w:rPr>
                      <w:t>(分布式计算框架)</w:t>
                    </w:r>
                  </w:p>
                  <w:p w14:paraId="52A441E4">
                    <w:pPr>
                      <w:spacing w:line="288" w:lineRule="auto"/>
                      <w:rPr>
                        <w:rFonts w:ascii="Arial"/>
                        <w:sz w:val="21"/>
                      </w:rPr>
                    </w:pPr>
                  </w:p>
                  <w:p w14:paraId="4FF00E47">
                    <w:pPr>
                      <w:spacing w:before="55" w:line="140" w:lineRule="exact"/>
                      <w:ind w:left="1229"/>
                      <w:rPr>
                        <w:rFonts w:ascii="Times New Roman" w:hAnsi="Times New Roman" w:eastAsia="Times New Roman" w:cs="Times New Roman"/>
                        <w:sz w:val="19"/>
                        <w:szCs w:val="19"/>
                      </w:rPr>
                    </w:pPr>
                    <w:r>
                      <w:rPr>
                        <w:rFonts w:ascii="Times New Roman" w:hAnsi="Times New Roman" w:eastAsia="Times New Roman" w:cs="Times New Roman"/>
                        <w:spacing w:val="-6"/>
                        <w:position w:val="-2"/>
                        <w:sz w:val="19"/>
                        <w:szCs w:val="19"/>
                      </w:rPr>
                      <w:t>HDFS</w:t>
                    </w:r>
                  </w:p>
                  <w:p w14:paraId="04DC9016">
                    <w:pPr>
                      <w:spacing w:before="1" w:line="218" w:lineRule="auto"/>
                      <w:ind w:left="779"/>
                      <w:rPr>
                        <w:rFonts w:ascii="宋体" w:hAnsi="宋体" w:eastAsia="宋体" w:cs="宋体"/>
                        <w:sz w:val="19"/>
                        <w:szCs w:val="19"/>
                      </w:rPr>
                    </w:pPr>
                    <w:r>
                      <w:rPr>
                        <w:rFonts w:ascii="宋体" w:hAnsi="宋体" w:eastAsia="宋体" w:cs="宋体"/>
                        <w:spacing w:val="-13"/>
                        <w:sz w:val="19"/>
                        <w:szCs w:val="19"/>
                      </w:rPr>
                      <w:t>(分布式文件系统)</w:t>
                    </w:r>
                  </w:p>
                </w:txbxContent>
              </v:textbox>
            </v:shape>
            <v:shape id="_x0000_s1053" o:spid="_x0000_s1053" o:spt="202" type="#_x0000_t202" style="position:absolute;left:150;top:2062;height:1448;width:425;" filled="f" stroked="f" coordsize="21600,21600">
              <v:path/>
              <v:fill on="f" focussize="0,0"/>
              <v:stroke on="f"/>
              <v:imagedata o:title=""/>
              <o:lock v:ext="edit" aspectratio="f"/>
              <v:textbox inset="0mm,0mm,0mm,0mm" style="layout-flow:vertical-ideographic;">
                <w:txbxContent>
                  <w:p w14:paraId="17167E6C">
                    <w:pPr>
                      <w:spacing w:before="19" w:line="269" w:lineRule="auto"/>
                      <w:ind w:left="327" w:right="20" w:hanging="307"/>
                      <w:rPr>
                        <w:rFonts w:ascii="宋体" w:hAnsi="宋体" w:eastAsia="宋体" w:cs="宋体"/>
                        <w:sz w:val="17"/>
                        <w:szCs w:val="17"/>
                      </w:rPr>
                    </w:pPr>
                    <w:r>
                      <w:rPr>
                        <w:rFonts w:ascii="宋体" w:hAnsi="宋体" w:eastAsia="宋体" w:cs="宋体"/>
                        <w:spacing w:val="12"/>
                        <w:sz w:val="12"/>
                        <w:szCs w:val="12"/>
                      </w:rPr>
                      <w:t>(</w:t>
                    </w:r>
                    <w:r>
                      <w:rPr>
                        <w:rFonts w:ascii="宋体" w:hAnsi="宋体" w:eastAsia="宋体" w:cs="宋体"/>
                        <w:spacing w:val="-12"/>
                        <w:sz w:val="12"/>
                        <w:szCs w:val="12"/>
                      </w:rPr>
                      <w:t xml:space="preserve"> </w:t>
                    </w:r>
                    <w:r>
                      <w:rPr>
                        <w:rFonts w:ascii="宋体" w:hAnsi="宋体" w:eastAsia="宋体" w:cs="宋体"/>
                        <w:spacing w:val="12"/>
                        <w:sz w:val="12"/>
                        <w:szCs w:val="12"/>
                      </w:rPr>
                      <w:t>分</w:t>
                    </w:r>
                    <w:r>
                      <w:rPr>
                        <w:rFonts w:ascii="宋体" w:hAnsi="宋体" w:eastAsia="宋体" w:cs="宋体"/>
                        <w:spacing w:val="-19"/>
                        <w:sz w:val="12"/>
                        <w:szCs w:val="12"/>
                      </w:rPr>
                      <w:t xml:space="preserve"> </w:t>
                    </w:r>
                    <w:r>
                      <w:rPr>
                        <w:rFonts w:ascii="宋体" w:hAnsi="宋体" w:eastAsia="宋体" w:cs="宋体"/>
                        <w:spacing w:val="12"/>
                        <w:sz w:val="12"/>
                        <w:szCs w:val="12"/>
                      </w:rPr>
                      <w:t>布</w:t>
                    </w:r>
                    <w:r>
                      <w:rPr>
                        <w:rFonts w:ascii="宋体" w:hAnsi="宋体" w:eastAsia="宋体" w:cs="宋体"/>
                        <w:spacing w:val="-18"/>
                        <w:sz w:val="12"/>
                        <w:szCs w:val="12"/>
                      </w:rPr>
                      <w:t xml:space="preserve"> </w:t>
                    </w:r>
                    <w:r>
                      <w:rPr>
                        <w:rFonts w:ascii="宋体" w:hAnsi="宋体" w:eastAsia="宋体" w:cs="宋体"/>
                        <w:spacing w:val="12"/>
                        <w:sz w:val="12"/>
                        <w:szCs w:val="12"/>
                      </w:rPr>
                      <w:t>式</w:t>
                    </w:r>
                    <w:r>
                      <w:rPr>
                        <w:rFonts w:ascii="宋体" w:hAnsi="宋体" w:eastAsia="宋体" w:cs="宋体"/>
                        <w:spacing w:val="-19"/>
                        <w:sz w:val="12"/>
                        <w:szCs w:val="12"/>
                      </w:rPr>
                      <w:t xml:space="preserve"> </w:t>
                    </w:r>
                    <w:r>
                      <w:rPr>
                        <w:rFonts w:ascii="宋体" w:hAnsi="宋体" w:eastAsia="宋体" w:cs="宋体"/>
                        <w:spacing w:val="12"/>
                        <w:sz w:val="12"/>
                        <w:szCs w:val="12"/>
                      </w:rPr>
                      <w:t>协</w:t>
                    </w:r>
                    <w:r>
                      <w:rPr>
                        <w:rFonts w:ascii="宋体" w:hAnsi="宋体" w:eastAsia="宋体" w:cs="宋体"/>
                        <w:spacing w:val="-18"/>
                        <w:sz w:val="12"/>
                        <w:szCs w:val="12"/>
                      </w:rPr>
                      <w:t xml:space="preserve"> </w:t>
                    </w:r>
                    <w:r>
                      <w:rPr>
                        <w:rFonts w:ascii="宋体" w:hAnsi="宋体" w:eastAsia="宋体" w:cs="宋体"/>
                        <w:spacing w:val="12"/>
                        <w:sz w:val="12"/>
                        <w:szCs w:val="12"/>
                      </w:rPr>
                      <w:t>作</w:t>
                    </w:r>
                    <w:r>
                      <w:rPr>
                        <w:rFonts w:ascii="宋体" w:hAnsi="宋体" w:eastAsia="宋体" w:cs="宋体"/>
                        <w:spacing w:val="-19"/>
                        <w:sz w:val="12"/>
                        <w:szCs w:val="12"/>
                      </w:rPr>
                      <w:t xml:space="preserve"> </w:t>
                    </w:r>
                    <w:r>
                      <w:rPr>
                        <w:rFonts w:ascii="宋体" w:hAnsi="宋体" w:eastAsia="宋体" w:cs="宋体"/>
                        <w:spacing w:val="12"/>
                        <w:sz w:val="12"/>
                        <w:szCs w:val="12"/>
                      </w:rPr>
                      <w:t>服</w:t>
                    </w:r>
                    <w:r>
                      <w:rPr>
                        <w:rFonts w:ascii="宋体" w:hAnsi="宋体" w:eastAsia="宋体" w:cs="宋体"/>
                        <w:spacing w:val="-18"/>
                        <w:sz w:val="12"/>
                        <w:szCs w:val="12"/>
                      </w:rPr>
                      <w:t xml:space="preserve"> </w:t>
                    </w:r>
                    <w:r>
                      <w:rPr>
                        <w:rFonts w:ascii="宋体" w:hAnsi="宋体" w:eastAsia="宋体" w:cs="宋体"/>
                        <w:spacing w:val="12"/>
                        <w:sz w:val="12"/>
                        <w:szCs w:val="12"/>
                      </w:rPr>
                      <w:t>务</w:t>
                    </w:r>
                    <w:r>
                      <w:rPr>
                        <w:rFonts w:ascii="宋体" w:hAnsi="宋体" w:eastAsia="宋体" w:cs="宋体"/>
                        <w:spacing w:val="-19"/>
                        <w:sz w:val="12"/>
                        <w:szCs w:val="12"/>
                      </w:rPr>
                      <w:t xml:space="preserve"> </w:t>
                    </w:r>
                    <w:r>
                      <w:rPr>
                        <w:rFonts w:ascii="宋体" w:hAnsi="宋体" w:eastAsia="宋体" w:cs="宋体"/>
                        <w:spacing w:val="12"/>
                        <w:sz w:val="12"/>
                        <w:szCs w:val="12"/>
                      </w:rPr>
                      <w:t>)</w:t>
                    </w:r>
                    <w:r>
                      <w:rPr>
                        <w:rFonts w:ascii="宋体" w:hAnsi="宋体" w:eastAsia="宋体" w:cs="宋体"/>
                        <w:sz w:val="12"/>
                        <w:szCs w:val="12"/>
                      </w:rPr>
                      <w:t xml:space="preserve"> </w:t>
                    </w:r>
                    <w:r>
                      <w:rPr>
                        <w:rFonts w:ascii="宋体" w:hAnsi="宋体" w:eastAsia="宋体" w:cs="宋体"/>
                        <w:spacing w:val="-1"/>
                        <w:sz w:val="17"/>
                        <w:szCs w:val="17"/>
                      </w:rPr>
                      <w:t>ZooKeeper</w:t>
                    </w:r>
                  </w:p>
                </w:txbxContent>
              </v:textbox>
            </v:shape>
            <v:shape id="_x0000_s1054" o:spid="_x0000_s1054" o:spt="202" type="#_x0000_t202" style="position:absolute;left:5859;top:3818;height:610;width:974;" filled="f" stroked="f" coordsize="21600,21600">
              <v:path/>
              <v:fill on="f" focussize="0,0"/>
              <v:stroke on="f"/>
              <v:imagedata o:title=""/>
              <o:lock v:ext="edit" aspectratio="f"/>
              <v:textbox inset="0mm,0mm,0mm,0mm">
                <w:txbxContent>
                  <w:p w14:paraId="25CFF62C">
                    <w:pPr>
                      <w:spacing w:before="20" w:line="186" w:lineRule="auto"/>
                      <w:ind w:left="190"/>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Sqoop</w:t>
                    </w:r>
                  </w:p>
                  <w:p w14:paraId="028E8A04">
                    <w:pPr>
                      <w:spacing w:line="204" w:lineRule="auto"/>
                      <w:ind w:left="20"/>
                      <w:rPr>
                        <w:rFonts w:ascii="Times New Roman" w:hAnsi="Times New Roman" w:eastAsia="Times New Roman" w:cs="Times New Roman"/>
                        <w:sz w:val="19"/>
                        <w:szCs w:val="19"/>
                      </w:rPr>
                    </w:pPr>
                    <w:r>
                      <w:rPr>
                        <w:rFonts w:ascii="宋体" w:hAnsi="宋体" w:eastAsia="宋体" w:cs="宋体"/>
                        <w:spacing w:val="-12"/>
                        <w:sz w:val="19"/>
                        <w:szCs w:val="19"/>
                      </w:rPr>
                      <w:t>(数据库</w:t>
                    </w:r>
                    <w:r>
                      <w:rPr>
                        <w:rFonts w:ascii="Times New Roman" w:hAnsi="Times New Roman" w:eastAsia="Times New Roman" w:cs="Times New Roman"/>
                        <w:spacing w:val="-12"/>
                        <w:sz w:val="19"/>
                        <w:szCs w:val="19"/>
                      </w:rPr>
                      <w:t>ETL</w:t>
                    </w:r>
                  </w:p>
                  <w:p w14:paraId="48C84E22">
                    <w:pPr>
                      <w:spacing w:line="220" w:lineRule="auto"/>
                      <w:ind w:left="160"/>
                      <w:rPr>
                        <w:rFonts w:ascii="宋体" w:hAnsi="宋体" w:eastAsia="宋体" w:cs="宋体"/>
                        <w:sz w:val="19"/>
                        <w:szCs w:val="19"/>
                      </w:rPr>
                    </w:pPr>
                    <w:r>
                      <w:rPr>
                        <w:rFonts w:ascii="宋体" w:hAnsi="宋体" w:eastAsia="宋体" w:cs="宋体"/>
                        <w:spacing w:val="-3"/>
                        <w:sz w:val="19"/>
                        <w:szCs w:val="19"/>
                      </w:rPr>
                      <w:t>工具)</w:t>
                    </w:r>
                  </w:p>
                </w:txbxContent>
              </v:textbox>
            </v:shape>
            <v:shape id="_x0000_s1055" o:spid="_x0000_s1055" o:spt="202" type="#_x0000_t202" style="position:absolute;left:5974;top:1502;height:1268;width:151;" filled="f" stroked="f" coordsize="21600,21600">
              <v:path/>
              <v:fill on="f" focussize="0,0"/>
              <v:stroke on="f"/>
              <v:imagedata o:title=""/>
              <o:lock v:ext="edit" aspectratio="f"/>
              <v:textbox inset="0mm,0mm,0mm,0mm" style="layout-flow:vertical-ideographic;">
                <w:txbxContent>
                  <w:p w14:paraId="1746C795">
                    <w:pPr>
                      <w:spacing w:before="19" w:line="201" w:lineRule="auto"/>
                      <w:ind w:left="20"/>
                      <w:rPr>
                        <w:rFonts w:ascii="宋体" w:hAnsi="宋体" w:eastAsia="宋体" w:cs="宋体"/>
                        <w:sz w:val="12"/>
                        <w:szCs w:val="12"/>
                      </w:rPr>
                    </w:pPr>
                    <w:r>
                      <w:rPr>
                        <w:rFonts w:ascii="宋体" w:hAnsi="宋体" w:eastAsia="宋体" w:cs="宋体"/>
                        <w:spacing w:val="18"/>
                        <w:sz w:val="12"/>
                        <w:szCs w:val="12"/>
                      </w:rPr>
                      <w:t>(</w:t>
                    </w:r>
                    <w:r>
                      <w:rPr>
                        <w:rFonts w:ascii="宋体" w:hAnsi="宋体" w:eastAsia="宋体" w:cs="宋体"/>
                        <w:spacing w:val="-12"/>
                        <w:sz w:val="12"/>
                        <w:szCs w:val="12"/>
                      </w:rPr>
                      <w:t xml:space="preserve"> </w:t>
                    </w:r>
                    <w:r>
                      <w:rPr>
                        <w:rFonts w:ascii="宋体" w:hAnsi="宋体" w:eastAsia="宋体" w:cs="宋体"/>
                        <w:spacing w:val="18"/>
                        <w:sz w:val="12"/>
                        <w:szCs w:val="12"/>
                      </w:rPr>
                      <w:t>日</w:t>
                    </w:r>
                    <w:r>
                      <w:rPr>
                        <w:rFonts w:ascii="宋体" w:hAnsi="宋体" w:eastAsia="宋体" w:cs="宋体"/>
                        <w:spacing w:val="-21"/>
                        <w:sz w:val="12"/>
                        <w:szCs w:val="12"/>
                      </w:rPr>
                      <w:t xml:space="preserve"> </w:t>
                    </w:r>
                    <w:r>
                      <w:rPr>
                        <w:rFonts w:ascii="宋体" w:hAnsi="宋体" w:eastAsia="宋体" w:cs="宋体"/>
                        <w:spacing w:val="18"/>
                        <w:sz w:val="12"/>
                        <w:szCs w:val="12"/>
                      </w:rPr>
                      <w:t>志</w:t>
                    </w:r>
                    <w:r>
                      <w:rPr>
                        <w:rFonts w:ascii="宋体" w:hAnsi="宋体" w:eastAsia="宋体" w:cs="宋体"/>
                        <w:spacing w:val="-21"/>
                        <w:sz w:val="12"/>
                        <w:szCs w:val="12"/>
                      </w:rPr>
                      <w:t xml:space="preserve"> </w:t>
                    </w:r>
                    <w:r>
                      <w:rPr>
                        <w:rFonts w:ascii="宋体" w:hAnsi="宋体" w:eastAsia="宋体" w:cs="宋体"/>
                        <w:spacing w:val="18"/>
                        <w:sz w:val="12"/>
                        <w:szCs w:val="12"/>
                      </w:rPr>
                      <w:t>收</w:t>
                    </w:r>
                    <w:r>
                      <w:rPr>
                        <w:rFonts w:ascii="宋体" w:hAnsi="宋体" w:eastAsia="宋体" w:cs="宋体"/>
                        <w:spacing w:val="-22"/>
                        <w:sz w:val="12"/>
                        <w:szCs w:val="12"/>
                      </w:rPr>
                      <w:t xml:space="preserve"> </w:t>
                    </w:r>
                    <w:r>
                      <w:rPr>
                        <w:rFonts w:ascii="宋体" w:hAnsi="宋体" w:eastAsia="宋体" w:cs="宋体"/>
                        <w:spacing w:val="18"/>
                        <w:sz w:val="12"/>
                        <w:szCs w:val="12"/>
                      </w:rPr>
                      <w:t>集</w:t>
                    </w:r>
                    <w:r>
                      <w:rPr>
                        <w:rFonts w:ascii="宋体" w:hAnsi="宋体" w:eastAsia="宋体" w:cs="宋体"/>
                        <w:spacing w:val="-21"/>
                        <w:sz w:val="12"/>
                        <w:szCs w:val="12"/>
                      </w:rPr>
                      <w:t xml:space="preserve"> </w:t>
                    </w:r>
                    <w:r>
                      <w:rPr>
                        <w:rFonts w:ascii="宋体" w:hAnsi="宋体" w:eastAsia="宋体" w:cs="宋体"/>
                        <w:spacing w:val="18"/>
                        <w:sz w:val="12"/>
                        <w:szCs w:val="12"/>
                      </w:rPr>
                      <w:t>工</w:t>
                    </w:r>
                    <w:r>
                      <w:rPr>
                        <w:rFonts w:ascii="宋体" w:hAnsi="宋体" w:eastAsia="宋体" w:cs="宋体"/>
                        <w:spacing w:val="-21"/>
                        <w:sz w:val="12"/>
                        <w:szCs w:val="12"/>
                      </w:rPr>
                      <w:t xml:space="preserve"> </w:t>
                    </w:r>
                    <w:r>
                      <w:rPr>
                        <w:rFonts w:ascii="宋体" w:hAnsi="宋体" w:eastAsia="宋体" w:cs="宋体"/>
                        <w:spacing w:val="18"/>
                        <w:sz w:val="12"/>
                        <w:szCs w:val="12"/>
                      </w:rPr>
                      <w:t>具)</w:t>
                    </w:r>
                  </w:p>
                </w:txbxContent>
              </v:textbox>
            </v:shape>
            <v:shape id="_x0000_s1056" o:spid="_x0000_s1056" o:spt="202" type="#_x0000_t202" style="position:absolute;left:1149;top:1832;height:1258;width:151;" filled="f" stroked="f" coordsize="21600,21600">
              <v:path/>
              <v:fill on="f" focussize="0,0"/>
              <v:stroke on="f"/>
              <v:imagedata o:title=""/>
              <o:lock v:ext="edit" aspectratio="f"/>
              <v:textbox inset="0mm,0mm,0mm,0mm" style="layout-flow:vertical-ideographic;">
                <w:txbxContent>
                  <w:p w14:paraId="599608C6">
                    <w:pPr>
                      <w:spacing w:before="19" w:line="201" w:lineRule="auto"/>
                      <w:ind w:left="20"/>
                      <w:rPr>
                        <w:rFonts w:ascii="宋体" w:hAnsi="宋体" w:eastAsia="宋体" w:cs="宋体"/>
                        <w:sz w:val="12"/>
                        <w:szCs w:val="12"/>
                      </w:rPr>
                    </w:pPr>
                    <w:r>
                      <w:rPr>
                        <w:rFonts w:ascii="宋体" w:hAnsi="宋体" w:eastAsia="宋体" w:cs="宋体"/>
                        <w:spacing w:val="18"/>
                        <w:sz w:val="12"/>
                        <w:szCs w:val="12"/>
                      </w:rPr>
                      <w:t>(</w:t>
                    </w:r>
                    <w:r>
                      <w:rPr>
                        <w:rFonts w:ascii="宋体" w:hAnsi="宋体" w:eastAsia="宋体" w:cs="宋体"/>
                        <w:spacing w:val="-15"/>
                        <w:sz w:val="12"/>
                        <w:szCs w:val="12"/>
                      </w:rPr>
                      <w:t xml:space="preserve"> </w:t>
                    </w:r>
                    <w:r>
                      <w:rPr>
                        <w:rFonts w:ascii="宋体" w:hAnsi="宋体" w:eastAsia="宋体" w:cs="宋体"/>
                        <w:spacing w:val="18"/>
                        <w:sz w:val="12"/>
                        <w:szCs w:val="12"/>
                      </w:rPr>
                      <w:t>分</w:t>
                    </w:r>
                    <w:r>
                      <w:rPr>
                        <w:rFonts w:ascii="宋体" w:hAnsi="宋体" w:eastAsia="宋体" w:cs="宋体"/>
                        <w:spacing w:val="-23"/>
                        <w:sz w:val="12"/>
                        <w:szCs w:val="12"/>
                      </w:rPr>
                      <w:t xml:space="preserve"> </w:t>
                    </w:r>
                    <w:r>
                      <w:rPr>
                        <w:rFonts w:ascii="宋体" w:hAnsi="宋体" w:eastAsia="宋体" w:cs="宋体"/>
                        <w:spacing w:val="18"/>
                        <w:sz w:val="12"/>
                        <w:szCs w:val="12"/>
                      </w:rPr>
                      <w:t>布</w:t>
                    </w:r>
                    <w:r>
                      <w:rPr>
                        <w:rFonts w:ascii="宋体" w:hAnsi="宋体" w:eastAsia="宋体" w:cs="宋体"/>
                        <w:spacing w:val="-22"/>
                        <w:sz w:val="12"/>
                        <w:szCs w:val="12"/>
                      </w:rPr>
                      <w:t xml:space="preserve"> </w:t>
                    </w:r>
                    <w:r>
                      <w:rPr>
                        <w:rFonts w:ascii="宋体" w:hAnsi="宋体" w:eastAsia="宋体" w:cs="宋体"/>
                        <w:spacing w:val="18"/>
                        <w:sz w:val="12"/>
                        <w:szCs w:val="12"/>
                      </w:rPr>
                      <w:t>式</w:t>
                    </w:r>
                    <w:r>
                      <w:rPr>
                        <w:rFonts w:ascii="宋体" w:hAnsi="宋体" w:eastAsia="宋体" w:cs="宋体"/>
                        <w:spacing w:val="-23"/>
                        <w:sz w:val="12"/>
                        <w:szCs w:val="12"/>
                      </w:rPr>
                      <w:t xml:space="preserve"> </w:t>
                    </w:r>
                    <w:r>
                      <w:rPr>
                        <w:rFonts w:ascii="宋体" w:hAnsi="宋体" w:eastAsia="宋体" w:cs="宋体"/>
                        <w:spacing w:val="18"/>
                        <w:sz w:val="12"/>
                        <w:szCs w:val="12"/>
                      </w:rPr>
                      <w:t>数</w:t>
                    </w:r>
                    <w:r>
                      <w:rPr>
                        <w:rFonts w:ascii="宋体" w:hAnsi="宋体" w:eastAsia="宋体" w:cs="宋体"/>
                        <w:spacing w:val="-22"/>
                        <w:sz w:val="12"/>
                        <w:szCs w:val="12"/>
                      </w:rPr>
                      <w:t xml:space="preserve"> </w:t>
                    </w:r>
                    <w:r>
                      <w:rPr>
                        <w:rFonts w:ascii="宋体" w:hAnsi="宋体" w:eastAsia="宋体" w:cs="宋体"/>
                        <w:spacing w:val="18"/>
                        <w:sz w:val="12"/>
                        <w:szCs w:val="12"/>
                      </w:rPr>
                      <w:t>据</w:t>
                    </w:r>
                    <w:r>
                      <w:rPr>
                        <w:rFonts w:ascii="宋体" w:hAnsi="宋体" w:eastAsia="宋体" w:cs="宋体"/>
                        <w:spacing w:val="-23"/>
                        <w:sz w:val="12"/>
                        <w:szCs w:val="12"/>
                      </w:rPr>
                      <w:t xml:space="preserve"> </w:t>
                    </w:r>
                    <w:r>
                      <w:rPr>
                        <w:rFonts w:ascii="宋体" w:hAnsi="宋体" w:eastAsia="宋体" w:cs="宋体"/>
                        <w:spacing w:val="18"/>
                        <w:sz w:val="12"/>
                        <w:szCs w:val="12"/>
                      </w:rPr>
                      <w:t>库)</w:t>
                    </w:r>
                  </w:p>
                </w:txbxContent>
              </v:textbox>
            </v:shape>
            <v:shape id="_x0000_s1057" o:spid="_x0000_s1057" o:spt="202" type="#_x0000_t202" style="position:absolute;left:6694;top:1512;height:1248;width:151;" filled="f" stroked="f" coordsize="21600,21600">
              <v:path/>
              <v:fill on="f" focussize="0,0"/>
              <v:stroke on="f"/>
              <v:imagedata o:title=""/>
              <o:lock v:ext="edit" aspectratio="f"/>
              <v:textbox inset="0mm,0mm,0mm,0mm" style="layout-flow:vertical-ideographic;">
                <w:txbxContent>
                  <w:p w14:paraId="079D3168">
                    <w:pPr>
                      <w:spacing w:before="19" w:line="201" w:lineRule="auto"/>
                      <w:ind w:left="20"/>
                      <w:rPr>
                        <w:rFonts w:ascii="宋体" w:hAnsi="宋体" w:eastAsia="宋体" w:cs="宋体"/>
                        <w:sz w:val="12"/>
                        <w:szCs w:val="12"/>
                      </w:rPr>
                    </w:pPr>
                    <w:r>
                      <w:rPr>
                        <w:rFonts w:ascii="宋体" w:hAnsi="宋体" w:eastAsia="宋体" w:cs="宋体"/>
                        <w:spacing w:val="18"/>
                        <w:sz w:val="12"/>
                        <w:szCs w:val="12"/>
                      </w:rPr>
                      <w:t>(</w:t>
                    </w:r>
                    <w:r>
                      <w:rPr>
                        <w:rFonts w:ascii="宋体" w:hAnsi="宋体" w:eastAsia="宋体" w:cs="宋体"/>
                        <w:spacing w:val="-18"/>
                        <w:sz w:val="12"/>
                        <w:szCs w:val="12"/>
                      </w:rPr>
                      <w:t xml:space="preserve"> </w:t>
                    </w:r>
                    <w:r>
                      <w:rPr>
                        <w:rFonts w:ascii="宋体" w:hAnsi="宋体" w:eastAsia="宋体" w:cs="宋体"/>
                        <w:spacing w:val="18"/>
                        <w:sz w:val="12"/>
                        <w:szCs w:val="12"/>
                      </w:rPr>
                      <w:t>日</w:t>
                    </w:r>
                    <w:r>
                      <w:rPr>
                        <w:rFonts w:ascii="宋体" w:hAnsi="宋体" w:eastAsia="宋体" w:cs="宋体"/>
                        <w:spacing w:val="-24"/>
                        <w:sz w:val="12"/>
                        <w:szCs w:val="12"/>
                      </w:rPr>
                      <w:t xml:space="preserve"> </w:t>
                    </w:r>
                    <w:r>
                      <w:rPr>
                        <w:rFonts w:ascii="宋体" w:hAnsi="宋体" w:eastAsia="宋体" w:cs="宋体"/>
                        <w:spacing w:val="18"/>
                        <w:sz w:val="12"/>
                        <w:szCs w:val="12"/>
                      </w:rPr>
                      <w:t>志</w:t>
                    </w:r>
                    <w:r>
                      <w:rPr>
                        <w:rFonts w:ascii="宋体" w:hAnsi="宋体" w:eastAsia="宋体" w:cs="宋体"/>
                        <w:spacing w:val="-24"/>
                        <w:sz w:val="12"/>
                        <w:szCs w:val="12"/>
                      </w:rPr>
                      <w:t xml:space="preserve"> </w:t>
                    </w:r>
                    <w:r>
                      <w:rPr>
                        <w:rFonts w:ascii="宋体" w:hAnsi="宋体" w:eastAsia="宋体" w:cs="宋体"/>
                        <w:spacing w:val="18"/>
                        <w:sz w:val="12"/>
                        <w:szCs w:val="12"/>
                      </w:rPr>
                      <w:t>收</w:t>
                    </w:r>
                    <w:r>
                      <w:rPr>
                        <w:rFonts w:ascii="宋体" w:hAnsi="宋体" w:eastAsia="宋体" w:cs="宋体"/>
                        <w:spacing w:val="-24"/>
                        <w:sz w:val="12"/>
                        <w:szCs w:val="12"/>
                      </w:rPr>
                      <w:t xml:space="preserve"> </w:t>
                    </w:r>
                    <w:r>
                      <w:rPr>
                        <w:rFonts w:ascii="宋体" w:hAnsi="宋体" w:eastAsia="宋体" w:cs="宋体"/>
                        <w:spacing w:val="18"/>
                        <w:sz w:val="12"/>
                        <w:szCs w:val="12"/>
                      </w:rPr>
                      <w:t>集</w:t>
                    </w:r>
                    <w:r>
                      <w:rPr>
                        <w:rFonts w:ascii="宋体" w:hAnsi="宋体" w:eastAsia="宋体" w:cs="宋体"/>
                        <w:spacing w:val="-24"/>
                        <w:sz w:val="12"/>
                        <w:szCs w:val="12"/>
                      </w:rPr>
                      <w:t xml:space="preserve"> </w:t>
                    </w:r>
                    <w:r>
                      <w:rPr>
                        <w:rFonts w:ascii="宋体" w:hAnsi="宋体" w:eastAsia="宋体" w:cs="宋体"/>
                        <w:spacing w:val="18"/>
                        <w:sz w:val="12"/>
                        <w:szCs w:val="12"/>
                      </w:rPr>
                      <w:t>工</w:t>
                    </w:r>
                    <w:r>
                      <w:rPr>
                        <w:rFonts w:ascii="宋体" w:hAnsi="宋体" w:eastAsia="宋体" w:cs="宋体"/>
                        <w:spacing w:val="-24"/>
                        <w:sz w:val="12"/>
                        <w:szCs w:val="12"/>
                      </w:rPr>
                      <w:t xml:space="preserve"> </w:t>
                    </w:r>
                    <w:r>
                      <w:rPr>
                        <w:rFonts w:ascii="宋体" w:hAnsi="宋体" w:eastAsia="宋体" w:cs="宋体"/>
                        <w:spacing w:val="18"/>
                        <w:sz w:val="12"/>
                        <w:szCs w:val="12"/>
                      </w:rPr>
                      <w:t>具)</w:t>
                    </w:r>
                  </w:p>
                </w:txbxContent>
              </v:textbox>
            </v:shape>
            <w10:wrap type="none"/>
            <w10:anchorlock/>
          </v:group>
        </w:pict>
      </w:r>
    </w:p>
    <w:p w14:paraId="0840B2FA">
      <w:pPr>
        <w:pStyle w:val="2"/>
        <w:spacing w:before="76" w:line="212" w:lineRule="auto"/>
        <w:ind w:left="3000"/>
        <w:rPr>
          <w:sz w:val="19"/>
          <w:szCs w:val="19"/>
        </w:rPr>
      </w:pPr>
      <w:r>
        <w:rPr>
          <w:sz w:val="19"/>
          <w:szCs w:val="19"/>
        </w:rPr>
        <w:t>图1-5</w:t>
      </w:r>
      <w:r>
        <w:rPr>
          <w:spacing w:val="31"/>
          <w:sz w:val="19"/>
          <w:szCs w:val="19"/>
        </w:rPr>
        <w:t xml:space="preserve"> </w:t>
      </w:r>
      <w:r>
        <w:rPr>
          <w:rFonts w:ascii="Times New Roman" w:hAnsi="Times New Roman" w:eastAsia="Times New Roman" w:cs="Times New Roman"/>
          <w:sz w:val="19"/>
          <w:szCs w:val="19"/>
        </w:rPr>
        <w:t>Hadoop2.0</w:t>
      </w:r>
      <w:r>
        <w:rPr>
          <w:sz w:val="19"/>
          <w:szCs w:val="19"/>
        </w:rPr>
        <w:t>生态系统图</w:t>
      </w:r>
    </w:p>
    <w:p w14:paraId="7603B431">
      <w:pPr>
        <w:pStyle w:val="2"/>
        <w:spacing w:before="188" w:line="214" w:lineRule="auto"/>
        <w:ind w:left="400"/>
        <w:rPr>
          <w:sz w:val="19"/>
          <w:szCs w:val="19"/>
        </w:rPr>
      </w:pPr>
      <w:r>
        <w:rPr>
          <w:spacing w:val="6"/>
          <w:sz w:val="19"/>
          <w:szCs w:val="19"/>
        </w:rPr>
        <w:t>●</w:t>
      </w:r>
      <w:r>
        <w:rPr>
          <w:spacing w:val="31"/>
          <w:sz w:val="19"/>
          <w:szCs w:val="19"/>
        </w:rPr>
        <w:t xml:space="preserve">   </w:t>
      </w:r>
      <w:r>
        <w:rPr>
          <w:sz w:val="19"/>
          <w:szCs w:val="19"/>
        </w:rPr>
        <w:t>HDFS</w:t>
      </w:r>
      <w:r>
        <w:rPr>
          <w:spacing w:val="6"/>
          <w:sz w:val="19"/>
          <w:szCs w:val="19"/>
        </w:rPr>
        <w:t>。</w:t>
      </w:r>
      <w:r>
        <w:rPr>
          <w:sz w:val="19"/>
          <w:szCs w:val="19"/>
        </w:rPr>
        <w:t>HDFS</w:t>
      </w:r>
      <w:r>
        <w:rPr>
          <w:spacing w:val="6"/>
          <w:sz w:val="19"/>
          <w:szCs w:val="19"/>
        </w:rPr>
        <w:t>是</w:t>
      </w:r>
      <w:r>
        <w:rPr>
          <w:spacing w:val="-54"/>
          <w:sz w:val="19"/>
          <w:szCs w:val="19"/>
        </w:rPr>
        <w:t xml:space="preserve"> </w:t>
      </w:r>
      <w:r>
        <w:rPr>
          <w:sz w:val="19"/>
          <w:szCs w:val="19"/>
        </w:rPr>
        <w:t>Hadoop</w:t>
      </w:r>
      <w:r>
        <w:rPr>
          <w:spacing w:val="6"/>
          <w:sz w:val="19"/>
          <w:szCs w:val="19"/>
        </w:rPr>
        <w:t xml:space="preserve"> 平台的分布式文件存储系统，</w:t>
      </w:r>
      <w:r>
        <w:rPr>
          <w:spacing w:val="-15"/>
          <w:sz w:val="19"/>
          <w:szCs w:val="19"/>
        </w:rPr>
        <w:t xml:space="preserve"> </w:t>
      </w:r>
      <w:r>
        <w:rPr>
          <w:sz w:val="19"/>
          <w:szCs w:val="19"/>
        </w:rPr>
        <w:t>HDFS</w:t>
      </w:r>
      <w:r>
        <w:rPr>
          <w:spacing w:val="88"/>
          <w:sz w:val="19"/>
          <w:szCs w:val="19"/>
        </w:rPr>
        <w:t xml:space="preserve"> </w:t>
      </w:r>
      <w:r>
        <w:rPr>
          <w:spacing w:val="6"/>
          <w:sz w:val="19"/>
          <w:szCs w:val="19"/>
        </w:rPr>
        <w:t>集群包</w:t>
      </w:r>
      <w:r>
        <w:rPr>
          <w:spacing w:val="5"/>
          <w:sz w:val="19"/>
          <w:szCs w:val="19"/>
        </w:rPr>
        <w:t>含了一个</w:t>
      </w:r>
      <w:r>
        <w:rPr>
          <w:sz w:val="19"/>
          <w:szCs w:val="19"/>
        </w:rPr>
        <w:t>NameNode</w:t>
      </w:r>
    </w:p>
    <w:p w14:paraId="09D81FD3">
      <w:pPr>
        <w:pStyle w:val="2"/>
        <w:spacing w:before="102" w:line="281" w:lineRule="auto"/>
        <w:ind w:left="700" w:right="249"/>
        <w:rPr>
          <w:sz w:val="19"/>
          <w:szCs w:val="19"/>
        </w:rPr>
      </w:pPr>
      <w:r>
        <w:rPr>
          <w:spacing w:val="16"/>
          <w:sz w:val="19"/>
          <w:szCs w:val="19"/>
        </w:rPr>
        <w:t>(主节点),这个节点负责管理所有文件系统的元数据及存储真实数据的</w:t>
      </w:r>
      <w:r>
        <w:rPr>
          <w:rFonts w:ascii="Times New Roman" w:hAnsi="Times New Roman" w:eastAsia="Times New Roman" w:cs="Times New Roman"/>
          <w:sz w:val="19"/>
          <w:szCs w:val="19"/>
        </w:rPr>
        <w:t>DataNode</w:t>
      </w:r>
      <w:r>
        <w:rPr>
          <w:rFonts w:ascii="Times New Roman" w:hAnsi="Times New Roman" w:eastAsia="Times New Roman" w:cs="Times New Roman"/>
          <w:spacing w:val="23"/>
          <w:w w:val="101"/>
          <w:sz w:val="19"/>
          <w:szCs w:val="19"/>
        </w:rPr>
        <w:t xml:space="preserve">  </w:t>
      </w:r>
      <w:r>
        <w:rPr>
          <w:spacing w:val="16"/>
          <w:sz w:val="19"/>
          <w:szCs w:val="19"/>
        </w:rPr>
        <w:t>( 数</w:t>
      </w:r>
      <w:r>
        <w:rPr>
          <w:sz w:val="19"/>
          <w:szCs w:val="19"/>
        </w:rPr>
        <w:t xml:space="preserve"> </w:t>
      </w:r>
      <w:r>
        <w:rPr>
          <w:spacing w:val="12"/>
          <w:sz w:val="19"/>
          <w:szCs w:val="19"/>
        </w:rPr>
        <w:t>据节点，可以有很多个)。</w:t>
      </w:r>
      <w:r>
        <w:rPr>
          <w:spacing w:val="-15"/>
          <w:sz w:val="19"/>
          <w:szCs w:val="19"/>
        </w:rPr>
        <w:t xml:space="preserve"> </w:t>
      </w:r>
      <w:r>
        <w:rPr>
          <w:sz w:val="19"/>
          <w:szCs w:val="19"/>
        </w:rPr>
        <w:t>HDFS</w:t>
      </w:r>
      <w:r>
        <w:rPr>
          <w:spacing w:val="12"/>
          <w:sz w:val="19"/>
          <w:szCs w:val="19"/>
        </w:rPr>
        <w:t xml:space="preserve">  具有高容错性、适合大数据批处理、可构建在</w:t>
      </w:r>
      <w:r>
        <w:rPr>
          <w:spacing w:val="11"/>
          <w:sz w:val="19"/>
          <w:szCs w:val="19"/>
        </w:rPr>
        <w:t>廉价机</w:t>
      </w:r>
      <w:r>
        <w:rPr>
          <w:sz w:val="19"/>
          <w:szCs w:val="19"/>
        </w:rPr>
        <w:t xml:space="preserve"> </w:t>
      </w:r>
      <w:r>
        <w:rPr>
          <w:spacing w:val="9"/>
          <w:sz w:val="19"/>
          <w:szCs w:val="19"/>
        </w:rPr>
        <w:t>器上等优点，缺点是不支持低延迟数据访问、小文件存取、并发写入</w:t>
      </w:r>
      <w:r>
        <w:rPr>
          <w:spacing w:val="8"/>
          <w:sz w:val="19"/>
          <w:szCs w:val="19"/>
        </w:rPr>
        <w:t>、文件随机修改。</w:t>
      </w:r>
    </w:p>
    <w:p w14:paraId="09AAC314">
      <w:pPr>
        <w:pStyle w:val="2"/>
        <w:spacing w:before="131" w:line="257" w:lineRule="auto"/>
        <w:ind w:left="700" w:right="278" w:hanging="300"/>
        <w:rPr>
          <w:sz w:val="19"/>
          <w:szCs w:val="19"/>
        </w:rPr>
      </w:pPr>
      <w:r>
        <w:rPr>
          <w:spacing w:val="13"/>
          <w:sz w:val="19"/>
          <w:szCs w:val="19"/>
        </w:rPr>
        <w:t xml:space="preserve">●   </w:t>
      </w:r>
      <w:r>
        <w:rPr>
          <w:sz w:val="19"/>
          <w:szCs w:val="19"/>
        </w:rPr>
        <w:t>MapReduce</w:t>
      </w:r>
      <w:r>
        <w:rPr>
          <w:spacing w:val="13"/>
          <w:sz w:val="19"/>
          <w:szCs w:val="19"/>
        </w:rPr>
        <w:t>。</w:t>
      </w:r>
      <w:r>
        <w:rPr>
          <w:sz w:val="19"/>
          <w:szCs w:val="19"/>
        </w:rPr>
        <w:t>MapReduce</w:t>
      </w:r>
      <w:r>
        <w:rPr>
          <w:spacing w:val="13"/>
          <w:sz w:val="19"/>
          <w:szCs w:val="19"/>
        </w:rPr>
        <w:t>是一个计算模型，用于大规模数据集的并行运算，极</w:t>
      </w:r>
      <w:r>
        <w:rPr>
          <w:spacing w:val="12"/>
          <w:sz w:val="19"/>
          <w:szCs w:val="19"/>
        </w:rPr>
        <w:t>大地方便</w:t>
      </w:r>
      <w:r>
        <w:rPr>
          <w:sz w:val="19"/>
          <w:szCs w:val="19"/>
        </w:rPr>
        <w:t xml:space="preserve"> </w:t>
      </w:r>
      <w:r>
        <w:rPr>
          <w:spacing w:val="8"/>
          <w:sz w:val="19"/>
          <w:szCs w:val="19"/>
        </w:rPr>
        <w:t>了编程人员在不懂分布式并行编程的情况下，将自己的程序运行在分布式系统上。</w:t>
      </w:r>
    </w:p>
    <w:p w14:paraId="6CFC7B97">
      <w:pPr>
        <w:pStyle w:val="2"/>
        <w:spacing w:before="89" w:line="276" w:lineRule="auto"/>
        <w:ind w:left="700" w:right="298" w:hanging="300"/>
        <w:rPr>
          <w:sz w:val="19"/>
          <w:szCs w:val="19"/>
        </w:rPr>
      </w:pPr>
      <w:r>
        <w:rPr>
          <w:spacing w:val="3"/>
          <w:sz w:val="19"/>
          <w:szCs w:val="19"/>
        </w:rPr>
        <w:t>●</w:t>
      </w:r>
      <w:r>
        <w:rPr>
          <w:spacing w:val="54"/>
          <w:sz w:val="19"/>
          <w:szCs w:val="19"/>
        </w:rPr>
        <w:t xml:space="preserve"> </w:t>
      </w:r>
      <w:r>
        <w:rPr>
          <w:sz w:val="19"/>
          <w:szCs w:val="19"/>
        </w:rPr>
        <w:t>Yarn</w:t>
      </w:r>
      <w:r>
        <w:rPr>
          <w:spacing w:val="3"/>
          <w:sz w:val="19"/>
          <w:szCs w:val="19"/>
        </w:rPr>
        <w:t>。</w:t>
      </w:r>
      <w:r>
        <w:rPr>
          <w:sz w:val="19"/>
          <w:szCs w:val="19"/>
        </w:rPr>
        <w:t>Yarn</w:t>
      </w:r>
      <w:r>
        <w:rPr>
          <w:spacing w:val="3"/>
          <w:sz w:val="19"/>
          <w:szCs w:val="19"/>
        </w:rPr>
        <w:t>是</w:t>
      </w:r>
      <w:r>
        <w:rPr>
          <w:spacing w:val="-28"/>
          <w:sz w:val="19"/>
          <w:szCs w:val="19"/>
        </w:rPr>
        <w:t xml:space="preserve"> </w:t>
      </w:r>
      <w:r>
        <w:rPr>
          <w:spacing w:val="3"/>
          <w:sz w:val="19"/>
          <w:szCs w:val="19"/>
        </w:rPr>
        <w:t>在</w:t>
      </w:r>
      <w:r>
        <w:rPr>
          <w:sz w:val="19"/>
          <w:szCs w:val="19"/>
        </w:rPr>
        <w:t>Hadoop</w:t>
      </w:r>
      <w:r>
        <w:rPr>
          <w:spacing w:val="3"/>
          <w:sz w:val="19"/>
          <w:szCs w:val="19"/>
        </w:rPr>
        <w:t>2.x 中才引入的一个新的机制，在</w:t>
      </w:r>
      <w:r>
        <w:rPr>
          <w:sz w:val="19"/>
          <w:szCs w:val="19"/>
        </w:rPr>
        <w:t>Hadoopl</w:t>
      </w:r>
      <w:r>
        <w:rPr>
          <w:spacing w:val="3"/>
          <w:sz w:val="19"/>
          <w:szCs w:val="19"/>
        </w:rPr>
        <w:t>.x 中</w:t>
      </w:r>
      <w:r>
        <w:rPr>
          <w:spacing w:val="-22"/>
          <w:sz w:val="19"/>
          <w:szCs w:val="19"/>
        </w:rPr>
        <w:t xml:space="preserve"> </w:t>
      </w:r>
      <w:r>
        <w:rPr>
          <w:spacing w:val="3"/>
          <w:sz w:val="19"/>
          <w:szCs w:val="19"/>
        </w:rPr>
        <w:t>，</w:t>
      </w:r>
      <w:r>
        <w:rPr>
          <w:sz w:val="19"/>
          <w:szCs w:val="19"/>
        </w:rPr>
        <w:t>MapReduce</w:t>
      </w:r>
      <w:r>
        <w:rPr>
          <w:spacing w:val="3"/>
          <w:sz w:val="19"/>
          <w:szCs w:val="19"/>
        </w:rPr>
        <w:t xml:space="preserve">  需</w:t>
      </w:r>
      <w:r>
        <w:rPr>
          <w:sz w:val="19"/>
          <w:szCs w:val="19"/>
        </w:rPr>
        <w:t xml:space="preserve"> </w:t>
      </w:r>
      <w:r>
        <w:rPr>
          <w:spacing w:val="9"/>
          <w:sz w:val="19"/>
          <w:szCs w:val="19"/>
        </w:rPr>
        <w:t>要同时做任务管理和资源分配，引入</w:t>
      </w:r>
      <w:r>
        <w:rPr>
          <w:spacing w:val="-53"/>
          <w:sz w:val="19"/>
          <w:szCs w:val="19"/>
        </w:rPr>
        <w:t xml:space="preserve"> </w:t>
      </w:r>
      <w:r>
        <w:rPr>
          <w:rFonts w:ascii="Times New Roman" w:hAnsi="Times New Roman" w:eastAsia="Times New Roman" w:cs="Times New Roman"/>
          <w:sz w:val="19"/>
          <w:szCs w:val="19"/>
        </w:rPr>
        <w:t>Yarn</w:t>
      </w:r>
      <w:r>
        <w:rPr>
          <w:rFonts w:ascii="Times New Roman" w:hAnsi="Times New Roman" w:eastAsia="Times New Roman" w:cs="Times New Roman"/>
          <w:spacing w:val="9"/>
          <w:sz w:val="19"/>
          <w:szCs w:val="19"/>
        </w:rPr>
        <w:t xml:space="preserve"> </w:t>
      </w:r>
      <w:r>
        <w:rPr>
          <w:spacing w:val="9"/>
          <w:sz w:val="19"/>
          <w:szCs w:val="19"/>
        </w:rPr>
        <w:t>之后，</w:t>
      </w:r>
      <w:r>
        <w:rPr>
          <w:rFonts w:ascii="Times New Roman" w:hAnsi="Times New Roman" w:eastAsia="Times New Roman" w:cs="Times New Roman"/>
          <w:sz w:val="19"/>
          <w:szCs w:val="19"/>
        </w:rPr>
        <w:t>Hadoop</w:t>
      </w:r>
      <w:r>
        <w:rPr>
          <w:rFonts w:ascii="Times New Roman" w:hAnsi="Times New Roman" w:eastAsia="Times New Roman" w:cs="Times New Roman"/>
          <w:spacing w:val="9"/>
          <w:sz w:val="19"/>
          <w:szCs w:val="19"/>
        </w:rPr>
        <w:t xml:space="preserve">  </w:t>
      </w:r>
      <w:r>
        <w:rPr>
          <w:spacing w:val="9"/>
          <w:sz w:val="19"/>
          <w:szCs w:val="19"/>
        </w:rPr>
        <w:t>的资源管理任务全交由</w:t>
      </w:r>
      <w:r>
        <w:rPr>
          <w:rFonts w:ascii="Times New Roman" w:hAnsi="Times New Roman" w:eastAsia="Times New Roman" w:cs="Times New Roman"/>
          <w:sz w:val="19"/>
          <w:szCs w:val="19"/>
        </w:rPr>
        <w:t>Yarn</w:t>
      </w:r>
      <w:r>
        <w:rPr>
          <w:rFonts w:ascii="Times New Roman" w:hAnsi="Times New Roman" w:eastAsia="Times New Roman" w:cs="Times New Roman"/>
          <w:spacing w:val="8"/>
          <w:sz w:val="19"/>
          <w:szCs w:val="19"/>
        </w:rPr>
        <w:t xml:space="preserve"> </w:t>
      </w:r>
      <w:r>
        <w:rPr>
          <w:spacing w:val="8"/>
          <w:sz w:val="19"/>
          <w:szCs w:val="19"/>
        </w:rPr>
        <w:t>处</w:t>
      </w:r>
      <w:r>
        <w:rPr>
          <w:sz w:val="19"/>
          <w:szCs w:val="19"/>
        </w:rPr>
        <w:t xml:space="preserve"> </w:t>
      </w:r>
      <w:r>
        <w:rPr>
          <w:spacing w:val="8"/>
          <w:sz w:val="19"/>
          <w:szCs w:val="19"/>
        </w:rPr>
        <w:t>理，从而实现存储、任务、资源的分离。</w:t>
      </w:r>
    </w:p>
    <w:p w14:paraId="735F5990">
      <w:pPr>
        <w:spacing w:before="167" w:line="230" w:lineRule="auto"/>
        <w:ind w:left="400"/>
        <w:rPr>
          <w:rFonts w:ascii="楷体" w:hAnsi="楷体" w:eastAsia="楷体" w:cs="楷体"/>
          <w:sz w:val="19"/>
          <w:szCs w:val="19"/>
        </w:rPr>
      </w:pPr>
      <w:r>
        <w:rPr>
          <w:rFonts w:ascii="楷体" w:hAnsi="楷体" w:eastAsia="楷体" w:cs="楷体"/>
          <w:spacing w:val="20"/>
          <w:sz w:val="19"/>
          <w:szCs w:val="19"/>
        </w:rPr>
        <w:t>2)大数据处理技术</w:t>
      </w:r>
    </w:p>
    <w:p w14:paraId="50529723">
      <w:pPr>
        <w:pStyle w:val="2"/>
        <w:spacing w:before="90" w:line="219" w:lineRule="auto"/>
        <w:ind w:left="400"/>
        <w:rPr>
          <w:sz w:val="19"/>
          <w:szCs w:val="19"/>
        </w:rPr>
      </w:pPr>
      <w:r>
        <w:rPr>
          <w:spacing w:val="7"/>
          <w:sz w:val="19"/>
          <w:szCs w:val="19"/>
        </w:rPr>
        <w:t>大数据应用，</w:t>
      </w:r>
      <w:r>
        <w:rPr>
          <w:spacing w:val="-22"/>
          <w:sz w:val="19"/>
          <w:szCs w:val="19"/>
        </w:rPr>
        <w:t xml:space="preserve"> </w:t>
      </w:r>
      <w:r>
        <w:rPr>
          <w:spacing w:val="7"/>
          <w:sz w:val="19"/>
          <w:szCs w:val="19"/>
        </w:rPr>
        <w:t>一般包括数据采集、数据存储、数据计算和数据展现与交互。</w:t>
      </w:r>
    </w:p>
    <w:p w14:paraId="5CC1EE6D">
      <w:pPr>
        <w:pStyle w:val="2"/>
        <w:spacing w:before="34" w:line="328" w:lineRule="auto"/>
        <w:ind w:left="700" w:right="247" w:hanging="300"/>
        <w:rPr>
          <w:sz w:val="19"/>
          <w:szCs w:val="19"/>
        </w:rPr>
      </w:pPr>
      <w:r>
        <w:rPr>
          <w:spacing w:val="13"/>
          <w:sz w:val="19"/>
          <w:szCs w:val="19"/>
        </w:rPr>
        <w:t>●数据采集。数据采集是大数据价值挖掘重要的一环，其后的数据分析和挖掘都建立在采</w:t>
      </w:r>
      <w:r>
        <w:rPr>
          <w:sz w:val="19"/>
          <w:szCs w:val="19"/>
        </w:rPr>
        <w:t xml:space="preserve"> </w:t>
      </w:r>
      <w:r>
        <w:rPr>
          <w:spacing w:val="11"/>
          <w:sz w:val="19"/>
          <w:szCs w:val="19"/>
        </w:rPr>
        <w:t>集的基础上。大数据技术的意义不在于其规模庞大的数据信息，而在于对这些数据进行</w:t>
      </w:r>
    </w:p>
    <w:p w14:paraId="40F34193">
      <w:pPr>
        <w:spacing w:line="328" w:lineRule="auto"/>
        <w:rPr>
          <w:sz w:val="19"/>
          <w:szCs w:val="19"/>
        </w:rPr>
        <w:sectPr>
          <w:pgSz w:w="10310" w:h="13240"/>
          <w:pgMar w:top="340" w:right="522" w:bottom="400" w:left="1189" w:header="0" w:footer="0" w:gutter="0"/>
          <w:cols w:space="720" w:num="1"/>
        </w:sectPr>
      </w:pPr>
    </w:p>
    <w:p w14:paraId="0C8D1895">
      <w:pPr>
        <w:pStyle w:val="2"/>
        <w:spacing w:before="48" w:line="219" w:lineRule="auto"/>
        <w:rPr>
          <w:sz w:val="20"/>
          <w:szCs w:val="20"/>
        </w:rPr>
      </w:pPr>
      <w:r>
        <w:rPr>
          <w:rFonts w:ascii="Times New Roman" w:hAnsi="Times New Roman" w:eastAsia="Times New Roman" w:cs="Times New Roman"/>
          <w:spacing w:val="-5"/>
          <w:sz w:val="20"/>
          <w:szCs w:val="20"/>
        </w:rPr>
        <w:t>14</w:t>
      </w:r>
      <w:r>
        <w:rPr>
          <w:rFonts w:ascii="Times New Roman" w:hAnsi="Times New Roman" w:eastAsia="Times New Roman" w:cs="Times New Roman"/>
          <w:spacing w:val="2"/>
          <w:sz w:val="20"/>
          <w:szCs w:val="20"/>
        </w:rPr>
        <w:t xml:space="preserve">              </w:t>
      </w:r>
      <w:r>
        <w:rPr>
          <w:spacing w:val="-5"/>
          <w:sz w:val="20"/>
          <w:szCs w:val="20"/>
        </w:rPr>
        <w:t>信息系统监理师教程(第2版)</w:t>
      </w:r>
    </w:p>
    <w:p w14:paraId="0E3EF985">
      <w:pPr>
        <w:spacing w:line="305" w:lineRule="auto"/>
        <w:rPr>
          <w:rFonts w:ascii="Arial"/>
          <w:sz w:val="21"/>
        </w:rPr>
      </w:pPr>
    </w:p>
    <w:p w14:paraId="5B502D65">
      <w:pPr>
        <w:pStyle w:val="2"/>
        <w:spacing w:before="65" w:line="299" w:lineRule="auto"/>
        <w:ind w:left="959" w:right="92"/>
        <w:jc w:val="both"/>
        <w:rPr>
          <w:sz w:val="20"/>
          <w:szCs w:val="20"/>
        </w:rPr>
      </w:pPr>
      <w:r>
        <w:rPr>
          <w:spacing w:val="1"/>
          <w:sz w:val="20"/>
          <w:szCs w:val="20"/>
        </w:rPr>
        <w:t>智能处理，从中分析和挖掘出有价值的信息。数据的采集包含</w:t>
      </w:r>
      <w:r>
        <w:rPr>
          <w:sz w:val="20"/>
          <w:szCs w:val="20"/>
        </w:rPr>
        <w:t xml:space="preserve">基于网络信息的数据采集 </w:t>
      </w:r>
      <w:r>
        <w:rPr>
          <w:spacing w:val="6"/>
          <w:sz w:val="20"/>
          <w:szCs w:val="20"/>
        </w:rPr>
        <w:t>(例如交通摄像头的视频图像采集),也包含基于互联网的数据采集(</w:t>
      </w:r>
      <w:r>
        <w:rPr>
          <w:spacing w:val="5"/>
          <w:sz w:val="20"/>
          <w:szCs w:val="20"/>
        </w:rPr>
        <w:t>例如对各类网络媒</w:t>
      </w:r>
      <w:r>
        <w:rPr>
          <w:sz w:val="20"/>
          <w:szCs w:val="20"/>
        </w:rPr>
        <w:t xml:space="preserve"> </w:t>
      </w:r>
      <w:r>
        <w:rPr>
          <w:spacing w:val="3"/>
          <w:sz w:val="20"/>
          <w:szCs w:val="20"/>
        </w:rPr>
        <w:t>介的各种页面信息和用户访问信息进行采集)。在互联网数据采集中，每天会产生大量</w:t>
      </w:r>
      <w:r>
        <w:rPr>
          <w:spacing w:val="12"/>
          <w:sz w:val="20"/>
          <w:szCs w:val="20"/>
        </w:rPr>
        <w:t xml:space="preserve"> </w:t>
      </w:r>
      <w:r>
        <w:rPr>
          <w:spacing w:val="9"/>
          <w:sz w:val="20"/>
          <w:szCs w:val="20"/>
        </w:rPr>
        <w:t>的日志(一般为流式数据，如搜索引擎的页面浏览</w:t>
      </w:r>
      <w:r>
        <w:rPr>
          <w:spacing w:val="8"/>
          <w:sz w:val="20"/>
          <w:szCs w:val="20"/>
        </w:rPr>
        <w:t>量、查询等),处理这些日志需要特</w:t>
      </w:r>
      <w:r>
        <w:rPr>
          <w:sz w:val="20"/>
          <w:szCs w:val="20"/>
        </w:rPr>
        <w:t xml:space="preserve"> </w:t>
      </w:r>
      <w:r>
        <w:rPr>
          <w:spacing w:val="-1"/>
          <w:sz w:val="20"/>
          <w:szCs w:val="20"/>
        </w:rPr>
        <w:t>定的日志系统，目前比较常见的开源日志采集系统有Flume、Scribe和</w:t>
      </w:r>
      <w:r>
        <w:rPr>
          <w:spacing w:val="-33"/>
          <w:sz w:val="20"/>
          <w:szCs w:val="20"/>
        </w:rPr>
        <w:t xml:space="preserve"> </w:t>
      </w:r>
      <w:r>
        <w:rPr>
          <w:spacing w:val="-1"/>
          <w:sz w:val="20"/>
          <w:szCs w:val="20"/>
        </w:rPr>
        <w:t>Kafka</w:t>
      </w:r>
      <w:r>
        <w:rPr>
          <w:spacing w:val="-45"/>
          <w:sz w:val="20"/>
          <w:szCs w:val="20"/>
        </w:rPr>
        <w:t xml:space="preserve"> </w:t>
      </w:r>
      <w:r>
        <w:rPr>
          <w:spacing w:val="-1"/>
          <w:sz w:val="20"/>
          <w:szCs w:val="20"/>
        </w:rPr>
        <w:t>等。</w:t>
      </w:r>
    </w:p>
    <w:p w14:paraId="2A626A18">
      <w:pPr>
        <w:pStyle w:val="2"/>
        <w:spacing w:before="7" w:line="286" w:lineRule="auto"/>
        <w:ind w:left="959" w:right="5" w:hanging="280"/>
        <w:rPr>
          <w:sz w:val="20"/>
          <w:szCs w:val="20"/>
        </w:rPr>
      </w:pPr>
      <w:r>
        <w:rPr>
          <w:spacing w:val="5"/>
          <w:sz w:val="20"/>
          <w:szCs w:val="20"/>
        </w:rPr>
        <w:t>●数据存储。由于大数据的存储量极大，因此其存储</w:t>
      </w:r>
      <w:r>
        <w:rPr>
          <w:spacing w:val="4"/>
          <w:sz w:val="20"/>
          <w:szCs w:val="20"/>
        </w:rPr>
        <w:t>设备需要具有高扩展性、高可用性、</w:t>
      </w:r>
      <w:r>
        <w:rPr>
          <w:sz w:val="20"/>
          <w:szCs w:val="20"/>
        </w:rPr>
        <w:t xml:space="preserve"> 自动容错和低成本等特点。常见的存储形式有分布式文</w:t>
      </w:r>
      <w:r>
        <w:rPr>
          <w:spacing w:val="-1"/>
          <w:sz w:val="20"/>
          <w:szCs w:val="20"/>
        </w:rPr>
        <w:t>件系统和分布式数据库。分布式</w:t>
      </w:r>
      <w:r>
        <w:rPr>
          <w:sz w:val="20"/>
          <w:szCs w:val="20"/>
        </w:rPr>
        <w:t xml:space="preserve">  </w:t>
      </w:r>
      <w:r>
        <w:rPr>
          <w:spacing w:val="6"/>
          <w:sz w:val="20"/>
          <w:szCs w:val="20"/>
        </w:rPr>
        <w:t>文件系统采用大规模的分布式存储节点来满足存储大量文件的需求，分布</w:t>
      </w:r>
      <w:r>
        <w:rPr>
          <w:spacing w:val="5"/>
          <w:sz w:val="20"/>
          <w:szCs w:val="20"/>
        </w:rPr>
        <w:t>式的非关系</w:t>
      </w:r>
      <w:r>
        <w:rPr>
          <w:sz w:val="20"/>
          <w:szCs w:val="20"/>
        </w:rPr>
        <w:t xml:space="preserve">  </w:t>
      </w:r>
      <w:r>
        <w:rPr>
          <w:spacing w:val="6"/>
          <w:sz w:val="20"/>
          <w:szCs w:val="20"/>
        </w:rPr>
        <w:t>型数据库则为大规模非结构化数据的处理和分析提供</w:t>
      </w:r>
      <w:r>
        <w:rPr>
          <w:spacing w:val="5"/>
          <w:sz w:val="20"/>
          <w:szCs w:val="20"/>
        </w:rPr>
        <w:t>支持。常见的分布式文件系统有</w:t>
      </w:r>
      <w:r>
        <w:rPr>
          <w:sz w:val="20"/>
          <w:szCs w:val="20"/>
        </w:rPr>
        <w:t xml:space="preserve">  GFS</w:t>
      </w:r>
      <w:r>
        <w:rPr>
          <w:spacing w:val="7"/>
          <w:sz w:val="20"/>
          <w:szCs w:val="20"/>
        </w:rPr>
        <w:t>、</w:t>
      </w:r>
      <w:r>
        <w:rPr>
          <w:sz w:val="20"/>
          <w:szCs w:val="20"/>
        </w:rPr>
        <w:t>HDFS</w:t>
      </w:r>
      <w:r>
        <w:rPr>
          <w:spacing w:val="7"/>
          <w:sz w:val="20"/>
          <w:szCs w:val="20"/>
        </w:rPr>
        <w:t>、</w:t>
      </w:r>
      <w:r>
        <w:rPr>
          <w:sz w:val="20"/>
          <w:szCs w:val="20"/>
        </w:rPr>
        <w:t>Lustre</w:t>
      </w:r>
      <w:r>
        <w:rPr>
          <w:spacing w:val="7"/>
          <w:sz w:val="20"/>
          <w:szCs w:val="20"/>
        </w:rPr>
        <w:t>、</w:t>
      </w:r>
      <w:r>
        <w:rPr>
          <w:sz w:val="20"/>
          <w:szCs w:val="20"/>
        </w:rPr>
        <w:t>Ceph</w:t>
      </w:r>
      <w:r>
        <w:rPr>
          <w:spacing w:val="7"/>
          <w:sz w:val="20"/>
          <w:szCs w:val="20"/>
        </w:rPr>
        <w:t>、</w:t>
      </w:r>
      <w:r>
        <w:rPr>
          <w:sz w:val="20"/>
          <w:szCs w:val="20"/>
        </w:rPr>
        <w:t>FastDFS</w:t>
      </w:r>
      <w:r>
        <w:rPr>
          <w:spacing w:val="47"/>
          <w:sz w:val="20"/>
          <w:szCs w:val="20"/>
        </w:rPr>
        <w:t xml:space="preserve"> </w:t>
      </w:r>
      <w:r>
        <w:rPr>
          <w:spacing w:val="7"/>
          <w:sz w:val="20"/>
          <w:szCs w:val="20"/>
        </w:rPr>
        <w:t>和</w:t>
      </w:r>
      <w:r>
        <w:rPr>
          <w:spacing w:val="-21"/>
          <w:sz w:val="20"/>
          <w:szCs w:val="20"/>
        </w:rPr>
        <w:t xml:space="preserve"> </w:t>
      </w:r>
      <w:r>
        <w:rPr>
          <w:sz w:val="20"/>
          <w:szCs w:val="20"/>
        </w:rPr>
        <w:t>MogileFS</w:t>
      </w:r>
      <w:r>
        <w:rPr>
          <w:spacing w:val="-39"/>
          <w:sz w:val="20"/>
          <w:szCs w:val="20"/>
        </w:rPr>
        <w:t xml:space="preserve"> </w:t>
      </w:r>
      <w:r>
        <w:rPr>
          <w:spacing w:val="7"/>
          <w:sz w:val="20"/>
          <w:szCs w:val="20"/>
        </w:rPr>
        <w:t>等，非关系型数据库主要有</w:t>
      </w:r>
      <w:r>
        <w:rPr>
          <w:sz w:val="20"/>
          <w:szCs w:val="20"/>
        </w:rPr>
        <w:t>Redis</w:t>
      </w:r>
      <w:r>
        <w:rPr>
          <w:spacing w:val="7"/>
          <w:sz w:val="20"/>
          <w:szCs w:val="20"/>
        </w:rPr>
        <w:t>、</w:t>
      </w:r>
      <w:r>
        <w:rPr>
          <w:sz w:val="20"/>
          <w:szCs w:val="20"/>
        </w:rPr>
        <w:t xml:space="preserve"> </w:t>
      </w:r>
      <w:bookmarkStart w:id="485" w:name="bookmark472"/>
      <w:bookmarkEnd w:id="485"/>
      <w:r>
        <w:rPr>
          <w:rFonts w:ascii="Times New Roman" w:hAnsi="Times New Roman" w:eastAsia="Times New Roman" w:cs="Times New Roman"/>
          <w:spacing w:val="-2"/>
          <w:sz w:val="20"/>
          <w:szCs w:val="20"/>
        </w:rPr>
        <w:t>Tokyo Cabinet</w:t>
      </w:r>
      <w:r>
        <w:rPr>
          <w:rFonts w:ascii="Times New Roman" w:hAnsi="Times New Roman" w:eastAsia="Times New Roman" w:cs="Times New Roman"/>
          <w:spacing w:val="-28"/>
          <w:sz w:val="20"/>
          <w:szCs w:val="20"/>
        </w:rPr>
        <w:t xml:space="preserve"> </w:t>
      </w:r>
      <w:r>
        <w:rPr>
          <w:spacing w:val="-2"/>
          <w:sz w:val="20"/>
          <w:szCs w:val="20"/>
        </w:rPr>
        <w:t>、</w:t>
      </w:r>
      <w:r>
        <w:rPr>
          <w:rFonts w:ascii="Times New Roman" w:hAnsi="Times New Roman" w:eastAsia="Times New Roman" w:cs="Times New Roman"/>
          <w:spacing w:val="-2"/>
          <w:sz w:val="20"/>
          <w:szCs w:val="20"/>
        </w:rPr>
        <w:t>Mongo</w:t>
      </w:r>
      <w:r>
        <w:rPr>
          <w:rFonts w:ascii="Times New Roman" w:hAnsi="Times New Roman" w:eastAsia="Times New Roman" w:cs="Times New Roman"/>
          <w:spacing w:val="-3"/>
          <w:sz w:val="20"/>
          <w:szCs w:val="20"/>
        </w:rPr>
        <w:t>DB</w:t>
      </w:r>
      <w:r>
        <w:rPr>
          <w:rFonts w:ascii="Times New Roman" w:hAnsi="Times New Roman" w:eastAsia="Times New Roman" w:cs="Times New Roman"/>
          <w:spacing w:val="-29"/>
          <w:sz w:val="20"/>
          <w:szCs w:val="20"/>
        </w:rPr>
        <w:t xml:space="preserve"> </w:t>
      </w:r>
      <w:r>
        <w:rPr>
          <w:spacing w:val="-3"/>
          <w:sz w:val="20"/>
          <w:szCs w:val="20"/>
        </w:rPr>
        <w:t>、</w:t>
      </w:r>
      <w:r>
        <w:rPr>
          <w:rFonts w:ascii="Times New Roman" w:hAnsi="Times New Roman" w:eastAsia="Times New Roman" w:cs="Times New Roman"/>
          <w:spacing w:val="-3"/>
          <w:sz w:val="20"/>
          <w:szCs w:val="20"/>
        </w:rPr>
        <w:t>CouchDB</w:t>
      </w:r>
      <w:r>
        <w:rPr>
          <w:rFonts w:ascii="Times New Roman" w:hAnsi="Times New Roman" w:eastAsia="Times New Roman" w:cs="Times New Roman"/>
          <w:spacing w:val="-28"/>
          <w:sz w:val="20"/>
          <w:szCs w:val="20"/>
        </w:rPr>
        <w:t xml:space="preserve"> </w:t>
      </w:r>
      <w:r>
        <w:rPr>
          <w:spacing w:val="-3"/>
          <w:sz w:val="20"/>
          <w:szCs w:val="20"/>
        </w:rPr>
        <w:t>、</w:t>
      </w:r>
      <w:r>
        <w:rPr>
          <w:rFonts w:ascii="Times New Roman" w:hAnsi="Times New Roman" w:eastAsia="Times New Roman" w:cs="Times New Roman"/>
          <w:spacing w:val="-3"/>
          <w:sz w:val="20"/>
          <w:szCs w:val="20"/>
        </w:rPr>
        <w:t>Cassandra</w:t>
      </w:r>
      <w:r>
        <w:rPr>
          <w:rFonts w:ascii="Times New Roman" w:hAnsi="Times New Roman" w:eastAsia="Times New Roman" w:cs="Times New Roman"/>
          <w:spacing w:val="-28"/>
          <w:sz w:val="20"/>
          <w:szCs w:val="20"/>
        </w:rPr>
        <w:t xml:space="preserve"> </w:t>
      </w:r>
      <w:r>
        <w:rPr>
          <w:spacing w:val="-3"/>
          <w:sz w:val="20"/>
          <w:szCs w:val="20"/>
        </w:rPr>
        <w:t>、</w:t>
      </w:r>
      <w:r>
        <w:rPr>
          <w:rFonts w:ascii="Times New Roman" w:hAnsi="Times New Roman" w:eastAsia="Times New Roman" w:cs="Times New Roman"/>
          <w:spacing w:val="-3"/>
          <w:sz w:val="20"/>
          <w:szCs w:val="20"/>
        </w:rPr>
        <w:t>Voldemort</w:t>
      </w:r>
      <w:r>
        <w:rPr>
          <w:rFonts w:ascii="Times New Roman" w:hAnsi="Times New Roman" w:eastAsia="Times New Roman" w:cs="Times New Roman"/>
          <w:spacing w:val="-20"/>
          <w:sz w:val="20"/>
          <w:szCs w:val="20"/>
        </w:rPr>
        <w:t xml:space="preserve"> </w:t>
      </w:r>
      <w:r>
        <w:rPr>
          <w:spacing w:val="-3"/>
          <w:sz w:val="20"/>
          <w:szCs w:val="20"/>
        </w:rPr>
        <w:t>和</w:t>
      </w:r>
      <w:r>
        <w:rPr>
          <w:spacing w:val="-42"/>
          <w:sz w:val="20"/>
          <w:szCs w:val="20"/>
        </w:rPr>
        <w:t xml:space="preserve"> </w:t>
      </w:r>
      <w:r>
        <w:rPr>
          <w:rFonts w:ascii="Times New Roman" w:hAnsi="Times New Roman" w:eastAsia="Times New Roman" w:cs="Times New Roman"/>
          <w:spacing w:val="-3"/>
          <w:sz w:val="20"/>
          <w:szCs w:val="20"/>
        </w:rPr>
        <w:t>HBase</w:t>
      </w:r>
      <w:r>
        <w:rPr>
          <w:spacing w:val="-3"/>
          <w:sz w:val="20"/>
          <w:szCs w:val="20"/>
        </w:rPr>
        <w:t>。</w:t>
      </w:r>
    </w:p>
    <w:p w14:paraId="06714224">
      <w:pPr>
        <w:pStyle w:val="2"/>
        <w:spacing w:before="103" w:line="266" w:lineRule="auto"/>
        <w:ind w:left="959" w:right="90" w:hanging="280"/>
        <w:rPr>
          <w:sz w:val="20"/>
          <w:szCs w:val="20"/>
        </w:rPr>
      </w:pPr>
      <w:r>
        <w:rPr>
          <w:spacing w:val="3"/>
          <w:sz w:val="20"/>
          <w:szCs w:val="20"/>
        </w:rPr>
        <w:t>●数据计算。面向大数据处理的数据查询、统计、分析、挖掘等需求</w:t>
      </w:r>
      <w:r>
        <w:rPr>
          <w:spacing w:val="2"/>
          <w:sz w:val="20"/>
          <w:szCs w:val="20"/>
        </w:rPr>
        <w:t>，促生了大数据计算</w:t>
      </w:r>
      <w:r>
        <w:rPr>
          <w:sz w:val="20"/>
          <w:szCs w:val="20"/>
        </w:rPr>
        <w:t xml:space="preserve"> </w:t>
      </w:r>
      <w:r>
        <w:rPr>
          <w:spacing w:val="-1"/>
          <w:sz w:val="20"/>
          <w:szCs w:val="20"/>
        </w:rPr>
        <w:t>的不同计算模式。目前常见的分布式计算框架有MapReduce、Spark 和</w:t>
      </w:r>
      <w:r>
        <w:rPr>
          <w:spacing w:val="-24"/>
          <w:sz w:val="20"/>
          <w:szCs w:val="20"/>
        </w:rPr>
        <w:t xml:space="preserve"> </w:t>
      </w:r>
      <w:r>
        <w:rPr>
          <w:spacing w:val="-1"/>
          <w:sz w:val="20"/>
          <w:szCs w:val="20"/>
        </w:rPr>
        <w:t>Storm。</w:t>
      </w:r>
    </w:p>
    <w:p w14:paraId="5468F65B">
      <w:pPr>
        <w:pStyle w:val="2"/>
        <w:spacing w:before="71" w:line="275" w:lineRule="auto"/>
        <w:ind w:left="959" w:right="68" w:hanging="280"/>
        <w:rPr>
          <w:sz w:val="20"/>
          <w:szCs w:val="20"/>
        </w:rPr>
      </w:pPr>
      <w:r>
        <w:rPr>
          <w:spacing w:val="3"/>
          <w:sz w:val="20"/>
          <w:szCs w:val="20"/>
        </w:rPr>
        <w:t>●数据展现与交互。计算结果需要以简单直观的方式展现出来，才能最终为用户所理</w:t>
      </w:r>
      <w:r>
        <w:rPr>
          <w:spacing w:val="2"/>
          <w:sz w:val="20"/>
          <w:szCs w:val="20"/>
        </w:rPr>
        <w:t>解和</w:t>
      </w:r>
      <w:r>
        <w:rPr>
          <w:sz w:val="20"/>
          <w:szCs w:val="20"/>
        </w:rPr>
        <w:t xml:space="preserve"> </w:t>
      </w:r>
      <w:r>
        <w:rPr>
          <w:spacing w:val="6"/>
          <w:sz w:val="20"/>
          <w:szCs w:val="20"/>
        </w:rPr>
        <w:t>使用，支持有效的统计、分析、预测及决策，应用到生产实践和企业运营中，因此大</w:t>
      </w:r>
      <w:r>
        <w:rPr>
          <w:spacing w:val="5"/>
          <w:sz w:val="20"/>
          <w:szCs w:val="20"/>
        </w:rPr>
        <w:t xml:space="preserve"> </w:t>
      </w:r>
      <w:r>
        <w:rPr>
          <w:spacing w:val="6"/>
          <w:sz w:val="20"/>
          <w:szCs w:val="20"/>
        </w:rPr>
        <w:t>数据的展现技术，以及与数据的交互技术在大数据中也占据重要的位置。数据可视化</w:t>
      </w:r>
      <w:r>
        <w:rPr>
          <w:spacing w:val="5"/>
          <w:sz w:val="20"/>
          <w:szCs w:val="20"/>
        </w:rPr>
        <w:t xml:space="preserve"> </w:t>
      </w:r>
      <w:r>
        <w:rPr>
          <w:spacing w:val="6"/>
          <w:sz w:val="20"/>
          <w:szCs w:val="20"/>
        </w:rPr>
        <w:t>旨在借助图形化手段，清晰有效地传达与沟通</w:t>
      </w:r>
      <w:r>
        <w:rPr>
          <w:spacing w:val="5"/>
          <w:sz w:val="20"/>
          <w:szCs w:val="20"/>
        </w:rPr>
        <w:t>信息。常见的数据可视化工具有</w:t>
      </w:r>
      <w:r>
        <w:rPr>
          <w:rFonts w:ascii="Times New Roman" w:hAnsi="Times New Roman" w:eastAsia="Times New Roman" w:cs="Times New Roman"/>
          <w:sz w:val="20"/>
          <w:szCs w:val="20"/>
        </w:rPr>
        <w:t>Excel</w:t>
      </w:r>
      <w:r>
        <w:rPr>
          <w:spacing w:val="5"/>
          <w:sz w:val="20"/>
          <w:szCs w:val="20"/>
        </w:rPr>
        <w:t>、</w:t>
      </w:r>
      <w:r>
        <w:rPr>
          <w:sz w:val="20"/>
          <w:szCs w:val="20"/>
        </w:rPr>
        <w:t xml:space="preserve"> </w:t>
      </w:r>
      <w:r>
        <w:rPr>
          <w:rFonts w:ascii="Times New Roman" w:hAnsi="Times New Roman" w:eastAsia="Times New Roman" w:cs="Times New Roman"/>
          <w:spacing w:val="-2"/>
          <w:sz w:val="20"/>
          <w:szCs w:val="20"/>
        </w:rPr>
        <w:t>Google Charts</w:t>
      </w:r>
      <w:r>
        <w:rPr>
          <w:rFonts w:ascii="Times New Roman" w:hAnsi="Times New Roman" w:eastAsia="Times New Roman" w:cs="Times New Roman"/>
          <w:spacing w:val="-24"/>
          <w:sz w:val="20"/>
          <w:szCs w:val="20"/>
        </w:rPr>
        <w:t xml:space="preserve"> </w:t>
      </w:r>
      <w:r>
        <w:rPr>
          <w:spacing w:val="-2"/>
          <w:sz w:val="20"/>
          <w:szCs w:val="20"/>
        </w:rPr>
        <w:t>、</w:t>
      </w:r>
      <w:r>
        <w:rPr>
          <w:rFonts w:ascii="Times New Roman" w:hAnsi="Times New Roman" w:eastAsia="Times New Roman" w:cs="Times New Roman"/>
          <w:spacing w:val="-2"/>
          <w:sz w:val="20"/>
          <w:szCs w:val="20"/>
        </w:rPr>
        <w:t>D3.js</w:t>
      </w:r>
      <w:r>
        <w:rPr>
          <w:rFonts w:ascii="Times New Roman" w:hAnsi="Times New Roman" w:eastAsia="Times New Roman" w:cs="Times New Roman"/>
          <w:spacing w:val="-28"/>
          <w:sz w:val="20"/>
          <w:szCs w:val="20"/>
        </w:rPr>
        <w:t xml:space="preserve"> </w:t>
      </w:r>
      <w:r>
        <w:rPr>
          <w:spacing w:val="-2"/>
          <w:sz w:val="20"/>
          <w:szCs w:val="20"/>
        </w:rPr>
        <w:t>、</w:t>
      </w:r>
      <w:r>
        <w:rPr>
          <w:rFonts w:ascii="Times New Roman" w:hAnsi="Times New Roman" w:eastAsia="Times New Roman" w:cs="Times New Roman"/>
          <w:spacing w:val="-2"/>
          <w:sz w:val="20"/>
          <w:szCs w:val="20"/>
        </w:rPr>
        <w:t>Echarts</w:t>
      </w:r>
      <w:r>
        <w:rPr>
          <w:rFonts w:ascii="Times New Roman" w:hAnsi="Times New Roman" w:eastAsia="Times New Roman" w:cs="Times New Roman"/>
          <w:spacing w:val="-9"/>
          <w:sz w:val="20"/>
          <w:szCs w:val="20"/>
        </w:rPr>
        <w:t xml:space="preserve"> </w:t>
      </w:r>
      <w:r>
        <w:rPr>
          <w:spacing w:val="-2"/>
          <w:sz w:val="20"/>
          <w:szCs w:val="20"/>
        </w:rPr>
        <w:t>和</w:t>
      </w:r>
      <w:r>
        <w:rPr>
          <w:spacing w:val="-42"/>
          <w:sz w:val="20"/>
          <w:szCs w:val="20"/>
        </w:rPr>
        <w:t xml:space="preserve"> </w:t>
      </w:r>
      <w:r>
        <w:rPr>
          <w:rFonts w:ascii="Times New Roman" w:hAnsi="Times New Roman" w:eastAsia="Times New Roman" w:cs="Times New Roman"/>
          <w:spacing w:val="-2"/>
          <w:sz w:val="20"/>
          <w:szCs w:val="20"/>
        </w:rPr>
        <w:t>Tableau</w:t>
      </w:r>
      <w:r>
        <w:rPr>
          <w:rFonts w:ascii="Times New Roman" w:hAnsi="Times New Roman" w:eastAsia="Times New Roman" w:cs="Times New Roman"/>
          <w:spacing w:val="-17"/>
          <w:sz w:val="20"/>
          <w:szCs w:val="20"/>
        </w:rPr>
        <w:t xml:space="preserve"> </w:t>
      </w:r>
      <w:r>
        <w:rPr>
          <w:spacing w:val="-2"/>
          <w:sz w:val="20"/>
          <w:szCs w:val="20"/>
        </w:rPr>
        <w:t>等。</w:t>
      </w:r>
    </w:p>
    <w:p w14:paraId="0CE4CB7D">
      <w:pPr>
        <w:pStyle w:val="2"/>
        <w:spacing w:before="283" w:line="221" w:lineRule="auto"/>
        <w:ind w:left="282"/>
        <w:rPr>
          <w:sz w:val="25"/>
          <w:szCs w:val="25"/>
        </w:rPr>
      </w:pPr>
      <w:r>
        <w:rPr>
          <w:b/>
          <w:bCs/>
          <w:color w:val="005AD0"/>
          <w:spacing w:val="-22"/>
          <w:sz w:val="25"/>
          <w:szCs w:val="25"/>
        </w:rPr>
        <w:t>1.3.3</w:t>
      </w:r>
      <w:r>
        <w:rPr>
          <w:color w:val="005AD0"/>
          <w:spacing w:val="79"/>
          <w:sz w:val="25"/>
          <w:szCs w:val="25"/>
        </w:rPr>
        <w:t xml:space="preserve"> </w:t>
      </w:r>
      <w:r>
        <w:rPr>
          <w:b/>
          <w:bCs/>
          <w:color w:val="005AD0"/>
          <w:spacing w:val="-22"/>
          <w:sz w:val="25"/>
          <w:szCs w:val="25"/>
        </w:rPr>
        <w:t>物联网</w:t>
      </w:r>
    </w:p>
    <w:p w14:paraId="3E2214D8">
      <w:pPr>
        <w:pStyle w:val="2"/>
        <w:spacing w:before="117" w:line="286" w:lineRule="auto"/>
        <w:ind w:left="280" w:right="20" w:firstLine="399"/>
        <w:jc w:val="both"/>
        <w:rPr>
          <w:sz w:val="20"/>
          <w:szCs w:val="20"/>
        </w:rPr>
      </w:pPr>
      <w:r>
        <w:rPr>
          <w:spacing w:val="4"/>
          <w:sz w:val="20"/>
          <w:szCs w:val="20"/>
        </w:rPr>
        <w:t>网络革命的本质是连接主体和连接方式的变化：第一代互联</w:t>
      </w:r>
      <w:r>
        <w:rPr>
          <w:spacing w:val="3"/>
          <w:sz w:val="20"/>
          <w:szCs w:val="20"/>
        </w:rPr>
        <w:t>网</w:t>
      </w:r>
      <w:r>
        <w:rPr>
          <w:spacing w:val="-50"/>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PC</w:t>
      </w:r>
      <w:r>
        <w:rPr>
          <w:rFonts w:ascii="Times New Roman" w:hAnsi="Times New Roman" w:eastAsia="Times New Roman" w:cs="Times New Roman"/>
          <w:spacing w:val="3"/>
          <w:sz w:val="20"/>
          <w:szCs w:val="20"/>
        </w:rPr>
        <w:t xml:space="preserve">  </w:t>
      </w:r>
      <w:r>
        <w:rPr>
          <w:spacing w:val="3"/>
          <w:sz w:val="20"/>
          <w:szCs w:val="20"/>
        </w:rPr>
        <w:t>互联网)是计算机与计</w:t>
      </w:r>
      <w:r>
        <w:rPr>
          <w:sz w:val="20"/>
          <w:szCs w:val="20"/>
        </w:rPr>
        <w:t xml:space="preserve"> </w:t>
      </w:r>
      <w:r>
        <w:rPr>
          <w:spacing w:val="9"/>
          <w:sz w:val="20"/>
          <w:szCs w:val="20"/>
        </w:rPr>
        <w:t xml:space="preserve">算机之间的联网，主要媒介是固网宽带；第二代互联网(移动互联网)本质是人和人的联网， </w:t>
      </w:r>
      <w:r>
        <w:rPr>
          <w:spacing w:val="4"/>
          <w:sz w:val="20"/>
          <w:szCs w:val="20"/>
        </w:rPr>
        <w:t>载体为智能手机等可移动设备，连接方式也由固定线路向无线网络发展。物联网，即人与物、</w:t>
      </w:r>
      <w:r>
        <w:rPr>
          <w:spacing w:val="15"/>
          <w:sz w:val="20"/>
          <w:szCs w:val="20"/>
        </w:rPr>
        <w:t xml:space="preserve"> </w:t>
      </w:r>
      <w:r>
        <w:rPr>
          <w:spacing w:val="3"/>
          <w:sz w:val="20"/>
          <w:szCs w:val="20"/>
        </w:rPr>
        <w:t>物与物的万物互连，利用多种连接方式实现信息的主动或被动传输，将成</w:t>
      </w:r>
      <w:r>
        <w:rPr>
          <w:spacing w:val="2"/>
          <w:sz w:val="20"/>
          <w:szCs w:val="20"/>
        </w:rPr>
        <w:t>为新一代网络变革的</w:t>
      </w:r>
      <w:r>
        <w:rPr>
          <w:sz w:val="20"/>
          <w:szCs w:val="20"/>
        </w:rPr>
        <w:t xml:space="preserve"> </w:t>
      </w:r>
      <w:r>
        <w:rPr>
          <w:spacing w:val="-1"/>
          <w:sz w:val="20"/>
          <w:szCs w:val="20"/>
        </w:rPr>
        <w:t>方向。</w:t>
      </w:r>
    </w:p>
    <w:p w14:paraId="6BC928F5">
      <w:pPr>
        <w:pStyle w:val="2"/>
        <w:spacing w:before="131" w:line="222" w:lineRule="auto"/>
        <w:ind w:left="682"/>
        <w:rPr>
          <w:rFonts w:ascii="黑体" w:hAnsi="黑体" w:eastAsia="黑体" w:cs="黑体"/>
          <w:sz w:val="20"/>
          <w:szCs w:val="20"/>
        </w:rPr>
      </w:pPr>
      <w:r>
        <w:rPr>
          <w:b/>
          <w:bCs/>
          <w:color w:val="006AD4"/>
          <w:spacing w:val="-6"/>
          <w:sz w:val="20"/>
          <w:szCs w:val="20"/>
        </w:rPr>
        <w:t>1.</w:t>
      </w:r>
      <w:r>
        <w:rPr>
          <w:rFonts w:ascii="黑体" w:hAnsi="黑体" w:eastAsia="黑体" w:cs="黑体"/>
          <w:b/>
          <w:bCs/>
          <w:color w:val="006AD4"/>
          <w:spacing w:val="-6"/>
          <w:sz w:val="20"/>
          <w:szCs w:val="20"/>
        </w:rPr>
        <w:t>物联网的定义</w:t>
      </w:r>
    </w:p>
    <w:p w14:paraId="40A291D4">
      <w:pPr>
        <w:pStyle w:val="2"/>
        <w:spacing w:before="144" w:line="220" w:lineRule="auto"/>
        <w:ind w:left="679"/>
        <w:rPr>
          <w:sz w:val="20"/>
          <w:szCs w:val="20"/>
        </w:rPr>
      </w:pPr>
      <w:r>
        <w:rPr>
          <w:spacing w:val="-3"/>
          <w:sz w:val="20"/>
          <w:szCs w:val="20"/>
        </w:rPr>
        <w:t>物联网是在互联网基础上延伸和扩展的网络。</w:t>
      </w:r>
    </w:p>
    <w:p w14:paraId="11F9094E">
      <w:pPr>
        <w:pStyle w:val="2"/>
        <w:spacing w:before="68" w:line="269" w:lineRule="auto"/>
        <w:ind w:left="280" w:firstLine="399"/>
        <w:rPr>
          <w:sz w:val="20"/>
          <w:szCs w:val="20"/>
        </w:rPr>
      </w:pPr>
      <w:r>
        <w:rPr>
          <w:spacing w:val="3"/>
          <w:sz w:val="20"/>
          <w:szCs w:val="20"/>
        </w:rPr>
        <w:t>2010年我国政府工作报告中对物联网的定义为：物联网是指通</w:t>
      </w:r>
      <w:r>
        <w:rPr>
          <w:spacing w:val="2"/>
          <w:sz w:val="20"/>
          <w:szCs w:val="20"/>
        </w:rPr>
        <w:t>过信息传感设备，按照约定</w:t>
      </w:r>
      <w:r>
        <w:rPr>
          <w:sz w:val="20"/>
          <w:szCs w:val="20"/>
        </w:rPr>
        <w:t xml:space="preserve">  的协议，把任何物品与互联网连接起来，进行信息交换和通信，实现智能化识别、定位、跟踪、 </w:t>
      </w:r>
      <w:r>
        <w:rPr>
          <w:spacing w:val="-3"/>
          <w:sz w:val="20"/>
          <w:szCs w:val="20"/>
        </w:rPr>
        <w:t>监控和管理的一种网络。</w:t>
      </w:r>
    </w:p>
    <w:p w14:paraId="7DE29C63">
      <w:pPr>
        <w:pStyle w:val="2"/>
        <w:spacing w:before="46" w:line="269" w:lineRule="auto"/>
        <w:ind w:left="280" w:firstLine="399"/>
        <w:jc w:val="both"/>
        <w:rPr>
          <w:sz w:val="20"/>
          <w:szCs w:val="20"/>
        </w:rPr>
      </w:pPr>
      <w:r>
        <w:rPr>
          <w:spacing w:val="3"/>
          <w:sz w:val="20"/>
          <w:szCs w:val="20"/>
        </w:rPr>
        <w:t>2014年</w:t>
      </w:r>
      <w:r>
        <w:rPr>
          <w:sz w:val="20"/>
          <w:szCs w:val="20"/>
        </w:rPr>
        <w:t>ISO</w:t>
      </w:r>
      <w:r>
        <w:rPr>
          <w:spacing w:val="3"/>
          <w:sz w:val="20"/>
          <w:szCs w:val="20"/>
        </w:rPr>
        <w:t>/</w:t>
      </w:r>
      <w:r>
        <w:rPr>
          <w:sz w:val="20"/>
          <w:szCs w:val="20"/>
        </w:rPr>
        <w:t>IEC</w:t>
      </w:r>
      <w:r>
        <w:rPr>
          <w:spacing w:val="97"/>
          <w:sz w:val="20"/>
          <w:szCs w:val="20"/>
        </w:rPr>
        <w:t xml:space="preserve"> </w:t>
      </w:r>
      <w:r>
        <w:rPr>
          <w:sz w:val="20"/>
          <w:szCs w:val="20"/>
        </w:rPr>
        <w:t>JTC</w:t>
      </w:r>
      <w:r>
        <w:rPr>
          <w:spacing w:val="3"/>
          <w:sz w:val="20"/>
          <w:szCs w:val="20"/>
        </w:rPr>
        <w:t>1</w:t>
      </w:r>
      <w:r>
        <w:rPr>
          <w:spacing w:val="99"/>
          <w:sz w:val="20"/>
          <w:szCs w:val="20"/>
        </w:rPr>
        <w:t xml:space="preserve"> </w:t>
      </w:r>
      <w:r>
        <w:rPr>
          <w:sz w:val="20"/>
          <w:szCs w:val="20"/>
        </w:rPr>
        <w:t>SWG</w:t>
      </w:r>
      <w:r>
        <w:rPr>
          <w:spacing w:val="3"/>
          <w:sz w:val="20"/>
          <w:szCs w:val="20"/>
        </w:rPr>
        <w:t>5物联网特别工作组对物联网的定义为：物联网是一个将</w:t>
      </w:r>
      <w:r>
        <w:rPr>
          <w:spacing w:val="2"/>
          <w:sz w:val="20"/>
          <w:szCs w:val="20"/>
        </w:rPr>
        <w:t>物体、</w:t>
      </w:r>
      <w:r>
        <w:rPr>
          <w:sz w:val="20"/>
          <w:szCs w:val="20"/>
        </w:rPr>
        <w:t xml:space="preserve"> </w:t>
      </w:r>
      <w:r>
        <w:rPr>
          <w:spacing w:val="3"/>
          <w:sz w:val="20"/>
          <w:szCs w:val="20"/>
        </w:rPr>
        <w:t>人、系统和信息资源与智能服务相互连接的基础设施，可</w:t>
      </w:r>
      <w:r>
        <w:rPr>
          <w:spacing w:val="2"/>
          <w:sz w:val="20"/>
          <w:szCs w:val="20"/>
        </w:rPr>
        <w:t>以利用它来处理物理世界和虚拟世界</w:t>
      </w:r>
      <w:r>
        <w:rPr>
          <w:sz w:val="20"/>
          <w:szCs w:val="20"/>
        </w:rPr>
        <w:t xml:space="preserve">  </w:t>
      </w:r>
      <w:r>
        <w:rPr>
          <w:spacing w:val="-3"/>
          <w:sz w:val="20"/>
          <w:szCs w:val="20"/>
        </w:rPr>
        <w:t>的信息，并做出反应。</w:t>
      </w:r>
    </w:p>
    <w:p w14:paraId="1E39AC61">
      <w:pPr>
        <w:pStyle w:val="2"/>
        <w:spacing w:before="134" w:line="222" w:lineRule="auto"/>
        <w:ind w:left="682"/>
        <w:rPr>
          <w:rFonts w:ascii="黑体" w:hAnsi="黑体" w:eastAsia="黑体" w:cs="黑体"/>
          <w:sz w:val="20"/>
          <w:szCs w:val="20"/>
        </w:rPr>
      </w:pPr>
      <w:r>
        <w:rPr>
          <w:b/>
          <w:bCs/>
          <w:color w:val="0053C1"/>
          <w:spacing w:val="-1"/>
          <w:sz w:val="20"/>
          <w:szCs w:val="20"/>
        </w:rPr>
        <w:t>2.</w:t>
      </w:r>
      <w:r>
        <w:rPr>
          <w:rFonts w:ascii="黑体" w:hAnsi="黑体" w:eastAsia="黑体" w:cs="黑体"/>
          <w:b/>
          <w:bCs/>
          <w:color w:val="0053C1"/>
          <w:spacing w:val="-1"/>
          <w:sz w:val="20"/>
          <w:szCs w:val="20"/>
        </w:rPr>
        <w:t>物联网的特点</w:t>
      </w:r>
    </w:p>
    <w:p w14:paraId="0A955215">
      <w:pPr>
        <w:pStyle w:val="2"/>
        <w:spacing w:before="143" w:line="219" w:lineRule="auto"/>
        <w:ind w:left="679"/>
        <w:rPr>
          <w:sz w:val="20"/>
          <w:szCs w:val="20"/>
        </w:rPr>
      </w:pPr>
      <w:r>
        <w:rPr>
          <w:sz w:val="20"/>
          <w:szCs w:val="20"/>
        </w:rPr>
        <w:t>从物联网的本质角度来看，物联网具有互连、识别与</w:t>
      </w:r>
      <w:r>
        <w:rPr>
          <w:spacing w:val="-1"/>
          <w:sz w:val="20"/>
          <w:szCs w:val="20"/>
        </w:rPr>
        <w:t>通信、智能化三个特点。</w:t>
      </w:r>
    </w:p>
    <w:p w14:paraId="2C1E1E5F">
      <w:pPr>
        <w:spacing w:line="219" w:lineRule="auto"/>
        <w:rPr>
          <w:sz w:val="20"/>
          <w:szCs w:val="20"/>
        </w:rPr>
        <w:sectPr>
          <w:pgSz w:w="10340" w:h="13300"/>
          <w:pgMar w:top="400" w:right="1129" w:bottom="400" w:left="530" w:header="0" w:footer="0" w:gutter="0"/>
          <w:cols w:space="720" w:num="1"/>
        </w:sectPr>
      </w:pPr>
    </w:p>
    <w:p w14:paraId="59BB26F5">
      <w:pPr>
        <w:pStyle w:val="2"/>
        <w:spacing w:before="47" w:line="219" w:lineRule="auto"/>
        <w:jc w:val="right"/>
        <w:rPr>
          <w:rFonts w:ascii="Times New Roman" w:hAnsi="Times New Roman" w:eastAsia="Times New Roman" w:cs="Times New Roman"/>
          <w:sz w:val="20"/>
          <w:szCs w:val="20"/>
        </w:rPr>
      </w:pPr>
      <w:r>
        <w:rPr>
          <w:spacing w:val="-3"/>
          <w:sz w:val="20"/>
          <w:szCs w:val="20"/>
        </w:rPr>
        <w:t>第1章 信息与信息化</w:t>
      </w:r>
      <w:r>
        <w:rPr>
          <w:spacing w:val="11"/>
          <w:sz w:val="20"/>
          <w:szCs w:val="20"/>
        </w:rPr>
        <w:t xml:space="preserve">      </w:t>
      </w:r>
      <w:r>
        <w:rPr>
          <w:rFonts w:ascii="Times New Roman" w:hAnsi="Times New Roman" w:eastAsia="Times New Roman" w:cs="Times New Roman"/>
          <w:spacing w:val="-3"/>
          <w:sz w:val="20"/>
          <w:szCs w:val="20"/>
        </w:rPr>
        <w:t>15</w:t>
      </w:r>
    </w:p>
    <w:p w14:paraId="48B6C1F8">
      <w:pPr>
        <w:spacing w:line="317" w:lineRule="auto"/>
        <w:rPr>
          <w:rFonts w:ascii="Arial"/>
          <w:sz w:val="21"/>
        </w:rPr>
      </w:pPr>
    </w:p>
    <w:p w14:paraId="12039E71">
      <w:pPr>
        <w:pStyle w:val="2"/>
        <w:spacing w:before="65" w:line="220" w:lineRule="auto"/>
        <w:ind w:left="400"/>
        <w:rPr>
          <w:sz w:val="20"/>
          <w:szCs w:val="20"/>
        </w:rPr>
      </w:pPr>
      <w:r>
        <w:rPr>
          <w:spacing w:val="2"/>
          <w:sz w:val="20"/>
          <w:szCs w:val="20"/>
        </w:rPr>
        <w:t>(1)互连。对需要联网的“物”一定要能够实现互联互通。</w:t>
      </w:r>
    </w:p>
    <w:p w14:paraId="656BE035">
      <w:pPr>
        <w:pStyle w:val="2"/>
        <w:spacing w:before="58" w:line="249" w:lineRule="auto"/>
        <w:ind w:right="324" w:firstLine="400"/>
        <w:rPr>
          <w:sz w:val="20"/>
          <w:szCs w:val="20"/>
        </w:rPr>
      </w:pPr>
      <w:r>
        <w:rPr>
          <w:spacing w:val="21"/>
          <w:sz w:val="20"/>
          <w:szCs w:val="20"/>
        </w:rPr>
        <w:t>(2)识别与通信。纳入联网的“物”</w:t>
      </w:r>
      <w:r>
        <w:rPr>
          <w:spacing w:val="-61"/>
          <w:sz w:val="20"/>
          <w:szCs w:val="20"/>
        </w:rPr>
        <w:t xml:space="preserve"> </w:t>
      </w:r>
      <w:r>
        <w:rPr>
          <w:spacing w:val="21"/>
          <w:sz w:val="20"/>
          <w:szCs w:val="20"/>
        </w:rPr>
        <w:t>一</w:t>
      </w:r>
      <w:r>
        <w:rPr>
          <w:spacing w:val="-59"/>
          <w:sz w:val="20"/>
          <w:szCs w:val="20"/>
        </w:rPr>
        <w:t xml:space="preserve"> </w:t>
      </w:r>
      <w:r>
        <w:rPr>
          <w:spacing w:val="21"/>
          <w:sz w:val="20"/>
          <w:szCs w:val="20"/>
        </w:rPr>
        <w:t>定要具备自动识别物与物通信</w:t>
      </w:r>
      <w:r>
        <w:rPr>
          <w:spacing w:val="-55"/>
          <w:sz w:val="20"/>
          <w:szCs w:val="20"/>
        </w:rPr>
        <w:t xml:space="preserve"> </w:t>
      </w:r>
      <w:r>
        <w:rPr>
          <w:rFonts w:ascii="Times New Roman" w:hAnsi="Times New Roman" w:eastAsia="Times New Roman" w:cs="Times New Roman"/>
          <w:spacing w:val="21"/>
          <w:sz w:val="20"/>
          <w:szCs w:val="20"/>
        </w:rPr>
        <w:t>(</w:t>
      </w:r>
      <w:r>
        <w:rPr>
          <w:rFonts w:ascii="Times New Roman" w:hAnsi="Times New Roman" w:eastAsia="Times New Roman" w:cs="Times New Roman"/>
          <w:sz w:val="20"/>
          <w:szCs w:val="20"/>
        </w:rPr>
        <w:t>Machine</w:t>
      </w:r>
      <w:r>
        <w:rPr>
          <w:rFonts w:ascii="Times New Roman" w:hAnsi="Times New Roman" w:eastAsia="Times New Roman" w:cs="Times New Roman"/>
          <w:spacing w:val="21"/>
          <w:sz w:val="20"/>
          <w:szCs w:val="20"/>
        </w:rPr>
        <w:t>-</w:t>
      </w:r>
      <w:r>
        <w:rPr>
          <w:rFonts w:ascii="Times New Roman" w:hAnsi="Times New Roman" w:eastAsia="Times New Roman" w:cs="Times New Roman"/>
          <w:sz w:val="20"/>
          <w:szCs w:val="20"/>
        </w:rPr>
        <w:t>To</w:t>
      </w:r>
      <w:r>
        <w:rPr>
          <w:rFonts w:ascii="Times New Roman" w:hAnsi="Times New Roman" w:eastAsia="Times New Roman" w:cs="Times New Roman"/>
          <w:spacing w:val="21"/>
          <w:sz w:val="20"/>
          <w:szCs w:val="20"/>
        </w:rPr>
        <w:t>-</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Machine,M2M)</w:t>
      </w:r>
      <w:r>
        <w:rPr>
          <w:rFonts w:ascii="Times New Roman" w:hAnsi="Times New Roman" w:eastAsia="Times New Roman" w:cs="Times New Roman"/>
          <w:spacing w:val="8"/>
          <w:sz w:val="20"/>
          <w:szCs w:val="20"/>
        </w:rPr>
        <w:t xml:space="preserve">     </w:t>
      </w:r>
      <w:r>
        <w:rPr>
          <w:spacing w:val="-2"/>
          <w:sz w:val="20"/>
          <w:szCs w:val="20"/>
        </w:rPr>
        <w:t>的功能。</w:t>
      </w:r>
    </w:p>
    <w:p w14:paraId="699AC55C">
      <w:pPr>
        <w:pStyle w:val="2"/>
        <w:spacing w:before="121" w:line="248" w:lineRule="auto"/>
        <w:ind w:left="400" w:right="2026"/>
        <w:rPr>
          <w:sz w:val="20"/>
          <w:szCs w:val="20"/>
        </w:rPr>
      </w:pPr>
      <w:r>
        <w:rPr>
          <w:spacing w:val="2"/>
          <w:sz w:val="20"/>
          <w:szCs w:val="20"/>
        </w:rPr>
        <w:t>(3)智能化。网络系统应该具有自动化、自我反馈与智能控</w:t>
      </w:r>
      <w:r>
        <w:rPr>
          <w:spacing w:val="1"/>
          <w:sz w:val="20"/>
          <w:szCs w:val="20"/>
        </w:rPr>
        <w:t>制的特点。</w:t>
      </w:r>
      <w:r>
        <w:rPr>
          <w:sz w:val="20"/>
          <w:szCs w:val="20"/>
        </w:rPr>
        <w:t xml:space="preserve"> </w:t>
      </w:r>
      <w:r>
        <w:rPr>
          <w:spacing w:val="-3"/>
          <w:sz w:val="20"/>
          <w:szCs w:val="20"/>
        </w:rPr>
        <w:t>从产业的角度来看，物联网具备以下六个特点：</w:t>
      </w:r>
    </w:p>
    <w:p w14:paraId="45906C20">
      <w:pPr>
        <w:pStyle w:val="2"/>
        <w:spacing w:before="72" w:line="264" w:lineRule="auto"/>
        <w:ind w:right="285" w:firstLine="400"/>
        <w:rPr>
          <w:sz w:val="20"/>
          <w:szCs w:val="20"/>
        </w:rPr>
      </w:pPr>
      <w:r>
        <w:rPr>
          <w:spacing w:val="10"/>
          <w:sz w:val="20"/>
          <w:szCs w:val="20"/>
        </w:rPr>
        <w:t xml:space="preserve">(1)感知识别普适化。无所不在的感知和识别将传统上分离的物理世界和信息世界高度 </w:t>
      </w:r>
      <w:r>
        <w:rPr>
          <w:spacing w:val="-3"/>
          <w:sz w:val="20"/>
          <w:szCs w:val="20"/>
        </w:rPr>
        <w:t>融合。</w:t>
      </w:r>
    </w:p>
    <w:p w14:paraId="32B0F392">
      <w:pPr>
        <w:pStyle w:val="2"/>
        <w:spacing w:before="58" w:line="260" w:lineRule="auto"/>
        <w:ind w:right="60" w:firstLine="400"/>
        <w:rPr>
          <w:sz w:val="20"/>
          <w:szCs w:val="20"/>
        </w:rPr>
      </w:pPr>
      <w:r>
        <w:rPr>
          <w:spacing w:val="6"/>
          <w:sz w:val="20"/>
          <w:szCs w:val="20"/>
        </w:rPr>
        <w:t>(2)异构设备互连化。各种异构设备利用通</w:t>
      </w:r>
      <w:r>
        <w:rPr>
          <w:spacing w:val="5"/>
          <w:sz w:val="20"/>
          <w:szCs w:val="20"/>
        </w:rPr>
        <w:t>信模块和协议自组成网，异构网络通过“网关”</w:t>
      </w:r>
      <w:r>
        <w:rPr>
          <w:sz w:val="20"/>
          <w:szCs w:val="20"/>
        </w:rPr>
        <w:t xml:space="preserve"> </w:t>
      </w:r>
      <w:r>
        <w:rPr>
          <w:spacing w:val="-7"/>
          <w:sz w:val="20"/>
          <w:szCs w:val="20"/>
        </w:rPr>
        <w:t>互联互通。</w:t>
      </w:r>
    </w:p>
    <w:p w14:paraId="27D9CFD3">
      <w:pPr>
        <w:pStyle w:val="2"/>
        <w:spacing w:before="78" w:line="219" w:lineRule="auto"/>
        <w:ind w:left="400"/>
        <w:rPr>
          <w:sz w:val="20"/>
          <w:szCs w:val="20"/>
        </w:rPr>
      </w:pPr>
      <w:r>
        <w:rPr>
          <w:spacing w:val="2"/>
          <w:sz w:val="20"/>
          <w:szCs w:val="20"/>
        </w:rPr>
        <w:t>(3)联网终端规模化。物联网时代每一件物品</w:t>
      </w:r>
      <w:r>
        <w:rPr>
          <w:spacing w:val="1"/>
          <w:sz w:val="20"/>
          <w:szCs w:val="20"/>
        </w:rPr>
        <w:t>均具有通信功能，可作为网络终端。</w:t>
      </w:r>
    </w:p>
    <w:p w14:paraId="3F8CA43F">
      <w:pPr>
        <w:pStyle w:val="2"/>
        <w:spacing w:before="93" w:line="248" w:lineRule="auto"/>
        <w:ind w:right="245" w:firstLine="400"/>
        <w:rPr>
          <w:sz w:val="20"/>
          <w:szCs w:val="20"/>
        </w:rPr>
      </w:pPr>
      <w:r>
        <w:rPr>
          <w:spacing w:val="6"/>
          <w:sz w:val="20"/>
          <w:szCs w:val="20"/>
        </w:rPr>
        <w:t>(4)管理调控智能化。物联网高效可靠，能组织大规模数据，与此同时，运筹学、机器学</w:t>
      </w:r>
      <w:r>
        <w:rPr>
          <w:sz w:val="20"/>
          <w:szCs w:val="20"/>
        </w:rPr>
        <w:t xml:space="preserve"> </w:t>
      </w:r>
      <w:r>
        <w:rPr>
          <w:spacing w:val="1"/>
          <w:sz w:val="20"/>
          <w:szCs w:val="20"/>
        </w:rPr>
        <w:t>习、数据挖掘、专家系统等决策手段将广泛应用于各行各业。公众</w:t>
      </w:r>
      <w:r>
        <w:rPr>
          <w:sz w:val="20"/>
          <w:szCs w:val="20"/>
        </w:rPr>
        <w:t>号：项目管理课堂</w:t>
      </w:r>
    </w:p>
    <w:p w14:paraId="4A7116C8">
      <w:pPr>
        <w:pStyle w:val="2"/>
        <w:spacing w:before="72" w:line="262" w:lineRule="auto"/>
        <w:ind w:right="266" w:firstLine="400"/>
        <w:rPr>
          <w:sz w:val="20"/>
          <w:szCs w:val="20"/>
        </w:rPr>
      </w:pPr>
      <w:r>
        <w:rPr>
          <w:spacing w:val="6"/>
          <w:sz w:val="20"/>
          <w:szCs w:val="20"/>
        </w:rPr>
        <w:t>(5)应用服务链条化。以工业生产为例，</w:t>
      </w:r>
      <w:r>
        <w:rPr>
          <w:spacing w:val="5"/>
          <w:sz w:val="20"/>
          <w:szCs w:val="20"/>
        </w:rPr>
        <w:t>物联网技术覆盖了从原材料引进、生产调度、节</w:t>
      </w:r>
      <w:r>
        <w:rPr>
          <w:sz w:val="20"/>
          <w:szCs w:val="20"/>
        </w:rPr>
        <w:t xml:space="preserve"> </w:t>
      </w:r>
      <w:r>
        <w:rPr>
          <w:spacing w:val="-2"/>
          <w:sz w:val="20"/>
          <w:szCs w:val="20"/>
        </w:rPr>
        <w:t>能减排、仓储物流到产品销售、售后服务等各个环节。</w:t>
      </w:r>
    </w:p>
    <w:p w14:paraId="48F51627">
      <w:pPr>
        <w:pStyle w:val="2"/>
        <w:spacing w:before="63" w:line="257" w:lineRule="auto"/>
        <w:ind w:right="275" w:firstLine="400"/>
        <w:rPr>
          <w:sz w:val="20"/>
          <w:szCs w:val="20"/>
        </w:rPr>
      </w:pPr>
      <w:r>
        <w:rPr>
          <w:spacing w:val="5"/>
          <w:sz w:val="20"/>
          <w:szCs w:val="20"/>
        </w:rPr>
        <w:t>(6)经济发展跨越化。物联网技术有望成为从劳动密集型向知识密集型，从资源浪费型向</w:t>
      </w:r>
      <w:r>
        <w:rPr>
          <w:spacing w:val="10"/>
          <w:sz w:val="20"/>
          <w:szCs w:val="20"/>
        </w:rPr>
        <w:t xml:space="preserve"> </w:t>
      </w:r>
      <w:r>
        <w:rPr>
          <w:spacing w:val="-3"/>
          <w:sz w:val="20"/>
          <w:szCs w:val="20"/>
        </w:rPr>
        <w:t>环境友好型转化的重要动力。</w:t>
      </w:r>
    </w:p>
    <w:p w14:paraId="14A958C5">
      <w:pPr>
        <w:pStyle w:val="2"/>
        <w:spacing w:before="93" w:line="263" w:lineRule="auto"/>
        <w:ind w:right="266" w:firstLine="400"/>
        <w:rPr>
          <w:sz w:val="20"/>
          <w:szCs w:val="20"/>
        </w:rPr>
      </w:pPr>
      <w:r>
        <w:rPr>
          <w:spacing w:val="3"/>
          <w:sz w:val="20"/>
          <w:szCs w:val="20"/>
        </w:rPr>
        <w:t>从应用角度来看，物联网具备领域性、多样化的特征。物联网应用通常具有领域性，几乎</w:t>
      </w:r>
      <w:r>
        <w:rPr>
          <w:spacing w:val="1"/>
          <w:sz w:val="20"/>
          <w:szCs w:val="20"/>
        </w:rPr>
        <w:t xml:space="preserve"> </w:t>
      </w:r>
      <w:r>
        <w:rPr>
          <w:spacing w:val="-2"/>
          <w:sz w:val="20"/>
          <w:szCs w:val="20"/>
        </w:rPr>
        <w:t>社会生活的各个领域都有物联网应用需求。</w:t>
      </w:r>
    </w:p>
    <w:p w14:paraId="415A3C8E">
      <w:pPr>
        <w:pStyle w:val="2"/>
        <w:spacing w:before="135" w:line="221" w:lineRule="auto"/>
        <w:ind w:left="402"/>
        <w:rPr>
          <w:rFonts w:ascii="黑体" w:hAnsi="黑体" w:eastAsia="黑体" w:cs="黑体"/>
          <w:sz w:val="20"/>
          <w:szCs w:val="20"/>
        </w:rPr>
      </w:pPr>
      <w:r>
        <w:rPr>
          <w:b/>
          <w:bCs/>
          <w:color w:val="0079E4"/>
          <w:spacing w:val="-2"/>
          <w:sz w:val="20"/>
          <w:szCs w:val="20"/>
        </w:rPr>
        <w:t>3.</w:t>
      </w:r>
      <w:r>
        <w:rPr>
          <w:rFonts w:ascii="黑体" w:hAnsi="黑体" w:eastAsia="黑体" w:cs="黑体"/>
          <w:b/>
          <w:bCs/>
          <w:color w:val="0079E4"/>
          <w:spacing w:val="-2"/>
          <w:sz w:val="20"/>
          <w:szCs w:val="20"/>
        </w:rPr>
        <w:t>物联网的分类</w:t>
      </w:r>
    </w:p>
    <w:p w14:paraId="5B0BBCFE">
      <w:pPr>
        <w:spacing w:before="213" w:line="224" w:lineRule="auto"/>
        <w:ind w:left="400"/>
        <w:rPr>
          <w:rFonts w:ascii="楷体" w:hAnsi="楷体" w:eastAsia="楷体" w:cs="楷体"/>
          <w:sz w:val="20"/>
          <w:szCs w:val="20"/>
        </w:rPr>
      </w:pPr>
      <w:r>
        <w:rPr>
          <w:rFonts w:ascii="楷体" w:hAnsi="楷体" w:eastAsia="楷体" w:cs="楷体"/>
          <w:spacing w:val="7"/>
          <w:sz w:val="20"/>
          <w:szCs w:val="20"/>
        </w:rPr>
        <w:t>1)按照部署方式分类</w:t>
      </w:r>
    </w:p>
    <w:p w14:paraId="7F64EE80">
      <w:pPr>
        <w:pStyle w:val="2"/>
        <w:spacing w:before="70" w:line="219" w:lineRule="auto"/>
        <w:ind w:left="400"/>
        <w:rPr>
          <w:sz w:val="20"/>
          <w:szCs w:val="20"/>
        </w:rPr>
      </w:pPr>
      <w:r>
        <w:rPr>
          <w:spacing w:val="-1"/>
          <w:sz w:val="20"/>
          <w:szCs w:val="20"/>
        </w:rPr>
        <w:t>按照部署方式分类，物联网可分为私有物联网、公有物联网、社区物联网和混合物联网。</w:t>
      </w:r>
    </w:p>
    <w:p w14:paraId="1D4A50AB">
      <w:pPr>
        <w:pStyle w:val="2"/>
        <w:spacing w:before="63" w:line="270" w:lineRule="auto"/>
        <w:ind w:left="689" w:right="256" w:hanging="289"/>
        <w:rPr>
          <w:sz w:val="20"/>
          <w:szCs w:val="20"/>
        </w:rPr>
      </w:pPr>
      <w:r>
        <w:rPr>
          <w:spacing w:val="3"/>
          <w:sz w:val="20"/>
          <w:szCs w:val="20"/>
        </w:rPr>
        <w:t>●私有物联网。顾名思义，私有物联网就是私人拥有的小型网络。就像互联网中的局域网</w:t>
      </w:r>
      <w:r>
        <w:rPr>
          <w:spacing w:val="12"/>
          <w:sz w:val="20"/>
          <w:szCs w:val="20"/>
        </w:rPr>
        <w:t xml:space="preserve"> </w:t>
      </w:r>
      <w:r>
        <w:rPr>
          <w:spacing w:val="6"/>
          <w:sz w:val="20"/>
          <w:szCs w:val="20"/>
        </w:rPr>
        <w:t>一样，主要存在于一些公司企业的内部网络中。这些网络主要完成公司内部的相关服</w:t>
      </w:r>
      <w:r>
        <w:rPr>
          <w:spacing w:val="5"/>
          <w:sz w:val="20"/>
          <w:szCs w:val="20"/>
        </w:rPr>
        <w:t xml:space="preserve"> </w:t>
      </w:r>
      <w:r>
        <w:rPr>
          <w:spacing w:val="-3"/>
          <w:sz w:val="20"/>
          <w:szCs w:val="20"/>
        </w:rPr>
        <w:t>务，并且由公司自己进行维护和实施。</w:t>
      </w:r>
    </w:p>
    <w:p w14:paraId="37987D3E">
      <w:pPr>
        <w:pStyle w:val="2"/>
        <w:spacing w:before="91" w:line="257" w:lineRule="auto"/>
        <w:ind w:left="689" w:right="267" w:hanging="289"/>
        <w:rPr>
          <w:sz w:val="20"/>
          <w:szCs w:val="20"/>
        </w:rPr>
      </w:pPr>
      <w:r>
        <w:rPr>
          <w:spacing w:val="3"/>
          <w:sz w:val="20"/>
          <w:szCs w:val="20"/>
        </w:rPr>
        <w:t>●公有物联网。对象是公众或大型用户群体。基于互联网，涵盖广阔，网络上的信息被大</w:t>
      </w:r>
      <w:r>
        <w:rPr>
          <w:spacing w:val="1"/>
          <w:sz w:val="20"/>
          <w:szCs w:val="20"/>
        </w:rPr>
        <w:t xml:space="preserve"> </w:t>
      </w:r>
      <w:r>
        <w:rPr>
          <w:spacing w:val="-1"/>
          <w:sz w:val="20"/>
          <w:szCs w:val="20"/>
        </w:rPr>
        <w:t>家共有，提供的服务也就更广泛，主要由所</w:t>
      </w:r>
      <w:r>
        <w:rPr>
          <w:spacing w:val="-2"/>
          <w:sz w:val="20"/>
          <w:szCs w:val="20"/>
        </w:rPr>
        <w:t>属机构自己运营维护。</w:t>
      </w:r>
    </w:p>
    <w:p w14:paraId="67029F6F">
      <w:pPr>
        <w:pStyle w:val="2"/>
        <w:spacing w:before="82" w:line="270" w:lineRule="auto"/>
        <w:ind w:left="689" w:right="266" w:hanging="289"/>
        <w:rPr>
          <w:sz w:val="20"/>
          <w:szCs w:val="20"/>
        </w:rPr>
      </w:pPr>
      <w:r>
        <w:rPr>
          <w:spacing w:val="3"/>
          <w:sz w:val="20"/>
          <w:szCs w:val="20"/>
        </w:rPr>
        <w:t>●社区物联网。向一个关联的“社区”或机构群体提供服务，可能由两个或两个以上的机</w:t>
      </w:r>
      <w:r>
        <w:rPr>
          <w:sz w:val="20"/>
          <w:szCs w:val="20"/>
        </w:rPr>
        <w:t xml:space="preserve"> </w:t>
      </w:r>
      <w:r>
        <w:rPr>
          <w:spacing w:val="-4"/>
          <w:sz w:val="20"/>
          <w:szCs w:val="20"/>
        </w:rPr>
        <w:t>构协同运行和维护，主要存在于内网和专网中。内网，</w:t>
      </w:r>
      <w:r>
        <w:rPr>
          <w:spacing w:val="-5"/>
          <w:sz w:val="20"/>
          <w:szCs w:val="20"/>
        </w:rPr>
        <w:t>即局域网，是指在某一区域内或行</w:t>
      </w:r>
      <w:r>
        <w:rPr>
          <w:sz w:val="20"/>
          <w:szCs w:val="20"/>
        </w:rPr>
        <w:t xml:space="preserve"> </w:t>
      </w:r>
      <w:r>
        <w:rPr>
          <w:spacing w:val="-3"/>
          <w:sz w:val="20"/>
          <w:szCs w:val="20"/>
        </w:rPr>
        <w:t>业内由多台计算机相互连成的计算机组。专网指专用网络，是遵守</w:t>
      </w:r>
      <w:r>
        <w:rPr>
          <w:rFonts w:ascii="Times New Roman" w:hAnsi="Times New Roman" w:eastAsia="Times New Roman" w:cs="Times New Roman"/>
          <w:spacing w:val="-3"/>
          <w:sz w:val="20"/>
          <w:szCs w:val="20"/>
        </w:rPr>
        <w:t>RFC1918</w:t>
      </w:r>
      <w:r>
        <w:rPr>
          <w:rFonts w:ascii="Times New Roman" w:hAnsi="Times New Roman" w:eastAsia="Times New Roman" w:cs="Times New Roman"/>
          <w:spacing w:val="53"/>
          <w:w w:val="101"/>
          <w:sz w:val="20"/>
          <w:szCs w:val="20"/>
        </w:rPr>
        <w:t xml:space="preserve"> </w:t>
      </w:r>
      <w:r>
        <w:rPr>
          <w:spacing w:val="-3"/>
          <w:sz w:val="20"/>
          <w:szCs w:val="20"/>
        </w:rPr>
        <w:t>和</w:t>
      </w:r>
      <w:r>
        <w:rPr>
          <w:spacing w:val="-52"/>
          <w:sz w:val="20"/>
          <w:szCs w:val="20"/>
        </w:rPr>
        <w:t xml:space="preserve"> </w:t>
      </w:r>
      <w:r>
        <w:rPr>
          <w:rFonts w:ascii="Times New Roman" w:hAnsi="Times New Roman" w:eastAsia="Times New Roman" w:cs="Times New Roman"/>
          <w:spacing w:val="-3"/>
          <w:sz w:val="20"/>
          <w:szCs w:val="20"/>
        </w:rPr>
        <w:t>RFC 4193</w:t>
      </w:r>
      <w:r>
        <w:rPr>
          <w:rFonts w:ascii="Times New Roman" w:hAnsi="Times New Roman" w:eastAsia="Times New Roman" w:cs="Times New Roman"/>
          <w:sz w:val="20"/>
          <w:szCs w:val="20"/>
        </w:rPr>
        <w:t xml:space="preserve"> </w:t>
      </w:r>
      <w:r>
        <w:rPr>
          <w:spacing w:val="2"/>
          <w:sz w:val="20"/>
          <w:szCs w:val="20"/>
        </w:rPr>
        <w:t>规范，使用私有</w:t>
      </w:r>
      <w:r>
        <w:rPr>
          <w:rFonts w:ascii="Times New Roman" w:hAnsi="Times New Roman" w:eastAsia="Times New Roman" w:cs="Times New Roman"/>
          <w:sz w:val="20"/>
          <w:szCs w:val="20"/>
        </w:rPr>
        <w:t>IP</w:t>
      </w:r>
      <w:r>
        <w:rPr>
          <w:rFonts w:ascii="Times New Roman" w:hAnsi="Times New Roman" w:eastAsia="Times New Roman" w:cs="Times New Roman"/>
          <w:spacing w:val="17"/>
          <w:sz w:val="20"/>
          <w:szCs w:val="20"/>
        </w:rPr>
        <w:t xml:space="preserve"> </w:t>
      </w:r>
      <w:r>
        <w:rPr>
          <w:spacing w:val="2"/>
          <w:sz w:val="20"/>
          <w:szCs w:val="20"/>
        </w:rPr>
        <w:t>地址空间的网络。私有</w:t>
      </w:r>
      <w:r>
        <w:rPr>
          <w:rFonts w:ascii="Times New Roman" w:hAnsi="Times New Roman" w:eastAsia="Times New Roman" w:cs="Times New Roman"/>
          <w:sz w:val="20"/>
          <w:szCs w:val="20"/>
        </w:rPr>
        <w:t>IP</w:t>
      </w:r>
      <w:r>
        <w:rPr>
          <w:rFonts w:ascii="Times New Roman" w:hAnsi="Times New Roman" w:eastAsia="Times New Roman" w:cs="Times New Roman"/>
          <w:spacing w:val="17"/>
          <w:sz w:val="20"/>
          <w:szCs w:val="20"/>
        </w:rPr>
        <w:t xml:space="preserve"> </w:t>
      </w:r>
      <w:r>
        <w:rPr>
          <w:spacing w:val="2"/>
          <w:sz w:val="20"/>
          <w:szCs w:val="20"/>
        </w:rPr>
        <w:t>无法直接连接互联网，需要公网</w:t>
      </w:r>
      <w:r>
        <w:rPr>
          <w:rFonts w:ascii="Times New Roman" w:hAnsi="Times New Roman" w:eastAsia="Times New Roman" w:cs="Times New Roman"/>
          <w:sz w:val="20"/>
          <w:szCs w:val="20"/>
        </w:rPr>
        <w:t>IP</w:t>
      </w:r>
      <w:r>
        <w:rPr>
          <w:rFonts w:ascii="Times New Roman" w:hAnsi="Times New Roman" w:eastAsia="Times New Roman" w:cs="Times New Roman"/>
          <w:spacing w:val="17"/>
          <w:sz w:val="20"/>
          <w:szCs w:val="20"/>
        </w:rPr>
        <w:t xml:space="preserve"> </w:t>
      </w:r>
      <w:r>
        <w:rPr>
          <w:spacing w:val="2"/>
          <w:sz w:val="20"/>
          <w:szCs w:val="20"/>
        </w:rPr>
        <w:t>转发。</w:t>
      </w:r>
    </w:p>
    <w:p w14:paraId="26CBD13D">
      <w:pPr>
        <w:pStyle w:val="2"/>
        <w:spacing w:before="102" w:line="258" w:lineRule="auto"/>
        <w:ind w:left="689" w:right="255" w:hanging="289"/>
        <w:rPr>
          <w:sz w:val="20"/>
          <w:szCs w:val="20"/>
        </w:rPr>
      </w:pPr>
      <w:r>
        <w:rPr>
          <w:spacing w:val="3"/>
          <w:sz w:val="20"/>
          <w:szCs w:val="20"/>
        </w:rPr>
        <w:t>●混合物联网。是私有物联网、公有物联网、社区物联网中任意多个网络的组合，在后台</w:t>
      </w:r>
      <w:r>
        <w:rPr>
          <w:spacing w:val="13"/>
          <w:sz w:val="20"/>
          <w:szCs w:val="20"/>
        </w:rPr>
        <w:t xml:space="preserve"> </w:t>
      </w:r>
      <w:r>
        <w:rPr>
          <w:spacing w:val="-3"/>
          <w:sz w:val="20"/>
          <w:szCs w:val="20"/>
        </w:rPr>
        <w:t>统一运行维护。</w:t>
      </w:r>
    </w:p>
    <w:p w14:paraId="659BCE08">
      <w:pPr>
        <w:spacing w:before="152" w:line="228" w:lineRule="auto"/>
        <w:ind w:left="400"/>
        <w:rPr>
          <w:rFonts w:ascii="楷体" w:hAnsi="楷体" w:eastAsia="楷体" w:cs="楷体"/>
          <w:sz w:val="20"/>
          <w:szCs w:val="20"/>
        </w:rPr>
      </w:pPr>
      <w:r>
        <w:rPr>
          <w:rFonts w:ascii="楷体" w:hAnsi="楷体" w:eastAsia="楷体" w:cs="楷体"/>
          <w:spacing w:val="9"/>
          <w:sz w:val="20"/>
          <w:szCs w:val="20"/>
        </w:rPr>
        <w:t>2)按照应用领域分类</w:t>
      </w:r>
    </w:p>
    <w:p w14:paraId="05E022E2">
      <w:pPr>
        <w:pStyle w:val="2"/>
        <w:spacing w:before="62" w:line="265" w:lineRule="auto"/>
        <w:ind w:right="247" w:firstLine="400"/>
        <w:rPr>
          <w:sz w:val="20"/>
          <w:szCs w:val="20"/>
        </w:rPr>
      </w:pPr>
      <w:r>
        <w:rPr>
          <w:spacing w:val="4"/>
          <w:sz w:val="20"/>
          <w:szCs w:val="20"/>
        </w:rPr>
        <w:t>按照应用领域，可将物联网根据不同的业务进</w:t>
      </w:r>
      <w:r>
        <w:rPr>
          <w:spacing w:val="3"/>
          <w:sz w:val="20"/>
          <w:szCs w:val="20"/>
        </w:rPr>
        <w:t>行分类。如医疗行业的医疗卫生物联网，交</w:t>
      </w:r>
      <w:r>
        <w:rPr>
          <w:sz w:val="20"/>
          <w:szCs w:val="20"/>
        </w:rPr>
        <w:t xml:space="preserve"> </w:t>
      </w:r>
      <w:r>
        <w:rPr>
          <w:spacing w:val="2"/>
          <w:sz w:val="20"/>
          <w:szCs w:val="20"/>
        </w:rPr>
        <w:t>通行业的交通物联网，生活相关的家居生活物联网，</w:t>
      </w:r>
      <w:r>
        <w:rPr>
          <w:spacing w:val="1"/>
          <w:sz w:val="20"/>
          <w:szCs w:val="20"/>
        </w:rPr>
        <w:t>如图1-6所示。</w:t>
      </w:r>
    </w:p>
    <w:p w14:paraId="57E00DAE">
      <w:pPr>
        <w:spacing w:line="265" w:lineRule="auto"/>
        <w:rPr>
          <w:sz w:val="20"/>
          <w:szCs w:val="20"/>
        </w:rPr>
        <w:sectPr>
          <w:pgSz w:w="10320" w:h="13340"/>
          <w:pgMar w:top="400" w:right="573" w:bottom="400" w:left="1159" w:header="0" w:footer="0" w:gutter="0"/>
          <w:cols w:space="720" w:num="1"/>
        </w:sectPr>
      </w:pPr>
    </w:p>
    <w:p w14:paraId="2E9FCE1C">
      <w:pPr>
        <w:pStyle w:val="2"/>
        <w:rPr>
          <w:sz w:val="18"/>
          <w:szCs w:val="18"/>
        </w:rPr>
      </w:pPr>
      <w:r>
        <w:rPr>
          <w:rFonts w:ascii="Times New Roman" w:hAnsi="Times New Roman" w:eastAsia="Times New Roman" w:cs="Times New Roman"/>
          <w:spacing w:val="10"/>
          <w:position w:val="1"/>
          <w:sz w:val="18"/>
          <w:szCs w:val="18"/>
        </w:rPr>
        <w:t xml:space="preserve">16  </w:t>
      </w:r>
      <w:r>
        <w:rPr>
          <w:position w:val="-12"/>
          <w:sz w:val="18"/>
          <w:szCs w:val="18"/>
        </w:rPr>
        <w:drawing>
          <wp:inline distT="0" distB="0" distL="0" distR="0">
            <wp:extent cx="311150" cy="25400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6"/>
                    <a:stretch>
                      <a:fillRect/>
                    </a:stretch>
                  </pic:blipFill>
                  <pic:spPr>
                    <a:xfrm>
                      <a:off x="0" y="0"/>
                      <a:ext cx="311185" cy="254013"/>
                    </a:xfrm>
                    <a:prstGeom prst="rect">
                      <a:avLst/>
                    </a:prstGeom>
                  </pic:spPr>
                </pic:pic>
              </a:graphicData>
            </a:graphic>
          </wp:inline>
        </w:drawing>
      </w:r>
      <w:r>
        <w:rPr>
          <w:rFonts w:ascii="Times New Roman" w:hAnsi="Times New Roman" w:eastAsia="Times New Roman" w:cs="Times New Roman"/>
          <w:spacing w:val="11"/>
          <w:position w:val="1"/>
          <w:sz w:val="18"/>
          <w:szCs w:val="18"/>
        </w:rPr>
        <w:t xml:space="preserve">   </w:t>
      </w:r>
      <w:r>
        <w:rPr>
          <w:spacing w:val="10"/>
          <w:sz w:val="18"/>
          <w:szCs w:val="18"/>
        </w:rPr>
        <w:t>信息系统监理师教程(第2版)</w:t>
      </w:r>
    </w:p>
    <w:p w14:paraId="74007B38">
      <w:pPr>
        <w:spacing w:line="248" w:lineRule="auto"/>
        <w:rPr>
          <w:rFonts w:ascii="Arial"/>
          <w:sz w:val="21"/>
        </w:rPr>
      </w:pPr>
    </w:p>
    <w:p w14:paraId="42C5BB43">
      <w:pPr>
        <w:pStyle w:val="2"/>
        <w:spacing w:line="5640" w:lineRule="exact"/>
        <w:ind w:firstLine="630"/>
      </w:pPr>
      <w:r>
        <w:rPr>
          <w:position w:val="-112"/>
        </w:rPr>
        <w:pict>
          <v:group id="_x0000_s1058" o:spid="_x0000_s1058" o:spt="203" style="height:282pt;width:381.55pt;" coordsize="7630,5640">
            <o:lock v:ext="edit"/>
            <v:shape id="_x0000_s1059" o:spid="_x0000_s1059" o:spt="75" type="#_x0000_t75" style="position:absolute;left:0;top:0;height:5640;width:7630;" filled="f" stroked="f" coordsize="21600,21600">
              <v:path/>
              <v:fill on="f" focussize="0,0"/>
              <v:stroke on="f"/>
              <v:imagedata r:id="rId37" o:title=""/>
              <o:lock v:ext="edit" aspectratio="t"/>
            </v:shape>
            <v:shape id="_x0000_s1060" o:spid="_x0000_s1060" o:spt="202" type="#_x0000_t202" style="position:absolute;left:1259;top:88;height:5429;width:6322;" filled="f" stroked="f" coordsize="21600,21600">
              <v:path/>
              <v:fill on="f" focussize="0,0"/>
              <v:stroke on="f"/>
              <v:imagedata o:title=""/>
              <o:lock v:ext="edit" aspectratio="f"/>
              <v:textbox inset="0mm,0mm,0mm,0mm">
                <w:txbxContent>
                  <w:p w14:paraId="565DA1D9">
                    <w:pPr>
                      <w:spacing w:before="19" w:line="215" w:lineRule="auto"/>
                      <w:ind w:left="2210"/>
                      <w:rPr>
                        <w:rFonts w:ascii="宋体" w:hAnsi="宋体" w:eastAsia="宋体" w:cs="宋体"/>
                        <w:sz w:val="18"/>
                        <w:szCs w:val="18"/>
                      </w:rPr>
                    </w:pPr>
                    <w:r>
                      <w:rPr>
                        <w:rFonts w:ascii="宋体" w:hAnsi="宋体" w:eastAsia="宋体" w:cs="宋体"/>
                        <w:color w:val="FFFFFF"/>
                        <w:spacing w:val="-3"/>
                        <w:sz w:val="18"/>
                        <w:szCs w:val="18"/>
                      </w:rPr>
                      <w:t>智能小区</w:t>
                    </w:r>
                  </w:p>
                  <w:p w14:paraId="1F406645">
                    <w:pPr>
                      <w:spacing w:before="1" w:line="217" w:lineRule="auto"/>
                      <w:ind w:left="2210" w:right="3399"/>
                      <w:rPr>
                        <w:rFonts w:ascii="宋体" w:hAnsi="宋体" w:eastAsia="宋体" w:cs="宋体"/>
                        <w:sz w:val="18"/>
                        <w:szCs w:val="18"/>
                      </w:rPr>
                    </w:pPr>
                    <w:r>
                      <w:rPr>
                        <w:rFonts w:ascii="宋体" w:hAnsi="宋体" w:eastAsia="宋体" w:cs="宋体"/>
                        <w:spacing w:val="-3"/>
                        <w:sz w:val="18"/>
                        <w:szCs w:val="18"/>
                      </w:rPr>
                      <w:t>智能家居</w:t>
                    </w:r>
                    <w:r>
                      <w:rPr>
                        <w:rFonts w:ascii="宋体" w:hAnsi="宋体" w:eastAsia="宋体" w:cs="宋体"/>
                        <w:sz w:val="18"/>
                        <w:szCs w:val="18"/>
                      </w:rPr>
                      <w:t xml:space="preserve"> </w:t>
                    </w:r>
                    <w:r>
                      <w:rPr>
                        <w:rFonts w:ascii="宋体" w:hAnsi="宋体" w:eastAsia="宋体" w:cs="宋体"/>
                        <w:spacing w:val="-2"/>
                        <w:sz w:val="18"/>
                        <w:szCs w:val="18"/>
                      </w:rPr>
                      <w:t>长者关爱</w:t>
                    </w:r>
                  </w:p>
                  <w:p w14:paraId="2BF34945">
                    <w:pPr>
                      <w:spacing w:before="105" w:line="220" w:lineRule="auto"/>
                      <w:ind w:left="2210"/>
                      <w:rPr>
                        <w:rFonts w:ascii="宋体" w:hAnsi="宋体" w:eastAsia="宋体" w:cs="宋体"/>
                        <w:sz w:val="18"/>
                        <w:szCs w:val="18"/>
                      </w:rPr>
                    </w:pPr>
                    <w:r>
                      <w:rPr>
                        <w:rFonts w:ascii="宋体" w:hAnsi="宋体" w:eastAsia="宋体" w:cs="宋体"/>
                        <w:spacing w:val="-2"/>
                        <w:sz w:val="18"/>
                        <w:szCs w:val="18"/>
                      </w:rPr>
                      <w:t>家居生活</w:t>
                    </w:r>
                  </w:p>
                  <w:p w14:paraId="144C63E8">
                    <w:pPr>
                      <w:spacing w:line="241" w:lineRule="auto"/>
                      <w:rPr>
                        <w:rFonts w:ascii="Arial"/>
                        <w:sz w:val="21"/>
                      </w:rPr>
                    </w:pPr>
                  </w:p>
                  <w:p w14:paraId="51B470A0">
                    <w:pPr>
                      <w:spacing w:line="242" w:lineRule="auto"/>
                      <w:rPr>
                        <w:rFonts w:ascii="Arial"/>
                        <w:sz w:val="21"/>
                      </w:rPr>
                    </w:pPr>
                  </w:p>
                  <w:p w14:paraId="744FC7CB">
                    <w:pPr>
                      <w:spacing w:before="58" w:line="186" w:lineRule="auto"/>
                      <w:ind w:left="2379"/>
                      <w:rPr>
                        <w:rFonts w:ascii="黑体" w:hAnsi="黑体" w:eastAsia="黑体" w:cs="黑体"/>
                        <w:sz w:val="18"/>
                        <w:szCs w:val="18"/>
                      </w:rPr>
                    </w:pPr>
                    <w:r>
                      <w:rPr>
                        <w:rFonts w:ascii="黑体" w:hAnsi="黑体" w:eastAsia="黑体" w:cs="黑体"/>
                        <w:color w:val="FFFFFF"/>
                        <w:spacing w:val="-8"/>
                        <w:sz w:val="18"/>
                        <w:szCs w:val="18"/>
                      </w:rPr>
                      <w:t>社会)</w:t>
                    </w:r>
                  </w:p>
                  <w:p w14:paraId="0250E874">
                    <w:pPr>
                      <w:spacing w:before="1" w:line="213" w:lineRule="auto"/>
                      <w:ind w:left="5359"/>
                      <w:rPr>
                        <w:rFonts w:ascii="宋体" w:hAnsi="宋体" w:eastAsia="宋体" w:cs="宋体"/>
                        <w:sz w:val="18"/>
                        <w:szCs w:val="18"/>
                      </w:rPr>
                    </w:pPr>
                    <w:r>
                      <w:rPr>
                        <w:rFonts w:ascii="宋体" w:hAnsi="宋体" w:eastAsia="宋体" w:cs="宋体"/>
                        <w:color w:val="005FCD"/>
                        <w:spacing w:val="-5"/>
                        <w:sz w:val="18"/>
                        <w:szCs w:val="18"/>
                      </w:rPr>
                      <w:t>平安</w:t>
                    </w:r>
                    <w:r>
                      <w:rPr>
                        <w:rFonts w:ascii="宋体" w:hAnsi="宋体" w:eastAsia="宋体" w:cs="宋体"/>
                        <w:spacing w:val="-5"/>
                        <w:sz w:val="18"/>
                        <w:szCs w:val="18"/>
                      </w:rPr>
                      <w:t>城</w:t>
                    </w:r>
                    <w:r>
                      <w:rPr>
                        <w:rFonts w:ascii="宋体" w:hAnsi="宋体" w:eastAsia="宋体" w:cs="宋体"/>
                        <w:color w:val="005FCD"/>
                        <w:spacing w:val="-5"/>
                        <w:sz w:val="18"/>
                        <w:szCs w:val="18"/>
                      </w:rPr>
                      <w:t>市</w:t>
                    </w:r>
                  </w:p>
                  <w:p w14:paraId="262D8BD0">
                    <w:pPr>
                      <w:spacing w:line="215" w:lineRule="auto"/>
                      <w:ind w:left="4410" w:right="131" w:firstLine="949"/>
                      <w:rPr>
                        <w:rFonts w:ascii="宋体" w:hAnsi="宋体" w:eastAsia="宋体" w:cs="宋体"/>
                        <w:sz w:val="18"/>
                        <w:szCs w:val="18"/>
                      </w:rPr>
                    </w:pPr>
                    <w:r>
                      <w:rPr>
                        <w:rFonts w:ascii="宋体" w:hAnsi="宋体" w:eastAsia="宋体" w:cs="宋体"/>
                        <w:spacing w:val="-3"/>
                        <w:sz w:val="18"/>
                        <w:szCs w:val="18"/>
                      </w:rPr>
                      <w:t>警力调度</w:t>
                    </w:r>
                    <w:r>
                      <w:rPr>
                        <w:rFonts w:ascii="宋体" w:hAnsi="宋体" w:eastAsia="宋体" w:cs="宋体"/>
                        <w:sz w:val="18"/>
                        <w:szCs w:val="18"/>
                      </w:rPr>
                      <w:t xml:space="preserve">  </w:t>
                    </w:r>
                    <w:r>
                      <w:rPr>
                        <w:rFonts w:ascii="宋体" w:hAnsi="宋体" w:eastAsia="宋体" w:cs="宋体"/>
                        <w:spacing w:val="1"/>
                        <w:position w:val="-1"/>
                        <w:sz w:val="18"/>
                        <w:szCs w:val="18"/>
                      </w:rPr>
                      <w:t>公共安全</w:t>
                    </w:r>
                    <w:r>
                      <w:rPr>
                        <w:rFonts w:ascii="宋体" w:hAnsi="宋体" w:eastAsia="宋体" w:cs="宋体"/>
                        <w:spacing w:val="61"/>
                        <w:position w:val="-1"/>
                        <w:sz w:val="18"/>
                        <w:szCs w:val="18"/>
                      </w:rPr>
                      <w:t xml:space="preserve"> </w:t>
                    </w:r>
                    <w:r>
                      <w:rPr>
                        <w:rFonts w:ascii="宋体" w:hAnsi="宋体" w:eastAsia="宋体" w:cs="宋体"/>
                        <w:spacing w:val="1"/>
                        <w:sz w:val="18"/>
                        <w:szCs w:val="18"/>
                      </w:rPr>
                      <w:t>危险品管理</w:t>
                    </w:r>
                  </w:p>
                  <w:p w14:paraId="2B6ED6D3">
                    <w:pPr>
                      <w:spacing w:line="213" w:lineRule="auto"/>
                      <w:ind w:left="5359" w:right="20" w:hanging="129"/>
                      <w:rPr>
                        <w:rFonts w:ascii="宋体" w:hAnsi="宋体" w:eastAsia="宋体" w:cs="宋体"/>
                        <w:sz w:val="18"/>
                        <w:szCs w:val="18"/>
                      </w:rPr>
                    </w:pPr>
                    <w:r>
                      <w:rPr>
                        <w:rFonts w:ascii="宋体" w:hAnsi="宋体" w:eastAsia="宋体" w:cs="宋体"/>
                        <w:spacing w:val="-2"/>
                        <w:sz w:val="18"/>
                        <w:szCs w:val="18"/>
                      </w:rPr>
                      <w:t>重要物资管理</w:t>
                    </w:r>
                    <w:r>
                      <w:rPr>
                        <w:rFonts w:ascii="宋体" w:hAnsi="宋体" w:eastAsia="宋体" w:cs="宋体"/>
                        <w:spacing w:val="3"/>
                        <w:sz w:val="18"/>
                        <w:szCs w:val="18"/>
                      </w:rPr>
                      <w:t xml:space="preserve"> </w:t>
                    </w:r>
                    <w:r>
                      <w:rPr>
                        <w:rFonts w:ascii="宋体" w:hAnsi="宋体" w:eastAsia="宋体" w:cs="宋体"/>
                        <w:spacing w:val="-2"/>
                        <w:sz w:val="18"/>
                        <w:szCs w:val="18"/>
                      </w:rPr>
                      <w:t>环境保护</w:t>
                    </w:r>
                  </w:p>
                  <w:p w14:paraId="535A10D6">
                    <w:pPr>
                      <w:spacing w:line="435" w:lineRule="auto"/>
                      <w:rPr>
                        <w:rFonts w:ascii="Arial"/>
                        <w:sz w:val="21"/>
                      </w:rPr>
                    </w:pPr>
                  </w:p>
                  <w:p w14:paraId="6749FE42">
                    <w:pPr>
                      <w:spacing w:before="60" w:line="215" w:lineRule="auto"/>
                      <w:ind w:left="5259" w:right="170" w:firstLine="99"/>
                      <w:rPr>
                        <w:rFonts w:ascii="宋体" w:hAnsi="宋体" w:eastAsia="宋体" w:cs="宋体"/>
                        <w:sz w:val="18"/>
                        <w:szCs w:val="18"/>
                      </w:rPr>
                    </w:pPr>
                    <w:r>
                      <w:rPr>
                        <w:rFonts w:ascii="宋体" w:hAnsi="宋体" w:eastAsia="宋体" w:cs="宋体"/>
                        <w:color w:val="2B72DD"/>
                        <w:spacing w:val="-10"/>
                        <w:sz w:val="18"/>
                        <w:szCs w:val="18"/>
                      </w:rPr>
                      <w:t>智能交</w:t>
                    </w:r>
                    <w:r>
                      <w:rPr>
                        <w:rFonts w:ascii="宋体" w:hAnsi="宋体" w:eastAsia="宋体" w:cs="宋体"/>
                        <w:spacing w:val="-10"/>
                        <w:sz w:val="18"/>
                        <w:szCs w:val="18"/>
                      </w:rPr>
                      <w:t>通</w:t>
                    </w:r>
                    <w:r>
                      <w:rPr>
                        <w:rFonts w:ascii="宋体" w:hAnsi="宋体" w:eastAsia="宋体" w:cs="宋体"/>
                        <w:sz w:val="18"/>
                        <w:szCs w:val="18"/>
                      </w:rPr>
                      <w:t xml:space="preserve">  </w:t>
                    </w:r>
                    <w:r>
                      <w:rPr>
                        <w:rFonts w:ascii="宋体" w:hAnsi="宋体" w:eastAsia="宋体" w:cs="宋体"/>
                        <w:spacing w:val="-2"/>
                        <w:sz w:val="18"/>
                        <w:szCs w:val="18"/>
                      </w:rPr>
                      <w:t>停车场管理</w:t>
                    </w:r>
                  </w:p>
                  <w:p w14:paraId="3C9A1793">
                    <w:pPr>
                      <w:spacing w:line="216" w:lineRule="auto"/>
                      <w:ind w:left="5189" w:right="59" w:hanging="820"/>
                      <w:rPr>
                        <w:rFonts w:ascii="宋体" w:hAnsi="宋体" w:eastAsia="宋体" w:cs="宋体"/>
                        <w:sz w:val="18"/>
                        <w:szCs w:val="18"/>
                      </w:rPr>
                    </w:pPr>
                    <w:r>
                      <w:rPr>
                        <w:rFonts w:ascii="宋体" w:hAnsi="宋体" w:eastAsia="宋体" w:cs="宋体"/>
                        <w:spacing w:val="-10"/>
                        <w:sz w:val="18"/>
                        <w:szCs w:val="18"/>
                      </w:rPr>
                      <w:t>公共交通</w:t>
                    </w:r>
                    <w:r>
                      <w:rPr>
                        <w:rFonts w:ascii="宋体" w:hAnsi="宋体" w:eastAsia="宋体" w:cs="宋体"/>
                        <w:color w:val="0D7DDF"/>
                        <w:spacing w:val="-10"/>
                        <w:sz w:val="18"/>
                        <w:szCs w:val="18"/>
                      </w:rPr>
                      <w:t xml:space="preserve">| </w:t>
                    </w:r>
                    <w:r>
                      <w:rPr>
                        <w:rFonts w:ascii="宋体" w:hAnsi="宋体" w:eastAsia="宋体" w:cs="宋体"/>
                        <w:spacing w:val="-10"/>
                        <w:sz w:val="18"/>
                        <w:szCs w:val="18"/>
                      </w:rPr>
                      <w:t>高速公路监管</w:t>
                    </w:r>
                    <w:r>
                      <w:rPr>
                        <w:rFonts w:ascii="宋体" w:hAnsi="宋体" w:eastAsia="宋体" w:cs="宋体"/>
                        <w:spacing w:val="8"/>
                        <w:sz w:val="18"/>
                        <w:szCs w:val="18"/>
                      </w:rPr>
                      <w:t xml:space="preserve"> </w:t>
                    </w:r>
                    <w:r>
                      <w:rPr>
                        <w:rFonts w:ascii="宋体" w:hAnsi="宋体" w:eastAsia="宋体" w:cs="宋体"/>
                        <w:spacing w:val="-2"/>
                        <w:sz w:val="18"/>
                        <w:szCs w:val="18"/>
                      </w:rPr>
                      <w:t>船舶运输管理</w:t>
                    </w:r>
                    <w:r>
                      <w:rPr>
                        <w:rFonts w:ascii="宋体" w:hAnsi="宋体" w:eastAsia="宋体" w:cs="宋体"/>
                        <w:spacing w:val="3"/>
                        <w:sz w:val="18"/>
                        <w:szCs w:val="18"/>
                      </w:rPr>
                      <w:t xml:space="preserve"> </w:t>
                    </w:r>
                    <w:r>
                      <w:rPr>
                        <w:rFonts w:ascii="宋体" w:hAnsi="宋体" w:eastAsia="宋体" w:cs="宋体"/>
                        <w:spacing w:val="-5"/>
                        <w:sz w:val="18"/>
                        <w:szCs w:val="18"/>
                      </w:rPr>
                      <w:t>特种车辆监管</w:t>
                    </w:r>
                  </w:p>
                  <w:p w14:paraId="5AFDED18">
                    <w:pPr>
                      <w:spacing w:before="218" w:line="221" w:lineRule="auto"/>
                      <w:ind w:left="700"/>
                      <w:rPr>
                        <w:rFonts w:ascii="宋体" w:hAnsi="宋体" w:eastAsia="宋体" w:cs="宋体"/>
                        <w:sz w:val="18"/>
                        <w:szCs w:val="18"/>
                      </w:rPr>
                    </w:pPr>
                    <w:r>
                      <w:rPr>
                        <w:rFonts w:ascii="宋体" w:hAnsi="宋体" w:eastAsia="宋体" w:cs="宋体"/>
                        <w:spacing w:val="-3"/>
                        <w:sz w:val="18"/>
                        <w:szCs w:val="18"/>
                      </w:rPr>
                      <w:t>智能文旅</w:t>
                    </w:r>
                  </w:p>
                  <w:p w14:paraId="4EF57F2E">
                    <w:pPr>
                      <w:spacing w:before="73" w:line="215" w:lineRule="auto"/>
                      <w:ind w:left="180"/>
                      <w:rPr>
                        <w:rFonts w:ascii="宋体" w:hAnsi="宋体" w:eastAsia="宋体" w:cs="宋体"/>
                        <w:sz w:val="18"/>
                        <w:szCs w:val="18"/>
                      </w:rPr>
                    </w:pPr>
                    <w:r>
                      <w:rPr>
                        <w:rFonts w:ascii="宋体" w:hAnsi="宋体" w:eastAsia="宋体" w:cs="宋体"/>
                        <w:spacing w:val="-9"/>
                        <w:sz w:val="18"/>
                        <w:szCs w:val="18"/>
                      </w:rPr>
                      <w:t>旅游区智能服务</w:t>
                    </w:r>
                  </w:p>
                  <w:p w14:paraId="685D73A5">
                    <w:pPr>
                      <w:spacing w:before="1" w:line="217" w:lineRule="auto"/>
                      <w:ind w:left="20" w:right="4746"/>
                      <w:rPr>
                        <w:rFonts w:ascii="宋体" w:hAnsi="宋体" w:eastAsia="宋体" w:cs="宋体"/>
                        <w:sz w:val="18"/>
                        <w:szCs w:val="18"/>
                      </w:rPr>
                    </w:pPr>
                    <w:r>
                      <w:rPr>
                        <w:rFonts w:ascii="宋体" w:hAnsi="宋体" w:eastAsia="宋体" w:cs="宋体"/>
                        <w:spacing w:val="-9"/>
                        <w:sz w:val="18"/>
                        <w:szCs w:val="18"/>
                      </w:rPr>
                      <w:t>自行车无人值守租赁</w:t>
                    </w:r>
                    <w:r>
                      <w:rPr>
                        <w:rFonts w:ascii="宋体" w:hAnsi="宋体" w:eastAsia="宋体" w:cs="宋体"/>
                        <w:spacing w:val="3"/>
                        <w:sz w:val="18"/>
                        <w:szCs w:val="18"/>
                      </w:rPr>
                      <w:t xml:space="preserve"> </w:t>
                    </w:r>
                    <w:r>
                      <w:rPr>
                        <w:rFonts w:ascii="宋体" w:hAnsi="宋体" w:eastAsia="宋体" w:cs="宋体"/>
                        <w:spacing w:val="-8"/>
                        <w:sz w:val="18"/>
                        <w:szCs w:val="18"/>
                      </w:rPr>
                      <w:t>旅行车乘客识别管理</w:t>
                    </w:r>
                  </w:p>
                </w:txbxContent>
              </v:textbox>
            </v:shape>
            <v:shape id="_x0000_s1061" o:spid="_x0000_s1061" o:spt="202" type="#_x0000_t202" style="position:absolute;left:110;top:3427;height:681;width:1938;" filled="f" stroked="f" coordsize="21600,21600">
              <v:path/>
              <v:fill on="f" focussize="0,0"/>
              <v:stroke on="f"/>
              <v:imagedata o:title=""/>
              <o:lock v:ext="edit" aspectratio="f"/>
              <v:textbox inset="0mm,0mm,0mm,0mm">
                <w:txbxContent>
                  <w:p w14:paraId="493AC6FA">
                    <w:pPr>
                      <w:spacing w:before="19" w:line="195" w:lineRule="auto"/>
                      <w:ind w:left="20"/>
                      <w:rPr>
                        <w:rFonts w:ascii="宋体" w:hAnsi="宋体" w:eastAsia="宋体" w:cs="宋体"/>
                        <w:sz w:val="18"/>
                        <w:szCs w:val="18"/>
                      </w:rPr>
                    </w:pPr>
                    <w:r>
                      <w:rPr>
                        <w:rFonts w:ascii="宋体" w:hAnsi="宋体" w:eastAsia="宋体" w:cs="宋体"/>
                        <w:spacing w:val="-7"/>
                        <w:sz w:val="18"/>
                        <w:szCs w:val="18"/>
                      </w:rPr>
                      <w:t>智能生产流程</w:t>
                    </w:r>
                  </w:p>
                  <w:p w14:paraId="3D84A4B6">
                    <w:pPr>
                      <w:spacing w:line="230" w:lineRule="auto"/>
                      <w:ind w:right="20"/>
                      <w:jc w:val="right"/>
                      <w:rPr>
                        <w:rFonts w:ascii="宋体" w:hAnsi="宋体" w:eastAsia="宋体" w:cs="宋体"/>
                        <w:sz w:val="18"/>
                        <w:szCs w:val="18"/>
                      </w:rPr>
                    </w:pPr>
                    <w:r>
                      <w:rPr>
                        <w:rFonts w:ascii="宋体" w:hAnsi="宋体" w:eastAsia="宋体" w:cs="宋体"/>
                        <w:spacing w:val="-1"/>
                        <w:sz w:val="18"/>
                        <w:szCs w:val="18"/>
                      </w:rPr>
                      <w:t>智能仓储</w:t>
                    </w:r>
                    <w:r>
                      <w:rPr>
                        <w:rFonts w:ascii="宋体" w:hAnsi="宋体" w:eastAsia="宋体" w:cs="宋体"/>
                        <w:spacing w:val="14"/>
                        <w:sz w:val="18"/>
                        <w:szCs w:val="18"/>
                      </w:rPr>
                      <w:t xml:space="preserve">   </w:t>
                    </w:r>
                    <w:r>
                      <w:rPr>
                        <w:rFonts w:ascii="宋体" w:hAnsi="宋体" w:eastAsia="宋体" w:cs="宋体"/>
                        <w:spacing w:val="-1"/>
                        <w:sz w:val="18"/>
                        <w:szCs w:val="18"/>
                      </w:rPr>
                      <w:t>生产物流</w:t>
                    </w:r>
                  </w:p>
                  <w:p w14:paraId="65093B21">
                    <w:pPr>
                      <w:spacing w:before="46" w:line="221" w:lineRule="auto"/>
                      <w:ind w:left="169"/>
                      <w:rPr>
                        <w:rFonts w:ascii="宋体" w:hAnsi="宋体" w:eastAsia="宋体" w:cs="宋体"/>
                        <w:sz w:val="18"/>
                        <w:szCs w:val="18"/>
                      </w:rPr>
                    </w:pPr>
                    <w:r>
                      <w:rPr>
                        <w:rFonts w:ascii="宋体" w:hAnsi="宋体" w:eastAsia="宋体" w:cs="宋体"/>
                        <w:spacing w:val="-7"/>
                        <w:sz w:val="18"/>
                        <w:szCs w:val="18"/>
                      </w:rPr>
                      <w:t>智能物流</w:t>
                    </w:r>
                  </w:p>
                </w:txbxContent>
              </v:textbox>
            </v:shape>
            <v:shape id="_x0000_s1062" o:spid="_x0000_s1062" o:spt="202" type="#_x0000_t202" style="position:absolute;left:489;top:2097;height:730;width:1518;" filled="f" stroked="f" coordsize="21600,21600">
              <v:path/>
              <v:fill on="f" focussize="0,0"/>
              <v:stroke on="f"/>
              <v:imagedata o:title=""/>
              <o:lock v:ext="edit" aspectratio="f"/>
              <v:textbox inset="0mm,0mm,0mm,0mm">
                <w:txbxContent>
                  <w:p w14:paraId="5BF8FEAD">
                    <w:pPr>
                      <w:spacing w:before="20" w:line="169" w:lineRule="auto"/>
                      <w:ind w:left="20" w:right="20" w:firstLine="769"/>
                      <w:rPr>
                        <w:rFonts w:ascii="Times New Roman" w:hAnsi="Times New Roman" w:eastAsia="Times New Roman" w:cs="Times New Roman"/>
                        <w:sz w:val="18"/>
                        <w:szCs w:val="18"/>
                      </w:rPr>
                    </w:pPr>
                    <w:r>
                      <w:rPr>
                        <w:rFonts w:ascii="宋体" w:hAnsi="宋体" w:eastAsia="宋体" w:cs="宋体"/>
                        <w:spacing w:val="-3"/>
                        <w:sz w:val="18"/>
                        <w:szCs w:val="18"/>
                      </w:rPr>
                      <w:t>智能商业</w:t>
                    </w:r>
                    <w:r>
                      <w:rPr>
                        <w:rFonts w:ascii="宋体" w:hAnsi="宋体" w:eastAsia="宋体" w:cs="宋体"/>
                        <w:sz w:val="18"/>
                        <w:szCs w:val="18"/>
                      </w:rPr>
                      <w:t xml:space="preserve"> </w:t>
                    </w:r>
                    <w:r>
                      <w:rPr>
                        <w:rFonts w:ascii="宋体" w:hAnsi="宋体" w:eastAsia="宋体" w:cs="宋体"/>
                        <w:spacing w:val="-3"/>
                        <w:sz w:val="18"/>
                        <w:szCs w:val="18"/>
                      </w:rPr>
                      <w:t>智能楼宇</w:t>
                    </w:r>
                    <w:r>
                      <w:rPr>
                        <w:rFonts w:ascii="Times New Roman" w:hAnsi="Times New Roman" w:eastAsia="Times New Roman" w:cs="Times New Roman"/>
                        <w:color w:val="2B8FE7"/>
                        <w:spacing w:val="-3"/>
                        <w:sz w:val="18"/>
                        <w:szCs w:val="18"/>
                      </w:rPr>
                      <w:t>L</w:t>
                    </w:r>
                  </w:p>
                  <w:p w14:paraId="29A9D943">
                    <w:pPr>
                      <w:spacing w:before="1" w:line="201" w:lineRule="auto"/>
                      <w:ind w:left="20" w:right="789"/>
                      <w:rPr>
                        <w:rFonts w:ascii="宋体" w:hAnsi="宋体" w:eastAsia="宋体" w:cs="宋体"/>
                        <w:sz w:val="18"/>
                        <w:szCs w:val="18"/>
                      </w:rPr>
                    </w:pPr>
                    <w:r>
                      <w:rPr>
                        <w:rFonts w:ascii="宋体" w:hAnsi="宋体" w:eastAsia="宋体" w:cs="宋体"/>
                        <w:spacing w:val="-3"/>
                        <w:sz w:val="18"/>
                        <w:szCs w:val="18"/>
                      </w:rPr>
                      <w:t>智能商圈</w:t>
                    </w:r>
                    <w:r>
                      <w:rPr>
                        <w:rFonts w:ascii="宋体" w:hAnsi="宋体" w:eastAsia="宋体" w:cs="宋体"/>
                        <w:sz w:val="18"/>
                        <w:szCs w:val="18"/>
                      </w:rPr>
                      <w:t xml:space="preserve"> </w:t>
                    </w:r>
                    <w:r>
                      <w:rPr>
                        <w:rFonts w:ascii="宋体" w:hAnsi="宋体" w:eastAsia="宋体" w:cs="宋体"/>
                        <w:spacing w:val="-3"/>
                        <w:sz w:val="18"/>
                        <w:szCs w:val="18"/>
                      </w:rPr>
                      <w:t>实时信息</w:t>
                    </w:r>
                  </w:p>
                </w:txbxContent>
              </v:textbox>
            </v:shape>
            <v:shape id="_x0000_s1063" o:spid="_x0000_s1063" o:spt="202" type="#_x0000_t202" style="position:absolute;left:1680;top:517;height:1150;width:786;" filled="f" stroked="f" coordsize="21600,21600">
              <v:path/>
              <v:fill on="f" focussize="0,0"/>
              <v:stroke on="f"/>
              <v:imagedata o:title=""/>
              <o:lock v:ext="edit" aspectratio="f"/>
              <v:textbox inset="0mm,0mm,0mm,0mm">
                <w:txbxContent>
                  <w:p w14:paraId="3E63382D">
                    <w:pPr>
                      <w:spacing w:before="19" w:line="235" w:lineRule="auto"/>
                      <w:ind w:left="20" w:right="20"/>
                      <w:jc w:val="both"/>
                      <w:rPr>
                        <w:rFonts w:ascii="宋体" w:hAnsi="宋体" w:eastAsia="宋体" w:cs="宋体"/>
                        <w:sz w:val="18"/>
                        <w:szCs w:val="18"/>
                      </w:rPr>
                    </w:pPr>
                    <w:r>
                      <w:rPr>
                        <w:rFonts w:ascii="宋体" w:hAnsi="宋体" w:eastAsia="宋体" w:cs="宋体"/>
                        <w:spacing w:val="6"/>
                        <w:sz w:val="18"/>
                        <w:szCs w:val="18"/>
                      </w:rPr>
                      <w:t>医疗管理</w:t>
                    </w:r>
                    <w:r>
                      <w:rPr>
                        <w:rFonts w:ascii="宋体" w:hAnsi="宋体" w:eastAsia="宋体" w:cs="宋体"/>
                        <w:spacing w:val="1"/>
                        <w:sz w:val="18"/>
                        <w:szCs w:val="18"/>
                      </w:rPr>
                      <w:t xml:space="preserve"> </w:t>
                    </w:r>
                    <w:r>
                      <w:rPr>
                        <w:rFonts w:ascii="宋体" w:hAnsi="宋体" w:eastAsia="宋体" w:cs="宋体"/>
                        <w:spacing w:val="-2"/>
                        <w:sz w:val="18"/>
                        <w:szCs w:val="18"/>
                      </w:rPr>
                      <w:t>远程医疗</w:t>
                    </w:r>
                    <w:r>
                      <w:rPr>
                        <w:rFonts w:ascii="宋体" w:hAnsi="宋体" w:eastAsia="宋体" w:cs="宋体"/>
                        <w:sz w:val="18"/>
                        <w:szCs w:val="18"/>
                      </w:rPr>
                      <w:t xml:space="preserve"> </w:t>
                    </w:r>
                    <w:r>
                      <w:rPr>
                        <w:rFonts w:ascii="宋体" w:hAnsi="宋体" w:eastAsia="宋体" w:cs="宋体"/>
                        <w:spacing w:val="-3"/>
                        <w:sz w:val="18"/>
                        <w:szCs w:val="18"/>
                      </w:rPr>
                      <w:t>家庭养老</w:t>
                    </w:r>
                    <w:r>
                      <w:rPr>
                        <w:rFonts w:ascii="宋体" w:hAnsi="宋体" w:eastAsia="宋体" w:cs="宋体"/>
                        <w:spacing w:val="2"/>
                        <w:sz w:val="18"/>
                        <w:szCs w:val="18"/>
                      </w:rPr>
                      <w:t xml:space="preserve"> </w:t>
                    </w:r>
                    <w:r>
                      <w:rPr>
                        <w:rFonts w:ascii="宋体" w:hAnsi="宋体" w:eastAsia="宋体" w:cs="宋体"/>
                        <w:spacing w:val="-3"/>
                        <w:sz w:val="18"/>
                        <w:szCs w:val="18"/>
                      </w:rPr>
                      <w:t>辅助诊断</w:t>
                    </w:r>
                    <w:r>
                      <w:rPr>
                        <w:rFonts w:ascii="宋体" w:hAnsi="宋体" w:eastAsia="宋体" w:cs="宋体"/>
                        <w:spacing w:val="2"/>
                        <w:sz w:val="18"/>
                        <w:szCs w:val="18"/>
                      </w:rPr>
                      <w:t xml:space="preserve"> 医疗卫生</w:t>
                    </w:r>
                  </w:p>
                </w:txbxContent>
              </v:textbox>
            </v:shape>
            <v:shape id="_x0000_s1064" o:spid="_x0000_s1064" o:spt="202" type="#_x0000_t202" style="position:absolute;left:4940;top:4617;height:950;width:788;" filled="f" stroked="f" coordsize="21600,21600">
              <v:path/>
              <v:fill on="f" focussize="0,0"/>
              <v:stroke on="f"/>
              <v:imagedata o:title=""/>
              <o:lock v:ext="edit" aspectratio="f"/>
              <v:textbox inset="0mm,0mm,0mm,0mm">
                <w:txbxContent>
                  <w:p w14:paraId="6278C987">
                    <w:pPr>
                      <w:spacing w:before="20" w:line="219" w:lineRule="auto"/>
                      <w:ind w:left="20"/>
                      <w:rPr>
                        <w:rFonts w:ascii="宋体" w:hAnsi="宋体" w:eastAsia="宋体" w:cs="宋体"/>
                        <w:sz w:val="18"/>
                        <w:szCs w:val="18"/>
                      </w:rPr>
                    </w:pPr>
                    <w:r>
                      <w:rPr>
                        <w:rFonts w:ascii="宋体" w:hAnsi="宋体" w:eastAsia="宋体" w:cs="宋体"/>
                        <w:spacing w:val="-3"/>
                        <w:sz w:val="18"/>
                        <w:szCs w:val="18"/>
                      </w:rPr>
                      <w:t>智能电力</w:t>
                    </w:r>
                  </w:p>
                  <w:p w14:paraId="78CA670B">
                    <w:pPr>
                      <w:spacing w:before="108" w:line="213" w:lineRule="auto"/>
                      <w:ind w:left="20" w:right="20"/>
                      <w:jc w:val="both"/>
                      <w:rPr>
                        <w:rFonts w:ascii="宋体" w:hAnsi="宋体" w:eastAsia="宋体" w:cs="宋体"/>
                        <w:sz w:val="18"/>
                        <w:szCs w:val="18"/>
                      </w:rPr>
                    </w:pPr>
                    <w:r>
                      <w:rPr>
                        <w:rFonts w:ascii="宋体" w:hAnsi="宋体" w:eastAsia="宋体" w:cs="宋体"/>
                        <w:spacing w:val="6"/>
                        <w:sz w:val="18"/>
                        <w:szCs w:val="18"/>
                      </w:rPr>
                      <w:t>智能电网</w:t>
                    </w:r>
                    <w:r>
                      <w:rPr>
                        <w:rFonts w:ascii="宋体" w:hAnsi="宋体" w:eastAsia="宋体" w:cs="宋体"/>
                        <w:spacing w:val="2"/>
                        <w:sz w:val="18"/>
                        <w:szCs w:val="18"/>
                      </w:rPr>
                      <w:t xml:space="preserve"> </w:t>
                    </w:r>
                    <w:r>
                      <w:rPr>
                        <w:rFonts w:ascii="宋体" w:hAnsi="宋体" w:eastAsia="宋体" w:cs="宋体"/>
                        <w:spacing w:val="-2"/>
                        <w:sz w:val="18"/>
                        <w:szCs w:val="18"/>
                      </w:rPr>
                      <w:t>远程抄表</w:t>
                    </w:r>
                    <w:r>
                      <w:rPr>
                        <w:rFonts w:ascii="宋体" w:hAnsi="宋体" w:eastAsia="宋体" w:cs="宋体"/>
                        <w:sz w:val="18"/>
                        <w:szCs w:val="18"/>
                      </w:rPr>
                      <w:t xml:space="preserve"> </w:t>
                    </w:r>
                    <w:r>
                      <w:rPr>
                        <w:rFonts w:ascii="宋体" w:hAnsi="宋体" w:eastAsia="宋体" w:cs="宋体"/>
                        <w:spacing w:val="-3"/>
                        <w:sz w:val="18"/>
                        <w:szCs w:val="18"/>
                      </w:rPr>
                      <w:t>智能监控</w:t>
                    </w:r>
                  </w:p>
                </w:txbxContent>
              </v:textbox>
            </v:shape>
            <v:shape id="_x0000_s1065" o:spid="_x0000_s1065" o:spt="202" type="#_x0000_t202" style="position:absolute;left:5109;top:607;height:960;width:754;" filled="f" stroked="f" coordsize="21600,21600">
              <v:path/>
              <v:fill on="f" focussize="0,0"/>
              <v:stroke on="f"/>
              <v:imagedata o:title=""/>
              <o:lock v:ext="edit" aspectratio="f"/>
              <v:textbox inset="0mm,0mm,0mm,0mm">
                <w:txbxContent>
                  <w:p w14:paraId="022E2ACA">
                    <w:pPr>
                      <w:spacing w:before="21" w:line="216" w:lineRule="auto"/>
                      <w:ind w:left="20" w:right="20"/>
                      <w:jc w:val="both"/>
                      <w:rPr>
                        <w:rFonts w:ascii="宋体" w:hAnsi="宋体" w:eastAsia="宋体" w:cs="宋体"/>
                        <w:sz w:val="18"/>
                        <w:szCs w:val="18"/>
                      </w:rPr>
                    </w:pPr>
                    <w:r>
                      <w:rPr>
                        <w:rFonts w:ascii="宋体" w:hAnsi="宋体" w:eastAsia="宋体" w:cs="宋体"/>
                        <w:spacing w:val="-2"/>
                        <w:sz w:val="18"/>
                        <w:szCs w:val="18"/>
                      </w:rPr>
                      <w:t>平安校园</w:t>
                    </w:r>
                    <w:r>
                      <w:rPr>
                        <w:rFonts w:ascii="宋体" w:hAnsi="宋体" w:eastAsia="宋体" w:cs="宋体"/>
                        <w:sz w:val="18"/>
                        <w:szCs w:val="18"/>
                      </w:rPr>
                      <w:t xml:space="preserve"> </w:t>
                    </w:r>
                    <w:r>
                      <w:rPr>
                        <w:rFonts w:ascii="宋体" w:hAnsi="宋体" w:eastAsia="宋体" w:cs="宋体"/>
                        <w:spacing w:val="-3"/>
                        <w:sz w:val="18"/>
                        <w:szCs w:val="18"/>
                      </w:rPr>
                      <w:t>智能食堂</w:t>
                    </w:r>
                    <w:r>
                      <w:rPr>
                        <w:rFonts w:ascii="宋体" w:hAnsi="宋体" w:eastAsia="宋体" w:cs="宋体"/>
                        <w:sz w:val="18"/>
                        <w:szCs w:val="18"/>
                      </w:rPr>
                      <w:t xml:space="preserve"> </w:t>
                    </w:r>
                    <w:r>
                      <w:rPr>
                        <w:rFonts w:ascii="宋体" w:hAnsi="宋体" w:eastAsia="宋体" w:cs="宋体"/>
                        <w:spacing w:val="-3"/>
                        <w:sz w:val="18"/>
                        <w:szCs w:val="18"/>
                      </w:rPr>
                      <w:t>资产管理</w:t>
                    </w:r>
                  </w:p>
                  <w:p w14:paraId="61D2472C">
                    <w:pPr>
                      <w:spacing w:before="106" w:line="220" w:lineRule="auto"/>
                      <w:ind w:left="20"/>
                      <w:rPr>
                        <w:rFonts w:ascii="宋体" w:hAnsi="宋体" w:eastAsia="宋体" w:cs="宋体"/>
                        <w:sz w:val="18"/>
                        <w:szCs w:val="18"/>
                      </w:rPr>
                    </w:pPr>
                    <w:r>
                      <w:rPr>
                        <w:rFonts w:ascii="宋体" w:hAnsi="宋体" w:eastAsia="宋体" w:cs="宋体"/>
                        <w:spacing w:val="-3"/>
                        <w:sz w:val="18"/>
                        <w:szCs w:val="18"/>
                      </w:rPr>
                      <w:t>智慧校园</w:t>
                    </w:r>
                  </w:p>
                </w:txbxContent>
              </v:textbox>
            </v:shape>
            <v:shape id="_x0000_s1066" o:spid="_x0000_s1066" o:spt="202" type="#_x0000_t202" style="position:absolute;left:489;top:1787;height:400;width:750;" filled="f" stroked="f" coordsize="21600,21600">
              <v:path/>
              <v:fill on="f" focussize="0,0"/>
              <v:stroke on="f"/>
              <v:imagedata o:title=""/>
              <o:lock v:ext="edit" aspectratio="f"/>
              <v:textbox inset="0mm,0mm,0mm,0mm">
                <w:txbxContent>
                  <w:p w14:paraId="4AB60F86">
                    <w:pPr>
                      <w:spacing w:before="20" w:line="184" w:lineRule="auto"/>
                      <w:ind w:left="20" w:right="20"/>
                      <w:rPr>
                        <w:rFonts w:ascii="宋体" w:hAnsi="宋体" w:eastAsia="宋体" w:cs="宋体"/>
                        <w:sz w:val="18"/>
                        <w:szCs w:val="18"/>
                      </w:rPr>
                    </w:pPr>
                    <w:r>
                      <w:rPr>
                        <w:rFonts w:ascii="宋体" w:hAnsi="宋体" w:eastAsia="宋体" w:cs="宋体"/>
                        <w:spacing w:val="-3"/>
                        <w:sz w:val="18"/>
                        <w:szCs w:val="18"/>
                      </w:rPr>
                      <w:t>商业导航</w:t>
                    </w:r>
                    <w:r>
                      <w:rPr>
                        <w:rFonts w:ascii="宋体" w:hAnsi="宋体" w:eastAsia="宋体" w:cs="宋体"/>
                        <w:sz w:val="18"/>
                        <w:szCs w:val="18"/>
                      </w:rPr>
                      <w:t xml:space="preserve"> </w:t>
                    </w:r>
                    <w:r>
                      <w:rPr>
                        <w:rFonts w:ascii="宋体" w:hAnsi="宋体" w:eastAsia="宋体" w:cs="宋体"/>
                        <w:spacing w:val="-3"/>
                        <w:sz w:val="18"/>
                        <w:szCs w:val="18"/>
                      </w:rPr>
                      <w:t>小额支付</w:t>
                    </w:r>
                  </w:p>
                </w:txbxContent>
              </v:textbox>
            </v:shape>
            <v:shape id="_x0000_s1067" o:spid="_x0000_s1067" o:spt="202" type="#_x0000_t202" style="position:absolute;left:3540;top:2648;height:430;width:572;" filled="f" stroked="f" coordsize="21600,21600">
              <v:path/>
              <v:fill on="f" focussize="0,0"/>
              <v:stroke on="f"/>
              <v:imagedata o:title=""/>
              <o:lock v:ext="edit" aspectratio="f"/>
              <v:textbox inset="0mm,0mm,0mm,0mm">
                <w:txbxContent>
                  <w:p w14:paraId="09FB8319">
                    <w:pPr>
                      <w:spacing w:before="20" w:line="218" w:lineRule="auto"/>
                      <w:ind w:left="98" w:right="20" w:hanging="79"/>
                      <w:rPr>
                        <w:rFonts w:ascii="宋体" w:hAnsi="宋体" w:eastAsia="宋体" w:cs="宋体"/>
                        <w:sz w:val="18"/>
                        <w:szCs w:val="18"/>
                      </w:rPr>
                    </w:pPr>
                    <w:r>
                      <w:rPr>
                        <w:rFonts w:ascii="宋体" w:hAnsi="宋体" w:eastAsia="宋体" w:cs="宋体"/>
                        <w:spacing w:val="-3"/>
                        <w:sz w:val="18"/>
                        <w:szCs w:val="18"/>
                      </w:rPr>
                      <w:t>物联网</w:t>
                    </w:r>
                    <w:r>
                      <w:rPr>
                        <w:rFonts w:ascii="宋体" w:hAnsi="宋体" w:eastAsia="宋体" w:cs="宋体"/>
                        <w:sz w:val="18"/>
                        <w:szCs w:val="18"/>
                      </w:rPr>
                      <w:t xml:space="preserve"> </w:t>
                    </w:r>
                    <w:r>
                      <w:rPr>
                        <w:rFonts w:ascii="宋体" w:hAnsi="宋体" w:eastAsia="宋体" w:cs="宋体"/>
                        <w:spacing w:val="-2"/>
                        <w:sz w:val="18"/>
                        <w:szCs w:val="18"/>
                      </w:rPr>
                      <w:t>应用</w:t>
                    </w:r>
                  </w:p>
                </w:txbxContent>
              </v:textbox>
            </v:shape>
            <v:shape id="_x0000_s1068" o:spid="_x0000_s1068" o:spt="202" type="#_x0000_t202" style="position:absolute;left:4560;top:3587;height:220;width:477;" filled="f" stroked="f" coordsize="21600,21600">
              <v:path/>
              <v:fill on="f" focussize="0,0"/>
              <v:stroke on="f"/>
              <v:imagedata o:title=""/>
              <o:lock v:ext="edit" aspectratio="f"/>
              <v:textbox inset="0mm,0mm,0mm,0mm">
                <w:txbxContent>
                  <w:p w14:paraId="310C8693">
                    <w:pPr>
                      <w:spacing w:before="20" w:line="219" w:lineRule="auto"/>
                      <w:ind w:left="20"/>
                      <w:rPr>
                        <w:rFonts w:ascii="宋体" w:hAnsi="宋体" w:eastAsia="宋体" w:cs="宋体"/>
                        <w:sz w:val="18"/>
                        <w:szCs w:val="18"/>
                      </w:rPr>
                    </w:pPr>
                    <w:r>
                      <w:rPr>
                        <w:rFonts w:ascii="宋体" w:hAnsi="宋体" w:eastAsia="宋体" w:cs="宋体"/>
                        <w:spacing w:val="-4"/>
                        <w:sz w:val="18"/>
                        <w:szCs w:val="18"/>
                      </w:rPr>
                      <w:t>公共)</w:t>
                    </w:r>
                  </w:p>
                </w:txbxContent>
              </v:textbox>
            </v:shape>
            <v:shape id="_x0000_s1069" o:spid="_x0000_s1069" o:spt="202" type="#_x0000_t202" style="position:absolute;left:2689;top:3607;height:220;width:467;" filled="f" stroked="f" coordsize="21600,21600">
              <v:path/>
              <v:fill on="f" focussize="0,0"/>
              <v:stroke on="f"/>
              <v:imagedata o:title=""/>
              <o:lock v:ext="edit" aspectratio="f"/>
              <v:textbox inset="0mm,0mm,0mm,0mm">
                <w:txbxContent>
                  <w:p w14:paraId="71F65027">
                    <w:pPr>
                      <w:spacing w:before="20" w:line="219" w:lineRule="auto"/>
                      <w:ind w:left="20"/>
                      <w:rPr>
                        <w:rFonts w:ascii="宋体" w:hAnsi="宋体" w:eastAsia="宋体" w:cs="宋体"/>
                        <w:sz w:val="18"/>
                        <w:szCs w:val="18"/>
                      </w:rPr>
                    </w:pPr>
                    <w:r>
                      <w:rPr>
                        <w:rFonts w:ascii="宋体" w:hAnsi="宋体" w:eastAsia="宋体" w:cs="宋体"/>
                        <w:spacing w:val="-4"/>
                        <w:sz w:val="18"/>
                        <w:szCs w:val="18"/>
                      </w:rPr>
                      <w:t>产</w:t>
                    </w:r>
                    <w:r>
                      <w:rPr>
                        <w:rFonts w:ascii="宋体" w:hAnsi="宋体" w:eastAsia="宋体" w:cs="宋体"/>
                        <w:spacing w:val="-11"/>
                        <w:sz w:val="18"/>
                        <w:szCs w:val="18"/>
                      </w:rPr>
                      <w:t xml:space="preserve"> </w:t>
                    </w:r>
                    <w:r>
                      <w:rPr>
                        <w:rFonts w:ascii="宋体" w:hAnsi="宋体" w:eastAsia="宋体" w:cs="宋体"/>
                        <w:spacing w:val="-4"/>
                        <w:sz w:val="18"/>
                        <w:szCs w:val="18"/>
                      </w:rPr>
                      <w:t>业</w:t>
                    </w:r>
                  </w:p>
                </w:txbxContent>
              </v:textbox>
            </v:shape>
            <w10:wrap type="none"/>
            <w10:anchorlock/>
          </v:group>
        </w:pict>
      </w:r>
    </w:p>
    <w:p w14:paraId="2B51BE22">
      <w:pPr>
        <w:pStyle w:val="2"/>
        <w:spacing w:before="77" w:line="219" w:lineRule="auto"/>
        <w:ind w:left="3050"/>
        <w:rPr>
          <w:sz w:val="18"/>
          <w:szCs w:val="18"/>
        </w:rPr>
      </w:pPr>
      <w:r>
        <w:rPr>
          <w:sz w:val="18"/>
          <w:szCs w:val="18"/>
        </w:rPr>
        <w:t>图1-6</w:t>
      </w:r>
      <w:r>
        <w:rPr>
          <w:spacing w:val="72"/>
          <w:sz w:val="18"/>
          <w:szCs w:val="18"/>
        </w:rPr>
        <w:t xml:space="preserve"> </w:t>
      </w:r>
      <w:r>
        <w:rPr>
          <w:sz w:val="18"/>
          <w:szCs w:val="18"/>
        </w:rPr>
        <w:t>物联网按照应用领域的分类</w:t>
      </w:r>
    </w:p>
    <w:p w14:paraId="4C7D4F36">
      <w:pPr>
        <w:spacing w:before="292" w:line="224" w:lineRule="auto"/>
        <w:ind w:left="680"/>
        <w:rPr>
          <w:rFonts w:ascii="楷体" w:hAnsi="楷体" w:eastAsia="楷体" w:cs="楷体"/>
          <w:sz w:val="18"/>
          <w:szCs w:val="18"/>
        </w:rPr>
      </w:pPr>
      <w:r>
        <w:rPr>
          <w:rFonts w:ascii="楷体" w:hAnsi="楷体" w:eastAsia="楷体" w:cs="楷体"/>
          <w:spacing w:val="22"/>
          <w:sz w:val="18"/>
          <w:szCs w:val="18"/>
        </w:rPr>
        <w:t>3)基于物联网业务对传输速率的需求分类</w:t>
      </w:r>
    </w:p>
    <w:p w14:paraId="5FEA4874">
      <w:pPr>
        <w:pStyle w:val="2"/>
        <w:spacing w:before="84" w:line="327" w:lineRule="auto"/>
        <w:ind w:left="299" w:firstLine="380"/>
        <w:rPr>
          <w:sz w:val="18"/>
          <w:szCs w:val="18"/>
        </w:rPr>
      </w:pPr>
      <w:r>
        <w:rPr>
          <w:spacing w:val="19"/>
          <w:sz w:val="18"/>
          <w:szCs w:val="18"/>
        </w:rPr>
        <w:t>基于物联网业务对传输速率的需求不同，物联网业务可分为高速率、中速率及低速率业务，</w:t>
      </w:r>
      <w:r>
        <w:rPr>
          <w:spacing w:val="9"/>
          <w:sz w:val="18"/>
          <w:szCs w:val="18"/>
        </w:rPr>
        <w:t xml:space="preserve"> </w:t>
      </w:r>
      <w:r>
        <w:rPr>
          <w:spacing w:val="19"/>
          <w:sz w:val="18"/>
          <w:szCs w:val="18"/>
        </w:rPr>
        <w:t>具体如表1-2所示。</w:t>
      </w:r>
    </w:p>
    <w:p w14:paraId="327EE00C">
      <w:pPr>
        <w:spacing w:before="59" w:line="221" w:lineRule="auto"/>
        <w:ind w:left="2692"/>
        <w:rPr>
          <w:rFonts w:ascii="黑体" w:hAnsi="黑体" w:eastAsia="黑体" w:cs="黑体"/>
          <w:sz w:val="18"/>
          <w:szCs w:val="18"/>
        </w:rPr>
      </w:pPr>
      <w:r>
        <w:rPr>
          <w:rFonts w:ascii="黑体" w:hAnsi="黑体" w:eastAsia="黑体" w:cs="黑体"/>
          <w:b/>
          <w:bCs/>
          <w:spacing w:val="-1"/>
          <w:sz w:val="18"/>
          <w:szCs w:val="18"/>
        </w:rPr>
        <w:t>表1-2</w:t>
      </w:r>
      <w:r>
        <w:rPr>
          <w:rFonts w:ascii="黑体" w:hAnsi="黑体" w:eastAsia="黑体" w:cs="黑体"/>
          <w:spacing w:val="75"/>
          <w:sz w:val="18"/>
          <w:szCs w:val="18"/>
        </w:rPr>
        <w:t xml:space="preserve"> </w:t>
      </w:r>
      <w:r>
        <w:rPr>
          <w:rFonts w:ascii="黑体" w:hAnsi="黑体" w:eastAsia="黑体" w:cs="黑体"/>
          <w:b/>
          <w:bCs/>
          <w:spacing w:val="-1"/>
          <w:sz w:val="18"/>
          <w:szCs w:val="18"/>
        </w:rPr>
        <w:t>物联网业务基于传输速率需求的分类</w:t>
      </w:r>
    </w:p>
    <w:p w14:paraId="431578F4">
      <w:pPr>
        <w:spacing w:line="126" w:lineRule="exact"/>
      </w:pPr>
    </w:p>
    <w:tbl>
      <w:tblPr>
        <w:tblStyle w:val="5"/>
        <w:tblW w:w="8330" w:type="dxa"/>
        <w:tblInd w:w="2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1020"/>
        <w:gridCol w:w="890"/>
        <w:gridCol w:w="2270"/>
        <w:gridCol w:w="1730"/>
        <w:gridCol w:w="1520"/>
      </w:tblGrid>
      <w:tr w14:paraId="65893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900" w:type="dxa"/>
            <w:tcBorders>
              <w:left w:val="nil"/>
            </w:tcBorders>
            <w:vAlign w:val="top"/>
          </w:tcPr>
          <w:p w14:paraId="47D813F2">
            <w:pPr>
              <w:pStyle w:val="6"/>
              <w:spacing w:before="70" w:line="219" w:lineRule="auto"/>
              <w:ind w:left="72"/>
            </w:pPr>
            <w:r>
              <w:rPr>
                <w:b/>
                <w:bCs/>
                <w:spacing w:val="-4"/>
              </w:rPr>
              <w:t>业务分类</w:t>
            </w:r>
          </w:p>
        </w:tc>
        <w:tc>
          <w:tcPr>
            <w:tcW w:w="1020" w:type="dxa"/>
            <w:vAlign w:val="top"/>
          </w:tcPr>
          <w:p w14:paraId="6B1A4023">
            <w:pPr>
              <w:pStyle w:val="6"/>
              <w:spacing w:before="70" w:line="220" w:lineRule="auto"/>
              <w:ind w:left="127"/>
            </w:pPr>
            <w:r>
              <w:rPr>
                <w:b/>
                <w:bCs/>
                <w:spacing w:val="-4"/>
              </w:rPr>
              <w:t>速度要求</w:t>
            </w:r>
          </w:p>
        </w:tc>
        <w:tc>
          <w:tcPr>
            <w:tcW w:w="890" w:type="dxa"/>
            <w:vAlign w:val="top"/>
          </w:tcPr>
          <w:p w14:paraId="0D2D5E0E">
            <w:pPr>
              <w:pStyle w:val="6"/>
              <w:spacing w:before="70" w:line="219" w:lineRule="auto"/>
              <w:ind w:left="57"/>
            </w:pPr>
            <w:r>
              <w:rPr>
                <w:b/>
                <w:bCs/>
                <w:spacing w:val="-4"/>
              </w:rPr>
              <w:t>业务占比</w:t>
            </w:r>
          </w:p>
        </w:tc>
        <w:tc>
          <w:tcPr>
            <w:tcW w:w="2270" w:type="dxa"/>
            <w:vAlign w:val="top"/>
          </w:tcPr>
          <w:p w14:paraId="0C2B73F2">
            <w:pPr>
              <w:pStyle w:val="6"/>
              <w:spacing w:before="70" w:line="219" w:lineRule="auto"/>
              <w:ind w:left="747"/>
            </w:pPr>
            <w:r>
              <w:rPr>
                <w:b/>
                <w:bCs/>
                <w:spacing w:val="-4"/>
              </w:rPr>
              <w:t>应用场景</w:t>
            </w:r>
          </w:p>
        </w:tc>
        <w:tc>
          <w:tcPr>
            <w:tcW w:w="1730" w:type="dxa"/>
            <w:vAlign w:val="top"/>
          </w:tcPr>
          <w:p w14:paraId="2E7F8328">
            <w:pPr>
              <w:pStyle w:val="6"/>
              <w:spacing w:before="70" w:line="219" w:lineRule="auto"/>
              <w:ind w:left="167"/>
            </w:pPr>
            <w:r>
              <w:rPr>
                <w:b/>
                <w:bCs/>
                <w:spacing w:val="-2"/>
              </w:rPr>
              <w:t>网络接入技术要求</w:t>
            </w:r>
          </w:p>
        </w:tc>
        <w:tc>
          <w:tcPr>
            <w:tcW w:w="1520" w:type="dxa"/>
            <w:tcBorders>
              <w:right w:val="nil"/>
            </w:tcBorders>
            <w:vAlign w:val="top"/>
          </w:tcPr>
          <w:p w14:paraId="4DF24ED0">
            <w:pPr>
              <w:pStyle w:val="6"/>
              <w:spacing w:before="68" w:line="219" w:lineRule="auto"/>
              <w:ind w:left="317"/>
            </w:pPr>
            <w:r>
              <w:rPr>
                <w:b/>
                <w:bCs/>
                <w:spacing w:val="-4"/>
              </w:rPr>
              <w:t>可采用技术</w:t>
            </w:r>
          </w:p>
        </w:tc>
      </w:tr>
      <w:tr w14:paraId="45409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900" w:type="dxa"/>
            <w:tcBorders>
              <w:left w:val="nil"/>
            </w:tcBorders>
            <w:vAlign w:val="top"/>
          </w:tcPr>
          <w:p w14:paraId="30F7A51A">
            <w:pPr>
              <w:spacing w:line="265" w:lineRule="auto"/>
              <w:rPr>
                <w:rFonts w:ascii="Arial"/>
                <w:sz w:val="21"/>
              </w:rPr>
            </w:pPr>
          </w:p>
          <w:p w14:paraId="28D40EC4">
            <w:pPr>
              <w:pStyle w:val="6"/>
              <w:spacing w:before="62" w:line="219" w:lineRule="auto"/>
              <w:ind w:left="160"/>
            </w:pPr>
            <w:r>
              <w:rPr>
                <w:spacing w:val="2"/>
              </w:rPr>
              <w:t>高速率</w:t>
            </w:r>
          </w:p>
        </w:tc>
        <w:tc>
          <w:tcPr>
            <w:tcW w:w="1020" w:type="dxa"/>
            <w:vAlign w:val="top"/>
          </w:tcPr>
          <w:p w14:paraId="0B62F37E">
            <w:pPr>
              <w:spacing w:line="270" w:lineRule="auto"/>
              <w:rPr>
                <w:rFonts w:ascii="Arial"/>
                <w:sz w:val="21"/>
              </w:rPr>
            </w:pPr>
          </w:p>
          <w:p w14:paraId="422271E1">
            <w:pPr>
              <w:pStyle w:val="6"/>
              <w:spacing w:before="62" w:line="224" w:lineRule="auto"/>
              <w:ind w:left="164"/>
            </w:pPr>
            <w:r>
              <w:rPr>
                <w:spacing w:val="-2"/>
              </w:rPr>
              <w:t>&gt;10Mb/s</w:t>
            </w:r>
          </w:p>
        </w:tc>
        <w:tc>
          <w:tcPr>
            <w:tcW w:w="890" w:type="dxa"/>
            <w:vAlign w:val="top"/>
          </w:tcPr>
          <w:p w14:paraId="6DEC63DC">
            <w:pPr>
              <w:spacing w:line="313" w:lineRule="auto"/>
              <w:rPr>
                <w:rFonts w:ascii="Arial"/>
                <w:sz w:val="21"/>
              </w:rPr>
            </w:pPr>
          </w:p>
          <w:p w14:paraId="4C331EA7">
            <w:pPr>
              <w:pStyle w:val="6"/>
              <w:spacing w:before="61" w:line="184" w:lineRule="auto"/>
              <w:ind w:left="294"/>
            </w:pPr>
            <w:r>
              <w:rPr>
                <w:spacing w:val="-5"/>
              </w:rPr>
              <w:t>10%</w:t>
            </w:r>
          </w:p>
        </w:tc>
        <w:tc>
          <w:tcPr>
            <w:tcW w:w="2270" w:type="dxa"/>
            <w:vAlign w:val="top"/>
          </w:tcPr>
          <w:p w14:paraId="7075A34D">
            <w:pPr>
              <w:pStyle w:val="6"/>
              <w:spacing w:before="77" w:line="246" w:lineRule="auto"/>
              <w:ind w:left="15"/>
              <w:jc w:val="both"/>
            </w:pPr>
            <w:r>
              <w:rPr>
                <w:spacing w:val="-3"/>
              </w:rPr>
              <w:t>监控摄像、数字医疗、车载</w:t>
            </w:r>
            <w:r>
              <w:t xml:space="preserve"> </w:t>
            </w:r>
            <w:r>
              <w:rPr>
                <w:spacing w:val="-3"/>
              </w:rPr>
              <w:t>导航和娱乐系统等对实时性</w:t>
            </w:r>
            <w:r>
              <w:t xml:space="preserve"> </w:t>
            </w:r>
            <w:r>
              <w:rPr>
                <w:spacing w:val="4"/>
              </w:rPr>
              <w:t>要求较高的业务</w:t>
            </w:r>
          </w:p>
        </w:tc>
        <w:tc>
          <w:tcPr>
            <w:tcW w:w="1730" w:type="dxa"/>
            <w:vAlign w:val="top"/>
          </w:tcPr>
          <w:p w14:paraId="3E39020A">
            <w:pPr>
              <w:spacing w:line="265" w:lineRule="auto"/>
              <w:rPr>
                <w:rFonts w:ascii="Arial"/>
                <w:sz w:val="21"/>
              </w:rPr>
            </w:pPr>
          </w:p>
          <w:p w14:paraId="1A768A77">
            <w:pPr>
              <w:pStyle w:val="6"/>
              <w:spacing w:before="62" w:line="219" w:lineRule="auto"/>
              <w:ind w:left="55"/>
            </w:pPr>
            <w:r>
              <w:rPr>
                <w:spacing w:val="-1"/>
              </w:rPr>
              <w:t>低时延、高速率</w:t>
            </w:r>
          </w:p>
        </w:tc>
        <w:tc>
          <w:tcPr>
            <w:tcW w:w="1520" w:type="dxa"/>
            <w:tcBorders>
              <w:right w:val="nil"/>
            </w:tcBorders>
            <w:vAlign w:val="top"/>
          </w:tcPr>
          <w:p w14:paraId="2C9D1143">
            <w:pPr>
              <w:pStyle w:val="6"/>
              <w:spacing w:before="199" w:line="258" w:lineRule="auto"/>
              <w:ind w:left="14" w:right="51"/>
            </w:pPr>
            <w:r>
              <w:rPr>
                <w:spacing w:val="20"/>
                <w:w w:val="111"/>
              </w:rPr>
              <w:t>3G、4G、5G新</w:t>
            </w:r>
            <w:r>
              <w:rPr>
                <w:spacing w:val="1"/>
              </w:rPr>
              <w:t xml:space="preserve"> </w:t>
            </w:r>
            <w:r>
              <w:rPr>
                <w:spacing w:val="-2"/>
              </w:rPr>
              <w:t>技术等</w:t>
            </w:r>
          </w:p>
        </w:tc>
      </w:tr>
      <w:tr w14:paraId="0FB33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900" w:type="dxa"/>
            <w:tcBorders>
              <w:left w:val="nil"/>
            </w:tcBorders>
            <w:vAlign w:val="top"/>
          </w:tcPr>
          <w:p w14:paraId="66D231EA">
            <w:pPr>
              <w:spacing w:line="248" w:lineRule="auto"/>
              <w:rPr>
                <w:rFonts w:ascii="Arial"/>
                <w:sz w:val="21"/>
              </w:rPr>
            </w:pPr>
          </w:p>
          <w:p w14:paraId="0F9FD951">
            <w:pPr>
              <w:pStyle w:val="6"/>
              <w:spacing w:before="62" w:line="219" w:lineRule="auto"/>
              <w:ind w:left="160"/>
            </w:pPr>
            <w:r>
              <w:rPr>
                <w:spacing w:val="2"/>
              </w:rPr>
              <w:t>中速率</w:t>
            </w:r>
          </w:p>
        </w:tc>
        <w:tc>
          <w:tcPr>
            <w:tcW w:w="1020" w:type="dxa"/>
            <w:vAlign w:val="top"/>
          </w:tcPr>
          <w:p w14:paraId="50A3B5A3">
            <w:pPr>
              <w:spacing w:line="253" w:lineRule="auto"/>
              <w:rPr>
                <w:rFonts w:ascii="Arial"/>
                <w:sz w:val="21"/>
              </w:rPr>
            </w:pPr>
          </w:p>
          <w:p w14:paraId="6218234C">
            <w:pPr>
              <w:pStyle w:val="6"/>
              <w:spacing w:before="62" w:line="224" w:lineRule="auto"/>
              <w:ind w:left="214"/>
            </w:pPr>
            <w:r>
              <w:rPr>
                <w:spacing w:val="-2"/>
              </w:rPr>
              <w:t>&lt;1Mb/s</w:t>
            </w:r>
          </w:p>
        </w:tc>
        <w:tc>
          <w:tcPr>
            <w:tcW w:w="890" w:type="dxa"/>
            <w:vAlign w:val="top"/>
          </w:tcPr>
          <w:p w14:paraId="72647069">
            <w:pPr>
              <w:spacing w:line="297" w:lineRule="auto"/>
              <w:rPr>
                <w:rFonts w:ascii="Arial"/>
                <w:sz w:val="21"/>
              </w:rPr>
            </w:pPr>
          </w:p>
          <w:p w14:paraId="60E167CB">
            <w:pPr>
              <w:pStyle w:val="6"/>
              <w:spacing w:before="61" w:line="183" w:lineRule="auto"/>
              <w:ind w:left="294"/>
            </w:pPr>
            <w:r>
              <w:rPr>
                <w:spacing w:val="-3"/>
              </w:rPr>
              <w:t>30%</w:t>
            </w:r>
          </w:p>
        </w:tc>
        <w:tc>
          <w:tcPr>
            <w:tcW w:w="2270" w:type="dxa"/>
            <w:vAlign w:val="top"/>
          </w:tcPr>
          <w:p w14:paraId="222C9352">
            <w:pPr>
              <w:pStyle w:val="6"/>
              <w:spacing w:before="72" w:line="235" w:lineRule="auto"/>
              <w:ind w:left="15" w:firstLine="19"/>
              <w:jc w:val="both"/>
            </w:pPr>
            <w:r>
              <w:rPr>
                <w:spacing w:val="-2"/>
              </w:rPr>
              <w:t>POS、智慧家居、储物柜等</w:t>
            </w:r>
            <w:r>
              <w:t xml:space="preserve"> </w:t>
            </w:r>
            <w:r>
              <w:rPr>
                <w:spacing w:val="-3"/>
              </w:rPr>
              <w:t>高频使用但对实时性要求低</w:t>
            </w:r>
            <w:r>
              <w:t xml:space="preserve"> </w:t>
            </w:r>
            <w:r>
              <w:rPr>
                <w:spacing w:val="1"/>
              </w:rPr>
              <w:t>的场景</w:t>
            </w:r>
          </w:p>
        </w:tc>
        <w:tc>
          <w:tcPr>
            <w:tcW w:w="1730" w:type="dxa"/>
            <w:vAlign w:val="top"/>
          </w:tcPr>
          <w:p w14:paraId="0F9E9565">
            <w:pPr>
              <w:spacing w:line="251" w:lineRule="auto"/>
              <w:rPr>
                <w:rFonts w:ascii="Arial"/>
                <w:sz w:val="21"/>
              </w:rPr>
            </w:pPr>
          </w:p>
          <w:p w14:paraId="4E7BEFBC">
            <w:pPr>
              <w:pStyle w:val="6"/>
              <w:spacing w:before="61" w:line="221" w:lineRule="auto"/>
              <w:ind w:left="64"/>
            </w:pPr>
            <w:r>
              <w:rPr>
                <w:spacing w:val="1"/>
              </w:rPr>
              <w:t>时延100</w:t>
            </w:r>
            <w:r>
              <w:t>ms</w:t>
            </w:r>
            <w:r>
              <w:rPr>
                <w:spacing w:val="1"/>
              </w:rPr>
              <w:t>级</w:t>
            </w:r>
          </w:p>
        </w:tc>
        <w:tc>
          <w:tcPr>
            <w:tcW w:w="1520" w:type="dxa"/>
            <w:tcBorders>
              <w:right w:val="nil"/>
            </w:tcBorders>
            <w:vAlign w:val="top"/>
          </w:tcPr>
          <w:p w14:paraId="0A91DE41">
            <w:pPr>
              <w:pStyle w:val="6"/>
              <w:spacing w:before="260" w:line="183" w:lineRule="auto"/>
              <w:ind w:left="14"/>
            </w:pPr>
            <w:r>
              <w:rPr>
                <w:spacing w:val="-3"/>
              </w:rPr>
              <w:t>2G</w:t>
            </w:r>
          </w:p>
          <w:p w14:paraId="5418ABE2">
            <w:pPr>
              <w:pStyle w:val="6"/>
              <w:spacing w:before="18" w:line="224" w:lineRule="auto"/>
              <w:ind w:left="14"/>
            </w:pPr>
            <w:r>
              <w:rPr>
                <w:spacing w:val="-1"/>
              </w:rPr>
              <w:t>GPRS/CDMA</w:t>
            </w:r>
          </w:p>
        </w:tc>
      </w:tr>
      <w:tr w14:paraId="5E3DE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1" w:hRule="atLeast"/>
        </w:trPr>
        <w:tc>
          <w:tcPr>
            <w:tcW w:w="900" w:type="dxa"/>
            <w:tcBorders>
              <w:left w:val="nil"/>
            </w:tcBorders>
            <w:vAlign w:val="top"/>
          </w:tcPr>
          <w:p w14:paraId="25790734">
            <w:pPr>
              <w:spacing w:line="399" w:lineRule="auto"/>
              <w:rPr>
                <w:rFonts w:ascii="Arial"/>
                <w:sz w:val="21"/>
              </w:rPr>
            </w:pPr>
          </w:p>
          <w:p w14:paraId="6C3A21FF">
            <w:pPr>
              <w:pStyle w:val="6"/>
              <w:spacing w:before="62" w:line="219" w:lineRule="auto"/>
              <w:ind w:left="160"/>
            </w:pPr>
            <w:r>
              <w:rPr>
                <w:spacing w:val="-2"/>
              </w:rPr>
              <w:t>低速率</w:t>
            </w:r>
          </w:p>
        </w:tc>
        <w:tc>
          <w:tcPr>
            <w:tcW w:w="1020" w:type="dxa"/>
            <w:vAlign w:val="top"/>
          </w:tcPr>
          <w:p w14:paraId="23F4A79A">
            <w:pPr>
              <w:spacing w:line="405" w:lineRule="auto"/>
              <w:rPr>
                <w:rFonts w:ascii="Arial"/>
                <w:sz w:val="21"/>
              </w:rPr>
            </w:pPr>
          </w:p>
          <w:p w14:paraId="14863BD0">
            <w:pPr>
              <w:pStyle w:val="6"/>
              <w:spacing w:before="61" w:line="224" w:lineRule="auto"/>
              <w:ind w:left="125"/>
            </w:pPr>
            <w:r>
              <w:rPr>
                <w:spacing w:val="-2"/>
              </w:rPr>
              <w:t>&lt;200Kb/s</w:t>
            </w:r>
          </w:p>
        </w:tc>
        <w:tc>
          <w:tcPr>
            <w:tcW w:w="890" w:type="dxa"/>
            <w:vAlign w:val="top"/>
          </w:tcPr>
          <w:p w14:paraId="1C06AA14">
            <w:pPr>
              <w:spacing w:line="448" w:lineRule="auto"/>
              <w:rPr>
                <w:rFonts w:ascii="Arial"/>
                <w:sz w:val="21"/>
              </w:rPr>
            </w:pPr>
          </w:p>
          <w:p w14:paraId="0DBF7490">
            <w:pPr>
              <w:pStyle w:val="6"/>
              <w:spacing w:before="62" w:line="183" w:lineRule="auto"/>
              <w:ind w:left="294"/>
            </w:pPr>
            <w:r>
              <w:rPr>
                <w:spacing w:val="-2"/>
              </w:rPr>
              <w:t>60%</w:t>
            </w:r>
          </w:p>
        </w:tc>
        <w:tc>
          <w:tcPr>
            <w:tcW w:w="2270" w:type="dxa"/>
            <w:vAlign w:val="top"/>
          </w:tcPr>
          <w:p w14:paraId="4E991A7C">
            <w:pPr>
              <w:pStyle w:val="6"/>
              <w:spacing w:before="74" w:line="247" w:lineRule="auto"/>
              <w:ind w:left="15" w:firstLine="69"/>
              <w:jc w:val="both"/>
            </w:pPr>
            <w:r>
              <w:rPr>
                <w:spacing w:val="-1"/>
              </w:rPr>
              <w:t>传感器、计量表、智慧停</w:t>
            </w:r>
            <w:r>
              <w:t xml:space="preserve">  </w:t>
            </w:r>
            <w:r>
              <w:rPr>
                <w:spacing w:val="-3"/>
              </w:rPr>
              <w:t>车、物流运输、智慧建筑等</w:t>
            </w:r>
            <w:r>
              <w:t xml:space="preserve"> </w:t>
            </w:r>
            <w:r>
              <w:rPr>
                <w:spacing w:val="-3"/>
              </w:rPr>
              <w:t>使用频次低但总数可观的应</w:t>
            </w:r>
            <w:r>
              <w:t xml:space="preserve"> </w:t>
            </w:r>
            <w:r>
              <w:rPr>
                <w:spacing w:val="-3"/>
              </w:rPr>
              <w:t>用场景</w:t>
            </w:r>
          </w:p>
        </w:tc>
        <w:tc>
          <w:tcPr>
            <w:tcW w:w="1730" w:type="dxa"/>
            <w:vAlign w:val="top"/>
          </w:tcPr>
          <w:p w14:paraId="66A735B5">
            <w:pPr>
              <w:pStyle w:val="6"/>
              <w:spacing w:before="82" w:line="245" w:lineRule="auto"/>
              <w:ind w:left="44" w:right="143" w:hanging="10"/>
              <w:jc w:val="both"/>
            </w:pPr>
            <w:r>
              <w:rPr>
                <w:spacing w:val="-1"/>
              </w:rPr>
              <w:t>深度覆盖、超低成</w:t>
            </w:r>
            <w:r>
              <w:t xml:space="preserve"> </w:t>
            </w:r>
            <w:r>
              <w:rPr>
                <w:spacing w:val="1"/>
              </w:rPr>
              <w:t>本、超低功耗、海</w:t>
            </w:r>
            <w:r>
              <w:rPr>
                <w:spacing w:val="2"/>
              </w:rPr>
              <w:t xml:space="preserve"> </w:t>
            </w:r>
            <w:r>
              <w:rPr>
                <w:spacing w:val="-1"/>
              </w:rPr>
              <w:t>量连接、时延不敏</w:t>
            </w:r>
            <w:r>
              <w:t xml:space="preserve"> </w:t>
            </w:r>
            <w:r>
              <w:rPr>
                <w:spacing w:val="8"/>
              </w:rPr>
              <w:t>感(秒级)</w:t>
            </w:r>
          </w:p>
        </w:tc>
        <w:tc>
          <w:tcPr>
            <w:tcW w:w="1520" w:type="dxa"/>
            <w:tcBorders>
              <w:right w:val="nil"/>
            </w:tcBorders>
            <w:vAlign w:val="top"/>
          </w:tcPr>
          <w:p w14:paraId="565C912C">
            <w:pPr>
              <w:spacing w:line="337" w:lineRule="auto"/>
              <w:rPr>
                <w:rFonts w:ascii="Arial"/>
                <w:sz w:val="21"/>
              </w:rPr>
            </w:pPr>
          </w:p>
          <w:p w14:paraId="26A834EF">
            <w:pPr>
              <w:pStyle w:val="6"/>
              <w:spacing w:before="62" w:line="247" w:lineRule="auto"/>
              <w:ind w:left="14" w:right="179" w:firstLine="19"/>
            </w:pPr>
            <w:r>
              <w:rPr>
                <w:spacing w:val="-3"/>
              </w:rPr>
              <w:t>NB-IoT、LoRa、</w:t>
            </w:r>
            <w:r>
              <w:rPr>
                <w:spacing w:val="5"/>
              </w:rPr>
              <w:t xml:space="preserve"> </w:t>
            </w:r>
            <w:r>
              <w:rPr>
                <w:spacing w:val="-2"/>
              </w:rPr>
              <w:t>Sigfox</w:t>
            </w:r>
          </w:p>
        </w:tc>
      </w:tr>
    </w:tbl>
    <w:p w14:paraId="34CC4941">
      <w:pPr>
        <w:pStyle w:val="2"/>
        <w:spacing w:before="245" w:line="221" w:lineRule="auto"/>
        <w:ind w:left="272"/>
        <w:rPr>
          <w:sz w:val="25"/>
          <w:szCs w:val="25"/>
        </w:rPr>
      </w:pPr>
      <w:r>
        <w:rPr>
          <w:b/>
          <w:bCs/>
          <w:color w:val="3E7EFE"/>
          <w:spacing w:val="-19"/>
          <w:sz w:val="25"/>
          <w:szCs w:val="25"/>
        </w:rPr>
        <w:t>1.3.4</w:t>
      </w:r>
      <w:r>
        <w:rPr>
          <w:color w:val="3E7EFE"/>
          <w:spacing w:val="103"/>
          <w:sz w:val="25"/>
          <w:szCs w:val="25"/>
        </w:rPr>
        <w:t xml:space="preserve"> </w:t>
      </w:r>
      <w:r>
        <w:rPr>
          <w:b/>
          <w:bCs/>
          <w:color w:val="3E7EFE"/>
          <w:spacing w:val="-19"/>
          <w:sz w:val="25"/>
          <w:szCs w:val="25"/>
        </w:rPr>
        <w:t>工业互联网</w:t>
      </w:r>
    </w:p>
    <w:p w14:paraId="14A21FCF">
      <w:pPr>
        <w:pStyle w:val="2"/>
        <w:spacing w:before="148" w:line="219" w:lineRule="auto"/>
        <w:ind w:left="680"/>
        <w:rPr>
          <w:sz w:val="18"/>
          <w:szCs w:val="18"/>
        </w:rPr>
      </w:pPr>
      <w:r>
        <w:rPr>
          <w:spacing w:val="23"/>
          <w:sz w:val="18"/>
          <w:szCs w:val="18"/>
        </w:rPr>
        <w:t>工业互联网作为信息技术与工业经济深度融合的全新工业生态，已</w:t>
      </w:r>
      <w:r>
        <w:rPr>
          <w:spacing w:val="22"/>
          <w:sz w:val="18"/>
          <w:szCs w:val="18"/>
        </w:rPr>
        <w:t>发展成为关键基础设施</w:t>
      </w:r>
    </w:p>
    <w:p w14:paraId="7D53E6C0">
      <w:pPr>
        <w:spacing w:line="219" w:lineRule="auto"/>
        <w:rPr>
          <w:sz w:val="18"/>
          <w:szCs w:val="18"/>
        </w:rPr>
        <w:sectPr>
          <w:pgSz w:w="10330" w:h="13410"/>
          <w:pgMar w:top="380" w:right="1129" w:bottom="400" w:left="549" w:header="0" w:footer="0" w:gutter="0"/>
          <w:cols w:space="720" w:num="1"/>
        </w:sectPr>
      </w:pPr>
    </w:p>
    <w:p w14:paraId="5AB5F9AB">
      <w:pPr>
        <w:pStyle w:val="2"/>
        <w:spacing w:before="37" w:line="219" w:lineRule="auto"/>
        <w:jc w:val="right"/>
        <w:rPr>
          <w:rFonts w:ascii="Times New Roman" w:hAnsi="Times New Roman" w:eastAsia="Times New Roman" w:cs="Times New Roman"/>
          <w:sz w:val="17"/>
          <w:szCs w:val="17"/>
        </w:rPr>
      </w:pPr>
      <w:r>
        <w:rPr>
          <w:spacing w:val="-3"/>
          <w:sz w:val="20"/>
          <w:szCs w:val="20"/>
        </w:rPr>
        <w:t xml:space="preserve">第1章 信息与信息化       </w:t>
      </w:r>
      <w:r>
        <w:rPr>
          <w:rFonts w:ascii="Times New Roman" w:hAnsi="Times New Roman" w:eastAsia="Times New Roman" w:cs="Times New Roman"/>
          <w:spacing w:val="-3"/>
          <w:sz w:val="17"/>
          <w:szCs w:val="17"/>
        </w:rPr>
        <w:t>17</w:t>
      </w:r>
    </w:p>
    <w:p w14:paraId="0C199477">
      <w:pPr>
        <w:spacing w:line="305" w:lineRule="auto"/>
        <w:rPr>
          <w:rFonts w:ascii="Arial"/>
          <w:sz w:val="21"/>
        </w:rPr>
      </w:pPr>
    </w:p>
    <w:p w14:paraId="5820FB6F">
      <w:pPr>
        <w:pStyle w:val="2"/>
        <w:spacing w:before="65" w:line="287" w:lineRule="auto"/>
        <w:ind w:right="251"/>
        <w:jc w:val="both"/>
        <w:rPr>
          <w:sz w:val="20"/>
          <w:szCs w:val="20"/>
        </w:rPr>
      </w:pPr>
      <w:r>
        <w:rPr>
          <w:spacing w:val="3"/>
          <w:sz w:val="20"/>
          <w:szCs w:val="20"/>
        </w:rPr>
        <w:t>和新型的应用模式，它通过人、机、物、系统的全面互连，实现了全要素、全</w:t>
      </w:r>
      <w:r>
        <w:rPr>
          <w:spacing w:val="2"/>
          <w:sz w:val="20"/>
          <w:szCs w:val="20"/>
        </w:rPr>
        <w:t>产业链、全价值</w:t>
      </w:r>
      <w:r>
        <w:rPr>
          <w:sz w:val="20"/>
          <w:szCs w:val="20"/>
        </w:rPr>
        <w:t xml:space="preserve"> </w:t>
      </w:r>
      <w:r>
        <w:rPr>
          <w:spacing w:val="3"/>
          <w:sz w:val="20"/>
          <w:szCs w:val="20"/>
        </w:rPr>
        <w:t>链的连接，在全球范围内颠覆了传统的制造模式、生产组织方式和产业形态。工</w:t>
      </w:r>
      <w:r>
        <w:rPr>
          <w:spacing w:val="2"/>
          <w:sz w:val="20"/>
          <w:szCs w:val="20"/>
        </w:rPr>
        <w:t>业互联网将推</w:t>
      </w:r>
      <w:r>
        <w:rPr>
          <w:sz w:val="20"/>
          <w:szCs w:val="20"/>
        </w:rPr>
        <w:t xml:space="preserve"> </w:t>
      </w:r>
      <w:r>
        <w:rPr>
          <w:spacing w:val="-1"/>
          <w:sz w:val="20"/>
          <w:szCs w:val="20"/>
        </w:rPr>
        <w:t>动全新工业生产制造和服务体系的形成，成为企业数字化转型和经济高质量发展的重要途径。</w:t>
      </w:r>
    </w:p>
    <w:p w14:paraId="3A2603E2">
      <w:pPr>
        <w:pStyle w:val="2"/>
        <w:spacing w:before="124" w:line="222" w:lineRule="auto"/>
        <w:ind w:left="412"/>
        <w:rPr>
          <w:rFonts w:ascii="黑体" w:hAnsi="黑体" w:eastAsia="黑体" w:cs="黑体"/>
          <w:sz w:val="20"/>
          <w:szCs w:val="20"/>
        </w:rPr>
      </w:pPr>
      <w:r>
        <w:rPr>
          <w:b/>
          <w:bCs/>
          <w:color w:val="004DC1"/>
          <w:spacing w:val="-5"/>
          <w:sz w:val="20"/>
          <w:szCs w:val="20"/>
        </w:rPr>
        <w:t>1.</w:t>
      </w:r>
      <w:r>
        <w:rPr>
          <w:rFonts w:ascii="黑体" w:hAnsi="黑体" w:eastAsia="黑体" w:cs="黑体"/>
          <w:b/>
          <w:bCs/>
          <w:color w:val="004DC1"/>
          <w:spacing w:val="-5"/>
          <w:sz w:val="20"/>
          <w:szCs w:val="20"/>
        </w:rPr>
        <w:t>工业互联网的定义</w:t>
      </w:r>
    </w:p>
    <w:p w14:paraId="115F5E9E">
      <w:pPr>
        <w:pStyle w:val="2"/>
        <w:spacing w:before="123" w:line="286" w:lineRule="auto"/>
        <w:ind w:right="245" w:firstLine="410"/>
        <w:jc w:val="both"/>
        <w:rPr>
          <w:sz w:val="20"/>
          <w:szCs w:val="20"/>
        </w:rPr>
      </w:pPr>
      <w:r>
        <w:rPr>
          <w:spacing w:val="3"/>
          <w:sz w:val="20"/>
          <w:szCs w:val="20"/>
        </w:rPr>
        <w:t>工业互联网不是一种技术门类，而是一种社会形态。它的产生是由</w:t>
      </w:r>
      <w:r>
        <w:rPr>
          <w:spacing w:val="2"/>
          <w:sz w:val="20"/>
          <w:szCs w:val="20"/>
        </w:rPr>
        <w:t>于人类在各种技术，尤</w:t>
      </w:r>
      <w:r>
        <w:rPr>
          <w:sz w:val="20"/>
          <w:szCs w:val="20"/>
        </w:rPr>
        <w:t xml:space="preserve"> </w:t>
      </w:r>
      <w:r>
        <w:rPr>
          <w:spacing w:val="3"/>
          <w:sz w:val="20"/>
          <w:szCs w:val="20"/>
        </w:rPr>
        <w:t>其是在物联网、互联网、云计算、大数据技术上的积累，这些技术积累到一定程度就产生了突</w:t>
      </w:r>
      <w:r>
        <w:rPr>
          <w:sz w:val="20"/>
          <w:szCs w:val="20"/>
        </w:rPr>
        <w:t xml:space="preserve"> </w:t>
      </w:r>
      <w:r>
        <w:rPr>
          <w:spacing w:val="-3"/>
          <w:sz w:val="20"/>
          <w:szCs w:val="20"/>
        </w:rPr>
        <w:t>破，带动社会进入工业互联网时代。</w:t>
      </w:r>
    </w:p>
    <w:p w14:paraId="06D4978C">
      <w:pPr>
        <w:pStyle w:val="2"/>
        <w:spacing w:before="20" w:line="290" w:lineRule="auto"/>
        <w:ind w:right="248" w:firstLine="410"/>
        <w:jc w:val="both"/>
        <w:rPr>
          <w:sz w:val="20"/>
          <w:szCs w:val="20"/>
        </w:rPr>
      </w:pPr>
      <w:r>
        <w:rPr>
          <w:spacing w:val="-2"/>
          <w:sz w:val="20"/>
          <w:szCs w:val="20"/>
        </w:rPr>
        <w:t>我国工业互联网产业联盟发布的《工业互联网体系架构》报</w:t>
      </w:r>
      <w:r>
        <w:rPr>
          <w:spacing w:val="-3"/>
          <w:sz w:val="20"/>
          <w:szCs w:val="20"/>
        </w:rPr>
        <w:t>告中指出，“工业互联网是互联</w:t>
      </w:r>
      <w:r>
        <w:rPr>
          <w:sz w:val="20"/>
          <w:szCs w:val="20"/>
        </w:rPr>
        <w:t xml:space="preserve"> </w:t>
      </w:r>
      <w:r>
        <w:rPr>
          <w:spacing w:val="3"/>
          <w:sz w:val="20"/>
          <w:szCs w:val="20"/>
        </w:rPr>
        <w:t>网和新一代信息技术与工业系统全方位深度融合所形成的产业和应用生态，是工业智能</w:t>
      </w:r>
      <w:r>
        <w:rPr>
          <w:spacing w:val="2"/>
          <w:sz w:val="20"/>
          <w:szCs w:val="20"/>
        </w:rPr>
        <w:t>化发展</w:t>
      </w:r>
      <w:r>
        <w:rPr>
          <w:sz w:val="20"/>
          <w:szCs w:val="20"/>
        </w:rPr>
        <w:t xml:space="preserve"> </w:t>
      </w:r>
      <w:r>
        <w:rPr>
          <w:spacing w:val="3"/>
          <w:sz w:val="20"/>
          <w:szCs w:val="20"/>
        </w:rPr>
        <w:t>的关键综合信息基础设施。其本质是以机器、原材料、控制</w:t>
      </w:r>
      <w:r>
        <w:rPr>
          <w:spacing w:val="2"/>
          <w:sz w:val="20"/>
          <w:szCs w:val="20"/>
        </w:rPr>
        <w:t>系统、信息系统、产品以及人之间</w:t>
      </w:r>
      <w:r>
        <w:rPr>
          <w:sz w:val="20"/>
          <w:szCs w:val="20"/>
        </w:rPr>
        <w:t xml:space="preserve"> </w:t>
      </w:r>
      <w:r>
        <w:rPr>
          <w:spacing w:val="3"/>
          <w:sz w:val="20"/>
          <w:szCs w:val="20"/>
        </w:rPr>
        <w:t>的网络互连为基础，通过对工业数据的全面深度感知、实时传输交换、快速计算</w:t>
      </w:r>
      <w:r>
        <w:rPr>
          <w:spacing w:val="2"/>
          <w:sz w:val="20"/>
          <w:szCs w:val="20"/>
        </w:rPr>
        <w:t>处理和高级建</w:t>
      </w:r>
      <w:r>
        <w:rPr>
          <w:sz w:val="20"/>
          <w:szCs w:val="20"/>
        </w:rPr>
        <w:t xml:space="preserve"> </w:t>
      </w:r>
      <w:r>
        <w:rPr>
          <w:spacing w:val="-4"/>
          <w:sz w:val="20"/>
          <w:szCs w:val="20"/>
        </w:rPr>
        <w:t>模分析，实现智能控制、运营优化和生产组织方式变</w:t>
      </w:r>
      <w:r>
        <w:rPr>
          <w:spacing w:val="-5"/>
          <w:sz w:val="20"/>
          <w:szCs w:val="20"/>
        </w:rPr>
        <w:t>革”。</w:t>
      </w:r>
    </w:p>
    <w:p w14:paraId="34541C21">
      <w:pPr>
        <w:pStyle w:val="2"/>
        <w:spacing w:before="30" w:line="277" w:lineRule="auto"/>
        <w:ind w:right="160" w:firstLine="410"/>
        <w:jc w:val="both"/>
        <w:rPr>
          <w:sz w:val="20"/>
          <w:szCs w:val="20"/>
        </w:rPr>
      </w:pPr>
      <w:r>
        <w:rPr>
          <w:spacing w:val="4"/>
          <w:sz w:val="20"/>
          <w:szCs w:val="20"/>
        </w:rPr>
        <w:t>工业互联网不是工业的互联网，也不是互联网的工业，更不是社交、</w:t>
      </w:r>
      <w:r>
        <w:rPr>
          <w:spacing w:val="3"/>
          <w:sz w:val="20"/>
          <w:szCs w:val="20"/>
        </w:rPr>
        <w:t>消费互联网在工业领</w:t>
      </w:r>
      <w:r>
        <w:rPr>
          <w:sz w:val="20"/>
          <w:szCs w:val="20"/>
        </w:rPr>
        <w:t xml:space="preserve"> 域的简单应用，而是通过工业与互联网的深度结合，借力数字技术，实现对产业的优化与整理、</w:t>
      </w:r>
      <w:r>
        <w:rPr>
          <w:spacing w:val="8"/>
          <w:sz w:val="20"/>
          <w:szCs w:val="20"/>
        </w:rPr>
        <w:t xml:space="preserve"> </w:t>
      </w:r>
      <w:r>
        <w:rPr>
          <w:spacing w:val="-5"/>
          <w:sz w:val="20"/>
          <w:szCs w:val="20"/>
        </w:rPr>
        <w:t>深度赋能和改造。</w:t>
      </w:r>
    </w:p>
    <w:p w14:paraId="09A7608B">
      <w:pPr>
        <w:pStyle w:val="2"/>
        <w:spacing w:before="135" w:line="222" w:lineRule="auto"/>
        <w:ind w:left="412"/>
        <w:rPr>
          <w:rFonts w:ascii="黑体" w:hAnsi="黑体" w:eastAsia="黑体" w:cs="黑体"/>
          <w:sz w:val="20"/>
          <w:szCs w:val="20"/>
        </w:rPr>
      </w:pPr>
      <w:r>
        <w:rPr>
          <w:b/>
          <w:bCs/>
          <w:color w:val="0057CA"/>
          <w:spacing w:val="-2"/>
          <w:sz w:val="20"/>
          <w:szCs w:val="20"/>
        </w:rPr>
        <w:t>2.</w:t>
      </w:r>
      <w:r>
        <w:rPr>
          <w:rFonts w:ascii="黑体" w:hAnsi="黑体" w:eastAsia="黑体" w:cs="黑体"/>
          <w:b/>
          <w:bCs/>
          <w:color w:val="0057CA"/>
          <w:spacing w:val="-2"/>
          <w:sz w:val="20"/>
          <w:szCs w:val="20"/>
        </w:rPr>
        <w:t>工业互联网的构成</w:t>
      </w:r>
    </w:p>
    <w:p w14:paraId="79213D0C">
      <w:pPr>
        <w:pStyle w:val="2"/>
        <w:spacing w:before="113" w:line="286" w:lineRule="auto"/>
        <w:ind w:right="200" w:firstLine="410"/>
        <w:jc w:val="both"/>
        <w:rPr>
          <w:sz w:val="20"/>
          <w:szCs w:val="20"/>
        </w:rPr>
      </w:pPr>
      <w:r>
        <w:rPr>
          <w:spacing w:val="3"/>
          <w:sz w:val="20"/>
          <w:szCs w:val="20"/>
        </w:rPr>
        <w:t>工业互联网包含网络、平台、数据、安全四大体系，既是工业数字</w:t>
      </w:r>
      <w:r>
        <w:rPr>
          <w:spacing w:val="2"/>
          <w:sz w:val="20"/>
          <w:szCs w:val="20"/>
        </w:rPr>
        <w:t>化、网络化、智能化转</w:t>
      </w:r>
      <w:r>
        <w:rPr>
          <w:sz w:val="20"/>
          <w:szCs w:val="20"/>
        </w:rPr>
        <w:t xml:space="preserve"> </w:t>
      </w:r>
      <w:r>
        <w:rPr>
          <w:spacing w:val="-2"/>
          <w:sz w:val="20"/>
          <w:szCs w:val="20"/>
        </w:rPr>
        <w:t>型的基础设施，也是物联网、大数据、云计算、</w:t>
      </w:r>
      <w:r>
        <w:rPr>
          <w:rFonts w:ascii="Times New Roman" w:hAnsi="Times New Roman" w:eastAsia="Times New Roman" w:cs="Times New Roman"/>
          <w:spacing w:val="-2"/>
          <w:sz w:val="20"/>
          <w:szCs w:val="20"/>
        </w:rPr>
        <w:t>AI</w:t>
      </w:r>
      <w:r>
        <w:rPr>
          <w:rFonts w:ascii="Times New Roman" w:hAnsi="Times New Roman" w:eastAsia="Times New Roman" w:cs="Times New Roman"/>
          <w:spacing w:val="-28"/>
          <w:sz w:val="20"/>
          <w:szCs w:val="20"/>
        </w:rPr>
        <w:t xml:space="preserve"> </w:t>
      </w:r>
      <w:r>
        <w:rPr>
          <w:spacing w:val="-3"/>
          <w:sz w:val="20"/>
          <w:szCs w:val="20"/>
        </w:rPr>
        <w:t>、</w:t>
      </w:r>
      <w:r>
        <w:rPr>
          <w:rFonts w:ascii="Times New Roman" w:hAnsi="Times New Roman" w:eastAsia="Times New Roman" w:cs="Times New Roman"/>
          <w:spacing w:val="-3"/>
          <w:sz w:val="20"/>
          <w:szCs w:val="20"/>
        </w:rPr>
        <w:t>5G</w:t>
      </w:r>
      <w:r>
        <w:rPr>
          <w:spacing w:val="-3"/>
          <w:sz w:val="20"/>
          <w:szCs w:val="20"/>
        </w:rPr>
        <w:t>等技术与实体经济深度融合的应用模式，</w:t>
      </w:r>
      <w:r>
        <w:rPr>
          <w:sz w:val="20"/>
          <w:szCs w:val="20"/>
        </w:rPr>
        <w:t xml:space="preserve"> </w:t>
      </w:r>
      <w:r>
        <w:rPr>
          <w:spacing w:val="-2"/>
          <w:sz w:val="20"/>
          <w:szCs w:val="20"/>
        </w:rPr>
        <w:t>同时也是一种新产业与新业态，将重塑企业形态、供应链和产业链。</w:t>
      </w:r>
    </w:p>
    <w:p w14:paraId="39E08087">
      <w:pPr>
        <w:pStyle w:val="2"/>
        <w:spacing w:before="17" w:line="279" w:lineRule="auto"/>
        <w:ind w:right="180" w:firstLine="410"/>
        <w:jc w:val="both"/>
        <w:rPr>
          <w:sz w:val="17"/>
          <w:szCs w:val="17"/>
        </w:rPr>
      </w:pPr>
      <w:r>
        <w:rPr>
          <w:spacing w:val="3"/>
          <w:sz w:val="20"/>
          <w:szCs w:val="20"/>
        </w:rPr>
        <w:t>在工业互联网四大体系中，网络体系是工业互联网的基础，包括</w:t>
      </w:r>
      <w:r>
        <w:rPr>
          <w:spacing w:val="2"/>
          <w:sz w:val="20"/>
          <w:szCs w:val="20"/>
        </w:rPr>
        <w:t>网络互连、数据互通、标</w:t>
      </w:r>
      <w:r>
        <w:rPr>
          <w:sz w:val="20"/>
          <w:szCs w:val="20"/>
        </w:rPr>
        <w:t xml:space="preserve"> 识解析三部分；平台体系是工业互联网的中枢，包括边缘层(与设</w:t>
      </w:r>
      <w:r>
        <w:rPr>
          <w:spacing w:val="-1"/>
          <w:sz w:val="20"/>
          <w:szCs w:val="20"/>
        </w:rPr>
        <w:t>备连接)、</w:t>
      </w:r>
      <w:r>
        <w:rPr>
          <w:spacing w:val="-40"/>
          <w:sz w:val="20"/>
          <w:szCs w:val="20"/>
        </w:rPr>
        <w:t xml:space="preserve"> </w:t>
      </w:r>
      <w:r>
        <w:rPr>
          <w:rFonts w:ascii="Times New Roman" w:hAnsi="Times New Roman" w:eastAsia="Times New Roman" w:cs="Times New Roman"/>
          <w:spacing w:val="-1"/>
          <w:sz w:val="20"/>
          <w:szCs w:val="20"/>
        </w:rPr>
        <w:t>IaaS</w:t>
      </w:r>
      <w:r>
        <w:rPr>
          <w:rFonts w:ascii="Times New Roman" w:hAnsi="Times New Roman" w:eastAsia="Times New Roman" w:cs="Times New Roman"/>
          <w:spacing w:val="20"/>
          <w:sz w:val="20"/>
          <w:szCs w:val="20"/>
        </w:rPr>
        <w:t xml:space="preserve"> </w:t>
      </w:r>
      <w:r>
        <w:rPr>
          <w:spacing w:val="-1"/>
          <w:sz w:val="20"/>
          <w:szCs w:val="20"/>
        </w:rPr>
        <w:t>层</w:t>
      </w:r>
      <w:r>
        <w:rPr>
          <w:spacing w:val="-44"/>
          <w:sz w:val="20"/>
          <w:szCs w:val="20"/>
        </w:rPr>
        <w:t xml:space="preserve"> </w:t>
      </w:r>
      <w:r>
        <w:rPr>
          <w:spacing w:val="-1"/>
          <w:sz w:val="20"/>
          <w:szCs w:val="20"/>
        </w:rPr>
        <w:t>、</w:t>
      </w:r>
      <w:r>
        <w:rPr>
          <w:rFonts w:ascii="Times New Roman" w:hAnsi="Times New Roman" w:eastAsia="Times New Roman" w:cs="Times New Roman"/>
          <w:spacing w:val="-1"/>
          <w:sz w:val="20"/>
          <w:szCs w:val="20"/>
        </w:rPr>
        <w:t>PaaS</w:t>
      </w:r>
      <w:r>
        <w:rPr>
          <w:rFonts w:ascii="Times New Roman" w:hAnsi="Times New Roman" w:eastAsia="Times New Roman" w:cs="Times New Roman"/>
          <w:spacing w:val="14"/>
          <w:w w:val="101"/>
          <w:sz w:val="20"/>
          <w:szCs w:val="20"/>
        </w:rPr>
        <w:t xml:space="preserve"> </w:t>
      </w:r>
      <w:r>
        <w:rPr>
          <w:spacing w:val="-1"/>
          <w:sz w:val="20"/>
          <w:szCs w:val="20"/>
        </w:rPr>
        <w:t>层、</w:t>
      </w:r>
      <w:r>
        <w:rPr>
          <w:sz w:val="20"/>
          <w:szCs w:val="20"/>
        </w:rPr>
        <w:t xml:space="preserve"> </w:t>
      </w:r>
      <w:r>
        <w:rPr>
          <w:rFonts w:ascii="Times New Roman" w:hAnsi="Times New Roman" w:eastAsia="Times New Roman" w:cs="Times New Roman"/>
          <w:sz w:val="20"/>
          <w:szCs w:val="20"/>
        </w:rPr>
        <w:t>SaaS</w:t>
      </w:r>
      <w:r>
        <w:rPr>
          <w:rFonts w:ascii="Times New Roman" w:hAnsi="Times New Roman" w:eastAsia="Times New Roman" w:cs="Times New Roman"/>
          <w:spacing w:val="4"/>
          <w:sz w:val="20"/>
          <w:szCs w:val="20"/>
        </w:rPr>
        <w:t xml:space="preserve"> </w:t>
      </w:r>
      <w:r>
        <w:rPr>
          <w:spacing w:val="4"/>
          <w:sz w:val="20"/>
          <w:szCs w:val="20"/>
        </w:rPr>
        <w:t>层四部分，是工业互联网的“操作系统”;数据体系是工业互联网的要素，是工业互联网</w:t>
      </w:r>
      <w:r>
        <w:rPr>
          <w:spacing w:val="18"/>
          <w:sz w:val="20"/>
          <w:szCs w:val="20"/>
        </w:rPr>
        <w:t xml:space="preserve"> </w:t>
      </w:r>
      <w:r>
        <w:rPr>
          <w:spacing w:val="3"/>
          <w:sz w:val="20"/>
          <w:szCs w:val="20"/>
        </w:rPr>
        <w:t>价值创造的源泉；安全体系是工业互联网的保障，针对工业互联网涉及范围广</w:t>
      </w:r>
      <w:r>
        <w:rPr>
          <w:spacing w:val="2"/>
          <w:sz w:val="20"/>
          <w:szCs w:val="20"/>
        </w:rPr>
        <w:t>、影响大、企业</w:t>
      </w:r>
      <w:r>
        <w:rPr>
          <w:sz w:val="20"/>
          <w:szCs w:val="20"/>
        </w:rPr>
        <w:t xml:space="preserve"> </w:t>
      </w:r>
      <w:r>
        <w:rPr>
          <w:spacing w:val="3"/>
          <w:sz w:val="20"/>
          <w:szCs w:val="20"/>
        </w:rPr>
        <w:t>防护基础弱的特点，提供设备、控制、网络、平台、工业应用的整体保护，保障工</w:t>
      </w:r>
      <w:r>
        <w:rPr>
          <w:spacing w:val="2"/>
          <w:sz w:val="20"/>
          <w:szCs w:val="20"/>
        </w:rPr>
        <w:t>业互联网平</w:t>
      </w:r>
      <w:r>
        <w:rPr>
          <w:sz w:val="20"/>
          <w:szCs w:val="20"/>
        </w:rPr>
        <w:t xml:space="preserve"> </w:t>
      </w:r>
      <w:r>
        <w:rPr>
          <w:spacing w:val="19"/>
          <w:sz w:val="17"/>
          <w:szCs w:val="17"/>
        </w:rPr>
        <w:t>稳运行</w:t>
      </w:r>
      <w:r>
        <w:rPr>
          <w:spacing w:val="-43"/>
          <w:sz w:val="17"/>
          <w:szCs w:val="17"/>
        </w:rPr>
        <w:t xml:space="preserve"> </w:t>
      </w:r>
      <w:r>
        <w:rPr>
          <w:spacing w:val="19"/>
          <w:sz w:val="17"/>
          <w:szCs w:val="17"/>
        </w:rPr>
        <w:t>。</w:t>
      </w:r>
    </w:p>
    <w:p w14:paraId="4ABE85DD">
      <w:pPr>
        <w:pStyle w:val="2"/>
        <w:spacing w:before="201" w:line="222" w:lineRule="auto"/>
        <w:ind w:left="412"/>
        <w:rPr>
          <w:rFonts w:ascii="黑体" w:hAnsi="黑体" w:eastAsia="黑体" w:cs="黑体"/>
          <w:sz w:val="20"/>
          <w:szCs w:val="20"/>
        </w:rPr>
      </w:pPr>
      <w:r>
        <w:rPr>
          <w:b/>
          <w:bCs/>
          <w:color w:val="004BCD"/>
          <w:spacing w:val="-4"/>
          <w:sz w:val="20"/>
          <w:szCs w:val="20"/>
        </w:rPr>
        <w:t>3.</w:t>
      </w:r>
      <w:r>
        <w:rPr>
          <w:rFonts w:ascii="黑体" w:hAnsi="黑体" w:eastAsia="黑体" w:cs="黑体"/>
          <w:b/>
          <w:bCs/>
          <w:color w:val="004BCD"/>
          <w:spacing w:val="-4"/>
          <w:sz w:val="20"/>
          <w:szCs w:val="20"/>
        </w:rPr>
        <w:t>工业互联网的关键技术</w:t>
      </w:r>
    </w:p>
    <w:p w14:paraId="4D0F7505">
      <w:pPr>
        <w:spacing w:before="162" w:line="212" w:lineRule="auto"/>
        <w:ind w:left="410"/>
        <w:rPr>
          <w:rFonts w:ascii="楷体" w:hAnsi="楷体" w:eastAsia="楷体" w:cs="楷体"/>
          <w:sz w:val="20"/>
          <w:szCs w:val="20"/>
        </w:rPr>
      </w:pPr>
      <w:r>
        <w:rPr>
          <w:rFonts w:ascii="Times New Roman" w:hAnsi="Times New Roman" w:eastAsia="Times New Roman" w:cs="Times New Roman"/>
          <w:spacing w:val="-2"/>
          <w:sz w:val="20"/>
          <w:szCs w:val="20"/>
        </w:rPr>
        <w:t>1)5G</w:t>
      </w:r>
      <w:r>
        <w:rPr>
          <w:rFonts w:ascii="Times New Roman" w:hAnsi="Times New Roman" w:eastAsia="Times New Roman" w:cs="Times New Roman"/>
          <w:spacing w:val="8"/>
          <w:sz w:val="20"/>
          <w:szCs w:val="20"/>
        </w:rPr>
        <w:t xml:space="preserve">   </w:t>
      </w:r>
      <w:r>
        <w:rPr>
          <w:rFonts w:ascii="楷体" w:hAnsi="楷体" w:eastAsia="楷体" w:cs="楷体"/>
          <w:spacing w:val="-2"/>
          <w:sz w:val="20"/>
          <w:szCs w:val="20"/>
        </w:rPr>
        <w:t>技术</w:t>
      </w:r>
    </w:p>
    <w:p w14:paraId="0E809BE4">
      <w:pPr>
        <w:pStyle w:val="2"/>
        <w:spacing w:before="83" w:line="277" w:lineRule="auto"/>
        <w:ind w:right="224" w:firstLine="410"/>
        <w:rPr>
          <w:sz w:val="20"/>
          <w:szCs w:val="20"/>
        </w:rPr>
      </w:pPr>
      <w:r>
        <w:rPr>
          <w:rFonts w:ascii="Times New Roman" w:hAnsi="Times New Roman" w:eastAsia="Times New Roman" w:cs="Times New Roman"/>
          <w:spacing w:val="2"/>
          <w:sz w:val="20"/>
          <w:szCs w:val="20"/>
        </w:rPr>
        <w:t>5G</w:t>
      </w:r>
      <w:r>
        <w:rPr>
          <w:rFonts w:ascii="Times New Roman" w:hAnsi="Times New Roman" w:eastAsia="Times New Roman" w:cs="Times New Roman"/>
          <w:spacing w:val="17"/>
          <w:w w:val="101"/>
          <w:sz w:val="20"/>
          <w:szCs w:val="20"/>
        </w:rPr>
        <w:t xml:space="preserve"> </w:t>
      </w:r>
      <w:r>
        <w:rPr>
          <w:spacing w:val="2"/>
          <w:sz w:val="20"/>
          <w:szCs w:val="20"/>
        </w:rPr>
        <w:t>技术作为移动通信技术的典型代表，具有大带宽、低延时、高可靠的特性。5</w:t>
      </w:r>
      <w:r>
        <w:rPr>
          <w:rFonts w:ascii="Times New Roman" w:hAnsi="Times New Roman" w:eastAsia="Times New Roman" w:cs="Times New Roman"/>
          <w:spacing w:val="2"/>
          <w:sz w:val="20"/>
          <w:szCs w:val="20"/>
        </w:rPr>
        <w:t>G</w:t>
      </w:r>
      <w:r>
        <w:rPr>
          <w:rFonts w:ascii="Times New Roman" w:hAnsi="Times New Roman" w:eastAsia="Times New Roman" w:cs="Times New Roman"/>
          <w:spacing w:val="22"/>
          <w:w w:val="101"/>
          <w:sz w:val="20"/>
          <w:szCs w:val="20"/>
        </w:rPr>
        <w:t xml:space="preserve"> </w:t>
      </w:r>
      <w:r>
        <w:rPr>
          <w:spacing w:val="2"/>
          <w:sz w:val="20"/>
          <w:szCs w:val="20"/>
        </w:rPr>
        <w:t>技术弥</w:t>
      </w:r>
      <w:r>
        <w:rPr>
          <w:sz w:val="20"/>
          <w:szCs w:val="20"/>
        </w:rPr>
        <w:t xml:space="preserve"> </w:t>
      </w:r>
      <w:r>
        <w:rPr>
          <w:spacing w:val="4"/>
          <w:sz w:val="20"/>
          <w:szCs w:val="20"/>
        </w:rPr>
        <w:t>补了通用网络技术难以完全满足工业生产要求的</w:t>
      </w:r>
      <w:r>
        <w:rPr>
          <w:spacing w:val="3"/>
          <w:sz w:val="20"/>
          <w:szCs w:val="20"/>
        </w:rPr>
        <w:t>技术短板，并通过灵活部署，帮助工业企业加</w:t>
      </w:r>
      <w:r>
        <w:rPr>
          <w:sz w:val="20"/>
          <w:szCs w:val="20"/>
        </w:rPr>
        <w:t xml:space="preserve"> </w:t>
      </w:r>
      <w:r>
        <w:rPr>
          <w:spacing w:val="-3"/>
          <w:sz w:val="20"/>
          <w:szCs w:val="20"/>
        </w:rPr>
        <w:t>快工厂生产内网的网络化改造。</w:t>
      </w:r>
    </w:p>
    <w:p w14:paraId="16E57007">
      <w:pPr>
        <w:spacing w:before="87" w:line="212" w:lineRule="auto"/>
        <w:ind w:left="410"/>
        <w:rPr>
          <w:rFonts w:ascii="楷体" w:hAnsi="楷体" w:eastAsia="楷体" w:cs="楷体"/>
          <w:sz w:val="20"/>
          <w:szCs w:val="20"/>
        </w:rPr>
      </w:pPr>
      <w:r>
        <w:rPr>
          <w:rFonts w:ascii="Times New Roman" w:hAnsi="Times New Roman" w:eastAsia="Times New Roman" w:cs="Times New Roman"/>
          <w:spacing w:val="2"/>
          <w:sz w:val="20"/>
          <w:szCs w:val="20"/>
        </w:rPr>
        <w:t>2)</w:t>
      </w:r>
      <w:r>
        <w:rPr>
          <w:rFonts w:ascii="Times New Roman" w:hAnsi="Times New Roman" w:eastAsia="Times New Roman" w:cs="Times New Roman"/>
          <w:sz w:val="20"/>
          <w:szCs w:val="20"/>
        </w:rPr>
        <w:t>TSN</w:t>
      </w:r>
      <w:r>
        <w:rPr>
          <w:rFonts w:ascii="Times New Roman" w:hAnsi="Times New Roman" w:eastAsia="Times New Roman" w:cs="Times New Roman"/>
          <w:spacing w:val="7"/>
          <w:sz w:val="20"/>
          <w:szCs w:val="20"/>
        </w:rPr>
        <w:t xml:space="preserve">   </w:t>
      </w:r>
      <w:r>
        <w:rPr>
          <w:rFonts w:ascii="楷体" w:hAnsi="楷体" w:eastAsia="楷体" w:cs="楷体"/>
          <w:spacing w:val="2"/>
          <w:sz w:val="20"/>
          <w:szCs w:val="20"/>
        </w:rPr>
        <w:t>技术</w:t>
      </w:r>
    </w:p>
    <w:p w14:paraId="0AE0FFC3">
      <w:pPr>
        <w:pStyle w:val="2"/>
        <w:spacing w:before="67" w:line="285" w:lineRule="auto"/>
        <w:ind w:right="159" w:firstLine="410"/>
        <w:rPr>
          <w:sz w:val="20"/>
          <w:szCs w:val="20"/>
        </w:rPr>
      </w:pPr>
      <w:r>
        <w:rPr>
          <w:spacing w:val="5"/>
          <w:sz w:val="20"/>
          <w:szCs w:val="20"/>
        </w:rPr>
        <w:t>时间敏感网络</w:t>
      </w:r>
      <w:r>
        <w:rPr>
          <w:spacing w:val="-3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Time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Sensitive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Networking</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TSN</w:t>
      </w:r>
      <w:r>
        <w:rPr>
          <w:rFonts w:ascii="Times New Roman" w:hAnsi="Times New Roman" w:eastAsia="Times New Roman" w:cs="Times New Roman"/>
          <w:spacing w:val="5"/>
          <w:sz w:val="20"/>
          <w:szCs w:val="20"/>
        </w:rPr>
        <w:t xml:space="preserve">) </w:t>
      </w:r>
      <w:r>
        <w:rPr>
          <w:spacing w:val="5"/>
          <w:sz w:val="20"/>
          <w:szCs w:val="20"/>
        </w:rPr>
        <w:t>技术用以太网</w:t>
      </w:r>
      <w:r>
        <w:rPr>
          <w:spacing w:val="4"/>
          <w:sz w:val="20"/>
          <w:szCs w:val="20"/>
        </w:rPr>
        <w:t>物理接口实现工业有线连</w:t>
      </w:r>
      <w:r>
        <w:rPr>
          <w:sz w:val="20"/>
          <w:szCs w:val="20"/>
        </w:rPr>
        <w:t xml:space="preserve"> </w:t>
      </w:r>
      <w:r>
        <w:rPr>
          <w:spacing w:val="3"/>
          <w:sz w:val="20"/>
          <w:szCs w:val="20"/>
        </w:rPr>
        <w:t>接，并基于</w:t>
      </w:r>
      <w:r>
        <w:rPr>
          <w:rFonts w:ascii="Times New Roman" w:hAnsi="Times New Roman" w:eastAsia="Times New Roman" w:cs="Times New Roman"/>
          <w:sz w:val="20"/>
          <w:szCs w:val="20"/>
        </w:rPr>
        <w:t>IEEE</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3"/>
          <w:sz w:val="20"/>
          <w:szCs w:val="20"/>
        </w:rPr>
        <w:t>802.1</w:t>
      </w:r>
      <w:r>
        <w:rPr>
          <w:spacing w:val="3"/>
          <w:sz w:val="20"/>
          <w:szCs w:val="20"/>
        </w:rPr>
        <w:t>实现工业以太网数据</w:t>
      </w:r>
      <w:r>
        <w:rPr>
          <w:spacing w:val="2"/>
          <w:sz w:val="20"/>
          <w:szCs w:val="20"/>
        </w:rPr>
        <w:t>链路层传输。</w:t>
      </w:r>
      <w:r>
        <w:rPr>
          <w:rFonts w:ascii="Times New Roman" w:hAnsi="Times New Roman" w:eastAsia="Times New Roman" w:cs="Times New Roman"/>
          <w:sz w:val="20"/>
          <w:szCs w:val="20"/>
        </w:rPr>
        <w:t>TSN</w:t>
      </w:r>
      <w:r>
        <w:rPr>
          <w:rFonts w:ascii="Times New Roman" w:hAnsi="Times New Roman" w:eastAsia="Times New Roman" w:cs="Times New Roman"/>
          <w:spacing w:val="2"/>
          <w:sz w:val="20"/>
          <w:szCs w:val="20"/>
        </w:rPr>
        <w:t xml:space="preserve"> </w:t>
      </w:r>
      <w:r>
        <w:rPr>
          <w:spacing w:val="2"/>
          <w:sz w:val="20"/>
          <w:szCs w:val="20"/>
        </w:rPr>
        <w:t>技术遵循标准以太网协议体系要</w:t>
      </w:r>
      <w:r>
        <w:rPr>
          <w:sz w:val="20"/>
          <w:szCs w:val="20"/>
        </w:rPr>
        <w:t xml:space="preserve"> </w:t>
      </w:r>
      <w:r>
        <w:rPr>
          <w:spacing w:val="5"/>
          <w:sz w:val="20"/>
          <w:szCs w:val="20"/>
        </w:rPr>
        <w:t>求，打破原有封闭协议模式，提高了工业设备的连接性和通用性，具有良好的互联互通能力。</w:t>
      </w:r>
      <w:r>
        <w:rPr>
          <w:spacing w:val="4"/>
          <w:sz w:val="20"/>
          <w:szCs w:val="20"/>
        </w:rPr>
        <w:t xml:space="preserve"> </w:t>
      </w:r>
      <w:r>
        <w:rPr>
          <w:spacing w:val="6"/>
          <w:sz w:val="20"/>
          <w:szCs w:val="20"/>
        </w:rPr>
        <w:t>在提供确定性时延、带宽保证等能力的同时，</w:t>
      </w:r>
      <w:r>
        <w:rPr>
          <w:spacing w:val="-27"/>
          <w:sz w:val="20"/>
          <w:szCs w:val="20"/>
        </w:rPr>
        <w:t xml:space="preserve"> </w:t>
      </w:r>
      <w:r>
        <w:rPr>
          <w:rFonts w:ascii="Times New Roman" w:hAnsi="Times New Roman" w:eastAsia="Times New Roman" w:cs="Times New Roman"/>
          <w:sz w:val="20"/>
          <w:szCs w:val="20"/>
        </w:rPr>
        <w:t>TSN</w:t>
      </w:r>
      <w:r>
        <w:rPr>
          <w:rFonts w:ascii="Times New Roman" w:hAnsi="Times New Roman" w:eastAsia="Times New Roman" w:cs="Times New Roman"/>
          <w:spacing w:val="6"/>
          <w:sz w:val="20"/>
          <w:szCs w:val="20"/>
        </w:rPr>
        <w:t xml:space="preserve"> </w:t>
      </w:r>
      <w:r>
        <w:rPr>
          <w:spacing w:val="6"/>
          <w:sz w:val="20"/>
          <w:szCs w:val="20"/>
        </w:rPr>
        <w:t>技术实现标准、开放的二层转发，提升了</w:t>
      </w:r>
    </w:p>
    <w:p w14:paraId="4DD2D24A">
      <w:pPr>
        <w:spacing w:line="285" w:lineRule="auto"/>
        <w:rPr>
          <w:sz w:val="20"/>
          <w:szCs w:val="20"/>
        </w:rPr>
        <w:sectPr>
          <w:pgSz w:w="10310" w:h="13300"/>
          <w:pgMar w:top="400" w:right="569" w:bottom="400" w:left="1169" w:header="0" w:footer="0" w:gutter="0"/>
          <w:cols w:space="720" w:num="1"/>
        </w:sectPr>
      </w:pPr>
    </w:p>
    <w:p w14:paraId="5540B5BC">
      <w:pPr>
        <w:pStyle w:val="2"/>
        <w:spacing w:before="78" w:line="219" w:lineRule="auto"/>
        <w:rPr>
          <w:sz w:val="20"/>
          <w:szCs w:val="20"/>
        </w:rPr>
      </w:pPr>
      <w:bookmarkStart w:id="486" w:name="bookmark473"/>
      <w:bookmarkEnd w:id="486"/>
      <w:r>
        <w:rPr>
          <w:rFonts w:ascii="Times New Roman" w:hAnsi="Times New Roman" w:eastAsia="Times New Roman" w:cs="Times New Roman"/>
          <w:spacing w:val="-5"/>
          <w:position w:val="2"/>
          <w:sz w:val="17"/>
          <w:szCs w:val="17"/>
        </w:rPr>
        <w:t>18</w:t>
      </w:r>
      <w:r>
        <w:rPr>
          <w:rFonts w:ascii="Times New Roman" w:hAnsi="Times New Roman" w:eastAsia="Times New Roman" w:cs="Times New Roman"/>
          <w:spacing w:val="1"/>
          <w:position w:val="2"/>
          <w:sz w:val="17"/>
          <w:szCs w:val="17"/>
        </w:rPr>
        <w:t xml:space="preserve">                 </w:t>
      </w:r>
      <w:r>
        <w:rPr>
          <w:spacing w:val="-5"/>
          <w:sz w:val="20"/>
          <w:szCs w:val="20"/>
        </w:rPr>
        <w:t>信息系统监理师教程(第2版)</w:t>
      </w:r>
    </w:p>
    <w:p w14:paraId="6D9B4BA5">
      <w:pPr>
        <w:spacing w:line="304" w:lineRule="auto"/>
        <w:rPr>
          <w:rFonts w:ascii="Arial"/>
          <w:sz w:val="21"/>
        </w:rPr>
      </w:pPr>
    </w:p>
    <w:p w14:paraId="45CA0525">
      <w:pPr>
        <w:pStyle w:val="2"/>
        <w:spacing w:before="65" w:line="290" w:lineRule="auto"/>
        <w:ind w:left="260"/>
        <w:jc w:val="both"/>
        <w:rPr>
          <w:sz w:val="20"/>
          <w:szCs w:val="20"/>
        </w:rPr>
      </w:pPr>
      <w:r>
        <w:rPr>
          <w:spacing w:val="3"/>
          <w:sz w:val="20"/>
          <w:szCs w:val="20"/>
        </w:rPr>
        <w:t>互操作性，为传统运营技术与互联网技术网络向融合扁平化的架构演进提供了技术支撑</w:t>
      </w:r>
      <w:r>
        <w:rPr>
          <w:spacing w:val="2"/>
          <w:sz w:val="20"/>
          <w:szCs w:val="20"/>
        </w:rPr>
        <w:t>。由于</w:t>
      </w:r>
      <w:r>
        <w:rPr>
          <w:sz w:val="20"/>
          <w:szCs w:val="20"/>
        </w:rPr>
        <w:t xml:space="preserve">  </w:t>
      </w:r>
      <w:r>
        <w:rPr>
          <w:rFonts w:ascii="Times New Roman" w:hAnsi="Times New Roman" w:eastAsia="Times New Roman" w:cs="Times New Roman"/>
          <w:sz w:val="20"/>
          <w:szCs w:val="20"/>
        </w:rPr>
        <w:t>TSN</w:t>
      </w:r>
      <w:r>
        <w:rPr>
          <w:spacing w:val="9"/>
          <w:sz w:val="20"/>
          <w:szCs w:val="20"/>
        </w:rPr>
        <w:t>的互操作架构是基于</w:t>
      </w:r>
      <w:r>
        <w:rPr>
          <w:rFonts w:ascii="Times New Roman" w:hAnsi="Times New Roman" w:eastAsia="Times New Roman" w:cs="Times New Roman"/>
          <w:sz w:val="20"/>
          <w:szCs w:val="20"/>
        </w:rPr>
        <w:t>SDN</w:t>
      </w:r>
      <w:r>
        <w:rPr>
          <w:rFonts w:ascii="Times New Roman" w:hAnsi="Times New Roman" w:eastAsia="Times New Roman" w:cs="Times New Roman"/>
          <w:spacing w:val="28"/>
          <w:w w:val="101"/>
          <w:sz w:val="20"/>
          <w:szCs w:val="20"/>
        </w:rPr>
        <w:t xml:space="preserve"> </w:t>
      </w:r>
      <w:r>
        <w:rPr>
          <w:spacing w:val="9"/>
          <w:sz w:val="20"/>
          <w:szCs w:val="20"/>
        </w:rPr>
        <w:t>体系架构的，因此</w:t>
      </w:r>
      <w:r>
        <w:rPr>
          <w:rFonts w:ascii="Times New Roman" w:hAnsi="Times New Roman" w:eastAsia="Times New Roman" w:cs="Times New Roman"/>
          <w:sz w:val="20"/>
          <w:szCs w:val="20"/>
        </w:rPr>
        <w:t>TSN</w:t>
      </w:r>
      <w:r>
        <w:rPr>
          <w:rFonts w:ascii="Times New Roman" w:hAnsi="Times New Roman" w:eastAsia="Times New Roman" w:cs="Times New Roman"/>
          <w:spacing w:val="18"/>
          <w:w w:val="101"/>
          <w:sz w:val="20"/>
          <w:szCs w:val="20"/>
        </w:rPr>
        <w:t xml:space="preserve"> </w:t>
      </w:r>
      <w:r>
        <w:rPr>
          <w:spacing w:val="9"/>
          <w:sz w:val="20"/>
          <w:szCs w:val="20"/>
        </w:rPr>
        <w:t>技术可实现设备以及网络的灵活配置、</w:t>
      </w:r>
      <w:r>
        <w:rPr>
          <w:sz w:val="20"/>
          <w:szCs w:val="20"/>
        </w:rPr>
        <w:t xml:space="preserve"> </w:t>
      </w:r>
      <w:r>
        <w:rPr>
          <w:spacing w:val="2"/>
          <w:sz w:val="20"/>
          <w:szCs w:val="20"/>
        </w:rPr>
        <w:t>监控、管理及按需调优。</w:t>
      </w:r>
      <w:r>
        <w:rPr>
          <w:rFonts w:ascii="Times New Roman" w:hAnsi="Times New Roman" w:eastAsia="Times New Roman" w:cs="Times New Roman"/>
          <w:sz w:val="20"/>
          <w:szCs w:val="20"/>
        </w:rPr>
        <w:t>TSN</w:t>
      </w:r>
      <w:r>
        <w:rPr>
          <w:rFonts w:ascii="Times New Roman" w:hAnsi="Times New Roman" w:eastAsia="Times New Roman" w:cs="Times New Roman"/>
          <w:spacing w:val="2"/>
          <w:sz w:val="20"/>
          <w:szCs w:val="20"/>
        </w:rPr>
        <w:t xml:space="preserve"> </w:t>
      </w:r>
      <w:r>
        <w:rPr>
          <w:spacing w:val="2"/>
          <w:sz w:val="20"/>
          <w:szCs w:val="20"/>
        </w:rPr>
        <w:t>技术的时间片调度、抢占、流监控以及过滤等一系列网络流量调</w:t>
      </w:r>
      <w:r>
        <w:rPr>
          <w:spacing w:val="8"/>
          <w:sz w:val="20"/>
          <w:szCs w:val="20"/>
        </w:rPr>
        <w:t xml:space="preserve">  </w:t>
      </w:r>
      <w:r>
        <w:rPr>
          <w:spacing w:val="3"/>
          <w:sz w:val="20"/>
          <w:szCs w:val="20"/>
        </w:rPr>
        <w:t>度特性，能有效支撑二层网络，为不同等级的数据业务流提供了差异化的承载服务，</w:t>
      </w:r>
      <w:r>
        <w:rPr>
          <w:spacing w:val="2"/>
          <w:sz w:val="20"/>
          <w:szCs w:val="20"/>
        </w:rPr>
        <w:t>有助于工</w:t>
      </w:r>
      <w:r>
        <w:rPr>
          <w:sz w:val="20"/>
          <w:szCs w:val="20"/>
        </w:rPr>
        <w:t xml:space="preserve">  </w:t>
      </w:r>
      <w:r>
        <w:rPr>
          <w:spacing w:val="-2"/>
          <w:sz w:val="20"/>
          <w:szCs w:val="20"/>
        </w:rPr>
        <w:t>业数据在工业设备和工业云之间的传输和流转能力的提升。</w:t>
      </w:r>
    </w:p>
    <w:p w14:paraId="7875B710">
      <w:pPr>
        <w:spacing w:before="100" w:line="212" w:lineRule="auto"/>
        <w:ind w:left="650"/>
        <w:rPr>
          <w:rFonts w:ascii="楷体" w:hAnsi="楷体" w:eastAsia="楷体" w:cs="楷体"/>
          <w:sz w:val="20"/>
          <w:szCs w:val="20"/>
        </w:rPr>
      </w:pPr>
      <w:r>
        <w:rPr>
          <w:rFonts w:ascii="Times New Roman" w:hAnsi="Times New Roman" w:eastAsia="Times New Roman" w:cs="Times New Roman"/>
          <w:b/>
          <w:bCs/>
          <w:spacing w:val="4"/>
          <w:sz w:val="20"/>
          <w:szCs w:val="20"/>
        </w:rPr>
        <w:t>3)</w:t>
      </w:r>
      <w:r>
        <w:rPr>
          <w:rFonts w:ascii="Times New Roman" w:hAnsi="Times New Roman" w:eastAsia="Times New Roman" w:cs="Times New Roman"/>
          <w:b/>
          <w:bCs/>
          <w:sz w:val="20"/>
          <w:szCs w:val="20"/>
        </w:rPr>
        <w:t>IPv</w:t>
      </w:r>
      <w:r>
        <w:rPr>
          <w:rFonts w:ascii="Times New Roman" w:hAnsi="Times New Roman" w:eastAsia="Times New Roman" w:cs="Times New Roman"/>
          <w:b/>
          <w:bCs/>
          <w:spacing w:val="4"/>
          <w:sz w:val="20"/>
          <w:szCs w:val="20"/>
        </w:rPr>
        <w:t>6</w:t>
      </w:r>
      <w:r>
        <w:rPr>
          <w:rFonts w:ascii="Times New Roman" w:hAnsi="Times New Roman" w:eastAsia="Times New Roman" w:cs="Times New Roman"/>
          <w:b/>
          <w:bCs/>
          <w:spacing w:val="24"/>
          <w:w w:val="101"/>
          <w:sz w:val="20"/>
          <w:szCs w:val="20"/>
        </w:rPr>
        <w:t xml:space="preserve">  </w:t>
      </w:r>
      <w:r>
        <w:rPr>
          <w:rFonts w:ascii="楷体" w:hAnsi="楷体" w:eastAsia="楷体" w:cs="楷体"/>
          <w:b/>
          <w:bCs/>
          <w:spacing w:val="4"/>
          <w:sz w:val="20"/>
          <w:szCs w:val="20"/>
        </w:rPr>
        <w:t>技术</w:t>
      </w:r>
    </w:p>
    <w:p w14:paraId="491457B9">
      <w:pPr>
        <w:pStyle w:val="2"/>
        <w:spacing w:before="127" w:line="280" w:lineRule="auto"/>
        <w:ind w:left="260" w:right="75" w:firstLine="390"/>
        <w:jc w:val="both"/>
        <w:rPr>
          <w:sz w:val="20"/>
          <w:szCs w:val="20"/>
        </w:rPr>
      </w:pPr>
      <w:r>
        <w:rPr>
          <w:spacing w:val="3"/>
          <w:sz w:val="20"/>
          <w:szCs w:val="20"/>
        </w:rPr>
        <w:t>工业互联网网络连接设备数量呈指数级增长，</w:t>
      </w:r>
      <w:r>
        <w:rPr>
          <w:spacing w:val="-16"/>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18"/>
          <w:sz w:val="20"/>
          <w:szCs w:val="20"/>
        </w:rPr>
        <w:t xml:space="preserve"> </w:t>
      </w:r>
      <w:r>
        <w:rPr>
          <w:spacing w:val="3"/>
          <w:sz w:val="20"/>
          <w:szCs w:val="20"/>
        </w:rPr>
        <w:t>地址短缺日益严重。</w:t>
      </w:r>
      <w:r>
        <w:rPr>
          <w:spacing w:val="-40"/>
          <w:sz w:val="20"/>
          <w:szCs w:val="20"/>
        </w:rPr>
        <w:t xml:space="preserve"> </w:t>
      </w:r>
      <w:r>
        <w:rPr>
          <w:rFonts w:ascii="Times New Roman" w:hAnsi="Times New Roman" w:eastAsia="Times New Roman" w:cs="Times New Roman"/>
          <w:sz w:val="20"/>
          <w:szCs w:val="20"/>
        </w:rPr>
        <w:t>IPv</w:t>
      </w:r>
      <w:r>
        <w:rPr>
          <w:rFonts w:ascii="Times New Roman" w:hAnsi="Times New Roman" w:eastAsia="Times New Roman" w:cs="Times New Roman"/>
          <w:spacing w:val="3"/>
          <w:sz w:val="20"/>
          <w:szCs w:val="20"/>
        </w:rPr>
        <w:t>6</w:t>
      </w:r>
      <w:r>
        <w:rPr>
          <w:rFonts w:ascii="Times New Roman" w:hAnsi="Times New Roman" w:eastAsia="Times New Roman" w:cs="Times New Roman"/>
          <w:spacing w:val="17"/>
          <w:sz w:val="20"/>
          <w:szCs w:val="20"/>
        </w:rPr>
        <w:t xml:space="preserve"> </w:t>
      </w:r>
      <w:r>
        <w:rPr>
          <w:spacing w:val="3"/>
          <w:sz w:val="20"/>
          <w:szCs w:val="20"/>
        </w:rPr>
        <w:t>协议地址使用</w:t>
      </w:r>
      <w:r>
        <w:rPr>
          <w:sz w:val="20"/>
          <w:szCs w:val="20"/>
        </w:rPr>
        <w:t xml:space="preserve"> </w:t>
      </w:r>
      <w:r>
        <w:rPr>
          <w:spacing w:val="6"/>
          <w:sz w:val="20"/>
          <w:szCs w:val="20"/>
        </w:rPr>
        <w:t>十六进制表示，长度在</w:t>
      </w:r>
      <w:r>
        <w:rPr>
          <w:sz w:val="20"/>
          <w:szCs w:val="20"/>
        </w:rPr>
        <w:t>IPv</w:t>
      </w:r>
      <w:r>
        <w:rPr>
          <w:spacing w:val="6"/>
          <w:sz w:val="20"/>
          <w:szCs w:val="20"/>
        </w:rPr>
        <w:t>4地址的基础上扩展为12</w:t>
      </w:r>
      <w:r>
        <w:rPr>
          <w:spacing w:val="5"/>
          <w:sz w:val="20"/>
          <w:szCs w:val="20"/>
        </w:rPr>
        <w:t>8位，地址前64位在整个互联网中进行路由</w:t>
      </w:r>
      <w:r>
        <w:rPr>
          <w:sz w:val="20"/>
          <w:szCs w:val="20"/>
        </w:rPr>
        <w:t xml:space="preserve"> </w:t>
      </w:r>
      <w:r>
        <w:rPr>
          <w:spacing w:val="2"/>
          <w:sz w:val="20"/>
          <w:szCs w:val="20"/>
        </w:rPr>
        <w:t>查询，用来标识互联网中其所属的子网络，地址</w:t>
      </w:r>
      <w:r>
        <w:rPr>
          <w:spacing w:val="1"/>
          <w:sz w:val="20"/>
          <w:szCs w:val="20"/>
        </w:rPr>
        <w:t>后64位为其在子网中的具体节点地址。</w:t>
      </w:r>
      <w:r>
        <w:rPr>
          <w:rFonts w:ascii="Times New Roman" w:hAnsi="Times New Roman" w:eastAsia="Times New Roman" w:cs="Times New Roman"/>
          <w:sz w:val="20"/>
          <w:szCs w:val="20"/>
        </w:rPr>
        <w:t>IPv</w:t>
      </w:r>
      <w:r>
        <w:rPr>
          <w:rFonts w:ascii="Times New Roman" w:hAnsi="Times New Roman" w:eastAsia="Times New Roman" w:cs="Times New Roman"/>
          <w:spacing w:val="1"/>
          <w:sz w:val="20"/>
          <w:szCs w:val="20"/>
        </w:rPr>
        <w:t xml:space="preserve">6 </w:t>
      </w:r>
      <w:r>
        <w:rPr>
          <w:spacing w:val="1"/>
          <w:sz w:val="20"/>
          <w:szCs w:val="20"/>
        </w:rPr>
        <w:t>环</w:t>
      </w:r>
      <w:r>
        <w:rPr>
          <w:sz w:val="20"/>
          <w:szCs w:val="20"/>
        </w:rPr>
        <w:t xml:space="preserve"> </w:t>
      </w:r>
      <w:r>
        <w:rPr>
          <w:spacing w:val="1"/>
          <w:sz w:val="20"/>
          <w:szCs w:val="20"/>
        </w:rPr>
        <w:t>境下，同一子网约含有185亿个地址空间，可以满足工业互联</w:t>
      </w:r>
      <w:r>
        <w:rPr>
          <w:sz w:val="20"/>
          <w:szCs w:val="20"/>
        </w:rPr>
        <w:t>网海量设备节点的网络地址需求。</w:t>
      </w:r>
    </w:p>
    <w:p w14:paraId="7FE8C753">
      <w:pPr>
        <w:spacing w:before="124" w:line="223" w:lineRule="auto"/>
        <w:ind w:left="650"/>
        <w:rPr>
          <w:rFonts w:ascii="楷体" w:hAnsi="楷体" w:eastAsia="楷体" w:cs="楷体"/>
          <w:sz w:val="20"/>
          <w:szCs w:val="20"/>
        </w:rPr>
      </w:pPr>
      <w:r>
        <w:rPr>
          <w:rFonts w:ascii="楷体" w:hAnsi="楷体" w:eastAsia="楷体" w:cs="楷体"/>
          <w:spacing w:val="14"/>
          <w:sz w:val="20"/>
          <w:szCs w:val="20"/>
        </w:rPr>
        <w:t>4)标识解析体系</w:t>
      </w:r>
    </w:p>
    <w:p w14:paraId="669265B6">
      <w:pPr>
        <w:pStyle w:val="2"/>
        <w:spacing w:before="60" w:line="288" w:lineRule="auto"/>
        <w:ind w:left="260" w:right="19" w:firstLine="390"/>
        <w:rPr>
          <w:sz w:val="20"/>
          <w:szCs w:val="20"/>
        </w:rPr>
      </w:pPr>
      <w:r>
        <w:rPr>
          <w:sz w:val="20"/>
          <w:szCs w:val="20"/>
        </w:rPr>
        <w:t>工业互联网中每个物品、元件，甚至有的生产关键信息都有唯一</w:t>
      </w:r>
      <w:r>
        <w:rPr>
          <w:spacing w:val="-1"/>
          <w:sz w:val="20"/>
          <w:szCs w:val="20"/>
        </w:rPr>
        <w:t>的“身份证”,这个“身份</w:t>
      </w:r>
      <w:r>
        <w:rPr>
          <w:sz w:val="20"/>
          <w:szCs w:val="20"/>
        </w:rPr>
        <w:t xml:space="preserve">  证”就是标识。当前工业企业广泛建设和使用标识，但是目前大多数企</w:t>
      </w:r>
      <w:r>
        <w:rPr>
          <w:spacing w:val="-1"/>
          <w:sz w:val="20"/>
          <w:szCs w:val="20"/>
        </w:rPr>
        <w:t>业的标识还是体系自有，</w:t>
      </w:r>
      <w:r>
        <w:rPr>
          <w:sz w:val="20"/>
          <w:szCs w:val="20"/>
        </w:rPr>
        <w:t xml:space="preserve"> </w:t>
      </w:r>
      <w:r>
        <w:rPr>
          <w:spacing w:val="-1"/>
          <w:sz w:val="20"/>
          <w:szCs w:val="20"/>
        </w:rPr>
        <w:t>标识编码规则和解析系统之间相互独立，阻碍了标识数据的跨域共享</w:t>
      </w:r>
      <w:r>
        <w:rPr>
          <w:spacing w:val="-2"/>
          <w:sz w:val="20"/>
          <w:szCs w:val="20"/>
        </w:rPr>
        <w:t>和交互。</w:t>
      </w:r>
    </w:p>
    <w:p w14:paraId="757E0B02">
      <w:pPr>
        <w:spacing w:before="107" w:line="227" w:lineRule="auto"/>
        <w:ind w:left="650"/>
        <w:rPr>
          <w:rFonts w:ascii="楷体" w:hAnsi="楷体" w:eastAsia="楷体" w:cs="楷体"/>
          <w:sz w:val="20"/>
          <w:szCs w:val="20"/>
        </w:rPr>
      </w:pPr>
      <w:r>
        <w:rPr>
          <w:rFonts w:ascii="楷体" w:hAnsi="楷体" w:eastAsia="楷体" w:cs="楷体"/>
          <w:spacing w:val="10"/>
          <w:sz w:val="20"/>
          <w:szCs w:val="20"/>
        </w:rPr>
        <w:t>5)边缘计算技术</w:t>
      </w:r>
    </w:p>
    <w:p w14:paraId="5A069084">
      <w:pPr>
        <w:pStyle w:val="2"/>
        <w:spacing w:before="54" w:line="290" w:lineRule="auto"/>
        <w:ind w:left="260" w:right="71" w:firstLine="390"/>
        <w:rPr>
          <w:sz w:val="20"/>
          <w:szCs w:val="20"/>
        </w:rPr>
      </w:pPr>
      <w:r>
        <w:rPr>
          <w:spacing w:val="3"/>
          <w:sz w:val="20"/>
          <w:szCs w:val="20"/>
        </w:rPr>
        <w:t>边缘计算技术是指通过靠近物或数据源头，实现计算、网络、存储等多维度资源的统一协</w:t>
      </w:r>
      <w:r>
        <w:rPr>
          <w:spacing w:val="12"/>
          <w:sz w:val="20"/>
          <w:szCs w:val="20"/>
        </w:rPr>
        <w:t xml:space="preserve"> </w:t>
      </w:r>
      <w:r>
        <w:rPr>
          <w:spacing w:val="3"/>
          <w:sz w:val="20"/>
          <w:szCs w:val="20"/>
        </w:rPr>
        <w:t>同调度及全局优化。通过云计算、网络的协同联动，边缘计算技术打通云、边</w:t>
      </w:r>
      <w:r>
        <w:rPr>
          <w:spacing w:val="2"/>
          <w:sz w:val="20"/>
          <w:szCs w:val="20"/>
        </w:rPr>
        <w:t>、网、端等关键</w:t>
      </w:r>
      <w:r>
        <w:rPr>
          <w:sz w:val="20"/>
          <w:szCs w:val="20"/>
        </w:rPr>
        <w:t xml:space="preserve"> </w:t>
      </w:r>
      <w:r>
        <w:rPr>
          <w:spacing w:val="3"/>
          <w:sz w:val="20"/>
          <w:szCs w:val="20"/>
        </w:rPr>
        <w:t>环节，实现了工业互联网数据的纵向集成，可满足工业在敏捷连接、实时业务、数据聚合、应</w:t>
      </w:r>
      <w:r>
        <w:rPr>
          <w:spacing w:val="14"/>
          <w:sz w:val="20"/>
          <w:szCs w:val="20"/>
        </w:rPr>
        <w:t xml:space="preserve"> </w:t>
      </w:r>
      <w:r>
        <w:rPr>
          <w:spacing w:val="3"/>
          <w:sz w:val="20"/>
          <w:szCs w:val="20"/>
        </w:rPr>
        <w:t>用智能等方面的关键需求。作为工业互联网数据的第一入口，边缘计算基础设施</w:t>
      </w:r>
      <w:r>
        <w:rPr>
          <w:spacing w:val="2"/>
          <w:sz w:val="20"/>
          <w:szCs w:val="20"/>
        </w:rPr>
        <w:t>是各类工业应</w:t>
      </w:r>
      <w:r>
        <w:rPr>
          <w:sz w:val="20"/>
          <w:szCs w:val="20"/>
        </w:rPr>
        <w:t xml:space="preserve"> </w:t>
      </w:r>
      <w:r>
        <w:rPr>
          <w:spacing w:val="-1"/>
          <w:sz w:val="20"/>
          <w:szCs w:val="20"/>
        </w:rPr>
        <w:t>用的重要载体。公众号：项目管理课堂</w:t>
      </w:r>
    </w:p>
    <w:p w14:paraId="246B64A7">
      <w:pPr>
        <w:spacing w:before="92" w:line="224" w:lineRule="auto"/>
        <w:ind w:left="652"/>
        <w:rPr>
          <w:rFonts w:ascii="楷体" w:hAnsi="楷体" w:eastAsia="楷体" w:cs="楷体"/>
          <w:sz w:val="20"/>
          <w:szCs w:val="20"/>
        </w:rPr>
      </w:pPr>
      <w:r>
        <w:rPr>
          <w:rFonts w:ascii="楷体" w:hAnsi="楷体" w:eastAsia="楷体" w:cs="楷体"/>
          <w:b/>
          <w:bCs/>
          <w:spacing w:val="7"/>
          <w:sz w:val="20"/>
          <w:szCs w:val="20"/>
        </w:rPr>
        <w:t>6)工业智能技术</w:t>
      </w:r>
    </w:p>
    <w:p w14:paraId="3C3F2AE6">
      <w:pPr>
        <w:pStyle w:val="2"/>
        <w:spacing w:before="62" w:line="280" w:lineRule="auto"/>
        <w:ind w:left="260" w:right="19" w:firstLine="390"/>
        <w:jc w:val="both"/>
        <w:rPr>
          <w:sz w:val="20"/>
          <w:szCs w:val="20"/>
        </w:rPr>
      </w:pPr>
      <w:r>
        <w:rPr>
          <w:spacing w:val="5"/>
          <w:sz w:val="20"/>
          <w:szCs w:val="20"/>
        </w:rPr>
        <w:t>工业智能(亦称工业人工智能)技术是人工智能技术与工业融合发展形成的，贯穿于设计、</w:t>
      </w:r>
      <w:r>
        <w:rPr>
          <w:sz w:val="20"/>
          <w:szCs w:val="20"/>
        </w:rPr>
        <w:t xml:space="preserve"> </w:t>
      </w:r>
      <w:r>
        <w:rPr>
          <w:spacing w:val="3"/>
          <w:sz w:val="20"/>
          <w:szCs w:val="20"/>
        </w:rPr>
        <w:t>生产、管理、服务等工业领域的各个环节，已经实现了模仿甚至超越人类感知、分</w:t>
      </w:r>
      <w:r>
        <w:rPr>
          <w:spacing w:val="2"/>
          <w:sz w:val="20"/>
          <w:szCs w:val="20"/>
        </w:rPr>
        <w:t>析、决策等</w:t>
      </w:r>
      <w:r>
        <w:rPr>
          <w:sz w:val="20"/>
          <w:szCs w:val="20"/>
        </w:rPr>
        <w:t xml:space="preserve"> </w:t>
      </w:r>
      <w:r>
        <w:rPr>
          <w:spacing w:val="3"/>
          <w:sz w:val="20"/>
          <w:szCs w:val="20"/>
        </w:rPr>
        <w:t>能力的技术、方法、产品及应用系统。工业智能技术包括专家系统、机器学习、知识图</w:t>
      </w:r>
      <w:r>
        <w:rPr>
          <w:spacing w:val="2"/>
          <w:sz w:val="20"/>
          <w:szCs w:val="20"/>
        </w:rPr>
        <w:t>谱、深</w:t>
      </w:r>
      <w:r>
        <w:rPr>
          <w:sz w:val="20"/>
          <w:szCs w:val="20"/>
        </w:rPr>
        <w:t xml:space="preserve"> </w:t>
      </w:r>
      <w:r>
        <w:rPr>
          <w:spacing w:val="-2"/>
          <w:sz w:val="20"/>
          <w:szCs w:val="20"/>
        </w:rPr>
        <w:t>度学习等，已在工业系统各层级、各环节广泛应用，其细分应用场景已达到数十种。</w:t>
      </w:r>
    </w:p>
    <w:p w14:paraId="706A3DBB">
      <w:pPr>
        <w:spacing w:before="125" w:line="223" w:lineRule="auto"/>
        <w:ind w:left="650"/>
        <w:rPr>
          <w:rFonts w:ascii="楷体" w:hAnsi="楷体" w:eastAsia="楷体" w:cs="楷体"/>
          <w:sz w:val="20"/>
          <w:szCs w:val="20"/>
        </w:rPr>
      </w:pPr>
      <w:r>
        <w:rPr>
          <w:rFonts w:ascii="楷体" w:hAnsi="楷体" w:eastAsia="楷体" w:cs="楷体"/>
          <w:spacing w:val="10"/>
          <w:sz w:val="20"/>
          <w:szCs w:val="20"/>
        </w:rPr>
        <w:t>7)数字孪生技术</w:t>
      </w:r>
    </w:p>
    <w:p w14:paraId="43542237">
      <w:pPr>
        <w:pStyle w:val="2"/>
        <w:spacing w:before="61" w:line="280" w:lineRule="auto"/>
        <w:ind w:left="260" w:right="84" w:firstLine="390"/>
        <w:rPr>
          <w:sz w:val="20"/>
          <w:szCs w:val="20"/>
        </w:rPr>
      </w:pPr>
      <w:r>
        <w:rPr>
          <w:spacing w:val="8"/>
          <w:sz w:val="20"/>
          <w:szCs w:val="20"/>
        </w:rPr>
        <w:t>数字孪生技术是指通过数字空间实时构建物理对象(包括资产、行为、过程等</w:t>
      </w:r>
      <w:r>
        <w:rPr>
          <w:spacing w:val="7"/>
          <w:sz w:val="20"/>
          <w:szCs w:val="20"/>
        </w:rPr>
        <w:t>)的精准数</w:t>
      </w:r>
      <w:r>
        <w:rPr>
          <w:sz w:val="20"/>
          <w:szCs w:val="20"/>
        </w:rPr>
        <w:t xml:space="preserve"> </w:t>
      </w:r>
      <w:r>
        <w:rPr>
          <w:spacing w:val="3"/>
          <w:sz w:val="20"/>
          <w:szCs w:val="20"/>
        </w:rPr>
        <w:t>字化映射，通过针对数字空间的分析预测支持形成最佳综合决策，进而实现工业全业务流程的</w:t>
      </w:r>
      <w:r>
        <w:rPr>
          <w:spacing w:val="1"/>
          <w:sz w:val="20"/>
          <w:szCs w:val="20"/>
        </w:rPr>
        <w:t xml:space="preserve"> </w:t>
      </w:r>
      <w:r>
        <w:rPr>
          <w:spacing w:val="3"/>
          <w:sz w:val="20"/>
          <w:szCs w:val="20"/>
        </w:rPr>
        <w:t>闭环优化。数字孪生技术以数据与模型的集成融合为核心，是由制造技术、信</w:t>
      </w:r>
      <w:r>
        <w:rPr>
          <w:spacing w:val="2"/>
          <w:sz w:val="20"/>
          <w:szCs w:val="20"/>
        </w:rPr>
        <w:t>息技术和融合性</w:t>
      </w:r>
      <w:r>
        <w:rPr>
          <w:sz w:val="20"/>
          <w:szCs w:val="20"/>
        </w:rPr>
        <w:t xml:space="preserve"> </w:t>
      </w:r>
      <w:r>
        <w:rPr>
          <w:spacing w:val="-2"/>
          <w:sz w:val="20"/>
          <w:szCs w:val="20"/>
        </w:rPr>
        <w:t>技术交织在一起形成的新产物、新模式，覆盖产品全生命周期及生产的全过程。</w:t>
      </w:r>
    </w:p>
    <w:p w14:paraId="6B8CE31D">
      <w:pPr>
        <w:spacing w:before="99" w:line="230" w:lineRule="auto"/>
        <w:ind w:left="652"/>
        <w:rPr>
          <w:rFonts w:ascii="楷体" w:hAnsi="楷体" w:eastAsia="楷体" w:cs="楷体"/>
          <w:sz w:val="20"/>
          <w:szCs w:val="20"/>
        </w:rPr>
      </w:pPr>
      <w:r>
        <w:rPr>
          <w:rFonts w:ascii="楷体" w:hAnsi="楷体" w:eastAsia="楷体" w:cs="楷体"/>
          <w:b/>
          <w:bCs/>
          <w:spacing w:val="10"/>
          <w:sz w:val="20"/>
          <w:szCs w:val="20"/>
        </w:rPr>
        <w:t>8)区块链技术</w:t>
      </w:r>
    </w:p>
    <w:p w14:paraId="5AACEA46">
      <w:pPr>
        <w:pStyle w:val="2"/>
        <w:spacing w:before="80" w:line="270" w:lineRule="auto"/>
        <w:ind w:left="260" w:right="19" w:firstLine="390"/>
        <w:jc w:val="both"/>
        <w:rPr>
          <w:sz w:val="20"/>
          <w:szCs w:val="20"/>
        </w:rPr>
      </w:pPr>
      <w:r>
        <w:rPr>
          <w:sz w:val="20"/>
          <w:szCs w:val="20"/>
        </w:rPr>
        <w:t>区块链技术在工业互联网中能够解决高价值制造数据的追溯问题，充分发挥促进数据共</w:t>
      </w:r>
      <w:r>
        <w:rPr>
          <w:spacing w:val="-1"/>
          <w:sz w:val="20"/>
          <w:szCs w:val="20"/>
        </w:rPr>
        <w:t>享、</w:t>
      </w:r>
      <w:r>
        <w:rPr>
          <w:sz w:val="20"/>
          <w:szCs w:val="20"/>
        </w:rPr>
        <w:t xml:space="preserve"> </w:t>
      </w:r>
      <w:r>
        <w:rPr>
          <w:spacing w:val="3"/>
          <w:sz w:val="20"/>
          <w:szCs w:val="20"/>
        </w:rPr>
        <w:t>优化业务流程、降低运营成本、提升协同效率、建设可信体系等方面的作用，有助于打</w:t>
      </w:r>
      <w:r>
        <w:rPr>
          <w:spacing w:val="2"/>
          <w:sz w:val="20"/>
          <w:szCs w:val="20"/>
        </w:rPr>
        <w:t>通数据</w:t>
      </w:r>
      <w:r>
        <w:rPr>
          <w:sz w:val="20"/>
          <w:szCs w:val="20"/>
        </w:rPr>
        <w:t xml:space="preserve"> </w:t>
      </w:r>
      <w:r>
        <w:rPr>
          <w:spacing w:val="3"/>
          <w:sz w:val="20"/>
          <w:szCs w:val="20"/>
        </w:rPr>
        <w:t>孤岛，加速工业企业内部的生产流程管理和设备安全互连。此外，区块链技术</w:t>
      </w:r>
      <w:r>
        <w:rPr>
          <w:spacing w:val="2"/>
          <w:sz w:val="20"/>
          <w:szCs w:val="20"/>
        </w:rPr>
        <w:t>还能够辅助制造</w:t>
      </w:r>
      <w:r>
        <w:rPr>
          <w:sz w:val="20"/>
          <w:szCs w:val="20"/>
        </w:rPr>
        <w:t xml:space="preserve"> </w:t>
      </w:r>
      <w:r>
        <w:rPr>
          <w:spacing w:val="4"/>
          <w:sz w:val="20"/>
          <w:szCs w:val="20"/>
        </w:rPr>
        <w:t>业在不同主体间进行高效协同，例如在工业</w:t>
      </w:r>
      <w:r>
        <w:rPr>
          <w:spacing w:val="3"/>
          <w:sz w:val="20"/>
          <w:szCs w:val="20"/>
        </w:rPr>
        <w:t>企业之间实现产业链协同，在工业企业和金融机构</w:t>
      </w:r>
    </w:p>
    <w:p w14:paraId="0875A42C">
      <w:pPr>
        <w:spacing w:line="270" w:lineRule="auto"/>
        <w:rPr>
          <w:sz w:val="20"/>
          <w:szCs w:val="20"/>
        </w:rPr>
        <w:sectPr>
          <w:pgSz w:w="10340" w:h="13420"/>
          <w:pgMar w:top="400" w:right="1130" w:bottom="400" w:left="539" w:header="0" w:footer="0" w:gutter="0"/>
          <w:cols w:space="720" w:num="1"/>
        </w:sectPr>
      </w:pPr>
    </w:p>
    <w:p w14:paraId="4D4DAD01">
      <w:pPr>
        <w:pStyle w:val="2"/>
        <w:spacing w:before="57" w:line="219" w:lineRule="auto"/>
        <w:jc w:val="right"/>
        <w:rPr>
          <w:rFonts w:ascii="Times New Roman" w:hAnsi="Times New Roman" w:eastAsia="Times New Roman" w:cs="Times New Roman"/>
          <w:sz w:val="20"/>
          <w:szCs w:val="20"/>
        </w:rPr>
      </w:pPr>
      <w:r>
        <w:rPr>
          <w:spacing w:val="-3"/>
          <w:sz w:val="20"/>
          <w:szCs w:val="20"/>
        </w:rPr>
        <w:t xml:space="preserve">第1章 信息与信息化       </w:t>
      </w:r>
      <w:r>
        <w:rPr>
          <w:rFonts w:ascii="Times New Roman" w:hAnsi="Times New Roman" w:eastAsia="Times New Roman" w:cs="Times New Roman"/>
          <w:spacing w:val="-3"/>
          <w:position w:val="1"/>
          <w:sz w:val="20"/>
          <w:szCs w:val="20"/>
        </w:rPr>
        <w:t>19</w:t>
      </w:r>
    </w:p>
    <w:p w14:paraId="100A4E8A">
      <w:pPr>
        <w:spacing w:line="297" w:lineRule="auto"/>
        <w:rPr>
          <w:rFonts w:ascii="Arial"/>
          <w:sz w:val="21"/>
        </w:rPr>
      </w:pPr>
    </w:p>
    <w:p w14:paraId="19A7F261">
      <w:pPr>
        <w:pStyle w:val="2"/>
        <w:spacing w:before="65" w:line="219" w:lineRule="auto"/>
        <w:rPr>
          <w:sz w:val="20"/>
          <w:szCs w:val="20"/>
        </w:rPr>
      </w:pPr>
      <w:r>
        <w:rPr>
          <w:spacing w:val="-3"/>
          <w:sz w:val="20"/>
          <w:szCs w:val="20"/>
        </w:rPr>
        <w:t>之间构筑可信互连的新型产融协同生态。</w:t>
      </w:r>
    </w:p>
    <w:p w14:paraId="6DE05748">
      <w:pPr>
        <w:spacing w:before="130" w:line="212" w:lineRule="auto"/>
        <w:ind w:left="410"/>
        <w:rPr>
          <w:rFonts w:ascii="楷体" w:hAnsi="楷体" w:eastAsia="楷体" w:cs="楷体"/>
          <w:sz w:val="20"/>
          <w:szCs w:val="20"/>
        </w:rPr>
      </w:pPr>
      <w:r>
        <w:rPr>
          <w:rFonts w:ascii="楷体" w:hAnsi="楷体" w:eastAsia="楷体" w:cs="楷体"/>
          <w:spacing w:val="13"/>
          <w:sz w:val="20"/>
          <w:szCs w:val="20"/>
        </w:rPr>
        <w:t>9)虚拟现实</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VR</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1"/>
          <w:sz w:val="20"/>
          <w:szCs w:val="20"/>
        </w:rPr>
        <w:t xml:space="preserve">     </w:t>
      </w:r>
      <w:r>
        <w:rPr>
          <w:rFonts w:ascii="楷体" w:hAnsi="楷体" w:eastAsia="楷体" w:cs="楷体"/>
          <w:spacing w:val="13"/>
          <w:sz w:val="20"/>
          <w:szCs w:val="20"/>
        </w:rPr>
        <w:t>增强现实</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AR</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16"/>
          <w:w w:val="101"/>
          <w:sz w:val="20"/>
          <w:szCs w:val="20"/>
        </w:rPr>
        <w:t xml:space="preserve">   </w:t>
      </w:r>
      <w:r>
        <w:rPr>
          <w:rFonts w:ascii="楷体" w:hAnsi="楷体" w:eastAsia="楷体" w:cs="楷体"/>
          <w:spacing w:val="13"/>
          <w:sz w:val="20"/>
          <w:szCs w:val="20"/>
        </w:rPr>
        <w:t>技术</w:t>
      </w:r>
    </w:p>
    <w:p w14:paraId="0BC1F7AC">
      <w:pPr>
        <w:pStyle w:val="2"/>
        <w:spacing w:before="111" w:line="281" w:lineRule="auto"/>
        <w:ind w:right="196" w:firstLine="410"/>
        <w:rPr>
          <w:sz w:val="20"/>
          <w:szCs w:val="20"/>
        </w:rPr>
      </w:pPr>
      <w:r>
        <w:rPr>
          <w:rFonts w:ascii="Times New Roman" w:hAnsi="Times New Roman" w:eastAsia="Times New Roman" w:cs="Times New Roman"/>
          <w:sz w:val="20"/>
          <w:szCs w:val="20"/>
        </w:rPr>
        <w:t>VR</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AR</w:t>
      </w:r>
      <w:r>
        <w:rPr>
          <w:spacing w:val="3"/>
          <w:sz w:val="20"/>
          <w:szCs w:val="20"/>
        </w:rPr>
        <w:t>技术在工业领域中有诸多应用场景。例如，工程师和设计师可以使用</w:t>
      </w:r>
      <w:r>
        <w:rPr>
          <w:rFonts w:ascii="Times New Roman" w:hAnsi="Times New Roman" w:eastAsia="Times New Roman" w:cs="Times New Roman"/>
          <w:sz w:val="20"/>
          <w:szCs w:val="20"/>
        </w:rPr>
        <w:t>VR</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AR</w:t>
      </w:r>
      <w:r>
        <w:rPr>
          <w:rFonts w:ascii="Times New Roman" w:hAnsi="Times New Roman" w:eastAsia="Times New Roman" w:cs="Times New Roman"/>
          <w:spacing w:val="3"/>
          <w:sz w:val="20"/>
          <w:szCs w:val="20"/>
        </w:rPr>
        <w:t xml:space="preserve"> </w:t>
      </w:r>
      <w:r>
        <w:rPr>
          <w:spacing w:val="3"/>
          <w:sz w:val="20"/>
          <w:szCs w:val="20"/>
        </w:rPr>
        <w:t>技术，</w:t>
      </w:r>
      <w:r>
        <w:rPr>
          <w:spacing w:val="8"/>
          <w:sz w:val="20"/>
          <w:szCs w:val="20"/>
        </w:rPr>
        <w:t xml:space="preserve"> </w:t>
      </w:r>
      <w:r>
        <w:rPr>
          <w:spacing w:val="3"/>
          <w:sz w:val="20"/>
          <w:szCs w:val="20"/>
        </w:rPr>
        <w:t>以新的动态方式协作、审查3D</w:t>
      </w:r>
      <w:r>
        <w:rPr>
          <w:spacing w:val="-26"/>
          <w:sz w:val="20"/>
          <w:szCs w:val="20"/>
        </w:rPr>
        <w:t xml:space="preserve"> </w:t>
      </w:r>
      <w:r>
        <w:rPr>
          <w:spacing w:val="3"/>
          <w:sz w:val="20"/>
          <w:szCs w:val="20"/>
        </w:rPr>
        <w:t>模型和数字原型。此</w:t>
      </w:r>
      <w:r>
        <w:rPr>
          <w:spacing w:val="2"/>
          <w:sz w:val="20"/>
          <w:szCs w:val="20"/>
        </w:rPr>
        <w:t>外，</w:t>
      </w:r>
      <w:r>
        <w:rPr>
          <w:sz w:val="20"/>
          <w:szCs w:val="20"/>
        </w:rPr>
        <w:t>AR</w:t>
      </w:r>
      <w:r>
        <w:rPr>
          <w:spacing w:val="32"/>
          <w:sz w:val="20"/>
          <w:szCs w:val="20"/>
        </w:rPr>
        <w:t xml:space="preserve"> </w:t>
      </w:r>
      <w:r>
        <w:rPr>
          <w:spacing w:val="2"/>
          <w:sz w:val="20"/>
          <w:szCs w:val="20"/>
        </w:rPr>
        <w:t>技术还能够实现产品可视化，增强</w:t>
      </w:r>
      <w:r>
        <w:rPr>
          <w:sz w:val="20"/>
          <w:szCs w:val="20"/>
        </w:rPr>
        <w:t xml:space="preserve">  </w:t>
      </w:r>
      <w:r>
        <w:rPr>
          <w:spacing w:val="-1"/>
          <w:sz w:val="20"/>
          <w:szCs w:val="20"/>
        </w:rPr>
        <w:t>显示产品操作说明，改善现场机械和产品的操作水平等。</w:t>
      </w:r>
      <w:r>
        <w:rPr>
          <w:rFonts w:ascii="Times New Roman" w:hAnsi="Times New Roman" w:eastAsia="Times New Roman" w:cs="Times New Roman"/>
          <w:spacing w:val="-1"/>
          <w:sz w:val="20"/>
          <w:szCs w:val="20"/>
        </w:rPr>
        <w:t>VR</w:t>
      </w:r>
      <w:r>
        <w:rPr>
          <w:rFonts w:ascii="Times New Roman" w:hAnsi="Times New Roman" w:eastAsia="Times New Roman" w:cs="Times New Roman"/>
          <w:spacing w:val="-2"/>
          <w:sz w:val="20"/>
          <w:szCs w:val="20"/>
        </w:rPr>
        <w:t xml:space="preserve">/AR </w:t>
      </w:r>
      <w:r>
        <w:rPr>
          <w:spacing w:val="-2"/>
          <w:sz w:val="20"/>
          <w:szCs w:val="20"/>
        </w:rPr>
        <w:t>技术在产品开发、设计、制造、</w:t>
      </w:r>
      <w:r>
        <w:rPr>
          <w:sz w:val="20"/>
          <w:szCs w:val="20"/>
        </w:rPr>
        <w:t xml:space="preserve"> </w:t>
      </w:r>
      <w:r>
        <w:rPr>
          <w:spacing w:val="3"/>
          <w:sz w:val="20"/>
          <w:szCs w:val="20"/>
        </w:rPr>
        <w:t>销售、服务、物流、培训、产品体验等多个环节均可进行</w:t>
      </w:r>
      <w:r>
        <w:rPr>
          <w:spacing w:val="2"/>
          <w:sz w:val="20"/>
          <w:szCs w:val="20"/>
        </w:rPr>
        <w:t>部署应用，其可视化和增强功能将会</w:t>
      </w:r>
      <w:r>
        <w:rPr>
          <w:sz w:val="20"/>
          <w:szCs w:val="20"/>
        </w:rPr>
        <w:t xml:space="preserve">  </w:t>
      </w:r>
      <w:r>
        <w:rPr>
          <w:spacing w:val="-3"/>
          <w:sz w:val="20"/>
          <w:szCs w:val="20"/>
        </w:rPr>
        <w:t>对工业生产带来较大的影响。</w:t>
      </w:r>
    </w:p>
    <w:p w14:paraId="51E4BD27">
      <w:pPr>
        <w:pStyle w:val="2"/>
        <w:spacing w:before="198" w:line="220" w:lineRule="auto"/>
        <w:ind w:left="2"/>
        <w:rPr>
          <w:sz w:val="26"/>
          <w:szCs w:val="26"/>
        </w:rPr>
      </w:pPr>
      <w:bookmarkStart w:id="487" w:name="bookmark474"/>
      <w:bookmarkEnd w:id="487"/>
      <w:r>
        <w:rPr>
          <w:b/>
          <w:bCs/>
          <w:color w:val="005AD2"/>
          <w:spacing w:val="-26"/>
          <w:sz w:val="26"/>
          <w:szCs w:val="26"/>
        </w:rPr>
        <w:t>1.3.5</w:t>
      </w:r>
      <w:r>
        <w:rPr>
          <w:color w:val="005AD2"/>
          <w:spacing w:val="86"/>
          <w:sz w:val="26"/>
          <w:szCs w:val="26"/>
        </w:rPr>
        <w:t xml:space="preserve"> </w:t>
      </w:r>
      <w:r>
        <w:rPr>
          <w:b/>
          <w:bCs/>
          <w:color w:val="005AD2"/>
          <w:spacing w:val="-26"/>
          <w:sz w:val="26"/>
          <w:szCs w:val="26"/>
        </w:rPr>
        <w:t>区块链</w:t>
      </w:r>
    </w:p>
    <w:p w14:paraId="437B67F7">
      <w:pPr>
        <w:pStyle w:val="2"/>
        <w:spacing w:before="129" w:line="283" w:lineRule="auto"/>
        <w:ind w:right="196" w:firstLine="410"/>
        <w:jc w:val="both"/>
        <w:rPr>
          <w:sz w:val="20"/>
          <w:szCs w:val="20"/>
        </w:rPr>
      </w:pPr>
      <w:r>
        <w:rPr>
          <w:spacing w:val="4"/>
          <w:sz w:val="20"/>
          <w:szCs w:val="20"/>
        </w:rPr>
        <w:t>区块链</w:t>
      </w:r>
      <w:r>
        <w:rPr>
          <w:spacing w:val="-50"/>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Blockchain</w:t>
      </w:r>
      <w:r>
        <w:rPr>
          <w:rFonts w:ascii="Times New Roman" w:hAnsi="Times New Roman" w:eastAsia="Times New Roman" w:cs="Times New Roman"/>
          <w:spacing w:val="4"/>
          <w:sz w:val="20"/>
          <w:szCs w:val="20"/>
        </w:rPr>
        <w:t xml:space="preserve">)   </w:t>
      </w:r>
      <w:r>
        <w:rPr>
          <w:spacing w:val="4"/>
          <w:sz w:val="20"/>
          <w:szCs w:val="20"/>
        </w:rPr>
        <w:t>技术作为以去中心化方式集体维护可信数据库的技</w:t>
      </w:r>
      <w:r>
        <w:rPr>
          <w:spacing w:val="3"/>
          <w:sz w:val="20"/>
          <w:szCs w:val="20"/>
        </w:rPr>
        <w:t>术，正与大数据、</w:t>
      </w:r>
      <w:r>
        <w:rPr>
          <w:sz w:val="20"/>
          <w:szCs w:val="20"/>
        </w:rPr>
        <w:t xml:space="preserve"> 云计算、人工智能、5G 等新一代信息技术快速融合，已应用到政务、医疗、公益慈善、司法治</w:t>
      </w:r>
      <w:r>
        <w:rPr>
          <w:spacing w:val="7"/>
          <w:sz w:val="20"/>
          <w:szCs w:val="20"/>
        </w:rPr>
        <w:t xml:space="preserve">  </w:t>
      </w:r>
      <w:r>
        <w:rPr>
          <w:spacing w:val="-2"/>
          <w:sz w:val="20"/>
          <w:szCs w:val="20"/>
        </w:rPr>
        <w:t>理等各个重要领域，支持推动人类从信息互联网时代步入价值互联网时代。</w:t>
      </w:r>
    </w:p>
    <w:p w14:paraId="416A84F9">
      <w:pPr>
        <w:pStyle w:val="2"/>
        <w:spacing w:before="126" w:line="221" w:lineRule="auto"/>
        <w:ind w:left="412"/>
        <w:rPr>
          <w:rFonts w:ascii="黑体" w:hAnsi="黑体" w:eastAsia="黑体" w:cs="黑体"/>
          <w:sz w:val="20"/>
          <w:szCs w:val="20"/>
        </w:rPr>
      </w:pPr>
      <w:r>
        <w:rPr>
          <w:b/>
          <w:bCs/>
          <w:color w:val="0057C9"/>
          <w:spacing w:val="-3"/>
          <w:sz w:val="20"/>
          <w:szCs w:val="20"/>
        </w:rPr>
        <w:t>1.</w:t>
      </w:r>
      <w:r>
        <w:rPr>
          <w:rFonts w:ascii="黑体" w:hAnsi="黑体" w:eastAsia="黑体" w:cs="黑体"/>
          <w:b/>
          <w:bCs/>
          <w:color w:val="0057C9"/>
          <w:spacing w:val="-3"/>
          <w:sz w:val="20"/>
          <w:szCs w:val="20"/>
        </w:rPr>
        <w:t>区块链的定义及发展</w:t>
      </w:r>
    </w:p>
    <w:p w14:paraId="614E5491">
      <w:pPr>
        <w:pStyle w:val="2"/>
        <w:spacing w:before="156" w:line="283" w:lineRule="auto"/>
        <w:ind w:right="269" w:firstLine="410"/>
        <w:jc w:val="both"/>
        <w:rPr>
          <w:sz w:val="20"/>
          <w:szCs w:val="20"/>
        </w:rPr>
      </w:pPr>
      <w:r>
        <w:rPr>
          <w:spacing w:val="7"/>
          <w:sz w:val="20"/>
          <w:szCs w:val="20"/>
        </w:rPr>
        <w:t>根据工信部2016年10月发布的《中国区块链技术和应用发展白皮书》的定义：区块链是</w:t>
      </w:r>
      <w:r>
        <w:rPr>
          <w:spacing w:val="12"/>
          <w:sz w:val="20"/>
          <w:szCs w:val="20"/>
        </w:rPr>
        <w:t xml:space="preserve"> </w:t>
      </w:r>
      <w:r>
        <w:rPr>
          <w:spacing w:val="3"/>
          <w:sz w:val="20"/>
          <w:szCs w:val="20"/>
        </w:rPr>
        <w:t>一种按照时间顺序将数据区块以顺序相连的方式组合成的一种链式数据结构，并以密码学方式 保证的不可篡改和不可伪造的分布式账本。区块链可以理</w:t>
      </w:r>
      <w:r>
        <w:rPr>
          <w:spacing w:val="2"/>
          <w:sz w:val="20"/>
          <w:szCs w:val="20"/>
        </w:rPr>
        <w:t>解为一个多方协作数据库，区块链技</w:t>
      </w:r>
      <w:r>
        <w:rPr>
          <w:sz w:val="20"/>
          <w:szCs w:val="20"/>
        </w:rPr>
        <w:t xml:space="preserve"> 术是一种分布式账本的记账技术。</w:t>
      </w:r>
      <w:r>
        <w:rPr>
          <w:rFonts w:ascii="Times New Roman" w:hAnsi="Times New Roman" w:eastAsia="Times New Roman" w:cs="Times New Roman"/>
          <w:sz w:val="20"/>
          <w:szCs w:val="20"/>
        </w:rPr>
        <w:t>ISO  22739</w:t>
      </w:r>
      <w:r>
        <w:rPr>
          <w:sz w:val="20"/>
          <w:szCs w:val="20"/>
        </w:rPr>
        <w:t>《区块链和分布式</w:t>
      </w:r>
      <w:r>
        <w:rPr>
          <w:spacing w:val="-1"/>
          <w:sz w:val="20"/>
          <w:szCs w:val="20"/>
        </w:rPr>
        <w:t>记账技术术语》国际标准中，将</w:t>
      </w:r>
      <w:r>
        <w:rPr>
          <w:sz w:val="20"/>
          <w:szCs w:val="20"/>
        </w:rPr>
        <w:t xml:space="preserve"> </w:t>
      </w:r>
      <w:r>
        <w:rPr>
          <w:spacing w:val="3"/>
          <w:sz w:val="20"/>
          <w:szCs w:val="20"/>
        </w:rPr>
        <w:t>区块链定义为使用密码技术链接，将共识确认过的区块按顺序</w:t>
      </w:r>
      <w:r>
        <w:rPr>
          <w:spacing w:val="2"/>
          <w:sz w:val="20"/>
          <w:szCs w:val="20"/>
        </w:rPr>
        <w:t>追加而形成的分布式账本。狭义</w:t>
      </w:r>
      <w:r>
        <w:rPr>
          <w:sz w:val="20"/>
          <w:szCs w:val="20"/>
        </w:rPr>
        <w:t xml:space="preserve"> </w:t>
      </w:r>
      <w:r>
        <w:rPr>
          <w:spacing w:val="3"/>
          <w:sz w:val="20"/>
          <w:szCs w:val="20"/>
        </w:rPr>
        <w:t>上，区块链是一种链式数据结构，一种分布式账本。广义上</w:t>
      </w:r>
      <w:r>
        <w:rPr>
          <w:spacing w:val="2"/>
          <w:sz w:val="20"/>
          <w:szCs w:val="20"/>
        </w:rPr>
        <w:t>，区块链是一种技术，是利用块链</w:t>
      </w:r>
      <w:r>
        <w:rPr>
          <w:sz w:val="20"/>
          <w:szCs w:val="20"/>
        </w:rPr>
        <w:t xml:space="preserve"> </w:t>
      </w:r>
      <w:r>
        <w:rPr>
          <w:spacing w:val="3"/>
          <w:sz w:val="20"/>
          <w:szCs w:val="20"/>
        </w:rPr>
        <w:t>式数据结构来验证与存储数据、利用分布式节点共识算</w:t>
      </w:r>
      <w:r>
        <w:rPr>
          <w:spacing w:val="2"/>
          <w:sz w:val="20"/>
          <w:szCs w:val="20"/>
        </w:rPr>
        <w:t>法来生成和更新数据、利用密码学的方</w:t>
      </w:r>
      <w:r>
        <w:rPr>
          <w:sz w:val="20"/>
          <w:szCs w:val="20"/>
        </w:rPr>
        <w:t xml:space="preserve"> </w:t>
      </w:r>
      <w:r>
        <w:rPr>
          <w:spacing w:val="3"/>
          <w:sz w:val="20"/>
          <w:szCs w:val="20"/>
        </w:rPr>
        <w:t>式保证数据传输和访问的安全、利用由自动化脚本代码组成的</w:t>
      </w:r>
      <w:r>
        <w:rPr>
          <w:spacing w:val="2"/>
          <w:sz w:val="20"/>
          <w:szCs w:val="20"/>
        </w:rPr>
        <w:t>智能合约来编程和操作数据的一</w:t>
      </w:r>
      <w:r>
        <w:rPr>
          <w:sz w:val="20"/>
          <w:szCs w:val="20"/>
        </w:rPr>
        <w:t xml:space="preserve"> </w:t>
      </w:r>
      <w:r>
        <w:rPr>
          <w:spacing w:val="-4"/>
          <w:sz w:val="20"/>
          <w:szCs w:val="20"/>
        </w:rPr>
        <w:t>种全新的分布式基础架构与计算范式。</w:t>
      </w:r>
    </w:p>
    <w:p w14:paraId="61EAF680">
      <w:pPr>
        <w:pStyle w:val="2"/>
        <w:spacing w:before="39" w:line="282" w:lineRule="auto"/>
        <w:ind w:right="283" w:firstLine="410"/>
        <w:rPr>
          <w:sz w:val="20"/>
          <w:szCs w:val="20"/>
        </w:rPr>
      </w:pPr>
      <w:r>
        <w:rPr>
          <w:spacing w:val="3"/>
          <w:sz w:val="20"/>
          <w:szCs w:val="20"/>
        </w:rPr>
        <w:t>经过十余年的发展，区块链已逐渐被社会认知，并应用</w:t>
      </w:r>
      <w:r>
        <w:rPr>
          <w:spacing w:val="2"/>
          <w:sz w:val="20"/>
          <w:szCs w:val="20"/>
        </w:rPr>
        <w:t>于多个领域。区块链发展大致经历</w:t>
      </w:r>
      <w:r>
        <w:rPr>
          <w:sz w:val="20"/>
          <w:szCs w:val="20"/>
        </w:rPr>
        <w:t xml:space="preserve"> </w:t>
      </w:r>
      <w:r>
        <w:rPr>
          <w:spacing w:val="-10"/>
          <w:sz w:val="20"/>
          <w:szCs w:val="20"/>
        </w:rPr>
        <w:t>了三个阶段：</w:t>
      </w:r>
    </w:p>
    <w:p w14:paraId="6DC796DE">
      <w:pPr>
        <w:pStyle w:val="2"/>
        <w:spacing w:before="1" w:line="261" w:lineRule="auto"/>
        <w:ind w:right="260" w:firstLine="410"/>
        <w:rPr>
          <w:sz w:val="20"/>
          <w:szCs w:val="20"/>
        </w:rPr>
      </w:pPr>
      <w:r>
        <w:rPr>
          <w:spacing w:val="10"/>
          <w:sz w:val="20"/>
          <w:szCs w:val="20"/>
        </w:rPr>
        <w:t>(1)第一阶段：技术验证阶段。2009年至2013年，区块链被应用在比特币</w:t>
      </w:r>
      <w:r>
        <w:rPr>
          <w:spacing w:val="9"/>
          <w:sz w:val="20"/>
          <w:szCs w:val="20"/>
        </w:rPr>
        <w:t>的交易信息加</w:t>
      </w:r>
      <w:r>
        <w:rPr>
          <w:sz w:val="20"/>
          <w:szCs w:val="20"/>
        </w:rPr>
        <w:t xml:space="preserve"> </w:t>
      </w:r>
      <w:r>
        <w:rPr>
          <w:spacing w:val="-7"/>
          <w:sz w:val="20"/>
          <w:szCs w:val="20"/>
        </w:rPr>
        <w:t>密传输上。</w:t>
      </w:r>
    </w:p>
    <w:p w14:paraId="7DBE4217">
      <w:pPr>
        <w:pStyle w:val="2"/>
        <w:spacing w:before="65" w:line="257" w:lineRule="auto"/>
        <w:ind w:right="234" w:firstLine="410"/>
        <w:rPr>
          <w:sz w:val="20"/>
          <w:szCs w:val="20"/>
        </w:rPr>
      </w:pPr>
      <w:r>
        <w:rPr>
          <w:spacing w:val="10"/>
          <w:sz w:val="20"/>
          <w:szCs w:val="20"/>
        </w:rPr>
        <w:t>(2)第二阶段：平台发展阶段。2014年至2017年，随着智能合约的提出，区块链实现可</w:t>
      </w:r>
      <w:r>
        <w:rPr>
          <w:spacing w:val="7"/>
          <w:sz w:val="20"/>
          <w:szCs w:val="20"/>
        </w:rPr>
        <w:t xml:space="preserve"> </w:t>
      </w:r>
      <w:r>
        <w:rPr>
          <w:spacing w:val="3"/>
          <w:sz w:val="20"/>
          <w:szCs w:val="20"/>
        </w:rPr>
        <w:t>编程，可记录程序计算结果，极大丰富了应用潜力，进入</w:t>
      </w:r>
      <w:r>
        <w:rPr>
          <w:spacing w:val="2"/>
          <w:sz w:val="20"/>
          <w:szCs w:val="20"/>
        </w:rPr>
        <w:t>平台发展阶段。该阶段区块链主要应</w:t>
      </w:r>
      <w:r>
        <w:rPr>
          <w:sz w:val="20"/>
          <w:szCs w:val="20"/>
        </w:rPr>
        <w:t xml:space="preserve"> </w:t>
      </w:r>
      <w:r>
        <w:rPr>
          <w:spacing w:val="-1"/>
          <w:sz w:val="20"/>
          <w:szCs w:val="20"/>
        </w:rPr>
        <w:t>用于金融领域，在无须第三方介入的情况下，解决数字资产兑换、转账操作、跨行支付等问题。</w:t>
      </w:r>
    </w:p>
    <w:p w14:paraId="588F114B">
      <w:pPr>
        <w:pStyle w:val="2"/>
        <w:spacing w:before="73" w:line="264" w:lineRule="auto"/>
        <w:ind w:right="265" w:firstLine="410"/>
        <w:rPr>
          <w:sz w:val="20"/>
          <w:szCs w:val="20"/>
        </w:rPr>
      </w:pPr>
      <w:r>
        <w:rPr>
          <w:spacing w:val="5"/>
          <w:sz w:val="20"/>
          <w:szCs w:val="20"/>
        </w:rPr>
        <w:t>(3)第三阶段：产业应用阶段。2018年至今，区块链技术作为未来的可信基础设施，拓展</w:t>
      </w:r>
      <w:r>
        <w:rPr>
          <w:spacing w:val="10"/>
          <w:sz w:val="20"/>
          <w:szCs w:val="20"/>
        </w:rPr>
        <w:t xml:space="preserve"> </w:t>
      </w:r>
      <w:r>
        <w:rPr>
          <w:spacing w:val="3"/>
          <w:sz w:val="20"/>
          <w:szCs w:val="20"/>
        </w:rPr>
        <w:t>到金融行业之外的其他各行业的应用中，被广泛应用于供应</w:t>
      </w:r>
      <w:r>
        <w:rPr>
          <w:spacing w:val="2"/>
          <w:sz w:val="20"/>
          <w:szCs w:val="20"/>
        </w:rPr>
        <w:t>链管理、司法记录、数字版权、食</w:t>
      </w:r>
      <w:r>
        <w:rPr>
          <w:sz w:val="20"/>
          <w:szCs w:val="20"/>
        </w:rPr>
        <w:t xml:space="preserve"> </w:t>
      </w:r>
      <w:r>
        <w:rPr>
          <w:spacing w:val="-2"/>
          <w:sz w:val="20"/>
          <w:szCs w:val="20"/>
        </w:rPr>
        <w:t>药溯源、交通出行等多个领域，区块链与实体经济深度结合。</w:t>
      </w:r>
    </w:p>
    <w:p w14:paraId="78120A1E">
      <w:pPr>
        <w:pStyle w:val="2"/>
        <w:spacing w:before="148" w:line="222" w:lineRule="auto"/>
        <w:ind w:left="412"/>
        <w:rPr>
          <w:rFonts w:ascii="黑体" w:hAnsi="黑体" w:eastAsia="黑体" w:cs="黑体"/>
          <w:sz w:val="20"/>
          <w:szCs w:val="20"/>
        </w:rPr>
      </w:pPr>
      <w:r>
        <w:rPr>
          <w:b/>
          <w:bCs/>
          <w:color w:val="0066DC"/>
          <w:spacing w:val="-1"/>
          <w:sz w:val="20"/>
          <w:szCs w:val="20"/>
        </w:rPr>
        <w:t>2.</w:t>
      </w:r>
      <w:r>
        <w:rPr>
          <w:rFonts w:ascii="黑体" w:hAnsi="黑体" w:eastAsia="黑体" w:cs="黑体"/>
          <w:b/>
          <w:bCs/>
          <w:color w:val="0066DC"/>
          <w:spacing w:val="-1"/>
          <w:sz w:val="20"/>
          <w:szCs w:val="20"/>
        </w:rPr>
        <w:t>区块链技术的特点</w:t>
      </w:r>
    </w:p>
    <w:p w14:paraId="517040E8">
      <w:pPr>
        <w:pStyle w:val="2"/>
        <w:spacing w:before="135" w:line="277" w:lineRule="auto"/>
        <w:ind w:right="265" w:firstLine="410"/>
        <w:jc w:val="both"/>
        <w:rPr>
          <w:sz w:val="20"/>
          <w:szCs w:val="20"/>
        </w:rPr>
      </w:pPr>
      <w:r>
        <w:rPr>
          <w:spacing w:val="3"/>
          <w:sz w:val="20"/>
          <w:szCs w:val="20"/>
        </w:rPr>
        <w:t>区块链通过哈希加密、非对称加密、数字签名等密码学方法</w:t>
      </w:r>
      <w:r>
        <w:rPr>
          <w:spacing w:val="2"/>
          <w:sz w:val="20"/>
          <w:szCs w:val="20"/>
        </w:rPr>
        <w:t>实现用户的匿名以及交易的确</w:t>
      </w:r>
      <w:r>
        <w:rPr>
          <w:sz w:val="20"/>
          <w:szCs w:val="20"/>
        </w:rPr>
        <w:t xml:space="preserve"> </w:t>
      </w:r>
      <w:r>
        <w:rPr>
          <w:spacing w:val="3"/>
          <w:sz w:val="20"/>
          <w:szCs w:val="20"/>
        </w:rPr>
        <w:t>认，通过共识机制对共同维护的数据达成一致，对信任危机提出了新的解决思路，具有多方协</w:t>
      </w:r>
      <w:r>
        <w:rPr>
          <w:spacing w:val="6"/>
          <w:sz w:val="20"/>
          <w:szCs w:val="20"/>
        </w:rPr>
        <w:t xml:space="preserve"> </w:t>
      </w:r>
      <w:r>
        <w:rPr>
          <w:spacing w:val="-3"/>
          <w:sz w:val="20"/>
          <w:szCs w:val="20"/>
        </w:rPr>
        <w:t>作、不可篡改、可追溯三大特点。</w:t>
      </w:r>
    </w:p>
    <w:p w14:paraId="06595EBF">
      <w:pPr>
        <w:spacing w:line="277" w:lineRule="auto"/>
        <w:rPr>
          <w:sz w:val="20"/>
          <w:szCs w:val="20"/>
        </w:rPr>
        <w:sectPr>
          <w:pgSz w:w="10320" w:h="13250"/>
          <w:pgMar w:top="400" w:right="533" w:bottom="400" w:left="1189" w:header="0" w:footer="0" w:gutter="0"/>
          <w:cols w:space="720" w:num="1"/>
        </w:sectPr>
      </w:pPr>
    </w:p>
    <w:p w14:paraId="5E058A26">
      <w:pPr>
        <w:pStyle w:val="2"/>
        <w:spacing w:before="67" w:line="219" w:lineRule="auto"/>
        <w:rPr>
          <w:sz w:val="19"/>
          <w:szCs w:val="19"/>
        </w:rPr>
      </w:pPr>
      <w:r>
        <w:rPr>
          <w:rFonts w:ascii="Times New Roman" w:hAnsi="Times New Roman" w:eastAsia="Times New Roman" w:cs="Times New Roman"/>
          <w:spacing w:val="3"/>
          <w:position w:val="1"/>
          <w:sz w:val="19"/>
          <w:szCs w:val="19"/>
        </w:rPr>
        <w:t xml:space="preserve">20               </w:t>
      </w:r>
      <w:r>
        <w:rPr>
          <w:spacing w:val="3"/>
          <w:sz w:val="19"/>
          <w:szCs w:val="19"/>
        </w:rPr>
        <w:t>信息系统监理师教程(第2版)</w:t>
      </w:r>
    </w:p>
    <w:p w14:paraId="0C0D3D21">
      <w:pPr>
        <w:spacing w:line="349" w:lineRule="auto"/>
        <w:rPr>
          <w:rFonts w:ascii="Arial"/>
          <w:sz w:val="21"/>
        </w:rPr>
      </w:pPr>
    </w:p>
    <w:p w14:paraId="5CC623E8">
      <w:pPr>
        <w:pStyle w:val="2"/>
        <w:spacing w:before="62" w:line="265" w:lineRule="auto"/>
        <w:ind w:left="299" w:right="56" w:firstLine="400"/>
        <w:rPr>
          <w:sz w:val="19"/>
          <w:szCs w:val="19"/>
        </w:rPr>
      </w:pPr>
      <w:r>
        <w:rPr>
          <w:spacing w:val="15"/>
          <w:sz w:val="19"/>
          <w:szCs w:val="19"/>
        </w:rPr>
        <w:t>(1)多方协作。区块链网络中分布着众多节点，节点之间具有平等的权利与义务，整个系</w:t>
      </w:r>
      <w:r>
        <w:rPr>
          <w:spacing w:val="11"/>
          <w:sz w:val="19"/>
          <w:szCs w:val="19"/>
        </w:rPr>
        <w:t xml:space="preserve"> </w:t>
      </w:r>
      <w:r>
        <w:rPr>
          <w:spacing w:val="8"/>
          <w:sz w:val="19"/>
          <w:szCs w:val="19"/>
        </w:rPr>
        <w:t>统由所有节点共同维护，节点之间无须通过单一中心机构即可直接进行数据交换。</w:t>
      </w:r>
    </w:p>
    <w:p w14:paraId="24C3AC1E">
      <w:pPr>
        <w:pStyle w:val="2"/>
        <w:spacing w:before="85" w:line="274" w:lineRule="auto"/>
        <w:ind w:left="299" w:right="65" w:firstLine="400"/>
        <w:rPr>
          <w:sz w:val="19"/>
          <w:szCs w:val="19"/>
        </w:rPr>
      </w:pPr>
      <w:r>
        <w:rPr>
          <w:spacing w:val="15"/>
          <w:sz w:val="19"/>
          <w:szCs w:val="19"/>
        </w:rPr>
        <w:t>(2)不可篡改。区块链中很多环节均使用了密码学技术，可保证信息一旦添加到链上就无</w:t>
      </w:r>
      <w:r>
        <w:rPr>
          <w:spacing w:val="2"/>
          <w:sz w:val="19"/>
          <w:szCs w:val="19"/>
        </w:rPr>
        <w:t xml:space="preserve"> </w:t>
      </w:r>
      <w:r>
        <w:rPr>
          <w:spacing w:val="13"/>
          <w:sz w:val="19"/>
          <w:szCs w:val="19"/>
        </w:rPr>
        <w:t>法被篡改，数据更加安全可靠，避免了一切人为操作的可能性。由于其分布式存储</w:t>
      </w:r>
      <w:r>
        <w:rPr>
          <w:spacing w:val="12"/>
          <w:sz w:val="19"/>
          <w:szCs w:val="19"/>
        </w:rPr>
        <w:t>的特性，若</w:t>
      </w:r>
      <w:r>
        <w:rPr>
          <w:sz w:val="19"/>
          <w:szCs w:val="19"/>
        </w:rPr>
        <w:t xml:space="preserve"> </w:t>
      </w:r>
      <w:r>
        <w:rPr>
          <w:spacing w:val="13"/>
          <w:sz w:val="19"/>
          <w:szCs w:val="19"/>
        </w:rPr>
        <w:t>想篡改信息至少要掌握网络中51%的数据节点，在实践过程中是</w:t>
      </w:r>
      <w:r>
        <w:rPr>
          <w:spacing w:val="12"/>
          <w:sz w:val="19"/>
          <w:szCs w:val="19"/>
        </w:rPr>
        <w:t>无法实现的。</w:t>
      </w:r>
    </w:p>
    <w:p w14:paraId="0686B140">
      <w:pPr>
        <w:pStyle w:val="2"/>
        <w:spacing w:before="75" w:line="280" w:lineRule="auto"/>
        <w:ind w:left="299" w:right="66" w:firstLine="400"/>
        <w:rPr>
          <w:sz w:val="19"/>
          <w:szCs w:val="19"/>
        </w:rPr>
      </w:pPr>
      <w:r>
        <w:rPr>
          <w:spacing w:val="15"/>
          <w:sz w:val="19"/>
          <w:szCs w:val="19"/>
        </w:rPr>
        <w:t>(3)可追溯。由于区块链使用哈希算法，它的链接形式是后一个区块拥有前一个区块的哈</w:t>
      </w:r>
      <w:r>
        <w:rPr>
          <w:spacing w:val="2"/>
          <w:sz w:val="19"/>
          <w:szCs w:val="19"/>
        </w:rPr>
        <w:t xml:space="preserve"> </w:t>
      </w:r>
      <w:r>
        <w:rPr>
          <w:spacing w:val="13"/>
          <w:sz w:val="19"/>
          <w:szCs w:val="19"/>
        </w:rPr>
        <w:t>希值，每一个区块都和前一个区块有联系，串联起来形成了区块链。区块链上</w:t>
      </w:r>
      <w:r>
        <w:rPr>
          <w:spacing w:val="12"/>
          <w:sz w:val="19"/>
          <w:szCs w:val="19"/>
        </w:rPr>
        <w:t>保存了从第一个</w:t>
      </w:r>
      <w:r>
        <w:rPr>
          <w:sz w:val="19"/>
          <w:szCs w:val="19"/>
        </w:rPr>
        <w:t xml:space="preserve"> </w:t>
      </w:r>
      <w:r>
        <w:rPr>
          <w:spacing w:val="8"/>
          <w:sz w:val="19"/>
          <w:szCs w:val="19"/>
        </w:rPr>
        <w:t>区块开始的所有历史数据，区块链上任意一条记录都可以进行追溯。</w:t>
      </w:r>
    </w:p>
    <w:p w14:paraId="01C0A469">
      <w:pPr>
        <w:pStyle w:val="2"/>
        <w:spacing w:before="160" w:line="221" w:lineRule="auto"/>
        <w:ind w:left="702"/>
        <w:rPr>
          <w:rFonts w:ascii="黑体" w:hAnsi="黑体" w:eastAsia="黑体" w:cs="黑体"/>
          <w:sz w:val="19"/>
          <w:szCs w:val="19"/>
        </w:rPr>
      </w:pPr>
      <w:bookmarkStart w:id="488" w:name="bookmark475"/>
      <w:bookmarkEnd w:id="488"/>
      <w:r>
        <w:rPr>
          <w:b/>
          <w:bCs/>
          <w:color w:val="0051BD"/>
          <w:spacing w:val="7"/>
          <w:sz w:val="19"/>
          <w:szCs w:val="19"/>
        </w:rPr>
        <w:t>3.</w:t>
      </w:r>
      <w:r>
        <w:rPr>
          <w:rFonts w:ascii="黑体" w:hAnsi="黑体" w:eastAsia="黑体" w:cs="黑体"/>
          <w:b/>
          <w:bCs/>
          <w:color w:val="0051BD"/>
          <w:spacing w:val="7"/>
          <w:sz w:val="19"/>
          <w:szCs w:val="19"/>
        </w:rPr>
        <w:t>区块链的分类</w:t>
      </w:r>
    </w:p>
    <w:p w14:paraId="355E9F1F">
      <w:pPr>
        <w:pStyle w:val="2"/>
        <w:spacing w:before="177" w:line="219" w:lineRule="auto"/>
        <w:ind w:left="699"/>
        <w:rPr>
          <w:sz w:val="19"/>
          <w:szCs w:val="19"/>
        </w:rPr>
      </w:pPr>
      <w:r>
        <w:rPr>
          <w:spacing w:val="9"/>
          <w:sz w:val="19"/>
          <w:szCs w:val="19"/>
        </w:rPr>
        <w:t>按照开放程度进行分类，区块链可分为公有链、私有链和联盟链。</w:t>
      </w:r>
    </w:p>
    <w:p w14:paraId="21DA0D43">
      <w:pPr>
        <w:pStyle w:val="2"/>
        <w:spacing w:before="72" w:line="281" w:lineRule="auto"/>
        <w:ind w:left="299" w:right="66" w:firstLine="400"/>
        <w:rPr>
          <w:sz w:val="19"/>
          <w:szCs w:val="19"/>
        </w:rPr>
      </w:pPr>
      <w:r>
        <w:rPr>
          <w:spacing w:val="15"/>
          <w:sz w:val="19"/>
          <w:szCs w:val="19"/>
        </w:rPr>
        <w:t>(1)公有链。假设世界不可信，用户可以作为一个新节点，在任意</w:t>
      </w:r>
      <w:r>
        <w:rPr>
          <w:spacing w:val="14"/>
          <w:sz w:val="19"/>
          <w:szCs w:val="19"/>
        </w:rPr>
        <w:t>时间、任意地点接入区</w:t>
      </w:r>
      <w:r>
        <w:rPr>
          <w:sz w:val="19"/>
          <w:szCs w:val="19"/>
        </w:rPr>
        <w:t xml:space="preserve"> </w:t>
      </w:r>
      <w:r>
        <w:rPr>
          <w:spacing w:val="11"/>
          <w:sz w:val="19"/>
          <w:szCs w:val="19"/>
        </w:rPr>
        <w:t>块链，根据共识机制、工作量证明</w:t>
      </w:r>
      <w:r>
        <w:rPr>
          <w:spacing w:val="-7"/>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Proof</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Work</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PoW</w:t>
      </w:r>
      <w:r>
        <w:rPr>
          <w:rFonts w:ascii="Times New Roman" w:hAnsi="Times New Roman" w:eastAsia="Times New Roman" w:cs="Times New Roman"/>
          <w:spacing w:val="11"/>
          <w:sz w:val="19"/>
          <w:szCs w:val="19"/>
        </w:rPr>
        <w:t xml:space="preserve">) </w:t>
      </w:r>
      <w:r>
        <w:rPr>
          <w:spacing w:val="11"/>
          <w:sz w:val="19"/>
          <w:szCs w:val="19"/>
        </w:rPr>
        <w:t>和股份证明</w:t>
      </w:r>
      <w:r>
        <w:rPr>
          <w:spacing w:val="-56"/>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Proof</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Stake</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PoS</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 xml:space="preserve"> </w:t>
      </w:r>
      <w:r>
        <w:rPr>
          <w:spacing w:val="7"/>
          <w:sz w:val="19"/>
          <w:szCs w:val="19"/>
        </w:rPr>
        <w:t>匿名进行交易的发送、数据的读写和验证。</w:t>
      </w:r>
    </w:p>
    <w:p w14:paraId="1562F484">
      <w:pPr>
        <w:pStyle w:val="2"/>
        <w:spacing w:before="74" w:line="270" w:lineRule="auto"/>
        <w:ind w:left="299" w:right="59" w:firstLine="400"/>
        <w:rPr>
          <w:sz w:val="19"/>
          <w:szCs w:val="19"/>
        </w:rPr>
      </w:pPr>
      <w:r>
        <w:rPr>
          <w:spacing w:val="15"/>
          <w:sz w:val="19"/>
          <w:szCs w:val="19"/>
        </w:rPr>
        <w:t>(2)联盟链。假设组织不可信，在联盟链中，多个创建节点共同进行准则的建立、权限的</w:t>
      </w:r>
      <w:r>
        <w:rPr>
          <w:spacing w:val="8"/>
          <w:sz w:val="19"/>
          <w:szCs w:val="19"/>
        </w:rPr>
        <w:t xml:space="preserve"> </w:t>
      </w:r>
      <w:r>
        <w:rPr>
          <w:spacing w:val="7"/>
          <w:sz w:val="19"/>
          <w:szCs w:val="19"/>
        </w:rPr>
        <w:t>设定、过程的监管。其他接入节点只能按规则进行交易，但不参与其他过程。</w:t>
      </w:r>
    </w:p>
    <w:p w14:paraId="79CF93DD">
      <w:pPr>
        <w:pStyle w:val="2"/>
        <w:spacing w:before="63" w:line="281" w:lineRule="auto"/>
        <w:ind w:left="299" w:right="67" w:firstLine="400"/>
        <w:rPr>
          <w:sz w:val="19"/>
          <w:szCs w:val="19"/>
        </w:rPr>
      </w:pPr>
      <w:r>
        <w:rPr>
          <w:spacing w:val="15"/>
          <w:sz w:val="19"/>
          <w:szCs w:val="19"/>
        </w:rPr>
        <w:t>(3)私有链。假设组织内部或者“队友”不可信，私有链建立在某个组织内部，系统的运</w:t>
      </w:r>
      <w:r>
        <w:rPr>
          <w:spacing w:val="1"/>
          <w:sz w:val="19"/>
          <w:szCs w:val="19"/>
        </w:rPr>
        <w:t xml:space="preserve"> </w:t>
      </w:r>
      <w:r>
        <w:rPr>
          <w:spacing w:val="13"/>
          <w:sz w:val="19"/>
          <w:szCs w:val="19"/>
        </w:rPr>
        <w:t>作规则根据组织要求进行设定，修改权限甚至是读取权限仅限于少数节点，同</w:t>
      </w:r>
      <w:r>
        <w:rPr>
          <w:spacing w:val="12"/>
          <w:sz w:val="19"/>
          <w:szCs w:val="19"/>
        </w:rPr>
        <w:t>时仍保留着区块</w:t>
      </w:r>
      <w:r>
        <w:rPr>
          <w:sz w:val="19"/>
          <w:szCs w:val="19"/>
        </w:rPr>
        <w:t xml:space="preserve"> </w:t>
      </w:r>
      <w:r>
        <w:rPr>
          <w:spacing w:val="7"/>
          <w:sz w:val="19"/>
          <w:szCs w:val="19"/>
        </w:rPr>
        <w:t>链的真实性和部分去中心化的特性。</w:t>
      </w:r>
    </w:p>
    <w:p w14:paraId="4F2F46D0">
      <w:pPr>
        <w:pStyle w:val="2"/>
        <w:spacing w:before="150" w:line="222" w:lineRule="auto"/>
        <w:ind w:left="702"/>
        <w:rPr>
          <w:rFonts w:ascii="黑体" w:hAnsi="黑体" w:eastAsia="黑体" w:cs="黑体"/>
          <w:sz w:val="19"/>
          <w:szCs w:val="19"/>
        </w:rPr>
      </w:pPr>
      <w:r>
        <w:rPr>
          <w:b/>
          <w:bCs/>
          <w:color w:val="005AC1"/>
          <w:spacing w:val="8"/>
          <w:sz w:val="19"/>
          <w:szCs w:val="19"/>
        </w:rPr>
        <w:t>4.</w:t>
      </w:r>
      <w:r>
        <w:rPr>
          <w:rFonts w:ascii="黑体" w:hAnsi="黑体" w:eastAsia="黑体" w:cs="黑体"/>
          <w:b/>
          <w:bCs/>
          <w:color w:val="005AC1"/>
          <w:spacing w:val="8"/>
          <w:sz w:val="19"/>
          <w:szCs w:val="19"/>
        </w:rPr>
        <w:t>区块链的核心技术</w:t>
      </w:r>
    </w:p>
    <w:p w14:paraId="76BBD926">
      <w:pPr>
        <w:pStyle w:val="2"/>
        <w:spacing w:before="155" w:line="307" w:lineRule="auto"/>
        <w:ind w:left="299" w:firstLine="400"/>
        <w:rPr>
          <w:sz w:val="19"/>
          <w:szCs w:val="19"/>
        </w:rPr>
      </w:pPr>
      <w:r>
        <w:rPr>
          <w:spacing w:val="10"/>
          <w:sz w:val="19"/>
          <w:szCs w:val="19"/>
        </w:rPr>
        <w:t>近年来，学术界、产业界持续加大对区块链相关技术</w:t>
      </w:r>
      <w:r>
        <w:rPr>
          <w:spacing w:val="9"/>
          <w:sz w:val="19"/>
          <w:szCs w:val="19"/>
        </w:rPr>
        <w:t>的研究力度，分布式存储、共识机制、</w:t>
      </w:r>
      <w:r>
        <w:rPr>
          <w:sz w:val="19"/>
          <w:szCs w:val="19"/>
        </w:rPr>
        <w:t xml:space="preserve"> </w:t>
      </w:r>
      <w:r>
        <w:rPr>
          <w:spacing w:val="8"/>
          <w:sz w:val="19"/>
          <w:szCs w:val="19"/>
        </w:rPr>
        <w:t>智能合约、加密算法等关键技术取得新进展，跨链、分片等技术研究深度进一步下沉。</w:t>
      </w:r>
    </w:p>
    <w:p w14:paraId="5170F37F">
      <w:pPr>
        <w:spacing w:before="87" w:line="226" w:lineRule="auto"/>
        <w:ind w:left="699"/>
        <w:rPr>
          <w:rFonts w:ascii="楷体" w:hAnsi="楷体" w:eastAsia="楷体" w:cs="楷体"/>
          <w:sz w:val="19"/>
          <w:szCs w:val="19"/>
        </w:rPr>
      </w:pPr>
      <w:r>
        <w:rPr>
          <w:rFonts w:ascii="楷体" w:hAnsi="楷体" w:eastAsia="楷体" w:cs="楷体"/>
          <w:spacing w:val="23"/>
          <w:sz w:val="19"/>
          <w:szCs w:val="19"/>
        </w:rPr>
        <w:t>1)分布式存储</w:t>
      </w:r>
    </w:p>
    <w:p w14:paraId="2DCDEE65">
      <w:pPr>
        <w:pStyle w:val="2"/>
        <w:spacing w:before="60" w:line="304" w:lineRule="auto"/>
        <w:ind w:left="299" w:right="61" w:firstLine="400"/>
        <w:rPr>
          <w:sz w:val="19"/>
          <w:szCs w:val="19"/>
        </w:rPr>
      </w:pPr>
      <w:r>
        <w:rPr>
          <w:spacing w:val="13"/>
          <w:sz w:val="19"/>
          <w:szCs w:val="19"/>
        </w:rPr>
        <w:t>区块链本质上是一个分布式的公共账本，将各个区块连成一个</w:t>
      </w:r>
      <w:r>
        <w:rPr>
          <w:spacing w:val="12"/>
          <w:sz w:val="19"/>
          <w:szCs w:val="19"/>
        </w:rPr>
        <w:t>链条，实际上是一种点对点</w:t>
      </w:r>
      <w:r>
        <w:rPr>
          <w:sz w:val="19"/>
          <w:szCs w:val="19"/>
        </w:rPr>
        <w:t xml:space="preserve"> </w:t>
      </w:r>
      <w:r>
        <w:rPr>
          <w:spacing w:val="19"/>
          <w:sz w:val="19"/>
          <w:szCs w:val="19"/>
        </w:rPr>
        <w:t>的记账系统(一个总账本),每一个节点都可以记录信息。区块链中数据以区块的方式永久储</w:t>
      </w:r>
      <w:r>
        <w:rPr>
          <w:spacing w:val="13"/>
          <w:sz w:val="19"/>
          <w:szCs w:val="19"/>
        </w:rPr>
        <w:t xml:space="preserve"> 存，区块按时间顺序逐个先后生成并连接成链，每一个区块记录了创建期间发生的所有交易信</w:t>
      </w:r>
      <w:r>
        <w:rPr>
          <w:sz w:val="19"/>
          <w:szCs w:val="19"/>
        </w:rPr>
        <w:t xml:space="preserve"> </w:t>
      </w:r>
      <w:r>
        <w:rPr>
          <w:spacing w:val="9"/>
          <w:sz w:val="19"/>
          <w:szCs w:val="19"/>
        </w:rPr>
        <w:t>息。区块的数据结构一般分为区块头和区块体，如图1-7所示。</w:t>
      </w:r>
    </w:p>
    <w:p w14:paraId="5110758C">
      <w:pPr>
        <w:pStyle w:val="2"/>
        <w:spacing w:before="40" w:line="1780" w:lineRule="exact"/>
        <w:ind w:firstLine="879"/>
      </w:pPr>
      <w:r>
        <w:rPr>
          <w:position w:val="-35"/>
        </w:rPr>
        <w:pict>
          <v:group id="_x0000_s1070" o:spid="_x0000_s1070" o:spt="203" style="height:89.05pt;width:359.55pt;" coordsize="7190,1781">
            <o:lock v:ext="edit"/>
            <v:shape id="_x0000_s1071" o:spid="_x0000_s1071" o:spt="75" type="#_x0000_t75" style="position:absolute;left:0;top:0;height:1781;width:7190;" filled="f" stroked="f" coordsize="21600,21600">
              <v:path/>
              <v:fill on="f" focussize="0,0"/>
              <v:stroke on="f"/>
              <v:imagedata r:id="rId38" o:title=""/>
              <o:lock v:ext="edit" aspectratio="t"/>
            </v:shape>
            <v:shape id="_x0000_s1072" o:spid="_x0000_s1072" o:spt="202" type="#_x0000_t202" style="position:absolute;left:60;top:177;height:1550;width:7032;" filled="f" stroked="f" coordsize="21600,21600">
              <v:path/>
              <v:fill on="f" focussize="0,0"/>
              <v:stroke on="f"/>
              <v:imagedata o:title=""/>
              <o:lock v:ext="edit" aspectratio="f"/>
              <v:textbox inset="0mm,0mm,0mm,0mm">
                <w:txbxContent>
                  <w:p w14:paraId="4A4D45B6">
                    <w:pPr>
                      <w:spacing w:line="20" w:lineRule="exact"/>
                    </w:pPr>
                  </w:p>
                  <w:tbl>
                    <w:tblPr>
                      <w:tblStyle w:val="5"/>
                      <w:tblW w:w="6992"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26"/>
                      <w:gridCol w:w="2545"/>
                      <w:gridCol w:w="2221"/>
                    </w:tblGrid>
                    <w:tr w14:paraId="3A0CB7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2226" w:type="dxa"/>
                          <w:vAlign w:val="top"/>
                        </w:tcPr>
                        <w:p w14:paraId="518D015C">
                          <w:pPr>
                            <w:spacing w:line="219" w:lineRule="auto"/>
                            <w:ind w:left="400"/>
                            <w:rPr>
                              <w:rFonts w:ascii="宋体" w:hAnsi="宋体" w:eastAsia="宋体" w:cs="宋体"/>
                              <w:sz w:val="19"/>
                              <w:szCs w:val="19"/>
                            </w:rPr>
                          </w:pPr>
                          <w:r>
                            <w:rPr>
                              <w:rFonts w:ascii="宋体" w:hAnsi="宋体" w:eastAsia="宋体" w:cs="宋体"/>
                              <w:spacing w:val="-5"/>
                              <w:sz w:val="19"/>
                              <w:szCs w:val="19"/>
                            </w:rPr>
                            <w:t>块高度头哈希</w:t>
                          </w:r>
                        </w:p>
                      </w:tc>
                      <w:tc>
                        <w:tcPr>
                          <w:tcW w:w="2545" w:type="dxa"/>
                          <w:vAlign w:val="top"/>
                        </w:tcPr>
                        <w:p w14:paraId="3825D287">
                          <w:pPr>
                            <w:spacing w:line="219" w:lineRule="auto"/>
                            <w:ind w:left="724"/>
                            <w:rPr>
                              <w:rFonts w:ascii="宋体" w:hAnsi="宋体" w:eastAsia="宋体" w:cs="宋体"/>
                              <w:sz w:val="19"/>
                              <w:szCs w:val="19"/>
                            </w:rPr>
                          </w:pPr>
                          <w:r>
                            <w:rPr>
                              <w:rFonts w:ascii="宋体" w:hAnsi="宋体" w:eastAsia="宋体" w:cs="宋体"/>
                              <w:spacing w:val="-5"/>
                              <w:sz w:val="19"/>
                              <w:szCs w:val="19"/>
                            </w:rPr>
                            <w:t>块高度头哈希</w:t>
                          </w:r>
                        </w:p>
                      </w:tc>
                      <w:tc>
                        <w:tcPr>
                          <w:tcW w:w="2221" w:type="dxa"/>
                          <w:vAlign w:val="top"/>
                        </w:tcPr>
                        <w:p w14:paraId="123DDE80">
                          <w:pPr>
                            <w:spacing w:line="219" w:lineRule="auto"/>
                            <w:ind w:left="719"/>
                            <w:rPr>
                              <w:rFonts w:ascii="宋体" w:hAnsi="宋体" w:eastAsia="宋体" w:cs="宋体"/>
                              <w:sz w:val="19"/>
                              <w:szCs w:val="19"/>
                            </w:rPr>
                          </w:pPr>
                          <w:r>
                            <w:rPr>
                              <w:rFonts w:ascii="宋体" w:hAnsi="宋体" w:eastAsia="宋体" w:cs="宋体"/>
                              <w:spacing w:val="-2"/>
                              <w:sz w:val="19"/>
                              <w:szCs w:val="19"/>
                            </w:rPr>
                            <w:t>块高度头哈希</w:t>
                          </w:r>
                        </w:p>
                      </w:tc>
                    </w:tr>
                    <w:tr w14:paraId="21866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2226" w:type="dxa"/>
                          <w:vAlign w:val="top"/>
                        </w:tcPr>
                        <w:p w14:paraId="1F8DCB83">
                          <w:pPr>
                            <w:spacing w:before="169" w:line="185" w:lineRule="auto"/>
                            <w:ind w:left="280"/>
                            <w:rPr>
                              <w:rFonts w:ascii="宋体" w:hAnsi="宋体" w:eastAsia="宋体" w:cs="宋体"/>
                              <w:sz w:val="19"/>
                              <w:szCs w:val="19"/>
                            </w:rPr>
                          </w:pPr>
                          <w:r>
                            <w:rPr>
                              <w:rFonts w:ascii="宋体" w:hAnsi="宋体" w:eastAsia="宋体" w:cs="宋体"/>
                              <w:spacing w:val="-10"/>
                              <w:sz w:val="19"/>
                              <w:szCs w:val="19"/>
                            </w:rPr>
                            <w:t>父哈希：</w:t>
                          </w:r>
                          <w:r>
                            <w:rPr>
                              <w:rFonts w:ascii="Times New Roman" w:hAnsi="Times New Roman" w:eastAsia="Times New Roman" w:cs="Times New Roman"/>
                              <w:spacing w:val="-10"/>
                              <w:sz w:val="19"/>
                              <w:szCs w:val="19"/>
                            </w:rPr>
                            <w:t>Merkle</w:t>
                          </w:r>
                          <w:r>
                            <w:rPr>
                              <w:rFonts w:ascii="宋体" w:hAnsi="宋体" w:eastAsia="宋体" w:cs="宋体"/>
                              <w:spacing w:val="-10"/>
                              <w:sz w:val="19"/>
                              <w:szCs w:val="19"/>
                            </w:rPr>
                            <w:t>树</w:t>
                          </w:r>
                        </w:p>
                      </w:tc>
                      <w:tc>
                        <w:tcPr>
                          <w:tcW w:w="2545" w:type="dxa"/>
                          <w:vAlign w:val="top"/>
                        </w:tcPr>
                        <w:p w14:paraId="1FF89844">
                          <w:pPr>
                            <w:spacing w:before="169" w:line="185" w:lineRule="auto"/>
                            <w:ind w:left="594"/>
                            <w:rPr>
                              <w:rFonts w:ascii="宋体" w:hAnsi="宋体" w:eastAsia="宋体" w:cs="宋体"/>
                              <w:sz w:val="19"/>
                              <w:szCs w:val="19"/>
                            </w:rPr>
                          </w:pPr>
                          <w:r>
                            <w:rPr>
                              <w:rFonts w:ascii="宋体" w:hAnsi="宋体" w:eastAsia="宋体" w:cs="宋体"/>
                              <w:spacing w:val="-10"/>
                              <w:sz w:val="19"/>
                              <w:szCs w:val="19"/>
                            </w:rPr>
                            <w:t>父哈希：</w:t>
                          </w:r>
                          <w:r>
                            <w:rPr>
                              <w:rFonts w:ascii="Times New Roman" w:hAnsi="Times New Roman" w:eastAsia="Times New Roman" w:cs="Times New Roman"/>
                              <w:spacing w:val="-10"/>
                              <w:sz w:val="19"/>
                              <w:szCs w:val="19"/>
                            </w:rPr>
                            <w:t>Merkle</w:t>
                          </w:r>
                          <w:r>
                            <w:rPr>
                              <w:rFonts w:ascii="宋体" w:hAnsi="宋体" w:eastAsia="宋体" w:cs="宋体"/>
                              <w:spacing w:val="-10"/>
                              <w:sz w:val="19"/>
                              <w:szCs w:val="19"/>
                            </w:rPr>
                            <w:t>树</w:t>
                          </w:r>
                        </w:p>
                      </w:tc>
                      <w:tc>
                        <w:tcPr>
                          <w:tcW w:w="2221" w:type="dxa"/>
                          <w:vAlign w:val="top"/>
                        </w:tcPr>
                        <w:p w14:paraId="3787E1B0">
                          <w:pPr>
                            <w:spacing w:before="169" w:line="185" w:lineRule="auto"/>
                            <w:ind w:left="598"/>
                            <w:rPr>
                              <w:rFonts w:ascii="宋体" w:hAnsi="宋体" w:eastAsia="宋体" w:cs="宋体"/>
                              <w:sz w:val="19"/>
                              <w:szCs w:val="19"/>
                            </w:rPr>
                          </w:pPr>
                          <w:r>
                            <w:rPr>
                              <w:rFonts w:ascii="宋体" w:hAnsi="宋体" w:eastAsia="宋体" w:cs="宋体"/>
                              <w:spacing w:val="-11"/>
                              <w:sz w:val="19"/>
                              <w:szCs w:val="19"/>
                            </w:rPr>
                            <w:t>父哈希：</w:t>
                          </w:r>
                          <w:r>
                            <w:rPr>
                              <w:rFonts w:ascii="Times New Roman" w:hAnsi="Times New Roman" w:eastAsia="Times New Roman" w:cs="Times New Roman"/>
                              <w:spacing w:val="-11"/>
                              <w:sz w:val="19"/>
                              <w:szCs w:val="19"/>
                            </w:rPr>
                            <w:t>Merkle</w:t>
                          </w:r>
                          <w:r>
                            <w:rPr>
                              <w:rFonts w:ascii="宋体" w:hAnsi="宋体" w:eastAsia="宋体" w:cs="宋体"/>
                              <w:spacing w:val="-11"/>
                              <w:sz w:val="19"/>
                              <w:szCs w:val="19"/>
                            </w:rPr>
                            <w:t>树</w:t>
                          </w:r>
                        </w:p>
                      </w:tc>
                    </w:tr>
                    <w:tr w14:paraId="17527F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2226" w:type="dxa"/>
                          <w:vAlign w:val="top"/>
                        </w:tcPr>
                        <w:p w14:paraId="64BFFD32">
                          <w:pPr>
                            <w:spacing w:before="10" w:line="220" w:lineRule="auto"/>
                            <w:ind w:left="230"/>
                            <w:rPr>
                              <w:rFonts w:ascii="Times New Roman" w:hAnsi="Times New Roman" w:eastAsia="Times New Roman" w:cs="Times New Roman"/>
                              <w:sz w:val="19"/>
                              <w:szCs w:val="19"/>
                            </w:rPr>
                          </w:pPr>
                          <w:r>
                            <w:rPr>
                              <w:rFonts w:ascii="宋体" w:hAnsi="宋体" w:eastAsia="宋体" w:cs="宋体"/>
                              <w:spacing w:val="-2"/>
                              <w:sz w:val="19"/>
                              <w:szCs w:val="19"/>
                            </w:rPr>
                            <w:t>时间戳难度</w:t>
                          </w:r>
                          <w:r>
                            <w:rPr>
                              <w:rFonts w:ascii="宋体" w:hAnsi="宋体" w:eastAsia="宋体" w:cs="宋体"/>
                              <w:spacing w:val="-45"/>
                              <w:sz w:val="19"/>
                              <w:szCs w:val="19"/>
                            </w:rPr>
                            <w:t xml:space="preserve"> </w:t>
                          </w:r>
                          <w:r>
                            <w:rPr>
                              <w:rFonts w:ascii="Times New Roman" w:hAnsi="Times New Roman" w:eastAsia="Times New Roman" w:cs="Times New Roman"/>
                              <w:spacing w:val="-2"/>
                              <w:sz w:val="19"/>
                              <w:szCs w:val="19"/>
                            </w:rPr>
                            <w:t>Nonce</w:t>
                          </w:r>
                        </w:p>
                      </w:tc>
                      <w:tc>
                        <w:tcPr>
                          <w:tcW w:w="2545" w:type="dxa"/>
                          <w:vAlign w:val="top"/>
                        </w:tcPr>
                        <w:p w14:paraId="3D525055">
                          <w:pPr>
                            <w:spacing w:before="10" w:line="220" w:lineRule="auto"/>
                            <w:ind w:left="544"/>
                            <w:rPr>
                              <w:rFonts w:ascii="Times New Roman" w:hAnsi="Times New Roman" w:eastAsia="Times New Roman" w:cs="Times New Roman"/>
                              <w:sz w:val="19"/>
                              <w:szCs w:val="19"/>
                            </w:rPr>
                          </w:pPr>
                          <w:r>
                            <w:rPr>
                              <w:rFonts w:ascii="宋体" w:hAnsi="宋体" w:eastAsia="宋体" w:cs="宋体"/>
                              <w:spacing w:val="8"/>
                              <w:sz w:val="19"/>
                              <w:szCs w:val="19"/>
                            </w:rPr>
                            <w:t>时间戳难度</w:t>
                          </w:r>
                          <w:r>
                            <w:rPr>
                              <w:rFonts w:ascii="Times New Roman" w:hAnsi="Times New Roman" w:eastAsia="Times New Roman" w:cs="Times New Roman"/>
                              <w:sz w:val="19"/>
                              <w:szCs w:val="19"/>
                            </w:rPr>
                            <w:t>Nonce</w:t>
                          </w:r>
                        </w:p>
                      </w:tc>
                      <w:tc>
                        <w:tcPr>
                          <w:tcW w:w="2221" w:type="dxa"/>
                          <w:vAlign w:val="top"/>
                        </w:tcPr>
                        <w:p w14:paraId="15C4B31D">
                          <w:pPr>
                            <w:spacing w:before="10" w:line="220" w:lineRule="auto"/>
                            <w:ind w:left="539"/>
                            <w:rPr>
                              <w:rFonts w:ascii="Times New Roman" w:hAnsi="Times New Roman" w:eastAsia="Times New Roman" w:cs="Times New Roman"/>
                              <w:sz w:val="19"/>
                              <w:szCs w:val="19"/>
                            </w:rPr>
                          </w:pPr>
                          <w:r>
                            <w:rPr>
                              <w:rFonts w:ascii="宋体" w:hAnsi="宋体" w:eastAsia="宋体" w:cs="宋体"/>
                              <w:spacing w:val="-2"/>
                              <w:sz w:val="19"/>
                              <w:szCs w:val="19"/>
                            </w:rPr>
                            <w:t>时间戳难度</w:t>
                          </w:r>
                          <w:r>
                            <w:rPr>
                              <w:rFonts w:ascii="宋体" w:hAnsi="宋体" w:eastAsia="宋体" w:cs="宋体"/>
                              <w:spacing w:val="-25"/>
                              <w:sz w:val="19"/>
                              <w:szCs w:val="19"/>
                            </w:rPr>
                            <w:t xml:space="preserve"> </w:t>
                          </w:r>
                          <w:r>
                            <w:rPr>
                              <w:rFonts w:ascii="Times New Roman" w:hAnsi="Times New Roman" w:eastAsia="Times New Roman" w:cs="Times New Roman"/>
                              <w:spacing w:val="-2"/>
                              <w:sz w:val="19"/>
                              <w:szCs w:val="19"/>
                            </w:rPr>
                            <w:t>Nonce</w:t>
                          </w:r>
                        </w:p>
                      </w:tc>
                    </w:tr>
                    <w:tr w14:paraId="0B8029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2226" w:type="dxa"/>
                          <w:vAlign w:val="top"/>
                        </w:tcPr>
                        <w:p w14:paraId="77C69B67">
                          <w:pPr>
                            <w:spacing w:before="90" w:line="174" w:lineRule="auto"/>
                            <w:ind w:left="610"/>
                            <w:rPr>
                              <w:rFonts w:ascii="宋体" w:hAnsi="宋体" w:eastAsia="宋体" w:cs="宋体"/>
                              <w:sz w:val="19"/>
                              <w:szCs w:val="19"/>
                            </w:rPr>
                          </w:pPr>
                          <w:r>
                            <w:rPr>
                              <w:rFonts w:ascii="宋体" w:hAnsi="宋体" w:eastAsia="宋体" w:cs="宋体"/>
                              <w:spacing w:val="-12"/>
                              <w:sz w:val="19"/>
                              <w:szCs w:val="19"/>
                            </w:rPr>
                            <w:t>区块主体</w:t>
                          </w:r>
                        </w:p>
                      </w:tc>
                      <w:tc>
                        <w:tcPr>
                          <w:tcW w:w="2545" w:type="dxa"/>
                          <w:vAlign w:val="top"/>
                        </w:tcPr>
                        <w:p w14:paraId="4F2DA668">
                          <w:pPr>
                            <w:spacing w:before="90" w:line="174" w:lineRule="auto"/>
                            <w:ind w:left="924"/>
                            <w:rPr>
                              <w:rFonts w:ascii="宋体" w:hAnsi="宋体" w:eastAsia="宋体" w:cs="宋体"/>
                              <w:sz w:val="19"/>
                              <w:szCs w:val="19"/>
                            </w:rPr>
                          </w:pPr>
                          <w:r>
                            <w:rPr>
                              <w:rFonts w:ascii="宋体" w:hAnsi="宋体" w:eastAsia="宋体" w:cs="宋体"/>
                              <w:spacing w:val="-12"/>
                              <w:sz w:val="19"/>
                              <w:szCs w:val="19"/>
                            </w:rPr>
                            <w:t>区块主体</w:t>
                          </w:r>
                        </w:p>
                      </w:tc>
                      <w:tc>
                        <w:tcPr>
                          <w:tcW w:w="2221" w:type="dxa"/>
                          <w:vAlign w:val="top"/>
                        </w:tcPr>
                        <w:p w14:paraId="10D2DF9C">
                          <w:pPr>
                            <w:spacing w:before="90" w:line="174" w:lineRule="auto"/>
                            <w:ind w:left="929"/>
                            <w:rPr>
                              <w:rFonts w:ascii="宋体" w:hAnsi="宋体" w:eastAsia="宋体" w:cs="宋体"/>
                              <w:sz w:val="19"/>
                              <w:szCs w:val="19"/>
                            </w:rPr>
                          </w:pPr>
                          <w:r>
                            <w:rPr>
                              <w:rFonts w:ascii="宋体" w:hAnsi="宋体" w:eastAsia="宋体" w:cs="宋体"/>
                              <w:spacing w:val="-12"/>
                              <w:sz w:val="19"/>
                              <w:szCs w:val="19"/>
                            </w:rPr>
                            <w:t>区块主体</w:t>
                          </w:r>
                        </w:p>
                      </w:tc>
                    </w:tr>
                    <w:tr w14:paraId="15BBA1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9" w:hRule="atLeast"/>
                      </w:trPr>
                      <w:tc>
                        <w:tcPr>
                          <w:tcW w:w="2226" w:type="dxa"/>
                          <w:vAlign w:val="top"/>
                        </w:tcPr>
                        <w:p w14:paraId="1978116A">
                          <w:pPr>
                            <w:spacing w:line="193" w:lineRule="auto"/>
                            <w:rPr>
                              <w:rFonts w:ascii="宋体" w:hAnsi="宋体" w:eastAsia="宋体" w:cs="宋体"/>
                              <w:sz w:val="19"/>
                              <w:szCs w:val="19"/>
                            </w:rPr>
                          </w:pPr>
                          <w:r>
                            <w:rPr>
                              <w:rFonts w:ascii="宋体" w:hAnsi="宋体" w:eastAsia="宋体" w:cs="宋体"/>
                              <w:spacing w:val="-17"/>
                              <w:sz w:val="19"/>
                              <w:szCs w:val="19"/>
                            </w:rPr>
                            <w:t>此区块中的所有交易信息</w:t>
                          </w:r>
                        </w:p>
                      </w:tc>
                      <w:tc>
                        <w:tcPr>
                          <w:tcW w:w="2545" w:type="dxa"/>
                          <w:vAlign w:val="top"/>
                        </w:tcPr>
                        <w:p w14:paraId="6F844809">
                          <w:pPr>
                            <w:spacing w:line="193" w:lineRule="auto"/>
                            <w:ind w:left="334"/>
                            <w:rPr>
                              <w:rFonts w:ascii="宋体" w:hAnsi="宋体" w:eastAsia="宋体" w:cs="宋体"/>
                              <w:sz w:val="19"/>
                              <w:szCs w:val="19"/>
                            </w:rPr>
                          </w:pPr>
                          <w:r>
                            <w:rPr>
                              <w:rFonts w:ascii="宋体" w:hAnsi="宋体" w:eastAsia="宋体" w:cs="宋体"/>
                              <w:spacing w:val="-18"/>
                              <w:sz w:val="19"/>
                              <w:szCs w:val="19"/>
                            </w:rPr>
                            <w:t>此区块中的所有交易信息</w:t>
                          </w:r>
                        </w:p>
                      </w:tc>
                      <w:tc>
                        <w:tcPr>
                          <w:tcW w:w="2221" w:type="dxa"/>
                          <w:vAlign w:val="top"/>
                        </w:tcPr>
                        <w:p w14:paraId="2DE7F78E">
                          <w:pPr>
                            <w:spacing w:before="19" w:line="174" w:lineRule="auto"/>
                            <w:jc w:val="right"/>
                            <w:rPr>
                              <w:rFonts w:ascii="宋体" w:hAnsi="宋体" w:eastAsia="宋体" w:cs="宋体"/>
                              <w:sz w:val="19"/>
                              <w:szCs w:val="19"/>
                            </w:rPr>
                          </w:pPr>
                          <w:r>
                            <w:rPr>
                              <w:rFonts w:ascii="宋体" w:hAnsi="宋体" w:eastAsia="宋体" w:cs="宋体"/>
                              <w:spacing w:val="-20"/>
                              <w:sz w:val="19"/>
                              <w:szCs w:val="19"/>
                            </w:rPr>
                            <w:t>此区块中</w:t>
                          </w:r>
                          <w:r>
                            <w:rPr>
                              <w:rFonts w:ascii="宋体" w:hAnsi="宋体" w:eastAsia="宋体" w:cs="宋体"/>
                              <w:spacing w:val="-19"/>
                              <w:sz w:val="19"/>
                              <w:szCs w:val="19"/>
                            </w:rPr>
                            <w:t>的所有交易信</w:t>
                          </w:r>
                          <w:r>
                            <w:rPr>
                              <w:rFonts w:ascii="宋体" w:hAnsi="宋体" w:eastAsia="宋体" w:cs="宋体"/>
                              <w:spacing w:val="-15"/>
                              <w:sz w:val="19"/>
                              <w:szCs w:val="19"/>
                            </w:rPr>
                            <w:t>息</w:t>
                          </w:r>
                        </w:p>
                      </w:tc>
                    </w:tr>
                  </w:tbl>
                  <w:p w14:paraId="25E7A2F0">
                    <w:pPr>
                      <w:rPr>
                        <w:rFonts w:ascii="Arial"/>
                        <w:sz w:val="21"/>
                      </w:rPr>
                    </w:pPr>
                  </w:p>
                </w:txbxContent>
              </v:textbox>
            </v:shape>
            <w10:wrap type="none"/>
            <w10:anchorlock/>
          </v:group>
        </w:pict>
      </w:r>
    </w:p>
    <w:p w14:paraId="2073D599">
      <w:pPr>
        <w:pStyle w:val="2"/>
        <w:spacing w:before="78" w:line="219" w:lineRule="auto"/>
        <w:ind w:left="3529"/>
        <w:rPr>
          <w:sz w:val="19"/>
          <w:szCs w:val="19"/>
        </w:rPr>
      </w:pPr>
      <w:r>
        <w:rPr>
          <w:spacing w:val="-6"/>
          <w:sz w:val="19"/>
          <w:szCs w:val="19"/>
        </w:rPr>
        <w:t>图1-7</w:t>
      </w:r>
      <w:r>
        <w:rPr>
          <w:spacing w:val="66"/>
          <w:sz w:val="19"/>
          <w:szCs w:val="19"/>
        </w:rPr>
        <w:t xml:space="preserve"> </w:t>
      </w:r>
      <w:r>
        <w:rPr>
          <w:spacing w:val="-6"/>
          <w:sz w:val="19"/>
          <w:szCs w:val="19"/>
        </w:rPr>
        <w:t>区块链数据结构</w:t>
      </w:r>
    </w:p>
    <w:p w14:paraId="556814E1">
      <w:pPr>
        <w:pStyle w:val="2"/>
        <w:spacing w:before="183" w:line="304" w:lineRule="auto"/>
        <w:ind w:left="299" w:right="66" w:firstLine="400"/>
        <w:rPr>
          <w:sz w:val="19"/>
          <w:szCs w:val="19"/>
        </w:rPr>
      </w:pPr>
      <w:r>
        <w:rPr>
          <w:spacing w:val="24"/>
          <w:sz w:val="19"/>
          <w:szCs w:val="19"/>
        </w:rPr>
        <w:t>2019年以来，面向区块链数据存储能力的技术研究取得新突破，星际文件系统</w:t>
      </w:r>
      <w:r>
        <w:rPr>
          <w:spacing w:val="-31"/>
          <w:sz w:val="19"/>
          <w:szCs w:val="19"/>
        </w:rPr>
        <w:t xml:space="preserve"> </w:t>
      </w:r>
      <w:r>
        <w:rPr>
          <w:rFonts w:ascii="Times New Roman" w:hAnsi="Times New Roman" w:eastAsia="Times New Roman" w:cs="Times New Roman"/>
          <w:spacing w:val="24"/>
          <w:sz w:val="19"/>
          <w:szCs w:val="19"/>
        </w:rPr>
        <w:t>(</w:t>
      </w:r>
      <w:r>
        <w:rPr>
          <w:rFonts w:ascii="Times New Roman" w:hAnsi="Times New Roman" w:eastAsia="Times New Roman" w:cs="Times New Roman"/>
          <w:sz w:val="19"/>
          <w:szCs w:val="19"/>
        </w:rPr>
        <w:t>Inter   Planetary</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File</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System</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IPFS</w:t>
      </w:r>
      <w:r>
        <w:rPr>
          <w:rFonts w:ascii="Times New Roman" w:hAnsi="Times New Roman" w:eastAsia="Times New Roman" w:cs="Times New Roman"/>
          <w:spacing w:val="11"/>
          <w:sz w:val="19"/>
          <w:szCs w:val="19"/>
        </w:rPr>
        <w:t xml:space="preserve">) </w:t>
      </w:r>
      <w:r>
        <w:rPr>
          <w:spacing w:val="11"/>
          <w:sz w:val="19"/>
          <w:szCs w:val="19"/>
        </w:rPr>
        <w:t>等技术有效解决了区块链系统存储能力不足的问题，使超媒体数</w:t>
      </w:r>
    </w:p>
    <w:p w14:paraId="10AC9C2C">
      <w:pPr>
        <w:spacing w:line="304" w:lineRule="auto"/>
        <w:rPr>
          <w:sz w:val="19"/>
          <w:szCs w:val="19"/>
        </w:rPr>
        <w:sectPr>
          <w:pgSz w:w="10350" w:h="13320"/>
          <w:pgMar w:top="400" w:right="1165" w:bottom="400" w:left="500" w:header="0" w:footer="0" w:gutter="0"/>
          <w:cols w:space="720" w:num="1"/>
        </w:sectPr>
      </w:pPr>
    </w:p>
    <w:p w14:paraId="5458D49D">
      <w:pPr>
        <w:pStyle w:val="2"/>
        <w:spacing w:before="46" w:line="219" w:lineRule="auto"/>
        <w:jc w:val="right"/>
        <w:rPr>
          <w:rFonts w:ascii="Times New Roman" w:hAnsi="Times New Roman" w:eastAsia="Times New Roman" w:cs="Times New Roman"/>
          <w:sz w:val="19"/>
          <w:szCs w:val="19"/>
        </w:rPr>
      </w:pPr>
      <w:r>
        <w:rPr>
          <w:spacing w:val="5"/>
          <w:sz w:val="19"/>
          <w:szCs w:val="19"/>
        </w:rPr>
        <w:t>第1章</w:t>
      </w:r>
      <w:r>
        <w:rPr>
          <w:spacing w:val="28"/>
          <w:sz w:val="19"/>
          <w:szCs w:val="19"/>
        </w:rPr>
        <w:t xml:space="preserve"> </w:t>
      </w:r>
      <w:r>
        <w:rPr>
          <w:spacing w:val="5"/>
          <w:sz w:val="19"/>
          <w:szCs w:val="19"/>
        </w:rPr>
        <w:t>信息与信息化</w:t>
      </w:r>
      <w:r>
        <w:rPr>
          <w:sz w:val="19"/>
          <w:szCs w:val="19"/>
        </w:rPr>
        <w:t xml:space="preserve">       </w:t>
      </w:r>
      <w:r>
        <w:rPr>
          <w:rFonts w:ascii="Times New Roman" w:hAnsi="Times New Roman" w:eastAsia="Times New Roman" w:cs="Times New Roman"/>
          <w:spacing w:val="5"/>
          <w:sz w:val="19"/>
          <w:szCs w:val="19"/>
        </w:rPr>
        <w:t>21</w:t>
      </w:r>
    </w:p>
    <w:p w14:paraId="496EE5F5">
      <w:pPr>
        <w:spacing w:line="302" w:lineRule="auto"/>
        <w:rPr>
          <w:rFonts w:ascii="Arial"/>
          <w:sz w:val="21"/>
        </w:rPr>
      </w:pPr>
    </w:p>
    <w:p w14:paraId="66443A5C">
      <w:pPr>
        <w:pStyle w:val="2"/>
        <w:spacing w:before="62" w:line="302" w:lineRule="auto"/>
        <w:ind w:right="201"/>
        <w:jc w:val="both"/>
        <w:rPr>
          <w:sz w:val="19"/>
          <w:szCs w:val="19"/>
        </w:rPr>
      </w:pPr>
      <w:r>
        <w:rPr>
          <w:spacing w:val="8"/>
          <w:sz w:val="19"/>
          <w:szCs w:val="19"/>
        </w:rPr>
        <w:t>据上链成为可能。</w:t>
      </w:r>
      <w:r>
        <w:rPr>
          <w:rFonts w:ascii="Times New Roman" w:hAnsi="Times New Roman" w:eastAsia="Times New Roman" w:cs="Times New Roman"/>
          <w:sz w:val="19"/>
          <w:szCs w:val="19"/>
        </w:rPr>
        <w:t>IPFS</w:t>
      </w:r>
      <w:r>
        <w:rPr>
          <w:rFonts w:ascii="Times New Roman" w:hAnsi="Times New Roman" w:eastAsia="Times New Roman" w:cs="Times New Roman"/>
          <w:spacing w:val="8"/>
          <w:sz w:val="19"/>
          <w:szCs w:val="19"/>
        </w:rPr>
        <w:t xml:space="preserve">  </w:t>
      </w:r>
      <w:r>
        <w:rPr>
          <w:spacing w:val="8"/>
          <w:sz w:val="19"/>
          <w:szCs w:val="19"/>
        </w:rPr>
        <w:t>是一个面向全球的、点对点的分布式文件系统，帮助万</w:t>
      </w:r>
      <w:r>
        <w:rPr>
          <w:spacing w:val="7"/>
          <w:sz w:val="19"/>
          <w:szCs w:val="19"/>
        </w:rPr>
        <w:t>维网在网页寻址、</w:t>
      </w:r>
      <w:r>
        <w:rPr>
          <w:sz w:val="19"/>
          <w:szCs w:val="19"/>
        </w:rPr>
        <w:t xml:space="preserve"> </w:t>
      </w:r>
      <w:r>
        <w:rPr>
          <w:spacing w:val="12"/>
          <w:sz w:val="19"/>
          <w:szCs w:val="19"/>
        </w:rPr>
        <w:t>访问效率、数据存储、隐私保护和数据交易</w:t>
      </w:r>
      <w:r>
        <w:rPr>
          <w:spacing w:val="11"/>
          <w:sz w:val="19"/>
          <w:szCs w:val="19"/>
        </w:rPr>
        <w:t>等方面取得了大幅提升，通过</w:t>
      </w:r>
      <w:r>
        <w:rPr>
          <w:sz w:val="19"/>
          <w:szCs w:val="19"/>
        </w:rPr>
        <w:t>IPFS</w:t>
      </w:r>
      <w:r>
        <w:rPr>
          <w:spacing w:val="11"/>
          <w:sz w:val="19"/>
          <w:szCs w:val="19"/>
        </w:rPr>
        <w:t xml:space="preserve"> 处理大量数据，</w:t>
      </w:r>
      <w:r>
        <w:rPr>
          <w:sz w:val="19"/>
          <w:szCs w:val="19"/>
        </w:rPr>
        <w:t xml:space="preserve"> </w:t>
      </w:r>
      <w:r>
        <w:rPr>
          <w:spacing w:val="9"/>
          <w:sz w:val="19"/>
          <w:szCs w:val="19"/>
        </w:rPr>
        <w:t>将不可变的永久</w:t>
      </w:r>
      <w:r>
        <w:rPr>
          <w:rFonts w:ascii="Times New Roman" w:hAnsi="Times New Roman" w:eastAsia="Times New Roman" w:cs="Times New Roman"/>
          <w:sz w:val="19"/>
          <w:szCs w:val="19"/>
        </w:rPr>
        <w:t>IPFS</w:t>
      </w:r>
      <w:r>
        <w:rPr>
          <w:rFonts w:ascii="Times New Roman" w:hAnsi="Times New Roman" w:eastAsia="Times New Roman" w:cs="Times New Roman"/>
          <w:spacing w:val="38"/>
          <w:sz w:val="19"/>
          <w:szCs w:val="19"/>
        </w:rPr>
        <w:t xml:space="preserve"> </w:t>
      </w:r>
      <w:r>
        <w:rPr>
          <w:spacing w:val="9"/>
          <w:sz w:val="19"/>
          <w:szCs w:val="19"/>
        </w:rPr>
        <w:t>链接放入区块链中，大大提高了区块链系统的存储能力。</w:t>
      </w:r>
    </w:p>
    <w:p w14:paraId="0219951B">
      <w:pPr>
        <w:spacing w:before="119" w:line="229" w:lineRule="auto"/>
        <w:ind w:left="410"/>
        <w:rPr>
          <w:rFonts w:ascii="楷体" w:hAnsi="楷体" w:eastAsia="楷体" w:cs="楷体"/>
          <w:sz w:val="19"/>
          <w:szCs w:val="19"/>
        </w:rPr>
      </w:pPr>
      <w:bookmarkStart w:id="489" w:name="bookmark476"/>
      <w:bookmarkEnd w:id="489"/>
      <w:r>
        <w:rPr>
          <w:rFonts w:ascii="楷体" w:hAnsi="楷体" w:eastAsia="楷体" w:cs="楷体"/>
          <w:spacing w:val="27"/>
          <w:sz w:val="19"/>
          <w:szCs w:val="19"/>
        </w:rPr>
        <w:t>2)共识机制</w:t>
      </w:r>
    </w:p>
    <w:p w14:paraId="3486D966">
      <w:pPr>
        <w:pStyle w:val="2"/>
        <w:spacing w:before="54" w:line="305" w:lineRule="auto"/>
        <w:ind w:right="241" w:firstLine="410"/>
        <w:rPr>
          <w:sz w:val="19"/>
          <w:szCs w:val="19"/>
        </w:rPr>
      </w:pPr>
      <w:r>
        <w:rPr>
          <w:spacing w:val="13"/>
          <w:sz w:val="19"/>
          <w:szCs w:val="19"/>
        </w:rPr>
        <w:t>共识机制是在互不信任的网络中对事件前后顺序达成共识的一种</w:t>
      </w:r>
      <w:r>
        <w:rPr>
          <w:spacing w:val="12"/>
          <w:sz w:val="19"/>
          <w:szCs w:val="19"/>
        </w:rPr>
        <w:t>算法。区块链技术正是运</w:t>
      </w:r>
      <w:r>
        <w:rPr>
          <w:sz w:val="19"/>
          <w:szCs w:val="19"/>
        </w:rPr>
        <w:t xml:space="preserve"> </w:t>
      </w:r>
      <w:r>
        <w:rPr>
          <w:spacing w:val="13"/>
          <w:sz w:val="19"/>
          <w:szCs w:val="19"/>
        </w:rPr>
        <w:t>用共识算法在各个节点间建立去中心化的信任网络，解决记账不一致性的问题，为特定场景中</w:t>
      </w:r>
      <w:r>
        <w:rPr>
          <w:spacing w:val="6"/>
          <w:sz w:val="19"/>
          <w:szCs w:val="19"/>
        </w:rPr>
        <w:t xml:space="preserve"> </w:t>
      </w:r>
      <w:r>
        <w:rPr>
          <w:spacing w:val="10"/>
          <w:sz w:val="19"/>
          <w:szCs w:val="19"/>
        </w:rPr>
        <w:t>的应用提供保障。主流的区块链系统共识算法有</w:t>
      </w:r>
      <w:r>
        <w:rPr>
          <w:rFonts w:ascii="Times New Roman" w:hAnsi="Times New Roman" w:eastAsia="Times New Roman" w:cs="Times New Roman"/>
          <w:sz w:val="19"/>
          <w:szCs w:val="19"/>
        </w:rPr>
        <w:t>PoW</w:t>
      </w:r>
      <w:r>
        <w:rPr>
          <w:rFonts w:ascii="Times New Roman" w:hAnsi="Times New Roman" w:eastAsia="Times New Roman" w:cs="Times New Roman"/>
          <w:spacing w:val="-27"/>
          <w:sz w:val="19"/>
          <w:szCs w:val="19"/>
        </w:rPr>
        <w:t xml:space="preserve"> </w:t>
      </w:r>
      <w:r>
        <w:rPr>
          <w:spacing w:val="10"/>
          <w:sz w:val="19"/>
          <w:szCs w:val="19"/>
        </w:rPr>
        <w:t>、</w:t>
      </w:r>
      <w:r>
        <w:rPr>
          <w:rFonts w:ascii="Times New Roman" w:hAnsi="Times New Roman" w:eastAsia="Times New Roman" w:cs="Times New Roman"/>
          <w:sz w:val="19"/>
          <w:szCs w:val="19"/>
        </w:rPr>
        <w:t>PoS</w:t>
      </w:r>
      <w:r>
        <w:rPr>
          <w:rFonts w:ascii="Times New Roman" w:hAnsi="Times New Roman" w:eastAsia="Times New Roman" w:cs="Times New Roman"/>
          <w:spacing w:val="-27"/>
          <w:sz w:val="19"/>
          <w:szCs w:val="19"/>
        </w:rPr>
        <w:t xml:space="preserve"> </w:t>
      </w:r>
      <w:r>
        <w:rPr>
          <w:spacing w:val="10"/>
          <w:sz w:val="19"/>
          <w:szCs w:val="19"/>
        </w:rPr>
        <w:t>、</w:t>
      </w:r>
      <w:r>
        <w:rPr>
          <w:spacing w:val="-37"/>
          <w:sz w:val="19"/>
          <w:szCs w:val="19"/>
        </w:rPr>
        <w:t xml:space="preserve"> </w:t>
      </w:r>
      <w:r>
        <w:rPr>
          <w:spacing w:val="10"/>
          <w:sz w:val="19"/>
          <w:szCs w:val="19"/>
        </w:rPr>
        <w:t>股份</w:t>
      </w:r>
      <w:r>
        <w:rPr>
          <w:spacing w:val="9"/>
          <w:sz w:val="19"/>
          <w:szCs w:val="19"/>
        </w:rPr>
        <w:t>授权证明</w:t>
      </w:r>
      <w:r>
        <w:rPr>
          <w:spacing w:val="-36"/>
          <w:sz w:val="19"/>
          <w:szCs w:val="19"/>
        </w:rPr>
        <w:t xml:space="preserve"> </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Delegated</w:t>
      </w:r>
      <w:r>
        <w:rPr>
          <w:rFonts w:ascii="Times New Roman" w:hAnsi="Times New Roman" w:eastAsia="Times New Roman" w:cs="Times New Roman"/>
          <w:spacing w:val="22"/>
          <w:w w:val="102"/>
          <w:sz w:val="19"/>
          <w:szCs w:val="19"/>
        </w:rPr>
        <w:t xml:space="preserve">  </w:t>
      </w:r>
      <w:r>
        <w:rPr>
          <w:rFonts w:ascii="Times New Roman" w:hAnsi="Times New Roman" w:eastAsia="Times New Roman" w:cs="Times New Roman"/>
          <w:sz w:val="19"/>
          <w:szCs w:val="19"/>
        </w:rPr>
        <w:t>Proof</w:t>
      </w:r>
      <w:r>
        <w:rPr>
          <w:rFonts w:ascii="Times New Roman" w:hAnsi="Times New Roman" w:eastAsia="Times New Roman" w:cs="Times New Roman"/>
          <w:spacing w:val="14"/>
          <w:w w:val="102"/>
          <w:sz w:val="19"/>
          <w:szCs w:val="19"/>
        </w:rPr>
        <w:t xml:space="preserve">  </w:t>
      </w:r>
      <w:r>
        <w:rPr>
          <w:rFonts w:ascii="Times New Roman" w:hAnsi="Times New Roman" w:eastAsia="Times New Roman" w:cs="Times New Roman"/>
          <w:sz w:val="19"/>
          <w:szCs w:val="19"/>
        </w:rPr>
        <w:t>of  Stake</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DPoS</w:t>
      </w:r>
      <w:r>
        <w:rPr>
          <w:rFonts w:ascii="Times New Roman" w:hAnsi="Times New Roman" w:eastAsia="Times New Roman" w:cs="Times New Roman"/>
          <w:spacing w:val="11"/>
          <w:sz w:val="19"/>
          <w:szCs w:val="19"/>
        </w:rPr>
        <w:t>)</w:t>
      </w:r>
      <w:r>
        <w:rPr>
          <w:rFonts w:ascii="Times New Roman" w:hAnsi="Times New Roman" w:eastAsia="Times New Roman" w:cs="Times New Roman"/>
          <w:spacing w:val="-27"/>
          <w:sz w:val="19"/>
          <w:szCs w:val="19"/>
        </w:rPr>
        <w:t xml:space="preserve"> </w:t>
      </w:r>
      <w:r>
        <w:rPr>
          <w:spacing w:val="11"/>
          <w:sz w:val="19"/>
          <w:szCs w:val="19"/>
        </w:rPr>
        <w:t>、</w:t>
      </w:r>
      <w:r>
        <w:rPr>
          <w:sz w:val="19"/>
          <w:szCs w:val="19"/>
        </w:rPr>
        <w:t xml:space="preserve">   </w:t>
      </w:r>
      <w:r>
        <w:rPr>
          <w:spacing w:val="11"/>
          <w:sz w:val="19"/>
          <w:szCs w:val="19"/>
        </w:rPr>
        <w:t>分布式事务一致性协议</w:t>
      </w:r>
      <w:r>
        <w:rPr>
          <w:spacing w:val="-42"/>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PAXOS</w:t>
      </w:r>
      <w:r>
        <w:rPr>
          <w:rFonts w:ascii="Times New Roman" w:hAnsi="Times New Roman" w:eastAsia="Times New Roman" w:cs="Times New Roman"/>
          <w:spacing w:val="11"/>
          <w:sz w:val="19"/>
          <w:szCs w:val="19"/>
        </w:rPr>
        <w:t>)</w:t>
      </w:r>
      <w:r>
        <w:rPr>
          <w:rFonts w:ascii="Times New Roman" w:hAnsi="Times New Roman" w:eastAsia="Times New Roman" w:cs="Times New Roman"/>
          <w:spacing w:val="-27"/>
          <w:sz w:val="19"/>
          <w:szCs w:val="19"/>
        </w:rPr>
        <w:t xml:space="preserve"> </w:t>
      </w:r>
      <w:r>
        <w:rPr>
          <w:spacing w:val="11"/>
          <w:sz w:val="19"/>
          <w:szCs w:val="19"/>
        </w:rPr>
        <w:t>、</w:t>
      </w:r>
      <w:r>
        <w:rPr>
          <w:spacing w:val="63"/>
          <w:sz w:val="19"/>
          <w:szCs w:val="19"/>
        </w:rPr>
        <w:t xml:space="preserve"> </w:t>
      </w:r>
      <w:r>
        <w:rPr>
          <w:spacing w:val="11"/>
          <w:sz w:val="19"/>
          <w:szCs w:val="19"/>
        </w:rPr>
        <w:t>实用拜</w:t>
      </w:r>
      <w:r>
        <w:rPr>
          <w:spacing w:val="10"/>
          <w:sz w:val="19"/>
          <w:szCs w:val="19"/>
        </w:rPr>
        <w:t>占庭容错算法</w:t>
      </w:r>
      <w:r>
        <w:rPr>
          <w:spacing w:val="-21"/>
          <w:sz w:val="19"/>
          <w:szCs w:val="19"/>
        </w:rPr>
        <w:t xml:space="preserve"> </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Practical</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Byzantine  fault</w:t>
      </w:r>
      <w:r>
        <w:rPr>
          <w:rFonts w:ascii="Times New Roman" w:hAnsi="Times New Roman" w:eastAsia="Times New Roman" w:cs="Times New Roman"/>
          <w:spacing w:val="12"/>
          <w:sz w:val="19"/>
          <w:szCs w:val="19"/>
        </w:rPr>
        <w:t xml:space="preserve">       </w:t>
      </w:r>
      <w:r>
        <w:rPr>
          <w:rFonts w:ascii="Times New Roman" w:hAnsi="Times New Roman" w:eastAsia="Times New Roman" w:cs="Times New Roman"/>
          <w:sz w:val="19"/>
          <w:szCs w:val="19"/>
        </w:rPr>
        <w:t>tolerance</w:t>
      </w:r>
      <w:r>
        <w:rPr>
          <w:rFonts w:ascii="Times New Roman" w:hAnsi="Times New Roman" w:eastAsia="Times New Roman" w:cs="Times New Roman"/>
          <w:spacing w:val="12"/>
          <w:sz w:val="19"/>
          <w:szCs w:val="19"/>
        </w:rPr>
        <w:t>,</w:t>
      </w:r>
      <w:r>
        <w:rPr>
          <w:rFonts w:ascii="Times New Roman" w:hAnsi="Times New Roman" w:eastAsia="Times New Roman" w:cs="Times New Roman"/>
          <w:sz w:val="19"/>
          <w:szCs w:val="19"/>
        </w:rPr>
        <w:t>PBFT</w:t>
      </w:r>
      <w:r>
        <w:rPr>
          <w:rFonts w:ascii="Times New Roman" w:hAnsi="Times New Roman" w:eastAsia="Times New Roman" w:cs="Times New Roman"/>
          <w:spacing w:val="12"/>
          <w:sz w:val="19"/>
          <w:szCs w:val="19"/>
        </w:rPr>
        <w:t>)</w:t>
      </w:r>
      <w:r>
        <w:rPr>
          <w:rFonts w:ascii="Times New Roman" w:hAnsi="Times New Roman" w:eastAsia="Times New Roman" w:cs="Times New Roman"/>
          <w:spacing w:val="25"/>
          <w:w w:val="101"/>
          <w:sz w:val="19"/>
          <w:szCs w:val="19"/>
        </w:rPr>
        <w:t xml:space="preserve"> </w:t>
      </w:r>
      <w:r>
        <w:rPr>
          <w:spacing w:val="12"/>
          <w:sz w:val="19"/>
          <w:szCs w:val="19"/>
        </w:rPr>
        <w:t>等，各类主流算法基于</w:t>
      </w:r>
      <w:r>
        <w:rPr>
          <w:spacing w:val="11"/>
          <w:sz w:val="19"/>
          <w:szCs w:val="19"/>
        </w:rPr>
        <w:t>容错性、性能等因素在中心化程度上存在差异，</w:t>
      </w:r>
      <w:r>
        <w:rPr>
          <w:sz w:val="19"/>
          <w:szCs w:val="19"/>
        </w:rPr>
        <w:t xml:space="preserve"> </w:t>
      </w:r>
      <w:r>
        <w:rPr>
          <w:spacing w:val="16"/>
          <w:sz w:val="19"/>
          <w:szCs w:val="19"/>
        </w:rPr>
        <w:t>如图1-8所示。此外，</w:t>
      </w:r>
      <w:r>
        <w:rPr>
          <w:spacing w:val="-45"/>
          <w:sz w:val="19"/>
          <w:szCs w:val="19"/>
        </w:rPr>
        <w:t xml:space="preserve"> </w:t>
      </w:r>
      <w:r>
        <w:rPr>
          <w:rFonts w:ascii="Times New Roman" w:hAnsi="Times New Roman" w:eastAsia="Times New Roman" w:cs="Times New Roman"/>
          <w:sz w:val="19"/>
          <w:szCs w:val="19"/>
        </w:rPr>
        <w:t>Kafka</w:t>
      </w:r>
      <w:r>
        <w:rPr>
          <w:rFonts w:ascii="Times New Roman" w:hAnsi="Times New Roman" w:eastAsia="Times New Roman" w:cs="Times New Roman"/>
          <w:spacing w:val="-27"/>
          <w:sz w:val="19"/>
          <w:szCs w:val="19"/>
        </w:rPr>
        <w:t xml:space="preserve"> </w:t>
      </w:r>
      <w:r>
        <w:rPr>
          <w:spacing w:val="16"/>
          <w:sz w:val="19"/>
          <w:szCs w:val="19"/>
        </w:rPr>
        <w:t>、</w:t>
      </w:r>
      <w:r>
        <w:rPr>
          <w:rFonts w:ascii="Times New Roman" w:hAnsi="Times New Roman" w:eastAsia="Times New Roman" w:cs="Times New Roman"/>
          <w:sz w:val="19"/>
          <w:szCs w:val="19"/>
        </w:rPr>
        <w:t>Raft</w:t>
      </w:r>
      <w:r>
        <w:rPr>
          <w:rFonts w:ascii="Times New Roman" w:hAnsi="Times New Roman" w:eastAsia="Times New Roman" w:cs="Times New Roman"/>
          <w:spacing w:val="19"/>
          <w:sz w:val="19"/>
          <w:szCs w:val="19"/>
        </w:rPr>
        <w:t xml:space="preserve">  </w:t>
      </w:r>
      <w:r>
        <w:rPr>
          <w:spacing w:val="16"/>
          <w:sz w:val="19"/>
          <w:szCs w:val="19"/>
        </w:rPr>
        <w:t>协议、软硬件结合共</w:t>
      </w:r>
      <w:r>
        <w:rPr>
          <w:spacing w:val="15"/>
          <w:sz w:val="19"/>
          <w:szCs w:val="19"/>
        </w:rPr>
        <w:t>识算法等也正在逐渐被区块链系统所</w:t>
      </w:r>
      <w:r>
        <w:rPr>
          <w:sz w:val="19"/>
          <w:szCs w:val="19"/>
        </w:rPr>
        <w:t xml:space="preserve"> </w:t>
      </w:r>
      <w:r>
        <w:rPr>
          <w:spacing w:val="5"/>
          <w:sz w:val="19"/>
          <w:szCs w:val="19"/>
        </w:rPr>
        <w:t>采用。</w:t>
      </w:r>
    </w:p>
    <w:p w14:paraId="0087B04B">
      <w:pPr>
        <w:pStyle w:val="2"/>
        <w:spacing w:before="12" w:line="3550" w:lineRule="exact"/>
        <w:ind w:firstLine="970"/>
      </w:pPr>
      <w:r>
        <w:rPr>
          <w:position w:val="-71"/>
        </w:rPr>
        <w:pict>
          <v:group id="_x0000_s1073" o:spid="_x0000_s1073" o:spt="203" style="height:177.55pt;width:323.5pt;" coordsize="6470,3551">
            <o:lock v:ext="edit"/>
            <v:shape id="_x0000_s1074" o:spid="_x0000_s1074" o:spt="75" type="#_x0000_t75" style="position:absolute;left:0;top:0;height:3551;width:6470;" filled="f" stroked="f" coordsize="21600,21600">
              <v:path/>
              <v:fill on="f" focussize="0,0"/>
              <v:stroke on="f"/>
              <v:imagedata r:id="rId39" o:title=""/>
              <o:lock v:ext="edit" aspectratio="t"/>
            </v:shape>
            <v:shape id="_x0000_s1075" o:spid="_x0000_s1075" o:spt="202" type="#_x0000_t202" style="position:absolute;left:159;top:137;height:3311;width:6210;" filled="f" stroked="f" coordsize="21600,21600">
              <v:path/>
              <v:fill on="f" focussize="0,0"/>
              <v:stroke on="f"/>
              <v:imagedata o:title=""/>
              <o:lock v:ext="edit" aspectratio="f"/>
              <v:textbox inset="0mm,0mm,0mm,0mm">
                <w:txbxContent>
                  <w:p w14:paraId="7D9659C4">
                    <w:pPr>
                      <w:spacing w:before="20" w:line="219" w:lineRule="auto"/>
                      <w:ind w:left="20"/>
                      <w:rPr>
                        <w:rFonts w:ascii="宋体" w:hAnsi="宋体" w:eastAsia="宋体" w:cs="宋体"/>
                        <w:sz w:val="19"/>
                        <w:szCs w:val="19"/>
                      </w:rPr>
                    </w:pPr>
                    <w:r>
                      <w:rPr>
                        <w:rFonts w:ascii="宋体" w:hAnsi="宋体" w:eastAsia="宋体" w:cs="宋体"/>
                        <w:spacing w:val="-3"/>
                        <w:sz w:val="19"/>
                        <w:szCs w:val="19"/>
                      </w:rPr>
                      <w:t>效率</w:t>
                    </w:r>
                  </w:p>
                  <w:p w14:paraId="328B4834">
                    <w:pPr>
                      <w:spacing w:line="279" w:lineRule="auto"/>
                      <w:rPr>
                        <w:rFonts w:ascii="Arial"/>
                        <w:sz w:val="21"/>
                      </w:rPr>
                    </w:pPr>
                  </w:p>
                  <w:p w14:paraId="4F43D5A4">
                    <w:pPr>
                      <w:spacing w:before="62" w:line="219" w:lineRule="auto"/>
                      <w:ind w:left="4419"/>
                      <w:rPr>
                        <w:rFonts w:ascii="宋体" w:hAnsi="宋体" w:eastAsia="宋体" w:cs="宋体"/>
                        <w:sz w:val="19"/>
                        <w:szCs w:val="19"/>
                      </w:rPr>
                    </w:pPr>
                    <w:r>
                      <w:rPr>
                        <w:rFonts w:ascii="宋体" w:hAnsi="宋体" w:eastAsia="宋体" w:cs="宋体"/>
                        <w:spacing w:val="-15"/>
                        <w:w w:val="98"/>
                        <w:sz w:val="19"/>
                        <w:szCs w:val="19"/>
                      </w:rPr>
                      <w:t>分布式事务一致性协议</w:t>
                    </w:r>
                  </w:p>
                  <w:p w14:paraId="5174319D">
                    <w:pPr>
                      <w:spacing w:before="195" w:line="188" w:lineRule="auto"/>
                      <w:ind w:left="5020"/>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PAXOS</w:t>
                    </w:r>
                  </w:p>
                  <w:p w14:paraId="4B5D5CC5">
                    <w:pPr>
                      <w:spacing w:before="278" w:line="188" w:lineRule="auto"/>
                      <w:ind w:left="509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DPoS</w:t>
                    </w:r>
                  </w:p>
                  <w:p w14:paraId="5B76F381">
                    <w:pPr>
                      <w:spacing w:before="129" w:line="219" w:lineRule="auto"/>
                      <w:ind w:left="4780"/>
                      <w:rPr>
                        <w:rFonts w:ascii="宋体" w:hAnsi="宋体" w:eastAsia="宋体" w:cs="宋体"/>
                        <w:sz w:val="19"/>
                        <w:szCs w:val="19"/>
                      </w:rPr>
                    </w:pPr>
                    <w:r>
                      <w:rPr>
                        <w:rFonts w:ascii="宋体" w:hAnsi="宋体" w:eastAsia="宋体" w:cs="宋体"/>
                        <w:spacing w:val="-15"/>
                        <w:sz w:val="19"/>
                        <w:szCs w:val="19"/>
                      </w:rPr>
                      <w:t>股份授权证明</w:t>
                    </w:r>
                  </w:p>
                  <w:p w14:paraId="02F4E1B8">
                    <w:pPr>
                      <w:spacing w:before="269" w:line="185" w:lineRule="auto"/>
                      <w:ind w:left="204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PBFT</w:t>
                    </w:r>
                  </w:p>
                  <w:p w14:paraId="6186C38C">
                    <w:pPr>
                      <w:spacing w:before="97" w:line="166" w:lineRule="auto"/>
                      <w:ind w:left="1820"/>
                      <w:rPr>
                        <w:rFonts w:ascii="宋体" w:hAnsi="宋体" w:eastAsia="宋体" w:cs="宋体"/>
                        <w:sz w:val="19"/>
                        <w:szCs w:val="19"/>
                      </w:rPr>
                    </w:pPr>
                    <w:r>
                      <w:rPr>
                        <w:rFonts w:ascii="宋体" w:hAnsi="宋体" w:eastAsia="宋体" w:cs="宋体"/>
                        <w:spacing w:val="-15"/>
                        <w:sz w:val="19"/>
                        <w:szCs w:val="19"/>
                      </w:rPr>
                      <w:t>拜占庭容错</w:t>
                    </w:r>
                  </w:p>
                  <w:p w14:paraId="7C501C3F">
                    <w:pPr>
                      <w:spacing w:line="164" w:lineRule="auto"/>
                      <w:ind w:left="5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PoW</w:t>
                    </w:r>
                  </w:p>
                  <w:p w14:paraId="6683F714">
                    <w:pPr>
                      <w:spacing w:before="90" w:line="175" w:lineRule="auto"/>
                      <w:ind w:left="280"/>
                      <w:rPr>
                        <w:rFonts w:ascii="宋体" w:hAnsi="宋体" w:eastAsia="宋体" w:cs="宋体"/>
                        <w:sz w:val="19"/>
                        <w:szCs w:val="19"/>
                      </w:rPr>
                    </w:pPr>
                    <w:r>
                      <w:rPr>
                        <w:rFonts w:ascii="宋体" w:hAnsi="宋体" w:eastAsia="宋体" w:cs="宋体"/>
                        <w:spacing w:val="-15"/>
                        <w:sz w:val="19"/>
                        <w:szCs w:val="19"/>
                      </w:rPr>
                      <w:t>工作量证明</w:t>
                    </w:r>
                  </w:p>
                  <w:p w14:paraId="16E3703E">
                    <w:pPr>
                      <w:spacing w:before="1" w:line="210" w:lineRule="auto"/>
                      <w:ind w:right="2"/>
                      <w:jc w:val="right"/>
                      <w:rPr>
                        <w:rFonts w:ascii="宋体" w:hAnsi="宋体" w:eastAsia="宋体" w:cs="宋体"/>
                        <w:sz w:val="19"/>
                        <w:szCs w:val="19"/>
                      </w:rPr>
                    </w:pPr>
                    <w:r>
                      <w:rPr>
                        <w:rFonts w:ascii="宋体" w:hAnsi="宋体" w:eastAsia="宋体" w:cs="宋体"/>
                        <w:spacing w:val="-16"/>
                        <w:sz w:val="19"/>
                        <w:szCs w:val="19"/>
                      </w:rPr>
                      <w:t>中</w:t>
                    </w:r>
                    <w:r>
                      <w:rPr>
                        <w:rFonts w:ascii="宋体" w:hAnsi="宋体" w:eastAsia="宋体" w:cs="宋体"/>
                        <w:spacing w:val="-15"/>
                        <w:sz w:val="19"/>
                        <w:szCs w:val="19"/>
                      </w:rPr>
                      <w:t>心化程</w:t>
                    </w:r>
                    <w:r>
                      <w:rPr>
                        <w:rFonts w:ascii="宋体" w:hAnsi="宋体" w:eastAsia="宋体" w:cs="宋体"/>
                        <w:spacing w:val="-14"/>
                        <w:sz w:val="19"/>
                        <w:szCs w:val="19"/>
                      </w:rPr>
                      <w:t>度</w:t>
                    </w:r>
                  </w:p>
                </w:txbxContent>
              </v:textbox>
            </v:shape>
            <v:shape id="_x0000_s1076" o:spid="_x0000_s1076" o:spt="202" type="#_x0000_t202" style="position:absolute;left:3609;top:1956;height:510;width:740;" filled="f" stroked="f" coordsize="21600,21600">
              <v:path/>
              <v:fill on="f" focussize="0,0"/>
              <v:stroke on="f"/>
              <v:imagedata o:title=""/>
              <o:lock v:ext="edit" aspectratio="f"/>
              <v:textbox inset="0mm,0mm,0mm,0mm">
                <w:txbxContent>
                  <w:p w14:paraId="778841FB">
                    <w:pPr>
                      <w:spacing w:before="20" w:line="188" w:lineRule="auto"/>
                      <w:ind w:left="2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PoS</w:t>
                    </w:r>
                  </w:p>
                  <w:p w14:paraId="3084EE0F">
                    <w:pPr>
                      <w:spacing w:before="109" w:line="219" w:lineRule="auto"/>
                      <w:ind w:left="20"/>
                      <w:rPr>
                        <w:rFonts w:ascii="宋体" w:hAnsi="宋体" w:eastAsia="宋体" w:cs="宋体"/>
                        <w:sz w:val="19"/>
                        <w:szCs w:val="19"/>
                      </w:rPr>
                    </w:pPr>
                    <w:r>
                      <w:rPr>
                        <w:rFonts w:ascii="宋体" w:hAnsi="宋体" w:eastAsia="宋体" w:cs="宋体"/>
                        <w:spacing w:val="-12"/>
                        <w:sz w:val="19"/>
                        <w:szCs w:val="19"/>
                      </w:rPr>
                      <w:t>股份证明</w:t>
                    </w:r>
                  </w:p>
                </w:txbxContent>
              </v:textbox>
            </v:shape>
            <w10:wrap type="none"/>
            <w10:anchorlock/>
          </v:group>
        </w:pict>
      </w:r>
    </w:p>
    <w:p w14:paraId="7339FCDA">
      <w:pPr>
        <w:pStyle w:val="2"/>
        <w:spacing w:before="98" w:line="219" w:lineRule="auto"/>
        <w:ind w:left="2879"/>
        <w:rPr>
          <w:sz w:val="19"/>
          <w:szCs w:val="19"/>
        </w:rPr>
      </w:pPr>
      <w:r>
        <w:rPr>
          <w:spacing w:val="-9"/>
          <w:sz w:val="19"/>
          <w:szCs w:val="19"/>
        </w:rPr>
        <w:t>图1-8</w:t>
      </w:r>
      <w:r>
        <w:rPr>
          <w:spacing w:val="75"/>
          <w:sz w:val="19"/>
          <w:szCs w:val="19"/>
        </w:rPr>
        <w:t xml:space="preserve"> </w:t>
      </w:r>
      <w:r>
        <w:rPr>
          <w:spacing w:val="-9"/>
          <w:sz w:val="19"/>
          <w:szCs w:val="19"/>
        </w:rPr>
        <w:t>共识算法中心化程度对比</w:t>
      </w:r>
    </w:p>
    <w:p w14:paraId="4521FB94">
      <w:pPr>
        <w:spacing w:before="290" w:line="224" w:lineRule="auto"/>
        <w:ind w:left="410"/>
        <w:rPr>
          <w:rFonts w:ascii="楷体" w:hAnsi="楷体" w:eastAsia="楷体" w:cs="楷体"/>
          <w:sz w:val="19"/>
          <w:szCs w:val="19"/>
        </w:rPr>
      </w:pPr>
      <w:r>
        <w:rPr>
          <w:rFonts w:ascii="楷体" w:hAnsi="楷体" w:eastAsia="楷体" w:cs="楷体"/>
          <w:spacing w:val="26"/>
          <w:sz w:val="19"/>
          <w:szCs w:val="19"/>
        </w:rPr>
        <w:t>3)智能合约</w:t>
      </w:r>
    </w:p>
    <w:p w14:paraId="33884624">
      <w:pPr>
        <w:pStyle w:val="2"/>
        <w:spacing w:before="73" w:line="296" w:lineRule="auto"/>
        <w:ind w:right="285" w:firstLine="410"/>
        <w:rPr>
          <w:sz w:val="19"/>
          <w:szCs w:val="19"/>
        </w:rPr>
      </w:pPr>
      <w:r>
        <w:rPr>
          <w:spacing w:val="13"/>
          <w:sz w:val="19"/>
          <w:szCs w:val="19"/>
        </w:rPr>
        <w:t>智能合约是一种基于预定义事件触发、不可篡改、自动执行的计</w:t>
      </w:r>
      <w:r>
        <w:rPr>
          <w:spacing w:val="12"/>
          <w:sz w:val="19"/>
          <w:szCs w:val="19"/>
        </w:rPr>
        <w:t>算机协议，旨在以数字方</w:t>
      </w:r>
      <w:r>
        <w:rPr>
          <w:sz w:val="19"/>
          <w:szCs w:val="19"/>
        </w:rPr>
        <w:t xml:space="preserve"> </w:t>
      </w:r>
      <w:r>
        <w:rPr>
          <w:spacing w:val="13"/>
          <w:sz w:val="19"/>
          <w:szCs w:val="19"/>
        </w:rPr>
        <w:t>式促进、验证或强制执行合同的谈判或履行。长期以来，由于缺乏可执行、可</w:t>
      </w:r>
      <w:r>
        <w:rPr>
          <w:spacing w:val="12"/>
          <w:sz w:val="19"/>
          <w:szCs w:val="19"/>
        </w:rPr>
        <w:t>验证的平台和规</w:t>
      </w:r>
      <w:r>
        <w:rPr>
          <w:sz w:val="19"/>
          <w:szCs w:val="19"/>
        </w:rPr>
        <w:t xml:space="preserve"> </w:t>
      </w:r>
      <w:r>
        <w:rPr>
          <w:spacing w:val="12"/>
          <w:sz w:val="19"/>
          <w:szCs w:val="19"/>
        </w:rPr>
        <w:t>模化落地场景，智能合约并未受到广泛关注。2015年，以太坊打开了智能合约规模化应用的窗</w:t>
      </w:r>
      <w:r>
        <w:rPr>
          <w:spacing w:val="13"/>
          <w:sz w:val="19"/>
          <w:szCs w:val="19"/>
        </w:rPr>
        <w:t xml:space="preserve"> </w:t>
      </w:r>
      <w:r>
        <w:rPr>
          <w:spacing w:val="9"/>
          <w:sz w:val="19"/>
          <w:szCs w:val="19"/>
        </w:rPr>
        <w:t>口，智能合约在区块链中实现了防篡改、</w:t>
      </w:r>
      <w:r>
        <w:rPr>
          <w:spacing w:val="51"/>
          <w:sz w:val="19"/>
          <w:szCs w:val="19"/>
        </w:rPr>
        <w:t xml:space="preserve"> </w:t>
      </w:r>
      <w:r>
        <w:rPr>
          <w:spacing w:val="9"/>
          <w:sz w:val="19"/>
          <w:szCs w:val="19"/>
        </w:rPr>
        <w:t>一致性、可审计、自动化执行等能力，从而也成为区</w:t>
      </w:r>
      <w:r>
        <w:rPr>
          <w:sz w:val="19"/>
          <w:szCs w:val="19"/>
        </w:rPr>
        <w:t xml:space="preserve"> </w:t>
      </w:r>
      <w:r>
        <w:rPr>
          <w:spacing w:val="5"/>
          <w:sz w:val="19"/>
          <w:szCs w:val="19"/>
        </w:rPr>
        <w:t>块链技术的重要组成部分。</w:t>
      </w:r>
    </w:p>
    <w:p w14:paraId="73652B73">
      <w:pPr>
        <w:spacing w:before="108" w:line="228" w:lineRule="auto"/>
        <w:ind w:left="410"/>
        <w:rPr>
          <w:rFonts w:ascii="楷体" w:hAnsi="楷体" w:eastAsia="楷体" w:cs="楷体"/>
          <w:sz w:val="19"/>
          <w:szCs w:val="19"/>
        </w:rPr>
      </w:pPr>
      <w:r>
        <w:rPr>
          <w:rFonts w:ascii="楷体" w:hAnsi="楷体" w:eastAsia="楷体" w:cs="楷体"/>
          <w:spacing w:val="24"/>
          <w:sz w:val="19"/>
          <w:szCs w:val="19"/>
        </w:rPr>
        <w:t>4)加密算法</w:t>
      </w:r>
    </w:p>
    <w:p w14:paraId="390DE506">
      <w:pPr>
        <w:pStyle w:val="2"/>
        <w:spacing w:before="46" w:line="292" w:lineRule="auto"/>
        <w:ind w:right="201" w:firstLine="410"/>
        <w:rPr>
          <w:sz w:val="19"/>
          <w:szCs w:val="19"/>
        </w:rPr>
      </w:pPr>
      <w:r>
        <w:rPr>
          <w:spacing w:val="15"/>
          <w:sz w:val="19"/>
          <w:szCs w:val="19"/>
        </w:rPr>
        <w:t>加密算法将明文信息转换成密文信息，信息的接收方能够通过密钥对密文信息进行解</w:t>
      </w:r>
      <w:r>
        <w:rPr>
          <w:spacing w:val="14"/>
          <w:sz w:val="19"/>
          <w:szCs w:val="19"/>
        </w:rPr>
        <w:t>密，</w:t>
      </w:r>
      <w:r>
        <w:rPr>
          <w:sz w:val="19"/>
          <w:szCs w:val="19"/>
        </w:rPr>
        <w:t xml:space="preserve"> </w:t>
      </w:r>
      <w:r>
        <w:rPr>
          <w:spacing w:val="13"/>
          <w:sz w:val="19"/>
          <w:szCs w:val="19"/>
        </w:rPr>
        <w:t>获得明文信息。加密算法分为对称加密和非对称加密两种，区块链系统主要应用</w:t>
      </w:r>
      <w:r>
        <w:rPr>
          <w:spacing w:val="12"/>
          <w:sz w:val="19"/>
          <w:szCs w:val="19"/>
        </w:rPr>
        <w:t>非对称加密算</w:t>
      </w:r>
      <w:r>
        <w:rPr>
          <w:sz w:val="19"/>
          <w:szCs w:val="19"/>
        </w:rPr>
        <w:t xml:space="preserve">  </w:t>
      </w:r>
      <w:r>
        <w:rPr>
          <w:spacing w:val="8"/>
          <w:sz w:val="19"/>
          <w:szCs w:val="19"/>
        </w:rPr>
        <w:t>法来确认交易主体身份、交易数据消息摘要和信</w:t>
      </w:r>
      <w:r>
        <w:rPr>
          <w:spacing w:val="7"/>
          <w:sz w:val="19"/>
          <w:szCs w:val="19"/>
        </w:rPr>
        <w:t>息安全编码解码。</w:t>
      </w:r>
    </w:p>
    <w:p w14:paraId="60A981A7">
      <w:pPr>
        <w:spacing w:before="130" w:line="230" w:lineRule="auto"/>
        <w:ind w:left="410"/>
        <w:rPr>
          <w:rFonts w:ascii="楷体" w:hAnsi="楷体" w:eastAsia="楷体" w:cs="楷体"/>
          <w:sz w:val="19"/>
          <w:szCs w:val="19"/>
        </w:rPr>
      </w:pPr>
      <w:r>
        <w:rPr>
          <w:rFonts w:ascii="楷体" w:hAnsi="楷体" w:eastAsia="楷体" w:cs="楷体"/>
          <w:spacing w:val="24"/>
          <w:sz w:val="19"/>
          <w:szCs w:val="19"/>
        </w:rPr>
        <w:t>5)跨链技术</w:t>
      </w:r>
    </w:p>
    <w:p w14:paraId="75509FC4">
      <w:pPr>
        <w:pStyle w:val="2"/>
        <w:spacing w:before="50" w:line="219" w:lineRule="auto"/>
        <w:ind w:left="410"/>
        <w:rPr>
          <w:sz w:val="19"/>
          <w:szCs w:val="19"/>
        </w:rPr>
      </w:pPr>
      <w:r>
        <w:rPr>
          <w:spacing w:val="13"/>
          <w:sz w:val="19"/>
          <w:szCs w:val="19"/>
        </w:rPr>
        <w:t>跨链技术本质上是一种将区块链上的数据或信息安全可信地转移到另外一条区块链上，并</w:t>
      </w:r>
    </w:p>
    <w:p w14:paraId="184FA0FF">
      <w:pPr>
        <w:spacing w:line="219" w:lineRule="auto"/>
        <w:rPr>
          <w:sz w:val="19"/>
          <w:szCs w:val="19"/>
        </w:rPr>
        <w:sectPr>
          <w:pgSz w:w="10310" w:h="13310"/>
          <w:pgMar w:top="400" w:right="534" w:bottom="400" w:left="1169" w:header="0" w:footer="0" w:gutter="0"/>
          <w:cols w:space="720" w:num="1"/>
        </w:sectPr>
      </w:pPr>
    </w:p>
    <w:p w14:paraId="2790CA82">
      <w:pPr>
        <w:pStyle w:val="2"/>
        <w:spacing w:before="77" w:line="219" w:lineRule="auto"/>
        <w:rPr>
          <w:sz w:val="19"/>
          <w:szCs w:val="19"/>
        </w:rPr>
      </w:pPr>
      <w:r>
        <w:rPr>
          <w:rFonts w:ascii="Times New Roman" w:hAnsi="Times New Roman" w:eastAsia="Times New Roman" w:cs="Times New Roman"/>
          <w:spacing w:val="4"/>
          <w:position w:val="1"/>
          <w:sz w:val="19"/>
          <w:szCs w:val="19"/>
        </w:rPr>
        <w:t xml:space="preserve">22               </w:t>
      </w:r>
      <w:r>
        <w:rPr>
          <w:spacing w:val="4"/>
          <w:sz w:val="19"/>
          <w:szCs w:val="19"/>
        </w:rPr>
        <w:t>信息系</w:t>
      </w:r>
      <w:r>
        <w:rPr>
          <w:spacing w:val="3"/>
          <w:sz w:val="19"/>
          <w:szCs w:val="19"/>
        </w:rPr>
        <w:t>统监理师教程(第2版)</w:t>
      </w:r>
    </w:p>
    <w:p w14:paraId="35F417C6">
      <w:pPr>
        <w:spacing w:line="329" w:lineRule="auto"/>
        <w:rPr>
          <w:rFonts w:ascii="Arial"/>
          <w:sz w:val="21"/>
        </w:rPr>
      </w:pPr>
    </w:p>
    <w:p w14:paraId="0344D93C">
      <w:pPr>
        <w:pStyle w:val="2"/>
        <w:spacing w:before="62" w:line="305" w:lineRule="auto"/>
        <w:ind w:left="309" w:right="77"/>
        <w:jc w:val="both"/>
        <w:rPr>
          <w:sz w:val="19"/>
          <w:szCs w:val="19"/>
        </w:rPr>
      </w:pPr>
      <w:r>
        <w:rPr>
          <w:spacing w:val="13"/>
          <w:sz w:val="19"/>
          <w:szCs w:val="19"/>
        </w:rPr>
        <w:t>在其链上产生预期效果的一种技术。当前区块链应用大多聚焦在局部单一领域，重点解决“局</w:t>
      </w:r>
      <w:r>
        <w:rPr>
          <w:spacing w:val="3"/>
          <w:sz w:val="19"/>
          <w:szCs w:val="19"/>
        </w:rPr>
        <w:t xml:space="preserve"> </w:t>
      </w:r>
      <w:r>
        <w:rPr>
          <w:spacing w:val="13"/>
          <w:sz w:val="19"/>
          <w:szCs w:val="19"/>
        </w:rPr>
        <w:t>域网”内部的商业协作。随着商业应用大规模落地，各场景下现有的局部数字资产流</w:t>
      </w:r>
      <w:r>
        <w:rPr>
          <w:spacing w:val="12"/>
          <w:sz w:val="19"/>
          <w:szCs w:val="19"/>
        </w:rPr>
        <w:t>转已经不</w:t>
      </w:r>
      <w:r>
        <w:rPr>
          <w:sz w:val="19"/>
          <w:szCs w:val="19"/>
        </w:rPr>
        <w:t xml:space="preserve"> </w:t>
      </w:r>
      <w:r>
        <w:rPr>
          <w:spacing w:val="13"/>
          <w:sz w:val="19"/>
          <w:szCs w:val="19"/>
        </w:rPr>
        <w:t>能满足未来数字经济的发展需求，如何突破不同区块链之间互通性的限制，实现</w:t>
      </w:r>
      <w:r>
        <w:rPr>
          <w:spacing w:val="12"/>
          <w:sz w:val="19"/>
          <w:szCs w:val="19"/>
        </w:rPr>
        <w:t>跨行业跨领域</w:t>
      </w:r>
      <w:r>
        <w:rPr>
          <w:sz w:val="19"/>
          <w:szCs w:val="19"/>
        </w:rPr>
        <w:t xml:space="preserve"> </w:t>
      </w:r>
      <w:r>
        <w:rPr>
          <w:spacing w:val="7"/>
          <w:sz w:val="19"/>
          <w:szCs w:val="19"/>
        </w:rPr>
        <w:t>的深度互链，成为突破行业发展瓶颈的关键。</w:t>
      </w:r>
    </w:p>
    <w:p w14:paraId="766EE822">
      <w:pPr>
        <w:spacing w:before="123" w:line="224" w:lineRule="auto"/>
        <w:ind w:left="700"/>
        <w:rPr>
          <w:rFonts w:ascii="楷体" w:hAnsi="楷体" w:eastAsia="楷体" w:cs="楷体"/>
          <w:sz w:val="19"/>
          <w:szCs w:val="19"/>
        </w:rPr>
      </w:pPr>
      <w:bookmarkStart w:id="490" w:name="bookmark477"/>
      <w:bookmarkEnd w:id="490"/>
      <w:r>
        <w:rPr>
          <w:rFonts w:ascii="楷体" w:hAnsi="楷体" w:eastAsia="楷体" w:cs="楷体"/>
          <w:spacing w:val="24"/>
          <w:sz w:val="19"/>
          <w:szCs w:val="19"/>
        </w:rPr>
        <w:t>6)分片技术</w:t>
      </w:r>
    </w:p>
    <w:p w14:paraId="3ADC4AA0">
      <w:pPr>
        <w:pStyle w:val="2"/>
        <w:spacing w:before="81" w:line="304" w:lineRule="auto"/>
        <w:ind w:left="309" w:firstLine="390"/>
        <w:rPr>
          <w:sz w:val="19"/>
          <w:szCs w:val="19"/>
        </w:rPr>
      </w:pPr>
      <w:r>
        <w:rPr>
          <w:spacing w:val="13"/>
          <w:sz w:val="19"/>
          <w:szCs w:val="19"/>
        </w:rPr>
        <w:t>分片是一种通过将数据库分割为不同片区以达到系统扩容的技术。当多笔交易数据进入区</w:t>
      </w:r>
      <w:r>
        <w:rPr>
          <w:spacing w:val="9"/>
          <w:sz w:val="19"/>
          <w:szCs w:val="19"/>
        </w:rPr>
        <w:t xml:space="preserve">  </w:t>
      </w:r>
      <w:r>
        <w:rPr>
          <w:spacing w:val="10"/>
          <w:sz w:val="19"/>
          <w:szCs w:val="19"/>
        </w:rPr>
        <w:t>块链系统中，各片区将分别处理一部分输入的交易数据，使更多的交易能够同时被处理和验证。</w:t>
      </w:r>
      <w:r>
        <w:rPr>
          <w:spacing w:val="4"/>
          <w:sz w:val="19"/>
          <w:szCs w:val="19"/>
        </w:rPr>
        <w:t xml:space="preserve"> </w:t>
      </w:r>
      <w:r>
        <w:rPr>
          <w:spacing w:val="14"/>
          <w:sz w:val="19"/>
          <w:szCs w:val="19"/>
        </w:rPr>
        <w:t>分片技术能够提高区块链系统交易处理和确认的并发性，进而提高整个网络的数据吞吐能力，</w:t>
      </w:r>
      <w:r>
        <w:rPr>
          <w:sz w:val="19"/>
          <w:szCs w:val="19"/>
        </w:rPr>
        <w:t xml:space="preserve"> </w:t>
      </w:r>
      <w:r>
        <w:rPr>
          <w:spacing w:val="9"/>
          <w:sz w:val="19"/>
          <w:szCs w:val="19"/>
        </w:rPr>
        <w:t>提高交易数据处理验证效率，提升区块链系统服务</w:t>
      </w:r>
      <w:r>
        <w:rPr>
          <w:spacing w:val="8"/>
          <w:sz w:val="19"/>
          <w:szCs w:val="19"/>
        </w:rPr>
        <w:t>能力，有效降低全网的交易转账成本。</w:t>
      </w:r>
    </w:p>
    <w:p w14:paraId="1FA7513E">
      <w:pPr>
        <w:pStyle w:val="2"/>
        <w:spacing w:before="125" w:line="222" w:lineRule="auto"/>
        <w:ind w:left="702"/>
        <w:rPr>
          <w:rFonts w:ascii="黑体" w:hAnsi="黑体" w:eastAsia="黑体" w:cs="黑体"/>
          <w:sz w:val="19"/>
          <w:szCs w:val="19"/>
        </w:rPr>
      </w:pPr>
      <w:r>
        <w:rPr>
          <w:b/>
          <w:bCs/>
          <w:color w:val="0073D9"/>
          <w:spacing w:val="9"/>
          <w:sz w:val="19"/>
          <w:szCs w:val="19"/>
        </w:rPr>
        <w:t>5.</w:t>
      </w:r>
      <w:r>
        <w:rPr>
          <w:rFonts w:ascii="黑体" w:hAnsi="黑体" w:eastAsia="黑体" w:cs="黑体"/>
          <w:b/>
          <w:bCs/>
          <w:color w:val="0073D9"/>
          <w:spacing w:val="9"/>
          <w:sz w:val="19"/>
          <w:szCs w:val="19"/>
        </w:rPr>
        <w:t>区块链技术融合应用</w:t>
      </w:r>
    </w:p>
    <w:p w14:paraId="7B4316A5">
      <w:pPr>
        <w:pStyle w:val="2"/>
        <w:spacing w:before="145" w:line="302" w:lineRule="auto"/>
        <w:ind w:left="309" w:right="84" w:firstLine="390"/>
        <w:jc w:val="both"/>
        <w:rPr>
          <w:sz w:val="19"/>
          <w:szCs w:val="19"/>
        </w:rPr>
      </w:pPr>
      <w:r>
        <w:rPr>
          <w:spacing w:val="13"/>
          <w:sz w:val="19"/>
          <w:szCs w:val="19"/>
        </w:rPr>
        <w:t>区块链作为基础支撑性技术可以与隐私计算、人工智能、物联网、分布式数字身份等技术</w:t>
      </w:r>
      <w:r>
        <w:rPr>
          <w:spacing w:val="10"/>
          <w:sz w:val="19"/>
          <w:szCs w:val="19"/>
        </w:rPr>
        <w:t xml:space="preserve"> </w:t>
      </w:r>
      <w:r>
        <w:rPr>
          <w:spacing w:val="13"/>
          <w:sz w:val="19"/>
          <w:szCs w:val="19"/>
        </w:rPr>
        <w:t>相互融合，区块链为其他技术提供信任基础，其他技术拓展区块链的应用范畴，共同</w:t>
      </w:r>
      <w:r>
        <w:rPr>
          <w:spacing w:val="12"/>
          <w:sz w:val="19"/>
          <w:szCs w:val="19"/>
        </w:rPr>
        <w:t>促进下一</w:t>
      </w:r>
      <w:r>
        <w:rPr>
          <w:sz w:val="19"/>
          <w:szCs w:val="19"/>
        </w:rPr>
        <w:t xml:space="preserve"> </w:t>
      </w:r>
      <w:r>
        <w:rPr>
          <w:spacing w:val="6"/>
          <w:sz w:val="19"/>
          <w:szCs w:val="19"/>
        </w:rPr>
        <w:t>代信息技术的发展。</w:t>
      </w:r>
    </w:p>
    <w:p w14:paraId="4E28216E">
      <w:pPr>
        <w:spacing w:before="108" w:line="228" w:lineRule="auto"/>
        <w:ind w:left="700"/>
        <w:rPr>
          <w:rFonts w:ascii="楷体" w:hAnsi="楷体" w:eastAsia="楷体" w:cs="楷体"/>
          <w:sz w:val="19"/>
          <w:szCs w:val="19"/>
        </w:rPr>
      </w:pPr>
      <w:r>
        <w:rPr>
          <w:rFonts w:ascii="楷体" w:hAnsi="楷体" w:eastAsia="楷体" w:cs="楷体"/>
          <w:spacing w:val="16"/>
          <w:sz w:val="19"/>
          <w:szCs w:val="19"/>
        </w:rPr>
        <w:t>1)区块链融合隐私计算</w:t>
      </w:r>
    </w:p>
    <w:p w14:paraId="05E9F532">
      <w:pPr>
        <w:pStyle w:val="2"/>
        <w:spacing w:before="64" w:line="297" w:lineRule="auto"/>
        <w:ind w:left="309" w:right="105" w:firstLine="390"/>
        <w:rPr>
          <w:sz w:val="19"/>
          <w:szCs w:val="19"/>
        </w:rPr>
      </w:pPr>
      <w:r>
        <w:rPr>
          <w:spacing w:val="13"/>
          <w:sz w:val="19"/>
          <w:szCs w:val="19"/>
        </w:rPr>
        <w:t>隐私计算是一种由两个以上参与者联合计算的技术和系统，参与者在</w:t>
      </w:r>
      <w:r>
        <w:rPr>
          <w:spacing w:val="12"/>
          <w:sz w:val="19"/>
          <w:szCs w:val="19"/>
        </w:rPr>
        <w:t>不泄露各自数据的前</w:t>
      </w:r>
      <w:r>
        <w:rPr>
          <w:sz w:val="19"/>
          <w:szCs w:val="19"/>
        </w:rPr>
        <w:t xml:space="preserve"> </w:t>
      </w:r>
      <w:r>
        <w:rPr>
          <w:spacing w:val="8"/>
          <w:sz w:val="19"/>
          <w:szCs w:val="19"/>
        </w:rPr>
        <w:t>提下通过协作对他人的数据进行联合机器学习和联合分析。</w:t>
      </w:r>
    </w:p>
    <w:p w14:paraId="2FEC8FA5">
      <w:pPr>
        <w:pStyle w:val="2"/>
        <w:spacing w:before="40" w:line="219" w:lineRule="auto"/>
        <w:ind w:left="700"/>
        <w:rPr>
          <w:sz w:val="19"/>
          <w:szCs w:val="19"/>
        </w:rPr>
      </w:pPr>
      <w:r>
        <w:rPr>
          <w:spacing w:val="6"/>
          <w:sz w:val="19"/>
          <w:szCs w:val="19"/>
        </w:rPr>
        <w:t>隐私计算技术具备诸多优点，具体如下：</w:t>
      </w:r>
    </w:p>
    <w:p w14:paraId="392E68CF">
      <w:pPr>
        <w:pStyle w:val="2"/>
        <w:spacing w:before="94" w:line="219" w:lineRule="auto"/>
        <w:ind w:left="700"/>
        <w:rPr>
          <w:sz w:val="19"/>
          <w:szCs w:val="19"/>
        </w:rPr>
      </w:pPr>
      <w:r>
        <w:rPr>
          <w:spacing w:val="10"/>
          <w:sz w:val="19"/>
          <w:szCs w:val="19"/>
        </w:rPr>
        <w:t>●对个人而言，隐私计算有助于保障个人信息安全；</w:t>
      </w:r>
    </w:p>
    <w:p w14:paraId="1305B5A9">
      <w:pPr>
        <w:pStyle w:val="2"/>
        <w:spacing w:before="94" w:line="269" w:lineRule="auto"/>
        <w:ind w:left="999" w:right="87" w:hanging="299"/>
        <w:rPr>
          <w:sz w:val="19"/>
          <w:szCs w:val="19"/>
        </w:rPr>
      </w:pPr>
      <w:r>
        <w:rPr>
          <w:spacing w:val="19"/>
          <w:sz w:val="19"/>
          <w:szCs w:val="19"/>
        </w:rPr>
        <w:t>●对企业而言，隐私计算可以真正做到数据可用不</w:t>
      </w:r>
      <w:r>
        <w:rPr>
          <w:spacing w:val="18"/>
          <w:sz w:val="19"/>
          <w:szCs w:val="19"/>
        </w:rPr>
        <w:t>可见，是履行数据保护义务的关键路</w:t>
      </w:r>
      <w:r>
        <w:rPr>
          <w:sz w:val="19"/>
          <w:szCs w:val="19"/>
        </w:rPr>
        <w:t xml:space="preserve"> </w:t>
      </w:r>
      <w:r>
        <w:rPr>
          <w:spacing w:val="7"/>
          <w:sz w:val="19"/>
          <w:szCs w:val="19"/>
        </w:rPr>
        <w:t>径，也可以促进企业的跨界数据合作，释放企业数据价值；</w:t>
      </w:r>
    </w:p>
    <w:p w14:paraId="3A0C6CEE">
      <w:pPr>
        <w:pStyle w:val="2"/>
        <w:spacing w:before="96" w:line="264" w:lineRule="auto"/>
        <w:ind w:left="999" w:right="86" w:hanging="299"/>
        <w:rPr>
          <w:sz w:val="19"/>
          <w:szCs w:val="19"/>
        </w:rPr>
      </w:pPr>
      <w:r>
        <w:rPr>
          <w:spacing w:val="13"/>
          <w:sz w:val="19"/>
          <w:szCs w:val="19"/>
        </w:rPr>
        <w:t>●对行业而言，隐私计算可以使产业链上下游的各个主体乐于共享自身数据，实现行业数</w:t>
      </w:r>
      <w:r>
        <w:rPr>
          <w:spacing w:val="10"/>
          <w:sz w:val="19"/>
          <w:szCs w:val="19"/>
        </w:rPr>
        <w:t xml:space="preserve"> </w:t>
      </w:r>
      <w:r>
        <w:rPr>
          <w:spacing w:val="7"/>
          <w:sz w:val="19"/>
          <w:szCs w:val="19"/>
        </w:rPr>
        <w:t>据价值的最大化，推动数据要素市场发展。</w:t>
      </w:r>
    </w:p>
    <w:p w14:paraId="381EA648">
      <w:pPr>
        <w:pStyle w:val="2"/>
        <w:spacing w:before="98" w:line="219" w:lineRule="auto"/>
        <w:ind w:left="700"/>
        <w:rPr>
          <w:sz w:val="19"/>
          <w:szCs w:val="19"/>
        </w:rPr>
      </w:pPr>
      <w:r>
        <w:rPr>
          <w:spacing w:val="6"/>
          <w:sz w:val="19"/>
          <w:szCs w:val="19"/>
        </w:rPr>
        <w:t>隐私计算同样存在一些缺点，具体如下：</w:t>
      </w:r>
    </w:p>
    <w:p w14:paraId="702A38B4">
      <w:pPr>
        <w:pStyle w:val="2"/>
        <w:spacing w:before="94" w:line="265" w:lineRule="auto"/>
        <w:ind w:left="999" w:right="20" w:hanging="299"/>
        <w:rPr>
          <w:sz w:val="19"/>
          <w:szCs w:val="19"/>
        </w:rPr>
      </w:pPr>
      <w:r>
        <w:rPr>
          <w:spacing w:val="15"/>
          <w:sz w:val="19"/>
          <w:szCs w:val="19"/>
        </w:rPr>
        <w:t>●隐私计算仅解决计算环节的隐私保护问题，无法解决数据共享流通全链条的数据安</w:t>
      </w:r>
      <w:r>
        <w:rPr>
          <w:spacing w:val="14"/>
          <w:sz w:val="19"/>
          <w:szCs w:val="19"/>
        </w:rPr>
        <w:t>全、</w:t>
      </w:r>
      <w:r>
        <w:rPr>
          <w:sz w:val="19"/>
          <w:szCs w:val="19"/>
        </w:rPr>
        <w:t xml:space="preserve"> </w:t>
      </w:r>
      <w:r>
        <w:rPr>
          <w:spacing w:val="1"/>
          <w:sz w:val="19"/>
          <w:szCs w:val="19"/>
        </w:rPr>
        <w:t>可信问题；</w:t>
      </w:r>
    </w:p>
    <w:p w14:paraId="60A5BC4C">
      <w:pPr>
        <w:pStyle w:val="2"/>
        <w:spacing w:before="94" w:line="219" w:lineRule="auto"/>
        <w:ind w:left="700"/>
        <w:rPr>
          <w:sz w:val="19"/>
          <w:szCs w:val="19"/>
        </w:rPr>
      </w:pPr>
      <w:r>
        <w:rPr>
          <w:spacing w:val="11"/>
          <w:sz w:val="19"/>
          <w:szCs w:val="19"/>
        </w:rPr>
        <w:t>●缺乏激励机制及可信公平的协作环境。</w:t>
      </w:r>
    </w:p>
    <w:p w14:paraId="765AB26B">
      <w:pPr>
        <w:pStyle w:val="2"/>
        <w:spacing w:before="94" w:line="298" w:lineRule="auto"/>
        <w:ind w:left="309" w:right="85" w:firstLine="390"/>
        <w:rPr>
          <w:sz w:val="19"/>
          <w:szCs w:val="19"/>
        </w:rPr>
      </w:pPr>
      <w:r>
        <w:rPr>
          <w:spacing w:val="25"/>
          <w:sz w:val="19"/>
          <w:szCs w:val="19"/>
        </w:rPr>
        <w:t>隐私计算与区块链技术相融合，能实现1+1&gt;2的效果。区块链技术可以为隐私计算带</w:t>
      </w:r>
      <w:r>
        <w:rPr>
          <w:spacing w:val="18"/>
          <w:sz w:val="19"/>
          <w:szCs w:val="19"/>
        </w:rPr>
        <w:t xml:space="preserve"> </w:t>
      </w:r>
      <w:r>
        <w:rPr>
          <w:spacing w:val="3"/>
          <w:sz w:val="19"/>
          <w:szCs w:val="19"/>
        </w:rPr>
        <w:t>来两个方面的优势：</w:t>
      </w:r>
    </w:p>
    <w:p w14:paraId="45CA4E32">
      <w:pPr>
        <w:pStyle w:val="2"/>
        <w:spacing w:before="18" w:line="219" w:lineRule="auto"/>
        <w:ind w:left="700"/>
        <w:rPr>
          <w:sz w:val="19"/>
          <w:szCs w:val="19"/>
        </w:rPr>
      </w:pPr>
      <w:r>
        <w:rPr>
          <w:spacing w:val="10"/>
          <w:sz w:val="19"/>
          <w:szCs w:val="19"/>
        </w:rPr>
        <w:t>●解决参与者数据泄露及全程数据安全问题；</w:t>
      </w:r>
    </w:p>
    <w:p w14:paraId="603FC58B">
      <w:pPr>
        <w:pStyle w:val="2"/>
        <w:spacing w:before="95" w:line="219" w:lineRule="auto"/>
        <w:ind w:left="700"/>
        <w:rPr>
          <w:sz w:val="19"/>
          <w:szCs w:val="19"/>
        </w:rPr>
      </w:pPr>
      <w:r>
        <w:rPr>
          <w:spacing w:val="12"/>
          <w:sz w:val="19"/>
          <w:szCs w:val="19"/>
        </w:rPr>
        <w:t>●培育共享共生的数据要素生态。</w:t>
      </w:r>
    </w:p>
    <w:p w14:paraId="21181A34">
      <w:pPr>
        <w:spacing w:before="160" w:line="224" w:lineRule="auto"/>
        <w:ind w:left="700"/>
        <w:rPr>
          <w:rFonts w:ascii="楷体" w:hAnsi="楷体" w:eastAsia="楷体" w:cs="楷体"/>
          <w:sz w:val="19"/>
          <w:szCs w:val="19"/>
        </w:rPr>
      </w:pPr>
      <w:r>
        <w:rPr>
          <w:rFonts w:ascii="楷体" w:hAnsi="楷体" w:eastAsia="楷体" w:cs="楷体"/>
          <w:spacing w:val="19"/>
          <w:sz w:val="19"/>
          <w:szCs w:val="19"/>
        </w:rPr>
        <w:t>2)区块链融合人工智能</w:t>
      </w:r>
    </w:p>
    <w:p w14:paraId="743CFFFE">
      <w:pPr>
        <w:pStyle w:val="2"/>
        <w:spacing w:before="64" w:line="294" w:lineRule="auto"/>
        <w:ind w:left="309" w:right="87" w:firstLine="390"/>
        <w:jc w:val="both"/>
        <w:rPr>
          <w:sz w:val="19"/>
          <w:szCs w:val="19"/>
        </w:rPr>
      </w:pPr>
      <w:r>
        <w:rPr>
          <w:spacing w:val="13"/>
          <w:sz w:val="19"/>
          <w:szCs w:val="19"/>
        </w:rPr>
        <w:t>人工智能技术为人们带来了便捷，并获得了迅速的发展。由于人工智能技术在数据、</w:t>
      </w:r>
      <w:r>
        <w:rPr>
          <w:spacing w:val="12"/>
          <w:sz w:val="19"/>
          <w:szCs w:val="19"/>
        </w:rPr>
        <w:t>算力</w:t>
      </w:r>
      <w:r>
        <w:rPr>
          <w:sz w:val="19"/>
          <w:szCs w:val="19"/>
        </w:rPr>
        <w:t xml:space="preserve"> </w:t>
      </w:r>
      <w:r>
        <w:rPr>
          <w:spacing w:val="13"/>
          <w:sz w:val="19"/>
          <w:szCs w:val="19"/>
        </w:rPr>
        <w:t>和算法等方面存在不足，导致数据质量差、信息丢失、算法过分集中等问题，</w:t>
      </w:r>
      <w:r>
        <w:rPr>
          <w:spacing w:val="12"/>
          <w:sz w:val="19"/>
          <w:szCs w:val="19"/>
        </w:rPr>
        <w:t>使得技术创新受</w:t>
      </w:r>
      <w:r>
        <w:rPr>
          <w:sz w:val="19"/>
          <w:szCs w:val="19"/>
        </w:rPr>
        <w:t xml:space="preserve"> </w:t>
      </w:r>
      <w:r>
        <w:rPr>
          <w:spacing w:val="13"/>
          <w:sz w:val="19"/>
          <w:szCs w:val="19"/>
        </w:rPr>
        <w:t>阻、应用落地实施困难。随着区块链技术不断深入研究，研究者们利用区块链技</w:t>
      </w:r>
      <w:r>
        <w:rPr>
          <w:spacing w:val="12"/>
          <w:sz w:val="19"/>
          <w:szCs w:val="19"/>
        </w:rPr>
        <w:t>术的优势，对</w:t>
      </w:r>
      <w:r>
        <w:rPr>
          <w:sz w:val="19"/>
          <w:szCs w:val="19"/>
        </w:rPr>
        <w:t xml:space="preserve"> </w:t>
      </w:r>
      <w:r>
        <w:rPr>
          <w:spacing w:val="13"/>
          <w:sz w:val="19"/>
          <w:szCs w:val="19"/>
        </w:rPr>
        <w:t>人工智能技术发展中存在的困难进行改善，并取得了较好的成绩，为我国科学</w:t>
      </w:r>
      <w:r>
        <w:rPr>
          <w:spacing w:val="12"/>
          <w:sz w:val="19"/>
          <w:szCs w:val="19"/>
        </w:rPr>
        <w:t>技术的发展提供</w:t>
      </w:r>
    </w:p>
    <w:p w14:paraId="081BB03F">
      <w:pPr>
        <w:spacing w:line="294" w:lineRule="auto"/>
        <w:rPr>
          <w:sz w:val="19"/>
          <w:szCs w:val="19"/>
        </w:rPr>
        <w:sectPr>
          <w:pgSz w:w="10340" w:h="13440"/>
          <w:pgMar w:top="400" w:right="1104" w:bottom="400" w:left="519" w:header="0" w:footer="0" w:gutter="0"/>
          <w:cols w:space="720" w:num="1"/>
        </w:sectPr>
      </w:pPr>
    </w:p>
    <w:p w14:paraId="0D252551">
      <w:pPr>
        <w:pStyle w:val="2"/>
        <w:spacing w:before="67" w:line="334" w:lineRule="exact"/>
        <w:jc w:val="right"/>
        <w:rPr>
          <w:rFonts w:ascii="Times New Roman" w:hAnsi="Times New Roman" w:eastAsia="Times New Roman" w:cs="Times New Roman"/>
          <w:sz w:val="20"/>
          <w:szCs w:val="20"/>
        </w:rPr>
      </w:pPr>
      <w:r>
        <w:rPr>
          <w:spacing w:val="-4"/>
          <w:position w:val="5"/>
          <w:sz w:val="20"/>
          <w:szCs w:val="20"/>
        </w:rPr>
        <w:t>第1章 信息与信息化</w:t>
      </w:r>
      <w:r>
        <w:rPr>
          <w:spacing w:val="12"/>
          <w:position w:val="5"/>
          <w:sz w:val="20"/>
          <w:szCs w:val="20"/>
        </w:rPr>
        <w:t xml:space="preserve">   </w:t>
      </w:r>
      <w:r>
        <w:rPr>
          <w:color w:val="008DEC"/>
          <w:spacing w:val="-4"/>
          <w:position w:val="-2"/>
          <w:sz w:val="20"/>
          <w:szCs w:val="20"/>
        </w:rPr>
        <w:t>■</w:t>
      </w:r>
      <w:r>
        <w:rPr>
          <w:color w:val="008DEC"/>
          <w:spacing w:val="60"/>
          <w:position w:val="-2"/>
          <w:sz w:val="20"/>
          <w:szCs w:val="20"/>
        </w:rPr>
        <w:t xml:space="preserve"> </w:t>
      </w:r>
      <w:r>
        <w:rPr>
          <w:rFonts w:ascii="Times New Roman" w:hAnsi="Times New Roman" w:eastAsia="Times New Roman" w:cs="Times New Roman"/>
          <w:spacing w:val="-4"/>
          <w:position w:val="-2"/>
          <w:sz w:val="20"/>
          <w:szCs w:val="20"/>
        </w:rPr>
        <w:t>23</w:t>
      </w:r>
    </w:p>
    <w:p w14:paraId="553F4455">
      <w:pPr>
        <w:pStyle w:val="2"/>
        <w:spacing w:before="276" w:line="219" w:lineRule="auto"/>
        <w:rPr>
          <w:sz w:val="20"/>
          <w:szCs w:val="20"/>
        </w:rPr>
      </w:pPr>
      <w:r>
        <w:rPr>
          <w:spacing w:val="-2"/>
          <w:sz w:val="20"/>
          <w:szCs w:val="20"/>
        </w:rPr>
        <w:t>了一个全新的模式。区块链技术可以为人工智能</w:t>
      </w:r>
      <w:r>
        <w:rPr>
          <w:spacing w:val="-3"/>
          <w:sz w:val="20"/>
          <w:szCs w:val="20"/>
        </w:rPr>
        <w:t>带来三个方面的优势：</w:t>
      </w:r>
    </w:p>
    <w:p w14:paraId="5748FB9F">
      <w:pPr>
        <w:pStyle w:val="2"/>
        <w:spacing w:before="72" w:line="219" w:lineRule="auto"/>
        <w:ind w:left="389"/>
        <w:rPr>
          <w:sz w:val="20"/>
          <w:szCs w:val="20"/>
        </w:rPr>
      </w:pPr>
      <w:r>
        <w:rPr>
          <w:sz w:val="20"/>
          <w:szCs w:val="20"/>
        </w:rPr>
        <w:t>●区块链有助于人工智能获取更全面的数据；</w:t>
      </w:r>
    </w:p>
    <w:p w14:paraId="703BE055">
      <w:pPr>
        <w:pStyle w:val="2"/>
        <w:spacing w:before="92" w:line="219" w:lineRule="auto"/>
        <w:ind w:left="389"/>
        <w:rPr>
          <w:sz w:val="20"/>
          <w:szCs w:val="20"/>
        </w:rPr>
      </w:pPr>
      <w:r>
        <w:rPr>
          <w:sz w:val="20"/>
          <w:szCs w:val="20"/>
        </w:rPr>
        <w:t>●区块链帮助人工智能共享算力；</w:t>
      </w:r>
    </w:p>
    <w:p w14:paraId="2D28F62A">
      <w:pPr>
        <w:pStyle w:val="2"/>
        <w:spacing w:before="93" w:line="219" w:lineRule="auto"/>
        <w:ind w:left="389"/>
        <w:rPr>
          <w:sz w:val="20"/>
          <w:szCs w:val="20"/>
        </w:rPr>
      </w:pPr>
      <w:r>
        <w:rPr>
          <w:spacing w:val="1"/>
          <w:sz w:val="20"/>
          <w:szCs w:val="20"/>
        </w:rPr>
        <w:t>●区块链助力人工智能算法追溯监管。</w:t>
      </w:r>
    </w:p>
    <w:p w14:paraId="5A6504B3">
      <w:pPr>
        <w:spacing w:before="175" w:line="229" w:lineRule="auto"/>
        <w:ind w:left="389"/>
        <w:rPr>
          <w:rFonts w:ascii="楷体" w:hAnsi="楷体" w:eastAsia="楷体" w:cs="楷体"/>
          <w:sz w:val="20"/>
          <w:szCs w:val="20"/>
        </w:rPr>
      </w:pPr>
      <w:r>
        <w:rPr>
          <w:rFonts w:ascii="楷体" w:hAnsi="楷体" w:eastAsia="楷体" w:cs="楷体"/>
          <w:spacing w:val="10"/>
          <w:sz w:val="20"/>
          <w:szCs w:val="20"/>
        </w:rPr>
        <w:t>3)区块链融合物联网</w:t>
      </w:r>
    </w:p>
    <w:p w14:paraId="0B963E1F">
      <w:pPr>
        <w:pStyle w:val="2"/>
        <w:spacing w:before="59" w:line="281" w:lineRule="auto"/>
        <w:ind w:right="205" w:firstLine="389"/>
        <w:jc w:val="both"/>
        <w:rPr>
          <w:sz w:val="20"/>
          <w:szCs w:val="20"/>
        </w:rPr>
      </w:pPr>
      <w:r>
        <w:rPr>
          <w:spacing w:val="6"/>
          <w:sz w:val="20"/>
          <w:szCs w:val="20"/>
        </w:rPr>
        <w:t>基于“区块链+物联网”构建的协同网络，能够通过区块链的不可篡改、共识机制以及多</w:t>
      </w:r>
      <w:r>
        <w:rPr>
          <w:spacing w:val="4"/>
          <w:sz w:val="20"/>
          <w:szCs w:val="20"/>
        </w:rPr>
        <w:t xml:space="preserve"> </w:t>
      </w:r>
      <w:r>
        <w:rPr>
          <w:spacing w:val="3"/>
          <w:sz w:val="20"/>
          <w:szCs w:val="20"/>
        </w:rPr>
        <w:t>方协作等特点，实现物联网设备安全防护和物联网数据的隐私保护，解决传统物联</w:t>
      </w:r>
      <w:r>
        <w:rPr>
          <w:spacing w:val="2"/>
          <w:sz w:val="20"/>
          <w:szCs w:val="20"/>
        </w:rPr>
        <w:t>网存在的设</w:t>
      </w:r>
      <w:r>
        <w:rPr>
          <w:sz w:val="20"/>
          <w:szCs w:val="20"/>
        </w:rPr>
        <w:t xml:space="preserve"> </w:t>
      </w:r>
      <w:r>
        <w:rPr>
          <w:spacing w:val="4"/>
          <w:sz w:val="20"/>
          <w:szCs w:val="20"/>
        </w:rPr>
        <w:t xml:space="preserve">备信任与数据安全等问题。物联网通过提升分布式数据的安全性、可信性、追溯性和流通性， </w:t>
      </w:r>
      <w:r>
        <w:rPr>
          <w:spacing w:val="3"/>
          <w:sz w:val="20"/>
          <w:szCs w:val="20"/>
        </w:rPr>
        <w:t>使得价值安心有序地在人与人、人与物、物与物之间自如流动。区块链技术可以</w:t>
      </w:r>
      <w:r>
        <w:rPr>
          <w:spacing w:val="2"/>
          <w:sz w:val="20"/>
          <w:szCs w:val="20"/>
        </w:rPr>
        <w:t>为物联网带来</w:t>
      </w:r>
      <w:r>
        <w:rPr>
          <w:sz w:val="20"/>
          <w:szCs w:val="20"/>
        </w:rPr>
        <w:t xml:space="preserve"> </w:t>
      </w:r>
      <w:r>
        <w:rPr>
          <w:spacing w:val="-6"/>
          <w:sz w:val="20"/>
          <w:szCs w:val="20"/>
        </w:rPr>
        <w:t>三个方面的优势：</w:t>
      </w:r>
    </w:p>
    <w:p w14:paraId="643C58C9">
      <w:pPr>
        <w:pStyle w:val="2"/>
        <w:spacing w:before="59" w:line="219" w:lineRule="auto"/>
        <w:ind w:left="389"/>
        <w:rPr>
          <w:sz w:val="20"/>
          <w:szCs w:val="20"/>
        </w:rPr>
      </w:pPr>
      <w:r>
        <w:rPr>
          <w:sz w:val="20"/>
          <w:szCs w:val="20"/>
        </w:rPr>
        <w:t>●提升物联网身份认证能力；</w:t>
      </w:r>
    </w:p>
    <w:p w14:paraId="52DD86E2">
      <w:pPr>
        <w:pStyle w:val="2"/>
        <w:spacing w:before="92" w:line="219" w:lineRule="auto"/>
        <w:ind w:left="389"/>
        <w:rPr>
          <w:sz w:val="20"/>
          <w:szCs w:val="20"/>
        </w:rPr>
      </w:pPr>
      <w:r>
        <w:rPr>
          <w:sz w:val="20"/>
          <w:szCs w:val="20"/>
        </w:rPr>
        <w:t>●提升物联网设备安全防护能力；</w:t>
      </w:r>
    </w:p>
    <w:p w14:paraId="6262F872">
      <w:pPr>
        <w:pStyle w:val="2"/>
        <w:spacing w:before="83" w:line="219" w:lineRule="auto"/>
        <w:ind w:left="389"/>
        <w:rPr>
          <w:sz w:val="20"/>
          <w:szCs w:val="20"/>
        </w:rPr>
      </w:pPr>
      <w:r>
        <w:rPr>
          <w:spacing w:val="2"/>
          <w:sz w:val="20"/>
          <w:szCs w:val="20"/>
        </w:rPr>
        <w:t>●提升物联网数据管理能力。</w:t>
      </w:r>
    </w:p>
    <w:p w14:paraId="63D206E7">
      <w:pPr>
        <w:spacing w:before="168" w:line="223" w:lineRule="auto"/>
        <w:ind w:left="389"/>
        <w:rPr>
          <w:rFonts w:ascii="楷体" w:hAnsi="楷体" w:eastAsia="楷体" w:cs="楷体"/>
          <w:sz w:val="20"/>
          <w:szCs w:val="20"/>
        </w:rPr>
      </w:pPr>
      <w:r>
        <w:rPr>
          <w:rFonts w:ascii="楷体" w:hAnsi="楷体" w:eastAsia="楷体" w:cs="楷体"/>
          <w:spacing w:val="6"/>
          <w:sz w:val="20"/>
          <w:szCs w:val="20"/>
        </w:rPr>
        <w:t>4)区块链融合分布式数字身份</w:t>
      </w:r>
    </w:p>
    <w:p w14:paraId="3525A25F">
      <w:pPr>
        <w:pStyle w:val="2"/>
        <w:spacing w:before="71" w:line="278" w:lineRule="auto"/>
        <w:ind w:right="246" w:firstLine="389"/>
        <w:jc w:val="both"/>
        <w:rPr>
          <w:sz w:val="20"/>
          <w:szCs w:val="20"/>
        </w:rPr>
      </w:pPr>
      <w:r>
        <w:rPr>
          <w:spacing w:val="4"/>
          <w:sz w:val="20"/>
          <w:szCs w:val="20"/>
        </w:rPr>
        <w:t>可信数字身份是在真实身份核验的基础上，经加</w:t>
      </w:r>
      <w:r>
        <w:rPr>
          <w:spacing w:val="3"/>
          <w:sz w:val="20"/>
          <w:szCs w:val="20"/>
        </w:rPr>
        <w:t>密及脱敏处理，由权威机构签发，用于网</w:t>
      </w:r>
      <w:r>
        <w:rPr>
          <w:sz w:val="20"/>
          <w:szCs w:val="20"/>
        </w:rPr>
        <w:t xml:space="preserve"> </w:t>
      </w:r>
      <w:r>
        <w:rPr>
          <w:spacing w:val="3"/>
          <w:sz w:val="20"/>
          <w:szCs w:val="20"/>
        </w:rPr>
        <w:t>络空间中证明网络用户的电子文件，与居民法定证件信息具有一一对应关系，实现了端到端的</w:t>
      </w:r>
      <w:r>
        <w:rPr>
          <w:spacing w:val="1"/>
          <w:sz w:val="20"/>
          <w:szCs w:val="20"/>
        </w:rPr>
        <w:t xml:space="preserve"> </w:t>
      </w:r>
      <w:r>
        <w:rPr>
          <w:spacing w:val="-3"/>
          <w:sz w:val="20"/>
          <w:szCs w:val="20"/>
        </w:rPr>
        <w:t>全流程可信认证，符合网络身份的三级认证体系。</w:t>
      </w:r>
    </w:p>
    <w:p w14:paraId="6D63C7AE">
      <w:pPr>
        <w:pStyle w:val="2"/>
        <w:spacing w:before="36" w:line="281" w:lineRule="auto"/>
        <w:ind w:right="253" w:firstLine="389"/>
        <w:jc w:val="both"/>
        <w:rPr>
          <w:sz w:val="20"/>
          <w:szCs w:val="20"/>
        </w:rPr>
      </w:pPr>
      <w:r>
        <w:rPr>
          <w:spacing w:val="6"/>
          <w:sz w:val="20"/>
          <w:szCs w:val="20"/>
        </w:rPr>
        <w:t>在传统的</w:t>
      </w:r>
      <w:r>
        <w:rPr>
          <w:rFonts w:ascii="Times New Roman" w:hAnsi="Times New Roman" w:eastAsia="Times New Roman" w:cs="Times New Roman"/>
          <w:sz w:val="20"/>
          <w:szCs w:val="20"/>
        </w:rPr>
        <w:t>PKI</w:t>
      </w:r>
      <w:r>
        <w:rPr>
          <w:rFonts w:ascii="Times New Roman" w:hAnsi="Times New Roman" w:eastAsia="Times New Roman" w:cs="Times New Roman"/>
          <w:spacing w:val="6"/>
          <w:sz w:val="20"/>
          <w:szCs w:val="20"/>
        </w:rPr>
        <w:t xml:space="preserve"> </w:t>
      </w:r>
      <w:r>
        <w:rPr>
          <w:spacing w:val="6"/>
          <w:sz w:val="20"/>
          <w:szCs w:val="20"/>
        </w:rPr>
        <w:t>系统中，数字证书是认证的核心，它由相对权威的</w:t>
      </w:r>
      <w:r>
        <w:rPr>
          <w:rFonts w:ascii="Times New Roman" w:hAnsi="Times New Roman" w:eastAsia="Times New Roman" w:cs="Times New Roman"/>
          <w:sz w:val="20"/>
          <w:szCs w:val="20"/>
        </w:rPr>
        <w:t>CA</w:t>
      </w:r>
      <w:r>
        <w:rPr>
          <w:rFonts w:ascii="Times New Roman" w:hAnsi="Times New Roman" w:eastAsia="Times New Roman" w:cs="Times New Roman"/>
          <w:spacing w:val="5"/>
          <w:sz w:val="20"/>
          <w:szCs w:val="20"/>
        </w:rPr>
        <w:t xml:space="preserve"> </w:t>
      </w:r>
      <w:r>
        <w:rPr>
          <w:spacing w:val="5"/>
          <w:sz w:val="20"/>
          <w:szCs w:val="20"/>
        </w:rPr>
        <w:t>机构签发，这种中心</w:t>
      </w:r>
      <w:r>
        <w:rPr>
          <w:sz w:val="20"/>
          <w:szCs w:val="20"/>
        </w:rPr>
        <w:t xml:space="preserve"> </w:t>
      </w:r>
      <w:r>
        <w:rPr>
          <w:spacing w:val="3"/>
          <w:sz w:val="20"/>
          <w:szCs w:val="20"/>
        </w:rPr>
        <w:t>结构可能存在性能问题，涉及证书的所有操作任务繁重，成为性能短板拖累效率，且一旦</w:t>
      </w:r>
      <w:r>
        <w:rPr>
          <w:spacing w:val="2"/>
          <w:sz w:val="20"/>
          <w:szCs w:val="20"/>
        </w:rPr>
        <w:t>上级</w:t>
      </w:r>
      <w:r>
        <w:rPr>
          <w:sz w:val="20"/>
          <w:szCs w:val="20"/>
        </w:rPr>
        <w:t xml:space="preserve"> </w:t>
      </w:r>
      <w:r>
        <w:rPr>
          <w:rFonts w:ascii="Times New Roman" w:hAnsi="Times New Roman" w:eastAsia="Times New Roman" w:cs="Times New Roman"/>
          <w:sz w:val="20"/>
          <w:szCs w:val="20"/>
        </w:rPr>
        <w:t>CA</w:t>
      </w:r>
      <w:r>
        <w:rPr>
          <w:spacing w:val="2"/>
          <w:sz w:val="20"/>
          <w:szCs w:val="20"/>
        </w:rPr>
        <w:t>机构被攻破，则与之相关联的下级</w:t>
      </w:r>
      <w:r>
        <w:rPr>
          <w:rFonts w:ascii="Times New Roman" w:hAnsi="Times New Roman" w:eastAsia="Times New Roman" w:cs="Times New Roman"/>
          <w:sz w:val="20"/>
          <w:szCs w:val="20"/>
        </w:rPr>
        <w:t>CA</w:t>
      </w:r>
      <w:r>
        <w:rPr>
          <w:rFonts w:ascii="Times New Roman" w:hAnsi="Times New Roman" w:eastAsia="Times New Roman" w:cs="Times New Roman"/>
          <w:spacing w:val="35"/>
          <w:w w:val="101"/>
          <w:sz w:val="20"/>
          <w:szCs w:val="20"/>
        </w:rPr>
        <w:t xml:space="preserve"> </w:t>
      </w:r>
      <w:r>
        <w:rPr>
          <w:spacing w:val="2"/>
          <w:sz w:val="20"/>
          <w:szCs w:val="20"/>
        </w:rPr>
        <w:t>也会受到牵连。分布式数字身份用分布式基础设施改</w:t>
      </w:r>
      <w:r>
        <w:rPr>
          <w:sz w:val="20"/>
          <w:szCs w:val="20"/>
        </w:rPr>
        <w:t xml:space="preserve"> </w:t>
      </w:r>
      <w:r>
        <w:rPr>
          <w:spacing w:val="3"/>
          <w:sz w:val="20"/>
          <w:szCs w:val="20"/>
        </w:rPr>
        <w:t>变了应用厂商控制数字身份的模式，使得用户可以控制和管理数字身份。分布</w:t>
      </w:r>
      <w:r>
        <w:rPr>
          <w:spacing w:val="2"/>
          <w:sz w:val="20"/>
          <w:szCs w:val="20"/>
        </w:rPr>
        <w:t>式数字身份通过</w:t>
      </w:r>
      <w:r>
        <w:rPr>
          <w:sz w:val="20"/>
          <w:szCs w:val="20"/>
        </w:rPr>
        <w:t xml:space="preserve"> </w:t>
      </w:r>
      <w:r>
        <w:rPr>
          <w:spacing w:val="-1"/>
          <w:sz w:val="20"/>
          <w:szCs w:val="20"/>
        </w:rPr>
        <w:t>将数据所有权归还用户，从根本上解决隐私问题，提升了身份的安全性和可移植性。</w:t>
      </w:r>
    </w:p>
    <w:p w14:paraId="4FC4E0ED">
      <w:pPr>
        <w:pStyle w:val="2"/>
        <w:spacing w:before="48" w:line="273" w:lineRule="auto"/>
        <w:ind w:right="256" w:firstLine="389"/>
        <w:jc w:val="both"/>
        <w:rPr>
          <w:sz w:val="20"/>
          <w:szCs w:val="20"/>
        </w:rPr>
      </w:pPr>
      <w:r>
        <w:rPr>
          <w:spacing w:val="9"/>
          <w:sz w:val="20"/>
          <w:szCs w:val="20"/>
        </w:rPr>
        <w:t>要使身份具有真正的自我主权，这种基础设施必然需</w:t>
      </w:r>
      <w:r>
        <w:rPr>
          <w:spacing w:val="8"/>
          <w:sz w:val="20"/>
          <w:szCs w:val="20"/>
        </w:rPr>
        <w:t>要驻留在分散信任的环境中。区块</w:t>
      </w:r>
      <w:r>
        <w:rPr>
          <w:sz w:val="20"/>
          <w:szCs w:val="20"/>
        </w:rPr>
        <w:t xml:space="preserve"> </w:t>
      </w:r>
      <w:r>
        <w:rPr>
          <w:spacing w:val="8"/>
          <w:sz w:val="20"/>
          <w:szCs w:val="20"/>
        </w:rPr>
        <w:t>链技术的出现让自我主权身份</w:t>
      </w:r>
      <w:r>
        <w:rPr>
          <w:spacing w:val="-39"/>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Self</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Sovereign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Identity</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SSI</w:t>
      </w:r>
      <w:r>
        <w:rPr>
          <w:rFonts w:ascii="Times New Roman" w:hAnsi="Times New Roman" w:eastAsia="Times New Roman" w:cs="Times New Roman"/>
          <w:spacing w:val="7"/>
          <w:sz w:val="20"/>
          <w:szCs w:val="20"/>
        </w:rPr>
        <w:t>)</w:t>
      </w:r>
      <w:r>
        <w:rPr>
          <w:rFonts w:ascii="Times New Roman" w:hAnsi="Times New Roman" w:eastAsia="Times New Roman" w:cs="Times New Roman"/>
          <w:spacing w:val="22"/>
          <w:w w:val="101"/>
          <w:sz w:val="20"/>
          <w:szCs w:val="20"/>
        </w:rPr>
        <w:t xml:space="preserve"> </w:t>
      </w:r>
      <w:r>
        <w:rPr>
          <w:spacing w:val="7"/>
          <w:sz w:val="20"/>
          <w:szCs w:val="20"/>
        </w:rPr>
        <w:t>的实现找到了突破口，作为分</w:t>
      </w:r>
      <w:r>
        <w:rPr>
          <w:sz w:val="20"/>
          <w:szCs w:val="20"/>
        </w:rPr>
        <w:t xml:space="preserve"> </w:t>
      </w:r>
      <w:r>
        <w:rPr>
          <w:spacing w:val="8"/>
          <w:sz w:val="20"/>
          <w:szCs w:val="20"/>
        </w:rPr>
        <w:t>布式体系中的代表性技术，区块链可以为数字身份提供基础设施，有望成为分布式数字</w:t>
      </w:r>
      <w:r>
        <w:rPr>
          <w:spacing w:val="7"/>
          <w:sz w:val="20"/>
          <w:szCs w:val="20"/>
        </w:rPr>
        <w:t>身份</w:t>
      </w:r>
      <w:r>
        <w:rPr>
          <w:sz w:val="20"/>
          <w:szCs w:val="20"/>
        </w:rPr>
        <w:t xml:space="preserve"> </w:t>
      </w:r>
      <w:r>
        <w:rPr>
          <w:spacing w:val="10"/>
          <w:sz w:val="20"/>
          <w:szCs w:val="20"/>
        </w:rPr>
        <w:t>的技术基础。区块链技术用哈希链的数据结构改变了电子数据易被篡改的属性，</w:t>
      </w:r>
      <w:r>
        <w:rPr>
          <w:spacing w:val="9"/>
          <w:sz w:val="20"/>
          <w:szCs w:val="20"/>
        </w:rPr>
        <w:t>用“区块+</w:t>
      </w:r>
      <w:r>
        <w:rPr>
          <w:sz w:val="20"/>
          <w:szCs w:val="20"/>
        </w:rPr>
        <w:t xml:space="preserve"> </w:t>
      </w:r>
      <w:r>
        <w:rPr>
          <w:spacing w:val="8"/>
          <w:sz w:val="20"/>
          <w:szCs w:val="20"/>
        </w:rPr>
        <w:t>共识算法”解决分布式系统的数据一致性问题，拜占庭容错能力保证跨实体运行的系</w:t>
      </w:r>
      <w:r>
        <w:rPr>
          <w:spacing w:val="7"/>
          <w:sz w:val="20"/>
          <w:szCs w:val="20"/>
        </w:rPr>
        <w:t>统不受</w:t>
      </w:r>
      <w:r>
        <w:rPr>
          <w:sz w:val="20"/>
          <w:szCs w:val="20"/>
        </w:rPr>
        <w:t xml:space="preserve"> </w:t>
      </w:r>
      <w:r>
        <w:rPr>
          <w:spacing w:val="8"/>
          <w:sz w:val="20"/>
          <w:szCs w:val="20"/>
        </w:rPr>
        <w:t>少数节点恶意行为的影响，从而解决业务层面的信任难题，有望在服务商之间搭建互</w:t>
      </w:r>
      <w:r>
        <w:rPr>
          <w:spacing w:val="7"/>
          <w:sz w:val="20"/>
          <w:szCs w:val="20"/>
        </w:rPr>
        <w:t>联互通</w:t>
      </w:r>
      <w:r>
        <w:rPr>
          <w:sz w:val="20"/>
          <w:szCs w:val="20"/>
        </w:rPr>
        <w:t xml:space="preserve"> </w:t>
      </w:r>
      <w:r>
        <w:rPr>
          <w:spacing w:val="-3"/>
          <w:sz w:val="20"/>
          <w:szCs w:val="20"/>
        </w:rPr>
        <w:t>的信任协议。</w:t>
      </w:r>
    </w:p>
    <w:p w14:paraId="72362E93">
      <w:pPr>
        <w:pStyle w:val="2"/>
        <w:spacing w:before="301" w:line="221" w:lineRule="auto"/>
        <w:ind w:left="2"/>
        <w:rPr>
          <w:sz w:val="20"/>
          <w:szCs w:val="20"/>
        </w:rPr>
      </w:pPr>
      <w:r>
        <w:rPr>
          <w:b/>
          <w:bCs/>
          <w:color w:val="005DE9"/>
          <w:spacing w:val="-9"/>
          <w:sz w:val="20"/>
          <w:szCs w:val="20"/>
        </w:rPr>
        <w:t>1.3.6</w:t>
      </w:r>
      <w:r>
        <w:rPr>
          <w:color w:val="005DE9"/>
          <w:spacing w:val="19"/>
          <w:sz w:val="20"/>
          <w:szCs w:val="20"/>
        </w:rPr>
        <w:t xml:space="preserve">  </w:t>
      </w:r>
      <w:r>
        <w:rPr>
          <w:b/>
          <w:bCs/>
          <w:color w:val="005DE9"/>
          <w:spacing w:val="-9"/>
          <w:sz w:val="20"/>
          <w:szCs w:val="20"/>
        </w:rPr>
        <w:t>人</w:t>
      </w:r>
      <w:r>
        <w:rPr>
          <w:color w:val="005DE9"/>
          <w:spacing w:val="-35"/>
          <w:sz w:val="20"/>
          <w:szCs w:val="20"/>
        </w:rPr>
        <w:t xml:space="preserve"> </w:t>
      </w:r>
      <w:r>
        <w:rPr>
          <w:b/>
          <w:bCs/>
          <w:color w:val="005DE9"/>
          <w:spacing w:val="-9"/>
          <w:sz w:val="20"/>
          <w:szCs w:val="20"/>
        </w:rPr>
        <w:t>工</w:t>
      </w:r>
      <w:r>
        <w:rPr>
          <w:color w:val="005DE9"/>
          <w:spacing w:val="-33"/>
          <w:sz w:val="20"/>
          <w:szCs w:val="20"/>
        </w:rPr>
        <w:t xml:space="preserve"> </w:t>
      </w:r>
      <w:r>
        <w:rPr>
          <w:b/>
          <w:bCs/>
          <w:color w:val="005DE9"/>
          <w:spacing w:val="-9"/>
          <w:sz w:val="20"/>
          <w:szCs w:val="20"/>
        </w:rPr>
        <w:t>智</w:t>
      </w:r>
      <w:r>
        <w:rPr>
          <w:color w:val="005DE9"/>
          <w:spacing w:val="-29"/>
          <w:sz w:val="20"/>
          <w:szCs w:val="20"/>
        </w:rPr>
        <w:t xml:space="preserve"> </w:t>
      </w:r>
      <w:r>
        <w:rPr>
          <w:b/>
          <w:bCs/>
          <w:color w:val="005DE9"/>
          <w:spacing w:val="-9"/>
          <w:sz w:val="20"/>
          <w:szCs w:val="20"/>
        </w:rPr>
        <w:t>能</w:t>
      </w:r>
    </w:p>
    <w:p w14:paraId="0D00238F">
      <w:pPr>
        <w:pStyle w:val="2"/>
        <w:spacing w:before="249" w:line="222" w:lineRule="auto"/>
        <w:ind w:left="392"/>
        <w:rPr>
          <w:rFonts w:ascii="黑体" w:hAnsi="黑体" w:eastAsia="黑体" w:cs="黑体"/>
          <w:sz w:val="20"/>
          <w:szCs w:val="20"/>
        </w:rPr>
      </w:pPr>
      <w:r>
        <w:rPr>
          <w:b/>
          <w:bCs/>
          <w:color w:val="0058DE"/>
          <w:spacing w:val="-6"/>
          <w:sz w:val="20"/>
          <w:szCs w:val="20"/>
        </w:rPr>
        <w:t>1.</w:t>
      </w:r>
      <w:r>
        <w:rPr>
          <w:rFonts w:ascii="黑体" w:hAnsi="黑体" w:eastAsia="黑体" w:cs="黑体"/>
          <w:b/>
          <w:bCs/>
          <w:color w:val="0058DE"/>
          <w:spacing w:val="-6"/>
          <w:sz w:val="20"/>
          <w:szCs w:val="20"/>
        </w:rPr>
        <w:t>人工智能的定义</w:t>
      </w:r>
    </w:p>
    <w:p w14:paraId="6FFBCCF1">
      <w:pPr>
        <w:pStyle w:val="2"/>
        <w:spacing w:before="120" w:line="280" w:lineRule="auto"/>
        <w:ind w:right="257" w:firstLine="389"/>
        <w:jc w:val="both"/>
        <w:rPr>
          <w:sz w:val="20"/>
          <w:szCs w:val="20"/>
        </w:rPr>
      </w:pPr>
      <w:r>
        <w:rPr>
          <w:spacing w:val="3"/>
          <w:sz w:val="20"/>
          <w:szCs w:val="20"/>
        </w:rPr>
        <w:t>人工智能是利用数字计算机或者数字计算机控制的机器模拟、延伸和扩展人的智能</w:t>
      </w:r>
      <w:r>
        <w:rPr>
          <w:spacing w:val="2"/>
          <w:sz w:val="20"/>
          <w:szCs w:val="20"/>
        </w:rPr>
        <w:t>、感知</w:t>
      </w:r>
      <w:r>
        <w:rPr>
          <w:sz w:val="20"/>
          <w:szCs w:val="20"/>
        </w:rPr>
        <w:t xml:space="preserve"> </w:t>
      </w:r>
      <w:r>
        <w:rPr>
          <w:spacing w:val="3"/>
          <w:sz w:val="20"/>
          <w:szCs w:val="20"/>
        </w:rPr>
        <w:t>环境，获取知识并使用知识获得最佳结果的理论、方法、技术及应用系统。人</w:t>
      </w:r>
      <w:r>
        <w:rPr>
          <w:spacing w:val="2"/>
          <w:sz w:val="20"/>
          <w:szCs w:val="20"/>
        </w:rPr>
        <w:t>工智能系统在理</w:t>
      </w:r>
      <w:r>
        <w:rPr>
          <w:sz w:val="20"/>
          <w:szCs w:val="20"/>
        </w:rPr>
        <w:t xml:space="preserve"> </w:t>
      </w:r>
      <w:r>
        <w:rPr>
          <w:spacing w:val="3"/>
          <w:sz w:val="20"/>
          <w:szCs w:val="20"/>
        </w:rPr>
        <w:t>想情况下应具有一定的自适应特性和学习能力，即具有一定的随环境、数据或</w:t>
      </w:r>
      <w:r>
        <w:rPr>
          <w:spacing w:val="2"/>
          <w:sz w:val="20"/>
          <w:szCs w:val="20"/>
        </w:rPr>
        <w:t>任务变化而自适</w:t>
      </w:r>
      <w:r>
        <w:rPr>
          <w:sz w:val="20"/>
          <w:szCs w:val="20"/>
        </w:rPr>
        <w:t xml:space="preserve"> </w:t>
      </w:r>
      <w:r>
        <w:rPr>
          <w:spacing w:val="3"/>
          <w:sz w:val="20"/>
          <w:szCs w:val="20"/>
        </w:rPr>
        <w:t>应调节参数或更新优化模型的能力。根据人工智能是否能真正实现推理、思考和</w:t>
      </w:r>
      <w:r>
        <w:rPr>
          <w:spacing w:val="2"/>
          <w:sz w:val="20"/>
          <w:szCs w:val="20"/>
        </w:rPr>
        <w:t>解决问题，可</w:t>
      </w:r>
    </w:p>
    <w:p w14:paraId="3F92CE7F">
      <w:pPr>
        <w:spacing w:line="280" w:lineRule="auto"/>
        <w:rPr>
          <w:sz w:val="20"/>
          <w:szCs w:val="20"/>
        </w:rPr>
        <w:sectPr>
          <w:pgSz w:w="10300" w:h="13310"/>
          <w:pgMar w:top="400" w:right="574" w:bottom="400" w:left="1149" w:header="0" w:footer="0" w:gutter="0"/>
          <w:cols w:space="720" w:num="1"/>
        </w:sectPr>
      </w:pPr>
    </w:p>
    <w:p w14:paraId="256403A5">
      <w:pPr>
        <w:pStyle w:val="2"/>
        <w:spacing w:before="78" w:line="219" w:lineRule="auto"/>
        <w:rPr>
          <w:sz w:val="20"/>
          <w:szCs w:val="20"/>
        </w:rPr>
      </w:pPr>
      <w:bookmarkStart w:id="491" w:name="bookmark478"/>
      <w:bookmarkEnd w:id="491"/>
      <w:r>
        <w:rPr>
          <w:rFonts w:ascii="Times New Roman" w:hAnsi="Times New Roman" w:eastAsia="Times New Roman" w:cs="Times New Roman"/>
          <w:spacing w:val="-3"/>
          <w:sz w:val="17"/>
          <w:szCs w:val="17"/>
        </w:rPr>
        <w:t>24</w:t>
      </w:r>
      <w:r>
        <w:rPr>
          <w:rFonts w:ascii="Times New Roman" w:hAnsi="Times New Roman" w:eastAsia="Times New Roman" w:cs="Times New Roman"/>
          <w:spacing w:val="2"/>
          <w:sz w:val="17"/>
          <w:szCs w:val="17"/>
        </w:rPr>
        <w:t xml:space="preserve">                 </w:t>
      </w:r>
      <w:r>
        <w:rPr>
          <w:spacing w:val="-3"/>
          <w:sz w:val="20"/>
          <w:szCs w:val="20"/>
        </w:rPr>
        <w:t>信息系统监理师教程(第2版)</w:t>
      </w:r>
    </w:p>
    <w:p w14:paraId="5E74F8D2">
      <w:pPr>
        <w:spacing w:line="335" w:lineRule="auto"/>
        <w:rPr>
          <w:rFonts w:ascii="Arial"/>
          <w:sz w:val="21"/>
        </w:rPr>
      </w:pPr>
    </w:p>
    <w:p w14:paraId="2F83D4A8">
      <w:pPr>
        <w:pStyle w:val="2"/>
        <w:spacing w:before="65" w:line="219" w:lineRule="auto"/>
        <w:ind w:left="299"/>
        <w:rPr>
          <w:sz w:val="20"/>
          <w:szCs w:val="20"/>
        </w:rPr>
      </w:pPr>
      <w:r>
        <w:rPr>
          <w:spacing w:val="-3"/>
          <w:sz w:val="20"/>
          <w:szCs w:val="20"/>
        </w:rPr>
        <w:t>以将人工智能分为弱人工智能和强人工智能。</w:t>
      </w:r>
    </w:p>
    <w:p w14:paraId="0DAC5487">
      <w:pPr>
        <w:pStyle w:val="2"/>
        <w:spacing w:before="81" w:line="283" w:lineRule="auto"/>
        <w:ind w:left="299" w:right="36" w:firstLine="399"/>
        <w:jc w:val="both"/>
        <w:rPr>
          <w:sz w:val="20"/>
          <w:szCs w:val="20"/>
        </w:rPr>
      </w:pPr>
      <w:r>
        <w:rPr>
          <w:spacing w:val="2"/>
          <w:sz w:val="20"/>
          <w:szCs w:val="20"/>
        </w:rPr>
        <w:t>弱人工智能指不能真正实现推理和解决问题的智能机器，这些机器表面看像是智能的，但</w:t>
      </w:r>
      <w:r>
        <w:rPr>
          <w:spacing w:val="9"/>
          <w:sz w:val="20"/>
          <w:szCs w:val="20"/>
        </w:rPr>
        <w:t xml:space="preserve"> </w:t>
      </w:r>
      <w:r>
        <w:rPr>
          <w:spacing w:val="2"/>
          <w:sz w:val="20"/>
          <w:szCs w:val="20"/>
        </w:rPr>
        <w:t>是并不真正拥有智能，也不会有自主意识。强人工智能是指真正能思维的智能机器，并且该智</w:t>
      </w:r>
      <w:r>
        <w:rPr>
          <w:spacing w:val="15"/>
          <w:sz w:val="20"/>
          <w:szCs w:val="20"/>
        </w:rPr>
        <w:t xml:space="preserve"> </w:t>
      </w:r>
      <w:r>
        <w:rPr>
          <w:spacing w:val="8"/>
          <w:sz w:val="20"/>
          <w:szCs w:val="20"/>
        </w:rPr>
        <w:t>能机器是有知觉的和有自我意识的，这类机器可分为类人(机器的思考和推理类似人的思维)</w:t>
      </w:r>
      <w:r>
        <w:rPr>
          <w:spacing w:val="14"/>
          <w:sz w:val="20"/>
          <w:szCs w:val="20"/>
        </w:rPr>
        <w:t xml:space="preserve"> </w:t>
      </w:r>
      <w:r>
        <w:rPr>
          <w:spacing w:val="7"/>
          <w:sz w:val="20"/>
          <w:szCs w:val="20"/>
        </w:rPr>
        <w:t>与非类人(机器产生了和人完全不一样的知觉和意识，使用和人完全不一样的推理方式)两大</w:t>
      </w:r>
      <w:r>
        <w:rPr>
          <w:spacing w:val="1"/>
          <w:sz w:val="20"/>
          <w:szCs w:val="20"/>
        </w:rPr>
        <w:t xml:space="preserve"> </w:t>
      </w:r>
      <w:r>
        <w:rPr>
          <w:spacing w:val="3"/>
          <w:sz w:val="20"/>
          <w:szCs w:val="20"/>
        </w:rPr>
        <w:t>类。迄今为止的人工智能系统都还是实现特定功能的专用智能，</w:t>
      </w:r>
      <w:r>
        <w:rPr>
          <w:spacing w:val="2"/>
          <w:sz w:val="20"/>
          <w:szCs w:val="20"/>
        </w:rPr>
        <w:t>而不是像人类智能那样能够不</w:t>
      </w:r>
      <w:r>
        <w:rPr>
          <w:sz w:val="20"/>
          <w:szCs w:val="20"/>
        </w:rPr>
        <w:t xml:space="preserve"> </w:t>
      </w:r>
      <w:r>
        <w:rPr>
          <w:spacing w:val="3"/>
          <w:sz w:val="20"/>
          <w:szCs w:val="20"/>
        </w:rPr>
        <w:t xml:space="preserve">断适应复杂的新环境并不断涌现出新的功能，因此都属于弱人工智能。当前的主流研究仍然集 </w:t>
      </w:r>
      <w:r>
        <w:rPr>
          <w:spacing w:val="2"/>
          <w:sz w:val="20"/>
          <w:szCs w:val="20"/>
        </w:rPr>
        <w:t>中于弱人工智能，其中语音识别、图像处理和物体分割、机器翻译等方面取得了重大突破，甚</w:t>
      </w:r>
      <w:r>
        <w:rPr>
          <w:spacing w:val="4"/>
          <w:sz w:val="20"/>
          <w:szCs w:val="20"/>
        </w:rPr>
        <w:t xml:space="preserve"> </w:t>
      </w:r>
      <w:r>
        <w:rPr>
          <w:spacing w:val="-5"/>
          <w:sz w:val="20"/>
          <w:szCs w:val="20"/>
        </w:rPr>
        <w:t>至可以接近或超越人类水平。</w:t>
      </w:r>
    </w:p>
    <w:p w14:paraId="6F5A1437">
      <w:pPr>
        <w:spacing w:before="184" w:line="221" w:lineRule="auto"/>
        <w:ind w:left="672"/>
        <w:rPr>
          <w:rFonts w:ascii="黑体" w:hAnsi="黑体" w:eastAsia="黑体" w:cs="黑体"/>
          <w:sz w:val="20"/>
          <w:szCs w:val="20"/>
        </w:rPr>
      </w:pPr>
      <w:r>
        <w:rPr>
          <w:rFonts w:ascii="黑体" w:hAnsi="黑体" w:eastAsia="黑体" w:cs="黑体"/>
          <w:b/>
          <w:bCs/>
          <w:color w:val="006CCC"/>
          <w:sz w:val="20"/>
          <w:szCs w:val="20"/>
        </w:rPr>
        <w:t>2.人工智能的特征</w:t>
      </w:r>
    </w:p>
    <w:p w14:paraId="3B80B7F2">
      <w:pPr>
        <w:pStyle w:val="2"/>
        <w:spacing w:before="145" w:line="219" w:lineRule="auto"/>
        <w:ind w:left="699"/>
        <w:rPr>
          <w:sz w:val="20"/>
          <w:szCs w:val="20"/>
        </w:rPr>
      </w:pPr>
      <w:r>
        <w:rPr>
          <w:spacing w:val="-5"/>
          <w:sz w:val="20"/>
          <w:szCs w:val="20"/>
        </w:rPr>
        <w:t>人工智能具有以下特征：</w:t>
      </w:r>
    </w:p>
    <w:p w14:paraId="425033E6">
      <w:pPr>
        <w:pStyle w:val="2"/>
        <w:spacing w:before="81" w:line="219" w:lineRule="auto"/>
        <w:ind w:left="699"/>
        <w:rPr>
          <w:sz w:val="20"/>
          <w:szCs w:val="20"/>
        </w:rPr>
      </w:pPr>
      <w:r>
        <w:rPr>
          <w:spacing w:val="1"/>
          <w:sz w:val="20"/>
          <w:szCs w:val="20"/>
        </w:rPr>
        <w:t>(1)由人类设计，为人类服务，本质为计算，基础为数据。</w:t>
      </w:r>
    </w:p>
    <w:p w14:paraId="5697C5CD">
      <w:pPr>
        <w:pStyle w:val="2"/>
        <w:spacing w:before="83" w:line="281" w:lineRule="auto"/>
        <w:ind w:left="299" w:right="19" w:firstLine="399"/>
        <w:rPr>
          <w:sz w:val="20"/>
          <w:szCs w:val="20"/>
        </w:rPr>
      </w:pPr>
      <w:r>
        <w:rPr>
          <w:spacing w:val="2"/>
          <w:sz w:val="20"/>
          <w:szCs w:val="20"/>
        </w:rPr>
        <w:t>从根本上说，人工智能系统必须以人为本，这些系统是人类设计出的机器，按照人类设定</w:t>
      </w:r>
      <w:r>
        <w:rPr>
          <w:spacing w:val="14"/>
          <w:sz w:val="20"/>
          <w:szCs w:val="20"/>
        </w:rPr>
        <w:t xml:space="preserve"> </w:t>
      </w:r>
      <w:r>
        <w:rPr>
          <w:spacing w:val="4"/>
          <w:sz w:val="20"/>
          <w:szCs w:val="20"/>
        </w:rPr>
        <w:t>的程序逻辑或软件算法，通过人类发明的芯片等硬件载体来运行或工作，其本质体</w:t>
      </w:r>
      <w:r>
        <w:rPr>
          <w:spacing w:val="3"/>
          <w:sz w:val="20"/>
          <w:szCs w:val="20"/>
        </w:rPr>
        <w:t>现为计算，</w:t>
      </w:r>
      <w:r>
        <w:rPr>
          <w:sz w:val="20"/>
          <w:szCs w:val="20"/>
        </w:rPr>
        <w:t xml:space="preserve"> </w:t>
      </w:r>
      <w:r>
        <w:rPr>
          <w:spacing w:val="2"/>
          <w:sz w:val="20"/>
          <w:szCs w:val="20"/>
        </w:rPr>
        <w:t>通过对数据的采集、加工、处理、分析和挖掘，形成有价值的信息流和知识模型，为人类提供</w:t>
      </w:r>
      <w:r>
        <w:rPr>
          <w:spacing w:val="4"/>
          <w:sz w:val="20"/>
          <w:szCs w:val="20"/>
        </w:rPr>
        <w:t xml:space="preserve"> </w:t>
      </w:r>
      <w:r>
        <w:rPr>
          <w:spacing w:val="2"/>
          <w:sz w:val="20"/>
          <w:szCs w:val="20"/>
        </w:rPr>
        <w:t>延伸人类能力的服务，实现人类期望的一些“智能行为”的模拟，在理想情况下必须体现服务</w:t>
      </w:r>
      <w:r>
        <w:rPr>
          <w:spacing w:val="6"/>
          <w:sz w:val="20"/>
          <w:szCs w:val="20"/>
        </w:rPr>
        <w:t xml:space="preserve"> </w:t>
      </w:r>
      <w:r>
        <w:rPr>
          <w:spacing w:val="-2"/>
          <w:sz w:val="20"/>
          <w:szCs w:val="20"/>
        </w:rPr>
        <w:t>人类的特点，而不应该伤害人类，特别是不应该有目的性地做出伤害人类的行为。</w:t>
      </w:r>
    </w:p>
    <w:p w14:paraId="33560119">
      <w:pPr>
        <w:pStyle w:val="2"/>
        <w:spacing w:before="59" w:line="219" w:lineRule="auto"/>
        <w:ind w:left="699"/>
        <w:rPr>
          <w:sz w:val="20"/>
          <w:szCs w:val="20"/>
        </w:rPr>
      </w:pPr>
      <w:r>
        <w:rPr>
          <w:spacing w:val="1"/>
          <w:sz w:val="20"/>
          <w:szCs w:val="20"/>
        </w:rPr>
        <w:t>(2)能感知环境，能产生反应，能与人交互，能与人互补。</w:t>
      </w:r>
    </w:p>
    <w:p w14:paraId="4B41E6CA">
      <w:pPr>
        <w:pStyle w:val="2"/>
        <w:spacing w:before="65" w:line="282" w:lineRule="auto"/>
        <w:ind w:left="299" w:firstLine="399"/>
        <w:rPr>
          <w:sz w:val="20"/>
          <w:szCs w:val="20"/>
        </w:rPr>
      </w:pPr>
      <w:r>
        <w:rPr>
          <w:spacing w:val="8"/>
          <w:sz w:val="20"/>
          <w:szCs w:val="20"/>
        </w:rPr>
        <w:t>人工智能系统应能借助传感器等器件产生对外界环境(</w:t>
      </w:r>
      <w:r>
        <w:rPr>
          <w:spacing w:val="7"/>
          <w:sz w:val="20"/>
          <w:szCs w:val="20"/>
        </w:rPr>
        <w:t>包括人类)进行感知的能力，可以</w:t>
      </w:r>
      <w:r>
        <w:rPr>
          <w:sz w:val="20"/>
          <w:szCs w:val="20"/>
        </w:rPr>
        <w:t xml:space="preserve">  </w:t>
      </w:r>
      <w:r>
        <w:rPr>
          <w:spacing w:val="3"/>
          <w:sz w:val="20"/>
          <w:szCs w:val="20"/>
        </w:rPr>
        <w:t>像人一样通过听觉、视觉、嗅觉、触觉等接收来自环境的各种信息，对外界输入产生文字、语</w:t>
      </w:r>
      <w:r>
        <w:rPr>
          <w:spacing w:val="4"/>
          <w:sz w:val="20"/>
          <w:szCs w:val="20"/>
        </w:rPr>
        <w:t xml:space="preserve"> </w:t>
      </w:r>
      <w:r>
        <w:rPr>
          <w:spacing w:val="9"/>
          <w:sz w:val="20"/>
          <w:szCs w:val="20"/>
        </w:rPr>
        <w:t>音、表情、动作(控制执行机构)等必要的反应，甚至影响到环境或人类。借助按钮、键盘、</w:t>
      </w:r>
      <w:r>
        <w:rPr>
          <w:spacing w:val="10"/>
          <w:sz w:val="20"/>
          <w:szCs w:val="20"/>
        </w:rPr>
        <w:t xml:space="preserve"> </w:t>
      </w:r>
      <w:r>
        <w:rPr>
          <w:spacing w:val="5"/>
          <w:sz w:val="20"/>
          <w:szCs w:val="20"/>
        </w:rPr>
        <w:t>鼠标、屏幕、手势、体态、表情、力反馈、虚拟现实/</w:t>
      </w:r>
      <w:r>
        <w:rPr>
          <w:spacing w:val="4"/>
          <w:sz w:val="20"/>
          <w:szCs w:val="20"/>
        </w:rPr>
        <w:t>增强现实等方式，人与机器间可以产生</w:t>
      </w:r>
      <w:r>
        <w:rPr>
          <w:sz w:val="20"/>
          <w:szCs w:val="20"/>
        </w:rPr>
        <w:t xml:space="preserve">  </w:t>
      </w:r>
      <w:r>
        <w:rPr>
          <w:spacing w:val="3"/>
          <w:sz w:val="20"/>
          <w:szCs w:val="20"/>
        </w:rPr>
        <w:t>交互与互动，使机器设备越来越“理解”人类，乃至与人类共同</w:t>
      </w:r>
      <w:r>
        <w:rPr>
          <w:spacing w:val="2"/>
          <w:sz w:val="20"/>
          <w:szCs w:val="20"/>
        </w:rPr>
        <w:t>协作、优势互补。这样，人工</w:t>
      </w:r>
      <w:r>
        <w:rPr>
          <w:sz w:val="20"/>
          <w:szCs w:val="20"/>
        </w:rPr>
        <w:t xml:space="preserve"> </w:t>
      </w:r>
      <w:r>
        <w:rPr>
          <w:spacing w:val="3"/>
          <w:sz w:val="20"/>
          <w:szCs w:val="20"/>
        </w:rPr>
        <w:t>智能系统能够帮助人类做人类不擅长、不喜欢但机器能够完成的工作，</w:t>
      </w:r>
      <w:r>
        <w:rPr>
          <w:spacing w:val="2"/>
          <w:sz w:val="20"/>
          <w:szCs w:val="20"/>
        </w:rPr>
        <w:t>而人类则全身心投入创</w:t>
      </w:r>
      <w:r>
        <w:rPr>
          <w:sz w:val="20"/>
          <w:szCs w:val="20"/>
        </w:rPr>
        <w:t xml:space="preserve"> </w:t>
      </w:r>
      <w:r>
        <w:rPr>
          <w:spacing w:val="-3"/>
          <w:sz w:val="20"/>
          <w:szCs w:val="20"/>
        </w:rPr>
        <w:t>造性、洞察力、想象力、灵活性、多变性等情感相关性的工作。</w:t>
      </w:r>
    </w:p>
    <w:p w14:paraId="6D29826E">
      <w:pPr>
        <w:pStyle w:val="2"/>
        <w:spacing w:before="59" w:line="219" w:lineRule="auto"/>
        <w:ind w:left="699"/>
        <w:rPr>
          <w:sz w:val="20"/>
          <w:szCs w:val="20"/>
        </w:rPr>
      </w:pPr>
      <w:r>
        <w:rPr>
          <w:spacing w:val="1"/>
          <w:sz w:val="20"/>
          <w:szCs w:val="20"/>
        </w:rPr>
        <w:t>(3)有适应特性，有学习能力，有演化迭代，有连接扩展。</w:t>
      </w:r>
    </w:p>
    <w:p w14:paraId="30B416A9">
      <w:pPr>
        <w:pStyle w:val="2"/>
        <w:spacing w:before="71" w:line="281" w:lineRule="auto"/>
        <w:ind w:left="299" w:right="18" w:firstLine="399"/>
        <w:rPr>
          <w:sz w:val="20"/>
          <w:szCs w:val="20"/>
        </w:rPr>
      </w:pPr>
      <w:r>
        <w:rPr>
          <w:spacing w:val="4"/>
          <w:sz w:val="20"/>
          <w:szCs w:val="20"/>
        </w:rPr>
        <w:t>人工智能系统在理想情况下应具有一定的自适应特性和学习能力，即具有一定的随环境、</w:t>
      </w:r>
      <w:r>
        <w:rPr>
          <w:spacing w:val="2"/>
          <w:sz w:val="20"/>
          <w:szCs w:val="20"/>
        </w:rPr>
        <w:t xml:space="preserve"> </w:t>
      </w:r>
      <w:r>
        <w:rPr>
          <w:spacing w:val="-1"/>
          <w:sz w:val="20"/>
          <w:szCs w:val="20"/>
        </w:rPr>
        <w:t>数据或任务变化而自适应调节参数或更新优化模型的能力，并且能够在此基础上通过与云、端、</w:t>
      </w:r>
      <w:r>
        <w:rPr>
          <w:spacing w:val="2"/>
          <w:sz w:val="20"/>
          <w:szCs w:val="20"/>
        </w:rPr>
        <w:t xml:space="preserve"> 人、物越来越广泛深入地进行数字化连接扩展，实现机器客体乃至人类主体的演化迭代，使系</w:t>
      </w:r>
      <w:r>
        <w:rPr>
          <w:spacing w:val="15"/>
          <w:sz w:val="20"/>
          <w:szCs w:val="20"/>
        </w:rPr>
        <w:t xml:space="preserve"> </w:t>
      </w:r>
      <w:r>
        <w:rPr>
          <w:spacing w:val="2"/>
          <w:sz w:val="20"/>
          <w:szCs w:val="20"/>
        </w:rPr>
        <w:t>统具有适应性、鲁棒性、灵活性、扩展性，应对不断变化的现实环境，从而使人工智能系统在</w:t>
      </w:r>
      <w:r>
        <w:rPr>
          <w:spacing w:val="8"/>
          <w:sz w:val="20"/>
          <w:szCs w:val="20"/>
        </w:rPr>
        <w:t xml:space="preserve"> </w:t>
      </w:r>
      <w:r>
        <w:rPr>
          <w:spacing w:val="-3"/>
          <w:sz w:val="20"/>
          <w:szCs w:val="20"/>
        </w:rPr>
        <w:t>各行各业产生丰富的应用。</w:t>
      </w:r>
    </w:p>
    <w:p w14:paraId="0CB26B6C">
      <w:pPr>
        <w:pStyle w:val="2"/>
        <w:spacing w:before="107" w:line="222" w:lineRule="auto"/>
        <w:ind w:left="702"/>
        <w:rPr>
          <w:rFonts w:ascii="黑体" w:hAnsi="黑体" w:eastAsia="黑体" w:cs="黑体"/>
          <w:sz w:val="20"/>
          <w:szCs w:val="20"/>
        </w:rPr>
      </w:pPr>
      <w:r>
        <w:rPr>
          <w:b/>
          <w:bCs/>
          <w:color w:val="006BCA"/>
          <w:spacing w:val="-3"/>
          <w:sz w:val="20"/>
          <w:szCs w:val="20"/>
        </w:rPr>
        <w:t>3.</w:t>
      </w:r>
      <w:r>
        <w:rPr>
          <w:rFonts w:ascii="黑体" w:hAnsi="黑体" w:eastAsia="黑体" w:cs="黑体"/>
          <w:b/>
          <w:bCs/>
          <w:color w:val="006BCA"/>
          <w:spacing w:val="-3"/>
          <w:sz w:val="20"/>
          <w:szCs w:val="20"/>
        </w:rPr>
        <w:t>人工智能的关键技术领域</w:t>
      </w:r>
    </w:p>
    <w:p w14:paraId="6CBDAE09">
      <w:pPr>
        <w:pStyle w:val="2"/>
        <w:spacing w:before="161" w:line="254" w:lineRule="auto"/>
        <w:ind w:left="299" w:right="71" w:firstLine="399"/>
        <w:rPr>
          <w:sz w:val="20"/>
          <w:szCs w:val="20"/>
        </w:rPr>
      </w:pPr>
      <w:r>
        <w:rPr>
          <w:spacing w:val="3"/>
          <w:sz w:val="20"/>
          <w:szCs w:val="20"/>
        </w:rPr>
        <w:t>人工智能的关键技术领域包括机器思维、机器感知、机器行为、机</w:t>
      </w:r>
      <w:r>
        <w:rPr>
          <w:spacing w:val="2"/>
          <w:sz w:val="20"/>
          <w:szCs w:val="20"/>
        </w:rPr>
        <w:t>器学习、计算智能、分</w:t>
      </w:r>
      <w:r>
        <w:rPr>
          <w:sz w:val="20"/>
          <w:szCs w:val="20"/>
        </w:rPr>
        <w:t xml:space="preserve"> </w:t>
      </w:r>
      <w:r>
        <w:rPr>
          <w:spacing w:val="-3"/>
          <w:sz w:val="20"/>
          <w:szCs w:val="20"/>
        </w:rPr>
        <w:t>布智能、智能系统、人工心理和人工情感。</w:t>
      </w:r>
    </w:p>
    <w:p w14:paraId="50C49A14">
      <w:pPr>
        <w:pStyle w:val="2"/>
        <w:spacing w:before="60" w:line="255" w:lineRule="auto"/>
        <w:ind w:left="299" w:right="92" w:firstLine="399"/>
        <w:rPr>
          <w:sz w:val="20"/>
          <w:szCs w:val="20"/>
        </w:rPr>
      </w:pPr>
      <w:r>
        <w:rPr>
          <w:spacing w:val="5"/>
          <w:sz w:val="20"/>
          <w:szCs w:val="20"/>
        </w:rPr>
        <w:t>(1)机器思维。机器思维主要模拟人类的思维功能。在人</w:t>
      </w:r>
      <w:r>
        <w:rPr>
          <w:spacing w:val="4"/>
          <w:sz w:val="20"/>
          <w:szCs w:val="20"/>
        </w:rPr>
        <w:t>工智能中，有关的研究主要包括</w:t>
      </w:r>
      <w:r>
        <w:rPr>
          <w:sz w:val="20"/>
          <w:szCs w:val="20"/>
        </w:rPr>
        <w:t xml:space="preserve"> </w:t>
      </w:r>
      <w:r>
        <w:rPr>
          <w:spacing w:val="-4"/>
          <w:sz w:val="20"/>
          <w:szCs w:val="20"/>
        </w:rPr>
        <w:t>推理、搜索、规划等。</w:t>
      </w:r>
    </w:p>
    <w:p w14:paraId="3E77793B">
      <w:pPr>
        <w:spacing w:line="255" w:lineRule="auto"/>
        <w:rPr>
          <w:sz w:val="20"/>
          <w:szCs w:val="20"/>
        </w:rPr>
        <w:sectPr>
          <w:pgSz w:w="10330" w:h="13430"/>
          <w:pgMar w:top="400" w:right="1080" w:bottom="400" w:left="570" w:header="0" w:footer="0" w:gutter="0"/>
          <w:cols w:space="720" w:num="1"/>
        </w:sectPr>
      </w:pPr>
    </w:p>
    <w:p w14:paraId="53285246">
      <w:pPr>
        <w:pStyle w:val="2"/>
        <w:spacing w:before="16" w:line="219" w:lineRule="auto"/>
        <w:jc w:val="right"/>
        <w:rPr>
          <w:rFonts w:ascii="Times New Roman" w:hAnsi="Times New Roman" w:eastAsia="Times New Roman" w:cs="Times New Roman"/>
          <w:sz w:val="17"/>
          <w:szCs w:val="17"/>
        </w:rPr>
      </w:pPr>
      <w:bookmarkStart w:id="492" w:name="bookmark479"/>
      <w:bookmarkEnd w:id="492"/>
      <w:r>
        <w:rPr>
          <w:spacing w:val="-1"/>
          <w:sz w:val="20"/>
          <w:szCs w:val="20"/>
        </w:rPr>
        <w:t>第1章 信息与信息化</w:t>
      </w:r>
      <w:r>
        <w:rPr>
          <w:spacing w:val="12"/>
          <w:sz w:val="20"/>
          <w:szCs w:val="20"/>
        </w:rPr>
        <w:t xml:space="preserve">      </w:t>
      </w:r>
      <w:r>
        <w:rPr>
          <w:rFonts w:ascii="Times New Roman" w:hAnsi="Times New Roman" w:eastAsia="Times New Roman" w:cs="Times New Roman"/>
          <w:spacing w:val="-1"/>
          <w:sz w:val="17"/>
          <w:szCs w:val="17"/>
        </w:rPr>
        <w:t>25</w:t>
      </w:r>
    </w:p>
    <w:p w14:paraId="0D123946">
      <w:pPr>
        <w:spacing w:line="306" w:lineRule="auto"/>
        <w:rPr>
          <w:rFonts w:ascii="Arial"/>
          <w:sz w:val="21"/>
        </w:rPr>
      </w:pPr>
    </w:p>
    <w:p w14:paraId="07183493">
      <w:pPr>
        <w:pStyle w:val="2"/>
        <w:spacing w:before="65" w:line="257" w:lineRule="auto"/>
        <w:ind w:right="206" w:firstLine="389"/>
        <w:rPr>
          <w:sz w:val="20"/>
          <w:szCs w:val="20"/>
        </w:rPr>
      </w:pPr>
      <w:r>
        <w:rPr>
          <w:spacing w:val="2"/>
          <w:sz w:val="20"/>
          <w:szCs w:val="20"/>
        </w:rPr>
        <w:t>(2)机器感知。机器感知作为机器获取外界信息的主要途径，是机器智能的重要组</w:t>
      </w:r>
      <w:r>
        <w:rPr>
          <w:spacing w:val="1"/>
          <w:sz w:val="20"/>
          <w:szCs w:val="20"/>
        </w:rPr>
        <w:t>成部分，</w:t>
      </w:r>
      <w:r>
        <w:rPr>
          <w:sz w:val="20"/>
          <w:szCs w:val="20"/>
        </w:rPr>
        <w:t xml:space="preserve"> </w:t>
      </w:r>
      <w:r>
        <w:rPr>
          <w:spacing w:val="-2"/>
          <w:sz w:val="20"/>
          <w:szCs w:val="20"/>
        </w:rPr>
        <w:t>有关的研究主要包括机器视觉、模式识别和自然语言处理。</w:t>
      </w:r>
    </w:p>
    <w:p w14:paraId="2E27882C">
      <w:pPr>
        <w:pStyle w:val="2"/>
        <w:spacing w:before="73" w:line="266" w:lineRule="auto"/>
        <w:ind w:right="266" w:firstLine="389"/>
        <w:rPr>
          <w:sz w:val="20"/>
          <w:szCs w:val="20"/>
        </w:rPr>
      </w:pPr>
      <w:r>
        <w:rPr>
          <w:spacing w:val="5"/>
          <w:sz w:val="20"/>
          <w:szCs w:val="20"/>
        </w:rPr>
        <w:t>(3)机器行为。机器行为既是智能机器作用于外界环境的主要途径，也是机器智能的重要</w:t>
      </w:r>
      <w:r>
        <w:rPr>
          <w:spacing w:val="18"/>
          <w:sz w:val="20"/>
          <w:szCs w:val="20"/>
        </w:rPr>
        <w:t xml:space="preserve"> </w:t>
      </w:r>
      <w:r>
        <w:rPr>
          <w:spacing w:val="-1"/>
          <w:sz w:val="20"/>
          <w:szCs w:val="20"/>
        </w:rPr>
        <w:t>组成部分。机器行为的研究内容较多，主要包括智能控制</w:t>
      </w:r>
      <w:r>
        <w:rPr>
          <w:spacing w:val="-2"/>
          <w:sz w:val="20"/>
          <w:szCs w:val="20"/>
        </w:rPr>
        <w:t>、智能制造等。</w:t>
      </w:r>
    </w:p>
    <w:p w14:paraId="25A435DB">
      <w:pPr>
        <w:pStyle w:val="2"/>
        <w:spacing w:before="84" w:line="269" w:lineRule="auto"/>
        <w:ind w:right="176" w:firstLine="389"/>
        <w:rPr>
          <w:sz w:val="20"/>
          <w:szCs w:val="20"/>
        </w:rPr>
      </w:pPr>
      <w:r>
        <w:rPr>
          <w:spacing w:val="3"/>
          <w:sz w:val="20"/>
          <w:szCs w:val="20"/>
        </w:rPr>
        <w:t>(4)机器学习。机器学习是机器获取知识的根本途径，同</w:t>
      </w:r>
      <w:r>
        <w:rPr>
          <w:spacing w:val="2"/>
          <w:sz w:val="20"/>
          <w:szCs w:val="20"/>
        </w:rPr>
        <w:t>时也是机器具有智能的重要标志。</w:t>
      </w:r>
      <w:r>
        <w:rPr>
          <w:sz w:val="20"/>
          <w:szCs w:val="20"/>
        </w:rPr>
        <w:t xml:space="preserve"> </w:t>
      </w:r>
      <w:r>
        <w:rPr>
          <w:spacing w:val="3"/>
          <w:sz w:val="20"/>
          <w:szCs w:val="20"/>
        </w:rPr>
        <w:t>有人认为，一个计算机系统如果不具备学习功能，就不能称其为智能系统。机器学习有多种不</w:t>
      </w:r>
      <w:r>
        <w:rPr>
          <w:spacing w:val="6"/>
          <w:sz w:val="20"/>
          <w:szCs w:val="20"/>
        </w:rPr>
        <w:t xml:space="preserve"> </w:t>
      </w:r>
      <w:r>
        <w:rPr>
          <w:spacing w:val="5"/>
          <w:sz w:val="20"/>
          <w:szCs w:val="20"/>
        </w:rPr>
        <w:t>同的分类方法，按照对人类学习的模拟方式划分，机器学习可分为符号学习和网络学习(或联</w:t>
      </w:r>
      <w:r>
        <w:rPr>
          <w:sz w:val="20"/>
          <w:szCs w:val="20"/>
        </w:rPr>
        <w:t xml:space="preserve">  结学习)。直接采用数学方法的机器学习方式</w:t>
      </w:r>
      <w:r>
        <w:rPr>
          <w:spacing w:val="-1"/>
          <w:sz w:val="20"/>
          <w:szCs w:val="20"/>
        </w:rPr>
        <w:t>主要有统计机器学习等。</w:t>
      </w:r>
    </w:p>
    <w:p w14:paraId="0C24005A">
      <w:pPr>
        <w:pStyle w:val="2"/>
        <w:spacing w:before="78" w:line="265" w:lineRule="auto"/>
        <w:ind w:right="248" w:firstLine="389"/>
        <w:rPr>
          <w:sz w:val="20"/>
          <w:szCs w:val="20"/>
        </w:rPr>
      </w:pPr>
      <w:r>
        <w:rPr>
          <w:spacing w:val="4"/>
          <w:sz w:val="20"/>
          <w:szCs w:val="20"/>
        </w:rPr>
        <w:t>(5)计算智能。计算智能(</w:t>
      </w:r>
      <w:r>
        <w:rPr>
          <w:sz w:val="20"/>
          <w:szCs w:val="20"/>
        </w:rPr>
        <w:t>Computational</w:t>
      </w:r>
      <w:r>
        <w:rPr>
          <w:spacing w:val="4"/>
          <w:sz w:val="20"/>
          <w:szCs w:val="20"/>
        </w:rPr>
        <w:t xml:space="preserve"> </w:t>
      </w:r>
      <w:r>
        <w:rPr>
          <w:sz w:val="20"/>
          <w:szCs w:val="20"/>
        </w:rPr>
        <w:t>Intelligence</w:t>
      </w:r>
      <w:r>
        <w:rPr>
          <w:spacing w:val="4"/>
          <w:sz w:val="20"/>
          <w:szCs w:val="20"/>
        </w:rPr>
        <w:t>,</w:t>
      </w:r>
      <w:r>
        <w:rPr>
          <w:sz w:val="20"/>
          <w:szCs w:val="20"/>
        </w:rPr>
        <w:t>CI</w:t>
      </w:r>
      <w:r>
        <w:rPr>
          <w:spacing w:val="4"/>
          <w:sz w:val="20"/>
          <w:szCs w:val="20"/>
        </w:rPr>
        <w:t>)是借鉴仿生学的思想，基于人</w:t>
      </w:r>
      <w:r>
        <w:rPr>
          <w:spacing w:val="1"/>
          <w:sz w:val="20"/>
          <w:szCs w:val="20"/>
        </w:rPr>
        <w:t xml:space="preserve"> </w:t>
      </w:r>
      <w:r>
        <w:rPr>
          <w:spacing w:val="3"/>
          <w:sz w:val="20"/>
          <w:szCs w:val="20"/>
        </w:rPr>
        <w:t>们对生物体智能机理的认识，采用数值计算的方法模拟和实现人类的智能。计算智能的主要研</w:t>
      </w:r>
      <w:r>
        <w:rPr>
          <w:spacing w:val="4"/>
          <w:sz w:val="20"/>
          <w:szCs w:val="20"/>
        </w:rPr>
        <w:t xml:space="preserve"> </w:t>
      </w:r>
      <w:r>
        <w:rPr>
          <w:spacing w:val="-3"/>
          <w:sz w:val="20"/>
          <w:szCs w:val="20"/>
        </w:rPr>
        <w:t>究领域包括神经计算、进化计算和模糊计算等。</w:t>
      </w:r>
    </w:p>
    <w:p w14:paraId="337591A9">
      <w:pPr>
        <w:pStyle w:val="2"/>
        <w:spacing w:before="96" w:line="271" w:lineRule="auto"/>
        <w:ind w:right="248" w:firstLine="389"/>
        <w:rPr>
          <w:sz w:val="20"/>
          <w:szCs w:val="20"/>
        </w:rPr>
      </w:pPr>
      <w:r>
        <w:rPr>
          <w:spacing w:val="-4"/>
          <w:sz w:val="20"/>
          <w:szCs w:val="20"/>
        </w:rPr>
        <w:t>(6)分布智能。分布式人工智能(Distributed Artificial Inte</w:t>
      </w:r>
      <w:r>
        <w:rPr>
          <w:spacing w:val="-5"/>
          <w:sz w:val="20"/>
          <w:szCs w:val="20"/>
        </w:rPr>
        <w:t>lligence,DAI)是随着计算机网</w:t>
      </w:r>
      <w:r>
        <w:rPr>
          <w:sz w:val="20"/>
          <w:szCs w:val="20"/>
        </w:rPr>
        <w:t xml:space="preserve"> </w:t>
      </w:r>
      <w:r>
        <w:rPr>
          <w:spacing w:val="3"/>
          <w:sz w:val="20"/>
          <w:szCs w:val="20"/>
        </w:rPr>
        <w:t>络、计算机通信和并发程序设计技术发展起来的新的人工</w:t>
      </w:r>
      <w:r>
        <w:rPr>
          <w:spacing w:val="2"/>
          <w:sz w:val="20"/>
          <w:szCs w:val="20"/>
        </w:rPr>
        <w:t>智能研究领域。它主要研究在逻辑上</w:t>
      </w:r>
      <w:r>
        <w:rPr>
          <w:sz w:val="20"/>
          <w:szCs w:val="20"/>
        </w:rPr>
        <w:t xml:space="preserve"> </w:t>
      </w:r>
      <w:r>
        <w:rPr>
          <w:spacing w:val="3"/>
          <w:sz w:val="20"/>
          <w:szCs w:val="20"/>
        </w:rPr>
        <w:t>或物理上分布的智能系统之间如何相互协调各自的智能行为，实现问题的并行求解。分布式人</w:t>
      </w:r>
      <w:r>
        <w:rPr>
          <w:spacing w:val="4"/>
          <w:sz w:val="20"/>
          <w:szCs w:val="20"/>
        </w:rPr>
        <w:t xml:space="preserve"> </w:t>
      </w:r>
      <w:r>
        <w:rPr>
          <w:spacing w:val="-2"/>
          <w:sz w:val="20"/>
          <w:szCs w:val="20"/>
        </w:rPr>
        <w:t>工智能的研究目前有两个主要方向，一个是分布式问题求解，另一个是多代理系统。</w:t>
      </w:r>
    </w:p>
    <w:p w14:paraId="0BE04D8B">
      <w:pPr>
        <w:pStyle w:val="2"/>
        <w:spacing w:before="74" w:line="270" w:lineRule="auto"/>
        <w:ind w:right="257" w:firstLine="389"/>
        <w:rPr>
          <w:sz w:val="20"/>
          <w:szCs w:val="20"/>
        </w:rPr>
      </w:pPr>
      <w:r>
        <w:rPr>
          <w:spacing w:val="6"/>
          <w:sz w:val="20"/>
          <w:szCs w:val="20"/>
        </w:rPr>
        <w:t>(7)智能系统。智能系统可以泛指各种具有智能特征</w:t>
      </w:r>
      <w:r>
        <w:rPr>
          <w:spacing w:val="5"/>
          <w:sz w:val="20"/>
          <w:szCs w:val="20"/>
        </w:rPr>
        <w:t>和功能的软硬件系统。前面所讨论的</w:t>
      </w:r>
      <w:r>
        <w:rPr>
          <w:sz w:val="20"/>
          <w:szCs w:val="20"/>
        </w:rPr>
        <w:t xml:space="preserve"> </w:t>
      </w:r>
      <w:r>
        <w:rPr>
          <w:spacing w:val="3"/>
          <w:sz w:val="20"/>
          <w:szCs w:val="20"/>
        </w:rPr>
        <w:t>研究内容几乎都能以智能系统的形式出现，例如智能控制系统、智能检索系统、</w:t>
      </w:r>
      <w:r>
        <w:rPr>
          <w:spacing w:val="2"/>
          <w:sz w:val="20"/>
          <w:szCs w:val="20"/>
        </w:rPr>
        <w:t>专家系统和智</w:t>
      </w:r>
      <w:r>
        <w:rPr>
          <w:sz w:val="20"/>
          <w:szCs w:val="20"/>
        </w:rPr>
        <w:t xml:space="preserve"> </w:t>
      </w:r>
      <w:r>
        <w:rPr>
          <w:spacing w:val="-5"/>
          <w:sz w:val="20"/>
          <w:szCs w:val="20"/>
        </w:rPr>
        <w:t>能决策支持系统等。</w:t>
      </w:r>
    </w:p>
    <w:p w14:paraId="5442563C">
      <w:pPr>
        <w:pStyle w:val="2"/>
        <w:spacing w:before="71" w:line="267" w:lineRule="auto"/>
        <w:ind w:right="226" w:firstLine="389"/>
        <w:rPr>
          <w:sz w:val="20"/>
          <w:szCs w:val="20"/>
        </w:rPr>
      </w:pPr>
      <w:r>
        <w:rPr>
          <w:spacing w:val="5"/>
          <w:sz w:val="20"/>
          <w:szCs w:val="20"/>
        </w:rPr>
        <w:t>(8)人工心理和人工情感。在人类神经系统中，智能并不是一个孤立现象，它往往和心理</w:t>
      </w:r>
      <w:r>
        <w:rPr>
          <w:spacing w:val="15"/>
          <w:sz w:val="20"/>
          <w:szCs w:val="20"/>
        </w:rPr>
        <w:t xml:space="preserve"> </w:t>
      </w:r>
      <w:r>
        <w:rPr>
          <w:spacing w:val="4"/>
          <w:sz w:val="20"/>
          <w:szCs w:val="20"/>
        </w:rPr>
        <w:t>与情感联系在一起。心理学的研究结果表明，心理和情感会</w:t>
      </w:r>
      <w:r>
        <w:rPr>
          <w:spacing w:val="3"/>
          <w:sz w:val="20"/>
          <w:szCs w:val="20"/>
        </w:rPr>
        <w:t>影响人的认知，即影响人的思维，</w:t>
      </w:r>
      <w:r>
        <w:rPr>
          <w:sz w:val="20"/>
          <w:szCs w:val="20"/>
        </w:rPr>
        <w:t xml:space="preserve"> </w:t>
      </w:r>
      <w:r>
        <w:rPr>
          <w:spacing w:val="-2"/>
          <w:sz w:val="20"/>
          <w:szCs w:val="20"/>
        </w:rPr>
        <w:t>因此在研究人工智能的同时也应该开展对人工心理和人工情感的研究。</w:t>
      </w:r>
    </w:p>
    <w:p w14:paraId="78E994CF">
      <w:pPr>
        <w:pStyle w:val="2"/>
        <w:spacing w:before="181" w:line="212" w:lineRule="auto"/>
        <w:rPr>
          <w:rFonts w:ascii="Times New Roman" w:hAnsi="Times New Roman" w:eastAsia="Times New Roman" w:cs="Times New Roman"/>
          <w:sz w:val="26"/>
          <w:szCs w:val="26"/>
        </w:rPr>
      </w:pPr>
      <w:r>
        <w:rPr>
          <w:rFonts w:ascii="Times New Roman" w:hAnsi="Times New Roman" w:eastAsia="Times New Roman" w:cs="Times New Roman"/>
          <w:b/>
          <w:bCs/>
          <w:color w:val="0054B6"/>
          <w:spacing w:val="-3"/>
          <w:sz w:val="26"/>
          <w:szCs w:val="26"/>
        </w:rPr>
        <w:t xml:space="preserve">1.3.7   </w:t>
      </w:r>
      <w:r>
        <w:rPr>
          <w:b/>
          <w:bCs/>
          <w:color w:val="0054B6"/>
          <w:spacing w:val="-3"/>
          <w:sz w:val="26"/>
          <w:szCs w:val="26"/>
        </w:rPr>
        <w:t>虚拟现实</w:t>
      </w:r>
      <w:r>
        <w:rPr>
          <w:rFonts w:ascii="Times New Roman" w:hAnsi="Times New Roman" w:eastAsia="Times New Roman" w:cs="Times New Roman"/>
          <w:b/>
          <w:bCs/>
          <w:color w:val="0054B6"/>
          <w:spacing w:val="-3"/>
          <w:sz w:val="26"/>
          <w:szCs w:val="26"/>
        </w:rPr>
        <w:t>(VR)</w:t>
      </w:r>
      <w:r>
        <w:rPr>
          <w:rFonts w:ascii="Times New Roman" w:hAnsi="Times New Roman" w:eastAsia="Times New Roman" w:cs="Times New Roman"/>
          <w:b/>
          <w:bCs/>
          <w:color w:val="0054B6"/>
          <w:sz w:val="26"/>
          <w:szCs w:val="26"/>
        </w:rPr>
        <w:t xml:space="preserve">   </w:t>
      </w:r>
      <w:r>
        <w:rPr>
          <w:b/>
          <w:bCs/>
          <w:color w:val="0054B6"/>
          <w:spacing w:val="-3"/>
          <w:sz w:val="26"/>
          <w:szCs w:val="26"/>
        </w:rPr>
        <w:t>和增强现实</w:t>
      </w:r>
      <w:r>
        <w:rPr>
          <w:rFonts w:ascii="Times New Roman" w:hAnsi="Times New Roman" w:eastAsia="Times New Roman" w:cs="Times New Roman"/>
          <w:b/>
          <w:bCs/>
          <w:color w:val="0054B6"/>
          <w:spacing w:val="-3"/>
          <w:sz w:val="26"/>
          <w:szCs w:val="26"/>
        </w:rPr>
        <w:t>(AR)</w:t>
      </w:r>
    </w:p>
    <w:p w14:paraId="410C5982">
      <w:pPr>
        <w:pStyle w:val="2"/>
        <w:spacing w:before="282" w:line="223" w:lineRule="auto"/>
        <w:ind w:left="392"/>
        <w:rPr>
          <w:rFonts w:ascii="黑体" w:hAnsi="黑体" w:eastAsia="黑体" w:cs="黑体"/>
          <w:sz w:val="20"/>
          <w:szCs w:val="20"/>
        </w:rPr>
      </w:pPr>
      <w:r>
        <w:rPr>
          <w:b/>
          <w:bCs/>
          <w:color w:val="1884F1"/>
          <w:spacing w:val="-6"/>
          <w:sz w:val="20"/>
          <w:szCs w:val="20"/>
        </w:rPr>
        <w:t>1.VR/AR</w:t>
      </w:r>
      <w:r>
        <w:rPr>
          <w:color w:val="1884F1"/>
          <w:spacing w:val="95"/>
          <w:sz w:val="20"/>
          <w:szCs w:val="20"/>
        </w:rPr>
        <w:t xml:space="preserve"> </w:t>
      </w:r>
      <w:r>
        <w:rPr>
          <w:rFonts w:ascii="黑体" w:hAnsi="黑体" w:eastAsia="黑体" w:cs="黑体"/>
          <w:b/>
          <w:bCs/>
          <w:color w:val="1884F1"/>
          <w:spacing w:val="-6"/>
          <w:sz w:val="20"/>
          <w:szCs w:val="20"/>
        </w:rPr>
        <w:t>的定义</w:t>
      </w:r>
    </w:p>
    <w:p w14:paraId="4E68C875">
      <w:pPr>
        <w:pStyle w:val="2"/>
        <w:spacing w:before="140" w:line="277" w:lineRule="auto"/>
        <w:ind w:right="249" w:firstLine="389"/>
        <w:jc w:val="both"/>
        <w:rPr>
          <w:sz w:val="20"/>
          <w:szCs w:val="20"/>
        </w:rPr>
      </w:pPr>
      <w:r>
        <w:rPr>
          <w:spacing w:val="3"/>
          <w:sz w:val="20"/>
          <w:szCs w:val="20"/>
        </w:rPr>
        <w:t>虚拟现实是指用户完全沉浸在计算机生成的虚拟环境中，并在很大程度上隔离其物理环境</w:t>
      </w:r>
      <w:r>
        <w:rPr>
          <w:sz w:val="20"/>
          <w:szCs w:val="20"/>
        </w:rPr>
        <w:t xml:space="preserve"> </w:t>
      </w:r>
      <w:r>
        <w:rPr>
          <w:spacing w:val="3"/>
          <w:sz w:val="20"/>
          <w:szCs w:val="20"/>
        </w:rPr>
        <w:t>的封闭式体验。其关键要素是沉浸感、交互性、假想性，需要设计并营造出虚拟场景，使用户</w:t>
      </w:r>
      <w:r>
        <w:rPr>
          <w:spacing w:val="2"/>
          <w:sz w:val="20"/>
          <w:szCs w:val="20"/>
        </w:rPr>
        <w:t xml:space="preserve"> </w:t>
      </w:r>
      <w:r>
        <w:rPr>
          <w:spacing w:val="-3"/>
          <w:sz w:val="20"/>
          <w:szCs w:val="20"/>
        </w:rPr>
        <w:t>与虚拟场景中的内容发生实时交互。</w:t>
      </w:r>
    </w:p>
    <w:p w14:paraId="442286E6">
      <w:pPr>
        <w:pStyle w:val="2"/>
        <w:spacing w:before="38" w:line="272" w:lineRule="auto"/>
        <w:ind w:right="176" w:firstLine="389"/>
        <w:jc w:val="both"/>
        <w:rPr>
          <w:sz w:val="20"/>
          <w:szCs w:val="20"/>
        </w:rPr>
      </w:pPr>
      <w:r>
        <w:rPr>
          <w:spacing w:val="4"/>
          <w:sz w:val="20"/>
          <w:szCs w:val="20"/>
        </w:rPr>
        <w:t>增强现实则强调虚拟信息与现实环境的融合，</w:t>
      </w:r>
      <w:r>
        <w:rPr>
          <w:spacing w:val="3"/>
          <w:sz w:val="20"/>
          <w:szCs w:val="20"/>
        </w:rPr>
        <w:t>用户可以直接或间接观察真实场景，数字元</w:t>
      </w:r>
      <w:r>
        <w:rPr>
          <w:sz w:val="20"/>
          <w:szCs w:val="20"/>
        </w:rPr>
        <w:t xml:space="preserve"> </w:t>
      </w:r>
      <w:r>
        <w:rPr>
          <w:spacing w:val="5"/>
          <w:sz w:val="20"/>
          <w:szCs w:val="20"/>
        </w:rPr>
        <w:t>素叠加到现实世界的对象和背景上。简单地说，</w:t>
      </w:r>
      <w:r>
        <w:rPr>
          <w:rFonts w:ascii="Times New Roman" w:hAnsi="Times New Roman" w:eastAsia="Times New Roman" w:cs="Times New Roman"/>
          <w:sz w:val="20"/>
          <w:szCs w:val="20"/>
        </w:rPr>
        <w:t>AR</w:t>
      </w:r>
      <w:r>
        <w:rPr>
          <w:rFonts w:ascii="Times New Roman" w:hAnsi="Times New Roman" w:eastAsia="Times New Roman" w:cs="Times New Roman"/>
          <w:spacing w:val="5"/>
          <w:sz w:val="20"/>
          <w:szCs w:val="20"/>
        </w:rPr>
        <w:t xml:space="preserve"> </w:t>
      </w:r>
      <w:r>
        <w:rPr>
          <w:spacing w:val="5"/>
          <w:sz w:val="20"/>
          <w:szCs w:val="20"/>
        </w:rPr>
        <w:t>就是对现实场景进行补充，但不完全取代</w:t>
      </w:r>
      <w:r>
        <w:rPr>
          <w:spacing w:val="1"/>
          <w:sz w:val="20"/>
          <w:szCs w:val="20"/>
        </w:rPr>
        <w:t xml:space="preserve"> </w:t>
      </w:r>
      <w:r>
        <w:rPr>
          <w:spacing w:val="3"/>
          <w:sz w:val="20"/>
          <w:szCs w:val="20"/>
        </w:rPr>
        <w:t>现实场景，通过虚实融合来增强用户对真实环境的理解和</w:t>
      </w:r>
      <w:r>
        <w:rPr>
          <w:spacing w:val="2"/>
          <w:sz w:val="20"/>
          <w:szCs w:val="20"/>
        </w:rPr>
        <w:t>感受，以此来达到“增强”效果。其</w:t>
      </w:r>
      <w:r>
        <w:rPr>
          <w:sz w:val="20"/>
          <w:szCs w:val="20"/>
        </w:rPr>
        <w:t xml:space="preserve">  关键要素是现场感、增强性和相关性，即直接显示真实世界现场，对显示内容增加图像、声音、 </w:t>
      </w:r>
      <w:r>
        <w:rPr>
          <w:spacing w:val="-1"/>
          <w:sz w:val="20"/>
          <w:szCs w:val="20"/>
        </w:rPr>
        <w:t>视频等信息，并保证增加的内容和现场在位置、内容、时间等方面具有相关度。</w:t>
      </w:r>
    </w:p>
    <w:p w14:paraId="07B1E314">
      <w:pPr>
        <w:pStyle w:val="2"/>
        <w:spacing w:before="155" w:line="222" w:lineRule="auto"/>
        <w:ind w:left="392"/>
        <w:rPr>
          <w:rFonts w:ascii="黑体" w:hAnsi="黑体" w:eastAsia="黑体" w:cs="黑体"/>
          <w:sz w:val="20"/>
          <w:szCs w:val="20"/>
        </w:rPr>
      </w:pPr>
      <w:r>
        <w:rPr>
          <w:b/>
          <w:bCs/>
          <w:color w:val="0054B6"/>
          <w:spacing w:val="-3"/>
          <w:sz w:val="20"/>
          <w:szCs w:val="20"/>
        </w:rPr>
        <w:t>2.VR/AR</w:t>
      </w:r>
      <w:r>
        <w:rPr>
          <w:color w:val="0054B6"/>
          <w:spacing w:val="81"/>
          <w:sz w:val="20"/>
          <w:szCs w:val="20"/>
        </w:rPr>
        <w:t xml:space="preserve"> </w:t>
      </w:r>
      <w:r>
        <w:rPr>
          <w:rFonts w:ascii="黑体" w:hAnsi="黑体" w:eastAsia="黑体" w:cs="黑体"/>
          <w:b/>
          <w:bCs/>
          <w:color w:val="0054B6"/>
          <w:spacing w:val="-3"/>
          <w:sz w:val="20"/>
          <w:szCs w:val="20"/>
        </w:rPr>
        <w:t>的区别</w:t>
      </w:r>
    </w:p>
    <w:p w14:paraId="568775E0">
      <w:pPr>
        <w:pStyle w:val="2"/>
        <w:spacing w:before="114" w:line="282" w:lineRule="auto"/>
        <w:ind w:right="268" w:firstLine="389"/>
        <w:rPr>
          <w:sz w:val="20"/>
          <w:szCs w:val="20"/>
        </w:rPr>
      </w:pPr>
      <w:r>
        <w:rPr>
          <w:rFonts w:ascii="Times New Roman" w:hAnsi="Times New Roman" w:eastAsia="Times New Roman" w:cs="Times New Roman"/>
          <w:b/>
          <w:bCs/>
          <w:sz w:val="20"/>
          <w:szCs w:val="20"/>
        </w:rPr>
        <w:t>VR</w:t>
      </w:r>
      <w:r>
        <w:rPr>
          <w:b/>
          <w:bCs/>
          <w:spacing w:val="3"/>
          <w:sz w:val="20"/>
          <w:szCs w:val="20"/>
        </w:rPr>
        <w:t>和</w:t>
      </w:r>
      <w:r>
        <w:rPr>
          <w:spacing w:val="-27"/>
          <w:sz w:val="20"/>
          <w:szCs w:val="20"/>
        </w:rPr>
        <w:t xml:space="preserve"> </w:t>
      </w:r>
      <w:r>
        <w:rPr>
          <w:rFonts w:ascii="Times New Roman" w:hAnsi="Times New Roman" w:eastAsia="Times New Roman" w:cs="Times New Roman"/>
          <w:b/>
          <w:bCs/>
          <w:sz w:val="20"/>
          <w:szCs w:val="20"/>
        </w:rPr>
        <w:t>AR</w:t>
      </w:r>
      <w:r>
        <w:rPr>
          <w:rFonts w:ascii="Times New Roman" w:hAnsi="Times New Roman" w:eastAsia="Times New Roman" w:cs="Times New Roman"/>
          <w:b/>
          <w:bCs/>
          <w:spacing w:val="3"/>
          <w:sz w:val="20"/>
          <w:szCs w:val="20"/>
        </w:rPr>
        <w:t xml:space="preserve"> </w:t>
      </w:r>
      <w:r>
        <w:rPr>
          <w:spacing w:val="3"/>
          <w:sz w:val="20"/>
          <w:szCs w:val="20"/>
        </w:rPr>
        <w:t>在定义、体验、设备、图像、应用五个方面的区别如表1-3所示，具体主要表现</w:t>
      </w:r>
      <w:r>
        <w:rPr>
          <w:sz w:val="20"/>
          <w:szCs w:val="20"/>
        </w:rPr>
        <w:t xml:space="preserve"> </w:t>
      </w:r>
      <w:r>
        <w:rPr>
          <w:spacing w:val="-2"/>
          <w:sz w:val="20"/>
          <w:szCs w:val="20"/>
        </w:rPr>
        <w:t>为设备区别、技术区别和应用场景区别三个方面。</w:t>
      </w:r>
    </w:p>
    <w:p w14:paraId="36DB262B">
      <w:pPr>
        <w:spacing w:line="282" w:lineRule="auto"/>
        <w:rPr>
          <w:sz w:val="20"/>
          <w:szCs w:val="20"/>
        </w:rPr>
        <w:sectPr>
          <w:pgSz w:w="10320" w:h="13300"/>
          <w:pgMar w:top="400" w:right="603" w:bottom="400" w:left="1140" w:header="0" w:footer="0" w:gutter="0"/>
          <w:cols w:space="720" w:num="1"/>
        </w:sectPr>
      </w:pPr>
    </w:p>
    <w:p w14:paraId="1B2C29CB">
      <w:pPr>
        <w:pStyle w:val="2"/>
        <w:rPr>
          <w:sz w:val="20"/>
          <w:szCs w:val="20"/>
        </w:rPr>
      </w:pPr>
      <w:r>
        <w:rPr>
          <w:rFonts w:ascii="Times New Roman" w:hAnsi="Times New Roman" w:eastAsia="Times New Roman" w:cs="Times New Roman"/>
          <w:spacing w:val="-3"/>
          <w:position w:val="-2"/>
          <w:sz w:val="20"/>
          <w:szCs w:val="20"/>
        </w:rPr>
        <w:t>26</w:t>
      </w:r>
      <w:r>
        <w:rPr>
          <w:rFonts w:ascii="Times New Roman" w:hAnsi="Times New Roman" w:eastAsia="Times New Roman" w:cs="Times New Roman"/>
          <w:spacing w:val="21"/>
          <w:w w:val="101"/>
          <w:position w:val="-2"/>
          <w:sz w:val="20"/>
          <w:szCs w:val="20"/>
        </w:rPr>
        <w:t xml:space="preserve"> </w:t>
      </w:r>
      <w:r>
        <w:rPr>
          <w:position w:val="-10"/>
          <w:sz w:val="20"/>
          <w:szCs w:val="20"/>
        </w:rPr>
        <w:drawing>
          <wp:inline distT="0" distB="0" distL="0" distR="0">
            <wp:extent cx="310515" cy="24701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0"/>
                    <a:stretch>
                      <a:fillRect/>
                    </a:stretch>
                  </pic:blipFill>
                  <pic:spPr>
                    <a:xfrm>
                      <a:off x="0" y="0"/>
                      <a:ext cx="311145" cy="247625"/>
                    </a:xfrm>
                    <a:prstGeom prst="rect">
                      <a:avLst/>
                    </a:prstGeom>
                  </pic:spPr>
                </pic:pic>
              </a:graphicData>
            </a:graphic>
          </wp:inline>
        </w:drawing>
      </w:r>
      <w:r>
        <w:rPr>
          <w:rFonts w:ascii="Times New Roman" w:hAnsi="Times New Roman" w:eastAsia="Times New Roman" w:cs="Times New Roman"/>
          <w:spacing w:val="25"/>
          <w:position w:val="-2"/>
          <w:sz w:val="20"/>
          <w:szCs w:val="20"/>
        </w:rPr>
        <w:t xml:space="preserve">  </w:t>
      </w:r>
      <w:r>
        <w:rPr>
          <w:spacing w:val="-3"/>
          <w:sz w:val="20"/>
          <w:szCs w:val="20"/>
        </w:rPr>
        <w:t>信息系统监理师教程(第2版)</w:t>
      </w:r>
    </w:p>
    <w:p w14:paraId="3283C82C">
      <w:pPr>
        <w:spacing w:line="257" w:lineRule="auto"/>
        <w:rPr>
          <w:rFonts w:ascii="Arial"/>
          <w:sz w:val="21"/>
        </w:rPr>
      </w:pPr>
    </w:p>
    <w:p w14:paraId="460EDC1D">
      <w:pPr>
        <w:pStyle w:val="2"/>
        <w:spacing w:before="65" w:line="222" w:lineRule="auto"/>
        <w:ind w:left="3462"/>
        <w:rPr>
          <w:rFonts w:ascii="黑体" w:hAnsi="黑体" w:eastAsia="黑体" w:cs="黑体"/>
          <w:sz w:val="20"/>
          <w:szCs w:val="20"/>
        </w:rPr>
      </w:pPr>
      <w:bookmarkStart w:id="493" w:name="bookmark480"/>
      <w:bookmarkEnd w:id="493"/>
      <w:r>
        <w:rPr>
          <w:rFonts w:ascii="黑体" w:hAnsi="黑体" w:eastAsia="黑体" w:cs="黑体"/>
          <w:b/>
          <w:bCs/>
          <w:spacing w:val="-3"/>
          <w:sz w:val="20"/>
          <w:szCs w:val="20"/>
        </w:rPr>
        <w:t>表1-3</w:t>
      </w:r>
      <w:r>
        <w:rPr>
          <w:rFonts w:ascii="黑体" w:hAnsi="黑体" w:eastAsia="黑体" w:cs="黑体"/>
          <w:spacing w:val="53"/>
          <w:sz w:val="20"/>
          <w:szCs w:val="20"/>
        </w:rPr>
        <w:t xml:space="preserve"> </w:t>
      </w:r>
      <w:r>
        <w:rPr>
          <w:b/>
          <w:bCs/>
          <w:spacing w:val="-3"/>
          <w:sz w:val="20"/>
          <w:szCs w:val="20"/>
        </w:rPr>
        <w:t>VR</w:t>
      </w:r>
      <w:r>
        <w:rPr>
          <w:spacing w:val="-3"/>
          <w:sz w:val="20"/>
          <w:szCs w:val="20"/>
        </w:rPr>
        <w:t xml:space="preserve"> </w:t>
      </w:r>
      <w:r>
        <w:rPr>
          <w:rFonts w:ascii="黑体" w:hAnsi="黑体" w:eastAsia="黑体" w:cs="黑体"/>
          <w:b/>
          <w:bCs/>
          <w:spacing w:val="-3"/>
          <w:sz w:val="20"/>
          <w:szCs w:val="20"/>
        </w:rPr>
        <w:t>与</w:t>
      </w:r>
      <w:r>
        <w:rPr>
          <w:b/>
          <w:bCs/>
          <w:spacing w:val="-3"/>
          <w:sz w:val="20"/>
          <w:szCs w:val="20"/>
        </w:rPr>
        <w:t>AR</w:t>
      </w:r>
      <w:r>
        <w:rPr>
          <w:spacing w:val="-3"/>
          <w:sz w:val="20"/>
          <w:szCs w:val="20"/>
        </w:rPr>
        <w:t xml:space="preserve"> </w:t>
      </w:r>
      <w:r>
        <w:rPr>
          <w:rFonts w:ascii="黑体" w:hAnsi="黑体" w:eastAsia="黑体" w:cs="黑体"/>
          <w:b/>
          <w:bCs/>
          <w:spacing w:val="-3"/>
          <w:sz w:val="20"/>
          <w:szCs w:val="20"/>
        </w:rPr>
        <w:t>的区别</w:t>
      </w:r>
    </w:p>
    <w:p w14:paraId="4125B13C">
      <w:pPr>
        <w:spacing w:line="110" w:lineRule="exact"/>
      </w:pPr>
    </w:p>
    <w:tbl>
      <w:tblPr>
        <w:tblStyle w:val="5"/>
        <w:tblW w:w="8310" w:type="dxa"/>
        <w:tblInd w:w="3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0"/>
        <w:gridCol w:w="3680"/>
        <w:gridCol w:w="3680"/>
      </w:tblGrid>
      <w:tr w14:paraId="19CE5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50" w:type="dxa"/>
            <w:tcBorders>
              <w:left w:val="nil"/>
            </w:tcBorders>
            <w:vAlign w:val="top"/>
          </w:tcPr>
          <w:p w14:paraId="0FE2AE9A">
            <w:pPr>
              <w:pStyle w:val="6"/>
              <w:spacing w:before="80" w:line="220" w:lineRule="auto"/>
              <w:ind w:left="282"/>
            </w:pPr>
            <w:r>
              <w:rPr>
                <w:b/>
                <w:bCs/>
                <w:spacing w:val="13"/>
              </w:rPr>
              <w:t>项目</w:t>
            </w:r>
          </w:p>
        </w:tc>
        <w:tc>
          <w:tcPr>
            <w:tcW w:w="3680" w:type="dxa"/>
            <w:vAlign w:val="top"/>
          </w:tcPr>
          <w:p w14:paraId="0C9734EA">
            <w:pPr>
              <w:pStyle w:val="6"/>
              <w:spacing w:before="132" w:line="182" w:lineRule="auto"/>
              <w:ind w:left="1717"/>
            </w:pPr>
            <w:r>
              <w:rPr>
                <w:b/>
                <w:bCs/>
                <w:spacing w:val="-3"/>
              </w:rPr>
              <w:t>VR</w:t>
            </w:r>
          </w:p>
        </w:tc>
        <w:tc>
          <w:tcPr>
            <w:tcW w:w="3680" w:type="dxa"/>
            <w:tcBorders>
              <w:right w:val="nil"/>
            </w:tcBorders>
            <w:vAlign w:val="top"/>
          </w:tcPr>
          <w:p w14:paraId="3E6B3821">
            <w:pPr>
              <w:pStyle w:val="6"/>
              <w:spacing w:before="130" w:line="184" w:lineRule="auto"/>
              <w:ind w:left="1737"/>
            </w:pPr>
            <w:r>
              <w:rPr>
                <w:b/>
                <w:bCs/>
                <w:spacing w:val="-3"/>
              </w:rPr>
              <w:t>AR</w:t>
            </w:r>
          </w:p>
        </w:tc>
      </w:tr>
      <w:tr w14:paraId="584AC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7" w:hRule="atLeast"/>
        </w:trPr>
        <w:tc>
          <w:tcPr>
            <w:tcW w:w="950" w:type="dxa"/>
            <w:tcBorders>
              <w:left w:val="nil"/>
            </w:tcBorders>
            <w:vAlign w:val="top"/>
          </w:tcPr>
          <w:p w14:paraId="054BB8C3">
            <w:pPr>
              <w:spacing w:line="405" w:lineRule="auto"/>
              <w:rPr>
                <w:rFonts w:ascii="Arial"/>
                <w:sz w:val="21"/>
              </w:rPr>
            </w:pPr>
          </w:p>
          <w:p w14:paraId="7E73AF29">
            <w:pPr>
              <w:pStyle w:val="6"/>
              <w:spacing w:before="61" w:line="220" w:lineRule="auto"/>
              <w:ind w:left="280"/>
            </w:pPr>
            <w:r>
              <w:rPr>
                <w:spacing w:val="4"/>
              </w:rPr>
              <w:t>定义</w:t>
            </w:r>
          </w:p>
        </w:tc>
        <w:tc>
          <w:tcPr>
            <w:tcW w:w="3680" w:type="dxa"/>
            <w:vAlign w:val="top"/>
          </w:tcPr>
          <w:p w14:paraId="7296C0FE">
            <w:pPr>
              <w:spacing w:line="275" w:lineRule="auto"/>
              <w:rPr>
                <w:rFonts w:ascii="Arial"/>
                <w:sz w:val="21"/>
              </w:rPr>
            </w:pPr>
          </w:p>
          <w:p w14:paraId="17BC06BD">
            <w:pPr>
              <w:pStyle w:val="6"/>
              <w:spacing w:before="62" w:line="260" w:lineRule="auto"/>
              <w:ind w:left="64" w:right="33" w:hanging="30"/>
            </w:pPr>
            <w:r>
              <w:rPr>
                <w:spacing w:val="-1"/>
              </w:rPr>
              <w:t>利用计算机生成一种虚拟环境，使用户沉浸</w:t>
            </w:r>
            <w:r>
              <w:rPr>
                <w:spacing w:val="9"/>
              </w:rPr>
              <w:t xml:space="preserve"> </w:t>
            </w:r>
            <w:r>
              <w:rPr>
                <w:spacing w:val="4"/>
              </w:rPr>
              <w:t>到该环境中</w:t>
            </w:r>
          </w:p>
        </w:tc>
        <w:tc>
          <w:tcPr>
            <w:tcW w:w="3680" w:type="dxa"/>
            <w:tcBorders>
              <w:right w:val="nil"/>
            </w:tcBorders>
            <w:vAlign w:val="top"/>
          </w:tcPr>
          <w:p w14:paraId="026D3713">
            <w:pPr>
              <w:pStyle w:val="6"/>
              <w:spacing w:before="79" w:line="252" w:lineRule="auto"/>
              <w:ind w:left="24" w:right="25"/>
              <w:jc w:val="both"/>
            </w:pPr>
            <w:r>
              <w:t>原本在现实世界的空间范围中比较难以进行</w:t>
            </w:r>
            <w:r>
              <w:rPr>
                <w:spacing w:val="8"/>
              </w:rPr>
              <w:t xml:space="preserve"> </w:t>
            </w:r>
            <w:r>
              <w:rPr>
                <w:spacing w:val="-1"/>
              </w:rPr>
              <w:t>体验的实体信息在计算机等科学技术的基础</w:t>
            </w:r>
            <w:r>
              <w:rPr>
                <w:spacing w:val="10"/>
              </w:rPr>
              <w:t xml:space="preserve"> </w:t>
            </w:r>
            <w:r>
              <w:t>上实施模拟仿真处理，将虚拟信息内容叠加</w:t>
            </w:r>
            <w:r>
              <w:rPr>
                <w:spacing w:val="13"/>
              </w:rPr>
              <w:t xml:space="preserve"> </w:t>
            </w:r>
            <w:r>
              <w:rPr>
                <w:spacing w:val="3"/>
              </w:rPr>
              <w:t>在现实世界中加以有效应用</w:t>
            </w:r>
          </w:p>
        </w:tc>
      </w:tr>
      <w:tr w14:paraId="76BB8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950" w:type="dxa"/>
            <w:tcBorders>
              <w:left w:val="nil"/>
            </w:tcBorders>
            <w:vAlign w:val="top"/>
          </w:tcPr>
          <w:p w14:paraId="54052DF8">
            <w:pPr>
              <w:pStyle w:val="6"/>
              <w:spacing w:before="192" w:line="221" w:lineRule="auto"/>
              <w:ind w:left="280"/>
            </w:pPr>
            <w:r>
              <w:rPr>
                <w:spacing w:val="-2"/>
              </w:rPr>
              <w:t>体验</w:t>
            </w:r>
          </w:p>
        </w:tc>
        <w:tc>
          <w:tcPr>
            <w:tcW w:w="3680" w:type="dxa"/>
            <w:vAlign w:val="top"/>
          </w:tcPr>
          <w:p w14:paraId="67F1729C">
            <w:pPr>
              <w:pStyle w:val="6"/>
              <w:spacing w:before="82" w:line="231" w:lineRule="auto"/>
              <w:ind w:left="65" w:right="211" w:hanging="20"/>
            </w:pPr>
            <w:r>
              <w:rPr>
                <w:spacing w:val="-1"/>
              </w:rPr>
              <w:t>封闭式、沉浸式体验，用户与VR世界实时</w:t>
            </w:r>
            <w:r>
              <w:rPr>
                <w:spacing w:val="11"/>
              </w:rPr>
              <w:t xml:space="preserve"> </w:t>
            </w:r>
            <w:r>
              <w:rPr>
                <w:spacing w:val="-3"/>
              </w:rPr>
              <w:t>交互</w:t>
            </w:r>
          </w:p>
        </w:tc>
        <w:tc>
          <w:tcPr>
            <w:tcW w:w="3680" w:type="dxa"/>
            <w:tcBorders>
              <w:right w:val="nil"/>
            </w:tcBorders>
            <w:vAlign w:val="top"/>
          </w:tcPr>
          <w:p w14:paraId="25A3D3B2">
            <w:pPr>
              <w:pStyle w:val="6"/>
              <w:spacing w:before="80" w:line="232" w:lineRule="auto"/>
              <w:ind w:left="44" w:right="47" w:hanging="20"/>
            </w:pPr>
            <w:r>
              <w:rPr>
                <w:spacing w:val="-1"/>
              </w:rPr>
              <w:t>通过将虚拟信息叠加在现实世界，用户处于</w:t>
            </w:r>
            <w:r>
              <w:rPr>
                <w:spacing w:val="10"/>
              </w:rPr>
              <w:t xml:space="preserve"> </w:t>
            </w:r>
            <w:r>
              <w:rPr>
                <w:spacing w:val="1"/>
              </w:rPr>
              <w:t>现实与虚拟世界的交互中</w:t>
            </w:r>
          </w:p>
        </w:tc>
      </w:tr>
      <w:tr w14:paraId="775F9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950" w:type="dxa"/>
            <w:tcBorders>
              <w:left w:val="nil"/>
            </w:tcBorders>
            <w:vAlign w:val="top"/>
          </w:tcPr>
          <w:p w14:paraId="075CF6A5">
            <w:pPr>
              <w:pStyle w:val="6"/>
              <w:spacing w:before="194" w:line="221" w:lineRule="auto"/>
              <w:ind w:left="280"/>
            </w:pPr>
            <w:r>
              <w:rPr>
                <w:spacing w:val="-3"/>
              </w:rPr>
              <w:t>设备</w:t>
            </w:r>
          </w:p>
        </w:tc>
        <w:tc>
          <w:tcPr>
            <w:tcW w:w="3680" w:type="dxa"/>
            <w:vAlign w:val="top"/>
          </w:tcPr>
          <w:p w14:paraId="1142F939">
            <w:pPr>
              <w:pStyle w:val="6"/>
              <w:spacing w:before="74" w:line="235" w:lineRule="auto"/>
              <w:ind w:left="65" w:right="2"/>
            </w:pPr>
            <w:r>
              <w:rPr>
                <w:spacing w:val="-1"/>
              </w:rPr>
              <w:t>配备定位追踪设备、软件编码设备、交互设</w:t>
            </w:r>
            <w:r>
              <w:rPr>
                <w:spacing w:val="10"/>
              </w:rPr>
              <w:t xml:space="preserve"> </w:t>
            </w:r>
            <w:r>
              <w:rPr>
                <w:spacing w:val="1"/>
              </w:rPr>
              <w:t>备，用于与虚拟场景互动</w:t>
            </w:r>
          </w:p>
        </w:tc>
        <w:tc>
          <w:tcPr>
            <w:tcW w:w="3680" w:type="dxa"/>
            <w:tcBorders>
              <w:right w:val="nil"/>
            </w:tcBorders>
            <w:vAlign w:val="top"/>
          </w:tcPr>
          <w:p w14:paraId="052E358B">
            <w:pPr>
              <w:pStyle w:val="6"/>
              <w:spacing w:before="63"/>
              <w:ind w:left="54" w:right="47" w:hanging="30"/>
            </w:pPr>
            <w:r>
              <w:rPr>
                <w:spacing w:val="-1"/>
              </w:rPr>
              <w:t>借助3D摄像头实现与现实的交互，带摄像头</w:t>
            </w:r>
            <w:r>
              <w:rPr>
                <w:spacing w:val="11"/>
              </w:rPr>
              <w:t xml:space="preserve"> </w:t>
            </w:r>
            <w:r>
              <w:t>的产品安装AR软件后均可进行AR体验</w:t>
            </w:r>
          </w:p>
        </w:tc>
      </w:tr>
      <w:tr w14:paraId="3F630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950" w:type="dxa"/>
            <w:tcBorders>
              <w:left w:val="nil"/>
            </w:tcBorders>
            <w:vAlign w:val="top"/>
          </w:tcPr>
          <w:p w14:paraId="77D08A37">
            <w:pPr>
              <w:pStyle w:val="6"/>
              <w:spacing w:before="195" w:line="219" w:lineRule="auto"/>
              <w:ind w:left="280"/>
            </w:pPr>
            <w:r>
              <w:rPr>
                <w:spacing w:val="4"/>
              </w:rPr>
              <w:t>图像</w:t>
            </w:r>
          </w:p>
        </w:tc>
        <w:tc>
          <w:tcPr>
            <w:tcW w:w="3680" w:type="dxa"/>
            <w:vAlign w:val="top"/>
          </w:tcPr>
          <w:p w14:paraId="39389A57">
            <w:pPr>
              <w:pStyle w:val="6"/>
              <w:spacing w:before="84" w:line="230" w:lineRule="auto"/>
              <w:ind w:left="65" w:firstLine="9"/>
            </w:pPr>
            <w:r>
              <w:rPr>
                <w:spacing w:val="-1"/>
              </w:rPr>
              <w:t>计算机生成虚拟图像，显示方面强调画面逼</w:t>
            </w:r>
            <w:r>
              <w:rPr>
                <w:spacing w:val="2"/>
              </w:rPr>
              <w:t xml:space="preserve"> </w:t>
            </w:r>
            <w:r>
              <w:rPr>
                <w:spacing w:val="-2"/>
              </w:rPr>
              <w:t>真、清晰度高</w:t>
            </w:r>
          </w:p>
        </w:tc>
        <w:tc>
          <w:tcPr>
            <w:tcW w:w="3680" w:type="dxa"/>
            <w:tcBorders>
              <w:right w:val="nil"/>
            </w:tcBorders>
            <w:vAlign w:val="top"/>
          </w:tcPr>
          <w:p w14:paraId="00146192">
            <w:pPr>
              <w:pStyle w:val="6"/>
              <w:spacing w:before="84" w:line="230" w:lineRule="auto"/>
              <w:ind w:left="44" w:right="47" w:hanging="20"/>
            </w:pPr>
            <w:r>
              <w:rPr>
                <w:spacing w:val="-1"/>
              </w:rPr>
              <w:t>计算机基于现实世界绘制虚拟图像，呈现方</w:t>
            </w:r>
            <w:r>
              <w:rPr>
                <w:spacing w:val="10"/>
              </w:rPr>
              <w:t xml:space="preserve"> </w:t>
            </w:r>
            <w:r>
              <w:rPr>
                <w:spacing w:val="-1"/>
              </w:rPr>
              <w:t>面强调与现实交互</w:t>
            </w:r>
          </w:p>
        </w:tc>
      </w:tr>
      <w:tr w14:paraId="363E0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950" w:type="dxa"/>
            <w:tcBorders>
              <w:left w:val="nil"/>
            </w:tcBorders>
            <w:vAlign w:val="top"/>
          </w:tcPr>
          <w:p w14:paraId="1EA3FDF1">
            <w:pPr>
              <w:pStyle w:val="6"/>
              <w:spacing w:before="88" w:line="221" w:lineRule="auto"/>
              <w:ind w:left="280"/>
            </w:pPr>
            <w:r>
              <w:rPr>
                <w:spacing w:val="11"/>
              </w:rPr>
              <w:t>应用</w:t>
            </w:r>
          </w:p>
        </w:tc>
        <w:tc>
          <w:tcPr>
            <w:tcW w:w="3680" w:type="dxa"/>
            <w:vAlign w:val="top"/>
          </w:tcPr>
          <w:p w14:paraId="13283249">
            <w:pPr>
              <w:pStyle w:val="6"/>
              <w:spacing w:before="86" w:line="219" w:lineRule="auto"/>
              <w:ind w:left="65"/>
            </w:pPr>
            <w:r>
              <w:rPr>
                <w:spacing w:val="-1"/>
              </w:rPr>
              <w:t>侧重于机器观摩、直播、社交等大众市场</w:t>
            </w:r>
          </w:p>
        </w:tc>
        <w:tc>
          <w:tcPr>
            <w:tcW w:w="3680" w:type="dxa"/>
            <w:tcBorders>
              <w:right w:val="nil"/>
            </w:tcBorders>
            <w:vAlign w:val="top"/>
          </w:tcPr>
          <w:p w14:paraId="0BEDC3AF">
            <w:pPr>
              <w:pStyle w:val="6"/>
              <w:spacing w:before="86" w:line="219" w:lineRule="auto"/>
              <w:ind w:left="35"/>
            </w:pPr>
            <w:r>
              <w:rPr>
                <w:spacing w:val="1"/>
              </w:rPr>
              <w:t>侧重于工业、军事等垂直应用</w:t>
            </w:r>
          </w:p>
        </w:tc>
      </w:tr>
    </w:tbl>
    <w:p w14:paraId="3240B594">
      <w:pPr>
        <w:pStyle w:val="2"/>
        <w:spacing w:before="243" w:line="270" w:lineRule="auto"/>
        <w:ind w:left="309" w:right="91" w:firstLine="380"/>
        <w:rPr>
          <w:sz w:val="20"/>
          <w:szCs w:val="20"/>
        </w:rPr>
      </w:pPr>
      <w:r>
        <w:rPr>
          <w:spacing w:val="4"/>
          <w:sz w:val="20"/>
          <w:szCs w:val="20"/>
        </w:rPr>
        <w:t>(1)设备区别。鉴于</w:t>
      </w:r>
      <w:r>
        <w:rPr>
          <w:rFonts w:ascii="Times New Roman" w:hAnsi="Times New Roman" w:eastAsia="Times New Roman" w:cs="Times New Roman"/>
          <w:sz w:val="20"/>
          <w:szCs w:val="20"/>
        </w:rPr>
        <w:t>VR</w:t>
      </w:r>
      <w:r>
        <w:rPr>
          <w:rFonts w:ascii="Times New Roman" w:hAnsi="Times New Roman" w:eastAsia="Times New Roman" w:cs="Times New Roman"/>
          <w:spacing w:val="4"/>
          <w:sz w:val="20"/>
          <w:szCs w:val="20"/>
        </w:rPr>
        <w:t xml:space="preserve"> </w:t>
      </w:r>
      <w:r>
        <w:rPr>
          <w:spacing w:val="4"/>
          <w:sz w:val="20"/>
          <w:szCs w:val="20"/>
        </w:rPr>
        <w:t>是纯虚拟场景，</w:t>
      </w:r>
      <w:r>
        <w:rPr>
          <w:rFonts w:ascii="Times New Roman" w:hAnsi="Times New Roman" w:eastAsia="Times New Roman" w:cs="Times New Roman"/>
          <w:sz w:val="20"/>
          <w:szCs w:val="20"/>
        </w:rPr>
        <w:t>VR</w:t>
      </w:r>
      <w:r>
        <w:rPr>
          <w:rFonts w:ascii="Times New Roman" w:hAnsi="Times New Roman" w:eastAsia="Times New Roman" w:cs="Times New Roman"/>
          <w:spacing w:val="4"/>
          <w:sz w:val="20"/>
          <w:szCs w:val="20"/>
        </w:rPr>
        <w:t xml:space="preserve"> </w:t>
      </w:r>
      <w:r>
        <w:rPr>
          <w:spacing w:val="4"/>
          <w:sz w:val="20"/>
          <w:szCs w:val="20"/>
        </w:rPr>
        <w:t>装备多配有位置追踪器、数据手套、动作捕捉</w:t>
      </w:r>
      <w:r>
        <w:rPr>
          <w:spacing w:val="5"/>
          <w:sz w:val="20"/>
          <w:szCs w:val="20"/>
        </w:rPr>
        <w:t xml:space="preserve"> </w:t>
      </w:r>
      <w:r>
        <w:rPr>
          <w:spacing w:val="4"/>
          <w:sz w:val="20"/>
          <w:szCs w:val="20"/>
        </w:rPr>
        <w:t>系统、数据头盔等，用于用户与虚拟场景的互动。而</w:t>
      </w:r>
      <w:r>
        <w:rPr>
          <w:rFonts w:ascii="Times New Roman" w:hAnsi="Times New Roman" w:eastAsia="Times New Roman" w:cs="Times New Roman"/>
          <w:sz w:val="20"/>
          <w:szCs w:val="20"/>
        </w:rPr>
        <w:t>AR</w:t>
      </w:r>
      <w:r>
        <w:rPr>
          <w:rFonts w:ascii="Times New Roman" w:hAnsi="Times New Roman" w:eastAsia="Times New Roman" w:cs="Times New Roman"/>
          <w:spacing w:val="4"/>
          <w:sz w:val="20"/>
          <w:szCs w:val="20"/>
        </w:rPr>
        <w:t xml:space="preserve"> </w:t>
      </w:r>
      <w:r>
        <w:rPr>
          <w:spacing w:val="4"/>
          <w:sz w:val="20"/>
          <w:szCs w:val="20"/>
        </w:rPr>
        <w:t>是虚拟与实景的结合，所以设备一般</w:t>
      </w:r>
      <w:r>
        <w:rPr>
          <w:spacing w:val="9"/>
          <w:sz w:val="20"/>
          <w:szCs w:val="20"/>
        </w:rPr>
        <w:t xml:space="preserve"> </w:t>
      </w:r>
      <w:r>
        <w:rPr>
          <w:spacing w:val="3"/>
          <w:sz w:val="20"/>
          <w:szCs w:val="20"/>
        </w:rPr>
        <w:t>都配有3</w:t>
      </w:r>
      <w:r>
        <w:rPr>
          <w:rFonts w:ascii="Times New Roman" w:hAnsi="Times New Roman" w:eastAsia="Times New Roman" w:cs="Times New Roman"/>
          <w:spacing w:val="3"/>
          <w:sz w:val="20"/>
          <w:szCs w:val="20"/>
        </w:rPr>
        <w:t>D</w:t>
      </w:r>
      <w:r>
        <w:rPr>
          <w:rFonts w:ascii="Times New Roman" w:hAnsi="Times New Roman" w:eastAsia="Times New Roman" w:cs="Times New Roman"/>
          <w:spacing w:val="-6"/>
          <w:sz w:val="20"/>
          <w:szCs w:val="20"/>
        </w:rPr>
        <w:t xml:space="preserve"> </w:t>
      </w:r>
      <w:r>
        <w:rPr>
          <w:spacing w:val="3"/>
          <w:sz w:val="20"/>
          <w:szCs w:val="20"/>
        </w:rPr>
        <w:t>摄像头，一般而言，只要安装</w:t>
      </w:r>
      <w:r>
        <w:rPr>
          <w:rFonts w:ascii="Times New Roman" w:hAnsi="Times New Roman" w:eastAsia="Times New Roman" w:cs="Times New Roman"/>
          <w:sz w:val="20"/>
          <w:szCs w:val="20"/>
        </w:rPr>
        <w:t>AR</w:t>
      </w:r>
      <w:r>
        <w:rPr>
          <w:rFonts w:ascii="Times New Roman" w:hAnsi="Times New Roman" w:eastAsia="Times New Roman" w:cs="Times New Roman"/>
          <w:spacing w:val="3"/>
          <w:sz w:val="20"/>
          <w:szCs w:val="20"/>
        </w:rPr>
        <w:t xml:space="preserve"> </w:t>
      </w:r>
      <w:r>
        <w:rPr>
          <w:spacing w:val="3"/>
          <w:sz w:val="20"/>
          <w:szCs w:val="20"/>
        </w:rPr>
        <w:t>软件，带摄像头的产品都可以进行</w:t>
      </w:r>
      <w:r>
        <w:rPr>
          <w:rFonts w:ascii="Times New Roman" w:hAnsi="Times New Roman" w:eastAsia="Times New Roman" w:cs="Times New Roman"/>
          <w:sz w:val="20"/>
          <w:szCs w:val="20"/>
        </w:rPr>
        <w:t>AR</w:t>
      </w:r>
      <w:r>
        <w:rPr>
          <w:rFonts w:ascii="Times New Roman" w:hAnsi="Times New Roman" w:eastAsia="Times New Roman" w:cs="Times New Roman"/>
          <w:spacing w:val="3"/>
          <w:sz w:val="20"/>
          <w:szCs w:val="20"/>
        </w:rPr>
        <w:t xml:space="preserve"> </w:t>
      </w:r>
      <w:r>
        <w:rPr>
          <w:spacing w:val="3"/>
          <w:sz w:val="20"/>
          <w:szCs w:val="20"/>
        </w:rPr>
        <w:t>体验。</w:t>
      </w:r>
    </w:p>
    <w:p w14:paraId="5237006C">
      <w:pPr>
        <w:pStyle w:val="2"/>
        <w:spacing w:before="64" w:line="276" w:lineRule="auto"/>
        <w:ind w:left="309" w:firstLine="380"/>
        <w:rPr>
          <w:sz w:val="20"/>
          <w:szCs w:val="20"/>
        </w:rPr>
      </w:pPr>
      <w:r>
        <w:rPr>
          <w:sz w:val="20"/>
          <w:szCs w:val="20"/>
        </w:rPr>
        <w:t>(2)技术区别。</w:t>
      </w:r>
      <w:r>
        <w:rPr>
          <w:spacing w:val="-26"/>
          <w:sz w:val="20"/>
          <w:szCs w:val="20"/>
        </w:rPr>
        <w:t xml:space="preserve"> </w:t>
      </w:r>
      <w:r>
        <w:rPr>
          <w:rFonts w:ascii="Times New Roman" w:hAnsi="Times New Roman" w:eastAsia="Times New Roman" w:cs="Times New Roman"/>
          <w:sz w:val="20"/>
          <w:szCs w:val="20"/>
        </w:rPr>
        <w:t>VR</w:t>
      </w:r>
      <w:r>
        <w:rPr>
          <w:rFonts w:ascii="Times New Roman" w:hAnsi="Times New Roman" w:eastAsia="Times New Roman" w:cs="Times New Roman"/>
          <w:spacing w:val="22"/>
          <w:sz w:val="20"/>
          <w:szCs w:val="20"/>
        </w:rPr>
        <w:t xml:space="preserve"> </w:t>
      </w:r>
      <w:r>
        <w:rPr>
          <w:sz w:val="20"/>
          <w:szCs w:val="20"/>
        </w:rPr>
        <w:t xml:space="preserve">的核心是绘图相关的各项技术，目前在游戏领域应用最广，最为关注的  </w:t>
      </w:r>
      <w:r>
        <w:rPr>
          <w:spacing w:val="4"/>
          <w:sz w:val="20"/>
          <w:szCs w:val="20"/>
        </w:rPr>
        <w:t>是沉浸感，对图形处理器(</w:t>
      </w:r>
      <w:r>
        <w:rPr>
          <w:sz w:val="20"/>
          <w:szCs w:val="20"/>
        </w:rPr>
        <w:t>Graphics</w:t>
      </w:r>
      <w:r>
        <w:rPr>
          <w:spacing w:val="4"/>
          <w:sz w:val="20"/>
          <w:szCs w:val="20"/>
        </w:rPr>
        <w:t xml:space="preserve"> </w:t>
      </w:r>
      <w:r>
        <w:rPr>
          <w:sz w:val="20"/>
          <w:szCs w:val="20"/>
        </w:rPr>
        <w:t>Processing</w:t>
      </w:r>
      <w:r>
        <w:rPr>
          <w:spacing w:val="4"/>
          <w:sz w:val="20"/>
          <w:szCs w:val="20"/>
        </w:rPr>
        <w:t xml:space="preserve"> </w:t>
      </w:r>
      <w:r>
        <w:rPr>
          <w:sz w:val="20"/>
          <w:szCs w:val="20"/>
        </w:rPr>
        <w:t>Unit</w:t>
      </w:r>
      <w:r>
        <w:rPr>
          <w:spacing w:val="4"/>
          <w:sz w:val="20"/>
          <w:szCs w:val="20"/>
        </w:rPr>
        <w:t>,</w:t>
      </w:r>
      <w:r>
        <w:rPr>
          <w:sz w:val="20"/>
          <w:szCs w:val="20"/>
        </w:rPr>
        <w:t>GPU</w:t>
      </w:r>
      <w:r>
        <w:rPr>
          <w:spacing w:val="4"/>
          <w:sz w:val="20"/>
          <w:szCs w:val="20"/>
        </w:rPr>
        <w:t>)</w:t>
      </w:r>
      <w:r>
        <w:rPr>
          <w:spacing w:val="-40"/>
          <w:sz w:val="20"/>
          <w:szCs w:val="20"/>
        </w:rPr>
        <w:t xml:space="preserve"> </w:t>
      </w:r>
      <w:r>
        <w:rPr>
          <w:spacing w:val="4"/>
          <w:sz w:val="20"/>
          <w:szCs w:val="20"/>
        </w:rPr>
        <w:t>性能要求较高。</w:t>
      </w:r>
      <w:r>
        <w:rPr>
          <w:sz w:val="20"/>
          <w:szCs w:val="20"/>
        </w:rPr>
        <w:t>AR</w:t>
      </w:r>
      <w:r>
        <w:rPr>
          <w:spacing w:val="41"/>
          <w:sz w:val="20"/>
          <w:szCs w:val="20"/>
        </w:rPr>
        <w:t xml:space="preserve"> </w:t>
      </w:r>
      <w:r>
        <w:rPr>
          <w:spacing w:val="4"/>
          <w:sz w:val="20"/>
          <w:szCs w:val="20"/>
        </w:rPr>
        <w:t>则强调复原人</w:t>
      </w:r>
      <w:r>
        <w:rPr>
          <w:sz w:val="20"/>
          <w:szCs w:val="20"/>
        </w:rPr>
        <w:t xml:space="preserve"> </w:t>
      </w:r>
      <w:r>
        <w:rPr>
          <w:spacing w:val="7"/>
          <w:sz w:val="20"/>
          <w:szCs w:val="20"/>
        </w:rPr>
        <w:t>类视觉，应用计算机视觉技术对真实场景进行3</w:t>
      </w:r>
      <w:r>
        <w:rPr>
          <w:rFonts w:ascii="Times New Roman" w:hAnsi="Times New Roman" w:eastAsia="Times New Roman" w:cs="Times New Roman"/>
          <w:spacing w:val="7"/>
          <w:sz w:val="20"/>
          <w:szCs w:val="20"/>
        </w:rPr>
        <w:t>D</w:t>
      </w:r>
      <w:r>
        <w:rPr>
          <w:rFonts w:ascii="Times New Roman" w:hAnsi="Times New Roman" w:eastAsia="Times New Roman" w:cs="Times New Roman"/>
          <w:spacing w:val="-21"/>
          <w:sz w:val="20"/>
          <w:szCs w:val="20"/>
        </w:rPr>
        <w:t xml:space="preserve"> </w:t>
      </w:r>
      <w:r>
        <w:rPr>
          <w:spacing w:val="7"/>
          <w:sz w:val="20"/>
          <w:szCs w:val="20"/>
        </w:rPr>
        <w:t>建模</w:t>
      </w:r>
      <w:r>
        <w:rPr>
          <w:spacing w:val="6"/>
          <w:sz w:val="20"/>
          <w:szCs w:val="20"/>
        </w:rPr>
        <w:t>再处理，重视</w:t>
      </w:r>
      <w:r>
        <w:rPr>
          <w:rFonts w:ascii="Times New Roman" w:hAnsi="Times New Roman" w:eastAsia="Times New Roman" w:cs="Times New Roman"/>
          <w:sz w:val="20"/>
          <w:szCs w:val="20"/>
        </w:rPr>
        <w:t>CPU</w:t>
      </w:r>
      <w:r>
        <w:rPr>
          <w:rFonts w:ascii="Times New Roman" w:hAnsi="Times New Roman" w:eastAsia="Times New Roman" w:cs="Times New Roman"/>
          <w:spacing w:val="18"/>
          <w:w w:val="101"/>
          <w:sz w:val="20"/>
          <w:szCs w:val="20"/>
        </w:rPr>
        <w:t xml:space="preserve"> </w:t>
      </w:r>
      <w:r>
        <w:rPr>
          <w:spacing w:val="6"/>
          <w:sz w:val="20"/>
          <w:szCs w:val="20"/>
        </w:rPr>
        <w:t>的处理能力。另外，</w:t>
      </w:r>
      <w:r>
        <w:rPr>
          <w:sz w:val="20"/>
          <w:szCs w:val="20"/>
        </w:rPr>
        <w:t xml:space="preserve"> </w:t>
      </w:r>
      <w:r>
        <w:rPr>
          <w:spacing w:val="-3"/>
          <w:sz w:val="20"/>
          <w:szCs w:val="20"/>
        </w:rPr>
        <w:t>两者在硬件设备和开发内容方面也具有较大的差异。</w:t>
      </w:r>
    </w:p>
    <w:p w14:paraId="363F00D6">
      <w:pPr>
        <w:pStyle w:val="2"/>
        <w:spacing w:before="62" w:line="270" w:lineRule="auto"/>
        <w:ind w:left="309" w:right="20" w:firstLine="380"/>
        <w:rPr>
          <w:sz w:val="20"/>
          <w:szCs w:val="20"/>
        </w:rPr>
      </w:pPr>
      <w:r>
        <w:rPr>
          <w:sz w:val="20"/>
          <w:szCs w:val="20"/>
        </w:rPr>
        <w:t>(3)应用场景区别。</w:t>
      </w:r>
      <w:r>
        <w:rPr>
          <w:rFonts w:ascii="Times New Roman" w:hAnsi="Times New Roman" w:eastAsia="Times New Roman" w:cs="Times New Roman"/>
          <w:sz w:val="20"/>
          <w:szCs w:val="20"/>
        </w:rPr>
        <w:t>VR</w:t>
      </w:r>
      <w:r>
        <w:rPr>
          <w:sz w:val="20"/>
          <w:szCs w:val="20"/>
        </w:rPr>
        <w:t>的虚拟现实特性使其具有沉浸感和私密性，决定了其在游戏、娱乐、</w:t>
      </w:r>
      <w:r>
        <w:rPr>
          <w:spacing w:val="10"/>
          <w:sz w:val="20"/>
          <w:szCs w:val="20"/>
        </w:rPr>
        <w:t xml:space="preserve"> </w:t>
      </w:r>
      <w:r>
        <w:rPr>
          <w:spacing w:val="4"/>
          <w:sz w:val="20"/>
          <w:szCs w:val="20"/>
        </w:rPr>
        <w:t>教育、社交等领域具有天然优势，而</w:t>
      </w:r>
      <w:r>
        <w:rPr>
          <w:rFonts w:ascii="Times New Roman" w:hAnsi="Times New Roman" w:eastAsia="Times New Roman" w:cs="Times New Roman"/>
          <w:sz w:val="20"/>
          <w:szCs w:val="20"/>
        </w:rPr>
        <w:t>AR</w:t>
      </w:r>
      <w:r>
        <w:rPr>
          <w:rFonts w:ascii="Times New Roman" w:hAnsi="Times New Roman" w:eastAsia="Times New Roman" w:cs="Times New Roman"/>
          <w:spacing w:val="29"/>
          <w:sz w:val="20"/>
          <w:szCs w:val="20"/>
        </w:rPr>
        <w:t xml:space="preserve"> </w:t>
      </w:r>
      <w:r>
        <w:rPr>
          <w:spacing w:val="4"/>
          <w:sz w:val="20"/>
          <w:szCs w:val="20"/>
        </w:rPr>
        <w:t>的增强现实特性决定了其更偏向于与现实交互，适用</w:t>
      </w:r>
      <w:r>
        <w:rPr>
          <w:sz w:val="20"/>
          <w:szCs w:val="20"/>
        </w:rPr>
        <w:t xml:space="preserve"> </w:t>
      </w:r>
      <w:r>
        <w:rPr>
          <w:spacing w:val="-3"/>
          <w:sz w:val="20"/>
          <w:szCs w:val="20"/>
        </w:rPr>
        <w:t>于生活、工作、生产等场景。</w:t>
      </w:r>
    </w:p>
    <w:p w14:paraId="66163846">
      <w:pPr>
        <w:spacing w:before="159" w:line="222" w:lineRule="auto"/>
        <w:ind w:left="689"/>
        <w:rPr>
          <w:rFonts w:ascii="黑体" w:hAnsi="黑体" w:eastAsia="黑体" w:cs="黑体"/>
          <w:sz w:val="20"/>
          <w:szCs w:val="20"/>
        </w:rPr>
      </w:pPr>
      <w:r>
        <w:rPr>
          <w:rFonts w:ascii="Times New Roman" w:hAnsi="Times New Roman" w:eastAsia="Times New Roman" w:cs="Times New Roman"/>
          <w:b/>
          <w:bCs/>
          <w:color w:val="0073E6"/>
          <w:spacing w:val="-1"/>
          <w:sz w:val="20"/>
          <w:szCs w:val="20"/>
        </w:rPr>
        <w:t>3.VR/AR</w:t>
      </w:r>
      <w:r>
        <w:rPr>
          <w:rFonts w:ascii="Times New Roman" w:hAnsi="Times New Roman" w:eastAsia="Times New Roman" w:cs="Times New Roman"/>
          <w:b/>
          <w:bCs/>
          <w:color w:val="0073E6"/>
          <w:spacing w:val="32"/>
          <w:w w:val="101"/>
          <w:sz w:val="20"/>
          <w:szCs w:val="20"/>
        </w:rPr>
        <w:t xml:space="preserve"> </w:t>
      </w:r>
      <w:r>
        <w:rPr>
          <w:rFonts w:ascii="黑体" w:hAnsi="黑体" w:eastAsia="黑体" w:cs="黑体"/>
          <w:b/>
          <w:bCs/>
          <w:color w:val="0073E6"/>
          <w:spacing w:val="-1"/>
          <w:sz w:val="20"/>
          <w:szCs w:val="20"/>
        </w:rPr>
        <w:t>的关键技术</w:t>
      </w:r>
    </w:p>
    <w:p w14:paraId="2819FBEA">
      <w:pPr>
        <w:spacing w:before="222" w:line="227" w:lineRule="auto"/>
        <w:ind w:left="689"/>
        <w:rPr>
          <w:rFonts w:ascii="楷体" w:hAnsi="楷体" w:eastAsia="楷体" w:cs="楷体"/>
          <w:sz w:val="20"/>
          <w:szCs w:val="20"/>
        </w:rPr>
      </w:pPr>
      <w:r>
        <w:rPr>
          <w:rFonts w:ascii="楷体" w:hAnsi="楷体" w:eastAsia="楷体" w:cs="楷体"/>
          <w:spacing w:val="10"/>
          <w:sz w:val="20"/>
          <w:szCs w:val="20"/>
        </w:rPr>
        <w:t>1)虚拟现实建模</w:t>
      </w:r>
    </w:p>
    <w:p w14:paraId="665DF0CF">
      <w:pPr>
        <w:pStyle w:val="2"/>
        <w:spacing w:before="64" w:line="273" w:lineRule="auto"/>
        <w:ind w:left="309" w:right="134" w:firstLine="380"/>
        <w:rPr>
          <w:sz w:val="20"/>
          <w:szCs w:val="20"/>
        </w:rPr>
      </w:pPr>
      <w:r>
        <w:rPr>
          <w:spacing w:val="2"/>
          <w:sz w:val="20"/>
          <w:szCs w:val="20"/>
        </w:rPr>
        <w:t>虚拟现实建模，即3</w:t>
      </w:r>
      <w:r>
        <w:rPr>
          <w:rFonts w:ascii="Times New Roman" w:hAnsi="Times New Roman" w:eastAsia="Times New Roman" w:cs="Times New Roman"/>
          <w:spacing w:val="2"/>
          <w:sz w:val="20"/>
          <w:szCs w:val="20"/>
        </w:rPr>
        <w:t>D</w:t>
      </w:r>
      <w:r>
        <w:rPr>
          <w:rFonts w:ascii="Times New Roman" w:hAnsi="Times New Roman" w:eastAsia="Times New Roman" w:cs="Times New Roman"/>
          <w:spacing w:val="-21"/>
          <w:sz w:val="20"/>
          <w:szCs w:val="20"/>
        </w:rPr>
        <w:t xml:space="preserve"> </w:t>
      </w:r>
      <w:r>
        <w:rPr>
          <w:spacing w:val="2"/>
          <w:sz w:val="20"/>
          <w:szCs w:val="20"/>
        </w:rPr>
        <w:t>对象建模，这些对象将在真实世界和虚拟世界里交互。</w:t>
      </w:r>
      <w:r>
        <w:rPr>
          <w:spacing w:val="1"/>
          <w:sz w:val="20"/>
          <w:szCs w:val="20"/>
        </w:rPr>
        <w:t>建模是</w:t>
      </w:r>
      <w:r>
        <w:rPr>
          <w:rFonts w:ascii="Times New Roman" w:hAnsi="Times New Roman" w:eastAsia="Times New Roman" w:cs="Times New Roman"/>
          <w:sz w:val="20"/>
          <w:szCs w:val="20"/>
        </w:rPr>
        <w:t>VR</w:t>
      </w:r>
      <w:r>
        <w:rPr>
          <w:rFonts w:ascii="Times New Roman" w:hAnsi="Times New Roman" w:eastAsia="Times New Roman" w:cs="Times New Roman"/>
          <w:spacing w:val="1"/>
          <w:sz w:val="20"/>
          <w:szCs w:val="20"/>
        </w:rPr>
        <w:t xml:space="preserve"> </w:t>
      </w:r>
      <w:r>
        <w:rPr>
          <w:spacing w:val="1"/>
          <w:sz w:val="20"/>
          <w:szCs w:val="20"/>
        </w:rPr>
        <w:t>的</w:t>
      </w:r>
      <w:r>
        <w:rPr>
          <w:sz w:val="20"/>
          <w:szCs w:val="20"/>
        </w:rPr>
        <w:t xml:space="preserve"> </w:t>
      </w:r>
      <w:r>
        <w:rPr>
          <w:spacing w:val="-1"/>
          <w:sz w:val="20"/>
          <w:szCs w:val="20"/>
        </w:rPr>
        <w:t>基础之一，包括场景展现建模、行为建模、虚实结合建模和基于物理的建模等一系列方法。</w:t>
      </w:r>
    </w:p>
    <w:p w14:paraId="188EFEF2">
      <w:pPr>
        <w:pStyle w:val="2"/>
        <w:spacing w:before="38" w:line="264" w:lineRule="auto"/>
        <w:ind w:left="989" w:right="40" w:hanging="300"/>
        <w:rPr>
          <w:sz w:val="20"/>
          <w:szCs w:val="20"/>
        </w:rPr>
      </w:pPr>
      <w:r>
        <w:rPr>
          <w:spacing w:val="4"/>
          <w:sz w:val="20"/>
          <w:szCs w:val="20"/>
        </w:rPr>
        <w:t>●场景展现建模方法。虚拟现实系统需要建立一个虚拟与真实融通的场景并有效地展现，</w:t>
      </w:r>
      <w:r>
        <w:rPr>
          <w:spacing w:val="12"/>
          <w:sz w:val="20"/>
          <w:szCs w:val="20"/>
        </w:rPr>
        <w:t xml:space="preserve"> </w:t>
      </w:r>
      <w:r>
        <w:rPr>
          <w:spacing w:val="1"/>
          <w:sz w:val="20"/>
          <w:szCs w:val="20"/>
        </w:rPr>
        <w:t>主要包括基于深度区域图像的建模方法、基于图像的建模方法、材质光照建模方法、领</w:t>
      </w:r>
      <w:r>
        <w:rPr>
          <w:sz w:val="20"/>
          <w:szCs w:val="20"/>
        </w:rPr>
        <w:t xml:space="preserve"> </w:t>
      </w:r>
      <w:r>
        <w:rPr>
          <w:spacing w:val="-6"/>
          <w:sz w:val="20"/>
          <w:szCs w:val="20"/>
        </w:rPr>
        <w:t>域建模方法。</w:t>
      </w:r>
    </w:p>
    <w:p w14:paraId="32542533">
      <w:pPr>
        <w:pStyle w:val="2"/>
        <w:spacing w:before="93" w:line="270" w:lineRule="auto"/>
        <w:ind w:left="989" w:right="71" w:hanging="300"/>
        <w:rPr>
          <w:sz w:val="20"/>
          <w:szCs w:val="20"/>
        </w:rPr>
      </w:pPr>
      <w:r>
        <w:rPr>
          <w:spacing w:val="14"/>
          <w:sz w:val="20"/>
          <w:szCs w:val="20"/>
        </w:rPr>
        <w:t>●行为建模方法。虚拟现实环境中活动对象(例如人、车</w:t>
      </w:r>
      <w:r>
        <w:rPr>
          <w:spacing w:val="13"/>
          <w:sz w:val="20"/>
          <w:szCs w:val="20"/>
        </w:rPr>
        <w:t>)建模，尤其是其行为建模是</w:t>
      </w:r>
      <w:r>
        <w:rPr>
          <w:sz w:val="20"/>
          <w:szCs w:val="20"/>
        </w:rPr>
        <w:t xml:space="preserve"> </w:t>
      </w:r>
      <w:r>
        <w:rPr>
          <w:rFonts w:ascii="Times New Roman" w:hAnsi="Times New Roman" w:eastAsia="Times New Roman" w:cs="Times New Roman"/>
          <w:sz w:val="20"/>
          <w:szCs w:val="20"/>
        </w:rPr>
        <w:t>VR</w:t>
      </w:r>
      <w:r>
        <w:rPr>
          <w:rFonts w:ascii="Times New Roman" w:hAnsi="Times New Roman" w:eastAsia="Times New Roman" w:cs="Times New Roman"/>
          <w:spacing w:val="1"/>
          <w:sz w:val="20"/>
          <w:szCs w:val="20"/>
        </w:rPr>
        <w:t xml:space="preserve"> </w:t>
      </w:r>
      <w:r>
        <w:rPr>
          <w:spacing w:val="3"/>
          <w:sz w:val="20"/>
          <w:szCs w:val="20"/>
        </w:rPr>
        <w:t>的关键，主要包括自主对象的主要类型方法、基于有限状态自动机的建模方法、面</w:t>
      </w:r>
      <w:r>
        <w:rPr>
          <w:sz w:val="20"/>
          <w:szCs w:val="20"/>
        </w:rPr>
        <w:t xml:space="preserve"> </w:t>
      </w:r>
      <w:r>
        <w:rPr>
          <w:spacing w:val="-2"/>
          <w:sz w:val="20"/>
          <w:szCs w:val="20"/>
        </w:rPr>
        <w:t>向建模方法的专家系统、基于智能代理的建模方法、聚合与分解模型。</w:t>
      </w:r>
    </w:p>
    <w:p w14:paraId="403EDEEF">
      <w:pPr>
        <w:pStyle w:val="2"/>
        <w:spacing w:before="72" w:line="270" w:lineRule="auto"/>
        <w:ind w:left="989" w:right="88" w:hanging="300"/>
        <w:rPr>
          <w:sz w:val="20"/>
          <w:szCs w:val="20"/>
        </w:rPr>
      </w:pPr>
      <w:r>
        <w:rPr>
          <w:spacing w:val="4"/>
          <w:sz w:val="20"/>
          <w:szCs w:val="20"/>
        </w:rPr>
        <w:t>●虚实结合建模方法。</w:t>
      </w:r>
      <w:r>
        <w:rPr>
          <w:sz w:val="20"/>
          <w:szCs w:val="20"/>
        </w:rPr>
        <w:t>AR</w:t>
      </w:r>
      <w:r>
        <w:rPr>
          <w:spacing w:val="72"/>
          <w:sz w:val="20"/>
          <w:szCs w:val="20"/>
        </w:rPr>
        <w:t xml:space="preserve"> </w:t>
      </w:r>
      <w:r>
        <w:rPr>
          <w:spacing w:val="4"/>
          <w:sz w:val="20"/>
          <w:szCs w:val="20"/>
        </w:rPr>
        <w:t>需要虚实结合的场景，虚实结合建模是一大挑战，主要包括虚</w:t>
      </w:r>
      <w:r>
        <w:rPr>
          <w:sz w:val="20"/>
          <w:szCs w:val="20"/>
        </w:rPr>
        <w:t xml:space="preserve"> </w:t>
      </w:r>
      <w:r>
        <w:rPr>
          <w:spacing w:val="4"/>
          <w:sz w:val="20"/>
          <w:szCs w:val="20"/>
        </w:rPr>
        <w:t>实合成场景中真实环境信息的获取与表示、</w:t>
      </w:r>
      <w:r>
        <w:rPr>
          <w:spacing w:val="3"/>
          <w:sz w:val="20"/>
          <w:szCs w:val="20"/>
        </w:rPr>
        <w:t>虚实间3D</w:t>
      </w:r>
      <w:r>
        <w:rPr>
          <w:spacing w:val="-16"/>
          <w:sz w:val="20"/>
          <w:szCs w:val="20"/>
        </w:rPr>
        <w:t xml:space="preserve"> </w:t>
      </w:r>
      <w:r>
        <w:rPr>
          <w:spacing w:val="3"/>
          <w:sz w:val="20"/>
          <w:szCs w:val="20"/>
        </w:rPr>
        <w:t>登录和存储方法、虚实间耦合处</w:t>
      </w:r>
      <w:r>
        <w:rPr>
          <w:sz w:val="20"/>
          <w:szCs w:val="20"/>
        </w:rPr>
        <w:t xml:space="preserve"> </w:t>
      </w:r>
      <w:r>
        <w:rPr>
          <w:spacing w:val="-4"/>
          <w:sz w:val="20"/>
          <w:szCs w:val="20"/>
        </w:rPr>
        <w:t>理方法、虚实合成方法。</w:t>
      </w:r>
    </w:p>
    <w:p w14:paraId="13F39703">
      <w:pPr>
        <w:spacing w:line="270" w:lineRule="auto"/>
        <w:rPr>
          <w:sz w:val="20"/>
          <w:szCs w:val="20"/>
        </w:rPr>
        <w:sectPr>
          <w:pgSz w:w="10320" w:h="13410"/>
          <w:pgMar w:top="350" w:right="1080" w:bottom="400" w:left="540" w:header="0" w:footer="0" w:gutter="0"/>
          <w:cols w:space="720" w:num="1"/>
        </w:sectPr>
      </w:pPr>
    </w:p>
    <w:p w14:paraId="716E9ED6">
      <w:pPr>
        <w:pStyle w:val="2"/>
        <w:spacing w:before="86" w:line="219" w:lineRule="auto"/>
        <w:jc w:val="right"/>
        <w:rPr>
          <w:rFonts w:ascii="Times New Roman" w:hAnsi="Times New Roman" w:eastAsia="Times New Roman" w:cs="Times New Roman"/>
          <w:sz w:val="20"/>
          <w:szCs w:val="20"/>
        </w:rPr>
      </w:pPr>
      <w:r>
        <w:rPr>
          <w:spacing w:val="-2"/>
          <w:sz w:val="20"/>
          <w:szCs w:val="20"/>
        </w:rPr>
        <w:t>第1章 信息与信息化</w:t>
      </w:r>
      <w:r>
        <w:rPr>
          <w:spacing w:val="13"/>
          <w:sz w:val="20"/>
          <w:szCs w:val="20"/>
        </w:rPr>
        <w:t xml:space="preserve">      </w:t>
      </w:r>
      <w:r>
        <w:rPr>
          <w:rFonts w:ascii="Times New Roman" w:hAnsi="Times New Roman" w:eastAsia="Times New Roman" w:cs="Times New Roman"/>
          <w:spacing w:val="-2"/>
          <w:position w:val="1"/>
          <w:sz w:val="20"/>
          <w:szCs w:val="20"/>
        </w:rPr>
        <w:t>27</w:t>
      </w:r>
    </w:p>
    <w:p w14:paraId="312CDBD7">
      <w:pPr>
        <w:spacing w:line="286" w:lineRule="auto"/>
        <w:rPr>
          <w:rFonts w:ascii="Arial"/>
          <w:sz w:val="21"/>
        </w:rPr>
      </w:pPr>
    </w:p>
    <w:p w14:paraId="74D41FB3">
      <w:pPr>
        <w:pStyle w:val="2"/>
        <w:spacing w:before="65" w:line="276" w:lineRule="auto"/>
        <w:ind w:left="659" w:right="297" w:hanging="270"/>
        <w:rPr>
          <w:sz w:val="20"/>
          <w:szCs w:val="20"/>
        </w:rPr>
      </w:pPr>
      <w:r>
        <w:rPr>
          <w:spacing w:val="3"/>
          <w:sz w:val="20"/>
          <w:szCs w:val="20"/>
        </w:rPr>
        <w:t>●基于物理的建模方法。真实的自然环境及人物等在三维形态、</w:t>
      </w:r>
      <w:r>
        <w:rPr>
          <w:spacing w:val="2"/>
          <w:sz w:val="20"/>
          <w:szCs w:val="20"/>
        </w:rPr>
        <w:t>运动变化、交互反馈等方</w:t>
      </w:r>
      <w:r>
        <w:rPr>
          <w:sz w:val="20"/>
          <w:szCs w:val="20"/>
        </w:rPr>
        <w:t xml:space="preserve"> </w:t>
      </w:r>
      <w:r>
        <w:rPr>
          <w:spacing w:val="1"/>
          <w:sz w:val="20"/>
          <w:szCs w:val="20"/>
        </w:rPr>
        <w:t>面都具备其内在的物理意义和规则。基于物理的建</w:t>
      </w:r>
      <w:r>
        <w:rPr>
          <w:sz w:val="20"/>
          <w:szCs w:val="20"/>
        </w:rPr>
        <w:t xml:space="preserve">模方法正是基于该角度，主要包括刚 </w:t>
      </w:r>
      <w:r>
        <w:rPr>
          <w:spacing w:val="-2"/>
          <w:sz w:val="20"/>
          <w:szCs w:val="20"/>
        </w:rPr>
        <w:t>体建模方法、柔性物体建模方法、虚拟人体运动建模方法。</w:t>
      </w:r>
    </w:p>
    <w:p w14:paraId="479D07EC">
      <w:pPr>
        <w:spacing w:before="171" w:line="224" w:lineRule="auto"/>
        <w:ind w:left="389"/>
        <w:rPr>
          <w:rFonts w:ascii="楷体" w:hAnsi="楷体" w:eastAsia="楷体" w:cs="楷体"/>
          <w:sz w:val="20"/>
          <w:szCs w:val="20"/>
        </w:rPr>
      </w:pPr>
      <w:bookmarkStart w:id="494" w:name="bookmark481"/>
      <w:bookmarkEnd w:id="494"/>
      <w:r>
        <w:rPr>
          <w:rFonts w:ascii="楷体" w:hAnsi="楷体" w:eastAsia="楷体" w:cs="楷体"/>
          <w:spacing w:val="6"/>
          <w:sz w:val="20"/>
          <w:szCs w:val="20"/>
        </w:rPr>
        <w:t>2)计算机图形学和计算机动画</w:t>
      </w:r>
    </w:p>
    <w:p w14:paraId="2CD3524D">
      <w:pPr>
        <w:pStyle w:val="2"/>
        <w:spacing w:before="68" w:line="280" w:lineRule="auto"/>
        <w:ind w:right="272" w:firstLine="389"/>
        <w:jc w:val="both"/>
        <w:rPr>
          <w:sz w:val="20"/>
          <w:szCs w:val="20"/>
        </w:rPr>
      </w:pPr>
      <w:r>
        <w:rPr>
          <w:spacing w:val="1"/>
          <w:sz w:val="20"/>
          <w:szCs w:val="20"/>
        </w:rPr>
        <w:t>计算机图形学和计算机动画相关的技术涉及数学、3</w:t>
      </w:r>
      <w:r>
        <w:rPr>
          <w:rFonts w:ascii="Times New Roman" w:hAnsi="Times New Roman" w:eastAsia="Times New Roman" w:cs="Times New Roman"/>
          <w:spacing w:val="1"/>
          <w:sz w:val="20"/>
          <w:szCs w:val="20"/>
        </w:rPr>
        <w:t>D</w:t>
      </w:r>
      <w:r>
        <w:rPr>
          <w:rFonts w:ascii="Times New Roman" w:hAnsi="Times New Roman" w:eastAsia="Times New Roman" w:cs="Times New Roman"/>
          <w:spacing w:val="-3"/>
          <w:sz w:val="20"/>
          <w:szCs w:val="20"/>
        </w:rPr>
        <w:t xml:space="preserve"> </w:t>
      </w:r>
      <w:r>
        <w:rPr>
          <w:spacing w:val="1"/>
          <w:sz w:val="20"/>
          <w:szCs w:val="20"/>
        </w:rPr>
        <w:t>建模和影像渲染等方面。数学方面指</w:t>
      </w:r>
      <w:r>
        <w:rPr>
          <w:sz w:val="20"/>
          <w:szCs w:val="20"/>
        </w:rPr>
        <w:t xml:space="preserve"> </w:t>
      </w:r>
      <w:r>
        <w:rPr>
          <w:spacing w:val="4"/>
          <w:sz w:val="20"/>
          <w:szCs w:val="20"/>
        </w:rPr>
        <w:t>的是坐标系统、向量和转换矩阵，用于表示可视化3D</w:t>
      </w:r>
      <w:r>
        <w:rPr>
          <w:spacing w:val="-16"/>
          <w:sz w:val="20"/>
          <w:szCs w:val="20"/>
        </w:rPr>
        <w:t xml:space="preserve"> </w:t>
      </w:r>
      <w:r>
        <w:rPr>
          <w:spacing w:val="4"/>
          <w:sz w:val="20"/>
          <w:szCs w:val="20"/>
        </w:rPr>
        <w:t>对象动</w:t>
      </w:r>
      <w:r>
        <w:rPr>
          <w:spacing w:val="3"/>
          <w:sz w:val="20"/>
          <w:szCs w:val="20"/>
        </w:rPr>
        <w:t>画、特征描述等。3D</w:t>
      </w:r>
      <w:r>
        <w:rPr>
          <w:spacing w:val="-16"/>
          <w:sz w:val="20"/>
          <w:szCs w:val="20"/>
        </w:rPr>
        <w:t xml:space="preserve"> </w:t>
      </w:r>
      <w:r>
        <w:rPr>
          <w:spacing w:val="3"/>
          <w:sz w:val="20"/>
          <w:szCs w:val="20"/>
        </w:rPr>
        <w:t>建模是借助</w:t>
      </w:r>
      <w:r>
        <w:rPr>
          <w:sz w:val="20"/>
          <w:szCs w:val="20"/>
        </w:rPr>
        <w:t xml:space="preserve"> </w:t>
      </w:r>
      <w:r>
        <w:rPr>
          <w:spacing w:val="6"/>
          <w:sz w:val="20"/>
          <w:szCs w:val="20"/>
        </w:rPr>
        <w:t>几何描述，为实际物体对象构建特定的3</w:t>
      </w:r>
      <w:r>
        <w:rPr>
          <w:rFonts w:ascii="Times New Roman" w:hAnsi="Times New Roman" w:eastAsia="Times New Roman" w:cs="Times New Roman"/>
          <w:spacing w:val="6"/>
          <w:sz w:val="20"/>
          <w:szCs w:val="20"/>
        </w:rPr>
        <w:t>D</w:t>
      </w:r>
      <w:r>
        <w:rPr>
          <w:rFonts w:ascii="Times New Roman" w:hAnsi="Times New Roman" w:eastAsia="Times New Roman" w:cs="Times New Roman"/>
          <w:spacing w:val="-21"/>
          <w:sz w:val="20"/>
          <w:szCs w:val="20"/>
        </w:rPr>
        <w:t xml:space="preserve"> </w:t>
      </w:r>
      <w:r>
        <w:rPr>
          <w:spacing w:val="6"/>
          <w:sz w:val="20"/>
          <w:szCs w:val="20"/>
        </w:rPr>
        <w:t>形象。影像渲染是借助光照模型、灯光、色</w:t>
      </w:r>
      <w:r>
        <w:rPr>
          <w:spacing w:val="5"/>
          <w:sz w:val="20"/>
          <w:szCs w:val="20"/>
        </w:rPr>
        <w:t>彩和纹</w:t>
      </w:r>
      <w:r>
        <w:rPr>
          <w:sz w:val="20"/>
          <w:szCs w:val="20"/>
        </w:rPr>
        <w:t xml:space="preserve"> </w:t>
      </w:r>
      <w:r>
        <w:rPr>
          <w:spacing w:val="3"/>
          <w:sz w:val="20"/>
          <w:szCs w:val="20"/>
        </w:rPr>
        <w:t>理演绎3</w:t>
      </w:r>
      <w:r>
        <w:rPr>
          <w:rFonts w:ascii="Times New Roman" w:hAnsi="Times New Roman" w:eastAsia="Times New Roman" w:cs="Times New Roman"/>
          <w:spacing w:val="3"/>
          <w:sz w:val="20"/>
          <w:szCs w:val="20"/>
        </w:rPr>
        <w:t>D</w:t>
      </w:r>
      <w:r>
        <w:rPr>
          <w:rFonts w:ascii="Times New Roman" w:hAnsi="Times New Roman" w:eastAsia="Times New Roman" w:cs="Times New Roman"/>
          <w:spacing w:val="-10"/>
          <w:sz w:val="20"/>
          <w:szCs w:val="20"/>
        </w:rPr>
        <w:t xml:space="preserve"> </w:t>
      </w:r>
      <w:r>
        <w:rPr>
          <w:spacing w:val="3"/>
          <w:sz w:val="20"/>
          <w:szCs w:val="20"/>
        </w:rPr>
        <w:t>模型。</w:t>
      </w:r>
    </w:p>
    <w:p w14:paraId="45CC0DD0">
      <w:pPr>
        <w:spacing w:line="399" w:lineRule="auto"/>
        <w:rPr>
          <w:rFonts w:ascii="Arial"/>
          <w:sz w:val="21"/>
        </w:rPr>
      </w:pPr>
    </w:p>
    <w:p w14:paraId="5ED6D4F9">
      <w:pPr>
        <w:pStyle w:val="2"/>
        <w:spacing w:before="65" w:line="223" w:lineRule="auto"/>
        <w:ind w:left="52"/>
        <w:rPr>
          <w:rFonts w:ascii="黑体" w:hAnsi="黑体" w:eastAsia="黑体" w:cs="黑体"/>
          <w:sz w:val="20"/>
          <w:szCs w:val="20"/>
        </w:rPr>
      </w:pPr>
      <w:r>
        <w:rPr>
          <w:b/>
          <w:bCs/>
          <w:color w:val="0060DE"/>
          <w:spacing w:val="-10"/>
          <w:sz w:val="20"/>
          <w:szCs w:val="20"/>
        </w:rPr>
        <w:t>1.4</w:t>
      </w:r>
      <w:r>
        <w:rPr>
          <w:color w:val="0060DE"/>
          <w:spacing w:val="12"/>
          <w:sz w:val="20"/>
          <w:szCs w:val="20"/>
        </w:rPr>
        <w:t xml:space="preserve">   </w:t>
      </w:r>
      <w:r>
        <w:rPr>
          <w:rFonts w:ascii="黑体" w:hAnsi="黑体" w:eastAsia="黑体" w:cs="黑体"/>
          <w:b/>
          <w:bCs/>
          <w:color w:val="0060DE"/>
          <w:spacing w:val="-10"/>
          <w:sz w:val="20"/>
          <w:szCs w:val="20"/>
        </w:rPr>
        <w:t>信</w:t>
      </w:r>
      <w:r>
        <w:rPr>
          <w:rFonts w:ascii="黑体" w:hAnsi="黑体" w:eastAsia="黑体" w:cs="黑体"/>
          <w:color w:val="0060DE"/>
          <w:spacing w:val="12"/>
          <w:sz w:val="20"/>
          <w:szCs w:val="20"/>
        </w:rPr>
        <w:t xml:space="preserve"> </w:t>
      </w:r>
      <w:r>
        <w:rPr>
          <w:rFonts w:ascii="黑体" w:hAnsi="黑体" w:eastAsia="黑体" w:cs="黑体"/>
          <w:b/>
          <w:bCs/>
          <w:color w:val="0060DE"/>
          <w:spacing w:val="-10"/>
          <w:sz w:val="20"/>
          <w:szCs w:val="20"/>
        </w:rPr>
        <w:t>息</w:t>
      </w:r>
      <w:r>
        <w:rPr>
          <w:rFonts w:ascii="黑体" w:hAnsi="黑体" w:eastAsia="黑体" w:cs="黑体"/>
          <w:color w:val="0060DE"/>
          <w:spacing w:val="12"/>
          <w:sz w:val="20"/>
          <w:szCs w:val="20"/>
        </w:rPr>
        <w:t xml:space="preserve"> </w:t>
      </w:r>
      <w:r>
        <w:rPr>
          <w:rFonts w:ascii="黑体" w:hAnsi="黑体" w:eastAsia="黑体" w:cs="黑体"/>
          <w:b/>
          <w:bCs/>
          <w:color w:val="0060DE"/>
          <w:spacing w:val="-10"/>
          <w:sz w:val="20"/>
          <w:szCs w:val="20"/>
        </w:rPr>
        <w:t>化</w:t>
      </w:r>
      <w:r>
        <w:rPr>
          <w:rFonts w:ascii="黑体" w:hAnsi="黑体" w:eastAsia="黑体" w:cs="黑体"/>
          <w:color w:val="0060DE"/>
          <w:spacing w:val="12"/>
          <w:sz w:val="20"/>
          <w:szCs w:val="20"/>
        </w:rPr>
        <w:t xml:space="preserve"> </w:t>
      </w:r>
      <w:r>
        <w:rPr>
          <w:rFonts w:ascii="黑体" w:hAnsi="黑体" w:eastAsia="黑体" w:cs="黑体"/>
          <w:b/>
          <w:bCs/>
          <w:color w:val="0060DE"/>
          <w:spacing w:val="-10"/>
          <w:sz w:val="20"/>
          <w:szCs w:val="20"/>
        </w:rPr>
        <w:t>应</w:t>
      </w:r>
      <w:r>
        <w:rPr>
          <w:rFonts w:ascii="黑体" w:hAnsi="黑体" w:eastAsia="黑体" w:cs="黑体"/>
          <w:color w:val="0060DE"/>
          <w:spacing w:val="13"/>
          <w:sz w:val="20"/>
          <w:szCs w:val="20"/>
        </w:rPr>
        <w:t xml:space="preserve"> </w:t>
      </w:r>
      <w:r>
        <w:rPr>
          <w:rFonts w:ascii="黑体" w:hAnsi="黑体" w:eastAsia="黑体" w:cs="黑体"/>
          <w:b/>
          <w:bCs/>
          <w:color w:val="0060DE"/>
          <w:spacing w:val="-10"/>
          <w:sz w:val="20"/>
          <w:szCs w:val="20"/>
        </w:rPr>
        <w:t>用</w:t>
      </w:r>
    </w:p>
    <w:p w14:paraId="1A16BFCF">
      <w:pPr>
        <w:pStyle w:val="2"/>
        <w:spacing w:before="279" w:line="291" w:lineRule="auto"/>
        <w:ind w:right="289" w:firstLine="389"/>
        <w:rPr>
          <w:sz w:val="20"/>
          <w:szCs w:val="20"/>
        </w:rPr>
      </w:pPr>
      <w:r>
        <w:rPr>
          <w:spacing w:val="3"/>
          <w:sz w:val="20"/>
          <w:szCs w:val="20"/>
        </w:rPr>
        <w:t>本节关注在信息化建设中普遍引入监理服务的领域，即数字政府、数字经济、智慧城</w:t>
      </w:r>
      <w:r>
        <w:rPr>
          <w:spacing w:val="2"/>
          <w:sz w:val="20"/>
          <w:szCs w:val="20"/>
        </w:rPr>
        <w:t>市和</w:t>
      </w:r>
      <w:r>
        <w:rPr>
          <w:sz w:val="20"/>
          <w:szCs w:val="20"/>
        </w:rPr>
        <w:t xml:space="preserve"> </w:t>
      </w:r>
      <w:r>
        <w:rPr>
          <w:spacing w:val="-3"/>
          <w:sz w:val="20"/>
          <w:szCs w:val="20"/>
        </w:rPr>
        <w:t>数字乡村等信息化应用领域。</w:t>
      </w:r>
    </w:p>
    <w:p w14:paraId="3FC0DCAE">
      <w:pPr>
        <w:pStyle w:val="2"/>
        <w:spacing w:before="177" w:line="219" w:lineRule="auto"/>
        <w:ind w:left="2"/>
        <w:rPr>
          <w:sz w:val="25"/>
          <w:szCs w:val="25"/>
        </w:rPr>
      </w:pPr>
      <w:r>
        <w:rPr>
          <w:b/>
          <w:bCs/>
          <w:color w:val="0067DE"/>
          <w:spacing w:val="-19"/>
          <w:sz w:val="25"/>
          <w:szCs w:val="25"/>
        </w:rPr>
        <w:t>1.4.1</w:t>
      </w:r>
      <w:r>
        <w:rPr>
          <w:color w:val="0067DE"/>
          <w:spacing w:val="48"/>
          <w:sz w:val="25"/>
          <w:szCs w:val="25"/>
        </w:rPr>
        <w:t xml:space="preserve"> </w:t>
      </w:r>
      <w:r>
        <w:rPr>
          <w:b/>
          <w:bCs/>
          <w:color w:val="0067DE"/>
          <w:spacing w:val="-19"/>
          <w:sz w:val="25"/>
          <w:szCs w:val="25"/>
        </w:rPr>
        <w:t>数字政府</w:t>
      </w:r>
    </w:p>
    <w:p w14:paraId="6E174057">
      <w:pPr>
        <w:pStyle w:val="2"/>
        <w:spacing w:before="177" w:line="279" w:lineRule="auto"/>
        <w:ind w:right="238" w:firstLine="389"/>
        <w:jc w:val="both"/>
        <w:rPr>
          <w:sz w:val="20"/>
          <w:szCs w:val="20"/>
        </w:rPr>
      </w:pPr>
      <w:r>
        <w:rPr>
          <w:spacing w:val="-2"/>
          <w:sz w:val="20"/>
          <w:szCs w:val="20"/>
        </w:rPr>
        <w:t>在新一代信息技术加速普及的大背景下，我国及世界主要国家纷纷推进数字政府建设。数字</w:t>
      </w:r>
      <w:r>
        <w:rPr>
          <w:spacing w:val="8"/>
          <w:sz w:val="20"/>
          <w:szCs w:val="20"/>
        </w:rPr>
        <w:t xml:space="preserve"> </w:t>
      </w:r>
      <w:r>
        <w:rPr>
          <w:spacing w:val="-2"/>
          <w:sz w:val="20"/>
          <w:szCs w:val="20"/>
        </w:rPr>
        <w:t>政府正全方位提升政府履职效能、提高政府治理水平、完善政府治理模式。党的十八大以来，我</w:t>
      </w:r>
      <w:r>
        <w:rPr>
          <w:sz w:val="20"/>
          <w:szCs w:val="20"/>
        </w:rPr>
        <w:t xml:space="preserve"> </w:t>
      </w:r>
      <w:r>
        <w:rPr>
          <w:spacing w:val="-2"/>
          <w:sz w:val="20"/>
          <w:szCs w:val="20"/>
        </w:rPr>
        <w:t>国高度重视数字政府建设。国家“十四五”规划和《“十四五”国家信息化规划》先后提出要提</w:t>
      </w:r>
      <w:r>
        <w:rPr>
          <w:spacing w:val="1"/>
          <w:sz w:val="20"/>
          <w:szCs w:val="20"/>
        </w:rPr>
        <w:t xml:space="preserve"> </w:t>
      </w:r>
      <w:r>
        <w:rPr>
          <w:spacing w:val="-1"/>
          <w:sz w:val="20"/>
          <w:szCs w:val="20"/>
        </w:rPr>
        <w:t>高数字政府建设水平，将数字技术广泛应用于政府管理服务，不断提高决策科学性和服务效</w:t>
      </w:r>
      <w:r>
        <w:rPr>
          <w:spacing w:val="-2"/>
          <w:sz w:val="20"/>
          <w:szCs w:val="20"/>
        </w:rPr>
        <w:t>率。</w:t>
      </w:r>
    </w:p>
    <w:p w14:paraId="59BCFE41">
      <w:pPr>
        <w:pStyle w:val="2"/>
        <w:spacing w:before="116" w:line="222" w:lineRule="auto"/>
        <w:ind w:left="392"/>
        <w:rPr>
          <w:rFonts w:ascii="黑体" w:hAnsi="黑体" w:eastAsia="黑体" w:cs="黑体"/>
          <w:sz w:val="20"/>
          <w:szCs w:val="20"/>
        </w:rPr>
      </w:pPr>
      <w:r>
        <w:rPr>
          <w:b/>
          <w:bCs/>
          <w:color w:val="0063D5"/>
          <w:spacing w:val="-1"/>
          <w:sz w:val="20"/>
          <w:szCs w:val="20"/>
        </w:rPr>
        <w:t>1.</w:t>
      </w:r>
      <w:r>
        <w:rPr>
          <w:rFonts w:ascii="黑体" w:hAnsi="黑体" w:eastAsia="黑体" w:cs="黑体"/>
          <w:b/>
          <w:bCs/>
          <w:color w:val="0063D5"/>
          <w:spacing w:val="-1"/>
          <w:sz w:val="20"/>
          <w:szCs w:val="20"/>
        </w:rPr>
        <w:t>数字政府的内涵</w:t>
      </w:r>
    </w:p>
    <w:p w14:paraId="15492DB1">
      <w:pPr>
        <w:spacing w:before="219" w:line="223" w:lineRule="auto"/>
        <w:ind w:left="389"/>
        <w:rPr>
          <w:rFonts w:ascii="楷体" w:hAnsi="楷体" w:eastAsia="楷体" w:cs="楷体"/>
          <w:sz w:val="20"/>
          <w:szCs w:val="20"/>
        </w:rPr>
      </w:pPr>
      <w:r>
        <w:rPr>
          <w:rFonts w:ascii="楷体" w:hAnsi="楷体" w:eastAsia="楷体" w:cs="楷体"/>
          <w:spacing w:val="7"/>
          <w:sz w:val="20"/>
          <w:szCs w:val="20"/>
        </w:rPr>
        <w:t>1)数字政府的理论内涵</w:t>
      </w:r>
    </w:p>
    <w:p w14:paraId="271A40F9">
      <w:pPr>
        <w:pStyle w:val="2"/>
        <w:spacing w:before="51" w:line="281" w:lineRule="auto"/>
        <w:ind w:right="273" w:firstLine="389"/>
        <w:rPr>
          <w:sz w:val="20"/>
          <w:szCs w:val="20"/>
        </w:rPr>
      </w:pPr>
      <w:r>
        <w:rPr>
          <w:spacing w:val="3"/>
          <w:sz w:val="20"/>
          <w:szCs w:val="20"/>
        </w:rPr>
        <w:t>对于数字政府的内涵界定，学术界主要有两种观点。第一种观点认为，凡是互联网技术介</w:t>
      </w:r>
      <w:r>
        <w:rPr>
          <w:spacing w:val="14"/>
          <w:sz w:val="20"/>
          <w:szCs w:val="20"/>
        </w:rPr>
        <w:t xml:space="preserve"> </w:t>
      </w:r>
      <w:r>
        <w:rPr>
          <w:spacing w:val="3"/>
          <w:sz w:val="20"/>
          <w:szCs w:val="20"/>
        </w:rPr>
        <w:t>入到政府治理中的治理模式都属于数字政府的形态，包括办公自动化、电子政务</w:t>
      </w:r>
      <w:r>
        <w:rPr>
          <w:spacing w:val="2"/>
          <w:sz w:val="20"/>
          <w:szCs w:val="20"/>
        </w:rPr>
        <w:t>以及当前的数</w:t>
      </w:r>
      <w:r>
        <w:rPr>
          <w:sz w:val="20"/>
          <w:szCs w:val="20"/>
        </w:rPr>
        <w:t xml:space="preserve"> </w:t>
      </w:r>
      <w:r>
        <w:rPr>
          <w:spacing w:val="3"/>
          <w:sz w:val="20"/>
          <w:szCs w:val="20"/>
        </w:rPr>
        <w:t>字技术对政府组织架构、运作流程及政务内容的创新和重塑。另一种观点认为，数字</w:t>
      </w:r>
      <w:r>
        <w:rPr>
          <w:spacing w:val="2"/>
          <w:sz w:val="20"/>
          <w:szCs w:val="20"/>
        </w:rPr>
        <w:t>政府是有</w:t>
      </w:r>
      <w:r>
        <w:rPr>
          <w:sz w:val="20"/>
          <w:szCs w:val="20"/>
        </w:rPr>
        <w:t xml:space="preserve"> </w:t>
      </w:r>
      <w:r>
        <w:rPr>
          <w:spacing w:val="3"/>
          <w:sz w:val="20"/>
          <w:szCs w:val="20"/>
        </w:rPr>
        <w:t>别于电子政府、网络政府的一种新型政府形态，强调新一代信息技术对政府组织</w:t>
      </w:r>
      <w:r>
        <w:rPr>
          <w:spacing w:val="2"/>
          <w:sz w:val="20"/>
          <w:szCs w:val="20"/>
        </w:rPr>
        <w:t>架构、行政流</w:t>
      </w:r>
      <w:r>
        <w:rPr>
          <w:sz w:val="20"/>
          <w:szCs w:val="20"/>
        </w:rPr>
        <w:t xml:space="preserve"> </w:t>
      </w:r>
      <w:r>
        <w:rPr>
          <w:spacing w:val="-1"/>
          <w:sz w:val="20"/>
          <w:szCs w:val="20"/>
        </w:rPr>
        <w:t>程、服务供给、施政理念、方式、手段、工具等的系统性、全局</w:t>
      </w:r>
      <w:r>
        <w:rPr>
          <w:spacing w:val="-2"/>
          <w:sz w:val="20"/>
          <w:szCs w:val="20"/>
        </w:rPr>
        <w:t>性变革。</w:t>
      </w:r>
    </w:p>
    <w:p w14:paraId="36F7FED0">
      <w:pPr>
        <w:spacing w:before="116" w:line="223" w:lineRule="auto"/>
        <w:ind w:left="389"/>
        <w:rPr>
          <w:rFonts w:ascii="楷体" w:hAnsi="楷体" w:eastAsia="楷体" w:cs="楷体"/>
          <w:sz w:val="20"/>
          <w:szCs w:val="20"/>
        </w:rPr>
      </w:pPr>
      <w:r>
        <w:rPr>
          <w:rFonts w:ascii="楷体" w:hAnsi="楷体" w:eastAsia="楷体" w:cs="楷体"/>
          <w:spacing w:val="8"/>
          <w:sz w:val="20"/>
          <w:szCs w:val="20"/>
        </w:rPr>
        <w:t>2)新时代数字政府的内涵</w:t>
      </w:r>
    </w:p>
    <w:p w14:paraId="681EC246">
      <w:pPr>
        <w:pStyle w:val="2"/>
        <w:spacing w:before="74" w:line="272" w:lineRule="auto"/>
        <w:ind w:right="267" w:firstLine="389"/>
        <w:rPr>
          <w:sz w:val="20"/>
          <w:szCs w:val="20"/>
        </w:rPr>
      </w:pPr>
      <w:r>
        <w:rPr>
          <w:spacing w:val="3"/>
          <w:sz w:val="20"/>
          <w:szCs w:val="20"/>
        </w:rPr>
        <w:t>新时代数字政府是在“立足新发展阶段、贯彻新发展理念、构建新发展格局”的历史方位</w:t>
      </w:r>
      <w:r>
        <w:rPr>
          <w:spacing w:val="10"/>
          <w:sz w:val="20"/>
          <w:szCs w:val="20"/>
        </w:rPr>
        <w:t xml:space="preserve"> </w:t>
      </w:r>
      <w:r>
        <w:rPr>
          <w:spacing w:val="3"/>
          <w:sz w:val="20"/>
          <w:szCs w:val="20"/>
        </w:rPr>
        <w:t>下，坚持全心全意为人民服务的根本宗旨，以新一代信息技术为支撑，以应用场景为牵引，以</w:t>
      </w:r>
      <w:r>
        <w:rPr>
          <w:spacing w:val="4"/>
          <w:sz w:val="20"/>
          <w:szCs w:val="20"/>
        </w:rPr>
        <w:t xml:space="preserve"> </w:t>
      </w:r>
      <w:r>
        <w:rPr>
          <w:spacing w:val="3"/>
          <w:sz w:val="20"/>
          <w:szCs w:val="20"/>
        </w:rPr>
        <w:t>数据治理为关键，通过重组政府架构、再造政府流程、优化政务服务，全面提升政府在经济调</w:t>
      </w:r>
      <w:r>
        <w:rPr>
          <w:spacing w:val="2"/>
          <w:sz w:val="20"/>
          <w:szCs w:val="20"/>
        </w:rPr>
        <w:t xml:space="preserve"> </w:t>
      </w:r>
      <w:r>
        <w:rPr>
          <w:spacing w:val="3"/>
          <w:sz w:val="20"/>
          <w:szCs w:val="20"/>
        </w:rPr>
        <w:t>节、市场监管、社会治理、公共服务、生态环境保护等领域数字化履职能力，提</w:t>
      </w:r>
      <w:r>
        <w:rPr>
          <w:spacing w:val="2"/>
          <w:sz w:val="20"/>
          <w:szCs w:val="20"/>
        </w:rPr>
        <w:t>升政务运行效</w:t>
      </w:r>
      <w:r>
        <w:rPr>
          <w:sz w:val="20"/>
          <w:szCs w:val="20"/>
        </w:rPr>
        <w:t xml:space="preserve"> </w:t>
      </w:r>
      <w:r>
        <w:rPr>
          <w:spacing w:val="3"/>
          <w:sz w:val="20"/>
          <w:szCs w:val="20"/>
        </w:rPr>
        <w:t>能和政务公开水平，促进政府治理体系和治理能力现代化，实现政府决策科学化、社</w:t>
      </w:r>
      <w:r>
        <w:rPr>
          <w:spacing w:val="2"/>
          <w:sz w:val="20"/>
          <w:szCs w:val="20"/>
        </w:rPr>
        <w:t>会治理精</w:t>
      </w:r>
      <w:r>
        <w:rPr>
          <w:sz w:val="20"/>
          <w:szCs w:val="20"/>
        </w:rPr>
        <w:t xml:space="preserve"> </w:t>
      </w:r>
      <w:r>
        <w:rPr>
          <w:spacing w:val="-2"/>
          <w:sz w:val="20"/>
          <w:szCs w:val="20"/>
        </w:rPr>
        <w:t>准化、公共服务高效化的新型政府运行形态。</w:t>
      </w:r>
    </w:p>
    <w:p w14:paraId="4D69D675">
      <w:pPr>
        <w:pStyle w:val="2"/>
        <w:spacing w:before="70" w:line="219" w:lineRule="auto"/>
        <w:ind w:left="389"/>
        <w:rPr>
          <w:sz w:val="20"/>
          <w:szCs w:val="20"/>
        </w:rPr>
      </w:pPr>
      <w:r>
        <w:rPr>
          <w:spacing w:val="-4"/>
          <w:sz w:val="20"/>
          <w:szCs w:val="20"/>
        </w:rPr>
        <w:t>新时代数字政府的内涵包含两个要点：</w:t>
      </w:r>
    </w:p>
    <w:p w14:paraId="2654F0E9">
      <w:pPr>
        <w:pStyle w:val="2"/>
        <w:spacing w:before="52" w:line="283" w:lineRule="auto"/>
        <w:ind w:left="659" w:right="275" w:hanging="270"/>
        <w:rPr>
          <w:sz w:val="20"/>
          <w:szCs w:val="20"/>
        </w:rPr>
      </w:pPr>
      <w:r>
        <w:rPr>
          <w:spacing w:val="8"/>
          <w:sz w:val="20"/>
          <w:szCs w:val="20"/>
        </w:rPr>
        <w:t>●新时代数字政府是一种全新的政府运行形态或模式，是一种创新的行政管理和服务方</w:t>
      </w:r>
      <w:r>
        <w:rPr>
          <w:spacing w:val="3"/>
          <w:sz w:val="20"/>
          <w:szCs w:val="20"/>
        </w:rPr>
        <w:t xml:space="preserve"> </w:t>
      </w:r>
      <w:r>
        <w:rPr>
          <w:spacing w:val="2"/>
          <w:sz w:val="20"/>
          <w:szCs w:val="20"/>
        </w:rPr>
        <w:t>式，涉及制度创新、组织创新、管理创新、业务</w:t>
      </w:r>
      <w:r>
        <w:rPr>
          <w:spacing w:val="1"/>
          <w:sz w:val="20"/>
          <w:szCs w:val="20"/>
        </w:rPr>
        <w:t>创新、技术创新等系统性、全方位的深</w:t>
      </w:r>
    </w:p>
    <w:p w14:paraId="5F0AE2AA">
      <w:pPr>
        <w:spacing w:line="283" w:lineRule="auto"/>
        <w:rPr>
          <w:sz w:val="20"/>
          <w:szCs w:val="20"/>
        </w:rPr>
        <w:sectPr>
          <w:pgSz w:w="10320" w:h="13280"/>
          <w:pgMar w:top="400" w:right="564" w:bottom="400" w:left="1159" w:header="0" w:footer="0" w:gutter="0"/>
          <w:cols w:space="720" w:num="1"/>
        </w:sectPr>
      </w:pPr>
    </w:p>
    <w:p w14:paraId="27E3720C">
      <w:pPr>
        <w:pStyle w:val="2"/>
        <w:spacing w:before="98" w:line="219" w:lineRule="auto"/>
        <w:rPr>
          <w:sz w:val="20"/>
          <w:szCs w:val="20"/>
        </w:rPr>
      </w:pPr>
      <w:r>
        <w:rPr>
          <w:rFonts w:ascii="Times New Roman" w:hAnsi="Times New Roman" w:eastAsia="Times New Roman" w:cs="Times New Roman"/>
          <w:spacing w:val="-2"/>
          <w:position w:val="1"/>
          <w:sz w:val="20"/>
          <w:szCs w:val="20"/>
        </w:rPr>
        <w:t xml:space="preserve">28              </w:t>
      </w:r>
      <w:r>
        <w:rPr>
          <w:spacing w:val="-2"/>
          <w:sz w:val="20"/>
          <w:szCs w:val="20"/>
        </w:rPr>
        <w:t>信息系统监理师教程(第2版)</w:t>
      </w:r>
    </w:p>
    <w:p w14:paraId="75F8A560">
      <w:pPr>
        <w:spacing w:line="315" w:lineRule="auto"/>
        <w:rPr>
          <w:rFonts w:ascii="Arial"/>
          <w:sz w:val="21"/>
        </w:rPr>
      </w:pPr>
    </w:p>
    <w:p w14:paraId="25411B5A">
      <w:pPr>
        <w:pStyle w:val="2"/>
        <w:spacing w:before="65" w:line="219" w:lineRule="auto"/>
        <w:ind w:left="959"/>
        <w:rPr>
          <w:sz w:val="20"/>
          <w:szCs w:val="20"/>
        </w:rPr>
      </w:pPr>
      <w:r>
        <w:rPr>
          <w:spacing w:val="-8"/>
          <w:sz w:val="20"/>
          <w:szCs w:val="20"/>
        </w:rPr>
        <w:t>刻变革。</w:t>
      </w:r>
    </w:p>
    <w:p w14:paraId="44EC6C9E">
      <w:pPr>
        <w:pStyle w:val="2"/>
        <w:spacing w:before="112" w:line="272" w:lineRule="auto"/>
        <w:ind w:left="959" w:right="69" w:hanging="279"/>
        <w:rPr>
          <w:sz w:val="20"/>
          <w:szCs w:val="20"/>
        </w:rPr>
      </w:pPr>
      <w:r>
        <w:rPr>
          <w:spacing w:val="3"/>
          <w:sz w:val="20"/>
          <w:szCs w:val="20"/>
        </w:rPr>
        <w:t>●新时代数字政府的核心目标是促进政府治理体系和治理能力现代化，实</w:t>
      </w:r>
      <w:r>
        <w:rPr>
          <w:spacing w:val="2"/>
          <w:sz w:val="20"/>
          <w:szCs w:val="20"/>
        </w:rPr>
        <w:t>现政府决策科学</w:t>
      </w:r>
      <w:r>
        <w:rPr>
          <w:sz w:val="20"/>
          <w:szCs w:val="20"/>
        </w:rPr>
        <w:t xml:space="preserve"> </w:t>
      </w:r>
      <w:r>
        <w:rPr>
          <w:spacing w:val="-4"/>
          <w:sz w:val="20"/>
          <w:szCs w:val="20"/>
        </w:rPr>
        <w:t>化、社会治理精准化、公共服务高效化。</w:t>
      </w:r>
    </w:p>
    <w:p w14:paraId="3A767285">
      <w:pPr>
        <w:pStyle w:val="2"/>
        <w:spacing w:before="145" w:line="221" w:lineRule="auto"/>
        <w:ind w:left="682"/>
        <w:rPr>
          <w:rFonts w:ascii="黑体" w:hAnsi="黑体" w:eastAsia="黑体" w:cs="黑体"/>
          <w:sz w:val="20"/>
          <w:szCs w:val="20"/>
        </w:rPr>
      </w:pPr>
      <w:r>
        <w:rPr>
          <w:b/>
          <w:bCs/>
          <w:color w:val="006ECF"/>
          <w:spacing w:val="-5"/>
          <w:sz w:val="20"/>
          <w:szCs w:val="20"/>
        </w:rPr>
        <w:t>2.</w:t>
      </w:r>
      <w:r>
        <w:rPr>
          <w:rFonts w:ascii="黑体" w:hAnsi="黑体" w:eastAsia="黑体" w:cs="黑体"/>
          <w:b/>
          <w:bCs/>
          <w:color w:val="006ECF"/>
          <w:spacing w:val="-5"/>
          <w:sz w:val="20"/>
          <w:szCs w:val="20"/>
        </w:rPr>
        <w:t>数字政府的特征</w:t>
      </w:r>
    </w:p>
    <w:p w14:paraId="4C12556A">
      <w:pPr>
        <w:pStyle w:val="2"/>
        <w:spacing w:before="134" w:line="291" w:lineRule="auto"/>
        <w:ind w:left="280" w:right="48" w:firstLine="399"/>
        <w:jc w:val="both"/>
        <w:rPr>
          <w:sz w:val="20"/>
          <w:szCs w:val="20"/>
        </w:rPr>
      </w:pPr>
      <w:r>
        <w:rPr>
          <w:spacing w:val="3"/>
          <w:sz w:val="20"/>
          <w:szCs w:val="20"/>
        </w:rPr>
        <w:t>在信息时代，信息传播和信息交换正在快速取代传统资本流动和物</w:t>
      </w:r>
      <w:r>
        <w:rPr>
          <w:spacing w:val="2"/>
          <w:sz w:val="20"/>
          <w:szCs w:val="20"/>
        </w:rPr>
        <w:t>品交换而成为新的社会</w:t>
      </w:r>
      <w:r>
        <w:rPr>
          <w:sz w:val="20"/>
          <w:szCs w:val="20"/>
        </w:rPr>
        <w:t xml:space="preserve"> </w:t>
      </w:r>
      <w:r>
        <w:rPr>
          <w:spacing w:val="3"/>
          <w:sz w:val="20"/>
          <w:szCs w:val="20"/>
        </w:rPr>
        <w:t>驱动力量。凭借信息技术，人们的社会互动正取代等级结</w:t>
      </w:r>
      <w:r>
        <w:rPr>
          <w:spacing w:val="2"/>
          <w:sz w:val="20"/>
          <w:szCs w:val="20"/>
        </w:rPr>
        <w:t>构成为社会组织形式的主导地位，数</w:t>
      </w:r>
      <w:r>
        <w:rPr>
          <w:sz w:val="20"/>
          <w:szCs w:val="20"/>
        </w:rPr>
        <w:t xml:space="preserve"> </w:t>
      </w:r>
      <w:r>
        <w:rPr>
          <w:spacing w:val="3"/>
          <w:sz w:val="20"/>
          <w:szCs w:val="20"/>
        </w:rPr>
        <w:t>据和信息已在整个社会层面开始分享和传播，就连“权力”和“权威”也日趋分解为各个“去</w:t>
      </w:r>
      <w:r>
        <w:rPr>
          <w:spacing w:val="8"/>
          <w:sz w:val="20"/>
          <w:szCs w:val="20"/>
        </w:rPr>
        <w:t xml:space="preserve"> </w:t>
      </w:r>
      <w:r>
        <w:rPr>
          <w:spacing w:val="-2"/>
          <w:sz w:val="20"/>
          <w:szCs w:val="20"/>
        </w:rPr>
        <w:t>组织化”“去中心化”的网络化社会运动，普通民众通过自己的移动终端和社交工具也可以参与</w:t>
      </w:r>
      <w:r>
        <w:rPr>
          <w:sz w:val="20"/>
          <w:szCs w:val="20"/>
        </w:rPr>
        <w:t xml:space="preserve"> </w:t>
      </w:r>
      <w:r>
        <w:rPr>
          <w:spacing w:val="3"/>
          <w:sz w:val="20"/>
          <w:szCs w:val="20"/>
        </w:rPr>
        <w:t>社会公共问题的治理协商。数字政府作为一种新型国家治理方式，其主要特征体现在信息传播</w:t>
      </w:r>
      <w:r>
        <w:rPr>
          <w:spacing w:val="4"/>
          <w:sz w:val="20"/>
          <w:szCs w:val="20"/>
        </w:rPr>
        <w:t xml:space="preserve"> </w:t>
      </w:r>
      <w:r>
        <w:rPr>
          <w:spacing w:val="-1"/>
          <w:sz w:val="20"/>
          <w:szCs w:val="20"/>
        </w:rPr>
        <w:t>的平等化、社会生活的全面数据化、政府服务的精准</w:t>
      </w:r>
      <w:r>
        <w:rPr>
          <w:spacing w:val="-2"/>
          <w:sz w:val="20"/>
          <w:szCs w:val="20"/>
        </w:rPr>
        <w:t>化、政府治理的智慧化四个方面。</w:t>
      </w:r>
    </w:p>
    <w:p w14:paraId="01826725">
      <w:pPr>
        <w:spacing w:before="96" w:line="224" w:lineRule="auto"/>
        <w:ind w:left="680"/>
        <w:rPr>
          <w:rFonts w:ascii="楷体" w:hAnsi="楷体" w:eastAsia="楷体" w:cs="楷体"/>
          <w:sz w:val="20"/>
          <w:szCs w:val="20"/>
        </w:rPr>
      </w:pPr>
      <w:r>
        <w:rPr>
          <w:rFonts w:ascii="楷体" w:hAnsi="楷体" w:eastAsia="楷体" w:cs="楷体"/>
          <w:spacing w:val="8"/>
          <w:sz w:val="20"/>
          <w:szCs w:val="20"/>
        </w:rPr>
        <w:t>1)信息传播的平等化</w:t>
      </w:r>
    </w:p>
    <w:p w14:paraId="18234B03">
      <w:pPr>
        <w:pStyle w:val="2"/>
        <w:spacing w:before="71" w:line="277" w:lineRule="auto"/>
        <w:ind w:left="280" w:right="71" w:firstLine="399"/>
        <w:rPr>
          <w:sz w:val="20"/>
          <w:szCs w:val="20"/>
        </w:rPr>
      </w:pPr>
      <w:r>
        <w:rPr>
          <w:spacing w:val="3"/>
          <w:sz w:val="20"/>
          <w:szCs w:val="20"/>
        </w:rPr>
        <w:t>在社会生活中，信息的生产与流动不再局限于精英之间，每个具备</w:t>
      </w:r>
      <w:r>
        <w:rPr>
          <w:spacing w:val="2"/>
          <w:sz w:val="20"/>
          <w:szCs w:val="20"/>
        </w:rPr>
        <w:t>一定信息技术能力的社</w:t>
      </w:r>
      <w:r>
        <w:rPr>
          <w:sz w:val="20"/>
          <w:szCs w:val="20"/>
        </w:rPr>
        <w:t xml:space="preserve"> </w:t>
      </w:r>
      <w:r>
        <w:rPr>
          <w:spacing w:val="2"/>
          <w:sz w:val="20"/>
          <w:szCs w:val="20"/>
        </w:rPr>
        <w:t>会个体都可以成为信息的生产者、传播者和消费者，这使得知识和信息资源在社会全体成员之</w:t>
      </w:r>
      <w:r>
        <w:rPr>
          <w:spacing w:val="5"/>
          <w:sz w:val="20"/>
          <w:szCs w:val="20"/>
        </w:rPr>
        <w:t xml:space="preserve"> </w:t>
      </w:r>
      <w:r>
        <w:rPr>
          <w:spacing w:val="-2"/>
          <w:sz w:val="20"/>
          <w:szCs w:val="20"/>
        </w:rPr>
        <w:t>间自由流动，从而使得有关社会公共问题的治理走向多主体参与和多主体协商。</w:t>
      </w:r>
    </w:p>
    <w:p w14:paraId="157832CD">
      <w:pPr>
        <w:spacing w:before="133" w:line="230" w:lineRule="auto"/>
        <w:ind w:left="680"/>
        <w:rPr>
          <w:rFonts w:ascii="楷体" w:hAnsi="楷体" w:eastAsia="楷体" w:cs="楷体"/>
          <w:sz w:val="20"/>
          <w:szCs w:val="20"/>
        </w:rPr>
      </w:pPr>
      <w:r>
        <w:rPr>
          <w:rFonts w:ascii="楷体" w:hAnsi="楷体" w:eastAsia="楷体" w:cs="楷体"/>
          <w:spacing w:val="9"/>
          <w:sz w:val="20"/>
          <w:szCs w:val="20"/>
        </w:rPr>
        <w:t>2)社会生活的全面数据化</w:t>
      </w:r>
    </w:p>
    <w:p w14:paraId="2C877E9B">
      <w:pPr>
        <w:pStyle w:val="2"/>
        <w:spacing w:before="56" w:line="278" w:lineRule="auto"/>
        <w:ind w:left="280" w:right="63" w:firstLine="399"/>
        <w:rPr>
          <w:sz w:val="20"/>
          <w:szCs w:val="20"/>
        </w:rPr>
      </w:pPr>
      <w:r>
        <w:rPr>
          <w:spacing w:val="3"/>
          <w:sz w:val="20"/>
          <w:szCs w:val="20"/>
        </w:rPr>
        <w:t>由于信息采集技术的进步和信息存储成本的降低，社会生活越来越具有高</w:t>
      </w:r>
      <w:r>
        <w:rPr>
          <w:spacing w:val="2"/>
          <w:sz w:val="20"/>
          <w:szCs w:val="20"/>
        </w:rPr>
        <w:t>频互动性，同时</w:t>
      </w:r>
      <w:r>
        <w:rPr>
          <w:sz w:val="20"/>
          <w:szCs w:val="20"/>
        </w:rPr>
        <w:t xml:space="preserve"> </w:t>
      </w:r>
      <w:r>
        <w:rPr>
          <w:spacing w:val="3"/>
          <w:sz w:val="20"/>
          <w:szCs w:val="20"/>
        </w:rPr>
        <w:t>人们的日常行为也越来越具有可记录性、可监测性和可预测性，人正在成为一</w:t>
      </w:r>
      <w:r>
        <w:rPr>
          <w:spacing w:val="2"/>
          <w:sz w:val="20"/>
          <w:szCs w:val="20"/>
        </w:rPr>
        <w:t>切数据足迹的总</w:t>
      </w:r>
      <w:r>
        <w:rPr>
          <w:sz w:val="20"/>
          <w:szCs w:val="20"/>
        </w:rPr>
        <w:t xml:space="preserve"> </w:t>
      </w:r>
      <w:r>
        <w:rPr>
          <w:spacing w:val="-2"/>
          <w:sz w:val="20"/>
          <w:szCs w:val="20"/>
        </w:rPr>
        <w:t>和，人们的一切行为都可以以数据的形式被记录、被储存和被处理。</w:t>
      </w:r>
    </w:p>
    <w:p w14:paraId="570F93A6">
      <w:pPr>
        <w:spacing w:before="116" w:line="225" w:lineRule="auto"/>
        <w:ind w:left="680"/>
        <w:rPr>
          <w:rFonts w:ascii="楷体" w:hAnsi="楷体" w:eastAsia="楷体" w:cs="楷体"/>
          <w:sz w:val="20"/>
          <w:szCs w:val="20"/>
        </w:rPr>
      </w:pPr>
      <w:r>
        <w:rPr>
          <w:rFonts w:ascii="楷体" w:hAnsi="楷体" w:eastAsia="楷体" w:cs="楷体"/>
          <w:spacing w:val="10"/>
          <w:sz w:val="20"/>
          <w:szCs w:val="20"/>
        </w:rPr>
        <w:t>3)政府服务的精准化</w:t>
      </w:r>
    </w:p>
    <w:p w14:paraId="76B914E2">
      <w:pPr>
        <w:pStyle w:val="2"/>
        <w:spacing w:before="57" w:line="282" w:lineRule="auto"/>
        <w:ind w:left="280" w:right="72" w:firstLine="399"/>
        <w:rPr>
          <w:sz w:val="20"/>
          <w:szCs w:val="20"/>
        </w:rPr>
      </w:pPr>
      <w:r>
        <w:rPr>
          <w:spacing w:val="3"/>
          <w:sz w:val="20"/>
          <w:szCs w:val="20"/>
        </w:rPr>
        <w:t>政府各部门数据日趋融通、开放和具有可计算性，使得政府服务</w:t>
      </w:r>
      <w:r>
        <w:rPr>
          <w:spacing w:val="2"/>
          <w:sz w:val="20"/>
          <w:szCs w:val="20"/>
        </w:rPr>
        <w:t>由以前的粗放式管理日趋</w:t>
      </w:r>
      <w:r>
        <w:rPr>
          <w:sz w:val="20"/>
          <w:szCs w:val="20"/>
        </w:rPr>
        <w:t xml:space="preserve"> </w:t>
      </w:r>
      <w:r>
        <w:rPr>
          <w:spacing w:val="-2"/>
          <w:sz w:val="20"/>
          <w:szCs w:val="20"/>
        </w:rPr>
        <w:t>转向针对具体个人、具体问题的高效、精准化治理。</w:t>
      </w:r>
    </w:p>
    <w:p w14:paraId="41A8504B">
      <w:pPr>
        <w:spacing w:before="96" w:line="224" w:lineRule="auto"/>
        <w:ind w:left="680"/>
        <w:rPr>
          <w:rFonts w:ascii="楷体" w:hAnsi="楷体" w:eastAsia="楷体" w:cs="楷体"/>
          <w:sz w:val="20"/>
          <w:szCs w:val="20"/>
        </w:rPr>
      </w:pPr>
      <w:r>
        <w:rPr>
          <w:rFonts w:ascii="楷体" w:hAnsi="楷体" w:eastAsia="楷体" w:cs="楷体"/>
          <w:spacing w:val="10"/>
          <w:sz w:val="20"/>
          <w:szCs w:val="20"/>
        </w:rPr>
        <w:t>4)政府治理的智慧化</w:t>
      </w:r>
    </w:p>
    <w:p w14:paraId="5C0E1B75">
      <w:pPr>
        <w:pStyle w:val="2"/>
        <w:spacing w:before="83" w:line="279" w:lineRule="auto"/>
        <w:ind w:left="280" w:right="43" w:firstLine="399"/>
        <w:rPr>
          <w:sz w:val="20"/>
          <w:szCs w:val="20"/>
        </w:rPr>
      </w:pPr>
      <w:r>
        <w:rPr>
          <w:spacing w:val="3"/>
          <w:sz w:val="20"/>
          <w:szCs w:val="20"/>
        </w:rPr>
        <w:t>传统的农业社会和工业社会的政府职能主要以统计管理为主，目标</w:t>
      </w:r>
      <w:r>
        <w:rPr>
          <w:spacing w:val="2"/>
          <w:sz w:val="20"/>
          <w:szCs w:val="20"/>
        </w:rPr>
        <w:t>是为统治者和精英决策</w:t>
      </w:r>
      <w:r>
        <w:rPr>
          <w:sz w:val="20"/>
          <w:szCs w:val="20"/>
        </w:rPr>
        <w:t xml:space="preserve"> </w:t>
      </w:r>
      <w:r>
        <w:rPr>
          <w:spacing w:val="3"/>
          <w:sz w:val="20"/>
          <w:szCs w:val="20"/>
        </w:rPr>
        <w:t>层提供决策数据与信息支撑，而信息社会的政府职能则以数据融通和提供智慧服务为主，着力</w:t>
      </w:r>
      <w:r>
        <w:rPr>
          <w:spacing w:val="13"/>
          <w:sz w:val="20"/>
          <w:szCs w:val="20"/>
        </w:rPr>
        <w:t xml:space="preserve"> </w:t>
      </w:r>
      <w:r>
        <w:rPr>
          <w:spacing w:val="3"/>
          <w:sz w:val="20"/>
          <w:szCs w:val="20"/>
        </w:rPr>
        <w:t>解决信息碎片化、应用条块化、服务割裂化等问题，确保信息</w:t>
      </w:r>
      <w:r>
        <w:rPr>
          <w:spacing w:val="2"/>
          <w:sz w:val="20"/>
          <w:szCs w:val="20"/>
        </w:rPr>
        <w:t>数据在政府与社会、市场、公民</w:t>
      </w:r>
      <w:r>
        <w:rPr>
          <w:sz w:val="20"/>
          <w:szCs w:val="20"/>
        </w:rPr>
        <w:t xml:space="preserve"> </w:t>
      </w:r>
      <w:r>
        <w:rPr>
          <w:spacing w:val="-1"/>
          <w:sz w:val="20"/>
          <w:szCs w:val="20"/>
        </w:rPr>
        <w:t>之间畅通，更好地提供个性化的政府服务，以</w:t>
      </w:r>
      <w:r>
        <w:rPr>
          <w:spacing w:val="-2"/>
          <w:sz w:val="20"/>
          <w:szCs w:val="20"/>
        </w:rPr>
        <w:t>信息化推进国家治理体系和治理能力现代化。</w:t>
      </w:r>
    </w:p>
    <w:p w14:paraId="0602D54B">
      <w:pPr>
        <w:pStyle w:val="2"/>
        <w:spacing w:before="125" w:line="221" w:lineRule="auto"/>
        <w:ind w:left="682"/>
        <w:rPr>
          <w:rFonts w:ascii="黑体" w:hAnsi="黑体" w:eastAsia="黑体" w:cs="黑体"/>
          <w:sz w:val="20"/>
          <w:szCs w:val="20"/>
        </w:rPr>
      </w:pPr>
      <w:r>
        <w:rPr>
          <w:b/>
          <w:bCs/>
          <w:color w:val="006AC7"/>
          <w:spacing w:val="-4"/>
          <w:sz w:val="20"/>
          <w:szCs w:val="20"/>
        </w:rPr>
        <w:t>3.</w:t>
      </w:r>
      <w:r>
        <w:rPr>
          <w:rFonts w:ascii="黑体" w:hAnsi="黑体" w:eastAsia="黑体" w:cs="黑体"/>
          <w:b/>
          <w:bCs/>
          <w:color w:val="006AC7"/>
          <w:spacing w:val="-4"/>
          <w:sz w:val="20"/>
          <w:szCs w:val="20"/>
        </w:rPr>
        <w:t>数字政府的发展历程</w:t>
      </w:r>
    </w:p>
    <w:p w14:paraId="20AB01BA">
      <w:pPr>
        <w:pStyle w:val="2"/>
        <w:spacing w:before="144" w:line="219" w:lineRule="auto"/>
        <w:ind w:left="680"/>
        <w:rPr>
          <w:sz w:val="20"/>
          <w:szCs w:val="20"/>
        </w:rPr>
      </w:pPr>
      <w:r>
        <w:rPr>
          <w:spacing w:val="-3"/>
          <w:sz w:val="20"/>
          <w:szCs w:val="20"/>
        </w:rPr>
        <w:t>我国政府信息化的发展大致经历了三个阶段：</w:t>
      </w:r>
    </w:p>
    <w:p w14:paraId="0CE974AF">
      <w:pPr>
        <w:pStyle w:val="2"/>
        <w:spacing w:before="53" w:line="262" w:lineRule="auto"/>
        <w:ind w:left="959" w:right="71" w:hanging="279"/>
        <w:rPr>
          <w:sz w:val="20"/>
          <w:szCs w:val="20"/>
        </w:rPr>
      </w:pPr>
      <w:r>
        <w:rPr>
          <w:spacing w:val="7"/>
          <w:sz w:val="20"/>
          <w:szCs w:val="20"/>
        </w:rPr>
        <w:t>●第一阶段，电子政府。从1993年到2001年，以典型的“三金工程”为代表，实现了政</w:t>
      </w:r>
      <w:r>
        <w:rPr>
          <w:spacing w:val="13"/>
          <w:sz w:val="20"/>
          <w:szCs w:val="20"/>
        </w:rPr>
        <w:t xml:space="preserve"> </w:t>
      </w:r>
      <w:r>
        <w:rPr>
          <w:spacing w:val="-4"/>
          <w:sz w:val="20"/>
          <w:szCs w:val="20"/>
        </w:rPr>
        <w:t>府内部办公自动化。</w:t>
      </w:r>
    </w:p>
    <w:p w14:paraId="4BDEE5C9">
      <w:pPr>
        <w:pStyle w:val="2"/>
        <w:spacing w:before="94" w:line="269" w:lineRule="auto"/>
        <w:ind w:left="859" w:right="51" w:hanging="179"/>
        <w:rPr>
          <w:sz w:val="20"/>
          <w:szCs w:val="20"/>
        </w:rPr>
      </w:pPr>
      <w:r>
        <w:rPr>
          <w:spacing w:val="12"/>
          <w:sz w:val="20"/>
          <w:szCs w:val="20"/>
        </w:rPr>
        <w:t>●第二阶段，网络政府。从2002年到2016年，2002年国家颁发电子政务建设文件，明</w:t>
      </w:r>
      <w:r>
        <w:rPr>
          <w:spacing w:val="4"/>
          <w:sz w:val="20"/>
          <w:szCs w:val="20"/>
        </w:rPr>
        <w:t xml:space="preserve"> </w:t>
      </w:r>
      <w:r>
        <w:rPr>
          <w:spacing w:val="14"/>
          <w:sz w:val="20"/>
          <w:szCs w:val="20"/>
        </w:rPr>
        <w:t>确提出加快建设12个重要业务系统，即“十二金工程”。经过国民经济和社会发展</w:t>
      </w:r>
      <w:r>
        <w:rPr>
          <w:spacing w:val="11"/>
          <w:sz w:val="20"/>
          <w:szCs w:val="20"/>
        </w:rPr>
        <w:t xml:space="preserve"> </w:t>
      </w:r>
      <w:r>
        <w:rPr>
          <w:spacing w:val="-1"/>
          <w:sz w:val="20"/>
          <w:szCs w:val="20"/>
        </w:rPr>
        <w:t>“十一五”规划、“十二五”规划，从国家到省、市、县</w:t>
      </w:r>
      <w:r>
        <w:rPr>
          <w:spacing w:val="-2"/>
          <w:sz w:val="20"/>
          <w:szCs w:val="20"/>
        </w:rPr>
        <w:t>各级政府大力建设网络政府，基</w:t>
      </w:r>
      <w:r>
        <w:rPr>
          <w:sz w:val="20"/>
          <w:szCs w:val="20"/>
        </w:rPr>
        <w:t xml:space="preserve"> </w:t>
      </w:r>
      <w:r>
        <w:rPr>
          <w:spacing w:val="7"/>
          <w:sz w:val="20"/>
          <w:szCs w:val="20"/>
        </w:rPr>
        <w:t>础网络基本覆盖。</w:t>
      </w:r>
    </w:p>
    <w:p w14:paraId="4B66F9BB">
      <w:pPr>
        <w:pStyle w:val="2"/>
        <w:spacing w:before="83" w:line="219" w:lineRule="auto"/>
        <w:jc w:val="right"/>
        <w:rPr>
          <w:sz w:val="20"/>
          <w:szCs w:val="20"/>
        </w:rPr>
      </w:pPr>
      <w:r>
        <w:rPr>
          <w:spacing w:val="1"/>
          <w:sz w:val="20"/>
          <w:szCs w:val="20"/>
        </w:rPr>
        <w:t>●第三阶段，数字政府。从2017年开始，国家“十三五”规划提出建设</w:t>
      </w:r>
      <w:r>
        <w:rPr>
          <w:sz w:val="20"/>
          <w:szCs w:val="20"/>
        </w:rPr>
        <w:t>“两网、</w:t>
      </w:r>
      <w:r>
        <w:rPr>
          <w:spacing w:val="46"/>
          <w:sz w:val="20"/>
          <w:szCs w:val="20"/>
        </w:rPr>
        <w:t xml:space="preserve"> </w:t>
      </w:r>
      <w:r>
        <w:rPr>
          <w:sz w:val="20"/>
          <w:szCs w:val="20"/>
        </w:rPr>
        <w:t>一平台、</w:t>
      </w:r>
    </w:p>
    <w:p w14:paraId="2480E8DB">
      <w:pPr>
        <w:spacing w:line="219" w:lineRule="auto"/>
        <w:rPr>
          <w:sz w:val="20"/>
          <w:szCs w:val="20"/>
        </w:rPr>
        <w:sectPr>
          <w:pgSz w:w="10330" w:h="13390"/>
          <w:pgMar w:top="400" w:right="1109" w:bottom="400" w:left="559" w:header="0" w:footer="0" w:gutter="0"/>
          <w:cols w:space="720" w:num="1"/>
        </w:sectPr>
      </w:pPr>
    </w:p>
    <w:p w14:paraId="7BF33257">
      <w:pPr>
        <w:pStyle w:val="2"/>
        <w:spacing w:before="67" w:line="201" w:lineRule="auto"/>
        <w:jc w:val="right"/>
        <w:rPr>
          <w:rFonts w:ascii="Times New Roman" w:hAnsi="Times New Roman" w:eastAsia="Times New Roman" w:cs="Times New Roman"/>
          <w:sz w:val="28"/>
          <w:szCs w:val="28"/>
        </w:rPr>
      </w:pPr>
      <w:r>
        <w:rPr>
          <w:spacing w:val="-4"/>
          <w:sz w:val="20"/>
          <w:szCs w:val="20"/>
        </w:rPr>
        <w:t>第1章 信息与信息化</w:t>
      </w:r>
      <w:r>
        <w:rPr>
          <w:spacing w:val="9"/>
          <w:sz w:val="20"/>
          <w:szCs w:val="20"/>
        </w:rPr>
        <w:t xml:space="preserve">      </w:t>
      </w:r>
      <w:r>
        <w:rPr>
          <w:rFonts w:ascii="Times New Roman" w:hAnsi="Times New Roman" w:eastAsia="Times New Roman" w:cs="Times New Roman"/>
          <w:spacing w:val="-4"/>
          <w:position w:val="-3"/>
          <w:sz w:val="28"/>
          <w:szCs w:val="28"/>
        </w:rPr>
        <w:t>29</w:t>
      </w:r>
    </w:p>
    <w:p w14:paraId="1C6BEC8D">
      <w:pPr>
        <w:spacing w:line="273" w:lineRule="auto"/>
        <w:rPr>
          <w:rFonts w:ascii="Arial"/>
          <w:sz w:val="21"/>
        </w:rPr>
      </w:pPr>
    </w:p>
    <w:p w14:paraId="0C7BDA09">
      <w:pPr>
        <w:pStyle w:val="2"/>
        <w:spacing w:before="65" w:line="290" w:lineRule="auto"/>
        <w:ind w:left="820" w:right="306"/>
        <w:jc w:val="both"/>
        <w:rPr>
          <w:sz w:val="20"/>
          <w:szCs w:val="20"/>
        </w:rPr>
      </w:pPr>
      <w:r>
        <w:rPr>
          <w:sz w:val="20"/>
          <w:szCs w:val="20"/>
        </w:rPr>
        <w:t>四库、六系统”等国家重大政务信息化工程，政务服务标准化、网络水平显著提升，大</w:t>
      </w:r>
      <w:r>
        <w:rPr>
          <w:spacing w:val="8"/>
          <w:sz w:val="20"/>
          <w:szCs w:val="20"/>
        </w:rPr>
        <w:t xml:space="preserve"> </w:t>
      </w:r>
      <w:r>
        <w:rPr>
          <w:sz w:val="20"/>
          <w:szCs w:val="20"/>
        </w:rPr>
        <w:t>幅度提升智慧化政务服务水平。2017年习近平总书记提出“数字中国”概念，十九大报</w:t>
      </w:r>
      <w:r>
        <w:rPr>
          <w:spacing w:val="8"/>
          <w:sz w:val="20"/>
          <w:szCs w:val="20"/>
        </w:rPr>
        <w:t xml:space="preserve"> </w:t>
      </w:r>
      <w:r>
        <w:rPr>
          <w:sz w:val="20"/>
          <w:szCs w:val="20"/>
        </w:rPr>
        <w:t>告明确提出“数字政府”概念，标志着政府信息化进入</w:t>
      </w:r>
      <w:r>
        <w:rPr>
          <w:spacing w:val="-1"/>
          <w:sz w:val="20"/>
          <w:szCs w:val="20"/>
        </w:rPr>
        <w:t>了数字政府阶段。各级政府单位</w:t>
      </w:r>
      <w:r>
        <w:rPr>
          <w:sz w:val="20"/>
          <w:szCs w:val="20"/>
        </w:rPr>
        <w:t xml:space="preserve"> 网络基本成熟，政务信息化工作取得长足发展，基本实现部门办公自动化、重点业务信</w:t>
      </w:r>
      <w:r>
        <w:rPr>
          <w:spacing w:val="13"/>
          <w:sz w:val="20"/>
          <w:szCs w:val="20"/>
        </w:rPr>
        <w:t xml:space="preserve"> </w:t>
      </w:r>
      <w:r>
        <w:rPr>
          <w:spacing w:val="-4"/>
          <w:sz w:val="20"/>
          <w:szCs w:val="20"/>
        </w:rPr>
        <w:t>息化和政府网站普及化。</w:t>
      </w:r>
    </w:p>
    <w:p w14:paraId="0B425028">
      <w:pPr>
        <w:pStyle w:val="2"/>
        <w:spacing w:before="155" w:line="221" w:lineRule="auto"/>
        <w:ind w:left="502"/>
        <w:rPr>
          <w:rFonts w:ascii="黑体" w:hAnsi="黑体" w:eastAsia="黑体" w:cs="黑体"/>
          <w:sz w:val="20"/>
          <w:szCs w:val="20"/>
        </w:rPr>
      </w:pPr>
      <w:r>
        <w:rPr>
          <w:b/>
          <w:bCs/>
          <w:color w:val="0067CE"/>
          <w:spacing w:val="-1"/>
          <w:sz w:val="20"/>
          <w:szCs w:val="20"/>
        </w:rPr>
        <w:t>4.</w:t>
      </w:r>
      <w:r>
        <w:rPr>
          <w:rFonts w:ascii="黑体" w:hAnsi="黑体" w:eastAsia="黑体" w:cs="黑体"/>
          <w:b/>
          <w:bCs/>
          <w:color w:val="0067CE"/>
          <w:spacing w:val="-1"/>
          <w:sz w:val="20"/>
          <w:szCs w:val="20"/>
        </w:rPr>
        <w:t>数字政府应用场景</w:t>
      </w:r>
    </w:p>
    <w:p w14:paraId="78DDB5CC">
      <w:pPr>
        <w:pStyle w:val="2"/>
        <w:spacing w:before="156" w:line="282" w:lineRule="auto"/>
        <w:ind w:right="277" w:firstLine="500"/>
        <w:jc w:val="both"/>
        <w:rPr>
          <w:sz w:val="20"/>
          <w:szCs w:val="20"/>
        </w:rPr>
      </w:pPr>
      <w:r>
        <w:rPr>
          <w:spacing w:val="3"/>
          <w:sz w:val="20"/>
          <w:szCs w:val="20"/>
        </w:rPr>
        <w:t>数字政府的建设目标是将数字化技术应用于政府管理、政务服务、公共服务、社会</w:t>
      </w:r>
      <w:r>
        <w:rPr>
          <w:spacing w:val="2"/>
          <w:sz w:val="20"/>
          <w:szCs w:val="20"/>
        </w:rPr>
        <w:t>治理的</w:t>
      </w:r>
      <w:r>
        <w:rPr>
          <w:sz w:val="20"/>
          <w:szCs w:val="20"/>
        </w:rPr>
        <w:t xml:space="preserve"> </w:t>
      </w:r>
      <w:r>
        <w:rPr>
          <w:spacing w:val="2"/>
          <w:sz w:val="20"/>
          <w:szCs w:val="20"/>
        </w:rPr>
        <w:t>全流程，从而推动政府数字化、智能化运行。</w:t>
      </w:r>
      <w:r>
        <w:rPr>
          <w:spacing w:val="1"/>
          <w:sz w:val="20"/>
          <w:szCs w:val="20"/>
        </w:rPr>
        <w:t>其核心目的是满足人民日益增长的美好生活需要。</w:t>
      </w:r>
      <w:r>
        <w:rPr>
          <w:sz w:val="20"/>
          <w:szCs w:val="20"/>
        </w:rPr>
        <w:t xml:space="preserve"> </w:t>
      </w:r>
      <w:r>
        <w:rPr>
          <w:spacing w:val="5"/>
          <w:sz w:val="20"/>
          <w:szCs w:val="20"/>
        </w:rPr>
        <w:t>《国务院关于加强数字政府建设的指导意见》(国发〔2022)14号〕提出要把满足</w:t>
      </w:r>
      <w:r>
        <w:rPr>
          <w:spacing w:val="4"/>
          <w:sz w:val="20"/>
          <w:szCs w:val="20"/>
        </w:rPr>
        <w:t>人民对美好生</w:t>
      </w:r>
      <w:r>
        <w:rPr>
          <w:sz w:val="20"/>
          <w:szCs w:val="20"/>
        </w:rPr>
        <w:t xml:space="preserve"> </w:t>
      </w:r>
      <w:r>
        <w:rPr>
          <w:spacing w:val="5"/>
          <w:sz w:val="20"/>
          <w:szCs w:val="20"/>
        </w:rPr>
        <w:t>活的向往作为数字政府建设的出发点和落脚点，意味着数字政府建设需要时刻秉持</w:t>
      </w:r>
      <w:r>
        <w:rPr>
          <w:spacing w:val="4"/>
          <w:sz w:val="20"/>
          <w:szCs w:val="20"/>
        </w:rPr>
        <w:t>以人民为中</w:t>
      </w:r>
      <w:r>
        <w:rPr>
          <w:sz w:val="20"/>
          <w:szCs w:val="20"/>
        </w:rPr>
        <w:t xml:space="preserve"> </w:t>
      </w:r>
      <w:r>
        <w:rPr>
          <w:spacing w:val="3"/>
          <w:sz w:val="20"/>
          <w:szCs w:val="20"/>
        </w:rPr>
        <w:t>心。数字政府发展至今，其核心场景可以总结为“三张网”,即政务服务“一网通办”、城市治</w:t>
      </w:r>
      <w:r>
        <w:rPr>
          <w:spacing w:val="9"/>
          <w:sz w:val="20"/>
          <w:szCs w:val="20"/>
        </w:rPr>
        <w:t xml:space="preserve"> </w:t>
      </w:r>
      <w:r>
        <w:rPr>
          <w:sz w:val="20"/>
          <w:szCs w:val="20"/>
        </w:rPr>
        <w:t>理“一网统管”、政府运行“一网协同”。以“三张网”为核心构筑的数字政府体系，是政府管</w:t>
      </w:r>
      <w:r>
        <w:rPr>
          <w:spacing w:val="9"/>
          <w:sz w:val="20"/>
          <w:szCs w:val="20"/>
        </w:rPr>
        <w:t xml:space="preserve"> </w:t>
      </w:r>
      <w:r>
        <w:rPr>
          <w:spacing w:val="2"/>
          <w:sz w:val="20"/>
          <w:szCs w:val="20"/>
        </w:rPr>
        <w:t>理和服务模式的创新，也是数字政府得以满足人民现实需求的抓手。公众号：项目管理课堂</w:t>
      </w:r>
    </w:p>
    <w:p w14:paraId="2B5CFCFF">
      <w:pPr>
        <w:spacing w:before="127" w:line="225" w:lineRule="auto"/>
        <w:ind w:left="500"/>
        <w:rPr>
          <w:rFonts w:ascii="楷体" w:hAnsi="楷体" w:eastAsia="楷体" w:cs="楷体"/>
          <w:sz w:val="20"/>
          <w:szCs w:val="20"/>
        </w:rPr>
      </w:pPr>
      <w:r>
        <w:rPr>
          <w:rFonts w:ascii="楷体" w:hAnsi="楷体" w:eastAsia="楷体" w:cs="楷体"/>
          <w:spacing w:val="5"/>
          <w:sz w:val="20"/>
          <w:szCs w:val="20"/>
        </w:rPr>
        <w:t>1)政务服务“一网通办”应用场景</w:t>
      </w:r>
    </w:p>
    <w:p w14:paraId="0B1DD32D">
      <w:pPr>
        <w:pStyle w:val="2"/>
        <w:spacing w:before="70" w:line="279" w:lineRule="auto"/>
        <w:ind w:left="100" w:right="311" w:firstLine="300"/>
        <w:rPr>
          <w:sz w:val="20"/>
          <w:szCs w:val="20"/>
        </w:rPr>
      </w:pPr>
      <w:r>
        <w:rPr>
          <w:sz w:val="20"/>
          <w:szCs w:val="20"/>
        </w:rPr>
        <w:t>“一网通办”是我国政务服务的核心场景，是推进数字政府战略的重要组成部分，是助力民</w:t>
      </w:r>
      <w:r>
        <w:rPr>
          <w:spacing w:val="5"/>
          <w:sz w:val="20"/>
          <w:szCs w:val="20"/>
        </w:rPr>
        <w:t xml:space="preserve"> </w:t>
      </w:r>
      <w:r>
        <w:rPr>
          <w:spacing w:val="1"/>
          <w:sz w:val="20"/>
          <w:szCs w:val="20"/>
        </w:rPr>
        <w:t>众美好生活实现的有效手段。“一网通办”,即将云计算、大数</w:t>
      </w:r>
      <w:r>
        <w:rPr>
          <w:sz w:val="20"/>
          <w:szCs w:val="20"/>
        </w:rPr>
        <w:t xml:space="preserve">据、人工智能等新一代信息技术 </w:t>
      </w:r>
      <w:r>
        <w:rPr>
          <w:spacing w:val="2"/>
          <w:sz w:val="20"/>
          <w:szCs w:val="20"/>
        </w:rPr>
        <w:t>引入到政务服务中，通过构建一体化政务服务平台，建设一体化数据资源体系，全面实现政府</w:t>
      </w:r>
      <w:r>
        <w:rPr>
          <w:spacing w:val="5"/>
          <w:sz w:val="20"/>
          <w:szCs w:val="20"/>
        </w:rPr>
        <w:t xml:space="preserve"> </w:t>
      </w:r>
      <w:r>
        <w:rPr>
          <w:spacing w:val="-1"/>
          <w:sz w:val="20"/>
          <w:szCs w:val="20"/>
        </w:rPr>
        <w:t>公共信息资源的互连共享，建设便捷的在线政务服务，全面提升政府行政服务办</w:t>
      </w:r>
      <w:r>
        <w:rPr>
          <w:spacing w:val="-2"/>
          <w:sz w:val="20"/>
          <w:szCs w:val="20"/>
        </w:rPr>
        <w:t>事效率。</w:t>
      </w:r>
    </w:p>
    <w:p w14:paraId="7497DDED">
      <w:pPr>
        <w:pStyle w:val="2"/>
        <w:spacing w:before="40" w:line="292" w:lineRule="auto"/>
        <w:ind w:left="100" w:right="312" w:firstLine="300"/>
        <w:rPr>
          <w:sz w:val="17"/>
          <w:szCs w:val="17"/>
        </w:rPr>
      </w:pPr>
      <w:r>
        <w:rPr>
          <w:sz w:val="20"/>
          <w:szCs w:val="20"/>
        </w:rPr>
        <w:t>“一网通办”不仅是线上政务服务渠道的开拓，更是一场实质性的变革，通过整体化、集约</w:t>
      </w:r>
      <w:r>
        <w:rPr>
          <w:spacing w:val="5"/>
          <w:sz w:val="20"/>
          <w:szCs w:val="20"/>
        </w:rPr>
        <w:t xml:space="preserve"> </w:t>
      </w:r>
      <w:r>
        <w:rPr>
          <w:spacing w:val="3"/>
          <w:sz w:val="20"/>
          <w:szCs w:val="20"/>
        </w:rPr>
        <w:t>化的建设，实现了线上政务服务的统筹融合，通过技术化的手段推进线上服务与线下服务融合</w:t>
      </w:r>
      <w:r>
        <w:rPr>
          <w:spacing w:val="5"/>
          <w:sz w:val="20"/>
          <w:szCs w:val="20"/>
        </w:rPr>
        <w:t xml:space="preserve"> </w:t>
      </w:r>
      <w:r>
        <w:rPr>
          <w:spacing w:val="-5"/>
          <w:sz w:val="17"/>
          <w:szCs w:val="17"/>
        </w:rPr>
        <w:t>共</w:t>
      </w:r>
      <w:r>
        <w:rPr>
          <w:spacing w:val="-25"/>
          <w:sz w:val="17"/>
          <w:szCs w:val="17"/>
        </w:rPr>
        <w:t xml:space="preserve"> </w:t>
      </w:r>
      <w:r>
        <w:rPr>
          <w:spacing w:val="-5"/>
          <w:sz w:val="17"/>
          <w:szCs w:val="17"/>
        </w:rPr>
        <w:t>通</w:t>
      </w:r>
      <w:r>
        <w:rPr>
          <w:spacing w:val="-32"/>
          <w:sz w:val="17"/>
          <w:szCs w:val="17"/>
        </w:rPr>
        <w:t xml:space="preserve"> </w:t>
      </w:r>
      <w:r>
        <w:rPr>
          <w:spacing w:val="-5"/>
          <w:sz w:val="17"/>
          <w:szCs w:val="17"/>
        </w:rPr>
        <w:t>。</w:t>
      </w:r>
    </w:p>
    <w:p w14:paraId="38DEF15C">
      <w:pPr>
        <w:pStyle w:val="2"/>
        <w:spacing w:before="26" w:line="294" w:lineRule="auto"/>
        <w:ind w:left="100" w:right="302" w:firstLine="300"/>
        <w:jc w:val="both"/>
        <w:rPr>
          <w:sz w:val="17"/>
          <w:szCs w:val="17"/>
        </w:rPr>
      </w:pPr>
      <w:r>
        <w:rPr>
          <w:spacing w:val="1"/>
          <w:sz w:val="20"/>
          <w:szCs w:val="20"/>
        </w:rPr>
        <w:t>“一网通办”的建设，能够有效促进跨地区、跨部门的政务事项</w:t>
      </w:r>
      <w:r>
        <w:rPr>
          <w:sz w:val="20"/>
          <w:szCs w:val="20"/>
        </w:rPr>
        <w:t xml:space="preserve">办理，达到社会公众办事便 </w:t>
      </w:r>
      <w:r>
        <w:rPr>
          <w:spacing w:val="3"/>
          <w:sz w:val="20"/>
          <w:szCs w:val="20"/>
        </w:rPr>
        <w:t>利的目的，进一步提高人民群众对政府部门的满意度和信任感，促进人民与政府之间良好关系</w:t>
      </w:r>
      <w:r>
        <w:rPr>
          <w:spacing w:val="14"/>
          <w:sz w:val="20"/>
          <w:szCs w:val="20"/>
        </w:rPr>
        <w:t xml:space="preserve"> </w:t>
      </w:r>
      <w:r>
        <w:rPr>
          <w:spacing w:val="18"/>
          <w:sz w:val="17"/>
          <w:szCs w:val="17"/>
        </w:rPr>
        <w:t>的形成</w:t>
      </w:r>
      <w:r>
        <w:rPr>
          <w:spacing w:val="-39"/>
          <w:sz w:val="17"/>
          <w:szCs w:val="17"/>
        </w:rPr>
        <w:t xml:space="preserve"> </w:t>
      </w:r>
      <w:r>
        <w:rPr>
          <w:spacing w:val="18"/>
          <w:sz w:val="17"/>
          <w:szCs w:val="17"/>
        </w:rPr>
        <w:t>。</w:t>
      </w:r>
    </w:p>
    <w:p w14:paraId="401B2B7D">
      <w:pPr>
        <w:spacing w:before="110" w:line="223" w:lineRule="auto"/>
        <w:ind w:left="500"/>
        <w:rPr>
          <w:rFonts w:ascii="楷体" w:hAnsi="楷体" w:eastAsia="楷体" w:cs="楷体"/>
          <w:sz w:val="20"/>
          <w:szCs w:val="20"/>
        </w:rPr>
      </w:pPr>
      <w:r>
        <w:rPr>
          <w:rFonts w:ascii="楷体" w:hAnsi="楷体" w:eastAsia="楷体" w:cs="楷体"/>
          <w:spacing w:val="5"/>
          <w:sz w:val="20"/>
          <w:szCs w:val="20"/>
        </w:rPr>
        <w:t>2)城市治理“一网统管”应用场景</w:t>
      </w:r>
    </w:p>
    <w:p w14:paraId="3FBF02A0">
      <w:pPr>
        <w:pStyle w:val="2"/>
        <w:spacing w:before="76" w:line="272" w:lineRule="auto"/>
        <w:ind w:left="99" w:right="240" w:firstLine="300"/>
        <w:rPr>
          <w:sz w:val="20"/>
          <w:szCs w:val="20"/>
        </w:rPr>
      </w:pPr>
      <w:r>
        <w:rPr>
          <w:spacing w:val="6"/>
          <w:sz w:val="20"/>
          <w:szCs w:val="20"/>
        </w:rPr>
        <w:t>“一网统管”是面向城市治理、城市运行的综合管理体系，是以大数据、云计算、人工智</w:t>
      </w:r>
      <w:r>
        <w:rPr>
          <w:spacing w:val="3"/>
          <w:sz w:val="20"/>
          <w:szCs w:val="20"/>
        </w:rPr>
        <w:t xml:space="preserve"> 能等新一代信息技术为支撑，将城市运行管理服务相关信息进行整合，加强对城市运行服务状</w:t>
      </w:r>
      <w:r>
        <w:rPr>
          <w:spacing w:val="4"/>
          <w:sz w:val="20"/>
          <w:szCs w:val="20"/>
        </w:rPr>
        <w:t xml:space="preserve"> </w:t>
      </w:r>
      <w:r>
        <w:rPr>
          <w:sz w:val="20"/>
          <w:szCs w:val="20"/>
        </w:rPr>
        <w:t xml:space="preserve">况的实时监测、动态分析、统筹协调、指挥监督。通过共享、整合、优化、拓展、提升等手段， </w:t>
      </w:r>
      <w:r>
        <w:rPr>
          <w:spacing w:val="1"/>
          <w:sz w:val="20"/>
          <w:szCs w:val="20"/>
        </w:rPr>
        <w:t>打造集常态运行与应急管理于一体的城市运行“一网统管综合平台”</w:t>
      </w:r>
      <w:r>
        <w:rPr>
          <w:sz w:val="20"/>
          <w:szCs w:val="20"/>
        </w:rPr>
        <w:t xml:space="preserve">,逐步构建系统完善的城市 </w:t>
      </w:r>
      <w:r>
        <w:rPr>
          <w:spacing w:val="3"/>
          <w:sz w:val="20"/>
          <w:szCs w:val="20"/>
        </w:rPr>
        <w:t>运行管理体系，实现线上线下协同高效地处置一件事，通过数字化呈现、智能化管理、智慧化</w:t>
      </w:r>
      <w:r>
        <w:rPr>
          <w:spacing w:val="4"/>
          <w:sz w:val="20"/>
          <w:szCs w:val="20"/>
        </w:rPr>
        <w:t xml:space="preserve"> </w:t>
      </w:r>
      <w:r>
        <w:rPr>
          <w:spacing w:val="-2"/>
          <w:sz w:val="20"/>
          <w:szCs w:val="20"/>
        </w:rPr>
        <w:t>预防，不断提高城市治理体系和治理能力现代化。</w:t>
      </w:r>
    </w:p>
    <w:p w14:paraId="4D625E31">
      <w:pPr>
        <w:pStyle w:val="2"/>
        <w:spacing w:before="59" w:line="271" w:lineRule="auto"/>
        <w:ind w:left="99" w:right="303" w:firstLine="300"/>
        <w:rPr>
          <w:sz w:val="20"/>
          <w:szCs w:val="20"/>
        </w:rPr>
      </w:pPr>
      <w:r>
        <w:rPr>
          <w:spacing w:val="1"/>
          <w:sz w:val="20"/>
          <w:szCs w:val="20"/>
        </w:rPr>
        <w:t>“一网统管”是赋能市域治理现代化水平提升、实现国家治理能力</w:t>
      </w:r>
      <w:r>
        <w:rPr>
          <w:sz w:val="20"/>
          <w:szCs w:val="20"/>
        </w:rPr>
        <w:t xml:space="preserve">和治理体系现代化的重要 </w:t>
      </w:r>
      <w:r>
        <w:rPr>
          <w:spacing w:val="-2"/>
          <w:sz w:val="20"/>
          <w:szCs w:val="20"/>
        </w:rPr>
        <w:t>手段。随着各地“一网统管”建设的逐步深化，“一网统管”也逐渐迈向标准化、智能化、人性</w:t>
      </w:r>
      <w:r>
        <w:rPr>
          <w:spacing w:val="10"/>
          <w:sz w:val="20"/>
          <w:szCs w:val="20"/>
        </w:rPr>
        <w:t xml:space="preserve"> </w:t>
      </w:r>
      <w:r>
        <w:rPr>
          <w:spacing w:val="1"/>
          <w:sz w:val="20"/>
          <w:szCs w:val="20"/>
        </w:rPr>
        <w:t>化、多元化、体系化。当前我国各地政府持续推进并迭代“一网统管”,未来“一</w:t>
      </w:r>
      <w:r>
        <w:rPr>
          <w:sz w:val="20"/>
          <w:szCs w:val="20"/>
        </w:rPr>
        <w:t xml:space="preserve">网统管”体制 </w:t>
      </w:r>
      <w:r>
        <w:rPr>
          <w:spacing w:val="3"/>
          <w:sz w:val="20"/>
          <w:szCs w:val="20"/>
        </w:rPr>
        <w:t>机制将愈发完善，城市运行效率和风险防控能力将显著增强，城市科学化、精细化、智能化治</w:t>
      </w:r>
      <w:r>
        <w:rPr>
          <w:spacing w:val="12"/>
          <w:sz w:val="20"/>
          <w:szCs w:val="20"/>
        </w:rPr>
        <w:t xml:space="preserve"> </w:t>
      </w:r>
      <w:r>
        <w:rPr>
          <w:spacing w:val="-4"/>
          <w:sz w:val="20"/>
          <w:szCs w:val="20"/>
        </w:rPr>
        <w:t>理水平将大幅提升。</w:t>
      </w:r>
    </w:p>
    <w:p w14:paraId="5DEE0EC2">
      <w:pPr>
        <w:spacing w:line="271" w:lineRule="auto"/>
        <w:rPr>
          <w:sz w:val="20"/>
          <w:szCs w:val="20"/>
        </w:rPr>
        <w:sectPr>
          <w:pgSz w:w="10310" w:h="13300"/>
          <w:pgMar w:top="400" w:right="489" w:bottom="400" w:left="1079" w:header="0" w:footer="0" w:gutter="0"/>
          <w:cols w:space="720" w:num="1"/>
        </w:sectPr>
      </w:pPr>
    </w:p>
    <w:p w14:paraId="03B88BFA">
      <w:pPr>
        <w:pStyle w:val="2"/>
        <w:spacing w:before="88" w:line="219" w:lineRule="auto"/>
        <w:rPr>
          <w:sz w:val="20"/>
          <w:szCs w:val="20"/>
        </w:rPr>
      </w:pPr>
      <w:r>
        <w:rPr>
          <w:rFonts w:ascii="Times New Roman" w:hAnsi="Times New Roman" w:eastAsia="Times New Roman" w:cs="Times New Roman"/>
          <w:spacing w:val="-4"/>
          <w:position w:val="1"/>
          <w:sz w:val="20"/>
          <w:szCs w:val="20"/>
        </w:rPr>
        <w:t>30</w:t>
      </w:r>
      <w:r>
        <w:rPr>
          <w:rFonts w:ascii="Times New Roman" w:hAnsi="Times New Roman" w:eastAsia="Times New Roman" w:cs="Times New Roman"/>
          <w:spacing w:val="2"/>
          <w:position w:val="1"/>
          <w:sz w:val="20"/>
          <w:szCs w:val="20"/>
        </w:rPr>
        <w:t xml:space="preserve">              </w:t>
      </w:r>
      <w:r>
        <w:rPr>
          <w:spacing w:val="-4"/>
          <w:sz w:val="20"/>
          <w:szCs w:val="20"/>
        </w:rPr>
        <w:t>信息系统监理师教程(第2版)</w:t>
      </w:r>
    </w:p>
    <w:p w14:paraId="374638B2">
      <w:pPr>
        <w:spacing w:line="330" w:lineRule="auto"/>
        <w:rPr>
          <w:rFonts w:ascii="Arial"/>
          <w:sz w:val="21"/>
        </w:rPr>
      </w:pPr>
    </w:p>
    <w:p w14:paraId="239449F2">
      <w:pPr>
        <w:spacing w:before="65" w:line="223" w:lineRule="auto"/>
        <w:ind w:left="689"/>
        <w:rPr>
          <w:rFonts w:ascii="楷体" w:hAnsi="楷体" w:eastAsia="楷体" w:cs="楷体"/>
          <w:sz w:val="20"/>
          <w:szCs w:val="20"/>
        </w:rPr>
      </w:pPr>
      <w:r>
        <w:rPr>
          <w:rFonts w:ascii="楷体" w:hAnsi="楷体" w:eastAsia="楷体" w:cs="楷体"/>
          <w:spacing w:val="4"/>
          <w:sz w:val="20"/>
          <w:szCs w:val="20"/>
        </w:rPr>
        <w:t>3)政府运行“一网协同”应用场景</w:t>
      </w:r>
    </w:p>
    <w:p w14:paraId="1FE9D1AD">
      <w:pPr>
        <w:pStyle w:val="2"/>
        <w:spacing w:before="76" w:line="291" w:lineRule="auto"/>
        <w:ind w:left="289" w:firstLine="299"/>
        <w:jc w:val="both"/>
        <w:rPr>
          <w:sz w:val="20"/>
          <w:szCs w:val="20"/>
        </w:rPr>
      </w:pPr>
      <w:r>
        <w:rPr>
          <w:spacing w:val="3"/>
          <w:sz w:val="20"/>
          <w:szCs w:val="20"/>
        </w:rPr>
        <w:t>“一网协同”面向政府运行和内部管理，是基于大数据、人工智</w:t>
      </w:r>
      <w:r>
        <w:rPr>
          <w:spacing w:val="2"/>
          <w:sz w:val="20"/>
          <w:szCs w:val="20"/>
        </w:rPr>
        <w:t>能、生态开放等技术体系，</w:t>
      </w:r>
      <w:r>
        <w:rPr>
          <w:sz w:val="20"/>
          <w:szCs w:val="20"/>
        </w:rPr>
        <w:t xml:space="preserve"> </w:t>
      </w:r>
      <w:r>
        <w:rPr>
          <w:spacing w:val="3"/>
          <w:sz w:val="20"/>
          <w:szCs w:val="20"/>
        </w:rPr>
        <w:t>以赋能、共建和贴身服务的方式，为政府机关各组织部门、上下级之间、省市县之间</w:t>
      </w:r>
      <w:r>
        <w:rPr>
          <w:spacing w:val="2"/>
          <w:sz w:val="20"/>
          <w:szCs w:val="20"/>
        </w:rPr>
        <w:t>，构建不</w:t>
      </w:r>
      <w:r>
        <w:rPr>
          <w:sz w:val="20"/>
          <w:szCs w:val="20"/>
        </w:rPr>
        <w:t xml:space="preserve">  </w:t>
      </w:r>
      <w:r>
        <w:rPr>
          <w:spacing w:val="3"/>
          <w:sz w:val="20"/>
          <w:szCs w:val="20"/>
        </w:rPr>
        <w:t>断完善、逐步进化的协同工作平台，从而实现政府内部业务流程优化，提升政府履职效能，改</w:t>
      </w:r>
      <w:r>
        <w:rPr>
          <w:spacing w:val="14"/>
          <w:sz w:val="20"/>
          <w:szCs w:val="20"/>
        </w:rPr>
        <w:t xml:space="preserve"> </w:t>
      </w:r>
      <w:r>
        <w:rPr>
          <w:spacing w:val="3"/>
          <w:sz w:val="20"/>
          <w:szCs w:val="20"/>
        </w:rPr>
        <w:t>善内部管理，促进政府职能转变，从而推进政府完成一体化、全方位的数字化变</w:t>
      </w:r>
      <w:r>
        <w:rPr>
          <w:spacing w:val="2"/>
          <w:sz w:val="20"/>
          <w:szCs w:val="20"/>
        </w:rPr>
        <w:t>革，构建政府</w:t>
      </w:r>
      <w:r>
        <w:rPr>
          <w:sz w:val="20"/>
          <w:szCs w:val="20"/>
        </w:rPr>
        <w:t xml:space="preserve">  </w:t>
      </w:r>
      <w:r>
        <w:rPr>
          <w:spacing w:val="-2"/>
          <w:sz w:val="20"/>
          <w:szCs w:val="20"/>
        </w:rPr>
        <w:t>整体智治的新格局。“一网协同”的核心在于“一网”,强调以统一平台和统一门户</w:t>
      </w:r>
      <w:r>
        <w:rPr>
          <w:spacing w:val="-3"/>
          <w:sz w:val="20"/>
          <w:szCs w:val="20"/>
        </w:rPr>
        <w:t>搭建整体化、</w:t>
      </w:r>
      <w:r>
        <w:rPr>
          <w:sz w:val="20"/>
          <w:szCs w:val="20"/>
        </w:rPr>
        <w:t xml:space="preserve"> </w:t>
      </w:r>
      <w:r>
        <w:rPr>
          <w:spacing w:val="6"/>
          <w:sz w:val="20"/>
          <w:szCs w:val="20"/>
        </w:rPr>
        <w:t>全局化、移动化、安全化的运作体系，目标则</w:t>
      </w:r>
      <w:r>
        <w:rPr>
          <w:spacing w:val="5"/>
          <w:sz w:val="20"/>
          <w:szCs w:val="20"/>
        </w:rPr>
        <w:t>在于“协同”,强调以业务融合、开放连接为原</w:t>
      </w:r>
      <w:r>
        <w:rPr>
          <w:sz w:val="20"/>
          <w:szCs w:val="20"/>
        </w:rPr>
        <w:t xml:space="preserve">  </w:t>
      </w:r>
      <w:r>
        <w:rPr>
          <w:spacing w:val="-2"/>
          <w:sz w:val="20"/>
          <w:szCs w:val="20"/>
        </w:rPr>
        <w:t>则，推动数据信息和业务流程在整体政府中真正有效地流转。</w:t>
      </w:r>
    </w:p>
    <w:p w14:paraId="20E44C1E">
      <w:pPr>
        <w:pStyle w:val="2"/>
        <w:spacing w:before="27" w:line="281" w:lineRule="auto"/>
        <w:ind w:left="289" w:right="71" w:firstLine="399"/>
        <w:jc w:val="both"/>
        <w:rPr>
          <w:sz w:val="20"/>
          <w:szCs w:val="20"/>
        </w:rPr>
      </w:pPr>
      <w:r>
        <w:rPr>
          <w:spacing w:val="3"/>
          <w:sz w:val="20"/>
          <w:szCs w:val="20"/>
        </w:rPr>
        <w:t>政务协同的概念脱胎于办公自动化，但与办公自动化有着显著差异。政务协同的目的不仅 在于内部办公数据、公文的有效流转，也不仅在于内部流程、业务的线上化变革，更在于通过</w:t>
      </w:r>
      <w:r>
        <w:rPr>
          <w:spacing w:val="13"/>
          <w:sz w:val="20"/>
          <w:szCs w:val="20"/>
        </w:rPr>
        <w:t xml:space="preserve"> </w:t>
      </w:r>
      <w:r>
        <w:rPr>
          <w:spacing w:val="3"/>
          <w:sz w:val="20"/>
          <w:szCs w:val="20"/>
        </w:rPr>
        <w:t>一体化的建设，将政府内部运作的各种数据、流程、结构连接起来，显著提高政府协同运行效</w:t>
      </w:r>
      <w:r>
        <w:rPr>
          <w:spacing w:val="14"/>
          <w:sz w:val="20"/>
          <w:szCs w:val="20"/>
        </w:rPr>
        <w:t xml:space="preserve"> </w:t>
      </w:r>
      <w:r>
        <w:rPr>
          <w:spacing w:val="3"/>
          <w:sz w:val="20"/>
          <w:szCs w:val="20"/>
        </w:rPr>
        <w:t>率，形成一种跨区域、跨部门、跨层级的协同政府运行新模式，有效助力政府达成数字化、扁</w:t>
      </w:r>
      <w:r>
        <w:rPr>
          <w:spacing w:val="6"/>
          <w:sz w:val="20"/>
          <w:szCs w:val="20"/>
        </w:rPr>
        <w:t xml:space="preserve"> </w:t>
      </w:r>
      <w:r>
        <w:rPr>
          <w:spacing w:val="-2"/>
          <w:sz w:val="20"/>
          <w:szCs w:val="20"/>
        </w:rPr>
        <w:t>平化、一体化的“三化”转变，促进我国打造整体政府的目标的达成。</w:t>
      </w:r>
    </w:p>
    <w:p w14:paraId="0F2844A4">
      <w:pPr>
        <w:pStyle w:val="2"/>
        <w:spacing w:before="77" w:line="282" w:lineRule="auto"/>
        <w:ind w:left="289" w:right="81" w:firstLine="399"/>
        <w:jc w:val="both"/>
        <w:rPr>
          <w:sz w:val="20"/>
          <w:szCs w:val="20"/>
        </w:rPr>
      </w:pPr>
      <w:r>
        <w:rPr>
          <w:spacing w:val="6"/>
          <w:sz w:val="20"/>
          <w:szCs w:val="20"/>
        </w:rPr>
        <w:t>2017年5月，国务院发布的《政务信息系统整</w:t>
      </w:r>
      <w:r>
        <w:rPr>
          <w:spacing w:val="5"/>
          <w:sz w:val="20"/>
          <w:szCs w:val="20"/>
        </w:rPr>
        <w:t>合共享实施方案》要求按照“内外联动、点</w:t>
      </w:r>
      <w:r>
        <w:rPr>
          <w:sz w:val="20"/>
          <w:szCs w:val="20"/>
        </w:rPr>
        <w:t xml:space="preserve"> </w:t>
      </w:r>
      <w:r>
        <w:rPr>
          <w:spacing w:val="3"/>
          <w:sz w:val="20"/>
          <w:szCs w:val="20"/>
        </w:rPr>
        <w:t>面结合、上下协同”的思路，加快整合原有分散隔离的政务信息系统，形成一</w:t>
      </w:r>
      <w:r>
        <w:rPr>
          <w:spacing w:val="2"/>
          <w:sz w:val="20"/>
          <w:szCs w:val="20"/>
        </w:rPr>
        <w:t>个互联互通、业</w:t>
      </w:r>
      <w:r>
        <w:rPr>
          <w:sz w:val="20"/>
          <w:szCs w:val="20"/>
        </w:rPr>
        <w:t xml:space="preserve"> 务协同、信息共享的“大系统”。2022年5月，“一网协同”的概念被写入《国务院关于加强数</w:t>
      </w:r>
      <w:r>
        <w:rPr>
          <w:spacing w:val="17"/>
          <w:sz w:val="20"/>
          <w:szCs w:val="20"/>
        </w:rPr>
        <w:t xml:space="preserve"> </w:t>
      </w:r>
      <w:r>
        <w:rPr>
          <w:spacing w:val="3"/>
          <w:sz w:val="20"/>
          <w:szCs w:val="20"/>
        </w:rPr>
        <w:t>字政府建设的指导意见》中。在中央政策的号召下，地方各级政府纷纷开展“一</w:t>
      </w:r>
      <w:r>
        <w:rPr>
          <w:spacing w:val="2"/>
          <w:sz w:val="20"/>
          <w:szCs w:val="20"/>
        </w:rPr>
        <w:t>网协同”的建</w:t>
      </w:r>
      <w:r>
        <w:rPr>
          <w:sz w:val="20"/>
          <w:szCs w:val="20"/>
        </w:rPr>
        <w:t xml:space="preserve"> </w:t>
      </w:r>
      <w:r>
        <w:rPr>
          <w:spacing w:val="2"/>
          <w:sz w:val="20"/>
          <w:szCs w:val="20"/>
        </w:rPr>
        <w:t>设工作，从政策制定到顶层设计，从平台建设到系统整合，从业务融合到应用创新，各地政府</w:t>
      </w:r>
      <w:r>
        <w:rPr>
          <w:spacing w:val="15"/>
          <w:sz w:val="20"/>
          <w:szCs w:val="20"/>
        </w:rPr>
        <w:t xml:space="preserve"> </w:t>
      </w:r>
      <w:r>
        <w:rPr>
          <w:spacing w:val="-1"/>
          <w:sz w:val="20"/>
          <w:szCs w:val="20"/>
        </w:rPr>
        <w:t>力图以政务协同为牵引，打破当前电子政务建设中系统林立的信</w:t>
      </w:r>
      <w:r>
        <w:rPr>
          <w:spacing w:val="-2"/>
          <w:sz w:val="20"/>
          <w:szCs w:val="20"/>
        </w:rPr>
        <w:t>息孤岛现象。</w:t>
      </w:r>
    </w:p>
    <w:p w14:paraId="4CE172EE">
      <w:pPr>
        <w:pStyle w:val="2"/>
        <w:spacing w:before="146" w:line="222" w:lineRule="auto"/>
        <w:ind w:left="692"/>
        <w:rPr>
          <w:rFonts w:ascii="黑体" w:hAnsi="黑体" w:eastAsia="黑体" w:cs="黑体"/>
          <w:sz w:val="20"/>
          <w:szCs w:val="20"/>
        </w:rPr>
      </w:pPr>
      <w:r>
        <w:rPr>
          <w:b/>
          <w:bCs/>
          <w:color w:val="0065BF"/>
          <w:spacing w:val="-2"/>
          <w:sz w:val="20"/>
          <w:szCs w:val="20"/>
        </w:rPr>
        <w:t>5.</w:t>
      </w:r>
      <w:r>
        <w:rPr>
          <w:rFonts w:ascii="黑体" w:hAnsi="黑体" w:eastAsia="黑体" w:cs="黑体"/>
          <w:b/>
          <w:bCs/>
          <w:color w:val="0065BF"/>
          <w:spacing w:val="-2"/>
          <w:sz w:val="20"/>
          <w:szCs w:val="20"/>
        </w:rPr>
        <w:t>数字政府建设管理</w:t>
      </w:r>
    </w:p>
    <w:p w14:paraId="35F23DF6">
      <w:pPr>
        <w:pStyle w:val="2"/>
        <w:spacing w:before="134" w:line="279" w:lineRule="auto"/>
        <w:ind w:left="289" w:right="40" w:firstLine="399"/>
        <w:jc w:val="both"/>
        <w:rPr>
          <w:sz w:val="20"/>
          <w:szCs w:val="20"/>
        </w:rPr>
      </w:pPr>
      <w:r>
        <w:rPr>
          <w:spacing w:val="3"/>
          <w:sz w:val="20"/>
          <w:szCs w:val="20"/>
        </w:rPr>
        <w:t>为进一步促进新一代信息技术赋能数字政府建</w:t>
      </w:r>
      <w:r>
        <w:rPr>
          <w:spacing w:val="2"/>
          <w:sz w:val="20"/>
          <w:szCs w:val="20"/>
        </w:rPr>
        <w:t>设，挖掘政务数据的经济、社会和公共服务</w:t>
      </w:r>
      <w:r>
        <w:rPr>
          <w:sz w:val="20"/>
          <w:szCs w:val="20"/>
        </w:rPr>
        <w:t xml:space="preserve"> </w:t>
      </w:r>
      <w:r>
        <w:rPr>
          <w:spacing w:val="4"/>
          <w:sz w:val="20"/>
          <w:szCs w:val="20"/>
        </w:rPr>
        <w:t xml:space="preserve">价值，提升数字政府治理能力和服务效率，在数字政府建设管理方面应重点理顺数据、制度、 组织、技术等数字政府组成要素之间的关系。在这四个要素的基础之上，对数字政府的规划、 </w:t>
      </w:r>
      <w:r>
        <w:rPr>
          <w:spacing w:val="-2"/>
          <w:sz w:val="20"/>
          <w:szCs w:val="20"/>
        </w:rPr>
        <w:t>建设、运营进行有效管理，重点从以下几方面发力。</w:t>
      </w:r>
    </w:p>
    <w:p w14:paraId="459C23B7">
      <w:pPr>
        <w:pStyle w:val="2"/>
        <w:spacing w:before="39" w:line="219" w:lineRule="auto"/>
        <w:ind w:left="689"/>
        <w:rPr>
          <w:sz w:val="20"/>
          <w:szCs w:val="20"/>
        </w:rPr>
      </w:pPr>
      <w:r>
        <w:rPr>
          <w:spacing w:val="1"/>
          <w:sz w:val="20"/>
          <w:szCs w:val="20"/>
        </w:rPr>
        <w:t>(1)加强政府公共数据资源保护，具体包括以下两方面内容：</w:t>
      </w:r>
    </w:p>
    <w:p w14:paraId="0C1744CA">
      <w:pPr>
        <w:pStyle w:val="2"/>
        <w:spacing w:before="83" w:line="270" w:lineRule="auto"/>
        <w:ind w:left="979" w:right="90" w:hanging="290"/>
        <w:rPr>
          <w:sz w:val="20"/>
          <w:szCs w:val="20"/>
        </w:rPr>
      </w:pPr>
      <w:r>
        <w:rPr>
          <w:spacing w:val="3"/>
          <w:sz w:val="20"/>
          <w:szCs w:val="20"/>
        </w:rPr>
        <w:t>●技术方面，加强数字政府平台网络安全实时监测与风险防控</w:t>
      </w:r>
      <w:r>
        <w:rPr>
          <w:spacing w:val="2"/>
          <w:sz w:val="20"/>
          <w:szCs w:val="20"/>
        </w:rPr>
        <w:t>，强化网络安全防护技术和</w:t>
      </w:r>
      <w:r>
        <w:rPr>
          <w:sz w:val="20"/>
          <w:szCs w:val="20"/>
        </w:rPr>
        <w:t xml:space="preserve"> </w:t>
      </w:r>
      <w:r>
        <w:rPr>
          <w:spacing w:val="1"/>
          <w:sz w:val="20"/>
          <w:szCs w:val="20"/>
        </w:rPr>
        <w:t>数据安全保护技术开发，强化权限认证、网络隔离、隐私计算等</w:t>
      </w:r>
      <w:r>
        <w:rPr>
          <w:sz w:val="20"/>
          <w:szCs w:val="20"/>
        </w:rPr>
        <w:t xml:space="preserve">技术的研究及其在政务 </w:t>
      </w:r>
      <w:r>
        <w:rPr>
          <w:spacing w:val="-3"/>
          <w:sz w:val="20"/>
          <w:szCs w:val="20"/>
        </w:rPr>
        <w:t>服务供给和政务数据访问中的应用。</w:t>
      </w:r>
    </w:p>
    <w:p w14:paraId="385BD5AA">
      <w:pPr>
        <w:pStyle w:val="2"/>
        <w:spacing w:before="105" w:line="263" w:lineRule="auto"/>
        <w:ind w:left="979" w:right="91" w:hanging="290"/>
        <w:rPr>
          <w:sz w:val="20"/>
          <w:szCs w:val="20"/>
        </w:rPr>
      </w:pPr>
      <w:r>
        <w:rPr>
          <w:spacing w:val="3"/>
          <w:sz w:val="20"/>
          <w:szCs w:val="20"/>
        </w:rPr>
        <w:t>●制度方面，深化落实网络安全等级保护制度，加快健全数据分类分级保护等基础制度体</w:t>
      </w:r>
      <w:r>
        <w:rPr>
          <w:sz w:val="20"/>
          <w:szCs w:val="20"/>
        </w:rPr>
        <w:t xml:space="preserve"> 系，梳理政务数据共享的安全风险影响，形成数据安全风险清单，动态监测和应对数据</w:t>
      </w:r>
      <w:r>
        <w:rPr>
          <w:spacing w:val="10"/>
          <w:sz w:val="20"/>
          <w:szCs w:val="20"/>
        </w:rPr>
        <w:t xml:space="preserve"> </w:t>
      </w:r>
      <w:r>
        <w:rPr>
          <w:spacing w:val="-2"/>
          <w:sz w:val="20"/>
          <w:szCs w:val="20"/>
        </w:rPr>
        <w:t>流动、网络传输、数据归集过程中的各种安全风险。</w:t>
      </w:r>
    </w:p>
    <w:p w14:paraId="6D7A3049">
      <w:pPr>
        <w:pStyle w:val="2"/>
        <w:spacing w:before="93" w:line="265" w:lineRule="auto"/>
        <w:ind w:left="289" w:right="88" w:firstLine="399"/>
        <w:rPr>
          <w:sz w:val="20"/>
          <w:szCs w:val="20"/>
        </w:rPr>
      </w:pPr>
      <w:r>
        <w:rPr>
          <w:spacing w:val="5"/>
          <w:sz w:val="20"/>
          <w:szCs w:val="20"/>
        </w:rPr>
        <w:t>(2)推进数字政府数据互通融合。加强数字政府顶层设计，推进数字政府基础设施和标准</w:t>
      </w:r>
      <w:r>
        <w:rPr>
          <w:spacing w:val="18"/>
          <w:sz w:val="20"/>
          <w:szCs w:val="20"/>
        </w:rPr>
        <w:t xml:space="preserve"> </w:t>
      </w:r>
      <w:r>
        <w:rPr>
          <w:spacing w:val="3"/>
          <w:sz w:val="20"/>
          <w:szCs w:val="20"/>
        </w:rPr>
        <w:t>化建设，消除区域和各部门之间的数字壁垒。制定跨部门、跨层级的数据标准接口，打</w:t>
      </w:r>
      <w:r>
        <w:rPr>
          <w:spacing w:val="2"/>
          <w:sz w:val="20"/>
          <w:szCs w:val="20"/>
        </w:rPr>
        <w:t>破数据</w:t>
      </w:r>
      <w:r>
        <w:rPr>
          <w:sz w:val="20"/>
          <w:szCs w:val="20"/>
        </w:rPr>
        <w:t xml:space="preserve"> </w:t>
      </w:r>
      <w:r>
        <w:rPr>
          <w:spacing w:val="3"/>
          <w:sz w:val="20"/>
          <w:szCs w:val="20"/>
        </w:rPr>
        <w:t>壁垒，整合数据资源，实现跨地区政务数据统一规范、互联互通和融合汇聚，挖</w:t>
      </w:r>
      <w:r>
        <w:rPr>
          <w:spacing w:val="2"/>
          <w:sz w:val="20"/>
          <w:szCs w:val="20"/>
        </w:rPr>
        <w:t>掘更大的公共</w:t>
      </w:r>
      <w:r>
        <w:rPr>
          <w:sz w:val="20"/>
          <w:szCs w:val="20"/>
        </w:rPr>
        <w:t xml:space="preserve"> </w:t>
      </w:r>
      <w:r>
        <w:rPr>
          <w:spacing w:val="3"/>
          <w:sz w:val="20"/>
          <w:szCs w:val="20"/>
        </w:rPr>
        <w:t>服务价值。深化、细化政务数据开放共享目录，有序推动公共数据资源开发利用</w:t>
      </w:r>
      <w:r>
        <w:rPr>
          <w:spacing w:val="2"/>
          <w:sz w:val="20"/>
          <w:szCs w:val="20"/>
        </w:rPr>
        <w:t>，推进公共数</w:t>
      </w:r>
      <w:r>
        <w:rPr>
          <w:sz w:val="20"/>
          <w:szCs w:val="20"/>
        </w:rPr>
        <w:t xml:space="preserve"> </w:t>
      </w:r>
      <w:r>
        <w:rPr>
          <w:spacing w:val="-2"/>
          <w:sz w:val="20"/>
          <w:szCs w:val="20"/>
        </w:rPr>
        <w:t>据与社会数据融合，挖掘更大的社会价值。</w:t>
      </w:r>
    </w:p>
    <w:p w14:paraId="1F7CA9A8">
      <w:pPr>
        <w:spacing w:line="265" w:lineRule="auto"/>
        <w:rPr>
          <w:sz w:val="20"/>
          <w:szCs w:val="20"/>
        </w:rPr>
        <w:sectPr>
          <w:pgSz w:w="10330" w:h="13440"/>
          <w:pgMar w:top="400" w:right="1100" w:bottom="400" w:left="530" w:header="0" w:footer="0" w:gutter="0"/>
          <w:cols w:space="720" w:num="1"/>
        </w:sectPr>
      </w:pPr>
    </w:p>
    <w:p w14:paraId="0278D475">
      <w:pPr>
        <w:pStyle w:val="2"/>
        <w:spacing w:before="66" w:line="219" w:lineRule="auto"/>
        <w:jc w:val="right"/>
        <w:rPr>
          <w:rFonts w:ascii="Times New Roman" w:hAnsi="Times New Roman" w:eastAsia="Times New Roman" w:cs="Times New Roman"/>
          <w:sz w:val="19"/>
          <w:szCs w:val="19"/>
        </w:rPr>
      </w:pPr>
      <w:bookmarkStart w:id="495" w:name="bookmark482"/>
      <w:bookmarkEnd w:id="495"/>
      <w:r>
        <w:rPr>
          <w:spacing w:val="3"/>
          <w:sz w:val="19"/>
          <w:szCs w:val="19"/>
        </w:rPr>
        <w:t>第1章</w:t>
      </w:r>
      <w:r>
        <w:rPr>
          <w:spacing w:val="32"/>
          <w:sz w:val="19"/>
          <w:szCs w:val="19"/>
        </w:rPr>
        <w:t xml:space="preserve"> </w:t>
      </w:r>
      <w:r>
        <w:rPr>
          <w:spacing w:val="3"/>
          <w:sz w:val="19"/>
          <w:szCs w:val="19"/>
        </w:rPr>
        <w:t xml:space="preserve">信息与信息化       </w:t>
      </w:r>
      <w:r>
        <w:rPr>
          <w:rFonts w:ascii="Times New Roman" w:hAnsi="Times New Roman" w:eastAsia="Times New Roman" w:cs="Times New Roman"/>
          <w:spacing w:val="3"/>
          <w:position w:val="-1"/>
          <w:sz w:val="19"/>
          <w:szCs w:val="19"/>
        </w:rPr>
        <w:t>31</w:t>
      </w:r>
    </w:p>
    <w:p w14:paraId="7B548A72">
      <w:pPr>
        <w:spacing w:line="301" w:lineRule="auto"/>
        <w:rPr>
          <w:rFonts w:ascii="Arial"/>
          <w:sz w:val="21"/>
        </w:rPr>
      </w:pPr>
    </w:p>
    <w:p w14:paraId="131E2C4C">
      <w:pPr>
        <w:pStyle w:val="2"/>
        <w:spacing w:before="62" w:line="296" w:lineRule="auto"/>
        <w:ind w:left="94" w:right="227" w:firstLine="419"/>
        <w:jc w:val="both"/>
        <w:rPr>
          <w:sz w:val="19"/>
          <w:szCs w:val="19"/>
        </w:rPr>
      </w:pPr>
      <w:r>
        <w:rPr>
          <w:spacing w:val="16"/>
          <w:sz w:val="19"/>
          <w:szCs w:val="19"/>
        </w:rPr>
        <w:t>(3)加快数字政府智慧应用场景开发。推进大数据、人工智能、区块链等数字技术应用，</w:t>
      </w:r>
      <w:r>
        <w:rPr>
          <w:spacing w:val="8"/>
          <w:sz w:val="19"/>
          <w:szCs w:val="19"/>
        </w:rPr>
        <w:t xml:space="preserve"> </w:t>
      </w:r>
      <w:r>
        <w:rPr>
          <w:spacing w:val="13"/>
          <w:sz w:val="19"/>
          <w:szCs w:val="19"/>
        </w:rPr>
        <w:t>深入拓展政务大数据在监测经济、社会运行、智能辅助政策制定、公共服务精准定制等方面的</w:t>
      </w:r>
      <w:r>
        <w:rPr>
          <w:sz w:val="19"/>
          <w:szCs w:val="19"/>
        </w:rPr>
        <w:t xml:space="preserve"> </w:t>
      </w:r>
      <w:r>
        <w:rPr>
          <w:spacing w:val="13"/>
          <w:sz w:val="19"/>
          <w:szCs w:val="19"/>
        </w:rPr>
        <w:t>应用场景，加强数字监管预警，重塑政府管理方式。推动跨区域数字治理服务一体化</w:t>
      </w:r>
      <w:r>
        <w:rPr>
          <w:spacing w:val="12"/>
          <w:sz w:val="19"/>
          <w:szCs w:val="19"/>
        </w:rPr>
        <w:t>，突破时</w:t>
      </w:r>
      <w:r>
        <w:rPr>
          <w:sz w:val="19"/>
          <w:szCs w:val="19"/>
        </w:rPr>
        <w:t xml:space="preserve"> </w:t>
      </w:r>
      <w:r>
        <w:rPr>
          <w:spacing w:val="13"/>
          <w:sz w:val="19"/>
          <w:szCs w:val="19"/>
        </w:rPr>
        <w:t>空限制，延伸服务半径，为区域同质服务、资源共享、协同发展提供支撑，</w:t>
      </w:r>
      <w:r>
        <w:rPr>
          <w:spacing w:val="12"/>
          <w:sz w:val="19"/>
          <w:szCs w:val="19"/>
        </w:rPr>
        <w:t>最终实现国家治理</w:t>
      </w:r>
      <w:r>
        <w:rPr>
          <w:sz w:val="19"/>
          <w:szCs w:val="19"/>
        </w:rPr>
        <w:t xml:space="preserve"> </w:t>
      </w:r>
      <w:r>
        <w:rPr>
          <w:spacing w:val="5"/>
          <w:sz w:val="19"/>
          <w:szCs w:val="19"/>
        </w:rPr>
        <w:t>体系和治理能力现代化目标。</w:t>
      </w:r>
    </w:p>
    <w:p w14:paraId="602E02B5">
      <w:pPr>
        <w:pStyle w:val="2"/>
        <w:spacing w:before="216" w:line="219" w:lineRule="auto"/>
        <w:ind w:left="97"/>
        <w:rPr>
          <w:sz w:val="25"/>
          <w:szCs w:val="25"/>
        </w:rPr>
      </w:pPr>
      <w:r>
        <w:rPr>
          <w:b/>
          <w:bCs/>
          <w:color w:val="0057DA"/>
          <w:spacing w:val="-23"/>
          <w:sz w:val="25"/>
          <w:szCs w:val="25"/>
        </w:rPr>
        <w:t>1.4.2</w:t>
      </w:r>
      <w:r>
        <w:rPr>
          <w:color w:val="0057DA"/>
          <w:spacing w:val="126"/>
          <w:sz w:val="25"/>
          <w:szCs w:val="25"/>
        </w:rPr>
        <w:t xml:space="preserve"> </w:t>
      </w:r>
      <w:r>
        <w:rPr>
          <w:b/>
          <w:bCs/>
          <w:color w:val="0057DA"/>
          <w:spacing w:val="-23"/>
          <w:sz w:val="25"/>
          <w:szCs w:val="25"/>
        </w:rPr>
        <w:t>数字经济</w:t>
      </w:r>
    </w:p>
    <w:p w14:paraId="4CCE8303">
      <w:pPr>
        <w:pStyle w:val="2"/>
        <w:spacing w:before="163" w:line="296" w:lineRule="auto"/>
        <w:ind w:left="95" w:right="227" w:firstLine="419"/>
        <w:jc w:val="both"/>
        <w:rPr>
          <w:sz w:val="19"/>
          <w:szCs w:val="19"/>
        </w:rPr>
      </w:pPr>
      <w:r>
        <w:rPr>
          <w:spacing w:val="14"/>
          <w:sz w:val="19"/>
          <w:szCs w:val="19"/>
        </w:rPr>
        <w:t>数字经济是继农业经济、工业经济之后产生的新的经济形态，是以数据资源为关键要素，</w:t>
      </w:r>
      <w:r>
        <w:rPr>
          <w:spacing w:val="8"/>
          <w:sz w:val="19"/>
          <w:szCs w:val="19"/>
        </w:rPr>
        <w:t xml:space="preserve"> </w:t>
      </w:r>
      <w:r>
        <w:rPr>
          <w:spacing w:val="13"/>
          <w:sz w:val="19"/>
          <w:szCs w:val="19"/>
        </w:rPr>
        <w:t>以现代信息网络为主要载体，以信息通信技术融合应用和全要素数字化转型为</w:t>
      </w:r>
      <w:r>
        <w:rPr>
          <w:spacing w:val="12"/>
          <w:sz w:val="19"/>
          <w:szCs w:val="19"/>
        </w:rPr>
        <w:t>重要推动力，促</w:t>
      </w:r>
      <w:r>
        <w:rPr>
          <w:sz w:val="19"/>
          <w:szCs w:val="19"/>
        </w:rPr>
        <w:t xml:space="preserve"> </w:t>
      </w:r>
      <w:r>
        <w:rPr>
          <w:spacing w:val="13"/>
          <w:sz w:val="19"/>
          <w:szCs w:val="19"/>
        </w:rPr>
        <w:t>进公平与效率更加统一的新经济形态。数字经济正推动生产方式、生活方式和治理方式深刻变</w:t>
      </w:r>
      <w:r>
        <w:rPr>
          <w:spacing w:val="14"/>
          <w:sz w:val="19"/>
          <w:szCs w:val="19"/>
        </w:rPr>
        <w:t xml:space="preserve"> </w:t>
      </w:r>
      <w:r>
        <w:rPr>
          <w:spacing w:val="8"/>
          <w:sz w:val="19"/>
          <w:szCs w:val="19"/>
        </w:rPr>
        <w:t>革，成为重组全球要素资源、重塑全球经济结构、改变全球竞争格局的关键力量。“十四五”时</w:t>
      </w:r>
      <w:r>
        <w:rPr>
          <w:spacing w:val="4"/>
          <w:sz w:val="19"/>
          <w:szCs w:val="19"/>
        </w:rPr>
        <w:t xml:space="preserve"> </w:t>
      </w:r>
      <w:r>
        <w:rPr>
          <w:spacing w:val="8"/>
          <w:sz w:val="19"/>
          <w:szCs w:val="19"/>
        </w:rPr>
        <w:t>期，我国数字经济转向深化应用、规范发展、</w:t>
      </w:r>
      <w:r>
        <w:rPr>
          <w:spacing w:val="7"/>
          <w:sz w:val="19"/>
          <w:szCs w:val="19"/>
        </w:rPr>
        <w:t>普惠共享的新阶段。</w:t>
      </w:r>
    </w:p>
    <w:p w14:paraId="658D6F42">
      <w:pPr>
        <w:pStyle w:val="2"/>
        <w:spacing w:before="133" w:line="222" w:lineRule="auto"/>
        <w:ind w:left="517"/>
        <w:rPr>
          <w:rFonts w:ascii="黑体" w:hAnsi="黑体" w:eastAsia="黑体" w:cs="黑体"/>
          <w:sz w:val="19"/>
          <w:szCs w:val="19"/>
        </w:rPr>
      </w:pPr>
      <w:r>
        <w:rPr>
          <w:b/>
          <w:bCs/>
          <w:color w:val="005FDC"/>
          <w:spacing w:val="6"/>
          <w:sz w:val="19"/>
          <w:szCs w:val="19"/>
        </w:rPr>
        <w:t>1.</w:t>
      </w:r>
      <w:r>
        <w:rPr>
          <w:rFonts w:ascii="黑体" w:hAnsi="黑体" w:eastAsia="黑体" w:cs="黑体"/>
          <w:b/>
          <w:bCs/>
          <w:color w:val="005FDC"/>
          <w:spacing w:val="6"/>
          <w:sz w:val="19"/>
          <w:szCs w:val="19"/>
        </w:rPr>
        <w:t>数字经济的框架与内涵</w:t>
      </w:r>
    </w:p>
    <w:p w14:paraId="1C11D093">
      <w:pPr>
        <w:pStyle w:val="2"/>
        <w:spacing w:before="146" w:line="307" w:lineRule="auto"/>
        <w:ind w:left="95" w:right="264" w:firstLine="419"/>
        <w:rPr>
          <w:sz w:val="19"/>
          <w:szCs w:val="19"/>
        </w:rPr>
      </w:pPr>
      <w:r>
        <w:rPr>
          <w:spacing w:val="13"/>
          <w:sz w:val="19"/>
          <w:szCs w:val="19"/>
        </w:rPr>
        <w:t>数字经济是互联网发展到成熟阶段后产生的经济形态，数字经济已经超越了信息产业范围</w:t>
      </w:r>
      <w:r>
        <w:rPr>
          <w:spacing w:val="9"/>
          <w:sz w:val="19"/>
          <w:szCs w:val="19"/>
        </w:rPr>
        <w:t xml:space="preserve"> </w:t>
      </w:r>
      <w:r>
        <w:rPr>
          <w:spacing w:val="7"/>
          <w:sz w:val="19"/>
          <w:szCs w:val="19"/>
        </w:rPr>
        <w:t>与互联网技术范畴，具有更加丰富的内涵。</w:t>
      </w:r>
    </w:p>
    <w:p w14:paraId="764AF63E">
      <w:pPr>
        <w:pStyle w:val="2"/>
        <w:spacing w:before="6" w:line="293" w:lineRule="auto"/>
        <w:ind w:right="207" w:firstLine="514"/>
        <w:jc w:val="both"/>
        <w:rPr>
          <w:sz w:val="19"/>
          <w:szCs w:val="19"/>
        </w:rPr>
      </w:pPr>
      <w:r>
        <w:rPr>
          <w:spacing w:val="17"/>
          <w:sz w:val="19"/>
          <w:szCs w:val="19"/>
        </w:rPr>
        <w:t>中国信息通信研究院发布的《中国数字经济发展白皮书(2020年</w:t>
      </w:r>
      <w:r>
        <w:rPr>
          <w:spacing w:val="16"/>
          <w:sz w:val="19"/>
          <w:szCs w:val="19"/>
        </w:rPr>
        <w:t>)》从生产力和生产关系</w:t>
      </w:r>
      <w:r>
        <w:rPr>
          <w:sz w:val="19"/>
          <w:szCs w:val="19"/>
        </w:rPr>
        <w:t xml:space="preserve">  </w:t>
      </w:r>
      <w:r>
        <w:rPr>
          <w:spacing w:val="12"/>
          <w:sz w:val="19"/>
          <w:szCs w:val="19"/>
        </w:rPr>
        <w:t>的角度提出了数字经济“四化”框架，即数字产业化、产业数字化、数字化治理和数据价值化。</w:t>
      </w:r>
      <w:r>
        <w:rPr>
          <w:spacing w:val="15"/>
          <w:sz w:val="19"/>
          <w:szCs w:val="19"/>
        </w:rPr>
        <w:t xml:space="preserve"> </w:t>
      </w:r>
      <w:r>
        <w:rPr>
          <w:spacing w:val="12"/>
          <w:sz w:val="19"/>
          <w:szCs w:val="19"/>
        </w:rPr>
        <w:t>“四化”的内涵如图1-9所示。</w:t>
      </w:r>
    </w:p>
    <w:p w14:paraId="1049E44A">
      <w:pPr>
        <w:pStyle w:val="2"/>
        <w:spacing w:before="89" w:line="3190" w:lineRule="exact"/>
        <w:ind w:firstLine="985"/>
      </w:pPr>
      <w:r>
        <w:rPr>
          <w:position w:val="-63"/>
        </w:rPr>
        <w:pict>
          <v:group id="_x0000_s1077" o:spid="_x0000_s1077" o:spt="203" style="height:159.55pt;width:330pt;" coordsize="6600,3191">
            <o:lock v:ext="edit"/>
            <v:shape id="_x0000_s1078" o:spid="_x0000_s1078" o:spt="75" type="#_x0000_t75" style="position:absolute;left:0;top:0;height:3191;width:6600;" filled="f" stroked="f" coordsize="21600,21600">
              <v:path/>
              <v:fill on="f" focussize="0,0"/>
              <v:stroke on="f"/>
              <v:imagedata r:id="rId41" o:title=""/>
              <o:lock v:ext="edit" aspectratio="t"/>
            </v:shape>
            <v:shape id="_x0000_s1079" o:spid="_x0000_s1079" o:spt="202" type="#_x0000_t202" style="position:absolute;left:39;top:27;height:3087;width:5935;" filled="f" stroked="f" coordsize="21600,21600">
              <v:path/>
              <v:fill on="f" focussize="0,0"/>
              <v:stroke on="f"/>
              <v:imagedata o:title=""/>
              <o:lock v:ext="edit" aspectratio="f"/>
              <v:textbox inset="0mm,0mm,0mm,0mm">
                <w:txbxContent>
                  <w:p w14:paraId="60C27760">
                    <w:pPr>
                      <w:spacing w:before="20" w:line="219" w:lineRule="auto"/>
                      <w:ind w:left="20"/>
                      <w:rPr>
                        <w:rFonts w:ascii="宋体" w:hAnsi="宋体" w:eastAsia="宋体" w:cs="宋体"/>
                        <w:sz w:val="19"/>
                        <w:szCs w:val="19"/>
                      </w:rPr>
                    </w:pPr>
                    <w:r>
                      <w:rPr>
                        <w:rFonts w:ascii="宋体" w:hAnsi="宋体" w:eastAsia="宋体" w:cs="宋体"/>
                        <w:spacing w:val="-15"/>
                        <w:sz w:val="19"/>
                        <w:szCs w:val="19"/>
                      </w:rPr>
                      <w:t>数字产业化</w:t>
                    </w:r>
                  </w:p>
                  <w:p w14:paraId="2EFD7251">
                    <w:pPr>
                      <w:spacing w:before="30" w:line="230" w:lineRule="auto"/>
                      <w:ind w:left="20" w:right="3530"/>
                      <w:jc w:val="both"/>
                      <w:rPr>
                        <w:rFonts w:ascii="宋体" w:hAnsi="宋体" w:eastAsia="宋体" w:cs="宋体"/>
                        <w:sz w:val="11"/>
                        <w:szCs w:val="11"/>
                      </w:rPr>
                    </w:pPr>
                    <w:r>
                      <w:rPr>
                        <w:rFonts w:ascii="宋体" w:hAnsi="宋体" w:eastAsia="宋体" w:cs="宋体"/>
                        <w:spacing w:val="4"/>
                        <w:sz w:val="11"/>
                        <w:szCs w:val="11"/>
                      </w:rPr>
                      <w:t>数字产业化，即数字相关产业，具体包括电子</w:t>
                    </w:r>
                    <w:r>
                      <w:rPr>
                        <w:rFonts w:ascii="宋体" w:hAnsi="宋体" w:eastAsia="宋体" w:cs="宋体"/>
                        <w:spacing w:val="1"/>
                        <w:sz w:val="11"/>
                        <w:szCs w:val="11"/>
                      </w:rPr>
                      <w:t xml:space="preserve">   </w:t>
                    </w:r>
                    <w:r>
                      <w:rPr>
                        <w:rFonts w:ascii="宋体" w:hAnsi="宋体" w:eastAsia="宋体" w:cs="宋体"/>
                        <w:spacing w:val="3"/>
                        <w:sz w:val="11"/>
                        <w:szCs w:val="11"/>
                      </w:rPr>
                      <w:t>信息制造业、电信业、软件和信息技术服务业、</w:t>
                    </w:r>
                    <w:r>
                      <w:rPr>
                        <w:rFonts w:ascii="宋体" w:hAnsi="宋体" w:eastAsia="宋体" w:cs="宋体"/>
                        <w:spacing w:val="10"/>
                        <w:sz w:val="11"/>
                        <w:szCs w:val="11"/>
                      </w:rPr>
                      <w:t xml:space="preserve"> </w:t>
                    </w:r>
                    <w:r>
                      <w:rPr>
                        <w:rFonts w:ascii="宋体" w:hAnsi="宋体" w:eastAsia="宋体" w:cs="宋体"/>
                        <w:spacing w:val="4"/>
                        <w:sz w:val="11"/>
                        <w:szCs w:val="11"/>
                      </w:rPr>
                      <w:t>互联网行业等</w:t>
                    </w:r>
                  </w:p>
                  <w:p w14:paraId="626215FB">
                    <w:pPr>
                      <w:spacing w:line="249" w:lineRule="auto"/>
                      <w:rPr>
                        <w:rFonts w:ascii="Arial"/>
                        <w:sz w:val="21"/>
                      </w:rPr>
                    </w:pPr>
                  </w:p>
                  <w:p w14:paraId="796E5596">
                    <w:pPr>
                      <w:spacing w:line="249" w:lineRule="auto"/>
                      <w:rPr>
                        <w:rFonts w:ascii="Arial"/>
                        <w:sz w:val="21"/>
                      </w:rPr>
                    </w:pPr>
                  </w:p>
                  <w:p w14:paraId="20F876D9">
                    <w:pPr>
                      <w:spacing w:line="250" w:lineRule="auto"/>
                      <w:rPr>
                        <w:rFonts w:ascii="Arial"/>
                        <w:sz w:val="21"/>
                      </w:rPr>
                    </w:pPr>
                  </w:p>
                  <w:p w14:paraId="45A89694">
                    <w:pPr>
                      <w:spacing w:before="36" w:line="235" w:lineRule="auto"/>
                      <w:ind w:left="20" w:right="4540"/>
                      <w:jc w:val="both"/>
                      <w:rPr>
                        <w:rFonts w:ascii="宋体" w:hAnsi="宋体" w:eastAsia="宋体" w:cs="宋体"/>
                        <w:sz w:val="11"/>
                        <w:szCs w:val="11"/>
                      </w:rPr>
                    </w:pPr>
                    <w:r>
                      <w:rPr>
                        <w:rFonts w:ascii="宋体" w:hAnsi="宋体" w:eastAsia="宋体" w:cs="宋体"/>
                        <w:spacing w:val="4"/>
                        <w:sz w:val="11"/>
                        <w:szCs w:val="11"/>
                      </w:rPr>
                      <w:t>数字化治理是运用数字化技</w:t>
                    </w:r>
                    <w:r>
                      <w:rPr>
                        <w:rFonts w:ascii="宋体" w:hAnsi="宋体" w:eastAsia="宋体" w:cs="宋体"/>
                        <w:spacing w:val="5"/>
                        <w:sz w:val="11"/>
                        <w:szCs w:val="11"/>
                      </w:rPr>
                      <w:t xml:space="preserve"> </w:t>
                    </w:r>
                    <w:r>
                      <w:rPr>
                        <w:rFonts w:ascii="宋体" w:hAnsi="宋体" w:eastAsia="宋体" w:cs="宋体"/>
                        <w:spacing w:val="4"/>
                        <w:sz w:val="11"/>
                        <w:szCs w:val="11"/>
                      </w:rPr>
                      <w:t>术，实现行政体制更加优化</w:t>
                    </w:r>
                    <w:r>
                      <w:rPr>
                        <w:rFonts w:ascii="宋体" w:hAnsi="宋体" w:eastAsia="宋体" w:cs="宋体"/>
                        <w:spacing w:val="5"/>
                        <w:sz w:val="11"/>
                        <w:szCs w:val="11"/>
                      </w:rPr>
                      <w:t xml:space="preserve"> </w:t>
                    </w:r>
                    <w:r>
                      <w:rPr>
                        <w:rFonts w:ascii="宋体" w:hAnsi="宋体" w:eastAsia="宋体" w:cs="宋体"/>
                        <w:spacing w:val="4"/>
                        <w:sz w:val="11"/>
                        <w:szCs w:val="11"/>
                      </w:rPr>
                      <w:t>的新型政府治理模式</w:t>
                    </w:r>
                  </w:p>
                  <w:p w14:paraId="305BA652">
                    <w:pPr>
                      <w:spacing w:line="284" w:lineRule="auto"/>
                      <w:rPr>
                        <w:rFonts w:ascii="Arial"/>
                        <w:sz w:val="21"/>
                      </w:rPr>
                    </w:pPr>
                  </w:p>
                  <w:p w14:paraId="7348F67D">
                    <w:pPr>
                      <w:spacing w:line="284" w:lineRule="auto"/>
                      <w:rPr>
                        <w:rFonts w:ascii="Arial"/>
                        <w:sz w:val="21"/>
                      </w:rPr>
                    </w:pPr>
                  </w:p>
                  <w:p w14:paraId="63335E2A">
                    <w:pPr>
                      <w:spacing w:before="61" w:line="229" w:lineRule="auto"/>
                      <w:ind w:left="2760"/>
                      <w:rPr>
                        <w:rFonts w:ascii="宋体" w:hAnsi="宋体" w:eastAsia="宋体" w:cs="宋体"/>
                        <w:sz w:val="19"/>
                        <w:szCs w:val="19"/>
                      </w:rPr>
                    </w:pPr>
                    <w:r>
                      <w:rPr>
                        <w:rFonts w:ascii="宋体" w:hAnsi="宋体" w:eastAsia="宋体" w:cs="宋体"/>
                        <w:spacing w:val="-14"/>
                        <w:w w:val="98"/>
                        <w:position w:val="1"/>
                        <w:sz w:val="19"/>
                        <w:szCs w:val="19"/>
                      </w:rPr>
                      <w:t>产业数字化</w:t>
                    </w:r>
                    <w:r>
                      <w:rPr>
                        <w:rFonts w:ascii="宋体" w:hAnsi="宋体" w:eastAsia="宋体" w:cs="宋体"/>
                        <w:spacing w:val="31"/>
                        <w:position w:val="1"/>
                        <w:sz w:val="19"/>
                        <w:szCs w:val="19"/>
                      </w:rPr>
                      <w:t xml:space="preserve">  </w:t>
                    </w:r>
                    <w:r>
                      <w:rPr>
                        <w:rFonts w:ascii="宋体" w:hAnsi="宋体" w:eastAsia="宋体" w:cs="宋体"/>
                        <w:spacing w:val="-14"/>
                        <w:w w:val="98"/>
                        <w:position w:val="-1"/>
                        <w:sz w:val="19"/>
                        <w:szCs w:val="19"/>
                      </w:rPr>
                      <w:t>产业数字化</w:t>
                    </w:r>
                  </w:p>
                  <w:p w14:paraId="424537EF">
                    <w:pPr>
                      <w:spacing w:before="31" w:line="227" w:lineRule="auto"/>
                      <w:ind w:left="3860" w:right="20"/>
                      <w:rPr>
                        <w:rFonts w:ascii="宋体" w:hAnsi="宋体" w:eastAsia="宋体" w:cs="宋体"/>
                        <w:sz w:val="11"/>
                        <w:szCs w:val="11"/>
                      </w:rPr>
                    </w:pPr>
                    <w:r>
                      <w:rPr>
                        <w:rFonts w:ascii="宋体" w:hAnsi="宋体" w:eastAsia="宋体" w:cs="宋体"/>
                        <w:spacing w:val="4"/>
                        <w:sz w:val="11"/>
                        <w:szCs w:val="11"/>
                      </w:rPr>
                      <w:t>产业数字化包括但不限于工业互联网、两</w:t>
                    </w:r>
                    <w:r>
                      <w:rPr>
                        <w:rFonts w:ascii="宋体" w:hAnsi="宋体" w:eastAsia="宋体" w:cs="宋体"/>
                        <w:spacing w:val="2"/>
                        <w:sz w:val="11"/>
                        <w:szCs w:val="11"/>
                      </w:rPr>
                      <w:t xml:space="preserve"> </w:t>
                    </w:r>
                    <w:r>
                      <w:rPr>
                        <w:rFonts w:ascii="宋体" w:hAnsi="宋体" w:eastAsia="宋体" w:cs="宋体"/>
                        <w:spacing w:val="4"/>
                        <w:sz w:val="11"/>
                        <w:szCs w:val="11"/>
                      </w:rPr>
                      <w:t>化融合、智能制造、车联网、平台经济等</w:t>
                    </w:r>
                  </w:p>
                </w:txbxContent>
              </v:textbox>
            </v:shape>
            <v:shape id="_x0000_s1080" o:spid="_x0000_s1080" o:spt="202" type="#_x0000_t202" style="position:absolute;left:4900;top:1316;height:688;width:1648;" filled="f" stroked="f" coordsize="21600,21600">
              <v:path/>
              <v:fill on="f" focussize="0,0"/>
              <v:stroke on="f"/>
              <v:imagedata o:title=""/>
              <o:lock v:ext="edit" aspectratio="f"/>
              <v:textbox inset="0mm,0mm,0mm,0mm">
                <w:txbxContent>
                  <w:p w14:paraId="0566D688">
                    <w:pPr>
                      <w:spacing w:before="19" w:line="218" w:lineRule="auto"/>
                      <w:ind w:left="20"/>
                      <w:rPr>
                        <w:rFonts w:ascii="宋体" w:hAnsi="宋体" w:eastAsia="宋体" w:cs="宋体"/>
                        <w:sz w:val="19"/>
                        <w:szCs w:val="19"/>
                      </w:rPr>
                    </w:pPr>
                    <w:r>
                      <w:rPr>
                        <w:rFonts w:ascii="宋体" w:hAnsi="宋体" w:eastAsia="宋体" w:cs="宋体"/>
                        <w:spacing w:val="-14"/>
                        <w:sz w:val="19"/>
                        <w:szCs w:val="19"/>
                      </w:rPr>
                      <w:t>数据价值化</w:t>
                    </w:r>
                  </w:p>
                  <w:p w14:paraId="1F1C8680">
                    <w:pPr>
                      <w:spacing w:before="32" w:line="230" w:lineRule="auto"/>
                      <w:ind w:left="20" w:right="20"/>
                      <w:rPr>
                        <w:rFonts w:ascii="宋体" w:hAnsi="宋体" w:eastAsia="宋体" w:cs="宋体"/>
                        <w:sz w:val="11"/>
                        <w:szCs w:val="11"/>
                      </w:rPr>
                    </w:pPr>
                    <w:r>
                      <w:rPr>
                        <w:rFonts w:ascii="宋体" w:hAnsi="宋体" w:eastAsia="宋体" w:cs="宋体"/>
                        <w:spacing w:val="4"/>
                        <w:sz w:val="11"/>
                        <w:szCs w:val="11"/>
                      </w:rPr>
                      <w:t>价值化的数据是数字经济发展的</w:t>
                    </w:r>
                    <w:r>
                      <w:rPr>
                        <w:rFonts w:ascii="宋体" w:hAnsi="宋体" w:eastAsia="宋体" w:cs="宋体"/>
                        <w:spacing w:val="11"/>
                        <w:sz w:val="11"/>
                        <w:szCs w:val="11"/>
                      </w:rPr>
                      <w:t xml:space="preserve"> </w:t>
                    </w:r>
                    <w:r>
                      <w:rPr>
                        <w:rFonts w:ascii="宋体" w:hAnsi="宋体" w:eastAsia="宋体" w:cs="宋体"/>
                        <w:spacing w:val="4"/>
                        <w:sz w:val="11"/>
                        <w:szCs w:val="11"/>
                      </w:rPr>
                      <w:t>关键生产要素，推进数据价值化</w:t>
                    </w:r>
                    <w:r>
                      <w:rPr>
                        <w:rFonts w:ascii="宋体" w:hAnsi="宋体" w:eastAsia="宋体" w:cs="宋体"/>
                        <w:spacing w:val="7"/>
                        <w:sz w:val="11"/>
                        <w:szCs w:val="11"/>
                      </w:rPr>
                      <w:t xml:space="preserve"> </w:t>
                    </w:r>
                    <w:r>
                      <w:rPr>
                        <w:rFonts w:ascii="宋体" w:hAnsi="宋体" w:eastAsia="宋体" w:cs="宋体"/>
                        <w:spacing w:val="4"/>
                        <w:sz w:val="11"/>
                        <w:szCs w:val="11"/>
                      </w:rPr>
                      <w:t>进程是发展数字经济的本质要求</w:t>
                    </w:r>
                  </w:p>
                </w:txbxContent>
              </v:textbox>
            </v:shape>
            <v:shape id="_x0000_s1081" o:spid="_x0000_s1081" o:spt="202" type="#_x0000_t202" style="position:absolute;left:1569;top:1207;height:542;width:946;" filled="f" stroked="f" coordsize="21600,21600">
              <v:path/>
              <v:fill on="f" focussize="0,0"/>
              <v:stroke on="f"/>
              <v:imagedata o:title=""/>
              <o:lock v:ext="edit" aspectratio="f"/>
              <v:textbox inset="0mm,0mm,0mm,0mm">
                <w:txbxContent>
                  <w:p w14:paraId="79E4B52B">
                    <w:pPr>
                      <w:spacing w:before="20" w:line="272" w:lineRule="auto"/>
                      <w:ind w:left="20" w:right="20" w:firstLine="40"/>
                      <w:rPr>
                        <w:rFonts w:ascii="宋体" w:hAnsi="宋体" w:eastAsia="宋体" w:cs="宋体"/>
                        <w:sz w:val="19"/>
                        <w:szCs w:val="19"/>
                      </w:rPr>
                    </w:pPr>
                    <w:r>
                      <w:rPr>
                        <w:rFonts w:ascii="宋体" w:hAnsi="宋体" w:eastAsia="宋体" w:cs="宋体"/>
                        <w:spacing w:val="-17"/>
                        <w:sz w:val="19"/>
                        <w:szCs w:val="19"/>
                      </w:rPr>
                      <w:t>数字化治理</w:t>
                    </w:r>
                    <w:r>
                      <w:rPr>
                        <w:rFonts w:ascii="宋体" w:hAnsi="宋体" w:eastAsia="宋体" w:cs="宋体"/>
                        <w:sz w:val="19"/>
                        <w:szCs w:val="19"/>
                      </w:rPr>
                      <w:t xml:space="preserve"> 调</w:t>
                    </w:r>
                  </w:p>
                </w:txbxContent>
              </v:textbox>
            </v:shape>
            <v:shape id="_x0000_s1082" o:spid="_x0000_s1082" o:spt="202" type="#_x0000_t202" style="position:absolute;left:2699;top:497;height:230;width:908;" filled="f" stroked="f" coordsize="21600,21600">
              <v:path/>
              <v:fill on="f" focussize="0,0"/>
              <v:stroke on="f"/>
              <v:imagedata o:title=""/>
              <o:lock v:ext="edit" aspectratio="f"/>
              <v:textbox inset="0mm,0mm,0mm,0mm">
                <w:txbxContent>
                  <w:p w14:paraId="1A92A54B">
                    <w:pPr>
                      <w:spacing w:before="20" w:line="219" w:lineRule="auto"/>
                      <w:ind w:left="20"/>
                      <w:rPr>
                        <w:rFonts w:ascii="宋体" w:hAnsi="宋体" w:eastAsia="宋体" w:cs="宋体"/>
                        <w:sz w:val="19"/>
                        <w:szCs w:val="19"/>
                      </w:rPr>
                    </w:pPr>
                    <w:r>
                      <w:rPr>
                        <w:rFonts w:ascii="宋体" w:hAnsi="宋体" w:eastAsia="宋体" w:cs="宋体"/>
                        <w:spacing w:val="-15"/>
                        <w:sz w:val="19"/>
                        <w:szCs w:val="19"/>
                      </w:rPr>
                      <w:t>数字</w:t>
                    </w:r>
                    <w:r>
                      <w:rPr>
                        <w:rFonts w:ascii="宋体" w:hAnsi="宋体" w:eastAsia="宋体" w:cs="宋体"/>
                        <w:spacing w:val="-14"/>
                        <w:sz w:val="19"/>
                        <w:szCs w:val="19"/>
                      </w:rPr>
                      <w:t>产业</w:t>
                    </w:r>
                    <w:r>
                      <w:rPr>
                        <w:rFonts w:ascii="宋体" w:hAnsi="宋体" w:eastAsia="宋体" w:cs="宋体"/>
                        <w:spacing w:val="-12"/>
                        <w:sz w:val="19"/>
                        <w:szCs w:val="19"/>
                      </w:rPr>
                      <w:t>化</w:t>
                    </w:r>
                  </w:p>
                </w:txbxContent>
              </v:textbox>
            </v:shape>
            <v:shape id="_x0000_s1083" o:spid="_x0000_s1083" o:spt="202" type="#_x0000_t202" style="position:absolute;left:3879;top:1206;height:230;width:898;" filled="f" stroked="f" coordsize="21600,21600">
              <v:path/>
              <v:fill on="f" focussize="0,0"/>
              <v:stroke on="f"/>
              <v:imagedata o:title=""/>
              <o:lock v:ext="edit" aspectratio="f"/>
              <v:textbox inset="0mm,0mm,0mm,0mm">
                <w:txbxContent>
                  <w:p w14:paraId="46F8C16A">
                    <w:pPr>
                      <w:spacing w:before="19" w:line="218" w:lineRule="auto"/>
                      <w:ind w:right="1"/>
                      <w:jc w:val="right"/>
                      <w:rPr>
                        <w:rFonts w:ascii="宋体" w:hAnsi="宋体" w:eastAsia="宋体" w:cs="宋体"/>
                        <w:sz w:val="19"/>
                        <w:szCs w:val="19"/>
                      </w:rPr>
                    </w:pPr>
                    <w:r>
                      <w:rPr>
                        <w:rFonts w:ascii="宋体" w:hAnsi="宋体" w:eastAsia="宋体" w:cs="宋体"/>
                        <w:spacing w:val="-17"/>
                        <w:sz w:val="19"/>
                        <w:szCs w:val="19"/>
                      </w:rPr>
                      <w:t>数</w:t>
                    </w:r>
                    <w:r>
                      <w:rPr>
                        <w:rFonts w:ascii="宋体" w:hAnsi="宋体" w:eastAsia="宋体" w:cs="宋体"/>
                        <w:spacing w:val="-16"/>
                        <w:sz w:val="19"/>
                        <w:szCs w:val="19"/>
                      </w:rPr>
                      <w:t>据价值</w:t>
                    </w:r>
                    <w:r>
                      <w:rPr>
                        <w:rFonts w:ascii="宋体" w:hAnsi="宋体" w:eastAsia="宋体" w:cs="宋体"/>
                        <w:spacing w:val="-10"/>
                        <w:sz w:val="19"/>
                        <w:szCs w:val="19"/>
                      </w:rPr>
                      <w:t>化</w:t>
                    </w:r>
                  </w:p>
                </w:txbxContent>
              </v:textbox>
            </v:shape>
            <v:shape id="_x0000_s1084" o:spid="_x0000_s1084" o:spt="202" type="#_x0000_t202" style="position:absolute;left:39;top:1217;height:230;width:896;" filled="f" stroked="f" coordsize="21600,21600">
              <v:path/>
              <v:fill on="f" focussize="0,0"/>
              <v:stroke on="f"/>
              <v:imagedata o:title=""/>
              <o:lock v:ext="edit" aspectratio="f"/>
              <v:textbox inset="0mm,0mm,0mm,0mm">
                <w:txbxContent>
                  <w:p w14:paraId="042049A6">
                    <w:pPr>
                      <w:spacing w:before="20" w:line="219" w:lineRule="auto"/>
                      <w:ind w:right="1"/>
                      <w:jc w:val="right"/>
                      <w:rPr>
                        <w:rFonts w:ascii="宋体" w:hAnsi="宋体" w:eastAsia="宋体" w:cs="宋体"/>
                        <w:sz w:val="19"/>
                        <w:szCs w:val="19"/>
                      </w:rPr>
                    </w:pPr>
                    <w:r>
                      <w:rPr>
                        <w:rFonts w:ascii="宋体" w:hAnsi="宋体" w:eastAsia="宋体" w:cs="宋体"/>
                        <w:spacing w:val="-18"/>
                        <w:sz w:val="19"/>
                        <w:szCs w:val="19"/>
                      </w:rPr>
                      <w:t>数字化治</w:t>
                    </w:r>
                    <w:r>
                      <w:rPr>
                        <w:rFonts w:ascii="宋体" w:hAnsi="宋体" w:eastAsia="宋体" w:cs="宋体"/>
                        <w:spacing w:val="-8"/>
                        <w:sz w:val="19"/>
                        <w:szCs w:val="19"/>
                      </w:rPr>
                      <w:t>理</w:t>
                    </w:r>
                  </w:p>
                </w:txbxContent>
              </v:textbox>
            </v:shape>
            <v:shape id="_x0000_s1085" o:spid="_x0000_s1085" o:spt="202" type="#_x0000_t202" style="position:absolute;left:2976;top:1457;height:420;width:402;" filled="f" stroked="f" coordsize="21600,21600">
              <v:path/>
              <v:fill on="f" focussize="0,0"/>
              <v:stroke on="f"/>
              <v:imagedata o:title=""/>
              <o:lock v:ext="edit" aspectratio="f"/>
              <v:textbox inset="0mm,0mm,0mm,0mm">
                <w:txbxContent>
                  <w:p w14:paraId="074B37CB">
                    <w:pPr>
                      <w:spacing w:before="20" w:line="185" w:lineRule="auto"/>
                      <w:ind w:left="20"/>
                      <w:rPr>
                        <w:rFonts w:ascii="宋体" w:hAnsi="宋体" w:eastAsia="宋体" w:cs="宋体"/>
                        <w:sz w:val="19"/>
                        <w:szCs w:val="19"/>
                      </w:rPr>
                    </w:pPr>
                    <w:r>
                      <w:rPr>
                        <w:rFonts w:ascii="宋体" w:hAnsi="宋体" w:eastAsia="宋体" w:cs="宋体"/>
                        <w:i/>
                        <w:iCs/>
                        <w:spacing w:val="-5"/>
                        <w:sz w:val="19"/>
                        <w:szCs w:val="19"/>
                      </w:rPr>
                      <w:t>数字</w:t>
                    </w:r>
                  </w:p>
                  <w:p w14:paraId="3707DCF1">
                    <w:pPr>
                      <w:spacing w:line="220" w:lineRule="auto"/>
                      <w:ind w:left="23"/>
                      <w:rPr>
                        <w:rFonts w:ascii="宋体" w:hAnsi="宋体" w:eastAsia="宋体" w:cs="宋体"/>
                        <w:sz w:val="19"/>
                        <w:szCs w:val="19"/>
                      </w:rPr>
                    </w:pPr>
                    <w:r>
                      <w:rPr>
                        <w:rFonts w:ascii="宋体" w:hAnsi="宋体" w:eastAsia="宋体" w:cs="宋体"/>
                        <w:spacing w:val="-8"/>
                        <w:sz w:val="19"/>
                        <w:szCs w:val="19"/>
                      </w:rPr>
                      <w:t>经济</w:t>
                    </w:r>
                  </w:p>
                </w:txbxContent>
              </v:textbox>
            </v:shape>
            <v:shape id="_x0000_s1086" o:spid="_x0000_s1086" o:spt="75" type="#_x0000_t75" style="position:absolute;left:4569;top:1520;height:191;width:221;" filled="f" stroked="f" coordsize="21600,21600">
              <v:path/>
              <v:fill on="f" focussize="0,0"/>
              <v:stroke on="f"/>
              <v:imagedata r:id="rId42" o:title=""/>
              <o:lock v:ext="edit" aspectratio="t"/>
            </v:shape>
            <w10:wrap type="none"/>
            <w10:anchorlock/>
          </v:group>
        </w:pict>
      </w:r>
    </w:p>
    <w:p w14:paraId="20E97443">
      <w:pPr>
        <w:pStyle w:val="2"/>
        <w:spacing w:before="48" w:line="219" w:lineRule="auto"/>
        <w:ind w:left="2974"/>
        <w:rPr>
          <w:sz w:val="19"/>
          <w:szCs w:val="19"/>
        </w:rPr>
      </w:pPr>
      <w:r>
        <w:rPr>
          <w:spacing w:val="-8"/>
          <w:sz w:val="19"/>
          <w:szCs w:val="19"/>
        </w:rPr>
        <w:t>图1-9</w:t>
      </w:r>
      <w:r>
        <w:rPr>
          <w:spacing w:val="79"/>
          <w:sz w:val="19"/>
          <w:szCs w:val="19"/>
        </w:rPr>
        <w:t xml:space="preserve"> </w:t>
      </w:r>
      <w:r>
        <w:rPr>
          <w:spacing w:val="-8"/>
          <w:sz w:val="19"/>
          <w:szCs w:val="19"/>
        </w:rPr>
        <w:t>数字经济“四化”的内涵</w:t>
      </w:r>
    </w:p>
    <w:p w14:paraId="72B78733">
      <w:pPr>
        <w:pStyle w:val="2"/>
        <w:spacing w:before="215" w:line="284" w:lineRule="auto"/>
        <w:ind w:left="94" w:right="207" w:firstLine="419"/>
        <w:jc w:val="both"/>
        <w:rPr>
          <w:sz w:val="19"/>
          <w:szCs w:val="19"/>
        </w:rPr>
      </w:pPr>
      <w:r>
        <w:rPr>
          <w:spacing w:val="10"/>
          <w:sz w:val="19"/>
          <w:szCs w:val="19"/>
        </w:rPr>
        <w:t>数字产业化，即数字相关的产业，是数字经济发展的</w:t>
      </w:r>
      <w:r>
        <w:rPr>
          <w:spacing w:val="9"/>
          <w:sz w:val="19"/>
          <w:szCs w:val="19"/>
        </w:rPr>
        <w:t>先导产业，为数字经济发展提供技术、</w:t>
      </w:r>
      <w:r>
        <w:rPr>
          <w:sz w:val="19"/>
          <w:szCs w:val="19"/>
        </w:rPr>
        <w:t xml:space="preserve"> </w:t>
      </w:r>
      <w:r>
        <w:rPr>
          <w:spacing w:val="13"/>
          <w:sz w:val="19"/>
          <w:szCs w:val="19"/>
        </w:rPr>
        <w:t>产品、服务和解决方案等；产业数字化是数字经济发展的主阵地，是融合经济；数</w:t>
      </w:r>
      <w:r>
        <w:rPr>
          <w:spacing w:val="12"/>
          <w:sz w:val="19"/>
          <w:szCs w:val="19"/>
        </w:rPr>
        <w:t>字化治理是</w:t>
      </w:r>
      <w:r>
        <w:rPr>
          <w:sz w:val="19"/>
          <w:szCs w:val="19"/>
        </w:rPr>
        <w:t xml:space="preserve">  </w:t>
      </w:r>
      <w:r>
        <w:rPr>
          <w:spacing w:val="13"/>
          <w:sz w:val="19"/>
          <w:szCs w:val="19"/>
        </w:rPr>
        <w:t>运用数字化技术，实现行政体制更加优化的新型政府治理模式；价值化的数据是数字</w:t>
      </w:r>
      <w:r>
        <w:rPr>
          <w:spacing w:val="12"/>
          <w:sz w:val="19"/>
          <w:szCs w:val="19"/>
        </w:rPr>
        <w:t>经济发展</w:t>
      </w:r>
      <w:r>
        <w:rPr>
          <w:sz w:val="19"/>
          <w:szCs w:val="19"/>
        </w:rPr>
        <w:t xml:space="preserve">  </w:t>
      </w:r>
      <w:r>
        <w:rPr>
          <w:spacing w:val="8"/>
          <w:sz w:val="19"/>
          <w:szCs w:val="19"/>
        </w:rPr>
        <w:t>的关键生产要素，推进数据价值化进程是发展数字经</w:t>
      </w:r>
      <w:r>
        <w:rPr>
          <w:spacing w:val="7"/>
          <w:sz w:val="19"/>
          <w:szCs w:val="19"/>
        </w:rPr>
        <w:t>济的本质要求。</w:t>
      </w:r>
    </w:p>
    <w:p w14:paraId="6C7629EA">
      <w:pPr>
        <w:pStyle w:val="2"/>
        <w:spacing w:before="146" w:line="221" w:lineRule="auto"/>
        <w:ind w:left="517"/>
        <w:rPr>
          <w:rFonts w:ascii="黑体" w:hAnsi="黑体" w:eastAsia="黑体" w:cs="黑体"/>
          <w:sz w:val="19"/>
          <w:szCs w:val="19"/>
        </w:rPr>
      </w:pPr>
      <w:r>
        <w:rPr>
          <w:b/>
          <w:bCs/>
          <w:color w:val="0052CE"/>
          <w:spacing w:val="8"/>
          <w:sz w:val="19"/>
          <w:szCs w:val="19"/>
        </w:rPr>
        <w:t>2.</w:t>
      </w:r>
      <w:r>
        <w:rPr>
          <w:rFonts w:ascii="黑体" w:hAnsi="黑体" w:eastAsia="黑体" w:cs="黑体"/>
          <w:b/>
          <w:bCs/>
          <w:color w:val="0052CE"/>
          <w:spacing w:val="8"/>
          <w:sz w:val="19"/>
          <w:szCs w:val="19"/>
        </w:rPr>
        <w:t>数字经济的基本特征</w:t>
      </w:r>
    </w:p>
    <w:p w14:paraId="3FB9A6F2">
      <w:pPr>
        <w:pStyle w:val="2"/>
        <w:spacing w:before="116" w:line="212" w:lineRule="auto"/>
        <w:ind w:left="514"/>
        <w:rPr>
          <w:sz w:val="19"/>
          <w:szCs w:val="19"/>
        </w:rPr>
      </w:pPr>
      <w:r>
        <w:rPr>
          <w:spacing w:val="11"/>
          <w:sz w:val="19"/>
          <w:szCs w:val="19"/>
        </w:rPr>
        <w:t>数字经济受到三大定律的支配。第一个定律是梅特卡夫定律</w:t>
      </w:r>
      <w:r>
        <w:rPr>
          <w:spacing w:val="-15"/>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Metcalfe</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s</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Law</w:t>
      </w:r>
      <w:r>
        <w:rPr>
          <w:rFonts w:ascii="Times New Roman" w:hAnsi="Times New Roman" w:eastAsia="Times New Roman" w:cs="Times New Roman"/>
          <w:spacing w:val="11"/>
          <w:sz w:val="19"/>
          <w:szCs w:val="19"/>
        </w:rPr>
        <w:t xml:space="preserve">),  </w:t>
      </w:r>
      <w:r>
        <w:rPr>
          <w:spacing w:val="11"/>
          <w:sz w:val="19"/>
          <w:szCs w:val="19"/>
        </w:rPr>
        <w:t>网络的价</w:t>
      </w:r>
    </w:p>
    <w:p w14:paraId="484AF234">
      <w:pPr>
        <w:spacing w:line="212" w:lineRule="auto"/>
        <w:rPr>
          <w:sz w:val="19"/>
          <w:szCs w:val="19"/>
        </w:rPr>
        <w:sectPr>
          <w:pgSz w:w="10300" w:h="13250"/>
          <w:pgMar w:top="400" w:right="567" w:bottom="400" w:left="1025" w:header="0" w:footer="0" w:gutter="0"/>
          <w:cols w:space="720" w:num="1"/>
        </w:sectPr>
      </w:pPr>
    </w:p>
    <w:p w14:paraId="55BB4DE8">
      <w:pPr>
        <w:pStyle w:val="2"/>
        <w:spacing w:before="78" w:line="219" w:lineRule="auto"/>
        <w:rPr>
          <w:sz w:val="20"/>
          <w:szCs w:val="20"/>
        </w:rPr>
      </w:pPr>
      <w:r>
        <w:rPr>
          <w:rFonts w:ascii="Times New Roman" w:hAnsi="Times New Roman" w:eastAsia="Times New Roman" w:cs="Times New Roman"/>
          <w:spacing w:val="-4"/>
          <w:position w:val="1"/>
          <w:sz w:val="20"/>
          <w:szCs w:val="20"/>
        </w:rPr>
        <w:t>32</w:t>
      </w:r>
      <w:r>
        <w:rPr>
          <w:rFonts w:ascii="Times New Roman" w:hAnsi="Times New Roman" w:eastAsia="Times New Roman" w:cs="Times New Roman"/>
          <w:spacing w:val="2"/>
          <w:position w:val="1"/>
          <w:sz w:val="20"/>
          <w:szCs w:val="20"/>
        </w:rPr>
        <w:t xml:space="preserve">              </w:t>
      </w:r>
      <w:r>
        <w:rPr>
          <w:spacing w:val="-4"/>
          <w:sz w:val="20"/>
          <w:szCs w:val="20"/>
        </w:rPr>
        <w:t>信息系统监理师教程(第2版)</w:t>
      </w:r>
    </w:p>
    <w:p w14:paraId="665E1FA3">
      <w:pPr>
        <w:spacing w:line="306" w:lineRule="auto"/>
        <w:rPr>
          <w:rFonts w:ascii="Arial"/>
          <w:sz w:val="21"/>
        </w:rPr>
      </w:pPr>
    </w:p>
    <w:p w14:paraId="144E18EC">
      <w:pPr>
        <w:pStyle w:val="2"/>
        <w:spacing w:before="65" w:line="288" w:lineRule="auto"/>
        <w:ind w:left="310" w:right="183"/>
        <w:jc w:val="both"/>
        <w:rPr>
          <w:sz w:val="20"/>
          <w:szCs w:val="20"/>
        </w:rPr>
      </w:pPr>
      <w:r>
        <w:rPr>
          <w:spacing w:val="-1"/>
          <w:sz w:val="20"/>
          <w:szCs w:val="20"/>
        </w:rPr>
        <w:t>值等于其节点数的平方。所以网络上联网的计</w:t>
      </w:r>
      <w:r>
        <w:rPr>
          <w:spacing w:val="-2"/>
          <w:sz w:val="20"/>
          <w:szCs w:val="20"/>
        </w:rPr>
        <w:t>算机越多，每台计算机的价值就越大，“增值”以</w:t>
      </w:r>
      <w:r>
        <w:rPr>
          <w:sz w:val="20"/>
          <w:szCs w:val="20"/>
        </w:rPr>
        <w:t xml:space="preserve"> </w:t>
      </w:r>
      <w:r>
        <w:rPr>
          <w:spacing w:val="3"/>
          <w:sz w:val="20"/>
          <w:szCs w:val="20"/>
        </w:rPr>
        <w:t>指数关系不断变大。第二个定律是摩尔定律(</w:t>
      </w:r>
      <w:r>
        <w:rPr>
          <w:sz w:val="20"/>
          <w:szCs w:val="20"/>
        </w:rPr>
        <w:t>Moore</w:t>
      </w:r>
      <w:r>
        <w:rPr>
          <w:spacing w:val="3"/>
          <w:sz w:val="20"/>
          <w:szCs w:val="20"/>
        </w:rPr>
        <w:t>'</w:t>
      </w:r>
      <w:r>
        <w:rPr>
          <w:sz w:val="20"/>
          <w:szCs w:val="20"/>
        </w:rPr>
        <w:t>s   Law</w:t>
      </w:r>
      <w:r>
        <w:rPr>
          <w:spacing w:val="3"/>
          <w:sz w:val="20"/>
          <w:szCs w:val="20"/>
        </w:rPr>
        <w:t>),计算机芯片的处理能</w:t>
      </w:r>
      <w:r>
        <w:rPr>
          <w:spacing w:val="2"/>
          <w:sz w:val="20"/>
          <w:szCs w:val="20"/>
        </w:rPr>
        <w:t>力每18个月</w:t>
      </w:r>
      <w:r>
        <w:rPr>
          <w:spacing w:val="1"/>
          <w:sz w:val="20"/>
          <w:szCs w:val="20"/>
        </w:rPr>
        <w:t xml:space="preserve"> </w:t>
      </w:r>
      <w:bookmarkStart w:id="496" w:name="bookmark483"/>
      <w:bookmarkEnd w:id="496"/>
      <w:r>
        <w:rPr>
          <w:spacing w:val="5"/>
          <w:sz w:val="20"/>
          <w:szCs w:val="20"/>
        </w:rPr>
        <w:t>就翻一番。第三个定律是达维多定律</w:t>
      </w:r>
      <w:r>
        <w:rPr>
          <w:spacing w:val="-28"/>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Davidow</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s</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Law</w:t>
      </w:r>
      <w:r>
        <w:rPr>
          <w:rFonts w:ascii="Times New Roman" w:hAnsi="Times New Roman" w:eastAsia="Times New Roman" w:cs="Times New Roman"/>
          <w:spacing w:val="5"/>
          <w:sz w:val="20"/>
          <w:szCs w:val="20"/>
        </w:rPr>
        <w:t>),</w:t>
      </w:r>
      <w:r>
        <w:rPr>
          <w:spacing w:val="5"/>
          <w:sz w:val="20"/>
          <w:szCs w:val="20"/>
        </w:rPr>
        <w:t>进入市场的第一代产品</w:t>
      </w:r>
      <w:r>
        <w:rPr>
          <w:spacing w:val="4"/>
          <w:sz w:val="20"/>
          <w:szCs w:val="20"/>
        </w:rPr>
        <w:t>能够自动获得</w:t>
      </w:r>
      <w:r>
        <w:rPr>
          <w:sz w:val="20"/>
          <w:szCs w:val="20"/>
        </w:rPr>
        <w:t xml:space="preserve"> </w:t>
      </w:r>
      <w:r>
        <w:rPr>
          <w:spacing w:val="5"/>
          <w:sz w:val="20"/>
          <w:szCs w:val="20"/>
        </w:rPr>
        <w:t>50%的市场份额，因此任何企业在本产业中必须第一个淘汰自己的产品。实际上，达维多定律</w:t>
      </w:r>
      <w:r>
        <w:rPr>
          <w:spacing w:val="16"/>
          <w:sz w:val="20"/>
          <w:szCs w:val="20"/>
        </w:rPr>
        <w:t xml:space="preserve"> </w:t>
      </w:r>
      <w:r>
        <w:rPr>
          <w:spacing w:val="-1"/>
          <w:sz w:val="20"/>
          <w:szCs w:val="20"/>
        </w:rPr>
        <w:t>体现的是网络经济中的“马太效应”。三大定律决定了数字经济具有数字化、网络化、智能化、</w:t>
      </w:r>
      <w:r>
        <w:rPr>
          <w:spacing w:val="4"/>
          <w:sz w:val="20"/>
          <w:szCs w:val="20"/>
        </w:rPr>
        <w:t xml:space="preserve"> </w:t>
      </w:r>
      <w:r>
        <w:rPr>
          <w:spacing w:val="-3"/>
          <w:sz w:val="20"/>
          <w:szCs w:val="20"/>
        </w:rPr>
        <w:t>商业化、共享化五个基本特征。</w:t>
      </w:r>
    </w:p>
    <w:p w14:paraId="4C87A464">
      <w:pPr>
        <w:spacing w:before="112" w:line="223" w:lineRule="auto"/>
        <w:ind w:left="700"/>
        <w:rPr>
          <w:rFonts w:ascii="楷体" w:hAnsi="楷体" w:eastAsia="楷体" w:cs="楷体"/>
          <w:sz w:val="20"/>
          <w:szCs w:val="20"/>
        </w:rPr>
      </w:pPr>
      <w:r>
        <w:rPr>
          <w:rFonts w:ascii="楷体" w:hAnsi="楷体" w:eastAsia="楷体" w:cs="楷体"/>
          <w:spacing w:val="22"/>
          <w:sz w:val="20"/>
          <w:szCs w:val="20"/>
        </w:rPr>
        <w:t>1)数字化</w:t>
      </w:r>
    </w:p>
    <w:p w14:paraId="76CA8FA2">
      <w:pPr>
        <w:pStyle w:val="2"/>
        <w:spacing w:before="52" w:line="281" w:lineRule="auto"/>
        <w:ind w:left="310" w:right="210" w:firstLine="389"/>
        <w:rPr>
          <w:sz w:val="20"/>
          <w:szCs w:val="20"/>
        </w:rPr>
      </w:pPr>
      <w:r>
        <w:rPr>
          <w:spacing w:val="2"/>
          <w:sz w:val="20"/>
          <w:szCs w:val="20"/>
        </w:rPr>
        <w:t>以二进制的形式来表示和处理信息，将包括文字、图片、视频、声音等在内的诸多信息转</w:t>
      </w:r>
      <w:r>
        <w:rPr>
          <w:spacing w:val="9"/>
          <w:sz w:val="20"/>
          <w:szCs w:val="20"/>
        </w:rPr>
        <w:t xml:space="preserve"> </w:t>
      </w:r>
      <w:r>
        <w:rPr>
          <w:spacing w:val="3"/>
          <w:sz w:val="20"/>
          <w:szCs w:val="20"/>
        </w:rPr>
        <w:t>化为计算机能够读取、处理和传输的二进制代码。20世纪中叶，计算机的发明标志着数字化的</w:t>
      </w:r>
      <w:r>
        <w:rPr>
          <w:spacing w:val="8"/>
          <w:sz w:val="20"/>
          <w:szCs w:val="20"/>
        </w:rPr>
        <w:t xml:space="preserve"> </w:t>
      </w:r>
      <w:r>
        <w:rPr>
          <w:spacing w:val="3"/>
          <w:sz w:val="20"/>
          <w:szCs w:val="20"/>
        </w:rPr>
        <w:t>起步，这一时期主要的商业模式是芯片生产和制造、计算机生产和制造、操作系统开发、相关</w:t>
      </w:r>
      <w:r>
        <w:rPr>
          <w:spacing w:val="4"/>
          <w:sz w:val="20"/>
          <w:szCs w:val="20"/>
        </w:rPr>
        <w:t xml:space="preserve"> </w:t>
      </w:r>
      <w:r>
        <w:rPr>
          <w:spacing w:val="3"/>
          <w:sz w:val="20"/>
          <w:szCs w:val="20"/>
        </w:rPr>
        <w:t>软件开发等，虽然如今大部分信息都能以数字化的形式表示，但数字化的进程仍远未结束，还</w:t>
      </w:r>
      <w:r>
        <w:rPr>
          <w:spacing w:val="4"/>
          <w:sz w:val="20"/>
          <w:szCs w:val="20"/>
        </w:rPr>
        <w:t xml:space="preserve"> </w:t>
      </w:r>
      <w:r>
        <w:rPr>
          <w:spacing w:val="-2"/>
          <w:sz w:val="20"/>
          <w:szCs w:val="20"/>
        </w:rPr>
        <w:t>有大量信息和设备游离在数字系统之外。</w:t>
      </w:r>
    </w:p>
    <w:p w14:paraId="03D19F63">
      <w:pPr>
        <w:pStyle w:val="2"/>
        <w:spacing w:before="48" w:line="282" w:lineRule="auto"/>
        <w:ind w:left="310" w:right="211" w:firstLine="389"/>
        <w:jc w:val="both"/>
        <w:rPr>
          <w:sz w:val="20"/>
          <w:szCs w:val="20"/>
        </w:rPr>
      </w:pPr>
      <w:r>
        <w:rPr>
          <w:spacing w:val="4"/>
          <w:sz w:val="20"/>
          <w:szCs w:val="20"/>
        </w:rPr>
        <w:t>在共享时代，为促进数字经济发展，必须通过</w:t>
      </w:r>
      <w:r>
        <w:rPr>
          <w:spacing w:val="3"/>
          <w:sz w:val="20"/>
          <w:szCs w:val="20"/>
        </w:rPr>
        <w:t>延伸共享经济领域，推动传统产业向数字化</w:t>
      </w:r>
      <w:r>
        <w:rPr>
          <w:sz w:val="20"/>
          <w:szCs w:val="20"/>
        </w:rPr>
        <w:t xml:space="preserve"> </w:t>
      </w:r>
      <w:r>
        <w:rPr>
          <w:spacing w:val="3"/>
          <w:sz w:val="20"/>
          <w:szCs w:val="20"/>
        </w:rPr>
        <w:t>转型，利用数字技能推动共享经济与数字经济的深度融合创新。鼓励共享经济深度发展，拓宽</w:t>
      </w:r>
      <w:r>
        <w:rPr>
          <w:spacing w:val="11"/>
          <w:sz w:val="20"/>
          <w:szCs w:val="20"/>
        </w:rPr>
        <w:t xml:space="preserve"> </w:t>
      </w:r>
      <w:r>
        <w:rPr>
          <w:spacing w:val="6"/>
          <w:sz w:val="20"/>
          <w:szCs w:val="20"/>
        </w:rPr>
        <w:t>应用领域，为其与数字经济融合提供条件。伴随着</w:t>
      </w:r>
      <w:r>
        <w:rPr>
          <w:spacing w:val="5"/>
          <w:sz w:val="20"/>
          <w:szCs w:val="20"/>
        </w:rPr>
        <w:t>信息技术的发展，尤其是“互联网+”的发</w:t>
      </w:r>
      <w:r>
        <w:rPr>
          <w:sz w:val="20"/>
          <w:szCs w:val="20"/>
        </w:rPr>
        <w:t xml:space="preserve"> </w:t>
      </w:r>
      <w:r>
        <w:rPr>
          <w:spacing w:val="3"/>
          <w:sz w:val="20"/>
          <w:szCs w:val="20"/>
        </w:rPr>
        <w:t>展，共享经济模式成为创业的首要选择，从餐饮住宿、金融借贷、交通出行、医疗保健到房屋</w:t>
      </w:r>
      <w:r>
        <w:rPr>
          <w:spacing w:val="5"/>
          <w:sz w:val="20"/>
          <w:szCs w:val="20"/>
        </w:rPr>
        <w:t xml:space="preserve"> </w:t>
      </w:r>
      <w:r>
        <w:rPr>
          <w:spacing w:val="3"/>
          <w:sz w:val="20"/>
          <w:szCs w:val="20"/>
        </w:rPr>
        <w:t>租赁、科研实验、创意设计等，越来越多的领域与数字经济开展融合，促进共享经济和数字经</w:t>
      </w:r>
      <w:r>
        <w:rPr>
          <w:spacing w:val="4"/>
          <w:sz w:val="20"/>
          <w:szCs w:val="20"/>
        </w:rPr>
        <w:t xml:space="preserve"> </w:t>
      </w:r>
      <w:r>
        <w:rPr>
          <w:spacing w:val="-5"/>
          <w:sz w:val="20"/>
          <w:szCs w:val="20"/>
        </w:rPr>
        <w:t>济的双向发展。</w:t>
      </w:r>
    </w:p>
    <w:p w14:paraId="16AC15B8">
      <w:pPr>
        <w:spacing w:before="133" w:line="232" w:lineRule="auto"/>
        <w:ind w:left="700"/>
        <w:rPr>
          <w:rFonts w:ascii="楷体" w:hAnsi="楷体" w:eastAsia="楷体" w:cs="楷体"/>
          <w:sz w:val="20"/>
          <w:szCs w:val="20"/>
        </w:rPr>
      </w:pPr>
      <w:r>
        <w:rPr>
          <w:rFonts w:ascii="楷体" w:hAnsi="楷体" w:eastAsia="楷体" w:cs="楷体"/>
          <w:spacing w:val="22"/>
          <w:sz w:val="20"/>
          <w:szCs w:val="20"/>
        </w:rPr>
        <w:t>2)网络化</w:t>
      </w:r>
    </w:p>
    <w:p w14:paraId="0C093929">
      <w:pPr>
        <w:pStyle w:val="2"/>
        <w:spacing w:before="50" w:line="280" w:lineRule="auto"/>
        <w:ind w:left="310" w:right="207" w:firstLine="389"/>
        <w:rPr>
          <w:sz w:val="20"/>
          <w:szCs w:val="20"/>
        </w:rPr>
      </w:pPr>
      <w:r>
        <w:rPr>
          <w:spacing w:val="9"/>
          <w:sz w:val="20"/>
          <w:szCs w:val="20"/>
        </w:rPr>
        <w:t>20世纪90年代开始，互联网的全球普及为数字经济发展构筑</w:t>
      </w:r>
      <w:r>
        <w:rPr>
          <w:spacing w:val="8"/>
          <w:sz w:val="20"/>
          <w:szCs w:val="20"/>
        </w:rPr>
        <w:t>了重要的基础设施。通过网</w:t>
      </w:r>
      <w:r>
        <w:rPr>
          <w:sz w:val="20"/>
          <w:szCs w:val="20"/>
        </w:rPr>
        <w:t xml:space="preserve"> </w:t>
      </w:r>
      <w:r>
        <w:rPr>
          <w:spacing w:val="3"/>
          <w:sz w:val="20"/>
          <w:szCs w:val="20"/>
        </w:rPr>
        <w:t>络通信技术实现人与人、人与物、物与物之间的实时连接。以</w:t>
      </w:r>
      <w:r>
        <w:rPr>
          <w:spacing w:val="2"/>
          <w:sz w:val="20"/>
          <w:szCs w:val="20"/>
        </w:rPr>
        <w:t>数字经济为驱动力，推动网络空</w:t>
      </w:r>
      <w:r>
        <w:rPr>
          <w:sz w:val="20"/>
          <w:szCs w:val="20"/>
        </w:rPr>
        <w:t xml:space="preserve"> </w:t>
      </w:r>
      <w:r>
        <w:rPr>
          <w:spacing w:val="3"/>
          <w:sz w:val="20"/>
          <w:szCs w:val="20"/>
        </w:rPr>
        <w:t xml:space="preserve">间开放、合作、交流、共享，让互联网更好地助力经济发展、社会进步、生活改善，支持实现 </w:t>
      </w:r>
      <w:r>
        <w:rPr>
          <w:spacing w:val="-2"/>
          <w:sz w:val="20"/>
          <w:szCs w:val="20"/>
        </w:rPr>
        <w:t>发展共同推进、安全共同维护、治理共同参与、成果共同分享。</w:t>
      </w:r>
    </w:p>
    <w:p w14:paraId="46A83ED5">
      <w:pPr>
        <w:spacing w:before="115" w:line="224" w:lineRule="auto"/>
        <w:ind w:left="700"/>
        <w:rPr>
          <w:rFonts w:ascii="楷体" w:hAnsi="楷体" w:eastAsia="楷体" w:cs="楷体"/>
          <w:sz w:val="20"/>
          <w:szCs w:val="20"/>
        </w:rPr>
      </w:pPr>
      <w:r>
        <w:rPr>
          <w:rFonts w:ascii="楷体" w:hAnsi="楷体" w:eastAsia="楷体" w:cs="楷体"/>
          <w:spacing w:val="22"/>
          <w:sz w:val="20"/>
          <w:szCs w:val="20"/>
        </w:rPr>
        <w:t>3)智能化</w:t>
      </w:r>
    </w:p>
    <w:p w14:paraId="1E5009FB">
      <w:pPr>
        <w:pStyle w:val="2"/>
        <w:spacing w:before="83" w:line="274" w:lineRule="auto"/>
        <w:ind w:left="310" w:firstLine="389"/>
        <w:rPr>
          <w:sz w:val="20"/>
          <w:szCs w:val="20"/>
        </w:rPr>
      </w:pPr>
      <w:r>
        <w:rPr>
          <w:spacing w:val="3"/>
          <w:sz w:val="20"/>
          <w:szCs w:val="20"/>
        </w:rPr>
        <w:t>2015年以来，人工智能研究在多个领域实现突破，数字经济进入以智能化为核心的发展阶</w:t>
      </w:r>
      <w:r>
        <w:rPr>
          <w:spacing w:val="4"/>
          <w:sz w:val="20"/>
          <w:szCs w:val="20"/>
        </w:rPr>
        <w:t xml:space="preserve">   </w:t>
      </w:r>
      <w:r>
        <w:rPr>
          <w:spacing w:val="3"/>
          <w:sz w:val="20"/>
          <w:szCs w:val="20"/>
        </w:rPr>
        <w:t>段。目前，其商业模式还主要集中在单一的弱人工智能应用上，包括语音识别、自动驾驶、机</w:t>
      </w:r>
      <w:r>
        <w:rPr>
          <w:spacing w:val="1"/>
          <w:sz w:val="20"/>
          <w:szCs w:val="20"/>
        </w:rPr>
        <w:t xml:space="preserve">   </w:t>
      </w:r>
      <w:r>
        <w:rPr>
          <w:sz w:val="20"/>
          <w:szCs w:val="20"/>
        </w:rPr>
        <w:t>器人写稿、图像识别、医疗辅助等。未来，智能化技术的发展将对数字经济发展产生质变效</w:t>
      </w:r>
      <w:r>
        <w:rPr>
          <w:spacing w:val="-1"/>
          <w:sz w:val="20"/>
          <w:szCs w:val="20"/>
        </w:rPr>
        <w:t>应，</w:t>
      </w:r>
      <w:r>
        <w:rPr>
          <w:sz w:val="20"/>
          <w:szCs w:val="20"/>
        </w:rPr>
        <w:t xml:space="preserve">  </w:t>
      </w:r>
      <w:r>
        <w:rPr>
          <w:spacing w:val="3"/>
          <w:sz w:val="20"/>
          <w:szCs w:val="20"/>
        </w:rPr>
        <w:t>推动人类生产生活方式的新变革。利用共享时代的优势，加快传统企业的数字化转型，将是未</w:t>
      </w:r>
      <w:r>
        <w:rPr>
          <w:spacing w:val="1"/>
          <w:sz w:val="20"/>
          <w:szCs w:val="20"/>
        </w:rPr>
        <w:t xml:space="preserve">   </w:t>
      </w:r>
      <w:r>
        <w:rPr>
          <w:sz w:val="20"/>
          <w:szCs w:val="20"/>
        </w:rPr>
        <w:t xml:space="preserve">来所有企业的核心战略。在共享时代利用个人、企业、政府甚至社会的闲置资源，依靠互联网、  </w:t>
      </w:r>
      <w:r>
        <w:rPr>
          <w:spacing w:val="6"/>
          <w:sz w:val="20"/>
          <w:szCs w:val="20"/>
        </w:rPr>
        <w:t>大数据、云计算等数字技能，推动传统企业向数字化转型发展。传统企业依靠“</w:t>
      </w:r>
      <w:r>
        <w:rPr>
          <w:spacing w:val="5"/>
          <w:sz w:val="20"/>
          <w:szCs w:val="20"/>
        </w:rPr>
        <w:t>互联网+企业”</w:t>
      </w:r>
      <w:r>
        <w:rPr>
          <w:sz w:val="20"/>
          <w:szCs w:val="20"/>
        </w:rPr>
        <w:t xml:space="preserve"> 的模式，应用数据化思维，建立连接内外资源、协作共享的机制，通过建立数字化的协同平台，  </w:t>
      </w:r>
      <w:r>
        <w:rPr>
          <w:spacing w:val="3"/>
          <w:sz w:val="20"/>
          <w:szCs w:val="20"/>
        </w:rPr>
        <w:t>以及资源、财务、法务共享平台，实现互联互通，做到精细化管理，最终实现传统企业的智能</w:t>
      </w:r>
      <w:r>
        <w:rPr>
          <w:spacing w:val="2"/>
          <w:sz w:val="20"/>
          <w:szCs w:val="20"/>
        </w:rPr>
        <w:t xml:space="preserve">   </w:t>
      </w:r>
      <w:r>
        <w:rPr>
          <w:spacing w:val="-2"/>
          <w:sz w:val="20"/>
          <w:szCs w:val="20"/>
        </w:rPr>
        <w:t>化发展。</w:t>
      </w:r>
    </w:p>
    <w:p w14:paraId="689DC1EF">
      <w:pPr>
        <w:spacing w:before="174" w:line="224" w:lineRule="auto"/>
        <w:ind w:left="700"/>
        <w:rPr>
          <w:rFonts w:ascii="楷体" w:hAnsi="楷体" w:eastAsia="楷体" w:cs="楷体"/>
          <w:sz w:val="20"/>
          <w:szCs w:val="20"/>
        </w:rPr>
      </w:pPr>
      <w:r>
        <w:rPr>
          <w:rFonts w:ascii="楷体" w:hAnsi="楷体" w:eastAsia="楷体" w:cs="楷体"/>
          <w:spacing w:val="22"/>
          <w:sz w:val="20"/>
          <w:szCs w:val="20"/>
        </w:rPr>
        <w:t>4)商业化</w:t>
      </w:r>
    </w:p>
    <w:p w14:paraId="4B98B2A4">
      <w:pPr>
        <w:pStyle w:val="2"/>
        <w:spacing w:before="47" w:line="284" w:lineRule="auto"/>
        <w:ind w:left="310" w:right="176" w:firstLine="389"/>
        <w:rPr>
          <w:sz w:val="20"/>
          <w:szCs w:val="20"/>
        </w:rPr>
      </w:pPr>
      <w:r>
        <w:rPr>
          <w:spacing w:val="1"/>
          <w:sz w:val="20"/>
          <w:szCs w:val="20"/>
        </w:rPr>
        <w:t>共享时代，数字资源的“共享价值”超过了“交换价值”,社</w:t>
      </w:r>
      <w:r>
        <w:rPr>
          <w:sz w:val="20"/>
          <w:szCs w:val="20"/>
        </w:rPr>
        <w:t xml:space="preserve">会资本将会与金融资本处在同 </w:t>
      </w:r>
      <w:r>
        <w:rPr>
          <w:spacing w:val="-1"/>
          <w:sz w:val="20"/>
          <w:szCs w:val="20"/>
        </w:rPr>
        <w:t>等重要的位置，合作共赢将会超越竞争，商品使用权将会超越所有权，可持续性替代消费主义，</w:t>
      </w:r>
    </w:p>
    <w:p w14:paraId="623D321D">
      <w:pPr>
        <w:spacing w:line="284" w:lineRule="auto"/>
        <w:rPr>
          <w:sz w:val="20"/>
          <w:szCs w:val="20"/>
        </w:rPr>
        <w:sectPr>
          <w:pgSz w:w="10320" w:h="13320"/>
          <w:pgMar w:top="400" w:right="943" w:bottom="400" w:left="520" w:header="0" w:footer="0" w:gutter="0"/>
          <w:cols w:space="720" w:num="1"/>
        </w:sectPr>
      </w:pPr>
    </w:p>
    <w:p w14:paraId="6B2F3B2B">
      <w:pPr>
        <w:pStyle w:val="2"/>
        <w:spacing w:before="86" w:line="219" w:lineRule="auto"/>
        <w:jc w:val="right"/>
        <w:rPr>
          <w:rFonts w:ascii="Times New Roman" w:hAnsi="Times New Roman" w:eastAsia="Times New Roman" w:cs="Times New Roman"/>
          <w:sz w:val="19"/>
          <w:szCs w:val="19"/>
        </w:rPr>
      </w:pPr>
      <w:r>
        <w:rPr>
          <w:spacing w:val="4"/>
          <w:sz w:val="19"/>
          <w:szCs w:val="19"/>
        </w:rPr>
        <w:t>第1章</w:t>
      </w:r>
      <w:r>
        <w:rPr>
          <w:spacing w:val="35"/>
          <w:sz w:val="19"/>
          <w:szCs w:val="19"/>
        </w:rPr>
        <w:t xml:space="preserve"> </w:t>
      </w:r>
      <w:r>
        <w:rPr>
          <w:spacing w:val="4"/>
          <w:sz w:val="19"/>
          <w:szCs w:val="19"/>
        </w:rPr>
        <w:t>信息与信息化</w:t>
      </w:r>
      <w:r>
        <w:rPr>
          <w:spacing w:val="1"/>
          <w:sz w:val="19"/>
          <w:szCs w:val="19"/>
        </w:rPr>
        <w:t xml:space="preserve">       </w:t>
      </w:r>
      <w:r>
        <w:rPr>
          <w:rFonts w:ascii="Times New Roman" w:hAnsi="Times New Roman" w:eastAsia="Times New Roman" w:cs="Times New Roman"/>
          <w:spacing w:val="4"/>
          <w:position w:val="1"/>
          <w:sz w:val="19"/>
          <w:szCs w:val="19"/>
        </w:rPr>
        <w:t>33</w:t>
      </w:r>
    </w:p>
    <w:p w14:paraId="117A23DC">
      <w:pPr>
        <w:spacing w:line="330" w:lineRule="auto"/>
        <w:rPr>
          <w:rFonts w:ascii="Arial"/>
          <w:sz w:val="21"/>
        </w:rPr>
      </w:pPr>
    </w:p>
    <w:p w14:paraId="2389AE22">
      <w:pPr>
        <w:pStyle w:val="2"/>
        <w:spacing w:before="61" w:line="295" w:lineRule="auto"/>
        <w:ind w:right="291"/>
        <w:jc w:val="both"/>
        <w:rPr>
          <w:sz w:val="19"/>
          <w:szCs w:val="19"/>
        </w:rPr>
      </w:pPr>
      <w:r>
        <w:rPr>
          <w:spacing w:val="13"/>
          <w:sz w:val="19"/>
          <w:szCs w:val="19"/>
        </w:rPr>
        <w:t>一系列的变化推动着新的商业模式出现。数字经济未来将会以</w:t>
      </w:r>
      <w:r>
        <w:rPr>
          <w:spacing w:val="12"/>
          <w:sz w:val="19"/>
          <w:szCs w:val="19"/>
        </w:rPr>
        <w:t>大数据、云计算、互联网、人工</w:t>
      </w:r>
      <w:r>
        <w:rPr>
          <w:sz w:val="19"/>
          <w:szCs w:val="19"/>
        </w:rPr>
        <w:t xml:space="preserve"> </w:t>
      </w:r>
      <w:r>
        <w:rPr>
          <w:spacing w:val="13"/>
          <w:sz w:val="19"/>
          <w:szCs w:val="19"/>
        </w:rPr>
        <w:t>智能为指引，在传统商业模式基础上进行重新设计，构筑依</w:t>
      </w:r>
      <w:r>
        <w:rPr>
          <w:spacing w:val="12"/>
          <w:sz w:val="19"/>
          <w:szCs w:val="19"/>
        </w:rPr>
        <w:t>靠数字产品横向延伸价值链和依靠</w:t>
      </w:r>
      <w:r>
        <w:rPr>
          <w:sz w:val="19"/>
          <w:szCs w:val="19"/>
        </w:rPr>
        <w:t xml:space="preserve"> </w:t>
      </w:r>
      <w:r>
        <w:rPr>
          <w:spacing w:val="18"/>
          <w:sz w:val="19"/>
          <w:szCs w:val="19"/>
        </w:rPr>
        <w:t>数字技术纵向衍生产业链的基本商业模式，构筑依靠数字</w:t>
      </w:r>
      <w:r>
        <w:rPr>
          <w:spacing w:val="17"/>
          <w:sz w:val="19"/>
          <w:szCs w:val="19"/>
        </w:rPr>
        <w:t>技术驱动的跨行业、跨区域的商业</w:t>
      </w:r>
      <w:r>
        <w:rPr>
          <w:sz w:val="19"/>
          <w:szCs w:val="19"/>
        </w:rPr>
        <w:t xml:space="preserve"> </w:t>
      </w:r>
      <w:r>
        <w:rPr>
          <w:spacing w:val="1"/>
          <w:sz w:val="19"/>
          <w:szCs w:val="19"/>
        </w:rPr>
        <w:t>模式。</w:t>
      </w:r>
    </w:p>
    <w:p w14:paraId="56380BD4">
      <w:pPr>
        <w:spacing w:before="123" w:line="224" w:lineRule="auto"/>
        <w:ind w:left="390"/>
        <w:rPr>
          <w:rFonts w:ascii="楷体" w:hAnsi="楷体" w:eastAsia="楷体" w:cs="楷体"/>
          <w:sz w:val="19"/>
          <w:szCs w:val="19"/>
        </w:rPr>
      </w:pPr>
      <w:bookmarkStart w:id="497" w:name="bookmark484"/>
      <w:bookmarkEnd w:id="497"/>
      <w:r>
        <w:rPr>
          <w:rFonts w:ascii="楷体" w:hAnsi="楷体" w:eastAsia="楷体" w:cs="楷体"/>
          <w:spacing w:val="28"/>
          <w:sz w:val="19"/>
          <w:szCs w:val="19"/>
        </w:rPr>
        <w:t>5)共享化</w:t>
      </w:r>
    </w:p>
    <w:p w14:paraId="3CB88E9F">
      <w:pPr>
        <w:pStyle w:val="2"/>
        <w:spacing w:before="82" w:line="219" w:lineRule="auto"/>
        <w:ind w:left="390"/>
        <w:rPr>
          <w:sz w:val="19"/>
          <w:szCs w:val="19"/>
        </w:rPr>
      </w:pPr>
      <w:r>
        <w:rPr>
          <w:spacing w:val="5"/>
          <w:sz w:val="19"/>
          <w:szCs w:val="19"/>
        </w:rPr>
        <w:t>共享化主要表现为以下几个方面：</w:t>
      </w:r>
    </w:p>
    <w:p w14:paraId="0BB8827F">
      <w:pPr>
        <w:pStyle w:val="2"/>
        <w:spacing w:before="75" w:line="286" w:lineRule="auto"/>
        <w:ind w:left="689" w:right="288" w:hanging="299"/>
        <w:rPr>
          <w:sz w:val="19"/>
          <w:szCs w:val="19"/>
        </w:rPr>
      </w:pPr>
      <w:r>
        <w:rPr>
          <w:spacing w:val="13"/>
          <w:sz w:val="19"/>
          <w:szCs w:val="19"/>
        </w:rPr>
        <w:t>●共享时代要求数字资源的共享性。数字经济的一大发</w:t>
      </w:r>
      <w:r>
        <w:rPr>
          <w:spacing w:val="12"/>
          <w:sz w:val="19"/>
          <w:szCs w:val="19"/>
        </w:rPr>
        <w:t>展方向应当是不断拓展数字信息资</w:t>
      </w:r>
      <w:r>
        <w:rPr>
          <w:sz w:val="19"/>
          <w:szCs w:val="19"/>
        </w:rPr>
        <w:t xml:space="preserve"> </w:t>
      </w:r>
      <w:r>
        <w:rPr>
          <w:spacing w:val="11"/>
          <w:sz w:val="19"/>
          <w:szCs w:val="19"/>
        </w:rPr>
        <w:t>源，发展关于数字技术的集成、存储、分析、交易业</w:t>
      </w:r>
      <w:r>
        <w:rPr>
          <w:spacing w:val="10"/>
          <w:sz w:val="19"/>
          <w:szCs w:val="19"/>
        </w:rPr>
        <w:t>务，在共享时代下释放数字技术资</w:t>
      </w:r>
      <w:r>
        <w:rPr>
          <w:sz w:val="19"/>
          <w:szCs w:val="19"/>
        </w:rPr>
        <w:t xml:space="preserve"> </w:t>
      </w:r>
      <w:r>
        <w:rPr>
          <w:spacing w:val="7"/>
          <w:sz w:val="19"/>
          <w:szCs w:val="19"/>
        </w:rPr>
        <w:t>源的新价值。</w:t>
      </w:r>
    </w:p>
    <w:p w14:paraId="172B44E8">
      <w:pPr>
        <w:pStyle w:val="2"/>
        <w:spacing w:before="97" w:line="286" w:lineRule="auto"/>
        <w:ind w:left="689" w:right="290" w:hanging="299"/>
        <w:rPr>
          <w:sz w:val="19"/>
          <w:szCs w:val="19"/>
        </w:rPr>
      </w:pPr>
      <w:r>
        <w:rPr>
          <w:spacing w:val="13"/>
          <w:sz w:val="19"/>
          <w:szCs w:val="19"/>
        </w:rPr>
        <w:t>●共享时代需要数字技术与产业融合发展，以便创造出更多</w:t>
      </w:r>
      <w:r>
        <w:rPr>
          <w:spacing w:val="12"/>
          <w:sz w:val="19"/>
          <w:szCs w:val="19"/>
        </w:rPr>
        <w:t>的商业发展模式。数字技术与</w:t>
      </w:r>
      <w:r>
        <w:rPr>
          <w:sz w:val="19"/>
          <w:szCs w:val="19"/>
        </w:rPr>
        <w:t xml:space="preserve"> </w:t>
      </w:r>
      <w:r>
        <w:rPr>
          <w:spacing w:val="11"/>
          <w:sz w:val="19"/>
          <w:szCs w:val="19"/>
        </w:rPr>
        <w:t>产业融合成为数字经济的重要发展方向，通过</w:t>
      </w:r>
      <w:r>
        <w:rPr>
          <w:spacing w:val="10"/>
          <w:sz w:val="19"/>
          <w:szCs w:val="19"/>
        </w:rPr>
        <w:t>产业融合，实现产业数字化、智能化，产</w:t>
      </w:r>
      <w:r>
        <w:rPr>
          <w:sz w:val="19"/>
          <w:szCs w:val="19"/>
        </w:rPr>
        <w:t xml:space="preserve"> </w:t>
      </w:r>
      <w:r>
        <w:rPr>
          <w:spacing w:val="9"/>
          <w:sz w:val="19"/>
          <w:szCs w:val="19"/>
        </w:rPr>
        <w:t>业的边界逐渐模糊，最终形成产业开放化发展以及产业向价值网络的转型升级。</w:t>
      </w:r>
    </w:p>
    <w:p w14:paraId="02967039">
      <w:pPr>
        <w:pStyle w:val="2"/>
        <w:spacing w:before="97" w:line="293" w:lineRule="auto"/>
        <w:ind w:left="689" w:right="292" w:hanging="299"/>
        <w:rPr>
          <w:sz w:val="19"/>
          <w:szCs w:val="19"/>
        </w:rPr>
      </w:pPr>
      <w:r>
        <w:rPr>
          <w:spacing w:val="13"/>
          <w:sz w:val="19"/>
          <w:szCs w:val="19"/>
        </w:rPr>
        <w:t>●共享时代要求数字经济发展具有强大的服务功能，由此</w:t>
      </w:r>
      <w:r>
        <w:rPr>
          <w:spacing w:val="12"/>
          <w:sz w:val="19"/>
          <w:szCs w:val="19"/>
        </w:rPr>
        <w:t>才能满足并扩展共享商业模式的</w:t>
      </w:r>
      <w:r>
        <w:rPr>
          <w:sz w:val="19"/>
          <w:szCs w:val="19"/>
        </w:rPr>
        <w:t xml:space="preserve"> </w:t>
      </w:r>
      <w:r>
        <w:rPr>
          <w:spacing w:val="10"/>
          <w:sz w:val="19"/>
          <w:szCs w:val="19"/>
        </w:rPr>
        <w:t>更多需求。融合服务业与数字技术发展的服务型数字产业是共享时代数字经济发展的重</w:t>
      </w:r>
      <w:r>
        <w:rPr>
          <w:spacing w:val="17"/>
          <w:sz w:val="19"/>
          <w:szCs w:val="19"/>
        </w:rPr>
        <w:t xml:space="preserve"> </w:t>
      </w:r>
      <w:r>
        <w:rPr>
          <w:spacing w:val="10"/>
          <w:sz w:val="19"/>
          <w:szCs w:val="19"/>
        </w:rPr>
        <w:t>要方向，也体现出数字经济在共享时代的应用性，以数字技术为基础的数字金融、智能</w:t>
      </w:r>
      <w:r>
        <w:rPr>
          <w:spacing w:val="18"/>
          <w:sz w:val="19"/>
          <w:szCs w:val="19"/>
        </w:rPr>
        <w:t xml:space="preserve"> </w:t>
      </w:r>
      <w:r>
        <w:rPr>
          <w:spacing w:val="10"/>
          <w:sz w:val="19"/>
          <w:szCs w:val="19"/>
        </w:rPr>
        <w:t>支付、智慧物流、智慧健康、电子商务、数字信息服务等服务型产业将在共享时代迅猛</w:t>
      </w:r>
      <w:r>
        <w:rPr>
          <w:spacing w:val="15"/>
          <w:sz w:val="19"/>
          <w:szCs w:val="19"/>
        </w:rPr>
        <w:t xml:space="preserve"> </w:t>
      </w:r>
      <w:r>
        <w:rPr>
          <w:spacing w:val="8"/>
          <w:sz w:val="19"/>
          <w:szCs w:val="19"/>
        </w:rPr>
        <w:t>发展。</w:t>
      </w:r>
    </w:p>
    <w:p w14:paraId="45412B6A">
      <w:pPr>
        <w:pStyle w:val="2"/>
        <w:spacing w:before="238" w:line="221" w:lineRule="auto"/>
        <w:ind w:left="392"/>
        <w:rPr>
          <w:rFonts w:ascii="黑体" w:hAnsi="黑体" w:eastAsia="黑体" w:cs="黑体"/>
          <w:sz w:val="19"/>
          <w:szCs w:val="19"/>
        </w:rPr>
      </w:pPr>
      <w:r>
        <w:rPr>
          <w:b/>
          <w:bCs/>
          <w:color w:val="0062C5"/>
          <w:spacing w:val="7"/>
          <w:sz w:val="19"/>
          <w:szCs w:val="19"/>
        </w:rPr>
        <w:t>3.</w:t>
      </w:r>
      <w:r>
        <w:rPr>
          <w:rFonts w:ascii="黑体" w:hAnsi="黑体" w:eastAsia="黑体" w:cs="黑体"/>
          <w:b/>
          <w:bCs/>
          <w:color w:val="0062C5"/>
          <w:spacing w:val="7"/>
          <w:sz w:val="19"/>
          <w:szCs w:val="19"/>
        </w:rPr>
        <w:t>数字经济应用场景</w:t>
      </w:r>
    </w:p>
    <w:p w14:paraId="73A07750">
      <w:pPr>
        <w:pStyle w:val="2"/>
        <w:spacing w:before="126" w:line="219" w:lineRule="auto"/>
        <w:ind w:left="390"/>
        <w:rPr>
          <w:sz w:val="19"/>
          <w:szCs w:val="19"/>
        </w:rPr>
      </w:pPr>
      <w:r>
        <w:rPr>
          <w:spacing w:val="6"/>
          <w:sz w:val="19"/>
          <w:szCs w:val="19"/>
        </w:rPr>
        <w:t>数字经济应用场景主要有以下几个方面。</w:t>
      </w:r>
    </w:p>
    <w:p w14:paraId="29DEA738">
      <w:pPr>
        <w:spacing w:before="161" w:line="223" w:lineRule="auto"/>
        <w:ind w:left="390"/>
        <w:rPr>
          <w:rFonts w:ascii="楷体" w:hAnsi="楷体" w:eastAsia="楷体" w:cs="楷体"/>
          <w:sz w:val="19"/>
          <w:szCs w:val="19"/>
        </w:rPr>
      </w:pPr>
      <w:r>
        <w:rPr>
          <w:rFonts w:ascii="楷体" w:hAnsi="楷体" w:eastAsia="楷体" w:cs="楷体"/>
          <w:spacing w:val="20"/>
          <w:sz w:val="19"/>
          <w:szCs w:val="19"/>
        </w:rPr>
        <w:t>1)数字产业化</w:t>
      </w:r>
    </w:p>
    <w:p w14:paraId="15102E06">
      <w:pPr>
        <w:pStyle w:val="2"/>
        <w:spacing w:before="84" w:line="283" w:lineRule="auto"/>
        <w:ind w:right="271" w:firstLine="390"/>
        <w:rPr>
          <w:sz w:val="19"/>
          <w:szCs w:val="19"/>
        </w:rPr>
      </w:pPr>
      <w:r>
        <w:rPr>
          <w:spacing w:val="13"/>
          <w:sz w:val="19"/>
          <w:szCs w:val="19"/>
        </w:rPr>
        <w:t>数字产业化应用包括但不限于电子信息制造业、电信业、软件和信息技术服务业、互联网</w:t>
      </w:r>
      <w:r>
        <w:rPr>
          <w:spacing w:val="10"/>
          <w:sz w:val="19"/>
          <w:szCs w:val="19"/>
        </w:rPr>
        <w:t xml:space="preserve"> </w:t>
      </w:r>
      <w:r>
        <w:rPr>
          <w:spacing w:val="11"/>
          <w:sz w:val="19"/>
          <w:szCs w:val="19"/>
        </w:rPr>
        <w:t>和相关服务业中的5</w:t>
      </w:r>
      <w:r>
        <w:rPr>
          <w:rFonts w:ascii="Times New Roman" w:hAnsi="Times New Roman" w:eastAsia="Times New Roman" w:cs="Times New Roman"/>
          <w:spacing w:val="11"/>
          <w:sz w:val="19"/>
          <w:szCs w:val="19"/>
        </w:rPr>
        <w:t>G</w:t>
      </w:r>
      <w:r>
        <w:rPr>
          <w:rFonts w:ascii="Times New Roman" w:hAnsi="Times New Roman" w:eastAsia="Times New Roman" w:cs="Times New Roman"/>
          <w:spacing w:val="-13"/>
          <w:sz w:val="19"/>
          <w:szCs w:val="19"/>
        </w:rPr>
        <w:t xml:space="preserve"> </w:t>
      </w:r>
      <w:r>
        <w:rPr>
          <w:spacing w:val="11"/>
          <w:sz w:val="19"/>
          <w:szCs w:val="19"/>
        </w:rPr>
        <w:t>、集成电路、软件、人工智能、大数据、云计算、区块链等技术、产品及</w:t>
      </w:r>
      <w:r>
        <w:rPr>
          <w:sz w:val="19"/>
          <w:szCs w:val="19"/>
        </w:rPr>
        <w:t xml:space="preserve"> </w:t>
      </w:r>
      <w:r>
        <w:rPr>
          <w:spacing w:val="8"/>
          <w:sz w:val="19"/>
          <w:szCs w:val="19"/>
        </w:rPr>
        <w:t>服务。</w:t>
      </w:r>
    </w:p>
    <w:p w14:paraId="45CDC214">
      <w:pPr>
        <w:spacing w:before="123" w:line="223" w:lineRule="auto"/>
        <w:ind w:left="390"/>
        <w:rPr>
          <w:rFonts w:ascii="楷体" w:hAnsi="楷体" w:eastAsia="楷体" w:cs="楷体"/>
          <w:sz w:val="19"/>
          <w:szCs w:val="19"/>
        </w:rPr>
      </w:pPr>
      <w:r>
        <w:rPr>
          <w:rFonts w:ascii="楷体" w:hAnsi="楷体" w:eastAsia="楷体" w:cs="楷体"/>
          <w:spacing w:val="25"/>
          <w:sz w:val="19"/>
          <w:szCs w:val="19"/>
        </w:rPr>
        <w:t>2)产业数字化</w:t>
      </w:r>
    </w:p>
    <w:p w14:paraId="48393ABB">
      <w:pPr>
        <w:pStyle w:val="2"/>
        <w:spacing w:before="73" w:line="293" w:lineRule="auto"/>
        <w:ind w:right="207" w:firstLine="390"/>
        <w:rPr>
          <w:sz w:val="19"/>
          <w:szCs w:val="19"/>
        </w:rPr>
      </w:pPr>
      <w:r>
        <w:rPr>
          <w:spacing w:val="13"/>
          <w:sz w:val="19"/>
          <w:szCs w:val="19"/>
        </w:rPr>
        <w:t>产业数字化是指传统产业应用数字技术所带来的生产数量和效率提升，其新增产出是数字</w:t>
      </w:r>
      <w:r>
        <w:rPr>
          <w:sz w:val="19"/>
          <w:szCs w:val="19"/>
        </w:rPr>
        <w:t xml:space="preserve">  </w:t>
      </w:r>
      <w:r>
        <w:rPr>
          <w:spacing w:val="15"/>
          <w:sz w:val="19"/>
          <w:szCs w:val="19"/>
        </w:rPr>
        <w:t>经济的重要组成部分。产业数字化包括但不限于工业互联网、两化融</w:t>
      </w:r>
      <w:r>
        <w:rPr>
          <w:spacing w:val="14"/>
          <w:sz w:val="19"/>
          <w:szCs w:val="19"/>
        </w:rPr>
        <w:t>合、智能制造、车联网、</w:t>
      </w:r>
      <w:r>
        <w:rPr>
          <w:sz w:val="19"/>
          <w:szCs w:val="19"/>
        </w:rPr>
        <w:t xml:space="preserve"> </w:t>
      </w:r>
      <w:r>
        <w:rPr>
          <w:spacing w:val="7"/>
          <w:sz w:val="19"/>
          <w:szCs w:val="19"/>
        </w:rPr>
        <w:t>平台经济等融合型新产业、新模式、新业态。</w:t>
      </w:r>
    </w:p>
    <w:p w14:paraId="403E9898">
      <w:pPr>
        <w:spacing w:before="103" w:line="223" w:lineRule="auto"/>
        <w:ind w:left="390"/>
        <w:rPr>
          <w:rFonts w:ascii="楷体" w:hAnsi="楷体" w:eastAsia="楷体" w:cs="楷体"/>
          <w:sz w:val="19"/>
          <w:szCs w:val="19"/>
        </w:rPr>
      </w:pPr>
      <w:r>
        <w:rPr>
          <w:rFonts w:ascii="楷体" w:hAnsi="楷体" w:eastAsia="楷体" w:cs="楷体"/>
          <w:spacing w:val="22"/>
          <w:sz w:val="19"/>
          <w:szCs w:val="19"/>
        </w:rPr>
        <w:t>3)数字化治理</w:t>
      </w:r>
    </w:p>
    <w:p w14:paraId="701069ED">
      <w:pPr>
        <w:pStyle w:val="2"/>
        <w:spacing w:before="74" w:line="292" w:lineRule="auto"/>
        <w:ind w:right="293" w:firstLine="390"/>
        <w:rPr>
          <w:sz w:val="19"/>
          <w:szCs w:val="19"/>
        </w:rPr>
      </w:pPr>
      <w:r>
        <w:rPr>
          <w:spacing w:val="13"/>
          <w:sz w:val="19"/>
          <w:szCs w:val="19"/>
        </w:rPr>
        <w:t>数字化治理是国家推进治理体系和治理能力现代化的重要组成部分，是运用数字技术，建</w:t>
      </w:r>
      <w:r>
        <w:rPr>
          <w:sz w:val="19"/>
          <w:szCs w:val="19"/>
        </w:rPr>
        <w:t xml:space="preserve"> </w:t>
      </w:r>
      <w:r>
        <w:rPr>
          <w:spacing w:val="13"/>
          <w:sz w:val="19"/>
          <w:szCs w:val="19"/>
        </w:rPr>
        <w:t>立健全行政管理体系，创新服务监管方式，实现行政决策</w:t>
      </w:r>
      <w:r>
        <w:rPr>
          <w:spacing w:val="12"/>
          <w:sz w:val="19"/>
          <w:szCs w:val="19"/>
        </w:rPr>
        <w:t>、行政执行、行政组织、行政监督等</w:t>
      </w:r>
      <w:r>
        <w:rPr>
          <w:sz w:val="19"/>
          <w:szCs w:val="19"/>
        </w:rPr>
        <w:t xml:space="preserve"> </w:t>
      </w:r>
      <w:r>
        <w:rPr>
          <w:spacing w:val="8"/>
          <w:sz w:val="19"/>
          <w:szCs w:val="19"/>
        </w:rPr>
        <w:t>体制更加优化的新型政府治理模式。数字化治理包括数字社区、数字乡村等。</w:t>
      </w:r>
    </w:p>
    <w:p w14:paraId="7A8A2FC0">
      <w:pPr>
        <w:spacing w:before="93" w:line="231" w:lineRule="auto"/>
        <w:ind w:left="390"/>
        <w:rPr>
          <w:rFonts w:ascii="楷体" w:hAnsi="楷体" w:eastAsia="楷体" w:cs="楷体"/>
          <w:sz w:val="19"/>
          <w:szCs w:val="19"/>
        </w:rPr>
      </w:pPr>
      <w:r>
        <w:rPr>
          <w:rFonts w:ascii="楷体" w:hAnsi="楷体" w:eastAsia="楷体" w:cs="楷体"/>
          <w:spacing w:val="25"/>
          <w:sz w:val="19"/>
          <w:szCs w:val="19"/>
        </w:rPr>
        <w:t>4)数据价值化</w:t>
      </w:r>
    </w:p>
    <w:p w14:paraId="6DDCF1C4">
      <w:pPr>
        <w:pStyle w:val="2"/>
        <w:spacing w:before="88" w:line="283" w:lineRule="auto"/>
        <w:ind w:right="270" w:firstLine="390"/>
        <w:rPr>
          <w:sz w:val="19"/>
          <w:szCs w:val="19"/>
        </w:rPr>
      </w:pPr>
      <w:r>
        <w:rPr>
          <w:spacing w:val="15"/>
          <w:sz w:val="19"/>
          <w:szCs w:val="19"/>
        </w:rPr>
        <w:t>中共中央、国务院于2020年4月印发的《关于构建更加完善的要素市场化</w:t>
      </w:r>
      <w:r>
        <w:rPr>
          <w:spacing w:val="14"/>
          <w:sz w:val="19"/>
          <w:szCs w:val="19"/>
        </w:rPr>
        <w:t>配置体制机制的</w:t>
      </w:r>
      <w:r>
        <w:rPr>
          <w:sz w:val="19"/>
          <w:szCs w:val="19"/>
        </w:rPr>
        <w:t xml:space="preserve"> </w:t>
      </w:r>
      <w:r>
        <w:rPr>
          <w:spacing w:val="13"/>
          <w:sz w:val="19"/>
          <w:szCs w:val="19"/>
        </w:rPr>
        <w:t>意见》是中央关于要素市场化配置的第一份文件，该文件围绕劳动力、资本、土地、科技、数</w:t>
      </w:r>
      <w:r>
        <w:rPr>
          <w:spacing w:val="3"/>
          <w:sz w:val="19"/>
          <w:szCs w:val="19"/>
        </w:rPr>
        <w:t xml:space="preserve"> </w:t>
      </w:r>
      <w:r>
        <w:rPr>
          <w:spacing w:val="13"/>
          <w:sz w:val="19"/>
          <w:szCs w:val="19"/>
        </w:rPr>
        <w:t>据等五大要素领域提出了改革方向，把数据作为一种生产要素单独列出，数据上升为新的生产</w:t>
      </w:r>
    </w:p>
    <w:p w14:paraId="7F8C8C90">
      <w:pPr>
        <w:spacing w:line="283" w:lineRule="auto"/>
        <w:rPr>
          <w:sz w:val="19"/>
          <w:szCs w:val="19"/>
        </w:rPr>
        <w:sectPr>
          <w:pgSz w:w="10300" w:h="13310"/>
          <w:pgMar w:top="400" w:right="527" w:bottom="400" w:left="1169" w:header="0" w:footer="0" w:gutter="0"/>
          <w:cols w:space="720" w:num="1"/>
        </w:sectPr>
      </w:pPr>
    </w:p>
    <w:p w14:paraId="65CF0FAE">
      <w:pPr>
        <w:pStyle w:val="2"/>
        <w:spacing w:before="97" w:line="215" w:lineRule="auto"/>
        <w:rPr>
          <w:sz w:val="20"/>
          <w:szCs w:val="20"/>
        </w:rPr>
      </w:pPr>
      <w:r>
        <w:rPr>
          <w:rFonts w:ascii="Times New Roman" w:hAnsi="Times New Roman" w:eastAsia="Times New Roman" w:cs="Times New Roman"/>
          <w:b/>
          <w:bCs/>
          <w:spacing w:val="-4"/>
          <w:position w:val="2"/>
          <w:sz w:val="20"/>
          <w:szCs w:val="20"/>
        </w:rPr>
        <w:t>34</w:t>
      </w:r>
      <w:r>
        <w:rPr>
          <w:rFonts w:ascii="Times New Roman" w:hAnsi="Times New Roman" w:eastAsia="Times New Roman" w:cs="Times New Roman"/>
          <w:b/>
          <w:bCs/>
          <w:spacing w:val="2"/>
          <w:position w:val="2"/>
          <w:sz w:val="20"/>
          <w:szCs w:val="20"/>
        </w:rPr>
        <w:t xml:space="preserve">              </w:t>
      </w:r>
      <w:r>
        <w:rPr>
          <w:spacing w:val="-4"/>
          <w:sz w:val="20"/>
          <w:szCs w:val="20"/>
        </w:rPr>
        <w:t>信息系统监理师教程(第2版)</w:t>
      </w:r>
    </w:p>
    <w:p w14:paraId="55B350DF">
      <w:pPr>
        <w:spacing w:line="308" w:lineRule="auto"/>
        <w:rPr>
          <w:rFonts w:ascii="Arial"/>
          <w:sz w:val="21"/>
        </w:rPr>
      </w:pPr>
    </w:p>
    <w:p w14:paraId="5C884FF6">
      <w:pPr>
        <w:pStyle w:val="2"/>
        <w:spacing w:before="65" w:line="290" w:lineRule="auto"/>
        <w:ind w:left="289" w:right="64"/>
        <w:jc w:val="both"/>
        <w:rPr>
          <w:sz w:val="20"/>
          <w:szCs w:val="20"/>
        </w:rPr>
      </w:pPr>
      <w:r>
        <w:rPr>
          <w:spacing w:val="7"/>
          <w:sz w:val="20"/>
          <w:szCs w:val="20"/>
        </w:rPr>
        <w:t>要素，对数字经济发展起到基础性和支撑性的关键作用。2022年12月19日，《中共中央国务</w:t>
      </w:r>
      <w:r>
        <w:rPr>
          <w:sz w:val="20"/>
          <w:szCs w:val="20"/>
        </w:rPr>
        <w:t xml:space="preserve"> </w:t>
      </w:r>
      <w:r>
        <w:rPr>
          <w:spacing w:val="3"/>
          <w:sz w:val="20"/>
          <w:szCs w:val="20"/>
        </w:rPr>
        <w:t>院关于构建数据基础制度更好发挥数据要素作用的意见》对外</w:t>
      </w:r>
      <w:r>
        <w:rPr>
          <w:spacing w:val="2"/>
          <w:sz w:val="20"/>
          <w:szCs w:val="20"/>
        </w:rPr>
        <w:t>发布，以解决市场主体遇到的实</w:t>
      </w:r>
      <w:r>
        <w:rPr>
          <w:sz w:val="20"/>
          <w:szCs w:val="20"/>
        </w:rPr>
        <w:t xml:space="preserve"> </w:t>
      </w:r>
      <w:r>
        <w:rPr>
          <w:spacing w:val="3"/>
          <w:sz w:val="20"/>
          <w:szCs w:val="20"/>
        </w:rPr>
        <w:t>际问题为导向，创新数据产权观念，淡化所有权、强调使用权，聚焦数据使用权流通，创造性 提出建立数据资源持有权、数据加工使用权和数据产品经营权“三权分置”的数据产权制度框 架，构建中国特色数据产权制度体系。数据价值化包括但不限于数据采集、数据标准、数据确</w:t>
      </w:r>
      <w:r>
        <w:rPr>
          <w:spacing w:val="11"/>
          <w:sz w:val="20"/>
          <w:szCs w:val="20"/>
        </w:rPr>
        <w:t xml:space="preserve"> </w:t>
      </w:r>
      <w:r>
        <w:rPr>
          <w:spacing w:val="-1"/>
          <w:sz w:val="20"/>
          <w:szCs w:val="20"/>
        </w:rPr>
        <w:t>权、数据标注、数据定价、数据交易、数据流</w:t>
      </w:r>
      <w:r>
        <w:rPr>
          <w:spacing w:val="-2"/>
          <w:sz w:val="20"/>
          <w:szCs w:val="20"/>
        </w:rPr>
        <w:t>转、数据保护等。</w:t>
      </w:r>
    </w:p>
    <w:p w14:paraId="740C7C93">
      <w:pPr>
        <w:pStyle w:val="2"/>
        <w:spacing w:before="127" w:line="222" w:lineRule="auto"/>
        <w:ind w:left="692"/>
        <w:rPr>
          <w:rFonts w:ascii="黑体" w:hAnsi="黑体" w:eastAsia="黑体" w:cs="黑体"/>
          <w:sz w:val="20"/>
          <w:szCs w:val="20"/>
        </w:rPr>
      </w:pPr>
      <w:r>
        <w:rPr>
          <w:b/>
          <w:bCs/>
          <w:color w:val="005DA5"/>
          <w:spacing w:val="-1"/>
          <w:sz w:val="20"/>
          <w:szCs w:val="20"/>
        </w:rPr>
        <w:t>4.</w:t>
      </w:r>
      <w:r>
        <w:rPr>
          <w:rFonts w:ascii="黑体" w:hAnsi="黑体" w:eastAsia="黑体" w:cs="黑体"/>
          <w:b/>
          <w:bCs/>
          <w:color w:val="005DA5"/>
          <w:spacing w:val="-1"/>
          <w:sz w:val="20"/>
          <w:szCs w:val="20"/>
        </w:rPr>
        <w:t>数字经济建设管理</w:t>
      </w:r>
    </w:p>
    <w:p w14:paraId="7E6932EF">
      <w:pPr>
        <w:pStyle w:val="2"/>
        <w:spacing w:before="152" w:line="219" w:lineRule="auto"/>
        <w:ind w:left="689"/>
        <w:rPr>
          <w:sz w:val="20"/>
          <w:szCs w:val="20"/>
        </w:rPr>
      </w:pPr>
      <w:r>
        <w:rPr>
          <w:spacing w:val="-2"/>
          <w:sz w:val="20"/>
          <w:szCs w:val="20"/>
        </w:rPr>
        <w:t>数字经济建设管理主要包括以下几个方面。</w:t>
      </w:r>
    </w:p>
    <w:p w14:paraId="6505FC57">
      <w:pPr>
        <w:pStyle w:val="2"/>
        <w:spacing w:before="93" w:line="272" w:lineRule="auto"/>
        <w:ind w:left="289" w:firstLine="400"/>
        <w:rPr>
          <w:sz w:val="20"/>
          <w:szCs w:val="20"/>
        </w:rPr>
      </w:pPr>
      <w:r>
        <w:rPr>
          <w:spacing w:val="5"/>
          <w:sz w:val="20"/>
          <w:szCs w:val="20"/>
        </w:rPr>
        <w:t>(1)强化组织协调。优化工作推进机制，做好重大决策、工作部署和指导督促。加强数字</w:t>
      </w:r>
      <w:r>
        <w:rPr>
          <w:spacing w:val="4"/>
          <w:sz w:val="20"/>
          <w:szCs w:val="20"/>
        </w:rPr>
        <w:t xml:space="preserve">  </w:t>
      </w:r>
      <w:r>
        <w:rPr>
          <w:sz w:val="20"/>
          <w:szCs w:val="20"/>
        </w:rPr>
        <w:t xml:space="preserve">经济高质量发展督查，压实项目建设有关部门责任。开展数字经济项目建设实施年度监测分析、 </w:t>
      </w:r>
      <w:r>
        <w:rPr>
          <w:spacing w:val="3"/>
          <w:sz w:val="20"/>
          <w:szCs w:val="20"/>
        </w:rPr>
        <w:t>中期评估和总结评估。加强领导干部、工作人员的数字素养培养，强化舆</w:t>
      </w:r>
      <w:r>
        <w:rPr>
          <w:spacing w:val="2"/>
          <w:sz w:val="20"/>
          <w:szCs w:val="20"/>
        </w:rPr>
        <w:t>论宣传引导，营造良</w:t>
      </w:r>
      <w:r>
        <w:rPr>
          <w:sz w:val="20"/>
          <w:szCs w:val="20"/>
        </w:rPr>
        <w:t xml:space="preserve">  </w:t>
      </w:r>
      <w:r>
        <w:rPr>
          <w:spacing w:val="-6"/>
          <w:sz w:val="20"/>
          <w:szCs w:val="20"/>
        </w:rPr>
        <w:t>好发展环境。</w:t>
      </w:r>
    </w:p>
    <w:p w14:paraId="56499B9C">
      <w:pPr>
        <w:pStyle w:val="2"/>
        <w:spacing w:before="83" w:line="270" w:lineRule="auto"/>
        <w:ind w:left="289" w:right="91" w:firstLine="400"/>
        <w:rPr>
          <w:sz w:val="20"/>
          <w:szCs w:val="20"/>
        </w:rPr>
      </w:pPr>
      <w:r>
        <w:rPr>
          <w:spacing w:val="5"/>
          <w:sz w:val="20"/>
          <w:szCs w:val="20"/>
        </w:rPr>
        <w:t>(2)优化政策环境。完善数字经济法规制度，建立健全政务数据共享和开放制度，探索推</w:t>
      </w:r>
      <w:r>
        <w:rPr>
          <w:spacing w:val="7"/>
          <w:sz w:val="20"/>
          <w:szCs w:val="20"/>
        </w:rPr>
        <w:t xml:space="preserve"> </w:t>
      </w:r>
      <w:r>
        <w:rPr>
          <w:spacing w:val="3"/>
          <w:sz w:val="20"/>
          <w:szCs w:val="20"/>
        </w:rPr>
        <w:t>进数据收益权与交易流通制度建设。出台支持数字经济项</w:t>
      </w:r>
      <w:r>
        <w:rPr>
          <w:spacing w:val="2"/>
          <w:sz w:val="20"/>
          <w:szCs w:val="20"/>
        </w:rPr>
        <w:t>目建设发展的产业扶持政策、行动计</w:t>
      </w:r>
      <w:r>
        <w:rPr>
          <w:sz w:val="20"/>
          <w:szCs w:val="20"/>
        </w:rPr>
        <w:t xml:space="preserve"> </w:t>
      </w:r>
      <w:r>
        <w:rPr>
          <w:spacing w:val="3"/>
          <w:sz w:val="20"/>
          <w:szCs w:val="20"/>
        </w:rPr>
        <w:t>划、实施方案，形成一体化规划架构体系。健全数字经济</w:t>
      </w:r>
      <w:r>
        <w:rPr>
          <w:spacing w:val="2"/>
          <w:sz w:val="20"/>
          <w:szCs w:val="20"/>
        </w:rPr>
        <w:t>创新创业政策体系，搭建创业服务对</w:t>
      </w:r>
      <w:r>
        <w:rPr>
          <w:sz w:val="20"/>
          <w:szCs w:val="20"/>
        </w:rPr>
        <w:t xml:space="preserve"> </w:t>
      </w:r>
      <w:r>
        <w:rPr>
          <w:spacing w:val="-7"/>
          <w:sz w:val="20"/>
          <w:szCs w:val="20"/>
        </w:rPr>
        <w:t>接平台。</w:t>
      </w:r>
    </w:p>
    <w:p w14:paraId="4A436B7C">
      <w:pPr>
        <w:pStyle w:val="2"/>
        <w:spacing w:before="90" w:line="275" w:lineRule="auto"/>
        <w:ind w:left="289" w:right="62" w:firstLine="400"/>
        <w:rPr>
          <w:sz w:val="20"/>
          <w:szCs w:val="20"/>
        </w:rPr>
      </w:pPr>
      <w:r>
        <w:rPr>
          <w:spacing w:val="5"/>
          <w:sz w:val="20"/>
          <w:szCs w:val="20"/>
        </w:rPr>
        <w:t>(3)拓展资金渠道。加强政府政策支持和资金统筹力度，建立政府引导、多元化投入的市</w:t>
      </w:r>
      <w:r>
        <w:rPr>
          <w:spacing w:val="11"/>
          <w:sz w:val="20"/>
          <w:szCs w:val="20"/>
        </w:rPr>
        <w:t xml:space="preserve"> </w:t>
      </w:r>
      <w:r>
        <w:rPr>
          <w:spacing w:val="3"/>
          <w:sz w:val="20"/>
          <w:szCs w:val="20"/>
        </w:rPr>
        <w:t>场金融保障体系。推广政府和社会资本合作模式，发挥产</w:t>
      </w:r>
      <w:r>
        <w:rPr>
          <w:spacing w:val="2"/>
          <w:sz w:val="20"/>
          <w:szCs w:val="20"/>
        </w:rPr>
        <w:t>业投资基金引导作用，向数字经济领</w:t>
      </w:r>
      <w:r>
        <w:rPr>
          <w:sz w:val="20"/>
          <w:szCs w:val="20"/>
        </w:rPr>
        <w:t xml:space="preserve"> </w:t>
      </w:r>
      <w:r>
        <w:rPr>
          <w:spacing w:val="3"/>
          <w:sz w:val="20"/>
          <w:szCs w:val="20"/>
        </w:rPr>
        <w:t>域倾斜。建立政府部门主导应用需求、国有公司建设运营、行业企业共同参与的数字经济项目</w:t>
      </w:r>
      <w:r>
        <w:rPr>
          <w:spacing w:val="13"/>
          <w:sz w:val="20"/>
          <w:szCs w:val="20"/>
        </w:rPr>
        <w:t xml:space="preserve"> </w:t>
      </w:r>
      <w:r>
        <w:rPr>
          <w:spacing w:val="3"/>
          <w:sz w:val="20"/>
          <w:szCs w:val="20"/>
        </w:rPr>
        <w:t>多元投融资运营模式，形成灵活的建设运营模式。鼓励金</w:t>
      </w:r>
      <w:r>
        <w:rPr>
          <w:spacing w:val="2"/>
          <w:sz w:val="20"/>
          <w:szCs w:val="20"/>
        </w:rPr>
        <w:t>融机构围绕本地数字经济发展的各类</w:t>
      </w:r>
      <w:r>
        <w:rPr>
          <w:sz w:val="20"/>
          <w:szCs w:val="20"/>
        </w:rPr>
        <w:t xml:space="preserve"> </w:t>
      </w:r>
      <w:r>
        <w:rPr>
          <w:spacing w:val="3"/>
          <w:sz w:val="20"/>
          <w:szCs w:val="20"/>
        </w:rPr>
        <w:t>融资需求，畅通融资渠道，创新融资产品。创新运用基础设</w:t>
      </w:r>
      <w:r>
        <w:rPr>
          <w:spacing w:val="2"/>
          <w:sz w:val="20"/>
          <w:szCs w:val="20"/>
        </w:rPr>
        <w:t>施领域不动产投资信托基金盘活各</w:t>
      </w:r>
      <w:r>
        <w:rPr>
          <w:sz w:val="20"/>
          <w:szCs w:val="20"/>
        </w:rPr>
        <w:t xml:space="preserve"> </w:t>
      </w:r>
      <w:r>
        <w:rPr>
          <w:spacing w:val="-3"/>
          <w:sz w:val="20"/>
          <w:szCs w:val="20"/>
        </w:rPr>
        <w:t>类经营性基础设施存量资产。</w:t>
      </w:r>
    </w:p>
    <w:p w14:paraId="5674092D">
      <w:pPr>
        <w:pStyle w:val="2"/>
        <w:spacing w:before="92" w:line="269" w:lineRule="auto"/>
        <w:ind w:left="289" w:right="88" w:firstLine="400"/>
        <w:rPr>
          <w:sz w:val="20"/>
          <w:szCs w:val="20"/>
        </w:rPr>
      </w:pPr>
      <w:r>
        <w:rPr>
          <w:spacing w:val="5"/>
          <w:sz w:val="20"/>
          <w:szCs w:val="20"/>
        </w:rPr>
        <w:t>(4)强化责任落实。采用“项目化、清单化”管理方式，制定年度工作要点，形成分年度</w:t>
      </w:r>
      <w:r>
        <w:rPr>
          <w:spacing w:val="11"/>
          <w:sz w:val="20"/>
          <w:szCs w:val="20"/>
        </w:rPr>
        <w:t xml:space="preserve"> </w:t>
      </w:r>
      <w:r>
        <w:rPr>
          <w:spacing w:val="3"/>
          <w:sz w:val="20"/>
          <w:szCs w:val="20"/>
        </w:rPr>
        <w:t>推进计划和项目安排清单，确保各项工作任务落地落实。定</w:t>
      </w:r>
      <w:r>
        <w:rPr>
          <w:spacing w:val="2"/>
          <w:sz w:val="20"/>
          <w:szCs w:val="20"/>
        </w:rPr>
        <w:t>期开展督促检查，对重大事项、重</w:t>
      </w:r>
      <w:r>
        <w:rPr>
          <w:sz w:val="20"/>
          <w:szCs w:val="20"/>
        </w:rPr>
        <w:t xml:space="preserve"> </w:t>
      </w:r>
      <w:r>
        <w:rPr>
          <w:spacing w:val="3"/>
          <w:sz w:val="20"/>
          <w:szCs w:val="20"/>
        </w:rPr>
        <w:t>点任务、重点项目的进度、成效等实施专项督查。加大通报力度</w:t>
      </w:r>
      <w:r>
        <w:rPr>
          <w:spacing w:val="2"/>
          <w:sz w:val="20"/>
          <w:szCs w:val="20"/>
        </w:rPr>
        <w:t>，对真抓实干、成效明显的予</w:t>
      </w:r>
      <w:r>
        <w:rPr>
          <w:sz w:val="20"/>
          <w:szCs w:val="20"/>
        </w:rPr>
        <w:t xml:space="preserve"> </w:t>
      </w:r>
      <w:r>
        <w:rPr>
          <w:spacing w:val="-1"/>
          <w:sz w:val="20"/>
          <w:szCs w:val="20"/>
        </w:rPr>
        <w:t>以表扬激励，对存在工作不力、政策不落实</w:t>
      </w:r>
      <w:r>
        <w:rPr>
          <w:spacing w:val="-2"/>
          <w:sz w:val="20"/>
          <w:szCs w:val="20"/>
        </w:rPr>
        <w:t>等情况进行通报并按相关规定进行责任追究。</w:t>
      </w:r>
    </w:p>
    <w:p w14:paraId="4328F864">
      <w:pPr>
        <w:pStyle w:val="2"/>
        <w:spacing w:before="107" w:line="273" w:lineRule="auto"/>
        <w:ind w:left="289" w:firstLine="400"/>
        <w:rPr>
          <w:sz w:val="20"/>
          <w:szCs w:val="20"/>
        </w:rPr>
      </w:pPr>
      <w:r>
        <w:rPr>
          <w:spacing w:val="4"/>
          <w:sz w:val="20"/>
          <w:szCs w:val="20"/>
        </w:rPr>
        <w:t>(5)加大要素保障。盘活存量土地资源，强化对现有工业/农业集中区块的分级分类管理，</w:t>
      </w:r>
      <w:r>
        <w:rPr>
          <w:spacing w:val="14"/>
          <w:sz w:val="20"/>
          <w:szCs w:val="20"/>
        </w:rPr>
        <w:t xml:space="preserve"> </w:t>
      </w:r>
      <w:r>
        <w:rPr>
          <w:spacing w:val="2"/>
          <w:sz w:val="20"/>
          <w:szCs w:val="20"/>
        </w:rPr>
        <w:t>在符合国土空间规划的前提下，鼓励将闲置工业/农业厂房、仓储用房、商务楼宇、沿街商铺、</w:t>
      </w:r>
      <w:r>
        <w:rPr>
          <w:spacing w:val="15"/>
          <w:sz w:val="20"/>
          <w:szCs w:val="20"/>
        </w:rPr>
        <w:t xml:space="preserve"> </w:t>
      </w:r>
      <w:r>
        <w:rPr>
          <w:spacing w:val="3"/>
          <w:sz w:val="20"/>
          <w:szCs w:val="20"/>
        </w:rPr>
        <w:t>农村集体用地等改造为数字经济园区，为本地数字经济发</w:t>
      </w:r>
      <w:r>
        <w:rPr>
          <w:spacing w:val="2"/>
          <w:sz w:val="20"/>
          <w:szCs w:val="20"/>
        </w:rPr>
        <w:t>展提供必要的空间载体。完善数字基</w:t>
      </w:r>
      <w:r>
        <w:rPr>
          <w:sz w:val="20"/>
          <w:szCs w:val="20"/>
        </w:rPr>
        <w:t xml:space="preserve">  </w:t>
      </w:r>
      <w:r>
        <w:rPr>
          <w:spacing w:val="3"/>
          <w:sz w:val="20"/>
          <w:szCs w:val="20"/>
        </w:rPr>
        <w:t>础设施用能优惠政策，对符合条件的云计算中心、数据中</w:t>
      </w:r>
      <w:r>
        <w:rPr>
          <w:spacing w:val="2"/>
          <w:sz w:val="20"/>
          <w:szCs w:val="20"/>
        </w:rPr>
        <w:t>心、超算中心、灾备中心等根据能耗</w:t>
      </w:r>
      <w:r>
        <w:rPr>
          <w:sz w:val="20"/>
          <w:szCs w:val="20"/>
        </w:rPr>
        <w:t xml:space="preserve">  双控相关政策在用能指标上给予适当支持。加</w:t>
      </w:r>
      <w:r>
        <w:rPr>
          <w:spacing w:val="-1"/>
          <w:sz w:val="20"/>
          <w:szCs w:val="20"/>
        </w:rPr>
        <w:t>大对数字经济发展环境影响的分析、预测、评估，</w:t>
      </w:r>
      <w:r>
        <w:rPr>
          <w:sz w:val="20"/>
          <w:szCs w:val="20"/>
        </w:rPr>
        <w:t xml:space="preserve"> </w:t>
      </w:r>
      <w:r>
        <w:rPr>
          <w:spacing w:val="-1"/>
          <w:sz w:val="20"/>
          <w:szCs w:val="20"/>
        </w:rPr>
        <w:t>跟踪监测数字经济重大项目可能造成的环境影响，提出预防或减轻不良影响的对策和措施。</w:t>
      </w:r>
    </w:p>
    <w:p w14:paraId="3577D946">
      <w:pPr>
        <w:pStyle w:val="2"/>
        <w:spacing w:before="232" w:line="219" w:lineRule="auto"/>
        <w:ind w:left="292"/>
        <w:rPr>
          <w:sz w:val="25"/>
          <w:szCs w:val="25"/>
        </w:rPr>
      </w:pPr>
      <w:r>
        <w:rPr>
          <w:b/>
          <w:bCs/>
          <w:color w:val="0057C9"/>
          <w:spacing w:val="-20"/>
          <w:sz w:val="25"/>
          <w:szCs w:val="25"/>
        </w:rPr>
        <w:t>1.4.3</w:t>
      </w:r>
      <w:r>
        <w:rPr>
          <w:color w:val="0057C9"/>
          <w:spacing w:val="94"/>
          <w:sz w:val="25"/>
          <w:szCs w:val="25"/>
        </w:rPr>
        <w:t xml:space="preserve"> </w:t>
      </w:r>
      <w:r>
        <w:rPr>
          <w:b/>
          <w:bCs/>
          <w:color w:val="0057C9"/>
          <w:spacing w:val="-20"/>
          <w:sz w:val="25"/>
          <w:szCs w:val="25"/>
        </w:rPr>
        <w:t>智慧城市</w:t>
      </w:r>
    </w:p>
    <w:p w14:paraId="3E8A0A43">
      <w:pPr>
        <w:pStyle w:val="2"/>
        <w:spacing w:before="165" w:line="253" w:lineRule="auto"/>
        <w:ind w:left="289" w:right="91" w:firstLine="400"/>
        <w:rPr>
          <w:sz w:val="20"/>
          <w:szCs w:val="20"/>
        </w:rPr>
      </w:pPr>
      <w:r>
        <w:rPr>
          <w:spacing w:val="8"/>
          <w:sz w:val="20"/>
          <w:szCs w:val="20"/>
        </w:rPr>
        <w:t>城市作为一个复杂巨型系统，是多元主体融合及多元活动集聚的复杂综合体。城市的运</w:t>
      </w:r>
      <w:r>
        <w:rPr>
          <w:spacing w:val="2"/>
          <w:sz w:val="20"/>
          <w:szCs w:val="20"/>
        </w:rPr>
        <w:t xml:space="preserve"> </w:t>
      </w:r>
      <w:r>
        <w:rPr>
          <w:spacing w:val="3"/>
          <w:sz w:val="20"/>
          <w:szCs w:val="20"/>
        </w:rPr>
        <w:t>行发展关联到发展、治理、社会和活动四个层面，它们相</w:t>
      </w:r>
      <w:r>
        <w:rPr>
          <w:spacing w:val="2"/>
          <w:sz w:val="20"/>
          <w:szCs w:val="20"/>
        </w:rPr>
        <w:t>互关联、密不可分。其中，发展变化</w:t>
      </w:r>
    </w:p>
    <w:p w14:paraId="32C619E1">
      <w:pPr>
        <w:spacing w:line="253" w:lineRule="auto"/>
        <w:rPr>
          <w:sz w:val="20"/>
          <w:szCs w:val="20"/>
        </w:rPr>
        <w:sectPr>
          <w:pgSz w:w="10320" w:h="13420"/>
          <w:pgMar w:top="400" w:right="1119" w:bottom="400" w:left="510" w:header="0" w:footer="0" w:gutter="0"/>
          <w:cols w:space="720" w:num="1"/>
        </w:sectPr>
      </w:pPr>
    </w:p>
    <w:p w14:paraId="4A98E64E">
      <w:pPr>
        <w:pStyle w:val="2"/>
        <w:spacing w:before="46" w:line="219" w:lineRule="auto"/>
        <w:jc w:val="right"/>
        <w:rPr>
          <w:rFonts w:ascii="Times New Roman" w:hAnsi="Times New Roman" w:eastAsia="Times New Roman" w:cs="Times New Roman"/>
          <w:sz w:val="20"/>
          <w:szCs w:val="20"/>
        </w:rPr>
      </w:pPr>
      <w:r>
        <w:rPr>
          <w:spacing w:val="-2"/>
          <w:sz w:val="20"/>
          <w:szCs w:val="20"/>
        </w:rPr>
        <w:t>第1章 信息与信息化</w:t>
      </w:r>
      <w:r>
        <w:rPr>
          <w:spacing w:val="14"/>
          <w:sz w:val="20"/>
          <w:szCs w:val="20"/>
        </w:rPr>
        <w:t xml:space="preserve">      </w:t>
      </w:r>
      <w:r>
        <w:rPr>
          <w:rFonts w:ascii="Times New Roman" w:hAnsi="Times New Roman" w:eastAsia="Times New Roman" w:cs="Times New Roman"/>
          <w:spacing w:val="-2"/>
          <w:sz w:val="20"/>
          <w:szCs w:val="20"/>
        </w:rPr>
        <w:t>35</w:t>
      </w:r>
    </w:p>
    <w:p w14:paraId="652E5DF3">
      <w:pPr>
        <w:spacing w:line="285" w:lineRule="auto"/>
        <w:rPr>
          <w:rFonts w:ascii="Arial"/>
          <w:sz w:val="21"/>
        </w:rPr>
      </w:pPr>
    </w:p>
    <w:p w14:paraId="755D3FCB">
      <w:pPr>
        <w:pStyle w:val="2"/>
        <w:spacing w:before="65" w:line="294" w:lineRule="auto"/>
        <w:ind w:right="286"/>
        <w:jc w:val="both"/>
        <w:rPr>
          <w:sz w:val="16"/>
          <w:szCs w:val="16"/>
        </w:rPr>
      </w:pPr>
      <w:r>
        <w:rPr>
          <w:spacing w:val="3"/>
          <w:sz w:val="20"/>
          <w:szCs w:val="20"/>
        </w:rPr>
        <w:t>带动治理改革，治理能力提升促进发展效能提升；治</w:t>
      </w:r>
      <w:r>
        <w:rPr>
          <w:spacing w:val="2"/>
          <w:sz w:val="20"/>
          <w:szCs w:val="20"/>
        </w:rPr>
        <w:t>理体系引领社会进步，社会演进推动治理</w:t>
      </w:r>
      <w:r>
        <w:rPr>
          <w:sz w:val="20"/>
          <w:szCs w:val="20"/>
        </w:rPr>
        <w:t xml:space="preserve"> </w:t>
      </w:r>
      <w:r>
        <w:rPr>
          <w:spacing w:val="3"/>
          <w:sz w:val="20"/>
          <w:szCs w:val="20"/>
        </w:rPr>
        <w:t>优化；社会关系驱动活动变化，活动繁荣赋能社会进步。城市发展离</w:t>
      </w:r>
      <w:r>
        <w:rPr>
          <w:spacing w:val="2"/>
          <w:sz w:val="20"/>
          <w:szCs w:val="20"/>
        </w:rPr>
        <w:t>不开智慧化建设，通过信</w:t>
      </w:r>
      <w:r>
        <w:rPr>
          <w:sz w:val="20"/>
          <w:szCs w:val="20"/>
        </w:rPr>
        <w:t xml:space="preserve"> </w:t>
      </w:r>
      <w:r>
        <w:rPr>
          <w:spacing w:val="3"/>
          <w:sz w:val="20"/>
          <w:szCs w:val="20"/>
        </w:rPr>
        <w:t>息技术与城市治理、管理和服务等的深度融合，持续提升城市的现代化水</w:t>
      </w:r>
      <w:r>
        <w:rPr>
          <w:spacing w:val="2"/>
          <w:sz w:val="20"/>
          <w:szCs w:val="20"/>
        </w:rPr>
        <w:t>平，从而让城市更加</w:t>
      </w:r>
      <w:r>
        <w:rPr>
          <w:sz w:val="20"/>
          <w:szCs w:val="20"/>
        </w:rPr>
        <w:t xml:space="preserve"> </w:t>
      </w:r>
      <w:r>
        <w:rPr>
          <w:spacing w:val="-8"/>
          <w:sz w:val="16"/>
          <w:szCs w:val="16"/>
        </w:rPr>
        <w:t>智</w:t>
      </w:r>
      <w:r>
        <w:rPr>
          <w:spacing w:val="-11"/>
          <w:sz w:val="16"/>
          <w:szCs w:val="16"/>
        </w:rPr>
        <w:t xml:space="preserve"> </w:t>
      </w:r>
      <w:r>
        <w:rPr>
          <w:spacing w:val="-8"/>
          <w:sz w:val="16"/>
          <w:szCs w:val="16"/>
        </w:rPr>
        <w:t>慧</w:t>
      </w:r>
      <w:r>
        <w:rPr>
          <w:spacing w:val="-23"/>
          <w:sz w:val="16"/>
          <w:szCs w:val="16"/>
        </w:rPr>
        <w:t xml:space="preserve"> </w:t>
      </w:r>
      <w:r>
        <w:rPr>
          <w:spacing w:val="-8"/>
          <w:sz w:val="16"/>
          <w:szCs w:val="16"/>
        </w:rPr>
        <w:t>。</w:t>
      </w:r>
    </w:p>
    <w:p w14:paraId="0F9FD7EC">
      <w:pPr>
        <w:pStyle w:val="2"/>
        <w:spacing w:before="149" w:line="222" w:lineRule="auto"/>
        <w:ind w:left="382"/>
        <w:rPr>
          <w:rFonts w:ascii="黑体" w:hAnsi="黑体" w:eastAsia="黑体" w:cs="黑体"/>
          <w:sz w:val="20"/>
          <w:szCs w:val="20"/>
        </w:rPr>
      </w:pPr>
      <w:r>
        <w:rPr>
          <w:b/>
          <w:bCs/>
          <w:color w:val="0070E0"/>
          <w:spacing w:val="-5"/>
          <w:sz w:val="20"/>
          <w:szCs w:val="20"/>
        </w:rPr>
        <w:t>1.</w:t>
      </w:r>
      <w:r>
        <w:rPr>
          <w:rFonts w:ascii="黑体" w:hAnsi="黑体" w:eastAsia="黑体" w:cs="黑体"/>
          <w:b/>
          <w:bCs/>
          <w:color w:val="0070E0"/>
          <w:spacing w:val="-5"/>
          <w:sz w:val="20"/>
          <w:szCs w:val="20"/>
        </w:rPr>
        <w:t>智慧城市的定义</w:t>
      </w:r>
    </w:p>
    <w:p w14:paraId="644DE1F5">
      <w:pPr>
        <w:pStyle w:val="2"/>
        <w:spacing w:before="151" w:line="293" w:lineRule="auto"/>
        <w:ind w:right="288" w:firstLine="379"/>
        <w:jc w:val="both"/>
        <w:rPr>
          <w:sz w:val="16"/>
          <w:szCs w:val="16"/>
        </w:rPr>
      </w:pPr>
      <w:r>
        <w:rPr>
          <w:rFonts w:ascii="Times New Roman" w:hAnsi="Times New Roman" w:eastAsia="Times New Roman" w:cs="Times New Roman"/>
          <w:sz w:val="20"/>
          <w:szCs w:val="20"/>
        </w:rPr>
        <w:t>GB</w:t>
      </w:r>
      <w:r>
        <w:rPr>
          <w:rFonts w:ascii="Times New Roman" w:hAnsi="Times New Roman" w:eastAsia="Times New Roman" w:cs="Times New Roman"/>
          <w:spacing w:val="7"/>
          <w:sz w:val="20"/>
          <w:szCs w:val="20"/>
        </w:rPr>
        <w:t>/T</w:t>
      </w:r>
      <w:r>
        <w:rPr>
          <w:rFonts w:ascii="Times New Roman" w:hAnsi="Times New Roman" w:eastAsia="Times New Roman" w:cs="Times New Roman"/>
          <w:spacing w:val="50"/>
          <w:w w:val="101"/>
          <w:sz w:val="20"/>
          <w:szCs w:val="20"/>
        </w:rPr>
        <w:t xml:space="preserve"> </w:t>
      </w:r>
      <w:r>
        <w:rPr>
          <w:rFonts w:ascii="Times New Roman" w:hAnsi="Times New Roman" w:eastAsia="Times New Roman" w:cs="Times New Roman"/>
          <w:spacing w:val="7"/>
          <w:sz w:val="20"/>
          <w:szCs w:val="20"/>
        </w:rPr>
        <w:t>37043</w:t>
      </w:r>
      <w:r>
        <w:rPr>
          <w:spacing w:val="7"/>
          <w:sz w:val="20"/>
          <w:szCs w:val="20"/>
        </w:rPr>
        <w:t>《智慧城市术语》中指出，智慧城市是运用信息通信技术</w:t>
      </w:r>
      <w:r>
        <w:rPr>
          <w:spacing w:val="6"/>
          <w:sz w:val="20"/>
          <w:szCs w:val="20"/>
        </w:rPr>
        <w:t>，有效整合各类城</w:t>
      </w:r>
      <w:r>
        <w:rPr>
          <w:sz w:val="20"/>
          <w:szCs w:val="20"/>
        </w:rPr>
        <w:t xml:space="preserve"> </w:t>
      </w:r>
      <w:r>
        <w:rPr>
          <w:spacing w:val="3"/>
          <w:sz w:val="20"/>
          <w:szCs w:val="20"/>
        </w:rPr>
        <w:t>市管理系统，实现城市各系统间信息资源共享和业务协同，推</w:t>
      </w:r>
      <w:r>
        <w:rPr>
          <w:spacing w:val="2"/>
          <w:sz w:val="20"/>
          <w:szCs w:val="20"/>
        </w:rPr>
        <w:t>动城市管理和服务智慧化，提升</w:t>
      </w:r>
      <w:r>
        <w:rPr>
          <w:sz w:val="20"/>
          <w:szCs w:val="20"/>
        </w:rPr>
        <w:t xml:space="preserve"> </w:t>
      </w:r>
      <w:r>
        <w:rPr>
          <w:spacing w:val="3"/>
          <w:sz w:val="20"/>
          <w:szCs w:val="20"/>
        </w:rPr>
        <w:t>城市运行管理和公共服务水平，提高城市居民幸福感和满意度，实现</w:t>
      </w:r>
      <w:r>
        <w:rPr>
          <w:spacing w:val="2"/>
          <w:sz w:val="20"/>
          <w:szCs w:val="20"/>
        </w:rPr>
        <w:t>可持续发展的一种创新型</w:t>
      </w:r>
      <w:r>
        <w:rPr>
          <w:sz w:val="20"/>
          <w:szCs w:val="20"/>
        </w:rPr>
        <w:t xml:space="preserve"> </w:t>
      </w:r>
      <w:r>
        <w:rPr>
          <w:spacing w:val="-6"/>
          <w:sz w:val="16"/>
          <w:szCs w:val="16"/>
        </w:rPr>
        <w:t>城</w:t>
      </w:r>
      <w:r>
        <w:rPr>
          <w:spacing w:val="-15"/>
          <w:sz w:val="16"/>
          <w:szCs w:val="16"/>
        </w:rPr>
        <w:t xml:space="preserve"> </w:t>
      </w:r>
      <w:r>
        <w:rPr>
          <w:spacing w:val="-6"/>
          <w:sz w:val="16"/>
          <w:szCs w:val="16"/>
        </w:rPr>
        <w:t>市</w:t>
      </w:r>
      <w:r>
        <w:rPr>
          <w:spacing w:val="-25"/>
          <w:sz w:val="16"/>
          <w:szCs w:val="16"/>
        </w:rPr>
        <w:t xml:space="preserve"> </w:t>
      </w:r>
      <w:r>
        <w:rPr>
          <w:spacing w:val="-6"/>
          <w:sz w:val="16"/>
          <w:szCs w:val="16"/>
        </w:rPr>
        <w:t>。</w:t>
      </w:r>
    </w:p>
    <w:p w14:paraId="14CAD497">
      <w:pPr>
        <w:pStyle w:val="2"/>
        <w:spacing w:before="140" w:line="222" w:lineRule="auto"/>
        <w:ind w:left="382"/>
        <w:rPr>
          <w:rFonts w:ascii="黑体" w:hAnsi="黑体" w:eastAsia="黑体" w:cs="黑体"/>
          <w:sz w:val="20"/>
          <w:szCs w:val="20"/>
        </w:rPr>
      </w:pPr>
      <w:r>
        <w:rPr>
          <w:b/>
          <w:bCs/>
          <w:color w:val="0060B5"/>
          <w:spacing w:val="-5"/>
          <w:sz w:val="20"/>
          <w:szCs w:val="20"/>
        </w:rPr>
        <w:t>2.</w:t>
      </w:r>
      <w:r>
        <w:rPr>
          <w:rFonts w:ascii="黑体" w:hAnsi="黑体" w:eastAsia="黑体" w:cs="黑体"/>
          <w:b/>
          <w:bCs/>
          <w:color w:val="0060B5"/>
          <w:spacing w:val="-5"/>
          <w:sz w:val="20"/>
          <w:szCs w:val="20"/>
        </w:rPr>
        <w:t>城市数字化进程</w:t>
      </w:r>
    </w:p>
    <w:p w14:paraId="4A3F007A">
      <w:pPr>
        <w:pStyle w:val="2"/>
        <w:spacing w:before="132" w:line="292" w:lineRule="auto"/>
        <w:ind w:right="292" w:firstLine="379"/>
        <w:rPr>
          <w:sz w:val="20"/>
          <w:szCs w:val="20"/>
        </w:rPr>
      </w:pPr>
      <w:r>
        <w:rPr>
          <w:spacing w:val="3"/>
          <w:sz w:val="20"/>
          <w:szCs w:val="20"/>
        </w:rPr>
        <w:t>城市化进程加快和城市化率的不断提高，推动全球经济社会发生根本性变革。我国城市数</w:t>
      </w:r>
      <w:r>
        <w:rPr>
          <w:spacing w:val="10"/>
          <w:sz w:val="20"/>
          <w:szCs w:val="20"/>
        </w:rPr>
        <w:t xml:space="preserve"> </w:t>
      </w:r>
      <w:r>
        <w:rPr>
          <w:spacing w:val="-1"/>
          <w:sz w:val="20"/>
          <w:szCs w:val="20"/>
        </w:rPr>
        <w:t>字化经历了从数字城市、智慧城市到新型智慧城市、数字孪生城市的发展</w:t>
      </w:r>
      <w:r>
        <w:rPr>
          <w:spacing w:val="-2"/>
          <w:sz w:val="20"/>
          <w:szCs w:val="20"/>
        </w:rPr>
        <w:t>历程。</w:t>
      </w:r>
    </w:p>
    <w:p w14:paraId="6E649212">
      <w:pPr>
        <w:spacing w:before="74" w:line="223" w:lineRule="auto"/>
        <w:ind w:left="379"/>
        <w:rPr>
          <w:rFonts w:ascii="楷体" w:hAnsi="楷体" w:eastAsia="楷体" w:cs="楷体"/>
          <w:sz w:val="20"/>
          <w:szCs w:val="20"/>
        </w:rPr>
      </w:pPr>
      <w:r>
        <w:rPr>
          <w:rFonts w:ascii="楷体" w:hAnsi="楷体" w:eastAsia="楷体" w:cs="楷体"/>
          <w:spacing w:val="16"/>
          <w:sz w:val="20"/>
          <w:szCs w:val="20"/>
        </w:rPr>
        <w:t>1)数字城市</w:t>
      </w:r>
    </w:p>
    <w:p w14:paraId="62B8E13B">
      <w:pPr>
        <w:pStyle w:val="2"/>
        <w:spacing w:before="94" w:line="282" w:lineRule="auto"/>
        <w:ind w:right="287" w:firstLine="279"/>
        <w:rPr>
          <w:sz w:val="20"/>
          <w:szCs w:val="20"/>
        </w:rPr>
      </w:pPr>
      <w:r>
        <w:rPr>
          <w:spacing w:val="1"/>
          <w:sz w:val="20"/>
          <w:szCs w:val="20"/>
        </w:rPr>
        <w:t>“十一五”发展期间，我国将数字城市列为重点发展战略。“数字城市”是</w:t>
      </w:r>
      <w:r>
        <w:rPr>
          <w:sz w:val="20"/>
          <w:szCs w:val="20"/>
        </w:rPr>
        <w:t xml:space="preserve">综合运用地理信 </w:t>
      </w:r>
      <w:r>
        <w:rPr>
          <w:spacing w:val="3"/>
          <w:sz w:val="20"/>
          <w:szCs w:val="20"/>
        </w:rPr>
        <w:t>息系统、遥感、定位系统、宽带网络、多媒体及虚拟仿</w:t>
      </w:r>
      <w:r>
        <w:rPr>
          <w:spacing w:val="2"/>
          <w:sz w:val="20"/>
          <w:szCs w:val="20"/>
        </w:rPr>
        <w:t>真等技术，对城市的基础设施及功能机</w:t>
      </w:r>
      <w:r>
        <w:rPr>
          <w:sz w:val="20"/>
          <w:szCs w:val="20"/>
        </w:rPr>
        <w:t xml:space="preserve"> </w:t>
      </w:r>
      <w:r>
        <w:rPr>
          <w:spacing w:val="3"/>
          <w:sz w:val="20"/>
          <w:szCs w:val="20"/>
        </w:rPr>
        <w:t>制进行信息自动采集、动态监测管理、辅助决策服务的技术</w:t>
      </w:r>
      <w:r>
        <w:rPr>
          <w:spacing w:val="2"/>
          <w:sz w:val="20"/>
          <w:szCs w:val="20"/>
        </w:rPr>
        <w:t>系统。它具有城市地理、资源、生</w:t>
      </w:r>
      <w:r>
        <w:rPr>
          <w:sz w:val="20"/>
          <w:szCs w:val="20"/>
        </w:rPr>
        <w:t xml:space="preserve"> </w:t>
      </w:r>
      <w:r>
        <w:rPr>
          <w:spacing w:val="3"/>
          <w:sz w:val="20"/>
          <w:szCs w:val="20"/>
        </w:rPr>
        <w:t>态环境、人口、经济、社会等复杂系统的数字化、网络化、</w:t>
      </w:r>
      <w:r>
        <w:rPr>
          <w:spacing w:val="2"/>
          <w:sz w:val="20"/>
          <w:szCs w:val="20"/>
        </w:rPr>
        <w:t>虚拟仿真、优化决策支持和可视化</w:t>
      </w:r>
      <w:r>
        <w:rPr>
          <w:sz w:val="20"/>
          <w:szCs w:val="20"/>
        </w:rPr>
        <w:t xml:space="preserve"> </w:t>
      </w:r>
      <w:r>
        <w:rPr>
          <w:spacing w:val="3"/>
          <w:sz w:val="20"/>
          <w:szCs w:val="20"/>
        </w:rPr>
        <w:t>表现等强大功能，广泛应用于电子政务、电子商务、城市智</w:t>
      </w:r>
      <w:r>
        <w:rPr>
          <w:spacing w:val="2"/>
          <w:sz w:val="20"/>
          <w:szCs w:val="20"/>
        </w:rPr>
        <w:t>能交通、市政基础设施管理、公共</w:t>
      </w:r>
      <w:r>
        <w:rPr>
          <w:sz w:val="20"/>
          <w:szCs w:val="20"/>
        </w:rPr>
        <w:t xml:space="preserve"> </w:t>
      </w:r>
      <w:r>
        <w:rPr>
          <w:spacing w:val="3"/>
          <w:sz w:val="20"/>
          <w:szCs w:val="20"/>
        </w:rPr>
        <w:t>信息服务、教育管理、社会保障管理、城市环境质量监测与</w:t>
      </w:r>
      <w:r>
        <w:rPr>
          <w:spacing w:val="2"/>
          <w:sz w:val="20"/>
          <w:szCs w:val="20"/>
        </w:rPr>
        <w:t>管理、社区管理等城市经济社会生</w:t>
      </w:r>
      <w:r>
        <w:rPr>
          <w:sz w:val="20"/>
          <w:szCs w:val="20"/>
        </w:rPr>
        <w:t xml:space="preserve"> </w:t>
      </w:r>
      <w:r>
        <w:rPr>
          <w:spacing w:val="-2"/>
          <w:sz w:val="20"/>
          <w:szCs w:val="20"/>
        </w:rPr>
        <w:t>活的方方面面。数字城市注重的是将各种实体信息构筑为虚拟平台。</w:t>
      </w:r>
    </w:p>
    <w:p w14:paraId="0EBFA61A">
      <w:pPr>
        <w:pStyle w:val="2"/>
        <w:spacing w:before="28" w:line="280" w:lineRule="auto"/>
        <w:ind w:right="290" w:firstLine="379"/>
        <w:rPr>
          <w:sz w:val="20"/>
          <w:szCs w:val="20"/>
        </w:rPr>
      </w:pPr>
      <w:r>
        <w:rPr>
          <w:spacing w:val="2"/>
          <w:sz w:val="20"/>
          <w:szCs w:val="20"/>
        </w:rPr>
        <w:t>数字城市是数字地球的重要组成部分，是传统城市的数字化形态。数字城市从技术和体制</w:t>
      </w:r>
      <w:r>
        <w:rPr>
          <w:spacing w:val="18"/>
          <w:sz w:val="20"/>
          <w:szCs w:val="20"/>
        </w:rPr>
        <w:t xml:space="preserve"> </w:t>
      </w:r>
      <w:r>
        <w:rPr>
          <w:spacing w:val="3"/>
          <w:sz w:val="20"/>
          <w:szCs w:val="20"/>
        </w:rPr>
        <w:t>两方面为实现数据共享和互操作提供了基础。数字城市的发</w:t>
      </w:r>
      <w:r>
        <w:rPr>
          <w:spacing w:val="2"/>
          <w:sz w:val="20"/>
          <w:szCs w:val="20"/>
        </w:rPr>
        <w:t>展积累了大量的基础数据和运行数</w:t>
      </w:r>
      <w:r>
        <w:rPr>
          <w:sz w:val="20"/>
          <w:szCs w:val="20"/>
        </w:rPr>
        <w:t xml:space="preserve"> </w:t>
      </w:r>
      <w:r>
        <w:rPr>
          <w:spacing w:val="3"/>
          <w:sz w:val="20"/>
          <w:szCs w:val="20"/>
        </w:rPr>
        <w:t>据，也面临诸多挑战，包括城市级海量信息的采集、分析、存储</w:t>
      </w:r>
      <w:r>
        <w:rPr>
          <w:spacing w:val="2"/>
          <w:sz w:val="20"/>
          <w:szCs w:val="20"/>
        </w:rPr>
        <w:t>、利用等处理问题，多系统融</w:t>
      </w:r>
      <w:r>
        <w:rPr>
          <w:sz w:val="20"/>
          <w:szCs w:val="20"/>
        </w:rPr>
        <w:t xml:space="preserve"> </w:t>
      </w:r>
      <w:r>
        <w:rPr>
          <w:spacing w:val="-2"/>
          <w:sz w:val="20"/>
          <w:szCs w:val="20"/>
        </w:rPr>
        <w:t>合中的各种复杂问题，以及技术发展带来的城市发展异化</w:t>
      </w:r>
      <w:r>
        <w:rPr>
          <w:spacing w:val="-3"/>
          <w:sz w:val="20"/>
          <w:szCs w:val="20"/>
        </w:rPr>
        <w:t>问题。</w:t>
      </w:r>
    </w:p>
    <w:p w14:paraId="046F8342">
      <w:pPr>
        <w:spacing w:before="115" w:line="224" w:lineRule="auto"/>
        <w:ind w:left="379"/>
        <w:rPr>
          <w:rFonts w:ascii="楷体" w:hAnsi="楷体" w:eastAsia="楷体" w:cs="楷体"/>
          <w:sz w:val="20"/>
          <w:szCs w:val="20"/>
        </w:rPr>
      </w:pPr>
      <w:r>
        <w:rPr>
          <w:rFonts w:ascii="楷体" w:hAnsi="楷体" w:eastAsia="楷体" w:cs="楷体"/>
          <w:spacing w:val="16"/>
          <w:sz w:val="20"/>
          <w:szCs w:val="20"/>
        </w:rPr>
        <w:t>2)智慧城市</w:t>
      </w:r>
    </w:p>
    <w:p w14:paraId="4013B413">
      <w:pPr>
        <w:pStyle w:val="2"/>
        <w:spacing w:before="71" w:line="270" w:lineRule="auto"/>
        <w:ind w:right="283" w:firstLine="379"/>
        <w:rPr>
          <w:sz w:val="20"/>
          <w:szCs w:val="20"/>
        </w:rPr>
      </w:pPr>
      <w:r>
        <w:rPr>
          <w:spacing w:val="-2"/>
          <w:sz w:val="20"/>
          <w:szCs w:val="20"/>
        </w:rPr>
        <w:t>目前，我国已经成为世界智慧城市建设的“主战场”。智慧城市</w:t>
      </w:r>
      <w:r>
        <w:rPr>
          <w:spacing w:val="-3"/>
          <w:sz w:val="20"/>
          <w:szCs w:val="20"/>
        </w:rPr>
        <w:t>运用信息和通信技术手段感</w:t>
      </w:r>
      <w:r>
        <w:rPr>
          <w:sz w:val="20"/>
          <w:szCs w:val="20"/>
        </w:rPr>
        <w:t xml:space="preserve"> </w:t>
      </w:r>
      <w:r>
        <w:rPr>
          <w:spacing w:val="3"/>
          <w:sz w:val="20"/>
          <w:szCs w:val="20"/>
        </w:rPr>
        <w:t>测、分析、整合城市运行核心系统的各项关键信息，从而对包括民</w:t>
      </w:r>
      <w:r>
        <w:rPr>
          <w:spacing w:val="2"/>
          <w:sz w:val="20"/>
          <w:szCs w:val="20"/>
        </w:rPr>
        <w:t>生、环保、公共安全、城市</w:t>
      </w:r>
      <w:r>
        <w:rPr>
          <w:sz w:val="20"/>
          <w:szCs w:val="20"/>
        </w:rPr>
        <w:t xml:space="preserve"> </w:t>
      </w:r>
      <w:r>
        <w:rPr>
          <w:spacing w:val="3"/>
          <w:sz w:val="20"/>
          <w:szCs w:val="20"/>
        </w:rPr>
        <w:t>服务、工商业活动在内的各种需求做出智能响应。其实质是利用先进的信息技术</w:t>
      </w:r>
      <w:r>
        <w:rPr>
          <w:spacing w:val="2"/>
          <w:sz w:val="20"/>
          <w:szCs w:val="20"/>
        </w:rPr>
        <w:t>，实现城市智</w:t>
      </w:r>
      <w:r>
        <w:rPr>
          <w:sz w:val="20"/>
          <w:szCs w:val="20"/>
        </w:rPr>
        <w:t xml:space="preserve"> </w:t>
      </w:r>
      <w:r>
        <w:rPr>
          <w:spacing w:val="-2"/>
          <w:sz w:val="20"/>
          <w:szCs w:val="20"/>
        </w:rPr>
        <w:t>慧式管理和运行，进而为城市中的人创造更美好的生活，促进城市的和谐、可持续成长。</w:t>
      </w:r>
    </w:p>
    <w:p w14:paraId="1F6A6F43">
      <w:pPr>
        <w:pStyle w:val="2"/>
        <w:spacing w:before="56" w:line="273" w:lineRule="auto"/>
        <w:ind w:right="222" w:firstLine="379"/>
        <w:rPr>
          <w:sz w:val="20"/>
          <w:szCs w:val="20"/>
        </w:rPr>
      </w:pPr>
      <w:r>
        <w:rPr>
          <w:spacing w:val="5"/>
          <w:sz w:val="20"/>
          <w:szCs w:val="20"/>
        </w:rPr>
        <w:t>传统智慧城市是智慧城市建设的初级阶段，它强调的是“信息化”和“技术”,通过各类</w:t>
      </w:r>
      <w:r>
        <w:rPr>
          <w:spacing w:val="6"/>
          <w:sz w:val="20"/>
          <w:szCs w:val="20"/>
        </w:rPr>
        <w:t xml:space="preserve">  </w:t>
      </w:r>
      <w:r>
        <w:rPr>
          <w:sz w:val="20"/>
          <w:szCs w:val="20"/>
        </w:rPr>
        <w:t>信息技术与城市管理、民生服务和产业发展等</w:t>
      </w:r>
      <w:r>
        <w:rPr>
          <w:spacing w:val="-1"/>
          <w:sz w:val="20"/>
          <w:szCs w:val="20"/>
        </w:rPr>
        <w:t>领域的融合应用，实现城市各部门的信息化建设，</w:t>
      </w:r>
      <w:r>
        <w:rPr>
          <w:sz w:val="20"/>
          <w:szCs w:val="20"/>
        </w:rPr>
        <w:t xml:space="preserve"> </w:t>
      </w:r>
      <w:r>
        <w:rPr>
          <w:spacing w:val="4"/>
          <w:sz w:val="20"/>
          <w:szCs w:val="20"/>
        </w:rPr>
        <w:t>例如政务部门的电子化和信息化系统建设等。然而，随着各类信息基础设施建设的不断完善，</w:t>
      </w:r>
      <w:r>
        <w:rPr>
          <w:spacing w:val="14"/>
          <w:sz w:val="20"/>
          <w:szCs w:val="20"/>
        </w:rPr>
        <w:t xml:space="preserve"> </w:t>
      </w:r>
      <w:r>
        <w:rPr>
          <w:spacing w:val="3"/>
          <w:sz w:val="20"/>
          <w:szCs w:val="20"/>
        </w:rPr>
        <w:t>智慧城市的理念不断走向成熟，大数据、云计算、物联网、移动互联</w:t>
      </w:r>
      <w:r>
        <w:rPr>
          <w:spacing w:val="2"/>
          <w:sz w:val="20"/>
          <w:szCs w:val="20"/>
        </w:rPr>
        <w:t>网、人工智能等新兴的信</w:t>
      </w:r>
      <w:r>
        <w:rPr>
          <w:sz w:val="20"/>
          <w:szCs w:val="20"/>
        </w:rPr>
        <w:t xml:space="preserve"> </w:t>
      </w:r>
      <w:r>
        <w:rPr>
          <w:spacing w:val="3"/>
          <w:sz w:val="20"/>
          <w:szCs w:val="20"/>
        </w:rPr>
        <w:t>息与通信技术迅猛发展，仅仅关注城市各部门的信息化</w:t>
      </w:r>
      <w:r>
        <w:rPr>
          <w:spacing w:val="2"/>
          <w:sz w:val="20"/>
          <w:szCs w:val="20"/>
        </w:rPr>
        <w:t>建设已经无法满足城市未来长远、可持</w:t>
      </w:r>
      <w:r>
        <w:rPr>
          <w:sz w:val="20"/>
          <w:szCs w:val="20"/>
        </w:rPr>
        <w:t xml:space="preserve"> </w:t>
      </w:r>
      <w:r>
        <w:rPr>
          <w:spacing w:val="-2"/>
          <w:sz w:val="20"/>
          <w:szCs w:val="20"/>
        </w:rPr>
        <w:t>续发展的需求。传统智慧城市建设所造成的“信息烟囱”“数据孤岛”“重技术轻应</w:t>
      </w:r>
      <w:r>
        <w:rPr>
          <w:spacing w:val="-3"/>
          <w:sz w:val="20"/>
          <w:szCs w:val="20"/>
        </w:rPr>
        <w:t>用”等问题</w:t>
      </w:r>
    </w:p>
    <w:p w14:paraId="5AB18954">
      <w:pPr>
        <w:spacing w:line="273" w:lineRule="auto"/>
        <w:rPr>
          <w:sz w:val="20"/>
          <w:szCs w:val="20"/>
        </w:rPr>
        <w:sectPr>
          <w:pgSz w:w="10300" w:h="13280"/>
          <w:pgMar w:top="400" w:right="548" w:bottom="400" w:left="1149" w:header="0" w:footer="0" w:gutter="0"/>
          <w:cols w:space="720" w:num="1"/>
        </w:sectPr>
      </w:pPr>
    </w:p>
    <w:p w14:paraId="483CEA86">
      <w:pPr>
        <w:pStyle w:val="2"/>
        <w:spacing w:before="67" w:line="219" w:lineRule="auto"/>
        <w:rPr>
          <w:sz w:val="19"/>
          <w:szCs w:val="19"/>
        </w:rPr>
      </w:pPr>
      <w:bookmarkStart w:id="498" w:name="bookmark485"/>
      <w:bookmarkEnd w:id="498"/>
      <w:r>
        <w:rPr>
          <w:rFonts w:ascii="Times New Roman" w:hAnsi="Times New Roman" w:eastAsia="Times New Roman" w:cs="Times New Roman"/>
          <w:spacing w:val="3"/>
          <w:position w:val="-2"/>
          <w:sz w:val="19"/>
          <w:szCs w:val="19"/>
        </w:rPr>
        <w:t xml:space="preserve">36               </w:t>
      </w:r>
      <w:r>
        <w:rPr>
          <w:spacing w:val="3"/>
          <w:sz w:val="19"/>
          <w:szCs w:val="19"/>
        </w:rPr>
        <w:t>信息系统监理师教程(第2版)</w:t>
      </w:r>
    </w:p>
    <w:p w14:paraId="064AB03C">
      <w:pPr>
        <w:spacing w:line="314" w:lineRule="auto"/>
        <w:rPr>
          <w:rFonts w:ascii="Arial"/>
          <w:sz w:val="21"/>
        </w:rPr>
      </w:pPr>
    </w:p>
    <w:p w14:paraId="23705FFE">
      <w:pPr>
        <w:pStyle w:val="2"/>
        <w:spacing w:before="61" w:line="219" w:lineRule="auto"/>
        <w:ind w:left="300"/>
        <w:rPr>
          <w:sz w:val="19"/>
          <w:szCs w:val="19"/>
        </w:rPr>
      </w:pPr>
      <w:r>
        <w:rPr>
          <w:spacing w:val="2"/>
          <w:sz w:val="19"/>
          <w:szCs w:val="19"/>
        </w:rPr>
        <w:t>也逐渐暴露。</w:t>
      </w:r>
    </w:p>
    <w:p w14:paraId="46E68D89">
      <w:pPr>
        <w:spacing w:before="171" w:line="224" w:lineRule="auto"/>
        <w:ind w:left="700"/>
        <w:rPr>
          <w:rFonts w:ascii="楷体" w:hAnsi="楷体" w:eastAsia="楷体" w:cs="楷体"/>
          <w:sz w:val="19"/>
          <w:szCs w:val="19"/>
        </w:rPr>
      </w:pPr>
      <w:r>
        <w:rPr>
          <w:rFonts w:ascii="楷体" w:hAnsi="楷体" w:eastAsia="楷体" w:cs="楷体"/>
          <w:spacing w:val="19"/>
          <w:sz w:val="19"/>
          <w:szCs w:val="19"/>
        </w:rPr>
        <w:t>3)新型智慧城市</w:t>
      </w:r>
    </w:p>
    <w:p w14:paraId="1BA5536D">
      <w:pPr>
        <w:pStyle w:val="2"/>
        <w:spacing w:before="83" w:line="304" w:lineRule="auto"/>
        <w:ind w:left="300" w:right="197" w:firstLine="400"/>
        <w:rPr>
          <w:sz w:val="19"/>
          <w:szCs w:val="19"/>
        </w:rPr>
      </w:pPr>
      <w:r>
        <w:rPr>
          <w:spacing w:val="13"/>
          <w:sz w:val="19"/>
          <w:szCs w:val="19"/>
        </w:rPr>
        <w:t>新型智慧城市是落实国家新型城镇化规划、富有中国特色、体现新型政策机制和创新发展</w:t>
      </w:r>
      <w:r>
        <w:rPr>
          <w:spacing w:val="2"/>
          <w:sz w:val="19"/>
          <w:szCs w:val="19"/>
        </w:rPr>
        <w:t xml:space="preserve"> </w:t>
      </w:r>
      <w:r>
        <w:rPr>
          <w:spacing w:val="13"/>
          <w:sz w:val="19"/>
          <w:szCs w:val="19"/>
        </w:rPr>
        <w:t>模式的智慧城市；是在现代信息社会条件下，针对城市经济社会发展的实际需求，以</w:t>
      </w:r>
      <w:r>
        <w:rPr>
          <w:spacing w:val="12"/>
          <w:sz w:val="19"/>
          <w:szCs w:val="19"/>
        </w:rPr>
        <w:t>提高人民</w:t>
      </w:r>
      <w:r>
        <w:rPr>
          <w:sz w:val="19"/>
          <w:szCs w:val="19"/>
        </w:rPr>
        <w:t xml:space="preserve"> </w:t>
      </w:r>
      <w:r>
        <w:rPr>
          <w:spacing w:val="13"/>
          <w:sz w:val="19"/>
          <w:szCs w:val="19"/>
        </w:rPr>
        <w:t>群众的幸福感和满意度为核心，为提升城市发展方式的智慧化而开展的改革创</w:t>
      </w:r>
      <w:r>
        <w:rPr>
          <w:spacing w:val="12"/>
          <w:sz w:val="19"/>
          <w:szCs w:val="19"/>
        </w:rPr>
        <w:t>新系统工程；新</w:t>
      </w:r>
      <w:r>
        <w:rPr>
          <w:sz w:val="19"/>
          <w:szCs w:val="19"/>
        </w:rPr>
        <w:t xml:space="preserve"> </w:t>
      </w:r>
      <w:r>
        <w:rPr>
          <w:spacing w:val="7"/>
          <w:sz w:val="19"/>
          <w:szCs w:val="19"/>
        </w:rPr>
        <w:t>型智慧城市的核心是以人为本，关键是建设实效。</w:t>
      </w:r>
    </w:p>
    <w:p w14:paraId="366C9989">
      <w:pPr>
        <w:pStyle w:val="2"/>
        <w:spacing w:before="36" w:line="298" w:lineRule="auto"/>
        <w:ind w:left="300" w:firstLine="400"/>
        <w:rPr>
          <w:sz w:val="19"/>
          <w:szCs w:val="19"/>
        </w:rPr>
      </w:pPr>
      <w:r>
        <w:rPr>
          <w:spacing w:val="13"/>
          <w:sz w:val="19"/>
          <w:szCs w:val="19"/>
        </w:rPr>
        <w:t>新型智慧城市注重的是城市各类信息的共享、城市大数据的挖掘和利用，以及城市安全的</w:t>
      </w:r>
      <w:r>
        <w:rPr>
          <w:spacing w:val="2"/>
          <w:sz w:val="19"/>
          <w:szCs w:val="19"/>
        </w:rPr>
        <w:t xml:space="preserve">   </w:t>
      </w:r>
      <w:r>
        <w:rPr>
          <w:spacing w:val="13"/>
          <w:sz w:val="19"/>
          <w:szCs w:val="19"/>
        </w:rPr>
        <w:t>构建和保障。新型智慧城市建设的关键在于打通传统智慧城市的各类信息和数据</w:t>
      </w:r>
      <w:r>
        <w:rPr>
          <w:spacing w:val="12"/>
          <w:sz w:val="19"/>
          <w:szCs w:val="19"/>
        </w:rPr>
        <w:t>孤岛，实现城</w:t>
      </w:r>
      <w:r>
        <w:rPr>
          <w:sz w:val="19"/>
          <w:szCs w:val="19"/>
        </w:rPr>
        <w:t xml:space="preserve">   </w:t>
      </w:r>
      <w:r>
        <w:rPr>
          <w:spacing w:val="10"/>
          <w:sz w:val="19"/>
          <w:szCs w:val="19"/>
        </w:rPr>
        <w:t>市各类数据的采集、共享和利用，建立统一的城市大数据运</w:t>
      </w:r>
      <w:r>
        <w:rPr>
          <w:spacing w:val="9"/>
          <w:sz w:val="19"/>
          <w:szCs w:val="19"/>
        </w:rPr>
        <w:t>营平台，有效发挥大数据在“善政、</w:t>
      </w:r>
      <w:r>
        <w:rPr>
          <w:sz w:val="19"/>
          <w:szCs w:val="19"/>
        </w:rPr>
        <w:t xml:space="preserve">  </w:t>
      </w:r>
      <w:r>
        <w:rPr>
          <w:spacing w:val="13"/>
          <w:sz w:val="19"/>
          <w:szCs w:val="19"/>
        </w:rPr>
        <w:t>惠民、兴业”等方面的作用。同时，随着城市信息化和智慧化的程度越来越高，城</w:t>
      </w:r>
      <w:r>
        <w:rPr>
          <w:spacing w:val="12"/>
          <w:sz w:val="19"/>
          <w:szCs w:val="19"/>
        </w:rPr>
        <w:t>市信息安全</w:t>
      </w:r>
      <w:r>
        <w:rPr>
          <w:sz w:val="19"/>
          <w:szCs w:val="19"/>
        </w:rPr>
        <w:t xml:space="preserve">   </w:t>
      </w:r>
      <w:r>
        <w:rPr>
          <w:spacing w:val="13"/>
          <w:sz w:val="19"/>
          <w:szCs w:val="19"/>
        </w:rPr>
        <w:t>问题亦越来越受到关注，新型智慧城市建设亦更加重视城市信息安全体系的构建</w:t>
      </w:r>
      <w:r>
        <w:rPr>
          <w:spacing w:val="12"/>
          <w:sz w:val="19"/>
          <w:szCs w:val="19"/>
        </w:rPr>
        <w:t>，保障城市各</w:t>
      </w:r>
      <w:r>
        <w:rPr>
          <w:sz w:val="19"/>
          <w:szCs w:val="19"/>
        </w:rPr>
        <w:t xml:space="preserve">   </w:t>
      </w:r>
      <w:r>
        <w:rPr>
          <w:spacing w:val="13"/>
          <w:sz w:val="19"/>
          <w:szCs w:val="19"/>
        </w:rPr>
        <w:t>类信息和大数据安全。更为重要的是，新型智慧城市强调为“人”服务，根本上</w:t>
      </w:r>
      <w:r>
        <w:rPr>
          <w:spacing w:val="12"/>
          <w:sz w:val="19"/>
          <w:szCs w:val="19"/>
        </w:rPr>
        <w:t>是促进人在城</w:t>
      </w:r>
      <w:r>
        <w:rPr>
          <w:sz w:val="19"/>
          <w:szCs w:val="19"/>
        </w:rPr>
        <w:t xml:space="preserve">   </w:t>
      </w:r>
      <w:r>
        <w:rPr>
          <w:spacing w:val="18"/>
          <w:sz w:val="19"/>
          <w:szCs w:val="19"/>
        </w:rPr>
        <w:t>市中更好地生活和发展。因此，新型智慧城市也从过去以“信息技</w:t>
      </w:r>
      <w:r>
        <w:rPr>
          <w:spacing w:val="17"/>
          <w:sz w:val="19"/>
          <w:szCs w:val="19"/>
        </w:rPr>
        <w:t>术”为出发点，回到“人”</w:t>
      </w:r>
      <w:r>
        <w:rPr>
          <w:sz w:val="19"/>
          <w:szCs w:val="19"/>
        </w:rPr>
        <w:t xml:space="preserve"> </w:t>
      </w:r>
      <w:r>
        <w:rPr>
          <w:spacing w:val="5"/>
          <w:sz w:val="19"/>
          <w:szCs w:val="19"/>
        </w:rPr>
        <w:t>这一最根本的出发点和落脚点，“以人为本”将成为新型智慧城市的重要特征。</w:t>
      </w:r>
    </w:p>
    <w:p w14:paraId="445B29FD">
      <w:pPr>
        <w:spacing w:before="165" w:line="223" w:lineRule="auto"/>
        <w:ind w:left="700"/>
        <w:rPr>
          <w:rFonts w:ascii="楷体" w:hAnsi="楷体" w:eastAsia="楷体" w:cs="楷体"/>
          <w:sz w:val="19"/>
          <w:szCs w:val="19"/>
        </w:rPr>
      </w:pPr>
      <w:r>
        <w:rPr>
          <w:rFonts w:ascii="楷体" w:hAnsi="楷体" w:eastAsia="楷体" w:cs="楷体"/>
          <w:spacing w:val="19"/>
          <w:sz w:val="19"/>
          <w:szCs w:val="19"/>
        </w:rPr>
        <w:t>4)数字孪生城市</w:t>
      </w:r>
    </w:p>
    <w:p w14:paraId="3B05B0D6">
      <w:pPr>
        <w:pStyle w:val="2"/>
        <w:spacing w:before="64" w:line="296" w:lineRule="auto"/>
        <w:ind w:left="300" w:right="171" w:firstLine="400"/>
        <w:rPr>
          <w:sz w:val="19"/>
          <w:szCs w:val="19"/>
        </w:rPr>
      </w:pPr>
      <w:r>
        <w:rPr>
          <w:spacing w:val="14"/>
          <w:sz w:val="19"/>
          <w:szCs w:val="19"/>
        </w:rPr>
        <w:t>数字孪生城市是新一代信息技术在城市的综合集成</w:t>
      </w:r>
      <w:r>
        <w:rPr>
          <w:spacing w:val="13"/>
          <w:sz w:val="19"/>
          <w:szCs w:val="19"/>
        </w:rPr>
        <w:t>应用，通过构建城市物理世界及网络虚</w:t>
      </w:r>
      <w:r>
        <w:rPr>
          <w:sz w:val="19"/>
          <w:szCs w:val="19"/>
        </w:rPr>
        <w:t xml:space="preserve"> </w:t>
      </w:r>
      <w:r>
        <w:rPr>
          <w:spacing w:val="13"/>
          <w:sz w:val="19"/>
          <w:szCs w:val="19"/>
        </w:rPr>
        <w:t>拟空间一一对应、相互映射、协同交互的复杂系统，在网络空间再造一个与之匹配、对应的孪</w:t>
      </w:r>
      <w:r>
        <w:rPr>
          <w:spacing w:val="14"/>
          <w:sz w:val="19"/>
          <w:szCs w:val="19"/>
        </w:rPr>
        <w:t xml:space="preserve"> 生城市，实现城市全要素数字化和虚拟化、城市</w:t>
      </w:r>
      <w:r>
        <w:rPr>
          <w:spacing w:val="13"/>
          <w:sz w:val="19"/>
          <w:szCs w:val="19"/>
        </w:rPr>
        <w:t>状态实时化和可视化、城市管理决策协同化和</w:t>
      </w:r>
      <w:r>
        <w:rPr>
          <w:sz w:val="19"/>
          <w:szCs w:val="19"/>
        </w:rPr>
        <w:t xml:space="preserve"> </w:t>
      </w:r>
      <w:r>
        <w:rPr>
          <w:spacing w:val="13"/>
          <w:sz w:val="19"/>
          <w:szCs w:val="19"/>
        </w:rPr>
        <w:t>智能化，形成物理维度上的实体世界和信息维度上的虚拟世界同生共存、虚实交融的城市发展</w:t>
      </w:r>
      <w:r>
        <w:rPr>
          <w:spacing w:val="16"/>
          <w:sz w:val="19"/>
          <w:szCs w:val="19"/>
        </w:rPr>
        <w:t xml:space="preserve"> </w:t>
      </w:r>
      <w:r>
        <w:rPr>
          <w:spacing w:val="3"/>
          <w:sz w:val="19"/>
          <w:szCs w:val="19"/>
        </w:rPr>
        <w:t>新格局。</w:t>
      </w:r>
    </w:p>
    <w:p w14:paraId="44C4F2AB">
      <w:pPr>
        <w:pStyle w:val="2"/>
        <w:spacing w:before="36" w:line="293" w:lineRule="auto"/>
        <w:ind w:left="300" w:right="112" w:firstLine="400"/>
        <w:jc w:val="both"/>
        <w:rPr>
          <w:sz w:val="19"/>
          <w:szCs w:val="19"/>
        </w:rPr>
      </w:pPr>
      <w:r>
        <w:rPr>
          <w:spacing w:val="13"/>
          <w:sz w:val="19"/>
          <w:szCs w:val="19"/>
        </w:rPr>
        <w:t>数字孪生城市既可以理解为实体城市在虚拟空间的映射状态，也可以视为支撑新型智慧城</w:t>
      </w:r>
      <w:r>
        <w:rPr>
          <w:sz w:val="19"/>
          <w:szCs w:val="19"/>
        </w:rPr>
        <w:t xml:space="preserve">  </w:t>
      </w:r>
      <w:r>
        <w:rPr>
          <w:spacing w:val="10"/>
          <w:sz w:val="19"/>
          <w:szCs w:val="19"/>
        </w:rPr>
        <w:t>市建设的复杂综合技术体系，它支撑并推进城市规划、建设、服务，确保城市安全、有序运行。</w:t>
      </w:r>
      <w:r>
        <w:rPr>
          <w:spacing w:val="3"/>
          <w:sz w:val="19"/>
          <w:szCs w:val="19"/>
        </w:rPr>
        <w:t xml:space="preserve"> </w:t>
      </w:r>
      <w:r>
        <w:rPr>
          <w:spacing w:val="7"/>
          <w:sz w:val="19"/>
          <w:szCs w:val="19"/>
        </w:rPr>
        <w:t>数字孪生城市将新型智慧城市建设推向了一个新的高度。</w:t>
      </w:r>
    </w:p>
    <w:p w14:paraId="66D9A004">
      <w:pPr>
        <w:pStyle w:val="2"/>
        <w:spacing w:before="112" w:line="221" w:lineRule="auto"/>
        <w:ind w:left="702"/>
        <w:rPr>
          <w:rFonts w:ascii="黑体" w:hAnsi="黑体" w:eastAsia="黑体" w:cs="黑体"/>
          <w:sz w:val="19"/>
          <w:szCs w:val="19"/>
        </w:rPr>
      </w:pPr>
      <w:r>
        <w:rPr>
          <w:b/>
          <w:bCs/>
          <w:color w:val="0081E5"/>
          <w:spacing w:val="6"/>
          <w:sz w:val="19"/>
          <w:szCs w:val="19"/>
        </w:rPr>
        <w:t>3.</w:t>
      </w:r>
      <w:r>
        <w:rPr>
          <w:rFonts w:ascii="黑体" w:hAnsi="黑体" w:eastAsia="黑体" w:cs="黑体"/>
          <w:b/>
          <w:bCs/>
          <w:color w:val="0081E5"/>
          <w:spacing w:val="6"/>
          <w:sz w:val="19"/>
          <w:szCs w:val="19"/>
        </w:rPr>
        <w:t>新型智慧城市的特征与关注点</w:t>
      </w:r>
    </w:p>
    <w:p w14:paraId="1F2C777E">
      <w:pPr>
        <w:spacing w:before="253" w:line="224" w:lineRule="auto"/>
        <w:ind w:left="700"/>
        <w:rPr>
          <w:rFonts w:ascii="楷体" w:hAnsi="楷体" w:eastAsia="楷体" w:cs="楷体"/>
          <w:sz w:val="19"/>
          <w:szCs w:val="19"/>
        </w:rPr>
      </w:pPr>
      <w:r>
        <w:rPr>
          <w:rFonts w:ascii="楷体" w:hAnsi="楷体" w:eastAsia="楷体" w:cs="楷体"/>
          <w:spacing w:val="16"/>
          <w:sz w:val="19"/>
          <w:szCs w:val="19"/>
        </w:rPr>
        <w:t>1)新型智慧城市的特征</w:t>
      </w:r>
    </w:p>
    <w:p w14:paraId="71325FE5">
      <w:pPr>
        <w:pStyle w:val="2"/>
        <w:spacing w:before="84" w:line="219" w:lineRule="auto"/>
        <w:ind w:left="700"/>
        <w:rPr>
          <w:sz w:val="19"/>
          <w:szCs w:val="19"/>
        </w:rPr>
      </w:pPr>
      <w:r>
        <w:rPr>
          <w:spacing w:val="8"/>
          <w:sz w:val="19"/>
          <w:szCs w:val="19"/>
        </w:rPr>
        <w:t>新型智慧城市具有开放、共建、共享、服务均等化、城市特色化的特征。</w:t>
      </w:r>
    </w:p>
    <w:p w14:paraId="104485DB">
      <w:pPr>
        <w:pStyle w:val="2"/>
        <w:spacing w:before="82" w:line="281" w:lineRule="auto"/>
        <w:ind w:left="1000" w:right="132" w:hanging="300"/>
        <w:rPr>
          <w:sz w:val="19"/>
          <w:szCs w:val="19"/>
        </w:rPr>
      </w:pPr>
      <w:r>
        <w:rPr>
          <w:spacing w:val="13"/>
          <w:sz w:val="19"/>
          <w:szCs w:val="19"/>
        </w:rPr>
        <w:t>●开放、共建、共享。新型智慧城市建设首</w:t>
      </w:r>
      <w:r>
        <w:rPr>
          <w:spacing w:val="12"/>
          <w:sz w:val="19"/>
          <w:szCs w:val="19"/>
        </w:rPr>
        <w:t>先要强调开放、共建、共享的基本原则，政府</w:t>
      </w:r>
      <w:r>
        <w:rPr>
          <w:sz w:val="19"/>
          <w:szCs w:val="19"/>
        </w:rPr>
        <w:t xml:space="preserve">  </w:t>
      </w:r>
      <w:r>
        <w:rPr>
          <w:spacing w:val="12"/>
          <w:sz w:val="19"/>
          <w:szCs w:val="19"/>
        </w:rPr>
        <w:t>要开放数据，开放智慧城市规划，要让公众能够了解政府的整体规划并能够发表意见，</w:t>
      </w:r>
      <w:r>
        <w:rPr>
          <w:spacing w:val="8"/>
          <w:sz w:val="19"/>
          <w:szCs w:val="19"/>
        </w:rPr>
        <w:t xml:space="preserve"> </w:t>
      </w:r>
      <w:r>
        <w:rPr>
          <w:spacing w:val="10"/>
          <w:sz w:val="19"/>
          <w:szCs w:val="19"/>
        </w:rPr>
        <w:t>形成社会共识。政府要促进社会公共服务的整合，不仅包含政府的服务，还包含企业提</w:t>
      </w:r>
      <w:r>
        <w:rPr>
          <w:spacing w:val="17"/>
          <w:sz w:val="19"/>
          <w:szCs w:val="19"/>
        </w:rPr>
        <w:t xml:space="preserve"> </w:t>
      </w:r>
      <w:r>
        <w:rPr>
          <w:spacing w:val="7"/>
          <w:sz w:val="19"/>
          <w:szCs w:val="19"/>
        </w:rPr>
        <w:t>供的服务，政企合作，共创智慧城市的繁荣。</w:t>
      </w:r>
    </w:p>
    <w:p w14:paraId="48C94EC7">
      <w:pPr>
        <w:pStyle w:val="2"/>
        <w:spacing w:before="106" w:line="288" w:lineRule="auto"/>
        <w:ind w:left="1000" w:right="196" w:hanging="300"/>
        <w:rPr>
          <w:sz w:val="19"/>
          <w:szCs w:val="19"/>
        </w:rPr>
      </w:pPr>
      <w:r>
        <w:rPr>
          <w:spacing w:val="13"/>
          <w:sz w:val="19"/>
          <w:szCs w:val="19"/>
        </w:rPr>
        <w:t>●服务均等化。智慧城市的建设重点是提供更多的</w:t>
      </w:r>
      <w:r>
        <w:rPr>
          <w:spacing w:val="12"/>
          <w:sz w:val="19"/>
          <w:szCs w:val="19"/>
        </w:rPr>
        <w:t>公共服务，当前的公共服务更多服务于</w:t>
      </w:r>
      <w:r>
        <w:rPr>
          <w:sz w:val="19"/>
          <w:szCs w:val="19"/>
        </w:rPr>
        <w:t xml:space="preserve"> </w:t>
      </w:r>
      <w:r>
        <w:rPr>
          <w:spacing w:val="10"/>
          <w:sz w:val="19"/>
          <w:szCs w:val="19"/>
        </w:rPr>
        <w:t>拥有更高信息技能的用户，对于信息技能不足的弱势群体关注不够，新型智慧城市将努</w:t>
      </w:r>
      <w:r>
        <w:rPr>
          <w:spacing w:val="17"/>
          <w:sz w:val="19"/>
          <w:szCs w:val="19"/>
        </w:rPr>
        <w:t xml:space="preserve"> </w:t>
      </w:r>
      <w:r>
        <w:rPr>
          <w:spacing w:val="11"/>
          <w:sz w:val="19"/>
          <w:szCs w:val="19"/>
        </w:rPr>
        <w:t>力改变这一局面，尽力消除信息鸿沟，让弱</w:t>
      </w:r>
      <w:r>
        <w:rPr>
          <w:spacing w:val="10"/>
          <w:sz w:val="19"/>
          <w:szCs w:val="19"/>
        </w:rPr>
        <w:t>势群体能够享受更多的公共服务，支持国家</w:t>
      </w:r>
      <w:r>
        <w:rPr>
          <w:sz w:val="19"/>
          <w:szCs w:val="19"/>
        </w:rPr>
        <w:t xml:space="preserve"> </w:t>
      </w:r>
      <w:r>
        <w:rPr>
          <w:spacing w:val="5"/>
          <w:sz w:val="19"/>
          <w:szCs w:val="19"/>
        </w:rPr>
        <w:t>新型城镇化战略。</w:t>
      </w:r>
    </w:p>
    <w:p w14:paraId="5FBB4121">
      <w:pPr>
        <w:pStyle w:val="2"/>
        <w:spacing w:before="94" w:line="219" w:lineRule="auto"/>
        <w:ind w:left="700"/>
        <w:rPr>
          <w:sz w:val="19"/>
          <w:szCs w:val="19"/>
        </w:rPr>
      </w:pPr>
      <w:r>
        <w:rPr>
          <w:spacing w:val="13"/>
          <w:sz w:val="19"/>
          <w:szCs w:val="19"/>
        </w:rPr>
        <w:t>●城市特色化。智慧城市建设是在大城市中发展起来的，其做法并不能适应中小城市、小</w:t>
      </w:r>
    </w:p>
    <w:p w14:paraId="429C3B60">
      <w:pPr>
        <w:spacing w:line="219" w:lineRule="auto"/>
        <w:rPr>
          <w:sz w:val="19"/>
          <w:szCs w:val="19"/>
        </w:rPr>
        <w:sectPr>
          <w:pgSz w:w="10320" w:h="13370"/>
          <w:pgMar w:top="400" w:right="992" w:bottom="400" w:left="510" w:header="0" w:footer="0" w:gutter="0"/>
          <w:cols w:space="720" w:num="1"/>
        </w:sectPr>
      </w:pPr>
    </w:p>
    <w:p w14:paraId="5C3E3FDC">
      <w:pPr>
        <w:pStyle w:val="2"/>
        <w:spacing w:before="36" w:line="219" w:lineRule="auto"/>
        <w:jc w:val="right"/>
        <w:rPr>
          <w:rFonts w:ascii="Times New Roman" w:hAnsi="Times New Roman" w:eastAsia="Times New Roman" w:cs="Times New Roman"/>
          <w:sz w:val="19"/>
          <w:szCs w:val="19"/>
        </w:rPr>
      </w:pPr>
      <w:r>
        <w:rPr>
          <w:spacing w:val="5"/>
          <w:sz w:val="19"/>
          <w:szCs w:val="19"/>
        </w:rPr>
        <w:t>第1章</w:t>
      </w:r>
      <w:r>
        <w:rPr>
          <w:spacing w:val="34"/>
          <w:sz w:val="19"/>
          <w:szCs w:val="19"/>
        </w:rPr>
        <w:t xml:space="preserve"> </w:t>
      </w:r>
      <w:r>
        <w:rPr>
          <w:spacing w:val="5"/>
          <w:sz w:val="19"/>
          <w:szCs w:val="19"/>
        </w:rPr>
        <w:t>信息与信息化</w:t>
      </w:r>
      <w:r>
        <w:rPr>
          <w:spacing w:val="15"/>
          <w:sz w:val="19"/>
          <w:szCs w:val="19"/>
        </w:rPr>
        <w:t xml:space="preserve">      </w:t>
      </w:r>
      <w:r>
        <w:rPr>
          <w:rFonts w:ascii="Times New Roman" w:hAnsi="Times New Roman" w:eastAsia="Times New Roman" w:cs="Times New Roman"/>
          <w:spacing w:val="5"/>
          <w:sz w:val="19"/>
          <w:szCs w:val="19"/>
        </w:rPr>
        <w:t>37</w:t>
      </w:r>
    </w:p>
    <w:p w14:paraId="31D0B9A2">
      <w:pPr>
        <w:spacing w:line="321" w:lineRule="auto"/>
        <w:rPr>
          <w:rFonts w:ascii="Arial"/>
          <w:sz w:val="21"/>
        </w:rPr>
      </w:pPr>
    </w:p>
    <w:p w14:paraId="51BB0E4C">
      <w:pPr>
        <w:pStyle w:val="2"/>
        <w:spacing w:before="62" w:line="312" w:lineRule="auto"/>
        <w:ind w:left="670" w:right="237"/>
        <w:jc w:val="both"/>
        <w:rPr>
          <w:sz w:val="19"/>
          <w:szCs w:val="19"/>
        </w:rPr>
      </w:pPr>
      <w:r>
        <w:rPr>
          <w:spacing w:val="10"/>
          <w:sz w:val="19"/>
          <w:szCs w:val="19"/>
        </w:rPr>
        <w:t>城镇的信息化建设，新型智慧城市建设将努力改变智慧城市同构化的思路，努力推动智</w:t>
      </w:r>
      <w:r>
        <w:rPr>
          <w:spacing w:val="17"/>
          <w:sz w:val="19"/>
          <w:szCs w:val="19"/>
        </w:rPr>
        <w:t xml:space="preserve"> </w:t>
      </w:r>
      <w:r>
        <w:rPr>
          <w:spacing w:val="12"/>
          <w:sz w:val="19"/>
          <w:szCs w:val="19"/>
        </w:rPr>
        <w:t>慧城市建设的特色化，建设更多的特色化小镇、特色化经济区，推动地区经济特</w:t>
      </w:r>
      <w:r>
        <w:rPr>
          <w:spacing w:val="11"/>
          <w:sz w:val="19"/>
          <w:szCs w:val="19"/>
        </w:rPr>
        <w:t>色化、</w:t>
      </w:r>
      <w:r>
        <w:rPr>
          <w:sz w:val="19"/>
          <w:szCs w:val="19"/>
        </w:rPr>
        <w:t xml:space="preserve"> </w:t>
      </w:r>
      <w:r>
        <w:rPr>
          <w:spacing w:val="2"/>
          <w:sz w:val="19"/>
          <w:szCs w:val="19"/>
        </w:rPr>
        <w:t>多样化发展。</w:t>
      </w:r>
    </w:p>
    <w:p w14:paraId="6917DD24">
      <w:pPr>
        <w:spacing w:before="103" w:line="224" w:lineRule="auto"/>
        <w:ind w:left="400"/>
        <w:rPr>
          <w:rFonts w:ascii="楷体" w:hAnsi="楷体" w:eastAsia="楷体" w:cs="楷体"/>
          <w:sz w:val="19"/>
          <w:szCs w:val="19"/>
        </w:rPr>
      </w:pPr>
      <w:bookmarkStart w:id="499" w:name="bookmark486"/>
      <w:bookmarkEnd w:id="499"/>
      <w:r>
        <w:rPr>
          <w:rFonts w:ascii="楷体" w:hAnsi="楷体" w:eastAsia="楷体" w:cs="楷体"/>
          <w:spacing w:val="15"/>
          <w:sz w:val="19"/>
          <w:szCs w:val="19"/>
        </w:rPr>
        <w:t>2)新型智慧城市的关注点</w:t>
      </w:r>
    </w:p>
    <w:p w14:paraId="734A9A21">
      <w:pPr>
        <w:pStyle w:val="2"/>
        <w:spacing w:before="83" w:line="219" w:lineRule="auto"/>
        <w:ind w:left="400"/>
        <w:rPr>
          <w:sz w:val="19"/>
          <w:szCs w:val="19"/>
        </w:rPr>
      </w:pPr>
      <w:r>
        <w:rPr>
          <w:spacing w:val="4"/>
          <w:sz w:val="19"/>
          <w:szCs w:val="19"/>
        </w:rPr>
        <w:t>新型智慧城市关注如下七个方面：</w:t>
      </w:r>
    </w:p>
    <w:p w14:paraId="69EC75E8">
      <w:pPr>
        <w:pStyle w:val="2"/>
        <w:spacing w:before="105" w:line="280" w:lineRule="auto"/>
        <w:ind w:left="670" w:right="264" w:hanging="270"/>
        <w:rPr>
          <w:sz w:val="19"/>
          <w:szCs w:val="19"/>
        </w:rPr>
      </w:pPr>
      <w:r>
        <w:rPr>
          <w:spacing w:val="13"/>
          <w:sz w:val="19"/>
          <w:szCs w:val="19"/>
        </w:rPr>
        <w:t>●信息技术的应用。以互联网、电信网和移动互</w:t>
      </w:r>
      <w:r>
        <w:rPr>
          <w:spacing w:val="12"/>
          <w:sz w:val="19"/>
          <w:szCs w:val="19"/>
        </w:rPr>
        <w:t>联网等网络及其融合互连为基础，通过物</w:t>
      </w:r>
      <w:r>
        <w:rPr>
          <w:sz w:val="19"/>
          <w:szCs w:val="19"/>
        </w:rPr>
        <w:t xml:space="preserve"> </w:t>
      </w:r>
      <w:r>
        <w:rPr>
          <w:spacing w:val="11"/>
          <w:sz w:val="19"/>
          <w:szCs w:val="19"/>
        </w:rPr>
        <w:t>联网对城市运行实时感测实现数据整合，通过信息促进资源配置优化，提高效率并促进</w:t>
      </w:r>
      <w:r>
        <w:rPr>
          <w:spacing w:val="8"/>
          <w:sz w:val="19"/>
          <w:szCs w:val="19"/>
        </w:rPr>
        <w:t xml:space="preserve"> </w:t>
      </w:r>
      <w:r>
        <w:rPr>
          <w:spacing w:val="4"/>
          <w:sz w:val="19"/>
          <w:szCs w:val="19"/>
        </w:rPr>
        <w:t>城市发展。</w:t>
      </w:r>
    </w:p>
    <w:p w14:paraId="13381945">
      <w:pPr>
        <w:pStyle w:val="2"/>
        <w:spacing w:before="102" w:line="281" w:lineRule="auto"/>
        <w:ind w:left="670" w:right="276" w:hanging="270"/>
        <w:rPr>
          <w:sz w:val="19"/>
          <w:szCs w:val="19"/>
        </w:rPr>
      </w:pPr>
      <w:r>
        <w:rPr>
          <w:spacing w:val="13"/>
          <w:sz w:val="19"/>
          <w:szCs w:val="19"/>
        </w:rPr>
        <w:t>●民生服务均等化。以贯穿服务人的全生命周期需求为主线，</w:t>
      </w:r>
      <w:r>
        <w:rPr>
          <w:spacing w:val="12"/>
          <w:sz w:val="19"/>
          <w:szCs w:val="19"/>
        </w:rPr>
        <w:t>缩小数字鸿沟，促进政策制</w:t>
      </w:r>
      <w:r>
        <w:rPr>
          <w:sz w:val="19"/>
          <w:szCs w:val="19"/>
        </w:rPr>
        <w:t xml:space="preserve"> </w:t>
      </w:r>
      <w:r>
        <w:rPr>
          <w:spacing w:val="11"/>
          <w:sz w:val="19"/>
          <w:szCs w:val="19"/>
        </w:rPr>
        <w:t>定者关注城市发展中的公平问题，促进公共服务的均等性；整合</w:t>
      </w:r>
      <w:r>
        <w:rPr>
          <w:spacing w:val="10"/>
          <w:sz w:val="19"/>
          <w:szCs w:val="19"/>
        </w:rPr>
        <w:t>民生领域服务内容，实</w:t>
      </w:r>
      <w:r>
        <w:rPr>
          <w:sz w:val="19"/>
          <w:szCs w:val="19"/>
        </w:rPr>
        <w:t xml:space="preserve"> </w:t>
      </w:r>
      <w:r>
        <w:rPr>
          <w:spacing w:val="7"/>
          <w:sz w:val="19"/>
          <w:szCs w:val="19"/>
        </w:rPr>
        <w:t>现全程、全时和全方位服务，提升公众幸福感。</w:t>
      </w:r>
    </w:p>
    <w:p w14:paraId="13557DC5">
      <w:pPr>
        <w:pStyle w:val="2"/>
        <w:spacing w:before="106" w:line="286" w:lineRule="auto"/>
        <w:ind w:left="670" w:right="196" w:hanging="270"/>
        <w:rPr>
          <w:sz w:val="19"/>
          <w:szCs w:val="19"/>
        </w:rPr>
      </w:pPr>
      <w:r>
        <w:rPr>
          <w:spacing w:val="15"/>
          <w:sz w:val="19"/>
          <w:szCs w:val="19"/>
        </w:rPr>
        <w:t>●部门间信息共享和业务协同。基于网络实现城市跨部门、跨层</w:t>
      </w:r>
      <w:r>
        <w:rPr>
          <w:spacing w:val="14"/>
          <w:sz w:val="19"/>
          <w:szCs w:val="19"/>
        </w:rPr>
        <w:t>级和跨领域的信息共享，</w:t>
      </w:r>
      <w:r>
        <w:rPr>
          <w:sz w:val="19"/>
          <w:szCs w:val="19"/>
        </w:rPr>
        <w:t xml:space="preserve"> </w:t>
      </w:r>
      <w:r>
        <w:rPr>
          <w:spacing w:val="11"/>
          <w:sz w:val="19"/>
          <w:szCs w:val="19"/>
        </w:rPr>
        <w:t>提升公共服务效率和质量，科学制定城市管理决策，及时预测和应对突发事件，优化业</w:t>
      </w:r>
      <w:r>
        <w:rPr>
          <w:spacing w:val="7"/>
          <w:sz w:val="19"/>
          <w:szCs w:val="19"/>
        </w:rPr>
        <w:t xml:space="preserve"> </w:t>
      </w:r>
      <w:r>
        <w:rPr>
          <w:spacing w:val="6"/>
          <w:sz w:val="19"/>
          <w:szCs w:val="19"/>
        </w:rPr>
        <w:t>务处理流程，实现城市运行的最佳状态。</w:t>
      </w:r>
    </w:p>
    <w:p w14:paraId="13D66989">
      <w:pPr>
        <w:pStyle w:val="2"/>
        <w:spacing w:before="94" w:line="287" w:lineRule="auto"/>
        <w:ind w:left="670" w:right="284" w:hanging="270"/>
        <w:rPr>
          <w:sz w:val="19"/>
          <w:szCs w:val="19"/>
        </w:rPr>
      </w:pPr>
      <w:r>
        <w:rPr>
          <w:spacing w:val="12"/>
          <w:sz w:val="19"/>
          <w:szCs w:val="19"/>
        </w:rPr>
        <w:t>●公众参与。注重从市民需求出发，通过公共数据开放及微博与微信等自媒体工具和方法</w:t>
      </w:r>
      <w:r>
        <w:rPr>
          <w:spacing w:val="17"/>
          <w:sz w:val="19"/>
          <w:szCs w:val="19"/>
        </w:rPr>
        <w:t xml:space="preserve"> </w:t>
      </w:r>
      <w:r>
        <w:rPr>
          <w:spacing w:val="16"/>
          <w:sz w:val="19"/>
          <w:szCs w:val="19"/>
        </w:rPr>
        <w:t>强化用户参与，支持多元主体参与城市治理，汇聚公众智慧，不断推动创新，实现经</w:t>
      </w:r>
      <w:r>
        <w:rPr>
          <w:spacing w:val="4"/>
          <w:sz w:val="19"/>
          <w:szCs w:val="19"/>
        </w:rPr>
        <w:t xml:space="preserve"> </w:t>
      </w:r>
      <w:r>
        <w:rPr>
          <w:spacing w:val="6"/>
          <w:sz w:val="19"/>
          <w:szCs w:val="19"/>
        </w:rPr>
        <w:t>济、社会和环境的可持续发展。</w:t>
      </w:r>
    </w:p>
    <w:p w14:paraId="0903B0B4">
      <w:pPr>
        <w:pStyle w:val="2"/>
        <w:spacing w:before="85" w:line="280" w:lineRule="auto"/>
        <w:ind w:left="670" w:right="280" w:hanging="270"/>
        <w:rPr>
          <w:sz w:val="19"/>
          <w:szCs w:val="19"/>
        </w:rPr>
      </w:pPr>
      <w:r>
        <w:rPr>
          <w:spacing w:val="13"/>
          <w:sz w:val="19"/>
          <w:szCs w:val="19"/>
        </w:rPr>
        <w:t>●产业创新。推动新一代信息技术与各行业融合创</w:t>
      </w:r>
      <w:r>
        <w:rPr>
          <w:spacing w:val="12"/>
          <w:sz w:val="19"/>
          <w:szCs w:val="19"/>
        </w:rPr>
        <w:t>新发展，创新商业模式，促进企业与产</w:t>
      </w:r>
      <w:r>
        <w:rPr>
          <w:sz w:val="19"/>
          <w:szCs w:val="19"/>
        </w:rPr>
        <w:t xml:space="preserve"> </w:t>
      </w:r>
      <w:r>
        <w:rPr>
          <w:spacing w:val="16"/>
          <w:sz w:val="19"/>
          <w:szCs w:val="19"/>
        </w:rPr>
        <w:t>品转型提升，拉动信息消费，实现信息经济快速有序发展。通过区域创新系统激励政</w:t>
      </w:r>
      <w:r>
        <w:rPr>
          <w:spacing w:val="5"/>
          <w:sz w:val="19"/>
          <w:szCs w:val="19"/>
        </w:rPr>
        <w:t xml:space="preserve"> </w:t>
      </w:r>
      <w:r>
        <w:rPr>
          <w:spacing w:val="8"/>
          <w:sz w:val="19"/>
          <w:szCs w:val="19"/>
        </w:rPr>
        <w:t>府、企业和个人开展科技和业务创新，带动新兴产业的发展，为城市发展提供动力。</w:t>
      </w:r>
    </w:p>
    <w:p w14:paraId="65657764">
      <w:pPr>
        <w:pStyle w:val="2"/>
        <w:spacing w:before="96" w:line="280" w:lineRule="auto"/>
        <w:ind w:left="670" w:right="237" w:hanging="270"/>
        <w:rPr>
          <w:sz w:val="19"/>
          <w:szCs w:val="19"/>
        </w:rPr>
      </w:pPr>
      <w:r>
        <w:rPr>
          <w:spacing w:val="13"/>
          <w:sz w:val="19"/>
          <w:szCs w:val="19"/>
        </w:rPr>
        <w:t>●生态宜居和可持续发展。城市发展依赖于自然资</w:t>
      </w:r>
      <w:r>
        <w:rPr>
          <w:spacing w:val="12"/>
          <w:sz w:val="19"/>
          <w:szCs w:val="19"/>
        </w:rPr>
        <w:t>源和生态环境，应强化信息技术在城市</w:t>
      </w:r>
      <w:r>
        <w:rPr>
          <w:sz w:val="19"/>
          <w:szCs w:val="19"/>
        </w:rPr>
        <w:t xml:space="preserve"> </w:t>
      </w:r>
      <w:r>
        <w:rPr>
          <w:spacing w:val="12"/>
          <w:sz w:val="19"/>
          <w:szCs w:val="19"/>
        </w:rPr>
        <w:t>资源管理和节约利用及环境保护等方面的应用，提升城市获取、控制和转化资源</w:t>
      </w:r>
      <w:r>
        <w:rPr>
          <w:spacing w:val="11"/>
          <w:sz w:val="19"/>
          <w:szCs w:val="19"/>
        </w:rPr>
        <w:t>能力，</w:t>
      </w:r>
      <w:r>
        <w:rPr>
          <w:sz w:val="19"/>
          <w:szCs w:val="19"/>
        </w:rPr>
        <w:t xml:space="preserve"> </w:t>
      </w:r>
      <w:r>
        <w:rPr>
          <w:spacing w:val="8"/>
          <w:sz w:val="19"/>
          <w:szCs w:val="19"/>
        </w:rPr>
        <w:t>安全和可再生地使用自然资源，促进城市</w:t>
      </w:r>
      <w:r>
        <w:rPr>
          <w:spacing w:val="7"/>
          <w:sz w:val="19"/>
          <w:szCs w:val="19"/>
        </w:rPr>
        <w:t>的可持续发展。</w:t>
      </w:r>
    </w:p>
    <w:p w14:paraId="076DF2A2">
      <w:pPr>
        <w:pStyle w:val="2"/>
        <w:spacing w:before="95" w:line="280" w:lineRule="auto"/>
        <w:ind w:left="670" w:right="237" w:hanging="270"/>
        <w:rPr>
          <w:sz w:val="19"/>
          <w:szCs w:val="19"/>
        </w:rPr>
      </w:pPr>
      <w:r>
        <w:rPr>
          <w:spacing w:val="14"/>
          <w:sz w:val="19"/>
          <w:szCs w:val="19"/>
        </w:rPr>
        <w:t>●人力、教育和社会资本的作用。城市发展与人力资本和社会</w:t>
      </w:r>
      <w:r>
        <w:rPr>
          <w:spacing w:val="13"/>
          <w:sz w:val="19"/>
          <w:szCs w:val="19"/>
        </w:rPr>
        <w:t>关系资本之间有显著关系，</w:t>
      </w:r>
      <w:r>
        <w:rPr>
          <w:sz w:val="19"/>
          <w:szCs w:val="19"/>
        </w:rPr>
        <w:t xml:space="preserve"> </w:t>
      </w:r>
      <w:r>
        <w:rPr>
          <w:spacing w:val="11"/>
          <w:sz w:val="19"/>
          <w:szCs w:val="19"/>
        </w:rPr>
        <w:t>智慧城市是学习型和创新型城市，拥有受教育程度较高的劳动</w:t>
      </w:r>
      <w:r>
        <w:rPr>
          <w:spacing w:val="10"/>
          <w:sz w:val="19"/>
          <w:szCs w:val="19"/>
        </w:rPr>
        <w:t>力，城市经济增长速度较</w:t>
      </w:r>
      <w:r>
        <w:rPr>
          <w:sz w:val="19"/>
          <w:szCs w:val="19"/>
        </w:rPr>
        <w:t xml:space="preserve"> </w:t>
      </w:r>
      <w:r>
        <w:rPr>
          <w:spacing w:val="7"/>
          <w:sz w:val="19"/>
          <w:szCs w:val="19"/>
        </w:rPr>
        <w:t>快，社会关系资本则避免社会出现两极分化。</w:t>
      </w:r>
    </w:p>
    <w:p w14:paraId="7B5FC3E6">
      <w:pPr>
        <w:pStyle w:val="2"/>
        <w:spacing w:before="172" w:line="221" w:lineRule="auto"/>
        <w:ind w:left="402"/>
        <w:rPr>
          <w:rFonts w:ascii="黑体" w:hAnsi="黑体" w:eastAsia="黑体" w:cs="黑体"/>
          <w:sz w:val="19"/>
          <w:szCs w:val="19"/>
        </w:rPr>
      </w:pPr>
      <w:r>
        <w:rPr>
          <w:b/>
          <w:bCs/>
          <w:color w:val="005CD6"/>
          <w:spacing w:val="9"/>
          <w:sz w:val="19"/>
          <w:szCs w:val="19"/>
        </w:rPr>
        <w:t>4.</w:t>
      </w:r>
      <w:r>
        <w:rPr>
          <w:rFonts w:ascii="黑体" w:hAnsi="黑体" w:eastAsia="黑体" w:cs="黑体"/>
          <w:b/>
          <w:bCs/>
          <w:color w:val="005CD6"/>
          <w:spacing w:val="9"/>
          <w:sz w:val="19"/>
          <w:szCs w:val="19"/>
        </w:rPr>
        <w:t>智慧城市应用场景</w:t>
      </w:r>
    </w:p>
    <w:p w14:paraId="68286CEE">
      <w:pPr>
        <w:pStyle w:val="2"/>
        <w:spacing w:before="166" w:line="281" w:lineRule="auto"/>
        <w:ind w:right="277" w:firstLine="400"/>
        <w:rPr>
          <w:sz w:val="19"/>
          <w:szCs w:val="19"/>
        </w:rPr>
      </w:pPr>
      <w:r>
        <w:rPr>
          <w:spacing w:val="13"/>
          <w:sz w:val="19"/>
          <w:szCs w:val="19"/>
        </w:rPr>
        <w:t>新型智慧城市应用系统涵盖了智慧政府、智慧民生、智慧</w:t>
      </w:r>
      <w:r>
        <w:rPr>
          <w:spacing w:val="12"/>
          <w:sz w:val="19"/>
          <w:szCs w:val="19"/>
        </w:rPr>
        <w:t>交通、智慧产业、智慧经济等的</w:t>
      </w:r>
      <w:r>
        <w:rPr>
          <w:sz w:val="19"/>
          <w:szCs w:val="19"/>
        </w:rPr>
        <w:t xml:space="preserve"> </w:t>
      </w:r>
      <w:r>
        <w:rPr>
          <w:spacing w:val="3"/>
          <w:sz w:val="19"/>
          <w:szCs w:val="19"/>
        </w:rPr>
        <w:t>智慧化。</w:t>
      </w:r>
    </w:p>
    <w:p w14:paraId="23C2A2E6">
      <w:pPr>
        <w:spacing w:before="118" w:line="224" w:lineRule="auto"/>
        <w:ind w:left="400"/>
        <w:rPr>
          <w:rFonts w:ascii="楷体" w:hAnsi="楷体" w:eastAsia="楷体" w:cs="楷体"/>
          <w:sz w:val="19"/>
          <w:szCs w:val="19"/>
        </w:rPr>
      </w:pPr>
      <w:r>
        <w:rPr>
          <w:rFonts w:ascii="楷体" w:hAnsi="楷体" w:eastAsia="楷体" w:cs="楷体"/>
          <w:spacing w:val="15"/>
          <w:sz w:val="19"/>
          <w:szCs w:val="19"/>
        </w:rPr>
        <w:t>1)智慧城市的信息基础设施</w:t>
      </w:r>
    </w:p>
    <w:p w14:paraId="1997115F">
      <w:pPr>
        <w:pStyle w:val="2"/>
        <w:spacing w:before="72" w:line="219" w:lineRule="auto"/>
        <w:ind w:left="400"/>
        <w:rPr>
          <w:sz w:val="19"/>
          <w:szCs w:val="19"/>
        </w:rPr>
      </w:pPr>
      <w:r>
        <w:rPr>
          <w:spacing w:val="8"/>
          <w:sz w:val="19"/>
          <w:szCs w:val="19"/>
        </w:rPr>
        <w:t>智慧城市的信息基础设施包括城市骨干网、无</w:t>
      </w:r>
      <w:r>
        <w:rPr>
          <w:spacing w:val="7"/>
          <w:sz w:val="19"/>
          <w:szCs w:val="19"/>
        </w:rPr>
        <w:t>线城市、三网融合。</w:t>
      </w:r>
    </w:p>
    <w:p w14:paraId="49ABE985">
      <w:pPr>
        <w:pStyle w:val="2"/>
        <w:spacing w:before="81" w:line="306" w:lineRule="auto"/>
        <w:ind w:left="670" w:right="197" w:hanging="270"/>
        <w:rPr>
          <w:sz w:val="19"/>
          <w:szCs w:val="19"/>
        </w:rPr>
      </w:pPr>
      <w:r>
        <w:rPr>
          <w:spacing w:val="10"/>
          <w:sz w:val="19"/>
          <w:szCs w:val="19"/>
        </w:rPr>
        <w:t>●城市骨干网。作为城市骨干网的宽带城域网</w:t>
      </w:r>
      <w:r>
        <w:rPr>
          <w:spacing w:val="-29"/>
          <w:sz w:val="19"/>
          <w:szCs w:val="19"/>
        </w:rPr>
        <w:t xml:space="preserve"> </w:t>
      </w:r>
      <w:r>
        <w:rPr>
          <w:spacing w:val="10"/>
          <w:sz w:val="19"/>
          <w:szCs w:val="19"/>
        </w:rPr>
        <w:t>(</w:t>
      </w:r>
      <w:r>
        <w:rPr>
          <w:sz w:val="19"/>
          <w:szCs w:val="19"/>
        </w:rPr>
        <w:t>Metropolitan</w:t>
      </w:r>
      <w:r>
        <w:rPr>
          <w:spacing w:val="40"/>
          <w:sz w:val="19"/>
          <w:szCs w:val="19"/>
        </w:rPr>
        <w:t xml:space="preserve">  </w:t>
      </w:r>
      <w:r>
        <w:rPr>
          <w:sz w:val="19"/>
          <w:szCs w:val="19"/>
        </w:rPr>
        <w:t>Area</w:t>
      </w:r>
      <w:r>
        <w:rPr>
          <w:spacing w:val="41"/>
          <w:sz w:val="19"/>
          <w:szCs w:val="19"/>
        </w:rPr>
        <w:t xml:space="preserve">  </w:t>
      </w:r>
      <w:r>
        <w:rPr>
          <w:sz w:val="19"/>
          <w:szCs w:val="19"/>
        </w:rPr>
        <w:t>Network</w:t>
      </w:r>
      <w:r>
        <w:rPr>
          <w:spacing w:val="10"/>
          <w:sz w:val="19"/>
          <w:szCs w:val="19"/>
        </w:rPr>
        <w:t>,</w:t>
      </w:r>
      <w:r>
        <w:rPr>
          <w:sz w:val="19"/>
          <w:szCs w:val="19"/>
        </w:rPr>
        <w:t>MAN</w:t>
      </w:r>
      <w:r>
        <w:rPr>
          <w:spacing w:val="10"/>
          <w:sz w:val="19"/>
          <w:szCs w:val="19"/>
        </w:rPr>
        <w:t>),就是</w:t>
      </w:r>
      <w:r>
        <w:rPr>
          <w:sz w:val="19"/>
          <w:szCs w:val="19"/>
        </w:rPr>
        <w:t xml:space="preserve">  </w:t>
      </w:r>
      <w:r>
        <w:rPr>
          <w:spacing w:val="13"/>
          <w:sz w:val="19"/>
          <w:szCs w:val="19"/>
        </w:rPr>
        <w:t>在城市范围内，以</w:t>
      </w:r>
      <w:r>
        <w:rPr>
          <w:sz w:val="19"/>
          <w:szCs w:val="19"/>
        </w:rPr>
        <w:t>IP</w:t>
      </w:r>
      <w:r>
        <w:rPr>
          <w:spacing w:val="-27"/>
          <w:sz w:val="19"/>
          <w:szCs w:val="19"/>
        </w:rPr>
        <w:t xml:space="preserve"> </w:t>
      </w:r>
      <w:r>
        <w:rPr>
          <w:spacing w:val="13"/>
          <w:sz w:val="19"/>
          <w:szCs w:val="19"/>
        </w:rPr>
        <w:t>和</w:t>
      </w:r>
      <w:r>
        <w:rPr>
          <w:spacing w:val="-37"/>
          <w:sz w:val="19"/>
          <w:szCs w:val="19"/>
        </w:rPr>
        <w:t xml:space="preserve"> </w:t>
      </w:r>
      <w:r>
        <w:rPr>
          <w:sz w:val="19"/>
          <w:szCs w:val="19"/>
        </w:rPr>
        <w:t>ATM</w:t>
      </w:r>
      <w:r>
        <w:rPr>
          <w:spacing w:val="13"/>
          <w:sz w:val="19"/>
          <w:szCs w:val="19"/>
        </w:rPr>
        <w:t xml:space="preserve">  电信技术为基础，把光纤作为传输媒介，集</w:t>
      </w:r>
      <w:r>
        <w:rPr>
          <w:spacing w:val="12"/>
          <w:sz w:val="19"/>
          <w:szCs w:val="19"/>
        </w:rPr>
        <w:t>数据、语音、</w:t>
      </w:r>
      <w:r>
        <w:rPr>
          <w:sz w:val="19"/>
          <w:szCs w:val="19"/>
        </w:rPr>
        <w:t xml:space="preserve"> </w:t>
      </w:r>
      <w:r>
        <w:rPr>
          <w:spacing w:val="11"/>
          <w:sz w:val="19"/>
          <w:szCs w:val="19"/>
        </w:rPr>
        <w:t>视频服务于一体的高带宽、多功能、多业务接入的多媒体通</w:t>
      </w:r>
      <w:r>
        <w:rPr>
          <w:spacing w:val="10"/>
          <w:sz w:val="19"/>
          <w:szCs w:val="19"/>
        </w:rPr>
        <w:t>信网络。它能够满足政府机</w:t>
      </w:r>
      <w:r>
        <w:rPr>
          <w:sz w:val="19"/>
          <w:szCs w:val="19"/>
        </w:rPr>
        <w:t xml:space="preserve">  </w:t>
      </w:r>
      <w:r>
        <w:rPr>
          <w:spacing w:val="11"/>
          <w:sz w:val="19"/>
          <w:szCs w:val="19"/>
        </w:rPr>
        <w:t>构、金融保险、大中小学校、公司企业等单位对高速率、高质量数据通信业务日益旺盛</w:t>
      </w:r>
    </w:p>
    <w:p w14:paraId="68CD5DF3">
      <w:pPr>
        <w:spacing w:line="306" w:lineRule="auto"/>
        <w:rPr>
          <w:sz w:val="19"/>
          <w:szCs w:val="19"/>
        </w:rPr>
        <w:sectPr>
          <w:pgSz w:w="10310" w:h="13300"/>
          <w:pgMar w:top="400" w:right="587" w:bottom="400" w:left="1139" w:header="0" w:footer="0" w:gutter="0"/>
          <w:cols w:space="720" w:num="1"/>
        </w:sectPr>
      </w:pPr>
    </w:p>
    <w:p w14:paraId="2DC2AB2F">
      <w:pPr>
        <w:pStyle w:val="2"/>
        <w:spacing w:before="68" w:line="219" w:lineRule="auto"/>
        <w:rPr>
          <w:sz w:val="20"/>
          <w:szCs w:val="20"/>
        </w:rPr>
      </w:pPr>
      <w:r>
        <w:rPr>
          <w:rFonts w:ascii="Times New Roman" w:hAnsi="Times New Roman" w:eastAsia="Times New Roman" w:cs="Times New Roman"/>
          <w:spacing w:val="-4"/>
          <w:position w:val="-1"/>
          <w:sz w:val="20"/>
          <w:szCs w:val="20"/>
        </w:rPr>
        <w:t>38</w:t>
      </w:r>
      <w:r>
        <w:rPr>
          <w:rFonts w:ascii="Times New Roman" w:hAnsi="Times New Roman" w:eastAsia="Times New Roman" w:cs="Times New Roman"/>
          <w:spacing w:val="2"/>
          <w:position w:val="-1"/>
          <w:sz w:val="20"/>
          <w:szCs w:val="20"/>
        </w:rPr>
        <w:t xml:space="preserve">              </w:t>
      </w:r>
      <w:r>
        <w:rPr>
          <w:spacing w:val="-4"/>
          <w:sz w:val="20"/>
          <w:szCs w:val="20"/>
        </w:rPr>
        <w:t>信息系统监理师教程(第2版)</w:t>
      </w:r>
    </w:p>
    <w:p w14:paraId="5DAD2C50">
      <w:pPr>
        <w:spacing w:line="345" w:lineRule="auto"/>
        <w:rPr>
          <w:rFonts w:ascii="Arial"/>
          <w:sz w:val="21"/>
        </w:rPr>
      </w:pPr>
    </w:p>
    <w:p w14:paraId="01756582">
      <w:pPr>
        <w:pStyle w:val="2"/>
        <w:spacing w:before="65" w:line="219" w:lineRule="auto"/>
        <w:ind w:left="989"/>
        <w:rPr>
          <w:sz w:val="20"/>
          <w:szCs w:val="20"/>
        </w:rPr>
      </w:pPr>
      <w:r>
        <w:rPr>
          <w:spacing w:val="-2"/>
          <w:sz w:val="20"/>
          <w:szCs w:val="20"/>
        </w:rPr>
        <w:t>的需求，特别是快速发展起来的互联网用户群对宽带高速上网的需求。</w:t>
      </w:r>
    </w:p>
    <w:p w14:paraId="04F0C7A0">
      <w:pPr>
        <w:pStyle w:val="2"/>
        <w:spacing w:before="81" w:line="282" w:lineRule="auto"/>
        <w:ind w:left="989" w:right="80" w:hanging="300"/>
        <w:rPr>
          <w:sz w:val="20"/>
          <w:szCs w:val="20"/>
        </w:rPr>
      </w:pPr>
      <w:r>
        <w:rPr>
          <w:spacing w:val="3"/>
          <w:sz w:val="20"/>
          <w:szCs w:val="20"/>
        </w:rPr>
        <w:t>●无线城市。无线城市是指市民可以通过笔记本电</w:t>
      </w:r>
      <w:r>
        <w:rPr>
          <w:spacing w:val="2"/>
          <w:sz w:val="20"/>
          <w:szCs w:val="20"/>
        </w:rPr>
        <w:t>脑、移动终端在无线网络覆盖区室外随</w:t>
      </w:r>
      <w:r>
        <w:rPr>
          <w:sz w:val="20"/>
          <w:szCs w:val="20"/>
        </w:rPr>
        <w:t xml:space="preserve"> </w:t>
      </w:r>
      <w:r>
        <w:rPr>
          <w:spacing w:val="6"/>
          <w:sz w:val="20"/>
          <w:szCs w:val="20"/>
        </w:rPr>
        <w:t>时随地上网的城市。当前，我国数以百计的大中城市都提出建设或已经建设“无线城</w:t>
      </w:r>
      <w:r>
        <w:rPr>
          <w:spacing w:val="16"/>
          <w:sz w:val="20"/>
          <w:szCs w:val="20"/>
        </w:rPr>
        <w:t xml:space="preserve"> </w:t>
      </w:r>
      <w:r>
        <w:rPr>
          <w:sz w:val="20"/>
          <w:szCs w:val="20"/>
        </w:rPr>
        <w:t>市”。以北京为例，西单、王府井、奥运中心区、金</w:t>
      </w:r>
      <w:r>
        <w:rPr>
          <w:spacing w:val="-1"/>
          <w:sz w:val="20"/>
          <w:szCs w:val="20"/>
        </w:rPr>
        <w:t>融街、燕莎、中关村大街是北京第</w:t>
      </w:r>
      <w:r>
        <w:rPr>
          <w:sz w:val="20"/>
          <w:szCs w:val="20"/>
        </w:rPr>
        <w:t xml:space="preserve"> </w:t>
      </w:r>
      <w:r>
        <w:rPr>
          <w:spacing w:val="1"/>
          <w:sz w:val="20"/>
          <w:szCs w:val="20"/>
        </w:rPr>
        <w:t>一批开通无线网络的试点区域。北京市民在这些区域打开手机、平板电脑或笔记本电脑</w:t>
      </w:r>
      <w:r>
        <w:rPr>
          <w:sz w:val="20"/>
          <w:szCs w:val="20"/>
        </w:rPr>
        <w:t xml:space="preserve"> </w:t>
      </w:r>
      <w:bookmarkStart w:id="500" w:name="bookmark487"/>
      <w:bookmarkEnd w:id="500"/>
      <w:r>
        <w:rPr>
          <w:sz w:val="20"/>
          <w:szCs w:val="20"/>
        </w:rPr>
        <w:t>的</w:t>
      </w:r>
      <w:r>
        <w:rPr>
          <w:spacing w:val="-50"/>
          <w:sz w:val="20"/>
          <w:szCs w:val="20"/>
        </w:rPr>
        <w:t xml:space="preserve"> </w:t>
      </w:r>
      <w:r>
        <w:rPr>
          <w:rFonts w:ascii="Times New Roman" w:hAnsi="Times New Roman" w:eastAsia="Times New Roman" w:cs="Times New Roman"/>
          <w:sz w:val="20"/>
          <w:szCs w:val="20"/>
        </w:rPr>
        <w:t xml:space="preserve">Wi-Fi </w:t>
      </w:r>
      <w:r>
        <w:rPr>
          <w:sz w:val="20"/>
          <w:szCs w:val="20"/>
        </w:rPr>
        <w:t>功能，点击</w:t>
      </w:r>
      <w:r>
        <w:rPr>
          <w:spacing w:val="-58"/>
          <w:sz w:val="20"/>
          <w:szCs w:val="20"/>
        </w:rPr>
        <w:t xml:space="preserve"> </w:t>
      </w:r>
      <w:r>
        <w:rPr>
          <w:rFonts w:ascii="Times New Roman" w:hAnsi="Times New Roman" w:eastAsia="Times New Roman" w:cs="Times New Roman"/>
          <w:sz w:val="20"/>
          <w:szCs w:val="20"/>
        </w:rPr>
        <w:t>“My   Beijing”</w:t>
      </w:r>
      <w:r>
        <w:rPr>
          <w:rFonts w:ascii="Times New Roman" w:hAnsi="Times New Roman" w:eastAsia="Times New Roman" w:cs="Times New Roman"/>
          <w:spacing w:val="-16"/>
          <w:sz w:val="20"/>
          <w:szCs w:val="20"/>
        </w:rPr>
        <w:t xml:space="preserve"> </w:t>
      </w:r>
      <w:r>
        <w:rPr>
          <w:sz w:val="20"/>
          <w:szCs w:val="20"/>
        </w:rPr>
        <w:t>无线网络登录后，便可以享受免费的无线上网功能。</w:t>
      </w:r>
    </w:p>
    <w:p w14:paraId="66BF3BA6">
      <w:pPr>
        <w:pStyle w:val="2"/>
        <w:spacing w:before="130" w:line="277" w:lineRule="auto"/>
        <w:ind w:left="989" w:right="84" w:hanging="300"/>
        <w:rPr>
          <w:sz w:val="20"/>
          <w:szCs w:val="20"/>
        </w:rPr>
      </w:pPr>
      <w:r>
        <w:rPr>
          <w:spacing w:val="6"/>
          <w:sz w:val="20"/>
          <w:szCs w:val="20"/>
        </w:rPr>
        <w:t>●三网融合。推进电信网、广播电视网和互联网融合(简称“三网融合”),对于促</w:t>
      </w:r>
      <w:r>
        <w:rPr>
          <w:spacing w:val="5"/>
          <w:sz w:val="20"/>
          <w:szCs w:val="20"/>
        </w:rPr>
        <w:t>进文化</w:t>
      </w:r>
      <w:r>
        <w:rPr>
          <w:sz w:val="20"/>
          <w:szCs w:val="20"/>
        </w:rPr>
        <w:t xml:space="preserve"> </w:t>
      </w:r>
      <w:r>
        <w:rPr>
          <w:spacing w:val="1"/>
          <w:sz w:val="20"/>
          <w:szCs w:val="20"/>
        </w:rPr>
        <w:t>产业发展，推进社会信息化，提高人民群众的生活水平，拉动国内消费需求，形成新的</w:t>
      </w:r>
      <w:r>
        <w:rPr>
          <w:spacing w:val="6"/>
          <w:sz w:val="20"/>
          <w:szCs w:val="20"/>
        </w:rPr>
        <w:t xml:space="preserve"> </w:t>
      </w:r>
      <w:r>
        <w:rPr>
          <w:spacing w:val="1"/>
          <w:sz w:val="20"/>
          <w:szCs w:val="20"/>
        </w:rPr>
        <w:t>经济增长点，都具有重要意义。三网融合概念涉及业务、技术、运营、终端、网络、监</w:t>
      </w:r>
      <w:r>
        <w:rPr>
          <w:sz w:val="20"/>
          <w:szCs w:val="20"/>
        </w:rPr>
        <w:t xml:space="preserve"> </w:t>
      </w:r>
      <w:r>
        <w:rPr>
          <w:spacing w:val="-2"/>
          <w:sz w:val="20"/>
          <w:szCs w:val="20"/>
        </w:rPr>
        <w:t>管等多个层面，是一个包含多层含义的复杂概念。</w:t>
      </w:r>
    </w:p>
    <w:p w14:paraId="719DEB7F">
      <w:pPr>
        <w:spacing w:before="178" w:line="224" w:lineRule="auto"/>
        <w:ind w:left="689"/>
        <w:rPr>
          <w:rFonts w:ascii="楷体" w:hAnsi="楷体" w:eastAsia="楷体" w:cs="楷体"/>
          <w:sz w:val="20"/>
          <w:szCs w:val="20"/>
        </w:rPr>
      </w:pPr>
      <w:r>
        <w:rPr>
          <w:rFonts w:ascii="楷体" w:hAnsi="楷体" w:eastAsia="楷体" w:cs="楷体"/>
          <w:spacing w:val="16"/>
          <w:sz w:val="20"/>
          <w:szCs w:val="20"/>
        </w:rPr>
        <w:t>2)智慧政府</w:t>
      </w:r>
    </w:p>
    <w:p w14:paraId="6E0A774C">
      <w:pPr>
        <w:pStyle w:val="2"/>
        <w:spacing w:before="69" w:line="280" w:lineRule="auto"/>
        <w:ind w:left="310" w:right="59" w:firstLine="379"/>
        <w:jc w:val="both"/>
        <w:rPr>
          <w:sz w:val="20"/>
          <w:szCs w:val="20"/>
        </w:rPr>
      </w:pPr>
      <w:r>
        <w:rPr>
          <w:spacing w:val="-1"/>
          <w:sz w:val="20"/>
          <w:szCs w:val="20"/>
        </w:rPr>
        <w:t>智慧政府不仅利用物联网、云计算、移动互联网、人工智能、数据挖掘、知识管理等技术，</w:t>
      </w:r>
      <w:r>
        <w:rPr>
          <w:spacing w:val="9"/>
          <w:sz w:val="20"/>
          <w:szCs w:val="20"/>
        </w:rPr>
        <w:t xml:space="preserve"> </w:t>
      </w:r>
      <w:r>
        <w:rPr>
          <w:spacing w:val="3"/>
          <w:sz w:val="20"/>
          <w:szCs w:val="20"/>
        </w:rPr>
        <w:t>还强调以用户创新、大众创新、开放创新、共同创新为特征的创新方法论，提高</w:t>
      </w:r>
      <w:r>
        <w:rPr>
          <w:spacing w:val="2"/>
          <w:sz w:val="20"/>
          <w:szCs w:val="20"/>
        </w:rPr>
        <w:t>政府办公、监</w:t>
      </w:r>
      <w:r>
        <w:rPr>
          <w:sz w:val="20"/>
          <w:szCs w:val="20"/>
        </w:rPr>
        <w:t xml:space="preserve"> </w:t>
      </w:r>
      <w:r>
        <w:rPr>
          <w:spacing w:val="3"/>
          <w:sz w:val="20"/>
          <w:szCs w:val="20"/>
        </w:rPr>
        <w:t>管、服务、决策的智能化水平，形成高效、敏捷、便民的新型政府。智慧政府是电子</w:t>
      </w:r>
      <w:r>
        <w:rPr>
          <w:spacing w:val="2"/>
          <w:sz w:val="20"/>
          <w:szCs w:val="20"/>
        </w:rPr>
        <w:t>政务发展</w:t>
      </w:r>
      <w:r>
        <w:rPr>
          <w:sz w:val="20"/>
          <w:szCs w:val="20"/>
        </w:rPr>
        <w:t xml:space="preserve"> </w:t>
      </w:r>
      <w:r>
        <w:rPr>
          <w:spacing w:val="-3"/>
          <w:sz w:val="20"/>
          <w:szCs w:val="20"/>
        </w:rPr>
        <w:t>的高级阶段，是提高党的执政能力的重要手段。</w:t>
      </w:r>
    </w:p>
    <w:p w14:paraId="76B39D4D">
      <w:pPr>
        <w:spacing w:before="125" w:line="224" w:lineRule="auto"/>
        <w:ind w:left="689"/>
        <w:rPr>
          <w:rFonts w:ascii="楷体" w:hAnsi="楷体" w:eastAsia="楷体" w:cs="楷体"/>
          <w:sz w:val="20"/>
          <w:szCs w:val="20"/>
        </w:rPr>
      </w:pPr>
      <w:r>
        <w:rPr>
          <w:rFonts w:ascii="楷体" w:hAnsi="楷体" w:eastAsia="楷体" w:cs="楷体"/>
          <w:spacing w:val="16"/>
          <w:sz w:val="20"/>
          <w:szCs w:val="20"/>
        </w:rPr>
        <w:t>3)智慧民生</w:t>
      </w:r>
    </w:p>
    <w:p w14:paraId="5D2C6E1D">
      <w:pPr>
        <w:pStyle w:val="2"/>
        <w:spacing w:before="79" w:line="280" w:lineRule="auto"/>
        <w:ind w:left="310" w:firstLine="379"/>
        <w:rPr>
          <w:sz w:val="20"/>
          <w:szCs w:val="20"/>
        </w:rPr>
      </w:pPr>
      <w:r>
        <w:rPr>
          <w:spacing w:val="5"/>
          <w:sz w:val="20"/>
          <w:szCs w:val="20"/>
        </w:rPr>
        <w:t>智慧民生是以民生内容为核心，以民政建设为基础，通过信息资源整合，</w:t>
      </w:r>
      <w:r>
        <w:rPr>
          <w:spacing w:val="4"/>
          <w:sz w:val="20"/>
          <w:szCs w:val="20"/>
        </w:rPr>
        <w:t>优化业务流程，</w:t>
      </w:r>
      <w:r>
        <w:rPr>
          <w:sz w:val="20"/>
          <w:szCs w:val="20"/>
        </w:rPr>
        <w:t xml:space="preserve"> </w:t>
      </w:r>
      <w:r>
        <w:rPr>
          <w:spacing w:val="3"/>
          <w:sz w:val="20"/>
          <w:szCs w:val="20"/>
        </w:rPr>
        <w:t>改进管理方式，转变工作方法，提高工作效率，构建完备的民政信息化建设体系</w:t>
      </w:r>
      <w:r>
        <w:rPr>
          <w:spacing w:val="2"/>
          <w:sz w:val="20"/>
          <w:szCs w:val="20"/>
        </w:rPr>
        <w:t>，使各级政府</w:t>
      </w:r>
      <w:r>
        <w:rPr>
          <w:sz w:val="20"/>
          <w:szCs w:val="20"/>
        </w:rPr>
        <w:t xml:space="preserve">  部门更好地为人民群众提供福利、救助、救灾等社会事务，包括智慧健康服务、智慧养老服务、</w:t>
      </w:r>
      <w:r>
        <w:rPr>
          <w:spacing w:val="8"/>
          <w:sz w:val="20"/>
          <w:szCs w:val="20"/>
        </w:rPr>
        <w:t xml:space="preserve"> </w:t>
      </w:r>
      <w:r>
        <w:rPr>
          <w:spacing w:val="-4"/>
          <w:sz w:val="20"/>
          <w:szCs w:val="20"/>
        </w:rPr>
        <w:t>智慧家居、智慧社区等。</w:t>
      </w:r>
    </w:p>
    <w:p w14:paraId="2B62D923">
      <w:pPr>
        <w:spacing w:before="115" w:line="224" w:lineRule="auto"/>
        <w:ind w:left="689"/>
        <w:rPr>
          <w:rFonts w:ascii="楷体" w:hAnsi="楷体" w:eastAsia="楷体" w:cs="楷体"/>
          <w:sz w:val="20"/>
          <w:szCs w:val="20"/>
        </w:rPr>
      </w:pPr>
      <w:r>
        <w:rPr>
          <w:rFonts w:ascii="楷体" w:hAnsi="楷体" w:eastAsia="楷体" w:cs="楷体"/>
          <w:spacing w:val="15"/>
          <w:sz w:val="20"/>
          <w:szCs w:val="20"/>
        </w:rPr>
        <w:t>4)智慧交通</w:t>
      </w:r>
    </w:p>
    <w:p w14:paraId="026FCE6A">
      <w:pPr>
        <w:pStyle w:val="2"/>
        <w:spacing w:before="50" w:line="285" w:lineRule="auto"/>
        <w:ind w:left="310" w:right="39" w:firstLine="379"/>
        <w:rPr>
          <w:sz w:val="20"/>
          <w:szCs w:val="20"/>
        </w:rPr>
      </w:pPr>
      <w:r>
        <w:rPr>
          <w:spacing w:val="5"/>
          <w:sz w:val="20"/>
          <w:szCs w:val="20"/>
        </w:rPr>
        <w:t>智慧交通是在智能交通系统</w:t>
      </w:r>
      <w:r>
        <w:rPr>
          <w:spacing w:val="-3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Intelligent    Traffic</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ITS</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2"/>
          <w:sz w:val="20"/>
          <w:szCs w:val="20"/>
        </w:rPr>
        <w:t xml:space="preserve"> </w:t>
      </w:r>
      <w:r>
        <w:rPr>
          <w:spacing w:val="5"/>
          <w:sz w:val="20"/>
          <w:szCs w:val="20"/>
        </w:rPr>
        <w:t>的基础上，在交通领域充分</w:t>
      </w:r>
      <w:r>
        <w:rPr>
          <w:sz w:val="20"/>
          <w:szCs w:val="20"/>
        </w:rPr>
        <w:t xml:space="preserve"> </w:t>
      </w:r>
      <w:r>
        <w:rPr>
          <w:spacing w:val="3"/>
          <w:sz w:val="20"/>
          <w:szCs w:val="20"/>
        </w:rPr>
        <w:t>运用物联网、云计算、互联网、人工智能、自动控制、移动互联网等技术，通过高新技术汇集</w:t>
      </w:r>
      <w:r>
        <w:rPr>
          <w:spacing w:val="13"/>
          <w:sz w:val="20"/>
          <w:szCs w:val="20"/>
        </w:rPr>
        <w:t xml:space="preserve"> </w:t>
      </w:r>
      <w:r>
        <w:rPr>
          <w:spacing w:val="3"/>
          <w:sz w:val="20"/>
          <w:szCs w:val="20"/>
        </w:rPr>
        <w:t>交通信息，对交通管理、交通运输、公众出行等交通领域全方位以及交通建设管理全</w:t>
      </w:r>
      <w:r>
        <w:rPr>
          <w:spacing w:val="2"/>
          <w:sz w:val="20"/>
          <w:szCs w:val="20"/>
        </w:rPr>
        <w:t>过程进行</w:t>
      </w:r>
      <w:r>
        <w:rPr>
          <w:sz w:val="20"/>
          <w:szCs w:val="20"/>
        </w:rPr>
        <w:t xml:space="preserve"> </w:t>
      </w:r>
      <w:r>
        <w:rPr>
          <w:spacing w:val="3"/>
          <w:sz w:val="20"/>
          <w:szCs w:val="20"/>
        </w:rPr>
        <w:t xml:space="preserve">管控支撑，使交通系统在区域、城市甚至更大的时空范围具备感知、互连、分析、预测、控制 </w:t>
      </w:r>
      <w:r>
        <w:rPr>
          <w:spacing w:val="4"/>
          <w:sz w:val="20"/>
          <w:szCs w:val="20"/>
        </w:rPr>
        <w:t xml:space="preserve">等能力，以充分保障交通安全，发挥交通基础设施效能，提升交通系统运行效率和管理水平， </w:t>
      </w:r>
      <w:r>
        <w:rPr>
          <w:spacing w:val="-2"/>
          <w:sz w:val="20"/>
          <w:szCs w:val="20"/>
        </w:rPr>
        <w:t>为通畅的公众出行和可持续的经济发展服务。</w:t>
      </w:r>
    </w:p>
    <w:p w14:paraId="777BB5C0">
      <w:pPr>
        <w:spacing w:before="134" w:line="223" w:lineRule="auto"/>
        <w:ind w:left="689"/>
        <w:rPr>
          <w:rFonts w:ascii="楷体" w:hAnsi="楷体" w:eastAsia="楷体" w:cs="楷体"/>
          <w:sz w:val="20"/>
          <w:szCs w:val="20"/>
        </w:rPr>
      </w:pPr>
      <w:r>
        <w:rPr>
          <w:rFonts w:ascii="楷体" w:hAnsi="楷体" w:eastAsia="楷体" w:cs="楷体"/>
          <w:spacing w:val="17"/>
          <w:sz w:val="20"/>
          <w:szCs w:val="20"/>
        </w:rPr>
        <w:t>5)智慧产业</w:t>
      </w:r>
    </w:p>
    <w:p w14:paraId="4907AF70">
      <w:pPr>
        <w:pStyle w:val="2"/>
        <w:spacing w:before="71" w:line="272" w:lineRule="auto"/>
        <w:ind w:left="310" w:right="53" w:firstLine="379"/>
        <w:rPr>
          <w:sz w:val="20"/>
          <w:szCs w:val="20"/>
        </w:rPr>
      </w:pPr>
      <w:r>
        <w:rPr>
          <w:spacing w:val="3"/>
          <w:sz w:val="20"/>
          <w:szCs w:val="20"/>
        </w:rPr>
        <w:t>智慧产业是指直接运用人的智慧进行研发、创造、生产、管理等活</w:t>
      </w:r>
      <w:r>
        <w:rPr>
          <w:spacing w:val="2"/>
          <w:sz w:val="20"/>
          <w:szCs w:val="20"/>
        </w:rPr>
        <w:t>动，形成有形或无形智</w:t>
      </w:r>
      <w:r>
        <w:rPr>
          <w:sz w:val="20"/>
          <w:szCs w:val="20"/>
        </w:rPr>
        <w:t xml:space="preserve"> </w:t>
      </w:r>
      <w:r>
        <w:rPr>
          <w:spacing w:val="-1"/>
          <w:sz w:val="20"/>
          <w:szCs w:val="20"/>
        </w:rPr>
        <w:t>慧产品以满足社会需要的产业，是教育、培训、咨询、策划、广告、设计、软件、动漫、</w:t>
      </w:r>
      <w:r>
        <w:rPr>
          <w:spacing w:val="-2"/>
          <w:sz w:val="20"/>
          <w:szCs w:val="20"/>
        </w:rPr>
        <w:t>影视、</w:t>
      </w:r>
      <w:r>
        <w:rPr>
          <w:sz w:val="20"/>
          <w:szCs w:val="20"/>
        </w:rPr>
        <w:t xml:space="preserve"> </w:t>
      </w:r>
      <w:r>
        <w:rPr>
          <w:spacing w:val="3"/>
          <w:sz w:val="20"/>
          <w:szCs w:val="20"/>
        </w:rPr>
        <w:t>艺术、科学、法律、会计、新闻、出版等智慧行业的集合。智慧产业的主要建设内容包</w:t>
      </w:r>
      <w:r>
        <w:rPr>
          <w:spacing w:val="2"/>
          <w:sz w:val="20"/>
          <w:szCs w:val="20"/>
        </w:rPr>
        <w:t>括智慧</w:t>
      </w:r>
      <w:r>
        <w:rPr>
          <w:sz w:val="20"/>
          <w:szCs w:val="20"/>
        </w:rPr>
        <w:t xml:space="preserve"> </w:t>
      </w:r>
      <w:r>
        <w:rPr>
          <w:spacing w:val="3"/>
          <w:sz w:val="20"/>
          <w:szCs w:val="20"/>
        </w:rPr>
        <w:t>应用技术研发、智慧装备制造、光通信、移动通信、集成电路、新型显示、应用电</w:t>
      </w:r>
      <w:r>
        <w:rPr>
          <w:spacing w:val="2"/>
          <w:sz w:val="20"/>
          <w:szCs w:val="20"/>
        </w:rPr>
        <w:t>子及云计算</w:t>
      </w:r>
      <w:r>
        <w:rPr>
          <w:sz w:val="20"/>
          <w:szCs w:val="20"/>
        </w:rPr>
        <w:t xml:space="preserve"> </w:t>
      </w:r>
      <w:r>
        <w:rPr>
          <w:spacing w:val="-2"/>
          <w:sz w:val="20"/>
          <w:szCs w:val="20"/>
        </w:rPr>
        <w:t>产业等。</w:t>
      </w:r>
    </w:p>
    <w:p w14:paraId="3116ED18">
      <w:pPr>
        <w:spacing w:before="135" w:line="224" w:lineRule="auto"/>
        <w:ind w:left="689"/>
        <w:rPr>
          <w:rFonts w:ascii="楷体" w:hAnsi="楷体" w:eastAsia="楷体" w:cs="楷体"/>
          <w:sz w:val="20"/>
          <w:szCs w:val="20"/>
        </w:rPr>
      </w:pPr>
      <w:r>
        <w:rPr>
          <w:rFonts w:ascii="楷体" w:hAnsi="楷体" w:eastAsia="楷体" w:cs="楷体"/>
          <w:spacing w:val="15"/>
          <w:sz w:val="20"/>
          <w:szCs w:val="20"/>
        </w:rPr>
        <w:t>6)智慧经济</w:t>
      </w:r>
    </w:p>
    <w:p w14:paraId="49D95386">
      <w:pPr>
        <w:pStyle w:val="2"/>
        <w:spacing w:before="62" w:line="219" w:lineRule="auto"/>
        <w:ind w:left="689"/>
        <w:rPr>
          <w:sz w:val="20"/>
          <w:szCs w:val="20"/>
        </w:rPr>
      </w:pPr>
      <w:r>
        <w:rPr>
          <w:spacing w:val="3"/>
          <w:sz w:val="20"/>
          <w:szCs w:val="20"/>
        </w:rPr>
        <w:t>智慧经济是创新性知识在知识中占主导，创意</w:t>
      </w:r>
      <w:r>
        <w:rPr>
          <w:spacing w:val="2"/>
          <w:sz w:val="20"/>
          <w:szCs w:val="20"/>
        </w:rPr>
        <w:t>产业成为龙头产业的知识经济形态，是完整</w:t>
      </w:r>
    </w:p>
    <w:p w14:paraId="7813396C">
      <w:pPr>
        <w:spacing w:line="219" w:lineRule="auto"/>
        <w:rPr>
          <w:sz w:val="20"/>
          <w:szCs w:val="20"/>
        </w:rPr>
        <w:sectPr>
          <w:pgSz w:w="10320" w:h="13420"/>
          <w:pgMar w:top="400" w:right="1069" w:bottom="400" w:left="530" w:header="0" w:footer="0" w:gutter="0"/>
          <w:cols w:space="720" w:num="1"/>
        </w:sectPr>
      </w:pPr>
    </w:p>
    <w:p w14:paraId="083D8314">
      <w:pPr>
        <w:pStyle w:val="2"/>
        <w:spacing w:before="96" w:line="219" w:lineRule="auto"/>
        <w:jc w:val="right"/>
        <w:rPr>
          <w:rFonts w:ascii="Times New Roman" w:hAnsi="Times New Roman" w:eastAsia="Times New Roman" w:cs="Times New Roman"/>
          <w:sz w:val="20"/>
          <w:szCs w:val="20"/>
        </w:rPr>
      </w:pPr>
      <w:r>
        <w:rPr>
          <w:spacing w:val="-2"/>
          <w:sz w:val="20"/>
          <w:szCs w:val="20"/>
        </w:rPr>
        <w:t>第1章 信息与信息化</w:t>
      </w:r>
      <w:r>
        <w:rPr>
          <w:spacing w:val="14"/>
          <w:sz w:val="20"/>
          <w:szCs w:val="20"/>
        </w:rPr>
        <w:t xml:space="preserve">      </w:t>
      </w:r>
      <w:r>
        <w:rPr>
          <w:rFonts w:ascii="Times New Roman" w:hAnsi="Times New Roman" w:eastAsia="Times New Roman" w:cs="Times New Roman"/>
          <w:spacing w:val="-2"/>
          <w:sz w:val="20"/>
          <w:szCs w:val="20"/>
        </w:rPr>
        <w:t>39</w:t>
      </w:r>
    </w:p>
    <w:p w14:paraId="7C5726DE">
      <w:pPr>
        <w:spacing w:line="307" w:lineRule="auto"/>
        <w:rPr>
          <w:rFonts w:ascii="Arial"/>
          <w:sz w:val="21"/>
        </w:rPr>
      </w:pPr>
    </w:p>
    <w:p w14:paraId="6BE4C6D1">
      <w:pPr>
        <w:pStyle w:val="2"/>
        <w:spacing w:before="65" w:line="282" w:lineRule="auto"/>
        <w:ind w:right="286"/>
        <w:rPr>
          <w:sz w:val="20"/>
          <w:szCs w:val="20"/>
        </w:rPr>
      </w:pPr>
      <w:r>
        <w:rPr>
          <w:spacing w:val="3"/>
          <w:sz w:val="20"/>
          <w:szCs w:val="20"/>
        </w:rPr>
        <w:t>的、真正意义上的知识经济形态。智慧经济形态由国民创新体系与国民创</w:t>
      </w:r>
      <w:r>
        <w:rPr>
          <w:spacing w:val="2"/>
          <w:sz w:val="20"/>
          <w:szCs w:val="20"/>
        </w:rPr>
        <w:t>业体系组成，国民创</w:t>
      </w:r>
      <w:r>
        <w:rPr>
          <w:sz w:val="20"/>
          <w:szCs w:val="20"/>
        </w:rPr>
        <w:t xml:space="preserve"> </w:t>
      </w:r>
      <w:r>
        <w:rPr>
          <w:spacing w:val="-2"/>
          <w:sz w:val="20"/>
          <w:szCs w:val="20"/>
        </w:rPr>
        <w:t>新体系与国民创业体系使创新驱动由增长方式上升为经济形态。</w:t>
      </w:r>
    </w:p>
    <w:p w14:paraId="7E753FFB">
      <w:pPr>
        <w:pStyle w:val="2"/>
        <w:spacing w:before="94" w:line="222" w:lineRule="auto"/>
        <w:ind w:left="412"/>
        <w:rPr>
          <w:rFonts w:ascii="黑体" w:hAnsi="黑体" w:eastAsia="黑体" w:cs="黑体"/>
          <w:sz w:val="20"/>
          <w:szCs w:val="20"/>
        </w:rPr>
      </w:pPr>
      <w:r>
        <w:rPr>
          <w:b/>
          <w:bCs/>
          <w:color w:val="0052BE"/>
          <w:spacing w:val="-4"/>
          <w:sz w:val="20"/>
          <w:szCs w:val="20"/>
        </w:rPr>
        <w:t>5.</w:t>
      </w:r>
      <w:r>
        <w:rPr>
          <w:rFonts w:ascii="黑体" w:hAnsi="黑体" w:eastAsia="黑体" w:cs="黑体"/>
          <w:b/>
          <w:bCs/>
          <w:color w:val="0052BE"/>
          <w:spacing w:val="-4"/>
          <w:sz w:val="20"/>
          <w:szCs w:val="20"/>
        </w:rPr>
        <w:t>智慧城市建设管理</w:t>
      </w:r>
    </w:p>
    <w:p w14:paraId="5B41E05C">
      <w:pPr>
        <w:pStyle w:val="2"/>
        <w:spacing w:before="152" w:line="219" w:lineRule="auto"/>
        <w:ind w:left="409"/>
        <w:rPr>
          <w:sz w:val="20"/>
          <w:szCs w:val="20"/>
        </w:rPr>
      </w:pPr>
      <w:r>
        <w:rPr>
          <w:spacing w:val="-3"/>
          <w:sz w:val="20"/>
          <w:szCs w:val="20"/>
        </w:rPr>
        <w:t>智慧城市建设管理主要包括以下几个方面。</w:t>
      </w:r>
    </w:p>
    <w:p w14:paraId="744C88F7">
      <w:pPr>
        <w:pStyle w:val="2"/>
        <w:spacing w:before="71" w:line="273" w:lineRule="auto"/>
        <w:ind w:right="201" w:firstLine="409"/>
        <w:rPr>
          <w:sz w:val="20"/>
          <w:szCs w:val="20"/>
        </w:rPr>
      </w:pPr>
      <w:r>
        <w:rPr>
          <w:spacing w:val="5"/>
          <w:sz w:val="20"/>
          <w:szCs w:val="20"/>
        </w:rPr>
        <w:t>(1)加强组织领导。智慧城市平台建设牵涉面广、涉及部门多、社会面情况复杂，必须强</w:t>
      </w:r>
      <w:r>
        <w:rPr>
          <w:spacing w:val="18"/>
          <w:sz w:val="20"/>
          <w:szCs w:val="20"/>
        </w:rPr>
        <w:t xml:space="preserve"> </w:t>
      </w:r>
      <w:r>
        <w:rPr>
          <w:sz w:val="20"/>
          <w:szCs w:val="20"/>
        </w:rPr>
        <w:t xml:space="preserve">化组织机制。可通过成立智慧城市建设工作领导小组，由市委、市政府主管领导担任主要领导， </w:t>
      </w:r>
      <w:r>
        <w:rPr>
          <w:spacing w:val="3"/>
          <w:sz w:val="20"/>
          <w:szCs w:val="20"/>
        </w:rPr>
        <w:t>会同发改、住建、公安、应急、工信、自然资源管理、交通管理、地方智慧</w:t>
      </w:r>
      <w:r>
        <w:rPr>
          <w:spacing w:val="2"/>
          <w:sz w:val="20"/>
          <w:szCs w:val="20"/>
        </w:rPr>
        <w:t>建设主管单位等与</w:t>
      </w:r>
      <w:r>
        <w:rPr>
          <w:sz w:val="20"/>
          <w:szCs w:val="20"/>
        </w:rPr>
        <w:t xml:space="preserve">  </w:t>
      </w:r>
      <w:r>
        <w:rPr>
          <w:spacing w:val="3"/>
          <w:sz w:val="20"/>
          <w:szCs w:val="20"/>
        </w:rPr>
        <w:t>智慧城市建设相关的主要部门共同成立领导小组，健全管理制度，明确责任人、时间表、路线</w:t>
      </w:r>
      <w:r>
        <w:rPr>
          <w:spacing w:val="9"/>
          <w:sz w:val="20"/>
          <w:szCs w:val="20"/>
        </w:rPr>
        <w:t xml:space="preserve"> </w:t>
      </w:r>
      <w:r>
        <w:rPr>
          <w:spacing w:val="-2"/>
          <w:sz w:val="20"/>
          <w:szCs w:val="20"/>
        </w:rPr>
        <w:t>图，建立工作考核机制，加强工作指导和检查督促，加强统筹谋划和组织推动。</w:t>
      </w:r>
    </w:p>
    <w:p w14:paraId="2B6F91BF">
      <w:pPr>
        <w:pStyle w:val="2"/>
        <w:spacing w:before="103" w:line="273" w:lineRule="auto"/>
        <w:ind w:right="291" w:firstLine="409"/>
        <w:rPr>
          <w:sz w:val="20"/>
          <w:szCs w:val="20"/>
        </w:rPr>
      </w:pPr>
      <w:r>
        <w:rPr>
          <w:spacing w:val="5"/>
          <w:sz w:val="20"/>
          <w:szCs w:val="20"/>
        </w:rPr>
        <w:t>(2)加强协同配合。明确各部门职责，由领导小组主要负责总体规划，为业务系统</w:t>
      </w:r>
      <w:r>
        <w:rPr>
          <w:spacing w:val="4"/>
          <w:sz w:val="20"/>
          <w:szCs w:val="20"/>
        </w:rPr>
        <w:t>建设提</w:t>
      </w:r>
      <w:r>
        <w:rPr>
          <w:sz w:val="20"/>
          <w:szCs w:val="20"/>
        </w:rPr>
        <w:t xml:space="preserve"> </w:t>
      </w:r>
      <w:r>
        <w:rPr>
          <w:spacing w:val="3"/>
          <w:sz w:val="20"/>
          <w:szCs w:val="20"/>
        </w:rPr>
        <w:t>供管理、技术支撑，统筹规划，加强技术指导和综合管理</w:t>
      </w:r>
      <w:r>
        <w:rPr>
          <w:spacing w:val="2"/>
          <w:sz w:val="20"/>
          <w:szCs w:val="20"/>
        </w:rPr>
        <w:t>；结合智慧城市建设牵涉到的城市建</w:t>
      </w:r>
      <w:r>
        <w:rPr>
          <w:sz w:val="20"/>
          <w:szCs w:val="20"/>
        </w:rPr>
        <w:t xml:space="preserve"> </w:t>
      </w:r>
      <w:r>
        <w:rPr>
          <w:spacing w:val="3"/>
          <w:sz w:val="20"/>
          <w:szCs w:val="20"/>
        </w:rPr>
        <w:t>设主要企业、城市建设投资公司、主要公共基础设施建设单位</w:t>
      </w:r>
      <w:r>
        <w:rPr>
          <w:spacing w:val="2"/>
          <w:sz w:val="20"/>
          <w:szCs w:val="20"/>
        </w:rPr>
        <w:t>等形成智慧城市建设协同单位及</w:t>
      </w:r>
      <w:r>
        <w:rPr>
          <w:sz w:val="20"/>
          <w:szCs w:val="20"/>
        </w:rPr>
        <w:t xml:space="preserve"> </w:t>
      </w:r>
      <w:r>
        <w:rPr>
          <w:spacing w:val="3"/>
          <w:sz w:val="20"/>
          <w:szCs w:val="20"/>
        </w:rPr>
        <w:t>单位管理机制，加强在智慧城市平台建设中所需要的基础</w:t>
      </w:r>
      <w:r>
        <w:rPr>
          <w:spacing w:val="2"/>
          <w:sz w:val="20"/>
          <w:szCs w:val="20"/>
        </w:rPr>
        <w:t>设施、信息采集、现有信息互通共享</w:t>
      </w:r>
      <w:r>
        <w:rPr>
          <w:sz w:val="20"/>
          <w:szCs w:val="20"/>
        </w:rPr>
        <w:t xml:space="preserve"> </w:t>
      </w:r>
      <w:r>
        <w:rPr>
          <w:spacing w:val="-5"/>
          <w:sz w:val="20"/>
          <w:szCs w:val="20"/>
        </w:rPr>
        <w:t>等方面的合作。</w:t>
      </w:r>
    </w:p>
    <w:p w14:paraId="3D2BE240">
      <w:pPr>
        <w:pStyle w:val="2"/>
        <w:spacing w:before="92" w:line="275" w:lineRule="auto"/>
        <w:ind w:right="190" w:firstLine="409"/>
        <w:rPr>
          <w:sz w:val="20"/>
          <w:szCs w:val="20"/>
        </w:rPr>
      </w:pPr>
      <w:r>
        <w:rPr>
          <w:spacing w:val="5"/>
          <w:sz w:val="20"/>
          <w:szCs w:val="20"/>
        </w:rPr>
        <w:t>(3)加强建设管理及资金保障。持续高度重视信息化配套制度机制建设，为智慧城</w:t>
      </w:r>
      <w:r>
        <w:rPr>
          <w:spacing w:val="4"/>
          <w:sz w:val="20"/>
          <w:szCs w:val="20"/>
        </w:rPr>
        <w:t>市快速</w:t>
      </w:r>
      <w:r>
        <w:rPr>
          <w:sz w:val="20"/>
          <w:szCs w:val="20"/>
        </w:rPr>
        <w:t xml:space="preserve">  </w:t>
      </w:r>
      <w:r>
        <w:rPr>
          <w:spacing w:val="3"/>
          <w:sz w:val="20"/>
          <w:szCs w:val="20"/>
        </w:rPr>
        <w:t>推进提供坚强保障。强化资金保障，积极争取财政资金支持，保障项目顺利实施，将建设经费</w:t>
      </w:r>
      <w:r>
        <w:rPr>
          <w:spacing w:val="8"/>
          <w:sz w:val="20"/>
          <w:szCs w:val="20"/>
        </w:rPr>
        <w:t xml:space="preserve"> </w:t>
      </w:r>
      <w:r>
        <w:rPr>
          <w:spacing w:val="3"/>
          <w:sz w:val="20"/>
          <w:szCs w:val="20"/>
        </w:rPr>
        <w:t>列入财政预算，把建设分步分级、重点工程纳入优先投资领</w:t>
      </w:r>
      <w:r>
        <w:rPr>
          <w:spacing w:val="2"/>
          <w:sz w:val="20"/>
          <w:szCs w:val="20"/>
        </w:rPr>
        <w:t>域，确保规划中的重点任务顺利实</w:t>
      </w:r>
      <w:r>
        <w:rPr>
          <w:sz w:val="20"/>
          <w:szCs w:val="20"/>
        </w:rPr>
        <w:t xml:space="preserve">  </w:t>
      </w:r>
      <w:r>
        <w:rPr>
          <w:spacing w:val="3"/>
          <w:sz w:val="20"/>
          <w:szCs w:val="20"/>
        </w:rPr>
        <w:t>施落地；规范项目管理，理清组织管理与流程管理制度，完善项</w:t>
      </w:r>
      <w:r>
        <w:rPr>
          <w:spacing w:val="2"/>
          <w:sz w:val="20"/>
          <w:szCs w:val="20"/>
        </w:rPr>
        <w:t>目建设组织机构，指导和规范</w:t>
      </w:r>
      <w:r>
        <w:rPr>
          <w:sz w:val="20"/>
          <w:szCs w:val="20"/>
        </w:rPr>
        <w:t xml:space="preserve">  </w:t>
      </w:r>
      <w:r>
        <w:rPr>
          <w:spacing w:val="1"/>
          <w:sz w:val="20"/>
          <w:szCs w:val="20"/>
        </w:rPr>
        <w:t>城市信息模型</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City</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Information</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Modeling</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CIM</w:t>
      </w:r>
      <w:r>
        <w:rPr>
          <w:rFonts w:ascii="Times New Roman" w:hAnsi="Times New Roman" w:eastAsia="Times New Roman" w:cs="Times New Roman"/>
          <w:spacing w:val="1"/>
          <w:sz w:val="20"/>
          <w:szCs w:val="20"/>
        </w:rPr>
        <w:t xml:space="preserve">) </w:t>
      </w:r>
      <w:r>
        <w:rPr>
          <w:spacing w:val="1"/>
          <w:sz w:val="20"/>
          <w:szCs w:val="20"/>
        </w:rPr>
        <w:t>建设的高效</w:t>
      </w:r>
      <w:r>
        <w:rPr>
          <w:sz w:val="20"/>
          <w:szCs w:val="20"/>
        </w:rPr>
        <w:t xml:space="preserve">高质开展；积极指导督促，高要求、 </w:t>
      </w:r>
      <w:r>
        <w:rPr>
          <w:spacing w:val="-3"/>
          <w:sz w:val="20"/>
          <w:szCs w:val="20"/>
        </w:rPr>
        <w:t>高标准、高质量推动全市各区建设及应用。</w:t>
      </w:r>
    </w:p>
    <w:p w14:paraId="1383A4D0">
      <w:pPr>
        <w:pStyle w:val="2"/>
        <w:spacing w:before="92" w:line="267" w:lineRule="auto"/>
        <w:ind w:right="290" w:firstLine="409"/>
        <w:rPr>
          <w:sz w:val="20"/>
          <w:szCs w:val="20"/>
        </w:rPr>
      </w:pPr>
      <w:r>
        <w:rPr>
          <w:sz w:val="20"/>
          <w:szCs w:val="20"/>
        </w:rPr>
        <w:t xml:space="preserve">(4)依法建设强化安全保障。根据《中华人民共和国网络安全法》《中华人民共和国数据安 </w:t>
      </w:r>
      <w:r>
        <w:rPr>
          <w:spacing w:val="-2"/>
          <w:sz w:val="20"/>
          <w:szCs w:val="20"/>
        </w:rPr>
        <w:t>全法》《电子政务网安全管理规范》等法律法规及相关规定，开展智慧城市</w:t>
      </w:r>
      <w:r>
        <w:rPr>
          <w:spacing w:val="-3"/>
          <w:sz w:val="20"/>
          <w:szCs w:val="20"/>
        </w:rPr>
        <w:t>平台安全防护体系建</w:t>
      </w:r>
      <w:r>
        <w:rPr>
          <w:sz w:val="20"/>
          <w:szCs w:val="20"/>
        </w:rPr>
        <w:t xml:space="preserve"> </w:t>
      </w:r>
      <w:r>
        <w:rPr>
          <w:spacing w:val="-2"/>
          <w:sz w:val="20"/>
          <w:szCs w:val="20"/>
        </w:rPr>
        <w:t>设，建立完善项目安全保障体系，切实保障项目安全、稳定运行。</w:t>
      </w:r>
    </w:p>
    <w:p w14:paraId="47B32432">
      <w:pPr>
        <w:pStyle w:val="2"/>
        <w:spacing w:before="230" w:line="219" w:lineRule="auto"/>
        <w:ind w:left="2"/>
        <w:rPr>
          <w:sz w:val="25"/>
          <w:szCs w:val="25"/>
        </w:rPr>
      </w:pPr>
      <w:r>
        <w:rPr>
          <w:b/>
          <w:bCs/>
          <w:color w:val="0055D7"/>
          <w:spacing w:val="-18"/>
          <w:sz w:val="25"/>
          <w:szCs w:val="25"/>
        </w:rPr>
        <w:t>1.4.4</w:t>
      </w:r>
      <w:r>
        <w:rPr>
          <w:color w:val="0055D7"/>
          <w:spacing w:val="-18"/>
          <w:sz w:val="25"/>
          <w:szCs w:val="25"/>
        </w:rPr>
        <w:t xml:space="preserve">  </w:t>
      </w:r>
      <w:r>
        <w:rPr>
          <w:b/>
          <w:bCs/>
          <w:color w:val="0055D7"/>
          <w:spacing w:val="-18"/>
          <w:sz w:val="25"/>
          <w:szCs w:val="25"/>
        </w:rPr>
        <w:t>数字乡村</w:t>
      </w:r>
    </w:p>
    <w:p w14:paraId="7ED3CB79">
      <w:pPr>
        <w:pStyle w:val="2"/>
        <w:spacing w:before="157" w:line="279" w:lineRule="auto"/>
        <w:ind w:right="271" w:firstLine="409"/>
        <w:jc w:val="both"/>
        <w:rPr>
          <w:sz w:val="20"/>
          <w:szCs w:val="20"/>
        </w:rPr>
      </w:pPr>
      <w:r>
        <w:rPr>
          <w:spacing w:val="3"/>
          <w:sz w:val="20"/>
          <w:szCs w:val="20"/>
        </w:rPr>
        <w:t>随着中国经济社会的发展和城镇化的推进，城乡融合发展所</w:t>
      </w:r>
      <w:r>
        <w:rPr>
          <w:spacing w:val="2"/>
          <w:sz w:val="20"/>
          <w:szCs w:val="20"/>
        </w:rPr>
        <w:t>带来的问题逐渐显露，城市资</w:t>
      </w:r>
      <w:r>
        <w:rPr>
          <w:sz w:val="20"/>
          <w:szCs w:val="20"/>
        </w:rPr>
        <w:t xml:space="preserve"> </w:t>
      </w:r>
      <w:r>
        <w:rPr>
          <w:spacing w:val="5"/>
          <w:sz w:val="20"/>
          <w:szCs w:val="20"/>
        </w:rPr>
        <w:t xml:space="preserve">源相对集中，而农村资源相对匮乏。国务院出台“互联网+农业”和农村发展战略，目的在于 </w:t>
      </w:r>
      <w:r>
        <w:rPr>
          <w:spacing w:val="3"/>
          <w:sz w:val="20"/>
          <w:szCs w:val="20"/>
        </w:rPr>
        <w:t>促进一、二、三产业融合发展。建设“数字乡村”的目的是进一步破解当前城乡二元结构，释</w:t>
      </w:r>
      <w:r>
        <w:rPr>
          <w:spacing w:val="5"/>
          <w:sz w:val="20"/>
          <w:szCs w:val="20"/>
        </w:rPr>
        <w:t xml:space="preserve"> </w:t>
      </w:r>
      <w:r>
        <w:rPr>
          <w:spacing w:val="-2"/>
          <w:sz w:val="20"/>
          <w:szCs w:val="20"/>
        </w:rPr>
        <w:t>放农村发展潜力和活力，促进城乡一体化协同发展。</w:t>
      </w:r>
    </w:p>
    <w:p w14:paraId="6D4A135E">
      <w:pPr>
        <w:pStyle w:val="2"/>
        <w:spacing w:before="116" w:line="222" w:lineRule="auto"/>
        <w:ind w:left="412"/>
        <w:rPr>
          <w:rFonts w:ascii="黑体" w:hAnsi="黑体" w:eastAsia="黑体" w:cs="黑体"/>
          <w:sz w:val="20"/>
          <w:szCs w:val="20"/>
        </w:rPr>
      </w:pPr>
      <w:r>
        <w:rPr>
          <w:b/>
          <w:bCs/>
          <w:color w:val="005FDC"/>
          <w:spacing w:val="-2"/>
          <w:sz w:val="20"/>
          <w:szCs w:val="20"/>
        </w:rPr>
        <w:t>1.</w:t>
      </w:r>
      <w:r>
        <w:rPr>
          <w:rFonts w:ascii="黑体" w:hAnsi="黑体" w:eastAsia="黑体" w:cs="黑体"/>
          <w:b/>
          <w:bCs/>
          <w:color w:val="005FDC"/>
          <w:spacing w:val="-2"/>
          <w:sz w:val="20"/>
          <w:szCs w:val="20"/>
        </w:rPr>
        <w:t>数字乡村的定义</w:t>
      </w:r>
    </w:p>
    <w:p w14:paraId="691C09C6">
      <w:pPr>
        <w:pStyle w:val="2"/>
        <w:spacing w:before="122" w:line="281" w:lineRule="auto"/>
        <w:ind w:right="201" w:firstLine="409"/>
        <w:jc w:val="both"/>
        <w:rPr>
          <w:sz w:val="20"/>
          <w:szCs w:val="20"/>
        </w:rPr>
      </w:pPr>
      <w:r>
        <w:rPr>
          <w:spacing w:val="2"/>
          <w:sz w:val="20"/>
          <w:szCs w:val="20"/>
        </w:rPr>
        <w:t>数字乡村就是在农村普及数字化、信息化的各种发展模式。</w:t>
      </w:r>
      <w:r>
        <w:rPr>
          <w:spacing w:val="-30"/>
          <w:sz w:val="20"/>
          <w:szCs w:val="20"/>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pacing w:val="2"/>
          <w:sz w:val="20"/>
          <w:szCs w:val="20"/>
        </w:rPr>
        <w:t>33/</w:t>
      </w:r>
      <w:r>
        <w:rPr>
          <w:rFonts w:ascii="Times New Roman" w:hAnsi="Times New Roman" w:eastAsia="Times New Roman" w:cs="Times New Roman"/>
          <w:spacing w:val="1"/>
          <w:sz w:val="20"/>
          <w:szCs w:val="20"/>
        </w:rPr>
        <w:t>T  2350</w:t>
      </w:r>
      <w:r>
        <w:rPr>
          <w:spacing w:val="1"/>
          <w:sz w:val="20"/>
          <w:szCs w:val="20"/>
        </w:rPr>
        <w:t>《数字化改革术</w:t>
      </w:r>
      <w:r>
        <w:rPr>
          <w:sz w:val="20"/>
          <w:szCs w:val="20"/>
        </w:rPr>
        <w:t xml:space="preserve">  </w:t>
      </w:r>
      <w:r>
        <w:rPr>
          <w:spacing w:val="3"/>
          <w:sz w:val="20"/>
          <w:szCs w:val="20"/>
        </w:rPr>
        <w:t>语定义》中将数字乡村定义为：按照乡村振兴产业兴旺、生</w:t>
      </w:r>
      <w:r>
        <w:rPr>
          <w:spacing w:val="2"/>
          <w:sz w:val="20"/>
          <w:szCs w:val="20"/>
        </w:rPr>
        <w:t>态宜居、乡风文明、治理有效、生</w:t>
      </w:r>
      <w:r>
        <w:rPr>
          <w:sz w:val="20"/>
          <w:szCs w:val="20"/>
        </w:rPr>
        <w:t xml:space="preserve">  活富裕的总体要求，广泛应用网络化、信息化和数字化技术，着力促进乡村产业、人才、文化、 </w:t>
      </w:r>
      <w:r>
        <w:rPr>
          <w:spacing w:val="3"/>
          <w:sz w:val="20"/>
          <w:szCs w:val="20"/>
        </w:rPr>
        <w:t xml:space="preserve">生态、组织等领域数字化转型，建成数据互联互通、服务共建共享、治理高效有力的智能化乡 </w:t>
      </w:r>
      <w:r>
        <w:rPr>
          <w:spacing w:val="-3"/>
          <w:sz w:val="20"/>
          <w:szCs w:val="20"/>
        </w:rPr>
        <w:t>村生产、生活、生态空间。</w:t>
      </w:r>
    </w:p>
    <w:p w14:paraId="090F7413">
      <w:pPr>
        <w:spacing w:line="281" w:lineRule="auto"/>
        <w:rPr>
          <w:sz w:val="20"/>
          <w:szCs w:val="20"/>
        </w:rPr>
        <w:sectPr>
          <w:pgSz w:w="10300" w:h="13300"/>
          <w:pgMar w:top="400" w:right="588" w:bottom="400" w:left="1110" w:header="0" w:footer="0" w:gutter="0"/>
          <w:cols w:space="720" w:num="1"/>
        </w:sectPr>
      </w:pPr>
    </w:p>
    <w:p w14:paraId="75984947">
      <w:pPr>
        <w:pStyle w:val="2"/>
        <w:spacing w:before="108" w:line="219" w:lineRule="auto"/>
        <w:rPr>
          <w:sz w:val="20"/>
          <w:szCs w:val="20"/>
        </w:rPr>
      </w:pPr>
      <w:r>
        <w:rPr>
          <w:rFonts w:ascii="Times New Roman" w:hAnsi="Times New Roman" w:eastAsia="Times New Roman" w:cs="Times New Roman"/>
          <w:spacing w:val="-4"/>
          <w:position w:val="1"/>
          <w:sz w:val="20"/>
          <w:szCs w:val="20"/>
        </w:rPr>
        <w:t>40</w:t>
      </w:r>
      <w:r>
        <w:rPr>
          <w:rFonts w:ascii="Times New Roman" w:hAnsi="Times New Roman" w:eastAsia="Times New Roman" w:cs="Times New Roman"/>
          <w:spacing w:val="2"/>
          <w:position w:val="1"/>
          <w:sz w:val="20"/>
          <w:szCs w:val="20"/>
        </w:rPr>
        <w:t xml:space="preserve">              </w:t>
      </w:r>
      <w:r>
        <w:rPr>
          <w:spacing w:val="-4"/>
          <w:sz w:val="20"/>
          <w:szCs w:val="20"/>
        </w:rPr>
        <w:t>信息系统监理师教程(第2版)</w:t>
      </w:r>
    </w:p>
    <w:p w14:paraId="37EC6316">
      <w:pPr>
        <w:spacing w:line="321" w:lineRule="auto"/>
        <w:rPr>
          <w:rFonts w:ascii="Arial"/>
          <w:sz w:val="21"/>
        </w:rPr>
      </w:pPr>
    </w:p>
    <w:p w14:paraId="380B1D70">
      <w:pPr>
        <w:pStyle w:val="2"/>
        <w:spacing w:before="65" w:line="221" w:lineRule="auto"/>
        <w:ind w:left="702"/>
        <w:rPr>
          <w:rFonts w:ascii="黑体" w:hAnsi="黑体" w:eastAsia="黑体" w:cs="黑体"/>
          <w:sz w:val="20"/>
          <w:szCs w:val="20"/>
        </w:rPr>
      </w:pPr>
      <w:r>
        <w:rPr>
          <w:b/>
          <w:bCs/>
          <w:color w:val="0083E8"/>
          <w:spacing w:val="-3"/>
          <w:sz w:val="20"/>
          <w:szCs w:val="20"/>
        </w:rPr>
        <w:t>2.</w:t>
      </w:r>
      <w:r>
        <w:rPr>
          <w:rFonts w:ascii="黑体" w:hAnsi="黑体" w:eastAsia="黑体" w:cs="黑体"/>
          <w:b/>
          <w:bCs/>
          <w:color w:val="0083E8"/>
          <w:spacing w:val="-3"/>
          <w:sz w:val="20"/>
          <w:szCs w:val="20"/>
        </w:rPr>
        <w:t>数字乡村的演进</w:t>
      </w:r>
    </w:p>
    <w:p w14:paraId="423960F8">
      <w:pPr>
        <w:pStyle w:val="2"/>
        <w:spacing w:before="158" w:line="284" w:lineRule="auto"/>
        <w:ind w:left="200" w:firstLine="500"/>
        <w:jc w:val="both"/>
        <w:rPr>
          <w:sz w:val="20"/>
          <w:szCs w:val="20"/>
        </w:rPr>
      </w:pPr>
      <w:r>
        <w:rPr>
          <w:spacing w:val="8"/>
          <w:sz w:val="20"/>
          <w:szCs w:val="20"/>
        </w:rPr>
        <w:t>2017年10月18日，在党的十九大报告中，首次提出</w:t>
      </w:r>
      <w:r>
        <w:rPr>
          <w:spacing w:val="7"/>
          <w:sz w:val="20"/>
          <w:szCs w:val="20"/>
        </w:rPr>
        <w:t>了实施乡村振兴战略。报告指出，农</w:t>
      </w:r>
      <w:r>
        <w:rPr>
          <w:sz w:val="20"/>
          <w:szCs w:val="20"/>
        </w:rPr>
        <w:t xml:space="preserve"> </w:t>
      </w:r>
      <w:r>
        <w:rPr>
          <w:spacing w:val="5"/>
          <w:sz w:val="20"/>
          <w:szCs w:val="20"/>
        </w:rPr>
        <w:t>业农村农民问题是关系国计民生的根本性问题，必须始终把解决好“三农”问题作为全党工作</w:t>
      </w:r>
      <w:r>
        <w:rPr>
          <w:spacing w:val="17"/>
          <w:sz w:val="20"/>
          <w:szCs w:val="20"/>
        </w:rPr>
        <w:t xml:space="preserve"> </w:t>
      </w:r>
      <w:r>
        <w:rPr>
          <w:spacing w:val="3"/>
          <w:sz w:val="20"/>
          <w:szCs w:val="20"/>
        </w:rPr>
        <w:t>的重中之重，实施乡村振兴战略。2019年3月，习近平总书记在参</w:t>
      </w:r>
      <w:r>
        <w:rPr>
          <w:spacing w:val="2"/>
          <w:sz w:val="20"/>
          <w:szCs w:val="20"/>
        </w:rPr>
        <w:t>加河南代表团审议时强调“要</w:t>
      </w:r>
      <w:r>
        <w:rPr>
          <w:sz w:val="20"/>
          <w:szCs w:val="20"/>
        </w:rPr>
        <w:t xml:space="preserve"> </w:t>
      </w:r>
      <w:r>
        <w:rPr>
          <w:spacing w:val="3"/>
          <w:sz w:val="20"/>
          <w:szCs w:val="20"/>
        </w:rPr>
        <w:t>把实施乡村振兴战略、做好“三农”工作放在经济社会发展全局中统筹谋划和推进”,</w:t>
      </w:r>
      <w:r>
        <w:rPr>
          <w:spacing w:val="2"/>
          <w:sz w:val="20"/>
          <w:szCs w:val="20"/>
        </w:rPr>
        <w:t>充分彰显</w:t>
      </w:r>
      <w:r>
        <w:rPr>
          <w:sz w:val="20"/>
          <w:szCs w:val="20"/>
        </w:rPr>
        <w:t xml:space="preserve"> </w:t>
      </w:r>
      <w:r>
        <w:rPr>
          <w:spacing w:val="5"/>
          <w:sz w:val="20"/>
          <w:szCs w:val="20"/>
        </w:rPr>
        <w:t>了实施乡村振兴战略这一做好新时代“三农”工作总抓手的重要性和紧迫性。</w:t>
      </w:r>
      <w:r>
        <w:rPr>
          <w:spacing w:val="4"/>
          <w:sz w:val="20"/>
          <w:szCs w:val="20"/>
        </w:rPr>
        <w:t>在推动乡村振兴</w:t>
      </w:r>
      <w:r>
        <w:rPr>
          <w:sz w:val="20"/>
          <w:szCs w:val="20"/>
        </w:rPr>
        <w:t xml:space="preserve"> </w:t>
      </w:r>
      <w:r>
        <w:rPr>
          <w:spacing w:val="5"/>
          <w:sz w:val="20"/>
          <w:szCs w:val="20"/>
        </w:rPr>
        <w:t>的进程中，建设数字乡村既是乡村振兴的战略方向，也是建设数字中国的重要内容。数字经济</w:t>
      </w:r>
      <w:r>
        <w:rPr>
          <w:spacing w:val="12"/>
          <w:sz w:val="20"/>
          <w:szCs w:val="20"/>
        </w:rPr>
        <w:t xml:space="preserve"> </w:t>
      </w:r>
      <w:r>
        <w:rPr>
          <w:spacing w:val="8"/>
          <w:sz w:val="20"/>
          <w:szCs w:val="20"/>
        </w:rPr>
        <w:t>能为经济社会发展提供强大动力，也能为我国乡村振兴战略的顺利实施注入新动能。20</w:t>
      </w:r>
      <w:r>
        <w:rPr>
          <w:spacing w:val="7"/>
          <w:sz w:val="20"/>
          <w:szCs w:val="20"/>
        </w:rPr>
        <w:t>20年7</w:t>
      </w:r>
      <w:r>
        <w:rPr>
          <w:sz w:val="20"/>
          <w:szCs w:val="20"/>
        </w:rPr>
        <w:t xml:space="preserve"> </w:t>
      </w:r>
      <w:r>
        <w:rPr>
          <w:spacing w:val="5"/>
          <w:sz w:val="20"/>
          <w:szCs w:val="20"/>
        </w:rPr>
        <w:t>月，中央网信办等四部门联合印发的《2020年数字乡村发展工作要点</w:t>
      </w:r>
      <w:r>
        <w:rPr>
          <w:spacing w:val="4"/>
          <w:sz w:val="20"/>
          <w:szCs w:val="20"/>
        </w:rPr>
        <w:t>》提出了数字乡村建设的</w:t>
      </w:r>
      <w:r>
        <w:rPr>
          <w:sz w:val="20"/>
          <w:szCs w:val="20"/>
        </w:rPr>
        <w:t xml:space="preserve"> </w:t>
      </w:r>
      <w:r>
        <w:rPr>
          <w:spacing w:val="8"/>
          <w:sz w:val="20"/>
          <w:szCs w:val="20"/>
        </w:rPr>
        <w:t>8个方面及22项重点任务。2021年发布的国家“十四五”规</w:t>
      </w:r>
      <w:r>
        <w:rPr>
          <w:spacing w:val="7"/>
          <w:sz w:val="20"/>
          <w:szCs w:val="20"/>
        </w:rPr>
        <w:t>划强调要“建设智慧城市，加快推</w:t>
      </w:r>
      <w:r>
        <w:rPr>
          <w:sz w:val="20"/>
          <w:szCs w:val="20"/>
        </w:rPr>
        <w:t xml:space="preserve"> </w:t>
      </w:r>
      <w:r>
        <w:rPr>
          <w:spacing w:val="7"/>
          <w:sz w:val="20"/>
          <w:szCs w:val="20"/>
        </w:rPr>
        <w:t>进数字乡村建设”,为数字乡村的建设和发展指明了方向。2022年，中央网信办等十部门印发</w:t>
      </w:r>
      <w:r>
        <w:rPr>
          <w:spacing w:val="16"/>
          <w:sz w:val="20"/>
          <w:szCs w:val="20"/>
        </w:rPr>
        <w:t xml:space="preserve"> </w:t>
      </w:r>
      <w:r>
        <w:rPr>
          <w:spacing w:val="7"/>
          <w:sz w:val="20"/>
          <w:szCs w:val="20"/>
        </w:rPr>
        <w:t>《数字乡村发展行动计划(2022—2025年)》(简称“数字乡村行动计划”),对</w:t>
      </w:r>
      <w:r>
        <w:rPr>
          <w:spacing w:val="6"/>
          <w:sz w:val="20"/>
          <w:szCs w:val="20"/>
        </w:rPr>
        <w:t>“十四五”时期</w:t>
      </w:r>
      <w:r>
        <w:rPr>
          <w:sz w:val="20"/>
          <w:szCs w:val="20"/>
        </w:rPr>
        <w:t xml:space="preserve"> </w:t>
      </w:r>
      <w:r>
        <w:rPr>
          <w:spacing w:val="5"/>
          <w:sz w:val="20"/>
          <w:szCs w:val="20"/>
        </w:rPr>
        <w:t>数字乡村发展作出部署安排。自此，我国数字乡村建设开启了巩固拓展脱贫攻坚成果同乡村振</w:t>
      </w:r>
      <w:r>
        <w:rPr>
          <w:spacing w:val="12"/>
          <w:sz w:val="20"/>
          <w:szCs w:val="20"/>
        </w:rPr>
        <w:t xml:space="preserve"> </w:t>
      </w:r>
      <w:r>
        <w:rPr>
          <w:spacing w:val="5"/>
          <w:sz w:val="20"/>
          <w:szCs w:val="20"/>
        </w:rPr>
        <w:t>兴有效衔接的新时期。</w:t>
      </w:r>
    </w:p>
    <w:p w14:paraId="1CDF7A23">
      <w:pPr>
        <w:pStyle w:val="2"/>
        <w:spacing w:before="212" w:line="221" w:lineRule="auto"/>
        <w:ind w:left="702"/>
        <w:rPr>
          <w:rFonts w:ascii="黑体" w:hAnsi="黑体" w:eastAsia="黑体" w:cs="黑体"/>
          <w:sz w:val="20"/>
          <w:szCs w:val="20"/>
        </w:rPr>
      </w:pPr>
      <w:r>
        <w:rPr>
          <w:b/>
          <w:bCs/>
          <w:color w:val="006DCD"/>
          <w:spacing w:val="-2"/>
          <w:sz w:val="20"/>
          <w:szCs w:val="20"/>
        </w:rPr>
        <w:t>3.</w:t>
      </w:r>
      <w:r>
        <w:rPr>
          <w:rFonts w:ascii="黑体" w:hAnsi="黑体" w:eastAsia="黑体" w:cs="黑体"/>
          <w:b/>
          <w:bCs/>
          <w:color w:val="006DCD"/>
          <w:spacing w:val="-2"/>
          <w:sz w:val="20"/>
          <w:szCs w:val="20"/>
        </w:rPr>
        <w:t>数字乡村应用场景</w:t>
      </w:r>
    </w:p>
    <w:p w14:paraId="35B13483">
      <w:pPr>
        <w:pStyle w:val="2"/>
        <w:spacing w:before="164" w:line="219" w:lineRule="auto"/>
        <w:ind w:left="700"/>
        <w:rPr>
          <w:sz w:val="20"/>
          <w:szCs w:val="20"/>
        </w:rPr>
      </w:pPr>
      <w:r>
        <w:rPr>
          <w:spacing w:val="2"/>
          <w:sz w:val="20"/>
          <w:szCs w:val="20"/>
        </w:rPr>
        <w:t>数字乡村行动计划部署了8个方面的重点行动：</w:t>
      </w:r>
    </w:p>
    <w:p w14:paraId="3395D62B">
      <w:pPr>
        <w:pStyle w:val="2"/>
        <w:spacing w:before="64" w:line="219" w:lineRule="auto"/>
        <w:ind w:left="700"/>
        <w:rPr>
          <w:sz w:val="20"/>
          <w:szCs w:val="20"/>
        </w:rPr>
      </w:pPr>
      <w:r>
        <w:rPr>
          <w:spacing w:val="3"/>
          <w:sz w:val="20"/>
          <w:szCs w:val="20"/>
        </w:rPr>
        <w:t>(1)数字基础设施升级行动；</w:t>
      </w:r>
    </w:p>
    <w:p w14:paraId="00E2CD96">
      <w:pPr>
        <w:pStyle w:val="2"/>
        <w:spacing w:before="83" w:line="220" w:lineRule="auto"/>
        <w:ind w:left="700"/>
        <w:rPr>
          <w:sz w:val="20"/>
          <w:szCs w:val="20"/>
        </w:rPr>
      </w:pPr>
      <w:r>
        <w:rPr>
          <w:spacing w:val="3"/>
          <w:sz w:val="20"/>
          <w:szCs w:val="20"/>
        </w:rPr>
        <w:t>(2)智慧农业创新发展行动；</w:t>
      </w:r>
    </w:p>
    <w:p w14:paraId="7155109C">
      <w:pPr>
        <w:pStyle w:val="2"/>
        <w:spacing w:before="71" w:line="219" w:lineRule="auto"/>
        <w:ind w:left="700"/>
        <w:rPr>
          <w:sz w:val="20"/>
          <w:szCs w:val="20"/>
        </w:rPr>
      </w:pPr>
      <w:r>
        <w:rPr>
          <w:spacing w:val="3"/>
          <w:sz w:val="20"/>
          <w:szCs w:val="20"/>
        </w:rPr>
        <w:t>(3)新业态新模式发展行动；</w:t>
      </w:r>
    </w:p>
    <w:p w14:paraId="4C7EBAED">
      <w:pPr>
        <w:pStyle w:val="2"/>
        <w:spacing w:before="82" w:line="219" w:lineRule="auto"/>
        <w:ind w:left="700"/>
        <w:rPr>
          <w:sz w:val="20"/>
          <w:szCs w:val="20"/>
        </w:rPr>
      </w:pPr>
      <w:r>
        <w:rPr>
          <w:spacing w:val="3"/>
          <w:sz w:val="20"/>
          <w:szCs w:val="20"/>
        </w:rPr>
        <w:t>(4)数字治理能力提升行动；</w:t>
      </w:r>
    </w:p>
    <w:p w14:paraId="57FA9BC8">
      <w:pPr>
        <w:pStyle w:val="2"/>
        <w:spacing w:before="71" w:line="219" w:lineRule="auto"/>
        <w:ind w:left="700"/>
        <w:rPr>
          <w:sz w:val="20"/>
          <w:szCs w:val="20"/>
        </w:rPr>
      </w:pPr>
      <w:r>
        <w:rPr>
          <w:spacing w:val="3"/>
          <w:sz w:val="20"/>
          <w:szCs w:val="20"/>
        </w:rPr>
        <w:t>(5)乡村网络文化振兴行动；</w:t>
      </w:r>
    </w:p>
    <w:p w14:paraId="1771C19C">
      <w:pPr>
        <w:pStyle w:val="2"/>
        <w:spacing w:before="73" w:line="219" w:lineRule="auto"/>
        <w:ind w:left="700"/>
        <w:rPr>
          <w:sz w:val="20"/>
          <w:szCs w:val="20"/>
        </w:rPr>
      </w:pPr>
      <w:r>
        <w:rPr>
          <w:spacing w:val="3"/>
          <w:sz w:val="20"/>
          <w:szCs w:val="20"/>
        </w:rPr>
        <w:t>(6)智慧绿色乡村打造行动；</w:t>
      </w:r>
    </w:p>
    <w:p w14:paraId="44FDDA13">
      <w:pPr>
        <w:pStyle w:val="2"/>
        <w:spacing w:before="84" w:line="219" w:lineRule="auto"/>
        <w:ind w:left="700"/>
        <w:rPr>
          <w:sz w:val="20"/>
          <w:szCs w:val="20"/>
        </w:rPr>
      </w:pPr>
      <w:r>
        <w:rPr>
          <w:spacing w:val="3"/>
          <w:sz w:val="20"/>
          <w:szCs w:val="20"/>
        </w:rPr>
        <w:t>(7)公共服务效能提升行动；</w:t>
      </w:r>
    </w:p>
    <w:p w14:paraId="77A048FC">
      <w:pPr>
        <w:pStyle w:val="2"/>
        <w:spacing w:before="73" w:line="219" w:lineRule="auto"/>
        <w:ind w:left="700"/>
        <w:rPr>
          <w:sz w:val="20"/>
          <w:szCs w:val="20"/>
        </w:rPr>
      </w:pPr>
      <w:r>
        <w:rPr>
          <w:spacing w:val="3"/>
          <w:sz w:val="20"/>
          <w:szCs w:val="20"/>
        </w:rPr>
        <w:t>(8)网络帮扶拓展深化行动。</w:t>
      </w:r>
    </w:p>
    <w:p w14:paraId="00E7E58C">
      <w:pPr>
        <w:pStyle w:val="2"/>
        <w:spacing w:before="83" w:line="273" w:lineRule="auto"/>
        <w:ind w:left="300" w:right="24" w:firstLine="400"/>
        <w:rPr>
          <w:sz w:val="20"/>
          <w:szCs w:val="20"/>
        </w:rPr>
      </w:pPr>
      <w:r>
        <w:rPr>
          <w:spacing w:val="3"/>
          <w:sz w:val="20"/>
          <w:szCs w:val="20"/>
        </w:rPr>
        <w:t>同时，数字乡村行动计划还设立了乡村基础设施数字化改造提升工程、智慧农业建设</w:t>
      </w:r>
      <w:r>
        <w:rPr>
          <w:spacing w:val="2"/>
          <w:sz w:val="20"/>
          <w:szCs w:val="20"/>
        </w:rPr>
        <w:t>工程</w:t>
      </w:r>
      <w:r>
        <w:rPr>
          <w:sz w:val="20"/>
          <w:szCs w:val="20"/>
        </w:rPr>
        <w:t xml:space="preserve"> </w:t>
      </w:r>
      <w:r>
        <w:rPr>
          <w:spacing w:val="-2"/>
          <w:sz w:val="20"/>
          <w:szCs w:val="20"/>
        </w:rPr>
        <w:t>等七项重点工程，作为落实上述行动的重要抓手。</w:t>
      </w:r>
    </w:p>
    <w:p w14:paraId="5C08C872">
      <w:pPr>
        <w:pStyle w:val="2"/>
        <w:spacing w:before="16" w:line="278" w:lineRule="auto"/>
        <w:ind w:left="300" w:right="2" w:firstLine="400"/>
        <w:rPr>
          <w:sz w:val="20"/>
          <w:szCs w:val="20"/>
        </w:rPr>
      </w:pPr>
      <w:r>
        <w:rPr>
          <w:spacing w:val="4"/>
          <w:sz w:val="20"/>
          <w:szCs w:val="20"/>
        </w:rPr>
        <w:t>从应用系统建设的角度来看，数字乡村建设</w:t>
      </w:r>
      <w:r>
        <w:rPr>
          <w:spacing w:val="3"/>
          <w:sz w:val="20"/>
          <w:szCs w:val="20"/>
        </w:rPr>
        <w:t>涵盖的内容可以归纳为乡村信息基础设施、乡</w:t>
      </w:r>
      <w:r>
        <w:rPr>
          <w:sz w:val="20"/>
          <w:szCs w:val="20"/>
        </w:rPr>
        <w:t xml:space="preserve"> </w:t>
      </w:r>
      <w:r>
        <w:rPr>
          <w:spacing w:val="3"/>
          <w:sz w:val="20"/>
          <w:szCs w:val="20"/>
        </w:rPr>
        <w:t>村要素数据信息互通、乡村产业数字化、乡村治理数字化、乡村民生数字化、生态宜居数字化</w:t>
      </w:r>
      <w:r>
        <w:rPr>
          <w:spacing w:val="14"/>
          <w:sz w:val="20"/>
          <w:szCs w:val="20"/>
        </w:rPr>
        <w:t xml:space="preserve"> </w:t>
      </w:r>
      <w:r>
        <w:rPr>
          <w:spacing w:val="-2"/>
          <w:sz w:val="20"/>
          <w:szCs w:val="20"/>
        </w:rPr>
        <w:t>六个方面。</w:t>
      </w:r>
    </w:p>
    <w:p w14:paraId="158FF22D">
      <w:pPr>
        <w:spacing w:before="120" w:line="229" w:lineRule="auto"/>
        <w:ind w:left="700"/>
        <w:rPr>
          <w:rFonts w:ascii="楷体" w:hAnsi="楷体" w:eastAsia="楷体" w:cs="楷体"/>
          <w:sz w:val="20"/>
          <w:szCs w:val="20"/>
        </w:rPr>
      </w:pPr>
      <w:r>
        <w:rPr>
          <w:rFonts w:ascii="楷体" w:hAnsi="楷体" w:eastAsia="楷体" w:cs="楷体"/>
          <w:spacing w:val="8"/>
          <w:sz w:val="20"/>
          <w:szCs w:val="20"/>
        </w:rPr>
        <w:t>1)乡村信息基础设施</w:t>
      </w:r>
    </w:p>
    <w:p w14:paraId="5A5091D8">
      <w:pPr>
        <w:pStyle w:val="2"/>
        <w:spacing w:before="39" w:line="283" w:lineRule="auto"/>
        <w:ind w:left="300" w:right="42" w:firstLine="400"/>
        <w:rPr>
          <w:sz w:val="20"/>
          <w:szCs w:val="20"/>
        </w:rPr>
      </w:pPr>
      <w:r>
        <w:rPr>
          <w:spacing w:val="3"/>
          <w:sz w:val="20"/>
          <w:szCs w:val="20"/>
        </w:rPr>
        <w:t>乡村信息基础设施是数字乡村的基石，包括网</w:t>
      </w:r>
      <w:r>
        <w:rPr>
          <w:spacing w:val="2"/>
          <w:sz w:val="20"/>
          <w:szCs w:val="20"/>
        </w:rPr>
        <w:t>络基础设施、信息服务设施及传统基础设施</w:t>
      </w:r>
      <w:r>
        <w:rPr>
          <w:sz w:val="20"/>
          <w:szCs w:val="20"/>
        </w:rPr>
        <w:t xml:space="preserve"> </w:t>
      </w:r>
      <w:r>
        <w:rPr>
          <w:spacing w:val="-1"/>
          <w:sz w:val="20"/>
          <w:szCs w:val="20"/>
        </w:rPr>
        <w:t>数字化改造等建设内容。</w:t>
      </w:r>
    </w:p>
    <w:p w14:paraId="01493977">
      <w:pPr>
        <w:pStyle w:val="2"/>
        <w:spacing w:before="16" w:line="265" w:lineRule="auto"/>
        <w:ind w:left="1000" w:right="14" w:hanging="300"/>
        <w:rPr>
          <w:sz w:val="20"/>
          <w:szCs w:val="20"/>
        </w:rPr>
      </w:pPr>
      <w:r>
        <w:rPr>
          <w:spacing w:val="3"/>
          <w:sz w:val="20"/>
          <w:szCs w:val="20"/>
        </w:rPr>
        <w:t>●网络基础设施。要实现高速、泛在、安全的基础通信网络在乡村的深入普及，网络能力</w:t>
      </w:r>
      <w:r>
        <w:rPr>
          <w:spacing w:val="9"/>
          <w:sz w:val="20"/>
          <w:szCs w:val="20"/>
        </w:rPr>
        <w:t xml:space="preserve"> </w:t>
      </w:r>
      <w:r>
        <w:rPr>
          <w:spacing w:val="6"/>
          <w:sz w:val="20"/>
          <w:szCs w:val="20"/>
        </w:rPr>
        <w:t>满足乡村产业数字化、治理数字化、民生数字化等应用场景不断提升的</w:t>
      </w:r>
      <w:r>
        <w:rPr>
          <w:spacing w:val="5"/>
          <w:sz w:val="20"/>
          <w:szCs w:val="20"/>
        </w:rPr>
        <w:t>数据传输质量</w:t>
      </w:r>
      <w:r>
        <w:rPr>
          <w:sz w:val="20"/>
          <w:szCs w:val="20"/>
        </w:rPr>
        <w:t xml:space="preserve"> 需求。</w:t>
      </w:r>
    </w:p>
    <w:p w14:paraId="58707540">
      <w:pPr>
        <w:pStyle w:val="2"/>
        <w:spacing w:before="90" w:line="219" w:lineRule="auto"/>
        <w:ind w:right="23"/>
        <w:jc w:val="right"/>
        <w:rPr>
          <w:sz w:val="20"/>
          <w:szCs w:val="20"/>
        </w:rPr>
      </w:pPr>
      <w:r>
        <w:rPr>
          <w:spacing w:val="3"/>
          <w:sz w:val="20"/>
          <w:szCs w:val="20"/>
        </w:rPr>
        <w:t>●信息服务设施。向村民提供农</w:t>
      </w:r>
      <w:r>
        <w:rPr>
          <w:spacing w:val="3"/>
          <w:sz w:val="20"/>
          <w:szCs w:val="20"/>
          <w:u w:val="single" w:color="auto"/>
        </w:rPr>
        <w:t>业生</w:t>
      </w:r>
      <w:r>
        <w:rPr>
          <w:spacing w:val="3"/>
          <w:sz w:val="20"/>
          <w:szCs w:val="20"/>
        </w:rPr>
        <w:t>产经营、生活事务、就业劳保、知识技能培训等方面</w:t>
      </w:r>
    </w:p>
    <w:p w14:paraId="34426BE2">
      <w:pPr>
        <w:spacing w:line="219" w:lineRule="auto"/>
        <w:rPr>
          <w:sz w:val="20"/>
          <w:szCs w:val="20"/>
        </w:rPr>
        <w:sectPr>
          <w:pgSz w:w="10320" w:h="13420"/>
          <w:pgMar w:top="400" w:right="1078" w:bottom="400" w:left="600" w:header="0" w:footer="0" w:gutter="0"/>
          <w:cols w:space="720" w:num="1"/>
        </w:sectPr>
      </w:pPr>
    </w:p>
    <w:p w14:paraId="1461BBE6">
      <w:pPr>
        <w:pStyle w:val="2"/>
        <w:spacing w:before="106" w:line="219" w:lineRule="auto"/>
        <w:jc w:val="right"/>
        <w:rPr>
          <w:rFonts w:ascii="Times New Roman" w:hAnsi="Times New Roman" w:eastAsia="Times New Roman" w:cs="Times New Roman"/>
          <w:sz w:val="19"/>
          <w:szCs w:val="19"/>
        </w:rPr>
      </w:pPr>
      <w:r>
        <w:rPr>
          <w:spacing w:val="4"/>
          <w:sz w:val="19"/>
          <w:szCs w:val="19"/>
        </w:rPr>
        <w:t>第1章</w:t>
      </w:r>
      <w:r>
        <w:rPr>
          <w:spacing w:val="28"/>
          <w:sz w:val="19"/>
          <w:szCs w:val="19"/>
        </w:rPr>
        <w:t xml:space="preserve"> </w:t>
      </w:r>
      <w:r>
        <w:rPr>
          <w:spacing w:val="4"/>
          <w:sz w:val="19"/>
          <w:szCs w:val="19"/>
        </w:rPr>
        <w:t>信息与信息化</w:t>
      </w:r>
      <w:r>
        <w:rPr>
          <w:spacing w:val="2"/>
          <w:sz w:val="19"/>
          <w:szCs w:val="19"/>
        </w:rPr>
        <w:t xml:space="preserve">       </w:t>
      </w:r>
      <w:r>
        <w:rPr>
          <w:rFonts w:ascii="Times New Roman" w:hAnsi="Times New Roman" w:eastAsia="Times New Roman" w:cs="Times New Roman"/>
          <w:b/>
          <w:bCs/>
          <w:spacing w:val="4"/>
          <w:sz w:val="19"/>
          <w:szCs w:val="19"/>
        </w:rPr>
        <w:t>41</w:t>
      </w:r>
    </w:p>
    <w:p w14:paraId="4C9B43A2">
      <w:pPr>
        <w:spacing w:line="299" w:lineRule="auto"/>
        <w:rPr>
          <w:rFonts w:ascii="Arial"/>
          <w:sz w:val="21"/>
        </w:rPr>
      </w:pPr>
    </w:p>
    <w:p w14:paraId="44EB567A">
      <w:pPr>
        <w:pStyle w:val="2"/>
        <w:spacing w:before="62" w:line="312" w:lineRule="auto"/>
        <w:ind w:left="680" w:right="296"/>
        <w:jc w:val="both"/>
        <w:rPr>
          <w:sz w:val="19"/>
          <w:szCs w:val="19"/>
        </w:rPr>
      </w:pPr>
      <w:r>
        <w:rPr>
          <w:spacing w:val="11"/>
          <w:sz w:val="19"/>
          <w:szCs w:val="19"/>
        </w:rPr>
        <w:t>信息化服务的站点和设施，是数字乡村的触点，包括益农</w:t>
      </w:r>
      <w:r>
        <w:rPr>
          <w:spacing w:val="10"/>
          <w:sz w:val="19"/>
          <w:szCs w:val="19"/>
        </w:rPr>
        <w:t>社、农村电商服务站、村级供</w:t>
      </w:r>
      <w:r>
        <w:rPr>
          <w:sz w:val="19"/>
          <w:szCs w:val="19"/>
        </w:rPr>
        <w:t xml:space="preserve"> </w:t>
      </w:r>
      <w:r>
        <w:rPr>
          <w:spacing w:val="11"/>
          <w:sz w:val="19"/>
          <w:szCs w:val="19"/>
        </w:rPr>
        <w:t>销店等。在数字乡村的建设中，信息服务设施要充分发挥线下触</w:t>
      </w:r>
      <w:r>
        <w:rPr>
          <w:spacing w:val="10"/>
          <w:sz w:val="19"/>
          <w:szCs w:val="19"/>
        </w:rPr>
        <w:t>点作用，随着整个数字</w:t>
      </w:r>
      <w:r>
        <w:rPr>
          <w:sz w:val="19"/>
          <w:szCs w:val="19"/>
        </w:rPr>
        <w:t xml:space="preserve"> </w:t>
      </w:r>
      <w:r>
        <w:rPr>
          <w:spacing w:val="7"/>
          <w:sz w:val="19"/>
          <w:szCs w:val="19"/>
        </w:rPr>
        <w:t>乡村体系供给侧内容的丰富，不断更新和拓展服务功</w:t>
      </w:r>
      <w:r>
        <w:rPr>
          <w:spacing w:val="6"/>
          <w:sz w:val="19"/>
          <w:szCs w:val="19"/>
        </w:rPr>
        <w:t>能。</w:t>
      </w:r>
    </w:p>
    <w:p w14:paraId="5B37948D">
      <w:pPr>
        <w:pStyle w:val="2"/>
        <w:spacing w:before="17" w:line="287" w:lineRule="auto"/>
        <w:ind w:left="679" w:right="230" w:hanging="279"/>
        <w:rPr>
          <w:sz w:val="19"/>
          <w:szCs w:val="19"/>
        </w:rPr>
      </w:pPr>
      <w:r>
        <w:rPr>
          <w:spacing w:val="14"/>
          <w:sz w:val="19"/>
          <w:szCs w:val="19"/>
        </w:rPr>
        <w:t>●传统基础设施数字化改造。通过传感设备、物联网等数字化手段对水利、交通、电力、</w:t>
      </w:r>
      <w:r>
        <w:rPr>
          <w:spacing w:val="18"/>
          <w:sz w:val="19"/>
          <w:szCs w:val="19"/>
        </w:rPr>
        <w:t xml:space="preserve"> </w:t>
      </w:r>
      <w:r>
        <w:rPr>
          <w:spacing w:val="11"/>
          <w:sz w:val="19"/>
          <w:szCs w:val="19"/>
        </w:rPr>
        <w:t>农业生产和物流等传统基础设施进行改造，使之具备信息采集和智能感知能力，成为数</w:t>
      </w:r>
      <w:r>
        <w:rPr>
          <w:spacing w:val="9"/>
          <w:sz w:val="19"/>
          <w:szCs w:val="19"/>
        </w:rPr>
        <w:t xml:space="preserve"> </w:t>
      </w:r>
      <w:r>
        <w:rPr>
          <w:spacing w:val="7"/>
          <w:sz w:val="19"/>
          <w:szCs w:val="19"/>
        </w:rPr>
        <w:t>字乡村数据采集体系的重要来源之一。</w:t>
      </w:r>
    </w:p>
    <w:p w14:paraId="32B4BFDC">
      <w:pPr>
        <w:spacing w:before="183" w:line="225" w:lineRule="auto"/>
        <w:ind w:left="400"/>
        <w:rPr>
          <w:rFonts w:ascii="楷体" w:hAnsi="楷体" w:eastAsia="楷体" w:cs="楷体"/>
          <w:sz w:val="19"/>
          <w:szCs w:val="19"/>
        </w:rPr>
      </w:pPr>
      <w:r>
        <w:rPr>
          <w:rFonts w:ascii="楷体" w:hAnsi="楷体" w:eastAsia="楷体" w:cs="楷体"/>
          <w:spacing w:val="16"/>
          <w:sz w:val="19"/>
          <w:szCs w:val="19"/>
        </w:rPr>
        <w:t>2)乡村要素数据信息互通</w:t>
      </w:r>
    </w:p>
    <w:p w14:paraId="4C0D759C">
      <w:pPr>
        <w:pStyle w:val="2"/>
        <w:spacing w:before="79" w:line="306" w:lineRule="auto"/>
        <w:ind w:right="297" w:firstLine="400"/>
        <w:rPr>
          <w:sz w:val="19"/>
          <w:szCs w:val="19"/>
        </w:rPr>
      </w:pPr>
      <w:r>
        <w:rPr>
          <w:spacing w:val="13"/>
          <w:sz w:val="19"/>
          <w:szCs w:val="19"/>
        </w:rPr>
        <w:t>建立完善的信息共通、数据共享资源体系，提升乡村数据整合能</w:t>
      </w:r>
      <w:r>
        <w:rPr>
          <w:spacing w:val="12"/>
          <w:sz w:val="19"/>
          <w:szCs w:val="19"/>
        </w:rPr>
        <w:t>力，实现全域乡村数据开</w:t>
      </w:r>
      <w:r>
        <w:rPr>
          <w:sz w:val="19"/>
          <w:szCs w:val="19"/>
        </w:rPr>
        <w:t xml:space="preserve"> </w:t>
      </w:r>
      <w:r>
        <w:rPr>
          <w:spacing w:val="9"/>
          <w:sz w:val="19"/>
          <w:szCs w:val="19"/>
        </w:rPr>
        <w:t>放共享，为乡村跨部门、多业务场景集成应用提供支撑。</w:t>
      </w:r>
    </w:p>
    <w:p w14:paraId="16D16E65">
      <w:pPr>
        <w:pStyle w:val="2"/>
        <w:spacing w:before="3" w:line="305" w:lineRule="auto"/>
        <w:ind w:right="230" w:firstLine="400"/>
        <w:rPr>
          <w:sz w:val="19"/>
          <w:szCs w:val="19"/>
        </w:rPr>
      </w:pPr>
      <w:r>
        <w:rPr>
          <w:spacing w:val="13"/>
          <w:sz w:val="19"/>
          <w:szCs w:val="19"/>
        </w:rPr>
        <w:t>实现数字乡村相关数据的统一汇聚、治理、分析和应用，汇聚的数</w:t>
      </w:r>
      <w:r>
        <w:rPr>
          <w:spacing w:val="12"/>
          <w:sz w:val="19"/>
          <w:szCs w:val="19"/>
        </w:rPr>
        <w:t>据资源包括农业农村各</w:t>
      </w:r>
      <w:r>
        <w:rPr>
          <w:sz w:val="19"/>
          <w:szCs w:val="19"/>
        </w:rPr>
        <w:t xml:space="preserve"> </w:t>
      </w:r>
      <w:r>
        <w:rPr>
          <w:spacing w:val="13"/>
          <w:sz w:val="19"/>
          <w:szCs w:val="19"/>
        </w:rPr>
        <w:t>级各类数据，以及其他政府部门的涉农数据资源，基于汇聚的数据资源实现数据的治理、分析</w:t>
      </w:r>
      <w:r>
        <w:rPr>
          <w:spacing w:val="4"/>
          <w:sz w:val="19"/>
          <w:szCs w:val="19"/>
        </w:rPr>
        <w:t xml:space="preserve"> </w:t>
      </w:r>
      <w:r>
        <w:rPr>
          <w:spacing w:val="13"/>
          <w:sz w:val="19"/>
          <w:szCs w:val="19"/>
        </w:rPr>
        <w:t>和共享调用服务。整合涉农各部门资源数据，包括永久基本农田</w:t>
      </w:r>
      <w:r>
        <w:rPr>
          <w:spacing w:val="12"/>
          <w:sz w:val="19"/>
          <w:szCs w:val="19"/>
        </w:rPr>
        <w:t>、粮食生产功能区、重要农产</w:t>
      </w:r>
      <w:r>
        <w:rPr>
          <w:sz w:val="19"/>
          <w:szCs w:val="19"/>
        </w:rPr>
        <w:t xml:space="preserve"> </w:t>
      </w:r>
      <w:r>
        <w:rPr>
          <w:spacing w:val="9"/>
          <w:sz w:val="19"/>
          <w:szCs w:val="19"/>
        </w:rPr>
        <w:t>品生产保护区，为农村土地整治、高标准农田建设、农田水利建设提供数据支撑，为数字农业、</w:t>
      </w:r>
      <w:r>
        <w:rPr>
          <w:spacing w:val="15"/>
          <w:sz w:val="19"/>
          <w:szCs w:val="19"/>
        </w:rPr>
        <w:t xml:space="preserve"> </w:t>
      </w:r>
      <w:r>
        <w:rPr>
          <w:spacing w:val="8"/>
          <w:sz w:val="19"/>
          <w:szCs w:val="19"/>
        </w:rPr>
        <w:t>智慧农业、推进物联网试验示范和遥感技术的应用提供保障。</w:t>
      </w:r>
    </w:p>
    <w:p w14:paraId="7B8A043A">
      <w:pPr>
        <w:spacing w:before="84" w:line="223" w:lineRule="auto"/>
        <w:ind w:left="400"/>
        <w:rPr>
          <w:rFonts w:ascii="楷体" w:hAnsi="楷体" w:eastAsia="楷体" w:cs="楷体"/>
          <w:sz w:val="19"/>
          <w:szCs w:val="19"/>
        </w:rPr>
      </w:pPr>
      <w:r>
        <w:rPr>
          <w:rFonts w:ascii="楷体" w:hAnsi="楷体" w:eastAsia="楷体" w:cs="楷体"/>
          <w:spacing w:val="21"/>
          <w:sz w:val="19"/>
          <w:szCs w:val="19"/>
        </w:rPr>
        <w:t>3)乡村产业数字化</w:t>
      </w:r>
    </w:p>
    <w:p w14:paraId="173ABDD1">
      <w:pPr>
        <w:pStyle w:val="2"/>
        <w:spacing w:before="104" w:line="280" w:lineRule="auto"/>
        <w:ind w:right="278" w:firstLine="400"/>
        <w:rPr>
          <w:sz w:val="19"/>
          <w:szCs w:val="19"/>
        </w:rPr>
      </w:pPr>
      <w:r>
        <w:rPr>
          <w:spacing w:val="13"/>
          <w:sz w:val="19"/>
          <w:szCs w:val="19"/>
        </w:rPr>
        <w:t>在产业数字化方面，数字技术将渗透到农业生产、经营、管理、服务各个环节，促进农业</w:t>
      </w:r>
      <w:r>
        <w:rPr>
          <w:spacing w:val="8"/>
          <w:sz w:val="19"/>
          <w:szCs w:val="19"/>
        </w:rPr>
        <w:t xml:space="preserve"> </w:t>
      </w:r>
      <w:r>
        <w:rPr>
          <w:spacing w:val="3"/>
          <w:sz w:val="19"/>
          <w:szCs w:val="19"/>
        </w:rPr>
        <w:t>提质增效。</w:t>
      </w:r>
    </w:p>
    <w:p w14:paraId="1F39CCAA">
      <w:pPr>
        <w:pStyle w:val="2"/>
        <w:spacing w:before="35" w:line="288" w:lineRule="auto"/>
        <w:ind w:left="679" w:right="230" w:hanging="279"/>
        <w:rPr>
          <w:sz w:val="19"/>
          <w:szCs w:val="19"/>
        </w:rPr>
      </w:pPr>
      <w:r>
        <w:rPr>
          <w:spacing w:val="14"/>
          <w:sz w:val="19"/>
          <w:szCs w:val="19"/>
        </w:rPr>
        <w:t>●农业生产。进一步深化物联网、人工智能技术在农业生产领域的融合应用，实现种植、</w:t>
      </w:r>
      <w:r>
        <w:rPr>
          <w:spacing w:val="18"/>
          <w:sz w:val="19"/>
          <w:szCs w:val="19"/>
        </w:rPr>
        <w:t xml:space="preserve"> </w:t>
      </w:r>
      <w:r>
        <w:rPr>
          <w:spacing w:val="11"/>
          <w:sz w:val="19"/>
          <w:szCs w:val="19"/>
        </w:rPr>
        <w:t>养殖数字化，现代设施农业等绿色农业实现规模化发展，智</w:t>
      </w:r>
      <w:r>
        <w:rPr>
          <w:spacing w:val="10"/>
          <w:sz w:val="19"/>
          <w:szCs w:val="19"/>
        </w:rPr>
        <w:t>慧农田、智慧牧场、智慧渔</w:t>
      </w:r>
      <w:r>
        <w:rPr>
          <w:sz w:val="19"/>
          <w:szCs w:val="19"/>
        </w:rPr>
        <w:t xml:space="preserve"> </w:t>
      </w:r>
      <w:r>
        <w:rPr>
          <w:spacing w:val="11"/>
          <w:sz w:val="19"/>
          <w:szCs w:val="19"/>
        </w:rPr>
        <w:t>场等新型农业生产载体成为主流，同时实现农产品加工领域的数字化</w:t>
      </w:r>
      <w:r>
        <w:rPr>
          <w:spacing w:val="10"/>
          <w:sz w:val="19"/>
          <w:szCs w:val="19"/>
        </w:rPr>
        <w:t>和智能化，提升农</w:t>
      </w:r>
      <w:r>
        <w:rPr>
          <w:sz w:val="19"/>
          <w:szCs w:val="19"/>
        </w:rPr>
        <w:t xml:space="preserve"> </w:t>
      </w:r>
      <w:r>
        <w:rPr>
          <w:spacing w:val="5"/>
          <w:sz w:val="19"/>
          <w:szCs w:val="19"/>
        </w:rPr>
        <w:t>业生产环节的效率。</w:t>
      </w:r>
    </w:p>
    <w:p w14:paraId="52F183C8">
      <w:pPr>
        <w:pStyle w:val="2"/>
        <w:spacing w:before="93" w:line="280" w:lineRule="auto"/>
        <w:ind w:left="679" w:right="286" w:hanging="279"/>
        <w:rPr>
          <w:sz w:val="19"/>
          <w:szCs w:val="19"/>
        </w:rPr>
      </w:pPr>
      <w:r>
        <w:rPr>
          <w:spacing w:val="15"/>
          <w:sz w:val="19"/>
          <w:szCs w:val="19"/>
        </w:rPr>
        <w:t>●农业经营。进一步发挥“互联网+”优势，提升农村电商作为农产品出村进城和工业品</w:t>
      </w:r>
      <w:r>
        <w:rPr>
          <w:spacing w:val="18"/>
          <w:sz w:val="19"/>
          <w:szCs w:val="19"/>
        </w:rPr>
        <w:t xml:space="preserve"> </w:t>
      </w:r>
      <w:r>
        <w:rPr>
          <w:spacing w:val="11"/>
          <w:sz w:val="19"/>
          <w:szCs w:val="19"/>
        </w:rPr>
        <w:t>下乡重要渠道的作用，消除农产品生产侧和消费侧的信息屏障，</w:t>
      </w:r>
      <w:r>
        <w:rPr>
          <w:spacing w:val="10"/>
          <w:sz w:val="19"/>
          <w:szCs w:val="19"/>
        </w:rPr>
        <w:t>以消费促生产；借助直</w:t>
      </w:r>
      <w:r>
        <w:rPr>
          <w:sz w:val="19"/>
          <w:szCs w:val="19"/>
        </w:rPr>
        <w:t xml:space="preserve"> </w:t>
      </w:r>
      <w:r>
        <w:rPr>
          <w:spacing w:val="8"/>
          <w:sz w:val="19"/>
          <w:szCs w:val="19"/>
        </w:rPr>
        <w:t>播带货等手段形成农产品营销新模式，促进农产品的标准化、品牌化和价值化。</w:t>
      </w:r>
    </w:p>
    <w:p w14:paraId="4E0F98FB">
      <w:pPr>
        <w:pStyle w:val="2"/>
        <w:spacing w:before="116" w:line="258" w:lineRule="auto"/>
        <w:ind w:left="679" w:right="296" w:hanging="279"/>
        <w:rPr>
          <w:sz w:val="19"/>
          <w:szCs w:val="19"/>
        </w:rPr>
      </w:pPr>
      <w:r>
        <w:rPr>
          <w:spacing w:val="13"/>
          <w:sz w:val="19"/>
          <w:szCs w:val="19"/>
        </w:rPr>
        <w:t>●农业管理。用数字化手段助力农产品全生命周期追溯和农业投入</w:t>
      </w:r>
      <w:r>
        <w:rPr>
          <w:spacing w:val="12"/>
          <w:sz w:val="19"/>
          <w:szCs w:val="19"/>
        </w:rPr>
        <w:t>品追溯管理，实现绿色</w:t>
      </w:r>
      <w:r>
        <w:rPr>
          <w:sz w:val="19"/>
          <w:szCs w:val="19"/>
        </w:rPr>
        <w:t xml:space="preserve"> </w:t>
      </w:r>
      <w:r>
        <w:rPr>
          <w:spacing w:val="4"/>
          <w:sz w:val="19"/>
          <w:szCs w:val="19"/>
        </w:rPr>
        <w:t>农业。</w:t>
      </w:r>
    </w:p>
    <w:p w14:paraId="66BEF3DF">
      <w:pPr>
        <w:pStyle w:val="2"/>
        <w:spacing w:before="98" w:line="261" w:lineRule="auto"/>
        <w:ind w:left="679" w:right="275" w:hanging="279"/>
        <w:rPr>
          <w:sz w:val="19"/>
          <w:szCs w:val="19"/>
        </w:rPr>
      </w:pPr>
      <w:r>
        <w:rPr>
          <w:spacing w:val="13"/>
          <w:sz w:val="19"/>
          <w:szCs w:val="19"/>
        </w:rPr>
        <w:t>●农业服务。利用互联网、智能手机等技术手段，将政策、科技、市场等信息快速精准传</w:t>
      </w:r>
      <w:r>
        <w:rPr>
          <w:spacing w:val="11"/>
          <w:sz w:val="19"/>
          <w:szCs w:val="19"/>
        </w:rPr>
        <w:t xml:space="preserve"> </w:t>
      </w:r>
      <w:r>
        <w:rPr>
          <w:spacing w:val="7"/>
          <w:sz w:val="19"/>
          <w:szCs w:val="19"/>
        </w:rPr>
        <w:t>达给农民群众。</w:t>
      </w:r>
    </w:p>
    <w:p w14:paraId="314155B2">
      <w:pPr>
        <w:pStyle w:val="2"/>
        <w:spacing w:before="83" w:line="270" w:lineRule="auto"/>
        <w:ind w:left="679" w:right="305" w:hanging="279"/>
        <w:rPr>
          <w:sz w:val="19"/>
          <w:szCs w:val="19"/>
        </w:rPr>
      </w:pPr>
      <w:r>
        <w:rPr>
          <w:spacing w:val="13"/>
          <w:sz w:val="19"/>
          <w:szCs w:val="19"/>
        </w:rPr>
        <w:t>●农村产业新业态。通过互联网、大数据、人</w:t>
      </w:r>
      <w:r>
        <w:rPr>
          <w:spacing w:val="12"/>
          <w:sz w:val="19"/>
          <w:szCs w:val="19"/>
        </w:rPr>
        <w:t>工智能等数字技术，助力农村一、二、三产</w:t>
      </w:r>
      <w:r>
        <w:rPr>
          <w:sz w:val="19"/>
          <w:szCs w:val="19"/>
        </w:rPr>
        <w:t xml:space="preserve"> </w:t>
      </w:r>
      <w:r>
        <w:rPr>
          <w:spacing w:val="8"/>
          <w:sz w:val="19"/>
          <w:szCs w:val="19"/>
        </w:rPr>
        <w:t>业融合发展，主要包括智慧乡村旅游、智慧认养农业等</w:t>
      </w:r>
      <w:r>
        <w:rPr>
          <w:spacing w:val="7"/>
          <w:sz w:val="19"/>
          <w:szCs w:val="19"/>
        </w:rPr>
        <w:t>领域。</w:t>
      </w:r>
    </w:p>
    <w:p w14:paraId="353EFF57">
      <w:pPr>
        <w:spacing w:before="161" w:line="223" w:lineRule="auto"/>
        <w:ind w:left="400"/>
        <w:rPr>
          <w:rFonts w:ascii="楷体" w:hAnsi="楷体" w:eastAsia="楷体" w:cs="楷体"/>
          <w:sz w:val="19"/>
          <w:szCs w:val="19"/>
        </w:rPr>
      </w:pPr>
      <w:r>
        <w:rPr>
          <w:rFonts w:ascii="楷体" w:hAnsi="楷体" w:eastAsia="楷体" w:cs="楷体"/>
          <w:spacing w:val="21"/>
          <w:sz w:val="19"/>
          <w:szCs w:val="19"/>
        </w:rPr>
        <w:t>4)乡村治理数字化</w:t>
      </w:r>
    </w:p>
    <w:p w14:paraId="5521E396">
      <w:pPr>
        <w:pStyle w:val="2"/>
        <w:spacing w:before="73" w:line="289" w:lineRule="auto"/>
        <w:ind w:right="288" w:firstLine="400"/>
        <w:rPr>
          <w:sz w:val="19"/>
          <w:szCs w:val="19"/>
        </w:rPr>
      </w:pPr>
      <w:r>
        <w:rPr>
          <w:spacing w:val="13"/>
          <w:sz w:val="19"/>
          <w:szCs w:val="19"/>
        </w:rPr>
        <w:t>在乡村治理方面，通过数字技术有效融入乡村治理过程，提升治理效率，助力推进乡</w:t>
      </w:r>
      <w:r>
        <w:rPr>
          <w:spacing w:val="12"/>
          <w:sz w:val="19"/>
          <w:szCs w:val="19"/>
        </w:rPr>
        <w:t>村治</w:t>
      </w:r>
      <w:r>
        <w:rPr>
          <w:sz w:val="19"/>
          <w:szCs w:val="19"/>
        </w:rPr>
        <w:t xml:space="preserve"> </w:t>
      </w:r>
      <w:r>
        <w:rPr>
          <w:spacing w:val="7"/>
          <w:sz w:val="19"/>
          <w:szCs w:val="19"/>
        </w:rPr>
        <w:t>理能力和治理体系现代化。</w:t>
      </w:r>
    </w:p>
    <w:p w14:paraId="3DE2964F">
      <w:pPr>
        <w:pStyle w:val="2"/>
        <w:spacing w:before="16" w:line="302" w:lineRule="auto"/>
        <w:ind w:left="679" w:right="289" w:hanging="279"/>
        <w:rPr>
          <w:sz w:val="19"/>
          <w:szCs w:val="19"/>
        </w:rPr>
      </w:pPr>
      <w:r>
        <w:rPr>
          <w:spacing w:val="13"/>
          <w:sz w:val="19"/>
          <w:szCs w:val="19"/>
        </w:rPr>
        <w:t>●乡村党建。运用互联网、大数据技术，推动农村党务、学习、活动</w:t>
      </w:r>
      <w:r>
        <w:rPr>
          <w:spacing w:val="12"/>
          <w:sz w:val="19"/>
          <w:szCs w:val="19"/>
        </w:rPr>
        <w:t>、监督、工作、宣传</w:t>
      </w:r>
      <w:r>
        <w:rPr>
          <w:sz w:val="19"/>
          <w:szCs w:val="19"/>
        </w:rPr>
        <w:t xml:space="preserve"> </w:t>
      </w:r>
      <w:r>
        <w:rPr>
          <w:spacing w:val="11"/>
          <w:sz w:val="19"/>
          <w:szCs w:val="19"/>
        </w:rPr>
        <w:t>的全面整合，实现村级党建工作的一体化、数字化、智能化，不断提升党建管</w:t>
      </w:r>
      <w:r>
        <w:rPr>
          <w:spacing w:val="10"/>
          <w:sz w:val="19"/>
          <w:szCs w:val="19"/>
        </w:rPr>
        <w:t>理效率和</w:t>
      </w:r>
      <w:r>
        <w:rPr>
          <w:sz w:val="19"/>
          <w:szCs w:val="19"/>
        </w:rPr>
        <w:t xml:space="preserve"> </w:t>
      </w:r>
      <w:r>
        <w:rPr>
          <w:spacing w:val="7"/>
          <w:sz w:val="19"/>
          <w:szCs w:val="19"/>
        </w:rPr>
        <w:t>科学化水平，着力实现智慧党建。</w:t>
      </w:r>
    </w:p>
    <w:p w14:paraId="196D461B">
      <w:pPr>
        <w:spacing w:line="302" w:lineRule="auto"/>
        <w:rPr>
          <w:sz w:val="19"/>
          <w:szCs w:val="19"/>
        </w:rPr>
        <w:sectPr>
          <w:pgSz w:w="10300" w:h="13300"/>
          <w:pgMar w:top="400" w:right="544" w:bottom="400" w:left="1149" w:header="0" w:footer="0" w:gutter="0"/>
          <w:cols w:space="720" w:num="1"/>
        </w:sectPr>
      </w:pPr>
    </w:p>
    <w:p w14:paraId="7AADAF4A">
      <w:pPr>
        <w:pStyle w:val="2"/>
        <w:spacing w:before="138" w:line="219" w:lineRule="auto"/>
        <w:rPr>
          <w:sz w:val="20"/>
          <w:szCs w:val="20"/>
        </w:rPr>
      </w:pPr>
      <w:r>
        <w:rPr>
          <w:rFonts w:ascii="Times New Roman" w:hAnsi="Times New Roman" w:eastAsia="Times New Roman" w:cs="Times New Roman"/>
          <w:spacing w:val="-4"/>
          <w:position w:val="-1"/>
          <w:sz w:val="20"/>
          <w:szCs w:val="20"/>
        </w:rPr>
        <w:t>42</w:t>
      </w:r>
      <w:r>
        <w:rPr>
          <w:rFonts w:ascii="Times New Roman" w:hAnsi="Times New Roman" w:eastAsia="Times New Roman" w:cs="Times New Roman"/>
          <w:spacing w:val="2"/>
          <w:position w:val="-1"/>
          <w:sz w:val="20"/>
          <w:szCs w:val="20"/>
        </w:rPr>
        <w:t xml:space="preserve">              </w:t>
      </w:r>
      <w:r>
        <w:rPr>
          <w:spacing w:val="-4"/>
          <w:sz w:val="20"/>
          <w:szCs w:val="20"/>
        </w:rPr>
        <w:t>信息系统监理师教程(第2版)</w:t>
      </w:r>
    </w:p>
    <w:p w14:paraId="4F8D36DD">
      <w:pPr>
        <w:spacing w:line="314" w:lineRule="auto"/>
        <w:rPr>
          <w:rFonts w:ascii="Arial"/>
          <w:sz w:val="21"/>
        </w:rPr>
      </w:pPr>
    </w:p>
    <w:p w14:paraId="7C72E11F">
      <w:pPr>
        <w:pStyle w:val="2"/>
        <w:spacing w:before="65" w:line="264" w:lineRule="auto"/>
        <w:ind w:left="989" w:right="18" w:hanging="299"/>
        <w:rPr>
          <w:sz w:val="20"/>
          <w:szCs w:val="20"/>
        </w:rPr>
      </w:pPr>
      <w:r>
        <w:rPr>
          <w:spacing w:val="6"/>
          <w:sz w:val="20"/>
          <w:szCs w:val="20"/>
        </w:rPr>
        <w:t>●乡村政务。加快推动“互联网+政务”服务向农村基层延伸，实现涉农政务服务“网上</w:t>
      </w:r>
      <w:r>
        <w:rPr>
          <w:spacing w:val="3"/>
          <w:sz w:val="20"/>
          <w:szCs w:val="20"/>
        </w:rPr>
        <w:t xml:space="preserve"> </w:t>
      </w:r>
      <w:r>
        <w:rPr>
          <w:spacing w:val="-9"/>
          <w:sz w:val="20"/>
          <w:szCs w:val="20"/>
        </w:rPr>
        <w:t>办”“马上办”“一网通办”,打通乡村政务服务“</w:t>
      </w:r>
      <w:r>
        <w:rPr>
          <w:spacing w:val="-10"/>
          <w:sz w:val="20"/>
          <w:szCs w:val="20"/>
        </w:rPr>
        <w:t>最后一公里”。</w:t>
      </w:r>
    </w:p>
    <w:p w14:paraId="6A35D23F">
      <w:pPr>
        <w:pStyle w:val="2"/>
        <w:spacing w:before="107" w:line="258" w:lineRule="auto"/>
        <w:ind w:left="989" w:right="17" w:hanging="299"/>
        <w:rPr>
          <w:sz w:val="20"/>
          <w:szCs w:val="20"/>
        </w:rPr>
      </w:pPr>
      <w:r>
        <w:rPr>
          <w:spacing w:val="6"/>
          <w:sz w:val="20"/>
          <w:szCs w:val="20"/>
        </w:rPr>
        <w:t>●村务管理。借助“互联网+村务”实现村务、财务网上公开，利用数字手段不断创新村</w:t>
      </w:r>
      <w:r>
        <w:rPr>
          <w:spacing w:val="4"/>
          <w:sz w:val="20"/>
          <w:szCs w:val="20"/>
        </w:rPr>
        <w:t xml:space="preserve"> </w:t>
      </w:r>
      <w:r>
        <w:rPr>
          <w:spacing w:val="-4"/>
          <w:sz w:val="20"/>
          <w:szCs w:val="20"/>
        </w:rPr>
        <w:t>民自治形式，农民自治能力显著提高。</w:t>
      </w:r>
    </w:p>
    <w:p w14:paraId="6D2FDDDA">
      <w:pPr>
        <w:pStyle w:val="2"/>
        <w:spacing w:before="111" w:line="265" w:lineRule="auto"/>
        <w:ind w:left="989" w:right="11" w:hanging="299"/>
        <w:rPr>
          <w:sz w:val="20"/>
          <w:szCs w:val="20"/>
        </w:rPr>
      </w:pPr>
      <w:r>
        <w:rPr>
          <w:spacing w:val="4"/>
          <w:sz w:val="20"/>
          <w:szCs w:val="20"/>
        </w:rPr>
        <w:t>●乡村综治。利用数字技术构建立体感知体系，实现乡村</w:t>
      </w:r>
      <w:r>
        <w:rPr>
          <w:spacing w:val="3"/>
          <w:sz w:val="20"/>
          <w:szCs w:val="20"/>
        </w:rPr>
        <w:t>人、房、企、事等基本元素一屏</w:t>
      </w:r>
      <w:r>
        <w:rPr>
          <w:sz w:val="20"/>
          <w:szCs w:val="20"/>
        </w:rPr>
        <w:t xml:space="preserve"> </w:t>
      </w:r>
      <w:r>
        <w:rPr>
          <w:spacing w:val="1"/>
          <w:sz w:val="20"/>
          <w:szCs w:val="20"/>
        </w:rPr>
        <w:t>全感知，提升基层综治的“预测、预警、预防”能力，实现平安乡村，提升农民群众的</w:t>
      </w:r>
      <w:r>
        <w:rPr>
          <w:spacing w:val="6"/>
          <w:sz w:val="20"/>
          <w:szCs w:val="20"/>
        </w:rPr>
        <w:t xml:space="preserve"> </w:t>
      </w:r>
      <w:r>
        <w:rPr>
          <w:spacing w:val="-2"/>
          <w:sz w:val="20"/>
          <w:szCs w:val="20"/>
        </w:rPr>
        <w:t>安全感。</w:t>
      </w:r>
    </w:p>
    <w:p w14:paraId="0BF4079A">
      <w:pPr>
        <w:pStyle w:val="2"/>
        <w:spacing w:before="129" w:line="252" w:lineRule="auto"/>
        <w:ind w:left="989" w:right="18" w:hanging="299"/>
        <w:rPr>
          <w:sz w:val="20"/>
          <w:szCs w:val="20"/>
        </w:rPr>
      </w:pPr>
      <w:r>
        <w:rPr>
          <w:spacing w:val="4"/>
          <w:sz w:val="20"/>
          <w:szCs w:val="20"/>
        </w:rPr>
        <w:t>●乡村应急。构建乡村智慧应急体系，实现灾</w:t>
      </w:r>
      <w:r>
        <w:rPr>
          <w:spacing w:val="3"/>
          <w:sz w:val="20"/>
          <w:szCs w:val="20"/>
        </w:rPr>
        <w:t>情有效预警、预防、应急事件快速处理、应</w:t>
      </w:r>
      <w:r>
        <w:rPr>
          <w:sz w:val="20"/>
          <w:szCs w:val="20"/>
        </w:rPr>
        <w:t xml:space="preserve"> </w:t>
      </w:r>
      <w:r>
        <w:rPr>
          <w:spacing w:val="-2"/>
          <w:sz w:val="20"/>
          <w:szCs w:val="20"/>
        </w:rPr>
        <w:t>急资源高效调度，最大程度保障村民人身和财产安全。</w:t>
      </w:r>
    </w:p>
    <w:p w14:paraId="0286582C">
      <w:pPr>
        <w:spacing w:before="169" w:line="223" w:lineRule="auto"/>
        <w:ind w:left="690"/>
        <w:rPr>
          <w:rFonts w:ascii="楷体" w:hAnsi="楷体" w:eastAsia="楷体" w:cs="楷体"/>
          <w:sz w:val="20"/>
          <w:szCs w:val="20"/>
        </w:rPr>
      </w:pPr>
      <w:bookmarkStart w:id="501" w:name="bookmark488"/>
      <w:bookmarkEnd w:id="501"/>
      <w:r>
        <w:rPr>
          <w:rFonts w:ascii="楷体" w:hAnsi="楷体" w:eastAsia="楷体" w:cs="楷体"/>
          <w:spacing w:val="11"/>
          <w:sz w:val="20"/>
          <w:szCs w:val="20"/>
        </w:rPr>
        <w:t>5)乡村民生数字化</w:t>
      </w:r>
    </w:p>
    <w:p w14:paraId="3AD93713">
      <w:pPr>
        <w:pStyle w:val="2"/>
        <w:spacing w:before="84" w:line="273" w:lineRule="auto"/>
        <w:ind w:left="300" w:firstLine="390"/>
        <w:rPr>
          <w:sz w:val="20"/>
          <w:szCs w:val="20"/>
        </w:rPr>
      </w:pPr>
      <w:r>
        <w:rPr>
          <w:spacing w:val="4"/>
          <w:sz w:val="20"/>
          <w:szCs w:val="20"/>
        </w:rPr>
        <w:t>在乡村民生方面，着力消除城乡差距，加快推动数字化公共服务在乡村的普及，实现城乡</w:t>
      </w:r>
      <w:r>
        <w:rPr>
          <w:sz w:val="20"/>
          <w:szCs w:val="20"/>
        </w:rPr>
        <w:t xml:space="preserve"> </w:t>
      </w:r>
      <w:r>
        <w:rPr>
          <w:spacing w:val="-7"/>
          <w:sz w:val="20"/>
          <w:szCs w:val="20"/>
        </w:rPr>
        <w:t>民生服务均等化。</w:t>
      </w:r>
    </w:p>
    <w:p w14:paraId="396A73BC">
      <w:pPr>
        <w:pStyle w:val="2"/>
        <w:spacing w:before="47" w:line="254" w:lineRule="auto"/>
        <w:ind w:left="989" w:right="30" w:hanging="299"/>
        <w:rPr>
          <w:sz w:val="20"/>
          <w:szCs w:val="20"/>
        </w:rPr>
      </w:pPr>
      <w:r>
        <w:rPr>
          <w:spacing w:val="6"/>
          <w:sz w:val="20"/>
          <w:szCs w:val="20"/>
        </w:rPr>
        <w:t>●乡村教育。借助“互联网+教育”推动城市优质教育资源与乡村的</w:t>
      </w:r>
      <w:r>
        <w:rPr>
          <w:spacing w:val="5"/>
          <w:sz w:val="20"/>
          <w:szCs w:val="20"/>
        </w:rPr>
        <w:t>对接，实现城乡教育</w:t>
      </w:r>
      <w:r>
        <w:rPr>
          <w:sz w:val="20"/>
          <w:szCs w:val="20"/>
        </w:rPr>
        <w:t xml:space="preserve"> </w:t>
      </w:r>
      <w:r>
        <w:rPr>
          <w:spacing w:val="-6"/>
          <w:sz w:val="20"/>
          <w:szCs w:val="20"/>
        </w:rPr>
        <w:t>资源均衡配置。</w:t>
      </w:r>
    </w:p>
    <w:p w14:paraId="662E8F70">
      <w:pPr>
        <w:pStyle w:val="2"/>
        <w:spacing w:before="79" w:line="262" w:lineRule="auto"/>
        <w:ind w:left="989" w:right="18" w:hanging="299"/>
        <w:rPr>
          <w:sz w:val="20"/>
          <w:szCs w:val="20"/>
        </w:rPr>
      </w:pPr>
      <w:r>
        <w:rPr>
          <w:spacing w:val="6"/>
          <w:sz w:val="20"/>
          <w:szCs w:val="20"/>
        </w:rPr>
        <w:t>●乡村医疗。借助“互联网+医疗”推动城市优质医疗资源与乡村的对接，解决医疗资源</w:t>
      </w:r>
      <w:r>
        <w:rPr>
          <w:spacing w:val="3"/>
          <w:sz w:val="20"/>
          <w:szCs w:val="20"/>
        </w:rPr>
        <w:t xml:space="preserve"> </w:t>
      </w:r>
      <w:r>
        <w:rPr>
          <w:spacing w:val="-1"/>
          <w:sz w:val="20"/>
          <w:szCs w:val="20"/>
        </w:rPr>
        <w:t>分布不平衡、不充分的问题，提升乡村医疗资源和医疗服务普惠</w:t>
      </w:r>
      <w:r>
        <w:rPr>
          <w:spacing w:val="-2"/>
          <w:sz w:val="20"/>
          <w:szCs w:val="20"/>
        </w:rPr>
        <w:t>性和通达性。</w:t>
      </w:r>
    </w:p>
    <w:p w14:paraId="08FC6BF9">
      <w:pPr>
        <w:pStyle w:val="2"/>
        <w:spacing w:before="84" w:line="266" w:lineRule="auto"/>
        <w:ind w:left="989" w:right="18" w:hanging="299"/>
        <w:rPr>
          <w:sz w:val="20"/>
          <w:szCs w:val="20"/>
        </w:rPr>
      </w:pPr>
      <w:r>
        <w:rPr>
          <w:spacing w:val="4"/>
          <w:sz w:val="20"/>
          <w:szCs w:val="20"/>
        </w:rPr>
        <w:t>●乡村数字素养。通过线上线下相结合的方式</w:t>
      </w:r>
      <w:r>
        <w:rPr>
          <w:spacing w:val="3"/>
          <w:sz w:val="20"/>
          <w:szCs w:val="20"/>
        </w:rPr>
        <w:t>，提升乡村基层干部和村民的手机应用、数</w:t>
      </w:r>
      <w:r>
        <w:rPr>
          <w:sz w:val="20"/>
          <w:szCs w:val="20"/>
        </w:rPr>
        <w:t xml:space="preserve"> </w:t>
      </w:r>
      <w:r>
        <w:rPr>
          <w:spacing w:val="-4"/>
          <w:sz w:val="20"/>
          <w:szCs w:val="20"/>
        </w:rPr>
        <w:t>字内容创建、数字安全等方面的素养，使手机成为“新农具”。</w:t>
      </w:r>
    </w:p>
    <w:p w14:paraId="0FF78FE2">
      <w:pPr>
        <w:pStyle w:val="2"/>
        <w:spacing w:before="73" w:line="257" w:lineRule="auto"/>
        <w:ind w:left="989" w:right="12" w:hanging="299"/>
        <w:rPr>
          <w:sz w:val="20"/>
          <w:szCs w:val="20"/>
        </w:rPr>
      </w:pPr>
      <w:r>
        <w:rPr>
          <w:spacing w:val="4"/>
          <w:sz w:val="20"/>
          <w:szCs w:val="20"/>
        </w:rPr>
        <w:t>●乡村文化。通过数字化手段实现乡村文化资源的数字化，</w:t>
      </w:r>
      <w:r>
        <w:rPr>
          <w:spacing w:val="3"/>
          <w:sz w:val="20"/>
          <w:szCs w:val="20"/>
        </w:rPr>
        <w:t>通过互联网方式进行主流思想</w:t>
      </w:r>
      <w:r>
        <w:rPr>
          <w:sz w:val="20"/>
          <w:szCs w:val="20"/>
        </w:rPr>
        <w:t xml:space="preserve"> </w:t>
      </w:r>
      <w:r>
        <w:rPr>
          <w:spacing w:val="-2"/>
          <w:sz w:val="20"/>
          <w:szCs w:val="20"/>
        </w:rPr>
        <w:t>和文艺创作在乡村的传播，丰富村民的精神文化生活。</w:t>
      </w:r>
    </w:p>
    <w:p w14:paraId="7A29FF09">
      <w:pPr>
        <w:spacing w:before="169" w:line="223" w:lineRule="auto"/>
        <w:ind w:left="690"/>
        <w:rPr>
          <w:rFonts w:ascii="楷体" w:hAnsi="楷体" w:eastAsia="楷体" w:cs="楷体"/>
          <w:sz w:val="20"/>
          <w:szCs w:val="20"/>
        </w:rPr>
      </w:pPr>
      <w:r>
        <w:rPr>
          <w:rFonts w:ascii="楷体" w:hAnsi="楷体" w:eastAsia="楷体" w:cs="楷体"/>
          <w:spacing w:val="11"/>
          <w:sz w:val="20"/>
          <w:szCs w:val="20"/>
        </w:rPr>
        <w:t>6)生态宜居数字化</w:t>
      </w:r>
    </w:p>
    <w:p w14:paraId="234360F9">
      <w:pPr>
        <w:pStyle w:val="2"/>
        <w:spacing w:before="72" w:line="282" w:lineRule="auto"/>
        <w:ind w:left="300" w:right="33" w:firstLine="390"/>
        <w:rPr>
          <w:sz w:val="20"/>
          <w:szCs w:val="20"/>
        </w:rPr>
      </w:pPr>
      <w:r>
        <w:rPr>
          <w:spacing w:val="3"/>
          <w:sz w:val="20"/>
          <w:szCs w:val="20"/>
        </w:rPr>
        <w:t>乡村振兴，生态宜居是关键。良好的生态环境是农村最大的优势和宝贵财富。必须尊重自</w:t>
      </w:r>
      <w:r>
        <w:rPr>
          <w:spacing w:val="5"/>
          <w:sz w:val="20"/>
          <w:szCs w:val="20"/>
        </w:rPr>
        <w:t xml:space="preserve"> </w:t>
      </w:r>
      <w:r>
        <w:rPr>
          <w:sz w:val="20"/>
          <w:szCs w:val="20"/>
        </w:rPr>
        <w:t>然、顺应自然、保护自然，推动乡村的自然资本加快增值，实现百</w:t>
      </w:r>
      <w:r>
        <w:rPr>
          <w:spacing w:val="-1"/>
          <w:sz w:val="20"/>
          <w:szCs w:val="20"/>
        </w:rPr>
        <w:t>姓富、生态美的统一。</w:t>
      </w:r>
    </w:p>
    <w:p w14:paraId="34D62F2D">
      <w:pPr>
        <w:pStyle w:val="2"/>
        <w:spacing w:before="19" w:line="279" w:lineRule="auto"/>
        <w:ind w:left="300" w:right="17" w:firstLine="390"/>
        <w:rPr>
          <w:sz w:val="20"/>
          <w:szCs w:val="20"/>
        </w:rPr>
      </w:pPr>
      <w:r>
        <w:rPr>
          <w:spacing w:val="3"/>
          <w:sz w:val="20"/>
          <w:szCs w:val="20"/>
        </w:rPr>
        <w:t>统筹山、水、林、田、湖、草系统治理。以自然资源数据成果为基础，通过整合国土、林</w:t>
      </w:r>
      <w:r>
        <w:rPr>
          <w:sz w:val="20"/>
          <w:szCs w:val="20"/>
        </w:rPr>
        <w:t xml:space="preserve"> </w:t>
      </w:r>
      <w:r>
        <w:rPr>
          <w:spacing w:val="1"/>
          <w:sz w:val="20"/>
          <w:szCs w:val="20"/>
        </w:rPr>
        <w:t>业、农业、环境、气象等多源数据信息，建立针对自然资源管理的一张图管理系统，</w:t>
      </w:r>
      <w:r>
        <w:rPr>
          <w:sz w:val="20"/>
          <w:szCs w:val="20"/>
        </w:rPr>
        <w:t>利用3</w:t>
      </w:r>
      <w:r>
        <w:rPr>
          <w:rFonts w:ascii="Times New Roman" w:hAnsi="Times New Roman" w:eastAsia="Times New Roman" w:cs="Times New Roman"/>
          <w:sz w:val="20"/>
          <w:szCs w:val="20"/>
        </w:rPr>
        <w:t>S</w:t>
      </w:r>
      <w:r>
        <w:rPr>
          <w:rFonts w:ascii="Times New Roman" w:hAnsi="Times New Roman" w:eastAsia="Times New Roman" w:cs="Times New Roman"/>
          <w:spacing w:val="-8"/>
          <w:sz w:val="20"/>
          <w:szCs w:val="20"/>
        </w:rPr>
        <w:t xml:space="preserve"> </w:t>
      </w:r>
      <w:r>
        <w:rPr>
          <w:sz w:val="20"/>
          <w:szCs w:val="20"/>
        </w:rPr>
        <w:t xml:space="preserve">技 </w:t>
      </w:r>
      <w:r>
        <w:rPr>
          <w:spacing w:val="-1"/>
          <w:sz w:val="20"/>
          <w:szCs w:val="20"/>
        </w:rPr>
        <w:t>术，即遥感技术</w:t>
      </w:r>
      <w:r>
        <w:rPr>
          <w:spacing w:val="-3"/>
          <w:sz w:val="20"/>
          <w:szCs w:val="20"/>
        </w:rPr>
        <w:t xml:space="preserve"> </w:t>
      </w:r>
      <w:r>
        <w:rPr>
          <w:rFonts w:ascii="Times New Roman" w:hAnsi="Times New Roman" w:eastAsia="Times New Roman" w:cs="Times New Roman"/>
          <w:spacing w:val="-1"/>
          <w:sz w:val="20"/>
          <w:szCs w:val="20"/>
        </w:rPr>
        <w:t>(Remote       Sensing,RS)</w:t>
      </w:r>
      <w:r>
        <w:rPr>
          <w:spacing w:val="-1"/>
          <w:sz w:val="20"/>
          <w:szCs w:val="20"/>
        </w:rPr>
        <w:t>、地理信息系统</w:t>
      </w:r>
      <w:r>
        <w:rPr>
          <w:spacing w:val="-40"/>
          <w:sz w:val="20"/>
          <w:szCs w:val="20"/>
        </w:rPr>
        <w:t xml:space="preserve"> </w:t>
      </w:r>
      <w:r>
        <w:rPr>
          <w:rFonts w:ascii="Times New Roman" w:hAnsi="Times New Roman" w:eastAsia="Times New Roman" w:cs="Times New Roman"/>
          <w:spacing w:val="-1"/>
          <w:sz w:val="20"/>
          <w:szCs w:val="20"/>
        </w:rPr>
        <w:t>(Geography    Information    Systems,GIS)</w:t>
      </w:r>
      <w:r>
        <w:rPr>
          <w:rFonts w:ascii="Times New Roman" w:hAnsi="Times New Roman" w:eastAsia="Times New Roman" w:cs="Times New Roman"/>
          <w:sz w:val="20"/>
          <w:szCs w:val="20"/>
        </w:rPr>
        <w:t xml:space="preserve"> </w:t>
      </w:r>
      <w:r>
        <w:rPr>
          <w:sz w:val="20"/>
          <w:szCs w:val="20"/>
        </w:rPr>
        <w:t>和全球定位系统</w:t>
      </w:r>
      <w:r>
        <w:rPr>
          <w:spacing w:val="-22"/>
          <w:sz w:val="20"/>
          <w:szCs w:val="20"/>
        </w:rPr>
        <w:t xml:space="preserve"> </w:t>
      </w:r>
      <w:r>
        <w:rPr>
          <w:rFonts w:ascii="Times New Roman" w:hAnsi="Times New Roman" w:eastAsia="Times New Roman" w:cs="Times New Roman"/>
          <w:sz w:val="20"/>
          <w:szCs w:val="20"/>
        </w:rPr>
        <w:t>(Global    Positioning     Systems,GPS),</w:t>
      </w:r>
      <w:r>
        <w:rPr>
          <w:rFonts w:ascii="Times New Roman" w:hAnsi="Times New Roman" w:eastAsia="Times New Roman" w:cs="Times New Roman"/>
          <w:spacing w:val="30"/>
          <w:w w:val="101"/>
          <w:sz w:val="20"/>
          <w:szCs w:val="20"/>
        </w:rPr>
        <w:t xml:space="preserve"> </w:t>
      </w:r>
      <w:r>
        <w:rPr>
          <w:sz w:val="20"/>
          <w:szCs w:val="20"/>
        </w:rPr>
        <w:t>实现数据的可视化、一体化管理，最</w:t>
      </w:r>
      <w:r>
        <w:rPr>
          <w:spacing w:val="-1"/>
          <w:sz w:val="20"/>
          <w:szCs w:val="20"/>
        </w:rPr>
        <w:t>终实</w:t>
      </w:r>
      <w:r>
        <w:rPr>
          <w:sz w:val="20"/>
          <w:szCs w:val="20"/>
        </w:rPr>
        <w:t xml:space="preserve"> </w:t>
      </w:r>
      <w:r>
        <w:rPr>
          <w:spacing w:val="-2"/>
          <w:sz w:val="20"/>
          <w:szCs w:val="20"/>
        </w:rPr>
        <w:t>现山、水、林、田、湖、草等自然资源的整体保护。</w:t>
      </w:r>
    </w:p>
    <w:p w14:paraId="3ACD0810">
      <w:pPr>
        <w:pStyle w:val="2"/>
        <w:spacing w:before="70" w:line="270" w:lineRule="auto"/>
        <w:ind w:left="300" w:right="12" w:firstLine="390"/>
        <w:rPr>
          <w:sz w:val="20"/>
          <w:szCs w:val="20"/>
        </w:rPr>
      </w:pPr>
      <w:r>
        <w:rPr>
          <w:spacing w:val="4"/>
          <w:sz w:val="20"/>
          <w:szCs w:val="20"/>
        </w:rPr>
        <w:t>利用数字化技术手段，加强农村突出环境问题综</w:t>
      </w:r>
      <w:r>
        <w:rPr>
          <w:spacing w:val="3"/>
          <w:sz w:val="20"/>
          <w:szCs w:val="20"/>
        </w:rPr>
        <w:t>合治理，包括但不限于：利用信息技术重</w:t>
      </w:r>
      <w:r>
        <w:rPr>
          <w:sz w:val="20"/>
          <w:szCs w:val="20"/>
        </w:rPr>
        <w:t xml:space="preserve"> </w:t>
      </w:r>
      <w:r>
        <w:rPr>
          <w:spacing w:val="3"/>
          <w:sz w:val="20"/>
          <w:szCs w:val="20"/>
        </w:rPr>
        <w:t>组农业行业运行方式，硬技术赋能、软技术拓局；推进产地环境、水肥条件、品种质量、物资</w:t>
      </w:r>
      <w:r>
        <w:rPr>
          <w:spacing w:val="10"/>
          <w:sz w:val="20"/>
          <w:szCs w:val="20"/>
        </w:rPr>
        <w:t xml:space="preserve"> </w:t>
      </w:r>
      <w:r>
        <w:rPr>
          <w:spacing w:val="3"/>
          <w:sz w:val="20"/>
          <w:szCs w:val="20"/>
        </w:rPr>
        <w:t>添加、生产规模等一体化的数字化、智能解决方案；利用数字化技术加强农村环境监管能力建</w:t>
      </w:r>
      <w:r>
        <w:rPr>
          <w:spacing w:val="5"/>
          <w:sz w:val="20"/>
          <w:szCs w:val="20"/>
        </w:rPr>
        <w:t xml:space="preserve"> </w:t>
      </w:r>
      <w:r>
        <w:rPr>
          <w:spacing w:val="-1"/>
          <w:sz w:val="20"/>
          <w:szCs w:val="20"/>
        </w:rPr>
        <w:t>设，落实县乡两级农村环境保护主体责任；大力推进绿色技术与数字技术的融合应</w:t>
      </w:r>
      <w:r>
        <w:rPr>
          <w:spacing w:val="-2"/>
          <w:sz w:val="20"/>
          <w:szCs w:val="20"/>
        </w:rPr>
        <w:t>用。</w:t>
      </w:r>
    </w:p>
    <w:p w14:paraId="09A4E4B7">
      <w:pPr>
        <w:pStyle w:val="2"/>
        <w:spacing w:before="126" w:line="222" w:lineRule="auto"/>
        <w:ind w:left="692"/>
        <w:rPr>
          <w:rFonts w:ascii="黑体" w:hAnsi="黑体" w:eastAsia="黑体" w:cs="黑体"/>
          <w:sz w:val="20"/>
          <w:szCs w:val="20"/>
        </w:rPr>
      </w:pPr>
      <w:r>
        <w:rPr>
          <w:b/>
          <w:bCs/>
          <w:color w:val="0072BF"/>
          <w:spacing w:val="-1"/>
          <w:sz w:val="20"/>
          <w:szCs w:val="20"/>
        </w:rPr>
        <w:t>4.</w:t>
      </w:r>
      <w:r>
        <w:rPr>
          <w:rFonts w:ascii="黑体" w:hAnsi="黑体" w:eastAsia="黑体" w:cs="黑体"/>
          <w:b/>
          <w:bCs/>
          <w:color w:val="0072BF"/>
          <w:spacing w:val="-1"/>
          <w:sz w:val="20"/>
          <w:szCs w:val="20"/>
        </w:rPr>
        <w:t>数字乡村建设管理</w:t>
      </w:r>
    </w:p>
    <w:p w14:paraId="301325BE">
      <w:pPr>
        <w:pStyle w:val="2"/>
        <w:spacing w:before="143" w:line="219" w:lineRule="auto"/>
        <w:ind w:left="690"/>
        <w:rPr>
          <w:sz w:val="20"/>
          <w:szCs w:val="20"/>
        </w:rPr>
      </w:pPr>
      <w:r>
        <w:rPr>
          <w:spacing w:val="-2"/>
          <w:sz w:val="20"/>
          <w:szCs w:val="20"/>
        </w:rPr>
        <w:t>数字乡村建设管理主要包括以下几个方面。</w:t>
      </w:r>
    </w:p>
    <w:p w14:paraId="4A155DE5">
      <w:pPr>
        <w:pStyle w:val="2"/>
        <w:spacing w:before="62" w:line="219" w:lineRule="auto"/>
        <w:ind w:right="17"/>
        <w:jc w:val="right"/>
        <w:rPr>
          <w:sz w:val="20"/>
          <w:szCs w:val="20"/>
        </w:rPr>
      </w:pPr>
      <w:r>
        <w:rPr>
          <w:spacing w:val="6"/>
          <w:sz w:val="20"/>
          <w:szCs w:val="20"/>
        </w:rPr>
        <w:t>(1)基建先行，加强乡村信息基础设施建设。信息化基础设施是数字乡村发展的基石，是</w:t>
      </w:r>
    </w:p>
    <w:p w14:paraId="33FA650B">
      <w:pPr>
        <w:spacing w:line="219" w:lineRule="auto"/>
        <w:rPr>
          <w:sz w:val="20"/>
          <w:szCs w:val="20"/>
        </w:rPr>
        <w:sectPr>
          <w:pgSz w:w="10320" w:h="13420"/>
          <w:pgMar w:top="400" w:right="1122" w:bottom="400" w:left="549" w:header="0" w:footer="0" w:gutter="0"/>
          <w:cols w:space="720" w:num="1"/>
        </w:sectPr>
      </w:pPr>
    </w:p>
    <w:p w14:paraId="343C04D1">
      <w:pPr>
        <w:pStyle w:val="2"/>
        <w:jc w:val="right"/>
        <w:rPr>
          <w:rFonts w:ascii="Times New Roman" w:hAnsi="Times New Roman" w:eastAsia="Times New Roman" w:cs="Times New Roman"/>
          <w:sz w:val="20"/>
          <w:szCs w:val="20"/>
        </w:rPr>
      </w:pPr>
      <w:bookmarkStart w:id="502" w:name="bookmark489"/>
      <w:bookmarkEnd w:id="502"/>
      <w:r>
        <w:rPr>
          <w:spacing w:val="-1"/>
          <w:sz w:val="20"/>
          <w:szCs w:val="20"/>
        </w:rPr>
        <w:t>第1章 信息与信息化</w:t>
      </w:r>
      <w:r>
        <w:rPr>
          <w:spacing w:val="57"/>
          <w:sz w:val="20"/>
          <w:szCs w:val="20"/>
        </w:rPr>
        <w:t xml:space="preserve"> </w:t>
      </w:r>
      <w:r>
        <w:rPr>
          <w:position w:val="-8"/>
          <w:sz w:val="20"/>
          <w:szCs w:val="20"/>
        </w:rPr>
        <w:drawing>
          <wp:inline distT="0" distB="0" distL="0" distR="0">
            <wp:extent cx="279400" cy="2089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3"/>
                    <a:stretch>
                      <a:fillRect/>
                    </a:stretch>
                  </pic:blipFill>
                  <pic:spPr>
                    <a:xfrm>
                      <a:off x="0" y="0"/>
                      <a:ext cx="279419" cy="209532"/>
                    </a:xfrm>
                    <a:prstGeom prst="rect">
                      <a:avLst/>
                    </a:prstGeom>
                  </pic:spPr>
                </pic:pic>
              </a:graphicData>
            </a:graphic>
          </wp:inline>
        </w:drawing>
      </w:r>
      <w:r>
        <w:rPr>
          <w:spacing w:val="-20"/>
          <w:sz w:val="20"/>
          <w:szCs w:val="20"/>
        </w:rPr>
        <w:t xml:space="preserve"> </w:t>
      </w:r>
      <w:r>
        <w:rPr>
          <w:rFonts w:ascii="Times New Roman" w:hAnsi="Times New Roman" w:eastAsia="Times New Roman" w:cs="Times New Roman"/>
          <w:spacing w:val="-1"/>
          <w:sz w:val="20"/>
          <w:szCs w:val="20"/>
        </w:rPr>
        <w:t>43</w:t>
      </w:r>
    </w:p>
    <w:p w14:paraId="69C8CD10">
      <w:pPr>
        <w:spacing w:line="276" w:lineRule="auto"/>
        <w:rPr>
          <w:rFonts w:ascii="Arial"/>
          <w:sz w:val="21"/>
        </w:rPr>
      </w:pPr>
    </w:p>
    <w:p w14:paraId="411C24DC">
      <w:pPr>
        <w:pStyle w:val="2"/>
        <w:spacing w:before="65" w:line="289" w:lineRule="auto"/>
        <w:ind w:right="287"/>
        <w:jc w:val="both"/>
        <w:rPr>
          <w:sz w:val="20"/>
          <w:szCs w:val="20"/>
        </w:rPr>
      </w:pPr>
      <w:r>
        <w:rPr>
          <w:sz w:val="20"/>
          <w:szCs w:val="20"/>
        </w:rPr>
        <w:t>弥补城乡“数字鸿沟”,加快乡村数字化转型的必要条件。要在充分考察各个乡村数字化发展水</w:t>
      </w:r>
      <w:r>
        <w:rPr>
          <w:spacing w:val="18"/>
          <w:sz w:val="20"/>
          <w:szCs w:val="20"/>
        </w:rPr>
        <w:t xml:space="preserve"> </w:t>
      </w:r>
      <w:r>
        <w:rPr>
          <w:spacing w:val="3"/>
          <w:sz w:val="20"/>
          <w:szCs w:val="20"/>
        </w:rPr>
        <w:t>平的实际情况下，进行有针对性的专业信息基础设施等规划建设，对已建设的乡村</w:t>
      </w:r>
      <w:r>
        <w:rPr>
          <w:spacing w:val="2"/>
          <w:sz w:val="20"/>
          <w:szCs w:val="20"/>
        </w:rPr>
        <w:t>信息基础设</w:t>
      </w:r>
      <w:r>
        <w:rPr>
          <w:sz w:val="20"/>
          <w:szCs w:val="20"/>
        </w:rPr>
        <w:t xml:space="preserve"> </w:t>
      </w:r>
      <w:r>
        <w:rPr>
          <w:spacing w:val="-4"/>
          <w:sz w:val="20"/>
          <w:szCs w:val="20"/>
        </w:rPr>
        <w:t>施进行常态化维护。</w:t>
      </w:r>
    </w:p>
    <w:p w14:paraId="412CE419">
      <w:pPr>
        <w:pStyle w:val="2"/>
        <w:spacing w:before="13" w:line="270" w:lineRule="auto"/>
        <w:ind w:right="269" w:firstLine="420"/>
        <w:rPr>
          <w:sz w:val="20"/>
          <w:szCs w:val="20"/>
        </w:rPr>
      </w:pPr>
      <w:r>
        <w:rPr>
          <w:spacing w:val="5"/>
          <w:sz w:val="20"/>
          <w:szCs w:val="20"/>
        </w:rPr>
        <w:t>(2)智慧赋能，打造乡村现代化经济体系。以发展农业农村数字服务业为主攻方向打造乡</w:t>
      </w:r>
      <w:r>
        <w:rPr>
          <w:spacing w:val="16"/>
          <w:sz w:val="20"/>
          <w:szCs w:val="20"/>
        </w:rPr>
        <w:t xml:space="preserve"> </w:t>
      </w:r>
      <w:r>
        <w:rPr>
          <w:spacing w:val="3"/>
          <w:sz w:val="20"/>
          <w:szCs w:val="20"/>
        </w:rPr>
        <w:t>村现代化经济体系，是高质量数字乡村建设的基本思想，借助信息化技术对农村产业</w:t>
      </w:r>
      <w:r>
        <w:rPr>
          <w:spacing w:val="2"/>
          <w:sz w:val="20"/>
          <w:szCs w:val="20"/>
        </w:rPr>
        <w:t>、生产环</w:t>
      </w:r>
      <w:r>
        <w:rPr>
          <w:sz w:val="20"/>
          <w:szCs w:val="20"/>
        </w:rPr>
        <w:t xml:space="preserve"> </w:t>
      </w:r>
      <w:r>
        <w:rPr>
          <w:spacing w:val="-1"/>
          <w:sz w:val="20"/>
          <w:szCs w:val="20"/>
        </w:rPr>
        <w:t>节、经营模式进行智慧赋能，才能进一步解</w:t>
      </w:r>
      <w:r>
        <w:rPr>
          <w:spacing w:val="-2"/>
          <w:sz w:val="20"/>
          <w:szCs w:val="20"/>
        </w:rPr>
        <w:t>放数字化生产力。</w:t>
      </w:r>
    </w:p>
    <w:p w14:paraId="2AD53A61">
      <w:pPr>
        <w:pStyle w:val="2"/>
        <w:spacing w:before="92" w:line="264" w:lineRule="auto"/>
        <w:ind w:right="196" w:firstLine="420"/>
        <w:rPr>
          <w:sz w:val="20"/>
          <w:szCs w:val="20"/>
        </w:rPr>
      </w:pPr>
      <w:r>
        <w:rPr>
          <w:spacing w:val="2"/>
          <w:sz w:val="20"/>
          <w:szCs w:val="20"/>
        </w:rPr>
        <w:t>(3)服务惠农，建成数字化农村公共信息服务体系。建设数字乡村的根本目的是惠农便民，</w:t>
      </w:r>
      <w:r>
        <w:rPr>
          <w:spacing w:val="6"/>
          <w:sz w:val="20"/>
          <w:szCs w:val="20"/>
        </w:rPr>
        <w:t xml:space="preserve"> </w:t>
      </w:r>
      <w:r>
        <w:rPr>
          <w:spacing w:val="3"/>
          <w:sz w:val="20"/>
          <w:szCs w:val="20"/>
        </w:rPr>
        <w:t>要让农民成为数字乡村建设的真正受益者，为了提高广大农村居住人口的生活水平，</w:t>
      </w:r>
      <w:r>
        <w:rPr>
          <w:spacing w:val="2"/>
          <w:sz w:val="20"/>
          <w:szCs w:val="20"/>
        </w:rPr>
        <w:t>有必要在</w:t>
      </w:r>
      <w:r>
        <w:rPr>
          <w:sz w:val="20"/>
          <w:szCs w:val="20"/>
        </w:rPr>
        <w:t xml:space="preserve">  </w:t>
      </w:r>
      <w:r>
        <w:rPr>
          <w:spacing w:val="-1"/>
          <w:sz w:val="20"/>
          <w:szCs w:val="20"/>
        </w:rPr>
        <w:t>数字乡村建设中建成区域性数字化农村公共信息服务体系，让乡村生活</w:t>
      </w:r>
      <w:r>
        <w:rPr>
          <w:spacing w:val="-2"/>
          <w:sz w:val="20"/>
          <w:szCs w:val="20"/>
        </w:rPr>
        <w:t>更便利。</w:t>
      </w:r>
    </w:p>
    <w:p w14:paraId="10478C13">
      <w:pPr>
        <w:pStyle w:val="2"/>
        <w:spacing w:before="62" w:line="262" w:lineRule="auto"/>
        <w:ind w:right="287" w:firstLine="420"/>
        <w:rPr>
          <w:sz w:val="20"/>
          <w:szCs w:val="20"/>
        </w:rPr>
      </w:pPr>
      <w:r>
        <w:rPr>
          <w:spacing w:val="5"/>
          <w:sz w:val="20"/>
          <w:szCs w:val="20"/>
        </w:rPr>
        <w:t>(4)精准高效，建设数字乡村现代化治理体系。在数字乡村建设中，可以借助信息</w:t>
      </w:r>
      <w:r>
        <w:rPr>
          <w:spacing w:val="4"/>
          <w:sz w:val="20"/>
          <w:szCs w:val="20"/>
        </w:rPr>
        <w:t>化与数</w:t>
      </w:r>
      <w:r>
        <w:rPr>
          <w:sz w:val="20"/>
          <w:szCs w:val="20"/>
        </w:rPr>
        <w:t xml:space="preserve"> </w:t>
      </w:r>
      <w:r>
        <w:rPr>
          <w:spacing w:val="-1"/>
          <w:sz w:val="20"/>
          <w:szCs w:val="20"/>
        </w:rPr>
        <w:t>字化技术补齐乡村治理的短板，探索专业化乡村治理新模式，让乡村治理更加精准高效。</w:t>
      </w:r>
    </w:p>
    <w:p w14:paraId="5D253D48">
      <w:pPr>
        <w:pStyle w:val="2"/>
        <w:spacing w:before="73" w:line="289" w:lineRule="auto"/>
        <w:ind w:right="273" w:firstLine="420"/>
        <w:rPr>
          <w:sz w:val="16"/>
          <w:szCs w:val="16"/>
        </w:rPr>
      </w:pPr>
      <w:r>
        <w:rPr>
          <w:spacing w:val="5"/>
          <w:sz w:val="20"/>
          <w:szCs w:val="20"/>
        </w:rPr>
        <w:t>(5)生态宜居，构建绿色乡村美好生活。近年来，人口流失一直是农村地区不容忽视的问</w:t>
      </w:r>
      <w:r>
        <w:rPr>
          <w:spacing w:val="12"/>
          <w:sz w:val="20"/>
          <w:szCs w:val="20"/>
        </w:rPr>
        <w:t xml:space="preserve"> </w:t>
      </w:r>
      <w:r>
        <w:rPr>
          <w:spacing w:val="3"/>
          <w:sz w:val="20"/>
          <w:szCs w:val="20"/>
        </w:rPr>
        <w:t>题，为了践行“让乡村留得住乡愁、让乡亲生活更美好”的理念，可将信息化技术运</w:t>
      </w:r>
      <w:r>
        <w:rPr>
          <w:spacing w:val="2"/>
          <w:sz w:val="20"/>
          <w:szCs w:val="20"/>
        </w:rPr>
        <w:t>用到新一</w:t>
      </w:r>
      <w:r>
        <w:rPr>
          <w:sz w:val="20"/>
          <w:szCs w:val="20"/>
        </w:rPr>
        <w:t xml:space="preserve"> </w:t>
      </w:r>
      <w:r>
        <w:rPr>
          <w:spacing w:val="3"/>
          <w:sz w:val="20"/>
          <w:szCs w:val="20"/>
        </w:rPr>
        <w:t>轮农村人居环境改善提升行动中，打造绿色宜居的乡村环境，吸引更多的人投身</w:t>
      </w:r>
      <w:r>
        <w:rPr>
          <w:spacing w:val="2"/>
          <w:sz w:val="20"/>
          <w:szCs w:val="20"/>
        </w:rPr>
        <w:t>乡村生活与建</w:t>
      </w:r>
      <w:r>
        <w:rPr>
          <w:sz w:val="20"/>
          <w:szCs w:val="20"/>
        </w:rPr>
        <w:t xml:space="preserve"> </w:t>
      </w:r>
      <w:r>
        <w:rPr>
          <w:spacing w:val="-9"/>
          <w:sz w:val="16"/>
          <w:szCs w:val="16"/>
        </w:rPr>
        <w:t>设 中</w:t>
      </w:r>
      <w:r>
        <w:rPr>
          <w:spacing w:val="-22"/>
          <w:sz w:val="16"/>
          <w:szCs w:val="16"/>
        </w:rPr>
        <w:t xml:space="preserve"> </w:t>
      </w:r>
      <w:r>
        <w:rPr>
          <w:spacing w:val="-9"/>
          <w:sz w:val="16"/>
          <w:szCs w:val="16"/>
        </w:rPr>
        <w:t>。</w:t>
      </w:r>
    </w:p>
    <w:p w14:paraId="62210F67">
      <w:pPr>
        <w:pStyle w:val="2"/>
        <w:spacing w:before="90" w:line="282" w:lineRule="auto"/>
        <w:ind w:right="236" w:firstLine="420"/>
        <w:rPr>
          <w:sz w:val="16"/>
          <w:szCs w:val="16"/>
        </w:rPr>
      </w:pPr>
      <w:r>
        <w:rPr>
          <w:spacing w:val="8"/>
          <w:sz w:val="20"/>
          <w:szCs w:val="20"/>
        </w:rPr>
        <w:t>(6)打破信息“孤岛”,实现顶层设计下的数据互通。要真正解决各地数字乡村建设过程</w:t>
      </w:r>
      <w:r>
        <w:rPr>
          <w:spacing w:val="5"/>
          <w:sz w:val="20"/>
          <w:szCs w:val="20"/>
        </w:rPr>
        <w:t xml:space="preserve"> </w:t>
      </w:r>
      <w:r>
        <w:rPr>
          <w:spacing w:val="-1"/>
          <w:sz w:val="20"/>
          <w:szCs w:val="20"/>
        </w:rPr>
        <w:t>中的结构性问题，为数字乡村发展营造良性的发展环境，就要在农村激发数字经济的内生动力，</w:t>
      </w:r>
      <w:r>
        <w:rPr>
          <w:spacing w:val="10"/>
          <w:sz w:val="20"/>
          <w:szCs w:val="20"/>
        </w:rPr>
        <w:t xml:space="preserve"> </w:t>
      </w:r>
      <w:r>
        <w:rPr>
          <w:spacing w:val="3"/>
          <w:sz w:val="20"/>
          <w:szCs w:val="20"/>
        </w:rPr>
        <w:t>用科学的顶层设计创造强有力的制度保障，打破信息孤岛，让一切有助于乡村振</w:t>
      </w:r>
      <w:r>
        <w:rPr>
          <w:spacing w:val="2"/>
          <w:sz w:val="20"/>
          <w:szCs w:val="20"/>
        </w:rPr>
        <w:t>兴的要素不断</w:t>
      </w:r>
      <w:r>
        <w:rPr>
          <w:sz w:val="20"/>
          <w:szCs w:val="20"/>
        </w:rPr>
        <w:t xml:space="preserve"> </w:t>
      </w:r>
      <w:r>
        <w:rPr>
          <w:spacing w:val="-6"/>
          <w:sz w:val="16"/>
          <w:szCs w:val="16"/>
        </w:rPr>
        <w:t>涌</w:t>
      </w:r>
      <w:r>
        <w:rPr>
          <w:spacing w:val="-16"/>
          <w:sz w:val="16"/>
          <w:szCs w:val="16"/>
        </w:rPr>
        <w:t xml:space="preserve"> </w:t>
      </w:r>
      <w:r>
        <w:rPr>
          <w:spacing w:val="-6"/>
          <w:sz w:val="16"/>
          <w:szCs w:val="16"/>
        </w:rPr>
        <w:t>流</w:t>
      </w:r>
      <w:r>
        <w:rPr>
          <w:spacing w:val="-24"/>
          <w:sz w:val="16"/>
          <w:szCs w:val="16"/>
        </w:rPr>
        <w:t xml:space="preserve"> </w:t>
      </w:r>
      <w:r>
        <w:rPr>
          <w:spacing w:val="-6"/>
          <w:sz w:val="16"/>
          <w:szCs w:val="16"/>
        </w:rPr>
        <w:t>。</w:t>
      </w:r>
    </w:p>
    <w:p w14:paraId="5E601587">
      <w:pPr>
        <w:spacing w:line="282" w:lineRule="auto"/>
        <w:rPr>
          <w:sz w:val="16"/>
          <w:szCs w:val="16"/>
        </w:rPr>
        <w:sectPr>
          <w:pgSz w:w="10310" w:h="13300"/>
          <w:pgMar w:top="379" w:right="533" w:bottom="400" w:left="1169" w:header="0" w:footer="0" w:gutter="0"/>
          <w:cols w:space="720" w:num="1"/>
        </w:sectPr>
      </w:pPr>
    </w:p>
    <w:p w14:paraId="3D91C3A0">
      <w:pPr>
        <w:spacing w:line="265" w:lineRule="auto"/>
        <w:rPr>
          <w:rFonts w:ascii="Arial"/>
          <w:sz w:val="21"/>
        </w:rPr>
      </w:pPr>
    </w:p>
    <w:p w14:paraId="714B58BF">
      <w:pPr>
        <w:spacing w:line="265" w:lineRule="auto"/>
        <w:rPr>
          <w:rFonts w:ascii="Arial"/>
          <w:sz w:val="21"/>
        </w:rPr>
      </w:pPr>
    </w:p>
    <w:p w14:paraId="5C41C59A">
      <w:pPr>
        <w:spacing w:line="265" w:lineRule="auto"/>
        <w:rPr>
          <w:rFonts w:ascii="Arial"/>
          <w:sz w:val="21"/>
        </w:rPr>
      </w:pPr>
    </w:p>
    <w:p w14:paraId="76094A3A">
      <w:pPr>
        <w:spacing w:before="130" w:line="235" w:lineRule="auto"/>
        <w:rPr>
          <w:sz w:val="40"/>
          <w:szCs w:val="40"/>
        </w:rPr>
      </w:pPr>
      <w:bookmarkStart w:id="503" w:name="bookmark490"/>
      <w:bookmarkEnd w:id="503"/>
      <w:r>
        <w:rPr>
          <w:rFonts w:ascii="黑体" w:hAnsi="黑体" w:eastAsia="黑体" w:cs="黑体"/>
          <w:color w:val="0079E4"/>
          <w:position w:val="-3"/>
          <w:sz w:val="40"/>
          <w:szCs w:val="40"/>
        </w:rPr>
        <w:drawing>
          <wp:inline distT="0" distB="0" distL="0" distR="0">
            <wp:extent cx="635000" cy="2667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4"/>
                    <a:stretch>
                      <a:fillRect/>
                    </a:stretch>
                  </pic:blipFill>
                  <pic:spPr>
                    <a:xfrm>
                      <a:off x="0" y="0"/>
                      <a:ext cx="635044" cy="266700"/>
                    </a:xfrm>
                    <a:prstGeom prst="rect">
                      <a:avLst/>
                    </a:prstGeom>
                  </pic:spPr>
                </pic:pic>
              </a:graphicData>
            </a:graphic>
          </wp:inline>
        </w:drawing>
      </w:r>
      <w:r>
        <w:rPr>
          <w:rFonts w:ascii="黑体" w:hAnsi="黑体" w:eastAsia="黑体" w:cs="黑体"/>
          <w:color w:val="0079E4"/>
          <w:spacing w:val="34"/>
          <w:sz w:val="40"/>
          <w:szCs w:val="40"/>
        </w:rPr>
        <w:t xml:space="preserve">     </w:t>
      </w:r>
      <w:r>
        <w:rPr>
          <w:rFonts w:ascii="黑体" w:hAnsi="黑体" w:eastAsia="黑体" w:cs="黑体"/>
          <w:b/>
          <w:bCs/>
          <w:color w:val="0079E4"/>
          <w:spacing w:val="-10"/>
          <w:sz w:val="40"/>
          <w:szCs w:val="40"/>
        </w:rPr>
        <w:t>第</w:t>
      </w:r>
      <w:r>
        <w:rPr>
          <w:rFonts w:ascii="黑体" w:hAnsi="黑体" w:eastAsia="黑体" w:cs="黑体"/>
          <w:color w:val="0079E4"/>
          <w:spacing w:val="-66"/>
          <w:sz w:val="40"/>
          <w:szCs w:val="40"/>
        </w:rPr>
        <w:t xml:space="preserve"> </w:t>
      </w:r>
      <w:r>
        <w:rPr>
          <w:rFonts w:ascii="黑体" w:hAnsi="黑体" w:eastAsia="黑体" w:cs="黑体"/>
          <w:b/>
          <w:bCs/>
          <w:color w:val="0079E4"/>
          <w:spacing w:val="-10"/>
          <w:sz w:val="40"/>
          <w:szCs w:val="40"/>
        </w:rPr>
        <w:t>2</w:t>
      </w:r>
      <w:r>
        <w:rPr>
          <w:rFonts w:ascii="黑体" w:hAnsi="黑体" w:eastAsia="黑体" w:cs="黑体"/>
          <w:color w:val="0079E4"/>
          <w:spacing w:val="-63"/>
          <w:sz w:val="40"/>
          <w:szCs w:val="40"/>
        </w:rPr>
        <w:t xml:space="preserve"> </w:t>
      </w:r>
      <w:r>
        <w:rPr>
          <w:rFonts w:ascii="黑体" w:hAnsi="黑体" w:eastAsia="黑体" w:cs="黑体"/>
          <w:b/>
          <w:bCs/>
          <w:color w:val="0079E4"/>
          <w:spacing w:val="-10"/>
          <w:sz w:val="40"/>
          <w:szCs w:val="40"/>
        </w:rPr>
        <w:t>章</w:t>
      </w:r>
      <w:r>
        <w:rPr>
          <w:rFonts w:ascii="黑体" w:hAnsi="黑体" w:eastAsia="黑体" w:cs="黑体"/>
          <w:color w:val="0079E4"/>
          <w:spacing w:val="-10"/>
          <w:sz w:val="40"/>
          <w:szCs w:val="40"/>
        </w:rPr>
        <w:t xml:space="preserve">  </w:t>
      </w:r>
      <w:r>
        <w:rPr>
          <w:rFonts w:ascii="黑体" w:hAnsi="黑体" w:eastAsia="黑体" w:cs="黑体"/>
          <w:b/>
          <w:bCs/>
          <w:color w:val="0079E4"/>
          <w:spacing w:val="-10"/>
          <w:sz w:val="40"/>
          <w:szCs w:val="40"/>
        </w:rPr>
        <w:t>信息系统工程</w:t>
      </w:r>
      <w:r>
        <w:rPr>
          <w:rFonts w:ascii="黑体" w:hAnsi="黑体" w:eastAsia="黑体" w:cs="黑体"/>
          <w:color w:val="0079E4"/>
          <w:spacing w:val="28"/>
          <w:sz w:val="40"/>
          <w:szCs w:val="40"/>
        </w:rPr>
        <w:t xml:space="preserve">     </w:t>
      </w:r>
      <w:r>
        <w:rPr>
          <w:position w:val="-5"/>
          <w:sz w:val="40"/>
          <w:szCs w:val="40"/>
        </w:rPr>
        <w:drawing>
          <wp:inline distT="0" distB="0" distL="0" distR="0">
            <wp:extent cx="628650" cy="26670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5"/>
                    <a:stretch>
                      <a:fillRect/>
                    </a:stretch>
                  </pic:blipFill>
                  <pic:spPr>
                    <a:xfrm>
                      <a:off x="0" y="0"/>
                      <a:ext cx="628693" cy="266700"/>
                    </a:xfrm>
                    <a:prstGeom prst="rect">
                      <a:avLst/>
                    </a:prstGeom>
                  </pic:spPr>
                </pic:pic>
              </a:graphicData>
            </a:graphic>
          </wp:inline>
        </w:drawing>
      </w:r>
    </w:p>
    <w:p w14:paraId="6C5331A9">
      <w:pPr>
        <w:spacing w:line="356" w:lineRule="auto"/>
        <w:rPr>
          <w:rFonts w:ascii="Arial"/>
          <w:sz w:val="21"/>
        </w:rPr>
      </w:pPr>
    </w:p>
    <w:p w14:paraId="309D3B07">
      <w:pPr>
        <w:spacing w:line="356" w:lineRule="auto"/>
        <w:rPr>
          <w:rFonts w:ascii="Arial"/>
          <w:sz w:val="21"/>
        </w:rPr>
      </w:pPr>
    </w:p>
    <w:p w14:paraId="3F943BDD">
      <w:pPr>
        <w:pStyle w:val="2"/>
        <w:spacing w:before="62" w:line="307" w:lineRule="auto"/>
        <w:ind w:right="19" w:firstLine="400"/>
        <w:jc w:val="both"/>
        <w:rPr>
          <w:sz w:val="19"/>
          <w:szCs w:val="19"/>
        </w:rPr>
      </w:pPr>
      <w:r>
        <w:rPr>
          <w:spacing w:val="9"/>
          <w:sz w:val="19"/>
          <w:szCs w:val="19"/>
        </w:rPr>
        <w:t>信息系统工程是用系统工程的原理、方法来指导信息系统建设与管理的一门工程技术学科，</w:t>
      </w:r>
      <w:r>
        <w:rPr>
          <w:spacing w:val="4"/>
          <w:sz w:val="19"/>
          <w:szCs w:val="19"/>
        </w:rPr>
        <w:t xml:space="preserve"> </w:t>
      </w:r>
      <w:r>
        <w:rPr>
          <w:spacing w:val="13"/>
          <w:sz w:val="19"/>
          <w:szCs w:val="19"/>
        </w:rPr>
        <w:t>是信息科学、管理科学、系统科学、计算机科学与通信技术相结合的综合性、交叉性</w:t>
      </w:r>
      <w:r>
        <w:rPr>
          <w:spacing w:val="12"/>
          <w:sz w:val="19"/>
          <w:szCs w:val="19"/>
        </w:rPr>
        <w:t>、具有独</w:t>
      </w:r>
      <w:r>
        <w:rPr>
          <w:sz w:val="19"/>
          <w:szCs w:val="19"/>
        </w:rPr>
        <w:t xml:space="preserve"> </w:t>
      </w:r>
      <w:r>
        <w:rPr>
          <w:spacing w:val="13"/>
          <w:sz w:val="19"/>
          <w:szCs w:val="19"/>
        </w:rPr>
        <w:t>特风格的应用学科。信息系统工程的主要任务是研究信息处理过程内在的规律，以</w:t>
      </w:r>
      <w:r>
        <w:rPr>
          <w:spacing w:val="12"/>
          <w:sz w:val="19"/>
          <w:szCs w:val="19"/>
        </w:rPr>
        <w:t>及基于计算</w:t>
      </w:r>
      <w:r>
        <w:rPr>
          <w:sz w:val="19"/>
          <w:szCs w:val="19"/>
        </w:rPr>
        <w:t xml:space="preserve"> </w:t>
      </w:r>
      <w:r>
        <w:rPr>
          <w:spacing w:val="13"/>
          <w:sz w:val="19"/>
          <w:szCs w:val="19"/>
        </w:rPr>
        <w:t>机、互联网和云计算等现代化手段的形式化表达和处理规律等。信息系统工程的基本概念、原</w:t>
      </w:r>
      <w:r>
        <w:rPr>
          <w:spacing w:val="1"/>
          <w:sz w:val="19"/>
          <w:szCs w:val="19"/>
        </w:rPr>
        <w:t xml:space="preserve"> </w:t>
      </w:r>
      <w:r>
        <w:rPr>
          <w:spacing w:val="13"/>
          <w:sz w:val="19"/>
          <w:szCs w:val="19"/>
        </w:rPr>
        <w:t>理和方法对实际规划、分析、设计、实现、运行评价和服务一个信息系统，从</w:t>
      </w:r>
      <w:r>
        <w:rPr>
          <w:spacing w:val="12"/>
          <w:sz w:val="19"/>
          <w:szCs w:val="19"/>
        </w:rPr>
        <w:t>理论、手段、方</w:t>
      </w:r>
      <w:r>
        <w:rPr>
          <w:sz w:val="19"/>
          <w:szCs w:val="19"/>
        </w:rPr>
        <w:t xml:space="preserve"> </w:t>
      </w:r>
      <w:r>
        <w:rPr>
          <w:spacing w:val="10"/>
          <w:sz w:val="19"/>
          <w:szCs w:val="19"/>
        </w:rPr>
        <w:t>法、技术等多方面提供了一套完整、科学、实用的研究与工</w:t>
      </w:r>
      <w:r>
        <w:rPr>
          <w:spacing w:val="9"/>
          <w:sz w:val="19"/>
          <w:szCs w:val="19"/>
        </w:rPr>
        <w:t>程体系，具有十分重要的应用价值，</w:t>
      </w:r>
      <w:r>
        <w:rPr>
          <w:sz w:val="19"/>
          <w:szCs w:val="19"/>
        </w:rPr>
        <w:t xml:space="preserve"> </w:t>
      </w:r>
      <w:r>
        <w:rPr>
          <w:spacing w:val="7"/>
          <w:sz w:val="19"/>
          <w:szCs w:val="19"/>
        </w:rPr>
        <w:t>对信息系统建设有着重要的理论指导意义。</w:t>
      </w:r>
    </w:p>
    <w:p w14:paraId="053AA68B">
      <w:pPr>
        <w:spacing w:line="297" w:lineRule="auto"/>
        <w:rPr>
          <w:rFonts w:ascii="Arial"/>
          <w:sz w:val="21"/>
        </w:rPr>
      </w:pPr>
    </w:p>
    <w:p w14:paraId="3E7601A1">
      <w:pPr>
        <w:pStyle w:val="2"/>
        <w:spacing w:before="85" w:line="221" w:lineRule="auto"/>
        <w:ind w:left="3"/>
        <w:rPr>
          <w:rFonts w:ascii="黑体" w:hAnsi="黑体" w:eastAsia="黑体" w:cs="黑体"/>
          <w:sz w:val="26"/>
          <w:szCs w:val="26"/>
        </w:rPr>
      </w:pPr>
      <w:r>
        <w:rPr>
          <w:b/>
          <w:bCs/>
          <w:color w:val="007FD5"/>
          <w:spacing w:val="2"/>
          <w:sz w:val="26"/>
          <w:szCs w:val="26"/>
        </w:rPr>
        <w:t>2.1</w:t>
      </w:r>
      <w:r>
        <w:rPr>
          <w:color w:val="007FD5"/>
          <w:spacing w:val="14"/>
          <w:sz w:val="26"/>
          <w:szCs w:val="26"/>
        </w:rPr>
        <w:t xml:space="preserve">  </w:t>
      </w:r>
      <w:r>
        <w:rPr>
          <w:rFonts w:ascii="黑体" w:hAnsi="黑体" w:eastAsia="黑体" w:cs="黑体"/>
          <w:b/>
          <w:bCs/>
          <w:color w:val="007FD5"/>
          <w:spacing w:val="2"/>
          <w:sz w:val="26"/>
          <w:szCs w:val="26"/>
        </w:rPr>
        <w:t>信息系统</w:t>
      </w:r>
    </w:p>
    <w:p w14:paraId="2F4025CA">
      <w:pPr>
        <w:pStyle w:val="2"/>
        <w:spacing w:before="279" w:line="295" w:lineRule="auto"/>
        <w:ind w:firstLine="400"/>
        <w:jc w:val="both"/>
        <w:rPr>
          <w:sz w:val="19"/>
          <w:szCs w:val="19"/>
        </w:rPr>
      </w:pPr>
      <w:r>
        <w:rPr>
          <w:spacing w:val="10"/>
          <w:sz w:val="19"/>
          <w:szCs w:val="19"/>
        </w:rPr>
        <w:t>广义的信息系统包含组织内和组织所处环境中的重要人员、地点和事情的信息，通过输入、</w:t>
      </w:r>
      <w:r>
        <w:rPr>
          <w:spacing w:val="3"/>
          <w:sz w:val="19"/>
          <w:szCs w:val="19"/>
        </w:rPr>
        <w:t xml:space="preserve"> </w:t>
      </w:r>
      <w:r>
        <w:rPr>
          <w:spacing w:val="13"/>
          <w:sz w:val="19"/>
          <w:szCs w:val="19"/>
        </w:rPr>
        <w:t>处理和输出三个基本活动将原始数据转变为有用的信息，具有决策支持、协调、控制</w:t>
      </w:r>
      <w:r>
        <w:rPr>
          <w:spacing w:val="12"/>
          <w:sz w:val="19"/>
          <w:szCs w:val="19"/>
        </w:rPr>
        <w:t>、协助管</w:t>
      </w:r>
      <w:r>
        <w:rPr>
          <w:sz w:val="19"/>
          <w:szCs w:val="19"/>
        </w:rPr>
        <w:t xml:space="preserve">  </w:t>
      </w:r>
      <w:r>
        <w:rPr>
          <w:spacing w:val="15"/>
          <w:sz w:val="19"/>
          <w:szCs w:val="19"/>
        </w:rPr>
        <w:t>理者与员工分析问题、可视化复杂对象和创</w:t>
      </w:r>
      <w:r>
        <w:rPr>
          <w:spacing w:val="14"/>
          <w:sz w:val="19"/>
          <w:szCs w:val="19"/>
        </w:rPr>
        <w:t>造新产品等功能。信息系统具有三个维度：组织、</w:t>
      </w:r>
      <w:r>
        <w:rPr>
          <w:sz w:val="19"/>
          <w:szCs w:val="19"/>
        </w:rPr>
        <w:t xml:space="preserve"> </w:t>
      </w:r>
      <w:r>
        <w:rPr>
          <w:spacing w:val="5"/>
          <w:sz w:val="19"/>
          <w:szCs w:val="19"/>
        </w:rPr>
        <w:t>管理、信息技术。</w:t>
      </w:r>
    </w:p>
    <w:p w14:paraId="6D87D331">
      <w:pPr>
        <w:pStyle w:val="2"/>
        <w:spacing w:before="45" w:line="297" w:lineRule="auto"/>
        <w:ind w:right="78" w:firstLine="400"/>
        <w:jc w:val="both"/>
        <w:rPr>
          <w:sz w:val="19"/>
          <w:szCs w:val="19"/>
        </w:rPr>
      </w:pPr>
      <w:r>
        <w:rPr>
          <w:spacing w:val="13"/>
          <w:sz w:val="19"/>
          <w:szCs w:val="19"/>
        </w:rPr>
        <w:t>狭义的信息系统指由计算机硬件、网络和通信设备、软件、信息资源、信息用户和规章制</w:t>
      </w:r>
      <w:r>
        <w:rPr>
          <w:spacing w:val="8"/>
          <w:sz w:val="19"/>
          <w:szCs w:val="19"/>
        </w:rPr>
        <w:t xml:space="preserve"> </w:t>
      </w:r>
      <w:r>
        <w:rPr>
          <w:spacing w:val="13"/>
          <w:sz w:val="19"/>
          <w:szCs w:val="19"/>
        </w:rPr>
        <w:t>度组成的以处理信息流为目的的人机一体化系统。从技术上可以定义为一系列支持决策和控制</w:t>
      </w:r>
      <w:r>
        <w:rPr>
          <w:spacing w:val="2"/>
          <w:sz w:val="19"/>
          <w:szCs w:val="19"/>
        </w:rPr>
        <w:t xml:space="preserve"> </w:t>
      </w:r>
      <w:r>
        <w:rPr>
          <w:spacing w:val="13"/>
          <w:sz w:val="19"/>
          <w:szCs w:val="19"/>
        </w:rPr>
        <w:t>的相关要素，这些要素主要包括信息的收集、检索、加工处理和信息服务。除了</w:t>
      </w:r>
      <w:r>
        <w:rPr>
          <w:spacing w:val="12"/>
          <w:sz w:val="19"/>
          <w:szCs w:val="19"/>
        </w:rPr>
        <w:t>支持决策和控</w:t>
      </w:r>
      <w:r>
        <w:rPr>
          <w:sz w:val="19"/>
          <w:szCs w:val="19"/>
        </w:rPr>
        <w:t xml:space="preserve"> </w:t>
      </w:r>
      <w:r>
        <w:rPr>
          <w:spacing w:val="13"/>
          <w:sz w:val="19"/>
          <w:szCs w:val="19"/>
        </w:rPr>
        <w:t>制外，信息系统还帮助管理人员和生产人员分析问题，使复杂问题可视化，提</w:t>
      </w:r>
      <w:r>
        <w:rPr>
          <w:spacing w:val="12"/>
          <w:sz w:val="19"/>
          <w:szCs w:val="19"/>
        </w:rPr>
        <w:t>供新的产品和服</w:t>
      </w:r>
      <w:r>
        <w:rPr>
          <w:sz w:val="19"/>
          <w:szCs w:val="19"/>
        </w:rPr>
        <w:t xml:space="preserve"> </w:t>
      </w:r>
      <w:r>
        <w:rPr>
          <w:spacing w:val="13"/>
          <w:sz w:val="19"/>
          <w:szCs w:val="19"/>
        </w:rPr>
        <w:t>务。它的任务是对原始数据进行收集、加工、存储并处理产生各种所需的有价值的信</w:t>
      </w:r>
      <w:r>
        <w:rPr>
          <w:spacing w:val="12"/>
          <w:sz w:val="19"/>
          <w:szCs w:val="19"/>
        </w:rPr>
        <w:t>息，以不</w:t>
      </w:r>
      <w:r>
        <w:rPr>
          <w:sz w:val="19"/>
          <w:szCs w:val="19"/>
        </w:rPr>
        <w:t xml:space="preserve"> </w:t>
      </w:r>
      <w:r>
        <w:rPr>
          <w:spacing w:val="5"/>
          <w:sz w:val="19"/>
          <w:szCs w:val="19"/>
        </w:rPr>
        <w:t>同的方式提供给各类用户使用。</w:t>
      </w:r>
    </w:p>
    <w:p w14:paraId="535C9B9F">
      <w:pPr>
        <w:pStyle w:val="2"/>
        <w:spacing w:before="178" w:line="219" w:lineRule="auto"/>
        <w:ind w:left="2"/>
        <w:rPr>
          <w:sz w:val="26"/>
          <w:szCs w:val="26"/>
        </w:rPr>
      </w:pPr>
      <w:r>
        <w:rPr>
          <w:b/>
          <w:bCs/>
          <w:color w:val="1F96E5"/>
          <w:spacing w:val="-26"/>
          <w:sz w:val="26"/>
          <w:szCs w:val="26"/>
        </w:rPr>
        <w:t>2.1.1</w:t>
      </w:r>
      <w:r>
        <w:rPr>
          <w:color w:val="1F96E5"/>
          <w:spacing w:val="52"/>
          <w:sz w:val="26"/>
          <w:szCs w:val="26"/>
        </w:rPr>
        <w:t xml:space="preserve"> </w:t>
      </w:r>
      <w:r>
        <w:rPr>
          <w:b/>
          <w:bCs/>
          <w:color w:val="1F96E5"/>
          <w:spacing w:val="-26"/>
          <w:sz w:val="26"/>
          <w:szCs w:val="26"/>
        </w:rPr>
        <w:t>信息系统的定义</w:t>
      </w:r>
    </w:p>
    <w:p w14:paraId="1DE94F91">
      <w:pPr>
        <w:spacing w:line="115" w:lineRule="exact"/>
      </w:pPr>
    </w:p>
    <w:p w14:paraId="19C3C18B">
      <w:pPr>
        <w:spacing w:line="115" w:lineRule="exact"/>
        <w:sectPr>
          <w:pgSz w:w="10310" w:h="13410"/>
          <w:pgMar w:top="400" w:right="1105" w:bottom="400" w:left="799" w:header="0" w:footer="0" w:gutter="0"/>
          <w:cols w:equalWidth="0" w:num="1">
            <w:col w:w="8405"/>
          </w:cols>
        </w:sectPr>
      </w:pPr>
    </w:p>
    <w:p w14:paraId="62E1E2A2">
      <w:pPr>
        <w:pStyle w:val="2"/>
        <w:spacing w:before="35" w:line="282" w:lineRule="auto"/>
        <w:ind w:right="85" w:firstLine="400"/>
        <w:jc w:val="both"/>
        <w:rPr>
          <w:sz w:val="19"/>
          <w:szCs w:val="19"/>
        </w:rPr>
      </w:pPr>
      <w:r>
        <w:rPr>
          <w:spacing w:val="5"/>
          <w:sz w:val="19"/>
          <w:szCs w:val="19"/>
        </w:rPr>
        <w:t>信息系统</w:t>
      </w:r>
      <w:r>
        <w:rPr>
          <w:spacing w:val="-52"/>
          <w:sz w:val="19"/>
          <w:szCs w:val="19"/>
        </w:rPr>
        <w:t xml:space="preserve"> </w:t>
      </w:r>
      <w:r>
        <w:rPr>
          <w:rFonts w:ascii="Times New Roman" w:hAnsi="Times New Roman" w:eastAsia="Times New Roman" w:cs="Times New Roman"/>
          <w:spacing w:val="5"/>
          <w:sz w:val="19"/>
          <w:szCs w:val="19"/>
        </w:rPr>
        <w:t>(</w:t>
      </w:r>
      <w:r>
        <w:rPr>
          <w:rFonts w:ascii="Times New Roman" w:hAnsi="Times New Roman" w:eastAsia="Times New Roman" w:cs="Times New Roman"/>
          <w:sz w:val="19"/>
          <w:szCs w:val="19"/>
        </w:rPr>
        <w:t>Information</w:t>
      </w:r>
      <w:r>
        <w:rPr>
          <w:rFonts w:ascii="Times New Roman" w:hAnsi="Times New Roman" w:eastAsia="Times New Roman" w:cs="Times New Roman"/>
          <w:spacing w:val="5"/>
          <w:sz w:val="19"/>
          <w:szCs w:val="19"/>
        </w:rPr>
        <w:t xml:space="preserve">         </w:t>
      </w:r>
      <w:r>
        <w:rPr>
          <w:rFonts w:ascii="Times New Roman" w:hAnsi="Times New Roman" w:eastAsia="Times New Roman" w:cs="Times New Roman"/>
          <w:sz w:val="19"/>
          <w:szCs w:val="19"/>
        </w:rPr>
        <w:t>System</w:t>
      </w:r>
      <w:r>
        <w:rPr>
          <w:rFonts w:ascii="Times New Roman" w:hAnsi="Times New Roman" w:eastAsia="Times New Roman" w:cs="Times New Roman"/>
          <w:spacing w:val="5"/>
          <w:sz w:val="19"/>
          <w:szCs w:val="19"/>
        </w:rPr>
        <w:t>,</w:t>
      </w:r>
      <w:r>
        <w:rPr>
          <w:rFonts w:ascii="Times New Roman" w:hAnsi="Times New Roman" w:eastAsia="Times New Roman" w:cs="Times New Roman"/>
          <w:sz w:val="19"/>
          <w:szCs w:val="19"/>
        </w:rPr>
        <w:t>IS</w:t>
      </w:r>
      <w:r>
        <w:rPr>
          <w:rFonts w:ascii="Times New Roman" w:hAnsi="Times New Roman" w:eastAsia="Times New Roman" w:cs="Times New Roman"/>
          <w:spacing w:val="5"/>
          <w:sz w:val="19"/>
          <w:szCs w:val="19"/>
        </w:rPr>
        <w:t>)</w:t>
      </w:r>
      <w:r>
        <w:rPr>
          <w:rFonts w:ascii="Times New Roman" w:hAnsi="Times New Roman" w:eastAsia="Times New Roman" w:cs="Times New Roman"/>
          <w:spacing w:val="15"/>
          <w:w w:val="101"/>
          <w:sz w:val="19"/>
          <w:szCs w:val="19"/>
        </w:rPr>
        <w:t xml:space="preserve"> </w:t>
      </w:r>
      <w:r>
        <w:rPr>
          <w:spacing w:val="5"/>
          <w:sz w:val="19"/>
          <w:szCs w:val="19"/>
        </w:rPr>
        <w:t>是</w:t>
      </w:r>
      <w:r>
        <w:rPr>
          <w:sz w:val="19"/>
          <w:szCs w:val="19"/>
        </w:rPr>
        <w:t xml:space="preserve">  </w:t>
      </w:r>
      <w:r>
        <w:rPr>
          <w:spacing w:val="15"/>
          <w:sz w:val="19"/>
          <w:szCs w:val="19"/>
        </w:rPr>
        <w:t>一组相互关联的元素或组件，它们收集(输</w:t>
      </w:r>
      <w:r>
        <w:rPr>
          <w:spacing w:val="6"/>
          <w:sz w:val="19"/>
          <w:szCs w:val="19"/>
        </w:rPr>
        <w:t xml:space="preserve"> </w:t>
      </w:r>
      <w:r>
        <w:rPr>
          <w:spacing w:val="37"/>
          <w:sz w:val="19"/>
          <w:szCs w:val="19"/>
        </w:rPr>
        <w:t>入)、操作(处理)、存储和传播(输出)</w:t>
      </w:r>
      <w:r>
        <w:rPr>
          <w:spacing w:val="2"/>
          <w:sz w:val="19"/>
          <w:szCs w:val="19"/>
        </w:rPr>
        <w:t xml:space="preserve"> </w:t>
      </w:r>
      <w:r>
        <w:rPr>
          <w:spacing w:val="12"/>
          <w:sz w:val="19"/>
          <w:szCs w:val="19"/>
        </w:rPr>
        <w:t>数据与信息，并提供满足目标的反馈机制。</w:t>
      </w:r>
      <w:r>
        <w:rPr>
          <w:spacing w:val="16"/>
          <w:sz w:val="19"/>
          <w:szCs w:val="19"/>
        </w:rPr>
        <w:t xml:space="preserve"> </w:t>
      </w:r>
      <w:r>
        <w:rPr>
          <w:spacing w:val="14"/>
          <w:sz w:val="19"/>
          <w:szCs w:val="19"/>
        </w:rPr>
        <w:t>信息系统的组成部分如图2-1所示。反馈机</w:t>
      </w:r>
    </w:p>
    <w:p w14:paraId="442D1611">
      <w:pPr>
        <w:spacing w:line="14" w:lineRule="auto"/>
        <w:rPr>
          <w:rFonts w:ascii="Arial"/>
          <w:sz w:val="2"/>
        </w:rPr>
      </w:pPr>
      <w:r>
        <w:rPr>
          <w:rFonts w:ascii="Arial" w:hAnsi="Arial" w:eastAsia="Arial" w:cs="Arial"/>
          <w:sz w:val="2"/>
          <w:szCs w:val="2"/>
        </w:rPr>
        <w:br w:type="column"/>
      </w:r>
    </w:p>
    <w:p w14:paraId="421899C6">
      <w:pPr>
        <w:pStyle w:val="2"/>
        <w:spacing w:line="1048" w:lineRule="exact"/>
      </w:pPr>
      <w:r>
        <w:rPr>
          <w:position w:val="-20"/>
        </w:rPr>
        <w:pict>
          <v:group id="_x0000_s1087" o:spid="_x0000_s1087" o:spt="203" style="height:52.55pt;width:216pt;" coordsize="4320,1050">
            <o:lock v:ext="edit"/>
            <v:shape id="_x0000_s1088" o:spid="_x0000_s1088" o:spt="75" type="#_x0000_t75" style="position:absolute;left:0;top:0;height:1050;width:4320;" filled="f" stroked="f" coordsize="21600,21600">
              <v:path/>
              <v:fill on="f" focussize="0,0"/>
              <v:stroke on="f"/>
              <v:imagedata r:id="rId46" o:title=""/>
              <o:lock v:ext="edit" aspectratio="t"/>
            </v:shape>
            <v:shape id="_x0000_s1089" o:spid="_x0000_s1089" o:spt="202" type="#_x0000_t202" style="position:absolute;left:1949;top:28;height:919;width:2123;" filled="f" stroked="f" coordsize="21600,21600">
              <v:path/>
              <v:fill on="f" focussize="0,0"/>
              <v:stroke on="f"/>
              <v:imagedata o:title=""/>
              <o:lock v:ext="edit" aspectratio="f"/>
              <v:textbox inset="0mm,0mm,0mm,0mm">
                <w:txbxContent>
                  <w:p w14:paraId="481211FE">
                    <w:pPr>
                      <w:spacing w:before="20" w:line="220" w:lineRule="auto"/>
                      <w:ind w:left="20"/>
                      <w:rPr>
                        <w:rFonts w:ascii="宋体" w:hAnsi="宋体" w:eastAsia="宋体" w:cs="宋体"/>
                        <w:sz w:val="19"/>
                        <w:szCs w:val="19"/>
                      </w:rPr>
                    </w:pPr>
                    <w:r>
                      <w:rPr>
                        <w:rFonts w:ascii="宋体" w:hAnsi="宋体" w:eastAsia="宋体" w:cs="宋体"/>
                        <w:spacing w:val="-3"/>
                        <w:sz w:val="19"/>
                        <w:szCs w:val="19"/>
                      </w:rPr>
                      <w:t>反馈</w:t>
                    </w:r>
                  </w:p>
                  <w:p w14:paraId="231E3749">
                    <w:pPr>
                      <w:spacing w:line="383" w:lineRule="auto"/>
                      <w:rPr>
                        <w:rFonts w:ascii="Arial"/>
                        <w:sz w:val="21"/>
                      </w:rPr>
                    </w:pPr>
                  </w:p>
                  <w:p w14:paraId="511D726F">
                    <w:pPr>
                      <w:spacing w:before="62" w:line="234" w:lineRule="auto"/>
                      <w:ind w:left="50"/>
                      <w:rPr>
                        <w:rFonts w:ascii="宋体" w:hAnsi="宋体" w:eastAsia="宋体" w:cs="宋体"/>
                        <w:sz w:val="19"/>
                        <w:szCs w:val="19"/>
                      </w:rPr>
                    </w:pPr>
                    <w:r>
                      <w:rPr>
                        <w:rFonts w:ascii="宋体" w:hAnsi="宋体" w:eastAsia="宋体" w:cs="宋体"/>
                        <w:spacing w:val="-2"/>
                        <w:sz w:val="19"/>
                        <w:szCs w:val="19"/>
                      </w:rPr>
                      <w:t>处理              输出</w:t>
                    </w:r>
                  </w:p>
                </w:txbxContent>
              </v:textbox>
            </v:shape>
            <v:shape id="_x0000_s1090" o:spid="_x0000_s1090" o:spt="202" type="#_x0000_t202" style="position:absolute;left:280;top:697;height:230;width:414;" filled="f" stroked="f" coordsize="21600,21600">
              <v:path/>
              <v:fill on="f" focussize="0,0"/>
              <v:stroke on="f"/>
              <v:imagedata o:title=""/>
              <o:lock v:ext="edit" aspectratio="f"/>
              <v:textbox inset="0mm,0mm,0mm,0mm">
                <w:txbxContent>
                  <w:p w14:paraId="5A0CB0A7">
                    <w:pPr>
                      <w:spacing w:before="20" w:line="219" w:lineRule="auto"/>
                      <w:ind w:left="20"/>
                      <w:rPr>
                        <w:rFonts w:ascii="宋体" w:hAnsi="宋体" w:eastAsia="宋体" w:cs="宋体"/>
                        <w:sz w:val="19"/>
                        <w:szCs w:val="19"/>
                      </w:rPr>
                    </w:pPr>
                    <w:r>
                      <w:rPr>
                        <w:rFonts w:ascii="宋体" w:hAnsi="宋体" w:eastAsia="宋体" w:cs="宋体"/>
                        <w:spacing w:val="-2"/>
                        <w:sz w:val="19"/>
                        <w:szCs w:val="19"/>
                      </w:rPr>
                      <w:t>输入</w:t>
                    </w:r>
                  </w:p>
                </w:txbxContent>
              </v:textbox>
            </v:shape>
            <w10:wrap type="none"/>
            <w10:anchorlock/>
          </v:group>
        </w:pict>
      </w:r>
    </w:p>
    <w:p w14:paraId="4045FB41">
      <w:pPr>
        <w:pStyle w:val="2"/>
        <w:spacing w:before="68" w:line="219" w:lineRule="auto"/>
        <w:ind w:left="1069"/>
        <w:rPr>
          <w:sz w:val="19"/>
          <w:szCs w:val="19"/>
        </w:rPr>
      </w:pPr>
      <w:r>
        <w:rPr>
          <w:spacing w:val="-8"/>
          <w:sz w:val="19"/>
          <w:szCs w:val="19"/>
        </w:rPr>
        <w:t>图2-1</w:t>
      </w:r>
      <w:r>
        <w:rPr>
          <w:spacing w:val="69"/>
          <w:sz w:val="19"/>
          <w:szCs w:val="19"/>
        </w:rPr>
        <w:t xml:space="preserve"> </w:t>
      </w:r>
      <w:r>
        <w:rPr>
          <w:spacing w:val="-8"/>
          <w:sz w:val="19"/>
          <w:szCs w:val="19"/>
        </w:rPr>
        <w:t>信息系统的组成部分</w:t>
      </w:r>
    </w:p>
    <w:p w14:paraId="49B13D5D">
      <w:pPr>
        <w:spacing w:line="219" w:lineRule="auto"/>
        <w:rPr>
          <w:sz w:val="19"/>
          <w:szCs w:val="19"/>
        </w:rPr>
        <w:sectPr>
          <w:type w:val="continuous"/>
          <w:pgSz w:w="10310" w:h="13410"/>
          <w:pgMar w:top="400" w:right="1105" w:bottom="400" w:left="799" w:header="0" w:footer="0" w:gutter="0"/>
          <w:cols w:equalWidth="0" w:num="2">
            <w:col w:w="3941" w:space="100"/>
            <w:col w:w="4365"/>
          </w:cols>
        </w:sectPr>
      </w:pPr>
    </w:p>
    <w:p w14:paraId="50A9C3B7">
      <w:pPr>
        <w:pStyle w:val="2"/>
        <w:spacing w:before="121" w:line="219" w:lineRule="auto"/>
        <w:rPr>
          <w:sz w:val="19"/>
          <w:szCs w:val="19"/>
        </w:rPr>
      </w:pPr>
      <w:r>
        <w:rPr>
          <w:spacing w:val="13"/>
          <w:sz w:val="19"/>
          <w:szCs w:val="19"/>
        </w:rPr>
        <w:t>制可以帮助组织实现其目标(如增加利润或</w:t>
      </w:r>
      <w:r>
        <w:rPr>
          <w:spacing w:val="12"/>
          <w:sz w:val="19"/>
          <w:szCs w:val="19"/>
        </w:rPr>
        <w:t>改善客户服务)。</w:t>
      </w:r>
    </w:p>
    <w:p w14:paraId="05371971">
      <w:pPr>
        <w:pStyle w:val="2"/>
        <w:spacing w:before="85" w:line="219" w:lineRule="auto"/>
        <w:ind w:left="400"/>
        <w:rPr>
          <w:sz w:val="19"/>
          <w:szCs w:val="19"/>
        </w:rPr>
      </w:pPr>
      <w:r>
        <w:rPr>
          <w:spacing w:val="11"/>
          <w:sz w:val="19"/>
          <w:szCs w:val="19"/>
        </w:rPr>
        <w:t>●输入。在信息系统中，输入是收集和捕获原始数据的活动。</w:t>
      </w:r>
    </w:p>
    <w:p w14:paraId="7C2F5372">
      <w:pPr>
        <w:pStyle w:val="2"/>
        <w:spacing w:before="105" w:line="262" w:lineRule="auto"/>
        <w:ind w:left="660" w:right="79" w:hanging="260"/>
        <w:rPr>
          <w:sz w:val="19"/>
          <w:szCs w:val="19"/>
        </w:rPr>
      </w:pPr>
      <w:r>
        <w:rPr>
          <w:spacing w:val="13"/>
          <w:sz w:val="19"/>
          <w:szCs w:val="19"/>
        </w:rPr>
        <w:t>●处理。在信息系统中，处理是将数据转换成有用的输出。处理过程包括计算、比较、替</w:t>
      </w:r>
      <w:r>
        <w:rPr>
          <w:spacing w:val="7"/>
          <w:sz w:val="19"/>
          <w:szCs w:val="19"/>
        </w:rPr>
        <w:t xml:space="preserve"> </w:t>
      </w:r>
      <w:r>
        <w:rPr>
          <w:spacing w:val="17"/>
          <w:sz w:val="19"/>
          <w:szCs w:val="19"/>
        </w:rPr>
        <w:t>代等措施，以及存储数据以备将来使用。处</w:t>
      </w:r>
      <w:r>
        <w:rPr>
          <w:spacing w:val="16"/>
          <w:sz w:val="19"/>
          <w:szCs w:val="19"/>
        </w:rPr>
        <w:t>理可以手动完成，也可以在计算机辅助下</w:t>
      </w:r>
      <w:r>
        <w:rPr>
          <w:sz w:val="19"/>
          <w:szCs w:val="19"/>
        </w:rPr>
        <w:t xml:space="preserve"> </w:t>
      </w:r>
      <w:r>
        <w:rPr>
          <w:spacing w:val="1"/>
          <w:sz w:val="19"/>
          <w:szCs w:val="19"/>
        </w:rPr>
        <w:t>完成。</w:t>
      </w:r>
    </w:p>
    <w:p w14:paraId="42E1E741">
      <w:pPr>
        <w:spacing w:line="262" w:lineRule="auto"/>
        <w:rPr>
          <w:sz w:val="19"/>
          <w:szCs w:val="19"/>
        </w:rPr>
        <w:sectPr>
          <w:type w:val="continuous"/>
          <w:pgSz w:w="10310" w:h="13410"/>
          <w:pgMar w:top="400" w:right="1105" w:bottom="400" w:left="799" w:header="0" w:footer="0" w:gutter="0"/>
          <w:cols w:equalWidth="0" w:num="1">
            <w:col w:w="8405"/>
          </w:cols>
        </w:sectPr>
      </w:pPr>
    </w:p>
    <w:p w14:paraId="6D7AABDB">
      <w:pPr>
        <w:pStyle w:val="2"/>
        <w:spacing w:before="56" w:line="219" w:lineRule="auto"/>
        <w:jc w:val="right"/>
        <w:rPr>
          <w:rFonts w:ascii="Times New Roman" w:hAnsi="Times New Roman" w:eastAsia="Times New Roman" w:cs="Times New Roman"/>
          <w:sz w:val="16"/>
          <w:szCs w:val="16"/>
        </w:rPr>
      </w:pPr>
      <w:bookmarkStart w:id="504" w:name="bookmark491"/>
      <w:bookmarkEnd w:id="504"/>
      <w:r>
        <w:rPr>
          <w:spacing w:val="-1"/>
          <w:sz w:val="20"/>
          <w:szCs w:val="20"/>
        </w:rPr>
        <w:t>第2章 信息系统工程</w:t>
      </w:r>
      <w:r>
        <w:rPr>
          <w:spacing w:val="13"/>
          <w:sz w:val="20"/>
          <w:szCs w:val="20"/>
        </w:rPr>
        <w:t xml:space="preserve">      </w:t>
      </w:r>
      <w:r>
        <w:rPr>
          <w:rFonts w:ascii="Times New Roman" w:hAnsi="Times New Roman" w:eastAsia="Times New Roman" w:cs="Times New Roman"/>
          <w:spacing w:val="-1"/>
          <w:sz w:val="16"/>
          <w:szCs w:val="16"/>
        </w:rPr>
        <w:t>45</w:t>
      </w:r>
    </w:p>
    <w:p w14:paraId="07264DEA">
      <w:pPr>
        <w:spacing w:line="294" w:lineRule="auto"/>
        <w:rPr>
          <w:rFonts w:ascii="Arial"/>
          <w:sz w:val="21"/>
        </w:rPr>
      </w:pPr>
    </w:p>
    <w:p w14:paraId="2510FFB5">
      <w:pPr>
        <w:pStyle w:val="2"/>
        <w:spacing w:before="65" w:line="263" w:lineRule="auto"/>
        <w:ind w:left="689" w:right="285" w:hanging="300"/>
        <w:rPr>
          <w:sz w:val="20"/>
          <w:szCs w:val="20"/>
        </w:rPr>
      </w:pPr>
      <w:r>
        <w:rPr>
          <w:spacing w:val="2"/>
          <w:sz w:val="20"/>
          <w:szCs w:val="20"/>
        </w:rPr>
        <w:t>●输出。在信息系统中，输出涉及有用信息的产生，通常采用文档和报告的形式。很多时</w:t>
      </w:r>
      <w:r>
        <w:rPr>
          <w:spacing w:val="13"/>
          <w:sz w:val="20"/>
          <w:szCs w:val="20"/>
        </w:rPr>
        <w:t xml:space="preserve"> </w:t>
      </w:r>
      <w:r>
        <w:rPr>
          <w:spacing w:val="-2"/>
          <w:sz w:val="20"/>
          <w:szCs w:val="20"/>
        </w:rPr>
        <w:t>候，一个系统的输出可以成为另一个系统的输入。</w:t>
      </w:r>
    </w:p>
    <w:p w14:paraId="3481FF9E">
      <w:pPr>
        <w:pStyle w:val="2"/>
        <w:spacing w:before="100" w:line="271" w:lineRule="auto"/>
        <w:ind w:left="689" w:right="248" w:hanging="300"/>
        <w:rPr>
          <w:sz w:val="20"/>
          <w:szCs w:val="20"/>
        </w:rPr>
      </w:pPr>
      <w:r>
        <w:rPr>
          <w:spacing w:val="3"/>
          <w:sz w:val="20"/>
          <w:szCs w:val="20"/>
        </w:rPr>
        <w:t>●反馈。在信息系统中，反馈是系统中用于更改输入或处理活动的信息。例如，错误或问</w:t>
      </w:r>
      <w:r>
        <w:rPr>
          <w:spacing w:val="5"/>
          <w:sz w:val="20"/>
          <w:szCs w:val="20"/>
        </w:rPr>
        <w:t xml:space="preserve"> </w:t>
      </w:r>
      <w:r>
        <w:rPr>
          <w:spacing w:val="1"/>
          <w:sz w:val="20"/>
          <w:szCs w:val="20"/>
        </w:rPr>
        <w:t>题可能导致需要更正输入数据或改进过程。除了反馈，计算机</w:t>
      </w:r>
      <w:r>
        <w:rPr>
          <w:sz w:val="20"/>
          <w:szCs w:val="20"/>
        </w:rPr>
        <w:t xml:space="preserve">系统还可以预测未来事件 </w:t>
      </w:r>
      <w:r>
        <w:rPr>
          <w:spacing w:val="-6"/>
          <w:sz w:val="20"/>
          <w:szCs w:val="20"/>
        </w:rPr>
        <w:t>以避免问题的出现。</w:t>
      </w:r>
    </w:p>
    <w:p w14:paraId="79BE1BF5">
      <w:pPr>
        <w:pStyle w:val="2"/>
        <w:spacing w:before="100" w:line="219" w:lineRule="auto"/>
        <w:ind w:left="389"/>
        <w:rPr>
          <w:sz w:val="20"/>
          <w:szCs w:val="20"/>
        </w:rPr>
      </w:pPr>
      <w:r>
        <w:rPr>
          <w:spacing w:val="-1"/>
          <w:sz w:val="20"/>
          <w:szCs w:val="20"/>
        </w:rPr>
        <w:t>信息系统的五个基本功能包括：输入、存储、处</w:t>
      </w:r>
      <w:r>
        <w:rPr>
          <w:spacing w:val="-2"/>
          <w:sz w:val="20"/>
          <w:szCs w:val="20"/>
        </w:rPr>
        <w:t>理、输出和控制。</w:t>
      </w:r>
    </w:p>
    <w:p w14:paraId="24F8FF33">
      <w:pPr>
        <w:pStyle w:val="2"/>
        <w:spacing w:before="84" w:line="219" w:lineRule="auto"/>
        <w:ind w:left="389"/>
        <w:rPr>
          <w:sz w:val="20"/>
          <w:szCs w:val="20"/>
        </w:rPr>
      </w:pPr>
      <w:r>
        <w:rPr>
          <w:spacing w:val="1"/>
          <w:sz w:val="20"/>
          <w:szCs w:val="20"/>
        </w:rPr>
        <w:t>●输入功能。输入功能决定于系统所要达到的目的及系统的能力和</w:t>
      </w:r>
      <w:r>
        <w:rPr>
          <w:sz w:val="20"/>
          <w:szCs w:val="20"/>
        </w:rPr>
        <w:t>信息环境的许可。</w:t>
      </w:r>
    </w:p>
    <w:p w14:paraId="13AAD7FA">
      <w:pPr>
        <w:pStyle w:val="2"/>
        <w:spacing w:before="83" w:line="219" w:lineRule="auto"/>
        <w:ind w:left="389"/>
        <w:rPr>
          <w:sz w:val="20"/>
          <w:szCs w:val="20"/>
        </w:rPr>
      </w:pPr>
      <w:r>
        <w:rPr>
          <w:spacing w:val="1"/>
          <w:sz w:val="20"/>
          <w:szCs w:val="20"/>
        </w:rPr>
        <w:t>●存储功能。存储功能指的是系统存储各种信息资料和数据的能力。</w:t>
      </w:r>
    </w:p>
    <w:p w14:paraId="5ACC2114">
      <w:pPr>
        <w:pStyle w:val="2"/>
        <w:spacing w:before="72" w:line="219" w:lineRule="auto"/>
        <w:ind w:left="389"/>
        <w:rPr>
          <w:sz w:val="20"/>
          <w:szCs w:val="20"/>
        </w:rPr>
      </w:pPr>
      <w:r>
        <w:rPr>
          <w:spacing w:val="1"/>
          <w:sz w:val="20"/>
          <w:szCs w:val="20"/>
        </w:rPr>
        <w:t>●处理功能。处理功能指的是对数据进行加工、处理和计算，以产生有用的信息。</w:t>
      </w:r>
    </w:p>
    <w:p w14:paraId="62038BC6">
      <w:pPr>
        <w:pStyle w:val="2"/>
        <w:spacing w:before="92" w:line="219" w:lineRule="auto"/>
        <w:ind w:left="389"/>
        <w:rPr>
          <w:sz w:val="20"/>
          <w:szCs w:val="20"/>
        </w:rPr>
      </w:pPr>
      <w:r>
        <w:rPr>
          <w:spacing w:val="1"/>
          <w:sz w:val="20"/>
          <w:szCs w:val="20"/>
        </w:rPr>
        <w:t>●输出功能。信息系统的目的就是保证实现最佳的输出。</w:t>
      </w:r>
    </w:p>
    <w:p w14:paraId="14F25C6F">
      <w:pPr>
        <w:pStyle w:val="2"/>
        <w:spacing w:before="84" w:line="261" w:lineRule="auto"/>
        <w:ind w:left="689" w:right="282" w:hanging="300"/>
        <w:rPr>
          <w:sz w:val="20"/>
          <w:szCs w:val="20"/>
        </w:rPr>
      </w:pPr>
      <w:r>
        <w:rPr>
          <w:spacing w:val="2"/>
          <w:sz w:val="20"/>
          <w:szCs w:val="20"/>
        </w:rPr>
        <w:t>●控制功能。控制功能对构成信息系统的各种信息处理设备进行控制和管理，对整个信息</w:t>
      </w:r>
      <w:r>
        <w:rPr>
          <w:spacing w:val="16"/>
          <w:sz w:val="20"/>
          <w:szCs w:val="20"/>
        </w:rPr>
        <w:t xml:space="preserve"> </w:t>
      </w:r>
      <w:r>
        <w:rPr>
          <w:spacing w:val="-3"/>
          <w:sz w:val="20"/>
          <w:szCs w:val="20"/>
        </w:rPr>
        <w:t>加工、处理、传输、输出等环节通过各种程序进行控制。</w:t>
      </w:r>
    </w:p>
    <w:p w14:paraId="1E601AB6">
      <w:pPr>
        <w:pStyle w:val="2"/>
        <w:spacing w:before="253" w:line="219" w:lineRule="auto"/>
        <w:ind w:left="2"/>
        <w:rPr>
          <w:sz w:val="25"/>
          <w:szCs w:val="25"/>
        </w:rPr>
      </w:pPr>
      <w:r>
        <w:rPr>
          <w:b/>
          <w:bCs/>
          <w:color w:val="005ED9"/>
          <w:spacing w:val="-17"/>
          <w:sz w:val="25"/>
          <w:szCs w:val="25"/>
        </w:rPr>
        <w:t>2.1.2</w:t>
      </w:r>
      <w:r>
        <w:rPr>
          <w:color w:val="005ED9"/>
          <w:spacing w:val="74"/>
          <w:sz w:val="25"/>
          <w:szCs w:val="25"/>
        </w:rPr>
        <w:t xml:space="preserve"> </w:t>
      </w:r>
      <w:r>
        <w:rPr>
          <w:b/>
          <w:bCs/>
          <w:color w:val="005ED9"/>
          <w:spacing w:val="-17"/>
          <w:sz w:val="25"/>
          <w:szCs w:val="25"/>
        </w:rPr>
        <w:t>信息系统的发展</w:t>
      </w:r>
    </w:p>
    <w:p w14:paraId="7B35E406">
      <w:pPr>
        <w:pStyle w:val="2"/>
        <w:spacing w:before="186" w:line="282" w:lineRule="auto"/>
        <w:ind w:right="177" w:firstLine="389"/>
        <w:jc w:val="both"/>
        <w:rPr>
          <w:sz w:val="20"/>
          <w:szCs w:val="20"/>
        </w:rPr>
      </w:pPr>
      <w:r>
        <w:rPr>
          <w:spacing w:val="5"/>
          <w:sz w:val="20"/>
          <w:szCs w:val="20"/>
        </w:rPr>
        <w:t>现代信息系统与计算机技术和网络技术的发展保持同步。随着社会的进步和技术的发展，</w:t>
      </w:r>
      <w:r>
        <w:rPr>
          <w:spacing w:val="3"/>
          <w:sz w:val="20"/>
          <w:szCs w:val="20"/>
        </w:rPr>
        <w:t xml:space="preserve"> </w:t>
      </w:r>
      <w:r>
        <w:rPr>
          <w:spacing w:val="5"/>
          <w:sz w:val="20"/>
          <w:szCs w:val="20"/>
        </w:rPr>
        <w:t>信息系统的内容和形式也在不断发生着变化。1979年，美国管理信息系统专家诺兰通过对200</w:t>
      </w:r>
      <w:r>
        <w:rPr>
          <w:spacing w:val="18"/>
          <w:sz w:val="20"/>
          <w:szCs w:val="20"/>
        </w:rPr>
        <w:t xml:space="preserve"> </w:t>
      </w:r>
      <w:r>
        <w:rPr>
          <w:spacing w:val="5"/>
          <w:sz w:val="20"/>
          <w:szCs w:val="20"/>
        </w:rPr>
        <w:t>多个公司、部门的发展信息系统的实践和经验总结，提出</w:t>
      </w:r>
      <w:r>
        <w:rPr>
          <w:spacing w:val="4"/>
          <w:sz w:val="20"/>
          <w:szCs w:val="20"/>
        </w:rPr>
        <w:t>了著名的信息系统进化的阶段模型，</w:t>
      </w:r>
      <w:r>
        <w:rPr>
          <w:sz w:val="20"/>
          <w:szCs w:val="20"/>
        </w:rPr>
        <w:t xml:space="preserve"> </w:t>
      </w:r>
      <w:r>
        <w:rPr>
          <w:spacing w:val="3"/>
          <w:sz w:val="20"/>
          <w:szCs w:val="20"/>
        </w:rPr>
        <w:t>即诺兰模型。诺兰认为，任何组织由手工信息系统向以计算机为基础的信息系统</w:t>
      </w:r>
      <w:r>
        <w:rPr>
          <w:spacing w:val="2"/>
          <w:sz w:val="20"/>
          <w:szCs w:val="20"/>
        </w:rPr>
        <w:t>发展时，都存</w:t>
      </w:r>
      <w:r>
        <w:rPr>
          <w:sz w:val="20"/>
          <w:szCs w:val="20"/>
        </w:rPr>
        <w:t xml:space="preserve"> </w:t>
      </w:r>
      <w:r>
        <w:rPr>
          <w:spacing w:val="3"/>
          <w:sz w:val="20"/>
          <w:szCs w:val="20"/>
        </w:rPr>
        <w:t>在一条客观的发展路径和规律。数据处理的发展涉及技术的进步、应用的拓展、计划和控制策</w:t>
      </w:r>
      <w:r>
        <w:rPr>
          <w:spacing w:val="14"/>
          <w:sz w:val="20"/>
          <w:szCs w:val="20"/>
        </w:rPr>
        <w:t xml:space="preserve"> </w:t>
      </w:r>
      <w:r>
        <w:rPr>
          <w:spacing w:val="3"/>
          <w:sz w:val="20"/>
          <w:szCs w:val="20"/>
        </w:rPr>
        <w:t>略的变化以及用户的状况四个方面。诺兰将</w:t>
      </w:r>
      <w:r>
        <w:rPr>
          <w:spacing w:val="2"/>
          <w:sz w:val="20"/>
          <w:szCs w:val="20"/>
        </w:rPr>
        <w:t>计算机信息系统的发展道路划分为六个阶段：初始</w:t>
      </w:r>
      <w:r>
        <w:rPr>
          <w:sz w:val="20"/>
          <w:szCs w:val="20"/>
        </w:rPr>
        <w:t xml:space="preserve">  </w:t>
      </w:r>
      <w:r>
        <w:rPr>
          <w:spacing w:val="-2"/>
          <w:sz w:val="20"/>
          <w:szCs w:val="20"/>
        </w:rPr>
        <w:t>阶段、传播阶段、控制阶段、集成阶段、数据管理阶段和成熟阶段。</w:t>
      </w:r>
    </w:p>
    <w:p w14:paraId="4B69AB64">
      <w:pPr>
        <w:pStyle w:val="2"/>
        <w:spacing w:before="136" w:line="222" w:lineRule="auto"/>
        <w:ind w:left="392"/>
        <w:rPr>
          <w:rFonts w:ascii="黑体" w:hAnsi="黑体" w:eastAsia="黑体" w:cs="黑体"/>
          <w:sz w:val="20"/>
          <w:szCs w:val="20"/>
        </w:rPr>
      </w:pPr>
      <w:r>
        <w:rPr>
          <w:b/>
          <w:bCs/>
          <w:color w:val="0056C7"/>
          <w:spacing w:val="-2"/>
          <w:sz w:val="20"/>
          <w:szCs w:val="20"/>
        </w:rPr>
        <w:t>1.</w:t>
      </w:r>
      <w:r>
        <w:rPr>
          <w:rFonts w:ascii="黑体" w:hAnsi="黑体" w:eastAsia="黑体" w:cs="黑体"/>
          <w:b/>
          <w:bCs/>
          <w:color w:val="0056C7"/>
          <w:spacing w:val="-2"/>
          <w:sz w:val="20"/>
          <w:szCs w:val="20"/>
        </w:rPr>
        <w:t>初始阶段</w:t>
      </w:r>
    </w:p>
    <w:p w14:paraId="248F08A4">
      <w:pPr>
        <w:pStyle w:val="2"/>
        <w:spacing w:before="133" w:line="277" w:lineRule="auto"/>
        <w:ind w:right="177" w:firstLine="389"/>
        <w:jc w:val="both"/>
        <w:rPr>
          <w:sz w:val="20"/>
          <w:szCs w:val="20"/>
        </w:rPr>
      </w:pPr>
      <w:r>
        <w:rPr>
          <w:spacing w:val="5"/>
          <w:sz w:val="20"/>
          <w:szCs w:val="20"/>
        </w:rPr>
        <w:t>计算机刚开始只作为办公设备使用，应用相对比较少，通常用来完成一些报表统计工作，</w:t>
      </w:r>
      <w:r>
        <w:rPr>
          <w:spacing w:val="3"/>
          <w:sz w:val="20"/>
          <w:szCs w:val="20"/>
        </w:rPr>
        <w:t xml:space="preserve"> </w:t>
      </w:r>
      <w:r>
        <w:rPr>
          <w:spacing w:val="1"/>
          <w:sz w:val="20"/>
          <w:szCs w:val="20"/>
        </w:rPr>
        <w:t>甚至大多数被当作打字机使用。在这一阶段，</w:t>
      </w:r>
      <w:r>
        <w:rPr>
          <w:rFonts w:ascii="Times New Roman" w:hAnsi="Times New Roman" w:eastAsia="Times New Roman" w:cs="Times New Roman"/>
          <w:sz w:val="20"/>
          <w:szCs w:val="20"/>
        </w:rPr>
        <w:t>IT</w:t>
      </w:r>
      <w:r>
        <w:rPr>
          <w:rFonts w:ascii="Times New Roman" w:hAnsi="Times New Roman" w:eastAsia="Times New Roman" w:cs="Times New Roman"/>
          <w:spacing w:val="26"/>
          <w:w w:val="101"/>
          <w:sz w:val="20"/>
          <w:szCs w:val="20"/>
        </w:rPr>
        <w:t xml:space="preserve"> </w:t>
      </w:r>
      <w:r>
        <w:rPr>
          <w:spacing w:val="1"/>
          <w:sz w:val="20"/>
          <w:szCs w:val="20"/>
        </w:rPr>
        <w:t>的需求只被作为简单的办公</w:t>
      </w:r>
      <w:r>
        <w:rPr>
          <w:sz w:val="20"/>
          <w:szCs w:val="20"/>
        </w:rPr>
        <w:t xml:space="preserve">设施改善的需求来  </w:t>
      </w:r>
      <w:r>
        <w:rPr>
          <w:spacing w:val="-1"/>
          <w:sz w:val="20"/>
          <w:szCs w:val="20"/>
        </w:rPr>
        <w:t>对待，采购量少，只有少数人使用，在组织内没有普</w:t>
      </w:r>
      <w:r>
        <w:rPr>
          <w:spacing w:val="-2"/>
          <w:sz w:val="20"/>
          <w:szCs w:val="20"/>
        </w:rPr>
        <w:t>及。这一阶段的主要特点是：</w:t>
      </w:r>
    </w:p>
    <w:p w14:paraId="46C4BA58">
      <w:pPr>
        <w:pStyle w:val="2"/>
        <w:spacing w:before="19" w:line="219" w:lineRule="auto"/>
        <w:ind w:left="389"/>
        <w:rPr>
          <w:sz w:val="20"/>
          <w:szCs w:val="20"/>
        </w:rPr>
      </w:pPr>
      <w:r>
        <w:rPr>
          <w:spacing w:val="1"/>
          <w:sz w:val="20"/>
          <w:szCs w:val="20"/>
        </w:rPr>
        <w:t>(1)组织中只有个别人具有使用计算机的能力；</w:t>
      </w:r>
    </w:p>
    <w:p w14:paraId="5F913C83">
      <w:pPr>
        <w:pStyle w:val="2"/>
        <w:spacing w:before="74" w:line="219" w:lineRule="auto"/>
        <w:ind w:left="389"/>
        <w:rPr>
          <w:sz w:val="20"/>
          <w:szCs w:val="20"/>
        </w:rPr>
      </w:pPr>
      <w:r>
        <w:rPr>
          <w:spacing w:val="2"/>
          <w:sz w:val="20"/>
          <w:szCs w:val="20"/>
        </w:rPr>
        <w:t>(2)该阶段一般发生在一个组织的财务部门。</w:t>
      </w:r>
    </w:p>
    <w:p w14:paraId="3C1C3FE9">
      <w:pPr>
        <w:pStyle w:val="2"/>
        <w:spacing w:before="169" w:line="222" w:lineRule="auto"/>
        <w:ind w:left="392"/>
        <w:rPr>
          <w:rFonts w:ascii="黑体" w:hAnsi="黑体" w:eastAsia="黑体" w:cs="黑体"/>
          <w:sz w:val="20"/>
          <w:szCs w:val="20"/>
        </w:rPr>
      </w:pPr>
      <w:r>
        <w:rPr>
          <w:b/>
          <w:bCs/>
          <w:color w:val="0070E1"/>
          <w:spacing w:val="-2"/>
          <w:sz w:val="20"/>
          <w:szCs w:val="20"/>
        </w:rPr>
        <w:t>2.</w:t>
      </w:r>
      <w:r>
        <w:rPr>
          <w:rFonts w:ascii="黑体" w:hAnsi="黑体" w:eastAsia="黑体" w:cs="黑体"/>
          <w:b/>
          <w:bCs/>
          <w:color w:val="0070E1"/>
          <w:spacing w:val="-2"/>
          <w:sz w:val="20"/>
          <w:szCs w:val="20"/>
        </w:rPr>
        <w:t>传播阶段</w:t>
      </w:r>
    </w:p>
    <w:p w14:paraId="45231F07">
      <w:pPr>
        <w:pStyle w:val="2"/>
        <w:spacing w:before="124" w:line="276" w:lineRule="auto"/>
        <w:ind w:right="177" w:firstLine="389"/>
        <w:jc w:val="both"/>
        <w:rPr>
          <w:sz w:val="20"/>
          <w:szCs w:val="20"/>
        </w:rPr>
      </w:pPr>
      <w:r>
        <w:rPr>
          <w:sz w:val="20"/>
          <w:szCs w:val="20"/>
        </w:rPr>
        <w:t>人们对计算机有了一定了解，想利用计算机解决工作中的问题，例如进行更多的数据处</w:t>
      </w:r>
      <w:r>
        <w:rPr>
          <w:spacing w:val="-1"/>
          <w:sz w:val="20"/>
          <w:szCs w:val="20"/>
        </w:rPr>
        <w:t>理，</w:t>
      </w:r>
      <w:r>
        <w:rPr>
          <w:sz w:val="20"/>
          <w:szCs w:val="20"/>
        </w:rPr>
        <w:t xml:space="preserve"> </w:t>
      </w:r>
      <w:r>
        <w:rPr>
          <w:spacing w:val="2"/>
          <w:sz w:val="20"/>
          <w:szCs w:val="20"/>
        </w:rPr>
        <w:t>给管理工作和业务带来便利。于是，应用需求开始增加，组织对</w:t>
      </w:r>
      <w:r>
        <w:rPr>
          <w:rFonts w:ascii="Times New Roman" w:hAnsi="Times New Roman" w:eastAsia="Times New Roman" w:cs="Times New Roman"/>
          <w:sz w:val="20"/>
          <w:szCs w:val="20"/>
        </w:rPr>
        <w:t>IT</w:t>
      </w:r>
      <w:r>
        <w:rPr>
          <w:rFonts w:ascii="Times New Roman" w:hAnsi="Times New Roman" w:eastAsia="Times New Roman" w:cs="Times New Roman"/>
          <w:spacing w:val="18"/>
          <w:w w:val="101"/>
          <w:sz w:val="20"/>
          <w:szCs w:val="20"/>
        </w:rPr>
        <w:t xml:space="preserve"> </w:t>
      </w:r>
      <w:r>
        <w:rPr>
          <w:spacing w:val="2"/>
          <w:sz w:val="20"/>
          <w:szCs w:val="20"/>
        </w:rPr>
        <w:t>应用开始产生兴趣，并对开</w:t>
      </w:r>
      <w:r>
        <w:rPr>
          <w:sz w:val="20"/>
          <w:szCs w:val="20"/>
        </w:rPr>
        <w:t xml:space="preserve"> </w:t>
      </w:r>
      <w:r>
        <w:rPr>
          <w:spacing w:val="-2"/>
          <w:sz w:val="20"/>
          <w:szCs w:val="20"/>
        </w:rPr>
        <w:t>发软件热情高涨，投入开始大幅增加。这一阶段的主要特点是：</w:t>
      </w:r>
    </w:p>
    <w:p w14:paraId="445729BE">
      <w:pPr>
        <w:pStyle w:val="2"/>
        <w:spacing w:before="23" w:line="219" w:lineRule="auto"/>
        <w:ind w:left="389"/>
        <w:rPr>
          <w:sz w:val="20"/>
          <w:szCs w:val="20"/>
        </w:rPr>
      </w:pPr>
      <w:r>
        <w:rPr>
          <w:spacing w:val="3"/>
          <w:sz w:val="20"/>
          <w:szCs w:val="20"/>
        </w:rPr>
        <w:t>(1)数据处理能力得到迅速发展；</w:t>
      </w:r>
    </w:p>
    <w:p w14:paraId="72E7B9B4">
      <w:pPr>
        <w:pStyle w:val="2"/>
        <w:spacing w:before="72" w:line="219" w:lineRule="auto"/>
        <w:ind w:left="389"/>
        <w:rPr>
          <w:sz w:val="20"/>
          <w:szCs w:val="20"/>
        </w:rPr>
      </w:pPr>
      <w:r>
        <w:rPr>
          <w:spacing w:val="6"/>
          <w:sz w:val="20"/>
          <w:szCs w:val="20"/>
        </w:rPr>
        <w:t>(2)出现许多新问题(例如数据冗余、数据不一致、难以共享等);</w:t>
      </w:r>
    </w:p>
    <w:p w14:paraId="47B3EA47">
      <w:pPr>
        <w:pStyle w:val="2"/>
        <w:spacing w:before="62" w:line="219" w:lineRule="auto"/>
        <w:ind w:left="389"/>
        <w:rPr>
          <w:sz w:val="20"/>
          <w:szCs w:val="20"/>
        </w:rPr>
      </w:pPr>
      <w:r>
        <w:rPr>
          <w:spacing w:val="4"/>
          <w:sz w:val="20"/>
          <w:szCs w:val="20"/>
        </w:rPr>
        <w:t>(3)计算机使用效率偏低等。</w:t>
      </w:r>
    </w:p>
    <w:p w14:paraId="5617793C">
      <w:pPr>
        <w:spacing w:line="219" w:lineRule="auto"/>
        <w:rPr>
          <w:sz w:val="20"/>
          <w:szCs w:val="20"/>
        </w:rPr>
        <w:sectPr>
          <w:pgSz w:w="10300" w:h="13300"/>
          <w:pgMar w:top="400" w:right="592" w:bottom="400" w:left="1140" w:header="0" w:footer="0" w:gutter="0"/>
          <w:cols w:space="720" w:num="1"/>
        </w:sectPr>
      </w:pPr>
    </w:p>
    <w:p w14:paraId="63BB629F">
      <w:pPr>
        <w:pStyle w:val="2"/>
        <w:spacing w:before="68" w:line="219" w:lineRule="auto"/>
        <w:rPr>
          <w:sz w:val="20"/>
          <w:szCs w:val="20"/>
        </w:rPr>
      </w:pPr>
      <w:r>
        <w:rPr>
          <w:rFonts w:ascii="Times New Roman" w:hAnsi="Times New Roman" w:eastAsia="Times New Roman" w:cs="Times New Roman"/>
          <w:b/>
          <w:bCs/>
          <w:spacing w:val="-2"/>
          <w:position w:val="-1"/>
          <w:sz w:val="20"/>
          <w:szCs w:val="20"/>
        </w:rPr>
        <w:t xml:space="preserve">46              </w:t>
      </w:r>
      <w:r>
        <w:rPr>
          <w:spacing w:val="-2"/>
          <w:sz w:val="20"/>
          <w:szCs w:val="20"/>
        </w:rPr>
        <w:t>信息系统监理师教程(第2版)</w:t>
      </w:r>
    </w:p>
    <w:p w14:paraId="014F225B">
      <w:pPr>
        <w:spacing w:line="322" w:lineRule="auto"/>
        <w:rPr>
          <w:rFonts w:ascii="Arial"/>
          <w:sz w:val="21"/>
        </w:rPr>
      </w:pPr>
    </w:p>
    <w:p w14:paraId="7B6E92CE">
      <w:pPr>
        <w:pStyle w:val="2"/>
        <w:spacing w:before="65" w:line="222" w:lineRule="auto"/>
        <w:ind w:left="692"/>
        <w:rPr>
          <w:rFonts w:ascii="黑体" w:hAnsi="黑体" w:eastAsia="黑体" w:cs="黑体"/>
          <w:sz w:val="20"/>
          <w:szCs w:val="20"/>
        </w:rPr>
      </w:pPr>
      <w:bookmarkStart w:id="505" w:name="bookmark492"/>
      <w:bookmarkEnd w:id="505"/>
      <w:r>
        <w:rPr>
          <w:b/>
          <w:bCs/>
          <w:color w:val="187FD9"/>
          <w:spacing w:val="-2"/>
          <w:sz w:val="20"/>
          <w:szCs w:val="20"/>
        </w:rPr>
        <w:t>3.</w:t>
      </w:r>
      <w:r>
        <w:rPr>
          <w:rFonts w:ascii="黑体" w:hAnsi="黑体" w:eastAsia="黑体" w:cs="黑体"/>
          <w:b/>
          <w:bCs/>
          <w:color w:val="187FD9"/>
          <w:spacing w:val="-2"/>
          <w:sz w:val="20"/>
          <w:szCs w:val="20"/>
        </w:rPr>
        <w:t>控制阶段</w:t>
      </w:r>
    </w:p>
    <w:p w14:paraId="0F336CB3">
      <w:pPr>
        <w:pStyle w:val="2"/>
        <w:spacing w:before="161" w:line="291" w:lineRule="auto"/>
        <w:ind w:left="289" w:right="19" w:firstLine="400"/>
        <w:jc w:val="both"/>
        <w:rPr>
          <w:sz w:val="20"/>
          <w:szCs w:val="20"/>
        </w:rPr>
      </w:pPr>
      <w:r>
        <w:rPr>
          <w:sz w:val="20"/>
          <w:szCs w:val="20"/>
        </w:rPr>
        <w:t>在前一阶段盲目购机、盲目定制开发软件之后，组织管理者意识到计算机的使用超出控</w:t>
      </w:r>
      <w:r>
        <w:rPr>
          <w:spacing w:val="-1"/>
          <w:sz w:val="20"/>
          <w:szCs w:val="20"/>
        </w:rPr>
        <w:t>制、</w:t>
      </w:r>
      <w:r>
        <w:rPr>
          <w:sz w:val="20"/>
          <w:szCs w:val="20"/>
        </w:rPr>
        <w:t xml:space="preserve"> </w:t>
      </w:r>
      <w:r>
        <w:rPr>
          <w:rFonts w:ascii="Times New Roman" w:hAnsi="Times New Roman" w:eastAsia="Times New Roman" w:cs="Times New Roman"/>
          <w:sz w:val="20"/>
          <w:szCs w:val="20"/>
        </w:rPr>
        <w:t>IT</w:t>
      </w:r>
      <w:r>
        <w:rPr>
          <w:rFonts w:ascii="Times New Roman" w:hAnsi="Times New Roman" w:eastAsia="Times New Roman" w:cs="Times New Roman"/>
          <w:spacing w:val="3"/>
          <w:sz w:val="20"/>
          <w:szCs w:val="20"/>
        </w:rPr>
        <w:t xml:space="preserve"> </w:t>
      </w:r>
      <w:r>
        <w:rPr>
          <w:spacing w:val="3"/>
          <w:sz w:val="20"/>
          <w:szCs w:val="20"/>
        </w:rPr>
        <w:t>投资增长快、效率不理想等问题，于是开始从整体上控</w:t>
      </w:r>
      <w:r>
        <w:rPr>
          <w:spacing w:val="2"/>
          <w:sz w:val="20"/>
          <w:szCs w:val="20"/>
        </w:rPr>
        <w:t>制计算机信息系统的投入与发展，组</w:t>
      </w:r>
      <w:r>
        <w:rPr>
          <w:sz w:val="20"/>
          <w:szCs w:val="20"/>
        </w:rPr>
        <w:t xml:space="preserve"> </w:t>
      </w:r>
      <w:r>
        <w:rPr>
          <w:spacing w:val="6"/>
          <w:sz w:val="20"/>
          <w:szCs w:val="20"/>
        </w:rPr>
        <w:t>织需要协调、解决数据共享问题。此时，组织的</w:t>
      </w:r>
      <w:r>
        <w:rPr>
          <w:rFonts w:ascii="Times New Roman" w:hAnsi="Times New Roman" w:eastAsia="Times New Roman" w:cs="Times New Roman"/>
          <w:sz w:val="20"/>
          <w:szCs w:val="20"/>
        </w:rPr>
        <w:t>IT</w:t>
      </w:r>
      <w:r>
        <w:rPr>
          <w:rFonts w:ascii="Times New Roman" w:hAnsi="Times New Roman" w:eastAsia="Times New Roman" w:cs="Times New Roman"/>
          <w:spacing w:val="6"/>
          <w:sz w:val="20"/>
          <w:szCs w:val="20"/>
        </w:rPr>
        <w:t xml:space="preserve"> </w:t>
      </w:r>
      <w:r>
        <w:rPr>
          <w:spacing w:val="6"/>
          <w:sz w:val="20"/>
          <w:szCs w:val="20"/>
        </w:rPr>
        <w:t>建设更加务实，对</w:t>
      </w:r>
      <w:r>
        <w:rPr>
          <w:rFonts w:ascii="Times New Roman" w:hAnsi="Times New Roman" w:eastAsia="Times New Roman" w:cs="Times New Roman"/>
          <w:sz w:val="20"/>
          <w:szCs w:val="20"/>
        </w:rPr>
        <w:t>IT</w:t>
      </w:r>
      <w:r>
        <w:rPr>
          <w:rFonts w:ascii="Times New Roman" w:hAnsi="Times New Roman" w:eastAsia="Times New Roman" w:cs="Times New Roman"/>
          <w:spacing w:val="27"/>
          <w:sz w:val="20"/>
          <w:szCs w:val="20"/>
        </w:rPr>
        <w:t xml:space="preserve"> </w:t>
      </w:r>
      <w:r>
        <w:rPr>
          <w:spacing w:val="6"/>
          <w:sz w:val="20"/>
          <w:szCs w:val="20"/>
        </w:rPr>
        <w:t>的利用有了</w:t>
      </w:r>
      <w:r>
        <w:rPr>
          <w:spacing w:val="5"/>
          <w:sz w:val="20"/>
          <w:szCs w:val="20"/>
        </w:rPr>
        <w:t>更明确的</w:t>
      </w:r>
      <w:r>
        <w:rPr>
          <w:sz w:val="20"/>
          <w:szCs w:val="20"/>
        </w:rPr>
        <w:t xml:space="preserve"> 认识和目标。在这一阶段，一些职能部门在部门内部实现了网络化，例如财务系统、人事系统、 </w:t>
      </w:r>
      <w:r>
        <w:rPr>
          <w:spacing w:val="-2"/>
          <w:sz w:val="20"/>
          <w:szCs w:val="20"/>
        </w:rPr>
        <w:t>库存系统等，但各软件系统之间还存在“部门壁垒”与“信息孤岛”。信息系统呈现单点、分散</w:t>
      </w:r>
      <w:r>
        <w:rPr>
          <w:spacing w:val="10"/>
          <w:sz w:val="20"/>
          <w:szCs w:val="20"/>
        </w:rPr>
        <w:t xml:space="preserve"> </w:t>
      </w:r>
      <w:r>
        <w:rPr>
          <w:spacing w:val="-2"/>
          <w:sz w:val="20"/>
          <w:szCs w:val="20"/>
        </w:rPr>
        <w:t>的特点，系统和资源利用率不高。这一阶段的主要特点是：</w:t>
      </w:r>
    </w:p>
    <w:p w14:paraId="7CDBF9B1">
      <w:pPr>
        <w:pStyle w:val="2"/>
        <w:spacing w:before="29" w:line="220" w:lineRule="auto"/>
        <w:ind w:left="689"/>
        <w:rPr>
          <w:sz w:val="20"/>
          <w:szCs w:val="20"/>
        </w:rPr>
      </w:pPr>
      <w:r>
        <w:rPr>
          <w:spacing w:val="3"/>
          <w:sz w:val="20"/>
          <w:szCs w:val="20"/>
        </w:rPr>
        <w:t>(1)具备了专门的领导小组；</w:t>
      </w:r>
    </w:p>
    <w:p w14:paraId="0CF3F0DE">
      <w:pPr>
        <w:pStyle w:val="2"/>
        <w:spacing w:before="49" w:line="212" w:lineRule="auto"/>
        <w:ind w:left="689"/>
        <w:rPr>
          <w:sz w:val="20"/>
          <w:szCs w:val="20"/>
        </w:rPr>
      </w:pPr>
      <w:r>
        <w:rPr>
          <w:spacing w:val="6"/>
          <w:sz w:val="20"/>
          <w:szCs w:val="20"/>
        </w:rPr>
        <w:t>(2)采用数据库</w:t>
      </w:r>
      <w:r>
        <w:rPr>
          <w:spacing w:val="-51"/>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Data</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Base</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DB</w:t>
      </w:r>
      <w:r>
        <w:rPr>
          <w:rFonts w:ascii="Times New Roman" w:hAnsi="Times New Roman" w:eastAsia="Times New Roman" w:cs="Times New Roman"/>
          <w:spacing w:val="6"/>
          <w:sz w:val="20"/>
          <w:szCs w:val="20"/>
        </w:rPr>
        <w:t xml:space="preserve">) </w:t>
      </w:r>
      <w:r>
        <w:rPr>
          <w:spacing w:val="6"/>
          <w:sz w:val="20"/>
          <w:szCs w:val="20"/>
        </w:rPr>
        <w:t>技术；</w:t>
      </w:r>
    </w:p>
    <w:p w14:paraId="35B08B3C">
      <w:pPr>
        <w:pStyle w:val="2"/>
        <w:spacing w:before="111" w:line="219" w:lineRule="auto"/>
        <w:ind w:left="689"/>
        <w:rPr>
          <w:sz w:val="20"/>
          <w:szCs w:val="20"/>
        </w:rPr>
      </w:pPr>
      <w:r>
        <w:rPr>
          <w:spacing w:val="3"/>
          <w:sz w:val="20"/>
          <w:szCs w:val="20"/>
        </w:rPr>
        <w:t>(3)这一阶段是计算机管理向数据管理发展的</w:t>
      </w:r>
      <w:r>
        <w:rPr>
          <w:spacing w:val="2"/>
          <w:sz w:val="20"/>
          <w:szCs w:val="20"/>
        </w:rPr>
        <w:t>关键。</w:t>
      </w:r>
    </w:p>
    <w:p w14:paraId="6AD3569A">
      <w:pPr>
        <w:pStyle w:val="2"/>
        <w:spacing w:before="181" w:line="222" w:lineRule="auto"/>
        <w:ind w:left="692"/>
        <w:rPr>
          <w:rFonts w:ascii="黑体" w:hAnsi="黑体" w:eastAsia="黑体" w:cs="黑体"/>
          <w:sz w:val="20"/>
          <w:szCs w:val="20"/>
        </w:rPr>
      </w:pPr>
      <w:r>
        <w:rPr>
          <w:b/>
          <w:bCs/>
          <w:color w:val="0060C1"/>
          <w:spacing w:val="-4"/>
          <w:sz w:val="20"/>
          <w:szCs w:val="20"/>
        </w:rPr>
        <w:t>4.</w:t>
      </w:r>
      <w:r>
        <w:rPr>
          <w:rFonts w:ascii="黑体" w:hAnsi="黑体" w:eastAsia="黑体" w:cs="黑体"/>
          <w:b/>
          <w:bCs/>
          <w:color w:val="0060C1"/>
          <w:spacing w:val="-4"/>
          <w:sz w:val="20"/>
          <w:szCs w:val="20"/>
        </w:rPr>
        <w:t>集成阶段</w:t>
      </w:r>
    </w:p>
    <w:p w14:paraId="2C049323">
      <w:pPr>
        <w:pStyle w:val="2"/>
        <w:spacing w:before="121" w:line="289" w:lineRule="auto"/>
        <w:ind w:left="289" w:right="56" w:firstLine="400"/>
        <w:jc w:val="both"/>
        <w:rPr>
          <w:sz w:val="20"/>
          <w:szCs w:val="20"/>
        </w:rPr>
      </w:pPr>
      <w:r>
        <w:rPr>
          <w:spacing w:val="-1"/>
          <w:sz w:val="20"/>
          <w:szCs w:val="20"/>
        </w:rPr>
        <w:t>在控制的基础上，组织开始进行规划设计，建立基础数据库，并建成统一的信息管理系统。</w:t>
      </w:r>
      <w:r>
        <w:rPr>
          <w:spacing w:val="3"/>
          <w:sz w:val="20"/>
          <w:szCs w:val="20"/>
        </w:rPr>
        <w:t xml:space="preserve"> </w:t>
      </w:r>
      <w:r>
        <w:rPr>
          <w:spacing w:val="4"/>
          <w:sz w:val="20"/>
          <w:szCs w:val="20"/>
        </w:rPr>
        <w:t>组织的</w:t>
      </w:r>
      <w:r>
        <w:rPr>
          <w:rFonts w:ascii="Times New Roman" w:hAnsi="Times New Roman" w:eastAsia="Times New Roman" w:cs="Times New Roman"/>
          <w:sz w:val="20"/>
          <w:szCs w:val="20"/>
        </w:rPr>
        <w:t>IT</w:t>
      </w:r>
      <w:r>
        <w:rPr>
          <w:rFonts w:ascii="Times New Roman" w:hAnsi="Times New Roman" w:eastAsia="Times New Roman" w:cs="Times New Roman"/>
          <w:spacing w:val="27"/>
          <w:sz w:val="20"/>
          <w:szCs w:val="20"/>
        </w:rPr>
        <w:t xml:space="preserve"> </w:t>
      </w:r>
      <w:r>
        <w:rPr>
          <w:spacing w:val="4"/>
          <w:sz w:val="20"/>
          <w:szCs w:val="20"/>
        </w:rPr>
        <w:t>建设开始由分散和单点发展为成体系。组织</w:t>
      </w:r>
      <w:r>
        <w:rPr>
          <w:rFonts w:ascii="Times New Roman" w:hAnsi="Times New Roman" w:eastAsia="Times New Roman" w:cs="Times New Roman"/>
          <w:sz w:val="20"/>
          <w:szCs w:val="20"/>
        </w:rPr>
        <w:t>IT</w:t>
      </w:r>
      <w:r>
        <w:rPr>
          <w:rFonts w:ascii="Times New Roman" w:hAnsi="Times New Roman" w:eastAsia="Times New Roman" w:cs="Times New Roman"/>
          <w:spacing w:val="16"/>
          <w:w w:val="101"/>
          <w:sz w:val="20"/>
          <w:szCs w:val="20"/>
        </w:rPr>
        <w:t xml:space="preserve"> </w:t>
      </w:r>
      <w:r>
        <w:rPr>
          <w:spacing w:val="4"/>
          <w:sz w:val="20"/>
          <w:szCs w:val="20"/>
        </w:rPr>
        <w:t>主管开始把内部不同</w:t>
      </w:r>
      <w:r>
        <w:rPr>
          <w:spacing w:val="3"/>
          <w:sz w:val="20"/>
          <w:szCs w:val="20"/>
        </w:rPr>
        <w:t>的</w:t>
      </w:r>
      <w:r>
        <w:rPr>
          <w:rFonts w:ascii="Times New Roman" w:hAnsi="Times New Roman" w:eastAsia="Times New Roman" w:cs="Times New Roman"/>
          <w:sz w:val="20"/>
          <w:szCs w:val="20"/>
        </w:rPr>
        <w:t>IT</w:t>
      </w:r>
      <w:r>
        <w:rPr>
          <w:rFonts w:ascii="Times New Roman" w:hAnsi="Times New Roman" w:eastAsia="Times New Roman" w:cs="Times New Roman"/>
          <w:spacing w:val="26"/>
          <w:w w:val="101"/>
          <w:sz w:val="20"/>
          <w:szCs w:val="20"/>
        </w:rPr>
        <w:t xml:space="preserve"> </w:t>
      </w:r>
      <w:r>
        <w:rPr>
          <w:spacing w:val="3"/>
          <w:sz w:val="20"/>
          <w:szCs w:val="20"/>
        </w:rPr>
        <w:t>机构和系统</w:t>
      </w:r>
      <w:r>
        <w:rPr>
          <w:sz w:val="20"/>
          <w:szCs w:val="20"/>
        </w:rPr>
        <w:t xml:space="preserve"> </w:t>
      </w:r>
      <w:r>
        <w:rPr>
          <w:spacing w:val="3"/>
          <w:sz w:val="20"/>
          <w:szCs w:val="20"/>
        </w:rPr>
        <w:t>统一到一个整体系统中进行管理，使人、财、物等资源信息能够在组织中集成共享，更有效地</w:t>
      </w:r>
      <w:r>
        <w:rPr>
          <w:spacing w:val="4"/>
          <w:sz w:val="20"/>
          <w:szCs w:val="20"/>
        </w:rPr>
        <w:t xml:space="preserve"> </w:t>
      </w:r>
      <w:r>
        <w:rPr>
          <w:spacing w:val="-2"/>
          <w:sz w:val="20"/>
          <w:szCs w:val="20"/>
        </w:rPr>
        <w:t>利用现有的</w:t>
      </w:r>
      <w:r>
        <w:rPr>
          <w:rFonts w:ascii="Times New Roman" w:hAnsi="Times New Roman" w:eastAsia="Times New Roman" w:cs="Times New Roman"/>
          <w:spacing w:val="-2"/>
          <w:sz w:val="20"/>
          <w:szCs w:val="20"/>
        </w:rPr>
        <w:t>IT</w:t>
      </w:r>
      <w:r>
        <w:rPr>
          <w:rFonts w:ascii="Times New Roman" w:hAnsi="Times New Roman" w:eastAsia="Times New Roman" w:cs="Times New Roman"/>
          <w:spacing w:val="26"/>
          <w:sz w:val="20"/>
          <w:szCs w:val="20"/>
        </w:rPr>
        <w:t xml:space="preserve"> </w:t>
      </w:r>
      <w:r>
        <w:rPr>
          <w:spacing w:val="-2"/>
          <w:sz w:val="20"/>
          <w:szCs w:val="20"/>
        </w:rPr>
        <w:t>系统和资源。这一阶段的主要特点是：</w:t>
      </w:r>
    </w:p>
    <w:p w14:paraId="169C0954">
      <w:pPr>
        <w:pStyle w:val="2"/>
        <w:spacing w:before="19" w:line="219" w:lineRule="auto"/>
        <w:ind w:left="689"/>
        <w:rPr>
          <w:sz w:val="20"/>
          <w:szCs w:val="20"/>
        </w:rPr>
      </w:pPr>
      <w:r>
        <w:rPr>
          <w:spacing w:val="1"/>
          <w:sz w:val="20"/>
          <w:szCs w:val="20"/>
        </w:rPr>
        <w:t>(1)建立集中式的数据库和相应的信息系统；</w:t>
      </w:r>
    </w:p>
    <w:p w14:paraId="4FCCCFBA">
      <w:pPr>
        <w:pStyle w:val="2"/>
        <w:spacing w:before="83" w:line="219" w:lineRule="auto"/>
        <w:ind w:left="689"/>
        <w:rPr>
          <w:sz w:val="20"/>
          <w:szCs w:val="20"/>
        </w:rPr>
      </w:pPr>
      <w:r>
        <w:rPr>
          <w:spacing w:val="3"/>
          <w:sz w:val="20"/>
          <w:szCs w:val="20"/>
        </w:rPr>
        <w:t>(2)增加大量硬件，预算费用迅速增长。</w:t>
      </w:r>
    </w:p>
    <w:p w14:paraId="2130E2D3">
      <w:pPr>
        <w:pStyle w:val="2"/>
        <w:spacing w:before="160" w:line="222" w:lineRule="auto"/>
        <w:ind w:left="692"/>
        <w:rPr>
          <w:rFonts w:ascii="黑体" w:hAnsi="黑体" w:eastAsia="黑体" w:cs="黑体"/>
          <w:sz w:val="20"/>
          <w:szCs w:val="20"/>
        </w:rPr>
      </w:pPr>
      <w:r>
        <w:rPr>
          <w:b/>
          <w:bCs/>
          <w:color w:val="006FD1"/>
          <w:spacing w:val="-2"/>
          <w:sz w:val="20"/>
          <w:szCs w:val="20"/>
        </w:rPr>
        <w:t>5.</w:t>
      </w:r>
      <w:r>
        <w:rPr>
          <w:rFonts w:ascii="黑体" w:hAnsi="黑体" w:eastAsia="黑体" w:cs="黑体"/>
          <w:b/>
          <w:bCs/>
          <w:color w:val="006FD1"/>
          <w:spacing w:val="-2"/>
          <w:sz w:val="20"/>
          <w:szCs w:val="20"/>
        </w:rPr>
        <w:t>数据管理阶段</w:t>
      </w:r>
    </w:p>
    <w:p w14:paraId="2A7D8054">
      <w:pPr>
        <w:pStyle w:val="2"/>
        <w:spacing w:before="133" w:line="289" w:lineRule="auto"/>
        <w:ind w:left="289" w:right="88" w:firstLine="400"/>
        <w:jc w:val="both"/>
        <w:rPr>
          <w:sz w:val="20"/>
          <w:szCs w:val="20"/>
        </w:rPr>
      </w:pPr>
      <w:r>
        <w:rPr>
          <w:spacing w:val="3"/>
          <w:sz w:val="20"/>
          <w:szCs w:val="20"/>
        </w:rPr>
        <w:t>组织高层意识到信息战略的重要性，信息作为组织的重要资源，组织的信息</w:t>
      </w:r>
      <w:r>
        <w:rPr>
          <w:spacing w:val="2"/>
          <w:sz w:val="20"/>
          <w:szCs w:val="20"/>
        </w:rPr>
        <w:t>化建设也真正</w:t>
      </w:r>
      <w:r>
        <w:rPr>
          <w:sz w:val="20"/>
          <w:szCs w:val="20"/>
        </w:rPr>
        <w:t xml:space="preserve"> </w:t>
      </w:r>
      <w:r>
        <w:rPr>
          <w:spacing w:val="3"/>
          <w:sz w:val="20"/>
          <w:szCs w:val="20"/>
        </w:rPr>
        <w:t>进入到数据处理阶段。在这一阶段，组织开始选定统一的数据库平台、数据管理体系和信息管</w:t>
      </w:r>
      <w:r>
        <w:rPr>
          <w:spacing w:val="7"/>
          <w:sz w:val="20"/>
          <w:szCs w:val="20"/>
        </w:rPr>
        <w:t xml:space="preserve"> </w:t>
      </w:r>
      <w:r>
        <w:rPr>
          <w:sz w:val="20"/>
          <w:szCs w:val="20"/>
        </w:rPr>
        <w:t>理平台，统一数据的管理和使用，各部门、各系统基本实现资源整合和信息共享。</w:t>
      </w:r>
      <w:r>
        <w:rPr>
          <w:spacing w:val="-38"/>
          <w:sz w:val="20"/>
          <w:szCs w:val="20"/>
        </w:rPr>
        <w:t xml:space="preserve"> </w:t>
      </w:r>
      <w:r>
        <w:rPr>
          <w:rFonts w:ascii="Times New Roman" w:hAnsi="Times New Roman" w:eastAsia="Times New Roman" w:cs="Times New Roman"/>
          <w:sz w:val="20"/>
          <w:szCs w:val="20"/>
        </w:rPr>
        <w:t>IT</w:t>
      </w:r>
      <w:r>
        <w:rPr>
          <w:rFonts w:ascii="Times New Roman" w:hAnsi="Times New Roman" w:eastAsia="Times New Roman" w:cs="Times New Roman"/>
          <w:spacing w:val="26"/>
          <w:w w:val="101"/>
          <w:sz w:val="20"/>
          <w:szCs w:val="20"/>
        </w:rPr>
        <w:t xml:space="preserve"> </w:t>
      </w:r>
      <w:r>
        <w:rPr>
          <w:sz w:val="20"/>
          <w:szCs w:val="20"/>
        </w:rPr>
        <w:t xml:space="preserve">系统的规 </w:t>
      </w:r>
      <w:r>
        <w:rPr>
          <w:spacing w:val="-3"/>
          <w:sz w:val="20"/>
          <w:szCs w:val="20"/>
        </w:rPr>
        <w:t>划及资源利用更加有效。</w:t>
      </w:r>
    </w:p>
    <w:p w14:paraId="02FBC310">
      <w:pPr>
        <w:pStyle w:val="2"/>
        <w:spacing w:before="112" w:line="221" w:lineRule="auto"/>
        <w:ind w:left="692"/>
        <w:rPr>
          <w:rFonts w:ascii="黑体" w:hAnsi="黑体" w:eastAsia="黑体" w:cs="黑体"/>
          <w:sz w:val="20"/>
          <w:szCs w:val="20"/>
        </w:rPr>
      </w:pPr>
      <w:r>
        <w:rPr>
          <w:b/>
          <w:bCs/>
          <w:color w:val="0080E3"/>
          <w:spacing w:val="-5"/>
          <w:sz w:val="20"/>
          <w:szCs w:val="20"/>
        </w:rPr>
        <w:t>6.</w:t>
      </w:r>
      <w:r>
        <w:rPr>
          <w:rFonts w:ascii="黑体" w:hAnsi="黑体" w:eastAsia="黑体" w:cs="黑体"/>
          <w:b/>
          <w:bCs/>
          <w:color w:val="0080E3"/>
          <w:spacing w:val="-5"/>
          <w:sz w:val="20"/>
          <w:szCs w:val="20"/>
        </w:rPr>
        <w:t>成熟阶段</w:t>
      </w:r>
    </w:p>
    <w:p w14:paraId="3B8BA9B6">
      <w:pPr>
        <w:pStyle w:val="2"/>
        <w:spacing w:before="143" w:line="278" w:lineRule="auto"/>
        <w:ind w:left="289" w:firstLine="400"/>
        <w:jc w:val="both"/>
        <w:rPr>
          <w:sz w:val="20"/>
          <w:szCs w:val="20"/>
        </w:rPr>
      </w:pPr>
      <w:r>
        <w:rPr>
          <w:spacing w:val="6"/>
          <w:sz w:val="20"/>
          <w:szCs w:val="20"/>
        </w:rPr>
        <w:t>信息系统已经可以满足组织各个层次的需求，从简单的</w:t>
      </w:r>
      <w:r>
        <w:rPr>
          <w:spacing w:val="5"/>
          <w:sz w:val="20"/>
          <w:szCs w:val="20"/>
        </w:rPr>
        <w:t>事务处理到支持高效管理的决策。</w:t>
      </w:r>
      <w:r>
        <w:rPr>
          <w:sz w:val="20"/>
          <w:szCs w:val="20"/>
        </w:rPr>
        <w:t xml:space="preserve"> </w:t>
      </w:r>
      <w:r>
        <w:rPr>
          <w:spacing w:val="2"/>
          <w:sz w:val="20"/>
          <w:szCs w:val="20"/>
        </w:rPr>
        <w:t>组织真正把</w:t>
      </w:r>
      <w:r>
        <w:rPr>
          <w:rFonts w:ascii="Times New Roman" w:hAnsi="Times New Roman" w:eastAsia="Times New Roman" w:cs="Times New Roman"/>
          <w:sz w:val="20"/>
          <w:szCs w:val="20"/>
        </w:rPr>
        <w:t>IT</w:t>
      </w:r>
      <w:r>
        <w:rPr>
          <w:rFonts w:ascii="Times New Roman" w:hAnsi="Times New Roman" w:eastAsia="Times New Roman" w:cs="Times New Roman"/>
          <w:spacing w:val="2"/>
          <w:sz w:val="20"/>
          <w:szCs w:val="20"/>
        </w:rPr>
        <w:t xml:space="preserve"> </w:t>
      </w:r>
      <w:r>
        <w:rPr>
          <w:spacing w:val="2"/>
          <w:sz w:val="20"/>
          <w:szCs w:val="20"/>
        </w:rPr>
        <w:t xml:space="preserve">与管理过程结合起来，将组织内部、外部的资源充分整合和利用，从而提升了组  </w:t>
      </w:r>
      <w:r>
        <w:rPr>
          <w:spacing w:val="-4"/>
          <w:sz w:val="20"/>
          <w:szCs w:val="20"/>
        </w:rPr>
        <w:t>织的竞争力和发展潜力。</w:t>
      </w:r>
    </w:p>
    <w:p w14:paraId="566667B5">
      <w:pPr>
        <w:pStyle w:val="2"/>
        <w:spacing w:before="19" w:line="278" w:lineRule="auto"/>
        <w:ind w:left="289" w:right="39" w:firstLine="400"/>
        <w:jc w:val="both"/>
        <w:rPr>
          <w:sz w:val="20"/>
          <w:szCs w:val="20"/>
        </w:rPr>
      </w:pPr>
      <w:r>
        <w:rPr>
          <w:spacing w:val="5"/>
          <w:sz w:val="20"/>
          <w:szCs w:val="20"/>
        </w:rPr>
        <w:t>诺兰的六阶段模型反映了计算机应用发展的规律性，</w:t>
      </w:r>
      <w:r>
        <w:rPr>
          <w:spacing w:val="4"/>
          <w:sz w:val="20"/>
          <w:szCs w:val="20"/>
        </w:rPr>
        <w:t>前三个阶段具有计算机时代的特征，</w:t>
      </w:r>
      <w:r>
        <w:rPr>
          <w:sz w:val="20"/>
          <w:szCs w:val="20"/>
        </w:rPr>
        <w:t xml:space="preserve"> </w:t>
      </w:r>
      <w:r>
        <w:rPr>
          <w:spacing w:val="3"/>
          <w:sz w:val="20"/>
          <w:szCs w:val="20"/>
        </w:rPr>
        <w:t>后三个阶段具有信息时代的特征。诺兰模型的预见性，其后被国际上许多组织的计算机应用发</w:t>
      </w:r>
      <w:r>
        <w:rPr>
          <w:spacing w:val="5"/>
          <w:sz w:val="20"/>
          <w:szCs w:val="20"/>
        </w:rPr>
        <w:t xml:space="preserve"> </w:t>
      </w:r>
      <w:r>
        <w:rPr>
          <w:spacing w:val="-5"/>
          <w:sz w:val="20"/>
          <w:szCs w:val="20"/>
        </w:rPr>
        <w:t>展情况所证实。</w:t>
      </w:r>
    </w:p>
    <w:p w14:paraId="5C769FD4">
      <w:pPr>
        <w:pStyle w:val="2"/>
        <w:spacing w:before="195" w:line="219" w:lineRule="auto"/>
        <w:ind w:left="292"/>
        <w:rPr>
          <w:sz w:val="25"/>
          <w:szCs w:val="25"/>
        </w:rPr>
      </w:pPr>
      <w:r>
        <w:rPr>
          <w:b/>
          <w:bCs/>
          <w:color w:val="0057CB"/>
          <w:spacing w:val="-18"/>
          <w:sz w:val="25"/>
          <w:szCs w:val="25"/>
        </w:rPr>
        <w:t>2.1.3</w:t>
      </w:r>
      <w:r>
        <w:rPr>
          <w:color w:val="0057CB"/>
          <w:spacing w:val="90"/>
          <w:sz w:val="25"/>
          <w:szCs w:val="25"/>
        </w:rPr>
        <w:t xml:space="preserve"> </w:t>
      </w:r>
      <w:r>
        <w:rPr>
          <w:b/>
          <w:bCs/>
          <w:color w:val="0057CB"/>
          <w:spacing w:val="-18"/>
          <w:sz w:val="25"/>
          <w:szCs w:val="25"/>
        </w:rPr>
        <w:t>信息系统的结构</w:t>
      </w:r>
    </w:p>
    <w:p w14:paraId="066A2751">
      <w:pPr>
        <w:pStyle w:val="2"/>
        <w:spacing w:before="145" w:line="278" w:lineRule="auto"/>
        <w:ind w:left="289" w:right="81" w:firstLine="400"/>
        <w:jc w:val="both"/>
        <w:rPr>
          <w:sz w:val="20"/>
          <w:szCs w:val="20"/>
        </w:rPr>
      </w:pPr>
      <w:r>
        <w:rPr>
          <w:spacing w:val="3"/>
          <w:sz w:val="20"/>
          <w:szCs w:val="20"/>
        </w:rPr>
        <w:t>信息系统的结构分为物理结构与逻辑结构两种。物理结构是指不考虑系</w:t>
      </w:r>
      <w:r>
        <w:rPr>
          <w:spacing w:val="2"/>
          <w:sz w:val="20"/>
          <w:szCs w:val="20"/>
        </w:rPr>
        <w:t>统各部分的实际工</w:t>
      </w:r>
      <w:r>
        <w:rPr>
          <w:sz w:val="20"/>
          <w:szCs w:val="20"/>
        </w:rPr>
        <w:t xml:space="preserve"> </w:t>
      </w:r>
      <w:r>
        <w:rPr>
          <w:spacing w:val="3"/>
          <w:sz w:val="20"/>
          <w:szCs w:val="20"/>
        </w:rPr>
        <w:t>作与功能结构，只抽象地考察其硬件系统的空间分布情况。逻辑结构是指信息系统各功能子系</w:t>
      </w:r>
      <w:r>
        <w:rPr>
          <w:spacing w:val="14"/>
          <w:sz w:val="20"/>
          <w:szCs w:val="20"/>
        </w:rPr>
        <w:t xml:space="preserve"> </w:t>
      </w:r>
      <w:r>
        <w:rPr>
          <w:spacing w:val="-2"/>
          <w:sz w:val="20"/>
          <w:szCs w:val="20"/>
        </w:rPr>
        <w:t>统的综合体。</w:t>
      </w:r>
    </w:p>
    <w:p w14:paraId="00CA0A7B">
      <w:pPr>
        <w:spacing w:line="278" w:lineRule="auto"/>
        <w:rPr>
          <w:sz w:val="20"/>
          <w:szCs w:val="20"/>
        </w:rPr>
        <w:sectPr>
          <w:pgSz w:w="10320" w:h="13420"/>
          <w:pgMar w:top="400" w:right="1049" w:bottom="400" w:left="559" w:header="0" w:footer="0" w:gutter="0"/>
          <w:cols w:space="720" w:num="1"/>
        </w:sectPr>
      </w:pPr>
    </w:p>
    <w:p w14:paraId="062A1961">
      <w:pPr>
        <w:pStyle w:val="2"/>
        <w:spacing w:before="66" w:line="219" w:lineRule="auto"/>
        <w:jc w:val="right"/>
        <w:rPr>
          <w:rFonts w:ascii="Times New Roman" w:hAnsi="Times New Roman" w:eastAsia="Times New Roman" w:cs="Times New Roman"/>
          <w:sz w:val="19"/>
          <w:szCs w:val="19"/>
        </w:rPr>
      </w:pPr>
      <w:r>
        <w:rPr>
          <w:spacing w:val="5"/>
          <w:sz w:val="19"/>
          <w:szCs w:val="19"/>
        </w:rPr>
        <w:t>第2章</w:t>
      </w:r>
      <w:r>
        <w:rPr>
          <w:spacing w:val="28"/>
          <w:sz w:val="19"/>
          <w:szCs w:val="19"/>
        </w:rPr>
        <w:t xml:space="preserve"> </w:t>
      </w:r>
      <w:r>
        <w:rPr>
          <w:spacing w:val="5"/>
          <w:sz w:val="19"/>
          <w:szCs w:val="19"/>
        </w:rPr>
        <w:t>信息系统工程</w:t>
      </w:r>
      <w:r>
        <w:rPr>
          <w:spacing w:val="15"/>
          <w:sz w:val="19"/>
          <w:szCs w:val="19"/>
        </w:rPr>
        <w:t xml:space="preserve">      </w:t>
      </w:r>
      <w:r>
        <w:rPr>
          <w:rFonts w:ascii="Times New Roman" w:hAnsi="Times New Roman" w:eastAsia="Times New Roman" w:cs="Times New Roman"/>
          <w:spacing w:val="5"/>
          <w:position w:val="1"/>
          <w:sz w:val="19"/>
          <w:szCs w:val="19"/>
        </w:rPr>
        <w:t>47</w:t>
      </w:r>
    </w:p>
    <w:p w14:paraId="012C44BC">
      <w:pPr>
        <w:spacing w:line="317" w:lineRule="auto"/>
        <w:rPr>
          <w:rFonts w:ascii="Arial"/>
          <w:sz w:val="21"/>
        </w:rPr>
      </w:pPr>
    </w:p>
    <w:p w14:paraId="5964F906">
      <w:pPr>
        <w:pStyle w:val="2"/>
        <w:spacing w:before="62" w:line="221" w:lineRule="auto"/>
        <w:ind w:left="402"/>
        <w:rPr>
          <w:rFonts w:ascii="黑体" w:hAnsi="黑体" w:eastAsia="黑体" w:cs="黑体"/>
          <w:sz w:val="19"/>
          <w:szCs w:val="19"/>
        </w:rPr>
      </w:pPr>
      <w:r>
        <w:rPr>
          <w:b/>
          <w:bCs/>
          <w:color w:val="005BD4"/>
          <w:spacing w:val="5"/>
          <w:sz w:val="19"/>
          <w:szCs w:val="19"/>
        </w:rPr>
        <w:t>1.</w:t>
      </w:r>
      <w:r>
        <w:rPr>
          <w:rFonts w:ascii="黑体" w:hAnsi="黑体" w:eastAsia="黑体" w:cs="黑体"/>
          <w:b/>
          <w:bCs/>
          <w:color w:val="005BD4"/>
          <w:spacing w:val="5"/>
          <w:sz w:val="19"/>
          <w:szCs w:val="19"/>
        </w:rPr>
        <w:t>信息系统的物理结构</w:t>
      </w:r>
    </w:p>
    <w:p w14:paraId="5870FEE9">
      <w:pPr>
        <w:pStyle w:val="2"/>
        <w:spacing w:before="155" w:line="219" w:lineRule="auto"/>
        <w:ind w:left="400"/>
        <w:rPr>
          <w:sz w:val="19"/>
          <w:szCs w:val="19"/>
        </w:rPr>
      </w:pPr>
      <w:r>
        <w:rPr>
          <w:spacing w:val="9"/>
          <w:sz w:val="19"/>
          <w:szCs w:val="19"/>
        </w:rPr>
        <w:t>按照信息系统硬件在空间上的拓扑结构，其物理结构一般可分为集中式与分布式两大类。</w:t>
      </w:r>
    </w:p>
    <w:p w14:paraId="0A672FFE">
      <w:pPr>
        <w:pStyle w:val="2"/>
        <w:spacing w:before="76" w:line="302" w:lineRule="auto"/>
        <w:ind w:right="267" w:firstLine="400"/>
        <w:rPr>
          <w:sz w:val="19"/>
          <w:szCs w:val="19"/>
        </w:rPr>
      </w:pPr>
      <w:r>
        <w:rPr>
          <w:spacing w:val="18"/>
          <w:sz w:val="19"/>
          <w:szCs w:val="19"/>
        </w:rPr>
        <w:t>(1)集中式结构，指物理资源在空间上集中配</w:t>
      </w:r>
      <w:r>
        <w:rPr>
          <w:spacing w:val="17"/>
          <w:sz w:val="19"/>
          <w:szCs w:val="19"/>
        </w:rPr>
        <w:t>置，如图2-2所示。早期的单机系统是最典</w:t>
      </w:r>
      <w:r>
        <w:rPr>
          <w:sz w:val="19"/>
          <w:szCs w:val="19"/>
        </w:rPr>
        <w:t xml:space="preserve"> </w:t>
      </w:r>
      <w:r>
        <w:rPr>
          <w:spacing w:val="13"/>
          <w:sz w:val="19"/>
          <w:szCs w:val="19"/>
        </w:rPr>
        <w:t xml:space="preserve">型的集中式结构，它将软件、数据与主要外部设备集中在一套计算机系统中。由分布在不同地 </w:t>
      </w:r>
      <w:r>
        <w:rPr>
          <w:spacing w:val="9"/>
          <w:sz w:val="19"/>
          <w:szCs w:val="19"/>
        </w:rPr>
        <w:t>点的多个用户通过终端共享资源的多用户系统，也属于</w:t>
      </w:r>
      <w:r>
        <w:rPr>
          <w:spacing w:val="8"/>
          <w:sz w:val="19"/>
          <w:szCs w:val="19"/>
        </w:rPr>
        <w:t>集中式结构。</w:t>
      </w:r>
    </w:p>
    <w:p w14:paraId="291FC7DE">
      <w:pPr>
        <w:pStyle w:val="2"/>
        <w:spacing w:before="16" w:line="304" w:lineRule="auto"/>
        <w:ind w:right="221" w:firstLine="400"/>
        <w:rPr>
          <w:sz w:val="19"/>
          <w:szCs w:val="19"/>
        </w:rPr>
      </w:pPr>
      <w:r>
        <w:rPr>
          <w:spacing w:val="15"/>
          <w:sz w:val="19"/>
          <w:szCs w:val="19"/>
        </w:rPr>
        <w:t>集中式结构的优点是资源集中、便于管理、资源利用率较高。</w:t>
      </w:r>
      <w:r>
        <w:rPr>
          <w:spacing w:val="14"/>
          <w:sz w:val="19"/>
          <w:szCs w:val="19"/>
        </w:rPr>
        <w:t>但是随着系统规模的扩大，</w:t>
      </w:r>
      <w:r>
        <w:rPr>
          <w:sz w:val="19"/>
          <w:szCs w:val="19"/>
        </w:rPr>
        <w:t xml:space="preserve"> </w:t>
      </w:r>
      <w:r>
        <w:rPr>
          <w:spacing w:val="13"/>
          <w:sz w:val="19"/>
          <w:szCs w:val="19"/>
        </w:rPr>
        <w:t>以及系统的日趋复杂，集中式结构的维护与管理越来越困难，也不利于用户发</w:t>
      </w:r>
      <w:r>
        <w:rPr>
          <w:spacing w:val="12"/>
          <w:sz w:val="19"/>
          <w:szCs w:val="19"/>
        </w:rPr>
        <w:t>挥在信息系统建</w:t>
      </w:r>
      <w:r>
        <w:rPr>
          <w:sz w:val="19"/>
          <w:szCs w:val="19"/>
        </w:rPr>
        <w:t xml:space="preserve"> </w:t>
      </w:r>
      <w:r>
        <w:rPr>
          <w:spacing w:val="11"/>
          <w:sz w:val="19"/>
          <w:szCs w:val="19"/>
        </w:rPr>
        <w:t>设过程中的积极性与主动性。此外，资源过于</w:t>
      </w:r>
      <w:r>
        <w:rPr>
          <w:spacing w:val="10"/>
          <w:sz w:val="19"/>
          <w:szCs w:val="19"/>
        </w:rPr>
        <w:t>集中会造成系统的脆弱性，</w:t>
      </w:r>
      <w:r>
        <w:rPr>
          <w:spacing w:val="69"/>
          <w:sz w:val="19"/>
          <w:szCs w:val="19"/>
        </w:rPr>
        <w:t xml:space="preserve"> </w:t>
      </w:r>
      <w:r>
        <w:rPr>
          <w:spacing w:val="10"/>
          <w:sz w:val="19"/>
          <w:szCs w:val="19"/>
        </w:rPr>
        <w:t>一旦主机出现故障，</w:t>
      </w:r>
      <w:r>
        <w:rPr>
          <w:sz w:val="19"/>
          <w:szCs w:val="19"/>
        </w:rPr>
        <w:t xml:space="preserve"> </w:t>
      </w:r>
      <w:r>
        <w:rPr>
          <w:spacing w:val="5"/>
          <w:sz w:val="19"/>
          <w:szCs w:val="19"/>
        </w:rPr>
        <w:t>会使整个系统瘫痪。</w:t>
      </w:r>
    </w:p>
    <w:p w14:paraId="7023B1B5">
      <w:pPr>
        <w:pStyle w:val="2"/>
        <w:spacing w:before="61" w:line="1420" w:lineRule="exact"/>
        <w:ind w:firstLine="740"/>
      </w:pPr>
      <w:r>
        <w:rPr>
          <w:position w:val="-28"/>
        </w:rPr>
        <w:pict>
          <v:group id="_x0000_s1091" o:spid="_x0000_s1091" o:spt="203" style="height:71.05pt;width:344pt;" coordsize="6880,1421">
            <o:lock v:ext="edit"/>
            <v:shape id="_x0000_s1092" o:spid="_x0000_s1092" o:spt="75" type="#_x0000_t75" style="position:absolute;left:0;top:0;height:1421;width:6880;" filled="f" stroked="f" coordsize="21600,21600">
              <v:path/>
              <v:fill on="f" focussize="0,0"/>
              <v:stroke on="f"/>
              <v:imagedata r:id="rId47" o:title=""/>
              <o:lock v:ext="edit" aspectratio="t"/>
            </v:shape>
            <v:shape id="_x0000_s1093" o:spid="_x0000_s1093" o:spt="202" type="#_x0000_t202" style="position:absolute;left:200;top:127;height:1250;width:5122;" filled="f" stroked="f" coordsize="21600,21600">
              <v:path/>
              <v:fill on="f" focussize="0,0"/>
              <v:stroke on="f"/>
              <v:imagedata o:title=""/>
              <o:lock v:ext="edit" aspectratio="f"/>
              <v:textbox inset="0mm,0mm,0mm,0mm">
                <w:txbxContent>
                  <w:p w14:paraId="7E5F16B3">
                    <w:pPr>
                      <w:spacing w:before="19" w:line="180" w:lineRule="auto"/>
                      <w:ind w:left="2529"/>
                      <w:rPr>
                        <w:rFonts w:ascii="宋体" w:hAnsi="宋体" w:eastAsia="宋体" w:cs="宋体"/>
                        <w:sz w:val="19"/>
                        <w:szCs w:val="19"/>
                      </w:rPr>
                    </w:pPr>
                    <w:r>
                      <w:rPr>
                        <w:rFonts w:ascii="宋体" w:hAnsi="宋体" w:eastAsia="宋体" w:cs="宋体"/>
                        <w:spacing w:val="-10"/>
                        <w:sz w:val="19"/>
                        <w:szCs w:val="19"/>
                      </w:rPr>
                      <w:t>服务器</w:t>
                    </w:r>
                  </w:p>
                  <w:p w14:paraId="4EBACCE6">
                    <w:pPr>
                      <w:spacing w:line="175" w:lineRule="auto"/>
                      <w:ind w:left="20"/>
                      <w:rPr>
                        <w:rFonts w:ascii="宋体" w:hAnsi="宋体" w:eastAsia="宋体" w:cs="宋体"/>
                        <w:sz w:val="19"/>
                        <w:szCs w:val="19"/>
                      </w:rPr>
                    </w:pPr>
                    <w:r>
                      <w:rPr>
                        <w:rFonts w:ascii="宋体" w:hAnsi="宋体" w:eastAsia="宋体" w:cs="宋体"/>
                        <w:spacing w:val="-15"/>
                        <w:sz w:val="19"/>
                        <w:szCs w:val="19"/>
                      </w:rPr>
                      <w:t>集中式系统</w:t>
                    </w:r>
                  </w:p>
                  <w:p w14:paraId="556BAB5E">
                    <w:pPr>
                      <w:spacing w:line="215" w:lineRule="auto"/>
                      <w:ind w:left="3189"/>
                      <w:rPr>
                        <w:rFonts w:ascii="宋体" w:hAnsi="宋体" w:eastAsia="宋体" w:cs="宋体"/>
                        <w:sz w:val="19"/>
                        <w:szCs w:val="19"/>
                      </w:rPr>
                    </w:pPr>
                    <w:r>
                      <w:rPr>
                        <w:rFonts w:ascii="宋体" w:hAnsi="宋体" w:eastAsia="宋体" w:cs="宋体"/>
                        <w:spacing w:val="-11"/>
                        <w:sz w:val="19"/>
                        <w:szCs w:val="19"/>
                      </w:rPr>
                      <w:t>网络总线</w:t>
                    </w:r>
                  </w:p>
                  <w:p w14:paraId="4E8779C8">
                    <w:pPr>
                      <w:spacing w:before="141" w:line="222" w:lineRule="auto"/>
                      <w:ind w:left="2619"/>
                      <w:rPr>
                        <w:rFonts w:ascii="黑体" w:hAnsi="黑体" w:eastAsia="黑体" w:cs="黑体"/>
                        <w:sz w:val="19"/>
                        <w:szCs w:val="19"/>
                      </w:rPr>
                    </w:pPr>
                    <w:r>
                      <w:rPr>
                        <w:rFonts w:ascii="黑体" w:hAnsi="黑体" w:eastAsia="黑体" w:cs="黑体"/>
                        <w:spacing w:val="-9"/>
                        <w:sz w:val="19"/>
                        <w:szCs w:val="19"/>
                      </w:rPr>
                      <w:t>存储</w:t>
                    </w:r>
                  </w:p>
                  <w:p w14:paraId="5047391C">
                    <w:pPr>
                      <w:spacing w:before="63" w:line="219" w:lineRule="auto"/>
                      <w:ind w:right="7"/>
                      <w:jc w:val="right"/>
                      <w:rPr>
                        <w:rFonts w:ascii="宋体" w:hAnsi="宋体" w:eastAsia="宋体" w:cs="宋体"/>
                        <w:sz w:val="19"/>
                        <w:szCs w:val="19"/>
                      </w:rPr>
                    </w:pPr>
                    <w:r>
                      <w:rPr>
                        <w:rFonts w:ascii="宋体" w:hAnsi="宋体" w:eastAsia="宋体" w:cs="宋体"/>
                        <w:spacing w:val="-9"/>
                        <w:sz w:val="19"/>
                        <w:szCs w:val="19"/>
                      </w:rPr>
                      <w:t>数据库</w:t>
                    </w:r>
                  </w:p>
                </w:txbxContent>
              </v:textbox>
            </v:shape>
            <w10:wrap type="none"/>
            <w10:anchorlock/>
          </v:group>
        </w:pict>
      </w:r>
    </w:p>
    <w:p w14:paraId="42436DA6">
      <w:pPr>
        <w:pStyle w:val="2"/>
        <w:spacing w:before="98" w:line="219" w:lineRule="auto"/>
        <w:ind w:left="3240"/>
        <w:rPr>
          <w:sz w:val="19"/>
          <w:szCs w:val="19"/>
        </w:rPr>
      </w:pPr>
      <w:r>
        <w:rPr>
          <w:spacing w:val="-6"/>
          <w:sz w:val="19"/>
          <w:szCs w:val="19"/>
        </w:rPr>
        <w:t>图2-2</w:t>
      </w:r>
      <w:r>
        <w:rPr>
          <w:spacing w:val="62"/>
          <w:sz w:val="19"/>
          <w:szCs w:val="19"/>
        </w:rPr>
        <w:t xml:space="preserve"> </w:t>
      </w:r>
      <w:r>
        <w:rPr>
          <w:spacing w:val="-6"/>
          <w:sz w:val="19"/>
          <w:szCs w:val="19"/>
        </w:rPr>
        <w:t>集中式信息系统</w:t>
      </w:r>
    </w:p>
    <w:p w14:paraId="33506284">
      <w:pPr>
        <w:pStyle w:val="2"/>
        <w:spacing w:before="204" w:line="306" w:lineRule="auto"/>
        <w:ind w:right="261" w:firstLine="400"/>
        <w:rPr>
          <w:sz w:val="19"/>
          <w:szCs w:val="19"/>
        </w:rPr>
      </w:pPr>
      <w:r>
        <w:rPr>
          <w:spacing w:val="14"/>
          <w:sz w:val="19"/>
          <w:szCs w:val="19"/>
        </w:rPr>
        <w:t>由于历史原因，集中式结构多用于传统银行、电信等行业。主</w:t>
      </w:r>
      <w:r>
        <w:rPr>
          <w:spacing w:val="13"/>
          <w:sz w:val="19"/>
          <w:szCs w:val="19"/>
        </w:rPr>
        <w:t>机资源集中在大型主机或小</w:t>
      </w:r>
      <w:r>
        <w:rPr>
          <w:sz w:val="19"/>
          <w:szCs w:val="19"/>
        </w:rPr>
        <w:t xml:space="preserve"> </w:t>
      </w:r>
      <w:r>
        <w:rPr>
          <w:spacing w:val="9"/>
          <w:sz w:val="19"/>
          <w:szCs w:val="19"/>
        </w:rPr>
        <w:t>型机上。集中式结构下，包括操作系统、中间件、数据库等基础软件，均为专用商用系统。</w:t>
      </w:r>
    </w:p>
    <w:p w14:paraId="0D2D451F">
      <w:pPr>
        <w:pStyle w:val="2"/>
        <w:spacing w:before="3" w:line="294" w:lineRule="auto"/>
        <w:ind w:right="181" w:firstLine="400"/>
        <w:rPr>
          <w:sz w:val="19"/>
          <w:szCs w:val="19"/>
        </w:rPr>
      </w:pPr>
      <w:r>
        <w:rPr>
          <w:spacing w:val="11"/>
          <w:sz w:val="19"/>
          <w:szCs w:val="19"/>
        </w:rPr>
        <w:t>(2)分布式结构，指通过计算机网络把不同地点的计</w:t>
      </w:r>
      <w:r>
        <w:rPr>
          <w:spacing w:val="10"/>
          <w:sz w:val="19"/>
          <w:szCs w:val="19"/>
        </w:rPr>
        <w:t>算机硬件、软件、数据等资源联系在一</w:t>
      </w:r>
      <w:r>
        <w:rPr>
          <w:sz w:val="19"/>
          <w:szCs w:val="19"/>
        </w:rPr>
        <w:t xml:space="preserve">  </w:t>
      </w:r>
      <w:r>
        <w:rPr>
          <w:spacing w:val="11"/>
          <w:sz w:val="19"/>
          <w:szCs w:val="19"/>
        </w:rPr>
        <w:t>起，实现不同地点的资源共享，如图2-3所</w:t>
      </w:r>
      <w:r>
        <w:rPr>
          <w:spacing w:val="10"/>
          <w:sz w:val="19"/>
          <w:szCs w:val="19"/>
        </w:rPr>
        <w:t>示。各地的计算机系统既可以在网络系统的统一管理</w:t>
      </w:r>
      <w:r>
        <w:rPr>
          <w:sz w:val="19"/>
          <w:szCs w:val="19"/>
        </w:rPr>
        <w:t xml:space="preserve">  </w:t>
      </w:r>
      <w:r>
        <w:rPr>
          <w:spacing w:val="9"/>
          <w:sz w:val="19"/>
          <w:szCs w:val="19"/>
        </w:rPr>
        <w:t>下工作，也可以脱离网络环境利用本地资源独立运作</w:t>
      </w:r>
      <w:r>
        <w:rPr>
          <w:spacing w:val="8"/>
          <w:sz w:val="19"/>
          <w:szCs w:val="19"/>
        </w:rPr>
        <w:t>。由于分布式结构顺应了现代企业管理发展</w:t>
      </w:r>
      <w:r>
        <w:rPr>
          <w:sz w:val="19"/>
          <w:szCs w:val="19"/>
        </w:rPr>
        <w:t xml:space="preserve">  </w:t>
      </w:r>
      <w:r>
        <w:rPr>
          <w:spacing w:val="6"/>
          <w:sz w:val="19"/>
          <w:szCs w:val="19"/>
        </w:rPr>
        <w:t>的趋势，即企业组织结构朝着扁平化、网络化的方向发展，因此它已经成为信息系统的主</w:t>
      </w:r>
      <w:r>
        <w:rPr>
          <w:spacing w:val="5"/>
          <w:sz w:val="19"/>
          <w:szCs w:val="19"/>
        </w:rPr>
        <w:t>流模式。</w:t>
      </w:r>
    </w:p>
    <w:p w14:paraId="0910473A">
      <w:pPr>
        <w:pStyle w:val="2"/>
        <w:tabs>
          <w:tab w:val="left" w:pos="960"/>
        </w:tabs>
        <w:spacing w:before="157" w:line="231" w:lineRule="auto"/>
        <w:ind w:left="770"/>
        <w:rPr>
          <w:sz w:val="19"/>
          <w:szCs w:val="19"/>
        </w:rPr>
      </w:pPr>
      <w:r>
        <w:rPr>
          <w:position w:val="7"/>
          <w:sz w:val="19"/>
          <w:szCs w:val="19"/>
          <w:u w:val="single" w:color="0000FF"/>
        </w:rPr>
        <w:tab/>
      </w:r>
      <w:r>
        <w:rPr>
          <w:spacing w:val="-17"/>
          <w:position w:val="7"/>
          <w:sz w:val="19"/>
          <w:szCs w:val="19"/>
          <w:u w:val="single" w:color="0000FF"/>
        </w:rPr>
        <w:t>分布式系统</w:t>
      </w:r>
      <w:r>
        <w:rPr>
          <w:spacing w:val="4"/>
          <w:position w:val="7"/>
          <w:sz w:val="19"/>
          <w:szCs w:val="19"/>
          <w:u w:val="single" w:color="0000FF"/>
        </w:rPr>
        <w:t xml:space="preserve">                    </w:t>
      </w:r>
      <w:r>
        <w:rPr>
          <w:spacing w:val="-71"/>
          <w:position w:val="7"/>
          <w:sz w:val="19"/>
          <w:szCs w:val="19"/>
        </w:rPr>
        <w:t xml:space="preserve"> </w:t>
      </w:r>
      <w:r>
        <w:rPr>
          <w:spacing w:val="-17"/>
          <w:position w:val="-9"/>
          <w:sz w:val="19"/>
          <w:szCs w:val="19"/>
        </w:rPr>
        <w:t>网络总线</w:t>
      </w:r>
      <w:r>
        <w:rPr>
          <w:position w:val="-9"/>
          <w:sz w:val="19"/>
          <w:szCs w:val="19"/>
          <w:u w:val="single" w:color="0000FF"/>
        </w:rPr>
        <w:t xml:space="preserve">                                </w:t>
      </w:r>
    </w:p>
    <w:p w14:paraId="62BD86EA">
      <w:pPr>
        <w:pStyle w:val="2"/>
        <w:spacing w:before="115" w:line="1360" w:lineRule="exact"/>
        <w:ind w:firstLine="750"/>
      </w:pPr>
      <w:r>
        <w:rPr>
          <w:position w:val="-27"/>
        </w:rPr>
        <w:pict>
          <v:group id="_x0000_s1094" o:spid="_x0000_s1094" o:spt="203" style="height:68.05pt;width:334.5pt;" coordsize="6690,1361">
            <o:lock v:ext="edit"/>
            <v:shape id="_x0000_s1095" o:spid="_x0000_s1095" o:spt="75" type="#_x0000_t75" style="position:absolute;left:0;top:0;height:1361;width:6690;" filled="f" stroked="f" coordsize="21600,21600">
              <v:path/>
              <v:fill on="f" focussize="0,0"/>
              <v:stroke on="f"/>
              <v:imagedata r:id="rId48" o:title=""/>
              <o:lock v:ext="edit" aspectratio="t"/>
            </v:shape>
            <v:shape id="_x0000_s1096" o:spid="_x0000_s1096" o:spt="202" type="#_x0000_t202" style="position:absolute;left:-20;top:-20;height:1401;width:6730;" filled="f" stroked="f" coordsize="21600,21600">
              <v:path/>
              <v:fill on="f" focussize="0,0"/>
              <v:stroke on="f"/>
              <v:imagedata o:title=""/>
              <o:lock v:ext="edit" aspectratio="f"/>
              <v:textbox inset="0mm,0mm,0mm,0mm">
                <w:txbxContent>
                  <w:p w14:paraId="1D72D7DA">
                    <w:pPr>
                      <w:spacing w:before="137" w:line="229" w:lineRule="auto"/>
                      <w:ind w:left="659"/>
                      <w:rPr>
                        <w:rFonts w:ascii="Times New Roman" w:hAnsi="Times New Roman" w:eastAsia="Times New Roman" w:cs="Times New Roman"/>
                        <w:sz w:val="19"/>
                        <w:szCs w:val="19"/>
                      </w:rPr>
                    </w:pPr>
                    <w:r>
                      <w:rPr>
                        <w:rFonts w:ascii="宋体" w:hAnsi="宋体" w:eastAsia="宋体" w:cs="宋体"/>
                        <w:spacing w:val="-11"/>
                        <w:sz w:val="19"/>
                        <w:szCs w:val="19"/>
                      </w:rPr>
                      <w:t>服务器1</w:t>
                    </w:r>
                    <w:r>
                      <w:rPr>
                        <w:rFonts w:ascii="宋体" w:hAnsi="宋体" w:eastAsia="宋体" w:cs="宋体"/>
                        <w:spacing w:val="1"/>
                        <w:sz w:val="19"/>
                        <w:szCs w:val="19"/>
                      </w:rPr>
                      <w:t xml:space="preserve">                      </w:t>
                    </w:r>
                    <w:r>
                      <w:rPr>
                        <w:rFonts w:ascii="宋体" w:hAnsi="宋体" w:eastAsia="宋体" w:cs="宋体"/>
                        <w:spacing w:val="-11"/>
                        <w:position w:val="3"/>
                        <w:sz w:val="6"/>
                        <w:szCs w:val="6"/>
                      </w:rPr>
                      <w:t>…</w:t>
                    </w:r>
                    <w:r>
                      <w:rPr>
                        <w:rFonts w:ascii="宋体" w:hAnsi="宋体" w:eastAsia="宋体" w:cs="宋体"/>
                        <w:spacing w:val="1"/>
                        <w:position w:val="3"/>
                        <w:sz w:val="6"/>
                        <w:szCs w:val="6"/>
                      </w:rPr>
                      <w:t xml:space="preserve">                        </w:t>
                    </w:r>
                    <w:r>
                      <w:rPr>
                        <w:rFonts w:ascii="宋体" w:hAnsi="宋体" w:eastAsia="宋体" w:cs="宋体"/>
                        <w:spacing w:val="-11"/>
                        <w:w w:val="97"/>
                        <w:sz w:val="19"/>
                        <w:szCs w:val="19"/>
                      </w:rPr>
                      <w:t>服务器</w:t>
                    </w:r>
                    <w:r>
                      <w:rPr>
                        <w:rFonts w:ascii="Times New Roman" w:hAnsi="Times New Roman" w:eastAsia="Times New Roman" w:cs="Times New Roman"/>
                        <w:spacing w:val="-11"/>
                        <w:w w:val="97"/>
                        <w:sz w:val="19"/>
                        <w:szCs w:val="19"/>
                      </w:rPr>
                      <w:t>n</w:t>
                    </w:r>
                  </w:p>
                  <w:p w14:paraId="1B31FD31">
                    <w:pPr>
                      <w:spacing w:line="400" w:lineRule="auto"/>
                      <w:rPr>
                        <w:rFonts w:ascii="Arial"/>
                        <w:sz w:val="21"/>
                      </w:rPr>
                    </w:pPr>
                  </w:p>
                  <w:p w14:paraId="0A749DE3">
                    <w:pPr>
                      <w:spacing w:before="61" w:line="229" w:lineRule="auto"/>
                      <w:ind w:left="729"/>
                      <w:rPr>
                        <w:rFonts w:ascii="Times New Roman" w:hAnsi="Times New Roman" w:eastAsia="Times New Roman" w:cs="Times New Roman"/>
                        <w:color w:val="auto"/>
                        <w:sz w:val="19"/>
                        <w:szCs w:val="19"/>
                      </w:rPr>
                    </w:pPr>
                    <w:r>
                      <w:rPr>
                        <w:rFonts w:ascii="宋体" w:hAnsi="宋体" w:eastAsia="宋体" w:cs="宋体"/>
                        <w:spacing w:val="-15"/>
                        <w:sz w:val="19"/>
                        <w:szCs w:val="19"/>
                      </w:rPr>
                      <w:t>存储1</w:t>
                    </w:r>
                    <w:r>
                      <w:rPr>
                        <w:rFonts w:ascii="宋体" w:hAnsi="宋体" w:eastAsia="宋体" w:cs="宋体"/>
                        <w:spacing w:val="2"/>
                        <w:sz w:val="19"/>
                        <w:szCs w:val="19"/>
                      </w:rPr>
                      <w:t xml:space="preserve">           </w:t>
                    </w:r>
                    <w:r>
                      <w:rPr>
                        <w:rFonts w:ascii="宋体" w:hAnsi="宋体" w:eastAsia="宋体" w:cs="宋体"/>
                        <w:color w:val="auto"/>
                        <w:spacing w:val="2"/>
                        <w:sz w:val="19"/>
                        <w:szCs w:val="19"/>
                      </w:rPr>
                      <w:t xml:space="preserve">                     </w:t>
                    </w:r>
                    <w:r>
                      <w:rPr>
                        <w:rFonts w:ascii="宋体" w:hAnsi="宋体" w:eastAsia="宋体" w:cs="宋体"/>
                        <w:color w:val="auto"/>
                        <w:spacing w:val="-15"/>
                        <w:sz w:val="19"/>
                        <w:szCs w:val="19"/>
                      </w:rPr>
                      <w:t>存储</w:t>
                    </w:r>
                    <w:r>
                      <w:rPr>
                        <w:rFonts w:ascii="Times New Roman" w:hAnsi="Times New Roman" w:eastAsia="Times New Roman" w:cs="Times New Roman"/>
                        <w:color w:val="auto"/>
                        <w:spacing w:val="-15"/>
                        <w:sz w:val="19"/>
                        <w:szCs w:val="19"/>
                      </w:rPr>
                      <w:t>n</w:t>
                    </w:r>
                  </w:p>
                  <w:p w14:paraId="2B34C61A">
                    <w:pPr>
                      <w:spacing w:before="84" w:line="229" w:lineRule="auto"/>
                      <w:ind w:left="2159"/>
                      <w:rPr>
                        <w:rFonts w:ascii="宋体" w:hAnsi="宋体" w:eastAsia="宋体" w:cs="宋体"/>
                        <w:color w:val="auto"/>
                        <w:sz w:val="19"/>
                        <w:szCs w:val="19"/>
                      </w:rPr>
                    </w:pPr>
                    <w:r>
                      <w:rPr>
                        <w:rFonts w:ascii="宋体" w:hAnsi="宋体" w:eastAsia="宋体" w:cs="宋体"/>
                        <w:spacing w:val="-17"/>
                        <w:position w:val="-1"/>
                        <w:sz w:val="19"/>
                        <w:szCs w:val="19"/>
                      </w:rPr>
                      <w:t>数</w:t>
                    </w:r>
                    <w:r>
                      <w:rPr>
                        <w:rFonts w:ascii="宋体" w:hAnsi="宋体" w:eastAsia="宋体" w:cs="宋体"/>
                        <w:color w:val="2D87EF"/>
                        <w:spacing w:val="-17"/>
                        <w:position w:val="-1"/>
                        <w:sz w:val="19"/>
                        <w:szCs w:val="19"/>
                      </w:rPr>
                      <w:t>据库</w:t>
                    </w:r>
                    <w:r>
                      <w:rPr>
                        <w:rFonts w:ascii="Times New Roman" w:hAnsi="Times New Roman" w:eastAsia="Times New Roman" w:cs="Times New Roman"/>
                        <w:spacing w:val="-17"/>
                        <w:position w:val="-1"/>
                        <w:sz w:val="19"/>
                        <w:szCs w:val="19"/>
                      </w:rPr>
                      <w:t>1</w:t>
                    </w:r>
                    <w:r>
                      <w:rPr>
                        <w:rFonts w:ascii="Times New Roman" w:hAnsi="Times New Roman" w:eastAsia="Times New Roman" w:cs="Times New Roman"/>
                        <w:position w:val="-1"/>
                        <w:sz w:val="19"/>
                        <w:szCs w:val="19"/>
                      </w:rPr>
                      <w:t xml:space="preserve">                                                             </w:t>
                    </w:r>
                    <w:r>
                      <w:rPr>
                        <w:rFonts w:ascii="Times New Roman" w:hAnsi="Times New Roman" w:eastAsia="Times New Roman" w:cs="Times New Roman"/>
                        <w:color w:val="auto"/>
                        <w:position w:val="-1"/>
                        <w:sz w:val="19"/>
                        <w:szCs w:val="19"/>
                      </w:rPr>
                      <w:t xml:space="preserve"> </w:t>
                    </w:r>
                    <w:r>
                      <w:rPr>
                        <w:rFonts w:ascii="宋体" w:hAnsi="宋体" w:eastAsia="宋体" w:cs="宋体"/>
                        <w:color w:val="auto"/>
                        <w:spacing w:val="-17"/>
                        <w:position w:val="1"/>
                        <w:sz w:val="19"/>
                        <w:szCs w:val="19"/>
                      </w:rPr>
                      <w:t>数据库n</w:t>
                    </w:r>
                  </w:p>
                </w:txbxContent>
              </v:textbox>
            </v:shape>
            <w10:wrap type="none"/>
            <w10:anchorlock/>
          </v:group>
        </w:pict>
      </w:r>
    </w:p>
    <w:p w14:paraId="4E113C93">
      <w:pPr>
        <w:pStyle w:val="2"/>
        <w:spacing w:before="147" w:line="219" w:lineRule="auto"/>
        <w:ind w:left="3230"/>
        <w:rPr>
          <w:sz w:val="19"/>
          <w:szCs w:val="19"/>
        </w:rPr>
      </w:pPr>
      <w:r>
        <w:rPr>
          <w:spacing w:val="-6"/>
          <w:sz w:val="19"/>
          <w:szCs w:val="19"/>
        </w:rPr>
        <w:t>图2-3</w:t>
      </w:r>
      <w:r>
        <w:rPr>
          <w:spacing w:val="69"/>
          <w:sz w:val="19"/>
          <w:szCs w:val="19"/>
        </w:rPr>
        <w:t xml:space="preserve"> </w:t>
      </w:r>
      <w:r>
        <w:rPr>
          <w:spacing w:val="-6"/>
          <w:sz w:val="19"/>
          <w:szCs w:val="19"/>
        </w:rPr>
        <w:t>分布式信息系统</w:t>
      </w:r>
    </w:p>
    <w:p w14:paraId="72138542">
      <w:pPr>
        <w:pStyle w:val="2"/>
        <w:spacing w:before="184" w:line="295" w:lineRule="auto"/>
        <w:ind w:right="267" w:firstLine="400"/>
        <w:jc w:val="both"/>
        <w:rPr>
          <w:sz w:val="19"/>
          <w:szCs w:val="19"/>
        </w:rPr>
      </w:pPr>
      <w:r>
        <w:rPr>
          <w:spacing w:val="13"/>
          <w:sz w:val="19"/>
          <w:szCs w:val="19"/>
        </w:rPr>
        <w:t>分布式信息系统可以根据应用需求来配置资源，提高信息系统对用户需求与外部环境变化</w:t>
      </w:r>
      <w:r>
        <w:rPr>
          <w:sz w:val="19"/>
          <w:szCs w:val="19"/>
        </w:rPr>
        <w:t xml:space="preserve"> </w:t>
      </w:r>
      <w:r>
        <w:rPr>
          <w:spacing w:val="13"/>
          <w:sz w:val="19"/>
          <w:szCs w:val="19"/>
        </w:rPr>
        <w:t>的应变能力，系统扩展方便，安全性好，某个结点出现的故障不会导致整个系统停止运作。然</w:t>
      </w:r>
      <w:r>
        <w:rPr>
          <w:spacing w:val="15"/>
          <w:sz w:val="19"/>
          <w:szCs w:val="19"/>
        </w:rPr>
        <w:t xml:space="preserve"> </w:t>
      </w:r>
      <w:r>
        <w:rPr>
          <w:spacing w:val="13"/>
          <w:sz w:val="19"/>
          <w:szCs w:val="19"/>
        </w:rPr>
        <w:t>而由于资源分散，且又分属于各个子系统，系统管理的标准不易统一，协调困难，不利于对整</w:t>
      </w:r>
      <w:r>
        <w:rPr>
          <w:spacing w:val="5"/>
          <w:sz w:val="19"/>
          <w:szCs w:val="19"/>
        </w:rPr>
        <w:t xml:space="preserve"> </w:t>
      </w:r>
      <w:r>
        <w:rPr>
          <w:spacing w:val="6"/>
          <w:sz w:val="19"/>
          <w:szCs w:val="19"/>
        </w:rPr>
        <w:t>个资源的规划与管理。</w:t>
      </w:r>
    </w:p>
    <w:p w14:paraId="311CDC21">
      <w:pPr>
        <w:pStyle w:val="2"/>
        <w:spacing w:before="17" w:line="306" w:lineRule="auto"/>
        <w:ind w:right="268" w:firstLine="400"/>
        <w:rPr>
          <w:sz w:val="19"/>
          <w:szCs w:val="19"/>
        </w:rPr>
      </w:pPr>
      <w:r>
        <w:rPr>
          <w:spacing w:val="14"/>
          <w:sz w:val="19"/>
          <w:szCs w:val="19"/>
        </w:rPr>
        <w:t>一个标准的分布式系统在没有任何特定业务逻</w:t>
      </w:r>
      <w:r>
        <w:rPr>
          <w:spacing w:val="13"/>
          <w:sz w:val="19"/>
          <w:szCs w:val="19"/>
        </w:rPr>
        <w:t>辑约束的情况下，具有分布性、对等性、并</w:t>
      </w:r>
      <w:r>
        <w:rPr>
          <w:sz w:val="19"/>
          <w:szCs w:val="19"/>
        </w:rPr>
        <w:t xml:space="preserve"> </w:t>
      </w:r>
      <w:r>
        <w:rPr>
          <w:spacing w:val="8"/>
          <w:sz w:val="19"/>
          <w:szCs w:val="19"/>
        </w:rPr>
        <w:t>发性、缺乏全局时钟、故障多样等特性。</w:t>
      </w:r>
    </w:p>
    <w:p w14:paraId="72865879">
      <w:pPr>
        <w:pStyle w:val="2"/>
        <w:spacing w:line="218" w:lineRule="auto"/>
        <w:ind w:left="400"/>
        <w:rPr>
          <w:sz w:val="19"/>
          <w:szCs w:val="19"/>
        </w:rPr>
      </w:pPr>
      <w:r>
        <w:rPr>
          <w:spacing w:val="14"/>
          <w:sz w:val="19"/>
          <w:szCs w:val="19"/>
        </w:rPr>
        <w:t>●分布性。分布式系统中的多台计算机都会在</w:t>
      </w:r>
      <w:r>
        <w:rPr>
          <w:spacing w:val="13"/>
          <w:sz w:val="19"/>
          <w:szCs w:val="19"/>
        </w:rPr>
        <w:t>空间上随意分布，同时，计算机的分布情况</w:t>
      </w:r>
    </w:p>
    <w:p w14:paraId="1C35D4E4">
      <w:pPr>
        <w:spacing w:line="218" w:lineRule="auto"/>
        <w:rPr>
          <w:sz w:val="19"/>
          <w:szCs w:val="19"/>
        </w:rPr>
        <w:sectPr>
          <w:pgSz w:w="10310" w:h="13290"/>
          <w:pgMar w:top="400" w:right="543" w:bottom="400" w:left="1159" w:header="0" w:footer="0" w:gutter="0"/>
          <w:cols w:space="720" w:num="1"/>
        </w:sectPr>
      </w:pPr>
    </w:p>
    <w:p w14:paraId="1B8B8AE9">
      <w:pPr>
        <w:pStyle w:val="2"/>
        <w:spacing w:before="97" w:line="214" w:lineRule="auto"/>
        <w:rPr>
          <w:sz w:val="19"/>
          <w:szCs w:val="19"/>
        </w:rPr>
      </w:pPr>
      <w:bookmarkStart w:id="506" w:name="bookmark493"/>
      <w:bookmarkEnd w:id="506"/>
      <w:r>
        <w:rPr>
          <w:rFonts w:ascii="Times New Roman" w:hAnsi="Times New Roman" w:eastAsia="Times New Roman" w:cs="Times New Roman"/>
          <w:spacing w:val="3"/>
          <w:position w:val="2"/>
          <w:sz w:val="19"/>
          <w:szCs w:val="19"/>
        </w:rPr>
        <w:t xml:space="preserve">48               </w:t>
      </w:r>
      <w:r>
        <w:rPr>
          <w:spacing w:val="3"/>
          <w:sz w:val="19"/>
          <w:szCs w:val="19"/>
        </w:rPr>
        <w:t>信息系统监理师教程(第2版)</w:t>
      </w:r>
    </w:p>
    <w:p w14:paraId="25554FA3">
      <w:pPr>
        <w:spacing w:line="329" w:lineRule="auto"/>
        <w:rPr>
          <w:rFonts w:ascii="Arial"/>
          <w:sz w:val="21"/>
        </w:rPr>
      </w:pPr>
    </w:p>
    <w:p w14:paraId="01F73A68">
      <w:pPr>
        <w:pStyle w:val="2"/>
        <w:spacing w:before="62" w:line="219" w:lineRule="auto"/>
        <w:ind w:left="979"/>
        <w:rPr>
          <w:sz w:val="19"/>
          <w:szCs w:val="19"/>
        </w:rPr>
      </w:pPr>
      <w:r>
        <w:rPr>
          <w:spacing w:val="3"/>
          <w:sz w:val="19"/>
          <w:szCs w:val="19"/>
        </w:rPr>
        <w:t>也会随时变动。</w:t>
      </w:r>
    </w:p>
    <w:p w14:paraId="1B0CD945">
      <w:pPr>
        <w:pStyle w:val="2"/>
        <w:spacing w:before="112" w:line="296" w:lineRule="auto"/>
        <w:ind w:left="979" w:right="59" w:hanging="270"/>
        <w:rPr>
          <w:sz w:val="19"/>
          <w:szCs w:val="19"/>
        </w:rPr>
      </w:pPr>
      <w:r>
        <w:rPr>
          <w:spacing w:val="10"/>
          <w:sz w:val="19"/>
          <w:szCs w:val="19"/>
        </w:rPr>
        <w:t>●对等性。分布式系统中计算机没有主/从之分，组成分布式系统的所有计算机节点都是对</w:t>
      </w:r>
      <w:r>
        <w:rPr>
          <w:spacing w:val="1"/>
          <w:sz w:val="19"/>
          <w:szCs w:val="19"/>
        </w:rPr>
        <w:t xml:space="preserve"> </w:t>
      </w:r>
      <w:r>
        <w:rPr>
          <w:spacing w:val="6"/>
          <w:sz w:val="19"/>
          <w:szCs w:val="19"/>
        </w:rPr>
        <w:t>等的。副本是分布式系统对数据和服务提供的一种冗余方式。在常见的分布</w:t>
      </w:r>
      <w:r>
        <w:rPr>
          <w:spacing w:val="5"/>
          <w:sz w:val="19"/>
          <w:szCs w:val="19"/>
        </w:rPr>
        <w:t>式系统中，为</w:t>
      </w:r>
      <w:r>
        <w:rPr>
          <w:sz w:val="19"/>
          <w:szCs w:val="19"/>
        </w:rPr>
        <w:t xml:space="preserve"> </w:t>
      </w:r>
      <w:r>
        <w:rPr>
          <w:spacing w:val="7"/>
          <w:sz w:val="19"/>
          <w:szCs w:val="19"/>
        </w:rPr>
        <w:t>了对外提供高可用的服务，往往会对数据和</w:t>
      </w:r>
      <w:r>
        <w:rPr>
          <w:spacing w:val="6"/>
          <w:sz w:val="19"/>
          <w:szCs w:val="19"/>
        </w:rPr>
        <w:t>服务进行副本处理，即数据副本和服务副本。</w:t>
      </w:r>
      <w:r>
        <w:rPr>
          <w:sz w:val="19"/>
          <w:szCs w:val="19"/>
        </w:rPr>
        <w:t xml:space="preserve"> </w:t>
      </w:r>
      <w:r>
        <w:rPr>
          <w:spacing w:val="6"/>
          <w:sz w:val="19"/>
          <w:szCs w:val="19"/>
        </w:rPr>
        <w:t>数据副本指在不同节点上持久化同一份数据，当某一节点上存储的数据丢失时，可以从副</w:t>
      </w:r>
      <w:r>
        <w:rPr>
          <w:spacing w:val="1"/>
          <w:sz w:val="19"/>
          <w:szCs w:val="19"/>
        </w:rPr>
        <w:t xml:space="preserve"> </w:t>
      </w:r>
      <w:r>
        <w:rPr>
          <w:spacing w:val="6"/>
          <w:sz w:val="19"/>
          <w:szCs w:val="19"/>
        </w:rPr>
        <w:t>本上读取到该数据。这是解决分布式系统数据丢失问题最为有效的手段。服务副本指多个</w:t>
      </w:r>
      <w:r>
        <w:rPr>
          <w:spacing w:val="12"/>
          <w:sz w:val="19"/>
          <w:szCs w:val="19"/>
        </w:rPr>
        <w:t xml:space="preserve"> </w:t>
      </w:r>
      <w:r>
        <w:rPr>
          <w:spacing w:val="5"/>
          <w:sz w:val="19"/>
          <w:szCs w:val="19"/>
        </w:rPr>
        <w:t>节点提供同样的服务，每个节点都有能力接收来自外部的请求并进行相应处理。</w:t>
      </w:r>
    </w:p>
    <w:p w14:paraId="10ED0207">
      <w:pPr>
        <w:pStyle w:val="2"/>
        <w:spacing w:before="155" w:line="280" w:lineRule="auto"/>
        <w:ind w:left="979" w:right="19" w:hanging="270"/>
        <w:rPr>
          <w:sz w:val="19"/>
          <w:szCs w:val="19"/>
        </w:rPr>
      </w:pPr>
      <w:r>
        <w:rPr>
          <w:spacing w:val="13"/>
          <w:sz w:val="19"/>
          <w:szCs w:val="19"/>
        </w:rPr>
        <w:t>●并发性。在一个计算机网络中，程序运行过程中的并发性操作非</w:t>
      </w:r>
      <w:r>
        <w:rPr>
          <w:spacing w:val="12"/>
          <w:sz w:val="19"/>
          <w:szCs w:val="19"/>
        </w:rPr>
        <w:t>常常见。例如，同一个</w:t>
      </w:r>
      <w:r>
        <w:rPr>
          <w:sz w:val="19"/>
          <w:szCs w:val="19"/>
        </w:rPr>
        <w:t xml:space="preserve"> </w:t>
      </w:r>
      <w:r>
        <w:rPr>
          <w:spacing w:val="13"/>
          <w:sz w:val="19"/>
          <w:szCs w:val="19"/>
        </w:rPr>
        <w:t>分布式系统的多个节点，可能并发地操作一些共享资源，诸如数</w:t>
      </w:r>
      <w:r>
        <w:rPr>
          <w:spacing w:val="12"/>
          <w:sz w:val="19"/>
          <w:szCs w:val="19"/>
        </w:rPr>
        <w:t>据库或分布式存储等。</w:t>
      </w:r>
      <w:r>
        <w:rPr>
          <w:sz w:val="19"/>
          <w:szCs w:val="19"/>
        </w:rPr>
        <w:t xml:space="preserve"> </w:t>
      </w:r>
      <w:r>
        <w:rPr>
          <w:spacing w:val="10"/>
          <w:sz w:val="19"/>
          <w:szCs w:val="19"/>
        </w:rPr>
        <w:t>如何准确并高效地协调分布式并发操作是分布式结</w:t>
      </w:r>
      <w:r>
        <w:rPr>
          <w:spacing w:val="9"/>
          <w:sz w:val="19"/>
          <w:szCs w:val="19"/>
        </w:rPr>
        <w:t>构中最大的挑战之一。</w:t>
      </w:r>
    </w:p>
    <w:p w14:paraId="7A157B58">
      <w:pPr>
        <w:pStyle w:val="2"/>
        <w:spacing w:before="105" w:line="280" w:lineRule="auto"/>
        <w:ind w:left="979" w:right="87" w:hanging="270"/>
        <w:rPr>
          <w:sz w:val="19"/>
          <w:szCs w:val="19"/>
        </w:rPr>
      </w:pPr>
      <w:r>
        <w:rPr>
          <w:spacing w:val="13"/>
          <w:sz w:val="19"/>
          <w:szCs w:val="19"/>
        </w:rPr>
        <w:t>●缺乏全局时钟。典型的分布式系统由一系列在空间上随意分布</w:t>
      </w:r>
      <w:r>
        <w:rPr>
          <w:spacing w:val="12"/>
          <w:sz w:val="19"/>
          <w:szCs w:val="19"/>
        </w:rPr>
        <w:t>的多个进程组成，进程之</w:t>
      </w:r>
      <w:r>
        <w:rPr>
          <w:sz w:val="19"/>
          <w:szCs w:val="19"/>
        </w:rPr>
        <w:t xml:space="preserve"> </w:t>
      </w:r>
      <w:r>
        <w:rPr>
          <w:spacing w:val="10"/>
          <w:sz w:val="19"/>
          <w:szCs w:val="19"/>
        </w:rPr>
        <w:t>间通过交换消息来相互通信。在分布式系统中，很难定义两个事件的先后顺序，原因是</w:t>
      </w:r>
      <w:r>
        <w:rPr>
          <w:spacing w:val="18"/>
          <w:sz w:val="19"/>
          <w:szCs w:val="19"/>
        </w:rPr>
        <w:t xml:space="preserve"> </w:t>
      </w:r>
      <w:r>
        <w:rPr>
          <w:spacing w:val="7"/>
          <w:sz w:val="19"/>
          <w:szCs w:val="19"/>
        </w:rPr>
        <w:t>分布式系统缺乏一个全局的时钟序列控制。</w:t>
      </w:r>
    </w:p>
    <w:p w14:paraId="471E9EF1">
      <w:pPr>
        <w:pStyle w:val="2"/>
        <w:spacing w:before="114" w:line="219" w:lineRule="auto"/>
        <w:ind w:left="709"/>
        <w:rPr>
          <w:sz w:val="19"/>
          <w:szCs w:val="19"/>
        </w:rPr>
      </w:pPr>
      <w:r>
        <w:rPr>
          <w:spacing w:val="11"/>
          <w:sz w:val="19"/>
          <w:szCs w:val="19"/>
        </w:rPr>
        <w:t>●故障多样。组成分布式系统的所有计算机都可能发生任何形式的故障。</w:t>
      </w:r>
    </w:p>
    <w:p w14:paraId="316BAC8B">
      <w:pPr>
        <w:pStyle w:val="2"/>
        <w:spacing w:before="105" w:line="219" w:lineRule="auto"/>
        <w:ind w:left="709"/>
        <w:rPr>
          <w:sz w:val="19"/>
          <w:szCs w:val="19"/>
        </w:rPr>
      </w:pPr>
      <w:r>
        <w:rPr>
          <w:spacing w:val="9"/>
          <w:sz w:val="19"/>
          <w:szCs w:val="19"/>
        </w:rPr>
        <w:t>近年来，分布式结构在互联网公司被广泛应</w:t>
      </w:r>
      <w:r>
        <w:rPr>
          <w:spacing w:val="8"/>
          <w:sz w:val="19"/>
          <w:szCs w:val="19"/>
        </w:rPr>
        <w:t>用，也越来越多地被金融行业关注和应用。</w:t>
      </w:r>
    </w:p>
    <w:p w14:paraId="2A1D53E1">
      <w:pPr>
        <w:pStyle w:val="2"/>
        <w:spacing w:before="191" w:line="221" w:lineRule="auto"/>
        <w:ind w:left="712"/>
        <w:rPr>
          <w:rFonts w:ascii="黑体" w:hAnsi="黑体" w:eastAsia="黑体" w:cs="黑体"/>
          <w:sz w:val="19"/>
          <w:szCs w:val="19"/>
        </w:rPr>
      </w:pPr>
      <w:r>
        <w:rPr>
          <w:b/>
          <w:bCs/>
          <w:color w:val="0065B3"/>
          <w:spacing w:val="6"/>
          <w:sz w:val="19"/>
          <w:szCs w:val="19"/>
        </w:rPr>
        <w:t>2.</w:t>
      </w:r>
      <w:r>
        <w:rPr>
          <w:rFonts w:ascii="黑体" w:hAnsi="黑体" w:eastAsia="黑体" w:cs="黑体"/>
          <w:b/>
          <w:bCs/>
          <w:color w:val="0065B3"/>
          <w:spacing w:val="6"/>
          <w:sz w:val="19"/>
          <w:szCs w:val="19"/>
        </w:rPr>
        <w:t>信息系统的逻辑结构</w:t>
      </w:r>
    </w:p>
    <w:p w14:paraId="695B732B">
      <w:pPr>
        <w:pStyle w:val="2"/>
        <w:spacing w:before="137" w:line="288" w:lineRule="auto"/>
        <w:ind w:left="309" w:firstLine="400"/>
        <w:rPr>
          <w:sz w:val="19"/>
          <w:szCs w:val="19"/>
        </w:rPr>
      </w:pPr>
      <w:r>
        <w:rPr>
          <w:spacing w:val="15"/>
          <w:sz w:val="19"/>
          <w:szCs w:val="19"/>
        </w:rPr>
        <w:t>信息系统的逻辑结构是其功能综合体和概念性框架。由于信息系统种类繁多，规模不</w:t>
      </w:r>
      <w:r>
        <w:rPr>
          <w:spacing w:val="14"/>
          <w:sz w:val="19"/>
          <w:szCs w:val="19"/>
        </w:rPr>
        <w:t>一，</w:t>
      </w:r>
      <w:r>
        <w:rPr>
          <w:sz w:val="19"/>
          <w:szCs w:val="19"/>
        </w:rPr>
        <w:t xml:space="preserve"> </w:t>
      </w:r>
      <w:r>
        <w:rPr>
          <w:spacing w:val="7"/>
          <w:sz w:val="19"/>
          <w:szCs w:val="19"/>
        </w:rPr>
        <w:t>功能上存在较大差异，其逻辑结构也不尽相同。</w:t>
      </w:r>
    </w:p>
    <w:p w14:paraId="280F5E22">
      <w:pPr>
        <w:pStyle w:val="2"/>
        <w:spacing w:before="45" w:line="295" w:lineRule="auto"/>
        <w:ind w:left="309" w:right="64" w:firstLine="400"/>
        <w:jc w:val="both"/>
        <w:rPr>
          <w:sz w:val="19"/>
          <w:szCs w:val="19"/>
        </w:rPr>
      </w:pPr>
      <w:r>
        <w:pict>
          <v:shape id="_x0000_s1097" o:spid="_x0000_s1097" o:spt="202" type="#_x0000_t202" style="position:absolute;left:0pt;margin-left:14.45pt;margin-top:63.25pt;height:106.85pt;width:216.1pt;z-index:251685888;mso-width-relative:page;mso-height-relative:page;" filled="f" stroked="f" coordsize="21600,21600">
            <v:path/>
            <v:fill on="f" focussize="0,0"/>
            <v:stroke on="f"/>
            <v:imagedata o:title=""/>
            <o:lock v:ext="edit" aspectratio="f"/>
            <v:textbox inset="0mm,0mm,0mm,0mm">
              <w:txbxContent>
                <w:p w14:paraId="103475DE">
                  <w:pPr>
                    <w:pStyle w:val="2"/>
                    <w:spacing w:before="20" w:line="296" w:lineRule="auto"/>
                    <w:ind w:left="20" w:right="20" w:firstLine="400"/>
                    <w:jc w:val="both"/>
                    <w:rPr>
                      <w:sz w:val="19"/>
                      <w:szCs w:val="19"/>
                    </w:rPr>
                  </w:pPr>
                  <w:r>
                    <w:rPr>
                      <w:spacing w:val="13"/>
                      <w:sz w:val="19"/>
                      <w:szCs w:val="19"/>
                    </w:rPr>
                    <w:t>目前，随着信息技术的不断发展，分布式的</w:t>
                  </w:r>
                  <w:r>
                    <w:rPr>
                      <w:spacing w:val="6"/>
                      <w:sz w:val="19"/>
                      <w:szCs w:val="19"/>
                    </w:rPr>
                    <w:t xml:space="preserve"> </w:t>
                  </w:r>
                  <w:r>
                    <w:rPr>
                      <w:spacing w:val="13"/>
                      <w:sz w:val="19"/>
                      <w:szCs w:val="19"/>
                    </w:rPr>
                    <w:t>物理结构已经成为信息系统的主流，结合逻辑结</w:t>
                  </w:r>
                  <w:r>
                    <w:rPr>
                      <w:spacing w:val="17"/>
                      <w:sz w:val="19"/>
                      <w:szCs w:val="19"/>
                    </w:rPr>
                    <w:t xml:space="preserve"> </w:t>
                  </w:r>
                  <w:r>
                    <w:rPr>
                      <w:spacing w:val="13"/>
                      <w:sz w:val="19"/>
                      <w:szCs w:val="19"/>
                    </w:rPr>
                    <w:t>构，信息系统的通用结构自底向上可分为基础设</w:t>
                  </w:r>
                  <w:r>
                    <w:rPr>
                      <w:spacing w:val="15"/>
                      <w:sz w:val="19"/>
                      <w:szCs w:val="19"/>
                    </w:rPr>
                    <w:t xml:space="preserve"> </w:t>
                  </w:r>
                  <w:r>
                    <w:rPr>
                      <w:spacing w:val="13"/>
                      <w:sz w:val="19"/>
                      <w:szCs w:val="19"/>
                    </w:rPr>
                    <w:t>施层、资源管理层、中间件层、业务逻辑层、应</w:t>
                  </w:r>
                  <w:r>
                    <w:rPr>
                      <w:spacing w:val="14"/>
                      <w:sz w:val="19"/>
                      <w:szCs w:val="19"/>
                    </w:rPr>
                    <w:t xml:space="preserve"> </w:t>
                  </w:r>
                  <w:r>
                    <w:rPr>
                      <w:spacing w:val="10"/>
                      <w:sz w:val="19"/>
                      <w:szCs w:val="19"/>
                    </w:rPr>
                    <w:t>用表现层五个层次，如图2-4所示。</w:t>
                  </w:r>
                </w:p>
                <w:p w14:paraId="692E396D">
                  <w:pPr>
                    <w:pStyle w:val="2"/>
                    <w:spacing w:before="37" w:line="270" w:lineRule="auto"/>
                    <w:ind w:left="20" w:right="20" w:firstLine="400"/>
                    <w:jc w:val="both"/>
                    <w:rPr>
                      <w:sz w:val="19"/>
                      <w:szCs w:val="19"/>
                    </w:rPr>
                  </w:pPr>
                  <w:r>
                    <w:rPr>
                      <w:spacing w:val="18"/>
                      <w:sz w:val="19"/>
                      <w:szCs w:val="19"/>
                    </w:rPr>
                    <w:t>(1)基础设施层。基础设施层是系统整体架</w:t>
                  </w:r>
                  <w:r>
                    <w:rPr>
                      <w:spacing w:val="4"/>
                      <w:sz w:val="19"/>
                      <w:szCs w:val="19"/>
                    </w:rPr>
                    <w:t xml:space="preserve"> </w:t>
                  </w:r>
                  <w:r>
                    <w:rPr>
                      <w:spacing w:val="13"/>
                      <w:sz w:val="19"/>
                      <w:szCs w:val="19"/>
                    </w:rPr>
                    <w:t>构的底层技术基础，基于多种软件、硬件、网络</w:t>
                  </w:r>
                </w:p>
              </w:txbxContent>
            </v:textbox>
          </v:shape>
        </w:pict>
      </w:r>
      <w:r>
        <w:rPr>
          <w:spacing w:val="13"/>
          <w:sz w:val="19"/>
          <w:szCs w:val="19"/>
        </w:rPr>
        <w:t>一个完整的信息系统支持组织的各种功能子系统，使得每个子系统可以完成事务处理、操</w:t>
      </w:r>
      <w:r>
        <w:rPr>
          <w:spacing w:val="12"/>
          <w:sz w:val="19"/>
          <w:szCs w:val="19"/>
        </w:rPr>
        <w:t xml:space="preserve"> </w:t>
      </w:r>
      <w:r>
        <w:rPr>
          <w:spacing w:val="13"/>
          <w:sz w:val="19"/>
          <w:szCs w:val="19"/>
        </w:rPr>
        <w:t>作管理、管理控制与战略规划等各层次功能。在每个子系</w:t>
      </w:r>
      <w:r>
        <w:rPr>
          <w:spacing w:val="12"/>
          <w:sz w:val="19"/>
          <w:szCs w:val="19"/>
        </w:rPr>
        <w:t>统中可以有自己的专用文件，同时可</w:t>
      </w:r>
      <w:r>
        <w:rPr>
          <w:sz w:val="19"/>
          <w:szCs w:val="19"/>
        </w:rPr>
        <w:t xml:space="preserve"> </w:t>
      </w:r>
      <w:r>
        <w:rPr>
          <w:spacing w:val="13"/>
          <w:sz w:val="19"/>
          <w:szCs w:val="19"/>
        </w:rPr>
        <w:t>以共用系统数据库中的数据，通过接口文件实现子系统之间的联系。与之相类似，每个子系统</w:t>
      </w:r>
      <w:r>
        <w:rPr>
          <w:spacing w:val="5"/>
          <w:sz w:val="19"/>
          <w:szCs w:val="19"/>
        </w:rPr>
        <w:t xml:space="preserve"> </w:t>
      </w:r>
      <w:r>
        <w:rPr>
          <w:spacing w:val="9"/>
          <w:sz w:val="19"/>
          <w:szCs w:val="19"/>
        </w:rPr>
        <w:t>有各自的专用程序，也可以调用服务于各种功能的公共程序，以及系统模型库中的模型。</w:t>
      </w:r>
    </w:p>
    <w:p w14:paraId="27633A0E">
      <w:pPr>
        <w:spacing w:line="85" w:lineRule="exact"/>
      </w:pPr>
    </w:p>
    <w:tbl>
      <w:tblPr>
        <w:tblStyle w:val="5"/>
        <w:tblW w:w="3710" w:type="dxa"/>
        <w:tblInd w:w="49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10"/>
      </w:tblGrid>
      <w:tr w14:paraId="63679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710" w:type="dxa"/>
            <w:shd w:val="clear" w:color="auto" w:fill="0A70F0"/>
            <w:vAlign w:val="top"/>
          </w:tcPr>
          <w:p w14:paraId="4F8BC6FA">
            <w:pPr>
              <w:pStyle w:val="6"/>
              <w:spacing w:before="122" w:line="219" w:lineRule="auto"/>
              <w:ind w:left="1394"/>
              <w:rPr>
                <w:sz w:val="18"/>
                <w:szCs w:val="18"/>
              </w:rPr>
            </w:pPr>
            <w:r>
              <w:rPr>
                <w:spacing w:val="-2"/>
                <w:sz w:val="18"/>
                <w:szCs w:val="18"/>
              </w:rPr>
              <w:t>应用表现层</w:t>
            </w:r>
          </w:p>
        </w:tc>
      </w:tr>
      <w:tr w14:paraId="27F3F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3710" w:type="dxa"/>
            <w:shd w:val="clear" w:color="auto" w:fill="118AE9"/>
            <w:vAlign w:val="top"/>
          </w:tcPr>
          <w:p w14:paraId="3EC8784E">
            <w:pPr>
              <w:pStyle w:val="6"/>
              <w:spacing w:before="99" w:line="219" w:lineRule="auto"/>
              <w:ind w:left="1394"/>
              <w:rPr>
                <w:sz w:val="18"/>
                <w:szCs w:val="18"/>
              </w:rPr>
            </w:pPr>
            <w:r>
              <w:rPr>
                <w:spacing w:val="-2"/>
                <w:sz w:val="18"/>
                <w:szCs w:val="18"/>
              </w:rPr>
              <w:t>业务逻辑层</w:t>
            </w:r>
          </w:p>
        </w:tc>
      </w:tr>
      <w:tr w14:paraId="60E46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3710" w:type="dxa"/>
            <w:shd w:val="clear" w:color="auto" w:fill="27A8E3"/>
            <w:vAlign w:val="top"/>
          </w:tcPr>
          <w:p w14:paraId="4AEAB9F6">
            <w:pPr>
              <w:pStyle w:val="6"/>
              <w:spacing w:before="111" w:line="219" w:lineRule="auto"/>
              <w:ind w:left="1485"/>
              <w:rPr>
                <w:sz w:val="18"/>
                <w:szCs w:val="18"/>
              </w:rPr>
            </w:pPr>
            <w:r>
              <w:rPr>
                <w:color w:val="004284"/>
                <w:spacing w:val="2"/>
                <w:sz w:val="18"/>
                <w:szCs w:val="18"/>
              </w:rPr>
              <w:t>中间件层</w:t>
            </w:r>
          </w:p>
        </w:tc>
      </w:tr>
      <w:tr w14:paraId="0D96D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3710" w:type="dxa"/>
            <w:shd w:val="clear" w:color="auto" w:fill="6CCFE3"/>
            <w:vAlign w:val="top"/>
          </w:tcPr>
          <w:p w14:paraId="6300D642">
            <w:pPr>
              <w:pStyle w:val="6"/>
              <w:spacing w:before="113" w:line="219" w:lineRule="auto"/>
              <w:ind w:left="1394"/>
              <w:rPr>
                <w:sz w:val="18"/>
                <w:szCs w:val="18"/>
              </w:rPr>
            </w:pPr>
            <w:r>
              <w:rPr>
                <w:spacing w:val="2"/>
                <w:sz w:val="18"/>
                <w:szCs w:val="18"/>
              </w:rPr>
              <w:t>资源管理层</w:t>
            </w:r>
          </w:p>
        </w:tc>
      </w:tr>
      <w:tr w14:paraId="41C26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3710" w:type="dxa"/>
            <w:shd w:val="clear" w:color="auto" w:fill="B3E8EC"/>
            <w:vAlign w:val="top"/>
          </w:tcPr>
          <w:p w14:paraId="40E4D8EB">
            <w:pPr>
              <w:pStyle w:val="6"/>
              <w:spacing w:before="106" w:line="219" w:lineRule="auto"/>
              <w:ind w:left="1394"/>
              <w:rPr>
                <w:sz w:val="18"/>
                <w:szCs w:val="18"/>
              </w:rPr>
            </w:pPr>
            <w:r>
              <w:rPr>
                <w:spacing w:val="-2"/>
                <w:sz w:val="18"/>
                <w:szCs w:val="18"/>
              </w:rPr>
              <w:t>基础设施层</w:t>
            </w:r>
          </w:p>
        </w:tc>
      </w:tr>
    </w:tbl>
    <w:p w14:paraId="3453222F">
      <w:pPr>
        <w:pStyle w:val="2"/>
        <w:spacing w:before="123" w:line="219" w:lineRule="auto"/>
        <w:ind w:left="309"/>
        <w:rPr>
          <w:sz w:val="19"/>
          <w:szCs w:val="19"/>
        </w:rPr>
      </w:pPr>
      <w:r>
        <w:rPr>
          <w:spacing w:val="7"/>
          <w:sz w:val="19"/>
          <w:szCs w:val="19"/>
        </w:rPr>
        <w:t>和信息安全技术之间的相互作用支撑整个管控系          图2-4</w:t>
      </w:r>
      <w:r>
        <w:rPr>
          <w:spacing w:val="69"/>
          <w:sz w:val="19"/>
          <w:szCs w:val="19"/>
        </w:rPr>
        <w:t xml:space="preserve"> </w:t>
      </w:r>
      <w:r>
        <w:rPr>
          <w:spacing w:val="7"/>
          <w:sz w:val="19"/>
          <w:szCs w:val="19"/>
        </w:rPr>
        <w:t>信息系统的通用结构</w:t>
      </w:r>
    </w:p>
    <w:p w14:paraId="34F9F6B5">
      <w:pPr>
        <w:pStyle w:val="2"/>
        <w:spacing w:before="63" w:line="219" w:lineRule="auto"/>
        <w:ind w:left="309"/>
        <w:rPr>
          <w:sz w:val="19"/>
          <w:szCs w:val="19"/>
        </w:rPr>
      </w:pPr>
      <w:r>
        <w:rPr>
          <w:spacing w:val="8"/>
          <w:sz w:val="19"/>
          <w:szCs w:val="19"/>
        </w:rPr>
        <w:t>统的正常应用，包括信息感知设备、网络传输设备、存储设备、计算设备等。</w:t>
      </w:r>
    </w:p>
    <w:p w14:paraId="14F8BB52">
      <w:pPr>
        <w:pStyle w:val="2"/>
        <w:spacing w:before="86" w:line="219" w:lineRule="auto"/>
        <w:ind w:left="709"/>
        <w:rPr>
          <w:sz w:val="19"/>
          <w:szCs w:val="19"/>
        </w:rPr>
      </w:pPr>
      <w:r>
        <w:rPr>
          <w:spacing w:val="11"/>
          <w:sz w:val="19"/>
          <w:szCs w:val="19"/>
        </w:rPr>
        <w:t>(2)资源管理层。主要包括操作系统、数据库等，负责各类资源</w:t>
      </w:r>
      <w:r>
        <w:rPr>
          <w:spacing w:val="10"/>
          <w:sz w:val="19"/>
          <w:szCs w:val="19"/>
        </w:rPr>
        <w:t>的管理与调度。</w:t>
      </w:r>
    </w:p>
    <w:p w14:paraId="4E06083F">
      <w:pPr>
        <w:pStyle w:val="2"/>
        <w:spacing w:before="84" w:line="259" w:lineRule="auto"/>
        <w:ind w:left="309" w:right="20" w:firstLine="400"/>
        <w:rPr>
          <w:sz w:val="19"/>
          <w:szCs w:val="19"/>
        </w:rPr>
      </w:pPr>
      <w:r>
        <w:rPr>
          <w:spacing w:val="16"/>
          <w:sz w:val="19"/>
          <w:szCs w:val="19"/>
        </w:rPr>
        <w:t>(3)中间件层。主要负责保障信息(数据)的传输、共享，提供某一类特定基础数据服务，</w:t>
      </w:r>
      <w:r>
        <w:rPr>
          <w:spacing w:val="2"/>
          <w:sz w:val="19"/>
          <w:szCs w:val="19"/>
        </w:rPr>
        <w:t xml:space="preserve"> </w:t>
      </w:r>
      <w:r>
        <w:rPr>
          <w:spacing w:val="4"/>
          <w:sz w:val="19"/>
          <w:szCs w:val="19"/>
        </w:rPr>
        <w:t>例如传输中间件、交易中间件、</w:t>
      </w:r>
      <w:r>
        <w:rPr>
          <w:spacing w:val="-30"/>
          <w:sz w:val="19"/>
          <w:szCs w:val="19"/>
        </w:rPr>
        <w:t xml:space="preserve"> </w:t>
      </w:r>
      <w:r>
        <w:rPr>
          <w:sz w:val="19"/>
          <w:szCs w:val="19"/>
        </w:rPr>
        <w:t>GIS</w:t>
      </w:r>
      <w:r>
        <w:rPr>
          <w:spacing w:val="4"/>
          <w:sz w:val="19"/>
          <w:szCs w:val="19"/>
        </w:rPr>
        <w:t xml:space="preserve"> 中间件、J2</w:t>
      </w:r>
      <w:r>
        <w:rPr>
          <w:sz w:val="19"/>
          <w:szCs w:val="19"/>
        </w:rPr>
        <w:t>EE</w:t>
      </w:r>
      <w:r>
        <w:rPr>
          <w:spacing w:val="4"/>
          <w:sz w:val="19"/>
          <w:szCs w:val="19"/>
        </w:rPr>
        <w:t xml:space="preserve"> 架构等。</w:t>
      </w:r>
    </w:p>
    <w:p w14:paraId="5EB7CAD0">
      <w:pPr>
        <w:pStyle w:val="2"/>
        <w:spacing w:before="96" w:line="251" w:lineRule="auto"/>
        <w:ind w:left="309" w:firstLine="400"/>
        <w:rPr>
          <w:sz w:val="19"/>
          <w:szCs w:val="19"/>
        </w:rPr>
      </w:pPr>
      <w:r>
        <w:rPr>
          <w:spacing w:val="12"/>
          <w:sz w:val="19"/>
          <w:szCs w:val="19"/>
        </w:rPr>
        <w:t>(4)业务逻辑层。主要是通过软件研发，创建统一的业务流程驱动引擎，例如工作</w:t>
      </w:r>
      <w:r>
        <w:rPr>
          <w:spacing w:val="11"/>
          <w:sz w:val="19"/>
          <w:szCs w:val="19"/>
        </w:rPr>
        <w:t>流引擎、</w:t>
      </w:r>
      <w:r>
        <w:rPr>
          <w:sz w:val="19"/>
          <w:szCs w:val="19"/>
        </w:rPr>
        <w:t xml:space="preserve"> </w:t>
      </w:r>
      <w:r>
        <w:rPr>
          <w:spacing w:val="8"/>
          <w:sz w:val="19"/>
          <w:szCs w:val="19"/>
        </w:rPr>
        <w:t>报表引擎、交易处理引擎等。</w:t>
      </w:r>
    </w:p>
    <w:p w14:paraId="488B38C3">
      <w:pPr>
        <w:spacing w:line="251" w:lineRule="auto"/>
        <w:rPr>
          <w:sz w:val="19"/>
          <w:szCs w:val="19"/>
        </w:rPr>
        <w:sectPr>
          <w:pgSz w:w="10310" w:h="13420"/>
          <w:pgMar w:top="400" w:right="1105" w:bottom="400" w:left="500" w:header="0" w:footer="0" w:gutter="0"/>
          <w:cols w:space="720" w:num="1"/>
        </w:sectPr>
      </w:pPr>
    </w:p>
    <w:p w14:paraId="2887AA6C">
      <w:pPr>
        <w:pStyle w:val="2"/>
        <w:spacing w:before="56" w:line="219" w:lineRule="auto"/>
        <w:jc w:val="right"/>
        <w:rPr>
          <w:rFonts w:ascii="Times New Roman" w:hAnsi="Times New Roman" w:eastAsia="Times New Roman" w:cs="Times New Roman"/>
          <w:sz w:val="20"/>
          <w:szCs w:val="20"/>
        </w:rPr>
      </w:pPr>
      <w:r>
        <w:rPr>
          <w:spacing w:val="-1"/>
          <w:sz w:val="20"/>
          <w:szCs w:val="20"/>
        </w:rPr>
        <w:t>第2章 信息系统工程</w:t>
      </w:r>
      <w:r>
        <w:rPr>
          <w:spacing w:val="11"/>
          <w:sz w:val="20"/>
          <w:szCs w:val="20"/>
        </w:rPr>
        <w:t xml:space="preserve">      </w:t>
      </w:r>
      <w:r>
        <w:rPr>
          <w:rFonts w:ascii="Times New Roman" w:hAnsi="Times New Roman" w:eastAsia="Times New Roman" w:cs="Times New Roman"/>
          <w:spacing w:val="-1"/>
          <w:position w:val="1"/>
          <w:sz w:val="20"/>
          <w:szCs w:val="20"/>
        </w:rPr>
        <w:t>49</w:t>
      </w:r>
    </w:p>
    <w:p w14:paraId="65641FFE">
      <w:pPr>
        <w:spacing w:line="297" w:lineRule="auto"/>
        <w:rPr>
          <w:rFonts w:ascii="Arial"/>
          <w:sz w:val="21"/>
        </w:rPr>
      </w:pPr>
    </w:p>
    <w:p w14:paraId="42C199C5">
      <w:pPr>
        <w:pStyle w:val="2"/>
        <w:spacing w:before="65" w:line="219" w:lineRule="auto"/>
        <w:ind w:left="410"/>
        <w:rPr>
          <w:sz w:val="20"/>
          <w:szCs w:val="20"/>
        </w:rPr>
      </w:pPr>
      <w:r>
        <w:rPr>
          <w:spacing w:val="3"/>
          <w:sz w:val="20"/>
          <w:szCs w:val="20"/>
        </w:rPr>
        <w:t>(5)应用表现层。主要负责用户的交互界面，通过</w:t>
      </w:r>
      <w:r>
        <w:rPr>
          <w:rFonts w:ascii="Times New Roman" w:hAnsi="Times New Roman" w:eastAsia="Times New Roman" w:cs="Times New Roman"/>
          <w:sz w:val="20"/>
          <w:szCs w:val="20"/>
        </w:rPr>
        <w:t>UI</w:t>
      </w:r>
      <w:r>
        <w:rPr>
          <w:rFonts w:ascii="Times New Roman" w:hAnsi="Times New Roman" w:eastAsia="Times New Roman" w:cs="Times New Roman"/>
          <w:spacing w:val="3"/>
          <w:sz w:val="20"/>
          <w:szCs w:val="20"/>
        </w:rPr>
        <w:t xml:space="preserve"> </w:t>
      </w:r>
      <w:r>
        <w:rPr>
          <w:spacing w:val="3"/>
          <w:sz w:val="20"/>
          <w:szCs w:val="20"/>
        </w:rPr>
        <w:t>设计将信</w:t>
      </w:r>
      <w:r>
        <w:rPr>
          <w:spacing w:val="2"/>
          <w:sz w:val="20"/>
          <w:szCs w:val="20"/>
        </w:rPr>
        <w:t>息交互在客户端进行展示。</w:t>
      </w:r>
    </w:p>
    <w:p w14:paraId="40130AE5">
      <w:pPr>
        <w:pStyle w:val="2"/>
        <w:spacing w:before="251" w:line="219" w:lineRule="auto"/>
        <w:ind w:left="2"/>
        <w:rPr>
          <w:sz w:val="25"/>
          <w:szCs w:val="25"/>
        </w:rPr>
      </w:pPr>
      <w:r>
        <w:rPr>
          <w:b/>
          <w:bCs/>
          <w:color w:val="006FDE"/>
          <w:spacing w:val="-16"/>
          <w:sz w:val="25"/>
          <w:szCs w:val="25"/>
        </w:rPr>
        <w:t>2.1.4</w:t>
      </w:r>
      <w:r>
        <w:rPr>
          <w:color w:val="006FDE"/>
          <w:spacing w:val="-16"/>
          <w:sz w:val="25"/>
          <w:szCs w:val="25"/>
        </w:rPr>
        <w:t xml:space="preserve">  </w:t>
      </w:r>
      <w:r>
        <w:rPr>
          <w:b/>
          <w:bCs/>
          <w:color w:val="006FDE"/>
          <w:spacing w:val="-16"/>
          <w:sz w:val="25"/>
          <w:szCs w:val="25"/>
        </w:rPr>
        <w:t>信息系统的分类与建设原则</w:t>
      </w:r>
    </w:p>
    <w:p w14:paraId="597112D8">
      <w:pPr>
        <w:pStyle w:val="2"/>
        <w:spacing w:before="250" w:line="221" w:lineRule="auto"/>
        <w:ind w:left="412"/>
        <w:rPr>
          <w:rFonts w:ascii="黑体" w:hAnsi="黑体" w:eastAsia="黑体" w:cs="黑体"/>
          <w:sz w:val="20"/>
          <w:szCs w:val="20"/>
        </w:rPr>
      </w:pPr>
      <w:r>
        <w:rPr>
          <w:b/>
          <w:bCs/>
          <w:color w:val="0062C5"/>
          <w:spacing w:val="-1"/>
          <w:sz w:val="20"/>
          <w:szCs w:val="20"/>
        </w:rPr>
        <w:t>1.</w:t>
      </w:r>
      <w:r>
        <w:rPr>
          <w:rFonts w:ascii="黑体" w:hAnsi="黑体" w:eastAsia="黑体" w:cs="黑体"/>
          <w:b/>
          <w:bCs/>
          <w:color w:val="0062C5"/>
          <w:spacing w:val="-1"/>
          <w:sz w:val="20"/>
          <w:szCs w:val="20"/>
        </w:rPr>
        <w:t>信息系统的分类</w:t>
      </w:r>
    </w:p>
    <w:p w14:paraId="79534760">
      <w:pPr>
        <w:pStyle w:val="2"/>
        <w:spacing w:before="154" w:line="263" w:lineRule="auto"/>
        <w:ind w:right="276" w:firstLine="410"/>
        <w:rPr>
          <w:sz w:val="20"/>
          <w:szCs w:val="20"/>
        </w:rPr>
      </w:pPr>
      <w:r>
        <w:rPr>
          <w:spacing w:val="3"/>
          <w:sz w:val="20"/>
          <w:szCs w:val="20"/>
        </w:rPr>
        <w:t>按照信息系统的通用架构，信息系统工程建设项目交付的内容主要包括机房基础设施、物</w:t>
      </w:r>
      <w:r>
        <w:rPr>
          <w:spacing w:val="12"/>
          <w:sz w:val="20"/>
          <w:szCs w:val="20"/>
        </w:rPr>
        <w:t xml:space="preserve"> </w:t>
      </w:r>
      <w:r>
        <w:rPr>
          <w:spacing w:val="-2"/>
          <w:sz w:val="20"/>
          <w:szCs w:val="20"/>
        </w:rPr>
        <w:t>理资源、虚拟资源、平台资源、应用和数据等。</w:t>
      </w:r>
    </w:p>
    <w:p w14:paraId="1E9004FD">
      <w:pPr>
        <w:pStyle w:val="2"/>
        <w:spacing w:before="49" w:line="254" w:lineRule="auto"/>
        <w:ind w:right="278" w:firstLine="410"/>
        <w:rPr>
          <w:sz w:val="20"/>
          <w:szCs w:val="20"/>
        </w:rPr>
      </w:pPr>
      <w:r>
        <w:rPr>
          <w:spacing w:val="6"/>
          <w:sz w:val="20"/>
          <w:szCs w:val="20"/>
        </w:rPr>
        <w:t>(1)机房基础设施。主要指机房基础环境、安防系统、电气</w:t>
      </w:r>
      <w:r>
        <w:rPr>
          <w:spacing w:val="5"/>
          <w:sz w:val="20"/>
          <w:szCs w:val="20"/>
        </w:rPr>
        <w:t>系统、精密空调系统、环境检</w:t>
      </w:r>
      <w:r>
        <w:rPr>
          <w:sz w:val="20"/>
          <w:szCs w:val="20"/>
        </w:rPr>
        <w:t xml:space="preserve"> </w:t>
      </w:r>
      <w:r>
        <w:rPr>
          <w:spacing w:val="-4"/>
          <w:sz w:val="20"/>
          <w:szCs w:val="20"/>
        </w:rPr>
        <w:t>测系统、消防系统。</w:t>
      </w:r>
    </w:p>
    <w:p w14:paraId="5BBB7D06">
      <w:pPr>
        <w:pStyle w:val="2"/>
        <w:spacing w:before="91" w:line="219" w:lineRule="auto"/>
        <w:ind w:left="410"/>
        <w:rPr>
          <w:sz w:val="20"/>
          <w:szCs w:val="20"/>
        </w:rPr>
      </w:pPr>
      <w:r>
        <w:rPr>
          <w:spacing w:val="2"/>
          <w:sz w:val="20"/>
          <w:szCs w:val="20"/>
        </w:rPr>
        <w:t>(2)物理资源。主要指网络、服务器、存储、终端、外设等硬件。</w:t>
      </w:r>
    </w:p>
    <w:p w14:paraId="326810D4">
      <w:pPr>
        <w:pStyle w:val="2"/>
        <w:spacing w:before="72" w:line="219" w:lineRule="auto"/>
        <w:ind w:left="410"/>
        <w:rPr>
          <w:sz w:val="20"/>
          <w:szCs w:val="20"/>
        </w:rPr>
      </w:pPr>
      <w:r>
        <w:rPr>
          <w:spacing w:val="2"/>
          <w:sz w:val="20"/>
          <w:szCs w:val="20"/>
        </w:rPr>
        <w:t>(3)虚拟资源。主要指网络资源、计算资源、存储资源等。</w:t>
      </w:r>
    </w:p>
    <w:p w14:paraId="76A69684">
      <w:pPr>
        <w:pStyle w:val="2"/>
        <w:spacing w:before="84" w:line="219" w:lineRule="auto"/>
        <w:ind w:left="410"/>
        <w:rPr>
          <w:sz w:val="20"/>
          <w:szCs w:val="20"/>
        </w:rPr>
      </w:pPr>
      <w:r>
        <w:rPr>
          <w:spacing w:val="2"/>
          <w:sz w:val="20"/>
          <w:szCs w:val="20"/>
        </w:rPr>
        <w:t>(4)平台资源。主要指支撑应用系统运行的基础软件，如操作系统、数据库、中间件等。</w:t>
      </w:r>
    </w:p>
    <w:p w14:paraId="60F23600">
      <w:pPr>
        <w:pStyle w:val="2"/>
        <w:spacing w:before="82" w:line="253" w:lineRule="auto"/>
        <w:ind w:right="272" w:firstLine="410"/>
        <w:rPr>
          <w:sz w:val="20"/>
          <w:szCs w:val="20"/>
        </w:rPr>
      </w:pPr>
      <w:r>
        <w:rPr>
          <w:spacing w:val="6"/>
          <w:sz w:val="20"/>
          <w:szCs w:val="20"/>
        </w:rPr>
        <w:t>(5)应用。主要指面向各类应用的软件系统。如财务软件、人力资源管</w:t>
      </w:r>
      <w:r>
        <w:rPr>
          <w:spacing w:val="5"/>
          <w:sz w:val="20"/>
          <w:szCs w:val="20"/>
        </w:rPr>
        <w:t>理软件、办公自动</w:t>
      </w:r>
      <w:r>
        <w:rPr>
          <w:sz w:val="20"/>
          <w:szCs w:val="20"/>
        </w:rPr>
        <w:t xml:space="preserve"> </w:t>
      </w:r>
      <w:r>
        <w:rPr>
          <w:spacing w:val="-1"/>
          <w:sz w:val="20"/>
          <w:szCs w:val="20"/>
        </w:rPr>
        <w:t>化软件、监控软件、流程管理软件、安全分析软件等。</w:t>
      </w:r>
    </w:p>
    <w:p w14:paraId="1A52CE5A">
      <w:pPr>
        <w:pStyle w:val="2"/>
        <w:spacing w:before="73" w:line="219" w:lineRule="auto"/>
        <w:ind w:left="410"/>
        <w:rPr>
          <w:sz w:val="20"/>
          <w:szCs w:val="20"/>
        </w:rPr>
      </w:pPr>
      <w:r>
        <w:rPr>
          <w:spacing w:val="1"/>
          <w:sz w:val="20"/>
          <w:szCs w:val="20"/>
        </w:rPr>
        <w:t>(6)数据。主要是指业务数据、运维数据、安全数据等。</w:t>
      </w:r>
    </w:p>
    <w:p w14:paraId="0471A130">
      <w:pPr>
        <w:pStyle w:val="2"/>
        <w:spacing w:before="81" w:line="219" w:lineRule="auto"/>
        <w:ind w:left="410"/>
        <w:rPr>
          <w:sz w:val="20"/>
          <w:szCs w:val="20"/>
        </w:rPr>
      </w:pPr>
      <w:r>
        <w:rPr>
          <w:sz w:val="20"/>
          <w:szCs w:val="20"/>
        </w:rPr>
        <w:t>从工程建设的角度，可以将信息系统分为：信息网络系统、信息资源系统和信息应用系</w:t>
      </w:r>
      <w:r>
        <w:rPr>
          <w:spacing w:val="-1"/>
          <w:sz w:val="20"/>
          <w:szCs w:val="20"/>
        </w:rPr>
        <w:t>统。</w:t>
      </w:r>
    </w:p>
    <w:p w14:paraId="075C6B04">
      <w:pPr>
        <w:pStyle w:val="2"/>
        <w:spacing w:before="82" w:line="265" w:lineRule="auto"/>
        <w:ind w:right="278" w:firstLine="410"/>
        <w:rPr>
          <w:sz w:val="20"/>
          <w:szCs w:val="20"/>
        </w:rPr>
      </w:pPr>
      <w:r>
        <w:rPr>
          <w:spacing w:val="6"/>
          <w:sz w:val="20"/>
          <w:szCs w:val="20"/>
        </w:rPr>
        <w:t>(1)信息网络系统，是指以信息技术为主要手段建立的信息</w:t>
      </w:r>
      <w:r>
        <w:rPr>
          <w:spacing w:val="5"/>
          <w:sz w:val="20"/>
          <w:szCs w:val="20"/>
        </w:rPr>
        <w:t>处理、传输、交换和分发的计</w:t>
      </w:r>
      <w:r>
        <w:rPr>
          <w:sz w:val="20"/>
          <w:szCs w:val="20"/>
        </w:rPr>
        <w:t xml:space="preserve"> </w:t>
      </w:r>
      <w:r>
        <w:rPr>
          <w:spacing w:val="3"/>
          <w:sz w:val="20"/>
          <w:szCs w:val="20"/>
        </w:rPr>
        <w:t>算机网络系统。信息网络系统为信息资源系统和信息应用系统提供基础的网络平</w:t>
      </w:r>
      <w:r>
        <w:rPr>
          <w:spacing w:val="2"/>
          <w:sz w:val="20"/>
          <w:szCs w:val="20"/>
        </w:rPr>
        <w:t>台，其工程建</w:t>
      </w:r>
      <w:r>
        <w:rPr>
          <w:sz w:val="20"/>
          <w:szCs w:val="20"/>
        </w:rPr>
        <w:t xml:space="preserve"> </w:t>
      </w:r>
      <w:r>
        <w:rPr>
          <w:spacing w:val="-5"/>
          <w:sz w:val="20"/>
          <w:szCs w:val="20"/>
        </w:rPr>
        <w:t>设的核心是网络。</w:t>
      </w:r>
    </w:p>
    <w:p w14:paraId="658A58D9">
      <w:pPr>
        <w:pStyle w:val="2"/>
        <w:spacing w:before="58" w:line="270" w:lineRule="auto"/>
        <w:ind w:right="297" w:firstLine="410"/>
        <w:rPr>
          <w:sz w:val="20"/>
          <w:szCs w:val="20"/>
        </w:rPr>
      </w:pPr>
      <w:r>
        <w:rPr>
          <w:spacing w:val="5"/>
          <w:sz w:val="20"/>
          <w:szCs w:val="20"/>
        </w:rPr>
        <w:t>(2)信息资源系统，是指以信息技术为主要手段建立的信息资源采集、存储、处理的资源</w:t>
      </w:r>
      <w:r>
        <w:rPr>
          <w:spacing w:val="7"/>
          <w:sz w:val="20"/>
          <w:szCs w:val="20"/>
        </w:rPr>
        <w:t xml:space="preserve"> </w:t>
      </w:r>
      <w:r>
        <w:rPr>
          <w:spacing w:val="3"/>
          <w:sz w:val="20"/>
          <w:szCs w:val="20"/>
        </w:rPr>
        <w:t>系统。信息资源系统是承载并管理基础设施、物理资源、虚拟资源、平台资源、应</w:t>
      </w:r>
      <w:r>
        <w:rPr>
          <w:spacing w:val="2"/>
          <w:sz w:val="20"/>
          <w:szCs w:val="20"/>
        </w:rPr>
        <w:t>用和数据等</w:t>
      </w:r>
      <w:r>
        <w:rPr>
          <w:sz w:val="20"/>
          <w:szCs w:val="20"/>
        </w:rPr>
        <w:t xml:space="preserve"> </w:t>
      </w:r>
      <w:r>
        <w:rPr>
          <w:spacing w:val="3"/>
          <w:sz w:val="20"/>
          <w:szCs w:val="20"/>
        </w:rPr>
        <w:t>资源的系统，在当前云计算、大数据的发展角度，其工程建设的核心是数据资源</w:t>
      </w:r>
      <w:r>
        <w:rPr>
          <w:spacing w:val="2"/>
          <w:sz w:val="20"/>
          <w:szCs w:val="20"/>
        </w:rPr>
        <w:t>平台和云资源</w:t>
      </w:r>
      <w:r>
        <w:rPr>
          <w:sz w:val="20"/>
          <w:szCs w:val="20"/>
        </w:rPr>
        <w:t xml:space="preserve"> </w:t>
      </w:r>
      <w:r>
        <w:rPr>
          <w:spacing w:val="5"/>
          <w:sz w:val="20"/>
          <w:szCs w:val="20"/>
        </w:rPr>
        <w:t>系统(包括云服务、云数据中心)。</w:t>
      </w:r>
    </w:p>
    <w:p w14:paraId="07226B15">
      <w:pPr>
        <w:pStyle w:val="2"/>
        <w:spacing w:before="73" w:line="257" w:lineRule="auto"/>
        <w:ind w:right="298" w:firstLine="410"/>
        <w:rPr>
          <w:sz w:val="20"/>
          <w:szCs w:val="20"/>
        </w:rPr>
      </w:pPr>
      <w:r>
        <w:rPr>
          <w:spacing w:val="5"/>
          <w:sz w:val="20"/>
          <w:szCs w:val="20"/>
        </w:rPr>
        <w:t>(3)信息应用系统，是指以信息技术为主要手段建立的各类业务管理的应用系统，以满足</w:t>
      </w:r>
      <w:r>
        <w:rPr>
          <w:spacing w:val="7"/>
          <w:sz w:val="20"/>
          <w:szCs w:val="20"/>
        </w:rPr>
        <w:t xml:space="preserve"> </w:t>
      </w:r>
      <w:r>
        <w:rPr>
          <w:spacing w:val="-2"/>
          <w:sz w:val="20"/>
          <w:szCs w:val="20"/>
        </w:rPr>
        <w:t>业务处理、信息管理需要，其工程建设的核心是软件。</w:t>
      </w:r>
    </w:p>
    <w:p w14:paraId="6AF6D854">
      <w:pPr>
        <w:pStyle w:val="2"/>
        <w:spacing w:before="168" w:line="221" w:lineRule="auto"/>
        <w:ind w:left="412"/>
        <w:rPr>
          <w:rFonts w:ascii="黑体" w:hAnsi="黑体" w:eastAsia="黑体" w:cs="黑体"/>
          <w:sz w:val="20"/>
          <w:szCs w:val="20"/>
        </w:rPr>
      </w:pPr>
      <w:r>
        <w:rPr>
          <w:b/>
          <w:bCs/>
          <w:color w:val="0068D0"/>
          <w:spacing w:val="-2"/>
          <w:sz w:val="20"/>
          <w:szCs w:val="20"/>
        </w:rPr>
        <w:t>2.</w:t>
      </w:r>
      <w:r>
        <w:rPr>
          <w:rFonts w:ascii="黑体" w:hAnsi="黑体" w:eastAsia="黑体" w:cs="黑体"/>
          <w:b/>
          <w:bCs/>
          <w:color w:val="0068D0"/>
          <w:spacing w:val="-2"/>
          <w:sz w:val="20"/>
          <w:szCs w:val="20"/>
        </w:rPr>
        <w:t>信息系统的建设原则</w:t>
      </w:r>
    </w:p>
    <w:p w14:paraId="1CAD6C24">
      <w:pPr>
        <w:pStyle w:val="2"/>
        <w:spacing w:before="125" w:line="273" w:lineRule="auto"/>
        <w:ind w:right="296" w:firstLine="410"/>
        <w:rPr>
          <w:sz w:val="20"/>
          <w:szCs w:val="20"/>
        </w:rPr>
      </w:pPr>
      <w:r>
        <w:rPr>
          <w:spacing w:val="3"/>
          <w:sz w:val="20"/>
          <w:szCs w:val="20"/>
        </w:rPr>
        <w:t>为了能够适应需要，在信息系统规划以及建设开发的过程中，必须遵</w:t>
      </w:r>
      <w:r>
        <w:rPr>
          <w:spacing w:val="2"/>
          <w:sz w:val="20"/>
          <w:szCs w:val="20"/>
        </w:rPr>
        <w:t>守一系列原则，这是</w:t>
      </w:r>
      <w:r>
        <w:rPr>
          <w:sz w:val="20"/>
          <w:szCs w:val="20"/>
        </w:rPr>
        <w:t xml:space="preserve"> </w:t>
      </w:r>
      <w:r>
        <w:rPr>
          <w:spacing w:val="-3"/>
          <w:sz w:val="20"/>
          <w:szCs w:val="20"/>
        </w:rPr>
        <w:t>信息系统建设成功的必要条件。</w:t>
      </w:r>
    </w:p>
    <w:p w14:paraId="7C085AC7">
      <w:pPr>
        <w:spacing w:before="84" w:line="222" w:lineRule="auto"/>
        <w:ind w:left="410"/>
        <w:rPr>
          <w:rFonts w:ascii="楷体" w:hAnsi="楷体" w:eastAsia="楷体" w:cs="楷体"/>
          <w:sz w:val="20"/>
          <w:szCs w:val="20"/>
        </w:rPr>
      </w:pPr>
      <w:r>
        <w:rPr>
          <w:rFonts w:ascii="楷体" w:hAnsi="楷体" w:eastAsia="楷体" w:cs="楷体"/>
          <w:spacing w:val="7"/>
          <w:sz w:val="20"/>
          <w:szCs w:val="20"/>
        </w:rPr>
        <w:t>1)高层管理人员介入原则</w:t>
      </w:r>
    </w:p>
    <w:p w14:paraId="7069A3B8">
      <w:pPr>
        <w:pStyle w:val="2"/>
        <w:spacing w:before="81" w:line="273" w:lineRule="auto"/>
        <w:ind w:right="226" w:firstLine="410"/>
        <w:rPr>
          <w:sz w:val="20"/>
          <w:szCs w:val="20"/>
        </w:rPr>
      </w:pPr>
      <w:r>
        <w:rPr>
          <w:spacing w:val="3"/>
          <w:sz w:val="20"/>
          <w:szCs w:val="20"/>
        </w:rPr>
        <w:t>一个信息系统的建设目标总是为组织的整体目标服务，否则，这个系统就不应该建设。而</w:t>
      </w:r>
      <w:r>
        <w:rPr>
          <w:spacing w:val="12"/>
          <w:sz w:val="20"/>
          <w:szCs w:val="20"/>
        </w:rPr>
        <w:t xml:space="preserve"> </w:t>
      </w:r>
      <w:r>
        <w:rPr>
          <w:spacing w:val="3"/>
          <w:sz w:val="20"/>
          <w:szCs w:val="20"/>
        </w:rPr>
        <w:t>真正能够理解组织总体目标的人必然是组织的高层管理人员，只有他们才知道组</w:t>
      </w:r>
      <w:r>
        <w:rPr>
          <w:spacing w:val="2"/>
          <w:sz w:val="20"/>
          <w:szCs w:val="20"/>
        </w:rPr>
        <w:t>织究竟需要什</w:t>
      </w:r>
      <w:r>
        <w:rPr>
          <w:sz w:val="20"/>
          <w:szCs w:val="20"/>
        </w:rPr>
        <w:t xml:space="preserve"> </w:t>
      </w:r>
      <w:r>
        <w:rPr>
          <w:spacing w:val="1"/>
          <w:sz w:val="20"/>
          <w:szCs w:val="20"/>
        </w:rPr>
        <w:t>么样的信息系统，也只有他们才知道组织投入多少资源到</w:t>
      </w:r>
      <w:r>
        <w:rPr>
          <w:rFonts w:ascii="Times New Roman" w:hAnsi="Times New Roman" w:eastAsia="Times New Roman" w:cs="Times New Roman"/>
          <w:sz w:val="20"/>
          <w:szCs w:val="20"/>
        </w:rPr>
        <w:t>IT</w:t>
      </w:r>
      <w:r>
        <w:rPr>
          <w:rFonts w:ascii="Times New Roman" w:hAnsi="Times New Roman" w:eastAsia="Times New Roman" w:cs="Times New Roman"/>
          <w:spacing w:val="19"/>
          <w:w w:val="101"/>
          <w:sz w:val="20"/>
          <w:szCs w:val="20"/>
        </w:rPr>
        <w:t xml:space="preserve"> </w:t>
      </w:r>
      <w:r>
        <w:rPr>
          <w:spacing w:val="1"/>
          <w:sz w:val="20"/>
          <w:szCs w:val="20"/>
        </w:rPr>
        <w:t>建设中是值得的，超过这个界限就</w:t>
      </w:r>
      <w:r>
        <w:rPr>
          <w:sz w:val="20"/>
          <w:szCs w:val="20"/>
        </w:rPr>
        <w:t xml:space="preserve">  </w:t>
      </w:r>
      <w:r>
        <w:rPr>
          <w:spacing w:val="3"/>
          <w:sz w:val="20"/>
          <w:szCs w:val="20"/>
        </w:rPr>
        <w:t>是浪费。这是身处某一部门的管理人员和技术人员无法做到的。因此，信息系统从概</w:t>
      </w:r>
      <w:r>
        <w:rPr>
          <w:spacing w:val="2"/>
          <w:sz w:val="20"/>
          <w:szCs w:val="20"/>
        </w:rPr>
        <w:t>念到运行</w:t>
      </w:r>
      <w:r>
        <w:rPr>
          <w:sz w:val="20"/>
          <w:szCs w:val="20"/>
        </w:rPr>
        <w:t xml:space="preserve"> </w:t>
      </w:r>
      <w:r>
        <w:rPr>
          <w:spacing w:val="5"/>
          <w:sz w:val="20"/>
          <w:szCs w:val="20"/>
        </w:rPr>
        <w:t>都必须有组织高层管理人员介入。当然，这里的“介入”</w:t>
      </w:r>
      <w:r>
        <w:rPr>
          <w:spacing w:val="4"/>
          <w:sz w:val="20"/>
          <w:szCs w:val="20"/>
        </w:rPr>
        <w:t>有着特定的含义，可以是直接参加，</w:t>
      </w:r>
      <w:r>
        <w:rPr>
          <w:sz w:val="20"/>
          <w:szCs w:val="20"/>
        </w:rPr>
        <w:t xml:space="preserve"> </w:t>
      </w:r>
      <w:r>
        <w:rPr>
          <w:spacing w:val="-1"/>
          <w:sz w:val="20"/>
          <w:szCs w:val="20"/>
        </w:rPr>
        <w:t>也可以是决策或指导，还可以是在政治、经</w:t>
      </w:r>
      <w:r>
        <w:rPr>
          <w:spacing w:val="-2"/>
          <w:sz w:val="20"/>
          <w:szCs w:val="20"/>
        </w:rPr>
        <w:t>济、人事方面给予支持。</w:t>
      </w:r>
    </w:p>
    <w:p w14:paraId="097EE9F4">
      <w:pPr>
        <w:pStyle w:val="2"/>
        <w:spacing w:before="47" w:line="283" w:lineRule="auto"/>
        <w:ind w:right="279" w:firstLine="410"/>
        <w:rPr>
          <w:sz w:val="20"/>
          <w:szCs w:val="20"/>
        </w:rPr>
      </w:pPr>
      <w:r>
        <w:rPr>
          <w:spacing w:val="4"/>
          <w:sz w:val="20"/>
          <w:szCs w:val="20"/>
        </w:rPr>
        <w:t>需要说明的是，随着首席信息官</w:t>
      </w:r>
      <w:r>
        <w:rPr>
          <w:spacing w:val="-37"/>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Chief</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Information</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Officer</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CIO</w:t>
      </w:r>
      <w:r>
        <w:rPr>
          <w:rFonts w:ascii="Times New Roman" w:hAnsi="Times New Roman" w:eastAsia="Times New Roman" w:cs="Times New Roman"/>
          <w:spacing w:val="4"/>
          <w:sz w:val="20"/>
          <w:szCs w:val="20"/>
        </w:rPr>
        <w:t>)</w:t>
      </w:r>
      <w:r>
        <w:rPr>
          <w:rFonts w:ascii="Times New Roman" w:hAnsi="Times New Roman" w:eastAsia="Times New Roman" w:cs="Times New Roman"/>
          <w:spacing w:val="22"/>
          <w:w w:val="101"/>
          <w:sz w:val="20"/>
          <w:szCs w:val="20"/>
        </w:rPr>
        <w:t xml:space="preserve"> </w:t>
      </w:r>
      <w:r>
        <w:rPr>
          <w:spacing w:val="4"/>
          <w:sz w:val="20"/>
          <w:szCs w:val="20"/>
        </w:rPr>
        <w:t>的出现，高层管理人员</w:t>
      </w:r>
      <w:r>
        <w:rPr>
          <w:sz w:val="20"/>
          <w:szCs w:val="20"/>
        </w:rPr>
        <w:t xml:space="preserve"> </w:t>
      </w:r>
      <w:r>
        <w:rPr>
          <w:spacing w:val="3"/>
          <w:sz w:val="20"/>
          <w:szCs w:val="20"/>
        </w:rPr>
        <w:t>介入原则在现阶段已经逐步具体化。</w:t>
      </w:r>
      <w:r>
        <w:rPr>
          <w:rFonts w:ascii="Times New Roman" w:hAnsi="Times New Roman" w:eastAsia="Times New Roman" w:cs="Times New Roman"/>
          <w:sz w:val="20"/>
          <w:szCs w:val="20"/>
        </w:rPr>
        <w:t>CIO</w:t>
      </w:r>
      <w:r>
        <w:rPr>
          <w:rFonts w:ascii="Times New Roman" w:hAnsi="Times New Roman" w:eastAsia="Times New Roman" w:cs="Times New Roman"/>
          <w:spacing w:val="3"/>
          <w:sz w:val="20"/>
          <w:szCs w:val="20"/>
        </w:rPr>
        <w:t xml:space="preserve"> </w:t>
      </w:r>
      <w:r>
        <w:rPr>
          <w:spacing w:val="3"/>
          <w:sz w:val="20"/>
          <w:szCs w:val="20"/>
        </w:rPr>
        <w:t>是组织设置的相当于副总裁的高级职位，负责组织信</w:t>
      </w:r>
    </w:p>
    <w:p w14:paraId="26EC4DD1">
      <w:pPr>
        <w:spacing w:line="283" w:lineRule="auto"/>
        <w:rPr>
          <w:sz w:val="20"/>
          <w:szCs w:val="20"/>
        </w:rPr>
        <w:sectPr>
          <w:pgSz w:w="10290" w:h="13290"/>
          <w:pgMar w:top="400" w:right="563" w:bottom="400" w:left="1109" w:header="0" w:footer="0" w:gutter="0"/>
          <w:cols w:space="720" w:num="1"/>
        </w:sectPr>
      </w:pPr>
    </w:p>
    <w:p w14:paraId="5B9F72BC">
      <w:pPr>
        <w:pStyle w:val="2"/>
        <w:spacing w:before="88" w:line="219" w:lineRule="auto"/>
        <w:rPr>
          <w:sz w:val="20"/>
          <w:szCs w:val="20"/>
        </w:rPr>
      </w:pPr>
      <w:bookmarkStart w:id="507" w:name="bookmark494"/>
      <w:bookmarkEnd w:id="507"/>
      <w:r>
        <w:rPr>
          <w:rFonts w:ascii="Times New Roman" w:hAnsi="Times New Roman" w:eastAsia="Times New Roman" w:cs="Times New Roman"/>
          <w:spacing w:val="-3"/>
          <w:position w:val="1"/>
          <w:sz w:val="17"/>
          <w:szCs w:val="17"/>
        </w:rPr>
        <w:t>50</w:t>
      </w:r>
      <w:r>
        <w:rPr>
          <w:rFonts w:ascii="Times New Roman" w:hAnsi="Times New Roman" w:eastAsia="Times New Roman" w:cs="Times New Roman"/>
          <w:spacing w:val="1"/>
          <w:position w:val="1"/>
          <w:sz w:val="17"/>
          <w:szCs w:val="17"/>
        </w:rPr>
        <w:t xml:space="preserve">                 </w:t>
      </w:r>
      <w:r>
        <w:rPr>
          <w:spacing w:val="-3"/>
          <w:sz w:val="20"/>
          <w:szCs w:val="20"/>
        </w:rPr>
        <w:t>信息系统监理师教程(第2版)</w:t>
      </w:r>
    </w:p>
    <w:p w14:paraId="4929FC39">
      <w:pPr>
        <w:spacing w:line="306" w:lineRule="auto"/>
        <w:rPr>
          <w:rFonts w:ascii="Arial"/>
          <w:sz w:val="21"/>
        </w:rPr>
      </w:pPr>
    </w:p>
    <w:p w14:paraId="17B2B4B2">
      <w:pPr>
        <w:pStyle w:val="2"/>
        <w:spacing w:before="65" w:line="296" w:lineRule="auto"/>
        <w:ind w:left="280" w:right="70"/>
        <w:jc w:val="both"/>
        <w:rPr>
          <w:sz w:val="20"/>
          <w:szCs w:val="20"/>
        </w:rPr>
      </w:pPr>
      <w:r>
        <w:rPr>
          <w:spacing w:val="3"/>
          <w:sz w:val="20"/>
          <w:szCs w:val="20"/>
        </w:rPr>
        <w:t>息化的工作，主持制定组织信息规划、政策和标准，并对组织的信息资源进行管理控制。在大</w:t>
      </w:r>
      <w:r>
        <w:rPr>
          <w:spacing w:val="5"/>
          <w:sz w:val="20"/>
          <w:szCs w:val="20"/>
        </w:rPr>
        <w:t xml:space="preserve"> </w:t>
      </w:r>
      <w:r>
        <w:rPr>
          <w:spacing w:val="3"/>
          <w:sz w:val="20"/>
          <w:szCs w:val="20"/>
        </w:rPr>
        <w:t>多数组织中，</w:t>
      </w:r>
      <w:r>
        <w:rPr>
          <w:rFonts w:ascii="Times New Roman" w:hAnsi="Times New Roman" w:eastAsia="Times New Roman" w:cs="Times New Roman"/>
          <w:sz w:val="20"/>
          <w:szCs w:val="20"/>
        </w:rPr>
        <w:t>CIO</w:t>
      </w:r>
      <w:r>
        <w:rPr>
          <w:rFonts w:ascii="Times New Roman" w:hAnsi="Times New Roman" w:eastAsia="Times New Roman" w:cs="Times New Roman"/>
          <w:spacing w:val="23"/>
          <w:sz w:val="20"/>
          <w:szCs w:val="20"/>
        </w:rPr>
        <w:t xml:space="preserve"> </w:t>
      </w:r>
      <w:r>
        <w:rPr>
          <w:spacing w:val="3"/>
          <w:sz w:val="20"/>
          <w:szCs w:val="20"/>
        </w:rPr>
        <w:t>是组织最高管理层中的核心成员之一。</w:t>
      </w:r>
      <w:r>
        <w:rPr>
          <w:spacing w:val="2"/>
          <w:sz w:val="20"/>
          <w:szCs w:val="20"/>
        </w:rPr>
        <w:t>毫无疑问，深度介入信息系统建设及</w:t>
      </w:r>
      <w:r>
        <w:rPr>
          <w:sz w:val="20"/>
          <w:szCs w:val="20"/>
        </w:rPr>
        <w:t xml:space="preserve"> </w:t>
      </w:r>
      <w:r>
        <w:rPr>
          <w:spacing w:val="-1"/>
          <w:sz w:val="20"/>
          <w:szCs w:val="20"/>
        </w:rPr>
        <w:t>运行是</w:t>
      </w:r>
      <w:r>
        <w:rPr>
          <w:rFonts w:ascii="Times New Roman" w:hAnsi="Times New Roman" w:eastAsia="Times New Roman" w:cs="Times New Roman"/>
          <w:spacing w:val="-1"/>
          <w:sz w:val="20"/>
          <w:szCs w:val="20"/>
        </w:rPr>
        <w:t>CIO</w:t>
      </w:r>
      <w:r>
        <w:rPr>
          <w:rFonts w:ascii="Times New Roman" w:hAnsi="Times New Roman" w:eastAsia="Times New Roman" w:cs="Times New Roman"/>
          <w:spacing w:val="29"/>
          <w:w w:val="101"/>
          <w:sz w:val="20"/>
          <w:szCs w:val="20"/>
        </w:rPr>
        <w:t xml:space="preserve"> </w:t>
      </w:r>
      <w:r>
        <w:rPr>
          <w:spacing w:val="-1"/>
          <w:sz w:val="20"/>
          <w:szCs w:val="20"/>
        </w:rPr>
        <w:t>的职责所在。</w:t>
      </w:r>
    </w:p>
    <w:p w14:paraId="3FBCB546">
      <w:pPr>
        <w:spacing w:before="95" w:line="226" w:lineRule="auto"/>
        <w:ind w:left="680"/>
        <w:rPr>
          <w:rFonts w:ascii="楷体" w:hAnsi="楷体" w:eastAsia="楷体" w:cs="楷体"/>
          <w:sz w:val="20"/>
          <w:szCs w:val="20"/>
        </w:rPr>
      </w:pPr>
      <w:r>
        <w:rPr>
          <w:rFonts w:ascii="楷体" w:hAnsi="楷体" w:eastAsia="楷体" w:cs="楷体"/>
          <w:spacing w:val="11"/>
          <w:sz w:val="20"/>
          <w:szCs w:val="20"/>
        </w:rPr>
        <w:t>2)用户参与建设原则</w:t>
      </w:r>
    </w:p>
    <w:p w14:paraId="5D4E32A4">
      <w:pPr>
        <w:pStyle w:val="2"/>
        <w:spacing w:before="76" w:line="282" w:lineRule="auto"/>
        <w:ind w:left="680" w:right="1257"/>
        <w:rPr>
          <w:sz w:val="20"/>
          <w:szCs w:val="20"/>
        </w:rPr>
      </w:pPr>
      <w:r>
        <w:rPr>
          <w:spacing w:val="-2"/>
          <w:sz w:val="20"/>
          <w:szCs w:val="20"/>
        </w:rPr>
        <w:t>一个成功的信息系统，必须把用户放在第一位，用户参与建设包含如下含义：</w:t>
      </w:r>
      <w:r>
        <w:rPr>
          <w:spacing w:val="10"/>
          <w:sz w:val="20"/>
          <w:szCs w:val="20"/>
        </w:rPr>
        <w:t xml:space="preserve"> </w:t>
      </w:r>
      <w:r>
        <w:rPr>
          <w:spacing w:val="-2"/>
          <w:sz w:val="20"/>
          <w:szCs w:val="20"/>
        </w:rPr>
        <w:t>●“用户”有确定的范围。用户或核心用户是信息系统的使用者。</w:t>
      </w:r>
    </w:p>
    <w:p w14:paraId="1388A139">
      <w:pPr>
        <w:pStyle w:val="2"/>
        <w:spacing w:before="50" w:line="253" w:lineRule="auto"/>
        <w:ind w:left="950" w:right="71" w:hanging="270"/>
        <w:rPr>
          <w:sz w:val="20"/>
          <w:szCs w:val="20"/>
        </w:rPr>
      </w:pPr>
      <w:r>
        <w:rPr>
          <w:spacing w:val="3"/>
          <w:sz w:val="20"/>
          <w:szCs w:val="20"/>
        </w:rPr>
        <w:t>●用户，特别是核心用户应当参与信息系统全过程建设。即用户应当参与到从信息系统规</w:t>
      </w:r>
      <w:r>
        <w:rPr>
          <w:spacing w:val="10"/>
          <w:sz w:val="20"/>
          <w:szCs w:val="20"/>
        </w:rPr>
        <w:t xml:space="preserve"> </w:t>
      </w:r>
      <w:r>
        <w:rPr>
          <w:spacing w:val="-2"/>
          <w:sz w:val="20"/>
          <w:szCs w:val="20"/>
        </w:rPr>
        <w:t>划和设计阶段，直到系统运行的全过程中。</w:t>
      </w:r>
    </w:p>
    <w:p w14:paraId="129CE6CC">
      <w:pPr>
        <w:pStyle w:val="2"/>
        <w:spacing w:before="90" w:line="262" w:lineRule="auto"/>
        <w:ind w:left="950" w:right="91" w:hanging="270"/>
        <w:rPr>
          <w:sz w:val="20"/>
          <w:szCs w:val="20"/>
        </w:rPr>
      </w:pPr>
      <w:r>
        <w:rPr>
          <w:spacing w:val="1"/>
          <w:sz w:val="20"/>
          <w:szCs w:val="20"/>
        </w:rPr>
        <w:t>●用户应当深度参与系统建设。</w:t>
      </w:r>
      <w:r>
        <w:rPr>
          <w:spacing w:val="-32"/>
          <w:sz w:val="20"/>
          <w:szCs w:val="20"/>
        </w:rPr>
        <w:t xml:space="preserve"> </w:t>
      </w:r>
      <w:r>
        <w:rPr>
          <w:spacing w:val="1"/>
          <w:sz w:val="20"/>
          <w:szCs w:val="20"/>
        </w:rPr>
        <w:t>一般来说，参与建设的用户人员，既要以甲方代表的身份</w:t>
      </w:r>
      <w:r>
        <w:rPr>
          <w:sz w:val="20"/>
          <w:szCs w:val="20"/>
        </w:rPr>
        <w:t xml:space="preserve"> </w:t>
      </w:r>
      <w:r>
        <w:rPr>
          <w:spacing w:val="-1"/>
          <w:sz w:val="20"/>
          <w:szCs w:val="20"/>
        </w:rPr>
        <w:t>出现，又应作为真正的系统建设与开发人员，与其他</w:t>
      </w:r>
      <w:r>
        <w:rPr>
          <w:spacing w:val="-2"/>
          <w:sz w:val="20"/>
          <w:szCs w:val="20"/>
        </w:rPr>
        <w:t>开发人员融为一体。</w:t>
      </w:r>
    </w:p>
    <w:p w14:paraId="6F630DAE">
      <w:pPr>
        <w:spacing w:before="171" w:line="226" w:lineRule="auto"/>
        <w:ind w:left="680"/>
        <w:rPr>
          <w:rFonts w:ascii="楷体" w:hAnsi="楷体" w:eastAsia="楷体" w:cs="楷体"/>
          <w:sz w:val="20"/>
          <w:szCs w:val="20"/>
        </w:rPr>
      </w:pPr>
      <w:r>
        <w:rPr>
          <w:rFonts w:ascii="楷体" w:hAnsi="楷体" w:eastAsia="楷体" w:cs="楷体"/>
          <w:spacing w:val="11"/>
          <w:sz w:val="20"/>
          <w:szCs w:val="20"/>
        </w:rPr>
        <w:t>3)自顶向下规划原则</w:t>
      </w:r>
    </w:p>
    <w:p w14:paraId="33D26EA9">
      <w:pPr>
        <w:pStyle w:val="2"/>
        <w:spacing w:before="57" w:line="282" w:lineRule="auto"/>
        <w:ind w:left="280" w:firstLine="399"/>
        <w:jc w:val="both"/>
        <w:rPr>
          <w:sz w:val="20"/>
          <w:szCs w:val="20"/>
        </w:rPr>
      </w:pPr>
      <w:r>
        <w:rPr>
          <w:spacing w:val="3"/>
          <w:sz w:val="20"/>
          <w:szCs w:val="20"/>
        </w:rPr>
        <w:t>在信息系统建设开发过程中，经常出现信息不一致的问题，这种问题对于信息系统往往是</w:t>
      </w:r>
      <w:r>
        <w:rPr>
          <w:spacing w:val="12"/>
          <w:sz w:val="20"/>
          <w:szCs w:val="20"/>
        </w:rPr>
        <w:t xml:space="preserve"> </w:t>
      </w:r>
      <w:r>
        <w:rPr>
          <w:spacing w:val="3"/>
          <w:sz w:val="20"/>
          <w:szCs w:val="20"/>
        </w:rPr>
        <w:t xml:space="preserve">致命的，有时可能会造成信息系统的报废。研究表明，信息的不一致是由计算机应用的历史性 </w:t>
      </w:r>
      <w:r>
        <w:rPr>
          <w:spacing w:val="5"/>
          <w:sz w:val="20"/>
          <w:szCs w:val="20"/>
        </w:rPr>
        <w:t>演变造成的，它通常发生在没有一个总体规划的指导就开始后续的设计实现的</w:t>
      </w:r>
      <w:r>
        <w:rPr>
          <w:spacing w:val="4"/>
          <w:sz w:val="20"/>
          <w:szCs w:val="20"/>
        </w:rPr>
        <w:t>情况下。因此，</w:t>
      </w:r>
      <w:r>
        <w:rPr>
          <w:sz w:val="20"/>
          <w:szCs w:val="20"/>
        </w:rPr>
        <w:t xml:space="preserve"> </w:t>
      </w:r>
      <w:r>
        <w:rPr>
          <w:spacing w:val="3"/>
          <w:sz w:val="20"/>
          <w:szCs w:val="20"/>
        </w:rPr>
        <w:t>坚持自顶向下规划原则对于信息系统的建设和开发至关重要。自顶向下规划的主要目标是达到</w:t>
      </w:r>
      <w:r>
        <w:rPr>
          <w:spacing w:val="9"/>
          <w:sz w:val="20"/>
          <w:szCs w:val="20"/>
        </w:rPr>
        <w:t xml:space="preserve"> </w:t>
      </w:r>
      <w:r>
        <w:rPr>
          <w:spacing w:val="3"/>
          <w:sz w:val="20"/>
          <w:szCs w:val="20"/>
        </w:rPr>
        <w:t>信息的一致性，但是自顶向下规划不能取代信息系统的详细设计，应鼓励</w:t>
      </w:r>
      <w:r>
        <w:rPr>
          <w:spacing w:val="2"/>
          <w:sz w:val="20"/>
          <w:szCs w:val="20"/>
        </w:rPr>
        <w:t>信息系统各子系统的</w:t>
      </w:r>
      <w:r>
        <w:rPr>
          <w:sz w:val="20"/>
          <w:szCs w:val="20"/>
        </w:rPr>
        <w:t xml:space="preserve">  </w:t>
      </w:r>
      <w:r>
        <w:rPr>
          <w:spacing w:val="-3"/>
          <w:sz w:val="20"/>
          <w:szCs w:val="20"/>
        </w:rPr>
        <w:t>设计者在总体规划的指导下进行设计。</w:t>
      </w:r>
    </w:p>
    <w:p w14:paraId="06A436B3">
      <w:pPr>
        <w:spacing w:before="155" w:line="226" w:lineRule="auto"/>
        <w:ind w:left="680"/>
        <w:rPr>
          <w:rFonts w:ascii="楷体" w:hAnsi="楷体" w:eastAsia="楷体" w:cs="楷体"/>
          <w:sz w:val="20"/>
          <w:szCs w:val="20"/>
        </w:rPr>
      </w:pPr>
      <w:r>
        <w:rPr>
          <w:rFonts w:ascii="楷体" w:hAnsi="楷体" w:eastAsia="楷体" w:cs="楷体"/>
          <w:spacing w:val="15"/>
          <w:sz w:val="20"/>
          <w:szCs w:val="20"/>
        </w:rPr>
        <w:t>4)工程化原则</w:t>
      </w:r>
    </w:p>
    <w:p w14:paraId="75019190">
      <w:pPr>
        <w:pStyle w:val="2"/>
        <w:spacing w:before="48" w:line="279" w:lineRule="auto"/>
        <w:ind w:left="280" w:firstLine="399"/>
        <w:rPr>
          <w:sz w:val="20"/>
          <w:szCs w:val="20"/>
        </w:rPr>
      </w:pPr>
      <w:r>
        <w:rPr>
          <w:spacing w:val="8"/>
          <w:sz w:val="20"/>
          <w:szCs w:val="20"/>
        </w:rPr>
        <w:t>20世纪70年代，出现了世界范围的软件危机，即一个软件编制完成后，无法保证它能够</w:t>
      </w:r>
      <w:r>
        <w:rPr>
          <w:spacing w:val="9"/>
          <w:sz w:val="20"/>
          <w:szCs w:val="20"/>
        </w:rPr>
        <w:t xml:space="preserve"> </w:t>
      </w:r>
      <w:r>
        <w:rPr>
          <w:spacing w:val="5"/>
          <w:sz w:val="20"/>
          <w:szCs w:val="20"/>
        </w:rPr>
        <w:t>正确地运行，也就是软件的可靠性存在问题。软件危机一度引起人们，特别是</w:t>
      </w:r>
      <w:r>
        <w:rPr>
          <w:spacing w:val="4"/>
          <w:sz w:val="20"/>
          <w:szCs w:val="20"/>
        </w:rPr>
        <w:t>工业界的恐慌。</w:t>
      </w:r>
      <w:r>
        <w:rPr>
          <w:sz w:val="20"/>
          <w:szCs w:val="20"/>
        </w:rPr>
        <w:t xml:space="preserve"> </w:t>
      </w:r>
      <w:r>
        <w:rPr>
          <w:spacing w:val="3"/>
          <w:sz w:val="20"/>
          <w:szCs w:val="20"/>
        </w:rPr>
        <w:t>经过探索，人们认识到软件危机是因为软件产品是一种个体劳动产品。因此，没有工程化是软</w:t>
      </w:r>
      <w:r>
        <w:rPr>
          <w:spacing w:val="5"/>
          <w:sz w:val="20"/>
          <w:szCs w:val="20"/>
        </w:rPr>
        <w:t xml:space="preserve"> </w:t>
      </w:r>
      <w:r>
        <w:rPr>
          <w:spacing w:val="-1"/>
          <w:sz w:val="20"/>
          <w:szCs w:val="20"/>
        </w:rPr>
        <w:t>件危机发生的根本原因，此后，软件工程学科得以发展，在一定程度上解决了软件危机。</w:t>
      </w:r>
    </w:p>
    <w:p w14:paraId="5D7A909B">
      <w:pPr>
        <w:pStyle w:val="2"/>
        <w:spacing w:before="49" w:line="281" w:lineRule="auto"/>
        <w:ind w:left="280" w:right="71" w:firstLine="399"/>
        <w:rPr>
          <w:sz w:val="20"/>
          <w:szCs w:val="20"/>
        </w:rPr>
      </w:pPr>
      <w:r>
        <w:rPr>
          <w:spacing w:val="3"/>
          <w:sz w:val="20"/>
          <w:szCs w:val="20"/>
        </w:rPr>
        <w:t>信息系统也经历了与软件开发大致相同的历程。在信息系统发展的</w:t>
      </w:r>
      <w:r>
        <w:rPr>
          <w:spacing w:val="2"/>
          <w:sz w:val="20"/>
          <w:szCs w:val="20"/>
        </w:rPr>
        <w:t>初期，人们也像软件开</w:t>
      </w:r>
      <w:r>
        <w:rPr>
          <w:sz w:val="20"/>
          <w:szCs w:val="20"/>
        </w:rPr>
        <w:t xml:space="preserve"> </w:t>
      </w:r>
      <w:r>
        <w:rPr>
          <w:spacing w:val="3"/>
          <w:sz w:val="20"/>
          <w:szCs w:val="20"/>
        </w:rPr>
        <w:t>发初期一样，只要做出来就行，根本不在乎具体的实现过程。这时的信息系统，大多是少数开</w:t>
      </w:r>
      <w:r>
        <w:rPr>
          <w:spacing w:val="4"/>
          <w:sz w:val="20"/>
          <w:szCs w:val="20"/>
        </w:rPr>
        <w:t xml:space="preserve"> </w:t>
      </w:r>
      <w:r>
        <w:rPr>
          <w:spacing w:val="1"/>
          <w:sz w:val="20"/>
          <w:szCs w:val="20"/>
        </w:rPr>
        <w:t>发者的“专利”,系统可维护性、可扩展性都比较差。后</w:t>
      </w:r>
      <w:r>
        <w:rPr>
          <w:sz w:val="20"/>
          <w:szCs w:val="20"/>
        </w:rPr>
        <w:t xml:space="preserve">来，信息工程、系统工程等工程化方法 </w:t>
      </w:r>
      <w:r>
        <w:rPr>
          <w:spacing w:val="3"/>
          <w:sz w:val="20"/>
          <w:szCs w:val="20"/>
        </w:rPr>
        <w:t>被引入到信息系统建设过程中，才使问题得到一定程度的解决。因此，工程化不仅是一种有效</w:t>
      </w:r>
      <w:r>
        <w:rPr>
          <w:spacing w:val="4"/>
          <w:sz w:val="20"/>
          <w:szCs w:val="20"/>
        </w:rPr>
        <w:t xml:space="preserve"> </w:t>
      </w:r>
      <w:r>
        <w:rPr>
          <w:spacing w:val="-3"/>
          <w:sz w:val="20"/>
          <w:szCs w:val="20"/>
        </w:rPr>
        <w:t>的方法，也是信息系统建设开发的一项重要原则。</w:t>
      </w:r>
    </w:p>
    <w:p w14:paraId="7EF16C69">
      <w:pPr>
        <w:spacing w:before="127" w:line="225" w:lineRule="auto"/>
        <w:ind w:left="680"/>
        <w:rPr>
          <w:rFonts w:ascii="楷体" w:hAnsi="楷体" w:eastAsia="楷体" w:cs="楷体"/>
          <w:sz w:val="20"/>
          <w:szCs w:val="20"/>
        </w:rPr>
      </w:pPr>
      <w:r>
        <w:rPr>
          <w:rFonts w:ascii="楷体" w:hAnsi="楷体" w:eastAsia="楷体" w:cs="楷体"/>
          <w:spacing w:val="18"/>
          <w:sz w:val="20"/>
          <w:szCs w:val="20"/>
        </w:rPr>
        <w:t>5)其他原则</w:t>
      </w:r>
    </w:p>
    <w:p w14:paraId="2CEC5F86">
      <w:pPr>
        <w:pStyle w:val="2"/>
        <w:spacing w:before="56" w:line="278" w:lineRule="auto"/>
        <w:ind w:left="280" w:right="66" w:firstLine="399"/>
        <w:rPr>
          <w:sz w:val="20"/>
          <w:szCs w:val="20"/>
        </w:rPr>
      </w:pPr>
      <w:r>
        <w:rPr>
          <w:spacing w:val="3"/>
          <w:sz w:val="20"/>
          <w:szCs w:val="20"/>
        </w:rPr>
        <w:t>对于信息系统建设，人们还从不同角度提出了一系列原则，主要包括：创新性原则，用于</w:t>
      </w:r>
      <w:r>
        <w:rPr>
          <w:spacing w:val="14"/>
          <w:sz w:val="20"/>
          <w:szCs w:val="20"/>
        </w:rPr>
        <w:t xml:space="preserve"> </w:t>
      </w:r>
      <w:r>
        <w:rPr>
          <w:spacing w:val="3"/>
          <w:sz w:val="20"/>
          <w:szCs w:val="20"/>
        </w:rPr>
        <w:t>体现信息系统的先进性；整体性原则，用于体现信息系统的完整性；发展性原则，用于体现信</w:t>
      </w:r>
      <w:r>
        <w:rPr>
          <w:spacing w:val="9"/>
          <w:sz w:val="20"/>
          <w:szCs w:val="20"/>
        </w:rPr>
        <w:t xml:space="preserve"> </w:t>
      </w:r>
      <w:r>
        <w:rPr>
          <w:spacing w:val="-2"/>
          <w:sz w:val="20"/>
          <w:szCs w:val="20"/>
        </w:rPr>
        <w:t>息系统的前瞻性；经济性原则，用于体现信息系统的实用性等。</w:t>
      </w:r>
    </w:p>
    <w:p w14:paraId="3151B7F0">
      <w:pPr>
        <w:spacing w:line="272" w:lineRule="auto"/>
        <w:rPr>
          <w:rFonts w:ascii="Arial"/>
          <w:sz w:val="21"/>
        </w:rPr>
      </w:pPr>
    </w:p>
    <w:p w14:paraId="65A5D2DE">
      <w:pPr>
        <w:pStyle w:val="2"/>
        <w:spacing w:before="92" w:line="221" w:lineRule="auto"/>
        <w:ind w:left="284"/>
        <w:rPr>
          <w:rFonts w:ascii="黑体" w:hAnsi="黑体" w:eastAsia="黑体" w:cs="黑体"/>
          <w:sz w:val="28"/>
          <w:szCs w:val="28"/>
        </w:rPr>
      </w:pPr>
      <w:r>
        <w:rPr>
          <w:b/>
          <w:bCs/>
          <w:color w:val="0069D3"/>
          <w:spacing w:val="-7"/>
          <w:sz w:val="28"/>
          <w:szCs w:val="28"/>
        </w:rPr>
        <w:t>2.2</w:t>
      </w:r>
      <w:r>
        <w:rPr>
          <w:color w:val="0069D3"/>
          <w:spacing w:val="125"/>
          <w:sz w:val="28"/>
          <w:szCs w:val="28"/>
        </w:rPr>
        <w:t xml:space="preserve"> </w:t>
      </w:r>
      <w:r>
        <w:rPr>
          <w:rFonts w:ascii="黑体" w:hAnsi="黑体" w:eastAsia="黑体" w:cs="黑体"/>
          <w:b/>
          <w:bCs/>
          <w:color w:val="0069D3"/>
          <w:spacing w:val="-7"/>
          <w:sz w:val="28"/>
          <w:szCs w:val="28"/>
        </w:rPr>
        <w:t>系统工程</w:t>
      </w:r>
    </w:p>
    <w:p w14:paraId="3A5558E5">
      <w:pPr>
        <w:pStyle w:val="2"/>
        <w:spacing w:before="268" w:line="263" w:lineRule="auto"/>
        <w:ind w:left="280" w:right="68" w:firstLine="399"/>
        <w:rPr>
          <w:sz w:val="20"/>
          <w:szCs w:val="20"/>
        </w:rPr>
      </w:pPr>
      <w:r>
        <w:rPr>
          <w:spacing w:val="3"/>
          <w:sz w:val="20"/>
          <w:szCs w:val="20"/>
        </w:rPr>
        <w:t>系统工程是一种组织管理技术。所谓系统，首先是把要研究的对象或工程管理问题看作一</w:t>
      </w:r>
      <w:r>
        <w:rPr>
          <w:spacing w:val="13"/>
          <w:sz w:val="20"/>
          <w:szCs w:val="20"/>
        </w:rPr>
        <w:t xml:space="preserve"> </w:t>
      </w:r>
      <w:r>
        <w:rPr>
          <w:spacing w:val="-2"/>
          <w:sz w:val="20"/>
          <w:szCs w:val="20"/>
        </w:rPr>
        <w:t>个由很多相互联系、相互制约的组成部分构成的总体，然后运用运筹学的理论和方法及计算机技</w:t>
      </w:r>
    </w:p>
    <w:p w14:paraId="34C303AD">
      <w:pPr>
        <w:spacing w:line="263" w:lineRule="auto"/>
        <w:rPr>
          <w:sz w:val="20"/>
          <w:szCs w:val="20"/>
        </w:rPr>
        <w:sectPr>
          <w:pgSz w:w="10330" w:h="13420"/>
          <w:pgMar w:top="400" w:right="1089" w:bottom="400" w:left="559" w:header="0" w:footer="0" w:gutter="0"/>
          <w:cols w:space="720" w:num="1"/>
        </w:sectPr>
      </w:pPr>
    </w:p>
    <w:p w14:paraId="04C2EA99">
      <w:pPr>
        <w:pStyle w:val="2"/>
        <w:spacing w:before="66" w:line="219" w:lineRule="auto"/>
        <w:jc w:val="right"/>
        <w:rPr>
          <w:rFonts w:ascii="Times New Roman" w:hAnsi="Times New Roman" w:eastAsia="Times New Roman" w:cs="Times New Roman"/>
          <w:sz w:val="17"/>
          <w:szCs w:val="17"/>
        </w:rPr>
      </w:pPr>
      <w:r>
        <w:rPr>
          <w:spacing w:val="-2"/>
          <w:sz w:val="20"/>
          <w:szCs w:val="20"/>
        </w:rPr>
        <w:t>第2章 信息系统工程</w:t>
      </w:r>
      <w:r>
        <w:rPr>
          <w:spacing w:val="12"/>
          <w:sz w:val="20"/>
          <w:szCs w:val="20"/>
        </w:rPr>
        <w:t xml:space="preserve">      </w:t>
      </w:r>
      <w:r>
        <w:rPr>
          <w:rFonts w:ascii="Times New Roman" w:hAnsi="Times New Roman" w:eastAsia="Times New Roman" w:cs="Times New Roman"/>
          <w:spacing w:val="-2"/>
          <w:position w:val="1"/>
          <w:sz w:val="17"/>
          <w:szCs w:val="17"/>
        </w:rPr>
        <w:t>51</w:t>
      </w:r>
    </w:p>
    <w:p w14:paraId="42D9A335">
      <w:pPr>
        <w:spacing w:line="295" w:lineRule="auto"/>
        <w:rPr>
          <w:rFonts w:ascii="Arial"/>
          <w:sz w:val="21"/>
        </w:rPr>
      </w:pPr>
    </w:p>
    <w:p w14:paraId="6C5AE4AA">
      <w:pPr>
        <w:pStyle w:val="2"/>
        <w:spacing w:before="65" w:line="218" w:lineRule="auto"/>
        <w:rPr>
          <w:sz w:val="20"/>
          <w:szCs w:val="20"/>
        </w:rPr>
      </w:pPr>
      <w:r>
        <w:rPr>
          <w:spacing w:val="-3"/>
          <w:sz w:val="20"/>
          <w:szCs w:val="20"/>
        </w:rPr>
        <w:t>术，对构成系统的各组成部分进行分析、预测和评价，最后进行综合，从而使该系统达到最优。</w:t>
      </w:r>
    </w:p>
    <w:p w14:paraId="7416FCA7">
      <w:pPr>
        <w:pStyle w:val="2"/>
        <w:spacing w:before="254" w:line="220" w:lineRule="auto"/>
        <w:ind w:left="2"/>
        <w:rPr>
          <w:sz w:val="25"/>
          <w:szCs w:val="25"/>
        </w:rPr>
      </w:pPr>
      <w:r>
        <w:rPr>
          <w:b/>
          <w:bCs/>
          <w:color w:val="0078F1"/>
          <w:spacing w:val="-18"/>
          <w:sz w:val="25"/>
          <w:szCs w:val="25"/>
        </w:rPr>
        <w:t>2.2.1</w:t>
      </w:r>
      <w:r>
        <w:rPr>
          <w:color w:val="0078F1"/>
          <w:spacing w:val="90"/>
          <w:sz w:val="25"/>
          <w:szCs w:val="25"/>
        </w:rPr>
        <w:t xml:space="preserve"> </w:t>
      </w:r>
      <w:r>
        <w:rPr>
          <w:b/>
          <w:bCs/>
          <w:color w:val="0078F1"/>
          <w:spacing w:val="-18"/>
          <w:sz w:val="25"/>
          <w:szCs w:val="25"/>
        </w:rPr>
        <w:t>系统工程方法</w:t>
      </w:r>
    </w:p>
    <w:p w14:paraId="4CA0CCED">
      <w:pPr>
        <w:pStyle w:val="2"/>
        <w:spacing w:before="151" w:line="291" w:lineRule="auto"/>
        <w:ind w:right="239" w:firstLine="410"/>
        <w:rPr>
          <w:sz w:val="20"/>
          <w:szCs w:val="20"/>
        </w:rPr>
      </w:pPr>
      <w:r>
        <w:rPr>
          <w:spacing w:val="3"/>
          <w:sz w:val="20"/>
          <w:szCs w:val="20"/>
        </w:rPr>
        <w:t>系统工程方法针对将要解决的问题及相关情况进行分门别类地处理并确定边界，强调各门</w:t>
      </w:r>
      <w:r>
        <w:rPr>
          <w:spacing w:val="14"/>
          <w:sz w:val="20"/>
          <w:szCs w:val="20"/>
        </w:rPr>
        <w:t xml:space="preserve"> </w:t>
      </w:r>
      <w:r>
        <w:rPr>
          <w:sz w:val="20"/>
          <w:szCs w:val="20"/>
        </w:rPr>
        <w:t>类之间和各门类内部因素之间内在联系的完整性和整体性。系统工程</w:t>
      </w:r>
      <w:r>
        <w:rPr>
          <w:spacing w:val="-1"/>
          <w:sz w:val="20"/>
          <w:szCs w:val="20"/>
        </w:rPr>
        <w:t>方法主要包括以下几种。</w:t>
      </w:r>
    </w:p>
    <w:p w14:paraId="049AEC13">
      <w:pPr>
        <w:spacing w:before="106" w:line="222" w:lineRule="auto"/>
        <w:ind w:left="410"/>
        <w:rPr>
          <w:rFonts w:ascii="楷体" w:hAnsi="楷体" w:eastAsia="楷体" w:cs="楷体"/>
          <w:sz w:val="20"/>
          <w:szCs w:val="20"/>
        </w:rPr>
      </w:pPr>
      <w:r>
        <w:rPr>
          <w:rFonts w:ascii="楷体" w:hAnsi="楷体" w:eastAsia="楷体" w:cs="楷体"/>
          <w:spacing w:val="9"/>
          <w:sz w:val="20"/>
          <w:szCs w:val="20"/>
        </w:rPr>
        <w:t>1)霍尔三维结构</w:t>
      </w:r>
    </w:p>
    <w:p w14:paraId="66388684">
      <w:pPr>
        <w:pStyle w:val="2"/>
        <w:spacing w:before="32" w:line="294" w:lineRule="auto"/>
        <w:ind w:right="191" w:firstLine="410"/>
        <w:rPr>
          <w:sz w:val="20"/>
          <w:szCs w:val="20"/>
        </w:rPr>
      </w:pPr>
      <w:r>
        <w:rPr>
          <w:spacing w:val="6"/>
          <w:sz w:val="20"/>
          <w:szCs w:val="20"/>
        </w:rPr>
        <w:t>霍尔三维结构又称霍尔的系统工程，是美国系统工程专家霍尔</w:t>
      </w:r>
      <w:r>
        <w:rPr>
          <w:spacing w:val="-49"/>
          <w:sz w:val="20"/>
          <w:szCs w:val="20"/>
        </w:rPr>
        <w:t xml:space="preserve"> </w:t>
      </w:r>
      <w:r>
        <w:rPr>
          <w:rFonts w:ascii="Times New Roman" w:hAnsi="Times New Roman" w:eastAsia="Times New Roman" w:cs="Times New Roman"/>
          <w:spacing w:val="6"/>
          <w:sz w:val="20"/>
          <w:szCs w:val="20"/>
        </w:rPr>
        <w:t>(A.D.</w:t>
      </w:r>
      <w:r>
        <w:rPr>
          <w:rFonts w:ascii="Times New Roman" w:hAnsi="Times New Roman" w:eastAsia="Times New Roman" w:cs="Times New Roman"/>
          <w:sz w:val="20"/>
          <w:szCs w:val="20"/>
        </w:rPr>
        <w:t>Hall</w:t>
      </w:r>
      <w:r>
        <w:rPr>
          <w:rFonts w:ascii="Times New Roman" w:hAnsi="Times New Roman" w:eastAsia="Times New Roman" w:cs="Times New Roman"/>
          <w:spacing w:val="6"/>
          <w:sz w:val="20"/>
          <w:szCs w:val="20"/>
        </w:rPr>
        <w:t xml:space="preserve">)   </w:t>
      </w:r>
      <w:r>
        <w:rPr>
          <w:spacing w:val="6"/>
          <w:sz w:val="20"/>
          <w:szCs w:val="20"/>
        </w:rPr>
        <w:t>等人在大量工</w:t>
      </w:r>
      <w:r>
        <w:rPr>
          <w:sz w:val="20"/>
          <w:szCs w:val="20"/>
        </w:rPr>
        <w:t xml:space="preserve"> </w:t>
      </w:r>
      <w:r>
        <w:rPr>
          <w:spacing w:val="8"/>
          <w:sz w:val="20"/>
          <w:szCs w:val="20"/>
        </w:rPr>
        <w:t>程实践的基础上，于1969年提出的一种系统工程方法论。其内容可以直观</w:t>
      </w:r>
      <w:r>
        <w:rPr>
          <w:spacing w:val="7"/>
          <w:sz w:val="20"/>
          <w:szCs w:val="20"/>
        </w:rPr>
        <w:t>展示在系统工程各</w:t>
      </w:r>
      <w:r>
        <w:rPr>
          <w:sz w:val="20"/>
          <w:szCs w:val="20"/>
        </w:rPr>
        <w:t xml:space="preserve"> </w:t>
      </w:r>
      <w:r>
        <w:rPr>
          <w:spacing w:val="2"/>
          <w:sz w:val="20"/>
          <w:szCs w:val="20"/>
        </w:rPr>
        <w:t>项工作内容的三维结构图中，如图2-5所示。霍尔三维结构集中体现了系统工程方法的系统化、</w:t>
      </w:r>
      <w:r>
        <w:rPr>
          <w:spacing w:val="3"/>
          <w:sz w:val="20"/>
          <w:szCs w:val="20"/>
        </w:rPr>
        <w:t xml:space="preserve"> </w:t>
      </w:r>
      <w:r>
        <w:rPr>
          <w:spacing w:val="-1"/>
          <w:sz w:val="20"/>
          <w:szCs w:val="20"/>
        </w:rPr>
        <w:t>综合化、最优化、程序化和标准化等特点，是系统工程方法</w:t>
      </w:r>
      <w:r>
        <w:rPr>
          <w:spacing w:val="-2"/>
          <w:sz w:val="20"/>
          <w:szCs w:val="20"/>
        </w:rPr>
        <w:t>论的重要基础。</w:t>
      </w:r>
    </w:p>
    <w:p w14:paraId="6F28E39D">
      <w:pPr>
        <w:spacing w:before="80" w:line="4710" w:lineRule="exact"/>
        <w:ind w:firstLine="1530"/>
      </w:pPr>
      <w:r>
        <w:rPr>
          <w:position w:val="-94"/>
        </w:rPr>
        <w:drawing>
          <wp:inline distT="0" distB="0" distL="0" distR="0">
            <wp:extent cx="3429000" cy="299085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9"/>
                    <a:stretch>
                      <a:fillRect/>
                    </a:stretch>
                  </pic:blipFill>
                  <pic:spPr>
                    <a:xfrm>
                      <a:off x="0" y="0"/>
                      <a:ext cx="3429043" cy="2990889"/>
                    </a:xfrm>
                    <a:prstGeom prst="rect">
                      <a:avLst/>
                    </a:prstGeom>
                  </pic:spPr>
                </pic:pic>
              </a:graphicData>
            </a:graphic>
          </wp:inline>
        </w:drawing>
      </w:r>
    </w:p>
    <w:p w14:paraId="7E2F6B73">
      <w:pPr>
        <w:pStyle w:val="2"/>
        <w:spacing w:before="119" w:line="220" w:lineRule="auto"/>
        <w:ind w:left="3320"/>
        <w:rPr>
          <w:sz w:val="20"/>
          <w:szCs w:val="20"/>
        </w:rPr>
      </w:pPr>
      <w:r>
        <w:rPr>
          <w:spacing w:val="-11"/>
          <w:sz w:val="20"/>
          <w:szCs w:val="20"/>
        </w:rPr>
        <w:t>图2-5</w:t>
      </w:r>
      <w:r>
        <w:rPr>
          <w:spacing w:val="57"/>
          <w:sz w:val="20"/>
          <w:szCs w:val="20"/>
        </w:rPr>
        <w:t xml:space="preserve"> </w:t>
      </w:r>
      <w:r>
        <w:rPr>
          <w:spacing w:val="-11"/>
          <w:sz w:val="20"/>
          <w:szCs w:val="20"/>
        </w:rPr>
        <w:t>霍尔三维结构</w:t>
      </w:r>
    </w:p>
    <w:p w14:paraId="15CBDA4C">
      <w:pPr>
        <w:pStyle w:val="2"/>
        <w:spacing w:before="181" w:line="274" w:lineRule="auto"/>
        <w:ind w:right="237" w:firstLine="410"/>
        <w:jc w:val="both"/>
        <w:rPr>
          <w:sz w:val="20"/>
          <w:szCs w:val="20"/>
        </w:rPr>
      </w:pPr>
      <w:r>
        <w:rPr>
          <w:spacing w:val="3"/>
          <w:sz w:val="20"/>
          <w:szCs w:val="20"/>
        </w:rPr>
        <w:t>霍尔三维结构将系统工程的整个活动过程分为前后紧密衔接的七个阶段和七个步骤，同时</w:t>
      </w:r>
      <w:r>
        <w:rPr>
          <w:spacing w:val="4"/>
          <w:sz w:val="20"/>
          <w:szCs w:val="20"/>
        </w:rPr>
        <w:t xml:space="preserve"> </w:t>
      </w:r>
      <w:r>
        <w:rPr>
          <w:spacing w:val="3"/>
          <w:sz w:val="20"/>
          <w:szCs w:val="20"/>
        </w:rPr>
        <w:t>还考虑了为完成这些阶段和步骤所需要的各种专业知识和技能。这样，就形成了由时间维、逻</w:t>
      </w:r>
      <w:r>
        <w:rPr>
          <w:spacing w:val="4"/>
          <w:sz w:val="20"/>
          <w:szCs w:val="20"/>
        </w:rPr>
        <w:t xml:space="preserve"> </w:t>
      </w:r>
      <w:r>
        <w:rPr>
          <w:spacing w:val="3"/>
          <w:sz w:val="20"/>
          <w:szCs w:val="20"/>
        </w:rPr>
        <w:t>辑维和知识维组成的三维空间结构。其中，时间维表示系统工程活动从开始到结束按时间顺序</w:t>
      </w:r>
      <w:r>
        <w:rPr>
          <w:spacing w:val="8"/>
          <w:sz w:val="20"/>
          <w:szCs w:val="20"/>
        </w:rPr>
        <w:t xml:space="preserve"> </w:t>
      </w:r>
      <w:r>
        <w:rPr>
          <w:spacing w:val="3"/>
          <w:sz w:val="20"/>
          <w:szCs w:val="20"/>
        </w:rPr>
        <w:t>排列的全过程，分为规划、制定方案、研制、生产、安装、运行、更新七个时间阶段。逻辑维</w:t>
      </w:r>
      <w:r>
        <w:rPr>
          <w:spacing w:val="5"/>
          <w:sz w:val="20"/>
          <w:szCs w:val="20"/>
        </w:rPr>
        <w:t xml:space="preserve"> </w:t>
      </w:r>
      <w:r>
        <w:rPr>
          <w:spacing w:val="3"/>
          <w:sz w:val="20"/>
          <w:szCs w:val="20"/>
        </w:rPr>
        <w:t>是指时间维的每个阶段内所要进行的工作内容和应该遵循的思维程序，包括问题确定、目标确</w:t>
      </w:r>
      <w:r>
        <w:rPr>
          <w:spacing w:val="11"/>
          <w:sz w:val="20"/>
          <w:szCs w:val="20"/>
        </w:rPr>
        <w:t xml:space="preserve"> </w:t>
      </w:r>
      <w:r>
        <w:rPr>
          <w:spacing w:val="4"/>
          <w:sz w:val="20"/>
          <w:szCs w:val="20"/>
        </w:rPr>
        <w:t>定、系统综合、系统分析、方案选择、评价、</w:t>
      </w:r>
      <w:r>
        <w:rPr>
          <w:spacing w:val="3"/>
          <w:sz w:val="20"/>
          <w:szCs w:val="20"/>
        </w:rPr>
        <w:t>决策、实施计划七个逻辑步骤。知识维需要运用</w:t>
      </w:r>
      <w:r>
        <w:rPr>
          <w:sz w:val="20"/>
          <w:szCs w:val="20"/>
        </w:rPr>
        <w:t xml:space="preserve"> </w:t>
      </w:r>
      <w:r>
        <w:rPr>
          <w:spacing w:val="3"/>
          <w:sz w:val="20"/>
          <w:szCs w:val="20"/>
        </w:rPr>
        <w:t>包括工程、医学、建筑、商业、法律、管理、社会科学、艺术在内的各种知识和技能。霍尔三</w:t>
      </w:r>
      <w:r>
        <w:rPr>
          <w:spacing w:val="4"/>
          <w:sz w:val="20"/>
          <w:szCs w:val="20"/>
        </w:rPr>
        <w:t xml:space="preserve"> </w:t>
      </w:r>
      <w:r>
        <w:rPr>
          <w:spacing w:val="3"/>
          <w:sz w:val="20"/>
          <w:szCs w:val="20"/>
        </w:rPr>
        <w:t>维结构形象地描述了系统工程研究的框架，对其中任意一个阶段和步骤又可以进一步展开，形</w:t>
      </w:r>
      <w:r>
        <w:rPr>
          <w:spacing w:val="5"/>
          <w:sz w:val="20"/>
          <w:szCs w:val="20"/>
        </w:rPr>
        <w:t xml:space="preserve"> </w:t>
      </w:r>
      <w:r>
        <w:rPr>
          <w:spacing w:val="-4"/>
          <w:sz w:val="20"/>
          <w:szCs w:val="20"/>
        </w:rPr>
        <w:t>成分层次的树状体系。</w:t>
      </w:r>
    </w:p>
    <w:p w14:paraId="650D1113">
      <w:pPr>
        <w:pStyle w:val="2"/>
        <w:spacing w:before="97" w:line="219" w:lineRule="auto"/>
        <w:ind w:left="410"/>
        <w:rPr>
          <w:sz w:val="20"/>
          <w:szCs w:val="20"/>
        </w:rPr>
      </w:pPr>
      <w:r>
        <w:rPr>
          <w:spacing w:val="3"/>
          <w:sz w:val="20"/>
          <w:szCs w:val="20"/>
        </w:rPr>
        <w:t>霍尔三维结构的出现，为解决大型复杂系统的规划、组织、管理提供了一种统一的思想和</w:t>
      </w:r>
    </w:p>
    <w:p w14:paraId="5F7CE833">
      <w:pPr>
        <w:spacing w:line="219" w:lineRule="auto"/>
        <w:rPr>
          <w:sz w:val="20"/>
          <w:szCs w:val="20"/>
        </w:rPr>
        <w:sectPr>
          <w:pgSz w:w="10310" w:h="13300"/>
          <w:pgMar w:top="400" w:right="588" w:bottom="400" w:left="1139" w:header="0" w:footer="0" w:gutter="0"/>
          <w:cols w:space="720" w:num="1"/>
        </w:sectPr>
      </w:pPr>
    </w:p>
    <w:p w14:paraId="39457132">
      <w:pPr>
        <w:pStyle w:val="2"/>
        <w:spacing w:before="77" w:line="219" w:lineRule="auto"/>
        <w:rPr>
          <w:sz w:val="19"/>
          <w:szCs w:val="19"/>
        </w:rPr>
      </w:pPr>
      <w:r>
        <w:rPr>
          <w:rFonts w:ascii="Times New Roman" w:hAnsi="Times New Roman" w:eastAsia="Times New Roman" w:cs="Times New Roman"/>
          <w:spacing w:val="4"/>
          <w:position w:val="1"/>
          <w:sz w:val="19"/>
          <w:szCs w:val="19"/>
        </w:rPr>
        <w:t>52</w:t>
      </w:r>
      <w:r>
        <w:rPr>
          <w:rFonts w:ascii="Times New Roman" w:hAnsi="Times New Roman" w:eastAsia="Times New Roman" w:cs="Times New Roman"/>
          <w:spacing w:val="1"/>
          <w:position w:val="1"/>
          <w:sz w:val="19"/>
          <w:szCs w:val="19"/>
        </w:rPr>
        <w:t xml:space="preserve">               </w:t>
      </w:r>
      <w:r>
        <w:rPr>
          <w:spacing w:val="4"/>
          <w:sz w:val="19"/>
          <w:szCs w:val="19"/>
        </w:rPr>
        <w:t>信息系统监理师教程(第2版)</w:t>
      </w:r>
    </w:p>
    <w:p w14:paraId="2F31A077">
      <w:pPr>
        <w:spacing w:line="350" w:lineRule="auto"/>
        <w:rPr>
          <w:rFonts w:ascii="Arial"/>
          <w:sz w:val="21"/>
        </w:rPr>
      </w:pPr>
    </w:p>
    <w:p w14:paraId="4113BCA3">
      <w:pPr>
        <w:pStyle w:val="2"/>
        <w:spacing w:before="62" w:line="219" w:lineRule="auto"/>
        <w:ind w:left="279"/>
        <w:rPr>
          <w:sz w:val="19"/>
          <w:szCs w:val="19"/>
        </w:rPr>
      </w:pPr>
      <w:r>
        <w:rPr>
          <w:spacing w:val="6"/>
          <w:sz w:val="19"/>
          <w:szCs w:val="19"/>
        </w:rPr>
        <w:t>方法，因而在世界各国得到了广泛应用。</w:t>
      </w:r>
    </w:p>
    <w:p w14:paraId="080B3A17">
      <w:pPr>
        <w:spacing w:before="170" w:line="232" w:lineRule="auto"/>
        <w:ind w:left="689"/>
        <w:rPr>
          <w:rFonts w:ascii="楷体" w:hAnsi="楷体" w:eastAsia="楷体" w:cs="楷体"/>
          <w:sz w:val="19"/>
          <w:szCs w:val="19"/>
        </w:rPr>
      </w:pPr>
      <w:bookmarkStart w:id="508" w:name="bookmark495"/>
      <w:bookmarkEnd w:id="508"/>
      <w:r>
        <w:rPr>
          <w:rFonts w:ascii="楷体" w:hAnsi="楷体" w:eastAsia="楷体" w:cs="楷体"/>
          <w:spacing w:val="19"/>
          <w:sz w:val="19"/>
          <w:szCs w:val="19"/>
        </w:rPr>
        <w:t>2)切克兰德方法</w:t>
      </w:r>
    </w:p>
    <w:p w14:paraId="27EC8B02">
      <w:pPr>
        <w:pStyle w:val="2"/>
        <w:spacing w:before="75" w:line="288" w:lineRule="auto"/>
        <w:ind w:left="279" w:right="196" w:firstLine="410"/>
        <w:rPr>
          <w:sz w:val="19"/>
          <w:szCs w:val="19"/>
        </w:rPr>
      </w:pPr>
      <w:r>
        <w:rPr>
          <w:spacing w:val="18"/>
          <w:sz w:val="19"/>
          <w:szCs w:val="19"/>
        </w:rPr>
        <w:t>20世纪40—60年代，系统工程主要用来寻求</w:t>
      </w:r>
      <w:r>
        <w:rPr>
          <w:spacing w:val="17"/>
          <w:sz w:val="19"/>
          <w:szCs w:val="19"/>
        </w:rPr>
        <w:t>各种“战术”问题的最优策略，或用来组织</w:t>
      </w:r>
      <w:r>
        <w:rPr>
          <w:sz w:val="19"/>
          <w:szCs w:val="19"/>
        </w:rPr>
        <w:t xml:space="preserve"> </w:t>
      </w:r>
      <w:r>
        <w:rPr>
          <w:spacing w:val="7"/>
          <w:sz w:val="19"/>
          <w:szCs w:val="19"/>
        </w:rPr>
        <w:t>和管理大型工程建设项目，最适合应用霍尔方法论。</w:t>
      </w:r>
    </w:p>
    <w:p w14:paraId="4F443ECA">
      <w:pPr>
        <w:pStyle w:val="2"/>
        <w:spacing w:before="35" w:line="297" w:lineRule="auto"/>
        <w:ind w:left="279" w:right="151" w:firstLine="410"/>
        <w:rPr>
          <w:sz w:val="19"/>
          <w:szCs w:val="19"/>
        </w:rPr>
      </w:pPr>
      <w:r>
        <w:rPr>
          <w:spacing w:val="19"/>
          <w:sz w:val="19"/>
          <w:szCs w:val="19"/>
        </w:rPr>
        <w:t>20世纪70年代以来，系统工程越来越多地用于研究社会经济发展战略和组织管理问题，</w:t>
      </w:r>
      <w:r>
        <w:rPr>
          <w:spacing w:val="4"/>
          <w:sz w:val="19"/>
          <w:szCs w:val="19"/>
        </w:rPr>
        <w:t xml:space="preserve"> </w:t>
      </w:r>
      <w:r>
        <w:rPr>
          <w:spacing w:val="13"/>
          <w:sz w:val="19"/>
          <w:szCs w:val="19"/>
        </w:rPr>
        <w:t>涉及的人、信息和社会等因素相当复杂，使得系统工程</w:t>
      </w:r>
      <w:r>
        <w:rPr>
          <w:spacing w:val="12"/>
          <w:sz w:val="19"/>
          <w:szCs w:val="19"/>
        </w:rPr>
        <w:t>的对象系统偏向软化，并导致其中的许</w:t>
      </w:r>
      <w:r>
        <w:rPr>
          <w:sz w:val="19"/>
          <w:szCs w:val="19"/>
        </w:rPr>
        <w:t xml:space="preserve">  </w:t>
      </w:r>
      <w:r>
        <w:rPr>
          <w:spacing w:val="13"/>
          <w:sz w:val="19"/>
          <w:szCs w:val="19"/>
        </w:rPr>
        <w:t>多因素难以量化。许多学者在霍尔方法论的基础上，进一步提出了各种软系统</w:t>
      </w:r>
      <w:r>
        <w:rPr>
          <w:spacing w:val="12"/>
          <w:sz w:val="19"/>
          <w:szCs w:val="19"/>
        </w:rPr>
        <w:t>工程方法论。20</w:t>
      </w:r>
      <w:r>
        <w:rPr>
          <w:sz w:val="19"/>
          <w:szCs w:val="19"/>
        </w:rPr>
        <w:t xml:space="preserve"> </w:t>
      </w:r>
      <w:r>
        <w:rPr>
          <w:spacing w:val="12"/>
          <w:sz w:val="19"/>
          <w:szCs w:val="19"/>
        </w:rPr>
        <w:t>世纪80年代，由英国的</w:t>
      </w:r>
      <w:r>
        <w:rPr>
          <w:rFonts w:ascii="Times New Roman" w:hAnsi="Times New Roman" w:eastAsia="Times New Roman" w:cs="Times New Roman"/>
          <w:spacing w:val="12"/>
          <w:sz w:val="19"/>
          <w:szCs w:val="19"/>
        </w:rPr>
        <w:t>P.</w:t>
      </w:r>
      <w:r>
        <w:rPr>
          <w:spacing w:val="12"/>
          <w:sz w:val="19"/>
          <w:szCs w:val="19"/>
        </w:rPr>
        <w:t>切克兰德</w:t>
      </w:r>
      <w:r>
        <w:rPr>
          <w:spacing w:val="-35"/>
          <w:sz w:val="19"/>
          <w:szCs w:val="19"/>
        </w:rPr>
        <w:t xml:space="preserve"> </w:t>
      </w:r>
      <w:r>
        <w:rPr>
          <w:rFonts w:ascii="Times New Roman" w:hAnsi="Times New Roman" w:eastAsia="Times New Roman" w:cs="Times New Roman"/>
          <w:spacing w:val="12"/>
          <w:sz w:val="19"/>
          <w:szCs w:val="19"/>
        </w:rPr>
        <w:t>(P.</w:t>
      </w:r>
      <w:r>
        <w:rPr>
          <w:rFonts w:ascii="Times New Roman" w:hAnsi="Times New Roman" w:eastAsia="Times New Roman" w:cs="Times New Roman"/>
          <w:sz w:val="19"/>
          <w:szCs w:val="19"/>
        </w:rPr>
        <w:t>Checkland</w:t>
      </w:r>
      <w:r>
        <w:rPr>
          <w:rFonts w:ascii="Times New Roman" w:hAnsi="Times New Roman" w:eastAsia="Times New Roman" w:cs="Times New Roman"/>
          <w:spacing w:val="12"/>
          <w:sz w:val="19"/>
          <w:szCs w:val="19"/>
        </w:rPr>
        <w:t xml:space="preserve">)    </w:t>
      </w:r>
      <w:r>
        <w:rPr>
          <w:spacing w:val="12"/>
          <w:sz w:val="19"/>
          <w:szCs w:val="19"/>
        </w:rPr>
        <w:t>提出的方法比较系统且具有一定的代表性。</w:t>
      </w:r>
    </w:p>
    <w:p w14:paraId="5D3B7B90">
      <w:pPr>
        <w:pStyle w:val="2"/>
        <w:spacing w:before="50" w:line="305" w:lineRule="auto"/>
        <w:ind w:left="279" w:right="19" w:firstLine="410"/>
        <w:rPr>
          <w:sz w:val="19"/>
          <w:szCs w:val="19"/>
        </w:rPr>
      </w:pPr>
      <w:r>
        <w:rPr>
          <w:spacing w:val="12"/>
          <w:sz w:val="19"/>
          <w:szCs w:val="19"/>
        </w:rPr>
        <w:t>切克兰德认为完全按照解决工程问题的思路来解决社会问题或“软科学”问题，会碰到许</w:t>
      </w:r>
      <w:r>
        <w:rPr>
          <w:spacing w:val="6"/>
          <w:sz w:val="19"/>
          <w:szCs w:val="19"/>
        </w:rPr>
        <w:t xml:space="preserve">   </w:t>
      </w:r>
      <w:r>
        <w:rPr>
          <w:spacing w:val="10"/>
          <w:sz w:val="19"/>
          <w:szCs w:val="19"/>
        </w:rPr>
        <w:t>多困难，尤其是在设计价值系统、模型化和最优化等步骤方面，有许多因素很难进</w:t>
      </w:r>
      <w:r>
        <w:rPr>
          <w:spacing w:val="9"/>
          <w:sz w:val="19"/>
          <w:szCs w:val="19"/>
        </w:rPr>
        <w:t>行定量分析。</w:t>
      </w:r>
      <w:r>
        <w:rPr>
          <w:sz w:val="19"/>
          <w:szCs w:val="19"/>
        </w:rPr>
        <w:t xml:space="preserve">  </w:t>
      </w:r>
      <w:r>
        <w:rPr>
          <w:spacing w:val="18"/>
          <w:sz w:val="19"/>
          <w:szCs w:val="19"/>
        </w:rPr>
        <w:t>切克兰德把霍尔方法论称为“硬科学”方法论，他提出了自己的方法论，并称之为“软科</w:t>
      </w:r>
      <w:r>
        <w:rPr>
          <w:spacing w:val="17"/>
          <w:sz w:val="19"/>
          <w:szCs w:val="19"/>
        </w:rPr>
        <w:t>学”</w:t>
      </w:r>
      <w:r>
        <w:rPr>
          <w:sz w:val="19"/>
          <w:szCs w:val="19"/>
        </w:rPr>
        <w:t xml:space="preserve"> </w:t>
      </w:r>
      <w:r>
        <w:rPr>
          <w:spacing w:val="3"/>
          <w:sz w:val="19"/>
          <w:szCs w:val="19"/>
        </w:rPr>
        <w:t>方法论。</w:t>
      </w:r>
    </w:p>
    <w:p w14:paraId="78C581DD">
      <w:pPr>
        <w:pStyle w:val="2"/>
        <w:spacing w:before="22" w:line="296" w:lineRule="auto"/>
        <w:ind w:left="184" w:firstLine="505"/>
        <w:rPr>
          <w:sz w:val="19"/>
          <w:szCs w:val="19"/>
        </w:rPr>
      </w:pPr>
      <w:r>
        <w:rPr>
          <w:spacing w:val="15"/>
          <w:sz w:val="19"/>
          <w:szCs w:val="19"/>
        </w:rPr>
        <w:t>社会经济系统中的问题往往很难和工程技术系统中的问题一样</w:t>
      </w:r>
      <w:r>
        <w:rPr>
          <w:spacing w:val="14"/>
          <w:sz w:val="19"/>
          <w:szCs w:val="19"/>
        </w:rPr>
        <w:t>能够事先将需求确定清楚，</w:t>
      </w:r>
      <w:r>
        <w:rPr>
          <w:sz w:val="19"/>
          <w:szCs w:val="19"/>
        </w:rPr>
        <w:t xml:space="preserve">  </w:t>
      </w:r>
      <w:r>
        <w:rPr>
          <w:spacing w:val="15"/>
          <w:sz w:val="19"/>
          <w:szCs w:val="19"/>
        </w:rPr>
        <w:t>难以按价值系统的评价准则设计出符合这种需求的最优系统方案。切克兰德方法论的核心</w:t>
      </w:r>
      <w:r>
        <w:rPr>
          <w:spacing w:val="14"/>
          <w:sz w:val="19"/>
          <w:szCs w:val="19"/>
        </w:rPr>
        <w:t>不是</w:t>
      </w:r>
      <w:r>
        <w:rPr>
          <w:sz w:val="19"/>
          <w:szCs w:val="19"/>
        </w:rPr>
        <w:t xml:space="preserve">   </w:t>
      </w:r>
      <w:r>
        <w:rPr>
          <w:spacing w:val="13"/>
          <w:sz w:val="19"/>
          <w:szCs w:val="19"/>
        </w:rPr>
        <w:t>“最优化”,而是“比较”与“探寻”。从模型和现状的比较中来学习改善现状的途径。“比较”</w:t>
      </w:r>
      <w:r>
        <w:rPr>
          <w:spacing w:val="7"/>
          <w:sz w:val="19"/>
          <w:szCs w:val="19"/>
        </w:rPr>
        <w:t xml:space="preserve"> </w:t>
      </w:r>
      <w:r>
        <w:rPr>
          <w:spacing w:val="15"/>
          <w:sz w:val="19"/>
          <w:szCs w:val="19"/>
        </w:rPr>
        <w:t>这一步骤，含有组织讨论、听取各方面有关人员意见的意思，不拘泥于非要进行定量分析的要</w:t>
      </w:r>
      <w:r>
        <w:rPr>
          <w:spacing w:val="6"/>
          <w:sz w:val="19"/>
          <w:szCs w:val="19"/>
        </w:rPr>
        <w:t xml:space="preserve">   </w:t>
      </w:r>
      <w:r>
        <w:rPr>
          <w:spacing w:val="11"/>
          <w:sz w:val="19"/>
          <w:szCs w:val="19"/>
        </w:rPr>
        <w:t>求，能更好地反映人的因素和社会经济系统的特点。</w:t>
      </w:r>
    </w:p>
    <w:p w14:paraId="69981588">
      <w:pPr>
        <w:pStyle w:val="2"/>
        <w:spacing w:before="49" w:line="219" w:lineRule="auto"/>
        <w:ind w:left="689"/>
        <w:rPr>
          <w:sz w:val="19"/>
          <w:szCs w:val="19"/>
        </w:rPr>
      </w:pPr>
      <w:r>
        <w:rPr>
          <w:spacing w:val="6"/>
          <w:sz w:val="19"/>
          <w:szCs w:val="19"/>
        </w:rPr>
        <w:t>切克兰德方法将工作过程分为以下七个步骤：</w:t>
      </w:r>
    </w:p>
    <w:p w14:paraId="58A24EC1">
      <w:pPr>
        <w:pStyle w:val="2"/>
        <w:spacing w:before="73" w:line="288" w:lineRule="auto"/>
        <w:ind w:left="979" w:right="212" w:hanging="290"/>
        <w:rPr>
          <w:sz w:val="19"/>
          <w:szCs w:val="19"/>
        </w:rPr>
      </w:pPr>
      <w:r>
        <w:rPr>
          <w:spacing w:val="13"/>
          <w:sz w:val="19"/>
          <w:szCs w:val="19"/>
        </w:rPr>
        <w:t>●认识问题。收集与问题有关的信息，表达问题现状，寻找构</w:t>
      </w:r>
      <w:r>
        <w:rPr>
          <w:spacing w:val="12"/>
          <w:sz w:val="19"/>
          <w:szCs w:val="19"/>
        </w:rPr>
        <w:t>成和影响因素及其关系，以</w:t>
      </w:r>
      <w:r>
        <w:rPr>
          <w:sz w:val="19"/>
          <w:szCs w:val="19"/>
        </w:rPr>
        <w:t xml:space="preserve"> </w:t>
      </w:r>
      <w:r>
        <w:rPr>
          <w:spacing w:val="11"/>
          <w:sz w:val="19"/>
          <w:szCs w:val="19"/>
        </w:rPr>
        <w:t>便明确系统问题结构、现存过程及其相互之间的不适应之处，确定有关的行</w:t>
      </w:r>
      <w:r>
        <w:rPr>
          <w:spacing w:val="10"/>
          <w:sz w:val="19"/>
          <w:szCs w:val="19"/>
        </w:rPr>
        <w:t>为主体和利</w:t>
      </w:r>
      <w:r>
        <w:rPr>
          <w:sz w:val="19"/>
          <w:szCs w:val="19"/>
        </w:rPr>
        <w:t xml:space="preserve"> </w:t>
      </w:r>
      <w:r>
        <w:rPr>
          <w:spacing w:val="1"/>
          <w:sz w:val="19"/>
          <w:szCs w:val="19"/>
        </w:rPr>
        <w:t>益主体。</w:t>
      </w:r>
    </w:p>
    <w:p w14:paraId="00C20352">
      <w:pPr>
        <w:pStyle w:val="2"/>
        <w:spacing w:before="90" w:line="270" w:lineRule="auto"/>
        <w:ind w:left="979" w:right="236" w:hanging="290"/>
        <w:rPr>
          <w:sz w:val="19"/>
          <w:szCs w:val="19"/>
        </w:rPr>
      </w:pPr>
      <w:r>
        <w:rPr>
          <w:spacing w:val="13"/>
          <w:sz w:val="19"/>
          <w:szCs w:val="19"/>
        </w:rPr>
        <w:t>●初步定义。初步弄清、改善与现状有关的各种</w:t>
      </w:r>
      <w:r>
        <w:rPr>
          <w:spacing w:val="12"/>
          <w:sz w:val="19"/>
          <w:szCs w:val="19"/>
        </w:rPr>
        <w:t>因素及其相互关系。为系统发展及其研究</w:t>
      </w:r>
      <w:r>
        <w:rPr>
          <w:sz w:val="19"/>
          <w:szCs w:val="19"/>
        </w:rPr>
        <w:t xml:space="preserve"> </w:t>
      </w:r>
      <w:r>
        <w:rPr>
          <w:spacing w:val="8"/>
          <w:sz w:val="19"/>
          <w:szCs w:val="19"/>
        </w:rPr>
        <w:t>确立各种基本的看法，并尽可能选择出最合适的基</w:t>
      </w:r>
      <w:r>
        <w:rPr>
          <w:spacing w:val="7"/>
          <w:sz w:val="19"/>
          <w:szCs w:val="19"/>
        </w:rPr>
        <w:t>本观点。</w:t>
      </w:r>
    </w:p>
    <w:p w14:paraId="581D4F2C">
      <w:pPr>
        <w:pStyle w:val="2"/>
        <w:spacing w:before="95" w:line="287" w:lineRule="auto"/>
        <w:ind w:left="979" w:right="236" w:hanging="290"/>
        <w:rPr>
          <w:sz w:val="19"/>
          <w:szCs w:val="19"/>
        </w:rPr>
      </w:pPr>
      <w:r>
        <w:rPr>
          <w:spacing w:val="13"/>
          <w:sz w:val="19"/>
          <w:szCs w:val="19"/>
        </w:rPr>
        <w:t>●建立概念模型。在不能建立精确数学模型的</w:t>
      </w:r>
      <w:r>
        <w:rPr>
          <w:spacing w:val="12"/>
          <w:sz w:val="19"/>
          <w:szCs w:val="19"/>
        </w:rPr>
        <w:t>情况下，用结构模型或语言模型来描述系统</w:t>
      </w:r>
      <w:r>
        <w:rPr>
          <w:sz w:val="19"/>
          <w:szCs w:val="19"/>
        </w:rPr>
        <w:t xml:space="preserve"> </w:t>
      </w:r>
      <w:r>
        <w:rPr>
          <w:spacing w:val="10"/>
          <w:sz w:val="19"/>
          <w:szCs w:val="19"/>
        </w:rPr>
        <w:t>的现状。概念模型基于初步定义，是通过系统化语言对问题抽象描述的结果，其结构及</w:t>
      </w:r>
      <w:r>
        <w:rPr>
          <w:spacing w:val="9"/>
          <w:sz w:val="19"/>
          <w:szCs w:val="19"/>
        </w:rPr>
        <w:t xml:space="preserve"> </w:t>
      </w:r>
      <w:r>
        <w:rPr>
          <w:spacing w:val="8"/>
          <w:sz w:val="19"/>
          <w:szCs w:val="19"/>
        </w:rPr>
        <w:t>要素必须符合初步定义的思想，并能实现其要</w:t>
      </w:r>
      <w:r>
        <w:rPr>
          <w:spacing w:val="7"/>
          <w:sz w:val="19"/>
          <w:szCs w:val="19"/>
        </w:rPr>
        <w:t>求。</w:t>
      </w:r>
    </w:p>
    <w:p w14:paraId="2FB5AA6A">
      <w:pPr>
        <w:pStyle w:val="2"/>
        <w:spacing w:before="105" w:line="265" w:lineRule="auto"/>
        <w:ind w:left="979" w:right="237" w:hanging="290"/>
        <w:rPr>
          <w:sz w:val="19"/>
          <w:szCs w:val="19"/>
        </w:rPr>
      </w:pPr>
      <w:r>
        <w:rPr>
          <w:spacing w:val="13"/>
          <w:sz w:val="19"/>
          <w:szCs w:val="19"/>
        </w:rPr>
        <w:t>●比较及探寻。将现实问题和概念模型进行对</w:t>
      </w:r>
      <w:r>
        <w:rPr>
          <w:spacing w:val="12"/>
          <w:sz w:val="19"/>
          <w:szCs w:val="19"/>
        </w:rPr>
        <w:t>比，找出符合决策者意图且可行的方案或途</w:t>
      </w:r>
      <w:r>
        <w:rPr>
          <w:sz w:val="19"/>
          <w:szCs w:val="19"/>
        </w:rPr>
        <w:t xml:space="preserve"> </w:t>
      </w:r>
      <w:r>
        <w:rPr>
          <w:spacing w:val="8"/>
          <w:sz w:val="19"/>
          <w:szCs w:val="19"/>
        </w:rPr>
        <w:t>径。有时通过比较，需要对根底定义的结果进行适</w:t>
      </w:r>
      <w:r>
        <w:rPr>
          <w:spacing w:val="7"/>
          <w:sz w:val="19"/>
          <w:szCs w:val="19"/>
        </w:rPr>
        <w:t>当修正。</w:t>
      </w:r>
    </w:p>
    <w:p w14:paraId="7117EB09">
      <w:pPr>
        <w:pStyle w:val="2"/>
        <w:spacing w:before="93" w:line="261" w:lineRule="auto"/>
        <w:ind w:left="979" w:right="237" w:hanging="290"/>
        <w:rPr>
          <w:sz w:val="19"/>
          <w:szCs w:val="19"/>
        </w:rPr>
      </w:pPr>
      <w:r>
        <w:rPr>
          <w:spacing w:val="13"/>
          <w:sz w:val="19"/>
          <w:szCs w:val="19"/>
        </w:rPr>
        <w:t>●选择。针对比较的结果，考虑有关人员的态度</w:t>
      </w:r>
      <w:r>
        <w:rPr>
          <w:spacing w:val="12"/>
          <w:sz w:val="19"/>
          <w:szCs w:val="19"/>
        </w:rPr>
        <w:t>及其他社会、行为等因素，选出现实可行</w:t>
      </w:r>
      <w:r>
        <w:rPr>
          <w:sz w:val="19"/>
          <w:szCs w:val="19"/>
        </w:rPr>
        <w:t xml:space="preserve"> </w:t>
      </w:r>
      <w:r>
        <w:rPr>
          <w:spacing w:val="5"/>
          <w:sz w:val="19"/>
          <w:szCs w:val="19"/>
        </w:rPr>
        <w:t>的改善方案。</w:t>
      </w:r>
    </w:p>
    <w:p w14:paraId="0E4F75FB">
      <w:pPr>
        <w:pStyle w:val="2"/>
        <w:spacing w:before="85" w:line="269" w:lineRule="auto"/>
        <w:ind w:left="979" w:right="221" w:hanging="290"/>
        <w:rPr>
          <w:sz w:val="19"/>
          <w:szCs w:val="19"/>
        </w:rPr>
      </w:pPr>
      <w:r>
        <w:rPr>
          <w:spacing w:val="13"/>
          <w:sz w:val="19"/>
          <w:szCs w:val="19"/>
        </w:rPr>
        <w:t>●设计与实施。通过详尽和有针对性的设计，形成具有可操作性的方案，并使得有</w:t>
      </w:r>
      <w:r>
        <w:rPr>
          <w:spacing w:val="12"/>
          <w:sz w:val="19"/>
          <w:szCs w:val="19"/>
        </w:rPr>
        <w:t>关人员</w:t>
      </w:r>
      <w:r>
        <w:rPr>
          <w:sz w:val="19"/>
          <w:szCs w:val="19"/>
        </w:rPr>
        <w:t xml:space="preserve"> </w:t>
      </w:r>
      <w:r>
        <w:rPr>
          <w:spacing w:val="6"/>
          <w:sz w:val="19"/>
          <w:szCs w:val="19"/>
        </w:rPr>
        <w:t>乐于接受和愿意为方案的实现竭尽全力。</w:t>
      </w:r>
    </w:p>
    <w:p w14:paraId="6023481C">
      <w:pPr>
        <w:pStyle w:val="2"/>
        <w:spacing w:before="94" w:line="266" w:lineRule="auto"/>
        <w:ind w:left="979" w:right="218" w:hanging="290"/>
        <w:rPr>
          <w:sz w:val="19"/>
          <w:szCs w:val="19"/>
        </w:rPr>
      </w:pPr>
      <w:r>
        <w:rPr>
          <w:spacing w:val="23"/>
          <w:sz w:val="19"/>
          <w:szCs w:val="19"/>
        </w:rPr>
        <w:t>●</w:t>
      </w:r>
      <w:r>
        <w:rPr>
          <w:spacing w:val="-59"/>
          <w:sz w:val="19"/>
          <w:szCs w:val="19"/>
        </w:rPr>
        <w:t xml:space="preserve"> </w:t>
      </w:r>
      <w:r>
        <w:rPr>
          <w:spacing w:val="23"/>
          <w:sz w:val="19"/>
          <w:szCs w:val="19"/>
        </w:rPr>
        <w:t>评估与反馈。根据在实施过程中获得的新认识，修正问题描述、根底定义及概念模</w:t>
      </w:r>
      <w:r>
        <w:rPr>
          <w:sz w:val="19"/>
          <w:szCs w:val="19"/>
        </w:rPr>
        <w:t xml:space="preserve"> </w:t>
      </w:r>
      <w:r>
        <w:rPr>
          <w:spacing w:val="5"/>
          <w:sz w:val="19"/>
          <w:szCs w:val="19"/>
        </w:rPr>
        <w:t>型等。</w:t>
      </w:r>
    </w:p>
    <w:p w14:paraId="0BC4D846">
      <w:pPr>
        <w:spacing w:before="159" w:line="222" w:lineRule="auto"/>
        <w:ind w:left="689"/>
        <w:rPr>
          <w:rFonts w:ascii="楷体" w:hAnsi="楷体" w:eastAsia="楷体" w:cs="楷体"/>
          <w:sz w:val="19"/>
          <w:szCs w:val="19"/>
        </w:rPr>
      </w:pPr>
      <w:r>
        <w:rPr>
          <w:rFonts w:ascii="楷体" w:hAnsi="楷体" w:eastAsia="楷体" w:cs="楷体"/>
          <w:spacing w:val="19"/>
          <w:sz w:val="19"/>
          <w:szCs w:val="19"/>
        </w:rPr>
        <w:t>3)并行工程方法</w:t>
      </w:r>
    </w:p>
    <w:p w14:paraId="3A76D4F6">
      <w:pPr>
        <w:pStyle w:val="2"/>
        <w:spacing w:before="75" w:line="212" w:lineRule="auto"/>
        <w:ind w:left="689"/>
        <w:rPr>
          <w:sz w:val="19"/>
          <w:szCs w:val="19"/>
        </w:rPr>
      </w:pPr>
      <w:r>
        <w:rPr>
          <w:spacing w:val="15"/>
          <w:sz w:val="19"/>
          <w:szCs w:val="19"/>
        </w:rPr>
        <w:t>并行工程</w:t>
      </w:r>
      <w:r>
        <w:rPr>
          <w:spacing w:val="-42"/>
          <w:sz w:val="19"/>
          <w:szCs w:val="19"/>
        </w:rPr>
        <w:t xml:space="preserve"> </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Concurrent</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Engineering</w:t>
      </w:r>
      <w:r>
        <w:rPr>
          <w:rFonts w:ascii="Times New Roman" w:hAnsi="Times New Roman" w:eastAsia="Times New Roman" w:cs="Times New Roman"/>
          <w:spacing w:val="15"/>
          <w:sz w:val="19"/>
          <w:szCs w:val="19"/>
        </w:rPr>
        <w:t xml:space="preserve">) </w:t>
      </w:r>
      <w:r>
        <w:rPr>
          <w:spacing w:val="15"/>
          <w:sz w:val="19"/>
          <w:szCs w:val="19"/>
        </w:rPr>
        <w:t>是对产品及其相关过程(包括制造过程和支持过程</w:t>
      </w:r>
      <w:r>
        <w:rPr>
          <w:spacing w:val="14"/>
          <w:sz w:val="19"/>
          <w:szCs w:val="19"/>
        </w:rPr>
        <w:t>)进</w:t>
      </w:r>
    </w:p>
    <w:p w14:paraId="12D20689">
      <w:pPr>
        <w:spacing w:line="212" w:lineRule="auto"/>
        <w:rPr>
          <w:sz w:val="19"/>
          <w:szCs w:val="19"/>
        </w:rPr>
        <w:sectPr>
          <w:pgSz w:w="10310" w:h="13410"/>
          <w:pgMar w:top="400" w:right="942" w:bottom="400" w:left="540" w:header="0" w:footer="0" w:gutter="0"/>
          <w:cols w:space="720" w:num="1"/>
        </w:sectPr>
      </w:pPr>
    </w:p>
    <w:p w14:paraId="6EA9629C">
      <w:pPr>
        <w:pStyle w:val="2"/>
        <w:spacing w:before="46" w:line="219" w:lineRule="auto"/>
        <w:jc w:val="right"/>
        <w:rPr>
          <w:rFonts w:ascii="Times New Roman" w:hAnsi="Times New Roman" w:eastAsia="Times New Roman" w:cs="Times New Roman"/>
          <w:sz w:val="19"/>
          <w:szCs w:val="19"/>
        </w:rPr>
      </w:pPr>
      <w:r>
        <w:rPr>
          <w:spacing w:val="5"/>
          <w:sz w:val="19"/>
          <w:szCs w:val="19"/>
        </w:rPr>
        <w:t>第2章</w:t>
      </w:r>
      <w:r>
        <w:rPr>
          <w:spacing w:val="31"/>
          <w:sz w:val="19"/>
          <w:szCs w:val="19"/>
        </w:rPr>
        <w:t xml:space="preserve"> </w:t>
      </w:r>
      <w:r>
        <w:rPr>
          <w:spacing w:val="5"/>
          <w:sz w:val="19"/>
          <w:szCs w:val="19"/>
        </w:rPr>
        <w:t>信息系统工程</w:t>
      </w:r>
      <w:r>
        <w:rPr>
          <w:spacing w:val="1"/>
          <w:sz w:val="19"/>
          <w:szCs w:val="19"/>
        </w:rPr>
        <w:t xml:space="preserve">       </w:t>
      </w:r>
      <w:r>
        <w:rPr>
          <w:rFonts w:ascii="Times New Roman" w:hAnsi="Times New Roman" w:eastAsia="Times New Roman" w:cs="Times New Roman"/>
          <w:spacing w:val="5"/>
          <w:sz w:val="19"/>
          <w:szCs w:val="19"/>
        </w:rPr>
        <w:t>53</w:t>
      </w:r>
    </w:p>
    <w:p w14:paraId="25D000C7">
      <w:pPr>
        <w:spacing w:line="310" w:lineRule="auto"/>
        <w:rPr>
          <w:rFonts w:ascii="Arial"/>
          <w:sz w:val="21"/>
        </w:rPr>
      </w:pPr>
    </w:p>
    <w:p w14:paraId="65D51257">
      <w:pPr>
        <w:pStyle w:val="2"/>
        <w:spacing w:before="61" w:line="296" w:lineRule="auto"/>
        <w:ind w:right="269"/>
        <w:jc w:val="both"/>
        <w:rPr>
          <w:sz w:val="19"/>
          <w:szCs w:val="19"/>
        </w:rPr>
      </w:pPr>
      <w:r>
        <w:rPr>
          <w:spacing w:val="13"/>
          <w:sz w:val="19"/>
          <w:szCs w:val="19"/>
        </w:rPr>
        <w:t>行并行、集成化处理的系统方法和综合技术。它要求产品开发人员从设计开始</w:t>
      </w:r>
      <w:r>
        <w:rPr>
          <w:spacing w:val="12"/>
          <w:sz w:val="19"/>
          <w:szCs w:val="19"/>
        </w:rPr>
        <w:t>就考虑产品生命</w:t>
      </w:r>
      <w:r>
        <w:rPr>
          <w:sz w:val="19"/>
          <w:szCs w:val="19"/>
        </w:rPr>
        <w:t xml:space="preserve"> </w:t>
      </w:r>
      <w:r>
        <w:rPr>
          <w:spacing w:val="13"/>
          <w:sz w:val="19"/>
          <w:szCs w:val="19"/>
        </w:rPr>
        <w:t>周期的全过程，不仅考虑产品的各项性能，例如质量、成本和用户要求，还应考</w:t>
      </w:r>
      <w:r>
        <w:rPr>
          <w:spacing w:val="12"/>
          <w:sz w:val="19"/>
          <w:szCs w:val="19"/>
        </w:rPr>
        <w:t>虑与产品有关</w:t>
      </w:r>
      <w:r>
        <w:rPr>
          <w:sz w:val="19"/>
          <w:szCs w:val="19"/>
        </w:rPr>
        <w:t xml:space="preserve"> </w:t>
      </w:r>
      <w:r>
        <w:rPr>
          <w:spacing w:val="13"/>
          <w:sz w:val="19"/>
          <w:szCs w:val="19"/>
        </w:rPr>
        <w:t>的各工艺过程的质量及服务的质量。它通过提高设计质量来缩短设计周期，</w:t>
      </w:r>
      <w:r>
        <w:rPr>
          <w:spacing w:val="12"/>
          <w:sz w:val="19"/>
          <w:szCs w:val="19"/>
        </w:rPr>
        <w:t>通过优化生产过程</w:t>
      </w:r>
      <w:r>
        <w:rPr>
          <w:sz w:val="19"/>
          <w:szCs w:val="19"/>
        </w:rPr>
        <w:t xml:space="preserve"> </w:t>
      </w:r>
      <w:r>
        <w:rPr>
          <w:spacing w:val="13"/>
          <w:sz w:val="19"/>
          <w:szCs w:val="19"/>
        </w:rPr>
        <w:t>来提高生产效率，通过降低产品整个生命周期的消耗，如产品生产过程中的原材料消耗</w:t>
      </w:r>
      <w:r>
        <w:rPr>
          <w:spacing w:val="12"/>
          <w:sz w:val="19"/>
          <w:szCs w:val="19"/>
        </w:rPr>
        <w:t>、工时</w:t>
      </w:r>
      <w:r>
        <w:rPr>
          <w:sz w:val="19"/>
          <w:szCs w:val="19"/>
        </w:rPr>
        <w:t xml:space="preserve"> </w:t>
      </w:r>
      <w:r>
        <w:rPr>
          <w:spacing w:val="5"/>
          <w:sz w:val="19"/>
          <w:szCs w:val="19"/>
        </w:rPr>
        <w:t>消耗等，来降低生产成本。</w:t>
      </w:r>
    </w:p>
    <w:p w14:paraId="0648BD46">
      <w:pPr>
        <w:pStyle w:val="2"/>
        <w:spacing w:before="77" w:line="219" w:lineRule="auto"/>
        <w:ind w:left="400"/>
        <w:rPr>
          <w:sz w:val="19"/>
          <w:szCs w:val="19"/>
        </w:rPr>
      </w:pPr>
      <w:r>
        <w:rPr>
          <w:spacing w:val="9"/>
          <w:sz w:val="19"/>
          <w:szCs w:val="19"/>
        </w:rPr>
        <w:t>并行工程的目标是提高质量、降低成本、缩短产品开发周期和产品上市</w:t>
      </w:r>
      <w:r>
        <w:rPr>
          <w:spacing w:val="8"/>
          <w:sz w:val="19"/>
          <w:szCs w:val="19"/>
        </w:rPr>
        <w:t>时间。</w:t>
      </w:r>
    </w:p>
    <w:p w14:paraId="45E2FFDE">
      <w:pPr>
        <w:pStyle w:val="2"/>
        <w:spacing w:before="85" w:line="295" w:lineRule="auto"/>
        <w:ind w:right="251" w:firstLine="400"/>
        <w:rPr>
          <w:sz w:val="19"/>
          <w:szCs w:val="19"/>
        </w:rPr>
      </w:pPr>
      <w:r>
        <w:rPr>
          <w:spacing w:val="13"/>
          <w:sz w:val="19"/>
          <w:szCs w:val="19"/>
        </w:rPr>
        <w:t>并行工程的具体做法是：在产品开发初期，组织多种职能协同工作的项目组，使有关人员</w:t>
      </w:r>
      <w:r>
        <w:rPr>
          <w:spacing w:val="18"/>
          <w:sz w:val="19"/>
          <w:szCs w:val="19"/>
        </w:rPr>
        <w:t xml:space="preserve"> </w:t>
      </w:r>
      <w:r>
        <w:rPr>
          <w:spacing w:val="13"/>
          <w:sz w:val="19"/>
          <w:szCs w:val="19"/>
        </w:rPr>
        <w:t>从一开始就获得对新产品需求的要求和信息，积极研究涉及本部门的工作业务，并将相应的要</w:t>
      </w:r>
      <w:r>
        <w:rPr>
          <w:spacing w:val="15"/>
          <w:sz w:val="19"/>
          <w:szCs w:val="19"/>
        </w:rPr>
        <w:t xml:space="preserve"> </w:t>
      </w:r>
      <w:r>
        <w:rPr>
          <w:spacing w:val="13"/>
          <w:sz w:val="19"/>
          <w:szCs w:val="19"/>
        </w:rPr>
        <w:t xml:space="preserve">求提供给设计人员，使许多问题在开发早期就得到解决，从而保证了设计的质量，避免了大量 </w:t>
      </w:r>
      <w:r>
        <w:rPr>
          <w:spacing w:val="4"/>
          <w:sz w:val="19"/>
          <w:szCs w:val="19"/>
        </w:rPr>
        <w:t>的返工浪费。</w:t>
      </w:r>
    </w:p>
    <w:p w14:paraId="0CAE52BB">
      <w:pPr>
        <w:pStyle w:val="2"/>
        <w:spacing w:before="46" w:line="219" w:lineRule="auto"/>
        <w:ind w:left="400"/>
        <w:rPr>
          <w:sz w:val="19"/>
          <w:szCs w:val="19"/>
        </w:rPr>
      </w:pPr>
      <w:r>
        <w:rPr>
          <w:spacing w:val="4"/>
          <w:sz w:val="19"/>
          <w:szCs w:val="19"/>
        </w:rPr>
        <w:t>并行工程强调以下三点：</w:t>
      </w:r>
    </w:p>
    <w:p w14:paraId="3AE85D23">
      <w:pPr>
        <w:pStyle w:val="2"/>
        <w:spacing w:before="84" w:line="270" w:lineRule="auto"/>
        <w:ind w:left="679" w:right="274" w:hanging="279"/>
        <w:rPr>
          <w:sz w:val="19"/>
          <w:szCs w:val="19"/>
        </w:rPr>
      </w:pPr>
      <w:r>
        <w:rPr>
          <w:spacing w:val="13"/>
          <w:sz w:val="19"/>
          <w:szCs w:val="19"/>
        </w:rPr>
        <w:t>●在产品的设计开发期间，将概念设计、结构设计、工艺设计、最终需求等结合起来</w:t>
      </w:r>
      <w:r>
        <w:rPr>
          <w:spacing w:val="12"/>
          <w:sz w:val="19"/>
          <w:szCs w:val="19"/>
        </w:rPr>
        <w:t>，保</w:t>
      </w:r>
      <w:r>
        <w:rPr>
          <w:sz w:val="19"/>
          <w:szCs w:val="19"/>
        </w:rPr>
        <w:t xml:space="preserve"> </w:t>
      </w:r>
      <w:r>
        <w:rPr>
          <w:spacing w:val="7"/>
          <w:sz w:val="19"/>
          <w:szCs w:val="19"/>
        </w:rPr>
        <w:t>证以最快的速度按要求的质量完成。</w:t>
      </w:r>
    </w:p>
    <w:p w14:paraId="7A8C5D4F">
      <w:pPr>
        <w:pStyle w:val="2"/>
        <w:spacing w:before="105" w:line="265" w:lineRule="auto"/>
        <w:ind w:left="679" w:right="270" w:hanging="279"/>
        <w:rPr>
          <w:sz w:val="19"/>
          <w:szCs w:val="19"/>
        </w:rPr>
      </w:pPr>
      <w:r>
        <w:rPr>
          <w:spacing w:val="13"/>
          <w:sz w:val="19"/>
          <w:szCs w:val="19"/>
        </w:rPr>
        <w:t>●各项工作由与此相关的项目小组完成。进程中小组成员各自安排自身的工作，但可以随</w:t>
      </w:r>
      <w:r>
        <w:rPr>
          <w:spacing w:val="2"/>
          <w:sz w:val="19"/>
          <w:szCs w:val="19"/>
        </w:rPr>
        <w:t xml:space="preserve"> </w:t>
      </w:r>
      <w:r>
        <w:rPr>
          <w:spacing w:val="8"/>
          <w:sz w:val="19"/>
          <w:szCs w:val="19"/>
        </w:rPr>
        <w:t>时或定期反馈信息，并对出现的问题协调解决。</w:t>
      </w:r>
    </w:p>
    <w:p w14:paraId="0D1933BD">
      <w:pPr>
        <w:pStyle w:val="2"/>
        <w:spacing w:before="104" w:line="265" w:lineRule="auto"/>
        <w:ind w:left="679" w:right="265" w:hanging="279"/>
        <w:rPr>
          <w:sz w:val="19"/>
          <w:szCs w:val="19"/>
        </w:rPr>
      </w:pPr>
      <w:r>
        <w:rPr>
          <w:spacing w:val="13"/>
          <w:sz w:val="19"/>
          <w:szCs w:val="19"/>
        </w:rPr>
        <w:t>●依据适当的信息系统工具，反馈与协调整个项目的进行。利用现代信息技术，在产品的</w:t>
      </w:r>
      <w:r>
        <w:rPr>
          <w:spacing w:val="7"/>
          <w:sz w:val="19"/>
          <w:szCs w:val="19"/>
        </w:rPr>
        <w:t xml:space="preserve"> 研制与开发期间，辅助项目进程的并行化。</w:t>
      </w:r>
    </w:p>
    <w:p w14:paraId="1F75D69D">
      <w:pPr>
        <w:spacing w:before="183" w:line="226" w:lineRule="auto"/>
        <w:ind w:left="400"/>
        <w:rPr>
          <w:rFonts w:ascii="楷体" w:hAnsi="楷体" w:eastAsia="楷体" w:cs="楷体"/>
          <w:sz w:val="19"/>
          <w:szCs w:val="19"/>
        </w:rPr>
      </w:pPr>
      <w:r>
        <w:rPr>
          <w:rFonts w:ascii="楷体" w:hAnsi="楷体" w:eastAsia="楷体" w:cs="楷体"/>
          <w:spacing w:val="23"/>
          <w:sz w:val="19"/>
          <w:szCs w:val="19"/>
        </w:rPr>
        <w:t>4)综合集成法</w:t>
      </w:r>
    </w:p>
    <w:p w14:paraId="305428F4">
      <w:pPr>
        <w:pStyle w:val="2"/>
        <w:spacing w:before="68" w:line="219" w:lineRule="auto"/>
        <w:ind w:left="400"/>
        <w:rPr>
          <w:sz w:val="19"/>
          <w:szCs w:val="19"/>
        </w:rPr>
      </w:pPr>
      <w:r>
        <w:rPr>
          <w:spacing w:val="12"/>
          <w:sz w:val="19"/>
          <w:szCs w:val="19"/>
        </w:rPr>
        <w:t>1990年初，我国科学家钱学森等提出从系统的本质出发对系统进行分类的新方法，首次公</w:t>
      </w:r>
    </w:p>
    <w:p w14:paraId="2A62DFE2">
      <w:pPr>
        <w:pStyle w:val="2"/>
        <w:spacing w:before="84" w:line="288" w:lineRule="auto"/>
        <w:ind w:right="272"/>
        <w:rPr>
          <w:sz w:val="19"/>
          <w:szCs w:val="19"/>
        </w:rPr>
      </w:pPr>
      <w:r>
        <w:rPr>
          <w:spacing w:val="13"/>
          <w:sz w:val="19"/>
          <w:szCs w:val="19"/>
        </w:rPr>
        <w:t>布了“开放的复杂巨系统”这一新的科学领域及其基本观点，并首次把处理开放</w:t>
      </w:r>
      <w:r>
        <w:rPr>
          <w:spacing w:val="12"/>
          <w:sz w:val="19"/>
          <w:szCs w:val="19"/>
        </w:rPr>
        <w:t>的复杂巨系统</w:t>
      </w:r>
      <w:r>
        <w:rPr>
          <w:sz w:val="19"/>
          <w:szCs w:val="19"/>
        </w:rPr>
        <w:t xml:space="preserve"> </w:t>
      </w:r>
      <w:r>
        <w:rPr>
          <w:spacing w:val="9"/>
          <w:sz w:val="19"/>
          <w:szCs w:val="19"/>
        </w:rPr>
        <w:t>的方法命名为从定性到定量的综合集成法。综合集成</w:t>
      </w:r>
      <w:r>
        <w:rPr>
          <w:spacing w:val="8"/>
          <w:sz w:val="19"/>
          <w:szCs w:val="19"/>
        </w:rPr>
        <w:t>是从整体上考虑并解决问题的方法论。</w:t>
      </w:r>
    </w:p>
    <w:p w14:paraId="26064AAD">
      <w:pPr>
        <w:pStyle w:val="2"/>
        <w:spacing w:before="29" w:line="297" w:lineRule="auto"/>
        <w:ind w:right="235" w:firstLine="400"/>
        <w:rPr>
          <w:sz w:val="19"/>
          <w:szCs w:val="19"/>
        </w:rPr>
      </w:pPr>
      <w:r>
        <w:rPr>
          <w:spacing w:val="9"/>
          <w:sz w:val="19"/>
          <w:szCs w:val="19"/>
        </w:rPr>
        <w:t>从系统的本质出发，根据组成子系统及子系统种类的多少和它们之间关联关系</w:t>
      </w:r>
      <w:r>
        <w:rPr>
          <w:spacing w:val="8"/>
          <w:sz w:val="19"/>
          <w:szCs w:val="19"/>
        </w:rPr>
        <w:t>的复杂程度，</w:t>
      </w:r>
      <w:r>
        <w:rPr>
          <w:sz w:val="19"/>
          <w:szCs w:val="19"/>
        </w:rPr>
        <w:t xml:space="preserve"> </w:t>
      </w:r>
      <w:r>
        <w:rPr>
          <w:spacing w:val="7"/>
          <w:sz w:val="19"/>
          <w:szCs w:val="19"/>
        </w:rPr>
        <w:t>可以把系统分为简单系统和巨系统两大类。</w:t>
      </w:r>
    </w:p>
    <w:p w14:paraId="3A3BF98B">
      <w:pPr>
        <w:pStyle w:val="2"/>
        <w:spacing w:before="19" w:line="265" w:lineRule="auto"/>
        <w:ind w:left="679" w:right="272" w:hanging="279"/>
        <w:rPr>
          <w:sz w:val="19"/>
          <w:szCs w:val="19"/>
        </w:rPr>
      </w:pPr>
      <w:r>
        <w:rPr>
          <w:spacing w:val="13"/>
          <w:sz w:val="19"/>
          <w:szCs w:val="19"/>
        </w:rPr>
        <w:t>●如果组成系统的子系统数量比较少，子系统之间的关系比较单纯，这样的系统称为简单</w:t>
      </w:r>
      <w:r>
        <w:rPr>
          <w:sz w:val="19"/>
          <w:szCs w:val="19"/>
        </w:rPr>
        <w:t xml:space="preserve"> </w:t>
      </w:r>
      <w:r>
        <w:rPr>
          <w:spacing w:val="5"/>
          <w:sz w:val="19"/>
          <w:szCs w:val="19"/>
        </w:rPr>
        <w:t>系统，如一台测量仪器。</w:t>
      </w:r>
    </w:p>
    <w:p w14:paraId="048E3345">
      <w:pPr>
        <w:pStyle w:val="2"/>
        <w:spacing w:before="92" w:line="216" w:lineRule="auto"/>
        <w:ind w:left="400"/>
        <w:rPr>
          <w:sz w:val="19"/>
          <w:szCs w:val="19"/>
        </w:rPr>
      </w:pPr>
      <w:r>
        <w:rPr>
          <w:spacing w:val="19"/>
          <w:sz w:val="19"/>
          <w:szCs w:val="19"/>
        </w:rPr>
        <w:t>●如果子系统数量巨大(例如成千上万),则称作巨系统。</w:t>
      </w:r>
    </w:p>
    <w:p w14:paraId="24DD3D81">
      <w:pPr>
        <w:pStyle w:val="2"/>
        <w:spacing w:before="97" w:line="266" w:lineRule="auto"/>
        <w:ind w:left="679" w:right="205" w:hanging="279"/>
        <w:rPr>
          <w:sz w:val="19"/>
          <w:szCs w:val="19"/>
        </w:rPr>
      </w:pPr>
      <w:r>
        <w:rPr>
          <w:spacing w:val="17"/>
          <w:sz w:val="19"/>
          <w:szCs w:val="19"/>
        </w:rPr>
        <w:t>●如果巨系统中子系统种类不太多(几种、几十种),且它们之间</w:t>
      </w:r>
      <w:r>
        <w:rPr>
          <w:spacing w:val="16"/>
          <w:sz w:val="19"/>
          <w:szCs w:val="19"/>
        </w:rPr>
        <w:t>的关联关系又比较简单，</w:t>
      </w:r>
      <w:r>
        <w:rPr>
          <w:sz w:val="19"/>
          <w:szCs w:val="19"/>
        </w:rPr>
        <w:t xml:space="preserve"> </w:t>
      </w:r>
      <w:r>
        <w:rPr>
          <w:spacing w:val="6"/>
          <w:sz w:val="19"/>
          <w:szCs w:val="19"/>
        </w:rPr>
        <w:t>就称作简单巨系统，如激光系统。</w:t>
      </w:r>
    </w:p>
    <w:p w14:paraId="6AEFB30D">
      <w:pPr>
        <w:pStyle w:val="2"/>
        <w:spacing w:before="95" w:line="271" w:lineRule="auto"/>
        <w:ind w:left="679" w:right="266" w:hanging="279"/>
        <w:rPr>
          <w:sz w:val="19"/>
          <w:szCs w:val="19"/>
        </w:rPr>
      </w:pPr>
      <w:r>
        <w:rPr>
          <w:spacing w:val="13"/>
          <w:sz w:val="19"/>
          <w:szCs w:val="19"/>
        </w:rPr>
        <w:t>●如果巨系统中子系统种类很多并有层次结构，它们之间的关联关系又很复杂，这就是复</w:t>
      </w:r>
      <w:r>
        <w:rPr>
          <w:spacing w:val="1"/>
          <w:sz w:val="19"/>
          <w:szCs w:val="19"/>
        </w:rPr>
        <w:t xml:space="preserve"> </w:t>
      </w:r>
      <w:r>
        <w:rPr>
          <w:spacing w:val="13"/>
          <w:sz w:val="19"/>
          <w:szCs w:val="19"/>
        </w:rPr>
        <w:t>杂巨系统，如果这个系统又是开放的，就称作开放的复杂巨系统(</w:t>
      </w:r>
      <w:r>
        <w:rPr>
          <w:sz w:val="19"/>
          <w:szCs w:val="19"/>
        </w:rPr>
        <w:t>Open</w:t>
      </w:r>
      <w:r>
        <w:rPr>
          <w:spacing w:val="75"/>
          <w:w w:val="101"/>
          <w:sz w:val="19"/>
          <w:szCs w:val="19"/>
        </w:rPr>
        <w:t xml:space="preserve"> </w:t>
      </w:r>
      <w:r>
        <w:rPr>
          <w:sz w:val="19"/>
          <w:szCs w:val="19"/>
        </w:rPr>
        <w:t>Complex</w:t>
      </w:r>
      <w:r>
        <w:rPr>
          <w:spacing w:val="65"/>
          <w:sz w:val="19"/>
          <w:szCs w:val="19"/>
        </w:rPr>
        <w:t xml:space="preserve"> </w:t>
      </w:r>
      <w:r>
        <w:rPr>
          <w:sz w:val="19"/>
          <w:szCs w:val="19"/>
        </w:rPr>
        <w:t xml:space="preserve">Giant </w:t>
      </w:r>
      <w:r>
        <w:rPr>
          <w:rFonts w:ascii="Times New Roman" w:hAnsi="Times New Roman" w:eastAsia="Times New Roman" w:cs="Times New Roman"/>
          <w:spacing w:val="-2"/>
          <w:sz w:val="19"/>
          <w:szCs w:val="19"/>
        </w:rPr>
        <w:t>Systems)</w:t>
      </w:r>
      <w:r>
        <w:rPr>
          <w:spacing w:val="-2"/>
          <w:sz w:val="19"/>
          <w:szCs w:val="19"/>
        </w:rPr>
        <w:t>。</w:t>
      </w:r>
    </w:p>
    <w:p w14:paraId="1328AC97">
      <w:pPr>
        <w:pStyle w:val="2"/>
        <w:spacing w:before="113" w:line="280" w:lineRule="auto"/>
        <w:ind w:right="265" w:firstLine="400"/>
        <w:rPr>
          <w:sz w:val="19"/>
          <w:szCs w:val="19"/>
        </w:rPr>
      </w:pPr>
      <w:r>
        <w:rPr>
          <w:spacing w:val="12"/>
          <w:sz w:val="19"/>
          <w:szCs w:val="19"/>
        </w:rPr>
        <w:t>开放的复杂巨系统的一般基本原则与一般系统论的原则相一致：</w:t>
      </w:r>
      <w:r>
        <w:rPr>
          <w:spacing w:val="-43"/>
          <w:sz w:val="19"/>
          <w:szCs w:val="19"/>
        </w:rPr>
        <w:t xml:space="preserve"> </w:t>
      </w:r>
      <w:r>
        <w:rPr>
          <w:spacing w:val="12"/>
          <w:sz w:val="19"/>
          <w:szCs w:val="19"/>
        </w:rPr>
        <w:t>一是整体论</w:t>
      </w:r>
      <w:r>
        <w:rPr>
          <w:spacing w:val="11"/>
          <w:sz w:val="19"/>
          <w:szCs w:val="19"/>
        </w:rPr>
        <w:t>原则；二是相</w:t>
      </w:r>
      <w:r>
        <w:rPr>
          <w:sz w:val="19"/>
          <w:szCs w:val="19"/>
        </w:rPr>
        <w:t xml:space="preserve"> </w:t>
      </w:r>
      <w:r>
        <w:rPr>
          <w:spacing w:val="7"/>
          <w:sz w:val="19"/>
          <w:szCs w:val="19"/>
        </w:rPr>
        <w:t>互联系原则；三是有序性原则；四是动态原则。</w:t>
      </w:r>
    </w:p>
    <w:p w14:paraId="39E90C56">
      <w:pPr>
        <w:pStyle w:val="2"/>
        <w:spacing w:before="25" w:line="219" w:lineRule="auto"/>
        <w:ind w:left="400"/>
        <w:rPr>
          <w:sz w:val="19"/>
          <w:szCs w:val="19"/>
        </w:rPr>
      </w:pPr>
      <w:r>
        <w:rPr>
          <w:spacing w:val="7"/>
          <w:sz w:val="19"/>
          <w:szCs w:val="19"/>
        </w:rPr>
        <w:t>开放的复杂巨系统的主要性质可以概括为：</w:t>
      </w:r>
    </w:p>
    <w:p w14:paraId="63FFAEB9">
      <w:pPr>
        <w:pStyle w:val="2"/>
        <w:spacing w:before="94" w:line="219" w:lineRule="auto"/>
        <w:ind w:left="400"/>
        <w:rPr>
          <w:sz w:val="19"/>
          <w:szCs w:val="19"/>
        </w:rPr>
      </w:pPr>
      <w:r>
        <w:rPr>
          <w:spacing w:val="11"/>
          <w:sz w:val="19"/>
          <w:szCs w:val="19"/>
        </w:rPr>
        <w:t>●开放性。系统对象及其子系统与环境之间有物质、</w:t>
      </w:r>
      <w:r>
        <w:rPr>
          <w:spacing w:val="10"/>
          <w:sz w:val="19"/>
          <w:szCs w:val="19"/>
        </w:rPr>
        <w:t>能量、信息的交换。</w:t>
      </w:r>
    </w:p>
    <w:p w14:paraId="2EDFB241">
      <w:pPr>
        <w:pStyle w:val="2"/>
        <w:spacing w:before="95" w:line="219" w:lineRule="auto"/>
        <w:ind w:left="400"/>
        <w:rPr>
          <w:sz w:val="19"/>
          <w:szCs w:val="19"/>
        </w:rPr>
      </w:pPr>
      <w:r>
        <w:rPr>
          <w:spacing w:val="11"/>
          <w:sz w:val="19"/>
          <w:szCs w:val="19"/>
        </w:rPr>
        <w:t>●复杂性。系统中子系统的种类繁多，子系统之间存在多种形式、多种层次的</w:t>
      </w:r>
      <w:r>
        <w:rPr>
          <w:spacing w:val="10"/>
          <w:sz w:val="19"/>
          <w:szCs w:val="19"/>
        </w:rPr>
        <w:t>交互作用。</w:t>
      </w:r>
    </w:p>
    <w:p w14:paraId="22ED73F2">
      <w:pPr>
        <w:spacing w:line="219" w:lineRule="auto"/>
        <w:rPr>
          <w:sz w:val="19"/>
          <w:szCs w:val="19"/>
        </w:rPr>
        <w:sectPr>
          <w:pgSz w:w="10300" w:h="13300"/>
          <w:pgMar w:top="400" w:right="549" w:bottom="400" w:left="1159" w:header="0" w:footer="0" w:gutter="0"/>
          <w:cols w:space="720" w:num="1"/>
        </w:sectPr>
      </w:pPr>
    </w:p>
    <w:p w14:paraId="5156A51A">
      <w:pPr>
        <w:pStyle w:val="2"/>
        <w:spacing w:before="68" w:line="219" w:lineRule="auto"/>
        <w:rPr>
          <w:sz w:val="20"/>
          <w:szCs w:val="20"/>
        </w:rPr>
      </w:pPr>
      <w:bookmarkStart w:id="509" w:name="bookmark496"/>
      <w:bookmarkEnd w:id="509"/>
      <w:r>
        <w:rPr>
          <w:rFonts w:ascii="Times New Roman" w:hAnsi="Times New Roman" w:eastAsia="Times New Roman" w:cs="Times New Roman"/>
          <w:spacing w:val="-5"/>
          <w:position w:val="-1"/>
          <w:sz w:val="20"/>
          <w:szCs w:val="20"/>
        </w:rPr>
        <w:t>54</w:t>
      </w:r>
      <w:r>
        <w:rPr>
          <w:rFonts w:ascii="Times New Roman" w:hAnsi="Times New Roman" w:eastAsia="Times New Roman" w:cs="Times New Roman"/>
          <w:spacing w:val="2"/>
          <w:position w:val="-1"/>
          <w:sz w:val="20"/>
          <w:szCs w:val="20"/>
        </w:rPr>
        <w:t xml:space="preserve">              </w:t>
      </w:r>
      <w:r>
        <w:rPr>
          <w:spacing w:val="-5"/>
          <w:sz w:val="20"/>
          <w:szCs w:val="20"/>
        </w:rPr>
        <w:t>信息系统监理师教程(第2版)</w:t>
      </w:r>
    </w:p>
    <w:p w14:paraId="418D06DE">
      <w:pPr>
        <w:spacing w:line="304" w:lineRule="auto"/>
        <w:rPr>
          <w:rFonts w:ascii="Arial"/>
          <w:sz w:val="21"/>
        </w:rPr>
      </w:pPr>
    </w:p>
    <w:p w14:paraId="47373ECA">
      <w:pPr>
        <w:pStyle w:val="2"/>
        <w:spacing w:before="65" w:line="281" w:lineRule="auto"/>
        <w:ind w:left="968" w:right="69" w:hanging="289"/>
        <w:rPr>
          <w:sz w:val="20"/>
          <w:szCs w:val="20"/>
        </w:rPr>
      </w:pPr>
      <w:r>
        <w:rPr>
          <w:spacing w:val="3"/>
          <w:sz w:val="20"/>
          <w:szCs w:val="20"/>
        </w:rPr>
        <w:t>●进化与涌现性。系统中子系统或基本单元之间的交互作用，从整体上演化、进化出一些</w:t>
      </w:r>
      <w:r>
        <w:rPr>
          <w:spacing w:val="2"/>
          <w:sz w:val="20"/>
          <w:szCs w:val="20"/>
        </w:rPr>
        <w:t xml:space="preserve"> </w:t>
      </w:r>
      <w:r>
        <w:rPr>
          <w:spacing w:val="-3"/>
          <w:sz w:val="20"/>
          <w:szCs w:val="20"/>
        </w:rPr>
        <w:t>独特的新性质，如通过自组织方式形成某种模</w:t>
      </w:r>
      <w:r>
        <w:rPr>
          <w:spacing w:val="-4"/>
          <w:sz w:val="20"/>
          <w:szCs w:val="20"/>
        </w:rPr>
        <w:t>式。</w:t>
      </w:r>
    </w:p>
    <w:p w14:paraId="7136A210">
      <w:pPr>
        <w:pStyle w:val="2"/>
        <w:spacing w:before="92" w:line="219" w:lineRule="auto"/>
        <w:ind w:left="679"/>
        <w:rPr>
          <w:sz w:val="20"/>
          <w:szCs w:val="20"/>
        </w:rPr>
      </w:pPr>
      <w:r>
        <w:rPr>
          <w:spacing w:val="1"/>
          <w:sz w:val="20"/>
          <w:szCs w:val="20"/>
        </w:rPr>
        <w:t>●层次性。系统部件与功能上具有层次关系。</w:t>
      </w:r>
    </w:p>
    <w:p w14:paraId="51254B8D">
      <w:pPr>
        <w:pStyle w:val="2"/>
        <w:spacing w:before="72" w:line="219" w:lineRule="auto"/>
        <w:ind w:left="679"/>
        <w:rPr>
          <w:sz w:val="20"/>
          <w:szCs w:val="20"/>
        </w:rPr>
      </w:pPr>
      <w:r>
        <w:rPr>
          <w:spacing w:val="2"/>
          <w:sz w:val="20"/>
          <w:szCs w:val="20"/>
        </w:rPr>
        <w:t>●巨量性。数目极其巨大。</w:t>
      </w:r>
    </w:p>
    <w:p w14:paraId="656A3C01">
      <w:pPr>
        <w:pStyle w:val="2"/>
        <w:spacing w:before="94" w:line="300" w:lineRule="auto"/>
        <w:ind w:left="279" w:firstLine="400"/>
        <w:jc w:val="both"/>
        <w:rPr>
          <w:sz w:val="16"/>
          <w:szCs w:val="16"/>
        </w:rPr>
      </w:pPr>
      <w:r>
        <w:rPr>
          <w:spacing w:val="8"/>
          <w:sz w:val="20"/>
          <w:szCs w:val="20"/>
        </w:rPr>
        <w:t>钱学森教授提出的综合集成法，就其实质而言，是将专家群体(各方面的专家)、数据和</w:t>
      </w:r>
      <w:r>
        <w:rPr>
          <w:spacing w:val="13"/>
          <w:sz w:val="20"/>
          <w:szCs w:val="20"/>
        </w:rPr>
        <w:t xml:space="preserve"> </w:t>
      </w:r>
      <w:r>
        <w:rPr>
          <w:spacing w:val="3"/>
          <w:sz w:val="20"/>
          <w:szCs w:val="20"/>
        </w:rPr>
        <w:t>各种信息与计算机、网络等信息技术有机结合起来，把各种学科的科学理论和人</w:t>
      </w:r>
      <w:r>
        <w:rPr>
          <w:spacing w:val="2"/>
          <w:sz w:val="20"/>
          <w:szCs w:val="20"/>
        </w:rPr>
        <w:t>的认识结合起</w:t>
      </w:r>
      <w:r>
        <w:rPr>
          <w:sz w:val="20"/>
          <w:szCs w:val="20"/>
        </w:rPr>
        <w:t xml:space="preserve"> </w:t>
      </w:r>
      <w:r>
        <w:rPr>
          <w:spacing w:val="5"/>
          <w:sz w:val="20"/>
          <w:szCs w:val="20"/>
        </w:rPr>
        <w:t>来构成的系统，这个系统是基于网络的。应用综合集成</w:t>
      </w:r>
      <w:r>
        <w:rPr>
          <w:spacing w:val="4"/>
          <w:sz w:val="20"/>
          <w:szCs w:val="20"/>
        </w:rPr>
        <w:t>法对开放的复杂巨系统进行探索研究，</w:t>
      </w:r>
      <w:r>
        <w:rPr>
          <w:sz w:val="20"/>
          <w:szCs w:val="20"/>
        </w:rPr>
        <w:t xml:space="preserve"> </w:t>
      </w:r>
      <w:r>
        <w:rPr>
          <w:spacing w:val="3"/>
          <w:sz w:val="20"/>
          <w:szCs w:val="20"/>
        </w:rPr>
        <w:t>成为系统科学发展的里程碑，开辟了系统科学新的发展方向和研究领域。综合集成法的主要特</w:t>
      </w:r>
      <w:r>
        <w:rPr>
          <w:spacing w:val="13"/>
          <w:sz w:val="20"/>
          <w:szCs w:val="20"/>
        </w:rPr>
        <w:t xml:space="preserve"> </w:t>
      </w:r>
      <w:r>
        <w:rPr>
          <w:spacing w:val="-8"/>
          <w:sz w:val="16"/>
          <w:szCs w:val="16"/>
        </w:rPr>
        <w:t>点</w:t>
      </w:r>
      <w:r>
        <w:rPr>
          <w:spacing w:val="-16"/>
          <w:sz w:val="16"/>
          <w:szCs w:val="16"/>
        </w:rPr>
        <w:t xml:space="preserve"> </w:t>
      </w:r>
      <w:r>
        <w:rPr>
          <w:spacing w:val="-8"/>
          <w:sz w:val="16"/>
          <w:szCs w:val="16"/>
        </w:rPr>
        <w:t>有</w:t>
      </w:r>
      <w:r>
        <w:rPr>
          <w:spacing w:val="-25"/>
          <w:sz w:val="16"/>
          <w:szCs w:val="16"/>
        </w:rPr>
        <w:t xml:space="preserve"> </w:t>
      </w:r>
      <w:r>
        <w:rPr>
          <w:spacing w:val="-8"/>
          <w:sz w:val="16"/>
          <w:szCs w:val="16"/>
        </w:rPr>
        <w:t>：</w:t>
      </w:r>
    </w:p>
    <w:p w14:paraId="251313B6">
      <w:pPr>
        <w:pStyle w:val="2"/>
        <w:spacing w:before="27" w:line="219" w:lineRule="auto"/>
        <w:ind w:left="679"/>
        <w:rPr>
          <w:sz w:val="20"/>
          <w:szCs w:val="20"/>
        </w:rPr>
      </w:pPr>
      <w:r>
        <w:rPr>
          <w:sz w:val="20"/>
          <w:szCs w:val="20"/>
        </w:rPr>
        <w:t>●定性研究与定量研究有机结合，贯穿全过程；</w:t>
      </w:r>
    </w:p>
    <w:p w14:paraId="19BECF84">
      <w:pPr>
        <w:pStyle w:val="2"/>
        <w:spacing w:before="103" w:line="219" w:lineRule="auto"/>
        <w:ind w:left="679"/>
        <w:rPr>
          <w:sz w:val="20"/>
          <w:szCs w:val="20"/>
        </w:rPr>
      </w:pPr>
      <w:r>
        <w:rPr>
          <w:spacing w:val="1"/>
          <w:sz w:val="20"/>
          <w:szCs w:val="20"/>
        </w:rPr>
        <w:t>●科学理论与经验知识结合，把人们对客观事物的知识综合集成起来解决问题；</w:t>
      </w:r>
    </w:p>
    <w:p w14:paraId="011D8C8F">
      <w:pPr>
        <w:pStyle w:val="2"/>
        <w:spacing w:before="83" w:line="219" w:lineRule="auto"/>
        <w:ind w:left="679"/>
        <w:rPr>
          <w:sz w:val="20"/>
          <w:szCs w:val="20"/>
        </w:rPr>
      </w:pPr>
      <w:r>
        <w:rPr>
          <w:spacing w:val="1"/>
          <w:sz w:val="20"/>
          <w:szCs w:val="20"/>
        </w:rPr>
        <w:t>●应用系统思想把多种学科结合起来进行综</w:t>
      </w:r>
      <w:r>
        <w:rPr>
          <w:sz w:val="20"/>
          <w:szCs w:val="20"/>
        </w:rPr>
        <w:t>合研究；</w:t>
      </w:r>
    </w:p>
    <w:p w14:paraId="1EFB40BA">
      <w:pPr>
        <w:pStyle w:val="2"/>
        <w:spacing w:before="92" w:line="219" w:lineRule="auto"/>
        <w:ind w:left="679"/>
        <w:rPr>
          <w:sz w:val="20"/>
          <w:szCs w:val="20"/>
        </w:rPr>
      </w:pPr>
      <w:r>
        <w:rPr>
          <w:spacing w:val="1"/>
          <w:sz w:val="20"/>
          <w:szCs w:val="20"/>
        </w:rPr>
        <w:t>●根据复杂巨系统的层次结构，把宏观研究与微观研究统一起来；</w:t>
      </w:r>
    </w:p>
    <w:p w14:paraId="652521C9">
      <w:pPr>
        <w:pStyle w:val="2"/>
        <w:spacing w:before="63" w:line="267" w:lineRule="auto"/>
        <w:ind w:left="968" w:right="90" w:hanging="289"/>
        <w:rPr>
          <w:sz w:val="20"/>
          <w:szCs w:val="20"/>
        </w:rPr>
      </w:pPr>
      <w:r>
        <w:rPr>
          <w:spacing w:val="3"/>
          <w:sz w:val="20"/>
          <w:szCs w:val="20"/>
        </w:rPr>
        <w:t>●必须有大型计算机信息系统支持，不仅要有</w:t>
      </w:r>
      <w:r>
        <w:rPr>
          <w:spacing w:val="2"/>
          <w:sz w:val="20"/>
          <w:szCs w:val="20"/>
        </w:rPr>
        <w:t>管理信息系统、决策支持系统等功能，而且</w:t>
      </w:r>
      <w:r>
        <w:rPr>
          <w:sz w:val="20"/>
          <w:szCs w:val="20"/>
        </w:rPr>
        <w:t xml:space="preserve"> </w:t>
      </w:r>
      <w:r>
        <w:rPr>
          <w:spacing w:val="-3"/>
          <w:sz w:val="20"/>
          <w:szCs w:val="20"/>
        </w:rPr>
        <w:t>还要包括综合集成的功能。</w:t>
      </w:r>
    </w:p>
    <w:p w14:paraId="7926B3B4">
      <w:pPr>
        <w:spacing w:before="130" w:line="212" w:lineRule="auto"/>
        <w:ind w:left="679"/>
        <w:rPr>
          <w:rFonts w:ascii="楷体" w:hAnsi="楷体" w:eastAsia="楷体" w:cs="楷体"/>
          <w:sz w:val="20"/>
          <w:szCs w:val="20"/>
        </w:rPr>
      </w:pPr>
      <w:r>
        <w:rPr>
          <w:rFonts w:ascii="Times New Roman" w:hAnsi="Times New Roman" w:eastAsia="Times New Roman" w:cs="Times New Roman"/>
          <w:spacing w:val="-1"/>
          <w:sz w:val="20"/>
          <w:szCs w:val="20"/>
        </w:rPr>
        <w:t>5)WSR</w:t>
      </w:r>
      <w:r>
        <w:rPr>
          <w:rFonts w:ascii="Times New Roman" w:hAnsi="Times New Roman" w:eastAsia="Times New Roman" w:cs="Times New Roman"/>
          <w:spacing w:val="15"/>
          <w:sz w:val="20"/>
          <w:szCs w:val="20"/>
        </w:rPr>
        <w:t xml:space="preserve">   </w:t>
      </w:r>
      <w:r>
        <w:rPr>
          <w:rFonts w:ascii="楷体" w:hAnsi="楷体" w:eastAsia="楷体" w:cs="楷体"/>
          <w:spacing w:val="-1"/>
          <w:sz w:val="20"/>
          <w:szCs w:val="20"/>
        </w:rPr>
        <w:t>系统方法</w:t>
      </w:r>
    </w:p>
    <w:p w14:paraId="12205DF5">
      <w:pPr>
        <w:pStyle w:val="2"/>
        <w:spacing w:before="102" w:line="285" w:lineRule="auto"/>
        <w:ind w:left="279" w:firstLine="400"/>
        <w:rPr>
          <w:sz w:val="20"/>
          <w:szCs w:val="20"/>
        </w:rPr>
      </w:pPr>
      <w:r>
        <w:rPr>
          <w:rFonts w:ascii="Times New Roman" w:hAnsi="Times New Roman" w:eastAsia="Times New Roman" w:cs="Times New Roman"/>
          <w:sz w:val="20"/>
          <w:szCs w:val="20"/>
        </w:rPr>
        <w:t>WSR</w:t>
      </w:r>
      <w:r>
        <w:rPr>
          <w:rFonts w:ascii="Times New Roman" w:hAnsi="Times New Roman" w:eastAsia="Times New Roman" w:cs="Times New Roman"/>
          <w:spacing w:val="-12"/>
          <w:sz w:val="20"/>
          <w:szCs w:val="20"/>
        </w:rPr>
        <w:t xml:space="preserve"> </w:t>
      </w:r>
      <w:r>
        <w:rPr>
          <w:spacing w:val="8"/>
          <w:sz w:val="20"/>
          <w:szCs w:val="20"/>
        </w:rPr>
        <w:t>是将物理</w:t>
      </w:r>
      <w:r>
        <w:rPr>
          <w:spacing w:val="-47"/>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Wuli</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8"/>
          <w:sz w:val="20"/>
          <w:szCs w:val="20"/>
        </w:rPr>
        <w:t xml:space="preserve"> </w:t>
      </w:r>
      <w:r>
        <w:rPr>
          <w:spacing w:val="8"/>
          <w:sz w:val="20"/>
          <w:szCs w:val="20"/>
        </w:rPr>
        <w:t>、 事</w:t>
      </w:r>
      <w:r>
        <w:rPr>
          <w:spacing w:val="-15"/>
          <w:sz w:val="20"/>
          <w:szCs w:val="20"/>
        </w:rPr>
        <w:t xml:space="preserve"> </w:t>
      </w:r>
      <w:r>
        <w:rPr>
          <w:spacing w:val="8"/>
          <w:sz w:val="20"/>
          <w:szCs w:val="20"/>
        </w:rPr>
        <w:t>理</w:t>
      </w:r>
      <w:r>
        <w:rPr>
          <w:spacing w:val="-47"/>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Shili</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9"/>
          <w:sz w:val="20"/>
          <w:szCs w:val="20"/>
        </w:rPr>
        <w:t xml:space="preserve"> </w:t>
      </w:r>
      <w:r>
        <w:rPr>
          <w:spacing w:val="8"/>
          <w:sz w:val="20"/>
          <w:szCs w:val="20"/>
        </w:rPr>
        <w:t>、 人</w:t>
      </w:r>
      <w:r>
        <w:rPr>
          <w:spacing w:val="-23"/>
          <w:sz w:val="20"/>
          <w:szCs w:val="20"/>
        </w:rPr>
        <w:t xml:space="preserve"> </w:t>
      </w:r>
      <w:r>
        <w:rPr>
          <w:spacing w:val="8"/>
          <w:sz w:val="20"/>
          <w:szCs w:val="20"/>
        </w:rPr>
        <w:t>理</w:t>
      </w:r>
      <w:r>
        <w:rPr>
          <w:spacing w:val="-57"/>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Renli</w:t>
      </w:r>
      <w:r>
        <w:rPr>
          <w:rFonts w:ascii="Times New Roman" w:hAnsi="Times New Roman" w:eastAsia="Times New Roman" w:cs="Times New Roman"/>
          <w:spacing w:val="8"/>
          <w:sz w:val="20"/>
          <w:szCs w:val="20"/>
        </w:rPr>
        <w:t xml:space="preserve">)    </w:t>
      </w:r>
      <w:r>
        <w:rPr>
          <w:spacing w:val="8"/>
          <w:sz w:val="20"/>
          <w:szCs w:val="20"/>
        </w:rPr>
        <w:t>三者合理配置</w:t>
      </w:r>
      <w:r>
        <w:rPr>
          <w:spacing w:val="7"/>
          <w:sz w:val="20"/>
          <w:szCs w:val="20"/>
        </w:rPr>
        <w:t>、有效利用以解决</w:t>
      </w:r>
      <w:r>
        <w:rPr>
          <w:sz w:val="20"/>
          <w:szCs w:val="20"/>
        </w:rPr>
        <w:t xml:space="preserve"> </w:t>
      </w:r>
      <w:r>
        <w:rPr>
          <w:spacing w:val="7"/>
          <w:sz w:val="20"/>
          <w:szCs w:val="20"/>
        </w:rPr>
        <w:t>问题的一种系统方法论，由中国著名系统科学专家顾基发教授和朱志昌博士于1994年在英国</w:t>
      </w:r>
      <w:r>
        <w:rPr>
          <w:spacing w:val="15"/>
          <w:sz w:val="20"/>
          <w:szCs w:val="20"/>
        </w:rPr>
        <w:t xml:space="preserve"> </w:t>
      </w:r>
      <w:r>
        <w:rPr>
          <w:rFonts w:ascii="Times New Roman" w:hAnsi="Times New Roman" w:eastAsia="Times New Roman" w:cs="Times New Roman"/>
          <w:sz w:val="20"/>
          <w:szCs w:val="20"/>
        </w:rPr>
        <w:t>HULL</w:t>
      </w:r>
      <w:r>
        <w:rPr>
          <w:rFonts w:ascii="Times New Roman" w:hAnsi="Times New Roman" w:eastAsia="Times New Roman" w:cs="Times New Roman"/>
          <w:spacing w:val="-20"/>
          <w:sz w:val="20"/>
          <w:szCs w:val="20"/>
        </w:rPr>
        <w:t xml:space="preserve"> </w:t>
      </w:r>
      <w:r>
        <w:rPr>
          <w:spacing w:val="6"/>
          <w:sz w:val="20"/>
          <w:szCs w:val="20"/>
        </w:rPr>
        <w:t>大学提出。它既是一种方法论，又是一种解决复杂问题的工具。在观察和分析问</w:t>
      </w:r>
      <w:r>
        <w:rPr>
          <w:spacing w:val="5"/>
          <w:sz w:val="20"/>
          <w:szCs w:val="20"/>
        </w:rPr>
        <w:t>题时，</w:t>
      </w:r>
      <w:r>
        <w:rPr>
          <w:sz w:val="20"/>
          <w:szCs w:val="20"/>
        </w:rPr>
        <w:t xml:space="preserve"> 尤其是观察分析具备复杂特性的系统时，</w:t>
      </w:r>
      <w:r>
        <w:rPr>
          <w:rFonts w:ascii="Times New Roman" w:hAnsi="Times New Roman" w:eastAsia="Times New Roman" w:cs="Times New Roman"/>
          <w:sz w:val="20"/>
          <w:szCs w:val="20"/>
        </w:rPr>
        <w:t xml:space="preserve">WSR </w:t>
      </w:r>
      <w:r>
        <w:rPr>
          <w:sz w:val="20"/>
          <w:szCs w:val="20"/>
        </w:rPr>
        <w:t>体现了其独特性，并具有中国传统哲学的思辨思</w:t>
      </w:r>
      <w:r>
        <w:rPr>
          <w:spacing w:val="9"/>
          <w:sz w:val="20"/>
          <w:szCs w:val="20"/>
        </w:rPr>
        <w:t xml:space="preserve">  </w:t>
      </w:r>
      <w:r>
        <w:rPr>
          <w:sz w:val="20"/>
          <w:szCs w:val="20"/>
        </w:rPr>
        <w:t>想，是多种方法的综合统一。</w:t>
      </w:r>
      <w:r>
        <w:rPr>
          <w:rFonts w:ascii="Times New Roman" w:hAnsi="Times New Roman" w:eastAsia="Times New Roman" w:cs="Times New Roman"/>
          <w:sz w:val="20"/>
          <w:szCs w:val="20"/>
        </w:rPr>
        <w:t xml:space="preserve">WSR </w:t>
      </w:r>
      <w:r>
        <w:rPr>
          <w:sz w:val="20"/>
          <w:szCs w:val="20"/>
        </w:rPr>
        <w:t>将多种方法条理化、层次化，化繁为简，属于定性与定量分</w:t>
      </w:r>
      <w:r>
        <w:rPr>
          <w:spacing w:val="7"/>
          <w:sz w:val="20"/>
          <w:szCs w:val="20"/>
        </w:rPr>
        <w:t xml:space="preserve">  </w:t>
      </w:r>
      <w:r>
        <w:rPr>
          <w:spacing w:val="-3"/>
          <w:sz w:val="20"/>
          <w:szCs w:val="20"/>
        </w:rPr>
        <w:t>析综合集成的东方系统思想。</w:t>
      </w:r>
    </w:p>
    <w:p w14:paraId="2A6F94C8">
      <w:pPr>
        <w:pStyle w:val="2"/>
        <w:spacing w:before="36" w:line="280" w:lineRule="auto"/>
        <w:ind w:left="279" w:right="27" w:firstLine="400"/>
        <w:jc w:val="both"/>
        <w:rPr>
          <w:sz w:val="20"/>
          <w:szCs w:val="20"/>
        </w:rPr>
      </w:pPr>
      <w:r>
        <w:rPr>
          <w:rFonts w:ascii="Times New Roman" w:hAnsi="Times New Roman" w:eastAsia="Times New Roman" w:cs="Times New Roman"/>
          <w:sz w:val="20"/>
          <w:szCs w:val="20"/>
        </w:rPr>
        <w:t>WSR</w:t>
      </w:r>
      <w:r>
        <w:rPr>
          <w:spacing w:val="2"/>
          <w:sz w:val="20"/>
          <w:szCs w:val="20"/>
        </w:rPr>
        <w:t>系统方法论的内容易于理解，而具体实践方法与过程按照实</w:t>
      </w:r>
      <w:r>
        <w:rPr>
          <w:spacing w:val="1"/>
          <w:sz w:val="20"/>
          <w:szCs w:val="20"/>
        </w:rPr>
        <w:t>践领域与考察对象可灵活</w:t>
      </w:r>
      <w:r>
        <w:rPr>
          <w:sz w:val="20"/>
          <w:szCs w:val="20"/>
        </w:rPr>
        <w:t xml:space="preserve"> </w:t>
      </w:r>
      <w:r>
        <w:rPr>
          <w:spacing w:val="-3"/>
          <w:sz w:val="20"/>
          <w:szCs w:val="20"/>
        </w:rPr>
        <w:t>调整。</w:t>
      </w:r>
      <w:r>
        <w:rPr>
          <w:rFonts w:ascii="Times New Roman" w:hAnsi="Times New Roman" w:eastAsia="Times New Roman" w:cs="Times New Roman"/>
          <w:spacing w:val="-3"/>
          <w:sz w:val="20"/>
          <w:szCs w:val="20"/>
        </w:rPr>
        <w:t>WSR</w:t>
      </w:r>
      <w:r>
        <w:rPr>
          <w:rFonts w:ascii="Times New Roman" w:hAnsi="Times New Roman" w:eastAsia="Times New Roman" w:cs="Times New Roman"/>
          <w:spacing w:val="18"/>
          <w:sz w:val="20"/>
          <w:szCs w:val="20"/>
        </w:rPr>
        <w:t xml:space="preserve"> </w:t>
      </w:r>
      <w:r>
        <w:rPr>
          <w:spacing w:val="-3"/>
          <w:sz w:val="20"/>
          <w:szCs w:val="20"/>
        </w:rPr>
        <w:t>方法论的一般工作过程包含理解意图、制定目标、调查分析</w:t>
      </w:r>
      <w:r>
        <w:rPr>
          <w:spacing w:val="-4"/>
          <w:sz w:val="20"/>
          <w:szCs w:val="20"/>
        </w:rPr>
        <w:t>、构造策略、选择方案、</w:t>
      </w:r>
      <w:r>
        <w:rPr>
          <w:sz w:val="20"/>
          <w:szCs w:val="20"/>
        </w:rPr>
        <w:t xml:space="preserve"> </w:t>
      </w:r>
      <w:r>
        <w:rPr>
          <w:spacing w:val="2"/>
          <w:sz w:val="20"/>
          <w:szCs w:val="20"/>
        </w:rPr>
        <w:t xml:space="preserve">协调关系和实现构想七个步骤。这些步骤不一定严格依照顺序执行，其中，协调关系始终贯穿 </w:t>
      </w:r>
      <w:r>
        <w:rPr>
          <w:spacing w:val="-5"/>
          <w:sz w:val="20"/>
          <w:szCs w:val="20"/>
        </w:rPr>
        <w:t>于整个过程，具体表现为：</w:t>
      </w:r>
    </w:p>
    <w:p w14:paraId="3EABAE94">
      <w:pPr>
        <w:pStyle w:val="2"/>
        <w:spacing w:before="48" w:line="263" w:lineRule="auto"/>
        <w:ind w:left="968" w:hanging="289"/>
        <w:rPr>
          <w:sz w:val="20"/>
          <w:szCs w:val="20"/>
        </w:rPr>
      </w:pPr>
      <w:r>
        <w:rPr>
          <w:spacing w:val="5"/>
          <w:sz w:val="20"/>
          <w:szCs w:val="20"/>
        </w:rPr>
        <w:t>●协调关系不仅仅是协调人与人的关系，实际上协调关系可以是协调每一</w:t>
      </w:r>
      <w:r>
        <w:rPr>
          <w:spacing w:val="4"/>
          <w:sz w:val="20"/>
          <w:szCs w:val="20"/>
        </w:rPr>
        <w:t>步实践中物理、</w:t>
      </w:r>
      <w:r>
        <w:rPr>
          <w:sz w:val="20"/>
          <w:szCs w:val="20"/>
        </w:rPr>
        <w:t xml:space="preserve"> </w:t>
      </w:r>
      <w:r>
        <w:rPr>
          <w:spacing w:val="-6"/>
          <w:sz w:val="20"/>
          <w:szCs w:val="20"/>
        </w:rPr>
        <w:t>事理和人理的关系；</w:t>
      </w:r>
    </w:p>
    <w:p w14:paraId="3EBE03A0">
      <w:pPr>
        <w:pStyle w:val="2"/>
        <w:spacing w:before="82" w:line="220" w:lineRule="auto"/>
        <w:ind w:left="679"/>
        <w:rPr>
          <w:sz w:val="20"/>
          <w:szCs w:val="20"/>
        </w:rPr>
      </w:pPr>
      <w:r>
        <w:rPr>
          <w:sz w:val="20"/>
          <w:szCs w:val="20"/>
        </w:rPr>
        <w:t>●协调意图、目标、现实、策略、方案、构想间的关系；</w:t>
      </w:r>
    </w:p>
    <w:p w14:paraId="0359C224">
      <w:pPr>
        <w:pStyle w:val="2"/>
        <w:spacing w:before="81" w:line="219" w:lineRule="auto"/>
        <w:ind w:left="679"/>
        <w:rPr>
          <w:sz w:val="20"/>
          <w:szCs w:val="20"/>
        </w:rPr>
      </w:pPr>
      <w:r>
        <w:rPr>
          <w:sz w:val="20"/>
          <w:szCs w:val="20"/>
        </w:rPr>
        <w:t>●协调系统实践的投入、产出与成效的关系；</w:t>
      </w:r>
    </w:p>
    <w:p w14:paraId="5F2B94A0">
      <w:pPr>
        <w:pStyle w:val="2"/>
        <w:spacing w:before="83" w:line="219" w:lineRule="auto"/>
        <w:ind w:left="679"/>
        <w:rPr>
          <w:sz w:val="20"/>
          <w:szCs w:val="20"/>
        </w:rPr>
      </w:pPr>
      <w:r>
        <w:rPr>
          <w:spacing w:val="1"/>
          <w:sz w:val="20"/>
          <w:szCs w:val="20"/>
        </w:rPr>
        <w:t>●协调都需要由人完成，着眼点与手段应根据协调对象的不同而</w:t>
      </w:r>
      <w:r>
        <w:rPr>
          <w:sz w:val="20"/>
          <w:szCs w:val="20"/>
        </w:rPr>
        <w:t>有所不同。</w:t>
      </w:r>
    </w:p>
    <w:p w14:paraId="7A5239C2">
      <w:pPr>
        <w:pStyle w:val="2"/>
        <w:spacing w:before="63" w:line="279" w:lineRule="auto"/>
        <w:ind w:left="279" w:right="19" w:firstLine="400"/>
        <w:jc w:val="both"/>
        <w:rPr>
          <w:sz w:val="20"/>
          <w:szCs w:val="20"/>
        </w:rPr>
      </w:pPr>
      <w:r>
        <w:rPr>
          <w:rFonts w:ascii="Times New Roman" w:hAnsi="Times New Roman" w:eastAsia="Times New Roman" w:cs="Times New Roman"/>
          <w:sz w:val="20"/>
          <w:szCs w:val="20"/>
        </w:rPr>
        <w:t>WSR</w:t>
      </w:r>
      <w:r>
        <w:rPr>
          <w:spacing w:val="7"/>
          <w:sz w:val="20"/>
          <w:szCs w:val="20"/>
        </w:rPr>
        <w:t>系统方法论中，物理主要应用自然科学中的各种科学方法；事理主要使用各种运筹</w:t>
      </w:r>
      <w:r>
        <w:rPr>
          <w:spacing w:val="15"/>
          <w:sz w:val="20"/>
          <w:szCs w:val="20"/>
        </w:rPr>
        <w:t xml:space="preserve"> </w:t>
      </w:r>
      <w:r>
        <w:rPr>
          <w:spacing w:val="7"/>
          <w:sz w:val="20"/>
          <w:szCs w:val="20"/>
        </w:rPr>
        <w:t>学、系统工程、管理科学、控制论和一些数学方法，</w:t>
      </w:r>
      <w:r>
        <w:rPr>
          <w:spacing w:val="6"/>
          <w:sz w:val="20"/>
          <w:szCs w:val="20"/>
        </w:rPr>
        <w:t>特别是近年来的软计算方法(进化计算、</w:t>
      </w:r>
      <w:r>
        <w:rPr>
          <w:sz w:val="20"/>
          <w:szCs w:val="20"/>
        </w:rPr>
        <w:t xml:space="preserve"> </w:t>
      </w:r>
      <w:r>
        <w:rPr>
          <w:spacing w:val="3"/>
          <w:sz w:val="20"/>
          <w:szCs w:val="20"/>
        </w:rPr>
        <w:t>模糊计算和网络计算等),以及各种模型和仿</w:t>
      </w:r>
      <w:r>
        <w:rPr>
          <w:spacing w:val="2"/>
          <w:sz w:val="20"/>
          <w:szCs w:val="20"/>
        </w:rPr>
        <w:t>真技术等，还有一些定性方法及定性和定量结合的</w:t>
      </w:r>
      <w:r>
        <w:rPr>
          <w:sz w:val="20"/>
          <w:szCs w:val="20"/>
        </w:rPr>
        <w:t xml:space="preserve"> </w:t>
      </w:r>
      <w:r>
        <w:rPr>
          <w:spacing w:val="-1"/>
          <w:sz w:val="20"/>
          <w:szCs w:val="20"/>
        </w:rPr>
        <w:t>方法，例如德尔菲法、层次分析法等；人理可以细分为关系、感情、习惯、知识、利益等。</w:t>
      </w:r>
    </w:p>
    <w:p w14:paraId="1B6D349C">
      <w:pPr>
        <w:pStyle w:val="2"/>
        <w:spacing w:before="31" w:line="219" w:lineRule="auto"/>
        <w:ind w:left="679"/>
        <w:rPr>
          <w:sz w:val="20"/>
          <w:szCs w:val="20"/>
        </w:rPr>
      </w:pPr>
      <w:r>
        <w:rPr>
          <w:spacing w:val="1"/>
          <w:sz w:val="20"/>
          <w:szCs w:val="20"/>
        </w:rPr>
        <w:t>●关系。人之间都有相互关系，需要去深入了解，并将它们适当</w:t>
      </w:r>
      <w:r>
        <w:rPr>
          <w:sz w:val="20"/>
          <w:szCs w:val="20"/>
        </w:rPr>
        <w:t>表示出来。</w:t>
      </w:r>
    </w:p>
    <w:p w14:paraId="38C7E604">
      <w:pPr>
        <w:spacing w:line="219" w:lineRule="auto"/>
        <w:rPr>
          <w:sz w:val="20"/>
          <w:szCs w:val="20"/>
        </w:rPr>
        <w:sectPr>
          <w:pgSz w:w="10320" w:h="13420"/>
          <w:pgMar w:top="400" w:right="1129" w:bottom="400" w:left="520" w:header="0" w:footer="0" w:gutter="0"/>
          <w:cols w:space="720" w:num="1"/>
        </w:sectPr>
      </w:pPr>
    </w:p>
    <w:p w14:paraId="40968016">
      <w:pPr>
        <w:pStyle w:val="2"/>
        <w:spacing w:before="29"/>
        <w:jc w:val="right"/>
        <w:rPr>
          <w:rFonts w:ascii="Times New Roman" w:hAnsi="Times New Roman" w:eastAsia="Times New Roman" w:cs="Times New Roman"/>
          <w:sz w:val="17"/>
          <w:szCs w:val="17"/>
        </w:rPr>
      </w:pPr>
      <w:bookmarkStart w:id="510" w:name="bookmark497"/>
      <w:bookmarkEnd w:id="510"/>
      <w:r>
        <w:rPr>
          <w:spacing w:val="-2"/>
          <w:sz w:val="20"/>
          <w:szCs w:val="20"/>
        </w:rPr>
        <w:t>第2章 信息系统工程</w:t>
      </w:r>
      <w:r>
        <w:rPr>
          <w:spacing w:val="34"/>
          <w:sz w:val="20"/>
          <w:szCs w:val="20"/>
        </w:rPr>
        <w:t xml:space="preserve"> </w:t>
      </w:r>
      <w:r>
        <w:rPr>
          <w:position w:val="-13"/>
          <w:sz w:val="20"/>
          <w:szCs w:val="20"/>
        </w:rPr>
        <w:drawing>
          <wp:inline distT="0" distB="0" distL="0" distR="0">
            <wp:extent cx="310515" cy="2349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0"/>
                    <a:stretch>
                      <a:fillRect/>
                    </a:stretch>
                  </pic:blipFill>
                  <pic:spPr>
                    <a:xfrm>
                      <a:off x="0" y="0"/>
                      <a:ext cx="311131" cy="234953"/>
                    </a:xfrm>
                    <a:prstGeom prst="rect">
                      <a:avLst/>
                    </a:prstGeom>
                  </pic:spPr>
                </pic:pic>
              </a:graphicData>
            </a:graphic>
          </wp:inline>
        </w:drawing>
      </w:r>
      <w:r>
        <w:rPr>
          <w:spacing w:val="-50"/>
          <w:sz w:val="20"/>
          <w:szCs w:val="20"/>
        </w:rPr>
        <w:t xml:space="preserve"> </w:t>
      </w:r>
      <w:r>
        <w:rPr>
          <w:rFonts w:ascii="Times New Roman" w:hAnsi="Times New Roman" w:eastAsia="Times New Roman" w:cs="Times New Roman"/>
          <w:spacing w:val="-2"/>
          <w:sz w:val="17"/>
          <w:szCs w:val="17"/>
        </w:rPr>
        <w:t>55</w:t>
      </w:r>
    </w:p>
    <w:p w14:paraId="0912E442">
      <w:pPr>
        <w:spacing w:line="241" w:lineRule="auto"/>
        <w:rPr>
          <w:rFonts w:ascii="Arial"/>
          <w:sz w:val="21"/>
        </w:rPr>
      </w:pPr>
    </w:p>
    <w:p w14:paraId="64783D20">
      <w:pPr>
        <w:pStyle w:val="2"/>
        <w:spacing w:before="65" w:line="219" w:lineRule="auto"/>
        <w:ind w:left="399"/>
        <w:rPr>
          <w:sz w:val="20"/>
          <w:szCs w:val="20"/>
        </w:rPr>
      </w:pPr>
      <w:r>
        <w:rPr>
          <w:spacing w:val="1"/>
          <w:sz w:val="20"/>
          <w:szCs w:val="20"/>
        </w:rPr>
        <w:t>●感情。人之间是有感情的，可以用各种方法直接或间接地找出来。</w:t>
      </w:r>
    </w:p>
    <w:p w14:paraId="4508B76C">
      <w:pPr>
        <w:pStyle w:val="2"/>
        <w:spacing w:before="81" w:line="276" w:lineRule="auto"/>
        <w:ind w:left="699" w:right="243" w:hanging="300"/>
        <w:rPr>
          <w:sz w:val="20"/>
          <w:szCs w:val="20"/>
        </w:rPr>
      </w:pPr>
      <w:r>
        <w:rPr>
          <w:spacing w:val="8"/>
          <w:sz w:val="20"/>
          <w:szCs w:val="20"/>
        </w:rPr>
        <w:t>●习惯。人们在待人、处世、办事和做决策时都有一定的习惯，就像物体运动时会有惯</w:t>
      </w:r>
      <w:r>
        <w:rPr>
          <w:spacing w:val="14"/>
          <w:sz w:val="20"/>
          <w:szCs w:val="20"/>
        </w:rPr>
        <w:t xml:space="preserve"> </w:t>
      </w:r>
      <w:r>
        <w:rPr>
          <w:spacing w:val="1"/>
          <w:sz w:val="20"/>
          <w:szCs w:val="20"/>
        </w:rPr>
        <w:t>性。人们可以从一个人过去的习惯去判断这个人会怎样做事，也可以改造一些不好</w:t>
      </w:r>
      <w:r>
        <w:rPr>
          <w:sz w:val="20"/>
          <w:szCs w:val="20"/>
        </w:rPr>
        <w:t xml:space="preserve">的习 </w:t>
      </w:r>
      <w:r>
        <w:rPr>
          <w:spacing w:val="-3"/>
          <w:sz w:val="20"/>
          <w:szCs w:val="20"/>
        </w:rPr>
        <w:t>惯，建立一些好的习惯。</w:t>
      </w:r>
    </w:p>
    <w:p w14:paraId="44562995">
      <w:pPr>
        <w:pStyle w:val="2"/>
        <w:spacing w:before="84" w:line="262" w:lineRule="auto"/>
        <w:ind w:left="699" w:right="257" w:hanging="300"/>
        <w:rPr>
          <w:sz w:val="20"/>
          <w:szCs w:val="20"/>
        </w:rPr>
      </w:pPr>
      <w:r>
        <w:rPr>
          <w:spacing w:val="3"/>
          <w:sz w:val="20"/>
          <w:szCs w:val="20"/>
        </w:rPr>
        <w:t>●知识。人能拥有知识和创造知识的能力，因此要找到知识的表达，特别是把隐性知识如</w:t>
      </w:r>
      <w:r>
        <w:rPr>
          <w:spacing w:val="6"/>
          <w:sz w:val="20"/>
          <w:szCs w:val="20"/>
        </w:rPr>
        <w:t xml:space="preserve"> </w:t>
      </w:r>
      <w:r>
        <w:rPr>
          <w:spacing w:val="-3"/>
          <w:sz w:val="20"/>
          <w:szCs w:val="20"/>
        </w:rPr>
        <w:t>何变成更多人可以掌握的显性知识。</w:t>
      </w:r>
    </w:p>
    <w:p w14:paraId="50FC64C6">
      <w:pPr>
        <w:pStyle w:val="2"/>
        <w:spacing w:before="102" w:line="219" w:lineRule="auto"/>
        <w:ind w:left="399"/>
        <w:rPr>
          <w:sz w:val="20"/>
          <w:szCs w:val="20"/>
        </w:rPr>
      </w:pPr>
      <w:r>
        <w:rPr>
          <w:spacing w:val="2"/>
          <w:sz w:val="20"/>
          <w:szCs w:val="20"/>
        </w:rPr>
        <w:t>●利益。不同人有不同的利益，如何去协调，争取利益。</w:t>
      </w:r>
    </w:p>
    <w:p w14:paraId="03A7A571">
      <w:pPr>
        <w:pStyle w:val="2"/>
        <w:spacing w:before="73" w:line="281" w:lineRule="auto"/>
        <w:ind w:right="259" w:firstLine="399"/>
        <w:rPr>
          <w:sz w:val="20"/>
          <w:szCs w:val="20"/>
        </w:rPr>
      </w:pPr>
      <w:r>
        <w:rPr>
          <w:spacing w:val="3"/>
          <w:sz w:val="20"/>
          <w:szCs w:val="20"/>
        </w:rPr>
        <w:t>在管物、管事的同时需要对人进行管理。例如，在计划协调技术和统筹法中，要安排好项</w:t>
      </w:r>
      <w:r>
        <w:rPr>
          <w:spacing w:val="4"/>
          <w:sz w:val="20"/>
          <w:szCs w:val="20"/>
        </w:rPr>
        <w:t xml:space="preserve"> </w:t>
      </w:r>
      <w:r>
        <w:rPr>
          <w:spacing w:val="-4"/>
          <w:sz w:val="20"/>
          <w:szCs w:val="20"/>
        </w:rPr>
        <w:t>目中的时间、设备，同时还要考虑人的资源。</w:t>
      </w:r>
    </w:p>
    <w:p w14:paraId="0FDD69CA">
      <w:pPr>
        <w:pStyle w:val="2"/>
        <w:spacing w:before="211" w:line="220" w:lineRule="auto"/>
        <w:ind w:left="2"/>
        <w:rPr>
          <w:sz w:val="25"/>
          <w:szCs w:val="25"/>
        </w:rPr>
      </w:pPr>
      <w:r>
        <w:rPr>
          <w:b/>
          <w:bCs/>
          <w:color w:val="0084DD"/>
          <w:spacing w:val="-19"/>
          <w:sz w:val="25"/>
          <w:szCs w:val="25"/>
        </w:rPr>
        <w:t>2.2.2</w:t>
      </w:r>
      <w:r>
        <w:rPr>
          <w:color w:val="0084DD"/>
          <w:spacing w:val="100"/>
          <w:sz w:val="25"/>
          <w:szCs w:val="25"/>
        </w:rPr>
        <w:t xml:space="preserve"> </w:t>
      </w:r>
      <w:r>
        <w:rPr>
          <w:b/>
          <w:bCs/>
          <w:color w:val="0084DD"/>
          <w:spacing w:val="-19"/>
          <w:sz w:val="25"/>
          <w:szCs w:val="25"/>
        </w:rPr>
        <w:t>系统工程生命周期</w:t>
      </w:r>
    </w:p>
    <w:p w14:paraId="6CF98BCC">
      <w:pPr>
        <w:pStyle w:val="2"/>
        <w:spacing w:before="162" w:line="219" w:lineRule="auto"/>
        <w:ind w:left="399"/>
        <w:rPr>
          <w:sz w:val="20"/>
          <w:szCs w:val="20"/>
        </w:rPr>
      </w:pPr>
      <w:r>
        <w:rPr>
          <w:spacing w:val="-2"/>
          <w:sz w:val="20"/>
          <w:szCs w:val="20"/>
        </w:rPr>
        <w:t>系统工程生命周期一般包括如下七个阶段。</w:t>
      </w:r>
    </w:p>
    <w:p w14:paraId="5AC356D5">
      <w:pPr>
        <w:spacing w:before="139" w:line="224" w:lineRule="auto"/>
        <w:ind w:left="399"/>
        <w:rPr>
          <w:rFonts w:ascii="楷体" w:hAnsi="楷体" w:eastAsia="楷体" w:cs="楷体"/>
          <w:sz w:val="20"/>
          <w:szCs w:val="20"/>
        </w:rPr>
      </w:pPr>
      <w:r>
        <w:rPr>
          <w:rFonts w:ascii="楷体" w:hAnsi="楷体" w:eastAsia="楷体" w:cs="楷体"/>
          <w:spacing w:val="7"/>
          <w:sz w:val="20"/>
          <w:szCs w:val="20"/>
        </w:rPr>
        <w:t>1)探索性研究阶段</w:t>
      </w:r>
    </w:p>
    <w:p w14:paraId="1F8AD3AA">
      <w:pPr>
        <w:pStyle w:val="2"/>
        <w:spacing w:before="70" w:line="287" w:lineRule="auto"/>
        <w:ind w:right="263" w:firstLine="399"/>
        <w:rPr>
          <w:sz w:val="20"/>
          <w:szCs w:val="20"/>
        </w:rPr>
      </w:pPr>
      <w:r>
        <w:rPr>
          <w:spacing w:val="3"/>
          <w:sz w:val="20"/>
          <w:szCs w:val="20"/>
        </w:rPr>
        <w:t>探索性研究阶段的目的是识别利益相关者的需求，探索创意和技术。许多行业通过探索性</w:t>
      </w:r>
      <w:r>
        <w:rPr>
          <w:sz w:val="20"/>
          <w:szCs w:val="20"/>
        </w:rPr>
        <w:t xml:space="preserve"> </w:t>
      </w:r>
      <w:r>
        <w:rPr>
          <w:spacing w:val="3"/>
          <w:sz w:val="20"/>
          <w:szCs w:val="20"/>
        </w:rPr>
        <w:t>研究阶段来研究诸多新的创意或创新型技术和能力，然后使其发展进入到一个新</w:t>
      </w:r>
      <w:r>
        <w:rPr>
          <w:spacing w:val="2"/>
          <w:sz w:val="20"/>
          <w:szCs w:val="20"/>
        </w:rPr>
        <w:t>项目的启动阶</w:t>
      </w:r>
      <w:r>
        <w:rPr>
          <w:sz w:val="20"/>
          <w:szCs w:val="20"/>
        </w:rPr>
        <w:t xml:space="preserve"> </w:t>
      </w:r>
      <w:r>
        <w:rPr>
          <w:spacing w:val="-2"/>
          <w:sz w:val="20"/>
          <w:szCs w:val="20"/>
        </w:rPr>
        <w:t>段。大量的创造性系统工程在该阶段完成。</w:t>
      </w:r>
    </w:p>
    <w:p w14:paraId="0B680F64">
      <w:pPr>
        <w:spacing w:before="99" w:line="228" w:lineRule="auto"/>
        <w:ind w:left="399"/>
        <w:rPr>
          <w:rFonts w:ascii="楷体" w:hAnsi="楷体" w:eastAsia="楷体" w:cs="楷体"/>
          <w:sz w:val="20"/>
          <w:szCs w:val="20"/>
        </w:rPr>
      </w:pPr>
      <w:r>
        <w:rPr>
          <w:rFonts w:ascii="楷体" w:hAnsi="楷体" w:eastAsia="楷体" w:cs="楷体"/>
          <w:spacing w:val="16"/>
          <w:sz w:val="20"/>
          <w:szCs w:val="20"/>
        </w:rPr>
        <w:t>2)概念阶段</w:t>
      </w:r>
    </w:p>
    <w:p w14:paraId="23306D1A">
      <w:pPr>
        <w:pStyle w:val="2"/>
        <w:spacing w:before="63" w:line="277" w:lineRule="auto"/>
        <w:ind w:right="262" w:firstLine="399"/>
        <w:rPr>
          <w:sz w:val="20"/>
          <w:szCs w:val="20"/>
        </w:rPr>
      </w:pPr>
      <w:r>
        <w:rPr>
          <w:spacing w:val="3"/>
          <w:sz w:val="20"/>
          <w:szCs w:val="20"/>
        </w:rPr>
        <w:t>概念阶段的目的是细化利益相关者的需求，探索可行概念，提出有望实现的解决方案。概</w:t>
      </w:r>
      <w:r>
        <w:rPr>
          <w:sz w:val="20"/>
          <w:szCs w:val="20"/>
        </w:rPr>
        <w:t xml:space="preserve"> </w:t>
      </w:r>
      <w:r>
        <w:rPr>
          <w:spacing w:val="3"/>
          <w:sz w:val="20"/>
          <w:szCs w:val="20"/>
        </w:rPr>
        <w:t>念阶段是对探索性研究阶段所开展的研究、实验和工程模型的细化与拓展。需要对</w:t>
      </w:r>
      <w:r>
        <w:rPr>
          <w:spacing w:val="2"/>
          <w:sz w:val="20"/>
          <w:szCs w:val="20"/>
        </w:rPr>
        <w:t>利益相关者</w:t>
      </w:r>
      <w:r>
        <w:rPr>
          <w:sz w:val="20"/>
          <w:szCs w:val="20"/>
        </w:rPr>
        <w:t xml:space="preserve"> </w:t>
      </w:r>
      <w:r>
        <w:rPr>
          <w:spacing w:val="-3"/>
          <w:sz w:val="20"/>
          <w:szCs w:val="20"/>
        </w:rPr>
        <w:t>的需求进行识别、明确并将其文档化。</w:t>
      </w:r>
    </w:p>
    <w:p w14:paraId="768F59EB">
      <w:pPr>
        <w:spacing w:before="110" w:line="228" w:lineRule="auto"/>
        <w:ind w:left="399"/>
        <w:rPr>
          <w:rFonts w:ascii="楷体" w:hAnsi="楷体" w:eastAsia="楷体" w:cs="楷体"/>
          <w:sz w:val="20"/>
          <w:szCs w:val="20"/>
        </w:rPr>
      </w:pPr>
      <w:r>
        <w:rPr>
          <w:rFonts w:ascii="楷体" w:hAnsi="楷体" w:eastAsia="楷体" w:cs="楷体"/>
          <w:spacing w:val="16"/>
          <w:sz w:val="20"/>
          <w:szCs w:val="20"/>
        </w:rPr>
        <w:t>3)开发阶段</w:t>
      </w:r>
    </w:p>
    <w:p w14:paraId="60689050">
      <w:pPr>
        <w:pStyle w:val="2"/>
        <w:spacing w:before="71" w:line="271" w:lineRule="auto"/>
        <w:ind w:right="259" w:firstLine="399"/>
        <w:rPr>
          <w:sz w:val="20"/>
          <w:szCs w:val="20"/>
        </w:rPr>
      </w:pPr>
      <w:r>
        <w:rPr>
          <w:spacing w:val="3"/>
          <w:sz w:val="20"/>
          <w:szCs w:val="20"/>
        </w:rPr>
        <w:t>开发阶段的目的是细化系统需求，创建解决方案的描述，构建系统，验证并确认系统。开</w:t>
      </w:r>
      <w:r>
        <w:rPr>
          <w:sz w:val="20"/>
          <w:szCs w:val="20"/>
        </w:rPr>
        <w:t xml:space="preserve"> </w:t>
      </w:r>
      <w:r>
        <w:rPr>
          <w:spacing w:val="3"/>
          <w:sz w:val="20"/>
          <w:szCs w:val="20"/>
        </w:rPr>
        <w:t>发阶段包括详细计划、开发，以及验证与确认活动。该阶段可以完全自主地选择</w:t>
      </w:r>
      <w:r>
        <w:rPr>
          <w:spacing w:val="2"/>
          <w:sz w:val="20"/>
          <w:szCs w:val="20"/>
        </w:rPr>
        <w:t>开发模型，并</w:t>
      </w:r>
      <w:r>
        <w:rPr>
          <w:sz w:val="20"/>
          <w:szCs w:val="20"/>
        </w:rPr>
        <w:t xml:space="preserve"> </w:t>
      </w:r>
      <w:r>
        <w:rPr>
          <w:spacing w:val="3"/>
          <w:sz w:val="20"/>
          <w:szCs w:val="20"/>
        </w:rPr>
        <w:t>不局限于瀑布或其他计划驱动的方法。开发阶段与所有阶段一样，组织可以选择最适合项</w:t>
      </w:r>
      <w:r>
        <w:rPr>
          <w:spacing w:val="2"/>
          <w:sz w:val="20"/>
          <w:szCs w:val="20"/>
        </w:rPr>
        <w:t>目需</w:t>
      </w:r>
      <w:r>
        <w:rPr>
          <w:sz w:val="20"/>
          <w:szCs w:val="20"/>
        </w:rPr>
        <w:t xml:space="preserve"> </w:t>
      </w:r>
      <w:r>
        <w:rPr>
          <w:spacing w:val="-5"/>
          <w:sz w:val="20"/>
          <w:szCs w:val="20"/>
        </w:rPr>
        <w:t>求的流程和活动。</w:t>
      </w:r>
    </w:p>
    <w:p w14:paraId="60E95590">
      <w:pPr>
        <w:spacing w:before="132" w:line="223" w:lineRule="auto"/>
        <w:ind w:left="399"/>
        <w:rPr>
          <w:rFonts w:ascii="楷体" w:hAnsi="楷体" w:eastAsia="楷体" w:cs="楷体"/>
          <w:sz w:val="20"/>
          <w:szCs w:val="20"/>
        </w:rPr>
      </w:pPr>
      <w:r>
        <w:rPr>
          <w:rFonts w:ascii="楷体" w:hAnsi="楷体" w:eastAsia="楷体" w:cs="楷体"/>
          <w:spacing w:val="16"/>
          <w:sz w:val="20"/>
          <w:szCs w:val="20"/>
        </w:rPr>
        <w:t>4)生产阶段</w:t>
      </w:r>
    </w:p>
    <w:p w14:paraId="1B4DBF33">
      <w:pPr>
        <w:pStyle w:val="2"/>
        <w:spacing w:before="72" w:line="269" w:lineRule="auto"/>
        <w:ind w:right="241" w:firstLine="399"/>
        <w:rPr>
          <w:sz w:val="20"/>
          <w:szCs w:val="20"/>
        </w:rPr>
      </w:pPr>
      <w:r>
        <w:rPr>
          <w:spacing w:val="4"/>
          <w:sz w:val="20"/>
          <w:szCs w:val="20"/>
        </w:rPr>
        <w:t>生产阶段的目的是生产系统并进行检验和验证。生</w:t>
      </w:r>
      <w:r>
        <w:rPr>
          <w:spacing w:val="3"/>
          <w:sz w:val="20"/>
          <w:szCs w:val="20"/>
        </w:rPr>
        <w:t>产阶段是系统被生产或制造的阶段。该</w:t>
      </w:r>
      <w:r>
        <w:rPr>
          <w:sz w:val="20"/>
          <w:szCs w:val="20"/>
        </w:rPr>
        <w:t xml:space="preserve"> </w:t>
      </w:r>
      <w:r>
        <w:rPr>
          <w:spacing w:val="3"/>
          <w:sz w:val="20"/>
          <w:szCs w:val="20"/>
        </w:rPr>
        <w:t>阶段可能需要产品变更以解决生产问题，降低生产成本，或提高产品或系统的</w:t>
      </w:r>
      <w:r>
        <w:rPr>
          <w:spacing w:val="2"/>
          <w:sz w:val="20"/>
          <w:szCs w:val="20"/>
        </w:rPr>
        <w:t>能力。上述任何</w:t>
      </w:r>
      <w:r>
        <w:rPr>
          <w:sz w:val="20"/>
          <w:szCs w:val="20"/>
        </w:rPr>
        <w:t xml:space="preserve"> </w:t>
      </w:r>
      <w:r>
        <w:rPr>
          <w:spacing w:val="-2"/>
          <w:sz w:val="20"/>
          <w:szCs w:val="20"/>
        </w:rPr>
        <w:t>一点均可能影响系统需求，且需要系统重新验证或重新确认。</w:t>
      </w:r>
    </w:p>
    <w:p w14:paraId="6D197926">
      <w:pPr>
        <w:spacing w:before="118" w:line="228" w:lineRule="auto"/>
        <w:ind w:left="399"/>
        <w:rPr>
          <w:rFonts w:ascii="楷体" w:hAnsi="楷体" w:eastAsia="楷体" w:cs="楷体"/>
          <w:sz w:val="20"/>
          <w:szCs w:val="20"/>
        </w:rPr>
      </w:pPr>
      <w:r>
        <w:rPr>
          <w:rFonts w:ascii="楷体" w:hAnsi="楷体" w:eastAsia="楷体" w:cs="楷体"/>
          <w:spacing w:val="16"/>
          <w:sz w:val="20"/>
          <w:szCs w:val="20"/>
        </w:rPr>
        <w:t>5)使用阶段</w:t>
      </w:r>
    </w:p>
    <w:p w14:paraId="39A0C9A3">
      <w:pPr>
        <w:pStyle w:val="2"/>
        <w:spacing w:before="53" w:line="292" w:lineRule="auto"/>
        <w:ind w:right="255" w:firstLine="399"/>
        <w:rPr>
          <w:sz w:val="17"/>
          <w:szCs w:val="17"/>
        </w:rPr>
      </w:pPr>
      <w:r>
        <w:rPr>
          <w:spacing w:val="3"/>
          <w:sz w:val="20"/>
          <w:szCs w:val="20"/>
        </w:rPr>
        <w:t>使用阶段的目的是运行系统以满足用户需求。使用阶段是系统在预期环境中运行以交付预</w:t>
      </w:r>
      <w:r>
        <w:rPr>
          <w:sz w:val="20"/>
          <w:szCs w:val="20"/>
        </w:rPr>
        <w:t xml:space="preserve"> </w:t>
      </w:r>
      <w:r>
        <w:rPr>
          <w:spacing w:val="3"/>
          <w:sz w:val="20"/>
          <w:szCs w:val="20"/>
        </w:rPr>
        <w:t>期服务的阶段。该阶段通常在系统运行期间有计划地引入产品变更，这样的升级能提高系统的</w:t>
      </w:r>
      <w:r>
        <w:rPr>
          <w:spacing w:val="1"/>
          <w:sz w:val="20"/>
          <w:szCs w:val="20"/>
        </w:rPr>
        <w:t xml:space="preserve"> </w:t>
      </w:r>
      <w:r>
        <w:rPr>
          <w:spacing w:val="11"/>
          <w:sz w:val="17"/>
          <w:szCs w:val="17"/>
        </w:rPr>
        <w:t>能力</w:t>
      </w:r>
      <w:r>
        <w:rPr>
          <w:spacing w:val="-39"/>
          <w:sz w:val="17"/>
          <w:szCs w:val="17"/>
        </w:rPr>
        <w:t xml:space="preserve"> </w:t>
      </w:r>
      <w:r>
        <w:rPr>
          <w:spacing w:val="11"/>
          <w:sz w:val="17"/>
          <w:szCs w:val="17"/>
        </w:rPr>
        <w:t>。</w:t>
      </w:r>
    </w:p>
    <w:p w14:paraId="74ECAC91">
      <w:pPr>
        <w:spacing w:before="106" w:line="227" w:lineRule="auto"/>
        <w:ind w:left="399"/>
        <w:rPr>
          <w:rFonts w:ascii="楷体" w:hAnsi="楷体" w:eastAsia="楷体" w:cs="楷体"/>
          <w:sz w:val="20"/>
          <w:szCs w:val="20"/>
        </w:rPr>
      </w:pPr>
      <w:r>
        <w:rPr>
          <w:rFonts w:ascii="楷体" w:hAnsi="楷体" w:eastAsia="楷体" w:cs="楷体"/>
          <w:spacing w:val="16"/>
          <w:sz w:val="20"/>
          <w:szCs w:val="20"/>
        </w:rPr>
        <w:t>6)保障阶段</w:t>
      </w:r>
    </w:p>
    <w:p w14:paraId="28B5F452">
      <w:pPr>
        <w:pStyle w:val="2"/>
        <w:spacing w:before="65" w:line="219" w:lineRule="auto"/>
        <w:ind w:left="399"/>
        <w:rPr>
          <w:sz w:val="20"/>
          <w:szCs w:val="20"/>
        </w:rPr>
      </w:pPr>
      <w:r>
        <w:rPr>
          <w:spacing w:val="4"/>
          <w:sz w:val="20"/>
          <w:szCs w:val="20"/>
        </w:rPr>
        <w:t>保障阶段的目的是提供持续的系统能力。保障阶段</w:t>
      </w:r>
      <w:r>
        <w:rPr>
          <w:spacing w:val="3"/>
          <w:sz w:val="20"/>
          <w:szCs w:val="20"/>
        </w:rPr>
        <w:t>为系统提供服务，使之能持续运行。该</w:t>
      </w:r>
    </w:p>
    <w:p w14:paraId="2041683E">
      <w:pPr>
        <w:spacing w:line="219" w:lineRule="auto"/>
        <w:rPr>
          <w:sz w:val="20"/>
          <w:szCs w:val="20"/>
        </w:rPr>
        <w:sectPr>
          <w:pgSz w:w="10300" w:h="13300"/>
          <w:pgMar w:top="400" w:right="598" w:bottom="400" w:left="1120" w:header="0" w:footer="0" w:gutter="0"/>
          <w:cols w:space="720" w:num="1"/>
        </w:sectPr>
      </w:pPr>
    </w:p>
    <w:p w14:paraId="60B9F1A4">
      <w:pPr>
        <w:pStyle w:val="2"/>
        <w:spacing w:before="118" w:line="219" w:lineRule="auto"/>
        <w:rPr>
          <w:sz w:val="20"/>
          <w:szCs w:val="20"/>
        </w:rPr>
      </w:pPr>
      <w:r>
        <w:rPr>
          <w:rFonts w:ascii="Times New Roman" w:hAnsi="Times New Roman" w:eastAsia="Times New Roman" w:cs="Times New Roman"/>
          <w:spacing w:val="-2"/>
          <w:position w:val="1"/>
          <w:sz w:val="20"/>
          <w:szCs w:val="20"/>
        </w:rPr>
        <w:t xml:space="preserve">56               </w:t>
      </w:r>
      <w:r>
        <w:rPr>
          <w:spacing w:val="-2"/>
          <w:sz w:val="20"/>
          <w:szCs w:val="20"/>
        </w:rPr>
        <w:t>信息系统监理师教程</w:t>
      </w:r>
      <w:r>
        <w:rPr>
          <w:spacing w:val="-3"/>
          <w:sz w:val="20"/>
          <w:szCs w:val="20"/>
        </w:rPr>
        <w:t>(第2版)</w:t>
      </w:r>
    </w:p>
    <w:p w14:paraId="49290D2B">
      <w:pPr>
        <w:spacing w:line="334" w:lineRule="auto"/>
        <w:rPr>
          <w:rFonts w:ascii="Arial"/>
          <w:sz w:val="21"/>
        </w:rPr>
      </w:pPr>
    </w:p>
    <w:p w14:paraId="487E9D83">
      <w:pPr>
        <w:pStyle w:val="2"/>
        <w:spacing w:before="65" w:line="219" w:lineRule="auto"/>
        <w:ind w:left="299"/>
        <w:rPr>
          <w:sz w:val="20"/>
          <w:szCs w:val="20"/>
        </w:rPr>
      </w:pPr>
      <w:r>
        <w:rPr>
          <w:spacing w:val="-2"/>
          <w:sz w:val="20"/>
          <w:szCs w:val="20"/>
        </w:rPr>
        <w:t>阶段可建议进行变更以解决保障性问题，降低运行成本或延长</w:t>
      </w:r>
      <w:r>
        <w:rPr>
          <w:spacing w:val="-3"/>
          <w:sz w:val="20"/>
          <w:szCs w:val="20"/>
        </w:rPr>
        <w:t>系统寿命。</w:t>
      </w:r>
    </w:p>
    <w:p w14:paraId="6DB429F4">
      <w:pPr>
        <w:pStyle w:val="2"/>
        <w:spacing w:before="74" w:line="219" w:lineRule="auto"/>
        <w:ind w:left="709"/>
        <w:rPr>
          <w:sz w:val="20"/>
          <w:szCs w:val="20"/>
        </w:rPr>
      </w:pPr>
      <w:r>
        <w:rPr>
          <w:spacing w:val="14"/>
          <w:sz w:val="20"/>
          <w:szCs w:val="20"/>
        </w:rPr>
        <w:t>7)退役阶段</w:t>
      </w:r>
    </w:p>
    <w:p w14:paraId="68D637AD">
      <w:pPr>
        <w:pStyle w:val="2"/>
        <w:spacing w:before="74" w:line="288" w:lineRule="auto"/>
        <w:ind w:left="299" w:right="64" w:firstLine="410"/>
        <w:rPr>
          <w:sz w:val="20"/>
          <w:szCs w:val="20"/>
        </w:rPr>
      </w:pPr>
      <w:r>
        <w:rPr>
          <w:spacing w:val="3"/>
          <w:sz w:val="20"/>
          <w:szCs w:val="20"/>
        </w:rPr>
        <w:t>退役阶段的目的是存储、归档或退出系统。退役阶段是系统及其相关服务从运行中</w:t>
      </w:r>
      <w:r>
        <w:rPr>
          <w:spacing w:val="2"/>
          <w:sz w:val="20"/>
          <w:szCs w:val="20"/>
        </w:rPr>
        <w:t>移除的</w:t>
      </w:r>
      <w:r>
        <w:rPr>
          <w:sz w:val="20"/>
          <w:szCs w:val="20"/>
        </w:rPr>
        <w:t xml:space="preserve"> </w:t>
      </w:r>
      <w:r>
        <w:rPr>
          <w:spacing w:val="3"/>
          <w:sz w:val="20"/>
          <w:szCs w:val="20"/>
        </w:rPr>
        <w:t>阶段。这一阶段的活动主要集中于确保退出需求被满足。实际上，退出计划是在概</w:t>
      </w:r>
      <w:r>
        <w:rPr>
          <w:spacing w:val="2"/>
          <w:sz w:val="20"/>
          <w:szCs w:val="20"/>
        </w:rPr>
        <w:t>念阶段系统</w:t>
      </w:r>
      <w:r>
        <w:rPr>
          <w:sz w:val="20"/>
          <w:szCs w:val="20"/>
        </w:rPr>
        <w:t xml:space="preserve"> </w:t>
      </w:r>
      <w:r>
        <w:rPr>
          <w:spacing w:val="3"/>
          <w:sz w:val="20"/>
          <w:szCs w:val="20"/>
        </w:rPr>
        <w:t>定义的一部分。在21世纪早期，许多国家已经更改了它们的法律，强制系统</w:t>
      </w:r>
      <w:r>
        <w:rPr>
          <w:spacing w:val="2"/>
          <w:sz w:val="20"/>
          <w:szCs w:val="20"/>
        </w:rPr>
        <w:t>的创建者负责系统</w:t>
      </w:r>
      <w:r>
        <w:rPr>
          <w:sz w:val="20"/>
          <w:szCs w:val="20"/>
        </w:rPr>
        <w:t xml:space="preserve"> </w:t>
      </w:r>
      <w:r>
        <w:rPr>
          <w:spacing w:val="-4"/>
          <w:sz w:val="20"/>
          <w:szCs w:val="20"/>
        </w:rPr>
        <w:t>生命终止时恰当地退出。</w:t>
      </w:r>
    </w:p>
    <w:p w14:paraId="2DB55766">
      <w:pPr>
        <w:pStyle w:val="2"/>
        <w:spacing w:before="169" w:line="220" w:lineRule="auto"/>
        <w:ind w:left="302"/>
        <w:rPr>
          <w:sz w:val="25"/>
          <w:szCs w:val="25"/>
        </w:rPr>
      </w:pPr>
      <w:r>
        <w:rPr>
          <w:b/>
          <w:bCs/>
          <w:color w:val="0081E4"/>
          <w:spacing w:val="-18"/>
          <w:sz w:val="25"/>
          <w:szCs w:val="25"/>
        </w:rPr>
        <w:t>2.2.3</w:t>
      </w:r>
      <w:r>
        <w:rPr>
          <w:color w:val="0081E4"/>
          <w:spacing w:val="99"/>
          <w:sz w:val="25"/>
          <w:szCs w:val="25"/>
        </w:rPr>
        <w:t xml:space="preserve"> </w:t>
      </w:r>
      <w:r>
        <w:rPr>
          <w:b/>
          <w:bCs/>
          <w:color w:val="0081E4"/>
          <w:spacing w:val="-18"/>
          <w:sz w:val="25"/>
          <w:szCs w:val="25"/>
        </w:rPr>
        <w:t>生命周期方法</w:t>
      </w:r>
    </w:p>
    <w:p w14:paraId="14F87F64">
      <w:pPr>
        <w:pStyle w:val="2"/>
        <w:spacing w:before="191" w:line="219" w:lineRule="auto"/>
        <w:ind w:left="709"/>
        <w:rPr>
          <w:sz w:val="20"/>
          <w:szCs w:val="20"/>
        </w:rPr>
      </w:pPr>
      <w:r>
        <w:rPr>
          <w:spacing w:val="-4"/>
          <w:sz w:val="20"/>
          <w:szCs w:val="20"/>
        </w:rPr>
        <w:t>生命周期方法具体包括以下几种。</w:t>
      </w:r>
    </w:p>
    <w:p w14:paraId="7F4EBEC8">
      <w:pPr>
        <w:spacing w:before="176" w:line="229" w:lineRule="auto"/>
        <w:ind w:left="709"/>
        <w:rPr>
          <w:rFonts w:ascii="楷体" w:hAnsi="楷体" w:eastAsia="楷体" w:cs="楷体"/>
          <w:sz w:val="20"/>
          <w:szCs w:val="20"/>
        </w:rPr>
      </w:pPr>
      <w:r>
        <w:rPr>
          <w:rFonts w:ascii="楷体" w:hAnsi="楷体" w:eastAsia="楷体" w:cs="楷体"/>
          <w:spacing w:val="10"/>
          <w:sz w:val="20"/>
          <w:szCs w:val="20"/>
        </w:rPr>
        <w:t>1)计划驱动方法</w:t>
      </w:r>
    </w:p>
    <w:p w14:paraId="62CB5D2E">
      <w:pPr>
        <w:pStyle w:val="2"/>
        <w:spacing w:before="49" w:line="289" w:lineRule="auto"/>
        <w:ind w:left="299" w:right="68" w:firstLine="410"/>
        <w:rPr>
          <w:sz w:val="20"/>
          <w:szCs w:val="20"/>
        </w:rPr>
      </w:pPr>
      <w:r>
        <w:rPr>
          <w:spacing w:val="3"/>
          <w:sz w:val="20"/>
          <w:szCs w:val="20"/>
        </w:rPr>
        <w:t>需求、设计、构建、测试、部署范式被认为是构建系统的传统方式。在一</w:t>
      </w:r>
      <w:r>
        <w:rPr>
          <w:spacing w:val="2"/>
          <w:sz w:val="20"/>
          <w:szCs w:val="20"/>
        </w:rPr>
        <w:t>些需要协调多家</w:t>
      </w:r>
      <w:r>
        <w:rPr>
          <w:sz w:val="20"/>
          <w:szCs w:val="20"/>
        </w:rPr>
        <w:t xml:space="preserve"> </w:t>
      </w:r>
      <w:r>
        <w:rPr>
          <w:spacing w:val="3"/>
          <w:sz w:val="20"/>
          <w:szCs w:val="20"/>
        </w:rPr>
        <w:t>组织人员参与的大型团队项目中，计划驱动方法提供了一种基础的框架，为</w:t>
      </w:r>
      <w:r>
        <w:rPr>
          <w:spacing w:val="2"/>
          <w:sz w:val="20"/>
          <w:szCs w:val="20"/>
        </w:rPr>
        <w:t>生命周期流程提供</w:t>
      </w:r>
      <w:r>
        <w:rPr>
          <w:sz w:val="20"/>
          <w:szCs w:val="20"/>
        </w:rPr>
        <w:t xml:space="preserve"> </w:t>
      </w:r>
      <w:r>
        <w:rPr>
          <w:spacing w:val="3"/>
          <w:sz w:val="20"/>
          <w:szCs w:val="20"/>
        </w:rPr>
        <w:t>规程。计划驱动方法的特征在于整个过程始终遵守规定流程的系统化方法，特别关注</w:t>
      </w:r>
      <w:r>
        <w:rPr>
          <w:spacing w:val="2"/>
          <w:sz w:val="20"/>
          <w:szCs w:val="20"/>
        </w:rPr>
        <w:t>文档的完</w:t>
      </w:r>
      <w:r>
        <w:rPr>
          <w:sz w:val="20"/>
          <w:szCs w:val="20"/>
        </w:rPr>
        <w:t xml:space="preserve"> </w:t>
      </w:r>
      <w:r>
        <w:rPr>
          <w:spacing w:val="-2"/>
          <w:sz w:val="20"/>
          <w:szCs w:val="20"/>
        </w:rPr>
        <w:t>整性、需求的可追溯性，以及每种表示的事后验证。</w:t>
      </w:r>
    </w:p>
    <w:p w14:paraId="0235B9A0">
      <w:pPr>
        <w:spacing w:before="91" w:line="229" w:lineRule="auto"/>
        <w:ind w:left="709"/>
        <w:rPr>
          <w:rFonts w:ascii="楷体" w:hAnsi="楷体" w:eastAsia="楷体" w:cs="楷体"/>
          <w:sz w:val="20"/>
          <w:szCs w:val="20"/>
        </w:rPr>
      </w:pPr>
      <w:r>
        <w:rPr>
          <w:rFonts w:ascii="楷体" w:hAnsi="楷体" w:eastAsia="楷体" w:cs="楷体"/>
          <w:spacing w:val="11"/>
          <w:sz w:val="20"/>
          <w:szCs w:val="20"/>
        </w:rPr>
        <w:t>2)渐进迭代式开发</w:t>
      </w:r>
    </w:p>
    <w:p w14:paraId="71CD8FAE">
      <w:pPr>
        <w:pStyle w:val="2"/>
        <w:spacing w:before="85" w:line="270" w:lineRule="auto"/>
        <w:ind w:left="299" w:right="27" w:firstLine="410"/>
        <w:rPr>
          <w:sz w:val="20"/>
          <w:szCs w:val="20"/>
        </w:rPr>
      </w:pPr>
      <w:r>
        <w:rPr>
          <w:spacing w:val="-5"/>
          <w:sz w:val="20"/>
          <w:szCs w:val="20"/>
        </w:rPr>
        <w:t>20世纪60年代人们就已经开始使用渐进迭代式开发(Iter</w:t>
      </w:r>
      <w:r>
        <w:rPr>
          <w:spacing w:val="-6"/>
          <w:sz w:val="20"/>
          <w:szCs w:val="20"/>
        </w:rPr>
        <w:t>ative and Incremental Development,</w:t>
      </w:r>
      <w:r>
        <w:rPr>
          <w:sz w:val="20"/>
          <w:szCs w:val="20"/>
        </w:rPr>
        <w:t xml:space="preserve"> </w:t>
      </w:r>
      <w:r>
        <w:rPr>
          <w:rFonts w:ascii="Times New Roman" w:hAnsi="Times New Roman" w:eastAsia="Times New Roman" w:cs="Times New Roman"/>
          <w:sz w:val="20"/>
          <w:szCs w:val="20"/>
        </w:rPr>
        <w:t>IID</w:t>
      </w:r>
      <w:r>
        <w:rPr>
          <w:rFonts w:ascii="Times New Roman" w:hAnsi="Times New Roman" w:eastAsia="Times New Roman" w:cs="Times New Roman"/>
          <w:spacing w:val="2"/>
          <w:sz w:val="20"/>
          <w:szCs w:val="20"/>
        </w:rPr>
        <w:t xml:space="preserve">)  </w:t>
      </w:r>
      <w:r>
        <w:rPr>
          <w:spacing w:val="2"/>
          <w:sz w:val="20"/>
          <w:szCs w:val="20"/>
        </w:rPr>
        <w:t>方法。该方法允许为项目提供一个初始能力，随之提供连续交</w:t>
      </w:r>
      <w:r>
        <w:rPr>
          <w:spacing w:val="1"/>
          <w:sz w:val="20"/>
          <w:szCs w:val="20"/>
        </w:rPr>
        <w:t>付以达到期望的系统。目标</w:t>
      </w:r>
      <w:r>
        <w:rPr>
          <w:sz w:val="20"/>
          <w:szCs w:val="20"/>
        </w:rPr>
        <w:t xml:space="preserve"> </w:t>
      </w:r>
      <w:r>
        <w:rPr>
          <w:spacing w:val="-2"/>
          <w:sz w:val="20"/>
          <w:szCs w:val="20"/>
        </w:rPr>
        <w:t>在于快速产生价值并提供快速响应能力。</w:t>
      </w:r>
    </w:p>
    <w:p w14:paraId="3E0F28F8">
      <w:pPr>
        <w:pStyle w:val="2"/>
        <w:spacing w:before="46" w:line="280" w:lineRule="auto"/>
        <w:ind w:left="299" w:firstLine="410"/>
        <w:jc w:val="both"/>
        <w:rPr>
          <w:sz w:val="20"/>
          <w:szCs w:val="20"/>
        </w:rPr>
      </w:pPr>
      <w:r>
        <w:rPr>
          <w:spacing w:val="5"/>
          <w:sz w:val="20"/>
          <w:szCs w:val="20"/>
        </w:rPr>
        <w:t>当需求不清晰、不确定或者客户希望在系统中引入新技术时，适合使用</w:t>
      </w:r>
      <w:r>
        <w:rPr>
          <w:rFonts w:ascii="Times New Roman" w:hAnsi="Times New Roman" w:eastAsia="Times New Roman" w:cs="Times New Roman"/>
          <w:sz w:val="20"/>
          <w:szCs w:val="20"/>
        </w:rPr>
        <w:t>IID</w:t>
      </w:r>
      <w:r>
        <w:rPr>
          <w:rFonts w:ascii="Times New Roman" w:hAnsi="Times New Roman" w:eastAsia="Times New Roman" w:cs="Times New Roman"/>
          <w:spacing w:val="17"/>
          <w:sz w:val="20"/>
          <w:szCs w:val="20"/>
        </w:rPr>
        <w:t xml:space="preserve"> </w:t>
      </w:r>
      <w:r>
        <w:rPr>
          <w:spacing w:val="5"/>
          <w:sz w:val="20"/>
          <w:szCs w:val="20"/>
        </w:rPr>
        <w:t>方法。基于一</w:t>
      </w:r>
      <w:r>
        <w:rPr>
          <w:sz w:val="20"/>
          <w:szCs w:val="20"/>
        </w:rPr>
        <w:t xml:space="preserve"> </w:t>
      </w:r>
      <w:r>
        <w:rPr>
          <w:spacing w:val="5"/>
          <w:sz w:val="20"/>
          <w:szCs w:val="20"/>
        </w:rPr>
        <w:t>系列最初的假设，开发候选的系统，然后对其进行评估以</w:t>
      </w:r>
      <w:r>
        <w:rPr>
          <w:spacing w:val="4"/>
          <w:sz w:val="20"/>
          <w:szCs w:val="20"/>
        </w:rPr>
        <w:t>确定是否满足用户需求。若不满足，</w:t>
      </w:r>
      <w:r>
        <w:rPr>
          <w:sz w:val="20"/>
          <w:szCs w:val="20"/>
        </w:rPr>
        <w:t xml:space="preserve"> </w:t>
      </w:r>
      <w:r>
        <w:rPr>
          <w:spacing w:val="3"/>
          <w:sz w:val="20"/>
          <w:szCs w:val="20"/>
        </w:rPr>
        <w:t>则启动另一轮演进，并重复该流程，直到交付的系统满足利益相关者的要求或直</w:t>
      </w:r>
      <w:r>
        <w:rPr>
          <w:spacing w:val="2"/>
          <w:sz w:val="20"/>
          <w:szCs w:val="20"/>
        </w:rPr>
        <w:t>到组织决定终</w:t>
      </w:r>
      <w:r>
        <w:rPr>
          <w:sz w:val="20"/>
          <w:szCs w:val="20"/>
        </w:rPr>
        <w:t xml:space="preserve"> </w:t>
      </w:r>
      <w:r>
        <w:rPr>
          <w:spacing w:val="-6"/>
          <w:sz w:val="20"/>
          <w:szCs w:val="20"/>
        </w:rPr>
        <w:t>止这项工作。</w:t>
      </w:r>
    </w:p>
    <w:p w14:paraId="5BCDC9FB">
      <w:pPr>
        <w:pStyle w:val="2"/>
        <w:spacing w:before="38" w:line="291" w:lineRule="auto"/>
        <w:ind w:left="299" w:right="78" w:firstLine="410"/>
        <w:rPr>
          <w:sz w:val="20"/>
          <w:szCs w:val="20"/>
        </w:rPr>
      </w:pPr>
      <w:r>
        <w:rPr>
          <w:spacing w:val="-1"/>
          <w:sz w:val="20"/>
          <w:szCs w:val="20"/>
        </w:rPr>
        <w:t>一般而言，</w:t>
      </w:r>
      <w:r>
        <w:rPr>
          <w:rFonts w:ascii="Times New Roman" w:hAnsi="Times New Roman" w:eastAsia="Times New Roman" w:cs="Times New Roman"/>
          <w:spacing w:val="-1"/>
          <w:sz w:val="20"/>
          <w:szCs w:val="20"/>
        </w:rPr>
        <w:t>IID</w:t>
      </w:r>
      <w:r>
        <w:rPr>
          <w:rFonts w:ascii="Times New Roman" w:hAnsi="Times New Roman" w:eastAsia="Times New Roman" w:cs="Times New Roman"/>
          <w:spacing w:val="17"/>
          <w:w w:val="101"/>
          <w:sz w:val="20"/>
          <w:szCs w:val="20"/>
        </w:rPr>
        <w:t xml:space="preserve"> </w:t>
      </w:r>
      <w:r>
        <w:rPr>
          <w:spacing w:val="-1"/>
          <w:sz w:val="20"/>
          <w:szCs w:val="20"/>
        </w:rPr>
        <w:t>方法适用于较小的、不太复杂的系统。这种方法的重点在于灵活性</w:t>
      </w:r>
      <w:r>
        <w:rPr>
          <w:spacing w:val="-2"/>
          <w:sz w:val="20"/>
          <w:szCs w:val="20"/>
        </w:rPr>
        <w:t>，通过剪</w:t>
      </w:r>
      <w:r>
        <w:rPr>
          <w:sz w:val="20"/>
          <w:szCs w:val="20"/>
        </w:rPr>
        <w:t xml:space="preserve"> </w:t>
      </w:r>
      <w:r>
        <w:rPr>
          <w:spacing w:val="-3"/>
          <w:sz w:val="20"/>
          <w:szCs w:val="20"/>
        </w:rPr>
        <w:t>裁突出了产品开发的核心活动。</w:t>
      </w:r>
    </w:p>
    <w:p w14:paraId="044C044A">
      <w:pPr>
        <w:spacing w:before="87" w:line="225" w:lineRule="auto"/>
        <w:ind w:left="709"/>
        <w:rPr>
          <w:rFonts w:ascii="楷体" w:hAnsi="楷体" w:eastAsia="楷体" w:cs="楷体"/>
          <w:sz w:val="20"/>
          <w:szCs w:val="20"/>
        </w:rPr>
      </w:pPr>
      <w:r>
        <w:rPr>
          <w:rFonts w:ascii="楷体" w:hAnsi="楷体" w:eastAsia="楷体" w:cs="楷体"/>
          <w:spacing w:val="14"/>
          <w:sz w:val="20"/>
          <w:szCs w:val="20"/>
        </w:rPr>
        <w:t>3)精益开发</w:t>
      </w:r>
    </w:p>
    <w:p w14:paraId="18127E24">
      <w:pPr>
        <w:pStyle w:val="2"/>
        <w:spacing w:before="56" w:line="281" w:lineRule="auto"/>
        <w:ind w:left="199" w:right="26" w:firstLine="510"/>
        <w:rPr>
          <w:sz w:val="20"/>
          <w:szCs w:val="20"/>
        </w:rPr>
      </w:pPr>
      <w:r>
        <w:rPr>
          <w:spacing w:val="8"/>
          <w:sz w:val="20"/>
          <w:szCs w:val="20"/>
        </w:rPr>
        <w:t>精益思想中的精益开发和更广泛的方法均起源于丰田的“准时化”哲学思想，其目标是</w:t>
      </w:r>
      <w:r>
        <w:rPr>
          <w:spacing w:val="5"/>
          <w:sz w:val="20"/>
          <w:szCs w:val="20"/>
        </w:rPr>
        <w:t xml:space="preserve"> </w:t>
      </w:r>
      <w:r>
        <w:rPr>
          <w:spacing w:val="1"/>
          <w:sz w:val="20"/>
          <w:szCs w:val="20"/>
        </w:rPr>
        <w:t>“通过彻底消除生产线上的浪费、不一致性及不合理需求，高效</w:t>
      </w:r>
      <w:r>
        <w:rPr>
          <w:sz w:val="20"/>
          <w:szCs w:val="20"/>
        </w:rPr>
        <w:t xml:space="preserve">率地生产出优质产品”。精益系 </w:t>
      </w:r>
      <w:r>
        <w:rPr>
          <w:spacing w:val="6"/>
          <w:sz w:val="20"/>
          <w:szCs w:val="20"/>
        </w:rPr>
        <w:t>统工程是将精益思想应用到系统工程中，以及组织和项目管理的相关方面。精</w:t>
      </w:r>
      <w:r>
        <w:rPr>
          <w:spacing w:val="5"/>
          <w:sz w:val="20"/>
          <w:szCs w:val="20"/>
        </w:rPr>
        <w:t>益思想是一种整</w:t>
      </w:r>
      <w:r>
        <w:rPr>
          <w:sz w:val="20"/>
          <w:szCs w:val="20"/>
        </w:rPr>
        <w:t xml:space="preserve"> </w:t>
      </w:r>
      <w:r>
        <w:rPr>
          <w:spacing w:val="2"/>
          <w:sz w:val="20"/>
          <w:szCs w:val="20"/>
        </w:rPr>
        <w:t>体性的范式，聚焦于向客户交付最大价值并使</w:t>
      </w:r>
      <w:r>
        <w:rPr>
          <w:spacing w:val="1"/>
          <w:sz w:val="20"/>
          <w:szCs w:val="20"/>
        </w:rPr>
        <w:t>浪费活动最小化。精益思想已成功地应用于制造、</w:t>
      </w:r>
      <w:r>
        <w:rPr>
          <w:sz w:val="20"/>
          <w:szCs w:val="20"/>
        </w:rPr>
        <w:t xml:space="preserve"> </w:t>
      </w:r>
      <w:r>
        <w:rPr>
          <w:spacing w:val="1"/>
          <w:sz w:val="20"/>
          <w:szCs w:val="20"/>
        </w:rPr>
        <w:t>飞机库管、行政管理、供应链管理、健康医疗、产品开发和工程等</w:t>
      </w:r>
      <w:r>
        <w:rPr>
          <w:sz w:val="20"/>
          <w:szCs w:val="20"/>
        </w:rPr>
        <w:t>领域。</w:t>
      </w:r>
    </w:p>
    <w:p w14:paraId="062853D0">
      <w:pPr>
        <w:pStyle w:val="2"/>
        <w:spacing w:before="31" w:line="276" w:lineRule="auto"/>
        <w:ind w:left="299" w:right="44" w:firstLine="410"/>
        <w:rPr>
          <w:sz w:val="20"/>
          <w:szCs w:val="20"/>
        </w:rPr>
      </w:pPr>
      <w:r>
        <w:rPr>
          <w:spacing w:val="3"/>
          <w:sz w:val="20"/>
          <w:szCs w:val="20"/>
        </w:rPr>
        <w:t>精益开发是一个动态的、知识驱动的、以客户为中心的过程，通过这一过程使特定企业的</w:t>
      </w:r>
      <w:r>
        <w:rPr>
          <w:spacing w:val="17"/>
          <w:sz w:val="20"/>
          <w:szCs w:val="20"/>
        </w:rPr>
        <w:t xml:space="preserve"> </w:t>
      </w:r>
      <w:r>
        <w:rPr>
          <w:spacing w:val="3"/>
          <w:sz w:val="20"/>
          <w:szCs w:val="20"/>
        </w:rPr>
        <w:t>所有人员以创造价值为目标不断地消除浪费。精益系统工程是将精益原则、实践和工具应用到</w:t>
      </w:r>
      <w:r>
        <w:rPr>
          <w:sz w:val="20"/>
          <w:szCs w:val="20"/>
        </w:rPr>
        <w:t xml:space="preserve"> </w:t>
      </w:r>
      <w:r>
        <w:rPr>
          <w:spacing w:val="-2"/>
          <w:sz w:val="20"/>
          <w:szCs w:val="20"/>
        </w:rPr>
        <w:t>系统工程中，以提升对系统利益攸关者的价值交付。</w:t>
      </w:r>
    </w:p>
    <w:p w14:paraId="2A0E4E90">
      <w:pPr>
        <w:spacing w:before="116" w:line="232" w:lineRule="auto"/>
        <w:ind w:left="709"/>
        <w:rPr>
          <w:rFonts w:ascii="楷体" w:hAnsi="楷体" w:eastAsia="楷体" w:cs="楷体"/>
          <w:sz w:val="20"/>
          <w:szCs w:val="20"/>
        </w:rPr>
      </w:pPr>
      <w:r>
        <w:rPr>
          <w:rFonts w:ascii="楷体" w:hAnsi="楷体" w:eastAsia="楷体" w:cs="楷体"/>
          <w:spacing w:val="14"/>
          <w:sz w:val="20"/>
          <w:szCs w:val="20"/>
        </w:rPr>
        <w:t>4)敏捷开发</w:t>
      </w:r>
    </w:p>
    <w:p w14:paraId="6EED64A9">
      <w:pPr>
        <w:pStyle w:val="2"/>
        <w:spacing w:before="54" w:line="264" w:lineRule="auto"/>
        <w:ind w:left="709" w:right="1217"/>
        <w:rPr>
          <w:sz w:val="20"/>
          <w:szCs w:val="20"/>
        </w:rPr>
      </w:pPr>
      <w:r>
        <w:rPr>
          <w:spacing w:val="-1"/>
          <w:sz w:val="20"/>
          <w:szCs w:val="20"/>
        </w:rPr>
        <w:t>敏捷的关键目标在于灵活性，当风险可接受时允许从序列中排除选</w:t>
      </w:r>
      <w:r>
        <w:rPr>
          <w:spacing w:val="-2"/>
          <w:sz w:val="20"/>
          <w:szCs w:val="20"/>
        </w:rPr>
        <w:t>定的事件。</w:t>
      </w:r>
      <w:r>
        <w:rPr>
          <w:sz w:val="20"/>
          <w:szCs w:val="20"/>
        </w:rPr>
        <w:t xml:space="preserve"> </w:t>
      </w:r>
      <w:r>
        <w:rPr>
          <w:spacing w:val="-4"/>
          <w:sz w:val="20"/>
          <w:szCs w:val="20"/>
        </w:rPr>
        <w:t>适用于系统工程的敏捷原则如下：</w:t>
      </w:r>
    </w:p>
    <w:p w14:paraId="16B2F0DD">
      <w:pPr>
        <w:spacing w:line="264" w:lineRule="auto"/>
        <w:rPr>
          <w:sz w:val="20"/>
          <w:szCs w:val="20"/>
        </w:rPr>
        <w:sectPr>
          <w:pgSz w:w="10310" w:h="13400"/>
          <w:pgMar w:top="400" w:right="1020" w:bottom="400" w:left="600" w:header="0" w:footer="0" w:gutter="0"/>
          <w:cols w:space="720" w:num="1"/>
        </w:sectPr>
      </w:pPr>
    </w:p>
    <w:p w14:paraId="05349305">
      <w:pPr>
        <w:pStyle w:val="2"/>
        <w:spacing w:before="76" w:line="219" w:lineRule="auto"/>
        <w:jc w:val="right"/>
        <w:rPr>
          <w:rFonts w:ascii="Times New Roman" w:hAnsi="Times New Roman" w:eastAsia="Times New Roman" w:cs="Times New Roman"/>
          <w:sz w:val="16"/>
          <w:szCs w:val="16"/>
        </w:rPr>
      </w:pPr>
      <w:r>
        <w:rPr>
          <w:sz w:val="20"/>
          <w:szCs w:val="20"/>
        </w:rPr>
        <w:t>第2章 信息系统工程</w:t>
      </w:r>
      <w:r>
        <w:rPr>
          <w:spacing w:val="11"/>
          <w:sz w:val="20"/>
          <w:szCs w:val="20"/>
        </w:rPr>
        <w:t xml:space="preserve">      </w:t>
      </w:r>
      <w:r>
        <w:rPr>
          <w:rFonts w:ascii="Times New Roman" w:hAnsi="Times New Roman" w:eastAsia="Times New Roman" w:cs="Times New Roman"/>
          <w:sz w:val="16"/>
          <w:szCs w:val="16"/>
        </w:rPr>
        <w:t>57</w:t>
      </w:r>
    </w:p>
    <w:p w14:paraId="2B62ED9B">
      <w:pPr>
        <w:spacing w:line="305" w:lineRule="auto"/>
        <w:rPr>
          <w:rFonts w:ascii="Arial"/>
          <w:sz w:val="21"/>
        </w:rPr>
      </w:pPr>
    </w:p>
    <w:p w14:paraId="2B95C713">
      <w:pPr>
        <w:pStyle w:val="2"/>
        <w:spacing w:before="65" w:line="218" w:lineRule="auto"/>
        <w:ind w:left="410"/>
        <w:rPr>
          <w:sz w:val="20"/>
          <w:szCs w:val="20"/>
        </w:rPr>
      </w:pPr>
      <w:r>
        <w:rPr>
          <w:sz w:val="20"/>
          <w:szCs w:val="20"/>
        </w:rPr>
        <w:t>●最高的优先级是通过尽早地和持续地交付有价值的软件来满足客户。</w:t>
      </w:r>
    </w:p>
    <w:p w14:paraId="5A04160D">
      <w:pPr>
        <w:pStyle w:val="2"/>
        <w:spacing w:before="75" w:line="343" w:lineRule="auto"/>
        <w:ind w:left="659" w:right="284" w:hanging="249"/>
        <w:rPr>
          <w:sz w:val="16"/>
          <w:szCs w:val="16"/>
        </w:rPr>
      </w:pPr>
      <w:r>
        <w:rPr>
          <w:spacing w:val="13"/>
          <w:sz w:val="20"/>
          <w:szCs w:val="20"/>
        </w:rPr>
        <w:t>●欢迎需求变更，即使是在项目开发后期。敏捷流程利用需求变更帮助客户</w:t>
      </w:r>
      <w:r>
        <w:rPr>
          <w:spacing w:val="12"/>
          <w:sz w:val="20"/>
          <w:szCs w:val="20"/>
        </w:rPr>
        <w:t>获得竞争</w:t>
      </w:r>
      <w:r>
        <w:rPr>
          <w:sz w:val="20"/>
          <w:szCs w:val="20"/>
        </w:rPr>
        <w:t xml:space="preserve"> </w:t>
      </w:r>
      <w:r>
        <w:rPr>
          <w:spacing w:val="-6"/>
          <w:sz w:val="16"/>
          <w:szCs w:val="16"/>
        </w:rPr>
        <w:t>优</w:t>
      </w:r>
      <w:r>
        <w:rPr>
          <w:spacing w:val="-15"/>
          <w:sz w:val="16"/>
          <w:szCs w:val="16"/>
        </w:rPr>
        <w:t xml:space="preserve"> </w:t>
      </w:r>
      <w:r>
        <w:rPr>
          <w:spacing w:val="-6"/>
          <w:sz w:val="16"/>
          <w:szCs w:val="16"/>
        </w:rPr>
        <w:t>势</w:t>
      </w:r>
      <w:r>
        <w:rPr>
          <w:spacing w:val="-25"/>
          <w:sz w:val="16"/>
          <w:szCs w:val="16"/>
        </w:rPr>
        <w:t xml:space="preserve"> </w:t>
      </w:r>
      <w:r>
        <w:rPr>
          <w:spacing w:val="-6"/>
          <w:sz w:val="16"/>
          <w:szCs w:val="16"/>
        </w:rPr>
        <w:t>。</w:t>
      </w:r>
    </w:p>
    <w:p w14:paraId="491F0C65">
      <w:pPr>
        <w:pStyle w:val="2"/>
        <w:spacing w:line="218" w:lineRule="auto"/>
        <w:ind w:left="410"/>
        <w:rPr>
          <w:sz w:val="20"/>
          <w:szCs w:val="20"/>
        </w:rPr>
      </w:pPr>
      <w:r>
        <w:rPr>
          <w:spacing w:val="1"/>
          <w:sz w:val="20"/>
          <w:szCs w:val="20"/>
        </w:rPr>
        <w:t>●不断交付可用的成果，周期从几周到几个月不等，且越短越好。</w:t>
      </w:r>
    </w:p>
    <w:p w14:paraId="591CB0D4">
      <w:pPr>
        <w:pStyle w:val="2"/>
        <w:spacing w:before="85" w:line="219" w:lineRule="auto"/>
        <w:ind w:left="410"/>
        <w:rPr>
          <w:sz w:val="20"/>
          <w:szCs w:val="20"/>
        </w:rPr>
      </w:pPr>
      <w:r>
        <w:rPr>
          <w:spacing w:val="1"/>
          <w:sz w:val="20"/>
          <w:szCs w:val="20"/>
        </w:rPr>
        <w:t>●项目中业务人员与研发人员每天在一起工作，业务人员始终参与到研发工作中。</w:t>
      </w:r>
    </w:p>
    <w:p w14:paraId="0B59DF8F">
      <w:pPr>
        <w:pStyle w:val="2"/>
        <w:spacing w:before="101" w:line="219" w:lineRule="auto"/>
        <w:ind w:left="410"/>
        <w:rPr>
          <w:sz w:val="20"/>
          <w:szCs w:val="20"/>
        </w:rPr>
      </w:pPr>
      <w:r>
        <w:rPr>
          <w:spacing w:val="1"/>
          <w:sz w:val="20"/>
          <w:szCs w:val="20"/>
        </w:rPr>
        <w:t>●在研发团队内部和团队之间，传递信息最有效的方法是面对面交谈。</w:t>
      </w:r>
    </w:p>
    <w:p w14:paraId="516C1698">
      <w:pPr>
        <w:pStyle w:val="2"/>
        <w:spacing w:before="75" w:line="220" w:lineRule="auto"/>
        <w:ind w:left="410"/>
        <w:rPr>
          <w:sz w:val="20"/>
          <w:szCs w:val="20"/>
        </w:rPr>
      </w:pPr>
      <w:r>
        <w:rPr>
          <w:spacing w:val="1"/>
          <w:sz w:val="20"/>
          <w:szCs w:val="20"/>
        </w:rPr>
        <w:t>●可以工作的成果是进展的主要度量。</w:t>
      </w:r>
    </w:p>
    <w:p w14:paraId="21653760">
      <w:pPr>
        <w:pStyle w:val="2"/>
        <w:spacing w:before="89" w:line="219" w:lineRule="auto"/>
        <w:ind w:left="410"/>
        <w:rPr>
          <w:sz w:val="20"/>
          <w:szCs w:val="20"/>
        </w:rPr>
      </w:pPr>
      <w:r>
        <w:rPr>
          <w:sz w:val="20"/>
          <w:szCs w:val="20"/>
        </w:rPr>
        <w:t>●对技术的精益求精及对设计的不断完善将提升敏捷性。</w:t>
      </w:r>
    </w:p>
    <w:p w14:paraId="3BD2F8F0">
      <w:pPr>
        <w:pStyle w:val="2"/>
        <w:spacing w:before="93" w:line="219" w:lineRule="auto"/>
        <w:ind w:left="410"/>
        <w:rPr>
          <w:sz w:val="20"/>
          <w:szCs w:val="20"/>
        </w:rPr>
      </w:pPr>
      <w:r>
        <w:rPr>
          <w:spacing w:val="10"/>
          <w:sz w:val="20"/>
          <w:szCs w:val="20"/>
        </w:rPr>
        <w:t>●简单性(尽最大可能减少不必要工作的艺术)是精</w:t>
      </w:r>
      <w:r>
        <w:rPr>
          <w:spacing w:val="9"/>
          <w:sz w:val="20"/>
          <w:szCs w:val="20"/>
        </w:rPr>
        <w:t>髓。</w:t>
      </w:r>
    </w:p>
    <w:p w14:paraId="79264FA5">
      <w:pPr>
        <w:pStyle w:val="2"/>
        <w:spacing w:before="83" w:line="219" w:lineRule="auto"/>
        <w:ind w:left="410"/>
        <w:rPr>
          <w:sz w:val="20"/>
          <w:szCs w:val="20"/>
        </w:rPr>
      </w:pPr>
      <w:r>
        <w:rPr>
          <w:sz w:val="20"/>
          <w:szCs w:val="20"/>
        </w:rPr>
        <w:t>●最佳的架构、需求和设计出自于自组织的团队。</w:t>
      </w:r>
    </w:p>
    <w:p w14:paraId="365C53F9">
      <w:pPr>
        <w:pStyle w:val="2"/>
        <w:spacing w:before="94" w:line="219" w:lineRule="auto"/>
        <w:ind w:left="410"/>
        <w:rPr>
          <w:sz w:val="20"/>
          <w:szCs w:val="20"/>
        </w:rPr>
      </w:pPr>
      <w:r>
        <w:rPr>
          <w:spacing w:val="1"/>
          <w:sz w:val="20"/>
          <w:szCs w:val="20"/>
        </w:rPr>
        <w:t>●团队要定期反省如何能够做到更加高效，并相应地调整团队的行为。</w:t>
      </w:r>
    </w:p>
    <w:p w14:paraId="5E053BE4">
      <w:pPr>
        <w:pStyle w:val="2"/>
        <w:spacing w:before="231" w:line="219" w:lineRule="auto"/>
        <w:ind w:left="2"/>
        <w:rPr>
          <w:sz w:val="25"/>
          <w:szCs w:val="25"/>
        </w:rPr>
      </w:pPr>
      <w:r>
        <w:rPr>
          <w:b/>
          <w:bCs/>
          <w:color w:val="0075D0"/>
          <w:spacing w:val="-18"/>
          <w:sz w:val="25"/>
          <w:szCs w:val="25"/>
        </w:rPr>
        <w:t>2.2.4</w:t>
      </w:r>
      <w:r>
        <w:rPr>
          <w:color w:val="0075D0"/>
          <w:spacing w:val="65"/>
          <w:sz w:val="25"/>
          <w:szCs w:val="25"/>
        </w:rPr>
        <w:t xml:space="preserve"> </w:t>
      </w:r>
      <w:r>
        <w:rPr>
          <w:b/>
          <w:bCs/>
          <w:color w:val="0075D0"/>
          <w:spacing w:val="-18"/>
          <w:sz w:val="25"/>
          <w:szCs w:val="25"/>
        </w:rPr>
        <w:t>信息系统生命周期</w:t>
      </w:r>
    </w:p>
    <w:p w14:paraId="150F3FFF">
      <w:pPr>
        <w:pStyle w:val="2"/>
        <w:spacing w:before="186" w:line="285" w:lineRule="auto"/>
        <w:ind w:right="192" w:firstLine="410"/>
        <w:jc w:val="both"/>
        <w:rPr>
          <w:sz w:val="20"/>
          <w:szCs w:val="20"/>
        </w:rPr>
      </w:pPr>
      <w:r>
        <w:rPr>
          <w:spacing w:val="3"/>
          <w:sz w:val="20"/>
          <w:szCs w:val="20"/>
        </w:rPr>
        <w:t>信息系统与其他事物一样，也要经历发生、发展、成熟</w:t>
      </w:r>
      <w:r>
        <w:rPr>
          <w:spacing w:val="2"/>
          <w:sz w:val="20"/>
          <w:szCs w:val="20"/>
        </w:rPr>
        <w:t>和消亡的过程。信息系统从产生到</w:t>
      </w:r>
      <w:r>
        <w:rPr>
          <w:sz w:val="20"/>
          <w:szCs w:val="20"/>
        </w:rPr>
        <w:t xml:space="preserve"> </w:t>
      </w:r>
      <w:r>
        <w:rPr>
          <w:spacing w:val="2"/>
          <w:sz w:val="20"/>
          <w:szCs w:val="20"/>
        </w:rPr>
        <w:t>消亡的整个过程称为信息系统的生命周期。 一般来说，信息系统的生命周期可分</w:t>
      </w:r>
      <w:r>
        <w:rPr>
          <w:spacing w:val="1"/>
          <w:sz w:val="20"/>
          <w:szCs w:val="20"/>
        </w:rPr>
        <w:t>为五个阶段，</w:t>
      </w:r>
      <w:r>
        <w:rPr>
          <w:sz w:val="20"/>
          <w:szCs w:val="20"/>
        </w:rPr>
        <w:t xml:space="preserve"> </w:t>
      </w:r>
      <w:r>
        <w:rPr>
          <w:spacing w:val="-1"/>
          <w:sz w:val="20"/>
          <w:szCs w:val="20"/>
        </w:rPr>
        <w:t>分别是系统规划、系统分析、系统设计、系统实现、</w:t>
      </w:r>
      <w:r>
        <w:rPr>
          <w:spacing w:val="-2"/>
          <w:sz w:val="20"/>
          <w:szCs w:val="20"/>
        </w:rPr>
        <w:t>系统运行与评价。</w:t>
      </w:r>
    </w:p>
    <w:p w14:paraId="4C0CA919">
      <w:pPr>
        <w:pStyle w:val="2"/>
        <w:spacing w:before="13" w:line="270" w:lineRule="auto"/>
        <w:ind w:right="253" w:firstLine="410"/>
        <w:rPr>
          <w:sz w:val="20"/>
          <w:szCs w:val="20"/>
        </w:rPr>
      </w:pPr>
      <w:r>
        <w:rPr>
          <w:spacing w:val="5"/>
          <w:sz w:val="20"/>
          <w:szCs w:val="20"/>
        </w:rPr>
        <w:t>(1)系统规划。信息系统规划是系统建设的起始阶段，作用是指明信息系统在组织经营战</w:t>
      </w:r>
      <w:r>
        <w:rPr>
          <w:sz w:val="20"/>
          <w:szCs w:val="20"/>
        </w:rPr>
        <w:t xml:space="preserve"> </w:t>
      </w:r>
      <w:r>
        <w:rPr>
          <w:spacing w:val="1"/>
          <w:sz w:val="20"/>
          <w:szCs w:val="20"/>
        </w:rPr>
        <w:t>略中的作用和地位，指导信息系统后续的实现与开发。</w:t>
      </w:r>
      <w:r>
        <w:rPr>
          <w:spacing w:val="-24"/>
          <w:sz w:val="20"/>
          <w:szCs w:val="20"/>
        </w:rPr>
        <w:t xml:space="preserve"> </w:t>
      </w:r>
      <w:r>
        <w:rPr>
          <w:spacing w:val="1"/>
          <w:sz w:val="20"/>
          <w:szCs w:val="20"/>
        </w:rPr>
        <w:t>一个完整的系统规划，应当包括信息系</w:t>
      </w:r>
      <w:r>
        <w:rPr>
          <w:sz w:val="20"/>
          <w:szCs w:val="20"/>
        </w:rPr>
        <w:t xml:space="preserve"> </w:t>
      </w:r>
      <w:r>
        <w:rPr>
          <w:spacing w:val="-1"/>
          <w:sz w:val="20"/>
          <w:szCs w:val="20"/>
        </w:rPr>
        <w:t>统的目标、总体框架、组织结构和管理流程、</w:t>
      </w:r>
      <w:r>
        <w:rPr>
          <w:spacing w:val="-2"/>
          <w:sz w:val="20"/>
          <w:szCs w:val="20"/>
        </w:rPr>
        <w:t>实施计划和技术规范等。</w:t>
      </w:r>
    </w:p>
    <w:p w14:paraId="2642F235">
      <w:pPr>
        <w:pStyle w:val="2"/>
        <w:spacing w:before="63" w:line="269" w:lineRule="auto"/>
        <w:ind w:right="248" w:firstLine="410"/>
        <w:rPr>
          <w:sz w:val="20"/>
          <w:szCs w:val="20"/>
        </w:rPr>
      </w:pPr>
      <w:r>
        <w:rPr>
          <w:spacing w:val="5"/>
          <w:sz w:val="20"/>
          <w:szCs w:val="20"/>
        </w:rPr>
        <w:t>(2)系统分析。系统分析阶段的目标是为系统设计阶段提供系统的逻辑模型，主要任务是</w:t>
      </w:r>
      <w:r>
        <w:rPr>
          <w:sz w:val="20"/>
          <w:szCs w:val="20"/>
        </w:rPr>
        <w:t xml:space="preserve"> </w:t>
      </w:r>
      <w:r>
        <w:rPr>
          <w:spacing w:val="3"/>
          <w:sz w:val="20"/>
          <w:szCs w:val="20"/>
        </w:rPr>
        <w:t>在可行性分析和总体规划的基础上，对现有系统进行进一步的详细调查</w:t>
      </w:r>
      <w:r>
        <w:rPr>
          <w:spacing w:val="2"/>
          <w:sz w:val="20"/>
          <w:szCs w:val="20"/>
        </w:rPr>
        <w:t>，并整理成规范的文档</w:t>
      </w:r>
      <w:r>
        <w:rPr>
          <w:sz w:val="20"/>
          <w:szCs w:val="20"/>
        </w:rPr>
        <w:t xml:space="preserve"> </w:t>
      </w:r>
      <w:r>
        <w:rPr>
          <w:spacing w:val="3"/>
          <w:sz w:val="20"/>
          <w:szCs w:val="20"/>
        </w:rPr>
        <w:t>资料；对使用信息系统的组织的结构、业务流程和经营管理，以及信息需求与处理的现状和问</w:t>
      </w:r>
      <w:r>
        <w:rPr>
          <w:sz w:val="20"/>
          <w:szCs w:val="20"/>
        </w:rPr>
        <w:t xml:space="preserve"> </w:t>
      </w:r>
      <w:r>
        <w:rPr>
          <w:spacing w:val="-3"/>
          <w:sz w:val="20"/>
          <w:szCs w:val="20"/>
        </w:rPr>
        <w:t>题进行分析，为系统设计提供依据。</w:t>
      </w:r>
    </w:p>
    <w:p w14:paraId="7DEBAD37">
      <w:pPr>
        <w:pStyle w:val="2"/>
        <w:spacing w:before="84" w:line="252" w:lineRule="auto"/>
        <w:ind w:right="192" w:firstLine="410"/>
        <w:rPr>
          <w:sz w:val="20"/>
          <w:szCs w:val="20"/>
        </w:rPr>
      </w:pPr>
      <w:r>
        <w:rPr>
          <w:spacing w:val="5"/>
          <w:sz w:val="20"/>
          <w:szCs w:val="20"/>
        </w:rPr>
        <w:t>(3)系统设计。系统设计是信息系统建设过程中的另一个重要阶段。在这一阶段，要根据</w:t>
      </w:r>
      <w:r>
        <w:rPr>
          <w:sz w:val="20"/>
          <w:szCs w:val="20"/>
        </w:rPr>
        <w:t xml:space="preserve"> 系统分析的结果，设计出信息系统的实施方案</w:t>
      </w:r>
      <w:r>
        <w:rPr>
          <w:spacing w:val="-1"/>
          <w:sz w:val="20"/>
          <w:szCs w:val="20"/>
        </w:rPr>
        <w:t>，从而为程序员提供清晰而完整的物理设计说明。</w:t>
      </w:r>
    </w:p>
    <w:p w14:paraId="39E81859">
      <w:pPr>
        <w:pStyle w:val="2"/>
        <w:spacing w:before="72" w:line="219" w:lineRule="auto"/>
        <w:ind w:left="410"/>
        <w:rPr>
          <w:sz w:val="20"/>
          <w:szCs w:val="20"/>
        </w:rPr>
      </w:pPr>
      <w:r>
        <w:rPr>
          <w:spacing w:val="1"/>
          <w:sz w:val="20"/>
          <w:szCs w:val="20"/>
        </w:rPr>
        <w:t>(4)系统实现。系统实现阶段的任务是将设计文档变成能在计算机上运行的信息系统。</w:t>
      </w:r>
    </w:p>
    <w:p w14:paraId="08C167D9">
      <w:pPr>
        <w:pStyle w:val="2"/>
        <w:spacing w:before="52" w:line="257" w:lineRule="auto"/>
        <w:ind w:right="192" w:firstLine="410"/>
        <w:rPr>
          <w:sz w:val="20"/>
          <w:szCs w:val="20"/>
        </w:rPr>
      </w:pPr>
      <w:r>
        <w:rPr>
          <w:spacing w:val="2"/>
          <w:sz w:val="20"/>
          <w:szCs w:val="20"/>
        </w:rPr>
        <w:t>(5)系统运行与评价。系统投入运行后，需要经常进行维护和</w:t>
      </w:r>
      <w:r>
        <w:rPr>
          <w:spacing w:val="1"/>
          <w:sz w:val="20"/>
          <w:szCs w:val="20"/>
        </w:rPr>
        <w:t>评价，记录系统运行的情况，</w:t>
      </w:r>
      <w:r>
        <w:rPr>
          <w:sz w:val="20"/>
          <w:szCs w:val="20"/>
        </w:rPr>
        <w:t xml:space="preserve"> </w:t>
      </w:r>
      <w:r>
        <w:rPr>
          <w:spacing w:val="-1"/>
          <w:sz w:val="20"/>
          <w:szCs w:val="20"/>
        </w:rPr>
        <w:t>根据一定的规则对系统进行必要的修改，评价系统的工作质量和经</w:t>
      </w:r>
      <w:r>
        <w:rPr>
          <w:spacing w:val="-2"/>
          <w:sz w:val="20"/>
          <w:szCs w:val="20"/>
        </w:rPr>
        <w:t>济效益。</w:t>
      </w:r>
    </w:p>
    <w:p w14:paraId="055DA398">
      <w:pPr>
        <w:spacing w:line="287" w:lineRule="auto"/>
        <w:rPr>
          <w:rFonts w:ascii="Arial"/>
          <w:sz w:val="21"/>
        </w:rPr>
      </w:pPr>
    </w:p>
    <w:p w14:paraId="31B2DA20">
      <w:pPr>
        <w:pStyle w:val="2"/>
        <w:spacing w:before="94" w:line="222" w:lineRule="auto"/>
        <w:ind w:left="3"/>
        <w:rPr>
          <w:rFonts w:ascii="黑体" w:hAnsi="黑体" w:eastAsia="黑体" w:cs="黑体"/>
          <w:sz w:val="29"/>
          <w:szCs w:val="29"/>
        </w:rPr>
      </w:pPr>
      <w:r>
        <w:rPr>
          <w:b/>
          <w:bCs/>
          <w:color w:val="006DDA"/>
          <w:spacing w:val="-14"/>
          <w:sz w:val="29"/>
          <w:szCs w:val="29"/>
        </w:rPr>
        <w:t>2.3</w:t>
      </w:r>
      <w:r>
        <w:rPr>
          <w:color w:val="006DDA"/>
          <w:spacing w:val="127"/>
          <w:sz w:val="29"/>
          <w:szCs w:val="29"/>
        </w:rPr>
        <w:t xml:space="preserve"> </w:t>
      </w:r>
      <w:r>
        <w:rPr>
          <w:rFonts w:ascii="黑体" w:hAnsi="黑体" w:eastAsia="黑体" w:cs="黑体"/>
          <w:b/>
          <w:bCs/>
          <w:color w:val="006DDA"/>
          <w:spacing w:val="-14"/>
          <w:sz w:val="29"/>
          <w:szCs w:val="29"/>
        </w:rPr>
        <w:t>软件工程</w:t>
      </w:r>
    </w:p>
    <w:p w14:paraId="3F83876B">
      <w:pPr>
        <w:pStyle w:val="2"/>
        <w:spacing w:before="283" w:line="268" w:lineRule="auto"/>
        <w:ind w:right="243" w:firstLine="410"/>
        <w:jc w:val="both"/>
        <w:rPr>
          <w:sz w:val="20"/>
          <w:szCs w:val="20"/>
        </w:rPr>
      </w:pPr>
      <w:r>
        <w:rPr>
          <w:spacing w:val="3"/>
          <w:sz w:val="20"/>
          <w:szCs w:val="20"/>
        </w:rPr>
        <w:t>计算机软件系统是指在计算机硬件系统上运行的程序、相关的文档资料和数据的集合。计</w:t>
      </w:r>
      <w:r>
        <w:rPr>
          <w:sz w:val="20"/>
          <w:szCs w:val="20"/>
        </w:rPr>
        <w:t xml:space="preserve"> </w:t>
      </w:r>
      <w:r>
        <w:rPr>
          <w:spacing w:val="3"/>
          <w:sz w:val="20"/>
          <w:szCs w:val="20"/>
        </w:rPr>
        <w:t>算机软件可以扩充计算机系统的功能，提高计算机系统的</w:t>
      </w:r>
      <w:r>
        <w:rPr>
          <w:spacing w:val="2"/>
          <w:sz w:val="20"/>
          <w:szCs w:val="20"/>
        </w:rPr>
        <w:t>效率。按照软件所起的作用和所需运</w:t>
      </w:r>
      <w:r>
        <w:rPr>
          <w:sz w:val="20"/>
          <w:szCs w:val="20"/>
        </w:rPr>
        <w:t xml:space="preserve"> </w:t>
      </w:r>
      <w:r>
        <w:rPr>
          <w:spacing w:val="-1"/>
          <w:sz w:val="20"/>
          <w:szCs w:val="20"/>
        </w:rPr>
        <w:t>行环境的不同，通常将计算机软件分为系统软</w:t>
      </w:r>
      <w:r>
        <w:rPr>
          <w:spacing w:val="-2"/>
          <w:sz w:val="20"/>
          <w:szCs w:val="20"/>
        </w:rPr>
        <w:t>件和应用软件两大类。</w:t>
      </w:r>
    </w:p>
    <w:p w14:paraId="7EFDD97D">
      <w:pPr>
        <w:pStyle w:val="2"/>
        <w:spacing w:before="48" w:line="273" w:lineRule="auto"/>
        <w:ind w:right="244" w:firstLine="410"/>
        <w:rPr>
          <w:sz w:val="20"/>
          <w:szCs w:val="20"/>
        </w:rPr>
      </w:pPr>
      <w:r>
        <w:rPr>
          <w:spacing w:val="3"/>
          <w:sz w:val="20"/>
          <w:szCs w:val="20"/>
        </w:rPr>
        <w:t>系统软件是为整个计算机系统配置的不依赖特定应用领域的通用软件。这些软件对计算机</w:t>
      </w:r>
      <w:r>
        <w:rPr>
          <w:sz w:val="20"/>
          <w:szCs w:val="20"/>
        </w:rPr>
        <w:t xml:space="preserve"> </w:t>
      </w:r>
      <w:r>
        <w:rPr>
          <w:spacing w:val="3"/>
          <w:sz w:val="20"/>
          <w:szCs w:val="20"/>
        </w:rPr>
        <w:t>系统的硬件和软件资源进行控制和管理，并为用户使用和其他</w:t>
      </w:r>
      <w:r>
        <w:rPr>
          <w:spacing w:val="2"/>
          <w:sz w:val="20"/>
          <w:szCs w:val="20"/>
        </w:rPr>
        <w:t>应用软件的运行提供服务。只有</w:t>
      </w:r>
    </w:p>
    <w:p w14:paraId="1349E1B9">
      <w:pPr>
        <w:spacing w:line="273" w:lineRule="auto"/>
        <w:rPr>
          <w:sz w:val="20"/>
          <w:szCs w:val="20"/>
        </w:rPr>
        <w:sectPr>
          <w:pgSz w:w="10300" w:h="13290"/>
          <w:pgMar w:top="400" w:right="577" w:bottom="400" w:left="1149" w:header="0" w:footer="0" w:gutter="0"/>
          <w:cols w:space="720" w:num="1"/>
        </w:sectPr>
      </w:pPr>
    </w:p>
    <w:p w14:paraId="1B615DC3">
      <w:pPr>
        <w:pStyle w:val="2"/>
        <w:spacing w:before="118" w:line="219" w:lineRule="auto"/>
        <w:rPr>
          <w:sz w:val="20"/>
          <w:szCs w:val="20"/>
        </w:rPr>
      </w:pPr>
      <w:bookmarkStart w:id="511" w:name="bookmark498"/>
      <w:bookmarkEnd w:id="511"/>
      <w:r>
        <w:rPr>
          <w:rFonts w:ascii="Times New Roman" w:hAnsi="Times New Roman" w:eastAsia="Times New Roman" w:cs="Times New Roman"/>
          <w:spacing w:val="-3"/>
          <w:position w:val="-2"/>
          <w:sz w:val="20"/>
          <w:szCs w:val="20"/>
        </w:rPr>
        <w:t>58</w:t>
      </w:r>
      <w:r>
        <w:rPr>
          <w:rFonts w:ascii="Times New Roman" w:hAnsi="Times New Roman" w:eastAsia="Times New Roman" w:cs="Times New Roman"/>
          <w:spacing w:val="1"/>
          <w:position w:val="-2"/>
          <w:sz w:val="20"/>
          <w:szCs w:val="20"/>
        </w:rPr>
        <w:t xml:space="preserve">              </w:t>
      </w:r>
      <w:r>
        <w:rPr>
          <w:spacing w:val="-3"/>
          <w:sz w:val="20"/>
          <w:szCs w:val="20"/>
        </w:rPr>
        <w:t>信息系统监理师教程(第2版)</w:t>
      </w:r>
    </w:p>
    <w:p w14:paraId="1762D7D7">
      <w:pPr>
        <w:spacing w:line="309" w:lineRule="auto"/>
        <w:rPr>
          <w:rFonts w:ascii="Arial"/>
          <w:sz w:val="21"/>
        </w:rPr>
      </w:pPr>
    </w:p>
    <w:p w14:paraId="7C1B7922">
      <w:pPr>
        <w:pStyle w:val="2"/>
        <w:spacing w:before="65" w:line="301" w:lineRule="auto"/>
        <w:ind w:left="289" w:right="69"/>
        <w:rPr>
          <w:sz w:val="20"/>
          <w:szCs w:val="20"/>
        </w:rPr>
      </w:pPr>
      <w:r>
        <w:rPr>
          <w:spacing w:val="3"/>
          <w:sz w:val="20"/>
          <w:szCs w:val="20"/>
        </w:rPr>
        <w:t>在系统软件的作用下，计算机硬件才能协调工作，应用软件才能运行。根据系统软件功能的不</w:t>
      </w:r>
      <w:r>
        <w:rPr>
          <w:spacing w:val="6"/>
          <w:sz w:val="20"/>
          <w:szCs w:val="20"/>
        </w:rPr>
        <w:t xml:space="preserve"> </w:t>
      </w:r>
      <w:r>
        <w:rPr>
          <w:spacing w:val="-1"/>
          <w:sz w:val="20"/>
          <w:szCs w:val="20"/>
        </w:rPr>
        <w:t>同，可将其划分为操作系统、程序设计语言翻译系统、数据库管理系统和网络软件等。</w:t>
      </w:r>
    </w:p>
    <w:p w14:paraId="22E86484">
      <w:pPr>
        <w:pStyle w:val="2"/>
        <w:spacing w:before="7" w:line="289" w:lineRule="auto"/>
        <w:ind w:left="289" w:right="56" w:firstLine="400"/>
        <w:jc w:val="both"/>
        <w:rPr>
          <w:sz w:val="20"/>
          <w:szCs w:val="20"/>
        </w:rPr>
      </w:pPr>
      <w:r>
        <w:rPr>
          <w:spacing w:val="9"/>
          <w:sz w:val="20"/>
          <w:szCs w:val="20"/>
        </w:rPr>
        <w:t>应用系统的核心即应用软件。应用软件是为某类应用需要或解决某个</w:t>
      </w:r>
      <w:r>
        <w:rPr>
          <w:spacing w:val="8"/>
          <w:sz w:val="20"/>
          <w:szCs w:val="20"/>
        </w:rPr>
        <w:t>特定问题而设计的</w:t>
      </w:r>
      <w:r>
        <w:rPr>
          <w:sz w:val="20"/>
          <w:szCs w:val="20"/>
        </w:rPr>
        <w:t xml:space="preserve"> </w:t>
      </w:r>
      <w:r>
        <w:rPr>
          <w:spacing w:val="9"/>
          <w:sz w:val="20"/>
          <w:szCs w:val="20"/>
        </w:rPr>
        <w:t>软件，例如图形图像处理软件、财务软件、游戏软</w:t>
      </w:r>
      <w:r>
        <w:rPr>
          <w:spacing w:val="8"/>
          <w:sz w:val="20"/>
          <w:szCs w:val="20"/>
        </w:rPr>
        <w:t>件和各种软件包等。在各种组织中，应用</w:t>
      </w:r>
      <w:r>
        <w:rPr>
          <w:sz w:val="20"/>
          <w:szCs w:val="20"/>
        </w:rPr>
        <w:t xml:space="preserve"> </w:t>
      </w:r>
      <w:r>
        <w:rPr>
          <w:spacing w:val="13"/>
          <w:sz w:val="20"/>
          <w:szCs w:val="20"/>
        </w:rPr>
        <w:t>软件发挥着巨大的作用，承担了诸多计算和管理任务，例如人事管理、财务管理和图书管</w:t>
      </w:r>
      <w:r>
        <w:rPr>
          <w:spacing w:val="3"/>
          <w:sz w:val="20"/>
          <w:szCs w:val="20"/>
        </w:rPr>
        <w:t xml:space="preserve"> </w:t>
      </w:r>
      <w:r>
        <w:rPr>
          <w:spacing w:val="-3"/>
          <w:sz w:val="20"/>
          <w:szCs w:val="20"/>
        </w:rPr>
        <w:t>理等。</w:t>
      </w:r>
    </w:p>
    <w:p w14:paraId="0AE6A24C">
      <w:pPr>
        <w:pStyle w:val="2"/>
        <w:spacing w:before="19" w:line="219" w:lineRule="auto"/>
        <w:ind w:left="689"/>
        <w:rPr>
          <w:sz w:val="20"/>
          <w:szCs w:val="20"/>
        </w:rPr>
      </w:pPr>
      <w:r>
        <w:rPr>
          <w:spacing w:val="-1"/>
          <w:sz w:val="20"/>
          <w:szCs w:val="20"/>
        </w:rPr>
        <w:t>软件工程将系统的、规范的、可度量的工程化方法应用于软件开发、运行和维护的全过程。</w:t>
      </w:r>
    </w:p>
    <w:p w14:paraId="0C2B3ACF">
      <w:pPr>
        <w:pStyle w:val="2"/>
        <w:spacing w:before="261" w:line="220" w:lineRule="auto"/>
        <w:ind w:left="292"/>
        <w:rPr>
          <w:sz w:val="25"/>
          <w:szCs w:val="25"/>
        </w:rPr>
      </w:pPr>
      <w:r>
        <w:rPr>
          <w:b/>
          <w:bCs/>
          <w:color w:val="007CCF"/>
          <w:spacing w:val="-20"/>
          <w:sz w:val="25"/>
          <w:szCs w:val="25"/>
        </w:rPr>
        <w:t>2.3.1</w:t>
      </w:r>
      <w:r>
        <w:rPr>
          <w:color w:val="007CCF"/>
          <w:spacing w:val="98"/>
          <w:sz w:val="25"/>
          <w:szCs w:val="25"/>
        </w:rPr>
        <w:t xml:space="preserve"> </w:t>
      </w:r>
      <w:r>
        <w:rPr>
          <w:b/>
          <w:bCs/>
          <w:color w:val="007CCF"/>
          <w:spacing w:val="-20"/>
          <w:sz w:val="25"/>
          <w:szCs w:val="25"/>
        </w:rPr>
        <w:t>架构设计</w:t>
      </w:r>
    </w:p>
    <w:p w14:paraId="60A3F668">
      <w:pPr>
        <w:pStyle w:val="2"/>
        <w:spacing w:before="153" w:line="286" w:lineRule="auto"/>
        <w:ind w:left="289" w:right="84" w:firstLine="400"/>
        <w:jc w:val="both"/>
        <w:rPr>
          <w:sz w:val="20"/>
          <w:szCs w:val="20"/>
        </w:rPr>
      </w:pPr>
      <w:r>
        <w:rPr>
          <w:spacing w:val="3"/>
          <w:sz w:val="20"/>
          <w:szCs w:val="20"/>
        </w:rPr>
        <w:t>软件架构虽然脱胎于软件工程，但其形成同时借鉴了计算机架构和网络架构中很多</w:t>
      </w:r>
      <w:r>
        <w:rPr>
          <w:spacing w:val="2"/>
          <w:sz w:val="20"/>
          <w:szCs w:val="20"/>
        </w:rPr>
        <w:t>宝贵的</w:t>
      </w:r>
      <w:r>
        <w:rPr>
          <w:sz w:val="20"/>
          <w:szCs w:val="20"/>
        </w:rPr>
        <w:t xml:space="preserve"> </w:t>
      </w:r>
      <w:r>
        <w:rPr>
          <w:spacing w:val="3"/>
          <w:sz w:val="20"/>
          <w:szCs w:val="20"/>
        </w:rPr>
        <w:t>思想和方法。近年来，软件架构已完全独立于软件工程</w:t>
      </w:r>
      <w:r>
        <w:rPr>
          <w:spacing w:val="2"/>
          <w:sz w:val="20"/>
          <w:szCs w:val="20"/>
        </w:rPr>
        <w:t>，成为计算机科学的一个最新的研究方</w:t>
      </w:r>
      <w:r>
        <w:rPr>
          <w:sz w:val="20"/>
          <w:szCs w:val="20"/>
        </w:rPr>
        <w:t xml:space="preserve"> </w:t>
      </w:r>
      <w:r>
        <w:rPr>
          <w:spacing w:val="-1"/>
          <w:sz w:val="20"/>
          <w:szCs w:val="20"/>
        </w:rPr>
        <w:t>向和独立学科分支。解决好软件的复用、质量和</w:t>
      </w:r>
      <w:r>
        <w:rPr>
          <w:spacing w:val="-2"/>
          <w:sz w:val="20"/>
          <w:szCs w:val="20"/>
        </w:rPr>
        <w:t>维护问题，是研究软件架构的根本目的。</w:t>
      </w:r>
    </w:p>
    <w:p w14:paraId="59002C84">
      <w:pPr>
        <w:pStyle w:val="2"/>
        <w:spacing w:before="106" w:line="222" w:lineRule="auto"/>
        <w:ind w:left="692"/>
        <w:rPr>
          <w:rFonts w:ascii="黑体" w:hAnsi="黑体" w:eastAsia="黑体" w:cs="黑体"/>
          <w:sz w:val="20"/>
          <w:szCs w:val="20"/>
        </w:rPr>
      </w:pPr>
      <w:r>
        <w:rPr>
          <w:b/>
          <w:bCs/>
          <w:color w:val="0074C2"/>
          <w:spacing w:val="-2"/>
          <w:sz w:val="20"/>
          <w:szCs w:val="20"/>
        </w:rPr>
        <w:t>1.</w:t>
      </w:r>
      <w:r>
        <w:rPr>
          <w:rFonts w:ascii="黑体" w:hAnsi="黑体" w:eastAsia="黑体" w:cs="黑体"/>
          <w:b/>
          <w:bCs/>
          <w:color w:val="0074C2"/>
          <w:spacing w:val="-2"/>
          <w:sz w:val="20"/>
          <w:szCs w:val="20"/>
        </w:rPr>
        <w:t>软件架构风格</w:t>
      </w:r>
    </w:p>
    <w:p w14:paraId="0A90DDFB">
      <w:pPr>
        <w:pStyle w:val="2"/>
        <w:spacing w:before="152" w:line="280" w:lineRule="auto"/>
        <w:ind w:left="289" w:right="61" w:firstLine="400"/>
        <w:jc w:val="both"/>
        <w:rPr>
          <w:sz w:val="20"/>
          <w:szCs w:val="20"/>
        </w:rPr>
      </w:pPr>
      <w:r>
        <w:rPr>
          <w:spacing w:val="4"/>
          <w:sz w:val="20"/>
          <w:szCs w:val="20"/>
        </w:rPr>
        <w:t>软件架构设计的一个核心问题是能否达到架构</w:t>
      </w:r>
      <w:r>
        <w:rPr>
          <w:spacing w:val="3"/>
          <w:sz w:val="20"/>
          <w:szCs w:val="20"/>
        </w:rPr>
        <w:t>级的软件复用，也就是说，能否在不同的系</w:t>
      </w:r>
      <w:r>
        <w:rPr>
          <w:sz w:val="20"/>
          <w:szCs w:val="20"/>
        </w:rPr>
        <w:t xml:space="preserve"> </w:t>
      </w:r>
      <w:r>
        <w:rPr>
          <w:spacing w:val="3"/>
          <w:sz w:val="20"/>
          <w:szCs w:val="20"/>
        </w:rPr>
        <w:t>统中，使用同一个软件架构。软件架构风格是描述某一特定应用领域中系统组织方式的惯用模</w:t>
      </w:r>
      <w:r>
        <w:rPr>
          <w:spacing w:val="4"/>
          <w:sz w:val="20"/>
          <w:szCs w:val="20"/>
        </w:rPr>
        <w:t xml:space="preserve"> </w:t>
      </w:r>
      <w:r>
        <w:rPr>
          <w:sz w:val="20"/>
          <w:szCs w:val="20"/>
        </w:rPr>
        <w:t>式</w:t>
      </w:r>
      <w:r>
        <w:rPr>
          <w:spacing w:val="-27"/>
          <w:sz w:val="20"/>
          <w:szCs w:val="20"/>
        </w:rPr>
        <w:t xml:space="preserve"> </w:t>
      </w:r>
      <w:r>
        <w:rPr>
          <w:rFonts w:ascii="Times New Roman" w:hAnsi="Times New Roman" w:eastAsia="Times New Roman" w:cs="Times New Roman"/>
          <w:sz w:val="20"/>
          <w:szCs w:val="20"/>
        </w:rPr>
        <w:t>(Idiomatic     Paradigm)</w:t>
      </w:r>
      <w:r>
        <w:rPr>
          <w:sz w:val="20"/>
          <w:szCs w:val="20"/>
        </w:rPr>
        <w:t>。架构风格定义了一个系统“家族”,即一个架构定义、</w:t>
      </w:r>
      <w:r>
        <w:rPr>
          <w:spacing w:val="-54"/>
          <w:sz w:val="20"/>
          <w:szCs w:val="20"/>
        </w:rPr>
        <w:t xml:space="preserve"> </w:t>
      </w:r>
      <w:r>
        <w:rPr>
          <w:sz w:val="20"/>
          <w:szCs w:val="20"/>
        </w:rPr>
        <w:t xml:space="preserve">一个词汇表和 </w:t>
      </w:r>
      <w:r>
        <w:rPr>
          <w:spacing w:val="3"/>
          <w:sz w:val="20"/>
          <w:szCs w:val="20"/>
        </w:rPr>
        <w:t>一组约束。架构风格反映了领域中众多系统所共有的结构和语义特性，并指导如何将各个构件</w:t>
      </w:r>
      <w:r>
        <w:rPr>
          <w:spacing w:val="4"/>
          <w:sz w:val="20"/>
          <w:szCs w:val="20"/>
        </w:rPr>
        <w:t xml:space="preserve"> </w:t>
      </w:r>
      <w:r>
        <w:rPr>
          <w:spacing w:val="-1"/>
          <w:sz w:val="20"/>
          <w:szCs w:val="20"/>
        </w:rPr>
        <w:t>有效地组织成一个完整的系统。公众号：项目管理课堂</w:t>
      </w:r>
    </w:p>
    <w:p w14:paraId="6B7EE919">
      <w:pPr>
        <w:pStyle w:val="2"/>
        <w:spacing w:before="54" w:line="219" w:lineRule="auto"/>
        <w:ind w:left="689"/>
        <w:rPr>
          <w:sz w:val="20"/>
          <w:szCs w:val="20"/>
        </w:rPr>
      </w:pPr>
      <w:r>
        <w:rPr>
          <w:rFonts w:ascii="Times New Roman" w:hAnsi="Times New Roman" w:eastAsia="Times New Roman" w:cs="Times New Roman"/>
          <w:sz w:val="20"/>
          <w:szCs w:val="20"/>
        </w:rPr>
        <w:t xml:space="preserve">Garlan </w:t>
      </w:r>
      <w:r>
        <w:rPr>
          <w:sz w:val="20"/>
          <w:szCs w:val="20"/>
        </w:rPr>
        <w:t>和</w:t>
      </w:r>
      <w:r>
        <w:rPr>
          <w:rFonts w:ascii="Times New Roman" w:hAnsi="Times New Roman" w:eastAsia="Times New Roman" w:cs="Times New Roman"/>
          <w:sz w:val="20"/>
          <w:szCs w:val="20"/>
        </w:rPr>
        <w:t xml:space="preserve">Shaw </w:t>
      </w:r>
      <w:r>
        <w:rPr>
          <w:sz w:val="20"/>
          <w:szCs w:val="20"/>
        </w:rPr>
        <w:t>对通用软件架构风格进行了分类，他们将软件架构分为以下几种：</w:t>
      </w:r>
    </w:p>
    <w:p w14:paraId="4F8FA5D2">
      <w:pPr>
        <w:pStyle w:val="2"/>
        <w:spacing w:before="74" w:line="219" w:lineRule="auto"/>
        <w:ind w:left="689"/>
        <w:rPr>
          <w:sz w:val="20"/>
          <w:szCs w:val="20"/>
        </w:rPr>
      </w:pPr>
      <w:r>
        <w:rPr>
          <w:spacing w:val="4"/>
          <w:sz w:val="20"/>
          <w:szCs w:val="20"/>
        </w:rPr>
        <w:t>(1)数据流风格。包括批处理序列和管道/过滤器两种。</w:t>
      </w:r>
    </w:p>
    <w:p w14:paraId="5CD8A5F7">
      <w:pPr>
        <w:pStyle w:val="2"/>
        <w:spacing w:before="83" w:line="219" w:lineRule="auto"/>
        <w:ind w:left="689"/>
        <w:rPr>
          <w:sz w:val="20"/>
          <w:szCs w:val="20"/>
        </w:rPr>
      </w:pPr>
      <w:r>
        <w:rPr>
          <w:spacing w:val="5"/>
          <w:sz w:val="20"/>
          <w:szCs w:val="20"/>
        </w:rPr>
        <w:t>(2)调用/返回风格。包括主程序/子程序、数据抽象和面向对象，以及层次结</w:t>
      </w:r>
      <w:r>
        <w:rPr>
          <w:spacing w:val="4"/>
          <w:sz w:val="20"/>
          <w:szCs w:val="20"/>
        </w:rPr>
        <w:t>构。</w:t>
      </w:r>
    </w:p>
    <w:p w14:paraId="06C41B74">
      <w:pPr>
        <w:pStyle w:val="2"/>
        <w:spacing w:before="72" w:line="219" w:lineRule="auto"/>
        <w:ind w:left="689"/>
        <w:rPr>
          <w:sz w:val="20"/>
          <w:szCs w:val="20"/>
        </w:rPr>
      </w:pPr>
      <w:r>
        <w:rPr>
          <w:spacing w:val="2"/>
          <w:sz w:val="20"/>
          <w:szCs w:val="20"/>
        </w:rPr>
        <w:t>(3)独立构件风格。包括进程通信和事件驱动的系</w:t>
      </w:r>
      <w:r>
        <w:rPr>
          <w:spacing w:val="1"/>
          <w:sz w:val="20"/>
          <w:szCs w:val="20"/>
        </w:rPr>
        <w:t>统。</w:t>
      </w:r>
    </w:p>
    <w:p w14:paraId="23416B11">
      <w:pPr>
        <w:pStyle w:val="2"/>
        <w:spacing w:before="92" w:line="219" w:lineRule="auto"/>
        <w:ind w:left="689"/>
        <w:rPr>
          <w:sz w:val="20"/>
          <w:szCs w:val="20"/>
        </w:rPr>
      </w:pPr>
      <w:r>
        <w:rPr>
          <w:spacing w:val="2"/>
          <w:sz w:val="20"/>
          <w:szCs w:val="20"/>
        </w:rPr>
        <w:t>(4)虚拟机风格。包括解释器和基于规则的系统。</w:t>
      </w:r>
    </w:p>
    <w:p w14:paraId="5723F514">
      <w:pPr>
        <w:pStyle w:val="2"/>
        <w:spacing w:before="63" w:line="219" w:lineRule="auto"/>
        <w:ind w:left="689"/>
        <w:rPr>
          <w:sz w:val="20"/>
          <w:szCs w:val="20"/>
        </w:rPr>
      </w:pPr>
      <w:r>
        <w:rPr>
          <w:spacing w:val="3"/>
          <w:sz w:val="20"/>
          <w:szCs w:val="20"/>
        </w:rPr>
        <w:t>(5)仓库风格。包括数据库系统、黑板系统和超文本系统。</w:t>
      </w:r>
    </w:p>
    <w:p w14:paraId="56A3C534">
      <w:pPr>
        <w:pStyle w:val="2"/>
        <w:spacing w:before="159" w:line="222" w:lineRule="auto"/>
        <w:ind w:left="692"/>
        <w:rPr>
          <w:rFonts w:ascii="黑体" w:hAnsi="黑体" w:eastAsia="黑体" w:cs="黑体"/>
          <w:sz w:val="20"/>
          <w:szCs w:val="20"/>
        </w:rPr>
      </w:pPr>
      <w:r>
        <w:rPr>
          <w:b/>
          <w:bCs/>
          <w:color w:val="0070BC"/>
          <w:spacing w:val="1"/>
          <w:sz w:val="20"/>
          <w:szCs w:val="20"/>
        </w:rPr>
        <w:t>2.</w:t>
      </w:r>
      <w:r>
        <w:rPr>
          <w:rFonts w:ascii="黑体" w:hAnsi="黑体" w:eastAsia="黑体" w:cs="黑体"/>
          <w:b/>
          <w:bCs/>
          <w:color w:val="0070BC"/>
          <w:spacing w:val="1"/>
          <w:sz w:val="20"/>
          <w:szCs w:val="20"/>
        </w:rPr>
        <w:t>软件架构评估</w:t>
      </w:r>
    </w:p>
    <w:p w14:paraId="0BD522A0">
      <w:pPr>
        <w:pStyle w:val="2"/>
        <w:spacing w:before="154" w:line="276" w:lineRule="auto"/>
        <w:ind w:left="289" w:right="48" w:firstLine="400"/>
        <w:jc w:val="both"/>
        <w:rPr>
          <w:sz w:val="20"/>
          <w:szCs w:val="20"/>
        </w:rPr>
      </w:pPr>
      <w:r>
        <w:rPr>
          <w:spacing w:val="3"/>
          <w:sz w:val="20"/>
          <w:szCs w:val="20"/>
        </w:rPr>
        <w:t>不同类型的系统需要不同的架构，甚至一个系统的不同子系统也需要不同的架构。架构的</w:t>
      </w:r>
      <w:r>
        <w:rPr>
          <w:spacing w:val="17"/>
          <w:sz w:val="20"/>
          <w:szCs w:val="20"/>
        </w:rPr>
        <w:t xml:space="preserve"> </w:t>
      </w:r>
      <w:r>
        <w:rPr>
          <w:spacing w:val="4"/>
          <w:sz w:val="20"/>
          <w:szCs w:val="20"/>
        </w:rPr>
        <w:t>选择往往会成为一个系统设计成败的关键。软件架构评估可以</w:t>
      </w:r>
      <w:r>
        <w:rPr>
          <w:spacing w:val="3"/>
          <w:sz w:val="20"/>
          <w:szCs w:val="20"/>
        </w:rPr>
        <w:t>只针对一个架构，也可以针对一</w:t>
      </w:r>
      <w:r>
        <w:rPr>
          <w:sz w:val="20"/>
          <w:szCs w:val="20"/>
        </w:rPr>
        <w:t xml:space="preserve"> </w:t>
      </w:r>
      <w:r>
        <w:rPr>
          <w:spacing w:val="-1"/>
          <w:sz w:val="20"/>
          <w:szCs w:val="20"/>
        </w:rPr>
        <w:t>组架构。在架构评估过程中，评估人员所关注的</w:t>
      </w:r>
      <w:r>
        <w:rPr>
          <w:spacing w:val="-2"/>
          <w:sz w:val="20"/>
          <w:szCs w:val="20"/>
        </w:rPr>
        <w:t>是系统的质量属性。</w:t>
      </w:r>
    </w:p>
    <w:p w14:paraId="240568C1">
      <w:pPr>
        <w:pStyle w:val="2"/>
        <w:spacing w:before="41" w:line="269" w:lineRule="auto"/>
        <w:ind w:left="289" w:right="70" w:firstLine="400"/>
        <w:jc w:val="both"/>
        <w:rPr>
          <w:sz w:val="20"/>
          <w:szCs w:val="20"/>
        </w:rPr>
      </w:pPr>
      <w:r>
        <w:rPr>
          <w:spacing w:val="3"/>
          <w:sz w:val="20"/>
          <w:szCs w:val="20"/>
        </w:rPr>
        <w:t>从目前已有的软件架构评估技术来看，评估方式主要可以归纳为以下三类：基于调查问卷</w:t>
      </w:r>
      <w:r>
        <w:rPr>
          <w:spacing w:val="10"/>
          <w:sz w:val="20"/>
          <w:szCs w:val="20"/>
        </w:rPr>
        <w:t xml:space="preserve"> </w:t>
      </w:r>
      <w:r>
        <w:rPr>
          <w:spacing w:val="3"/>
          <w:sz w:val="20"/>
          <w:szCs w:val="20"/>
        </w:rPr>
        <w:t>(或检查表)的方式、基于场景的方式和基于度量的方式。这三种评估方式中，基于场景的评估</w:t>
      </w:r>
      <w:r>
        <w:rPr>
          <w:spacing w:val="2"/>
          <w:sz w:val="20"/>
          <w:szCs w:val="20"/>
        </w:rPr>
        <w:t xml:space="preserve"> </w:t>
      </w:r>
      <w:r>
        <w:rPr>
          <w:spacing w:val="-5"/>
          <w:sz w:val="20"/>
          <w:szCs w:val="20"/>
        </w:rPr>
        <w:t>方式最为常用。</w:t>
      </w:r>
    </w:p>
    <w:p w14:paraId="7D2F8725">
      <w:pPr>
        <w:pStyle w:val="2"/>
        <w:spacing w:before="25" w:line="274" w:lineRule="auto"/>
        <w:ind w:left="289" w:firstLine="400"/>
        <w:jc w:val="both"/>
        <w:rPr>
          <w:sz w:val="20"/>
          <w:szCs w:val="20"/>
        </w:rPr>
      </w:pPr>
      <w:r>
        <w:rPr>
          <w:spacing w:val="-1"/>
          <w:sz w:val="20"/>
          <w:szCs w:val="20"/>
        </w:rPr>
        <w:t>基于场景的方式主要包括：架构权衡分析法</w:t>
      </w:r>
      <w:r>
        <w:rPr>
          <w:rFonts w:ascii="Times New Roman" w:hAnsi="Times New Roman" w:eastAsia="Times New Roman" w:cs="Times New Roman"/>
          <w:spacing w:val="-1"/>
          <w:sz w:val="20"/>
          <w:szCs w:val="20"/>
        </w:rPr>
        <w:t>(Architecture  Trade-offAnalysis  Method,ATAM)</w:t>
      </w:r>
      <w:r>
        <w:rPr>
          <w:spacing w:val="-1"/>
          <w:sz w:val="20"/>
          <w:szCs w:val="20"/>
        </w:rPr>
        <w:t>、</w:t>
      </w:r>
      <w:r>
        <w:rPr>
          <w:spacing w:val="5"/>
          <w:sz w:val="20"/>
          <w:szCs w:val="20"/>
        </w:rPr>
        <w:t xml:space="preserve"> </w:t>
      </w:r>
      <w:r>
        <w:rPr>
          <w:spacing w:val="20"/>
          <w:sz w:val="20"/>
          <w:szCs w:val="20"/>
        </w:rPr>
        <w:t>软件架构分析法</w:t>
      </w:r>
      <w:r>
        <w:rPr>
          <w:spacing w:val="-50"/>
          <w:sz w:val="20"/>
          <w:szCs w:val="20"/>
        </w:rPr>
        <w:t xml:space="preserve"> </w:t>
      </w:r>
      <w:r>
        <w:rPr>
          <w:rFonts w:ascii="Times New Roman" w:hAnsi="Times New Roman" w:eastAsia="Times New Roman" w:cs="Times New Roman"/>
          <w:spacing w:val="20"/>
          <w:sz w:val="20"/>
          <w:szCs w:val="20"/>
        </w:rPr>
        <w:t>(</w:t>
      </w:r>
      <w:r>
        <w:rPr>
          <w:rFonts w:ascii="Times New Roman" w:hAnsi="Times New Roman" w:eastAsia="Times New Roman" w:cs="Times New Roman"/>
          <w:sz w:val="20"/>
          <w:szCs w:val="20"/>
        </w:rPr>
        <w:t>Software</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Architecture</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Analysis   Method</w:t>
      </w:r>
      <w:r>
        <w:rPr>
          <w:rFonts w:ascii="Times New Roman" w:hAnsi="Times New Roman" w:eastAsia="Times New Roman" w:cs="Times New Roman"/>
          <w:spacing w:val="20"/>
          <w:sz w:val="20"/>
          <w:szCs w:val="20"/>
        </w:rPr>
        <w:t>,</w:t>
      </w:r>
      <w:r>
        <w:rPr>
          <w:rFonts w:ascii="Times New Roman" w:hAnsi="Times New Roman" w:eastAsia="Times New Roman" w:cs="Times New Roman"/>
          <w:sz w:val="20"/>
          <w:szCs w:val="20"/>
        </w:rPr>
        <w:t>SAAM</w:t>
      </w:r>
      <w:r>
        <w:rPr>
          <w:rFonts w:ascii="Times New Roman" w:hAnsi="Times New Roman" w:eastAsia="Times New Roman" w:cs="Times New Roman"/>
          <w:spacing w:val="20"/>
          <w:sz w:val="20"/>
          <w:szCs w:val="20"/>
        </w:rPr>
        <w:t>)</w:t>
      </w:r>
      <w:r>
        <w:rPr>
          <w:rFonts w:ascii="Times New Roman" w:hAnsi="Times New Roman" w:eastAsia="Times New Roman" w:cs="Times New Roman"/>
          <w:spacing w:val="44"/>
          <w:sz w:val="20"/>
          <w:szCs w:val="20"/>
        </w:rPr>
        <w:t xml:space="preserve"> </w:t>
      </w:r>
      <w:r>
        <w:rPr>
          <w:spacing w:val="20"/>
          <w:sz w:val="20"/>
          <w:szCs w:val="20"/>
        </w:rPr>
        <w:t>和成本效益分析法</w:t>
      </w:r>
      <w:r>
        <w:rPr>
          <w:spacing w:val="-57"/>
          <w:sz w:val="20"/>
          <w:szCs w:val="20"/>
        </w:rPr>
        <w:t xml:space="preserve"> </w:t>
      </w:r>
      <w:r>
        <w:rPr>
          <w:rFonts w:ascii="Times New Roman" w:hAnsi="Times New Roman" w:eastAsia="Times New Roman" w:cs="Times New Roman"/>
          <w:spacing w:val="20"/>
          <w:sz w:val="20"/>
          <w:szCs w:val="20"/>
        </w:rPr>
        <w:t>(</w:t>
      </w:r>
      <w:r>
        <w:rPr>
          <w:rFonts w:ascii="Times New Roman" w:hAnsi="Times New Roman" w:eastAsia="Times New Roman" w:cs="Times New Roman"/>
          <w:sz w:val="20"/>
          <w:szCs w:val="20"/>
        </w:rPr>
        <w:t xml:space="preserve">Cost    </w:t>
      </w:r>
      <w:r>
        <w:rPr>
          <w:rFonts w:ascii="Times New Roman" w:hAnsi="Times New Roman" w:eastAsia="Times New Roman" w:cs="Times New Roman"/>
          <w:spacing w:val="-1"/>
          <w:sz w:val="20"/>
          <w:szCs w:val="20"/>
        </w:rPr>
        <w:t>Benefit   Analysis    Method,CBAM)</w:t>
      </w:r>
      <w:r>
        <w:rPr>
          <w:spacing w:val="-1"/>
          <w:sz w:val="20"/>
          <w:szCs w:val="20"/>
        </w:rPr>
        <w:t>。在架构评估中，一般从刺激、环境和响应三个方面来对场景</w:t>
      </w:r>
      <w:r>
        <w:rPr>
          <w:spacing w:val="3"/>
          <w:sz w:val="20"/>
          <w:szCs w:val="20"/>
        </w:rPr>
        <w:t xml:space="preserve">  进行描述。刺激是场景中解释或描述项目干系人怎样引发与系统的交互部分，环境描述的是刺</w:t>
      </w:r>
      <w:r>
        <w:rPr>
          <w:spacing w:val="12"/>
          <w:sz w:val="20"/>
          <w:szCs w:val="20"/>
        </w:rPr>
        <w:t xml:space="preserve"> </w:t>
      </w:r>
      <w:r>
        <w:rPr>
          <w:spacing w:val="-1"/>
          <w:sz w:val="20"/>
          <w:szCs w:val="20"/>
        </w:rPr>
        <w:t>激发生时的情况，响应是指系统是如何通过架构对刺激</w:t>
      </w:r>
      <w:r>
        <w:rPr>
          <w:spacing w:val="-2"/>
          <w:sz w:val="20"/>
          <w:szCs w:val="20"/>
        </w:rPr>
        <w:t>做出反应的。</w:t>
      </w:r>
    </w:p>
    <w:p w14:paraId="58F8D3F3">
      <w:pPr>
        <w:spacing w:line="274" w:lineRule="auto"/>
        <w:rPr>
          <w:sz w:val="20"/>
          <w:szCs w:val="20"/>
        </w:rPr>
        <w:sectPr>
          <w:pgSz w:w="10320" w:h="13420"/>
          <w:pgMar w:top="400" w:right="1059" w:bottom="400" w:left="569" w:header="0" w:footer="0" w:gutter="0"/>
          <w:cols w:space="720" w:num="1"/>
        </w:sectPr>
      </w:pPr>
    </w:p>
    <w:p w14:paraId="4537F039">
      <w:pPr>
        <w:pStyle w:val="2"/>
        <w:spacing w:before="96" w:line="219" w:lineRule="auto"/>
        <w:jc w:val="right"/>
        <w:rPr>
          <w:rFonts w:ascii="Times New Roman" w:hAnsi="Times New Roman" w:eastAsia="Times New Roman" w:cs="Times New Roman"/>
          <w:sz w:val="16"/>
          <w:szCs w:val="16"/>
        </w:rPr>
      </w:pPr>
      <w:r>
        <w:rPr>
          <w:spacing w:val="-2"/>
          <w:sz w:val="20"/>
          <w:szCs w:val="20"/>
        </w:rPr>
        <w:t>第2章 信息系统工程</w:t>
      </w:r>
      <w:r>
        <w:rPr>
          <w:spacing w:val="12"/>
          <w:sz w:val="20"/>
          <w:szCs w:val="20"/>
        </w:rPr>
        <w:t xml:space="preserve">      </w:t>
      </w:r>
      <w:r>
        <w:rPr>
          <w:rFonts w:ascii="Times New Roman" w:hAnsi="Times New Roman" w:eastAsia="Times New Roman" w:cs="Times New Roman"/>
          <w:spacing w:val="-2"/>
          <w:sz w:val="16"/>
          <w:szCs w:val="16"/>
        </w:rPr>
        <w:t>59</w:t>
      </w:r>
    </w:p>
    <w:p w14:paraId="6F59C8C2">
      <w:pPr>
        <w:spacing w:line="296" w:lineRule="auto"/>
        <w:rPr>
          <w:rFonts w:ascii="Arial"/>
          <w:sz w:val="21"/>
        </w:rPr>
      </w:pPr>
    </w:p>
    <w:p w14:paraId="106A156A">
      <w:pPr>
        <w:pStyle w:val="2"/>
        <w:spacing w:before="65" w:line="281" w:lineRule="auto"/>
        <w:ind w:right="239" w:firstLine="400"/>
        <w:jc w:val="both"/>
        <w:rPr>
          <w:sz w:val="20"/>
          <w:szCs w:val="20"/>
        </w:rPr>
      </w:pPr>
      <w:r>
        <w:rPr>
          <w:spacing w:val="3"/>
          <w:sz w:val="20"/>
          <w:szCs w:val="20"/>
        </w:rPr>
        <w:t>基于场景的方式分析软件架构对场景的支持程度，从而判断该架构对这一场</w:t>
      </w:r>
      <w:r>
        <w:rPr>
          <w:spacing w:val="2"/>
          <w:sz w:val="20"/>
          <w:szCs w:val="20"/>
        </w:rPr>
        <w:t>景所代表的质</w:t>
      </w:r>
      <w:r>
        <w:rPr>
          <w:sz w:val="20"/>
          <w:szCs w:val="20"/>
        </w:rPr>
        <w:t xml:space="preserve"> </w:t>
      </w:r>
      <w:r>
        <w:rPr>
          <w:spacing w:val="3"/>
          <w:sz w:val="20"/>
          <w:szCs w:val="20"/>
        </w:rPr>
        <w:t>量需求的满足程度。例如，用一系列对软件的修改来反映易修改性方面的需求</w:t>
      </w:r>
      <w:r>
        <w:rPr>
          <w:spacing w:val="2"/>
          <w:sz w:val="20"/>
          <w:szCs w:val="20"/>
        </w:rPr>
        <w:t>，用一系列攻击</w:t>
      </w:r>
      <w:r>
        <w:rPr>
          <w:sz w:val="20"/>
          <w:szCs w:val="20"/>
        </w:rPr>
        <w:t xml:space="preserve"> </w:t>
      </w:r>
      <w:r>
        <w:rPr>
          <w:spacing w:val="3"/>
          <w:sz w:val="20"/>
          <w:szCs w:val="20"/>
        </w:rPr>
        <w:t>性操作来代表安全性方面的需求等。这一评估方式考虑到了所有与系统相关的人员对</w:t>
      </w:r>
      <w:r>
        <w:rPr>
          <w:spacing w:val="2"/>
          <w:sz w:val="20"/>
          <w:szCs w:val="20"/>
        </w:rPr>
        <w:t>质量的要</w:t>
      </w:r>
      <w:r>
        <w:rPr>
          <w:sz w:val="20"/>
          <w:szCs w:val="20"/>
        </w:rPr>
        <w:t xml:space="preserve"> </w:t>
      </w:r>
      <w:r>
        <w:rPr>
          <w:spacing w:val="3"/>
          <w:sz w:val="20"/>
          <w:szCs w:val="20"/>
        </w:rPr>
        <w:t>求，涉及的基本活动包括确定应用领域的功能和软件架构之间的映射，设计用于体现待评估质</w:t>
      </w:r>
      <w:r>
        <w:rPr>
          <w:spacing w:val="9"/>
          <w:sz w:val="20"/>
          <w:szCs w:val="20"/>
        </w:rPr>
        <w:t xml:space="preserve"> </w:t>
      </w:r>
      <w:r>
        <w:rPr>
          <w:spacing w:val="-3"/>
          <w:sz w:val="20"/>
          <w:szCs w:val="20"/>
        </w:rPr>
        <w:t>量属性的场景，以及分析软件架构对场景的支持程度。</w:t>
      </w:r>
    </w:p>
    <w:p w14:paraId="04759ECE">
      <w:pPr>
        <w:pStyle w:val="2"/>
        <w:spacing w:before="56" w:line="282" w:lineRule="auto"/>
        <w:ind w:right="243" w:firstLine="400"/>
        <w:jc w:val="both"/>
        <w:rPr>
          <w:sz w:val="20"/>
          <w:szCs w:val="20"/>
        </w:rPr>
      </w:pPr>
      <w:r>
        <w:rPr>
          <w:spacing w:val="3"/>
          <w:sz w:val="20"/>
          <w:szCs w:val="20"/>
        </w:rPr>
        <w:t>不同系统对同一质量属性的理解可能不同。例如，对操作系统来说，可移植性被理解为系</w:t>
      </w:r>
      <w:r>
        <w:rPr>
          <w:spacing w:val="10"/>
          <w:sz w:val="20"/>
          <w:szCs w:val="20"/>
        </w:rPr>
        <w:t xml:space="preserve"> </w:t>
      </w:r>
      <w:r>
        <w:rPr>
          <w:spacing w:val="3"/>
          <w:sz w:val="20"/>
          <w:szCs w:val="20"/>
        </w:rPr>
        <w:t>统可以在不同的硬件平台上运行；而对于普通的应用系统而言，可移植性往往是指该系统可以</w:t>
      </w:r>
      <w:r>
        <w:rPr>
          <w:spacing w:val="4"/>
          <w:sz w:val="20"/>
          <w:szCs w:val="20"/>
        </w:rPr>
        <w:t xml:space="preserve"> </w:t>
      </w:r>
      <w:r>
        <w:rPr>
          <w:spacing w:val="3"/>
          <w:sz w:val="20"/>
          <w:szCs w:val="20"/>
        </w:rPr>
        <w:t>在不同的操作系统上运行。由于存在这种不一致性，对一个领域适合的场景设计</w:t>
      </w:r>
      <w:r>
        <w:rPr>
          <w:spacing w:val="2"/>
          <w:sz w:val="20"/>
          <w:szCs w:val="20"/>
        </w:rPr>
        <w:t>在另一个领域</w:t>
      </w:r>
      <w:r>
        <w:rPr>
          <w:sz w:val="20"/>
          <w:szCs w:val="20"/>
        </w:rPr>
        <w:t xml:space="preserve"> </w:t>
      </w:r>
      <w:r>
        <w:rPr>
          <w:spacing w:val="2"/>
          <w:sz w:val="20"/>
          <w:szCs w:val="20"/>
        </w:rPr>
        <w:t>内未必合适，因此，基于场景的评估方式适用于某一特定领域。这一评估方式的实施者一方面</w:t>
      </w:r>
      <w:r>
        <w:rPr>
          <w:spacing w:val="15"/>
          <w:sz w:val="20"/>
          <w:szCs w:val="20"/>
        </w:rPr>
        <w:t xml:space="preserve"> </w:t>
      </w:r>
      <w:r>
        <w:rPr>
          <w:spacing w:val="3"/>
          <w:sz w:val="20"/>
          <w:szCs w:val="20"/>
        </w:rPr>
        <w:t>需要有丰富的领域知识，以对某一质量需求设计出合理的场景；另一方面，必须对</w:t>
      </w:r>
      <w:r>
        <w:rPr>
          <w:spacing w:val="2"/>
          <w:sz w:val="20"/>
          <w:szCs w:val="20"/>
        </w:rPr>
        <w:t>待评估的软</w:t>
      </w:r>
      <w:r>
        <w:rPr>
          <w:sz w:val="20"/>
          <w:szCs w:val="20"/>
        </w:rPr>
        <w:t xml:space="preserve"> </w:t>
      </w:r>
      <w:r>
        <w:rPr>
          <w:spacing w:val="-1"/>
          <w:sz w:val="20"/>
          <w:szCs w:val="20"/>
        </w:rPr>
        <w:t>件架构有一定的了解，以准确判断它是否支持场景描述的一系列活动。</w:t>
      </w:r>
    </w:p>
    <w:p w14:paraId="4C80D0C7">
      <w:pPr>
        <w:pStyle w:val="2"/>
        <w:spacing w:before="218" w:line="220" w:lineRule="auto"/>
        <w:ind w:left="2"/>
        <w:rPr>
          <w:sz w:val="26"/>
          <w:szCs w:val="26"/>
        </w:rPr>
      </w:pPr>
      <w:r>
        <w:rPr>
          <w:b/>
          <w:bCs/>
          <w:color w:val="006CD9"/>
          <w:spacing w:val="-25"/>
          <w:sz w:val="26"/>
          <w:szCs w:val="26"/>
        </w:rPr>
        <w:t>2.3.2</w:t>
      </w:r>
      <w:r>
        <w:rPr>
          <w:color w:val="006CD9"/>
          <w:spacing w:val="75"/>
          <w:sz w:val="26"/>
          <w:szCs w:val="26"/>
        </w:rPr>
        <w:t xml:space="preserve"> </w:t>
      </w:r>
      <w:r>
        <w:rPr>
          <w:b/>
          <w:bCs/>
          <w:color w:val="006CD9"/>
          <w:spacing w:val="-25"/>
          <w:sz w:val="26"/>
          <w:szCs w:val="26"/>
        </w:rPr>
        <w:t>需求分析</w:t>
      </w:r>
    </w:p>
    <w:p w14:paraId="2CFFFA71">
      <w:pPr>
        <w:pStyle w:val="2"/>
        <w:spacing w:before="181" w:line="277" w:lineRule="auto"/>
        <w:ind w:right="202" w:firstLine="400"/>
        <w:jc w:val="both"/>
        <w:rPr>
          <w:sz w:val="20"/>
          <w:szCs w:val="20"/>
        </w:rPr>
      </w:pPr>
      <w:r>
        <w:rPr>
          <w:spacing w:val="6"/>
          <w:sz w:val="20"/>
          <w:szCs w:val="20"/>
        </w:rPr>
        <w:t>根据</w:t>
      </w:r>
      <w:r>
        <w:rPr>
          <w:rFonts w:ascii="Times New Roman" w:hAnsi="Times New Roman" w:eastAsia="Times New Roman" w:cs="Times New Roman"/>
          <w:sz w:val="20"/>
          <w:szCs w:val="20"/>
        </w:rPr>
        <w:t>IEEE</w:t>
      </w:r>
      <w:r>
        <w:rPr>
          <w:rFonts w:ascii="Times New Roman" w:hAnsi="Times New Roman" w:eastAsia="Times New Roman" w:cs="Times New Roman"/>
          <w:spacing w:val="32"/>
          <w:w w:val="101"/>
          <w:sz w:val="20"/>
          <w:szCs w:val="20"/>
        </w:rPr>
        <w:t xml:space="preserve"> </w:t>
      </w:r>
      <w:r>
        <w:rPr>
          <w:spacing w:val="6"/>
          <w:sz w:val="20"/>
          <w:szCs w:val="20"/>
        </w:rPr>
        <w:t>的软件工程标准词汇表，软件需求是指用户解决</w:t>
      </w:r>
      <w:r>
        <w:rPr>
          <w:spacing w:val="5"/>
          <w:sz w:val="20"/>
          <w:szCs w:val="20"/>
        </w:rPr>
        <w:t>问题或达到目标所需的条件或</w:t>
      </w:r>
      <w:r>
        <w:rPr>
          <w:sz w:val="20"/>
          <w:szCs w:val="20"/>
        </w:rPr>
        <w:t xml:space="preserve"> </w:t>
      </w:r>
      <w:r>
        <w:rPr>
          <w:spacing w:val="-1"/>
          <w:sz w:val="20"/>
          <w:szCs w:val="20"/>
        </w:rPr>
        <w:t>能力，是系统或系统部件要满足合同、标准、规范或其他正式规定文档所需具有的条件或能力，</w:t>
      </w:r>
      <w:r>
        <w:rPr>
          <w:spacing w:val="11"/>
          <w:sz w:val="20"/>
          <w:szCs w:val="20"/>
        </w:rPr>
        <w:t xml:space="preserve"> </w:t>
      </w:r>
      <w:r>
        <w:rPr>
          <w:spacing w:val="-4"/>
          <w:sz w:val="20"/>
          <w:szCs w:val="20"/>
        </w:rPr>
        <w:t>以及反映这些条件或能力的文档说明。</w:t>
      </w:r>
    </w:p>
    <w:p w14:paraId="6066E628">
      <w:pPr>
        <w:pStyle w:val="2"/>
        <w:spacing w:before="135" w:line="221" w:lineRule="auto"/>
        <w:ind w:left="402"/>
        <w:rPr>
          <w:rFonts w:ascii="黑体" w:hAnsi="黑体" w:eastAsia="黑体" w:cs="黑体"/>
          <w:sz w:val="20"/>
          <w:szCs w:val="20"/>
        </w:rPr>
      </w:pPr>
      <w:r>
        <w:rPr>
          <w:b/>
          <w:bCs/>
          <w:color w:val="0071D4"/>
          <w:spacing w:val="-2"/>
          <w:sz w:val="20"/>
          <w:szCs w:val="20"/>
        </w:rPr>
        <w:t>1.</w:t>
      </w:r>
      <w:r>
        <w:rPr>
          <w:rFonts w:ascii="黑体" w:hAnsi="黑体" w:eastAsia="黑体" w:cs="黑体"/>
          <w:b/>
          <w:bCs/>
          <w:color w:val="0071D4"/>
          <w:spacing w:val="-2"/>
          <w:sz w:val="20"/>
          <w:szCs w:val="20"/>
        </w:rPr>
        <w:t>需求的层次</w:t>
      </w:r>
    </w:p>
    <w:p w14:paraId="5CD31497">
      <w:pPr>
        <w:pStyle w:val="2"/>
        <w:spacing w:before="124" w:line="298" w:lineRule="auto"/>
        <w:ind w:right="248" w:firstLine="400"/>
        <w:jc w:val="both"/>
        <w:rPr>
          <w:sz w:val="16"/>
          <w:szCs w:val="16"/>
        </w:rPr>
      </w:pPr>
      <w:r>
        <w:rPr>
          <w:spacing w:val="3"/>
          <w:sz w:val="20"/>
          <w:szCs w:val="20"/>
        </w:rPr>
        <w:t>简单地说，软件需求就是系统必须完成的事，以及必须具备的品质。需求是多层次的，包</w:t>
      </w:r>
      <w:r>
        <w:rPr>
          <w:spacing w:val="1"/>
          <w:sz w:val="20"/>
          <w:szCs w:val="20"/>
        </w:rPr>
        <w:t xml:space="preserve"> </w:t>
      </w:r>
      <w:r>
        <w:rPr>
          <w:spacing w:val="3"/>
          <w:sz w:val="20"/>
          <w:szCs w:val="20"/>
        </w:rPr>
        <w:t>括业务需求、用户需求和系统需求，这三个不同层次从目标到具体，从整体到局部，从概念到</w:t>
      </w:r>
      <w:r>
        <w:rPr>
          <w:sz w:val="20"/>
          <w:szCs w:val="20"/>
        </w:rPr>
        <w:t xml:space="preserve"> </w:t>
      </w:r>
      <w:r>
        <w:rPr>
          <w:spacing w:val="-5"/>
          <w:sz w:val="16"/>
          <w:szCs w:val="16"/>
        </w:rPr>
        <w:t>细</w:t>
      </w:r>
      <w:r>
        <w:rPr>
          <w:spacing w:val="-18"/>
          <w:sz w:val="16"/>
          <w:szCs w:val="16"/>
        </w:rPr>
        <w:t xml:space="preserve"> </w:t>
      </w:r>
      <w:r>
        <w:rPr>
          <w:spacing w:val="-5"/>
          <w:sz w:val="16"/>
          <w:szCs w:val="16"/>
        </w:rPr>
        <w:t>节</w:t>
      </w:r>
      <w:r>
        <w:rPr>
          <w:spacing w:val="-25"/>
          <w:sz w:val="16"/>
          <w:szCs w:val="16"/>
        </w:rPr>
        <w:t xml:space="preserve"> </w:t>
      </w:r>
      <w:r>
        <w:rPr>
          <w:spacing w:val="-5"/>
          <w:sz w:val="16"/>
          <w:szCs w:val="16"/>
        </w:rPr>
        <w:t>。</w:t>
      </w:r>
    </w:p>
    <w:p w14:paraId="57EF887D">
      <w:pPr>
        <w:pStyle w:val="2"/>
        <w:spacing w:before="3" w:line="285" w:lineRule="auto"/>
        <w:ind w:right="232" w:firstLine="400"/>
        <w:jc w:val="both"/>
        <w:rPr>
          <w:sz w:val="20"/>
          <w:szCs w:val="20"/>
        </w:rPr>
      </w:pPr>
      <w:r>
        <w:rPr>
          <w:spacing w:val="7"/>
          <w:sz w:val="20"/>
          <w:szCs w:val="20"/>
        </w:rPr>
        <w:t>质量功能部署(</w:t>
      </w:r>
      <w:r>
        <w:rPr>
          <w:rFonts w:ascii="Times New Roman" w:hAnsi="Times New Roman" w:eastAsia="Times New Roman" w:cs="Times New Roman"/>
          <w:b/>
          <w:bCs/>
          <w:sz w:val="20"/>
          <w:szCs w:val="20"/>
        </w:rPr>
        <w:t>Quality</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z w:val="20"/>
          <w:szCs w:val="20"/>
        </w:rPr>
        <w:t>Function</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z w:val="20"/>
          <w:szCs w:val="20"/>
        </w:rPr>
        <w:t>Deployment</w:t>
      </w:r>
      <w:r>
        <w:rPr>
          <w:rFonts w:ascii="Times New Roman" w:hAnsi="Times New Roman" w:eastAsia="Times New Roman" w:cs="Times New Roman"/>
          <w:b/>
          <w:bCs/>
          <w:spacing w:val="7"/>
          <w:sz w:val="20"/>
          <w:szCs w:val="20"/>
        </w:rPr>
        <w:t>,</w:t>
      </w:r>
      <w:r>
        <w:rPr>
          <w:rFonts w:ascii="Times New Roman" w:hAnsi="Times New Roman" w:eastAsia="Times New Roman" w:cs="Times New Roman"/>
          <w:b/>
          <w:bCs/>
          <w:sz w:val="20"/>
          <w:szCs w:val="20"/>
        </w:rPr>
        <w:t>QFD</w:t>
      </w:r>
      <w:r>
        <w:rPr>
          <w:rFonts w:ascii="Times New Roman" w:hAnsi="Times New Roman" w:eastAsia="Times New Roman" w:cs="Times New Roman"/>
          <w:b/>
          <w:bCs/>
          <w:spacing w:val="7"/>
          <w:sz w:val="20"/>
          <w:szCs w:val="20"/>
        </w:rPr>
        <w:t>)</w:t>
      </w:r>
      <w:r>
        <w:rPr>
          <w:rFonts w:ascii="Times New Roman" w:hAnsi="Times New Roman" w:eastAsia="Times New Roman" w:cs="Times New Roman"/>
          <w:b/>
          <w:bCs/>
          <w:spacing w:val="-8"/>
          <w:sz w:val="20"/>
          <w:szCs w:val="20"/>
        </w:rPr>
        <w:t xml:space="preserve"> </w:t>
      </w:r>
      <w:r>
        <w:rPr>
          <w:spacing w:val="7"/>
          <w:sz w:val="20"/>
          <w:szCs w:val="20"/>
        </w:rPr>
        <w:t>是一种将用户要求转化为软</w:t>
      </w:r>
      <w:r>
        <w:rPr>
          <w:spacing w:val="6"/>
          <w:sz w:val="20"/>
          <w:szCs w:val="20"/>
        </w:rPr>
        <w:t>件需求的</w:t>
      </w:r>
      <w:r>
        <w:rPr>
          <w:sz w:val="20"/>
          <w:szCs w:val="20"/>
        </w:rPr>
        <w:t xml:space="preserve"> </w:t>
      </w:r>
      <w:r>
        <w:rPr>
          <w:spacing w:val="1"/>
          <w:sz w:val="20"/>
          <w:szCs w:val="20"/>
        </w:rPr>
        <w:t>技术，其目的是最大限度地提升软件工程过程中用</w:t>
      </w:r>
      <w:r>
        <w:rPr>
          <w:sz w:val="20"/>
          <w:szCs w:val="20"/>
        </w:rPr>
        <w:t>户的满意度。为了达到这个目标，</w:t>
      </w:r>
      <w:r>
        <w:rPr>
          <w:spacing w:val="-50"/>
          <w:sz w:val="20"/>
          <w:szCs w:val="20"/>
        </w:rPr>
        <w:t xml:space="preserve"> </w:t>
      </w:r>
      <w:r>
        <w:rPr>
          <w:sz w:val="20"/>
          <w:szCs w:val="20"/>
        </w:rPr>
        <w:t>QFD</w:t>
      </w:r>
      <w:r>
        <w:rPr>
          <w:spacing w:val="66"/>
          <w:sz w:val="20"/>
          <w:szCs w:val="20"/>
        </w:rPr>
        <w:t xml:space="preserve"> </w:t>
      </w:r>
      <w:r>
        <w:rPr>
          <w:sz w:val="20"/>
          <w:szCs w:val="20"/>
        </w:rPr>
        <w:t xml:space="preserve">将软 </w:t>
      </w:r>
      <w:r>
        <w:rPr>
          <w:spacing w:val="-2"/>
          <w:sz w:val="20"/>
          <w:szCs w:val="20"/>
        </w:rPr>
        <w:t>件需求分为三类：常规需求、期望需求和意外需求。</w:t>
      </w:r>
    </w:p>
    <w:p w14:paraId="1AEF2108">
      <w:pPr>
        <w:pStyle w:val="2"/>
        <w:spacing w:before="37" w:line="219" w:lineRule="auto"/>
        <w:ind w:left="400"/>
        <w:rPr>
          <w:sz w:val="20"/>
          <w:szCs w:val="20"/>
        </w:rPr>
      </w:pPr>
      <w:r>
        <w:rPr>
          <w:spacing w:val="1"/>
          <w:sz w:val="20"/>
          <w:szCs w:val="20"/>
        </w:rPr>
        <w:t>(1)常规需求。用户认为系统应该做到的功能或性能，实现越多用户会越满意。</w:t>
      </w:r>
    </w:p>
    <w:p w14:paraId="05720D88">
      <w:pPr>
        <w:pStyle w:val="2"/>
        <w:spacing w:before="63" w:line="257" w:lineRule="auto"/>
        <w:ind w:right="254" w:firstLine="400"/>
        <w:rPr>
          <w:sz w:val="20"/>
          <w:szCs w:val="20"/>
        </w:rPr>
      </w:pPr>
      <w:r>
        <w:rPr>
          <w:spacing w:val="5"/>
          <w:sz w:val="20"/>
          <w:szCs w:val="20"/>
        </w:rPr>
        <w:t>(2)期望需求。用户想当然认为系统应具备的功能或性能，但并不能正确描述自己想要得</w:t>
      </w:r>
      <w:r>
        <w:rPr>
          <w:spacing w:val="16"/>
          <w:sz w:val="20"/>
          <w:szCs w:val="20"/>
        </w:rPr>
        <w:t xml:space="preserve"> </w:t>
      </w:r>
      <w:r>
        <w:rPr>
          <w:spacing w:val="-1"/>
          <w:sz w:val="20"/>
          <w:szCs w:val="20"/>
        </w:rPr>
        <w:t>到的这些功能或性能需求。如果期望需求没有得到实现，会让用</w:t>
      </w:r>
      <w:r>
        <w:rPr>
          <w:spacing w:val="-2"/>
          <w:sz w:val="20"/>
          <w:szCs w:val="20"/>
        </w:rPr>
        <w:t>户感到不满意。</w:t>
      </w:r>
    </w:p>
    <w:p w14:paraId="64441079">
      <w:pPr>
        <w:pStyle w:val="2"/>
        <w:spacing w:before="73" w:line="275" w:lineRule="auto"/>
        <w:ind w:right="229" w:firstLine="400"/>
        <w:rPr>
          <w:sz w:val="16"/>
          <w:szCs w:val="16"/>
        </w:rPr>
      </w:pPr>
      <w:r>
        <w:rPr>
          <w:spacing w:val="8"/>
          <w:sz w:val="20"/>
          <w:szCs w:val="20"/>
        </w:rPr>
        <w:t>(3)意外需求。意外需求也称为兴奋需求，是用户要求范围外的功能或性能(但通常</w:t>
      </w:r>
      <w:r>
        <w:rPr>
          <w:spacing w:val="7"/>
          <w:sz w:val="20"/>
          <w:szCs w:val="20"/>
        </w:rPr>
        <w:t>是软</w:t>
      </w:r>
      <w:r>
        <w:rPr>
          <w:sz w:val="20"/>
          <w:szCs w:val="20"/>
        </w:rPr>
        <w:t xml:space="preserve"> </w:t>
      </w:r>
      <w:r>
        <w:rPr>
          <w:spacing w:val="8"/>
          <w:sz w:val="20"/>
          <w:szCs w:val="20"/>
        </w:rPr>
        <w:t>件开发人员很乐意赋予系统的技术特性),实现这些需求用户会更高</w:t>
      </w:r>
      <w:r>
        <w:rPr>
          <w:spacing w:val="7"/>
          <w:sz w:val="20"/>
          <w:szCs w:val="20"/>
        </w:rPr>
        <w:t>兴，但不实现也不影响其</w:t>
      </w:r>
      <w:r>
        <w:rPr>
          <w:sz w:val="20"/>
          <w:szCs w:val="20"/>
        </w:rPr>
        <w:t xml:space="preserve"> </w:t>
      </w:r>
      <w:r>
        <w:rPr>
          <w:spacing w:val="3"/>
          <w:sz w:val="20"/>
          <w:szCs w:val="20"/>
        </w:rPr>
        <w:t>购买的决策。意外需求是控制在开发人员手中的，开发人员可以选择实现更多的意外需求，以</w:t>
      </w:r>
      <w:r>
        <w:rPr>
          <w:spacing w:val="4"/>
          <w:sz w:val="20"/>
          <w:szCs w:val="20"/>
        </w:rPr>
        <w:t xml:space="preserve"> </w:t>
      </w:r>
      <w:r>
        <w:rPr>
          <w:spacing w:val="8"/>
          <w:sz w:val="20"/>
          <w:szCs w:val="20"/>
        </w:rPr>
        <w:t>便得到高满意、高忠诚度的用户，也可以(出于成本或项目周期的考虑)选择不实现任何意外</w:t>
      </w:r>
      <w:r>
        <w:rPr>
          <w:spacing w:val="13"/>
          <w:sz w:val="20"/>
          <w:szCs w:val="20"/>
        </w:rPr>
        <w:t xml:space="preserve"> </w:t>
      </w:r>
      <w:r>
        <w:rPr>
          <w:spacing w:val="-8"/>
          <w:sz w:val="16"/>
          <w:szCs w:val="16"/>
        </w:rPr>
        <w:t>需</w:t>
      </w:r>
      <w:r>
        <w:rPr>
          <w:spacing w:val="-13"/>
          <w:sz w:val="16"/>
          <w:szCs w:val="16"/>
        </w:rPr>
        <w:t xml:space="preserve"> </w:t>
      </w:r>
      <w:r>
        <w:rPr>
          <w:spacing w:val="-8"/>
          <w:sz w:val="16"/>
          <w:szCs w:val="16"/>
        </w:rPr>
        <w:t>求</w:t>
      </w:r>
      <w:r>
        <w:rPr>
          <w:spacing w:val="-21"/>
          <w:sz w:val="16"/>
          <w:szCs w:val="16"/>
        </w:rPr>
        <w:t xml:space="preserve"> </w:t>
      </w:r>
      <w:r>
        <w:rPr>
          <w:spacing w:val="-8"/>
          <w:sz w:val="16"/>
          <w:szCs w:val="16"/>
        </w:rPr>
        <w:t>。</w:t>
      </w:r>
    </w:p>
    <w:p w14:paraId="3629911C">
      <w:pPr>
        <w:pStyle w:val="2"/>
        <w:spacing w:before="197" w:line="222" w:lineRule="auto"/>
        <w:ind w:left="402"/>
        <w:rPr>
          <w:rFonts w:ascii="黑体" w:hAnsi="黑体" w:eastAsia="黑体" w:cs="黑体"/>
          <w:sz w:val="20"/>
          <w:szCs w:val="20"/>
        </w:rPr>
      </w:pPr>
      <w:r>
        <w:rPr>
          <w:b/>
          <w:bCs/>
          <w:color w:val="0063C6"/>
          <w:spacing w:val="1"/>
          <w:sz w:val="20"/>
          <w:szCs w:val="20"/>
        </w:rPr>
        <w:t>2.</w:t>
      </w:r>
      <w:r>
        <w:rPr>
          <w:rFonts w:ascii="黑体" w:hAnsi="黑体" w:eastAsia="黑体" w:cs="黑体"/>
          <w:b/>
          <w:bCs/>
          <w:color w:val="0063C6"/>
          <w:spacing w:val="1"/>
          <w:sz w:val="20"/>
          <w:szCs w:val="20"/>
        </w:rPr>
        <w:t>需求过程</w:t>
      </w:r>
    </w:p>
    <w:p w14:paraId="0ED759AF">
      <w:pPr>
        <w:spacing w:before="129" w:line="224" w:lineRule="auto"/>
        <w:ind w:left="400"/>
        <w:rPr>
          <w:rFonts w:ascii="楷体" w:hAnsi="楷体" w:eastAsia="楷体" w:cs="楷体"/>
          <w:sz w:val="20"/>
          <w:szCs w:val="20"/>
        </w:rPr>
      </w:pPr>
      <w:r>
        <w:rPr>
          <w:rFonts w:ascii="楷体" w:hAnsi="楷体" w:eastAsia="楷体" w:cs="楷体"/>
          <w:spacing w:val="-1"/>
          <w:sz w:val="20"/>
          <w:szCs w:val="20"/>
        </w:rPr>
        <w:t>需求过程主要包括需求获取、需求分析、需求规格说明书编制、需求验</w:t>
      </w:r>
      <w:r>
        <w:rPr>
          <w:rFonts w:ascii="楷体" w:hAnsi="楷体" w:eastAsia="楷体" w:cs="楷体"/>
          <w:spacing w:val="-2"/>
          <w:sz w:val="20"/>
          <w:szCs w:val="20"/>
        </w:rPr>
        <w:t>证与确认等内容。</w:t>
      </w:r>
    </w:p>
    <w:p w14:paraId="1009DEEF">
      <w:pPr>
        <w:spacing w:before="137" w:line="224" w:lineRule="auto"/>
        <w:ind w:left="400"/>
        <w:rPr>
          <w:rFonts w:ascii="楷体" w:hAnsi="楷体" w:eastAsia="楷体" w:cs="楷体"/>
          <w:sz w:val="20"/>
          <w:szCs w:val="20"/>
        </w:rPr>
      </w:pPr>
      <w:r>
        <w:rPr>
          <w:rFonts w:ascii="楷体" w:hAnsi="楷体" w:eastAsia="楷体" w:cs="楷体"/>
          <w:spacing w:val="15"/>
          <w:sz w:val="20"/>
          <w:szCs w:val="20"/>
        </w:rPr>
        <w:t>1)需求获取</w:t>
      </w:r>
    </w:p>
    <w:p w14:paraId="74DDCC87">
      <w:pPr>
        <w:pStyle w:val="2"/>
        <w:spacing w:before="60" w:line="273" w:lineRule="auto"/>
        <w:ind w:right="182" w:firstLine="400"/>
        <w:rPr>
          <w:sz w:val="20"/>
          <w:szCs w:val="20"/>
        </w:rPr>
      </w:pPr>
      <w:r>
        <w:rPr>
          <w:spacing w:val="3"/>
          <w:sz w:val="20"/>
          <w:szCs w:val="20"/>
        </w:rPr>
        <w:t>需求获取是一个确定和理解不同项目干系人的需求和约束的过程。需求获取是一件看上去</w:t>
      </w:r>
      <w:r>
        <w:rPr>
          <w:spacing w:val="4"/>
          <w:sz w:val="20"/>
          <w:szCs w:val="20"/>
        </w:rPr>
        <w:t xml:space="preserve"> </w:t>
      </w:r>
      <w:r>
        <w:rPr>
          <w:spacing w:val="5"/>
          <w:sz w:val="20"/>
          <w:szCs w:val="20"/>
        </w:rPr>
        <w:t>很简单、做起来却很难的事情。需求获取是否科学、准</w:t>
      </w:r>
      <w:r>
        <w:rPr>
          <w:spacing w:val="4"/>
          <w:sz w:val="20"/>
          <w:szCs w:val="20"/>
        </w:rPr>
        <w:t>备充分，对获取出来的结果影响很大，</w:t>
      </w:r>
    </w:p>
    <w:p w14:paraId="79165894">
      <w:pPr>
        <w:spacing w:line="273" w:lineRule="auto"/>
        <w:rPr>
          <w:sz w:val="20"/>
          <w:szCs w:val="20"/>
        </w:rPr>
        <w:sectPr>
          <w:pgSz w:w="10300" w:h="13300"/>
          <w:pgMar w:top="400" w:right="577" w:bottom="400" w:left="1149" w:header="0" w:footer="0" w:gutter="0"/>
          <w:cols w:space="720" w:num="1"/>
        </w:sectPr>
      </w:pPr>
    </w:p>
    <w:p w14:paraId="6DDC2D53">
      <w:pPr>
        <w:pStyle w:val="2"/>
        <w:spacing w:before="108" w:line="219" w:lineRule="auto"/>
        <w:rPr>
          <w:sz w:val="20"/>
          <w:szCs w:val="20"/>
        </w:rPr>
      </w:pPr>
      <w:bookmarkStart w:id="512" w:name="bookmark499"/>
      <w:bookmarkEnd w:id="512"/>
      <w:r>
        <w:rPr>
          <w:rFonts w:ascii="Times New Roman" w:hAnsi="Times New Roman" w:eastAsia="Times New Roman" w:cs="Times New Roman"/>
          <w:b/>
          <w:bCs/>
          <w:spacing w:val="-3"/>
          <w:sz w:val="17"/>
          <w:szCs w:val="17"/>
        </w:rPr>
        <w:t>60</w:t>
      </w:r>
      <w:r>
        <w:rPr>
          <w:rFonts w:ascii="Times New Roman" w:hAnsi="Times New Roman" w:eastAsia="Times New Roman" w:cs="Times New Roman"/>
          <w:b/>
          <w:bCs/>
          <w:spacing w:val="1"/>
          <w:sz w:val="17"/>
          <w:szCs w:val="17"/>
        </w:rPr>
        <w:t xml:space="preserve">                 </w:t>
      </w:r>
      <w:r>
        <w:rPr>
          <w:spacing w:val="-3"/>
          <w:sz w:val="20"/>
          <w:szCs w:val="20"/>
        </w:rPr>
        <w:t>信息系统监理师教程(第2版)</w:t>
      </w:r>
    </w:p>
    <w:p w14:paraId="0DB60209">
      <w:pPr>
        <w:spacing w:line="315" w:lineRule="auto"/>
        <w:rPr>
          <w:rFonts w:ascii="Arial"/>
          <w:sz w:val="21"/>
        </w:rPr>
      </w:pPr>
    </w:p>
    <w:p w14:paraId="581D285B">
      <w:pPr>
        <w:pStyle w:val="2"/>
        <w:spacing w:before="65" w:line="286" w:lineRule="auto"/>
        <w:ind w:left="279" w:right="71"/>
        <w:jc w:val="both"/>
        <w:rPr>
          <w:sz w:val="20"/>
          <w:szCs w:val="20"/>
        </w:rPr>
      </w:pPr>
      <w:r>
        <w:rPr>
          <w:spacing w:val="4"/>
          <w:sz w:val="20"/>
          <w:szCs w:val="20"/>
        </w:rPr>
        <w:t>这是因为大部分用户无法完整地描述需求，而且也不可</w:t>
      </w:r>
      <w:r>
        <w:rPr>
          <w:spacing w:val="3"/>
          <w:sz w:val="20"/>
          <w:szCs w:val="20"/>
        </w:rPr>
        <w:t>能看到系统的全貌。因此，需求获取只</w:t>
      </w:r>
      <w:r>
        <w:rPr>
          <w:sz w:val="20"/>
          <w:szCs w:val="20"/>
        </w:rPr>
        <w:t xml:space="preserve"> </w:t>
      </w:r>
      <w:r>
        <w:rPr>
          <w:spacing w:val="3"/>
          <w:sz w:val="20"/>
          <w:szCs w:val="20"/>
        </w:rPr>
        <w:t>有与用户有效合作才能成功。常见的需求获取方法包括用户访谈、问卷调查、采样、情节串联</w:t>
      </w:r>
      <w:r>
        <w:rPr>
          <w:spacing w:val="4"/>
          <w:sz w:val="20"/>
          <w:szCs w:val="20"/>
        </w:rPr>
        <w:t xml:space="preserve"> </w:t>
      </w:r>
      <w:r>
        <w:rPr>
          <w:spacing w:val="-4"/>
          <w:sz w:val="20"/>
          <w:szCs w:val="20"/>
        </w:rPr>
        <w:t>板、联合需求计划等。</w:t>
      </w:r>
    </w:p>
    <w:p w14:paraId="77212B63">
      <w:pPr>
        <w:spacing w:before="106" w:line="224" w:lineRule="auto"/>
        <w:ind w:left="669"/>
        <w:rPr>
          <w:rFonts w:ascii="楷体" w:hAnsi="楷体" w:eastAsia="楷体" w:cs="楷体"/>
          <w:sz w:val="20"/>
          <w:szCs w:val="20"/>
        </w:rPr>
      </w:pPr>
      <w:r>
        <w:rPr>
          <w:rFonts w:ascii="楷体" w:hAnsi="楷体" w:eastAsia="楷体" w:cs="楷体"/>
          <w:spacing w:val="15"/>
          <w:sz w:val="20"/>
          <w:szCs w:val="20"/>
        </w:rPr>
        <w:t>2)需求分析</w:t>
      </w:r>
    </w:p>
    <w:p w14:paraId="2B53A6E1">
      <w:pPr>
        <w:pStyle w:val="2"/>
        <w:spacing w:before="73" w:line="288" w:lineRule="auto"/>
        <w:ind w:left="279" w:right="87" w:firstLine="390"/>
        <w:rPr>
          <w:sz w:val="20"/>
          <w:szCs w:val="20"/>
        </w:rPr>
      </w:pPr>
      <w:r>
        <w:rPr>
          <w:spacing w:val="3"/>
          <w:sz w:val="20"/>
          <w:szCs w:val="20"/>
        </w:rPr>
        <w:t>在需求获取阶段获得的需求是杂乱的，是用户对新系统的期</w:t>
      </w:r>
      <w:r>
        <w:rPr>
          <w:spacing w:val="2"/>
          <w:sz w:val="20"/>
          <w:szCs w:val="20"/>
        </w:rPr>
        <w:t>望和要求，这些要求有重复的</w:t>
      </w:r>
      <w:r>
        <w:rPr>
          <w:sz w:val="20"/>
          <w:szCs w:val="20"/>
        </w:rPr>
        <w:t xml:space="preserve"> </w:t>
      </w:r>
      <w:r>
        <w:rPr>
          <w:spacing w:val="1"/>
          <w:sz w:val="20"/>
          <w:szCs w:val="20"/>
        </w:rPr>
        <w:t>地方，也有矛盾的地方，这样的要求是不能作为软件设计的基</w:t>
      </w:r>
      <w:r>
        <w:rPr>
          <w:sz w:val="20"/>
          <w:szCs w:val="20"/>
        </w:rPr>
        <w:t xml:space="preserve">础的。 一个好的需求应该具有无 </w:t>
      </w:r>
      <w:r>
        <w:rPr>
          <w:spacing w:val="3"/>
          <w:sz w:val="20"/>
          <w:szCs w:val="20"/>
        </w:rPr>
        <w:t>二义性、完整性、一致性、可测试性、确定性、可跟踪性、正确性、必要性等特性，因此，需</w:t>
      </w:r>
      <w:r>
        <w:rPr>
          <w:spacing w:val="8"/>
          <w:sz w:val="20"/>
          <w:szCs w:val="20"/>
        </w:rPr>
        <w:t xml:space="preserve"> </w:t>
      </w:r>
      <w:r>
        <w:rPr>
          <w:spacing w:val="-2"/>
          <w:sz w:val="20"/>
          <w:szCs w:val="20"/>
        </w:rPr>
        <w:t>要分析人员把杂乱无章的用户要求和期望转化为用户需求，这就是需求分析的工作。</w:t>
      </w:r>
    </w:p>
    <w:p w14:paraId="19978644">
      <w:pPr>
        <w:pStyle w:val="2"/>
        <w:spacing w:before="27" w:line="289" w:lineRule="auto"/>
        <w:ind w:left="279" w:firstLine="390"/>
        <w:rPr>
          <w:sz w:val="20"/>
          <w:szCs w:val="20"/>
        </w:rPr>
      </w:pPr>
      <w:r>
        <w:rPr>
          <w:spacing w:val="3"/>
          <w:sz w:val="20"/>
          <w:szCs w:val="20"/>
        </w:rPr>
        <w:t>需求分析对已经获取到的需求进行提炼、分</w:t>
      </w:r>
      <w:r>
        <w:rPr>
          <w:spacing w:val="2"/>
          <w:sz w:val="20"/>
          <w:szCs w:val="20"/>
        </w:rPr>
        <w:t>析和审查，以确保所有的项目干系人都明白其</w:t>
      </w:r>
      <w:r>
        <w:rPr>
          <w:sz w:val="20"/>
          <w:szCs w:val="20"/>
        </w:rPr>
        <w:t xml:space="preserve">  含义并找出其中的错误、遗漏或其他不足的地方。需求分析的关键在于对问题域的研究与理解。</w:t>
      </w:r>
      <w:r>
        <w:rPr>
          <w:spacing w:val="18"/>
          <w:sz w:val="20"/>
          <w:szCs w:val="20"/>
        </w:rPr>
        <w:t xml:space="preserve"> </w:t>
      </w:r>
      <w:r>
        <w:rPr>
          <w:spacing w:val="3"/>
          <w:sz w:val="20"/>
          <w:szCs w:val="20"/>
        </w:rPr>
        <w:t>为了便于理解问题域，现代软件工程方法所推荐的做法是对问题域进行抽象，将其分解为若干</w:t>
      </w:r>
      <w:r>
        <w:rPr>
          <w:spacing w:val="2"/>
          <w:sz w:val="20"/>
          <w:szCs w:val="20"/>
        </w:rPr>
        <w:t xml:space="preserve">  </w:t>
      </w:r>
      <w:r>
        <w:rPr>
          <w:spacing w:val="-2"/>
          <w:sz w:val="20"/>
          <w:szCs w:val="20"/>
        </w:rPr>
        <w:t>个基本元素，然后对元素之间的关系进行建模。</w:t>
      </w:r>
    </w:p>
    <w:p w14:paraId="3BD4C3F4">
      <w:pPr>
        <w:spacing w:before="96" w:line="224" w:lineRule="auto"/>
        <w:ind w:left="669"/>
        <w:rPr>
          <w:rFonts w:ascii="楷体" w:hAnsi="楷体" w:eastAsia="楷体" w:cs="楷体"/>
          <w:sz w:val="20"/>
          <w:szCs w:val="20"/>
        </w:rPr>
      </w:pPr>
      <w:r>
        <w:rPr>
          <w:rFonts w:ascii="楷体" w:hAnsi="楷体" w:eastAsia="楷体" w:cs="楷体"/>
          <w:spacing w:val="9"/>
          <w:sz w:val="20"/>
          <w:szCs w:val="20"/>
        </w:rPr>
        <w:t>3)需求规格说明书编制</w:t>
      </w:r>
    </w:p>
    <w:p w14:paraId="74890BC4">
      <w:pPr>
        <w:pStyle w:val="2"/>
        <w:spacing w:before="48" w:line="285" w:lineRule="auto"/>
        <w:ind w:left="279" w:right="40" w:firstLine="390"/>
        <w:rPr>
          <w:sz w:val="20"/>
          <w:szCs w:val="20"/>
        </w:rPr>
      </w:pPr>
      <w:r>
        <w:rPr>
          <w:spacing w:val="4"/>
          <w:sz w:val="20"/>
          <w:szCs w:val="20"/>
        </w:rPr>
        <w:t>软件需求规格说明书</w:t>
      </w:r>
      <w:r>
        <w:rPr>
          <w:spacing w:val="-39"/>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Software</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Requirement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Specification</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SRS</w:t>
      </w:r>
      <w:r>
        <w:rPr>
          <w:rFonts w:ascii="Times New Roman" w:hAnsi="Times New Roman" w:eastAsia="Times New Roman" w:cs="Times New Roman"/>
          <w:spacing w:val="4"/>
          <w:sz w:val="20"/>
          <w:szCs w:val="20"/>
        </w:rPr>
        <w:t xml:space="preserve">) </w:t>
      </w:r>
      <w:r>
        <w:rPr>
          <w:spacing w:val="4"/>
          <w:sz w:val="20"/>
          <w:szCs w:val="20"/>
        </w:rPr>
        <w:t>是需求开发活动的产物，</w:t>
      </w:r>
      <w:r>
        <w:rPr>
          <w:sz w:val="20"/>
          <w:szCs w:val="20"/>
        </w:rPr>
        <w:t xml:space="preserve"> </w:t>
      </w:r>
      <w:r>
        <w:rPr>
          <w:spacing w:val="3"/>
          <w:sz w:val="20"/>
          <w:szCs w:val="20"/>
        </w:rPr>
        <w:t>编制该文档的目的是使项目干系人与开发团队对系统的初始规定有一个共同的理解，使之成为</w:t>
      </w:r>
      <w:r>
        <w:rPr>
          <w:spacing w:val="6"/>
          <w:sz w:val="20"/>
          <w:szCs w:val="20"/>
        </w:rPr>
        <w:t xml:space="preserve"> </w:t>
      </w:r>
      <w:r>
        <w:rPr>
          <w:spacing w:val="2"/>
          <w:sz w:val="20"/>
          <w:szCs w:val="20"/>
        </w:rPr>
        <w:t>整个开发工作的基础。</w:t>
      </w:r>
      <w:r>
        <w:rPr>
          <w:rFonts w:ascii="Times New Roman" w:hAnsi="Times New Roman" w:eastAsia="Times New Roman" w:cs="Times New Roman"/>
          <w:sz w:val="20"/>
          <w:szCs w:val="20"/>
        </w:rPr>
        <w:t>SRS</w:t>
      </w:r>
      <w:r>
        <w:rPr>
          <w:rFonts w:ascii="Times New Roman" w:hAnsi="Times New Roman" w:eastAsia="Times New Roman" w:cs="Times New Roman"/>
          <w:spacing w:val="35"/>
          <w:sz w:val="20"/>
          <w:szCs w:val="20"/>
        </w:rPr>
        <w:t xml:space="preserve"> </w:t>
      </w:r>
      <w:r>
        <w:rPr>
          <w:spacing w:val="2"/>
          <w:sz w:val="20"/>
          <w:szCs w:val="20"/>
        </w:rPr>
        <w:t>是软件开发过程中最重要的文档之一，对于任何规模和性质的软件</w:t>
      </w:r>
      <w:r>
        <w:rPr>
          <w:sz w:val="20"/>
          <w:szCs w:val="20"/>
        </w:rPr>
        <w:t xml:space="preserve"> </w:t>
      </w:r>
      <w:r>
        <w:rPr>
          <w:spacing w:val="-4"/>
          <w:sz w:val="20"/>
          <w:szCs w:val="20"/>
        </w:rPr>
        <w:t>项目都不应该缺少。</w:t>
      </w:r>
    </w:p>
    <w:p w14:paraId="103455AF">
      <w:pPr>
        <w:pStyle w:val="2"/>
        <w:spacing w:before="38" w:line="286" w:lineRule="auto"/>
        <w:ind w:left="279" w:right="85" w:firstLine="390"/>
        <w:jc w:val="both"/>
        <w:rPr>
          <w:sz w:val="20"/>
          <w:szCs w:val="20"/>
        </w:rPr>
      </w:pPr>
      <w:r>
        <w:rPr>
          <w:spacing w:val="3"/>
          <w:sz w:val="20"/>
          <w:szCs w:val="20"/>
        </w:rPr>
        <w:t>在国家标准</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/T</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8567</w:t>
      </w:r>
      <w:r>
        <w:rPr>
          <w:spacing w:val="3"/>
          <w:sz w:val="20"/>
          <w:szCs w:val="20"/>
        </w:rPr>
        <w:t>《计算机软件文档编制规范》中，提供了一个</w:t>
      </w:r>
      <w:r>
        <w:rPr>
          <w:rFonts w:ascii="Times New Roman" w:hAnsi="Times New Roman" w:eastAsia="Times New Roman" w:cs="Times New Roman"/>
          <w:sz w:val="20"/>
          <w:szCs w:val="20"/>
        </w:rPr>
        <w:t>SRS</w:t>
      </w:r>
      <w:r>
        <w:rPr>
          <w:rFonts w:ascii="Times New Roman" w:hAnsi="Times New Roman" w:eastAsia="Times New Roman" w:cs="Times New Roman"/>
          <w:spacing w:val="17"/>
          <w:sz w:val="20"/>
          <w:szCs w:val="20"/>
        </w:rPr>
        <w:t xml:space="preserve"> </w:t>
      </w:r>
      <w:r>
        <w:rPr>
          <w:spacing w:val="3"/>
          <w:sz w:val="20"/>
          <w:szCs w:val="20"/>
        </w:rPr>
        <w:t>的文档模板和编</w:t>
      </w:r>
      <w:r>
        <w:rPr>
          <w:sz w:val="20"/>
          <w:szCs w:val="20"/>
        </w:rPr>
        <w:t xml:space="preserve"> </w:t>
      </w:r>
      <w:r>
        <w:rPr>
          <w:spacing w:val="2"/>
          <w:sz w:val="20"/>
          <w:szCs w:val="20"/>
        </w:rPr>
        <w:t>写指南，其中规定</w:t>
      </w:r>
      <w:r>
        <w:rPr>
          <w:rFonts w:ascii="Times New Roman" w:hAnsi="Times New Roman" w:eastAsia="Times New Roman" w:cs="Times New Roman"/>
          <w:sz w:val="20"/>
          <w:szCs w:val="20"/>
        </w:rPr>
        <w:t>SRS</w:t>
      </w:r>
      <w:r>
        <w:rPr>
          <w:rFonts w:ascii="Times New Roman" w:hAnsi="Times New Roman" w:eastAsia="Times New Roman" w:cs="Times New Roman"/>
          <w:spacing w:val="42"/>
          <w:sz w:val="20"/>
          <w:szCs w:val="20"/>
        </w:rPr>
        <w:t xml:space="preserve"> </w:t>
      </w:r>
      <w:r>
        <w:rPr>
          <w:spacing w:val="2"/>
          <w:sz w:val="20"/>
          <w:szCs w:val="20"/>
        </w:rPr>
        <w:t>应该包括范围、引用文件、需求、合格性规定、需求可追踪性、尚未解</w:t>
      </w:r>
      <w:r>
        <w:rPr>
          <w:sz w:val="20"/>
          <w:szCs w:val="20"/>
        </w:rPr>
        <w:t xml:space="preserve"> </w:t>
      </w:r>
      <w:r>
        <w:rPr>
          <w:spacing w:val="-6"/>
          <w:sz w:val="20"/>
          <w:szCs w:val="20"/>
        </w:rPr>
        <w:t>决的问题、注解和附录。</w:t>
      </w:r>
    </w:p>
    <w:p w14:paraId="37B6E3FA">
      <w:pPr>
        <w:spacing w:before="97" w:line="224" w:lineRule="auto"/>
        <w:ind w:left="669"/>
        <w:rPr>
          <w:rFonts w:ascii="楷体" w:hAnsi="楷体" w:eastAsia="楷体" w:cs="楷体"/>
          <w:sz w:val="20"/>
          <w:szCs w:val="20"/>
        </w:rPr>
      </w:pPr>
      <w:r>
        <w:rPr>
          <w:rFonts w:ascii="楷体" w:hAnsi="楷体" w:eastAsia="楷体" w:cs="楷体"/>
          <w:spacing w:val="8"/>
          <w:sz w:val="20"/>
          <w:szCs w:val="20"/>
        </w:rPr>
        <w:t>4)需求验证与确认</w:t>
      </w:r>
    </w:p>
    <w:p w14:paraId="39CC16FF">
      <w:pPr>
        <w:pStyle w:val="2"/>
        <w:spacing w:before="79" w:line="280" w:lineRule="auto"/>
        <w:ind w:left="279" w:firstLine="390"/>
        <w:rPr>
          <w:sz w:val="20"/>
          <w:szCs w:val="20"/>
        </w:rPr>
      </w:pPr>
      <w:r>
        <w:rPr>
          <w:spacing w:val="2"/>
          <w:sz w:val="20"/>
          <w:szCs w:val="20"/>
        </w:rPr>
        <w:t>当以</w:t>
      </w:r>
      <w:r>
        <w:rPr>
          <w:spacing w:val="-39"/>
          <w:sz w:val="20"/>
          <w:szCs w:val="20"/>
        </w:rPr>
        <w:t xml:space="preserve"> </w:t>
      </w:r>
      <w:r>
        <w:rPr>
          <w:rFonts w:ascii="Times New Roman" w:hAnsi="Times New Roman" w:eastAsia="Times New Roman" w:cs="Times New Roman"/>
          <w:sz w:val="20"/>
          <w:szCs w:val="20"/>
        </w:rPr>
        <w:t>SRS</w:t>
      </w:r>
      <w:r>
        <w:rPr>
          <w:rFonts w:ascii="Times New Roman" w:hAnsi="Times New Roman" w:eastAsia="Times New Roman" w:cs="Times New Roman"/>
          <w:spacing w:val="2"/>
          <w:sz w:val="20"/>
          <w:szCs w:val="20"/>
        </w:rPr>
        <w:t xml:space="preserve"> </w:t>
      </w:r>
      <w:r>
        <w:rPr>
          <w:spacing w:val="2"/>
          <w:sz w:val="20"/>
          <w:szCs w:val="20"/>
        </w:rPr>
        <w:t>为基础进行后续开发工作时，如果在开发后期或在交付系统之后才发现需</w:t>
      </w:r>
      <w:r>
        <w:rPr>
          <w:spacing w:val="1"/>
          <w:sz w:val="20"/>
          <w:szCs w:val="20"/>
        </w:rPr>
        <w:t>求存在</w:t>
      </w:r>
      <w:r>
        <w:rPr>
          <w:sz w:val="20"/>
          <w:szCs w:val="20"/>
        </w:rPr>
        <w:t xml:space="preserve">  </w:t>
      </w:r>
      <w:r>
        <w:rPr>
          <w:spacing w:val="2"/>
          <w:sz w:val="20"/>
          <w:szCs w:val="20"/>
        </w:rPr>
        <w:t>问题，这时修补需求错误需要做大量的工作。相对而言，在系统分析阶段，检测</w:t>
      </w:r>
      <w:r>
        <w:rPr>
          <w:rFonts w:ascii="Times New Roman" w:hAnsi="Times New Roman" w:eastAsia="Times New Roman" w:cs="Times New Roman"/>
          <w:sz w:val="20"/>
          <w:szCs w:val="20"/>
        </w:rPr>
        <w:t>SRS</w:t>
      </w:r>
      <w:r>
        <w:rPr>
          <w:rFonts w:ascii="Times New Roman" w:hAnsi="Times New Roman" w:eastAsia="Times New Roman" w:cs="Times New Roman"/>
          <w:spacing w:val="45"/>
          <w:sz w:val="20"/>
          <w:szCs w:val="20"/>
        </w:rPr>
        <w:t xml:space="preserve"> </w:t>
      </w:r>
      <w:r>
        <w:rPr>
          <w:spacing w:val="2"/>
          <w:sz w:val="20"/>
          <w:szCs w:val="20"/>
        </w:rPr>
        <w:t>中的错误</w:t>
      </w:r>
      <w:r>
        <w:rPr>
          <w:sz w:val="20"/>
          <w:szCs w:val="20"/>
        </w:rPr>
        <w:t xml:space="preserve">  </w:t>
      </w:r>
      <w:r>
        <w:rPr>
          <w:spacing w:val="5"/>
          <w:sz w:val="20"/>
          <w:szCs w:val="20"/>
        </w:rPr>
        <w:t>所采取的任何措施都将节省相当多的时间和资金。因此，有必要对于</w:t>
      </w:r>
      <w:r>
        <w:rPr>
          <w:rFonts w:ascii="Times New Roman" w:hAnsi="Times New Roman" w:eastAsia="Times New Roman" w:cs="Times New Roman"/>
          <w:sz w:val="20"/>
          <w:szCs w:val="20"/>
        </w:rPr>
        <w:t>SRS</w:t>
      </w:r>
      <w:r>
        <w:rPr>
          <w:rFonts w:ascii="Times New Roman" w:hAnsi="Times New Roman" w:eastAsia="Times New Roman" w:cs="Times New Roman"/>
          <w:spacing w:val="18"/>
          <w:sz w:val="20"/>
          <w:szCs w:val="20"/>
        </w:rPr>
        <w:t xml:space="preserve"> </w:t>
      </w:r>
      <w:r>
        <w:rPr>
          <w:spacing w:val="5"/>
          <w:sz w:val="20"/>
          <w:szCs w:val="20"/>
        </w:rPr>
        <w:t>的正确性进行验证，</w:t>
      </w:r>
      <w:r>
        <w:rPr>
          <w:sz w:val="20"/>
          <w:szCs w:val="20"/>
        </w:rPr>
        <w:t xml:space="preserve"> </w:t>
      </w:r>
      <w:r>
        <w:rPr>
          <w:spacing w:val="-3"/>
          <w:sz w:val="20"/>
          <w:szCs w:val="20"/>
        </w:rPr>
        <w:t>以确保需求符合良好特征。需求验证与确认活动的内容包括：</w:t>
      </w:r>
    </w:p>
    <w:p w14:paraId="17ED0E97">
      <w:pPr>
        <w:pStyle w:val="2"/>
        <w:spacing w:before="48" w:line="219" w:lineRule="auto"/>
        <w:ind w:left="669"/>
        <w:rPr>
          <w:sz w:val="20"/>
          <w:szCs w:val="20"/>
        </w:rPr>
      </w:pPr>
      <w:r>
        <w:rPr>
          <w:spacing w:val="-2"/>
          <w:sz w:val="20"/>
          <w:szCs w:val="20"/>
        </w:rPr>
        <w:t>●</w:t>
      </w:r>
      <w:r>
        <w:rPr>
          <w:spacing w:val="93"/>
          <w:sz w:val="20"/>
          <w:szCs w:val="20"/>
        </w:rPr>
        <w:t xml:space="preserve"> </w:t>
      </w:r>
      <w:r>
        <w:rPr>
          <w:spacing w:val="-2"/>
          <w:sz w:val="20"/>
          <w:szCs w:val="20"/>
        </w:rPr>
        <w:t>SRS正确地描述了预期的、满足项目干系人需求的系统行为和特征；</w:t>
      </w:r>
    </w:p>
    <w:p w14:paraId="14CBD148">
      <w:pPr>
        <w:pStyle w:val="2"/>
        <w:spacing w:before="74" w:line="219" w:lineRule="auto"/>
        <w:ind w:left="669"/>
        <w:rPr>
          <w:sz w:val="20"/>
          <w:szCs w:val="20"/>
        </w:rPr>
      </w:pPr>
      <w:r>
        <w:rPr>
          <w:spacing w:val="-2"/>
          <w:sz w:val="20"/>
          <w:szCs w:val="20"/>
        </w:rPr>
        <w:t>●</w:t>
      </w:r>
      <w:r>
        <w:rPr>
          <w:spacing w:val="76"/>
          <w:sz w:val="20"/>
          <w:szCs w:val="20"/>
        </w:rPr>
        <w:t xml:space="preserve"> </w:t>
      </w:r>
      <w:r>
        <w:rPr>
          <w:spacing w:val="-2"/>
          <w:sz w:val="20"/>
          <w:szCs w:val="20"/>
        </w:rPr>
        <w:t>SRS中的软件需求是从系统需求、业务规格和其他来源</w:t>
      </w:r>
      <w:r>
        <w:rPr>
          <w:spacing w:val="-3"/>
          <w:sz w:val="20"/>
          <w:szCs w:val="20"/>
        </w:rPr>
        <w:t>中正确推导而来的；</w:t>
      </w:r>
    </w:p>
    <w:p w14:paraId="36DD0141">
      <w:pPr>
        <w:pStyle w:val="2"/>
        <w:spacing w:before="82" w:line="219" w:lineRule="auto"/>
        <w:ind w:left="669"/>
        <w:rPr>
          <w:sz w:val="20"/>
          <w:szCs w:val="20"/>
        </w:rPr>
      </w:pPr>
      <w:r>
        <w:rPr>
          <w:spacing w:val="2"/>
          <w:sz w:val="20"/>
          <w:szCs w:val="20"/>
        </w:rPr>
        <w:t>●需求是完整的和高质量的；</w:t>
      </w:r>
    </w:p>
    <w:p w14:paraId="71817616">
      <w:pPr>
        <w:pStyle w:val="2"/>
        <w:spacing w:before="83" w:line="219" w:lineRule="auto"/>
        <w:ind w:left="669"/>
        <w:rPr>
          <w:sz w:val="20"/>
          <w:szCs w:val="20"/>
        </w:rPr>
      </w:pPr>
      <w:r>
        <w:rPr>
          <w:spacing w:val="1"/>
          <w:sz w:val="20"/>
          <w:szCs w:val="20"/>
        </w:rPr>
        <w:t>●需求的表示在所有地方都是一致的；</w:t>
      </w:r>
    </w:p>
    <w:p w14:paraId="5F20D27D">
      <w:pPr>
        <w:pStyle w:val="2"/>
        <w:spacing w:before="72" w:line="219" w:lineRule="auto"/>
        <w:ind w:left="669"/>
        <w:rPr>
          <w:sz w:val="20"/>
          <w:szCs w:val="20"/>
        </w:rPr>
      </w:pPr>
      <w:r>
        <w:rPr>
          <w:spacing w:val="2"/>
          <w:sz w:val="20"/>
          <w:szCs w:val="20"/>
        </w:rPr>
        <w:t>●需求为继续进行系统设计、实现和测试提供了</w:t>
      </w:r>
      <w:r>
        <w:rPr>
          <w:spacing w:val="1"/>
          <w:sz w:val="20"/>
          <w:szCs w:val="20"/>
        </w:rPr>
        <w:t>足够的基础。</w:t>
      </w:r>
    </w:p>
    <w:p w14:paraId="4677DD98">
      <w:pPr>
        <w:pStyle w:val="2"/>
        <w:spacing w:before="84" w:line="219" w:lineRule="auto"/>
        <w:ind w:left="669"/>
        <w:rPr>
          <w:sz w:val="20"/>
          <w:szCs w:val="20"/>
        </w:rPr>
      </w:pPr>
      <w:r>
        <w:rPr>
          <w:spacing w:val="-1"/>
          <w:sz w:val="20"/>
          <w:szCs w:val="20"/>
        </w:rPr>
        <w:t>在实际工作中，一般通过需求评审和需求测试工作来对需求</w:t>
      </w:r>
      <w:r>
        <w:rPr>
          <w:spacing w:val="-2"/>
          <w:sz w:val="20"/>
          <w:szCs w:val="20"/>
        </w:rPr>
        <w:t>进行验证。</w:t>
      </w:r>
    </w:p>
    <w:p w14:paraId="049A0B17">
      <w:pPr>
        <w:pStyle w:val="2"/>
        <w:spacing w:before="180" w:line="222" w:lineRule="auto"/>
        <w:ind w:left="672"/>
        <w:rPr>
          <w:rFonts w:ascii="黑体" w:hAnsi="黑体" w:eastAsia="黑体" w:cs="黑体"/>
          <w:sz w:val="20"/>
          <w:szCs w:val="20"/>
        </w:rPr>
      </w:pPr>
      <w:r>
        <w:rPr>
          <w:b/>
          <w:bCs/>
          <w:color w:val="006DB7"/>
          <w:spacing w:val="-5"/>
          <w:sz w:val="20"/>
          <w:szCs w:val="20"/>
        </w:rPr>
        <w:t>3.</w:t>
      </w:r>
      <w:r>
        <w:rPr>
          <w:rFonts w:ascii="黑体" w:hAnsi="黑体" w:eastAsia="黑体" w:cs="黑体"/>
          <w:b/>
          <w:bCs/>
          <w:color w:val="006DB7"/>
          <w:spacing w:val="-5"/>
          <w:sz w:val="20"/>
          <w:szCs w:val="20"/>
        </w:rPr>
        <w:t>结构化分析</w:t>
      </w:r>
    </w:p>
    <w:p w14:paraId="21B40C8C">
      <w:pPr>
        <w:pStyle w:val="2"/>
        <w:spacing w:before="126" w:line="258" w:lineRule="auto"/>
        <w:ind w:left="279" w:right="91" w:firstLine="390"/>
        <w:jc w:val="both"/>
        <w:rPr>
          <w:rFonts w:ascii="Times New Roman" w:hAnsi="Times New Roman" w:eastAsia="Times New Roman" w:cs="Times New Roman"/>
          <w:sz w:val="20"/>
          <w:szCs w:val="20"/>
        </w:rPr>
      </w:pPr>
      <w:r>
        <w:rPr>
          <w:spacing w:val="4"/>
          <w:sz w:val="20"/>
          <w:szCs w:val="20"/>
        </w:rPr>
        <w:t>使用结构化分析(</w:t>
      </w:r>
      <w:r>
        <w:rPr>
          <w:sz w:val="20"/>
          <w:szCs w:val="20"/>
        </w:rPr>
        <w:t>Structured</w:t>
      </w:r>
      <w:r>
        <w:rPr>
          <w:spacing w:val="4"/>
          <w:sz w:val="20"/>
          <w:szCs w:val="20"/>
        </w:rPr>
        <w:t xml:space="preserve"> </w:t>
      </w:r>
      <w:r>
        <w:rPr>
          <w:sz w:val="20"/>
          <w:szCs w:val="20"/>
        </w:rPr>
        <w:t>Analysis</w:t>
      </w:r>
      <w:r>
        <w:rPr>
          <w:spacing w:val="4"/>
          <w:sz w:val="20"/>
          <w:szCs w:val="20"/>
        </w:rPr>
        <w:t>,</w:t>
      </w:r>
      <w:r>
        <w:rPr>
          <w:sz w:val="20"/>
          <w:szCs w:val="20"/>
        </w:rPr>
        <w:t>SA</w:t>
      </w:r>
      <w:r>
        <w:rPr>
          <w:spacing w:val="4"/>
          <w:sz w:val="20"/>
          <w:szCs w:val="20"/>
        </w:rPr>
        <w:t>)方法进行需求分析，其建立的模型的核心是数</w:t>
      </w:r>
      <w:r>
        <w:rPr>
          <w:spacing w:val="13"/>
          <w:sz w:val="20"/>
          <w:szCs w:val="20"/>
        </w:rPr>
        <w:t xml:space="preserve"> </w:t>
      </w:r>
      <w:r>
        <w:rPr>
          <w:spacing w:val="6"/>
          <w:sz w:val="20"/>
          <w:szCs w:val="20"/>
        </w:rPr>
        <w:t>据字典。围绕这个核心，有三个层次的模型：数据</w:t>
      </w:r>
      <w:r>
        <w:rPr>
          <w:spacing w:val="5"/>
          <w:sz w:val="20"/>
          <w:szCs w:val="20"/>
        </w:rPr>
        <w:t>模型、功能模型和行为模型(也称为状态模</w:t>
      </w:r>
      <w:r>
        <w:rPr>
          <w:sz w:val="20"/>
          <w:szCs w:val="20"/>
        </w:rPr>
        <w:t xml:space="preserve"> </w:t>
      </w:r>
      <w:r>
        <w:rPr>
          <w:spacing w:val="7"/>
          <w:sz w:val="20"/>
          <w:szCs w:val="20"/>
        </w:rPr>
        <w:t>型)。在实际工作中， 一般使用实体关系图</w:t>
      </w:r>
      <w:r>
        <w:rPr>
          <w:rFonts w:ascii="Times New Roman" w:hAnsi="Times New Roman" w:eastAsia="Times New Roman" w:cs="Times New Roman"/>
          <w:spacing w:val="7"/>
          <w:sz w:val="20"/>
          <w:szCs w:val="20"/>
        </w:rPr>
        <w:t xml:space="preserve">(E-R  </w:t>
      </w:r>
      <w:r>
        <w:rPr>
          <w:spacing w:val="7"/>
          <w:sz w:val="20"/>
          <w:szCs w:val="20"/>
        </w:rPr>
        <w:t>图)表示数据模型，用数据流图</w:t>
      </w:r>
      <w:r>
        <w:rPr>
          <w:spacing w:val="-24"/>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Data</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Flow</w:t>
      </w:r>
    </w:p>
    <w:p w14:paraId="0F28CCAB">
      <w:pPr>
        <w:spacing w:line="258" w:lineRule="auto"/>
        <w:rPr>
          <w:rFonts w:ascii="Times New Roman" w:hAnsi="Times New Roman" w:eastAsia="Times New Roman" w:cs="Times New Roman"/>
          <w:sz w:val="20"/>
          <w:szCs w:val="20"/>
        </w:rPr>
        <w:sectPr>
          <w:pgSz w:w="10310" w:h="13400"/>
          <w:pgMar w:top="400" w:right="1059" w:bottom="400" w:left="550" w:header="0" w:footer="0" w:gutter="0"/>
          <w:cols w:space="720" w:num="1"/>
        </w:sectPr>
      </w:pPr>
    </w:p>
    <w:p w14:paraId="1C6BCD30">
      <w:pPr>
        <w:pStyle w:val="2"/>
        <w:spacing w:before="56" w:line="219" w:lineRule="auto"/>
        <w:jc w:val="right"/>
        <w:rPr>
          <w:rFonts w:ascii="Times New Roman" w:hAnsi="Times New Roman" w:eastAsia="Times New Roman" w:cs="Times New Roman"/>
          <w:sz w:val="20"/>
          <w:szCs w:val="20"/>
        </w:rPr>
      </w:pPr>
      <w:r>
        <w:rPr>
          <w:spacing w:val="-2"/>
          <w:sz w:val="20"/>
          <w:szCs w:val="20"/>
        </w:rPr>
        <w:t>第2章 信息系统工程</w:t>
      </w:r>
      <w:r>
        <w:rPr>
          <w:spacing w:val="12"/>
          <w:sz w:val="20"/>
          <w:szCs w:val="20"/>
        </w:rPr>
        <w:t xml:space="preserve">      </w:t>
      </w:r>
      <w:r>
        <w:rPr>
          <w:rFonts w:ascii="Times New Roman" w:hAnsi="Times New Roman" w:eastAsia="Times New Roman" w:cs="Times New Roman"/>
          <w:spacing w:val="-2"/>
          <w:position w:val="1"/>
          <w:sz w:val="20"/>
          <w:szCs w:val="20"/>
        </w:rPr>
        <w:t>61</w:t>
      </w:r>
    </w:p>
    <w:p w14:paraId="7976E677">
      <w:pPr>
        <w:spacing w:line="292" w:lineRule="auto"/>
        <w:rPr>
          <w:rFonts w:ascii="Arial"/>
          <w:sz w:val="21"/>
        </w:rPr>
      </w:pPr>
    </w:p>
    <w:p w14:paraId="0A59CED1">
      <w:pPr>
        <w:pStyle w:val="2"/>
        <w:spacing w:before="65" w:line="282" w:lineRule="auto"/>
        <w:ind w:right="221"/>
        <w:jc w:val="both"/>
        <w:rPr>
          <w:sz w:val="20"/>
          <w:szCs w:val="20"/>
        </w:rPr>
      </w:pPr>
      <w:r>
        <w:rPr>
          <w:sz w:val="20"/>
          <w:szCs w:val="20"/>
        </w:rPr>
        <w:t>Diagram</w:t>
      </w:r>
      <w:r>
        <w:rPr>
          <w:spacing w:val="3"/>
          <w:sz w:val="20"/>
          <w:szCs w:val="20"/>
        </w:rPr>
        <w:t>,</w:t>
      </w:r>
      <w:r>
        <w:rPr>
          <w:sz w:val="20"/>
          <w:szCs w:val="20"/>
        </w:rPr>
        <w:t>DFD</w:t>
      </w:r>
      <w:r>
        <w:rPr>
          <w:spacing w:val="3"/>
          <w:sz w:val="20"/>
          <w:szCs w:val="20"/>
        </w:rPr>
        <w:t>)  表示功能模型，用状态转换图(</w:t>
      </w:r>
      <w:r>
        <w:rPr>
          <w:sz w:val="20"/>
          <w:szCs w:val="20"/>
        </w:rPr>
        <w:t>State</w:t>
      </w:r>
      <w:r>
        <w:rPr>
          <w:spacing w:val="3"/>
          <w:sz w:val="20"/>
          <w:szCs w:val="20"/>
        </w:rPr>
        <w:t xml:space="preserve"> </w:t>
      </w:r>
      <w:r>
        <w:rPr>
          <w:sz w:val="20"/>
          <w:szCs w:val="20"/>
        </w:rPr>
        <w:t>Transform</w:t>
      </w:r>
      <w:r>
        <w:rPr>
          <w:spacing w:val="3"/>
          <w:sz w:val="20"/>
          <w:szCs w:val="20"/>
        </w:rPr>
        <w:t xml:space="preserve"> </w:t>
      </w:r>
      <w:r>
        <w:rPr>
          <w:sz w:val="20"/>
          <w:szCs w:val="20"/>
        </w:rPr>
        <w:t>Diagram</w:t>
      </w:r>
      <w:r>
        <w:rPr>
          <w:spacing w:val="3"/>
          <w:sz w:val="20"/>
          <w:szCs w:val="20"/>
        </w:rPr>
        <w:t>,</w:t>
      </w:r>
      <w:r>
        <w:rPr>
          <w:sz w:val="20"/>
          <w:szCs w:val="20"/>
        </w:rPr>
        <w:t>STD</w:t>
      </w:r>
      <w:r>
        <w:rPr>
          <w:spacing w:val="3"/>
          <w:sz w:val="20"/>
          <w:szCs w:val="20"/>
        </w:rPr>
        <w:t>)表示行为模型。</w:t>
      </w:r>
      <w:r>
        <w:rPr>
          <w:spacing w:val="11"/>
          <w:sz w:val="20"/>
          <w:szCs w:val="20"/>
        </w:rPr>
        <w:t xml:space="preserve"> </w:t>
      </w:r>
      <w:r>
        <w:rPr>
          <w:rFonts w:ascii="Times New Roman" w:hAnsi="Times New Roman" w:eastAsia="Times New Roman" w:cs="Times New Roman"/>
          <w:spacing w:val="2"/>
          <w:sz w:val="20"/>
          <w:szCs w:val="20"/>
        </w:rPr>
        <w:t xml:space="preserve">E-R </w:t>
      </w:r>
      <w:r>
        <w:rPr>
          <w:spacing w:val="2"/>
          <w:sz w:val="20"/>
          <w:szCs w:val="20"/>
        </w:rPr>
        <w:t>图主要描述实体、属性，以及实体之间</w:t>
      </w:r>
      <w:r>
        <w:rPr>
          <w:spacing w:val="1"/>
          <w:sz w:val="20"/>
          <w:szCs w:val="20"/>
        </w:rPr>
        <w:t>的关系；</w:t>
      </w:r>
      <w:r>
        <w:rPr>
          <w:rFonts w:ascii="Times New Roman" w:hAnsi="Times New Roman" w:eastAsia="Times New Roman" w:cs="Times New Roman"/>
          <w:sz w:val="20"/>
          <w:szCs w:val="20"/>
        </w:rPr>
        <w:t>DFD</w:t>
      </w:r>
      <w:r>
        <w:rPr>
          <w:rFonts w:ascii="Times New Roman" w:hAnsi="Times New Roman" w:eastAsia="Times New Roman" w:cs="Times New Roman"/>
          <w:spacing w:val="24"/>
          <w:sz w:val="20"/>
          <w:szCs w:val="20"/>
        </w:rPr>
        <w:t xml:space="preserve"> </w:t>
      </w:r>
      <w:r>
        <w:rPr>
          <w:spacing w:val="1"/>
          <w:sz w:val="20"/>
          <w:szCs w:val="20"/>
        </w:rPr>
        <w:t>从数据传递和加工的角度，利用图形</w:t>
      </w:r>
      <w:r>
        <w:rPr>
          <w:sz w:val="20"/>
          <w:szCs w:val="20"/>
        </w:rPr>
        <w:t xml:space="preserve">  </w:t>
      </w:r>
      <w:r>
        <w:rPr>
          <w:spacing w:val="3"/>
          <w:sz w:val="20"/>
          <w:szCs w:val="20"/>
        </w:rPr>
        <w:t>符号通过逐层细分描述系统内各个部件的功能和数据在它们</w:t>
      </w:r>
      <w:r>
        <w:rPr>
          <w:spacing w:val="2"/>
          <w:sz w:val="20"/>
          <w:szCs w:val="20"/>
        </w:rPr>
        <w:t>之间传递的情况，来说明系统所完</w:t>
      </w:r>
      <w:r>
        <w:rPr>
          <w:sz w:val="20"/>
          <w:szCs w:val="20"/>
        </w:rPr>
        <w:t xml:space="preserve">  </w:t>
      </w:r>
      <w:r>
        <w:rPr>
          <w:spacing w:val="1"/>
          <w:sz w:val="20"/>
          <w:szCs w:val="20"/>
        </w:rPr>
        <w:t>成的功能；</w:t>
      </w:r>
      <w:r>
        <w:rPr>
          <w:rFonts w:ascii="Times New Roman" w:hAnsi="Times New Roman" w:eastAsia="Times New Roman" w:cs="Times New Roman"/>
          <w:sz w:val="20"/>
          <w:szCs w:val="20"/>
        </w:rPr>
        <w:t>STD</w:t>
      </w:r>
      <w:r>
        <w:rPr>
          <w:rFonts w:ascii="Times New Roman" w:hAnsi="Times New Roman" w:eastAsia="Times New Roman" w:cs="Times New Roman"/>
          <w:spacing w:val="15"/>
          <w:w w:val="101"/>
          <w:sz w:val="20"/>
          <w:szCs w:val="20"/>
        </w:rPr>
        <w:t xml:space="preserve"> </w:t>
      </w:r>
      <w:r>
        <w:rPr>
          <w:spacing w:val="1"/>
          <w:sz w:val="20"/>
          <w:szCs w:val="20"/>
        </w:rPr>
        <w:t>通过描述系统的状态和引起系统状态转换的事件，来表示系统的行为，指出作</w:t>
      </w:r>
      <w:r>
        <w:rPr>
          <w:sz w:val="20"/>
          <w:szCs w:val="20"/>
        </w:rPr>
        <w:t xml:space="preserve">  </w:t>
      </w:r>
      <w:r>
        <w:rPr>
          <w:spacing w:val="4"/>
          <w:sz w:val="20"/>
          <w:szCs w:val="20"/>
        </w:rPr>
        <w:t>为特定事件的结果将执行哪些动作(例如处理数据等</w:t>
      </w:r>
      <w:r>
        <w:rPr>
          <w:spacing w:val="3"/>
          <w:sz w:val="20"/>
          <w:szCs w:val="20"/>
        </w:rPr>
        <w:t>)。</w:t>
      </w:r>
    </w:p>
    <w:p w14:paraId="280CE066">
      <w:pPr>
        <w:pStyle w:val="2"/>
        <w:spacing w:before="154" w:line="222" w:lineRule="auto"/>
        <w:ind w:left="422"/>
        <w:rPr>
          <w:rFonts w:ascii="黑体" w:hAnsi="黑体" w:eastAsia="黑体" w:cs="黑体"/>
          <w:sz w:val="20"/>
          <w:szCs w:val="20"/>
        </w:rPr>
      </w:pPr>
      <w:bookmarkStart w:id="513" w:name="bookmark500"/>
      <w:bookmarkEnd w:id="513"/>
      <w:r>
        <w:rPr>
          <w:b/>
          <w:bCs/>
          <w:color w:val="0078E2"/>
          <w:sz w:val="20"/>
          <w:szCs w:val="20"/>
        </w:rPr>
        <w:t>4.</w:t>
      </w:r>
      <w:r>
        <w:rPr>
          <w:rFonts w:ascii="黑体" w:hAnsi="黑体" w:eastAsia="黑体" w:cs="黑体"/>
          <w:b/>
          <w:bCs/>
          <w:color w:val="0078E2"/>
          <w:sz w:val="20"/>
          <w:szCs w:val="20"/>
        </w:rPr>
        <w:t>面向对象分析</w:t>
      </w:r>
    </w:p>
    <w:p w14:paraId="42D27198">
      <w:pPr>
        <w:pStyle w:val="2"/>
        <w:spacing w:before="138" w:line="283" w:lineRule="auto"/>
        <w:ind w:right="221" w:firstLine="419"/>
        <w:jc w:val="both"/>
        <w:rPr>
          <w:sz w:val="20"/>
          <w:szCs w:val="20"/>
        </w:rPr>
      </w:pPr>
      <w:r>
        <w:rPr>
          <w:spacing w:val="5"/>
          <w:sz w:val="20"/>
          <w:szCs w:val="20"/>
        </w:rPr>
        <w:t>面向对象分析的基本任务是运用面向对象(</w:t>
      </w:r>
      <w:r>
        <w:rPr>
          <w:sz w:val="20"/>
          <w:szCs w:val="20"/>
        </w:rPr>
        <w:t>Object</w:t>
      </w:r>
      <w:r>
        <w:rPr>
          <w:spacing w:val="5"/>
          <w:sz w:val="20"/>
          <w:szCs w:val="20"/>
        </w:rPr>
        <w:t>-</w:t>
      </w:r>
      <w:r>
        <w:rPr>
          <w:sz w:val="20"/>
          <w:szCs w:val="20"/>
        </w:rPr>
        <w:t>Oriented</w:t>
      </w:r>
      <w:r>
        <w:rPr>
          <w:spacing w:val="5"/>
          <w:sz w:val="20"/>
          <w:szCs w:val="20"/>
        </w:rPr>
        <w:t>,00)</w:t>
      </w:r>
      <w:r>
        <w:rPr>
          <w:spacing w:val="43"/>
          <w:sz w:val="20"/>
          <w:szCs w:val="20"/>
        </w:rPr>
        <w:t xml:space="preserve"> </w:t>
      </w:r>
      <w:r>
        <w:rPr>
          <w:spacing w:val="5"/>
          <w:sz w:val="20"/>
          <w:szCs w:val="20"/>
        </w:rPr>
        <w:t>方法，对</w:t>
      </w:r>
      <w:r>
        <w:rPr>
          <w:spacing w:val="4"/>
          <w:sz w:val="20"/>
          <w:szCs w:val="20"/>
        </w:rPr>
        <w:t>问题域进行分</w:t>
      </w:r>
      <w:r>
        <w:rPr>
          <w:sz w:val="20"/>
          <w:szCs w:val="20"/>
        </w:rPr>
        <w:t xml:space="preserve"> </w:t>
      </w:r>
      <w:r>
        <w:rPr>
          <w:spacing w:val="3"/>
          <w:sz w:val="20"/>
          <w:szCs w:val="20"/>
        </w:rPr>
        <w:t>析和理解，正确认识其中的事物及它们之间的关系，找出</w:t>
      </w:r>
      <w:r>
        <w:rPr>
          <w:spacing w:val="2"/>
          <w:sz w:val="20"/>
          <w:szCs w:val="20"/>
        </w:rPr>
        <w:t>描述问题域和系统功能所需的类和对</w:t>
      </w:r>
      <w:r>
        <w:rPr>
          <w:sz w:val="20"/>
          <w:szCs w:val="20"/>
        </w:rPr>
        <w:t xml:space="preserve">  </w:t>
      </w:r>
      <w:r>
        <w:rPr>
          <w:spacing w:val="5"/>
          <w:sz w:val="20"/>
          <w:szCs w:val="20"/>
        </w:rPr>
        <w:t>象，定义它们的属性和职责，以及它们之间所形成的各种联系。最终产生一个</w:t>
      </w:r>
      <w:r>
        <w:rPr>
          <w:spacing w:val="4"/>
          <w:sz w:val="20"/>
          <w:szCs w:val="20"/>
        </w:rPr>
        <w:t>符合用户需求，</w:t>
      </w:r>
      <w:r>
        <w:rPr>
          <w:sz w:val="20"/>
          <w:szCs w:val="20"/>
        </w:rPr>
        <w:t xml:space="preserve"> </w:t>
      </w:r>
      <w:r>
        <w:rPr>
          <w:spacing w:val="6"/>
          <w:sz w:val="20"/>
          <w:szCs w:val="20"/>
        </w:rPr>
        <w:t>并能直接反映问题域和系统功能的</w:t>
      </w:r>
      <w:r>
        <w:rPr>
          <w:sz w:val="20"/>
          <w:szCs w:val="20"/>
        </w:rPr>
        <w:t>OOA</w:t>
      </w:r>
      <w:r>
        <w:rPr>
          <w:spacing w:val="111"/>
          <w:sz w:val="20"/>
          <w:szCs w:val="20"/>
        </w:rPr>
        <w:t xml:space="preserve"> </w:t>
      </w:r>
      <w:r>
        <w:rPr>
          <w:spacing w:val="6"/>
          <w:sz w:val="20"/>
          <w:szCs w:val="20"/>
        </w:rPr>
        <w:t>模型及其详细说明。00A</w:t>
      </w:r>
      <w:r>
        <w:rPr>
          <w:spacing w:val="-18"/>
          <w:sz w:val="20"/>
          <w:szCs w:val="20"/>
        </w:rPr>
        <w:t xml:space="preserve"> </w:t>
      </w:r>
      <w:r>
        <w:rPr>
          <w:spacing w:val="6"/>
          <w:sz w:val="20"/>
          <w:szCs w:val="20"/>
        </w:rPr>
        <w:t>模型包括用例模型和分析模</w:t>
      </w:r>
      <w:r>
        <w:rPr>
          <w:sz w:val="20"/>
          <w:szCs w:val="20"/>
        </w:rPr>
        <w:t xml:space="preserve"> </w:t>
      </w:r>
      <w:r>
        <w:rPr>
          <w:spacing w:val="4"/>
          <w:sz w:val="20"/>
          <w:szCs w:val="20"/>
        </w:rPr>
        <w:t xml:space="preserve">型。用例是一种描述系统需求的方法，使用用例的方法来描述系统需求的过程就是用例建模； </w:t>
      </w:r>
      <w:r>
        <w:rPr>
          <w:spacing w:val="5"/>
          <w:sz w:val="20"/>
          <w:szCs w:val="20"/>
        </w:rPr>
        <w:t>分析模型描述系统的基本逻辑结构，展示对象和类如何组成系统(静态模型),以及它</w:t>
      </w:r>
      <w:r>
        <w:rPr>
          <w:spacing w:val="4"/>
          <w:sz w:val="20"/>
          <w:szCs w:val="20"/>
        </w:rPr>
        <w:t>们如何保</w:t>
      </w:r>
      <w:r>
        <w:rPr>
          <w:sz w:val="20"/>
          <w:szCs w:val="20"/>
        </w:rPr>
        <w:t xml:space="preserve">  </w:t>
      </w:r>
      <w:r>
        <w:rPr>
          <w:spacing w:val="5"/>
          <w:sz w:val="20"/>
          <w:szCs w:val="20"/>
        </w:rPr>
        <w:t>持通信，实现系统行为(动态模型)。</w:t>
      </w:r>
    </w:p>
    <w:p w14:paraId="79826B9B">
      <w:pPr>
        <w:pStyle w:val="2"/>
        <w:spacing w:before="68" w:line="219" w:lineRule="auto"/>
        <w:ind w:left="419"/>
        <w:rPr>
          <w:sz w:val="20"/>
          <w:szCs w:val="20"/>
        </w:rPr>
      </w:pPr>
      <w:r>
        <w:rPr>
          <w:spacing w:val="-2"/>
          <w:sz w:val="20"/>
          <w:szCs w:val="20"/>
        </w:rPr>
        <w:t>面向对象分析阶段的核心工作是建立系统的用例模型与分析模型。</w:t>
      </w:r>
    </w:p>
    <w:p w14:paraId="0292815A">
      <w:pPr>
        <w:spacing w:before="153" w:line="228" w:lineRule="auto"/>
        <w:ind w:left="419"/>
        <w:rPr>
          <w:rFonts w:ascii="楷体" w:hAnsi="楷体" w:eastAsia="楷体" w:cs="楷体"/>
          <w:sz w:val="20"/>
          <w:szCs w:val="20"/>
        </w:rPr>
      </w:pPr>
      <w:r>
        <w:rPr>
          <w:rFonts w:ascii="楷体" w:hAnsi="楷体" w:eastAsia="楷体" w:cs="楷体"/>
          <w:spacing w:val="12"/>
          <w:sz w:val="20"/>
          <w:szCs w:val="20"/>
        </w:rPr>
        <w:t>1)用例模型</w:t>
      </w:r>
    </w:p>
    <w:p w14:paraId="05B7B192">
      <w:pPr>
        <w:pStyle w:val="2"/>
        <w:spacing w:before="61" w:line="283" w:lineRule="auto"/>
        <w:ind w:right="221" w:firstLine="419"/>
        <w:rPr>
          <w:sz w:val="20"/>
          <w:szCs w:val="20"/>
        </w:rPr>
      </w:pPr>
      <w:r>
        <w:rPr>
          <w:rFonts w:ascii="Times New Roman" w:hAnsi="Times New Roman" w:eastAsia="Times New Roman" w:cs="Times New Roman"/>
          <w:sz w:val="20"/>
          <w:szCs w:val="20"/>
        </w:rPr>
        <w:t>SA</w:t>
      </w:r>
      <w:r>
        <w:rPr>
          <w:spacing w:val="1"/>
          <w:sz w:val="20"/>
          <w:szCs w:val="20"/>
        </w:rPr>
        <w:t>方法采用功能分解的方式来描述系统功能，在这种表达方式中，系统功能</w:t>
      </w:r>
      <w:r>
        <w:rPr>
          <w:sz w:val="20"/>
          <w:szCs w:val="20"/>
        </w:rPr>
        <w:t xml:space="preserve">被分解到各个  </w:t>
      </w:r>
      <w:r>
        <w:rPr>
          <w:spacing w:val="5"/>
          <w:sz w:val="20"/>
          <w:szCs w:val="20"/>
        </w:rPr>
        <w:t>功能模块中，通过描述细分的系统模块的功能来达到描述整个</w:t>
      </w:r>
      <w:r>
        <w:rPr>
          <w:spacing w:val="4"/>
          <w:sz w:val="20"/>
          <w:szCs w:val="20"/>
        </w:rPr>
        <w:t>系统功能的目的。采用</w:t>
      </w:r>
      <w:r>
        <w:rPr>
          <w:rFonts w:ascii="Times New Roman" w:hAnsi="Times New Roman" w:eastAsia="Times New Roman" w:cs="Times New Roman"/>
          <w:sz w:val="20"/>
          <w:szCs w:val="20"/>
        </w:rPr>
        <w:t>SA</w:t>
      </w:r>
      <w:r>
        <w:rPr>
          <w:rFonts w:ascii="Times New Roman" w:hAnsi="Times New Roman" w:eastAsia="Times New Roman" w:cs="Times New Roman"/>
          <w:spacing w:val="17"/>
          <w:sz w:val="20"/>
          <w:szCs w:val="20"/>
        </w:rPr>
        <w:t xml:space="preserve"> </w:t>
      </w:r>
      <w:r>
        <w:rPr>
          <w:spacing w:val="4"/>
          <w:sz w:val="20"/>
          <w:szCs w:val="20"/>
        </w:rPr>
        <w:t>方法</w:t>
      </w:r>
      <w:r>
        <w:rPr>
          <w:sz w:val="20"/>
          <w:szCs w:val="20"/>
        </w:rPr>
        <w:t xml:space="preserve">  描述系统需求，很容易混淆需求和设计的界限，这样的描述实际上已经包含了部分的设计在内。 </w:t>
      </w:r>
      <w:r>
        <w:rPr>
          <w:spacing w:val="3"/>
          <w:sz w:val="20"/>
          <w:szCs w:val="20"/>
        </w:rPr>
        <w:t>从用户的角度看，他们并不想了解系统的内部结构和设</w:t>
      </w:r>
      <w:r>
        <w:rPr>
          <w:spacing w:val="2"/>
          <w:sz w:val="20"/>
          <w:szCs w:val="20"/>
        </w:rPr>
        <w:t>计，他们所关心的是系统所能提供的服</w:t>
      </w:r>
      <w:r>
        <w:rPr>
          <w:sz w:val="20"/>
          <w:szCs w:val="20"/>
        </w:rPr>
        <w:t xml:space="preserve">  </w:t>
      </w:r>
      <w:r>
        <w:rPr>
          <w:spacing w:val="3"/>
          <w:sz w:val="20"/>
          <w:szCs w:val="20"/>
        </w:rPr>
        <w:t>务，这就是用例方法的基本思想。用例方法是一种需求合成</w:t>
      </w:r>
      <w:r>
        <w:rPr>
          <w:spacing w:val="2"/>
          <w:sz w:val="20"/>
          <w:szCs w:val="20"/>
        </w:rPr>
        <w:t>技术，先获取需求，记录下来，然</w:t>
      </w:r>
      <w:r>
        <w:rPr>
          <w:sz w:val="20"/>
          <w:szCs w:val="20"/>
        </w:rPr>
        <w:t xml:space="preserve">  </w:t>
      </w:r>
      <w:r>
        <w:rPr>
          <w:spacing w:val="3"/>
          <w:sz w:val="20"/>
          <w:szCs w:val="20"/>
        </w:rPr>
        <w:t>后从这些零散的要求和期望中进行整理与提炼，从而建立用例模型。在0</w:t>
      </w:r>
      <w:r>
        <w:rPr>
          <w:sz w:val="20"/>
          <w:szCs w:val="20"/>
        </w:rPr>
        <w:t>OA</w:t>
      </w:r>
      <w:r>
        <w:rPr>
          <w:spacing w:val="3"/>
          <w:sz w:val="20"/>
          <w:szCs w:val="20"/>
        </w:rPr>
        <w:t xml:space="preserve"> 方法中，构建用例</w:t>
      </w:r>
      <w:r>
        <w:rPr>
          <w:spacing w:val="12"/>
          <w:sz w:val="20"/>
          <w:szCs w:val="20"/>
        </w:rPr>
        <w:t xml:space="preserve"> </w:t>
      </w:r>
      <w:r>
        <w:rPr>
          <w:spacing w:val="3"/>
          <w:sz w:val="20"/>
          <w:szCs w:val="20"/>
        </w:rPr>
        <w:t>模型一般需要经历四个阶段，分别是识别参与者、合并需求获得用例、细化用例描述和调整用</w:t>
      </w:r>
      <w:r>
        <w:rPr>
          <w:sz w:val="20"/>
          <w:szCs w:val="20"/>
        </w:rPr>
        <w:t xml:space="preserve"> </w:t>
      </w:r>
      <w:r>
        <w:rPr>
          <w:spacing w:val="-3"/>
          <w:sz w:val="20"/>
          <w:szCs w:val="20"/>
        </w:rPr>
        <w:t>例模型，其中前三个阶段是必需的。</w:t>
      </w:r>
    </w:p>
    <w:p w14:paraId="5D483DA3">
      <w:pPr>
        <w:spacing w:before="117" w:line="226" w:lineRule="auto"/>
        <w:ind w:left="419"/>
        <w:rPr>
          <w:rFonts w:ascii="楷体" w:hAnsi="楷体" w:eastAsia="楷体" w:cs="楷体"/>
          <w:sz w:val="20"/>
          <w:szCs w:val="20"/>
        </w:rPr>
      </w:pPr>
      <w:r>
        <w:rPr>
          <w:rFonts w:ascii="楷体" w:hAnsi="楷体" w:eastAsia="楷体" w:cs="楷体"/>
          <w:spacing w:val="15"/>
          <w:sz w:val="20"/>
          <w:szCs w:val="20"/>
        </w:rPr>
        <w:t>2)分析模型</w:t>
      </w:r>
    </w:p>
    <w:p w14:paraId="5CDEF5E0">
      <w:pPr>
        <w:pStyle w:val="2"/>
        <w:spacing w:before="58" w:line="270" w:lineRule="auto"/>
        <w:ind w:right="310" w:firstLine="419"/>
        <w:rPr>
          <w:sz w:val="20"/>
          <w:szCs w:val="20"/>
        </w:rPr>
      </w:pPr>
      <w:r>
        <w:rPr>
          <w:spacing w:val="2"/>
          <w:sz w:val="20"/>
          <w:szCs w:val="20"/>
        </w:rPr>
        <w:t>用例模型是从用户的观点对系统进行用例建模，但捕获了用例并不意味着分析的结束，还</w:t>
      </w:r>
      <w:r>
        <w:rPr>
          <w:spacing w:val="9"/>
          <w:sz w:val="20"/>
          <w:szCs w:val="20"/>
        </w:rPr>
        <w:t xml:space="preserve"> </w:t>
      </w:r>
      <w:r>
        <w:rPr>
          <w:spacing w:val="3"/>
          <w:sz w:val="20"/>
          <w:szCs w:val="20"/>
        </w:rPr>
        <w:t>要对需求进行深入分析，获取关于问题域本质内容的分</w:t>
      </w:r>
      <w:r>
        <w:rPr>
          <w:spacing w:val="2"/>
          <w:sz w:val="20"/>
          <w:szCs w:val="20"/>
        </w:rPr>
        <w:t>析模型。分析模型描述系统的基本逻辑</w:t>
      </w:r>
      <w:r>
        <w:rPr>
          <w:sz w:val="20"/>
          <w:szCs w:val="20"/>
        </w:rPr>
        <w:t xml:space="preserve"> </w:t>
      </w:r>
      <w:r>
        <w:rPr>
          <w:spacing w:val="7"/>
          <w:sz w:val="20"/>
          <w:szCs w:val="20"/>
        </w:rPr>
        <w:t>结构，展示对象和类如何组成系统(静态模型),以及它们如何保持通信，实现系统行为(动态</w:t>
      </w:r>
      <w:r>
        <w:rPr>
          <w:spacing w:val="15"/>
          <w:sz w:val="20"/>
          <w:szCs w:val="20"/>
        </w:rPr>
        <w:t xml:space="preserve"> </w:t>
      </w:r>
      <w:r>
        <w:rPr>
          <w:spacing w:val="4"/>
          <w:sz w:val="20"/>
          <w:szCs w:val="20"/>
        </w:rPr>
        <w:t>模型)。</w:t>
      </w:r>
    </w:p>
    <w:p w14:paraId="60713493">
      <w:pPr>
        <w:pStyle w:val="2"/>
        <w:spacing w:before="59" w:line="276" w:lineRule="auto"/>
        <w:ind w:right="273" w:firstLine="419"/>
        <w:rPr>
          <w:sz w:val="20"/>
          <w:szCs w:val="20"/>
        </w:rPr>
      </w:pPr>
      <w:r>
        <w:rPr>
          <w:spacing w:val="3"/>
          <w:sz w:val="20"/>
          <w:szCs w:val="20"/>
        </w:rPr>
        <w:t>建立分析模型的过程大致包括定义概念类、确定类之间的关系、为类添加职责、建立交互</w:t>
      </w:r>
      <w:r>
        <w:rPr>
          <w:spacing w:val="10"/>
          <w:sz w:val="20"/>
          <w:szCs w:val="20"/>
        </w:rPr>
        <w:t xml:space="preserve"> </w:t>
      </w:r>
      <w:r>
        <w:rPr>
          <w:spacing w:val="5"/>
          <w:sz w:val="20"/>
          <w:szCs w:val="20"/>
        </w:rPr>
        <w:t>图等，前三个步骤统称为</w:t>
      </w:r>
      <w:r>
        <w:rPr>
          <w:rFonts w:ascii="Times New Roman" w:hAnsi="Times New Roman" w:eastAsia="Times New Roman" w:cs="Times New Roman"/>
          <w:sz w:val="20"/>
          <w:szCs w:val="20"/>
        </w:rPr>
        <w:t>CRC</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Class</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Responsibility</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Collaborator</w:t>
      </w:r>
      <w:r>
        <w:rPr>
          <w:rFonts w:ascii="Times New Roman" w:hAnsi="Times New Roman" w:eastAsia="Times New Roman" w:cs="Times New Roman"/>
          <w:spacing w:val="5"/>
          <w:sz w:val="20"/>
          <w:szCs w:val="20"/>
        </w:rPr>
        <w:t xml:space="preserve">,     </w:t>
      </w:r>
      <w:r>
        <w:rPr>
          <w:spacing w:val="5"/>
          <w:sz w:val="20"/>
          <w:szCs w:val="20"/>
        </w:rPr>
        <w:t>类一责任一协作者)建模。</w:t>
      </w:r>
    </w:p>
    <w:p w14:paraId="27D2A140">
      <w:pPr>
        <w:pStyle w:val="2"/>
        <w:spacing w:before="191" w:line="219" w:lineRule="auto"/>
        <w:ind w:left="3"/>
        <w:rPr>
          <w:sz w:val="26"/>
          <w:szCs w:val="26"/>
        </w:rPr>
      </w:pPr>
      <w:r>
        <w:rPr>
          <w:b/>
          <w:bCs/>
          <w:color w:val="005EBD"/>
          <w:spacing w:val="-21"/>
          <w:sz w:val="26"/>
          <w:szCs w:val="26"/>
        </w:rPr>
        <w:t>2.3.3</w:t>
      </w:r>
      <w:r>
        <w:rPr>
          <w:color w:val="005EBD"/>
          <w:spacing w:val="56"/>
          <w:sz w:val="26"/>
          <w:szCs w:val="26"/>
        </w:rPr>
        <w:t xml:space="preserve"> </w:t>
      </w:r>
      <w:r>
        <w:rPr>
          <w:b/>
          <w:bCs/>
          <w:color w:val="005EBD"/>
          <w:spacing w:val="-21"/>
          <w:sz w:val="26"/>
          <w:szCs w:val="26"/>
        </w:rPr>
        <w:t>软件设计</w:t>
      </w:r>
    </w:p>
    <w:p w14:paraId="19E4C7D7">
      <w:pPr>
        <w:pStyle w:val="2"/>
        <w:spacing w:before="130" w:line="280" w:lineRule="auto"/>
        <w:ind w:right="201" w:firstLine="419"/>
        <w:jc w:val="both"/>
        <w:rPr>
          <w:sz w:val="20"/>
          <w:szCs w:val="20"/>
        </w:rPr>
      </w:pPr>
      <w:r>
        <w:rPr>
          <w:spacing w:val="3"/>
          <w:sz w:val="20"/>
          <w:szCs w:val="20"/>
        </w:rPr>
        <w:t>软件设计是需求分析的延伸与拓展。需求分析阶段解决“做什么”的问题，而软件设计阶</w:t>
      </w:r>
      <w:r>
        <w:rPr>
          <w:spacing w:val="10"/>
          <w:sz w:val="20"/>
          <w:szCs w:val="20"/>
        </w:rPr>
        <w:t xml:space="preserve"> </w:t>
      </w:r>
      <w:r>
        <w:rPr>
          <w:spacing w:val="3"/>
          <w:sz w:val="20"/>
          <w:szCs w:val="20"/>
        </w:rPr>
        <w:t>段解决“怎么做”的问题。同时，它也是系统实施的基础，为系统实施工作做好铺垫。合理的</w:t>
      </w:r>
      <w:r>
        <w:rPr>
          <w:spacing w:val="5"/>
          <w:sz w:val="20"/>
          <w:szCs w:val="20"/>
        </w:rPr>
        <w:t xml:space="preserve">  软件设计方案既可以保证系统的质量，也可以提高开发效率，确保系统实施工作的顺利进行。</w:t>
      </w:r>
      <w:r>
        <w:rPr>
          <w:spacing w:val="14"/>
          <w:sz w:val="20"/>
          <w:szCs w:val="20"/>
        </w:rPr>
        <w:t xml:space="preserve"> </w:t>
      </w:r>
      <w:r>
        <w:rPr>
          <w:spacing w:val="-2"/>
          <w:sz w:val="20"/>
          <w:szCs w:val="20"/>
        </w:rPr>
        <w:t>从方法上来说，软件设计分为结构化设计与</w:t>
      </w:r>
      <w:r>
        <w:rPr>
          <w:spacing w:val="-3"/>
          <w:sz w:val="20"/>
          <w:szCs w:val="20"/>
        </w:rPr>
        <w:t>面向对象设计。</w:t>
      </w:r>
    </w:p>
    <w:p w14:paraId="79711A70">
      <w:pPr>
        <w:spacing w:line="280" w:lineRule="auto"/>
        <w:rPr>
          <w:sz w:val="20"/>
          <w:szCs w:val="20"/>
        </w:rPr>
        <w:sectPr>
          <w:pgSz w:w="10300" w:h="13300"/>
          <w:pgMar w:top="400" w:right="558" w:bottom="400" w:left="1120" w:header="0" w:footer="0" w:gutter="0"/>
          <w:cols w:space="720" w:num="1"/>
        </w:sectPr>
      </w:pPr>
    </w:p>
    <w:p w14:paraId="51F3833F">
      <w:pPr>
        <w:pStyle w:val="2"/>
        <w:spacing w:before="68" w:line="219" w:lineRule="auto"/>
        <w:rPr>
          <w:sz w:val="20"/>
          <w:szCs w:val="20"/>
        </w:rPr>
      </w:pPr>
      <w:r>
        <w:rPr>
          <w:rFonts w:ascii="Times New Roman" w:hAnsi="Times New Roman" w:eastAsia="Times New Roman" w:cs="Times New Roman"/>
          <w:spacing w:val="-4"/>
          <w:sz w:val="20"/>
          <w:szCs w:val="20"/>
        </w:rPr>
        <w:t>62</w:t>
      </w:r>
      <w:r>
        <w:rPr>
          <w:rFonts w:ascii="Times New Roman" w:hAnsi="Times New Roman" w:eastAsia="Times New Roman" w:cs="Times New Roman"/>
          <w:spacing w:val="1"/>
          <w:sz w:val="20"/>
          <w:szCs w:val="20"/>
        </w:rPr>
        <w:t xml:space="preserve">              </w:t>
      </w:r>
      <w:r>
        <w:rPr>
          <w:spacing w:val="-4"/>
          <w:sz w:val="20"/>
          <w:szCs w:val="20"/>
        </w:rPr>
        <w:t>信息系统监理师教程(第2版)</w:t>
      </w:r>
    </w:p>
    <w:p w14:paraId="22D35386">
      <w:pPr>
        <w:spacing w:line="311" w:lineRule="auto"/>
        <w:rPr>
          <w:rFonts w:ascii="Arial"/>
          <w:sz w:val="21"/>
        </w:rPr>
      </w:pPr>
    </w:p>
    <w:p w14:paraId="7D59D59D">
      <w:pPr>
        <w:pStyle w:val="2"/>
        <w:spacing w:before="65" w:line="222" w:lineRule="auto"/>
        <w:ind w:left="692"/>
        <w:rPr>
          <w:rFonts w:ascii="黑体" w:hAnsi="黑体" w:eastAsia="黑体" w:cs="黑体"/>
          <w:sz w:val="20"/>
          <w:szCs w:val="20"/>
        </w:rPr>
      </w:pPr>
      <w:r>
        <w:rPr>
          <w:b/>
          <w:bCs/>
          <w:color w:val="1078C8"/>
          <w:spacing w:val="-3"/>
          <w:sz w:val="20"/>
          <w:szCs w:val="20"/>
        </w:rPr>
        <w:t>1.</w:t>
      </w:r>
      <w:r>
        <w:rPr>
          <w:rFonts w:ascii="黑体" w:hAnsi="黑体" w:eastAsia="黑体" w:cs="黑体"/>
          <w:b/>
          <w:bCs/>
          <w:color w:val="1078C8"/>
          <w:spacing w:val="-3"/>
          <w:sz w:val="20"/>
          <w:szCs w:val="20"/>
        </w:rPr>
        <w:t>结构化设计</w:t>
      </w:r>
    </w:p>
    <w:p w14:paraId="6AD00E5E">
      <w:pPr>
        <w:pStyle w:val="2"/>
        <w:spacing w:before="146" w:line="286" w:lineRule="auto"/>
        <w:ind w:left="289" w:firstLine="400"/>
        <w:jc w:val="both"/>
        <w:rPr>
          <w:sz w:val="20"/>
          <w:szCs w:val="20"/>
        </w:rPr>
      </w:pPr>
      <w:r>
        <w:rPr>
          <w:spacing w:val="4"/>
          <w:sz w:val="20"/>
          <w:szCs w:val="20"/>
        </w:rPr>
        <w:t>结构化设计</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Structured</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Design</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SD</w:t>
      </w:r>
      <w:r>
        <w:rPr>
          <w:rFonts w:ascii="Times New Roman" w:hAnsi="Times New Roman" w:eastAsia="Times New Roman" w:cs="Times New Roman"/>
          <w:spacing w:val="4"/>
          <w:sz w:val="20"/>
          <w:szCs w:val="20"/>
        </w:rPr>
        <w:t xml:space="preserve">) </w:t>
      </w:r>
      <w:r>
        <w:rPr>
          <w:spacing w:val="4"/>
          <w:sz w:val="20"/>
          <w:szCs w:val="20"/>
        </w:rPr>
        <w:t>是一种面向数据流的方法</w:t>
      </w:r>
      <w:r>
        <w:rPr>
          <w:spacing w:val="3"/>
          <w:sz w:val="20"/>
          <w:szCs w:val="20"/>
        </w:rPr>
        <w:t>，它以</w:t>
      </w:r>
      <w:r>
        <w:rPr>
          <w:rFonts w:ascii="Times New Roman" w:hAnsi="Times New Roman" w:eastAsia="Times New Roman" w:cs="Times New Roman"/>
          <w:sz w:val="20"/>
          <w:szCs w:val="20"/>
        </w:rPr>
        <w:t>SRS</w:t>
      </w:r>
      <w:r>
        <w:rPr>
          <w:rFonts w:ascii="Times New Roman" w:hAnsi="Times New Roman" w:eastAsia="Times New Roman" w:cs="Times New Roman"/>
          <w:spacing w:val="-13"/>
          <w:sz w:val="20"/>
          <w:szCs w:val="20"/>
        </w:rPr>
        <w:t xml:space="preserve"> </w:t>
      </w:r>
      <w:r>
        <w:rPr>
          <w:spacing w:val="3"/>
          <w:sz w:val="20"/>
          <w:szCs w:val="20"/>
        </w:rPr>
        <w:t>和</w:t>
      </w:r>
      <w:r>
        <w:rPr>
          <w:spacing w:val="-31"/>
          <w:sz w:val="20"/>
          <w:szCs w:val="20"/>
        </w:rPr>
        <w:t xml:space="preserve"> </w:t>
      </w:r>
      <w:r>
        <w:rPr>
          <w:rFonts w:ascii="Times New Roman" w:hAnsi="Times New Roman" w:eastAsia="Times New Roman" w:cs="Times New Roman"/>
          <w:sz w:val="20"/>
          <w:szCs w:val="20"/>
        </w:rPr>
        <w:t>SA</w:t>
      </w:r>
      <w:r>
        <w:rPr>
          <w:rFonts w:ascii="Times New Roman" w:hAnsi="Times New Roman" w:eastAsia="Times New Roman" w:cs="Times New Roman"/>
          <w:spacing w:val="27"/>
          <w:sz w:val="20"/>
          <w:szCs w:val="20"/>
        </w:rPr>
        <w:t xml:space="preserve"> </w:t>
      </w:r>
      <w:r>
        <w:rPr>
          <w:spacing w:val="3"/>
          <w:sz w:val="20"/>
          <w:szCs w:val="20"/>
        </w:rPr>
        <w:t>阶段所产</w:t>
      </w:r>
      <w:r>
        <w:rPr>
          <w:sz w:val="20"/>
          <w:szCs w:val="20"/>
        </w:rPr>
        <w:t xml:space="preserve">  </w:t>
      </w:r>
      <w:r>
        <w:rPr>
          <w:spacing w:val="2"/>
          <w:sz w:val="20"/>
          <w:szCs w:val="20"/>
        </w:rPr>
        <w:t>生的</w:t>
      </w:r>
      <w:r>
        <w:rPr>
          <w:rFonts w:ascii="Times New Roman" w:hAnsi="Times New Roman" w:eastAsia="Times New Roman" w:cs="Times New Roman"/>
          <w:sz w:val="20"/>
          <w:szCs w:val="20"/>
        </w:rPr>
        <w:t>DFD</w:t>
      </w:r>
      <w:r>
        <w:rPr>
          <w:rFonts w:ascii="Times New Roman" w:hAnsi="Times New Roman" w:eastAsia="Times New Roman" w:cs="Times New Roman"/>
          <w:spacing w:val="25"/>
          <w:sz w:val="20"/>
          <w:szCs w:val="20"/>
        </w:rPr>
        <w:t xml:space="preserve"> </w:t>
      </w:r>
      <w:r>
        <w:rPr>
          <w:spacing w:val="2"/>
          <w:sz w:val="20"/>
          <w:szCs w:val="20"/>
        </w:rPr>
        <w:t>和数据字典等文档为基础，是一个自顶向下、逐步求精和模块化的过程。</w:t>
      </w:r>
      <w:r>
        <w:rPr>
          <w:spacing w:val="-58"/>
          <w:sz w:val="20"/>
          <w:szCs w:val="20"/>
        </w:rPr>
        <w:t xml:space="preserve"> </w:t>
      </w:r>
      <w:r>
        <w:rPr>
          <w:rFonts w:ascii="Times New Roman" w:hAnsi="Times New Roman" w:eastAsia="Times New Roman" w:cs="Times New Roman"/>
          <w:sz w:val="20"/>
          <w:szCs w:val="20"/>
        </w:rPr>
        <w:t>SD</w:t>
      </w:r>
      <w:r>
        <w:rPr>
          <w:rFonts w:ascii="Times New Roman" w:hAnsi="Times New Roman" w:eastAsia="Times New Roman" w:cs="Times New Roman"/>
          <w:spacing w:val="17"/>
          <w:w w:val="101"/>
          <w:sz w:val="20"/>
          <w:szCs w:val="20"/>
        </w:rPr>
        <w:t xml:space="preserve"> </w:t>
      </w:r>
      <w:r>
        <w:rPr>
          <w:spacing w:val="2"/>
          <w:sz w:val="20"/>
          <w:szCs w:val="20"/>
        </w:rPr>
        <w:t>方法的</w:t>
      </w:r>
      <w:r>
        <w:rPr>
          <w:sz w:val="20"/>
          <w:szCs w:val="20"/>
        </w:rPr>
        <w:t xml:space="preserve">  </w:t>
      </w:r>
      <w:r>
        <w:rPr>
          <w:spacing w:val="3"/>
          <w:sz w:val="20"/>
          <w:szCs w:val="20"/>
        </w:rPr>
        <w:t>基本思想是将软件设计成由相对独立且具有单一功能的模块组成的</w:t>
      </w:r>
      <w:r>
        <w:rPr>
          <w:spacing w:val="2"/>
          <w:sz w:val="20"/>
          <w:szCs w:val="20"/>
        </w:rPr>
        <w:t>结构，分为概要设计和详细</w:t>
      </w:r>
      <w:r>
        <w:rPr>
          <w:sz w:val="20"/>
          <w:szCs w:val="20"/>
        </w:rPr>
        <w:t xml:space="preserve">  </w:t>
      </w:r>
      <w:r>
        <w:rPr>
          <w:spacing w:val="3"/>
          <w:sz w:val="20"/>
          <w:szCs w:val="20"/>
        </w:rPr>
        <w:t>设计两个阶段。其中，概要设计又称为总体结构设计，它是</w:t>
      </w:r>
      <w:r>
        <w:rPr>
          <w:spacing w:val="2"/>
          <w:sz w:val="20"/>
          <w:szCs w:val="20"/>
        </w:rPr>
        <w:t>开发过程中很关键的一步，其主要</w:t>
      </w:r>
      <w:r>
        <w:rPr>
          <w:sz w:val="20"/>
          <w:szCs w:val="20"/>
        </w:rPr>
        <w:t xml:space="preserve">  </w:t>
      </w:r>
      <w:r>
        <w:rPr>
          <w:spacing w:val="3"/>
          <w:sz w:val="20"/>
          <w:szCs w:val="20"/>
        </w:rPr>
        <w:t>任务是将系统的功能需求分配给软件模块，确定每个模块的功能和调用关系，形成软件的模块 结构图，即系统结构图。在概要设计中，将系统开发的总任务分解成许多个基本的、具体的任</w:t>
      </w:r>
      <w:r>
        <w:rPr>
          <w:spacing w:val="4"/>
          <w:sz w:val="20"/>
          <w:szCs w:val="20"/>
        </w:rPr>
        <w:t xml:space="preserve"> </w:t>
      </w:r>
      <w:r>
        <w:rPr>
          <w:sz w:val="20"/>
          <w:szCs w:val="20"/>
        </w:rPr>
        <w:t xml:space="preserve">务，而为每个具体任务选择适当的技术手段和处理方法的过程称为详细设计。根据任务的不同， </w:t>
      </w:r>
      <w:r>
        <w:rPr>
          <w:spacing w:val="2"/>
          <w:sz w:val="20"/>
          <w:szCs w:val="20"/>
        </w:rPr>
        <w:t>详细设计又可分为多种，例如输入/输出设计、处理流程设计、数据存储设计、用户界面设计、</w:t>
      </w:r>
      <w:r>
        <w:rPr>
          <w:spacing w:val="15"/>
          <w:sz w:val="20"/>
          <w:szCs w:val="20"/>
        </w:rPr>
        <w:t xml:space="preserve"> </w:t>
      </w:r>
      <w:r>
        <w:rPr>
          <w:spacing w:val="-4"/>
          <w:sz w:val="20"/>
          <w:szCs w:val="20"/>
        </w:rPr>
        <w:t>安全性和可靠性设计等。</w:t>
      </w:r>
    </w:p>
    <w:p w14:paraId="0D6976D8">
      <w:pPr>
        <w:pStyle w:val="2"/>
        <w:spacing w:before="96" w:line="280" w:lineRule="auto"/>
        <w:ind w:left="289" w:right="92" w:firstLine="400"/>
        <w:jc w:val="both"/>
        <w:rPr>
          <w:sz w:val="20"/>
          <w:szCs w:val="20"/>
        </w:rPr>
      </w:pPr>
      <w:r>
        <w:rPr>
          <w:spacing w:val="4"/>
          <w:sz w:val="20"/>
          <w:szCs w:val="20"/>
        </w:rPr>
        <w:t>在</w:t>
      </w:r>
      <w:r>
        <w:rPr>
          <w:rFonts w:ascii="Times New Roman" w:hAnsi="Times New Roman" w:eastAsia="Times New Roman" w:cs="Times New Roman"/>
          <w:sz w:val="20"/>
          <w:szCs w:val="20"/>
        </w:rPr>
        <w:t>SD</w:t>
      </w:r>
      <w:r>
        <w:rPr>
          <w:rFonts w:ascii="Times New Roman" w:hAnsi="Times New Roman" w:eastAsia="Times New Roman" w:cs="Times New Roman"/>
          <w:spacing w:val="41"/>
          <w:sz w:val="20"/>
          <w:szCs w:val="20"/>
        </w:rPr>
        <w:t xml:space="preserve"> </w:t>
      </w:r>
      <w:r>
        <w:rPr>
          <w:spacing w:val="4"/>
          <w:sz w:val="20"/>
          <w:szCs w:val="20"/>
        </w:rPr>
        <w:t>中，需要遵循一个基本的原则：高内聚，低耦合。内聚表示模块内部各成分之间的</w:t>
      </w:r>
      <w:r>
        <w:rPr>
          <w:sz w:val="20"/>
          <w:szCs w:val="20"/>
        </w:rPr>
        <w:t xml:space="preserve"> </w:t>
      </w:r>
      <w:r>
        <w:rPr>
          <w:spacing w:val="1"/>
          <w:sz w:val="20"/>
          <w:szCs w:val="20"/>
        </w:rPr>
        <w:t>联系程度，是从功能角度来度量模块内的联系，</w:t>
      </w:r>
      <w:r>
        <w:rPr>
          <w:spacing w:val="-34"/>
          <w:sz w:val="20"/>
          <w:szCs w:val="20"/>
        </w:rPr>
        <w:t xml:space="preserve"> </w:t>
      </w:r>
      <w:r>
        <w:rPr>
          <w:spacing w:val="1"/>
          <w:sz w:val="20"/>
          <w:szCs w:val="20"/>
        </w:rPr>
        <w:t>一个好的内聚模块应当恰好做目标单一的一件</w:t>
      </w:r>
      <w:r>
        <w:rPr>
          <w:sz w:val="20"/>
          <w:szCs w:val="20"/>
        </w:rPr>
        <w:t xml:space="preserve"> </w:t>
      </w:r>
      <w:r>
        <w:rPr>
          <w:spacing w:val="3"/>
          <w:sz w:val="20"/>
          <w:szCs w:val="20"/>
        </w:rPr>
        <w:t>事情；耦合表示模块之间联系的程度，紧密耦合表示模</w:t>
      </w:r>
      <w:r>
        <w:rPr>
          <w:spacing w:val="2"/>
          <w:sz w:val="20"/>
          <w:szCs w:val="20"/>
        </w:rPr>
        <w:t>块之间联系非常强，松散耦合表示模块</w:t>
      </w:r>
      <w:r>
        <w:rPr>
          <w:sz w:val="20"/>
          <w:szCs w:val="20"/>
        </w:rPr>
        <w:t xml:space="preserve"> </w:t>
      </w:r>
      <w:r>
        <w:rPr>
          <w:spacing w:val="-2"/>
          <w:sz w:val="20"/>
          <w:szCs w:val="20"/>
        </w:rPr>
        <w:t>之间联系比较弱，非耦合则表示模块之间无任何联系，</w:t>
      </w:r>
      <w:r>
        <w:rPr>
          <w:spacing w:val="-3"/>
          <w:sz w:val="20"/>
          <w:szCs w:val="20"/>
        </w:rPr>
        <w:t>是完全独立的。</w:t>
      </w:r>
    </w:p>
    <w:p w14:paraId="5077628E">
      <w:pPr>
        <w:pStyle w:val="2"/>
        <w:spacing w:before="134" w:line="222" w:lineRule="auto"/>
        <w:ind w:left="692"/>
        <w:rPr>
          <w:rFonts w:ascii="黑体" w:hAnsi="黑体" w:eastAsia="黑体" w:cs="黑体"/>
          <w:sz w:val="20"/>
          <w:szCs w:val="20"/>
        </w:rPr>
      </w:pPr>
      <w:r>
        <w:rPr>
          <w:b/>
          <w:bCs/>
          <w:color w:val="0069B0"/>
          <w:spacing w:val="-1"/>
          <w:sz w:val="20"/>
          <w:szCs w:val="20"/>
        </w:rPr>
        <w:t>2.</w:t>
      </w:r>
      <w:r>
        <w:rPr>
          <w:rFonts w:ascii="黑体" w:hAnsi="黑体" w:eastAsia="黑体" w:cs="黑体"/>
          <w:b/>
          <w:bCs/>
          <w:color w:val="0069B0"/>
          <w:spacing w:val="-1"/>
          <w:sz w:val="20"/>
          <w:szCs w:val="20"/>
        </w:rPr>
        <w:t>面向对象设计</w:t>
      </w:r>
    </w:p>
    <w:p w14:paraId="06F576E6">
      <w:pPr>
        <w:pStyle w:val="2"/>
        <w:spacing w:before="120" w:line="285" w:lineRule="auto"/>
        <w:ind w:left="289" w:right="85" w:firstLine="400"/>
        <w:jc w:val="both"/>
        <w:rPr>
          <w:sz w:val="20"/>
          <w:szCs w:val="20"/>
        </w:rPr>
      </w:pPr>
      <w:r>
        <w:rPr>
          <w:spacing w:val="5"/>
          <w:sz w:val="20"/>
          <w:szCs w:val="20"/>
        </w:rPr>
        <w:t>面向对象设计</w:t>
      </w:r>
      <w:r>
        <w:rPr>
          <w:spacing w:val="-58"/>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OOD</w:t>
      </w:r>
      <w:r>
        <w:rPr>
          <w:rFonts w:ascii="Times New Roman" w:hAnsi="Times New Roman" w:eastAsia="Times New Roman" w:cs="Times New Roman"/>
          <w:spacing w:val="5"/>
          <w:sz w:val="20"/>
          <w:szCs w:val="20"/>
        </w:rPr>
        <w:t xml:space="preserve">)   </w:t>
      </w:r>
      <w:r>
        <w:rPr>
          <w:spacing w:val="5"/>
          <w:sz w:val="20"/>
          <w:szCs w:val="20"/>
        </w:rPr>
        <w:t>是</w:t>
      </w:r>
      <w:r>
        <w:rPr>
          <w:spacing w:val="-39"/>
          <w:sz w:val="20"/>
          <w:szCs w:val="20"/>
        </w:rPr>
        <w:t xml:space="preserve"> </w:t>
      </w:r>
      <w:r>
        <w:rPr>
          <w:rFonts w:ascii="Times New Roman" w:hAnsi="Times New Roman" w:eastAsia="Times New Roman" w:cs="Times New Roman"/>
          <w:sz w:val="20"/>
          <w:szCs w:val="20"/>
        </w:rPr>
        <w:t>OOA</w:t>
      </w:r>
      <w:r>
        <w:rPr>
          <w:rFonts w:ascii="Times New Roman" w:hAnsi="Times New Roman" w:eastAsia="Times New Roman" w:cs="Times New Roman"/>
          <w:spacing w:val="23"/>
          <w:w w:val="101"/>
          <w:sz w:val="20"/>
          <w:szCs w:val="20"/>
        </w:rPr>
        <w:t xml:space="preserve"> </w:t>
      </w:r>
      <w:r>
        <w:rPr>
          <w:spacing w:val="5"/>
          <w:sz w:val="20"/>
          <w:szCs w:val="20"/>
        </w:rPr>
        <w:t>方法的延续，其基本思想包括抽象、封装和可扩</w:t>
      </w:r>
      <w:r>
        <w:rPr>
          <w:spacing w:val="4"/>
          <w:sz w:val="20"/>
          <w:szCs w:val="20"/>
        </w:rPr>
        <w:t>展性，其</w:t>
      </w:r>
      <w:r>
        <w:rPr>
          <w:sz w:val="20"/>
          <w:szCs w:val="20"/>
        </w:rPr>
        <w:t xml:space="preserve"> 中可扩展性主要通过继承和多态来实现。在</w:t>
      </w:r>
      <w:r>
        <w:rPr>
          <w:rFonts w:ascii="Times New Roman" w:hAnsi="Times New Roman" w:eastAsia="Times New Roman" w:cs="Times New Roman"/>
          <w:sz w:val="20"/>
          <w:szCs w:val="20"/>
        </w:rPr>
        <w:t>OOD</w:t>
      </w:r>
      <w:r>
        <w:rPr>
          <w:rFonts w:ascii="Times New Roman" w:hAnsi="Times New Roman" w:eastAsia="Times New Roman" w:cs="Times New Roman"/>
          <w:spacing w:val="22"/>
          <w:w w:val="101"/>
          <w:sz w:val="20"/>
          <w:szCs w:val="20"/>
        </w:rPr>
        <w:t xml:space="preserve"> </w:t>
      </w:r>
      <w:r>
        <w:rPr>
          <w:sz w:val="20"/>
          <w:szCs w:val="20"/>
        </w:rPr>
        <w:t xml:space="preserve">中，数据结构和在数据结构上定义的操作算法 </w:t>
      </w:r>
      <w:r>
        <w:rPr>
          <w:spacing w:val="1"/>
          <w:sz w:val="20"/>
          <w:szCs w:val="20"/>
        </w:rPr>
        <w:t>封装在一个对象之中。由于现实世界中的事物都可以抽象出</w:t>
      </w:r>
      <w:r>
        <w:rPr>
          <w:sz w:val="20"/>
          <w:szCs w:val="20"/>
        </w:rPr>
        <w:t>对象的集合，所以OOD</w:t>
      </w:r>
      <w:r>
        <w:rPr>
          <w:spacing w:val="87"/>
          <w:sz w:val="20"/>
          <w:szCs w:val="20"/>
        </w:rPr>
        <w:t xml:space="preserve"> </w:t>
      </w:r>
      <w:r>
        <w:rPr>
          <w:sz w:val="20"/>
          <w:szCs w:val="20"/>
        </w:rPr>
        <w:t xml:space="preserve">方法是一种 </w:t>
      </w:r>
      <w:r>
        <w:rPr>
          <w:spacing w:val="-2"/>
          <w:sz w:val="20"/>
          <w:szCs w:val="20"/>
        </w:rPr>
        <w:t>更接近现实世界、更自然的软件设计方法。</w:t>
      </w:r>
    </w:p>
    <w:p w14:paraId="3CBE1F76">
      <w:pPr>
        <w:pStyle w:val="2"/>
        <w:spacing w:before="39" w:line="277" w:lineRule="auto"/>
        <w:ind w:left="289" w:firstLine="400"/>
        <w:jc w:val="both"/>
        <w:rPr>
          <w:sz w:val="20"/>
          <w:szCs w:val="20"/>
        </w:rPr>
      </w:pPr>
      <w:r>
        <w:rPr>
          <w:rFonts w:ascii="Times New Roman" w:hAnsi="Times New Roman" w:eastAsia="Times New Roman" w:cs="Times New Roman"/>
          <w:sz w:val="20"/>
          <w:szCs w:val="20"/>
        </w:rPr>
        <w:t>OOD</w:t>
      </w:r>
      <w:r>
        <w:rPr>
          <w:spacing w:val="4"/>
          <w:sz w:val="20"/>
          <w:szCs w:val="20"/>
        </w:rPr>
        <w:t>的主要任务是对类和对象进行设计，包括类的属性、方法，以及类与类之间的关系。</w:t>
      </w:r>
      <w:r>
        <w:rPr>
          <w:spacing w:val="17"/>
          <w:sz w:val="20"/>
          <w:szCs w:val="20"/>
        </w:rPr>
        <w:t xml:space="preserve"> </w:t>
      </w:r>
      <w:r>
        <w:rPr>
          <w:rFonts w:ascii="Times New Roman" w:hAnsi="Times New Roman" w:eastAsia="Times New Roman" w:cs="Times New Roman"/>
          <w:spacing w:val="-4"/>
          <w:sz w:val="20"/>
          <w:szCs w:val="20"/>
        </w:rPr>
        <w:t>OOD</w:t>
      </w:r>
      <w:r>
        <w:rPr>
          <w:spacing w:val="-4"/>
          <w:sz w:val="20"/>
          <w:szCs w:val="20"/>
        </w:rPr>
        <w:t>的结果就是设计模型。对于</w:t>
      </w:r>
      <w:r>
        <w:rPr>
          <w:rFonts w:ascii="Times New Roman" w:hAnsi="Times New Roman" w:eastAsia="Times New Roman" w:cs="Times New Roman"/>
          <w:spacing w:val="-4"/>
          <w:sz w:val="20"/>
          <w:szCs w:val="20"/>
        </w:rPr>
        <w:t>OOD</w:t>
      </w:r>
      <w:r>
        <w:rPr>
          <w:rFonts w:ascii="Times New Roman" w:hAnsi="Times New Roman" w:eastAsia="Times New Roman" w:cs="Times New Roman"/>
          <w:spacing w:val="-16"/>
          <w:sz w:val="20"/>
          <w:szCs w:val="20"/>
        </w:rPr>
        <w:t xml:space="preserve"> </w:t>
      </w:r>
      <w:r>
        <w:rPr>
          <w:spacing w:val="-4"/>
          <w:sz w:val="20"/>
          <w:szCs w:val="20"/>
        </w:rPr>
        <w:t>而言，在支持可维</w:t>
      </w:r>
      <w:r>
        <w:rPr>
          <w:spacing w:val="-5"/>
          <w:sz w:val="20"/>
          <w:szCs w:val="20"/>
        </w:rPr>
        <w:t>护性的同时，提高软件的可重用性是一个</w:t>
      </w:r>
      <w:r>
        <w:rPr>
          <w:sz w:val="20"/>
          <w:szCs w:val="20"/>
        </w:rPr>
        <w:t xml:space="preserve">  </w:t>
      </w:r>
      <w:r>
        <w:rPr>
          <w:spacing w:val="-1"/>
          <w:sz w:val="20"/>
          <w:szCs w:val="20"/>
        </w:rPr>
        <w:t>至关重要的问题，如何同时提高软件的可维护性和可重用性，是0</w:t>
      </w:r>
      <w:r>
        <w:rPr>
          <w:rFonts w:ascii="Times New Roman" w:hAnsi="Times New Roman" w:eastAsia="Times New Roman" w:cs="Times New Roman"/>
          <w:spacing w:val="-1"/>
          <w:sz w:val="20"/>
          <w:szCs w:val="20"/>
        </w:rPr>
        <w:t>OD</w:t>
      </w:r>
      <w:r>
        <w:rPr>
          <w:spacing w:val="-1"/>
          <w:sz w:val="20"/>
          <w:szCs w:val="20"/>
        </w:rPr>
        <w:t>需要解决的核心问题之一。</w:t>
      </w:r>
    </w:p>
    <w:p w14:paraId="3227A04D">
      <w:pPr>
        <w:pStyle w:val="2"/>
        <w:spacing w:before="115" w:line="222" w:lineRule="auto"/>
        <w:ind w:left="692"/>
        <w:rPr>
          <w:rFonts w:ascii="黑体" w:hAnsi="黑体" w:eastAsia="黑体" w:cs="黑体"/>
          <w:sz w:val="20"/>
          <w:szCs w:val="20"/>
        </w:rPr>
      </w:pPr>
      <w:r>
        <w:rPr>
          <w:b/>
          <w:bCs/>
          <w:color w:val="0078BF"/>
          <w:spacing w:val="-1"/>
          <w:sz w:val="20"/>
          <w:szCs w:val="20"/>
        </w:rPr>
        <w:t>3.</w:t>
      </w:r>
      <w:r>
        <w:rPr>
          <w:rFonts w:ascii="黑体" w:hAnsi="黑体" w:eastAsia="黑体" w:cs="黑体"/>
          <w:b/>
          <w:bCs/>
          <w:color w:val="0078BF"/>
          <w:spacing w:val="-1"/>
          <w:sz w:val="20"/>
          <w:szCs w:val="20"/>
        </w:rPr>
        <w:t>设计模式</w:t>
      </w:r>
    </w:p>
    <w:p w14:paraId="554945B7">
      <w:pPr>
        <w:pStyle w:val="2"/>
        <w:spacing w:before="164" w:line="281" w:lineRule="auto"/>
        <w:ind w:left="289" w:right="91" w:firstLine="400"/>
        <w:rPr>
          <w:sz w:val="20"/>
          <w:szCs w:val="20"/>
        </w:rPr>
      </w:pPr>
      <w:r>
        <w:rPr>
          <w:spacing w:val="3"/>
          <w:sz w:val="20"/>
          <w:szCs w:val="20"/>
        </w:rPr>
        <w:t>设计模式是前人经验的总结，它使人们可以方便地复用成功的软件</w:t>
      </w:r>
      <w:r>
        <w:rPr>
          <w:spacing w:val="2"/>
          <w:sz w:val="20"/>
          <w:szCs w:val="20"/>
        </w:rPr>
        <w:t>设计。设计模式包含模</w:t>
      </w:r>
      <w:r>
        <w:rPr>
          <w:sz w:val="20"/>
          <w:szCs w:val="20"/>
        </w:rPr>
        <w:t xml:space="preserve"> </w:t>
      </w:r>
      <w:r>
        <w:rPr>
          <w:spacing w:val="-1"/>
          <w:sz w:val="20"/>
          <w:szCs w:val="20"/>
        </w:rPr>
        <w:t>式名称、问题、目的、解决方案、效果、实例代码和相关设计模式</w:t>
      </w:r>
      <w:r>
        <w:rPr>
          <w:spacing w:val="-2"/>
          <w:sz w:val="20"/>
          <w:szCs w:val="20"/>
        </w:rPr>
        <w:t>等基本要素。</w:t>
      </w:r>
    </w:p>
    <w:p w14:paraId="359C8B5B">
      <w:pPr>
        <w:pStyle w:val="2"/>
        <w:spacing w:before="13" w:line="279" w:lineRule="auto"/>
        <w:ind w:left="289" w:right="20" w:firstLine="400"/>
        <w:rPr>
          <w:sz w:val="20"/>
          <w:szCs w:val="20"/>
        </w:rPr>
      </w:pPr>
      <w:r>
        <w:rPr>
          <w:spacing w:val="-1"/>
          <w:sz w:val="20"/>
          <w:szCs w:val="20"/>
        </w:rPr>
        <w:t>根据处理范围不同，设计模式可分为类模式和对象模式。类模式处理类和子类之间的关系，</w:t>
      </w:r>
      <w:r>
        <w:rPr>
          <w:spacing w:val="18"/>
          <w:sz w:val="20"/>
          <w:szCs w:val="20"/>
        </w:rPr>
        <w:t xml:space="preserve"> </w:t>
      </w:r>
      <w:r>
        <w:rPr>
          <w:spacing w:val="3"/>
          <w:sz w:val="20"/>
          <w:szCs w:val="20"/>
        </w:rPr>
        <w:t>这些关系通过继承建立，在编译时刻就被确定下来，属于静态关系；对象</w:t>
      </w:r>
      <w:r>
        <w:rPr>
          <w:spacing w:val="2"/>
          <w:sz w:val="20"/>
          <w:szCs w:val="20"/>
        </w:rPr>
        <w:t>模式处理对象之间的</w:t>
      </w:r>
      <w:r>
        <w:rPr>
          <w:sz w:val="20"/>
          <w:szCs w:val="20"/>
        </w:rPr>
        <w:t xml:space="preserve"> </w:t>
      </w:r>
      <w:r>
        <w:rPr>
          <w:spacing w:val="3"/>
          <w:sz w:val="20"/>
          <w:szCs w:val="20"/>
        </w:rPr>
        <w:t>关系，这些关系在运行时刻变化，更具动态性。根据目的和用途不同</w:t>
      </w:r>
      <w:r>
        <w:rPr>
          <w:spacing w:val="2"/>
          <w:sz w:val="20"/>
          <w:szCs w:val="20"/>
        </w:rPr>
        <w:t>，设计模式可分为创建型</w:t>
      </w:r>
      <w:r>
        <w:rPr>
          <w:sz w:val="20"/>
          <w:szCs w:val="20"/>
        </w:rPr>
        <w:t xml:space="preserve"> </w:t>
      </w:r>
      <w:r>
        <w:rPr>
          <w:spacing w:val="-2"/>
          <w:sz w:val="20"/>
          <w:szCs w:val="20"/>
        </w:rPr>
        <w:t>模式、结构型模式和行为型模式三种。</w:t>
      </w:r>
    </w:p>
    <w:p w14:paraId="49A74A77">
      <w:pPr>
        <w:pStyle w:val="2"/>
        <w:spacing w:before="29" w:line="248" w:lineRule="auto"/>
        <w:ind w:left="289" w:right="83" w:firstLine="400"/>
        <w:rPr>
          <w:sz w:val="20"/>
          <w:szCs w:val="20"/>
        </w:rPr>
      </w:pPr>
      <w:r>
        <w:rPr>
          <w:spacing w:val="5"/>
          <w:sz w:val="20"/>
          <w:szCs w:val="20"/>
        </w:rPr>
        <w:t>(1)创建型模式主要用于创建对象，包括工厂方法模式、抽象工厂模式、原型模式、单例</w:t>
      </w:r>
      <w:r>
        <w:rPr>
          <w:spacing w:val="15"/>
          <w:sz w:val="20"/>
          <w:szCs w:val="20"/>
        </w:rPr>
        <w:t xml:space="preserve"> </w:t>
      </w:r>
      <w:r>
        <w:rPr>
          <w:spacing w:val="-5"/>
          <w:sz w:val="20"/>
          <w:szCs w:val="20"/>
        </w:rPr>
        <w:t>模式和建造者模式等；</w:t>
      </w:r>
    </w:p>
    <w:p w14:paraId="2990EB75">
      <w:pPr>
        <w:pStyle w:val="2"/>
        <w:spacing w:before="102" w:line="239" w:lineRule="auto"/>
        <w:ind w:left="289" w:firstLine="400"/>
        <w:rPr>
          <w:sz w:val="20"/>
          <w:szCs w:val="20"/>
        </w:rPr>
      </w:pPr>
      <w:r>
        <w:rPr>
          <w:spacing w:val="8"/>
          <w:sz w:val="20"/>
          <w:szCs w:val="20"/>
        </w:rPr>
        <w:t>(2)结构型模式主要用于处理类或对象的</w:t>
      </w:r>
      <w:r>
        <w:rPr>
          <w:spacing w:val="7"/>
          <w:sz w:val="20"/>
          <w:szCs w:val="20"/>
        </w:rPr>
        <w:t>组合，包括适配器模式、桥接模式、组合模式、</w:t>
      </w:r>
      <w:r>
        <w:rPr>
          <w:sz w:val="20"/>
          <w:szCs w:val="20"/>
        </w:rPr>
        <w:t xml:space="preserve"> </w:t>
      </w:r>
      <w:r>
        <w:rPr>
          <w:spacing w:val="-3"/>
          <w:sz w:val="20"/>
          <w:szCs w:val="20"/>
        </w:rPr>
        <w:t>装饰模式、外观模式、享元模式和代理模式等；</w:t>
      </w:r>
    </w:p>
    <w:p w14:paraId="735C98B5">
      <w:pPr>
        <w:pStyle w:val="2"/>
        <w:spacing w:before="74" w:line="257" w:lineRule="auto"/>
        <w:ind w:left="289" w:right="20" w:firstLine="400"/>
        <w:rPr>
          <w:sz w:val="20"/>
          <w:szCs w:val="20"/>
        </w:rPr>
      </w:pPr>
      <w:r>
        <w:rPr>
          <w:spacing w:val="2"/>
          <w:sz w:val="20"/>
          <w:szCs w:val="20"/>
        </w:rPr>
        <w:t>(3)行为型模式主要用于描述类或对象的交互及职责的分配，包括职责链模式、命令</w:t>
      </w:r>
      <w:r>
        <w:rPr>
          <w:spacing w:val="1"/>
          <w:sz w:val="20"/>
          <w:szCs w:val="20"/>
        </w:rPr>
        <w:t>模式、</w:t>
      </w:r>
      <w:r>
        <w:rPr>
          <w:sz w:val="20"/>
          <w:szCs w:val="20"/>
        </w:rPr>
        <w:t xml:space="preserve"> </w:t>
      </w:r>
      <w:r>
        <w:rPr>
          <w:spacing w:val="3"/>
          <w:sz w:val="20"/>
          <w:szCs w:val="20"/>
        </w:rPr>
        <w:t>解释器模式、迭代器模式、中介者模式、备忘录模式、观察者模式、状态模式、策略模式、模</w:t>
      </w:r>
      <w:r>
        <w:rPr>
          <w:spacing w:val="4"/>
          <w:sz w:val="20"/>
          <w:szCs w:val="20"/>
        </w:rPr>
        <w:t xml:space="preserve"> </w:t>
      </w:r>
      <w:r>
        <w:rPr>
          <w:spacing w:val="-3"/>
          <w:sz w:val="20"/>
          <w:szCs w:val="20"/>
        </w:rPr>
        <w:t>板方法模式、访问者模式等。</w:t>
      </w:r>
    </w:p>
    <w:p w14:paraId="683F1703">
      <w:pPr>
        <w:spacing w:line="257" w:lineRule="auto"/>
        <w:rPr>
          <w:sz w:val="20"/>
          <w:szCs w:val="20"/>
        </w:rPr>
        <w:sectPr>
          <w:pgSz w:w="10320" w:h="13400"/>
          <w:pgMar w:top="400" w:right="1089" w:bottom="400" w:left="540" w:header="0" w:footer="0" w:gutter="0"/>
          <w:cols w:space="720" w:num="1"/>
        </w:sectPr>
      </w:pPr>
    </w:p>
    <w:p w14:paraId="2F41223F">
      <w:pPr>
        <w:pStyle w:val="2"/>
        <w:spacing w:before="66" w:line="219" w:lineRule="auto"/>
        <w:jc w:val="right"/>
        <w:rPr>
          <w:rFonts w:ascii="Times New Roman" w:hAnsi="Times New Roman" w:eastAsia="Times New Roman" w:cs="Times New Roman"/>
          <w:sz w:val="20"/>
          <w:szCs w:val="20"/>
        </w:rPr>
      </w:pPr>
      <w:r>
        <w:rPr>
          <w:spacing w:val="-2"/>
          <w:sz w:val="20"/>
          <w:szCs w:val="20"/>
        </w:rPr>
        <w:t>第2章 信息系统工程</w:t>
      </w:r>
      <w:r>
        <w:rPr>
          <w:spacing w:val="14"/>
          <w:sz w:val="20"/>
          <w:szCs w:val="20"/>
        </w:rPr>
        <w:t xml:space="preserve">      </w:t>
      </w:r>
      <w:r>
        <w:rPr>
          <w:rFonts w:ascii="Times New Roman" w:hAnsi="Times New Roman" w:eastAsia="Times New Roman" w:cs="Times New Roman"/>
          <w:spacing w:val="-2"/>
          <w:sz w:val="20"/>
          <w:szCs w:val="20"/>
        </w:rPr>
        <w:t>63</w:t>
      </w:r>
    </w:p>
    <w:p w14:paraId="2A96C2A6">
      <w:pPr>
        <w:spacing w:line="276" w:lineRule="auto"/>
        <w:rPr>
          <w:rFonts w:ascii="Arial"/>
          <w:sz w:val="21"/>
        </w:rPr>
      </w:pPr>
    </w:p>
    <w:p w14:paraId="2E3571DE">
      <w:pPr>
        <w:pStyle w:val="2"/>
        <w:spacing w:before="85" w:line="219" w:lineRule="auto"/>
        <w:ind w:left="2"/>
        <w:rPr>
          <w:sz w:val="26"/>
          <w:szCs w:val="26"/>
        </w:rPr>
      </w:pPr>
      <w:bookmarkStart w:id="514" w:name="bookmark501"/>
      <w:bookmarkEnd w:id="514"/>
      <w:r>
        <w:rPr>
          <w:b/>
          <w:bCs/>
          <w:color w:val="005BD3"/>
          <w:spacing w:val="-26"/>
          <w:sz w:val="26"/>
          <w:szCs w:val="26"/>
        </w:rPr>
        <w:t>2.3.4</w:t>
      </w:r>
      <w:r>
        <w:rPr>
          <w:color w:val="005BD3"/>
          <w:spacing w:val="76"/>
          <w:sz w:val="26"/>
          <w:szCs w:val="26"/>
        </w:rPr>
        <w:t xml:space="preserve"> </w:t>
      </w:r>
      <w:r>
        <w:rPr>
          <w:b/>
          <w:bCs/>
          <w:color w:val="005BD3"/>
          <w:spacing w:val="-26"/>
          <w:sz w:val="26"/>
          <w:szCs w:val="26"/>
        </w:rPr>
        <w:t>软件实现</w:t>
      </w:r>
    </w:p>
    <w:p w14:paraId="097CDC13">
      <w:pPr>
        <w:pStyle w:val="2"/>
        <w:spacing w:before="257" w:line="221" w:lineRule="auto"/>
        <w:ind w:left="392"/>
        <w:rPr>
          <w:rFonts w:ascii="黑体" w:hAnsi="黑体" w:eastAsia="黑体" w:cs="黑体"/>
          <w:sz w:val="20"/>
          <w:szCs w:val="20"/>
        </w:rPr>
      </w:pPr>
      <w:r>
        <w:rPr>
          <w:b/>
          <w:bCs/>
          <w:color w:val="006DDB"/>
          <w:spacing w:val="-1"/>
          <w:sz w:val="20"/>
          <w:szCs w:val="20"/>
        </w:rPr>
        <w:t>1.</w:t>
      </w:r>
      <w:r>
        <w:rPr>
          <w:rFonts w:ascii="黑体" w:hAnsi="黑体" w:eastAsia="黑体" w:cs="黑体"/>
          <w:b/>
          <w:bCs/>
          <w:color w:val="006DDB"/>
          <w:spacing w:val="-1"/>
          <w:sz w:val="20"/>
          <w:szCs w:val="20"/>
        </w:rPr>
        <w:t>软件编码</w:t>
      </w:r>
    </w:p>
    <w:p w14:paraId="4F721721">
      <w:pPr>
        <w:pStyle w:val="2"/>
        <w:spacing w:before="153" w:line="280" w:lineRule="auto"/>
        <w:ind w:right="191" w:firstLine="389"/>
        <w:jc w:val="both"/>
        <w:rPr>
          <w:sz w:val="20"/>
          <w:szCs w:val="20"/>
        </w:rPr>
      </w:pPr>
      <w:r>
        <w:rPr>
          <w:spacing w:val="3"/>
          <w:sz w:val="20"/>
          <w:szCs w:val="20"/>
        </w:rPr>
        <w:t>编码就是把软件设计的结果翻译成计算机可以“理解和识别”的形式，即用某种程序设计</w:t>
      </w:r>
      <w:r>
        <w:rPr>
          <w:spacing w:val="5"/>
          <w:sz w:val="20"/>
          <w:szCs w:val="20"/>
        </w:rPr>
        <w:t xml:space="preserve">  </w:t>
      </w:r>
      <w:r>
        <w:rPr>
          <w:spacing w:val="3"/>
          <w:sz w:val="20"/>
          <w:szCs w:val="20"/>
        </w:rPr>
        <w:t>语言书写的程序。作为软件工程的一个步骤，编码是设计的自然结果，因此，程序的</w:t>
      </w:r>
      <w:r>
        <w:rPr>
          <w:spacing w:val="2"/>
          <w:sz w:val="20"/>
          <w:szCs w:val="20"/>
        </w:rPr>
        <w:t>质量主要</w:t>
      </w:r>
      <w:r>
        <w:rPr>
          <w:sz w:val="20"/>
          <w:szCs w:val="20"/>
        </w:rPr>
        <w:t xml:space="preserve">  取决于软件设计的质量。但是，程序设计语言的特性和编码途径也会对程序的可靠性、可读性、</w:t>
      </w:r>
      <w:r>
        <w:rPr>
          <w:spacing w:val="8"/>
          <w:sz w:val="20"/>
          <w:szCs w:val="20"/>
        </w:rPr>
        <w:t xml:space="preserve"> </w:t>
      </w:r>
      <w:r>
        <w:rPr>
          <w:spacing w:val="-3"/>
          <w:sz w:val="20"/>
          <w:szCs w:val="20"/>
        </w:rPr>
        <w:t>可测试性和可维护性产生深远的影响。</w:t>
      </w:r>
    </w:p>
    <w:p w14:paraId="4CD6564E">
      <w:pPr>
        <w:spacing w:before="124" w:line="226" w:lineRule="auto"/>
        <w:ind w:left="392"/>
        <w:rPr>
          <w:rFonts w:ascii="楷体" w:hAnsi="楷体" w:eastAsia="楷体" w:cs="楷体"/>
          <w:sz w:val="20"/>
          <w:szCs w:val="20"/>
        </w:rPr>
      </w:pPr>
      <w:r>
        <w:rPr>
          <w:rFonts w:ascii="楷体" w:hAnsi="楷体" w:eastAsia="楷体" w:cs="楷体"/>
          <w:b/>
          <w:bCs/>
          <w:spacing w:val="7"/>
          <w:sz w:val="20"/>
          <w:szCs w:val="20"/>
        </w:rPr>
        <w:t>1)程序设计风格</w:t>
      </w:r>
    </w:p>
    <w:p w14:paraId="75052E25">
      <w:pPr>
        <w:pStyle w:val="2"/>
        <w:spacing w:before="67" w:line="281" w:lineRule="auto"/>
        <w:ind w:right="191" w:firstLine="389"/>
        <w:jc w:val="both"/>
        <w:rPr>
          <w:sz w:val="20"/>
          <w:szCs w:val="20"/>
        </w:rPr>
      </w:pPr>
      <w:r>
        <w:rPr>
          <w:spacing w:val="3"/>
          <w:sz w:val="20"/>
          <w:szCs w:val="20"/>
        </w:rPr>
        <w:t>在软件生存期中，开发人员经常要阅读程序。特别是在软件测试阶段和维护阶段，编写程</w:t>
      </w:r>
      <w:r>
        <w:rPr>
          <w:spacing w:val="4"/>
          <w:sz w:val="20"/>
          <w:szCs w:val="20"/>
        </w:rPr>
        <w:t xml:space="preserve">  </w:t>
      </w:r>
      <w:r>
        <w:rPr>
          <w:spacing w:val="3"/>
          <w:sz w:val="20"/>
          <w:szCs w:val="20"/>
        </w:rPr>
        <w:t>序的人员与参与测试、维护的人员要阅读程序。因此，阅读程序是软件开发和维护过程中的一</w:t>
      </w:r>
      <w:r>
        <w:rPr>
          <w:spacing w:val="17"/>
          <w:sz w:val="20"/>
          <w:szCs w:val="20"/>
        </w:rPr>
        <w:t xml:space="preserve"> </w:t>
      </w:r>
      <w:r>
        <w:rPr>
          <w:spacing w:val="3"/>
          <w:sz w:val="20"/>
          <w:szCs w:val="20"/>
        </w:rPr>
        <w:t>个重要组成部分，而且读程序的时间比写程序的时间还要多。20世纪70年代初，</w:t>
      </w:r>
      <w:r>
        <w:rPr>
          <w:spacing w:val="2"/>
          <w:sz w:val="20"/>
          <w:szCs w:val="20"/>
        </w:rPr>
        <w:t>有人提出在编</w:t>
      </w:r>
      <w:r>
        <w:rPr>
          <w:sz w:val="20"/>
          <w:szCs w:val="20"/>
        </w:rPr>
        <w:t xml:space="preserve">  写程序时，应使程序具有良好的风格。程序设计风格包括四个方面：源程序文档化、数据说明、</w:t>
      </w:r>
      <w:r>
        <w:rPr>
          <w:spacing w:val="9"/>
          <w:sz w:val="20"/>
          <w:szCs w:val="20"/>
        </w:rPr>
        <w:t xml:space="preserve"> </w:t>
      </w:r>
      <w:r>
        <w:rPr>
          <w:spacing w:val="1"/>
          <w:sz w:val="20"/>
          <w:szCs w:val="20"/>
        </w:rPr>
        <w:t>语句结构和输入/输出方法。应尽量从编</w:t>
      </w:r>
      <w:r>
        <w:rPr>
          <w:sz w:val="20"/>
          <w:szCs w:val="20"/>
        </w:rPr>
        <w:t>码原则的角度提高程序的可读性，改善程序的质量。</w:t>
      </w:r>
    </w:p>
    <w:p w14:paraId="320B3E73">
      <w:pPr>
        <w:spacing w:before="139" w:line="226" w:lineRule="auto"/>
        <w:ind w:left="389"/>
        <w:rPr>
          <w:rFonts w:ascii="楷体" w:hAnsi="楷体" w:eastAsia="楷体" w:cs="楷体"/>
          <w:sz w:val="20"/>
          <w:szCs w:val="20"/>
        </w:rPr>
      </w:pPr>
      <w:r>
        <w:rPr>
          <w:rFonts w:ascii="楷体" w:hAnsi="楷体" w:eastAsia="楷体" w:cs="楷体"/>
          <w:spacing w:val="12"/>
          <w:sz w:val="20"/>
          <w:szCs w:val="20"/>
        </w:rPr>
        <w:t>2)程序复杂性度量</w:t>
      </w:r>
    </w:p>
    <w:p w14:paraId="6F3E8772">
      <w:pPr>
        <w:pStyle w:val="2"/>
        <w:spacing w:before="54" w:line="281" w:lineRule="auto"/>
        <w:ind w:right="280" w:firstLine="389"/>
        <w:rPr>
          <w:sz w:val="20"/>
          <w:szCs w:val="20"/>
        </w:rPr>
      </w:pPr>
      <w:r>
        <w:rPr>
          <w:spacing w:val="3"/>
          <w:sz w:val="20"/>
          <w:szCs w:val="20"/>
        </w:rPr>
        <w:t>经过详细设计后每个模块的内容都已经非常具体，因此可以使用软件设计的基本原理和概</w:t>
      </w:r>
      <w:r>
        <w:rPr>
          <w:spacing w:val="10"/>
          <w:sz w:val="20"/>
          <w:szCs w:val="20"/>
        </w:rPr>
        <w:t xml:space="preserve"> </w:t>
      </w:r>
      <w:r>
        <w:rPr>
          <w:spacing w:val="3"/>
          <w:sz w:val="20"/>
          <w:szCs w:val="20"/>
        </w:rPr>
        <w:t>念仔细衡量其质量。但是，这种衡量毕竟只能是定性的，人们希望能进一步定</w:t>
      </w:r>
      <w:r>
        <w:rPr>
          <w:spacing w:val="2"/>
          <w:sz w:val="20"/>
          <w:szCs w:val="20"/>
        </w:rPr>
        <w:t>量度量软件的性</w:t>
      </w:r>
      <w:r>
        <w:rPr>
          <w:sz w:val="20"/>
          <w:szCs w:val="20"/>
        </w:rPr>
        <w:t xml:space="preserve"> </w:t>
      </w:r>
      <w:r>
        <w:rPr>
          <w:spacing w:val="3"/>
          <w:sz w:val="20"/>
          <w:szCs w:val="20"/>
        </w:rPr>
        <w:t>质。定量度量程序复杂程度的方法很有价值，把程序的复杂度乘以适当的常数即</w:t>
      </w:r>
      <w:r>
        <w:rPr>
          <w:spacing w:val="2"/>
          <w:sz w:val="20"/>
          <w:szCs w:val="20"/>
        </w:rPr>
        <w:t>可估算出软件</w:t>
      </w:r>
      <w:r>
        <w:rPr>
          <w:sz w:val="20"/>
          <w:szCs w:val="20"/>
        </w:rPr>
        <w:t xml:space="preserve"> </w:t>
      </w:r>
      <w:r>
        <w:rPr>
          <w:spacing w:val="3"/>
          <w:sz w:val="20"/>
          <w:szCs w:val="20"/>
        </w:rPr>
        <w:t>中故障的数量以及软件开发时的工作量。定量度量的结构可以用于比较两个不同设计或</w:t>
      </w:r>
      <w:r>
        <w:rPr>
          <w:spacing w:val="2"/>
          <w:sz w:val="20"/>
          <w:szCs w:val="20"/>
        </w:rPr>
        <w:t>两种不</w:t>
      </w:r>
      <w:r>
        <w:rPr>
          <w:sz w:val="20"/>
          <w:szCs w:val="20"/>
        </w:rPr>
        <w:t xml:space="preserve"> </w:t>
      </w:r>
      <w:r>
        <w:rPr>
          <w:spacing w:val="-2"/>
          <w:sz w:val="20"/>
          <w:szCs w:val="20"/>
        </w:rPr>
        <w:t>同算法的优劣；程序定量的复杂程度可以作为模块规模的精确限度。</w:t>
      </w:r>
    </w:p>
    <w:p w14:paraId="263569E6">
      <w:pPr>
        <w:spacing w:before="129" w:line="225" w:lineRule="auto"/>
        <w:ind w:left="389"/>
        <w:rPr>
          <w:rFonts w:ascii="楷体" w:hAnsi="楷体" w:eastAsia="楷体" w:cs="楷体"/>
          <w:sz w:val="20"/>
          <w:szCs w:val="20"/>
        </w:rPr>
      </w:pPr>
      <w:r>
        <w:rPr>
          <w:rFonts w:ascii="楷体" w:hAnsi="楷体" w:eastAsia="楷体" w:cs="楷体"/>
          <w:spacing w:val="18"/>
          <w:sz w:val="20"/>
          <w:szCs w:val="20"/>
        </w:rPr>
        <w:t>3)编码效率</w:t>
      </w:r>
    </w:p>
    <w:p w14:paraId="4F60EB9E">
      <w:pPr>
        <w:pStyle w:val="2"/>
        <w:spacing w:before="68" w:line="219" w:lineRule="auto"/>
        <w:ind w:left="389"/>
        <w:rPr>
          <w:sz w:val="20"/>
          <w:szCs w:val="20"/>
        </w:rPr>
      </w:pPr>
      <w:r>
        <w:rPr>
          <w:spacing w:val="1"/>
          <w:sz w:val="20"/>
          <w:szCs w:val="20"/>
        </w:rPr>
        <w:t>编码效率主要包括程序效率、算法效率、存储效率和</w:t>
      </w:r>
      <w:r>
        <w:rPr>
          <w:rFonts w:ascii="Times New Roman" w:hAnsi="Times New Roman" w:eastAsia="Times New Roman" w:cs="Times New Roman"/>
          <w:spacing w:val="1"/>
          <w:sz w:val="20"/>
          <w:szCs w:val="20"/>
        </w:rPr>
        <w:t xml:space="preserve">I/O </w:t>
      </w:r>
      <w:r>
        <w:rPr>
          <w:spacing w:val="1"/>
          <w:sz w:val="20"/>
          <w:szCs w:val="20"/>
        </w:rPr>
        <w:t>效率。</w:t>
      </w:r>
    </w:p>
    <w:p w14:paraId="7F575E9C">
      <w:pPr>
        <w:pStyle w:val="2"/>
        <w:spacing w:before="84" w:line="265" w:lineRule="auto"/>
        <w:ind w:right="221" w:firstLine="389"/>
        <w:rPr>
          <w:sz w:val="20"/>
          <w:szCs w:val="20"/>
        </w:rPr>
      </w:pPr>
      <w:r>
        <w:rPr>
          <w:spacing w:val="4"/>
          <w:sz w:val="20"/>
          <w:szCs w:val="20"/>
        </w:rPr>
        <w:t>(1)程序效率：程序的效率是指程序的执</w:t>
      </w:r>
      <w:r>
        <w:rPr>
          <w:spacing w:val="3"/>
          <w:sz w:val="20"/>
          <w:szCs w:val="20"/>
        </w:rPr>
        <w:t>行速度及程序所需占用的内存空间。</w:t>
      </w:r>
      <w:r>
        <w:rPr>
          <w:spacing w:val="49"/>
          <w:sz w:val="20"/>
          <w:szCs w:val="20"/>
        </w:rPr>
        <w:t xml:space="preserve"> </w:t>
      </w:r>
      <w:r>
        <w:rPr>
          <w:spacing w:val="3"/>
          <w:sz w:val="20"/>
          <w:szCs w:val="20"/>
        </w:rPr>
        <w:t>一般来说，</w:t>
      </w:r>
      <w:r>
        <w:rPr>
          <w:sz w:val="20"/>
          <w:szCs w:val="20"/>
        </w:rPr>
        <w:t xml:space="preserve"> </w:t>
      </w:r>
      <w:r>
        <w:rPr>
          <w:spacing w:val="8"/>
          <w:sz w:val="20"/>
          <w:szCs w:val="20"/>
        </w:rPr>
        <w:t>任何对效率无重要改善，且对程序的简单性、可读性和正确性不利的程序设计方法都</w:t>
      </w:r>
      <w:r>
        <w:rPr>
          <w:spacing w:val="7"/>
          <w:sz w:val="20"/>
          <w:szCs w:val="20"/>
        </w:rPr>
        <w:t>是不可</w:t>
      </w:r>
      <w:r>
        <w:rPr>
          <w:sz w:val="20"/>
          <w:szCs w:val="20"/>
        </w:rPr>
        <w:t xml:space="preserve"> </w:t>
      </w:r>
      <w:r>
        <w:rPr>
          <w:spacing w:val="-3"/>
          <w:sz w:val="20"/>
          <w:szCs w:val="20"/>
        </w:rPr>
        <w:t>取的。</w:t>
      </w:r>
    </w:p>
    <w:p w14:paraId="64720B1C">
      <w:pPr>
        <w:pStyle w:val="2"/>
        <w:spacing w:before="48" w:line="257" w:lineRule="auto"/>
        <w:ind w:right="279" w:firstLine="389"/>
        <w:rPr>
          <w:sz w:val="20"/>
          <w:szCs w:val="20"/>
        </w:rPr>
      </w:pPr>
      <w:r>
        <w:rPr>
          <w:spacing w:val="6"/>
          <w:sz w:val="20"/>
          <w:szCs w:val="20"/>
        </w:rPr>
        <w:t>(2)算法效率：源程序的效率与详细设计阶段确定的算法的效率直接</w:t>
      </w:r>
      <w:r>
        <w:rPr>
          <w:spacing w:val="5"/>
          <w:sz w:val="20"/>
          <w:szCs w:val="20"/>
        </w:rPr>
        <w:t>相关。在详细设计翻</w:t>
      </w:r>
      <w:r>
        <w:rPr>
          <w:sz w:val="20"/>
          <w:szCs w:val="20"/>
        </w:rPr>
        <w:t xml:space="preserve"> </w:t>
      </w:r>
      <w:r>
        <w:rPr>
          <w:spacing w:val="-1"/>
          <w:sz w:val="20"/>
          <w:szCs w:val="20"/>
        </w:rPr>
        <w:t>译转换成源程序代码后，算法效率反映为程序的执行速度和存储容量</w:t>
      </w:r>
      <w:r>
        <w:rPr>
          <w:spacing w:val="-2"/>
          <w:sz w:val="20"/>
          <w:szCs w:val="20"/>
        </w:rPr>
        <w:t>的要求。</w:t>
      </w:r>
    </w:p>
    <w:p w14:paraId="11ED8C3B">
      <w:pPr>
        <w:pStyle w:val="2"/>
        <w:spacing w:before="73" w:line="257" w:lineRule="auto"/>
        <w:ind w:right="281" w:firstLine="389"/>
        <w:rPr>
          <w:sz w:val="20"/>
          <w:szCs w:val="20"/>
        </w:rPr>
      </w:pPr>
      <w:r>
        <w:rPr>
          <w:spacing w:val="6"/>
          <w:sz w:val="20"/>
          <w:szCs w:val="20"/>
        </w:rPr>
        <w:t>(3)存储效率：存储容量对软件设计和编码的制约很大。因此要</w:t>
      </w:r>
      <w:r>
        <w:rPr>
          <w:spacing w:val="5"/>
          <w:sz w:val="20"/>
          <w:szCs w:val="20"/>
        </w:rPr>
        <w:t>选择可生成较短目标代码</w:t>
      </w:r>
      <w:r>
        <w:rPr>
          <w:sz w:val="20"/>
          <w:szCs w:val="20"/>
        </w:rPr>
        <w:t xml:space="preserve"> </w:t>
      </w:r>
      <w:r>
        <w:rPr>
          <w:spacing w:val="3"/>
          <w:sz w:val="20"/>
          <w:szCs w:val="20"/>
        </w:rPr>
        <w:t>且存储压缩性能优良的编译程序，有时需要采用汇编程序，通过程序员富有创造</w:t>
      </w:r>
      <w:r>
        <w:rPr>
          <w:spacing w:val="2"/>
          <w:sz w:val="20"/>
          <w:szCs w:val="20"/>
        </w:rPr>
        <w:t>性的努力，提</w:t>
      </w:r>
      <w:r>
        <w:rPr>
          <w:sz w:val="20"/>
          <w:szCs w:val="20"/>
        </w:rPr>
        <w:t xml:space="preserve"> </w:t>
      </w:r>
      <w:r>
        <w:rPr>
          <w:spacing w:val="-2"/>
          <w:sz w:val="20"/>
          <w:szCs w:val="20"/>
        </w:rPr>
        <w:t>高软件的时间与空间效率。提高存储效率的关键是程序的简单化。</w:t>
      </w:r>
    </w:p>
    <w:p w14:paraId="3F1C572F">
      <w:pPr>
        <w:pStyle w:val="2"/>
        <w:spacing w:before="53" w:line="274" w:lineRule="auto"/>
        <w:ind w:right="262" w:firstLine="389"/>
        <w:rPr>
          <w:sz w:val="20"/>
          <w:szCs w:val="20"/>
        </w:rPr>
      </w:pPr>
      <w:r>
        <w:rPr>
          <w:rFonts w:ascii="Times New Roman" w:hAnsi="Times New Roman" w:eastAsia="Times New Roman" w:cs="Times New Roman"/>
          <w:spacing w:val="6"/>
          <w:sz w:val="20"/>
          <w:szCs w:val="20"/>
        </w:rPr>
        <w:t>(4)I/O</w:t>
      </w:r>
      <w:r>
        <w:rPr>
          <w:rFonts w:ascii="Times New Roman" w:hAnsi="Times New Roman" w:eastAsia="Times New Roman" w:cs="Times New Roman"/>
          <w:spacing w:val="20"/>
          <w:sz w:val="20"/>
          <w:szCs w:val="20"/>
        </w:rPr>
        <w:t xml:space="preserve">   </w:t>
      </w:r>
      <w:r>
        <w:rPr>
          <w:spacing w:val="6"/>
          <w:sz w:val="20"/>
          <w:szCs w:val="20"/>
        </w:rPr>
        <w:t>效率：</w:t>
      </w:r>
      <w:r>
        <w:rPr>
          <w:rFonts w:ascii="Times New Roman" w:hAnsi="Times New Roman" w:eastAsia="Times New Roman" w:cs="Times New Roman"/>
          <w:spacing w:val="6"/>
          <w:sz w:val="20"/>
          <w:szCs w:val="20"/>
        </w:rPr>
        <w:t xml:space="preserve">I/O  </w:t>
      </w:r>
      <w:r>
        <w:rPr>
          <w:spacing w:val="6"/>
          <w:sz w:val="20"/>
          <w:szCs w:val="20"/>
        </w:rPr>
        <w:t>(输入/输出)可以分为两种类型，</w:t>
      </w:r>
      <w:r>
        <w:rPr>
          <w:spacing w:val="74"/>
          <w:sz w:val="20"/>
          <w:szCs w:val="20"/>
        </w:rPr>
        <w:t xml:space="preserve"> </w:t>
      </w:r>
      <w:r>
        <w:rPr>
          <w:spacing w:val="6"/>
          <w:sz w:val="20"/>
          <w:szCs w:val="20"/>
        </w:rPr>
        <w:t>一种是面向人(操作人员)的输入/</w:t>
      </w:r>
      <w:r>
        <w:rPr>
          <w:sz w:val="20"/>
          <w:szCs w:val="20"/>
        </w:rPr>
        <w:t xml:space="preserve"> </w:t>
      </w:r>
      <w:r>
        <w:rPr>
          <w:spacing w:val="6"/>
          <w:sz w:val="20"/>
          <w:szCs w:val="20"/>
        </w:rPr>
        <w:t>输出；另一种是面向设备的输入/输出。如果操作人员能够十分方便、简单</w:t>
      </w:r>
      <w:r>
        <w:rPr>
          <w:spacing w:val="5"/>
          <w:sz w:val="20"/>
          <w:szCs w:val="20"/>
        </w:rPr>
        <w:t>地输入数据，或者</w:t>
      </w:r>
      <w:r>
        <w:rPr>
          <w:sz w:val="20"/>
          <w:szCs w:val="20"/>
        </w:rPr>
        <w:t xml:space="preserve"> </w:t>
      </w:r>
      <w:r>
        <w:rPr>
          <w:spacing w:val="6"/>
          <w:sz w:val="20"/>
          <w:szCs w:val="20"/>
        </w:rPr>
        <w:t>能够十分直观、一目了然地了解输出信息，则可以说面</w:t>
      </w:r>
      <w:r>
        <w:rPr>
          <w:spacing w:val="5"/>
          <w:sz w:val="20"/>
          <w:szCs w:val="20"/>
        </w:rPr>
        <w:t>向人的输入/输出是高效的。至于面向</w:t>
      </w:r>
      <w:r>
        <w:rPr>
          <w:sz w:val="20"/>
          <w:szCs w:val="20"/>
        </w:rPr>
        <w:t xml:space="preserve"> 设备的输入/输出，主要考虑设备本身的性能特性。</w:t>
      </w:r>
    </w:p>
    <w:p w14:paraId="2D453A79">
      <w:pPr>
        <w:pStyle w:val="2"/>
        <w:spacing w:before="159" w:line="221" w:lineRule="auto"/>
        <w:ind w:left="392"/>
        <w:rPr>
          <w:rFonts w:ascii="黑体" w:hAnsi="黑体" w:eastAsia="黑体" w:cs="黑体"/>
          <w:sz w:val="20"/>
          <w:szCs w:val="20"/>
        </w:rPr>
      </w:pPr>
      <w:r>
        <w:rPr>
          <w:b/>
          <w:bCs/>
          <w:color w:val="005BD4"/>
          <w:spacing w:val="1"/>
          <w:sz w:val="20"/>
          <w:szCs w:val="20"/>
        </w:rPr>
        <w:t>2.</w:t>
      </w:r>
      <w:r>
        <w:rPr>
          <w:rFonts w:ascii="黑体" w:hAnsi="黑体" w:eastAsia="黑体" w:cs="黑体"/>
          <w:b/>
          <w:bCs/>
          <w:color w:val="005BD4"/>
          <w:spacing w:val="1"/>
          <w:sz w:val="20"/>
          <w:szCs w:val="20"/>
        </w:rPr>
        <w:t>软件测试</w:t>
      </w:r>
    </w:p>
    <w:p w14:paraId="666F2A96">
      <w:pPr>
        <w:pStyle w:val="2"/>
        <w:spacing w:before="126" w:line="281" w:lineRule="auto"/>
        <w:ind w:right="268" w:firstLine="389"/>
        <w:rPr>
          <w:rFonts w:ascii="Times New Roman" w:hAnsi="Times New Roman" w:eastAsia="Times New Roman" w:cs="Times New Roman"/>
          <w:sz w:val="20"/>
          <w:szCs w:val="20"/>
        </w:rPr>
      </w:pPr>
      <w:r>
        <w:rPr>
          <w:spacing w:val="4"/>
          <w:sz w:val="20"/>
          <w:szCs w:val="20"/>
        </w:rPr>
        <w:t>软件测试是在将软件交付给客户之前所必须完成的重要步</w:t>
      </w:r>
      <w:r>
        <w:rPr>
          <w:spacing w:val="3"/>
          <w:sz w:val="20"/>
          <w:szCs w:val="20"/>
        </w:rPr>
        <w:t>骤。目前，软件的正确性证明问</w:t>
      </w:r>
      <w:r>
        <w:rPr>
          <w:sz w:val="20"/>
          <w:szCs w:val="20"/>
        </w:rPr>
        <w:t xml:space="preserve"> </w:t>
      </w:r>
      <w:r>
        <w:rPr>
          <w:spacing w:val="6"/>
          <w:sz w:val="20"/>
          <w:szCs w:val="20"/>
        </w:rPr>
        <w:t>题尚未得到根本的解决，软件测试仍是发现软件错误(缺陷)的主要手段。根据国家标</w:t>
      </w:r>
      <w:r>
        <w:rPr>
          <w:spacing w:val="5"/>
          <w:sz w:val="20"/>
          <w:szCs w:val="20"/>
        </w:rPr>
        <w:t>准</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/T</w:t>
      </w:r>
    </w:p>
    <w:p w14:paraId="3FA5A5F1">
      <w:pPr>
        <w:spacing w:line="281" w:lineRule="auto"/>
        <w:rPr>
          <w:rFonts w:ascii="Times New Roman" w:hAnsi="Times New Roman" w:eastAsia="Times New Roman" w:cs="Times New Roman"/>
          <w:sz w:val="20"/>
          <w:szCs w:val="20"/>
        </w:rPr>
        <w:sectPr>
          <w:pgSz w:w="10300" w:h="13300"/>
          <w:pgMar w:top="400" w:right="548" w:bottom="400" w:left="1149" w:header="0" w:footer="0" w:gutter="0"/>
          <w:cols w:space="720" w:num="1"/>
        </w:sectPr>
      </w:pPr>
    </w:p>
    <w:p w14:paraId="5C6CB2A8">
      <w:pPr>
        <w:pStyle w:val="2"/>
        <w:spacing w:before="87" w:line="215" w:lineRule="auto"/>
        <w:rPr>
          <w:sz w:val="20"/>
          <w:szCs w:val="20"/>
        </w:rPr>
      </w:pPr>
      <w:r>
        <w:rPr>
          <w:rFonts w:ascii="Times New Roman" w:hAnsi="Times New Roman" w:eastAsia="Times New Roman" w:cs="Times New Roman"/>
          <w:spacing w:val="-4"/>
          <w:position w:val="2"/>
          <w:sz w:val="20"/>
          <w:szCs w:val="20"/>
        </w:rPr>
        <w:t>64</w:t>
      </w:r>
      <w:r>
        <w:rPr>
          <w:rFonts w:ascii="Times New Roman" w:hAnsi="Times New Roman" w:eastAsia="Times New Roman" w:cs="Times New Roman"/>
          <w:spacing w:val="2"/>
          <w:position w:val="2"/>
          <w:sz w:val="20"/>
          <w:szCs w:val="20"/>
        </w:rPr>
        <w:t xml:space="preserve">              </w:t>
      </w:r>
      <w:r>
        <w:rPr>
          <w:spacing w:val="-4"/>
          <w:sz w:val="20"/>
          <w:szCs w:val="20"/>
        </w:rPr>
        <w:t>信息系统监理师教程(第2版)</w:t>
      </w:r>
    </w:p>
    <w:p w14:paraId="0F41A484">
      <w:pPr>
        <w:spacing w:line="321" w:lineRule="auto"/>
        <w:rPr>
          <w:rFonts w:ascii="Arial"/>
          <w:sz w:val="21"/>
        </w:rPr>
      </w:pPr>
    </w:p>
    <w:p w14:paraId="6C15179C">
      <w:pPr>
        <w:pStyle w:val="2"/>
        <w:spacing w:before="65" w:line="287" w:lineRule="auto"/>
        <w:ind w:left="289" w:right="90"/>
        <w:jc w:val="both"/>
        <w:rPr>
          <w:sz w:val="20"/>
          <w:szCs w:val="20"/>
        </w:rPr>
      </w:pPr>
      <w:r>
        <w:rPr>
          <w:spacing w:val="3"/>
          <w:sz w:val="20"/>
          <w:szCs w:val="20"/>
        </w:rPr>
        <w:t>15532《计算机软件测试规范》,软件测试的目的是验证软件是否满足软件开发合同或项目开发</w:t>
      </w:r>
      <w:r>
        <w:rPr>
          <w:spacing w:val="6"/>
          <w:sz w:val="20"/>
          <w:szCs w:val="20"/>
        </w:rPr>
        <w:t xml:space="preserve"> </w:t>
      </w:r>
      <w:r>
        <w:rPr>
          <w:spacing w:val="1"/>
          <w:sz w:val="20"/>
          <w:szCs w:val="20"/>
        </w:rPr>
        <w:t>计划、系统/子系统设计文档、</w:t>
      </w:r>
      <w:r>
        <w:rPr>
          <w:spacing w:val="-60"/>
          <w:sz w:val="20"/>
          <w:szCs w:val="20"/>
        </w:rPr>
        <w:t xml:space="preserve"> </w:t>
      </w:r>
      <w:r>
        <w:rPr>
          <w:sz w:val="20"/>
          <w:szCs w:val="20"/>
        </w:rPr>
        <w:t>SRS</w:t>
      </w:r>
      <w:r>
        <w:rPr>
          <w:spacing w:val="1"/>
          <w:sz w:val="20"/>
          <w:szCs w:val="20"/>
        </w:rPr>
        <w:t>、</w:t>
      </w:r>
      <w:r>
        <w:rPr>
          <w:spacing w:val="-32"/>
          <w:sz w:val="20"/>
          <w:szCs w:val="20"/>
        </w:rPr>
        <w:t xml:space="preserve"> </w:t>
      </w:r>
      <w:r>
        <w:rPr>
          <w:spacing w:val="1"/>
          <w:sz w:val="20"/>
          <w:szCs w:val="20"/>
        </w:rPr>
        <w:t>软件设计说明和软件产品说明</w:t>
      </w:r>
      <w:r>
        <w:rPr>
          <w:sz w:val="20"/>
          <w:szCs w:val="20"/>
        </w:rPr>
        <w:t xml:space="preserve">等规定的软件质量要求。通 </w:t>
      </w:r>
      <w:r>
        <w:rPr>
          <w:spacing w:val="-2"/>
          <w:sz w:val="20"/>
          <w:szCs w:val="20"/>
        </w:rPr>
        <w:t>过测试发现软件缺陷，为软件产品的质量测量和评价提供依据。</w:t>
      </w:r>
    </w:p>
    <w:p w14:paraId="4A07BFD5">
      <w:pPr>
        <w:pStyle w:val="2"/>
        <w:spacing w:before="30" w:line="219" w:lineRule="auto"/>
        <w:ind w:left="689"/>
        <w:rPr>
          <w:sz w:val="20"/>
          <w:szCs w:val="20"/>
        </w:rPr>
      </w:pPr>
      <w:r>
        <w:rPr>
          <w:spacing w:val="-2"/>
          <w:sz w:val="20"/>
          <w:szCs w:val="20"/>
        </w:rPr>
        <w:t>软件测试方法可分为静态测试和动态测试。</w:t>
      </w:r>
    </w:p>
    <w:p w14:paraId="05813AFE">
      <w:pPr>
        <w:spacing w:before="155" w:line="229" w:lineRule="auto"/>
        <w:ind w:left="689"/>
        <w:rPr>
          <w:rFonts w:ascii="楷体" w:hAnsi="楷体" w:eastAsia="楷体" w:cs="楷体"/>
          <w:sz w:val="20"/>
          <w:szCs w:val="20"/>
        </w:rPr>
      </w:pPr>
      <w:r>
        <w:rPr>
          <w:rFonts w:ascii="楷体" w:hAnsi="楷体" w:eastAsia="楷体" w:cs="楷体"/>
          <w:spacing w:val="18"/>
          <w:sz w:val="20"/>
          <w:szCs w:val="20"/>
        </w:rPr>
        <w:t>1)静态测试</w:t>
      </w:r>
    </w:p>
    <w:p w14:paraId="788A8500">
      <w:pPr>
        <w:pStyle w:val="2"/>
        <w:spacing w:before="59" w:line="290" w:lineRule="auto"/>
        <w:ind w:left="289" w:right="84" w:firstLine="400"/>
        <w:rPr>
          <w:sz w:val="20"/>
          <w:szCs w:val="20"/>
        </w:rPr>
      </w:pPr>
      <w:r>
        <w:rPr>
          <w:spacing w:val="2"/>
          <w:sz w:val="20"/>
          <w:szCs w:val="20"/>
        </w:rPr>
        <w:t>静态测试是指被测试程序不在机器上运行，而采用人工检测和计算机辅助静态分析的手段</w:t>
      </w:r>
      <w:r>
        <w:rPr>
          <w:spacing w:val="18"/>
          <w:sz w:val="20"/>
          <w:szCs w:val="20"/>
        </w:rPr>
        <w:t xml:space="preserve"> </w:t>
      </w:r>
      <w:r>
        <w:rPr>
          <w:spacing w:val="3"/>
          <w:sz w:val="20"/>
          <w:szCs w:val="20"/>
        </w:rPr>
        <w:t>对程序进行检测，用于在不运行代码的情况下检查和评估程序、文档或源代码。静态测试通过</w:t>
      </w:r>
      <w:r>
        <w:rPr>
          <w:spacing w:val="13"/>
          <w:sz w:val="20"/>
          <w:szCs w:val="20"/>
        </w:rPr>
        <w:t xml:space="preserve"> </w:t>
      </w:r>
      <w:r>
        <w:rPr>
          <w:spacing w:val="3"/>
          <w:sz w:val="20"/>
          <w:szCs w:val="20"/>
        </w:rPr>
        <w:t>分析和评审来发现潜在的缺陷、错误或不符合</w:t>
      </w:r>
      <w:r>
        <w:rPr>
          <w:spacing w:val="2"/>
          <w:sz w:val="20"/>
          <w:szCs w:val="20"/>
        </w:rPr>
        <w:t>要求的地方，从而提前修复这些问题，降低后期</w:t>
      </w:r>
      <w:r>
        <w:rPr>
          <w:sz w:val="20"/>
          <w:szCs w:val="20"/>
        </w:rPr>
        <w:t xml:space="preserve"> </w:t>
      </w:r>
      <w:r>
        <w:rPr>
          <w:spacing w:val="4"/>
          <w:sz w:val="20"/>
          <w:szCs w:val="20"/>
        </w:rPr>
        <w:t>修改成本。相较于动态测试，静态测试可以更早</w:t>
      </w:r>
      <w:r>
        <w:rPr>
          <w:spacing w:val="3"/>
          <w:sz w:val="20"/>
          <w:szCs w:val="20"/>
        </w:rPr>
        <w:t>地发现问题，并且具有成本更低、效率更高的</w:t>
      </w:r>
      <w:r>
        <w:rPr>
          <w:sz w:val="20"/>
          <w:szCs w:val="20"/>
        </w:rPr>
        <w:t xml:space="preserve"> </w:t>
      </w:r>
      <w:r>
        <w:rPr>
          <w:spacing w:val="8"/>
          <w:sz w:val="20"/>
          <w:szCs w:val="20"/>
        </w:rPr>
        <w:t>特点。经验表明，静态测试能够有效地发现3</w:t>
      </w:r>
      <w:r>
        <w:rPr>
          <w:spacing w:val="7"/>
          <w:sz w:val="20"/>
          <w:szCs w:val="20"/>
        </w:rPr>
        <w:t>0%～70%的逻辑设计和编码错误。</w:t>
      </w:r>
    </w:p>
    <w:p w14:paraId="77941C12">
      <w:pPr>
        <w:pStyle w:val="2"/>
        <w:spacing w:before="38" w:line="278" w:lineRule="auto"/>
        <w:ind w:left="289" w:right="84" w:firstLine="400"/>
        <w:rPr>
          <w:sz w:val="20"/>
          <w:szCs w:val="20"/>
        </w:rPr>
      </w:pPr>
      <w:r>
        <w:rPr>
          <w:spacing w:val="4"/>
          <w:sz w:val="20"/>
          <w:szCs w:val="20"/>
        </w:rPr>
        <w:t>静态测试包括对文档的静态测试和对代码的静态测试。对文档</w:t>
      </w:r>
      <w:r>
        <w:rPr>
          <w:spacing w:val="3"/>
          <w:sz w:val="20"/>
          <w:szCs w:val="20"/>
        </w:rPr>
        <w:t>的静态测试主要以检查单的</w:t>
      </w:r>
      <w:r>
        <w:rPr>
          <w:sz w:val="20"/>
          <w:szCs w:val="20"/>
        </w:rPr>
        <w:t xml:space="preserve"> </w:t>
      </w:r>
      <w:r>
        <w:rPr>
          <w:spacing w:val="3"/>
          <w:sz w:val="20"/>
          <w:szCs w:val="20"/>
        </w:rPr>
        <w:t>形式进行文档审查，对代码的静态测试一般采用桌前检查、代码走查、代码审查和静态分析工</w:t>
      </w:r>
      <w:r>
        <w:rPr>
          <w:spacing w:val="16"/>
          <w:sz w:val="20"/>
          <w:szCs w:val="20"/>
        </w:rPr>
        <w:t xml:space="preserve"> </w:t>
      </w:r>
      <w:r>
        <w:rPr>
          <w:spacing w:val="-4"/>
          <w:sz w:val="20"/>
          <w:szCs w:val="20"/>
        </w:rPr>
        <w:t>具等方法。</w:t>
      </w:r>
    </w:p>
    <w:p w14:paraId="638A5A18">
      <w:pPr>
        <w:pStyle w:val="2"/>
        <w:spacing w:before="27" w:line="219" w:lineRule="auto"/>
        <w:ind w:left="689"/>
        <w:rPr>
          <w:sz w:val="20"/>
          <w:szCs w:val="20"/>
        </w:rPr>
      </w:pPr>
      <w:r>
        <w:rPr>
          <w:spacing w:val="-4"/>
          <w:sz w:val="20"/>
          <w:szCs w:val="20"/>
        </w:rPr>
        <w:t>静态测试主要包括以下几种方法：</w:t>
      </w:r>
    </w:p>
    <w:p w14:paraId="00F06391">
      <w:pPr>
        <w:pStyle w:val="2"/>
        <w:spacing w:before="72" w:line="270" w:lineRule="auto"/>
        <w:ind w:left="289" w:right="84" w:firstLine="400"/>
        <w:rPr>
          <w:sz w:val="20"/>
          <w:szCs w:val="20"/>
        </w:rPr>
      </w:pPr>
      <w:r>
        <w:rPr>
          <w:spacing w:val="6"/>
          <w:sz w:val="20"/>
          <w:szCs w:val="20"/>
        </w:rPr>
        <w:t>(1)桌前检查：又称为纸上审查，是一种通过人工模拟程序执行来检查算法正确</w:t>
      </w:r>
      <w:r>
        <w:rPr>
          <w:spacing w:val="5"/>
          <w:sz w:val="20"/>
          <w:szCs w:val="20"/>
        </w:rPr>
        <w:t>性和逻辑</w:t>
      </w:r>
      <w:r>
        <w:rPr>
          <w:sz w:val="20"/>
          <w:szCs w:val="20"/>
        </w:rPr>
        <w:t xml:space="preserve"> </w:t>
      </w:r>
      <w:r>
        <w:rPr>
          <w:spacing w:val="3"/>
          <w:sz w:val="20"/>
          <w:szCs w:val="20"/>
        </w:rPr>
        <w:t>流程的方法。在桌前检查中，开发人员或测试人员会逐步模拟程序的执行，检查每个步骤的输</w:t>
      </w:r>
      <w:r>
        <w:rPr>
          <w:spacing w:val="13"/>
          <w:sz w:val="20"/>
          <w:szCs w:val="20"/>
        </w:rPr>
        <w:t xml:space="preserve"> </w:t>
      </w:r>
      <w:r>
        <w:rPr>
          <w:spacing w:val="4"/>
          <w:sz w:val="20"/>
          <w:szCs w:val="20"/>
        </w:rPr>
        <w:t>入、处理和输出是否符合预期。桌前检查有助于</w:t>
      </w:r>
      <w:r>
        <w:rPr>
          <w:spacing w:val="3"/>
          <w:sz w:val="20"/>
          <w:szCs w:val="20"/>
        </w:rPr>
        <w:t>发现潜在问题，验证设计方案的有效性，并确</w:t>
      </w:r>
      <w:r>
        <w:rPr>
          <w:sz w:val="20"/>
          <w:szCs w:val="20"/>
        </w:rPr>
        <w:t xml:space="preserve"> </w:t>
      </w:r>
      <w:r>
        <w:rPr>
          <w:spacing w:val="-4"/>
          <w:sz w:val="20"/>
          <w:szCs w:val="20"/>
        </w:rPr>
        <w:t>保软件满足需求规格。</w:t>
      </w:r>
    </w:p>
    <w:p w14:paraId="4379EA22">
      <w:pPr>
        <w:pStyle w:val="2"/>
        <w:spacing w:before="92" w:line="264" w:lineRule="auto"/>
        <w:ind w:left="289" w:right="39" w:firstLine="400"/>
        <w:rPr>
          <w:sz w:val="20"/>
          <w:szCs w:val="20"/>
        </w:rPr>
      </w:pPr>
      <w:r>
        <w:rPr>
          <w:spacing w:val="6"/>
          <w:sz w:val="20"/>
          <w:szCs w:val="20"/>
        </w:rPr>
        <w:t>(2)代码走查：是一种结构化的代码审查过程，通常在开发人员之间进行，目的是找出代</w:t>
      </w:r>
      <w:r>
        <w:rPr>
          <w:sz w:val="20"/>
          <w:szCs w:val="20"/>
        </w:rPr>
        <w:t xml:space="preserve"> </w:t>
      </w:r>
      <w:r>
        <w:rPr>
          <w:spacing w:val="5"/>
          <w:sz w:val="20"/>
          <w:szCs w:val="20"/>
        </w:rPr>
        <w:t>码中的逻辑错误、语法错误、编码风格问题等。在代码走</w:t>
      </w:r>
      <w:r>
        <w:rPr>
          <w:spacing w:val="4"/>
          <w:sz w:val="20"/>
          <w:szCs w:val="20"/>
        </w:rPr>
        <w:t>查过程中，参与者会逐行检查代码，</w:t>
      </w:r>
      <w:r>
        <w:rPr>
          <w:sz w:val="20"/>
          <w:szCs w:val="20"/>
        </w:rPr>
        <w:t xml:space="preserve"> </w:t>
      </w:r>
      <w:r>
        <w:rPr>
          <w:spacing w:val="-2"/>
          <w:sz w:val="20"/>
          <w:szCs w:val="20"/>
        </w:rPr>
        <w:t>分析其执行流程，并确保代码符合项目的设计要求和编码规范。</w:t>
      </w:r>
    </w:p>
    <w:p w14:paraId="2A5DBFDE">
      <w:pPr>
        <w:pStyle w:val="2"/>
        <w:spacing w:before="83" w:line="257" w:lineRule="auto"/>
        <w:ind w:left="289" w:firstLine="400"/>
        <w:rPr>
          <w:sz w:val="20"/>
          <w:szCs w:val="20"/>
        </w:rPr>
      </w:pPr>
      <w:r>
        <w:rPr>
          <w:spacing w:val="8"/>
          <w:sz w:val="20"/>
          <w:szCs w:val="20"/>
        </w:rPr>
        <w:t xml:space="preserve">(3)代码审查：开发人员或专家对源代码进行审查，以发现编程错误、命名规范不一致、 </w:t>
      </w:r>
      <w:r>
        <w:rPr>
          <w:spacing w:val="-4"/>
          <w:sz w:val="20"/>
          <w:szCs w:val="20"/>
        </w:rPr>
        <w:t>代码风格等问题。</w:t>
      </w:r>
    </w:p>
    <w:p w14:paraId="4712ED42">
      <w:pPr>
        <w:pStyle w:val="2"/>
        <w:spacing w:before="82" w:line="253" w:lineRule="auto"/>
        <w:ind w:left="289" w:right="88" w:firstLine="400"/>
        <w:rPr>
          <w:sz w:val="20"/>
          <w:szCs w:val="20"/>
        </w:rPr>
      </w:pPr>
      <w:r>
        <w:rPr>
          <w:spacing w:val="6"/>
          <w:sz w:val="20"/>
          <w:szCs w:val="20"/>
        </w:rPr>
        <w:t>(4)静态分析工具：使用自动化工具对源代码进行扫描和检查，可以发现潜在的缺陷、安</w:t>
      </w:r>
      <w:r>
        <w:rPr>
          <w:sz w:val="20"/>
          <w:szCs w:val="20"/>
        </w:rPr>
        <w:t xml:space="preserve"> </w:t>
      </w:r>
      <w:r>
        <w:rPr>
          <w:spacing w:val="-4"/>
          <w:sz w:val="20"/>
          <w:szCs w:val="20"/>
        </w:rPr>
        <w:t>全漏洞、性能问题等。</w:t>
      </w:r>
    </w:p>
    <w:p w14:paraId="2E5C4D6B">
      <w:pPr>
        <w:pStyle w:val="2"/>
        <w:spacing w:before="61" w:line="263" w:lineRule="auto"/>
        <w:ind w:left="289" w:right="92" w:firstLine="400"/>
        <w:rPr>
          <w:sz w:val="20"/>
          <w:szCs w:val="20"/>
        </w:rPr>
      </w:pPr>
      <w:r>
        <w:rPr>
          <w:spacing w:val="6"/>
          <w:sz w:val="20"/>
          <w:szCs w:val="20"/>
        </w:rPr>
        <w:t>(5)文档审查：对需求文档、设计文档等相关软件文档进行审查，确保其准确、</w:t>
      </w:r>
      <w:r>
        <w:rPr>
          <w:spacing w:val="5"/>
          <w:sz w:val="20"/>
          <w:szCs w:val="20"/>
        </w:rPr>
        <w:t>完整和符</w:t>
      </w:r>
      <w:r>
        <w:rPr>
          <w:sz w:val="20"/>
          <w:szCs w:val="20"/>
        </w:rPr>
        <w:t xml:space="preserve"> </w:t>
      </w:r>
      <w:r>
        <w:rPr>
          <w:spacing w:val="-8"/>
          <w:sz w:val="20"/>
          <w:szCs w:val="20"/>
        </w:rPr>
        <w:t>合标准。</w:t>
      </w:r>
    </w:p>
    <w:p w14:paraId="311E86A0">
      <w:pPr>
        <w:pStyle w:val="2"/>
        <w:spacing w:before="60" w:line="282" w:lineRule="auto"/>
        <w:ind w:left="289" w:right="82" w:firstLine="400"/>
        <w:rPr>
          <w:sz w:val="20"/>
          <w:szCs w:val="20"/>
        </w:rPr>
      </w:pPr>
      <w:r>
        <w:rPr>
          <w:spacing w:val="4"/>
          <w:sz w:val="20"/>
          <w:szCs w:val="20"/>
        </w:rPr>
        <w:t>总之，静态测试是软件开发过程中的重要环节，有助于提高软件质</w:t>
      </w:r>
      <w:r>
        <w:rPr>
          <w:spacing w:val="3"/>
          <w:sz w:val="20"/>
          <w:szCs w:val="20"/>
        </w:rPr>
        <w:t>量、降低风险以及减少</w:t>
      </w:r>
      <w:r>
        <w:rPr>
          <w:sz w:val="20"/>
          <w:szCs w:val="20"/>
        </w:rPr>
        <w:t xml:space="preserve"> </w:t>
      </w:r>
      <w:r>
        <w:rPr>
          <w:spacing w:val="-2"/>
          <w:sz w:val="20"/>
          <w:szCs w:val="20"/>
        </w:rPr>
        <w:t>后期维护成本。</w:t>
      </w:r>
    </w:p>
    <w:p w14:paraId="5C86AF5E">
      <w:pPr>
        <w:spacing w:before="96" w:line="232" w:lineRule="auto"/>
        <w:ind w:left="689"/>
        <w:rPr>
          <w:rFonts w:ascii="楷体" w:hAnsi="楷体" w:eastAsia="楷体" w:cs="楷体"/>
          <w:sz w:val="20"/>
          <w:szCs w:val="20"/>
        </w:rPr>
      </w:pPr>
      <w:r>
        <w:rPr>
          <w:rFonts w:ascii="楷体" w:hAnsi="楷体" w:eastAsia="楷体" w:cs="楷体"/>
          <w:spacing w:val="18"/>
          <w:sz w:val="20"/>
          <w:szCs w:val="20"/>
        </w:rPr>
        <w:t>2)动态测试</w:t>
      </w:r>
    </w:p>
    <w:p w14:paraId="25F8B05B">
      <w:pPr>
        <w:pStyle w:val="2"/>
        <w:spacing w:before="32" w:line="219" w:lineRule="auto"/>
        <w:ind w:left="689"/>
        <w:rPr>
          <w:sz w:val="20"/>
          <w:szCs w:val="20"/>
        </w:rPr>
      </w:pPr>
      <w:r>
        <w:rPr>
          <w:spacing w:val="-1"/>
          <w:sz w:val="20"/>
          <w:szCs w:val="20"/>
        </w:rPr>
        <w:t>动态测试是指在计算机上实际运行程序进行软件测试，一般采用白盒测试和黑盒测试。</w:t>
      </w:r>
    </w:p>
    <w:p w14:paraId="33928A0F">
      <w:pPr>
        <w:pStyle w:val="2"/>
        <w:spacing w:before="73" w:line="281" w:lineRule="auto"/>
        <w:ind w:left="289" w:firstLine="450"/>
        <w:rPr>
          <w:sz w:val="20"/>
          <w:szCs w:val="20"/>
        </w:rPr>
      </w:pPr>
      <w:r>
        <w:rPr>
          <w:spacing w:val="2"/>
          <w:sz w:val="20"/>
          <w:szCs w:val="20"/>
        </w:rPr>
        <w:t>白盒测试也称为结构测试、透明盒测试或代码覆盖测试。在这种测试中，测试人员对软件</w:t>
      </w:r>
      <w:r>
        <w:rPr>
          <w:spacing w:val="4"/>
          <w:sz w:val="20"/>
          <w:szCs w:val="20"/>
        </w:rPr>
        <w:t xml:space="preserve">  </w:t>
      </w:r>
      <w:r>
        <w:rPr>
          <w:spacing w:val="3"/>
          <w:sz w:val="20"/>
          <w:szCs w:val="20"/>
        </w:rPr>
        <w:t>内部结构和实现细节有详细的了解，可以根据代码逻辑和程序设计来创建测试用例，以确保程</w:t>
      </w:r>
      <w:r>
        <w:rPr>
          <w:spacing w:val="6"/>
          <w:sz w:val="20"/>
          <w:szCs w:val="20"/>
        </w:rPr>
        <w:t xml:space="preserve">  序能够按预期处理各种输入和边界条件。白盒测试的</w:t>
      </w:r>
      <w:r>
        <w:rPr>
          <w:spacing w:val="5"/>
          <w:sz w:val="20"/>
          <w:szCs w:val="20"/>
        </w:rPr>
        <w:t>目标是验证软件内部的逻辑流程和结构，</w:t>
      </w:r>
      <w:r>
        <w:rPr>
          <w:sz w:val="20"/>
          <w:szCs w:val="20"/>
        </w:rPr>
        <w:t xml:space="preserve"> </w:t>
      </w:r>
      <w:r>
        <w:rPr>
          <w:spacing w:val="3"/>
          <w:sz w:val="20"/>
          <w:szCs w:val="20"/>
        </w:rPr>
        <w:t>从而发现程序中可能存在的错误或不足之处。白盒测试的主要优点是可以检查程序内部的逻辑</w:t>
      </w:r>
      <w:r>
        <w:rPr>
          <w:spacing w:val="6"/>
          <w:sz w:val="20"/>
          <w:szCs w:val="20"/>
        </w:rPr>
        <w:t xml:space="preserve">  </w:t>
      </w:r>
      <w:r>
        <w:rPr>
          <w:spacing w:val="3"/>
          <w:sz w:val="20"/>
          <w:szCs w:val="20"/>
        </w:rPr>
        <w:t>和结构，并且可以更容易地找到潜在问题。然而，它的缺点是时间消耗较大，因为需要深入分</w:t>
      </w:r>
    </w:p>
    <w:p w14:paraId="6AB9F40C">
      <w:pPr>
        <w:spacing w:line="281" w:lineRule="auto"/>
        <w:rPr>
          <w:sz w:val="20"/>
          <w:szCs w:val="20"/>
        </w:rPr>
        <w:sectPr>
          <w:pgSz w:w="10310" w:h="13410"/>
          <w:pgMar w:top="400" w:right="1060" w:bottom="400" w:left="530" w:header="0" w:footer="0" w:gutter="0"/>
          <w:cols w:space="720" w:num="1"/>
        </w:sectPr>
      </w:pPr>
    </w:p>
    <w:p w14:paraId="3FB924A7">
      <w:pPr>
        <w:pStyle w:val="2"/>
        <w:spacing w:before="76" w:line="219" w:lineRule="auto"/>
        <w:jc w:val="right"/>
        <w:rPr>
          <w:rFonts w:ascii="Times New Roman" w:hAnsi="Times New Roman" w:eastAsia="Times New Roman" w:cs="Times New Roman"/>
          <w:sz w:val="19"/>
          <w:szCs w:val="19"/>
        </w:rPr>
      </w:pPr>
      <w:r>
        <w:rPr>
          <w:spacing w:val="14"/>
          <w:sz w:val="19"/>
          <w:szCs w:val="19"/>
        </w:rPr>
        <w:t>第2章信息系统工程</w:t>
      </w:r>
      <w:r>
        <w:rPr>
          <w:spacing w:val="3"/>
          <w:sz w:val="19"/>
          <w:szCs w:val="19"/>
        </w:rPr>
        <w:t xml:space="preserve">       </w:t>
      </w:r>
      <w:r>
        <w:rPr>
          <w:rFonts w:ascii="Times New Roman" w:hAnsi="Times New Roman" w:eastAsia="Times New Roman" w:cs="Times New Roman"/>
          <w:spacing w:val="14"/>
          <w:sz w:val="19"/>
          <w:szCs w:val="19"/>
        </w:rPr>
        <w:t>65</w:t>
      </w:r>
    </w:p>
    <w:p w14:paraId="5111986B">
      <w:pPr>
        <w:spacing w:line="322" w:lineRule="auto"/>
        <w:rPr>
          <w:rFonts w:ascii="Arial"/>
          <w:sz w:val="21"/>
        </w:rPr>
      </w:pPr>
    </w:p>
    <w:p w14:paraId="64967F92">
      <w:pPr>
        <w:pStyle w:val="2"/>
        <w:spacing w:before="62" w:line="219" w:lineRule="auto"/>
        <w:rPr>
          <w:sz w:val="19"/>
          <w:szCs w:val="19"/>
        </w:rPr>
      </w:pPr>
      <w:r>
        <w:rPr>
          <w:spacing w:val="8"/>
          <w:sz w:val="19"/>
          <w:szCs w:val="19"/>
        </w:rPr>
        <w:t>析源代码，并可能因过于关注细节而忽略用户体验和功能需求。</w:t>
      </w:r>
    </w:p>
    <w:p w14:paraId="34E3160D">
      <w:pPr>
        <w:pStyle w:val="2"/>
        <w:spacing w:before="92" w:line="297" w:lineRule="auto"/>
        <w:ind w:right="237" w:firstLine="440"/>
        <w:jc w:val="both"/>
        <w:rPr>
          <w:sz w:val="19"/>
          <w:szCs w:val="19"/>
        </w:rPr>
      </w:pPr>
      <w:r>
        <w:rPr>
          <w:spacing w:val="13"/>
          <w:sz w:val="19"/>
          <w:szCs w:val="19"/>
        </w:rPr>
        <w:t>黑盒测试又称为功能测试、数据驱动测试或规格测试。在这种测试</w:t>
      </w:r>
      <w:r>
        <w:rPr>
          <w:spacing w:val="12"/>
          <w:sz w:val="19"/>
          <w:szCs w:val="19"/>
        </w:rPr>
        <w:t>中，测试人员不关心软</w:t>
      </w:r>
      <w:r>
        <w:rPr>
          <w:sz w:val="19"/>
          <w:szCs w:val="19"/>
        </w:rPr>
        <w:t xml:space="preserve"> </w:t>
      </w:r>
      <w:r>
        <w:rPr>
          <w:spacing w:val="13"/>
          <w:sz w:val="19"/>
          <w:szCs w:val="19"/>
        </w:rPr>
        <w:t>件内部的实现细节，而是只关注程序的输入和输出结果。他们将软件看作一个黑盒子，通过提</w:t>
      </w:r>
      <w:r>
        <w:rPr>
          <w:spacing w:val="4"/>
          <w:sz w:val="19"/>
          <w:szCs w:val="19"/>
        </w:rPr>
        <w:t xml:space="preserve"> </w:t>
      </w:r>
      <w:r>
        <w:rPr>
          <w:spacing w:val="13"/>
          <w:sz w:val="19"/>
          <w:szCs w:val="19"/>
        </w:rPr>
        <w:t>供各种输入并观察输出结果，来确定程序是否按照预期工作。黑盒测试主要关注程序是否满足</w:t>
      </w:r>
      <w:r>
        <w:rPr>
          <w:spacing w:val="4"/>
          <w:sz w:val="19"/>
          <w:szCs w:val="19"/>
        </w:rPr>
        <w:t xml:space="preserve"> </w:t>
      </w:r>
      <w:r>
        <w:rPr>
          <w:spacing w:val="10"/>
          <w:sz w:val="19"/>
          <w:szCs w:val="19"/>
        </w:rPr>
        <w:t>功能需求和用户体验，而不关心其内部结构。黑盒测试的</w:t>
      </w:r>
      <w:r>
        <w:rPr>
          <w:spacing w:val="9"/>
          <w:sz w:val="19"/>
          <w:szCs w:val="19"/>
        </w:rPr>
        <w:t>主要优点是可以从用户角度发现问题，</w:t>
      </w:r>
      <w:r>
        <w:rPr>
          <w:sz w:val="19"/>
          <w:szCs w:val="19"/>
        </w:rPr>
        <w:t xml:space="preserve"> </w:t>
      </w:r>
      <w:r>
        <w:rPr>
          <w:spacing w:val="13"/>
          <w:sz w:val="19"/>
          <w:szCs w:val="19"/>
        </w:rPr>
        <w:t>并且相对于白盒测试更容易实施。然而，它的缺点是无法检查程序内部的逻辑和结构，可能会</w:t>
      </w:r>
      <w:r>
        <w:rPr>
          <w:spacing w:val="4"/>
          <w:sz w:val="19"/>
          <w:szCs w:val="19"/>
        </w:rPr>
        <w:t xml:space="preserve"> </w:t>
      </w:r>
      <w:r>
        <w:rPr>
          <w:spacing w:val="5"/>
          <w:sz w:val="19"/>
          <w:szCs w:val="19"/>
        </w:rPr>
        <w:t>漏掉一些潜在的错误。</w:t>
      </w:r>
    </w:p>
    <w:p w14:paraId="531F629B">
      <w:pPr>
        <w:pStyle w:val="2"/>
        <w:spacing w:before="48" w:line="307" w:lineRule="auto"/>
        <w:ind w:right="275" w:firstLine="440"/>
        <w:rPr>
          <w:sz w:val="19"/>
          <w:szCs w:val="19"/>
        </w:rPr>
      </w:pPr>
      <w:r>
        <w:rPr>
          <w:spacing w:val="13"/>
          <w:sz w:val="19"/>
          <w:szCs w:val="19"/>
        </w:rPr>
        <w:t>总之，白盒测试和黑盒测试各有优势和局限性，通常为了达到</w:t>
      </w:r>
      <w:r>
        <w:rPr>
          <w:spacing w:val="12"/>
          <w:sz w:val="19"/>
          <w:szCs w:val="19"/>
        </w:rPr>
        <w:t>较好的测试效果，两种方法</w:t>
      </w:r>
      <w:r>
        <w:rPr>
          <w:sz w:val="19"/>
          <w:szCs w:val="19"/>
        </w:rPr>
        <w:t xml:space="preserve"> </w:t>
      </w:r>
      <w:r>
        <w:rPr>
          <w:spacing w:val="2"/>
          <w:sz w:val="19"/>
          <w:szCs w:val="19"/>
        </w:rPr>
        <w:t>需要结合使用。</w:t>
      </w:r>
    </w:p>
    <w:p w14:paraId="683B8003">
      <w:pPr>
        <w:pStyle w:val="2"/>
        <w:spacing w:before="186" w:line="219" w:lineRule="auto"/>
        <w:ind w:left="2"/>
        <w:rPr>
          <w:sz w:val="25"/>
          <w:szCs w:val="25"/>
        </w:rPr>
      </w:pPr>
      <w:bookmarkStart w:id="515" w:name="bookmark502"/>
      <w:bookmarkEnd w:id="515"/>
      <w:r>
        <w:rPr>
          <w:b/>
          <w:bCs/>
          <w:color w:val="0070E0"/>
          <w:spacing w:val="-20"/>
          <w:sz w:val="25"/>
          <w:szCs w:val="25"/>
        </w:rPr>
        <w:t>2.3.5</w:t>
      </w:r>
      <w:r>
        <w:rPr>
          <w:color w:val="0070E0"/>
          <w:spacing w:val="98"/>
          <w:sz w:val="25"/>
          <w:szCs w:val="25"/>
        </w:rPr>
        <w:t xml:space="preserve"> </w:t>
      </w:r>
      <w:r>
        <w:rPr>
          <w:b/>
          <w:bCs/>
          <w:color w:val="0070E0"/>
          <w:spacing w:val="-20"/>
          <w:sz w:val="25"/>
          <w:szCs w:val="25"/>
        </w:rPr>
        <w:t>部署交付</w:t>
      </w:r>
    </w:p>
    <w:p w14:paraId="6C1B7920">
      <w:pPr>
        <w:pStyle w:val="2"/>
        <w:spacing w:before="144" w:line="297" w:lineRule="auto"/>
        <w:ind w:right="206" w:firstLine="440"/>
        <w:jc w:val="both"/>
        <w:rPr>
          <w:sz w:val="19"/>
          <w:szCs w:val="19"/>
        </w:rPr>
      </w:pPr>
      <w:r>
        <w:rPr>
          <w:spacing w:val="13"/>
          <w:sz w:val="19"/>
          <w:szCs w:val="19"/>
        </w:rPr>
        <w:t>软件开发完成后，必须部署在最终用户的正式运行环境中，交付给最</w:t>
      </w:r>
      <w:r>
        <w:rPr>
          <w:spacing w:val="12"/>
          <w:sz w:val="19"/>
          <w:szCs w:val="19"/>
        </w:rPr>
        <w:t>终用户使用，才能为</w:t>
      </w:r>
      <w:r>
        <w:rPr>
          <w:sz w:val="19"/>
          <w:szCs w:val="19"/>
        </w:rPr>
        <w:t xml:space="preserve"> </w:t>
      </w:r>
      <w:r>
        <w:rPr>
          <w:spacing w:val="13"/>
          <w:sz w:val="19"/>
          <w:szCs w:val="19"/>
        </w:rPr>
        <w:t>用户创造价值。传统的软件工程不包括软件部署与交付，但不断增长的软件复杂度和部署所面</w:t>
      </w:r>
      <w:r>
        <w:rPr>
          <w:spacing w:val="2"/>
          <w:sz w:val="19"/>
          <w:szCs w:val="19"/>
        </w:rPr>
        <w:t xml:space="preserve">  </w:t>
      </w:r>
      <w:r>
        <w:rPr>
          <w:spacing w:val="15"/>
          <w:sz w:val="19"/>
          <w:szCs w:val="19"/>
        </w:rPr>
        <w:t>临的风险，迫使人们开始关注软件部署。软件部署是一个复杂过程，包括从开发商发放产品，</w:t>
      </w:r>
      <w:r>
        <w:rPr>
          <w:spacing w:val="9"/>
          <w:sz w:val="19"/>
          <w:szCs w:val="19"/>
        </w:rPr>
        <w:t xml:space="preserve"> </w:t>
      </w:r>
      <w:r>
        <w:rPr>
          <w:spacing w:val="13"/>
          <w:sz w:val="19"/>
          <w:szCs w:val="19"/>
        </w:rPr>
        <w:t>到应用者在他们的计算机上实际安装并维护应用的所有活动。需求和市场的不断变化导致软件</w:t>
      </w:r>
      <w:r>
        <w:rPr>
          <w:spacing w:val="1"/>
          <w:sz w:val="19"/>
          <w:szCs w:val="19"/>
        </w:rPr>
        <w:t xml:space="preserve">  </w:t>
      </w:r>
      <w:r>
        <w:rPr>
          <w:spacing w:val="13"/>
          <w:sz w:val="19"/>
          <w:szCs w:val="19"/>
        </w:rPr>
        <w:t>的部署和交付不再是一个一劳永逸的过程，而是一个持续不断的过程，伴随在整个软件的开发</w:t>
      </w:r>
      <w:r>
        <w:rPr>
          <w:spacing w:val="1"/>
          <w:sz w:val="19"/>
          <w:szCs w:val="19"/>
        </w:rPr>
        <w:t xml:space="preserve">  </w:t>
      </w:r>
      <w:r>
        <w:rPr>
          <w:spacing w:val="6"/>
          <w:sz w:val="19"/>
          <w:szCs w:val="19"/>
        </w:rPr>
        <w:t>过程中。</w:t>
      </w:r>
    </w:p>
    <w:p w14:paraId="7CD745A3">
      <w:pPr>
        <w:pStyle w:val="2"/>
        <w:spacing w:before="184" w:line="222" w:lineRule="auto"/>
        <w:ind w:left="442"/>
        <w:rPr>
          <w:rFonts w:ascii="黑体" w:hAnsi="黑体" w:eastAsia="黑体" w:cs="黑体"/>
          <w:sz w:val="19"/>
          <w:szCs w:val="19"/>
        </w:rPr>
      </w:pPr>
      <w:r>
        <w:rPr>
          <w:b/>
          <w:bCs/>
          <w:color w:val="007BE7"/>
          <w:spacing w:val="6"/>
          <w:sz w:val="19"/>
          <w:szCs w:val="19"/>
        </w:rPr>
        <w:t>1.</w:t>
      </w:r>
      <w:r>
        <w:rPr>
          <w:rFonts w:ascii="黑体" w:hAnsi="黑体" w:eastAsia="黑体" w:cs="黑体"/>
          <w:b/>
          <w:bCs/>
          <w:color w:val="007BE7"/>
          <w:spacing w:val="6"/>
          <w:sz w:val="19"/>
          <w:szCs w:val="19"/>
        </w:rPr>
        <w:t>软件部署与交付</w:t>
      </w:r>
    </w:p>
    <w:p w14:paraId="69C698EF">
      <w:pPr>
        <w:pStyle w:val="2"/>
        <w:spacing w:before="122" w:line="295" w:lineRule="auto"/>
        <w:ind w:right="273" w:firstLine="440"/>
        <w:jc w:val="both"/>
        <w:rPr>
          <w:sz w:val="19"/>
          <w:szCs w:val="19"/>
        </w:rPr>
      </w:pPr>
      <w:r>
        <w:rPr>
          <w:spacing w:val="13"/>
          <w:sz w:val="19"/>
          <w:szCs w:val="19"/>
        </w:rPr>
        <w:t>软件部署与交付是软件生命周期中的一个重要环节，属于软件开</w:t>
      </w:r>
      <w:r>
        <w:rPr>
          <w:spacing w:val="12"/>
          <w:sz w:val="19"/>
          <w:szCs w:val="19"/>
        </w:rPr>
        <w:t>发的后期活动，即通过配</w:t>
      </w:r>
      <w:r>
        <w:rPr>
          <w:sz w:val="19"/>
          <w:szCs w:val="19"/>
        </w:rPr>
        <w:t xml:space="preserve"> </w:t>
      </w:r>
      <w:r>
        <w:rPr>
          <w:spacing w:val="13"/>
          <w:sz w:val="19"/>
          <w:szCs w:val="19"/>
        </w:rPr>
        <w:t>置、安装和激活等活动来保障软件制品的后续运行。部署技术影响着整个软件过程的运行效率</w:t>
      </w:r>
      <w:r>
        <w:rPr>
          <w:spacing w:val="4"/>
          <w:sz w:val="19"/>
          <w:szCs w:val="19"/>
        </w:rPr>
        <w:t xml:space="preserve"> </w:t>
      </w:r>
      <w:r>
        <w:rPr>
          <w:spacing w:val="13"/>
          <w:sz w:val="19"/>
          <w:szCs w:val="19"/>
        </w:rPr>
        <w:t>和投入成本，软件系统部署的管理代价占到整个软件管理开销的大部分。其中，软件配置过程</w:t>
      </w:r>
      <w:r>
        <w:rPr>
          <w:spacing w:val="2"/>
          <w:sz w:val="19"/>
          <w:szCs w:val="19"/>
        </w:rPr>
        <w:t xml:space="preserve"> </w:t>
      </w:r>
      <w:r>
        <w:rPr>
          <w:spacing w:val="9"/>
          <w:sz w:val="19"/>
          <w:szCs w:val="19"/>
        </w:rPr>
        <w:t>极大地影响着软件部署结果的正确性，应用系统的配置是整个部署过程中的主要错误来源。</w:t>
      </w:r>
    </w:p>
    <w:p w14:paraId="7160FE69">
      <w:pPr>
        <w:pStyle w:val="2"/>
        <w:spacing w:before="27" w:line="219" w:lineRule="auto"/>
        <w:ind w:left="440"/>
        <w:rPr>
          <w:sz w:val="19"/>
          <w:szCs w:val="19"/>
        </w:rPr>
      </w:pPr>
      <w:r>
        <w:rPr>
          <w:spacing w:val="5"/>
          <w:sz w:val="19"/>
          <w:szCs w:val="19"/>
        </w:rPr>
        <w:t>目前，部署与交付经常存在如下问题：</w:t>
      </w:r>
    </w:p>
    <w:p w14:paraId="6D982BF1">
      <w:pPr>
        <w:pStyle w:val="2"/>
        <w:spacing w:before="75" w:line="219" w:lineRule="auto"/>
        <w:ind w:left="440"/>
        <w:rPr>
          <w:sz w:val="19"/>
          <w:szCs w:val="19"/>
        </w:rPr>
      </w:pPr>
      <w:r>
        <w:rPr>
          <w:spacing w:val="12"/>
          <w:sz w:val="19"/>
          <w:szCs w:val="19"/>
        </w:rPr>
        <w:t>(1)分支冗余导致合并困难；</w:t>
      </w:r>
    </w:p>
    <w:p w14:paraId="6D240942">
      <w:pPr>
        <w:pStyle w:val="2"/>
        <w:spacing w:before="85" w:line="220" w:lineRule="auto"/>
        <w:ind w:left="440"/>
        <w:rPr>
          <w:sz w:val="19"/>
          <w:szCs w:val="19"/>
        </w:rPr>
      </w:pPr>
      <w:r>
        <w:rPr>
          <w:spacing w:val="12"/>
          <w:sz w:val="19"/>
          <w:szCs w:val="19"/>
        </w:rPr>
        <w:t>(2)缺陷过多导致阻塞测试；</w:t>
      </w:r>
    </w:p>
    <w:p w14:paraId="55BA6959">
      <w:pPr>
        <w:pStyle w:val="2"/>
        <w:spacing w:before="83" w:line="219" w:lineRule="auto"/>
        <w:ind w:left="440"/>
        <w:rPr>
          <w:sz w:val="19"/>
          <w:szCs w:val="19"/>
        </w:rPr>
      </w:pPr>
      <w:r>
        <w:rPr>
          <w:spacing w:val="10"/>
          <w:sz w:val="19"/>
          <w:szCs w:val="19"/>
        </w:rPr>
        <w:t>(3)开发环境、测试环境、部署环境不统一导致的未知错误；</w:t>
      </w:r>
    </w:p>
    <w:p w14:paraId="15B6A21C">
      <w:pPr>
        <w:pStyle w:val="2"/>
        <w:spacing w:before="83" w:line="219" w:lineRule="auto"/>
        <w:ind w:left="440"/>
        <w:rPr>
          <w:sz w:val="19"/>
          <w:szCs w:val="19"/>
        </w:rPr>
      </w:pPr>
      <w:r>
        <w:rPr>
          <w:spacing w:val="11"/>
          <w:sz w:val="19"/>
          <w:szCs w:val="19"/>
        </w:rPr>
        <w:t>(4)代码提交版本混乱无法回溯；</w:t>
      </w:r>
    </w:p>
    <w:p w14:paraId="6B3D58B3">
      <w:pPr>
        <w:pStyle w:val="2"/>
        <w:spacing w:before="96" w:line="219" w:lineRule="auto"/>
        <w:ind w:left="440"/>
        <w:rPr>
          <w:sz w:val="19"/>
          <w:szCs w:val="19"/>
        </w:rPr>
      </w:pPr>
      <w:r>
        <w:rPr>
          <w:spacing w:val="11"/>
          <w:sz w:val="19"/>
          <w:szCs w:val="19"/>
        </w:rPr>
        <w:t>(5)等待上线周期过长；</w:t>
      </w:r>
    </w:p>
    <w:p w14:paraId="5BD2D673">
      <w:pPr>
        <w:pStyle w:val="2"/>
        <w:spacing w:before="75" w:line="219" w:lineRule="auto"/>
        <w:ind w:left="440"/>
        <w:rPr>
          <w:sz w:val="19"/>
          <w:szCs w:val="19"/>
        </w:rPr>
      </w:pPr>
      <w:r>
        <w:rPr>
          <w:spacing w:val="11"/>
          <w:sz w:val="19"/>
          <w:szCs w:val="19"/>
        </w:rPr>
        <w:t>(6)项目部署操作复杂经常失败；</w:t>
      </w:r>
    </w:p>
    <w:p w14:paraId="38AE50F6">
      <w:pPr>
        <w:pStyle w:val="2"/>
        <w:spacing w:before="75" w:line="219" w:lineRule="auto"/>
        <w:ind w:left="440"/>
        <w:rPr>
          <w:sz w:val="19"/>
          <w:szCs w:val="19"/>
        </w:rPr>
      </w:pPr>
      <w:r>
        <w:rPr>
          <w:spacing w:val="9"/>
          <w:sz w:val="19"/>
          <w:szCs w:val="19"/>
        </w:rPr>
        <w:t>(7)上线之后出现问题需要紧急回滚；</w:t>
      </w:r>
    </w:p>
    <w:p w14:paraId="0F73DF7D">
      <w:pPr>
        <w:pStyle w:val="2"/>
        <w:spacing w:before="84" w:line="219" w:lineRule="auto"/>
        <w:ind w:left="440"/>
        <w:rPr>
          <w:sz w:val="19"/>
          <w:szCs w:val="19"/>
        </w:rPr>
      </w:pPr>
      <w:r>
        <w:rPr>
          <w:spacing w:val="11"/>
          <w:sz w:val="19"/>
          <w:szCs w:val="19"/>
        </w:rPr>
        <w:t>(8)架构设计不合理导致发生错误之后无法准确定位等。</w:t>
      </w:r>
    </w:p>
    <w:p w14:paraId="62AF6A97">
      <w:pPr>
        <w:pStyle w:val="2"/>
        <w:spacing w:before="182" w:line="222" w:lineRule="auto"/>
        <w:ind w:left="412"/>
        <w:rPr>
          <w:rFonts w:ascii="黑体" w:hAnsi="黑体" w:eastAsia="黑体" w:cs="黑体"/>
          <w:sz w:val="19"/>
          <w:szCs w:val="19"/>
        </w:rPr>
      </w:pPr>
      <w:r>
        <w:rPr>
          <w:b/>
          <w:bCs/>
          <w:color w:val="0072D7"/>
          <w:spacing w:val="10"/>
          <w:sz w:val="19"/>
          <w:szCs w:val="19"/>
        </w:rPr>
        <w:t>2.</w:t>
      </w:r>
      <w:r>
        <w:rPr>
          <w:rFonts w:ascii="黑体" w:hAnsi="黑体" w:eastAsia="黑体" w:cs="黑体"/>
          <w:b/>
          <w:bCs/>
          <w:color w:val="0072D7"/>
          <w:spacing w:val="10"/>
          <w:sz w:val="19"/>
          <w:szCs w:val="19"/>
        </w:rPr>
        <w:t>持续交付</w:t>
      </w:r>
    </w:p>
    <w:p w14:paraId="1E0B81DE">
      <w:pPr>
        <w:pStyle w:val="2"/>
        <w:spacing w:before="124" w:line="295" w:lineRule="auto"/>
        <w:ind w:right="241" w:firstLine="440"/>
        <w:jc w:val="both"/>
        <w:rPr>
          <w:sz w:val="19"/>
          <w:szCs w:val="19"/>
        </w:rPr>
      </w:pPr>
      <w:r>
        <w:rPr>
          <w:spacing w:val="14"/>
          <w:sz w:val="19"/>
          <w:szCs w:val="19"/>
        </w:rPr>
        <w:t>为解决以上部署与交付经常存在的问题，持续交付</w:t>
      </w:r>
      <w:r>
        <w:rPr>
          <w:spacing w:val="13"/>
          <w:sz w:val="19"/>
          <w:szCs w:val="19"/>
        </w:rPr>
        <w:t>应运而生，持续交付是一系列开发实践</w:t>
      </w:r>
      <w:r>
        <w:rPr>
          <w:sz w:val="19"/>
          <w:szCs w:val="19"/>
        </w:rPr>
        <w:t xml:space="preserve"> </w:t>
      </w:r>
      <w:r>
        <w:rPr>
          <w:spacing w:val="13"/>
          <w:sz w:val="19"/>
          <w:szCs w:val="19"/>
        </w:rPr>
        <w:t>方法，用来确保让代码能够快速、安全地部署到生产环境中。持续交付是一个完全自动化的过</w:t>
      </w:r>
      <w:r>
        <w:rPr>
          <w:spacing w:val="3"/>
          <w:sz w:val="19"/>
          <w:szCs w:val="19"/>
        </w:rPr>
        <w:t xml:space="preserve"> </w:t>
      </w:r>
      <w:r>
        <w:rPr>
          <w:spacing w:val="13"/>
          <w:sz w:val="19"/>
          <w:szCs w:val="19"/>
        </w:rPr>
        <w:t>程，当业务开发完成后，可以做到一键部署。持续交付提供了一套更为完善的解决传统软件开</w:t>
      </w:r>
      <w:r>
        <w:rPr>
          <w:spacing w:val="4"/>
          <w:sz w:val="19"/>
          <w:szCs w:val="19"/>
        </w:rPr>
        <w:t xml:space="preserve"> </w:t>
      </w:r>
      <w:r>
        <w:rPr>
          <w:spacing w:val="5"/>
          <w:sz w:val="19"/>
          <w:szCs w:val="19"/>
        </w:rPr>
        <w:t>发流程的方案，主要体现在：</w:t>
      </w:r>
    </w:p>
    <w:p w14:paraId="006453F7">
      <w:pPr>
        <w:spacing w:line="295" w:lineRule="auto"/>
        <w:rPr>
          <w:sz w:val="19"/>
          <w:szCs w:val="19"/>
        </w:rPr>
        <w:sectPr>
          <w:pgSz w:w="10290" w:h="13300"/>
          <w:pgMar w:top="400" w:right="568" w:bottom="400" w:left="1100" w:header="0" w:footer="0" w:gutter="0"/>
          <w:cols w:space="720" w:num="1"/>
        </w:sectPr>
      </w:pPr>
    </w:p>
    <w:p w14:paraId="61261B63">
      <w:pPr>
        <w:pStyle w:val="2"/>
        <w:spacing w:before="87" w:line="219" w:lineRule="auto"/>
        <w:rPr>
          <w:sz w:val="19"/>
          <w:szCs w:val="19"/>
        </w:rPr>
      </w:pPr>
      <w:r>
        <w:rPr>
          <w:rFonts w:ascii="Times New Roman" w:hAnsi="Times New Roman" w:eastAsia="Times New Roman" w:cs="Times New Roman"/>
          <w:spacing w:val="4"/>
          <w:position w:val="1"/>
          <w:sz w:val="19"/>
          <w:szCs w:val="19"/>
        </w:rPr>
        <w:t>66</w:t>
      </w:r>
      <w:r>
        <w:rPr>
          <w:rFonts w:ascii="Times New Roman" w:hAnsi="Times New Roman" w:eastAsia="Times New Roman" w:cs="Times New Roman"/>
          <w:spacing w:val="1"/>
          <w:position w:val="1"/>
          <w:sz w:val="19"/>
          <w:szCs w:val="19"/>
        </w:rPr>
        <w:t xml:space="preserve">               </w:t>
      </w:r>
      <w:r>
        <w:rPr>
          <w:spacing w:val="4"/>
          <w:sz w:val="19"/>
          <w:szCs w:val="19"/>
        </w:rPr>
        <w:t>信息系统监理师教程(第2版)</w:t>
      </w:r>
    </w:p>
    <w:p w14:paraId="679A01D5">
      <w:pPr>
        <w:spacing w:line="339" w:lineRule="auto"/>
        <w:rPr>
          <w:rFonts w:ascii="Arial"/>
          <w:sz w:val="21"/>
        </w:rPr>
      </w:pPr>
    </w:p>
    <w:p w14:paraId="413B7032">
      <w:pPr>
        <w:pStyle w:val="2"/>
        <w:spacing w:before="62" w:line="219" w:lineRule="auto"/>
        <w:ind w:left="710"/>
        <w:rPr>
          <w:sz w:val="19"/>
          <w:szCs w:val="19"/>
        </w:rPr>
      </w:pPr>
      <w:r>
        <w:rPr>
          <w:spacing w:val="10"/>
          <w:sz w:val="19"/>
          <w:szCs w:val="19"/>
        </w:rPr>
        <w:t>●在需求阶段，抛弃了传统需求文档的方式，使用开发人员易于理解的用户故事；</w:t>
      </w:r>
    </w:p>
    <w:p w14:paraId="4A686D6F">
      <w:pPr>
        <w:pStyle w:val="2"/>
        <w:spacing w:before="105" w:line="219" w:lineRule="auto"/>
        <w:ind w:left="710"/>
        <w:rPr>
          <w:sz w:val="19"/>
          <w:szCs w:val="19"/>
        </w:rPr>
      </w:pPr>
      <w:r>
        <w:rPr>
          <w:spacing w:val="10"/>
          <w:sz w:val="19"/>
          <w:szCs w:val="19"/>
        </w:rPr>
        <w:t>●在开发测试阶段，做到持续集成，让测试人员尽早进入项目开始测试；</w:t>
      </w:r>
    </w:p>
    <w:p w14:paraId="3C89927F">
      <w:pPr>
        <w:pStyle w:val="2"/>
        <w:spacing w:before="104" w:line="219" w:lineRule="auto"/>
        <w:ind w:left="710"/>
        <w:rPr>
          <w:sz w:val="19"/>
          <w:szCs w:val="19"/>
        </w:rPr>
      </w:pPr>
      <w:r>
        <w:rPr>
          <w:spacing w:val="11"/>
          <w:sz w:val="19"/>
          <w:szCs w:val="19"/>
        </w:rPr>
        <w:t>●在运维阶段，打通开发和运维之间的通路，保持开发环境和运维环境的统一。</w:t>
      </w:r>
    </w:p>
    <w:p w14:paraId="0EA1E833">
      <w:pPr>
        <w:pStyle w:val="2"/>
        <w:spacing w:before="73" w:line="303" w:lineRule="auto"/>
        <w:ind w:left="280" w:right="66" w:firstLine="430"/>
        <w:jc w:val="both"/>
        <w:rPr>
          <w:sz w:val="19"/>
          <w:szCs w:val="19"/>
        </w:rPr>
      </w:pPr>
      <w:r>
        <w:rPr>
          <w:spacing w:val="12"/>
          <w:sz w:val="19"/>
          <w:szCs w:val="19"/>
        </w:rPr>
        <w:t>目前，国内外主流互联网组织的部署周期以分钟为单位，互联网巨头组织单日的部署频率</w:t>
      </w:r>
      <w:r>
        <w:rPr>
          <w:sz w:val="19"/>
          <w:szCs w:val="19"/>
        </w:rPr>
        <w:t xml:space="preserve"> </w:t>
      </w:r>
      <w:r>
        <w:rPr>
          <w:spacing w:val="19"/>
          <w:sz w:val="19"/>
          <w:szCs w:val="19"/>
        </w:rPr>
        <w:t>都在8000次以上，部分组织达到20000次以上。高频率的部署代表着能够更快、更好地响应</w:t>
      </w:r>
      <w:r>
        <w:rPr>
          <w:spacing w:val="6"/>
          <w:sz w:val="19"/>
          <w:szCs w:val="19"/>
        </w:rPr>
        <w:t xml:space="preserve"> </w:t>
      </w:r>
      <w:r>
        <w:rPr>
          <w:spacing w:val="5"/>
          <w:sz w:val="19"/>
          <w:szCs w:val="19"/>
        </w:rPr>
        <w:t>客户的需求。</w:t>
      </w:r>
    </w:p>
    <w:p w14:paraId="7B2BD904">
      <w:pPr>
        <w:pStyle w:val="2"/>
        <w:spacing w:before="124" w:line="222" w:lineRule="auto"/>
        <w:ind w:left="712"/>
        <w:rPr>
          <w:rFonts w:ascii="黑体" w:hAnsi="黑体" w:eastAsia="黑体" w:cs="黑体"/>
          <w:sz w:val="19"/>
          <w:szCs w:val="19"/>
        </w:rPr>
      </w:pPr>
      <w:r>
        <w:rPr>
          <w:b/>
          <w:bCs/>
          <w:color w:val="0073B7"/>
          <w:spacing w:val="9"/>
          <w:sz w:val="19"/>
          <w:szCs w:val="19"/>
        </w:rPr>
        <w:t>3.</w:t>
      </w:r>
      <w:r>
        <w:rPr>
          <w:rFonts w:ascii="黑体" w:hAnsi="黑体" w:eastAsia="黑体" w:cs="黑体"/>
          <w:b/>
          <w:bCs/>
          <w:color w:val="0073B7"/>
          <w:spacing w:val="9"/>
          <w:sz w:val="19"/>
          <w:szCs w:val="19"/>
        </w:rPr>
        <w:t>持续部署</w:t>
      </w:r>
    </w:p>
    <w:p w14:paraId="00695448">
      <w:pPr>
        <w:pStyle w:val="2"/>
        <w:spacing w:before="155" w:line="296" w:lineRule="auto"/>
        <w:ind w:left="280" w:right="71" w:firstLine="430"/>
        <w:jc w:val="both"/>
        <w:rPr>
          <w:sz w:val="19"/>
          <w:szCs w:val="19"/>
        </w:rPr>
      </w:pPr>
      <w:r>
        <w:rPr>
          <w:spacing w:val="13"/>
          <w:sz w:val="19"/>
          <w:szCs w:val="19"/>
        </w:rPr>
        <w:t>对于持续交付整体来说，持续部署非常重要。容器技术目前是部署中最流行的</w:t>
      </w:r>
      <w:r>
        <w:rPr>
          <w:spacing w:val="12"/>
          <w:sz w:val="19"/>
          <w:szCs w:val="19"/>
        </w:rPr>
        <w:t>技术，常用</w:t>
      </w:r>
      <w:r>
        <w:rPr>
          <w:sz w:val="19"/>
          <w:szCs w:val="19"/>
        </w:rPr>
        <w:t xml:space="preserve"> </w:t>
      </w:r>
      <w:r>
        <w:rPr>
          <w:spacing w:val="16"/>
          <w:sz w:val="19"/>
          <w:szCs w:val="19"/>
        </w:rPr>
        <w:t>的持续部署方案有</w:t>
      </w:r>
      <w:r>
        <w:rPr>
          <w:rFonts w:ascii="Times New Roman" w:hAnsi="Times New Roman" w:eastAsia="Times New Roman" w:cs="Times New Roman"/>
          <w:sz w:val="19"/>
          <w:szCs w:val="19"/>
        </w:rPr>
        <w:t>Kubernetes</w:t>
      </w:r>
      <w:r>
        <w:rPr>
          <w:rFonts w:ascii="Times New Roman" w:hAnsi="Times New Roman" w:eastAsia="Times New Roman" w:cs="Times New Roman"/>
          <w:spacing w:val="16"/>
          <w:sz w:val="19"/>
          <w:szCs w:val="19"/>
        </w:rPr>
        <w:t>+</w:t>
      </w:r>
      <w:r>
        <w:rPr>
          <w:rFonts w:ascii="Times New Roman" w:hAnsi="Times New Roman" w:eastAsia="Times New Roman" w:cs="Times New Roman"/>
          <w:sz w:val="19"/>
          <w:szCs w:val="19"/>
        </w:rPr>
        <w:t>Docker</w:t>
      </w:r>
      <w:r>
        <w:rPr>
          <w:rFonts w:ascii="Times New Roman" w:hAnsi="Times New Roman" w:eastAsia="Times New Roman" w:cs="Times New Roman"/>
          <w:spacing w:val="19"/>
          <w:sz w:val="19"/>
          <w:szCs w:val="19"/>
        </w:rPr>
        <w:t xml:space="preserve">  </w:t>
      </w:r>
      <w:r>
        <w:rPr>
          <w:spacing w:val="16"/>
          <w:sz w:val="19"/>
          <w:szCs w:val="19"/>
        </w:rPr>
        <w:t>和</w:t>
      </w:r>
      <w:r>
        <w:rPr>
          <w:spacing w:val="-37"/>
          <w:sz w:val="19"/>
          <w:szCs w:val="19"/>
        </w:rPr>
        <w:t xml:space="preserve"> </w:t>
      </w:r>
      <w:r>
        <w:rPr>
          <w:rFonts w:ascii="Times New Roman" w:hAnsi="Times New Roman" w:eastAsia="Times New Roman" w:cs="Times New Roman"/>
          <w:sz w:val="19"/>
          <w:szCs w:val="19"/>
        </w:rPr>
        <w:t>Matrix</w:t>
      </w:r>
      <w:r>
        <w:rPr>
          <w:rFonts w:ascii="Times New Roman" w:hAnsi="Times New Roman" w:eastAsia="Times New Roman" w:cs="Times New Roman"/>
          <w:spacing w:val="1"/>
          <w:sz w:val="19"/>
          <w:szCs w:val="19"/>
        </w:rPr>
        <w:t xml:space="preserve">  </w:t>
      </w:r>
      <w:r>
        <w:rPr>
          <w:spacing w:val="16"/>
          <w:sz w:val="19"/>
          <w:szCs w:val="19"/>
        </w:rPr>
        <w:t>系统两种。部署层次的设置对于部署管理来说</w:t>
      </w:r>
      <w:r>
        <w:rPr>
          <w:sz w:val="19"/>
          <w:szCs w:val="19"/>
        </w:rPr>
        <w:t xml:space="preserve"> </w:t>
      </w:r>
      <w:r>
        <w:rPr>
          <w:spacing w:val="13"/>
          <w:sz w:val="19"/>
          <w:szCs w:val="19"/>
        </w:rPr>
        <w:t>也非常重要。首先要明确部署的目的并不是部署一个可工作的软件，而是部署一套可正常运行</w:t>
      </w:r>
      <w:r>
        <w:rPr>
          <w:spacing w:val="5"/>
          <w:sz w:val="19"/>
          <w:szCs w:val="19"/>
        </w:rPr>
        <w:t xml:space="preserve"> </w:t>
      </w:r>
      <w:r>
        <w:rPr>
          <w:spacing w:val="4"/>
          <w:sz w:val="19"/>
          <w:szCs w:val="19"/>
        </w:rPr>
        <w:t>的环境。完整的镜像部署包括三个环节：</w:t>
      </w:r>
      <w:r>
        <w:rPr>
          <w:rFonts w:ascii="Times New Roman" w:hAnsi="Times New Roman" w:eastAsia="Times New Roman" w:cs="Times New Roman"/>
          <w:sz w:val="19"/>
          <w:szCs w:val="19"/>
        </w:rPr>
        <w:t>Build</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Ship</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Run</w:t>
      </w:r>
      <w:r>
        <w:rPr>
          <w:spacing w:val="4"/>
          <w:sz w:val="19"/>
          <w:szCs w:val="19"/>
        </w:rPr>
        <w:t>。</w:t>
      </w:r>
    </w:p>
    <w:p w14:paraId="58A1C8B1">
      <w:pPr>
        <w:pStyle w:val="2"/>
        <w:spacing w:before="59" w:line="218" w:lineRule="auto"/>
        <w:ind w:left="710"/>
        <w:rPr>
          <w:sz w:val="19"/>
          <w:szCs w:val="19"/>
        </w:rPr>
      </w:pPr>
      <w:r>
        <w:rPr>
          <w:spacing w:val="9"/>
          <w:sz w:val="19"/>
          <w:szCs w:val="19"/>
        </w:rPr>
        <w:t xml:space="preserve">● </w:t>
      </w:r>
      <w:r>
        <w:rPr>
          <w:sz w:val="19"/>
          <w:szCs w:val="19"/>
        </w:rPr>
        <w:t>Build</w:t>
      </w:r>
      <w:r>
        <w:rPr>
          <w:spacing w:val="9"/>
          <w:sz w:val="19"/>
          <w:szCs w:val="19"/>
        </w:rPr>
        <w:t>:</w:t>
      </w:r>
      <w:r>
        <w:rPr>
          <w:spacing w:val="-13"/>
          <w:sz w:val="19"/>
          <w:szCs w:val="19"/>
        </w:rPr>
        <w:t xml:space="preserve"> </w:t>
      </w:r>
      <w:r>
        <w:rPr>
          <w:spacing w:val="9"/>
          <w:sz w:val="19"/>
          <w:szCs w:val="19"/>
        </w:rPr>
        <w:t>与传统的编译类似，将软件编译形成</w:t>
      </w:r>
      <w:r>
        <w:rPr>
          <w:sz w:val="19"/>
          <w:szCs w:val="19"/>
        </w:rPr>
        <w:t>RPM</w:t>
      </w:r>
      <w:r>
        <w:rPr>
          <w:spacing w:val="9"/>
          <w:sz w:val="19"/>
          <w:szCs w:val="19"/>
        </w:rPr>
        <w:t xml:space="preserve">  包或者</w:t>
      </w:r>
      <w:r>
        <w:rPr>
          <w:sz w:val="19"/>
          <w:szCs w:val="19"/>
        </w:rPr>
        <w:t>Jar</w:t>
      </w:r>
      <w:r>
        <w:rPr>
          <w:spacing w:val="9"/>
          <w:sz w:val="19"/>
          <w:szCs w:val="19"/>
        </w:rPr>
        <w:t>包</w:t>
      </w:r>
      <w:r>
        <w:rPr>
          <w:spacing w:val="-48"/>
          <w:sz w:val="19"/>
          <w:szCs w:val="19"/>
        </w:rPr>
        <w:t xml:space="preserve"> </w:t>
      </w:r>
      <w:r>
        <w:rPr>
          <w:spacing w:val="9"/>
          <w:sz w:val="19"/>
          <w:szCs w:val="19"/>
        </w:rPr>
        <w:t>；</w:t>
      </w:r>
    </w:p>
    <w:p w14:paraId="13E61ED5">
      <w:pPr>
        <w:pStyle w:val="2"/>
        <w:spacing w:before="112" w:line="214" w:lineRule="auto"/>
        <w:ind w:left="710"/>
        <w:rPr>
          <w:sz w:val="19"/>
          <w:szCs w:val="19"/>
        </w:rPr>
      </w:pPr>
      <w:r>
        <w:rPr>
          <w:spacing w:val="6"/>
          <w:sz w:val="19"/>
          <w:szCs w:val="19"/>
        </w:rPr>
        <w:t>●</w:t>
      </w:r>
      <w:r>
        <w:rPr>
          <w:spacing w:val="58"/>
          <w:sz w:val="19"/>
          <w:szCs w:val="19"/>
        </w:rPr>
        <w:t xml:space="preserve"> </w:t>
      </w:r>
      <w:r>
        <w:rPr>
          <w:sz w:val="19"/>
          <w:szCs w:val="19"/>
        </w:rPr>
        <w:t>Ship</w:t>
      </w:r>
      <w:r>
        <w:rPr>
          <w:spacing w:val="6"/>
          <w:sz w:val="19"/>
          <w:szCs w:val="19"/>
        </w:rPr>
        <w:t>:</w:t>
      </w:r>
      <w:r>
        <w:rPr>
          <w:spacing w:val="-54"/>
          <w:sz w:val="19"/>
          <w:szCs w:val="19"/>
        </w:rPr>
        <w:t xml:space="preserve"> </w:t>
      </w:r>
      <w:r>
        <w:rPr>
          <w:spacing w:val="6"/>
          <w:sz w:val="19"/>
          <w:szCs w:val="19"/>
        </w:rPr>
        <w:t>将所需的第三方依赖和第三方插件安装到环境中；</w:t>
      </w:r>
    </w:p>
    <w:p w14:paraId="0A3D2264">
      <w:pPr>
        <w:pStyle w:val="2"/>
        <w:spacing w:before="85" w:line="220" w:lineRule="auto"/>
        <w:ind w:left="710"/>
        <w:rPr>
          <w:sz w:val="19"/>
          <w:szCs w:val="19"/>
        </w:rPr>
      </w:pPr>
      <w:r>
        <w:rPr>
          <w:spacing w:val="5"/>
          <w:sz w:val="19"/>
          <w:szCs w:val="19"/>
        </w:rPr>
        <w:t>●</w:t>
      </w:r>
      <w:r>
        <w:rPr>
          <w:spacing w:val="102"/>
          <w:sz w:val="19"/>
          <w:szCs w:val="19"/>
        </w:rPr>
        <w:t xml:space="preserve"> </w:t>
      </w:r>
      <w:r>
        <w:rPr>
          <w:sz w:val="19"/>
          <w:szCs w:val="19"/>
        </w:rPr>
        <w:t>Run</w:t>
      </w:r>
      <w:r>
        <w:rPr>
          <w:spacing w:val="5"/>
          <w:sz w:val="19"/>
          <w:szCs w:val="19"/>
        </w:rPr>
        <w:t>:</w:t>
      </w:r>
      <w:r>
        <w:rPr>
          <w:spacing w:val="-44"/>
          <w:sz w:val="19"/>
          <w:szCs w:val="19"/>
        </w:rPr>
        <w:t xml:space="preserve"> </w:t>
      </w:r>
      <w:r>
        <w:rPr>
          <w:spacing w:val="5"/>
          <w:sz w:val="19"/>
          <w:szCs w:val="19"/>
        </w:rPr>
        <w:t>在不同的地方启动整套环境。</w:t>
      </w:r>
    </w:p>
    <w:p w14:paraId="7A556B87">
      <w:pPr>
        <w:spacing w:before="171" w:line="225" w:lineRule="auto"/>
        <w:ind w:left="710"/>
        <w:rPr>
          <w:rFonts w:ascii="楷体" w:hAnsi="楷体" w:eastAsia="楷体" w:cs="楷体"/>
          <w:sz w:val="19"/>
          <w:szCs w:val="19"/>
        </w:rPr>
      </w:pPr>
      <w:r>
        <w:rPr>
          <w:rFonts w:ascii="楷体" w:hAnsi="楷体" w:eastAsia="楷体" w:cs="楷体"/>
          <w:spacing w:val="18"/>
          <w:sz w:val="19"/>
          <w:szCs w:val="19"/>
        </w:rPr>
        <w:t>1)不可变服务器</w:t>
      </w:r>
    </w:p>
    <w:p w14:paraId="0BCF924E">
      <w:pPr>
        <w:pStyle w:val="2"/>
        <w:spacing w:before="83" w:line="297" w:lineRule="auto"/>
        <w:ind w:left="280" w:firstLine="430"/>
        <w:jc w:val="both"/>
        <w:rPr>
          <w:sz w:val="19"/>
          <w:szCs w:val="19"/>
        </w:rPr>
      </w:pPr>
      <w:r>
        <w:rPr>
          <w:spacing w:val="13"/>
          <w:sz w:val="19"/>
          <w:szCs w:val="19"/>
        </w:rPr>
        <w:t>不可变服务器是一种部署模式，是指除了更</w:t>
      </w:r>
      <w:r>
        <w:rPr>
          <w:spacing w:val="12"/>
          <w:sz w:val="19"/>
          <w:szCs w:val="19"/>
        </w:rPr>
        <w:t>新和安装补丁程序以外不对服务器进行任何更</w:t>
      </w:r>
      <w:r>
        <w:rPr>
          <w:sz w:val="19"/>
          <w:szCs w:val="19"/>
        </w:rPr>
        <w:t xml:space="preserve">  </w:t>
      </w:r>
      <w:r>
        <w:rPr>
          <w:spacing w:val="13"/>
          <w:sz w:val="19"/>
          <w:szCs w:val="19"/>
        </w:rPr>
        <w:t>改。不可变服务器是技术逐步演化的结果。在早期阶段，软件的部署是在物理机上进行的，每</w:t>
      </w:r>
      <w:r>
        <w:rPr>
          <w:spacing w:val="1"/>
          <w:sz w:val="19"/>
          <w:szCs w:val="19"/>
        </w:rPr>
        <w:t xml:space="preserve">  </w:t>
      </w:r>
      <w:r>
        <w:rPr>
          <w:spacing w:val="15"/>
          <w:sz w:val="19"/>
          <w:szCs w:val="19"/>
        </w:rPr>
        <w:t>一台服务器的网络、存储、软件环境都是不同的，物理机的不稳定让环境重构变得异常困难。</w:t>
      </w:r>
      <w:r>
        <w:rPr>
          <w:spacing w:val="9"/>
          <w:sz w:val="19"/>
          <w:szCs w:val="19"/>
        </w:rPr>
        <w:t xml:space="preserve"> </w:t>
      </w:r>
      <w:r>
        <w:rPr>
          <w:spacing w:val="13"/>
          <w:sz w:val="19"/>
          <w:szCs w:val="19"/>
        </w:rPr>
        <w:t>后来逐渐发展为虚拟机部署，在虚拟机上借助流程化的部署能较好地构建软件环境，但是第三</w:t>
      </w:r>
      <w:r>
        <w:rPr>
          <w:spacing w:val="1"/>
          <w:sz w:val="19"/>
          <w:szCs w:val="19"/>
        </w:rPr>
        <w:t xml:space="preserve">  </w:t>
      </w:r>
      <w:r>
        <w:rPr>
          <w:spacing w:val="13"/>
          <w:sz w:val="19"/>
          <w:szCs w:val="19"/>
        </w:rPr>
        <w:t>方依赖库的重构不稳定为整体部署带来了困难。现阶段使用容器部署不但继承和优化了虚拟机</w:t>
      </w:r>
      <w:r>
        <w:rPr>
          <w:spacing w:val="1"/>
          <w:sz w:val="19"/>
          <w:szCs w:val="19"/>
        </w:rPr>
        <w:t xml:space="preserve">  </w:t>
      </w:r>
      <w:r>
        <w:rPr>
          <w:spacing w:val="13"/>
          <w:sz w:val="19"/>
          <w:szCs w:val="19"/>
        </w:rPr>
        <w:t>部署的优点，而且很好地解决了第三方依赖库的重构问题，容器部署就像一个集装箱，直接把</w:t>
      </w:r>
      <w:r>
        <w:rPr>
          <w:spacing w:val="1"/>
          <w:sz w:val="19"/>
          <w:szCs w:val="19"/>
        </w:rPr>
        <w:t xml:space="preserve">  </w:t>
      </w:r>
      <w:r>
        <w:rPr>
          <w:spacing w:val="6"/>
          <w:sz w:val="19"/>
          <w:szCs w:val="19"/>
        </w:rPr>
        <w:t>所有需要的内容打包进行复制和部署。</w:t>
      </w:r>
    </w:p>
    <w:p w14:paraId="0FCCA64F">
      <w:pPr>
        <w:spacing w:before="135" w:line="224" w:lineRule="auto"/>
        <w:ind w:left="710"/>
        <w:rPr>
          <w:rFonts w:ascii="楷体" w:hAnsi="楷体" w:eastAsia="楷体" w:cs="楷体"/>
          <w:sz w:val="19"/>
          <w:szCs w:val="19"/>
        </w:rPr>
      </w:pPr>
      <w:r>
        <w:rPr>
          <w:rFonts w:ascii="楷体" w:hAnsi="楷体" w:eastAsia="楷体" w:cs="楷体"/>
          <w:spacing w:val="16"/>
          <w:sz w:val="19"/>
          <w:szCs w:val="19"/>
        </w:rPr>
        <w:t>2)蓝绿部署和金丝雀部署</w:t>
      </w:r>
    </w:p>
    <w:p w14:paraId="7F94DE9D">
      <w:pPr>
        <w:pStyle w:val="2"/>
        <w:spacing w:before="92" w:line="219" w:lineRule="auto"/>
        <w:ind w:left="710"/>
        <w:rPr>
          <w:sz w:val="19"/>
          <w:szCs w:val="19"/>
        </w:rPr>
      </w:pPr>
      <w:r>
        <w:rPr>
          <w:spacing w:val="7"/>
          <w:sz w:val="19"/>
          <w:szCs w:val="19"/>
        </w:rPr>
        <w:t>常见的两大持续部署方式是蓝绿部署和金丝雀部署。</w:t>
      </w:r>
    </w:p>
    <w:p w14:paraId="6A6B92A9">
      <w:pPr>
        <w:pStyle w:val="2"/>
        <w:spacing w:before="95" w:line="280" w:lineRule="auto"/>
        <w:ind w:left="970" w:right="65" w:hanging="260"/>
        <w:rPr>
          <w:sz w:val="19"/>
          <w:szCs w:val="19"/>
        </w:rPr>
      </w:pPr>
      <w:r>
        <w:rPr>
          <w:spacing w:val="13"/>
          <w:sz w:val="19"/>
          <w:szCs w:val="19"/>
        </w:rPr>
        <w:t>●蓝绿部署是指在部署的时候准备新旧两个部署版本，通过域名解析切换的方式将用户使</w:t>
      </w:r>
      <w:r>
        <w:rPr>
          <w:spacing w:val="1"/>
          <w:sz w:val="19"/>
          <w:szCs w:val="19"/>
        </w:rPr>
        <w:t xml:space="preserve"> </w:t>
      </w:r>
      <w:r>
        <w:rPr>
          <w:spacing w:val="11"/>
          <w:sz w:val="19"/>
          <w:szCs w:val="19"/>
        </w:rPr>
        <w:t>用环境切换到新版本中，当出现问题的时候，可以快速地将用户环境切回旧版本，并对</w:t>
      </w:r>
      <w:r>
        <w:rPr>
          <w:sz w:val="19"/>
          <w:szCs w:val="19"/>
        </w:rPr>
        <w:t xml:space="preserve"> </w:t>
      </w:r>
      <w:r>
        <w:rPr>
          <w:spacing w:val="5"/>
          <w:sz w:val="19"/>
          <w:szCs w:val="19"/>
        </w:rPr>
        <w:t>新版本进行修复和调整。</w:t>
      </w:r>
    </w:p>
    <w:p w14:paraId="32955EFD">
      <w:pPr>
        <w:pStyle w:val="2"/>
        <w:spacing w:before="104" w:line="274" w:lineRule="auto"/>
        <w:ind w:left="970" w:right="66" w:hanging="260"/>
        <w:rPr>
          <w:sz w:val="19"/>
          <w:szCs w:val="19"/>
        </w:rPr>
      </w:pPr>
      <w:r>
        <w:rPr>
          <w:spacing w:val="13"/>
          <w:sz w:val="19"/>
          <w:szCs w:val="19"/>
        </w:rPr>
        <w:t>●金丝雀部署是指当有新版本发布的时候，先让少量的用户使用新版本，并且观察新版本</w:t>
      </w:r>
      <w:r>
        <w:rPr>
          <w:spacing w:val="1"/>
          <w:sz w:val="19"/>
          <w:szCs w:val="19"/>
        </w:rPr>
        <w:t xml:space="preserve"> </w:t>
      </w:r>
      <w:r>
        <w:rPr>
          <w:spacing w:val="11"/>
          <w:sz w:val="19"/>
          <w:szCs w:val="19"/>
        </w:rPr>
        <w:t>是否存在问题，如果出现问题，就及时处理并重新发布，如果一切正常，就稳步地将新</w:t>
      </w:r>
      <w:r>
        <w:rPr>
          <w:sz w:val="19"/>
          <w:szCs w:val="19"/>
        </w:rPr>
        <w:t xml:space="preserve"> </w:t>
      </w:r>
      <w:r>
        <w:rPr>
          <w:spacing w:val="5"/>
          <w:sz w:val="19"/>
          <w:szCs w:val="19"/>
        </w:rPr>
        <w:t>版本适配给所有的用户。</w:t>
      </w:r>
    </w:p>
    <w:p w14:paraId="4F04F620">
      <w:pPr>
        <w:spacing w:before="161" w:line="221" w:lineRule="auto"/>
        <w:ind w:left="712"/>
        <w:rPr>
          <w:rFonts w:ascii="黑体" w:hAnsi="黑体" w:eastAsia="黑体" w:cs="黑体"/>
          <w:sz w:val="19"/>
          <w:szCs w:val="19"/>
        </w:rPr>
      </w:pPr>
      <w:r>
        <w:rPr>
          <w:rFonts w:ascii="黑体" w:hAnsi="黑体" w:eastAsia="黑体" w:cs="黑体"/>
          <w:b/>
          <w:bCs/>
          <w:color w:val="008EEE"/>
          <w:spacing w:val="9"/>
          <w:sz w:val="19"/>
          <w:szCs w:val="19"/>
        </w:rPr>
        <w:t>4.部署与交付的新趋势</w:t>
      </w:r>
    </w:p>
    <w:p w14:paraId="3A7675BA">
      <w:pPr>
        <w:pStyle w:val="2"/>
        <w:spacing w:before="178" w:line="279" w:lineRule="auto"/>
        <w:ind w:left="280" w:right="66" w:firstLine="430"/>
        <w:rPr>
          <w:sz w:val="19"/>
          <w:szCs w:val="19"/>
        </w:rPr>
      </w:pPr>
      <w:r>
        <w:rPr>
          <w:spacing w:val="13"/>
          <w:sz w:val="19"/>
          <w:szCs w:val="19"/>
        </w:rPr>
        <w:t>持续集成、持续交付和持续部署的出现及流行反映了新的软件开发模式发展趋势，主要表</w:t>
      </w:r>
      <w:r>
        <w:rPr>
          <w:sz w:val="19"/>
          <w:szCs w:val="19"/>
        </w:rPr>
        <w:t xml:space="preserve"> </w:t>
      </w:r>
      <w:r>
        <w:rPr>
          <w:spacing w:val="1"/>
          <w:sz w:val="19"/>
          <w:szCs w:val="19"/>
        </w:rPr>
        <w:t>现为：</w:t>
      </w:r>
    </w:p>
    <w:p w14:paraId="21401A36">
      <w:pPr>
        <w:pStyle w:val="2"/>
        <w:spacing w:before="24" w:line="298" w:lineRule="auto"/>
        <w:ind w:left="970" w:right="65" w:hanging="260"/>
        <w:rPr>
          <w:sz w:val="19"/>
          <w:szCs w:val="19"/>
        </w:rPr>
      </w:pPr>
      <w:r>
        <w:rPr>
          <w:spacing w:val="13"/>
          <w:sz w:val="19"/>
          <w:szCs w:val="19"/>
        </w:rPr>
        <w:t>●工作职责和人员分工的转变。软件开发人员运用自动化开发工具进行持续集成，进一步</w:t>
      </w:r>
      <w:r>
        <w:rPr>
          <w:spacing w:val="1"/>
          <w:sz w:val="19"/>
          <w:szCs w:val="19"/>
        </w:rPr>
        <w:t xml:space="preserve"> </w:t>
      </w:r>
      <w:r>
        <w:rPr>
          <w:spacing w:val="12"/>
          <w:sz w:val="19"/>
          <w:szCs w:val="19"/>
        </w:rPr>
        <w:t>将交付和部署扩展，而原来的手工运维工作</w:t>
      </w:r>
      <w:r>
        <w:rPr>
          <w:spacing w:val="11"/>
          <w:sz w:val="19"/>
          <w:szCs w:val="19"/>
        </w:rPr>
        <w:t>也逐渐被分派到了开发人员的手里。运维人</w:t>
      </w:r>
    </w:p>
    <w:p w14:paraId="628732E3">
      <w:pPr>
        <w:spacing w:line="298" w:lineRule="auto"/>
        <w:rPr>
          <w:sz w:val="19"/>
          <w:szCs w:val="19"/>
        </w:rPr>
        <w:sectPr>
          <w:pgSz w:w="10330" w:h="13380"/>
          <w:pgMar w:top="400" w:right="1094" w:bottom="400" w:left="539" w:header="0" w:footer="0" w:gutter="0"/>
          <w:cols w:space="720" w:num="1"/>
        </w:sectPr>
      </w:pPr>
    </w:p>
    <w:p w14:paraId="320DC3A1">
      <w:pPr>
        <w:pStyle w:val="2"/>
        <w:spacing w:before="37" w:line="219" w:lineRule="auto"/>
        <w:jc w:val="right"/>
        <w:rPr>
          <w:rFonts w:ascii="Times New Roman" w:hAnsi="Times New Roman" w:eastAsia="Times New Roman" w:cs="Times New Roman"/>
          <w:sz w:val="16"/>
          <w:szCs w:val="16"/>
        </w:rPr>
      </w:pPr>
      <w:bookmarkStart w:id="516" w:name="bookmark503"/>
      <w:bookmarkEnd w:id="516"/>
      <w:r>
        <w:rPr>
          <w:spacing w:val="-2"/>
          <w:sz w:val="20"/>
          <w:szCs w:val="20"/>
        </w:rPr>
        <w:t>第2章 信息系统工程</w:t>
      </w:r>
      <w:r>
        <w:rPr>
          <w:spacing w:val="14"/>
          <w:sz w:val="20"/>
          <w:szCs w:val="20"/>
        </w:rPr>
        <w:t xml:space="preserve">      </w:t>
      </w:r>
      <w:r>
        <w:rPr>
          <w:rFonts w:ascii="Times New Roman" w:hAnsi="Times New Roman" w:eastAsia="Times New Roman" w:cs="Times New Roman"/>
          <w:spacing w:val="-2"/>
          <w:sz w:val="16"/>
          <w:szCs w:val="16"/>
        </w:rPr>
        <w:t>67</w:t>
      </w:r>
    </w:p>
    <w:p w14:paraId="1B83C3DB">
      <w:pPr>
        <w:spacing w:line="296" w:lineRule="auto"/>
        <w:rPr>
          <w:rFonts w:ascii="Arial"/>
          <w:sz w:val="21"/>
        </w:rPr>
      </w:pPr>
    </w:p>
    <w:p w14:paraId="55898DAB">
      <w:pPr>
        <w:pStyle w:val="2"/>
        <w:spacing w:before="65" w:line="302" w:lineRule="auto"/>
        <w:ind w:left="709" w:right="245"/>
        <w:rPr>
          <w:sz w:val="20"/>
          <w:szCs w:val="20"/>
        </w:rPr>
      </w:pPr>
      <w:r>
        <w:rPr>
          <w:spacing w:val="1"/>
          <w:sz w:val="20"/>
          <w:szCs w:val="20"/>
        </w:rPr>
        <w:t>员的工作也从重复枯燥的手工作业转化为开发自动化的部署</w:t>
      </w:r>
      <w:r>
        <w:rPr>
          <w:sz w:val="20"/>
          <w:szCs w:val="20"/>
        </w:rPr>
        <w:t xml:space="preserve">脚本，并逐步并入开发人员 </w:t>
      </w:r>
      <w:r>
        <w:rPr>
          <w:spacing w:val="-8"/>
          <w:sz w:val="20"/>
          <w:szCs w:val="20"/>
        </w:rPr>
        <w:t>的行列之中。</w:t>
      </w:r>
    </w:p>
    <w:p w14:paraId="4B3E10DE">
      <w:pPr>
        <w:pStyle w:val="2"/>
        <w:spacing w:before="15" w:line="270" w:lineRule="auto"/>
        <w:ind w:left="709" w:right="245" w:hanging="290"/>
        <w:rPr>
          <w:sz w:val="20"/>
          <w:szCs w:val="20"/>
        </w:rPr>
      </w:pPr>
      <w:r>
        <w:rPr>
          <w:spacing w:val="3"/>
          <w:sz w:val="20"/>
          <w:szCs w:val="20"/>
        </w:rPr>
        <w:t>●大数据和云计算基础设施的普及进一步给部署带来新的飞跃。云计算的出现使得计算机</w:t>
      </w:r>
      <w:r>
        <w:rPr>
          <w:sz w:val="20"/>
          <w:szCs w:val="20"/>
        </w:rPr>
        <w:t xml:space="preserve"> 本身也可以自动化地创建和回收，部署和运维工作也会脱离具体</w:t>
      </w:r>
      <w:r>
        <w:rPr>
          <w:spacing w:val="-1"/>
          <w:sz w:val="20"/>
          <w:szCs w:val="20"/>
        </w:rPr>
        <w:t>的机器和机房，可以在</w:t>
      </w:r>
      <w:r>
        <w:rPr>
          <w:sz w:val="20"/>
          <w:szCs w:val="20"/>
        </w:rPr>
        <w:t xml:space="preserve"> </w:t>
      </w:r>
      <w:r>
        <w:rPr>
          <w:spacing w:val="-2"/>
          <w:sz w:val="20"/>
          <w:szCs w:val="20"/>
        </w:rPr>
        <w:t>远端进行，部署能力和灵活性出现质的飞跃。</w:t>
      </w:r>
    </w:p>
    <w:p w14:paraId="066C2ADC">
      <w:pPr>
        <w:pStyle w:val="2"/>
        <w:spacing w:before="102" w:line="219" w:lineRule="auto"/>
        <w:ind w:left="419"/>
        <w:rPr>
          <w:sz w:val="20"/>
          <w:szCs w:val="20"/>
        </w:rPr>
      </w:pPr>
      <w:r>
        <w:rPr>
          <w:spacing w:val="2"/>
          <w:sz w:val="20"/>
          <w:szCs w:val="20"/>
        </w:rPr>
        <w:t>●研发、运维的融合。减轻运维的压力，将运</w:t>
      </w:r>
      <w:r>
        <w:rPr>
          <w:spacing w:val="1"/>
          <w:sz w:val="20"/>
          <w:szCs w:val="20"/>
        </w:rPr>
        <w:t>维和研发融合在一起。</w:t>
      </w:r>
    </w:p>
    <w:p w14:paraId="75474DEB">
      <w:pPr>
        <w:spacing w:line="430" w:lineRule="auto"/>
        <w:rPr>
          <w:rFonts w:ascii="Arial"/>
          <w:sz w:val="21"/>
        </w:rPr>
      </w:pPr>
    </w:p>
    <w:p w14:paraId="38C60EAF">
      <w:pPr>
        <w:pStyle w:val="2"/>
        <w:spacing w:before="66" w:line="222" w:lineRule="auto"/>
        <w:ind w:left="2"/>
        <w:rPr>
          <w:rFonts w:ascii="黑体" w:hAnsi="黑体" w:eastAsia="黑体" w:cs="黑体"/>
          <w:sz w:val="20"/>
          <w:szCs w:val="20"/>
        </w:rPr>
      </w:pPr>
      <w:r>
        <w:rPr>
          <w:b/>
          <w:bCs/>
          <w:color w:val="0080E2"/>
          <w:spacing w:val="-8"/>
          <w:sz w:val="20"/>
          <w:szCs w:val="20"/>
        </w:rPr>
        <w:t>2.4</w:t>
      </w:r>
      <w:r>
        <w:rPr>
          <w:color w:val="0080E2"/>
          <w:spacing w:val="28"/>
          <w:sz w:val="20"/>
          <w:szCs w:val="20"/>
        </w:rPr>
        <w:t xml:space="preserve">   </w:t>
      </w:r>
      <w:r>
        <w:rPr>
          <w:rFonts w:ascii="黑体" w:hAnsi="黑体" w:eastAsia="黑体" w:cs="黑体"/>
          <w:b/>
          <w:bCs/>
          <w:color w:val="0080E2"/>
          <w:spacing w:val="-8"/>
          <w:sz w:val="20"/>
          <w:szCs w:val="20"/>
        </w:rPr>
        <w:t>数</w:t>
      </w:r>
      <w:r>
        <w:rPr>
          <w:rFonts w:ascii="黑体" w:hAnsi="黑体" w:eastAsia="黑体" w:cs="黑体"/>
          <w:color w:val="0080E2"/>
          <w:spacing w:val="19"/>
          <w:sz w:val="20"/>
          <w:szCs w:val="20"/>
        </w:rPr>
        <w:t xml:space="preserve"> </w:t>
      </w:r>
      <w:r>
        <w:rPr>
          <w:rFonts w:ascii="黑体" w:hAnsi="黑体" w:eastAsia="黑体" w:cs="黑体"/>
          <w:b/>
          <w:bCs/>
          <w:color w:val="0080E2"/>
          <w:spacing w:val="-8"/>
          <w:sz w:val="20"/>
          <w:szCs w:val="20"/>
        </w:rPr>
        <w:t>据</w:t>
      </w:r>
      <w:r>
        <w:rPr>
          <w:rFonts w:ascii="黑体" w:hAnsi="黑体" w:eastAsia="黑体" w:cs="黑体"/>
          <w:color w:val="0080E2"/>
          <w:spacing w:val="18"/>
          <w:sz w:val="20"/>
          <w:szCs w:val="20"/>
        </w:rPr>
        <w:t xml:space="preserve"> </w:t>
      </w:r>
      <w:r>
        <w:rPr>
          <w:rFonts w:ascii="黑体" w:hAnsi="黑体" w:eastAsia="黑体" w:cs="黑体"/>
          <w:b/>
          <w:bCs/>
          <w:color w:val="0080E2"/>
          <w:spacing w:val="-8"/>
          <w:sz w:val="20"/>
          <w:szCs w:val="20"/>
        </w:rPr>
        <w:t>工</w:t>
      </w:r>
      <w:r>
        <w:rPr>
          <w:rFonts w:ascii="黑体" w:hAnsi="黑体" w:eastAsia="黑体" w:cs="黑体"/>
          <w:color w:val="0080E2"/>
          <w:spacing w:val="17"/>
          <w:sz w:val="20"/>
          <w:szCs w:val="20"/>
        </w:rPr>
        <w:t xml:space="preserve"> </w:t>
      </w:r>
      <w:r>
        <w:rPr>
          <w:rFonts w:ascii="黑体" w:hAnsi="黑体" w:eastAsia="黑体" w:cs="黑体"/>
          <w:b/>
          <w:bCs/>
          <w:color w:val="0080E2"/>
          <w:spacing w:val="-8"/>
          <w:sz w:val="20"/>
          <w:szCs w:val="20"/>
        </w:rPr>
        <w:t>程</w:t>
      </w:r>
    </w:p>
    <w:p w14:paraId="012C2612">
      <w:pPr>
        <w:pStyle w:val="2"/>
        <w:spacing w:before="282" w:line="281" w:lineRule="auto"/>
        <w:ind w:right="173" w:firstLine="419"/>
        <w:jc w:val="both"/>
        <w:rPr>
          <w:sz w:val="20"/>
          <w:szCs w:val="20"/>
        </w:rPr>
      </w:pPr>
      <w:r>
        <w:rPr>
          <w:sz w:val="20"/>
          <w:szCs w:val="20"/>
        </w:rPr>
        <w:t>数据工程是信息系统的基础工程，围绕数据的生命周期，规范数</w:t>
      </w:r>
      <w:r>
        <w:rPr>
          <w:spacing w:val="-1"/>
          <w:sz w:val="20"/>
          <w:szCs w:val="20"/>
        </w:rPr>
        <w:t>据从产生到应用的全过程。</w:t>
      </w:r>
      <w:r>
        <w:rPr>
          <w:sz w:val="20"/>
          <w:szCs w:val="20"/>
        </w:rPr>
        <w:t xml:space="preserve"> </w:t>
      </w:r>
      <w:r>
        <w:rPr>
          <w:spacing w:val="3"/>
          <w:sz w:val="20"/>
          <w:szCs w:val="20"/>
        </w:rPr>
        <w:t>数据工程的目标是为信息系统的运行提供可靠的数据保障和服务，为信息系统之</w:t>
      </w:r>
      <w:r>
        <w:rPr>
          <w:spacing w:val="2"/>
          <w:sz w:val="20"/>
          <w:szCs w:val="20"/>
        </w:rPr>
        <w:t>间的数据共享</w:t>
      </w:r>
      <w:r>
        <w:rPr>
          <w:sz w:val="20"/>
          <w:szCs w:val="20"/>
        </w:rPr>
        <w:t xml:space="preserve">  </w:t>
      </w:r>
      <w:r>
        <w:rPr>
          <w:spacing w:val="3"/>
          <w:sz w:val="20"/>
          <w:szCs w:val="20"/>
        </w:rPr>
        <w:t>提供安全、高效的支撑环境，为信息系统实现互连、互通、互操作提供有力的数据支撑</w:t>
      </w:r>
      <w:r>
        <w:rPr>
          <w:spacing w:val="2"/>
          <w:sz w:val="20"/>
          <w:szCs w:val="20"/>
        </w:rPr>
        <w:t>。数据</w:t>
      </w:r>
      <w:r>
        <w:rPr>
          <w:sz w:val="20"/>
          <w:szCs w:val="20"/>
        </w:rPr>
        <w:t xml:space="preserve">  </w:t>
      </w:r>
      <w:r>
        <w:rPr>
          <w:spacing w:val="3"/>
          <w:sz w:val="20"/>
          <w:szCs w:val="20"/>
        </w:rPr>
        <w:t>工程的主要研究内容包括数据建模、数据标准化、数据运维、数据开发利用</w:t>
      </w:r>
      <w:r>
        <w:rPr>
          <w:spacing w:val="2"/>
          <w:sz w:val="20"/>
          <w:szCs w:val="20"/>
        </w:rPr>
        <w:t>和数据库安全等理</w:t>
      </w:r>
      <w:r>
        <w:rPr>
          <w:sz w:val="20"/>
          <w:szCs w:val="20"/>
        </w:rPr>
        <w:t xml:space="preserve">  </w:t>
      </w:r>
      <w:r>
        <w:rPr>
          <w:spacing w:val="-7"/>
          <w:sz w:val="20"/>
          <w:szCs w:val="20"/>
        </w:rPr>
        <w:t>论和技术。</w:t>
      </w:r>
    </w:p>
    <w:p w14:paraId="18ABF4B8">
      <w:pPr>
        <w:pStyle w:val="2"/>
        <w:spacing w:before="238" w:line="219" w:lineRule="auto"/>
        <w:ind w:left="2"/>
        <w:rPr>
          <w:sz w:val="25"/>
          <w:szCs w:val="25"/>
        </w:rPr>
      </w:pPr>
      <w:r>
        <w:rPr>
          <w:b/>
          <w:bCs/>
          <w:color w:val="0078C8"/>
          <w:spacing w:val="-17"/>
          <w:sz w:val="25"/>
          <w:szCs w:val="25"/>
        </w:rPr>
        <w:t>2.4.1</w:t>
      </w:r>
      <w:r>
        <w:rPr>
          <w:color w:val="0078C8"/>
          <w:spacing w:val="80"/>
          <w:sz w:val="25"/>
          <w:szCs w:val="25"/>
        </w:rPr>
        <w:t xml:space="preserve"> </w:t>
      </w:r>
      <w:r>
        <w:rPr>
          <w:b/>
          <w:bCs/>
          <w:color w:val="0078C8"/>
          <w:spacing w:val="-17"/>
          <w:sz w:val="25"/>
          <w:szCs w:val="25"/>
        </w:rPr>
        <w:t>数据建模</w:t>
      </w:r>
    </w:p>
    <w:p w14:paraId="66B73FA7">
      <w:pPr>
        <w:pStyle w:val="2"/>
        <w:spacing w:before="154" w:line="291" w:lineRule="auto"/>
        <w:ind w:right="265" w:firstLine="419"/>
        <w:rPr>
          <w:sz w:val="20"/>
          <w:szCs w:val="20"/>
        </w:rPr>
      </w:pPr>
      <w:r>
        <w:rPr>
          <w:spacing w:val="2"/>
          <w:sz w:val="20"/>
          <w:szCs w:val="20"/>
        </w:rPr>
        <w:t>数据建模是对现实世界中具体的人、物、活动、概念进行抽象、表示和处理，变成计算机</w:t>
      </w:r>
      <w:r>
        <w:rPr>
          <w:spacing w:val="18"/>
          <w:sz w:val="20"/>
          <w:szCs w:val="20"/>
        </w:rPr>
        <w:t xml:space="preserve"> </w:t>
      </w:r>
      <w:r>
        <w:rPr>
          <w:spacing w:val="-2"/>
          <w:sz w:val="20"/>
          <w:szCs w:val="20"/>
        </w:rPr>
        <w:t>可处理的数据，也就是把现实世界中的数据从现实世界抽象到信息世界和计算机世界。</w:t>
      </w:r>
    </w:p>
    <w:p w14:paraId="706BE9B1">
      <w:pPr>
        <w:pStyle w:val="2"/>
        <w:spacing w:before="107" w:line="222" w:lineRule="auto"/>
        <w:ind w:left="422"/>
        <w:rPr>
          <w:rFonts w:ascii="黑体" w:hAnsi="黑体" w:eastAsia="黑体" w:cs="黑体"/>
          <w:sz w:val="20"/>
          <w:szCs w:val="20"/>
        </w:rPr>
      </w:pPr>
      <w:r>
        <w:rPr>
          <w:b/>
          <w:bCs/>
          <w:color w:val="0083DB"/>
          <w:spacing w:val="-2"/>
          <w:sz w:val="20"/>
          <w:szCs w:val="20"/>
        </w:rPr>
        <w:t>1.</w:t>
      </w:r>
      <w:r>
        <w:rPr>
          <w:rFonts w:ascii="黑体" w:hAnsi="黑体" w:eastAsia="黑体" w:cs="黑体"/>
          <w:b/>
          <w:bCs/>
          <w:color w:val="0083DB"/>
          <w:spacing w:val="-2"/>
          <w:sz w:val="20"/>
          <w:szCs w:val="20"/>
        </w:rPr>
        <w:t>数据模型</w:t>
      </w:r>
    </w:p>
    <w:p w14:paraId="02974384">
      <w:pPr>
        <w:pStyle w:val="2"/>
        <w:spacing w:before="133" w:line="219" w:lineRule="auto"/>
        <w:ind w:left="419"/>
        <w:rPr>
          <w:sz w:val="20"/>
          <w:szCs w:val="20"/>
        </w:rPr>
      </w:pPr>
      <w:r>
        <w:rPr>
          <w:spacing w:val="-1"/>
          <w:sz w:val="20"/>
          <w:szCs w:val="20"/>
        </w:rPr>
        <w:t>根据模型应用的目的不同，可以将数据模型划分为三类：概念模型、逻辑模型和物理模型。</w:t>
      </w:r>
    </w:p>
    <w:p w14:paraId="79078513">
      <w:pPr>
        <w:spacing w:before="157" w:line="232" w:lineRule="auto"/>
        <w:ind w:left="419"/>
        <w:rPr>
          <w:rFonts w:ascii="楷体" w:hAnsi="楷体" w:eastAsia="楷体" w:cs="楷体"/>
          <w:sz w:val="20"/>
          <w:szCs w:val="20"/>
        </w:rPr>
      </w:pPr>
      <w:r>
        <w:rPr>
          <w:rFonts w:ascii="楷体" w:hAnsi="楷体" w:eastAsia="楷体" w:cs="楷体"/>
          <w:spacing w:val="14"/>
          <w:sz w:val="20"/>
          <w:szCs w:val="20"/>
        </w:rPr>
        <w:t>1)概念模型</w:t>
      </w:r>
    </w:p>
    <w:p w14:paraId="5A4164AB">
      <w:pPr>
        <w:pStyle w:val="2"/>
        <w:spacing w:before="54" w:line="274" w:lineRule="auto"/>
        <w:ind w:right="251" w:firstLine="419"/>
        <w:rPr>
          <w:sz w:val="20"/>
          <w:szCs w:val="20"/>
        </w:rPr>
      </w:pPr>
      <w:r>
        <w:rPr>
          <w:spacing w:val="3"/>
          <w:sz w:val="20"/>
          <w:szCs w:val="20"/>
        </w:rPr>
        <w:t>概念模型也称信息模型，它是按用户的观点对数据和信息建模，也就是说</w:t>
      </w:r>
      <w:r>
        <w:rPr>
          <w:spacing w:val="2"/>
          <w:sz w:val="20"/>
          <w:szCs w:val="20"/>
        </w:rPr>
        <w:t>，把现实世界中</w:t>
      </w:r>
      <w:r>
        <w:rPr>
          <w:sz w:val="20"/>
          <w:szCs w:val="20"/>
        </w:rPr>
        <w:t xml:space="preserve"> </w:t>
      </w:r>
      <w:r>
        <w:rPr>
          <w:spacing w:val="3"/>
          <w:sz w:val="20"/>
          <w:szCs w:val="20"/>
        </w:rPr>
        <w:t>的客观对象抽象为某一种信息结构，这种信息结构不依赖于具体的计算机系统，</w:t>
      </w:r>
      <w:r>
        <w:rPr>
          <w:spacing w:val="2"/>
          <w:sz w:val="20"/>
          <w:szCs w:val="20"/>
        </w:rPr>
        <w:t>也不对应某个</w:t>
      </w:r>
      <w:r>
        <w:rPr>
          <w:sz w:val="20"/>
          <w:szCs w:val="20"/>
        </w:rPr>
        <w:t xml:space="preserve"> 具体的数据库管理系统</w:t>
      </w:r>
      <w:r>
        <w:rPr>
          <w:spacing w:val="-59"/>
          <w:sz w:val="20"/>
          <w:szCs w:val="20"/>
        </w:rPr>
        <w:t xml:space="preserve"> </w:t>
      </w:r>
      <w:r>
        <w:rPr>
          <w:rFonts w:ascii="Times New Roman" w:hAnsi="Times New Roman" w:eastAsia="Times New Roman" w:cs="Times New Roman"/>
          <w:sz w:val="20"/>
          <w:szCs w:val="20"/>
        </w:rPr>
        <w:t xml:space="preserve">(Database    Management  </w:t>
      </w:r>
      <w:r>
        <w:rPr>
          <w:rFonts w:ascii="Times New Roman" w:hAnsi="Times New Roman" w:eastAsia="Times New Roman" w:cs="Times New Roman"/>
          <w:spacing w:val="-1"/>
          <w:sz w:val="20"/>
          <w:szCs w:val="20"/>
        </w:rPr>
        <w:t xml:space="preserve">   System,DBMS),</w:t>
      </w:r>
      <w:r>
        <w:rPr>
          <w:rFonts w:ascii="Times New Roman" w:hAnsi="Times New Roman" w:eastAsia="Times New Roman" w:cs="Times New Roman"/>
          <w:spacing w:val="39"/>
          <w:w w:val="101"/>
          <w:sz w:val="20"/>
          <w:szCs w:val="20"/>
        </w:rPr>
        <w:t xml:space="preserve"> </w:t>
      </w:r>
      <w:r>
        <w:rPr>
          <w:spacing w:val="-1"/>
          <w:sz w:val="20"/>
          <w:szCs w:val="20"/>
        </w:rPr>
        <w:t>它是概念级别的模型。</w:t>
      </w:r>
    </w:p>
    <w:p w14:paraId="4B5E2F5C">
      <w:pPr>
        <w:spacing w:before="107" w:line="224" w:lineRule="auto"/>
        <w:ind w:left="419"/>
        <w:rPr>
          <w:rFonts w:ascii="楷体" w:hAnsi="楷体" w:eastAsia="楷体" w:cs="楷体"/>
          <w:sz w:val="20"/>
          <w:szCs w:val="20"/>
        </w:rPr>
      </w:pPr>
      <w:r>
        <w:rPr>
          <w:rFonts w:ascii="楷体" w:hAnsi="楷体" w:eastAsia="楷体" w:cs="楷体"/>
          <w:spacing w:val="19"/>
          <w:sz w:val="20"/>
          <w:szCs w:val="20"/>
        </w:rPr>
        <w:t>2)逻辑模型</w:t>
      </w:r>
    </w:p>
    <w:p w14:paraId="184E8E1C">
      <w:pPr>
        <w:pStyle w:val="2"/>
        <w:spacing w:before="71" w:line="277" w:lineRule="auto"/>
        <w:ind w:right="173" w:firstLine="419"/>
        <w:rPr>
          <w:sz w:val="20"/>
          <w:szCs w:val="20"/>
        </w:rPr>
      </w:pPr>
      <w:r>
        <w:rPr>
          <w:spacing w:val="5"/>
          <w:sz w:val="20"/>
          <w:szCs w:val="20"/>
        </w:rPr>
        <w:t>逻辑模型是在概念模型的基础上确定模型的数据结构，目前主要的数据结</w:t>
      </w:r>
      <w:r>
        <w:rPr>
          <w:spacing w:val="4"/>
          <w:sz w:val="20"/>
          <w:szCs w:val="20"/>
        </w:rPr>
        <w:t>构有层次模型、</w:t>
      </w:r>
      <w:r>
        <w:rPr>
          <w:sz w:val="20"/>
          <w:szCs w:val="20"/>
        </w:rPr>
        <w:t xml:space="preserve"> </w:t>
      </w:r>
      <w:r>
        <w:rPr>
          <w:spacing w:val="3"/>
          <w:sz w:val="20"/>
          <w:szCs w:val="20"/>
        </w:rPr>
        <w:t>网状模型、关系模型、面向对象模型和对象关系模型。其中，关系模型是目前最重要的一种逻</w:t>
      </w:r>
      <w:r>
        <w:rPr>
          <w:spacing w:val="13"/>
          <w:sz w:val="20"/>
          <w:szCs w:val="20"/>
        </w:rPr>
        <w:t xml:space="preserve"> </w:t>
      </w:r>
      <w:r>
        <w:rPr>
          <w:spacing w:val="-6"/>
          <w:sz w:val="20"/>
          <w:szCs w:val="20"/>
        </w:rPr>
        <w:t>辑数据模型。</w:t>
      </w:r>
    </w:p>
    <w:p w14:paraId="01F92396">
      <w:pPr>
        <w:pStyle w:val="2"/>
        <w:spacing w:before="27" w:line="272" w:lineRule="auto"/>
        <w:ind w:right="173" w:firstLine="419"/>
        <w:jc w:val="both"/>
        <w:rPr>
          <w:sz w:val="20"/>
          <w:szCs w:val="20"/>
        </w:rPr>
      </w:pPr>
      <w:r>
        <w:rPr>
          <w:spacing w:val="3"/>
          <w:sz w:val="20"/>
          <w:szCs w:val="20"/>
        </w:rPr>
        <w:t>关系模型的基本元素包括关系、关系的属性、视图等。关系模型是在概念模型的基础上构</w:t>
      </w:r>
      <w:r>
        <w:rPr>
          <w:spacing w:val="5"/>
          <w:sz w:val="20"/>
          <w:szCs w:val="20"/>
        </w:rPr>
        <w:t xml:space="preserve"> </w:t>
      </w:r>
      <w:r>
        <w:rPr>
          <w:spacing w:val="3"/>
          <w:sz w:val="20"/>
          <w:szCs w:val="20"/>
        </w:rPr>
        <w:t>建的。关系数据模型的数据操作主要包括查询、插入、删除和更新数据，这些操作必须满足关</w:t>
      </w:r>
      <w:r>
        <w:rPr>
          <w:spacing w:val="15"/>
          <w:sz w:val="20"/>
          <w:szCs w:val="20"/>
        </w:rPr>
        <w:t xml:space="preserve"> </w:t>
      </w:r>
      <w:r>
        <w:rPr>
          <w:sz w:val="20"/>
          <w:szCs w:val="20"/>
        </w:rPr>
        <w:t>系的完整性约束条件。关系的完整性约束包括：实体完整性、参照完整性和用户定义的完整性。</w:t>
      </w:r>
      <w:r>
        <w:rPr>
          <w:spacing w:val="9"/>
          <w:sz w:val="20"/>
          <w:szCs w:val="20"/>
        </w:rPr>
        <w:t xml:space="preserve"> </w:t>
      </w:r>
      <w:r>
        <w:rPr>
          <w:spacing w:val="3"/>
          <w:sz w:val="20"/>
          <w:szCs w:val="20"/>
        </w:rPr>
        <w:t>其中，实体完整性、参照完整性是关系模型必须满足的完整性约束条件，用户定义的完整性是</w:t>
      </w:r>
      <w:r>
        <w:rPr>
          <w:spacing w:val="16"/>
          <w:sz w:val="20"/>
          <w:szCs w:val="20"/>
        </w:rPr>
        <w:t xml:space="preserve"> </w:t>
      </w:r>
      <w:r>
        <w:rPr>
          <w:spacing w:val="-1"/>
          <w:sz w:val="20"/>
          <w:szCs w:val="20"/>
        </w:rPr>
        <w:t>应用领域需要遵照的约束条件，体现了具体</w:t>
      </w:r>
      <w:r>
        <w:rPr>
          <w:spacing w:val="-2"/>
          <w:sz w:val="20"/>
          <w:szCs w:val="20"/>
        </w:rPr>
        <w:t>领域中的语义约束。</w:t>
      </w:r>
    </w:p>
    <w:p w14:paraId="5F1AC3F8">
      <w:pPr>
        <w:spacing w:before="134" w:line="232" w:lineRule="auto"/>
        <w:ind w:left="419"/>
        <w:rPr>
          <w:rFonts w:ascii="楷体" w:hAnsi="楷体" w:eastAsia="楷体" w:cs="楷体"/>
          <w:sz w:val="20"/>
          <w:szCs w:val="20"/>
        </w:rPr>
      </w:pPr>
      <w:r>
        <w:rPr>
          <w:rFonts w:ascii="楷体" w:hAnsi="楷体" w:eastAsia="楷体" w:cs="楷体"/>
          <w:spacing w:val="19"/>
          <w:sz w:val="20"/>
          <w:szCs w:val="20"/>
        </w:rPr>
        <w:t>3)物理模型</w:t>
      </w:r>
    </w:p>
    <w:p w14:paraId="0E15376F">
      <w:pPr>
        <w:pStyle w:val="2"/>
        <w:spacing w:before="72" w:line="219" w:lineRule="auto"/>
        <w:ind w:left="419"/>
        <w:rPr>
          <w:sz w:val="20"/>
          <w:szCs w:val="20"/>
        </w:rPr>
      </w:pPr>
      <w:r>
        <w:rPr>
          <w:spacing w:val="3"/>
          <w:sz w:val="20"/>
          <w:szCs w:val="20"/>
        </w:rPr>
        <w:t>物理模型是在逻辑模型的基础上，考虑各种具体的技术实现因素，进行数据库体系结构设</w:t>
      </w:r>
    </w:p>
    <w:p w14:paraId="176CBE35">
      <w:pPr>
        <w:spacing w:line="219" w:lineRule="auto"/>
        <w:rPr>
          <w:sz w:val="20"/>
          <w:szCs w:val="20"/>
        </w:rPr>
        <w:sectPr>
          <w:pgSz w:w="10300" w:h="13300"/>
          <w:pgMar w:top="400" w:right="606" w:bottom="400" w:left="1110" w:header="0" w:footer="0" w:gutter="0"/>
          <w:cols w:space="720" w:num="1"/>
        </w:sectPr>
      </w:pPr>
    </w:p>
    <w:p w14:paraId="073223EF">
      <w:pPr>
        <w:pStyle w:val="2"/>
        <w:spacing w:before="48" w:line="219" w:lineRule="auto"/>
        <w:rPr>
          <w:sz w:val="20"/>
          <w:szCs w:val="20"/>
        </w:rPr>
      </w:pPr>
      <w:r>
        <w:rPr>
          <w:rFonts w:ascii="Times New Roman" w:hAnsi="Times New Roman" w:eastAsia="Times New Roman" w:cs="Times New Roman"/>
          <w:spacing w:val="-2"/>
          <w:position w:val="1"/>
          <w:sz w:val="20"/>
          <w:szCs w:val="20"/>
        </w:rPr>
        <w:t>68</w:t>
      </w:r>
      <w:r>
        <w:rPr>
          <w:rFonts w:ascii="Times New Roman" w:hAnsi="Times New Roman" w:eastAsia="Times New Roman" w:cs="Times New Roman"/>
          <w:spacing w:val="3"/>
          <w:position w:val="1"/>
          <w:sz w:val="20"/>
          <w:szCs w:val="20"/>
        </w:rPr>
        <w:t xml:space="preserve">              </w:t>
      </w:r>
      <w:r>
        <w:rPr>
          <w:spacing w:val="-2"/>
          <w:sz w:val="20"/>
          <w:szCs w:val="20"/>
        </w:rPr>
        <w:t>信息系统监理师教程(第2版)</w:t>
      </w:r>
    </w:p>
    <w:p w14:paraId="143F7111">
      <w:pPr>
        <w:spacing w:line="297" w:lineRule="auto"/>
        <w:rPr>
          <w:rFonts w:ascii="Arial"/>
          <w:sz w:val="21"/>
        </w:rPr>
      </w:pPr>
    </w:p>
    <w:p w14:paraId="2C331583">
      <w:pPr>
        <w:pStyle w:val="2"/>
        <w:spacing w:before="65" w:line="290" w:lineRule="auto"/>
        <w:ind w:left="309" w:right="66"/>
        <w:jc w:val="both"/>
        <w:rPr>
          <w:sz w:val="20"/>
          <w:szCs w:val="20"/>
        </w:rPr>
      </w:pPr>
      <w:r>
        <w:rPr>
          <w:spacing w:val="3"/>
          <w:sz w:val="20"/>
          <w:szCs w:val="20"/>
        </w:rPr>
        <w:t>计，真正实现数据在数据库中的存放。物理模型的内容包括确定所有的表和列，定义外键用于</w:t>
      </w:r>
      <w:r>
        <w:rPr>
          <w:spacing w:val="8"/>
          <w:sz w:val="20"/>
          <w:szCs w:val="20"/>
        </w:rPr>
        <w:t xml:space="preserve"> </w:t>
      </w:r>
      <w:r>
        <w:rPr>
          <w:spacing w:val="3"/>
          <w:sz w:val="20"/>
          <w:szCs w:val="20"/>
        </w:rPr>
        <w:t>确定表之间的关系，基于性能的需求可能进行反规范化处理等。物理模型的目标是如何用数据</w:t>
      </w:r>
      <w:r>
        <w:rPr>
          <w:spacing w:val="8"/>
          <w:sz w:val="20"/>
          <w:szCs w:val="20"/>
        </w:rPr>
        <w:t xml:space="preserve"> </w:t>
      </w:r>
      <w:r>
        <w:rPr>
          <w:spacing w:val="3"/>
          <w:sz w:val="20"/>
          <w:szCs w:val="20"/>
        </w:rPr>
        <w:t>库模式来实现数据的逻辑模型，以及真正地保存数据。物理模型的基本元素包括表、字段、视</w:t>
      </w:r>
      <w:r>
        <w:rPr>
          <w:spacing w:val="4"/>
          <w:sz w:val="20"/>
          <w:szCs w:val="20"/>
        </w:rPr>
        <w:t xml:space="preserve"> </w:t>
      </w:r>
      <w:r>
        <w:rPr>
          <w:spacing w:val="3"/>
          <w:sz w:val="20"/>
          <w:szCs w:val="20"/>
        </w:rPr>
        <w:t>图、索引、存储过程、触发器等，其中表、字段和视图等元素与逻辑模型中的基本元素有一定</w:t>
      </w:r>
      <w:r>
        <w:rPr>
          <w:spacing w:val="9"/>
          <w:sz w:val="20"/>
          <w:szCs w:val="20"/>
        </w:rPr>
        <w:t xml:space="preserve"> </w:t>
      </w:r>
      <w:r>
        <w:rPr>
          <w:spacing w:val="-8"/>
          <w:sz w:val="20"/>
          <w:szCs w:val="20"/>
        </w:rPr>
        <w:t>的对应关系。</w:t>
      </w:r>
    </w:p>
    <w:p w14:paraId="0FF26764">
      <w:pPr>
        <w:pStyle w:val="2"/>
        <w:spacing w:before="103" w:line="222" w:lineRule="auto"/>
        <w:ind w:left="722"/>
        <w:rPr>
          <w:rFonts w:ascii="黑体" w:hAnsi="黑体" w:eastAsia="黑体" w:cs="黑体"/>
          <w:sz w:val="20"/>
          <w:szCs w:val="20"/>
        </w:rPr>
      </w:pPr>
      <w:r>
        <w:rPr>
          <w:b/>
          <w:bCs/>
          <w:color w:val="0694E7"/>
          <w:spacing w:val="-4"/>
          <w:sz w:val="20"/>
          <w:szCs w:val="20"/>
        </w:rPr>
        <w:t>2.</w:t>
      </w:r>
      <w:r>
        <w:rPr>
          <w:rFonts w:ascii="黑体" w:hAnsi="黑体" w:eastAsia="黑体" w:cs="黑体"/>
          <w:b/>
          <w:bCs/>
          <w:color w:val="0694E7"/>
          <w:spacing w:val="-4"/>
          <w:sz w:val="20"/>
          <w:szCs w:val="20"/>
        </w:rPr>
        <w:t>数据建模过程</w:t>
      </w:r>
    </w:p>
    <w:p w14:paraId="6FB08680">
      <w:pPr>
        <w:pStyle w:val="2"/>
        <w:spacing w:before="152" w:line="291" w:lineRule="auto"/>
        <w:ind w:left="309" w:right="50" w:firstLine="410"/>
        <w:rPr>
          <w:sz w:val="20"/>
          <w:szCs w:val="20"/>
        </w:rPr>
      </w:pPr>
      <w:r>
        <w:rPr>
          <w:spacing w:val="4"/>
          <w:sz w:val="20"/>
          <w:szCs w:val="20"/>
        </w:rPr>
        <w:t>通常来说，数据建模过程包括数据需求分析、概</w:t>
      </w:r>
      <w:r>
        <w:rPr>
          <w:spacing w:val="3"/>
          <w:sz w:val="20"/>
          <w:szCs w:val="20"/>
        </w:rPr>
        <w:t>念模型设计、逻辑模型设计和物理模型设</w:t>
      </w:r>
      <w:r>
        <w:rPr>
          <w:sz w:val="20"/>
          <w:szCs w:val="20"/>
        </w:rPr>
        <w:t xml:space="preserve"> </w:t>
      </w:r>
      <w:r>
        <w:rPr>
          <w:spacing w:val="-6"/>
          <w:sz w:val="20"/>
          <w:szCs w:val="20"/>
        </w:rPr>
        <w:t>计等过程。</w:t>
      </w:r>
    </w:p>
    <w:p w14:paraId="50FFEA9B">
      <w:pPr>
        <w:pStyle w:val="2"/>
        <w:spacing w:before="2" w:line="276" w:lineRule="auto"/>
        <w:ind w:left="309" w:right="67" w:firstLine="410"/>
        <w:rPr>
          <w:sz w:val="20"/>
          <w:szCs w:val="20"/>
        </w:rPr>
      </w:pPr>
      <w:r>
        <w:rPr>
          <w:spacing w:val="6"/>
          <w:sz w:val="20"/>
          <w:szCs w:val="20"/>
        </w:rPr>
        <w:t>(1)数据需求分析。简单地说，数据需求分析</w:t>
      </w:r>
      <w:r>
        <w:rPr>
          <w:spacing w:val="5"/>
          <w:sz w:val="20"/>
          <w:szCs w:val="20"/>
        </w:rPr>
        <w:t>就是分析用户对数据的需要和要求。数据需</w:t>
      </w:r>
      <w:r>
        <w:rPr>
          <w:sz w:val="20"/>
          <w:szCs w:val="20"/>
        </w:rPr>
        <w:t xml:space="preserve"> </w:t>
      </w:r>
      <w:r>
        <w:rPr>
          <w:spacing w:val="3"/>
          <w:sz w:val="20"/>
          <w:szCs w:val="20"/>
        </w:rPr>
        <w:t>求分析是数据建模的起点，数据需求掌握的准确程度将直接影响后续阶段数据模型的质量。数</w:t>
      </w:r>
      <w:r>
        <w:rPr>
          <w:spacing w:val="5"/>
          <w:sz w:val="20"/>
          <w:szCs w:val="20"/>
        </w:rPr>
        <w:t xml:space="preserve"> </w:t>
      </w:r>
      <w:r>
        <w:rPr>
          <w:spacing w:val="3"/>
          <w:sz w:val="20"/>
          <w:szCs w:val="20"/>
        </w:rPr>
        <w:t>据需求分析通常不是单独进行的，而是融合在整个系统需求分析的过程之中。数据需求分析采</w:t>
      </w:r>
      <w:r>
        <w:rPr>
          <w:spacing w:val="5"/>
          <w:sz w:val="20"/>
          <w:szCs w:val="20"/>
        </w:rPr>
        <w:t xml:space="preserve"> </w:t>
      </w:r>
      <w:r>
        <w:rPr>
          <w:spacing w:val="-1"/>
          <w:sz w:val="20"/>
          <w:szCs w:val="20"/>
        </w:rPr>
        <w:t>用数据流图作为工具，描述系统中数据的流动和数据变化，强调数据流和处理过</w:t>
      </w:r>
      <w:r>
        <w:rPr>
          <w:spacing w:val="-2"/>
          <w:sz w:val="20"/>
          <w:szCs w:val="20"/>
        </w:rPr>
        <w:t>程。</w:t>
      </w:r>
    </w:p>
    <w:p w14:paraId="409ADAA3">
      <w:pPr>
        <w:pStyle w:val="2"/>
        <w:spacing w:before="74" w:line="269" w:lineRule="auto"/>
        <w:ind w:left="309" w:right="69" w:firstLine="410"/>
        <w:rPr>
          <w:sz w:val="20"/>
          <w:szCs w:val="20"/>
        </w:rPr>
      </w:pPr>
      <w:r>
        <w:rPr>
          <w:spacing w:val="5"/>
          <w:sz w:val="20"/>
          <w:szCs w:val="20"/>
        </w:rPr>
        <w:t>(2)概念模型设计。经过需求分析阶段的充分调查，得到了用户数据开发利用需求，但是</w:t>
      </w:r>
      <w:r>
        <w:rPr>
          <w:spacing w:val="18"/>
          <w:sz w:val="20"/>
          <w:szCs w:val="20"/>
        </w:rPr>
        <w:t xml:space="preserve"> </w:t>
      </w:r>
      <w:r>
        <w:rPr>
          <w:spacing w:val="3"/>
          <w:sz w:val="20"/>
          <w:szCs w:val="20"/>
        </w:rPr>
        <w:t>这些应用需求还是现实世界的具体需求，需要首先把它们抽象为信息世界的结构，才能进一步</w:t>
      </w:r>
      <w:r>
        <w:rPr>
          <w:spacing w:val="6"/>
          <w:sz w:val="20"/>
          <w:szCs w:val="20"/>
        </w:rPr>
        <w:t xml:space="preserve"> </w:t>
      </w:r>
      <w:r>
        <w:rPr>
          <w:spacing w:val="3"/>
          <w:sz w:val="20"/>
          <w:szCs w:val="20"/>
        </w:rPr>
        <w:t>更好地、更准确地用某个</w:t>
      </w:r>
      <w:r>
        <w:rPr>
          <w:rFonts w:ascii="Times New Roman" w:hAnsi="Times New Roman" w:eastAsia="Times New Roman" w:cs="Times New Roman"/>
          <w:sz w:val="20"/>
          <w:szCs w:val="20"/>
        </w:rPr>
        <w:t>DBMS</w:t>
      </w:r>
      <w:r>
        <w:rPr>
          <w:rFonts w:ascii="Times New Roman" w:hAnsi="Times New Roman" w:eastAsia="Times New Roman" w:cs="Times New Roman"/>
          <w:spacing w:val="3"/>
          <w:sz w:val="20"/>
          <w:szCs w:val="20"/>
        </w:rPr>
        <w:t xml:space="preserve"> </w:t>
      </w:r>
      <w:r>
        <w:rPr>
          <w:spacing w:val="3"/>
          <w:sz w:val="20"/>
          <w:szCs w:val="20"/>
        </w:rPr>
        <w:t>来实现用户的这些需求。将需求分析得到的结</w:t>
      </w:r>
      <w:r>
        <w:rPr>
          <w:spacing w:val="2"/>
          <w:sz w:val="20"/>
          <w:szCs w:val="20"/>
        </w:rPr>
        <w:t>果抽象为概念模</w:t>
      </w:r>
      <w:r>
        <w:rPr>
          <w:sz w:val="20"/>
          <w:szCs w:val="20"/>
        </w:rPr>
        <w:t xml:space="preserve"> </w:t>
      </w:r>
      <w:r>
        <w:rPr>
          <w:spacing w:val="-2"/>
          <w:sz w:val="20"/>
          <w:szCs w:val="20"/>
        </w:rPr>
        <w:t>型的过程即概念模型设计，其任务是确定实体和数据及其关联。</w:t>
      </w:r>
    </w:p>
    <w:p w14:paraId="270B65F4">
      <w:pPr>
        <w:pStyle w:val="2"/>
        <w:spacing w:before="81" w:line="273" w:lineRule="auto"/>
        <w:ind w:left="309" w:right="56" w:firstLine="410"/>
        <w:rPr>
          <w:sz w:val="20"/>
          <w:szCs w:val="20"/>
        </w:rPr>
      </w:pPr>
      <w:r>
        <w:rPr>
          <w:spacing w:val="5"/>
          <w:sz w:val="20"/>
          <w:szCs w:val="20"/>
        </w:rPr>
        <w:t>(3)逻辑模型设计。概念模型独立于机器，更抽象，从而更加稳定，但是为了能够在具体</w:t>
      </w:r>
      <w:r>
        <w:rPr>
          <w:spacing w:val="17"/>
          <w:sz w:val="20"/>
          <w:szCs w:val="20"/>
        </w:rPr>
        <w:t xml:space="preserve"> </w:t>
      </w:r>
      <w:r>
        <w:rPr>
          <w:spacing w:val="8"/>
          <w:sz w:val="20"/>
          <w:szCs w:val="20"/>
        </w:rPr>
        <w:t>的</w:t>
      </w:r>
      <w:r>
        <w:rPr>
          <w:rFonts w:ascii="Times New Roman" w:hAnsi="Times New Roman" w:eastAsia="Times New Roman" w:cs="Times New Roman"/>
          <w:sz w:val="20"/>
          <w:szCs w:val="20"/>
        </w:rPr>
        <w:t>DBMS</w:t>
      </w:r>
      <w:r>
        <w:rPr>
          <w:rFonts w:ascii="Times New Roman" w:hAnsi="Times New Roman" w:eastAsia="Times New Roman" w:cs="Times New Roman"/>
          <w:spacing w:val="17"/>
          <w:sz w:val="20"/>
          <w:szCs w:val="20"/>
        </w:rPr>
        <w:t xml:space="preserve"> </w:t>
      </w:r>
      <w:r>
        <w:rPr>
          <w:spacing w:val="8"/>
          <w:sz w:val="20"/>
          <w:szCs w:val="20"/>
        </w:rPr>
        <w:t>上实现用户的需求，还必须在概念模型的基础</w:t>
      </w:r>
      <w:r>
        <w:rPr>
          <w:spacing w:val="7"/>
          <w:sz w:val="20"/>
          <w:szCs w:val="20"/>
        </w:rPr>
        <w:t>上进行逻辑模型的设计。由于现在的</w:t>
      </w:r>
      <w:r>
        <w:rPr>
          <w:sz w:val="20"/>
          <w:szCs w:val="20"/>
        </w:rPr>
        <w:t xml:space="preserve"> </w:t>
      </w:r>
      <w:r>
        <w:rPr>
          <w:rFonts w:ascii="Times New Roman" w:hAnsi="Times New Roman" w:eastAsia="Times New Roman" w:cs="Times New Roman"/>
          <w:sz w:val="20"/>
          <w:szCs w:val="20"/>
        </w:rPr>
        <w:t>DBMS</w:t>
      </w:r>
      <w:r>
        <w:rPr>
          <w:rFonts w:ascii="Times New Roman" w:hAnsi="Times New Roman" w:eastAsia="Times New Roman" w:cs="Times New Roman"/>
          <w:spacing w:val="3"/>
          <w:sz w:val="20"/>
          <w:szCs w:val="20"/>
        </w:rPr>
        <w:t xml:space="preserve"> </w:t>
      </w:r>
      <w:r>
        <w:rPr>
          <w:spacing w:val="3"/>
          <w:sz w:val="20"/>
          <w:szCs w:val="20"/>
        </w:rPr>
        <w:t>普遍都采用关系模型结构，因此逻辑模型设计主要指关系模型结构的设计。关系模型由</w:t>
      </w:r>
      <w:r>
        <w:rPr>
          <w:spacing w:val="8"/>
          <w:sz w:val="20"/>
          <w:szCs w:val="20"/>
        </w:rPr>
        <w:t xml:space="preserve"> </w:t>
      </w:r>
      <w:r>
        <w:rPr>
          <w:spacing w:val="2"/>
          <w:sz w:val="20"/>
          <w:szCs w:val="20"/>
        </w:rPr>
        <w:t>一组关系模式组成，</w:t>
      </w:r>
      <w:r>
        <w:rPr>
          <w:spacing w:val="-48"/>
          <w:sz w:val="20"/>
          <w:szCs w:val="20"/>
        </w:rPr>
        <w:t xml:space="preserve"> </w:t>
      </w:r>
      <w:r>
        <w:rPr>
          <w:spacing w:val="2"/>
          <w:sz w:val="20"/>
          <w:szCs w:val="20"/>
        </w:rPr>
        <w:t>一个关系模式就是一张二维表，逻辑模型设计的任务就是将概念模型中的</w:t>
      </w:r>
      <w:r>
        <w:rPr>
          <w:sz w:val="20"/>
          <w:szCs w:val="20"/>
        </w:rPr>
        <w:t xml:space="preserve"> </w:t>
      </w:r>
      <w:r>
        <w:rPr>
          <w:spacing w:val="-2"/>
          <w:sz w:val="20"/>
          <w:szCs w:val="20"/>
        </w:rPr>
        <w:t>实体、属性和关联转换为关系模型结构中的关系模式。</w:t>
      </w:r>
    </w:p>
    <w:p w14:paraId="4AE8BA2B">
      <w:pPr>
        <w:pStyle w:val="2"/>
        <w:spacing w:before="100" w:line="270" w:lineRule="auto"/>
        <w:ind w:left="309" w:right="70" w:firstLine="410"/>
        <w:rPr>
          <w:sz w:val="20"/>
          <w:szCs w:val="20"/>
        </w:rPr>
      </w:pPr>
      <w:r>
        <w:rPr>
          <w:spacing w:val="5"/>
          <w:sz w:val="20"/>
          <w:szCs w:val="20"/>
        </w:rPr>
        <w:t>(4)物理模型设计。经过概念模型设计和逻辑模型设计，数据模型设计的核心工作基本完</w:t>
      </w:r>
      <w:r>
        <w:rPr>
          <w:spacing w:val="18"/>
          <w:sz w:val="20"/>
          <w:szCs w:val="20"/>
        </w:rPr>
        <w:t xml:space="preserve"> </w:t>
      </w:r>
      <w:r>
        <w:rPr>
          <w:spacing w:val="8"/>
          <w:sz w:val="20"/>
          <w:szCs w:val="20"/>
        </w:rPr>
        <w:t>成，如果要将数据模型转换为真正的数据库结构，还需要针对具体的</w:t>
      </w:r>
      <w:r>
        <w:rPr>
          <w:rFonts w:ascii="Times New Roman" w:hAnsi="Times New Roman" w:eastAsia="Times New Roman" w:cs="Times New Roman"/>
          <w:sz w:val="20"/>
          <w:szCs w:val="20"/>
        </w:rPr>
        <w:t>DBMS</w:t>
      </w:r>
      <w:r>
        <w:rPr>
          <w:rFonts w:ascii="Times New Roman" w:hAnsi="Times New Roman" w:eastAsia="Times New Roman" w:cs="Times New Roman"/>
          <w:spacing w:val="8"/>
          <w:sz w:val="20"/>
          <w:szCs w:val="20"/>
        </w:rPr>
        <w:t xml:space="preserve"> </w:t>
      </w:r>
      <w:r>
        <w:rPr>
          <w:spacing w:val="8"/>
          <w:sz w:val="20"/>
          <w:szCs w:val="20"/>
        </w:rPr>
        <w:t>进行物理模型设</w:t>
      </w:r>
      <w:r>
        <w:rPr>
          <w:spacing w:val="7"/>
          <w:sz w:val="20"/>
          <w:szCs w:val="20"/>
        </w:rPr>
        <w:t xml:space="preserve"> </w:t>
      </w:r>
      <w:r>
        <w:rPr>
          <w:spacing w:val="3"/>
          <w:sz w:val="20"/>
          <w:szCs w:val="20"/>
        </w:rPr>
        <w:t>计，使数据模型走向数据存储应用环节。物理模型考虑的主要问题包括命名</w:t>
      </w:r>
      <w:r>
        <w:rPr>
          <w:spacing w:val="2"/>
          <w:sz w:val="20"/>
          <w:szCs w:val="20"/>
        </w:rPr>
        <w:t>、确定字段类型和</w:t>
      </w:r>
      <w:r>
        <w:rPr>
          <w:sz w:val="20"/>
          <w:szCs w:val="20"/>
        </w:rPr>
        <w:t xml:space="preserve"> </w:t>
      </w:r>
      <w:r>
        <w:rPr>
          <w:spacing w:val="-3"/>
          <w:sz w:val="20"/>
          <w:szCs w:val="20"/>
        </w:rPr>
        <w:t>编写必要的存储过程与触发器等。</w:t>
      </w:r>
    </w:p>
    <w:p w14:paraId="05E2DE33">
      <w:pPr>
        <w:pStyle w:val="2"/>
        <w:spacing w:before="241" w:line="219" w:lineRule="auto"/>
        <w:ind w:left="312"/>
        <w:rPr>
          <w:sz w:val="25"/>
          <w:szCs w:val="25"/>
        </w:rPr>
      </w:pPr>
      <w:r>
        <w:rPr>
          <w:b/>
          <w:bCs/>
          <w:color w:val="0074DA"/>
          <w:spacing w:val="-18"/>
          <w:sz w:val="25"/>
          <w:szCs w:val="25"/>
        </w:rPr>
        <w:t>2.4.2</w:t>
      </w:r>
      <w:r>
        <w:rPr>
          <w:color w:val="0074DA"/>
          <w:spacing w:val="-18"/>
          <w:sz w:val="25"/>
          <w:szCs w:val="25"/>
        </w:rPr>
        <w:t xml:space="preserve">  </w:t>
      </w:r>
      <w:r>
        <w:rPr>
          <w:b/>
          <w:bCs/>
          <w:color w:val="0074DA"/>
          <w:spacing w:val="-18"/>
          <w:sz w:val="25"/>
          <w:szCs w:val="25"/>
        </w:rPr>
        <w:t>数据标准化</w:t>
      </w:r>
    </w:p>
    <w:p w14:paraId="5F7EB953">
      <w:pPr>
        <w:pStyle w:val="2"/>
        <w:spacing w:before="177" w:line="279" w:lineRule="auto"/>
        <w:ind w:left="309" w:firstLine="410"/>
        <w:jc w:val="both"/>
        <w:rPr>
          <w:sz w:val="20"/>
          <w:szCs w:val="20"/>
        </w:rPr>
      </w:pPr>
      <w:r>
        <w:rPr>
          <w:spacing w:val="3"/>
          <w:sz w:val="20"/>
          <w:szCs w:val="20"/>
        </w:rPr>
        <w:t>数据标准化是实现数据共享的基础。数据标准化主要为复杂的信息表达、分类和定位建立</w:t>
      </w:r>
      <w:r>
        <w:rPr>
          <w:sz w:val="20"/>
          <w:szCs w:val="20"/>
        </w:rPr>
        <w:t xml:space="preserve"> 相应的原则和规范，使其简单化、结构化和标准化，从而实现信息的可理解、可比较和可共享， </w:t>
      </w:r>
      <w:r>
        <w:rPr>
          <w:spacing w:val="3"/>
          <w:sz w:val="20"/>
          <w:szCs w:val="20"/>
        </w:rPr>
        <w:t>为信息在异构系统之间实现语义互操作提供基础支撑。数据</w:t>
      </w:r>
      <w:r>
        <w:rPr>
          <w:spacing w:val="2"/>
          <w:sz w:val="20"/>
          <w:szCs w:val="20"/>
        </w:rPr>
        <w:t>标准化的主要内容包括元数据标准</w:t>
      </w:r>
      <w:r>
        <w:rPr>
          <w:sz w:val="20"/>
          <w:szCs w:val="20"/>
        </w:rPr>
        <w:t xml:space="preserve">  </w:t>
      </w:r>
      <w:r>
        <w:rPr>
          <w:spacing w:val="-2"/>
          <w:sz w:val="20"/>
          <w:szCs w:val="20"/>
        </w:rPr>
        <w:t>化、数据模式标准化和数据分类与编码标准化等。</w:t>
      </w:r>
    </w:p>
    <w:p w14:paraId="70903B32">
      <w:pPr>
        <w:pStyle w:val="2"/>
        <w:spacing w:before="106" w:line="222" w:lineRule="auto"/>
        <w:ind w:left="722"/>
        <w:rPr>
          <w:rFonts w:ascii="黑体" w:hAnsi="黑体" w:eastAsia="黑体" w:cs="黑体"/>
          <w:sz w:val="20"/>
          <w:szCs w:val="20"/>
        </w:rPr>
      </w:pPr>
      <w:r>
        <w:rPr>
          <w:b/>
          <w:bCs/>
          <w:color w:val="0068AE"/>
          <w:spacing w:val="-1"/>
          <w:sz w:val="20"/>
          <w:szCs w:val="20"/>
        </w:rPr>
        <w:t>1.</w:t>
      </w:r>
      <w:r>
        <w:rPr>
          <w:rFonts w:ascii="黑体" w:hAnsi="黑体" w:eastAsia="黑体" w:cs="黑体"/>
          <w:b/>
          <w:bCs/>
          <w:color w:val="0068AE"/>
          <w:spacing w:val="-1"/>
          <w:sz w:val="20"/>
          <w:szCs w:val="20"/>
        </w:rPr>
        <w:t>元数据标准化</w:t>
      </w:r>
    </w:p>
    <w:p w14:paraId="5DF60A7F">
      <w:pPr>
        <w:pStyle w:val="2"/>
        <w:spacing w:before="109" w:line="285" w:lineRule="auto"/>
        <w:ind w:left="309" w:right="57" w:firstLine="410"/>
        <w:jc w:val="both"/>
        <w:rPr>
          <w:sz w:val="20"/>
          <w:szCs w:val="20"/>
        </w:rPr>
      </w:pPr>
      <w:r>
        <w:rPr>
          <w:sz w:val="20"/>
          <w:szCs w:val="20"/>
        </w:rPr>
        <w:t>元数据最简单的定义是：元数据是关于数据的数据</w:t>
      </w:r>
      <w:r>
        <w:rPr>
          <w:spacing w:val="-42"/>
          <w:sz w:val="20"/>
          <w:szCs w:val="20"/>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pacing w:val="-1"/>
          <w:sz w:val="20"/>
          <w:szCs w:val="20"/>
        </w:rPr>
        <w:t>ta</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1"/>
          <w:sz w:val="20"/>
          <w:szCs w:val="20"/>
        </w:rPr>
        <w:t>About</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1"/>
          <w:sz w:val="20"/>
          <w:szCs w:val="20"/>
        </w:rPr>
        <w:t>Data)</w:t>
      </w:r>
      <w:r>
        <w:rPr>
          <w:spacing w:val="-1"/>
          <w:sz w:val="20"/>
          <w:szCs w:val="20"/>
        </w:rPr>
        <w:t>。在信息界，元数据</w:t>
      </w:r>
      <w:r>
        <w:rPr>
          <w:sz w:val="20"/>
          <w:szCs w:val="20"/>
        </w:rPr>
        <w:t xml:space="preserve"> </w:t>
      </w:r>
      <w:r>
        <w:rPr>
          <w:spacing w:val="3"/>
          <w:sz w:val="20"/>
          <w:szCs w:val="20"/>
        </w:rPr>
        <w:t>被定义为提供关于信息资源或数据的一种结构化的数据，是对信息资源的结构化描述。其实质</w:t>
      </w:r>
      <w:r>
        <w:rPr>
          <w:spacing w:val="18"/>
          <w:sz w:val="20"/>
          <w:szCs w:val="20"/>
        </w:rPr>
        <w:t xml:space="preserve"> </w:t>
      </w:r>
      <w:r>
        <w:rPr>
          <w:spacing w:val="3"/>
          <w:sz w:val="20"/>
          <w:szCs w:val="20"/>
        </w:rPr>
        <w:t xml:space="preserve">是用于描述信息资源或数据的内容、覆盖范围、质量、管理方式、数据的所有者、数据的提供 </w:t>
      </w:r>
      <w:r>
        <w:rPr>
          <w:spacing w:val="-5"/>
          <w:sz w:val="20"/>
          <w:szCs w:val="20"/>
        </w:rPr>
        <w:t>方式等有关信息。</w:t>
      </w:r>
    </w:p>
    <w:p w14:paraId="38039061">
      <w:pPr>
        <w:spacing w:line="285" w:lineRule="auto"/>
        <w:rPr>
          <w:sz w:val="20"/>
          <w:szCs w:val="20"/>
        </w:rPr>
        <w:sectPr>
          <w:pgSz w:w="10310" w:h="13380"/>
          <w:pgMar w:top="400" w:right="1089" w:bottom="400" w:left="510" w:header="0" w:footer="0" w:gutter="0"/>
          <w:cols w:space="720" w:num="1"/>
        </w:sectPr>
      </w:pPr>
    </w:p>
    <w:p w14:paraId="3DE16AD7">
      <w:pPr>
        <w:pStyle w:val="2"/>
        <w:spacing w:before="66" w:line="219" w:lineRule="auto"/>
        <w:jc w:val="right"/>
        <w:rPr>
          <w:rFonts w:ascii="Times New Roman" w:hAnsi="Times New Roman" w:eastAsia="Times New Roman" w:cs="Times New Roman"/>
          <w:sz w:val="18"/>
          <w:szCs w:val="18"/>
        </w:rPr>
      </w:pPr>
      <w:r>
        <w:rPr>
          <w:spacing w:val="8"/>
          <w:sz w:val="18"/>
          <w:szCs w:val="18"/>
        </w:rPr>
        <w:t>第2章</w:t>
      </w:r>
      <w:r>
        <w:rPr>
          <w:spacing w:val="57"/>
          <w:sz w:val="18"/>
          <w:szCs w:val="18"/>
        </w:rPr>
        <w:t xml:space="preserve"> </w:t>
      </w:r>
      <w:r>
        <w:rPr>
          <w:spacing w:val="8"/>
          <w:sz w:val="18"/>
          <w:szCs w:val="18"/>
        </w:rPr>
        <w:t xml:space="preserve">信息系统工程       </w:t>
      </w:r>
      <w:r>
        <w:rPr>
          <w:rFonts w:ascii="Times New Roman" w:hAnsi="Times New Roman" w:eastAsia="Times New Roman" w:cs="Times New Roman"/>
          <w:spacing w:val="8"/>
          <w:sz w:val="18"/>
          <w:szCs w:val="18"/>
        </w:rPr>
        <w:t>69</w:t>
      </w:r>
    </w:p>
    <w:p w14:paraId="7CBBA6D6">
      <w:pPr>
        <w:spacing w:line="305" w:lineRule="auto"/>
        <w:rPr>
          <w:rFonts w:ascii="Arial"/>
          <w:sz w:val="21"/>
        </w:rPr>
      </w:pPr>
    </w:p>
    <w:p w14:paraId="0536AF0F">
      <w:pPr>
        <w:pStyle w:val="2"/>
        <w:spacing w:before="59" w:line="330" w:lineRule="auto"/>
        <w:ind w:right="250" w:firstLine="419"/>
        <w:jc w:val="both"/>
        <w:rPr>
          <w:sz w:val="18"/>
          <w:szCs w:val="18"/>
        </w:rPr>
      </w:pPr>
      <w:r>
        <w:rPr>
          <w:spacing w:val="23"/>
          <w:sz w:val="18"/>
          <w:szCs w:val="18"/>
        </w:rPr>
        <w:t>根据信息对象从产生到服务的生命周期、元数据描述和管理内容的不同，以及元数据作用</w:t>
      </w:r>
      <w:r>
        <w:rPr>
          <w:spacing w:val="3"/>
          <w:sz w:val="18"/>
          <w:szCs w:val="18"/>
        </w:rPr>
        <w:t xml:space="preserve"> </w:t>
      </w:r>
      <w:r>
        <w:rPr>
          <w:spacing w:val="23"/>
          <w:sz w:val="18"/>
          <w:szCs w:val="18"/>
        </w:rPr>
        <w:t>的不同，元数据可以分为多种类型，从最基本的资源内容描述元数据开始，到指导描述元数据</w:t>
      </w:r>
      <w:r>
        <w:rPr>
          <w:spacing w:val="6"/>
          <w:sz w:val="18"/>
          <w:szCs w:val="18"/>
        </w:rPr>
        <w:t xml:space="preserve"> </w:t>
      </w:r>
      <w:r>
        <w:rPr>
          <w:spacing w:val="20"/>
          <w:sz w:val="18"/>
          <w:szCs w:val="18"/>
        </w:rPr>
        <w:t>的元元数据，形成了一个层次分明、结构开放的元数据体系，如图2-6所示。</w:t>
      </w:r>
    </w:p>
    <w:p w14:paraId="71DD2C11">
      <w:pPr>
        <w:pStyle w:val="2"/>
        <w:spacing w:before="48" w:line="4870" w:lineRule="exact"/>
        <w:ind w:firstLine="1029"/>
      </w:pPr>
      <w:r>
        <w:rPr>
          <w:position w:val="-97"/>
        </w:rPr>
        <w:pict>
          <v:group id="_x0000_s1098" o:spid="_x0000_s1098" o:spt="203" style="height:243.5pt;width:315.55pt;" coordsize="6310,4870">
            <o:lock v:ext="edit"/>
            <v:shape id="_x0000_s1099" o:spid="_x0000_s1099" o:spt="75" type="#_x0000_t75" style="position:absolute;left:0;top:0;height:4870;width:6310;" filled="f" stroked="f" coordsize="21600,21600">
              <v:path/>
              <v:fill on="f" focussize="0,0"/>
              <v:stroke on="f"/>
              <v:imagedata r:id="rId51" o:title=""/>
              <o:lock v:ext="edit" aspectratio="t"/>
            </v:shape>
            <v:shape id="_x0000_s1100" o:spid="_x0000_s1100" o:spt="202" type="#_x0000_t202" style="position:absolute;left:140;top:157;height:4633;width:6009;" filled="f" stroked="f" coordsize="21600,21600">
              <v:path/>
              <v:fill on="f" focussize="0,0"/>
              <v:stroke on="f"/>
              <v:imagedata o:title=""/>
              <o:lock v:ext="edit" aspectratio="f"/>
              <v:textbox inset="0mm,0mm,0mm,0mm">
                <w:txbxContent>
                  <w:p w14:paraId="37026914">
                    <w:pPr>
                      <w:spacing w:line="20" w:lineRule="exact"/>
                    </w:pPr>
                  </w:p>
                  <w:tbl>
                    <w:tblPr>
                      <w:tblStyle w:val="5"/>
                      <w:tblW w:w="5968"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34"/>
                      <w:gridCol w:w="5034"/>
                    </w:tblGrid>
                    <w:tr w14:paraId="11C557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75" w:hRule="atLeast"/>
                      </w:trPr>
                      <w:tc>
                        <w:tcPr>
                          <w:tcW w:w="934" w:type="dxa"/>
                          <w:vAlign w:val="top"/>
                        </w:tcPr>
                        <w:p w14:paraId="65CB70FE">
                          <w:pPr>
                            <w:spacing w:before="170" w:line="219" w:lineRule="auto"/>
                            <w:ind w:left="80"/>
                            <w:rPr>
                              <w:rFonts w:ascii="宋体" w:hAnsi="宋体" w:eastAsia="宋体" w:cs="宋体"/>
                              <w:sz w:val="18"/>
                              <w:szCs w:val="18"/>
                            </w:rPr>
                          </w:pPr>
                          <w:r>
                            <w:rPr>
                              <w:rFonts w:ascii="宋体" w:hAnsi="宋体" w:eastAsia="宋体" w:cs="宋体"/>
                              <w:spacing w:val="-6"/>
                              <w:sz w:val="18"/>
                              <w:szCs w:val="18"/>
                            </w:rPr>
                            <w:t>信息内容</w:t>
                          </w:r>
                        </w:p>
                      </w:tc>
                      <w:tc>
                        <w:tcPr>
                          <w:tcW w:w="5034" w:type="dxa"/>
                          <w:vAlign w:val="top"/>
                        </w:tcPr>
                        <w:p w14:paraId="7E68F416">
                          <w:pPr>
                            <w:spacing w:line="219" w:lineRule="auto"/>
                            <w:ind w:left="76"/>
                            <w:rPr>
                              <w:rFonts w:ascii="宋体" w:hAnsi="宋体" w:eastAsia="宋体" w:cs="宋体"/>
                              <w:sz w:val="18"/>
                              <w:szCs w:val="18"/>
                            </w:rPr>
                          </w:pPr>
                          <w:r>
                            <w:rPr>
                              <w:rFonts w:ascii="宋体" w:hAnsi="宋体" w:eastAsia="宋体" w:cs="宋体"/>
                              <w:spacing w:val="-5"/>
                              <w:sz w:val="18"/>
                              <w:szCs w:val="18"/>
                            </w:rPr>
                            <w:t>内容元数据</w:t>
                          </w:r>
                        </w:p>
                        <w:p w14:paraId="137EB059">
                          <w:pPr>
                            <w:spacing w:before="116" w:line="219" w:lineRule="auto"/>
                            <w:ind w:left="76"/>
                            <w:rPr>
                              <w:rFonts w:ascii="宋体" w:hAnsi="宋体" w:eastAsia="宋体" w:cs="宋体"/>
                              <w:sz w:val="18"/>
                              <w:szCs w:val="18"/>
                            </w:rPr>
                          </w:pPr>
                          <w:r>
                            <w:rPr>
                              <w:rFonts w:ascii="宋体" w:hAnsi="宋体" w:eastAsia="宋体" w:cs="宋体"/>
                              <w:spacing w:val="-9"/>
                              <w:sz w:val="18"/>
                              <w:szCs w:val="18"/>
                            </w:rPr>
                            <w:t>标记数字对象内容及结构的元数据</w:t>
                          </w:r>
                        </w:p>
                        <w:p w14:paraId="01271102">
                          <w:pPr>
                            <w:spacing w:before="126" w:line="200" w:lineRule="auto"/>
                            <w:ind w:left="76"/>
                            <w:rPr>
                              <w:rFonts w:ascii="宋体" w:hAnsi="宋体" w:eastAsia="宋体" w:cs="宋体"/>
                              <w:sz w:val="18"/>
                              <w:szCs w:val="18"/>
                            </w:rPr>
                          </w:pPr>
                          <w:r>
                            <w:rPr>
                              <w:rFonts w:ascii="宋体" w:hAnsi="宋体" w:eastAsia="宋体" w:cs="宋体"/>
                              <w:spacing w:val="-7"/>
                              <w:sz w:val="18"/>
                              <w:szCs w:val="18"/>
                            </w:rPr>
                            <w:t>专门元数据</w:t>
                          </w:r>
                        </w:p>
                      </w:tc>
                    </w:tr>
                    <w:tr w14:paraId="1A21BF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5" w:hRule="atLeast"/>
                      </w:trPr>
                      <w:tc>
                        <w:tcPr>
                          <w:tcW w:w="934" w:type="dxa"/>
                          <w:vAlign w:val="top"/>
                        </w:tcPr>
                        <w:p w14:paraId="64D9779F">
                          <w:pPr>
                            <w:spacing w:before="25" w:line="219" w:lineRule="auto"/>
                            <w:ind w:left="80"/>
                            <w:rPr>
                              <w:rFonts w:ascii="宋体" w:hAnsi="宋体" w:eastAsia="宋体" w:cs="宋体"/>
                              <w:sz w:val="18"/>
                              <w:szCs w:val="18"/>
                            </w:rPr>
                          </w:pPr>
                          <w:r>
                            <w:rPr>
                              <w:rFonts w:ascii="宋体" w:hAnsi="宋体" w:eastAsia="宋体" w:cs="宋体"/>
                              <w:spacing w:val="-6"/>
                              <w:sz w:val="18"/>
                              <w:szCs w:val="18"/>
                            </w:rPr>
                            <w:t>内容对象</w:t>
                          </w:r>
                        </w:p>
                      </w:tc>
                      <w:tc>
                        <w:tcPr>
                          <w:tcW w:w="5034" w:type="dxa"/>
                          <w:vAlign w:val="top"/>
                        </w:tcPr>
                        <w:p w14:paraId="3FD853FD">
                          <w:pPr>
                            <w:spacing w:before="105" w:line="212" w:lineRule="auto"/>
                            <w:ind w:left="76" w:right="1882"/>
                            <w:rPr>
                              <w:rFonts w:ascii="宋体" w:hAnsi="宋体" w:eastAsia="宋体" w:cs="宋体"/>
                              <w:sz w:val="18"/>
                              <w:szCs w:val="18"/>
                            </w:rPr>
                          </w:pPr>
                          <w:r>
                            <w:rPr>
                              <w:rFonts w:ascii="宋体" w:hAnsi="宋体" w:eastAsia="宋体" w:cs="宋体"/>
                              <w:spacing w:val="-10"/>
                              <w:sz w:val="18"/>
                              <w:szCs w:val="18"/>
                            </w:rPr>
                            <w:t>描述单一数字对象的内容、属性及外在特</w:t>
                          </w:r>
                          <w:r>
                            <w:rPr>
                              <w:rFonts w:ascii="宋体" w:hAnsi="宋体" w:eastAsia="宋体" w:cs="宋体"/>
                              <w:spacing w:val="14"/>
                              <w:sz w:val="18"/>
                              <w:szCs w:val="18"/>
                            </w:rPr>
                            <w:t xml:space="preserve"> </w:t>
                          </w:r>
                          <w:r>
                            <w:rPr>
                              <w:rFonts w:ascii="宋体" w:hAnsi="宋体" w:eastAsia="宋体" w:cs="宋体"/>
                              <w:spacing w:val="-7"/>
                              <w:sz w:val="18"/>
                              <w:szCs w:val="18"/>
                            </w:rPr>
                            <w:t>征的元数据</w:t>
                          </w:r>
                        </w:p>
                      </w:tc>
                    </w:tr>
                    <w:tr w14:paraId="06749F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934" w:type="dxa"/>
                          <w:vAlign w:val="top"/>
                        </w:tcPr>
                        <w:p w14:paraId="0D18C134">
                          <w:pPr>
                            <w:spacing w:before="170" w:line="179" w:lineRule="auto"/>
                            <w:ind w:left="80"/>
                            <w:rPr>
                              <w:rFonts w:ascii="宋体" w:hAnsi="宋体" w:eastAsia="宋体" w:cs="宋体"/>
                              <w:sz w:val="18"/>
                              <w:szCs w:val="18"/>
                            </w:rPr>
                          </w:pPr>
                          <w:r>
                            <w:rPr>
                              <w:rFonts w:ascii="宋体" w:hAnsi="宋体" w:eastAsia="宋体" w:cs="宋体"/>
                              <w:spacing w:val="-6"/>
                              <w:sz w:val="18"/>
                              <w:szCs w:val="18"/>
                            </w:rPr>
                            <w:t>内容对象</w:t>
                          </w:r>
                        </w:p>
                      </w:tc>
                      <w:tc>
                        <w:tcPr>
                          <w:tcW w:w="5034" w:type="dxa"/>
                          <w:vAlign w:val="top"/>
                        </w:tcPr>
                        <w:p w14:paraId="2FC39A6D">
                          <w:pPr>
                            <w:spacing w:before="60" w:line="219" w:lineRule="auto"/>
                            <w:ind w:left="76"/>
                            <w:rPr>
                              <w:rFonts w:ascii="宋体" w:hAnsi="宋体" w:eastAsia="宋体" w:cs="宋体"/>
                              <w:sz w:val="18"/>
                              <w:szCs w:val="18"/>
                            </w:rPr>
                          </w:pPr>
                          <w:r>
                            <w:rPr>
                              <w:rFonts w:ascii="宋体" w:hAnsi="宋体" w:eastAsia="宋体" w:cs="宋体"/>
                              <w:spacing w:val="-9"/>
                              <w:sz w:val="18"/>
                              <w:szCs w:val="18"/>
                            </w:rPr>
                            <w:t>资源集合元数据</w:t>
                          </w:r>
                        </w:p>
                      </w:tc>
                    </w:tr>
                    <w:tr w14:paraId="1C0ABC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 w:hRule="atLeast"/>
                      </w:trPr>
                      <w:tc>
                        <w:tcPr>
                          <w:tcW w:w="934" w:type="dxa"/>
                          <w:vAlign w:val="top"/>
                        </w:tcPr>
                        <w:p w14:paraId="3E52F386">
                          <w:pPr>
                            <w:spacing w:before="35" w:line="219" w:lineRule="auto"/>
                            <w:ind w:left="229"/>
                            <w:rPr>
                              <w:rFonts w:ascii="宋体" w:hAnsi="宋体" w:eastAsia="宋体" w:cs="宋体"/>
                              <w:sz w:val="18"/>
                              <w:szCs w:val="18"/>
                            </w:rPr>
                          </w:pPr>
                          <w:r>
                            <w:rPr>
                              <w:rFonts w:ascii="宋体" w:hAnsi="宋体" w:eastAsia="宋体" w:cs="宋体"/>
                              <w:spacing w:val="-2"/>
                              <w:sz w:val="18"/>
                              <w:szCs w:val="18"/>
                            </w:rPr>
                            <w:t>集合</w:t>
                          </w:r>
                        </w:p>
                      </w:tc>
                      <w:tc>
                        <w:tcPr>
                          <w:tcW w:w="5034" w:type="dxa"/>
                          <w:vAlign w:val="top"/>
                        </w:tcPr>
                        <w:p w14:paraId="414CC7D5">
                          <w:pPr>
                            <w:spacing w:before="3" w:line="223" w:lineRule="auto"/>
                            <w:ind w:left="76" w:right="1361"/>
                            <w:rPr>
                              <w:rFonts w:ascii="宋体" w:hAnsi="宋体" w:eastAsia="宋体" w:cs="宋体"/>
                              <w:sz w:val="18"/>
                              <w:szCs w:val="18"/>
                            </w:rPr>
                          </w:pPr>
                          <w:r>
                            <w:rPr>
                              <w:rFonts w:ascii="宋体" w:hAnsi="宋体" w:eastAsia="宋体" w:cs="宋体"/>
                              <w:spacing w:val="-9"/>
                              <w:sz w:val="18"/>
                              <w:szCs w:val="18"/>
                            </w:rPr>
                            <w:t>按照科学、主题、资源类型、用户范围、生成过</w:t>
                          </w:r>
                          <w:r>
                            <w:rPr>
                              <w:rFonts w:ascii="宋体" w:hAnsi="宋体" w:eastAsia="宋体" w:cs="宋体"/>
                              <w:spacing w:val="4"/>
                              <w:sz w:val="18"/>
                              <w:szCs w:val="18"/>
                            </w:rPr>
                            <w:t xml:space="preserve"> </w:t>
                          </w:r>
                          <w:r>
                            <w:rPr>
                              <w:rFonts w:ascii="宋体" w:hAnsi="宋体" w:eastAsia="宋体" w:cs="宋体"/>
                              <w:spacing w:val="-9"/>
                              <w:sz w:val="18"/>
                              <w:szCs w:val="18"/>
                            </w:rPr>
                            <w:t>程、使用管理范围形成的信息资源集合的描述</w:t>
                          </w:r>
                        </w:p>
                      </w:tc>
                    </w:tr>
                    <w:tr w14:paraId="730365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934" w:type="dxa"/>
                          <w:vAlign w:val="top"/>
                        </w:tcPr>
                        <w:p w14:paraId="7112B889">
                          <w:pPr>
                            <w:spacing w:before="144" w:line="190" w:lineRule="auto"/>
                            <w:rPr>
                              <w:rFonts w:ascii="宋体" w:hAnsi="宋体" w:eastAsia="宋体" w:cs="宋体"/>
                              <w:sz w:val="18"/>
                              <w:szCs w:val="18"/>
                            </w:rPr>
                          </w:pPr>
                          <w:r>
                            <w:rPr>
                              <w:rFonts w:ascii="宋体" w:hAnsi="宋体" w:eastAsia="宋体" w:cs="宋体"/>
                              <w:spacing w:val="-8"/>
                              <w:sz w:val="18"/>
                              <w:szCs w:val="18"/>
                            </w:rPr>
                            <w:t>对象的管理</w:t>
                          </w:r>
                        </w:p>
                      </w:tc>
                      <w:tc>
                        <w:tcPr>
                          <w:tcW w:w="5034" w:type="dxa"/>
                          <w:vAlign w:val="top"/>
                        </w:tcPr>
                        <w:p w14:paraId="1594A0AF">
                          <w:pPr>
                            <w:spacing w:before="55" w:line="219" w:lineRule="auto"/>
                            <w:ind w:left="76"/>
                            <w:rPr>
                              <w:rFonts w:ascii="宋体" w:hAnsi="宋体" w:eastAsia="宋体" w:cs="宋体"/>
                              <w:sz w:val="18"/>
                              <w:szCs w:val="18"/>
                            </w:rPr>
                          </w:pPr>
                          <w:r>
                            <w:rPr>
                              <w:rFonts w:ascii="宋体" w:hAnsi="宋体" w:eastAsia="宋体" w:cs="宋体"/>
                              <w:spacing w:val="-7"/>
                              <w:sz w:val="18"/>
                              <w:szCs w:val="18"/>
                            </w:rPr>
                            <w:t>管理元数据</w:t>
                          </w:r>
                        </w:p>
                      </w:tc>
                    </w:tr>
                    <w:tr w14:paraId="03512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0" w:hRule="atLeast"/>
                      </w:trPr>
                      <w:tc>
                        <w:tcPr>
                          <w:tcW w:w="934" w:type="dxa"/>
                          <w:vAlign w:val="top"/>
                        </w:tcPr>
                        <w:p w14:paraId="0D75FD69">
                          <w:pPr>
                            <w:spacing w:before="15" w:line="219" w:lineRule="auto"/>
                            <w:ind w:left="169"/>
                            <w:rPr>
                              <w:rFonts w:ascii="宋体" w:hAnsi="宋体" w:eastAsia="宋体" w:cs="宋体"/>
                              <w:sz w:val="18"/>
                              <w:szCs w:val="18"/>
                            </w:rPr>
                          </w:pPr>
                          <w:r>
                            <w:rPr>
                              <w:rFonts w:ascii="宋体" w:hAnsi="宋体" w:eastAsia="宋体" w:cs="宋体"/>
                              <w:spacing w:val="-3"/>
                              <w:sz w:val="18"/>
                              <w:szCs w:val="18"/>
                            </w:rPr>
                            <w:t>与保存</w:t>
                          </w:r>
                        </w:p>
                      </w:tc>
                      <w:tc>
                        <w:tcPr>
                          <w:tcW w:w="5034" w:type="dxa"/>
                          <w:vAlign w:val="top"/>
                        </w:tcPr>
                        <w:p w14:paraId="0D2727CF">
                          <w:pPr>
                            <w:spacing w:before="15" w:line="222" w:lineRule="auto"/>
                            <w:ind w:left="76" w:right="877"/>
                            <w:rPr>
                              <w:rFonts w:ascii="宋体" w:hAnsi="宋体" w:eastAsia="宋体" w:cs="宋体"/>
                              <w:sz w:val="18"/>
                              <w:szCs w:val="18"/>
                            </w:rPr>
                          </w:pPr>
                          <w:r>
                            <w:rPr>
                              <w:rFonts w:ascii="宋体" w:hAnsi="宋体" w:eastAsia="宋体" w:cs="宋体"/>
                              <w:spacing w:val="-10"/>
                              <w:sz w:val="18"/>
                              <w:szCs w:val="18"/>
                            </w:rPr>
                            <w:t>数字对象加工、存档、结构、技术处理、存取、控</w:t>
                          </w:r>
                          <w:r>
                            <w:rPr>
                              <w:rFonts w:ascii="宋体" w:hAnsi="宋体" w:eastAsia="宋体" w:cs="宋体"/>
                              <w:spacing w:val="-11"/>
                              <w:sz w:val="18"/>
                              <w:szCs w:val="18"/>
                            </w:rPr>
                            <w:t>制、</w:t>
                          </w:r>
                          <w:r>
                            <w:rPr>
                              <w:rFonts w:ascii="宋体" w:hAnsi="宋体" w:eastAsia="宋体" w:cs="宋体"/>
                              <w:sz w:val="18"/>
                              <w:szCs w:val="18"/>
                            </w:rPr>
                            <w:t xml:space="preserve"> </w:t>
                          </w:r>
                          <w:r>
                            <w:rPr>
                              <w:rFonts w:ascii="宋体" w:hAnsi="宋体" w:eastAsia="宋体" w:cs="宋体"/>
                              <w:spacing w:val="-9"/>
                              <w:sz w:val="18"/>
                              <w:szCs w:val="18"/>
                            </w:rPr>
                            <w:t>版权管理以及相关系统等方面的信息描述</w:t>
                          </w:r>
                        </w:p>
                      </w:tc>
                    </w:tr>
                    <w:tr w14:paraId="7ABCE3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934" w:type="dxa"/>
                          <w:vAlign w:val="top"/>
                        </w:tcPr>
                        <w:p w14:paraId="0FCD4349">
                          <w:pPr>
                            <w:spacing w:before="75" w:line="200" w:lineRule="auto"/>
                            <w:rPr>
                              <w:rFonts w:ascii="宋体" w:hAnsi="宋体" w:eastAsia="宋体" w:cs="宋体"/>
                              <w:sz w:val="18"/>
                              <w:szCs w:val="18"/>
                            </w:rPr>
                          </w:pPr>
                          <w:r>
                            <w:rPr>
                              <w:rFonts w:ascii="宋体" w:hAnsi="宋体" w:eastAsia="宋体" w:cs="宋体"/>
                              <w:spacing w:val="-7"/>
                              <w:sz w:val="18"/>
                              <w:szCs w:val="18"/>
                            </w:rPr>
                            <w:t>对象的服务</w:t>
                          </w:r>
                        </w:p>
                      </w:tc>
                      <w:tc>
                        <w:tcPr>
                          <w:tcW w:w="5034" w:type="dxa"/>
                          <w:vAlign w:val="top"/>
                        </w:tcPr>
                        <w:p w14:paraId="501DB966">
                          <w:pPr>
                            <w:spacing w:before="55" w:line="219" w:lineRule="auto"/>
                            <w:ind w:left="76"/>
                            <w:rPr>
                              <w:rFonts w:ascii="宋体" w:hAnsi="宋体" w:eastAsia="宋体" w:cs="宋体"/>
                              <w:sz w:val="18"/>
                              <w:szCs w:val="18"/>
                            </w:rPr>
                          </w:pPr>
                          <w:r>
                            <w:rPr>
                              <w:rFonts w:ascii="宋体" w:hAnsi="宋体" w:eastAsia="宋体" w:cs="宋体"/>
                              <w:spacing w:val="-7"/>
                              <w:sz w:val="18"/>
                              <w:szCs w:val="18"/>
                            </w:rPr>
                            <w:t>服务元数据</w:t>
                          </w:r>
                        </w:p>
                      </w:tc>
                    </w:tr>
                    <w:tr w14:paraId="51456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934" w:type="dxa"/>
                          <w:vAlign w:val="top"/>
                        </w:tcPr>
                        <w:p w14:paraId="290A0CEE">
                          <w:pPr>
                            <w:spacing w:before="25" w:line="210" w:lineRule="auto"/>
                            <w:ind w:left="80"/>
                            <w:rPr>
                              <w:rFonts w:ascii="宋体" w:hAnsi="宋体" w:eastAsia="宋体" w:cs="宋体"/>
                              <w:sz w:val="18"/>
                              <w:szCs w:val="18"/>
                            </w:rPr>
                          </w:pPr>
                          <w:r>
                            <w:rPr>
                              <w:rFonts w:ascii="宋体" w:hAnsi="宋体" w:eastAsia="宋体" w:cs="宋体"/>
                              <w:spacing w:val="-7"/>
                              <w:sz w:val="18"/>
                              <w:szCs w:val="18"/>
                            </w:rPr>
                            <w:t>服务过程</w:t>
                          </w:r>
                        </w:p>
                      </w:tc>
                      <w:tc>
                        <w:tcPr>
                          <w:tcW w:w="5034" w:type="dxa"/>
                          <w:vAlign w:val="top"/>
                        </w:tcPr>
                        <w:p w14:paraId="58A6923B">
                          <w:pPr>
                            <w:spacing w:before="74" w:line="159" w:lineRule="auto"/>
                            <w:ind w:left="76"/>
                            <w:rPr>
                              <w:rFonts w:ascii="宋体" w:hAnsi="宋体" w:eastAsia="宋体" w:cs="宋体"/>
                              <w:sz w:val="18"/>
                              <w:szCs w:val="18"/>
                            </w:rPr>
                          </w:pPr>
                          <w:r>
                            <w:rPr>
                              <w:rFonts w:ascii="宋体" w:hAnsi="宋体" w:eastAsia="宋体" w:cs="宋体"/>
                              <w:spacing w:val="-9"/>
                              <w:sz w:val="18"/>
                              <w:szCs w:val="18"/>
                            </w:rPr>
                            <w:t>数字资源服务的揭示与表现、服务过程、服务系统等方面的相</w:t>
                          </w:r>
                        </w:p>
                      </w:tc>
                    </w:tr>
                    <w:tr w14:paraId="638E16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934" w:type="dxa"/>
                          <w:vAlign w:val="top"/>
                        </w:tcPr>
                        <w:p w14:paraId="7FB89007">
                          <w:pPr>
                            <w:spacing w:line="203" w:lineRule="auto"/>
                            <w:ind w:left="80"/>
                            <w:rPr>
                              <w:rFonts w:ascii="宋体" w:hAnsi="宋体" w:eastAsia="宋体" w:cs="宋体"/>
                              <w:sz w:val="18"/>
                              <w:szCs w:val="18"/>
                            </w:rPr>
                          </w:pPr>
                          <w:r>
                            <w:rPr>
                              <w:rFonts w:ascii="宋体" w:hAnsi="宋体" w:eastAsia="宋体" w:cs="宋体"/>
                              <w:spacing w:val="-6"/>
                              <w:sz w:val="18"/>
                              <w:szCs w:val="18"/>
                            </w:rPr>
                            <w:t>服务系统</w:t>
                          </w:r>
                        </w:p>
                      </w:tc>
                      <w:tc>
                        <w:tcPr>
                          <w:tcW w:w="5034" w:type="dxa"/>
                          <w:vAlign w:val="top"/>
                        </w:tcPr>
                        <w:p w14:paraId="09323B7E">
                          <w:pPr>
                            <w:spacing w:before="45" w:line="219" w:lineRule="auto"/>
                            <w:ind w:left="76"/>
                            <w:rPr>
                              <w:rFonts w:ascii="宋体" w:hAnsi="宋体" w:eastAsia="宋体" w:cs="宋体"/>
                              <w:sz w:val="18"/>
                              <w:szCs w:val="18"/>
                            </w:rPr>
                          </w:pPr>
                          <w:r>
                            <w:rPr>
                              <w:rFonts w:ascii="宋体" w:hAnsi="宋体" w:eastAsia="宋体" w:cs="宋体"/>
                              <w:spacing w:val="-8"/>
                              <w:sz w:val="18"/>
                              <w:szCs w:val="18"/>
                            </w:rPr>
                            <w:t>关信息的描述</w:t>
                          </w:r>
                        </w:p>
                      </w:tc>
                    </w:tr>
                    <w:tr w14:paraId="24AB50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934" w:type="dxa"/>
                          <w:vAlign w:val="top"/>
                        </w:tcPr>
                        <w:p w14:paraId="299BCDDD">
                          <w:pPr>
                            <w:spacing w:before="180" w:line="173" w:lineRule="auto"/>
                            <w:ind w:left="80"/>
                            <w:rPr>
                              <w:rFonts w:ascii="宋体" w:hAnsi="宋体" w:eastAsia="宋体" w:cs="宋体"/>
                              <w:sz w:val="18"/>
                              <w:szCs w:val="18"/>
                            </w:rPr>
                          </w:pPr>
                          <w:r>
                            <w:rPr>
                              <w:rFonts w:ascii="宋体" w:hAnsi="宋体" w:eastAsia="宋体" w:cs="宋体"/>
                              <w:spacing w:val="-2"/>
                              <w:sz w:val="18"/>
                              <w:szCs w:val="18"/>
                            </w:rPr>
                            <w:t>元数据的</w:t>
                          </w:r>
                        </w:p>
                      </w:tc>
                      <w:tc>
                        <w:tcPr>
                          <w:tcW w:w="5034" w:type="dxa"/>
                          <w:vAlign w:val="top"/>
                        </w:tcPr>
                        <w:p w14:paraId="40D2A051">
                          <w:pPr>
                            <w:spacing w:before="60" w:line="219" w:lineRule="auto"/>
                            <w:ind w:left="76"/>
                            <w:rPr>
                              <w:rFonts w:ascii="宋体" w:hAnsi="宋体" w:eastAsia="宋体" w:cs="宋体"/>
                              <w:sz w:val="18"/>
                              <w:szCs w:val="18"/>
                            </w:rPr>
                          </w:pPr>
                          <w:r>
                            <w:rPr>
                              <w:rFonts w:ascii="宋体" w:hAnsi="宋体" w:eastAsia="宋体" w:cs="宋体"/>
                              <w:spacing w:val="-6"/>
                              <w:sz w:val="18"/>
                              <w:szCs w:val="18"/>
                            </w:rPr>
                            <w:t>元元数据</w:t>
                          </w:r>
                        </w:p>
                      </w:tc>
                    </w:tr>
                    <w:tr w14:paraId="788403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934" w:type="dxa"/>
                          <w:vAlign w:val="top"/>
                        </w:tcPr>
                        <w:p w14:paraId="5387E142">
                          <w:pPr>
                            <w:spacing w:before="31" w:line="219" w:lineRule="auto"/>
                            <w:ind w:left="250"/>
                            <w:rPr>
                              <w:rFonts w:ascii="宋体" w:hAnsi="宋体" w:eastAsia="宋体" w:cs="宋体"/>
                              <w:sz w:val="18"/>
                              <w:szCs w:val="18"/>
                            </w:rPr>
                          </w:pPr>
                          <w:r>
                            <w:rPr>
                              <w:rFonts w:ascii="宋体" w:hAnsi="宋体" w:eastAsia="宋体" w:cs="宋体"/>
                              <w:spacing w:val="-3"/>
                              <w:sz w:val="18"/>
                              <w:szCs w:val="18"/>
                            </w:rPr>
                            <w:t>管理</w:t>
                          </w:r>
                        </w:p>
                      </w:tc>
                      <w:tc>
                        <w:tcPr>
                          <w:tcW w:w="5034" w:type="dxa"/>
                          <w:vAlign w:val="top"/>
                        </w:tcPr>
                        <w:p w14:paraId="5A0B0B1C">
                          <w:pPr>
                            <w:spacing w:before="1" w:line="191" w:lineRule="auto"/>
                            <w:ind w:left="76"/>
                            <w:rPr>
                              <w:rFonts w:ascii="黑体" w:hAnsi="黑体" w:eastAsia="黑体" w:cs="黑体"/>
                              <w:sz w:val="18"/>
                              <w:szCs w:val="18"/>
                            </w:rPr>
                          </w:pPr>
                          <w:r>
                            <w:rPr>
                              <w:rFonts w:ascii="宋体" w:hAnsi="宋体" w:eastAsia="宋体" w:cs="宋体"/>
                              <w:spacing w:val="-10"/>
                              <w:sz w:val="18"/>
                              <w:szCs w:val="18"/>
                            </w:rPr>
                            <w:t>对</w:t>
                          </w:r>
                          <w:r>
                            <w:rPr>
                              <w:rFonts w:ascii="宋体" w:hAnsi="宋体" w:eastAsia="宋体" w:cs="宋体"/>
                              <w:spacing w:val="-9"/>
                              <w:sz w:val="18"/>
                              <w:szCs w:val="18"/>
                            </w:rPr>
                            <w:t>元数据的标记语言、格式语言、标识符、扩展机制、转换</w:t>
                          </w:r>
                          <w:r>
                            <w:rPr>
                              <w:rFonts w:ascii="宋体" w:hAnsi="宋体" w:eastAsia="宋体" w:cs="宋体"/>
                              <w:spacing w:val="-10"/>
                              <w:sz w:val="18"/>
                              <w:szCs w:val="18"/>
                            </w:rPr>
                            <w:t>机制</w:t>
                          </w:r>
                          <w:r>
                            <w:rPr>
                              <w:rFonts w:ascii="宋体" w:hAnsi="宋体" w:eastAsia="宋体" w:cs="宋体"/>
                              <w:spacing w:val="-9"/>
                              <w:sz w:val="18"/>
                              <w:szCs w:val="18"/>
                            </w:rPr>
                            <w:t>等</w:t>
                          </w:r>
                          <w:r>
                            <w:rPr>
                              <w:rFonts w:ascii="宋体" w:hAnsi="宋体" w:eastAsia="宋体" w:cs="宋体"/>
                              <w:sz w:val="18"/>
                              <w:szCs w:val="18"/>
                            </w:rPr>
                            <w:t xml:space="preserve"> </w:t>
                          </w:r>
                          <w:r>
                            <w:rPr>
                              <w:rFonts w:ascii="黑体" w:hAnsi="黑体" w:eastAsia="黑体" w:cs="黑体"/>
                              <w:spacing w:val="-4"/>
                              <w:sz w:val="18"/>
                              <w:szCs w:val="18"/>
                            </w:rPr>
                            <w:t>的描述</w:t>
                          </w:r>
                        </w:p>
                      </w:tc>
                    </w:tr>
                  </w:tbl>
                  <w:p w14:paraId="6BA0A886">
                    <w:pPr>
                      <w:rPr>
                        <w:rFonts w:ascii="Arial"/>
                        <w:sz w:val="21"/>
                      </w:rPr>
                    </w:pPr>
                  </w:p>
                </w:txbxContent>
              </v:textbox>
            </v:shape>
            <w10:wrap type="none"/>
            <w10:anchorlock/>
          </v:group>
        </w:pict>
      </w:r>
    </w:p>
    <w:p w14:paraId="5AE31B0F">
      <w:pPr>
        <w:pStyle w:val="2"/>
        <w:spacing w:before="117" w:line="219" w:lineRule="auto"/>
        <w:ind w:left="2889"/>
        <w:rPr>
          <w:sz w:val="18"/>
          <w:szCs w:val="18"/>
        </w:rPr>
      </w:pPr>
      <w:r>
        <w:rPr>
          <w:sz w:val="18"/>
          <w:szCs w:val="18"/>
        </w:rPr>
        <w:t>图2-6</w:t>
      </w:r>
      <w:r>
        <w:rPr>
          <w:spacing w:val="71"/>
          <w:sz w:val="18"/>
          <w:szCs w:val="18"/>
        </w:rPr>
        <w:t xml:space="preserve"> </w:t>
      </w:r>
      <w:r>
        <w:rPr>
          <w:sz w:val="18"/>
          <w:szCs w:val="18"/>
        </w:rPr>
        <w:t>元数据体系与元数据类型</w:t>
      </w:r>
    </w:p>
    <w:p w14:paraId="2BA7E80F">
      <w:pPr>
        <w:pStyle w:val="2"/>
        <w:spacing w:before="293" w:line="222" w:lineRule="auto"/>
        <w:ind w:left="422"/>
        <w:rPr>
          <w:rFonts w:ascii="黑体" w:hAnsi="黑体" w:eastAsia="黑体" w:cs="黑体"/>
          <w:sz w:val="18"/>
          <w:szCs w:val="18"/>
        </w:rPr>
      </w:pPr>
      <w:bookmarkStart w:id="517" w:name="bookmark504"/>
      <w:bookmarkEnd w:id="517"/>
      <w:r>
        <w:rPr>
          <w:b/>
          <w:bCs/>
          <w:color w:val="0061B6"/>
          <w:spacing w:val="16"/>
          <w:sz w:val="18"/>
          <w:szCs w:val="18"/>
        </w:rPr>
        <w:t>2.</w:t>
      </w:r>
      <w:r>
        <w:rPr>
          <w:rFonts w:ascii="黑体" w:hAnsi="黑体" w:eastAsia="黑体" w:cs="黑体"/>
          <w:b/>
          <w:bCs/>
          <w:color w:val="0061B6"/>
          <w:spacing w:val="16"/>
          <w:sz w:val="18"/>
          <w:szCs w:val="18"/>
        </w:rPr>
        <w:t>数据模式标准化</w:t>
      </w:r>
    </w:p>
    <w:p w14:paraId="368CC66B">
      <w:pPr>
        <w:pStyle w:val="2"/>
        <w:spacing w:before="135" w:line="313" w:lineRule="auto"/>
        <w:ind w:right="256" w:firstLine="419"/>
        <w:jc w:val="both"/>
        <w:rPr>
          <w:sz w:val="18"/>
          <w:szCs w:val="18"/>
        </w:rPr>
      </w:pPr>
      <w:r>
        <w:rPr>
          <w:spacing w:val="18"/>
          <w:sz w:val="18"/>
          <w:szCs w:val="18"/>
        </w:rPr>
        <w:t>数据模式是数据的概念、组成、结构、相互关系的总称。本质</w:t>
      </w:r>
      <w:r>
        <w:rPr>
          <w:spacing w:val="17"/>
          <w:sz w:val="18"/>
          <w:szCs w:val="18"/>
        </w:rPr>
        <w:t>上，数据模式反映的是人类客</w:t>
      </w:r>
      <w:r>
        <w:rPr>
          <w:sz w:val="18"/>
          <w:szCs w:val="18"/>
        </w:rPr>
        <w:t xml:space="preserve"> </w:t>
      </w:r>
      <w:r>
        <w:rPr>
          <w:spacing w:val="19"/>
          <w:sz w:val="18"/>
          <w:szCs w:val="18"/>
        </w:rPr>
        <w:t>观世界的主观认知，而不同的人群对相同的</w:t>
      </w:r>
      <w:r>
        <w:rPr>
          <w:spacing w:val="18"/>
          <w:sz w:val="18"/>
          <w:szCs w:val="18"/>
        </w:rPr>
        <w:t>客观世界的主观认知会有所不同，这就造成了在相同</w:t>
      </w:r>
      <w:r>
        <w:rPr>
          <w:sz w:val="18"/>
          <w:szCs w:val="18"/>
        </w:rPr>
        <w:t xml:space="preserve"> </w:t>
      </w:r>
      <w:r>
        <w:rPr>
          <w:spacing w:val="18"/>
          <w:sz w:val="18"/>
          <w:szCs w:val="18"/>
        </w:rPr>
        <w:t>领域有不同的数据模式存在。在数据共享过程中，这种差异对人们进行信息的共享与交</w:t>
      </w:r>
      <w:r>
        <w:rPr>
          <w:spacing w:val="17"/>
          <w:sz w:val="18"/>
          <w:szCs w:val="18"/>
        </w:rPr>
        <w:t>换形成了</w:t>
      </w:r>
      <w:r>
        <w:rPr>
          <w:sz w:val="18"/>
          <w:szCs w:val="18"/>
        </w:rPr>
        <w:t xml:space="preserve"> </w:t>
      </w:r>
      <w:r>
        <w:rPr>
          <w:spacing w:val="18"/>
          <w:sz w:val="18"/>
          <w:szCs w:val="18"/>
        </w:rPr>
        <w:t>障碍。为了保证能够顺畅进行信息的共享，对特定领域而言，需要一个统一的数据模式作为数据</w:t>
      </w:r>
      <w:r>
        <w:rPr>
          <w:spacing w:val="13"/>
          <w:sz w:val="18"/>
          <w:szCs w:val="18"/>
        </w:rPr>
        <w:t xml:space="preserve"> </w:t>
      </w:r>
      <w:r>
        <w:rPr>
          <w:spacing w:val="15"/>
          <w:sz w:val="18"/>
          <w:szCs w:val="18"/>
        </w:rPr>
        <w:t>共享与交换的基础，同时也保证该领域的相关人员对统一的数据模型有准确的、无歧义的理解。</w:t>
      </w:r>
    </w:p>
    <w:p w14:paraId="021E9FAA">
      <w:pPr>
        <w:pStyle w:val="2"/>
        <w:spacing w:before="13" w:line="314" w:lineRule="auto"/>
        <w:ind w:right="245" w:firstLine="419"/>
        <w:jc w:val="both"/>
        <w:rPr>
          <w:sz w:val="18"/>
          <w:szCs w:val="18"/>
        </w:rPr>
      </w:pPr>
      <w:r>
        <w:rPr>
          <w:spacing w:val="23"/>
          <w:sz w:val="18"/>
          <w:szCs w:val="18"/>
        </w:rPr>
        <w:t>但在物理和技术层面，各类数据资源的数据格式、存储方式等各不相同，因此需要采用跨</w:t>
      </w:r>
      <w:r>
        <w:rPr>
          <w:spacing w:val="9"/>
          <w:sz w:val="18"/>
          <w:szCs w:val="18"/>
        </w:rPr>
        <w:t xml:space="preserve"> </w:t>
      </w:r>
      <w:r>
        <w:rPr>
          <w:spacing w:val="23"/>
          <w:sz w:val="18"/>
          <w:szCs w:val="18"/>
        </w:rPr>
        <w:t>越物理和技术层面的方法来进行描述，也就是从数据的逻辑层面对数据集的内容、组成及其结</w:t>
      </w:r>
      <w:r>
        <w:rPr>
          <w:spacing w:val="6"/>
          <w:sz w:val="18"/>
          <w:szCs w:val="18"/>
        </w:rPr>
        <w:t xml:space="preserve"> </w:t>
      </w:r>
      <w:r>
        <w:rPr>
          <w:spacing w:val="19"/>
          <w:sz w:val="18"/>
          <w:szCs w:val="18"/>
        </w:rPr>
        <w:t>构信息，进行合理的、规范的、本质上的说明和描述。通过数据集模式的标准化，</w:t>
      </w:r>
      <w:r>
        <w:rPr>
          <w:spacing w:val="77"/>
          <w:sz w:val="18"/>
          <w:szCs w:val="18"/>
        </w:rPr>
        <w:t xml:space="preserve"> </w:t>
      </w:r>
      <w:r>
        <w:rPr>
          <w:spacing w:val="19"/>
          <w:sz w:val="18"/>
          <w:szCs w:val="18"/>
        </w:rPr>
        <w:t>一方面对数</w:t>
      </w:r>
      <w:r>
        <w:rPr>
          <w:sz w:val="18"/>
          <w:szCs w:val="18"/>
        </w:rPr>
        <w:t xml:space="preserve"> </w:t>
      </w:r>
      <w:r>
        <w:rPr>
          <w:spacing w:val="23"/>
          <w:sz w:val="18"/>
          <w:szCs w:val="18"/>
        </w:rPr>
        <w:t>据的内容、组成、结构以及各部分的相互关系进行统一规范，相关领域、部门或者数据集制作</w:t>
      </w:r>
      <w:r>
        <w:rPr>
          <w:spacing w:val="8"/>
          <w:sz w:val="18"/>
          <w:szCs w:val="18"/>
        </w:rPr>
        <w:t xml:space="preserve"> </w:t>
      </w:r>
      <w:r>
        <w:rPr>
          <w:spacing w:val="24"/>
          <w:sz w:val="18"/>
          <w:szCs w:val="18"/>
        </w:rPr>
        <w:t>者都可以根据数据模式制作出标准化的数据</w:t>
      </w:r>
      <w:r>
        <w:rPr>
          <w:spacing w:val="23"/>
          <w:sz w:val="18"/>
          <w:szCs w:val="18"/>
        </w:rPr>
        <w:t>；另一方面，数据集按照数据库理论对数据进行了</w:t>
      </w:r>
      <w:r>
        <w:rPr>
          <w:sz w:val="18"/>
          <w:szCs w:val="18"/>
        </w:rPr>
        <w:t xml:space="preserve"> </w:t>
      </w:r>
      <w:r>
        <w:rPr>
          <w:spacing w:val="16"/>
          <w:sz w:val="18"/>
          <w:szCs w:val="18"/>
        </w:rPr>
        <w:t>规范化处理，有利于减少数据冗余。</w:t>
      </w:r>
    </w:p>
    <w:p w14:paraId="6F296E76">
      <w:pPr>
        <w:pStyle w:val="2"/>
        <w:spacing w:before="55" w:line="301" w:lineRule="auto"/>
        <w:ind w:right="182" w:firstLine="419"/>
        <w:jc w:val="both"/>
        <w:rPr>
          <w:sz w:val="18"/>
          <w:szCs w:val="18"/>
        </w:rPr>
      </w:pPr>
      <w:r>
        <w:rPr>
          <w:spacing w:val="20"/>
          <w:sz w:val="18"/>
          <w:szCs w:val="18"/>
        </w:rPr>
        <w:t>在建立各数据集的数据模式的过程中，需要对客观世界的实体进</w:t>
      </w:r>
      <w:r>
        <w:rPr>
          <w:spacing w:val="19"/>
          <w:sz w:val="18"/>
          <w:szCs w:val="18"/>
        </w:rPr>
        <w:t>行分析和抽象，利用图形、</w:t>
      </w:r>
      <w:r>
        <w:rPr>
          <w:sz w:val="18"/>
          <w:szCs w:val="18"/>
        </w:rPr>
        <w:t xml:space="preserve"> </w:t>
      </w:r>
      <w:r>
        <w:rPr>
          <w:spacing w:val="23"/>
          <w:sz w:val="18"/>
          <w:szCs w:val="18"/>
        </w:rPr>
        <w:t>文字等方法定义各种实体和相互关系。为了对数据模式形成一致的理解，必须有规范的方法来</w:t>
      </w:r>
      <w:r>
        <w:rPr>
          <w:spacing w:val="1"/>
          <w:sz w:val="18"/>
          <w:szCs w:val="18"/>
        </w:rPr>
        <w:t xml:space="preserve">  </w:t>
      </w:r>
      <w:r>
        <w:rPr>
          <w:spacing w:val="23"/>
          <w:sz w:val="18"/>
          <w:szCs w:val="18"/>
        </w:rPr>
        <w:t>客观、无歧义地描述数据集的内容、组成及其结构。数据模式的描述方式主要有图描述方法和</w:t>
      </w:r>
      <w:r>
        <w:rPr>
          <w:spacing w:val="5"/>
          <w:sz w:val="18"/>
          <w:szCs w:val="18"/>
        </w:rPr>
        <w:t xml:space="preserve">  </w:t>
      </w:r>
      <w:r>
        <w:rPr>
          <w:spacing w:val="18"/>
          <w:sz w:val="18"/>
          <w:szCs w:val="18"/>
        </w:rPr>
        <w:t>数据字典方法。图描述方法常用的有</w:t>
      </w:r>
      <w:r>
        <w:rPr>
          <w:rFonts w:ascii="Times New Roman" w:hAnsi="Times New Roman" w:eastAsia="Times New Roman" w:cs="Times New Roman"/>
          <w:sz w:val="18"/>
          <w:szCs w:val="18"/>
        </w:rPr>
        <w:t>IDEFIX</w:t>
      </w:r>
      <w:r>
        <w:rPr>
          <w:rFonts w:ascii="Times New Roman" w:hAnsi="Times New Roman" w:eastAsia="Times New Roman" w:cs="Times New Roman"/>
          <w:spacing w:val="18"/>
          <w:sz w:val="18"/>
          <w:szCs w:val="18"/>
        </w:rPr>
        <w:t xml:space="preserve">   </w:t>
      </w:r>
      <w:r>
        <w:rPr>
          <w:spacing w:val="18"/>
          <w:sz w:val="18"/>
          <w:szCs w:val="18"/>
        </w:rPr>
        <w:t>方</w:t>
      </w:r>
      <w:r>
        <w:rPr>
          <w:spacing w:val="-36"/>
          <w:sz w:val="18"/>
          <w:szCs w:val="18"/>
        </w:rPr>
        <w:t xml:space="preserve"> </w:t>
      </w:r>
      <w:r>
        <w:rPr>
          <w:spacing w:val="18"/>
          <w:sz w:val="18"/>
          <w:szCs w:val="18"/>
        </w:rPr>
        <w:t>法</w:t>
      </w:r>
      <w:r>
        <w:rPr>
          <w:spacing w:val="-36"/>
          <w:sz w:val="18"/>
          <w:szCs w:val="18"/>
        </w:rPr>
        <w:t xml:space="preserve"> </w:t>
      </w:r>
      <w:r>
        <w:rPr>
          <w:spacing w:val="18"/>
          <w:sz w:val="18"/>
          <w:szCs w:val="18"/>
        </w:rPr>
        <w:t>和</w:t>
      </w:r>
      <w:r>
        <w:rPr>
          <w:rFonts w:ascii="Times New Roman" w:hAnsi="Times New Roman" w:eastAsia="Times New Roman" w:cs="Times New Roman"/>
          <w:sz w:val="18"/>
          <w:szCs w:val="18"/>
        </w:rPr>
        <w:t>UML</w:t>
      </w:r>
      <w:r>
        <w:rPr>
          <w:rFonts w:ascii="Times New Roman" w:hAnsi="Times New Roman" w:eastAsia="Times New Roman" w:cs="Times New Roman"/>
          <w:spacing w:val="18"/>
          <w:sz w:val="18"/>
          <w:szCs w:val="18"/>
        </w:rPr>
        <w:t xml:space="preserve">  </w:t>
      </w:r>
      <w:r>
        <w:rPr>
          <w:spacing w:val="18"/>
          <w:sz w:val="18"/>
          <w:szCs w:val="18"/>
        </w:rPr>
        <w:t>图，主要用来</w:t>
      </w:r>
      <w:r>
        <w:rPr>
          <w:spacing w:val="17"/>
          <w:sz w:val="18"/>
          <w:szCs w:val="18"/>
        </w:rPr>
        <w:t>描述数据集中的实体和</w:t>
      </w:r>
    </w:p>
    <w:p w14:paraId="482D67AE">
      <w:pPr>
        <w:spacing w:line="301" w:lineRule="auto"/>
        <w:rPr>
          <w:sz w:val="18"/>
          <w:szCs w:val="18"/>
        </w:rPr>
        <w:sectPr>
          <w:pgSz w:w="10290" w:h="13310"/>
          <w:pgMar w:top="400" w:right="567" w:bottom="400" w:left="1130" w:header="0" w:footer="0" w:gutter="0"/>
          <w:cols w:space="720" w:num="1"/>
        </w:sectPr>
      </w:pPr>
    </w:p>
    <w:p w14:paraId="4B860806">
      <w:pPr>
        <w:pStyle w:val="2"/>
        <w:spacing w:before="58" w:line="219" w:lineRule="auto"/>
        <w:rPr>
          <w:sz w:val="20"/>
          <w:szCs w:val="20"/>
        </w:rPr>
      </w:pPr>
      <w:r>
        <w:rPr>
          <w:rFonts w:ascii="Times New Roman" w:hAnsi="Times New Roman" w:eastAsia="Times New Roman" w:cs="Times New Roman"/>
          <w:b/>
          <w:bCs/>
          <w:spacing w:val="-2"/>
          <w:sz w:val="16"/>
          <w:szCs w:val="16"/>
        </w:rPr>
        <w:t xml:space="preserve">70                   </w:t>
      </w:r>
      <w:r>
        <w:rPr>
          <w:spacing w:val="-2"/>
          <w:sz w:val="20"/>
          <w:szCs w:val="20"/>
        </w:rPr>
        <w:t>信息系统监理师教程(第2版)</w:t>
      </w:r>
    </w:p>
    <w:p w14:paraId="6C63F48B">
      <w:pPr>
        <w:spacing w:line="315" w:lineRule="auto"/>
        <w:rPr>
          <w:rFonts w:ascii="Arial"/>
          <w:sz w:val="21"/>
        </w:rPr>
      </w:pPr>
    </w:p>
    <w:p w14:paraId="72321CF7">
      <w:pPr>
        <w:pStyle w:val="2"/>
        <w:spacing w:before="65" w:line="219" w:lineRule="auto"/>
        <w:ind w:left="289"/>
        <w:rPr>
          <w:sz w:val="20"/>
          <w:szCs w:val="20"/>
        </w:rPr>
      </w:pPr>
      <w:r>
        <w:rPr>
          <w:spacing w:val="-1"/>
          <w:sz w:val="20"/>
          <w:szCs w:val="20"/>
        </w:rPr>
        <w:t>实体之间的相互关系；数据字典用来描述模型中的数据集、单个实体、属性的摘要信息。</w:t>
      </w:r>
    </w:p>
    <w:p w14:paraId="55861F8B">
      <w:pPr>
        <w:pStyle w:val="2"/>
        <w:spacing w:before="157" w:line="221" w:lineRule="auto"/>
        <w:ind w:left="692"/>
        <w:rPr>
          <w:rFonts w:ascii="黑体" w:hAnsi="黑体" w:eastAsia="黑体" w:cs="黑体"/>
          <w:sz w:val="20"/>
          <w:szCs w:val="20"/>
        </w:rPr>
      </w:pPr>
      <w:bookmarkStart w:id="518" w:name="bookmark505"/>
      <w:bookmarkEnd w:id="518"/>
      <w:r>
        <w:rPr>
          <w:b/>
          <w:bCs/>
          <w:color w:val="0075C4"/>
          <w:spacing w:val="-2"/>
          <w:sz w:val="20"/>
          <w:szCs w:val="20"/>
        </w:rPr>
        <w:t>3.</w:t>
      </w:r>
      <w:r>
        <w:rPr>
          <w:rFonts w:ascii="黑体" w:hAnsi="黑体" w:eastAsia="黑体" w:cs="黑体"/>
          <w:b/>
          <w:bCs/>
          <w:color w:val="0075C4"/>
          <w:spacing w:val="-2"/>
          <w:sz w:val="20"/>
          <w:szCs w:val="20"/>
        </w:rPr>
        <w:t>数据分类与编码标准化</w:t>
      </w:r>
    </w:p>
    <w:p w14:paraId="49329662">
      <w:pPr>
        <w:pStyle w:val="2"/>
        <w:spacing w:before="153" w:line="282" w:lineRule="auto"/>
        <w:ind w:left="289" w:right="71" w:firstLine="400"/>
        <w:jc w:val="both"/>
        <w:rPr>
          <w:sz w:val="20"/>
          <w:szCs w:val="20"/>
        </w:rPr>
      </w:pPr>
      <w:r>
        <w:rPr>
          <w:spacing w:val="3"/>
          <w:sz w:val="20"/>
          <w:szCs w:val="20"/>
        </w:rPr>
        <w:t>数据分类是根据内容的属性或特征，将数据按一定的原则和方法进行区分和归类，并建立</w:t>
      </w:r>
      <w:r>
        <w:rPr>
          <w:sz w:val="20"/>
          <w:szCs w:val="20"/>
        </w:rPr>
        <w:t xml:space="preserve"> </w:t>
      </w:r>
      <w:r>
        <w:rPr>
          <w:spacing w:val="3"/>
          <w:sz w:val="20"/>
          <w:szCs w:val="20"/>
        </w:rPr>
        <w:t>起一定的分类体系和排列顺序。数据分类有分类对象和分类依据两个要素。分类对象由若干个</w:t>
      </w:r>
      <w:r>
        <w:rPr>
          <w:spacing w:val="14"/>
          <w:sz w:val="20"/>
          <w:szCs w:val="20"/>
        </w:rPr>
        <w:t xml:space="preserve"> </w:t>
      </w:r>
      <w:r>
        <w:rPr>
          <w:spacing w:val="3"/>
          <w:sz w:val="20"/>
          <w:szCs w:val="20"/>
        </w:rPr>
        <w:t>被分类的实体组成，分类依据取决于该分类对象的属性或特征。任何一种信息都有多种多样的</w:t>
      </w:r>
      <w:r>
        <w:rPr>
          <w:spacing w:val="1"/>
          <w:sz w:val="20"/>
          <w:szCs w:val="20"/>
        </w:rPr>
        <w:t xml:space="preserve"> </w:t>
      </w:r>
      <w:r>
        <w:rPr>
          <w:spacing w:val="3"/>
          <w:sz w:val="20"/>
          <w:szCs w:val="20"/>
        </w:rPr>
        <w:t>属性特征，这些属性特征有本质属性特征和非本质属性特征之别。分类应以相对最稳定的本质</w:t>
      </w:r>
      <w:r>
        <w:rPr>
          <w:spacing w:val="8"/>
          <w:sz w:val="20"/>
          <w:szCs w:val="20"/>
        </w:rPr>
        <w:t xml:space="preserve"> </w:t>
      </w:r>
      <w:r>
        <w:rPr>
          <w:spacing w:val="3"/>
          <w:sz w:val="20"/>
          <w:szCs w:val="20"/>
        </w:rPr>
        <w:t>属性为依据，但是对具有交叉、双重或多重本质属性特征的信息进行分类，除了需要</w:t>
      </w:r>
      <w:r>
        <w:rPr>
          <w:spacing w:val="2"/>
          <w:sz w:val="20"/>
          <w:szCs w:val="20"/>
        </w:rPr>
        <w:t>符合科学</w:t>
      </w:r>
      <w:r>
        <w:rPr>
          <w:sz w:val="20"/>
          <w:szCs w:val="20"/>
        </w:rPr>
        <w:t xml:space="preserve"> </w:t>
      </w:r>
      <w:r>
        <w:rPr>
          <w:spacing w:val="-2"/>
          <w:sz w:val="20"/>
          <w:szCs w:val="20"/>
        </w:rPr>
        <w:t>性、系统性等原则外，还应符合交叉性、双重或多重性的原则。</w:t>
      </w:r>
    </w:p>
    <w:p w14:paraId="268B5CFB">
      <w:pPr>
        <w:pStyle w:val="2"/>
        <w:spacing w:before="67" w:line="280" w:lineRule="auto"/>
        <w:ind w:left="289" w:right="84" w:firstLine="400"/>
        <w:jc w:val="both"/>
        <w:rPr>
          <w:sz w:val="20"/>
          <w:szCs w:val="20"/>
        </w:rPr>
      </w:pPr>
      <w:r>
        <w:rPr>
          <w:spacing w:val="8"/>
          <w:sz w:val="20"/>
          <w:szCs w:val="20"/>
        </w:rPr>
        <w:t>数据编码是将事物或概念(编码对象)赋予具有一定规律、易于计算机和人识别处理的符</w:t>
      </w:r>
      <w:r>
        <w:rPr>
          <w:spacing w:val="4"/>
          <w:sz w:val="20"/>
          <w:szCs w:val="20"/>
        </w:rPr>
        <w:t xml:space="preserve"> </w:t>
      </w:r>
      <w:r>
        <w:rPr>
          <w:spacing w:val="3"/>
          <w:sz w:val="20"/>
          <w:szCs w:val="20"/>
        </w:rPr>
        <w:t>号，形成代码元素集合。代码元素集合中的代码元素就是赋予编码对象的符号，即编码对象的</w:t>
      </w:r>
      <w:r>
        <w:rPr>
          <w:spacing w:val="1"/>
          <w:sz w:val="20"/>
          <w:szCs w:val="20"/>
        </w:rPr>
        <w:t xml:space="preserve"> </w:t>
      </w:r>
      <w:r>
        <w:rPr>
          <w:spacing w:val="3"/>
          <w:sz w:val="20"/>
          <w:szCs w:val="20"/>
        </w:rPr>
        <w:t>代码值。所有类型的数据都能够进行编码，例如关于产品、人、国家、货币、程序、</w:t>
      </w:r>
      <w:r>
        <w:rPr>
          <w:spacing w:val="2"/>
          <w:sz w:val="20"/>
          <w:szCs w:val="20"/>
        </w:rPr>
        <w:t>文件、部</w:t>
      </w:r>
      <w:r>
        <w:rPr>
          <w:sz w:val="20"/>
          <w:szCs w:val="20"/>
        </w:rPr>
        <w:t xml:space="preserve"> </w:t>
      </w:r>
      <w:r>
        <w:rPr>
          <w:spacing w:val="-3"/>
          <w:sz w:val="20"/>
          <w:szCs w:val="20"/>
        </w:rPr>
        <w:t>件等的各种各样的信息。</w:t>
      </w:r>
    </w:p>
    <w:p w14:paraId="2B40EE5B">
      <w:pPr>
        <w:pStyle w:val="2"/>
        <w:spacing w:before="46" w:line="280" w:lineRule="auto"/>
        <w:ind w:left="289" w:right="80" w:firstLine="400"/>
        <w:jc w:val="both"/>
        <w:rPr>
          <w:sz w:val="20"/>
          <w:szCs w:val="20"/>
        </w:rPr>
      </w:pPr>
      <w:r>
        <w:rPr>
          <w:spacing w:val="3"/>
          <w:sz w:val="20"/>
          <w:szCs w:val="20"/>
        </w:rPr>
        <w:t>所谓数据分类与编码标准化就是把数据分类与编码工作纳入标准化工作的领域，按标准化</w:t>
      </w:r>
      <w:r>
        <w:rPr>
          <w:sz w:val="20"/>
          <w:szCs w:val="20"/>
        </w:rPr>
        <w:t xml:space="preserve"> </w:t>
      </w:r>
      <w:r>
        <w:rPr>
          <w:spacing w:val="3"/>
          <w:sz w:val="20"/>
          <w:szCs w:val="20"/>
        </w:rPr>
        <w:t>的要求和工作程序，将各种数据按照科学的原则进行分类与编码，经有关方面协商一</w:t>
      </w:r>
      <w:r>
        <w:rPr>
          <w:spacing w:val="2"/>
          <w:sz w:val="20"/>
          <w:szCs w:val="20"/>
        </w:rPr>
        <w:t>致，由主</w:t>
      </w:r>
      <w:r>
        <w:rPr>
          <w:sz w:val="20"/>
          <w:szCs w:val="20"/>
        </w:rPr>
        <w:t xml:space="preserve"> </w:t>
      </w:r>
      <w:r>
        <w:rPr>
          <w:spacing w:val="3"/>
          <w:sz w:val="20"/>
          <w:szCs w:val="20"/>
        </w:rPr>
        <w:t>管机构批准、注册，以标准的形式发布，作为共同遵守的准则和依据，并在其相应的级别范围</w:t>
      </w:r>
      <w:r>
        <w:rPr>
          <w:spacing w:val="5"/>
          <w:sz w:val="20"/>
          <w:szCs w:val="20"/>
        </w:rPr>
        <w:t xml:space="preserve"> </w:t>
      </w:r>
      <w:r>
        <w:rPr>
          <w:spacing w:val="-4"/>
          <w:sz w:val="20"/>
          <w:szCs w:val="20"/>
        </w:rPr>
        <w:t>内宣贯和推行。</w:t>
      </w:r>
    </w:p>
    <w:p w14:paraId="6B43192D">
      <w:pPr>
        <w:pStyle w:val="2"/>
        <w:spacing w:before="62" w:line="282" w:lineRule="auto"/>
        <w:ind w:left="289" w:right="71" w:firstLine="400"/>
        <w:jc w:val="both"/>
        <w:rPr>
          <w:sz w:val="20"/>
          <w:szCs w:val="20"/>
        </w:rPr>
      </w:pPr>
      <w:r>
        <w:rPr>
          <w:spacing w:val="3"/>
          <w:sz w:val="20"/>
          <w:szCs w:val="20"/>
        </w:rPr>
        <w:t>数据分类与编码标准化是简化信息交换、实现信息处理和信息资源共享的重要前提，是建</w:t>
      </w:r>
      <w:r>
        <w:rPr>
          <w:sz w:val="20"/>
          <w:szCs w:val="20"/>
        </w:rPr>
        <w:t xml:space="preserve"> </w:t>
      </w:r>
      <w:r>
        <w:rPr>
          <w:spacing w:val="3"/>
          <w:sz w:val="20"/>
          <w:szCs w:val="20"/>
        </w:rPr>
        <w:t>立各种信息管理系统的重要技术基础和信息保障依据。通过分类与编码标准化，可以最</w:t>
      </w:r>
      <w:r>
        <w:rPr>
          <w:spacing w:val="2"/>
          <w:sz w:val="20"/>
          <w:szCs w:val="20"/>
        </w:rPr>
        <w:t>大限度</w:t>
      </w:r>
      <w:r>
        <w:rPr>
          <w:sz w:val="20"/>
          <w:szCs w:val="20"/>
        </w:rPr>
        <w:t xml:space="preserve"> </w:t>
      </w:r>
      <w:r>
        <w:rPr>
          <w:spacing w:val="3"/>
          <w:sz w:val="20"/>
          <w:szCs w:val="20"/>
        </w:rPr>
        <w:t>地消除对信息命名、描述、分类和编码的不一致造成的混乱、误解等现象，可以减</w:t>
      </w:r>
      <w:r>
        <w:rPr>
          <w:spacing w:val="2"/>
          <w:sz w:val="20"/>
          <w:szCs w:val="20"/>
        </w:rPr>
        <w:t>少信息的重</w:t>
      </w:r>
      <w:r>
        <w:rPr>
          <w:sz w:val="20"/>
          <w:szCs w:val="20"/>
        </w:rPr>
        <w:t xml:space="preserve"> </w:t>
      </w:r>
      <w:r>
        <w:rPr>
          <w:spacing w:val="3"/>
          <w:sz w:val="20"/>
          <w:szCs w:val="20"/>
        </w:rPr>
        <w:t>复采集、加工、存储等操作，使事物的名称和代码的含义统一化、规范化，确立代</w:t>
      </w:r>
      <w:r>
        <w:rPr>
          <w:spacing w:val="2"/>
          <w:sz w:val="20"/>
          <w:szCs w:val="20"/>
        </w:rPr>
        <w:t>码与事物或</w:t>
      </w:r>
      <w:r>
        <w:rPr>
          <w:sz w:val="20"/>
          <w:szCs w:val="20"/>
        </w:rPr>
        <w:t xml:space="preserve"> </w:t>
      </w:r>
      <w:r>
        <w:rPr>
          <w:spacing w:val="3"/>
          <w:sz w:val="20"/>
          <w:szCs w:val="20"/>
        </w:rPr>
        <w:t>概念之间的一一对应关系，以保证数据的准确性和相容性，为信息集成与资源共享提供良好的</w:t>
      </w:r>
      <w:r>
        <w:rPr>
          <w:spacing w:val="1"/>
          <w:sz w:val="20"/>
          <w:szCs w:val="20"/>
        </w:rPr>
        <w:t xml:space="preserve"> </w:t>
      </w:r>
      <w:r>
        <w:rPr>
          <w:spacing w:val="3"/>
          <w:sz w:val="20"/>
          <w:szCs w:val="20"/>
        </w:rPr>
        <w:t>基础。数据分类与编码标准化的作用主要包括用于信息系统的共享和互操作、统一数据的表示</w:t>
      </w:r>
      <w:r>
        <w:rPr>
          <w:spacing w:val="14"/>
          <w:sz w:val="20"/>
          <w:szCs w:val="20"/>
        </w:rPr>
        <w:t xml:space="preserve"> </w:t>
      </w:r>
      <w:r>
        <w:rPr>
          <w:spacing w:val="-4"/>
          <w:sz w:val="20"/>
          <w:szCs w:val="20"/>
        </w:rPr>
        <w:t>法、提高信息处理效率。</w:t>
      </w:r>
    </w:p>
    <w:p w14:paraId="4082EC0C">
      <w:pPr>
        <w:pStyle w:val="2"/>
        <w:spacing w:before="136" w:line="222" w:lineRule="auto"/>
        <w:ind w:left="692"/>
        <w:rPr>
          <w:rFonts w:ascii="黑体" w:hAnsi="黑体" w:eastAsia="黑体" w:cs="黑体"/>
          <w:sz w:val="20"/>
          <w:szCs w:val="20"/>
        </w:rPr>
      </w:pPr>
      <w:r>
        <w:rPr>
          <w:b/>
          <w:bCs/>
          <w:color w:val="0062A4"/>
          <w:spacing w:val="-1"/>
          <w:sz w:val="20"/>
          <w:szCs w:val="20"/>
        </w:rPr>
        <w:t>4.</w:t>
      </w:r>
      <w:r>
        <w:rPr>
          <w:rFonts w:ascii="黑体" w:hAnsi="黑体" w:eastAsia="黑体" w:cs="黑体"/>
          <w:b/>
          <w:bCs/>
          <w:color w:val="0062A4"/>
          <w:spacing w:val="-1"/>
          <w:sz w:val="20"/>
          <w:szCs w:val="20"/>
        </w:rPr>
        <w:t>数据标准化管理</w:t>
      </w:r>
    </w:p>
    <w:p w14:paraId="5828D3C1">
      <w:pPr>
        <w:pStyle w:val="2"/>
        <w:spacing w:before="140" w:line="280" w:lineRule="auto"/>
        <w:ind w:left="289" w:right="19" w:firstLine="400"/>
        <w:jc w:val="both"/>
        <w:rPr>
          <w:sz w:val="20"/>
          <w:szCs w:val="20"/>
        </w:rPr>
      </w:pPr>
      <w:r>
        <w:rPr>
          <w:spacing w:val="5"/>
          <w:sz w:val="20"/>
          <w:szCs w:val="20"/>
        </w:rPr>
        <w:t>在数据标准化活动中，首先要依据信息需求，参照现行数据标准、信息系统</w:t>
      </w:r>
      <w:r>
        <w:rPr>
          <w:spacing w:val="4"/>
          <w:sz w:val="20"/>
          <w:szCs w:val="20"/>
        </w:rPr>
        <w:t>的运行环境，</w:t>
      </w:r>
      <w:r>
        <w:rPr>
          <w:sz w:val="20"/>
          <w:szCs w:val="20"/>
        </w:rPr>
        <w:t xml:space="preserve"> </w:t>
      </w:r>
      <w:r>
        <w:rPr>
          <w:spacing w:val="3"/>
          <w:sz w:val="20"/>
          <w:szCs w:val="20"/>
        </w:rPr>
        <w:t>以及法规、政策和指导原则，在数据管理机构、专家组和开发者共同参与下，运用数</w:t>
      </w:r>
      <w:r>
        <w:rPr>
          <w:spacing w:val="2"/>
          <w:sz w:val="20"/>
          <w:szCs w:val="20"/>
        </w:rPr>
        <w:t>据管理工</w:t>
      </w:r>
      <w:r>
        <w:rPr>
          <w:sz w:val="20"/>
          <w:szCs w:val="20"/>
        </w:rPr>
        <w:t xml:space="preserve"> </w:t>
      </w:r>
      <w:r>
        <w:rPr>
          <w:spacing w:val="3"/>
          <w:sz w:val="20"/>
          <w:szCs w:val="20"/>
        </w:rPr>
        <w:t>具，得到注册的数据元素、物理模式和扩充的数据模型。数据标准化的具体过程包括确</w:t>
      </w:r>
      <w:r>
        <w:rPr>
          <w:spacing w:val="2"/>
          <w:sz w:val="20"/>
          <w:szCs w:val="20"/>
        </w:rPr>
        <w:t>定数据</w:t>
      </w:r>
      <w:r>
        <w:rPr>
          <w:sz w:val="20"/>
          <w:szCs w:val="20"/>
        </w:rPr>
        <w:t xml:space="preserve"> </w:t>
      </w:r>
      <w:r>
        <w:rPr>
          <w:spacing w:val="-2"/>
          <w:sz w:val="20"/>
          <w:szCs w:val="20"/>
        </w:rPr>
        <w:t>需求、制定数据标准、批准数据标准和实施数据标准四个阶段。</w:t>
      </w:r>
    </w:p>
    <w:p w14:paraId="68B58915">
      <w:pPr>
        <w:pStyle w:val="2"/>
        <w:spacing w:before="29" w:line="252" w:lineRule="auto"/>
        <w:ind w:left="289" w:right="107" w:firstLine="400"/>
        <w:rPr>
          <w:sz w:val="20"/>
          <w:szCs w:val="20"/>
        </w:rPr>
      </w:pPr>
      <w:r>
        <w:rPr>
          <w:spacing w:val="5"/>
          <w:sz w:val="20"/>
          <w:szCs w:val="20"/>
        </w:rPr>
        <w:t>(1)确定数据需求。本阶段将产生数据需求及相关的元数据、域值等文件。在确定数据需</w:t>
      </w:r>
      <w:r>
        <w:rPr>
          <w:spacing w:val="1"/>
          <w:sz w:val="20"/>
          <w:szCs w:val="20"/>
        </w:rPr>
        <w:t xml:space="preserve"> </w:t>
      </w:r>
      <w:r>
        <w:rPr>
          <w:spacing w:val="-2"/>
          <w:sz w:val="20"/>
          <w:szCs w:val="20"/>
        </w:rPr>
        <w:t>求时应考虑现行法规、政策，以及现行的数据标准。</w:t>
      </w:r>
    </w:p>
    <w:p w14:paraId="69D455CB">
      <w:pPr>
        <w:pStyle w:val="2"/>
        <w:spacing w:before="72" w:line="264" w:lineRule="auto"/>
        <w:ind w:left="289" w:firstLine="400"/>
        <w:rPr>
          <w:sz w:val="20"/>
          <w:szCs w:val="20"/>
        </w:rPr>
      </w:pPr>
      <w:r>
        <w:rPr>
          <w:spacing w:val="1"/>
          <w:sz w:val="20"/>
          <w:szCs w:val="20"/>
        </w:rPr>
        <w:t>(2)制定数据标准。本阶段要处理“确定数</w:t>
      </w:r>
      <w:r>
        <w:rPr>
          <w:sz w:val="20"/>
          <w:szCs w:val="20"/>
        </w:rPr>
        <w:t>据需求”阶段提出的数据需求。如果现有的数据  标准不能满足该数据需求，可以建议制定新的数据标准，也可建议修改或者封存已有数据标准。</w:t>
      </w:r>
      <w:r>
        <w:rPr>
          <w:spacing w:val="8"/>
          <w:sz w:val="20"/>
          <w:szCs w:val="20"/>
        </w:rPr>
        <w:t xml:space="preserve"> </w:t>
      </w:r>
      <w:r>
        <w:rPr>
          <w:spacing w:val="-1"/>
          <w:sz w:val="20"/>
          <w:szCs w:val="20"/>
        </w:rPr>
        <w:t>推荐的、新的或修改的数据标准记录于数据字典中。这个阶段将产生供审查和批准的成套建议。</w:t>
      </w:r>
    </w:p>
    <w:p w14:paraId="5601256C">
      <w:pPr>
        <w:pStyle w:val="2"/>
        <w:spacing w:before="64" w:line="248" w:lineRule="auto"/>
        <w:ind w:left="289" w:right="71" w:firstLine="400"/>
        <w:rPr>
          <w:sz w:val="20"/>
          <w:szCs w:val="20"/>
        </w:rPr>
      </w:pPr>
      <w:r>
        <w:rPr>
          <w:spacing w:val="6"/>
          <w:sz w:val="20"/>
          <w:szCs w:val="20"/>
        </w:rPr>
        <w:t>(3)批准数据标准。本阶段的数据管理机构对提交的数据标准建议、现行数据标准</w:t>
      </w:r>
      <w:r>
        <w:rPr>
          <w:spacing w:val="5"/>
          <w:sz w:val="20"/>
          <w:szCs w:val="20"/>
        </w:rPr>
        <w:t>的修改</w:t>
      </w:r>
      <w:r>
        <w:rPr>
          <w:sz w:val="20"/>
          <w:szCs w:val="20"/>
        </w:rPr>
        <w:t xml:space="preserve"> </w:t>
      </w:r>
      <w:r>
        <w:rPr>
          <w:spacing w:val="-1"/>
          <w:sz w:val="20"/>
          <w:szCs w:val="20"/>
        </w:rPr>
        <w:t>或封存建议进行审查。一经批准，该数据标准将扩充</w:t>
      </w:r>
      <w:r>
        <w:rPr>
          <w:spacing w:val="-2"/>
          <w:sz w:val="20"/>
          <w:szCs w:val="20"/>
        </w:rPr>
        <w:t>或修改数据模型。</w:t>
      </w:r>
    </w:p>
    <w:p w14:paraId="75AF83FB">
      <w:pPr>
        <w:pStyle w:val="2"/>
        <w:spacing w:before="71" w:line="219" w:lineRule="auto"/>
        <w:ind w:left="689"/>
        <w:rPr>
          <w:sz w:val="20"/>
          <w:szCs w:val="20"/>
        </w:rPr>
      </w:pPr>
      <w:r>
        <w:rPr>
          <w:spacing w:val="2"/>
          <w:sz w:val="20"/>
          <w:szCs w:val="20"/>
        </w:rPr>
        <w:t>(4)实施数据标准。本阶段涉及在各信息系统中实施和改进已批准的数据标准。</w:t>
      </w:r>
    </w:p>
    <w:p w14:paraId="0A259839">
      <w:pPr>
        <w:spacing w:line="219" w:lineRule="auto"/>
        <w:rPr>
          <w:sz w:val="20"/>
          <w:szCs w:val="20"/>
        </w:rPr>
        <w:sectPr>
          <w:pgSz w:w="10320" w:h="13380"/>
          <w:pgMar w:top="400" w:right="1100" w:bottom="400" w:left="520" w:header="0" w:footer="0" w:gutter="0"/>
          <w:cols w:space="720" w:num="1"/>
        </w:sectPr>
      </w:pPr>
    </w:p>
    <w:p w14:paraId="468848C5">
      <w:pPr>
        <w:pStyle w:val="2"/>
        <w:spacing w:before="66" w:line="219" w:lineRule="auto"/>
        <w:jc w:val="right"/>
        <w:rPr>
          <w:rFonts w:ascii="Times New Roman" w:hAnsi="Times New Roman" w:eastAsia="Times New Roman" w:cs="Times New Roman"/>
          <w:sz w:val="19"/>
          <w:szCs w:val="19"/>
        </w:rPr>
      </w:pPr>
      <w:r>
        <w:rPr>
          <w:spacing w:val="4"/>
          <w:sz w:val="19"/>
          <w:szCs w:val="19"/>
        </w:rPr>
        <w:t>第2章</w:t>
      </w:r>
      <w:r>
        <w:rPr>
          <w:spacing w:val="34"/>
          <w:sz w:val="19"/>
          <w:szCs w:val="19"/>
        </w:rPr>
        <w:t xml:space="preserve"> </w:t>
      </w:r>
      <w:r>
        <w:rPr>
          <w:spacing w:val="4"/>
          <w:sz w:val="19"/>
          <w:szCs w:val="19"/>
        </w:rPr>
        <w:t>信息系统工程</w:t>
      </w:r>
      <w:r>
        <w:rPr>
          <w:spacing w:val="2"/>
          <w:sz w:val="19"/>
          <w:szCs w:val="19"/>
        </w:rPr>
        <w:t xml:space="preserve">       </w:t>
      </w:r>
      <w:r>
        <w:rPr>
          <w:rFonts w:ascii="Times New Roman" w:hAnsi="Times New Roman" w:eastAsia="Times New Roman" w:cs="Times New Roman"/>
          <w:spacing w:val="4"/>
          <w:position w:val="1"/>
          <w:sz w:val="19"/>
          <w:szCs w:val="19"/>
        </w:rPr>
        <w:t>71</w:t>
      </w:r>
    </w:p>
    <w:p w14:paraId="65849E76">
      <w:pPr>
        <w:spacing w:line="271" w:lineRule="auto"/>
        <w:rPr>
          <w:rFonts w:ascii="Arial"/>
          <w:sz w:val="21"/>
        </w:rPr>
      </w:pPr>
    </w:p>
    <w:p w14:paraId="6AF3356B">
      <w:pPr>
        <w:pStyle w:val="2"/>
        <w:spacing w:before="82" w:line="219" w:lineRule="auto"/>
        <w:ind w:left="2"/>
        <w:rPr>
          <w:sz w:val="25"/>
          <w:szCs w:val="25"/>
        </w:rPr>
      </w:pPr>
      <w:bookmarkStart w:id="519" w:name="bookmark506"/>
      <w:bookmarkEnd w:id="519"/>
      <w:r>
        <w:rPr>
          <w:b/>
          <w:bCs/>
          <w:color w:val="004FDA"/>
          <w:spacing w:val="-19"/>
          <w:sz w:val="25"/>
          <w:szCs w:val="25"/>
        </w:rPr>
        <w:t>2.4.3</w:t>
      </w:r>
      <w:r>
        <w:rPr>
          <w:color w:val="004FDA"/>
          <w:spacing w:val="89"/>
          <w:sz w:val="25"/>
          <w:szCs w:val="25"/>
        </w:rPr>
        <w:t xml:space="preserve"> </w:t>
      </w:r>
      <w:r>
        <w:rPr>
          <w:b/>
          <w:bCs/>
          <w:color w:val="004FDA"/>
          <w:spacing w:val="-19"/>
          <w:sz w:val="25"/>
          <w:szCs w:val="25"/>
        </w:rPr>
        <w:t>数据运维</w:t>
      </w:r>
    </w:p>
    <w:p w14:paraId="5EC52ECD">
      <w:pPr>
        <w:pStyle w:val="2"/>
        <w:spacing w:before="290" w:line="222" w:lineRule="auto"/>
        <w:ind w:left="412"/>
        <w:rPr>
          <w:rFonts w:ascii="黑体" w:hAnsi="黑体" w:eastAsia="黑体" w:cs="黑体"/>
          <w:sz w:val="19"/>
          <w:szCs w:val="19"/>
        </w:rPr>
      </w:pPr>
      <w:r>
        <w:rPr>
          <w:b/>
          <w:bCs/>
          <w:color w:val="005AD0"/>
          <w:spacing w:val="4"/>
          <w:sz w:val="19"/>
          <w:szCs w:val="19"/>
        </w:rPr>
        <w:t>1.</w:t>
      </w:r>
      <w:r>
        <w:rPr>
          <w:rFonts w:ascii="黑体" w:hAnsi="黑体" w:eastAsia="黑体" w:cs="黑体"/>
          <w:b/>
          <w:bCs/>
          <w:color w:val="005AD0"/>
          <w:spacing w:val="4"/>
          <w:sz w:val="19"/>
          <w:szCs w:val="19"/>
        </w:rPr>
        <w:t>数据存储</w:t>
      </w:r>
    </w:p>
    <w:p w14:paraId="105777C7">
      <w:pPr>
        <w:pStyle w:val="2"/>
        <w:spacing w:before="135" w:line="304" w:lineRule="auto"/>
        <w:ind w:right="280" w:firstLine="410"/>
        <w:jc w:val="both"/>
        <w:rPr>
          <w:sz w:val="19"/>
          <w:szCs w:val="19"/>
        </w:rPr>
      </w:pPr>
      <w:r>
        <w:rPr>
          <w:spacing w:val="13"/>
          <w:sz w:val="19"/>
          <w:szCs w:val="19"/>
        </w:rPr>
        <w:t>所谓数据存储，就是根据不同的应用环境，通过采取合理、安全</w:t>
      </w:r>
      <w:r>
        <w:rPr>
          <w:spacing w:val="12"/>
          <w:sz w:val="19"/>
          <w:szCs w:val="19"/>
        </w:rPr>
        <w:t>、有效的方式将数据保存</w:t>
      </w:r>
      <w:r>
        <w:rPr>
          <w:sz w:val="19"/>
          <w:szCs w:val="19"/>
        </w:rPr>
        <w:t xml:space="preserve"> </w:t>
      </w:r>
      <w:r>
        <w:rPr>
          <w:spacing w:val="9"/>
          <w:sz w:val="19"/>
          <w:szCs w:val="19"/>
        </w:rPr>
        <w:t>到物理介质上，并能保证对数据实施有效的访问。其含义包含两个方面：</w:t>
      </w:r>
      <w:r>
        <w:rPr>
          <w:spacing w:val="67"/>
          <w:sz w:val="19"/>
          <w:szCs w:val="19"/>
        </w:rPr>
        <w:t xml:space="preserve"> </w:t>
      </w:r>
      <w:r>
        <w:rPr>
          <w:spacing w:val="9"/>
          <w:sz w:val="19"/>
          <w:szCs w:val="19"/>
        </w:rPr>
        <w:t>一是数据临时或长期</w:t>
      </w:r>
      <w:r>
        <w:rPr>
          <w:sz w:val="19"/>
          <w:szCs w:val="19"/>
        </w:rPr>
        <w:t xml:space="preserve"> </w:t>
      </w:r>
      <w:r>
        <w:rPr>
          <w:spacing w:val="13"/>
          <w:sz w:val="19"/>
          <w:szCs w:val="19"/>
        </w:rPr>
        <w:t>驻留的物理媒介；二是保证数据完整、安全存放和访问而采取的方式或行为。</w:t>
      </w:r>
      <w:r>
        <w:rPr>
          <w:spacing w:val="12"/>
          <w:sz w:val="19"/>
          <w:szCs w:val="19"/>
        </w:rPr>
        <w:t>数据存储就是把</w:t>
      </w:r>
      <w:r>
        <w:rPr>
          <w:sz w:val="19"/>
          <w:szCs w:val="19"/>
        </w:rPr>
        <w:t xml:space="preserve"> </w:t>
      </w:r>
      <w:r>
        <w:rPr>
          <w:spacing w:val="7"/>
          <w:sz w:val="19"/>
          <w:szCs w:val="19"/>
        </w:rPr>
        <w:t>这两个方面结合起来，提供完整的解决方案。</w:t>
      </w:r>
    </w:p>
    <w:p w14:paraId="0D82709E">
      <w:pPr>
        <w:pStyle w:val="2"/>
        <w:spacing w:before="18" w:line="281" w:lineRule="auto"/>
        <w:ind w:right="227" w:firstLine="410"/>
        <w:rPr>
          <w:sz w:val="19"/>
          <w:szCs w:val="19"/>
        </w:rPr>
      </w:pPr>
      <w:r>
        <w:rPr>
          <w:spacing w:val="11"/>
          <w:sz w:val="19"/>
          <w:szCs w:val="19"/>
        </w:rPr>
        <w:t>(1)数据存储介质。数据存储首先要解决的是存储介质的问题。存储介质并不是越贵越好、</w:t>
      </w:r>
      <w:r>
        <w:rPr>
          <w:spacing w:val="8"/>
          <w:sz w:val="19"/>
          <w:szCs w:val="19"/>
        </w:rPr>
        <w:t xml:space="preserve"> </w:t>
      </w:r>
      <w:r>
        <w:rPr>
          <w:spacing w:val="13"/>
          <w:sz w:val="19"/>
          <w:szCs w:val="19"/>
        </w:rPr>
        <w:t>越先进越好，要根据不同的应用环境，合理选择存储介质。存储介质的类型主要有磁带、光盘</w:t>
      </w:r>
      <w:r>
        <w:rPr>
          <w:spacing w:val="14"/>
          <w:sz w:val="19"/>
          <w:szCs w:val="19"/>
        </w:rPr>
        <w:t xml:space="preserve"> </w:t>
      </w:r>
      <w:r>
        <w:rPr>
          <w:spacing w:val="5"/>
          <w:sz w:val="19"/>
          <w:szCs w:val="19"/>
        </w:rPr>
        <w:t>和磁盘三种。</w:t>
      </w:r>
    </w:p>
    <w:p w14:paraId="7D485089">
      <w:pPr>
        <w:pStyle w:val="2"/>
        <w:spacing w:before="82" w:line="288" w:lineRule="auto"/>
        <w:ind w:right="283" w:firstLine="410"/>
        <w:rPr>
          <w:sz w:val="19"/>
          <w:szCs w:val="19"/>
        </w:rPr>
      </w:pPr>
      <w:r>
        <w:rPr>
          <w:spacing w:val="15"/>
          <w:sz w:val="19"/>
          <w:szCs w:val="19"/>
        </w:rPr>
        <w:t>(2)存储管理。存储管理在存储系统中的地位越来越重要，例如，如何提</w:t>
      </w:r>
      <w:r>
        <w:rPr>
          <w:spacing w:val="14"/>
          <w:sz w:val="19"/>
          <w:szCs w:val="19"/>
        </w:rPr>
        <w:t>高存储系统的访</w:t>
      </w:r>
      <w:r>
        <w:rPr>
          <w:sz w:val="19"/>
          <w:szCs w:val="19"/>
        </w:rPr>
        <w:t xml:space="preserve"> </w:t>
      </w:r>
      <w:r>
        <w:rPr>
          <w:spacing w:val="13"/>
          <w:sz w:val="19"/>
          <w:szCs w:val="19"/>
        </w:rPr>
        <w:t>问性能，如何满足数据量不断增长的需要，如何有效地保护数据、提高数据的可</w:t>
      </w:r>
      <w:r>
        <w:rPr>
          <w:spacing w:val="12"/>
          <w:sz w:val="19"/>
          <w:szCs w:val="19"/>
        </w:rPr>
        <w:t>用性，如何满</w:t>
      </w:r>
      <w:r>
        <w:rPr>
          <w:sz w:val="19"/>
          <w:szCs w:val="19"/>
        </w:rPr>
        <w:t xml:space="preserve"> </w:t>
      </w:r>
      <w:r>
        <w:rPr>
          <w:spacing w:val="13"/>
          <w:sz w:val="19"/>
          <w:szCs w:val="19"/>
        </w:rPr>
        <w:t>足存储空间的共享等。存储管理的具体内容包括资源调度管理、存储资源管</w:t>
      </w:r>
      <w:r>
        <w:rPr>
          <w:spacing w:val="12"/>
          <w:sz w:val="19"/>
          <w:szCs w:val="19"/>
        </w:rPr>
        <w:t>理、负载均衡管理</w:t>
      </w:r>
      <w:r>
        <w:rPr>
          <w:sz w:val="19"/>
          <w:szCs w:val="19"/>
        </w:rPr>
        <w:t xml:space="preserve"> </w:t>
      </w:r>
      <w:r>
        <w:rPr>
          <w:spacing w:val="5"/>
          <w:sz w:val="19"/>
          <w:szCs w:val="19"/>
        </w:rPr>
        <w:t>和安全管理。</w:t>
      </w:r>
    </w:p>
    <w:p w14:paraId="72436554">
      <w:pPr>
        <w:pStyle w:val="2"/>
        <w:spacing w:before="182" w:line="222" w:lineRule="auto"/>
        <w:ind w:left="412"/>
        <w:rPr>
          <w:rFonts w:ascii="黑体" w:hAnsi="黑体" w:eastAsia="黑体" w:cs="黑体"/>
          <w:sz w:val="19"/>
          <w:szCs w:val="19"/>
        </w:rPr>
      </w:pPr>
      <w:r>
        <w:rPr>
          <w:b/>
          <w:bCs/>
          <w:color w:val="005DD8"/>
          <w:spacing w:val="9"/>
          <w:sz w:val="19"/>
          <w:szCs w:val="19"/>
        </w:rPr>
        <w:t>2.</w:t>
      </w:r>
      <w:r>
        <w:rPr>
          <w:rFonts w:ascii="黑体" w:hAnsi="黑体" w:eastAsia="黑体" w:cs="黑体"/>
          <w:b/>
          <w:bCs/>
          <w:color w:val="005DD8"/>
          <w:spacing w:val="9"/>
          <w:sz w:val="19"/>
          <w:szCs w:val="19"/>
        </w:rPr>
        <w:t>数据备份</w:t>
      </w:r>
    </w:p>
    <w:p w14:paraId="1D48C51C">
      <w:pPr>
        <w:pStyle w:val="2"/>
        <w:spacing w:before="144" w:line="302" w:lineRule="auto"/>
        <w:ind w:right="274" w:firstLine="410"/>
        <w:jc w:val="both"/>
        <w:rPr>
          <w:sz w:val="19"/>
          <w:szCs w:val="19"/>
        </w:rPr>
      </w:pPr>
      <w:r>
        <w:rPr>
          <w:spacing w:val="13"/>
          <w:sz w:val="19"/>
          <w:szCs w:val="19"/>
        </w:rPr>
        <w:t>数据备份是为了防止由于用户操作失误、系统故障等意外原因导</w:t>
      </w:r>
      <w:r>
        <w:rPr>
          <w:spacing w:val="12"/>
          <w:sz w:val="19"/>
          <w:szCs w:val="19"/>
        </w:rPr>
        <w:t>致的数据丢失，将整个应</w:t>
      </w:r>
      <w:r>
        <w:rPr>
          <w:sz w:val="19"/>
          <w:szCs w:val="19"/>
        </w:rPr>
        <w:t xml:space="preserve"> </w:t>
      </w:r>
      <w:r>
        <w:rPr>
          <w:spacing w:val="13"/>
          <w:sz w:val="19"/>
          <w:szCs w:val="19"/>
        </w:rPr>
        <w:t>用系统的数据或一部分关键数据复制到其他存储介质上的过程。这样做的目的是保证当应用系</w:t>
      </w:r>
      <w:r>
        <w:rPr>
          <w:spacing w:val="4"/>
          <w:sz w:val="19"/>
          <w:szCs w:val="19"/>
        </w:rPr>
        <w:t xml:space="preserve"> </w:t>
      </w:r>
      <w:r>
        <w:rPr>
          <w:spacing w:val="8"/>
          <w:sz w:val="19"/>
          <w:szCs w:val="19"/>
        </w:rPr>
        <w:t>统的数据不可用时，可以利用备份的数据进行恢复，尽量减少损失。</w:t>
      </w:r>
    </w:p>
    <w:p w14:paraId="74EA76C5">
      <w:pPr>
        <w:pStyle w:val="2"/>
        <w:spacing w:before="18" w:line="292" w:lineRule="auto"/>
        <w:ind w:right="264" w:firstLine="410"/>
        <w:jc w:val="both"/>
        <w:rPr>
          <w:sz w:val="19"/>
          <w:szCs w:val="19"/>
        </w:rPr>
      </w:pPr>
      <w:r>
        <w:rPr>
          <w:spacing w:val="9"/>
          <w:sz w:val="19"/>
          <w:szCs w:val="19"/>
        </w:rPr>
        <w:t>当前最常见的数据备份结构可以分为四种：</w:t>
      </w:r>
      <w:r>
        <w:rPr>
          <w:rFonts w:ascii="Times New Roman" w:hAnsi="Times New Roman" w:eastAsia="Times New Roman" w:cs="Times New Roman"/>
          <w:sz w:val="19"/>
          <w:szCs w:val="19"/>
        </w:rPr>
        <w:t>DAS</w:t>
      </w:r>
      <w:r>
        <w:rPr>
          <w:rFonts w:ascii="Times New Roman" w:hAnsi="Times New Roman" w:eastAsia="Times New Roman" w:cs="Times New Roman"/>
          <w:spacing w:val="36"/>
          <w:sz w:val="19"/>
          <w:szCs w:val="19"/>
        </w:rPr>
        <w:t xml:space="preserve"> </w:t>
      </w:r>
      <w:r>
        <w:rPr>
          <w:spacing w:val="9"/>
          <w:sz w:val="19"/>
          <w:szCs w:val="19"/>
        </w:rPr>
        <w:t>备份结构</w:t>
      </w:r>
      <w:r>
        <w:rPr>
          <w:spacing w:val="8"/>
          <w:sz w:val="19"/>
          <w:szCs w:val="19"/>
        </w:rPr>
        <w:t>、基于</w:t>
      </w:r>
      <w:r>
        <w:rPr>
          <w:rFonts w:ascii="Times New Roman" w:hAnsi="Times New Roman" w:eastAsia="Times New Roman" w:cs="Times New Roman"/>
          <w:sz w:val="19"/>
          <w:szCs w:val="19"/>
        </w:rPr>
        <w:t>LAN</w:t>
      </w:r>
      <w:r>
        <w:rPr>
          <w:rFonts w:ascii="Times New Roman" w:hAnsi="Times New Roman" w:eastAsia="Times New Roman" w:cs="Times New Roman"/>
          <w:spacing w:val="46"/>
          <w:sz w:val="19"/>
          <w:szCs w:val="19"/>
        </w:rPr>
        <w:t xml:space="preserve"> </w:t>
      </w:r>
      <w:r>
        <w:rPr>
          <w:spacing w:val="8"/>
          <w:sz w:val="19"/>
          <w:szCs w:val="19"/>
        </w:rPr>
        <w:t>的备份结构、</w:t>
      </w:r>
      <w:r>
        <w:rPr>
          <w:spacing w:val="-25"/>
          <w:sz w:val="19"/>
          <w:szCs w:val="19"/>
        </w:rPr>
        <w:t xml:space="preserve"> </w:t>
      </w:r>
      <w:r>
        <w:rPr>
          <w:rFonts w:ascii="Times New Roman" w:hAnsi="Times New Roman" w:eastAsia="Times New Roman" w:cs="Times New Roman"/>
          <w:sz w:val="19"/>
          <w:szCs w:val="19"/>
        </w:rPr>
        <w:t>LAN</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 xml:space="preserve">   FREE</w:t>
      </w:r>
      <w:r>
        <w:rPr>
          <w:rFonts w:ascii="Times New Roman" w:hAnsi="Times New Roman" w:eastAsia="Times New Roman" w:cs="Times New Roman"/>
          <w:spacing w:val="40"/>
          <w:w w:val="101"/>
          <w:sz w:val="19"/>
          <w:szCs w:val="19"/>
        </w:rPr>
        <w:t xml:space="preserve"> </w:t>
      </w:r>
      <w:r>
        <w:rPr>
          <w:spacing w:val="16"/>
          <w:sz w:val="19"/>
          <w:szCs w:val="19"/>
        </w:rPr>
        <w:t>备份结构和</w:t>
      </w:r>
      <w:r>
        <w:rPr>
          <w:rFonts w:ascii="Times New Roman" w:hAnsi="Times New Roman" w:eastAsia="Times New Roman" w:cs="Times New Roman"/>
          <w:sz w:val="19"/>
          <w:szCs w:val="19"/>
        </w:rPr>
        <w:t>SERVER</w:t>
      </w:r>
      <w:r>
        <w:rPr>
          <w:rFonts w:ascii="Times New Roman" w:hAnsi="Times New Roman" w:eastAsia="Times New Roman" w:cs="Times New Roman"/>
          <w:spacing w:val="16"/>
          <w:sz w:val="19"/>
          <w:szCs w:val="19"/>
        </w:rPr>
        <w:t>-</w:t>
      </w:r>
      <w:r>
        <w:rPr>
          <w:rFonts w:ascii="Times New Roman" w:hAnsi="Times New Roman" w:eastAsia="Times New Roman" w:cs="Times New Roman"/>
          <w:sz w:val="19"/>
          <w:szCs w:val="19"/>
        </w:rPr>
        <w:t>FREE</w:t>
      </w:r>
      <w:r>
        <w:rPr>
          <w:rFonts w:ascii="Times New Roman" w:hAnsi="Times New Roman" w:eastAsia="Times New Roman" w:cs="Times New Roman"/>
          <w:spacing w:val="16"/>
          <w:sz w:val="19"/>
          <w:szCs w:val="19"/>
        </w:rPr>
        <w:t xml:space="preserve">  </w:t>
      </w:r>
      <w:r>
        <w:rPr>
          <w:spacing w:val="16"/>
          <w:sz w:val="19"/>
          <w:szCs w:val="19"/>
        </w:rPr>
        <w:t>备份结构。常见的备份策略主要有三种：完全备份、差分备</w:t>
      </w:r>
      <w:r>
        <w:rPr>
          <w:sz w:val="19"/>
          <w:szCs w:val="19"/>
        </w:rPr>
        <w:t xml:space="preserve"> </w:t>
      </w:r>
      <w:r>
        <w:rPr>
          <w:spacing w:val="2"/>
          <w:sz w:val="19"/>
          <w:szCs w:val="19"/>
        </w:rPr>
        <w:t>份和增量备份。</w:t>
      </w:r>
    </w:p>
    <w:p w14:paraId="4AED74AC">
      <w:pPr>
        <w:pStyle w:val="2"/>
        <w:spacing w:before="9" w:line="299" w:lineRule="auto"/>
        <w:ind w:right="197" w:firstLine="410"/>
        <w:jc w:val="both"/>
        <w:rPr>
          <w:sz w:val="19"/>
          <w:szCs w:val="19"/>
        </w:rPr>
      </w:pPr>
      <w:r>
        <w:rPr>
          <w:spacing w:val="24"/>
          <w:sz w:val="19"/>
          <w:szCs w:val="19"/>
        </w:rPr>
        <w:t>在数据备份系统中，备份服务器、独立冗余磁盘阵列</w:t>
      </w:r>
      <w:r>
        <w:rPr>
          <w:spacing w:val="-39"/>
          <w:sz w:val="19"/>
          <w:szCs w:val="19"/>
        </w:rPr>
        <w:t xml:space="preserve"> </w:t>
      </w:r>
      <w:r>
        <w:rPr>
          <w:rFonts w:ascii="Times New Roman" w:hAnsi="Times New Roman" w:eastAsia="Times New Roman" w:cs="Times New Roman"/>
          <w:spacing w:val="24"/>
          <w:sz w:val="19"/>
          <w:szCs w:val="19"/>
        </w:rPr>
        <w:t>(</w:t>
      </w:r>
      <w:r>
        <w:rPr>
          <w:rFonts w:ascii="Times New Roman" w:hAnsi="Times New Roman" w:eastAsia="Times New Roman" w:cs="Times New Roman"/>
          <w:sz w:val="19"/>
          <w:szCs w:val="19"/>
        </w:rPr>
        <w:t>Redundant</w:t>
      </w:r>
      <w:r>
        <w:rPr>
          <w:rFonts w:ascii="Times New Roman" w:hAnsi="Times New Roman" w:eastAsia="Times New Roman" w:cs="Times New Roman"/>
          <w:spacing w:val="19"/>
          <w:w w:val="101"/>
          <w:sz w:val="19"/>
          <w:szCs w:val="19"/>
        </w:rPr>
        <w:t xml:space="preserve">  </w:t>
      </w:r>
      <w:r>
        <w:rPr>
          <w:rFonts w:ascii="Times New Roman" w:hAnsi="Times New Roman" w:eastAsia="Times New Roman" w:cs="Times New Roman"/>
          <w:sz w:val="19"/>
          <w:szCs w:val="19"/>
        </w:rPr>
        <w:t>Arrays</w:t>
      </w:r>
      <w:r>
        <w:rPr>
          <w:rFonts w:ascii="Times New Roman" w:hAnsi="Times New Roman" w:eastAsia="Times New Roman" w:cs="Times New Roman"/>
          <w:spacing w:val="22"/>
          <w:sz w:val="19"/>
          <w:szCs w:val="1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pacing w:val="24"/>
          <w:sz w:val="19"/>
          <w:szCs w:val="19"/>
        </w:rPr>
        <w:t xml:space="preserve">  </w:t>
      </w:r>
      <w:r>
        <w:rPr>
          <w:rFonts w:ascii="Times New Roman" w:hAnsi="Times New Roman" w:eastAsia="Times New Roman" w:cs="Times New Roman"/>
          <w:sz w:val="19"/>
          <w:szCs w:val="19"/>
        </w:rPr>
        <w:t>Independent   Disks</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RAID</w:t>
      </w:r>
      <w:r>
        <w:rPr>
          <w:rFonts w:ascii="Times New Roman" w:hAnsi="Times New Roman" w:eastAsia="Times New Roman" w:cs="Times New Roman"/>
          <w:spacing w:val="9"/>
          <w:sz w:val="19"/>
          <w:szCs w:val="19"/>
        </w:rPr>
        <w:t xml:space="preserve">)      </w:t>
      </w:r>
      <w:r>
        <w:rPr>
          <w:spacing w:val="9"/>
          <w:sz w:val="19"/>
          <w:szCs w:val="19"/>
        </w:rPr>
        <w:t>和磁带机等设备提供了硬件基础，具体备份策略的制定</w:t>
      </w:r>
      <w:r>
        <w:rPr>
          <w:spacing w:val="8"/>
          <w:sz w:val="19"/>
          <w:szCs w:val="19"/>
        </w:rPr>
        <w:t>、备份介质的管理，以及</w:t>
      </w:r>
      <w:r>
        <w:rPr>
          <w:sz w:val="19"/>
          <w:szCs w:val="19"/>
        </w:rPr>
        <w:t xml:space="preserve">  </w:t>
      </w:r>
      <w:r>
        <w:rPr>
          <w:spacing w:val="6"/>
          <w:sz w:val="19"/>
          <w:szCs w:val="19"/>
        </w:rPr>
        <w:t>一些扩展功能的实现都需要软件来完成。备份软件主要分为两大类：</w:t>
      </w:r>
      <w:r>
        <w:rPr>
          <w:spacing w:val="77"/>
          <w:sz w:val="19"/>
          <w:szCs w:val="19"/>
        </w:rPr>
        <w:t xml:space="preserve"> </w:t>
      </w:r>
      <w:r>
        <w:rPr>
          <w:spacing w:val="6"/>
          <w:sz w:val="19"/>
          <w:szCs w:val="19"/>
        </w:rPr>
        <w:t>一是操作系统自带的软件，</w:t>
      </w:r>
      <w:r>
        <w:rPr>
          <w:sz w:val="19"/>
          <w:szCs w:val="19"/>
        </w:rPr>
        <w:t xml:space="preserve"> </w:t>
      </w:r>
      <w:r>
        <w:rPr>
          <w:spacing w:val="13"/>
          <w:sz w:val="19"/>
          <w:szCs w:val="19"/>
        </w:rPr>
        <w:t>例如麒麟操作系统的“备份”工具，这类软件实现的功能比较简单；二是专业备份软件，能够</w:t>
      </w:r>
      <w:r>
        <w:rPr>
          <w:spacing w:val="16"/>
          <w:sz w:val="19"/>
          <w:szCs w:val="19"/>
        </w:rPr>
        <w:t xml:space="preserve"> </w:t>
      </w:r>
      <w:r>
        <w:rPr>
          <w:spacing w:val="5"/>
          <w:sz w:val="19"/>
          <w:szCs w:val="19"/>
        </w:rPr>
        <w:t>实现比较全面的功能。</w:t>
      </w:r>
    </w:p>
    <w:p w14:paraId="73200AC9">
      <w:pPr>
        <w:pStyle w:val="2"/>
        <w:spacing w:before="108" w:line="222" w:lineRule="auto"/>
        <w:ind w:left="412"/>
        <w:rPr>
          <w:rFonts w:ascii="黑体" w:hAnsi="黑体" w:eastAsia="黑体" w:cs="黑体"/>
          <w:sz w:val="19"/>
          <w:szCs w:val="19"/>
        </w:rPr>
      </w:pPr>
      <w:r>
        <w:rPr>
          <w:b/>
          <w:bCs/>
          <w:color w:val="0051BD"/>
          <w:spacing w:val="10"/>
          <w:sz w:val="19"/>
          <w:szCs w:val="19"/>
        </w:rPr>
        <w:t>3.</w:t>
      </w:r>
      <w:r>
        <w:rPr>
          <w:rFonts w:ascii="黑体" w:hAnsi="黑体" w:eastAsia="黑体" w:cs="黑体"/>
          <w:b/>
          <w:bCs/>
          <w:color w:val="0051BD"/>
          <w:spacing w:val="10"/>
          <w:sz w:val="19"/>
          <w:szCs w:val="19"/>
        </w:rPr>
        <w:t>数据容灾</w:t>
      </w:r>
    </w:p>
    <w:p w14:paraId="721CBFC0">
      <w:pPr>
        <w:pStyle w:val="2"/>
        <w:spacing w:before="143" w:line="297" w:lineRule="auto"/>
        <w:ind w:right="198" w:firstLine="410"/>
        <w:jc w:val="both"/>
        <w:rPr>
          <w:sz w:val="19"/>
          <w:szCs w:val="19"/>
        </w:rPr>
      </w:pPr>
      <w:r>
        <w:rPr>
          <w:spacing w:val="15"/>
          <w:sz w:val="19"/>
          <w:szCs w:val="19"/>
        </w:rPr>
        <w:t>一切引起系统非正常停机的事件都可以称为灾难，包括不可预料、不可抗拒的自然灾</w:t>
      </w:r>
      <w:r>
        <w:rPr>
          <w:spacing w:val="14"/>
          <w:sz w:val="19"/>
          <w:szCs w:val="19"/>
        </w:rPr>
        <w:t>害，</w:t>
      </w:r>
      <w:r>
        <w:rPr>
          <w:sz w:val="19"/>
          <w:szCs w:val="19"/>
        </w:rPr>
        <w:t xml:space="preserve"> </w:t>
      </w:r>
      <w:r>
        <w:rPr>
          <w:spacing w:val="13"/>
          <w:sz w:val="19"/>
          <w:szCs w:val="19"/>
        </w:rPr>
        <w:t>系统软硬件故障，人为误操作和恶意攻击等。根据其保护对象不同，容灾系统分为应用容灾和</w:t>
      </w:r>
      <w:r>
        <w:rPr>
          <w:sz w:val="19"/>
          <w:szCs w:val="19"/>
        </w:rPr>
        <w:t xml:space="preserve">  </w:t>
      </w:r>
      <w:r>
        <w:rPr>
          <w:spacing w:val="13"/>
          <w:sz w:val="19"/>
          <w:szCs w:val="19"/>
        </w:rPr>
        <w:t>数据容灾两类。应用容灾用于克服灾难对系统的影响，保证应用服务的完整、可靠和</w:t>
      </w:r>
      <w:r>
        <w:rPr>
          <w:spacing w:val="12"/>
          <w:sz w:val="19"/>
          <w:szCs w:val="19"/>
        </w:rPr>
        <w:t>安全等一</w:t>
      </w:r>
      <w:r>
        <w:rPr>
          <w:sz w:val="19"/>
          <w:szCs w:val="19"/>
        </w:rPr>
        <w:t xml:space="preserve">  </w:t>
      </w:r>
      <w:r>
        <w:rPr>
          <w:spacing w:val="13"/>
          <w:sz w:val="19"/>
          <w:szCs w:val="19"/>
        </w:rPr>
        <w:t>系列要求，使得用户在任何情况下都能得到正常的服务；数据容灾则重点关注保证用户数据的</w:t>
      </w:r>
      <w:r>
        <w:rPr>
          <w:sz w:val="19"/>
          <w:szCs w:val="19"/>
        </w:rPr>
        <w:t xml:space="preserve">  </w:t>
      </w:r>
      <w:r>
        <w:rPr>
          <w:spacing w:val="13"/>
          <w:sz w:val="19"/>
          <w:szCs w:val="19"/>
        </w:rPr>
        <w:t>高可用性，在灾难发生时能够保证应用系统中的数据尽量少丢失或不丢失，使得应用</w:t>
      </w:r>
      <w:r>
        <w:rPr>
          <w:spacing w:val="12"/>
          <w:sz w:val="19"/>
          <w:szCs w:val="19"/>
        </w:rPr>
        <w:t>系统能不</w:t>
      </w:r>
      <w:r>
        <w:rPr>
          <w:sz w:val="19"/>
          <w:szCs w:val="19"/>
        </w:rPr>
        <w:t xml:space="preserve">  </w:t>
      </w:r>
      <w:r>
        <w:rPr>
          <w:spacing w:val="7"/>
          <w:sz w:val="19"/>
          <w:szCs w:val="19"/>
        </w:rPr>
        <w:t>间断地运行或尽快地恢复正常运行。</w:t>
      </w:r>
    </w:p>
    <w:p w14:paraId="2697C06F">
      <w:pPr>
        <w:pStyle w:val="2"/>
        <w:spacing w:before="17" w:line="293" w:lineRule="auto"/>
        <w:ind w:right="278" w:firstLine="410"/>
        <w:jc w:val="both"/>
        <w:rPr>
          <w:sz w:val="19"/>
          <w:szCs w:val="19"/>
        </w:rPr>
      </w:pPr>
      <w:r>
        <w:rPr>
          <w:spacing w:val="13"/>
          <w:sz w:val="19"/>
          <w:szCs w:val="19"/>
        </w:rPr>
        <w:t>在一般情况下，数据容灾是应用容灾的一个子集，也是应用容灾</w:t>
      </w:r>
      <w:r>
        <w:rPr>
          <w:spacing w:val="12"/>
          <w:sz w:val="19"/>
          <w:szCs w:val="19"/>
        </w:rPr>
        <w:t>最根本的基础，因为“得</w:t>
      </w:r>
      <w:r>
        <w:rPr>
          <w:sz w:val="19"/>
          <w:szCs w:val="19"/>
        </w:rPr>
        <w:t xml:space="preserve"> </w:t>
      </w:r>
      <w:r>
        <w:rPr>
          <w:spacing w:val="10"/>
          <w:sz w:val="19"/>
          <w:szCs w:val="19"/>
        </w:rPr>
        <w:t>数据者得天下”,数据是应用系统的基础。容灾是一个工程，而不仅仅是技术，容灾有其完整的</w:t>
      </w:r>
      <w:r>
        <w:rPr>
          <w:spacing w:val="18"/>
          <w:sz w:val="19"/>
          <w:szCs w:val="19"/>
        </w:rPr>
        <w:t xml:space="preserve"> </w:t>
      </w:r>
      <w:r>
        <w:rPr>
          <w:spacing w:val="6"/>
          <w:sz w:val="19"/>
          <w:szCs w:val="19"/>
        </w:rPr>
        <w:t>流程、规范及其具体措施。</w:t>
      </w:r>
    </w:p>
    <w:p w14:paraId="54A40A7C">
      <w:pPr>
        <w:spacing w:line="293" w:lineRule="auto"/>
        <w:rPr>
          <w:sz w:val="19"/>
          <w:szCs w:val="19"/>
        </w:rPr>
        <w:sectPr>
          <w:pgSz w:w="10310" w:h="13310"/>
          <w:pgMar w:top="400" w:right="616" w:bottom="400" w:left="1089" w:header="0" w:footer="0" w:gutter="0"/>
          <w:cols w:space="720" w:num="1"/>
        </w:sectPr>
      </w:pPr>
    </w:p>
    <w:p w14:paraId="0AA33F0E">
      <w:pPr>
        <w:pStyle w:val="2"/>
        <w:spacing w:before="87" w:line="219" w:lineRule="auto"/>
        <w:rPr>
          <w:sz w:val="18"/>
          <w:szCs w:val="18"/>
        </w:rPr>
      </w:pPr>
      <w:r>
        <w:rPr>
          <w:rFonts w:ascii="Times New Roman" w:hAnsi="Times New Roman" w:eastAsia="Times New Roman" w:cs="Times New Roman"/>
          <w:spacing w:val="8"/>
          <w:sz w:val="18"/>
          <w:szCs w:val="18"/>
        </w:rPr>
        <w:t xml:space="preserve">72               </w:t>
      </w:r>
      <w:r>
        <w:rPr>
          <w:spacing w:val="8"/>
          <w:sz w:val="18"/>
          <w:szCs w:val="18"/>
        </w:rPr>
        <w:t>信息系统监理师教程(第2版)</w:t>
      </w:r>
    </w:p>
    <w:p w14:paraId="7F5DACF9">
      <w:pPr>
        <w:spacing w:line="309" w:lineRule="auto"/>
        <w:rPr>
          <w:rFonts w:ascii="Arial"/>
          <w:sz w:val="21"/>
        </w:rPr>
      </w:pPr>
    </w:p>
    <w:p w14:paraId="264A750C">
      <w:pPr>
        <w:pStyle w:val="2"/>
        <w:spacing w:before="58" w:line="324" w:lineRule="auto"/>
        <w:ind w:left="309" w:firstLine="410"/>
        <w:jc w:val="both"/>
        <w:rPr>
          <w:sz w:val="18"/>
          <w:szCs w:val="18"/>
        </w:rPr>
      </w:pPr>
      <w:r>
        <w:rPr>
          <w:spacing w:val="23"/>
          <w:sz w:val="18"/>
          <w:szCs w:val="18"/>
        </w:rPr>
        <w:t>数据备份是数据容灾的基础。数据备份是数据高</w:t>
      </w:r>
      <w:r>
        <w:rPr>
          <w:spacing w:val="22"/>
          <w:sz w:val="18"/>
          <w:szCs w:val="18"/>
        </w:rPr>
        <w:t>可用的最后一道防线，其目的是系统数据</w:t>
      </w:r>
      <w:r>
        <w:rPr>
          <w:sz w:val="18"/>
          <w:szCs w:val="18"/>
        </w:rPr>
        <w:t xml:space="preserve">  </w:t>
      </w:r>
      <w:r>
        <w:rPr>
          <w:spacing w:val="23"/>
          <w:sz w:val="18"/>
          <w:szCs w:val="18"/>
        </w:rPr>
        <w:t>崩溃时能够快速恢复数据。容灾不是简单备份。真正的数据</w:t>
      </w:r>
      <w:r>
        <w:rPr>
          <w:spacing w:val="22"/>
          <w:sz w:val="18"/>
          <w:szCs w:val="18"/>
        </w:rPr>
        <w:t>容灾就是要避免传统冷备份所具有</w:t>
      </w:r>
      <w:r>
        <w:rPr>
          <w:sz w:val="18"/>
          <w:szCs w:val="18"/>
        </w:rPr>
        <w:t xml:space="preserve">  </w:t>
      </w:r>
      <w:r>
        <w:rPr>
          <w:spacing w:val="23"/>
          <w:sz w:val="18"/>
          <w:szCs w:val="18"/>
        </w:rPr>
        <w:t>的先天不足，它在灾难发生时能全面、及时地恢复整个</w:t>
      </w:r>
      <w:r>
        <w:rPr>
          <w:spacing w:val="22"/>
          <w:sz w:val="18"/>
          <w:szCs w:val="18"/>
        </w:rPr>
        <w:t>系统。容灾按其灾难恢复能力的高低可</w:t>
      </w:r>
      <w:r>
        <w:rPr>
          <w:sz w:val="18"/>
          <w:szCs w:val="18"/>
        </w:rPr>
        <w:t xml:space="preserve">  </w:t>
      </w:r>
      <w:r>
        <w:rPr>
          <w:spacing w:val="21"/>
          <w:sz w:val="18"/>
          <w:szCs w:val="18"/>
        </w:rPr>
        <w:t>以分为多个等级，例如，国际标准</w:t>
      </w:r>
      <w:r>
        <w:rPr>
          <w:rFonts w:ascii="Times New Roman" w:hAnsi="Times New Roman" w:eastAsia="Times New Roman" w:cs="Times New Roman"/>
          <w:sz w:val="18"/>
          <w:szCs w:val="18"/>
        </w:rPr>
        <w:t>SHARE</w:t>
      </w:r>
      <w:r>
        <w:rPr>
          <w:rFonts w:ascii="Times New Roman" w:hAnsi="Times New Roman" w:eastAsia="Times New Roman" w:cs="Times New Roman"/>
          <w:spacing w:val="21"/>
          <w:sz w:val="18"/>
          <w:szCs w:val="18"/>
        </w:rPr>
        <w:t xml:space="preserve">    78</w:t>
      </w:r>
      <w:r>
        <w:rPr>
          <w:spacing w:val="21"/>
          <w:sz w:val="18"/>
          <w:szCs w:val="18"/>
        </w:rPr>
        <w:t>定义的容灾系统有七个等级，从最简</w:t>
      </w:r>
      <w:r>
        <w:rPr>
          <w:spacing w:val="20"/>
          <w:sz w:val="18"/>
          <w:szCs w:val="18"/>
        </w:rPr>
        <w:t>单的仅在本</w:t>
      </w:r>
      <w:r>
        <w:rPr>
          <w:sz w:val="18"/>
          <w:szCs w:val="18"/>
        </w:rPr>
        <w:t xml:space="preserve">  </w:t>
      </w:r>
      <w:r>
        <w:rPr>
          <w:spacing w:val="25"/>
          <w:sz w:val="18"/>
          <w:szCs w:val="18"/>
        </w:rPr>
        <w:t>地进行磁带备份，到将备份的磁带存储在异地，再到建立</w:t>
      </w:r>
      <w:r>
        <w:rPr>
          <w:spacing w:val="24"/>
          <w:sz w:val="18"/>
          <w:szCs w:val="18"/>
        </w:rPr>
        <w:t>应用系统实时切换的异地备份系统。</w:t>
      </w:r>
      <w:r>
        <w:rPr>
          <w:sz w:val="18"/>
          <w:szCs w:val="18"/>
        </w:rPr>
        <w:t xml:space="preserve"> </w:t>
      </w:r>
      <w:r>
        <w:rPr>
          <w:spacing w:val="23"/>
          <w:sz w:val="18"/>
          <w:szCs w:val="18"/>
        </w:rPr>
        <w:t>恢复时间也可以从几天到小时级，再到分钟级、秒级或零数据丢</w:t>
      </w:r>
      <w:r>
        <w:rPr>
          <w:spacing w:val="22"/>
          <w:sz w:val="18"/>
          <w:szCs w:val="18"/>
        </w:rPr>
        <w:t>失等。从技术上看，衡量容灾</w:t>
      </w:r>
      <w:r>
        <w:rPr>
          <w:sz w:val="18"/>
          <w:szCs w:val="18"/>
        </w:rPr>
        <w:t xml:space="preserve">  </w:t>
      </w:r>
      <w:r>
        <w:rPr>
          <w:spacing w:val="6"/>
          <w:sz w:val="18"/>
          <w:szCs w:val="18"/>
        </w:rPr>
        <w:t>系统有两个主要指标，即</w:t>
      </w:r>
      <w:r>
        <w:rPr>
          <w:rFonts w:ascii="Times New Roman" w:hAnsi="Times New Roman" w:eastAsia="Times New Roman" w:cs="Times New Roman"/>
          <w:sz w:val="18"/>
          <w:szCs w:val="18"/>
        </w:rPr>
        <w:t>RPO</w:t>
      </w:r>
      <w:r>
        <w:rPr>
          <w:rFonts w:ascii="Times New Roman" w:hAnsi="Times New Roman" w:eastAsia="Times New Roman" w:cs="Times New Roman"/>
          <w:spacing w:val="6"/>
          <w:sz w:val="18"/>
          <w:szCs w:val="18"/>
        </w:rPr>
        <w:t>(</w:t>
      </w:r>
      <w:r>
        <w:rPr>
          <w:rFonts w:ascii="Times New Roman" w:hAnsi="Times New Roman" w:eastAsia="Times New Roman" w:cs="Times New Roman"/>
          <w:sz w:val="18"/>
          <w:szCs w:val="18"/>
        </w:rPr>
        <w:t>Recovery</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z w:val="18"/>
          <w:szCs w:val="18"/>
        </w:rPr>
        <w:t>Point</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z w:val="18"/>
          <w:szCs w:val="18"/>
        </w:rPr>
        <w:t>Object</w:t>
      </w:r>
      <w:r>
        <w:rPr>
          <w:rFonts w:ascii="Times New Roman" w:hAnsi="Times New Roman" w:eastAsia="Times New Roman" w:cs="Times New Roman"/>
          <w:spacing w:val="6"/>
          <w:sz w:val="18"/>
          <w:szCs w:val="18"/>
        </w:rPr>
        <w:t xml:space="preserve">) </w:t>
      </w:r>
      <w:r>
        <w:rPr>
          <w:spacing w:val="6"/>
          <w:sz w:val="18"/>
          <w:szCs w:val="18"/>
        </w:rPr>
        <w:t xml:space="preserve">和 </w:t>
      </w:r>
      <w:r>
        <w:rPr>
          <w:rFonts w:ascii="Times New Roman" w:hAnsi="Times New Roman" w:eastAsia="Times New Roman" w:cs="Times New Roman"/>
          <w:sz w:val="18"/>
          <w:szCs w:val="18"/>
        </w:rPr>
        <w:t>RTO</w:t>
      </w:r>
      <w:r>
        <w:rPr>
          <w:rFonts w:ascii="Times New Roman" w:hAnsi="Times New Roman" w:eastAsia="Times New Roman" w:cs="Times New Roman"/>
          <w:spacing w:val="6"/>
          <w:sz w:val="18"/>
          <w:szCs w:val="18"/>
        </w:rPr>
        <w:t>(</w:t>
      </w:r>
      <w:r>
        <w:rPr>
          <w:rFonts w:ascii="Times New Roman" w:hAnsi="Times New Roman" w:eastAsia="Times New Roman" w:cs="Times New Roman"/>
          <w:sz w:val="18"/>
          <w:szCs w:val="18"/>
        </w:rPr>
        <w:t>Recovery</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Time</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Object</w:t>
      </w:r>
      <w:r>
        <w:rPr>
          <w:rFonts w:ascii="Times New Roman" w:hAnsi="Times New Roman" w:eastAsia="Times New Roman" w:cs="Times New Roman"/>
          <w:spacing w:val="5"/>
          <w:sz w:val="18"/>
          <w:szCs w:val="18"/>
        </w:rPr>
        <w:t xml:space="preserve">), </w:t>
      </w:r>
      <w:r>
        <w:rPr>
          <w:spacing w:val="5"/>
          <w:sz w:val="18"/>
          <w:szCs w:val="18"/>
        </w:rPr>
        <w:t>其</w:t>
      </w:r>
      <w:r>
        <w:rPr>
          <w:spacing w:val="41"/>
          <w:sz w:val="18"/>
          <w:szCs w:val="18"/>
        </w:rPr>
        <w:t xml:space="preserve"> </w:t>
      </w:r>
      <w:r>
        <w:rPr>
          <w:spacing w:val="5"/>
          <w:sz w:val="18"/>
          <w:szCs w:val="18"/>
        </w:rPr>
        <w:t>中</w:t>
      </w:r>
      <w:r>
        <w:rPr>
          <w:sz w:val="18"/>
          <w:szCs w:val="18"/>
        </w:rPr>
        <w:t xml:space="preserve">  </w:t>
      </w:r>
      <w:r>
        <w:rPr>
          <w:rFonts w:ascii="Times New Roman" w:hAnsi="Times New Roman" w:eastAsia="Times New Roman" w:cs="Times New Roman"/>
          <w:sz w:val="18"/>
          <w:szCs w:val="18"/>
        </w:rPr>
        <w:t>RPO</w:t>
      </w:r>
      <w:r>
        <w:rPr>
          <w:rFonts w:ascii="Times New Roman" w:hAnsi="Times New Roman" w:eastAsia="Times New Roman" w:cs="Times New Roman"/>
          <w:spacing w:val="28"/>
          <w:w w:val="101"/>
          <w:sz w:val="18"/>
          <w:szCs w:val="18"/>
        </w:rPr>
        <w:t xml:space="preserve"> </w:t>
      </w:r>
      <w:r>
        <w:rPr>
          <w:spacing w:val="20"/>
          <w:sz w:val="18"/>
          <w:szCs w:val="18"/>
        </w:rPr>
        <w:t>代表当灾难发生时允许丢失的数据量，而</w:t>
      </w:r>
      <w:r>
        <w:rPr>
          <w:rFonts w:ascii="Times New Roman" w:hAnsi="Times New Roman" w:eastAsia="Times New Roman" w:cs="Times New Roman"/>
          <w:sz w:val="18"/>
          <w:szCs w:val="18"/>
        </w:rPr>
        <w:t>RTO</w:t>
      </w:r>
      <w:r>
        <w:rPr>
          <w:rFonts w:ascii="Times New Roman" w:hAnsi="Times New Roman" w:eastAsia="Times New Roman" w:cs="Times New Roman"/>
          <w:spacing w:val="1"/>
          <w:sz w:val="18"/>
          <w:szCs w:val="18"/>
        </w:rPr>
        <w:t xml:space="preserve">  </w:t>
      </w:r>
      <w:r>
        <w:rPr>
          <w:spacing w:val="20"/>
          <w:sz w:val="18"/>
          <w:szCs w:val="18"/>
        </w:rPr>
        <w:t>则代表</w:t>
      </w:r>
      <w:r>
        <w:rPr>
          <w:spacing w:val="19"/>
          <w:sz w:val="18"/>
          <w:szCs w:val="18"/>
        </w:rPr>
        <w:t>系统恢复的时间。</w:t>
      </w:r>
    </w:p>
    <w:p w14:paraId="4CE348B2">
      <w:pPr>
        <w:pStyle w:val="2"/>
        <w:spacing w:before="115" w:line="222" w:lineRule="auto"/>
        <w:ind w:left="692"/>
        <w:rPr>
          <w:rFonts w:ascii="黑体" w:hAnsi="黑体" w:eastAsia="黑体" w:cs="黑体"/>
          <w:sz w:val="18"/>
          <w:szCs w:val="18"/>
        </w:rPr>
      </w:pPr>
      <w:r>
        <w:rPr>
          <w:b/>
          <w:bCs/>
          <w:color w:val="08A0E2"/>
          <w:spacing w:val="15"/>
          <w:sz w:val="18"/>
          <w:szCs w:val="18"/>
        </w:rPr>
        <w:t>4.</w:t>
      </w:r>
      <w:r>
        <w:rPr>
          <w:color w:val="08A0E2"/>
          <w:spacing w:val="-48"/>
          <w:sz w:val="18"/>
          <w:szCs w:val="18"/>
        </w:rPr>
        <w:t xml:space="preserve"> </w:t>
      </w:r>
      <w:r>
        <w:rPr>
          <w:rFonts w:ascii="黑体" w:hAnsi="黑体" w:eastAsia="黑体" w:cs="黑体"/>
          <w:b/>
          <w:bCs/>
          <w:color w:val="08A0E2"/>
          <w:spacing w:val="15"/>
          <w:sz w:val="18"/>
          <w:szCs w:val="18"/>
        </w:rPr>
        <w:t>数据质量评价与控制</w:t>
      </w:r>
    </w:p>
    <w:p w14:paraId="3C49ADDF">
      <w:pPr>
        <w:pStyle w:val="2"/>
        <w:spacing w:before="155" w:line="330" w:lineRule="auto"/>
        <w:ind w:left="309" w:right="40" w:firstLine="410"/>
        <w:jc w:val="both"/>
        <w:rPr>
          <w:sz w:val="18"/>
          <w:szCs w:val="18"/>
        </w:rPr>
      </w:pPr>
      <w:r>
        <w:rPr>
          <w:spacing w:val="24"/>
          <w:sz w:val="18"/>
          <w:szCs w:val="18"/>
        </w:rPr>
        <w:t>在不同时期，数据质量有不同的概念和标准。目</w:t>
      </w:r>
      <w:r>
        <w:rPr>
          <w:spacing w:val="23"/>
          <w:sz w:val="18"/>
          <w:szCs w:val="18"/>
        </w:rPr>
        <w:t>前普遍认为，数据质量高低必须从用户使</w:t>
      </w:r>
      <w:r>
        <w:rPr>
          <w:sz w:val="18"/>
          <w:szCs w:val="18"/>
        </w:rPr>
        <w:t xml:space="preserve"> </w:t>
      </w:r>
      <w:r>
        <w:rPr>
          <w:spacing w:val="23"/>
          <w:sz w:val="18"/>
          <w:szCs w:val="18"/>
        </w:rPr>
        <w:t>用的角度来看，即使准确性相当高的数据，如果时效性差，或者不为用户所关心，仍达不到数</w:t>
      </w:r>
      <w:r>
        <w:rPr>
          <w:spacing w:val="3"/>
          <w:sz w:val="18"/>
          <w:szCs w:val="18"/>
        </w:rPr>
        <w:t xml:space="preserve"> </w:t>
      </w:r>
      <w:r>
        <w:rPr>
          <w:spacing w:val="15"/>
          <w:sz w:val="18"/>
          <w:szCs w:val="18"/>
        </w:rPr>
        <w:t>据质量管理标准。</w:t>
      </w:r>
    </w:p>
    <w:p w14:paraId="059B47FD">
      <w:pPr>
        <w:spacing w:before="87" w:line="227" w:lineRule="auto"/>
        <w:ind w:left="719"/>
        <w:rPr>
          <w:rFonts w:ascii="楷体" w:hAnsi="楷体" w:eastAsia="楷体" w:cs="楷体"/>
          <w:sz w:val="18"/>
          <w:szCs w:val="18"/>
        </w:rPr>
      </w:pPr>
      <w:r>
        <w:rPr>
          <w:rFonts w:ascii="楷体" w:hAnsi="楷体" w:eastAsia="楷体" w:cs="楷体"/>
          <w:spacing w:val="27"/>
          <w:sz w:val="18"/>
          <w:szCs w:val="18"/>
        </w:rPr>
        <w:t>1)数据质量描述</w:t>
      </w:r>
    </w:p>
    <w:p w14:paraId="5B18988C">
      <w:pPr>
        <w:pStyle w:val="2"/>
        <w:spacing w:before="68" w:line="356" w:lineRule="auto"/>
        <w:ind w:left="309" w:right="63" w:firstLine="410"/>
        <w:rPr>
          <w:sz w:val="18"/>
          <w:szCs w:val="18"/>
        </w:rPr>
      </w:pPr>
      <w:r>
        <w:rPr>
          <w:spacing w:val="23"/>
          <w:sz w:val="18"/>
          <w:szCs w:val="18"/>
        </w:rPr>
        <w:t>数据质量可以通过数据质量元素来描述，数据质量元素分为数据质量定量元素和数据</w:t>
      </w:r>
      <w:r>
        <w:rPr>
          <w:spacing w:val="22"/>
          <w:sz w:val="18"/>
          <w:szCs w:val="18"/>
        </w:rPr>
        <w:t>质量</w:t>
      </w:r>
      <w:r>
        <w:rPr>
          <w:sz w:val="18"/>
          <w:szCs w:val="18"/>
        </w:rPr>
        <w:t xml:space="preserve"> </w:t>
      </w:r>
      <w:r>
        <w:rPr>
          <w:spacing w:val="11"/>
          <w:sz w:val="18"/>
          <w:szCs w:val="18"/>
        </w:rPr>
        <w:t>非定量元素。</w:t>
      </w:r>
    </w:p>
    <w:p w14:paraId="73563445">
      <w:pPr>
        <w:spacing w:before="42" w:line="223" w:lineRule="auto"/>
        <w:ind w:left="719"/>
        <w:rPr>
          <w:rFonts w:ascii="楷体" w:hAnsi="楷体" w:eastAsia="楷体" w:cs="楷体"/>
          <w:sz w:val="18"/>
          <w:szCs w:val="18"/>
        </w:rPr>
      </w:pPr>
      <w:r>
        <w:rPr>
          <w:rFonts w:ascii="楷体" w:hAnsi="楷体" w:eastAsia="楷体" w:cs="楷体"/>
          <w:spacing w:val="27"/>
          <w:sz w:val="18"/>
          <w:szCs w:val="18"/>
        </w:rPr>
        <w:t>2)数据质量评价过程</w:t>
      </w:r>
    </w:p>
    <w:p w14:paraId="45E8C155">
      <w:pPr>
        <w:pStyle w:val="2"/>
        <w:spacing w:before="95" w:line="218" w:lineRule="auto"/>
        <w:jc w:val="right"/>
        <w:rPr>
          <w:sz w:val="18"/>
          <w:szCs w:val="18"/>
        </w:rPr>
      </w:pPr>
      <w:r>
        <w:rPr>
          <w:spacing w:val="12"/>
          <w:sz w:val="18"/>
          <w:szCs w:val="18"/>
        </w:rPr>
        <w:t>数据质量评价过程是产生和报告数据质量结果的一系列步骤，图2-7描述了数</w:t>
      </w:r>
      <w:r>
        <w:rPr>
          <w:spacing w:val="11"/>
          <w:sz w:val="18"/>
          <w:szCs w:val="18"/>
        </w:rPr>
        <w:t>据质量评价过程。</w:t>
      </w:r>
    </w:p>
    <w:p w14:paraId="7708B935">
      <w:pPr>
        <w:pStyle w:val="2"/>
        <w:spacing w:before="162" w:line="5360" w:lineRule="exact"/>
        <w:ind w:firstLine="1279"/>
      </w:pPr>
      <w:r>
        <w:rPr>
          <w:position w:val="-107"/>
        </w:rPr>
        <w:pict>
          <v:group id="_x0000_s1101" o:spid="_x0000_s1101" o:spt="203" style="height:268pt;width:318.5pt;" coordsize="6370,5360">
            <o:lock v:ext="edit"/>
            <v:shape id="_x0000_s1102" o:spid="_x0000_s1102" o:spt="75" type="#_x0000_t75" style="position:absolute;left:0;top:0;height:5360;width:6370;" filled="f" stroked="f" coordsize="21600,21600">
              <v:path/>
              <v:fill on="f" focussize="0,0"/>
              <v:stroke on="f"/>
              <v:imagedata r:id="rId52" o:title=""/>
              <o:lock v:ext="edit" aspectratio="t"/>
            </v:shape>
            <v:shape id="_x0000_s1103" o:spid="_x0000_s1103" o:spt="202" type="#_x0000_t202" style="position:absolute;left:479;top:107;height:5142;width:5614;" filled="f" stroked="f" coordsize="21600,21600">
              <v:path/>
              <v:fill on="f" focussize="0,0"/>
              <v:stroke on="f"/>
              <v:imagedata o:title=""/>
              <o:lock v:ext="edit" aspectratio="f"/>
              <v:textbox inset="0mm,0mm,0mm,0mm">
                <w:txbxContent>
                  <w:p w14:paraId="55AE765F">
                    <w:pPr>
                      <w:spacing w:line="20" w:lineRule="exact"/>
                    </w:pPr>
                  </w:p>
                  <w:tbl>
                    <w:tblPr>
                      <w:tblStyle w:val="5"/>
                      <w:tblW w:w="5573"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31"/>
                      <w:gridCol w:w="2412"/>
                      <w:gridCol w:w="2530"/>
                    </w:tblGrid>
                    <w:tr w14:paraId="452F6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5" w:hRule="atLeast"/>
                      </w:trPr>
                      <w:tc>
                        <w:tcPr>
                          <w:tcW w:w="631" w:type="dxa"/>
                          <w:vAlign w:val="top"/>
                        </w:tcPr>
                        <w:p w14:paraId="44B864BD">
                          <w:pPr>
                            <w:rPr>
                              <w:rFonts w:ascii="Arial"/>
                              <w:sz w:val="21"/>
                            </w:rPr>
                          </w:pPr>
                        </w:p>
                      </w:tc>
                      <w:tc>
                        <w:tcPr>
                          <w:tcW w:w="2412" w:type="dxa"/>
                          <w:vAlign w:val="top"/>
                        </w:tcPr>
                        <w:p w14:paraId="03D099CD">
                          <w:pPr>
                            <w:spacing w:before="120" w:line="219" w:lineRule="auto"/>
                            <w:ind w:left="279"/>
                            <w:rPr>
                              <w:rFonts w:ascii="宋体" w:hAnsi="宋体" w:eastAsia="宋体" w:cs="宋体"/>
                              <w:sz w:val="18"/>
                              <w:szCs w:val="18"/>
                            </w:rPr>
                          </w:pPr>
                          <w:r>
                            <w:rPr>
                              <w:rFonts w:ascii="宋体" w:hAnsi="宋体" w:eastAsia="宋体" w:cs="宋体"/>
                              <w:spacing w:val="-11"/>
                              <w:sz w:val="18"/>
                              <w:szCs w:val="18"/>
                            </w:rPr>
                            <w:t>范围限定的数据集</w:t>
                          </w:r>
                        </w:p>
                      </w:tc>
                      <w:tc>
                        <w:tcPr>
                          <w:tcW w:w="2530" w:type="dxa"/>
                          <w:vAlign w:val="top"/>
                        </w:tcPr>
                        <w:p w14:paraId="5C35B046">
                          <w:pPr>
                            <w:spacing w:line="216" w:lineRule="auto"/>
                            <w:ind w:left="857"/>
                            <w:rPr>
                              <w:rFonts w:ascii="宋体" w:hAnsi="宋体" w:eastAsia="宋体" w:cs="宋体"/>
                              <w:sz w:val="18"/>
                              <w:szCs w:val="18"/>
                            </w:rPr>
                          </w:pPr>
                          <w:r>
                            <w:rPr>
                              <w:rFonts w:ascii="宋体" w:hAnsi="宋体" w:eastAsia="宋体" w:cs="宋体"/>
                              <w:spacing w:val="-6"/>
                              <w:sz w:val="18"/>
                              <w:szCs w:val="18"/>
                            </w:rPr>
                            <w:t>产品规范或</w:t>
                          </w:r>
                        </w:p>
                        <w:p w14:paraId="41550F43">
                          <w:pPr>
                            <w:spacing w:line="220" w:lineRule="auto"/>
                            <w:ind w:left="947"/>
                            <w:rPr>
                              <w:rFonts w:ascii="宋体" w:hAnsi="宋体" w:eastAsia="宋体" w:cs="宋体"/>
                              <w:sz w:val="18"/>
                              <w:szCs w:val="18"/>
                            </w:rPr>
                          </w:pPr>
                          <w:r>
                            <w:rPr>
                              <w:rFonts w:ascii="宋体" w:hAnsi="宋体" w:eastAsia="宋体" w:cs="宋体"/>
                              <w:spacing w:val="-2"/>
                              <w:sz w:val="18"/>
                              <w:szCs w:val="18"/>
                            </w:rPr>
                            <w:t>用户需求</w:t>
                          </w:r>
                        </w:p>
                      </w:tc>
                    </w:tr>
                    <w:tr w14:paraId="72DAC5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45" w:hRule="atLeast"/>
                      </w:trPr>
                      <w:tc>
                        <w:tcPr>
                          <w:tcW w:w="631" w:type="dxa"/>
                          <w:vAlign w:val="top"/>
                        </w:tcPr>
                        <w:p w14:paraId="3CA233F7">
                          <w:pPr>
                            <w:spacing w:line="452" w:lineRule="auto"/>
                            <w:rPr>
                              <w:rFonts w:ascii="Arial"/>
                              <w:sz w:val="21"/>
                            </w:rPr>
                          </w:pPr>
                        </w:p>
                        <w:p w14:paraId="5AAE0194">
                          <w:pPr>
                            <w:spacing w:before="59" w:line="222" w:lineRule="auto"/>
                            <w:rPr>
                              <w:rFonts w:ascii="黑体" w:hAnsi="黑体" w:eastAsia="黑体" w:cs="黑体"/>
                              <w:sz w:val="18"/>
                              <w:szCs w:val="18"/>
                            </w:rPr>
                          </w:pPr>
                          <w:r>
                            <w:rPr>
                              <w:rFonts w:ascii="黑体" w:hAnsi="黑体" w:eastAsia="黑体" w:cs="黑体"/>
                              <w:spacing w:val="-3"/>
                              <w:sz w:val="18"/>
                              <w:szCs w:val="18"/>
                            </w:rPr>
                            <w:t>第一步</w:t>
                          </w:r>
                        </w:p>
                      </w:tc>
                      <w:tc>
                        <w:tcPr>
                          <w:tcW w:w="2412" w:type="dxa"/>
                          <w:vAlign w:val="top"/>
                        </w:tcPr>
                        <w:p w14:paraId="4CAC423F">
                          <w:pPr>
                            <w:spacing w:line="345" w:lineRule="auto"/>
                            <w:rPr>
                              <w:rFonts w:ascii="Arial"/>
                              <w:sz w:val="21"/>
                            </w:rPr>
                          </w:pPr>
                        </w:p>
                        <w:p w14:paraId="3DBF72EE">
                          <w:pPr>
                            <w:spacing w:before="58" w:line="217" w:lineRule="auto"/>
                            <w:ind w:left="99" w:right="606"/>
                            <w:rPr>
                              <w:rFonts w:ascii="宋体" w:hAnsi="宋体" w:eastAsia="宋体" w:cs="宋体"/>
                              <w:sz w:val="18"/>
                              <w:szCs w:val="18"/>
                            </w:rPr>
                          </w:pPr>
                          <w:r>
                            <w:rPr>
                              <w:rFonts w:ascii="宋体" w:hAnsi="宋体" w:eastAsia="宋体" w:cs="宋体"/>
                              <w:spacing w:val="-10"/>
                              <w:sz w:val="18"/>
                              <w:szCs w:val="18"/>
                            </w:rPr>
                            <w:t>确定适用的数据质量定</w:t>
                          </w:r>
                          <w:r>
                            <w:rPr>
                              <w:rFonts w:ascii="宋体" w:hAnsi="宋体" w:eastAsia="宋体" w:cs="宋体"/>
                              <w:sz w:val="18"/>
                              <w:szCs w:val="18"/>
                            </w:rPr>
                            <w:t xml:space="preserve"> </w:t>
                          </w:r>
                          <w:r>
                            <w:rPr>
                              <w:rFonts w:ascii="宋体" w:hAnsi="宋体" w:eastAsia="宋体" w:cs="宋体"/>
                              <w:spacing w:val="-10"/>
                              <w:sz w:val="18"/>
                              <w:szCs w:val="18"/>
                            </w:rPr>
                            <w:t>量元素及数据质量范围</w:t>
                          </w:r>
                        </w:p>
                      </w:tc>
                      <w:tc>
                        <w:tcPr>
                          <w:tcW w:w="2530" w:type="dxa"/>
                          <w:vAlign w:val="top"/>
                        </w:tcPr>
                        <w:p w14:paraId="7E6CBD8B">
                          <w:pPr>
                            <w:rPr>
                              <w:rFonts w:ascii="Arial"/>
                              <w:sz w:val="21"/>
                            </w:rPr>
                          </w:pPr>
                        </w:p>
                      </w:tc>
                    </w:tr>
                    <w:tr w14:paraId="4E0E3A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0" w:hRule="atLeast"/>
                      </w:trPr>
                      <w:tc>
                        <w:tcPr>
                          <w:tcW w:w="631" w:type="dxa"/>
                          <w:vAlign w:val="top"/>
                        </w:tcPr>
                        <w:p w14:paraId="79050C9B">
                          <w:pPr>
                            <w:spacing w:before="260" w:line="219" w:lineRule="auto"/>
                            <w:rPr>
                              <w:rFonts w:ascii="宋体" w:hAnsi="宋体" w:eastAsia="宋体" w:cs="宋体"/>
                              <w:sz w:val="18"/>
                              <w:szCs w:val="18"/>
                            </w:rPr>
                          </w:pPr>
                          <w:r>
                            <w:rPr>
                              <w:rFonts w:ascii="宋体" w:hAnsi="宋体" w:eastAsia="宋体" w:cs="宋体"/>
                              <w:spacing w:val="-2"/>
                              <w:sz w:val="18"/>
                              <w:szCs w:val="18"/>
                            </w:rPr>
                            <w:t>第二步</w:t>
                          </w:r>
                        </w:p>
                      </w:tc>
                      <w:tc>
                        <w:tcPr>
                          <w:tcW w:w="2412" w:type="dxa"/>
                          <w:vAlign w:val="top"/>
                        </w:tcPr>
                        <w:p w14:paraId="53B7BC42">
                          <w:pPr>
                            <w:spacing w:before="250" w:line="219" w:lineRule="auto"/>
                            <w:ind w:left="99"/>
                            <w:rPr>
                              <w:rFonts w:ascii="宋体" w:hAnsi="宋体" w:eastAsia="宋体" w:cs="宋体"/>
                              <w:sz w:val="18"/>
                              <w:szCs w:val="18"/>
                            </w:rPr>
                          </w:pPr>
                          <w:r>
                            <w:rPr>
                              <w:rFonts w:ascii="宋体" w:hAnsi="宋体" w:eastAsia="宋体" w:cs="宋体"/>
                              <w:spacing w:val="-10"/>
                              <w:sz w:val="18"/>
                              <w:szCs w:val="18"/>
                            </w:rPr>
                            <w:t>确定数据质量度量方法</w:t>
                          </w:r>
                        </w:p>
                      </w:tc>
                      <w:tc>
                        <w:tcPr>
                          <w:tcW w:w="2530" w:type="dxa"/>
                          <w:vAlign w:val="top"/>
                        </w:tcPr>
                        <w:p w14:paraId="4E676D19">
                          <w:pPr>
                            <w:rPr>
                              <w:rFonts w:ascii="Arial"/>
                              <w:sz w:val="21"/>
                            </w:rPr>
                          </w:pPr>
                        </w:p>
                      </w:tc>
                    </w:tr>
                    <w:tr w14:paraId="0176B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631" w:type="dxa"/>
                          <w:vAlign w:val="top"/>
                        </w:tcPr>
                        <w:p w14:paraId="731B4D86">
                          <w:pPr>
                            <w:rPr>
                              <w:rFonts w:ascii="Arial"/>
                              <w:sz w:val="21"/>
                            </w:rPr>
                          </w:pPr>
                        </w:p>
                      </w:tc>
                      <w:tc>
                        <w:tcPr>
                          <w:tcW w:w="2412" w:type="dxa"/>
                          <w:vAlign w:val="top"/>
                        </w:tcPr>
                        <w:p w14:paraId="222D78D6">
                          <w:pPr>
                            <w:rPr>
                              <w:rFonts w:ascii="Arial"/>
                              <w:sz w:val="21"/>
                            </w:rPr>
                          </w:pPr>
                        </w:p>
                      </w:tc>
                      <w:tc>
                        <w:tcPr>
                          <w:tcW w:w="2530" w:type="dxa"/>
                          <w:vAlign w:val="top"/>
                        </w:tcPr>
                        <w:p w14:paraId="35647BF3">
                          <w:pPr>
                            <w:spacing w:before="80" w:line="219" w:lineRule="auto"/>
                            <w:ind w:left="687"/>
                            <w:rPr>
                              <w:rFonts w:ascii="宋体" w:hAnsi="宋体" w:eastAsia="宋体" w:cs="宋体"/>
                              <w:sz w:val="18"/>
                              <w:szCs w:val="18"/>
                            </w:rPr>
                          </w:pPr>
                          <w:r>
                            <w:rPr>
                              <w:rFonts w:ascii="宋体" w:hAnsi="宋体" w:eastAsia="宋体" w:cs="宋体"/>
                              <w:spacing w:val="-7"/>
                              <w:sz w:val="18"/>
                              <w:szCs w:val="18"/>
                            </w:rPr>
                            <w:t>一致性质量层次</w:t>
                          </w:r>
                        </w:p>
                      </w:tc>
                    </w:tr>
                    <w:tr w14:paraId="10FE3F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4" w:hRule="atLeast"/>
                      </w:trPr>
                      <w:tc>
                        <w:tcPr>
                          <w:tcW w:w="631" w:type="dxa"/>
                          <w:vAlign w:val="top"/>
                        </w:tcPr>
                        <w:p w14:paraId="66607DD7">
                          <w:pPr>
                            <w:spacing w:before="180" w:line="219" w:lineRule="auto"/>
                            <w:rPr>
                              <w:rFonts w:ascii="宋体" w:hAnsi="宋体" w:eastAsia="宋体" w:cs="宋体"/>
                              <w:sz w:val="18"/>
                              <w:szCs w:val="18"/>
                            </w:rPr>
                          </w:pPr>
                          <w:r>
                            <w:rPr>
                              <w:rFonts w:ascii="宋体" w:hAnsi="宋体" w:eastAsia="宋体" w:cs="宋体"/>
                              <w:spacing w:val="-2"/>
                              <w:sz w:val="18"/>
                              <w:szCs w:val="18"/>
                            </w:rPr>
                            <w:t>第三步</w:t>
                          </w:r>
                        </w:p>
                      </w:tc>
                      <w:tc>
                        <w:tcPr>
                          <w:tcW w:w="2412" w:type="dxa"/>
                          <w:vAlign w:val="top"/>
                        </w:tcPr>
                        <w:p w14:paraId="080B9E24">
                          <w:pPr>
                            <w:spacing w:before="79" w:line="211" w:lineRule="auto"/>
                            <w:ind w:left="699" w:right="616" w:hanging="600"/>
                            <w:rPr>
                              <w:rFonts w:ascii="宋体" w:hAnsi="宋体" w:eastAsia="宋体" w:cs="宋体"/>
                              <w:sz w:val="18"/>
                              <w:szCs w:val="18"/>
                            </w:rPr>
                          </w:pPr>
                          <w:r>
                            <w:rPr>
                              <w:rFonts w:ascii="宋体" w:hAnsi="宋体" w:eastAsia="宋体" w:cs="宋体"/>
                              <w:spacing w:val="-11"/>
                              <w:sz w:val="18"/>
                              <w:szCs w:val="18"/>
                            </w:rPr>
                            <w:t>选择并使用数据质量评</w:t>
                          </w:r>
                          <w:r>
                            <w:rPr>
                              <w:rFonts w:ascii="宋体" w:hAnsi="宋体" w:eastAsia="宋体" w:cs="宋体"/>
                              <w:spacing w:val="5"/>
                              <w:sz w:val="18"/>
                              <w:szCs w:val="18"/>
                            </w:rPr>
                            <w:t xml:space="preserve"> </w:t>
                          </w:r>
                          <w:r>
                            <w:rPr>
                              <w:rFonts w:ascii="宋体" w:hAnsi="宋体" w:eastAsia="宋体" w:cs="宋体"/>
                              <w:spacing w:val="-8"/>
                              <w:sz w:val="18"/>
                              <w:szCs w:val="18"/>
                            </w:rPr>
                            <w:t>价方法</w:t>
                          </w:r>
                        </w:p>
                      </w:tc>
                      <w:tc>
                        <w:tcPr>
                          <w:tcW w:w="2530" w:type="dxa"/>
                          <w:vAlign w:val="top"/>
                        </w:tcPr>
                        <w:p w14:paraId="010AB206">
                          <w:pPr>
                            <w:rPr>
                              <w:rFonts w:ascii="Arial"/>
                              <w:sz w:val="21"/>
                            </w:rPr>
                          </w:pPr>
                        </w:p>
                      </w:tc>
                    </w:tr>
                    <w:tr w14:paraId="6EBF36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98" w:hRule="atLeast"/>
                      </w:trPr>
                      <w:tc>
                        <w:tcPr>
                          <w:tcW w:w="631" w:type="dxa"/>
                          <w:vAlign w:val="top"/>
                        </w:tcPr>
                        <w:p w14:paraId="5EFF8ABC">
                          <w:pPr>
                            <w:spacing w:before="256" w:line="219" w:lineRule="auto"/>
                            <w:rPr>
                              <w:rFonts w:ascii="宋体" w:hAnsi="宋体" w:eastAsia="宋体" w:cs="宋体"/>
                              <w:sz w:val="18"/>
                              <w:szCs w:val="18"/>
                            </w:rPr>
                          </w:pPr>
                          <w:r>
                            <w:rPr>
                              <w:rFonts w:ascii="宋体" w:hAnsi="宋体" w:eastAsia="宋体" w:cs="宋体"/>
                              <w:spacing w:val="-2"/>
                              <w:sz w:val="18"/>
                              <w:szCs w:val="18"/>
                            </w:rPr>
                            <w:t>第四步</w:t>
                          </w:r>
                        </w:p>
                      </w:tc>
                      <w:tc>
                        <w:tcPr>
                          <w:tcW w:w="2412" w:type="dxa"/>
                          <w:vAlign w:val="top"/>
                        </w:tcPr>
                        <w:p w14:paraId="37FD79CC">
                          <w:pPr>
                            <w:spacing w:before="256" w:line="219" w:lineRule="auto"/>
                            <w:ind w:left="279"/>
                            <w:rPr>
                              <w:rFonts w:ascii="宋体" w:hAnsi="宋体" w:eastAsia="宋体" w:cs="宋体"/>
                              <w:sz w:val="18"/>
                              <w:szCs w:val="18"/>
                            </w:rPr>
                          </w:pPr>
                          <w:r>
                            <w:rPr>
                              <w:rFonts w:ascii="宋体" w:hAnsi="宋体" w:eastAsia="宋体" w:cs="宋体"/>
                              <w:spacing w:val="-10"/>
                              <w:sz w:val="18"/>
                              <w:szCs w:val="18"/>
                            </w:rPr>
                            <w:t>确定数据质量结果</w:t>
                          </w:r>
                        </w:p>
                        <w:p w14:paraId="6EE797D6">
                          <w:pPr>
                            <w:spacing w:line="257" w:lineRule="auto"/>
                            <w:rPr>
                              <w:rFonts w:ascii="Arial"/>
                              <w:sz w:val="21"/>
                            </w:rPr>
                          </w:pPr>
                        </w:p>
                        <w:p w14:paraId="3861CFF7">
                          <w:pPr>
                            <w:spacing w:line="257" w:lineRule="auto"/>
                            <w:rPr>
                              <w:rFonts w:ascii="Arial"/>
                              <w:sz w:val="21"/>
                            </w:rPr>
                          </w:pPr>
                        </w:p>
                        <w:p w14:paraId="7B13D6F4">
                          <w:pPr>
                            <w:spacing w:line="257" w:lineRule="auto"/>
                            <w:rPr>
                              <w:rFonts w:ascii="Arial"/>
                              <w:sz w:val="21"/>
                            </w:rPr>
                          </w:pPr>
                        </w:p>
                        <w:p w14:paraId="535CF0A8">
                          <w:pPr>
                            <w:spacing w:before="59" w:line="207" w:lineRule="auto"/>
                            <w:ind w:left="279"/>
                            <w:rPr>
                              <w:rFonts w:ascii="宋体" w:hAnsi="宋体" w:eastAsia="宋体" w:cs="宋体"/>
                              <w:sz w:val="18"/>
                              <w:szCs w:val="18"/>
                            </w:rPr>
                          </w:pPr>
                          <w:r>
                            <w:rPr>
                              <w:rFonts w:ascii="宋体" w:hAnsi="宋体" w:eastAsia="宋体" w:cs="宋体"/>
                              <w:spacing w:val="-10"/>
                              <w:sz w:val="18"/>
                              <w:szCs w:val="18"/>
                            </w:rPr>
                            <w:t>报告数据质量结果</w:t>
                          </w:r>
                        </w:p>
                        <w:p w14:paraId="612015BA">
                          <w:pPr>
                            <w:spacing w:line="185" w:lineRule="auto"/>
                            <w:ind w:left="599"/>
                            <w:rPr>
                              <w:rFonts w:ascii="宋体" w:hAnsi="宋体" w:eastAsia="宋体" w:cs="宋体"/>
                              <w:sz w:val="18"/>
                              <w:szCs w:val="18"/>
                            </w:rPr>
                          </w:pPr>
                          <w:r>
                            <w:rPr>
                              <w:rFonts w:ascii="宋体" w:hAnsi="宋体" w:eastAsia="宋体" w:cs="宋体"/>
                              <w:spacing w:val="1"/>
                              <w:sz w:val="18"/>
                              <w:szCs w:val="18"/>
                            </w:rPr>
                            <w:t>(定量的)</w:t>
                          </w:r>
                        </w:p>
                      </w:tc>
                      <w:tc>
                        <w:tcPr>
                          <w:tcW w:w="2530" w:type="dxa"/>
                          <w:vAlign w:val="top"/>
                        </w:tcPr>
                        <w:p w14:paraId="4A3314CA">
                          <w:pPr>
                            <w:spacing w:before="245" w:line="230" w:lineRule="auto"/>
                            <w:jc w:val="right"/>
                            <w:rPr>
                              <w:rFonts w:ascii="宋体" w:hAnsi="宋体" w:eastAsia="宋体" w:cs="宋体"/>
                              <w:sz w:val="18"/>
                              <w:szCs w:val="18"/>
                            </w:rPr>
                          </w:pPr>
                          <w:r>
                            <w:rPr>
                              <w:rFonts w:ascii="宋体" w:hAnsi="宋体" w:eastAsia="宋体" w:cs="宋体"/>
                              <w:spacing w:val="-6"/>
                              <w:sz w:val="18"/>
                              <w:szCs w:val="18"/>
                            </w:rPr>
                            <w:t>决定一致性   第五步</w:t>
                          </w:r>
                        </w:p>
                        <w:p w14:paraId="7ADD226A">
                          <w:pPr>
                            <w:spacing w:line="256" w:lineRule="auto"/>
                            <w:rPr>
                              <w:rFonts w:ascii="Arial"/>
                              <w:sz w:val="21"/>
                            </w:rPr>
                          </w:pPr>
                        </w:p>
                        <w:p w14:paraId="31765349">
                          <w:pPr>
                            <w:spacing w:line="257" w:lineRule="auto"/>
                            <w:rPr>
                              <w:rFonts w:ascii="Arial"/>
                              <w:sz w:val="21"/>
                            </w:rPr>
                          </w:pPr>
                        </w:p>
                        <w:p w14:paraId="494F6697">
                          <w:pPr>
                            <w:spacing w:line="257" w:lineRule="auto"/>
                            <w:rPr>
                              <w:rFonts w:ascii="Arial"/>
                              <w:sz w:val="21"/>
                            </w:rPr>
                          </w:pPr>
                        </w:p>
                        <w:p w14:paraId="279037D6">
                          <w:pPr>
                            <w:spacing w:before="59" w:line="197" w:lineRule="auto"/>
                            <w:ind w:left="687" w:right="552" w:hanging="80"/>
                            <w:rPr>
                              <w:rFonts w:ascii="宋体" w:hAnsi="宋体" w:eastAsia="宋体" w:cs="宋体"/>
                              <w:sz w:val="18"/>
                              <w:szCs w:val="18"/>
                            </w:rPr>
                          </w:pPr>
                          <w:r>
                            <w:rPr>
                              <w:rFonts w:ascii="宋体" w:hAnsi="宋体" w:eastAsia="宋体" w:cs="宋体"/>
                              <w:spacing w:val="-9"/>
                              <w:sz w:val="18"/>
                              <w:szCs w:val="18"/>
                            </w:rPr>
                            <w:t>报告数据质量结果</w:t>
                          </w:r>
                          <w:r>
                            <w:rPr>
                              <w:rFonts w:ascii="宋体" w:hAnsi="宋体" w:eastAsia="宋体" w:cs="宋体"/>
                              <w:spacing w:val="1"/>
                              <w:sz w:val="18"/>
                              <w:szCs w:val="18"/>
                            </w:rPr>
                            <w:t xml:space="preserve"> </w:t>
                          </w:r>
                          <w:r>
                            <w:rPr>
                              <w:rFonts w:ascii="宋体" w:hAnsi="宋体" w:eastAsia="宋体" w:cs="宋体"/>
                              <w:spacing w:val="-5"/>
                              <w:sz w:val="18"/>
                              <w:szCs w:val="18"/>
                            </w:rPr>
                            <w:t>(通过或不通过)</w:t>
                          </w:r>
                        </w:p>
                      </w:tc>
                    </w:tr>
                  </w:tbl>
                  <w:p w14:paraId="3B4446C0">
                    <w:pPr>
                      <w:rPr>
                        <w:rFonts w:ascii="Arial"/>
                        <w:sz w:val="21"/>
                      </w:rPr>
                    </w:pPr>
                  </w:p>
                </w:txbxContent>
              </v:textbox>
            </v:shape>
            <w10:wrap type="none"/>
            <w10:anchorlock/>
          </v:group>
        </w:pict>
      </w:r>
    </w:p>
    <w:p w14:paraId="538DDE0D">
      <w:pPr>
        <w:pStyle w:val="2"/>
        <w:spacing w:before="85" w:line="218" w:lineRule="auto"/>
        <w:ind w:left="3449"/>
        <w:rPr>
          <w:sz w:val="18"/>
          <w:szCs w:val="18"/>
        </w:rPr>
      </w:pPr>
      <w:r>
        <w:rPr>
          <w:spacing w:val="2"/>
          <w:sz w:val="18"/>
          <w:szCs w:val="18"/>
        </w:rPr>
        <w:t>图2-7</w:t>
      </w:r>
      <w:r>
        <w:rPr>
          <w:spacing w:val="71"/>
          <w:sz w:val="18"/>
          <w:szCs w:val="18"/>
        </w:rPr>
        <w:t xml:space="preserve"> </w:t>
      </w:r>
      <w:r>
        <w:rPr>
          <w:spacing w:val="2"/>
          <w:sz w:val="18"/>
          <w:szCs w:val="18"/>
        </w:rPr>
        <w:t>数据质量评价过程</w:t>
      </w:r>
    </w:p>
    <w:p w14:paraId="3591D2BC">
      <w:pPr>
        <w:spacing w:line="218" w:lineRule="auto"/>
        <w:rPr>
          <w:sz w:val="18"/>
          <w:szCs w:val="18"/>
        </w:rPr>
        <w:sectPr>
          <w:pgSz w:w="10310" w:h="13390"/>
          <w:pgMar w:top="400" w:right="1059" w:bottom="400" w:left="550" w:header="0" w:footer="0" w:gutter="0"/>
          <w:cols w:space="720" w:num="1"/>
        </w:sectPr>
      </w:pPr>
    </w:p>
    <w:p w14:paraId="4B24C80B">
      <w:pPr>
        <w:pStyle w:val="2"/>
        <w:spacing w:before="66" w:line="219" w:lineRule="auto"/>
        <w:jc w:val="right"/>
        <w:rPr>
          <w:rFonts w:ascii="Times New Roman" w:hAnsi="Times New Roman" w:eastAsia="Times New Roman" w:cs="Times New Roman"/>
          <w:sz w:val="19"/>
          <w:szCs w:val="19"/>
        </w:rPr>
      </w:pPr>
      <w:r>
        <w:rPr>
          <w:spacing w:val="4"/>
          <w:sz w:val="19"/>
          <w:szCs w:val="19"/>
        </w:rPr>
        <w:t>第2章</w:t>
      </w:r>
      <w:r>
        <w:rPr>
          <w:spacing w:val="34"/>
          <w:sz w:val="19"/>
          <w:szCs w:val="19"/>
        </w:rPr>
        <w:t xml:space="preserve"> </w:t>
      </w:r>
      <w:r>
        <w:rPr>
          <w:spacing w:val="4"/>
          <w:sz w:val="19"/>
          <w:szCs w:val="19"/>
        </w:rPr>
        <w:t>信息系统工程</w:t>
      </w:r>
      <w:r>
        <w:rPr>
          <w:spacing w:val="1"/>
          <w:sz w:val="19"/>
          <w:szCs w:val="19"/>
        </w:rPr>
        <w:t xml:space="preserve">       </w:t>
      </w:r>
      <w:r>
        <w:rPr>
          <w:rFonts w:ascii="Times New Roman" w:hAnsi="Times New Roman" w:eastAsia="Times New Roman" w:cs="Times New Roman"/>
          <w:spacing w:val="4"/>
          <w:sz w:val="19"/>
          <w:szCs w:val="19"/>
        </w:rPr>
        <w:t>73</w:t>
      </w:r>
    </w:p>
    <w:p w14:paraId="7FD618B5">
      <w:pPr>
        <w:spacing w:line="307" w:lineRule="auto"/>
        <w:rPr>
          <w:rFonts w:ascii="Arial"/>
          <w:sz w:val="21"/>
        </w:rPr>
      </w:pPr>
    </w:p>
    <w:p w14:paraId="7A93AA54">
      <w:pPr>
        <w:spacing w:before="62" w:line="223" w:lineRule="auto"/>
        <w:ind w:left="399"/>
        <w:rPr>
          <w:rFonts w:ascii="楷体" w:hAnsi="楷体" w:eastAsia="楷体" w:cs="楷体"/>
          <w:sz w:val="19"/>
          <w:szCs w:val="19"/>
        </w:rPr>
      </w:pPr>
      <w:bookmarkStart w:id="520" w:name="bookmark507"/>
      <w:bookmarkEnd w:id="520"/>
      <w:r>
        <w:rPr>
          <w:rFonts w:ascii="楷体" w:hAnsi="楷体" w:eastAsia="楷体" w:cs="楷体"/>
          <w:spacing w:val="17"/>
          <w:sz w:val="19"/>
          <w:szCs w:val="19"/>
        </w:rPr>
        <w:t>3)数据质量评价方法</w:t>
      </w:r>
    </w:p>
    <w:p w14:paraId="738199F8">
      <w:pPr>
        <w:pStyle w:val="2"/>
        <w:spacing w:before="93" w:line="297" w:lineRule="auto"/>
        <w:ind w:right="296" w:firstLine="399"/>
        <w:rPr>
          <w:sz w:val="19"/>
          <w:szCs w:val="19"/>
        </w:rPr>
      </w:pPr>
      <w:r>
        <w:rPr>
          <w:spacing w:val="13"/>
          <w:sz w:val="19"/>
          <w:szCs w:val="19"/>
        </w:rPr>
        <w:t>数据质量评价过程是通过应用一个或多个数据质量评价方法来</w:t>
      </w:r>
      <w:r>
        <w:rPr>
          <w:spacing w:val="12"/>
          <w:sz w:val="19"/>
          <w:szCs w:val="19"/>
        </w:rPr>
        <w:t>完成的。数据质量评价方法</w:t>
      </w:r>
      <w:r>
        <w:rPr>
          <w:sz w:val="19"/>
          <w:szCs w:val="19"/>
        </w:rPr>
        <w:t xml:space="preserve"> </w:t>
      </w:r>
      <w:r>
        <w:rPr>
          <w:spacing w:val="5"/>
          <w:sz w:val="19"/>
          <w:szCs w:val="19"/>
        </w:rPr>
        <w:t>分为直接评价法和间接评价法。</w:t>
      </w:r>
    </w:p>
    <w:p w14:paraId="7D593161">
      <w:pPr>
        <w:spacing w:before="100" w:line="227" w:lineRule="auto"/>
        <w:ind w:left="399"/>
        <w:rPr>
          <w:rFonts w:ascii="楷体" w:hAnsi="楷体" w:eastAsia="楷体" w:cs="楷体"/>
          <w:sz w:val="19"/>
          <w:szCs w:val="19"/>
        </w:rPr>
      </w:pPr>
      <w:r>
        <w:rPr>
          <w:rFonts w:ascii="楷体" w:hAnsi="楷体" w:eastAsia="楷体" w:cs="楷体"/>
          <w:spacing w:val="24"/>
          <w:sz w:val="19"/>
          <w:szCs w:val="19"/>
        </w:rPr>
        <w:t>4)数据质量控制</w:t>
      </w:r>
    </w:p>
    <w:p w14:paraId="25B782DA">
      <w:pPr>
        <w:pStyle w:val="2"/>
        <w:spacing w:before="75" w:line="301" w:lineRule="auto"/>
        <w:ind w:right="207" w:firstLine="399"/>
        <w:rPr>
          <w:sz w:val="19"/>
          <w:szCs w:val="19"/>
        </w:rPr>
      </w:pPr>
      <w:r>
        <w:rPr>
          <w:spacing w:val="13"/>
          <w:sz w:val="19"/>
          <w:szCs w:val="19"/>
        </w:rPr>
        <w:t>数据产品的质量控制分为前期控制和后期控制两部分。前期控制</w:t>
      </w:r>
      <w:r>
        <w:rPr>
          <w:spacing w:val="12"/>
          <w:sz w:val="19"/>
          <w:szCs w:val="19"/>
        </w:rPr>
        <w:t>包括数据录入前的质量控</w:t>
      </w:r>
      <w:r>
        <w:rPr>
          <w:sz w:val="19"/>
          <w:szCs w:val="19"/>
        </w:rPr>
        <w:t xml:space="preserve">  </w:t>
      </w:r>
      <w:r>
        <w:rPr>
          <w:spacing w:val="15"/>
          <w:sz w:val="19"/>
          <w:szCs w:val="19"/>
        </w:rPr>
        <w:t>制、数据录入过程中的实时质量控制；后期控制是数据录入完成后的</w:t>
      </w:r>
      <w:r>
        <w:rPr>
          <w:spacing w:val="14"/>
          <w:sz w:val="19"/>
          <w:szCs w:val="19"/>
        </w:rPr>
        <w:t>后处理质量控制与评价。</w:t>
      </w:r>
      <w:r>
        <w:rPr>
          <w:sz w:val="19"/>
          <w:szCs w:val="19"/>
        </w:rPr>
        <w:t xml:space="preserve"> </w:t>
      </w:r>
      <w:r>
        <w:rPr>
          <w:spacing w:val="8"/>
          <w:sz w:val="19"/>
          <w:szCs w:val="19"/>
        </w:rPr>
        <w:t>从监控流程角度可分为前期控制、过程控制、系统监测和进度评价。</w:t>
      </w:r>
    </w:p>
    <w:p w14:paraId="6B1309E8">
      <w:pPr>
        <w:spacing w:before="97" w:line="223" w:lineRule="auto"/>
        <w:ind w:left="399"/>
        <w:rPr>
          <w:rFonts w:ascii="楷体" w:hAnsi="楷体" w:eastAsia="楷体" w:cs="楷体"/>
          <w:sz w:val="19"/>
          <w:szCs w:val="19"/>
        </w:rPr>
      </w:pPr>
      <w:r>
        <w:rPr>
          <w:rFonts w:ascii="楷体" w:hAnsi="楷体" w:eastAsia="楷体" w:cs="楷体"/>
          <w:spacing w:val="22"/>
          <w:sz w:val="19"/>
          <w:szCs w:val="19"/>
        </w:rPr>
        <w:t>5)数据清理</w:t>
      </w:r>
    </w:p>
    <w:p w14:paraId="5EEA47F1">
      <w:pPr>
        <w:pStyle w:val="2"/>
        <w:spacing w:before="83" w:line="306" w:lineRule="auto"/>
        <w:ind w:right="269" w:firstLine="399"/>
        <w:rPr>
          <w:sz w:val="19"/>
          <w:szCs w:val="19"/>
        </w:rPr>
      </w:pPr>
      <w:r>
        <w:rPr>
          <w:spacing w:val="13"/>
          <w:sz w:val="19"/>
          <w:szCs w:val="19"/>
        </w:rPr>
        <w:t>数据清理也称数据清洗。从广义上讲，数据清理是将数据库精简以除去重复记录</w:t>
      </w:r>
      <w:r>
        <w:rPr>
          <w:spacing w:val="12"/>
          <w:sz w:val="19"/>
          <w:szCs w:val="19"/>
        </w:rPr>
        <w:t>，并使剩</w:t>
      </w:r>
      <w:r>
        <w:rPr>
          <w:sz w:val="19"/>
          <w:szCs w:val="19"/>
        </w:rPr>
        <w:t xml:space="preserve"> </w:t>
      </w:r>
      <w:r>
        <w:rPr>
          <w:spacing w:val="13"/>
          <w:sz w:val="19"/>
          <w:szCs w:val="19"/>
        </w:rPr>
        <w:t>余部分转换成符合标准的过程。而狭义上的数据清理特指</w:t>
      </w:r>
      <w:r>
        <w:rPr>
          <w:spacing w:val="12"/>
          <w:sz w:val="19"/>
          <w:szCs w:val="19"/>
        </w:rPr>
        <w:t>在构建数据仓库和实现数据挖掘前对</w:t>
      </w:r>
      <w:r>
        <w:rPr>
          <w:sz w:val="19"/>
          <w:szCs w:val="19"/>
        </w:rPr>
        <w:t xml:space="preserve"> </w:t>
      </w:r>
      <w:r>
        <w:rPr>
          <w:spacing w:val="10"/>
          <w:sz w:val="19"/>
          <w:szCs w:val="19"/>
        </w:rPr>
        <w:t>数据源进行处理，使数据实现准确性、完整性、</w:t>
      </w:r>
      <w:r>
        <w:rPr>
          <w:spacing w:val="51"/>
          <w:sz w:val="19"/>
          <w:szCs w:val="19"/>
        </w:rPr>
        <w:t xml:space="preserve"> </w:t>
      </w:r>
      <w:r>
        <w:rPr>
          <w:spacing w:val="10"/>
          <w:sz w:val="19"/>
          <w:szCs w:val="19"/>
        </w:rPr>
        <w:t>一致性、唯一</w:t>
      </w:r>
      <w:r>
        <w:rPr>
          <w:spacing w:val="9"/>
          <w:sz w:val="19"/>
          <w:szCs w:val="19"/>
        </w:rPr>
        <w:t>性、适时性、有效性，以适应后</w:t>
      </w:r>
      <w:r>
        <w:rPr>
          <w:sz w:val="19"/>
          <w:szCs w:val="19"/>
        </w:rPr>
        <w:t xml:space="preserve"> </w:t>
      </w:r>
      <w:r>
        <w:rPr>
          <w:spacing w:val="13"/>
          <w:sz w:val="19"/>
          <w:szCs w:val="19"/>
        </w:rPr>
        <w:t>续操作的过程。从提高数据质量的角度出发，凡是有助于提</w:t>
      </w:r>
      <w:r>
        <w:rPr>
          <w:spacing w:val="12"/>
          <w:sz w:val="19"/>
          <w:szCs w:val="19"/>
        </w:rPr>
        <w:t>高数据质量的处理过程，都可以认</w:t>
      </w:r>
      <w:r>
        <w:rPr>
          <w:sz w:val="19"/>
          <w:szCs w:val="19"/>
        </w:rPr>
        <w:t xml:space="preserve"> </w:t>
      </w:r>
      <w:r>
        <w:rPr>
          <w:spacing w:val="7"/>
          <w:sz w:val="19"/>
          <w:szCs w:val="19"/>
        </w:rPr>
        <w:t>为是数据清理。</w:t>
      </w:r>
      <w:r>
        <w:rPr>
          <w:spacing w:val="-24"/>
          <w:sz w:val="19"/>
          <w:szCs w:val="19"/>
        </w:rPr>
        <w:t xml:space="preserve"> </w:t>
      </w:r>
      <w:r>
        <w:rPr>
          <w:spacing w:val="7"/>
          <w:sz w:val="19"/>
          <w:szCs w:val="19"/>
        </w:rPr>
        <w:t>一般来说，数据清理主要包括数据分析、数据检测和数据修正三个步骤。</w:t>
      </w:r>
    </w:p>
    <w:p w14:paraId="1D0DEB2D">
      <w:pPr>
        <w:pStyle w:val="2"/>
        <w:spacing w:before="166" w:line="219" w:lineRule="auto"/>
        <w:ind w:left="2"/>
        <w:rPr>
          <w:sz w:val="25"/>
          <w:szCs w:val="25"/>
        </w:rPr>
      </w:pPr>
      <w:r>
        <w:rPr>
          <w:b/>
          <w:bCs/>
          <w:color w:val="005FDD"/>
          <w:spacing w:val="-18"/>
          <w:sz w:val="25"/>
          <w:szCs w:val="25"/>
        </w:rPr>
        <w:t>2.4.4</w:t>
      </w:r>
      <w:r>
        <w:rPr>
          <w:color w:val="005FDD"/>
          <w:spacing w:val="87"/>
          <w:sz w:val="25"/>
          <w:szCs w:val="25"/>
        </w:rPr>
        <w:t xml:space="preserve"> </w:t>
      </w:r>
      <w:r>
        <w:rPr>
          <w:b/>
          <w:bCs/>
          <w:color w:val="005FDD"/>
          <w:spacing w:val="-18"/>
          <w:sz w:val="25"/>
          <w:szCs w:val="25"/>
        </w:rPr>
        <w:t>数据开发利用</w:t>
      </w:r>
    </w:p>
    <w:p w14:paraId="2E4C5CEC">
      <w:pPr>
        <w:pStyle w:val="2"/>
        <w:spacing w:before="193" w:line="293" w:lineRule="auto"/>
        <w:ind w:right="208" w:firstLine="399"/>
        <w:jc w:val="both"/>
        <w:rPr>
          <w:sz w:val="19"/>
          <w:szCs w:val="19"/>
        </w:rPr>
      </w:pPr>
      <w:r>
        <w:rPr>
          <w:spacing w:val="10"/>
          <w:sz w:val="19"/>
          <w:szCs w:val="19"/>
        </w:rPr>
        <w:t>数据只有得到充分的开发利用才能发挥出它的作用。通过数据集成、数据挖</w:t>
      </w:r>
      <w:r>
        <w:rPr>
          <w:spacing w:val="9"/>
          <w:sz w:val="19"/>
          <w:szCs w:val="19"/>
        </w:rPr>
        <w:t>掘、数据服务、</w:t>
      </w:r>
      <w:r>
        <w:rPr>
          <w:sz w:val="19"/>
          <w:szCs w:val="19"/>
        </w:rPr>
        <w:t xml:space="preserve"> </w:t>
      </w:r>
      <w:r>
        <w:rPr>
          <w:spacing w:val="13"/>
          <w:sz w:val="19"/>
          <w:szCs w:val="19"/>
        </w:rPr>
        <w:t>数据可视化等技术手段，可以帮助数据用户从数据资源中找到所需要的数据，并将数据以一定</w:t>
      </w:r>
      <w:r>
        <w:rPr>
          <w:spacing w:val="8"/>
          <w:sz w:val="19"/>
          <w:szCs w:val="19"/>
        </w:rPr>
        <w:t xml:space="preserve"> </w:t>
      </w:r>
      <w:r>
        <w:rPr>
          <w:spacing w:val="6"/>
          <w:sz w:val="19"/>
          <w:szCs w:val="19"/>
        </w:rPr>
        <w:t>的方式展现出来，实现对数据的开发利用。</w:t>
      </w:r>
    </w:p>
    <w:p w14:paraId="553C8CDB">
      <w:pPr>
        <w:pStyle w:val="2"/>
        <w:spacing w:before="124" w:line="222" w:lineRule="auto"/>
        <w:ind w:left="402"/>
        <w:rPr>
          <w:rFonts w:ascii="黑体" w:hAnsi="黑体" w:eastAsia="黑体" w:cs="黑体"/>
          <w:sz w:val="19"/>
          <w:szCs w:val="19"/>
        </w:rPr>
      </w:pPr>
      <w:r>
        <w:rPr>
          <w:b/>
          <w:bCs/>
          <w:color w:val="0064C8"/>
          <w:spacing w:val="4"/>
          <w:sz w:val="19"/>
          <w:szCs w:val="19"/>
        </w:rPr>
        <w:t>1.</w:t>
      </w:r>
      <w:r>
        <w:rPr>
          <w:rFonts w:ascii="黑体" w:hAnsi="黑体" w:eastAsia="黑体" w:cs="黑体"/>
          <w:b/>
          <w:bCs/>
          <w:color w:val="0064C8"/>
          <w:spacing w:val="4"/>
          <w:sz w:val="19"/>
          <w:szCs w:val="19"/>
        </w:rPr>
        <w:t>数据集成</w:t>
      </w:r>
    </w:p>
    <w:p w14:paraId="39C448B3">
      <w:pPr>
        <w:pStyle w:val="2"/>
        <w:spacing w:before="153" w:line="285" w:lineRule="auto"/>
        <w:ind w:right="208" w:firstLine="399"/>
        <w:jc w:val="both"/>
        <w:rPr>
          <w:sz w:val="19"/>
          <w:szCs w:val="19"/>
        </w:rPr>
      </w:pPr>
      <w:r>
        <w:rPr>
          <w:spacing w:val="16"/>
          <w:sz w:val="19"/>
          <w:szCs w:val="19"/>
        </w:rPr>
        <w:t>数据集成就是将驻留在不同数据源中的数据进行整合，向用户</w:t>
      </w:r>
      <w:r>
        <w:rPr>
          <w:spacing w:val="15"/>
          <w:sz w:val="19"/>
          <w:szCs w:val="19"/>
        </w:rPr>
        <w:t>提供统一的数据视图(一般</w:t>
      </w:r>
      <w:r>
        <w:rPr>
          <w:sz w:val="19"/>
          <w:szCs w:val="19"/>
        </w:rPr>
        <w:t xml:space="preserve"> </w:t>
      </w:r>
      <w:r>
        <w:rPr>
          <w:spacing w:val="12"/>
          <w:sz w:val="19"/>
          <w:szCs w:val="19"/>
        </w:rPr>
        <w:t>称为全局模式),使得用户能以透明的方式访问数据。其中，数据源主要是指数据库，广义上也</w:t>
      </w:r>
      <w:r>
        <w:rPr>
          <w:spacing w:val="8"/>
          <w:sz w:val="19"/>
          <w:szCs w:val="19"/>
        </w:rPr>
        <w:t xml:space="preserve">  </w:t>
      </w:r>
      <w:r>
        <w:rPr>
          <w:spacing w:val="11"/>
          <w:sz w:val="19"/>
          <w:szCs w:val="19"/>
        </w:rPr>
        <w:t>包括各类</w:t>
      </w:r>
      <w:r>
        <w:rPr>
          <w:rFonts w:ascii="Times New Roman" w:hAnsi="Times New Roman" w:eastAsia="Times New Roman" w:cs="Times New Roman"/>
          <w:sz w:val="19"/>
          <w:szCs w:val="19"/>
        </w:rPr>
        <w:t>XML</w:t>
      </w:r>
      <w:r>
        <w:rPr>
          <w:rFonts w:ascii="Times New Roman" w:hAnsi="Times New Roman" w:eastAsia="Times New Roman" w:cs="Times New Roman"/>
          <w:spacing w:val="54"/>
          <w:w w:val="101"/>
          <w:sz w:val="19"/>
          <w:szCs w:val="19"/>
        </w:rPr>
        <w:t xml:space="preserve"> </w:t>
      </w:r>
      <w:r>
        <w:rPr>
          <w:spacing w:val="11"/>
          <w:sz w:val="19"/>
          <w:szCs w:val="19"/>
        </w:rPr>
        <w:t>文档、</w:t>
      </w:r>
      <w:r>
        <w:rPr>
          <w:rFonts w:ascii="Times New Roman" w:hAnsi="Times New Roman" w:eastAsia="Times New Roman" w:cs="Times New Roman"/>
          <w:sz w:val="19"/>
          <w:szCs w:val="19"/>
        </w:rPr>
        <w:t xml:space="preserve">HTML  </w:t>
      </w:r>
      <w:r>
        <w:rPr>
          <w:spacing w:val="11"/>
          <w:sz w:val="19"/>
          <w:szCs w:val="19"/>
        </w:rPr>
        <w:t>文档、电子邮件、普通文件等结构化、半结构化和非结构化数据。</w:t>
      </w:r>
      <w:r>
        <w:rPr>
          <w:sz w:val="19"/>
          <w:szCs w:val="19"/>
        </w:rPr>
        <w:t xml:space="preserve"> </w:t>
      </w:r>
      <w:r>
        <w:rPr>
          <w:spacing w:val="8"/>
          <w:sz w:val="19"/>
          <w:szCs w:val="19"/>
        </w:rPr>
        <w:t>这些数据源存储位置分散，数据类型异构，数据库产品</w:t>
      </w:r>
      <w:r>
        <w:rPr>
          <w:spacing w:val="7"/>
          <w:sz w:val="19"/>
          <w:szCs w:val="19"/>
        </w:rPr>
        <w:t>多样。</w:t>
      </w:r>
    </w:p>
    <w:p w14:paraId="4A7C1010">
      <w:pPr>
        <w:spacing w:line="285" w:lineRule="auto"/>
        <w:rPr>
          <w:sz w:val="19"/>
          <w:szCs w:val="19"/>
        </w:rPr>
        <w:sectPr>
          <w:pgSz w:w="10290" w:h="13320"/>
          <w:pgMar w:top="400" w:right="527" w:bottom="400" w:left="1159" w:header="0" w:footer="0" w:gutter="0"/>
          <w:cols w:equalWidth="0" w:num="1">
            <w:col w:w="8603"/>
          </w:cols>
        </w:sectPr>
      </w:pPr>
    </w:p>
    <w:p w14:paraId="447AECC3">
      <w:pPr>
        <w:pStyle w:val="2"/>
        <w:spacing w:before="47" w:line="297" w:lineRule="auto"/>
        <w:ind w:right="55" w:firstLine="399"/>
        <w:jc w:val="both"/>
        <w:rPr>
          <w:sz w:val="19"/>
          <w:szCs w:val="19"/>
        </w:rPr>
      </w:pPr>
      <w:r>
        <w:rPr>
          <w:spacing w:val="11"/>
          <w:sz w:val="19"/>
          <w:szCs w:val="19"/>
        </w:rPr>
        <w:t>数据集成的目标就是充分利用已有数据，在尽</w:t>
      </w:r>
      <w:r>
        <w:rPr>
          <w:spacing w:val="5"/>
          <w:sz w:val="19"/>
          <w:szCs w:val="19"/>
        </w:rPr>
        <w:t xml:space="preserve">  </w:t>
      </w:r>
      <w:r>
        <w:rPr>
          <w:spacing w:val="11"/>
          <w:sz w:val="19"/>
          <w:szCs w:val="19"/>
        </w:rPr>
        <w:t>量保持其自治性的前提下，维护数据源整体上的一</w:t>
      </w:r>
      <w:r>
        <w:rPr>
          <w:spacing w:val="3"/>
          <w:sz w:val="19"/>
          <w:szCs w:val="19"/>
        </w:rPr>
        <w:t xml:space="preserve">  </w:t>
      </w:r>
      <w:r>
        <w:rPr>
          <w:spacing w:val="11"/>
          <w:sz w:val="19"/>
          <w:szCs w:val="19"/>
        </w:rPr>
        <w:t>致性，提高数据共享利用效率。实现数据集成的系</w:t>
      </w:r>
      <w:r>
        <w:rPr>
          <w:spacing w:val="7"/>
          <w:sz w:val="19"/>
          <w:szCs w:val="19"/>
        </w:rPr>
        <w:t xml:space="preserve">  </w:t>
      </w:r>
      <w:r>
        <w:rPr>
          <w:spacing w:val="11"/>
          <w:sz w:val="19"/>
          <w:szCs w:val="19"/>
        </w:rPr>
        <w:t>统称为数据集成系统，它为用户提供了统一的数据</w:t>
      </w:r>
      <w:r>
        <w:rPr>
          <w:spacing w:val="4"/>
          <w:sz w:val="19"/>
          <w:szCs w:val="19"/>
        </w:rPr>
        <w:t xml:space="preserve">  </w:t>
      </w:r>
      <w:r>
        <w:rPr>
          <w:spacing w:val="15"/>
          <w:sz w:val="19"/>
          <w:szCs w:val="19"/>
        </w:rPr>
        <w:t>源访问接口，用于执行用户对数据源的访问请求。</w:t>
      </w:r>
      <w:r>
        <w:rPr>
          <w:spacing w:val="3"/>
          <w:sz w:val="19"/>
          <w:szCs w:val="19"/>
        </w:rPr>
        <w:t xml:space="preserve"> </w:t>
      </w:r>
      <w:r>
        <w:rPr>
          <w:spacing w:val="9"/>
          <w:sz w:val="19"/>
          <w:szCs w:val="19"/>
        </w:rPr>
        <w:t>典型的数据集成系统模型如图2-8所示。</w:t>
      </w:r>
    </w:p>
    <w:p w14:paraId="594DBA08">
      <w:pPr>
        <w:pStyle w:val="2"/>
        <w:spacing w:before="105" w:line="222" w:lineRule="auto"/>
        <w:ind w:left="402"/>
        <w:rPr>
          <w:rFonts w:ascii="黑体" w:hAnsi="黑体" w:eastAsia="黑体" w:cs="黑体"/>
          <w:sz w:val="19"/>
          <w:szCs w:val="19"/>
        </w:rPr>
      </w:pPr>
      <w:r>
        <w:rPr>
          <w:b/>
          <w:bCs/>
          <w:color w:val="0068D0"/>
          <w:spacing w:val="9"/>
          <w:sz w:val="19"/>
          <w:szCs w:val="19"/>
        </w:rPr>
        <w:t>2.</w:t>
      </w:r>
      <w:r>
        <w:rPr>
          <w:rFonts w:ascii="黑体" w:hAnsi="黑体" w:eastAsia="黑体" w:cs="黑体"/>
          <w:b/>
          <w:bCs/>
          <w:color w:val="0068D0"/>
          <w:spacing w:val="9"/>
          <w:sz w:val="19"/>
          <w:szCs w:val="19"/>
        </w:rPr>
        <w:t>数据挖掘</w:t>
      </w:r>
    </w:p>
    <w:p w14:paraId="5F1BB38D">
      <w:pPr>
        <w:pStyle w:val="2"/>
        <w:spacing w:before="154" w:line="259" w:lineRule="auto"/>
        <w:ind w:right="75" w:firstLine="399"/>
        <w:jc w:val="both"/>
        <w:rPr>
          <w:sz w:val="19"/>
          <w:szCs w:val="19"/>
        </w:rPr>
      </w:pPr>
      <w:r>
        <w:rPr>
          <w:spacing w:val="14"/>
          <w:sz w:val="19"/>
          <w:szCs w:val="19"/>
        </w:rPr>
        <w:t>数据挖掘是指从大量数据中提取或挖掘知识，</w:t>
      </w:r>
      <w:r>
        <w:rPr>
          <w:spacing w:val="13"/>
          <w:sz w:val="19"/>
          <w:szCs w:val="19"/>
        </w:rPr>
        <w:t xml:space="preserve"> </w:t>
      </w:r>
      <w:r>
        <w:rPr>
          <w:spacing w:val="11"/>
          <w:sz w:val="19"/>
          <w:szCs w:val="19"/>
        </w:rPr>
        <w:t>即从大量的、不完全的、有噪声的、模糊的、随机</w:t>
      </w:r>
      <w:r>
        <w:rPr>
          <w:spacing w:val="4"/>
          <w:sz w:val="19"/>
          <w:szCs w:val="19"/>
        </w:rPr>
        <w:t xml:space="preserve"> </w:t>
      </w:r>
      <w:r>
        <w:rPr>
          <w:spacing w:val="11"/>
          <w:sz w:val="19"/>
          <w:szCs w:val="19"/>
        </w:rPr>
        <w:t>的实际数据中，提取隐含在其中的，人们不知道的</w:t>
      </w:r>
    </w:p>
    <w:p w14:paraId="54E0BA1D">
      <w:pPr>
        <w:spacing w:line="14" w:lineRule="auto"/>
        <w:rPr>
          <w:rFonts w:ascii="Arial"/>
          <w:sz w:val="2"/>
        </w:rPr>
      </w:pPr>
      <w:r>
        <w:rPr>
          <w:rFonts w:ascii="Arial" w:hAnsi="Arial" w:eastAsia="Arial" w:cs="Arial"/>
          <w:sz w:val="2"/>
          <w:szCs w:val="2"/>
        </w:rPr>
        <w:br w:type="column"/>
      </w:r>
    </w:p>
    <w:p w14:paraId="1287CB45">
      <w:pPr>
        <w:pStyle w:val="2"/>
        <w:spacing w:line="2859" w:lineRule="exact"/>
      </w:pPr>
      <w:r>
        <w:rPr>
          <w:position w:val="-57"/>
        </w:rPr>
        <w:pict>
          <v:group id="_x0000_s1104" o:spid="_x0000_s1104" o:spt="203" style="height:143.05pt;width:185.5pt;" coordsize="3710,2861">
            <o:lock v:ext="edit"/>
            <v:shape id="_x0000_s1105" o:spid="_x0000_s1105" o:spt="75" type="#_x0000_t75" style="position:absolute;left:0;top:0;height:2861;width:3710;" filled="f" stroked="f" coordsize="21600,21600">
              <v:path/>
              <v:fill on="f" focussize="0,0"/>
              <v:stroke on="f"/>
              <v:imagedata r:id="rId53" o:title=""/>
              <o:lock v:ext="edit" aspectratio="t"/>
            </v:shape>
            <v:shape id="_x0000_s1106" o:spid="_x0000_s1106" o:spt="202" type="#_x0000_t202" style="position:absolute;left:-20;top:-20;height:2901;width:3750;" filled="f" stroked="f" coordsize="21600,21600">
              <v:path/>
              <v:fill on="f" focussize="0,0"/>
              <v:stroke on="f"/>
              <v:imagedata o:title=""/>
              <o:lock v:ext="edit" aspectratio="f"/>
              <v:textbox inset="0mm,0mm,0mm,0mm">
                <w:txbxContent>
                  <w:p w14:paraId="48C264E1">
                    <w:pPr>
                      <w:spacing w:before="158" w:line="220" w:lineRule="auto"/>
                      <w:ind w:left="1679"/>
                      <w:rPr>
                        <w:rFonts w:ascii="宋体" w:hAnsi="宋体" w:eastAsia="宋体" w:cs="宋体"/>
                        <w:sz w:val="19"/>
                        <w:szCs w:val="19"/>
                      </w:rPr>
                    </w:pPr>
                    <w:r>
                      <w:rPr>
                        <w:rFonts w:ascii="宋体" w:hAnsi="宋体" w:eastAsia="宋体" w:cs="宋体"/>
                        <w:spacing w:val="-3"/>
                        <w:sz w:val="19"/>
                        <w:szCs w:val="19"/>
                      </w:rPr>
                      <w:t>用户</w:t>
                    </w:r>
                  </w:p>
                  <w:p w14:paraId="77758015">
                    <w:pPr>
                      <w:spacing w:line="299" w:lineRule="auto"/>
                      <w:rPr>
                        <w:rFonts w:ascii="Arial"/>
                        <w:sz w:val="21"/>
                      </w:rPr>
                    </w:pPr>
                  </w:p>
                  <w:p w14:paraId="62164119">
                    <w:pPr>
                      <w:spacing w:before="62" w:line="220" w:lineRule="auto"/>
                      <w:ind w:left="1179"/>
                      <w:rPr>
                        <w:rFonts w:ascii="宋体" w:hAnsi="宋体" w:eastAsia="宋体" w:cs="宋体"/>
                        <w:sz w:val="19"/>
                        <w:szCs w:val="19"/>
                      </w:rPr>
                    </w:pPr>
                    <w:r>
                      <w:rPr>
                        <w:rFonts w:ascii="宋体" w:hAnsi="宋体" w:eastAsia="宋体" w:cs="宋体"/>
                        <w:spacing w:val="-10"/>
                        <w:sz w:val="19"/>
                        <w:szCs w:val="19"/>
                      </w:rPr>
                      <w:t>请求</w:t>
                    </w:r>
                    <w:r>
                      <w:rPr>
                        <w:rFonts w:ascii="宋体" w:hAnsi="宋体" w:eastAsia="宋体" w:cs="宋体"/>
                        <w:spacing w:val="1"/>
                        <w:sz w:val="19"/>
                        <w:szCs w:val="19"/>
                      </w:rPr>
                      <w:t xml:space="preserve">       </w:t>
                    </w:r>
                    <w:r>
                      <w:rPr>
                        <w:rFonts w:ascii="宋体" w:hAnsi="宋体" w:eastAsia="宋体" w:cs="宋体"/>
                        <w:spacing w:val="-10"/>
                        <w:sz w:val="19"/>
                        <w:szCs w:val="19"/>
                      </w:rPr>
                      <w:t>结果</w:t>
                    </w:r>
                  </w:p>
                  <w:p w14:paraId="09792841">
                    <w:pPr>
                      <w:spacing w:line="309" w:lineRule="auto"/>
                      <w:rPr>
                        <w:rFonts w:ascii="Arial"/>
                        <w:sz w:val="21"/>
                      </w:rPr>
                    </w:pPr>
                  </w:p>
                  <w:p w14:paraId="4168283E">
                    <w:pPr>
                      <w:spacing w:before="62" w:line="219" w:lineRule="auto"/>
                      <w:ind w:left="1359"/>
                      <w:rPr>
                        <w:rFonts w:ascii="宋体" w:hAnsi="宋体" w:eastAsia="宋体" w:cs="宋体"/>
                        <w:sz w:val="19"/>
                        <w:szCs w:val="19"/>
                      </w:rPr>
                    </w:pPr>
                    <w:r>
                      <w:rPr>
                        <w:rFonts w:ascii="宋体" w:hAnsi="宋体" w:eastAsia="宋体" w:cs="宋体"/>
                        <w:spacing w:val="-16"/>
                        <w:sz w:val="19"/>
                        <w:szCs w:val="19"/>
                      </w:rPr>
                      <w:t>数据集成系统</w:t>
                    </w:r>
                  </w:p>
                  <w:p w14:paraId="710A8FEB">
                    <w:pPr>
                      <w:spacing w:line="275" w:lineRule="auto"/>
                      <w:rPr>
                        <w:rFonts w:ascii="Arial"/>
                        <w:sz w:val="21"/>
                      </w:rPr>
                    </w:pPr>
                  </w:p>
                  <w:p w14:paraId="18CB6AC9">
                    <w:pPr>
                      <w:spacing w:line="276" w:lineRule="auto"/>
                      <w:rPr>
                        <w:rFonts w:ascii="Arial"/>
                        <w:sz w:val="21"/>
                      </w:rPr>
                    </w:pPr>
                  </w:p>
                  <w:p w14:paraId="57BF43FC">
                    <w:pPr>
                      <w:spacing w:line="276" w:lineRule="auto"/>
                      <w:rPr>
                        <w:rFonts w:ascii="Arial"/>
                        <w:sz w:val="21"/>
                      </w:rPr>
                    </w:pPr>
                  </w:p>
                  <w:p w14:paraId="277C477C">
                    <w:pPr>
                      <w:spacing w:before="62" w:line="219" w:lineRule="auto"/>
                      <w:ind w:left="249"/>
                      <w:rPr>
                        <w:rFonts w:ascii="Times New Roman" w:hAnsi="Times New Roman" w:eastAsia="Times New Roman" w:cs="Times New Roman"/>
                        <w:sz w:val="19"/>
                        <w:szCs w:val="19"/>
                      </w:rPr>
                    </w:pPr>
                    <w:r>
                      <w:rPr>
                        <w:rFonts w:ascii="宋体" w:hAnsi="宋体" w:eastAsia="宋体" w:cs="宋体"/>
                        <w:spacing w:val="-15"/>
                        <w:sz w:val="19"/>
                        <w:szCs w:val="19"/>
                      </w:rPr>
                      <w:t>数据源1</w:t>
                    </w:r>
                    <w:r>
                      <w:rPr>
                        <w:rFonts w:ascii="宋体" w:hAnsi="宋体" w:eastAsia="宋体" w:cs="宋体"/>
                        <w:spacing w:val="6"/>
                        <w:sz w:val="19"/>
                        <w:szCs w:val="19"/>
                      </w:rPr>
                      <w:t xml:space="preserve">     </w:t>
                    </w:r>
                    <w:r>
                      <w:rPr>
                        <w:rFonts w:ascii="宋体" w:hAnsi="宋体" w:eastAsia="宋体" w:cs="宋体"/>
                        <w:spacing w:val="-15"/>
                        <w:sz w:val="19"/>
                        <w:szCs w:val="19"/>
                      </w:rPr>
                      <w:t>数据源2</w:t>
                    </w:r>
                    <w:r>
                      <w:rPr>
                        <w:rFonts w:ascii="宋体" w:hAnsi="宋体" w:eastAsia="宋体" w:cs="宋体"/>
                        <w:spacing w:val="5"/>
                        <w:sz w:val="19"/>
                        <w:szCs w:val="19"/>
                      </w:rPr>
                      <w:t xml:space="preserve">   </w:t>
                    </w:r>
                    <w:r>
                      <w:rPr>
                        <w:position w:val="7"/>
                        <w:sz w:val="19"/>
                        <w:szCs w:val="19"/>
                      </w:rPr>
                      <w:drawing>
                        <wp:inline distT="0" distB="0" distL="0" distR="0">
                          <wp:extent cx="221615" cy="311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4"/>
                                  <a:stretch>
                                    <a:fillRect/>
                                  </a:stretch>
                                </pic:blipFill>
                                <pic:spPr>
                                  <a:xfrm>
                                    <a:off x="0" y="0"/>
                                    <a:ext cx="222226" cy="31718"/>
                                  </a:xfrm>
                                  <a:prstGeom prst="rect">
                                    <a:avLst/>
                                  </a:prstGeom>
                                </pic:spPr>
                              </pic:pic>
                            </a:graphicData>
                          </a:graphic>
                        </wp:inline>
                      </w:drawing>
                    </w:r>
                    <w:r>
                      <w:rPr>
                        <w:rFonts w:ascii="宋体" w:hAnsi="宋体" w:eastAsia="宋体" w:cs="宋体"/>
                        <w:spacing w:val="5"/>
                        <w:sz w:val="19"/>
                        <w:szCs w:val="19"/>
                      </w:rPr>
                      <w:t xml:space="preserve">   </w:t>
                    </w:r>
                    <w:r>
                      <w:rPr>
                        <w:rFonts w:ascii="宋体" w:hAnsi="宋体" w:eastAsia="宋体" w:cs="宋体"/>
                        <w:spacing w:val="-15"/>
                        <w:sz w:val="19"/>
                        <w:szCs w:val="19"/>
                      </w:rPr>
                      <w:t>数据源</w:t>
                    </w:r>
                    <w:r>
                      <w:rPr>
                        <w:rFonts w:ascii="Times New Roman" w:hAnsi="Times New Roman" w:eastAsia="Times New Roman" w:cs="Times New Roman"/>
                        <w:spacing w:val="-15"/>
                        <w:sz w:val="19"/>
                        <w:szCs w:val="19"/>
                      </w:rPr>
                      <w:t>n</w:t>
                    </w:r>
                  </w:p>
                </w:txbxContent>
              </v:textbox>
            </v:shape>
            <w10:wrap type="none"/>
            <w10:anchorlock/>
          </v:group>
        </w:pict>
      </w:r>
    </w:p>
    <w:p w14:paraId="2C2EE7B2">
      <w:pPr>
        <w:pStyle w:val="2"/>
        <w:spacing w:before="78" w:line="219" w:lineRule="auto"/>
        <w:ind w:left="839"/>
        <w:rPr>
          <w:sz w:val="19"/>
          <w:szCs w:val="19"/>
        </w:rPr>
      </w:pPr>
      <w:r>
        <w:rPr>
          <w:spacing w:val="-7"/>
          <w:sz w:val="19"/>
          <w:szCs w:val="19"/>
        </w:rPr>
        <w:t>图2-8</w:t>
      </w:r>
      <w:r>
        <w:rPr>
          <w:spacing w:val="82"/>
          <w:sz w:val="19"/>
          <w:szCs w:val="19"/>
        </w:rPr>
        <w:t xml:space="preserve"> </w:t>
      </w:r>
      <w:r>
        <w:rPr>
          <w:spacing w:val="-7"/>
          <w:sz w:val="19"/>
          <w:szCs w:val="19"/>
        </w:rPr>
        <w:t>数据集成系统模型</w:t>
      </w:r>
    </w:p>
    <w:p w14:paraId="10A4C7FA">
      <w:pPr>
        <w:spacing w:line="219" w:lineRule="auto"/>
        <w:rPr>
          <w:sz w:val="19"/>
          <w:szCs w:val="19"/>
        </w:rPr>
        <w:sectPr>
          <w:type w:val="continuous"/>
          <w:pgSz w:w="10290" w:h="13320"/>
          <w:pgMar w:top="400" w:right="527" w:bottom="400" w:left="1159" w:header="0" w:footer="0" w:gutter="0"/>
          <w:cols w:equalWidth="0" w:num="2">
            <w:col w:w="4571" w:space="100"/>
            <w:col w:w="3933"/>
          </w:cols>
        </w:sectPr>
      </w:pPr>
    </w:p>
    <w:p w14:paraId="167A195C">
      <w:pPr>
        <w:pStyle w:val="2"/>
        <w:spacing w:before="108" w:line="253" w:lineRule="auto"/>
        <w:ind w:right="207"/>
        <w:rPr>
          <w:sz w:val="19"/>
          <w:szCs w:val="19"/>
        </w:rPr>
      </w:pPr>
      <w:r>
        <w:rPr>
          <w:spacing w:val="14"/>
          <w:sz w:val="19"/>
          <w:szCs w:val="19"/>
        </w:rPr>
        <w:t>却潜在有用的知识。数据挖掘把人们从对数据低层次的简单查询，提升到从数据库挖掘知识，</w:t>
      </w:r>
      <w:r>
        <w:rPr>
          <w:spacing w:val="9"/>
          <w:sz w:val="19"/>
          <w:szCs w:val="19"/>
        </w:rPr>
        <w:t xml:space="preserve"> </w:t>
      </w:r>
      <w:r>
        <w:rPr>
          <w:spacing w:val="10"/>
          <w:sz w:val="19"/>
          <w:szCs w:val="19"/>
        </w:rPr>
        <w:t>提供决策支持。数据挖掘是一门交叉学科，其过程涉及数据库、人工智能、数理统</w:t>
      </w:r>
      <w:r>
        <w:rPr>
          <w:spacing w:val="9"/>
          <w:sz w:val="19"/>
          <w:szCs w:val="19"/>
        </w:rPr>
        <w:t>计、可视化、</w:t>
      </w:r>
    </w:p>
    <w:p w14:paraId="6C3CEB2E">
      <w:pPr>
        <w:spacing w:line="253" w:lineRule="auto"/>
        <w:rPr>
          <w:sz w:val="19"/>
          <w:szCs w:val="19"/>
        </w:rPr>
        <w:sectPr>
          <w:type w:val="continuous"/>
          <w:pgSz w:w="10290" w:h="13320"/>
          <w:pgMar w:top="400" w:right="527" w:bottom="400" w:left="1159" w:header="0" w:footer="0" w:gutter="0"/>
          <w:cols w:equalWidth="0" w:num="1">
            <w:col w:w="8603"/>
          </w:cols>
        </w:sectPr>
      </w:pPr>
    </w:p>
    <w:p w14:paraId="421DCBEF">
      <w:pPr>
        <w:pStyle w:val="2"/>
        <w:spacing w:before="78" w:line="219" w:lineRule="auto"/>
        <w:rPr>
          <w:sz w:val="20"/>
          <w:szCs w:val="20"/>
        </w:rPr>
      </w:pPr>
      <w:r>
        <w:rPr>
          <w:rFonts w:ascii="Times New Roman" w:hAnsi="Times New Roman" w:eastAsia="Times New Roman" w:cs="Times New Roman"/>
          <w:spacing w:val="-1"/>
          <w:sz w:val="17"/>
          <w:szCs w:val="17"/>
        </w:rPr>
        <w:t xml:space="preserve">74                 </w:t>
      </w:r>
      <w:r>
        <w:rPr>
          <w:spacing w:val="-1"/>
          <w:sz w:val="20"/>
          <w:szCs w:val="20"/>
        </w:rPr>
        <w:t>信息系统监理师教程(第2版)</w:t>
      </w:r>
    </w:p>
    <w:p w14:paraId="3881D6A3">
      <w:pPr>
        <w:spacing w:line="335" w:lineRule="auto"/>
        <w:rPr>
          <w:rFonts w:ascii="Arial"/>
          <w:sz w:val="21"/>
        </w:rPr>
      </w:pPr>
    </w:p>
    <w:p w14:paraId="275B04BA">
      <w:pPr>
        <w:pStyle w:val="2"/>
        <w:spacing w:before="65" w:line="219" w:lineRule="auto"/>
        <w:ind w:left="249"/>
        <w:rPr>
          <w:sz w:val="20"/>
          <w:szCs w:val="20"/>
        </w:rPr>
      </w:pPr>
      <w:r>
        <w:rPr>
          <w:spacing w:val="-4"/>
          <w:sz w:val="20"/>
          <w:szCs w:val="20"/>
        </w:rPr>
        <w:t>并行计算等多种技术。</w:t>
      </w:r>
    </w:p>
    <w:p w14:paraId="358406EF">
      <w:pPr>
        <w:pStyle w:val="2"/>
        <w:spacing w:before="40" w:line="291" w:lineRule="auto"/>
        <w:ind w:left="249" w:firstLine="430"/>
        <w:jc w:val="both"/>
        <w:rPr>
          <w:sz w:val="20"/>
          <w:szCs w:val="20"/>
        </w:rPr>
      </w:pPr>
      <w:r>
        <w:rPr>
          <w:spacing w:val="4"/>
          <w:sz w:val="20"/>
          <w:szCs w:val="20"/>
        </w:rPr>
        <w:t>数据挖掘的主要任务包括数据总结、关联分析</w:t>
      </w:r>
      <w:r>
        <w:rPr>
          <w:spacing w:val="3"/>
          <w:sz w:val="20"/>
          <w:szCs w:val="20"/>
        </w:rPr>
        <w:t>、分类和预测、聚类分析和孤立点分析。数</w:t>
      </w:r>
      <w:r>
        <w:rPr>
          <w:sz w:val="20"/>
          <w:szCs w:val="20"/>
        </w:rPr>
        <w:t xml:space="preserve"> </w:t>
      </w:r>
      <w:r>
        <w:rPr>
          <w:spacing w:val="3"/>
          <w:sz w:val="20"/>
          <w:szCs w:val="20"/>
        </w:rPr>
        <w:t>据挖掘流程一般包括确定分析对象、数据准备、数据挖掘、结果评估与结果应用五个阶段，这</w:t>
      </w:r>
      <w:r>
        <w:rPr>
          <w:spacing w:val="7"/>
          <w:sz w:val="20"/>
          <w:szCs w:val="20"/>
        </w:rPr>
        <w:t xml:space="preserve">  </w:t>
      </w:r>
      <w:r>
        <w:rPr>
          <w:spacing w:val="1"/>
          <w:sz w:val="20"/>
          <w:szCs w:val="20"/>
        </w:rPr>
        <w:t>些阶段在具体实施中可能需要重复多次。为完成这些阶段的任务</w:t>
      </w:r>
      <w:r>
        <w:rPr>
          <w:sz w:val="20"/>
          <w:szCs w:val="20"/>
        </w:rPr>
        <w:t>，需要不同专业人员参与其中， 主要包括业务分析人员、数据挖掘人员和数据管理人员。数据挖掘的结果经过决策人员的许可，</w:t>
      </w:r>
      <w:r>
        <w:rPr>
          <w:spacing w:val="8"/>
          <w:sz w:val="20"/>
          <w:szCs w:val="20"/>
        </w:rPr>
        <w:t xml:space="preserve"> </w:t>
      </w:r>
      <w:r>
        <w:rPr>
          <w:spacing w:val="1"/>
          <w:sz w:val="20"/>
          <w:szCs w:val="20"/>
        </w:rPr>
        <w:t>才能实际运用并指导实践。将通过数据挖掘得出的预测模式和各个</w:t>
      </w:r>
      <w:r>
        <w:rPr>
          <w:sz w:val="20"/>
          <w:szCs w:val="20"/>
        </w:rPr>
        <w:t xml:space="preserve">领域的专家知识结合在一起， </w:t>
      </w:r>
      <w:r>
        <w:rPr>
          <w:spacing w:val="-2"/>
          <w:sz w:val="20"/>
          <w:szCs w:val="20"/>
        </w:rPr>
        <w:t>构成一个可供不同类型的人使用的应用程序。</w:t>
      </w:r>
    </w:p>
    <w:p w14:paraId="606F21D3">
      <w:pPr>
        <w:pStyle w:val="2"/>
        <w:spacing w:before="135" w:line="221" w:lineRule="auto"/>
        <w:ind w:left="682"/>
        <w:rPr>
          <w:rFonts w:ascii="黑体" w:hAnsi="黑体" w:eastAsia="黑体" w:cs="黑体"/>
          <w:sz w:val="20"/>
          <w:szCs w:val="20"/>
        </w:rPr>
      </w:pPr>
      <w:r>
        <w:rPr>
          <w:b/>
          <w:bCs/>
          <w:color w:val="1180D6"/>
          <w:spacing w:val="-2"/>
          <w:sz w:val="20"/>
          <w:szCs w:val="20"/>
        </w:rPr>
        <w:t>3.</w:t>
      </w:r>
      <w:r>
        <w:rPr>
          <w:rFonts w:ascii="黑体" w:hAnsi="黑体" w:eastAsia="黑体" w:cs="黑体"/>
          <w:b/>
          <w:bCs/>
          <w:color w:val="1180D6"/>
          <w:spacing w:val="-2"/>
          <w:sz w:val="20"/>
          <w:szCs w:val="20"/>
        </w:rPr>
        <w:t>数据服务</w:t>
      </w:r>
    </w:p>
    <w:p w14:paraId="75F2EBC6">
      <w:pPr>
        <w:pStyle w:val="2"/>
        <w:spacing w:before="155" w:line="219" w:lineRule="auto"/>
        <w:ind w:left="679"/>
        <w:rPr>
          <w:sz w:val="20"/>
          <w:szCs w:val="20"/>
        </w:rPr>
      </w:pPr>
      <w:r>
        <w:rPr>
          <w:spacing w:val="-1"/>
          <w:sz w:val="20"/>
          <w:szCs w:val="20"/>
        </w:rPr>
        <w:t>数据服务主要包括数据目录服务、数据查询与浏览及下载服务、数据分</w:t>
      </w:r>
      <w:r>
        <w:rPr>
          <w:spacing w:val="-2"/>
          <w:sz w:val="20"/>
          <w:szCs w:val="20"/>
        </w:rPr>
        <w:t>发服务。</w:t>
      </w:r>
    </w:p>
    <w:p w14:paraId="56F06D41">
      <w:pPr>
        <w:pStyle w:val="2"/>
        <w:spacing w:before="62" w:line="273" w:lineRule="auto"/>
        <w:ind w:left="249" w:right="61" w:firstLine="430"/>
        <w:rPr>
          <w:sz w:val="20"/>
          <w:szCs w:val="20"/>
        </w:rPr>
      </w:pPr>
      <w:r>
        <w:rPr>
          <w:spacing w:val="6"/>
          <w:sz w:val="20"/>
          <w:szCs w:val="20"/>
        </w:rPr>
        <w:t>(1)数据目录服务。由于专业、领域、主管部门、分布地域和采用技术的不同，数</w:t>
      </w:r>
      <w:r>
        <w:rPr>
          <w:spacing w:val="5"/>
          <w:sz w:val="20"/>
          <w:szCs w:val="20"/>
        </w:rPr>
        <w:t>据资源</w:t>
      </w:r>
      <w:r>
        <w:rPr>
          <w:sz w:val="20"/>
          <w:szCs w:val="20"/>
        </w:rPr>
        <w:t xml:space="preserve"> </w:t>
      </w:r>
      <w:r>
        <w:rPr>
          <w:spacing w:val="3"/>
          <w:sz w:val="20"/>
          <w:szCs w:val="20"/>
        </w:rPr>
        <w:t>呈现出海量、多源、异构和分布的特点。对于需要共享数据的用户来说，往往面临不知道有哪</w:t>
      </w:r>
      <w:r>
        <w:rPr>
          <w:sz w:val="20"/>
          <w:szCs w:val="20"/>
        </w:rPr>
        <w:t xml:space="preserve"> </w:t>
      </w:r>
      <w:r>
        <w:rPr>
          <w:spacing w:val="3"/>
          <w:sz w:val="20"/>
          <w:szCs w:val="20"/>
        </w:rPr>
        <w:t>些数据、不知道想要的数据在哪里、不知道如何获取想要的数据等困难。数据目录服务就是要</w:t>
      </w:r>
      <w:r>
        <w:rPr>
          <w:spacing w:val="16"/>
          <w:sz w:val="20"/>
          <w:szCs w:val="20"/>
        </w:rPr>
        <w:t xml:space="preserve"> </w:t>
      </w:r>
      <w:r>
        <w:rPr>
          <w:spacing w:val="3"/>
          <w:sz w:val="20"/>
          <w:szCs w:val="20"/>
        </w:rPr>
        <w:t>解决这些问题，它是用来快捷地发现和定位所需数据资源的一种检索服务，是实现数据共享的</w:t>
      </w:r>
      <w:r>
        <w:rPr>
          <w:spacing w:val="1"/>
          <w:sz w:val="20"/>
          <w:szCs w:val="20"/>
        </w:rPr>
        <w:t xml:space="preserve"> </w:t>
      </w:r>
      <w:r>
        <w:rPr>
          <w:spacing w:val="-1"/>
          <w:sz w:val="20"/>
          <w:szCs w:val="20"/>
        </w:rPr>
        <w:t>重要基础功能服务之一。</w:t>
      </w:r>
    </w:p>
    <w:p w14:paraId="76562036">
      <w:pPr>
        <w:pStyle w:val="2"/>
        <w:spacing w:before="93" w:line="257" w:lineRule="auto"/>
        <w:ind w:left="249" w:right="20" w:firstLine="430"/>
        <w:rPr>
          <w:sz w:val="20"/>
          <w:szCs w:val="20"/>
        </w:rPr>
      </w:pPr>
      <w:r>
        <w:rPr>
          <w:spacing w:val="2"/>
          <w:sz w:val="20"/>
          <w:szCs w:val="20"/>
        </w:rPr>
        <w:t>(2)数据查询与浏览及下载服务。数据查询、浏览和下载是网络数据共享服务的重</w:t>
      </w:r>
      <w:r>
        <w:rPr>
          <w:spacing w:val="1"/>
          <w:sz w:val="20"/>
          <w:szCs w:val="20"/>
        </w:rPr>
        <w:t>要方式，</w:t>
      </w:r>
      <w:r>
        <w:rPr>
          <w:sz w:val="20"/>
          <w:szCs w:val="20"/>
        </w:rPr>
        <w:t xml:space="preserve"> </w:t>
      </w:r>
      <w:r>
        <w:rPr>
          <w:spacing w:val="-2"/>
          <w:sz w:val="20"/>
          <w:szCs w:val="20"/>
        </w:rPr>
        <w:t>用户使用数据的方式有查询数据和下载数据两种。</w:t>
      </w:r>
    </w:p>
    <w:p w14:paraId="36719F2E">
      <w:pPr>
        <w:pStyle w:val="2"/>
        <w:spacing w:before="73" w:line="269" w:lineRule="auto"/>
        <w:ind w:left="249" w:firstLine="430"/>
        <w:rPr>
          <w:sz w:val="20"/>
          <w:szCs w:val="20"/>
        </w:rPr>
      </w:pPr>
      <w:r>
        <w:rPr>
          <w:spacing w:val="8"/>
          <w:sz w:val="20"/>
          <w:szCs w:val="20"/>
        </w:rPr>
        <w:t>(3)数据分发服务。数据分发是指数据的</w:t>
      </w:r>
      <w:r>
        <w:rPr>
          <w:spacing w:val="7"/>
          <w:sz w:val="20"/>
          <w:szCs w:val="20"/>
        </w:rPr>
        <w:t>生产者通过各种方式将数据传送到用户的过程。</w:t>
      </w:r>
      <w:r>
        <w:rPr>
          <w:sz w:val="20"/>
          <w:szCs w:val="20"/>
        </w:rPr>
        <w:t xml:space="preserve"> </w:t>
      </w:r>
      <w:r>
        <w:rPr>
          <w:spacing w:val="4"/>
          <w:sz w:val="20"/>
          <w:szCs w:val="20"/>
        </w:rPr>
        <w:t>通过分发，能够使数据从采集、存储、加工、传</w:t>
      </w:r>
      <w:r>
        <w:rPr>
          <w:spacing w:val="3"/>
          <w:sz w:val="20"/>
          <w:szCs w:val="20"/>
        </w:rPr>
        <w:t>播向使用流动，实现数据的价值。分发服务的</w:t>
      </w:r>
      <w:r>
        <w:rPr>
          <w:sz w:val="20"/>
          <w:szCs w:val="20"/>
        </w:rPr>
        <w:t xml:space="preserve">  </w:t>
      </w:r>
      <w:r>
        <w:rPr>
          <w:spacing w:val="-2"/>
          <w:sz w:val="20"/>
          <w:szCs w:val="20"/>
        </w:rPr>
        <w:t>核心内容包括数据发布、数据发现、数据评</w:t>
      </w:r>
      <w:r>
        <w:rPr>
          <w:spacing w:val="-3"/>
          <w:sz w:val="20"/>
          <w:szCs w:val="20"/>
        </w:rPr>
        <w:t>价和数据获取。</w:t>
      </w:r>
    </w:p>
    <w:p w14:paraId="6BC2D0FC">
      <w:pPr>
        <w:pStyle w:val="2"/>
        <w:spacing w:before="151" w:line="222" w:lineRule="auto"/>
        <w:ind w:left="682"/>
        <w:rPr>
          <w:rFonts w:ascii="黑体" w:hAnsi="黑体" w:eastAsia="黑体" w:cs="黑体"/>
          <w:sz w:val="20"/>
          <w:szCs w:val="20"/>
        </w:rPr>
      </w:pPr>
      <w:r>
        <w:rPr>
          <w:b/>
          <w:bCs/>
          <w:color w:val="0076DE"/>
          <w:spacing w:val="-1"/>
          <w:sz w:val="20"/>
          <w:szCs w:val="20"/>
        </w:rPr>
        <w:t>4.</w:t>
      </w:r>
      <w:r>
        <w:rPr>
          <w:rFonts w:ascii="黑体" w:hAnsi="黑体" w:eastAsia="黑体" w:cs="黑体"/>
          <w:b/>
          <w:bCs/>
          <w:color w:val="0076DE"/>
          <w:spacing w:val="-1"/>
          <w:sz w:val="20"/>
          <w:szCs w:val="20"/>
        </w:rPr>
        <w:t>数据可视化</w:t>
      </w:r>
    </w:p>
    <w:p w14:paraId="20BCB8C3">
      <w:pPr>
        <w:pStyle w:val="2"/>
        <w:spacing w:before="150" w:line="283" w:lineRule="auto"/>
        <w:ind w:left="249" w:right="40" w:firstLine="430"/>
        <w:jc w:val="both"/>
        <w:rPr>
          <w:sz w:val="20"/>
          <w:szCs w:val="20"/>
        </w:rPr>
      </w:pPr>
      <w:r>
        <w:rPr>
          <w:spacing w:val="22"/>
          <w:sz w:val="20"/>
          <w:szCs w:val="20"/>
        </w:rPr>
        <w:t>可视化技术是指将抽象的事物或过程变成图形图像的表示方法。数据可视化</w:t>
      </w:r>
      <w:r>
        <w:rPr>
          <w:spacing w:val="-38"/>
          <w:sz w:val="20"/>
          <w:szCs w:val="20"/>
        </w:rPr>
        <w:t xml:space="preserve"> </w:t>
      </w:r>
      <w:r>
        <w:rPr>
          <w:rFonts w:ascii="Times New Roman" w:hAnsi="Times New Roman" w:eastAsia="Times New Roman" w:cs="Times New Roman"/>
          <w:spacing w:val="22"/>
          <w:sz w:val="20"/>
          <w:szCs w:val="20"/>
        </w:rPr>
        <w:t>(</w:t>
      </w:r>
      <w:r>
        <w:rPr>
          <w:rFonts w:ascii="Times New Roman" w:hAnsi="Times New Roman" w:eastAsia="Times New Roman" w:cs="Times New Roman"/>
          <w:sz w:val="20"/>
          <w:szCs w:val="20"/>
        </w:rPr>
        <w:t>Data   Visualization</w:t>
      </w:r>
      <w:r>
        <w:rPr>
          <w:rFonts w:ascii="Times New Roman" w:hAnsi="Times New Roman" w:eastAsia="Times New Roman" w:cs="Times New Roman"/>
          <w:spacing w:val="4"/>
          <w:sz w:val="20"/>
          <w:szCs w:val="20"/>
        </w:rPr>
        <w:t xml:space="preserve">)  </w:t>
      </w:r>
      <w:r>
        <w:rPr>
          <w:spacing w:val="4"/>
          <w:sz w:val="20"/>
          <w:szCs w:val="20"/>
        </w:rPr>
        <w:t xml:space="preserve">概念来自科学计算可视化。数据可视化主要运用计算机图形学和图像处理技术， </w:t>
      </w:r>
      <w:r>
        <w:rPr>
          <w:spacing w:val="3"/>
          <w:sz w:val="20"/>
          <w:szCs w:val="20"/>
        </w:rPr>
        <w:t>将数据转换为图形或图像在屏幕上显示出来，并能进行交互处理。它涉及计算机图形学、图像</w:t>
      </w:r>
      <w:r>
        <w:rPr>
          <w:spacing w:val="14"/>
          <w:sz w:val="20"/>
          <w:szCs w:val="20"/>
        </w:rPr>
        <w:t xml:space="preserve"> </w:t>
      </w:r>
      <w:r>
        <w:rPr>
          <w:spacing w:val="-1"/>
          <w:sz w:val="20"/>
          <w:szCs w:val="20"/>
        </w:rPr>
        <w:t>处理、计算机辅助设计、计算机视觉及人机交互技术等多个领域，是一门综合性的学科。</w:t>
      </w:r>
    </w:p>
    <w:p w14:paraId="751B413E">
      <w:pPr>
        <w:pStyle w:val="2"/>
        <w:spacing w:before="35" w:line="278" w:lineRule="auto"/>
        <w:ind w:left="249" w:right="20" w:firstLine="430"/>
        <w:jc w:val="both"/>
        <w:rPr>
          <w:sz w:val="20"/>
          <w:szCs w:val="20"/>
        </w:rPr>
      </w:pPr>
      <w:r>
        <w:rPr>
          <w:spacing w:val="5"/>
          <w:sz w:val="20"/>
          <w:szCs w:val="20"/>
        </w:rPr>
        <w:t>由于所要展现数据的内容和角度不同，可视化的表</w:t>
      </w:r>
      <w:r>
        <w:rPr>
          <w:spacing w:val="4"/>
          <w:sz w:val="20"/>
          <w:szCs w:val="20"/>
        </w:rPr>
        <w:t>现方式也多种多样，主要可分为七类：</w:t>
      </w:r>
      <w:r>
        <w:rPr>
          <w:sz w:val="20"/>
          <w:szCs w:val="20"/>
        </w:rPr>
        <w:t xml:space="preserve"> </w:t>
      </w:r>
      <w:r>
        <w:rPr>
          <w:spacing w:val="3"/>
          <w:sz w:val="20"/>
          <w:szCs w:val="20"/>
        </w:rPr>
        <w:t>一维数据可视化、二维数据可视化、三维数据可视化、多维数据可视化、时态数据可视化、层</w:t>
      </w:r>
      <w:r>
        <w:rPr>
          <w:spacing w:val="17"/>
          <w:sz w:val="20"/>
          <w:szCs w:val="20"/>
        </w:rPr>
        <w:t xml:space="preserve"> </w:t>
      </w:r>
      <w:r>
        <w:rPr>
          <w:spacing w:val="-3"/>
          <w:sz w:val="20"/>
          <w:szCs w:val="20"/>
        </w:rPr>
        <w:t>次数据可视化和网络数据可视化。</w:t>
      </w:r>
    </w:p>
    <w:p w14:paraId="3FBA161B">
      <w:pPr>
        <w:pStyle w:val="2"/>
        <w:spacing w:before="198" w:line="219" w:lineRule="auto"/>
        <w:ind w:left="252"/>
        <w:rPr>
          <w:sz w:val="25"/>
          <w:szCs w:val="25"/>
        </w:rPr>
      </w:pPr>
      <w:r>
        <w:rPr>
          <w:b/>
          <w:bCs/>
          <w:color w:val="0066CC"/>
          <w:spacing w:val="-17"/>
          <w:sz w:val="25"/>
          <w:szCs w:val="25"/>
        </w:rPr>
        <w:t>2.4.5</w:t>
      </w:r>
      <w:r>
        <w:rPr>
          <w:color w:val="0066CC"/>
          <w:spacing w:val="104"/>
          <w:sz w:val="25"/>
          <w:szCs w:val="25"/>
        </w:rPr>
        <w:t xml:space="preserve"> </w:t>
      </w:r>
      <w:r>
        <w:rPr>
          <w:b/>
          <w:bCs/>
          <w:color w:val="0066CC"/>
          <w:spacing w:val="-17"/>
          <w:sz w:val="25"/>
          <w:szCs w:val="25"/>
        </w:rPr>
        <w:t>数据库安全</w:t>
      </w:r>
    </w:p>
    <w:p w14:paraId="36AEFE37">
      <w:pPr>
        <w:pStyle w:val="2"/>
        <w:spacing w:before="155" w:line="270" w:lineRule="auto"/>
        <w:ind w:left="249" w:firstLine="430"/>
        <w:jc w:val="both"/>
        <w:rPr>
          <w:sz w:val="20"/>
          <w:szCs w:val="20"/>
        </w:rPr>
      </w:pPr>
      <w:r>
        <w:rPr>
          <w:spacing w:val="5"/>
          <w:sz w:val="20"/>
          <w:szCs w:val="20"/>
        </w:rPr>
        <w:t>数据是脆弱的，它可能被无意识或有意识地破坏、修改，需要采用一定的数据安全措施，</w:t>
      </w:r>
      <w:r>
        <w:rPr>
          <w:spacing w:val="3"/>
          <w:sz w:val="20"/>
          <w:szCs w:val="20"/>
        </w:rPr>
        <w:t xml:space="preserve"> 确保合法的用户采用正确的方式在正确的时间对相应的数据进行正确的操作，确保数据的机密</w:t>
      </w:r>
      <w:r>
        <w:rPr>
          <w:spacing w:val="9"/>
          <w:sz w:val="20"/>
          <w:szCs w:val="20"/>
        </w:rPr>
        <w:t xml:space="preserve">  </w:t>
      </w:r>
      <w:r>
        <w:rPr>
          <w:spacing w:val="3"/>
          <w:sz w:val="20"/>
          <w:szCs w:val="20"/>
        </w:rPr>
        <w:t>性、完整性、可用性和合法使用。数据库安全是指保护数据库，防止不合法的使用所造成的数</w:t>
      </w:r>
      <w:r>
        <w:rPr>
          <w:spacing w:val="7"/>
          <w:sz w:val="20"/>
          <w:szCs w:val="20"/>
        </w:rPr>
        <w:t xml:space="preserve">  </w:t>
      </w:r>
      <w:r>
        <w:rPr>
          <w:spacing w:val="-4"/>
          <w:sz w:val="20"/>
          <w:szCs w:val="20"/>
        </w:rPr>
        <w:t>据泄露、更改或破坏。</w:t>
      </w:r>
    </w:p>
    <w:p w14:paraId="4E3E088B">
      <w:pPr>
        <w:pStyle w:val="2"/>
        <w:spacing w:before="147" w:line="222" w:lineRule="auto"/>
        <w:ind w:left="682"/>
        <w:rPr>
          <w:rFonts w:ascii="黑体" w:hAnsi="黑体" w:eastAsia="黑体" w:cs="黑体"/>
          <w:sz w:val="20"/>
          <w:szCs w:val="20"/>
        </w:rPr>
      </w:pPr>
      <w:r>
        <w:rPr>
          <w:b/>
          <w:bCs/>
          <w:color w:val="006CCC"/>
          <w:spacing w:val="-2"/>
          <w:sz w:val="20"/>
          <w:szCs w:val="20"/>
        </w:rPr>
        <w:t>1.</w:t>
      </w:r>
      <w:r>
        <w:rPr>
          <w:rFonts w:ascii="黑体" w:hAnsi="黑体" w:eastAsia="黑体" w:cs="黑体"/>
          <w:b/>
          <w:bCs/>
          <w:color w:val="006CCC"/>
          <w:spacing w:val="-2"/>
          <w:sz w:val="20"/>
          <w:szCs w:val="20"/>
        </w:rPr>
        <w:t>数据库安全威胁</w:t>
      </w:r>
    </w:p>
    <w:p w14:paraId="5910FF0F">
      <w:pPr>
        <w:pStyle w:val="2"/>
        <w:spacing w:before="152" w:line="219" w:lineRule="auto"/>
        <w:ind w:left="679"/>
        <w:rPr>
          <w:sz w:val="20"/>
          <w:szCs w:val="20"/>
        </w:rPr>
      </w:pPr>
      <w:r>
        <w:rPr>
          <w:spacing w:val="3"/>
          <w:sz w:val="20"/>
          <w:szCs w:val="20"/>
        </w:rPr>
        <w:t>在数据库环境中，不同的用户通过数据库管理系统访问同一组数据集合，</w:t>
      </w:r>
      <w:r>
        <w:rPr>
          <w:spacing w:val="2"/>
          <w:sz w:val="20"/>
          <w:szCs w:val="20"/>
        </w:rPr>
        <w:t>这样减少了数据</w:t>
      </w:r>
    </w:p>
    <w:p w14:paraId="45657882">
      <w:pPr>
        <w:spacing w:line="219" w:lineRule="auto"/>
        <w:rPr>
          <w:sz w:val="20"/>
          <w:szCs w:val="20"/>
        </w:rPr>
        <w:sectPr>
          <w:pgSz w:w="10320" w:h="13410"/>
          <w:pgMar w:top="400" w:right="1119" w:bottom="400" w:left="520" w:header="0" w:footer="0" w:gutter="0"/>
          <w:cols w:space="720" w:num="1"/>
        </w:sectPr>
      </w:pPr>
    </w:p>
    <w:p w14:paraId="36BCB59C">
      <w:pPr>
        <w:pStyle w:val="2"/>
        <w:spacing w:before="116" w:line="219" w:lineRule="auto"/>
        <w:jc w:val="right"/>
        <w:rPr>
          <w:rFonts w:ascii="Times New Roman" w:hAnsi="Times New Roman" w:eastAsia="Times New Roman" w:cs="Times New Roman"/>
          <w:sz w:val="19"/>
          <w:szCs w:val="19"/>
        </w:rPr>
      </w:pPr>
      <w:r>
        <w:rPr>
          <w:spacing w:val="5"/>
          <w:sz w:val="19"/>
          <w:szCs w:val="19"/>
        </w:rPr>
        <w:t>第2章</w:t>
      </w:r>
      <w:r>
        <w:rPr>
          <w:spacing w:val="33"/>
          <w:sz w:val="19"/>
          <w:szCs w:val="19"/>
        </w:rPr>
        <w:t xml:space="preserve"> </w:t>
      </w:r>
      <w:r>
        <w:rPr>
          <w:spacing w:val="5"/>
          <w:sz w:val="19"/>
          <w:szCs w:val="19"/>
        </w:rPr>
        <w:t>信息系统工程</w:t>
      </w:r>
      <w:r>
        <w:rPr>
          <w:spacing w:val="1"/>
          <w:sz w:val="19"/>
          <w:szCs w:val="19"/>
        </w:rPr>
        <w:t xml:space="preserve">       </w:t>
      </w:r>
      <w:r>
        <w:rPr>
          <w:rFonts w:ascii="Times New Roman" w:hAnsi="Times New Roman" w:eastAsia="Times New Roman" w:cs="Times New Roman"/>
          <w:spacing w:val="5"/>
          <w:sz w:val="19"/>
          <w:szCs w:val="19"/>
        </w:rPr>
        <w:t>75</w:t>
      </w:r>
    </w:p>
    <w:p w14:paraId="4238D428">
      <w:pPr>
        <w:spacing w:line="291" w:lineRule="auto"/>
        <w:rPr>
          <w:rFonts w:ascii="Arial"/>
          <w:sz w:val="21"/>
        </w:rPr>
      </w:pPr>
    </w:p>
    <w:p w14:paraId="7D3B1020">
      <w:pPr>
        <w:pStyle w:val="2"/>
        <w:spacing w:before="61" w:line="308" w:lineRule="auto"/>
        <w:ind w:right="265"/>
        <w:rPr>
          <w:sz w:val="19"/>
          <w:szCs w:val="19"/>
        </w:rPr>
      </w:pPr>
      <w:r>
        <w:rPr>
          <w:spacing w:val="13"/>
          <w:sz w:val="19"/>
          <w:szCs w:val="19"/>
        </w:rPr>
        <w:t>的冗余，消除了不一致的问题，同时也免去程序对数据结构的依赖。然而，这也导致数据库面</w:t>
      </w:r>
      <w:r>
        <w:rPr>
          <w:spacing w:val="3"/>
          <w:sz w:val="19"/>
          <w:szCs w:val="19"/>
        </w:rPr>
        <w:t xml:space="preserve"> </w:t>
      </w:r>
      <w:r>
        <w:rPr>
          <w:spacing w:val="10"/>
          <w:sz w:val="19"/>
          <w:szCs w:val="19"/>
        </w:rPr>
        <w:t>临更严重的安全威胁。数据库安全威胁的主要类型如表2-1所示。</w:t>
      </w:r>
    </w:p>
    <w:p w14:paraId="4444E719">
      <w:pPr>
        <w:spacing w:before="92" w:line="221" w:lineRule="auto"/>
        <w:ind w:left="2772"/>
        <w:rPr>
          <w:rFonts w:ascii="黑体" w:hAnsi="黑体" w:eastAsia="黑体" w:cs="黑体"/>
          <w:sz w:val="19"/>
          <w:szCs w:val="19"/>
        </w:rPr>
      </w:pPr>
      <w:r>
        <w:rPr>
          <w:rFonts w:ascii="黑体" w:hAnsi="黑体" w:eastAsia="黑体" w:cs="黑体"/>
          <w:b/>
          <w:bCs/>
          <w:spacing w:val="-9"/>
          <w:sz w:val="19"/>
          <w:szCs w:val="19"/>
        </w:rPr>
        <w:t>表2-1</w:t>
      </w:r>
      <w:r>
        <w:rPr>
          <w:rFonts w:ascii="黑体" w:hAnsi="黑体" w:eastAsia="黑体" w:cs="黑体"/>
          <w:spacing w:val="83"/>
          <w:sz w:val="19"/>
          <w:szCs w:val="19"/>
        </w:rPr>
        <w:t xml:space="preserve"> </w:t>
      </w:r>
      <w:r>
        <w:rPr>
          <w:rFonts w:ascii="黑体" w:hAnsi="黑体" w:eastAsia="黑体" w:cs="黑体"/>
          <w:b/>
          <w:bCs/>
          <w:spacing w:val="-9"/>
          <w:sz w:val="19"/>
          <w:szCs w:val="19"/>
        </w:rPr>
        <w:t>数据库安全威胁的主要类型</w:t>
      </w:r>
    </w:p>
    <w:p w14:paraId="41C21A71">
      <w:pPr>
        <w:spacing w:line="104" w:lineRule="exact"/>
      </w:pPr>
    </w:p>
    <w:tbl>
      <w:tblPr>
        <w:tblStyle w:val="5"/>
        <w:tblW w:w="831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0"/>
        <w:gridCol w:w="460"/>
        <w:gridCol w:w="1390"/>
        <w:gridCol w:w="5600"/>
      </w:tblGrid>
      <w:tr w14:paraId="36EF4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860" w:type="dxa"/>
            <w:tcBorders>
              <w:left w:val="nil"/>
            </w:tcBorders>
            <w:vAlign w:val="top"/>
          </w:tcPr>
          <w:p w14:paraId="4C594660">
            <w:pPr>
              <w:pStyle w:val="6"/>
              <w:spacing w:before="80" w:line="220" w:lineRule="auto"/>
              <w:ind w:left="242"/>
            </w:pPr>
            <w:r>
              <w:rPr>
                <w:b/>
                <w:bCs/>
                <w:spacing w:val="-5"/>
              </w:rPr>
              <w:t>维度</w:t>
            </w:r>
          </w:p>
        </w:tc>
        <w:tc>
          <w:tcPr>
            <w:tcW w:w="1850" w:type="dxa"/>
            <w:gridSpan w:val="2"/>
            <w:vAlign w:val="top"/>
          </w:tcPr>
          <w:p w14:paraId="453AA87A">
            <w:pPr>
              <w:pStyle w:val="6"/>
              <w:spacing w:before="80" w:line="220" w:lineRule="auto"/>
              <w:ind w:left="537"/>
            </w:pPr>
            <w:r>
              <w:rPr>
                <w:b/>
                <w:bCs/>
                <w:spacing w:val="-4"/>
              </w:rPr>
              <w:t>表现方式</w:t>
            </w:r>
          </w:p>
        </w:tc>
        <w:tc>
          <w:tcPr>
            <w:tcW w:w="5600" w:type="dxa"/>
            <w:tcBorders>
              <w:right w:val="nil"/>
            </w:tcBorders>
            <w:vAlign w:val="top"/>
          </w:tcPr>
          <w:p w14:paraId="42952F8F">
            <w:pPr>
              <w:pStyle w:val="6"/>
              <w:spacing w:before="80" w:line="219" w:lineRule="auto"/>
              <w:ind w:left="2587"/>
            </w:pPr>
            <w:r>
              <w:rPr>
                <w:b/>
                <w:bCs/>
                <w:spacing w:val="5"/>
              </w:rPr>
              <w:t>说明</w:t>
            </w:r>
          </w:p>
        </w:tc>
      </w:tr>
      <w:tr w14:paraId="76BD0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860" w:type="dxa"/>
            <w:vMerge w:val="restart"/>
            <w:tcBorders>
              <w:left w:val="nil"/>
              <w:bottom w:val="nil"/>
            </w:tcBorders>
            <w:vAlign w:val="top"/>
          </w:tcPr>
          <w:p w14:paraId="1F1FD5B6">
            <w:pPr>
              <w:spacing w:line="301" w:lineRule="auto"/>
              <w:rPr>
                <w:rFonts w:ascii="Arial"/>
                <w:sz w:val="21"/>
              </w:rPr>
            </w:pPr>
          </w:p>
          <w:p w14:paraId="44921771">
            <w:pPr>
              <w:spacing w:line="302" w:lineRule="auto"/>
              <w:rPr>
                <w:rFonts w:ascii="Arial"/>
                <w:sz w:val="21"/>
              </w:rPr>
            </w:pPr>
          </w:p>
          <w:p w14:paraId="4F54AEB0">
            <w:pPr>
              <w:pStyle w:val="6"/>
              <w:spacing w:before="62" w:line="220" w:lineRule="auto"/>
              <w:ind w:left="50"/>
            </w:pPr>
            <w:r>
              <w:rPr>
                <w:spacing w:val="-2"/>
              </w:rPr>
              <w:t>威胁后果</w:t>
            </w:r>
          </w:p>
        </w:tc>
        <w:tc>
          <w:tcPr>
            <w:tcW w:w="1850" w:type="dxa"/>
            <w:gridSpan w:val="2"/>
            <w:vAlign w:val="top"/>
          </w:tcPr>
          <w:p w14:paraId="279E4462">
            <w:pPr>
              <w:pStyle w:val="6"/>
              <w:spacing w:before="189" w:line="219" w:lineRule="auto"/>
              <w:ind w:left="155"/>
            </w:pPr>
            <w:r>
              <w:rPr>
                <w:spacing w:val="-2"/>
              </w:rPr>
              <w:t>非授权的信息泄露</w:t>
            </w:r>
          </w:p>
        </w:tc>
        <w:tc>
          <w:tcPr>
            <w:tcW w:w="5600" w:type="dxa"/>
            <w:tcBorders>
              <w:right w:val="nil"/>
            </w:tcBorders>
            <w:vAlign w:val="top"/>
          </w:tcPr>
          <w:p w14:paraId="7876BDEB">
            <w:pPr>
              <w:pStyle w:val="6"/>
              <w:spacing w:before="48" w:line="248" w:lineRule="auto"/>
              <w:ind w:left="15" w:right="1" w:firstLine="30"/>
            </w:pPr>
            <w:r>
              <w:rPr>
                <w:spacing w:val="-5"/>
              </w:rPr>
              <w:t>未获授权的用户有意或无意得到信息。通过对授权访问的数</w:t>
            </w:r>
            <w:r>
              <w:rPr>
                <w:spacing w:val="-6"/>
              </w:rPr>
              <w:t>据进行推</w:t>
            </w:r>
            <w:r>
              <w:t xml:space="preserve"> 导分析获取非授权的信息也属于这一类</w:t>
            </w:r>
          </w:p>
        </w:tc>
      </w:tr>
      <w:tr w14:paraId="45530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860" w:type="dxa"/>
            <w:vMerge w:val="continue"/>
            <w:tcBorders>
              <w:top w:val="nil"/>
              <w:left w:val="nil"/>
              <w:bottom w:val="nil"/>
            </w:tcBorders>
            <w:vAlign w:val="top"/>
          </w:tcPr>
          <w:p w14:paraId="519BD126">
            <w:pPr>
              <w:rPr>
                <w:rFonts w:ascii="Arial"/>
                <w:sz w:val="21"/>
              </w:rPr>
            </w:pPr>
          </w:p>
        </w:tc>
        <w:tc>
          <w:tcPr>
            <w:tcW w:w="1850" w:type="dxa"/>
            <w:gridSpan w:val="2"/>
            <w:vAlign w:val="top"/>
          </w:tcPr>
          <w:p w14:paraId="0B077C5A">
            <w:pPr>
              <w:pStyle w:val="6"/>
              <w:spacing w:before="199" w:line="219" w:lineRule="auto"/>
              <w:ind w:left="155"/>
            </w:pPr>
            <w:r>
              <w:rPr>
                <w:spacing w:val="-2"/>
              </w:rPr>
              <w:t>非授权的数据修改</w:t>
            </w:r>
          </w:p>
        </w:tc>
        <w:tc>
          <w:tcPr>
            <w:tcW w:w="5600" w:type="dxa"/>
            <w:tcBorders>
              <w:right w:val="nil"/>
            </w:tcBorders>
            <w:vAlign w:val="top"/>
          </w:tcPr>
          <w:p w14:paraId="75BF090B">
            <w:pPr>
              <w:pStyle w:val="6"/>
              <w:spacing w:before="89" w:line="238" w:lineRule="auto"/>
              <w:ind w:left="15" w:firstLine="40"/>
            </w:pPr>
            <w:r>
              <w:rPr>
                <w:spacing w:val="-6"/>
              </w:rPr>
              <w:t>包括所有通过数据处理和修改而违反信息完整性的行为。非授权修改</w:t>
            </w:r>
            <w:r>
              <w:rPr>
                <w:spacing w:val="16"/>
              </w:rPr>
              <w:t xml:space="preserve"> </w:t>
            </w:r>
            <w:r>
              <w:rPr>
                <w:spacing w:val="-4"/>
              </w:rPr>
              <w:t>不一定会涉及非授权信息泄露，因为即使不读取数据也可以进行</w:t>
            </w:r>
            <w:r>
              <w:rPr>
                <w:spacing w:val="-5"/>
              </w:rPr>
              <w:t>破坏</w:t>
            </w:r>
          </w:p>
        </w:tc>
      </w:tr>
      <w:tr w14:paraId="125C7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60" w:type="dxa"/>
            <w:vMerge w:val="continue"/>
            <w:tcBorders>
              <w:top w:val="nil"/>
              <w:left w:val="nil"/>
            </w:tcBorders>
            <w:vAlign w:val="top"/>
          </w:tcPr>
          <w:p w14:paraId="06A6A08E">
            <w:pPr>
              <w:rPr>
                <w:rFonts w:ascii="Arial"/>
                <w:sz w:val="21"/>
              </w:rPr>
            </w:pPr>
          </w:p>
        </w:tc>
        <w:tc>
          <w:tcPr>
            <w:tcW w:w="1850" w:type="dxa"/>
            <w:gridSpan w:val="2"/>
            <w:vAlign w:val="top"/>
          </w:tcPr>
          <w:p w14:paraId="6166B2E6">
            <w:pPr>
              <w:pStyle w:val="6"/>
              <w:spacing w:before="81" w:line="219" w:lineRule="auto"/>
              <w:ind w:left="535"/>
            </w:pPr>
            <w:r>
              <w:rPr>
                <w:spacing w:val="-2"/>
              </w:rPr>
              <w:t>拒绝服务</w:t>
            </w:r>
          </w:p>
        </w:tc>
        <w:tc>
          <w:tcPr>
            <w:tcW w:w="5600" w:type="dxa"/>
            <w:tcBorders>
              <w:right w:val="nil"/>
            </w:tcBorders>
            <w:vAlign w:val="top"/>
          </w:tcPr>
          <w:p w14:paraId="19C21538">
            <w:pPr>
              <w:pStyle w:val="6"/>
              <w:spacing w:before="79" w:line="219" w:lineRule="auto"/>
              <w:ind w:left="15"/>
            </w:pPr>
            <w:r>
              <w:rPr>
                <w:spacing w:val="-1"/>
              </w:rPr>
              <w:t>包括会影响用户访问数据或使用资源的行为</w:t>
            </w:r>
          </w:p>
        </w:tc>
      </w:tr>
      <w:tr w14:paraId="52FCF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860" w:type="dxa"/>
            <w:vMerge w:val="restart"/>
            <w:tcBorders>
              <w:left w:val="nil"/>
              <w:bottom w:val="nil"/>
            </w:tcBorders>
            <w:vAlign w:val="top"/>
          </w:tcPr>
          <w:p w14:paraId="3709120A">
            <w:pPr>
              <w:spacing w:line="311" w:lineRule="auto"/>
              <w:rPr>
                <w:rFonts w:ascii="Arial"/>
                <w:sz w:val="21"/>
              </w:rPr>
            </w:pPr>
          </w:p>
          <w:p w14:paraId="24758105">
            <w:pPr>
              <w:spacing w:line="312" w:lineRule="auto"/>
              <w:rPr>
                <w:rFonts w:ascii="Arial"/>
                <w:sz w:val="21"/>
              </w:rPr>
            </w:pPr>
          </w:p>
          <w:p w14:paraId="5F78BFDF">
            <w:pPr>
              <w:spacing w:line="312" w:lineRule="auto"/>
              <w:rPr>
                <w:rFonts w:ascii="Arial"/>
                <w:sz w:val="21"/>
              </w:rPr>
            </w:pPr>
          </w:p>
          <w:p w14:paraId="6F34D0C9">
            <w:pPr>
              <w:pStyle w:val="6"/>
              <w:spacing w:before="62" w:line="221" w:lineRule="auto"/>
              <w:ind w:left="50"/>
            </w:pPr>
            <w:r>
              <w:rPr>
                <w:spacing w:val="-2"/>
              </w:rPr>
              <w:t>威胁方式</w:t>
            </w:r>
          </w:p>
        </w:tc>
        <w:tc>
          <w:tcPr>
            <w:tcW w:w="460" w:type="dxa"/>
            <w:vMerge w:val="restart"/>
            <w:tcBorders>
              <w:bottom w:val="nil"/>
            </w:tcBorders>
            <w:vAlign w:val="top"/>
          </w:tcPr>
          <w:p w14:paraId="0686C292">
            <w:pPr>
              <w:spacing w:line="298" w:lineRule="auto"/>
              <w:rPr>
                <w:rFonts w:ascii="Arial"/>
                <w:sz w:val="21"/>
              </w:rPr>
            </w:pPr>
          </w:p>
          <w:p w14:paraId="2F6EDE6C">
            <w:pPr>
              <w:spacing w:line="299" w:lineRule="auto"/>
              <w:rPr>
                <w:rFonts w:ascii="Arial"/>
                <w:sz w:val="21"/>
              </w:rPr>
            </w:pPr>
          </w:p>
          <w:p w14:paraId="431642AC">
            <w:pPr>
              <w:pStyle w:val="6"/>
              <w:spacing w:before="61" w:line="220" w:lineRule="auto"/>
              <w:ind w:left="35"/>
            </w:pPr>
            <w:r>
              <w:rPr>
                <w:spacing w:val="6"/>
              </w:rPr>
              <w:t>无意</w:t>
            </w:r>
          </w:p>
        </w:tc>
        <w:tc>
          <w:tcPr>
            <w:tcW w:w="1390" w:type="dxa"/>
            <w:vAlign w:val="top"/>
          </w:tcPr>
          <w:p w14:paraId="1D9EFE79">
            <w:pPr>
              <w:pStyle w:val="6"/>
              <w:spacing w:before="192" w:line="220" w:lineRule="auto"/>
              <w:ind w:left="25"/>
            </w:pPr>
            <w:r>
              <w:rPr>
                <w:spacing w:val="1"/>
              </w:rPr>
              <w:t>自然或意外灾害</w:t>
            </w:r>
          </w:p>
        </w:tc>
        <w:tc>
          <w:tcPr>
            <w:tcW w:w="5600" w:type="dxa"/>
            <w:tcBorders>
              <w:right w:val="nil"/>
            </w:tcBorders>
            <w:vAlign w:val="top"/>
          </w:tcPr>
          <w:p w14:paraId="4522C2F8">
            <w:pPr>
              <w:pStyle w:val="6"/>
              <w:spacing w:before="50" w:line="242" w:lineRule="auto"/>
              <w:ind w:left="15" w:right="2" w:firstLine="60"/>
            </w:pPr>
            <w:r>
              <w:rPr>
                <w:spacing w:val="-6"/>
              </w:rPr>
              <w:t>例如地震、水灾、火灾等。这些事故可能会破坏系统的软硬</w:t>
            </w:r>
            <w:r>
              <w:rPr>
                <w:spacing w:val="-7"/>
              </w:rPr>
              <w:t>件，导致</w:t>
            </w:r>
            <w:r>
              <w:t xml:space="preserve"> </w:t>
            </w:r>
            <w:r>
              <w:rPr>
                <w:spacing w:val="-1"/>
              </w:rPr>
              <w:t>完整性破坏和拒绝服务</w:t>
            </w:r>
          </w:p>
        </w:tc>
      </w:tr>
      <w:tr w14:paraId="6EEFC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860" w:type="dxa"/>
            <w:vMerge w:val="continue"/>
            <w:tcBorders>
              <w:top w:val="nil"/>
              <w:left w:val="nil"/>
              <w:bottom w:val="nil"/>
            </w:tcBorders>
            <w:vAlign w:val="top"/>
          </w:tcPr>
          <w:p w14:paraId="0F570122">
            <w:pPr>
              <w:rPr>
                <w:rFonts w:ascii="Arial"/>
                <w:sz w:val="21"/>
              </w:rPr>
            </w:pPr>
          </w:p>
        </w:tc>
        <w:tc>
          <w:tcPr>
            <w:tcW w:w="460" w:type="dxa"/>
            <w:vMerge w:val="continue"/>
            <w:tcBorders>
              <w:top w:val="nil"/>
              <w:bottom w:val="nil"/>
            </w:tcBorders>
            <w:vAlign w:val="top"/>
          </w:tcPr>
          <w:p w14:paraId="2A611BEB">
            <w:pPr>
              <w:rPr>
                <w:rFonts w:ascii="Arial"/>
                <w:sz w:val="21"/>
              </w:rPr>
            </w:pPr>
          </w:p>
        </w:tc>
        <w:tc>
          <w:tcPr>
            <w:tcW w:w="1390" w:type="dxa"/>
            <w:vAlign w:val="top"/>
          </w:tcPr>
          <w:p w14:paraId="05080E06">
            <w:pPr>
              <w:pStyle w:val="6"/>
              <w:spacing w:before="92" w:line="231" w:lineRule="auto"/>
              <w:ind w:left="494" w:right="10" w:hanging="469"/>
            </w:pPr>
            <w:r>
              <w:rPr>
                <w:spacing w:val="2"/>
              </w:rPr>
              <w:t>系统软硬件中的</w:t>
            </w:r>
            <w:r>
              <w:t xml:space="preserve"> </w:t>
            </w:r>
            <w:r>
              <w:rPr>
                <w:spacing w:val="-2"/>
              </w:rPr>
              <w:t>错误</w:t>
            </w:r>
          </w:p>
        </w:tc>
        <w:tc>
          <w:tcPr>
            <w:tcW w:w="5600" w:type="dxa"/>
            <w:tcBorders>
              <w:right w:val="nil"/>
            </w:tcBorders>
            <w:vAlign w:val="top"/>
          </w:tcPr>
          <w:p w14:paraId="5F030460">
            <w:pPr>
              <w:pStyle w:val="6"/>
              <w:spacing w:before="71" w:line="241" w:lineRule="auto"/>
              <w:ind w:left="15" w:right="1" w:firstLine="60"/>
            </w:pPr>
            <w:r>
              <w:rPr>
                <w:spacing w:val="-6"/>
              </w:rPr>
              <w:t>导致应用实施错误的策略，从而导致非授权的信息泄露、数据</w:t>
            </w:r>
            <w:r>
              <w:rPr>
                <w:spacing w:val="-7"/>
              </w:rPr>
              <w:t>修改或</w:t>
            </w:r>
            <w:r>
              <w:t xml:space="preserve"> </w:t>
            </w:r>
            <w:r>
              <w:rPr>
                <w:spacing w:val="-2"/>
              </w:rPr>
              <w:t>拒绝服务</w:t>
            </w:r>
          </w:p>
        </w:tc>
      </w:tr>
      <w:tr w14:paraId="055C4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60" w:type="dxa"/>
            <w:vMerge w:val="continue"/>
            <w:tcBorders>
              <w:top w:val="nil"/>
              <w:left w:val="nil"/>
              <w:bottom w:val="nil"/>
            </w:tcBorders>
            <w:vAlign w:val="top"/>
          </w:tcPr>
          <w:p w14:paraId="03DBF96D">
            <w:pPr>
              <w:rPr>
                <w:rFonts w:ascii="Arial"/>
                <w:sz w:val="21"/>
              </w:rPr>
            </w:pPr>
          </w:p>
        </w:tc>
        <w:tc>
          <w:tcPr>
            <w:tcW w:w="460" w:type="dxa"/>
            <w:vMerge w:val="continue"/>
            <w:tcBorders>
              <w:top w:val="nil"/>
            </w:tcBorders>
            <w:vAlign w:val="top"/>
          </w:tcPr>
          <w:p w14:paraId="37652AD2">
            <w:pPr>
              <w:rPr>
                <w:rFonts w:ascii="Arial"/>
                <w:sz w:val="21"/>
              </w:rPr>
            </w:pPr>
          </w:p>
        </w:tc>
        <w:tc>
          <w:tcPr>
            <w:tcW w:w="1390" w:type="dxa"/>
            <w:vAlign w:val="top"/>
          </w:tcPr>
          <w:p w14:paraId="554B84A1">
            <w:pPr>
              <w:pStyle w:val="6"/>
              <w:spacing w:before="85" w:line="221" w:lineRule="auto"/>
              <w:ind w:left="305"/>
            </w:pPr>
            <w:r>
              <w:rPr>
                <w:spacing w:val="-2"/>
              </w:rPr>
              <w:t>人为错误</w:t>
            </w:r>
          </w:p>
        </w:tc>
        <w:tc>
          <w:tcPr>
            <w:tcW w:w="5600" w:type="dxa"/>
            <w:tcBorders>
              <w:right w:val="nil"/>
            </w:tcBorders>
            <w:vAlign w:val="top"/>
          </w:tcPr>
          <w:p w14:paraId="6F55BADD">
            <w:pPr>
              <w:pStyle w:val="6"/>
              <w:spacing w:before="84" w:line="219" w:lineRule="auto"/>
              <w:ind w:left="15"/>
            </w:pPr>
            <w:r>
              <w:t>导致无意地违反安全策略，导致的后果与软硬件错误类似</w:t>
            </w:r>
          </w:p>
        </w:tc>
      </w:tr>
      <w:tr w14:paraId="2AFC7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60" w:type="dxa"/>
            <w:vMerge w:val="continue"/>
            <w:tcBorders>
              <w:top w:val="nil"/>
              <w:left w:val="nil"/>
              <w:bottom w:val="nil"/>
            </w:tcBorders>
            <w:vAlign w:val="top"/>
          </w:tcPr>
          <w:p w14:paraId="46454BFA">
            <w:pPr>
              <w:rPr>
                <w:rFonts w:ascii="Arial"/>
                <w:sz w:val="21"/>
              </w:rPr>
            </w:pPr>
          </w:p>
        </w:tc>
        <w:tc>
          <w:tcPr>
            <w:tcW w:w="460" w:type="dxa"/>
            <w:vMerge w:val="restart"/>
            <w:tcBorders>
              <w:bottom w:val="nil"/>
            </w:tcBorders>
            <w:vAlign w:val="top"/>
          </w:tcPr>
          <w:p w14:paraId="1842E618">
            <w:pPr>
              <w:pStyle w:val="6"/>
              <w:spacing w:before="256" w:line="220" w:lineRule="auto"/>
              <w:ind w:left="35"/>
            </w:pPr>
            <w:r>
              <w:rPr>
                <w:spacing w:val="6"/>
              </w:rPr>
              <w:t>有意</w:t>
            </w:r>
          </w:p>
        </w:tc>
        <w:tc>
          <w:tcPr>
            <w:tcW w:w="1390" w:type="dxa"/>
            <w:vAlign w:val="top"/>
          </w:tcPr>
          <w:p w14:paraId="0C19A6D2">
            <w:pPr>
              <w:pStyle w:val="6"/>
              <w:spacing w:before="76" w:line="219" w:lineRule="auto"/>
              <w:ind w:left="305"/>
            </w:pPr>
            <w:r>
              <w:rPr>
                <w:spacing w:val="6"/>
              </w:rPr>
              <w:t>授权用户</w:t>
            </w:r>
          </w:p>
        </w:tc>
        <w:tc>
          <w:tcPr>
            <w:tcW w:w="5600" w:type="dxa"/>
            <w:tcBorders>
              <w:right w:val="nil"/>
            </w:tcBorders>
            <w:vAlign w:val="top"/>
          </w:tcPr>
          <w:p w14:paraId="22E0D2D7">
            <w:pPr>
              <w:pStyle w:val="6"/>
              <w:spacing w:before="76" w:line="219" w:lineRule="auto"/>
              <w:ind w:left="15"/>
            </w:pPr>
            <w:r>
              <w:rPr>
                <w:spacing w:val="-1"/>
              </w:rPr>
              <w:t>授权用户滥用自己的特权造成威胁</w:t>
            </w:r>
          </w:p>
        </w:tc>
      </w:tr>
      <w:tr w14:paraId="319CD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860" w:type="dxa"/>
            <w:vMerge w:val="continue"/>
            <w:tcBorders>
              <w:top w:val="nil"/>
              <w:left w:val="nil"/>
            </w:tcBorders>
            <w:vAlign w:val="top"/>
          </w:tcPr>
          <w:p w14:paraId="4A93FF33">
            <w:pPr>
              <w:rPr>
                <w:rFonts w:ascii="Arial"/>
                <w:sz w:val="21"/>
              </w:rPr>
            </w:pPr>
          </w:p>
        </w:tc>
        <w:tc>
          <w:tcPr>
            <w:tcW w:w="460" w:type="dxa"/>
            <w:vMerge w:val="continue"/>
            <w:tcBorders>
              <w:top w:val="nil"/>
            </w:tcBorders>
            <w:vAlign w:val="top"/>
          </w:tcPr>
          <w:p w14:paraId="1D34A60C">
            <w:pPr>
              <w:rPr>
                <w:rFonts w:ascii="Arial"/>
                <w:sz w:val="21"/>
              </w:rPr>
            </w:pPr>
          </w:p>
        </w:tc>
        <w:tc>
          <w:tcPr>
            <w:tcW w:w="1390" w:type="dxa"/>
            <w:vAlign w:val="top"/>
          </w:tcPr>
          <w:p w14:paraId="750B0357">
            <w:pPr>
              <w:pStyle w:val="6"/>
              <w:spacing w:before="86" w:line="219" w:lineRule="auto"/>
              <w:ind w:left="305"/>
            </w:pPr>
            <w:r>
              <w:rPr>
                <w:spacing w:val="-2"/>
              </w:rPr>
              <w:t>恶意代理</w:t>
            </w:r>
          </w:p>
        </w:tc>
        <w:tc>
          <w:tcPr>
            <w:tcW w:w="5600" w:type="dxa"/>
            <w:tcBorders>
              <w:right w:val="nil"/>
            </w:tcBorders>
            <w:vAlign w:val="top"/>
          </w:tcPr>
          <w:p w14:paraId="54EF1788">
            <w:pPr>
              <w:pStyle w:val="6"/>
              <w:spacing w:before="86" w:line="219" w:lineRule="auto"/>
              <w:ind w:left="15"/>
            </w:pPr>
            <w:r>
              <w:rPr>
                <w:spacing w:val="-1"/>
              </w:rPr>
              <w:t>病毒、特洛伊木马和后门是这类威胁中的典型代表</w:t>
            </w:r>
          </w:p>
        </w:tc>
      </w:tr>
    </w:tbl>
    <w:p w14:paraId="6C490148">
      <w:pPr>
        <w:pStyle w:val="2"/>
        <w:spacing w:before="189" w:line="222" w:lineRule="auto"/>
        <w:ind w:left="392"/>
        <w:rPr>
          <w:rFonts w:ascii="黑体" w:hAnsi="黑体" w:eastAsia="黑体" w:cs="黑体"/>
          <w:sz w:val="19"/>
          <w:szCs w:val="19"/>
        </w:rPr>
      </w:pPr>
      <w:r>
        <w:rPr>
          <w:b/>
          <w:bCs/>
          <w:color w:val="005AD2"/>
          <w:spacing w:val="7"/>
          <w:sz w:val="19"/>
          <w:szCs w:val="19"/>
        </w:rPr>
        <w:t>2.</w:t>
      </w:r>
      <w:r>
        <w:rPr>
          <w:rFonts w:ascii="黑体" w:hAnsi="黑体" w:eastAsia="黑体" w:cs="黑体"/>
          <w:b/>
          <w:bCs/>
          <w:color w:val="005AD2"/>
          <w:spacing w:val="7"/>
          <w:sz w:val="19"/>
          <w:szCs w:val="19"/>
        </w:rPr>
        <w:t>数据库安全对策</w:t>
      </w:r>
    </w:p>
    <w:p w14:paraId="4BC1DFF2">
      <w:pPr>
        <w:pStyle w:val="2"/>
        <w:spacing w:before="145" w:line="219" w:lineRule="auto"/>
        <w:ind w:left="390"/>
        <w:rPr>
          <w:sz w:val="19"/>
          <w:szCs w:val="19"/>
        </w:rPr>
      </w:pPr>
      <w:r>
        <w:rPr>
          <w:spacing w:val="11"/>
          <w:sz w:val="19"/>
          <w:szCs w:val="19"/>
        </w:rPr>
        <w:t>根据数据库安全威胁的特点，常用的数据库安全对策如表2-2所</w:t>
      </w:r>
      <w:r>
        <w:rPr>
          <w:spacing w:val="10"/>
          <w:sz w:val="19"/>
          <w:szCs w:val="19"/>
        </w:rPr>
        <w:t>示。</w:t>
      </w:r>
    </w:p>
    <w:p w14:paraId="504C2E2D">
      <w:pPr>
        <w:spacing w:before="131" w:line="222" w:lineRule="auto"/>
        <w:ind w:left="2942"/>
        <w:rPr>
          <w:rFonts w:ascii="黑体" w:hAnsi="黑体" w:eastAsia="黑体" w:cs="黑体"/>
          <w:sz w:val="19"/>
          <w:szCs w:val="19"/>
        </w:rPr>
      </w:pPr>
      <w:r>
        <w:rPr>
          <w:rFonts w:ascii="黑体" w:hAnsi="黑体" w:eastAsia="黑体" w:cs="黑体"/>
          <w:b/>
          <w:bCs/>
          <w:spacing w:val="-7"/>
          <w:sz w:val="19"/>
          <w:szCs w:val="19"/>
        </w:rPr>
        <w:t>表2-2</w:t>
      </w:r>
      <w:r>
        <w:rPr>
          <w:rFonts w:ascii="黑体" w:hAnsi="黑体" w:eastAsia="黑体" w:cs="黑体"/>
          <w:spacing w:val="59"/>
          <w:sz w:val="19"/>
          <w:szCs w:val="19"/>
        </w:rPr>
        <w:t xml:space="preserve"> </w:t>
      </w:r>
      <w:r>
        <w:rPr>
          <w:rFonts w:ascii="黑体" w:hAnsi="黑体" w:eastAsia="黑体" w:cs="黑体"/>
          <w:b/>
          <w:bCs/>
          <w:spacing w:val="-7"/>
          <w:sz w:val="19"/>
          <w:szCs w:val="19"/>
        </w:rPr>
        <w:t>常用的数据库安全对策</w:t>
      </w:r>
    </w:p>
    <w:p w14:paraId="6C2DE0AE">
      <w:pPr>
        <w:spacing w:line="122" w:lineRule="exact"/>
      </w:pPr>
    </w:p>
    <w:tbl>
      <w:tblPr>
        <w:tblStyle w:val="5"/>
        <w:tblW w:w="83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0"/>
        <w:gridCol w:w="6980"/>
      </w:tblGrid>
      <w:tr w14:paraId="26C45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360" w:type="dxa"/>
            <w:tcBorders>
              <w:left w:val="nil"/>
            </w:tcBorders>
            <w:vAlign w:val="top"/>
          </w:tcPr>
          <w:p w14:paraId="31A41903">
            <w:pPr>
              <w:pStyle w:val="6"/>
              <w:spacing w:before="80" w:line="220" w:lineRule="auto"/>
              <w:ind w:left="322"/>
              <w:rPr>
                <w:sz w:val="18"/>
                <w:szCs w:val="18"/>
              </w:rPr>
            </w:pPr>
            <w:r>
              <w:rPr>
                <w:b/>
                <w:bCs/>
                <w:spacing w:val="-4"/>
                <w:sz w:val="18"/>
                <w:szCs w:val="18"/>
              </w:rPr>
              <w:t>安全对策</w:t>
            </w:r>
          </w:p>
        </w:tc>
        <w:tc>
          <w:tcPr>
            <w:tcW w:w="6980" w:type="dxa"/>
            <w:tcBorders>
              <w:right w:val="nil"/>
            </w:tcBorders>
            <w:vAlign w:val="top"/>
          </w:tcPr>
          <w:p w14:paraId="1C227FA5">
            <w:pPr>
              <w:pStyle w:val="6"/>
              <w:spacing w:before="79" w:line="219" w:lineRule="auto"/>
              <w:ind w:left="3307"/>
              <w:rPr>
                <w:sz w:val="18"/>
                <w:szCs w:val="18"/>
              </w:rPr>
            </w:pPr>
            <w:r>
              <w:rPr>
                <w:b/>
                <w:bCs/>
                <w:spacing w:val="5"/>
                <w:sz w:val="18"/>
                <w:szCs w:val="18"/>
              </w:rPr>
              <w:t>说明</w:t>
            </w:r>
          </w:p>
        </w:tc>
      </w:tr>
      <w:tr w14:paraId="2B855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360" w:type="dxa"/>
            <w:tcBorders>
              <w:left w:val="nil"/>
            </w:tcBorders>
            <w:vAlign w:val="top"/>
          </w:tcPr>
          <w:p w14:paraId="62326F6A">
            <w:pPr>
              <w:pStyle w:val="6"/>
              <w:spacing w:before="49" w:line="220" w:lineRule="auto"/>
              <w:ind w:left="229"/>
              <w:rPr>
                <w:sz w:val="18"/>
                <w:szCs w:val="18"/>
              </w:rPr>
            </w:pPr>
            <w:r>
              <w:rPr>
                <w:spacing w:val="2"/>
                <w:sz w:val="18"/>
                <w:szCs w:val="18"/>
              </w:rPr>
              <w:t>防止非法的</w:t>
            </w:r>
          </w:p>
          <w:p w14:paraId="18CA8365">
            <w:pPr>
              <w:pStyle w:val="6"/>
              <w:spacing w:before="55" w:line="219" w:lineRule="auto"/>
              <w:ind w:left="320"/>
              <w:rPr>
                <w:sz w:val="18"/>
                <w:szCs w:val="18"/>
              </w:rPr>
            </w:pPr>
            <w:r>
              <w:rPr>
                <w:spacing w:val="5"/>
                <w:sz w:val="18"/>
                <w:szCs w:val="18"/>
              </w:rPr>
              <w:t>数据访问</w:t>
            </w:r>
          </w:p>
        </w:tc>
        <w:tc>
          <w:tcPr>
            <w:tcW w:w="6980" w:type="dxa"/>
            <w:tcBorders>
              <w:right w:val="nil"/>
            </w:tcBorders>
            <w:vAlign w:val="top"/>
          </w:tcPr>
          <w:p w14:paraId="7261B5EC">
            <w:pPr>
              <w:pStyle w:val="6"/>
              <w:spacing w:before="69" w:line="241" w:lineRule="auto"/>
              <w:ind w:left="45" w:right="86" w:firstLine="19"/>
              <w:rPr>
                <w:sz w:val="18"/>
                <w:szCs w:val="18"/>
              </w:rPr>
            </w:pPr>
            <w:r>
              <w:rPr>
                <w:sz w:val="18"/>
                <w:szCs w:val="18"/>
              </w:rPr>
              <w:t>这是数据库安全关键的需求之一。数据库管理</w:t>
            </w:r>
            <w:r>
              <w:rPr>
                <w:spacing w:val="-1"/>
                <w:sz w:val="18"/>
                <w:szCs w:val="18"/>
              </w:rPr>
              <w:t>系统必须根据用户或应用的授权来检查访</w:t>
            </w:r>
            <w:r>
              <w:rPr>
                <w:sz w:val="18"/>
                <w:szCs w:val="18"/>
              </w:rPr>
              <w:t xml:space="preserve"> 问请求，以保证仅允许授权的用户访问数据库</w:t>
            </w:r>
          </w:p>
        </w:tc>
      </w:tr>
      <w:tr w14:paraId="0BC1C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8" w:hRule="atLeast"/>
        </w:trPr>
        <w:tc>
          <w:tcPr>
            <w:tcW w:w="1360" w:type="dxa"/>
            <w:tcBorders>
              <w:left w:val="nil"/>
            </w:tcBorders>
            <w:vAlign w:val="top"/>
          </w:tcPr>
          <w:p w14:paraId="2CB28499">
            <w:pPr>
              <w:spacing w:line="289" w:lineRule="auto"/>
              <w:rPr>
                <w:rFonts w:ascii="Arial"/>
                <w:sz w:val="21"/>
              </w:rPr>
            </w:pPr>
          </w:p>
          <w:p w14:paraId="79F91D66">
            <w:pPr>
              <w:pStyle w:val="6"/>
              <w:spacing w:before="59" w:line="220" w:lineRule="auto"/>
              <w:ind w:left="320"/>
              <w:rPr>
                <w:sz w:val="18"/>
                <w:szCs w:val="18"/>
              </w:rPr>
            </w:pPr>
            <w:r>
              <w:rPr>
                <w:spacing w:val="2"/>
                <w:sz w:val="18"/>
                <w:szCs w:val="18"/>
              </w:rPr>
              <w:t>防止推导</w:t>
            </w:r>
          </w:p>
        </w:tc>
        <w:tc>
          <w:tcPr>
            <w:tcW w:w="6980" w:type="dxa"/>
            <w:tcBorders>
              <w:right w:val="nil"/>
            </w:tcBorders>
            <w:vAlign w:val="top"/>
          </w:tcPr>
          <w:p w14:paraId="3E07F57A">
            <w:pPr>
              <w:pStyle w:val="6"/>
              <w:spacing w:before="109" w:line="256" w:lineRule="auto"/>
              <w:ind w:left="45" w:right="48" w:firstLine="19"/>
              <w:jc w:val="both"/>
              <w:rPr>
                <w:sz w:val="18"/>
                <w:szCs w:val="18"/>
              </w:rPr>
            </w:pPr>
            <w:r>
              <w:rPr>
                <w:spacing w:val="1"/>
                <w:sz w:val="18"/>
                <w:szCs w:val="18"/>
              </w:rPr>
              <w:t>推导指的是用户通过授权访问的数据，经过推</w:t>
            </w:r>
            <w:r>
              <w:rPr>
                <w:sz w:val="18"/>
                <w:szCs w:val="18"/>
              </w:rPr>
              <w:t xml:space="preserve">导得出机密信息，而按照安全策略，该用 </w:t>
            </w:r>
            <w:r>
              <w:rPr>
                <w:spacing w:val="1"/>
                <w:sz w:val="18"/>
                <w:szCs w:val="18"/>
              </w:rPr>
              <w:t>户是无权访问此机密信息的。在统计数据库中需要防止用户从统计聚合</w:t>
            </w:r>
            <w:r>
              <w:rPr>
                <w:sz w:val="18"/>
                <w:szCs w:val="18"/>
              </w:rPr>
              <w:t>信息中推导得到 原始个体信息，特别是统计数据库容易受到推导问题的影响</w:t>
            </w:r>
          </w:p>
        </w:tc>
      </w:tr>
      <w:tr w14:paraId="01A06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360" w:type="dxa"/>
            <w:tcBorders>
              <w:left w:val="nil"/>
            </w:tcBorders>
            <w:vAlign w:val="top"/>
          </w:tcPr>
          <w:p w14:paraId="223CFD95">
            <w:pPr>
              <w:pStyle w:val="6"/>
              <w:spacing w:before="61" w:line="250" w:lineRule="auto"/>
              <w:ind w:left="409" w:right="120" w:hanging="269"/>
              <w:rPr>
                <w:sz w:val="18"/>
                <w:szCs w:val="18"/>
              </w:rPr>
            </w:pPr>
            <w:r>
              <w:rPr>
                <w:spacing w:val="2"/>
                <w:sz w:val="18"/>
                <w:szCs w:val="18"/>
              </w:rPr>
              <w:t>保证数据库的</w:t>
            </w:r>
            <w:r>
              <w:rPr>
                <w:sz w:val="18"/>
                <w:szCs w:val="18"/>
              </w:rPr>
              <w:t xml:space="preserve"> </w:t>
            </w:r>
            <w:r>
              <w:rPr>
                <w:spacing w:val="-2"/>
                <w:sz w:val="18"/>
                <w:szCs w:val="18"/>
              </w:rPr>
              <w:t>完整性</w:t>
            </w:r>
          </w:p>
        </w:tc>
        <w:tc>
          <w:tcPr>
            <w:tcW w:w="6980" w:type="dxa"/>
            <w:tcBorders>
              <w:right w:val="nil"/>
            </w:tcBorders>
            <w:vAlign w:val="top"/>
          </w:tcPr>
          <w:p w14:paraId="06E28F3B">
            <w:pPr>
              <w:pStyle w:val="6"/>
              <w:spacing w:before="80"/>
              <w:ind w:left="45" w:right="79" w:firstLine="19"/>
              <w:rPr>
                <w:sz w:val="18"/>
                <w:szCs w:val="18"/>
              </w:rPr>
            </w:pPr>
            <w:r>
              <w:rPr>
                <w:sz w:val="18"/>
                <w:szCs w:val="18"/>
              </w:rPr>
              <w:t>该需求指的是保护数据库不受非授权的修改，以及不会因为病</w:t>
            </w:r>
            <w:r>
              <w:rPr>
                <w:spacing w:val="-1"/>
                <w:sz w:val="18"/>
                <w:szCs w:val="18"/>
              </w:rPr>
              <w:t>毒、系统中的错误等导致</w:t>
            </w:r>
            <w:r>
              <w:rPr>
                <w:sz w:val="18"/>
                <w:szCs w:val="18"/>
              </w:rPr>
              <w:t xml:space="preserve"> 存储数据破坏。这种保护通过访问控制、备份/恢复及一些专用的</w:t>
            </w:r>
            <w:r>
              <w:rPr>
                <w:spacing w:val="-1"/>
                <w:sz w:val="18"/>
                <w:szCs w:val="18"/>
              </w:rPr>
              <w:t>安全机制共同实现</w:t>
            </w:r>
          </w:p>
        </w:tc>
      </w:tr>
      <w:tr w14:paraId="294B4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360" w:type="dxa"/>
            <w:tcBorders>
              <w:left w:val="nil"/>
            </w:tcBorders>
            <w:vAlign w:val="top"/>
          </w:tcPr>
          <w:p w14:paraId="32BAF869">
            <w:pPr>
              <w:pStyle w:val="6"/>
              <w:spacing w:before="53" w:line="244" w:lineRule="auto"/>
              <w:ind w:left="229" w:right="210"/>
              <w:rPr>
                <w:sz w:val="18"/>
                <w:szCs w:val="18"/>
              </w:rPr>
            </w:pPr>
            <w:r>
              <w:rPr>
                <w:spacing w:val="2"/>
                <w:sz w:val="18"/>
                <w:szCs w:val="18"/>
              </w:rPr>
              <w:t>保证数据的</w:t>
            </w:r>
            <w:r>
              <w:rPr>
                <w:spacing w:val="3"/>
                <w:sz w:val="18"/>
                <w:szCs w:val="18"/>
              </w:rPr>
              <w:t xml:space="preserve"> </w:t>
            </w:r>
            <w:r>
              <w:rPr>
                <w:spacing w:val="-2"/>
                <w:sz w:val="18"/>
                <w:szCs w:val="18"/>
              </w:rPr>
              <w:t>操作完整性</w:t>
            </w:r>
          </w:p>
        </w:tc>
        <w:tc>
          <w:tcPr>
            <w:tcW w:w="6980" w:type="dxa"/>
            <w:tcBorders>
              <w:right w:val="nil"/>
            </w:tcBorders>
            <w:vAlign w:val="top"/>
          </w:tcPr>
          <w:p w14:paraId="6B959E31">
            <w:pPr>
              <w:pStyle w:val="6"/>
              <w:spacing w:before="62" w:line="239" w:lineRule="auto"/>
              <w:ind w:left="45" w:right="56" w:firstLine="19"/>
              <w:rPr>
                <w:sz w:val="18"/>
                <w:szCs w:val="18"/>
              </w:rPr>
            </w:pPr>
            <w:r>
              <w:rPr>
                <w:sz w:val="18"/>
                <w:szCs w:val="18"/>
              </w:rPr>
              <w:t>定位于在并发事务中保证数据库中数据的逻辑一致性。一般而言，数据库管理系统中的</w:t>
            </w:r>
            <w:r>
              <w:rPr>
                <w:spacing w:val="12"/>
                <w:sz w:val="18"/>
                <w:szCs w:val="18"/>
              </w:rPr>
              <w:t xml:space="preserve"> </w:t>
            </w:r>
            <w:r>
              <w:rPr>
                <w:spacing w:val="-1"/>
                <w:sz w:val="18"/>
                <w:szCs w:val="18"/>
              </w:rPr>
              <w:t>并发管理子系统负责实现这部分需求</w:t>
            </w:r>
          </w:p>
        </w:tc>
      </w:tr>
      <w:tr w14:paraId="4839D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1360" w:type="dxa"/>
            <w:tcBorders>
              <w:left w:val="nil"/>
            </w:tcBorders>
            <w:vAlign w:val="top"/>
          </w:tcPr>
          <w:p w14:paraId="7288F5F6">
            <w:pPr>
              <w:pStyle w:val="6"/>
              <w:spacing w:before="222" w:line="264" w:lineRule="auto"/>
              <w:ind w:left="229" w:right="210"/>
              <w:rPr>
                <w:sz w:val="18"/>
                <w:szCs w:val="18"/>
              </w:rPr>
            </w:pPr>
            <w:r>
              <w:rPr>
                <w:spacing w:val="2"/>
                <w:sz w:val="18"/>
                <w:szCs w:val="18"/>
              </w:rPr>
              <w:t>保证数据的</w:t>
            </w:r>
            <w:r>
              <w:rPr>
                <w:spacing w:val="3"/>
                <w:sz w:val="18"/>
                <w:szCs w:val="18"/>
              </w:rPr>
              <w:t xml:space="preserve"> </w:t>
            </w:r>
            <w:r>
              <w:rPr>
                <w:spacing w:val="-2"/>
                <w:sz w:val="18"/>
                <w:szCs w:val="18"/>
              </w:rPr>
              <w:t>语义完整性</w:t>
            </w:r>
          </w:p>
        </w:tc>
        <w:tc>
          <w:tcPr>
            <w:tcW w:w="6980" w:type="dxa"/>
            <w:tcBorders>
              <w:right w:val="nil"/>
            </w:tcBorders>
            <w:vAlign w:val="top"/>
          </w:tcPr>
          <w:p w14:paraId="7C60968D">
            <w:pPr>
              <w:pStyle w:val="6"/>
              <w:spacing w:before="103" w:line="219" w:lineRule="auto"/>
              <w:ind w:left="65"/>
              <w:rPr>
                <w:sz w:val="18"/>
                <w:szCs w:val="18"/>
              </w:rPr>
            </w:pPr>
            <w:r>
              <w:rPr>
                <w:sz w:val="18"/>
                <w:szCs w:val="18"/>
              </w:rPr>
              <w:t>在修改数据时，保证新值在一定范围内符合逻辑上的完整性。对数据</w:t>
            </w:r>
            <w:r>
              <w:rPr>
                <w:spacing w:val="-1"/>
                <w:sz w:val="18"/>
                <w:szCs w:val="18"/>
              </w:rPr>
              <w:t>值的约束通过完整</w:t>
            </w:r>
          </w:p>
          <w:p w14:paraId="0F011F35">
            <w:pPr>
              <w:pStyle w:val="6"/>
              <w:spacing w:before="63" w:line="246" w:lineRule="auto"/>
              <w:ind w:left="65" w:right="154" w:firstLine="129"/>
              <w:rPr>
                <w:sz w:val="18"/>
                <w:szCs w:val="18"/>
              </w:rPr>
            </w:pPr>
            <w:r>
              <w:rPr>
                <w:spacing w:val="1"/>
                <w:sz w:val="18"/>
                <w:szCs w:val="18"/>
              </w:rPr>
              <w:t>性约束来描述。可以针对数据库定义完整性约束(定义数据库处于正确状态的条件),</w:t>
            </w:r>
            <w:r>
              <w:rPr>
                <w:spacing w:val="16"/>
                <w:sz w:val="18"/>
                <w:szCs w:val="18"/>
              </w:rPr>
              <w:t xml:space="preserve"> </w:t>
            </w:r>
            <w:r>
              <w:rPr>
                <w:spacing w:val="1"/>
                <w:sz w:val="18"/>
                <w:szCs w:val="18"/>
              </w:rPr>
              <w:t>也可以针对变换定义完整性约束(修改数据库时需要验证的条件)</w:t>
            </w:r>
          </w:p>
        </w:tc>
      </w:tr>
      <w:tr w14:paraId="40C75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3" w:hRule="atLeast"/>
        </w:trPr>
        <w:tc>
          <w:tcPr>
            <w:tcW w:w="1360" w:type="dxa"/>
            <w:tcBorders>
              <w:left w:val="nil"/>
            </w:tcBorders>
            <w:vAlign w:val="top"/>
          </w:tcPr>
          <w:p w14:paraId="4E502C02">
            <w:pPr>
              <w:spacing w:line="424" w:lineRule="auto"/>
              <w:rPr>
                <w:rFonts w:ascii="Arial"/>
                <w:sz w:val="21"/>
              </w:rPr>
            </w:pPr>
          </w:p>
          <w:p w14:paraId="19CD9A00">
            <w:pPr>
              <w:pStyle w:val="6"/>
              <w:spacing w:before="59" w:line="220" w:lineRule="auto"/>
              <w:ind w:left="229"/>
              <w:rPr>
                <w:sz w:val="18"/>
                <w:szCs w:val="18"/>
              </w:rPr>
            </w:pPr>
            <w:r>
              <w:rPr>
                <w:spacing w:val="2"/>
                <w:sz w:val="18"/>
                <w:szCs w:val="18"/>
              </w:rPr>
              <w:t>审计和日志</w:t>
            </w:r>
          </w:p>
        </w:tc>
        <w:tc>
          <w:tcPr>
            <w:tcW w:w="6980" w:type="dxa"/>
            <w:tcBorders>
              <w:right w:val="nil"/>
            </w:tcBorders>
            <w:vAlign w:val="top"/>
          </w:tcPr>
          <w:p w14:paraId="6AD350B7">
            <w:pPr>
              <w:pStyle w:val="6"/>
              <w:spacing w:before="95" w:line="266" w:lineRule="auto"/>
              <w:ind w:left="45" w:right="58" w:firstLine="19"/>
              <w:jc w:val="both"/>
              <w:rPr>
                <w:sz w:val="18"/>
                <w:szCs w:val="18"/>
              </w:rPr>
            </w:pPr>
            <w:r>
              <w:rPr>
                <w:sz w:val="18"/>
                <w:szCs w:val="18"/>
              </w:rPr>
              <w:t>为了保证数据库中数据的安全，一般要求数据库管理系统能够将所有的数据操作记录下</w:t>
            </w:r>
            <w:r>
              <w:rPr>
                <w:spacing w:val="10"/>
                <w:sz w:val="18"/>
                <w:szCs w:val="18"/>
              </w:rPr>
              <w:t xml:space="preserve"> </w:t>
            </w:r>
            <w:r>
              <w:rPr>
                <w:sz w:val="18"/>
                <w:szCs w:val="18"/>
              </w:rPr>
              <w:t>来。这一功能要求系统保留日志文件，安全相关事件可以根据系统设置记录在日志文件</w:t>
            </w:r>
            <w:r>
              <w:rPr>
                <w:spacing w:val="11"/>
                <w:sz w:val="18"/>
                <w:szCs w:val="18"/>
              </w:rPr>
              <w:t xml:space="preserve"> </w:t>
            </w:r>
            <w:r>
              <w:rPr>
                <w:spacing w:val="1"/>
                <w:sz w:val="18"/>
                <w:szCs w:val="18"/>
              </w:rPr>
              <w:t>中，以便事后调查和分析，追查入侵者或发现系统的安全弱点。</w:t>
            </w:r>
            <w:r>
              <w:rPr>
                <w:sz w:val="18"/>
                <w:szCs w:val="18"/>
              </w:rPr>
              <w:t xml:space="preserve">审计和日志是有效的威 </w:t>
            </w:r>
            <w:r>
              <w:rPr>
                <w:spacing w:val="-1"/>
                <w:sz w:val="18"/>
                <w:szCs w:val="18"/>
              </w:rPr>
              <w:t>慑和事后追查、分析工具</w:t>
            </w:r>
          </w:p>
        </w:tc>
      </w:tr>
    </w:tbl>
    <w:p w14:paraId="40D4A6DF">
      <w:pPr>
        <w:rPr>
          <w:rFonts w:ascii="Arial"/>
          <w:sz w:val="21"/>
        </w:rPr>
      </w:pPr>
    </w:p>
    <w:p w14:paraId="069A84DA">
      <w:pPr>
        <w:rPr>
          <w:rFonts w:ascii="Arial" w:hAnsi="Arial" w:eastAsia="Arial" w:cs="Arial"/>
          <w:sz w:val="21"/>
          <w:szCs w:val="21"/>
        </w:rPr>
        <w:sectPr>
          <w:pgSz w:w="10300" w:h="13320"/>
          <w:pgMar w:top="400" w:right="517" w:bottom="400" w:left="1189" w:header="0" w:footer="0" w:gutter="0"/>
          <w:cols w:space="720" w:num="1"/>
        </w:sectPr>
      </w:pPr>
    </w:p>
    <w:p w14:paraId="47AAA13B">
      <w:pPr>
        <w:pStyle w:val="2"/>
        <w:spacing w:before="108" w:line="219" w:lineRule="auto"/>
        <w:rPr>
          <w:sz w:val="19"/>
          <w:szCs w:val="19"/>
        </w:rPr>
      </w:pPr>
      <w:r>
        <w:rPr>
          <w:rFonts w:ascii="Times New Roman" w:hAnsi="Times New Roman" w:eastAsia="Times New Roman" w:cs="Times New Roman"/>
          <w:spacing w:val="4"/>
          <w:position w:val="1"/>
          <w:sz w:val="16"/>
          <w:szCs w:val="16"/>
        </w:rPr>
        <w:t>76</w:t>
      </w:r>
      <w:r>
        <w:rPr>
          <w:rFonts w:ascii="Times New Roman" w:hAnsi="Times New Roman" w:eastAsia="Times New Roman" w:cs="Times New Roman"/>
          <w:spacing w:val="1"/>
          <w:position w:val="1"/>
          <w:sz w:val="16"/>
          <w:szCs w:val="16"/>
        </w:rPr>
        <w:t xml:space="preserve">                   </w:t>
      </w:r>
      <w:r>
        <w:rPr>
          <w:spacing w:val="4"/>
          <w:sz w:val="19"/>
          <w:szCs w:val="19"/>
        </w:rPr>
        <w:t>信息系统监理师教程(第2版)</w:t>
      </w:r>
    </w:p>
    <w:p w14:paraId="1E05ADA7">
      <w:pPr>
        <w:spacing w:line="301" w:lineRule="auto"/>
        <w:rPr>
          <w:rFonts w:ascii="Arial"/>
          <w:sz w:val="21"/>
        </w:rPr>
      </w:pPr>
    </w:p>
    <w:p w14:paraId="0AAC3516">
      <w:pPr>
        <w:pStyle w:val="2"/>
        <w:spacing w:before="62" w:line="220" w:lineRule="auto"/>
        <w:jc w:val="right"/>
        <w:rPr>
          <w:sz w:val="19"/>
          <w:szCs w:val="19"/>
        </w:rPr>
      </w:pPr>
      <w:r>
        <w:rPr>
          <w:spacing w:val="5"/>
          <w:sz w:val="19"/>
          <w:szCs w:val="19"/>
        </w:rPr>
        <w:t>(续表)</w:t>
      </w:r>
    </w:p>
    <w:p w14:paraId="7EA69550">
      <w:pPr>
        <w:spacing w:line="60" w:lineRule="exact"/>
      </w:pPr>
    </w:p>
    <w:tbl>
      <w:tblPr>
        <w:tblStyle w:val="5"/>
        <w:tblW w:w="8340" w:type="dxa"/>
        <w:tblInd w:w="3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0"/>
        <w:gridCol w:w="6980"/>
      </w:tblGrid>
      <w:tr w14:paraId="609A9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360" w:type="dxa"/>
            <w:tcBorders>
              <w:left w:val="nil"/>
            </w:tcBorders>
            <w:vAlign w:val="top"/>
          </w:tcPr>
          <w:p w14:paraId="04AA1F8D">
            <w:pPr>
              <w:pStyle w:val="6"/>
              <w:spacing w:before="90" w:line="220" w:lineRule="auto"/>
              <w:ind w:left="322"/>
              <w:rPr>
                <w:sz w:val="18"/>
                <w:szCs w:val="18"/>
              </w:rPr>
            </w:pPr>
            <w:r>
              <w:rPr>
                <w:b/>
                <w:bCs/>
                <w:spacing w:val="-4"/>
                <w:sz w:val="18"/>
                <w:szCs w:val="18"/>
              </w:rPr>
              <w:t>安全对策</w:t>
            </w:r>
          </w:p>
        </w:tc>
        <w:tc>
          <w:tcPr>
            <w:tcW w:w="6980" w:type="dxa"/>
            <w:tcBorders>
              <w:right w:val="nil"/>
            </w:tcBorders>
            <w:vAlign w:val="top"/>
          </w:tcPr>
          <w:p w14:paraId="295F7D11">
            <w:pPr>
              <w:pStyle w:val="6"/>
              <w:spacing w:before="89" w:line="219" w:lineRule="auto"/>
              <w:ind w:left="3307"/>
              <w:rPr>
                <w:sz w:val="18"/>
                <w:szCs w:val="18"/>
              </w:rPr>
            </w:pPr>
            <w:r>
              <w:rPr>
                <w:b/>
                <w:bCs/>
                <w:spacing w:val="5"/>
                <w:sz w:val="18"/>
                <w:szCs w:val="18"/>
              </w:rPr>
              <w:t>说明</w:t>
            </w:r>
          </w:p>
        </w:tc>
      </w:tr>
      <w:tr w14:paraId="34496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360" w:type="dxa"/>
            <w:tcBorders>
              <w:left w:val="nil"/>
            </w:tcBorders>
            <w:vAlign w:val="top"/>
          </w:tcPr>
          <w:p w14:paraId="1D1231E4">
            <w:pPr>
              <w:pStyle w:val="6"/>
              <w:spacing w:before="198" w:line="220" w:lineRule="auto"/>
              <w:ind w:left="230"/>
              <w:rPr>
                <w:sz w:val="18"/>
                <w:szCs w:val="18"/>
              </w:rPr>
            </w:pPr>
            <w:r>
              <w:rPr>
                <w:spacing w:val="-2"/>
                <w:sz w:val="18"/>
                <w:szCs w:val="18"/>
              </w:rPr>
              <w:t>标识和认证</w:t>
            </w:r>
          </w:p>
        </w:tc>
        <w:tc>
          <w:tcPr>
            <w:tcW w:w="6980" w:type="dxa"/>
            <w:tcBorders>
              <w:right w:val="nil"/>
            </w:tcBorders>
            <w:vAlign w:val="top"/>
          </w:tcPr>
          <w:p w14:paraId="425D3641">
            <w:pPr>
              <w:pStyle w:val="6"/>
              <w:spacing w:before="67" w:line="257" w:lineRule="auto"/>
              <w:ind w:left="54" w:right="62" w:firstLine="10"/>
              <w:rPr>
                <w:sz w:val="18"/>
                <w:szCs w:val="18"/>
              </w:rPr>
            </w:pPr>
            <w:r>
              <w:rPr>
                <w:sz w:val="18"/>
                <w:szCs w:val="18"/>
              </w:rPr>
              <w:t>同计算机系统的用户管理类似，使用的方法也非常类似。与其他系统一样，标识和认证</w:t>
            </w:r>
            <w:r>
              <w:rPr>
                <w:spacing w:val="6"/>
                <w:sz w:val="18"/>
                <w:szCs w:val="18"/>
              </w:rPr>
              <w:t xml:space="preserve"> </w:t>
            </w:r>
            <w:r>
              <w:rPr>
                <w:sz w:val="18"/>
                <w:szCs w:val="18"/>
              </w:rPr>
              <w:t>也是数据库的第一道安全防线。标识和认证</w:t>
            </w:r>
            <w:r>
              <w:rPr>
                <w:spacing w:val="-1"/>
                <w:sz w:val="18"/>
                <w:szCs w:val="18"/>
              </w:rPr>
              <w:t>是授权、审计等的前提条件</w:t>
            </w:r>
          </w:p>
        </w:tc>
      </w:tr>
      <w:tr w14:paraId="4C6A4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6" w:hRule="atLeast"/>
        </w:trPr>
        <w:tc>
          <w:tcPr>
            <w:tcW w:w="1360" w:type="dxa"/>
            <w:tcBorders>
              <w:left w:val="nil"/>
            </w:tcBorders>
            <w:vAlign w:val="top"/>
          </w:tcPr>
          <w:p w14:paraId="566186DA">
            <w:pPr>
              <w:rPr>
                <w:rFonts w:ascii="Arial"/>
                <w:sz w:val="21"/>
              </w:rPr>
            </w:pPr>
          </w:p>
          <w:p w14:paraId="197A239F">
            <w:pPr>
              <w:spacing w:line="241" w:lineRule="auto"/>
              <w:rPr>
                <w:rFonts w:ascii="Arial"/>
                <w:sz w:val="21"/>
              </w:rPr>
            </w:pPr>
          </w:p>
          <w:p w14:paraId="15770744">
            <w:pPr>
              <w:spacing w:line="241" w:lineRule="auto"/>
              <w:rPr>
                <w:rFonts w:ascii="Arial"/>
                <w:sz w:val="21"/>
              </w:rPr>
            </w:pPr>
          </w:p>
          <w:p w14:paraId="0987D2D7">
            <w:pPr>
              <w:spacing w:line="241" w:lineRule="auto"/>
              <w:rPr>
                <w:rFonts w:ascii="Arial"/>
                <w:sz w:val="21"/>
              </w:rPr>
            </w:pPr>
          </w:p>
          <w:p w14:paraId="2413EEBB">
            <w:pPr>
              <w:pStyle w:val="6"/>
              <w:spacing w:before="59" w:line="219" w:lineRule="auto"/>
              <w:ind w:left="140"/>
              <w:rPr>
                <w:sz w:val="18"/>
                <w:szCs w:val="18"/>
              </w:rPr>
            </w:pPr>
            <w:r>
              <w:rPr>
                <w:spacing w:val="-1"/>
                <w:sz w:val="18"/>
                <w:szCs w:val="18"/>
              </w:rPr>
              <w:t>机密数据管理</w:t>
            </w:r>
          </w:p>
        </w:tc>
        <w:tc>
          <w:tcPr>
            <w:tcW w:w="6980" w:type="dxa"/>
            <w:tcBorders>
              <w:right w:val="nil"/>
            </w:tcBorders>
            <w:vAlign w:val="top"/>
          </w:tcPr>
          <w:p w14:paraId="3A6994D2">
            <w:pPr>
              <w:pStyle w:val="6"/>
              <w:spacing w:before="68" w:line="219" w:lineRule="auto"/>
              <w:ind w:left="54"/>
              <w:rPr>
                <w:sz w:val="18"/>
                <w:szCs w:val="18"/>
              </w:rPr>
            </w:pPr>
            <w:r>
              <w:rPr>
                <w:sz w:val="18"/>
                <w:szCs w:val="18"/>
              </w:rPr>
              <w:t>数据库中的数据可能有部分是机密数据，也有可能全部是机</w:t>
            </w:r>
            <w:r>
              <w:rPr>
                <w:spacing w:val="-1"/>
                <w:sz w:val="18"/>
                <w:szCs w:val="18"/>
              </w:rPr>
              <w:t>密数据(如军队的数据</w:t>
            </w:r>
          </w:p>
          <w:p w14:paraId="43F4F133">
            <w:pPr>
              <w:pStyle w:val="6"/>
              <w:spacing w:before="65" w:line="216" w:lineRule="auto"/>
              <w:ind w:left="15"/>
              <w:rPr>
                <w:sz w:val="18"/>
                <w:szCs w:val="18"/>
              </w:rPr>
            </w:pPr>
            <w:r>
              <w:rPr>
                <w:sz w:val="18"/>
                <w:szCs w:val="18"/>
              </w:rPr>
              <w:t>库),而有些数据库中的数据则全部是公开的。同时保存机密数据</w:t>
            </w:r>
            <w:r>
              <w:rPr>
                <w:spacing w:val="-1"/>
                <w:sz w:val="18"/>
                <w:szCs w:val="18"/>
              </w:rPr>
              <w:t>和公开数据的情况比</w:t>
            </w:r>
          </w:p>
          <w:p w14:paraId="4ADDD38F">
            <w:pPr>
              <w:pStyle w:val="6"/>
              <w:spacing w:before="71" w:line="282" w:lineRule="auto"/>
              <w:ind w:left="54" w:right="77" w:firstLine="10"/>
              <w:rPr>
                <w:sz w:val="18"/>
                <w:szCs w:val="18"/>
              </w:rPr>
            </w:pPr>
            <w:r>
              <w:rPr>
                <w:sz w:val="18"/>
                <w:szCs w:val="18"/>
              </w:rPr>
              <w:t>较复杂。对于同时保存机密数据和公开数据的数据库而言，访问控</w:t>
            </w:r>
            <w:r>
              <w:rPr>
                <w:spacing w:val="-1"/>
                <w:sz w:val="18"/>
                <w:szCs w:val="18"/>
              </w:rPr>
              <w:t>制主要保证机密数据</w:t>
            </w:r>
            <w:r>
              <w:rPr>
                <w:sz w:val="18"/>
                <w:szCs w:val="18"/>
              </w:rPr>
              <w:t xml:space="preserve"> 的保密性，仅允许授权用户的访问。这些用户被赋予对机密数据进行一系列操作的权</w:t>
            </w:r>
          </w:p>
          <w:p w14:paraId="334663ED">
            <w:pPr>
              <w:pStyle w:val="6"/>
              <w:spacing w:before="3" w:line="265" w:lineRule="auto"/>
              <w:ind w:left="54" w:right="60" w:firstLine="10"/>
              <w:rPr>
                <w:sz w:val="18"/>
                <w:szCs w:val="18"/>
              </w:rPr>
            </w:pPr>
            <w:r>
              <w:rPr>
                <w:sz w:val="18"/>
                <w:szCs w:val="18"/>
              </w:rPr>
              <w:t>限，并且禁止传播这些权限。此外，这些被授权访问机密数据的用户应该与普通用户一</w:t>
            </w:r>
            <w:r>
              <w:rPr>
                <w:spacing w:val="8"/>
                <w:sz w:val="18"/>
                <w:szCs w:val="18"/>
              </w:rPr>
              <w:t xml:space="preserve"> </w:t>
            </w:r>
            <w:r>
              <w:rPr>
                <w:sz w:val="18"/>
                <w:szCs w:val="18"/>
              </w:rPr>
              <w:t>样可以访问公开数据，但是不能相互干扰。另一种情况是用户可以访问一组特定的机密</w:t>
            </w:r>
            <w:r>
              <w:rPr>
                <w:spacing w:val="2"/>
                <w:sz w:val="18"/>
                <w:szCs w:val="18"/>
              </w:rPr>
              <w:t xml:space="preserve"> </w:t>
            </w:r>
            <w:r>
              <w:rPr>
                <w:sz w:val="18"/>
                <w:szCs w:val="18"/>
              </w:rPr>
              <w:t xml:space="preserve">数据，但是不能交叉访问。此外，还有一种情况是用户可以单独访问特定的机密数据集 </w:t>
            </w:r>
            <w:r>
              <w:rPr>
                <w:spacing w:val="-1"/>
                <w:sz w:val="18"/>
                <w:szCs w:val="18"/>
              </w:rPr>
              <w:t>合，但是不能同时访问全部机密数据</w:t>
            </w:r>
          </w:p>
        </w:tc>
      </w:tr>
      <w:tr w14:paraId="2059B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8" w:hRule="atLeast"/>
        </w:trPr>
        <w:tc>
          <w:tcPr>
            <w:tcW w:w="1360" w:type="dxa"/>
            <w:tcBorders>
              <w:left w:val="nil"/>
            </w:tcBorders>
            <w:vAlign w:val="top"/>
          </w:tcPr>
          <w:p w14:paraId="6BCCC84A">
            <w:pPr>
              <w:spacing w:line="412" w:lineRule="auto"/>
              <w:rPr>
                <w:rFonts w:ascii="Arial"/>
                <w:sz w:val="21"/>
              </w:rPr>
            </w:pPr>
          </w:p>
          <w:p w14:paraId="1945B883">
            <w:pPr>
              <w:pStyle w:val="6"/>
              <w:spacing w:before="59" w:line="220" w:lineRule="auto"/>
              <w:ind w:left="320"/>
              <w:rPr>
                <w:sz w:val="18"/>
                <w:szCs w:val="18"/>
              </w:rPr>
            </w:pPr>
            <w:r>
              <w:rPr>
                <w:spacing w:val="3"/>
                <w:sz w:val="18"/>
                <w:szCs w:val="18"/>
              </w:rPr>
              <w:t>多级保护</w:t>
            </w:r>
          </w:p>
        </w:tc>
        <w:tc>
          <w:tcPr>
            <w:tcW w:w="6980" w:type="dxa"/>
            <w:tcBorders>
              <w:right w:val="nil"/>
            </w:tcBorders>
            <w:vAlign w:val="top"/>
          </w:tcPr>
          <w:p w14:paraId="1808D0B0">
            <w:pPr>
              <w:pStyle w:val="6"/>
              <w:spacing w:before="93" w:line="260" w:lineRule="auto"/>
              <w:ind w:left="54" w:right="56" w:firstLine="10"/>
              <w:jc w:val="both"/>
              <w:rPr>
                <w:sz w:val="18"/>
                <w:szCs w:val="18"/>
              </w:rPr>
            </w:pPr>
            <w:r>
              <w:rPr>
                <w:sz w:val="18"/>
                <w:szCs w:val="18"/>
              </w:rPr>
              <w:t>多级保护表示一个安全需求的集合。现实世界中很多应用要求将数据划分不同的保密级</w:t>
            </w:r>
            <w:r>
              <w:rPr>
                <w:spacing w:val="10"/>
                <w:sz w:val="18"/>
                <w:szCs w:val="18"/>
              </w:rPr>
              <w:t xml:space="preserve"> </w:t>
            </w:r>
            <w:r>
              <w:rPr>
                <w:spacing w:val="1"/>
                <w:sz w:val="18"/>
                <w:szCs w:val="18"/>
              </w:rPr>
              <w:t>别。在多级保护体系中，进一步的要求是研究如何</w:t>
            </w:r>
            <w:r>
              <w:rPr>
                <w:sz w:val="18"/>
                <w:szCs w:val="18"/>
              </w:rPr>
              <w:t>赋予多数据项组成的集合一个恰当的 密级。数据的完整性和保密性是通过给予用户权限来实现的，用户只能访问拥有的权限</w:t>
            </w:r>
            <w:r>
              <w:rPr>
                <w:spacing w:val="1"/>
                <w:sz w:val="18"/>
                <w:szCs w:val="18"/>
              </w:rPr>
              <w:t xml:space="preserve"> </w:t>
            </w:r>
            <w:r>
              <w:rPr>
                <w:spacing w:val="-1"/>
                <w:sz w:val="18"/>
                <w:szCs w:val="18"/>
              </w:rPr>
              <w:t>所对应级别的数据</w:t>
            </w:r>
          </w:p>
        </w:tc>
      </w:tr>
      <w:tr w14:paraId="01097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1360" w:type="dxa"/>
            <w:tcBorders>
              <w:left w:val="nil"/>
            </w:tcBorders>
            <w:vAlign w:val="top"/>
          </w:tcPr>
          <w:p w14:paraId="70BC40C3">
            <w:pPr>
              <w:spacing w:line="404" w:lineRule="auto"/>
              <w:rPr>
                <w:rFonts w:ascii="Arial"/>
                <w:sz w:val="21"/>
              </w:rPr>
            </w:pPr>
          </w:p>
          <w:p w14:paraId="2306B419">
            <w:pPr>
              <w:pStyle w:val="6"/>
              <w:spacing w:before="59" w:line="220" w:lineRule="auto"/>
              <w:ind w:left="500"/>
              <w:rPr>
                <w:sz w:val="18"/>
                <w:szCs w:val="18"/>
              </w:rPr>
            </w:pPr>
            <w:r>
              <w:rPr>
                <w:spacing w:val="3"/>
                <w:sz w:val="18"/>
                <w:szCs w:val="18"/>
              </w:rPr>
              <w:t>限界</w:t>
            </w:r>
          </w:p>
        </w:tc>
        <w:tc>
          <w:tcPr>
            <w:tcW w:w="6980" w:type="dxa"/>
            <w:tcBorders>
              <w:right w:val="nil"/>
            </w:tcBorders>
            <w:vAlign w:val="top"/>
          </w:tcPr>
          <w:p w14:paraId="50FD9B9F">
            <w:pPr>
              <w:pStyle w:val="6"/>
              <w:spacing w:before="82" w:line="259" w:lineRule="auto"/>
              <w:ind w:firstLine="226"/>
              <w:jc w:val="both"/>
              <w:rPr>
                <w:sz w:val="18"/>
                <w:szCs w:val="18"/>
              </w:rPr>
            </w:pPr>
            <w:r>
              <w:rPr>
                <w:spacing w:val="2"/>
                <w:sz w:val="18"/>
                <w:szCs w:val="18"/>
              </w:rPr>
              <w:t>限界的意义在于防止程序之间出现非授权的信息传递。信息传递出现在“授权通道”</w:t>
            </w:r>
            <w:r>
              <w:rPr>
                <w:spacing w:val="13"/>
                <w:sz w:val="18"/>
                <w:szCs w:val="18"/>
              </w:rPr>
              <w:t xml:space="preserve"> </w:t>
            </w:r>
            <w:r>
              <w:rPr>
                <w:spacing w:val="-2"/>
                <w:sz w:val="18"/>
                <w:szCs w:val="18"/>
              </w:rPr>
              <w:t>“存储通道”“隐通道”中。授权通道通过授权的操作提供输出信息，例如编辑或编译一</w:t>
            </w:r>
            <w:r>
              <w:rPr>
                <w:spacing w:val="15"/>
                <w:sz w:val="18"/>
                <w:szCs w:val="18"/>
              </w:rPr>
              <w:t xml:space="preserve"> </w:t>
            </w:r>
            <w:r>
              <w:rPr>
                <w:spacing w:val="-1"/>
                <w:sz w:val="18"/>
                <w:szCs w:val="18"/>
              </w:rPr>
              <w:t>个文件。存储通道是存储区， 一个程序向其中存储数据，而其他</w:t>
            </w:r>
            <w:r>
              <w:rPr>
                <w:spacing w:val="-2"/>
                <w:sz w:val="18"/>
                <w:szCs w:val="18"/>
              </w:rPr>
              <w:t>程序可以读取。隐通道</w:t>
            </w:r>
            <w:r>
              <w:rPr>
                <w:sz w:val="18"/>
                <w:szCs w:val="18"/>
              </w:rPr>
              <w:t xml:space="preserve">  </w:t>
            </w:r>
            <w:r>
              <w:rPr>
                <w:spacing w:val="1"/>
                <w:sz w:val="18"/>
                <w:szCs w:val="18"/>
              </w:rPr>
              <w:t>指的是使用系统中并非设计用来进行通信的资源在主体间通信的信道</w:t>
            </w:r>
          </w:p>
        </w:tc>
      </w:tr>
    </w:tbl>
    <w:p w14:paraId="60D44C03">
      <w:pPr>
        <w:pStyle w:val="2"/>
        <w:spacing w:before="72" w:line="222" w:lineRule="auto"/>
        <w:ind w:left="693"/>
        <w:rPr>
          <w:rFonts w:ascii="黑体" w:hAnsi="黑体" w:eastAsia="黑体" w:cs="黑体"/>
          <w:sz w:val="28"/>
          <w:szCs w:val="28"/>
        </w:rPr>
      </w:pPr>
      <w:r>
        <w:rPr>
          <w:b/>
          <w:bCs/>
          <w:color w:val="0074C2"/>
          <w:spacing w:val="-21"/>
          <w:w w:val="83"/>
          <w:sz w:val="28"/>
          <w:szCs w:val="28"/>
        </w:rPr>
        <w:t>3.</w:t>
      </w:r>
      <w:r>
        <w:rPr>
          <w:rFonts w:ascii="黑体" w:hAnsi="黑体" w:eastAsia="黑体" w:cs="黑体"/>
          <w:b/>
          <w:bCs/>
          <w:color w:val="0074C2"/>
          <w:spacing w:val="-21"/>
          <w:w w:val="83"/>
          <w:sz w:val="28"/>
          <w:szCs w:val="28"/>
        </w:rPr>
        <w:t>数据库安全机制</w:t>
      </w:r>
    </w:p>
    <w:p w14:paraId="2F21831F">
      <w:pPr>
        <w:pStyle w:val="2"/>
        <w:spacing w:before="141" w:line="293" w:lineRule="auto"/>
        <w:ind w:left="269" w:right="71" w:firstLine="420"/>
        <w:jc w:val="both"/>
        <w:rPr>
          <w:sz w:val="19"/>
          <w:szCs w:val="19"/>
        </w:rPr>
      </w:pPr>
      <w:r>
        <w:rPr>
          <w:spacing w:val="14"/>
          <w:sz w:val="19"/>
          <w:szCs w:val="19"/>
        </w:rPr>
        <w:t>数据库安全机制是用于实现数据库的各种安全策</w:t>
      </w:r>
      <w:r>
        <w:rPr>
          <w:spacing w:val="13"/>
          <w:sz w:val="19"/>
          <w:szCs w:val="19"/>
        </w:rPr>
        <w:t>略的功能集合，正是由这些安全机制来实</w:t>
      </w:r>
      <w:r>
        <w:rPr>
          <w:sz w:val="19"/>
          <w:szCs w:val="19"/>
        </w:rPr>
        <w:t xml:space="preserve"> </w:t>
      </w:r>
      <w:r>
        <w:rPr>
          <w:spacing w:val="13"/>
          <w:sz w:val="19"/>
          <w:szCs w:val="19"/>
        </w:rPr>
        <w:t>现安全模型，进而实现保护数据库系统安全的目标。数据</w:t>
      </w:r>
      <w:r>
        <w:rPr>
          <w:spacing w:val="12"/>
          <w:sz w:val="19"/>
          <w:szCs w:val="19"/>
        </w:rPr>
        <w:t>库安全机制包括用户的身份认证、存</w:t>
      </w:r>
      <w:r>
        <w:rPr>
          <w:sz w:val="19"/>
          <w:szCs w:val="19"/>
        </w:rPr>
        <w:t xml:space="preserve"> </w:t>
      </w:r>
      <w:r>
        <w:rPr>
          <w:spacing w:val="8"/>
          <w:sz w:val="19"/>
          <w:szCs w:val="19"/>
        </w:rPr>
        <w:t>取控制、数据库加密、数据审计、推理控制等内容。</w:t>
      </w:r>
    </w:p>
    <w:p w14:paraId="12A2C3AC">
      <w:pPr>
        <w:spacing w:line="301" w:lineRule="auto"/>
        <w:rPr>
          <w:rFonts w:ascii="Arial"/>
          <w:sz w:val="21"/>
        </w:rPr>
      </w:pPr>
    </w:p>
    <w:p w14:paraId="641646AD">
      <w:pPr>
        <w:pStyle w:val="2"/>
        <w:spacing w:before="91" w:line="221" w:lineRule="auto"/>
        <w:ind w:left="273"/>
        <w:rPr>
          <w:rFonts w:ascii="黑体" w:hAnsi="黑体" w:eastAsia="黑体" w:cs="黑体"/>
          <w:sz w:val="28"/>
          <w:szCs w:val="28"/>
        </w:rPr>
      </w:pPr>
      <w:r>
        <w:rPr>
          <w:b/>
          <w:bCs/>
          <w:color w:val="0072D7"/>
          <w:spacing w:val="-7"/>
          <w:sz w:val="28"/>
          <w:szCs w:val="28"/>
        </w:rPr>
        <w:t>2.5</w:t>
      </w:r>
      <w:r>
        <w:rPr>
          <w:color w:val="0072D7"/>
          <w:spacing w:val="131"/>
          <w:sz w:val="28"/>
          <w:szCs w:val="28"/>
        </w:rPr>
        <w:t xml:space="preserve"> </w:t>
      </w:r>
      <w:r>
        <w:rPr>
          <w:rFonts w:ascii="黑体" w:hAnsi="黑体" w:eastAsia="黑体" w:cs="黑体"/>
          <w:b/>
          <w:bCs/>
          <w:color w:val="0072D7"/>
          <w:spacing w:val="-7"/>
          <w:sz w:val="28"/>
          <w:szCs w:val="28"/>
        </w:rPr>
        <w:t>系统集成工程</w:t>
      </w:r>
    </w:p>
    <w:p w14:paraId="4C3965E0">
      <w:pPr>
        <w:pStyle w:val="2"/>
        <w:spacing w:before="264" w:line="295" w:lineRule="auto"/>
        <w:ind w:left="269" w:right="16" w:firstLine="420"/>
        <w:jc w:val="both"/>
        <w:rPr>
          <w:sz w:val="16"/>
          <w:szCs w:val="16"/>
        </w:rPr>
      </w:pPr>
      <w:r>
        <w:rPr>
          <w:spacing w:val="14"/>
          <w:sz w:val="19"/>
          <w:szCs w:val="19"/>
        </w:rPr>
        <w:t>随着信息技术的发展，系统集成逐步成为信</w:t>
      </w:r>
      <w:r>
        <w:rPr>
          <w:spacing w:val="13"/>
          <w:sz w:val="19"/>
          <w:szCs w:val="19"/>
        </w:rPr>
        <w:t>息系统实施中一项重要的工作。本书的系统集</w:t>
      </w:r>
      <w:r>
        <w:rPr>
          <w:sz w:val="19"/>
          <w:szCs w:val="19"/>
        </w:rPr>
        <w:t xml:space="preserve"> </w:t>
      </w:r>
      <w:r>
        <w:rPr>
          <w:spacing w:val="15"/>
          <w:sz w:val="19"/>
          <w:szCs w:val="19"/>
        </w:rPr>
        <w:t>成概念专指计算机信息系统的集成，包括计算机硬件平台、网络系统、系统软件、工具软件、</w:t>
      </w:r>
      <w:r>
        <w:rPr>
          <w:spacing w:val="9"/>
          <w:sz w:val="19"/>
          <w:szCs w:val="19"/>
        </w:rPr>
        <w:t xml:space="preserve"> </w:t>
      </w:r>
      <w:r>
        <w:rPr>
          <w:spacing w:val="13"/>
          <w:sz w:val="19"/>
          <w:szCs w:val="19"/>
        </w:rPr>
        <w:t>应用软件的集成，以及围绕这些系统的相应咨询、服务和技术支持。信息系统集成是以计算机</w:t>
      </w:r>
      <w:r>
        <w:rPr>
          <w:spacing w:val="1"/>
          <w:sz w:val="19"/>
          <w:szCs w:val="19"/>
        </w:rPr>
        <w:t xml:space="preserve">  </w:t>
      </w:r>
      <w:r>
        <w:rPr>
          <w:spacing w:val="13"/>
          <w:sz w:val="19"/>
          <w:szCs w:val="19"/>
        </w:rPr>
        <w:t>有关技术储备为基础，以可靠的产品为工具，用以实现某一特定的计算机系统功能组合的工程</w:t>
      </w:r>
      <w:r>
        <w:rPr>
          <w:spacing w:val="1"/>
          <w:sz w:val="19"/>
          <w:szCs w:val="19"/>
        </w:rPr>
        <w:t xml:space="preserve">  </w:t>
      </w:r>
      <w:r>
        <w:rPr>
          <w:spacing w:val="-6"/>
          <w:sz w:val="16"/>
          <w:szCs w:val="16"/>
        </w:rPr>
        <w:t>行</w:t>
      </w:r>
      <w:r>
        <w:rPr>
          <w:spacing w:val="-11"/>
          <w:sz w:val="16"/>
          <w:szCs w:val="16"/>
        </w:rPr>
        <w:t xml:space="preserve"> </w:t>
      </w:r>
      <w:r>
        <w:rPr>
          <w:spacing w:val="-6"/>
          <w:sz w:val="16"/>
          <w:szCs w:val="16"/>
        </w:rPr>
        <w:t>为</w:t>
      </w:r>
      <w:r>
        <w:rPr>
          <w:spacing w:val="-19"/>
          <w:sz w:val="16"/>
          <w:szCs w:val="16"/>
        </w:rPr>
        <w:t xml:space="preserve"> </w:t>
      </w:r>
      <w:r>
        <w:rPr>
          <w:spacing w:val="-6"/>
          <w:sz w:val="16"/>
          <w:szCs w:val="16"/>
        </w:rPr>
        <w:t>。</w:t>
      </w:r>
    </w:p>
    <w:p w14:paraId="09420159">
      <w:pPr>
        <w:pStyle w:val="2"/>
        <w:spacing w:before="222" w:line="219" w:lineRule="auto"/>
        <w:ind w:left="272"/>
        <w:rPr>
          <w:sz w:val="25"/>
          <w:szCs w:val="25"/>
        </w:rPr>
      </w:pPr>
      <w:r>
        <w:rPr>
          <w:b/>
          <w:bCs/>
          <w:color w:val="0063C6"/>
          <w:spacing w:val="-17"/>
          <w:sz w:val="25"/>
          <w:szCs w:val="25"/>
        </w:rPr>
        <w:t>2.5.1</w:t>
      </w:r>
      <w:r>
        <w:rPr>
          <w:color w:val="0063C6"/>
          <w:spacing w:val="81"/>
          <w:sz w:val="25"/>
          <w:szCs w:val="25"/>
        </w:rPr>
        <w:t xml:space="preserve"> </w:t>
      </w:r>
      <w:r>
        <w:rPr>
          <w:b/>
          <w:bCs/>
          <w:color w:val="0063C6"/>
          <w:spacing w:val="-17"/>
          <w:sz w:val="25"/>
          <w:szCs w:val="25"/>
        </w:rPr>
        <w:t>集成基础</w:t>
      </w:r>
    </w:p>
    <w:p w14:paraId="683317DD">
      <w:pPr>
        <w:pStyle w:val="2"/>
        <w:spacing w:before="175" w:line="288" w:lineRule="auto"/>
        <w:ind w:left="269" w:right="65" w:firstLine="420"/>
        <w:rPr>
          <w:sz w:val="19"/>
          <w:szCs w:val="19"/>
        </w:rPr>
      </w:pPr>
      <w:r>
        <w:rPr>
          <w:spacing w:val="14"/>
          <w:sz w:val="19"/>
          <w:szCs w:val="19"/>
        </w:rPr>
        <w:t>计算机信息系统的系统集成就是运用先进的计算机与通信技术</w:t>
      </w:r>
      <w:r>
        <w:rPr>
          <w:spacing w:val="13"/>
          <w:sz w:val="19"/>
          <w:szCs w:val="19"/>
        </w:rPr>
        <w:t>，将支持各个信息孤岛的小</w:t>
      </w:r>
      <w:r>
        <w:rPr>
          <w:sz w:val="19"/>
          <w:szCs w:val="19"/>
        </w:rPr>
        <w:t xml:space="preserve"> </w:t>
      </w:r>
      <w:r>
        <w:rPr>
          <w:spacing w:val="8"/>
          <w:sz w:val="19"/>
          <w:szCs w:val="19"/>
        </w:rPr>
        <w:t>运行环境集成统一在一个大运行环境之中。</w:t>
      </w:r>
    </w:p>
    <w:p w14:paraId="112F6CD7">
      <w:pPr>
        <w:pStyle w:val="2"/>
        <w:spacing w:before="27" w:line="287" w:lineRule="auto"/>
        <w:ind w:left="269" w:right="99" w:firstLine="420"/>
        <w:rPr>
          <w:sz w:val="19"/>
          <w:szCs w:val="19"/>
        </w:rPr>
      </w:pPr>
      <w:r>
        <w:rPr>
          <w:spacing w:val="13"/>
          <w:sz w:val="19"/>
          <w:szCs w:val="19"/>
        </w:rPr>
        <w:t>系统集成的工作在信息系统项目建设中非常重要，它通过硬件平台、网络</w:t>
      </w:r>
      <w:r>
        <w:rPr>
          <w:spacing w:val="12"/>
          <w:sz w:val="19"/>
          <w:szCs w:val="19"/>
        </w:rPr>
        <w:t>通信平台、数据</w:t>
      </w:r>
      <w:r>
        <w:rPr>
          <w:sz w:val="19"/>
          <w:szCs w:val="19"/>
        </w:rPr>
        <w:t xml:space="preserve"> </w:t>
      </w:r>
      <w:r>
        <w:rPr>
          <w:spacing w:val="13"/>
          <w:sz w:val="19"/>
          <w:szCs w:val="19"/>
        </w:rPr>
        <w:t>库平台、工具平台、应用软件平台将各类资源有机、高效地集成到一起，形成一个完整的工作</w:t>
      </w:r>
    </w:p>
    <w:p w14:paraId="3F0A79D2">
      <w:pPr>
        <w:spacing w:line="287" w:lineRule="auto"/>
        <w:rPr>
          <w:sz w:val="19"/>
          <w:szCs w:val="19"/>
        </w:rPr>
        <w:sectPr>
          <w:pgSz w:w="10310" w:h="13420"/>
          <w:pgMar w:top="400" w:right="1098" w:bottom="400" w:left="510" w:header="0" w:footer="0" w:gutter="0"/>
          <w:cols w:space="720" w:num="1"/>
        </w:sectPr>
      </w:pPr>
    </w:p>
    <w:p w14:paraId="48A279B2">
      <w:pPr>
        <w:pStyle w:val="2"/>
        <w:spacing w:before="76" w:line="219" w:lineRule="auto"/>
        <w:jc w:val="right"/>
        <w:rPr>
          <w:rFonts w:ascii="Times New Roman" w:hAnsi="Times New Roman" w:eastAsia="Times New Roman" w:cs="Times New Roman"/>
          <w:sz w:val="19"/>
          <w:szCs w:val="19"/>
        </w:rPr>
      </w:pPr>
      <w:r>
        <w:rPr>
          <w:spacing w:val="4"/>
          <w:sz w:val="19"/>
          <w:szCs w:val="19"/>
        </w:rPr>
        <w:t>第2章</w:t>
      </w:r>
      <w:r>
        <w:rPr>
          <w:spacing w:val="34"/>
          <w:sz w:val="19"/>
          <w:szCs w:val="19"/>
        </w:rPr>
        <w:t xml:space="preserve"> </w:t>
      </w:r>
      <w:r>
        <w:rPr>
          <w:spacing w:val="4"/>
          <w:sz w:val="19"/>
          <w:szCs w:val="19"/>
        </w:rPr>
        <w:t>信息系统工程</w:t>
      </w:r>
      <w:r>
        <w:rPr>
          <w:spacing w:val="2"/>
          <w:sz w:val="19"/>
          <w:szCs w:val="19"/>
        </w:rPr>
        <w:t xml:space="preserve">       </w:t>
      </w:r>
      <w:r>
        <w:rPr>
          <w:rFonts w:ascii="Times New Roman" w:hAnsi="Times New Roman" w:eastAsia="Times New Roman" w:cs="Times New Roman"/>
          <w:spacing w:val="4"/>
          <w:sz w:val="19"/>
          <w:szCs w:val="19"/>
        </w:rPr>
        <w:t>77</w:t>
      </w:r>
    </w:p>
    <w:p w14:paraId="45AF622C">
      <w:pPr>
        <w:spacing w:line="312" w:lineRule="auto"/>
        <w:rPr>
          <w:rFonts w:ascii="Arial"/>
          <w:sz w:val="21"/>
        </w:rPr>
      </w:pPr>
    </w:p>
    <w:p w14:paraId="20D5AE6D">
      <w:pPr>
        <w:pStyle w:val="2"/>
        <w:spacing w:before="61" w:line="306" w:lineRule="auto"/>
        <w:ind w:right="294"/>
        <w:rPr>
          <w:sz w:val="19"/>
          <w:szCs w:val="19"/>
        </w:rPr>
      </w:pPr>
      <w:r>
        <w:rPr>
          <w:spacing w:val="13"/>
          <w:sz w:val="19"/>
          <w:szCs w:val="19"/>
        </w:rPr>
        <w:t>台面。系统集成工作的好坏对系统开发、维护有极大的影响。因此，系统集成在</w:t>
      </w:r>
      <w:r>
        <w:rPr>
          <w:spacing w:val="12"/>
          <w:sz w:val="19"/>
          <w:szCs w:val="19"/>
        </w:rPr>
        <w:t>技术上需要遵</w:t>
      </w:r>
      <w:r>
        <w:rPr>
          <w:sz w:val="19"/>
          <w:szCs w:val="19"/>
        </w:rPr>
        <w:t xml:space="preserve"> </w:t>
      </w:r>
      <w:r>
        <w:rPr>
          <w:spacing w:val="8"/>
          <w:sz w:val="19"/>
          <w:szCs w:val="19"/>
        </w:rPr>
        <w:t>循的基本原则包括：开放性、结构化、先进性和主流化。</w:t>
      </w:r>
    </w:p>
    <w:p w14:paraId="4FF7612D">
      <w:pPr>
        <w:pStyle w:val="2"/>
        <w:spacing w:before="2" w:line="289" w:lineRule="auto"/>
        <w:ind w:right="208" w:firstLine="409"/>
        <w:rPr>
          <w:sz w:val="19"/>
          <w:szCs w:val="19"/>
        </w:rPr>
      </w:pPr>
      <w:r>
        <w:rPr>
          <w:spacing w:val="15"/>
          <w:sz w:val="19"/>
          <w:szCs w:val="19"/>
        </w:rPr>
        <w:t>(1)开放性。系统软硬件平台、通信接口、软件开发工具、网络结构的</w:t>
      </w:r>
      <w:r>
        <w:rPr>
          <w:spacing w:val="14"/>
          <w:sz w:val="19"/>
          <w:szCs w:val="19"/>
        </w:rPr>
        <w:t>选择要遵循工业开</w:t>
      </w:r>
      <w:r>
        <w:rPr>
          <w:sz w:val="19"/>
          <w:szCs w:val="19"/>
        </w:rPr>
        <w:t xml:space="preserve">  </w:t>
      </w:r>
      <w:r>
        <w:rPr>
          <w:spacing w:val="13"/>
          <w:sz w:val="19"/>
          <w:szCs w:val="19"/>
        </w:rPr>
        <w:t>放标准，这是关系到系统生命周期长短的重要问题。对于稍具规模的信息系统</w:t>
      </w:r>
      <w:r>
        <w:rPr>
          <w:spacing w:val="12"/>
          <w:sz w:val="19"/>
          <w:szCs w:val="19"/>
        </w:rPr>
        <w:t>，其系统软硬件</w:t>
      </w:r>
      <w:r>
        <w:rPr>
          <w:sz w:val="19"/>
          <w:szCs w:val="19"/>
        </w:rPr>
        <w:t xml:space="preserve">  </w:t>
      </w:r>
      <w:r>
        <w:rPr>
          <w:spacing w:val="13"/>
          <w:sz w:val="19"/>
          <w:szCs w:val="19"/>
        </w:rPr>
        <w:t>平台很难由单一厂商提供。由不同厂商提供的系</w:t>
      </w:r>
      <w:r>
        <w:rPr>
          <w:spacing w:val="12"/>
          <w:sz w:val="19"/>
          <w:szCs w:val="19"/>
        </w:rPr>
        <w:t>统平台要集成在一个系统中，就存在着接口的</w:t>
      </w:r>
      <w:r>
        <w:rPr>
          <w:sz w:val="19"/>
          <w:szCs w:val="19"/>
        </w:rPr>
        <w:t xml:space="preserve">  </w:t>
      </w:r>
      <w:r>
        <w:rPr>
          <w:spacing w:val="13"/>
          <w:sz w:val="19"/>
          <w:szCs w:val="19"/>
        </w:rPr>
        <w:t>标准化和开放问题，它们的连接都依赖于开放标准。所以，开放标准已成为建设信</w:t>
      </w:r>
      <w:r>
        <w:rPr>
          <w:spacing w:val="12"/>
          <w:sz w:val="19"/>
          <w:szCs w:val="19"/>
        </w:rPr>
        <w:t>息系统必须</w:t>
      </w:r>
      <w:r>
        <w:rPr>
          <w:sz w:val="19"/>
          <w:szCs w:val="19"/>
        </w:rPr>
        <w:t xml:space="preserve">  </w:t>
      </w:r>
      <w:r>
        <w:rPr>
          <w:spacing w:val="11"/>
          <w:sz w:val="19"/>
          <w:szCs w:val="19"/>
        </w:rPr>
        <w:t>考虑的问题。</w:t>
      </w:r>
      <w:r>
        <w:rPr>
          <w:spacing w:val="-12"/>
          <w:sz w:val="19"/>
          <w:szCs w:val="19"/>
        </w:rPr>
        <w:t xml:space="preserve"> </w:t>
      </w:r>
      <w:r>
        <w:rPr>
          <w:spacing w:val="11"/>
          <w:sz w:val="19"/>
          <w:szCs w:val="19"/>
        </w:rPr>
        <w:t>一个集成的信息系统必然是一个开放的信息系统。只有开放</w:t>
      </w:r>
      <w:r>
        <w:rPr>
          <w:spacing w:val="10"/>
          <w:sz w:val="19"/>
          <w:szCs w:val="19"/>
        </w:rPr>
        <w:t>的系统才能满足可互</w:t>
      </w:r>
      <w:r>
        <w:rPr>
          <w:sz w:val="19"/>
          <w:szCs w:val="19"/>
        </w:rPr>
        <w:t xml:space="preserve">  </w:t>
      </w:r>
      <w:r>
        <w:rPr>
          <w:spacing w:val="10"/>
          <w:sz w:val="19"/>
          <w:szCs w:val="19"/>
        </w:rPr>
        <w:t>操作性、可移植性及可伸缩性的要求，才可能与另一个标准兼容的系统实现“无缝”的互操作，</w:t>
      </w:r>
      <w:r>
        <w:rPr>
          <w:spacing w:val="3"/>
          <w:sz w:val="19"/>
          <w:szCs w:val="19"/>
        </w:rPr>
        <w:t xml:space="preserve"> </w:t>
      </w:r>
      <w:r>
        <w:rPr>
          <w:spacing w:val="9"/>
          <w:sz w:val="19"/>
          <w:szCs w:val="19"/>
        </w:rPr>
        <w:t>应用程序才可能由一种系统移植到另一种系</w:t>
      </w:r>
      <w:r>
        <w:rPr>
          <w:spacing w:val="8"/>
          <w:sz w:val="19"/>
          <w:szCs w:val="19"/>
        </w:rPr>
        <w:t>统，不断地为系统的扩展、升级创造条件。</w:t>
      </w:r>
    </w:p>
    <w:p w14:paraId="523B5811">
      <w:pPr>
        <w:pStyle w:val="2"/>
        <w:spacing w:before="124" w:line="288" w:lineRule="auto"/>
        <w:ind w:right="265" w:firstLine="409"/>
        <w:rPr>
          <w:sz w:val="19"/>
          <w:szCs w:val="19"/>
        </w:rPr>
      </w:pPr>
      <w:r>
        <w:rPr>
          <w:spacing w:val="16"/>
          <w:sz w:val="19"/>
          <w:szCs w:val="19"/>
        </w:rPr>
        <w:t>(2)结构化。复杂系统设计的最基本方法依然</w:t>
      </w:r>
      <w:r>
        <w:rPr>
          <w:spacing w:val="15"/>
          <w:sz w:val="19"/>
          <w:szCs w:val="19"/>
        </w:rPr>
        <w:t>是结构化系统分析设计方法。把一个复杂系</w:t>
      </w:r>
      <w:r>
        <w:rPr>
          <w:sz w:val="19"/>
          <w:szCs w:val="19"/>
        </w:rPr>
        <w:t xml:space="preserve"> </w:t>
      </w:r>
      <w:r>
        <w:rPr>
          <w:spacing w:val="13"/>
          <w:sz w:val="19"/>
          <w:szCs w:val="19"/>
        </w:rPr>
        <w:t>统分解成相对独立和简单的子系统，每一个子系统又分解成更简单的模块，这样自顶向</w:t>
      </w:r>
      <w:r>
        <w:rPr>
          <w:spacing w:val="12"/>
          <w:sz w:val="19"/>
          <w:szCs w:val="19"/>
        </w:rPr>
        <w:t>下逐层</w:t>
      </w:r>
      <w:r>
        <w:rPr>
          <w:sz w:val="19"/>
          <w:szCs w:val="19"/>
        </w:rPr>
        <w:t xml:space="preserve"> </w:t>
      </w:r>
      <w:r>
        <w:rPr>
          <w:spacing w:val="13"/>
          <w:sz w:val="19"/>
          <w:szCs w:val="19"/>
        </w:rPr>
        <w:t>模块化分解，直到底层每一个模块都是可具体说明和可执行的为止。这一思想至今仍是复杂系</w:t>
      </w:r>
      <w:r>
        <w:rPr>
          <w:spacing w:val="4"/>
          <w:sz w:val="19"/>
          <w:szCs w:val="19"/>
        </w:rPr>
        <w:t xml:space="preserve"> </w:t>
      </w:r>
      <w:r>
        <w:rPr>
          <w:spacing w:val="5"/>
          <w:sz w:val="19"/>
          <w:szCs w:val="19"/>
        </w:rPr>
        <w:t>统设计的精髓。</w:t>
      </w:r>
    </w:p>
    <w:p w14:paraId="7A743248">
      <w:pPr>
        <w:pStyle w:val="2"/>
        <w:spacing w:before="95" w:line="285" w:lineRule="auto"/>
        <w:ind w:right="208" w:firstLine="409"/>
        <w:rPr>
          <w:sz w:val="19"/>
          <w:szCs w:val="19"/>
        </w:rPr>
      </w:pPr>
      <w:r>
        <w:rPr>
          <w:spacing w:val="15"/>
          <w:sz w:val="19"/>
          <w:szCs w:val="19"/>
        </w:rPr>
        <w:t>(3)先进性。先进性有两层意义：目前先进性和未来先进性。系统的先进</w:t>
      </w:r>
      <w:r>
        <w:rPr>
          <w:spacing w:val="14"/>
          <w:sz w:val="19"/>
          <w:szCs w:val="19"/>
        </w:rPr>
        <w:t>性是建立在技术</w:t>
      </w:r>
      <w:r>
        <w:rPr>
          <w:sz w:val="19"/>
          <w:szCs w:val="19"/>
        </w:rPr>
        <w:t xml:space="preserve">  </w:t>
      </w:r>
      <w:r>
        <w:rPr>
          <w:spacing w:val="13"/>
          <w:sz w:val="19"/>
          <w:szCs w:val="19"/>
        </w:rPr>
        <w:t>先进性之上的，只有先进的技术才有较强的发展生命力，系统采用先进的技术才能确保系统的</w:t>
      </w:r>
      <w:r>
        <w:rPr>
          <w:sz w:val="19"/>
          <w:szCs w:val="19"/>
        </w:rPr>
        <w:t xml:space="preserve">  </w:t>
      </w:r>
      <w:r>
        <w:rPr>
          <w:spacing w:val="15"/>
          <w:sz w:val="19"/>
          <w:szCs w:val="19"/>
        </w:rPr>
        <w:t>优势和较长的生存周期。系统的先进性还表现在系统设计的先进性，包括先进技术有机集</w:t>
      </w:r>
      <w:r>
        <w:rPr>
          <w:spacing w:val="14"/>
          <w:sz w:val="19"/>
          <w:szCs w:val="19"/>
        </w:rPr>
        <w:t>成、</w:t>
      </w:r>
      <w:r>
        <w:rPr>
          <w:sz w:val="19"/>
          <w:szCs w:val="19"/>
        </w:rPr>
        <w:t xml:space="preserve"> </w:t>
      </w:r>
      <w:r>
        <w:rPr>
          <w:spacing w:val="13"/>
          <w:sz w:val="19"/>
          <w:szCs w:val="19"/>
        </w:rPr>
        <w:t>问题划分合理、应用软件符合人们的认知特点等。系统设计的先进性贯穿系统</w:t>
      </w:r>
      <w:r>
        <w:rPr>
          <w:spacing w:val="12"/>
          <w:sz w:val="19"/>
          <w:szCs w:val="19"/>
        </w:rPr>
        <w:t>开发的整个生存</w:t>
      </w:r>
      <w:r>
        <w:rPr>
          <w:sz w:val="19"/>
          <w:szCs w:val="19"/>
        </w:rPr>
        <w:t xml:space="preserve">  </w:t>
      </w:r>
      <w:r>
        <w:rPr>
          <w:spacing w:val="5"/>
          <w:sz w:val="19"/>
          <w:szCs w:val="19"/>
        </w:rPr>
        <w:t>周期，一定要认真对待。</w:t>
      </w:r>
    </w:p>
    <w:p w14:paraId="0BA2EADC">
      <w:pPr>
        <w:pStyle w:val="2"/>
        <w:spacing w:before="115" w:line="255" w:lineRule="auto"/>
        <w:ind w:right="273" w:firstLine="409"/>
        <w:rPr>
          <w:sz w:val="19"/>
          <w:szCs w:val="19"/>
        </w:rPr>
      </w:pPr>
      <w:r>
        <w:rPr>
          <w:spacing w:val="15"/>
          <w:sz w:val="19"/>
          <w:szCs w:val="19"/>
        </w:rPr>
        <w:t>(4)主流化。构成系统的每一个产品应属于该产品发展的主流，有可靠的技术支持，有成</w:t>
      </w:r>
      <w:r>
        <w:rPr>
          <w:spacing w:val="13"/>
          <w:sz w:val="19"/>
          <w:szCs w:val="19"/>
        </w:rPr>
        <w:t xml:space="preserve"> </w:t>
      </w:r>
      <w:r>
        <w:rPr>
          <w:spacing w:val="7"/>
          <w:sz w:val="19"/>
          <w:szCs w:val="19"/>
        </w:rPr>
        <w:t>熟的使用环境，并具有良好的升级发展势头。</w:t>
      </w:r>
    </w:p>
    <w:p w14:paraId="18BC52BC">
      <w:pPr>
        <w:pStyle w:val="2"/>
        <w:spacing w:before="243" w:line="219" w:lineRule="auto"/>
        <w:ind w:left="2"/>
        <w:rPr>
          <w:sz w:val="25"/>
          <w:szCs w:val="25"/>
        </w:rPr>
      </w:pPr>
      <w:r>
        <w:rPr>
          <w:b/>
          <w:bCs/>
          <w:color w:val="0065D9"/>
          <w:spacing w:val="-19"/>
          <w:sz w:val="25"/>
          <w:szCs w:val="25"/>
        </w:rPr>
        <w:t>2.5.2</w:t>
      </w:r>
      <w:r>
        <w:rPr>
          <w:color w:val="0065D9"/>
          <w:spacing w:val="-19"/>
          <w:sz w:val="25"/>
          <w:szCs w:val="25"/>
        </w:rPr>
        <w:t xml:space="preserve">  </w:t>
      </w:r>
      <w:r>
        <w:rPr>
          <w:b/>
          <w:bCs/>
          <w:color w:val="0065D9"/>
          <w:spacing w:val="-19"/>
          <w:sz w:val="25"/>
          <w:szCs w:val="25"/>
        </w:rPr>
        <w:t>网络集成</w:t>
      </w:r>
    </w:p>
    <w:p w14:paraId="2BA77292">
      <w:pPr>
        <w:pStyle w:val="2"/>
        <w:spacing w:before="153" w:line="297" w:lineRule="auto"/>
        <w:ind w:right="207" w:firstLine="409"/>
        <w:jc w:val="both"/>
        <w:rPr>
          <w:sz w:val="19"/>
          <w:szCs w:val="19"/>
        </w:rPr>
      </w:pPr>
      <w:r>
        <w:rPr>
          <w:spacing w:val="13"/>
          <w:sz w:val="19"/>
          <w:szCs w:val="19"/>
        </w:rPr>
        <w:t>计算机网络系统集成不仅涉及技术问题，还涉及组织的管理问题，因而比较复杂，大型网</w:t>
      </w:r>
      <w:r>
        <w:rPr>
          <w:sz w:val="19"/>
          <w:szCs w:val="19"/>
        </w:rPr>
        <w:t xml:space="preserve">  </w:t>
      </w:r>
      <w:r>
        <w:rPr>
          <w:spacing w:val="13"/>
          <w:sz w:val="19"/>
          <w:szCs w:val="19"/>
        </w:rPr>
        <w:t>络系统更是如此。从技术角度讲，网络集成不仅涉及不同厂家的网络设备和管理软件</w:t>
      </w:r>
      <w:r>
        <w:rPr>
          <w:spacing w:val="12"/>
          <w:sz w:val="19"/>
          <w:szCs w:val="19"/>
        </w:rPr>
        <w:t>，还涉及</w:t>
      </w:r>
      <w:r>
        <w:rPr>
          <w:sz w:val="19"/>
          <w:szCs w:val="19"/>
        </w:rPr>
        <w:t xml:space="preserve">  </w:t>
      </w:r>
      <w:r>
        <w:rPr>
          <w:spacing w:val="15"/>
          <w:sz w:val="19"/>
          <w:szCs w:val="19"/>
        </w:rPr>
        <w:t>异构和异质网络系统的互连问题。从管理角度讲，每个组织的管理方式和管理思想千差万别，</w:t>
      </w:r>
      <w:r>
        <w:rPr>
          <w:sz w:val="19"/>
          <w:szCs w:val="19"/>
        </w:rPr>
        <w:t xml:space="preserve"> </w:t>
      </w:r>
      <w:r>
        <w:rPr>
          <w:spacing w:val="13"/>
          <w:sz w:val="19"/>
          <w:szCs w:val="19"/>
        </w:rPr>
        <w:t>实现向网络化管理的转变会面临许多人为因素的影响。因此，组织需要结合实际情况，建立网</w:t>
      </w:r>
      <w:r>
        <w:rPr>
          <w:spacing w:val="2"/>
          <w:sz w:val="19"/>
          <w:szCs w:val="19"/>
        </w:rPr>
        <w:t xml:space="preserve">  </w:t>
      </w:r>
      <w:r>
        <w:rPr>
          <w:spacing w:val="15"/>
          <w:sz w:val="19"/>
          <w:szCs w:val="19"/>
        </w:rPr>
        <w:t>络系统集成的体系框架，指导网络系统建设，实现真正的网络化管理。如图</w:t>
      </w:r>
      <w:r>
        <w:rPr>
          <w:spacing w:val="14"/>
          <w:sz w:val="19"/>
          <w:szCs w:val="19"/>
        </w:rPr>
        <w:t>2-9所示为计算机</w:t>
      </w:r>
      <w:r>
        <w:rPr>
          <w:sz w:val="19"/>
          <w:szCs w:val="19"/>
        </w:rPr>
        <w:t xml:space="preserve">  </w:t>
      </w:r>
      <w:r>
        <w:rPr>
          <w:spacing w:val="5"/>
          <w:sz w:val="19"/>
          <w:szCs w:val="19"/>
        </w:rPr>
        <w:t>网络集成的一般体系框架。</w:t>
      </w:r>
    </w:p>
    <w:p w14:paraId="723AC439">
      <w:pPr>
        <w:pStyle w:val="2"/>
        <w:spacing w:before="60" w:line="2180" w:lineRule="exact"/>
        <w:ind w:firstLine="1030"/>
      </w:pPr>
      <w:r>
        <w:rPr>
          <w:position w:val="-43"/>
        </w:rPr>
        <w:pict>
          <v:group id="_x0000_s1107" o:spid="_x0000_s1107" o:spt="203" style="height:109.05pt;width:313.55pt;" coordsize="6270,2181">
            <o:lock v:ext="edit"/>
            <v:shape id="_x0000_s1108" o:spid="_x0000_s1108" o:spt="75" type="#_x0000_t75" style="position:absolute;left:0;top:0;height:2181;width:6270;" filled="f" stroked="f" coordsize="21600,21600">
              <v:path/>
              <v:fill on="f" focussize="0,0"/>
              <v:stroke on="f"/>
              <v:imagedata r:id="rId55" o:title=""/>
              <o:lock v:ext="edit" aspectratio="t"/>
            </v:shape>
            <v:shape id="_x0000_s1109" o:spid="_x0000_s1109" o:spt="202" type="#_x0000_t202" style="position:absolute;left:179;top:816;height:1268;width:5974;" filled="f" stroked="f" coordsize="21600,21600">
              <v:path/>
              <v:fill on="f" focussize="0,0"/>
              <v:stroke on="f"/>
              <v:imagedata o:title=""/>
              <o:lock v:ext="edit" aspectratio="f"/>
              <v:textbox inset="0mm,0mm,0mm,0mm" style="layout-flow:vertical-ideographic;">
                <w:txbxContent>
                  <w:p w14:paraId="1971A0C1">
                    <w:pPr>
                      <w:spacing w:before="19" w:line="201" w:lineRule="auto"/>
                      <w:ind w:left="209"/>
                      <w:rPr>
                        <w:rFonts w:ascii="宋体" w:hAnsi="宋体" w:eastAsia="宋体" w:cs="宋体"/>
                        <w:sz w:val="16"/>
                        <w:szCs w:val="16"/>
                      </w:rPr>
                    </w:pPr>
                    <w:r>
                      <w:rPr>
                        <w:rFonts w:ascii="宋体" w:hAnsi="宋体" w:eastAsia="宋体" w:cs="宋体"/>
                        <w:spacing w:val="11"/>
                        <w:sz w:val="16"/>
                        <w:szCs w:val="16"/>
                      </w:rPr>
                      <w:t>服务子系统</w:t>
                    </w:r>
                  </w:p>
                  <w:p w14:paraId="67F934F1">
                    <w:pPr>
                      <w:spacing w:line="401" w:lineRule="auto"/>
                      <w:rPr>
                        <w:rFonts w:ascii="Arial"/>
                        <w:sz w:val="21"/>
                      </w:rPr>
                    </w:pPr>
                  </w:p>
                  <w:p w14:paraId="1E45FA96">
                    <w:pPr>
                      <w:spacing w:before="53" w:line="200" w:lineRule="auto"/>
                      <w:ind w:left="20"/>
                      <w:rPr>
                        <w:rFonts w:ascii="宋体" w:hAnsi="宋体" w:eastAsia="宋体" w:cs="宋体"/>
                        <w:sz w:val="16"/>
                        <w:szCs w:val="16"/>
                      </w:rPr>
                    </w:pPr>
                    <w:r>
                      <w:rPr>
                        <w:rFonts w:ascii="宋体" w:hAnsi="宋体" w:eastAsia="宋体" w:cs="宋体"/>
                        <w:spacing w:val="15"/>
                        <w:sz w:val="16"/>
                        <w:szCs w:val="16"/>
                      </w:rPr>
                      <w:t>网络操作子系统</w:t>
                    </w:r>
                  </w:p>
                  <w:p w14:paraId="621DDA16">
                    <w:pPr>
                      <w:spacing w:line="389" w:lineRule="auto"/>
                      <w:rPr>
                        <w:rFonts w:ascii="Arial"/>
                        <w:sz w:val="21"/>
                      </w:rPr>
                    </w:pPr>
                  </w:p>
                  <w:p w14:paraId="31F654FA">
                    <w:pPr>
                      <w:spacing w:before="54" w:line="201" w:lineRule="auto"/>
                      <w:ind w:left="109"/>
                      <w:rPr>
                        <w:rFonts w:ascii="宋体" w:hAnsi="宋体" w:eastAsia="宋体" w:cs="宋体"/>
                        <w:sz w:val="16"/>
                        <w:szCs w:val="16"/>
                      </w:rPr>
                    </w:pPr>
                    <w:r>
                      <w:rPr>
                        <w:rFonts w:ascii="宋体" w:hAnsi="宋体" w:eastAsia="宋体" w:cs="宋体"/>
                        <w:spacing w:val="14"/>
                        <w:sz w:val="16"/>
                        <w:szCs w:val="16"/>
                      </w:rPr>
                      <w:t>服务器子系统</w:t>
                    </w:r>
                  </w:p>
                  <w:p w14:paraId="0150AFF1">
                    <w:pPr>
                      <w:spacing w:line="410" w:lineRule="auto"/>
                      <w:rPr>
                        <w:rFonts w:ascii="Arial"/>
                        <w:sz w:val="21"/>
                      </w:rPr>
                    </w:pPr>
                  </w:p>
                  <w:p w14:paraId="5B742B8D">
                    <w:pPr>
                      <w:spacing w:before="54" w:line="199" w:lineRule="auto"/>
                      <w:ind w:left="199"/>
                      <w:rPr>
                        <w:rFonts w:ascii="宋体" w:hAnsi="宋体" w:eastAsia="宋体" w:cs="宋体"/>
                        <w:sz w:val="16"/>
                        <w:szCs w:val="16"/>
                      </w:rPr>
                    </w:pPr>
                    <w:r>
                      <w:rPr>
                        <w:rFonts w:ascii="宋体" w:hAnsi="宋体" w:eastAsia="宋体" w:cs="宋体"/>
                        <w:spacing w:val="13"/>
                        <w:sz w:val="16"/>
                        <w:szCs w:val="16"/>
                      </w:rPr>
                      <w:t>网管子系统</w:t>
                    </w:r>
                  </w:p>
                  <w:p w14:paraId="27076D4E">
                    <w:pPr>
                      <w:spacing w:line="392" w:lineRule="auto"/>
                      <w:rPr>
                        <w:rFonts w:ascii="Arial"/>
                        <w:sz w:val="21"/>
                      </w:rPr>
                    </w:pPr>
                  </w:p>
                  <w:p w14:paraId="0A299994">
                    <w:pPr>
                      <w:spacing w:before="53" w:line="200" w:lineRule="auto"/>
                      <w:ind w:left="215"/>
                      <w:rPr>
                        <w:rFonts w:ascii="宋体" w:hAnsi="宋体" w:eastAsia="宋体" w:cs="宋体"/>
                        <w:sz w:val="16"/>
                        <w:szCs w:val="16"/>
                      </w:rPr>
                    </w:pPr>
                    <w:r>
                      <w:rPr>
                        <w:rFonts w:ascii="宋体" w:hAnsi="宋体" w:eastAsia="宋体" w:cs="宋体"/>
                        <w:spacing w:val="12"/>
                        <w:sz w:val="16"/>
                        <w:szCs w:val="16"/>
                      </w:rPr>
                      <w:t>安全子系统</w:t>
                    </w:r>
                  </w:p>
                  <w:p w14:paraId="24796057">
                    <w:pPr>
                      <w:spacing w:line="398" w:lineRule="auto"/>
                      <w:rPr>
                        <w:rFonts w:ascii="Arial"/>
                        <w:sz w:val="21"/>
                      </w:rPr>
                    </w:pPr>
                  </w:p>
                  <w:p w14:paraId="31CA7D1E">
                    <w:pPr>
                      <w:spacing w:before="55" w:line="202" w:lineRule="auto"/>
                      <w:ind w:left="212"/>
                      <w:rPr>
                        <w:rFonts w:ascii="宋体" w:hAnsi="宋体" w:eastAsia="宋体" w:cs="宋体"/>
                        <w:sz w:val="16"/>
                        <w:szCs w:val="16"/>
                      </w:rPr>
                    </w:pPr>
                    <w:r>
                      <w:rPr>
                        <w:rFonts w:ascii="宋体" w:hAnsi="宋体" w:eastAsia="宋体" w:cs="宋体"/>
                        <w:spacing w:val="12"/>
                        <w:sz w:val="16"/>
                        <w:szCs w:val="16"/>
                      </w:rPr>
                      <w:t>测试子系统</w:t>
                    </w:r>
                  </w:p>
                  <w:p w14:paraId="12F6E9A1">
                    <w:pPr>
                      <w:spacing w:line="390" w:lineRule="auto"/>
                      <w:rPr>
                        <w:rFonts w:ascii="Arial"/>
                        <w:sz w:val="21"/>
                      </w:rPr>
                    </w:pPr>
                  </w:p>
                  <w:p w14:paraId="705F40FF">
                    <w:pPr>
                      <w:spacing w:before="54" w:line="199" w:lineRule="auto"/>
                      <w:ind w:left="214"/>
                      <w:rPr>
                        <w:rFonts w:ascii="宋体" w:hAnsi="宋体" w:eastAsia="宋体" w:cs="宋体"/>
                        <w:sz w:val="16"/>
                        <w:szCs w:val="16"/>
                      </w:rPr>
                    </w:pPr>
                    <w:r>
                      <w:rPr>
                        <w:rFonts w:ascii="宋体" w:hAnsi="宋体" w:eastAsia="宋体" w:cs="宋体"/>
                        <w:spacing w:val="12"/>
                        <w:sz w:val="16"/>
                        <w:szCs w:val="16"/>
                      </w:rPr>
                      <w:t>布线子系统</w:t>
                    </w:r>
                  </w:p>
                  <w:p w14:paraId="1AE053BB">
                    <w:pPr>
                      <w:spacing w:line="405" w:lineRule="auto"/>
                      <w:rPr>
                        <w:rFonts w:ascii="Arial"/>
                        <w:sz w:val="21"/>
                      </w:rPr>
                    </w:pPr>
                  </w:p>
                  <w:p w14:paraId="7DFE82A0">
                    <w:pPr>
                      <w:spacing w:before="54" w:line="202" w:lineRule="auto"/>
                      <w:ind w:left="216"/>
                      <w:rPr>
                        <w:rFonts w:ascii="宋体" w:hAnsi="宋体" w:eastAsia="宋体" w:cs="宋体"/>
                        <w:sz w:val="16"/>
                        <w:szCs w:val="16"/>
                      </w:rPr>
                    </w:pPr>
                    <w:r>
                      <w:rPr>
                        <w:rFonts w:ascii="宋体" w:hAnsi="宋体" w:eastAsia="宋体" w:cs="宋体"/>
                        <w:spacing w:val="14"/>
                        <w:sz w:val="16"/>
                        <w:szCs w:val="16"/>
                      </w:rPr>
                      <w:t>接入子系统</w:t>
                    </w:r>
                  </w:p>
                  <w:p w14:paraId="082133F2">
                    <w:pPr>
                      <w:spacing w:line="394" w:lineRule="auto"/>
                      <w:rPr>
                        <w:rFonts w:ascii="Arial"/>
                        <w:sz w:val="21"/>
                      </w:rPr>
                    </w:pPr>
                  </w:p>
                  <w:p w14:paraId="63A3087B">
                    <w:pPr>
                      <w:spacing w:before="54" w:line="200" w:lineRule="auto"/>
                      <w:ind w:left="215"/>
                      <w:rPr>
                        <w:rFonts w:ascii="宋体" w:hAnsi="宋体" w:eastAsia="宋体" w:cs="宋体"/>
                        <w:sz w:val="16"/>
                        <w:szCs w:val="16"/>
                      </w:rPr>
                    </w:pPr>
                    <w:r>
                      <w:rPr>
                        <w:rFonts w:ascii="宋体" w:hAnsi="宋体" w:eastAsia="宋体" w:cs="宋体"/>
                        <w:spacing w:val="12"/>
                        <w:sz w:val="16"/>
                        <w:szCs w:val="16"/>
                      </w:rPr>
                      <w:t>交换子系统</w:t>
                    </w:r>
                  </w:p>
                  <w:p w14:paraId="5DBA1A52">
                    <w:pPr>
                      <w:spacing w:line="399" w:lineRule="auto"/>
                      <w:rPr>
                        <w:rFonts w:ascii="Arial"/>
                        <w:sz w:val="21"/>
                      </w:rPr>
                    </w:pPr>
                  </w:p>
                  <w:p w14:paraId="097AFE0B">
                    <w:pPr>
                      <w:spacing w:before="55" w:line="202" w:lineRule="auto"/>
                      <w:ind w:left="214"/>
                      <w:rPr>
                        <w:rFonts w:ascii="宋体" w:hAnsi="宋体" w:eastAsia="宋体" w:cs="宋体"/>
                        <w:sz w:val="16"/>
                        <w:szCs w:val="16"/>
                      </w:rPr>
                    </w:pPr>
                    <w:r>
                      <w:rPr>
                        <w:rFonts w:ascii="宋体" w:hAnsi="宋体" w:eastAsia="宋体" w:cs="宋体"/>
                        <w:spacing w:val="12"/>
                        <w:sz w:val="16"/>
                        <w:szCs w:val="16"/>
                      </w:rPr>
                      <w:t>传输子系统</w:t>
                    </w:r>
                  </w:p>
                </w:txbxContent>
              </v:textbox>
            </v:shape>
            <v:shape id="_x0000_s1110" o:spid="_x0000_s1110" o:spt="202" type="#_x0000_t202" style="position:absolute;left:2789;top:129;height:230;width:729;" filled="f" stroked="f" coordsize="21600,21600">
              <v:path/>
              <v:fill on="f" focussize="0,0"/>
              <v:stroke on="f"/>
              <v:imagedata o:title=""/>
              <o:lock v:ext="edit" aspectratio="f"/>
              <v:textbox inset="0mm,0mm,0mm,0mm">
                <w:txbxContent>
                  <w:p w14:paraId="60837CD0">
                    <w:pPr>
                      <w:spacing w:before="19" w:line="221" w:lineRule="auto"/>
                      <w:ind w:right="2"/>
                      <w:jc w:val="right"/>
                      <w:rPr>
                        <w:rFonts w:ascii="宋体" w:hAnsi="宋体" w:eastAsia="宋体" w:cs="宋体"/>
                        <w:sz w:val="19"/>
                        <w:szCs w:val="19"/>
                      </w:rPr>
                    </w:pPr>
                    <w:r>
                      <w:rPr>
                        <w:rFonts w:ascii="宋体" w:hAnsi="宋体" w:eastAsia="宋体" w:cs="宋体"/>
                        <w:spacing w:val="-15"/>
                        <w:sz w:val="19"/>
                        <w:szCs w:val="19"/>
                      </w:rPr>
                      <w:t>网络系</w:t>
                    </w:r>
                    <w:r>
                      <w:rPr>
                        <w:rFonts w:ascii="宋体" w:hAnsi="宋体" w:eastAsia="宋体" w:cs="宋体"/>
                        <w:spacing w:val="-11"/>
                        <w:sz w:val="19"/>
                        <w:szCs w:val="19"/>
                      </w:rPr>
                      <w:t>统</w:t>
                    </w:r>
                  </w:p>
                </w:txbxContent>
              </v:textbox>
            </v:shape>
            <w10:wrap type="none"/>
            <w10:anchorlock/>
          </v:group>
        </w:pict>
      </w:r>
    </w:p>
    <w:p w14:paraId="0621743B">
      <w:pPr>
        <w:pStyle w:val="2"/>
        <w:spacing w:before="68" w:line="219" w:lineRule="auto"/>
        <w:ind w:left="3070"/>
        <w:rPr>
          <w:sz w:val="19"/>
          <w:szCs w:val="19"/>
        </w:rPr>
      </w:pPr>
      <w:r>
        <w:rPr>
          <w:spacing w:val="-8"/>
          <w:sz w:val="19"/>
          <w:szCs w:val="19"/>
        </w:rPr>
        <w:t>图2-9  网络集成的体系框架</w:t>
      </w:r>
    </w:p>
    <w:p w14:paraId="7C725388">
      <w:pPr>
        <w:spacing w:line="219" w:lineRule="auto"/>
        <w:rPr>
          <w:sz w:val="19"/>
          <w:szCs w:val="19"/>
        </w:rPr>
        <w:sectPr>
          <w:pgSz w:w="10300" w:h="13320"/>
          <w:pgMar w:top="400" w:right="556" w:bottom="400" w:left="1130" w:header="0" w:footer="0" w:gutter="0"/>
          <w:cols w:space="720" w:num="1"/>
        </w:sectPr>
      </w:pPr>
    </w:p>
    <w:p w14:paraId="4C95463B">
      <w:pPr>
        <w:pStyle w:val="2"/>
        <w:spacing w:before="88" w:line="219" w:lineRule="auto"/>
        <w:rPr>
          <w:sz w:val="20"/>
          <w:szCs w:val="20"/>
        </w:rPr>
      </w:pPr>
      <w:r>
        <w:rPr>
          <w:rFonts w:ascii="Times New Roman" w:hAnsi="Times New Roman" w:eastAsia="Times New Roman" w:cs="Times New Roman"/>
          <w:sz w:val="16"/>
          <w:szCs w:val="16"/>
        </w:rPr>
        <w:t xml:space="preserve">78                  </w:t>
      </w:r>
      <w:r>
        <w:rPr>
          <w:sz w:val="20"/>
          <w:szCs w:val="20"/>
        </w:rPr>
        <w:t>信息系统监理师教程(第2版)</w:t>
      </w:r>
    </w:p>
    <w:p w14:paraId="63AAF78B">
      <w:pPr>
        <w:spacing w:line="315" w:lineRule="auto"/>
        <w:rPr>
          <w:rFonts w:ascii="Arial"/>
          <w:sz w:val="21"/>
        </w:rPr>
      </w:pPr>
    </w:p>
    <w:p w14:paraId="799DA28B">
      <w:pPr>
        <w:pStyle w:val="2"/>
        <w:spacing w:before="65" w:line="219" w:lineRule="auto"/>
        <w:ind w:left="709"/>
        <w:rPr>
          <w:sz w:val="20"/>
          <w:szCs w:val="20"/>
        </w:rPr>
      </w:pPr>
      <w:r>
        <w:rPr>
          <w:spacing w:val="-2"/>
          <w:sz w:val="20"/>
          <w:szCs w:val="20"/>
        </w:rPr>
        <w:t>下面对网络集成体系框架中的部分重要子系统进行说明。</w:t>
      </w:r>
    </w:p>
    <w:p w14:paraId="34ABD403">
      <w:pPr>
        <w:pStyle w:val="2"/>
        <w:spacing w:before="92" w:line="264" w:lineRule="auto"/>
        <w:ind w:left="299" w:right="64" w:firstLine="409"/>
        <w:rPr>
          <w:sz w:val="20"/>
          <w:szCs w:val="20"/>
        </w:rPr>
      </w:pPr>
      <w:r>
        <w:rPr>
          <w:spacing w:val="1"/>
          <w:sz w:val="20"/>
          <w:szCs w:val="20"/>
        </w:rPr>
        <w:t>(1)传输子系统。传输是网络的核心，是网络信息的“公路”和“血管”。</w:t>
      </w:r>
      <w:r>
        <w:rPr>
          <w:sz w:val="20"/>
          <w:szCs w:val="20"/>
        </w:rPr>
        <w:t xml:space="preserve">传输线路带宽的 </w:t>
      </w:r>
      <w:r>
        <w:rPr>
          <w:spacing w:val="3"/>
          <w:sz w:val="20"/>
          <w:szCs w:val="20"/>
        </w:rPr>
        <w:t>高低不仅体现了网络的通信能力，也体现了网络的现代化水平，并且传输介质在很大程</w:t>
      </w:r>
      <w:r>
        <w:rPr>
          <w:spacing w:val="2"/>
          <w:sz w:val="20"/>
          <w:szCs w:val="20"/>
        </w:rPr>
        <w:t>度上也</w:t>
      </w:r>
      <w:r>
        <w:rPr>
          <w:sz w:val="20"/>
          <w:szCs w:val="20"/>
        </w:rPr>
        <w:t xml:space="preserve"> </w:t>
      </w:r>
      <w:r>
        <w:rPr>
          <w:spacing w:val="-3"/>
          <w:sz w:val="20"/>
          <w:szCs w:val="20"/>
        </w:rPr>
        <w:t>决定了通信的质量，从而直接影响网络协议。</w:t>
      </w:r>
    </w:p>
    <w:p w14:paraId="2B461B68">
      <w:pPr>
        <w:pStyle w:val="2"/>
        <w:spacing w:before="92" w:line="262" w:lineRule="auto"/>
        <w:ind w:left="299" w:right="71" w:firstLine="409"/>
        <w:rPr>
          <w:sz w:val="20"/>
          <w:szCs w:val="20"/>
        </w:rPr>
      </w:pPr>
      <w:r>
        <w:rPr>
          <w:spacing w:val="6"/>
          <w:sz w:val="20"/>
          <w:szCs w:val="20"/>
        </w:rPr>
        <w:t>(2)交换子系统。网络按所覆盖的区域可分为局域网、城域</w:t>
      </w:r>
      <w:r>
        <w:rPr>
          <w:spacing w:val="5"/>
          <w:sz w:val="20"/>
          <w:szCs w:val="20"/>
        </w:rPr>
        <w:t>网和广域网，由此，网络交换</w:t>
      </w:r>
      <w:r>
        <w:rPr>
          <w:sz w:val="20"/>
          <w:szCs w:val="20"/>
        </w:rPr>
        <w:t xml:space="preserve"> </w:t>
      </w:r>
      <w:r>
        <w:rPr>
          <w:spacing w:val="-2"/>
          <w:sz w:val="20"/>
          <w:szCs w:val="20"/>
        </w:rPr>
        <w:t>也可以分为局域网交换技术、城域网交换技术和广域网交换技术。</w:t>
      </w:r>
    </w:p>
    <w:p w14:paraId="1666B823">
      <w:pPr>
        <w:pStyle w:val="2"/>
        <w:spacing w:before="70" w:line="264" w:lineRule="auto"/>
        <w:ind w:left="299" w:right="89" w:firstLine="409"/>
        <w:rPr>
          <w:sz w:val="20"/>
          <w:szCs w:val="20"/>
        </w:rPr>
      </w:pPr>
      <w:r>
        <w:rPr>
          <w:spacing w:val="5"/>
          <w:sz w:val="20"/>
          <w:szCs w:val="20"/>
        </w:rPr>
        <w:t>(3)安全子系统。由于网络的发展，安全问题一直是网络研究和应用的热点。网络安全主</w:t>
      </w:r>
      <w:r>
        <w:rPr>
          <w:spacing w:val="10"/>
          <w:sz w:val="20"/>
          <w:szCs w:val="20"/>
        </w:rPr>
        <w:t xml:space="preserve"> </w:t>
      </w:r>
      <w:r>
        <w:rPr>
          <w:spacing w:val="3"/>
          <w:sz w:val="20"/>
          <w:szCs w:val="20"/>
        </w:rPr>
        <w:t>要关注的内容包括：使用防火墙技术，防止外部的侵犯；使用数据加密技术，</w:t>
      </w:r>
      <w:r>
        <w:rPr>
          <w:spacing w:val="2"/>
          <w:sz w:val="20"/>
          <w:szCs w:val="20"/>
        </w:rPr>
        <w:t>防止任何人从通</w:t>
      </w:r>
      <w:r>
        <w:rPr>
          <w:sz w:val="20"/>
          <w:szCs w:val="20"/>
        </w:rPr>
        <w:t xml:space="preserve"> </w:t>
      </w:r>
      <w:r>
        <w:rPr>
          <w:spacing w:val="-1"/>
          <w:sz w:val="20"/>
          <w:szCs w:val="20"/>
        </w:rPr>
        <w:t>信信道窃取信息；访问控制，主要是通过设置口令、密码和访问权限保护网络资源。</w:t>
      </w:r>
    </w:p>
    <w:p w14:paraId="34E634A7">
      <w:pPr>
        <w:pStyle w:val="2"/>
        <w:spacing w:before="91" w:line="270" w:lineRule="auto"/>
        <w:ind w:left="299" w:firstLine="409"/>
        <w:rPr>
          <w:sz w:val="20"/>
          <w:szCs w:val="20"/>
        </w:rPr>
      </w:pPr>
      <w:r>
        <w:rPr>
          <w:spacing w:val="5"/>
          <w:sz w:val="20"/>
          <w:szCs w:val="20"/>
        </w:rPr>
        <w:t>(4)网管子系统。网络是一种动态结构。随着组织规模的扩大和改变，网络也会跟着扩大</w:t>
      </w:r>
      <w:r>
        <w:rPr>
          <w:spacing w:val="4"/>
          <w:sz w:val="20"/>
          <w:szCs w:val="20"/>
        </w:rPr>
        <w:t xml:space="preserve">  </w:t>
      </w:r>
      <w:r>
        <w:rPr>
          <w:sz w:val="20"/>
          <w:szCs w:val="20"/>
        </w:rPr>
        <w:t>和改变。配置好网络以后，必须对其进行有效的管理，确保网络能连续不断地满足组织的需要。</w:t>
      </w:r>
      <w:r>
        <w:rPr>
          <w:spacing w:val="8"/>
          <w:sz w:val="20"/>
          <w:szCs w:val="20"/>
        </w:rPr>
        <w:t xml:space="preserve"> </w:t>
      </w:r>
      <w:r>
        <w:rPr>
          <w:spacing w:val="3"/>
          <w:sz w:val="20"/>
          <w:szCs w:val="20"/>
        </w:rPr>
        <w:t>对于任何网管子系统来说，关键的任务便是保证网络良好运行。由于网络规模的</w:t>
      </w:r>
      <w:r>
        <w:rPr>
          <w:spacing w:val="2"/>
          <w:sz w:val="20"/>
          <w:szCs w:val="20"/>
        </w:rPr>
        <w:t>扩大，通常会</w:t>
      </w:r>
      <w:r>
        <w:rPr>
          <w:sz w:val="20"/>
          <w:szCs w:val="20"/>
        </w:rPr>
        <w:t xml:space="preserve">  </w:t>
      </w:r>
      <w:r>
        <w:rPr>
          <w:spacing w:val="-2"/>
          <w:sz w:val="20"/>
          <w:szCs w:val="20"/>
        </w:rPr>
        <w:t>出现网络“瓶颈”问题，使系统的速度放慢。网管的职责便是找出瓶颈并解决它。</w:t>
      </w:r>
    </w:p>
    <w:p w14:paraId="6443C787">
      <w:pPr>
        <w:pStyle w:val="2"/>
        <w:spacing w:before="93" w:line="283" w:lineRule="auto"/>
        <w:ind w:left="299" w:firstLine="409"/>
        <w:rPr>
          <w:sz w:val="16"/>
          <w:szCs w:val="16"/>
        </w:rPr>
      </w:pPr>
      <w:r>
        <w:rPr>
          <w:spacing w:val="13"/>
          <w:sz w:val="20"/>
          <w:szCs w:val="20"/>
        </w:rPr>
        <w:t>(5)服务器子系统。服务器是网络中的关键设备。服务器的作用就是</w:t>
      </w:r>
      <w:r>
        <w:rPr>
          <w:spacing w:val="12"/>
          <w:sz w:val="20"/>
          <w:szCs w:val="20"/>
        </w:rPr>
        <w:t>提供处理器内存、</w:t>
      </w:r>
      <w:r>
        <w:rPr>
          <w:sz w:val="20"/>
          <w:szCs w:val="20"/>
        </w:rPr>
        <w:t xml:space="preserve"> </w:t>
      </w:r>
      <w:r>
        <w:rPr>
          <w:spacing w:val="8"/>
          <w:sz w:val="20"/>
          <w:szCs w:val="20"/>
        </w:rPr>
        <w:t>磁盘、打印机、软件数据等资源和服务，并负责协调管理这些资源。由于网络服务器要同时</w:t>
      </w:r>
      <w:r>
        <w:rPr>
          <w:sz w:val="20"/>
          <w:szCs w:val="20"/>
        </w:rPr>
        <w:t xml:space="preserve">  </w:t>
      </w:r>
      <w:r>
        <w:rPr>
          <w:spacing w:val="8"/>
          <w:sz w:val="20"/>
          <w:szCs w:val="20"/>
        </w:rPr>
        <w:t>为网络上所有的用户服务，因此要求网络服务器具有较高的性能，包括较快的处理速</w:t>
      </w:r>
      <w:r>
        <w:rPr>
          <w:spacing w:val="7"/>
          <w:sz w:val="20"/>
          <w:szCs w:val="20"/>
        </w:rPr>
        <w:t>度、较</w:t>
      </w:r>
      <w:r>
        <w:rPr>
          <w:sz w:val="20"/>
          <w:szCs w:val="20"/>
        </w:rPr>
        <w:t xml:space="preserve">  </w:t>
      </w:r>
      <w:r>
        <w:rPr>
          <w:spacing w:val="13"/>
          <w:sz w:val="20"/>
          <w:szCs w:val="20"/>
        </w:rPr>
        <w:t>大的内存、较大的磁盘容量和高可靠性。根据网络的应用情况和规模，网络服务器可以选</w:t>
      </w:r>
      <w:r>
        <w:rPr>
          <w:spacing w:val="4"/>
          <w:sz w:val="20"/>
          <w:szCs w:val="20"/>
        </w:rPr>
        <w:t xml:space="preserve">  </w:t>
      </w:r>
      <w:r>
        <w:rPr>
          <w:spacing w:val="8"/>
          <w:sz w:val="20"/>
          <w:szCs w:val="20"/>
        </w:rPr>
        <w:t>用高配置微机、工作站、小型机、超级小型机和大</w:t>
      </w:r>
      <w:r>
        <w:rPr>
          <w:spacing w:val="7"/>
          <w:sz w:val="20"/>
          <w:szCs w:val="20"/>
        </w:rPr>
        <w:t>型机等。选择网络服务器时需要考虑以下</w:t>
      </w:r>
      <w:r>
        <w:rPr>
          <w:sz w:val="20"/>
          <w:szCs w:val="20"/>
        </w:rPr>
        <w:t xml:space="preserve">  </w:t>
      </w:r>
      <w:r>
        <w:rPr>
          <w:spacing w:val="-9"/>
          <w:sz w:val="16"/>
          <w:szCs w:val="16"/>
        </w:rPr>
        <w:t>因</w:t>
      </w:r>
      <w:r>
        <w:rPr>
          <w:spacing w:val="-10"/>
          <w:sz w:val="16"/>
          <w:szCs w:val="16"/>
        </w:rPr>
        <w:t xml:space="preserve"> </w:t>
      </w:r>
      <w:r>
        <w:rPr>
          <w:spacing w:val="-9"/>
          <w:sz w:val="16"/>
          <w:szCs w:val="16"/>
        </w:rPr>
        <w:t>素</w:t>
      </w:r>
      <w:r>
        <w:rPr>
          <w:spacing w:val="-18"/>
          <w:sz w:val="16"/>
          <w:szCs w:val="16"/>
        </w:rPr>
        <w:t xml:space="preserve"> </w:t>
      </w:r>
      <w:r>
        <w:rPr>
          <w:spacing w:val="-9"/>
          <w:sz w:val="16"/>
          <w:szCs w:val="16"/>
        </w:rPr>
        <w:t>：</w:t>
      </w:r>
    </w:p>
    <w:p w14:paraId="7633033C">
      <w:pPr>
        <w:pStyle w:val="2"/>
        <w:spacing w:before="112" w:line="219" w:lineRule="auto"/>
        <w:ind w:left="709"/>
        <w:rPr>
          <w:sz w:val="20"/>
          <w:szCs w:val="20"/>
        </w:rPr>
      </w:pPr>
      <w:r>
        <w:rPr>
          <w:spacing w:val="-3"/>
          <w:sz w:val="20"/>
          <w:szCs w:val="20"/>
        </w:rPr>
        <w:t>●</w:t>
      </w:r>
      <w:r>
        <w:rPr>
          <w:spacing w:val="92"/>
          <w:sz w:val="20"/>
          <w:szCs w:val="20"/>
        </w:rPr>
        <w:t xml:space="preserve"> </w:t>
      </w:r>
      <w:r>
        <w:rPr>
          <w:spacing w:val="-3"/>
          <w:sz w:val="20"/>
          <w:szCs w:val="20"/>
        </w:rPr>
        <w:t>CPU的速度和数量；</w:t>
      </w:r>
    </w:p>
    <w:p w14:paraId="03D2BEF2">
      <w:pPr>
        <w:pStyle w:val="2"/>
        <w:spacing w:before="82" w:line="219" w:lineRule="auto"/>
        <w:ind w:left="709"/>
        <w:rPr>
          <w:sz w:val="20"/>
          <w:szCs w:val="20"/>
        </w:rPr>
      </w:pPr>
      <w:r>
        <w:rPr>
          <w:spacing w:val="2"/>
          <w:sz w:val="20"/>
          <w:szCs w:val="20"/>
        </w:rPr>
        <w:t>●内存容量和性能；</w:t>
      </w:r>
    </w:p>
    <w:p w14:paraId="6CEF3941">
      <w:pPr>
        <w:pStyle w:val="2"/>
        <w:spacing w:before="103" w:line="219" w:lineRule="auto"/>
        <w:ind w:left="709"/>
        <w:rPr>
          <w:sz w:val="20"/>
          <w:szCs w:val="20"/>
        </w:rPr>
      </w:pPr>
      <w:r>
        <w:rPr>
          <w:spacing w:val="2"/>
          <w:sz w:val="20"/>
          <w:szCs w:val="20"/>
        </w:rPr>
        <w:t>●总线结构和类型；</w:t>
      </w:r>
    </w:p>
    <w:p w14:paraId="72ED7F10">
      <w:pPr>
        <w:pStyle w:val="2"/>
        <w:spacing w:before="83" w:line="220" w:lineRule="auto"/>
        <w:ind w:left="709"/>
        <w:rPr>
          <w:sz w:val="20"/>
          <w:szCs w:val="20"/>
        </w:rPr>
      </w:pPr>
      <w:r>
        <w:rPr>
          <w:spacing w:val="2"/>
          <w:sz w:val="20"/>
          <w:szCs w:val="20"/>
        </w:rPr>
        <w:t>●磁盘容量和性能；</w:t>
      </w:r>
    </w:p>
    <w:p w14:paraId="68D0C8E6">
      <w:pPr>
        <w:pStyle w:val="2"/>
        <w:spacing w:before="82" w:line="220" w:lineRule="auto"/>
        <w:ind w:left="709"/>
        <w:rPr>
          <w:sz w:val="20"/>
          <w:szCs w:val="20"/>
        </w:rPr>
      </w:pPr>
      <w:r>
        <w:rPr>
          <w:spacing w:val="6"/>
          <w:sz w:val="20"/>
          <w:szCs w:val="20"/>
        </w:rPr>
        <w:t>●容错性能；</w:t>
      </w:r>
    </w:p>
    <w:p w14:paraId="0E6BE67C">
      <w:pPr>
        <w:pStyle w:val="2"/>
        <w:spacing w:before="82" w:line="221" w:lineRule="auto"/>
        <w:ind w:left="709"/>
        <w:rPr>
          <w:sz w:val="20"/>
          <w:szCs w:val="20"/>
        </w:rPr>
      </w:pPr>
      <w:r>
        <w:rPr>
          <w:spacing w:val="5"/>
          <w:sz w:val="20"/>
          <w:szCs w:val="20"/>
        </w:rPr>
        <w:t>●网络接口性能；</w:t>
      </w:r>
    </w:p>
    <w:p w14:paraId="79439008">
      <w:pPr>
        <w:pStyle w:val="2"/>
        <w:spacing w:before="100" w:line="219" w:lineRule="auto"/>
        <w:ind w:left="709"/>
        <w:rPr>
          <w:sz w:val="20"/>
          <w:szCs w:val="20"/>
        </w:rPr>
      </w:pPr>
      <w:r>
        <w:rPr>
          <w:spacing w:val="4"/>
          <w:sz w:val="20"/>
          <w:szCs w:val="20"/>
        </w:rPr>
        <w:t>●服务器软件等。</w:t>
      </w:r>
    </w:p>
    <w:p w14:paraId="01D3B48B">
      <w:pPr>
        <w:pStyle w:val="2"/>
        <w:spacing w:before="84" w:line="263" w:lineRule="auto"/>
        <w:ind w:left="299" w:right="19" w:firstLine="409"/>
        <w:rPr>
          <w:sz w:val="20"/>
          <w:szCs w:val="20"/>
        </w:rPr>
      </w:pPr>
      <w:r>
        <w:rPr>
          <w:spacing w:val="6"/>
          <w:sz w:val="20"/>
          <w:szCs w:val="20"/>
        </w:rPr>
        <w:t>(6)网络操作子系统。网络操作子系统的主要任务是调度</w:t>
      </w:r>
      <w:r>
        <w:rPr>
          <w:spacing w:val="5"/>
          <w:sz w:val="20"/>
          <w:szCs w:val="20"/>
        </w:rPr>
        <w:t>和管理网络资源，并为网络用户</w:t>
      </w:r>
      <w:r>
        <w:rPr>
          <w:sz w:val="20"/>
          <w:szCs w:val="20"/>
        </w:rPr>
        <w:t xml:space="preserve"> 提供统一、透明使用网络资源的手段。网络资源主要包括网络服务器、</w:t>
      </w:r>
      <w:r>
        <w:rPr>
          <w:spacing w:val="-1"/>
          <w:sz w:val="20"/>
          <w:szCs w:val="20"/>
        </w:rPr>
        <w:t>工作站、打印机、网桥、</w:t>
      </w:r>
      <w:r>
        <w:rPr>
          <w:sz w:val="20"/>
          <w:szCs w:val="20"/>
        </w:rPr>
        <w:t xml:space="preserve"> </w:t>
      </w:r>
      <w:r>
        <w:rPr>
          <w:spacing w:val="-2"/>
          <w:sz w:val="20"/>
          <w:szCs w:val="20"/>
        </w:rPr>
        <w:t>路由器、交换机、网关、共享软件和应用软件等。</w:t>
      </w:r>
    </w:p>
    <w:p w14:paraId="5BD68B8B">
      <w:pPr>
        <w:pStyle w:val="2"/>
        <w:spacing w:before="73" w:line="264" w:lineRule="auto"/>
        <w:ind w:left="299" w:right="19" w:firstLine="409"/>
        <w:rPr>
          <w:sz w:val="20"/>
          <w:szCs w:val="20"/>
        </w:rPr>
      </w:pPr>
      <w:r>
        <w:rPr>
          <w:spacing w:val="2"/>
          <w:sz w:val="20"/>
          <w:szCs w:val="20"/>
        </w:rPr>
        <w:t>(7)服务子系统。网络服务是网络应用的核心。带宽再高的网络，如果没有好的网络</w:t>
      </w:r>
      <w:r>
        <w:rPr>
          <w:spacing w:val="1"/>
          <w:sz w:val="20"/>
          <w:szCs w:val="20"/>
        </w:rPr>
        <w:t>服务，</w:t>
      </w:r>
      <w:r>
        <w:rPr>
          <w:sz w:val="20"/>
          <w:szCs w:val="20"/>
        </w:rPr>
        <w:t xml:space="preserve"> </w:t>
      </w:r>
      <w:r>
        <w:rPr>
          <w:spacing w:val="3"/>
          <w:sz w:val="20"/>
          <w:szCs w:val="20"/>
        </w:rPr>
        <w:t>就不能发挥网络的效益。网络服务主要包括互联网服务、多媒体信息检索、信息点播、信</w:t>
      </w:r>
      <w:r>
        <w:rPr>
          <w:spacing w:val="2"/>
          <w:sz w:val="20"/>
          <w:szCs w:val="20"/>
        </w:rPr>
        <w:t>息广</w:t>
      </w:r>
      <w:r>
        <w:rPr>
          <w:sz w:val="20"/>
          <w:szCs w:val="20"/>
        </w:rPr>
        <w:t xml:space="preserve"> </w:t>
      </w:r>
      <w:r>
        <w:rPr>
          <w:spacing w:val="-2"/>
          <w:sz w:val="20"/>
          <w:szCs w:val="20"/>
        </w:rPr>
        <w:t>播、远程计算和事务处理以及其他信息服务等。</w:t>
      </w:r>
    </w:p>
    <w:p w14:paraId="6C664FB4">
      <w:pPr>
        <w:pStyle w:val="2"/>
        <w:spacing w:before="231" w:line="219" w:lineRule="auto"/>
        <w:ind w:left="302"/>
        <w:rPr>
          <w:sz w:val="25"/>
          <w:szCs w:val="25"/>
        </w:rPr>
      </w:pPr>
      <w:r>
        <w:rPr>
          <w:b/>
          <w:bCs/>
          <w:color w:val="005BD3"/>
          <w:spacing w:val="-18"/>
          <w:sz w:val="25"/>
          <w:szCs w:val="25"/>
        </w:rPr>
        <w:t>2.5.3</w:t>
      </w:r>
      <w:r>
        <w:rPr>
          <w:color w:val="005BD3"/>
          <w:spacing w:val="-18"/>
          <w:sz w:val="25"/>
          <w:szCs w:val="25"/>
        </w:rPr>
        <w:t xml:space="preserve">  </w:t>
      </w:r>
      <w:r>
        <w:rPr>
          <w:b/>
          <w:bCs/>
          <w:color w:val="005BD3"/>
          <w:spacing w:val="-18"/>
          <w:sz w:val="25"/>
          <w:szCs w:val="25"/>
        </w:rPr>
        <w:t>数据集成</w:t>
      </w:r>
    </w:p>
    <w:p w14:paraId="5C6A58B8">
      <w:pPr>
        <w:pStyle w:val="2"/>
        <w:spacing w:before="155" w:line="268" w:lineRule="auto"/>
        <w:ind w:left="299" w:firstLine="409"/>
        <w:jc w:val="both"/>
        <w:rPr>
          <w:sz w:val="20"/>
          <w:szCs w:val="20"/>
        </w:rPr>
      </w:pPr>
      <w:r>
        <w:rPr>
          <w:spacing w:val="5"/>
          <w:sz w:val="20"/>
          <w:szCs w:val="20"/>
        </w:rPr>
        <w:t>数据集成的目的是运用一定的技术手段将系统中的数据按一定的规则组织成为一个整体，</w:t>
      </w:r>
      <w:r>
        <w:rPr>
          <w:spacing w:val="3"/>
          <w:sz w:val="20"/>
          <w:szCs w:val="20"/>
        </w:rPr>
        <w:t xml:space="preserve"> 使得用户能有效地对数据进行操作。数据集成处理的主要对象是系统中各种异构</w:t>
      </w:r>
      <w:r>
        <w:rPr>
          <w:spacing w:val="2"/>
          <w:sz w:val="20"/>
          <w:szCs w:val="20"/>
        </w:rPr>
        <w:t>数据库中的数</w:t>
      </w:r>
      <w:r>
        <w:rPr>
          <w:sz w:val="20"/>
          <w:szCs w:val="20"/>
        </w:rPr>
        <w:t xml:space="preserve">  </w:t>
      </w:r>
      <w:r>
        <w:rPr>
          <w:spacing w:val="-2"/>
          <w:sz w:val="20"/>
          <w:szCs w:val="20"/>
        </w:rPr>
        <w:t>据。数据仓库技术是数据集成的关键。</w:t>
      </w:r>
    </w:p>
    <w:p w14:paraId="2A89E3DB">
      <w:pPr>
        <w:spacing w:line="268" w:lineRule="auto"/>
        <w:rPr>
          <w:sz w:val="20"/>
          <w:szCs w:val="20"/>
        </w:rPr>
        <w:sectPr>
          <w:pgSz w:w="10330" w:h="13430"/>
          <w:pgMar w:top="400" w:right="1059" w:bottom="400" w:left="559" w:header="0" w:footer="0" w:gutter="0"/>
          <w:cols w:space="720" w:num="1"/>
        </w:sectPr>
      </w:pPr>
    </w:p>
    <w:p w14:paraId="4DBA196C">
      <w:pPr>
        <w:pStyle w:val="2"/>
        <w:spacing w:before="66" w:line="219" w:lineRule="auto"/>
        <w:jc w:val="right"/>
        <w:rPr>
          <w:rFonts w:ascii="Times New Roman" w:hAnsi="Times New Roman" w:eastAsia="Times New Roman" w:cs="Times New Roman"/>
          <w:sz w:val="20"/>
          <w:szCs w:val="20"/>
        </w:rPr>
      </w:pPr>
      <w:r>
        <w:rPr>
          <w:spacing w:val="8"/>
          <w:sz w:val="20"/>
          <w:szCs w:val="20"/>
        </w:rPr>
        <w:t>第2章信息系统工程</w:t>
      </w:r>
      <w:r>
        <w:rPr>
          <w:spacing w:val="10"/>
          <w:sz w:val="20"/>
          <w:szCs w:val="20"/>
        </w:rPr>
        <w:t xml:space="preserve">      </w:t>
      </w:r>
      <w:r>
        <w:rPr>
          <w:rFonts w:ascii="Times New Roman" w:hAnsi="Times New Roman" w:eastAsia="Times New Roman" w:cs="Times New Roman"/>
          <w:spacing w:val="8"/>
          <w:position w:val="1"/>
          <w:sz w:val="20"/>
          <w:szCs w:val="20"/>
        </w:rPr>
        <w:t>79</w:t>
      </w:r>
    </w:p>
    <w:p w14:paraId="476F1E21">
      <w:pPr>
        <w:spacing w:line="302" w:lineRule="auto"/>
        <w:rPr>
          <w:rFonts w:ascii="Arial"/>
          <w:sz w:val="21"/>
        </w:rPr>
      </w:pPr>
    </w:p>
    <w:p w14:paraId="050A91B4">
      <w:pPr>
        <w:pStyle w:val="2"/>
        <w:spacing w:before="65" w:line="221" w:lineRule="auto"/>
        <w:ind w:left="402"/>
        <w:rPr>
          <w:rFonts w:ascii="黑体" w:hAnsi="黑体" w:eastAsia="黑体" w:cs="黑体"/>
          <w:sz w:val="20"/>
          <w:szCs w:val="20"/>
        </w:rPr>
      </w:pPr>
      <w:bookmarkStart w:id="521" w:name="bookmark508"/>
      <w:bookmarkEnd w:id="521"/>
      <w:r>
        <w:rPr>
          <w:b/>
          <w:bCs/>
          <w:color w:val="004ED7"/>
          <w:spacing w:val="-2"/>
          <w:sz w:val="20"/>
          <w:szCs w:val="20"/>
        </w:rPr>
        <w:t>1.</w:t>
      </w:r>
      <w:r>
        <w:rPr>
          <w:rFonts w:ascii="黑体" w:hAnsi="黑体" w:eastAsia="黑体" w:cs="黑体"/>
          <w:b/>
          <w:bCs/>
          <w:color w:val="004ED7"/>
          <w:spacing w:val="-2"/>
          <w:sz w:val="20"/>
          <w:szCs w:val="20"/>
        </w:rPr>
        <w:t>数据集成层次</w:t>
      </w:r>
    </w:p>
    <w:p w14:paraId="3F217705">
      <w:pPr>
        <w:pStyle w:val="2"/>
        <w:spacing w:before="152" w:line="278" w:lineRule="auto"/>
        <w:ind w:right="273" w:firstLine="399"/>
        <w:jc w:val="both"/>
        <w:rPr>
          <w:sz w:val="20"/>
          <w:szCs w:val="20"/>
        </w:rPr>
      </w:pPr>
      <w:r>
        <w:rPr>
          <w:spacing w:val="3"/>
          <w:sz w:val="20"/>
          <w:szCs w:val="20"/>
        </w:rPr>
        <w:t>数据集成是将参与数据库的有关信息在逻辑上集成为一个属于异构分布式数据库的全局概</w:t>
      </w:r>
      <w:r>
        <w:rPr>
          <w:spacing w:val="9"/>
          <w:sz w:val="20"/>
          <w:szCs w:val="20"/>
        </w:rPr>
        <w:t xml:space="preserve"> </w:t>
      </w:r>
      <w:r>
        <w:rPr>
          <w:spacing w:val="3"/>
          <w:sz w:val="20"/>
          <w:szCs w:val="20"/>
        </w:rPr>
        <w:t>念模式，以达到信息共享的目的。数据集成可以分为基本数据集成、多级视图集成、模式集成</w:t>
      </w:r>
      <w:r>
        <w:rPr>
          <w:spacing w:val="5"/>
          <w:sz w:val="20"/>
          <w:szCs w:val="20"/>
        </w:rPr>
        <w:t xml:space="preserve"> </w:t>
      </w:r>
      <w:r>
        <w:rPr>
          <w:spacing w:val="-3"/>
          <w:sz w:val="20"/>
          <w:szCs w:val="20"/>
        </w:rPr>
        <w:t>和多粒度数据集成四个层次。</w:t>
      </w:r>
    </w:p>
    <w:p w14:paraId="7FDEB2AB">
      <w:pPr>
        <w:pStyle w:val="2"/>
        <w:spacing w:before="27" w:line="270" w:lineRule="auto"/>
        <w:ind w:right="274" w:firstLine="399"/>
        <w:rPr>
          <w:sz w:val="20"/>
          <w:szCs w:val="20"/>
        </w:rPr>
      </w:pPr>
      <w:r>
        <w:rPr>
          <w:spacing w:val="5"/>
          <w:sz w:val="20"/>
          <w:szCs w:val="20"/>
        </w:rPr>
        <w:t>(1)基本数据集成。基本数据集成面临的问题很多。通用标识符问题是数据集成时遇到的</w:t>
      </w:r>
      <w:r>
        <w:rPr>
          <w:spacing w:val="14"/>
          <w:sz w:val="20"/>
          <w:szCs w:val="20"/>
        </w:rPr>
        <w:t xml:space="preserve"> </w:t>
      </w:r>
      <w:r>
        <w:rPr>
          <w:spacing w:val="3"/>
          <w:sz w:val="20"/>
          <w:szCs w:val="20"/>
        </w:rPr>
        <w:t>最难的问题之一。由于同一业务实体存在于多个系统源中，并且没有明确的办法确认这些实体</w:t>
      </w:r>
      <w:r>
        <w:rPr>
          <w:spacing w:val="4"/>
          <w:sz w:val="20"/>
          <w:szCs w:val="20"/>
        </w:rPr>
        <w:t xml:space="preserve"> </w:t>
      </w:r>
      <w:r>
        <w:rPr>
          <w:spacing w:val="-2"/>
          <w:sz w:val="20"/>
          <w:szCs w:val="20"/>
        </w:rPr>
        <w:t>是同一实体时，就会产生这类问题。处理该问题的办法</w:t>
      </w:r>
      <w:r>
        <w:rPr>
          <w:spacing w:val="-3"/>
          <w:sz w:val="20"/>
          <w:szCs w:val="20"/>
        </w:rPr>
        <w:t>包括：</w:t>
      </w:r>
    </w:p>
    <w:p w14:paraId="2E532479">
      <w:pPr>
        <w:pStyle w:val="2"/>
        <w:spacing w:before="84" w:line="219" w:lineRule="auto"/>
        <w:ind w:left="399"/>
        <w:rPr>
          <w:sz w:val="20"/>
          <w:szCs w:val="20"/>
        </w:rPr>
      </w:pPr>
      <w:r>
        <w:rPr>
          <w:spacing w:val="1"/>
          <w:sz w:val="20"/>
          <w:szCs w:val="20"/>
        </w:rPr>
        <w:t>●隔离。保证实体的每次出现都指派一个唯一标识符。</w:t>
      </w:r>
    </w:p>
    <w:p w14:paraId="32F23313">
      <w:pPr>
        <w:pStyle w:val="2"/>
        <w:spacing w:before="93" w:line="219" w:lineRule="auto"/>
        <w:ind w:left="399"/>
        <w:rPr>
          <w:sz w:val="20"/>
          <w:szCs w:val="20"/>
        </w:rPr>
      </w:pPr>
      <w:r>
        <w:rPr>
          <w:spacing w:val="1"/>
          <w:sz w:val="20"/>
          <w:szCs w:val="20"/>
        </w:rPr>
        <w:t>●调和。确认哪些实体是相同的，并且将该实体的各次出现合并起来。</w:t>
      </w:r>
    </w:p>
    <w:p w14:paraId="65554BD4">
      <w:pPr>
        <w:pStyle w:val="2"/>
        <w:spacing w:before="72" w:line="299" w:lineRule="auto"/>
        <w:ind w:right="286" w:firstLine="399"/>
        <w:rPr>
          <w:sz w:val="20"/>
          <w:szCs w:val="20"/>
        </w:rPr>
      </w:pPr>
      <w:r>
        <w:rPr>
          <w:spacing w:val="3"/>
          <w:sz w:val="20"/>
          <w:szCs w:val="20"/>
        </w:rPr>
        <w:t>当目标元素有多个来源时，指定某一系统在冲突时占主导地位。数据丢失问题是最</w:t>
      </w:r>
      <w:r>
        <w:rPr>
          <w:spacing w:val="2"/>
          <w:sz w:val="20"/>
          <w:szCs w:val="20"/>
        </w:rPr>
        <w:t>常见的</w:t>
      </w:r>
      <w:r>
        <w:rPr>
          <w:sz w:val="20"/>
          <w:szCs w:val="20"/>
        </w:rPr>
        <w:t xml:space="preserve"> </w:t>
      </w:r>
      <w:r>
        <w:rPr>
          <w:spacing w:val="-1"/>
          <w:sz w:val="20"/>
          <w:szCs w:val="20"/>
        </w:rPr>
        <w:t>问题之一，通常解决的办法是为丢失的数据产生一个非常接近实际的估计值来进行处理。</w:t>
      </w:r>
    </w:p>
    <w:p w14:paraId="0016CCDD">
      <w:pPr>
        <w:pStyle w:val="2"/>
        <w:spacing w:before="12" w:line="264" w:lineRule="auto"/>
        <w:ind w:right="273" w:firstLine="399"/>
        <w:rPr>
          <w:sz w:val="20"/>
          <w:szCs w:val="20"/>
        </w:rPr>
      </w:pPr>
      <w:r>
        <w:rPr>
          <w:spacing w:val="6"/>
          <w:sz w:val="20"/>
          <w:szCs w:val="20"/>
        </w:rPr>
        <w:t>(2)多级视图集成。多级视图机制有助于对数据源之间的</w:t>
      </w:r>
      <w:r>
        <w:rPr>
          <w:spacing w:val="5"/>
          <w:sz w:val="20"/>
          <w:szCs w:val="20"/>
        </w:rPr>
        <w:t>关系进行集成：底层数据表示方</w:t>
      </w:r>
      <w:r>
        <w:rPr>
          <w:sz w:val="20"/>
          <w:szCs w:val="20"/>
        </w:rPr>
        <w:t xml:space="preserve"> </w:t>
      </w:r>
      <w:r>
        <w:rPr>
          <w:spacing w:val="3"/>
          <w:sz w:val="20"/>
          <w:szCs w:val="20"/>
        </w:rPr>
        <w:t>式为局部模型的局部格式，如关系和文件；中间数据表示为公共模式格式，如扩展关系模型或</w:t>
      </w:r>
      <w:r>
        <w:rPr>
          <w:spacing w:val="5"/>
          <w:sz w:val="20"/>
          <w:szCs w:val="20"/>
        </w:rPr>
        <w:t xml:space="preserve"> </w:t>
      </w:r>
      <w:r>
        <w:rPr>
          <w:spacing w:val="-2"/>
          <w:sz w:val="20"/>
          <w:szCs w:val="20"/>
        </w:rPr>
        <w:t>对象模型；高级数据表示为综合模型格式。视图集成化过程为两级映射：</w:t>
      </w:r>
    </w:p>
    <w:p w14:paraId="3B208B9B">
      <w:pPr>
        <w:pStyle w:val="2"/>
        <w:spacing w:before="93" w:line="219" w:lineRule="auto"/>
        <w:ind w:left="399"/>
        <w:rPr>
          <w:sz w:val="20"/>
          <w:szCs w:val="20"/>
        </w:rPr>
      </w:pPr>
      <w:r>
        <w:rPr>
          <w:sz w:val="20"/>
          <w:szCs w:val="20"/>
        </w:rPr>
        <w:t>●数据从局部数据库中经过数据翻译、转换，并集成为符合公共模型格式的中间视图；</w:t>
      </w:r>
    </w:p>
    <w:p w14:paraId="13C73B24">
      <w:pPr>
        <w:pStyle w:val="2"/>
        <w:spacing w:before="73" w:line="219" w:lineRule="auto"/>
        <w:ind w:left="399"/>
        <w:rPr>
          <w:sz w:val="20"/>
          <w:szCs w:val="20"/>
        </w:rPr>
      </w:pPr>
      <w:r>
        <w:rPr>
          <w:spacing w:val="1"/>
          <w:sz w:val="20"/>
          <w:szCs w:val="20"/>
        </w:rPr>
        <w:t>●进行语义冲突消除、数据集成和数据导出处理，将中间视图集成为综合视图。</w:t>
      </w:r>
    </w:p>
    <w:p w14:paraId="71869485">
      <w:pPr>
        <w:pStyle w:val="2"/>
        <w:spacing w:before="93" w:line="270" w:lineRule="auto"/>
        <w:ind w:right="263" w:firstLine="399"/>
        <w:rPr>
          <w:sz w:val="20"/>
          <w:szCs w:val="20"/>
        </w:rPr>
      </w:pPr>
      <w:r>
        <w:rPr>
          <w:spacing w:val="6"/>
          <w:sz w:val="20"/>
          <w:szCs w:val="20"/>
        </w:rPr>
        <w:t>(3)模式集成。模型合并属于数据库设计问题，其设计的好坏常</w:t>
      </w:r>
      <w:r>
        <w:rPr>
          <w:spacing w:val="5"/>
          <w:sz w:val="20"/>
          <w:szCs w:val="20"/>
        </w:rPr>
        <w:t>视设计者的经验而定，在</w:t>
      </w:r>
      <w:r>
        <w:rPr>
          <w:sz w:val="20"/>
          <w:szCs w:val="20"/>
        </w:rPr>
        <w:t xml:space="preserve"> </w:t>
      </w:r>
      <w:r>
        <w:rPr>
          <w:spacing w:val="3"/>
          <w:sz w:val="20"/>
          <w:szCs w:val="20"/>
        </w:rPr>
        <w:t>实际应用中可参考的成熟理论较少。在实际应用中，数据源的模式集成和数据库设计仍有相当</w:t>
      </w:r>
      <w:r>
        <w:rPr>
          <w:spacing w:val="14"/>
          <w:sz w:val="20"/>
          <w:szCs w:val="20"/>
        </w:rPr>
        <w:t xml:space="preserve"> </w:t>
      </w:r>
      <w:r>
        <w:rPr>
          <w:spacing w:val="3"/>
          <w:sz w:val="20"/>
          <w:szCs w:val="20"/>
        </w:rPr>
        <w:t xml:space="preserve">的差距，例如模式集成时出现的命名、单位、结构和抽象层次等的冲突问题，就无法照搬模式 </w:t>
      </w:r>
      <w:r>
        <w:rPr>
          <w:spacing w:val="-6"/>
          <w:sz w:val="20"/>
          <w:szCs w:val="20"/>
        </w:rPr>
        <w:t>设计的经验。</w:t>
      </w:r>
    </w:p>
    <w:p w14:paraId="3D6C6EA0">
      <w:pPr>
        <w:pStyle w:val="2"/>
        <w:spacing w:before="58" w:line="273" w:lineRule="auto"/>
        <w:ind w:right="264" w:firstLine="399"/>
        <w:rPr>
          <w:sz w:val="20"/>
          <w:szCs w:val="20"/>
        </w:rPr>
      </w:pPr>
      <w:r>
        <w:rPr>
          <w:spacing w:val="6"/>
          <w:sz w:val="20"/>
          <w:szCs w:val="20"/>
        </w:rPr>
        <w:t>(4)多粒度数据集成。多粒度数据集成是异构数据集成中最难处理</w:t>
      </w:r>
      <w:r>
        <w:rPr>
          <w:spacing w:val="5"/>
          <w:sz w:val="20"/>
          <w:szCs w:val="20"/>
        </w:rPr>
        <w:t>的问题，理想的多粒度</w:t>
      </w:r>
      <w:r>
        <w:rPr>
          <w:sz w:val="20"/>
          <w:szCs w:val="20"/>
        </w:rPr>
        <w:t xml:space="preserve"> </w:t>
      </w:r>
      <w:r>
        <w:rPr>
          <w:spacing w:val="8"/>
          <w:sz w:val="20"/>
          <w:szCs w:val="20"/>
        </w:rPr>
        <w:t>数据集成模式是自动逐步抽象。数据综合(或数据抽象)指由高精度数据经过抽象形成精度较</w:t>
      </w:r>
      <w:r>
        <w:rPr>
          <w:sz w:val="20"/>
          <w:szCs w:val="20"/>
        </w:rPr>
        <w:t xml:space="preserve"> </w:t>
      </w:r>
      <w:r>
        <w:rPr>
          <w:spacing w:val="3"/>
          <w:sz w:val="20"/>
          <w:szCs w:val="20"/>
        </w:rPr>
        <w:t>低，但是粒度较大的数据，其作用过程为，从多个较高精度的局部数据中获得较低精度的全局</w:t>
      </w:r>
      <w:r>
        <w:rPr>
          <w:spacing w:val="13"/>
          <w:sz w:val="20"/>
          <w:szCs w:val="20"/>
        </w:rPr>
        <w:t xml:space="preserve"> </w:t>
      </w:r>
      <w:r>
        <w:rPr>
          <w:spacing w:val="3"/>
          <w:sz w:val="20"/>
          <w:szCs w:val="20"/>
        </w:rPr>
        <w:t>数据。在这个过程中，要对各局域中的数据进行综合，提取其主要特征。数据综合集成的过程</w:t>
      </w:r>
      <w:r>
        <w:rPr>
          <w:spacing w:val="2"/>
          <w:sz w:val="20"/>
          <w:szCs w:val="20"/>
        </w:rPr>
        <w:t xml:space="preserve"> </w:t>
      </w:r>
      <w:r>
        <w:rPr>
          <w:spacing w:val="-1"/>
          <w:sz w:val="20"/>
          <w:szCs w:val="20"/>
        </w:rPr>
        <w:t>实际上是特征提取和归并的过程。数据集成是最终实现数据共享和辅助决</w:t>
      </w:r>
      <w:r>
        <w:rPr>
          <w:spacing w:val="-2"/>
          <w:sz w:val="20"/>
          <w:szCs w:val="20"/>
        </w:rPr>
        <w:t>策的基础。</w:t>
      </w:r>
    </w:p>
    <w:p w14:paraId="1590F470">
      <w:pPr>
        <w:pStyle w:val="2"/>
        <w:spacing w:before="190" w:line="222" w:lineRule="auto"/>
        <w:ind w:left="402"/>
        <w:rPr>
          <w:rFonts w:ascii="黑体" w:hAnsi="黑体" w:eastAsia="黑体" w:cs="黑体"/>
          <w:sz w:val="20"/>
          <w:szCs w:val="20"/>
        </w:rPr>
      </w:pPr>
      <w:r>
        <w:rPr>
          <w:b/>
          <w:bCs/>
          <w:color w:val="0055D5"/>
          <w:spacing w:val="-2"/>
          <w:sz w:val="20"/>
          <w:szCs w:val="20"/>
        </w:rPr>
        <w:t>2.</w:t>
      </w:r>
      <w:r>
        <w:rPr>
          <w:rFonts w:ascii="黑体" w:hAnsi="黑体" w:eastAsia="黑体" w:cs="黑体"/>
          <w:b/>
          <w:bCs/>
          <w:color w:val="0055D5"/>
          <w:spacing w:val="-2"/>
          <w:sz w:val="20"/>
          <w:szCs w:val="20"/>
        </w:rPr>
        <w:t>异构数据集成</w:t>
      </w:r>
    </w:p>
    <w:p w14:paraId="49E57EF3">
      <w:pPr>
        <w:pStyle w:val="2"/>
        <w:spacing w:before="114" w:line="271" w:lineRule="auto"/>
        <w:ind w:right="182" w:firstLine="399"/>
        <w:jc w:val="both"/>
        <w:rPr>
          <w:sz w:val="20"/>
          <w:szCs w:val="20"/>
        </w:rPr>
      </w:pPr>
      <w:r>
        <w:rPr>
          <w:sz w:val="20"/>
          <w:szCs w:val="20"/>
        </w:rPr>
        <w:t>数据集成的目的是为应用提供统一的访问支持，因此集成后的数据必须保证一定的完整性，</w:t>
      </w:r>
      <w:r>
        <w:rPr>
          <w:spacing w:val="18"/>
          <w:sz w:val="20"/>
          <w:szCs w:val="20"/>
        </w:rPr>
        <w:t xml:space="preserve"> </w:t>
      </w:r>
      <w:r>
        <w:rPr>
          <w:spacing w:val="3"/>
          <w:sz w:val="20"/>
          <w:szCs w:val="20"/>
        </w:rPr>
        <w:t>包括数据完整性和约束完整性。数据集成还必须考虑语义冲突问题，信息资源之间存在的语义</w:t>
      </w:r>
      <w:r>
        <w:rPr>
          <w:spacing w:val="2"/>
          <w:sz w:val="20"/>
          <w:szCs w:val="20"/>
        </w:rPr>
        <w:t xml:space="preserve">  </w:t>
      </w:r>
      <w:r>
        <w:rPr>
          <w:spacing w:val="5"/>
          <w:sz w:val="20"/>
          <w:szCs w:val="20"/>
        </w:rPr>
        <w:t>区别可能引起各种矛盾。从简单的名字语义冲突到复杂的结构语义冲突，都会干扰数据处理、</w:t>
      </w:r>
      <w:r>
        <w:rPr>
          <w:spacing w:val="13"/>
          <w:sz w:val="20"/>
          <w:szCs w:val="20"/>
        </w:rPr>
        <w:t xml:space="preserve"> </w:t>
      </w:r>
      <w:r>
        <w:rPr>
          <w:spacing w:val="3"/>
          <w:sz w:val="20"/>
          <w:szCs w:val="20"/>
        </w:rPr>
        <w:t>发布和交换。此外，数据访问权限、异构数据源数据的逻辑关系、数据集成范围等问题都需要</w:t>
      </w:r>
      <w:r>
        <w:rPr>
          <w:spacing w:val="2"/>
          <w:sz w:val="20"/>
          <w:szCs w:val="20"/>
        </w:rPr>
        <w:t xml:space="preserve">  </w:t>
      </w:r>
      <w:r>
        <w:rPr>
          <w:spacing w:val="-2"/>
          <w:sz w:val="20"/>
          <w:szCs w:val="20"/>
        </w:rPr>
        <w:t>加以考虑。</w:t>
      </w:r>
    </w:p>
    <w:p w14:paraId="0A6114B1">
      <w:pPr>
        <w:spacing w:before="157" w:line="224" w:lineRule="auto"/>
        <w:ind w:left="399"/>
        <w:rPr>
          <w:rFonts w:ascii="楷体" w:hAnsi="楷体" w:eastAsia="楷体" w:cs="楷体"/>
          <w:sz w:val="20"/>
          <w:szCs w:val="20"/>
        </w:rPr>
      </w:pPr>
      <w:r>
        <w:rPr>
          <w:rFonts w:ascii="楷体" w:hAnsi="楷体" w:eastAsia="楷体" w:cs="楷体"/>
          <w:spacing w:val="7"/>
          <w:sz w:val="20"/>
          <w:szCs w:val="20"/>
        </w:rPr>
        <w:t>1)异构数据集成的方法</w:t>
      </w:r>
    </w:p>
    <w:p w14:paraId="335BD997">
      <w:pPr>
        <w:pStyle w:val="2"/>
        <w:spacing w:before="41" w:line="284" w:lineRule="auto"/>
        <w:ind w:right="182" w:firstLine="399"/>
        <w:rPr>
          <w:sz w:val="20"/>
          <w:szCs w:val="20"/>
        </w:rPr>
      </w:pPr>
      <w:r>
        <w:rPr>
          <w:spacing w:val="-1"/>
          <w:sz w:val="20"/>
          <w:szCs w:val="20"/>
        </w:rPr>
        <w:t>异构数据集成方法归纳起来主要有两种：过程式方法和声明式方法。采用过程式方法，</w:t>
      </w:r>
      <w:r>
        <w:rPr>
          <w:spacing w:val="69"/>
          <w:sz w:val="20"/>
          <w:szCs w:val="20"/>
        </w:rPr>
        <w:t xml:space="preserve"> </w:t>
      </w:r>
      <w:r>
        <w:rPr>
          <w:spacing w:val="-1"/>
          <w:sz w:val="20"/>
          <w:szCs w:val="20"/>
        </w:rPr>
        <w:t>一</w:t>
      </w:r>
      <w:r>
        <w:rPr>
          <w:sz w:val="20"/>
          <w:szCs w:val="20"/>
        </w:rPr>
        <w:t xml:space="preserve">  </w:t>
      </w:r>
      <w:r>
        <w:rPr>
          <w:spacing w:val="7"/>
          <w:sz w:val="20"/>
          <w:szCs w:val="20"/>
        </w:rPr>
        <w:t>般是根据一组信息需求，采用一种点对点</w:t>
      </w:r>
      <w:r>
        <w:rPr>
          <w:spacing w:val="-48"/>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Ad</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hoc</w:t>
      </w:r>
      <w:r>
        <w:rPr>
          <w:rFonts w:ascii="Times New Roman" w:hAnsi="Times New Roman" w:eastAsia="Times New Roman" w:cs="Times New Roman"/>
          <w:spacing w:val="7"/>
          <w:sz w:val="20"/>
          <w:szCs w:val="20"/>
        </w:rPr>
        <w:t xml:space="preserve">)   </w:t>
      </w:r>
      <w:r>
        <w:rPr>
          <w:spacing w:val="7"/>
          <w:sz w:val="20"/>
          <w:szCs w:val="20"/>
        </w:rPr>
        <w:t>的设计方法来集</w:t>
      </w:r>
      <w:r>
        <w:rPr>
          <w:spacing w:val="6"/>
          <w:sz w:val="20"/>
          <w:szCs w:val="20"/>
        </w:rPr>
        <w:t>成数据。在这种情况下，</w:t>
      </w:r>
      <w:r>
        <w:rPr>
          <w:sz w:val="20"/>
          <w:szCs w:val="20"/>
        </w:rPr>
        <w:t xml:space="preserve"> </w:t>
      </w:r>
      <w:r>
        <w:rPr>
          <w:spacing w:val="3"/>
          <w:sz w:val="20"/>
          <w:szCs w:val="20"/>
        </w:rPr>
        <w:t>关键就是设计一套合适的软件模块来存取数据源。软件模块不需要一个关于完整数据模式的清</w:t>
      </w:r>
      <w:r>
        <w:rPr>
          <w:spacing w:val="2"/>
          <w:sz w:val="20"/>
          <w:szCs w:val="20"/>
        </w:rPr>
        <w:t xml:space="preserve">  </w:t>
      </w:r>
      <w:r>
        <w:rPr>
          <w:spacing w:val="6"/>
          <w:sz w:val="20"/>
          <w:szCs w:val="20"/>
        </w:rPr>
        <w:t>晰概念，主要是依赖于包装器(</w:t>
      </w:r>
      <w:r>
        <w:rPr>
          <w:sz w:val="20"/>
          <w:szCs w:val="20"/>
        </w:rPr>
        <w:t>Wrapper</w:t>
      </w:r>
      <w:r>
        <w:rPr>
          <w:spacing w:val="6"/>
          <w:sz w:val="20"/>
          <w:szCs w:val="20"/>
        </w:rPr>
        <w:t>)</w:t>
      </w:r>
      <w:r>
        <w:rPr>
          <w:spacing w:val="43"/>
          <w:sz w:val="20"/>
          <w:szCs w:val="20"/>
        </w:rPr>
        <w:t xml:space="preserve"> </w:t>
      </w:r>
      <w:r>
        <w:rPr>
          <w:spacing w:val="6"/>
          <w:sz w:val="20"/>
          <w:szCs w:val="20"/>
        </w:rPr>
        <w:t>来封装数据源，</w:t>
      </w:r>
      <w:r>
        <w:rPr>
          <w:spacing w:val="5"/>
          <w:sz w:val="20"/>
          <w:szCs w:val="20"/>
        </w:rPr>
        <w:t>利用中介器(</w:t>
      </w:r>
      <w:r>
        <w:rPr>
          <w:sz w:val="20"/>
          <w:szCs w:val="20"/>
        </w:rPr>
        <w:t>Mediator</w:t>
      </w:r>
      <w:r>
        <w:rPr>
          <w:spacing w:val="5"/>
          <w:sz w:val="20"/>
          <w:szCs w:val="20"/>
        </w:rPr>
        <w:t>) 来合并和一</w:t>
      </w:r>
    </w:p>
    <w:p w14:paraId="76F0D8BF">
      <w:pPr>
        <w:spacing w:line="284" w:lineRule="auto"/>
        <w:rPr>
          <w:sz w:val="20"/>
          <w:szCs w:val="20"/>
        </w:rPr>
        <w:sectPr>
          <w:pgSz w:w="10300" w:h="13320"/>
          <w:pgMar w:top="400" w:right="587" w:bottom="400" w:left="1110" w:header="0" w:footer="0" w:gutter="0"/>
          <w:cols w:space="720" w:num="1"/>
        </w:sectPr>
      </w:pPr>
    </w:p>
    <w:p w14:paraId="199068C6">
      <w:pPr>
        <w:pStyle w:val="2"/>
        <w:spacing w:before="88" w:line="219" w:lineRule="auto"/>
        <w:rPr>
          <w:sz w:val="20"/>
          <w:szCs w:val="20"/>
        </w:rPr>
      </w:pPr>
      <w:r>
        <w:rPr>
          <w:rFonts w:ascii="Times New Roman" w:hAnsi="Times New Roman" w:eastAsia="Times New Roman" w:cs="Times New Roman"/>
          <w:spacing w:val="-3"/>
          <w:sz w:val="20"/>
          <w:szCs w:val="20"/>
        </w:rPr>
        <w:t>80</w:t>
      </w:r>
      <w:r>
        <w:rPr>
          <w:rFonts w:ascii="Times New Roman" w:hAnsi="Times New Roman" w:eastAsia="Times New Roman" w:cs="Times New Roman"/>
          <w:spacing w:val="1"/>
          <w:sz w:val="20"/>
          <w:szCs w:val="20"/>
        </w:rPr>
        <w:t xml:space="preserve">              </w:t>
      </w:r>
      <w:r>
        <w:rPr>
          <w:spacing w:val="-3"/>
          <w:sz w:val="20"/>
          <w:szCs w:val="20"/>
        </w:rPr>
        <w:t>信息系统监理师教程(第2版)</w:t>
      </w:r>
    </w:p>
    <w:p w14:paraId="5FD8D50A">
      <w:pPr>
        <w:spacing w:line="274" w:lineRule="auto"/>
        <w:rPr>
          <w:rFonts w:ascii="Arial"/>
          <w:sz w:val="21"/>
        </w:rPr>
      </w:pPr>
    </w:p>
    <w:p w14:paraId="320474C8">
      <w:pPr>
        <w:pStyle w:val="2"/>
        <w:spacing w:before="65" w:line="294" w:lineRule="auto"/>
        <w:ind w:left="309"/>
        <w:jc w:val="both"/>
        <w:rPr>
          <w:sz w:val="20"/>
          <w:szCs w:val="20"/>
        </w:rPr>
      </w:pPr>
      <w:bookmarkStart w:id="522" w:name="bookmark509"/>
      <w:bookmarkEnd w:id="522"/>
      <w:r>
        <w:rPr>
          <w:spacing w:val="5"/>
          <w:sz w:val="20"/>
          <w:szCs w:val="20"/>
        </w:rPr>
        <w:t>致化从多个</w:t>
      </w:r>
      <w:r>
        <w:rPr>
          <w:rFonts w:ascii="Times New Roman" w:hAnsi="Times New Roman" w:eastAsia="Times New Roman" w:cs="Times New Roman"/>
          <w:sz w:val="20"/>
          <w:szCs w:val="20"/>
        </w:rPr>
        <w:t>Wrapper</w:t>
      </w:r>
      <w:r>
        <w:rPr>
          <w:rFonts w:ascii="Times New Roman" w:hAnsi="Times New Roman" w:eastAsia="Times New Roman" w:cs="Times New Roman"/>
          <w:spacing w:val="5"/>
          <w:sz w:val="20"/>
          <w:szCs w:val="20"/>
        </w:rPr>
        <w:t xml:space="preserve"> </w:t>
      </w:r>
      <w:r>
        <w:rPr>
          <w:spacing w:val="5"/>
          <w:sz w:val="20"/>
          <w:szCs w:val="20"/>
        </w:rPr>
        <w:t>和其他</w:t>
      </w:r>
      <w:r>
        <w:rPr>
          <w:rFonts w:ascii="Times New Roman" w:hAnsi="Times New Roman" w:eastAsia="Times New Roman" w:cs="Times New Roman"/>
          <w:sz w:val="20"/>
          <w:szCs w:val="20"/>
        </w:rPr>
        <w:t>Mediator</w:t>
      </w:r>
      <w:r>
        <w:rPr>
          <w:rFonts w:ascii="Times New Roman" w:hAnsi="Times New Roman" w:eastAsia="Times New Roman" w:cs="Times New Roman"/>
          <w:spacing w:val="30"/>
          <w:sz w:val="20"/>
          <w:szCs w:val="20"/>
        </w:rPr>
        <w:t xml:space="preserve"> </w:t>
      </w:r>
      <w:r>
        <w:rPr>
          <w:spacing w:val="5"/>
          <w:sz w:val="20"/>
          <w:szCs w:val="20"/>
        </w:rPr>
        <w:t>传过来的数据。声明式方法的主要特点就是</w:t>
      </w:r>
      <w:r>
        <w:rPr>
          <w:spacing w:val="4"/>
          <w:sz w:val="20"/>
          <w:szCs w:val="20"/>
        </w:rPr>
        <w:t>通过一套合适</w:t>
      </w:r>
      <w:r>
        <w:rPr>
          <w:sz w:val="20"/>
          <w:szCs w:val="20"/>
        </w:rPr>
        <w:t xml:space="preserve">  </w:t>
      </w:r>
      <w:r>
        <w:rPr>
          <w:spacing w:val="3"/>
          <w:sz w:val="20"/>
          <w:szCs w:val="20"/>
        </w:rPr>
        <w:t>的语言来对多个数据源的数据进行建模，构建一个统一的数据表示，并且基于这一数据表示来</w:t>
      </w:r>
      <w:r>
        <w:rPr>
          <w:spacing w:val="2"/>
          <w:sz w:val="20"/>
          <w:szCs w:val="20"/>
        </w:rPr>
        <w:t xml:space="preserve">  </w:t>
      </w:r>
      <w:r>
        <w:rPr>
          <w:spacing w:val="5"/>
          <w:sz w:val="20"/>
          <w:szCs w:val="20"/>
        </w:rPr>
        <w:t>对整体系统数据进行查询，通过一套有效的推理机制来对数据源进行存取，获得所需的信息。</w:t>
      </w:r>
      <w:r>
        <w:rPr>
          <w:spacing w:val="14"/>
          <w:sz w:val="20"/>
          <w:szCs w:val="20"/>
        </w:rPr>
        <w:t xml:space="preserve"> </w:t>
      </w:r>
      <w:r>
        <w:rPr>
          <w:spacing w:val="4"/>
          <w:sz w:val="20"/>
          <w:szCs w:val="20"/>
        </w:rPr>
        <w:t>对于声明式数据集成方法，在设计过程中要重点考虑的</w:t>
      </w:r>
      <w:r>
        <w:rPr>
          <w:spacing w:val="3"/>
          <w:sz w:val="20"/>
          <w:szCs w:val="20"/>
        </w:rPr>
        <w:t>两个关键问题是：相关领域的概念化建</w:t>
      </w:r>
      <w:r>
        <w:rPr>
          <w:sz w:val="20"/>
          <w:szCs w:val="20"/>
        </w:rPr>
        <w:t xml:space="preserve"> </w:t>
      </w:r>
      <w:r>
        <w:rPr>
          <w:spacing w:val="-2"/>
          <w:sz w:val="20"/>
          <w:szCs w:val="20"/>
        </w:rPr>
        <w:t>模和基于这一概念化表示的推理的可行性。</w:t>
      </w:r>
    </w:p>
    <w:p w14:paraId="26A5D5C1">
      <w:pPr>
        <w:pStyle w:val="2"/>
        <w:spacing w:before="39" w:line="279" w:lineRule="auto"/>
        <w:ind w:left="309" w:firstLine="400"/>
        <w:jc w:val="both"/>
        <w:rPr>
          <w:sz w:val="20"/>
          <w:szCs w:val="20"/>
        </w:rPr>
      </w:pPr>
      <w:r>
        <w:rPr>
          <w:spacing w:val="1"/>
          <w:sz w:val="20"/>
          <w:szCs w:val="20"/>
        </w:rPr>
        <w:t>另一类方法是利用中间件集成异构数据库，</w:t>
      </w:r>
      <w:r>
        <w:rPr>
          <w:sz w:val="20"/>
          <w:szCs w:val="20"/>
        </w:rPr>
        <w:t xml:space="preserve">该方法不需要改变原始数据的存储和管理方式。 </w:t>
      </w:r>
      <w:r>
        <w:rPr>
          <w:spacing w:val="14"/>
          <w:sz w:val="20"/>
          <w:szCs w:val="20"/>
        </w:rPr>
        <w:t>中间件位于异构数据库系统(数据层)和应用程序(应用层)之间，向下协调各数据库系统，</w:t>
      </w:r>
      <w:r>
        <w:rPr>
          <w:spacing w:val="5"/>
          <w:sz w:val="20"/>
          <w:szCs w:val="20"/>
        </w:rPr>
        <w:t xml:space="preserve"> </w:t>
      </w:r>
      <w:r>
        <w:rPr>
          <w:spacing w:val="3"/>
          <w:sz w:val="20"/>
          <w:szCs w:val="20"/>
        </w:rPr>
        <w:t>向上为访问集成数据的应用提供统一的数据模式和数据访问通用接口。各数据库仍完成各自任</w:t>
      </w:r>
      <w:r>
        <w:rPr>
          <w:spacing w:val="2"/>
          <w:sz w:val="20"/>
          <w:szCs w:val="20"/>
        </w:rPr>
        <w:t xml:space="preserve">  </w:t>
      </w:r>
      <w:r>
        <w:rPr>
          <w:spacing w:val="-3"/>
          <w:sz w:val="20"/>
          <w:szCs w:val="20"/>
        </w:rPr>
        <w:t>务，中间件主要为异构数据源提供一个高层次的检索服务。</w:t>
      </w:r>
    </w:p>
    <w:p w14:paraId="23590502">
      <w:pPr>
        <w:spacing w:before="108" w:line="212" w:lineRule="auto"/>
        <w:ind w:left="709"/>
        <w:rPr>
          <w:rFonts w:ascii="Times New Roman" w:hAnsi="Times New Roman" w:eastAsia="Times New Roman" w:cs="Times New Roman"/>
          <w:sz w:val="20"/>
          <w:szCs w:val="20"/>
        </w:rPr>
      </w:pPr>
      <w:r>
        <w:rPr>
          <w:rFonts w:ascii="楷体" w:hAnsi="楷体" w:eastAsia="楷体" w:cs="楷体"/>
          <w:spacing w:val="12"/>
          <w:sz w:val="20"/>
          <w:szCs w:val="20"/>
        </w:rPr>
        <w:t>2)开放数据库互连标准</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ODBC</w:t>
      </w:r>
      <w:r>
        <w:rPr>
          <w:rFonts w:ascii="Times New Roman" w:hAnsi="Times New Roman" w:eastAsia="Times New Roman" w:cs="Times New Roman"/>
          <w:spacing w:val="12"/>
          <w:sz w:val="20"/>
          <w:szCs w:val="20"/>
        </w:rPr>
        <w:t>)</w:t>
      </w:r>
    </w:p>
    <w:p w14:paraId="5AC2BAC3">
      <w:pPr>
        <w:pStyle w:val="2"/>
        <w:spacing w:before="111" w:line="280" w:lineRule="auto"/>
        <w:ind w:left="309" w:right="71" w:firstLine="400"/>
        <w:rPr>
          <w:sz w:val="20"/>
          <w:szCs w:val="20"/>
        </w:rPr>
      </w:pPr>
      <w:r>
        <w:rPr>
          <w:spacing w:val="8"/>
          <w:sz w:val="20"/>
          <w:szCs w:val="20"/>
        </w:rPr>
        <w:t>实现异构数据源的数据集成首先要解决的问题是原始数据的提取。从异构数据库中提取</w:t>
      </w:r>
      <w:r>
        <w:rPr>
          <w:spacing w:val="4"/>
          <w:sz w:val="20"/>
          <w:szCs w:val="20"/>
        </w:rPr>
        <w:t xml:space="preserve"> </w:t>
      </w:r>
      <w:r>
        <w:rPr>
          <w:spacing w:val="5"/>
          <w:sz w:val="20"/>
          <w:szCs w:val="20"/>
        </w:rPr>
        <w:t>数据大多采用开放式数据库互连</w:t>
      </w:r>
      <w:r>
        <w:rPr>
          <w:spacing w:val="-52"/>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Open</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Database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Connectivity</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ODBC</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2"/>
          <w:sz w:val="20"/>
          <w:szCs w:val="20"/>
        </w:rPr>
        <w:t xml:space="preserve"> </w:t>
      </w:r>
      <w:r>
        <w:rPr>
          <w:spacing w:val="5"/>
          <w:sz w:val="20"/>
          <w:szCs w:val="20"/>
        </w:rPr>
        <w:t>。</w:t>
      </w:r>
      <w:r>
        <w:rPr>
          <w:rFonts w:ascii="Times New Roman" w:hAnsi="Times New Roman" w:eastAsia="Times New Roman" w:cs="Times New Roman"/>
          <w:sz w:val="20"/>
          <w:szCs w:val="20"/>
        </w:rPr>
        <w:t>ODBC</w:t>
      </w:r>
      <w:r>
        <w:rPr>
          <w:spacing w:val="5"/>
          <w:sz w:val="20"/>
          <w:szCs w:val="20"/>
        </w:rPr>
        <w:t>是一种用来在</w:t>
      </w:r>
      <w:r>
        <w:rPr>
          <w:sz w:val="20"/>
          <w:szCs w:val="20"/>
        </w:rPr>
        <w:t xml:space="preserve"> </w:t>
      </w:r>
      <w:r>
        <w:rPr>
          <w:spacing w:val="8"/>
          <w:sz w:val="20"/>
          <w:szCs w:val="20"/>
        </w:rPr>
        <w:t>数据库系统之间存取数据的标准应用程序接口，目前流行的数据库管理系统都</w:t>
      </w:r>
      <w:r>
        <w:rPr>
          <w:spacing w:val="7"/>
          <w:sz w:val="20"/>
          <w:szCs w:val="20"/>
        </w:rPr>
        <w:t>提供了相应的</w:t>
      </w:r>
      <w:r>
        <w:rPr>
          <w:sz w:val="20"/>
          <w:szCs w:val="20"/>
        </w:rPr>
        <w:t xml:space="preserve"> </w:t>
      </w:r>
      <w:r>
        <w:rPr>
          <w:rFonts w:ascii="Times New Roman" w:hAnsi="Times New Roman" w:eastAsia="Times New Roman" w:cs="Times New Roman"/>
          <w:sz w:val="20"/>
          <w:szCs w:val="20"/>
        </w:rPr>
        <w:t>ODBC</w:t>
      </w:r>
      <w:r>
        <w:rPr>
          <w:rFonts w:ascii="Times New Roman" w:hAnsi="Times New Roman" w:eastAsia="Times New Roman" w:cs="Times New Roman"/>
          <w:spacing w:val="4"/>
          <w:sz w:val="20"/>
          <w:szCs w:val="20"/>
        </w:rPr>
        <w:t xml:space="preserve"> </w:t>
      </w:r>
      <w:r>
        <w:rPr>
          <w:spacing w:val="4"/>
          <w:sz w:val="20"/>
          <w:szCs w:val="20"/>
        </w:rPr>
        <w:t>驱动程序，它使数据库系统具有很好的开放性，数据格</w:t>
      </w:r>
      <w:r>
        <w:rPr>
          <w:spacing w:val="3"/>
          <w:sz w:val="20"/>
          <w:szCs w:val="20"/>
        </w:rPr>
        <w:t>式转换也很方便。另一种提取数</w:t>
      </w:r>
      <w:r>
        <w:rPr>
          <w:sz w:val="20"/>
          <w:szCs w:val="20"/>
        </w:rPr>
        <w:t xml:space="preserve"> </w:t>
      </w:r>
      <w:r>
        <w:rPr>
          <w:spacing w:val="-1"/>
          <w:sz w:val="20"/>
          <w:szCs w:val="20"/>
        </w:rPr>
        <w:t>据的方法是针对不同的数据源编写专用的嵌</w:t>
      </w:r>
      <w:r>
        <w:rPr>
          <w:rFonts w:ascii="Times New Roman" w:hAnsi="Times New Roman" w:eastAsia="Times New Roman" w:cs="Times New Roman"/>
          <w:spacing w:val="-1"/>
          <w:sz w:val="20"/>
          <w:szCs w:val="20"/>
        </w:rPr>
        <w:t>C</w:t>
      </w:r>
      <w:r>
        <w:rPr>
          <w:rFonts w:ascii="Times New Roman" w:hAnsi="Times New Roman" w:eastAsia="Times New Roman" w:cs="Times New Roman"/>
          <w:spacing w:val="29"/>
          <w:w w:val="101"/>
          <w:sz w:val="20"/>
          <w:szCs w:val="20"/>
        </w:rPr>
        <w:t xml:space="preserve"> </w:t>
      </w:r>
      <w:r>
        <w:rPr>
          <w:spacing w:val="-1"/>
          <w:sz w:val="20"/>
          <w:szCs w:val="20"/>
        </w:rPr>
        <w:t>接口程序，这样可提高数据的提取速度。</w:t>
      </w:r>
    </w:p>
    <w:p w14:paraId="5C117349">
      <w:pPr>
        <w:spacing w:before="133" w:line="227" w:lineRule="auto"/>
        <w:ind w:left="709"/>
        <w:rPr>
          <w:rFonts w:ascii="楷体" w:hAnsi="楷体" w:eastAsia="楷体" w:cs="楷体"/>
          <w:sz w:val="20"/>
          <w:szCs w:val="20"/>
        </w:rPr>
      </w:pPr>
      <w:r>
        <w:rPr>
          <w:rFonts w:ascii="楷体" w:hAnsi="楷体" w:eastAsia="楷体" w:cs="楷体"/>
          <w:spacing w:val="11"/>
          <w:sz w:val="20"/>
          <w:szCs w:val="20"/>
        </w:rPr>
        <w:t>3)基于</w:t>
      </w:r>
      <w:r>
        <w:rPr>
          <w:rFonts w:ascii="Times New Roman" w:hAnsi="Times New Roman" w:eastAsia="Times New Roman" w:cs="Times New Roman"/>
          <w:sz w:val="20"/>
          <w:szCs w:val="20"/>
        </w:rPr>
        <w:t>XML</w:t>
      </w:r>
      <w:r>
        <w:rPr>
          <w:rFonts w:ascii="Times New Roman" w:hAnsi="Times New Roman" w:eastAsia="Times New Roman" w:cs="Times New Roman"/>
          <w:spacing w:val="27"/>
          <w:sz w:val="20"/>
          <w:szCs w:val="20"/>
        </w:rPr>
        <w:t xml:space="preserve"> </w:t>
      </w:r>
      <w:r>
        <w:rPr>
          <w:rFonts w:ascii="楷体" w:hAnsi="楷体" w:eastAsia="楷体" w:cs="楷体"/>
          <w:spacing w:val="11"/>
          <w:sz w:val="20"/>
          <w:szCs w:val="20"/>
        </w:rPr>
        <w:t>的数据交换标准</w:t>
      </w:r>
    </w:p>
    <w:p w14:paraId="4776D967">
      <w:pPr>
        <w:pStyle w:val="2"/>
        <w:spacing w:before="84" w:line="264" w:lineRule="auto"/>
        <w:ind w:left="309" w:right="20" w:firstLine="400"/>
        <w:rPr>
          <w:sz w:val="20"/>
          <w:szCs w:val="20"/>
        </w:rPr>
      </w:pPr>
      <w:r>
        <w:rPr>
          <w:sz w:val="20"/>
          <w:szCs w:val="20"/>
        </w:rPr>
        <w:t>使用中间件作为组织异构数据源集成的解决方案时，需要为中间件选择一种全局数据模</w:t>
      </w:r>
      <w:r>
        <w:rPr>
          <w:spacing w:val="-1"/>
          <w:sz w:val="20"/>
          <w:szCs w:val="20"/>
        </w:rPr>
        <w:t>式，</w:t>
      </w:r>
      <w:r>
        <w:rPr>
          <w:sz w:val="20"/>
          <w:szCs w:val="20"/>
        </w:rPr>
        <w:t xml:space="preserve"> </w:t>
      </w:r>
      <w:r>
        <w:rPr>
          <w:spacing w:val="-2"/>
          <w:sz w:val="20"/>
          <w:szCs w:val="20"/>
        </w:rPr>
        <w:t>统一异构数据源的数据模式。异构数据集成的全局模式需要满足的条件如下：</w:t>
      </w:r>
    </w:p>
    <w:p w14:paraId="04A66874">
      <w:pPr>
        <w:pStyle w:val="2"/>
        <w:spacing w:before="39" w:line="219" w:lineRule="auto"/>
        <w:ind w:left="709"/>
        <w:rPr>
          <w:sz w:val="20"/>
          <w:szCs w:val="20"/>
        </w:rPr>
      </w:pPr>
      <w:r>
        <w:rPr>
          <w:sz w:val="20"/>
          <w:szCs w:val="20"/>
        </w:rPr>
        <w:t>●能够描述各种数据格式，无论其是结构化的还是半结构化的。</w:t>
      </w:r>
    </w:p>
    <w:p w14:paraId="2AAAC295">
      <w:pPr>
        <w:pStyle w:val="2"/>
        <w:spacing w:before="102" w:line="253" w:lineRule="auto"/>
        <w:ind w:left="1009" w:right="92" w:hanging="300"/>
        <w:rPr>
          <w:sz w:val="20"/>
          <w:szCs w:val="20"/>
        </w:rPr>
      </w:pPr>
      <w:r>
        <w:rPr>
          <w:spacing w:val="3"/>
          <w:sz w:val="20"/>
          <w:szCs w:val="20"/>
        </w:rPr>
        <w:t>●易于发布和进行数据交换，集成后的数据可以方便地以多种格式发布，并便于在应用之</w:t>
      </w:r>
      <w:r>
        <w:rPr>
          <w:spacing w:val="9"/>
          <w:sz w:val="20"/>
          <w:szCs w:val="20"/>
        </w:rPr>
        <w:t xml:space="preserve"> </w:t>
      </w:r>
      <w:r>
        <w:rPr>
          <w:spacing w:val="-3"/>
          <w:sz w:val="20"/>
          <w:szCs w:val="20"/>
        </w:rPr>
        <w:t>间交换数据。</w:t>
      </w:r>
    </w:p>
    <w:p w14:paraId="6D3EE8B5">
      <w:pPr>
        <w:pStyle w:val="2"/>
        <w:spacing w:before="101" w:line="219" w:lineRule="auto"/>
        <w:ind w:left="709"/>
        <w:rPr>
          <w:sz w:val="20"/>
          <w:szCs w:val="20"/>
        </w:rPr>
      </w:pPr>
      <w:r>
        <w:rPr>
          <w:spacing w:val="1"/>
          <w:sz w:val="20"/>
          <w:szCs w:val="20"/>
        </w:rPr>
        <w:t>●可以采用关系或对象数据模式为全局模式，但并不能很好地满足上述要求。</w:t>
      </w:r>
    </w:p>
    <w:p w14:paraId="5E6B98F7">
      <w:pPr>
        <w:spacing w:before="145" w:line="228" w:lineRule="auto"/>
        <w:ind w:left="709"/>
        <w:rPr>
          <w:rFonts w:ascii="楷体" w:hAnsi="楷体" w:eastAsia="楷体" w:cs="楷体"/>
          <w:sz w:val="20"/>
          <w:szCs w:val="20"/>
        </w:rPr>
      </w:pPr>
      <w:r>
        <w:rPr>
          <w:rFonts w:ascii="楷体" w:hAnsi="楷体" w:eastAsia="楷体" w:cs="楷体"/>
          <w:spacing w:val="11"/>
          <w:sz w:val="20"/>
          <w:szCs w:val="20"/>
        </w:rPr>
        <w:t>4)基于</w:t>
      </w:r>
      <w:r>
        <w:rPr>
          <w:rFonts w:ascii="Times New Roman" w:hAnsi="Times New Roman" w:eastAsia="Times New Roman" w:cs="Times New Roman"/>
          <w:sz w:val="20"/>
          <w:szCs w:val="20"/>
        </w:rPr>
        <w:t>JSON</w:t>
      </w:r>
      <w:r>
        <w:rPr>
          <w:rFonts w:ascii="Times New Roman" w:hAnsi="Times New Roman" w:eastAsia="Times New Roman" w:cs="Times New Roman"/>
          <w:spacing w:val="23"/>
          <w:sz w:val="20"/>
          <w:szCs w:val="20"/>
        </w:rPr>
        <w:t xml:space="preserve"> </w:t>
      </w:r>
      <w:r>
        <w:rPr>
          <w:rFonts w:ascii="楷体" w:hAnsi="楷体" w:eastAsia="楷体" w:cs="楷体"/>
          <w:spacing w:val="11"/>
          <w:sz w:val="20"/>
          <w:szCs w:val="20"/>
        </w:rPr>
        <w:t>的数据交换格式</w:t>
      </w:r>
    </w:p>
    <w:p w14:paraId="1DEF5A1C">
      <w:pPr>
        <w:pStyle w:val="2"/>
        <w:spacing w:before="73" w:line="277" w:lineRule="auto"/>
        <w:ind w:left="309" w:right="90" w:firstLine="400"/>
        <w:jc w:val="both"/>
        <w:rPr>
          <w:sz w:val="20"/>
          <w:szCs w:val="20"/>
        </w:rPr>
      </w:pPr>
      <w:r>
        <w:rPr>
          <w:spacing w:val="6"/>
          <w:sz w:val="20"/>
          <w:szCs w:val="20"/>
        </w:rPr>
        <w:t>在开发客户端与服务端的应用当中，数据交换接口通常都是通过</w:t>
      </w:r>
      <w:r>
        <w:rPr>
          <w:rFonts w:ascii="Times New Roman" w:hAnsi="Times New Roman" w:eastAsia="Times New Roman" w:cs="Times New Roman"/>
          <w:sz w:val="20"/>
          <w:szCs w:val="20"/>
        </w:rPr>
        <w:t>XML</w:t>
      </w:r>
      <w:r>
        <w:rPr>
          <w:rFonts w:ascii="Times New Roman" w:hAnsi="Times New Roman" w:eastAsia="Times New Roman" w:cs="Times New Roman"/>
          <w:spacing w:val="5"/>
          <w:sz w:val="20"/>
          <w:szCs w:val="20"/>
        </w:rPr>
        <w:t xml:space="preserve"> </w:t>
      </w:r>
      <w:r>
        <w:rPr>
          <w:spacing w:val="5"/>
          <w:sz w:val="20"/>
          <w:szCs w:val="20"/>
        </w:rPr>
        <w:t>格式来进行数据交</w:t>
      </w:r>
      <w:r>
        <w:rPr>
          <w:sz w:val="20"/>
          <w:szCs w:val="20"/>
        </w:rPr>
        <w:t xml:space="preserve"> </w:t>
      </w:r>
      <w:r>
        <w:rPr>
          <w:spacing w:val="1"/>
          <w:sz w:val="20"/>
          <w:szCs w:val="20"/>
        </w:rPr>
        <w:t>换的。近年来，随着</w:t>
      </w:r>
      <w:r>
        <w:rPr>
          <w:rFonts w:ascii="Times New Roman" w:hAnsi="Times New Roman" w:eastAsia="Times New Roman" w:cs="Times New Roman"/>
          <w:sz w:val="20"/>
          <w:szCs w:val="20"/>
        </w:rPr>
        <w:t>AJAX</w:t>
      </w:r>
      <w:r>
        <w:rPr>
          <w:rFonts w:ascii="Times New Roman" w:hAnsi="Times New Roman" w:eastAsia="Times New Roman" w:cs="Times New Roman"/>
          <w:spacing w:val="1"/>
          <w:sz w:val="20"/>
          <w:szCs w:val="20"/>
        </w:rPr>
        <w:t xml:space="preserve"> </w:t>
      </w:r>
      <w:r>
        <w:rPr>
          <w:spacing w:val="1"/>
          <w:sz w:val="20"/>
          <w:szCs w:val="20"/>
        </w:rPr>
        <w:t>技术的兴起，</w:t>
      </w:r>
      <w:r>
        <w:rPr>
          <w:rFonts w:ascii="Times New Roman" w:hAnsi="Times New Roman" w:eastAsia="Times New Roman" w:cs="Times New Roman"/>
          <w:sz w:val="20"/>
          <w:szCs w:val="20"/>
        </w:rPr>
        <w:t>JSON</w:t>
      </w:r>
      <w:r>
        <w:rPr>
          <w:rFonts w:ascii="Times New Roman" w:hAnsi="Times New Roman" w:eastAsia="Times New Roman" w:cs="Times New Roman"/>
          <w:spacing w:val="17"/>
          <w:sz w:val="20"/>
          <w:szCs w:val="20"/>
        </w:rPr>
        <w:t xml:space="preserve"> </w:t>
      </w:r>
      <w:r>
        <w:rPr>
          <w:spacing w:val="1"/>
          <w:sz w:val="20"/>
          <w:szCs w:val="20"/>
        </w:rPr>
        <w:t>作为一种轻量级</w:t>
      </w:r>
      <w:r>
        <w:rPr>
          <w:sz w:val="20"/>
          <w:szCs w:val="20"/>
        </w:rPr>
        <w:t xml:space="preserve">的数据交换格式，以其易于阅读 </w:t>
      </w:r>
      <w:r>
        <w:rPr>
          <w:spacing w:val="-2"/>
          <w:sz w:val="20"/>
          <w:szCs w:val="20"/>
        </w:rPr>
        <w:t>和编写的优点，被越来越多地应用于各个项目中。</w:t>
      </w:r>
    </w:p>
    <w:p w14:paraId="274B9170">
      <w:pPr>
        <w:pStyle w:val="2"/>
        <w:spacing w:before="218" w:line="219" w:lineRule="auto"/>
        <w:ind w:left="312"/>
        <w:rPr>
          <w:sz w:val="26"/>
          <w:szCs w:val="26"/>
        </w:rPr>
      </w:pPr>
      <w:r>
        <w:rPr>
          <w:b/>
          <w:bCs/>
          <w:color w:val="1D8AD3"/>
          <w:spacing w:val="-25"/>
          <w:sz w:val="26"/>
          <w:szCs w:val="26"/>
        </w:rPr>
        <w:t>2.5.4</w:t>
      </w:r>
      <w:r>
        <w:rPr>
          <w:color w:val="1D8AD3"/>
          <w:spacing w:val="76"/>
          <w:sz w:val="26"/>
          <w:szCs w:val="26"/>
        </w:rPr>
        <w:t xml:space="preserve"> </w:t>
      </w:r>
      <w:r>
        <w:rPr>
          <w:b/>
          <w:bCs/>
          <w:color w:val="1D8AD3"/>
          <w:spacing w:val="-25"/>
          <w:sz w:val="26"/>
          <w:szCs w:val="26"/>
        </w:rPr>
        <w:t>软件集成</w:t>
      </w:r>
    </w:p>
    <w:p w14:paraId="73520144">
      <w:pPr>
        <w:pStyle w:val="2"/>
        <w:spacing w:before="135" w:line="279" w:lineRule="auto"/>
        <w:ind w:left="309" w:firstLine="400"/>
        <w:jc w:val="both"/>
        <w:rPr>
          <w:rFonts w:ascii="Times New Roman" w:hAnsi="Times New Roman" w:eastAsia="Times New Roman" w:cs="Times New Roman"/>
          <w:sz w:val="20"/>
          <w:szCs w:val="20"/>
        </w:rPr>
      </w:pPr>
      <w:r>
        <w:rPr>
          <w:spacing w:val="5"/>
          <w:sz w:val="20"/>
          <w:szCs w:val="20"/>
        </w:rPr>
        <w:t>随着对象技术和网络技术的发展，信息系统开发环境</w:t>
      </w:r>
      <w:r>
        <w:rPr>
          <w:spacing w:val="4"/>
          <w:sz w:val="20"/>
          <w:szCs w:val="20"/>
        </w:rPr>
        <w:t>也逐步体现出从结构化到面向对象、</w:t>
      </w:r>
      <w:r>
        <w:rPr>
          <w:sz w:val="20"/>
          <w:szCs w:val="20"/>
        </w:rPr>
        <w:t xml:space="preserve"> </w:t>
      </w:r>
      <w:r>
        <w:rPr>
          <w:spacing w:val="3"/>
          <w:sz w:val="20"/>
          <w:szCs w:val="20"/>
        </w:rPr>
        <w:t>从集中到分布、从同构到异构、从独立到集成、从辅助到智能、从异步到协同的发展趋势。应</w:t>
      </w:r>
      <w:r>
        <w:rPr>
          <w:spacing w:val="2"/>
          <w:sz w:val="20"/>
          <w:szCs w:val="20"/>
        </w:rPr>
        <w:t xml:space="preserve">  </w:t>
      </w:r>
      <w:r>
        <w:rPr>
          <w:spacing w:val="3"/>
          <w:sz w:val="20"/>
          <w:szCs w:val="20"/>
        </w:rPr>
        <w:t>用系统的开发已从以单机为中心逐步过渡到以网络环境为中心，成千上万台个人计算机与工作</w:t>
      </w:r>
      <w:r>
        <w:rPr>
          <w:spacing w:val="4"/>
          <w:sz w:val="20"/>
          <w:szCs w:val="20"/>
        </w:rPr>
        <w:t xml:space="preserve">  </w:t>
      </w:r>
      <w:r>
        <w:rPr>
          <w:spacing w:val="3"/>
          <w:sz w:val="20"/>
          <w:szCs w:val="20"/>
        </w:rPr>
        <w:t>站已变成全球共享的庞大的计算机信息资源。开放系统可以让用户透明地应用由不同厂商制造</w:t>
      </w:r>
      <w:r>
        <w:rPr>
          <w:spacing w:val="2"/>
          <w:sz w:val="20"/>
          <w:szCs w:val="20"/>
        </w:rPr>
        <w:t xml:space="preserve">  </w:t>
      </w:r>
      <w:r>
        <w:rPr>
          <w:spacing w:val="8"/>
          <w:sz w:val="20"/>
          <w:szCs w:val="20"/>
        </w:rPr>
        <w:t>的不同硬件平台、由不同操作系统组成的异构型计算资源，在千差万别的</w:t>
      </w:r>
      <w:r>
        <w:rPr>
          <w:spacing w:val="7"/>
          <w:sz w:val="20"/>
          <w:szCs w:val="20"/>
        </w:rPr>
        <w:t>信息资源(异构的、</w:t>
      </w:r>
      <w:r>
        <w:rPr>
          <w:sz w:val="20"/>
          <w:szCs w:val="20"/>
        </w:rPr>
        <w:t xml:space="preserve"> </w:t>
      </w:r>
      <w:r>
        <w:rPr>
          <w:spacing w:val="6"/>
          <w:sz w:val="20"/>
          <w:szCs w:val="20"/>
        </w:rPr>
        <w:t>网络的、物理性能差别很大的、不同厂商和不同语言的信息资源)</w:t>
      </w:r>
      <w:r>
        <w:rPr>
          <w:spacing w:val="5"/>
          <w:sz w:val="20"/>
          <w:szCs w:val="20"/>
        </w:rPr>
        <w:t>的基础上构造起信息共享的</w:t>
      </w:r>
      <w:r>
        <w:rPr>
          <w:sz w:val="20"/>
          <w:szCs w:val="20"/>
        </w:rPr>
        <w:t xml:space="preserve">  </w:t>
      </w:r>
      <w:r>
        <w:rPr>
          <w:spacing w:val="8"/>
          <w:sz w:val="20"/>
          <w:szCs w:val="20"/>
        </w:rPr>
        <w:t>分布式系统。面对这样的趋势，必须对面向对象技术进行改进和扩展，使之符合异构网络应</w:t>
      </w:r>
      <w:r>
        <w:rPr>
          <w:spacing w:val="3"/>
          <w:sz w:val="20"/>
          <w:szCs w:val="20"/>
        </w:rPr>
        <w:t xml:space="preserve">  </w:t>
      </w:r>
      <w:r>
        <w:rPr>
          <w:spacing w:val="7"/>
          <w:sz w:val="20"/>
          <w:szCs w:val="20"/>
        </w:rPr>
        <w:t>用的要求。在这一背景下出现了有代表性的软件构件标准：公共对象请求代理结构</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Common</w:t>
      </w:r>
    </w:p>
    <w:p w14:paraId="0C32A6CC">
      <w:pPr>
        <w:spacing w:line="279" w:lineRule="auto"/>
        <w:rPr>
          <w:rFonts w:ascii="Times New Roman" w:hAnsi="Times New Roman" w:eastAsia="Times New Roman" w:cs="Times New Roman"/>
          <w:sz w:val="20"/>
          <w:szCs w:val="20"/>
        </w:rPr>
        <w:sectPr>
          <w:pgSz w:w="10310" w:h="13410"/>
          <w:pgMar w:top="400" w:right="1059" w:bottom="400" w:left="520" w:header="0" w:footer="0" w:gutter="0"/>
          <w:cols w:space="720" w:num="1"/>
        </w:sectPr>
      </w:pPr>
    </w:p>
    <w:p w14:paraId="3F90EFAB">
      <w:pPr>
        <w:pStyle w:val="2"/>
        <w:spacing w:before="86" w:line="219" w:lineRule="auto"/>
        <w:jc w:val="right"/>
        <w:rPr>
          <w:rFonts w:ascii="Times New Roman" w:hAnsi="Times New Roman" w:eastAsia="Times New Roman" w:cs="Times New Roman"/>
          <w:sz w:val="17"/>
          <w:szCs w:val="17"/>
        </w:rPr>
      </w:pPr>
      <w:r>
        <w:rPr>
          <w:spacing w:val="-2"/>
          <w:sz w:val="20"/>
          <w:szCs w:val="20"/>
        </w:rPr>
        <w:t>第2章 信息系统工程</w:t>
      </w:r>
      <w:r>
        <w:rPr>
          <w:spacing w:val="13"/>
          <w:sz w:val="20"/>
          <w:szCs w:val="20"/>
        </w:rPr>
        <w:t xml:space="preserve">      </w:t>
      </w:r>
      <w:r>
        <w:rPr>
          <w:rFonts w:ascii="Times New Roman" w:hAnsi="Times New Roman" w:eastAsia="Times New Roman" w:cs="Times New Roman"/>
          <w:spacing w:val="-2"/>
          <w:sz w:val="17"/>
          <w:szCs w:val="17"/>
        </w:rPr>
        <w:t>81</w:t>
      </w:r>
    </w:p>
    <w:p w14:paraId="278ADFD6">
      <w:pPr>
        <w:spacing w:line="293" w:lineRule="auto"/>
        <w:rPr>
          <w:rFonts w:ascii="Arial"/>
          <w:sz w:val="21"/>
        </w:rPr>
      </w:pPr>
    </w:p>
    <w:p w14:paraId="05536E8F">
      <w:pPr>
        <w:pStyle w:val="2"/>
        <w:spacing w:before="65" w:line="314" w:lineRule="auto"/>
        <w:ind w:right="236"/>
        <w:rPr>
          <w:sz w:val="17"/>
          <w:szCs w:val="17"/>
        </w:rPr>
      </w:pPr>
      <w:r>
        <w:rPr>
          <w:rFonts w:ascii="Times New Roman" w:hAnsi="Times New Roman" w:eastAsia="Times New Roman" w:cs="Times New Roman"/>
          <w:spacing w:val="-1"/>
          <w:sz w:val="20"/>
          <w:szCs w:val="20"/>
        </w:rPr>
        <w:t>Object</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1"/>
          <w:sz w:val="20"/>
          <w:szCs w:val="20"/>
        </w:rPr>
        <w:t>Request</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1"/>
          <w:sz w:val="20"/>
          <w:szCs w:val="20"/>
        </w:rPr>
        <w:t>Broker</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1"/>
          <w:sz w:val="20"/>
          <w:szCs w:val="20"/>
        </w:rPr>
        <w:t>Architecture,CORBA)</w:t>
      </w:r>
      <w:r>
        <w:rPr>
          <w:rFonts w:ascii="Times New Roman" w:hAnsi="Times New Roman" w:eastAsia="Times New Roman" w:cs="Times New Roman"/>
          <w:spacing w:val="-29"/>
          <w:sz w:val="20"/>
          <w:szCs w:val="20"/>
        </w:rPr>
        <w:t xml:space="preserve"> </w:t>
      </w:r>
      <w:r>
        <w:rPr>
          <w:spacing w:val="-1"/>
          <w:sz w:val="20"/>
          <w:szCs w:val="20"/>
        </w:rPr>
        <w:t>、</w:t>
      </w:r>
      <w:r>
        <w:rPr>
          <w:rFonts w:ascii="Times New Roman" w:hAnsi="Times New Roman" w:eastAsia="Times New Roman" w:cs="Times New Roman"/>
          <w:spacing w:val="-1"/>
          <w:sz w:val="20"/>
          <w:szCs w:val="20"/>
        </w:rPr>
        <w:t>COM</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DCOM</w:t>
      </w:r>
      <w:r>
        <w:rPr>
          <w:spacing w:val="-1"/>
          <w:sz w:val="20"/>
          <w:szCs w:val="20"/>
        </w:rPr>
        <w:t>与</w:t>
      </w:r>
      <w:r>
        <w:rPr>
          <w:spacing w:val="-48"/>
          <w:sz w:val="20"/>
          <w:szCs w:val="20"/>
        </w:rPr>
        <w:t xml:space="preserve"> </w:t>
      </w:r>
      <w:r>
        <w:rPr>
          <w:rFonts w:ascii="Times New Roman" w:hAnsi="Times New Roman" w:eastAsia="Times New Roman" w:cs="Times New Roman"/>
          <w:spacing w:val="-1"/>
          <w:sz w:val="20"/>
          <w:szCs w:val="20"/>
        </w:rPr>
        <w:t>COM+</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.NET</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 xml:space="preserve">J2EE </w:t>
      </w:r>
      <w:r>
        <w:rPr>
          <w:spacing w:val="-1"/>
          <w:sz w:val="20"/>
          <w:szCs w:val="20"/>
        </w:rPr>
        <w:t>应用</w:t>
      </w:r>
      <w:r>
        <w:rPr>
          <w:spacing w:val="-2"/>
          <w:sz w:val="20"/>
          <w:szCs w:val="20"/>
        </w:rPr>
        <w:t>架构</w:t>
      </w:r>
      <w:r>
        <w:rPr>
          <w:sz w:val="20"/>
          <w:szCs w:val="20"/>
        </w:rPr>
        <w:t xml:space="preserve"> </w:t>
      </w:r>
      <w:r>
        <w:rPr>
          <w:spacing w:val="17"/>
          <w:sz w:val="17"/>
          <w:szCs w:val="17"/>
        </w:rPr>
        <w:t>等标准</w:t>
      </w:r>
      <w:r>
        <w:rPr>
          <w:spacing w:val="-45"/>
          <w:sz w:val="17"/>
          <w:szCs w:val="17"/>
        </w:rPr>
        <w:t xml:space="preserve"> </w:t>
      </w:r>
      <w:r>
        <w:rPr>
          <w:spacing w:val="17"/>
          <w:sz w:val="17"/>
          <w:szCs w:val="17"/>
        </w:rPr>
        <w:t>。</w:t>
      </w:r>
    </w:p>
    <w:p w14:paraId="0457E18A">
      <w:pPr>
        <w:spacing w:before="82" w:line="192" w:lineRule="auto"/>
        <w:ind w:left="40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1)CORBA</w:t>
      </w:r>
    </w:p>
    <w:p w14:paraId="2EA352B2">
      <w:pPr>
        <w:pStyle w:val="2"/>
        <w:spacing w:before="133" w:line="283" w:lineRule="auto"/>
        <w:ind w:right="149" w:firstLine="400"/>
        <w:rPr>
          <w:sz w:val="20"/>
          <w:szCs w:val="20"/>
        </w:rPr>
      </w:pPr>
      <w:r>
        <w:rPr>
          <w:spacing w:val="6"/>
          <w:sz w:val="20"/>
          <w:szCs w:val="20"/>
        </w:rPr>
        <w:t>对象管理组织(</w:t>
      </w:r>
      <w:r>
        <w:rPr>
          <w:sz w:val="20"/>
          <w:szCs w:val="20"/>
        </w:rPr>
        <w:t>Object</w:t>
      </w:r>
      <w:r>
        <w:rPr>
          <w:spacing w:val="39"/>
          <w:sz w:val="20"/>
          <w:szCs w:val="20"/>
        </w:rPr>
        <w:t xml:space="preserve">  </w:t>
      </w:r>
      <w:r>
        <w:rPr>
          <w:sz w:val="20"/>
          <w:szCs w:val="20"/>
        </w:rPr>
        <w:t>Management</w:t>
      </w:r>
      <w:r>
        <w:rPr>
          <w:spacing w:val="32"/>
          <w:sz w:val="20"/>
          <w:szCs w:val="20"/>
        </w:rPr>
        <w:t xml:space="preserve">  </w:t>
      </w:r>
      <w:r>
        <w:rPr>
          <w:sz w:val="20"/>
          <w:szCs w:val="20"/>
        </w:rPr>
        <w:t>Group</w:t>
      </w:r>
      <w:r>
        <w:rPr>
          <w:spacing w:val="6"/>
          <w:sz w:val="20"/>
          <w:szCs w:val="20"/>
        </w:rPr>
        <w:t>,</w:t>
      </w:r>
      <w:r>
        <w:rPr>
          <w:sz w:val="20"/>
          <w:szCs w:val="20"/>
        </w:rPr>
        <w:t>OMG</w:t>
      </w:r>
      <w:r>
        <w:rPr>
          <w:spacing w:val="6"/>
          <w:sz w:val="20"/>
          <w:szCs w:val="20"/>
        </w:rPr>
        <w:t>)是</w:t>
      </w:r>
      <w:r>
        <w:rPr>
          <w:spacing w:val="-39"/>
          <w:sz w:val="20"/>
          <w:szCs w:val="20"/>
        </w:rPr>
        <w:t xml:space="preserve"> </w:t>
      </w:r>
      <w:r>
        <w:rPr>
          <w:sz w:val="20"/>
          <w:szCs w:val="20"/>
        </w:rPr>
        <w:t>CORBA</w:t>
      </w:r>
      <w:r>
        <w:rPr>
          <w:spacing w:val="6"/>
          <w:sz w:val="20"/>
          <w:szCs w:val="20"/>
        </w:rPr>
        <w:t xml:space="preserve">  规范的制定者，是由信息系</w:t>
      </w:r>
      <w:r>
        <w:rPr>
          <w:sz w:val="20"/>
          <w:szCs w:val="20"/>
        </w:rPr>
        <w:t xml:space="preserve">  </w:t>
      </w:r>
      <w:r>
        <w:rPr>
          <w:spacing w:val="3"/>
          <w:sz w:val="20"/>
          <w:szCs w:val="20"/>
        </w:rPr>
        <w:t>统供应商、软件开发者和用户共同构成的国际组织，建立于1989年。</w:t>
      </w:r>
      <w:r>
        <w:rPr>
          <w:spacing w:val="-20"/>
          <w:sz w:val="20"/>
          <w:szCs w:val="20"/>
        </w:rPr>
        <w:t xml:space="preserve"> </w:t>
      </w:r>
      <w:r>
        <w:rPr>
          <w:rFonts w:ascii="Times New Roman" w:hAnsi="Times New Roman" w:eastAsia="Times New Roman" w:cs="Times New Roman"/>
          <w:sz w:val="20"/>
          <w:szCs w:val="20"/>
        </w:rPr>
        <w:t>OMG</w:t>
      </w:r>
      <w:r>
        <w:rPr>
          <w:rFonts w:ascii="Times New Roman" w:hAnsi="Times New Roman" w:eastAsia="Times New Roman" w:cs="Times New Roman"/>
          <w:spacing w:val="21"/>
          <w:sz w:val="20"/>
          <w:szCs w:val="20"/>
        </w:rPr>
        <w:t xml:space="preserve"> </w:t>
      </w:r>
      <w:r>
        <w:rPr>
          <w:spacing w:val="3"/>
          <w:sz w:val="20"/>
          <w:szCs w:val="20"/>
        </w:rPr>
        <w:t>在理论上和实践上</w:t>
      </w:r>
      <w:r>
        <w:rPr>
          <w:sz w:val="20"/>
          <w:szCs w:val="20"/>
        </w:rPr>
        <w:t xml:space="preserve">  促进了面向对象软件的发展。</w:t>
      </w:r>
      <w:r>
        <w:rPr>
          <w:rFonts w:ascii="Times New Roman" w:hAnsi="Times New Roman" w:eastAsia="Times New Roman" w:cs="Times New Roman"/>
          <w:sz w:val="20"/>
          <w:szCs w:val="20"/>
        </w:rPr>
        <w:t>OMG</w:t>
      </w:r>
      <w:r>
        <w:rPr>
          <w:rFonts w:ascii="Times New Roman" w:hAnsi="Times New Roman" w:eastAsia="Times New Roman" w:cs="Times New Roman"/>
          <w:spacing w:val="20"/>
          <w:w w:val="101"/>
          <w:sz w:val="20"/>
          <w:szCs w:val="20"/>
        </w:rPr>
        <w:t xml:space="preserve"> </w:t>
      </w:r>
      <w:r>
        <w:rPr>
          <w:sz w:val="20"/>
          <w:szCs w:val="20"/>
        </w:rPr>
        <w:t>的目的则是将对象和分布</w:t>
      </w:r>
      <w:r>
        <w:rPr>
          <w:spacing w:val="-1"/>
          <w:sz w:val="20"/>
          <w:szCs w:val="20"/>
        </w:rPr>
        <w:t>式系统技术集成为一个可相互操作</w:t>
      </w:r>
      <w:r>
        <w:rPr>
          <w:sz w:val="20"/>
          <w:szCs w:val="20"/>
        </w:rPr>
        <w:t xml:space="preserve">  </w:t>
      </w:r>
      <w:r>
        <w:rPr>
          <w:spacing w:val="6"/>
          <w:sz w:val="20"/>
          <w:szCs w:val="20"/>
        </w:rPr>
        <w:t>的统一结构，此结构既支持现有的平台，也将支持未来</w:t>
      </w:r>
      <w:r>
        <w:rPr>
          <w:spacing w:val="5"/>
          <w:sz w:val="20"/>
          <w:szCs w:val="20"/>
        </w:rPr>
        <w:t>的平台集成。以</w:t>
      </w:r>
      <w:r>
        <w:rPr>
          <w:rFonts w:ascii="Times New Roman" w:hAnsi="Times New Roman" w:eastAsia="Times New Roman" w:cs="Times New Roman"/>
          <w:sz w:val="20"/>
          <w:szCs w:val="20"/>
        </w:rPr>
        <w:t>CORBA</w:t>
      </w:r>
      <w:r>
        <w:rPr>
          <w:rFonts w:ascii="Times New Roman" w:hAnsi="Times New Roman" w:eastAsia="Times New Roman" w:cs="Times New Roman"/>
          <w:spacing w:val="5"/>
          <w:sz w:val="20"/>
          <w:szCs w:val="20"/>
        </w:rPr>
        <w:t xml:space="preserve"> </w:t>
      </w:r>
      <w:r>
        <w:rPr>
          <w:spacing w:val="5"/>
          <w:sz w:val="20"/>
          <w:szCs w:val="20"/>
        </w:rPr>
        <w:t>为基础，利用</w:t>
      </w:r>
      <w:r>
        <w:rPr>
          <w:sz w:val="20"/>
          <w:szCs w:val="20"/>
        </w:rPr>
        <w:t xml:space="preserve"> </w:t>
      </w:r>
      <w:r>
        <w:rPr>
          <w:rFonts w:ascii="Times New Roman" w:hAnsi="Times New Roman" w:eastAsia="Times New Roman" w:cs="Times New Roman"/>
          <w:sz w:val="20"/>
          <w:szCs w:val="20"/>
        </w:rPr>
        <w:t>JINI</w:t>
      </w:r>
      <w:r>
        <w:rPr>
          <w:rFonts w:ascii="Times New Roman" w:hAnsi="Times New Roman" w:eastAsia="Times New Roman" w:cs="Times New Roman"/>
          <w:spacing w:val="-12"/>
          <w:sz w:val="20"/>
          <w:szCs w:val="20"/>
        </w:rPr>
        <w:t xml:space="preserve"> </w:t>
      </w:r>
      <w:r>
        <w:rPr>
          <w:spacing w:val="1"/>
          <w:sz w:val="20"/>
          <w:szCs w:val="20"/>
        </w:rPr>
        <w:t>技术，可以结合各类电子产品成为网络上的服务资源，使应用集成走向更广阔的</w:t>
      </w:r>
      <w:r>
        <w:rPr>
          <w:sz w:val="20"/>
          <w:szCs w:val="20"/>
        </w:rPr>
        <w:t xml:space="preserve">应用领域， </w:t>
      </w:r>
      <w:r>
        <w:rPr>
          <w:spacing w:val="-1"/>
          <w:sz w:val="20"/>
          <w:szCs w:val="20"/>
        </w:rPr>
        <w:t>同时</w:t>
      </w:r>
      <w:r>
        <w:rPr>
          <w:spacing w:val="-53"/>
          <w:sz w:val="20"/>
          <w:szCs w:val="20"/>
        </w:rPr>
        <w:t xml:space="preserve"> </w:t>
      </w:r>
      <w:r>
        <w:rPr>
          <w:rFonts w:ascii="Times New Roman" w:hAnsi="Times New Roman" w:eastAsia="Times New Roman" w:cs="Times New Roman"/>
          <w:spacing w:val="-1"/>
          <w:sz w:val="20"/>
          <w:szCs w:val="20"/>
        </w:rPr>
        <w:t>Object Web</w:t>
      </w:r>
      <w:r>
        <w:rPr>
          <w:rFonts w:ascii="Times New Roman" w:hAnsi="Times New Roman" w:eastAsia="Times New Roman" w:cs="Times New Roman"/>
          <w:spacing w:val="-12"/>
          <w:sz w:val="20"/>
          <w:szCs w:val="20"/>
        </w:rPr>
        <w:t xml:space="preserve"> </w:t>
      </w:r>
      <w:r>
        <w:rPr>
          <w:spacing w:val="-1"/>
          <w:sz w:val="20"/>
          <w:szCs w:val="20"/>
        </w:rPr>
        <w:t>把</w:t>
      </w:r>
      <w:r>
        <w:rPr>
          <w:spacing w:val="-53"/>
          <w:sz w:val="20"/>
          <w:szCs w:val="20"/>
        </w:rPr>
        <w:t xml:space="preserve"> </w:t>
      </w:r>
      <w:r>
        <w:rPr>
          <w:rFonts w:ascii="Times New Roman" w:hAnsi="Times New Roman" w:eastAsia="Times New Roman" w:cs="Times New Roman"/>
          <w:spacing w:val="-1"/>
          <w:sz w:val="20"/>
          <w:szCs w:val="20"/>
        </w:rPr>
        <w:t>CORBA</w:t>
      </w:r>
      <w:r>
        <w:rPr>
          <w:rFonts w:ascii="Times New Roman" w:hAnsi="Times New Roman" w:eastAsia="Times New Roman" w:cs="Times New Roman"/>
          <w:spacing w:val="19"/>
          <w:w w:val="101"/>
          <w:sz w:val="20"/>
          <w:szCs w:val="20"/>
        </w:rPr>
        <w:t xml:space="preserve"> </w:t>
      </w:r>
      <w:r>
        <w:rPr>
          <w:spacing w:val="-1"/>
          <w:sz w:val="20"/>
          <w:szCs w:val="20"/>
        </w:rPr>
        <w:t>技术带入了互联网世界。</w:t>
      </w:r>
      <w:r>
        <w:rPr>
          <w:rFonts w:ascii="Times New Roman" w:hAnsi="Times New Roman" w:eastAsia="Times New Roman" w:cs="Times New Roman"/>
          <w:spacing w:val="-1"/>
          <w:sz w:val="20"/>
          <w:szCs w:val="20"/>
        </w:rPr>
        <w:t xml:space="preserve">CORBA </w:t>
      </w:r>
      <w:r>
        <w:rPr>
          <w:spacing w:val="-1"/>
          <w:sz w:val="20"/>
          <w:szCs w:val="20"/>
        </w:rPr>
        <w:t>是</w:t>
      </w:r>
      <w:r>
        <w:rPr>
          <w:spacing w:val="-49"/>
          <w:sz w:val="20"/>
          <w:szCs w:val="20"/>
        </w:rPr>
        <w:t xml:space="preserve"> </w:t>
      </w:r>
      <w:r>
        <w:rPr>
          <w:rFonts w:ascii="Times New Roman" w:hAnsi="Times New Roman" w:eastAsia="Times New Roman" w:cs="Times New Roman"/>
          <w:spacing w:val="-1"/>
          <w:sz w:val="20"/>
          <w:szCs w:val="20"/>
        </w:rPr>
        <w:t>OMG</w:t>
      </w:r>
      <w:r>
        <w:rPr>
          <w:rFonts w:ascii="Times New Roman" w:hAnsi="Times New Roman" w:eastAsia="Times New Roman" w:cs="Times New Roman"/>
          <w:spacing w:val="20"/>
          <w:w w:val="101"/>
          <w:sz w:val="20"/>
          <w:szCs w:val="20"/>
        </w:rPr>
        <w:t xml:space="preserve"> </w:t>
      </w:r>
      <w:r>
        <w:rPr>
          <w:spacing w:val="-2"/>
          <w:sz w:val="20"/>
          <w:szCs w:val="20"/>
        </w:rPr>
        <w:t>进行标准化分布式对象计</w:t>
      </w:r>
      <w:r>
        <w:rPr>
          <w:sz w:val="20"/>
          <w:szCs w:val="20"/>
        </w:rPr>
        <w:t xml:space="preserve">  </w:t>
      </w:r>
      <w:r>
        <w:rPr>
          <w:spacing w:val="1"/>
          <w:sz w:val="20"/>
          <w:szCs w:val="20"/>
        </w:rPr>
        <w:t>算的基础。</w:t>
      </w:r>
      <w:r>
        <w:rPr>
          <w:rFonts w:ascii="Times New Roman" w:hAnsi="Times New Roman" w:eastAsia="Times New Roman" w:cs="Times New Roman"/>
          <w:sz w:val="20"/>
          <w:szCs w:val="20"/>
        </w:rPr>
        <w:t>CORBA</w:t>
      </w:r>
      <w:r>
        <w:rPr>
          <w:spacing w:val="1"/>
          <w:sz w:val="20"/>
          <w:szCs w:val="20"/>
        </w:rPr>
        <w:t>自动匹配许多公共网络任务，例如对象登记、定位、激活、多路请求、组帧</w:t>
      </w:r>
      <w:r>
        <w:rPr>
          <w:spacing w:val="5"/>
          <w:sz w:val="20"/>
          <w:szCs w:val="20"/>
        </w:rPr>
        <w:t xml:space="preserve">  </w:t>
      </w:r>
      <w:r>
        <w:rPr>
          <w:spacing w:val="-2"/>
          <w:sz w:val="20"/>
          <w:szCs w:val="20"/>
        </w:rPr>
        <w:t>和错误控制、参数编排和反编排、操作分配等。</w:t>
      </w:r>
    </w:p>
    <w:p w14:paraId="44709344">
      <w:pPr>
        <w:spacing w:before="150" w:line="192" w:lineRule="auto"/>
        <w:ind w:left="40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2)COM</w:t>
      </w:r>
    </w:p>
    <w:p w14:paraId="150F4F90">
      <w:pPr>
        <w:pStyle w:val="2"/>
        <w:spacing w:before="126" w:line="290" w:lineRule="auto"/>
        <w:ind w:right="233" w:firstLine="400"/>
        <w:rPr>
          <w:sz w:val="20"/>
          <w:szCs w:val="20"/>
        </w:rPr>
      </w:pPr>
      <w:r>
        <w:rPr>
          <w:rFonts w:ascii="Times New Roman" w:hAnsi="Times New Roman" w:eastAsia="Times New Roman" w:cs="Times New Roman"/>
          <w:sz w:val="20"/>
          <w:szCs w:val="20"/>
        </w:rPr>
        <w:t>COM</w:t>
      </w:r>
      <w:r>
        <w:rPr>
          <w:rFonts w:ascii="Times New Roman" w:hAnsi="Times New Roman" w:eastAsia="Times New Roman" w:cs="Times New Roman"/>
          <w:spacing w:val="2"/>
          <w:sz w:val="20"/>
          <w:szCs w:val="20"/>
        </w:rPr>
        <w:t xml:space="preserve"> </w:t>
      </w:r>
      <w:r>
        <w:rPr>
          <w:spacing w:val="2"/>
          <w:sz w:val="20"/>
          <w:szCs w:val="20"/>
        </w:rPr>
        <w:t>中的对象是一种二进制代码对象，其代码形式是</w:t>
      </w:r>
      <w:r>
        <w:rPr>
          <w:rFonts w:ascii="Times New Roman" w:hAnsi="Times New Roman" w:eastAsia="Times New Roman" w:cs="Times New Roman"/>
          <w:sz w:val="20"/>
          <w:szCs w:val="20"/>
        </w:rPr>
        <w:t>DLL</w:t>
      </w:r>
      <w:r>
        <w:rPr>
          <w:rFonts w:ascii="Times New Roman" w:hAnsi="Times New Roman" w:eastAsia="Times New Roman" w:cs="Times New Roman"/>
          <w:spacing w:val="35"/>
          <w:sz w:val="20"/>
          <w:szCs w:val="20"/>
        </w:rPr>
        <w:t xml:space="preserve"> </w:t>
      </w:r>
      <w:r>
        <w:rPr>
          <w:spacing w:val="2"/>
          <w:sz w:val="20"/>
          <w:szCs w:val="20"/>
        </w:rPr>
        <w:t>或</w:t>
      </w:r>
      <w:r>
        <w:rPr>
          <w:spacing w:val="-50"/>
          <w:sz w:val="20"/>
          <w:szCs w:val="20"/>
        </w:rPr>
        <w:t xml:space="preserve"> </w:t>
      </w:r>
      <w:r>
        <w:rPr>
          <w:rFonts w:ascii="Times New Roman" w:hAnsi="Times New Roman" w:eastAsia="Times New Roman" w:cs="Times New Roman"/>
          <w:sz w:val="20"/>
          <w:szCs w:val="20"/>
        </w:rPr>
        <w:t>EXE</w:t>
      </w:r>
      <w:r>
        <w:rPr>
          <w:rFonts w:ascii="Times New Roman" w:hAnsi="Times New Roman" w:eastAsia="Times New Roman" w:cs="Times New Roman"/>
          <w:spacing w:val="2"/>
          <w:sz w:val="20"/>
          <w:szCs w:val="20"/>
        </w:rPr>
        <w:t xml:space="preserve"> </w:t>
      </w:r>
      <w:r>
        <w:rPr>
          <w:spacing w:val="2"/>
          <w:sz w:val="20"/>
          <w:szCs w:val="20"/>
        </w:rPr>
        <w:t>执行代码。</w:t>
      </w:r>
      <w:r>
        <w:rPr>
          <w:rFonts w:ascii="Times New Roman" w:hAnsi="Times New Roman" w:eastAsia="Times New Roman" w:cs="Times New Roman"/>
          <w:sz w:val="20"/>
          <w:szCs w:val="20"/>
        </w:rPr>
        <w:t>COM</w:t>
      </w:r>
      <w:r>
        <w:rPr>
          <w:rFonts w:ascii="Times New Roman" w:hAnsi="Times New Roman" w:eastAsia="Times New Roman" w:cs="Times New Roman"/>
          <w:spacing w:val="32"/>
          <w:sz w:val="20"/>
          <w:szCs w:val="20"/>
        </w:rPr>
        <w:t xml:space="preserve"> </w:t>
      </w:r>
      <w:r>
        <w:rPr>
          <w:spacing w:val="2"/>
          <w:sz w:val="20"/>
          <w:szCs w:val="20"/>
        </w:rPr>
        <w:t>中</w:t>
      </w:r>
      <w:r>
        <w:rPr>
          <w:spacing w:val="-24"/>
          <w:sz w:val="20"/>
          <w:szCs w:val="20"/>
        </w:rPr>
        <w:t xml:space="preserve"> </w:t>
      </w:r>
      <w:r>
        <w:rPr>
          <w:spacing w:val="2"/>
          <w:sz w:val="20"/>
          <w:szCs w:val="20"/>
        </w:rPr>
        <w:t>的</w:t>
      </w:r>
      <w:r>
        <w:rPr>
          <w:sz w:val="20"/>
          <w:szCs w:val="20"/>
        </w:rPr>
        <w:t xml:space="preserve"> </w:t>
      </w:r>
      <w:r>
        <w:rPr>
          <w:spacing w:val="5"/>
          <w:sz w:val="20"/>
          <w:szCs w:val="20"/>
        </w:rPr>
        <w:t>对象都被直接注册在</w:t>
      </w:r>
      <w:r>
        <w:rPr>
          <w:rFonts w:ascii="Times New Roman" w:hAnsi="Times New Roman" w:eastAsia="Times New Roman" w:cs="Times New Roman"/>
          <w:sz w:val="20"/>
          <w:szCs w:val="20"/>
        </w:rPr>
        <w:t>Windows</w:t>
      </w:r>
      <w:r>
        <w:rPr>
          <w:rFonts w:ascii="Times New Roman" w:hAnsi="Times New Roman" w:eastAsia="Times New Roman" w:cs="Times New Roman"/>
          <w:spacing w:val="5"/>
          <w:sz w:val="20"/>
          <w:szCs w:val="20"/>
        </w:rPr>
        <w:t xml:space="preserve"> </w:t>
      </w:r>
      <w:r>
        <w:rPr>
          <w:spacing w:val="5"/>
          <w:sz w:val="20"/>
          <w:szCs w:val="20"/>
        </w:rPr>
        <w:t>的系统库中，所以，</w:t>
      </w:r>
      <w:r>
        <w:rPr>
          <w:spacing w:val="-59"/>
          <w:sz w:val="20"/>
          <w:szCs w:val="20"/>
        </w:rPr>
        <w:t xml:space="preserve"> </w:t>
      </w:r>
      <w:r>
        <w:rPr>
          <w:rFonts w:ascii="Times New Roman" w:hAnsi="Times New Roman" w:eastAsia="Times New Roman" w:cs="Times New Roman"/>
          <w:sz w:val="20"/>
          <w:szCs w:val="20"/>
        </w:rPr>
        <w:t>COM</w:t>
      </w:r>
      <w:r>
        <w:rPr>
          <w:rFonts w:ascii="Times New Roman" w:hAnsi="Times New Roman" w:eastAsia="Times New Roman" w:cs="Times New Roman"/>
          <w:spacing w:val="5"/>
          <w:sz w:val="20"/>
          <w:szCs w:val="20"/>
        </w:rPr>
        <w:t xml:space="preserve"> </w:t>
      </w:r>
      <w:r>
        <w:rPr>
          <w:spacing w:val="5"/>
          <w:sz w:val="20"/>
          <w:szCs w:val="20"/>
        </w:rPr>
        <w:t>中的对象都不再是由特定的编程语言</w:t>
      </w:r>
      <w:r>
        <w:rPr>
          <w:sz w:val="20"/>
          <w:szCs w:val="20"/>
        </w:rPr>
        <w:t xml:space="preserve"> 及其程序设计环境所支持的对象，而是由系统平台直接支持的对象。</w:t>
      </w:r>
      <w:r>
        <w:rPr>
          <w:rFonts w:ascii="Times New Roman" w:hAnsi="Times New Roman" w:eastAsia="Times New Roman" w:cs="Times New Roman"/>
          <w:sz w:val="20"/>
          <w:szCs w:val="20"/>
        </w:rPr>
        <w:t>COM</w:t>
      </w:r>
      <w:r>
        <w:rPr>
          <w:rFonts w:ascii="Times New Roman" w:hAnsi="Times New Roman" w:eastAsia="Times New Roman" w:cs="Times New Roman"/>
          <w:spacing w:val="30"/>
          <w:sz w:val="20"/>
          <w:szCs w:val="20"/>
        </w:rPr>
        <w:t xml:space="preserve"> </w:t>
      </w:r>
      <w:r>
        <w:rPr>
          <w:sz w:val="20"/>
          <w:szCs w:val="20"/>
        </w:rPr>
        <w:t xml:space="preserve">对象可能由各种编程 </w:t>
      </w:r>
      <w:r>
        <w:rPr>
          <w:spacing w:val="1"/>
          <w:sz w:val="20"/>
          <w:szCs w:val="20"/>
        </w:rPr>
        <w:t>语言实现，并为各种编程语言所引用。</w:t>
      </w:r>
      <w:r>
        <w:rPr>
          <w:rFonts w:ascii="Times New Roman" w:hAnsi="Times New Roman" w:eastAsia="Times New Roman" w:cs="Times New Roman"/>
          <w:sz w:val="20"/>
          <w:szCs w:val="20"/>
        </w:rPr>
        <w:t>COM</w:t>
      </w:r>
      <w:r>
        <w:rPr>
          <w:rFonts w:ascii="Times New Roman" w:hAnsi="Times New Roman" w:eastAsia="Times New Roman" w:cs="Times New Roman"/>
          <w:spacing w:val="1"/>
          <w:sz w:val="20"/>
          <w:szCs w:val="20"/>
        </w:rPr>
        <w:t xml:space="preserve"> </w:t>
      </w:r>
      <w:r>
        <w:rPr>
          <w:spacing w:val="1"/>
          <w:sz w:val="20"/>
          <w:szCs w:val="20"/>
        </w:rPr>
        <w:t>对象作为某个应用程序的构成单元</w:t>
      </w:r>
      <w:r>
        <w:rPr>
          <w:sz w:val="20"/>
          <w:szCs w:val="20"/>
        </w:rPr>
        <w:t xml:space="preserve">，不但可以作为 </w:t>
      </w:r>
      <w:r>
        <w:rPr>
          <w:spacing w:val="-1"/>
          <w:sz w:val="20"/>
          <w:szCs w:val="20"/>
        </w:rPr>
        <w:t>该应用程序中的其他部分，而且还可以单独为其他应用程序或系</w:t>
      </w:r>
      <w:r>
        <w:rPr>
          <w:spacing w:val="-2"/>
          <w:sz w:val="20"/>
          <w:szCs w:val="20"/>
        </w:rPr>
        <w:t>统提供服务。</w:t>
      </w:r>
    </w:p>
    <w:p w14:paraId="41021DE0">
      <w:pPr>
        <w:pStyle w:val="2"/>
        <w:spacing w:before="19" w:line="278" w:lineRule="auto"/>
        <w:ind w:right="189" w:firstLine="400"/>
        <w:rPr>
          <w:sz w:val="20"/>
          <w:szCs w:val="20"/>
        </w:rPr>
      </w:pPr>
      <w:r>
        <w:rPr>
          <w:rFonts w:ascii="Times New Roman" w:hAnsi="Times New Roman" w:eastAsia="Times New Roman" w:cs="Times New Roman"/>
          <w:sz w:val="20"/>
          <w:szCs w:val="20"/>
        </w:rPr>
        <w:t>COM</w:t>
      </w:r>
      <w:r>
        <w:rPr>
          <w:rFonts w:ascii="Times New Roman" w:hAnsi="Times New Roman" w:eastAsia="Times New Roman" w:cs="Times New Roman"/>
          <w:spacing w:val="-18"/>
          <w:sz w:val="20"/>
          <w:szCs w:val="20"/>
        </w:rPr>
        <w:t xml:space="preserve"> </w:t>
      </w:r>
      <w:r>
        <w:rPr>
          <w:spacing w:val="3"/>
          <w:sz w:val="20"/>
          <w:szCs w:val="20"/>
        </w:rPr>
        <w:t>技术要达到的基本目标是：即使对象是由不同的开发人员用不</w:t>
      </w:r>
      <w:r>
        <w:rPr>
          <w:spacing w:val="2"/>
          <w:sz w:val="20"/>
          <w:szCs w:val="20"/>
        </w:rPr>
        <w:t>同的编程语言实现的，</w:t>
      </w:r>
      <w:r>
        <w:rPr>
          <w:sz w:val="20"/>
          <w:szCs w:val="20"/>
        </w:rPr>
        <w:t xml:space="preserve"> </w:t>
      </w:r>
      <w:r>
        <w:rPr>
          <w:spacing w:val="3"/>
          <w:sz w:val="20"/>
          <w:szCs w:val="20"/>
        </w:rPr>
        <w:t>在开发软件系统时，仍能够有效地利用已经存在于其他已有软件系统中的对象；同时，也要使</w:t>
      </w:r>
      <w:r>
        <w:rPr>
          <w:spacing w:val="16"/>
          <w:sz w:val="20"/>
          <w:szCs w:val="20"/>
        </w:rPr>
        <w:t xml:space="preserve"> </w:t>
      </w:r>
      <w:r>
        <w:rPr>
          <w:spacing w:val="-2"/>
          <w:sz w:val="20"/>
          <w:szCs w:val="20"/>
        </w:rPr>
        <w:t>当前所开发的对象便于今后开发其他软件系统时进行重用。</w:t>
      </w:r>
    </w:p>
    <w:p w14:paraId="66629A27">
      <w:pPr>
        <w:pStyle w:val="2"/>
        <w:spacing w:before="8" w:line="272" w:lineRule="auto"/>
        <w:ind w:right="259" w:firstLine="400"/>
        <w:rPr>
          <w:sz w:val="20"/>
          <w:szCs w:val="20"/>
        </w:rPr>
      </w:pPr>
      <w:r>
        <w:rPr>
          <w:spacing w:val="6"/>
          <w:sz w:val="20"/>
          <w:szCs w:val="20"/>
        </w:rPr>
        <w:t>为实现与编程语言的无关性，将</w:t>
      </w:r>
      <w:r>
        <w:rPr>
          <w:sz w:val="20"/>
          <w:szCs w:val="20"/>
        </w:rPr>
        <w:t>COM</w:t>
      </w:r>
      <w:r>
        <w:rPr>
          <w:spacing w:val="6"/>
          <w:sz w:val="20"/>
          <w:szCs w:val="20"/>
        </w:rPr>
        <w:t xml:space="preserve">  对象制作成二进制可执行代</w:t>
      </w:r>
      <w:r>
        <w:rPr>
          <w:spacing w:val="5"/>
          <w:sz w:val="20"/>
          <w:szCs w:val="20"/>
        </w:rPr>
        <w:t>码，然后在二进制代码</w:t>
      </w:r>
      <w:r>
        <w:rPr>
          <w:sz w:val="20"/>
          <w:szCs w:val="20"/>
        </w:rPr>
        <w:t xml:space="preserve"> </w:t>
      </w:r>
      <w:r>
        <w:rPr>
          <w:spacing w:val="1"/>
          <w:sz w:val="20"/>
          <w:szCs w:val="20"/>
        </w:rPr>
        <w:t>层使用这种标准接口的统一方式，为对象提供标准的互操作接口，并且由系统平台直接对</w:t>
      </w:r>
      <w:r>
        <w:rPr>
          <w:sz w:val="20"/>
          <w:szCs w:val="20"/>
        </w:rPr>
        <w:t>COM</w:t>
      </w:r>
    </w:p>
    <w:p w14:paraId="45CB7BDA">
      <w:pPr>
        <w:pStyle w:val="2"/>
        <w:spacing w:before="29" w:line="249" w:lineRule="auto"/>
        <w:ind w:right="241"/>
        <w:rPr>
          <w:sz w:val="20"/>
          <w:szCs w:val="20"/>
        </w:rPr>
      </w:pPr>
      <w:r>
        <w:rPr>
          <w:spacing w:val="3"/>
          <w:sz w:val="20"/>
          <w:szCs w:val="20"/>
        </w:rPr>
        <w:t>对象的管理与使用提供支持。</w:t>
      </w:r>
      <w:r>
        <w:rPr>
          <w:rFonts w:ascii="Times New Roman" w:hAnsi="Times New Roman" w:eastAsia="Times New Roman" w:cs="Times New Roman"/>
          <w:sz w:val="20"/>
          <w:szCs w:val="20"/>
        </w:rPr>
        <w:t>COM</w:t>
      </w:r>
      <w:r>
        <w:rPr>
          <w:rFonts w:ascii="Times New Roman" w:hAnsi="Times New Roman" w:eastAsia="Times New Roman" w:cs="Times New Roman"/>
          <w:spacing w:val="22"/>
          <w:sz w:val="20"/>
          <w:szCs w:val="20"/>
        </w:rPr>
        <w:t xml:space="preserve"> </w:t>
      </w:r>
      <w:r>
        <w:rPr>
          <w:spacing w:val="3"/>
          <w:sz w:val="20"/>
          <w:szCs w:val="20"/>
        </w:rPr>
        <w:t>具备了软件集成所需的许多特征，包括面</w:t>
      </w:r>
      <w:r>
        <w:rPr>
          <w:spacing w:val="2"/>
          <w:sz w:val="20"/>
          <w:szCs w:val="20"/>
        </w:rPr>
        <w:t>向对象、客户机/</w:t>
      </w:r>
      <w:r>
        <w:rPr>
          <w:sz w:val="20"/>
          <w:szCs w:val="20"/>
        </w:rPr>
        <w:t xml:space="preserve"> </w:t>
      </w:r>
      <w:r>
        <w:rPr>
          <w:spacing w:val="-2"/>
          <w:sz w:val="20"/>
          <w:szCs w:val="20"/>
        </w:rPr>
        <w:t xml:space="preserve">服务器架构 </w:t>
      </w:r>
      <w:r>
        <w:rPr>
          <w:rFonts w:ascii="Times New Roman" w:hAnsi="Times New Roman" w:eastAsia="Times New Roman" w:cs="Times New Roman"/>
          <w:spacing w:val="-2"/>
          <w:sz w:val="20"/>
          <w:szCs w:val="20"/>
        </w:rPr>
        <w:t>(B/S)</w:t>
      </w:r>
      <w:r>
        <w:rPr>
          <w:rFonts w:ascii="Times New Roman" w:hAnsi="Times New Roman" w:eastAsia="Times New Roman" w:cs="Times New Roman"/>
          <w:spacing w:val="-15"/>
          <w:sz w:val="20"/>
          <w:szCs w:val="20"/>
        </w:rPr>
        <w:t xml:space="preserve"> </w:t>
      </w:r>
      <w:r>
        <w:rPr>
          <w:spacing w:val="-2"/>
          <w:sz w:val="20"/>
          <w:szCs w:val="20"/>
        </w:rPr>
        <w:t>、 语言无关性、进程透明性和可重复性。</w:t>
      </w:r>
    </w:p>
    <w:p w14:paraId="6642C19D">
      <w:pPr>
        <w:spacing w:before="140" w:line="212" w:lineRule="auto"/>
        <w:ind w:left="40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3)DCOM</w:t>
      </w:r>
      <w:r>
        <w:rPr>
          <w:rFonts w:ascii="Times New Roman" w:hAnsi="Times New Roman" w:eastAsia="Times New Roman" w:cs="Times New Roman"/>
          <w:spacing w:val="13"/>
          <w:w w:val="101"/>
          <w:sz w:val="20"/>
          <w:szCs w:val="20"/>
        </w:rPr>
        <w:t xml:space="preserve">   </w:t>
      </w:r>
      <w:r>
        <w:rPr>
          <w:rFonts w:ascii="楷体" w:hAnsi="楷体" w:eastAsia="楷体" w:cs="楷体"/>
          <w:spacing w:val="-3"/>
          <w:sz w:val="20"/>
          <w:szCs w:val="20"/>
        </w:rPr>
        <w:t>与</w:t>
      </w:r>
      <w:r>
        <w:rPr>
          <w:rFonts w:ascii="楷体" w:hAnsi="楷体" w:eastAsia="楷体" w:cs="楷体"/>
          <w:spacing w:val="-42"/>
          <w:sz w:val="20"/>
          <w:szCs w:val="20"/>
        </w:rPr>
        <w:t xml:space="preserve"> </w:t>
      </w:r>
      <w:r>
        <w:rPr>
          <w:rFonts w:ascii="Times New Roman" w:hAnsi="Times New Roman" w:eastAsia="Times New Roman" w:cs="Times New Roman"/>
          <w:spacing w:val="-3"/>
          <w:sz w:val="20"/>
          <w:szCs w:val="20"/>
        </w:rPr>
        <w:t>COM+</w:t>
      </w:r>
    </w:p>
    <w:p w14:paraId="775B48A2">
      <w:pPr>
        <w:pStyle w:val="2"/>
        <w:spacing w:before="109" w:line="282" w:lineRule="auto"/>
        <w:ind w:right="237" w:firstLine="400"/>
        <w:rPr>
          <w:sz w:val="20"/>
          <w:szCs w:val="20"/>
        </w:rPr>
      </w:pPr>
      <w:r>
        <w:rPr>
          <w:rFonts w:ascii="Times New Roman" w:hAnsi="Times New Roman" w:eastAsia="Times New Roman" w:cs="Times New Roman"/>
          <w:sz w:val="20"/>
          <w:szCs w:val="20"/>
        </w:rPr>
        <w:t>DCOM</w:t>
      </w:r>
      <w:r>
        <w:rPr>
          <w:rFonts w:ascii="Times New Roman" w:hAnsi="Times New Roman" w:eastAsia="Times New Roman" w:cs="Times New Roman"/>
          <w:spacing w:val="5"/>
          <w:sz w:val="20"/>
          <w:szCs w:val="20"/>
        </w:rPr>
        <w:t xml:space="preserve"> </w:t>
      </w:r>
      <w:r>
        <w:rPr>
          <w:spacing w:val="5"/>
          <w:sz w:val="20"/>
          <w:szCs w:val="20"/>
        </w:rPr>
        <w:t>作</w:t>
      </w:r>
      <w:r>
        <w:rPr>
          <w:spacing w:val="-21"/>
          <w:sz w:val="20"/>
          <w:szCs w:val="20"/>
        </w:rPr>
        <w:t xml:space="preserve"> </w:t>
      </w:r>
      <w:r>
        <w:rPr>
          <w:spacing w:val="5"/>
          <w:sz w:val="20"/>
          <w:szCs w:val="20"/>
        </w:rPr>
        <w:t>为</w:t>
      </w:r>
      <w:r>
        <w:rPr>
          <w:rFonts w:ascii="Times New Roman" w:hAnsi="Times New Roman" w:eastAsia="Times New Roman" w:cs="Times New Roman"/>
          <w:sz w:val="20"/>
          <w:szCs w:val="20"/>
        </w:rPr>
        <w:t>COM</w:t>
      </w:r>
      <w:r>
        <w:rPr>
          <w:rFonts w:ascii="Times New Roman" w:hAnsi="Times New Roman" w:eastAsia="Times New Roman" w:cs="Times New Roman"/>
          <w:spacing w:val="21"/>
          <w:w w:val="101"/>
          <w:sz w:val="20"/>
          <w:szCs w:val="20"/>
        </w:rPr>
        <w:t xml:space="preserve"> </w:t>
      </w:r>
      <w:r>
        <w:rPr>
          <w:spacing w:val="5"/>
          <w:sz w:val="20"/>
          <w:szCs w:val="20"/>
        </w:rPr>
        <w:t>的扩展，不仅继承了</w:t>
      </w:r>
      <w:r>
        <w:rPr>
          <w:rFonts w:ascii="Times New Roman" w:hAnsi="Times New Roman" w:eastAsia="Times New Roman" w:cs="Times New Roman"/>
          <w:sz w:val="20"/>
          <w:szCs w:val="20"/>
        </w:rPr>
        <w:t>COM</w:t>
      </w:r>
      <w:r>
        <w:rPr>
          <w:rFonts w:ascii="Times New Roman" w:hAnsi="Times New Roman" w:eastAsia="Times New Roman" w:cs="Times New Roman"/>
          <w:spacing w:val="22"/>
          <w:sz w:val="20"/>
          <w:szCs w:val="20"/>
        </w:rPr>
        <w:t xml:space="preserve"> </w:t>
      </w:r>
      <w:r>
        <w:rPr>
          <w:spacing w:val="5"/>
          <w:sz w:val="20"/>
          <w:szCs w:val="20"/>
        </w:rPr>
        <w:t>的优点，而且针对分布式环境还提供了一些</w:t>
      </w:r>
      <w:r>
        <w:rPr>
          <w:sz w:val="20"/>
          <w:szCs w:val="20"/>
        </w:rPr>
        <w:t xml:space="preserve"> </w:t>
      </w:r>
      <w:r>
        <w:rPr>
          <w:spacing w:val="2"/>
          <w:sz w:val="20"/>
          <w:szCs w:val="20"/>
        </w:rPr>
        <w:t>新的特性，例如位置透明性、网络安全性、跨平台调用等。</w:t>
      </w:r>
      <w:r>
        <w:rPr>
          <w:rFonts w:ascii="Times New Roman" w:hAnsi="Times New Roman" w:eastAsia="Times New Roman" w:cs="Times New Roman"/>
          <w:sz w:val="20"/>
          <w:szCs w:val="20"/>
        </w:rPr>
        <w:t>DCOM</w:t>
      </w:r>
      <w:r>
        <w:rPr>
          <w:rFonts w:ascii="Times New Roman" w:hAnsi="Times New Roman" w:eastAsia="Times New Roman" w:cs="Times New Roman"/>
          <w:spacing w:val="2"/>
          <w:sz w:val="20"/>
          <w:szCs w:val="20"/>
        </w:rPr>
        <w:t xml:space="preserve"> </w:t>
      </w:r>
      <w:r>
        <w:rPr>
          <w:spacing w:val="2"/>
          <w:sz w:val="20"/>
          <w:szCs w:val="20"/>
        </w:rPr>
        <w:t>实际上是对用户调用进程外</w:t>
      </w:r>
      <w:r>
        <w:rPr>
          <w:spacing w:val="13"/>
          <w:sz w:val="20"/>
          <w:szCs w:val="20"/>
        </w:rPr>
        <w:t xml:space="preserve"> </w:t>
      </w:r>
      <w:r>
        <w:rPr>
          <w:spacing w:val="2"/>
          <w:sz w:val="20"/>
          <w:szCs w:val="20"/>
        </w:rPr>
        <w:t>服务的一种改进，通过</w:t>
      </w:r>
      <w:r>
        <w:rPr>
          <w:rFonts w:ascii="Times New Roman" w:hAnsi="Times New Roman" w:eastAsia="Times New Roman" w:cs="Times New Roman"/>
          <w:sz w:val="20"/>
          <w:szCs w:val="20"/>
        </w:rPr>
        <w:t>RPC</w:t>
      </w:r>
      <w:r>
        <w:rPr>
          <w:rFonts w:ascii="Times New Roman" w:hAnsi="Times New Roman" w:eastAsia="Times New Roman" w:cs="Times New Roman"/>
          <w:spacing w:val="31"/>
          <w:sz w:val="20"/>
          <w:szCs w:val="20"/>
        </w:rPr>
        <w:t xml:space="preserve"> </w:t>
      </w:r>
      <w:r>
        <w:rPr>
          <w:spacing w:val="2"/>
          <w:sz w:val="20"/>
          <w:szCs w:val="20"/>
        </w:rPr>
        <w:t>协议，使用户可以通过网络以透明的方式调用远程机器上的远程服</w:t>
      </w:r>
      <w:r>
        <w:rPr>
          <w:sz w:val="20"/>
          <w:szCs w:val="20"/>
        </w:rPr>
        <w:t xml:space="preserve"> </w:t>
      </w:r>
      <w:r>
        <w:rPr>
          <w:spacing w:val="3"/>
          <w:sz w:val="20"/>
          <w:szCs w:val="20"/>
        </w:rPr>
        <w:t>务。在调用的过程中，用户并不是直接调用远程机器上的远程服务，而是首先在本地机器上建</w:t>
      </w:r>
      <w:r>
        <w:rPr>
          <w:spacing w:val="14"/>
          <w:sz w:val="20"/>
          <w:szCs w:val="20"/>
        </w:rPr>
        <w:t xml:space="preserve"> </w:t>
      </w:r>
      <w:r>
        <w:rPr>
          <w:spacing w:val="2"/>
          <w:sz w:val="20"/>
          <w:szCs w:val="20"/>
        </w:rPr>
        <w:t>立一个远程服务代理，通过</w:t>
      </w:r>
      <w:r>
        <w:rPr>
          <w:rFonts w:ascii="Times New Roman" w:hAnsi="Times New Roman" w:eastAsia="Times New Roman" w:cs="Times New Roman"/>
          <w:sz w:val="20"/>
          <w:szCs w:val="20"/>
        </w:rPr>
        <w:t>RPC</w:t>
      </w:r>
      <w:r>
        <w:rPr>
          <w:rFonts w:ascii="Times New Roman" w:hAnsi="Times New Roman" w:eastAsia="Times New Roman" w:cs="Times New Roman"/>
          <w:spacing w:val="32"/>
          <w:sz w:val="20"/>
          <w:szCs w:val="20"/>
        </w:rPr>
        <w:t xml:space="preserve"> </w:t>
      </w:r>
      <w:r>
        <w:rPr>
          <w:spacing w:val="2"/>
          <w:sz w:val="20"/>
          <w:szCs w:val="20"/>
        </w:rPr>
        <w:t>协议，调用远程服务机器上的桩，由桩来解析用户的调用以映</w:t>
      </w:r>
      <w:r>
        <w:rPr>
          <w:sz w:val="20"/>
          <w:szCs w:val="20"/>
        </w:rPr>
        <w:t xml:space="preserve"> </w:t>
      </w:r>
      <w:r>
        <w:rPr>
          <w:spacing w:val="-3"/>
          <w:sz w:val="20"/>
          <w:szCs w:val="20"/>
        </w:rPr>
        <w:t>射到远程服务的方法或属性上。</w:t>
      </w:r>
    </w:p>
    <w:p w14:paraId="3A6C7A29">
      <w:pPr>
        <w:pStyle w:val="2"/>
        <w:spacing w:before="3" w:line="279" w:lineRule="auto"/>
        <w:ind w:right="239" w:firstLine="400"/>
        <w:jc w:val="both"/>
        <w:rPr>
          <w:sz w:val="20"/>
          <w:szCs w:val="20"/>
        </w:rPr>
      </w:pPr>
      <w:r>
        <w:rPr>
          <w:rFonts w:ascii="Times New Roman" w:hAnsi="Times New Roman" w:eastAsia="Times New Roman" w:cs="Times New Roman"/>
          <w:sz w:val="20"/>
          <w:szCs w:val="20"/>
        </w:rPr>
        <w:t>COM</w:t>
      </w:r>
      <w:r>
        <w:rPr>
          <w:rFonts w:ascii="Times New Roman" w:hAnsi="Times New Roman" w:eastAsia="Times New Roman" w:cs="Times New Roman"/>
          <w:spacing w:val="4"/>
          <w:sz w:val="20"/>
          <w:szCs w:val="20"/>
        </w:rPr>
        <w:t xml:space="preserve">+ </w:t>
      </w:r>
      <w:r>
        <w:rPr>
          <w:spacing w:val="4"/>
          <w:sz w:val="20"/>
          <w:szCs w:val="20"/>
        </w:rPr>
        <w:t>是</w:t>
      </w:r>
      <w:r>
        <w:rPr>
          <w:spacing w:val="-49"/>
          <w:sz w:val="20"/>
          <w:szCs w:val="20"/>
        </w:rPr>
        <w:t xml:space="preserve"> </w:t>
      </w:r>
      <w:r>
        <w:rPr>
          <w:rFonts w:ascii="Times New Roman" w:hAnsi="Times New Roman" w:eastAsia="Times New Roman" w:cs="Times New Roman"/>
          <w:sz w:val="20"/>
          <w:szCs w:val="20"/>
        </w:rPr>
        <w:t>COM</w:t>
      </w:r>
      <w:r>
        <w:rPr>
          <w:rFonts w:ascii="Times New Roman" w:hAnsi="Times New Roman" w:eastAsia="Times New Roman" w:cs="Times New Roman"/>
          <w:spacing w:val="22"/>
          <w:sz w:val="20"/>
          <w:szCs w:val="20"/>
        </w:rPr>
        <w:t xml:space="preserve"> </w:t>
      </w:r>
      <w:r>
        <w:rPr>
          <w:spacing w:val="4"/>
          <w:sz w:val="20"/>
          <w:szCs w:val="20"/>
        </w:rPr>
        <w:t>的新发展或</w:t>
      </w:r>
      <w:r>
        <w:rPr>
          <w:rFonts w:ascii="Times New Roman" w:hAnsi="Times New Roman" w:eastAsia="Times New Roman" w:cs="Times New Roman"/>
          <w:sz w:val="20"/>
          <w:szCs w:val="20"/>
        </w:rPr>
        <w:t>COM</w:t>
      </w:r>
      <w:r>
        <w:rPr>
          <w:rFonts w:ascii="Times New Roman" w:hAnsi="Times New Roman" w:eastAsia="Times New Roman" w:cs="Times New Roman"/>
          <w:spacing w:val="4"/>
          <w:sz w:val="20"/>
          <w:szCs w:val="20"/>
        </w:rPr>
        <w:t xml:space="preserve"> </w:t>
      </w:r>
      <w:r>
        <w:rPr>
          <w:spacing w:val="4"/>
          <w:sz w:val="20"/>
          <w:szCs w:val="20"/>
        </w:rPr>
        <w:t>更高层次上的应用，其底层结构仍然以</w:t>
      </w:r>
      <w:r>
        <w:rPr>
          <w:rFonts w:ascii="Times New Roman" w:hAnsi="Times New Roman" w:eastAsia="Times New Roman" w:cs="Times New Roman"/>
          <w:sz w:val="20"/>
          <w:szCs w:val="20"/>
        </w:rPr>
        <w:t>COM</w:t>
      </w:r>
      <w:r>
        <w:rPr>
          <w:rFonts w:ascii="Times New Roman" w:hAnsi="Times New Roman" w:eastAsia="Times New Roman" w:cs="Times New Roman"/>
          <w:spacing w:val="4"/>
          <w:sz w:val="20"/>
          <w:szCs w:val="20"/>
        </w:rPr>
        <w:t xml:space="preserve"> </w:t>
      </w:r>
      <w:r>
        <w:rPr>
          <w:spacing w:val="4"/>
          <w:sz w:val="20"/>
          <w:szCs w:val="20"/>
        </w:rPr>
        <w:t>为基础，几</w:t>
      </w:r>
      <w:r>
        <w:rPr>
          <w:sz w:val="20"/>
          <w:szCs w:val="20"/>
        </w:rPr>
        <w:t xml:space="preserve"> </w:t>
      </w:r>
      <w:r>
        <w:rPr>
          <w:spacing w:val="3"/>
          <w:sz w:val="20"/>
          <w:szCs w:val="20"/>
        </w:rPr>
        <w:t>乎包容了</w:t>
      </w:r>
      <w:r>
        <w:rPr>
          <w:rFonts w:ascii="Times New Roman" w:hAnsi="Times New Roman" w:eastAsia="Times New Roman" w:cs="Times New Roman"/>
          <w:sz w:val="20"/>
          <w:szCs w:val="20"/>
        </w:rPr>
        <w:t>COM</w:t>
      </w:r>
      <w:r>
        <w:rPr>
          <w:rFonts w:ascii="Times New Roman" w:hAnsi="Times New Roman" w:eastAsia="Times New Roman" w:cs="Times New Roman"/>
          <w:spacing w:val="3"/>
          <w:sz w:val="20"/>
          <w:szCs w:val="20"/>
        </w:rPr>
        <w:t xml:space="preserve"> </w:t>
      </w:r>
      <w:r>
        <w:rPr>
          <w:spacing w:val="3"/>
          <w:sz w:val="20"/>
          <w:szCs w:val="20"/>
        </w:rPr>
        <w:t>的所有内容。</w:t>
      </w:r>
      <w:r>
        <w:rPr>
          <w:rFonts w:ascii="Times New Roman" w:hAnsi="Times New Roman" w:eastAsia="Times New Roman" w:cs="Times New Roman"/>
          <w:sz w:val="20"/>
          <w:szCs w:val="20"/>
        </w:rPr>
        <w:t>COM</w:t>
      </w:r>
      <w:r>
        <w:rPr>
          <w:rFonts w:ascii="Times New Roman" w:hAnsi="Times New Roman" w:eastAsia="Times New Roman" w:cs="Times New Roman"/>
          <w:spacing w:val="3"/>
          <w:sz w:val="20"/>
          <w:szCs w:val="20"/>
        </w:rPr>
        <w:t xml:space="preserve">+ </w:t>
      </w:r>
      <w:r>
        <w:rPr>
          <w:spacing w:val="3"/>
          <w:sz w:val="20"/>
          <w:szCs w:val="20"/>
        </w:rPr>
        <w:t>倡导了一种新的概念，它把</w:t>
      </w:r>
      <w:r>
        <w:rPr>
          <w:rFonts w:ascii="Times New Roman" w:hAnsi="Times New Roman" w:eastAsia="Times New Roman" w:cs="Times New Roman"/>
          <w:sz w:val="20"/>
          <w:szCs w:val="20"/>
        </w:rPr>
        <w:t>COM</w:t>
      </w:r>
      <w:r>
        <w:rPr>
          <w:rFonts w:ascii="Times New Roman" w:hAnsi="Times New Roman" w:eastAsia="Times New Roman" w:cs="Times New Roman"/>
          <w:spacing w:val="3"/>
          <w:sz w:val="20"/>
          <w:szCs w:val="20"/>
        </w:rPr>
        <w:t xml:space="preserve"> </w:t>
      </w:r>
      <w:r>
        <w:rPr>
          <w:spacing w:val="3"/>
          <w:sz w:val="20"/>
          <w:szCs w:val="20"/>
        </w:rPr>
        <w:t>组件软件提升到应用</w:t>
      </w:r>
      <w:r>
        <w:rPr>
          <w:spacing w:val="2"/>
          <w:sz w:val="20"/>
          <w:szCs w:val="20"/>
        </w:rPr>
        <w:t>层而</w:t>
      </w:r>
      <w:r>
        <w:rPr>
          <w:sz w:val="20"/>
          <w:szCs w:val="20"/>
        </w:rPr>
        <w:t xml:space="preserve"> </w:t>
      </w:r>
      <w:r>
        <w:rPr>
          <w:spacing w:val="3"/>
          <w:sz w:val="20"/>
          <w:szCs w:val="20"/>
        </w:rPr>
        <w:t>不再是底层的软件结构，通过操作系统的各种支持，使组件对象模型建立在应用层上，把所有</w:t>
      </w:r>
      <w:r>
        <w:rPr>
          <w:spacing w:val="16"/>
          <w:sz w:val="20"/>
          <w:szCs w:val="20"/>
        </w:rPr>
        <w:t xml:space="preserve"> </w:t>
      </w:r>
      <w:r>
        <w:rPr>
          <w:spacing w:val="-1"/>
          <w:sz w:val="20"/>
          <w:szCs w:val="20"/>
        </w:rPr>
        <w:t>组件的底层细节留给操作系统。因此，</w:t>
      </w:r>
      <w:r>
        <w:rPr>
          <w:rFonts w:ascii="Times New Roman" w:hAnsi="Times New Roman" w:eastAsia="Times New Roman" w:cs="Times New Roman"/>
          <w:spacing w:val="-1"/>
          <w:sz w:val="20"/>
          <w:szCs w:val="20"/>
        </w:rPr>
        <w:t>COM+</w:t>
      </w:r>
      <w:r>
        <w:rPr>
          <w:rFonts w:ascii="Times New Roman" w:hAnsi="Times New Roman" w:eastAsia="Times New Roman" w:cs="Times New Roman"/>
          <w:spacing w:val="24"/>
          <w:w w:val="101"/>
          <w:sz w:val="20"/>
          <w:szCs w:val="20"/>
        </w:rPr>
        <w:t xml:space="preserve"> </w:t>
      </w:r>
      <w:r>
        <w:rPr>
          <w:spacing w:val="-1"/>
          <w:sz w:val="20"/>
          <w:szCs w:val="20"/>
        </w:rPr>
        <w:t>与操作系统的结合更加紧密。</w:t>
      </w:r>
    </w:p>
    <w:p w14:paraId="693E0D2D">
      <w:pPr>
        <w:pStyle w:val="2"/>
        <w:spacing w:before="38" w:line="219" w:lineRule="auto"/>
        <w:ind w:left="400"/>
        <w:rPr>
          <w:sz w:val="20"/>
          <w:szCs w:val="20"/>
        </w:rPr>
      </w:pPr>
      <w:r>
        <w:rPr>
          <w:rFonts w:ascii="Times New Roman" w:hAnsi="Times New Roman" w:eastAsia="Times New Roman" w:cs="Times New Roman"/>
          <w:sz w:val="20"/>
          <w:szCs w:val="20"/>
        </w:rPr>
        <w:t>COM</w:t>
      </w:r>
      <w:r>
        <w:rPr>
          <w:rFonts w:ascii="Times New Roman" w:hAnsi="Times New Roman" w:eastAsia="Times New Roman" w:cs="Times New Roman"/>
          <w:spacing w:val="3"/>
          <w:sz w:val="20"/>
          <w:szCs w:val="20"/>
        </w:rPr>
        <w:t xml:space="preserve">+ </w:t>
      </w:r>
      <w:r>
        <w:rPr>
          <w:spacing w:val="3"/>
          <w:sz w:val="20"/>
          <w:szCs w:val="20"/>
        </w:rPr>
        <w:t>标志着组件技术达到了一个新的高度，它不再局限于一台机器上的桌面系统，而是</w:t>
      </w:r>
    </w:p>
    <w:p w14:paraId="405AB940">
      <w:pPr>
        <w:spacing w:line="219" w:lineRule="auto"/>
        <w:rPr>
          <w:sz w:val="20"/>
          <w:szCs w:val="20"/>
        </w:rPr>
        <w:sectPr>
          <w:pgSz w:w="10290" w:h="13320"/>
          <w:pgMar w:top="400" w:right="650" w:bottom="400" w:left="1059" w:header="0" w:footer="0" w:gutter="0"/>
          <w:cols w:space="720" w:num="1"/>
        </w:sectPr>
      </w:pPr>
    </w:p>
    <w:p w14:paraId="1BFBD5B2">
      <w:pPr>
        <w:pStyle w:val="2"/>
        <w:spacing w:before="97" w:line="219" w:lineRule="auto"/>
        <w:rPr>
          <w:sz w:val="19"/>
          <w:szCs w:val="19"/>
        </w:rPr>
      </w:pPr>
      <w:bookmarkStart w:id="523" w:name="bookmark510"/>
      <w:bookmarkEnd w:id="523"/>
      <w:r>
        <w:rPr>
          <w:rFonts w:ascii="Times New Roman" w:hAnsi="Times New Roman" w:eastAsia="Times New Roman" w:cs="Times New Roman"/>
          <w:spacing w:val="3"/>
          <w:position w:val="1"/>
          <w:sz w:val="19"/>
          <w:szCs w:val="19"/>
        </w:rPr>
        <w:t xml:space="preserve">82               </w:t>
      </w:r>
      <w:r>
        <w:rPr>
          <w:spacing w:val="3"/>
          <w:sz w:val="19"/>
          <w:szCs w:val="19"/>
        </w:rPr>
        <w:t>信息系统监理师教程(第2版)</w:t>
      </w:r>
    </w:p>
    <w:p w14:paraId="50EE902E">
      <w:pPr>
        <w:spacing w:line="331" w:lineRule="auto"/>
        <w:rPr>
          <w:rFonts w:ascii="Arial"/>
          <w:sz w:val="21"/>
        </w:rPr>
      </w:pPr>
    </w:p>
    <w:p w14:paraId="71013C8A">
      <w:pPr>
        <w:pStyle w:val="2"/>
        <w:spacing w:before="62" w:line="306" w:lineRule="auto"/>
        <w:ind w:left="289" w:right="126"/>
        <w:rPr>
          <w:sz w:val="19"/>
          <w:szCs w:val="19"/>
        </w:rPr>
      </w:pPr>
      <w:r>
        <w:rPr>
          <w:spacing w:val="9"/>
          <w:sz w:val="19"/>
          <w:szCs w:val="19"/>
        </w:rPr>
        <w:t>把目标指向了更为广阔的组织内部网，甚至互联网。</w:t>
      </w:r>
      <w:r>
        <w:rPr>
          <w:spacing w:val="-35"/>
          <w:sz w:val="19"/>
          <w:szCs w:val="19"/>
        </w:rPr>
        <w:t xml:space="preserve"> </w:t>
      </w:r>
      <w:r>
        <w:rPr>
          <w:sz w:val="19"/>
          <w:szCs w:val="19"/>
        </w:rPr>
        <w:t>COM</w:t>
      </w:r>
      <w:r>
        <w:rPr>
          <w:spacing w:val="9"/>
          <w:sz w:val="19"/>
          <w:szCs w:val="19"/>
        </w:rPr>
        <w:t>+</w:t>
      </w:r>
      <w:r>
        <w:rPr>
          <w:spacing w:val="32"/>
          <w:sz w:val="19"/>
          <w:szCs w:val="19"/>
        </w:rPr>
        <w:t xml:space="preserve">  </w:t>
      </w:r>
      <w:r>
        <w:rPr>
          <w:spacing w:val="9"/>
          <w:sz w:val="19"/>
          <w:szCs w:val="19"/>
        </w:rPr>
        <w:t>与多层结构模型，以及</w:t>
      </w:r>
      <w:r>
        <w:rPr>
          <w:sz w:val="19"/>
          <w:szCs w:val="19"/>
        </w:rPr>
        <w:t>Windows</w:t>
      </w:r>
      <w:r>
        <w:rPr>
          <w:spacing w:val="63"/>
          <w:sz w:val="19"/>
          <w:szCs w:val="19"/>
        </w:rPr>
        <w:t xml:space="preserve"> </w:t>
      </w:r>
      <w:r>
        <w:rPr>
          <w:spacing w:val="9"/>
          <w:sz w:val="19"/>
          <w:szCs w:val="19"/>
        </w:rPr>
        <w:t>操</w:t>
      </w:r>
      <w:r>
        <w:rPr>
          <w:sz w:val="19"/>
          <w:szCs w:val="19"/>
        </w:rPr>
        <w:t xml:space="preserve"> </w:t>
      </w:r>
      <w:r>
        <w:rPr>
          <w:spacing w:val="10"/>
          <w:sz w:val="19"/>
          <w:szCs w:val="19"/>
        </w:rPr>
        <w:t>作系统为组织应用或</w:t>
      </w:r>
      <w:r>
        <w:rPr>
          <w:rFonts w:ascii="Times New Roman" w:hAnsi="Times New Roman" w:eastAsia="Times New Roman" w:cs="Times New Roman"/>
          <w:sz w:val="19"/>
          <w:szCs w:val="19"/>
        </w:rPr>
        <w:t>Web</w:t>
      </w:r>
      <w:r>
        <w:rPr>
          <w:rFonts w:ascii="Times New Roman" w:hAnsi="Times New Roman" w:eastAsia="Times New Roman" w:cs="Times New Roman"/>
          <w:spacing w:val="17"/>
          <w:w w:val="101"/>
          <w:sz w:val="19"/>
          <w:szCs w:val="19"/>
        </w:rPr>
        <w:t xml:space="preserve"> </w:t>
      </w:r>
      <w:r>
        <w:rPr>
          <w:spacing w:val="10"/>
          <w:sz w:val="19"/>
          <w:szCs w:val="19"/>
        </w:rPr>
        <w:t>应用提供了一套完整的解决方案。</w:t>
      </w:r>
    </w:p>
    <w:p w14:paraId="379A87F9">
      <w:pPr>
        <w:spacing w:line="77" w:lineRule="exact"/>
      </w:pPr>
    </w:p>
    <w:p w14:paraId="5AF6B405">
      <w:pPr>
        <w:spacing w:line="77" w:lineRule="exact"/>
        <w:sectPr>
          <w:pgSz w:w="10320" w:h="13410"/>
          <w:pgMar w:top="400" w:right="1010" w:bottom="400" w:left="600" w:header="0" w:footer="0" w:gutter="0"/>
          <w:cols w:equalWidth="0" w:num="1">
            <w:col w:w="8710"/>
          </w:cols>
        </w:sectPr>
      </w:pPr>
    </w:p>
    <w:p w14:paraId="19F5B120">
      <w:pPr>
        <w:spacing w:line="191" w:lineRule="auto"/>
        <w:ind w:left="70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4).NET</w:t>
      </w:r>
    </w:p>
    <w:p w14:paraId="44C07A33">
      <w:pPr>
        <w:pStyle w:val="2"/>
        <w:spacing w:before="164" w:line="298" w:lineRule="auto"/>
        <w:ind w:left="289" w:right="132" w:firstLine="410"/>
        <w:jc w:val="both"/>
        <w:rPr>
          <w:sz w:val="19"/>
          <w:szCs w:val="19"/>
        </w:rPr>
      </w:pPr>
      <w:r>
        <w:rPr>
          <w:rFonts w:ascii="Times New Roman" w:hAnsi="Times New Roman" w:eastAsia="Times New Roman" w:cs="Times New Roman"/>
          <w:spacing w:val="17"/>
          <w:sz w:val="19"/>
          <w:szCs w:val="19"/>
        </w:rPr>
        <w:t>.</w:t>
      </w:r>
      <w:r>
        <w:rPr>
          <w:rFonts w:ascii="Times New Roman" w:hAnsi="Times New Roman" w:eastAsia="Times New Roman" w:cs="Times New Roman"/>
          <w:sz w:val="19"/>
          <w:szCs w:val="19"/>
        </w:rPr>
        <w:t>NET</w:t>
      </w:r>
      <w:r>
        <w:rPr>
          <w:rFonts w:ascii="Times New Roman" w:hAnsi="Times New Roman" w:eastAsia="Times New Roman" w:cs="Times New Roman"/>
          <w:spacing w:val="27"/>
          <w:w w:val="101"/>
          <w:sz w:val="19"/>
          <w:szCs w:val="19"/>
        </w:rPr>
        <w:t xml:space="preserve"> </w:t>
      </w:r>
      <w:r>
        <w:rPr>
          <w:spacing w:val="17"/>
          <w:sz w:val="19"/>
          <w:szCs w:val="19"/>
        </w:rPr>
        <w:t>是基于一组开放的互联网协议推</w:t>
      </w:r>
      <w:r>
        <w:rPr>
          <w:sz w:val="19"/>
          <w:szCs w:val="19"/>
        </w:rPr>
        <w:t xml:space="preserve"> </w:t>
      </w:r>
      <w:r>
        <w:rPr>
          <w:spacing w:val="2"/>
          <w:sz w:val="19"/>
          <w:szCs w:val="19"/>
        </w:rPr>
        <w:t>出的一系列的产品、技术和服务。</w:t>
      </w:r>
      <w:r>
        <w:rPr>
          <w:spacing w:val="67"/>
          <w:w w:val="101"/>
          <w:sz w:val="19"/>
          <w:szCs w:val="19"/>
        </w:rPr>
        <w:t xml:space="preserve"> </w:t>
      </w:r>
      <w:r>
        <w:rPr>
          <w:spacing w:val="2"/>
          <w:sz w:val="19"/>
          <w:szCs w:val="19"/>
        </w:rPr>
        <w:t>.</w:t>
      </w:r>
      <w:r>
        <w:rPr>
          <w:rFonts w:ascii="Times New Roman" w:hAnsi="Times New Roman" w:eastAsia="Times New Roman" w:cs="Times New Roman"/>
          <w:sz w:val="19"/>
          <w:szCs w:val="19"/>
        </w:rPr>
        <w:t>NET</w:t>
      </w:r>
      <w:r>
        <w:rPr>
          <w:rFonts w:ascii="Times New Roman" w:hAnsi="Times New Roman" w:eastAsia="Times New Roman" w:cs="Times New Roman"/>
          <w:spacing w:val="2"/>
          <w:sz w:val="19"/>
          <w:szCs w:val="19"/>
        </w:rPr>
        <w:t xml:space="preserve"> </w:t>
      </w:r>
      <w:r>
        <w:rPr>
          <w:spacing w:val="2"/>
          <w:sz w:val="19"/>
          <w:szCs w:val="19"/>
        </w:rPr>
        <w:t>开</w:t>
      </w:r>
      <w:r>
        <w:rPr>
          <w:sz w:val="19"/>
          <w:szCs w:val="19"/>
        </w:rPr>
        <w:t xml:space="preserve">  </w:t>
      </w:r>
      <w:r>
        <w:rPr>
          <w:spacing w:val="9"/>
          <w:sz w:val="19"/>
          <w:szCs w:val="19"/>
        </w:rPr>
        <w:t>发框架在通用语言运行环境基础上，向开发</w:t>
      </w:r>
      <w:r>
        <w:rPr>
          <w:spacing w:val="6"/>
          <w:sz w:val="19"/>
          <w:szCs w:val="19"/>
        </w:rPr>
        <w:t xml:space="preserve"> </w:t>
      </w:r>
      <w:r>
        <w:rPr>
          <w:spacing w:val="21"/>
          <w:sz w:val="19"/>
          <w:szCs w:val="19"/>
        </w:rPr>
        <w:t>人员提供了完善的基础类库、数据库访问</w:t>
      </w:r>
      <w:r>
        <w:rPr>
          <w:spacing w:val="3"/>
          <w:sz w:val="19"/>
          <w:szCs w:val="19"/>
        </w:rPr>
        <w:t xml:space="preserve"> </w:t>
      </w:r>
      <w:r>
        <w:rPr>
          <w:spacing w:val="22"/>
          <w:sz w:val="19"/>
          <w:szCs w:val="19"/>
        </w:rPr>
        <w:t>技术及网络开发技术，开发者可以使用多</w:t>
      </w:r>
      <w:r>
        <w:rPr>
          <w:spacing w:val="10"/>
          <w:sz w:val="19"/>
          <w:szCs w:val="19"/>
        </w:rPr>
        <w:t xml:space="preserve"> </w:t>
      </w:r>
      <w:r>
        <w:rPr>
          <w:spacing w:val="3"/>
          <w:sz w:val="19"/>
          <w:szCs w:val="19"/>
        </w:rPr>
        <w:t>种语言快速构建网络应用。</w:t>
      </w:r>
      <w:r>
        <w:rPr>
          <w:spacing w:val="60"/>
          <w:sz w:val="19"/>
          <w:szCs w:val="19"/>
        </w:rPr>
        <w:t xml:space="preserve"> </w:t>
      </w:r>
      <w:r>
        <w:rPr>
          <w:spacing w:val="3"/>
          <w:sz w:val="19"/>
          <w:szCs w:val="19"/>
        </w:rPr>
        <w:t>.</w:t>
      </w:r>
      <w:r>
        <w:rPr>
          <w:rFonts w:ascii="Times New Roman" w:hAnsi="Times New Roman" w:eastAsia="Times New Roman" w:cs="Times New Roman"/>
          <w:sz w:val="19"/>
          <w:szCs w:val="19"/>
        </w:rPr>
        <w:t>NET</w:t>
      </w:r>
      <w:r>
        <w:rPr>
          <w:rFonts w:ascii="Times New Roman" w:hAnsi="Times New Roman" w:eastAsia="Times New Roman" w:cs="Times New Roman"/>
          <w:spacing w:val="31"/>
          <w:w w:val="101"/>
          <w:sz w:val="19"/>
          <w:szCs w:val="19"/>
        </w:rPr>
        <w:t xml:space="preserve"> </w:t>
      </w:r>
      <w:r>
        <w:rPr>
          <w:spacing w:val="3"/>
          <w:sz w:val="19"/>
          <w:szCs w:val="19"/>
        </w:rPr>
        <w:t>开发框架</w:t>
      </w:r>
      <w:r>
        <w:rPr>
          <w:sz w:val="19"/>
          <w:szCs w:val="19"/>
        </w:rPr>
        <w:t xml:space="preserve"> </w:t>
      </w:r>
      <w:r>
        <w:rPr>
          <w:spacing w:val="11"/>
          <w:sz w:val="19"/>
          <w:szCs w:val="19"/>
        </w:rPr>
        <w:t>如图2-10所示。</w:t>
      </w:r>
    </w:p>
    <w:p w14:paraId="2603CA1C">
      <w:pPr>
        <w:spacing w:before="154" w:line="192" w:lineRule="auto"/>
        <w:ind w:left="70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5)J2EE</w:t>
      </w:r>
    </w:p>
    <w:p w14:paraId="1048D933">
      <w:pPr>
        <w:pStyle w:val="2"/>
        <w:spacing w:before="128" w:line="262" w:lineRule="auto"/>
        <w:ind w:left="289" w:right="138" w:firstLine="410"/>
        <w:rPr>
          <w:sz w:val="19"/>
          <w:szCs w:val="19"/>
        </w:rPr>
      </w:pPr>
      <w:r>
        <w:rPr>
          <w:rFonts w:ascii="Times New Roman" w:hAnsi="Times New Roman" w:eastAsia="Times New Roman" w:cs="Times New Roman"/>
          <w:spacing w:val="17"/>
          <w:sz w:val="19"/>
          <w:szCs w:val="19"/>
        </w:rPr>
        <w:t>J2</w:t>
      </w:r>
      <w:r>
        <w:rPr>
          <w:rFonts w:ascii="Times New Roman" w:hAnsi="Times New Roman" w:eastAsia="Times New Roman" w:cs="Times New Roman"/>
          <w:sz w:val="19"/>
          <w:szCs w:val="19"/>
        </w:rPr>
        <w:t>EE</w:t>
      </w:r>
      <w:r>
        <w:rPr>
          <w:rFonts w:ascii="Times New Roman" w:hAnsi="Times New Roman" w:eastAsia="Times New Roman" w:cs="Times New Roman"/>
          <w:spacing w:val="17"/>
          <w:sz w:val="19"/>
          <w:szCs w:val="19"/>
        </w:rPr>
        <w:t xml:space="preserve"> </w:t>
      </w:r>
      <w:r>
        <w:rPr>
          <w:spacing w:val="17"/>
          <w:sz w:val="19"/>
          <w:szCs w:val="19"/>
        </w:rPr>
        <w:t>架构是使用</w:t>
      </w:r>
      <w:r>
        <w:rPr>
          <w:rFonts w:ascii="Times New Roman" w:hAnsi="Times New Roman" w:eastAsia="Times New Roman" w:cs="Times New Roman"/>
          <w:sz w:val="19"/>
          <w:szCs w:val="19"/>
        </w:rPr>
        <w:t>Java</w:t>
      </w:r>
      <w:r>
        <w:rPr>
          <w:rFonts w:ascii="Times New Roman" w:hAnsi="Times New Roman" w:eastAsia="Times New Roman" w:cs="Times New Roman"/>
          <w:spacing w:val="42"/>
          <w:sz w:val="19"/>
          <w:szCs w:val="19"/>
        </w:rPr>
        <w:t xml:space="preserve"> </w:t>
      </w:r>
      <w:r>
        <w:rPr>
          <w:spacing w:val="17"/>
          <w:sz w:val="19"/>
          <w:szCs w:val="19"/>
        </w:rPr>
        <w:t>技术开发组织级</w:t>
      </w:r>
      <w:r>
        <w:rPr>
          <w:sz w:val="19"/>
          <w:szCs w:val="19"/>
        </w:rPr>
        <w:t xml:space="preserve"> </w:t>
      </w:r>
      <w:r>
        <w:rPr>
          <w:spacing w:val="24"/>
          <w:sz w:val="19"/>
          <w:szCs w:val="19"/>
        </w:rPr>
        <w:t>应用的一种事实上的工业标准，它是</w:t>
      </w:r>
      <w:r>
        <w:rPr>
          <w:rFonts w:ascii="Times New Roman" w:hAnsi="Times New Roman" w:eastAsia="Times New Roman" w:cs="Times New Roman"/>
          <w:sz w:val="19"/>
          <w:szCs w:val="19"/>
        </w:rPr>
        <w:t xml:space="preserve">Java  </w:t>
      </w:r>
      <w:r>
        <w:rPr>
          <w:spacing w:val="9"/>
          <w:sz w:val="19"/>
          <w:szCs w:val="19"/>
        </w:rPr>
        <w:t>技术不断适应和促进组织级应用过程中的产</w:t>
      </w:r>
    </w:p>
    <w:p w14:paraId="18DCA250">
      <w:pPr>
        <w:spacing w:line="14" w:lineRule="auto"/>
        <w:rPr>
          <w:rFonts w:ascii="Arial"/>
          <w:sz w:val="2"/>
        </w:rPr>
      </w:pPr>
      <w:r>
        <w:rPr>
          <w:rFonts w:ascii="Arial" w:hAnsi="Arial" w:eastAsia="Arial" w:cs="Arial"/>
          <w:sz w:val="2"/>
          <w:szCs w:val="2"/>
        </w:rPr>
        <w:br w:type="column"/>
      </w:r>
    </w:p>
    <w:p w14:paraId="72937DF4">
      <w:pPr>
        <w:spacing w:line="261" w:lineRule="auto"/>
        <w:rPr>
          <w:rFonts w:ascii="Arial"/>
          <w:sz w:val="21"/>
        </w:rPr>
      </w:pPr>
    </w:p>
    <w:p w14:paraId="58968C1C">
      <w:pPr>
        <w:pStyle w:val="2"/>
        <w:spacing w:line="2970" w:lineRule="exact"/>
      </w:pPr>
      <w:r>
        <mc:AlternateContent>
          <mc:Choice Requires="wps">
            <w:drawing>
              <wp:anchor distT="0" distB="0" distL="0" distR="0" simplePos="0" relativeHeight="251686912" behindDoc="0" locked="0" layoutInCell="1" allowOverlap="1">
                <wp:simplePos x="0" y="0"/>
                <wp:positionH relativeFrom="column">
                  <wp:posOffset>2154555</wp:posOffset>
                </wp:positionH>
                <wp:positionV relativeFrom="paragraph">
                  <wp:posOffset>846455</wp:posOffset>
                </wp:positionV>
                <wp:extent cx="911860" cy="196850"/>
                <wp:effectExtent l="0" t="0" r="0" b="0"/>
                <wp:wrapNone/>
                <wp:docPr id="68" name="TextBox 68"/>
                <wp:cNvGraphicFramePr/>
                <a:graphic xmlns:a="http://schemas.openxmlformats.org/drawingml/2006/main">
                  <a:graphicData uri="http://schemas.microsoft.com/office/word/2010/wordprocessingShape">
                    <wps:wsp>
                      <wps:cNvSpPr txBox="1"/>
                      <wps:spPr>
                        <a:xfrm rot="5400000">
                          <a:off x="2154708" y="846588"/>
                          <a:ext cx="911860" cy="1968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C5B21D1">
                            <w:pPr>
                              <w:pStyle w:val="2"/>
                              <w:spacing w:before="69" w:line="239" w:lineRule="auto"/>
                              <w:ind w:left="20"/>
                              <w:rPr>
                                <w:sz w:val="17"/>
                                <w:szCs w:val="17"/>
                              </w:rPr>
                            </w:pPr>
                            <w:r>
                              <w:rPr>
                                <w:spacing w:val="-3"/>
                                <w:sz w:val="17"/>
                                <w:szCs w:val="17"/>
                              </w:rPr>
                              <w:t>Visual Studio.NET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 o:spid="_x0000_s1026" o:spt="202" type="#_x0000_t202" style="position:absolute;left:0pt;margin-left:169.65pt;margin-top:66.65pt;height:15.5pt;width:71.8pt;rotation:5898240f;z-index:251686912;mso-width-relative:page;mso-height-relative:page;" filled="f" stroked="f" coordsize="21600,21600" o:gfxdata="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zzI73ZAAAACwEAAA8A&#10;AAAAAAAAAQAgAAAAIgAAAGRycy9kb3ducmV2LnhtbFBLAQIUABQAAAAIAIdO4kAMKsa7TwIAAKEE&#10;AAAOAAAAAAAAAAEAIAAAACgBAABkcnMvZTJvRG9jLnhtbFBLBQYAAAAABgAGAFkBAADpBQAAAAA=&#10;">
                <v:fill on="f" focussize="0,0"/>
                <v:stroke on="f" weight="0pt" miterlimit="0" joinstyle="miter"/>
                <v:imagedata o:title=""/>
                <o:lock v:ext="edit" aspectratio="f"/>
                <v:textbox inset="0mm,0mm,0mm,0mm">
                  <w:txbxContent>
                    <w:p w14:paraId="3C5B21D1">
                      <w:pPr>
                        <w:pStyle w:val="2"/>
                        <w:spacing w:before="69" w:line="239" w:lineRule="auto"/>
                        <w:ind w:left="20"/>
                        <w:rPr>
                          <w:sz w:val="17"/>
                          <w:szCs w:val="17"/>
                        </w:rPr>
                      </w:pPr>
                      <w:r>
                        <w:rPr>
                          <w:spacing w:val="-3"/>
                          <w:sz w:val="17"/>
                          <w:szCs w:val="17"/>
                        </w:rPr>
                        <w:t>Visual Studio.NET</w:t>
                      </w:r>
                    </w:p>
                  </w:txbxContent>
                </v:textbox>
              </v:shape>
            </w:pict>
          </mc:Fallback>
        </mc:AlternateContent>
      </w:r>
      <w:r>
        <w:rPr>
          <w:position w:val="-59"/>
        </w:rPr>
        <w:pict>
          <v:group id="_x0000_s1111" o:spid="_x0000_s1111" o:spt="203" style="height:148.55pt;width:218pt;" coordsize="4360,2971">
            <o:lock v:ext="edit"/>
            <v:shape id="_x0000_s1112" o:spid="_x0000_s1112" o:spt="75" type="#_x0000_t75" style="position:absolute;left:0;top:0;height:2971;width:4360;" filled="f" stroked="f" coordsize="21600,21600">
              <v:path/>
              <v:fill on="f" focussize="0,0"/>
              <v:stroke on="f"/>
              <v:imagedata r:id="rId56" o:title=""/>
              <o:lock v:ext="edit" aspectratio="t"/>
            </v:shape>
            <v:shape id="_x0000_s1113" o:spid="_x0000_s1113" o:spt="202" type="#_x0000_t202" style="position:absolute;left:330;top:157;height:2671;width:3340;" filled="f" stroked="f" coordsize="21600,21600">
              <v:path/>
              <v:fill on="f" focussize="0,0"/>
              <v:stroke on="f"/>
              <v:imagedata o:title=""/>
              <o:lock v:ext="edit" aspectratio="f"/>
              <v:textbox inset="0mm,0mm,0mm,0mm">
                <w:txbxContent>
                  <w:p w14:paraId="17316C9D">
                    <w:pPr>
                      <w:spacing w:before="20" w:line="200"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VB</w:t>
                    </w:r>
                    <w:r>
                      <w:rPr>
                        <w:rFonts w:ascii="Times New Roman" w:hAnsi="Times New Roman" w:eastAsia="Times New Roman" w:cs="Times New Roman"/>
                        <w:spacing w:val="1"/>
                        <w:sz w:val="19"/>
                        <w:szCs w:val="19"/>
                      </w:rPr>
                      <w:t xml:space="preserve">             </w:t>
                    </w:r>
                    <w:r>
                      <w:rPr>
                        <w:rFonts w:ascii="Arial" w:hAnsi="Arial" w:eastAsia="Arial" w:cs="Arial"/>
                        <w:color w:val="FFFFFF"/>
                        <w:spacing w:val="-6"/>
                        <w:sz w:val="19"/>
                        <w:szCs w:val="19"/>
                      </w:rPr>
                      <w:t>C++</w:t>
                    </w:r>
                    <w:r>
                      <w:rPr>
                        <w:rFonts w:ascii="Arial" w:hAnsi="Arial" w:eastAsia="Arial" w:cs="Arial"/>
                        <w:color w:val="FFFFFF"/>
                        <w:spacing w:val="2"/>
                        <w:sz w:val="19"/>
                        <w:szCs w:val="19"/>
                      </w:rPr>
                      <w:t xml:space="preserve">              </w:t>
                    </w:r>
                    <w:r>
                      <w:rPr>
                        <w:rFonts w:ascii="Times New Roman" w:hAnsi="Times New Roman" w:eastAsia="Times New Roman" w:cs="Times New Roman"/>
                        <w:spacing w:val="-6"/>
                        <w:sz w:val="19"/>
                        <w:szCs w:val="19"/>
                      </w:rPr>
                      <w:t>C#</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pacing w:val="-6"/>
                        <w:sz w:val="19"/>
                        <w:szCs w:val="19"/>
                      </w:rPr>
                      <w:t>JScript</w:t>
                    </w:r>
                  </w:p>
                  <w:p w14:paraId="0B1B7066">
                    <w:pPr>
                      <w:spacing w:before="278" w:line="221" w:lineRule="auto"/>
                      <w:ind w:left="1099"/>
                      <w:rPr>
                        <w:rFonts w:ascii="宋体" w:hAnsi="宋体" w:eastAsia="宋体" w:cs="宋体"/>
                        <w:sz w:val="19"/>
                        <w:szCs w:val="19"/>
                      </w:rPr>
                    </w:pPr>
                    <w:r>
                      <w:rPr>
                        <w:rFonts w:ascii="宋体" w:hAnsi="宋体" w:eastAsia="宋体" w:cs="宋体"/>
                        <w:spacing w:val="-17"/>
                        <w:sz w:val="19"/>
                        <w:szCs w:val="19"/>
                      </w:rPr>
                      <w:t>通用语言规范</w:t>
                    </w:r>
                  </w:p>
                  <w:p w14:paraId="628B207B">
                    <w:pPr>
                      <w:spacing w:before="262" w:line="223" w:lineRule="auto"/>
                      <w:ind w:left="289"/>
                      <w:rPr>
                        <w:rFonts w:ascii="黑体" w:hAnsi="黑体" w:eastAsia="黑体" w:cs="黑体"/>
                        <w:sz w:val="19"/>
                        <w:szCs w:val="19"/>
                      </w:rPr>
                    </w:pPr>
                    <w:r>
                      <w:rPr>
                        <w:rFonts w:ascii="Times New Roman" w:hAnsi="Times New Roman" w:eastAsia="Times New Roman" w:cs="Times New Roman"/>
                        <w:spacing w:val="-4"/>
                        <w:sz w:val="19"/>
                        <w:szCs w:val="19"/>
                      </w:rPr>
                      <w:t xml:space="preserve">ASP.NET                         </w:t>
                    </w:r>
                    <w:r>
                      <w:rPr>
                        <w:rFonts w:ascii="宋体" w:hAnsi="宋体" w:eastAsia="宋体" w:cs="宋体"/>
                        <w:spacing w:val="-4"/>
                        <w:sz w:val="19"/>
                        <w:szCs w:val="19"/>
                      </w:rPr>
                      <w:t>W</w:t>
                    </w:r>
                    <w:r>
                      <w:rPr>
                        <w:rFonts w:ascii="宋体" w:hAnsi="宋体" w:eastAsia="宋体" w:cs="宋体"/>
                        <w:spacing w:val="-5"/>
                        <w:sz w:val="19"/>
                        <w:szCs w:val="19"/>
                      </w:rPr>
                      <w:t>indows</w:t>
                    </w:r>
                    <w:r>
                      <w:rPr>
                        <w:rFonts w:ascii="黑体" w:hAnsi="黑体" w:eastAsia="黑体" w:cs="黑体"/>
                        <w:spacing w:val="-5"/>
                        <w:sz w:val="19"/>
                        <w:szCs w:val="19"/>
                      </w:rPr>
                      <w:t>应用</w:t>
                    </w:r>
                  </w:p>
                  <w:p w14:paraId="185C3E43">
                    <w:pPr>
                      <w:spacing w:line="243" w:lineRule="auto"/>
                      <w:rPr>
                        <w:rFonts w:ascii="Arial"/>
                        <w:sz w:val="21"/>
                      </w:rPr>
                    </w:pPr>
                  </w:p>
                  <w:p w14:paraId="2BE85AB5">
                    <w:pPr>
                      <w:spacing w:before="54" w:line="188" w:lineRule="auto"/>
                      <w:ind w:left="1229"/>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ADO.NET</w:t>
                    </w:r>
                  </w:p>
                  <w:p w14:paraId="7D6648C1">
                    <w:pPr>
                      <w:spacing w:before="299" w:line="219" w:lineRule="auto"/>
                      <w:ind w:left="1279"/>
                      <w:rPr>
                        <w:rFonts w:ascii="宋体" w:hAnsi="宋体" w:eastAsia="宋体" w:cs="宋体"/>
                        <w:sz w:val="19"/>
                        <w:szCs w:val="19"/>
                      </w:rPr>
                    </w:pPr>
                    <w:r>
                      <w:rPr>
                        <w:rFonts w:ascii="宋体" w:hAnsi="宋体" w:eastAsia="宋体" w:cs="宋体"/>
                        <w:spacing w:val="-13"/>
                        <w:sz w:val="19"/>
                        <w:szCs w:val="19"/>
                      </w:rPr>
                      <w:t>基础类库</w:t>
                    </w:r>
                  </w:p>
                  <w:p w14:paraId="7ABA4B46">
                    <w:pPr>
                      <w:spacing w:before="265" w:line="220" w:lineRule="auto"/>
                      <w:ind w:left="909"/>
                      <w:rPr>
                        <w:rFonts w:ascii="宋体" w:hAnsi="宋体" w:eastAsia="宋体" w:cs="宋体"/>
                        <w:sz w:val="19"/>
                        <w:szCs w:val="19"/>
                      </w:rPr>
                    </w:pPr>
                    <w:r>
                      <w:rPr>
                        <w:rFonts w:ascii="宋体" w:hAnsi="宋体" w:eastAsia="宋体" w:cs="宋体"/>
                        <w:spacing w:val="-17"/>
                        <w:sz w:val="19"/>
                        <w:szCs w:val="19"/>
                      </w:rPr>
                      <w:t>通用语言运行环境</w:t>
                    </w:r>
                  </w:p>
                </w:txbxContent>
              </v:textbox>
            </v:shape>
            <w10:wrap type="none"/>
            <w10:anchorlock/>
          </v:group>
        </w:pict>
      </w:r>
    </w:p>
    <w:p w14:paraId="6883C26A">
      <w:pPr>
        <w:pStyle w:val="2"/>
        <w:spacing w:before="67" w:line="219" w:lineRule="auto"/>
        <w:ind w:left="1240"/>
        <w:rPr>
          <w:sz w:val="19"/>
          <w:szCs w:val="19"/>
        </w:rPr>
      </w:pPr>
      <w:r>
        <w:rPr>
          <w:spacing w:val="-4"/>
          <w:sz w:val="19"/>
          <w:szCs w:val="19"/>
        </w:rPr>
        <w:t>图2-10</w:t>
      </w:r>
      <w:r>
        <w:rPr>
          <w:spacing w:val="55"/>
          <w:sz w:val="19"/>
          <w:szCs w:val="19"/>
        </w:rPr>
        <w:t xml:space="preserve"> </w:t>
      </w:r>
      <w:r>
        <w:rPr>
          <w:spacing w:val="-4"/>
          <w:sz w:val="19"/>
          <w:szCs w:val="19"/>
        </w:rPr>
        <w:t>.</w:t>
      </w:r>
      <w:r>
        <w:rPr>
          <w:rFonts w:ascii="Times New Roman" w:hAnsi="Times New Roman" w:eastAsia="Times New Roman" w:cs="Times New Roman"/>
          <w:spacing w:val="-4"/>
          <w:sz w:val="19"/>
          <w:szCs w:val="19"/>
        </w:rPr>
        <w:t>NET</w:t>
      </w:r>
      <w:r>
        <w:rPr>
          <w:spacing w:val="-4"/>
          <w:sz w:val="19"/>
          <w:szCs w:val="19"/>
        </w:rPr>
        <w:t>开发框架</w:t>
      </w:r>
    </w:p>
    <w:p w14:paraId="3E6F5948">
      <w:pPr>
        <w:spacing w:line="219" w:lineRule="auto"/>
        <w:rPr>
          <w:sz w:val="19"/>
          <w:szCs w:val="19"/>
        </w:rPr>
        <w:sectPr>
          <w:type w:val="continuous"/>
          <w:pgSz w:w="10320" w:h="13410"/>
          <w:pgMar w:top="400" w:right="1010" w:bottom="400" w:left="600" w:header="0" w:footer="0" w:gutter="0"/>
          <w:cols w:equalWidth="0" w:num="2">
            <w:col w:w="4250" w:space="100"/>
            <w:col w:w="4360"/>
          </w:cols>
        </w:sectPr>
      </w:pPr>
    </w:p>
    <w:p w14:paraId="4A585D8E">
      <w:pPr>
        <w:pStyle w:val="2"/>
        <w:spacing w:before="129" w:line="299" w:lineRule="auto"/>
        <w:ind w:left="289" w:right="81"/>
        <w:rPr>
          <w:sz w:val="19"/>
          <w:szCs w:val="19"/>
        </w:rPr>
      </w:pPr>
      <w:r>
        <w:rPr>
          <w:spacing w:val="10"/>
          <w:sz w:val="19"/>
          <w:szCs w:val="19"/>
        </w:rPr>
        <w:t>物。J2</w:t>
      </w:r>
      <w:r>
        <w:rPr>
          <w:sz w:val="19"/>
          <w:szCs w:val="19"/>
        </w:rPr>
        <w:t>EE</w:t>
      </w:r>
      <w:r>
        <w:rPr>
          <w:spacing w:val="10"/>
          <w:sz w:val="19"/>
          <w:szCs w:val="19"/>
        </w:rPr>
        <w:t xml:space="preserve"> 为搭建具有可伸缩性、灵活性、易</w:t>
      </w:r>
      <w:r>
        <w:rPr>
          <w:spacing w:val="9"/>
          <w:sz w:val="19"/>
          <w:szCs w:val="19"/>
        </w:rPr>
        <w:t>维护性的组织系统提供了良好的机制。</w:t>
      </w:r>
      <w:r>
        <w:rPr>
          <w:spacing w:val="-25"/>
          <w:sz w:val="19"/>
          <w:szCs w:val="19"/>
        </w:rPr>
        <w:t xml:space="preserve"> </w:t>
      </w:r>
      <w:r>
        <w:rPr>
          <w:spacing w:val="9"/>
          <w:sz w:val="19"/>
          <w:szCs w:val="19"/>
        </w:rPr>
        <w:t>J2</w:t>
      </w:r>
      <w:r>
        <w:rPr>
          <w:sz w:val="19"/>
          <w:szCs w:val="19"/>
        </w:rPr>
        <w:t>EE</w:t>
      </w:r>
      <w:r>
        <w:rPr>
          <w:spacing w:val="9"/>
          <w:sz w:val="19"/>
          <w:szCs w:val="19"/>
        </w:rPr>
        <w:t xml:space="preserve"> 的</w:t>
      </w:r>
      <w:r>
        <w:rPr>
          <w:spacing w:val="-16"/>
          <w:sz w:val="19"/>
          <w:szCs w:val="19"/>
        </w:rPr>
        <w:t xml:space="preserve"> </w:t>
      </w:r>
      <w:r>
        <w:rPr>
          <w:spacing w:val="9"/>
          <w:sz w:val="19"/>
          <w:szCs w:val="19"/>
        </w:rPr>
        <w:t>体</w:t>
      </w:r>
      <w:r>
        <w:rPr>
          <w:sz w:val="19"/>
          <w:szCs w:val="19"/>
        </w:rPr>
        <w:t xml:space="preserve"> </w:t>
      </w:r>
      <w:r>
        <w:rPr>
          <w:spacing w:val="4"/>
          <w:sz w:val="19"/>
          <w:szCs w:val="19"/>
        </w:rPr>
        <w:t>系结构可以分为客户端层、服务器端组件层、</w:t>
      </w:r>
      <w:r>
        <w:rPr>
          <w:spacing w:val="-8"/>
          <w:sz w:val="19"/>
          <w:szCs w:val="19"/>
        </w:rPr>
        <w:t xml:space="preserve"> </w:t>
      </w:r>
      <w:r>
        <w:rPr>
          <w:rFonts w:ascii="Times New Roman" w:hAnsi="Times New Roman" w:eastAsia="Times New Roman" w:cs="Times New Roman"/>
          <w:sz w:val="19"/>
          <w:szCs w:val="19"/>
        </w:rPr>
        <w:t>EJB</w:t>
      </w:r>
      <w:r>
        <w:rPr>
          <w:rFonts w:ascii="Times New Roman" w:hAnsi="Times New Roman" w:eastAsia="Times New Roman" w:cs="Times New Roman"/>
          <w:spacing w:val="30"/>
          <w:w w:val="101"/>
          <w:sz w:val="19"/>
          <w:szCs w:val="19"/>
        </w:rPr>
        <w:t xml:space="preserve"> </w:t>
      </w:r>
      <w:r>
        <w:rPr>
          <w:spacing w:val="4"/>
          <w:sz w:val="19"/>
          <w:szCs w:val="19"/>
        </w:rPr>
        <w:t>层和信息系统层。</w:t>
      </w:r>
    </w:p>
    <w:p w14:paraId="691E4D2C">
      <w:pPr>
        <w:pStyle w:val="2"/>
        <w:spacing w:before="37" w:line="292" w:lineRule="auto"/>
        <w:ind w:left="289" w:right="15" w:firstLine="410"/>
        <w:jc w:val="both"/>
        <w:rPr>
          <w:sz w:val="19"/>
          <w:szCs w:val="19"/>
        </w:rPr>
      </w:pPr>
      <w:r>
        <w:rPr>
          <w:spacing w:val="12"/>
          <w:sz w:val="19"/>
          <w:szCs w:val="19"/>
        </w:rPr>
        <w:t>在</w:t>
      </w:r>
      <w:r>
        <w:rPr>
          <w:rFonts w:ascii="Times New Roman" w:hAnsi="Times New Roman" w:eastAsia="Times New Roman" w:cs="Times New Roman"/>
          <w:spacing w:val="12"/>
          <w:sz w:val="19"/>
          <w:szCs w:val="19"/>
        </w:rPr>
        <w:t>J2</w:t>
      </w:r>
      <w:r>
        <w:rPr>
          <w:rFonts w:ascii="Times New Roman" w:hAnsi="Times New Roman" w:eastAsia="Times New Roman" w:cs="Times New Roman"/>
          <w:sz w:val="19"/>
          <w:szCs w:val="19"/>
        </w:rPr>
        <w:t>EE</w:t>
      </w:r>
      <w:r>
        <w:rPr>
          <w:rFonts w:ascii="Times New Roman" w:hAnsi="Times New Roman" w:eastAsia="Times New Roman" w:cs="Times New Roman"/>
          <w:spacing w:val="36"/>
          <w:w w:val="101"/>
          <w:sz w:val="19"/>
          <w:szCs w:val="19"/>
        </w:rPr>
        <w:t xml:space="preserve"> </w:t>
      </w:r>
      <w:r>
        <w:rPr>
          <w:spacing w:val="12"/>
          <w:sz w:val="19"/>
          <w:szCs w:val="19"/>
        </w:rPr>
        <w:t>规范中，</w:t>
      </w:r>
      <w:r>
        <w:rPr>
          <w:spacing w:val="-35"/>
          <w:sz w:val="19"/>
          <w:szCs w:val="19"/>
        </w:rPr>
        <w:t xml:space="preserve"> </w:t>
      </w:r>
      <w:r>
        <w:rPr>
          <w:rFonts w:ascii="Times New Roman" w:hAnsi="Times New Roman" w:eastAsia="Times New Roman" w:cs="Times New Roman"/>
          <w:spacing w:val="12"/>
          <w:sz w:val="19"/>
          <w:szCs w:val="19"/>
        </w:rPr>
        <w:t>J2</w:t>
      </w:r>
      <w:r>
        <w:rPr>
          <w:rFonts w:ascii="Times New Roman" w:hAnsi="Times New Roman" w:eastAsia="Times New Roman" w:cs="Times New Roman"/>
          <w:sz w:val="19"/>
          <w:szCs w:val="19"/>
        </w:rPr>
        <w:t>EE</w:t>
      </w:r>
      <w:r>
        <w:rPr>
          <w:rFonts w:ascii="Times New Roman" w:hAnsi="Times New Roman" w:eastAsia="Times New Roman" w:cs="Times New Roman"/>
          <w:spacing w:val="36"/>
          <w:sz w:val="19"/>
          <w:szCs w:val="19"/>
        </w:rPr>
        <w:t xml:space="preserve"> </w:t>
      </w:r>
      <w:r>
        <w:rPr>
          <w:spacing w:val="12"/>
          <w:sz w:val="19"/>
          <w:szCs w:val="19"/>
        </w:rPr>
        <w:t>平台包括一整套的服务、应用编程接口</w:t>
      </w:r>
      <w:r>
        <w:rPr>
          <w:spacing w:val="11"/>
          <w:sz w:val="19"/>
          <w:szCs w:val="19"/>
        </w:rPr>
        <w:t>和协议，可用于开发一般的</w:t>
      </w:r>
      <w:r>
        <w:rPr>
          <w:sz w:val="19"/>
          <w:szCs w:val="19"/>
        </w:rPr>
        <w:t xml:space="preserve"> </w:t>
      </w:r>
      <w:r>
        <w:rPr>
          <w:spacing w:val="9"/>
          <w:sz w:val="19"/>
          <w:szCs w:val="19"/>
        </w:rPr>
        <w:t>多层应用和基于</w:t>
      </w:r>
      <w:r>
        <w:rPr>
          <w:rFonts w:ascii="Times New Roman" w:hAnsi="Times New Roman" w:eastAsia="Times New Roman" w:cs="Times New Roman"/>
          <w:sz w:val="19"/>
          <w:szCs w:val="19"/>
        </w:rPr>
        <w:t>Web</w:t>
      </w:r>
      <w:r>
        <w:rPr>
          <w:rFonts w:ascii="Times New Roman" w:hAnsi="Times New Roman" w:eastAsia="Times New Roman" w:cs="Times New Roman"/>
          <w:spacing w:val="9"/>
          <w:sz w:val="19"/>
          <w:szCs w:val="19"/>
        </w:rPr>
        <w:t xml:space="preserve"> </w:t>
      </w:r>
      <w:r>
        <w:rPr>
          <w:spacing w:val="9"/>
          <w:sz w:val="19"/>
          <w:szCs w:val="19"/>
        </w:rPr>
        <w:t>的多层应用，是</w:t>
      </w:r>
      <w:r>
        <w:rPr>
          <w:rFonts w:ascii="Times New Roman" w:hAnsi="Times New Roman" w:eastAsia="Times New Roman" w:cs="Times New Roman"/>
          <w:spacing w:val="9"/>
          <w:sz w:val="19"/>
          <w:szCs w:val="19"/>
        </w:rPr>
        <w:t>J2</w:t>
      </w:r>
      <w:r>
        <w:rPr>
          <w:rFonts w:ascii="Times New Roman" w:hAnsi="Times New Roman" w:eastAsia="Times New Roman" w:cs="Times New Roman"/>
          <w:sz w:val="19"/>
          <w:szCs w:val="19"/>
        </w:rPr>
        <w:t>EE</w:t>
      </w:r>
      <w:r>
        <w:rPr>
          <w:rFonts w:ascii="Times New Roman" w:hAnsi="Times New Roman" w:eastAsia="Times New Roman" w:cs="Times New Roman"/>
          <w:spacing w:val="48"/>
          <w:sz w:val="19"/>
          <w:szCs w:val="19"/>
        </w:rPr>
        <w:t xml:space="preserve"> </w:t>
      </w:r>
      <w:r>
        <w:rPr>
          <w:spacing w:val="9"/>
          <w:sz w:val="19"/>
          <w:szCs w:val="19"/>
        </w:rPr>
        <w:t>的核心和基础。它还提供了</w:t>
      </w:r>
      <w:r>
        <w:rPr>
          <w:rFonts w:ascii="Times New Roman" w:hAnsi="Times New Roman" w:eastAsia="Times New Roman" w:cs="Times New Roman"/>
          <w:sz w:val="19"/>
          <w:szCs w:val="19"/>
        </w:rPr>
        <w:t>EJB</w:t>
      </w:r>
      <w:r>
        <w:rPr>
          <w:rFonts w:ascii="Times New Roman" w:hAnsi="Times New Roman" w:eastAsia="Times New Roman" w:cs="Times New Roman"/>
          <w:spacing w:val="-27"/>
          <w:sz w:val="19"/>
          <w:szCs w:val="19"/>
        </w:rPr>
        <w:t xml:space="preserve"> </w:t>
      </w:r>
      <w:r>
        <w:rPr>
          <w:spacing w:val="9"/>
          <w:sz w:val="19"/>
          <w:szCs w:val="19"/>
        </w:rPr>
        <w:t>、</w:t>
      </w:r>
      <w:r>
        <w:rPr>
          <w:rFonts w:ascii="Times New Roman" w:hAnsi="Times New Roman" w:eastAsia="Times New Roman" w:cs="Times New Roman"/>
          <w:sz w:val="19"/>
          <w:szCs w:val="19"/>
        </w:rPr>
        <w:t>Java</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Servlets</w:t>
      </w:r>
      <w:r>
        <w:rPr>
          <w:rFonts w:ascii="Times New Roman" w:hAnsi="Times New Roman" w:eastAsia="Times New Roman" w:cs="Times New Roman"/>
          <w:spacing w:val="22"/>
          <w:sz w:val="19"/>
          <w:szCs w:val="19"/>
        </w:rPr>
        <w:t xml:space="preserve">  </w:t>
      </w:r>
      <w:r>
        <w:rPr>
          <w:rFonts w:ascii="Times New Roman" w:hAnsi="Times New Roman" w:eastAsia="Times New Roman" w:cs="Times New Roman"/>
          <w:sz w:val="19"/>
          <w:szCs w:val="19"/>
        </w:rPr>
        <w:t>API</w:t>
      </w:r>
      <w:r>
        <w:rPr>
          <w:spacing w:val="9"/>
          <w:sz w:val="19"/>
          <w:szCs w:val="19"/>
        </w:rPr>
        <w:t>、</w:t>
      </w:r>
      <w:r>
        <w:rPr>
          <w:sz w:val="19"/>
          <w:szCs w:val="19"/>
        </w:rPr>
        <w:t xml:space="preserve"> </w:t>
      </w:r>
      <w:r>
        <w:rPr>
          <w:rFonts w:ascii="Times New Roman" w:hAnsi="Times New Roman" w:eastAsia="Times New Roman" w:cs="Times New Roman"/>
          <w:sz w:val="19"/>
          <w:szCs w:val="19"/>
        </w:rPr>
        <w:t>JSP</w:t>
      </w:r>
      <w:r>
        <w:rPr>
          <w:rFonts w:ascii="Times New Roman" w:hAnsi="Times New Roman" w:eastAsia="Times New Roman" w:cs="Times New Roman"/>
          <w:spacing w:val="-9"/>
          <w:sz w:val="19"/>
          <w:szCs w:val="19"/>
        </w:rPr>
        <w:t xml:space="preserve"> </w:t>
      </w:r>
      <w:r>
        <w:rPr>
          <w:spacing w:val="6"/>
          <w:sz w:val="19"/>
          <w:szCs w:val="19"/>
        </w:rPr>
        <w:t>和</w:t>
      </w:r>
      <w:r>
        <w:rPr>
          <w:spacing w:val="-27"/>
          <w:sz w:val="19"/>
          <w:szCs w:val="19"/>
        </w:rPr>
        <w:t xml:space="preserve"> </w:t>
      </w:r>
      <w:r>
        <w:rPr>
          <w:rFonts w:ascii="Times New Roman" w:hAnsi="Times New Roman" w:eastAsia="Times New Roman" w:cs="Times New Roman"/>
          <w:sz w:val="19"/>
          <w:szCs w:val="19"/>
        </w:rPr>
        <w:t>XML</w:t>
      </w:r>
      <w:r>
        <w:rPr>
          <w:rFonts w:ascii="Times New Roman" w:hAnsi="Times New Roman" w:eastAsia="Times New Roman" w:cs="Times New Roman"/>
          <w:spacing w:val="32"/>
          <w:w w:val="101"/>
          <w:sz w:val="19"/>
          <w:szCs w:val="19"/>
        </w:rPr>
        <w:t xml:space="preserve"> </w:t>
      </w:r>
      <w:r>
        <w:rPr>
          <w:spacing w:val="6"/>
          <w:sz w:val="19"/>
          <w:szCs w:val="19"/>
        </w:rPr>
        <w:t>技术的全面支持等。</w:t>
      </w:r>
    </w:p>
    <w:p w14:paraId="46537457">
      <w:pPr>
        <w:pStyle w:val="2"/>
        <w:spacing w:before="187" w:line="219" w:lineRule="auto"/>
        <w:ind w:left="292"/>
        <w:rPr>
          <w:sz w:val="25"/>
          <w:szCs w:val="25"/>
        </w:rPr>
      </w:pPr>
      <w:r>
        <w:rPr>
          <w:b/>
          <w:bCs/>
          <w:color w:val="0068DF"/>
          <w:spacing w:val="-19"/>
          <w:sz w:val="25"/>
          <w:szCs w:val="25"/>
        </w:rPr>
        <w:t>2.5.5</w:t>
      </w:r>
      <w:r>
        <w:rPr>
          <w:color w:val="0068DF"/>
          <w:spacing w:val="80"/>
          <w:sz w:val="25"/>
          <w:szCs w:val="25"/>
        </w:rPr>
        <w:t xml:space="preserve"> </w:t>
      </w:r>
      <w:r>
        <w:rPr>
          <w:b/>
          <w:bCs/>
          <w:color w:val="0068DF"/>
          <w:spacing w:val="-19"/>
          <w:sz w:val="25"/>
          <w:szCs w:val="25"/>
        </w:rPr>
        <w:t>应用集成</w:t>
      </w:r>
    </w:p>
    <w:p w14:paraId="5D2AEF69">
      <w:pPr>
        <w:spacing w:line="116" w:lineRule="exact"/>
      </w:pPr>
    </w:p>
    <w:p w14:paraId="20E2A248">
      <w:pPr>
        <w:spacing w:line="116" w:lineRule="exact"/>
        <w:sectPr>
          <w:type w:val="continuous"/>
          <w:pgSz w:w="10320" w:h="13410"/>
          <w:pgMar w:top="400" w:right="1010" w:bottom="400" w:left="600" w:header="0" w:footer="0" w:gutter="0"/>
          <w:cols w:equalWidth="0" w:num="1">
            <w:col w:w="8710"/>
          </w:cols>
        </w:sectPr>
      </w:pPr>
    </w:p>
    <w:p w14:paraId="6389659B">
      <w:pPr>
        <w:pStyle w:val="2"/>
        <w:spacing w:before="57" w:line="282" w:lineRule="auto"/>
        <w:ind w:left="289" w:right="104" w:firstLine="410"/>
        <w:jc w:val="both"/>
        <w:rPr>
          <w:sz w:val="19"/>
          <w:szCs w:val="19"/>
        </w:rPr>
      </w:pPr>
      <w:r>
        <w:rPr>
          <w:spacing w:val="16"/>
          <w:sz w:val="19"/>
          <w:szCs w:val="19"/>
        </w:rPr>
        <w:t>集成关心的是个体和系统的所有硬件与软件之间各种人</w:t>
      </w:r>
      <w:r>
        <w:rPr>
          <w:spacing w:val="3"/>
          <w:sz w:val="19"/>
          <w:szCs w:val="19"/>
        </w:rPr>
        <w:t xml:space="preserve"> </w:t>
      </w:r>
      <w:r>
        <w:rPr>
          <w:spacing w:val="16"/>
          <w:sz w:val="19"/>
          <w:szCs w:val="19"/>
        </w:rPr>
        <w:t xml:space="preserve">机界面的一致性。从应用集合的一致表示、行为与功能的角 </w:t>
      </w:r>
      <w:r>
        <w:rPr>
          <w:spacing w:val="24"/>
          <w:sz w:val="19"/>
          <w:szCs w:val="19"/>
        </w:rPr>
        <w:t>度来看，应用(包括软件、构件或部分)的集成化集合提供</w:t>
      </w:r>
      <w:r>
        <w:rPr>
          <w:spacing w:val="1"/>
          <w:sz w:val="19"/>
          <w:szCs w:val="19"/>
        </w:rPr>
        <w:t xml:space="preserve"> </w:t>
      </w:r>
      <w:r>
        <w:rPr>
          <w:spacing w:val="18"/>
          <w:sz w:val="19"/>
          <w:szCs w:val="19"/>
        </w:rPr>
        <w:t>一种一致的无缝用户界面。从信息系统集成技术的角度看，</w:t>
      </w:r>
      <w:r>
        <w:rPr>
          <w:spacing w:val="6"/>
          <w:sz w:val="19"/>
          <w:szCs w:val="19"/>
        </w:rPr>
        <w:t xml:space="preserve"> </w:t>
      </w:r>
      <w:r>
        <w:rPr>
          <w:spacing w:val="16"/>
          <w:sz w:val="19"/>
          <w:szCs w:val="19"/>
        </w:rPr>
        <w:t>在集成的堆栈上，应用集成在最上层，主要解决应用的互操</w:t>
      </w:r>
      <w:r>
        <w:rPr>
          <w:spacing w:val="2"/>
          <w:sz w:val="19"/>
          <w:szCs w:val="19"/>
        </w:rPr>
        <w:t xml:space="preserve"> </w:t>
      </w:r>
      <w:r>
        <w:rPr>
          <w:spacing w:val="9"/>
          <w:sz w:val="19"/>
          <w:szCs w:val="19"/>
        </w:rPr>
        <w:t>作性问题，如图2-11所示。</w:t>
      </w:r>
    </w:p>
    <w:p w14:paraId="5D5BFA3B">
      <w:pPr>
        <w:spacing w:line="14" w:lineRule="auto"/>
        <w:rPr>
          <w:rFonts w:ascii="Arial"/>
          <w:sz w:val="2"/>
        </w:rPr>
      </w:pPr>
      <w:r>
        <w:rPr>
          <w:rFonts w:ascii="Arial" w:hAnsi="Arial" w:eastAsia="Arial" w:cs="Arial"/>
          <w:sz w:val="2"/>
          <w:szCs w:val="2"/>
        </w:rPr>
        <w:br w:type="column"/>
      </w:r>
    </w:p>
    <w:p w14:paraId="1217273A">
      <w:pPr>
        <w:pStyle w:val="2"/>
        <w:spacing w:line="1149" w:lineRule="exact"/>
      </w:pPr>
      <w:r>
        <w:rPr>
          <w:position w:val="-22"/>
        </w:rPr>
        <w:pict>
          <v:group id="_x0000_s1114" o:spid="_x0000_s1114" o:spt="203" style="height:57.55pt;width:138.5pt;" coordsize="2770,1150">
            <o:lock v:ext="edit"/>
            <v:shape id="_x0000_s1115" o:spid="_x0000_s1115" o:spt="75" type="#_x0000_t75" style="position:absolute;left:0;top:0;height:1150;width:2770;" filled="f" stroked="f" coordsize="21600,21600">
              <v:path/>
              <v:fill on="f" focussize="0,0"/>
              <v:stroke on="f"/>
              <v:imagedata r:id="rId57" o:title=""/>
              <o:lock v:ext="edit" aspectratio="t"/>
            </v:shape>
            <v:shape id="_x0000_s1116" o:spid="_x0000_s1116" o:spt="202" type="#_x0000_t202" style="position:absolute;left:-20;top:-20;height:1190;width:2810;" filled="f" stroked="f" coordsize="21600,21600">
              <v:path/>
              <v:fill on="f" focussize="0,0"/>
              <v:stroke on="f"/>
              <v:imagedata o:title=""/>
              <o:lock v:ext="edit" aspectratio="f"/>
              <v:textbox inset="0mm,0mm,0mm,0mm">
                <w:txbxContent>
                  <w:p w14:paraId="600ADC4D">
                    <w:pPr>
                      <w:spacing w:before="157" w:line="298" w:lineRule="auto"/>
                      <w:ind w:left="729" w:right="579" w:hanging="169"/>
                      <w:rPr>
                        <w:rFonts w:ascii="宋体" w:hAnsi="宋体" w:eastAsia="宋体" w:cs="宋体"/>
                        <w:sz w:val="19"/>
                        <w:szCs w:val="19"/>
                      </w:rPr>
                    </w:pPr>
                    <w:r>
                      <w:rPr>
                        <w:rFonts w:ascii="宋体" w:hAnsi="宋体" w:eastAsia="宋体" w:cs="宋体"/>
                        <w:spacing w:val="-4"/>
                        <w:sz w:val="19"/>
                        <w:szCs w:val="19"/>
                      </w:rPr>
                      <w:t>应用集成(互操作性)</w:t>
                    </w:r>
                    <w:r>
                      <w:rPr>
                        <w:rFonts w:ascii="宋体" w:hAnsi="宋体" w:eastAsia="宋体" w:cs="宋体"/>
                        <w:sz w:val="19"/>
                        <w:szCs w:val="19"/>
                      </w:rPr>
                      <w:t xml:space="preserve"> </w:t>
                    </w:r>
                    <w:r>
                      <w:rPr>
                        <w:rFonts w:ascii="宋体" w:hAnsi="宋体" w:eastAsia="宋体" w:cs="宋体"/>
                        <w:spacing w:val="-2"/>
                        <w:sz w:val="19"/>
                        <w:szCs w:val="19"/>
                      </w:rPr>
                      <w:t>数据集成(互通)</w:t>
                    </w:r>
                  </w:p>
                  <w:p w14:paraId="105D1A03">
                    <w:pPr>
                      <w:spacing w:before="37" w:line="219" w:lineRule="auto"/>
                      <w:ind w:left="730"/>
                      <w:rPr>
                        <w:rFonts w:ascii="宋体" w:hAnsi="宋体" w:eastAsia="宋体" w:cs="宋体"/>
                        <w:sz w:val="19"/>
                        <w:szCs w:val="19"/>
                      </w:rPr>
                    </w:pPr>
                    <w:r>
                      <w:rPr>
                        <w:rFonts w:ascii="宋体" w:hAnsi="宋体" w:eastAsia="宋体" w:cs="宋体"/>
                        <w:sz w:val="19"/>
                        <w:szCs w:val="19"/>
                      </w:rPr>
                      <w:t>网络集成(互连)</w:t>
                    </w:r>
                  </w:p>
                </w:txbxContent>
              </v:textbox>
            </v:shape>
            <w10:wrap type="none"/>
            <w10:anchorlock/>
          </v:group>
        </w:pict>
      </w:r>
    </w:p>
    <w:p w14:paraId="404AE4F5">
      <w:pPr>
        <w:pStyle w:val="2"/>
        <w:spacing w:before="68" w:line="219" w:lineRule="auto"/>
        <w:ind w:left="600"/>
        <w:rPr>
          <w:sz w:val="19"/>
          <w:szCs w:val="19"/>
        </w:rPr>
      </w:pPr>
      <w:r>
        <w:rPr>
          <w:spacing w:val="-4"/>
          <w:sz w:val="19"/>
          <w:szCs w:val="19"/>
        </w:rPr>
        <w:t>图2-11</w:t>
      </w:r>
      <w:r>
        <w:rPr>
          <w:spacing w:val="65"/>
          <w:sz w:val="19"/>
          <w:szCs w:val="19"/>
        </w:rPr>
        <w:t xml:space="preserve"> </w:t>
      </w:r>
      <w:r>
        <w:rPr>
          <w:spacing w:val="-4"/>
          <w:sz w:val="19"/>
          <w:szCs w:val="19"/>
        </w:rPr>
        <w:t>系统集成栈</w:t>
      </w:r>
    </w:p>
    <w:p w14:paraId="7572182D">
      <w:pPr>
        <w:spacing w:line="219" w:lineRule="auto"/>
        <w:rPr>
          <w:sz w:val="19"/>
          <w:szCs w:val="19"/>
        </w:rPr>
        <w:sectPr>
          <w:type w:val="continuous"/>
          <w:pgSz w:w="10320" w:h="13410"/>
          <w:pgMar w:top="400" w:right="1010" w:bottom="400" w:left="600" w:header="0" w:footer="0" w:gutter="0"/>
          <w:cols w:equalWidth="0" w:num="2">
            <w:col w:w="5810" w:space="100"/>
            <w:col w:w="2801"/>
          </w:cols>
        </w:sectPr>
      </w:pPr>
    </w:p>
    <w:p w14:paraId="7129D47B">
      <w:pPr>
        <w:pStyle w:val="2"/>
        <w:spacing w:before="140" w:line="278" w:lineRule="auto"/>
        <w:ind w:left="289" w:right="34" w:firstLine="410"/>
        <w:rPr>
          <w:sz w:val="19"/>
          <w:szCs w:val="19"/>
        </w:rPr>
      </w:pPr>
      <w:r>
        <w:rPr>
          <w:spacing w:val="9"/>
          <w:sz w:val="19"/>
          <w:szCs w:val="19"/>
        </w:rPr>
        <w:t>拿语言作比喻，语法、语义、语用三者对应到系统集成技术上，网络集成解决语法的问题，</w:t>
      </w:r>
      <w:r>
        <w:rPr>
          <w:spacing w:val="14"/>
          <w:sz w:val="19"/>
          <w:szCs w:val="19"/>
        </w:rPr>
        <w:t xml:space="preserve"> </w:t>
      </w:r>
      <w:r>
        <w:rPr>
          <w:spacing w:val="8"/>
          <w:sz w:val="19"/>
          <w:szCs w:val="19"/>
        </w:rPr>
        <w:t>数据集成解决语义的问题，应用集成解决语用的问题。</w:t>
      </w:r>
    </w:p>
    <w:p w14:paraId="29116DE8">
      <w:pPr>
        <w:pStyle w:val="2"/>
        <w:spacing w:before="25" w:line="290" w:lineRule="auto"/>
        <w:ind w:left="289" w:right="67" w:firstLine="410"/>
        <w:rPr>
          <w:sz w:val="19"/>
          <w:szCs w:val="19"/>
        </w:rPr>
      </w:pPr>
      <w:r>
        <w:rPr>
          <w:spacing w:val="9"/>
          <w:sz w:val="19"/>
          <w:szCs w:val="19"/>
        </w:rPr>
        <w:t>应用集成或组织应用集成</w:t>
      </w:r>
      <w:r>
        <w:rPr>
          <w:spacing w:val="-40"/>
          <w:sz w:val="19"/>
          <w:szCs w:val="19"/>
        </w:rPr>
        <w:t xml:space="preserve"> </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Enterprise</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Application</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Integration</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EAI</w:t>
      </w:r>
      <w:r>
        <w:rPr>
          <w:rFonts w:ascii="Times New Roman" w:hAnsi="Times New Roman" w:eastAsia="Times New Roman" w:cs="Times New Roman"/>
          <w:spacing w:val="9"/>
          <w:sz w:val="19"/>
          <w:szCs w:val="19"/>
        </w:rPr>
        <w:t xml:space="preserve">) </w:t>
      </w:r>
      <w:r>
        <w:rPr>
          <w:spacing w:val="9"/>
          <w:sz w:val="19"/>
          <w:szCs w:val="19"/>
        </w:rPr>
        <w:t>是指将独立的软件应用</w:t>
      </w:r>
      <w:r>
        <w:rPr>
          <w:sz w:val="19"/>
          <w:szCs w:val="19"/>
        </w:rPr>
        <w:t xml:space="preserve"> </w:t>
      </w:r>
      <w:r>
        <w:rPr>
          <w:spacing w:val="13"/>
          <w:sz w:val="19"/>
          <w:szCs w:val="19"/>
        </w:rPr>
        <w:t>连接起来，实现协同工作。借助应用集成，组织可以提高运营效率，实现工作流自动化，并增</w:t>
      </w:r>
      <w:r>
        <w:rPr>
          <w:spacing w:val="1"/>
          <w:sz w:val="19"/>
          <w:szCs w:val="19"/>
        </w:rPr>
        <w:t xml:space="preserve"> </w:t>
      </w:r>
      <w:r>
        <w:rPr>
          <w:spacing w:val="8"/>
          <w:sz w:val="19"/>
          <w:szCs w:val="19"/>
        </w:rPr>
        <w:t>强不同部门和团队之间的协作。对应用集成的技术要求包</w:t>
      </w:r>
      <w:r>
        <w:rPr>
          <w:spacing w:val="7"/>
          <w:sz w:val="19"/>
          <w:szCs w:val="19"/>
        </w:rPr>
        <w:t>括：</w:t>
      </w:r>
    </w:p>
    <w:p w14:paraId="29761A93">
      <w:pPr>
        <w:pStyle w:val="2"/>
        <w:spacing w:before="47" w:line="274" w:lineRule="auto"/>
        <w:ind w:left="1000" w:right="75" w:hanging="300"/>
        <w:rPr>
          <w:sz w:val="19"/>
          <w:szCs w:val="19"/>
        </w:rPr>
      </w:pPr>
      <w:r>
        <w:rPr>
          <w:spacing w:val="13"/>
          <w:sz w:val="19"/>
          <w:szCs w:val="19"/>
        </w:rPr>
        <w:t>●具有应用间的互操作性。应用的互操作性提供不同系统间信息的有意义交换，即信息的</w:t>
      </w:r>
      <w:r>
        <w:rPr>
          <w:spacing w:val="16"/>
          <w:sz w:val="19"/>
          <w:szCs w:val="19"/>
        </w:rPr>
        <w:t xml:space="preserve"> </w:t>
      </w:r>
      <w:r>
        <w:rPr>
          <w:spacing w:val="11"/>
          <w:sz w:val="19"/>
          <w:szCs w:val="19"/>
        </w:rPr>
        <w:t>语用交换，而不仅限于语法交换和语义交换。此外，它还提供系统间功</w:t>
      </w:r>
      <w:r>
        <w:rPr>
          <w:spacing w:val="10"/>
          <w:sz w:val="19"/>
          <w:szCs w:val="19"/>
        </w:rPr>
        <w:t>能服务的使用功</w:t>
      </w:r>
      <w:r>
        <w:rPr>
          <w:sz w:val="19"/>
          <w:szCs w:val="19"/>
        </w:rPr>
        <w:t xml:space="preserve"> </w:t>
      </w:r>
      <w:r>
        <w:rPr>
          <w:spacing w:val="7"/>
          <w:sz w:val="19"/>
          <w:szCs w:val="19"/>
        </w:rPr>
        <w:t>能，特别是资源的动态发现和动态类型检查。</w:t>
      </w:r>
    </w:p>
    <w:p w14:paraId="20653845">
      <w:pPr>
        <w:pStyle w:val="2"/>
        <w:spacing w:before="104" w:line="184" w:lineRule="auto"/>
        <w:ind w:left="700"/>
        <w:rPr>
          <w:sz w:val="19"/>
          <w:szCs w:val="19"/>
        </w:rPr>
      </w:pPr>
      <w:r>
        <w:rPr>
          <w:spacing w:val="13"/>
          <w:sz w:val="19"/>
          <w:szCs w:val="19"/>
        </w:rPr>
        <w:t>●具有分布式环境中应用的可移植性。提供应用程序在系统中迁移的潜力，并且不破坏应</w:t>
      </w:r>
    </w:p>
    <w:p w14:paraId="0DBF044A">
      <w:pPr>
        <w:spacing w:line="184" w:lineRule="auto"/>
        <w:rPr>
          <w:sz w:val="19"/>
          <w:szCs w:val="19"/>
        </w:rPr>
        <w:sectPr>
          <w:type w:val="continuous"/>
          <w:pgSz w:w="10320" w:h="13410"/>
          <w:pgMar w:top="400" w:right="1010" w:bottom="400" w:left="600" w:header="0" w:footer="0" w:gutter="0"/>
          <w:cols w:equalWidth="0" w:num="1">
            <w:col w:w="8710"/>
          </w:cols>
        </w:sectPr>
      </w:pPr>
    </w:p>
    <w:p w14:paraId="6B9E8684">
      <w:pPr>
        <w:pStyle w:val="2"/>
        <w:spacing w:before="86" w:line="219" w:lineRule="auto"/>
        <w:jc w:val="right"/>
        <w:rPr>
          <w:rFonts w:ascii="Times New Roman" w:hAnsi="Times New Roman" w:eastAsia="Times New Roman" w:cs="Times New Roman"/>
          <w:sz w:val="19"/>
          <w:szCs w:val="19"/>
        </w:rPr>
      </w:pPr>
      <w:r>
        <w:rPr>
          <w:spacing w:val="4"/>
          <w:sz w:val="19"/>
          <w:szCs w:val="19"/>
        </w:rPr>
        <w:t>第2章</w:t>
      </w:r>
      <w:r>
        <w:rPr>
          <w:spacing w:val="30"/>
          <w:sz w:val="19"/>
          <w:szCs w:val="19"/>
        </w:rPr>
        <w:t xml:space="preserve"> </w:t>
      </w:r>
      <w:r>
        <w:rPr>
          <w:spacing w:val="4"/>
          <w:sz w:val="19"/>
          <w:szCs w:val="19"/>
        </w:rPr>
        <w:t>信息系统工程</w:t>
      </w:r>
      <w:r>
        <w:rPr>
          <w:spacing w:val="15"/>
          <w:sz w:val="19"/>
          <w:szCs w:val="19"/>
        </w:rPr>
        <w:t xml:space="preserve">      </w:t>
      </w:r>
      <w:r>
        <w:rPr>
          <w:rFonts w:ascii="Times New Roman" w:hAnsi="Times New Roman" w:eastAsia="Times New Roman" w:cs="Times New Roman"/>
          <w:spacing w:val="4"/>
          <w:sz w:val="19"/>
          <w:szCs w:val="19"/>
        </w:rPr>
        <w:t>83</w:t>
      </w:r>
    </w:p>
    <w:p w14:paraId="0B10ED60">
      <w:pPr>
        <w:spacing w:line="291" w:lineRule="auto"/>
        <w:rPr>
          <w:rFonts w:ascii="Arial"/>
          <w:sz w:val="21"/>
        </w:rPr>
      </w:pPr>
    </w:p>
    <w:p w14:paraId="27DE6932">
      <w:pPr>
        <w:pStyle w:val="2"/>
        <w:spacing w:before="62" w:line="309" w:lineRule="auto"/>
        <w:ind w:left="710" w:right="253"/>
        <w:rPr>
          <w:sz w:val="19"/>
          <w:szCs w:val="19"/>
        </w:rPr>
      </w:pPr>
      <w:r>
        <w:rPr>
          <w:spacing w:val="11"/>
          <w:sz w:val="19"/>
          <w:szCs w:val="19"/>
        </w:rPr>
        <w:t>用所提供的或正在使用的服务。这种迁移包括静态的系统重构或重新安装，以</w:t>
      </w:r>
      <w:r>
        <w:rPr>
          <w:spacing w:val="10"/>
          <w:sz w:val="19"/>
          <w:szCs w:val="19"/>
        </w:rPr>
        <w:t>及动态的</w:t>
      </w:r>
      <w:r>
        <w:rPr>
          <w:sz w:val="19"/>
          <w:szCs w:val="19"/>
        </w:rPr>
        <w:t xml:space="preserve"> </w:t>
      </w:r>
      <w:r>
        <w:rPr>
          <w:spacing w:val="2"/>
          <w:sz w:val="19"/>
          <w:szCs w:val="19"/>
        </w:rPr>
        <w:t>系统重构。</w:t>
      </w:r>
    </w:p>
    <w:p w14:paraId="45252117">
      <w:pPr>
        <w:pStyle w:val="2"/>
        <w:spacing w:before="4" w:line="312" w:lineRule="auto"/>
        <w:ind w:left="710" w:right="254" w:hanging="290"/>
        <w:rPr>
          <w:sz w:val="19"/>
          <w:szCs w:val="19"/>
        </w:rPr>
      </w:pPr>
      <w:r>
        <w:rPr>
          <w:spacing w:val="13"/>
          <w:sz w:val="19"/>
          <w:szCs w:val="19"/>
        </w:rPr>
        <w:t>●具有系统中应用分布的透明性。分布的透明性屏蔽了由系统的分布所带来的复杂性。它</w:t>
      </w:r>
      <w:r>
        <w:rPr>
          <w:spacing w:val="6"/>
          <w:sz w:val="19"/>
          <w:szCs w:val="19"/>
        </w:rPr>
        <w:t xml:space="preserve"> </w:t>
      </w:r>
      <w:r>
        <w:rPr>
          <w:spacing w:val="10"/>
          <w:sz w:val="19"/>
          <w:szCs w:val="19"/>
        </w:rPr>
        <w:t>使应用编程者不必关心系统是分布的还是集中的，从而可以集中精力设计具体的应用系</w:t>
      </w:r>
      <w:r>
        <w:rPr>
          <w:spacing w:val="17"/>
          <w:sz w:val="19"/>
          <w:szCs w:val="19"/>
        </w:rPr>
        <w:t xml:space="preserve"> </w:t>
      </w:r>
      <w:r>
        <w:rPr>
          <w:spacing w:val="7"/>
          <w:sz w:val="19"/>
          <w:szCs w:val="19"/>
        </w:rPr>
        <w:t>统，这就大大减少了应用集成编程的复杂性。</w:t>
      </w:r>
    </w:p>
    <w:p w14:paraId="35EF7BC4">
      <w:pPr>
        <w:pStyle w:val="2"/>
        <w:spacing w:before="7" w:line="302" w:lineRule="auto"/>
        <w:ind w:right="279" w:firstLine="420"/>
        <w:jc w:val="both"/>
        <w:rPr>
          <w:sz w:val="19"/>
          <w:szCs w:val="19"/>
        </w:rPr>
      </w:pPr>
      <w:r>
        <w:rPr>
          <w:spacing w:val="13"/>
          <w:sz w:val="19"/>
          <w:szCs w:val="19"/>
        </w:rPr>
        <w:t>实现上述目标的关键在于，在独立应用之间</w:t>
      </w:r>
      <w:r>
        <w:rPr>
          <w:spacing w:val="12"/>
          <w:sz w:val="19"/>
          <w:szCs w:val="19"/>
        </w:rPr>
        <w:t>实现实时双向通信和业务数据流，这些应用包</w:t>
      </w:r>
      <w:r>
        <w:rPr>
          <w:sz w:val="19"/>
          <w:szCs w:val="19"/>
        </w:rPr>
        <w:t xml:space="preserve"> </w:t>
      </w:r>
      <w:r>
        <w:rPr>
          <w:spacing w:val="13"/>
          <w:sz w:val="19"/>
          <w:szCs w:val="19"/>
        </w:rPr>
        <w:t>括本地应用和云应用，其中云应用正变得越来越多。借助互联互通的流程和数</w:t>
      </w:r>
      <w:r>
        <w:rPr>
          <w:spacing w:val="12"/>
          <w:sz w:val="19"/>
          <w:szCs w:val="19"/>
        </w:rPr>
        <w:t>据交换，组织通</w:t>
      </w:r>
      <w:r>
        <w:rPr>
          <w:sz w:val="19"/>
          <w:szCs w:val="19"/>
        </w:rPr>
        <w:t xml:space="preserve"> </w:t>
      </w:r>
      <w:r>
        <w:rPr>
          <w:spacing w:val="8"/>
          <w:sz w:val="19"/>
          <w:szCs w:val="19"/>
        </w:rPr>
        <w:t>常可以基于统一用户界面或服务，协调所有基础设施和应用的各种功能。</w:t>
      </w:r>
    </w:p>
    <w:p w14:paraId="654545AA">
      <w:pPr>
        <w:pStyle w:val="2"/>
        <w:spacing w:before="25" w:line="293" w:lineRule="auto"/>
        <w:ind w:right="277" w:firstLine="420"/>
        <w:jc w:val="both"/>
        <w:rPr>
          <w:sz w:val="19"/>
          <w:szCs w:val="19"/>
        </w:rPr>
      </w:pPr>
      <w:r>
        <w:rPr>
          <w:spacing w:val="13"/>
          <w:sz w:val="19"/>
          <w:szCs w:val="19"/>
        </w:rPr>
        <w:t>当事件或数据发生变化时，应用集成会确保不同应</w:t>
      </w:r>
      <w:r>
        <w:rPr>
          <w:spacing w:val="12"/>
          <w:sz w:val="19"/>
          <w:szCs w:val="19"/>
        </w:rPr>
        <w:t>用之间保持同步。应用集成不同于数据</w:t>
      </w:r>
      <w:r>
        <w:rPr>
          <w:sz w:val="19"/>
          <w:szCs w:val="19"/>
        </w:rPr>
        <w:t xml:space="preserve"> </w:t>
      </w:r>
      <w:r>
        <w:rPr>
          <w:spacing w:val="13"/>
          <w:sz w:val="19"/>
          <w:szCs w:val="19"/>
        </w:rPr>
        <w:t>集成：数据集成是共享数据，并不存储数据；而应用集成是在功能层面将多个应</w:t>
      </w:r>
      <w:r>
        <w:rPr>
          <w:spacing w:val="12"/>
          <w:sz w:val="19"/>
          <w:szCs w:val="19"/>
        </w:rPr>
        <w:t>用直接连接起</w:t>
      </w:r>
      <w:r>
        <w:rPr>
          <w:sz w:val="19"/>
          <w:szCs w:val="19"/>
        </w:rPr>
        <w:t xml:space="preserve"> </w:t>
      </w:r>
      <w:r>
        <w:rPr>
          <w:spacing w:val="7"/>
          <w:sz w:val="19"/>
          <w:szCs w:val="19"/>
        </w:rPr>
        <w:t>来，帮助打造动态且具有高度适应性的应用和服务。</w:t>
      </w:r>
    </w:p>
    <w:p w14:paraId="1B3591F7">
      <w:pPr>
        <w:pStyle w:val="2"/>
        <w:spacing w:before="25" w:line="295" w:lineRule="auto"/>
        <w:ind w:right="269" w:firstLine="420"/>
        <w:jc w:val="both"/>
        <w:rPr>
          <w:sz w:val="19"/>
          <w:szCs w:val="19"/>
        </w:rPr>
      </w:pPr>
      <w:r>
        <w:rPr>
          <w:spacing w:val="13"/>
          <w:sz w:val="19"/>
          <w:szCs w:val="19"/>
        </w:rPr>
        <w:t>由于应用集成重点关注的是工作流层面的应用连接，因此需要的数</w:t>
      </w:r>
      <w:r>
        <w:rPr>
          <w:spacing w:val="12"/>
          <w:sz w:val="19"/>
          <w:szCs w:val="19"/>
        </w:rPr>
        <w:t>据存储空间和计算时间</w:t>
      </w:r>
      <w:r>
        <w:rPr>
          <w:sz w:val="19"/>
          <w:szCs w:val="19"/>
        </w:rPr>
        <w:t xml:space="preserve"> </w:t>
      </w:r>
      <w:r>
        <w:rPr>
          <w:spacing w:val="15"/>
          <w:sz w:val="19"/>
          <w:szCs w:val="19"/>
        </w:rPr>
        <w:t>并不多。应用集成既可以部署在云端，集成</w:t>
      </w:r>
      <w:r>
        <w:rPr>
          <w:rFonts w:ascii="Times New Roman" w:hAnsi="Times New Roman" w:eastAsia="Times New Roman" w:cs="Times New Roman"/>
          <w:sz w:val="19"/>
          <w:szCs w:val="19"/>
        </w:rPr>
        <w:t>SaaS</w:t>
      </w:r>
      <w:r>
        <w:rPr>
          <w:rFonts w:ascii="Times New Roman" w:hAnsi="Times New Roman" w:eastAsia="Times New Roman" w:cs="Times New Roman"/>
          <w:spacing w:val="-27"/>
          <w:sz w:val="19"/>
          <w:szCs w:val="19"/>
        </w:rPr>
        <w:t xml:space="preserve"> </w:t>
      </w:r>
      <w:r>
        <w:rPr>
          <w:spacing w:val="15"/>
          <w:sz w:val="19"/>
          <w:szCs w:val="19"/>
        </w:rPr>
        <w:t>、</w:t>
      </w:r>
      <w:r>
        <w:rPr>
          <w:rFonts w:ascii="Times New Roman" w:hAnsi="Times New Roman" w:eastAsia="Times New Roman" w:cs="Times New Roman"/>
          <w:sz w:val="19"/>
          <w:szCs w:val="19"/>
        </w:rPr>
        <w:t>CRM</w:t>
      </w:r>
      <w:r>
        <w:rPr>
          <w:rFonts w:ascii="Times New Roman" w:hAnsi="Times New Roman" w:eastAsia="Times New Roman" w:cs="Times New Roman"/>
          <w:spacing w:val="15"/>
          <w:sz w:val="19"/>
          <w:szCs w:val="19"/>
        </w:rPr>
        <w:t xml:space="preserve">  </w:t>
      </w:r>
      <w:r>
        <w:rPr>
          <w:spacing w:val="15"/>
          <w:sz w:val="19"/>
          <w:szCs w:val="19"/>
        </w:rPr>
        <w:t>等云应</w:t>
      </w:r>
      <w:r>
        <w:rPr>
          <w:spacing w:val="14"/>
          <w:sz w:val="19"/>
          <w:szCs w:val="19"/>
        </w:rPr>
        <w:t>用，也可以部署在受防火墙保</w:t>
      </w:r>
      <w:r>
        <w:rPr>
          <w:sz w:val="19"/>
          <w:szCs w:val="19"/>
        </w:rPr>
        <w:t xml:space="preserve"> </w:t>
      </w:r>
      <w:r>
        <w:rPr>
          <w:spacing w:val="11"/>
          <w:sz w:val="19"/>
          <w:szCs w:val="19"/>
        </w:rPr>
        <w:t>护的本地，集成传统</w:t>
      </w:r>
      <w:r>
        <w:rPr>
          <w:spacing w:val="-31"/>
          <w:sz w:val="19"/>
          <w:szCs w:val="19"/>
        </w:rPr>
        <w:t xml:space="preserve"> </w:t>
      </w:r>
      <w:r>
        <w:rPr>
          <w:rFonts w:ascii="Times New Roman" w:hAnsi="Times New Roman" w:eastAsia="Times New Roman" w:cs="Times New Roman"/>
          <w:sz w:val="19"/>
          <w:szCs w:val="19"/>
        </w:rPr>
        <w:t>ERP</w:t>
      </w:r>
      <w:r>
        <w:rPr>
          <w:rFonts w:ascii="Times New Roman" w:hAnsi="Times New Roman" w:eastAsia="Times New Roman" w:cs="Times New Roman"/>
          <w:spacing w:val="18"/>
          <w:w w:val="101"/>
          <w:sz w:val="19"/>
          <w:szCs w:val="19"/>
        </w:rPr>
        <w:t xml:space="preserve"> </w:t>
      </w:r>
      <w:r>
        <w:rPr>
          <w:spacing w:val="11"/>
          <w:sz w:val="19"/>
          <w:szCs w:val="19"/>
        </w:rPr>
        <w:t>系统等，还可以部署在混合环境中，集成本地应用和托管在专用服务</w:t>
      </w:r>
      <w:r>
        <w:rPr>
          <w:sz w:val="19"/>
          <w:szCs w:val="19"/>
        </w:rPr>
        <w:t xml:space="preserve"> </w:t>
      </w:r>
      <w:r>
        <w:rPr>
          <w:spacing w:val="12"/>
          <w:sz w:val="19"/>
          <w:szCs w:val="19"/>
        </w:rPr>
        <w:t>器上的云应用。可以帮助协调连接各种应用的组件有应用编程接口</w:t>
      </w:r>
      <w:r>
        <w:rPr>
          <w:spacing w:val="-54"/>
          <w:sz w:val="19"/>
          <w:szCs w:val="19"/>
        </w:rPr>
        <w:t xml:space="preserve"> </w:t>
      </w:r>
      <w:r>
        <w:rPr>
          <w:rFonts w:ascii="Times New Roman" w:hAnsi="Times New Roman" w:eastAsia="Times New Roman" w:cs="Times New Roman"/>
          <w:spacing w:val="12"/>
          <w:sz w:val="19"/>
          <w:szCs w:val="19"/>
        </w:rPr>
        <w:t>(</w:t>
      </w:r>
      <w:r>
        <w:rPr>
          <w:rFonts w:ascii="Times New Roman" w:hAnsi="Times New Roman" w:eastAsia="Times New Roman" w:cs="Times New Roman"/>
          <w:sz w:val="19"/>
          <w:szCs w:val="19"/>
        </w:rPr>
        <w:t>API</w:t>
      </w:r>
      <w:r>
        <w:rPr>
          <w:rFonts w:ascii="Times New Roman" w:hAnsi="Times New Roman" w:eastAsia="Times New Roman" w:cs="Times New Roman"/>
          <w:spacing w:val="12"/>
          <w:sz w:val="19"/>
          <w:szCs w:val="19"/>
        </w:rPr>
        <w:t>)</w:t>
      </w:r>
      <w:r>
        <w:rPr>
          <w:rFonts w:ascii="Times New Roman" w:hAnsi="Times New Roman" w:eastAsia="Times New Roman" w:cs="Times New Roman"/>
          <w:spacing w:val="-26"/>
          <w:sz w:val="19"/>
          <w:szCs w:val="19"/>
        </w:rPr>
        <w:t xml:space="preserve"> </w:t>
      </w:r>
      <w:r>
        <w:rPr>
          <w:spacing w:val="12"/>
          <w:sz w:val="19"/>
          <w:szCs w:val="19"/>
        </w:rPr>
        <w:t>、</w:t>
      </w:r>
      <w:r>
        <w:rPr>
          <w:spacing w:val="40"/>
          <w:sz w:val="19"/>
          <w:szCs w:val="19"/>
        </w:rPr>
        <w:t xml:space="preserve"> </w:t>
      </w:r>
      <w:r>
        <w:rPr>
          <w:spacing w:val="12"/>
          <w:sz w:val="19"/>
          <w:szCs w:val="19"/>
        </w:rPr>
        <w:t>事件</w:t>
      </w:r>
      <w:r>
        <w:rPr>
          <w:spacing w:val="11"/>
          <w:sz w:val="19"/>
          <w:szCs w:val="19"/>
        </w:rPr>
        <w:t>驱动型操作和</w:t>
      </w:r>
      <w:r>
        <w:rPr>
          <w:sz w:val="19"/>
          <w:szCs w:val="19"/>
        </w:rPr>
        <w:t xml:space="preserve"> </w:t>
      </w:r>
      <w:r>
        <w:rPr>
          <w:spacing w:val="9"/>
          <w:sz w:val="19"/>
          <w:szCs w:val="19"/>
        </w:rPr>
        <w:t>数据映射。</w:t>
      </w:r>
    </w:p>
    <w:p w14:paraId="78C9BED0">
      <w:pPr>
        <w:pStyle w:val="2"/>
        <w:spacing w:before="64" w:line="307" w:lineRule="auto"/>
        <w:ind w:right="279" w:firstLine="420"/>
        <w:rPr>
          <w:sz w:val="19"/>
          <w:szCs w:val="19"/>
        </w:rPr>
      </w:pPr>
      <w:r>
        <w:rPr>
          <w:spacing w:val="18"/>
          <w:sz w:val="19"/>
          <w:szCs w:val="19"/>
        </w:rPr>
        <w:t>如今，各行各业不同规模的组织都在利用应用集成实现流程互连和数据交</w:t>
      </w:r>
      <w:r>
        <w:rPr>
          <w:spacing w:val="17"/>
          <w:sz w:val="19"/>
          <w:szCs w:val="19"/>
        </w:rPr>
        <w:t>换，提高业务</w:t>
      </w:r>
      <w:r>
        <w:rPr>
          <w:sz w:val="19"/>
          <w:szCs w:val="19"/>
        </w:rPr>
        <w:t xml:space="preserve"> </w:t>
      </w:r>
      <w:r>
        <w:rPr>
          <w:spacing w:val="5"/>
          <w:sz w:val="19"/>
          <w:szCs w:val="19"/>
        </w:rPr>
        <w:t>效率。</w:t>
      </w:r>
    </w:p>
    <w:p w14:paraId="7066E88A">
      <w:pPr>
        <w:pStyle w:val="2"/>
        <w:spacing w:before="336" w:line="222" w:lineRule="auto"/>
        <w:ind w:left="3"/>
        <w:rPr>
          <w:rFonts w:ascii="黑体" w:hAnsi="黑体" w:eastAsia="黑体" w:cs="黑体"/>
          <w:sz w:val="29"/>
          <w:szCs w:val="29"/>
        </w:rPr>
      </w:pPr>
      <w:bookmarkStart w:id="524" w:name="bookmark511"/>
      <w:bookmarkEnd w:id="524"/>
      <w:r>
        <w:rPr>
          <w:b/>
          <w:bCs/>
          <w:color w:val="005FDD"/>
          <w:spacing w:val="-12"/>
          <w:sz w:val="29"/>
          <w:szCs w:val="29"/>
        </w:rPr>
        <w:t>2.6</w:t>
      </w:r>
      <w:r>
        <w:rPr>
          <w:color w:val="005FDD"/>
          <w:spacing w:val="135"/>
          <w:sz w:val="29"/>
          <w:szCs w:val="29"/>
        </w:rPr>
        <w:t xml:space="preserve"> </w:t>
      </w:r>
      <w:r>
        <w:rPr>
          <w:rFonts w:ascii="黑体" w:hAnsi="黑体" w:eastAsia="黑体" w:cs="黑体"/>
          <w:b/>
          <w:bCs/>
          <w:color w:val="005FDD"/>
          <w:spacing w:val="-12"/>
          <w:sz w:val="29"/>
          <w:szCs w:val="29"/>
        </w:rPr>
        <w:t>安全工程</w:t>
      </w:r>
    </w:p>
    <w:p w14:paraId="44AA2204">
      <w:pPr>
        <w:pStyle w:val="2"/>
        <w:spacing w:before="232" w:line="308" w:lineRule="auto"/>
        <w:ind w:right="275" w:firstLine="420"/>
        <w:rPr>
          <w:sz w:val="19"/>
          <w:szCs w:val="19"/>
        </w:rPr>
      </w:pPr>
      <w:r>
        <w:rPr>
          <w:spacing w:val="13"/>
          <w:sz w:val="19"/>
          <w:szCs w:val="19"/>
        </w:rPr>
        <w:t>信息系统安全是一门新兴的工程实践课题。加大对信息</w:t>
      </w:r>
      <w:r>
        <w:rPr>
          <w:spacing w:val="12"/>
          <w:sz w:val="19"/>
          <w:szCs w:val="19"/>
        </w:rPr>
        <w:t>安全系统工程的研究，可以规范信</w:t>
      </w:r>
      <w:r>
        <w:rPr>
          <w:sz w:val="19"/>
          <w:szCs w:val="19"/>
        </w:rPr>
        <w:t xml:space="preserve"> </w:t>
      </w:r>
      <w:r>
        <w:rPr>
          <w:spacing w:val="8"/>
          <w:sz w:val="19"/>
          <w:szCs w:val="19"/>
        </w:rPr>
        <w:t>息安全系统工程建设的过程，提高建设信息安全系统工程的成熟能力。</w:t>
      </w:r>
    </w:p>
    <w:p w14:paraId="687E93C1">
      <w:pPr>
        <w:pStyle w:val="2"/>
        <w:spacing w:before="166" w:line="219" w:lineRule="auto"/>
        <w:ind w:left="2"/>
        <w:rPr>
          <w:sz w:val="25"/>
          <w:szCs w:val="25"/>
        </w:rPr>
      </w:pPr>
      <w:r>
        <w:rPr>
          <w:b/>
          <w:bCs/>
          <w:color w:val="005CD5"/>
          <w:spacing w:val="-18"/>
          <w:sz w:val="25"/>
          <w:szCs w:val="25"/>
        </w:rPr>
        <w:t>2.6.1</w:t>
      </w:r>
      <w:r>
        <w:rPr>
          <w:color w:val="005CD5"/>
          <w:spacing w:val="88"/>
          <w:sz w:val="25"/>
          <w:szCs w:val="25"/>
        </w:rPr>
        <w:t xml:space="preserve"> </w:t>
      </w:r>
      <w:r>
        <w:rPr>
          <w:b/>
          <w:bCs/>
          <w:color w:val="005CD5"/>
          <w:spacing w:val="-18"/>
          <w:sz w:val="25"/>
          <w:szCs w:val="25"/>
        </w:rPr>
        <w:t>工程概述</w:t>
      </w:r>
    </w:p>
    <w:p w14:paraId="69C0C91F">
      <w:pPr>
        <w:pStyle w:val="2"/>
        <w:spacing w:before="164" w:line="286" w:lineRule="auto"/>
        <w:ind w:right="261" w:firstLine="420"/>
        <w:rPr>
          <w:sz w:val="19"/>
          <w:szCs w:val="19"/>
        </w:rPr>
      </w:pPr>
      <w:r>
        <w:rPr>
          <w:spacing w:val="3"/>
          <w:sz w:val="19"/>
          <w:szCs w:val="19"/>
        </w:rPr>
        <w:t>信息安全系统工程就是要建造一个信息安全系统，它是整个信息系统工程的一部分，最好与业</w:t>
      </w:r>
      <w:r>
        <w:rPr>
          <w:spacing w:val="2"/>
          <w:sz w:val="19"/>
          <w:szCs w:val="19"/>
        </w:rPr>
        <w:t xml:space="preserve"> </w:t>
      </w:r>
      <w:r>
        <w:rPr>
          <w:spacing w:val="3"/>
          <w:sz w:val="19"/>
          <w:szCs w:val="19"/>
        </w:rPr>
        <w:t>务应用信息系统工程同步建设，主要围绕“信息安全”的内容，例如信息安全风险评估、信息安全</w:t>
      </w:r>
    </w:p>
    <w:p w14:paraId="12F6A028">
      <w:pPr>
        <w:spacing w:line="32" w:lineRule="exact"/>
      </w:pPr>
    </w:p>
    <w:p w14:paraId="44CF0622">
      <w:pPr>
        <w:spacing w:line="32" w:lineRule="exact"/>
        <w:sectPr>
          <w:pgSz w:w="10310" w:h="13280"/>
          <w:pgMar w:top="400" w:right="681" w:bottom="400" w:left="1029" w:header="0" w:footer="0" w:gutter="0"/>
          <w:cols w:equalWidth="0" w:num="1">
            <w:col w:w="8599"/>
          </w:cols>
        </w:sectPr>
      </w:pPr>
    </w:p>
    <w:p w14:paraId="6DA4F708">
      <w:pPr>
        <w:pStyle w:val="2"/>
        <w:spacing w:before="1" w:line="294" w:lineRule="auto"/>
        <w:ind w:right="64"/>
        <w:jc w:val="both"/>
        <w:rPr>
          <w:sz w:val="19"/>
          <w:szCs w:val="19"/>
        </w:rPr>
      </w:pPr>
      <w:r>
        <w:rPr>
          <w:spacing w:val="15"/>
          <w:sz w:val="19"/>
          <w:szCs w:val="19"/>
        </w:rPr>
        <w:t>策略制定、信息安全需求确定、信息安全</w:t>
      </w:r>
      <w:r>
        <w:rPr>
          <w:spacing w:val="4"/>
          <w:sz w:val="19"/>
          <w:szCs w:val="19"/>
        </w:rPr>
        <w:t xml:space="preserve">  </w:t>
      </w:r>
      <w:r>
        <w:rPr>
          <w:spacing w:val="20"/>
          <w:sz w:val="19"/>
          <w:szCs w:val="19"/>
        </w:rPr>
        <w:t>系统总体设计、信息安全系统详细设计、</w:t>
      </w:r>
      <w:r>
        <w:rPr>
          <w:spacing w:val="4"/>
          <w:sz w:val="19"/>
          <w:szCs w:val="19"/>
        </w:rPr>
        <w:t xml:space="preserve"> </w:t>
      </w:r>
      <w:r>
        <w:rPr>
          <w:spacing w:val="16"/>
          <w:sz w:val="19"/>
          <w:szCs w:val="19"/>
        </w:rPr>
        <w:t>信息安全系统设备选型、信息安全系统工</w:t>
      </w:r>
      <w:r>
        <w:rPr>
          <w:spacing w:val="11"/>
          <w:sz w:val="19"/>
          <w:szCs w:val="19"/>
        </w:rPr>
        <w:t xml:space="preserve"> </w:t>
      </w:r>
      <w:r>
        <w:rPr>
          <w:spacing w:val="15"/>
          <w:sz w:val="19"/>
          <w:szCs w:val="19"/>
        </w:rPr>
        <w:t>程招投标、密钥密码机制确定、资源界定</w:t>
      </w:r>
      <w:r>
        <w:rPr>
          <w:spacing w:val="5"/>
          <w:sz w:val="19"/>
          <w:szCs w:val="19"/>
        </w:rPr>
        <w:t xml:space="preserve">  </w:t>
      </w:r>
      <w:r>
        <w:rPr>
          <w:spacing w:val="15"/>
          <w:sz w:val="19"/>
          <w:szCs w:val="19"/>
        </w:rPr>
        <w:t>和授权，以及信息安全系统实施中需要注</w:t>
      </w:r>
      <w:r>
        <w:rPr>
          <w:spacing w:val="4"/>
          <w:sz w:val="19"/>
          <w:szCs w:val="19"/>
        </w:rPr>
        <w:t xml:space="preserve">  </w:t>
      </w:r>
      <w:r>
        <w:rPr>
          <w:spacing w:val="15"/>
          <w:sz w:val="19"/>
          <w:szCs w:val="19"/>
        </w:rPr>
        <w:t>意的防泄密问题和实施中后期的信息安全</w:t>
      </w:r>
      <w:r>
        <w:rPr>
          <w:spacing w:val="3"/>
          <w:sz w:val="19"/>
          <w:szCs w:val="19"/>
        </w:rPr>
        <w:t xml:space="preserve">  系统测试、运营、维护的安全管理等问题。</w:t>
      </w:r>
    </w:p>
    <w:p w14:paraId="797F72FF">
      <w:pPr>
        <w:pStyle w:val="2"/>
        <w:spacing w:before="9" w:line="263" w:lineRule="auto"/>
        <w:ind w:right="95" w:firstLine="420"/>
        <w:jc w:val="both"/>
        <w:rPr>
          <w:sz w:val="19"/>
          <w:szCs w:val="19"/>
        </w:rPr>
      </w:pPr>
      <w:r>
        <w:rPr>
          <w:spacing w:val="16"/>
          <w:sz w:val="19"/>
          <w:szCs w:val="19"/>
        </w:rPr>
        <w:t>为进一步论述信息安全系统工程，需</w:t>
      </w:r>
      <w:r>
        <w:rPr>
          <w:spacing w:val="4"/>
          <w:sz w:val="19"/>
          <w:szCs w:val="19"/>
        </w:rPr>
        <w:t xml:space="preserve"> </w:t>
      </w:r>
      <w:r>
        <w:rPr>
          <w:spacing w:val="7"/>
          <w:sz w:val="19"/>
          <w:szCs w:val="19"/>
        </w:rPr>
        <w:t>要区分几个术语，并了解它们之间的关系，</w:t>
      </w:r>
      <w:r>
        <w:rPr>
          <w:spacing w:val="10"/>
          <w:sz w:val="19"/>
          <w:szCs w:val="19"/>
        </w:rPr>
        <w:t xml:space="preserve"> </w:t>
      </w:r>
      <w:r>
        <w:rPr>
          <w:spacing w:val="11"/>
          <w:sz w:val="19"/>
          <w:szCs w:val="19"/>
        </w:rPr>
        <w:t>如图2-12所示。</w:t>
      </w:r>
    </w:p>
    <w:p w14:paraId="15A18AE8">
      <w:pPr>
        <w:spacing w:line="14" w:lineRule="auto"/>
        <w:rPr>
          <w:rFonts w:ascii="Arial"/>
          <w:sz w:val="2"/>
        </w:rPr>
      </w:pPr>
      <w:r>
        <w:rPr>
          <w:rFonts w:ascii="Arial" w:hAnsi="Arial" w:eastAsia="Arial" w:cs="Arial"/>
          <w:sz w:val="2"/>
          <w:szCs w:val="2"/>
        </w:rPr>
        <w:br w:type="column"/>
      </w:r>
    </w:p>
    <w:p w14:paraId="62699172">
      <w:pPr>
        <w:pStyle w:val="2"/>
        <w:spacing w:before="61" w:line="2560" w:lineRule="exact"/>
      </w:pPr>
      <w:r>
        <w:rPr>
          <w:position w:val="-51"/>
        </w:rPr>
        <w:pict>
          <v:group id="_x0000_s1117" o:spid="_x0000_s1117" o:spt="203" style="height:128pt;width:222.05pt;" coordsize="4441,2560">
            <o:lock v:ext="edit"/>
            <v:shape id="_x0000_s1118" o:spid="_x0000_s1118" o:spt="75" type="#_x0000_t75" style="position:absolute;left:0;top:0;height:2560;width:4441;" filled="f" stroked="f" coordsize="21600,21600">
              <v:path/>
              <v:fill on="f" focussize="0,0"/>
              <v:stroke on="f"/>
              <v:imagedata r:id="rId58" o:title=""/>
              <o:lock v:ext="edit" aspectratio="t"/>
            </v:shape>
            <v:shape id="_x0000_s1119" o:spid="_x0000_s1119" o:spt="202" type="#_x0000_t202" style="position:absolute;left:-20;top:-20;height:2600;width:4481;" filled="f" stroked="f" coordsize="21600,21600">
              <v:path/>
              <v:fill on="f" focussize="0,0"/>
              <v:stroke on="f"/>
              <v:imagedata o:title=""/>
              <o:lock v:ext="edit" aspectratio="f"/>
              <v:textbox inset="0mm,0mm,0mm,0mm">
                <w:txbxContent>
                  <w:p w14:paraId="2A1C9CF8">
                    <w:pPr>
                      <w:spacing w:before="148" w:line="219" w:lineRule="auto"/>
                      <w:ind w:left="1999"/>
                      <w:rPr>
                        <w:rFonts w:ascii="宋体" w:hAnsi="宋体" w:eastAsia="宋体" w:cs="宋体"/>
                        <w:sz w:val="19"/>
                        <w:szCs w:val="19"/>
                      </w:rPr>
                    </w:pPr>
                    <w:r>
                      <w:rPr>
                        <w:rFonts w:ascii="宋体" w:hAnsi="宋体" w:eastAsia="宋体" w:cs="宋体"/>
                        <w:spacing w:val="-16"/>
                        <w:sz w:val="19"/>
                        <w:szCs w:val="19"/>
                      </w:rPr>
                      <w:t>信息系统</w:t>
                    </w:r>
                  </w:p>
                  <w:p w14:paraId="5BB53475">
                    <w:pPr>
                      <w:spacing w:line="479" w:lineRule="auto"/>
                      <w:rPr>
                        <w:rFonts w:ascii="Arial"/>
                        <w:sz w:val="21"/>
                      </w:rPr>
                    </w:pPr>
                  </w:p>
                  <w:p w14:paraId="57672406">
                    <w:pPr>
                      <w:spacing w:before="62" w:line="219" w:lineRule="auto"/>
                      <w:ind w:left="489"/>
                      <w:rPr>
                        <w:rFonts w:ascii="宋体" w:hAnsi="宋体" w:eastAsia="宋体" w:cs="宋体"/>
                        <w:sz w:val="19"/>
                        <w:szCs w:val="19"/>
                      </w:rPr>
                    </w:pPr>
                    <w:r>
                      <w:rPr>
                        <w:rFonts w:ascii="宋体" w:hAnsi="宋体" w:eastAsia="宋体" w:cs="宋体"/>
                        <w:spacing w:val="-13"/>
                        <w:sz w:val="19"/>
                        <w:szCs w:val="19"/>
                      </w:rPr>
                      <w:t>业务应用信息系统             信息安全系统</w:t>
                    </w:r>
                  </w:p>
                  <w:p w14:paraId="4C55EBF7">
                    <w:pPr>
                      <w:spacing w:line="320" w:lineRule="auto"/>
                      <w:rPr>
                        <w:rFonts w:ascii="Arial"/>
                        <w:sz w:val="21"/>
                      </w:rPr>
                    </w:pPr>
                  </w:p>
                  <w:p w14:paraId="665E25FD">
                    <w:pPr>
                      <w:spacing w:before="62" w:line="229" w:lineRule="auto"/>
                      <w:ind w:left="319"/>
                      <w:rPr>
                        <w:rFonts w:ascii="宋体" w:hAnsi="宋体" w:eastAsia="宋体" w:cs="宋体"/>
                        <w:sz w:val="19"/>
                        <w:szCs w:val="19"/>
                      </w:rPr>
                    </w:pPr>
                    <w:r>
                      <w:rPr>
                        <w:rFonts w:ascii="宋体" w:hAnsi="宋体" w:eastAsia="宋体" w:cs="宋体"/>
                        <w:spacing w:val="-14"/>
                        <w:sz w:val="19"/>
                        <w:szCs w:val="19"/>
                      </w:rPr>
                      <w:t xml:space="preserve">业务应用信息系统工程         </w:t>
                    </w:r>
                    <w:r>
                      <w:rPr>
                        <w:rFonts w:ascii="宋体" w:hAnsi="宋体" w:eastAsia="宋体" w:cs="宋体"/>
                        <w:spacing w:val="-14"/>
                        <w:position w:val="1"/>
                        <w:sz w:val="19"/>
                        <w:szCs w:val="19"/>
                      </w:rPr>
                      <w:t>信息安全系</w:t>
                    </w:r>
                    <w:r>
                      <w:rPr>
                        <w:rFonts w:ascii="宋体" w:hAnsi="宋体" w:eastAsia="宋体" w:cs="宋体"/>
                        <w:spacing w:val="-15"/>
                        <w:position w:val="1"/>
                        <w:sz w:val="19"/>
                        <w:szCs w:val="19"/>
                      </w:rPr>
                      <w:t>统工程</w:t>
                    </w:r>
                  </w:p>
                  <w:p w14:paraId="06FD49CC">
                    <w:pPr>
                      <w:spacing w:line="410" w:lineRule="auto"/>
                      <w:rPr>
                        <w:rFonts w:ascii="Arial"/>
                        <w:sz w:val="21"/>
                      </w:rPr>
                    </w:pPr>
                  </w:p>
                  <w:p w14:paraId="7FE947EB">
                    <w:pPr>
                      <w:spacing w:before="62" w:line="219" w:lineRule="auto"/>
                      <w:ind w:left="1839"/>
                      <w:rPr>
                        <w:rFonts w:ascii="宋体" w:hAnsi="宋体" w:eastAsia="宋体" w:cs="宋体"/>
                        <w:sz w:val="19"/>
                        <w:szCs w:val="19"/>
                      </w:rPr>
                    </w:pPr>
                    <w:r>
                      <w:rPr>
                        <w:rFonts w:ascii="宋体" w:hAnsi="宋体" w:eastAsia="宋体" w:cs="宋体"/>
                        <w:spacing w:val="-15"/>
                        <w:sz w:val="19"/>
                        <w:szCs w:val="19"/>
                      </w:rPr>
                      <w:t>信息系统工程</w:t>
                    </w:r>
                  </w:p>
                </w:txbxContent>
              </v:textbox>
            </v:shape>
            <w10:wrap type="none"/>
            <w10:anchorlock/>
          </v:group>
        </w:pict>
      </w:r>
    </w:p>
    <w:p w14:paraId="2C91A1E1">
      <w:pPr>
        <w:pStyle w:val="2"/>
        <w:spacing w:before="68" w:line="219" w:lineRule="auto"/>
        <w:ind w:left="1269"/>
        <w:rPr>
          <w:sz w:val="19"/>
          <w:szCs w:val="19"/>
        </w:rPr>
      </w:pPr>
      <w:r>
        <w:rPr>
          <w:spacing w:val="-6"/>
          <w:sz w:val="19"/>
          <w:szCs w:val="19"/>
        </w:rPr>
        <w:t>图2-12</w:t>
      </w:r>
      <w:r>
        <w:rPr>
          <w:spacing w:val="69"/>
          <w:sz w:val="19"/>
          <w:szCs w:val="19"/>
        </w:rPr>
        <w:t xml:space="preserve"> </w:t>
      </w:r>
      <w:r>
        <w:rPr>
          <w:spacing w:val="-6"/>
          <w:sz w:val="19"/>
          <w:szCs w:val="19"/>
        </w:rPr>
        <w:t>术语之间的关系</w:t>
      </w:r>
    </w:p>
    <w:p w14:paraId="194F6181">
      <w:pPr>
        <w:spacing w:line="219" w:lineRule="auto"/>
        <w:rPr>
          <w:sz w:val="19"/>
          <w:szCs w:val="19"/>
        </w:rPr>
        <w:sectPr>
          <w:type w:val="continuous"/>
          <w:pgSz w:w="10310" w:h="13280"/>
          <w:pgMar w:top="400" w:right="681" w:bottom="400" w:left="1029" w:header="0" w:footer="0" w:gutter="0"/>
          <w:cols w:equalWidth="0" w:num="2">
            <w:col w:w="3851" w:space="100"/>
            <w:col w:w="4649"/>
          </w:cols>
        </w:sectPr>
      </w:pPr>
    </w:p>
    <w:p w14:paraId="1CE84D4A">
      <w:pPr>
        <w:pStyle w:val="2"/>
        <w:spacing w:before="107" w:line="219" w:lineRule="auto"/>
        <w:rPr>
          <w:sz w:val="18"/>
          <w:szCs w:val="18"/>
        </w:rPr>
      </w:pPr>
      <w:r>
        <w:rPr>
          <w:rFonts w:ascii="Times New Roman" w:hAnsi="Times New Roman" w:eastAsia="Times New Roman" w:cs="Times New Roman"/>
          <w:spacing w:val="11"/>
          <w:position w:val="1"/>
          <w:sz w:val="18"/>
          <w:szCs w:val="18"/>
        </w:rPr>
        <w:t>84</w:t>
      </w:r>
      <w:r>
        <w:rPr>
          <w:rFonts w:ascii="Times New Roman" w:hAnsi="Times New Roman" w:eastAsia="Times New Roman" w:cs="Times New Roman"/>
          <w:spacing w:val="2"/>
          <w:position w:val="1"/>
          <w:sz w:val="18"/>
          <w:szCs w:val="18"/>
        </w:rPr>
        <w:t xml:space="preserve">                </w:t>
      </w:r>
      <w:r>
        <w:rPr>
          <w:spacing w:val="11"/>
          <w:sz w:val="18"/>
          <w:szCs w:val="18"/>
        </w:rPr>
        <w:t>信息系统监理师教程(第2版)</w:t>
      </w:r>
    </w:p>
    <w:p w14:paraId="4EBD9CC2">
      <w:pPr>
        <w:spacing w:line="333" w:lineRule="auto"/>
        <w:rPr>
          <w:rFonts w:ascii="Arial"/>
          <w:sz w:val="21"/>
        </w:rPr>
      </w:pPr>
    </w:p>
    <w:p w14:paraId="63B48155">
      <w:pPr>
        <w:pStyle w:val="2"/>
        <w:spacing w:before="59" w:line="311" w:lineRule="auto"/>
        <w:ind w:left="319" w:right="56" w:firstLine="400"/>
        <w:jc w:val="both"/>
        <w:rPr>
          <w:sz w:val="18"/>
          <w:szCs w:val="18"/>
        </w:rPr>
      </w:pPr>
      <w:r>
        <w:rPr>
          <w:spacing w:val="23"/>
          <w:sz w:val="18"/>
          <w:szCs w:val="18"/>
        </w:rPr>
        <w:t>信息安全保障系统(简称“信息安全系统”)是信息系统的一个部分，用于保证业务应用信</w:t>
      </w:r>
      <w:r>
        <w:rPr>
          <w:spacing w:val="11"/>
          <w:sz w:val="18"/>
          <w:szCs w:val="18"/>
        </w:rPr>
        <w:t xml:space="preserve"> </w:t>
      </w:r>
      <w:r>
        <w:rPr>
          <w:spacing w:val="23"/>
          <w:sz w:val="18"/>
          <w:szCs w:val="18"/>
        </w:rPr>
        <w:t>息系统正常运营。要建立一个信息系统，就必须建立一个或多个业务应用信息系统和一个信息</w:t>
      </w:r>
      <w:r>
        <w:rPr>
          <w:spacing w:val="9"/>
          <w:sz w:val="18"/>
          <w:szCs w:val="18"/>
        </w:rPr>
        <w:t xml:space="preserve"> </w:t>
      </w:r>
      <w:r>
        <w:rPr>
          <w:spacing w:val="12"/>
          <w:sz w:val="18"/>
          <w:szCs w:val="18"/>
        </w:rPr>
        <w:t>安全系统。</w:t>
      </w:r>
    </w:p>
    <w:p w14:paraId="64D0B3AE">
      <w:pPr>
        <w:pStyle w:val="2"/>
        <w:spacing w:before="20" w:line="320" w:lineRule="auto"/>
        <w:ind w:left="319" w:firstLine="400"/>
        <w:jc w:val="both"/>
        <w:rPr>
          <w:sz w:val="18"/>
          <w:szCs w:val="18"/>
        </w:rPr>
      </w:pPr>
      <w:r>
        <w:rPr>
          <w:spacing w:val="25"/>
          <w:sz w:val="18"/>
          <w:szCs w:val="18"/>
        </w:rPr>
        <w:t>业务应用信息系统是支撑业务运营的计算机应用信息系统，例如银行柜台业务信息系统、</w:t>
      </w:r>
      <w:r>
        <w:rPr>
          <w:spacing w:val="13"/>
          <w:sz w:val="18"/>
          <w:szCs w:val="18"/>
        </w:rPr>
        <w:t xml:space="preserve"> </w:t>
      </w:r>
      <w:r>
        <w:rPr>
          <w:spacing w:val="23"/>
          <w:sz w:val="18"/>
          <w:szCs w:val="18"/>
        </w:rPr>
        <w:t>国税征收信息系统等。业务应用信息系统工程就是为了建设好业务应用信息系统所组织实施的</w:t>
      </w:r>
      <w:r>
        <w:rPr>
          <w:spacing w:val="4"/>
          <w:sz w:val="18"/>
          <w:szCs w:val="18"/>
        </w:rPr>
        <w:t xml:space="preserve">  </w:t>
      </w:r>
      <w:r>
        <w:rPr>
          <w:spacing w:val="15"/>
          <w:sz w:val="18"/>
          <w:szCs w:val="18"/>
        </w:rPr>
        <w:t>工程，</w:t>
      </w:r>
      <w:r>
        <w:rPr>
          <w:spacing w:val="-21"/>
          <w:sz w:val="18"/>
          <w:szCs w:val="18"/>
        </w:rPr>
        <w:t xml:space="preserve"> </w:t>
      </w:r>
      <w:r>
        <w:rPr>
          <w:spacing w:val="15"/>
          <w:sz w:val="18"/>
          <w:szCs w:val="18"/>
        </w:rPr>
        <w:t>一般称为信息系统集成工程，是信息系统工程的一部分。</w:t>
      </w:r>
    </w:p>
    <w:p w14:paraId="46A974B5">
      <w:pPr>
        <w:pStyle w:val="2"/>
        <w:spacing w:before="14" w:line="346" w:lineRule="auto"/>
        <w:ind w:left="319" w:right="75" w:firstLine="400"/>
        <w:rPr>
          <w:sz w:val="18"/>
          <w:szCs w:val="18"/>
        </w:rPr>
      </w:pPr>
      <w:r>
        <w:rPr>
          <w:spacing w:val="23"/>
          <w:sz w:val="18"/>
          <w:szCs w:val="18"/>
        </w:rPr>
        <w:t>信息安全系统工程是指为了建设好信息安全系统所组织实施的工程，也是信息系统工程的</w:t>
      </w:r>
      <w:r>
        <w:rPr>
          <w:spacing w:val="16"/>
          <w:sz w:val="18"/>
          <w:szCs w:val="18"/>
        </w:rPr>
        <w:t xml:space="preserve"> </w:t>
      </w:r>
      <w:r>
        <w:rPr>
          <w:spacing w:val="10"/>
          <w:sz w:val="18"/>
          <w:szCs w:val="18"/>
        </w:rPr>
        <w:t>一部分。</w:t>
      </w:r>
    </w:p>
    <w:p w14:paraId="153BDBEE">
      <w:pPr>
        <w:pStyle w:val="2"/>
        <w:spacing w:before="117" w:line="221" w:lineRule="auto"/>
        <w:ind w:left="322"/>
        <w:rPr>
          <w:sz w:val="25"/>
          <w:szCs w:val="25"/>
        </w:rPr>
      </w:pPr>
      <w:r>
        <w:rPr>
          <w:b/>
          <w:bCs/>
          <w:color w:val="2687D2"/>
          <w:spacing w:val="-19"/>
          <w:sz w:val="25"/>
          <w:szCs w:val="25"/>
        </w:rPr>
        <w:t>2.6.2</w:t>
      </w:r>
      <w:r>
        <w:rPr>
          <w:color w:val="2687D2"/>
          <w:spacing w:val="106"/>
          <w:sz w:val="25"/>
          <w:szCs w:val="25"/>
        </w:rPr>
        <w:t xml:space="preserve"> </w:t>
      </w:r>
      <w:r>
        <w:rPr>
          <w:b/>
          <w:bCs/>
          <w:color w:val="2687D2"/>
          <w:spacing w:val="-19"/>
          <w:sz w:val="25"/>
          <w:szCs w:val="25"/>
        </w:rPr>
        <w:t>安全系统</w:t>
      </w:r>
    </w:p>
    <w:p w14:paraId="43B023FE">
      <w:pPr>
        <w:pStyle w:val="2"/>
        <w:spacing w:before="187" w:line="319" w:lineRule="auto"/>
        <w:ind w:left="319" w:right="80" w:firstLine="400"/>
        <w:rPr>
          <w:sz w:val="18"/>
          <w:szCs w:val="18"/>
        </w:rPr>
      </w:pPr>
      <w:r>
        <w:rPr>
          <w:spacing w:val="28"/>
          <w:sz w:val="18"/>
          <w:szCs w:val="18"/>
        </w:rPr>
        <w:t>如图2-</w:t>
      </w:r>
      <w:r>
        <w:rPr>
          <w:spacing w:val="-40"/>
          <w:sz w:val="18"/>
          <w:szCs w:val="18"/>
        </w:rPr>
        <w:t xml:space="preserve"> </w:t>
      </w:r>
      <w:r>
        <w:rPr>
          <w:spacing w:val="28"/>
          <w:sz w:val="18"/>
          <w:szCs w:val="18"/>
        </w:rPr>
        <w:t>13所示的“宏观”三维空间图(信息</w:t>
      </w:r>
      <w:r>
        <w:rPr>
          <w:spacing w:val="27"/>
          <w:sz w:val="18"/>
          <w:szCs w:val="18"/>
        </w:rPr>
        <w:t>安全空间),可以反映信息安全系统的体系架</w:t>
      </w:r>
      <w:r>
        <w:rPr>
          <w:sz w:val="18"/>
          <w:szCs w:val="18"/>
        </w:rPr>
        <w:t xml:space="preserve"> </w:t>
      </w:r>
      <w:r>
        <w:rPr>
          <w:spacing w:val="15"/>
          <w:sz w:val="18"/>
          <w:szCs w:val="18"/>
        </w:rPr>
        <w:t>构及其组成。</w:t>
      </w:r>
    </w:p>
    <w:p w14:paraId="4B8D0B65">
      <w:pPr>
        <w:pStyle w:val="2"/>
        <w:spacing w:before="33" w:line="5030" w:lineRule="exact"/>
        <w:ind w:firstLine="1429"/>
      </w:pPr>
      <w:r>
        <w:rPr>
          <w:position w:val="-100"/>
        </w:rPr>
        <w:pict>
          <v:group id="_x0000_s1120" o:spid="_x0000_s1120" o:spt="203" style="height:251.55pt;width:305.5pt;" coordsize="6110,5031">
            <o:lock v:ext="edit"/>
            <v:shape id="_x0000_s1121" o:spid="_x0000_s1121" o:spt="75" type="#_x0000_t75" style="position:absolute;left:0;top:0;height:5031;width:6110;" filled="f" stroked="f" coordsize="21600,21600">
              <v:path/>
              <v:fill on="f" focussize="0,0"/>
              <v:stroke on="f"/>
              <v:imagedata r:id="rId59" o:title=""/>
              <o:lock v:ext="edit" aspectratio="t"/>
            </v:shape>
            <v:shape id="_x0000_s1122" o:spid="_x0000_s1122" o:spt="202" type="#_x0000_t202" style="position:absolute;left:40;top:149;height:4831;width:2548;" filled="f" stroked="f" coordsize="21600,21600">
              <v:path/>
              <v:fill on="f" focussize="0,0"/>
              <v:stroke on="f"/>
              <v:imagedata o:title=""/>
              <o:lock v:ext="edit" aspectratio="f"/>
              <v:textbox inset="0mm,0mm,0mm,0mm">
                <w:txbxContent>
                  <w:p w14:paraId="74859777">
                    <w:pPr>
                      <w:spacing w:before="20" w:line="185" w:lineRule="auto"/>
                      <w:ind w:right="18"/>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p w14:paraId="3DE2A2C8">
                    <w:pPr>
                      <w:spacing w:line="250" w:lineRule="auto"/>
                      <w:rPr>
                        <w:rFonts w:ascii="Arial"/>
                        <w:sz w:val="21"/>
                      </w:rPr>
                    </w:pPr>
                  </w:p>
                  <w:p w14:paraId="4D583CB1">
                    <w:pPr>
                      <w:spacing w:line="250" w:lineRule="auto"/>
                      <w:rPr>
                        <w:rFonts w:ascii="Arial"/>
                        <w:sz w:val="21"/>
                      </w:rPr>
                    </w:pPr>
                  </w:p>
                  <w:p w14:paraId="4C08E3B7">
                    <w:pPr>
                      <w:spacing w:line="250" w:lineRule="auto"/>
                      <w:rPr>
                        <w:rFonts w:ascii="Arial"/>
                        <w:sz w:val="21"/>
                      </w:rPr>
                    </w:pPr>
                  </w:p>
                  <w:p w14:paraId="24D0DDFE">
                    <w:pPr>
                      <w:spacing w:line="250" w:lineRule="auto"/>
                      <w:rPr>
                        <w:rFonts w:ascii="Arial"/>
                        <w:sz w:val="21"/>
                      </w:rPr>
                    </w:pPr>
                  </w:p>
                  <w:p w14:paraId="07676412">
                    <w:pPr>
                      <w:spacing w:line="250" w:lineRule="auto"/>
                      <w:rPr>
                        <w:rFonts w:ascii="Arial"/>
                        <w:sz w:val="21"/>
                      </w:rPr>
                    </w:pPr>
                  </w:p>
                  <w:p w14:paraId="1F15ED98">
                    <w:pPr>
                      <w:spacing w:line="250" w:lineRule="auto"/>
                      <w:rPr>
                        <w:rFonts w:ascii="Arial"/>
                        <w:sz w:val="21"/>
                      </w:rPr>
                    </w:pPr>
                  </w:p>
                  <w:p w14:paraId="5982C116">
                    <w:pPr>
                      <w:spacing w:line="251" w:lineRule="auto"/>
                      <w:rPr>
                        <w:rFonts w:ascii="Arial"/>
                        <w:sz w:val="21"/>
                      </w:rPr>
                    </w:pPr>
                  </w:p>
                  <w:p w14:paraId="584F2DE0">
                    <w:pPr>
                      <w:spacing w:line="251" w:lineRule="auto"/>
                      <w:rPr>
                        <w:rFonts w:ascii="Arial"/>
                        <w:sz w:val="21"/>
                      </w:rPr>
                    </w:pPr>
                  </w:p>
                  <w:p w14:paraId="4BB99D03">
                    <w:pPr>
                      <w:spacing w:line="251" w:lineRule="auto"/>
                      <w:rPr>
                        <w:rFonts w:ascii="Arial"/>
                        <w:sz w:val="21"/>
                      </w:rPr>
                    </w:pPr>
                  </w:p>
                  <w:p w14:paraId="37E301E0">
                    <w:pPr>
                      <w:spacing w:line="251" w:lineRule="auto"/>
                      <w:rPr>
                        <w:rFonts w:ascii="Arial"/>
                        <w:sz w:val="21"/>
                      </w:rPr>
                    </w:pPr>
                  </w:p>
                  <w:p w14:paraId="715C378A">
                    <w:pPr>
                      <w:spacing w:before="58" w:line="243" w:lineRule="auto"/>
                      <w:ind w:left="1189" w:right="170" w:hanging="190"/>
                      <w:rPr>
                        <w:rFonts w:ascii="宋体" w:hAnsi="宋体" w:eastAsia="宋体" w:cs="宋体"/>
                        <w:sz w:val="18"/>
                        <w:szCs w:val="18"/>
                      </w:rPr>
                    </w:pPr>
                    <w:r>
                      <w:rPr>
                        <w:rFonts w:ascii="宋体" w:hAnsi="宋体" w:eastAsia="宋体" w:cs="宋体"/>
                        <w:spacing w:val="-8"/>
                        <w:sz w:val="18"/>
                        <w:szCs w:val="18"/>
                      </w:rPr>
                      <w:t>对等实</w:t>
                    </w:r>
                    <w:r>
                      <w:rPr>
                        <w:rFonts w:ascii="宋体" w:hAnsi="宋体" w:eastAsia="宋体" w:cs="宋体"/>
                        <w:color w:val="1C8BE1"/>
                        <w:spacing w:val="-8"/>
                        <w:sz w:val="18"/>
                        <w:szCs w:val="18"/>
                      </w:rPr>
                      <w:t>体</w:t>
                    </w:r>
                    <w:r>
                      <w:rPr>
                        <w:rFonts w:ascii="宋体" w:hAnsi="宋体" w:eastAsia="宋体" w:cs="宋体"/>
                        <w:spacing w:val="-8"/>
                        <w:sz w:val="18"/>
                        <w:szCs w:val="18"/>
                      </w:rPr>
                      <w:t>认证服务</w:t>
                    </w:r>
                    <w:r>
                      <w:rPr>
                        <w:rFonts w:ascii="宋体" w:hAnsi="宋体" w:eastAsia="宋体" w:cs="宋体"/>
                        <w:spacing w:val="1"/>
                        <w:sz w:val="18"/>
                        <w:szCs w:val="18"/>
                      </w:rPr>
                      <w:t xml:space="preserve"> </w:t>
                    </w:r>
                    <w:r>
                      <w:rPr>
                        <w:rFonts w:ascii="宋体" w:hAnsi="宋体" w:eastAsia="宋体" w:cs="宋体"/>
                        <w:spacing w:val="-8"/>
                        <w:sz w:val="18"/>
                        <w:szCs w:val="18"/>
                      </w:rPr>
                      <w:t>访问</w:t>
                    </w:r>
                    <w:r>
                      <w:rPr>
                        <w:rFonts w:ascii="宋体" w:hAnsi="宋体" w:eastAsia="宋体" w:cs="宋体"/>
                        <w:color w:val="1C8BE1"/>
                        <w:spacing w:val="-8"/>
                        <w:sz w:val="18"/>
                        <w:szCs w:val="18"/>
                      </w:rPr>
                      <w:t>控</w:t>
                    </w:r>
                    <w:r>
                      <w:rPr>
                        <w:rFonts w:ascii="宋体" w:hAnsi="宋体" w:eastAsia="宋体" w:cs="宋体"/>
                        <w:spacing w:val="-8"/>
                        <w:sz w:val="18"/>
                        <w:szCs w:val="18"/>
                      </w:rPr>
                      <w:t>制服务</w:t>
                    </w:r>
                  </w:p>
                  <w:p w14:paraId="6A98F955">
                    <w:pPr>
                      <w:spacing w:before="16" w:line="219" w:lineRule="auto"/>
                      <w:ind w:left="1029"/>
                      <w:rPr>
                        <w:rFonts w:ascii="宋体" w:hAnsi="宋体" w:eastAsia="宋体" w:cs="宋体"/>
                        <w:sz w:val="18"/>
                        <w:szCs w:val="18"/>
                      </w:rPr>
                    </w:pPr>
                    <w:r>
                      <w:rPr>
                        <w:rFonts w:ascii="宋体" w:hAnsi="宋体" w:eastAsia="宋体" w:cs="宋体"/>
                        <w:spacing w:val="-11"/>
                        <w:sz w:val="18"/>
                        <w:szCs w:val="18"/>
                      </w:rPr>
                      <w:t>数据保密服务</w:t>
                    </w:r>
                  </w:p>
                  <w:p w14:paraId="6025071E">
                    <w:pPr>
                      <w:spacing w:before="25" w:line="228" w:lineRule="auto"/>
                      <w:ind w:left="339" w:right="680" w:firstLine="340"/>
                      <w:rPr>
                        <w:rFonts w:ascii="宋体" w:hAnsi="宋体" w:eastAsia="宋体" w:cs="宋体"/>
                        <w:sz w:val="18"/>
                        <w:szCs w:val="18"/>
                      </w:rPr>
                    </w:pPr>
                    <w:r>
                      <w:rPr>
                        <w:rFonts w:ascii="宋体" w:hAnsi="宋体" w:eastAsia="宋体" w:cs="宋体"/>
                        <w:spacing w:val="-11"/>
                        <w:sz w:val="18"/>
                        <w:szCs w:val="18"/>
                      </w:rPr>
                      <w:t>数据完整性服务</w:t>
                    </w:r>
                    <w:r>
                      <w:rPr>
                        <w:rFonts w:ascii="宋体" w:hAnsi="宋体" w:eastAsia="宋体" w:cs="宋体"/>
                        <w:spacing w:val="4"/>
                        <w:sz w:val="18"/>
                        <w:szCs w:val="18"/>
                      </w:rPr>
                      <w:t xml:space="preserve"> </w:t>
                    </w:r>
                    <w:r>
                      <w:rPr>
                        <w:rFonts w:ascii="宋体" w:hAnsi="宋体" w:eastAsia="宋体" w:cs="宋体"/>
                        <w:spacing w:val="-9"/>
                        <w:sz w:val="18"/>
                        <w:szCs w:val="18"/>
                      </w:rPr>
                      <w:t>数据源点认证服务</w:t>
                    </w:r>
                  </w:p>
                  <w:p w14:paraId="00F21246">
                    <w:pPr>
                      <w:spacing w:before="26" w:line="242" w:lineRule="auto"/>
                      <w:ind w:left="20" w:right="1020" w:firstLine="489"/>
                      <w:rPr>
                        <w:rFonts w:ascii="宋体" w:hAnsi="宋体" w:eastAsia="宋体" w:cs="宋体"/>
                        <w:sz w:val="18"/>
                        <w:szCs w:val="18"/>
                      </w:rPr>
                    </w:pPr>
                    <w:r>
                      <w:rPr>
                        <w:rFonts w:ascii="宋体" w:hAnsi="宋体" w:eastAsia="宋体" w:cs="宋体"/>
                        <w:spacing w:val="-11"/>
                        <w:sz w:val="18"/>
                        <w:szCs w:val="18"/>
                      </w:rPr>
                      <w:t>禁止否认服务</w:t>
                    </w:r>
                    <w:r>
                      <w:rPr>
                        <w:rFonts w:ascii="宋体" w:hAnsi="宋体" w:eastAsia="宋体" w:cs="宋体"/>
                        <w:spacing w:val="3"/>
                        <w:sz w:val="18"/>
                        <w:szCs w:val="18"/>
                      </w:rPr>
                      <w:t xml:space="preserve"> </w:t>
                    </w:r>
                    <w:r>
                      <w:rPr>
                        <w:rFonts w:ascii="宋体" w:hAnsi="宋体" w:eastAsia="宋体" w:cs="宋体"/>
                        <w:spacing w:val="-9"/>
                        <w:sz w:val="18"/>
                        <w:szCs w:val="18"/>
                      </w:rPr>
                      <w:t>犯罪证据提供服务</w:t>
                    </w:r>
                  </w:p>
                  <w:p w14:paraId="277D1CD1">
                    <w:pPr>
                      <w:spacing w:before="108" w:line="170" w:lineRule="auto"/>
                      <w:ind w:left="1540"/>
                      <w:rPr>
                        <w:rFonts w:ascii="宋体" w:hAnsi="宋体" w:eastAsia="宋体" w:cs="宋体"/>
                        <w:sz w:val="18"/>
                        <w:szCs w:val="18"/>
                      </w:rPr>
                    </w:pPr>
                    <w:r>
                      <w:rPr>
                        <w:rFonts w:ascii="宋体" w:hAnsi="宋体" w:eastAsia="宋体" w:cs="宋体"/>
                        <w:spacing w:val="-10"/>
                        <w:sz w:val="18"/>
                        <w:szCs w:val="18"/>
                      </w:rPr>
                      <w:t>安全服务</w:t>
                    </w:r>
                  </w:p>
                  <w:p w14:paraId="47FB77A2">
                    <w:pPr>
                      <w:spacing w:line="169" w:lineRule="auto"/>
                      <w:ind w:left="1199"/>
                      <w:rPr>
                        <w:rFonts w:ascii="Times New Roman" w:hAnsi="Times New Roman" w:eastAsia="Times New Roman" w:cs="Times New Roman"/>
                        <w:sz w:val="18"/>
                        <w:szCs w:val="18"/>
                      </w:rPr>
                    </w:pPr>
                    <w:r>
                      <w:rPr>
                        <w:rFonts w:ascii="Times New Roman" w:hAnsi="Times New Roman" w:eastAsia="Times New Roman" w:cs="Times New Roman"/>
                        <w:sz w:val="18"/>
                        <w:szCs w:val="18"/>
                      </w:rPr>
                      <w:t>Z</w:t>
                    </w:r>
                  </w:p>
                </w:txbxContent>
              </v:textbox>
            </v:shape>
            <v:shape id="_x0000_s1123" o:spid="_x0000_s1123" o:spt="202" type="#_x0000_t202" style="position:absolute;left:2920;top:2977;height:1303;width:2852;" filled="f" stroked="f" coordsize="21600,21600">
              <v:path/>
              <v:fill on="f" focussize="0,0"/>
              <v:stroke on="f"/>
              <v:imagedata o:title=""/>
              <o:lock v:ext="edit" aspectratio="f"/>
              <v:textbox inset="0mm,0mm,0mm,0mm" style="layout-flow:vertical-ideographic;">
                <w:txbxContent>
                  <w:p w14:paraId="5A51D829">
                    <w:pPr>
                      <w:spacing w:before="19" w:line="339" w:lineRule="auto"/>
                      <w:ind w:left="43" w:right="20" w:hanging="9"/>
                      <w:rPr>
                        <w:rFonts w:ascii="宋体" w:hAnsi="宋体" w:eastAsia="宋体" w:cs="宋体"/>
                        <w:sz w:val="17"/>
                        <w:szCs w:val="17"/>
                      </w:rPr>
                    </w:pPr>
                    <w:r>
                      <w:rPr>
                        <w:rFonts w:ascii="宋体" w:hAnsi="宋体" w:eastAsia="宋体" w:cs="宋体"/>
                        <w:spacing w:val="7"/>
                        <w:sz w:val="17"/>
                        <w:szCs w:val="17"/>
                      </w:rPr>
                      <w:t>安全防范体系</w:t>
                    </w:r>
                    <w:r>
                      <w:rPr>
                        <w:rFonts w:ascii="宋体" w:hAnsi="宋体" w:eastAsia="宋体" w:cs="宋体"/>
                        <w:sz w:val="17"/>
                        <w:szCs w:val="17"/>
                      </w:rPr>
                      <w:t xml:space="preserve">   </w:t>
                    </w:r>
                    <w:r>
                      <w:rPr>
                        <w:rFonts w:ascii="宋体" w:hAnsi="宋体" w:eastAsia="宋体" w:cs="宋体"/>
                        <w:spacing w:val="7"/>
                        <w:sz w:val="17"/>
                        <w:szCs w:val="17"/>
                      </w:rPr>
                      <w:t>授权和审计安全</w:t>
                    </w:r>
                  </w:p>
                  <w:p w14:paraId="5510485C">
                    <w:pPr>
                      <w:spacing w:before="25" w:line="202" w:lineRule="auto"/>
                      <w:ind w:left="35"/>
                      <w:rPr>
                        <w:rFonts w:ascii="宋体" w:hAnsi="宋体" w:eastAsia="宋体" w:cs="宋体"/>
                        <w:sz w:val="17"/>
                        <w:szCs w:val="17"/>
                      </w:rPr>
                    </w:pPr>
                    <w:r>
                      <w:rPr>
                        <w:rFonts w:ascii="宋体" w:hAnsi="宋体" w:eastAsia="宋体" w:cs="宋体"/>
                        <w:spacing w:val="7"/>
                        <w:sz w:val="17"/>
                        <w:szCs w:val="17"/>
                      </w:rPr>
                      <w:t>管理安全</w:t>
                    </w:r>
                  </w:p>
                  <w:p w14:paraId="53FFF15B">
                    <w:pPr>
                      <w:spacing w:before="139" w:line="202" w:lineRule="auto"/>
                      <w:ind w:left="27"/>
                      <w:rPr>
                        <w:rFonts w:ascii="宋体" w:hAnsi="宋体" w:eastAsia="宋体" w:cs="宋体"/>
                        <w:sz w:val="17"/>
                        <w:szCs w:val="17"/>
                      </w:rPr>
                    </w:pPr>
                    <w:r>
                      <w:rPr>
                        <w:rFonts w:ascii="宋体" w:hAnsi="宋体" w:eastAsia="宋体" w:cs="宋体"/>
                        <w:spacing w:val="19"/>
                        <w:sz w:val="17"/>
                        <w:szCs w:val="17"/>
                      </w:rPr>
                      <w:t>运行安全</w:t>
                    </w:r>
                  </w:p>
                  <w:p w14:paraId="0BD2215E">
                    <w:pPr>
                      <w:spacing w:before="139" w:line="202" w:lineRule="auto"/>
                      <w:ind w:left="33"/>
                      <w:rPr>
                        <w:rFonts w:ascii="宋体" w:hAnsi="宋体" w:eastAsia="宋体" w:cs="宋体"/>
                        <w:sz w:val="17"/>
                        <w:szCs w:val="17"/>
                      </w:rPr>
                    </w:pPr>
                    <w:r>
                      <w:rPr>
                        <w:rFonts w:ascii="宋体" w:hAnsi="宋体" w:eastAsia="宋体" w:cs="宋体"/>
                        <w:spacing w:val="19"/>
                        <w:sz w:val="17"/>
                        <w:szCs w:val="17"/>
                      </w:rPr>
                      <w:t>应用安全</w:t>
                    </w:r>
                  </w:p>
                  <w:p w14:paraId="51B54873">
                    <w:pPr>
                      <w:spacing w:before="133" w:line="201" w:lineRule="auto"/>
                      <w:ind w:left="32"/>
                      <w:rPr>
                        <w:rFonts w:ascii="宋体" w:hAnsi="宋体" w:eastAsia="宋体" w:cs="宋体"/>
                        <w:sz w:val="17"/>
                        <w:szCs w:val="17"/>
                      </w:rPr>
                    </w:pPr>
                    <w:r>
                      <w:rPr>
                        <w:rFonts w:ascii="宋体" w:hAnsi="宋体" w:eastAsia="宋体" w:cs="宋体"/>
                        <w:spacing w:val="20"/>
                        <w:sz w:val="17"/>
                        <w:szCs w:val="17"/>
                      </w:rPr>
                      <w:t>通信安全</w:t>
                    </w:r>
                  </w:p>
                  <w:p w14:paraId="7E6A1C75">
                    <w:pPr>
                      <w:spacing w:before="145" w:line="201" w:lineRule="auto"/>
                      <w:ind w:left="44"/>
                      <w:rPr>
                        <w:rFonts w:ascii="宋体" w:hAnsi="宋体" w:eastAsia="宋体" w:cs="宋体"/>
                        <w:sz w:val="17"/>
                        <w:szCs w:val="17"/>
                      </w:rPr>
                    </w:pPr>
                    <w:r>
                      <w:rPr>
                        <w:rFonts w:ascii="宋体" w:hAnsi="宋体" w:eastAsia="宋体" w:cs="宋体"/>
                        <w:spacing w:val="14"/>
                        <w:sz w:val="17"/>
                        <w:szCs w:val="17"/>
                      </w:rPr>
                      <w:t>数据安全</w:t>
                    </w:r>
                  </w:p>
                  <w:p w14:paraId="521F95BD">
                    <w:pPr>
                      <w:spacing w:before="150" w:line="202" w:lineRule="auto"/>
                      <w:ind w:left="20"/>
                      <w:rPr>
                        <w:rFonts w:ascii="宋体" w:hAnsi="宋体" w:eastAsia="宋体" w:cs="宋体"/>
                        <w:sz w:val="17"/>
                        <w:szCs w:val="17"/>
                      </w:rPr>
                    </w:pPr>
                    <w:r>
                      <w:rPr>
                        <w:rFonts w:ascii="宋体" w:hAnsi="宋体" w:eastAsia="宋体" w:cs="宋体"/>
                        <w:spacing w:val="18"/>
                        <w:sz w:val="17"/>
                        <w:szCs w:val="17"/>
                      </w:rPr>
                      <w:t>平台安全</w:t>
                    </w:r>
                  </w:p>
                  <w:p w14:paraId="6018C8BF">
                    <w:pPr>
                      <w:spacing w:before="133" w:line="202" w:lineRule="auto"/>
                      <w:ind w:left="33"/>
                      <w:rPr>
                        <w:rFonts w:ascii="宋体" w:hAnsi="宋体" w:eastAsia="宋体" w:cs="宋体"/>
                        <w:sz w:val="17"/>
                        <w:szCs w:val="17"/>
                      </w:rPr>
                    </w:pPr>
                    <w:r>
                      <w:rPr>
                        <w:rFonts w:ascii="宋体" w:hAnsi="宋体" w:eastAsia="宋体" w:cs="宋体"/>
                        <w:spacing w:val="11"/>
                        <w:sz w:val="17"/>
                        <w:szCs w:val="17"/>
                      </w:rPr>
                      <w:t>基础设施安全</w:t>
                    </w:r>
                  </w:p>
                </w:txbxContent>
              </v:textbox>
            </v:shape>
            <v:shape id="_x0000_s1124" o:spid="_x0000_s1124" o:spt="202" type="#_x0000_t202" style="position:absolute;left:2709;top:187;height:2450;width:1351;" filled="f" stroked="f" coordsize="21600,21600">
              <v:path/>
              <v:fill on="f" focussize="0,0"/>
              <v:stroke on="f"/>
              <v:imagedata o:title=""/>
              <o:lock v:ext="edit" aspectratio="f"/>
              <v:textbox inset="0mm,0mm,0mm,0mm">
                <w:txbxContent>
                  <w:p w14:paraId="77CFBC67">
                    <w:pPr>
                      <w:spacing w:before="19" w:line="315" w:lineRule="auto"/>
                      <w:ind w:left="20" w:right="20"/>
                      <w:rPr>
                        <w:rFonts w:ascii="宋体" w:hAnsi="宋体" w:eastAsia="宋体" w:cs="宋体"/>
                        <w:sz w:val="18"/>
                        <w:szCs w:val="18"/>
                      </w:rPr>
                    </w:pPr>
                    <w:r>
                      <w:rPr>
                        <w:rFonts w:ascii="宋体" w:hAnsi="宋体" w:eastAsia="宋体" w:cs="宋体"/>
                        <w:spacing w:val="-5"/>
                        <w:sz w:val="18"/>
                        <w:szCs w:val="18"/>
                      </w:rPr>
                      <w:t>OSI网络参考模型</w:t>
                    </w:r>
                    <w:r>
                      <w:rPr>
                        <w:rFonts w:ascii="宋体" w:hAnsi="宋体" w:eastAsia="宋体" w:cs="宋体"/>
                        <w:spacing w:val="5"/>
                        <w:sz w:val="18"/>
                        <w:szCs w:val="18"/>
                      </w:rPr>
                      <w:t xml:space="preserve"> </w:t>
                    </w:r>
                    <w:r>
                      <w:rPr>
                        <w:rFonts w:ascii="宋体" w:hAnsi="宋体" w:eastAsia="宋体" w:cs="宋体"/>
                        <w:spacing w:val="-2"/>
                        <w:sz w:val="18"/>
                        <w:szCs w:val="18"/>
                      </w:rPr>
                      <w:t>应用层</w:t>
                    </w:r>
                  </w:p>
                  <w:p w14:paraId="443D0A35">
                    <w:pPr>
                      <w:spacing w:before="36" w:line="219" w:lineRule="auto"/>
                      <w:ind w:left="20"/>
                      <w:rPr>
                        <w:rFonts w:ascii="宋体" w:hAnsi="宋体" w:eastAsia="宋体" w:cs="宋体"/>
                        <w:sz w:val="18"/>
                        <w:szCs w:val="18"/>
                      </w:rPr>
                    </w:pPr>
                    <w:r>
                      <w:rPr>
                        <w:rFonts w:ascii="宋体" w:hAnsi="宋体" w:eastAsia="宋体" w:cs="宋体"/>
                        <w:spacing w:val="-2"/>
                        <w:sz w:val="18"/>
                        <w:szCs w:val="18"/>
                      </w:rPr>
                      <w:t>表示层</w:t>
                    </w:r>
                  </w:p>
                  <w:p w14:paraId="7BDD3927">
                    <w:pPr>
                      <w:spacing w:before="114" w:line="221" w:lineRule="auto"/>
                      <w:ind w:left="20"/>
                      <w:rPr>
                        <w:rFonts w:ascii="黑体" w:hAnsi="黑体" w:eastAsia="黑体" w:cs="黑体"/>
                        <w:sz w:val="18"/>
                        <w:szCs w:val="18"/>
                      </w:rPr>
                    </w:pPr>
                    <w:r>
                      <w:rPr>
                        <w:rFonts w:ascii="黑体" w:hAnsi="黑体" w:eastAsia="黑体" w:cs="黑体"/>
                        <w:spacing w:val="-2"/>
                        <w:sz w:val="18"/>
                        <w:szCs w:val="18"/>
                      </w:rPr>
                      <w:t>会话层</w:t>
                    </w:r>
                  </w:p>
                  <w:p w14:paraId="06160F78">
                    <w:pPr>
                      <w:spacing w:before="75" w:line="319" w:lineRule="auto"/>
                      <w:ind w:left="20" w:right="797"/>
                      <w:jc w:val="both"/>
                      <w:rPr>
                        <w:rFonts w:ascii="宋体" w:hAnsi="宋体" w:eastAsia="宋体" w:cs="宋体"/>
                        <w:sz w:val="18"/>
                        <w:szCs w:val="18"/>
                      </w:rPr>
                    </w:pPr>
                    <w:r>
                      <w:rPr>
                        <w:rFonts w:ascii="黑体" w:hAnsi="黑体" w:eastAsia="黑体" w:cs="黑体"/>
                        <w:spacing w:val="-2"/>
                        <w:sz w:val="18"/>
                        <w:szCs w:val="18"/>
                      </w:rPr>
                      <w:t>传输层</w:t>
                    </w:r>
                    <w:r>
                      <w:rPr>
                        <w:rFonts w:ascii="黑体" w:hAnsi="黑体" w:eastAsia="黑体" w:cs="黑体"/>
                        <w:sz w:val="18"/>
                        <w:szCs w:val="18"/>
                      </w:rPr>
                      <w:t xml:space="preserve"> </w:t>
                    </w:r>
                    <w:r>
                      <w:rPr>
                        <w:rFonts w:ascii="宋体" w:hAnsi="宋体" w:eastAsia="宋体" w:cs="宋体"/>
                        <w:spacing w:val="-8"/>
                        <w:sz w:val="18"/>
                        <w:szCs w:val="18"/>
                      </w:rPr>
                      <w:t>网络层</w:t>
                    </w:r>
                    <w:r>
                      <w:rPr>
                        <w:rFonts w:ascii="宋体" w:hAnsi="宋体" w:eastAsia="宋体" w:cs="宋体"/>
                        <w:spacing w:val="1"/>
                        <w:sz w:val="18"/>
                        <w:szCs w:val="18"/>
                      </w:rPr>
                      <w:t xml:space="preserve"> </w:t>
                    </w:r>
                    <w:r>
                      <w:rPr>
                        <w:rFonts w:ascii="宋体" w:hAnsi="宋体" w:eastAsia="宋体" w:cs="宋体"/>
                        <w:spacing w:val="-3"/>
                        <w:sz w:val="18"/>
                        <w:szCs w:val="18"/>
                      </w:rPr>
                      <w:t>链路层</w:t>
                    </w:r>
                  </w:p>
                  <w:p w14:paraId="2216F932">
                    <w:pPr>
                      <w:spacing w:before="27" w:line="219" w:lineRule="auto"/>
                      <w:ind w:left="20"/>
                      <w:rPr>
                        <w:rFonts w:ascii="宋体" w:hAnsi="宋体" w:eastAsia="宋体" w:cs="宋体"/>
                        <w:sz w:val="18"/>
                        <w:szCs w:val="18"/>
                      </w:rPr>
                    </w:pPr>
                    <w:r>
                      <w:rPr>
                        <w:rFonts w:ascii="宋体" w:hAnsi="宋体" w:eastAsia="宋体" w:cs="宋体"/>
                        <w:spacing w:val="-2"/>
                        <w:sz w:val="18"/>
                        <w:szCs w:val="18"/>
                      </w:rPr>
                      <w:t>物理层</w:t>
                    </w:r>
                  </w:p>
                </w:txbxContent>
              </v:textbox>
            </v:shape>
            <v:shape id="_x0000_s1125" o:spid="_x0000_s1125" o:spt="202" type="#_x0000_t202" style="position:absolute;left:5369;top:2526;height:220;width:725;" filled="f" stroked="f" coordsize="21600,21600">
              <v:path/>
              <v:fill on="f" focussize="0,0"/>
              <v:stroke on="f"/>
              <v:imagedata o:title=""/>
              <o:lock v:ext="edit" aspectratio="f"/>
              <v:textbox inset="0mm,0mm,0mm,0mm">
                <w:txbxContent>
                  <w:p w14:paraId="5A4CFAA4">
                    <w:pPr>
                      <w:spacing w:before="19" w:line="219" w:lineRule="auto"/>
                      <w:ind w:left="20"/>
                      <w:rPr>
                        <w:rFonts w:ascii="宋体" w:hAnsi="宋体" w:eastAsia="宋体" w:cs="宋体"/>
                        <w:sz w:val="18"/>
                        <w:szCs w:val="18"/>
                      </w:rPr>
                    </w:pPr>
                    <w:r>
                      <w:rPr>
                        <w:rFonts w:ascii="宋体" w:hAnsi="宋体" w:eastAsia="宋体" w:cs="宋体"/>
                        <w:spacing w:val="-7"/>
                        <w:sz w:val="18"/>
                        <w:szCs w:val="18"/>
                      </w:rPr>
                      <w:t>安全机制</w:t>
                    </w:r>
                  </w:p>
                </w:txbxContent>
              </v:textbox>
            </v:shape>
            <v:shape id="_x0000_s1126" o:spid="_x0000_s1126" o:spt="202" type="#_x0000_t202" style="position:absolute;left:3981;top:2001;height:795;width:196;" filled="f" stroked="f" coordsize="21600,21600">
              <v:path/>
              <v:fill on="f" focussize="0,0"/>
              <v:stroke on="f"/>
              <v:imagedata o:title=""/>
              <o:lock v:ext="edit" aspectratio="f"/>
              <v:textbox inset="0mm,0mm,0mm,0mm" style="layout-flow:vertical-ideographic;">
                <w:txbxContent>
                  <w:p w14:paraId="66D7794B">
                    <w:pPr>
                      <w:spacing w:before="19" w:line="201" w:lineRule="auto"/>
                      <w:ind w:left="20"/>
                      <w:rPr>
                        <w:rFonts w:ascii="宋体" w:hAnsi="宋体" w:eastAsia="宋体" w:cs="宋体"/>
                        <w:sz w:val="17"/>
                        <w:szCs w:val="17"/>
                      </w:rPr>
                    </w:pPr>
                    <w:r>
                      <w:rPr>
                        <w:rFonts w:ascii="宋体" w:hAnsi="宋体" w:eastAsia="宋体" w:cs="宋体"/>
                        <w:spacing w:val="18"/>
                        <w:sz w:val="17"/>
                        <w:szCs w:val="17"/>
                      </w:rPr>
                      <w:t>安全空间</w:t>
                    </w:r>
                  </w:p>
                </w:txbxContent>
              </v:textbox>
            </v:shape>
            <v:shape id="_x0000_s1127" o:spid="_x0000_s1127" o:spt="202" type="#_x0000_t202" style="position:absolute;left:5890;top:2889;height:161;width:168;" filled="f" stroked="f" coordsize="21600,21600">
              <v:path/>
              <v:fill on="f" focussize="0,0"/>
              <v:stroke on="f"/>
              <v:imagedata o:title=""/>
              <o:lock v:ext="edit" aspectratio="f"/>
              <v:textbox inset="0mm,0mm,0mm,0mm">
                <w:txbxContent>
                  <w:p w14:paraId="2F72F97F">
                    <w:pPr>
                      <w:spacing w:before="20" w:line="185" w:lineRule="auto"/>
                      <w:ind w:left="20"/>
                      <w:rPr>
                        <w:rFonts w:ascii="Times New Roman" w:hAnsi="Times New Roman" w:eastAsia="Times New Roman" w:cs="Times New Roman"/>
                        <w:sz w:val="18"/>
                        <w:szCs w:val="18"/>
                      </w:rPr>
                    </w:pPr>
                    <w:r>
                      <w:rPr>
                        <w:rFonts w:ascii="Times New Roman" w:hAnsi="Times New Roman" w:eastAsia="Times New Roman" w:cs="Times New Roman"/>
                        <w:sz w:val="18"/>
                        <w:szCs w:val="18"/>
                      </w:rPr>
                      <w:t>X</w:t>
                    </w:r>
                  </w:p>
                </w:txbxContent>
              </v:textbox>
            </v:shape>
            <w10:wrap type="none"/>
            <w10:anchorlock/>
          </v:group>
        </w:pict>
      </w:r>
    </w:p>
    <w:p w14:paraId="4473A377">
      <w:pPr>
        <w:pStyle w:val="2"/>
        <w:spacing w:before="148" w:line="219" w:lineRule="auto"/>
        <w:ind w:left="3589"/>
        <w:rPr>
          <w:sz w:val="18"/>
          <w:szCs w:val="18"/>
        </w:rPr>
      </w:pPr>
      <w:r>
        <w:rPr>
          <w:spacing w:val="1"/>
          <w:sz w:val="18"/>
          <w:szCs w:val="18"/>
        </w:rPr>
        <w:t>图2-13</w:t>
      </w:r>
      <w:r>
        <w:rPr>
          <w:spacing w:val="85"/>
          <w:sz w:val="18"/>
          <w:szCs w:val="18"/>
        </w:rPr>
        <w:t xml:space="preserve"> </w:t>
      </w:r>
      <w:r>
        <w:rPr>
          <w:spacing w:val="1"/>
          <w:sz w:val="18"/>
          <w:szCs w:val="18"/>
        </w:rPr>
        <w:t>信息安全空间</w:t>
      </w:r>
    </w:p>
    <w:p w14:paraId="21FA49A7">
      <w:pPr>
        <w:pStyle w:val="2"/>
        <w:spacing w:before="196" w:line="309" w:lineRule="auto"/>
        <w:ind w:left="319" w:right="81" w:firstLine="400"/>
        <w:rPr>
          <w:sz w:val="18"/>
          <w:szCs w:val="18"/>
        </w:rPr>
      </w:pPr>
      <w:r>
        <w:rPr>
          <w:rFonts w:ascii="Times New Roman" w:hAnsi="Times New Roman" w:eastAsia="Times New Roman" w:cs="Times New Roman"/>
          <w:spacing w:val="18"/>
          <w:sz w:val="18"/>
          <w:szCs w:val="18"/>
        </w:rPr>
        <w:t xml:space="preserve">X </w:t>
      </w:r>
      <w:r>
        <w:rPr>
          <w:spacing w:val="18"/>
          <w:sz w:val="18"/>
          <w:szCs w:val="18"/>
        </w:rPr>
        <w:t>轴是“安全机制”。安全机制可以理解为提供某些安全服务，利用各种</w:t>
      </w:r>
      <w:r>
        <w:rPr>
          <w:spacing w:val="17"/>
          <w:sz w:val="18"/>
          <w:szCs w:val="18"/>
        </w:rPr>
        <w:t>安全技术和技巧所</w:t>
      </w:r>
      <w:r>
        <w:rPr>
          <w:sz w:val="18"/>
          <w:szCs w:val="18"/>
        </w:rPr>
        <w:t xml:space="preserve"> </w:t>
      </w:r>
      <w:r>
        <w:rPr>
          <w:spacing w:val="23"/>
          <w:sz w:val="18"/>
          <w:szCs w:val="18"/>
        </w:rPr>
        <w:t>形成的一个较为完善的结构体系。例如“平台安全”机制，实际上就是指安全操作系统、安全</w:t>
      </w:r>
      <w:r>
        <w:rPr>
          <w:spacing w:val="4"/>
          <w:sz w:val="18"/>
          <w:szCs w:val="18"/>
        </w:rPr>
        <w:t xml:space="preserve"> </w:t>
      </w:r>
      <w:r>
        <w:rPr>
          <w:spacing w:val="18"/>
          <w:sz w:val="18"/>
          <w:szCs w:val="18"/>
        </w:rPr>
        <w:t>数据库、应用开发运营的安全平台，以及网络安全管理监控系统等。</w:t>
      </w:r>
    </w:p>
    <w:p w14:paraId="7859B3E8">
      <w:pPr>
        <w:pStyle w:val="2"/>
        <w:spacing w:before="15" w:line="318" w:lineRule="auto"/>
        <w:ind w:left="319" w:right="80" w:firstLine="400"/>
        <w:rPr>
          <w:sz w:val="18"/>
          <w:szCs w:val="18"/>
        </w:rPr>
      </w:pPr>
      <w:r>
        <w:rPr>
          <w:rFonts w:ascii="Times New Roman" w:hAnsi="Times New Roman" w:eastAsia="Times New Roman" w:cs="Times New Roman"/>
          <w:spacing w:val="15"/>
          <w:sz w:val="18"/>
          <w:szCs w:val="18"/>
        </w:rPr>
        <w:t xml:space="preserve">Y </w:t>
      </w:r>
      <w:r>
        <w:rPr>
          <w:spacing w:val="15"/>
          <w:sz w:val="18"/>
          <w:szCs w:val="18"/>
        </w:rPr>
        <w:t>轴 是</w:t>
      </w:r>
      <w:r>
        <w:rPr>
          <w:spacing w:val="-57"/>
          <w:sz w:val="18"/>
          <w:szCs w:val="18"/>
        </w:rPr>
        <w:t xml:space="preserve"> </w:t>
      </w:r>
      <w:r>
        <w:rPr>
          <w:rFonts w:ascii="Times New Roman" w:hAnsi="Times New Roman" w:eastAsia="Times New Roman" w:cs="Times New Roman"/>
          <w:spacing w:val="15"/>
          <w:sz w:val="18"/>
          <w:szCs w:val="18"/>
        </w:rPr>
        <w:t>“</w:t>
      </w:r>
      <w:r>
        <w:rPr>
          <w:rFonts w:ascii="Times New Roman" w:hAnsi="Times New Roman" w:eastAsia="Times New Roman" w:cs="Times New Roman"/>
          <w:sz w:val="18"/>
          <w:szCs w:val="18"/>
        </w:rPr>
        <w:t>OSI</w:t>
      </w:r>
      <w:r>
        <w:rPr>
          <w:rFonts w:ascii="Times New Roman" w:hAnsi="Times New Roman" w:eastAsia="Times New Roman" w:cs="Times New Roman"/>
          <w:spacing w:val="15"/>
          <w:sz w:val="18"/>
          <w:szCs w:val="18"/>
        </w:rPr>
        <w:t xml:space="preserve">   </w:t>
      </w:r>
      <w:r>
        <w:rPr>
          <w:spacing w:val="15"/>
          <w:sz w:val="18"/>
          <w:szCs w:val="18"/>
        </w:rPr>
        <w:t>网络参考模型”。信息安全系统的许多技术、技巧都是在网络的各个层面上实</w:t>
      </w:r>
      <w:r>
        <w:rPr>
          <w:sz w:val="18"/>
          <w:szCs w:val="18"/>
        </w:rPr>
        <w:t xml:space="preserve"> </w:t>
      </w:r>
      <w:r>
        <w:rPr>
          <w:spacing w:val="17"/>
          <w:sz w:val="18"/>
          <w:szCs w:val="18"/>
        </w:rPr>
        <w:t>施的，离开网络，信息系统的安全也将失去意义。</w:t>
      </w:r>
    </w:p>
    <w:p w14:paraId="52DC00A4">
      <w:pPr>
        <w:pStyle w:val="2"/>
        <w:spacing w:before="1" w:line="315" w:lineRule="auto"/>
        <w:ind w:left="319" w:right="82" w:firstLine="400"/>
        <w:rPr>
          <w:sz w:val="18"/>
          <w:szCs w:val="18"/>
        </w:rPr>
      </w:pPr>
      <w:r>
        <w:rPr>
          <w:rFonts w:ascii="Times New Roman" w:hAnsi="Times New Roman" w:eastAsia="Times New Roman" w:cs="Times New Roman"/>
          <w:spacing w:val="18"/>
          <w:sz w:val="18"/>
          <w:szCs w:val="18"/>
        </w:rPr>
        <w:t xml:space="preserve">Z </w:t>
      </w:r>
      <w:r>
        <w:rPr>
          <w:spacing w:val="18"/>
          <w:sz w:val="18"/>
          <w:szCs w:val="18"/>
        </w:rPr>
        <w:t>轴是“安全服务”。安全服务就是从网络中的各个层次提供信息应用系统所需要的安全服</w:t>
      </w:r>
      <w:r>
        <w:rPr>
          <w:spacing w:val="12"/>
          <w:sz w:val="18"/>
          <w:szCs w:val="18"/>
        </w:rPr>
        <w:t xml:space="preserve"> </w:t>
      </w:r>
      <w:r>
        <w:rPr>
          <w:spacing w:val="18"/>
          <w:sz w:val="18"/>
          <w:szCs w:val="18"/>
        </w:rPr>
        <w:t>务支持。例如对等实体认证服务、访问控制服务、数据保密服务等。</w:t>
      </w:r>
    </w:p>
    <w:p w14:paraId="19CE7CF0">
      <w:pPr>
        <w:spacing w:line="315" w:lineRule="auto"/>
        <w:rPr>
          <w:sz w:val="18"/>
          <w:szCs w:val="18"/>
        </w:rPr>
        <w:sectPr>
          <w:pgSz w:w="10310" w:h="13360"/>
          <w:pgMar w:top="400" w:right="980" w:bottom="400" w:left="600" w:header="0" w:footer="0" w:gutter="0"/>
          <w:cols w:space="720" w:num="1"/>
        </w:sectPr>
      </w:pPr>
    </w:p>
    <w:p w14:paraId="123D0B05">
      <w:pPr>
        <w:pStyle w:val="2"/>
        <w:spacing w:before="77" w:line="220" w:lineRule="auto"/>
        <w:jc w:val="right"/>
        <w:rPr>
          <w:rFonts w:ascii="Times New Roman" w:hAnsi="Times New Roman" w:eastAsia="Times New Roman" w:cs="Times New Roman"/>
          <w:sz w:val="20"/>
          <w:szCs w:val="20"/>
        </w:rPr>
      </w:pPr>
      <w:r>
        <w:rPr>
          <w:spacing w:val="7"/>
          <w:sz w:val="20"/>
          <w:szCs w:val="20"/>
        </w:rPr>
        <w:t>第2章信息系统工程</w:t>
      </w:r>
      <w:r>
        <w:rPr>
          <w:spacing w:val="9"/>
          <w:sz w:val="20"/>
          <w:szCs w:val="20"/>
        </w:rPr>
        <w:t xml:space="preserve">      </w:t>
      </w:r>
      <w:r>
        <w:rPr>
          <w:rFonts w:ascii="Times New Roman" w:hAnsi="Times New Roman" w:eastAsia="Times New Roman" w:cs="Times New Roman"/>
          <w:spacing w:val="7"/>
          <w:position w:val="-4"/>
          <w:sz w:val="20"/>
          <w:szCs w:val="20"/>
        </w:rPr>
        <w:t>85</w:t>
      </w:r>
    </w:p>
    <w:p w14:paraId="4D7FF221">
      <w:pPr>
        <w:spacing w:line="269" w:lineRule="auto"/>
        <w:rPr>
          <w:rFonts w:ascii="Arial"/>
          <w:sz w:val="21"/>
        </w:rPr>
      </w:pPr>
    </w:p>
    <w:p w14:paraId="27991CE6">
      <w:pPr>
        <w:pStyle w:val="2"/>
        <w:spacing w:before="65" w:line="287" w:lineRule="auto"/>
        <w:ind w:right="271" w:firstLine="409"/>
        <w:jc w:val="both"/>
        <w:rPr>
          <w:sz w:val="20"/>
          <w:szCs w:val="20"/>
        </w:rPr>
      </w:pPr>
      <w:r>
        <w:rPr>
          <w:spacing w:val="1"/>
          <w:sz w:val="20"/>
          <w:szCs w:val="20"/>
        </w:rPr>
        <w:t>由X、Y、Z</w:t>
      </w:r>
      <w:r>
        <w:rPr>
          <w:spacing w:val="85"/>
          <w:sz w:val="20"/>
          <w:szCs w:val="20"/>
        </w:rPr>
        <w:t xml:space="preserve"> </w:t>
      </w:r>
      <w:r>
        <w:rPr>
          <w:spacing w:val="1"/>
          <w:sz w:val="20"/>
          <w:szCs w:val="20"/>
        </w:rPr>
        <w:t>三个轴形成的信息安全系统三维空间就是信</w:t>
      </w:r>
      <w:r>
        <w:rPr>
          <w:sz w:val="20"/>
          <w:szCs w:val="20"/>
        </w:rPr>
        <w:t xml:space="preserve">息系统的安全空间。随着网络逐层 </w:t>
      </w:r>
      <w:r>
        <w:rPr>
          <w:spacing w:val="3"/>
          <w:sz w:val="20"/>
          <w:szCs w:val="20"/>
        </w:rPr>
        <w:t>扩展，这个空间不仅范围逐步加大，安全的内涵也更加丰富，具有认证、权限、完整、加密和</w:t>
      </w:r>
      <w:r>
        <w:rPr>
          <w:spacing w:val="2"/>
          <w:sz w:val="20"/>
          <w:szCs w:val="20"/>
        </w:rPr>
        <w:t xml:space="preserve"> </w:t>
      </w:r>
      <w:r>
        <w:rPr>
          <w:spacing w:val="-2"/>
          <w:sz w:val="20"/>
          <w:szCs w:val="20"/>
        </w:rPr>
        <w:t>不可否认五大要素，也称作安全空间的五大属性。</w:t>
      </w:r>
    </w:p>
    <w:p w14:paraId="614F524A">
      <w:pPr>
        <w:pStyle w:val="2"/>
        <w:spacing w:before="86" w:line="223" w:lineRule="auto"/>
        <w:ind w:left="412"/>
        <w:rPr>
          <w:rFonts w:ascii="黑体" w:hAnsi="黑体" w:eastAsia="黑体" w:cs="黑体"/>
          <w:sz w:val="20"/>
          <w:szCs w:val="20"/>
        </w:rPr>
      </w:pPr>
      <w:r>
        <w:rPr>
          <w:b/>
          <w:bCs/>
          <w:color w:val="006FC5"/>
          <w:spacing w:val="-2"/>
          <w:sz w:val="20"/>
          <w:szCs w:val="20"/>
        </w:rPr>
        <w:t>1.</w:t>
      </w:r>
      <w:r>
        <w:rPr>
          <w:rFonts w:ascii="黑体" w:hAnsi="黑体" w:eastAsia="黑体" w:cs="黑体"/>
          <w:b/>
          <w:bCs/>
          <w:color w:val="006FC5"/>
          <w:spacing w:val="-2"/>
          <w:sz w:val="20"/>
          <w:szCs w:val="20"/>
        </w:rPr>
        <w:t>安全机制</w:t>
      </w:r>
    </w:p>
    <w:p w14:paraId="70BCA106">
      <w:pPr>
        <w:pStyle w:val="2"/>
        <w:spacing w:before="170" w:line="264" w:lineRule="auto"/>
        <w:ind w:right="276" w:firstLine="409"/>
        <w:rPr>
          <w:sz w:val="20"/>
          <w:szCs w:val="20"/>
        </w:rPr>
      </w:pPr>
      <w:r>
        <w:rPr>
          <w:spacing w:val="3"/>
          <w:sz w:val="20"/>
          <w:szCs w:val="20"/>
        </w:rPr>
        <w:t>安全机制包括基础设施安全、平台安全、数据安全、通信安全、应用安全</w:t>
      </w:r>
      <w:r>
        <w:rPr>
          <w:spacing w:val="2"/>
          <w:sz w:val="20"/>
          <w:szCs w:val="20"/>
        </w:rPr>
        <w:t>、运行安全、管</w:t>
      </w:r>
      <w:r>
        <w:rPr>
          <w:sz w:val="20"/>
          <w:szCs w:val="20"/>
        </w:rPr>
        <w:t xml:space="preserve"> </w:t>
      </w:r>
      <w:r>
        <w:rPr>
          <w:spacing w:val="-2"/>
          <w:sz w:val="20"/>
          <w:szCs w:val="20"/>
        </w:rPr>
        <w:t>理安全、授权和审计安全、安全防范体系等。</w:t>
      </w:r>
    </w:p>
    <w:p w14:paraId="391C39A3">
      <w:pPr>
        <w:pStyle w:val="2"/>
        <w:spacing w:before="48" w:line="248" w:lineRule="auto"/>
        <w:ind w:right="276" w:firstLine="409"/>
        <w:rPr>
          <w:sz w:val="20"/>
          <w:szCs w:val="20"/>
        </w:rPr>
      </w:pPr>
      <w:r>
        <w:rPr>
          <w:spacing w:val="5"/>
          <w:sz w:val="20"/>
          <w:szCs w:val="20"/>
        </w:rPr>
        <w:t>(1)基础设施安全。主要包括机房安全、场地安全、设施安全、动力系统安全、灾难预防</w:t>
      </w:r>
      <w:r>
        <w:rPr>
          <w:spacing w:val="10"/>
          <w:sz w:val="20"/>
          <w:szCs w:val="20"/>
        </w:rPr>
        <w:t xml:space="preserve"> </w:t>
      </w:r>
      <w:r>
        <w:rPr>
          <w:spacing w:val="-7"/>
          <w:sz w:val="20"/>
          <w:szCs w:val="20"/>
        </w:rPr>
        <w:t>与恢复等。</w:t>
      </w:r>
    </w:p>
    <w:p w14:paraId="0006D291">
      <w:pPr>
        <w:pStyle w:val="2"/>
        <w:spacing w:before="82" w:line="262" w:lineRule="auto"/>
        <w:ind w:right="263" w:firstLine="409"/>
        <w:rPr>
          <w:sz w:val="20"/>
          <w:szCs w:val="20"/>
        </w:rPr>
      </w:pPr>
      <w:r>
        <w:rPr>
          <w:spacing w:val="6"/>
          <w:sz w:val="20"/>
          <w:szCs w:val="20"/>
        </w:rPr>
        <w:t>(2)平台安全。主要包括操作系统漏洞检测与修复</w:t>
      </w:r>
      <w:r>
        <w:rPr>
          <w:spacing w:val="5"/>
          <w:sz w:val="20"/>
          <w:szCs w:val="20"/>
        </w:rPr>
        <w:t>、网络基础设施漏洞检测与修复、通用</w:t>
      </w:r>
      <w:r>
        <w:rPr>
          <w:sz w:val="20"/>
          <w:szCs w:val="20"/>
        </w:rPr>
        <w:t xml:space="preserve"> </w:t>
      </w:r>
      <w:r>
        <w:rPr>
          <w:spacing w:val="-2"/>
          <w:sz w:val="20"/>
          <w:szCs w:val="20"/>
        </w:rPr>
        <w:t>基础应用程序漏洞检测与修复、网络安全产品部署等。</w:t>
      </w:r>
    </w:p>
    <w:p w14:paraId="4B9EA4FF">
      <w:pPr>
        <w:pStyle w:val="2"/>
        <w:spacing w:before="81" w:line="258" w:lineRule="auto"/>
        <w:ind w:right="187" w:firstLine="409"/>
        <w:rPr>
          <w:sz w:val="20"/>
          <w:szCs w:val="20"/>
        </w:rPr>
      </w:pPr>
      <w:r>
        <w:rPr>
          <w:spacing w:val="2"/>
          <w:sz w:val="20"/>
          <w:szCs w:val="20"/>
        </w:rPr>
        <w:t>(3)数据安全。主要包括介质与载体安全保护、数据访问控制、数据完整性、数据可用性、</w:t>
      </w:r>
      <w:r>
        <w:rPr>
          <w:spacing w:val="17"/>
          <w:sz w:val="20"/>
          <w:szCs w:val="20"/>
        </w:rPr>
        <w:t xml:space="preserve"> </w:t>
      </w:r>
      <w:r>
        <w:rPr>
          <w:spacing w:val="-2"/>
          <w:sz w:val="20"/>
          <w:szCs w:val="20"/>
        </w:rPr>
        <w:t>数据监控和审计、数据存储与备份安全等。</w:t>
      </w:r>
    </w:p>
    <w:p w14:paraId="62E50AAF">
      <w:pPr>
        <w:pStyle w:val="2"/>
        <w:spacing w:before="72" w:line="264" w:lineRule="auto"/>
        <w:ind w:right="258" w:firstLine="409"/>
        <w:rPr>
          <w:sz w:val="20"/>
          <w:szCs w:val="20"/>
        </w:rPr>
      </w:pPr>
      <w:r>
        <w:rPr>
          <w:spacing w:val="11"/>
          <w:sz w:val="20"/>
          <w:szCs w:val="20"/>
        </w:rPr>
        <w:t>(4)通信安全。主要包括通信线路和网络基础设施安全性测试与优化、安装网络加密设</w:t>
      </w:r>
      <w:r>
        <w:rPr>
          <w:sz w:val="20"/>
          <w:szCs w:val="20"/>
        </w:rPr>
        <w:t xml:space="preserve"> </w:t>
      </w:r>
      <w:r>
        <w:rPr>
          <w:spacing w:val="8"/>
          <w:sz w:val="20"/>
          <w:szCs w:val="20"/>
        </w:rPr>
        <w:t>施、设置通信加密软件、设置身份鉴别机制、设置并测试安全通道、测试各项网络协议</w:t>
      </w:r>
      <w:r>
        <w:rPr>
          <w:spacing w:val="7"/>
          <w:sz w:val="20"/>
          <w:szCs w:val="20"/>
        </w:rPr>
        <w:t>运行</w:t>
      </w:r>
      <w:r>
        <w:rPr>
          <w:sz w:val="20"/>
          <w:szCs w:val="20"/>
        </w:rPr>
        <w:t xml:space="preserve"> </w:t>
      </w:r>
      <w:r>
        <w:rPr>
          <w:spacing w:val="-2"/>
          <w:sz w:val="20"/>
          <w:szCs w:val="20"/>
        </w:rPr>
        <w:t>漏洞等。</w:t>
      </w:r>
    </w:p>
    <w:p w14:paraId="7929D44E">
      <w:pPr>
        <w:pStyle w:val="2"/>
        <w:spacing w:before="68" w:line="275" w:lineRule="auto"/>
        <w:ind w:right="271" w:firstLine="409"/>
        <w:rPr>
          <w:sz w:val="20"/>
          <w:szCs w:val="20"/>
        </w:rPr>
      </w:pPr>
      <w:r>
        <w:rPr>
          <w:spacing w:val="9"/>
          <w:sz w:val="20"/>
          <w:szCs w:val="20"/>
        </w:rPr>
        <w:t>(5)应用安全。主要包括业务软件的程序安全性测试</w:t>
      </w:r>
      <w:r>
        <w:rPr>
          <w:spacing w:val="-26"/>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Bug</w:t>
      </w:r>
      <w:r>
        <w:rPr>
          <w:rFonts w:ascii="Times New Roman" w:hAnsi="Times New Roman" w:eastAsia="Times New Roman" w:cs="Times New Roman"/>
          <w:spacing w:val="49"/>
          <w:sz w:val="20"/>
          <w:szCs w:val="20"/>
        </w:rPr>
        <w:t xml:space="preserve"> </w:t>
      </w:r>
      <w:r>
        <w:rPr>
          <w:spacing w:val="9"/>
          <w:sz w:val="20"/>
          <w:szCs w:val="20"/>
        </w:rPr>
        <w:t>分析)、业务交往的防抵赖测</w:t>
      </w:r>
      <w:r>
        <w:rPr>
          <w:sz w:val="20"/>
          <w:szCs w:val="20"/>
        </w:rPr>
        <w:t xml:space="preserve"> </w:t>
      </w:r>
      <w:r>
        <w:rPr>
          <w:spacing w:val="3"/>
          <w:sz w:val="20"/>
          <w:szCs w:val="20"/>
        </w:rPr>
        <w:t>试、业务资源的访问控制验证测试、业务实体的身份鉴别检测、业务现场的备份</w:t>
      </w:r>
      <w:r>
        <w:rPr>
          <w:spacing w:val="2"/>
          <w:sz w:val="20"/>
          <w:szCs w:val="20"/>
        </w:rPr>
        <w:t>与恢复机制检</w:t>
      </w:r>
      <w:r>
        <w:rPr>
          <w:sz w:val="20"/>
          <w:szCs w:val="20"/>
        </w:rPr>
        <w:t xml:space="preserve"> </w:t>
      </w:r>
      <w:r>
        <w:rPr>
          <w:spacing w:val="3"/>
          <w:sz w:val="20"/>
          <w:szCs w:val="20"/>
        </w:rPr>
        <w:t>查，以及业务数据的唯一性与一致性及防冲突检测、业务数据的保密性测试、业务</w:t>
      </w:r>
      <w:r>
        <w:rPr>
          <w:spacing w:val="2"/>
          <w:sz w:val="20"/>
          <w:szCs w:val="20"/>
        </w:rPr>
        <w:t>系统的可靠</w:t>
      </w:r>
      <w:r>
        <w:rPr>
          <w:sz w:val="20"/>
          <w:szCs w:val="20"/>
        </w:rPr>
        <w:t xml:space="preserve"> </w:t>
      </w:r>
      <w:r>
        <w:rPr>
          <w:spacing w:val="-3"/>
          <w:sz w:val="20"/>
          <w:szCs w:val="20"/>
        </w:rPr>
        <w:t>性测试、业务系统的可用性测试等。</w:t>
      </w:r>
    </w:p>
    <w:p w14:paraId="1640B7ED">
      <w:pPr>
        <w:pStyle w:val="2"/>
        <w:spacing w:before="82" w:line="264" w:lineRule="auto"/>
        <w:ind w:right="267" w:firstLine="409"/>
        <w:rPr>
          <w:sz w:val="20"/>
          <w:szCs w:val="20"/>
        </w:rPr>
      </w:pPr>
      <w:r>
        <w:rPr>
          <w:spacing w:val="6"/>
          <w:sz w:val="20"/>
          <w:szCs w:val="20"/>
        </w:rPr>
        <w:t>(6)运行安全。主要包括应急处置机制和</w:t>
      </w:r>
      <w:r>
        <w:rPr>
          <w:spacing w:val="5"/>
          <w:sz w:val="20"/>
          <w:szCs w:val="20"/>
        </w:rPr>
        <w:t>配套服务、网络系统安全性监测、网络安全产品</w:t>
      </w:r>
      <w:r>
        <w:rPr>
          <w:sz w:val="20"/>
          <w:szCs w:val="20"/>
        </w:rPr>
        <w:t xml:space="preserve"> </w:t>
      </w:r>
      <w:r>
        <w:rPr>
          <w:spacing w:val="3"/>
          <w:sz w:val="20"/>
          <w:szCs w:val="20"/>
        </w:rPr>
        <w:t xml:space="preserve">运行监测、定期检查和评估、系统升级和补丁提供、跟踪最新安全漏洞及通报、灾难恢复机制 </w:t>
      </w:r>
      <w:r>
        <w:rPr>
          <w:spacing w:val="-2"/>
          <w:sz w:val="20"/>
          <w:szCs w:val="20"/>
        </w:rPr>
        <w:t>与预防、系统改造管理、网络安全专业技术咨询服务等。</w:t>
      </w:r>
    </w:p>
    <w:p w14:paraId="3E9DF556">
      <w:pPr>
        <w:pStyle w:val="2"/>
        <w:spacing w:before="82" w:line="243" w:lineRule="auto"/>
        <w:ind w:right="276" w:firstLine="409"/>
        <w:rPr>
          <w:sz w:val="20"/>
          <w:szCs w:val="20"/>
        </w:rPr>
      </w:pPr>
      <w:r>
        <w:rPr>
          <w:spacing w:val="5"/>
          <w:sz w:val="20"/>
          <w:szCs w:val="20"/>
        </w:rPr>
        <w:t>(7)管理安全。主要包括人员管理、培训管理、应用系统管理、软件管理、设备管理、文</w:t>
      </w:r>
      <w:r>
        <w:rPr>
          <w:spacing w:val="10"/>
          <w:sz w:val="20"/>
          <w:szCs w:val="20"/>
        </w:rPr>
        <w:t xml:space="preserve"> </w:t>
      </w:r>
      <w:r>
        <w:rPr>
          <w:spacing w:val="-2"/>
          <w:sz w:val="20"/>
          <w:szCs w:val="20"/>
        </w:rPr>
        <w:t>档管理、数据管理、操作管理、运行管理、机房管理等。</w:t>
      </w:r>
    </w:p>
    <w:p w14:paraId="14E2307B">
      <w:pPr>
        <w:pStyle w:val="2"/>
        <w:spacing w:before="72" w:line="264" w:lineRule="auto"/>
        <w:ind w:right="207" w:firstLine="409"/>
        <w:rPr>
          <w:sz w:val="20"/>
          <w:szCs w:val="20"/>
        </w:rPr>
      </w:pPr>
      <w:r>
        <w:rPr>
          <w:spacing w:val="2"/>
          <w:sz w:val="20"/>
          <w:szCs w:val="20"/>
        </w:rPr>
        <w:t>(8)授权和审计安全。授权安全是指以向用户和应用程序提供权限管理和授权服务为</w:t>
      </w:r>
      <w:r>
        <w:rPr>
          <w:spacing w:val="1"/>
          <w:sz w:val="20"/>
          <w:szCs w:val="20"/>
        </w:rPr>
        <w:t>目标，</w:t>
      </w:r>
      <w:r>
        <w:rPr>
          <w:sz w:val="20"/>
          <w:szCs w:val="20"/>
        </w:rPr>
        <w:t xml:space="preserve"> </w:t>
      </w:r>
      <w:r>
        <w:rPr>
          <w:spacing w:val="3"/>
          <w:sz w:val="20"/>
          <w:szCs w:val="20"/>
        </w:rPr>
        <w:t>主要负责向业务应用系统提供授权服务管理，提供用户身份到应用授权的映射功能，</w:t>
      </w:r>
      <w:r>
        <w:rPr>
          <w:spacing w:val="2"/>
          <w:sz w:val="20"/>
          <w:szCs w:val="20"/>
        </w:rPr>
        <w:t>实现与实</w:t>
      </w:r>
      <w:r>
        <w:rPr>
          <w:sz w:val="20"/>
          <w:szCs w:val="20"/>
        </w:rPr>
        <w:t xml:space="preserve"> </w:t>
      </w:r>
      <w:r>
        <w:rPr>
          <w:spacing w:val="-2"/>
          <w:sz w:val="20"/>
          <w:szCs w:val="20"/>
        </w:rPr>
        <w:t>际应用处理模式相对应的、与具体应用系统开发和管理无关的访问控制机制。</w:t>
      </w:r>
    </w:p>
    <w:p w14:paraId="67E35645">
      <w:pPr>
        <w:pStyle w:val="2"/>
        <w:spacing w:before="86" w:line="265" w:lineRule="auto"/>
        <w:ind w:right="273" w:firstLine="409"/>
        <w:rPr>
          <w:sz w:val="20"/>
          <w:szCs w:val="20"/>
        </w:rPr>
      </w:pPr>
      <w:r>
        <w:rPr>
          <w:spacing w:val="5"/>
          <w:sz w:val="20"/>
          <w:szCs w:val="20"/>
        </w:rPr>
        <w:t>(9)安全防范体系。组织安全防范体系的建立，就是使得组织具有较强的应急事件处理能</w:t>
      </w:r>
      <w:r>
        <w:rPr>
          <w:spacing w:val="9"/>
          <w:sz w:val="20"/>
          <w:szCs w:val="20"/>
        </w:rPr>
        <w:t xml:space="preserve"> </w:t>
      </w:r>
      <w:r>
        <w:rPr>
          <w:spacing w:val="-1"/>
          <w:sz w:val="20"/>
          <w:szCs w:val="20"/>
        </w:rPr>
        <w:t>力，其核心是实现组织信息安全资源管理</w:t>
      </w:r>
      <w:r>
        <w:rPr>
          <w:spacing w:val="-11"/>
          <w:sz w:val="20"/>
          <w:szCs w:val="20"/>
        </w:rPr>
        <w:t xml:space="preserve"> </w:t>
      </w:r>
      <w:r>
        <w:rPr>
          <w:rFonts w:ascii="Times New Roman" w:hAnsi="Times New Roman" w:eastAsia="Times New Roman" w:cs="Times New Roman"/>
          <w:spacing w:val="-1"/>
          <w:sz w:val="20"/>
          <w:szCs w:val="20"/>
        </w:rPr>
        <w:t>(Enterprise</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1"/>
          <w:sz w:val="20"/>
          <w:szCs w:val="20"/>
        </w:rPr>
        <w:t>Information</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pacing w:val="-1"/>
          <w:sz w:val="20"/>
          <w:szCs w:val="20"/>
        </w:rPr>
        <w:t>Security</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1"/>
          <w:sz w:val="20"/>
          <w:szCs w:val="20"/>
        </w:rPr>
        <w:t>Resource</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1"/>
          <w:sz w:val="20"/>
          <w:szCs w:val="20"/>
        </w:rPr>
        <w:t>Management,</w:t>
      </w:r>
      <w:r>
        <w:rPr>
          <w:rFonts w:ascii="Times New Roman" w:hAnsi="Times New Roman" w:eastAsia="Times New Roman" w:cs="Times New Roman"/>
          <w:sz w:val="20"/>
          <w:szCs w:val="20"/>
        </w:rPr>
        <w:t xml:space="preserve"> EISRM</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9"/>
          <w:sz w:val="20"/>
          <w:szCs w:val="20"/>
        </w:rPr>
        <w:t xml:space="preserve"> </w:t>
      </w:r>
      <w:r>
        <w:rPr>
          <w:spacing w:val="15"/>
          <w:sz w:val="20"/>
          <w:szCs w:val="20"/>
        </w:rPr>
        <w:t>。</w:t>
      </w:r>
      <w:r>
        <w:rPr>
          <w:spacing w:val="-33"/>
          <w:sz w:val="20"/>
          <w:szCs w:val="20"/>
        </w:rPr>
        <w:t xml:space="preserve"> </w:t>
      </w:r>
      <w:r>
        <w:rPr>
          <w:spacing w:val="15"/>
          <w:sz w:val="20"/>
          <w:szCs w:val="20"/>
        </w:rPr>
        <w:t>组织安全防范体系的建立可以更好地发挥以下六项能力：预警</w:t>
      </w:r>
      <w:r>
        <w:rPr>
          <w:spacing w:val="-49"/>
          <w:sz w:val="20"/>
          <w:szCs w:val="20"/>
        </w:rPr>
        <w:t xml:space="preserve"> </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Warn</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28"/>
          <w:sz w:val="20"/>
          <w:szCs w:val="20"/>
        </w:rPr>
        <w:t xml:space="preserve"> </w:t>
      </w:r>
      <w:r>
        <w:rPr>
          <w:spacing w:val="15"/>
          <w:sz w:val="20"/>
          <w:szCs w:val="20"/>
        </w:rPr>
        <w:t>、 保</w:t>
      </w:r>
      <w:r>
        <w:rPr>
          <w:spacing w:val="-38"/>
          <w:sz w:val="20"/>
          <w:szCs w:val="20"/>
        </w:rPr>
        <w:t xml:space="preserve"> </w:t>
      </w:r>
      <w:r>
        <w:rPr>
          <w:spacing w:val="15"/>
          <w:sz w:val="20"/>
          <w:szCs w:val="20"/>
        </w:rPr>
        <w:t>护</w:t>
      </w:r>
      <w:r>
        <w:rPr>
          <w:sz w:val="20"/>
          <w:szCs w:val="20"/>
        </w:rPr>
        <w:t xml:space="preserve"> </w:t>
      </w:r>
      <w:r>
        <w:rPr>
          <w:rFonts w:ascii="Times New Roman" w:hAnsi="Times New Roman" w:eastAsia="Times New Roman" w:cs="Times New Roman"/>
          <w:sz w:val="20"/>
          <w:szCs w:val="20"/>
        </w:rPr>
        <w:t>(Protect)</w:t>
      </w:r>
      <w:r>
        <w:rPr>
          <w:rFonts w:ascii="Times New Roman" w:hAnsi="Times New Roman" w:eastAsia="Times New Roman" w:cs="Times New Roman"/>
          <w:spacing w:val="-28"/>
          <w:sz w:val="20"/>
          <w:szCs w:val="20"/>
        </w:rPr>
        <w:t xml:space="preserve"> </w:t>
      </w:r>
      <w:r>
        <w:rPr>
          <w:sz w:val="20"/>
          <w:szCs w:val="20"/>
        </w:rPr>
        <w:t>、</w:t>
      </w:r>
      <w:r>
        <w:rPr>
          <w:spacing w:val="-21"/>
          <w:sz w:val="20"/>
          <w:szCs w:val="20"/>
        </w:rPr>
        <w:t xml:space="preserve"> </w:t>
      </w:r>
      <w:r>
        <w:rPr>
          <w:sz w:val="20"/>
          <w:szCs w:val="20"/>
        </w:rPr>
        <w:t>检测</w:t>
      </w:r>
      <w:r>
        <w:rPr>
          <w:spacing w:val="-46"/>
          <w:sz w:val="20"/>
          <w:szCs w:val="20"/>
        </w:rPr>
        <w:t xml:space="preserve"> </w:t>
      </w:r>
      <w:r>
        <w:rPr>
          <w:rFonts w:ascii="Times New Roman" w:hAnsi="Times New Roman" w:eastAsia="Times New Roman" w:cs="Times New Roman"/>
          <w:sz w:val="20"/>
          <w:szCs w:val="20"/>
        </w:rPr>
        <w:t>(Detect)</w:t>
      </w:r>
      <w:r>
        <w:rPr>
          <w:rFonts w:ascii="Times New Roman" w:hAnsi="Times New Roman" w:eastAsia="Times New Roman" w:cs="Times New Roman"/>
          <w:spacing w:val="-29"/>
          <w:sz w:val="20"/>
          <w:szCs w:val="20"/>
        </w:rPr>
        <w:t xml:space="preserve"> </w:t>
      </w:r>
      <w:r>
        <w:rPr>
          <w:sz w:val="20"/>
          <w:szCs w:val="20"/>
        </w:rPr>
        <w:t>、 反</w:t>
      </w:r>
      <w:r>
        <w:rPr>
          <w:spacing w:val="-35"/>
          <w:sz w:val="20"/>
          <w:szCs w:val="20"/>
        </w:rPr>
        <w:t xml:space="preserve"> </w:t>
      </w:r>
      <w:r>
        <w:rPr>
          <w:sz w:val="20"/>
          <w:szCs w:val="20"/>
        </w:rPr>
        <w:t>应</w:t>
      </w:r>
      <w:r>
        <w:rPr>
          <w:spacing w:val="-58"/>
          <w:sz w:val="20"/>
          <w:szCs w:val="20"/>
        </w:rPr>
        <w:t xml:space="preserve"> </w:t>
      </w:r>
      <w:r>
        <w:rPr>
          <w:rFonts w:ascii="Times New Roman" w:hAnsi="Times New Roman" w:eastAsia="Times New Roman" w:cs="Times New Roman"/>
          <w:sz w:val="20"/>
          <w:szCs w:val="20"/>
        </w:rPr>
        <w:t>(Response)</w:t>
      </w:r>
      <w:r>
        <w:rPr>
          <w:rFonts w:ascii="Times New Roman" w:hAnsi="Times New Roman" w:eastAsia="Times New Roman" w:cs="Times New Roman"/>
          <w:spacing w:val="-28"/>
          <w:sz w:val="20"/>
          <w:szCs w:val="20"/>
        </w:rPr>
        <w:t xml:space="preserve"> </w:t>
      </w:r>
      <w:r>
        <w:rPr>
          <w:sz w:val="20"/>
          <w:szCs w:val="20"/>
        </w:rPr>
        <w:t>、 恢</w:t>
      </w:r>
      <w:r>
        <w:rPr>
          <w:spacing w:val="-38"/>
          <w:sz w:val="20"/>
          <w:szCs w:val="20"/>
        </w:rPr>
        <w:t xml:space="preserve"> </w:t>
      </w:r>
      <w:r>
        <w:rPr>
          <w:sz w:val="20"/>
          <w:szCs w:val="20"/>
        </w:rPr>
        <w:t>复</w:t>
      </w:r>
      <w:r>
        <w:rPr>
          <w:spacing w:val="-50"/>
          <w:sz w:val="20"/>
          <w:szCs w:val="20"/>
        </w:rPr>
        <w:t xml:space="preserve"> </w:t>
      </w:r>
      <w:r>
        <w:rPr>
          <w:rFonts w:ascii="Times New Roman" w:hAnsi="Times New Roman" w:eastAsia="Times New Roman" w:cs="Times New Roman"/>
          <w:sz w:val="20"/>
          <w:szCs w:val="20"/>
        </w:rPr>
        <w:t xml:space="preserve">(Recover)    </w:t>
      </w:r>
      <w:r>
        <w:rPr>
          <w:sz w:val="20"/>
          <w:szCs w:val="20"/>
        </w:rPr>
        <w:t>和反击</w:t>
      </w:r>
      <w:r>
        <w:rPr>
          <w:spacing w:val="-58"/>
          <w:sz w:val="20"/>
          <w:szCs w:val="20"/>
        </w:rPr>
        <w:t xml:space="preserve"> </w:t>
      </w:r>
      <w:r>
        <w:rPr>
          <w:rFonts w:ascii="Times New Roman" w:hAnsi="Times New Roman" w:eastAsia="Times New Roman" w:cs="Times New Roman"/>
          <w:sz w:val="20"/>
          <w:szCs w:val="20"/>
        </w:rPr>
        <w:t>(Count</w:t>
      </w:r>
      <w:r>
        <w:rPr>
          <w:rFonts w:ascii="Times New Roman" w:hAnsi="Times New Roman" w:eastAsia="Times New Roman" w:cs="Times New Roman"/>
          <w:spacing w:val="-1"/>
          <w:sz w:val="20"/>
          <w:szCs w:val="20"/>
        </w:rPr>
        <w:t xml:space="preserve">er-attack),     </w:t>
      </w:r>
      <w:r>
        <w:rPr>
          <w:spacing w:val="-1"/>
          <w:sz w:val="20"/>
          <w:szCs w:val="20"/>
        </w:rPr>
        <w:t>即综</w:t>
      </w:r>
      <w:r>
        <w:rPr>
          <w:sz w:val="20"/>
          <w:szCs w:val="20"/>
        </w:rPr>
        <w:t xml:space="preserve"> </w:t>
      </w:r>
      <w:r>
        <w:rPr>
          <w:spacing w:val="-1"/>
          <w:sz w:val="20"/>
          <w:szCs w:val="20"/>
        </w:rPr>
        <w:t>合的</w:t>
      </w:r>
      <w:r>
        <w:rPr>
          <w:rFonts w:ascii="Times New Roman" w:hAnsi="Times New Roman" w:eastAsia="Times New Roman" w:cs="Times New Roman"/>
          <w:spacing w:val="-1"/>
          <w:sz w:val="20"/>
          <w:szCs w:val="20"/>
        </w:rPr>
        <w:t xml:space="preserve">WPDRRC </w:t>
      </w:r>
      <w:r>
        <w:rPr>
          <w:spacing w:val="-1"/>
          <w:sz w:val="20"/>
          <w:szCs w:val="20"/>
        </w:rPr>
        <w:t>信息安全保障体系。</w:t>
      </w:r>
    </w:p>
    <w:p w14:paraId="61BF9FD1">
      <w:pPr>
        <w:pStyle w:val="2"/>
        <w:spacing w:before="90" w:line="272" w:lineRule="auto"/>
        <w:ind w:right="224" w:firstLine="409"/>
        <w:jc w:val="both"/>
        <w:rPr>
          <w:sz w:val="20"/>
          <w:szCs w:val="20"/>
        </w:rPr>
      </w:pPr>
      <w:r>
        <w:rPr>
          <w:spacing w:val="7"/>
          <w:sz w:val="20"/>
          <w:szCs w:val="20"/>
        </w:rPr>
        <w:t>组织可以结合</w:t>
      </w:r>
      <w:r>
        <w:rPr>
          <w:rFonts w:ascii="Times New Roman" w:hAnsi="Times New Roman" w:eastAsia="Times New Roman" w:cs="Times New Roman"/>
          <w:sz w:val="20"/>
          <w:szCs w:val="20"/>
        </w:rPr>
        <w:t>WPDRRC</w:t>
      </w:r>
      <w:r>
        <w:rPr>
          <w:rFonts w:ascii="Times New Roman" w:hAnsi="Times New Roman" w:eastAsia="Times New Roman" w:cs="Times New Roman"/>
          <w:spacing w:val="7"/>
          <w:sz w:val="20"/>
          <w:szCs w:val="20"/>
        </w:rPr>
        <w:t xml:space="preserve"> </w:t>
      </w:r>
      <w:r>
        <w:rPr>
          <w:spacing w:val="7"/>
          <w:sz w:val="20"/>
          <w:szCs w:val="20"/>
        </w:rPr>
        <w:t>能力模型，从人员、技术、政策(包括法律、法规、制度、管理)</w:t>
      </w:r>
      <w:r>
        <w:rPr>
          <w:spacing w:val="15"/>
          <w:sz w:val="20"/>
          <w:szCs w:val="20"/>
        </w:rPr>
        <w:t xml:space="preserve"> </w:t>
      </w:r>
      <w:r>
        <w:rPr>
          <w:spacing w:val="3"/>
          <w:sz w:val="20"/>
          <w:szCs w:val="20"/>
        </w:rPr>
        <w:t>三大要素来构成宏观的信息网络安全保障体系结构的框架。主要包括组织机构的建立、人员的</w:t>
      </w:r>
      <w:r>
        <w:rPr>
          <w:spacing w:val="1"/>
          <w:sz w:val="20"/>
          <w:szCs w:val="20"/>
        </w:rPr>
        <w:t xml:space="preserve"> </w:t>
      </w:r>
      <w:r>
        <w:rPr>
          <w:spacing w:val="3"/>
          <w:sz w:val="20"/>
          <w:szCs w:val="20"/>
        </w:rPr>
        <w:t>配备、管理制度的制定、安全流程的明确等，并切实做好物理安全管理、中心</w:t>
      </w:r>
      <w:r>
        <w:rPr>
          <w:spacing w:val="2"/>
          <w:sz w:val="20"/>
          <w:szCs w:val="20"/>
        </w:rPr>
        <w:t>机房管理、主机</w:t>
      </w:r>
      <w:r>
        <w:rPr>
          <w:sz w:val="20"/>
          <w:szCs w:val="20"/>
        </w:rPr>
        <w:t xml:space="preserve"> </w:t>
      </w:r>
      <w:r>
        <w:rPr>
          <w:spacing w:val="3"/>
          <w:sz w:val="20"/>
          <w:szCs w:val="20"/>
        </w:rPr>
        <w:t>安全管理、数据库安全管理、网络安全管理、网络终端</w:t>
      </w:r>
      <w:r>
        <w:rPr>
          <w:spacing w:val="2"/>
          <w:sz w:val="20"/>
          <w:szCs w:val="20"/>
        </w:rPr>
        <w:t>管理、软件安全管理、授权和访问控制</w:t>
      </w:r>
      <w:r>
        <w:rPr>
          <w:sz w:val="20"/>
          <w:szCs w:val="20"/>
        </w:rPr>
        <w:t xml:space="preserve"> </w:t>
      </w:r>
      <w:r>
        <w:rPr>
          <w:spacing w:val="-1"/>
          <w:sz w:val="20"/>
          <w:szCs w:val="20"/>
        </w:rPr>
        <w:t>管理、审计和追踪管理，确保日常和异常情况下的信息安全工作持续、有</w:t>
      </w:r>
      <w:r>
        <w:rPr>
          <w:spacing w:val="-2"/>
          <w:sz w:val="20"/>
          <w:szCs w:val="20"/>
        </w:rPr>
        <w:t>序地开展。</w:t>
      </w:r>
    </w:p>
    <w:p w14:paraId="460D43C1">
      <w:pPr>
        <w:spacing w:line="272" w:lineRule="auto"/>
        <w:rPr>
          <w:sz w:val="20"/>
          <w:szCs w:val="20"/>
        </w:rPr>
        <w:sectPr>
          <w:pgSz w:w="10300" w:h="13320"/>
          <w:pgMar w:top="400" w:right="602" w:bottom="400" w:left="1100" w:header="0" w:footer="0" w:gutter="0"/>
          <w:cols w:space="720" w:num="1"/>
        </w:sectPr>
      </w:pPr>
    </w:p>
    <w:p w14:paraId="7791A595">
      <w:pPr>
        <w:pStyle w:val="2"/>
        <w:spacing w:before="78" w:line="219" w:lineRule="auto"/>
        <w:rPr>
          <w:sz w:val="20"/>
          <w:szCs w:val="20"/>
        </w:rPr>
      </w:pPr>
      <w:r>
        <w:rPr>
          <w:rFonts w:ascii="Times New Roman" w:hAnsi="Times New Roman" w:eastAsia="Times New Roman" w:cs="Times New Roman"/>
          <w:sz w:val="20"/>
          <w:szCs w:val="20"/>
        </w:rPr>
        <w:t xml:space="preserve">86              </w:t>
      </w:r>
      <w:r>
        <w:rPr>
          <w:sz w:val="20"/>
          <w:szCs w:val="20"/>
        </w:rPr>
        <w:t>信息系统监理师教程(第2版)</w:t>
      </w:r>
    </w:p>
    <w:p w14:paraId="7B4F3DB3">
      <w:pPr>
        <w:spacing w:line="320" w:lineRule="auto"/>
        <w:rPr>
          <w:rFonts w:ascii="Arial"/>
          <w:sz w:val="21"/>
        </w:rPr>
      </w:pPr>
    </w:p>
    <w:p w14:paraId="0B8251E6">
      <w:pPr>
        <w:pStyle w:val="2"/>
        <w:spacing w:before="65" w:line="221" w:lineRule="auto"/>
        <w:ind w:left="712"/>
        <w:rPr>
          <w:rFonts w:ascii="黑体" w:hAnsi="黑体" w:eastAsia="黑体" w:cs="黑体"/>
          <w:sz w:val="20"/>
          <w:szCs w:val="20"/>
        </w:rPr>
      </w:pPr>
      <w:r>
        <w:rPr>
          <w:b/>
          <w:bCs/>
          <w:color w:val="2681EA"/>
          <w:spacing w:val="1"/>
          <w:sz w:val="20"/>
          <w:szCs w:val="20"/>
        </w:rPr>
        <w:t>2.</w:t>
      </w:r>
      <w:r>
        <w:rPr>
          <w:rFonts w:ascii="黑体" w:hAnsi="黑体" w:eastAsia="黑体" w:cs="黑体"/>
          <w:b/>
          <w:bCs/>
          <w:color w:val="2681EA"/>
          <w:spacing w:val="1"/>
          <w:sz w:val="20"/>
          <w:szCs w:val="20"/>
        </w:rPr>
        <w:t>安全服务</w:t>
      </w:r>
    </w:p>
    <w:p w14:paraId="1B6E6AA9">
      <w:pPr>
        <w:pStyle w:val="2"/>
        <w:spacing w:before="145" w:line="290" w:lineRule="auto"/>
        <w:ind w:left="319" w:right="107" w:firstLine="390"/>
        <w:rPr>
          <w:sz w:val="20"/>
          <w:szCs w:val="20"/>
        </w:rPr>
      </w:pPr>
      <w:r>
        <w:rPr>
          <w:spacing w:val="3"/>
          <w:sz w:val="20"/>
          <w:szCs w:val="20"/>
        </w:rPr>
        <w:t xml:space="preserve">安全服务包括对等实体认证服务、访问控制服务、数据保密服务、数据完整性服务、数据 </w:t>
      </w:r>
      <w:r>
        <w:rPr>
          <w:spacing w:val="-2"/>
          <w:sz w:val="20"/>
          <w:szCs w:val="20"/>
        </w:rPr>
        <w:t>源点认证服务、禁止否认服务和犯罪证据提供服务等。</w:t>
      </w:r>
    </w:p>
    <w:p w14:paraId="43657FD3">
      <w:pPr>
        <w:pStyle w:val="2"/>
        <w:spacing w:before="1" w:line="261" w:lineRule="auto"/>
        <w:ind w:left="319" w:right="111" w:firstLine="390"/>
        <w:rPr>
          <w:sz w:val="20"/>
          <w:szCs w:val="20"/>
        </w:rPr>
      </w:pPr>
      <w:r>
        <w:rPr>
          <w:spacing w:val="5"/>
          <w:sz w:val="20"/>
          <w:szCs w:val="20"/>
        </w:rPr>
        <w:t>(1)对等实体认证服务。用于两个开放系统同等层中的实体建立连接或数据传输时，对对</w:t>
      </w:r>
      <w:r>
        <w:rPr>
          <w:spacing w:val="17"/>
          <w:sz w:val="20"/>
          <w:szCs w:val="20"/>
        </w:rPr>
        <w:t xml:space="preserve"> </w:t>
      </w:r>
      <w:r>
        <w:rPr>
          <w:spacing w:val="-2"/>
          <w:sz w:val="20"/>
          <w:szCs w:val="20"/>
        </w:rPr>
        <w:t>方实体的合法性、真实性进行确认，以防假冒。</w:t>
      </w:r>
    </w:p>
    <w:p w14:paraId="073745BA">
      <w:pPr>
        <w:pStyle w:val="2"/>
        <w:spacing w:before="74" w:line="269" w:lineRule="auto"/>
        <w:ind w:left="319" w:firstLine="390"/>
        <w:rPr>
          <w:sz w:val="20"/>
          <w:szCs w:val="20"/>
        </w:rPr>
      </w:pPr>
      <w:r>
        <w:rPr>
          <w:spacing w:val="8"/>
          <w:sz w:val="20"/>
          <w:szCs w:val="20"/>
        </w:rPr>
        <w:t>(2)访问控制服务。访问控制服务提供一套方法，将系统中的所</w:t>
      </w:r>
      <w:r>
        <w:rPr>
          <w:spacing w:val="7"/>
          <w:sz w:val="20"/>
          <w:szCs w:val="20"/>
        </w:rPr>
        <w:t>有功能进行标识、组织、</w:t>
      </w:r>
      <w:r>
        <w:rPr>
          <w:sz w:val="20"/>
          <w:szCs w:val="20"/>
        </w:rPr>
        <w:t xml:space="preserve"> 托管，通过网络隐身、动态自适应认证、终端动态环境检测、全周期业务准入、智能权限基线、</w:t>
      </w:r>
      <w:r>
        <w:rPr>
          <w:spacing w:val="18"/>
          <w:sz w:val="20"/>
          <w:szCs w:val="20"/>
        </w:rPr>
        <w:t xml:space="preserve"> </w:t>
      </w:r>
      <w:r>
        <w:rPr>
          <w:spacing w:val="-1"/>
          <w:sz w:val="20"/>
          <w:szCs w:val="20"/>
        </w:rPr>
        <w:t>动态访问控制、多源信任评估等核心技术能力，满足多场景的各类组织的应用安全访问需求。</w:t>
      </w:r>
    </w:p>
    <w:p w14:paraId="68F6C67E">
      <w:pPr>
        <w:pStyle w:val="2"/>
        <w:spacing w:before="76" w:line="276" w:lineRule="auto"/>
        <w:ind w:left="319" w:right="19" w:firstLine="390"/>
        <w:rPr>
          <w:sz w:val="20"/>
          <w:szCs w:val="20"/>
        </w:rPr>
      </w:pPr>
      <w:r>
        <w:rPr>
          <w:spacing w:val="5"/>
          <w:sz w:val="20"/>
          <w:szCs w:val="20"/>
        </w:rPr>
        <w:t>(3)数据保密服务。包括多种保密服务，为了防止网络中各系统之间的数据被截获或被非</w:t>
      </w:r>
      <w:r>
        <w:rPr>
          <w:spacing w:val="8"/>
          <w:sz w:val="20"/>
          <w:szCs w:val="20"/>
        </w:rPr>
        <w:t xml:space="preserve">  </w:t>
      </w:r>
      <w:r>
        <w:rPr>
          <w:spacing w:val="5"/>
          <w:sz w:val="20"/>
          <w:szCs w:val="20"/>
        </w:rPr>
        <w:t>法存取而泄密，提供密码加密保护。数据保密服务可提供连接方式和无连接方式</w:t>
      </w:r>
      <w:r>
        <w:rPr>
          <w:spacing w:val="4"/>
          <w:sz w:val="20"/>
          <w:szCs w:val="20"/>
        </w:rPr>
        <w:t>的数据保密，</w:t>
      </w:r>
      <w:r>
        <w:rPr>
          <w:sz w:val="20"/>
          <w:szCs w:val="20"/>
        </w:rPr>
        <w:t xml:space="preserve"> </w:t>
      </w:r>
      <w:r>
        <w:rPr>
          <w:spacing w:val="-3"/>
          <w:sz w:val="20"/>
          <w:szCs w:val="20"/>
        </w:rPr>
        <w:t>同时也可以对用户可选字段的数据进行保护。</w:t>
      </w:r>
    </w:p>
    <w:p w14:paraId="42A60F1C">
      <w:pPr>
        <w:pStyle w:val="2"/>
        <w:spacing w:before="54" w:line="257" w:lineRule="auto"/>
        <w:ind w:left="319" w:right="112" w:firstLine="390"/>
        <w:rPr>
          <w:sz w:val="20"/>
          <w:szCs w:val="20"/>
        </w:rPr>
      </w:pPr>
      <w:r>
        <w:rPr>
          <w:spacing w:val="5"/>
          <w:sz w:val="20"/>
          <w:szCs w:val="20"/>
        </w:rPr>
        <w:t>(4)数据完整性服务。用于防止非法实体对交换数据的修改、插入、删除及在数据交换过</w:t>
      </w:r>
      <w:r>
        <w:rPr>
          <w:spacing w:val="16"/>
          <w:sz w:val="20"/>
          <w:szCs w:val="20"/>
        </w:rPr>
        <w:t xml:space="preserve"> </w:t>
      </w:r>
      <w:r>
        <w:rPr>
          <w:spacing w:val="-2"/>
          <w:sz w:val="20"/>
          <w:szCs w:val="20"/>
        </w:rPr>
        <w:t>程中的数据丢失。</w:t>
      </w:r>
    </w:p>
    <w:p w14:paraId="7A831C97">
      <w:pPr>
        <w:pStyle w:val="2"/>
        <w:spacing w:before="81" w:line="219" w:lineRule="auto"/>
        <w:ind w:left="709"/>
        <w:rPr>
          <w:sz w:val="20"/>
          <w:szCs w:val="20"/>
        </w:rPr>
      </w:pPr>
      <w:r>
        <w:rPr>
          <w:spacing w:val="1"/>
          <w:sz w:val="20"/>
          <w:szCs w:val="20"/>
        </w:rPr>
        <w:t>(5)数据源点认证服务。用于确保数据来自真正源点，防止假冒。</w:t>
      </w:r>
    </w:p>
    <w:p w14:paraId="13E75F19">
      <w:pPr>
        <w:pStyle w:val="2"/>
        <w:spacing w:before="64" w:line="262" w:lineRule="auto"/>
        <w:ind w:left="319" w:right="39" w:firstLine="390"/>
        <w:rPr>
          <w:sz w:val="20"/>
          <w:szCs w:val="20"/>
        </w:rPr>
      </w:pPr>
      <w:r>
        <w:rPr>
          <w:sz w:val="20"/>
          <w:szCs w:val="20"/>
        </w:rPr>
        <w:t>(6)禁止否认服务。用于防止发送方在发送数据后否认自己发送过此数据，接收方在收到数</w:t>
      </w:r>
      <w:r>
        <w:rPr>
          <w:spacing w:val="17"/>
          <w:sz w:val="20"/>
          <w:szCs w:val="20"/>
        </w:rPr>
        <w:t xml:space="preserve"> </w:t>
      </w:r>
      <w:r>
        <w:rPr>
          <w:spacing w:val="-5"/>
          <w:sz w:val="20"/>
          <w:szCs w:val="20"/>
        </w:rPr>
        <w:t>据后否认自己收到过此数据或伪造接收数据，由两种服务组成，即不得否认发送和不</w:t>
      </w:r>
      <w:r>
        <w:rPr>
          <w:spacing w:val="-6"/>
          <w:sz w:val="20"/>
          <w:szCs w:val="20"/>
        </w:rPr>
        <w:t>得否认接收。</w:t>
      </w:r>
    </w:p>
    <w:p w14:paraId="51CF1DED">
      <w:pPr>
        <w:pStyle w:val="2"/>
        <w:spacing w:before="61" w:line="267" w:lineRule="auto"/>
        <w:ind w:left="319" w:right="39" w:firstLine="390"/>
        <w:rPr>
          <w:sz w:val="20"/>
          <w:szCs w:val="20"/>
        </w:rPr>
      </w:pPr>
      <w:r>
        <w:rPr>
          <w:spacing w:val="7"/>
          <w:sz w:val="20"/>
          <w:szCs w:val="20"/>
        </w:rPr>
        <w:t>(7)犯罪证据提供服务。指为打击违反国内外法律法规的行为或活动提供各类数字证据、</w:t>
      </w:r>
      <w:r>
        <w:rPr>
          <w:spacing w:val="8"/>
          <w:sz w:val="20"/>
          <w:szCs w:val="20"/>
        </w:rPr>
        <w:t xml:space="preserve"> </w:t>
      </w:r>
      <w:r>
        <w:rPr>
          <w:spacing w:val="-6"/>
          <w:sz w:val="20"/>
          <w:szCs w:val="20"/>
        </w:rPr>
        <w:t>信息线索等。</w:t>
      </w:r>
    </w:p>
    <w:p w14:paraId="1CFC95C5">
      <w:pPr>
        <w:pStyle w:val="2"/>
        <w:spacing w:before="160" w:line="222" w:lineRule="auto"/>
        <w:ind w:left="712"/>
        <w:rPr>
          <w:rFonts w:ascii="黑体" w:hAnsi="黑体" w:eastAsia="黑体" w:cs="黑体"/>
          <w:sz w:val="20"/>
          <w:szCs w:val="20"/>
        </w:rPr>
      </w:pPr>
      <w:r>
        <w:rPr>
          <w:b/>
          <w:bCs/>
          <w:color w:val="005ECB"/>
          <w:spacing w:val="1"/>
          <w:sz w:val="20"/>
          <w:szCs w:val="20"/>
        </w:rPr>
        <w:t>3.</w:t>
      </w:r>
      <w:r>
        <w:rPr>
          <w:rFonts w:ascii="黑体" w:hAnsi="黑体" w:eastAsia="黑体" w:cs="黑体"/>
          <w:b/>
          <w:bCs/>
          <w:color w:val="005ECB"/>
          <w:spacing w:val="1"/>
          <w:sz w:val="20"/>
          <w:szCs w:val="20"/>
        </w:rPr>
        <w:t>安全技术</w:t>
      </w:r>
    </w:p>
    <w:p w14:paraId="7727A2A4">
      <w:pPr>
        <w:pStyle w:val="2"/>
        <w:spacing w:before="132" w:line="219" w:lineRule="auto"/>
        <w:ind w:left="709"/>
        <w:rPr>
          <w:sz w:val="20"/>
          <w:szCs w:val="20"/>
        </w:rPr>
      </w:pPr>
      <w:r>
        <w:rPr>
          <w:spacing w:val="-1"/>
          <w:sz w:val="20"/>
          <w:szCs w:val="20"/>
        </w:rPr>
        <w:t>安全技术主要涉及加密、数字签名技术、访问控制、数据完整性、认证、数据挖掘等内容。</w:t>
      </w:r>
    </w:p>
    <w:p w14:paraId="0F9906BD">
      <w:pPr>
        <w:pStyle w:val="2"/>
        <w:spacing w:before="242" w:line="220" w:lineRule="auto"/>
        <w:ind w:left="322"/>
        <w:rPr>
          <w:sz w:val="25"/>
          <w:szCs w:val="25"/>
        </w:rPr>
      </w:pPr>
      <w:r>
        <w:rPr>
          <w:b/>
          <w:bCs/>
          <w:color w:val="0067DE"/>
          <w:spacing w:val="-17"/>
          <w:sz w:val="25"/>
          <w:szCs w:val="25"/>
        </w:rPr>
        <w:t>2.6.3</w:t>
      </w:r>
      <w:r>
        <w:rPr>
          <w:color w:val="0067DE"/>
          <w:spacing w:val="93"/>
          <w:sz w:val="25"/>
          <w:szCs w:val="25"/>
        </w:rPr>
        <w:t xml:space="preserve"> </w:t>
      </w:r>
      <w:r>
        <w:rPr>
          <w:b/>
          <w:bCs/>
          <w:color w:val="0067DE"/>
          <w:spacing w:val="-17"/>
          <w:sz w:val="25"/>
          <w:szCs w:val="25"/>
        </w:rPr>
        <w:t>工程体系架构</w:t>
      </w:r>
    </w:p>
    <w:p w14:paraId="1960D885">
      <w:pPr>
        <w:pStyle w:val="2"/>
        <w:spacing w:before="176" w:line="279" w:lineRule="auto"/>
        <w:ind w:left="319" w:right="39" w:firstLine="390"/>
        <w:rPr>
          <w:sz w:val="20"/>
          <w:szCs w:val="20"/>
        </w:rPr>
      </w:pPr>
      <w:r>
        <w:rPr>
          <w:sz w:val="20"/>
          <w:szCs w:val="20"/>
        </w:rPr>
        <w:t>信息安全系统工程(Information Security System Engineering,ISS</w:t>
      </w:r>
      <w:r>
        <w:rPr>
          <w:spacing w:val="-1"/>
          <w:sz w:val="20"/>
          <w:szCs w:val="20"/>
        </w:rPr>
        <w:t>E)是一门系统工程学，</w:t>
      </w:r>
      <w:r>
        <w:rPr>
          <w:sz w:val="20"/>
          <w:szCs w:val="20"/>
        </w:rPr>
        <w:t xml:space="preserve"> 它的主要内容是确定系统和过程的安全风险，</w:t>
      </w:r>
      <w:r>
        <w:rPr>
          <w:spacing w:val="-1"/>
          <w:sz w:val="20"/>
          <w:szCs w:val="20"/>
        </w:rPr>
        <w:t>并且使安全风险降到最低或使其得到有效控制。</w:t>
      </w:r>
    </w:p>
    <w:p w14:paraId="2AE784E0">
      <w:pPr>
        <w:pStyle w:val="2"/>
        <w:spacing w:before="106" w:line="225" w:lineRule="auto"/>
        <w:ind w:left="709"/>
        <w:rPr>
          <w:sz w:val="20"/>
          <w:szCs w:val="20"/>
        </w:rPr>
      </w:pPr>
      <w:r>
        <w:rPr>
          <w:rFonts w:ascii="Times New Roman" w:hAnsi="Times New Roman" w:eastAsia="Times New Roman" w:cs="Times New Roman"/>
          <w:b/>
          <w:bCs/>
          <w:color w:val="0061D0"/>
          <w:spacing w:val="-2"/>
          <w:sz w:val="20"/>
          <w:szCs w:val="20"/>
        </w:rPr>
        <w:t xml:space="preserve">1.ISSE-CMM  </w:t>
      </w:r>
      <w:r>
        <w:rPr>
          <w:b/>
          <w:bCs/>
          <w:color w:val="0061D0"/>
          <w:spacing w:val="-2"/>
          <w:sz w:val="20"/>
          <w:szCs w:val="20"/>
        </w:rPr>
        <w:t>基础</w:t>
      </w:r>
    </w:p>
    <w:p w14:paraId="34A40A0C">
      <w:pPr>
        <w:pStyle w:val="2"/>
        <w:spacing w:before="128" w:line="276" w:lineRule="auto"/>
        <w:ind w:left="319" w:right="91" w:firstLine="390"/>
        <w:jc w:val="both"/>
        <w:rPr>
          <w:sz w:val="20"/>
          <w:szCs w:val="20"/>
        </w:rPr>
      </w:pPr>
      <w:r>
        <w:rPr>
          <w:spacing w:val="6"/>
          <w:sz w:val="20"/>
          <w:szCs w:val="20"/>
        </w:rPr>
        <w:t>信息安全系统工程能力成熟度模型</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ISSE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Capability</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Maturity</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Model</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ISSE</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CMM</w:t>
      </w:r>
      <w:r>
        <w:rPr>
          <w:rFonts w:ascii="Times New Roman" w:hAnsi="Times New Roman" w:eastAsia="Times New Roman" w:cs="Times New Roman"/>
          <w:spacing w:val="6"/>
          <w:sz w:val="20"/>
          <w:szCs w:val="20"/>
        </w:rPr>
        <w:t xml:space="preserve">) </w:t>
      </w:r>
      <w:r>
        <w:rPr>
          <w:spacing w:val="6"/>
          <w:sz w:val="20"/>
          <w:szCs w:val="20"/>
        </w:rPr>
        <w:t>是一种</w:t>
      </w:r>
      <w:r>
        <w:rPr>
          <w:spacing w:val="15"/>
          <w:sz w:val="20"/>
          <w:szCs w:val="20"/>
        </w:rPr>
        <w:t xml:space="preserve"> </w:t>
      </w:r>
      <w:r>
        <w:rPr>
          <w:spacing w:val="2"/>
          <w:sz w:val="20"/>
          <w:szCs w:val="20"/>
        </w:rPr>
        <w:t>衡量信息安全系统工程实施能力的方法，是使用面向工程过程的一种方法。</w:t>
      </w:r>
      <w:r>
        <w:rPr>
          <w:rFonts w:ascii="Times New Roman" w:hAnsi="Times New Roman" w:eastAsia="Times New Roman" w:cs="Times New Roman"/>
          <w:sz w:val="20"/>
          <w:szCs w:val="20"/>
        </w:rPr>
        <w:t>ISSE</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CMM</w:t>
      </w:r>
      <w:r>
        <w:rPr>
          <w:rFonts w:ascii="Times New Roman" w:hAnsi="Times New Roman" w:eastAsia="Times New Roman" w:cs="Times New Roman"/>
          <w:spacing w:val="18"/>
          <w:w w:val="101"/>
          <w:sz w:val="20"/>
          <w:szCs w:val="20"/>
        </w:rPr>
        <w:t xml:space="preserve"> </w:t>
      </w:r>
      <w:r>
        <w:rPr>
          <w:spacing w:val="1"/>
          <w:sz w:val="20"/>
          <w:szCs w:val="20"/>
        </w:rPr>
        <w:t>是建立</w:t>
      </w:r>
      <w:r>
        <w:rPr>
          <w:sz w:val="20"/>
          <w:szCs w:val="20"/>
        </w:rPr>
        <w:t xml:space="preserve"> </w:t>
      </w:r>
      <w:r>
        <w:rPr>
          <w:spacing w:val="3"/>
          <w:sz w:val="20"/>
          <w:szCs w:val="20"/>
        </w:rPr>
        <w:t>在统计过程控制理论基础上的。</w:t>
      </w:r>
      <w:r>
        <w:rPr>
          <w:rFonts w:ascii="Times New Roman" w:hAnsi="Times New Roman" w:eastAsia="Times New Roman" w:cs="Times New Roman"/>
          <w:sz w:val="20"/>
          <w:szCs w:val="20"/>
        </w:rPr>
        <w:t>ISSE</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CMM</w:t>
      </w:r>
      <w:r>
        <w:rPr>
          <w:rFonts w:ascii="Times New Roman" w:hAnsi="Times New Roman" w:eastAsia="Times New Roman" w:cs="Times New Roman"/>
          <w:spacing w:val="3"/>
          <w:sz w:val="20"/>
          <w:szCs w:val="20"/>
        </w:rPr>
        <w:t xml:space="preserve"> </w:t>
      </w:r>
      <w:r>
        <w:rPr>
          <w:spacing w:val="3"/>
          <w:sz w:val="20"/>
          <w:szCs w:val="20"/>
        </w:rPr>
        <w:t>模型抽取了这样一组“好的”工程实践并</w:t>
      </w:r>
      <w:r>
        <w:rPr>
          <w:spacing w:val="2"/>
          <w:sz w:val="20"/>
          <w:szCs w:val="20"/>
        </w:rPr>
        <w:t>定义了过</w:t>
      </w:r>
      <w:r>
        <w:rPr>
          <w:sz w:val="20"/>
          <w:szCs w:val="20"/>
        </w:rPr>
        <w:t xml:space="preserve"> 程的“能力”,主要用于指导信息安全系统工程的完善和改进，使信息安全</w:t>
      </w:r>
      <w:r>
        <w:rPr>
          <w:spacing w:val="-1"/>
          <w:sz w:val="20"/>
          <w:szCs w:val="20"/>
        </w:rPr>
        <w:t>系统工程成为一个清</w:t>
      </w:r>
      <w:r>
        <w:rPr>
          <w:sz w:val="20"/>
          <w:szCs w:val="20"/>
        </w:rPr>
        <w:t xml:space="preserve"> </w:t>
      </w:r>
      <w:r>
        <w:rPr>
          <w:spacing w:val="-2"/>
          <w:sz w:val="20"/>
          <w:szCs w:val="20"/>
        </w:rPr>
        <w:t>晰定义的、成熟的、可管理的、可控制的、有效的和可度量的学科。</w:t>
      </w:r>
    </w:p>
    <w:p w14:paraId="73B1BB74">
      <w:pPr>
        <w:pStyle w:val="2"/>
        <w:spacing w:before="70" w:line="219" w:lineRule="auto"/>
        <w:ind w:left="709"/>
        <w:rPr>
          <w:sz w:val="20"/>
          <w:szCs w:val="20"/>
        </w:rPr>
      </w:pPr>
      <w:r>
        <w:rPr>
          <w:rFonts w:ascii="Times New Roman" w:hAnsi="Times New Roman" w:eastAsia="Times New Roman" w:cs="Times New Roman"/>
          <w:spacing w:val="-2"/>
          <w:sz w:val="20"/>
          <w:szCs w:val="20"/>
        </w:rPr>
        <w:t xml:space="preserve">ISSE-CMM </w:t>
      </w:r>
      <w:r>
        <w:rPr>
          <w:spacing w:val="-2"/>
          <w:sz w:val="20"/>
          <w:szCs w:val="20"/>
        </w:rPr>
        <w:t>模型是信息安全系统工程实施的度量标准，它覆盖了：</w:t>
      </w:r>
    </w:p>
    <w:p w14:paraId="1A5C1DE8">
      <w:pPr>
        <w:pStyle w:val="2"/>
        <w:spacing w:before="63" w:line="219" w:lineRule="auto"/>
        <w:ind w:left="709"/>
        <w:rPr>
          <w:sz w:val="20"/>
          <w:szCs w:val="20"/>
        </w:rPr>
      </w:pPr>
      <w:r>
        <w:rPr>
          <w:sz w:val="20"/>
          <w:szCs w:val="20"/>
        </w:rPr>
        <w:t>●整个工程生命期，包括工程开发、运行、维护和终止；</w:t>
      </w:r>
    </w:p>
    <w:p w14:paraId="5083245D">
      <w:pPr>
        <w:pStyle w:val="2"/>
        <w:spacing w:before="82" w:line="219" w:lineRule="auto"/>
        <w:ind w:left="709"/>
        <w:rPr>
          <w:sz w:val="20"/>
          <w:szCs w:val="20"/>
        </w:rPr>
      </w:pPr>
      <w:r>
        <w:rPr>
          <w:spacing w:val="1"/>
          <w:sz w:val="20"/>
          <w:szCs w:val="20"/>
        </w:rPr>
        <w:t>●管理、组织工程活动的组织；</w:t>
      </w:r>
    </w:p>
    <w:p w14:paraId="027E5251">
      <w:pPr>
        <w:pStyle w:val="2"/>
        <w:spacing w:before="93" w:line="248" w:lineRule="auto"/>
        <w:ind w:left="1019" w:right="110" w:hanging="310"/>
        <w:rPr>
          <w:sz w:val="20"/>
          <w:szCs w:val="20"/>
        </w:rPr>
      </w:pPr>
      <w:r>
        <w:rPr>
          <w:spacing w:val="6"/>
          <w:sz w:val="20"/>
          <w:szCs w:val="20"/>
        </w:rPr>
        <w:t>●与其他规范(例如系统、软件、硬件、人的因素、</w:t>
      </w:r>
      <w:r>
        <w:rPr>
          <w:spacing w:val="5"/>
          <w:sz w:val="20"/>
          <w:szCs w:val="20"/>
        </w:rPr>
        <w:t>测试工程、系统管理、运行和维护等</w:t>
      </w:r>
      <w:r>
        <w:rPr>
          <w:sz w:val="20"/>
          <w:szCs w:val="20"/>
        </w:rPr>
        <w:t xml:space="preserve"> </w:t>
      </w:r>
      <w:r>
        <w:rPr>
          <w:spacing w:val="4"/>
          <w:sz w:val="20"/>
          <w:szCs w:val="20"/>
        </w:rPr>
        <w:t>规范)并行的相互作用；</w:t>
      </w:r>
    </w:p>
    <w:p w14:paraId="40446758">
      <w:pPr>
        <w:pStyle w:val="2"/>
        <w:spacing w:before="91" w:line="221" w:lineRule="auto"/>
        <w:ind w:left="709"/>
        <w:rPr>
          <w:sz w:val="20"/>
          <w:szCs w:val="20"/>
        </w:rPr>
      </w:pPr>
      <w:r>
        <w:rPr>
          <w:rFonts w:ascii="黑体" w:hAnsi="黑体" w:eastAsia="黑体" w:cs="黑体"/>
          <w:spacing w:val="4"/>
          <w:sz w:val="20"/>
          <w:szCs w:val="20"/>
        </w:rPr>
        <w:t>●</w:t>
      </w:r>
      <w:r>
        <w:rPr>
          <w:rFonts w:ascii="黑体" w:hAnsi="黑体" w:eastAsia="黑体" w:cs="黑体"/>
          <w:spacing w:val="34"/>
          <w:sz w:val="20"/>
          <w:szCs w:val="20"/>
        </w:rPr>
        <w:t xml:space="preserve"> </w:t>
      </w:r>
      <w:r>
        <w:rPr>
          <w:spacing w:val="4"/>
          <w:sz w:val="20"/>
          <w:szCs w:val="20"/>
        </w:rPr>
        <w:t>与其他组织(包括获取、系统管理、认证、认可和</w:t>
      </w:r>
      <w:r>
        <w:rPr>
          <w:spacing w:val="3"/>
          <w:sz w:val="20"/>
          <w:szCs w:val="20"/>
        </w:rPr>
        <w:t>评估组织)的相互作用。</w:t>
      </w:r>
    </w:p>
    <w:p w14:paraId="1F0E5ABD">
      <w:pPr>
        <w:spacing w:line="221" w:lineRule="auto"/>
        <w:rPr>
          <w:sz w:val="20"/>
          <w:szCs w:val="20"/>
        </w:rPr>
        <w:sectPr>
          <w:pgSz w:w="10310" w:h="13410"/>
          <w:pgMar w:top="400" w:right="1030" w:bottom="400" w:left="540" w:header="0" w:footer="0" w:gutter="0"/>
          <w:cols w:space="720" w:num="1"/>
        </w:sectPr>
      </w:pPr>
    </w:p>
    <w:p w14:paraId="1D17C714">
      <w:pPr>
        <w:pStyle w:val="2"/>
        <w:spacing w:before="106" w:line="219" w:lineRule="auto"/>
        <w:jc w:val="right"/>
        <w:rPr>
          <w:rFonts w:ascii="Times New Roman" w:hAnsi="Times New Roman" w:eastAsia="Times New Roman" w:cs="Times New Roman"/>
          <w:sz w:val="18"/>
          <w:szCs w:val="18"/>
        </w:rPr>
      </w:pPr>
      <w:r>
        <w:rPr>
          <w:spacing w:val="9"/>
          <w:sz w:val="18"/>
          <w:szCs w:val="18"/>
        </w:rPr>
        <w:t>第2章</w:t>
      </w:r>
      <w:r>
        <w:rPr>
          <w:spacing w:val="66"/>
          <w:sz w:val="18"/>
          <w:szCs w:val="18"/>
        </w:rPr>
        <w:t xml:space="preserve"> </w:t>
      </w:r>
      <w:r>
        <w:rPr>
          <w:spacing w:val="9"/>
          <w:sz w:val="18"/>
          <w:szCs w:val="18"/>
        </w:rPr>
        <w:t xml:space="preserve">信息系统工程       </w:t>
      </w:r>
      <w:r>
        <w:rPr>
          <w:rFonts w:ascii="Times New Roman" w:hAnsi="Times New Roman" w:eastAsia="Times New Roman" w:cs="Times New Roman"/>
          <w:spacing w:val="9"/>
          <w:sz w:val="18"/>
          <w:szCs w:val="18"/>
        </w:rPr>
        <w:t>87</w:t>
      </w:r>
    </w:p>
    <w:p w14:paraId="43671027">
      <w:pPr>
        <w:spacing w:line="333" w:lineRule="auto"/>
        <w:rPr>
          <w:rFonts w:ascii="Arial"/>
          <w:sz w:val="21"/>
        </w:rPr>
      </w:pPr>
    </w:p>
    <w:p w14:paraId="6FBA644A">
      <w:pPr>
        <w:spacing w:before="58" w:line="222" w:lineRule="auto"/>
        <w:ind w:left="410"/>
        <w:rPr>
          <w:rFonts w:ascii="黑体" w:hAnsi="黑体" w:eastAsia="黑体" w:cs="黑体"/>
          <w:sz w:val="18"/>
          <w:szCs w:val="18"/>
        </w:rPr>
      </w:pPr>
      <w:bookmarkStart w:id="525" w:name="bookmark512"/>
      <w:bookmarkEnd w:id="525"/>
      <w:r>
        <w:rPr>
          <w:rFonts w:ascii="Times New Roman" w:hAnsi="Times New Roman" w:eastAsia="Times New Roman" w:cs="Times New Roman"/>
          <w:b/>
          <w:bCs/>
          <w:color w:val="218AE6"/>
          <w:spacing w:val="-2"/>
          <w:sz w:val="18"/>
          <w:szCs w:val="18"/>
        </w:rPr>
        <w:t>2.ISSE-CMM</w:t>
      </w:r>
      <w:r>
        <w:rPr>
          <w:rFonts w:ascii="Times New Roman" w:hAnsi="Times New Roman" w:eastAsia="Times New Roman" w:cs="Times New Roman"/>
          <w:b/>
          <w:bCs/>
          <w:color w:val="218AE6"/>
          <w:spacing w:val="7"/>
          <w:sz w:val="18"/>
          <w:szCs w:val="18"/>
        </w:rPr>
        <w:t xml:space="preserve">    </w:t>
      </w:r>
      <w:r>
        <w:rPr>
          <w:rFonts w:ascii="黑体" w:hAnsi="黑体" w:eastAsia="黑体" w:cs="黑体"/>
          <w:b/>
          <w:bCs/>
          <w:color w:val="218AE6"/>
          <w:spacing w:val="-2"/>
          <w:sz w:val="18"/>
          <w:szCs w:val="18"/>
        </w:rPr>
        <w:t>过</w:t>
      </w:r>
      <w:r>
        <w:rPr>
          <w:rFonts w:ascii="黑体" w:hAnsi="黑体" w:eastAsia="黑体" w:cs="黑体"/>
          <w:color w:val="218AE6"/>
          <w:spacing w:val="-14"/>
          <w:sz w:val="18"/>
          <w:szCs w:val="18"/>
        </w:rPr>
        <w:t xml:space="preserve"> </w:t>
      </w:r>
      <w:r>
        <w:rPr>
          <w:rFonts w:ascii="黑体" w:hAnsi="黑体" w:eastAsia="黑体" w:cs="黑体"/>
          <w:b/>
          <w:bCs/>
          <w:color w:val="218AE6"/>
          <w:spacing w:val="-2"/>
          <w:sz w:val="18"/>
          <w:szCs w:val="18"/>
        </w:rPr>
        <w:t>程</w:t>
      </w:r>
    </w:p>
    <w:p w14:paraId="43081955">
      <w:pPr>
        <w:pStyle w:val="2"/>
        <w:spacing w:before="136" w:line="313" w:lineRule="auto"/>
        <w:ind w:right="178" w:firstLine="410"/>
        <w:rPr>
          <w:sz w:val="18"/>
          <w:szCs w:val="18"/>
        </w:rPr>
      </w:pPr>
      <w:r>
        <w:rPr>
          <w:rFonts w:ascii="Times New Roman" w:hAnsi="Times New Roman" w:eastAsia="Times New Roman" w:cs="Times New Roman"/>
          <w:sz w:val="18"/>
          <w:szCs w:val="18"/>
        </w:rPr>
        <w:t>ISSE</w:t>
      </w:r>
      <w:r>
        <w:rPr>
          <w:rFonts w:ascii="Times New Roman" w:hAnsi="Times New Roman" w:eastAsia="Times New Roman" w:cs="Times New Roman"/>
          <w:spacing w:val="58"/>
          <w:sz w:val="18"/>
          <w:szCs w:val="18"/>
        </w:rPr>
        <w:t xml:space="preserve"> </w:t>
      </w:r>
      <w:r>
        <w:rPr>
          <w:spacing w:val="26"/>
          <w:sz w:val="18"/>
          <w:szCs w:val="18"/>
        </w:rPr>
        <w:t>过程的目标是提供</w:t>
      </w:r>
      <w:r>
        <w:rPr>
          <w:spacing w:val="-52"/>
          <w:sz w:val="18"/>
          <w:szCs w:val="18"/>
        </w:rPr>
        <w:t xml:space="preserve"> </w:t>
      </w:r>
      <w:r>
        <w:rPr>
          <w:spacing w:val="26"/>
          <w:sz w:val="18"/>
          <w:szCs w:val="18"/>
        </w:rPr>
        <w:t>一个框架，每个工程项目都可以对这个框架进行裁剪以符合自己</w:t>
      </w:r>
      <w:r>
        <w:rPr>
          <w:sz w:val="18"/>
          <w:szCs w:val="18"/>
        </w:rPr>
        <w:t xml:space="preserve">  </w:t>
      </w:r>
      <w:r>
        <w:rPr>
          <w:spacing w:val="20"/>
          <w:sz w:val="18"/>
          <w:szCs w:val="18"/>
        </w:rPr>
        <w:t>特定的需求。</w:t>
      </w:r>
      <w:r>
        <w:rPr>
          <w:spacing w:val="-8"/>
          <w:sz w:val="18"/>
          <w:szCs w:val="18"/>
        </w:rPr>
        <w:t xml:space="preserve"> </w:t>
      </w:r>
      <w:r>
        <w:rPr>
          <w:rFonts w:ascii="Times New Roman" w:hAnsi="Times New Roman" w:eastAsia="Times New Roman" w:cs="Times New Roman"/>
          <w:sz w:val="18"/>
          <w:szCs w:val="18"/>
        </w:rPr>
        <w:t>ISSE</w:t>
      </w:r>
      <w:r>
        <w:rPr>
          <w:rFonts w:ascii="Times New Roman" w:hAnsi="Times New Roman" w:eastAsia="Times New Roman" w:cs="Times New Roman"/>
          <w:spacing w:val="20"/>
          <w:sz w:val="18"/>
          <w:szCs w:val="18"/>
        </w:rPr>
        <w:t xml:space="preserve">  </w:t>
      </w:r>
      <w:r>
        <w:rPr>
          <w:spacing w:val="20"/>
          <w:sz w:val="18"/>
          <w:szCs w:val="18"/>
        </w:rPr>
        <w:t>表现为直接与系统工程功能和事件相对应的一</w:t>
      </w:r>
      <w:r>
        <w:rPr>
          <w:spacing w:val="-53"/>
          <w:sz w:val="18"/>
          <w:szCs w:val="18"/>
        </w:rPr>
        <w:t xml:space="preserve"> </w:t>
      </w:r>
      <w:r>
        <w:rPr>
          <w:spacing w:val="20"/>
          <w:sz w:val="18"/>
          <w:szCs w:val="18"/>
        </w:rPr>
        <w:t>系列信息安全系统工程行为。</w:t>
      </w:r>
      <w:r>
        <w:rPr>
          <w:sz w:val="18"/>
          <w:szCs w:val="18"/>
        </w:rPr>
        <w:t xml:space="preserve"> </w:t>
      </w:r>
      <w:r>
        <w:rPr>
          <w:rFonts w:ascii="Times New Roman" w:hAnsi="Times New Roman" w:eastAsia="Times New Roman" w:cs="Times New Roman"/>
          <w:sz w:val="18"/>
          <w:szCs w:val="18"/>
        </w:rPr>
        <w:t>ISSE</w:t>
      </w:r>
      <w:r>
        <w:rPr>
          <w:rFonts w:ascii="Times New Roman" w:hAnsi="Times New Roman" w:eastAsia="Times New Roman" w:cs="Times New Roman"/>
          <w:spacing w:val="55"/>
          <w:sz w:val="18"/>
          <w:szCs w:val="18"/>
        </w:rPr>
        <w:t xml:space="preserve"> </w:t>
      </w:r>
      <w:r>
        <w:rPr>
          <w:spacing w:val="19"/>
          <w:sz w:val="18"/>
          <w:szCs w:val="18"/>
        </w:rPr>
        <w:t>将信息安全系统工程实施过程分解为工程过程</w:t>
      </w:r>
      <w:r>
        <w:rPr>
          <w:rFonts w:ascii="Times New Roman" w:hAnsi="Times New Roman" w:eastAsia="Times New Roman" w:cs="Times New Roman"/>
          <w:spacing w:val="19"/>
          <w:sz w:val="18"/>
          <w:szCs w:val="18"/>
        </w:rPr>
        <w:t>(</w:t>
      </w:r>
      <w:r>
        <w:rPr>
          <w:rFonts w:ascii="Times New Roman" w:hAnsi="Times New Roman" w:eastAsia="Times New Roman" w:cs="Times New Roman"/>
          <w:sz w:val="18"/>
          <w:szCs w:val="18"/>
        </w:rPr>
        <w:t>Engineering</w:t>
      </w:r>
      <w:r>
        <w:rPr>
          <w:rFonts w:ascii="Times New Roman" w:hAnsi="Times New Roman" w:eastAsia="Times New Roman" w:cs="Times New Roman"/>
          <w:spacing w:val="19"/>
          <w:sz w:val="18"/>
          <w:szCs w:val="18"/>
        </w:rPr>
        <w:t xml:space="preserve">        </w:t>
      </w:r>
      <w:r>
        <w:rPr>
          <w:rFonts w:ascii="Times New Roman" w:hAnsi="Times New Roman" w:eastAsia="Times New Roman" w:cs="Times New Roman"/>
          <w:sz w:val="18"/>
          <w:szCs w:val="18"/>
        </w:rPr>
        <w:t>Process</w:t>
      </w:r>
      <w:r>
        <w:rPr>
          <w:rFonts w:ascii="Times New Roman" w:hAnsi="Times New Roman" w:eastAsia="Times New Roman" w:cs="Times New Roman"/>
          <w:spacing w:val="19"/>
          <w:sz w:val="18"/>
          <w:szCs w:val="18"/>
        </w:rPr>
        <w:t>)</w:t>
      </w:r>
      <w:r>
        <w:rPr>
          <w:spacing w:val="19"/>
          <w:sz w:val="18"/>
          <w:szCs w:val="18"/>
        </w:rPr>
        <w:t>、风</w:t>
      </w:r>
      <w:r>
        <w:rPr>
          <w:spacing w:val="-15"/>
          <w:sz w:val="18"/>
          <w:szCs w:val="18"/>
        </w:rPr>
        <w:t xml:space="preserve"> </w:t>
      </w:r>
      <w:r>
        <w:rPr>
          <w:spacing w:val="19"/>
          <w:sz w:val="18"/>
          <w:szCs w:val="18"/>
        </w:rPr>
        <w:t>险</w:t>
      </w:r>
      <w:r>
        <w:rPr>
          <w:spacing w:val="-25"/>
          <w:sz w:val="18"/>
          <w:szCs w:val="18"/>
        </w:rPr>
        <w:t xml:space="preserve"> </w:t>
      </w:r>
      <w:r>
        <w:rPr>
          <w:spacing w:val="19"/>
          <w:sz w:val="18"/>
          <w:szCs w:val="18"/>
        </w:rPr>
        <w:t>过</w:t>
      </w:r>
      <w:r>
        <w:rPr>
          <w:spacing w:val="-25"/>
          <w:sz w:val="18"/>
          <w:szCs w:val="18"/>
        </w:rPr>
        <w:t xml:space="preserve"> </w:t>
      </w:r>
      <w:r>
        <w:rPr>
          <w:spacing w:val="19"/>
          <w:sz w:val="18"/>
          <w:szCs w:val="18"/>
        </w:rPr>
        <w:t>程</w:t>
      </w:r>
      <w:r>
        <w:rPr>
          <w:spacing w:val="-47"/>
          <w:sz w:val="18"/>
          <w:szCs w:val="18"/>
        </w:rPr>
        <w:t xml:space="preserve"> </w:t>
      </w:r>
      <w:r>
        <w:rPr>
          <w:rFonts w:ascii="Times New Roman" w:hAnsi="Times New Roman" w:eastAsia="Times New Roman" w:cs="Times New Roman"/>
          <w:spacing w:val="19"/>
          <w:sz w:val="18"/>
          <w:szCs w:val="18"/>
        </w:rPr>
        <w:t>(</w:t>
      </w:r>
      <w:r>
        <w:rPr>
          <w:rFonts w:ascii="Times New Roman" w:hAnsi="Times New Roman" w:eastAsia="Times New Roman" w:cs="Times New Roman"/>
          <w:sz w:val="18"/>
          <w:szCs w:val="18"/>
        </w:rPr>
        <w:t>Risk      Process</w:t>
      </w:r>
      <w:r>
        <w:rPr>
          <w:rFonts w:ascii="Times New Roman" w:hAnsi="Times New Roman" w:eastAsia="Times New Roman" w:cs="Times New Roman"/>
          <w:spacing w:val="15"/>
          <w:sz w:val="18"/>
          <w:szCs w:val="18"/>
        </w:rPr>
        <w:t>)</w:t>
      </w:r>
      <w:r>
        <w:rPr>
          <w:rFonts w:ascii="Times New Roman" w:hAnsi="Times New Roman" w:eastAsia="Times New Roman" w:cs="Times New Roman"/>
          <w:spacing w:val="3"/>
          <w:sz w:val="18"/>
          <w:szCs w:val="18"/>
        </w:rPr>
        <w:t xml:space="preserve">    </w:t>
      </w:r>
      <w:r>
        <w:rPr>
          <w:spacing w:val="15"/>
          <w:sz w:val="18"/>
          <w:szCs w:val="18"/>
        </w:rPr>
        <w:t>和</w:t>
      </w:r>
      <w:r>
        <w:rPr>
          <w:spacing w:val="-35"/>
          <w:sz w:val="18"/>
          <w:szCs w:val="18"/>
        </w:rPr>
        <w:t xml:space="preserve"> </w:t>
      </w:r>
      <w:r>
        <w:rPr>
          <w:spacing w:val="15"/>
          <w:sz w:val="18"/>
          <w:szCs w:val="18"/>
        </w:rPr>
        <w:t>保</w:t>
      </w:r>
      <w:r>
        <w:rPr>
          <w:spacing w:val="-37"/>
          <w:sz w:val="18"/>
          <w:szCs w:val="18"/>
        </w:rPr>
        <w:t xml:space="preserve"> </w:t>
      </w:r>
      <w:r>
        <w:rPr>
          <w:spacing w:val="15"/>
          <w:sz w:val="18"/>
          <w:szCs w:val="18"/>
        </w:rPr>
        <w:t>证</w:t>
      </w:r>
      <w:r>
        <w:rPr>
          <w:spacing w:val="-36"/>
          <w:sz w:val="18"/>
          <w:szCs w:val="18"/>
        </w:rPr>
        <w:t xml:space="preserve"> </w:t>
      </w:r>
      <w:r>
        <w:rPr>
          <w:spacing w:val="15"/>
          <w:sz w:val="18"/>
          <w:szCs w:val="18"/>
        </w:rPr>
        <w:t>过</w:t>
      </w:r>
      <w:r>
        <w:rPr>
          <w:spacing w:val="-38"/>
          <w:sz w:val="18"/>
          <w:szCs w:val="18"/>
        </w:rPr>
        <w:t xml:space="preserve"> </w:t>
      </w:r>
      <w:r>
        <w:rPr>
          <w:spacing w:val="15"/>
          <w:sz w:val="18"/>
          <w:szCs w:val="18"/>
        </w:rPr>
        <w:t>程</w:t>
      </w:r>
      <w:r>
        <w:rPr>
          <w:spacing w:val="-46"/>
          <w:sz w:val="18"/>
          <w:szCs w:val="18"/>
        </w:rPr>
        <w:t xml:space="preserve"> </w:t>
      </w:r>
      <w:r>
        <w:rPr>
          <w:rFonts w:ascii="Times New Roman" w:hAnsi="Times New Roman" w:eastAsia="Times New Roman" w:cs="Times New Roman"/>
          <w:spacing w:val="15"/>
          <w:sz w:val="18"/>
          <w:szCs w:val="18"/>
        </w:rPr>
        <w:t>(</w:t>
      </w:r>
      <w:r>
        <w:rPr>
          <w:rFonts w:ascii="Times New Roman" w:hAnsi="Times New Roman" w:eastAsia="Times New Roman" w:cs="Times New Roman"/>
          <w:sz w:val="18"/>
          <w:szCs w:val="18"/>
        </w:rPr>
        <w:t>Assurance</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Process</w:t>
      </w:r>
      <w:r>
        <w:rPr>
          <w:rFonts w:ascii="Times New Roman" w:hAnsi="Times New Roman" w:eastAsia="Times New Roman" w:cs="Times New Roman"/>
          <w:spacing w:val="15"/>
          <w:sz w:val="18"/>
          <w:szCs w:val="18"/>
        </w:rPr>
        <w:t xml:space="preserve">) </w:t>
      </w:r>
      <w:r>
        <w:rPr>
          <w:spacing w:val="15"/>
          <w:sz w:val="18"/>
          <w:szCs w:val="18"/>
        </w:rPr>
        <w:t>三个基本部分，如图2-</w:t>
      </w:r>
      <w:r>
        <w:rPr>
          <w:spacing w:val="-42"/>
          <w:sz w:val="18"/>
          <w:szCs w:val="18"/>
        </w:rPr>
        <w:t xml:space="preserve"> </w:t>
      </w:r>
      <w:r>
        <w:rPr>
          <w:spacing w:val="15"/>
          <w:sz w:val="18"/>
          <w:szCs w:val="18"/>
        </w:rPr>
        <w:t>14</w:t>
      </w:r>
      <w:r>
        <w:rPr>
          <w:spacing w:val="14"/>
          <w:sz w:val="18"/>
          <w:szCs w:val="18"/>
        </w:rPr>
        <w:t>所示。它们相互独立，但</w:t>
      </w:r>
      <w:r>
        <w:rPr>
          <w:sz w:val="18"/>
          <w:szCs w:val="18"/>
        </w:rPr>
        <w:t xml:space="preserve">  </w:t>
      </w:r>
      <w:r>
        <w:rPr>
          <w:spacing w:val="19"/>
          <w:sz w:val="18"/>
          <w:szCs w:val="18"/>
        </w:rPr>
        <w:t>又有着有机的联系。粗略地说，在风险过程中，人</w:t>
      </w:r>
      <w:r>
        <w:rPr>
          <w:spacing w:val="18"/>
          <w:sz w:val="18"/>
          <w:szCs w:val="18"/>
        </w:rPr>
        <w:t>们识别出所开发的产品或系统风险，并对这些</w:t>
      </w:r>
      <w:r>
        <w:rPr>
          <w:sz w:val="18"/>
          <w:szCs w:val="18"/>
        </w:rPr>
        <w:t xml:space="preserve">  </w:t>
      </w:r>
      <w:r>
        <w:rPr>
          <w:spacing w:val="18"/>
          <w:sz w:val="18"/>
          <w:szCs w:val="18"/>
        </w:rPr>
        <w:t>风险进行优先级排序。针对风险所面临的安全问题，工程过程与其他工程一起来确定安全</w:t>
      </w:r>
      <w:r>
        <w:rPr>
          <w:spacing w:val="17"/>
          <w:sz w:val="18"/>
          <w:szCs w:val="18"/>
        </w:rPr>
        <w:t>策略和</w:t>
      </w:r>
      <w:r>
        <w:rPr>
          <w:sz w:val="18"/>
          <w:szCs w:val="18"/>
        </w:rPr>
        <w:t xml:space="preserve">  </w:t>
      </w:r>
      <w:r>
        <w:rPr>
          <w:spacing w:val="15"/>
          <w:sz w:val="18"/>
          <w:szCs w:val="18"/>
        </w:rPr>
        <w:t>实施解决方案。最后，由保证过程建立起解决方案的可信性，并向用户传达这</w:t>
      </w:r>
      <w:r>
        <w:rPr>
          <w:spacing w:val="14"/>
          <w:sz w:val="18"/>
          <w:szCs w:val="18"/>
        </w:rPr>
        <w:t>种安全可信性。</w:t>
      </w:r>
    </w:p>
    <w:p w14:paraId="4649B54E">
      <w:pPr>
        <w:pStyle w:val="2"/>
        <w:spacing w:before="107" w:line="2770" w:lineRule="exact"/>
        <w:ind w:firstLine="2050"/>
      </w:pPr>
      <w:r>
        <w:rPr>
          <w:position w:val="-55"/>
        </w:rPr>
        <w:pict>
          <v:group id="_x0000_s1128" o:spid="_x0000_s1128" o:spt="203" style="height:138.5pt;width:212pt;" coordsize="4240,2770">
            <o:lock v:ext="edit"/>
            <v:shape id="_x0000_s1129" o:spid="_x0000_s1129" o:spt="75" type="#_x0000_t75" style="position:absolute;left:0;top:0;height:2770;width:4240;" filled="f" stroked="f" coordsize="21600,21600">
              <v:path/>
              <v:fill on="f" focussize="0,0"/>
              <v:stroke on="f"/>
              <v:imagedata r:id="rId60" o:title=""/>
              <o:lock v:ext="edit" aspectratio="t"/>
            </v:shape>
            <v:shape id="_x0000_s1130" o:spid="_x0000_s1130" o:spt="202" type="#_x0000_t202" style="position:absolute;left:-20;top:-20;height:2810;width:4280;" filled="f" stroked="f" coordsize="21600,21600">
              <v:path/>
              <v:fill on="f" focussize="0,0"/>
              <v:stroke on="f"/>
              <v:imagedata o:title=""/>
              <o:lock v:ext="edit" aspectratio="f"/>
              <v:textbox inset="0mm,0mm,0mm,0mm">
                <w:txbxContent>
                  <w:p w14:paraId="3A3C72CE">
                    <w:pPr>
                      <w:spacing w:line="396" w:lineRule="auto"/>
                      <w:rPr>
                        <w:rFonts w:ascii="Arial"/>
                        <w:sz w:val="21"/>
                      </w:rPr>
                    </w:pPr>
                  </w:p>
                  <w:p w14:paraId="1AFD5321">
                    <w:pPr>
                      <w:spacing w:before="58" w:line="275" w:lineRule="auto"/>
                      <w:ind w:left="1800" w:right="1711" w:hanging="100"/>
                      <w:rPr>
                        <w:rFonts w:ascii="宋体" w:hAnsi="宋体" w:eastAsia="宋体" w:cs="宋体"/>
                        <w:sz w:val="18"/>
                        <w:szCs w:val="18"/>
                      </w:rPr>
                    </w:pPr>
                    <w:r>
                      <w:rPr>
                        <w:rFonts w:ascii="宋体" w:hAnsi="宋体" w:eastAsia="宋体" w:cs="宋体"/>
                        <w:spacing w:val="-7"/>
                        <w:sz w:val="18"/>
                        <w:szCs w:val="18"/>
                      </w:rPr>
                      <w:t>产品或服务</w:t>
                    </w:r>
                    <w:r>
                      <w:rPr>
                        <w:rFonts w:ascii="宋体" w:hAnsi="宋体" w:eastAsia="宋体" w:cs="宋体"/>
                        <w:spacing w:val="2"/>
                        <w:sz w:val="18"/>
                        <w:szCs w:val="18"/>
                      </w:rPr>
                      <w:t xml:space="preserve"> </w:t>
                    </w:r>
                    <w:r>
                      <w:rPr>
                        <w:rFonts w:ascii="宋体" w:hAnsi="宋体" w:eastAsia="宋体" w:cs="宋体"/>
                        <w:spacing w:val="-2"/>
                        <w:sz w:val="18"/>
                        <w:szCs w:val="18"/>
                      </w:rPr>
                      <w:t>工程过程</w:t>
                    </w:r>
                  </w:p>
                  <w:p w14:paraId="66C22CB6">
                    <w:pPr>
                      <w:spacing w:line="313" w:lineRule="auto"/>
                      <w:rPr>
                        <w:rFonts w:ascii="Arial"/>
                        <w:sz w:val="21"/>
                      </w:rPr>
                    </w:pPr>
                  </w:p>
                  <w:p w14:paraId="55CDB452">
                    <w:pPr>
                      <w:spacing w:line="313" w:lineRule="auto"/>
                      <w:rPr>
                        <w:rFonts w:ascii="Arial"/>
                        <w:sz w:val="21"/>
                      </w:rPr>
                    </w:pPr>
                  </w:p>
                  <w:p w14:paraId="2EAA82E3">
                    <w:pPr>
                      <w:spacing w:line="314" w:lineRule="auto"/>
                      <w:rPr>
                        <w:rFonts w:ascii="Arial"/>
                        <w:sz w:val="21"/>
                      </w:rPr>
                    </w:pPr>
                  </w:p>
                  <w:p w14:paraId="7D70E35D">
                    <w:pPr>
                      <w:spacing w:before="59"/>
                      <w:ind w:left="810"/>
                      <w:rPr>
                        <w:rFonts w:ascii="宋体" w:hAnsi="宋体" w:eastAsia="宋体" w:cs="宋体"/>
                        <w:sz w:val="18"/>
                        <w:szCs w:val="18"/>
                      </w:rPr>
                    </w:pPr>
                    <w:r>
                      <w:rPr>
                        <w:rFonts w:ascii="宋体" w:hAnsi="宋体" w:eastAsia="宋体" w:cs="宋体"/>
                        <w:spacing w:val="-2"/>
                        <w:sz w:val="18"/>
                        <w:szCs w:val="18"/>
                      </w:rPr>
                      <w:t>保证过程              风</w:t>
                    </w:r>
                    <w:r>
                      <w:rPr>
                        <w:rFonts w:ascii="宋体" w:hAnsi="宋体" w:eastAsia="宋体" w:cs="宋体"/>
                        <w:spacing w:val="-3"/>
                        <w:sz w:val="18"/>
                        <w:szCs w:val="18"/>
                      </w:rPr>
                      <w:t>险过程</w:t>
                    </w:r>
                  </w:p>
                  <w:p w14:paraId="167EB096">
                    <w:pPr>
                      <w:spacing w:before="265" w:line="219" w:lineRule="auto"/>
                      <w:ind w:left="90"/>
                      <w:rPr>
                        <w:rFonts w:ascii="宋体" w:hAnsi="宋体" w:eastAsia="宋体" w:cs="宋体"/>
                        <w:sz w:val="18"/>
                        <w:szCs w:val="18"/>
                      </w:rPr>
                    </w:pPr>
                    <w:r>
                      <w:rPr>
                        <w:rFonts w:ascii="宋体" w:hAnsi="宋体" w:eastAsia="宋体" w:cs="宋体"/>
                        <w:spacing w:val="-2"/>
                        <w:sz w:val="18"/>
                        <w:szCs w:val="18"/>
                      </w:rPr>
                      <w:t xml:space="preserve">保证论据                </w:t>
                    </w:r>
                    <w:r>
                      <w:rPr>
                        <w:rFonts w:ascii="宋体" w:hAnsi="宋体" w:eastAsia="宋体" w:cs="宋体"/>
                        <w:spacing w:val="-3"/>
                        <w:sz w:val="18"/>
                        <w:szCs w:val="18"/>
                      </w:rPr>
                      <w:t xml:space="preserve">               风险信息</w:t>
                    </w:r>
                  </w:p>
                </w:txbxContent>
              </v:textbox>
            </v:shape>
            <w10:wrap type="none"/>
            <w10:anchorlock/>
          </v:group>
        </w:pict>
      </w:r>
    </w:p>
    <w:p w14:paraId="41E35EC0">
      <w:pPr>
        <w:pStyle w:val="2"/>
        <w:spacing w:before="87" w:line="219" w:lineRule="auto"/>
        <w:ind w:left="2490"/>
        <w:rPr>
          <w:sz w:val="18"/>
          <w:szCs w:val="18"/>
        </w:rPr>
      </w:pPr>
      <w:r>
        <w:rPr>
          <w:spacing w:val="-1"/>
          <w:sz w:val="18"/>
          <w:szCs w:val="18"/>
        </w:rPr>
        <w:t>图2-14</w:t>
      </w:r>
      <w:r>
        <w:rPr>
          <w:spacing w:val="82"/>
          <w:sz w:val="18"/>
          <w:szCs w:val="18"/>
        </w:rPr>
        <w:t xml:space="preserve"> </w:t>
      </w:r>
      <w:r>
        <w:rPr>
          <w:spacing w:val="-1"/>
          <w:sz w:val="18"/>
          <w:szCs w:val="18"/>
        </w:rPr>
        <w:t>信息安全系统工程过程的组成部分</w:t>
      </w:r>
    </w:p>
    <w:p w14:paraId="76AEFE2E">
      <w:pPr>
        <w:spacing w:before="299" w:line="229" w:lineRule="auto"/>
        <w:ind w:left="410"/>
        <w:rPr>
          <w:rFonts w:ascii="楷体" w:hAnsi="楷体" w:eastAsia="楷体" w:cs="楷体"/>
          <w:sz w:val="18"/>
          <w:szCs w:val="18"/>
        </w:rPr>
      </w:pPr>
      <w:r>
        <w:rPr>
          <w:rFonts w:ascii="楷体" w:hAnsi="楷体" w:eastAsia="楷体" w:cs="楷体"/>
          <w:spacing w:val="30"/>
          <w:sz w:val="18"/>
          <w:szCs w:val="18"/>
        </w:rPr>
        <w:t>1)工程过程</w:t>
      </w:r>
    </w:p>
    <w:p w14:paraId="2F0E40FC">
      <w:pPr>
        <w:pStyle w:val="2"/>
        <w:spacing w:before="62" w:line="313" w:lineRule="auto"/>
        <w:ind w:right="254" w:firstLine="410"/>
        <w:rPr>
          <w:sz w:val="18"/>
          <w:szCs w:val="18"/>
        </w:rPr>
      </w:pPr>
      <w:r>
        <w:rPr>
          <w:spacing w:val="22"/>
          <w:sz w:val="18"/>
          <w:szCs w:val="18"/>
        </w:rPr>
        <w:t>信息安全系统工程与其他工程活动一样，是一个包括概念、设计、实现、测试、部署、运</w:t>
      </w:r>
      <w:r>
        <w:rPr>
          <w:spacing w:val="17"/>
          <w:sz w:val="18"/>
          <w:szCs w:val="18"/>
        </w:rPr>
        <w:t xml:space="preserve"> </w:t>
      </w:r>
      <w:r>
        <w:rPr>
          <w:spacing w:val="22"/>
          <w:sz w:val="18"/>
          <w:szCs w:val="18"/>
        </w:rPr>
        <w:t>行、维护、退出的完整过程，如图2-15所示。在</w:t>
      </w:r>
      <w:r>
        <w:rPr>
          <w:spacing w:val="21"/>
          <w:sz w:val="18"/>
          <w:szCs w:val="18"/>
        </w:rPr>
        <w:t>这个过程中，信息安全系统工程的实施必须紧</w:t>
      </w:r>
      <w:r>
        <w:rPr>
          <w:sz w:val="18"/>
          <w:szCs w:val="18"/>
        </w:rPr>
        <w:t xml:space="preserve"> </w:t>
      </w:r>
      <w:r>
        <w:rPr>
          <w:spacing w:val="20"/>
          <w:sz w:val="18"/>
          <w:szCs w:val="18"/>
        </w:rPr>
        <w:t>密地与其他系统工程组进行合作。</w:t>
      </w:r>
      <w:r>
        <w:rPr>
          <w:spacing w:val="-25"/>
          <w:sz w:val="18"/>
          <w:szCs w:val="18"/>
        </w:rPr>
        <w:t xml:space="preserve"> </w:t>
      </w:r>
      <w:r>
        <w:rPr>
          <w:sz w:val="18"/>
          <w:szCs w:val="18"/>
        </w:rPr>
        <w:t>ISSE</w:t>
      </w:r>
      <w:r>
        <w:rPr>
          <w:spacing w:val="20"/>
          <w:sz w:val="18"/>
          <w:szCs w:val="18"/>
        </w:rPr>
        <w:t>-</w:t>
      </w:r>
      <w:r>
        <w:rPr>
          <w:sz w:val="18"/>
          <w:szCs w:val="18"/>
        </w:rPr>
        <w:t>CMM</w:t>
      </w:r>
      <w:r>
        <w:rPr>
          <w:spacing w:val="20"/>
          <w:sz w:val="18"/>
          <w:szCs w:val="18"/>
        </w:rPr>
        <w:t xml:space="preserve">   强调信息安全系统工程是一个大项目队伍中的组</w:t>
      </w:r>
      <w:r>
        <w:rPr>
          <w:sz w:val="18"/>
          <w:szCs w:val="18"/>
        </w:rPr>
        <w:t xml:space="preserve"> </w:t>
      </w:r>
      <w:r>
        <w:rPr>
          <w:spacing w:val="24"/>
          <w:sz w:val="18"/>
          <w:szCs w:val="18"/>
        </w:rPr>
        <w:t>成部分，需要与其他科目工程的活动相互协调</w:t>
      </w:r>
      <w:r>
        <w:rPr>
          <w:spacing w:val="23"/>
          <w:sz w:val="18"/>
          <w:szCs w:val="18"/>
        </w:rPr>
        <w:t>。这将有助于保证安全成为一个大项目过程中的</w:t>
      </w:r>
      <w:r>
        <w:rPr>
          <w:sz w:val="18"/>
          <w:szCs w:val="18"/>
        </w:rPr>
        <w:t xml:space="preserve"> </w:t>
      </w:r>
      <w:r>
        <w:rPr>
          <w:spacing w:val="16"/>
          <w:sz w:val="18"/>
          <w:szCs w:val="18"/>
        </w:rPr>
        <w:t>一部分，而不是分离的独立部分。</w:t>
      </w:r>
    </w:p>
    <w:p w14:paraId="6A1286D5">
      <w:pPr>
        <w:pStyle w:val="2"/>
        <w:spacing w:before="89" w:line="2367" w:lineRule="exact"/>
        <w:ind w:firstLine="1000"/>
      </w:pPr>
      <w:r>
        <w:rPr>
          <w:position w:val="-47"/>
        </w:rPr>
        <w:pict>
          <v:group id="_x0000_s1131" o:spid="_x0000_s1131" o:spt="203" style="height:118.4pt;width:318.55pt;" coordsize="6370,2368">
            <o:lock v:ext="edit"/>
            <v:shape id="_x0000_s1132" o:spid="_x0000_s1132" o:spt="75" type="#_x0000_t75" style="position:absolute;left:0;top:0;height:2211;width:6370;" filled="f" stroked="f" coordsize="21600,21600">
              <v:path/>
              <v:fill on="f" focussize="0,0"/>
              <v:stroke on="f"/>
              <v:imagedata r:id="rId61" o:title=""/>
              <o:lock v:ext="edit" aspectratio="t"/>
            </v:shape>
            <v:shape id="_x0000_s1133" o:spid="_x0000_s1133" o:spt="202" type="#_x0000_t202" style="position:absolute;left:70;top:57;height:2330;width:3958;" filled="f" stroked="f" coordsize="21600,21600">
              <v:path/>
              <v:fill on="f" focussize="0,0"/>
              <v:stroke on="f"/>
              <v:imagedata o:title=""/>
              <o:lock v:ext="edit" aspectratio="f"/>
              <v:textbox inset="0mm,0mm,0mm,0mm">
                <w:txbxContent>
                  <w:p w14:paraId="06817F42">
                    <w:pPr>
                      <w:spacing w:before="20" w:line="219" w:lineRule="auto"/>
                      <w:ind w:left="2899"/>
                      <w:rPr>
                        <w:rFonts w:ascii="宋体" w:hAnsi="宋体" w:eastAsia="宋体" w:cs="宋体"/>
                        <w:sz w:val="18"/>
                        <w:szCs w:val="18"/>
                      </w:rPr>
                    </w:pPr>
                    <w:r>
                      <w:rPr>
                        <w:rFonts w:ascii="宋体" w:hAnsi="宋体" w:eastAsia="宋体" w:cs="宋体"/>
                        <w:spacing w:val="-2"/>
                        <w:sz w:val="18"/>
                        <w:szCs w:val="18"/>
                      </w:rPr>
                      <w:t>风险信息</w:t>
                    </w:r>
                  </w:p>
                  <w:p w14:paraId="412F1589">
                    <w:pPr>
                      <w:spacing w:before="146" w:line="220" w:lineRule="auto"/>
                      <w:ind w:left="719"/>
                      <w:rPr>
                        <w:rFonts w:ascii="宋体" w:hAnsi="宋体" w:eastAsia="宋体" w:cs="宋体"/>
                        <w:sz w:val="18"/>
                        <w:szCs w:val="18"/>
                      </w:rPr>
                    </w:pPr>
                    <w:r>
                      <w:rPr>
                        <w:rFonts w:ascii="宋体" w:hAnsi="宋体" w:eastAsia="宋体" w:cs="宋体"/>
                        <w:spacing w:val="-9"/>
                        <w:sz w:val="18"/>
                        <w:szCs w:val="18"/>
                      </w:rPr>
                      <w:t>确定安全需求</w:t>
                    </w:r>
                  </w:p>
                  <w:p w14:paraId="6BFF5741">
                    <w:pPr>
                      <w:spacing w:line="464" w:lineRule="auto"/>
                      <w:rPr>
                        <w:rFonts w:ascii="Arial"/>
                        <w:sz w:val="21"/>
                      </w:rPr>
                    </w:pPr>
                  </w:p>
                  <w:p w14:paraId="3FC8B822">
                    <w:pPr>
                      <w:spacing w:before="59" w:line="215" w:lineRule="auto"/>
                      <w:ind w:left="20"/>
                      <w:rPr>
                        <w:rFonts w:ascii="宋体" w:hAnsi="宋体" w:eastAsia="宋体" w:cs="宋体"/>
                        <w:sz w:val="18"/>
                        <w:szCs w:val="18"/>
                      </w:rPr>
                    </w:pPr>
                    <w:r>
                      <w:rPr>
                        <w:rFonts w:ascii="宋体" w:hAnsi="宋体" w:eastAsia="宋体" w:cs="宋体"/>
                        <w:spacing w:val="-8"/>
                        <w:sz w:val="18"/>
                        <w:szCs w:val="18"/>
                      </w:rPr>
                      <w:t>要求、策略等|</w:t>
                    </w:r>
                  </w:p>
                  <w:p w14:paraId="33ED14E7">
                    <w:pPr>
                      <w:spacing w:line="406" w:lineRule="auto"/>
                      <w:rPr>
                        <w:rFonts w:ascii="Arial"/>
                        <w:sz w:val="21"/>
                      </w:rPr>
                    </w:pPr>
                  </w:p>
                  <w:p w14:paraId="7126965C">
                    <w:pPr>
                      <w:spacing w:before="59" w:line="219" w:lineRule="auto"/>
                      <w:ind w:left="739"/>
                      <w:rPr>
                        <w:rFonts w:ascii="宋体" w:hAnsi="宋体" w:eastAsia="宋体" w:cs="宋体"/>
                        <w:sz w:val="18"/>
                        <w:szCs w:val="18"/>
                      </w:rPr>
                    </w:pPr>
                    <w:r>
                      <w:rPr>
                        <w:rFonts w:ascii="宋体" w:hAnsi="宋体" w:eastAsia="宋体" w:cs="宋体"/>
                        <w:spacing w:val="-6"/>
                        <w:sz w:val="18"/>
                        <w:szCs w:val="18"/>
                      </w:rPr>
                      <w:t>提供安全输入</w:t>
                    </w:r>
                  </w:p>
                  <w:p w14:paraId="39F16B3C">
                    <w:pPr>
                      <w:spacing w:before="117" w:line="219" w:lineRule="auto"/>
                      <w:ind w:right="11"/>
                      <w:jc w:val="right"/>
                      <w:rPr>
                        <w:rFonts w:ascii="宋体" w:hAnsi="宋体" w:eastAsia="宋体" w:cs="宋体"/>
                        <w:sz w:val="18"/>
                        <w:szCs w:val="18"/>
                      </w:rPr>
                    </w:pPr>
                    <w:r>
                      <w:rPr>
                        <w:rFonts w:ascii="宋体" w:hAnsi="宋体" w:eastAsia="宋体" w:cs="宋体"/>
                        <w:spacing w:val="-8"/>
                        <w:sz w:val="18"/>
                        <w:szCs w:val="18"/>
                      </w:rPr>
                      <w:t>解决方案、指导等</w:t>
                    </w:r>
                  </w:p>
                </w:txbxContent>
              </v:textbox>
            </v:shape>
            <v:shape id="_x0000_s1134" o:spid="_x0000_s1134" o:spt="202" type="#_x0000_t202" style="position:absolute;left:4789;top:417;height:220;width:1074;" filled="f" stroked="f" coordsize="21600,21600">
              <v:path/>
              <v:fill on="f" focussize="0,0"/>
              <v:stroke on="f"/>
              <v:imagedata o:title=""/>
              <o:lock v:ext="edit" aspectratio="f"/>
              <v:textbox inset="0mm,0mm,0mm,0mm">
                <w:txbxContent>
                  <w:p w14:paraId="4ED8AB8F">
                    <w:pPr>
                      <w:spacing w:before="20" w:line="219" w:lineRule="auto"/>
                      <w:ind w:left="20"/>
                      <w:rPr>
                        <w:rFonts w:ascii="宋体" w:hAnsi="宋体" w:eastAsia="宋体" w:cs="宋体"/>
                        <w:sz w:val="18"/>
                        <w:szCs w:val="18"/>
                      </w:rPr>
                    </w:pPr>
                    <w:r>
                      <w:rPr>
                        <w:rFonts w:ascii="宋体" w:hAnsi="宋体" w:eastAsia="宋体" w:cs="宋体"/>
                        <w:spacing w:val="-7"/>
                        <w:sz w:val="18"/>
                        <w:szCs w:val="18"/>
                      </w:rPr>
                      <w:t>重视安全态势</w:t>
                    </w:r>
                  </w:p>
                </w:txbxContent>
              </v:textbox>
            </v:shape>
            <v:shape id="_x0000_s1135" o:spid="_x0000_s1135" o:spt="202" type="#_x0000_t202" style="position:absolute;left:4809;top:1828;height:220;width:1055;" filled="f" stroked="f" coordsize="21600,21600">
              <v:path/>
              <v:fill on="f" focussize="0,0"/>
              <v:stroke on="f"/>
              <v:imagedata o:title=""/>
              <o:lock v:ext="edit" aspectratio="f"/>
              <v:textbox inset="0mm,0mm,0mm,0mm">
                <w:txbxContent>
                  <w:p w14:paraId="04A4B4C3">
                    <w:pPr>
                      <w:spacing w:before="20" w:line="220" w:lineRule="auto"/>
                      <w:ind w:left="20"/>
                      <w:rPr>
                        <w:rFonts w:ascii="宋体" w:hAnsi="宋体" w:eastAsia="宋体" w:cs="宋体"/>
                        <w:sz w:val="18"/>
                        <w:szCs w:val="18"/>
                      </w:rPr>
                    </w:pPr>
                    <w:r>
                      <w:rPr>
                        <w:rFonts w:ascii="宋体" w:hAnsi="宋体" w:eastAsia="宋体" w:cs="宋体"/>
                        <w:spacing w:val="-10"/>
                        <w:sz w:val="18"/>
                        <w:szCs w:val="18"/>
                      </w:rPr>
                      <w:t>实施安全控制</w:t>
                    </w:r>
                  </w:p>
                </w:txbxContent>
              </v:textbox>
            </v:shape>
            <v:shape id="_x0000_s1136" o:spid="_x0000_s1136" o:spt="202" type="#_x0000_t202" style="position:absolute;left:5570;top:1117;height:220;width:753;" filled="f" stroked="f" coordsize="21600,21600">
              <v:path/>
              <v:fill on="f" focussize="0,0"/>
              <v:stroke on="f"/>
              <v:imagedata o:title=""/>
              <o:lock v:ext="edit" aspectratio="f"/>
              <v:textbox inset="0mm,0mm,0mm,0mm">
                <w:txbxContent>
                  <w:p w14:paraId="217A74C8">
                    <w:pPr>
                      <w:spacing w:before="20" w:line="219" w:lineRule="auto"/>
                      <w:ind w:left="20"/>
                      <w:rPr>
                        <w:rFonts w:ascii="宋体" w:hAnsi="宋体" w:eastAsia="宋体" w:cs="宋体"/>
                        <w:sz w:val="18"/>
                        <w:szCs w:val="18"/>
                      </w:rPr>
                    </w:pPr>
                    <w:r>
                      <w:rPr>
                        <w:rFonts w:ascii="宋体" w:hAnsi="宋体" w:eastAsia="宋体" w:cs="宋体"/>
                        <w:spacing w:val="-2"/>
                        <w:sz w:val="18"/>
                        <w:szCs w:val="18"/>
                      </w:rPr>
                      <w:t>配置信息</w:t>
                    </w:r>
                  </w:p>
                </w:txbxContent>
              </v:textbox>
            </v:shape>
            <v:shape id="_x0000_s1137" o:spid="_x0000_s1137" o:spt="202" type="#_x0000_t202" style="position:absolute;left:2900;top:1087;height:220;width:753;" filled="f" stroked="f" coordsize="21600,21600">
              <v:path/>
              <v:fill on="f" focussize="0,0"/>
              <v:stroke on="f"/>
              <v:imagedata o:title=""/>
              <o:lock v:ext="edit" aspectratio="f"/>
              <v:textbox inset="0mm,0mm,0mm,0mm">
                <w:txbxContent>
                  <w:p w14:paraId="4F9A79AF">
                    <w:pPr>
                      <w:spacing w:before="20" w:line="220" w:lineRule="auto"/>
                      <w:ind w:left="20"/>
                      <w:rPr>
                        <w:rFonts w:ascii="宋体" w:hAnsi="宋体" w:eastAsia="宋体" w:cs="宋体"/>
                        <w:sz w:val="18"/>
                        <w:szCs w:val="18"/>
                      </w:rPr>
                    </w:pPr>
                    <w:r>
                      <w:rPr>
                        <w:rFonts w:ascii="宋体" w:hAnsi="宋体" w:eastAsia="宋体" w:cs="宋体"/>
                        <w:spacing w:val="-2"/>
                        <w:sz w:val="18"/>
                        <w:szCs w:val="18"/>
                      </w:rPr>
                      <w:t>协调安全</w:t>
                    </w:r>
                  </w:p>
                </w:txbxContent>
              </v:textbox>
            </v:shape>
            <w10:wrap type="none"/>
            <w10:anchorlock/>
          </v:group>
        </w:pict>
      </w:r>
    </w:p>
    <w:p w14:paraId="5D3D1329">
      <w:pPr>
        <w:pStyle w:val="2"/>
        <w:spacing w:before="160" w:line="219" w:lineRule="auto"/>
        <w:ind w:left="2759"/>
        <w:rPr>
          <w:sz w:val="18"/>
          <w:szCs w:val="18"/>
        </w:rPr>
      </w:pPr>
      <w:r>
        <w:rPr>
          <w:spacing w:val="2"/>
          <w:sz w:val="18"/>
          <w:szCs w:val="18"/>
        </w:rPr>
        <w:t>图2-15</w:t>
      </w:r>
      <w:r>
        <w:rPr>
          <w:spacing w:val="61"/>
          <w:sz w:val="18"/>
          <w:szCs w:val="18"/>
        </w:rPr>
        <w:t xml:space="preserve"> </w:t>
      </w:r>
      <w:r>
        <w:rPr>
          <w:spacing w:val="2"/>
          <w:sz w:val="18"/>
          <w:szCs w:val="18"/>
        </w:rPr>
        <w:t>信息安全系统工程实施过程</w:t>
      </w:r>
    </w:p>
    <w:p w14:paraId="78B65F32">
      <w:pPr>
        <w:pStyle w:val="2"/>
        <w:spacing w:before="206" w:line="315" w:lineRule="auto"/>
        <w:ind w:right="256" w:firstLine="410"/>
        <w:rPr>
          <w:sz w:val="18"/>
          <w:szCs w:val="18"/>
        </w:rPr>
      </w:pPr>
      <w:r>
        <w:rPr>
          <w:spacing w:val="23"/>
          <w:sz w:val="18"/>
          <w:szCs w:val="18"/>
        </w:rPr>
        <w:t>使用上面所描述的风险管理过程的信息和关于系统需求、相关法律、政策的其他信息，信</w:t>
      </w:r>
      <w:r>
        <w:rPr>
          <w:spacing w:val="14"/>
          <w:sz w:val="18"/>
          <w:szCs w:val="18"/>
        </w:rPr>
        <w:t xml:space="preserve"> </w:t>
      </w:r>
      <w:r>
        <w:rPr>
          <w:spacing w:val="20"/>
          <w:sz w:val="18"/>
          <w:szCs w:val="18"/>
        </w:rPr>
        <w:t>息安全系统工程就可以与用户一起来识别安全需求。</w:t>
      </w:r>
      <w:r>
        <w:rPr>
          <w:spacing w:val="61"/>
          <w:sz w:val="18"/>
          <w:szCs w:val="18"/>
        </w:rPr>
        <w:t xml:space="preserve"> </w:t>
      </w:r>
      <w:r>
        <w:rPr>
          <w:spacing w:val="20"/>
          <w:sz w:val="18"/>
          <w:szCs w:val="18"/>
        </w:rPr>
        <w:t>一旦需求</w:t>
      </w:r>
      <w:r>
        <w:rPr>
          <w:spacing w:val="19"/>
          <w:sz w:val="18"/>
          <w:szCs w:val="18"/>
        </w:rPr>
        <w:t>被识别，信息安全系统工程就可</w:t>
      </w:r>
    </w:p>
    <w:p w14:paraId="12DDE283">
      <w:pPr>
        <w:spacing w:line="315" w:lineRule="auto"/>
        <w:rPr>
          <w:sz w:val="18"/>
          <w:szCs w:val="18"/>
        </w:rPr>
        <w:sectPr>
          <w:pgSz w:w="10300" w:h="13270"/>
          <w:pgMar w:top="400" w:right="630" w:bottom="400" w:left="1069" w:header="0" w:footer="0" w:gutter="0"/>
          <w:cols w:space="720" w:num="1"/>
        </w:sectPr>
      </w:pPr>
    </w:p>
    <w:p w14:paraId="5B8B277C">
      <w:pPr>
        <w:pStyle w:val="2"/>
        <w:spacing w:before="107" w:line="219" w:lineRule="auto"/>
        <w:rPr>
          <w:sz w:val="19"/>
          <w:szCs w:val="19"/>
        </w:rPr>
      </w:pPr>
      <w:bookmarkStart w:id="526" w:name="bookmark513"/>
      <w:bookmarkEnd w:id="526"/>
      <w:r>
        <w:rPr>
          <w:rFonts w:ascii="Times New Roman" w:hAnsi="Times New Roman" w:eastAsia="Times New Roman" w:cs="Times New Roman"/>
          <w:b/>
          <w:bCs/>
          <w:spacing w:val="5"/>
          <w:position w:val="-2"/>
          <w:sz w:val="19"/>
          <w:szCs w:val="19"/>
        </w:rPr>
        <w:t>88</w:t>
      </w:r>
      <w:r>
        <w:rPr>
          <w:rFonts w:ascii="Times New Roman" w:hAnsi="Times New Roman" w:eastAsia="Times New Roman" w:cs="Times New Roman"/>
          <w:b/>
          <w:bCs/>
          <w:spacing w:val="1"/>
          <w:position w:val="-2"/>
          <w:sz w:val="19"/>
          <w:szCs w:val="19"/>
        </w:rPr>
        <w:t xml:space="preserve">               </w:t>
      </w:r>
      <w:r>
        <w:rPr>
          <w:spacing w:val="5"/>
          <w:sz w:val="19"/>
          <w:szCs w:val="19"/>
        </w:rPr>
        <w:t>信息系统监理师教程(第2版)</w:t>
      </w:r>
    </w:p>
    <w:p w14:paraId="3CD58033">
      <w:pPr>
        <w:spacing w:line="305" w:lineRule="auto"/>
        <w:rPr>
          <w:rFonts w:ascii="Arial"/>
          <w:sz w:val="21"/>
        </w:rPr>
      </w:pPr>
    </w:p>
    <w:p w14:paraId="5FA49818">
      <w:pPr>
        <w:pStyle w:val="2"/>
        <w:spacing w:before="62" w:line="219" w:lineRule="auto"/>
        <w:ind w:left="299"/>
        <w:rPr>
          <w:sz w:val="19"/>
          <w:szCs w:val="19"/>
        </w:rPr>
      </w:pPr>
      <w:r>
        <w:rPr>
          <w:spacing w:val="6"/>
          <w:sz w:val="19"/>
          <w:szCs w:val="19"/>
        </w:rPr>
        <w:t>以识别和跟踪特定的安全需求。</w:t>
      </w:r>
    </w:p>
    <w:p w14:paraId="39FF7B12">
      <w:pPr>
        <w:pStyle w:val="2"/>
        <w:spacing w:before="104" w:line="292" w:lineRule="auto"/>
        <w:ind w:left="299" w:firstLine="410"/>
        <w:jc w:val="both"/>
        <w:rPr>
          <w:sz w:val="19"/>
          <w:szCs w:val="19"/>
        </w:rPr>
      </w:pPr>
      <w:r>
        <w:rPr>
          <w:spacing w:val="14"/>
          <w:sz w:val="19"/>
          <w:szCs w:val="19"/>
        </w:rPr>
        <w:t>对于信息安全问题，创建信息安全解决方案一般包括识</w:t>
      </w:r>
      <w:r>
        <w:rPr>
          <w:spacing w:val="13"/>
          <w:sz w:val="19"/>
          <w:szCs w:val="19"/>
        </w:rPr>
        <w:t>别可能选择的方案，然后评估决定</w:t>
      </w:r>
      <w:r>
        <w:rPr>
          <w:sz w:val="19"/>
          <w:szCs w:val="19"/>
        </w:rPr>
        <w:t xml:space="preserve"> </w:t>
      </w:r>
      <w:r>
        <w:rPr>
          <w:spacing w:val="10"/>
          <w:sz w:val="19"/>
          <w:szCs w:val="19"/>
        </w:rPr>
        <w:t>哪一种更可能被接受。将这个活动与工程过程的其他活动相结合，不但要解决方案</w:t>
      </w:r>
      <w:r>
        <w:rPr>
          <w:spacing w:val="9"/>
          <w:sz w:val="19"/>
          <w:szCs w:val="19"/>
        </w:rPr>
        <w:t>的安全问题，</w:t>
      </w:r>
      <w:r>
        <w:rPr>
          <w:sz w:val="19"/>
          <w:szCs w:val="19"/>
        </w:rPr>
        <w:t xml:space="preserve"> </w:t>
      </w:r>
      <w:r>
        <w:rPr>
          <w:spacing w:val="8"/>
          <w:sz w:val="19"/>
          <w:szCs w:val="19"/>
        </w:rPr>
        <w:t>还需要考虑成本、性能、技术风险、使用的简易性等因素。</w:t>
      </w:r>
    </w:p>
    <w:p w14:paraId="643A1542">
      <w:pPr>
        <w:spacing w:before="121" w:line="229" w:lineRule="auto"/>
        <w:ind w:left="709"/>
        <w:rPr>
          <w:rFonts w:ascii="楷体" w:hAnsi="楷体" w:eastAsia="楷体" w:cs="楷体"/>
          <w:sz w:val="19"/>
          <w:szCs w:val="19"/>
        </w:rPr>
      </w:pPr>
      <w:r>
        <w:rPr>
          <w:rFonts w:ascii="楷体" w:hAnsi="楷体" w:eastAsia="楷体" w:cs="楷体"/>
          <w:spacing w:val="25"/>
          <w:sz w:val="19"/>
          <w:szCs w:val="19"/>
        </w:rPr>
        <w:t>2)风险过程</w:t>
      </w:r>
    </w:p>
    <w:p w14:paraId="41AC6DA2">
      <w:pPr>
        <w:pStyle w:val="2"/>
        <w:spacing w:before="51" w:line="306" w:lineRule="auto"/>
        <w:ind w:left="299" w:right="65" w:firstLine="410"/>
        <w:rPr>
          <w:sz w:val="19"/>
          <w:szCs w:val="19"/>
        </w:rPr>
      </w:pPr>
      <w:r>
        <w:rPr>
          <w:spacing w:val="13"/>
          <w:sz w:val="19"/>
          <w:szCs w:val="19"/>
        </w:rPr>
        <w:t>信息安全系统工程的一个主要目标是降低信息系统运行的风险。在信息安全中，风险就是</w:t>
      </w:r>
      <w:r>
        <w:rPr>
          <w:spacing w:val="1"/>
          <w:sz w:val="19"/>
          <w:szCs w:val="19"/>
        </w:rPr>
        <w:t xml:space="preserve"> </w:t>
      </w:r>
      <w:r>
        <w:rPr>
          <w:spacing w:val="6"/>
          <w:sz w:val="19"/>
          <w:szCs w:val="19"/>
        </w:rPr>
        <w:t>有害事件发生的可能性及其危害后果。</w:t>
      </w:r>
    </w:p>
    <w:p w14:paraId="799FC7EA">
      <w:pPr>
        <w:pStyle w:val="2"/>
        <w:spacing w:before="3" w:line="304" w:lineRule="auto"/>
        <w:ind w:left="299" w:firstLine="410"/>
        <w:jc w:val="both"/>
        <w:rPr>
          <w:sz w:val="19"/>
          <w:szCs w:val="19"/>
        </w:rPr>
      </w:pPr>
      <w:r>
        <w:rPr>
          <w:spacing w:val="15"/>
          <w:sz w:val="19"/>
          <w:szCs w:val="19"/>
        </w:rPr>
        <w:t>一个有害事件由威胁、脆弱性和影响三部分组成。脆弱性包括可</w:t>
      </w:r>
      <w:r>
        <w:rPr>
          <w:spacing w:val="14"/>
          <w:sz w:val="19"/>
          <w:szCs w:val="19"/>
        </w:rPr>
        <w:t>被威胁利用的资产性质。</w:t>
      </w:r>
      <w:r>
        <w:rPr>
          <w:sz w:val="19"/>
          <w:szCs w:val="19"/>
        </w:rPr>
        <w:t xml:space="preserve"> </w:t>
      </w:r>
      <w:r>
        <w:rPr>
          <w:spacing w:val="18"/>
          <w:sz w:val="19"/>
          <w:szCs w:val="19"/>
        </w:rPr>
        <w:t>如果不存在脆弱性和威胁，则不存在有害事件，也就不存在风</w:t>
      </w:r>
      <w:r>
        <w:rPr>
          <w:spacing w:val="17"/>
          <w:sz w:val="19"/>
          <w:szCs w:val="19"/>
        </w:rPr>
        <w:t>险。风险管理是调查和量化风</w:t>
      </w:r>
      <w:r>
        <w:rPr>
          <w:sz w:val="19"/>
          <w:szCs w:val="19"/>
        </w:rPr>
        <w:t xml:space="preserve">  </w:t>
      </w:r>
      <w:r>
        <w:rPr>
          <w:spacing w:val="18"/>
          <w:sz w:val="19"/>
          <w:szCs w:val="19"/>
        </w:rPr>
        <w:t>险的过程，并建立组织对风险的承受级别。它是安全管理的一个重要部分。风险管理过程如</w:t>
      </w:r>
      <w:r>
        <w:rPr>
          <w:spacing w:val="13"/>
          <w:sz w:val="19"/>
          <w:szCs w:val="19"/>
        </w:rPr>
        <w:t xml:space="preserve"> </w:t>
      </w:r>
      <w:r>
        <w:rPr>
          <w:spacing w:val="10"/>
          <w:sz w:val="19"/>
          <w:szCs w:val="19"/>
        </w:rPr>
        <w:t>图2-16所示。</w:t>
      </w:r>
    </w:p>
    <w:p w14:paraId="39AD1F6C">
      <w:pPr>
        <w:pStyle w:val="2"/>
        <w:spacing w:before="37" w:line="2208" w:lineRule="exact"/>
        <w:ind w:firstLine="1959"/>
      </w:pPr>
      <w:r>
        <w:rPr>
          <w:position w:val="-44"/>
        </w:rPr>
        <w:pict>
          <v:group id="_x0000_s1138" o:spid="_x0000_s1138" o:spt="203" style="height:110.4pt;width:248.05pt;" coordsize="4961,2208">
            <o:lock v:ext="edit"/>
            <v:shape id="_x0000_s1139" o:spid="_x0000_s1139" o:spt="75" type="#_x0000_t75" style="position:absolute;left:0;top:0;height:2121;width:4961;" filled="f" stroked="f" coordsize="21600,21600">
              <v:path/>
              <v:fill on="f" focussize="0,0"/>
              <v:stroke on="f"/>
              <v:imagedata r:id="rId62" o:title=""/>
              <o:lock v:ext="edit" aspectratio="t"/>
            </v:shape>
            <v:shape id="_x0000_s1140" o:spid="_x0000_s1140" o:spt="202" type="#_x0000_t202" style="position:absolute;left:270;top:216;height:2011;width:2213;" filled="f" stroked="f" coordsize="21600,21600">
              <v:path/>
              <v:fill on="f" focussize="0,0"/>
              <v:stroke on="f"/>
              <v:imagedata o:title=""/>
              <o:lock v:ext="edit" aspectratio="f"/>
              <v:textbox inset="0mm,0mm,0mm,0mm">
                <w:txbxContent>
                  <w:p w14:paraId="432EF554">
                    <w:pPr>
                      <w:spacing w:before="19" w:line="218" w:lineRule="auto"/>
                      <w:ind w:left="90"/>
                      <w:rPr>
                        <w:rFonts w:ascii="宋体" w:hAnsi="宋体" w:eastAsia="宋体" w:cs="宋体"/>
                        <w:sz w:val="19"/>
                        <w:szCs w:val="19"/>
                      </w:rPr>
                    </w:pPr>
                    <w:r>
                      <w:rPr>
                        <w:rFonts w:ascii="宋体" w:hAnsi="宋体" w:eastAsia="宋体" w:cs="宋体"/>
                        <w:spacing w:val="-14"/>
                        <w:sz w:val="19"/>
                        <w:szCs w:val="19"/>
                      </w:rPr>
                      <w:t>评估威胁</w:t>
                    </w:r>
                  </w:p>
                  <w:p w14:paraId="4A2F00AD">
                    <w:pPr>
                      <w:spacing w:before="117" w:line="219" w:lineRule="auto"/>
                      <w:ind w:left="1399"/>
                      <w:rPr>
                        <w:rFonts w:ascii="宋体" w:hAnsi="宋体" w:eastAsia="宋体" w:cs="宋体"/>
                        <w:sz w:val="19"/>
                        <w:szCs w:val="19"/>
                      </w:rPr>
                    </w:pPr>
                    <w:r>
                      <w:rPr>
                        <w:rFonts w:ascii="宋体" w:hAnsi="宋体" w:eastAsia="宋体" w:cs="宋体"/>
                        <w:spacing w:val="-11"/>
                        <w:sz w:val="19"/>
                        <w:szCs w:val="19"/>
                      </w:rPr>
                      <w:t>威胁信息</w:t>
                    </w:r>
                  </w:p>
                  <w:p w14:paraId="3DD90A38">
                    <w:pPr>
                      <w:spacing w:before="152" w:line="218" w:lineRule="auto"/>
                      <w:ind w:left="20"/>
                      <w:rPr>
                        <w:rFonts w:ascii="宋体" w:hAnsi="宋体" w:eastAsia="宋体" w:cs="宋体"/>
                        <w:sz w:val="19"/>
                        <w:szCs w:val="19"/>
                      </w:rPr>
                    </w:pPr>
                    <w:r>
                      <w:rPr>
                        <w:rFonts w:ascii="宋体" w:hAnsi="宋体" w:eastAsia="宋体" w:cs="宋体"/>
                        <w:spacing w:val="-15"/>
                        <w:sz w:val="19"/>
                        <w:szCs w:val="19"/>
                      </w:rPr>
                      <w:t>评估脆弱性</w:t>
                    </w:r>
                  </w:p>
                  <w:p w14:paraId="3037D364">
                    <w:pPr>
                      <w:spacing w:before="146" w:line="219" w:lineRule="auto"/>
                      <w:ind w:right="6"/>
                      <w:jc w:val="right"/>
                      <w:rPr>
                        <w:rFonts w:ascii="宋体" w:hAnsi="宋体" w:eastAsia="宋体" w:cs="宋体"/>
                        <w:sz w:val="19"/>
                        <w:szCs w:val="19"/>
                      </w:rPr>
                    </w:pPr>
                    <w:r>
                      <w:rPr>
                        <w:rFonts w:ascii="宋体" w:hAnsi="宋体" w:eastAsia="宋体" w:cs="宋体"/>
                        <w:spacing w:val="-11"/>
                        <w:sz w:val="19"/>
                        <w:szCs w:val="19"/>
                      </w:rPr>
                      <w:t>脆弱性信息</w:t>
                    </w:r>
                  </w:p>
                  <w:p w14:paraId="35EB2FFE">
                    <w:pPr>
                      <w:spacing w:before="124" w:line="218" w:lineRule="auto"/>
                      <w:ind w:left="90"/>
                      <w:rPr>
                        <w:rFonts w:ascii="宋体" w:hAnsi="宋体" w:eastAsia="宋体" w:cs="宋体"/>
                        <w:sz w:val="19"/>
                        <w:szCs w:val="19"/>
                      </w:rPr>
                    </w:pPr>
                    <w:r>
                      <w:rPr>
                        <w:rFonts w:ascii="宋体" w:hAnsi="宋体" w:eastAsia="宋体" w:cs="宋体"/>
                        <w:spacing w:val="-13"/>
                        <w:sz w:val="19"/>
                        <w:szCs w:val="19"/>
                      </w:rPr>
                      <w:t>评估影响</w:t>
                    </w:r>
                  </w:p>
                  <w:p w14:paraId="664E4FDB">
                    <w:pPr>
                      <w:spacing w:before="117" w:line="219" w:lineRule="auto"/>
                      <w:ind w:left="1389"/>
                      <w:rPr>
                        <w:rFonts w:ascii="宋体" w:hAnsi="宋体" w:eastAsia="宋体" w:cs="宋体"/>
                        <w:sz w:val="19"/>
                        <w:szCs w:val="19"/>
                      </w:rPr>
                    </w:pPr>
                    <w:r>
                      <w:rPr>
                        <w:rFonts w:ascii="宋体" w:hAnsi="宋体" w:eastAsia="宋体" w:cs="宋体"/>
                        <w:spacing w:val="-13"/>
                        <w:sz w:val="19"/>
                        <w:szCs w:val="19"/>
                      </w:rPr>
                      <w:t>影响信息</w:t>
                    </w:r>
                  </w:p>
                </w:txbxContent>
              </v:textbox>
            </v:shape>
            <v:shape id="_x0000_s1141" o:spid="_x0000_s1141" o:spt="202" type="#_x0000_t202" style="position:absolute;left:2859;top:946;height:230;width:1068;" filled="f" stroked="f" coordsize="21600,21600">
              <v:path/>
              <v:fill on="f" focussize="0,0"/>
              <v:stroke on="f"/>
              <v:imagedata o:title=""/>
              <o:lock v:ext="edit" aspectratio="f"/>
              <v:textbox inset="0mm,0mm,0mm,0mm">
                <w:txbxContent>
                  <w:p w14:paraId="71B465C4">
                    <w:pPr>
                      <w:spacing w:before="19" w:line="218" w:lineRule="auto"/>
                      <w:ind w:right="1"/>
                      <w:jc w:val="right"/>
                      <w:rPr>
                        <w:rFonts w:ascii="宋体" w:hAnsi="宋体" w:eastAsia="宋体" w:cs="宋体"/>
                        <w:sz w:val="19"/>
                        <w:szCs w:val="19"/>
                      </w:rPr>
                    </w:pPr>
                    <w:r>
                      <w:rPr>
                        <w:rFonts w:ascii="宋体" w:hAnsi="宋体" w:eastAsia="宋体" w:cs="宋体"/>
                        <w:spacing w:val="-18"/>
                        <w:sz w:val="19"/>
                        <w:szCs w:val="19"/>
                      </w:rPr>
                      <w:t>评</w:t>
                    </w:r>
                    <w:r>
                      <w:rPr>
                        <w:rFonts w:ascii="宋体" w:hAnsi="宋体" w:eastAsia="宋体" w:cs="宋体"/>
                        <w:spacing w:val="-17"/>
                        <w:sz w:val="19"/>
                        <w:szCs w:val="19"/>
                      </w:rPr>
                      <w:t>估安全风</w:t>
                    </w:r>
                    <w:r>
                      <w:rPr>
                        <w:rFonts w:ascii="宋体" w:hAnsi="宋体" w:eastAsia="宋体" w:cs="宋体"/>
                        <w:spacing w:val="-10"/>
                        <w:sz w:val="19"/>
                        <w:szCs w:val="19"/>
                      </w:rPr>
                      <w:t>险</w:t>
                    </w:r>
                  </w:p>
                </w:txbxContent>
              </v:textbox>
            </v:shape>
            <v:shape id="_x0000_s1142" o:spid="_x0000_s1142" o:spt="202" type="#_x0000_t202" style="position:absolute;left:4209;top:1287;height:230;width:744;" filled="f" stroked="f" coordsize="21600,21600">
              <v:path/>
              <v:fill on="f" focussize="0,0"/>
              <v:stroke on="f"/>
              <v:imagedata o:title=""/>
              <o:lock v:ext="edit" aspectratio="f"/>
              <v:textbox inset="0mm,0mm,0mm,0mm">
                <w:txbxContent>
                  <w:p w14:paraId="0619EC16">
                    <w:pPr>
                      <w:spacing w:before="20" w:line="219" w:lineRule="auto"/>
                      <w:ind w:left="20"/>
                      <w:rPr>
                        <w:rFonts w:ascii="宋体" w:hAnsi="宋体" w:eastAsia="宋体" w:cs="宋体"/>
                        <w:sz w:val="19"/>
                        <w:szCs w:val="19"/>
                      </w:rPr>
                    </w:pPr>
                    <w:r>
                      <w:rPr>
                        <w:rFonts w:ascii="宋体" w:hAnsi="宋体" w:eastAsia="宋体" w:cs="宋体"/>
                        <w:spacing w:val="-11"/>
                        <w:sz w:val="19"/>
                        <w:szCs w:val="19"/>
                      </w:rPr>
                      <w:t>风险信息</w:t>
                    </w:r>
                  </w:p>
                </w:txbxContent>
              </v:textbox>
            </v:shape>
            <w10:wrap type="none"/>
            <w10:anchorlock/>
          </v:group>
        </w:pict>
      </w:r>
    </w:p>
    <w:p w14:paraId="7DF537D2">
      <w:pPr>
        <w:pStyle w:val="2"/>
        <w:spacing w:before="150" w:line="219" w:lineRule="auto"/>
        <w:ind w:left="3589"/>
        <w:rPr>
          <w:sz w:val="19"/>
          <w:szCs w:val="19"/>
        </w:rPr>
      </w:pPr>
      <w:r>
        <w:rPr>
          <w:spacing w:val="-7"/>
          <w:sz w:val="19"/>
          <w:szCs w:val="19"/>
        </w:rPr>
        <w:t>图2-16</w:t>
      </w:r>
      <w:r>
        <w:rPr>
          <w:spacing w:val="66"/>
          <w:sz w:val="19"/>
          <w:szCs w:val="19"/>
        </w:rPr>
        <w:t xml:space="preserve"> </w:t>
      </w:r>
      <w:r>
        <w:rPr>
          <w:spacing w:val="-7"/>
          <w:sz w:val="19"/>
          <w:szCs w:val="19"/>
        </w:rPr>
        <w:t>风险管理过程</w:t>
      </w:r>
    </w:p>
    <w:p w14:paraId="0E9AA9AF">
      <w:pPr>
        <w:pStyle w:val="2"/>
        <w:spacing w:before="206" w:line="296" w:lineRule="auto"/>
        <w:ind w:left="299" w:firstLine="410"/>
        <w:jc w:val="both"/>
        <w:rPr>
          <w:sz w:val="19"/>
          <w:szCs w:val="19"/>
        </w:rPr>
      </w:pPr>
      <w:r>
        <w:rPr>
          <w:spacing w:val="15"/>
          <w:sz w:val="19"/>
          <w:szCs w:val="19"/>
        </w:rPr>
        <w:t>安全措施的实施可以减轻风险，但无论如何，不可能消除所有威</w:t>
      </w:r>
      <w:r>
        <w:rPr>
          <w:spacing w:val="14"/>
          <w:sz w:val="19"/>
          <w:szCs w:val="19"/>
        </w:rPr>
        <w:t>胁或根除某个具体威胁。</w:t>
      </w:r>
      <w:r>
        <w:rPr>
          <w:sz w:val="19"/>
          <w:szCs w:val="19"/>
        </w:rPr>
        <w:t xml:space="preserve"> </w:t>
      </w:r>
      <w:r>
        <w:rPr>
          <w:spacing w:val="13"/>
          <w:sz w:val="19"/>
          <w:szCs w:val="19"/>
        </w:rPr>
        <w:t>这主要是因为消除风险所需的代价，以及与风险相关的各种不确定性。</w:t>
      </w:r>
      <w:r>
        <w:rPr>
          <w:spacing w:val="12"/>
          <w:sz w:val="19"/>
          <w:szCs w:val="19"/>
        </w:rPr>
        <w:t>因此，必须接受残留的</w:t>
      </w:r>
      <w:r>
        <w:rPr>
          <w:sz w:val="19"/>
          <w:szCs w:val="19"/>
        </w:rPr>
        <w:t xml:space="preserve">  </w:t>
      </w:r>
      <w:r>
        <w:rPr>
          <w:spacing w:val="13"/>
          <w:sz w:val="19"/>
          <w:szCs w:val="19"/>
        </w:rPr>
        <w:t>风险。在存在很大不确定性的情况下，由于风险度量不精</w:t>
      </w:r>
      <w:r>
        <w:rPr>
          <w:spacing w:val="12"/>
          <w:sz w:val="19"/>
          <w:szCs w:val="19"/>
        </w:rPr>
        <w:t>确的本质特征，在怎样的程度上接受</w:t>
      </w:r>
      <w:r>
        <w:rPr>
          <w:sz w:val="19"/>
          <w:szCs w:val="19"/>
        </w:rPr>
        <w:t xml:space="preserve">  </w:t>
      </w:r>
      <w:r>
        <w:rPr>
          <w:spacing w:val="10"/>
          <w:sz w:val="19"/>
          <w:szCs w:val="19"/>
        </w:rPr>
        <w:t>它才是恰当的，往往会成为很大的问题。</w:t>
      </w:r>
      <w:r>
        <w:rPr>
          <w:spacing w:val="-32"/>
          <w:sz w:val="19"/>
          <w:szCs w:val="19"/>
        </w:rPr>
        <w:t xml:space="preserve"> </w:t>
      </w:r>
      <w:r>
        <w:rPr>
          <w:rFonts w:ascii="Times New Roman" w:hAnsi="Times New Roman" w:eastAsia="Times New Roman" w:cs="Times New Roman"/>
          <w:sz w:val="19"/>
          <w:szCs w:val="19"/>
        </w:rPr>
        <w:t>ISSE</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CMM</w:t>
      </w:r>
      <w:r>
        <w:rPr>
          <w:rFonts w:ascii="Times New Roman" w:hAnsi="Times New Roman" w:eastAsia="Times New Roman" w:cs="Times New Roman"/>
          <w:spacing w:val="10"/>
          <w:sz w:val="19"/>
          <w:szCs w:val="19"/>
        </w:rPr>
        <w:t xml:space="preserve">  </w:t>
      </w:r>
      <w:r>
        <w:rPr>
          <w:spacing w:val="10"/>
          <w:sz w:val="19"/>
          <w:szCs w:val="19"/>
        </w:rPr>
        <w:t>过程域包括实施组织对威胁、脆弱性、影</w:t>
      </w:r>
      <w:r>
        <w:rPr>
          <w:sz w:val="19"/>
          <w:szCs w:val="19"/>
        </w:rPr>
        <w:t xml:space="preserve">  </w:t>
      </w:r>
      <w:r>
        <w:rPr>
          <w:spacing w:val="5"/>
          <w:sz w:val="19"/>
          <w:szCs w:val="19"/>
        </w:rPr>
        <w:t>响和相关风险进行分析的活动保证。</w:t>
      </w:r>
    </w:p>
    <w:p w14:paraId="53605192">
      <w:pPr>
        <w:spacing w:before="118" w:line="229" w:lineRule="auto"/>
        <w:ind w:left="709"/>
        <w:rPr>
          <w:rFonts w:ascii="楷体" w:hAnsi="楷体" w:eastAsia="楷体" w:cs="楷体"/>
          <w:sz w:val="19"/>
          <w:szCs w:val="19"/>
        </w:rPr>
      </w:pPr>
      <w:r>
        <w:rPr>
          <w:rFonts w:ascii="楷体" w:hAnsi="楷体" w:eastAsia="楷体" w:cs="楷体"/>
          <w:spacing w:val="25"/>
          <w:sz w:val="19"/>
          <w:szCs w:val="19"/>
        </w:rPr>
        <w:t>3)保证过程</w:t>
      </w:r>
    </w:p>
    <w:p w14:paraId="6C2B8B01">
      <w:pPr>
        <w:pStyle w:val="2"/>
        <w:spacing w:before="93" w:line="292" w:lineRule="auto"/>
        <w:ind w:left="299" w:right="68" w:firstLine="410"/>
        <w:rPr>
          <w:sz w:val="19"/>
          <w:szCs w:val="19"/>
        </w:rPr>
      </w:pPr>
      <w:r>
        <w:rPr>
          <w:spacing w:val="13"/>
          <w:sz w:val="19"/>
          <w:szCs w:val="19"/>
        </w:rPr>
        <w:t>保证过程是指安全需求得到满足的可信程度，它是信息安全系统工程非常重要的产品</w:t>
      </w:r>
      <w:r>
        <w:rPr>
          <w:spacing w:val="12"/>
          <w:sz w:val="19"/>
          <w:szCs w:val="19"/>
        </w:rPr>
        <w:t>，保</w:t>
      </w:r>
      <w:r>
        <w:rPr>
          <w:sz w:val="19"/>
          <w:szCs w:val="19"/>
        </w:rPr>
        <w:t xml:space="preserve"> </w:t>
      </w:r>
      <w:r>
        <w:rPr>
          <w:spacing w:val="9"/>
          <w:sz w:val="19"/>
          <w:szCs w:val="19"/>
        </w:rPr>
        <w:t>证过程如图2-17所示。保证的形式多种多样。</w:t>
      </w:r>
      <w:r>
        <w:rPr>
          <w:spacing w:val="-35"/>
          <w:sz w:val="19"/>
          <w:szCs w:val="19"/>
        </w:rPr>
        <w:t xml:space="preserve"> </w:t>
      </w:r>
      <w:r>
        <w:rPr>
          <w:sz w:val="19"/>
          <w:szCs w:val="19"/>
        </w:rPr>
        <w:t>ISSE</w:t>
      </w:r>
      <w:r>
        <w:rPr>
          <w:spacing w:val="9"/>
          <w:sz w:val="19"/>
          <w:szCs w:val="19"/>
        </w:rPr>
        <w:t>-</w:t>
      </w:r>
      <w:r>
        <w:rPr>
          <w:sz w:val="19"/>
          <w:szCs w:val="19"/>
        </w:rPr>
        <w:t>CMM</w:t>
      </w:r>
      <w:r>
        <w:rPr>
          <w:spacing w:val="1"/>
          <w:sz w:val="19"/>
          <w:szCs w:val="19"/>
        </w:rPr>
        <w:t xml:space="preserve">   </w:t>
      </w:r>
      <w:r>
        <w:rPr>
          <w:spacing w:val="9"/>
          <w:sz w:val="19"/>
          <w:szCs w:val="19"/>
        </w:rPr>
        <w:t>的可信程度</w:t>
      </w:r>
      <w:r>
        <w:rPr>
          <w:spacing w:val="8"/>
          <w:sz w:val="19"/>
          <w:szCs w:val="19"/>
        </w:rPr>
        <w:t>来自信息安全系统工程实</w:t>
      </w:r>
      <w:r>
        <w:rPr>
          <w:sz w:val="19"/>
          <w:szCs w:val="19"/>
        </w:rPr>
        <w:t xml:space="preserve"> </w:t>
      </w:r>
      <w:r>
        <w:rPr>
          <w:spacing w:val="8"/>
          <w:sz w:val="19"/>
          <w:szCs w:val="19"/>
        </w:rPr>
        <w:t>施过程可重复性的结果质量，成熟的组织比不成熟的组织更可能产生出重复的结果。</w:t>
      </w:r>
    </w:p>
    <w:p w14:paraId="0C74AE62">
      <w:pPr>
        <w:pStyle w:val="2"/>
        <w:spacing w:before="60" w:line="1530" w:lineRule="exact"/>
        <w:ind w:firstLine="1899"/>
      </w:pPr>
      <w:r>
        <w:rPr>
          <w:position w:val="-30"/>
        </w:rPr>
        <w:pict>
          <v:group id="_x0000_s1143" o:spid="_x0000_s1143" o:spt="203" style="height:76.55pt;width:253.55pt;" coordsize="5071,1531">
            <o:lock v:ext="edit"/>
            <v:shape id="_x0000_s1144" o:spid="_x0000_s1144" o:spt="75" type="#_x0000_t75" style="position:absolute;left:0;top:0;height:1531;width:5071;" filled="f" stroked="f" coordsize="21600,21600">
              <v:path/>
              <v:fill on="f" focussize="0,0"/>
              <v:stroke on="f"/>
              <v:imagedata r:id="rId63" o:title=""/>
              <o:lock v:ext="edit" aspectratio="t"/>
            </v:shape>
            <v:shape id="_x0000_s1145" o:spid="_x0000_s1145" o:spt="202" type="#_x0000_t202" style="position:absolute;left:150;top:198;height:1180;width:2301;" filled="f" stroked="f" coordsize="21600,21600">
              <v:path/>
              <v:fill on="f" focussize="0,0"/>
              <v:stroke on="f"/>
              <v:imagedata o:title=""/>
              <o:lock v:ext="edit" aspectratio="f"/>
              <v:textbox inset="0mm,0mm,0mm,0mm">
                <w:txbxContent>
                  <w:p w14:paraId="436ED1CE">
                    <w:pPr>
                      <w:spacing w:before="20" w:line="220" w:lineRule="auto"/>
                      <w:ind w:left="20"/>
                      <w:rPr>
                        <w:rFonts w:ascii="宋体" w:hAnsi="宋体" w:eastAsia="宋体" w:cs="宋体"/>
                        <w:sz w:val="19"/>
                        <w:szCs w:val="19"/>
                      </w:rPr>
                    </w:pPr>
                    <w:r>
                      <w:rPr>
                        <w:rFonts w:ascii="宋体" w:hAnsi="宋体" w:eastAsia="宋体" w:cs="宋体"/>
                        <w:spacing w:val="-17"/>
                        <w:sz w:val="19"/>
                        <w:szCs w:val="19"/>
                      </w:rPr>
                      <w:t>验证和证实安全</w:t>
                    </w:r>
                  </w:p>
                  <w:p w14:paraId="7AD4BE2F">
                    <w:pPr>
                      <w:spacing w:before="143" w:line="219" w:lineRule="auto"/>
                      <w:jc w:val="right"/>
                      <w:rPr>
                        <w:rFonts w:ascii="宋体" w:hAnsi="宋体" w:eastAsia="宋体" w:cs="宋体"/>
                        <w:sz w:val="19"/>
                        <w:szCs w:val="19"/>
                      </w:rPr>
                    </w:pPr>
                    <w:r>
                      <w:rPr>
                        <w:rFonts w:ascii="宋体" w:hAnsi="宋体" w:eastAsia="宋体" w:cs="宋体"/>
                        <w:spacing w:val="-10"/>
                        <w:sz w:val="19"/>
                        <w:szCs w:val="19"/>
                      </w:rPr>
                      <w:t>证据</w:t>
                    </w:r>
                  </w:p>
                  <w:p w14:paraId="35EB7BA7">
                    <w:pPr>
                      <w:spacing w:line="291" w:lineRule="auto"/>
                      <w:rPr>
                        <w:rFonts w:ascii="Arial"/>
                        <w:sz w:val="21"/>
                      </w:rPr>
                    </w:pPr>
                  </w:p>
                  <w:p w14:paraId="5E7773FB">
                    <w:pPr>
                      <w:spacing w:before="61" w:line="219" w:lineRule="auto"/>
                      <w:ind w:left="320"/>
                      <w:rPr>
                        <w:rFonts w:ascii="宋体" w:hAnsi="宋体" w:eastAsia="宋体" w:cs="宋体"/>
                        <w:sz w:val="19"/>
                        <w:szCs w:val="19"/>
                      </w:rPr>
                    </w:pPr>
                    <w:r>
                      <w:rPr>
                        <w:rFonts w:ascii="宋体" w:hAnsi="宋体" w:eastAsia="宋体" w:cs="宋体"/>
                        <w:spacing w:val="-13"/>
                        <w:sz w:val="19"/>
                        <w:szCs w:val="19"/>
                      </w:rPr>
                      <w:t>其他多个过程域</w:t>
                    </w:r>
                  </w:p>
                </w:txbxContent>
              </v:textbox>
            </v:shape>
            <v:shape id="_x0000_s1146" o:spid="_x0000_s1146" o:spt="202" type="#_x0000_t202" style="position:absolute;left:2940;top:697;height:230;width:1050;" filled="f" stroked="f" coordsize="21600,21600">
              <v:path/>
              <v:fill on="f" focussize="0,0"/>
              <v:stroke on="f"/>
              <v:imagedata o:title=""/>
              <o:lock v:ext="edit" aspectratio="f"/>
              <v:textbox inset="0mm,0mm,0mm,0mm">
                <w:txbxContent>
                  <w:p w14:paraId="22BBF156">
                    <w:pPr>
                      <w:spacing w:before="20" w:line="219" w:lineRule="auto"/>
                      <w:jc w:val="right"/>
                      <w:rPr>
                        <w:rFonts w:ascii="宋体" w:hAnsi="宋体" w:eastAsia="宋体" w:cs="宋体"/>
                        <w:sz w:val="19"/>
                        <w:szCs w:val="19"/>
                      </w:rPr>
                    </w:pPr>
                    <w:r>
                      <w:rPr>
                        <w:rFonts w:ascii="宋体" w:hAnsi="宋体" w:eastAsia="宋体" w:cs="宋体"/>
                        <w:spacing w:val="-15"/>
                        <w:w w:val="95"/>
                        <w:sz w:val="19"/>
                        <w:szCs w:val="19"/>
                      </w:rPr>
                      <w:t>建立</w:t>
                    </w:r>
                    <w:r>
                      <w:rPr>
                        <w:rFonts w:ascii="宋体" w:hAnsi="宋体" w:eastAsia="宋体" w:cs="宋体"/>
                        <w:spacing w:val="-14"/>
                        <w:w w:val="95"/>
                        <w:sz w:val="19"/>
                        <w:szCs w:val="19"/>
                      </w:rPr>
                      <w:t>保证论</w:t>
                    </w:r>
                    <w:r>
                      <w:rPr>
                        <w:rFonts w:ascii="宋体" w:hAnsi="宋体" w:eastAsia="宋体" w:cs="宋体"/>
                        <w:spacing w:val="-12"/>
                        <w:w w:val="95"/>
                        <w:sz w:val="19"/>
                        <w:szCs w:val="19"/>
                      </w:rPr>
                      <w:t>据</w:t>
                    </w:r>
                  </w:p>
                </w:txbxContent>
              </v:textbox>
            </v:shape>
            <v:shape id="_x0000_s1147" o:spid="_x0000_s1147" o:spt="202" type="#_x0000_t202" style="position:absolute;left:4309;top:1067;height:230;width:730;" filled="f" stroked="f" coordsize="21600,21600">
              <v:path/>
              <v:fill on="f" focussize="0,0"/>
              <v:stroke on="f"/>
              <v:imagedata o:title=""/>
              <o:lock v:ext="edit" aspectratio="f"/>
              <v:textbox inset="0mm,0mm,0mm,0mm">
                <w:txbxContent>
                  <w:p w14:paraId="3B443052">
                    <w:pPr>
                      <w:spacing w:before="20" w:line="219" w:lineRule="auto"/>
                      <w:ind w:right="2"/>
                      <w:jc w:val="right"/>
                      <w:rPr>
                        <w:rFonts w:ascii="宋体" w:hAnsi="宋体" w:eastAsia="宋体" w:cs="宋体"/>
                        <w:sz w:val="19"/>
                        <w:szCs w:val="19"/>
                      </w:rPr>
                    </w:pPr>
                    <w:r>
                      <w:rPr>
                        <w:rFonts w:ascii="宋体" w:hAnsi="宋体" w:eastAsia="宋体" w:cs="宋体"/>
                        <w:spacing w:val="-14"/>
                        <w:sz w:val="19"/>
                        <w:szCs w:val="19"/>
                      </w:rPr>
                      <w:t>保证论据</w:t>
                    </w:r>
                  </w:p>
                </w:txbxContent>
              </v:textbox>
            </v:shape>
            <w10:wrap type="none"/>
            <w10:anchorlock/>
          </v:group>
        </w:pict>
      </w:r>
    </w:p>
    <w:p w14:paraId="4B439F45">
      <w:pPr>
        <w:pStyle w:val="2"/>
        <w:spacing w:before="28" w:line="219" w:lineRule="auto"/>
        <w:ind w:left="3999"/>
        <w:rPr>
          <w:sz w:val="19"/>
          <w:szCs w:val="19"/>
        </w:rPr>
      </w:pPr>
      <w:r>
        <w:rPr>
          <w:spacing w:val="-13"/>
          <w:sz w:val="19"/>
          <w:szCs w:val="19"/>
        </w:rPr>
        <w:t>证据</w:t>
      </w:r>
    </w:p>
    <w:p w14:paraId="5011CB69">
      <w:pPr>
        <w:pStyle w:val="2"/>
        <w:spacing w:before="85" w:line="220" w:lineRule="auto"/>
        <w:ind w:left="3749"/>
        <w:rPr>
          <w:sz w:val="19"/>
          <w:szCs w:val="19"/>
        </w:rPr>
      </w:pPr>
      <w:r>
        <w:rPr>
          <w:sz w:val="19"/>
          <w:szCs w:val="19"/>
        </w:rPr>
        <w:t>图2-17</w:t>
      </w:r>
      <w:r>
        <w:rPr>
          <w:spacing w:val="47"/>
          <w:sz w:val="19"/>
          <w:szCs w:val="19"/>
        </w:rPr>
        <w:t xml:space="preserve"> </w:t>
      </w:r>
      <w:r>
        <w:rPr>
          <w:sz w:val="19"/>
          <w:szCs w:val="19"/>
        </w:rPr>
        <w:t>保证过程</w:t>
      </w:r>
    </w:p>
    <w:p w14:paraId="62AC2771">
      <w:pPr>
        <w:spacing w:line="220" w:lineRule="auto"/>
        <w:rPr>
          <w:sz w:val="19"/>
          <w:szCs w:val="19"/>
        </w:rPr>
        <w:sectPr>
          <w:pgSz w:w="10310" w:h="13330"/>
          <w:pgMar w:top="400" w:right="1044" w:bottom="400" w:left="570" w:header="0" w:footer="0" w:gutter="0"/>
          <w:cols w:space="720" w:num="1"/>
        </w:sectPr>
      </w:pPr>
    </w:p>
    <w:p w14:paraId="010F7E96">
      <w:pPr>
        <w:pStyle w:val="2"/>
        <w:spacing w:before="86" w:line="219" w:lineRule="auto"/>
        <w:jc w:val="right"/>
        <w:rPr>
          <w:rFonts w:ascii="Times New Roman" w:hAnsi="Times New Roman" w:eastAsia="Times New Roman" w:cs="Times New Roman"/>
          <w:sz w:val="16"/>
          <w:szCs w:val="16"/>
        </w:rPr>
      </w:pPr>
      <w:r>
        <w:rPr>
          <w:spacing w:val="-2"/>
          <w:sz w:val="20"/>
          <w:szCs w:val="20"/>
        </w:rPr>
        <w:t>第2章 信息系统工程</w:t>
      </w:r>
      <w:r>
        <w:rPr>
          <w:spacing w:val="14"/>
          <w:sz w:val="20"/>
          <w:szCs w:val="20"/>
        </w:rPr>
        <w:t xml:space="preserve">      </w:t>
      </w:r>
      <w:r>
        <w:rPr>
          <w:rFonts w:ascii="Times New Roman" w:hAnsi="Times New Roman" w:eastAsia="Times New Roman" w:cs="Times New Roman"/>
          <w:b/>
          <w:bCs/>
          <w:spacing w:val="-2"/>
          <w:sz w:val="16"/>
          <w:szCs w:val="16"/>
        </w:rPr>
        <w:t>89</w:t>
      </w:r>
    </w:p>
    <w:p w14:paraId="29BFC06A">
      <w:pPr>
        <w:spacing w:line="279" w:lineRule="auto"/>
        <w:rPr>
          <w:rFonts w:ascii="Arial"/>
          <w:sz w:val="21"/>
        </w:rPr>
      </w:pPr>
    </w:p>
    <w:p w14:paraId="0250D2CB">
      <w:pPr>
        <w:pStyle w:val="2"/>
        <w:spacing w:before="65" w:line="290" w:lineRule="auto"/>
        <w:ind w:right="242" w:firstLine="399"/>
        <w:jc w:val="both"/>
        <w:rPr>
          <w:sz w:val="20"/>
          <w:szCs w:val="20"/>
        </w:rPr>
      </w:pPr>
      <w:r>
        <w:rPr>
          <w:spacing w:val="3"/>
          <w:sz w:val="20"/>
          <w:szCs w:val="20"/>
        </w:rPr>
        <w:t>安全保证并不能增加任何额外的对安全相关风险的抵抗能力，但它</w:t>
      </w:r>
      <w:r>
        <w:rPr>
          <w:spacing w:val="2"/>
          <w:sz w:val="20"/>
          <w:szCs w:val="20"/>
        </w:rPr>
        <w:t>能为减少预期安全风险</w:t>
      </w:r>
      <w:r>
        <w:rPr>
          <w:sz w:val="20"/>
          <w:szCs w:val="20"/>
        </w:rPr>
        <w:t xml:space="preserve"> </w:t>
      </w:r>
      <w:r>
        <w:rPr>
          <w:spacing w:val="3"/>
          <w:sz w:val="20"/>
          <w:szCs w:val="20"/>
        </w:rPr>
        <w:t>提供信心。安全保证也可看作安全措施按照需求运行的信心。这种信心来自措施及其部署的正</w:t>
      </w:r>
      <w:r>
        <w:rPr>
          <w:spacing w:val="7"/>
          <w:sz w:val="20"/>
          <w:szCs w:val="20"/>
        </w:rPr>
        <w:t xml:space="preserve"> </w:t>
      </w:r>
      <w:r>
        <w:rPr>
          <w:spacing w:val="3"/>
          <w:sz w:val="20"/>
          <w:szCs w:val="20"/>
        </w:rPr>
        <w:t>确性和有效性。正确性保证了安全措施按设计实现了需求，有效性则保证了提供的安全措施可</w:t>
      </w:r>
      <w:r>
        <w:rPr>
          <w:spacing w:val="4"/>
          <w:sz w:val="20"/>
          <w:szCs w:val="20"/>
        </w:rPr>
        <w:t xml:space="preserve"> </w:t>
      </w:r>
      <w:r>
        <w:rPr>
          <w:spacing w:val="3"/>
          <w:sz w:val="20"/>
          <w:szCs w:val="20"/>
        </w:rPr>
        <w:t>充分地满足用户的安全需求。安全机制的强度也会发挥作用，但其作用却受到保护级别和安全</w:t>
      </w:r>
      <w:r>
        <w:rPr>
          <w:spacing w:val="5"/>
          <w:sz w:val="20"/>
          <w:szCs w:val="20"/>
        </w:rPr>
        <w:t xml:space="preserve"> </w:t>
      </w:r>
      <w:r>
        <w:rPr>
          <w:spacing w:val="-5"/>
          <w:sz w:val="20"/>
          <w:szCs w:val="20"/>
        </w:rPr>
        <w:t>保证程度的制约。</w:t>
      </w:r>
    </w:p>
    <w:p w14:paraId="666D8F77">
      <w:pPr>
        <w:spacing w:before="95" w:line="224" w:lineRule="auto"/>
        <w:ind w:left="399"/>
        <w:rPr>
          <w:rFonts w:ascii="黑体" w:hAnsi="黑体" w:eastAsia="黑体" w:cs="黑体"/>
          <w:sz w:val="20"/>
          <w:szCs w:val="20"/>
        </w:rPr>
      </w:pPr>
      <w:r>
        <w:rPr>
          <w:rFonts w:ascii="Times New Roman" w:hAnsi="Times New Roman" w:eastAsia="Times New Roman" w:cs="Times New Roman"/>
          <w:b/>
          <w:bCs/>
          <w:color w:val="0071D4"/>
          <w:sz w:val="20"/>
          <w:szCs w:val="20"/>
        </w:rPr>
        <w:t>3.ISSE-CMM</w:t>
      </w:r>
      <w:r>
        <w:rPr>
          <w:rFonts w:ascii="Times New Roman" w:hAnsi="Times New Roman" w:eastAsia="Times New Roman" w:cs="Times New Roman"/>
          <w:b/>
          <w:bCs/>
          <w:color w:val="0071D4"/>
          <w:spacing w:val="37"/>
          <w:sz w:val="20"/>
          <w:szCs w:val="20"/>
        </w:rPr>
        <w:t xml:space="preserve"> </w:t>
      </w:r>
      <w:r>
        <w:rPr>
          <w:rFonts w:ascii="黑体" w:hAnsi="黑体" w:eastAsia="黑体" w:cs="黑体"/>
          <w:b/>
          <w:bCs/>
          <w:color w:val="0071D4"/>
          <w:sz w:val="20"/>
          <w:szCs w:val="20"/>
        </w:rPr>
        <w:t>体系结构</w:t>
      </w:r>
    </w:p>
    <w:p w14:paraId="47940CC1">
      <w:pPr>
        <w:pStyle w:val="2"/>
        <w:spacing w:before="126" w:line="306" w:lineRule="auto"/>
        <w:ind w:right="244" w:firstLine="399"/>
        <w:rPr>
          <w:sz w:val="20"/>
          <w:szCs w:val="20"/>
        </w:rPr>
      </w:pPr>
      <w:r>
        <w:rPr>
          <w:rFonts w:ascii="Times New Roman" w:hAnsi="Times New Roman" w:eastAsia="Times New Roman" w:cs="Times New Roman"/>
          <w:sz w:val="20"/>
          <w:szCs w:val="20"/>
        </w:rPr>
        <w:t>ISSE</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CMM</w:t>
      </w:r>
      <w:r>
        <w:rPr>
          <w:rFonts w:ascii="Times New Roman" w:hAnsi="Times New Roman" w:eastAsia="Times New Roman" w:cs="Times New Roman"/>
          <w:spacing w:val="6"/>
          <w:sz w:val="20"/>
          <w:szCs w:val="20"/>
        </w:rPr>
        <w:t xml:space="preserve"> </w:t>
      </w:r>
      <w:r>
        <w:rPr>
          <w:spacing w:val="6"/>
          <w:sz w:val="20"/>
          <w:szCs w:val="20"/>
        </w:rPr>
        <w:t>的体系结构模型采用两维设计，其中一维是“域”</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Domain</w:t>
      </w:r>
      <w:r>
        <w:rPr>
          <w:rFonts w:ascii="Times New Roman" w:hAnsi="Times New Roman" w:eastAsia="Times New Roman" w:cs="Times New Roman"/>
          <w:spacing w:val="6"/>
          <w:sz w:val="20"/>
          <w:szCs w:val="20"/>
        </w:rPr>
        <w:t xml:space="preserve">),     </w:t>
      </w:r>
      <w:r>
        <w:rPr>
          <w:spacing w:val="6"/>
          <w:sz w:val="20"/>
          <w:szCs w:val="20"/>
        </w:rPr>
        <w:t xml:space="preserve">另一维是“能 </w:t>
      </w:r>
      <w:r>
        <w:rPr>
          <w:spacing w:val="-4"/>
          <w:sz w:val="20"/>
          <w:szCs w:val="20"/>
        </w:rPr>
        <w:t>力”</w:t>
      </w:r>
      <w:r>
        <w:rPr>
          <w:rFonts w:ascii="Times New Roman" w:hAnsi="Times New Roman" w:eastAsia="Times New Roman" w:cs="Times New Roman"/>
          <w:spacing w:val="-4"/>
          <w:sz w:val="20"/>
          <w:szCs w:val="20"/>
        </w:rPr>
        <w:t>(Capability)</w:t>
      </w:r>
      <w:r>
        <w:rPr>
          <w:spacing w:val="-4"/>
          <w:sz w:val="20"/>
          <w:szCs w:val="20"/>
        </w:rPr>
        <w:t>。</w:t>
      </w:r>
    </w:p>
    <w:p w14:paraId="646D573A">
      <w:pPr>
        <w:spacing w:before="92" w:line="229" w:lineRule="auto"/>
        <w:ind w:left="399"/>
        <w:rPr>
          <w:rFonts w:ascii="楷体" w:hAnsi="楷体" w:eastAsia="楷体" w:cs="楷体"/>
          <w:sz w:val="20"/>
          <w:szCs w:val="20"/>
        </w:rPr>
      </w:pPr>
      <w:r>
        <w:rPr>
          <w:rFonts w:ascii="楷体" w:hAnsi="楷体" w:eastAsia="楷体" w:cs="楷体"/>
          <w:spacing w:val="13"/>
          <w:sz w:val="20"/>
          <w:szCs w:val="20"/>
        </w:rPr>
        <w:t>1)域维/安全过程域</w:t>
      </w:r>
    </w:p>
    <w:p w14:paraId="7F93D1E3">
      <w:pPr>
        <w:pStyle w:val="2"/>
        <w:spacing w:before="66" w:line="216" w:lineRule="auto"/>
        <w:ind w:left="399"/>
        <w:rPr>
          <w:sz w:val="20"/>
          <w:szCs w:val="20"/>
        </w:rPr>
      </w:pPr>
      <w:r>
        <w:rPr>
          <w:spacing w:val="5"/>
          <w:sz w:val="20"/>
          <w:szCs w:val="20"/>
        </w:rPr>
        <w:t>域维汇集了定义信息安全工程的所有实践活动，这</w:t>
      </w:r>
      <w:r>
        <w:rPr>
          <w:spacing w:val="4"/>
          <w:sz w:val="20"/>
          <w:szCs w:val="20"/>
        </w:rPr>
        <w:t>些实践活动称为过程域(</w:t>
      </w:r>
      <w:r>
        <w:rPr>
          <w:sz w:val="20"/>
          <w:szCs w:val="20"/>
        </w:rPr>
        <w:t>Process</w:t>
      </w:r>
      <w:r>
        <w:rPr>
          <w:spacing w:val="4"/>
          <w:sz w:val="20"/>
          <w:szCs w:val="20"/>
        </w:rPr>
        <w:t xml:space="preserve"> </w:t>
      </w:r>
      <w:r>
        <w:rPr>
          <w:sz w:val="20"/>
          <w:szCs w:val="20"/>
        </w:rPr>
        <w:t>Area</w:t>
      </w:r>
      <w:r>
        <w:rPr>
          <w:spacing w:val="4"/>
          <w:sz w:val="20"/>
          <w:szCs w:val="20"/>
        </w:rPr>
        <w:t>,</w:t>
      </w:r>
    </w:p>
    <w:p w14:paraId="142E6F2D">
      <w:pPr>
        <w:pStyle w:val="2"/>
        <w:spacing w:before="37" w:line="293" w:lineRule="auto"/>
        <w:ind w:right="174"/>
        <w:jc w:val="both"/>
        <w:rPr>
          <w:sz w:val="20"/>
          <w:szCs w:val="20"/>
        </w:rPr>
      </w:pPr>
      <w:r>
        <w:rPr>
          <w:rFonts w:ascii="Times New Roman" w:hAnsi="Times New Roman" w:eastAsia="Times New Roman" w:cs="Times New Roman"/>
          <w:sz w:val="20"/>
          <w:szCs w:val="20"/>
        </w:rPr>
        <w:t>PA</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3"/>
          <w:sz w:val="20"/>
          <w:szCs w:val="20"/>
        </w:rPr>
        <w:t xml:space="preserve"> </w:t>
      </w:r>
      <w:r>
        <w:rPr>
          <w:spacing w:val="5"/>
          <w:sz w:val="20"/>
          <w:szCs w:val="20"/>
        </w:rPr>
        <w:t>。</w:t>
      </w:r>
      <w:r>
        <w:rPr>
          <w:rFonts w:ascii="Times New Roman" w:hAnsi="Times New Roman" w:eastAsia="Times New Roman" w:cs="Times New Roman"/>
          <w:sz w:val="20"/>
          <w:szCs w:val="20"/>
        </w:rPr>
        <w:t>ISSE</w:t>
      </w:r>
      <w:r>
        <w:rPr>
          <w:rFonts w:ascii="Times New Roman" w:hAnsi="Times New Roman" w:eastAsia="Times New Roman" w:cs="Times New Roman"/>
          <w:spacing w:val="30"/>
          <w:w w:val="101"/>
          <w:sz w:val="20"/>
          <w:szCs w:val="20"/>
        </w:rPr>
        <w:t xml:space="preserve"> </w:t>
      </w:r>
      <w:r>
        <w:rPr>
          <w:spacing w:val="5"/>
          <w:sz w:val="20"/>
          <w:szCs w:val="20"/>
        </w:rPr>
        <w:t>包括6个基本实践，这些基本实践被组织成11个信息安全工程</w:t>
      </w:r>
      <w:r>
        <w:rPr>
          <w:spacing w:val="4"/>
          <w:sz w:val="20"/>
          <w:szCs w:val="20"/>
        </w:rPr>
        <w:t>过程域，这些过程域</w:t>
      </w:r>
      <w:r>
        <w:rPr>
          <w:sz w:val="20"/>
          <w:szCs w:val="20"/>
        </w:rPr>
        <w:t xml:space="preserve"> 覆盖了信息安全工程的所有主要领域。每一个过程域包括一组表示组织成功执行过程域的目标， </w:t>
      </w:r>
      <w:r>
        <w:rPr>
          <w:spacing w:val="-1"/>
          <w:sz w:val="20"/>
          <w:szCs w:val="20"/>
        </w:rPr>
        <w:t>每一个过程域也包括一组集成的基本实施，基本实施定义了获得过程域目标的必要步骤。</w:t>
      </w:r>
    </w:p>
    <w:p w14:paraId="61342285">
      <w:pPr>
        <w:pStyle w:val="2"/>
        <w:spacing w:before="29" w:line="219" w:lineRule="auto"/>
        <w:ind w:left="399"/>
        <w:rPr>
          <w:sz w:val="20"/>
          <w:szCs w:val="20"/>
        </w:rPr>
      </w:pPr>
      <w:r>
        <w:rPr>
          <w:spacing w:val="-5"/>
          <w:sz w:val="20"/>
          <w:szCs w:val="20"/>
        </w:rPr>
        <w:t>基本实施的特性包括：</w:t>
      </w:r>
    </w:p>
    <w:p w14:paraId="59F79033">
      <w:pPr>
        <w:pStyle w:val="2"/>
        <w:spacing w:before="84" w:line="219" w:lineRule="auto"/>
        <w:ind w:left="399"/>
        <w:rPr>
          <w:sz w:val="20"/>
          <w:szCs w:val="20"/>
        </w:rPr>
      </w:pPr>
      <w:r>
        <w:rPr>
          <w:spacing w:val="-1"/>
          <w:sz w:val="20"/>
          <w:szCs w:val="20"/>
        </w:rPr>
        <w:t>●应用于整个组织生命期；</w:t>
      </w:r>
    </w:p>
    <w:p w14:paraId="6E0D543D">
      <w:pPr>
        <w:pStyle w:val="2"/>
        <w:spacing w:before="91" w:line="219" w:lineRule="auto"/>
        <w:ind w:left="399"/>
        <w:rPr>
          <w:sz w:val="20"/>
          <w:szCs w:val="20"/>
        </w:rPr>
      </w:pPr>
      <w:r>
        <w:rPr>
          <w:spacing w:val="1"/>
          <w:sz w:val="20"/>
          <w:szCs w:val="20"/>
        </w:rPr>
        <w:t>●和其他基本实践互相不覆盖；</w:t>
      </w:r>
    </w:p>
    <w:p w14:paraId="5E65F8D8">
      <w:pPr>
        <w:pStyle w:val="2"/>
        <w:spacing w:before="84" w:line="219" w:lineRule="auto"/>
        <w:ind w:left="399"/>
        <w:rPr>
          <w:sz w:val="20"/>
          <w:szCs w:val="20"/>
        </w:rPr>
      </w:pPr>
      <w:r>
        <w:rPr>
          <w:spacing w:val="-4"/>
          <w:sz w:val="20"/>
          <w:szCs w:val="20"/>
        </w:rPr>
        <w:t>●代表安全业界“最好的实施”;</w:t>
      </w:r>
    </w:p>
    <w:p w14:paraId="39F0457C">
      <w:pPr>
        <w:pStyle w:val="2"/>
        <w:spacing w:before="92" w:line="219" w:lineRule="auto"/>
        <w:ind w:left="399"/>
        <w:rPr>
          <w:sz w:val="20"/>
          <w:szCs w:val="20"/>
        </w:rPr>
      </w:pPr>
      <w:r>
        <w:rPr>
          <w:spacing w:val="2"/>
          <w:sz w:val="20"/>
          <w:szCs w:val="20"/>
        </w:rPr>
        <w:t>●不是简单地反映当前技术；</w:t>
      </w:r>
    </w:p>
    <w:p w14:paraId="7C8A6839">
      <w:pPr>
        <w:pStyle w:val="2"/>
        <w:spacing w:before="74" w:line="219" w:lineRule="auto"/>
        <w:ind w:left="399"/>
        <w:rPr>
          <w:sz w:val="20"/>
          <w:szCs w:val="20"/>
        </w:rPr>
      </w:pPr>
      <w:r>
        <w:rPr>
          <w:spacing w:val="1"/>
          <w:sz w:val="20"/>
          <w:szCs w:val="20"/>
        </w:rPr>
        <w:t>●可在业务环境下以多种方法使用；</w:t>
      </w:r>
    </w:p>
    <w:p w14:paraId="451F3F6A">
      <w:pPr>
        <w:pStyle w:val="2"/>
        <w:spacing w:before="93" w:line="219" w:lineRule="auto"/>
        <w:ind w:left="399"/>
        <w:rPr>
          <w:sz w:val="20"/>
          <w:szCs w:val="20"/>
        </w:rPr>
      </w:pPr>
      <w:r>
        <w:rPr>
          <w:spacing w:val="2"/>
          <w:sz w:val="20"/>
          <w:szCs w:val="20"/>
        </w:rPr>
        <w:t>●不指定特定的方法或工具。</w:t>
      </w:r>
    </w:p>
    <w:p w14:paraId="312B8F4E">
      <w:pPr>
        <w:pStyle w:val="2"/>
        <w:spacing w:before="72" w:line="277" w:lineRule="auto"/>
        <w:ind w:right="174" w:firstLine="399"/>
        <w:jc w:val="both"/>
        <w:rPr>
          <w:sz w:val="20"/>
          <w:szCs w:val="20"/>
        </w:rPr>
      </w:pPr>
      <w:r>
        <w:rPr>
          <w:spacing w:val="1"/>
          <w:sz w:val="20"/>
          <w:szCs w:val="20"/>
        </w:rPr>
        <w:t>由基本实施组成的11个安全工程过程域包括：</w:t>
      </w:r>
      <w:r>
        <w:rPr>
          <w:rFonts w:ascii="Times New Roman" w:hAnsi="Times New Roman" w:eastAsia="Times New Roman" w:cs="Times New Roman"/>
          <w:sz w:val="20"/>
          <w:szCs w:val="20"/>
        </w:rPr>
        <w:t>PA</w:t>
      </w:r>
      <w:r>
        <w:rPr>
          <w:rFonts w:ascii="Times New Roman" w:hAnsi="Times New Roman" w:eastAsia="Times New Roman" w:cs="Times New Roman"/>
          <w:spacing w:val="1"/>
          <w:sz w:val="20"/>
          <w:szCs w:val="20"/>
        </w:rPr>
        <w:t xml:space="preserve">01 </w:t>
      </w:r>
      <w:r>
        <w:rPr>
          <w:spacing w:val="1"/>
          <w:sz w:val="20"/>
          <w:szCs w:val="20"/>
        </w:rPr>
        <w:t>实施</w:t>
      </w:r>
      <w:r>
        <w:rPr>
          <w:sz w:val="20"/>
          <w:szCs w:val="20"/>
        </w:rPr>
        <w:t>安全控制、</w:t>
      </w:r>
      <w:r>
        <w:rPr>
          <w:rFonts w:ascii="Times New Roman" w:hAnsi="Times New Roman" w:eastAsia="Times New Roman" w:cs="Times New Roman"/>
          <w:sz w:val="20"/>
          <w:szCs w:val="20"/>
        </w:rPr>
        <w:t>PA02</w:t>
      </w:r>
      <w:r>
        <w:rPr>
          <w:rFonts w:ascii="Times New Roman" w:hAnsi="Times New Roman" w:eastAsia="Times New Roman" w:cs="Times New Roman"/>
          <w:spacing w:val="-12"/>
          <w:sz w:val="20"/>
          <w:szCs w:val="20"/>
        </w:rPr>
        <w:t xml:space="preserve"> </w:t>
      </w:r>
      <w:r>
        <w:rPr>
          <w:sz w:val="20"/>
          <w:szCs w:val="20"/>
        </w:rPr>
        <w:t>评估影响、</w:t>
      </w:r>
      <w:r>
        <w:rPr>
          <w:rFonts w:ascii="Times New Roman" w:hAnsi="Times New Roman" w:eastAsia="Times New Roman" w:cs="Times New Roman"/>
          <w:sz w:val="20"/>
          <w:szCs w:val="20"/>
        </w:rPr>
        <w:t xml:space="preserve">PA03   </w:t>
      </w:r>
      <w:r>
        <w:rPr>
          <w:spacing w:val="10"/>
          <w:sz w:val="20"/>
          <w:szCs w:val="20"/>
        </w:rPr>
        <w:t>评估安全风险、</w:t>
      </w:r>
      <w:r>
        <w:rPr>
          <w:rFonts w:ascii="Times New Roman" w:hAnsi="Times New Roman" w:eastAsia="Times New Roman" w:cs="Times New Roman"/>
          <w:sz w:val="20"/>
          <w:szCs w:val="20"/>
        </w:rPr>
        <w:t>PA</w:t>
      </w:r>
      <w:r>
        <w:rPr>
          <w:rFonts w:ascii="Times New Roman" w:hAnsi="Times New Roman" w:eastAsia="Times New Roman" w:cs="Times New Roman"/>
          <w:spacing w:val="10"/>
          <w:sz w:val="20"/>
          <w:szCs w:val="20"/>
        </w:rPr>
        <w:t xml:space="preserve">04 </w:t>
      </w:r>
      <w:r>
        <w:rPr>
          <w:spacing w:val="10"/>
          <w:sz w:val="20"/>
          <w:szCs w:val="20"/>
        </w:rPr>
        <w:t>评估威胁、</w:t>
      </w:r>
      <w:r>
        <w:rPr>
          <w:rFonts w:ascii="Times New Roman" w:hAnsi="Times New Roman" w:eastAsia="Times New Roman" w:cs="Times New Roman"/>
          <w:sz w:val="20"/>
          <w:szCs w:val="20"/>
        </w:rPr>
        <w:t>PA</w:t>
      </w:r>
      <w:r>
        <w:rPr>
          <w:rFonts w:ascii="Times New Roman" w:hAnsi="Times New Roman" w:eastAsia="Times New Roman" w:cs="Times New Roman"/>
          <w:spacing w:val="10"/>
          <w:sz w:val="20"/>
          <w:szCs w:val="20"/>
        </w:rPr>
        <w:t>05</w:t>
      </w:r>
      <w:r>
        <w:rPr>
          <w:rFonts w:ascii="Times New Roman" w:hAnsi="Times New Roman" w:eastAsia="Times New Roman" w:cs="Times New Roman"/>
          <w:spacing w:val="-12"/>
          <w:sz w:val="20"/>
          <w:szCs w:val="20"/>
        </w:rPr>
        <w:t xml:space="preserve"> </w:t>
      </w:r>
      <w:r>
        <w:rPr>
          <w:spacing w:val="10"/>
          <w:sz w:val="20"/>
          <w:szCs w:val="20"/>
        </w:rPr>
        <w:t>评估</w:t>
      </w:r>
      <w:r>
        <w:rPr>
          <w:spacing w:val="9"/>
          <w:sz w:val="20"/>
          <w:szCs w:val="20"/>
        </w:rPr>
        <w:t>脆弱性、</w:t>
      </w:r>
      <w:r>
        <w:rPr>
          <w:rFonts w:ascii="Times New Roman" w:hAnsi="Times New Roman" w:eastAsia="Times New Roman" w:cs="Times New Roman"/>
          <w:sz w:val="20"/>
          <w:szCs w:val="20"/>
        </w:rPr>
        <w:t>PA</w:t>
      </w:r>
      <w:r>
        <w:rPr>
          <w:rFonts w:ascii="Times New Roman" w:hAnsi="Times New Roman" w:eastAsia="Times New Roman" w:cs="Times New Roman"/>
          <w:spacing w:val="9"/>
          <w:sz w:val="20"/>
          <w:szCs w:val="20"/>
        </w:rPr>
        <w:t xml:space="preserve">06 </w:t>
      </w:r>
      <w:r>
        <w:rPr>
          <w:spacing w:val="9"/>
          <w:sz w:val="20"/>
          <w:szCs w:val="20"/>
        </w:rPr>
        <w:t>建立保证论据、</w:t>
      </w:r>
      <w:r>
        <w:rPr>
          <w:rFonts w:ascii="Times New Roman" w:hAnsi="Times New Roman" w:eastAsia="Times New Roman" w:cs="Times New Roman"/>
          <w:sz w:val="20"/>
          <w:szCs w:val="20"/>
        </w:rPr>
        <w:t>PA</w:t>
      </w:r>
      <w:r>
        <w:rPr>
          <w:rFonts w:ascii="Times New Roman" w:hAnsi="Times New Roman" w:eastAsia="Times New Roman" w:cs="Times New Roman"/>
          <w:spacing w:val="9"/>
          <w:sz w:val="20"/>
          <w:szCs w:val="20"/>
        </w:rPr>
        <w:t xml:space="preserve">07 </w:t>
      </w:r>
      <w:r>
        <w:rPr>
          <w:spacing w:val="9"/>
          <w:sz w:val="20"/>
          <w:szCs w:val="20"/>
        </w:rPr>
        <w:t>协调安全、</w:t>
      </w:r>
      <w:r>
        <w:rPr>
          <w:sz w:val="20"/>
          <w:szCs w:val="20"/>
        </w:rPr>
        <w:t xml:space="preserve"> </w:t>
      </w:r>
      <w:r>
        <w:rPr>
          <w:rFonts w:ascii="Times New Roman" w:hAnsi="Times New Roman" w:eastAsia="Times New Roman" w:cs="Times New Roman"/>
          <w:sz w:val="20"/>
          <w:szCs w:val="20"/>
        </w:rPr>
        <w:t>PA08</w:t>
      </w:r>
      <w:r>
        <w:rPr>
          <w:sz w:val="20"/>
          <w:szCs w:val="20"/>
        </w:rPr>
        <w:t>监控安全态、</w:t>
      </w:r>
      <w:r>
        <w:rPr>
          <w:rFonts w:ascii="Times New Roman" w:hAnsi="Times New Roman" w:eastAsia="Times New Roman" w:cs="Times New Roman"/>
          <w:sz w:val="20"/>
          <w:szCs w:val="20"/>
        </w:rPr>
        <w:t>PA09</w:t>
      </w:r>
      <w:r>
        <w:rPr>
          <w:rFonts w:ascii="Times New Roman" w:hAnsi="Times New Roman" w:eastAsia="Times New Roman" w:cs="Times New Roman"/>
          <w:spacing w:val="-12"/>
          <w:sz w:val="20"/>
          <w:szCs w:val="20"/>
        </w:rPr>
        <w:t xml:space="preserve"> </w:t>
      </w:r>
      <w:r>
        <w:rPr>
          <w:sz w:val="20"/>
          <w:szCs w:val="20"/>
        </w:rPr>
        <w:t>提供安全输入、</w:t>
      </w:r>
      <w:r>
        <w:rPr>
          <w:rFonts w:ascii="Times New Roman" w:hAnsi="Times New Roman" w:eastAsia="Times New Roman" w:cs="Times New Roman"/>
          <w:sz w:val="20"/>
          <w:szCs w:val="20"/>
        </w:rPr>
        <w:t xml:space="preserve">PA10 </w:t>
      </w:r>
      <w:r>
        <w:rPr>
          <w:sz w:val="20"/>
          <w:szCs w:val="20"/>
        </w:rPr>
        <w:t>确定安全需求、</w:t>
      </w:r>
      <w:r>
        <w:rPr>
          <w:rFonts w:ascii="Times New Roman" w:hAnsi="Times New Roman" w:eastAsia="Times New Roman" w:cs="Times New Roman"/>
          <w:spacing w:val="-1"/>
          <w:sz w:val="20"/>
          <w:szCs w:val="20"/>
        </w:rPr>
        <w:t>PA11</w:t>
      </w:r>
      <w:r>
        <w:rPr>
          <w:spacing w:val="-1"/>
          <w:sz w:val="20"/>
          <w:szCs w:val="20"/>
        </w:rPr>
        <w:t>验证和证实安全。</w:t>
      </w:r>
    </w:p>
    <w:p w14:paraId="667DE671">
      <w:pPr>
        <w:pStyle w:val="2"/>
        <w:spacing w:before="30" w:line="279" w:lineRule="auto"/>
        <w:ind w:right="174" w:firstLine="399"/>
        <w:jc w:val="both"/>
        <w:rPr>
          <w:sz w:val="20"/>
          <w:szCs w:val="20"/>
        </w:rPr>
      </w:pPr>
      <w:r>
        <w:rPr>
          <w:rFonts w:ascii="Times New Roman" w:hAnsi="Times New Roman" w:eastAsia="Times New Roman" w:cs="Times New Roman"/>
          <w:sz w:val="20"/>
          <w:szCs w:val="20"/>
        </w:rPr>
        <w:t>ISSE</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CMM</w:t>
      </w:r>
      <w:r>
        <w:rPr>
          <w:spacing w:val="1"/>
          <w:sz w:val="20"/>
          <w:szCs w:val="20"/>
        </w:rPr>
        <w:t>还包括11个与项目和组织实施有关的过程</w:t>
      </w:r>
      <w:r>
        <w:rPr>
          <w:sz w:val="20"/>
          <w:szCs w:val="20"/>
        </w:rPr>
        <w:t>域：</w:t>
      </w:r>
      <w:r>
        <w:rPr>
          <w:rFonts w:ascii="Times New Roman" w:hAnsi="Times New Roman" w:eastAsia="Times New Roman" w:cs="Times New Roman"/>
          <w:sz w:val="20"/>
          <w:szCs w:val="20"/>
        </w:rPr>
        <w:t xml:space="preserve">PA12 </w:t>
      </w:r>
      <w:r>
        <w:rPr>
          <w:sz w:val="20"/>
          <w:szCs w:val="20"/>
        </w:rPr>
        <w:t>保证质量、</w:t>
      </w:r>
      <w:r>
        <w:rPr>
          <w:rFonts w:ascii="Times New Roman" w:hAnsi="Times New Roman" w:eastAsia="Times New Roman" w:cs="Times New Roman"/>
          <w:sz w:val="20"/>
          <w:szCs w:val="20"/>
        </w:rPr>
        <w:t xml:space="preserve">PA13 </w:t>
      </w:r>
      <w:r>
        <w:rPr>
          <w:sz w:val="20"/>
          <w:szCs w:val="20"/>
        </w:rPr>
        <w:t xml:space="preserve">管理配置、 </w:t>
      </w:r>
      <w:r>
        <w:rPr>
          <w:rFonts w:ascii="Times New Roman" w:hAnsi="Times New Roman" w:eastAsia="Times New Roman" w:cs="Times New Roman"/>
          <w:sz w:val="20"/>
          <w:szCs w:val="20"/>
        </w:rPr>
        <w:t>PA</w:t>
      </w:r>
      <w:r>
        <w:rPr>
          <w:rFonts w:ascii="Times New Roman" w:hAnsi="Times New Roman" w:eastAsia="Times New Roman" w:cs="Times New Roman"/>
          <w:spacing w:val="4"/>
          <w:sz w:val="20"/>
          <w:szCs w:val="20"/>
        </w:rPr>
        <w:t>14</w:t>
      </w:r>
      <w:r>
        <w:rPr>
          <w:spacing w:val="4"/>
          <w:sz w:val="20"/>
          <w:szCs w:val="20"/>
        </w:rPr>
        <w:t>管理项目风险、</w:t>
      </w:r>
      <w:r>
        <w:rPr>
          <w:rFonts w:ascii="Times New Roman" w:hAnsi="Times New Roman" w:eastAsia="Times New Roman" w:cs="Times New Roman"/>
          <w:sz w:val="20"/>
          <w:szCs w:val="20"/>
        </w:rPr>
        <w:t>PA</w:t>
      </w:r>
      <w:r>
        <w:rPr>
          <w:rFonts w:ascii="Times New Roman" w:hAnsi="Times New Roman" w:eastAsia="Times New Roman" w:cs="Times New Roman"/>
          <w:spacing w:val="4"/>
          <w:sz w:val="20"/>
          <w:szCs w:val="20"/>
        </w:rPr>
        <w:t xml:space="preserve">15 </w:t>
      </w:r>
      <w:r>
        <w:rPr>
          <w:spacing w:val="4"/>
          <w:sz w:val="20"/>
          <w:szCs w:val="20"/>
        </w:rPr>
        <w:t>监测和控制技术工程项目、</w:t>
      </w:r>
      <w:r>
        <w:rPr>
          <w:rFonts w:ascii="Times New Roman" w:hAnsi="Times New Roman" w:eastAsia="Times New Roman" w:cs="Times New Roman"/>
          <w:sz w:val="20"/>
          <w:szCs w:val="20"/>
        </w:rPr>
        <w:t>PA</w:t>
      </w:r>
      <w:r>
        <w:rPr>
          <w:rFonts w:ascii="Times New Roman" w:hAnsi="Times New Roman" w:eastAsia="Times New Roman" w:cs="Times New Roman"/>
          <w:spacing w:val="4"/>
          <w:sz w:val="20"/>
          <w:szCs w:val="20"/>
        </w:rPr>
        <w:t xml:space="preserve">16 </w:t>
      </w:r>
      <w:r>
        <w:rPr>
          <w:spacing w:val="4"/>
          <w:sz w:val="20"/>
          <w:szCs w:val="20"/>
        </w:rPr>
        <w:t>规划技术工程项目、</w:t>
      </w:r>
      <w:r>
        <w:rPr>
          <w:rFonts w:ascii="Times New Roman" w:hAnsi="Times New Roman" w:eastAsia="Times New Roman" w:cs="Times New Roman"/>
          <w:sz w:val="20"/>
          <w:szCs w:val="20"/>
        </w:rPr>
        <w:t>PA</w:t>
      </w:r>
      <w:r>
        <w:rPr>
          <w:rFonts w:ascii="Times New Roman" w:hAnsi="Times New Roman" w:eastAsia="Times New Roman" w:cs="Times New Roman"/>
          <w:spacing w:val="4"/>
          <w:sz w:val="20"/>
          <w:szCs w:val="20"/>
        </w:rPr>
        <w:t xml:space="preserve">17 </w:t>
      </w:r>
      <w:r>
        <w:rPr>
          <w:spacing w:val="4"/>
          <w:sz w:val="20"/>
          <w:szCs w:val="20"/>
        </w:rPr>
        <w:t>定义组</w:t>
      </w:r>
      <w:r>
        <w:rPr>
          <w:spacing w:val="5"/>
          <w:sz w:val="20"/>
          <w:szCs w:val="20"/>
        </w:rPr>
        <w:t xml:space="preserve"> </w:t>
      </w:r>
      <w:r>
        <w:rPr>
          <w:spacing w:val="2"/>
          <w:sz w:val="20"/>
          <w:szCs w:val="20"/>
        </w:rPr>
        <w:t>织的系统工程过程、</w:t>
      </w:r>
      <w:r>
        <w:rPr>
          <w:rFonts w:ascii="Times New Roman" w:hAnsi="Times New Roman" w:eastAsia="Times New Roman" w:cs="Times New Roman"/>
          <w:sz w:val="20"/>
          <w:szCs w:val="20"/>
        </w:rPr>
        <w:t>PA</w:t>
      </w:r>
      <w:r>
        <w:rPr>
          <w:rFonts w:ascii="Times New Roman" w:hAnsi="Times New Roman" w:eastAsia="Times New Roman" w:cs="Times New Roman"/>
          <w:spacing w:val="2"/>
          <w:sz w:val="20"/>
          <w:szCs w:val="20"/>
        </w:rPr>
        <w:t>18</w:t>
      </w:r>
      <w:r>
        <w:rPr>
          <w:spacing w:val="2"/>
          <w:sz w:val="20"/>
          <w:szCs w:val="20"/>
        </w:rPr>
        <w:t>改进组织的系统工</w:t>
      </w:r>
      <w:r>
        <w:rPr>
          <w:spacing w:val="1"/>
          <w:sz w:val="20"/>
          <w:szCs w:val="20"/>
        </w:rPr>
        <w:t>程过程、</w:t>
      </w:r>
      <w:r>
        <w:rPr>
          <w:rFonts w:ascii="Times New Roman" w:hAnsi="Times New Roman" w:eastAsia="Times New Roman" w:cs="Times New Roman"/>
          <w:sz w:val="20"/>
          <w:szCs w:val="20"/>
        </w:rPr>
        <w:t>PA</w:t>
      </w:r>
      <w:r>
        <w:rPr>
          <w:rFonts w:ascii="Times New Roman" w:hAnsi="Times New Roman" w:eastAsia="Times New Roman" w:cs="Times New Roman"/>
          <w:spacing w:val="1"/>
          <w:sz w:val="20"/>
          <w:szCs w:val="20"/>
        </w:rPr>
        <w:t xml:space="preserve">19 </w:t>
      </w:r>
      <w:r>
        <w:rPr>
          <w:spacing w:val="1"/>
          <w:sz w:val="20"/>
          <w:szCs w:val="20"/>
        </w:rPr>
        <w:t>管理产品线的演变、</w:t>
      </w:r>
      <w:r>
        <w:rPr>
          <w:rFonts w:ascii="Times New Roman" w:hAnsi="Times New Roman" w:eastAsia="Times New Roman" w:cs="Times New Roman"/>
          <w:sz w:val="20"/>
          <w:szCs w:val="20"/>
        </w:rPr>
        <w:t>PA</w:t>
      </w:r>
      <w:r>
        <w:rPr>
          <w:rFonts w:ascii="Times New Roman" w:hAnsi="Times New Roman" w:eastAsia="Times New Roman" w:cs="Times New Roman"/>
          <w:spacing w:val="1"/>
          <w:sz w:val="20"/>
          <w:szCs w:val="20"/>
        </w:rPr>
        <w:t xml:space="preserve">20 </w:t>
      </w:r>
      <w:r>
        <w:rPr>
          <w:spacing w:val="1"/>
          <w:sz w:val="20"/>
          <w:szCs w:val="20"/>
        </w:rPr>
        <w:t>管理系统</w:t>
      </w:r>
      <w:r>
        <w:rPr>
          <w:sz w:val="20"/>
          <w:szCs w:val="20"/>
        </w:rPr>
        <w:t xml:space="preserve"> </w:t>
      </w:r>
      <w:r>
        <w:rPr>
          <w:spacing w:val="-2"/>
          <w:sz w:val="20"/>
          <w:szCs w:val="20"/>
        </w:rPr>
        <w:t>工程支持环境、</w:t>
      </w:r>
      <w:r>
        <w:rPr>
          <w:rFonts w:ascii="Times New Roman" w:hAnsi="Times New Roman" w:eastAsia="Times New Roman" w:cs="Times New Roman"/>
          <w:spacing w:val="-2"/>
          <w:sz w:val="20"/>
          <w:szCs w:val="20"/>
        </w:rPr>
        <w:t xml:space="preserve">PA21 </w:t>
      </w:r>
      <w:r>
        <w:rPr>
          <w:spacing w:val="-2"/>
          <w:sz w:val="20"/>
          <w:szCs w:val="20"/>
        </w:rPr>
        <w:t>提供不断更新的技能和知识、</w:t>
      </w:r>
      <w:r>
        <w:rPr>
          <w:rFonts w:ascii="Times New Roman" w:hAnsi="Times New Roman" w:eastAsia="Times New Roman" w:cs="Times New Roman"/>
          <w:spacing w:val="-2"/>
          <w:sz w:val="20"/>
          <w:szCs w:val="20"/>
        </w:rPr>
        <w:t xml:space="preserve">PA22 </w:t>
      </w:r>
      <w:r>
        <w:rPr>
          <w:spacing w:val="-2"/>
          <w:sz w:val="20"/>
          <w:szCs w:val="20"/>
        </w:rPr>
        <w:t>与供</w:t>
      </w:r>
      <w:r>
        <w:rPr>
          <w:spacing w:val="-3"/>
          <w:sz w:val="20"/>
          <w:szCs w:val="20"/>
        </w:rPr>
        <w:t>应商的协调。</w:t>
      </w:r>
    </w:p>
    <w:p w14:paraId="1B4E30EA">
      <w:pPr>
        <w:spacing w:before="102" w:line="228" w:lineRule="auto"/>
        <w:ind w:left="399"/>
        <w:rPr>
          <w:rFonts w:ascii="楷体" w:hAnsi="楷体" w:eastAsia="楷体" w:cs="楷体"/>
          <w:sz w:val="20"/>
          <w:szCs w:val="20"/>
        </w:rPr>
      </w:pPr>
      <w:r>
        <w:rPr>
          <w:rFonts w:ascii="楷体" w:hAnsi="楷体" w:eastAsia="楷体" w:cs="楷体"/>
          <w:spacing w:val="15"/>
          <w:sz w:val="20"/>
          <w:szCs w:val="20"/>
        </w:rPr>
        <w:t>2)能力维/公共特性</w:t>
      </w:r>
    </w:p>
    <w:p w14:paraId="1C5D509A">
      <w:pPr>
        <w:pStyle w:val="2"/>
        <w:spacing w:before="38" w:line="285" w:lineRule="auto"/>
        <w:ind w:right="241" w:firstLine="399"/>
        <w:rPr>
          <w:sz w:val="20"/>
          <w:szCs w:val="20"/>
        </w:rPr>
      </w:pPr>
      <w:r>
        <w:rPr>
          <w:spacing w:val="6"/>
          <w:sz w:val="20"/>
          <w:szCs w:val="20"/>
        </w:rPr>
        <w:t>通用实施</w:t>
      </w:r>
      <w:r>
        <w:rPr>
          <w:spacing w:val="-50"/>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Generic</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Practices</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GP</w:t>
      </w:r>
      <w:r>
        <w:rPr>
          <w:rFonts w:ascii="Times New Roman" w:hAnsi="Times New Roman" w:eastAsia="Times New Roman" w:cs="Times New Roman"/>
          <w:spacing w:val="6"/>
          <w:sz w:val="20"/>
          <w:szCs w:val="20"/>
        </w:rPr>
        <w:t>)</w:t>
      </w:r>
      <w:r>
        <w:rPr>
          <w:rFonts w:ascii="Times New Roman" w:hAnsi="Times New Roman" w:eastAsia="Times New Roman" w:cs="Times New Roman"/>
          <w:spacing w:val="32"/>
          <w:w w:val="101"/>
          <w:sz w:val="20"/>
          <w:szCs w:val="20"/>
        </w:rPr>
        <w:t xml:space="preserve"> </w:t>
      </w:r>
      <w:r>
        <w:rPr>
          <w:spacing w:val="6"/>
          <w:sz w:val="20"/>
          <w:szCs w:val="20"/>
        </w:rPr>
        <w:t>由被称为公共特</w:t>
      </w:r>
      <w:r>
        <w:rPr>
          <w:spacing w:val="5"/>
          <w:sz w:val="20"/>
          <w:szCs w:val="20"/>
        </w:rPr>
        <w:t>性的逻辑域组成。公共特性分为5个级</w:t>
      </w:r>
      <w:r>
        <w:rPr>
          <w:sz w:val="20"/>
          <w:szCs w:val="20"/>
        </w:rPr>
        <w:t xml:space="preserve"> </w:t>
      </w:r>
      <w:r>
        <w:rPr>
          <w:spacing w:val="3"/>
          <w:sz w:val="20"/>
          <w:szCs w:val="20"/>
        </w:rPr>
        <w:t xml:space="preserve">别，依次表示增强的组织能力。能力维的通用实施按其成熟性排序，因此高级别的通用实施位 </w:t>
      </w:r>
      <w:r>
        <w:rPr>
          <w:spacing w:val="-5"/>
          <w:sz w:val="20"/>
          <w:szCs w:val="20"/>
        </w:rPr>
        <w:t>于能力维的高端。</w:t>
      </w:r>
    </w:p>
    <w:p w14:paraId="1B7436AC">
      <w:pPr>
        <w:pStyle w:val="2"/>
        <w:spacing w:before="28" w:line="219" w:lineRule="auto"/>
        <w:ind w:left="399"/>
        <w:rPr>
          <w:sz w:val="20"/>
          <w:szCs w:val="20"/>
        </w:rPr>
      </w:pPr>
      <w:r>
        <w:rPr>
          <w:sz w:val="20"/>
          <w:szCs w:val="20"/>
        </w:rPr>
        <w:t>公共特性的成熟度等级定义如表2-3所示。</w:t>
      </w:r>
    </w:p>
    <w:p w14:paraId="17E71ED3">
      <w:pPr>
        <w:spacing w:before="118" w:line="221" w:lineRule="auto"/>
        <w:ind w:left="2782"/>
        <w:rPr>
          <w:rFonts w:ascii="黑体" w:hAnsi="黑体" w:eastAsia="黑体" w:cs="黑体"/>
          <w:sz w:val="20"/>
          <w:szCs w:val="20"/>
        </w:rPr>
      </w:pPr>
      <w:r>
        <w:rPr>
          <w:rFonts w:ascii="黑体" w:hAnsi="黑体" w:eastAsia="黑体" w:cs="黑体"/>
          <w:b/>
          <w:bCs/>
          <w:spacing w:val="-17"/>
          <w:sz w:val="20"/>
          <w:szCs w:val="20"/>
        </w:rPr>
        <w:t>表2-3</w:t>
      </w:r>
      <w:r>
        <w:rPr>
          <w:rFonts w:ascii="黑体" w:hAnsi="黑体" w:eastAsia="黑体" w:cs="黑体"/>
          <w:spacing w:val="52"/>
          <w:sz w:val="20"/>
          <w:szCs w:val="20"/>
        </w:rPr>
        <w:t xml:space="preserve"> </w:t>
      </w:r>
      <w:r>
        <w:rPr>
          <w:rFonts w:ascii="黑体" w:hAnsi="黑体" w:eastAsia="黑体" w:cs="黑体"/>
          <w:b/>
          <w:bCs/>
          <w:spacing w:val="-17"/>
          <w:sz w:val="20"/>
          <w:szCs w:val="20"/>
        </w:rPr>
        <w:t>公共特性的成熟度等级定义</w:t>
      </w:r>
    </w:p>
    <w:p w14:paraId="4D740D17">
      <w:pPr>
        <w:spacing w:line="112" w:lineRule="exact"/>
      </w:pPr>
    </w:p>
    <w:tbl>
      <w:tblPr>
        <w:tblStyle w:val="5"/>
        <w:tblW w:w="835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0"/>
        <w:gridCol w:w="1580"/>
        <w:gridCol w:w="4830"/>
      </w:tblGrid>
      <w:tr w14:paraId="02F97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940" w:type="dxa"/>
            <w:tcBorders>
              <w:left w:val="nil"/>
            </w:tcBorders>
            <w:vAlign w:val="top"/>
          </w:tcPr>
          <w:p w14:paraId="4862AD23">
            <w:pPr>
              <w:pStyle w:val="6"/>
              <w:spacing w:before="50" w:line="220" w:lineRule="auto"/>
              <w:ind w:left="792"/>
              <w:rPr>
                <w:sz w:val="18"/>
                <w:szCs w:val="18"/>
              </w:rPr>
            </w:pPr>
            <w:r>
              <w:rPr>
                <w:b/>
                <w:bCs/>
                <w:spacing w:val="-5"/>
                <w:sz w:val="18"/>
                <w:szCs w:val="18"/>
              </w:rPr>
              <w:t>级别</w:t>
            </w:r>
          </w:p>
        </w:tc>
        <w:tc>
          <w:tcPr>
            <w:tcW w:w="1580" w:type="dxa"/>
            <w:vAlign w:val="top"/>
          </w:tcPr>
          <w:p w14:paraId="7A25D039">
            <w:pPr>
              <w:pStyle w:val="6"/>
              <w:spacing w:before="49" w:line="219" w:lineRule="auto"/>
              <w:ind w:left="447"/>
              <w:rPr>
                <w:sz w:val="18"/>
                <w:szCs w:val="18"/>
              </w:rPr>
            </w:pPr>
            <w:r>
              <w:rPr>
                <w:b/>
                <w:bCs/>
                <w:spacing w:val="-5"/>
                <w:sz w:val="18"/>
                <w:szCs w:val="18"/>
              </w:rPr>
              <w:t>公共特性</w:t>
            </w:r>
          </w:p>
        </w:tc>
        <w:tc>
          <w:tcPr>
            <w:tcW w:w="4830" w:type="dxa"/>
            <w:tcBorders>
              <w:right w:val="nil"/>
            </w:tcBorders>
            <w:vAlign w:val="top"/>
          </w:tcPr>
          <w:p w14:paraId="6ADBC906">
            <w:pPr>
              <w:pStyle w:val="6"/>
              <w:spacing w:before="50" w:line="220" w:lineRule="auto"/>
              <w:ind w:left="2027"/>
              <w:rPr>
                <w:sz w:val="18"/>
                <w:szCs w:val="18"/>
              </w:rPr>
            </w:pPr>
            <w:r>
              <w:rPr>
                <w:b/>
                <w:bCs/>
                <w:spacing w:val="-4"/>
                <w:sz w:val="18"/>
                <w:szCs w:val="18"/>
              </w:rPr>
              <w:t>通用实施</w:t>
            </w:r>
          </w:p>
        </w:tc>
      </w:tr>
      <w:tr w14:paraId="021EA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940" w:type="dxa"/>
            <w:tcBorders>
              <w:left w:val="nil"/>
            </w:tcBorders>
            <w:vAlign w:val="top"/>
          </w:tcPr>
          <w:p w14:paraId="392CBD85">
            <w:pPr>
              <w:pStyle w:val="6"/>
              <w:spacing w:before="50" w:line="220" w:lineRule="auto"/>
              <w:ind w:left="72"/>
              <w:rPr>
                <w:sz w:val="18"/>
                <w:szCs w:val="18"/>
              </w:rPr>
            </w:pPr>
            <w:r>
              <w:rPr>
                <w:b/>
                <w:bCs/>
                <w:spacing w:val="-4"/>
                <w:sz w:val="18"/>
                <w:szCs w:val="18"/>
              </w:rPr>
              <w:t>Level</w:t>
            </w:r>
            <w:r>
              <w:rPr>
                <w:spacing w:val="23"/>
                <w:sz w:val="18"/>
                <w:szCs w:val="18"/>
              </w:rPr>
              <w:t xml:space="preserve"> </w:t>
            </w:r>
            <w:r>
              <w:rPr>
                <w:b/>
                <w:bCs/>
                <w:spacing w:val="-4"/>
                <w:sz w:val="18"/>
                <w:szCs w:val="18"/>
              </w:rPr>
              <w:t>1:非正规实施级</w:t>
            </w:r>
          </w:p>
        </w:tc>
        <w:tc>
          <w:tcPr>
            <w:tcW w:w="1580" w:type="dxa"/>
            <w:vAlign w:val="top"/>
          </w:tcPr>
          <w:p w14:paraId="0672DDAC">
            <w:pPr>
              <w:pStyle w:val="6"/>
              <w:spacing w:before="48" w:line="219" w:lineRule="auto"/>
              <w:ind w:left="47"/>
              <w:rPr>
                <w:sz w:val="18"/>
                <w:szCs w:val="18"/>
              </w:rPr>
            </w:pPr>
            <w:r>
              <w:rPr>
                <w:b/>
                <w:bCs/>
                <w:spacing w:val="-2"/>
                <w:sz w:val="18"/>
                <w:szCs w:val="18"/>
              </w:rPr>
              <w:t>1.1执行基本实施</w:t>
            </w:r>
          </w:p>
        </w:tc>
        <w:tc>
          <w:tcPr>
            <w:tcW w:w="4830" w:type="dxa"/>
            <w:tcBorders>
              <w:right w:val="nil"/>
            </w:tcBorders>
            <w:vAlign w:val="top"/>
          </w:tcPr>
          <w:p w14:paraId="444B6F6C">
            <w:pPr>
              <w:pStyle w:val="6"/>
              <w:spacing w:before="49" w:line="219" w:lineRule="auto"/>
              <w:ind w:left="57"/>
              <w:rPr>
                <w:sz w:val="18"/>
                <w:szCs w:val="18"/>
              </w:rPr>
            </w:pPr>
            <w:r>
              <w:rPr>
                <w:b/>
                <w:bCs/>
                <w:spacing w:val="-2"/>
                <w:sz w:val="18"/>
                <w:szCs w:val="18"/>
              </w:rPr>
              <w:t>1.1.1:执行过程</w:t>
            </w:r>
          </w:p>
        </w:tc>
      </w:tr>
    </w:tbl>
    <w:p w14:paraId="1CF32A86">
      <w:pPr>
        <w:rPr>
          <w:rFonts w:ascii="Arial"/>
          <w:sz w:val="21"/>
        </w:rPr>
      </w:pPr>
    </w:p>
    <w:p w14:paraId="68F5A8DB">
      <w:pPr>
        <w:rPr>
          <w:rFonts w:ascii="Arial" w:hAnsi="Arial" w:eastAsia="Arial" w:cs="Arial"/>
          <w:sz w:val="21"/>
          <w:szCs w:val="21"/>
        </w:rPr>
        <w:sectPr>
          <w:pgSz w:w="10300" w:h="13320"/>
          <w:pgMar w:top="400" w:right="625" w:bottom="400" w:left="1100" w:header="0" w:footer="0" w:gutter="0"/>
          <w:cols w:space="720" w:num="1"/>
        </w:sectPr>
      </w:pPr>
    </w:p>
    <w:p w14:paraId="7EFCEC9B">
      <w:pPr>
        <w:pStyle w:val="2"/>
        <w:rPr>
          <w:sz w:val="19"/>
          <w:szCs w:val="19"/>
        </w:rPr>
      </w:pPr>
      <w:bookmarkStart w:id="527" w:name="bookmark514"/>
      <w:bookmarkEnd w:id="527"/>
      <w:r>
        <w:rPr>
          <w:rFonts w:ascii="Times New Roman" w:hAnsi="Times New Roman" w:eastAsia="Times New Roman" w:cs="Times New Roman"/>
          <w:b/>
          <w:bCs/>
          <w:spacing w:val="4"/>
          <w:position w:val="1"/>
          <w:sz w:val="19"/>
          <w:szCs w:val="19"/>
        </w:rPr>
        <w:t>90</w:t>
      </w:r>
      <w:r>
        <w:rPr>
          <w:rFonts w:ascii="Times New Roman" w:hAnsi="Times New Roman" w:eastAsia="Times New Roman" w:cs="Times New Roman"/>
          <w:b/>
          <w:bCs/>
          <w:spacing w:val="3"/>
          <w:position w:val="1"/>
          <w:sz w:val="19"/>
          <w:szCs w:val="19"/>
        </w:rPr>
        <w:t xml:space="preserve">  </w:t>
      </w:r>
      <w:r>
        <w:rPr>
          <w:position w:val="-11"/>
          <w:sz w:val="19"/>
          <w:szCs w:val="19"/>
        </w:rPr>
        <w:drawing>
          <wp:inline distT="0" distB="0" distL="0" distR="0">
            <wp:extent cx="310515" cy="2533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4"/>
                    <a:stretch>
                      <a:fillRect/>
                    </a:stretch>
                  </pic:blipFill>
                  <pic:spPr>
                    <a:xfrm>
                      <a:off x="0" y="0"/>
                      <a:ext cx="311145" cy="253965"/>
                    </a:xfrm>
                    <a:prstGeom prst="rect">
                      <a:avLst/>
                    </a:prstGeom>
                  </pic:spPr>
                </pic:pic>
              </a:graphicData>
            </a:graphic>
          </wp:inline>
        </w:drawing>
      </w:r>
      <w:r>
        <w:rPr>
          <w:rFonts w:ascii="Times New Roman" w:hAnsi="Times New Roman" w:eastAsia="Times New Roman" w:cs="Times New Roman"/>
          <w:b/>
          <w:bCs/>
          <w:spacing w:val="2"/>
          <w:position w:val="1"/>
          <w:sz w:val="19"/>
          <w:szCs w:val="19"/>
        </w:rPr>
        <w:t xml:space="preserve">   </w:t>
      </w:r>
      <w:r>
        <w:rPr>
          <w:spacing w:val="4"/>
          <w:sz w:val="19"/>
          <w:szCs w:val="19"/>
        </w:rPr>
        <w:t>信息系统监理师教程(第2版)</w:t>
      </w:r>
    </w:p>
    <w:p w14:paraId="477F20DC">
      <w:pPr>
        <w:spacing w:line="245" w:lineRule="auto"/>
        <w:rPr>
          <w:rFonts w:ascii="Arial"/>
          <w:sz w:val="21"/>
        </w:rPr>
      </w:pPr>
    </w:p>
    <w:p w14:paraId="41269068">
      <w:pPr>
        <w:pStyle w:val="2"/>
        <w:spacing w:before="61" w:line="220" w:lineRule="auto"/>
        <w:jc w:val="right"/>
        <w:rPr>
          <w:sz w:val="19"/>
          <w:szCs w:val="19"/>
        </w:rPr>
      </w:pPr>
      <w:r>
        <w:rPr>
          <w:spacing w:val="5"/>
          <w:sz w:val="19"/>
          <w:szCs w:val="19"/>
        </w:rPr>
        <w:t>(续表)</w:t>
      </w:r>
    </w:p>
    <w:p w14:paraId="0834066D">
      <w:pPr>
        <w:spacing w:line="80" w:lineRule="exact"/>
      </w:pPr>
    </w:p>
    <w:tbl>
      <w:tblPr>
        <w:tblStyle w:val="5"/>
        <w:tblW w:w="8350" w:type="dxa"/>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0"/>
        <w:gridCol w:w="1570"/>
        <w:gridCol w:w="4850"/>
      </w:tblGrid>
      <w:tr w14:paraId="55C04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1930" w:type="dxa"/>
            <w:tcBorders>
              <w:left w:val="nil"/>
            </w:tcBorders>
            <w:vAlign w:val="top"/>
          </w:tcPr>
          <w:p w14:paraId="6902F6B8">
            <w:pPr>
              <w:pStyle w:val="6"/>
              <w:spacing w:before="50" w:line="220" w:lineRule="auto"/>
              <w:ind w:left="772"/>
            </w:pPr>
            <w:r>
              <w:rPr>
                <w:b/>
                <w:bCs/>
                <w:spacing w:val="3"/>
              </w:rPr>
              <w:t>级别</w:t>
            </w:r>
          </w:p>
        </w:tc>
        <w:tc>
          <w:tcPr>
            <w:tcW w:w="1570" w:type="dxa"/>
            <w:vAlign w:val="top"/>
          </w:tcPr>
          <w:p w14:paraId="19ED0295">
            <w:pPr>
              <w:pStyle w:val="6"/>
              <w:spacing w:before="50" w:line="219" w:lineRule="auto"/>
              <w:ind w:left="447"/>
            </w:pPr>
            <w:r>
              <w:rPr>
                <w:b/>
                <w:bCs/>
                <w:spacing w:val="-5"/>
              </w:rPr>
              <w:t>公共特性</w:t>
            </w:r>
          </w:p>
        </w:tc>
        <w:tc>
          <w:tcPr>
            <w:tcW w:w="4850" w:type="dxa"/>
            <w:tcBorders>
              <w:right w:val="nil"/>
            </w:tcBorders>
            <w:vAlign w:val="top"/>
          </w:tcPr>
          <w:p w14:paraId="02011B34">
            <w:pPr>
              <w:pStyle w:val="6"/>
              <w:spacing w:before="50" w:line="220" w:lineRule="auto"/>
              <w:ind w:left="2047"/>
            </w:pPr>
            <w:r>
              <w:rPr>
                <w:b/>
                <w:bCs/>
                <w:spacing w:val="-4"/>
              </w:rPr>
              <w:t>通用实施</w:t>
            </w:r>
          </w:p>
        </w:tc>
      </w:tr>
      <w:tr w14:paraId="4A7FF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8" w:hRule="atLeast"/>
        </w:trPr>
        <w:tc>
          <w:tcPr>
            <w:tcW w:w="1930" w:type="dxa"/>
            <w:vMerge w:val="restart"/>
            <w:tcBorders>
              <w:left w:val="nil"/>
              <w:bottom w:val="nil"/>
            </w:tcBorders>
            <w:vAlign w:val="top"/>
          </w:tcPr>
          <w:p w14:paraId="5E955813">
            <w:pPr>
              <w:spacing w:line="245" w:lineRule="auto"/>
              <w:rPr>
                <w:rFonts w:ascii="Arial"/>
                <w:sz w:val="21"/>
              </w:rPr>
            </w:pPr>
          </w:p>
          <w:p w14:paraId="5D9AA346">
            <w:pPr>
              <w:spacing w:line="245" w:lineRule="auto"/>
              <w:rPr>
                <w:rFonts w:ascii="Arial"/>
                <w:sz w:val="21"/>
              </w:rPr>
            </w:pPr>
          </w:p>
          <w:p w14:paraId="7082BFDB">
            <w:pPr>
              <w:spacing w:line="245" w:lineRule="auto"/>
              <w:rPr>
                <w:rFonts w:ascii="Arial"/>
                <w:sz w:val="21"/>
              </w:rPr>
            </w:pPr>
          </w:p>
          <w:p w14:paraId="61399310">
            <w:pPr>
              <w:spacing w:line="245" w:lineRule="auto"/>
              <w:rPr>
                <w:rFonts w:ascii="Arial"/>
                <w:sz w:val="21"/>
              </w:rPr>
            </w:pPr>
          </w:p>
          <w:p w14:paraId="23E2980A">
            <w:pPr>
              <w:spacing w:line="246" w:lineRule="auto"/>
              <w:rPr>
                <w:rFonts w:ascii="Arial"/>
                <w:sz w:val="21"/>
              </w:rPr>
            </w:pPr>
          </w:p>
          <w:p w14:paraId="0C0292E2">
            <w:pPr>
              <w:spacing w:line="246" w:lineRule="auto"/>
              <w:rPr>
                <w:rFonts w:ascii="Arial"/>
                <w:sz w:val="21"/>
              </w:rPr>
            </w:pPr>
          </w:p>
          <w:p w14:paraId="040BADFD">
            <w:pPr>
              <w:spacing w:line="246" w:lineRule="auto"/>
              <w:rPr>
                <w:rFonts w:ascii="Arial"/>
                <w:sz w:val="21"/>
              </w:rPr>
            </w:pPr>
          </w:p>
          <w:p w14:paraId="11F5E282">
            <w:pPr>
              <w:spacing w:line="246" w:lineRule="auto"/>
              <w:rPr>
                <w:rFonts w:ascii="Arial"/>
                <w:sz w:val="21"/>
              </w:rPr>
            </w:pPr>
          </w:p>
          <w:p w14:paraId="4FF5C826">
            <w:pPr>
              <w:pStyle w:val="6"/>
              <w:spacing w:before="62" w:line="220" w:lineRule="auto"/>
              <w:ind w:left="10"/>
            </w:pPr>
            <w:r>
              <w:rPr>
                <w:spacing w:val="-1"/>
              </w:rPr>
              <w:t>Level 2:规划和跟踪级</w:t>
            </w:r>
          </w:p>
        </w:tc>
        <w:tc>
          <w:tcPr>
            <w:tcW w:w="1570" w:type="dxa"/>
            <w:vAlign w:val="top"/>
          </w:tcPr>
          <w:p w14:paraId="18701252">
            <w:pPr>
              <w:spacing w:line="340" w:lineRule="auto"/>
              <w:rPr>
                <w:rFonts w:ascii="Arial"/>
                <w:sz w:val="21"/>
              </w:rPr>
            </w:pPr>
          </w:p>
          <w:p w14:paraId="44645F63">
            <w:pPr>
              <w:spacing w:line="341" w:lineRule="auto"/>
              <w:rPr>
                <w:rFonts w:ascii="Arial"/>
                <w:sz w:val="21"/>
              </w:rPr>
            </w:pPr>
          </w:p>
          <w:p w14:paraId="51528B8F">
            <w:pPr>
              <w:pStyle w:val="6"/>
              <w:spacing w:before="62" w:line="219" w:lineRule="auto"/>
              <w:ind w:left="34"/>
            </w:pPr>
            <w:r>
              <w:rPr>
                <w:spacing w:val="-1"/>
              </w:rPr>
              <w:t>2.1规划执行</w:t>
            </w:r>
          </w:p>
        </w:tc>
        <w:tc>
          <w:tcPr>
            <w:tcW w:w="4850" w:type="dxa"/>
            <w:tcBorders>
              <w:right w:val="nil"/>
            </w:tcBorders>
            <w:vAlign w:val="top"/>
          </w:tcPr>
          <w:p w14:paraId="6CBA3215">
            <w:pPr>
              <w:pStyle w:val="6"/>
              <w:spacing w:before="77" w:line="219" w:lineRule="auto"/>
              <w:ind w:left="34"/>
            </w:pPr>
            <w:r>
              <w:rPr>
                <w:spacing w:val="-1"/>
              </w:rPr>
              <w:t>2.1.1:为执行过程域分配足够资源</w:t>
            </w:r>
          </w:p>
          <w:p w14:paraId="4EFBCD0F">
            <w:pPr>
              <w:pStyle w:val="6"/>
              <w:spacing w:before="43" w:line="219" w:lineRule="auto"/>
              <w:ind w:left="34"/>
            </w:pPr>
            <w:r>
              <w:t>2.1.2:为开发工作产品和/或提供过程域服务指定责任人</w:t>
            </w:r>
          </w:p>
          <w:p w14:paraId="752B65B2">
            <w:pPr>
              <w:pStyle w:val="6"/>
              <w:spacing w:before="55" w:line="219" w:lineRule="auto"/>
              <w:ind w:left="34"/>
            </w:pPr>
            <w:r>
              <w:t>2.1.3:将过程域执行的方法形成标准化和/或程序化文档</w:t>
            </w:r>
          </w:p>
          <w:p w14:paraId="7A7062E6">
            <w:pPr>
              <w:pStyle w:val="6"/>
              <w:spacing w:before="53" w:line="219" w:lineRule="auto"/>
              <w:ind w:left="34"/>
            </w:pPr>
            <w:r>
              <w:t>2.1.4:提供支持执行过程域的有关工具</w:t>
            </w:r>
          </w:p>
          <w:p w14:paraId="5505E9B1">
            <w:pPr>
              <w:pStyle w:val="6"/>
              <w:spacing w:before="46" w:line="219" w:lineRule="auto"/>
              <w:jc w:val="right"/>
            </w:pPr>
            <w:r>
              <w:rPr>
                <w:spacing w:val="-5"/>
              </w:rPr>
              <w:t>2.1.5:保证过程域执行人员获得适当的过程执行方面的培训</w:t>
            </w:r>
          </w:p>
          <w:p w14:paraId="68C987E1">
            <w:pPr>
              <w:pStyle w:val="6"/>
              <w:spacing w:before="65" w:line="204" w:lineRule="auto"/>
              <w:ind w:left="34"/>
            </w:pPr>
            <w:r>
              <w:t>2.1.6:对过程域的实施进行规划</w:t>
            </w:r>
          </w:p>
        </w:tc>
      </w:tr>
      <w:tr w14:paraId="31F64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1930" w:type="dxa"/>
            <w:vMerge w:val="continue"/>
            <w:tcBorders>
              <w:top w:val="nil"/>
              <w:left w:val="nil"/>
              <w:bottom w:val="nil"/>
            </w:tcBorders>
            <w:vAlign w:val="top"/>
          </w:tcPr>
          <w:p w14:paraId="7B446A5C">
            <w:pPr>
              <w:rPr>
                <w:rFonts w:ascii="Arial"/>
                <w:sz w:val="21"/>
              </w:rPr>
            </w:pPr>
          </w:p>
        </w:tc>
        <w:tc>
          <w:tcPr>
            <w:tcW w:w="1570" w:type="dxa"/>
            <w:vAlign w:val="top"/>
          </w:tcPr>
          <w:p w14:paraId="2889EC77">
            <w:pPr>
              <w:spacing w:line="405" w:lineRule="auto"/>
              <w:rPr>
                <w:rFonts w:ascii="Arial"/>
                <w:sz w:val="21"/>
              </w:rPr>
            </w:pPr>
          </w:p>
          <w:p w14:paraId="728AE025">
            <w:pPr>
              <w:pStyle w:val="6"/>
              <w:spacing w:before="62" w:line="219" w:lineRule="auto"/>
              <w:ind w:left="34"/>
            </w:pPr>
            <w:r>
              <w:rPr>
                <w:spacing w:val="-1"/>
              </w:rPr>
              <w:t>2.2规范化执行</w:t>
            </w:r>
          </w:p>
        </w:tc>
        <w:tc>
          <w:tcPr>
            <w:tcW w:w="4850" w:type="dxa"/>
            <w:tcBorders>
              <w:right w:val="nil"/>
            </w:tcBorders>
            <w:vAlign w:val="top"/>
          </w:tcPr>
          <w:p w14:paraId="6F8A283F">
            <w:pPr>
              <w:pStyle w:val="6"/>
              <w:spacing w:before="78" w:line="242" w:lineRule="auto"/>
              <w:ind w:left="34" w:right="144" w:firstLine="20"/>
            </w:pPr>
            <w:r>
              <w:rPr>
                <w:spacing w:val="-1"/>
              </w:rPr>
              <w:t>2.2.1:在执行过程域中，使用文档化的规划、标准和/或</w:t>
            </w:r>
            <w:r>
              <w:rPr>
                <w:spacing w:val="17"/>
              </w:rPr>
              <w:t xml:space="preserve"> </w:t>
            </w:r>
            <w:r>
              <w:rPr>
                <w:spacing w:val="-2"/>
              </w:rPr>
              <w:t>程序</w:t>
            </w:r>
          </w:p>
          <w:p w14:paraId="2A70CC64">
            <w:pPr>
              <w:pStyle w:val="6"/>
              <w:spacing w:before="72" w:line="228" w:lineRule="auto"/>
              <w:ind w:left="34" w:right="12"/>
            </w:pPr>
            <w:r>
              <w:rPr>
                <w:spacing w:val="-5"/>
              </w:rPr>
              <w:t>2.2.2:在需要的地方将过程域的工作产品置于版本控制和配</w:t>
            </w:r>
            <w:r>
              <w:rPr>
                <w:spacing w:val="1"/>
              </w:rPr>
              <w:t xml:space="preserve"> </w:t>
            </w:r>
            <w:r>
              <w:rPr>
                <w:spacing w:val="-1"/>
              </w:rPr>
              <w:t>置管理之下</w:t>
            </w:r>
          </w:p>
        </w:tc>
      </w:tr>
      <w:tr w14:paraId="61251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930" w:type="dxa"/>
            <w:vMerge w:val="continue"/>
            <w:tcBorders>
              <w:top w:val="nil"/>
              <w:left w:val="nil"/>
              <w:bottom w:val="nil"/>
            </w:tcBorders>
            <w:vAlign w:val="top"/>
          </w:tcPr>
          <w:p w14:paraId="0D2E3330">
            <w:pPr>
              <w:rPr>
                <w:rFonts w:ascii="Arial"/>
                <w:sz w:val="21"/>
              </w:rPr>
            </w:pPr>
          </w:p>
        </w:tc>
        <w:tc>
          <w:tcPr>
            <w:tcW w:w="1570" w:type="dxa"/>
            <w:vAlign w:val="top"/>
          </w:tcPr>
          <w:p w14:paraId="3ECE9CCA">
            <w:pPr>
              <w:spacing w:line="267" w:lineRule="auto"/>
              <w:rPr>
                <w:rFonts w:ascii="Arial"/>
                <w:sz w:val="21"/>
              </w:rPr>
            </w:pPr>
          </w:p>
          <w:p w14:paraId="7423FF69">
            <w:pPr>
              <w:pStyle w:val="6"/>
              <w:spacing w:before="62" w:line="219" w:lineRule="auto"/>
              <w:ind w:left="34"/>
            </w:pPr>
            <w:r>
              <w:rPr>
                <w:spacing w:val="-2"/>
              </w:rPr>
              <w:t>2.3验证执行</w:t>
            </w:r>
          </w:p>
        </w:tc>
        <w:tc>
          <w:tcPr>
            <w:tcW w:w="4850" w:type="dxa"/>
            <w:tcBorders>
              <w:right w:val="nil"/>
            </w:tcBorders>
            <w:vAlign w:val="top"/>
          </w:tcPr>
          <w:p w14:paraId="0BADFA55">
            <w:pPr>
              <w:pStyle w:val="6"/>
              <w:spacing w:before="91" w:line="220" w:lineRule="auto"/>
              <w:ind w:left="34"/>
            </w:pPr>
            <w:r>
              <w:t>2.3.1:验证过程与可用标准和/或程序的一致性</w:t>
            </w:r>
          </w:p>
          <w:p w14:paraId="7FE4D07D">
            <w:pPr>
              <w:pStyle w:val="6"/>
              <w:spacing w:before="52" w:line="223" w:lineRule="auto"/>
              <w:ind w:left="34" w:right="69"/>
            </w:pPr>
            <w:r>
              <w:rPr>
                <w:spacing w:val="-1"/>
              </w:rPr>
              <w:t>2.3.2:审计工作产品(验证工作产品遵从可适用标准和/或</w:t>
            </w:r>
            <w:r>
              <w:rPr>
                <w:spacing w:val="18"/>
              </w:rPr>
              <w:t xml:space="preserve"> </w:t>
            </w:r>
            <w:r>
              <w:rPr>
                <w:spacing w:val="7"/>
              </w:rPr>
              <w:t>需求的情况)</w:t>
            </w:r>
          </w:p>
        </w:tc>
      </w:tr>
      <w:tr w14:paraId="1CF8C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930" w:type="dxa"/>
            <w:vMerge w:val="continue"/>
            <w:tcBorders>
              <w:top w:val="nil"/>
              <w:left w:val="nil"/>
            </w:tcBorders>
            <w:vAlign w:val="top"/>
          </w:tcPr>
          <w:p w14:paraId="01DE8451">
            <w:pPr>
              <w:rPr>
                <w:rFonts w:ascii="Arial"/>
                <w:sz w:val="21"/>
              </w:rPr>
            </w:pPr>
          </w:p>
        </w:tc>
        <w:tc>
          <w:tcPr>
            <w:tcW w:w="1570" w:type="dxa"/>
            <w:vAlign w:val="top"/>
          </w:tcPr>
          <w:p w14:paraId="45A06A03">
            <w:pPr>
              <w:pStyle w:val="6"/>
              <w:spacing w:before="191" w:line="219" w:lineRule="auto"/>
              <w:ind w:left="34"/>
            </w:pPr>
            <w:r>
              <w:rPr>
                <w:spacing w:val="-2"/>
              </w:rPr>
              <w:t>2.4跟踪执行</w:t>
            </w:r>
          </w:p>
        </w:tc>
        <w:tc>
          <w:tcPr>
            <w:tcW w:w="4850" w:type="dxa"/>
            <w:tcBorders>
              <w:right w:val="nil"/>
            </w:tcBorders>
            <w:vAlign w:val="top"/>
          </w:tcPr>
          <w:p w14:paraId="3D37F70D">
            <w:pPr>
              <w:pStyle w:val="6"/>
              <w:spacing w:before="81" w:line="219" w:lineRule="auto"/>
              <w:ind w:left="34"/>
            </w:pPr>
            <w:r>
              <w:t>2.4.1:用测量跟踪过程域相对于规划的态势</w:t>
            </w:r>
          </w:p>
          <w:p w14:paraId="7FD7A260">
            <w:pPr>
              <w:pStyle w:val="6"/>
              <w:spacing w:before="43" w:line="202" w:lineRule="auto"/>
              <w:ind w:left="34"/>
            </w:pPr>
            <w:r>
              <w:rPr>
                <w:spacing w:val="-1"/>
              </w:rPr>
              <w:t>2.4.2:当进程严重偏离规划时采取必要的修正措施</w:t>
            </w:r>
          </w:p>
        </w:tc>
      </w:tr>
      <w:tr w14:paraId="3B1B4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1930" w:type="dxa"/>
            <w:vMerge w:val="restart"/>
            <w:tcBorders>
              <w:left w:val="nil"/>
              <w:bottom w:val="nil"/>
            </w:tcBorders>
            <w:vAlign w:val="top"/>
          </w:tcPr>
          <w:p w14:paraId="0D5F8C0B">
            <w:pPr>
              <w:spacing w:line="243" w:lineRule="auto"/>
              <w:rPr>
                <w:rFonts w:ascii="Arial"/>
                <w:sz w:val="21"/>
              </w:rPr>
            </w:pPr>
          </w:p>
          <w:p w14:paraId="483DA930">
            <w:pPr>
              <w:spacing w:line="244" w:lineRule="auto"/>
              <w:rPr>
                <w:rFonts w:ascii="Arial"/>
                <w:sz w:val="21"/>
              </w:rPr>
            </w:pPr>
          </w:p>
          <w:p w14:paraId="4F960423">
            <w:pPr>
              <w:spacing w:line="244" w:lineRule="auto"/>
              <w:rPr>
                <w:rFonts w:ascii="Arial"/>
                <w:sz w:val="21"/>
              </w:rPr>
            </w:pPr>
          </w:p>
          <w:p w14:paraId="53031027">
            <w:pPr>
              <w:spacing w:line="244" w:lineRule="auto"/>
              <w:rPr>
                <w:rFonts w:ascii="Arial"/>
                <w:sz w:val="21"/>
              </w:rPr>
            </w:pPr>
          </w:p>
          <w:p w14:paraId="0F04D7BF">
            <w:pPr>
              <w:pStyle w:val="6"/>
              <w:spacing w:before="62" w:line="220" w:lineRule="auto"/>
              <w:ind w:left="110"/>
            </w:pPr>
            <w:r>
              <w:rPr>
                <w:spacing w:val="-1"/>
              </w:rPr>
              <w:t>Level 3:充分定义级</w:t>
            </w:r>
          </w:p>
        </w:tc>
        <w:tc>
          <w:tcPr>
            <w:tcW w:w="1570" w:type="dxa"/>
            <w:vAlign w:val="top"/>
          </w:tcPr>
          <w:p w14:paraId="1DFBCE01">
            <w:pPr>
              <w:pStyle w:val="6"/>
              <w:spacing w:before="64" w:line="236" w:lineRule="auto"/>
              <w:ind w:left="34" w:right="301"/>
            </w:pPr>
            <w:r>
              <w:rPr>
                <w:spacing w:val="-2"/>
              </w:rPr>
              <w:t>3.1定义标准化</w:t>
            </w:r>
            <w:r>
              <w:rPr>
                <w:spacing w:val="3"/>
              </w:rPr>
              <w:t xml:space="preserve"> </w:t>
            </w:r>
            <w:r>
              <w:rPr>
                <w:spacing w:val="-3"/>
              </w:rPr>
              <w:t>过程</w:t>
            </w:r>
          </w:p>
        </w:tc>
        <w:tc>
          <w:tcPr>
            <w:tcW w:w="4850" w:type="dxa"/>
            <w:tcBorders>
              <w:right w:val="nil"/>
            </w:tcBorders>
            <w:vAlign w:val="top"/>
          </w:tcPr>
          <w:p w14:paraId="4CA2C4C3">
            <w:pPr>
              <w:pStyle w:val="6"/>
              <w:spacing w:before="83" w:line="220" w:lineRule="auto"/>
              <w:ind w:left="34"/>
            </w:pPr>
            <w:r>
              <w:rPr>
                <w:spacing w:val="-1"/>
              </w:rPr>
              <w:t>3.1.1:对过程进行标准化</w:t>
            </w:r>
          </w:p>
          <w:p w14:paraId="5D5E71F7">
            <w:pPr>
              <w:pStyle w:val="6"/>
              <w:spacing w:before="33" w:line="201" w:lineRule="auto"/>
              <w:ind w:left="34"/>
            </w:pPr>
            <w:r>
              <w:t>3.1.2:对组织的标准化过程族进行裁剪</w:t>
            </w:r>
          </w:p>
        </w:tc>
      </w:tr>
      <w:tr w14:paraId="49EE5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930" w:type="dxa"/>
            <w:vMerge w:val="continue"/>
            <w:tcBorders>
              <w:top w:val="nil"/>
              <w:left w:val="nil"/>
              <w:bottom w:val="nil"/>
            </w:tcBorders>
            <w:vAlign w:val="top"/>
          </w:tcPr>
          <w:p w14:paraId="09516155">
            <w:pPr>
              <w:rPr>
                <w:rFonts w:ascii="Arial"/>
                <w:sz w:val="21"/>
              </w:rPr>
            </w:pPr>
          </w:p>
        </w:tc>
        <w:tc>
          <w:tcPr>
            <w:tcW w:w="1570" w:type="dxa"/>
            <w:vAlign w:val="top"/>
          </w:tcPr>
          <w:p w14:paraId="40911DEF">
            <w:pPr>
              <w:pStyle w:val="6"/>
              <w:spacing w:before="203"/>
              <w:ind w:left="34" w:right="90"/>
            </w:pPr>
            <w:r>
              <w:rPr>
                <w:spacing w:val="1"/>
              </w:rPr>
              <w:t>3.2执行已定义的</w:t>
            </w:r>
            <w:r>
              <w:t xml:space="preserve"> </w:t>
            </w:r>
            <w:r>
              <w:rPr>
                <w:spacing w:val="-3"/>
              </w:rPr>
              <w:t>过程</w:t>
            </w:r>
          </w:p>
        </w:tc>
        <w:tc>
          <w:tcPr>
            <w:tcW w:w="4850" w:type="dxa"/>
            <w:tcBorders>
              <w:right w:val="nil"/>
            </w:tcBorders>
            <w:vAlign w:val="top"/>
          </w:tcPr>
          <w:p w14:paraId="296AD9F1">
            <w:pPr>
              <w:pStyle w:val="6"/>
              <w:spacing w:before="72" w:line="219" w:lineRule="auto"/>
              <w:ind w:left="34"/>
            </w:pPr>
            <w:r>
              <w:rPr>
                <w:spacing w:val="-1"/>
              </w:rPr>
              <w:t>3.2.1:在过程域的实施中使用充分定义的过程</w:t>
            </w:r>
          </w:p>
          <w:p w14:paraId="3154FC70">
            <w:pPr>
              <w:pStyle w:val="6"/>
              <w:spacing w:before="54" w:line="219" w:lineRule="auto"/>
              <w:ind w:left="34"/>
            </w:pPr>
            <w:r>
              <w:t>3.2.2:对过程域的适当工作产品进行缺陷评审</w:t>
            </w:r>
          </w:p>
          <w:p w14:paraId="157E7202">
            <w:pPr>
              <w:pStyle w:val="6"/>
              <w:spacing w:before="54" w:line="191" w:lineRule="auto"/>
              <w:ind w:left="34"/>
            </w:pPr>
            <w:r>
              <w:rPr>
                <w:spacing w:val="-1"/>
              </w:rPr>
              <w:t>3.2.3:通过使用已定义过程的数据管理该过程</w:t>
            </w:r>
          </w:p>
        </w:tc>
      </w:tr>
      <w:tr w14:paraId="7FFF8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930" w:type="dxa"/>
            <w:vMerge w:val="continue"/>
            <w:tcBorders>
              <w:top w:val="nil"/>
              <w:left w:val="nil"/>
            </w:tcBorders>
            <w:vAlign w:val="top"/>
          </w:tcPr>
          <w:p w14:paraId="5780568E">
            <w:pPr>
              <w:rPr>
                <w:rFonts w:ascii="Arial"/>
                <w:sz w:val="21"/>
              </w:rPr>
            </w:pPr>
          </w:p>
        </w:tc>
        <w:tc>
          <w:tcPr>
            <w:tcW w:w="1570" w:type="dxa"/>
            <w:vAlign w:val="top"/>
          </w:tcPr>
          <w:p w14:paraId="297459A7">
            <w:pPr>
              <w:spacing w:line="271" w:lineRule="auto"/>
              <w:rPr>
                <w:rFonts w:ascii="Arial"/>
                <w:sz w:val="21"/>
              </w:rPr>
            </w:pPr>
          </w:p>
          <w:p w14:paraId="790FAF99">
            <w:pPr>
              <w:pStyle w:val="6"/>
              <w:spacing w:before="61" w:line="220" w:lineRule="auto"/>
              <w:ind w:left="34"/>
            </w:pPr>
            <w:r>
              <w:rPr>
                <w:spacing w:val="-2"/>
              </w:rPr>
              <w:t>3.3协调安全实施</w:t>
            </w:r>
          </w:p>
        </w:tc>
        <w:tc>
          <w:tcPr>
            <w:tcW w:w="4850" w:type="dxa"/>
            <w:tcBorders>
              <w:right w:val="nil"/>
            </w:tcBorders>
            <w:vAlign w:val="top"/>
          </w:tcPr>
          <w:p w14:paraId="3C1325DF">
            <w:pPr>
              <w:pStyle w:val="6"/>
              <w:spacing w:before="82" w:line="219" w:lineRule="auto"/>
              <w:ind w:left="34"/>
            </w:pPr>
            <w:r>
              <w:rPr>
                <w:spacing w:val="-1"/>
              </w:rPr>
              <w:t>3.3.1:协调工程科目内部的沟通</w:t>
            </w:r>
          </w:p>
          <w:p w14:paraId="31A4F428">
            <w:pPr>
              <w:pStyle w:val="6"/>
              <w:spacing w:before="45" w:line="219" w:lineRule="auto"/>
              <w:ind w:left="34"/>
            </w:pPr>
            <w:r>
              <w:rPr>
                <w:spacing w:val="-1"/>
              </w:rPr>
              <w:t>3.3.2:协调组织内不同组间的沟通</w:t>
            </w:r>
          </w:p>
          <w:p w14:paraId="24A8A714">
            <w:pPr>
              <w:pStyle w:val="6"/>
              <w:spacing w:before="64" w:line="180" w:lineRule="auto"/>
              <w:ind w:left="34"/>
            </w:pPr>
            <w:r>
              <w:rPr>
                <w:spacing w:val="-1"/>
              </w:rPr>
              <w:t>3.3.3:协调与外部组间的沟通</w:t>
            </w:r>
          </w:p>
        </w:tc>
      </w:tr>
      <w:tr w14:paraId="622F7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930" w:type="dxa"/>
            <w:vMerge w:val="restart"/>
            <w:tcBorders>
              <w:left w:val="nil"/>
              <w:bottom w:val="nil"/>
            </w:tcBorders>
            <w:vAlign w:val="top"/>
          </w:tcPr>
          <w:p w14:paraId="5B4C57D4">
            <w:pPr>
              <w:spacing w:line="421" w:lineRule="auto"/>
              <w:rPr>
                <w:rFonts w:ascii="Arial"/>
                <w:sz w:val="21"/>
              </w:rPr>
            </w:pPr>
          </w:p>
          <w:p w14:paraId="3152B402">
            <w:pPr>
              <w:pStyle w:val="6"/>
              <w:spacing w:before="61" w:line="220" w:lineRule="auto"/>
              <w:ind w:left="110"/>
            </w:pPr>
            <w:r>
              <w:rPr>
                <w:spacing w:val="-1"/>
              </w:rPr>
              <w:t>Level 4:量化控制级</w:t>
            </w:r>
          </w:p>
        </w:tc>
        <w:tc>
          <w:tcPr>
            <w:tcW w:w="1570" w:type="dxa"/>
            <w:vAlign w:val="top"/>
          </w:tcPr>
          <w:p w14:paraId="5C05FD57">
            <w:pPr>
              <w:pStyle w:val="6"/>
              <w:spacing w:before="85" w:line="230" w:lineRule="auto"/>
              <w:ind w:left="34" w:right="106"/>
            </w:pPr>
            <w:r>
              <w:rPr>
                <w:spacing w:val="-1"/>
              </w:rPr>
              <w:t>4.1建立可测度的</w:t>
            </w:r>
            <w:r>
              <w:rPr>
                <w:spacing w:val="1"/>
              </w:rPr>
              <w:t xml:space="preserve"> </w:t>
            </w:r>
            <w:r>
              <w:rPr>
                <w:spacing w:val="-2"/>
              </w:rPr>
              <w:t>质量目标</w:t>
            </w:r>
          </w:p>
        </w:tc>
        <w:tc>
          <w:tcPr>
            <w:tcW w:w="4850" w:type="dxa"/>
            <w:tcBorders>
              <w:right w:val="nil"/>
            </w:tcBorders>
            <w:vAlign w:val="top"/>
          </w:tcPr>
          <w:p w14:paraId="3602E191">
            <w:pPr>
              <w:pStyle w:val="6"/>
              <w:spacing w:before="194" w:line="219" w:lineRule="auto"/>
              <w:ind w:left="34"/>
            </w:pPr>
            <w:r>
              <w:rPr>
                <w:spacing w:val="-5"/>
              </w:rPr>
              <w:t>4.1.1:为组织标准过程族的工作产品建立可测度的质量目标</w:t>
            </w:r>
          </w:p>
        </w:tc>
      </w:tr>
      <w:tr w14:paraId="17C1E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930" w:type="dxa"/>
            <w:vMerge w:val="continue"/>
            <w:tcBorders>
              <w:top w:val="nil"/>
              <w:left w:val="nil"/>
            </w:tcBorders>
            <w:vAlign w:val="top"/>
          </w:tcPr>
          <w:p w14:paraId="03BECDB9">
            <w:pPr>
              <w:rPr>
                <w:rFonts w:ascii="Arial"/>
                <w:sz w:val="21"/>
              </w:rPr>
            </w:pPr>
          </w:p>
        </w:tc>
        <w:tc>
          <w:tcPr>
            <w:tcW w:w="1570" w:type="dxa"/>
            <w:vAlign w:val="top"/>
          </w:tcPr>
          <w:p w14:paraId="14B28AAE">
            <w:pPr>
              <w:pStyle w:val="6"/>
              <w:spacing w:before="94" w:line="226" w:lineRule="auto"/>
              <w:ind w:left="34" w:right="126" w:hanging="20"/>
            </w:pPr>
            <w:r>
              <w:rPr>
                <w:spacing w:val="-1"/>
              </w:rPr>
              <w:t>4.2对执行情况实</w:t>
            </w:r>
            <w:r>
              <w:rPr>
                <w:spacing w:val="1"/>
              </w:rPr>
              <w:t xml:space="preserve"> </w:t>
            </w:r>
            <w:r>
              <w:rPr>
                <w:spacing w:val="-2"/>
              </w:rPr>
              <w:t>施客观管理</w:t>
            </w:r>
          </w:p>
        </w:tc>
        <w:tc>
          <w:tcPr>
            <w:tcW w:w="4850" w:type="dxa"/>
            <w:tcBorders>
              <w:right w:val="nil"/>
            </w:tcBorders>
            <w:vAlign w:val="top"/>
          </w:tcPr>
          <w:p w14:paraId="0B22B0CB">
            <w:pPr>
              <w:pStyle w:val="6"/>
              <w:spacing w:before="85" w:line="219" w:lineRule="auto"/>
              <w:ind w:left="34"/>
            </w:pPr>
            <w:r>
              <w:t>4.2.1:量化地确定已定义过程的过程能力</w:t>
            </w:r>
          </w:p>
          <w:p w14:paraId="7D341972">
            <w:pPr>
              <w:pStyle w:val="6"/>
              <w:spacing w:before="54" w:line="189" w:lineRule="auto"/>
              <w:ind w:left="34"/>
            </w:pPr>
            <w:r>
              <w:t>4.2.2:当过程未按过程能力执行时，适</w:t>
            </w:r>
            <w:r>
              <w:rPr>
                <w:spacing w:val="-1"/>
              </w:rPr>
              <w:t>当地采取修正行动</w:t>
            </w:r>
          </w:p>
        </w:tc>
      </w:tr>
      <w:tr w14:paraId="47788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930" w:type="dxa"/>
            <w:vMerge w:val="restart"/>
            <w:tcBorders>
              <w:left w:val="nil"/>
              <w:bottom w:val="nil"/>
            </w:tcBorders>
            <w:vAlign w:val="top"/>
          </w:tcPr>
          <w:p w14:paraId="44B4264E">
            <w:pPr>
              <w:spacing w:line="340" w:lineRule="auto"/>
              <w:rPr>
                <w:rFonts w:ascii="Arial"/>
                <w:sz w:val="21"/>
              </w:rPr>
            </w:pPr>
          </w:p>
          <w:p w14:paraId="348CE651">
            <w:pPr>
              <w:spacing w:line="340" w:lineRule="auto"/>
              <w:rPr>
                <w:rFonts w:ascii="Arial"/>
                <w:sz w:val="21"/>
              </w:rPr>
            </w:pPr>
          </w:p>
          <w:p w14:paraId="4B089AEA">
            <w:pPr>
              <w:pStyle w:val="6"/>
              <w:spacing w:before="61" w:line="219" w:lineRule="auto"/>
              <w:ind w:left="110"/>
            </w:pPr>
            <w:r>
              <w:rPr>
                <w:spacing w:val="-1"/>
              </w:rPr>
              <w:t>Level 5:持续改进级</w:t>
            </w:r>
          </w:p>
        </w:tc>
        <w:tc>
          <w:tcPr>
            <w:tcW w:w="1570" w:type="dxa"/>
            <w:vAlign w:val="top"/>
          </w:tcPr>
          <w:p w14:paraId="0F9E7FE4">
            <w:pPr>
              <w:spacing w:line="262" w:lineRule="auto"/>
              <w:rPr>
                <w:rFonts w:ascii="Arial"/>
                <w:sz w:val="21"/>
              </w:rPr>
            </w:pPr>
          </w:p>
          <w:p w14:paraId="64535EC5">
            <w:pPr>
              <w:pStyle w:val="6"/>
              <w:spacing w:before="62" w:line="219" w:lineRule="auto"/>
              <w:ind w:left="34"/>
            </w:pPr>
            <w:r>
              <w:rPr>
                <w:spacing w:val="1"/>
              </w:rPr>
              <w:t>5.1改进组织能力</w:t>
            </w:r>
          </w:p>
        </w:tc>
        <w:tc>
          <w:tcPr>
            <w:tcW w:w="4850" w:type="dxa"/>
            <w:tcBorders>
              <w:right w:val="nil"/>
            </w:tcBorders>
            <w:vAlign w:val="top"/>
          </w:tcPr>
          <w:p w14:paraId="49BEDCB0">
            <w:pPr>
              <w:pStyle w:val="6"/>
              <w:spacing w:before="84" w:line="246" w:lineRule="auto"/>
              <w:ind w:left="34" w:right="10" w:firstLine="10"/>
            </w:pPr>
            <w:r>
              <w:rPr>
                <w:spacing w:val="-5"/>
              </w:rPr>
              <w:t>5.1.1:为改进过程效能，根据组织的业务目</w:t>
            </w:r>
            <w:r>
              <w:rPr>
                <w:spacing w:val="-6"/>
              </w:rPr>
              <w:t>标和当前过程能</w:t>
            </w:r>
            <w:r>
              <w:t xml:space="preserve"> </w:t>
            </w:r>
            <w:r>
              <w:rPr>
                <w:spacing w:val="-2"/>
              </w:rPr>
              <w:t>力建立量化目标</w:t>
            </w:r>
          </w:p>
          <w:p w14:paraId="24B5E469">
            <w:pPr>
              <w:pStyle w:val="6"/>
              <w:spacing w:before="34" w:line="188" w:lineRule="auto"/>
              <w:ind w:left="34"/>
            </w:pPr>
            <w:r>
              <w:t>5.1.2:通过改变组织的标准化过程，从而提高过程效能</w:t>
            </w:r>
          </w:p>
        </w:tc>
      </w:tr>
      <w:tr w14:paraId="125F2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1930" w:type="dxa"/>
            <w:vMerge w:val="continue"/>
            <w:tcBorders>
              <w:top w:val="nil"/>
              <w:left w:val="nil"/>
            </w:tcBorders>
            <w:vAlign w:val="top"/>
          </w:tcPr>
          <w:p w14:paraId="7AC553A3">
            <w:pPr>
              <w:rPr>
                <w:rFonts w:ascii="Arial"/>
                <w:sz w:val="21"/>
              </w:rPr>
            </w:pPr>
          </w:p>
        </w:tc>
        <w:tc>
          <w:tcPr>
            <w:tcW w:w="1570" w:type="dxa"/>
            <w:vAlign w:val="top"/>
          </w:tcPr>
          <w:p w14:paraId="11995F20">
            <w:pPr>
              <w:pStyle w:val="6"/>
              <w:spacing w:before="196" w:line="260" w:lineRule="auto"/>
              <w:ind w:left="34" w:right="280"/>
            </w:pPr>
            <w:r>
              <w:rPr>
                <w:spacing w:val="1"/>
              </w:rPr>
              <w:t>5.2改进过程的</w:t>
            </w:r>
            <w:r>
              <w:t xml:space="preserve"> </w:t>
            </w:r>
            <w:r>
              <w:rPr>
                <w:spacing w:val="4"/>
              </w:rPr>
              <w:t>效能</w:t>
            </w:r>
          </w:p>
        </w:tc>
        <w:tc>
          <w:tcPr>
            <w:tcW w:w="4850" w:type="dxa"/>
            <w:tcBorders>
              <w:right w:val="nil"/>
            </w:tcBorders>
            <w:vAlign w:val="top"/>
          </w:tcPr>
          <w:p w14:paraId="3968F2CE">
            <w:pPr>
              <w:pStyle w:val="6"/>
              <w:spacing w:before="76" w:line="219" w:lineRule="auto"/>
              <w:ind w:left="34"/>
            </w:pPr>
            <w:r>
              <w:rPr>
                <w:spacing w:val="-1"/>
              </w:rPr>
              <w:t>5.2.1:执行缺陷的因果分析</w:t>
            </w:r>
          </w:p>
          <w:p w14:paraId="6A6C5C87">
            <w:pPr>
              <w:pStyle w:val="6"/>
              <w:spacing w:before="54" w:line="219" w:lineRule="auto"/>
              <w:ind w:left="34"/>
            </w:pPr>
            <w:r>
              <w:t>5.2.2:有选择地消除已定义过程中缺陷产生的原因</w:t>
            </w:r>
          </w:p>
          <w:p w14:paraId="2D499D58">
            <w:pPr>
              <w:pStyle w:val="6"/>
              <w:spacing w:before="44" w:line="182" w:lineRule="auto"/>
              <w:ind w:left="34"/>
            </w:pPr>
            <w:r>
              <w:t>5.2.3:通过改变已定义过程来连续地改进实施</w:t>
            </w:r>
          </w:p>
        </w:tc>
      </w:tr>
    </w:tbl>
    <w:p w14:paraId="680229B6">
      <w:pPr>
        <w:spacing w:before="145" w:line="230" w:lineRule="auto"/>
        <w:ind w:left="700"/>
        <w:rPr>
          <w:rFonts w:ascii="楷体" w:hAnsi="楷体" w:eastAsia="楷体" w:cs="楷体"/>
          <w:sz w:val="19"/>
          <w:szCs w:val="19"/>
        </w:rPr>
      </w:pPr>
      <w:r>
        <w:rPr>
          <w:rFonts w:ascii="楷体" w:hAnsi="楷体" w:eastAsia="楷体" w:cs="楷体"/>
          <w:spacing w:val="26"/>
          <w:sz w:val="19"/>
          <w:szCs w:val="19"/>
        </w:rPr>
        <w:t>3)能力级别</w:t>
      </w:r>
    </w:p>
    <w:p w14:paraId="2A86FE23">
      <w:pPr>
        <w:pStyle w:val="2"/>
        <w:spacing w:before="80" w:line="219" w:lineRule="auto"/>
        <w:ind w:left="700"/>
        <w:rPr>
          <w:sz w:val="19"/>
          <w:szCs w:val="19"/>
        </w:rPr>
      </w:pPr>
      <w:r>
        <w:rPr>
          <w:spacing w:val="9"/>
          <w:sz w:val="19"/>
          <w:szCs w:val="19"/>
        </w:rPr>
        <w:t>将通用实施划分为公共特性，将公共特性划分为能力级别有多种方法。</w:t>
      </w:r>
    </w:p>
    <w:p w14:paraId="0C55A680">
      <w:pPr>
        <w:pStyle w:val="2"/>
        <w:spacing w:before="73" w:line="293" w:lineRule="auto"/>
        <w:ind w:left="300" w:right="16" w:firstLine="400"/>
        <w:rPr>
          <w:sz w:val="19"/>
          <w:szCs w:val="19"/>
        </w:rPr>
      </w:pPr>
      <w:r>
        <w:rPr>
          <w:spacing w:val="10"/>
          <w:sz w:val="19"/>
          <w:szCs w:val="19"/>
        </w:rPr>
        <w:t>公共特性和能力级别无论在评估一个组织过程能力时还是改进组织过程能力时</w:t>
      </w:r>
      <w:r>
        <w:rPr>
          <w:spacing w:val="9"/>
          <w:sz w:val="19"/>
          <w:szCs w:val="19"/>
        </w:rPr>
        <w:t>都是重要的。</w:t>
      </w:r>
      <w:r>
        <w:rPr>
          <w:sz w:val="19"/>
          <w:szCs w:val="19"/>
        </w:rPr>
        <w:t xml:space="preserve"> </w:t>
      </w:r>
      <w:r>
        <w:rPr>
          <w:spacing w:val="13"/>
          <w:sz w:val="19"/>
          <w:szCs w:val="19"/>
        </w:rPr>
        <w:t>当评估一个组织过程能力时，如果这个组织只执行了一个特定级别的一个特定过程的部分公共</w:t>
      </w:r>
      <w:r>
        <w:rPr>
          <w:spacing w:val="4"/>
          <w:sz w:val="19"/>
          <w:szCs w:val="19"/>
        </w:rPr>
        <w:t xml:space="preserve"> </w:t>
      </w:r>
      <w:r>
        <w:rPr>
          <w:spacing w:val="15"/>
          <w:sz w:val="19"/>
          <w:szCs w:val="19"/>
        </w:rPr>
        <w:t>特性，则这个组织对这个过程而言，处于这个级别的最底层。例如，在2级能力上，如果缺乏</w:t>
      </w:r>
    </w:p>
    <w:p w14:paraId="6655B79E">
      <w:pPr>
        <w:spacing w:line="293" w:lineRule="auto"/>
        <w:rPr>
          <w:sz w:val="19"/>
          <w:szCs w:val="19"/>
        </w:rPr>
        <w:sectPr>
          <w:pgSz w:w="10320" w:h="13430"/>
          <w:pgMar w:top="369" w:right="1038" w:bottom="400" w:left="569" w:header="0" w:footer="0" w:gutter="0"/>
          <w:cols w:space="720" w:num="1"/>
        </w:sectPr>
      </w:pPr>
    </w:p>
    <w:p w14:paraId="6EC6FE6C">
      <w:pPr>
        <w:pStyle w:val="2"/>
        <w:spacing w:before="96" w:line="219" w:lineRule="auto"/>
        <w:jc w:val="right"/>
        <w:rPr>
          <w:rFonts w:ascii="Times New Roman" w:hAnsi="Times New Roman" w:eastAsia="Times New Roman" w:cs="Times New Roman"/>
          <w:sz w:val="18"/>
          <w:szCs w:val="18"/>
        </w:rPr>
      </w:pPr>
      <w:bookmarkStart w:id="528" w:name="bookmark515"/>
      <w:bookmarkEnd w:id="528"/>
      <w:r>
        <w:rPr>
          <w:spacing w:val="11"/>
          <w:sz w:val="18"/>
          <w:szCs w:val="18"/>
        </w:rPr>
        <w:t>第2章</w:t>
      </w:r>
      <w:r>
        <w:rPr>
          <w:spacing w:val="47"/>
          <w:sz w:val="18"/>
          <w:szCs w:val="18"/>
        </w:rPr>
        <w:t xml:space="preserve"> </w:t>
      </w:r>
      <w:r>
        <w:rPr>
          <w:spacing w:val="11"/>
          <w:sz w:val="18"/>
          <w:szCs w:val="18"/>
        </w:rPr>
        <w:t>信息系统工程</w:t>
      </w:r>
      <w:r>
        <w:rPr>
          <w:spacing w:val="6"/>
          <w:sz w:val="18"/>
          <w:szCs w:val="18"/>
        </w:rPr>
        <w:t xml:space="preserve">       </w:t>
      </w:r>
      <w:r>
        <w:rPr>
          <w:rFonts w:ascii="Times New Roman" w:hAnsi="Times New Roman" w:eastAsia="Times New Roman" w:cs="Times New Roman"/>
          <w:spacing w:val="11"/>
          <w:position w:val="1"/>
          <w:sz w:val="18"/>
          <w:szCs w:val="18"/>
        </w:rPr>
        <w:t>91</w:t>
      </w:r>
    </w:p>
    <w:p w14:paraId="32B512EE">
      <w:pPr>
        <w:spacing w:line="295" w:lineRule="auto"/>
        <w:rPr>
          <w:rFonts w:ascii="Arial"/>
          <w:sz w:val="21"/>
        </w:rPr>
      </w:pPr>
    </w:p>
    <w:p w14:paraId="2ECA1F70">
      <w:pPr>
        <w:pStyle w:val="2"/>
        <w:spacing w:before="58" w:line="332" w:lineRule="auto"/>
        <w:ind w:right="253"/>
        <w:jc w:val="both"/>
        <w:rPr>
          <w:sz w:val="18"/>
          <w:szCs w:val="18"/>
        </w:rPr>
      </w:pPr>
      <w:r>
        <w:rPr>
          <w:spacing w:val="23"/>
          <w:sz w:val="18"/>
          <w:szCs w:val="18"/>
        </w:rPr>
        <w:t>跟踪执行公共特性的经验和能力，那么跟踪项目的执行将会很困难。如果高级别的公共特性在</w:t>
      </w:r>
      <w:r>
        <w:rPr>
          <w:spacing w:val="5"/>
          <w:sz w:val="18"/>
          <w:szCs w:val="18"/>
        </w:rPr>
        <w:t xml:space="preserve"> </w:t>
      </w:r>
      <w:r>
        <w:rPr>
          <w:spacing w:val="23"/>
          <w:sz w:val="18"/>
          <w:szCs w:val="18"/>
        </w:rPr>
        <w:t>一个组织中实施，但其低级别的公共特性未能实施，则这个组织不能获得该级别的所有能力带</w:t>
      </w:r>
      <w:r>
        <w:rPr>
          <w:spacing w:val="5"/>
          <w:sz w:val="18"/>
          <w:szCs w:val="18"/>
        </w:rPr>
        <w:t xml:space="preserve"> </w:t>
      </w:r>
      <w:r>
        <w:rPr>
          <w:spacing w:val="18"/>
          <w:sz w:val="18"/>
          <w:szCs w:val="18"/>
        </w:rPr>
        <w:t>来的好处。评估组织在评估一个组织个别过程能力时，应对这种情况加以考虑。</w:t>
      </w:r>
    </w:p>
    <w:p w14:paraId="59DB6249">
      <w:pPr>
        <w:pStyle w:val="2"/>
        <w:spacing w:before="1" w:line="325" w:lineRule="auto"/>
        <w:ind w:right="256" w:firstLine="419"/>
        <w:rPr>
          <w:sz w:val="18"/>
          <w:szCs w:val="18"/>
        </w:rPr>
      </w:pPr>
      <w:r>
        <w:rPr>
          <w:spacing w:val="23"/>
          <w:sz w:val="18"/>
          <w:szCs w:val="18"/>
        </w:rPr>
        <w:t>当一个组织希望改进某个特定过程能力时，能力级别的实施活</w:t>
      </w:r>
      <w:r>
        <w:rPr>
          <w:spacing w:val="22"/>
          <w:sz w:val="18"/>
          <w:szCs w:val="18"/>
        </w:rPr>
        <w:t>动可为实施改进的组织提供</w:t>
      </w:r>
      <w:r>
        <w:rPr>
          <w:sz w:val="18"/>
          <w:szCs w:val="18"/>
        </w:rPr>
        <w:t xml:space="preserve"> </w:t>
      </w:r>
      <w:r>
        <w:rPr>
          <w:spacing w:val="18"/>
          <w:sz w:val="18"/>
          <w:szCs w:val="18"/>
        </w:rPr>
        <w:t>一个“能力改进路线图”。能力级别代表工程组织的成熟度级别，如图2-</w:t>
      </w:r>
      <w:r>
        <w:rPr>
          <w:spacing w:val="17"/>
          <w:sz w:val="18"/>
          <w:szCs w:val="18"/>
        </w:rPr>
        <w:t>18所示。</w:t>
      </w:r>
    </w:p>
    <w:p w14:paraId="00DDF5B5">
      <w:pPr>
        <w:spacing w:before="109"/>
      </w:pPr>
    </w:p>
    <w:p w14:paraId="57A48E13">
      <w:pPr>
        <w:spacing w:before="108"/>
      </w:pPr>
    </w:p>
    <w:tbl>
      <w:tblPr>
        <w:tblStyle w:val="5"/>
        <w:tblW w:w="5400" w:type="dxa"/>
        <w:tblInd w:w="16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04"/>
        <w:gridCol w:w="1073"/>
        <w:gridCol w:w="1357"/>
        <w:gridCol w:w="1367"/>
        <w:gridCol w:w="799"/>
      </w:tblGrid>
      <w:tr w14:paraId="377B58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7" w:hRule="atLeast"/>
        </w:trPr>
        <w:tc>
          <w:tcPr>
            <w:tcW w:w="804" w:type="dxa"/>
            <w:vAlign w:val="top"/>
          </w:tcPr>
          <w:p w14:paraId="11F1A5B2">
            <w:pPr>
              <w:pStyle w:val="6"/>
              <w:spacing w:before="34" w:line="73" w:lineRule="exact"/>
              <w:ind w:left="200"/>
              <w:rPr>
                <w:sz w:val="9"/>
                <w:szCs w:val="9"/>
              </w:rPr>
            </w:pPr>
            <w:r>
              <w:drawing>
                <wp:anchor distT="0" distB="0" distL="0" distR="0" simplePos="0" relativeHeight="251687936" behindDoc="1" locked="0" layoutInCell="1" allowOverlap="1">
                  <wp:simplePos x="0" y="0"/>
                  <wp:positionH relativeFrom="column">
                    <wp:posOffset>-431800</wp:posOffset>
                  </wp:positionH>
                  <wp:positionV relativeFrom="paragraph">
                    <wp:posOffset>-420370</wp:posOffset>
                  </wp:positionV>
                  <wp:extent cx="4051300" cy="11366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5"/>
                          <a:stretch>
                            <a:fillRect/>
                          </a:stretch>
                        </pic:blipFill>
                        <pic:spPr>
                          <a:xfrm>
                            <a:off x="0" y="0"/>
                            <a:ext cx="4051317" cy="1136698"/>
                          </a:xfrm>
                          <a:prstGeom prst="rect">
                            <a:avLst/>
                          </a:prstGeom>
                        </pic:spPr>
                      </pic:pic>
                    </a:graphicData>
                  </a:graphic>
                </wp:anchor>
              </w:drawing>
            </w:r>
            <w:r>
              <w:rPr>
                <w:position w:val="-1"/>
                <w:sz w:val="9"/>
                <w:szCs w:val="9"/>
              </w:rPr>
              <w:t>1</w:t>
            </w:r>
          </w:p>
        </w:tc>
        <w:tc>
          <w:tcPr>
            <w:tcW w:w="1073" w:type="dxa"/>
            <w:vAlign w:val="top"/>
          </w:tcPr>
          <w:p w14:paraId="115E3953">
            <w:pPr>
              <w:spacing w:before="1" w:line="157" w:lineRule="auto"/>
              <w:ind w:left="455"/>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tc>
        <w:tc>
          <w:tcPr>
            <w:tcW w:w="1357" w:type="dxa"/>
            <w:vAlign w:val="top"/>
          </w:tcPr>
          <w:p w14:paraId="745B6996">
            <w:pPr>
              <w:spacing w:line="159" w:lineRule="auto"/>
              <w:ind w:left="483"/>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tc>
        <w:tc>
          <w:tcPr>
            <w:tcW w:w="1367" w:type="dxa"/>
            <w:vAlign w:val="top"/>
          </w:tcPr>
          <w:p w14:paraId="2FB5D368">
            <w:pPr>
              <w:spacing w:line="107" w:lineRule="exact"/>
              <w:rPr>
                <w:rFonts w:ascii="Arial"/>
                <w:sz w:val="9"/>
              </w:rPr>
            </w:pPr>
          </w:p>
        </w:tc>
        <w:tc>
          <w:tcPr>
            <w:tcW w:w="799" w:type="dxa"/>
            <w:vAlign w:val="top"/>
          </w:tcPr>
          <w:p w14:paraId="476A7686">
            <w:pPr>
              <w:spacing w:before="1" w:line="157" w:lineRule="auto"/>
              <w:ind w:left="468"/>
              <w:rPr>
                <w:rFonts w:ascii="Times New Roman" w:hAnsi="Times New Roman" w:eastAsia="Times New Roman" w:cs="Times New Roman"/>
                <w:sz w:val="14"/>
                <w:szCs w:val="14"/>
              </w:rPr>
            </w:pPr>
            <w:r>
              <w:rPr>
                <w:rFonts w:ascii="Times New Roman" w:hAnsi="Times New Roman" w:eastAsia="Times New Roman" w:cs="Times New Roman"/>
                <w:color w:val="FFFFFF"/>
                <w:sz w:val="14"/>
                <w:szCs w:val="14"/>
              </w:rPr>
              <w:t>5</w:t>
            </w:r>
          </w:p>
        </w:tc>
      </w:tr>
      <w:tr w14:paraId="0D621C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9" w:hRule="atLeast"/>
        </w:trPr>
        <w:tc>
          <w:tcPr>
            <w:tcW w:w="804" w:type="dxa"/>
            <w:vAlign w:val="top"/>
          </w:tcPr>
          <w:p w14:paraId="1556EEDB">
            <w:pPr>
              <w:pStyle w:val="6"/>
              <w:spacing w:before="28" w:line="195" w:lineRule="auto"/>
              <w:ind w:left="9"/>
              <w:rPr>
                <w:sz w:val="18"/>
                <w:szCs w:val="18"/>
              </w:rPr>
            </w:pPr>
            <w:r>
              <w:rPr>
                <w:spacing w:val="-10"/>
                <w:sz w:val="18"/>
                <w:szCs w:val="18"/>
              </w:rPr>
              <w:t>非正规</w:t>
            </w:r>
          </w:p>
        </w:tc>
        <w:tc>
          <w:tcPr>
            <w:tcW w:w="1073" w:type="dxa"/>
            <w:vAlign w:val="top"/>
          </w:tcPr>
          <w:p w14:paraId="69828461">
            <w:pPr>
              <w:pStyle w:val="6"/>
              <w:spacing w:before="39" w:line="184" w:lineRule="auto"/>
              <w:ind w:left="276"/>
              <w:rPr>
                <w:sz w:val="18"/>
                <w:szCs w:val="18"/>
              </w:rPr>
            </w:pPr>
            <w:r>
              <w:rPr>
                <w:spacing w:val="-9"/>
                <w:sz w:val="18"/>
                <w:szCs w:val="18"/>
              </w:rPr>
              <w:t>规划和</w:t>
            </w:r>
          </w:p>
        </w:tc>
        <w:tc>
          <w:tcPr>
            <w:tcW w:w="1357" w:type="dxa"/>
            <w:vAlign w:val="top"/>
          </w:tcPr>
          <w:p w14:paraId="6D84C2F0">
            <w:pPr>
              <w:pStyle w:val="6"/>
              <w:spacing w:before="28" w:line="195" w:lineRule="auto"/>
              <w:ind w:left="373"/>
              <w:rPr>
                <w:sz w:val="18"/>
                <w:szCs w:val="18"/>
              </w:rPr>
            </w:pPr>
            <w:r>
              <w:rPr>
                <w:spacing w:val="-3"/>
                <w:sz w:val="18"/>
                <w:szCs w:val="18"/>
              </w:rPr>
              <w:t>充分</w:t>
            </w:r>
          </w:p>
        </w:tc>
        <w:tc>
          <w:tcPr>
            <w:tcW w:w="1367" w:type="dxa"/>
            <w:vAlign w:val="top"/>
          </w:tcPr>
          <w:p w14:paraId="1B35ED25">
            <w:pPr>
              <w:pStyle w:val="6"/>
              <w:spacing w:before="19" w:line="205" w:lineRule="auto"/>
              <w:ind w:left="596"/>
              <w:rPr>
                <w:sz w:val="18"/>
                <w:szCs w:val="18"/>
              </w:rPr>
            </w:pPr>
            <w:r>
              <w:rPr>
                <w:spacing w:val="-2"/>
                <w:sz w:val="18"/>
                <w:szCs w:val="18"/>
              </w:rPr>
              <w:t>量化</w:t>
            </w:r>
          </w:p>
        </w:tc>
        <w:tc>
          <w:tcPr>
            <w:tcW w:w="799" w:type="dxa"/>
            <w:vAlign w:val="top"/>
          </w:tcPr>
          <w:p w14:paraId="6294AE7F">
            <w:pPr>
              <w:pStyle w:val="6"/>
              <w:spacing w:before="37" w:line="186" w:lineRule="auto"/>
              <w:ind w:left="358"/>
              <w:rPr>
                <w:sz w:val="18"/>
                <w:szCs w:val="18"/>
              </w:rPr>
            </w:pPr>
            <w:r>
              <w:rPr>
                <w:spacing w:val="-3"/>
                <w:sz w:val="18"/>
                <w:szCs w:val="18"/>
              </w:rPr>
              <w:t>持续</w:t>
            </w:r>
          </w:p>
        </w:tc>
      </w:tr>
      <w:tr w14:paraId="0B1A82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9" w:hRule="atLeast"/>
        </w:trPr>
        <w:tc>
          <w:tcPr>
            <w:tcW w:w="804" w:type="dxa"/>
            <w:vAlign w:val="top"/>
          </w:tcPr>
          <w:p w14:paraId="0E466DC0">
            <w:pPr>
              <w:pStyle w:val="6"/>
              <w:spacing w:before="29" w:line="174" w:lineRule="auto"/>
              <w:rPr>
                <w:sz w:val="18"/>
                <w:szCs w:val="18"/>
              </w:rPr>
            </w:pPr>
            <w:r>
              <w:rPr>
                <w:spacing w:val="-3"/>
                <w:sz w:val="18"/>
                <w:szCs w:val="18"/>
              </w:rPr>
              <w:t>实施级</w:t>
            </w:r>
          </w:p>
        </w:tc>
        <w:tc>
          <w:tcPr>
            <w:tcW w:w="1073" w:type="dxa"/>
            <w:vAlign w:val="top"/>
          </w:tcPr>
          <w:p w14:paraId="2530A4FA">
            <w:pPr>
              <w:pStyle w:val="6"/>
              <w:spacing w:before="9" w:line="194" w:lineRule="auto"/>
              <w:ind w:left="276"/>
              <w:rPr>
                <w:sz w:val="18"/>
                <w:szCs w:val="18"/>
              </w:rPr>
            </w:pPr>
            <w:r>
              <w:rPr>
                <w:spacing w:val="-9"/>
                <w:sz w:val="18"/>
                <w:szCs w:val="18"/>
              </w:rPr>
              <w:t>跟踪级</w:t>
            </w:r>
          </w:p>
        </w:tc>
        <w:tc>
          <w:tcPr>
            <w:tcW w:w="1357" w:type="dxa"/>
            <w:vAlign w:val="top"/>
          </w:tcPr>
          <w:p w14:paraId="2F1613C0">
            <w:pPr>
              <w:pStyle w:val="6"/>
              <w:spacing w:before="19" w:line="184" w:lineRule="auto"/>
              <w:ind w:left="293"/>
              <w:rPr>
                <w:sz w:val="18"/>
                <w:szCs w:val="18"/>
              </w:rPr>
            </w:pPr>
            <w:r>
              <w:rPr>
                <w:spacing w:val="-3"/>
                <w:sz w:val="18"/>
                <w:szCs w:val="18"/>
              </w:rPr>
              <w:t>定义级</w:t>
            </w:r>
          </w:p>
        </w:tc>
        <w:tc>
          <w:tcPr>
            <w:tcW w:w="1367" w:type="dxa"/>
            <w:vAlign w:val="top"/>
          </w:tcPr>
          <w:p w14:paraId="5816FC3F">
            <w:pPr>
              <w:pStyle w:val="6"/>
              <w:spacing w:before="9" w:line="194" w:lineRule="auto"/>
              <w:ind w:left="536"/>
              <w:rPr>
                <w:sz w:val="18"/>
                <w:szCs w:val="18"/>
              </w:rPr>
            </w:pPr>
            <w:r>
              <w:rPr>
                <w:spacing w:val="-2"/>
                <w:sz w:val="18"/>
                <w:szCs w:val="18"/>
              </w:rPr>
              <w:t>控制级</w:t>
            </w:r>
          </w:p>
        </w:tc>
        <w:tc>
          <w:tcPr>
            <w:tcW w:w="799" w:type="dxa"/>
            <w:vAlign w:val="top"/>
          </w:tcPr>
          <w:p w14:paraId="7B5E44F2">
            <w:pPr>
              <w:pStyle w:val="6"/>
              <w:spacing w:before="8" w:line="195" w:lineRule="auto"/>
              <w:jc w:val="right"/>
              <w:rPr>
                <w:sz w:val="18"/>
                <w:szCs w:val="18"/>
              </w:rPr>
            </w:pPr>
            <w:r>
              <w:rPr>
                <w:spacing w:val="-15"/>
                <w:sz w:val="18"/>
                <w:szCs w:val="18"/>
              </w:rPr>
              <w:t>改进</w:t>
            </w:r>
            <w:r>
              <w:rPr>
                <w:spacing w:val="-12"/>
                <w:sz w:val="18"/>
                <w:szCs w:val="18"/>
              </w:rPr>
              <w:t>级</w:t>
            </w:r>
          </w:p>
        </w:tc>
      </w:tr>
    </w:tbl>
    <w:p w14:paraId="557ACC01">
      <w:pPr>
        <w:spacing w:line="303" w:lineRule="auto"/>
        <w:rPr>
          <w:rFonts w:ascii="Arial"/>
          <w:sz w:val="21"/>
        </w:rPr>
      </w:pPr>
    </w:p>
    <w:p w14:paraId="33F0B5E9">
      <w:pPr>
        <w:spacing w:line="303" w:lineRule="auto"/>
        <w:rPr>
          <w:rFonts w:ascii="Arial"/>
          <w:sz w:val="21"/>
        </w:rPr>
      </w:pPr>
    </w:p>
    <w:p w14:paraId="5B7DFDAE">
      <w:pPr>
        <w:pStyle w:val="2"/>
        <w:spacing w:before="59" w:line="424" w:lineRule="auto"/>
        <w:ind w:left="409" w:right="2150" w:firstLine="1510"/>
        <w:rPr>
          <w:sz w:val="18"/>
          <w:szCs w:val="18"/>
        </w:rPr>
      </w:pPr>
      <w:r>
        <w:rPr>
          <w:spacing w:val="4"/>
          <w:sz w:val="18"/>
          <w:szCs w:val="18"/>
        </w:rPr>
        <w:t>图2-18</w:t>
      </w:r>
      <w:r>
        <w:rPr>
          <w:spacing w:val="86"/>
          <w:w w:val="101"/>
          <w:sz w:val="18"/>
          <w:szCs w:val="18"/>
        </w:rPr>
        <w:t xml:space="preserve"> </w:t>
      </w:r>
      <w:r>
        <w:rPr>
          <w:spacing w:val="4"/>
          <w:sz w:val="18"/>
          <w:szCs w:val="18"/>
        </w:rPr>
        <w:t>能力级别代表工程组织的成熟度级别的5级模型</w:t>
      </w:r>
      <w:r>
        <w:rPr>
          <w:sz w:val="18"/>
          <w:szCs w:val="18"/>
        </w:rPr>
        <w:t xml:space="preserve"> </w:t>
      </w:r>
      <w:r>
        <w:rPr>
          <w:spacing w:val="21"/>
          <w:sz w:val="18"/>
          <w:szCs w:val="18"/>
        </w:rPr>
        <w:t>5级能力级别的重点及能力特点如表2-4所示。</w:t>
      </w:r>
    </w:p>
    <w:p w14:paraId="045F7F6E">
      <w:pPr>
        <w:spacing w:before="1" w:line="220" w:lineRule="auto"/>
        <w:ind w:left="2762"/>
        <w:rPr>
          <w:rFonts w:ascii="黑体" w:hAnsi="黑体" w:eastAsia="黑体" w:cs="黑体"/>
          <w:sz w:val="18"/>
          <w:szCs w:val="18"/>
        </w:rPr>
      </w:pPr>
      <w:r>
        <w:rPr>
          <w:rFonts w:ascii="黑体" w:hAnsi="黑体" w:eastAsia="黑体" w:cs="黑体"/>
          <w:b/>
          <w:bCs/>
          <w:spacing w:val="-1"/>
          <w:sz w:val="18"/>
          <w:szCs w:val="18"/>
        </w:rPr>
        <w:t>表2-4</w:t>
      </w:r>
      <w:r>
        <w:rPr>
          <w:rFonts w:ascii="黑体" w:hAnsi="黑体" w:eastAsia="黑体" w:cs="黑体"/>
          <w:spacing w:val="83"/>
          <w:sz w:val="18"/>
          <w:szCs w:val="18"/>
        </w:rPr>
        <w:t xml:space="preserve"> </w:t>
      </w:r>
      <w:r>
        <w:rPr>
          <w:rFonts w:ascii="黑体" w:hAnsi="黑体" w:eastAsia="黑体" w:cs="黑体"/>
          <w:b/>
          <w:bCs/>
          <w:spacing w:val="-1"/>
          <w:sz w:val="18"/>
          <w:szCs w:val="18"/>
        </w:rPr>
        <w:t>能力级别的重点与能力特点</w:t>
      </w:r>
    </w:p>
    <w:p w14:paraId="41152D6B">
      <w:pPr>
        <w:spacing w:line="106" w:lineRule="exact"/>
      </w:pPr>
    </w:p>
    <w:tbl>
      <w:tblPr>
        <w:tblStyle w:val="5"/>
        <w:tblW w:w="835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0"/>
        <w:gridCol w:w="3950"/>
        <w:gridCol w:w="2690"/>
      </w:tblGrid>
      <w:tr w14:paraId="4F599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710" w:type="dxa"/>
            <w:tcBorders>
              <w:left w:val="nil"/>
            </w:tcBorders>
            <w:vAlign w:val="top"/>
          </w:tcPr>
          <w:p w14:paraId="7E047486">
            <w:pPr>
              <w:pStyle w:val="6"/>
              <w:spacing w:before="50" w:line="220" w:lineRule="auto"/>
              <w:ind w:left="692"/>
            </w:pPr>
            <w:r>
              <w:rPr>
                <w:b/>
                <w:bCs/>
                <w:spacing w:val="3"/>
              </w:rPr>
              <w:t>级别</w:t>
            </w:r>
          </w:p>
        </w:tc>
        <w:tc>
          <w:tcPr>
            <w:tcW w:w="3950" w:type="dxa"/>
            <w:vAlign w:val="top"/>
          </w:tcPr>
          <w:p w14:paraId="339F18F1">
            <w:pPr>
              <w:pStyle w:val="6"/>
              <w:spacing w:before="54" w:line="223" w:lineRule="auto"/>
              <w:ind w:left="1777"/>
            </w:pPr>
            <w:r>
              <w:rPr>
                <w:b/>
                <w:bCs/>
                <w:spacing w:val="-5"/>
              </w:rPr>
              <w:t>重点</w:t>
            </w:r>
          </w:p>
        </w:tc>
        <w:tc>
          <w:tcPr>
            <w:tcW w:w="2690" w:type="dxa"/>
            <w:tcBorders>
              <w:right w:val="nil"/>
            </w:tcBorders>
            <w:vAlign w:val="top"/>
          </w:tcPr>
          <w:p w14:paraId="057C93E2">
            <w:pPr>
              <w:pStyle w:val="6"/>
              <w:spacing w:before="50" w:line="219" w:lineRule="auto"/>
              <w:ind w:left="957"/>
            </w:pPr>
            <w:r>
              <w:rPr>
                <w:b/>
                <w:bCs/>
              </w:rPr>
              <w:t>能力特点</w:t>
            </w:r>
          </w:p>
        </w:tc>
      </w:tr>
      <w:tr w14:paraId="5B960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710" w:type="dxa"/>
            <w:tcBorders>
              <w:left w:val="nil"/>
            </w:tcBorders>
            <w:vAlign w:val="top"/>
          </w:tcPr>
          <w:p w14:paraId="5B0F45F0">
            <w:pPr>
              <w:pStyle w:val="6"/>
              <w:spacing w:before="189" w:line="220" w:lineRule="auto"/>
              <w:ind w:left="39"/>
            </w:pPr>
            <w:r>
              <w:rPr>
                <w:spacing w:val="1"/>
              </w:rPr>
              <w:t>1级：非正规实施级</w:t>
            </w:r>
          </w:p>
        </w:tc>
        <w:tc>
          <w:tcPr>
            <w:tcW w:w="3950" w:type="dxa"/>
            <w:vAlign w:val="top"/>
          </w:tcPr>
          <w:p w14:paraId="7E682EC4">
            <w:pPr>
              <w:pStyle w:val="6"/>
              <w:spacing w:before="67" w:line="239" w:lineRule="auto"/>
              <w:ind w:left="43" w:hanging="29"/>
            </w:pPr>
            <w:r>
              <w:rPr>
                <w:spacing w:val="-4"/>
              </w:rPr>
              <w:t>着重于一个组织或项目只是执行了包含基本实施</w:t>
            </w:r>
            <w:r>
              <w:rPr>
                <w:spacing w:val="18"/>
              </w:rPr>
              <w:t xml:space="preserve"> </w:t>
            </w:r>
            <w:r>
              <w:rPr>
                <w:spacing w:val="2"/>
              </w:rPr>
              <w:t>的过程</w:t>
            </w:r>
          </w:p>
        </w:tc>
        <w:tc>
          <w:tcPr>
            <w:tcW w:w="2690" w:type="dxa"/>
            <w:tcBorders>
              <w:right w:val="nil"/>
            </w:tcBorders>
            <w:vAlign w:val="top"/>
          </w:tcPr>
          <w:p w14:paraId="162826DF">
            <w:pPr>
              <w:pStyle w:val="6"/>
              <w:spacing w:before="187" w:line="219" w:lineRule="auto"/>
              <w:ind w:left="5"/>
            </w:pPr>
            <w:r>
              <w:t>必须首先做它，然后才能管理它</w:t>
            </w:r>
          </w:p>
        </w:tc>
      </w:tr>
      <w:tr w14:paraId="5AAC1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710" w:type="dxa"/>
            <w:tcBorders>
              <w:left w:val="nil"/>
            </w:tcBorders>
            <w:vAlign w:val="top"/>
          </w:tcPr>
          <w:p w14:paraId="658A40A5">
            <w:pPr>
              <w:pStyle w:val="6"/>
              <w:spacing w:before="190" w:line="220" w:lineRule="auto"/>
              <w:ind w:left="39"/>
            </w:pPr>
            <w:r>
              <w:rPr>
                <w:spacing w:val="1"/>
              </w:rPr>
              <w:t>2级：规划和跟踪级</w:t>
            </w:r>
          </w:p>
        </w:tc>
        <w:tc>
          <w:tcPr>
            <w:tcW w:w="3950" w:type="dxa"/>
            <w:vAlign w:val="top"/>
          </w:tcPr>
          <w:p w14:paraId="713D71E0">
            <w:pPr>
              <w:pStyle w:val="6"/>
              <w:spacing w:before="190" w:line="219" w:lineRule="auto"/>
              <w:ind w:left="75"/>
            </w:pPr>
            <w:r>
              <w:rPr>
                <w:spacing w:val="-1"/>
              </w:rPr>
              <w:t>着重于项目层面的定义、规划和执行问题</w:t>
            </w:r>
          </w:p>
        </w:tc>
        <w:tc>
          <w:tcPr>
            <w:tcW w:w="2690" w:type="dxa"/>
            <w:tcBorders>
              <w:right w:val="nil"/>
            </w:tcBorders>
            <w:vAlign w:val="top"/>
          </w:tcPr>
          <w:p w14:paraId="124CBE0E">
            <w:pPr>
              <w:pStyle w:val="6"/>
              <w:spacing w:before="59" w:line="238" w:lineRule="auto"/>
              <w:ind w:left="64" w:right="26" w:hanging="59"/>
            </w:pPr>
            <w:r>
              <w:rPr>
                <w:spacing w:val="-1"/>
              </w:rPr>
              <w:t>在定义组织层面的过程之前，先</w:t>
            </w:r>
            <w:r>
              <w:rPr>
                <w:spacing w:val="6"/>
              </w:rPr>
              <w:t xml:space="preserve"> </w:t>
            </w:r>
            <w:r>
              <w:rPr>
                <w:spacing w:val="-1"/>
              </w:rPr>
              <w:t>要弄清楚与项目相关的事项</w:t>
            </w:r>
          </w:p>
        </w:tc>
      </w:tr>
      <w:tr w14:paraId="50286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1710" w:type="dxa"/>
            <w:tcBorders>
              <w:left w:val="nil"/>
            </w:tcBorders>
            <w:vAlign w:val="top"/>
          </w:tcPr>
          <w:p w14:paraId="05E8C427">
            <w:pPr>
              <w:spacing w:line="258" w:lineRule="auto"/>
              <w:rPr>
                <w:rFonts w:ascii="Arial"/>
                <w:sz w:val="21"/>
              </w:rPr>
            </w:pPr>
          </w:p>
          <w:p w14:paraId="2D100A7A">
            <w:pPr>
              <w:pStyle w:val="6"/>
              <w:spacing w:before="61" w:line="220" w:lineRule="auto"/>
              <w:ind w:left="39"/>
            </w:pPr>
            <w:r>
              <w:rPr>
                <w:spacing w:val="2"/>
              </w:rPr>
              <w:t>3级：充分定义级</w:t>
            </w:r>
          </w:p>
        </w:tc>
        <w:tc>
          <w:tcPr>
            <w:tcW w:w="3950" w:type="dxa"/>
            <w:vAlign w:val="top"/>
          </w:tcPr>
          <w:p w14:paraId="4726DA63">
            <w:pPr>
              <w:spacing w:line="257" w:lineRule="auto"/>
              <w:rPr>
                <w:rFonts w:ascii="Arial"/>
                <w:sz w:val="21"/>
              </w:rPr>
            </w:pPr>
          </w:p>
          <w:p w14:paraId="1FC4C9D4">
            <w:pPr>
              <w:pStyle w:val="6"/>
              <w:spacing w:before="62" w:line="219" w:lineRule="auto"/>
              <w:ind w:left="24"/>
            </w:pPr>
            <w:r>
              <w:rPr>
                <w:spacing w:val="-1"/>
              </w:rPr>
              <w:t>着重于规范化地裁剪组织层面的过程定义</w:t>
            </w:r>
          </w:p>
        </w:tc>
        <w:tc>
          <w:tcPr>
            <w:tcW w:w="2690" w:type="dxa"/>
            <w:tcBorders>
              <w:right w:val="nil"/>
            </w:tcBorders>
            <w:vAlign w:val="top"/>
          </w:tcPr>
          <w:p w14:paraId="66215A3F">
            <w:pPr>
              <w:pStyle w:val="6"/>
              <w:spacing w:before="80" w:line="239" w:lineRule="auto"/>
              <w:ind w:left="5" w:firstLine="49"/>
              <w:jc w:val="both"/>
            </w:pPr>
            <w:r>
              <w:rPr>
                <w:spacing w:val="-3"/>
              </w:rPr>
              <w:t>这个级别的能力特点可描述为：</w:t>
            </w:r>
            <w:r>
              <w:rPr>
                <w:spacing w:val="11"/>
              </w:rPr>
              <w:t xml:space="preserve"> </w:t>
            </w:r>
            <w:r>
              <w:rPr>
                <w:spacing w:val="-1"/>
              </w:rPr>
              <w:t>用项目中学到的最好的东西来定</w:t>
            </w:r>
            <w:r>
              <w:t xml:space="preserve"> </w:t>
            </w:r>
            <w:r>
              <w:rPr>
                <w:spacing w:val="3"/>
              </w:rPr>
              <w:t>义组织层面的过程</w:t>
            </w:r>
          </w:p>
        </w:tc>
      </w:tr>
      <w:tr w14:paraId="58376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7" w:hRule="atLeast"/>
        </w:trPr>
        <w:tc>
          <w:tcPr>
            <w:tcW w:w="1710" w:type="dxa"/>
            <w:tcBorders>
              <w:left w:val="nil"/>
            </w:tcBorders>
            <w:vAlign w:val="top"/>
          </w:tcPr>
          <w:p w14:paraId="54323D1E">
            <w:pPr>
              <w:spacing w:line="389" w:lineRule="auto"/>
              <w:rPr>
                <w:rFonts w:ascii="Arial"/>
                <w:sz w:val="21"/>
              </w:rPr>
            </w:pPr>
          </w:p>
          <w:p w14:paraId="3973A81A">
            <w:pPr>
              <w:pStyle w:val="6"/>
              <w:spacing w:before="62" w:line="220" w:lineRule="auto"/>
              <w:ind w:left="39"/>
            </w:pPr>
            <w:r>
              <w:rPr>
                <w:spacing w:val="2"/>
              </w:rPr>
              <w:t>4级：量化控制级</w:t>
            </w:r>
          </w:p>
        </w:tc>
        <w:tc>
          <w:tcPr>
            <w:tcW w:w="3950" w:type="dxa"/>
            <w:vAlign w:val="top"/>
          </w:tcPr>
          <w:p w14:paraId="1F33A5FF">
            <w:pPr>
              <w:pStyle w:val="6"/>
              <w:spacing w:before="51" w:line="249" w:lineRule="auto"/>
              <w:ind w:left="14"/>
              <w:jc w:val="both"/>
            </w:pPr>
            <w:r>
              <w:rPr>
                <w:spacing w:val="-4"/>
              </w:rPr>
              <w:t>着重于测量。测量是与组织业务目标紧密联系在</w:t>
            </w:r>
            <w:r>
              <w:rPr>
                <w:spacing w:val="12"/>
              </w:rPr>
              <w:t xml:space="preserve"> </w:t>
            </w:r>
            <w:r>
              <w:rPr>
                <w:spacing w:val="-4"/>
              </w:rPr>
              <w:t>一起的。尽管在以前的级别上，也把数据收集和</w:t>
            </w:r>
            <w:r>
              <w:rPr>
                <w:spacing w:val="18"/>
              </w:rPr>
              <w:t xml:space="preserve"> </w:t>
            </w:r>
            <w:r>
              <w:rPr>
                <w:spacing w:val="-4"/>
              </w:rPr>
              <w:t>采用项目测量作为基本活动，但只有达到高级别</w:t>
            </w:r>
            <w:r>
              <w:rPr>
                <w:spacing w:val="17"/>
              </w:rPr>
              <w:t xml:space="preserve"> </w:t>
            </w:r>
            <w:r>
              <w:rPr>
                <w:spacing w:val="1"/>
              </w:rPr>
              <w:t>时，数据才能在组织层面上被应用</w:t>
            </w:r>
          </w:p>
        </w:tc>
        <w:tc>
          <w:tcPr>
            <w:tcW w:w="2690" w:type="dxa"/>
            <w:tcBorders>
              <w:right w:val="nil"/>
            </w:tcBorders>
            <w:vAlign w:val="top"/>
          </w:tcPr>
          <w:p w14:paraId="0CD704B7">
            <w:pPr>
              <w:pStyle w:val="6"/>
              <w:spacing w:before="180" w:line="254" w:lineRule="auto"/>
              <w:ind w:left="5" w:right="31" w:firstLine="139"/>
            </w:pPr>
            <w:r>
              <w:t>只有知道它是什么,才能测量</w:t>
            </w:r>
            <w:r>
              <w:rPr>
                <w:spacing w:val="5"/>
              </w:rPr>
              <w:t xml:space="preserve">  </w:t>
            </w:r>
            <w:r>
              <w:rPr>
                <w:spacing w:val="-1"/>
              </w:rPr>
              <w:t>它；当被测量的对象正确时，基</w:t>
            </w:r>
            <w:r>
              <w:rPr>
                <w:spacing w:val="1"/>
              </w:rPr>
              <w:t xml:space="preserve"> </w:t>
            </w:r>
            <w:r>
              <w:rPr>
                <w:spacing w:val="6"/>
              </w:rPr>
              <w:t>于测量的管理才有意义</w:t>
            </w:r>
          </w:p>
        </w:tc>
      </w:tr>
      <w:tr w14:paraId="45E28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1710" w:type="dxa"/>
            <w:tcBorders>
              <w:left w:val="nil"/>
            </w:tcBorders>
            <w:vAlign w:val="top"/>
          </w:tcPr>
          <w:p w14:paraId="70B8F24D">
            <w:pPr>
              <w:spacing w:line="262" w:lineRule="auto"/>
              <w:rPr>
                <w:rFonts w:ascii="Arial"/>
                <w:sz w:val="21"/>
              </w:rPr>
            </w:pPr>
          </w:p>
          <w:p w14:paraId="291F261D">
            <w:pPr>
              <w:pStyle w:val="6"/>
              <w:spacing w:before="62" w:line="219" w:lineRule="auto"/>
              <w:ind w:left="39"/>
            </w:pPr>
            <w:r>
              <w:rPr>
                <w:spacing w:val="2"/>
              </w:rPr>
              <w:t>5级：持续改进级</w:t>
            </w:r>
          </w:p>
        </w:tc>
        <w:tc>
          <w:tcPr>
            <w:tcW w:w="3950" w:type="dxa"/>
            <w:vAlign w:val="top"/>
          </w:tcPr>
          <w:p w14:paraId="0BE1F717">
            <w:pPr>
              <w:pStyle w:val="6"/>
              <w:spacing w:before="75" w:line="239" w:lineRule="auto"/>
              <w:ind w:left="14"/>
              <w:jc w:val="both"/>
            </w:pPr>
            <w:r>
              <w:rPr>
                <w:spacing w:val="-4"/>
              </w:rPr>
              <w:t>从前面各级的所有管理活动中获得发展的力量，</w:t>
            </w:r>
            <w:r>
              <w:rPr>
                <w:spacing w:val="18"/>
              </w:rPr>
              <w:t xml:space="preserve"> </w:t>
            </w:r>
            <w:r>
              <w:rPr>
                <w:spacing w:val="-7"/>
              </w:rPr>
              <w:t>并通过加强组织的文明保持这种力量。这一方法</w:t>
            </w:r>
            <w:r>
              <w:rPr>
                <w:spacing w:val="13"/>
              </w:rPr>
              <w:t xml:space="preserve"> </w:t>
            </w:r>
            <w:r>
              <w:rPr>
                <w:spacing w:val="-1"/>
              </w:rPr>
              <w:t>强调文明的转变，这种转变又将使方法更有效</w:t>
            </w:r>
          </w:p>
        </w:tc>
        <w:tc>
          <w:tcPr>
            <w:tcW w:w="2690" w:type="dxa"/>
            <w:tcBorders>
              <w:right w:val="nil"/>
            </w:tcBorders>
            <w:vAlign w:val="top"/>
          </w:tcPr>
          <w:p w14:paraId="682A6E24">
            <w:pPr>
              <w:pStyle w:val="6"/>
              <w:spacing w:before="84" w:line="236" w:lineRule="auto"/>
              <w:ind w:left="5" w:right="4"/>
              <w:jc w:val="both"/>
            </w:pPr>
            <w:r>
              <w:rPr>
                <w:spacing w:val="1"/>
              </w:rPr>
              <w:t>持续性改进的文明需要以完备的</w:t>
            </w:r>
            <w:r>
              <w:t xml:space="preserve"> </w:t>
            </w:r>
            <w:r>
              <w:rPr>
                <w:spacing w:val="1"/>
              </w:rPr>
              <w:t>管理实施、已定义的过程和可测</w:t>
            </w:r>
            <w:r>
              <w:t xml:space="preserve"> </w:t>
            </w:r>
            <w:r>
              <w:rPr>
                <w:spacing w:val="5"/>
              </w:rPr>
              <w:t>量的目标作为基础</w:t>
            </w:r>
          </w:p>
        </w:tc>
      </w:tr>
    </w:tbl>
    <w:p w14:paraId="667CCADB">
      <w:pPr>
        <w:rPr>
          <w:rFonts w:ascii="Arial"/>
          <w:sz w:val="21"/>
        </w:rPr>
      </w:pPr>
    </w:p>
    <w:p w14:paraId="71F48625">
      <w:pPr>
        <w:rPr>
          <w:rFonts w:ascii="Arial" w:hAnsi="Arial" w:eastAsia="Arial" w:cs="Arial"/>
          <w:sz w:val="21"/>
          <w:szCs w:val="21"/>
        </w:rPr>
        <w:sectPr>
          <w:pgSz w:w="10300" w:h="13320"/>
          <w:pgMar w:top="400" w:right="597" w:bottom="400" w:left="1120" w:header="0" w:footer="0" w:gutter="0"/>
          <w:cols w:space="720" w:num="1"/>
        </w:sectPr>
      </w:pPr>
    </w:p>
    <w:p w14:paraId="727C4376">
      <w:pPr>
        <w:spacing w:line="268" w:lineRule="auto"/>
        <w:rPr>
          <w:rFonts w:ascii="Arial"/>
          <w:sz w:val="21"/>
        </w:rPr>
      </w:pPr>
    </w:p>
    <w:p w14:paraId="595E72FD">
      <w:pPr>
        <w:spacing w:line="268" w:lineRule="auto"/>
        <w:rPr>
          <w:rFonts w:ascii="Arial"/>
          <w:sz w:val="21"/>
        </w:rPr>
      </w:pPr>
    </w:p>
    <w:p w14:paraId="1EE04CFC">
      <w:pPr>
        <w:spacing w:line="268" w:lineRule="auto"/>
        <w:rPr>
          <w:rFonts w:ascii="Arial"/>
          <w:sz w:val="21"/>
        </w:rPr>
      </w:pPr>
    </w:p>
    <w:p w14:paraId="0EBB0DA0">
      <w:pPr>
        <w:spacing w:before="130" w:line="234" w:lineRule="auto"/>
        <w:rPr>
          <w:sz w:val="40"/>
          <w:szCs w:val="40"/>
        </w:rPr>
      </w:pPr>
      <w:bookmarkStart w:id="529" w:name="bookmark516"/>
      <w:bookmarkEnd w:id="529"/>
      <w:r>
        <w:rPr>
          <w:rFonts w:ascii="黑体" w:hAnsi="黑体" w:eastAsia="黑体" w:cs="黑体"/>
          <w:color w:val="0074E8"/>
          <w:position w:val="-4"/>
          <w:sz w:val="40"/>
          <w:szCs w:val="40"/>
        </w:rPr>
        <w:drawing>
          <wp:inline distT="0" distB="0" distL="0" distR="0">
            <wp:extent cx="635000" cy="2540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6"/>
                    <a:stretch>
                      <a:fillRect/>
                    </a:stretch>
                  </pic:blipFill>
                  <pic:spPr>
                    <a:xfrm>
                      <a:off x="0" y="0"/>
                      <a:ext cx="635044" cy="254012"/>
                    </a:xfrm>
                    <a:prstGeom prst="rect">
                      <a:avLst/>
                    </a:prstGeom>
                  </pic:spPr>
                </pic:pic>
              </a:graphicData>
            </a:graphic>
          </wp:inline>
        </w:drawing>
      </w:r>
      <w:r>
        <w:rPr>
          <w:rFonts w:ascii="黑体" w:hAnsi="黑体" w:eastAsia="黑体" w:cs="黑体"/>
          <w:color w:val="0074E8"/>
          <w:spacing w:val="37"/>
          <w:sz w:val="40"/>
          <w:szCs w:val="40"/>
        </w:rPr>
        <w:t xml:space="preserve">     </w:t>
      </w:r>
      <w:r>
        <w:rPr>
          <w:rFonts w:ascii="黑体" w:hAnsi="黑体" w:eastAsia="黑体" w:cs="黑体"/>
          <w:b/>
          <w:bCs/>
          <w:color w:val="0074E8"/>
          <w:spacing w:val="-10"/>
          <w:sz w:val="40"/>
          <w:szCs w:val="40"/>
        </w:rPr>
        <w:t>第</w:t>
      </w:r>
      <w:r>
        <w:rPr>
          <w:rFonts w:ascii="黑体" w:hAnsi="黑体" w:eastAsia="黑体" w:cs="黑体"/>
          <w:color w:val="0074E8"/>
          <w:spacing w:val="-86"/>
          <w:sz w:val="40"/>
          <w:szCs w:val="40"/>
        </w:rPr>
        <w:t xml:space="preserve"> </w:t>
      </w:r>
      <w:r>
        <w:rPr>
          <w:rFonts w:ascii="黑体" w:hAnsi="黑体" w:eastAsia="黑体" w:cs="黑体"/>
          <w:b/>
          <w:bCs/>
          <w:color w:val="0074E8"/>
          <w:spacing w:val="-10"/>
          <w:sz w:val="40"/>
          <w:szCs w:val="40"/>
        </w:rPr>
        <w:t>3</w:t>
      </w:r>
      <w:r>
        <w:rPr>
          <w:rFonts w:ascii="黑体" w:hAnsi="黑体" w:eastAsia="黑体" w:cs="黑体"/>
          <w:color w:val="0074E8"/>
          <w:spacing w:val="-88"/>
          <w:sz w:val="40"/>
          <w:szCs w:val="40"/>
        </w:rPr>
        <w:t xml:space="preserve"> </w:t>
      </w:r>
      <w:r>
        <w:rPr>
          <w:rFonts w:ascii="黑体" w:hAnsi="黑体" w:eastAsia="黑体" w:cs="黑体"/>
          <w:b/>
          <w:bCs/>
          <w:color w:val="0074E8"/>
          <w:spacing w:val="-10"/>
          <w:sz w:val="40"/>
          <w:szCs w:val="40"/>
        </w:rPr>
        <w:t>章</w:t>
      </w:r>
      <w:r>
        <w:rPr>
          <w:rFonts w:ascii="黑体" w:hAnsi="黑体" w:eastAsia="黑体" w:cs="黑体"/>
          <w:color w:val="0074E8"/>
          <w:spacing w:val="-10"/>
          <w:sz w:val="40"/>
          <w:szCs w:val="40"/>
        </w:rPr>
        <w:t xml:space="preserve">  </w:t>
      </w:r>
      <w:r>
        <w:rPr>
          <w:rFonts w:ascii="黑体" w:hAnsi="黑体" w:eastAsia="黑体" w:cs="黑体"/>
          <w:b/>
          <w:bCs/>
          <w:color w:val="0074E8"/>
          <w:spacing w:val="-10"/>
          <w:sz w:val="40"/>
          <w:szCs w:val="40"/>
        </w:rPr>
        <w:t>信息网络系统</w:t>
      </w:r>
      <w:r>
        <w:rPr>
          <w:rFonts w:ascii="黑体" w:hAnsi="黑体" w:eastAsia="黑体" w:cs="黑体"/>
          <w:color w:val="0074E8"/>
          <w:spacing w:val="34"/>
          <w:sz w:val="40"/>
          <w:szCs w:val="40"/>
        </w:rPr>
        <w:t xml:space="preserve">     </w:t>
      </w:r>
      <w:r>
        <w:rPr>
          <w:position w:val="-3"/>
          <w:sz w:val="40"/>
          <w:szCs w:val="40"/>
        </w:rPr>
        <w:drawing>
          <wp:inline distT="0" distB="0" distL="0" distR="0">
            <wp:extent cx="635000" cy="25971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7"/>
                    <a:stretch>
                      <a:fillRect/>
                    </a:stretch>
                  </pic:blipFill>
                  <pic:spPr>
                    <a:xfrm>
                      <a:off x="0" y="0"/>
                      <a:ext cx="635044" cy="260314"/>
                    </a:xfrm>
                    <a:prstGeom prst="rect">
                      <a:avLst/>
                    </a:prstGeom>
                  </pic:spPr>
                </pic:pic>
              </a:graphicData>
            </a:graphic>
          </wp:inline>
        </w:drawing>
      </w:r>
    </w:p>
    <w:p w14:paraId="154AA5CB">
      <w:pPr>
        <w:spacing w:line="348" w:lineRule="auto"/>
        <w:rPr>
          <w:rFonts w:ascii="Arial"/>
          <w:sz w:val="21"/>
        </w:rPr>
      </w:pPr>
    </w:p>
    <w:p w14:paraId="1A98E6E2">
      <w:pPr>
        <w:spacing w:line="349" w:lineRule="auto"/>
        <w:rPr>
          <w:rFonts w:ascii="Arial"/>
          <w:sz w:val="21"/>
        </w:rPr>
      </w:pPr>
    </w:p>
    <w:p w14:paraId="438CD1A7">
      <w:pPr>
        <w:pStyle w:val="2"/>
        <w:spacing w:before="61" w:line="305" w:lineRule="auto"/>
        <w:ind w:left="10" w:right="20" w:firstLine="390"/>
        <w:jc w:val="both"/>
        <w:rPr>
          <w:sz w:val="19"/>
          <w:szCs w:val="19"/>
        </w:rPr>
      </w:pPr>
      <w:r>
        <w:rPr>
          <w:spacing w:val="10"/>
          <w:sz w:val="19"/>
          <w:szCs w:val="19"/>
        </w:rPr>
        <w:t>信息网络系统是信息应用系统的网络基础，无论是在运营商通信网络中，还</w:t>
      </w:r>
      <w:r>
        <w:rPr>
          <w:spacing w:val="9"/>
          <w:sz w:val="19"/>
          <w:szCs w:val="19"/>
        </w:rPr>
        <w:t>是在智慧城市、</w:t>
      </w:r>
      <w:r>
        <w:rPr>
          <w:sz w:val="19"/>
          <w:szCs w:val="19"/>
        </w:rPr>
        <w:t xml:space="preserve"> </w:t>
      </w:r>
      <w:r>
        <w:rPr>
          <w:spacing w:val="13"/>
          <w:sz w:val="19"/>
          <w:szCs w:val="19"/>
        </w:rPr>
        <w:t>智慧政务和各类行业及组织的信息化工程中，信息网络系统都为上层信息化应用</w:t>
      </w:r>
      <w:r>
        <w:rPr>
          <w:spacing w:val="12"/>
          <w:sz w:val="19"/>
          <w:szCs w:val="19"/>
        </w:rPr>
        <w:t>和业务系统提</w:t>
      </w:r>
      <w:r>
        <w:rPr>
          <w:sz w:val="19"/>
          <w:szCs w:val="19"/>
        </w:rPr>
        <w:t xml:space="preserve"> </w:t>
      </w:r>
      <w:r>
        <w:rPr>
          <w:spacing w:val="13"/>
          <w:sz w:val="19"/>
          <w:szCs w:val="19"/>
        </w:rPr>
        <w:t>供了基础平台。在信息系统工程建设中，信息网络系统可以作为信息系统工程的一个组成部分</w:t>
      </w:r>
      <w:r>
        <w:rPr>
          <w:spacing w:val="14"/>
          <w:sz w:val="19"/>
          <w:szCs w:val="19"/>
        </w:rPr>
        <w:t xml:space="preserve"> </w:t>
      </w:r>
      <w:r>
        <w:rPr>
          <w:spacing w:val="13"/>
          <w:sz w:val="19"/>
          <w:szCs w:val="19"/>
        </w:rPr>
        <w:t>实施，也可以作为单独工程实施。虽然各类网络技术和业务应用不断涌现，但其基础</w:t>
      </w:r>
      <w:r>
        <w:rPr>
          <w:spacing w:val="12"/>
          <w:sz w:val="19"/>
          <w:szCs w:val="19"/>
        </w:rPr>
        <w:t>原理和架</w:t>
      </w:r>
      <w:r>
        <w:rPr>
          <w:sz w:val="19"/>
          <w:szCs w:val="19"/>
        </w:rPr>
        <w:t xml:space="preserve"> </w:t>
      </w:r>
      <w:r>
        <w:rPr>
          <w:spacing w:val="8"/>
          <w:sz w:val="19"/>
          <w:szCs w:val="19"/>
        </w:rPr>
        <w:t>构基本一致。本章重点阐述这些具有一致性的信息网络系统及技术。</w:t>
      </w:r>
    </w:p>
    <w:p w14:paraId="7970F696">
      <w:pPr>
        <w:spacing w:line="270" w:lineRule="auto"/>
        <w:rPr>
          <w:rFonts w:ascii="Arial"/>
          <w:sz w:val="21"/>
        </w:rPr>
      </w:pPr>
    </w:p>
    <w:p w14:paraId="02D82E14">
      <w:pPr>
        <w:pStyle w:val="2"/>
        <w:spacing w:before="94" w:line="221" w:lineRule="auto"/>
        <w:ind w:left="13"/>
        <w:rPr>
          <w:rFonts w:ascii="黑体" w:hAnsi="黑体" w:eastAsia="黑体" w:cs="黑体"/>
          <w:sz w:val="29"/>
          <w:szCs w:val="29"/>
        </w:rPr>
      </w:pPr>
      <w:r>
        <w:rPr>
          <w:b/>
          <w:bCs/>
          <w:color w:val="0082E6"/>
          <w:spacing w:val="-11"/>
          <w:sz w:val="29"/>
          <w:szCs w:val="29"/>
        </w:rPr>
        <w:t>3.1</w:t>
      </w:r>
      <w:r>
        <w:rPr>
          <w:color w:val="0082E6"/>
          <w:spacing w:val="-11"/>
          <w:sz w:val="29"/>
          <w:szCs w:val="29"/>
        </w:rPr>
        <w:t xml:space="preserve">  </w:t>
      </w:r>
      <w:r>
        <w:rPr>
          <w:rFonts w:ascii="黑体" w:hAnsi="黑体" w:eastAsia="黑体" w:cs="黑体"/>
          <w:b/>
          <w:bCs/>
          <w:color w:val="0082E6"/>
          <w:spacing w:val="-11"/>
          <w:sz w:val="29"/>
          <w:szCs w:val="29"/>
        </w:rPr>
        <w:t>信息网络系统体系框架和</w:t>
      </w:r>
      <w:r>
        <w:rPr>
          <w:b/>
          <w:bCs/>
          <w:color w:val="0082E6"/>
          <w:spacing w:val="-11"/>
          <w:sz w:val="29"/>
          <w:szCs w:val="29"/>
        </w:rPr>
        <w:t>OSI</w:t>
      </w:r>
      <w:r>
        <w:rPr>
          <w:color w:val="0082E6"/>
          <w:spacing w:val="-11"/>
          <w:sz w:val="29"/>
          <w:szCs w:val="29"/>
        </w:rPr>
        <w:t xml:space="preserve"> </w:t>
      </w:r>
      <w:r>
        <w:rPr>
          <w:rFonts w:ascii="黑体" w:hAnsi="黑体" w:eastAsia="黑体" w:cs="黑体"/>
          <w:b/>
          <w:bCs/>
          <w:color w:val="0082E6"/>
          <w:spacing w:val="-11"/>
          <w:sz w:val="29"/>
          <w:szCs w:val="29"/>
        </w:rPr>
        <w:t>七层模型</w:t>
      </w:r>
    </w:p>
    <w:p w14:paraId="5B0A3E81">
      <w:pPr>
        <w:pStyle w:val="2"/>
        <w:spacing w:before="274" w:line="298" w:lineRule="auto"/>
        <w:ind w:left="10" w:right="77" w:firstLine="390"/>
        <w:jc w:val="both"/>
        <w:rPr>
          <w:sz w:val="19"/>
          <w:szCs w:val="19"/>
        </w:rPr>
      </w:pPr>
      <w:r>
        <w:rPr>
          <w:spacing w:val="13"/>
          <w:sz w:val="19"/>
          <w:szCs w:val="19"/>
        </w:rPr>
        <w:t>信息网络系统负责各类终端设备的接入和互联互通，负责承载各种类型的信息化应用。信</w:t>
      </w:r>
      <w:r>
        <w:rPr>
          <w:spacing w:val="15"/>
          <w:sz w:val="19"/>
          <w:szCs w:val="19"/>
        </w:rPr>
        <w:t xml:space="preserve"> </w:t>
      </w:r>
      <w:r>
        <w:rPr>
          <w:spacing w:val="13"/>
          <w:sz w:val="19"/>
          <w:szCs w:val="19"/>
        </w:rPr>
        <w:t>息网络系统一般由某个管理者或者运营者负责进行建设或维护，不同管理者或者运</w:t>
      </w:r>
      <w:r>
        <w:rPr>
          <w:spacing w:val="12"/>
          <w:sz w:val="19"/>
          <w:szCs w:val="19"/>
        </w:rPr>
        <w:t>营者建设或</w:t>
      </w:r>
      <w:r>
        <w:rPr>
          <w:sz w:val="19"/>
          <w:szCs w:val="19"/>
        </w:rPr>
        <w:t xml:space="preserve"> </w:t>
      </w:r>
      <w:r>
        <w:rPr>
          <w:spacing w:val="13"/>
          <w:sz w:val="19"/>
          <w:szCs w:val="19"/>
        </w:rPr>
        <w:t>维护的信息网络系统又需要一定程度的互联互通，才能满足跨地域、跨管理域的终端用户间的</w:t>
      </w:r>
      <w:r>
        <w:rPr>
          <w:spacing w:val="1"/>
          <w:sz w:val="19"/>
          <w:szCs w:val="19"/>
        </w:rPr>
        <w:t xml:space="preserve"> </w:t>
      </w:r>
      <w:r>
        <w:rPr>
          <w:spacing w:val="15"/>
          <w:sz w:val="19"/>
          <w:szCs w:val="19"/>
        </w:rPr>
        <w:t>互通或者应用访问，即使是一个管理域内的信息网络系统，也可能由不同厂家的不同设备(例</w:t>
      </w:r>
      <w:r>
        <w:rPr>
          <w:spacing w:val="14"/>
          <w:sz w:val="19"/>
          <w:szCs w:val="19"/>
        </w:rPr>
        <w:t xml:space="preserve"> </w:t>
      </w:r>
      <w:r>
        <w:rPr>
          <w:spacing w:val="13"/>
          <w:sz w:val="19"/>
          <w:szCs w:val="19"/>
        </w:rPr>
        <w:t>如计算机设备、服务器设备、存储设备、路由器设备、交换机设备、各类传感器</w:t>
      </w:r>
      <w:r>
        <w:rPr>
          <w:spacing w:val="12"/>
          <w:sz w:val="19"/>
          <w:szCs w:val="19"/>
        </w:rPr>
        <w:t>设备，以及各</w:t>
      </w:r>
      <w:r>
        <w:rPr>
          <w:sz w:val="19"/>
          <w:szCs w:val="19"/>
        </w:rPr>
        <w:t xml:space="preserve"> </w:t>
      </w:r>
      <w:r>
        <w:rPr>
          <w:spacing w:val="15"/>
          <w:sz w:val="19"/>
          <w:szCs w:val="19"/>
        </w:rPr>
        <w:t>类应用软件等)按照一定的协议标准互联互通而成。因此，信息网络系统往往是一个复杂的系</w:t>
      </w:r>
      <w:r>
        <w:rPr>
          <w:spacing w:val="16"/>
          <w:sz w:val="19"/>
          <w:szCs w:val="19"/>
        </w:rPr>
        <w:t xml:space="preserve"> </w:t>
      </w:r>
      <w:r>
        <w:rPr>
          <w:spacing w:val="10"/>
          <w:sz w:val="19"/>
          <w:szCs w:val="19"/>
        </w:rPr>
        <w:t>统工程，如何将复杂的系统工程进行抽象简化，业界一般采</w:t>
      </w:r>
      <w:r>
        <w:rPr>
          <w:spacing w:val="9"/>
          <w:sz w:val="19"/>
          <w:szCs w:val="19"/>
        </w:rPr>
        <w:t>取两种做法：</w:t>
      </w:r>
      <w:r>
        <w:rPr>
          <w:spacing w:val="37"/>
          <w:sz w:val="19"/>
          <w:szCs w:val="19"/>
        </w:rPr>
        <w:t xml:space="preserve"> </w:t>
      </w:r>
      <w:r>
        <w:rPr>
          <w:spacing w:val="9"/>
          <w:sz w:val="19"/>
          <w:szCs w:val="19"/>
        </w:rPr>
        <w:t>一是将信息网络系统</w:t>
      </w:r>
      <w:r>
        <w:rPr>
          <w:sz w:val="19"/>
          <w:szCs w:val="19"/>
        </w:rPr>
        <w:t xml:space="preserve"> </w:t>
      </w:r>
      <w:r>
        <w:rPr>
          <w:spacing w:val="8"/>
          <w:sz w:val="19"/>
          <w:szCs w:val="19"/>
        </w:rPr>
        <w:t>按照业务功能模块进行划分；二是以网络信息流七层协议模型进行抽象。</w:t>
      </w:r>
    </w:p>
    <w:p w14:paraId="3B90C7D4">
      <w:pPr>
        <w:pStyle w:val="2"/>
        <w:spacing w:before="206" w:line="219" w:lineRule="auto"/>
        <w:ind w:left="12"/>
        <w:rPr>
          <w:sz w:val="25"/>
          <w:szCs w:val="25"/>
        </w:rPr>
      </w:pPr>
      <w:r>
        <w:rPr>
          <w:b/>
          <w:bCs/>
          <w:color w:val="0074DA"/>
          <w:spacing w:val="-16"/>
          <w:sz w:val="25"/>
          <w:szCs w:val="25"/>
        </w:rPr>
        <w:t>3.1.1</w:t>
      </w:r>
      <w:r>
        <w:rPr>
          <w:color w:val="0074DA"/>
          <w:spacing w:val="80"/>
          <w:sz w:val="25"/>
          <w:szCs w:val="25"/>
        </w:rPr>
        <w:t xml:space="preserve"> </w:t>
      </w:r>
      <w:r>
        <w:rPr>
          <w:b/>
          <w:bCs/>
          <w:color w:val="0074DA"/>
          <w:spacing w:val="-16"/>
          <w:sz w:val="25"/>
          <w:szCs w:val="25"/>
        </w:rPr>
        <w:t>信息网络系统一般体系框架模型</w:t>
      </w:r>
    </w:p>
    <w:p w14:paraId="4A42EE80">
      <w:pPr>
        <w:pStyle w:val="2"/>
        <w:spacing w:before="163" w:line="308" w:lineRule="auto"/>
        <w:ind w:left="10" w:right="80" w:firstLine="390"/>
        <w:rPr>
          <w:sz w:val="19"/>
          <w:szCs w:val="19"/>
        </w:rPr>
      </w:pPr>
      <w:r>
        <w:rPr>
          <w:spacing w:val="9"/>
          <w:sz w:val="19"/>
          <w:szCs w:val="19"/>
        </w:rPr>
        <w:t>为简化整体系统的设计，</w:t>
      </w:r>
      <w:r>
        <w:rPr>
          <w:spacing w:val="77"/>
          <w:sz w:val="19"/>
          <w:szCs w:val="19"/>
        </w:rPr>
        <w:t xml:space="preserve"> </w:t>
      </w:r>
      <w:r>
        <w:rPr>
          <w:spacing w:val="9"/>
          <w:sz w:val="19"/>
          <w:szCs w:val="19"/>
        </w:rPr>
        <w:t>一个相对完整的信息网络系统一般由若干相对独立又相互连接的</w:t>
      </w:r>
      <w:r>
        <w:rPr>
          <w:sz w:val="19"/>
          <w:szCs w:val="19"/>
        </w:rPr>
        <w:t xml:space="preserve"> </w:t>
      </w:r>
      <w:r>
        <w:rPr>
          <w:spacing w:val="10"/>
          <w:sz w:val="19"/>
          <w:szCs w:val="19"/>
        </w:rPr>
        <w:t>功能模块组成，如图3-1所示。</w:t>
      </w:r>
    </w:p>
    <w:p w14:paraId="2786CC14">
      <w:pPr>
        <w:pStyle w:val="2"/>
        <w:spacing w:line="2540" w:lineRule="exact"/>
        <w:ind w:firstLine="1459"/>
      </w:pPr>
      <w:r>
        <w:rPr>
          <w:position w:val="-50"/>
        </w:rPr>
        <w:pict>
          <v:group id="_x0000_s1148" o:spid="_x0000_s1148" o:spt="203" style="height:127pt;width:268.55pt;" coordsize="5370,2540">
            <o:lock v:ext="edit"/>
            <v:shape id="_x0000_s1149" o:spid="_x0000_s1149" o:spt="75" type="#_x0000_t75" style="position:absolute;left:0;top:0;height:2540;width:5370;" filled="f" stroked="f" coordsize="21600,21600">
              <v:path/>
              <v:fill on="f" focussize="0,0"/>
              <v:stroke on="f"/>
              <v:imagedata r:id="rId68" o:title=""/>
              <o:lock v:ext="edit" aspectratio="t"/>
            </v:shape>
            <v:shape id="_x0000_s1150" o:spid="_x0000_s1150" o:spt="202" type="#_x0000_t202" style="position:absolute;left:1980;top:89;height:2240;width:2843;" filled="f" stroked="f" coordsize="21600,21600">
              <v:path/>
              <v:fill on="f" focussize="0,0"/>
              <v:stroke on="f"/>
              <v:imagedata o:title=""/>
              <o:lock v:ext="edit" aspectratio="f"/>
              <v:textbox inset="0mm,0mm,0mm,0mm">
                <w:txbxContent>
                  <w:p w14:paraId="03CD04A6">
                    <w:pPr>
                      <w:spacing w:before="19" w:line="211" w:lineRule="auto"/>
                      <w:ind w:left="180" w:right="1882" w:hanging="70"/>
                      <w:rPr>
                        <w:rFonts w:ascii="宋体" w:hAnsi="宋体" w:eastAsia="宋体" w:cs="宋体"/>
                        <w:sz w:val="19"/>
                        <w:szCs w:val="19"/>
                      </w:rPr>
                    </w:pPr>
                    <w:r>
                      <w:rPr>
                        <w:rFonts w:ascii="宋体" w:hAnsi="宋体" w:eastAsia="宋体" w:cs="宋体"/>
                        <w:spacing w:val="-20"/>
                        <w:sz w:val="19"/>
                        <w:szCs w:val="19"/>
                      </w:rPr>
                      <w:t>网络和应用</w:t>
                    </w:r>
                    <w:r>
                      <w:rPr>
                        <w:rFonts w:ascii="宋体" w:hAnsi="宋体" w:eastAsia="宋体" w:cs="宋体"/>
                        <w:sz w:val="19"/>
                        <w:szCs w:val="19"/>
                      </w:rPr>
                      <w:t xml:space="preserve"> </w:t>
                    </w:r>
                    <w:r>
                      <w:rPr>
                        <w:rFonts w:ascii="宋体" w:hAnsi="宋体" w:eastAsia="宋体" w:cs="宋体"/>
                        <w:spacing w:val="-14"/>
                        <w:sz w:val="19"/>
                        <w:szCs w:val="19"/>
                      </w:rPr>
                      <w:t>服务平台</w:t>
                    </w:r>
                  </w:p>
                  <w:p w14:paraId="61799253">
                    <w:pPr>
                      <w:spacing w:line="289" w:lineRule="auto"/>
                      <w:rPr>
                        <w:rFonts w:ascii="Arial"/>
                        <w:sz w:val="21"/>
                      </w:rPr>
                    </w:pPr>
                  </w:p>
                  <w:p w14:paraId="5FE771C4">
                    <w:pPr>
                      <w:spacing w:line="289" w:lineRule="auto"/>
                      <w:rPr>
                        <w:rFonts w:ascii="Arial"/>
                        <w:sz w:val="21"/>
                      </w:rPr>
                    </w:pPr>
                  </w:p>
                  <w:p w14:paraId="1DE08DCC">
                    <w:pPr>
                      <w:spacing w:before="61" w:line="219" w:lineRule="auto"/>
                      <w:ind w:left="20"/>
                      <w:rPr>
                        <w:rFonts w:ascii="宋体" w:hAnsi="宋体" w:eastAsia="宋体" w:cs="宋体"/>
                        <w:sz w:val="19"/>
                        <w:szCs w:val="19"/>
                      </w:rPr>
                    </w:pPr>
                    <w:r>
                      <w:rPr>
                        <w:rFonts w:ascii="宋体" w:hAnsi="宋体" w:eastAsia="宋体" w:cs="宋体"/>
                        <w:spacing w:val="-16"/>
                        <w:sz w:val="19"/>
                        <w:szCs w:val="19"/>
                      </w:rPr>
                      <w:t>网络传输平台</w:t>
                    </w:r>
                  </w:p>
                  <w:p w14:paraId="48AFBC7F">
                    <w:pPr>
                      <w:spacing w:line="319" w:lineRule="auto"/>
                      <w:rPr>
                        <w:rFonts w:ascii="Arial"/>
                        <w:sz w:val="21"/>
                      </w:rPr>
                    </w:pPr>
                  </w:p>
                  <w:p w14:paraId="112B2283">
                    <w:pPr>
                      <w:spacing w:line="320" w:lineRule="auto"/>
                      <w:rPr>
                        <w:rFonts w:ascii="Arial"/>
                        <w:sz w:val="21"/>
                      </w:rPr>
                    </w:pPr>
                  </w:p>
                  <w:p w14:paraId="42821C7A">
                    <w:pPr>
                      <w:spacing w:before="62" w:line="220" w:lineRule="auto"/>
                      <w:jc w:val="right"/>
                      <w:rPr>
                        <w:rFonts w:ascii="宋体" w:hAnsi="宋体" w:eastAsia="宋体" w:cs="宋体"/>
                        <w:sz w:val="19"/>
                        <w:szCs w:val="19"/>
                      </w:rPr>
                    </w:pPr>
                    <w:r>
                      <w:rPr>
                        <w:rFonts w:ascii="宋体" w:hAnsi="宋体" w:eastAsia="宋体" w:cs="宋体"/>
                        <w:spacing w:val="-16"/>
                        <w:w w:val="99"/>
                        <w:sz w:val="19"/>
                        <w:szCs w:val="19"/>
                      </w:rPr>
                      <w:t>家庭用户</w:t>
                    </w:r>
                    <w:r>
                      <w:rPr>
                        <w:rFonts w:ascii="宋体" w:hAnsi="宋体" w:eastAsia="宋体" w:cs="宋体"/>
                        <w:spacing w:val="6"/>
                        <w:sz w:val="19"/>
                        <w:szCs w:val="19"/>
                      </w:rPr>
                      <w:t xml:space="preserve">   </w:t>
                    </w:r>
                    <w:r>
                      <w:rPr>
                        <w:rFonts w:ascii="宋体" w:hAnsi="宋体" w:eastAsia="宋体" w:cs="宋体"/>
                        <w:spacing w:val="-16"/>
                        <w:w w:val="99"/>
                        <w:sz w:val="19"/>
                        <w:szCs w:val="19"/>
                      </w:rPr>
                      <w:t>个人用户</w:t>
                    </w:r>
                  </w:p>
                </w:txbxContent>
              </v:textbox>
            </v:shape>
            <v:shape id="_x0000_s1151" o:spid="_x0000_s1151" o:spt="202" type="#_x0000_t202" style="position:absolute;left:530;top:1067;height:430;width:885;" filled="f" stroked="f" coordsize="21600,21600">
              <v:path/>
              <v:fill on="f" focussize="0,0"/>
              <v:stroke on="f"/>
              <v:imagedata o:title=""/>
              <o:lock v:ext="edit" aspectratio="f"/>
              <v:textbox inset="0mm,0mm,0mm,0mm">
                <w:txbxContent>
                  <w:p w14:paraId="708FEC6F">
                    <w:pPr>
                      <w:spacing w:before="19" w:line="208" w:lineRule="auto"/>
                      <w:ind w:left="110" w:right="20" w:hanging="90"/>
                      <w:rPr>
                        <w:rFonts w:ascii="宋体" w:hAnsi="宋体" w:eastAsia="宋体" w:cs="宋体"/>
                        <w:sz w:val="19"/>
                        <w:szCs w:val="19"/>
                      </w:rPr>
                    </w:pPr>
                    <w:r>
                      <w:rPr>
                        <w:rFonts w:ascii="宋体" w:hAnsi="宋体" w:eastAsia="宋体" w:cs="宋体"/>
                        <w:spacing w:val="-19"/>
                        <w:w w:val="98"/>
                        <w:sz w:val="19"/>
                        <w:szCs w:val="19"/>
                      </w:rPr>
                      <w:t>网络管理和</w:t>
                    </w:r>
                    <w:r>
                      <w:rPr>
                        <w:rFonts w:ascii="宋体" w:hAnsi="宋体" w:eastAsia="宋体" w:cs="宋体"/>
                        <w:spacing w:val="7"/>
                        <w:sz w:val="19"/>
                        <w:szCs w:val="19"/>
                      </w:rPr>
                      <w:t xml:space="preserve"> </w:t>
                    </w:r>
                    <w:r>
                      <w:rPr>
                        <w:rFonts w:ascii="宋体" w:hAnsi="宋体" w:eastAsia="宋体" w:cs="宋体"/>
                        <w:spacing w:val="-14"/>
                        <w:sz w:val="19"/>
                        <w:szCs w:val="19"/>
                      </w:rPr>
                      <w:t>维护平台</w:t>
                    </w:r>
                  </w:p>
                </w:txbxContent>
              </v:textbox>
            </v:shape>
            <v:shape id="_x0000_s1152" o:spid="_x0000_s1152" o:spt="202" type="#_x0000_t202" style="position:absolute;left:2130;top:1997;height:430;width:730;" filled="f" stroked="f" coordsize="21600,21600">
              <v:path/>
              <v:fill on="f" focussize="0,0"/>
              <v:stroke on="f"/>
              <v:imagedata o:title=""/>
              <o:lock v:ext="edit" aspectratio="f"/>
              <v:textbox inset="0mm,0mm,0mm,0mm">
                <w:txbxContent>
                  <w:p w14:paraId="66D7A94D">
                    <w:pPr>
                      <w:spacing w:before="19" w:line="208" w:lineRule="auto"/>
                      <w:ind w:left="120" w:right="20" w:hanging="100"/>
                      <w:rPr>
                        <w:rFonts w:ascii="宋体" w:hAnsi="宋体" w:eastAsia="宋体" w:cs="宋体"/>
                        <w:sz w:val="19"/>
                        <w:szCs w:val="19"/>
                      </w:rPr>
                    </w:pPr>
                    <w:r>
                      <w:rPr>
                        <w:rFonts w:ascii="宋体" w:hAnsi="宋体" w:eastAsia="宋体" w:cs="宋体"/>
                        <w:spacing w:val="-18"/>
                        <w:sz w:val="19"/>
                        <w:szCs w:val="19"/>
                      </w:rPr>
                      <w:t>企业内办</w:t>
                    </w:r>
                    <w:r>
                      <w:rPr>
                        <w:rFonts w:ascii="宋体" w:hAnsi="宋体" w:eastAsia="宋体" w:cs="宋体"/>
                        <w:spacing w:val="1"/>
                        <w:sz w:val="19"/>
                        <w:szCs w:val="19"/>
                      </w:rPr>
                      <w:t xml:space="preserve"> </w:t>
                    </w:r>
                    <w:r>
                      <w:rPr>
                        <w:rFonts w:ascii="宋体" w:hAnsi="宋体" w:eastAsia="宋体" w:cs="宋体"/>
                        <w:spacing w:val="-13"/>
                        <w:sz w:val="19"/>
                        <w:szCs w:val="19"/>
                      </w:rPr>
                      <w:t>公用户</w:t>
                    </w:r>
                  </w:p>
                </w:txbxContent>
              </v:textbox>
            </v:shape>
            <v:shape id="_x0000_s1153" o:spid="_x0000_s1153" o:spt="202" type="#_x0000_t202" style="position:absolute;left:170;top:2009;height:419;width:726;" filled="f" stroked="f" coordsize="21600,21600">
              <v:path/>
              <v:fill on="f" focussize="0,0"/>
              <v:stroke on="f"/>
              <v:imagedata o:title=""/>
              <o:lock v:ext="edit" aspectratio="f"/>
              <v:textbox inset="0mm,0mm,0mm,0mm">
                <w:txbxContent>
                  <w:p w14:paraId="19D86881">
                    <w:pPr>
                      <w:spacing w:before="20" w:line="201" w:lineRule="auto"/>
                      <w:ind w:left="90" w:right="20" w:hanging="70"/>
                      <w:rPr>
                        <w:rFonts w:ascii="宋体" w:hAnsi="宋体" w:eastAsia="宋体" w:cs="宋体"/>
                        <w:sz w:val="19"/>
                        <w:szCs w:val="19"/>
                      </w:rPr>
                    </w:pPr>
                    <w:r>
                      <w:rPr>
                        <w:rFonts w:ascii="宋体" w:hAnsi="宋体" w:eastAsia="宋体" w:cs="宋体"/>
                        <w:spacing w:val="-19"/>
                        <w:sz w:val="19"/>
                        <w:szCs w:val="19"/>
                      </w:rPr>
                      <w:t>物联网接</w:t>
                    </w:r>
                    <w:r>
                      <w:rPr>
                        <w:rFonts w:ascii="宋体" w:hAnsi="宋体" w:eastAsia="宋体" w:cs="宋体"/>
                        <w:spacing w:val="1"/>
                        <w:sz w:val="19"/>
                        <w:szCs w:val="19"/>
                      </w:rPr>
                      <w:t xml:space="preserve"> </w:t>
                    </w:r>
                    <w:r>
                      <w:rPr>
                        <w:rFonts w:ascii="宋体" w:hAnsi="宋体" w:eastAsia="宋体" w:cs="宋体"/>
                        <w:spacing w:val="-10"/>
                        <w:sz w:val="19"/>
                        <w:szCs w:val="19"/>
                      </w:rPr>
                      <w:t>入终端</w:t>
                    </w:r>
                  </w:p>
                </w:txbxContent>
              </v:textbox>
            </v:shape>
            <v:shape id="_x0000_s1154" o:spid="_x0000_s1154" o:spt="202" type="#_x0000_t202" style="position:absolute;left:3500;top:1167;height:230;width:1059;" filled="f" stroked="f" coordsize="21600,21600">
              <v:path/>
              <v:fill on="f" focussize="0,0"/>
              <v:stroke on="f"/>
              <v:imagedata o:title=""/>
              <o:lock v:ext="edit" aspectratio="f"/>
              <v:textbox inset="0mm,0mm,0mm,0mm">
                <w:txbxContent>
                  <w:p w14:paraId="7DA01521">
                    <w:pPr>
                      <w:spacing w:before="20" w:line="219" w:lineRule="auto"/>
                      <w:jc w:val="right"/>
                      <w:rPr>
                        <w:rFonts w:ascii="宋体" w:hAnsi="宋体" w:eastAsia="宋体" w:cs="宋体"/>
                        <w:sz w:val="19"/>
                        <w:szCs w:val="19"/>
                      </w:rPr>
                    </w:pPr>
                    <w:r>
                      <w:rPr>
                        <w:rFonts w:ascii="宋体" w:hAnsi="宋体" w:eastAsia="宋体" w:cs="宋体"/>
                        <w:spacing w:val="-21"/>
                        <w:sz w:val="19"/>
                        <w:szCs w:val="19"/>
                      </w:rPr>
                      <w:t>安全服务平台</w:t>
                    </w:r>
                  </w:p>
                </w:txbxContent>
              </v:textbox>
            </v:shape>
            <v:shape id="_x0000_s1155" o:spid="_x0000_s1155" o:spt="202" type="#_x0000_t202" style="position:absolute;left:1170;top:2088;height:230;width:714;" filled="f" stroked="f" coordsize="21600,21600">
              <v:path/>
              <v:fill on="f" focussize="0,0"/>
              <v:stroke on="f"/>
              <v:imagedata o:title=""/>
              <o:lock v:ext="edit" aspectratio="f"/>
              <v:textbox inset="0mm,0mm,0mm,0mm">
                <w:txbxContent>
                  <w:p w14:paraId="7C1C5B7F">
                    <w:pPr>
                      <w:spacing w:before="20" w:line="220" w:lineRule="auto"/>
                      <w:jc w:val="right"/>
                      <w:rPr>
                        <w:rFonts w:ascii="宋体" w:hAnsi="宋体" w:eastAsia="宋体" w:cs="宋体"/>
                        <w:sz w:val="19"/>
                        <w:szCs w:val="19"/>
                      </w:rPr>
                    </w:pPr>
                    <w:r>
                      <w:rPr>
                        <w:rFonts w:ascii="宋体" w:hAnsi="宋体" w:eastAsia="宋体" w:cs="宋体"/>
                        <w:spacing w:val="-15"/>
                        <w:w w:val="96"/>
                        <w:sz w:val="19"/>
                        <w:szCs w:val="19"/>
                      </w:rPr>
                      <w:t>企业用户</w:t>
                    </w:r>
                  </w:p>
                </w:txbxContent>
              </v:textbox>
            </v:shape>
            <v:shape id="_x0000_s1156" o:spid="_x0000_s1156" o:spt="202" type="#_x0000_t202" style="position:absolute;left:4991;top:566;height:739;width:187;" filled="f" stroked="f" coordsize="21600,21600">
              <v:path/>
              <v:fill on="f" focussize="0,0"/>
              <v:stroke on="f"/>
              <v:imagedata o:title=""/>
              <o:lock v:ext="edit" aspectratio="f"/>
              <v:textbox inset="0mm,0mm,0mm,0mm" style="layout-flow:vertical-ideographic;">
                <w:txbxContent>
                  <w:p w14:paraId="1F7DDAFD">
                    <w:pPr>
                      <w:spacing w:before="19" w:line="201" w:lineRule="auto"/>
                      <w:ind w:left="20"/>
                      <w:rPr>
                        <w:rFonts w:ascii="宋体" w:hAnsi="宋体" w:eastAsia="宋体" w:cs="宋体"/>
                        <w:sz w:val="16"/>
                        <w:szCs w:val="16"/>
                      </w:rPr>
                    </w:pPr>
                    <w:r>
                      <w:rPr>
                        <w:rFonts w:ascii="宋体" w:hAnsi="宋体" w:eastAsia="宋体" w:cs="宋体"/>
                        <w:spacing w:val="14"/>
                        <w:sz w:val="16"/>
                        <w:szCs w:val="16"/>
                      </w:rPr>
                      <w:t>环境系统</w:t>
                    </w:r>
                  </w:p>
                </w:txbxContent>
              </v:textbox>
            </v:shape>
            <w10:wrap type="none"/>
            <w10:anchorlock/>
          </v:group>
        </w:pict>
      </w:r>
    </w:p>
    <w:p w14:paraId="1FDA1206">
      <w:pPr>
        <w:pStyle w:val="2"/>
        <w:spacing w:before="68" w:line="219" w:lineRule="auto"/>
        <w:ind w:left="2790"/>
        <w:rPr>
          <w:sz w:val="19"/>
          <w:szCs w:val="19"/>
        </w:rPr>
      </w:pPr>
      <w:r>
        <w:rPr>
          <w:spacing w:val="-8"/>
          <w:sz w:val="19"/>
          <w:szCs w:val="19"/>
        </w:rPr>
        <w:t>图3-1</w:t>
      </w:r>
      <w:r>
        <w:rPr>
          <w:spacing w:val="65"/>
          <w:w w:val="101"/>
          <w:sz w:val="19"/>
          <w:szCs w:val="19"/>
        </w:rPr>
        <w:t xml:space="preserve"> </w:t>
      </w:r>
      <w:r>
        <w:rPr>
          <w:spacing w:val="-8"/>
          <w:sz w:val="19"/>
          <w:szCs w:val="19"/>
        </w:rPr>
        <w:t>信息网络系统一般体系框架</w:t>
      </w:r>
    </w:p>
    <w:p w14:paraId="34094786">
      <w:pPr>
        <w:pStyle w:val="2"/>
        <w:spacing w:before="142" w:line="293" w:lineRule="auto"/>
        <w:ind w:left="10" w:firstLine="390"/>
        <w:jc w:val="both"/>
        <w:rPr>
          <w:sz w:val="19"/>
          <w:szCs w:val="19"/>
        </w:rPr>
      </w:pPr>
      <w:r>
        <w:rPr>
          <w:spacing w:val="16"/>
          <w:sz w:val="19"/>
          <w:szCs w:val="19"/>
        </w:rPr>
        <w:t>(1)网络传输平台。负责信息网络系统中的数据传输，关注</w:t>
      </w:r>
      <w:r>
        <w:rPr>
          <w:spacing w:val="15"/>
          <w:sz w:val="19"/>
          <w:szCs w:val="19"/>
        </w:rPr>
        <w:t>点是根据最终用户和上层应用</w:t>
      </w:r>
      <w:r>
        <w:rPr>
          <w:sz w:val="19"/>
          <w:szCs w:val="19"/>
        </w:rPr>
        <w:t xml:space="preserve"> </w:t>
      </w:r>
      <w:r>
        <w:rPr>
          <w:spacing w:val="10"/>
          <w:sz w:val="19"/>
          <w:szCs w:val="19"/>
        </w:rPr>
        <w:t>的需要，高效、高质量、准确、安全地传输各类信息数据。网络传输平台一般包括传输、路由、</w:t>
      </w:r>
      <w:r>
        <w:rPr>
          <w:spacing w:val="4"/>
          <w:sz w:val="19"/>
          <w:szCs w:val="19"/>
        </w:rPr>
        <w:t xml:space="preserve"> </w:t>
      </w:r>
      <w:r>
        <w:rPr>
          <w:spacing w:val="6"/>
          <w:sz w:val="19"/>
          <w:szCs w:val="19"/>
        </w:rPr>
        <w:t>交换、有线和无线接入等设备和系统。</w:t>
      </w:r>
    </w:p>
    <w:p w14:paraId="2D31885B">
      <w:pPr>
        <w:spacing w:line="293" w:lineRule="auto"/>
        <w:rPr>
          <w:sz w:val="19"/>
          <w:szCs w:val="19"/>
        </w:rPr>
        <w:sectPr>
          <w:pgSz w:w="10310" w:h="13410"/>
          <w:pgMar w:top="400" w:right="1044" w:bottom="400" w:left="849" w:header="0" w:footer="0" w:gutter="0"/>
          <w:cols w:space="720" w:num="1"/>
        </w:sectPr>
      </w:pPr>
    </w:p>
    <w:p w14:paraId="5F324A5F">
      <w:pPr>
        <w:pStyle w:val="2"/>
        <w:spacing w:before="76" w:line="219" w:lineRule="auto"/>
        <w:jc w:val="right"/>
        <w:rPr>
          <w:rFonts w:ascii="Times New Roman" w:hAnsi="Times New Roman" w:eastAsia="Times New Roman" w:cs="Times New Roman"/>
          <w:sz w:val="18"/>
          <w:szCs w:val="18"/>
        </w:rPr>
      </w:pPr>
      <w:r>
        <w:rPr>
          <w:spacing w:val="11"/>
          <w:sz w:val="18"/>
          <w:szCs w:val="18"/>
        </w:rPr>
        <w:t>第3章</w:t>
      </w:r>
      <w:r>
        <w:rPr>
          <w:spacing w:val="49"/>
          <w:sz w:val="18"/>
          <w:szCs w:val="18"/>
        </w:rPr>
        <w:t xml:space="preserve"> </w:t>
      </w:r>
      <w:r>
        <w:rPr>
          <w:spacing w:val="11"/>
          <w:sz w:val="18"/>
          <w:szCs w:val="18"/>
        </w:rPr>
        <w:t>信息网络系统</w:t>
      </w:r>
      <w:r>
        <w:rPr>
          <w:spacing w:val="4"/>
          <w:sz w:val="18"/>
          <w:szCs w:val="18"/>
        </w:rPr>
        <w:t xml:space="preserve">       </w:t>
      </w:r>
      <w:r>
        <w:rPr>
          <w:rFonts w:ascii="Times New Roman" w:hAnsi="Times New Roman" w:eastAsia="Times New Roman" w:cs="Times New Roman"/>
          <w:spacing w:val="11"/>
          <w:position w:val="1"/>
          <w:sz w:val="18"/>
          <w:szCs w:val="18"/>
        </w:rPr>
        <w:t>93</w:t>
      </w:r>
    </w:p>
    <w:p w14:paraId="52D94D2C">
      <w:pPr>
        <w:spacing w:line="356" w:lineRule="auto"/>
        <w:rPr>
          <w:rFonts w:ascii="Arial"/>
          <w:sz w:val="21"/>
        </w:rPr>
      </w:pPr>
    </w:p>
    <w:p w14:paraId="0BD196F9">
      <w:pPr>
        <w:pStyle w:val="2"/>
        <w:spacing w:before="58" w:line="278" w:lineRule="auto"/>
        <w:ind w:right="260" w:firstLine="410"/>
        <w:rPr>
          <w:sz w:val="18"/>
          <w:szCs w:val="18"/>
        </w:rPr>
      </w:pPr>
      <w:r>
        <w:rPr>
          <w:spacing w:val="24"/>
          <w:sz w:val="18"/>
          <w:szCs w:val="18"/>
        </w:rPr>
        <w:t>(2)网络和应用服务平台。负责网络管理服务和业务应用层面的管理逻辑、业务逻辑和信</w:t>
      </w:r>
      <w:r>
        <w:rPr>
          <w:spacing w:val="11"/>
          <w:sz w:val="18"/>
          <w:szCs w:val="18"/>
        </w:rPr>
        <w:t xml:space="preserve"> </w:t>
      </w:r>
      <w:r>
        <w:rPr>
          <w:spacing w:val="13"/>
          <w:sz w:val="18"/>
          <w:szCs w:val="18"/>
        </w:rPr>
        <w:t>息数据处理，包括域名解析系统</w:t>
      </w:r>
      <w:r>
        <w:rPr>
          <w:spacing w:val="-29"/>
          <w:sz w:val="18"/>
          <w:szCs w:val="18"/>
        </w:rPr>
        <w:t xml:space="preserve"> </w:t>
      </w:r>
      <w:r>
        <w:rPr>
          <w:rFonts w:ascii="Times New Roman" w:hAnsi="Times New Roman" w:eastAsia="Times New Roman" w:cs="Times New Roman"/>
          <w:spacing w:val="13"/>
          <w:sz w:val="18"/>
          <w:szCs w:val="18"/>
        </w:rPr>
        <w:t>(</w:t>
      </w:r>
      <w:r>
        <w:rPr>
          <w:rFonts w:ascii="Times New Roman" w:hAnsi="Times New Roman" w:eastAsia="Times New Roman" w:cs="Times New Roman"/>
          <w:sz w:val="18"/>
          <w:szCs w:val="18"/>
        </w:rPr>
        <w:t>Domain</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Name</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System</w:t>
      </w:r>
      <w:r>
        <w:rPr>
          <w:rFonts w:ascii="Times New Roman" w:hAnsi="Times New Roman" w:eastAsia="Times New Roman" w:cs="Times New Roman"/>
          <w:spacing w:val="12"/>
          <w:sz w:val="18"/>
          <w:szCs w:val="18"/>
        </w:rPr>
        <w:t>,</w:t>
      </w:r>
      <w:r>
        <w:rPr>
          <w:rFonts w:ascii="Times New Roman" w:hAnsi="Times New Roman" w:eastAsia="Times New Roman" w:cs="Times New Roman"/>
          <w:sz w:val="18"/>
          <w:szCs w:val="18"/>
        </w:rPr>
        <w:t>DNS</w:t>
      </w:r>
      <w:r>
        <w:rPr>
          <w:rFonts w:ascii="Times New Roman" w:hAnsi="Times New Roman" w:eastAsia="Times New Roman" w:cs="Times New Roman"/>
          <w:spacing w:val="12"/>
          <w:sz w:val="18"/>
          <w:szCs w:val="18"/>
        </w:rPr>
        <w:t>)</w:t>
      </w:r>
      <w:r>
        <w:rPr>
          <w:spacing w:val="12"/>
          <w:sz w:val="18"/>
          <w:szCs w:val="18"/>
        </w:rPr>
        <w:t>、地址分配系统、业务应用系统</w:t>
      </w:r>
      <w:r>
        <w:rPr>
          <w:sz w:val="18"/>
          <w:szCs w:val="18"/>
        </w:rPr>
        <w:t xml:space="preserve"> </w:t>
      </w:r>
      <w:r>
        <w:rPr>
          <w:spacing w:val="8"/>
          <w:sz w:val="18"/>
          <w:szCs w:val="18"/>
        </w:rPr>
        <w:t>(</w:t>
      </w:r>
      <w:r>
        <w:rPr>
          <w:spacing w:val="-32"/>
          <w:sz w:val="18"/>
          <w:szCs w:val="18"/>
        </w:rPr>
        <w:t xml:space="preserve"> </w:t>
      </w:r>
      <w:r>
        <w:rPr>
          <w:spacing w:val="8"/>
          <w:sz w:val="18"/>
          <w:szCs w:val="18"/>
        </w:rPr>
        <w:t>例</w:t>
      </w:r>
      <w:r>
        <w:rPr>
          <w:spacing w:val="-29"/>
          <w:sz w:val="18"/>
          <w:szCs w:val="18"/>
        </w:rPr>
        <w:t xml:space="preserve"> </w:t>
      </w:r>
      <w:r>
        <w:rPr>
          <w:spacing w:val="8"/>
          <w:sz w:val="18"/>
          <w:szCs w:val="18"/>
        </w:rPr>
        <w:t>如</w:t>
      </w:r>
      <w:r>
        <w:rPr>
          <w:rFonts w:ascii="Times New Roman" w:hAnsi="Times New Roman" w:eastAsia="Times New Roman" w:cs="Times New Roman"/>
          <w:sz w:val="18"/>
          <w:szCs w:val="18"/>
        </w:rPr>
        <w:t>OA</w:t>
      </w:r>
      <w:r>
        <w:rPr>
          <w:rFonts w:ascii="Times New Roman" w:hAnsi="Times New Roman" w:eastAsia="Times New Roman" w:cs="Times New Roman"/>
          <w:spacing w:val="-25"/>
          <w:sz w:val="18"/>
          <w:szCs w:val="18"/>
        </w:rPr>
        <w:t xml:space="preserve"> </w:t>
      </w:r>
      <w:r>
        <w:rPr>
          <w:spacing w:val="8"/>
          <w:sz w:val="18"/>
          <w:szCs w:val="18"/>
        </w:rPr>
        <w:t>、</w:t>
      </w:r>
      <w:r>
        <w:rPr>
          <w:rFonts w:ascii="Times New Roman" w:hAnsi="Times New Roman" w:eastAsia="Times New Roman" w:cs="Times New Roman"/>
          <w:sz w:val="18"/>
          <w:szCs w:val="18"/>
        </w:rPr>
        <w:t>WWW</w:t>
      </w:r>
      <w:r>
        <w:rPr>
          <w:rFonts w:ascii="Times New Roman" w:hAnsi="Times New Roman" w:eastAsia="Times New Roman" w:cs="Times New Roman"/>
          <w:spacing w:val="-26"/>
          <w:sz w:val="18"/>
          <w:szCs w:val="18"/>
        </w:rPr>
        <w:t xml:space="preserve"> </w:t>
      </w:r>
      <w:r>
        <w:rPr>
          <w:spacing w:val="8"/>
          <w:sz w:val="18"/>
          <w:szCs w:val="18"/>
        </w:rPr>
        <w:t>、</w:t>
      </w:r>
      <w:r>
        <w:rPr>
          <w:spacing w:val="68"/>
          <w:sz w:val="18"/>
          <w:szCs w:val="18"/>
        </w:rPr>
        <w:t xml:space="preserve"> </w:t>
      </w:r>
      <w:r>
        <w:rPr>
          <w:spacing w:val="8"/>
          <w:sz w:val="18"/>
          <w:szCs w:val="18"/>
        </w:rPr>
        <w:t>电子邮件、语音会议、视频会议、</w:t>
      </w:r>
      <w:r>
        <w:rPr>
          <w:spacing w:val="-21"/>
          <w:sz w:val="18"/>
          <w:szCs w:val="18"/>
        </w:rPr>
        <w:t xml:space="preserve"> </w:t>
      </w:r>
      <w:r>
        <w:rPr>
          <w:rFonts w:ascii="Times New Roman" w:hAnsi="Times New Roman" w:eastAsia="Times New Roman" w:cs="Times New Roman"/>
          <w:sz w:val="18"/>
          <w:szCs w:val="18"/>
        </w:rPr>
        <w:t>VOD</w:t>
      </w:r>
      <w:r>
        <w:rPr>
          <w:rFonts w:ascii="Times New Roman" w:hAnsi="Times New Roman" w:eastAsia="Times New Roman" w:cs="Times New Roman"/>
          <w:spacing w:val="-25"/>
          <w:sz w:val="18"/>
          <w:szCs w:val="18"/>
        </w:rPr>
        <w:t xml:space="preserve"> </w:t>
      </w:r>
      <w:r>
        <w:rPr>
          <w:spacing w:val="8"/>
          <w:sz w:val="18"/>
          <w:szCs w:val="18"/>
        </w:rPr>
        <w:t>、</w:t>
      </w:r>
      <w:r>
        <w:rPr>
          <w:spacing w:val="-18"/>
          <w:sz w:val="18"/>
          <w:szCs w:val="18"/>
        </w:rPr>
        <w:t xml:space="preserve"> </w:t>
      </w:r>
      <w:r>
        <w:rPr>
          <w:spacing w:val="8"/>
          <w:sz w:val="18"/>
          <w:szCs w:val="18"/>
        </w:rPr>
        <w:t>人</w:t>
      </w:r>
      <w:r>
        <w:rPr>
          <w:spacing w:val="7"/>
          <w:sz w:val="18"/>
          <w:szCs w:val="18"/>
        </w:rPr>
        <w:t>脸识别等系统)。</w:t>
      </w:r>
    </w:p>
    <w:p w14:paraId="37B3EEE7">
      <w:pPr>
        <w:pStyle w:val="2"/>
        <w:spacing w:before="76" w:line="289" w:lineRule="auto"/>
        <w:ind w:right="263" w:firstLine="410"/>
        <w:rPr>
          <w:sz w:val="18"/>
          <w:szCs w:val="18"/>
        </w:rPr>
      </w:pPr>
      <w:r>
        <w:rPr>
          <w:spacing w:val="24"/>
          <w:sz w:val="18"/>
          <w:szCs w:val="18"/>
        </w:rPr>
        <w:t>(3)安全服务平台。负责网络、应用和用户的安全防护，包括信息加解密、防火墙、入侵</w:t>
      </w:r>
      <w:r>
        <w:rPr>
          <w:spacing w:val="8"/>
          <w:sz w:val="18"/>
          <w:szCs w:val="18"/>
        </w:rPr>
        <w:t xml:space="preserve"> </w:t>
      </w:r>
      <w:r>
        <w:rPr>
          <w:spacing w:val="18"/>
          <w:sz w:val="18"/>
          <w:szCs w:val="18"/>
        </w:rPr>
        <w:t>检测、漏洞扫描、病毒查杀、安全审计、数字证书等。</w:t>
      </w:r>
    </w:p>
    <w:p w14:paraId="61100618">
      <w:pPr>
        <w:pStyle w:val="2"/>
        <w:spacing w:before="67" w:line="290" w:lineRule="auto"/>
        <w:ind w:right="222" w:firstLine="410"/>
        <w:rPr>
          <w:sz w:val="18"/>
          <w:szCs w:val="18"/>
        </w:rPr>
      </w:pPr>
      <w:r>
        <w:rPr>
          <w:spacing w:val="20"/>
          <w:sz w:val="18"/>
          <w:szCs w:val="18"/>
        </w:rPr>
        <w:t>(4)网络管理和维护平台。负责整个信息网络系统的管理和维护，如果对外提供业务服务，</w:t>
      </w:r>
      <w:r>
        <w:rPr>
          <w:spacing w:val="8"/>
          <w:sz w:val="18"/>
          <w:szCs w:val="18"/>
        </w:rPr>
        <w:t xml:space="preserve"> </w:t>
      </w:r>
      <w:r>
        <w:rPr>
          <w:spacing w:val="15"/>
          <w:sz w:val="18"/>
          <w:szCs w:val="18"/>
        </w:rPr>
        <w:t>还需要专门的运营系统。</w:t>
      </w:r>
    </w:p>
    <w:p w14:paraId="10161153">
      <w:pPr>
        <w:pStyle w:val="2"/>
        <w:spacing w:before="73" w:line="284" w:lineRule="auto"/>
        <w:ind w:right="243" w:firstLine="410"/>
        <w:rPr>
          <w:sz w:val="18"/>
          <w:szCs w:val="18"/>
        </w:rPr>
      </w:pPr>
      <w:r>
        <w:rPr>
          <w:spacing w:val="25"/>
          <w:sz w:val="18"/>
          <w:szCs w:val="18"/>
        </w:rPr>
        <w:t>(5)环境系统。现代信息网络系统对能源、安防等提出了更高</w:t>
      </w:r>
      <w:r>
        <w:rPr>
          <w:spacing w:val="24"/>
          <w:sz w:val="18"/>
          <w:szCs w:val="18"/>
        </w:rPr>
        <w:t>的要求，包括机房建设、环</w:t>
      </w:r>
      <w:r>
        <w:rPr>
          <w:sz w:val="18"/>
          <w:szCs w:val="18"/>
        </w:rPr>
        <w:t xml:space="preserve"> </w:t>
      </w:r>
      <w:r>
        <w:rPr>
          <w:spacing w:val="17"/>
          <w:sz w:val="18"/>
          <w:szCs w:val="18"/>
        </w:rPr>
        <w:t>境监控、智能安防、节能降耗、综合布线等。</w:t>
      </w:r>
    </w:p>
    <w:p w14:paraId="2081EC07">
      <w:pPr>
        <w:pStyle w:val="2"/>
        <w:spacing w:before="205" w:line="212" w:lineRule="auto"/>
        <w:rPr>
          <w:sz w:val="26"/>
          <w:szCs w:val="26"/>
        </w:rPr>
      </w:pPr>
      <w:r>
        <w:rPr>
          <w:rFonts w:ascii="Times New Roman" w:hAnsi="Times New Roman" w:eastAsia="Times New Roman" w:cs="Times New Roman"/>
          <w:b/>
          <w:bCs/>
          <w:color w:val="0077EE"/>
          <w:spacing w:val="-6"/>
          <w:sz w:val="26"/>
          <w:szCs w:val="26"/>
        </w:rPr>
        <w:t xml:space="preserve">3.1.2   </w:t>
      </w:r>
      <w:r>
        <w:rPr>
          <w:b/>
          <w:bCs/>
          <w:color w:val="0077EE"/>
          <w:spacing w:val="-6"/>
          <w:sz w:val="26"/>
          <w:szCs w:val="26"/>
        </w:rPr>
        <w:t>开放系统互连</w:t>
      </w:r>
      <w:r>
        <w:rPr>
          <w:rFonts w:ascii="Times New Roman" w:hAnsi="Times New Roman" w:eastAsia="Times New Roman" w:cs="Times New Roman"/>
          <w:b/>
          <w:bCs/>
          <w:color w:val="0077EE"/>
          <w:spacing w:val="-6"/>
          <w:sz w:val="26"/>
          <w:szCs w:val="26"/>
        </w:rPr>
        <w:t xml:space="preserve">(OSI)   </w:t>
      </w:r>
      <w:r>
        <w:rPr>
          <w:b/>
          <w:bCs/>
          <w:color w:val="0077EE"/>
          <w:spacing w:val="-6"/>
          <w:sz w:val="26"/>
          <w:szCs w:val="26"/>
        </w:rPr>
        <w:t>七层模型</w:t>
      </w:r>
    </w:p>
    <w:p w14:paraId="55B03B0F">
      <w:pPr>
        <w:pStyle w:val="2"/>
        <w:spacing w:before="201" w:line="324" w:lineRule="auto"/>
        <w:ind w:right="260" w:firstLine="410"/>
        <w:jc w:val="both"/>
        <w:rPr>
          <w:sz w:val="18"/>
          <w:szCs w:val="18"/>
        </w:rPr>
      </w:pPr>
      <w:r>
        <w:rPr>
          <w:spacing w:val="23"/>
          <w:sz w:val="18"/>
          <w:szCs w:val="18"/>
        </w:rPr>
        <w:t>为了简化信息网络系统的设计和实现，尽量优化</w:t>
      </w:r>
      <w:r>
        <w:rPr>
          <w:spacing w:val="22"/>
          <w:sz w:val="18"/>
          <w:szCs w:val="18"/>
        </w:rPr>
        <w:t>和保障各相关模块之间的互联互通，使不</w:t>
      </w:r>
      <w:r>
        <w:rPr>
          <w:sz w:val="18"/>
          <w:szCs w:val="18"/>
        </w:rPr>
        <w:t xml:space="preserve"> </w:t>
      </w:r>
      <w:r>
        <w:rPr>
          <w:spacing w:val="23"/>
          <w:sz w:val="18"/>
          <w:szCs w:val="18"/>
        </w:rPr>
        <w:t>同专业的厂商研发的不同设备可以按照特定的标准规范进</w:t>
      </w:r>
      <w:r>
        <w:rPr>
          <w:spacing w:val="22"/>
          <w:sz w:val="18"/>
          <w:szCs w:val="18"/>
        </w:rPr>
        <w:t>行互通，信息网络系统采用了功能分</w:t>
      </w:r>
      <w:r>
        <w:rPr>
          <w:sz w:val="18"/>
          <w:szCs w:val="18"/>
        </w:rPr>
        <w:t xml:space="preserve"> </w:t>
      </w:r>
      <w:r>
        <w:rPr>
          <w:spacing w:val="23"/>
          <w:sz w:val="18"/>
          <w:szCs w:val="18"/>
        </w:rPr>
        <w:t>层的体系架构理念，即将整个信息网络系统分为自下而上的若干层</w:t>
      </w:r>
      <w:r>
        <w:rPr>
          <w:spacing w:val="22"/>
          <w:sz w:val="18"/>
          <w:szCs w:val="18"/>
        </w:rPr>
        <w:t>，每一层侧重完成不同的功</w:t>
      </w:r>
      <w:r>
        <w:rPr>
          <w:sz w:val="18"/>
          <w:szCs w:val="18"/>
        </w:rPr>
        <w:t xml:space="preserve"> </w:t>
      </w:r>
      <w:r>
        <w:rPr>
          <w:spacing w:val="25"/>
          <w:sz w:val="18"/>
          <w:szCs w:val="18"/>
        </w:rPr>
        <w:t>能，下层为上层提供业务和服务，上层调用下层的业务和服务能力，处于</w:t>
      </w:r>
      <w:r>
        <w:rPr>
          <w:spacing w:val="24"/>
          <w:sz w:val="18"/>
          <w:szCs w:val="18"/>
        </w:rPr>
        <w:t>某个层级(或者某几</w:t>
      </w:r>
      <w:r>
        <w:rPr>
          <w:sz w:val="18"/>
          <w:szCs w:val="18"/>
        </w:rPr>
        <w:t xml:space="preserve"> </w:t>
      </w:r>
      <w:r>
        <w:rPr>
          <w:spacing w:val="25"/>
          <w:sz w:val="18"/>
          <w:szCs w:val="18"/>
        </w:rPr>
        <w:t>个层级)的业务功能模块可以只关注自己的功能实现。业界最通用的分</w:t>
      </w:r>
      <w:r>
        <w:rPr>
          <w:spacing w:val="24"/>
          <w:sz w:val="18"/>
          <w:szCs w:val="18"/>
        </w:rPr>
        <w:t>层模型是开放系统互连</w:t>
      </w:r>
      <w:r>
        <w:rPr>
          <w:sz w:val="18"/>
          <w:szCs w:val="18"/>
        </w:rPr>
        <w:t xml:space="preserve"> </w:t>
      </w:r>
      <w:r>
        <w:rPr>
          <w:rFonts w:ascii="Times New Roman" w:hAnsi="Times New Roman" w:eastAsia="Times New Roman" w:cs="Times New Roman"/>
          <w:spacing w:val="15"/>
          <w:sz w:val="18"/>
          <w:szCs w:val="18"/>
        </w:rPr>
        <w:t>(</w:t>
      </w:r>
      <w:r>
        <w:rPr>
          <w:rFonts w:ascii="Times New Roman" w:hAnsi="Times New Roman" w:eastAsia="Times New Roman" w:cs="Times New Roman"/>
          <w:sz w:val="18"/>
          <w:szCs w:val="18"/>
        </w:rPr>
        <w:t>Open</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System</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Interconnection</w:t>
      </w:r>
      <w:r>
        <w:rPr>
          <w:rFonts w:ascii="Times New Roman" w:hAnsi="Times New Roman" w:eastAsia="Times New Roman" w:cs="Times New Roman"/>
          <w:spacing w:val="15"/>
          <w:sz w:val="18"/>
          <w:szCs w:val="18"/>
        </w:rPr>
        <w:t>,</w:t>
      </w:r>
      <w:r>
        <w:rPr>
          <w:rFonts w:ascii="Times New Roman" w:hAnsi="Times New Roman" w:eastAsia="Times New Roman" w:cs="Times New Roman"/>
          <w:sz w:val="18"/>
          <w:szCs w:val="18"/>
        </w:rPr>
        <w:t>OSI</w:t>
      </w:r>
      <w:r>
        <w:rPr>
          <w:rFonts w:ascii="Times New Roman" w:hAnsi="Times New Roman" w:eastAsia="Times New Roman" w:cs="Times New Roman"/>
          <w:spacing w:val="15"/>
          <w:sz w:val="18"/>
          <w:szCs w:val="18"/>
        </w:rPr>
        <w:t>)</w:t>
      </w:r>
      <w:r>
        <w:rPr>
          <w:rFonts w:ascii="Times New Roman" w:hAnsi="Times New Roman" w:eastAsia="Times New Roman" w:cs="Times New Roman"/>
          <w:spacing w:val="18"/>
          <w:sz w:val="18"/>
          <w:szCs w:val="18"/>
        </w:rPr>
        <w:t xml:space="preserve"> </w:t>
      </w:r>
      <w:r>
        <w:rPr>
          <w:spacing w:val="15"/>
          <w:sz w:val="18"/>
          <w:szCs w:val="18"/>
        </w:rPr>
        <w:t>通信参考模型，该模型是由国际标准</w:t>
      </w:r>
      <w:r>
        <w:rPr>
          <w:spacing w:val="14"/>
          <w:sz w:val="18"/>
          <w:szCs w:val="18"/>
        </w:rPr>
        <w:t>化组织</w:t>
      </w:r>
      <w:r>
        <w:rPr>
          <w:rFonts w:ascii="Times New Roman" w:hAnsi="Times New Roman" w:eastAsia="Times New Roman" w:cs="Times New Roman"/>
          <w:sz w:val="18"/>
          <w:szCs w:val="18"/>
        </w:rPr>
        <w:t>ISO</w:t>
      </w:r>
      <w:r>
        <w:rPr>
          <w:rFonts w:ascii="Times New Roman" w:hAnsi="Times New Roman" w:eastAsia="Times New Roman" w:cs="Times New Roman"/>
          <w:spacing w:val="14"/>
          <w:sz w:val="18"/>
          <w:szCs w:val="18"/>
        </w:rPr>
        <w:t xml:space="preserve">  </w:t>
      </w:r>
      <w:r>
        <w:rPr>
          <w:spacing w:val="14"/>
          <w:sz w:val="18"/>
          <w:szCs w:val="18"/>
        </w:rPr>
        <w:t>于1984年</w:t>
      </w:r>
      <w:r>
        <w:rPr>
          <w:sz w:val="18"/>
          <w:szCs w:val="18"/>
        </w:rPr>
        <w:t xml:space="preserve"> </w:t>
      </w:r>
      <w:r>
        <w:rPr>
          <w:spacing w:val="15"/>
          <w:sz w:val="18"/>
          <w:szCs w:val="18"/>
        </w:rPr>
        <w:t>提出的</w:t>
      </w:r>
      <w:r>
        <w:rPr>
          <w:spacing w:val="-51"/>
          <w:sz w:val="18"/>
          <w:szCs w:val="18"/>
        </w:rPr>
        <w:t xml:space="preserve"> </w:t>
      </w:r>
      <w:r>
        <w:rPr>
          <w:spacing w:val="15"/>
          <w:sz w:val="18"/>
          <w:szCs w:val="18"/>
        </w:rPr>
        <w:t>一种标准参考模型，</w:t>
      </w:r>
      <w:r>
        <w:rPr>
          <w:spacing w:val="-40"/>
          <w:sz w:val="18"/>
          <w:szCs w:val="18"/>
        </w:rPr>
        <w:t xml:space="preserve"> </w:t>
      </w:r>
      <w:r>
        <w:rPr>
          <w:rFonts w:ascii="Times New Roman" w:hAnsi="Times New Roman" w:eastAsia="Times New Roman" w:cs="Times New Roman"/>
          <w:sz w:val="18"/>
          <w:szCs w:val="18"/>
        </w:rPr>
        <w:t>OSI</w:t>
      </w:r>
      <w:r>
        <w:rPr>
          <w:rFonts w:ascii="Times New Roman" w:hAnsi="Times New Roman" w:eastAsia="Times New Roman" w:cs="Times New Roman"/>
          <w:spacing w:val="15"/>
          <w:sz w:val="18"/>
          <w:szCs w:val="18"/>
        </w:rPr>
        <w:t xml:space="preserve">  </w:t>
      </w:r>
      <w:r>
        <w:rPr>
          <w:spacing w:val="15"/>
          <w:sz w:val="18"/>
          <w:szCs w:val="18"/>
        </w:rPr>
        <w:t>模型被公认为信息网络通信系统的一种基本结构模型。</w:t>
      </w:r>
    </w:p>
    <w:p w14:paraId="7D8CD97A">
      <w:pPr>
        <w:pStyle w:val="2"/>
        <w:spacing w:before="2" w:line="319" w:lineRule="auto"/>
        <w:ind w:right="261" w:firstLine="410"/>
        <w:jc w:val="both"/>
        <w:rPr>
          <w:sz w:val="18"/>
          <w:szCs w:val="18"/>
        </w:rPr>
      </w:pPr>
      <w:r>
        <w:rPr>
          <w:rFonts w:ascii="Times New Roman" w:hAnsi="Times New Roman" w:eastAsia="Times New Roman" w:cs="Times New Roman"/>
          <w:sz w:val="18"/>
          <w:szCs w:val="18"/>
        </w:rPr>
        <w:t>OSI</w:t>
      </w:r>
      <w:r>
        <w:rPr>
          <w:rFonts w:ascii="Times New Roman" w:hAnsi="Times New Roman" w:eastAsia="Times New Roman" w:cs="Times New Roman"/>
          <w:spacing w:val="21"/>
          <w:w w:val="101"/>
          <w:sz w:val="18"/>
          <w:szCs w:val="18"/>
        </w:rPr>
        <w:t xml:space="preserve"> </w:t>
      </w:r>
      <w:r>
        <w:rPr>
          <w:spacing w:val="26"/>
          <w:sz w:val="18"/>
          <w:szCs w:val="18"/>
        </w:rPr>
        <w:t>模型将信息网络系统中的通信和信息处理过程定义为</w:t>
      </w:r>
      <w:r>
        <w:rPr>
          <w:spacing w:val="25"/>
          <w:sz w:val="18"/>
          <w:szCs w:val="18"/>
        </w:rPr>
        <w:t>上下衔接的七个层级，如图3-2</w:t>
      </w:r>
      <w:r>
        <w:rPr>
          <w:sz w:val="18"/>
          <w:szCs w:val="18"/>
        </w:rPr>
        <w:t xml:space="preserve"> </w:t>
      </w:r>
      <w:r>
        <w:rPr>
          <w:spacing w:val="23"/>
          <w:sz w:val="18"/>
          <w:szCs w:val="18"/>
        </w:rPr>
        <w:t>所示，自下而上分别是物理层、数据链路层、网络层、传</w:t>
      </w:r>
      <w:r>
        <w:rPr>
          <w:spacing w:val="22"/>
          <w:sz w:val="18"/>
          <w:szCs w:val="18"/>
        </w:rPr>
        <w:t>输层、会话层、表示层和应用层，各</w:t>
      </w:r>
      <w:r>
        <w:rPr>
          <w:sz w:val="18"/>
          <w:szCs w:val="18"/>
        </w:rPr>
        <w:t xml:space="preserve"> </w:t>
      </w:r>
      <w:r>
        <w:rPr>
          <w:spacing w:val="18"/>
          <w:sz w:val="18"/>
          <w:szCs w:val="18"/>
        </w:rPr>
        <w:t>层相对独立，上下层之间和同层之间根据特定的标准规范进行相互调用和互通。</w:t>
      </w:r>
    </w:p>
    <w:p w14:paraId="5CA651B8">
      <w:pPr>
        <w:pStyle w:val="2"/>
        <w:spacing w:before="9" w:line="4667" w:lineRule="exact"/>
        <w:ind w:firstLine="339"/>
      </w:pPr>
      <w:r>
        <w:rPr>
          <w:position w:val="-93"/>
        </w:rPr>
        <w:pict>
          <v:group id="_x0000_s1157" o:spid="_x0000_s1157" o:spt="203" style="height:233.4pt;width:384.55pt;" coordsize="7690,4667">
            <o:lock v:ext="edit"/>
            <v:shape id="_x0000_s1158" o:spid="_x0000_s1158" o:spt="75" type="#_x0000_t75" style="position:absolute;left:0;top:0;height:4511;width:7690;" filled="f" stroked="f" coordsize="21600,21600">
              <v:path/>
              <v:fill on="f" focussize="0,0"/>
              <v:stroke on="f"/>
              <v:imagedata r:id="rId69" o:title=""/>
              <o:lock v:ext="edit" aspectratio="t"/>
            </v:shape>
            <v:shape id="_x0000_s1159" o:spid="_x0000_s1159" o:spt="202" type="#_x0000_t202" style="position:absolute;left:50;top:58;height:4628;width:6637;" filled="f" stroked="f" coordsize="21600,21600">
              <v:path/>
              <v:fill on="f" focussize="0,0"/>
              <v:stroke on="f"/>
              <v:imagedata o:title=""/>
              <o:lock v:ext="edit" aspectratio="f"/>
              <v:textbox inset="0mm,0mm,0mm,0mm">
                <w:txbxContent>
                  <w:p w14:paraId="691BDC00">
                    <w:pPr>
                      <w:spacing w:before="19" w:line="215" w:lineRule="auto"/>
                      <w:ind w:right="5"/>
                      <w:jc w:val="right"/>
                      <w:rPr>
                        <w:rFonts w:ascii="Times New Roman" w:hAnsi="Times New Roman" w:eastAsia="Times New Roman" w:cs="Times New Roman"/>
                        <w:sz w:val="18"/>
                        <w:szCs w:val="18"/>
                      </w:rPr>
                    </w:pPr>
                    <w:r>
                      <w:rPr>
                        <w:rFonts w:ascii="宋体" w:hAnsi="宋体" w:eastAsia="宋体" w:cs="宋体"/>
                        <w:color w:val="0068F1"/>
                        <w:spacing w:val="-4"/>
                        <w:sz w:val="18"/>
                        <w:szCs w:val="18"/>
                      </w:rPr>
                      <w:t>设</w:t>
                    </w:r>
                    <w:r>
                      <w:rPr>
                        <w:rFonts w:ascii="宋体" w:hAnsi="宋体" w:eastAsia="宋体" w:cs="宋体"/>
                        <w:spacing w:val="-4"/>
                        <w:sz w:val="18"/>
                        <w:szCs w:val="18"/>
                      </w:rPr>
                      <w:t>备</w:t>
                    </w:r>
                    <w:r>
                      <w:rPr>
                        <w:rFonts w:ascii="Times New Roman" w:hAnsi="Times New Roman" w:eastAsia="Times New Roman" w:cs="Times New Roman"/>
                        <w:spacing w:val="-4"/>
                        <w:sz w:val="18"/>
                        <w:szCs w:val="18"/>
                      </w:rPr>
                      <w:t>B</w:t>
                    </w:r>
                  </w:p>
                  <w:p w14:paraId="6AE96A2C">
                    <w:pPr>
                      <w:spacing w:line="220" w:lineRule="auto"/>
                      <w:ind w:left="2499"/>
                      <w:rPr>
                        <w:rFonts w:ascii="宋体" w:hAnsi="宋体" w:eastAsia="宋体" w:cs="宋体"/>
                        <w:sz w:val="18"/>
                        <w:szCs w:val="18"/>
                      </w:rPr>
                    </w:pPr>
                    <w:r>
                      <w:rPr>
                        <w:rFonts w:ascii="宋体" w:hAnsi="宋体" w:eastAsia="宋体" w:cs="宋体"/>
                        <w:spacing w:val="-3"/>
                        <w:sz w:val="18"/>
                        <w:szCs w:val="18"/>
                      </w:rPr>
                      <w:t>互连节点</w:t>
                    </w:r>
                    <w:r>
                      <w:rPr>
                        <w:rFonts w:ascii="宋体" w:hAnsi="宋体" w:eastAsia="宋体" w:cs="宋体"/>
                        <w:spacing w:val="5"/>
                        <w:sz w:val="18"/>
                        <w:szCs w:val="18"/>
                      </w:rPr>
                      <w:t xml:space="preserve">          </w:t>
                    </w:r>
                    <w:r>
                      <w:rPr>
                        <w:rFonts w:ascii="宋体" w:hAnsi="宋体" w:eastAsia="宋体" w:cs="宋体"/>
                        <w:spacing w:val="-3"/>
                        <w:sz w:val="18"/>
                        <w:szCs w:val="18"/>
                      </w:rPr>
                      <w:t>互连节点</w:t>
                    </w:r>
                  </w:p>
                  <w:p w14:paraId="283D8279">
                    <w:pPr>
                      <w:spacing w:line="433" w:lineRule="auto"/>
                      <w:rPr>
                        <w:rFonts w:ascii="Arial"/>
                        <w:sz w:val="21"/>
                      </w:rPr>
                    </w:pPr>
                  </w:p>
                  <w:p w14:paraId="42BFF235">
                    <w:pPr>
                      <w:spacing w:before="59" w:line="219" w:lineRule="auto"/>
                      <w:ind w:left="3159"/>
                      <w:rPr>
                        <w:rFonts w:ascii="宋体" w:hAnsi="宋体" w:eastAsia="宋体" w:cs="宋体"/>
                        <w:sz w:val="18"/>
                        <w:szCs w:val="18"/>
                      </w:rPr>
                    </w:pPr>
                    <w:r>
                      <w:rPr>
                        <w:rFonts w:ascii="宋体" w:hAnsi="宋体" w:eastAsia="宋体" w:cs="宋体"/>
                        <w:spacing w:val="-9"/>
                        <w:sz w:val="18"/>
                        <w:szCs w:val="18"/>
                      </w:rPr>
                      <w:t>第7层端到端协议</w:t>
                    </w:r>
                  </w:p>
                  <w:p w14:paraId="3082C673">
                    <w:pPr>
                      <w:spacing w:before="296" w:line="182" w:lineRule="auto"/>
                      <w:ind w:left="3159"/>
                      <w:rPr>
                        <w:rFonts w:ascii="宋体" w:hAnsi="宋体" w:eastAsia="宋体" w:cs="宋体"/>
                        <w:sz w:val="18"/>
                        <w:szCs w:val="18"/>
                      </w:rPr>
                    </w:pPr>
                    <w:r>
                      <w:rPr>
                        <w:rFonts w:ascii="宋体" w:hAnsi="宋体" w:eastAsia="宋体" w:cs="宋体"/>
                        <w:spacing w:val="-9"/>
                        <w:sz w:val="18"/>
                        <w:szCs w:val="18"/>
                      </w:rPr>
                      <w:t>第6层端到端协议</w:t>
                    </w:r>
                  </w:p>
                  <w:p w14:paraId="3A7E228C">
                    <w:pPr>
                      <w:spacing w:line="184"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p w14:paraId="3DE512BB">
                    <w:pPr>
                      <w:spacing w:before="188" w:line="192" w:lineRule="auto"/>
                      <w:ind w:left="3159"/>
                      <w:rPr>
                        <w:rFonts w:ascii="宋体" w:hAnsi="宋体" w:eastAsia="宋体" w:cs="宋体"/>
                        <w:sz w:val="18"/>
                        <w:szCs w:val="18"/>
                      </w:rPr>
                    </w:pPr>
                    <w:r>
                      <w:rPr>
                        <w:rFonts w:ascii="宋体" w:hAnsi="宋体" w:eastAsia="宋体" w:cs="宋体"/>
                        <w:spacing w:val="-9"/>
                        <w:sz w:val="18"/>
                        <w:szCs w:val="18"/>
                      </w:rPr>
                      <w:t>第5层端到端协议</w:t>
                    </w:r>
                  </w:p>
                  <w:p w14:paraId="3EE49F8D">
                    <w:pPr>
                      <w:spacing w:line="185"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049DA1D2">
                    <w:pPr>
                      <w:spacing w:before="198" w:line="183" w:lineRule="auto"/>
                      <w:ind w:left="3159"/>
                      <w:rPr>
                        <w:rFonts w:ascii="宋体" w:hAnsi="宋体" w:eastAsia="宋体" w:cs="宋体"/>
                        <w:sz w:val="18"/>
                        <w:szCs w:val="18"/>
                      </w:rPr>
                    </w:pPr>
                    <w:r>
                      <w:rPr>
                        <w:rFonts w:ascii="宋体" w:hAnsi="宋体" w:eastAsia="宋体" w:cs="宋体"/>
                        <w:spacing w:val="-9"/>
                        <w:sz w:val="18"/>
                        <w:szCs w:val="18"/>
                      </w:rPr>
                      <w:t>第4层端到端协议</w:t>
                    </w:r>
                  </w:p>
                  <w:p w14:paraId="7E7452BE">
                    <w:pPr>
                      <w:spacing w:before="1"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p w14:paraId="44D71961">
                    <w:pPr>
                      <w:spacing w:before="176" w:line="159" w:lineRule="auto"/>
                      <w:ind w:left="3590"/>
                      <w:rPr>
                        <w:rFonts w:ascii="宋体" w:hAnsi="宋体" w:eastAsia="宋体" w:cs="宋体"/>
                        <w:sz w:val="18"/>
                        <w:szCs w:val="18"/>
                      </w:rPr>
                    </w:pPr>
                    <w:r>
                      <w:rPr>
                        <w:rFonts w:ascii="宋体" w:hAnsi="宋体" w:eastAsia="宋体" w:cs="宋体"/>
                        <w:spacing w:val="-2"/>
                        <w:sz w:val="18"/>
                        <w:szCs w:val="18"/>
                      </w:rPr>
                      <w:t>第3层</w:t>
                    </w:r>
                  </w:p>
                  <w:p w14:paraId="6ED0EEB7">
                    <w:pPr>
                      <w:spacing w:before="1" w:line="193" w:lineRule="auto"/>
                      <w:ind w:left="2799"/>
                      <w:rPr>
                        <w:rFonts w:ascii="宋体" w:hAnsi="宋体" w:eastAsia="宋体" w:cs="宋体"/>
                        <w:sz w:val="18"/>
                        <w:szCs w:val="18"/>
                      </w:rPr>
                    </w:pPr>
                    <w:r>
                      <w:rPr>
                        <w:rFonts w:ascii="宋体" w:hAnsi="宋体" w:eastAsia="宋体" w:cs="宋体"/>
                        <w:spacing w:val="-5"/>
                        <w:sz w:val="18"/>
                        <w:szCs w:val="18"/>
                      </w:rPr>
                      <w:t>网络层</w:t>
                    </w:r>
                  </w:p>
                  <w:p w14:paraId="1DF5E484">
                    <w:pPr>
                      <w:spacing w:before="176" w:line="164" w:lineRule="auto"/>
                      <w:ind w:left="3590"/>
                      <w:rPr>
                        <w:rFonts w:ascii="宋体" w:hAnsi="宋体" w:eastAsia="宋体" w:cs="宋体"/>
                        <w:sz w:val="18"/>
                        <w:szCs w:val="18"/>
                      </w:rPr>
                    </w:pPr>
                    <w:r>
                      <w:rPr>
                        <w:rFonts w:ascii="宋体" w:hAnsi="宋体" w:eastAsia="宋体" w:cs="宋体"/>
                        <w:spacing w:val="-2"/>
                        <w:sz w:val="18"/>
                        <w:szCs w:val="18"/>
                      </w:rPr>
                      <w:t>第2层</w:t>
                    </w:r>
                  </w:p>
                  <w:p w14:paraId="466A774A">
                    <w:pPr>
                      <w:spacing w:before="1" w:line="198" w:lineRule="auto"/>
                      <w:ind w:left="2629"/>
                      <w:rPr>
                        <w:rFonts w:ascii="宋体" w:hAnsi="宋体" w:eastAsia="宋体" w:cs="宋体"/>
                        <w:sz w:val="18"/>
                        <w:szCs w:val="18"/>
                      </w:rPr>
                    </w:pPr>
                    <w:r>
                      <w:rPr>
                        <w:rFonts w:ascii="宋体" w:hAnsi="宋体" w:eastAsia="宋体" w:cs="宋体"/>
                        <w:spacing w:val="-7"/>
                        <w:sz w:val="18"/>
                        <w:szCs w:val="18"/>
                      </w:rPr>
                      <w:t>数据链路层</w:t>
                    </w:r>
                  </w:p>
                  <w:p w14:paraId="6338D519">
                    <w:pPr>
                      <w:spacing w:before="146" w:line="159" w:lineRule="auto"/>
                      <w:ind w:left="3590"/>
                      <w:rPr>
                        <w:rFonts w:ascii="宋体" w:hAnsi="宋体" w:eastAsia="宋体" w:cs="宋体"/>
                        <w:sz w:val="18"/>
                        <w:szCs w:val="18"/>
                      </w:rPr>
                    </w:pPr>
                    <w:r>
                      <w:rPr>
                        <w:rFonts w:ascii="宋体" w:hAnsi="宋体" w:eastAsia="宋体" w:cs="宋体"/>
                        <w:spacing w:val="-2"/>
                        <w:sz w:val="18"/>
                        <w:szCs w:val="18"/>
                      </w:rPr>
                      <w:t>第1层</w:t>
                    </w:r>
                  </w:p>
                  <w:p w14:paraId="23CD0A4B">
                    <w:pPr>
                      <w:spacing w:before="1" w:line="193" w:lineRule="auto"/>
                      <w:ind w:left="2799"/>
                      <w:rPr>
                        <w:rFonts w:ascii="宋体" w:hAnsi="宋体" w:eastAsia="宋体" w:cs="宋体"/>
                        <w:sz w:val="18"/>
                        <w:szCs w:val="18"/>
                      </w:rPr>
                    </w:pPr>
                    <w:r>
                      <w:rPr>
                        <w:rFonts w:ascii="宋体" w:hAnsi="宋体" w:eastAsia="宋体" w:cs="宋体"/>
                        <w:spacing w:val="-2"/>
                        <w:sz w:val="18"/>
                        <w:szCs w:val="18"/>
                      </w:rPr>
                      <w:t>物理层</w:t>
                    </w:r>
                  </w:p>
                  <w:p w14:paraId="3AD7BA02">
                    <w:pPr>
                      <w:spacing w:before="136" w:line="219" w:lineRule="auto"/>
                      <w:ind w:left="3379"/>
                      <w:rPr>
                        <w:rFonts w:ascii="宋体" w:hAnsi="宋体" w:eastAsia="宋体" w:cs="宋体"/>
                        <w:sz w:val="18"/>
                        <w:szCs w:val="18"/>
                      </w:rPr>
                    </w:pPr>
                    <w:r>
                      <w:rPr>
                        <w:rFonts w:ascii="宋体" w:hAnsi="宋体" w:eastAsia="宋体" w:cs="宋体"/>
                        <w:spacing w:val="-7"/>
                        <w:sz w:val="18"/>
                        <w:szCs w:val="18"/>
                      </w:rPr>
                      <w:t>物理层通信</w:t>
                    </w:r>
                  </w:p>
                </w:txbxContent>
              </v:textbox>
            </v:shape>
            <v:shape id="_x0000_s1160" o:spid="_x0000_s1160" o:spt="202" type="#_x0000_t202" style="position:absolute;left:750;top:1097;height:3230;width:900;" filled="f" stroked="f" coordsize="21600,21600">
              <v:path/>
              <v:fill on="f" focussize="0,0"/>
              <v:stroke on="f"/>
              <v:imagedata o:title=""/>
              <o:lock v:ext="edit" aspectratio="f"/>
              <v:textbox inset="0mm,0mm,0mm,0mm">
                <w:txbxContent>
                  <w:p w14:paraId="6C202C79">
                    <w:pPr>
                      <w:spacing w:before="23" w:line="256" w:lineRule="auto"/>
                      <w:ind w:left="140" w:right="185"/>
                      <w:jc w:val="both"/>
                      <w:rPr>
                        <w:rFonts w:ascii="宋体" w:hAnsi="宋体" w:eastAsia="宋体" w:cs="宋体"/>
                        <w:sz w:val="18"/>
                        <w:szCs w:val="18"/>
                      </w:rPr>
                    </w:pPr>
                    <w:r>
                      <w:rPr>
                        <w:rFonts w:ascii="宋体" w:hAnsi="宋体" w:eastAsia="宋体" w:cs="宋体"/>
                        <w:spacing w:val="-3"/>
                        <w:sz w:val="18"/>
                        <w:szCs w:val="18"/>
                      </w:rPr>
                      <w:t>应用层</w:t>
                    </w:r>
                    <w:r>
                      <w:rPr>
                        <w:rFonts w:ascii="宋体" w:hAnsi="宋体" w:eastAsia="宋体" w:cs="宋体"/>
                        <w:sz w:val="18"/>
                        <w:szCs w:val="18"/>
                      </w:rPr>
                      <w:t xml:space="preserve"> </w:t>
                    </w:r>
                    <w:r>
                      <w:rPr>
                        <w:rFonts w:ascii="宋体" w:hAnsi="宋体" w:eastAsia="宋体" w:cs="宋体"/>
                        <w:spacing w:val="-12"/>
                        <w:sz w:val="18"/>
                        <w:szCs w:val="18"/>
                      </w:rPr>
                      <w:t>7-6接口</w:t>
                    </w:r>
                    <w:r>
                      <w:rPr>
                        <w:rFonts w:ascii="宋体" w:hAnsi="宋体" w:eastAsia="宋体" w:cs="宋体"/>
                        <w:spacing w:val="3"/>
                        <w:sz w:val="18"/>
                        <w:szCs w:val="18"/>
                      </w:rPr>
                      <w:t xml:space="preserve"> </w:t>
                    </w:r>
                    <w:r>
                      <w:rPr>
                        <w:rFonts w:ascii="宋体" w:hAnsi="宋体" w:eastAsia="宋体" w:cs="宋体"/>
                        <w:spacing w:val="-3"/>
                        <w:sz w:val="18"/>
                        <w:szCs w:val="18"/>
                      </w:rPr>
                      <w:t>表示层</w:t>
                    </w:r>
                    <w:r>
                      <w:rPr>
                        <w:rFonts w:ascii="宋体" w:hAnsi="宋体" w:eastAsia="宋体" w:cs="宋体"/>
                        <w:spacing w:val="1"/>
                        <w:sz w:val="18"/>
                        <w:szCs w:val="18"/>
                      </w:rPr>
                      <w:t xml:space="preserve"> </w:t>
                    </w:r>
                    <w:r>
                      <w:rPr>
                        <w:rFonts w:ascii="宋体" w:hAnsi="宋体" w:eastAsia="宋体" w:cs="宋体"/>
                        <w:spacing w:val="-12"/>
                        <w:sz w:val="18"/>
                        <w:szCs w:val="18"/>
                      </w:rPr>
                      <w:t>6-5接口</w:t>
                    </w:r>
                    <w:r>
                      <w:rPr>
                        <w:rFonts w:ascii="宋体" w:hAnsi="宋体" w:eastAsia="宋体" w:cs="宋体"/>
                        <w:spacing w:val="3"/>
                        <w:sz w:val="18"/>
                        <w:szCs w:val="18"/>
                      </w:rPr>
                      <w:t xml:space="preserve"> </w:t>
                    </w:r>
                    <w:r>
                      <w:rPr>
                        <w:rFonts w:ascii="宋体" w:hAnsi="宋体" w:eastAsia="宋体" w:cs="宋体"/>
                        <w:spacing w:val="-3"/>
                        <w:sz w:val="18"/>
                        <w:szCs w:val="18"/>
                      </w:rPr>
                      <w:t>会话层</w:t>
                    </w:r>
                    <w:r>
                      <w:rPr>
                        <w:rFonts w:ascii="宋体" w:hAnsi="宋体" w:eastAsia="宋体" w:cs="宋体"/>
                        <w:spacing w:val="1"/>
                        <w:sz w:val="18"/>
                        <w:szCs w:val="18"/>
                      </w:rPr>
                      <w:t xml:space="preserve"> </w:t>
                    </w:r>
                    <w:r>
                      <w:rPr>
                        <w:rFonts w:ascii="宋体" w:hAnsi="宋体" w:eastAsia="宋体" w:cs="宋体"/>
                        <w:spacing w:val="-12"/>
                        <w:sz w:val="18"/>
                        <w:szCs w:val="18"/>
                      </w:rPr>
                      <w:t>5-4接口</w:t>
                    </w:r>
                    <w:r>
                      <w:rPr>
                        <w:rFonts w:ascii="宋体" w:hAnsi="宋体" w:eastAsia="宋体" w:cs="宋体"/>
                        <w:spacing w:val="3"/>
                        <w:sz w:val="18"/>
                        <w:szCs w:val="18"/>
                      </w:rPr>
                      <w:t xml:space="preserve"> </w:t>
                    </w:r>
                    <w:r>
                      <w:rPr>
                        <w:rFonts w:ascii="宋体" w:hAnsi="宋体" w:eastAsia="宋体" w:cs="宋体"/>
                        <w:spacing w:val="-2"/>
                        <w:sz w:val="18"/>
                        <w:szCs w:val="18"/>
                      </w:rPr>
                      <w:t>传输层</w:t>
                    </w:r>
                    <w:r>
                      <w:rPr>
                        <w:rFonts w:ascii="宋体" w:hAnsi="宋体" w:eastAsia="宋体" w:cs="宋体"/>
                        <w:sz w:val="18"/>
                        <w:szCs w:val="18"/>
                      </w:rPr>
                      <w:t xml:space="preserve"> </w:t>
                    </w:r>
                    <w:r>
                      <w:rPr>
                        <w:rFonts w:ascii="宋体" w:hAnsi="宋体" w:eastAsia="宋体" w:cs="宋体"/>
                        <w:spacing w:val="-12"/>
                        <w:sz w:val="18"/>
                        <w:szCs w:val="18"/>
                      </w:rPr>
                      <w:t>4-3接口</w:t>
                    </w:r>
                    <w:r>
                      <w:rPr>
                        <w:rFonts w:ascii="宋体" w:hAnsi="宋体" w:eastAsia="宋体" w:cs="宋体"/>
                        <w:spacing w:val="3"/>
                        <w:sz w:val="18"/>
                        <w:szCs w:val="18"/>
                      </w:rPr>
                      <w:t xml:space="preserve"> </w:t>
                    </w:r>
                    <w:r>
                      <w:rPr>
                        <w:rFonts w:ascii="宋体" w:hAnsi="宋体" w:eastAsia="宋体" w:cs="宋体"/>
                        <w:spacing w:val="-8"/>
                        <w:sz w:val="18"/>
                        <w:szCs w:val="18"/>
                      </w:rPr>
                      <w:t>网络层</w:t>
                    </w:r>
                    <w:r>
                      <w:rPr>
                        <w:rFonts w:ascii="宋体" w:hAnsi="宋体" w:eastAsia="宋体" w:cs="宋体"/>
                        <w:spacing w:val="1"/>
                        <w:sz w:val="18"/>
                        <w:szCs w:val="18"/>
                      </w:rPr>
                      <w:t xml:space="preserve"> </w:t>
                    </w:r>
                    <w:r>
                      <w:rPr>
                        <w:rFonts w:ascii="宋体" w:hAnsi="宋体" w:eastAsia="宋体" w:cs="宋体"/>
                        <w:spacing w:val="-12"/>
                        <w:sz w:val="18"/>
                        <w:szCs w:val="18"/>
                      </w:rPr>
                      <w:t>3-2接口</w:t>
                    </w:r>
                  </w:p>
                  <w:p w14:paraId="3682028E">
                    <w:pPr>
                      <w:spacing w:before="11" w:line="256" w:lineRule="auto"/>
                      <w:ind w:left="140" w:right="20" w:hanging="120"/>
                      <w:rPr>
                        <w:rFonts w:ascii="宋体" w:hAnsi="宋体" w:eastAsia="宋体" w:cs="宋体"/>
                        <w:sz w:val="18"/>
                        <w:szCs w:val="18"/>
                      </w:rPr>
                    </w:pPr>
                    <w:r>
                      <w:rPr>
                        <w:rFonts w:ascii="宋体" w:hAnsi="宋体" w:eastAsia="宋体" w:cs="宋体"/>
                        <w:spacing w:val="-8"/>
                        <w:sz w:val="18"/>
                        <w:szCs w:val="18"/>
                      </w:rPr>
                      <w:t>数据链路层</w:t>
                    </w:r>
                    <w:r>
                      <w:rPr>
                        <w:rFonts w:ascii="宋体" w:hAnsi="宋体" w:eastAsia="宋体" w:cs="宋体"/>
                        <w:sz w:val="18"/>
                        <w:szCs w:val="18"/>
                      </w:rPr>
                      <w:t xml:space="preserve"> </w:t>
                    </w:r>
                    <w:r>
                      <w:rPr>
                        <w:rFonts w:ascii="宋体" w:hAnsi="宋体" w:eastAsia="宋体" w:cs="宋体"/>
                        <w:spacing w:val="-9"/>
                        <w:sz w:val="18"/>
                        <w:szCs w:val="18"/>
                      </w:rPr>
                      <w:t>2-1接口</w:t>
                    </w:r>
                  </w:p>
                  <w:p w14:paraId="4EF7D380">
                    <w:pPr>
                      <w:spacing w:line="219" w:lineRule="auto"/>
                      <w:ind w:left="140"/>
                      <w:rPr>
                        <w:rFonts w:ascii="宋体" w:hAnsi="宋体" w:eastAsia="宋体" w:cs="宋体"/>
                        <w:sz w:val="18"/>
                        <w:szCs w:val="18"/>
                      </w:rPr>
                    </w:pPr>
                    <w:r>
                      <w:rPr>
                        <w:rFonts w:ascii="宋体" w:hAnsi="宋体" w:eastAsia="宋体" w:cs="宋体"/>
                        <w:spacing w:val="-2"/>
                        <w:sz w:val="18"/>
                        <w:szCs w:val="18"/>
                      </w:rPr>
                      <w:t>物理层</w:t>
                    </w:r>
                  </w:p>
                </w:txbxContent>
              </v:textbox>
            </v:shape>
            <v:shape id="_x0000_s1161" o:spid="_x0000_s1161" o:spt="202" type="#_x0000_t202" style="position:absolute;left:6070;top:1127;height:3180;width:910;" filled="f" stroked="f" coordsize="21600,21600">
              <v:path/>
              <v:fill on="f" focussize="0,0"/>
              <v:stroke on="f"/>
              <v:imagedata o:title=""/>
              <o:lock v:ext="edit" aspectratio="f"/>
              <v:textbox inset="0mm,0mm,0mm,0mm">
                <w:txbxContent>
                  <w:p w14:paraId="26CA37BF">
                    <w:pPr>
                      <w:spacing w:before="16" w:line="251" w:lineRule="auto"/>
                      <w:ind w:left="139" w:right="185"/>
                      <w:jc w:val="both"/>
                      <w:rPr>
                        <w:rFonts w:ascii="宋体" w:hAnsi="宋体" w:eastAsia="宋体" w:cs="宋体"/>
                        <w:sz w:val="18"/>
                        <w:szCs w:val="18"/>
                      </w:rPr>
                    </w:pPr>
                    <w:r>
                      <w:rPr>
                        <w:rFonts w:ascii="宋体" w:hAnsi="宋体" w:eastAsia="宋体" w:cs="宋体"/>
                        <w:spacing w:val="-3"/>
                        <w:sz w:val="18"/>
                        <w:szCs w:val="18"/>
                      </w:rPr>
                      <w:t>应用层</w:t>
                    </w:r>
                    <w:r>
                      <w:rPr>
                        <w:rFonts w:ascii="宋体" w:hAnsi="宋体" w:eastAsia="宋体" w:cs="宋体"/>
                        <w:sz w:val="18"/>
                        <w:szCs w:val="18"/>
                      </w:rPr>
                      <w:t xml:space="preserve"> </w:t>
                    </w:r>
                    <w:r>
                      <w:rPr>
                        <w:rFonts w:ascii="宋体" w:hAnsi="宋体" w:eastAsia="宋体" w:cs="宋体"/>
                        <w:spacing w:val="-9"/>
                        <w:sz w:val="18"/>
                        <w:szCs w:val="18"/>
                      </w:rPr>
                      <w:t>7-6接口</w:t>
                    </w:r>
                    <w:r>
                      <w:rPr>
                        <w:rFonts w:ascii="宋体" w:hAnsi="宋体" w:eastAsia="宋体" w:cs="宋体"/>
                        <w:sz w:val="18"/>
                        <w:szCs w:val="18"/>
                      </w:rPr>
                      <w:t xml:space="preserve"> </w:t>
                    </w:r>
                    <w:r>
                      <w:rPr>
                        <w:rFonts w:ascii="宋体" w:hAnsi="宋体" w:eastAsia="宋体" w:cs="宋体"/>
                        <w:spacing w:val="-3"/>
                        <w:sz w:val="18"/>
                        <w:szCs w:val="18"/>
                      </w:rPr>
                      <w:t>表示层</w:t>
                    </w:r>
                    <w:r>
                      <w:rPr>
                        <w:rFonts w:ascii="宋体" w:hAnsi="宋体" w:eastAsia="宋体" w:cs="宋体"/>
                        <w:spacing w:val="1"/>
                        <w:sz w:val="18"/>
                        <w:szCs w:val="18"/>
                      </w:rPr>
                      <w:t xml:space="preserve"> </w:t>
                    </w:r>
                    <w:r>
                      <w:rPr>
                        <w:rFonts w:ascii="宋体" w:hAnsi="宋体" w:eastAsia="宋体" w:cs="宋体"/>
                        <w:spacing w:val="-9"/>
                        <w:sz w:val="18"/>
                        <w:szCs w:val="18"/>
                      </w:rPr>
                      <w:t>6-5接口</w:t>
                    </w:r>
                    <w:r>
                      <w:rPr>
                        <w:rFonts w:ascii="宋体" w:hAnsi="宋体" w:eastAsia="宋体" w:cs="宋体"/>
                        <w:sz w:val="18"/>
                        <w:szCs w:val="18"/>
                      </w:rPr>
                      <w:t xml:space="preserve"> </w:t>
                    </w:r>
                    <w:r>
                      <w:rPr>
                        <w:rFonts w:ascii="宋体" w:hAnsi="宋体" w:eastAsia="宋体" w:cs="宋体"/>
                        <w:spacing w:val="-3"/>
                        <w:sz w:val="18"/>
                        <w:szCs w:val="18"/>
                      </w:rPr>
                      <w:t>会话层</w:t>
                    </w:r>
                    <w:r>
                      <w:rPr>
                        <w:rFonts w:ascii="宋体" w:hAnsi="宋体" w:eastAsia="宋体" w:cs="宋体"/>
                        <w:spacing w:val="1"/>
                        <w:sz w:val="18"/>
                        <w:szCs w:val="18"/>
                      </w:rPr>
                      <w:t xml:space="preserve"> </w:t>
                    </w:r>
                    <w:r>
                      <w:rPr>
                        <w:rFonts w:ascii="宋体" w:hAnsi="宋体" w:eastAsia="宋体" w:cs="宋体"/>
                        <w:spacing w:val="-9"/>
                        <w:sz w:val="18"/>
                        <w:szCs w:val="18"/>
                      </w:rPr>
                      <w:t>5-4接口</w:t>
                    </w:r>
                    <w:r>
                      <w:rPr>
                        <w:rFonts w:ascii="宋体" w:hAnsi="宋体" w:eastAsia="宋体" w:cs="宋体"/>
                        <w:sz w:val="18"/>
                        <w:szCs w:val="18"/>
                      </w:rPr>
                      <w:t xml:space="preserve"> </w:t>
                    </w:r>
                    <w:r>
                      <w:rPr>
                        <w:rFonts w:ascii="宋体" w:hAnsi="宋体" w:eastAsia="宋体" w:cs="宋体"/>
                        <w:spacing w:val="-2"/>
                        <w:sz w:val="18"/>
                        <w:szCs w:val="18"/>
                      </w:rPr>
                      <w:t>传输层</w:t>
                    </w:r>
                    <w:r>
                      <w:rPr>
                        <w:rFonts w:ascii="宋体" w:hAnsi="宋体" w:eastAsia="宋体" w:cs="宋体"/>
                        <w:sz w:val="18"/>
                        <w:szCs w:val="18"/>
                      </w:rPr>
                      <w:t xml:space="preserve"> </w:t>
                    </w:r>
                    <w:r>
                      <w:rPr>
                        <w:rFonts w:ascii="宋体" w:hAnsi="宋体" w:eastAsia="宋体" w:cs="宋体"/>
                        <w:spacing w:val="-10"/>
                        <w:sz w:val="18"/>
                        <w:szCs w:val="18"/>
                      </w:rPr>
                      <w:t>4-3接口</w:t>
                    </w:r>
                    <w:r>
                      <w:rPr>
                        <w:rFonts w:ascii="宋体" w:hAnsi="宋体" w:eastAsia="宋体" w:cs="宋体"/>
                        <w:spacing w:val="3"/>
                        <w:sz w:val="18"/>
                        <w:szCs w:val="18"/>
                      </w:rPr>
                      <w:t xml:space="preserve"> </w:t>
                    </w:r>
                    <w:r>
                      <w:rPr>
                        <w:rFonts w:ascii="宋体" w:hAnsi="宋体" w:eastAsia="宋体" w:cs="宋体"/>
                        <w:spacing w:val="-8"/>
                        <w:sz w:val="18"/>
                        <w:szCs w:val="18"/>
                      </w:rPr>
                      <w:t>网络层</w:t>
                    </w:r>
                    <w:r>
                      <w:rPr>
                        <w:rFonts w:ascii="宋体" w:hAnsi="宋体" w:eastAsia="宋体" w:cs="宋体"/>
                        <w:spacing w:val="1"/>
                        <w:sz w:val="18"/>
                        <w:szCs w:val="18"/>
                      </w:rPr>
                      <w:t xml:space="preserve"> </w:t>
                    </w:r>
                    <w:r>
                      <w:rPr>
                        <w:rFonts w:ascii="宋体" w:hAnsi="宋体" w:eastAsia="宋体" w:cs="宋体"/>
                        <w:spacing w:val="-9"/>
                        <w:sz w:val="18"/>
                        <w:szCs w:val="18"/>
                      </w:rPr>
                      <w:t>3-2接口</w:t>
                    </w:r>
                  </w:p>
                  <w:p w14:paraId="54D68C29">
                    <w:pPr>
                      <w:spacing w:before="26" w:line="251" w:lineRule="auto"/>
                      <w:ind w:left="138" w:right="20" w:hanging="119"/>
                      <w:rPr>
                        <w:rFonts w:ascii="宋体" w:hAnsi="宋体" w:eastAsia="宋体" w:cs="宋体"/>
                        <w:sz w:val="18"/>
                        <w:szCs w:val="18"/>
                      </w:rPr>
                    </w:pPr>
                    <w:r>
                      <w:rPr>
                        <w:rFonts w:ascii="宋体" w:hAnsi="宋体" w:eastAsia="宋体" w:cs="宋体"/>
                        <w:spacing w:val="-6"/>
                        <w:sz w:val="18"/>
                        <w:szCs w:val="18"/>
                      </w:rPr>
                      <w:t>数据链路层</w:t>
                    </w:r>
                    <w:r>
                      <w:rPr>
                        <w:rFonts w:ascii="宋体" w:hAnsi="宋体" w:eastAsia="宋体" w:cs="宋体"/>
                        <w:sz w:val="18"/>
                        <w:szCs w:val="18"/>
                      </w:rPr>
                      <w:t xml:space="preserve"> </w:t>
                    </w:r>
                    <w:r>
                      <w:rPr>
                        <w:rFonts w:ascii="宋体" w:hAnsi="宋体" w:eastAsia="宋体" w:cs="宋体"/>
                        <w:spacing w:val="-7"/>
                        <w:sz w:val="18"/>
                        <w:szCs w:val="18"/>
                      </w:rPr>
                      <w:t>2-1接口</w:t>
                    </w:r>
                  </w:p>
                  <w:p w14:paraId="5D9A45A6">
                    <w:pPr>
                      <w:spacing w:line="219" w:lineRule="auto"/>
                      <w:ind w:left="139"/>
                      <w:rPr>
                        <w:rFonts w:ascii="宋体" w:hAnsi="宋体" w:eastAsia="宋体" w:cs="宋体"/>
                        <w:sz w:val="18"/>
                        <w:szCs w:val="18"/>
                      </w:rPr>
                    </w:pPr>
                    <w:r>
                      <w:rPr>
                        <w:rFonts w:ascii="宋体" w:hAnsi="宋体" w:eastAsia="宋体" w:cs="宋体"/>
                        <w:spacing w:val="-2"/>
                        <w:sz w:val="18"/>
                        <w:szCs w:val="18"/>
                      </w:rPr>
                      <w:t>物理层</w:t>
                    </w:r>
                  </w:p>
                </w:txbxContent>
              </v:textbox>
            </v:shape>
            <v:shape id="_x0000_s1162" o:spid="_x0000_s1162" o:spt="202" type="#_x0000_t202" style="position:absolute;left:4170;top:3087;height:1230;width:900;" filled="f" stroked="f" coordsize="21600,21600">
              <v:path/>
              <v:fill on="f" focussize="0,0"/>
              <v:stroke on="f"/>
              <v:imagedata o:title=""/>
              <o:lock v:ext="edit" aspectratio="f"/>
              <v:textbox inset="0mm,0mm,0mm,0mm">
                <w:txbxContent>
                  <w:p w14:paraId="22AEF6B7">
                    <w:pPr>
                      <w:spacing w:before="20" w:line="219" w:lineRule="auto"/>
                      <w:ind w:left="179"/>
                      <w:rPr>
                        <w:rFonts w:ascii="宋体" w:hAnsi="宋体" w:eastAsia="宋体" w:cs="宋体"/>
                        <w:sz w:val="18"/>
                        <w:szCs w:val="18"/>
                      </w:rPr>
                    </w:pPr>
                    <w:r>
                      <w:rPr>
                        <w:rFonts w:ascii="宋体" w:hAnsi="宋体" w:eastAsia="宋体" w:cs="宋体"/>
                        <w:spacing w:val="-5"/>
                        <w:sz w:val="18"/>
                        <w:szCs w:val="18"/>
                      </w:rPr>
                      <w:t>网络层</w:t>
                    </w:r>
                  </w:p>
                  <w:p w14:paraId="64BF7988">
                    <w:pPr>
                      <w:spacing w:line="266" w:lineRule="auto"/>
                      <w:rPr>
                        <w:rFonts w:ascii="Arial"/>
                        <w:sz w:val="21"/>
                      </w:rPr>
                    </w:pPr>
                  </w:p>
                  <w:p w14:paraId="2E3428F6">
                    <w:pPr>
                      <w:spacing w:before="58" w:line="219" w:lineRule="auto"/>
                      <w:ind w:left="20"/>
                      <w:rPr>
                        <w:rFonts w:ascii="宋体" w:hAnsi="宋体" w:eastAsia="宋体" w:cs="宋体"/>
                        <w:sz w:val="18"/>
                        <w:szCs w:val="18"/>
                      </w:rPr>
                    </w:pPr>
                    <w:r>
                      <w:rPr>
                        <w:rFonts w:ascii="宋体" w:hAnsi="宋体" w:eastAsia="宋体" w:cs="宋体"/>
                        <w:spacing w:val="-7"/>
                        <w:sz w:val="18"/>
                        <w:szCs w:val="18"/>
                      </w:rPr>
                      <w:t>数据链路层</w:t>
                    </w:r>
                  </w:p>
                  <w:p w14:paraId="40B8FCD3">
                    <w:pPr>
                      <w:spacing w:before="256" w:line="219" w:lineRule="auto"/>
                      <w:ind w:left="179"/>
                      <w:rPr>
                        <w:rFonts w:ascii="宋体" w:hAnsi="宋体" w:eastAsia="宋体" w:cs="宋体"/>
                        <w:sz w:val="18"/>
                        <w:szCs w:val="18"/>
                      </w:rPr>
                    </w:pPr>
                    <w:r>
                      <w:rPr>
                        <w:rFonts w:ascii="宋体" w:hAnsi="宋体" w:eastAsia="宋体" w:cs="宋体"/>
                        <w:spacing w:val="-2"/>
                        <w:sz w:val="18"/>
                        <w:szCs w:val="18"/>
                      </w:rPr>
                      <w:t>物理层</w:t>
                    </w:r>
                  </w:p>
                </w:txbxContent>
              </v:textbox>
            </v:shape>
            <v:shape id="_x0000_s1163" o:spid="_x0000_s1163" o:spt="202" type="#_x0000_t202" style="position:absolute;left:2120;top:2977;height:1220;width:482;" filled="f" stroked="f" coordsize="21600,21600">
              <v:path/>
              <v:fill on="f" focussize="0,0"/>
              <v:stroke on="f"/>
              <v:imagedata o:title=""/>
              <o:lock v:ext="edit" aspectratio="f"/>
              <v:textbox inset="0mm,0mm,0mm,0mm">
                <w:txbxContent>
                  <w:p w14:paraId="625F9F42">
                    <w:pPr>
                      <w:spacing w:before="20" w:line="219" w:lineRule="auto"/>
                      <w:ind w:left="20"/>
                      <w:rPr>
                        <w:rFonts w:ascii="宋体" w:hAnsi="宋体" w:eastAsia="宋体" w:cs="宋体"/>
                        <w:sz w:val="18"/>
                        <w:szCs w:val="18"/>
                      </w:rPr>
                    </w:pPr>
                    <w:r>
                      <w:rPr>
                        <w:rFonts w:ascii="宋体" w:hAnsi="宋体" w:eastAsia="宋体" w:cs="宋体"/>
                        <w:spacing w:val="-2"/>
                        <w:sz w:val="18"/>
                        <w:szCs w:val="18"/>
                      </w:rPr>
                      <w:t>第3层</w:t>
                    </w:r>
                  </w:p>
                  <w:p w14:paraId="5DDA8C2A">
                    <w:pPr>
                      <w:spacing w:before="286" w:line="219" w:lineRule="auto"/>
                      <w:ind w:left="20"/>
                      <w:rPr>
                        <w:rFonts w:ascii="宋体" w:hAnsi="宋体" w:eastAsia="宋体" w:cs="宋体"/>
                        <w:sz w:val="18"/>
                        <w:szCs w:val="18"/>
                      </w:rPr>
                    </w:pPr>
                    <w:r>
                      <w:rPr>
                        <w:rFonts w:ascii="宋体" w:hAnsi="宋体" w:eastAsia="宋体" w:cs="宋体"/>
                        <w:spacing w:val="-2"/>
                        <w:sz w:val="18"/>
                        <w:szCs w:val="18"/>
                      </w:rPr>
                      <w:t>第2层</w:t>
                    </w:r>
                  </w:p>
                  <w:p w14:paraId="6DDC8A4C">
                    <w:pPr>
                      <w:spacing w:before="286" w:line="219" w:lineRule="auto"/>
                      <w:ind w:left="20"/>
                      <w:rPr>
                        <w:rFonts w:ascii="宋体" w:hAnsi="宋体" w:eastAsia="宋体" w:cs="宋体"/>
                        <w:sz w:val="18"/>
                        <w:szCs w:val="18"/>
                      </w:rPr>
                    </w:pPr>
                    <w:r>
                      <w:rPr>
                        <w:rFonts w:ascii="宋体" w:hAnsi="宋体" w:eastAsia="宋体" w:cs="宋体"/>
                        <w:spacing w:val="-2"/>
                        <w:sz w:val="18"/>
                        <w:szCs w:val="18"/>
                      </w:rPr>
                      <w:t>第1层</w:t>
                    </w:r>
                  </w:p>
                </w:txbxContent>
              </v:textbox>
            </v:shape>
            <v:shape id="_x0000_s1164" o:spid="_x0000_s1164" o:spt="202" type="#_x0000_t202" style="position:absolute;left:5110;top:3037;height:1160;width:482;" filled="f" stroked="f" coordsize="21600,21600">
              <v:path/>
              <v:fill on="f" focussize="0,0"/>
              <v:stroke on="f"/>
              <v:imagedata o:title=""/>
              <o:lock v:ext="edit" aspectratio="f"/>
              <v:textbox inset="0mm,0mm,0mm,0mm">
                <w:txbxContent>
                  <w:p w14:paraId="3D122B41">
                    <w:pPr>
                      <w:spacing w:before="20" w:line="438" w:lineRule="auto"/>
                      <w:ind w:left="20" w:right="20"/>
                      <w:rPr>
                        <w:rFonts w:ascii="宋体" w:hAnsi="宋体" w:eastAsia="宋体" w:cs="宋体"/>
                        <w:sz w:val="18"/>
                        <w:szCs w:val="18"/>
                      </w:rPr>
                    </w:pPr>
                    <w:r>
                      <w:rPr>
                        <w:rFonts w:ascii="宋体" w:hAnsi="宋体" w:eastAsia="宋体" w:cs="宋体"/>
                        <w:spacing w:val="-3"/>
                        <w:sz w:val="18"/>
                        <w:szCs w:val="18"/>
                      </w:rPr>
                      <w:t>第3层</w:t>
                    </w:r>
                    <w:r>
                      <w:rPr>
                        <w:rFonts w:ascii="宋体" w:hAnsi="宋体" w:eastAsia="宋体" w:cs="宋体"/>
                        <w:sz w:val="18"/>
                        <w:szCs w:val="18"/>
                      </w:rPr>
                      <w:t xml:space="preserve"> </w:t>
                    </w:r>
                    <w:r>
                      <w:rPr>
                        <w:rFonts w:ascii="宋体" w:hAnsi="宋体" w:eastAsia="宋体" w:cs="宋体"/>
                        <w:spacing w:val="-3"/>
                        <w:sz w:val="18"/>
                        <w:szCs w:val="18"/>
                      </w:rPr>
                      <w:t>第2层</w:t>
                    </w:r>
                  </w:p>
                  <w:p w14:paraId="536B9107">
                    <w:pPr>
                      <w:spacing w:before="86" w:line="219" w:lineRule="auto"/>
                      <w:ind w:left="20"/>
                      <w:rPr>
                        <w:rFonts w:ascii="宋体" w:hAnsi="宋体" w:eastAsia="宋体" w:cs="宋体"/>
                        <w:sz w:val="18"/>
                        <w:szCs w:val="18"/>
                      </w:rPr>
                    </w:pPr>
                    <w:r>
                      <w:rPr>
                        <w:rFonts w:ascii="宋体" w:hAnsi="宋体" w:eastAsia="宋体" w:cs="宋体"/>
                        <w:spacing w:val="-2"/>
                        <w:sz w:val="18"/>
                        <w:szCs w:val="18"/>
                      </w:rPr>
                      <w:t>第1层</w:t>
                    </w:r>
                  </w:p>
                </w:txbxContent>
              </v:textbox>
            </v:shape>
            <v:shape id="_x0000_s1165" o:spid="_x0000_s1165" o:spt="202" type="#_x0000_t202" style="position:absolute;left:790;top:68;height:220;width:509;" filled="f" stroked="f" coordsize="21600,21600">
              <v:path/>
              <v:fill on="f" focussize="0,0"/>
              <v:stroke on="f"/>
              <v:imagedata o:title=""/>
              <o:lock v:ext="edit" aspectratio="f"/>
              <v:textbox inset="0mm,0mm,0mm,0mm">
                <w:txbxContent>
                  <w:p w14:paraId="64AB291E">
                    <w:pPr>
                      <w:spacing w:before="19" w:line="221" w:lineRule="auto"/>
                      <w:ind w:left="20"/>
                      <w:rPr>
                        <w:rFonts w:ascii="Times New Roman" w:hAnsi="Times New Roman" w:eastAsia="Times New Roman" w:cs="Times New Roman"/>
                        <w:sz w:val="18"/>
                        <w:szCs w:val="18"/>
                      </w:rPr>
                    </w:pPr>
                    <w:r>
                      <w:rPr>
                        <w:rFonts w:ascii="宋体" w:hAnsi="宋体" w:eastAsia="宋体" w:cs="宋体"/>
                        <w:spacing w:val="-4"/>
                        <w:sz w:val="18"/>
                        <w:szCs w:val="18"/>
                      </w:rPr>
                      <w:t>设备</w:t>
                    </w:r>
                    <w:r>
                      <w:rPr>
                        <w:rFonts w:ascii="Times New Roman" w:hAnsi="Times New Roman" w:eastAsia="Times New Roman" w:cs="Times New Roman"/>
                        <w:spacing w:val="-4"/>
                        <w:sz w:val="18"/>
                        <w:szCs w:val="18"/>
                      </w:rPr>
                      <w:t>A</w:t>
                    </w:r>
                  </w:p>
                </w:txbxContent>
              </v:textbox>
            </v:shape>
            <v:shape id="_x0000_s1166" o:spid="_x0000_s1166" o:spt="202" type="#_x0000_t202" style="position:absolute;left:7500;top:2644;height:136;width:108;" filled="f" stroked="f" coordsize="21600,21600">
              <v:path/>
              <v:fill on="f" focussize="0,0"/>
              <v:stroke on="f"/>
              <v:imagedata o:title=""/>
              <o:lock v:ext="edit" aspectratio="f"/>
              <v:textbox inset="0mm,0mm,0mm,0mm">
                <w:txbxContent>
                  <w:p w14:paraId="30074467">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txbxContent>
              </v:textbox>
            </v:shape>
            <v:shape id="_x0000_s1167" o:spid="_x0000_s1167" o:spt="202" type="#_x0000_t202" style="position:absolute;left:7500;top:3643;height:136;width:108;" filled="f" stroked="f" coordsize="21600,21600">
              <v:path/>
              <v:fill on="f" focussize="0,0"/>
              <v:stroke on="f"/>
              <v:imagedata o:title=""/>
              <o:lock v:ext="edit" aspectratio="f"/>
              <v:textbox inset="0mm,0mm,0mm,0mm">
                <w:txbxContent>
                  <w:p w14:paraId="353D4A69">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txbxContent>
              </v:textbox>
            </v:shape>
            <v:shape id="_x0000_s1168" o:spid="_x0000_s1168" o:spt="202" type="#_x0000_t202" style="position:absolute;left:50;top:3663;height:136;width:108;" filled="f" stroked="f" coordsize="21600,21600">
              <v:path/>
              <v:fill on="f" focussize="0,0"/>
              <v:stroke on="f"/>
              <v:imagedata o:title=""/>
              <o:lock v:ext="edit" aspectratio="f"/>
              <v:textbox inset="0mm,0mm,0mm,0mm">
                <w:txbxContent>
                  <w:p w14:paraId="7958589B">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txbxContent>
              </v:textbox>
            </v:shape>
            <v:shape id="_x0000_s1169" o:spid="_x0000_s1169" o:spt="202" type="#_x0000_t202" style="position:absolute;left:7500;top:3142;height:138;width:105;" filled="f" stroked="f" coordsize="21600,21600">
              <v:path/>
              <v:fill on="f" focussize="0,0"/>
              <v:stroke on="f"/>
              <v:imagedata o:title=""/>
              <o:lock v:ext="edit" aspectratio="f"/>
              <v:textbox inset="0mm,0mm,0mm,0mm">
                <w:txbxContent>
                  <w:p w14:paraId="7A04BD8D">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txbxContent>
              </v:textbox>
            </v:shape>
            <v:shape id="_x0000_s1170" o:spid="_x0000_s1170" o:spt="202" type="#_x0000_t202" style="position:absolute;left:50;top:3162;height:138;width:105;" filled="f" stroked="f" coordsize="21600,21600">
              <v:path/>
              <v:fill on="f" focussize="0,0"/>
              <v:stroke on="f"/>
              <v:imagedata o:title=""/>
              <o:lock v:ext="edit" aspectratio="f"/>
              <v:textbox inset="0mm,0mm,0mm,0mm">
                <w:txbxContent>
                  <w:p w14:paraId="7E61DFDB">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txbxContent>
              </v:textbox>
            </v:shape>
            <v:shape id="_x0000_s1171" o:spid="_x0000_s1171" o:spt="202" type="#_x0000_t202" style="position:absolute;left:7500;top:1642;height:138;width:103;" filled="f" stroked="f" coordsize="21600,21600">
              <v:path/>
              <v:fill on="f" focussize="0,0"/>
              <v:stroke on="f"/>
              <v:imagedata o:title=""/>
              <o:lock v:ext="edit" aspectratio="f"/>
              <v:textbox inset="0mm,0mm,0mm,0mm">
                <w:txbxContent>
                  <w:p w14:paraId="092DA724">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txbxContent>
              </v:textbox>
            </v:shape>
            <v:shape id="_x0000_s1172" o:spid="_x0000_s1172" o:spt="202" type="#_x0000_t202" style="position:absolute;left:50;top:1144;height:136;width:105;" filled="f" stroked="f" coordsize="21600,21600">
              <v:path/>
              <v:fill on="f" focussize="0,0"/>
              <v:stroke on="f"/>
              <v:imagedata o:title=""/>
              <o:lock v:ext="edit" aspectratio="f"/>
              <v:textbox inset="0mm,0mm,0mm,0mm">
                <w:txbxContent>
                  <w:p w14:paraId="7A159C16">
                    <w:pPr>
                      <w:spacing w:before="20" w:line="185"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7</w:t>
                    </w:r>
                  </w:p>
                </w:txbxContent>
              </v:textbox>
            </v:shape>
            <v:shape id="_x0000_s1173" o:spid="_x0000_s1173" o:spt="202" type="#_x0000_t202" style="position:absolute;left:7500;top:1144;height:136;width:105;" filled="f" stroked="f" coordsize="21600,21600">
              <v:path/>
              <v:fill on="f" focussize="0,0"/>
              <v:stroke on="f"/>
              <v:imagedata o:title=""/>
              <o:lock v:ext="edit" aspectratio="f"/>
              <v:textbox inset="0mm,0mm,0mm,0mm">
                <w:txbxContent>
                  <w:p w14:paraId="725921F6">
                    <w:pPr>
                      <w:spacing w:before="20" w:line="185"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7</w:t>
                    </w:r>
                  </w:p>
                </w:txbxContent>
              </v:textbox>
            </v:shape>
            <v:shape id="_x0000_s1174" o:spid="_x0000_s1174" o:spt="202" type="#_x0000_t202" style="position:absolute;left:7500;top:2144;height:136;width:103;" filled="f" stroked="f" coordsize="21600,21600">
              <v:path/>
              <v:fill on="f" focussize="0,0"/>
              <v:stroke on="f"/>
              <v:imagedata o:title=""/>
              <o:lock v:ext="edit" aspectratio="f"/>
              <v:textbox inset="0mm,0mm,0mm,0mm">
                <w:txbxContent>
                  <w:p w14:paraId="49BF57FF">
                    <w:pPr>
                      <w:spacing w:before="20" w:line="185"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txbxContent>
              </v:textbox>
            </v:shape>
            <v:shape id="_x0000_s1175" o:spid="_x0000_s1175" o:spt="202" type="#_x0000_t202" style="position:absolute;left:7500;top:4143;height:136;width:93;" filled="f" stroked="f" coordsize="21600,21600">
              <v:path/>
              <v:fill on="f" focussize="0,0"/>
              <v:stroke on="f"/>
              <v:imagedata o:title=""/>
              <o:lock v:ext="edit" aspectratio="f"/>
              <v:textbox inset="0mm,0mm,0mm,0mm">
                <w:txbxContent>
                  <w:p w14:paraId="4AA223CB">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txbxContent>
              </v:textbox>
            </v:shape>
            <v:shape id="_x0000_s1176" o:spid="_x0000_s1176" o:spt="202" type="#_x0000_t202" style="position:absolute;left:80;top:4213;height:96;width:70;" filled="f" stroked="f" coordsize="21600,21600">
              <v:path/>
              <v:fill on="f" focussize="0,0"/>
              <v:stroke on="f"/>
              <v:imagedata o:title=""/>
              <o:lock v:ext="edit" aspectratio="f"/>
              <v:textbox inset="0mm,0mm,0mm,0mm">
                <w:txbxContent>
                  <w:p w14:paraId="2D324342">
                    <w:pPr>
                      <w:spacing w:before="19" w:line="184" w:lineRule="auto"/>
                      <w:ind w:left="20"/>
                      <w:rPr>
                        <w:rFonts w:ascii="宋体" w:hAnsi="宋体" w:eastAsia="宋体" w:cs="宋体"/>
                        <w:sz w:val="8"/>
                        <w:szCs w:val="8"/>
                      </w:rPr>
                    </w:pPr>
                    <w:r>
                      <w:rPr>
                        <w:rFonts w:ascii="宋体" w:hAnsi="宋体" w:eastAsia="宋体" w:cs="宋体"/>
                        <w:sz w:val="8"/>
                        <w:szCs w:val="8"/>
                      </w:rPr>
                      <w:t>1</w:t>
                    </w:r>
                  </w:p>
                </w:txbxContent>
              </v:textbox>
            </v:shape>
            <w10:wrap type="none"/>
            <w10:anchorlock/>
          </v:group>
        </w:pict>
      </w:r>
    </w:p>
    <w:p w14:paraId="75107A06">
      <w:pPr>
        <w:pStyle w:val="2"/>
        <w:spacing w:before="150" w:line="219" w:lineRule="auto"/>
        <w:ind w:left="3340"/>
        <w:rPr>
          <w:sz w:val="18"/>
          <w:szCs w:val="18"/>
        </w:rPr>
      </w:pPr>
      <w:r>
        <w:rPr>
          <w:spacing w:val="8"/>
          <w:sz w:val="18"/>
          <w:szCs w:val="18"/>
        </w:rPr>
        <w:t>图3-2</w:t>
      </w:r>
      <w:r>
        <w:rPr>
          <w:spacing w:val="30"/>
          <w:sz w:val="18"/>
          <w:szCs w:val="18"/>
        </w:rPr>
        <w:t xml:space="preserve"> </w:t>
      </w:r>
      <w:r>
        <w:rPr>
          <w:sz w:val="18"/>
          <w:szCs w:val="18"/>
        </w:rPr>
        <w:t>OSI</w:t>
      </w:r>
      <w:r>
        <w:rPr>
          <w:spacing w:val="-24"/>
          <w:sz w:val="18"/>
          <w:szCs w:val="18"/>
        </w:rPr>
        <w:t xml:space="preserve"> </w:t>
      </w:r>
      <w:r>
        <w:rPr>
          <w:spacing w:val="8"/>
          <w:sz w:val="18"/>
          <w:szCs w:val="18"/>
        </w:rPr>
        <w:t>七层模型</w:t>
      </w:r>
    </w:p>
    <w:p w14:paraId="2BC3EAE8">
      <w:pPr>
        <w:spacing w:line="219" w:lineRule="auto"/>
        <w:rPr>
          <w:sz w:val="18"/>
          <w:szCs w:val="18"/>
        </w:rPr>
        <w:sectPr>
          <w:pgSz w:w="10290" w:h="13330"/>
          <w:pgMar w:top="400" w:right="547" w:bottom="400" w:left="1169" w:header="0" w:footer="0" w:gutter="0"/>
          <w:cols w:space="720" w:num="1"/>
        </w:sectPr>
      </w:pPr>
    </w:p>
    <w:p w14:paraId="5E874A79">
      <w:pPr>
        <w:pStyle w:val="2"/>
        <w:spacing w:before="58" w:line="219" w:lineRule="auto"/>
        <w:rPr>
          <w:sz w:val="20"/>
          <w:szCs w:val="20"/>
        </w:rPr>
      </w:pPr>
      <w:r>
        <w:rPr>
          <w:rFonts w:ascii="Times New Roman" w:hAnsi="Times New Roman" w:eastAsia="Times New Roman" w:cs="Times New Roman"/>
          <w:b/>
          <w:bCs/>
          <w:spacing w:val="-1"/>
          <w:sz w:val="20"/>
          <w:szCs w:val="20"/>
        </w:rPr>
        <w:t xml:space="preserve">94              </w:t>
      </w:r>
      <w:r>
        <w:rPr>
          <w:spacing w:val="-1"/>
          <w:sz w:val="20"/>
          <w:szCs w:val="20"/>
        </w:rPr>
        <w:t>信息系统监理师</w:t>
      </w:r>
      <w:r>
        <w:rPr>
          <w:spacing w:val="-2"/>
          <w:sz w:val="20"/>
          <w:szCs w:val="20"/>
        </w:rPr>
        <w:t>教程(第2版)</w:t>
      </w:r>
    </w:p>
    <w:p w14:paraId="70FDE29E">
      <w:pPr>
        <w:spacing w:line="304" w:lineRule="auto"/>
        <w:rPr>
          <w:rFonts w:ascii="Arial"/>
          <w:sz w:val="21"/>
        </w:rPr>
      </w:pPr>
    </w:p>
    <w:p w14:paraId="50B78A34">
      <w:pPr>
        <w:pStyle w:val="2"/>
        <w:spacing w:before="65" w:line="285" w:lineRule="auto"/>
        <w:ind w:left="299" w:right="19" w:firstLine="400"/>
        <w:jc w:val="both"/>
        <w:rPr>
          <w:sz w:val="20"/>
          <w:szCs w:val="20"/>
        </w:rPr>
      </w:pPr>
      <w:r>
        <w:rPr>
          <w:spacing w:val="8"/>
          <w:sz w:val="20"/>
          <w:szCs w:val="20"/>
        </w:rPr>
        <w:t>第一层：物理层</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Physical</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Layer</w:t>
      </w:r>
      <w:r>
        <w:rPr>
          <w:rFonts w:ascii="Times New Roman" w:hAnsi="Times New Roman" w:eastAsia="Times New Roman" w:cs="Times New Roman"/>
          <w:spacing w:val="8"/>
          <w:sz w:val="20"/>
          <w:szCs w:val="20"/>
        </w:rPr>
        <w:t>)</w:t>
      </w:r>
      <w:r>
        <w:rPr>
          <w:spacing w:val="8"/>
          <w:sz w:val="20"/>
          <w:szCs w:val="20"/>
        </w:rPr>
        <w:t>。物理层是</w:t>
      </w:r>
      <w:r>
        <w:rPr>
          <w:rFonts w:ascii="Times New Roman" w:hAnsi="Times New Roman" w:eastAsia="Times New Roman" w:cs="Times New Roman"/>
          <w:sz w:val="20"/>
          <w:szCs w:val="20"/>
        </w:rPr>
        <w:t>OSI</w:t>
      </w:r>
      <w:r>
        <w:rPr>
          <w:rFonts w:ascii="Times New Roman" w:hAnsi="Times New Roman" w:eastAsia="Times New Roman" w:cs="Times New Roman"/>
          <w:spacing w:val="15"/>
          <w:sz w:val="20"/>
          <w:szCs w:val="20"/>
        </w:rPr>
        <w:t xml:space="preserve"> </w:t>
      </w:r>
      <w:r>
        <w:rPr>
          <w:spacing w:val="8"/>
          <w:sz w:val="20"/>
          <w:szCs w:val="20"/>
        </w:rPr>
        <w:t>七层模型的最底层，规定了承载其上的</w:t>
      </w:r>
      <w:r>
        <w:rPr>
          <w:sz w:val="20"/>
          <w:szCs w:val="20"/>
        </w:rPr>
        <w:t xml:space="preserve"> </w:t>
      </w:r>
      <w:r>
        <w:rPr>
          <w:spacing w:val="3"/>
          <w:sz w:val="20"/>
          <w:szCs w:val="20"/>
        </w:rPr>
        <w:t>各层发送和接收具体数据的物理硬件方法。信息网络中各个节点模块之间，包括</w:t>
      </w:r>
      <w:r>
        <w:rPr>
          <w:spacing w:val="2"/>
          <w:sz w:val="20"/>
          <w:szCs w:val="20"/>
        </w:rPr>
        <w:t>路由器、交换</w:t>
      </w:r>
      <w:r>
        <w:rPr>
          <w:sz w:val="20"/>
          <w:szCs w:val="20"/>
        </w:rPr>
        <w:t xml:space="preserve"> </w:t>
      </w:r>
      <w:r>
        <w:rPr>
          <w:spacing w:val="3"/>
          <w:sz w:val="20"/>
          <w:szCs w:val="20"/>
        </w:rPr>
        <w:t>机、各种传输设备、服务器、计算机、移动基站、手机等设备之间，需要特定的物理</w:t>
      </w:r>
      <w:r>
        <w:rPr>
          <w:spacing w:val="2"/>
          <w:sz w:val="20"/>
          <w:szCs w:val="20"/>
        </w:rPr>
        <w:t>信道进行</w:t>
      </w:r>
      <w:r>
        <w:rPr>
          <w:sz w:val="20"/>
          <w:szCs w:val="20"/>
        </w:rPr>
        <w:t xml:space="preserve"> </w:t>
      </w:r>
      <w:r>
        <w:rPr>
          <w:spacing w:val="3"/>
          <w:sz w:val="20"/>
          <w:szCs w:val="20"/>
        </w:rPr>
        <w:t>基本数据的发送和接收。物理信道包括光纤、同轴电缆、双绞线、无线电信道等，信道两端的</w:t>
      </w:r>
      <w:r>
        <w:rPr>
          <w:spacing w:val="1"/>
          <w:sz w:val="20"/>
          <w:szCs w:val="20"/>
        </w:rPr>
        <w:t xml:space="preserve"> </w:t>
      </w:r>
      <w:r>
        <w:rPr>
          <w:spacing w:val="3"/>
          <w:sz w:val="20"/>
          <w:szCs w:val="20"/>
        </w:rPr>
        <w:t>连接器包括光收发模块、以太网卡、各类无线收发模块等。物理层规定了相关</w:t>
      </w:r>
      <w:r>
        <w:rPr>
          <w:spacing w:val="2"/>
          <w:sz w:val="20"/>
          <w:szCs w:val="20"/>
        </w:rPr>
        <w:t>设备、模块的机</w:t>
      </w:r>
      <w:r>
        <w:rPr>
          <w:sz w:val="20"/>
          <w:szCs w:val="20"/>
        </w:rPr>
        <w:t xml:space="preserve"> 械特性、电气特性、功能特性和规程特性，各设备厂商按照这些特征标</w:t>
      </w:r>
      <w:r>
        <w:rPr>
          <w:spacing w:val="-1"/>
          <w:sz w:val="20"/>
          <w:szCs w:val="20"/>
        </w:rPr>
        <w:t>准进行模块和设备开发，</w:t>
      </w:r>
      <w:r>
        <w:rPr>
          <w:sz w:val="20"/>
          <w:szCs w:val="20"/>
        </w:rPr>
        <w:t xml:space="preserve"> </w:t>
      </w:r>
      <w:r>
        <w:rPr>
          <w:spacing w:val="-2"/>
          <w:sz w:val="20"/>
          <w:szCs w:val="20"/>
        </w:rPr>
        <w:t>相关设备之间才能进行物理层的互联互通。</w:t>
      </w:r>
    </w:p>
    <w:p w14:paraId="4E207CEA">
      <w:pPr>
        <w:pStyle w:val="2"/>
        <w:spacing w:before="77" w:line="285" w:lineRule="auto"/>
        <w:ind w:left="299" w:right="90" w:firstLine="400"/>
        <w:jc w:val="both"/>
        <w:rPr>
          <w:sz w:val="20"/>
          <w:szCs w:val="20"/>
        </w:rPr>
      </w:pPr>
      <w:r>
        <w:rPr>
          <w:spacing w:val="2"/>
          <w:sz w:val="20"/>
          <w:szCs w:val="20"/>
        </w:rPr>
        <w:t>第二层：数据链路层</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Data</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Link</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Layer</w:t>
      </w:r>
      <w:r>
        <w:rPr>
          <w:rFonts w:ascii="Times New Roman" w:hAnsi="Times New Roman" w:eastAsia="Times New Roman" w:cs="Times New Roman"/>
          <w:spacing w:val="2"/>
          <w:sz w:val="20"/>
          <w:szCs w:val="20"/>
        </w:rPr>
        <w:t>)</w:t>
      </w:r>
      <w:r>
        <w:rPr>
          <w:spacing w:val="2"/>
          <w:sz w:val="20"/>
          <w:szCs w:val="20"/>
        </w:rPr>
        <w:t>。物理层提供的</w:t>
      </w:r>
      <w:r>
        <w:rPr>
          <w:spacing w:val="1"/>
          <w:sz w:val="20"/>
          <w:szCs w:val="20"/>
        </w:rPr>
        <w:t>仅仅是原始的信息数据比特流，没</w:t>
      </w:r>
      <w:r>
        <w:rPr>
          <w:sz w:val="20"/>
          <w:szCs w:val="20"/>
        </w:rPr>
        <w:t xml:space="preserve"> </w:t>
      </w:r>
      <w:r>
        <w:rPr>
          <w:spacing w:val="3"/>
          <w:sz w:val="20"/>
          <w:szCs w:val="20"/>
        </w:rPr>
        <w:t>有赋予任何意义，也没有任何差错保护机制。数据链路层负责将物理层透明传输</w:t>
      </w:r>
      <w:r>
        <w:rPr>
          <w:spacing w:val="2"/>
          <w:sz w:val="20"/>
          <w:szCs w:val="20"/>
        </w:rPr>
        <w:t>过来的比特流</w:t>
      </w:r>
      <w:r>
        <w:rPr>
          <w:sz w:val="20"/>
          <w:szCs w:val="20"/>
        </w:rPr>
        <w:t xml:space="preserve"> </w:t>
      </w:r>
      <w:r>
        <w:rPr>
          <w:spacing w:val="3"/>
          <w:sz w:val="20"/>
          <w:szCs w:val="20"/>
        </w:rPr>
        <w:t>组织成有意义的数据包，规定了数据包的格式和大小，规范了发送和接收特定</w:t>
      </w:r>
      <w:r>
        <w:rPr>
          <w:spacing w:val="2"/>
          <w:sz w:val="20"/>
          <w:szCs w:val="20"/>
        </w:rPr>
        <w:t>数据包的寻址方</w:t>
      </w:r>
      <w:r>
        <w:rPr>
          <w:sz w:val="20"/>
          <w:szCs w:val="20"/>
        </w:rPr>
        <w:t xml:space="preserve"> </w:t>
      </w:r>
      <w:r>
        <w:rPr>
          <w:spacing w:val="3"/>
          <w:sz w:val="20"/>
          <w:szCs w:val="20"/>
        </w:rPr>
        <w:t>式、同步控制、差错控制和流量控制机制。网络中的每个设备模块在数据链路</w:t>
      </w:r>
      <w:r>
        <w:rPr>
          <w:spacing w:val="2"/>
          <w:sz w:val="20"/>
          <w:szCs w:val="20"/>
        </w:rPr>
        <w:t>层都会有一个地</w:t>
      </w:r>
      <w:r>
        <w:rPr>
          <w:sz w:val="20"/>
          <w:szCs w:val="20"/>
        </w:rPr>
        <w:t xml:space="preserve"> </w:t>
      </w:r>
      <w:r>
        <w:rPr>
          <w:spacing w:val="8"/>
          <w:sz w:val="20"/>
          <w:szCs w:val="20"/>
        </w:rPr>
        <w:t>址，称为</w:t>
      </w:r>
      <w:r>
        <w:rPr>
          <w:rFonts w:ascii="Times New Roman" w:hAnsi="Times New Roman" w:eastAsia="Times New Roman" w:cs="Times New Roman"/>
          <w:sz w:val="20"/>
          <w:szCs w:val="20"/>
        </w:rPr>
        <w:t>MAC</w:t>
      </w:r>
      <w:r>
        <w:rPr>
          <w:rFonts w:ascii="Times New Roman" w:hAnsi="Times New Roman" w:eastAsia="Times New Roman" w:cs="Times New Roman"/>
          <w:spacing w:val="18"/>
          <w:sz w:val="20"/>
          <w:szCs w:val="20"/>
        </w:rPr>
        <w:t xml:space="preserve"> </w:t>
      </w:r>
      <w:r>
        <w:rPr>
          <w:spacing w:val="8"/>
          <w:sz w:val="20"/>
          <w:szCs w:val="20"/>
        </w:rPr>
        <w:t>地址(媒体访问控制地址),有了数据链</w:t>
      </w:r>
      <w:r>
        <w:rPr>
          <w:spacing w:val="7"/>
          <w:sz w:val="20"/>
          <w:szCs w:val="20"/>
        </w:rPr>
        <w:t>路层的服务，其上层就可以认为设备节</w:t>
      </w:r>
      <w:r>
        <w:rPr>
          <w:sz w:val="20"/>
          <w:szCs w:val="20"/>
        </w:rPr>
        <w:t xml:space="preserve"> </w:t>
      </w:r>
      <w:r>
        <w:rPr>
          <w:spacing w:val="-3"/>
          <w:sz w:val="20"/>
          <w:szCs w:val="20"/>
        </w:rPr>
        <w:t>点间链路的传输是可达并无差错的。</w:t>
      </w:r>
    </w:p>
    <w:p w14:paraId="7FBF1981">
      <w:pPr>
        <w:pStyle w:val="2"/>
        <w:spacing w:before="26" w:line="285" w:lineRule="auto"/>
        <w:ind w:left="299" w:right="68" w:firstLine="400"/>
        <w:jc w:val="both"/>
        <w:rPr>
          <w:sz w:val="20"/>
          <w:szCs w:val="20"/>
        </w:rPr>
      </w:pPr>
      <w:r>
        <w:rPr>
          <w:spacing w:val="4"/>
          <w:sz w:val="20"/>
          <w:szCs w:val="20"/>
        </w:rPr>
        <w:t>第三层：网络层</w:t>
      </w:r>
      <w:r>
        <w:rPr>
          <w:spacing w:val="-47"/>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Network</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Layer</w:t>
      </w:r>
      <w:r>
        <w:rPr>
          <w:rFonts w:ascii="Times New Roman" w:hAnsi="Times New Roman" w:eastAsia="Times New Roman" w:cs="Times New Roman"/>
          <w:spacing w:val="4"/>
          <w:sz w:val="20"/>
          <w:szCs w:val="20"/>
        </w:rPr>
        <w:t>)</w:t>
      </w:r>
      <w:r>
        <w:rPr>
          <w:spacing w:val="4"/>
          <w:sz w:val="20"/>
          <w:szCs w:val="20"/>
        </w:rPr>
        <w:t>。物理层和数据链路层负责相连两个设备节点间的数据</w:t>
      </w:r>
      <w:r>
        <w:rPr>
          <w:sz w:val="20"/>
          <w:szCs w:val="20"/>
        </w:rPr>
        <w:t xml:space="preserve"> </w:t>
      </w:r>
      <w:r>
        <w:rPr>
          <w:spacing w:val="8"/>
          <w:sz w:val="20"/>
          <w:szCs w:val="20"/>
        </w:rPr>
        <w:t>通信。信息网络系统由多个甚至成百上千个设备相互连接而成，多</w:t>
      </w:r>
      <w:r>
        <w:rPr>
          <w:spacing w:val="7"/>
          <w:sz w:val="20"/>
          <w:szCs w:val="20"/>
        </w:rPr>
        <w:t>个网络(子网)相互连接组</w:t>
      </w:r>
      <w:r>
        <w:rPr>
          <w:sz w:val="20"/>
          <w:szCs w:val="20"/>
        </w:rPr>
        <w:t xml:space="preserve"> </w:t>
      </w:r>
      <w:r>
        <w:rPr>
          <w:spacing w:val="3"/>
          <w:sz w:val="20"/>
          <w:szCs w:val="20"/>
        </w:rPr>
        <w:t>成一个规模更大的网络。在网络设备之间、系统之间，网络层定义和规范了不同网络间的通信</w:t>
      </w:r>
      <w:r>
        <w:rPr>
          <w:sz w:val="20"/>
          <w:szCs w:val="20"/>
        </w:rPr>
        <w:t xml:space="preserve"> </w:t>
      </w:r>
      <w:r>
        <w:rPr>
          <w:spacing w:val="3"/>
          <w:sz w:val="20"/>
          <w:szCs w:val="20"/>
        </w:rPr>
        <w:t>规则，包括寻址和路由选择，链路连接的建立、保持和终止等。网络层提供的服务使得其上层</w:t>
      </w:r>
      <w:r>
        <w:rPr>
          <w:spacing w:val="17"/>
          <w:sz w:val="20"/>
          <w:szCs w:val="20"/>
        </w:rPr>
        <w:t xml:space="preserve"> </w:t>
      </w:r>
      <w:r>
        <w:rPr>
          <w:spacing w:val="-2"/>
          <w:sz w:val="20"/>
          <w:szCs w:val="20"/>
        </w:rPr>
        <w:t>不需要了解网络内部的具体架构和数据传输的具体过程。</w:t>
      </w:r>
    </w:p>
    <w:p w14:paraId="1F28F150">
      <w:pPr>
        <w:pStyle w:val="2"/>
        <w:spacing w:before="56" w:line="286" w:lineRule="auto"/>
        <w:ind w:left="299" w:firstLine="400"/>
        <w:jc w:val="both"/>
        <w:rPr>
          <w:sz w:val="20"/>
          <w:szCs w:val="20"/>
        </w:rPr>
      </w:pPr>
      <w:r>
        <w:rPr>
          <w:spacing w:val="8"/>
          <w:sz w:val="20"/>
          <w:szCs w:val="20"/>
        </w:rPr>
        <w:t>以上三层从最低的物理比特流连接(物理层),到比特流组成一定规则的数据包(</w:t>
      </w:r>
      <w:r>
        <w:rPr>
          <w:spacing w:val="7"/>
          <w:sz w:val="20"/>
          <w:szCs w:val="20"/>
        </w:rPr>
        <w:t>数据链路</w:t>
      </w:r>
      <w:r>
        <w:rPr>
          <w:sz w:val="20"/>
          <w:szCs w:val="20"/>
        </w:rPr>
        <w:t xml:space="preserve">  </w:t>
      </w:r>
      <w:r>
        <w:rPr>
          <w:spacing w:val="10"/>
          <w:sz w:val="20"/>
          <w:szCs w:val="20"/>
        </w:rPr>
        <w:t>层),再到由多台物理设备及链路组网后互联互通(网络层),基本上解决了信息网络系统内外</w:t>
      </w:r>
      <w:r>
        <w:rPr>
          <w:sz w:val="20"/>
          <w:szCs w:val="20"/>
        </w:rPr>
        <w:t xml:space="preserve">  部和与之连接的各类终端设备之间的数据通达问题。然而，当今信息终端设备，无论是计算机、</w:t>
      </w:r>
      <w:r>
        <w:rPr>
          <w:spacing w:val="8"/>
          <w:sz w:val="20"/>
          <w:szCs w:val="20"/>
        </w:rPr>
        <w:t xml:space="preserve"> </w:t>
      </w:r>
      <w:r>
        <w:rPr>
          <w:spacing w:val="3"/>
          <w:sz w:val="20"/>
          <w:szCs w:val="20"/>
        </w:rPr>
        <w:t>服务器、手机终端，还是各类五花八门的智能终端设备，</w:t>
      </w:r>
      <w:r>
        <w:rPr>
          <w:spacing w:val="2"/>
          <w:sz w:val="20"/>
          <w:szCs w:val="20"/>
        </w:rPr>
        <w:t>大都会在同一台设备上安装和承载多</w:t>
      </w:r>
      <w:r>
        <w:rPr>
          <w:sz w:val="20"/>
          <w:szCs w:val="20"/>
        </w:rPr>
        <w:t xml:space="preserve">  </w:t>
      </w:r>
      <w:r>
        <w:rPr>
          <w:spacing w:val="3"/>
          <w:sz w:val="20"/>
          <w:szCs w:val="20"/>
        </w:rPr>
        <w:t>种类型的应用，用户往往通过同一个物理设备享用多种丰富多彩的业务应用，</w:t>
      </w:r>
      <w:r>
        <w:rPr>
          <w:spacing w:val="2"/>
          <w:sz w:val="20"/>
          <w:szCs w:val="20"/>
        </w:rPr>
        <w:t>这些机制需要通</w:t>
      </w:r>
      <w:r>
        <w:rPr>
          <w:sz w:val="20"/>
          <w:szCs w:val="20"/>
        </w:rPr>
        <w:t xml:space="preserve">  </w:t>
      </w:r>
      <w:r>
        <w:rPr>
          <w:spacing w:val="1"/>
          <w:sz w:val="20"/>
          <w:szCs w:val="20"/>
        </w:rPr>
        <w:t>过</w:t>
      </w:r>
      <w:r>
        <w:rPr>
          <w:rFonts w:ascii="Times New Roman" w:hAnsi="Times New Roman" w:eastAsia="Times New Roman" w:cs="Times New Roman"/>
          <w:sz w:val="20"/>
          <w:szCs w:val="20"/>
        </w:rPr>
        <w:t>OSI</w:t>
      </w:r>
      <w:r>
        <w:rPr>
          <w:rFonts w:ascii="Times New Roman" w:hAnsi="Times New Roman" w:eastAsia="Times New Roman" w:cs="Times New Roman"/>
          <w:spacing w:val="15"/>
          <w:sz w:val="20"/>
          <w:szCs w:val="20"/>
        </w:rPr>
        <w:t xml:space="preserve"> </w:t>
      </w:r>
      <w:r>
        <w:rPr>
          <w:spacing w:val="1"/>
          <w:sz w:val="20"/>
          <w:szCs w:val="20"/>
        </w:rPr>
        <w:t>第四到第七层来实现。为了便于理解，先说人们</w:t>
      </w:r>
      <w:r>
        <w:rPr>
          <w:sz w:val="20"/>
          <w:szCs w:val="20"/>
        </w:rPr>
        <w:t>感受最为密切的第七层。</w:t>
      </w:r>
    </w:p>
    <w:p w14:paraId="539F72E9">
      <w:pPr>
        <w:pStyle w:val="2"/>
        <w:spacing w:before="18" w:line="281" w:lineRule="auto"/>
        <w:ind w:left="299" w:right="71" w:firstLine="400"/>
        <w:jc w:val="both"/>
        <w:rPr>
          <w:sz w:val="20"/>
          <w:szCs w:val="20"/>
        </w:rPr>
      </w:pPr>
      <w:r>
        <w:rPr>
          <w:spacing w:val="-6"/>
          <w:sz w:val="20"/>
          <w:szCs w:val="20"/>
        </w:rPr>
        <w:t>第七层：应用层(Application</w:t>
      </w:r>
      <w:r>
        <w:rPr>
          <w:spacing w:val="-7"/>
          <w:sz w:val="20"/>
          <w:szCs w:val="20"/>
        </w:rPr>
        <w:t xml:space="preserve"> Layer)。应用层是OSI</w:t>
      </w:r>
      <w:r>
        <w:rPr>
          <w:spacing w:val="-33"/>
          <w:sz w:val="20"/>
          <w:szCs w:val="20"/>
        </w:rPr>
        <w:t xml:space="preserve"> </w:t>
      </w:r>
      <w:r>
        <w:rPr>
          <w:spacing w:val="-7"/>
          <w:sz w:val="20"/>
          <w:szCs w:val="20"/>
        </w:rPr>
        <w:t>协议的最顶层，直接向用户提供信息通信</w:t>
      </w:r>
      <w:r>
        <w:rPr>
          <w:sz w:val="20"/>
          <w:szCs w:val="20"/>
        </w:rPr>
        <w:t xml:space="preserve"> </w:t>
      </w:r>
      <w:r>
        <w:rPr>
          <w:spacing w:val="-2"/>
          <w:sz w:val="20"/>
          <w:szCs w:val="20"/>
        </w:rPr>
        <w:t>服务，信息通信服务五花八门，例如常见的互联网网站访问服务(万维网)、邮件服务、视频会议</w:t>
      </w:r>
      <w:r>
        <w:rPr>
          <w:spacing w:val="4"/>
          <w:sz w:val="20"/>
          <w:szCs w:val="20"/>
        </w:rPr>
        <w:t xml:space="preserve"> </w:t>
      </w:r>
      <w:r>
        <w:rPr>
          <w:spacing w:val="-7"/>
          <w:sz w:val="20"/>
          <w:szCs w:val="20"/>
        </w:rPr>
        <w:t>服务、游戏服务等，都会对应不同的应用程序和相应的服务协议，万维网服务使用的就是</w:t>
      </w:r>
      <w:r>
        <w:rPr>
          <w:rFonts w:ascii="Times New Roman" w:hAnsi="Times New Roman" w:eastAsia="Times New Roman" w:cs="Times New Roman"/>
          <w:spacing w:val="-8"/>
          <w:sz w:val="20"/>
          <w:szCs w:val="20"/>
        </w:rPr>
        <w:t>HTTP</w:t>
      </w:r>
      <w:r>
        <w:rPr>
          <w:spacing w:val="-8"/>
          <w:sz w:val="20"/>
          <w:szCs w:val="20"/>
        </w:rPr>
        <w:t>(</w:t>
      </w:r>
      <w:r>
        <w:rPr>
          <w:spacing w:val="-42"/>
          <w:sz w:val="20"/>
          <w:szCs w:val="20"/>
        </w:rPr>
        <w:t xml:space="preserve"> </w:t>
      </w:r>
      <w:r>
        <w:rPr>
          <w:spacing w:val="-8"/>
          <w:sz w:val="20"/>
          <w:szCs w:val="20"/>
        </w:rPr>
        <w:t>超</w:t>
      </w:r>
      <w:r>
        <w:rPr>
          <w:sz w:val="20"/>
          <w:szCs w:val="20"/>
        </w:rPr>
        <w:t xml:space="preserve"> </w:t>
      </w:r>
      <w:r>
        <w:rPr>
          <w:spacing w:val="-6"/>
          <w:sz w:val="20"/>
          <w:szCs w:val="20"/>
        </w:rPr>
        <w:t>文本传输)协议，诸如此类的应用程序和对应的应用服务协议就是在第七层进行表现和规范的。</w:t>
      </w:r>
    </w:p>
    <w:p w14:paraId="38D5CB77">
      <w:pPr>
        <w:pStyle w:val="2"/>
        <w:spacing w:before="15" w:line="276" w:lineRule="auto"/>
        <w:ind w:left="299" w:right="71" w:firstLine="400"/>
        <w:jc w:val="both"/>
        <w:rPr>
          <w:sz w:val="20"/>
          <w:szCs w:val="20"/>
        </w:rPr>
      </w:pPr>
      <w:r>
        <w:rPr>
          <w:spacing w:val="-1"/>
          <w:sz w:val="20"/>
          <w:szCs w:val="20"/>
        </w:rPr>
        <w:t>第六层：表示层</w:t>
      </w:r>
      <w:r>
        <w:rPr>
          <w:spacing w:val="-42"/>
          <w:sz w:val="20"/>
          <w:szCs w:val="20"/>
        </w:rPr>
        <w:t xml:space="preserve"> </w:t>
      </w:r>
      <w:r>
        <w:rPr>
          <w:rFonts w:ascii="Times New Roman" w:hAnsi="Times New Roman" w:eastAsia="Times New Roman" w:cs="Times New Roman"/>
          <w:spacing w:val="-1"/>
          <w:sz w:val="20"/>
          <w:szCs w:val="20"/>
        </w:rPr>
        <w:t xml:space="preserve">(Presentation </w:t>
      </w:r>
      <w:r>
        <w:rPr>
          <w:rFonts w:ascii="Times New Roman" w:hAnsi="Times New Roman" w:eastAsia="Times New Roman" w:cs="Times New Roman"/>
          <w:spacing w:val="-2"/>
          <w:sz w:val="20"/>
          <w:szCs w:val="20"/>
        </w:rPr>
        <w:t xml:space="preserve">  Layer)</w:t>
      </w:r>
      <w:r>
        <w:rPr>
          <w:spacing w:val="-2"/>
          <w:sz w:val="20"/>
          <w:szCs w:val="20"/>
        </w:rPr>
        <w:t>。应用层要表述的应用信息和应用本身紧密相关、多种</w:t>
      </w:r>
      <w:r>
        <w:rPr>
          <w:sz w:val="20"/>
          <w:szCs w:val="20"/>
        </w:rPr>
        <w:t xml:space="preserve"> </w:t>
      </w:r>
      <w:r>
        <w:rPr>
          <w:spacing w:val="1"/>
          <w:sz w:val="20"/>
          <w:szCs w:val="20"/>
        </w:rPr>
        <w:t>多样，信息发布/发送端与信息接收端的技术实现很难</w:t>
      </w:r>
      <w:r>
        <w:rPr>
          <w:sz w:val="20"/>
          <w:szCs w:val="20"/>
        </w:rPr>
        <w:t xml:space="preserve">完全一致，因此需要一种信息数据转换的 </w:t>
      </w:r>
      <w:r>
        <w:rPr>
          <w:spacing w:val="-1"/>
          <w:sz w:val="20"/>
          <w:szCs w:val="20"/>
        </w:rPr>
        <w:t>机制，这种机制被OSI</w:t>
      </w:r>
      <w:r>
        <w:rPr>
          <w:spacing w:val="-23"/>
          <w:sz w:val="20"/>
          <w:szCs w:val="20"/>
        </w:rPr>
        <w:t xml:space="preserve"> </w:t>
      </w:r>
      <w:r>
        <w:rPr>
          <w:spacing w:val="-1"/>
          <w:sz w:val="20"/>
          <w:szCs w:val="20"/>
        </w:rPr>
        <w:t>定义为信息数据的表示方法。表示</w:t>
      </w:r>
      <w:r>
        <w:rPr>
          <w:spacing w:val="-2"/>
          <w:sz w:val="20"/>
          <w:szCs w:val="20"/>
        </w:rPr>
        <w:t>层定义若干信息数据的表示方法，向应</w:t>
      </w:r>
      <w:r>
        <w:rPr>
          <w:sz w:val="20"/>
          <w:szCs w:val="20"/>
        </w:rPr>
        <w:t xml:space="preserve"> </w:t>
      </w:r>
      <w:r>
        <w:rPr>
          <w:spacing w:val="3"/>
          <w:sz w:val="20"/>
          <w:szCs w:val="20"/>
        </w:rPr>
        <w:t>用层的具体应用程序(计算机学科中称其为“实体”,既可能是一个具体应用程</w:t>
      </w:r>
      <w:r>
        <w:rPr>
          <w:spacing w:val="2"/>
          <w:sz w:val="20"/>
          <w:szCs w:val="20"/>
        </w:rPr>
        <w:t>序进程，也可能</w:t>
      </w:r>
      <w:r>
        <w:rPr>
          <w:sz w:val="20"/>
          <w:szCs w:val="20"/>
        </w:rPr>
        <w:t xml:space="preserve"> </w:t>
      </w:r>
      <w:r>
        <w:rPr>
          <w:spacing w:val="1"/>
          <w:sz w:val="20"/>
          <w:szCs w:val="20"/>
        </w:rPr>
        <w:t>是一个特定的硬件)提供一系列信息数据转换和传输服</w:t>
      </w:r>
      <w:r>
        <w:rPr>
          <w:sz w:val="20"/>
          <w:szCs w:val="20"/>
        </w:rPr>
        <w:t xml:space="preserve">务，以使两个不同应用系统可以用共同的 </w:t>
      </w:r>
      <w:r>
        <w:rPr>
          <w:spacing w:val="1"/>
          <w:sz w:val="20"/>
          <w:szCs w:val="20"/>
        </w:rPr>
        <w:t>表示方法/语言进行通信。表示层的典型服务包括数据翻译(例如信息编解码、加密</w:t>
      </w:r>
      <w:r>
        <w:rPr>
          <w:sz w:val="20"/>
          <w:szCs w:val="20"/>
        </w:rPr>
        <w:t xml:space="preserve">解密等)、格 </w:t>
      </w:r>
      <w:r>
        <w:rPr>
          <w:spacing w:val="3"/>
          <w:sz w:val="20"/>
          <w:szCs w:val="20"/>
        </w:rPr>
        <w:t>式化(例如数据格式转换、数据压缩等)、语法选择(语法的定义及不同语言之间的翻译)等。</w:t>
      </w:r>
    </w:p>
    <w:p w14:paraId="14687AC5">
      <w:pPr>
        <w:pStyle w:val="2"/>
        <w:spacing w:before="78" w:line="260" w:lineRule="auto"/>
        <w:ind w:left="299" w:firstLine="400"/>
        <w:jc w:val="both"/>
        <w:rPr>
          <w:sz w:val="20"/>
          <w:szCs w:val="20"/>
        </w:rPr>
      </w:pPr>
      <w:r>
        <w:rPr>
          <w:spacing w:val="-1"/>
          <w:sz w:val="20"/>
          <w:szCs w:val="20"/>
        </w:rPr>
        <w:t>第五层：会话层</w:t>
      </w:r>
      <w:r>
        <w:rPr>
          <w:spacing w:val="-42"/>
          <w:sz w:val="20"/>
          <w:szCs w:val="20"/>
        </w:rPr>
        <w:t xml:space="preserve"> </w:t>
      </w:r>
      <w:r>
        <w:rPr>
          <w:rFonts w:ascii="Times New Roman" w:hAnsi="Times New Roman" w:eastAsia="Times New Roman" w:cs="Times New Roman"/>
          <w:spacing w:val="-1"/>
          <w:sz w:val="20"/>
          <w:szCs w:val="20"/>
        </w:rPr>
        <w:t>(Session    Layer)</w:t>
      </w:r>
      <w:r>
        <w:rPr>
          <w:spacing w:val="-1"/>
          <w:sz w:val="20"/>
          <w:szCs w:val="20"/>
        </w:rPr>
        <w:t>。会话层的基本功能是向两个表示层实</w:t>
      </w:r>
      <w:r>
        <w:rPr>
          <w:spacing w:val="-2"/>
          <w:sz w:val="20"/>
          <w:szCs w:val="20"/>
        </w:rPr>
        <w:t>体提供建立、管理、</w:t>
      </w:r>
      <w:r>
        <w:rPr>
          <w:sz w:val="20"/>
          <w:szCs w:val="20"/>
        </w:rPr>
        <w:t xml:space="preserve"> </w:t>
      </w:r>
      <w:r>
        <w:rPr>
          <w:spacing w:val="5"/>
          <w:sz w:val="20"/>
          <w:szCs w:val="20"/>
        </w:rPr>
        <w:t>拆除和使用连接的方法，这种表示层之间的连接就叫作会话</w:t>
      </w:r>
      <w:r>
        <w:rPr>
          <w:spacing w:val="-50"/>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Session</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3"/>
          <w:sz w:val="20"/>
          <w:szCs w:val="20"/>
        </w:rPr>
        <w:t xml:space="preserve"> </w:t>
      </w:r>
      <w:r>
        <w:rPr>
          <w:spacing w:val="5"/>
          <w:sz w:val="20"/>
          <w:szCs w:val="20"/>
        </w:rPr>
        <w:t>。 在网络中传输数据之</w:t>
      </w:r>
    </w:p>
    <w:p w14:paraId="1F4CAF8F">
      <w:pPr>
        <w:spacing w:line="260" w:lineRule="auto"/>
        <w:rPr>
          <w:sz w:val="20"/>
          <w:szCs w:val="20"/>
        </w:rPr>
        <w:sectPr>
          <w:pgSz w:w="10310" w:h="13410"/>
          <w:pgMar w:top="400" w:right="1059" w:bottom="400" w:left="540" w:header="0" w:footer="0" w:gutter="0"/>
          <w:cols w:space="720" w:num="1"/>
        </w:sectPr>
      </w:pPr>
    </w:p>
    <w:p w14:paraId="74BB0ED5">
      <w:pPr>
        <w:pStyle w:val="2"/>
        <w:spacing w:before="76" w:line="219" w:lineRule="auto"/>
        <w:jc w:val="right"/>
        <w:rPr>
          <w:rFonts w:ascii="Times New Roman" w:hAnsi="Times New Roman" w:eastAsia="Times New Roman" w:cs="Times New Roman"/>
          <w:sz w:val="19"/>
          <w:szCs w:val="19"/>
        </w:rPr>
      </w:pPr>
      <w:r>
        <w:rPr>
          <w:spacing w:val="4"/>
          <w:sz w:val="19"/>
          <w:szCs w:val="19"/>
        </w:rPr>
        <w:t>第3章</w:t>
      </w:r>
      <w:r>
        <w:rPr>
          <w:spacing w:val="36"/>
          <w:sz w:val="19"/>
          <w:szCs w:val="19"/>
        </w:rPr>
        <w:t xml:space="preserve"> </w:t>
      </w:r>
      <w:r>
        <w:rPr>
          <w:spacing w:val="4"/>
          <w:sz w:val="19"/>
          <w:szCs w:val="19"/>
        </w:rPr>
        <w:t>信息网络系统</w:t>
      </w:r>
      <w:r>
        <w:rPr>
          <w:spacing w:val="15"/>
          <w:sz w:val="19"/>
          <w:szCs w:val="19"/>
        </w:rPr>
        <w:t xml:space="preserve">      </w:t>
      </w:r>
      <w:r>
        <w:rPr>
          <w:rFonts w:ascii="Times New Roman" w:hAnsi="Times New Roman" w:eastAsia="Times New Roman" w:cs="Times New Roman"/>
          <w:spacing w:val="4"/>
          <w:sz w:val="19"/>
          <w:szCs w:val="19"/>
        </w:rPr>
        <w:t>95</w:t>
      </w:r>
    </w:p>
    <w:p w14:paraId="54E56954">
      <w:pPr>
        <w:spacing w:line="300" w:lineRule="auto"/>
        <w:rPr>
          <w:rFonts w:ascii="Arial"/>
          <w:sz w:val="21"/>
        </w:rPr>
      </w:pPr>
    </w:p>
    <w:p w14:paraId="06A2B19E">
      <w:pPr>
        <w:pStyle w:val="2"/>
        <w:spacing w:before="62" w:line="219" w:lineRule="auto"/>
        <w:rPr>
          <w:sz w:val="19"/>
          <w:szCs w:val="19"/>
        </w:rPr>
      </w:pPr>
      <w:r>
        <w:rPr>
          <w:spacing w:val="8"/>
          <w:sz w:val="19"/>
          <w:szCs w:val="19"/>
        </w:rPr>
        <w:t>前，必须先建立会话，会话层确保正确建立和维护这些会话。</w:t>
      </w:r>
    </w:p>
    <w:p w14:paraId="6DFC8865">
      <w:pPr>
        <w:pStyle w:val="2"/>
        <w:spacing w:before="63" w:line="308" w:lineRule="auto"/>
        <w:ind w:right="284" w:firstLine="419"/>
        <w:jc w:val="both"/>
        <w:rPr>
          <w:sz w:val="19"/>
          <w:szCs w:val="19"/>
        </w:rPr>
      </w:pPr>
      <w:r>
        <w:rPr>
          <w:spacing w:val="17"/>
          <w:sz w:val="19"/>
          <w:szCs w:val="19"/>
        </w:rPr>
        <w:t>第四层：传输层</w:t>
      </w:r>
      <w:r>
        <w:rPr>
          <w:spacing w:val="-43"/>
          <w:sz w:val="19"/>
          <w:szCs w:val="19"/>
        </w:rPr>
        <w:t xml:space="preserve"> </w:t>
      </w:r>
      <w:r>
        <w:rPr>
          <w:rFonts w:ascii="Times New Roman" w:hAnsi="Times New Roman" w:eastAsia="Times New Roman" w:cs="Times New Roman"/>
          <w:spacing w:val="17"/>
          <w:sz w:val="19"/>
          <w:szCs w:val="19"/>
        </w:rPr>
        <w:t>(</w:t>
      </w:r>
      <w:r>
        <w:rPr>
          <w:rFonts w:ascii="Times New Roman" w:hAnsi="Times New Roman" w:eastAsia="Times New Roman" w:cs="Times New Roman"/>
          <w:sz w:val="19"/>
          <w:szCs w:val="19"/>
        </w:rPr>
        <w:t>Transport</w:t>
      </w:r>
      <w:r>
        <w:rPr>
          <w:rFonts w:ascii="Times New Roman" w:hAnsi="Times New Roman" w:eastAsia="Times New Roman" w:cs="Times New Roman"/>
          <w:spacing w:val="17"/>
          <w:sz w:val="19"/>
          <w:szCs w:val="19"/>
        </w:rPr>
        <w:t xml:space="preserve">     </w:t>
      </w:r>
      <w:r>
        <w:rPr>
          <w:rFonts w:ascii="Times New Roman" w:hAnsi="Times New Roman" w:eastAsia="Times New Roman" w:cs="Times New Roman"/>
          <w:sz w:val="19"/>
          <w:szCs w:val="19"/>
        </w:rPr>
        <w:t>Layer</w:t>
      </w:r>
      <w:r>
        <w:rPr>
          <w:rFonts w:ascii="Times New Roman" w:hAnsi="Times New Roman" w:eastAsia="Times New Roman" w:cs="Times New Roman"/>
          <w:spacing w:val="17"/>
          <w:sz w:val="19"/>
          <w:szCs w:val="19"/>
        </w:rPr>
        <w:t>)</w:t>
      </w:r>
      <w:r>
        <w:rPr>
          <w:spacing w:val="17"/>
          <w:sz w:val="19"/>
          <w:szCs w:val="19"/>
        </w:rPr>
        <w:t>。网络层解决的是由多台设备或多个子网组成的网状</w:t>
      </w:r>
      <w:r>
        <w:rPr>
          <w:sz w:val="19"/>
          <w:szCs w:val="19"/>
        </w:rPr>
        <w:t xml:space="preserve"> </w:t>
      </w:r>
      <w:r>
        <w:rPr>
          <w:spacing w:val="13"/>
          <w:sz w:val="19"/>
          <w:szCs w:val="19"/>
        </w:rPr>
        <w:t>连接设备节点之间互联互通的问题，传输层则是为会话层提供建立可靠的端到端的透明数据传</w:t>
      </w:r>
      <w:r>
        <w:rPr>
          <w:spacing w:val="5"/>
          <w:sz w:val="19"/>
          <w:szCs w:val="19"/>
        </w:rPr>
        <w:t xml:space="preserve"> </w:t>
      </w:r>
      <w:r>
        <w:rPr>
          <w:spacing w:val="14"/>
          <w:sz w:val="19"/>
          <w:szCs w:val="19"/>
        </w:rPr>
        <w:t>输机制，根据发送端和接收端的地址定义一个跨网络</w:t>
      </w:r>
      <w:r>
        <w:rPr>
          <w:spacing w:val="13"/>
          <w:sz w:val="19"/>
          <w:szCs w:val="19"/>
        </w:rPr>
        <w:t>的多个设备甚至是跨多个网络的逻辑连接</w:t>
      </w:r>
      <w:r>
        <w:rPr>
          <w:sz w:val="19"/>
          <w:szCs w:val="19"/>
        </w:rPr>
        <w:t xml:space="preserve"> </w:t>
      </w:r>
      <w:r>
        <w:rPr>
          <w:spacing w:val="12"/>
          <w:sz w:val="19"/>
          <w:szCs w:val="19"/>
        </w:rPr>
        <w:t>(并非物理层所处理的物理连接),同时完成发送端和接收端的</w:t>
      </w:r>
      <w:r>
        <w:rPr>
          <w:spacing w:val="11"/>
          <w:sz w:val="19"/>
          <w:szCs w:val="19"/>
        </w:rPr>
        <w:t>差错纠正和流量控制功能。</w:t>
      </w:r>
    </w:p>
    <w:p w14:paraId="4116EBD9">
      <w:pPr>
        <w:spacing w:line="255" w:lineRule="auto"/>
        <w:rPr>
          <w:rFonts w:ascii="Arial"/>
          <w:sz w:val="21"/>
        </w:rPr>
      </w:pPr>
    </w:p>
    <w:p w14:paraId="6D493C4D">
      <w:pPr>
        <w:pStyle w:val="2"/>
        <w:spacing w:before="95" w:line="221" w:lineRule="auto"/>
        <w:ind w:left="4"/>
        <w:rPr>
          <w:rFonts w:ascii="黑体" w:hAnsi="黑体" w:eastAsia="黑体" w:cs="黑体"/>
          <w:sz w:val="29"/>
          <w:szCs w:val="29"/>
        </w:rPr>
      </w:pPr>
      <w:bookmarkStart w:id="530" w:name="bookmark517"/>
      <w:bookmarkEnd w:id="530"/>
      <w:r>
        <w:rPr>
          <w:b/>
          <w:bCs/>
          <w:color w:val="0061E0"/>
          <w:spacing w:val="-4"/>
          <w:sz w:val="29"/>
          <w:szCs w:val="29"/>
        </w:rPr>
        <w:t>3.2</w:t>
      </w:r>
      <w:r>
        <w:rPr>
          <w:color w:val="0061E0"/>
          <w:spacing w:val="140"/>
          <w:sz w:val="29"/>
          <w:szCs w:val="29"/>
        </w:rPr>
        <w:t xml:space="preserve"> </w:t>
      </w:r>
      <w:r>
        <w:rPr>
          <w:b/>
          <w:bCs/>
          <w:color w:val="0061E0"/>
          <w:spacing w:val="-4"/>
          <w:sz w:val="29"/>
          <w:szCs w:val="29"/>
        </w:rPr>
        <w:t>TCP/IP</w:t>
      </w:r>
      <w:r>
        <w:rPr>
          <w:rFonts w:ascii="黑体" w:hAnsi="黑体" w:eastAsia="黑体" w:cs="黑体"/>
          <w:b/>
          <w:bCs/>
          <w:color w:val="0061E0"/>
          <w:spacing w:val="-4"/>
          <w:sz w:val="29"/>
          <w:szCs w:val="29"/>
        </w:rPr>
        <w:t>协议族</w:t>
      </w:r>
    </w:p>
    <w:p w14:paraId="5FE7833D">
      <w:pPr>
        <w:pStyle w:val="2"/>
        <w:spacing w:before="263" w:line="303" w:lineRule="auto"/>
        <w:ind w:right="277" w:firstLine="419"/>
        <w:rPr>
          <w:sz w:val="19"/>
          <w:szCs w:val="19"/>
        </w:rPr>
      </w:pPr>
      <w:r>
        <w:rPr>
          <w:spacing w:val="2"/>
          <w:sz w:val="19"/>
          <w:szCs w:val="19"/>
        </w:rPr>
        <w:t>传输控制/网络协议(</w:t>
      </w:r>
      <w:r>
        <w:rPr>
          <w:sz w:val="19"/>
          <w:szCs w:val="19"/>
        </w:rPr>
        <w:t>Transmission</w:t>
      </w:r>
      <w:r>
        <w:rPr>
          <w:spacing w:val="2"/>
          <w:sz w:val="19"/>
          <w:szCs w:val="19"/>
        </w:rPr>
        <w:t xml:space="preserve"> </w:t>
      </w:r>
      <w:r>
        <w:rPr>
          <w:sz w:val="19"/>
          <w:szCs w:val="19"/>
        </w:rPr>
        <w:t>Control</w:t>
      </w:r>
      <w:r>
        <w:rPr>
          <w:spacing w:val="2"/>
          <w:sz w:val="19"/>
          <w:szCs w:val="19"/>
        </w:rPr>
        <w:t xml:space="preserve"> </w:t>
      </w:r>
      <w:r>
        <w:rPr>
          <w:sz w:val="19"/>
          <w:szCs w:val="19"/>
        </w:rPr>
        <w:t>Protocol</w:t>
      </w:r>
      <w:r>
        <w:rPr>
          <w:spacing w:val="2"/>
          <w:sz w:val="19"/>
          <w:szCs w:val="19"/>
        </w:rPr>
        <w:t>/</w:t>
      </w:r>
      <w:r>
        <w:rPr>
          <w:sz w:val="19"/>
          <w:szCs w:val="19"/>
        </w:rPr>
        <w:t>Internet</w:t>
      </w:r>
      <w:r>
        <w:rPr>
          <w:spacing w:val="2"/>
          <w:sz w:val="19"/>
          <w:szCs w:val="19"/>
        </w:rPr>
        <w:t xml:space="preserve"> </w:t>
      </w:r>
      <w:r>
        <w:rPr>
          <w:sz w:val="19"/>
          <w:szCs w:val="19"/>
        </w:rPr>
        <w:t>Protocol</w:t>
      </w:r>
      <w:r>
        <w:rPr>
          <w:spacing w:val="2"/>
          <w:sz w:val="19"/>
          <w:szCs w:val="19"/>
        </w:rPr>
        <w:t>,</w:t>
      </w:r>
      <w:r>
        <w:rPr>
          <w:sz w:val="19"/>
          <w:szCs w:val="19"/>
        </w:rPr>
        <w:t>TCP</w:t>
      </w:r>
      <w:r>
        <w:rPr>
          <w:spacing w:val="2"/>
          <w:sz w:val="19"/>
          <w:szCs w:val="19"/>
        </w:rPr>
        <w:t>/</w:t>
      </w:r>
      <w:r>
        <w:rPr>
          <w:sz w:val="19"/>
          <w:szCs w:val="19"/>
        </w:rPr>
        <w:t>IP</w:t>
      </w:r>
      <w:r>
        <w:rPr>
          <w:spacing w:val="2"/>
          <w:sz w:val="19"/>
          <w:szCs w:val="19"/>
        </w:rPr>
        <w:t>)是现代信息</w:t>
      </w:r>
      <w:r>
        <w:rPr>
          <w:spacing w:val="3"/>
          <w:sz w:val="19"/>
          <w:szCs w:val="19"/>
        </w:rPr>
        <w:t xml:space="preserve"> </w:t>
      </w:r>
      <w:r>
        <w:rPr>
          <w:spacing w:val="13"/>
          <w:sz w:val="19"/>
          <w:szCs w:val="19"/>
        </w:rPr>
        <w:t>网络系统中最基础和通用的协议，</w:t>
      </w:r>
      <w:r>
        <w:rPr>
          <w:rFonts w:ascii="Times New Roman" w:hAnsi="Times New Roman" w:eastAsia="Times New Roman" w:cs="Times New Roman"/>
          <w:sz w:val="19"/>
          <w:szCs w:val="19"/>
        </w:rPr>
        <w:t>TCP</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IP</w:t>
      </w:r>
      <w:r>
        <w:rPr>
          <w:rFonts w:ascii="Times New Roman" w:hAnsi="Times New Roman" w:eastAsia="Times New Roman" w:cs="Times New Roman"/>
          <w:spacing w:val="13"/>
          <w:sz w:val="19"/>
          <w:szCs w:val="19"/>
        </w:rPr>
        <w:t xml:space="preserve">  </w:t>
      </w:r>
      <w:r>
        <w:rPr>
          <w:spacing w:val="13"/>
          <w:sz w:val="19"/>
          <w:szCs w:val="19"/>
        </w:rPr>
        <w:t>由一系列协议组成，由于</w:t>
      </w:r>
      <w:r>
        <w:rPr>
          <w:rFonts w:ascii="Times New Roman" w:hAnsi="Times New Roman" w:eastAsia="Times New Roman" w:cs="Times New Roman"/>
          <w:sz w:val="19"/>
          <w:szCs w:val="19"/>
        </w:rPr>
        <w:t>TCP</w:t>
      </w:r>
      <w:r>
        <w:rPr>
          <w:rFonts w:ascii="Times New Roman" w:hAnsi="Times New Roman" w:eastAsia="Times New Roman" w:cs="Times New Roman"/>
          <w:spacing w:val="40"/>
          <w:w w:val="101"/>
          <w:sz w:val="19"/>
          <w:szCs w:val="19"/>
        </w:rPr>
        <w:t xml:space="preserve"> </w:t>
      </w:r>
      <w:r>
        <w:rPr>
          <w:spacing w:val="13"/>
          <w:sz w:val="19"/>
          <w:szCs w:val="19"/>
        </w:rPr>
        <w:t>和</w:t>
      </w:r>
      <w:r>
        <w:rPr>
          <w:spacing w:val="-27"/>
          <w:sz w:val="19"/>
          <w:szCs w:val="19"/>
        </w:rPr>
        <w:t xml:space="preserve"> </w:t>
      </w:r>
      <w:r>
        <w:rPr>
          <w:rFonts w:ascii="Times New Roman" w:hAnsi="Times New Roman" w:eastAsia="Times New Roman" w:cs="Times New Roman"/>
          <w:sz w:val="19"/>
          <w:szCs w:val="19"/>
        </w:rPr>
        <w:t>IP</w:t>
      </w:r>
      <w:r>
        <w:rPr>
          <w:rFonts w:ascii="Times New Roman" w:hAnsi="Times New Roman" w:eastAsia="Times New Roman" w:cs="Times New Roman"/>
          <w:spacing w:val="28"/>
          <w:w w:val="101"/>
          <w:sz w:val="19"/>
          <w:szCs w:val="19"/>
        </w:rPr>
        <w:t xml:space="preserve"> </w:t>
      </w:r>
      <w:r>
        <w:rPr>
          <w:spacing w:val="13"/>
          <w:sz w:val="19"/>
          <w:szCs w:val="19"/>
        </w:rPr>
        <w:t>是其中最重</w:t>
      </w:r>
      <w:r>
        <w:rPr>
          <w:spacing w:val="12"/>
          <w:sz w:val="19"/>
          <w:szCs w:val="19"/>
        </w:rPr>
        <w:t>要的</w:t>
      </w:r>
      <w:r>
        <w:rPr>
          <w:sz w:val="19"/>
          <w:szCs w:val="19"/>
        </w:rPr>
        <w:t xml:space="preserve"> </w:t>
      </w:r>
      <w:r>
        <w:rPr>
          <w:spacing w:val="9"/>
          <w:sz w:val="19"/>
          <w:szCs w:val="19"/>
        </w:rPr>
        <w:t>两个协议，所以一般将相关的系列协议统称为</w:t>
      </w:r>
      <w:r>
        <w:rPr>
          <w:sz w:val="19"/>
          <w:szCs w:val="19"/>
        </w:rPr>
        <w:t>TCP</w:t>
      </w:r>
      <w:r>
        <w:rPr>
          <w:spacing w:val="9"/>
          <w:sz w:val="19"/>
          <w:szCs w:val="19"/>
        </w:rPr>
        <w:t>/</w:t>
      </w:r>
      <w:r>
        <w:rPr>
          <w:sz w:val="19"/>
          <w:szCs w:val="19"/>
        </w:rPr>
        <w:t>IP</w:t>
      </w:r>
      <w:r>
        <w:rPr>
          <w:spacing w:val="9"/>
          <w:sz w:val="19"/>
          <w:szCs w:val="19"/>
        </w:rPr>
        <w:t xml:space="preserve"> 协议族。</w:t>
      </w:r>
    </w:p>
    <w:p w14:paraId="0EE0304D">
      <w:pPr>
        <w:pStyle w:val="2"/>
        <w:spacing w:before="2" w:line="300" w:lineRule="auto"/>
        <w:ind w:right="262" w:firstLine="419"/>
        <w:rPr>
          <w:sz w:val="19"/>
          <w:szCs w:val="19"/>
        </w:rPr>
      </w:pPr>
      <w:r>
        <w:rPr>
          <w:rFonts w:ascii="Times New Roman" w:hAnsi="Times New Roman" w:eastAsia="Times New Roman" w:cs="Times New Roman"/>
          <w:sz w:val="19"/>
          <w:szCs w:val="19"/>
        </w:rPr>
        <w:t>TCP</w:t>
      </w:r>
      <w:r>
        <w:rPr>
          <w:rFonts w:ascii="Times New Roman" w:hAnsi="Times New Roman" w:eastAsia="Times New Roman" w:cs="Times New Roman"/>
          <w:spacing w:val="22"/>
          <w:sz w:val="19"/>
          <w:szCs w:val="19"/>
        </w:rPr>
        <w:t>/</w:t>
      </w:r>
      <w:r>
        <w:rPr>
          <w:rFonts w:ascii="Times New Roman" w:hAnsi="Times New Roman" w:eastAsia="Times New Roman" w:cs="Times New Roman"/>
          <w:sz w:val="19"/>
          <w:szCs w:val="19"/>
        </w:rPr>
        <w:t>IP</w:t>
      </w:r>
      <w:r>
        <w:rPr>
          <w:rFonts w:ascii="Times New Roman" w:hAnsi="Times New Roman" w:eastAsia="Times New Roman" w:cs="Times New Roman"/>
          <w:spacing w:val="43"/>
          <w:sz w:val="19"/>
          <w:szCs w:val="19"/>
        </w:rPr>
        <w:t xml:space="preserve"> </w:t>
      </w:r>
      <w:r>
        <w:rPr>
          <w:spacing w:val="22"/>
          <w:sz w:val="19"/>
          <w:szCs w:val="19"/>
        </w:rPr>
        <w:t>应用层的主要协议有网络远程访问协议</w:t>
      </w:r>
      <w:r>
        <w:rPr>
          <w:spacing w:val="-34"/>
          <w:sz w:val="19"/>
          <w:szCs w:val="19"/>
        </w:rPr>
        <w:t xml:space="preserve"> </w:t>
      </w:r>
      <w:r>
        <w:rPr>
          <w:rFonts w:ascii="Times New Roman" w:hAnsi="Times New Roman" w:eastAsia="Times New Roman" w:cs="Times New Roman"/>
          <w:spacing w:val="22"/>
          <w:sz w:val="19"/>
          <w:szCs w:val="19"/>
        </w:rPr>
        <w:t>(</w:t>
      </w:r>
      <w:r>
        <w:rPr>
          <w:rFonts w:ascii="Times New Roman" w:hAnsi="Times New Roman" w:eastAsia="Times New Roman" w:cs="Times New Roman"/>
          <w:sz w:val="19"/>
          <w:szCs w:val="19"/>
        </w:rPr>
        <w:t>Telnet</w:t>
      </w:r>
      <w:r>
        <w:rPr>
          <w:rFonts w:ascii="Times New Roman" w:hAnsi="Times New Roman" w:eastAsia="Times New Roman" w:cs="Times New Roman"/>
          <w:spacing w:val="22"/>
          <w:sz w:val="19"/>
          <w:szCs w:val="19"/>
        </w:rPr>
        <w:t>)</w:t>
      </w:r>
      <w:r>
        <w:rPr>
          <w:rFonts w:ascii="Times New Roman" w:hAnsi="Times New Roman" w:eastAsia="Times New Roman" w:cs="Times New Roman"/>
          <w:spacing w:val="-27"/>
          <w:sz w:val="19"/>
          <w:szCs w:val="19"/>
        </w:rPr>
        <w:t xml:space="preserve"> </w:t>
      </w:r>
      <w:r>
        <w:rPr>
          <w:spacing w:val="22"/>
          <w:sz w:val="19"/>
          <w:szCs w:val="19"/>
        </w:rPr>
        <w:t>、</w:t>
      </w:r>
      <w:r>
        <w:rPr>
          <w:spacing w:val="62"/>
          <w:sz w:val="19"/>
          <w:szCs w:val="19"/>
        </w:rPr>
        <w:t xml:space="preserve"> </w:t>
      </w:r>
      <w:r>
        <w:rPr>
          <w:spacing w:val="22"/>
          <w:sz w:val="19"/>
          <w:szCs w:val="19"/>
        </w:rPr>
        <w:t>文件传输协议</w:t>
      </w:r>
      <w:r>
        <w:rPr>
          <w:spacing w:val="-44"/>
          <w:sz w:val="19"/>
          <w:szCs w:val="19"/>
        </w:rPr>
        <w:t xml:space="preserve"> </w:t>
      </w:r>
      <w:r>
        <w:rPr>
          <w:rFonts w:ascii="Times New Roman" w:hAnsi="Times New Roman" w:eastAsia="Times New Roman" w:cs="Times New Roman"/>
          <w:spacing w:val="22"/>
          <w:sz w:val="19"/>
          <w:szCs w:val="19"/>
        </w:rPr>
        <w:t>(</w:t>
      </w:r>
      <w:r>
        <w:rPr>
          <w:rFonts w:ascii="Times New Roman" w:hAnsi="Times New Roman" w:eastAsia="Times New Roman" w:cs="Times New Roman"/>
          <w:sz w:val="19"/>
          <w:szCs w:val="19"/>
        </w:rPr>
        <w:t>File</w:t>
      </w:r>
      <w:r>
        <w:rPr>
          <w:rFonts w:ascii="Times New Roman" w:hAnsi="Times New Roman" w:eastAsia="Times New Roman" w:cs="Times New Roman"/>
          <w:spacing w:val="22"/>
          <w:sz w:val="19"/>
          <w:szCs w:val="19"/>
        </w:rPr>
        <w:t xml:space="preserve">   </w:t>
      </w:r>
      <w:r>
        <w:rPr>
          <w:rFonts w:ascii="Times New Roman" w:hAnsi="Times New Roman" w:eastAsia="Times New Roman" w:cs="Times New Roman"/>
          <w:sz w:val="19"/>
          <w:szCs w:val="19"/>
        </w:rPr>
        <w:t xml:space="preserve">Transfer </w:t>
      </w:r>
      <w:r>
        <w:rPr>
          <w:sz w:val="19"/>
          <w:szCs w:val="19"/>
        </w:rPr>
        <w:t>Protocol</w:t>
      </w:r>
      <w:r>
        <w:rPr>
          <w:spacing w:val="13"/>
          <w:sz w:val="19"/>
          <w:szCs w:val="19"/>
        </w:rPr>
        <w:t>,</w:t>
      </w:r>
      <w:r>
        <w:rPr>
          <w:sz w:val="19"/>
          <w:szCs w:val="19"/>
        </w:rPr>
        <w:t>FTP</w:t>
      </w:r>
      <w:r>
        <w:rPr>
          <w:spacing w:val="13"/>
          <w:sz w:val="19"/>
          <w:szCs w:val="19"/>
        </w:rPr>
        <w:t>)、</w:t>
      </w:r>
      <w:r>
        <w:rPr>
          <w:spacing w:val="50"/>
          <w:sz w:val="19"/>
          <w:szCs w:val="19"/>
        </w:rPr>
        <w:t xml:space="preserve"> </w:t>
      </w:r>
      <w:r>
        <w:rPr>
          <w:spacing w:val="13"/>
          <w:sz w:val="19"/>
          <w:szCs w:val="19"/>
        </w:rPr>
        <w:t>简单电子邮件传输协议</w:t>
      </w:r>
      <w:r>
        <w:rPr>
          <w:spacing w:val="-34"/>
          <w:sz w:val="19"/>
          <w:szCs w:val="19"/>
        </w:rPr>
        <w:t xml:space="preserve"> </w:t>
      </w:r>
      <w:r>
        <w:rPr>
          <w:spacing w:val="13"/>
          <w:sz w:val="19"/>
          <w:szCs w:val="19"/>
        </w:rPr>
        <w:t>(</w:t>
      </w:r>
      <w:r>
        <w:rPr>
          <w:sz w:val="19"/>
          <w:szCs w:val="19"/>
        </w:rPr>
        <w:t>Simple</w:t>
      </w:r>
      <w:r>
        <w:rPr>
          <w:spacing w:val="42"/>
          <w:sz w:val="19"/>
          <w:szCs w:val="19"/>
        </w:rPr>
        <w:t xml:space="preserve"> </w:t>
      </w:r>
      <w:r>
        <w:rPr>
          <w:sz w:val="19"/>
          <w:szCs w:val="19"/>
        </w:rPr>
        <w:t>Mail</w:t>
      </w:r>
      <w:r>
        <w:rPr>
          <w:spacing w:val="46"/>
          <w:sz w:val="19"/>
          <w:szCs w:val="19"/>
        </w:rPr>
        <w:t xml:space="preserve"> </w:t>
      </w:r>
      <w:r>
        <w:rPr>
          <w:sz w:val="19"/>
          <w:szCs w:val="19"/>
        </w:rPr>
        <w:t>Transfer</w:t>
      </w:r>
      <w:r>
        <w:rPr>
          <w:spacing w:val="46"/>
          <w:sz w:val="19"/>
          <w:szCs w:val="19"/>
        </w:rPr>
        <w:t xml:space="preserve"> </w:t>
      </w:r>
      <w:r>
        <w:rPr>
          <w:sz w:val="19"/>
          <w:szCs w:val="19"/>
        </w:rPr>
        <w:t>Protocol</w:t>
      </w:r>
      <w:r>
        <w:rPr>
          <w:spacing w:val="13"/>
          <w:sz w:val="19"/>
          <w:szCs w:val="19"/>
        </w:rPr>
        <w:t>,</w:t>
      </w:r>
      <w:r>
        <w:rPr>
          <w:sz w:val="19"/>
          <w:szCs w:val="19"/>
        </w:rPr>
        <w:t>SMTP</w:t>
      </w:r>
      <w:r>
        <w:rPr>
          <w:spacing w:val="13"/>
          <w:sz w:val="19"/>
          <w:szCs w:val="19"/>
        </w:rPr>
        <w:t>)</w:t>
      </w:r>
      <w:r>
        <w:rPr>
          <w:spacing w:val="-57"/>
          <w:sz w:val="19"/>
          <w:szCs w:val="19"/>
        </w:rPr>
        <w:t xml:space="preserve"> </w:t>
      </w:r>
      <w:r>
        <w:rPr>
          <w:spacing w:val="13"/>
          <w:sz w:val="19"/>
          <w:szCs w:val="19"/>
        </w:rPr>
        <w:t>等，用来接</w:t>
      </w:r>
      <w:r>
        <w:rPr>
          <w:sz w:val="19"/>
          <w:szCs w:val="19"/>
        </w:rPr>
        <w:t xml:space="preserve"> </w:t>
      </w:r>
      <w:r>
        <w:rPr>
          <w:spacing w:val="14"/>
          <w:sz w:val="19"/>
          <w:szCs w:val="19"/>
        </w:rPr>
        <w:t>收来自传输层的数据，或按不同的应用要求与方式将数据</w:t>
      </w:r>
      <w:r>
        <w:rPr>
          <w:spacing w:val="13"/>
          <w:sz w:val="19"/>
          <w:szCs w:val="19"/>
        </w:rPr>
        <w:t>传输至传输层；传输层的主要协议有</w:t>
      </w:r>
      <w:r>
        <w:rPr>
          <w:sz w:val="19"/>
          <w:szCs w:val="19"/>
        </w:rPr>
        <w:t xml:space="preserve"> </w:t>
      </w:r>
      <w:r>
        <w:rPr>
          <w:spacing w:val="12"/>
          <w:sz w:val="19"/>
          <w:szCs w:val="19"/>
        </w:rPr>
        <w:t>用户数据报协议(</w:t>
      </w:r>
      <w:r>
        <w:rPr>
          <w:sz w:val="19"/>
          <w:szCs w:val="19"/>
        </w:rPr>
        <w:t>User</w:t>
      </w:r>
      <w:r>
        <w:rPr>
          <w:spacing w:val="44"/>
          <w:sz w:val="19"/>
          <w:szCs w:val="19"/>
        </w:rPr>
        <w:t xml:space="preserve">  </w:t>
      </w:r>
      <w:r>
        <w:rPr>
          <w:sz w:val="19"/>
          <w:szCs w:val="19"/>
        </w:rPr>
        <w:t>Datagram</w:t>
      </w:r>
      <w:r>
        <w:rPr>
          <w:spacing w:val="44"/>
          <w:sz w:val="19"/>
          <w:szCs w:val="19"/>
        </w:rPr>
        <w:t xml:space="preserve">  </w:t>
      </w:r>
      <w:r>
        <w:rPr>
          <w:sz w:val="19"/>
          <w:szCs w:val="19"/>
        </w:rPr>
        <w:t>Protocol</w:t>
      </w:r>
      <w:r>
        <w:rPr>
          <w:spacing w:val="12"/>
          <w:sz w:val="19"/>
          <w:szCs w:val="19"/>
        </w:rPr>
        <w:t>,</w:t>
      </w:r>
      <w:r>
        <w:rPr>
          <w:sz w:val="19"/>
          <w:szCs w:val="19"/>
        </w:rPr>
        <w:t>UDP</w:t>
      </w:r>
      <w:r>
        <w:rPr>
          <w:spacing w:val="12"/>
          <w:sz w:val="19"/>
          <w:szCs w:val="19"/>
        </w:rPr>
        <w:t>)、</w:t>
      </w:r>
      <w:r>
        <w:rPr>
          <w:sz w:val="19"/>
          <w:szCs w:val="19"/>
        </w:rPr>
        <w:t>TCP</w:t>
      </w:r>
      <w:r>
        <w:rPr>
          <w:spacing w:val="12"/>
          <w:sz w:val="19"/>
          <w:szCs w:val="19"/>
        </w:rPr>
        <w:t>,</w:t>
      </w:r>
      <w:r>
        <w:rPr>
          <w:spacing w:val="-42"/>
          <w:sz w:val="19"/>
          <w:szCs w:val="19"/>
        </w:rPr>
        <w:t xml:space="preserve"> </w:t>
      </w:r>
      <w:r>
        <w:rPr>
          <w:spacing w:val="12"/>
          <w:sz w:val="19"/>
          <w:szCs w:val="19"/>
        </w:rPr>
        <w:t>负责上面应用层协</w:t>
      </w:r>
      <w:r>
        <w:rPr>
          <w:spacing w:val="11"/>
          <w:sz w:val="19"/>
          <w:szCs w:val="19"/>
        </w:rPr>
        <w:t>议发送和接收具体</w:t>
      </w:r>
      <w:r>
        <w:rPr>
          <w:sz w:val="19"/>
          <w:szCs w:val="19"/>
        </w:rPr>
        <w:t xml:space="preserve"> </w:t>
      </w:r>
      <w:r>
        <w:rPr>
          <w:spacing w:val="13"/>
          <w:sz w:val="19"/>
          <w:szCs w:val="19"/>
        </w:rPr>
        <w:t>数据的机制和过程；互联网络层的主要协议有</w:t>
      </w:r>
      <w:r>
        <w:rPr>
          <w:rFonts w:ascii="Times New Roman" w:hAnsi="Times New Roman" w:eastAsia="Times New Roman" w:cs="Times New Roman"/>
          <w:sz w:val="19"/>
          <w:szCs w:val="19"/>
        </w:rPr>
        <w:t>Internet</w:t>
      </w:r>
      <w:r>
        <w:rPr>
          <w:rFonts w:ascii="Times New Roman" w:hAnsi="Times New Roman" w:eastAsia="Times New Roman" w:cs="Times New Roman"/>
          <w:spacing w:val="13"/>
          <w:sz w:val="19"/>
          <w:szCs w:val="19"/>
        </w:rPr>
        <w:t xml:space="preserve">  </w:t>
      </w:r>
      <w:r>
        <w:rPr>
          <w:spacing w:val="12"/>
          <w:sz w:val="19"/>
          <w:szCs w:val="19"/>
        </w:rPr>
        <w:t>控制报文协议</w:t>
      </w:r>
      <w:r>
        <w:rPr>
          <w:spacing w:val="-24"/>
          <w:sz w:val="19"/>
          <w:szCs w:val="19"/>
        </w:rPr>
        <w:t xml:space="preserve"> </w:t>
      </w:r>
      <w:r>
        <w:rPr>
          <w:rFonts w:ascii="Times New Roman" w:hAnsi="Times New Roman" w:eastAsia="Times New Roman" w:cs="Times New Roman"/>
          <w:spacing w:val="12"/>
          <w:sz w:val="19"/>
          <w:szCs w:val="19"/>
        </w:rPr>
        <w:t>(</w:t>
      </w:r>
      <w:r>
        <w:rPr>
          <w:rFonts w:ascii="Times New Roman" w:hAnsi="Times New Roman" w:eastAsia="Times New Roman" w:cs="Times New Roman"/>
          <w:sz w:val="19"/>
          <w:szCs w:val="19"/>
        </w:rPr>
        <w:t>Internet</w:t>
      </w:r>
      <w:r>
        <w:rPr>
          <w:rFonts w:ascii="Times New Roman" w:hAnsi="Times New Roman" w:eastAsia="Times New Roman" w:cs="Times New Roman"/>
          <w:spacing w:val="12"/>
          <w:sz w:val="19"/>
          <w:szCs w:val="19"/>
        </w:rPr>
        <w:t xml:space="preserve">   </w:t>
      </w:r>
      <w:r>
        <w:rPr>
          <w:rFonts w:ascii="Times New Roman" w:hAnsi="Times New Roman" w:eastAsia="Times New Roman" w:cs="Times New Roman"/>
          <w:sz w:val="19"/>
          <w:szCs w:val="19"/>
        </w:rPr>
        <w:t>Control</w:t>
      </w:r>
      <w:r>
        <w:rPr>
          <w:rFonts w:ascii="Times New Roman" w:hAnsi="Times New Roman" w:eastAsia="Times New Roman" w:cs="Times New Roman"/>
          <w:spacing w:val="12"/>
          <w:sz w:val="19"/>
          <w:szCs w:val="19"/>
        </w:rPr>
        <w:t xml:space="preserve">   </w:t>
      </w:r>
      <w:r>
        <w:rPr>
          <w:rFonts w:ascii="Times New Roman" w:hAnsi="Times New Roman" w:eastAsia="Times New Roman" w:cs="Times New Roman"/>
          <w:sz w:val="19"/>
          <w:szCs w:val="19"/>
        </w:rPr>
        <w:t>Message  Protocol</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ICMP</w:t>
      </w:r>
      <w:r>
        <w:rPr>
          <w:rFonts w:ascii="Times New Roman" w:hAnsi="Times New Roman" w:eastAsia="Times New Roman" w:cs="Times New Roman"/>
          <w:spacing w:val="4"/>
          <w:sz w:val="19"/>
          <w:szCs w:val="19"/>
        </w:rPr>
        <w:t>)</w:t>
      </w:r>
      <w:r>
        <w:rPr>
          <w:rFonts w:ascii="Times New Roman" w:hAnsi="Times New Roman" w:eastAsia="Times New Roman" w:cs="Times New Roman"/>
          <w:spacing w:val="-19"/>
          <w:sz w:val="19"/>
          <w:szCs w:val="19"/>
        </w:rPr>
        <w:t xml:space="preserve"> </w:t>
      </w:r>
      <w:r>
        <w:rPr>
          <w:spacing w:val="4"/>
          <w:sz w:val="19"/>
          <w:szCs w:val="19"/>
        </w:rPr>
        <w:t>、</w:t>
      </w:r>
      <w:r>
        <w:rPr>
          <w:rFonts w:ascii="Times New Roman" w:hAnsi="Times New Roman" w:eastAsia="Times New Roman" w:cs="Times New Roman"/>
          <w:sz w:val="19"/>
          <w:szCs w:val="19"/>
        </w:rPr>
        <w:t>IP</w:t>
      </w:r>
      <w:r>
        <w:rPr>
          <w:rFonts w:ascii="Times New Roman" w:hAnsi="Times New Roman" w:eastAsia="Times New Roman" w:cs="Times New Roman"/>
          <w:spacing w:val="-27"/>
          <w:sz w:val="19"/>
          <w:szCs w:val="19"/>
        </w:rPr>
        <w:t xml:space="preserve"> </w:t>
      </w:r>
      <w:r>
        <w:rPr>
          <w:spacing w:val="4"/>
          <w:sz w:val="19"/>
          <w:szCs w:val="19"/>
        </w:rPr>
        <w:t>、</w:t>
      </w:r>
      <w:r>
        <w:rPr>
          <w:rFonts w:ascii="Times New Roman" w:hAnsi="Times New Roman" w:eastAsia="Times New Roman" w:cs="Times New Roman"/>
          <w:sz w:val="19"/>
          <w:szCs w:val="19"/>
        </w:rPr>
        <w:t>Internet</w:t>
      </w:r>
      <w:r>
        <w:rPr>
          <w:rFonts w:ascii="Times New Roman" w:hAnsi="Times New Roman" w:eastAsia="Times New Roman" w:cs="Times New Roman"/>
          <w:spacing w:val="4"/>
          <w:sz w:val="19"/>
          <w:szCs w:val="19"/>
        </w:rPr>
        <w:t xml:space="preserve">        </w:t>
      </w:r>
      <w:r>
        <w:rPr>
          <w:spacing w:val="4"/>
          <w:sz w:val="19"/>
          <w:szCs w:val="19"/>
        </w:rPr>
        <w:t>组管理协议</w:t>
      </w:r>
      <w:r>
        <w:rPr>
          <w:spacing w:val="-44"/>
          <w:sz w:val="19"/>
          <w:szCs w:val="19"/>
        </w:rPr>
        <w:t xml:space="preserve"> </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Internet</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Group</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Management</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Protocol</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IGMP</w:t>
      </w:r>
      <w:r>
        <w:rPr>
          <w:rFonts w:ascii="Times New Roman" w:hAnsi="Times New Roman" w:eastAsia="Times New Roman" w:cs="Times New Roman"/>
          <w:spacing w:val="4"/>
          <w:sz w:val="19"/>
          <w:szCs w:val="19"/>
        </w:rPr>
        <w:t>),</w:t>
      </w:r>
      <w:r>
        <w:rPr>
          <w:spacing w:val="4"/>
          <w:sz w:val="19"/>
          <w:szCs w:val="19"/>
        </w:rPr>
        <w:t>主</w:t>
      </w:r>
      <w:r>
        <w:rPr>
          <w:sz w:val="19"/>
          <w:szCs w:val="19"/>
        </w:rPr>
        <w:t xml:space="preserve"> </w:t>
      </w:r>
      <w:r>
        <w:rPr>
          <w:spacing w:val="18"/>
          <w:sz w:val="19"/>
          <w:szCs w:val="19"/>
        </w:rPr>
        <w:t>要负责网络中数据包的具体传输等；而物理和数据链路层(也叫网络接口层或网络访问层)的</w:t>
      </w:r>
      <w:r>
        <w:rPr>
          <w:spacing w:val="16"/>
          <w:sz w:val="19"/>
          <w:szCs w:val="19"/>
        </w:rPr>
        <w:t xml:space="preserve"> </w:t>
      </w:r>
      <w:r>
        <w:rPr>
          <w:spacing w:val="13"/>
          <w:sz w:val="19"/>
          <w:szCs w:val="19"/>
        </w:rPr>
        <w:t>主要协议有地址解析协议</w:t>
      </w:r>
      <w:r>
        <w:rPr>
          <w:spacing w:val="-54"/>
          <w:sz w:val="19"/>
          <w:szCs w:val="19"/>
        </w:rPr>
        <w:t xml:space="preserve"> </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Address</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z w:val="19"/>
          <w:szCs w:val="19"/>
        </w:rPr>
        <w:t>Resolution</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pacing w:val="12"/>
          <w:sz w:val="19"/>
          <w:szCs w:val="19"/>
        </w:rPr>
        <w:t xml:space="preserve">  </w:t>
      </w:r>
      <w:r>
        <w:rPr>
          <w:rFonts w:ascii="Times New Roman" w:hAnsi="Times New Roman" w:eastAsia="Times New Roman" w:cs="Times New Roman"/>
          <w:sz w:val="19"/>
          <w:szCs w:val="19"/>
        </w:rPr>
        <w:t>Protocol</w:t>
      </w:r>
      <w:r>
        <w:rPr>
          <w:rFonts w:ascii="Times New Roman" w:hAnsi="Times New Roman" w:eastAsia="Times New Roman" w:cs="Times New Roman"/>
          <w:spacing w:val="12"/>
          <w:sz w:val="19"/>
          <w:szCs w:val="19"/>
        </w:rPr>
        <w:t>,</w:t>
      </w:r>
      <w:r>
        <w:rPr>
          <w:rFonts w:ascii="Times New Roman" w:hAnsi="Times New Roman" w:eastAsia="Times New Roman" w:cs="Times New Roman"/>
          <w:sz w:val="19"/>
          <w:szCs w:val="19"/>
        </w:rPr>
        <w:t>ARP</w:t>
      </w:r>
      <w:r>
        <w:rPr>
          <w:rFonts w:ascii="Times New Roman" w:hAnsi="Times New Roman" w:eastAsia="Times New Roman" w:cs="Times New Roman"/>
          <w:spacing w:val="12"/>
          <w:sz w:val="19"/>
          <w:szCs w:val="19"/>
        </w:rPr>
        <w:t>)</w:t>
      </w:r>
      <w:r>
        <w:rPr>
          <w:spacing w:val="12"/>
          <w:sz w:val="19"/>
          <w:szCs w:val="19"/>
        </w:rPr>
        <w:t>、反向地址转换协议</w:t>
      </w:r>
      <w:r>
        <w:rPr>
          <w:spacing w:val="-44"/>
          <w:sz w:val="19"/>
          <w:szCs w:val="19"/>
        </w:rPr>
        <w:t xml:space="preserve"> </w:t>
      </w:r>
      <w:r>
        <w:rPr>
          <w:rFonts w:ascii="Times New Roman" w:hAnsi="Times New Roman" w:eastAsia="Times New Roman" w:cs="Times New Roman"/>
          <w:spacing w:val="12"/>
          <w:sz w:val="19"/>
          <w:szCs w:val="19"/>
        </w:rPr>
        <w:t>(</w:t>
      </w:r>
      <w:r>
        <w:rPr>
          <w:rFonts w:ascii="Times New Roman" w:hAnsi="Times New Roman" w:eastAsia="Times New Roman" w:cs="Times New Roman"/>
          <w:sz w:val="19"/>
          <w:szCs w:val="19"/>
        </w:rPr>
        <w:t>Reverse    Address</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Resolution</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Protocol</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RARP</w:t>
      </w:r>
      <w:r>
        <w:rPr>
          <w:rFonts w:ascii="Times New Roman" w:hAnsi="Times New Roman" w:eastAsia="Times New Roman" w:cs="Times New Roman"/>
          <w:spacing w:val="11"/>
          <w:sz w:val="19"/>
          <w:szCs w:val="19"/>
        </w:rPr>
        <w:t>),</w:t>
      </w:r>
      <w:r>
        <w:rPr>
          <w:rFonts w:ascii="Times New Roman" w:hAnsi="Times New Roman" w:eastAsia="Times New Roman" w:cs="Times New Roman"/>
          <w:spacing w:val="-18"/>
          <w:sz w:val="19"/>
          <w:szCs w:val="19"/>
        </w:rPr>
        <w:t xml:space="preserve"> </w:t>
      </w:r>
      <w:r>
        <w:rPr>
          <w:spacing w:val="11"/>
          <w:sz w:val="19"/>
          <w:szCs w:val="19"/>
        </w:rPr>
        <w:t>主要功能是提供链路管理错误检测、对不同通信媒介的</w:t>
      </w:r>
      <w:r>
        <w:rPr>
          <w:sz w:val="19"/>
          <w:szCs w:val="19"/>
        </w:rPr>
        <w:t xml:space="preserve"> </w:t>
      </w:r>
      <w:r>
        <w:rPr>
          <w:spacing w:val="6"/>
          <w:sz w:val="19"/>
          <w:szCs w:val="19"/>
        </w:rPr>
        <w:t>有关信息细节问题进行有效处理等。</w:t>
      </w:r>
    </w:p>
    <w:p w14:paraId="4B00C751">
      <w:pPr>
        <w:pStyle w:val="2"/>
        <w:spacing w:before="206" w:line="219" w:lineRule="auto"/>
        <w:rPr>
          <w:sz w:val="25"/>
          <w:szCs w:val="25"/>
        </w:rPr>
      </w:pPr>
      <w:r>
        <w:rPr>
          <w:rFonts w:ascii="Times New Roman" w:hAnsi="Times New Roman" w:eastAsia="Times New Roman" w:cs="Times New Roman"/>
          <w:b/>
          <w:bCs/>
          <w:color w:val="0062E4"/>
          <w:spacing w:val="-6"/>
          <w:sz w:val="25"/>
          <w:szCs w:val="25"/>
        </w:rPr>
        <w:t>3.2.1</w:t>
      </w:r>
      <w:r>
        <w:rPr>
          <w:rFonts w:ascii="Times New Roman" w:hAnsi="Times New Roman" w:eastAsia="Times New Roman" w:cs="Times New Roman"/>
          <w:b/>
          <w:bCs/>
          <w:color w:val="0062E4"/>
          <w:spacing w:val="14"/>
          <w:sz w:val="25"/>
          <w:szCs w:val="25"/>
        </w:rPr>
        <w:t xml:space="preserve">   </w:t>
      </w:r>
      <w:r>
        <w:rPr>
          <w:rFonts w:ascii="Times New Roman" w:hAnsi="Times New Roman" w:eastAsia="Times New Roman" w:cs="Times New Roman"/>
          <w:b/>
          <w:bCs/>
          <w:color w:val="0062E4"/>
          <w:spacing w:val="-6"/>
          <w:sz w:val="25"/>
          <w:szCs w:val="25"/>
        </w:rPr>
        <w:t>TCP/IP</w:t>
      </w:r>
      <w:r>
        <w:rPr>
          <w:b/>
          <w:bCs/>
          <w:color w:val="0062E4"/>
          <w:spacing w:val="-6"/>
          <w:sz w:val="25"/>
          <w:szCs w:val="25"/>
        </w:rPr>
        <w:t>协议层级结构</w:t>
      </w:r>
    </w:p>
    <w:p w14:paraId="64616C44">
      <w:pPr>
        <w:pStyle w:val="2"/>
        <w:spacing w:before="153" w:line="289" w:lineRule="auto"/>
        <w:ind w:right="197" w:firstLine="409"/>
        <w:rPr>
          <w:sz w:val="19"/>
          <w:szCs w:val="19"/>
        </w:rPr>
      </w:pPr>
      <w:r>
        <w:rPr>
          <w:rFonts w:ascii="Times New Roman" w:hAnsi="Times New Roman" w:eastAsia="Times New Roman" w:cs="Times New Roman"/>
          <w:sz w:val="19"/>
          <w:szCs w:val="19"/>
        </w:rPr>
        <w:t>TCP</w:t>
      </w:r>
      <w:r>
        <w:rPr>
          <w:rFonts w:ascii="Times New Roman" w:hAnsi="Times New Roman" w:eastAsia="Times New Roman" w:cs="Times New Roman"/>
          <w:spacing w:val="14"/>
          <w:sz w:val="19"/>
          <w:szCs w:val="19"/>
        </w:rPr>
        <w:t>/</w:t>
      </w:r>
      <w:r>
        <w:rPr>
          <w:rFonts w:ascii="Times New Roman" w:hAnsi="Times New Roman" w:eastAsia="Times New Roman" w:cs="Times New Roman"/>
          <w:sz w:val="19"/>
          <w:szCs w:val="19"/>
        </w:rPr>
        <w:t>IP</w:t>
      </w:r>
      <w:r>
        <w:rPr>
          <w:rFonts w:ascii="Times New Roman" w:hAnsi="Times New Roman" w:eastAsia="Times New Roman" w:cs="Times New Roman"/>
          <w:spacing w:val="48"/>
          <w:sz w:val="19"/>
          <w:szCs w:val="19"/>
        </w:rPr>
        <w:t xml:space="preserve"> </w:t>
      </w:r>
      <w:r>
        <w:rPr>
          <w:spacing w:val="14"/>
          <w:sz w:val="19"/>
          <w:szCs w:val="19"/>
        </w:rPr>
        <w:t>协议定义了四个相对独立的层级，自上而下分别是应用层、传输层、互联网络层、</w:t>
      </w:r>
      <w:r>
        <w:rPr>
          <w:sz w:val="19"/>
          <w:szCs w:val="19"/>
        </w:rPr>
        <w:t xml:space="preserve"> </w:t>
      </w:r>
      <w:r>
        <w:rPr>
          <w:spacing w:val="8"/>
          <w:sz w:val="19"/>
          <w:szCs w:val="19"/>
        </w:rPr>
        <w:t>物理和数据链路层。</w:t>
      </w:r>
      <w:r>
        <w:rPr>
          <w:spacing w:val="-12"/>
          <w:sz w:val="19"/>
          <w:szCs w:val="19"/>
        </w:rPr>
        <w:t xml:space="preserve"> </w:t>
      </w:r>
      <w:r>
        <w:rPr>
          <w:rFonts w:ascii="Times New Roman" w:hAnsi="Times New Roman" w:eastAsia="Times New Roman" w:cs="Times New Roman"/>
          <w:sz w:val="19"/>
          <w:szCs w:val="19"/>
        </w:rPr>
        <w:t>TCP</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IP</w:t>
      </w:r>
      <w:r>
        <w:rPr>
          <w:rFonts w:ascii="Times New Roman" w:hAnsi="Times New Roman" w:eastAsia="Times New Roman" w:cs="Times New Roman"/>
          <w:spacing w:val="1"/>
          <w:sz w:val="19"/>
          <w:szCs w:val="19"/>
        </w:rPr>
        <w:t xml:space="preserve">  </w:t>
      </w:r>
      <w:r>
        <w:rPr>
          <w:spacing w:val="8"/>
          <w:sz w:val="19"/>
          <w:szCs w:val="19"/>
        </w:rPr>
        <w:t>协议栈和</w:t>
      </w:r>
      <w:r>
        <w:rPr>
          <w:rFonts w:ascii="Times New Roman" w:hAnsi="Times New Roman" w:eastAsia="Times New Roman" w:cs="Times New Roman"/>
          <w:sz w:val="19"/>
          <w:szCs w:val="19"/>
        </w:rPr>
        <w:t>OSI</w:t>
      </w:r>
      <w:r>
        <w:rPr>
          <w:rFonts w:ascii="Times New Roman" w:hAnsi="Times New Roman" w:eastAsia="Times New Roman" w:cs="Times New Roman"/>
          <w:spacing w:val="23"/>
          <w:sz w:val="19"/>
          <w:szCs w:val="19"/>
        </w:rPr>
        <w:t xml:space="preserve"> </w:t>
      </w:r>
      <w:r>
        <w:rPr>
          <w:spacing w:val="8"/>
          <w:sz w:val="19"/>
          <w:szCs w:val="19"/>
        </w:rPr>
        <w:t>模型的对应关系如图3-3所示。</w:t>
      </w:r>
    </w:p>
    <w:p w14:paraId="40237BEC">
      <w:pPr>
        <w:pStyle w:val="2"/>
        <w:spacing w:before="108" w:line="3441" w:lineRule="exact"/>
        <w:ind w:firstLine="419"/>
      </w:pPr>
      <w:r>
        <w:rPr>
          <w:position w:val="-68"/>
        </w:rPr>
        <w:pict>
          <v:group id="_x0000_s1177" o:spid="_x0000_s1177" o:spt="203" style="height:172.05pt;width:375.05pt;" coordsize="7500,3441">
            <o:lock v:ext="edit"/>
            <v:shape id="_x0000_s1178" o:spid="_x0000_s1178" o:spt="75" type="#_x0000_t75" style="position:absolute;left:150;top:150;height:3291;width:7350;" filled="f" stroked="f" coordsize="21600,21600">
              <v:path/>
              <v:fill on="f" focussize="0,0"/>
              <v:stroke on="f"/>
              <v:imagedata r:id="rId70" o:title=""/>
              <o:lock v:ext="edit" aspectratio="t"/>
            </v:shape>
            <v:shape id="_x0000_s1179" o:spid="_x0000_s1179" o:spt="202" type="#_x0000_t202" style="position:absolute;left:-20;top:-20;height:3481;width:7540;" filled="f" stroked="f" coordsize="21600,21600">
              <v:path/>
              <v:fill on="f" focussize="0,0"/>
              <v:stroke on="f"/>
              <v:imagedata o:title=""/>
              <o:lock v:ext="edit" aspectratio="f"/>
              <v:textbox inset="0mm,0mm,0mm,0mm">
                <w:txbxContent>
                  <w:p w14:paraId="41FBA637">
                    <w:pPr>
                      <w:spacing w:before="19" w:line="221" w:lineRule="auto"/>
                      <w:ind w:left="3369"/>
                      <w:rPr>
                        <w:rFonts w:ascii="宋体" w:hAnsi="宋体" w:eastAsia="宋体" w:cs="宋体"/>
                        <w:sz w:val="19"/>
                        <w:szCs w:val="19"/>
                      </w:rPr>
                    </w:pPr>
                    <w:r>
                      <w:rPr>
                        <w:rFonts w:ascii="宋体" w:hAnsi="宋体" w:eastAsia="宋体" w:cs="宋体"/>
                        <w:spacing w:val="-2"/>
                        <w:sz w:val="19"/>
                        <w:szCs w:val="19"/>
                      </w:rPr>
                      <w:t>应用</w:t>
                    </w:r>
                  </w:p>
                  <w:p w14:paraId="5BC4406D">
                    <w:pPr>
                      <w:spacing w:before="41" w:line="219" w:lineRule="auto"/>
                      <w:ind w:left="20"/>
                      <w:rPr>
                        <w:rFonts w:ascii="宋体" w:hAnsi="宋体" w:eastAsia="宋体" w:cs="宋体"/>
                        <w:sz w:val="19"/>
                        <w:szCs w:val="19"/>
                      </w:rPr>
                    </w:pPr>
                    <w:r>
                      <w:rPr>
                        <w:rFonts w:ascii="Times New Roman" w:hAnsi="Times New Roman" w:eastAsia="Times New Roman" w:cs="Times New Roman"/>
                        <w:spacing w:val="-7"/>
                        <w:position w:val="2"/>
                        <w:sz w:val="14"/>
                        <w:szCs w:val="14"/>
                      </w:rPr>
                      <w:t>7</w:t>
                    </w:r>
                    <w:r>
                      <w:rPr>
                        <w:rFonts w:ascii="Times New Roman" w:hAnsi="Times New Roman" w:eastAsia="Times New Roman" w:cs="Times New Roman"/>
                        <w:spacing w:val="1"/>
                        <w:position w:val="2"/>
                        <w:sz w:val="14"/>
                        <w:szCs w:val="14"/>
                      </w:rPr>
                      <w:t xml:space="preserve">          </w:t>
                    </w:r>
                    <w:r>
                      <w:rPr>
                        <w:rFonts w:ascii="宋体" w:hAnsi="宋体" w:eastAsia="宋体" w:cs="宋体"/>
                        <w:spacing w:val="-7"/>
                        <w:sz w:val="19"/>
                        <w:szCs w:val="19"/>
                      </w:rPr>
                      <w:t>应用层</w:t>
                    </w:r>
                  </w:p>
                  <w:p w14:paraId="3A33BFE2">
                    <w:pPr>
                      <w:spacing w:before="103" w:line="180"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position w:val="1"/>
                        <w:sz w:val="14"/>
                        <w:szCs w:val="14"/>
                      </w:rPr>
                      <w:t xml:space="preserve">6          </w:t>
                    </w:r>
                    <w:r>
                      <w:rPr>
                        <w:rFonts w:ascii="宋体" w:hAnsi="宋体" w:eastAsia="宋体" w:cs="宋体"/>
                        <w:spacing w:val="-2"/>
                        <w:position w:val="-2"/>
                        <w:sz w:val="19"/>
                        <w:szCs w:val="19"/>
                      </w:rPr>
                      <w:t xml:space="preserve">表示层        </w:t>
                    </w:r>
                    <w:r>
                      <w:rPr>
                        <w:rFonts w:ascii="Times New Roman" w:hAnsi="Times New Roman" w:eastAsia="Times New Roman" w:cs="Times New Roman"/>
                        <w:spacing w:val="-2"/>
                        <w:position w:val="-1"/>
                        <w:sz w:val="19"/>
                        <w:szCs w:val="19"/>
                      </w:rPr>
                      <w:t xml:space="preserve">SMTP     </w:t>
                    </w:r>
                    <w:r>
                      <w:rPr>
                        <w:rFonts w:ascii="Times New Roman" w:hAnsi="Times New Roman" w:eastAsia="Times New Roman" w:cs="Times New Roman"/>
                        <w:spacing w:val="-2"/>
                        <w:sz w:val="19"/>
                        <w:szCs w:val="19"/>
                      </w:rPr>
                      <w:t xml:space="preserve">FTP       Telnet      DNS     </w:t>
                    </w:r>
                    <w:r>
                      <w:rPr>
                        <w:rFonts w:ascii="Times New Roman" w:hAnsi="Times New Roman" w:eastAsia="Times New Roman" w:cs="Times New Roman"/>
                        <w:spacing w:val="-2"/>
                        <w:position w:val="-2"/>
                        <w:sz w:val="19"/>
                        <w:szCs w:val="19"/>
                      </w:rPr>
                      <w:t xml:space="preserve">SNMP    </w:t>
                    </w:r>
                    <w:r>
                      <w:rPr>
                        <w:rFonts w:ascii="Times New Roman" w:hAnsi="Times New Roman" w:eastAsia="Times New Roman" w:cs="Times New Roman"/>
                        <w:spacing w:val="-2"/>
                        <w:position w:val="4"/>
                        <w:sz w:val="19"/>
                        <w:szCs w:val="19"/>
                      </w:rPr>
                      <w:t xml:space="preserve">NFS                </w:t>
                    </w:r>
                    <w:r>
                      <w:rPr>
                        <w:rFonts w:ascii="Times New Roman" w:hAnsi="Times New Roman" w:eastAsia="Times New Roman" w:cs="Times New Roman"/>
                        <w:spacing w:val="-2"/>
                        <w:sz w:val="19"/>
                        <w:szCs w:val="19"/>
                      </w:rPr>
                      <w:t>TFTP</w:t>
                    </w:r>
                  </w:p>
                  <w:p w14:paraId="2CFFAAC0">
                    <w:pPr>
                      <w:spacing w:before="158" w:line="221" w:lineRule="auto"/>
                      <w:ind w:left="20"/>
                      <w:rPr>
                        <w:rFonts w:ascii="黑体" w:hAnsi="黑体" w:eastAsia="黑体" w:cs="黑体"/>
                        <w:sz w:val="19"/>
                        <w:szCs w:val="19"/>
                      </w:rPr>
                    </w:pPr>
                    <w:r>
                      <w:rPr>
                        <w:rFonts w:ascii="Times New Roman" w:hAnsi="Times New Roman" w:eastAsia="Times New Roman" w:cs="Times New Roman"/>
                        <w:spacing w:val="-3"/>
                        <w:position w:val="2"/>
                        <w:sz w:val="14"/>
                        <w:szCs w:val="14"/>
                      </w:rPr>
                      <w:t>5</w:t>
                    </w:r>
                    <w:r>
                      <w:rPr>
                        <w:rFonts w:ascii="Times New Roman" w:hAnsi="Times New Roman" w:eastAsia="Times New Roman" w:cs="Times New Roman"/>
                        <w:spacing w:val="1"/>
                        <w:position w:val="2"/>
                        <w:sz w:val="14"/>
                        <w:szCs w:val="14"/>
                      </w:rPr>
                      <w:t xml:space="preserve">          </w:t>
                    </w:r>
                    <w:r>
                      <w:rPr>
                        <w:rFonts w:ascii="黑体" w:hAnsi="黑体" w:eastAsia="黑体" w:cs="黑体"/>
                        <w:spacing w:val="-3"/>
                        <w:sz w:val="19"/>
                        <w:szCs w:val="19"/>
                      </w:rPr>
                      <w:t>会话层</w:t>
                    </w:r>
                  </w:p>
                  <w:p w14:paraId="27B62609">
                    <w:pPr>
                      <w:spacing w:before="153" w:line="213"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position w:val="1"/>
                        <w:sz w:val="14"/>
                        <w:szCs w:val="14"/>
                      </w:rPr>
                      <w:t>4</w:t>
                    </w:r>
                    <w:r>
                      <w:rPr>
                        <w:rFonts w:ascii="Times New Roman" w:hAnsi="Times New Roman" w:eastAsia="Times New Roman" w:cs="Times New Roman"/>
                        <w:spacing w:val="1"/>
                        <w:position w:val="1"/>
                        <w:sz w:val="14"/>
                        <w:szCs w:val="14"/>
                      </w:rPr>
                      <w:t xml:space="preserve">          </w:t>
                    </w:r>
                    <w:r>
                      <w:rPr>
                        <w:rFonts w:ascii="宋体" w:hAnsi="宋体" w:eastAsia="宋体" w:cs="宋体"/>
                        <w:spacing w:val="-6"/>
                        <w:position w:val="-1"/>
                        <w:sz w:val="19"/>
                        <w:szCs w:val="19"/>
                      </w:rPr>
                      <w:t>传输层</w:t>
                    </w:r>
                    <w:r>
                      <w:rPr>
                        <w:rFonts w:ascii="宋体" w:hAnsi="宋体" w:eastAsia="宋体" w:cs="宋体"/>
                        <w:spacing w:val="1"/>
                        <w:position w:val="-1"/>
                        <w:sz w:val="19"/>
                        <w:szCs w:val="19"/>
                      </w:rPr>
                      <w:t xml:space="preserve">                            </w:t>
                    </w:r>
                    <w:r>
                      <w:rPr>
                        <w:rFonts w:ascii="Times New Roman" w:hAnsi="Times New Roman" w:eastAsia="Times New Roman" w:cs="Times New Roman"/>
                        <w:spacing w:val="-6"/>
                        <w:position w:val="1"/>
                        <w:sz w:val="19"/>
                        <w:szCs w:val="19"/>
                      </w:rPr>
                      <w:t>TCP</w:t>
                    </w:r>
                    <w:r>
                      <w:rPr>
                        <w:rFonts w:ascii="Times New Roman" w:hAnsi="Times New Roman" w:eastAsia="Times New Roman" w:cs="Times New Roman"/>
                        <w:spacing w:val="1"/>
                        <w:position w:val="1"/>
                        <w:sz w:val="19"/>
                        <w:szCs w:val="19"/>
                      </w:rPr>
                      <w:t xml:space="preserve">                                  </w:t>
                    </w:r>
                    <w:r>
                      <w:rPr>
                        <w:rFonts w:ascii="Times New Roman" w:hAnsi="Times New Roman" w:eastAsia="Times New Roman" w:cs="Times New Roman"/>
                        <w:position w:val="1"/>
                        <w:sz w:val="19"/>
                        <w:szCs w:val="19"/>
                      </w:rPr>
                      <w:t xml:space="preserve">  </w:t>
                    </w:r>
                    <w:r>
                      <w:rPr>
                        <w:rFonts w:ascii="Times New Roman" w:hAnsi="Times New Roman" w:eastAsia="Times New Roman" w:cs="Times New Roman"/>
                        <w:color w:val="FFFFFF"/>
                        <w:spacing w:val="-6"/>
                        <w:position w:val="1"/>
                        <w:sz w:val="19"/>
                        <w:szCs w:val="19"/>
                      </w:rPr>
                      <w:t>UDP</w:t>
                    </w:r>
                  </w:p>
                  <w:p w14:paraId="1A95F636">
                    <w:pPr>
                      <w:spacing w:before="285" w:line="166" w:lineRule="auto"/>
                      <w:ind w:left="1749"/>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ICMP      IGMP</w:t>
                    </w:r>
                  </w:p>
                  <w:p w14:paraId="6F630AF7">
                    <w:pPr>
                      <w:spacing w:line="196"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position w:val="-1"/>
                        <w:sz w:val="14"/>
                        <w:szCs w:val="14"/>
                      </w:rPr>
                      <w:t>3</w:t>
                    </w:r>
                    <w:r>
                      <w:rPr>
                        <w:rFonts w:ascii="Times New Roman" w:hAnsi="Times New Roman" w:eastAsia="Times New Roman" w:cs="Times New Roman"/>
                        <w:spacing w:val="2"/>
                        <w:position w:val="-1"/>
                        <w:sz w:val="14"/>
                        <w:szCs w:val="14"/>
                      </w:rPr>
                      <w:t xml:space="preserve">          </w:t>
                    </w:r>
                    <w:r>
                      <w:rPr>
                        <w:rFonts w:ascii="宋体" w:hAnsi="宋体" w:eastAsia="宋体" w:cs="宋体"/>
                        <w:spacing w:val="-4"/>
                        <w:sz w:val="19"/>
                        <w:szCs w:val="19"/>
                      </w:rPr>
                      <w:t xml:space="preserve">网络层                                  </w:t>
                    </w:r>
                    <w:r>
                      <w:rPr>
                        <w:rFonts w:ascii="Times New Roman" w:hAnsi="Times New Roman" w:eastAsia="Times New Roman" w:cs="Times New Roman"/>
                        <w:color w:val="FFFFFF"/>
                        <w:spacing w:val="-4"/>
                        <w:position w:val="-1"/>
                        <w:sz w:val="19"/>
                        <w:szCs w:val="19"/>
                      </w:rPr>
                      <w:t>IP</w:t>
                    </w:r>
                  </w:p>
                  <w:p w14:paraId="07906571">
                    <w:pPr>
                      <w:spacing w:before="1" w:line="188" w:lineRule="auto"/>
                      <w:ind w:left="549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ARP</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pacing w:val="-4"/>
                        <w:sz w:val="19"/>
                        <w:szCs w:val="19"/>
                      </w:rPr>
                      <w:t>RARP</w:t>
                    </w:r>
                  </w:p>
                  <w:p w14:paraId="7C936540">
                    <w:pPr>
                      <w:spacing w:before="286" w:line="194" w:lineRule="auto"/>
                      <w:ind w:left="20"/>
                      <w:rPr>
                        <w:rFonts w:ascii="宋体" w:hAnsi="宋体" w:eastAsia="宋体" w:cs="宋体"/>
                        <w:sz w:val="19"/>
                        <w:szCs w:val="19"/>
                      </w:rPr>
                    </w:pPr>
                    <w:r>
                      <w:rPr>
                        <w:rFonts w:ascii="Times New Roman" w:hAnsi="Times New Roman" w:eastAsia="Times New Roman" w:cs="Times New Roman"/>
                        <w:spacing w:val="-9"/>
                        <w:position w:val="1"/>
                        <w:sz w:val="14"/>
                        <w:szCs w:val="14"/>
                      </w:rPr>
                      <w:t>2</w:t>
                    </w:r>
                    <w:r>
                      <w:rPr>
                        <w:rFonts w:ascii="Times New Roman" w:hAnsi="Times New Roman" w:eastAsia="Times New Roman" w:cs="Times New Roman"/>
                        <w:spacing w:val="1"/>
                        <w:position w:val="1"/>
                        <w:sz w:val="14"/>
                        <w:szCs w:val="14"/>
                      </w:rPr>
                      <w:t xml:space="preserve">          </w:t>
                    </w:r>
                    <w:r>
                      <w:rPr>
                        <w:rFonts w:ascii="宋体" w:hAnsi="宋体" w:eastAsia="宋体" w:cs="宋体"/>
                        <w:spacing w:val="-9"/>
                        <w:sz w:val="19"/>
                        <w:szCs w:val="19"/>
                      </w:rPr>
                      <w:t>数据链路层</w:t>
                    </w:r>
                  </w:p>
                  <w:p w14:paraId="07B9AFE6">
                    <w:pPr>
                      <w:spacing w:before="1" w:line="219" w:lineRule="auto"/>
                      <w:ind w:left="4149"/>
                      <w:rPr>
                        <w:rFonts w:ascii="宋体" w:hAnsi="宋体" w:eastAsia="宋体" w:cs="宋体"/>
                        <w:sz w:val="19"/>
                        <w:szCs w:val="19"/>
                      </w:rPr>
                    </w:pPr>
                    <w:r>
                      <w:rPr>
                        <w:rFonts w:ascii="宋体" w:hAnsi="宋体" w:eastAsia="宋体" w:cs="宋体"/>
                        <w:spacing w:val="-16"/>
                        <w:sz w:val="19"/>
                        <w:szCs w:val="19"/>
                      </w:rPr>
                      <w:t>底层网络定义的协议</w:t>
                    </w:r>
                  </w:p>
                  <w:p w14:paraId="03D5ABD0">
                    <w:pPr>
                      <w:spacing w:before="24" w:line="219" w:lineRule="auto"/>
                      <w:ind w:left="20"/>
                      <w:rPr>
                        <w:rFonts w:ascii="宋体" w:hAnsi="宋体" w:eastAsia="宋体" w:cs="宋体"/>
                        <w:sz w:val="19"/>
                        <w:szCs w:val="19"/>
                      </w:rPr>
                    </w:pPr>
                    <w:r>
                      <w:rPr>
                        <w:rFonts w:ascii="Times New Roman" w:hAnsi="Times New Roman" w:eastAsia="Times New Roman" w:cs="Times New Roman"/>
                        <w:spacing w:val="-9"/>
                        <w:sz w:val="14"/>
                        <w:szCs w:val="14"/>
                      </w:rPr>
                      <w:t>1</w:t>
                    </w:r>
                    <w:r>
                      <w:rPr>
                        <w:rFonts w:ascii="Times New Roman" w:hAnsi="Times New Roman" w:eastAsia="Times New Roman" w:cs="Times New Roman"/>
                        <w:spacing w:val="2"/>
                        <w:sz w:val="14"/>
                        <w:szCs w:val="14"/>
                      </w:rPr>
                      <w:t xml:space="preserve">          </w:t>
                    </w:r>
                    <w:r>
                      <w:rPr>
                        <w:rFonts w:ascii="宋体" w:hAnsi="宋体" w:eastAsia="宋体" w:cs="宋体"/>
                        <w:spacing w:val="-9"/>
                        <w:sz w:val="19"/>
                        <w:szCs w:val="19"/>
                      </w:rPr>
                      <w:t>物理层</w:t>
                    </w:r>
                  </w:p>
                </w:txbxContent>
              </v:textbox>
            </v:shape>
            <v:shape id="_x0000_s1180" o:spid="_x0000_s1180" o:spt="202" type="#_x0000_t202" style="position:absolute;left:5280;top:767;height:173;width:395;" filled="f" stroked="f" coordsize="21600,21600">
              <v:path/>
              <v:fill on="f" focussize="0,0"/>
              <v:stroke on="f"/>
              <v:imagedata o:title=""/>
              <o:lock v:ext="edit" aspectratio="f"/>
              <v:textbox inset="0mm,0mm,0mm,0mm">
                <w:txbxContent>
                  <w:p w14:paraId="46B271EF">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RPC</w:t>
                    </w:r>
                  </w:p>
                </w:txbxContent>
              </v:textbox>
            </v:shape>
            <w10:wrap type="none"/>
            <w10:anchorlock/>
          </v:group>
        </w:pict>
      </w:r>
    </w:p>
    <w:p w14:paraId="51BD7487">
      <w:pPr>
        <w:pStyle w:val="2"/>
        <w:spacing w:before="48" w:line="219" w:lineRule="auto"/>
        <w:ind w:left="2399"/>
        <w:rPr>
          <w:sz w:val="19"/>
          <w:szCs w:val="19"/>
        </w:rPr>
      </w:pPr>
      <w:r>
        <w:rPr>
          <w:spacing w:val="-2"/>
          <w:sz w:val="19"/>
          <w:szCs w:val="19"/>
        </w:rPr>
        <w:t>图3-3</w:t>
      </w:r>
      <w:r>
        <w:rPr>
          <w:spacing w:val="26"/>
          <w:w w:val="101"/>
          <w:sz w:val="19"/>
          <w:szCs w:val="19"/>
        </w:rPr>
        <w:t xml:space="preserve"> </w:t>
      </w:r>
      <w:r>
        <w:rPr>
          <w:rFonts w:ascii="Times New Roman" w:hAnsi="Times New Roman" w:eastAsia="Times New Roman" w:cs="Times New Roman"/>
          <w:spacing w:val="-2"/>
          <w:sz w:val="19"/>
          <w:szCs w:val="19"/>
        </w:rPr>
        <w:t>TCP/IP</w:t>
      </w:r>
      <w:r>
        <w:rPr>
          <w:rFonts w:ascii="Times New Roman" w:hAnsi="Times New Roman" w:eastAsia="Times New Roman" w:cs="Times New Roman"/>
          <w:spacing w:val="-22"/>
          <w:sz w:val="19"/>
          <w:szCs w:val="19"/>
        </w:rPr>
        <w:t xml:space="preserve"> </w:t>
      </w:r>
      <w:r>
        <w:rPr>
          <w:spacing w:val="-2"/>
          <w:sz w:val="19"/>
          <w:szCs w:val="19"/>
        </w:rPr>
        <w:t>协议栈和</w:t>
      </w:r>
      <w:r>
        <w:rPr>
          <w:rFonts w:ascii="Times New Roman" w:hAnsi="Times New Roman" w:eastAsia="Times New Roman" w:cs="Times New Roman"/>
          <w:spacing w:val="-2"/>
          <w:sz w:val="19"/>
          <w:szCs w:val="19"/>
        </w:rPr>
        <w:t xml:space="preserve">OSI </w:t>
      </w:r>
      <w:r>
        <w:rPr>
          <w:spacing w:val="-2"/>
          <w:sz w:val="19"/>
          <w:szCs w:val="19"/>
        </w:rPr>
        <w:t>模型的对</w:t>
      </w:r>
      <w:r>
        <w:rPr>
          <w:spacing w:val="-3"/>
          <w:sz w:val="19"/>
          <w:szCs w:val="19"/>
        </w:rPr>
        <w:t>应关系</w:t>
      </w:r>
    </w:p>
    <w:p w14:paraId="6D50AC1F">
      <w:pPr>
        <w:spacing w:line="219" w:lineRule="auto"/>
        <w:rPr>
          <w:sz w:val="19"/>
          <w:szCs w:val="19"/>
        </w:rPr>
        <w:sectPr>
          <w:pgSz w:w="10300" w:h="13270"/>
          <w:pgMar w:top="400" w:right="577" w:bottom="400" w:left="1090" w:header="0" w:footer="0" w:gutter="0"/>
          <w:cols w:space="720" w:num="1"/>
        </w:sectPr>
      </w:pPr>
    </w:p>
    <w:p w14:paraId="30FC6EA3">
      <w:pPr>
        <w:pStyle w:val="2"/>
        <w:spacing w:before="108" w:line="219" w:lineRule="auto"/>
        <w:rPr>
          <w:sz w:val="20"/>
          <w:szCs w:val="20"/>
        </w:rPr>
      </w:pPr>
      <w:r>
        <w:rPr>
          <w:rFonts w:ascii="Times New Roman" w:hAnsi="Times New Roman" w:eastAsia="Times New Roman" w:cs="Times New Roman"/>
          <w:b/>
          <w:bCs/>
          <w:spacing w:val="-1"/>
          <w:sz w:val="20"/>
          <w:szCs w:val="20"/>
        </w:rPr>
        <w:t xml:space="preserve">96              </w:t>
      </w:r>
      <w:r>
        <w:rPr>
          <w:spacing w:val="-1"/>
          <w:sz w:val="20"/>
          <w:szCs w:val="20"/>
        </w:rPr>
        <w:t>信息系统监理师教程(第2版)</w:t>
      </w:r>
    </w:p>
    <w:p w14:paraId="0D7B88CD">
      <w:pPr>
        <w:spacing w:line="296" w:lineRule="auto"/>
        <w:rPr>
          <w:rFonts w:ascii="Arial"/>
          <w:sz w:val="21"/>
        </w:rPr>
      </w:pPr>
    </w:p>
    <w:p w14:paraId="256FF98C">
      <w:pPr>
        <w:spacing w:before="65" w:line="228" w:lineRule="auto"/>
        <w:ind w:left="709"/>
        <w:rPr>
          <w:rFonts w:ascii="楷体" w:hAnsi="楷体" w:eastAsia="楷体" w:cs="楷体"/>
          <w:sz w:val="20"/>
          <w:szCs w:val="20"/>
        </w:rPr>
      </w:pPr>
      <w:r>
        <w:rPr>
          <w:rFonts w:ascii="楷体" w:hAnsi="楷体" w:eastAsia="楷体" w:cs="楷体"/>
          <w:spacing w:val="17"/>
          <w:sz w:val="20"/>
          <w:szCs w:val="20"/>
        </w:rPr>
        <w:t>1)应用层</w:t>
      </w:r>
    </w:p>
    <w:p w14:paraId="0B0F27EE">
      <w:pPr>
        <w:pStyle w:val="2"/>
        <w:spacing w:before="51" w:line="289" w:lineRule="auto"/>
        <w:ind w:left="309" w:right="8" w:firstLine="400"/>
        <w:rPr>
          <w:sz w:val="20"/>
          <w:szCs w:val="20"/>
        </w:rPr>
      </w:pPr>
      <w:r>
        <w:rPr>
          <w:spacing w:val="9"/>
          <w:sz w:val="20"/>
          <w:szCs w:val="20"/>
        </w:rPr>
        <w:t>应用层负责处理特定的应用程序细节，对应</w:t>
      </w:r>
      <w:r>
        <w:rPr>
          <w:rFonts w:ascii="Times New Roman" w:hAnsi="Times New Roman" w:eastAsia="Times New Roman" w:cs="Times New Roman"/>
          <w:sz w:val="20"/>
          <w:szCs w:val="20"/>
        </w:rPr>
        <w:t>OSI</w:t>
      </w:r>
      <w:r>
        <w:rPr>
          <w:rFonts w:ascii="Times New Roman" w:hAnsi="Times New Roman" w:eastAsia="Times New Roman" w:cs="Times New Roman"/>
          <w:spacing w:val="9"/>
          <w:sz w:val="20"/>
          <w:szCs w:val="20"/>
        </w:rPr>
        <w:t xml:space="preserve"> </w:t>
      </w:r>
      <w:r>
        <w:rPr>
          <w:spacing w:val="9"/>
          <w:sz w:val="20"/>
          <w:szCs w:val="20"/>
        </w:rPr>
        <w:t>七层模型中的应用层、表示层和会话层</w:t>
      </w:r>
      <w:r>
        <w:rPr>
          <w:spacing w:val="5"/>
          <w:sz w:val="20"/>
          <w:szCs w:val="20"/>
        </w:rPr>
        <w:t xml:space="preserve"> </w:t>
      </w:r>
      <w:r>
        <w:rPr>
          <w:spacing w:val="6"/>
          <w:sz w:val="20"/>
          <w:szCs w:val="20"/>
        </w:rPr>
        <w:t>的部分功能，定义了与应用程序自身业务逻辑密切</w:t>
      </w:r>
      <w:r>
        <w:rPr>
          <w:spacing w:val="5"/>
          <w:sz w:val="20"/>
          <w:szCs w:val="20"/>
        </w:rPr>
        <w:t>相关的全部规则(包括本地或异地属于一个</w:t>
      </w:r>
      <w:r>
        <w:rPr>
          <w:sz w:val="20"/>
          <w:szCs w:val="20"/>
        </w:rPr>
        <w:t xml:space="preserve"> </w:t>
      </w:r>
      <w:r>
        <w:rPr>
          <w:spacing w:val="6"/>
          <w:sz w:val="20"/>
          <w:szCs w:val="20"/>
        </w:rPr>
        <w:t>应用的不同模块之间的情形),以及利用下一层传输层进行业务数据传输的具体机制</w:t>
      </w:r>
      <w:r>
        <w:rPr>
          <w:spacing w:val="5"/>
          <w:sz w:val="20"/>
          <w:szCs w:val="20"/>
        </w:rPr>
        <w:t>。</w:t>
      </w:r>
      <w:r>
        <w:rPr>
          <w:spacing w:val="-40"/>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 xml:space="preserve">IP  </w:t>
      </w:r>
      <w:r>
        <w:rPr>
          <w:spacing w:val="5"/>
          <w:sz w:val="20"/>
          <w:szCs w:val="20"/>
        </w:rPr>
        <w:t>协议栈中，应用层以不同的协议规范实现不同的具体应用，例如</w:t>
      </w:r>
      <w:r>
        <w:rPr>
          <w:spacing w:val="-46"/>
          <w:sz w:val="20"/>
          <w:szCs w:val="20"/>
        </w:rPr>
        <w:t xml:space="preserve"> </w:t>
      </w:r>
      <w:r>
        <w:rPr>
          <w:sz w:val="20"/>
          <w:szCs w:val="20"/>
        </w:rPr>
        <w:t>SMTP</w:t>
      </w:r>
      <w:r>
        <w:rPr>
          <w:spacing w:val="5"/>
          <w:sz w:val="20"/>
          <w:szCs w:val="20"/>
        </w:rPr>
        <w:t>、</w:t>
      </w:r>
      <w:r>
        <w:rPr>
          <w:sz w:val="20"/>
          <w:szCs w:val="20"/>
        </w:rPr>
        <w:t>FTP</w:t>
      </w:r>
      <w:r>
        <w:rPr>
          <w:spacing w:val="5"/>
          <w:sz w:val="20"/>
          <w:szCs w:val="20"/>
        </w:rPr>
        <w:t>、</w:t>
      </w:r>
      <w:r>
        <w:rPr>
          <w:sz w:val="20"/>
          <w:szCs w:val="20"/>
        </w:rPr>
        <w:t>Telnet</w:t>
      </w:r>
      <w:r>
        <w:rPr>
          <w:spacing w:val="5"/>
          <w:sz w:val="20"/>
          <w:szCs w:val="20"/>
        </w:rPr>
        <w:t>、</w:t>
      </w:r>
      <w:r>
        <w:rPr>
          <w:sz w:val="20"/>
          <w:szCs w:val="20"/>
        </w:rPr>
        <w:t>DNS</w:t>
      </w:r>
      <w:r>
        <w:rPr>
          <w:spacing w:val="5"/>
          <w:sz w:val="20"/>
          <w:szCs w:val="20"/>
        </w:rPr>
        <w:t>、</w:t>
      </w:r>
    </w:p>
    <w:p w14:paraId="7DF76E5A">
      <w:pPr>
        <w:pStyle w:val="2"/>
        <w:spacing w:before="27" w:line="219" w:lineRule="auto"/>
        <w:ind w:left="309"/>
        <w:rPr>
          <w:sz w:val="20"/>
          <w:szCs w:val="20"/>
        </w:rPr>
      </w:pPr>
      <w:r>
        <w:rPr>
          <w:rFonts w:ascii="Times New Roman" w:hAnsi="Times New Roman" w:eastAsia="Times New Roman" w:cs="Times New Roman"/>
          <w:spacing w:val="-2"/>
          <w:sz w:val="20"/>
          <w:szCs w:val="20"/>
        </w:rPr>
        <w:t>HTTP</w:t>
      </w:r>
      <w:r>
        <w:rPr>
          <w:rFonts w:ascii="Times New Roman" w:hAnsi="Times New Roman" w:eastAsia="Times New Roman" w:cs="Times New Roman"/>
          <w:spacing w:val="-16"/>
          <w:sz w:val="20"/>
          <w:szCs w:val="20"/>
        </w:rPr>
        <w:t xml:space="preserve"> </w:t>
      </w:r>
      <w:r>
        <w:rPr>
          <w:spacing w:val="-2"/>
          <w:sz w:val="20"/>
          <w:szCs w:val="20"/>
        </w:rPr>
        <w:t>、</w:t>
      </w:r>
      <w:r>
        <w:rPr>
          <w:rFonts w:ascii="Times New Roman" w:hAnsi="Times New Roman" w:eastAsia="Times New Roman" w:cs="Times New Roman"/>
          <w:spacing w:val="-2"/>
          <w:sz w:val="20"/>
          <w:szCs w:val="20"/>
        </w:rPr>
        <w:t>NAT</w:t>
      </w:r>
      <w:r>
        <w:rPr>
          <w:rFonts w:ascii="Times New Roman" w:hAnsi="Times New Roman" w:eastAsia="Times New Roman" w:cs="Times New Roman"/>
          <w:spacing w:val="-17"/>
          <w:sz w:val="20"/>
          <w:szCs w:val="20"/>
        </w:rPr>
        <w:t xml:space="preserve"> </w:t>
      </w:r>
      <w:r>
        <w:rPr>
          <w:spacing w:val="-2"/>
          <w:sz w:val="20"/>
          <w:szCs w:val="20"/>
        </w:rPr>
        <w:t>等。应用程序的功能越来越多，一个应用程序可能会用到多个协议。</w:t>
      </w:r>
    </w:p>
    <w:p w14:paraId="4175509B">
      <w:pPr>
        <w:spacing w:before="157" w:line="230" w:lineRule="auto"/>
        <w:ind w:left="709"/>
        <w:rPr>
          <w:rFonts w:ascii="楷体" w:hAnsi="楷体" w:eastAsia="楷体" w:cs="楷体"/>
          <w:sz w:val="20"/>
          <w:szCs w:val="20"/>
        </w:rPr>
      </w:pPr>
      <w:r>
        <w:rPr>
          <w:rFonts w:ascii="楷体" w:hAnsi="楷体" w:eastAsia="楷体" w:cs="楷体"/>
          <w:spacing w:val="25"/>
          <w:sz w:val="20"/>
          <w:szCs w:val="20"/>
        </w:rPr>
        <w:t>2)传输层</w:t>
      </w:r>
    </w:p>
    <w:p w14:paraId="7C1D5E91">
      <w:pPr>
        <w:pStyle w:val="2"/>
        <w:spacing w:before="55" w:line="281" w:lineRule="auto"/>
        <w:ind w:left="309" w:firstLine="400"/>
        <w:rPr>
          <w:sz w:val="20"/>
          <w:szCs w:val="20"/>
        </w:rPr>
      </w:pPr>
      <w:r>
        <w:rPr>
          <w:spacing w:val="3"/>
          <w:sz w:val="20"/>
          <w:szCs w:val="20"/>
        </w:rPr>
        <w:t>传输层负责应用层协议发送和接收具体数据的机制和过程，包括逻辑连接的建立、维护和</w:t>
      </w:r>
      <w:r>
        <w:rPr>
          <w:spacing w:val="18"/>
          <w:sz w:val="20"/>
          <w:szCs w:val="20"/>
        </w:rPr>
        <w:t xml:space="preserve"> </w:t>
      </w:r>
      <w:r>
        <w:rPr>
          <w:spacing w:val="2"/>
          <w:sz w:val="20"/>
          <w:szCs w:val="20"/>
        </w:rPr>
        <w:t>拆除等，还包括可靠性传输和拥塞控制机制等。</w:t>
      </w:r>
      <w:r>
        <w:rPr>
          <w:rFonts w:ascii="Times New Roman" w:hAnsi="Times New Roman" w:eastAsia="Times New Roman" w:cs="Times New Roman"/>
          <w:sz w:val="20"/>
          <w:szCs w:val="20"/>
        </w:rPr>
        <w:t>TCP</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26"/>
          <w:w w:val="101"/>
          <w:sz w:val="20"/>
          <w:szCs w:val="20"/>
        </w:rPr>
        <w:t xml:space="preserve"> </w:t>
      </w:r>
      <w:r>
        <w:rPr>
          <w:spacing w:val="2"/>
          <w:sz w:val="20"/>
          <w:szCs w:val="20"/>
        </w:rPr>
        <w:t>协议栈中的传</w:t>
      </w:r>
      <w:r>
        <w:rPr>
          <w:spacing w:val="1"/>
          <w:sz w:val="20"/>
          <w:szCs w:val="20"/>
        </w:rPr>
        <w:t>输层对应</w:t>
      </w:r>
      <w:r>
        <w:rPr>
          <w:rFonts w:ascii="Times New Roman" w:hAnsi="Times New Roman" w:eastAsia="Times New Roman" w:cs="Times New Roman"/>
          <w:sz w:val="20"/>
          <w:szCs w:val="20"/>
        </w:rPr>
        <w:t>OSI</w:t>
      </w:r>
      <w:r>
        <w:rPr>
          <w:rFonts w:ascii="Times New Roman" w:hAnsi="Times New Roman" w:eastAsia="Times New Roman" w:cs="Times New Roman"/>
          <w:spacing w:val="15"/>
          <w:sz w:val="20"/>
          <w:szCs w:val="20"/>
        </w:rPr>
        <w:t xml:space="preserve"> </w:t>
      </w:r>
      <w:r>
        <w:rPr>
          <w:spacing w:val="1"/>
          <w:sz w:val="20"/>
          <w:szCs w:val="20"/>
        </w:rPr>
        <w:t>模型中的传</w:t>
      </w:r>
      <w:r>
        <w:rPr>
          <w:sz w:val="20"/>
          <w:szCs w:val="20"/>
        </w:rPr>
        <w:t xml:space="preserve"> </w:t>
      </w:r>
      <w:r>
        <w:rPr>
          <w:spacing w:val="7"/>
          <w:sz w:val="20"/>
          <w:szCs w:val="20"/>
        </w:rPr>
        <w:t>输层和会话层的部分功能。传输层主要包含</w:t>
      </w:r>
      <w:r>
        <w:rPr>
          <w:rFonts w:ascii="Times New Roman" w:hAnsi="Times New Roman" w:eastAsia="Times New Roman" w:cs="Times New Roman"/>
          <w:sz w:val="20"/>
          <w:szCs w:val="20"/>
        </w:rPr>
        <w:t>TCP</w:t>
      </w:r>
      <w:r>
        <w:rPr>
          <w:rFonts w:ascii="Times New Roman" w:hAnsi="Times New Roman" w:eastAsia="Times New Roman" w:cs="Times New Roman"/>
          <w:spacing w:val="7"/>
          <w:sz w:val="20"/>
          <w:szCs w:val="20"/>
        </w:rPr>
        <w:t xml:space="preserve"> </w:t>
      </w:r>
      <w:r>
        <w:rPr>
          <w:spacing w:val="7"/>
          <w:sz w:val="20"/>
          <w:szCs w:val="20"/>
        </w:rPr>
        <w:t>和</w:t>
      </w:r>
      <w:r>
        <w:rPr>
          <w:rFonts w:ascii="Times New Roman" w:hAnsi="Times New Roman" w:eastAsia="Times New Roman" w:cs="Times New Roman"/>
          <w:sz w:val="20"/>
          <w:szCs w:val="20"/>
        </w:rPr>
        <w:t>UDP</w:t>
      </w:r>
      <w:r>
        <w:rPr>
          <w:rFonts w:ascii="Times New Roman" w:hAnsi="Times New Roman" w:eastAsia="Times New Roman" w:cs="Times New Roman"/>
          <w:spacing w:val="6"/>
          <w:sz w:val="20"/>
          <w:szCs w:val="20"/>
        </w:rPr>
        <w:t xml:space="preserve"> </w:t>
      </w:r>
      <w:r>
        <w:rPr>
          <w:spacing w:val="6"/>
          <w:sz w:val="20"/>
          <w:szCs w:val="20"/>
        </w:rPr>
        <w:t>协议。</w:t>
      </w:r>
      <w:r>
        <w:rPr>
          <w:rFonts w:ascii="Times New Roman" w:hAnsi="Times New Roman" w:eastAsia="Times New Roman" w:cs="Times New Roman"/>
          <w:sz w:val="20"/>
          <w:szCs w:val="20"/>
        </w:rPr>
        <w:t>TCP</w:t>
      </w:r>
      <w:r>
        <w:rPr>
          <w:rFonts w:ascii="Times New Roman" w:hAnsi="Times New Roman" w:eastAsia="Times New Roman" w:cs="Times New Roman"/>
          <w:spacing w:val="6"/>
          <w:sz w:val="20"/>
          <w:szCs w:val="20"/>
        </w:rPr>
        <w:t xml:space="preserve"> </w:t>
      </w:r>
      <w:r>
        <w:rPr>
          <w:spacing w:val="6"/>
          <w:sz w:val="20"/>
          <w:szCs w:val="20"/>
        </w:rPr>
        <w:t>是面向连接的协议，在收</w:t>
      </w:r>
      <w:r>
        <w:rPr>
          <w:sz w:val="20"/>
          <w:szCs w:val="20"/>
        </w:rPr>
        <w:t xml:space="preserve"> </w:t>
      </w:r>
      <w:r>
        <w:rPr>
          <w:spacing w:val="1"/>
          <w:sz w:val="20"/>
          <w:szCs w:val="20"/>
        </w:rPr>
        <w:t>发数据前，必须和对方建立可靠的连接；</w:t>
      </w:r>
      <w:r>
        <w:rPr>
          <w:rFonts w:ascii="Times New Roman" w:hAnsi="Times New Roman" w:eastAsia="Times New Roman" w:cs="Times New Roman"/>
          <w:sz w:val="20"/>
          <w:szCs w:val="20"/>
        </w:rPr>
        <w:t>UDP</w:t>
      </w:r>
      <w:r>
        <w:rPr>
          <w:rFonts w:ascii="Times New Roman" w:hAnsi="Times New Roman" w:eastAsia="Times New Roman" w:cs="Times New Roman"/>
          <w:spacing w:val="37"/>
          <w:w w:val="101"/>
          <w:sz w:val="20"/>
          <w:szCs w:val="20"/>
        </w:rPr>
        <w:t xml:space="preserve"> </w:t>
      </w:r>
      <w:r>
        <w:rPr>
          <w:spacing w:val="1"/>
          <w:sz w:val="20"/>
          <w:szCs w:val="20"/>
        </w:rPr>
        <w:t>是非连接协议，传输数据之前源端和终端不建立</w:t>
      </w:r>
      <w:r>
        <w:rPr>
          <w:sz w:val="20"/>
          <w:szCs w:val="20"/>
        </w:rPr>
        <w:t xml:space="preserve"> </w:t>
      </w:r>
      <w:r>
        <w:rPr>
          <w:spacing w:val="-2"/>
          <w:sz w:val="20"/>
          <w:szCs w:val="20"/>
        </w:rPr>
        <w:t>连接，并不保证数据一定能传送到，也不保证按顺序传输。</w:t>
      </w:r>
    </w:p>
    <w:p w14:paraId="61A5B26B">
      <w:pPr>
        <w:spacing w:before="123" w:line="229" w:lineRule="auto"/>
        <w:ind w:left="709"/>
        <w:rPr>
          <w:rFonts w:ascii="楷体" w:hAnsi="楷体" w:eastAsia="楷体" w:cs="楷体"/>
          <w:sz w:val="20"/>
          <w:szCs w:val="20"/>
        </w:rPr>
      </w:pPr>
      <w:r>
        <w:rPr>
          <w:rFonts w:ascii="楷体" w:hAnsi="楷体" w:eastAsia="楷体" w:cs="楷体"/>
          <w:spacing w:val="16"/>
          <w:sz w:val="20"/>
          <w:szCs w:val="20"/>
        </w:rPr>
        <w:t>3)互联网络层</w:t>
      </w:r>
    </w:p>
    <w:p w14:paraId="73E5CAAA">
      <w:pPr>
        <w:pStyle w:val="2"/>
        <w:spacing w:before="57" w:line="282" w:lineRule="auto"/>
        <w:ind w:left="309" w:right="8" w:firstLine="400"/>
        <w:rPr>
          <w:sz w:val="20"/>
          <w:szCs w:val="20"/>
        </w:rPr>
      </w:pPr>
      <w:r>
        <w:rPr>
          <w:spacing w:val="3"/>
          <w:sz w:val="20"/>
          <w:szCs w:val="20"/>
        </w:rPr>
        <w:t>互联网络层负责基本的数据封装和全网传输，是整个网络内部、不同网络之间数据互联互</w:t>
      </w:r>
      <w:r>
        <w:rPr>
          <w:spacing w:val="10"/>
          <w:sz w:val="20"/>
          <w:szCs w:val="20"/>
        </w:rPr>
        <w:t xml:space="preserve"> </w:t>
      </w:r>
      <w:r>
        <w:rPr>
          <w:spacing w:val="1"/>
          <w:sz w:val="20"/>
          <w:szCs w:val="20"/>
        </w:rPr>
        <w:t>通最重要的一层，对应</w:t>
      </w:r>
      <w:r>
        <w:rPr>
          <w:rFonts w:ascii="Times New Roman" w:hAnsi="Times New Roman" w:eastAsia="Times New Roman" w:cs="Times New Roman"/>
          <w:sz w:val="20"/>
          <w:szCs w:val="20"/>
        </w:rPr>
        <w:t>OSI</w:t>
      </w:r>
      <w:r>
        <w:rPr>
          <w:rFonts w:ascii="Times New Roman" w:hAnsi="Times New Roman" w:eastAsia="Times New Roman" w:cs="Times New Roman"/>
          <w:spacing w:val="15"/>
          <w:sz w:val="20"/>
          <w:szCs w:val="20"/>
        </w:rPr>
        <w:t xml:space="preserve"> </w:t>
      </w:r>
      <w:r>
        <w:rPr>
          <w:spacing w:val="1"/>
          <w:sz w:val="20"/>
          <w:szCs w:val="20"/>
        </w:rPr>
        <w:t>模型中的网络层。互联网络层</w:t>
      </w:r>
      <w:r>
        <w:rPr>
          <w:sz w:val="20"/>
          <w:szCs w:val="20"/>
        </w:rPr>
        <w:t>最基本的协议是</w:t>
      </w:r>
      <w:r>
        <w:rPr>
          <w:rFonts w:ascii="Times New Roman" w:hAnsi="Times New Roman" w:eastAsia="Times New Roman" w:cs="Times New Roman"/>
          <w:sz w:val="20"/>
          <w:szCs w:val="20"/>
        </w:rPr>
        <w:t>IPv4</w:t>
      </w:r>
      <w:r>
        <w:rPr>
          <w:rFonts w:ascii="Times New Roman" w:hAnsi="Times New Roman" w:eastAsia="Times New Roman" w:cs="Times New Roman"/>
          <w:spacing w:val="17"/>
          <w:sz w:val="20"/>
          <w:szCs w:val="20"/>
        </w:rPr>
        <w:t xml:space="preserve"> </w:t>
      </w:r>
      <w:r>
        <w:rPr>
          <w:sz w:val="20"/>
          <w:szCs w:val="20"/>
        </w:rPr>
        <w:t>和</w:t>
      </w:r>
      <w:r>
        <w:rPr>
          <w:spacing w:val="-42"/>
          <w:sz w:val="20"/>
          <w:szCs w:val="20"/>
        </w:rPr>
        <w:t xml:space="preserve"> </w:t>
      </w:r>
      <w:r>
        <w:rPr>
          <w:rFonts w:ascii="Times New Roman" w:hAnsi="Times New Roman" w:eastAsia="Times New Roman" w:cs="Times New Roman"/>
          <w:sz w:val="20"/>
          <w:szCs w:val="20"/>
        </w:rPr>
        <w:t>IPv6</w:t>
      </w:r>
      <w:r>
        <w:rPr>
          <w:sz w:val="20"/>
          <w:szCs w:val="20"/>
        </w:rPr>
        <w:t>。</w:t>
      </w:r>
    </w:p>
    <w:p w14:paraId="47ED715E">
      <w:pPr>
        <w:spacing w:before="104" w:line="230" w:lineRule="auto"/>
        <w:ind w:left="709"/>
        <w:rPr>
          <w:rFonts w:ascii="楷体" w:hAnsi="楷体" w:eastAsia="楷体" w:cs="楷体"/>
          <w:sz w:val="20"/>
          <w:szCs w:val="20"/>
        </w:rPr>
      </w:pPr>
      <w:r>
        <w:rPr>
          <w:rFonts w:ascii="楷体" w:hAnsi="楷体" w:eastAsia="楷体" w:cs="楷体"/>
          <w:spacing w:val="11"/>
          <w:sz w:val="20"/>
          <w:szCs w:val="20"/>
        </w:rPr>
        <w:t>4)物理和数据链路层</w:t>
      </w:r>
    </w:p>
    <w:p w14:paraId="7CF1FDD4">
      <w:pPr>
        <w:pStyle w:val="2"/>
        <w:spacing w:before="47" w:line="291" w:lineRule="auto"/>
        <w:ind w:left="309" w:right="8" w:firstLine="400"/>
        <w:rPr>
          <w:sz w:val="20"/>
          <w:szCs w:val="20"/>
        </w:rPr>
      </w:pPr>
      <w:r>
        <w:rPr>
          <w:spacing w:val="2"/>
          <w:sz w:val="20"/>
          <w:szCs w:val="20"/>
        </w:rPr>
        <w:t>物理和数据链路层是</w:t>
      </w:r>
      <w:r>
        <w:rPr>
          <w:rFonts w:ascii="Times New Roman" w:hAnsi="Times New Roman" w:eastAsia="Times New Roman" w:cs="Times New Roman"/>
          <w:sz w:val="20"/>
          <w:szCs w:val="20"/>
        </w:rPr>
        <w:t>TCP</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32"/>
          <w:sz w:val="20"/>
          <w:szCs w:val="20"/>
        </w:rPr>
        <w:t xml:space="preserve"> </w:t>
      </w:r>
      <w:r>
        <w:rPr>
          <w:spacing w:val="2"/>
          <w:sz w:val="20"/>
          <w:szCs w:val="20"/>
        </w:rPr>
        <w:t>协议栈的最底层，对应</w:t>
      </w:r>
      <w:r>
        <w:rPr>
          <w:rFonts w:ascii="Times New Roman" w:hAnsi="Times New Roman" w:eastAsia="Times New Roman" w:cs="Times New Roman"/>
          <w:sz w:val="20"/>
          <w:szCs w:val="20"/>
        </w:rPr>
        <w:t>OSI</w:t>
      </w:r>
      <w:r>
        <w:rPr>
          <w:rFonts w:ascii="Times New Roman" w:hAnsi="Times New Roman" w:eastAsia="Times New Roman" w:cs="Times New Roman"/>
          <w:spacing w:val="2"/>
          <w:sz w:val="20"/>
          <w:szCs w:val="20"/>
        </w:rPr>
        <w:t xml:space="preserve"> </w:t>
      </w:r>
      <w:r>
        <w:rPr>
          <w:spacing w:val="2"/>
          <w:sz w:val="20"/>
          <w:szCs w:val="20"/>
        </w:rPr>
        <w:t>的下两层，基于各种物理介质实现</w:t>
      </w:r>
      <w:r>
        <w:rPr>
          <w:sz w:val="20"/>
          <w:szCs w:val="20"/>
        </w:rPr>
        <w:t xml:space="preserve"> </w:t>
      </w:r>
      <w:r>
        <w:rPr>
          <w:spacing w:val="-1"/>
          <w:sz w:val="20"/>
          <w:szCs w:val="20"/>
        </w:rPr>
        <w:t>对上层数据的成帧传输。局域网、城域网、广域网都在这一层定义。</w:t>
      </w:r>
    </w:p>
    <w:p w14:paraId="42EDB7EC">
      <w:pPr>
        <w:pStyle w:val="2"/>
        <w:spacing w:before="238" w:line="220" w:lineRule="auto"/>
        <w:ind w:left="309"/>
        <w:rPr>
          <w:sz w:val="20"/>
          <w:szCs w:val="20"/>
        </w:rPr>
      </w:pPr>
      <w:r>
        <w:rPr>
          <w:rFonts w:ascii="Times New Roman" w:hAnsi="Times New Roman" w:eastAsia="Times New Roman" w:cs="Times New Roman"/>
          <w:b/>
          <w:bCs/>
          <w:color w:val="005A96"/>
          <w:spacing w:val="-5"/>
          <w:sz w:val="20"/>
          <w:szCs w:val="20"/>
        </w:rPr>
        <w:t>3.2.2</w:t>
      </w:r>
      <w:r>
        <w:rPr>
          <w:rFonts w:ascii="Times New Roman" w:hAnsi="Times New Roman" w:eastAsia="Times New Roman" w:cs="Times New Roman"/>
          <w:b/>
          <w:bCs/>
          <w:color w:val="005A96"/>
          <w:spacing w:val="1"/>
          <w:sz w:val="20"/>
          <w:szCs w:val="20"/>
        </w:rPr>
        <w:t xml:space="preserve">        </w:t>
      </w:r>
      <w:r>
        <w:rPr>
          <w:rFonts w:ascii="Times New Roman" w:hAnsi="Times New Roman" w:eastAsia="Times New Roman" w:cs="Times New Roman"/>
          <w:b/>
          <w:bCs/>
          <w:color w:val="005A96"/>
          <w:spacing w:val="-5"/>
          <w:sz w:val="20"/>
          <w:szCs w:val="20"/>
        </w:rPr>
        <w:t>IPv4</w:t>
      </w:r>
      <w:r>
        <w:rPr>
          <w:b/>
          <w:bCs/>
          <w:color w:val="005A96"/>
          <w:spacing w:val="-5"/>
          <w:sz w:val="20"/>
          <w:szCs w:val="20"/>
        </w:rPr>
        <w:t>协</w:t>
      </w:r>
      <w:r>
        <w:rPr>
          <w:color w:val="005A96"/>
          <w:spacing w:val="-14"/>
          <w:sz w:val="20"/>
          <w:szCs w:val="20"/>
        </w:rPr>
        <w:t xml:space="preserve"> </w:t>
      </w:r>
      <w:r>
        <w:rPr>
          <w:b/>
          <w:bCs/>
          <w:color w:val="005A96"/>
          <w:spacing w:val="-5"/>
          <w:sz w:val="20"/>
          <w:szCs w:val="20"/>
        </w:rPr>
        <w:t>议</w:t>
      </w:r>
      <w:r>
        <w:rPr>
          <w:color w:val="005A96"/>
          <w:spacing w:val="-22"/>
          <w:sz w:val="20"/>
          <w:szCs w:val="20"/>
        </w:rPr>
        <w:t xml:space="preserve"> </w:t>
      </w:r>
      <w:r>
        <w:rPr>
          <w:b/>
          <w:bCs/>
          <w:color w:val="005A96"/>
          <w:spacing w:val="-5"/>
          <w:sz w:val="20"/>
          <w:szCs w:val="20"/>
        </w:rPr>
        <w:t>和</w:t>
      </w:r>
      <w:r>
        <w:rPr>
          <w:rFonts w:ascii="Times New Roman" w:hAnsi="Times New Roman" w:eastAsia="Times New Roman" w:cs="Times New Roman"/>
          <w:b/>
          <w:bCs/>
          <w:color w:val="005A96"/>
          <w:spacing w:val="-5"/>
          <w:sz w:val="20"/>
          <w:szCs w:val="20"/>
        </w:rPr>
        <w:t>IPv6</w:t>
      </w:r>
      <w:r>
        <w:rPr>
          <w:rFonts w:ascii="Times New Roman" w:hAnsi="Times New Roman" w:eastAsia="Times New Roman" w:cs="Times New Roman"/>
          <w:b/>
          <w:bCs/>
          <w:color w:val="005A96"/>
          <w:spacing w:val="37"/>
          <w:sz w:val="20"/>
          <w:szCs w:val="20"/>
        </w:rPr>
        <w:t xml:space="preserve"> </w:t>
      </w:r>
      <w:r>
        <w:rPr>
          <w:b/>
          <w:bCs/>
          <w:color w:val="005A96"/>
          <w:spacing w:val="-5"/>
          <w:sz w:val="20"/>
          <w:szCs w:val="20"/>
        </w:rPr>
        <w:t>协</w:t>
      </w:r>
      <w:r>
        <w:rPr>
          <w:color w:val="005A96"/>
          <w:spacing w:val="-5"/>
          <w:sz w:val="20"/>
          <w:szCs w:val="20"/>
        </w:rPr>
        <w:t xml:space="preserve"> </w:t>
      </w:r>
      <w:r>
        <w:rPr>
          <w:b/>
          <w:bCs/>
          <w:color w:val="005A96"/>
          <w:spacing w:val="-5"/>
          <w:sz w:val="20"/>
          <w:szCs w:val="20"/>
        </w:rPr>
        <w:t>议</w:t>
      </w:r>
    </w:p>
    <w:p w14:paraId="77E72B0A">
      <w:pPr>
        <w:pStyle w:val="2"/>
        <w:spacing w:before="270" w:line="222" w:lineRule="auto"/>
        <w:ind w:left="712"/>
        <w:rPr>
          <w:rFonts w:ascii="黑体" w:hAnsi="黑体" w:eastAsia="黑体" w:cs="黑体"/>
          <w:sz w:val="20"/>
          <w:szCs w:val="20"/>
        </w:rPr>
      </w:pPr>
      <w:r>
        <w:rPr>
          <w:b/>
          <w:bCs/>
          <w:color w:val="005E95"/>
          <w:spacing w:val="-6"/>
          <w:sz w:val="20"/>
          <w:szCs w:val="20"/>
        </w:rPr>
        <w:t>1.IPv4</w:t>
      </w:r>
      <w:r>
        <w:rPr>
          <w:color w:val="005E95"/>
          <w:spacing w:val="-34"/>
          <w:sz w:val="20"/>
          <w:szCs w:val="20"/>
        </w:rPr>
        <w:t xml:space="preserve"> </w:t>
      </w:r>
      <w:r>
        <w:rPr>
          <w:rFonts w:ascii="黑体" w:hAnsi="黑体" w:eastAsia="黑体" w:cs="黑体"/>
          <w:b/>
          <w:bCs/>
          <w:color w:val="005E95"/>
          <w:spacing w:val="-6"/>
          <w:sz w:val="20"/>
          <w:szCs w:val="20"/>
        </w:rPr>
        <w:t>协议</w:t>
      </w:r>
    </w:p>
    <w:p w14:paraId="436F5D29">
      <w:pPr>
        <w:pStyle w:val="2"/>
        <w:spacing w:before="81" w:line="293" w:lineRule="auto"/>
        <w:ind w:left="309" w:right="8" w:firstLine="400"/>
        <w:rPr>
          <w:sz w:val="20"/>
          <w:szCs w:val="20"/>
        </w:rPr>
      </w:pPr>
      <w:r>
        <w:rPr>
          <w:rFonts w:ascii="Times New Roman" w:hAnsi="Times New Roman" w:eastAsia="Times New Roman" w:cs="Times New Roman"/>
          <w:sz w:val="20"/>
          <w:szCs w:val="20"/>
        </w:rPr>
        <w:t>IPv</w:t>
      </w:r>
      <w:r>
        <w:rPr>
          <w:rFonts w:ascii="Times New Roman" w:hAnsi="Times New Roman" w:eastAsia="Times New Roman" w:cs="Times New Roman"/>
          <w:spacing w:val="8"/>
          <w:sz w:val="20"/>
          <w:szCs w:val="20"/>
        </w:rPr>
        <w:t>4</w:t>
      </w:r>
      <w:r>
        <w:rPr>
          <w:spacing w:val="8"/>
          <w:sz w:val="20"/>
          <w:szCs w:val="20"/>
        </w:rPr>
        <w:t>是互联网协议</w:t>
      </w:r>
      <w:r>
        <w:rPr>
          <w:spacing w:val="-50"/>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Internet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8"/>
          <w:sz w:val="20"/>
          <w:szCs w:val="20"/>
        </w:rPr>
        <w:t xml:space="preserve">) </w:t>
      </w:r>
      <w:r>
        <w:rPr>
          <w:spacing w:val="8"/>
          <w:sz w:val="20"/>
          <w:szCs w:val="20"/>
        </w:rPr>
        <w:t>的第四版，也是第一个被广</w:t>
      </w:r>
      <w:r>
        <w:rPr>
          <w:spacing w:val="7"/>
          <w:sz w:val="20"/>
          <w:szCs w:val="20"/>
        </w:rPr>
        <w:t>泛使用、构筑当今</w:t>
      </w:r>
      <w:r>
        <w:rPr>
          <w:sz w:val="20"/>
          <w:szCs w:val="20"/>
        </w:rPr>
        <w:t xml:space="preserve"> </w:t>
      </w:r>
      <w:r>
        <w:rPr>
          <w:spacing w:val="-1"/>
          <w:sz w:val="20"/>
          <w:szCs w:val="20"/>
        </w:rPr>
        <w:t>互联网基石的协议。主要技术概念包括</w:t>
      </w:r>
      <w:r>
        <w:rPr>
          <w:rFonts w:ascii="Times New Roman" w:hAnsi="Times New Roman" w:eastAsia="Times New Roman" w:cs="Times New Roman"/>
          <w:spacing w:val="-1"/>
          <w:sz w:val="20"/>
          <w:szCs w:val="20"/>
        </w:rPr>
        <w:t>IPv4</w:t>
      </w:r>
      <w:r>
        <w:rPr>
          <w:rFonts w:ascii="Times New Roman" w:hAnsi="Times New Roman" w:eastAsia="Times New Roman" w:cs="Times New Roman"/>
          <w:spacing w:val="17"/>
          <w:w w:val="101"/>
          <w:sz w:val="20"/>
          <w:szCs w:val="20"/>
        </w:rPr>
        <w:t xml:space="preserve"> </w:t>
      </w:r>
      <w:r>
        <w:rPr>
          <w:spacing w:val="-1"/>
          <w:sz w:val="20"/>
          <w:szCs w:val="20"/>
        </w:rPr>
        <w:t>数据包、</w:t>
      </w:r>
      <w:r>
        <w:rPr>
          <w:rFonts w:ascii="Times New Roman" w:hAnsi="Times New Roman" w:eastAsia="Times New Roman" w:cs="Times New Roman"/>
          <w:spacing w:val="-1"/>
          <w:sz w:val="20"/>
          <w:szCs w:val="20"/>
        </w:rPr>
        <w:t xml:space="preserve">IPv4 </w:t>
      </w:r>
      <w:r>
        <w:rPr>
          <w:spacing w:val="-1"/>
          <w:sz w:val="20"/>
          <w:szCs w:val="20"/>
        </w:rPr>
        <w:t>地址、</w:t>
      </w:r>
      <w:r>
        <w:rPr>
          <w:rFonts w:ascii="Times New Roman" w:hAnsi="Times New Roman" w:eastAsia="Times New Roman" w:cs="Times New Roman"/>
          <w:spacing w:val="-1"/>
          <w:sz w:val="20"/>
          <w:szCs w:val="20"/>
        </w:rPr>
        <w:t>IP</w:t>
      </w:r>
      <w:r>
        <w:rPr>
          <w:rFonts w:ascii="Times New Roman" w:hAnsi="Times New Roman" w:eastAsia="Times New Roman" w:cs="Times New Roman"/>
          <w:spacing w:val="-2"/>
          <w:sz w:val="20"/>
          <w:szCs w:val="20"/>
        </w:rPr>
        <w:t>v4</w:t>
      </w:r>
      <w:r>
        <w:rPr>
          <w:rFonts w:ascii="Times New Roman" w:hAnsi="Times New Roman" w:eastAsia="Times New Roman" w:cs="Times New Roman"/>
          <w:spacing w:val="27"/>
          <w:sz w:val="20"/>
          <w:szCs w:val="20"/>
        </w:rPr>
        <w:t xml:space="preserve"> </w:t>
      </w:r>
      <w:r>
        <w:rPr>
          <w:spacing w:val="-2"/>
          <w:sz w:val="20"/>
          <w:szCs w:val="20"/>
        </w:rPr>
        <w:t>路由。</w:t>
      </w:r>
    </w:p>
    <w:p w14:paraId="0433B2E5">
      <w:pPr>
        <w:spacing w:before="75" w:line="212" w:lineRule="auto"/>
        <w:ind w:left="709"/>
        <w:rPr>
          <w:rFonts w:ascii="楷体" w:hAnsi="楷体" w:eastAsia="楷体" w:cs="楷体"/>
          <w:sz w:val="20"/>
          <w:szCs w:val="20"/>
        </w:rPr>
      </w:pPr>
      <w:r>
        <w:rPr>
          <w:rFonts w:ascii="Times New Roman" w:hAnsi="Times New Roman" w:eastAsia="Times New Roman" w:cs="Times New Roman"/>
          <w:spacing w:val="-1"/>
          <w:sz w:val="20"/>
          <w:szCs w:val="20"/>
        </w:rPr>
        <w:t>1)IPv4</w:t>
      </w:r>
      <w:r>
        <w:rPr>
          <w:rFonts w:ascii="Times New Roman" w:hAnsi="Times New Roman" w:eastAsia="Times New Roman" w:cs="Times New Roman"/>
          <w:spacing w:val="10"/>
          <w:sz w:val="20"/>
          <w:szCs w:val="20"/>
        </w:rPr>
        <w:t xml:space="preserve">   </w:t>
      </w:r>
      <w:r>
        <w:rPr>
          <w:rFonts w:ascii="楷体" w:hAnsi="楷体" w:eastAsia="楷体" w:cs="楷体"/>
          <w:spacing w:val="-1"/>
          <w:sz w:val="20"/>
          <w:szCs w:val="20"/>
        </w:rPr>
        <w:t>数据包</w:t>
      </w:r>
    </w:p>
    <w:p w14:paraId="0AF765BB">
      <w:pPr>
        <w:pStyle w:val="2"/>
        <w:spacing w:before="101" w:line="219" w:lineRule="auto"/>
        <w:ind w:left="709"/>
        <w:rPr>
          <w:sz w:val="20"/>
          <w:szCs w:val="20"/>
        </w:rPr>
      </w:pPr>
      <w:r>
        <w:rPr>
          <w:sz w:val="20"/>
          <w:szCs w:val="20"/>
        </w:rPr>
        <w:t>IPv</w:t>
      </w:r>
      <w:r>
        <w:rPr>
          <w:spacing w:val="2"/>
          <w:sz w:val="20"/>
          <w:szCs w:val="20"/>
        </w:rPr>
        <w:t>4协议对在网络层传输的数据包进行了严格定义，如图3-4所示。</w:t>
      </w:r>
    </w:p>
    <w:p w14:paraId="23C80A74">
      <w:pPr>
        <w:spacing w:line="189" w:lineRule="exact"/>
      </w:pPr>
    </w:p>
    <w:p w14:paraId="3E58C9CB">
      <w:pPr>
        <w:spacing w:line="189" w:lineRule="exact"/>
        <w:sectPr>
          <w:pgSz w:w="10300" w:h="13330"/>
          <w:pgMar w:top="400" w:right="1113" w:bottom="400" w:left="540" w:header="0" w:footer="0" w:gutter="0"/>
          <w:cols w:equalWidth="0" w:num="1">
            <w:col w:w="8647"/>
          </w:cols>
        </w:sectPr>
      </w:pPr>
    </w:p>
    <w:p w14:paraId="4987DE2E">
      <w:pPr>
        <w:pStyle w:val="2"/>
        <w:spacing w:before="36" w:line="221" w:lineRule="auto"/>
        <w:ind w:left="1480"/>
        <w:rPr>
          <w:sz w:val="18"/>
          <w:szCs w:val="18"/>
        </w:rPr>
      </w:pPr>
      <w:r>
        <w:rPr>
          <w:sz w:val="18"/>
          <w:szCs w:val="18"/>
        </w:rPr>
        <w:t>位</w:t>
      </w:r>
    </w:p>
    <w:p w14:paraId="66AE8424">
      <w:pPr>
        <w:spacing w:line="257" w:lineRule="auto"/>
        <w:rPr>
          <w:rFonts w:ascii="Arial"/>
          <w:sz w:val="21"/>
        </w:rPr>
      </w:pPr>
    </w:p>
    <w:p w14:paraId="648B5CD1">
      <w:pPr>
        <w:spacing w:line="257" w:lineRule="auto"/>
        <w:rPr>
          <w:rFonts w:ascii="Arial"/>
          <w:sz w:val="21"/>
        </w:rPr>
      </w:pPr>
      <w:r>
        <w:pict>
          <v:shape id="_x0000_s1181" o:spid="_x0000_s1181" o:spt="202" type="#_x0000_t202" style="position:absolute;left:0pt;margin-left:55.55pt;margin-top:7.8pt;height:38pt;width:27.05pt;z-index:251688960;mso-width-relative:page;mso-height-relative:page;" filled="f" stroked="f" coordsize="21600,21600">
            <v:path/>
            <v:fill on="f" focussize="0,0"/>
            <v:stroke on="f"/>
            <v:imagedata o:title=""/>
            <o:lock v:ext="edit" aspectratio="f"/>
            <v:textbox inset="0mm,0mm,0mm,0mm" style="layout-flow:vertical-ideographic;">
              <w:txbxContent>
                <w:p w14:paraId="4A0D85D6">
                  <w:pPr>
                    <w:pStyle w:val="2"/>
                    <w:spacing w:before="20" w:line="259" w:lineRule="auto"/>
                    <w:ind w:left="170" w:right="20" w:hanging="150"/>
                    <w:rPr>
                      <w:sz w:val="18"/>
                      <w:szCs w:val="18"/>
                    </w:rPr>
                  </w:pPr>
                  <w:r>
                    <w:rPr>
                      <w:sz w:val="18"/>
                      <w:szCs w:val="18"/>
                    </w:rPr>
                    <w:t>固定部分 包头</w:t>
                  </w:r>
                </w:p>
              </w:txbxContent>
            </v:textbox>
          </v:shape>
        </w:pict>
      </w:r>
    </w:p>
    <w:p w14:paraId="2ABFC78E">
      <w:pPr>
        <w:spacing w:line="257" w:lineRule="auto"/>
        <w:rPr>
          <w:rFonts w:ascii="Arial"/>
          <w:sz w:val="21"/>
        </w:rPr>
      </w:pPr>
    </w:p>
    <w:p w14:paraId="5C3EE110">
      <w:pPr>
        <w:spacing w:line="258" w:lineRule="auto"/>
        <w:rPr>
          <w:rFonts w:ascii="Arial"/>
          <w:sz w:val="21"/>
        </w:rPr>
      </w:pPr>
    </w:p>
    <w:p w14:paraId="5FE08BC3">
      <w:pPr>
        <w:spacing w:line="258" w:lineRule="auto"/>
        <w:rPr>
          <w:rFonts w:ascii="Arial"/>
          <w:sz w:val="21"/>
        </w:rPr>
      </w:pPr>
    </w:p>
    <w:p w14:paraId="4F406293">
      <w:pPr>
        <w:spacing w:line="258" w:lineRule="auto"/>
        <w:rPr>
          <w:rFonts w:ascii="Arial"/>
          <w:sz w:val="21"/>
        </w:rPr>
      </w:pPr>
    </w:p>
    <w:p w14:paraId="5C778104">
      <w:pPr>
        <w:pStyle w:val="2"/>
        <w:spacing w:before="59" w:line="217" w:lineRule="auto"/>
        <w:ind w:left="1429" w:firstLine="9"/>
        <w:rPr>
          <w:sz w:val="18"/>
          <w:szCs w:val="18"/>
        </w:rPr>
      </w:pPr>
      <w:r>
        <w:rPr>
          <w:spacing w:val="-5"/>
          <w:sz w:val="18"/>
          <w:szCs w:val="18"/>
        </w:rPr>
        <w:t>可变</w:t>
      </w:r>
      <w:r>
        <w:rPr>
          <w:sz w:val="18"/>
          <w:szCs w:val="18"/>
        </w:rPr>
        <w:t xml:space="preserve"> </w:t>
      </w:r>
      <w:r>
        <w:rPr>
          <w:spacing w:val="-3"/>
          <w:sz w:val="18"/>
          <w:szCs w:val="18"/>
        </w:rPr>
        <w:t>部分</w:t>
      </w:r>
    </w:p>
    <w:p w14:paraId="6A1D04FB">
      <w:pPr>
        <w:spacing w:line="14" w:lineRule="auto"/>
        <w:rPr>
          <w:rFonts w:ascii="Arial"/>
          <w:sz w:val="2"/>
        </w:rPr>
      </w:pPr>
      <w:r>
        <w:rPr>
          <w:rFonts w:ascii="Arial" w:hAnsi="Arial" w:eastAsia="Arial" w:cs="Arial"/>
          <w:sz w:val="2"/>
          <w:szCs w:val="2"/>
        </w:rPr>
        <w:br w:type="column"/>
      </w:r>
    </w:p>
    <w:p w14:paraId="23C2CE82">
      <w:pPr>
        <w:pStyle w:val="2"/>
        <w:spacing w:before="63" w:line="170" w:lineRule="exact"/>
        <w:rPr>
          <w:sz w:val="18"/>
          <w:szCs w:val="18"/>
        </w:rPr>
      </w:pPr>
      <w:r>
        <w:rPr>
          <w:spacing w:val="-6"/>
          <w:sz w:val="18"/>
          <w:szCs w:val="18"/>
        </w:rPr>
        <w:t xml:space="preserve">0                  </w:t>
      </w:r>
      <w:r>
        <w:rPr>
          <w:spacing w:val="-6"/>
          <w:position w:val="-3"/>
          <w:sz w:val="18"/>
          <w:szCs w:val="18"/>
        </w:rPr>
        <w:t>8</w:t>
      </w:r>
      <w:r>
        <w:rPr>
          <w:spacing w:val="6"/>
          <w:position w:val="-3"/>
          <w:sz w:val="18"/>
          <w:szCs w:val="18"/>
        </w:rPr>
        <w:t xml:space="preserve">              </w:t>
      </w:r>
      <w:r>
        <w:rPr>
          <w:spacing w:val="-6"/>
          <w:position w:val="-3"/>
          <w:sz w:val="18"/>
          <w:szCs w:val="18"/>
        </w:rPr>
        <w:t>16</w:t>
      </w:r>
      <w:r>
        <w:rPr>
          <w:spacing w:val="12"/>
          <w:position w:val="-3"/>
          <w:sz w:val="18"/>
          <w:szCs w:val="18"/>
        </w:rPr>
        <w:t xml:space="preserve">      </w:t>
      </w:r>
      <w:r>
        <w:rPr>
          <w:spacing w:val="-6"/>
          <w:position w:val="-3"/>
          <w:sz w:val="18"/>
          <w:szCs w:val="18"/>
        </w:rPr>
        <w:t>1</w:t>
      </w:r>
      <w:r>
        <w:rPr>
          <w:spacing w:val="-7"/>
          <w:position w:val="-3"/>
          <w:sz w:val="18"/>
          <w:szCs w:val="18"/>
        </w:rPr>
        <w:t>9        24           31</w:t>
      </w:r>
    </w:p>
    <w:tbl>
      <w:tblPr>
        <w:tblStyle w:val="5"/>
        <w:tblW w:w="59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7"/>
        <w:gridCol w:w="789"/>
        <w:gridCol w:w="1417"/>
        <w:gridCol w:w="858"/>
        <w:gridCol w:w="739"/>
        <w:gridCol w:w="1283"/>
      </w:tblGrid>
      <w:tr w14:paraId="1F893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817" w:type="dxa"/>
            <w:tcBorders>
              <w:top w:val="single" w:color="000000" w:sz="2" w:space="0"/>
              <w:bottom w:val="single" w:color="000000" w:sz="2" w:space="0"/>
            </w:tcBorders>
            <w:vAlign w:val="top"/>
          </w:tcPr>
          <w:p w14:paraId="3973D1F3">
            <w:pPr>
              <w:pStyle w:val="6"/>
              <w:spacing w:before="74" w:line="219" w:lineRule="auto"/>
              <w:ind w:left="198"/>
              <w:rPr>
                <w:sz w:val="18"/>
                <w:szCs w:val="18"/>
              </w:rPr>
            </w:pPr>
            <w:r>
              <w:rPr>
                <w:spacing w:val="-2"/>
                <w:sz w:val="18"/>
                <w:szCs w:val="18"/>
              </w:rPr>
              <w:t>版本号</w:t>
            </w:r>
          </w:p>
        </w:tc>
        <w:tc>
          <w:tcPr>
            <w:tcW w:w="789" w:type="dxa"/>
            <w:tcBorders>
              <w:top w:val="single" w:color="000000" w:sz="2" w:space="0"/>
              <w:bottom w:val="single" w:color="000000" w:sz="2" w:space="0"/>
            </w:tcBorders>
            <w:vAlign w:val="top"/>
          </w:tcPr>
          <w:p w14:paraId="3968D385">
            <w:pPr>
              <w:pStyle w:val="6"/>
              <w:spacing w:before="75" w:line="219" w:lineRule="auto"/>
              <w:ind w:left="51"/>
              <w:rPr>
                <w:sz w:val="18"/>
                <w:szCs w:val="18"/>
              </w:rPr>
            </w:pPr>
            <w:r>
              <w:rPr>
                <w:spacing w:val="-2"/>
                <w:sz w:val="18"/>
                <w:szCs w:val="18"/>
              </w:rPr>
              <w:t>包头长度</w:t>
            </w:r>
          </w:p>
        </w:tc>
        <w:tc>
          <w:tcPr>
            <w:tcW w:w="1417" w:type="dxa"/>
            <w:tcBorders>
              <w:top w:val="single" w:color="000000" w:sz="2" w:space="0"/>
              <w:bottom w:val="single" w:color="000000" w:sz="2" w:space="0"/>
            </w:tcBorders>
            <w:vAlign w:val="top"/>
          </w:tcPr>
          <w:p w14:paraId="0D93069D">
            <w:pPr>
              <w:pStyle w:val="6"/>
              <w:spacing w:before="75" w:line="219" w:lineRule="auto"/>
              <w:ind w:left="112"/>
              <w:rPr>
                <w:sz w:val="18"/>
                <w:szCs w:val="18"/>
              </w:rPr>
            </w:pPr>
            <w:r>
              <w:rPr>
                <w:spacing w:val="6"/>
                <w:sz w:val="18"/>
                <w:szCs w:val="18"/>
              </w:rPr>
              <w:t>服务类型(</w:t>
            </w:r>
            <w:r>
              <w:rPr>
                <w:sz w:val="18"/>
                <w:szCs w:val="18"/>
              </w:rPr>
              <w:t>TOS</w:t>
            </w:r>
            <w:r>
              <w:rPr>
                <w:spacing w:val="6"/>
                <w:sz w:val="18"/>
                <w:szCs w:val="18"/>
              </w:rPr>
              <w:t>)</w:t>
            </w:r>
          </w:p>
        </w:tc>
        <w:tc>
          <w:tcPr>
            <w:tcW w:w="2880" w:type="dxa"/>
            <w:gridSpan w:val="3"/>
            <w:tcBorders>
              <w:top w:val="single" w:color="000000" w:sz="2" w:space="0"/>
              <w:bottom w:val="single" w:color="000000" w:sz="2" w:space="0"/>
            </w:tcBorders>
            <w:vAlign w:val="top"/>
          </w:tcPr>
          <w:p w14:paraId="4DD2B794">
            <w:pPr>
              <w:pStyle w:val="6"/>
              <w:spacing w:before="76" w:line="220" w:lineRule="auto"/>
              <w:ind w:left="1165"/>
              <w:rPr>
                <w:sz w:val="18"/>
                <w:szCs w:val="18"/>
              </w:rPr>
            </w:pPr>
            <w:r>
              <w:rPr>
                <w:spacing w:val="3"/>
                <w:sz w:val="18"/>
                <w:szCs w:val="18"/>
              </w:rPr>
              <w:t>总长度</w:t>
            </w:r>
          </w:p>
        </w:tc>
      </w:tr>
      <w:tr w14:paraId="5F297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3023" w:type="dxa"/>
            <w:gridSpan w:val="3"/>
            <w:tcBorders>
              <w:top w:val="single" w:color="000000" w:sz="2" w:space="0"/>
              <w:bottom w:val="single" w:color="000000" w:sz="2" w:space="0"/>
            </w:tcBorders>
            <w:vAlign w:val="top"/>
          </w:tcPr>
          <w:p w14:paraId="10373E05">
            <w:pPr>
              <w:pStyle w:val="6"/>
              <w:spacing w:before="71" w:line="220" w:lineRule="auto"/>
              <w:ind w:left="1368"/>
              <w:rPr>
                <w:sz w:val="18"/>
                <w:szCs w:val="18"/>
              </w:rPr>
            </w:pPr>
            <w:r>
              <w:rPr>
                <w:spacing w:val="-2"/>
                <w:sz w:val="18"/>
                <w:szCs w:val="18"/>
              </w:rPr>
              <w:t>标识</w:t>
            </w:r>
          </w:p>
        </w:tc>
        <w:tc>
          <w:tcPr>
            <w:tcW w:w="858" w:type="dxa"/>
            <w:tcBorders>
              <w:top w:val="single" w:color="000000" w:sz="2" w:space="0"/>
              <w:bottom w:val="single" w:color="000000" w:sz="2" w:space="0"/>
            </w:tcBorders>
            <w:vAlign w:val="top"/>
          </w:tcPr>
          <w:p w14:paraId="408B515A">
            <w:pPr>
              <w:pStyle w:val="6"/>
              <w:spacing w:before="71" w:line="220" w:lineRule="auto"/>
              <w:ind w:left="175"/>
              <w:rPr>
                <w:sz w:val="18"/>
                <w:szCs w:val="18"/>
              </w:rPr>
            </w:pPr>
            <w:r>
              <w:rPr>
                <w:spacing w:val="-2"/>
                <w:sz w:val="18"/>
                <w:szCs w:val="18"/>
              </w:rPr>
              <w:t>标志位</w:t>
            </w:r>
          </w:p>
        </w:tc>
        <w:tc>
          <w:tcPr>
            <w:tcW w:w="2022" w:type="dxa"/>
            <w:gridSpan w:val="2"/>
            <w:tcBorders>
              <w:top w:val="single" w:color="000000" w:sz="2" w:space="0"/>
              <w:bottom w:val="single" w:color="000000" w:sz="2" w:space="0"/>
            </w:tcBorders>
            <w:vAlign w:val="top"/>
          </w:tcPr>
          <w:p w14:paraId="1B7166A9">
            <w:pPr>
              <w:pStyle w:val="6"/>
              <w:spacing w:before="71" w:line="219" w:lineRule="auto"/>
              <w:ind w:left="757"/>
              <w:rPr>
                <w:sz w:val="18"/>
                <w:szCs w:val="18"/>
              </w:rPr>
            </w:pPr>
            <w:r>
              <w:rPr>
                <w:spacing w:val="3"/>
                <w:sz w:val="18"/>
                <w:szCs w:val="18"/>
              </w:rPr>
              <w:t>片偏移</w:t>
            </w:r>
          </w:p>
        </w:tc>
      </w:tr>
      <w:tr w14:paraId="60ADD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606" w:type="dxa"/>
            <w:gridSpan w:val="2"/>
            <w:tcBorders>
              <w:top w:val="single" w:color="000000" w:sz="2" w:space="0"/>
              <w:bottom w:val="single" w:color="000000" w:sz="2" w:space="0"/>
            </w:tcBorders>
            <w:vAlign w:val="top"/>
          </w:tcPr>
          <w:p w14:paraId="777580EF">
            <w:pPr>
              <w:pStyle w:val="6"/>
              <w:spacing w:before="82" w:line="219" w:lineRule="auto"/>
              <w:ind w:left="228"/>
              <w:rPr>
                <w:sz w:val="18"/>
                <w:szCs w:val="18"/>
              </w:rPr>
            </w:pPr>
            <w:r>
              <w:rPr>
                <w:spacing w:val="6"/>
                <w:sz w:val="18"/>
                <w:szCs w:val="18"/>
              </w:rPr>
              <w:t>生存时间(</w:t>
            </w:r>
            <w:r>
              <w:rPr>
                <w:sz w:val="18"/>
                <w:szCs w:val="18"/>
              </w:rPr>
              <w:t>TTL</w:t>
            </w:r>
            <w:r>
              <w:rPr>
                <w:spacing w:val="6"/>
                <w:sz w:val="18"/>
                <w:szCs w:val="18"/>
              </w:rPr>
              <w:t>)</w:t>
            </w:r>
          </w:p>
        </w:tc>
        <w:tc>
          <w:tcPr>
            <w:tcW w:w="1417" w:type="dxa"/>
            <w:tcBorders>
              <w:top w:val="single" w:color="000000" w:sz="2" w:space="0"/>
              <w:bottom w:val="single" w:color="000000" w:sz="2" w:space="0"/>
            </w:tcBorders>
            <w:vAlign w:val="top"/>
          </w:tcPr>
          <w:p w14:paraId="73E86A88">
            <w:pPr>
              <w:pStyle w:val="6"/>
              <w:spacing w:before="82" w:line="220" w:lineRule="auto"/>
              <w:ind w:left="522"/>
              <w:rPr>
                <w:sz w:val="18"/>
                <w:szCs w:val="18"/>
              </w:rPr>
            </w:pPr>
            <w:r>
              <w:rPr>
                <w:spacing w:val="-2"/>
                <w:sz w:val="18"/>
                <w:szCs w:val="18"/>
              </w:rPr>
              <w:t>协议</w:t>
            </w:r>
          </w:p>
        </w:tc>
        <w:tc>
          <w:tcPr>
            <w:tcW w:w="2880" w:type="dxa"/>
            <w:gridSpan w:val="3"/>
            <w:tcBorders>
              <w:top w:val="single" w:color="000000" w:sz="2" w:space="0"/>
              <w:bottom w:val="single" w:color="000000" w:sz="2" w:space="0"/>
            </w:tcBorders>
            <w:vAlign w:val="top"/>
          </w:tcPr>
          <w:p w14:paraId="4E6004AD">
            <w:pPr>
              <w:pStyle w:val="6"/>
              <w:spacing w:before="82" w:line="219" w:lineRule="auto"/>
              <w:ind w:left="985"/>
              <w:rPr>
                <w:sz w:val="18"/>
                <w:szCs w:val="18"/>
              </w:rPr>
            </w:pPr>
            <w:r>
              <w:rPr>
                <w:spacing w:val="2"/>
                <w:sz w:val="18"/>
                <w:szCs w:val="18"/>
              </w:rPr>
              <w:t>包头检验和</w:t>
            </w:r>
          </w:p>
        </w:tc>
      </w:tr>
      <w:tr w14:paraId="785DC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5903" w:type="dxa"/>
            <w:gridSpan w:val="6"/>
            <w:tcBorders>
              <w:top w:val="single" w:color="000000" w:sz="2" w:space="0"/>
              <w:bottom w:val="single" w:color="000000" w:sz="2" w:space="0"/>
            </w:tcBorders>
            <w:vAlign w:val="top"/>
          </w:tcPr>
          <w:p w14:paraId="00A76958">
            <w:pPr>
              <w:pStyle w:val="6"/>
              <w:spacing w:before="76" w:line="222" w:lineRule="auto"/>
              <w:ind w:left="2628"/>
              <w:rPr>
                <w:sz w:val="18"/>
                <w:szCs w:val="18"/>
              </w:rPr>
            </w:pPr>
            <w:r>
              <w:rPr>
                <w:spacing w:val="-1"/>
                <w:sz w:val="18"/>
                <w:szCs w:val="18"/>
              </w:rPr>
              <w:t>源IP地址</w:t>
            </w:r>
          </w:p>
        </w:tc>
      </w:tr>
      <w:tr w14:paraId="023C2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5903" w:type="dxa"/>
            <w:gridSpan w:val="6"/>
            <w:tcBorders>
              <w:top w:val="single" w:color="000000" w:sz="2" w:space="0"/>
              <w:bottom w:val="single" w:color="000000" w:sz="2" w:space="0"/>
            </w:tcBorders>
            <w:vAlign w:val="top"/>
          </w:tcPr>
          <w:p w14:paraId="6A47EA8C">
            <w:pPr>
              <w:pStyle w:val="6"/>
              <w:spacing w:before="87" w:line="222" w:lineRule="auto"/>
              <w:ind w:left="2538"/>
              <w:rPr>
                <w:sz w:val="18"/>
                <w:szCs w:val="18"/>
              </w:rPr>
            </w:pPr>
            <w:r>
              <w:rPr>
                <w:spacing w:val="2"/>
                <w:sz w:val="18"/>
                <w:szCs w:val="18"/>
              </w:rPr>
              <w:t>目的</w:t>
            </w:r>
            <w:r>
              <w:rPr>
                <w:sz w:val="18"/>
                <w:szCs w:val="18"/>
              </w:rPr>
              <w:t>IP</w:t>
            </w:r>
            <w:r>
              <w:rPr>
                <w:spacing w:val="2"/>
                <w:sz w:val="18"/>
                <w:szCs w:val="18"/>
              </w:rPr>
              <w:t>地址</w:t>
            </w:r>
          </w:p>
        </w:tc>
      </w:tr>
      <w:tr w14:paraId="49794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4620" w:type="dxa"/>
            <w:gridSpan w:val="5"/>
            <w:tcBorders>
              <w:top w:val="single" w:color="000000" w:sz="2" w:space="0"/>
              <w:bottom w:val="single" w:color="000000" w:sz="2" w:space="0"/>
            </w:tcBorders>
            <w:vAlign w:val="top"/>
          </w:tcPr>
          <w:p w14:paraId="49563F7A">
            <w:pPr>
              <w:pStyle w:val="6"/>
              <w:spacing w:before="85" w:line="219" w:lineRule="auto"/>
              <w:ind w:left="1538"/>
              <w:rPr>
                <w:sz w:val="18"/>
                <w:szCs w:val="18"/>
              </w:rPr>
            </w:pPr>
            <w:r>
              <w:rPr>
                <w:spacing w:val="3"/>
                <w:sz w:val="18"/>
                <w:szCs w:val="18"/>
              </w:rPr>
              <w:t>选项字段(长度可变)</w:t>
            </w:r>
          </w:p>
        </w:tc>
        <w:tc>
          <w:tcPr>
            <w:tcW w:w="1283" w:type="dxa"/>
            <w:tcBorders>
              <w:top w:val="single" w:color="000000" w:sz="2" w:space="0"/>
              <w:bottom w:val="single" w:color="000000" w:sz="2" w:space="0"/>
            </w:tcBorders>
            <w:vAlign w:val="top"/>
          </w:tcPr>
          <w:p w14:paraId="340FC821">
            <w:pPr>
              <w:pStyle w:val="6"/>
              <w:spacing w:before="86" w:line="220" w:lineRule="auto"/>
              <w:ind w:left="478"/>
              <w:rPr>
                <w:sz w:val="18"/>
                <w:szCs w:val="18"/>
              </w:rPr>
            </w:pPr>
            <w:r>
              <w:rPr>
                <w:spacing w:val="-3"/>
                <w:sz w:val="18"/>
                <w:szCs w:val="18"/>
              </w:rPr>
              <w:t>填充</w:t>
            </w:r>
          </w:p>
        </w:tc>
      </w:tr>
      <w:tr w14:paraId="72A03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5903" w:type="dxa"/>
            <w:gridSpan w:val="6"/>
            <w:tcBorders>
              <w:top w:val="single" w:color="000000" w:sz="2" w:space="0"/>
              <w:bottom w:val="single" w:color="000000" w:sz="2" w:space="0"/>
            </w:tcBorders>
            <w:shd w:val="clear" w:color="auto" w:fill="BAEBEE"/>
            <w:vAlign w:val="top"/>
          </w:tcPr>
          <w:p w14:paraId="3934997D">
            <w:pPr>
              <w:pStyle w:val="6"/>
              <w:spacing w:before="136" w:line="219" w:lineRule="auto"/>
              <w:ind w:left="2808"/>
              <w:rPr>
                <w:sz w:val="18"/>
                <w:szCs w:val="18"/>
              </w:rPr>
            </w:pPr>
            <w:r>
              <w:rPr>
                <w:color w:val="006285"/>
                <w:spacing w:val="-3"/>
                <w:sz w:val="18"/>
                <w:szCs w:val="18"/>
              </w:rPr>
              <w:t>数据</w:t>
            </w:r>
          </w:p>
        </w:tc>
      </w:tr>
    </w:tbl>
    <w:p w14:paraId="1F16C367">
      <w:pPr>
        <w:spacing w:line="14" w:lineRule="auto"/>
        <w:rPr>
          <w:rFonts w:ascii="Arial"/>
          <w:sz w:val="2"/>
        </w:rPr>
      </w:pPr>
    </w:p>
    <w:p w14:paraId="3C0E7DFA">
      <w:pPr>
        <w:spacing w:line="14" w:lineRule="auto"/>
        <w:rPr>
          <w:rFonts w:ascii="Arial" w:hAnsi="Arial" w:eastAsia="Arial" w:cs="Arial"/>
          <w:sz w:val="2"/>
          <w:szCs w:val="2"/>
        </w:rPr>
        <w:sectPr>
          <w:type w:val="continuous"/>
          <w:pgSz w:w="10300" w:h="13330"/>
          <w:pgMar w:top="400" w:right="1113" w:bottom="400" w:left="540" w:header="0" w:footer="0" w:gutter="0"/>
          <w:cols w:equalWidth="0" w:num="2">
            <w:col w:w="1792" w:space="49"/>
            <w:col w:w="6806"/>
          </w:cols>
        </w:sectPr>
      </w:pPr>
    </w:p>
    <w:p w14:paraId="5C729C24">
      <w:pPr>
        <w:pStyle w:val="2"/>
        <w:spacing w:before="113" w:line="184" w:lineRule="auto"/>
        <w:ind w:left="3540"/>
        <w:rPr>
          <w:sz w:val="20"/>
          <w:szCs w:val="20"/>
        </w:rPr>
      </w:pPr>
      <w:r>
        <w:rPr>
          <w:spacing w:val="-5"/>
          <w:sz w:val="20"/>
          <w:szCs w:val="20"/>
        </w:rPr>
        <w:t>图3-4</w:t>
      </w:r>
      <w:r>
        <w:rPr>
          <w:spacing w:val="19"/>
          <w:sz w:val="20"/>
          <w:szCs w:val="20"/>
        </w:rPr>
        <w:t xml:space="preserve"> </w:t>
      </w:r>
      <w:r>
        <w:rPr>
          <w:rFonts w:ascii="Times New Roman" w:hAnsi="Times New Roman" w:eastAsia="Times New Roman" w:cs="Times New Roman"/>
          <w:spacing w:val="-5"/>
          <w:sz w:val="20"/>
          <w:szCs w:val="20"/>
        </w:rPr>
        <w:t>IPv4</w:t>
      </w:r>
      <w:r>
        <w:rPr>
          <w:spacing w:val="-5"/>
          <w:sz w:val="20"/>
          <w:szCs w:val="20"/>
        </w:rPr>
        <w:t>数据包格式</w:t>
      </w:r>
    </w:p>
    <w:p w14:paraId="7781F23A">
      <w:pPr>
        <w:spacing w:line="184" w:lineRule="auto"/>
        <w:rPr>
          <w:sz w:val="20"/>
          <w:szCs w:val="20"/>
        </w:rPr>
        <w:sectPr>
          <w:type w:val="continuous"/>
          <w:pgSz w:w="10300" w:h="13330"/>
          <w:pgMar w:top="400" w:right="1113" w:bottom="400" w:left="540" w:header="0" w:footer="0" w:gutter="0"/>
          <w:cols w:equalWidth="0" w:num="1">
            <w:col w:w="8647"/>
          </w:cols>
        </w:sectPr>
      </w:pPr>
    </w:p>
    <w:p w14:paraId="1EB7920C">
      <w:pPr>
        <w:pStyle w:val="2"/>
        <w:spacing w:before="86" w:line="219" w:lineRule="auto"/>
        <w:jc w:val="right"/>
        <w:rPr>
          <w:rFonts w:ascii="Times New Roman" w:hAnsi="Times New Roman" w:eastAsia="Times New Roman" w:cs="Times New Roman"/>
          <w:sz w:val="17"/>
          <w:szCs w:val="17"/>
        </w:rPr>
      </w:pPr>
      <w:bookmarkStart w:id="531" w:name="bookmark518"/>
      <w:bookmarkEnd w:id="531"/>
      <w:r>
        <w:rPr>
          <w:spacing w:val="-2"/>
          <w:sz w:val="20"/>
          <w:szCs w:val="20"/>
        </w:rPr>
        <w:t>第3章 信息网络系统</w:t>
      </w:r>
      <w:r>
        <w:rPr>
          <w:spacing w:val="14"/>
          <w:sz w:val="20"/>
          <w:szCs w:val="20"/>
        </w:rPr>
        <w:t xml:space="preserve">      </w:t>
      </w:r>
      <w:r>
        <w:rPr>
          <w:rFonts w:ascii="Times New Roman" w:hAnsi="Times New Roman" w:eastAsia="Times New Roman" w:cs="Times New Roman"/>
          <w:spacing w:val="-2"/>
          <w:sz w:val="17"/>
          <w:szCs w:val="17"/>
        </w:rPr>
        <w:t>97</w:t>
      </w:r>
    </w:p>
    <w:p w14:paraId="15BC6631">
      <w:pPr>
        <w:spacing w:line="273" w:lineRule="auto"/>
        <w:rPr>
          <w:rFonts w:ascii="Arial"/>
          <w:sz w:val="21"/>
        </w:rPr>
      </w:pPr>
    </w:p>
    <w:p w14:paraId="7A30C1D3">
      <w:pPr>
        <w:pStyle w:val="2"/>
        <w:spacing w:before="65" w:line="294" w:lineRule="auto"/>
        <w:ind w:right="202" w:firstLine="409"/>
        <w:jc w:val="both"/>
        <w:rPr>
          <w:sz w:val="20"/>
          <w:szCs w:val="20"/>
        </w:rPr>
      </w:pPr>
      <w:r>
        <w:rPr>
          <w:rFonts w:ascii="Times New Roman" w:hAnsi="Times New Roman" w:eastAsia="Times New Roman" w:cs="Times New Roman"/>
          <w:sz w:val="20"/>
          <w:szCs w:val="20"/>
        </w:rPr>
        <w:t>IPv</w:t>
      </w:r>
      <w:r>
        <w:rPr>
          <w:rFonts w:ascii="Times New Roman" w:hAnsi="Times New Roman" w:eastAsia="Times New Roman" w:cs="Times New Roman"/>
          <w:spacing w:val="2"/>
          <w:sz w:val="20"/>
          <w:szCs w:val="20"/>
        </w:rPr>
        <w:t xml:space="preserve">4 </w:t>
      </w:r>
      <w:r>
        <w:rPr>
          <w:spacing w:val="2"/>
          <w:sz w:val="20"/>
          <w:szCs w:val="20"/>
        </w:rPr>
        <w:t>数据包由</w:t>
      </w:r>
      <w:r>
        <w:rPr>
          <w:rFonts w:ascii="Times New Roman" w:hAnsi="Times New Roman" w:eastAsia="Times New Roman" w:cs="Times New Roman"/>
          <w:sz w:val="20"/>
          <w:szCs w:val="20"/>
        </w:rPr>
        <w:t>IPv</w:t>
      </w:r>
      <w:r>
        <w:rPr>
          <w:rFonts w:ascii="Times New Roman" w:hAnsi="Times New Roman" w:eastAsia="Times New Roman" w:cs="Times New Roman"/>
          <w:spacing w:val="2"/>
          <w:sz w:val="20"/>
          <w:szCs w:val="20"/>
        </w:rPr>
        <w:t>4</w:t>
      </w:r>
      <w:r>
        <w:rPr>
          <w:rFonts w:ascii="Times New Roman" w:hAnsi="Times New Roman" w:eastAsia="Times New Roman" w:cs="Times New Roman"/>
          <w:spacing w:val="19"/>
          <w:w w:val="101"/>
          <w:sz w:val="20"/>
          <w:szCs w:val="20"/>
        </w:rPr>
        <w:t xml:space="preserve"> </w:t>
      </w:r>
      <w:r>
        <w:rPr>
          <w:spacing w:val="2"/>
          <w:sz w:val="20"/>
          <w:szCs w:val="20"/>
        </w:rPr>
        <w:t>包</w:t>
      </w:r>
      <w:r>
        <w:rPr>
          <w:spacing w:val="-40"/>
          <w:sz w:val="20"/>
          <w:szCs w:val="20"/>
        </w:rPr>
        <w:t xml:space="preserve"> </w:t>
      </w:r>
      <w:r>
        <w:rPr>
          <w:spacing w:val="2"/>
          <w:sz w:val="20"/>
          <w:szCs w:val="20"/>
        </w:rPr>
        <w:t>头</w:t>
      </w:r>
      <w:r>
        <w:rPr>
          <w:spacing w:val="-52"/>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Header</w:t>
      </w:r>
      <w:r>
        <w:rPr>
          <w:rFonts w:ascii="Times New Roman" w:hAnsi="Times New Roman" w:eastAsia="Times New Roman" w:cs="Times New Roman"/>
          <w:spacing w:val="2"/>
          <w:sz w:val="20"/>
          <w:szCs w:val="20"/>
        </w:rPr>
        <w:t xml:space="preserve">)   </w:t>
      </w:r>
      <w:r>
        <w:rPr>
          <w:spacing w:val="2"/>
          <w:sz w:val="20"/>
          <w:szCs w:val="20"/>
        </w:rPr>
        <w:t>和实际的数据部分组成。包头由固定格式和顺序的长度</w:t>
      </w:r>
      <w:r>
        <w:rPr>
          <w:sz w:val="20"/>
          <w:szCs w:val="20"/>
        </w:rPr>
        <w:t xml:space="preserve"> </w:t>
      </w:r>
      <w:r>
        <w:rPr>
          <w:spacing w:val="7"/>
          <w:sz w:val="20"/>
          <w:szCs w:val="20"/>
        </w:rPr>
        <w:t>为20个字节的固定字段加上长度可变的选项字段组成，固定字段部分一般表示为上图的5行，</w:t>
      </w:r>
      <w:r>
        <w:rPr>
          <w:spacing w:val="5"/>
          <w:sz w:val="20"/>
          <w:szCs w:val="20"/>
        </w:rPr>
        <w:t xml:space="preserve"> </w:t>
      </w:r>
      <w:r>
        <w:rPr>
          <w:spacing w:val="3"/>
          <w:sz w:val="20"/>
          <w:szCs w:val="20"/>
        </w:rPr>
        <w:t>每行4个字节。其中：</w:t>
      </w:r>
    </w:p>
    <w:p w14:paraId="35FB07D3">
      <w:pPr>
        <w:pStyle w:val="2"/>
        <w:spacing w:before="17" w:line="219" w:lineRule="auto"/>
        <w:ind w:left="409"/>
        <w:rPr>
          <w:sz w:val="20"/>
          <w:szCs w:val="20"/>
        </w:rPr>
      </w:pPr>
      <w:r>
        <w:rPr>
          <w:spacing w:val="1"/>
          <w:sz w:val="20"/>
          <w:szCs w:val="20"/>
        </w:rPr>
        <w:t>●版本号。4比特，定义协议版本，</w:t>
      </w:r>
      <w:r>
        <w:rPr>
          <w:spacing w:val="-16"/>
          <w:sz w:val="20"/>
          <w:szCs w:val="20"/>
        </w:rPr>
        <w:t xml:space="preserve"> </w:t>
      </w:r>
      <w:r>
        <w:rPr>
          <w:sz w:val="20"/>
          <w:szCs w:val="20"/>
        </w:rPr>
        <w:t>IPv</w:t>
      </w:r>
      <w:r>
        <w:rPr>
          <w:spacing w:val="1"/>
          <w:sz w:val="20"/>
          <w:szCs w:val="20"/>
        </w:rPr>
        <w:t>4</w:t>
      </w:r>
      <w:r>
        <w:rPr>
          <w:spacing w:val="-32"/>
          <w:sz w:val="20"/>
          <w:szCs w:val="20"/>
        </w:rPr>
        <w:t xml:space="preserve"> </w:t>
      </w:r>
      <w:r>
        <w:rPr>
          <w:spacing w:val="1"/>
          <w:sz w:val="20"/>
          <w:szCs w:val="20"/>
        </w:rPr>
        <w:t>协议中版本号为4。</w:t>
      </w:r>
    </w:p>
    <w:p w14:paraId="15E5FB40">
      <w:pPr>
        <w:pStyle w:val="2"/>
        <w:spacing w:before="94" w:line="219" w:lineRule="auto"/>
        <w:ind w:left="409"/>
        <w:rPr>
          <w:sz w:val="20"/>
          <w:szCs w:val="20"/>
        </w:rPr>
      </w:pPr>
      <w:r>
        <w:rPr>
          <w:spacing w:val="5"/>
          <w:sz w:val="20"/>
          <w:szCs w:val="20"/>
        </w:rPr>
        <w:t>●包头长度。4比特，定义整个</w:t>
      </w:r>
      <w:r>
        <w:rPr>
          <w:sz w:val="20"/>
          <w:szCs w:val="20"/>
        </w:rPr>
        <w:t>IP</w:t>
      </w:r>
      <w:r>
        <w:rPr>
          <w:spacing w:val="-35"/>
          <w:sz w:val="20"/>
          <w:szCs w:val="20"/>
        </w:rPr>
        <w:t xml:space="preserve"> </w:t>
      </w:r>
      <w:r>
        <w:rPr>
          <w:spacing w:val="5"/>
          <w:sz w:val="20"/>
          <w:szCs w:val="20"/>
        </w:rPr>
        <w:t>数据包包头的长度。</w:t>
      </w:r>
    </w:p>
    <w:p w14:paraId="7C799A8E">
      <w:pPr>
        <w:pStyle w:val="2"/>
        <w:spacing w:before="101" w:line="219" w:lineRule="auto"/>
        <w:ind w:left="409"/>
        <w:rPr>
          <w:sz w:val="20"/>
          <w:szCs w:val="20"/>
        </w:rPr>
      </w:pPr>
      <w:r>
        <w:rPr>
          <w:spacing w:val="3"/>
          <w:sz w:val="20"/>
          <w:szCs w:val="20"/>
        </w:rPr>
        <w:t>●服务类型。8比特，定义供相关路由设备数据处理方式的基本服务类型。</w:t>
      </w:r>
    </w:p>
    <w:p w14:paraId="12B821F6">
      <w:pPr>
        <w:pStyle w:val="2"/>
        <w:spacing w:before="74" w:line="219" w:lineRule="auto"/>
        <w:ind w:left="409"/>
        <w:rPr>
          <w:sz w:val="20"/>
          <w:szCs w:val="20"/>
        </w:rPr>
      </w:pPr>
      <w:r>
        <w:rPr>
          <w:spacing w:val="6"/>
          <w:sz w:val="20"/>
          <w:szCs w:val="20"/>
        </w:rPr>
        <w:t>●总长度。16比特，表示整个</w:t>
      </w:r>
      <w:r>
        <w:rPr>
          <w:sz w:val="20"/>
          <w:szCs w:val="20"/>
        </w:rPr>
        <w:t>IP</w:t>
      </w:r>
      <w:r>
        <w:rPr>
          <w:spacing w:val="-38"/>
          <w:sz w:val="20"/>
          <w:szCs w:val="20"/>
        </w:rPr>
        <w:t xml:space="preserve"> </w:t>
      </w:r>
      <w:r>
        <w:rPr>
          <w:spacing w:val="6"/>
          <w:sz w:val="20"/>
          <w:szCs w:val="20"/>
        </w:rPr>
        <w:t>数据包长度，表示的最大字节为65535字节。</w:t>
      </w:r>
    </w:p>
    <w:p w14:paraId="6984E21C">
      <w:pPr>
        <w:pStyle w:val="2"/>
        <w:spacing w:before="92" w:line="219" w:lineRule="auto"/>
        <w:ind w:left="409"/>
        <w:rPr>
          <w:sz w:val="20"/>
          <w:szCs w:val="20"/>
        </w:rPr>
      </w:pPr>
      <w:r>
        <w:rPr>
          <w:spacing w:val="11"/>
          <w:sz w:val="20"/>
          <w:szCs w:val="20"/>
        </w:rPr>
        <w:t>●标识(16比特)、标志位(3比特)、片偏移(13比特)。用于</w:t>
      </w:r>
      <w:r>
        <w:rPr>
          <w:sz w:val="20"/>
          <w:szCs w:val="20"/>
        </w:rPr>
        <w:t>IP</w:t>
      </w:r>
      <w:r>
        <w:rPr>
          <w:spacing w:val="-51"/>
          <w:sz w:val="20"/>
          <w:szCs w:val="20"/>
        </w:rPr>
        <w:t xml:space="preserve"> </w:t>
      </w:r>
      <w:r>
        <w:rPr>
          <w:spacing w:val="11"/>
          <w:sz w:val="20"/>
          <w:szCs w:val="20"/>
        </w:rPr>
        <w:t>数据包的</w:t>
      </w:r>
      <w:r>
        <w:rPr>
          <w:spacing w:val="10"/>
          <w:sz w:val="20"/>
          <w:szCs w:val="20"/>
        </w:rPr>
        <w:t>分片与重组。</w:t>
      </w:r>
    </w:p>
    <w:p w14:paraId="351D4DDD">
      <w:pPr>
        <w:pStyle w:val="2"/>
        <w:spacing w:before="70" w:line="271" w:lineRule="auto"/>
        <w:ind w:left="689" w:right="274" w:hanging="280"/>
        <w:rPr>
          <w:sz w:val="20"/>
          <w:szCs w:val="20"/>
        </w:rPr>
      </w:pPr>
      <w:r>
        <w:rPr>
          <w:spacing w:val="5"/>
          <w:sz w:val="20"/>
          <w:szCs w:val="20"/>
        </w:rPr>
        <w:t>●</w:t>
      </w:r>
      <w:r>
        <w:rPr>
          <w:spacing w:val="-50"/>
          <w:sz w:val="20"/>
          <w:szCs w:val="20"/>
        </w:rPr>
        <w:t xml:space="preserve"> </w:t>
      </w:r>
      <w:r>
        <w:rPr>
          <w:spacing w:val="5"/>
          <w:sz w:val="20"/>
          <w:szCs w:val="20"/>
        </w:rPr>
        <w:t>生存时间(</w:t>
      </w:r>
      <w:r>
        <w:rPr>
          <w:sz w:val="20"/>
          <w:szCs w:val="20"/>
        </w:rPr>
        <w:t>Time</w:t>
      </w:r>
      <w:r>
        <w:rPr>
          <w:spacing w:val="1"/>
          <w:sz w:val="20"/>
          <w:szCs w:val="20"/>
        </w:rPr>
        <w:t xml:space="preserve">  </w:t>
      </w:r>
      <w:r>
        <w:rPr>
          <w:sz w:val="20"/>
          <w:szCs w:val="20"/>
        </w:rPr>
        <w:t>To</w:t>
      </w:r>
      <w:r>
        <w:rPr>
          <w:spacing w:val="2"/>
          <w:sz w:val="20"/>
          <w:szCs w:val="20"/>
        </w:rPr>
        <w:t xml:space="preserve">  </w:t>
      </w:r>
      <w:r>
        <w:rPr>
          <w:sz w:val="20"/>
          <w:szCs w:val="20"/>
        </w:rPr>
        <w:t>Live</w:t>
      </w:r>
      <w:r>
        <w:rPr>
          <w:spacing w:val="5"/>
          <w:sz w:val="20"/>
          <w:szCs w:val="20"/>
        </w:rPr>
        <w:t>,</w:t>
      </w:r>
      <w:r>
        <w:rPr>
          <w:sz w:val="20"/>
          <w:szCs w:val="20"/>
        </w:rPr>
        <w:t>TTL</w:t>
      </w:r>
      <w:r>
        <w:rPr>
          <w:spacing w:val="5"/>
          <w:sz w:val="20"/>
          <w:szCs w:val="20"/>
        </w:rPr>
        <w:t>)。8比特，表示数据包在网络中的生命周期，用通过路</w:t>
      </w:r>
      <w:r>
        <w:rPr>
          <w:sz w:val="20"/>
          <w:szCs w:val="20"/>
        </w:rPr>
        <w:t xml:space="preserve"> </w:t>
      </w:r>
      <w:r>
        <w:rPr>
          <w:spacing w:val="11"/>
          <w:sz w:val="20"/>
          <w:szCs w:val="20"/>
        </w:rPr>
        <w:t>由器的数量来计量，即跳数(每经过一个路由器会减1),</w:t>
      </w:r>
      <w:r>
        <w:rPr>
          <w:sz w:val="20"/>
          <w:szCs w:val="20"/>
        </w:rPr>
        <w:t>TTL</w:t>
      </w:r>
      <w:r>
        <w:rPr>
          <w:spacing w:val="45"/>
          <w:sz w:val="20"/>
          <w:szCs w:val="20"/>
        </w:rPr>
        <w:t xml:space="preserve"> </w:t>
      </w:r>
      <w:r>
        <w:rPr>
          <w:spacing w:val="11"/>
          <w:sz w:val="20"/>
          <w:szCs w:val="20"/>
        </w:rPr>
        <w:t>指示数据包在</w:t>
      </w:r>
      <w:r>
        <w:rPr>
          <w:spacing w:val="10"/>
          <w:sz w:val="20"/>
          <w:szCs w:val="20"/>
        </w:rPr>
        <w:t>网络中可</w:t>
      </w:r>
      <w:r>
        <w:rPr>
          <w:sz w:val="20"/>
          <w:szCs w:val="20"/>
        </w:rPr>
        <w:t xml:space="preserve"> </w:t>
      </w:r>
      <w:r>
        <w:rPr>
          <w:spacing w:val="-3"/>
          <w:sz w:val="20"/>
          <w:szCs w:val="20"/>
        </w:rPr>
        <w:t>通过的路由器数的最大值。</w:t>
      </w:r>
    </w:p>
    <w:p w14:paraId="09ED7466">
      <w:pPr>
        <w:pStyle w:val="2"/>
        <w:spacing w:before="112" w:line="262" w:lineRule="auto"/>
        <w:ind w:left="689" w:right="477" w:hanging="280"/>
        <w:rPr>
          <w:sz w:val="20"/>
          <w:szCs w:val="20"/>
        </w:rPr>
      </w:pPr>
      <w:r>
        <w:rPr>
          <w:spacing w:val="13"/>
          <w:sz w:val="20"/>
          <w:szCs w:val="20"/>
        </w:rPr>
        <w:t>●协议。8比特，定义该数据包所携带的协议类型，协议类型包括</w:t>
      </w:r>
      <w:r>
        <w:rPr>
          <w:sz w:val="20"/>
          <w:szCs w:val="20"/>
        </w:rPr>
        <w:t>TCP</w:t>
      </w:r>
      <w:r>
        <w:rPr>
          <w:spacing w:val="13"/>
          <w:sz w:val="20"/>
          <w:szCs w:val="20"/>
        </w:rPr>
        <w:t>、</w:t>
      </w:r>
      <w:r>
        <w:rPr>
          <w:sz w:val="20"/>
          <w:szCs w:val="20"/>
        </w:rPr>
        <w:t>UDP</w:t>
      </w:r>
      <w:r>
        <w:rPr>
          <w:spacing w:val="12"/>
          <w:sz w:val="20"/>
          <w:szCs w:val="20"/>
        </w:rPr>
        <w:t>、</w:t>
      </w:r>
      <w:r>
        <w:rPr>
          <w:sz w:val="20"/>
          <w:szCs w:val="20"/>
        </w:rPr>
        <w:t>ICMP</w:t>
      </w:r>
      <w:r>
        <w:rPr>
          <w:spacing w:val="12"/>
          <w:sz w:val="20"/>
          <w:szCs w:val="20"/>
        </w:rPr>
        <w:t>、</w:t>
      </w:r>
      <w:r>
        <w:rPr>
          <w:sz w:val="20"/>
          <w:szCs w:val="20"/>
        </w:rPr>
        <w:t xml:space="preserve"> </w:t>
      </w:r>
      <w:r>
        <w:rPr>
          <w:rFonts w:ascii="Times New Roman" w:hAnsi="Times New Roman" w:eastAsia="Times New Roman" w:cs="Times New Roman"/>
          <w:sz w:val="20"/>
          <w:szCs w:val="20"/>
        </w:rPr>
        <w:t>IGMP</w:t>
      </w:r>
      <w:r>
        <w:rPr>
          <w:spacing w:val="2"/>
          <w:sz w:val="20"/>
          <w:szCs w:val="20"/>
        </w:rPr>
        <w:t>、开放最短路径优先</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Open</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Shortest</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z w:val="20"/>
          <w:szCs w:val="20"/>
        </w:rPr>
        <w:t>Path</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First</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OSPF</w:t>
      </w:r>
      <w:r>
        <w:rPr>
          <w:rFonts w:ascii="Times New Roman" w:hAnsi="Times New Roman" w:eastAsia="Times New Roman" w:cs="Times New Roman"/>
          <w:spacing w:val="2"/>
          <w:sz w:val="20"/>
          <w:szCs w:val="20"/>
        </w:rPr>
        <w:t xml:space="preserve">) </w:t>
      </w:r>
      <w:r>
        <w:rPr>
          <w:spacing w:val="2"/>
          <w:sz w:val="20"/>
          <w:szCs w:val="20"/>
        </w:rPr>
        <w:t>协议等。</w:t>
      </w:r>
    </w:p>
    <w:p w14:paraId="54A69CA7">
      <w:pPr>
        <w:pStyle w:val="2"/>
        <w:spacing w:before="81" w:line="219" w:lineRule="auto"/>
        <w:ind w:left="409"/>
        <w:rPr>
          <w:sz w:val="20"/>
          <w:szCs w:val="20"/>
        </w:rPr>
      </w:pPr>
      <w:r>
        <w:rPr>
          <w:spacing w:val="2"/>
          <w:sz w:val="20"/>
          <w:szCs w:val="20"/>
        </w:rPr>
        <w:t>●包头校验和。16比特，对数据包包头本身的数据信息进行校验，不包括数据部分。</w:t>
      </w:r>
    </w:p>
    <w:p w14:paraId="003823BA">
      <w:pPr>
        <w:pStyle w:val="2"/>
        <w:spacing w:before="92" w:line="216" w:lineRule="auto"/>
        <w:ind w:left="409"/>
        <w:rPr>
          <w:sz w:val="20"/>
          <w:szCs w:val="20"/>
        </w:rPr>
      </w:pPr>
      <w:r>
        <w:rPr>
          <w:spacing w:val="14"/>
          <w:sz w:val="20"/>
          <w:szCs w:val="20"/>
        </w:rPr>
        <w:t>●</w:t>
      </w:r>
      <w:r>
        <w:rPr>
          <w:spacing w:val="-57"/>
          <w:sz w:val="20"/>
          <w:szCs w:val="20"/>
        </w:rPr>
        <w:t xml:space="preserve"> </w:t>
      </w:r>
      <w:r>
        <w:rPr>
          <w:spacing w:val="14"/>
          <w:sz w:val="20"/>
          <w:szCs w:val="20"/>
        </w:rPr>
        <w:t>源地址。32比特(4字节),标识</w:t>
      </w:r>
      <w:r>
        <w:rPr>
          <w:sz w:val="20"/>
          <w:szCs w:val="20"/>
        </w:rPr>
        <w:t>IP</w:t>
      </w:r>
      <w:r>
        <w:rPr>
          <w:spacing w:val="-41"/>
          <w:sz w:val="20"/>
          <w:szCs w:val="20"/>
        </w:rPr>
        <w:t xml:space="preserve"> </w:t>
      </w:r>
      <w:r>
        <w:rPr>
          <w:spacing w:val="14"/>
          <w:sz w:val="20"/>
          <w:szCs w:val="20"/>
        </w:rPr>
        <w:t>数据包的发送源</w:t>
      </w:r>
      <w:r>
        <w:rPr>
          <w:sz w:val="20"/>
          <w:szCs w:val="20"/>
        </w:rPr>
        <w:t>IP</w:t>
      </w:r>
      <w:r>
        <w:rPr>
          <w:spacing w:val="-51"/>
          <w:sz w:val="20"/>
          <w:szCs w:val="20"/>
        </w:rPr>
        <w:t xml:space="preserve"> </w:t>
      </w:r>
      <w:r>
        <w:rPr>
          <w:spacing w:val="14"/>
          <w:sz w:val="20"/>
          <w:szCs w:val="20"/>
        </w:rPr>
        <w:t>地址。</w:t>
      </w:r>
    </w:p>
    <w:p w14:paraId="3DD95AF1">
      <w:pPr>
        <w:pStyle w:val="2"/>
        <w:spacing w:before="89" w:line="219" w:lineRule="auto"/>
        <w:ind w:left="409"/>
        <w:rPr>
          <w:sz w:val="20"/>
          <w:szCs w:val="20"/>
        </w:rPr>
      </w:pPr>
      <w:r>
        <w:rPr>
          <w:spacing w:val="2"/>
          <w:sz w:val="20"/>
          <w:szCs w:val="20"/>
        </w:rPr>
        <w:t>●</w:t>
      </w:r>
      <w:r>
        <w:rPr>
          <w:spacing w:val="-28"/>
          <w:sz w:val="20"/>
          <w:szCs w:val="20"/>
        </w:rPr>
        <w:t xml:space="preserve"> </w:t>
      </w:r>
      <w:r>
        <w:rPr>
          <w:spacing w:val="2"/>
          <w:sz w:val="20"/>
          <w:szCs w:val="20"/>
        </w:rPr>
        <w:t>目的地址。32比特，标识</w:t>
      </w:r>
      <w:r>
        <w:rPr>
          <w:sz w:val="20"/>
          <w:szCs w:val="20"/>
        </w:rPr>
        <w:t>IP</w:t>
      </w:r>
      <w:r>
        <w:rPr>
          <w:spacing w:val="-41"/>
          <w:sz w:val="20"/>
          <w:szCs w:val="20"/>
        </w:rPr>
        <w:t xml:space="preserve"> </w:t>
      </w:r>
      <w:r>
        <w:rPr>
          <w:spacing w:val="2"/>
          <w:sz w:val="20"/>
          <w:szCs w:val="20"/>
        </w:rPr>
        <w:t>数据包的目的</w:t>
      </w:r>
      <w:r>
        <w:rPr>
          <w:sz w:val="20"/>
          <w:szCs w:val="20"/>
        </w:rPr>
        <w:t>IP</w:t>
      </w:r>
      <w:r>
        <w:rPr>
          <w:spacing w:val="-41"/>
          <w:sz w:val="20"/>
          <w:szCs w:val="20"/>
        </w:rPr>
        <w:t xml:space="preserve"> </w:t>
      </w:r>
      <w:r>
        <w:rPr>
          <w:spacing w:val="2"/>
          <w:sz w:val="20"/>
          <w:szCs w:val="20"/>
        </w:rPr>
        <w:t>地址。</w:t>
      </w:r>
    </w:p>
    <w:p w14:paraId="2ED98CE4">
      <w:pPr>
        <w:pStyle w:val="2"/>
        <w:spacing w:before="72" w:line="262" w:lineRule="auto"/>
        <w:ind w:left="689" w:right="273" w:hanging="280"/>
        <w:rPr>
          <w:sz w:val="20"/>
          <w:szCs w:val="20"/>
        </w:rPr>
      </w:pPr>
      <w:r>
        <w:rPr>
          <w:spacing w:val="3"/>
          <w:sz w:val="20"/>
          <w:szCs w:val="20"/>
        </w:rPr>
        <w:t>●选项字段。可扩充部分，具有可变长度，定义了安全性、严格源路由、松散源路由、记</w:t>
      </w:r>
      <w:r>
        <w:rPr>
          <w:spacing w:val="1"/>
          <w:sz w:val="20"/>
          <w:szCs w:val="20"/>
        </w:rPr>
        <w:t xml:space="preserve"> </w:t>
      </w:r>
      <w:r>
        <w:rPr>
          <w:spacing w:val="-4"/>
          <w:sz w:val="20"/>
          <w:szCs w:val="20"/>
        </w:rPr>
        <w:t>录路由、时间戳等选项。</w:t>
      </w:r>
    </w:p>
    <w:p w14:paraId="60B1C36A">
      <w:pPr>
        <w:pStyle w:val="2"/>
        <w:spacing w:before="93" w:line="219" w:lineRule="auto"/>
        <w:ind w:left="409"/>
        <w:rPr>
          <w:sz w:val="20"/>
          <w:szCs w:val="20"/>
        </w:rPr>
      </w:pPr>
      <w:r>
        <w:rPr>
          <w:spacing w:val="10"/>
          <w:sz w:val="20"/>
          <w:szCs w:val="20"/>
        </w:rPr>
        <w:t>●填充。用全0的填充字段补齐为4字节的整数倍。</w:t>
      </w:r>
    </w:p>
    <w:p w14:paraId="750B710B">
      <w:pPr>
        <w:spacing w:before="128" w:line="195" w:lineRule="auto"/>
        <w:ind w:left="409"/>
        <w:rPr>
          <w:rFonts w:ascii="楷体" w:hAnsi="楷体" w:eastAsia="楷体" w:cs="楷体"/>
          <w:sz w:val="20"/>
          <w:szCs w:val="20"/>
        </w:rPr>
      </w:pPr>
      <w:r>
        <w:rPr>
          <w:rFonts w:ascii="Times New Roman" w:hAnsi="Times New Roman" w:eastAsia="Times New Roman" w:cs="Times New Roman"/>
          <w:spacing w:val="2"/>
          <w:sz w:val="20"/>
          <w:szCs w:val="20"/>
        </w:rPr>
        <w:t>2)</w:t>
      </w:r>
      <w:r>
        <w:rPr>
          <w:rFonts w:ascii="Times New Roman" w:hAnsi="Times New Roman" w:eastAsia="Times New Roman" w:cs="Times New Roman"/>
          <w:sz w:val="20"/>
          <w:szCs w:val="20"/>
        </w:rPr>
        <w:t>IPv</w:t>
      </w:r>
      <w:r>
        <w:rPr>
          <w:rFonts w:ascii="Times New Roman" w:hAnsi="Times New Roman" w:eastAsia="Times New Roman" w:cs="Times New Roman"/>
          <w:spacing w:val="2"/>
          <w:sz w:val="20"/>
          <w:szCs w:val="20"/>
        </w:rPr>
        <w:t>4</w:t>
      </w:r>
      <w:r>
        <w:rPr>
          <w:rFonts w:ascii="Times New Roman" w:hAnsi="Times New Roman" w:eastAsia="Times New Roman" w:cs="Times New Roman"/>
          <w:spacing w:val="10"/>
          <w:sz w:val="20"/>
          <w:szCs w:val="20"/>
        </w:rPr>
        <w:t xml:space="preserve">   </w:t>
      </w:r>
      <w:r>
        <w:rPr>
          <w:rFonts w:ascii="楷体" w:hAnsi="楷体" w:eastAsia="楷体" w:cs="楷体"/>
          <w:spacing w:val="2"/>
          <w:sz w:val="20"/>
          <w:szCs w:val="20"/>
        </w:rPr>
        <w:t>地址</w:t>
      </w:r>
    </w:p>
    <w:p w14:paraId="51351DB2">
      <w:pPr>
        <w:pStyle w:val="2"/>
        <w:spacing w:before="107" w:line="277" w:lineRule="auto"/>
        <w:ind w:right="266" w:firstLine="409"/>
        <w:rPr>
          <w:sz w:val="20"/>
          <w:szCs w:val="20"/>
        </w:rPr>
      </w:pPr>
      <w:r>
        <w:rPr>
          <w:rFonts w:ascii="Times New Roman" w:hAnsi="Times New Roman" w:eastAsia="Times New Roman" w:cs="Times New Roman"/>
          <w:sz w:val="20"/>
          <w:szCs w:val="20"/>
        </w:rPr>
        <w:t>IP</w:t>
      </w:r>
      <w:r>
        <w:rPr>
          <w:rFonts w:ascii="Times New Roman" w:hAnsi="Times New Roman" w:eastAsia="Times New Roman" w:cs="Times New Roman"/>
          <w:spacing w:val="-22"/>
          <w:sz w:val="20"/>
          <w:szCs w:val="20"/>
        </w:rPr>
        <w:t xml:space="preserve"> </w:t>
      </w:r>
      <w:r>
        <w:rPr>
          <w:spacing w:val="15"/>
          <w:sz w:val="20"/>
          <w:szCs w:val="20"/>
        </w:rPr>
        <w:t>地址用来标识互联网中数据传输的发送方(源</w:t>
      </w:r>
      <w:r>
        <w:rPr>
          <w:rFonts w:ascii="Times New Roman" w:hAnsi="Times New Roman" w:eastAsia="Times New Roman" w:cs="Times New Roman"/>
          <w:sz w:val="20"/>
          <w:szCs w:val="20"/>
        </w:rPr>
        <w:t>IP</w:t>
      </w:r>
      <w:r>
        <w:rPr>
          <w:rFonts w:ascii="Times New Roman" w:hAnsi="Times New Roman" w:eastAsia="Times New Roman" w:cs="Times New Roman"/>
          <w:spacing w:val="14"/>
          <w:sz w:val="20"/>
          <w:szCs w:val="20"/>
        </w:rPr>
        <w:t xml:space="preserve"> </w:t>
      </w:r>
      <w:r>
        <w:rPr>
          <w:spacing w:val="14"/>
          <w:sz w:val="20"/>
          <w:szCs w:val="20"/>
        </w:rPr>
        <w:t>地址)和接收方(目的</w:t>
      </w:r>
      <w:r>
        <w:rPr>
          <w:rFonts w:ascii="Times New Roman" w:hAnsi="Times New Roman" w:eastAsia="Times New Roman" w:cs="Times New Roman"/>
          <w:sz w:val="20"/>
          <w:szCs w:val="20"/>
        </w:rPr>
        <w:t>IP</w:t>
      </w:r>
      <w:r>
        <w:rPr>
          <w:rFonts w:ascii="Times New Roman" w:hAnsi="Times New Roman" w:eastAsia="Times New Roman" w:cs="Times New Roman"/>
          <w:spacing w:val="17"/>
          <w:sz w:val="20"/>
          <w:szCs w:val="20"/>
        </w:rPr>
        <w:t xml:space="preserve"> </w:t>
      </w:r>
      <w:r>
        <w:rPr>
          <w:spacing w:val="14"/>
          <w:sz w:val="20"/>
          <w:szCs w:val="20"/>
        </w:rPr>
        <w:t>地址),任何</w:t>
      </w:r>
      <w:r>
        <w:rPr>
          <w:sz w:val="20"/>
          <w:szCs w:val="20"/>
        </w:rPr>
        <w:t xml:space="preserve"> </w:t>
      </w:r>
      <w:r>
        <w:rPr>
          <w:spacing w:val="8"/>
          <w:sz w:val="20"/>
          <w:szCs w:val="20"/>
        </w:rPr>
        <w:t>设备想接入</w:t>
      </w:r>
      <w:r>
        <w:rPr>
          <w:rFonts w:ascii="Times New Roman" w:hAnsi="Times New Roman" w:eastAsia="Times New Roman" w:cs="Times New Roman"/>
          <w:sz w:val="20"/>
          <w:szCs w:val="20"/>
        </w:rPr>
        <w:t>IPv</w:t>
      </w:r>
      <w:r>
        <w:rPr>
          <w:rFonts w:ascii="Times New Roman" w:hAnsi="Times New Roman" w:eastAsia="Times New Roman" w:cs="Times New Roman"/>
          <w:spacing w:val="8"/>
          <w:sz w:val="20"/>
          <w:szCs w:val="20"/>
        </w:rPr>
        <w:t>4</w:t>
      </w:r>
      <w:r>
        <w:rPr>
          <w:rFonts w:ascii="Times New Roman" w:hAnsi="Times New Roman" w:eastAsia="Times New Roman" w:cs="Times New Roman"/>
          <w:spacing w:val="27"/>
          <w:w w:val="101"/>
          <w:sz w:val="20"/>
          <w:szCs w:val="20"/>
        </w:rPr>
        <w:t xml:space="preserve"> </w:t>
      </w:r>
      <w:r>
        <w:rPr>
          <w:spacing w:val="8"/>
          <w:sz w:val="20"/>
          <w:szCs w:val="20"/>
        </w:rPr>
        <w:t>网络，都要申请一个</w:t>
      </w:r>
      <w:r>
        <w:rPr>
          <w:rFonts w:ascii="Times New Roman" w:hAnsi="Times New Roman" w:eastAsia="Times New Roman" w:cs="Times New Roman"/>
          <w:sz w:val="20"/>
          <w:szCs w:val="20"/>
        </w:rPr>
        <w:t>IPv</w:t>
      </w:r>
      <w:r>
        <w:rPr>
          <w:rFonts w:ascii="Times New Roman" w:hAnsi="Times New Roman" w:eastAsia="Times New Roman" w:cs="Times New Roman"/>
          <w:spacing w:val="8"/>
          <w:sz w:val="20"/>
          <w:szCs w:val="20"/>
        </w:rPr>
        <w:t xml:space="preserve">4 </w:t>
      </w:r>
      <w:r>
        <w:rPr>
          <w:spacing w:val="8"/>
          <w:sz w:val="20"/>
          <w:szCs w:val="20"/>
        </w:rPr>
        <w:t>地址。</w:t>
      </w:r>
      <w:r>
        <w:rPr>
          <w:rFonts w:ascii="Times New Roman" w:hAnsi="Times New Roman" w:eastAsia="Times New Roman" w:cs="Times New Roman"/>
          <w:sz w:val="20"/>
          <w:szCs w:val="20"/>
        </w:rPr>
        <w:t>IPv</w:t>
      </w:r>
      <w:r>
        <w:rPr>
          <w:rFonts w:ascii="Times New Roman" w:hAnsi="Times New Roman" w:eastAsia="Times New Roman" w:cs="Times New Roman"/>
          <w:spacing w:val="8"/>
          <w:sz w:val="20"/>
          <w:szCs w:val="20"/>
        </w:rPr>
        <w:t xml:space="preserve">4 </w:t>
      </w:r>
      <w:r>
        <w:rPr>
          <w:spacing w:val="8"/>
          <w:sz w:val="20"/>
          <w:szCs w:val="20"/>
        </w:rPr>
        <w:t>地址由32位二进制数组成，即由</w:t>
      </w:r>
      <w:r>
        <w:rPr>
          <w:spacing w:val="7"/>
          <w:sz w:val="20"/>
          <w:szCs w:val="20"/>
        </w:rPr>
        <w:t>4个字</w:t>
      </w:r>
      <w:r>
        <w:rPr>
          <w:sz w:val="20"/>
          <w:szCs w:val="20"/>
        </w:rPr>
        <w:t xml:space="preserve"> </w:t>
      </w:r>
      <w:r>
        <w:rPr>
          <w:spacing w:val="3"/>
          <w:sz w:val="20"/>
          <w:szCs w:val="20"/>
        </w:rPr>
        <w:t>节组成，为便于阅读和分析，通常称其为点分十进制表示法(例如</w:t>
      </w:r>
      <w:r>
        <w:fldChar w:fldCharType="begin"/>
      </w:r>
      <w:r>
        <w:instrText xml:space="preserve"> HYPERLINK "192.121.123.56" </w:instrText>
      </w:r>
      <w:r>
        <w:fldChar w:fldCharType="separate"/>
      </w:r>
      <w:r>
        <w:rPr>
          <w:spacing w:val="3"/>
          <w:sz w:val="20"/>
          <w:szCs w:val="20"/>
        </w:rPr>
        <w:t>1</w:t>
      </w:r>
      <w:r>
        <w:rPr>
          <w:spacing w:val="2"/>
          <w:sz w:val="20"/>
          <w:szCs w:val="20"/>
        </w:rPr>
        <w:t>92.121.123.56</w:t>
      </w:r>
      <w:r>
        <w:rPr>
          <w:spacing w:val="2"/>
          <w:sz w:val="20"/>
          <w:szCs w:val="20"/>
        </w:rPr>
        <w:fldChar w:fldCharType="end"/>
      </w:r>
      <w:r>
        <w:rPr>
          <w:spacing w:val="2"/>
          <w:sz w:val="20"/>
          <w:szCs w:val="20"/>
        </w:rPr>
        <w:t>)。出于网络</w:t>
      </w:r>
      <w:r>
        <w:rPr>
          <w:sz w:val="20"/>
          <w:szCs w:val="20"/>
        </w:rPr>
        <w:t xml:space="preserve"> </w:t>
      </w:r>
      <w:r>
        <w:rPr>
          <w:spacing w:val="3"/>
          <w:sz w:val="20"/>
          <w:szCs w:val="20"/>
        </w:rPr>
        <w:t>规划、全网路由、地址匮乏、网络安全等考虑，</w:t>
      </w:r>
      <w:r>
        <w:rPr>
          <w:rFonts w:ascii="Times New Roman" w:hAnsi="Times New Roman" w:eastAsia="Times New Roman" w:cs="Times New Roman"/>
          <w:sz w:val="20"/>
          <w:szCs w:val="20"/>
        </w:rPr>
        <w:t>IPv</w:t>
      </w:r>
      <w:r>
        <w:rPr>
          <w:rFonts w:ascii="Times New Roman" w:hAnsi="Times New Roman" w:eastAsia="Times New Roman" w:cs="Times New Roman"/>
          <w:spacing w:val="3"/>
          <w:sz w:val="20"/>
          <w:szCs w:val="20"/>
        </w:rPr>
        <w:t xml:space="preserve">4 </w:t>
      </w:r>
      <w:r>
        <w:rPr>
          <w:spacing w:val="3"/>
          <w:sz w:val="20"/>
          <w:szCs w:val="20"/>
        </w:rPr>
        <w:t>地址</w:t>
      </w:r>
      <w:r>
        <w:rPr>
          <w:spacing w:val="2"/>
          <w:sz w:val="20"/>
          <w:szCs w:val="20"/>
        </w:rPr>
        <w:t>有严格的规划格式，也有公网地址和</w:t>
      </w:r>
      <w:r>
        <w:rPr>
          <w:sz w:val="20"/>
          <w:szCs w:val="20"/>
        </w:rPr>
        <w:t xml:space="preserve"> </w:t>
      </w:r>
      <w:r>
        <w:rPr>
          <w:spacing w:val="6"/>
          <w:sz w:val="20"/>
          <w:szCs w:val="20"/>
        </w:rPr>
        <w:t>私网地址之分。公网地址的管理和分发由互联网数字分配机构</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The</w:t>
      </w:r>
      <w:r>
        <w:rPr>
          <w:rFonts w:ascii="Times New Roman" w:hAnsi="Times New Roman" w:eastAsia="Times New Roman" w:cs="Times New Roman"/>
          <w:spacing w:val="59"/>
          <w:sz w:val="20"/>
          <w:szCs w:val="20"/>
        </w:rPr>
        <w:t xml:space="preserve"> </w:t>
      </w:r>
      <w:r>
        <w:rPr>
          <w:rFonts w:ascii="Times New Roman" w:hAnsi="Times New Roman" w:eastAsia="Times New Roman" w:cs="Times New Roman"/>
          <w:sz w:val="20"/>
          <w:szCs w:val="20"/>
        </w:rPr>
        <w:t>Internet</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z w:val="20"/>
          <w:szCs w:val="20"/>
        </w:rPr>
        <w:t>Assigned</w:t>
      </w:r>
      <w:r>
        <w:rPr>
          <w:rFonts w:ascii="Times New Roman" w:hAnsi="Times New Roman" w:eastAsia="Times New Roman" w:cs="Times New Roman"/>
          <w:spacing w:val="33"/>
          <w:w w:val="101"/>
          <w:sz w:val="20"/>
          <w:szCs w:val="20"/>
        </w:rPr>
        <w:t xml:space="preserve"> </w:t>
      </w:r>
      <w:r>
        <w:rPr>
          <w:rFonts w:ascii="Times New Roman" w:hAnsi="Times New Roman" w:eastAsia="Times New Roman" w:cs="Times New Roman"/>
          <w:sz w:val="20"/>
          <w:szCs w:val="20"/>
        </w:rPr>
        <w:t>Numbers Authority</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IANA</w:t>
      </w:r>
      <w:r>
        <w:rPr>
          <w:rFonts w:ascii="Times New Roman" w:hAnsi="Times New Roman" w:eastAsia="Times New Roman" w:cs="Times New Roman"/>
          <w:spacing w:val="6"/>
          <w:sz w:val="20"/>
          <w:szCs w:val="20"/>
        </w:rPr>
        <w:t xml:space="preserve">)     </w:t>
      </w:r>
      <w:r>
        <w:rPr>
          <w:spacing w:val="6"/>
          <w:sz w:val="20"/>
          <w:szCs w:val="20"/>
        </w:rPr>
        <w:t>的互联网号码分配局负责(地址</w:t>
      </w:r>
      <w:r>
        <w:rPr>
          <w:spacing w:val="5"/>
          <w:sz w:val="20"/>
          <w:szCs w:val="20"/>
        </w:rPr>
        <w:t>为</w:t>
      </w:r>
      <w:r>
        <w:fldChar w:fldCharType="begin"/>
      </w:r>
      <w:r>
        <w:instrText xml:space="preserve"> HYPERLINK "http://www.iana.org/" </w:instrText>
      </w:r>
      <w:r>
        <w:fldChar w:fldCharType="separate"/>
      </w:r>
      <w:r>
        <w:rPr>
          <w:rFonts w:ascii="Times New Roman" w:hAnsi="Times New Roman" w:eastAsia="Times New Roman" w:cs="Times New Roman"/>
          <w:sz w:val="20"/>
          <w:szCs w:val="20"/>
        </w:rPr>
        <w:t>http</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www</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iana</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org</w:t>
      </w:r>
      <w:r>
        <w:rPr>
          <w:rFonts w:ascii="Times New Roman" w:hAnsi="Times New Roman" w:eastAsia="Times New Roman" w:cs="Times New Roman"/>
          <w:spacing w:val="5"/>
          <w:sz w:val="20"/>
          <w:szCs w:val="20"/>
        </w:rPr>
        <w:t>/</w:t>
      </w:r>
      <w:r>
        <w:rPr>
          <w:rFonts w:ascii="Times New Roman" w:hAnsi="Times New Roman" w:eastAsia="Times New Roman" w:cs="Times New Roman"/>
          <w:spacing w:val="5"/>
          <w:sz w:val="20"/>
          <w:szCs w:val="20"/>
        </w:rPr>
        <w:fldChar w:fldCharType="end"/>
      </w:r>
      <w:r>
        <w:rPr>
          <w:rFonts w:ascii="Times New Roman" w:hAnsi="Times New Roman" w:eastAsia="Times New Roman" w:cs="Times New Roman"/>
          <w:spacing w:val="5"/>
          <w:sz w:val="20"/>
          <w:szCs w:val="20"/>
        </w:rPr>
        <w:t>)</w:t>
      </w:r>
      <w:r>
        <w:rPr>
          <w:spacing w:val="5"/>
          <w:sz w:val="20"/>
          <w:szCs w:val="20"/>
        </w:rPr>
        <w:t>。</w:t>
      </w:r>
    </w:p>
    <w:p w14:paraId="1F56B181">
      <w:pPr>
        <w:pStyle w:val="2"/>
        <w:spacing w:before="76" w:line="268" w:lineRule="auto"/>
        <w:ind w:right="236" w:firstLine="409"/>
        <w:rPr>
          <w:sz w:val="20"/>
          <w:szCs w:val="20"/>
        </w:rPr>
      </w:pPr>
      <w:r>
        <w:rPr>
          <w:rFonts w:ascii="Times New Roman" w:hAnsi="Times New Roman" w:eastAsia="Times New Roman" w:cs="Times New Roman"/>
          <w:sz w:val="20"/>
          <w:szCs w:val="20"/>
        </w:rPr>
        <w:t>IPv</w:t>
      </w:r>
      <w:r>
        <w:rPr>
          <w:rFonts w:ascii="Times New Roman" w:hAnsi="Times New Roman" w:eastAsia="Times New Roman" w:cs="Times New Roman"/>
          <w:spacing w:val="3"/>
          <w:sz w:val="20"/>
          <w:szCs w:val="20"/>
        </w:rPr>
        <w:t>4</w:t>
      </w:r>
      <w:r>
        <w:rPr>
          <w:rFonts w:ascii="Times New Roman" w:hAnsi="Times New Roman" w:eastAsia="Times New Roman" w:cs="Times New Roman"/>
          <w:spacing w:val="-22"/>
          <w:sz w:val="20"/>
          <w:szCs w:val="20"/>
        </w:rPr>
        <w:t xml:space="preserve"> </w:t>
      </w:r>
      <w:r>
        <w:rPr>
          <w:spacing w:val="3"/>
          <w:sz w:val="20"/>
          <w:szCs w:val="20"/>
        </w:rPr>
        <w:t>地址由网络位和主机位两大部分组成，前者用于标识网络，后者用于标识网络内部不</w:t>
      </w:r>
      <w:r>
        <w:rPr>
          <w:sz w:val="20"/>
          <w:szCs w:val="20"/>
        </w:rPr>
        <w:t xml:space="preserve"> 同主机。为了便于规划管理，又将</w:t>
      </w:r>
      <w:r>
        <w:rPr>
          <w:rFonts w:ascii="Times New Roman" w:hAnsi="Times New Roman" w:eastAsia="Times New Roman" w:cs="Times New Roman"/>
          <w:sz w:val="20"/>
          <w:szCs w:val="20"/>
        </w:rPr>
        <w:t xml:space="preserve">IPv4 </w:t>
      </w:r>
      <w:r>
        <w:rPr>
          <w:sz w:val="20"/>
          <w:szCs w:val="20"/>
        </w:rPr>
        <w:t>地</w:t>
      </w:r>
      <w:r>
        <w:rPr>
          <w:spacing w:val="-1"/>
          <w:sz w:val="20"/>
          <w:szCs w:val="20"/>
        </w:rPr>
        <w:t>址分为</w:t>
      </w:r>
      <w:r>
        <w:rPr>
          <w:rFonts w:ascii="Times New Roman" w:hAnsi="Times New Roman" w:eastAsia="Times New Roman" w:cs="Times New Roman"/>
          <w:spacing w:val="-1"/>
          <w:sz w:val="20"/>
          <w:szCs w:val="20"/>
        </w:rPr>
        <w:t>A</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C</w:t>
      </w:r>
      <w:r>
        <w:rPr>
          <w:rFonts w:ascii="Times New Roman" w:hAnsi="Times New Roman" w:eastAsia="Times New Roman" w:cs="Times New Roman"/>
          <w:spacing w:val="-29"/>
          <w:sz w:val="20"/>
          <w:szCs w:val="20"/>
        </w:rPr>
        <w:t xml:space="preserve"> </w:t>
      </w:r>
      <w:r>
        <w:rPr>
          <w:spacing w:val="-1"/>
          <w:sz w:val="20"/>
          <w:szCs w:val="20"/>
        </w:rPr>
        <w:t>、</w:t>
      </w:r>
      <w:r>
        <w:rPr>
          <w:rFonts w:ascii="Times New Roman" w:hAnsi="Times New Roman" w:eastAsia="Times New Roman" w:cs="Times New Roman"/>
          <w:spacing w:val="-1"/>
          <w:sz w:val="20"/>
          <w:szCs w:val="20"/>
        </w:rPr>
        <w:t>D</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E</w:t>
      </w:r>
      <w:r>
        <w:rPr>
          <w:spacing w:val="-1"/>
          <w:sz w:val="20"/>
          <w:szCs w:val="20"/>
        </w:rPr>
        <w:t>五类，如图3-5所示，</w:t>
      </w:r>
      <w:r>
        <w:rPr>
          <w:rFonts w:ascii="Times New Roman" w:hAnsi="Times New Roman" w:eastAsia="Times New Roman" w:cs="Times New Roman"/>
          <w:spacing w:val="-1"/>
          <w:sz w:val="20"/>
          <w:szCs w:val="20"/>
        </w:rPr>
        <w:t>A</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B</w:t>
      </w:r>
      <w:r>
        <w:rPr>
          <w:spacing w:val="-1"/>
          <w:sz w:val="20"/>
          <w:szCs w:val="20"/>
        </w:rPr>
        <w:t>、</w:t>
      </w:r>
      <w:r>
        <w:rPr>
          <w:sz w:val="20"/>
          <w:szCs w:val="20"/>
        </w:rPr>
        <w:t xml:space="preserve"> C</w:t>
      </w:r>
      <w:r>
        <w:rPr>
          <w:spacing w:val="-34"/>
          <w:sz w:val="20"/>
          <w:szCs w:val="20"/>
        </w:rPr>
        <w:t xml:space="preserve"> </w:t>
      </w:r>
      <w:r>
        <w:rPr>
          <w:sz w:val="20"/>
          <w:szCs w:val="20"/>
        </w:rPr>
        <w:t>类地址用于不同类型的网络规模，D 类地址专</w:t>
      </w:r>
      <w:r>
        <w:rPr>
          <w:spacing w:val="-1"/>
          <w:sz w:val="20"/>
          <w:szCs w:val="20"/>
        </w:rPr>
        <w:t>门用于组播地址。</w:t>
      </w:r>
    </w:p>
    <w:p w14:paraId="72C95471">
      <w:pPr>
        <w:pStyle w:val="2"/>
        <w:spacing w:before="28" w:line="286" w:lineRule="auto"/>
        <w:ind w:right="203" w:firstLine="409"/>
        <w:rPr>
          <w:sz w:val="20"/>
          <w:szCs w:val="20"/>
        </w:rPr>
      </w:pPr>
      <w:r>
        <w:rPr>
          <w:rFonts w:ascii="Times New Roman" w:hAnsi="Times New Roman" w:eastAsia="Times New Roman" w:cs="Times New Roman"/>
          <w:spacing w:val="10"/>
          <w:sz w:val="20"/>
          <w:szCs w:val="20"/>
        </w:rPr>
        <w:t>A</w:t>
      </w:r>
      <w:r>
        <w:rPr>
          <w:rFonts w:ascii="Times New Roman" w:hAnsi="Times New Roman" w:eastAsia="Times New Roman" w:cs="Times New Roman"/>
          <w:spacing w:val="-8"/>
          <w:sz w:val="20"/>
          <w:szCs w:val="20"/>
        </w:rPr>
        <w:t xml:space="preserve"> </w:t>
      </w:r>
      <w:r>
        <w:rPr>
          <w:spacing w:val="10"/>
          <w:sz w:val="20"/>
          <w:szCs w:val="20"/>
        </w:rPr>
        <w:t>类地址适用于大型网络建设，支持126个网络，每个网络最多支持16777214个主机地</w:t>
      </w:r>
      <w:r>
        <w:rPr>
          <w:sz w:val="20"/>
          <w:szCs w:val="20"/>
        </w:rPr>
        <w:t xml:space="preserve"> </w:t>
      </w:r>
      <w:r>
        <w:rPr>
          <w:spacing w:val="5"/>
          <w:sz w:val="20"/>
          <w:szCs w:val="20"/>
        </w:rPr>
        <w:t>址；</w:t>
      </w:r>
      <w:r>
        <w:rPr>
          <w:rFonts w:ascii="Times New Roman" w:hAnsi="Times New Roman" w:eastAsia="Times New Roman" w:cs="Times New Roman"/>
          <w:spacing w:val="5"/>
          <w:sz w:val="20"/>
          <w:szCs w:val="20"/>
        </w:rPr>
        <w:t xml:space="preserve">B </w:t>
      </w:r>
      <w:r>
        <w:rPr>
          <w:spacing w:val="5"/>
          <w:sz w:val="20"/>
          <w:szCs w:val="20"/>
        </w:rPr>
        <w:t>类地址适用于中型网络建设，支持16384个网络</w:t>
      </w:r>
      <w:r>
        <w:rPr>
          <w:spacing w:val="4"/>
          <w:sz w:val="20"/>
          <w:szCs w:val="20"/>
        </w:rPr>
        <w:t>，每个网络最多支持65534个主机地址；</w:t>
      </w:r>
      <w:r>
        <w:rPr>
          <w:sz w:val="20"/>
          <w:szCs w:val="20"/>
        </w:rPr>
        <w:t xml:space="preserve"> </w:t>
      </w:r>
      <w:r>
        <w:rPr>
          <w:rFonts w:ascii="Times New Roman" w:hAnsi="Times New Roman" w:eastAsia="Times New Roman" w:cs="Times New Roman"/>
          <w:spacing w:val="5"/>
          <w:sz w:val="20"/>
          <w:szCs w:val="20"/>
        </w:rPr>
        <w:t xml:space="preserve">C </w:t>
      </w:r>
      <w:r>
        <w:rPr>
          <w:spacing w:val="5"/>
          <w:sz w:val="20"/>
          <w:szCs w:val="20"/>
        </w:rPr>
        <w:t>类地址适用于小型网络建设，支持209万余个网络，每个网络最多支</w:t>
      </w:r>
      <w:r>
        <w:rPr>
          <w:spacing w:val="4"/>
          <w:sz w:val="20"/>
          <w:szCs w:val="20"/>
        </w:rPr>
        <w:t>持254个主机地址。</w:t>
      </w:r>
    </w:p>
    <w:p w14:paraId="4D6E1E0D">
      <w:pPr>
        <w:pStyle w:val="2"/>
        <w:spacing w:before="11" w:line="271" w:lineRule="auto"/>
        <w:ind w:right="183" w:firstLine="409"/>
        <w:rPr>
          <w:sz w:val="20"/>
          <w:szCs w:val="20"/>
        </w:rPr>
      </w:pPr>
      <w:r>
        <w:rPr>
          <w:spacing w:val="11"/>
          <w:sz w:val="20"/>
          <w:szCs w:val="20"/>
        </w:rPr>
        <w:t>理论上，</w:t>
      </w:r>
      <w:r>
        <w:rPr>
          <w:rFonts w:ascii="Times New Roman" w:hAnsi="Times New Roman" w:eastAsia="Times New Roman" w:cs="Times New Roman"/>
          <w:sz w:val="20"/>
          <w:szCs w:val="20"/>
        </w:rPr>
        <w:t>IPv</w:t>
      </w:r>
      <w:r>
        <w:rPr>
          <w:rFonts w:ascii="Times New Roman" w:hAnsi="Times New Roman" w:eastAsia="Times New Roman" w:cs="Times New Roman"/>
          <w:spacing w:val="11"/>
          <w:sz w:val="20"/>
          <w:szCs w:val="20"/>
        </w:rPr>
        <w:t xml:space="preserve">4 </w:t>
      </w:r>
      <w:r>
        <w:rPr>
          <w:spacing w:val="11"/>
          <w:sz w:val="20"/>
          <w:szCs w:val="20"/>
        </w:rPr>
        <w:t>地址长度为32位，有超过42亿(2的32次方)个地址可用，但实</w:t>
      </w:r>
      <w:r>
        <w:rPr>
          <w:spacing w:val="10"/>
          <w:sz w:val="20"/>
          <w:szCs w:val="20"/>
        </w:rPr>
        <w:t>际上，</w:t>
      </w:r>
      <w:r>
        <w:rPr>
          <w:spacing w:val="74"/>
          <w:sz w:val="20"/>
          <w:szCs w:val="20"/>
        </w:rPr>
        <w:t xml:space="preserve"> </w:t>
      </w:r>
      <w:r>
        <w:rPr>
          <w:spacing w:val="10"/>
          <w:sz w:val="20"/>
          <w:szCs w:val="20"/>
        </w:rPr>
        <w:t>一</w:t>
      </w:r>
      <w:r>
        <w:rPr>
          <w:sz w:val="20"/>
          <w:szCs w:val="20"/>
        </w:rPr>
        <w:t xml:space="preserve"> </w:t>
      </w:r>
      <w:r>
        <w:rPr>
          <w:spacing w:val="12"/>
          <w:sz w:val="20"/>
          <w:szCs w:val="20"/>
        </w:rPr>
        <w:t>些地址是为特殊用途保留的(例如多播地址等),能够真正拿来使</w:t>
      </w:r>
      <w:r>
        <w:rPr>
          <w:spacing w:val="11"/>
          <w:sz w:val="20"/>
          <w:szCs w:val="20"/>
        </w:rPr>
        <w:t>用的</w:t>
      </w:r>
      <w:r>
        <w:rPr>
          <w:rFonts w:ascii="Times New Roman" w:hAnsi="Times New Roman" w:eastAsia="Times New Roman" w:cs="Times New Roman"/>
          <w:sz w:val="20"/>
          <w:szCs w:val="20"/>
        </w:rPr>
        <w:t>IPv</w:t>
      </w:r>
      <w:r>
        <w:rPr>
          <w:rFonts w:ascii="Times New Roman" w:hAnsi="Times New Roman" w:eastAsia="Times New Roman" w:cs="Times New Roman"/>
          <w:spacing w:val="11"/>
          <w:sz w:val="20"/>
          <w:szCs w:val="20"/>
        </w:rPr>
        <w:t xml:space="preserve">4 </w:t>
      </w:r>
      <w:r>
        <w:rPr>
          <w:spacing w:val="11"/>
          <w:sz w:val="20"/>
          <w:szCs w:val="20"/>
        </w:rPr>
        <w:t>地址远少于42亿。</w:t>
      </w:r>
      <w:r>
        <w:rPr>
          <w:sz w:val="20"/>
          <w:szCs w:val="20"/>
        </w:rPr>
        <w:t xml:space="preserve"> </w:t>
      </w:r>
      <w:r>
        <w:rPr>
          <w:spacing w:val="11"/>
          <w:sz w:val="20"/>
          <w:szCs w:val="20"/>
        </w:rPr>
        <w:t xml:space="preserve">2011年2月3日，在最后5个地址块被分配给5个区域互联网注册管理机构之后， </w:t>
      </w:r>
      <w:r>
        <w:rPr>
          <w:rFonts w:ascii="Times New Roman" w:hAnsi="Times New Roman" w:eastAsia="Times New Roman" w:cs="Times New Roman"/>
          <w:sz w:val="20"/>
          <w:szCs w:val="20"/>
        </w:rPr>
        <w:t>IANA</w:t>
      </w:r>
      <w:r>
        <w:rPr>
          <w:rFonts w:ascii="Times New Roman" w:hAnsi="Times New Roman" w:eastAsia="Times New Roman" w:cs="Times New Roman"/>
          <w:spacing w:val="11"/>
          <w:sz w:val="20"/>
          <w:szCs w:val="20"/>
        </w:rPr>
        <w:t xml:space="preserve"> </w:t>
      </w:r>
      <w:r>
        <w:rPr>
          <w:spacing w:val="11"/>
          <w:sz w:val="20"/>
          <w:szCs w:val="20"/>
        </w:rPr>
        <w:t>的主</w:t>
      </w:r>
      <w:r>
        <w:rPr>
          <w:spacing w:val="9"/>
          <w:sz w:val="20"/>
          <w:szCs w:val="20"/>
        </w:rPr>
        <w:t xml:space="preserve">  </w:t>
      </w:r>
      <w:r>
        <w:rPr>
          <w:spacing w:val="-4"/>
          <w:sz w:val="20"/>
          <w:szCs w:val="20"/>
        </w:rPr>
        <w:t>要地址池已经用尽。</w:t>
      </w:r>
    </w:p>
    <w:p w14:paraId="116BAA1E">
      <w:pPr>
        <w:spacing w:line="271" w:lineRule="auto"/>
        <w:rPr>
          <w:sz w:val="20"/>
          <w:szCs w:val="20"/>
        </w:rPr>
        <w:sectPr>
          <w:pgSz w:w="10290" w:h="13310"/>
          <w:pgMar w:top="400" w:right="586" w:bottom="400" w:left="1100" w:header="0" w:footer="0" w:gutter="0"/>
          <w:cols w:space="720" w:num="1"/>
        </w:sectPr>
      </w:pPr>
    </w:p>
    <w:p w14:paraId="49363E04">
      <w:pPr>
        <w:pStyle w:val="2"/>
        <w:rPr>
          <w:sz w:val="18"/>
          <w:szCs w:val="18"/>
        </w:rPr>
      </w:pPr>
      <w:bookmarkStart w:id="532" w:name="bookmark519"/>
      <w:bookmarkEnd w:id="532"/>
      <w:r>
        <w:rPr>
          <w:rFonts w:ascii="Times New Roman" w:hAnsi="Times New Roman" w:eastAsia="Times New Roman" w:cs="Times New Roman"/>
          <w:spacing w:val="12"/>
          <w:sz w:val="18"/>
          <w:szCs w:val="18"/>
        </w:rPr>
        <w:t>98</w:t>
      </w:r>
      <w:r>
        <w:rPr>
          <w:rFonts w:ascii="Times New Roman" w:hAnsi="Times New Roman" w:eastAsia="Times New Roman" w:cs="Times New Roman"/>
          <w:spacing w:val="3"/>
          <w:sz w:val="18"/>
          <w:szCs w:val="18"/>
        </w:rPr>
        <w:t xml:space="preserve">  </w:t>
      </w:r>
      <w:r>
        <w:rPr>
          <w:position w:val="-11"/>
          <w:sz w:val="18"/>
          <w:szCs w:val="18"/>
        </w:rPr>
        <w:drawing>
          <wp:inline distT="0" distB="0" distL="0" distR="0">
            <wp:extent cx="311150" cy="24130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71"/>
                    <a:stretch>
                      <a:fillRect/>
                    </a:stretch>
                  </pic:blipFill>
                  <pic:spPr>
                    <a:xfrm>
                      <a:off x="0" y="0"/>
                      <a:ext cx="311171" cy="241304"/>
                    </a:xfrm>
                    <a:prstGeom prst="rect">
                      <a:avLst/>
                    </a:prstGeom>
                  </pic:spPr>
                </pic:pic>
              </a:graphicData>
            </a:graphic>
          </wp:inline>
        </w:drawing>
      </w:r>
      <w:r>
        <w:rPr>
          <w:rFonts w:ascii="Times New Roman" w:hAnsi="Times New Roman" w:eastAsia="Times New Roman" w:cs="Times New Roman"/>
          <w:spacing w:val="5"/>
          <w:sz w:val="18"/>
          <w:szCs w:val="18"/>
        </w:rPr>
        <w:t xml:space="preserve">   </w:t>
      </w:r>
      <w:r>
        <w:rPr>
          <w:spacing w:val="12"/>
          <w:sz w:val="18"/>
          <w:szCs w:val="18"/>
        </w:rPr>
        <w:t>信息系统监理师教程(第2版)</w:t>
      </w:r>
    </w:p>
    <w:p w14:paraId="3C06D429">
      <w:pPr>
        <w:spacing w:line="350" w:lineRule="auto"/>
        <w:rPr>
          <w:rFonts w:ascii="Arial"/>
          <w:sz w:val="21"/>
        </w:rPr>
      </w:pPr>
    </w:p>
    <w:p w14:paraId="42B0B4C0">
      <w:pPr>
        <w:spacing w:before="52" w:line="188" w:lineRule="auto"/>
        <w:ind w:left="2209"/>
        <w:rPr>
          <w:rFonts w:ascii="Times New Roman" w:hAnsi="Times New Roman" w:eastAsia="Times New Roman" w:cs="Times New Roman"/>
          <w:sz w:val="18"/>
          <w:szCs w:val="18"/>
        </w:rPr>
      </w:pPr>
      <w:r>
        <w:pict>
          <v:shape id="_x0000_s1182" o:spid="_x0000_s1182" o:spt="202" type="#_x0000_t202" style="position:absolute;left:0pt;margin-left:62.45pt;margin-top:13.25pt;height:71.7pt;width:35.65pt;z-index:251691008;mso-width-relative:page;mso-height-relative:page;" filled="f" stroked="f" coordsize="21600,21600">
            <v:path/>
            <v:fill on="f" focussize="0,0"/>
            <v:stroke on="f"/>
            <v:imagedata o:title=""/>
            <o:lock v:ext="edit" aspectratio="f"/>
            <v:textbox inset="0mm,0mm,0mm,0mm">
              <w:txbxContent>
                <w:p w14:paraId="19C352B4">
                  <w:pPr>
                    <w:pStyle w:val="2"/>
                    <w:spacing w:before="20" w:line="219" w:lineRule="auto"/>
                    <w:ind w:left="20"/>
                    <w:rPr>
                      <w:sz w:val="18"/>
                      <w:szCs w:val="18"/>
                    </w:rPr>
                  </w:pPr>
                  <w:r>
                    <w:rPr>
                      <w:spacing w:val="-2"/>
                      <w:sz w:val="18"/>
                      <w:szCs w:val="18"/>
                    </w:rPr>
                    <w:t>A</w:t>
                  </w:r>
                  <w:r>
                    <w:rPr>
                      <w:spacing w:val="-48"/>
                      <w:sz w:val="18"/>
                      <w:szCs w:val="18"/>
                    </w:rPr>
                    <w:t xml:space="preserve"> </w:t>
                  </w:r>
                  <w:r>
                    <w:rPr>
                      <w:spacing w:val="-2"/>
                      <w:sz w:val="18"/>
                      <w:szCs w:val="18"/>
                    </w:rPr>
                    <w:t>类地址</w:t>
                  </w:r>
                </w:p>
                <w:p w14:paraId="43955233">
                  <w:pPr>
                    <w:spacing w:line="315" w:lineRule="auto"/>
                    <w:rPr>
                      <w:rFonts w:ascii="Arial"/>
                      <w:sz w:val="21"/>
                    </w:rPr>
                  </w:pPr>
                </w:p>
                <w:p w14:paraId="0CEDF07C">
                  <w:pPr>
                    <w:pStyle w:val="2"/>
                    <w:spacing w:before="59" w:line="219" w:lineRule="auto"/>
                    <w:ind w:left="20"/>
                    <w:rPr>
                      <w:sz w:val="18"/>
                      <w:szCs w:val="18"/>
                    </w:rPr>
                  </w:pPr>
                  <w:r>
                    <w:rPr>
                      <w:spacing w:val="-2"/>
                      <w:sz w:val="18"/>
                      <w:szCs w:val="18"/>
                    </w:rPr>
                    <w:t>B</w:t>
                  </w:r>
                  <w:r>
                    <w:rPr>
                      <w:spacing w:val="-38"/>
                      <w:sz w:val="18"/>
                      <w:szCs w:val="18"/>
                    </w:rPr>
                    <w:t xml:space="preserve"> </w:t>
                  </w:r>
                  <w:r>
                    <w:rPr>
                      <w:spacing w:val="-2"/>
                      <w:sz w:val="18"/>
                      <w:szCs w:val="18"/>
                    </w:rPr>
                    <w:t>类地址</w:t>
                  </w:r>
                </w:p>
                <w:p w14:paraId="11164747">
                  <w:pPr>
                    <w:spacing w:line="315" w:lineRule="auto"/>
                    <w:rPr>
                      <w:rFonts w:ascii="Arial"/>
                      <w:sz w:val="21"/>
                    </w:rPr>
                  </w:pPr>
                </w:p>
                <w:p w14:paraId="523216D4">
                  <w:pPr>
                    <w:pStyle w:val="2"/>
                    <w:spacing w:before="59" w:line="219" w:lineRule="auto"/>
                    <w:ind w:left="20"/>
                    <w:rPr>
                      <w:sz w:val="18"/>
                      <w:szCs w:val="18"/>
                    </w:rPr>
                  </w:pPr>
                  <w:r>
                    <w:rPr>
                      <w:spacing w:val="-3"/>
                      <w:sz w:val="18"/>
                      <w:szCs w:val="18"/>
                    </w:rPr>
                    <w:t>C</w:t>
                  </w:r>
                  <w:r>
                    <w:rPr>
                      <w:spacing w:val="-44"/>
                      <w:sz w:val="18"/>
                      <w:szCs w:val="18"/>
                    </w:rPr>
                    <w:t xml:space="preserve"> </w:t>
                  </w:r>
                  <w:r>
                    <w:rPr>
                      <w:spacing w:val="-3"/>
                      <w:sz w:val="18"/>
                      <w:szCs w:val="18"/>
                    </w:rPr>
                    <w:t>类地址</w:t>
                  </w:r>
                </w:p>
              </w:txbxContent>
            </v:textbox>
          </v:shape>
        </w:pict>
      </w:r>
      <w:r>
        <w:fldChar w:fldCharType="begin"/>
      </w:r>
      <w:r>
        <w:instrText xml:space="preserve"> HYPERLINK "1.0.0.0" </w:instrText>
      </w:r>
      <w:r>
        <w:fldChar w:fldCharType="separate"/>
      </w:r>
      <w:r>
        <w:rPr>
          <w:rFonts w:ascii="Times New Roman" w:hAnsi="Times New Roman" w:eastAsia="Times New Roman" w:cs="Times New Roman"/>
          <w:spacing w:val="-5"/>
          <w:sz w:val="18"/>
          <w:szCs w:val="18"/>
        </w:rPr>
        <w:t>1.0.0.0</w:t>
      </w:r>
      <w:r>
        <w:rPr>
          <w:rFonts w:ascii="Times New Roman" w:hAnsi="Times New Roman" w:eastAsia="Times New Roman" w:cs="Times New Roman"/>
          <w:spacing w:val="-5"/>
          <w:sz w:val="18"/>
          <w:szCs w:val="18"/>
        </w:rPr>
        <w:fldChar w:fldCharType="end"/>
      </w:r>
      <w:r>
        <w:rPr>
          <w:rFonts w:ascii="Times New Roman" w:hAnsi="Times New Roman" w:eastAsia="Times New Roman" w:cs="Times New Roman"/>
          <w:spacing w:val="-5"/>
          <w:sz w:val="18"/>
          <w:szCs w:val="18"/>
        </w:rPr>
        <w:t>~</w:t>
      </w:r>
      <w:r>
        <w:rPr>
          <w:rFonts w:ascii="Times New Roman" w:hAnsi="Times New Roman" w:eastAsia="Times New Roman" w:cs="Times New Roman"/>
          <w:spacing w:val="-14"/>
          <w:sz w:val="18"/>
          <w:szCs w:val="18"/>
        </w:rPr>
        <w:t xml:space="preserve"> </w:t>
      </w:r>
      <w:r>
        <w:fldChar w:fldCharType="begin"/>
      </w:r>
      <w:r>
        <w:instrText xml:space="preserve"> HYPERLINK "126.255.255.255" </w:instrText>
      </w:r>
      <w:r>
        <w:fldChar w:fldCharType="separate"/>
      </w:r>
      <w:r>
        <w:rPr>
          <w:rFonts w:ascii="Times New Roman" w:hAnsi="Times New Roman" w:eastAsia="Times New Roman" w:cs="Times New Roman"/>
          <w:spacing w:val="-5"/>
          <w:sz w:val="18"/>
          <w:szCs w:val="18"/>
        </w:rPr>
        <w:t>126.255.255.255</w:t>
      </w:r>
      <w:r>
        <w:rPr>
          <w:rFonts w:ascii="Times New Roman" w:hAnsi="Times New Roman" w:eastAsia="Times New Roman" w:cs="Times New Roman"/>
          <w:spacing w:val="-5"/>
          <w:sz w:val="18"/>
          <w:szCs w:val="18"/>
        </w:rPr>
        <w:fldChar w:fldCharType="end"/>
      </w:r>
    </w:p>
    <w:p w14:paraId="4FC302C4">
      <w:pPr>
        <w:spacing w:line="23" w:lineRule="exact"/>
      </w:pPr>
    </w:p>
    <w:tbl>
      <w:tblPr>
        <w:tblStyle w:val="5"/>
        <w:tblW w:w="5654" w:type="dxa"/>
        <w:tblInd w:w="2134"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1593"/>
        <w:gridCol w:w="4061"/>
      </w:tblGrid>
      <w:tr w14:paraId="415F8638">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294" w:hRule="atLeast"/>
        </w:trPr>
        <w:tc>
          <w:tcPr>
            <w:tcW w:w="1593" w:type="dxa"/>
            <w:tcBorders>
              <w:bottom w:val="single" w:color="0000FF" w:sz="2" w:space="0"/>
            </w:tcBorders>
            <w:vAlign w:val="top"/>
          </w:tcPr>
          <w:p w14:paraId="2285B577">
            <w:pPr>
              <w:pStyle w:val="6"/>
              <w:spacing w:before="45" w:line="214" w:lineRule="auto"/>
              <w:ind w:left="70"/>
              <w:rPr>
                <w:rFonts w:ascii="Times New Roman" w:hAnsi="Times New Roman" w:eastAsia="Times New Roman" w:cs="Times New Roman"/>
                <w:sz w:val="18"/>
                <w:szCs w:val="18"/>
              </w:rPr>
            </w:pPr>
            <w:r>
              <w:rPr>
                <w:spacing w:val="3"/>
                <w:sz w:val="18"/>
                <w:szCs w:val="18"/>
              </w:rPr>
              <w:t>0</w:t>
            </w:r>
            <w:r>
              <w:rPr>
                <w:spacing w:val="-21"/>
                <w:sz w:val="18"/>
                <w:szCs w:val="18"/>
              </w:rPr>
              <w:t xml:space="preserve"> </w:t>
            </w:r>
            <w:r>
              <w:rPr>
                <w:spacing w:val="3"/>
                <w:sz w:val="18"/>
                <w:szCs w:val="18"/>
              </w:rPr>
              <w:t>|</w:t>
            </w:r>
            <w:r>
              <w:rPr>
                <w:spacing w:val="-42"/>
                <w:sz w:val="18"/>
                <w:szCs w:val="18"/>
              </w:rPr>
              <w:t xml:space="preserve"> </w:t>
            </w:r>
            <w:r>
              <w:rPr>
                <w:spacing w:val="3"/>
                <w:sz w:val="18"/>
                <w:szCs w:val="18"/>
              </w:rPr>
              <w:t>网络位(7</w:t>
            </w:r>
            <w:r>
              <w:rPr>
                <w:rFonts w:ascii="Times New Roman" w:hAnsi="Times New Roman" w:eastAsia="Times New Roman" w:cs="Times New Roman"/>
                <w:sz w:val="18"/>
                <w:szCs w:val="18"/>
              </w:rPr>
              <w:t>bit</w:t>
            </w:r>
            <w:r>
              <w:rPr>
                <w:rFonts w:ascii="Times New Roman" w:hAnsi="Times New Roman" w:eastAsia="Times New Roman" w:cs="Times New Roman"/>
                <w:spacing w:val="3"/>
                <w:sz w:val="18"/>
                <w:szCs w:val="18"/>
              </w:rPr>
              <w:t>)</w:t>
            </w:r>
          </w:p>
        </w:tc>
        <w:tc>
          <w:tcPr>
            <w:tcW w:w="4061" w:type="dxa"/>
            <w:tcBorders>
              <w:bottom w:val="single" w:color="0000FF" w:sz="2" w:space="0"/>
              <w:right w:val="nil"/>
            </w:tcBorders>
            <w:vAlign w:val="top"/>
          </w:tcPr>
          <w:p w14:paraId="2DA2A6D1">
            <w:pPr>
              <w:pStyle w:val="6"/>
              <w:spacing w:before="37" w:line="212" w:lineRule="auto"/>
              <w:ind w:left="67"/>
              <w:rPr>
                <w:rFonts w:ascii="Times New Roman" w:hAnsi="Times New Roman" w:eastAsia="Times New Roman" w:cs="Times New Roman"/>
                <w:sz w:val="18"/>
                <w:szCs w:val="18"/>
              </w:rPr>
            </w:pPr>
            <w:r>
              <w:rPr>
                <w:spacing w:val="5"/>
                <w:sz w:val="18"/>
                <w:szCs w:val="18"/>
              </w:rPr>
              <w:t>主机位(24</w:t>
            </w:r>
            <w:r>
              <w:rPr>
                <w:rFonts w:ascii="Times New Roman" w:hAnsi="Times New Roman" w:eastAsia="Times New Roman" w:cs="Times New Roman"/>
                <w:sz w:val="18"/>
                <w:szCs w:val="18"/>
              </w:rPr>
              <w:t>bit</w:t>
            </w:r>
            <w:r>
              <w:rPr>
                <w:rFonts w:ascii="Times New Roman" w:hAnsi="Times New Roman" w:eastAsia="Times New Roman" w:cs="Times New Roman"/>
                <w:spacing w:val="5"/>
                <w:sz w:val="18"/>
                <w:szCs w:val="18"/>
              </w:rPr>
              <w:t>)</w:t>
            </w:r>
          </w:p>
        </w:tc>
      </w:tr>
    </w:tbl>
    <w:p w14:paraId="3EA32E81">
      <w:pPr>
        <w:spacing w:before="54" w:line="188" w:lineRule="auto"/>
        <w:ind w:left="2209"/>
        <w:rPr>
          <w:rFonts w:ascii="Times New Roman" w:hAnsi="Times New Roman" w:eastAsia="Times New Roman" w:cs="Times New Roman"/>
          <w:sz w:val="18"/>
          <w:szCs w:val="18"/>
        </w:rPr>
      </w:pPr>
      <w:r>
        <w:fldChar w:fldCharType="begin"/>
      </w:r>
      <w:r>
        <w:instrText xml:space="preserve"> HYPERLINK "128.0.0.0" </w:instrText>
      </w:r>
      <w:r>
        <w:fldChar w:fldCharType="separate"/>
      </w:r>
      <w:r>
        <w:rPr>
          <w:rFonts w:ascii="Times New Roman" w:hAnsi="Times New Roman" w:eastAsia="Times New Roman" w:cs="Times New Roman"/>
          <w:spacing w:val="-5"/>
          <w:sz w:val="18"/>
          <w:szCs w:val="18"/>
        </w:rPr>
        <w:t>128.0.0.0</w:t>
      </w:r>
      <w:r>
        <w:rPr>
          <w:rFonts w:ascii="Times New Roman" w:hAnsi="Times New Roman" w:eastAsia="Times New Roman" w:cs="Times New Roman"/>
          <w:spacing w:val="-5"/>
          <w:sz w:val="18"/>
          <w:szCs w:val="18"/>
        </w:rPr>
        <w:fldChar w:fldCharType="end"/>
      </w:r>
      <w:r>
        <w:rPr>
          <w:rFonts w:ascii="Times New Roman" w:hAnsi="Times New Roman" w:eastAsia="Times New Roman" w:cs="Times New Roman"/>
          <w:spacing w:val="-5"/>
          <w:sz w:val="18"/>
          <w:szCs w:val="18"/>
        </w:rPr>
        <w:t>~</w:t>
      </w:r>
      <w:r>
        <w:rPr>
          <w:rFonts w:ascii="Times New Roman" w:hAnsi="Times New Roman" w:eastAsia="Times New Roman" w:cs="Times New Roman"/>
          <w:spacing w:val="-24"/>
          <w:sz w:val="18"/>
          <w:szCs w:val="18"/>
        </w:rPr>
        <w:t xml:space="preserve"> </w:t>
      </w:r>
      <w:r>
        <w:fldChar w:fldCharType="begin"/>
      </w:r>
      <w:r>
        <w:instrText xml:space="preserve"> HYPERLINK "191.255.255.255" </w:instrText>
      </w:r>
      <w:r>
        <w:fldChar w:fldCharType="separate"/>
      </w:r>
      <w:r>
        <w:rPr>
          <w:rFonts w:ascii="Times New Roman" w:hAnsi="Times New Roman" w:eastAsia="Times New Roman" w:cs="Times New Roman"/>
          <w:spacing w:val="-5"/>
          <w:sz w:val="18"/>
          <w:szCs w:val="18"/>
        </w:rPr>
        <w:t>191.255.255.255</w:t>
      </w:r>
      <w:r>
        <w:rPr>
          <w:rFonts w:ascii="Times New Roman" w:hAnsi="Times New Roman" w:eastAsia="Times New Roman" w:cs="Times New Roman"/>
          <w:spacing w:val="-5"/>
          <w:sz w:val="18"/>
          <w:szCs w:val="18"/>
        </w:rPr>
        <w:fldChar w:fldCharType="end"/>
      </w:r>
    </w:p>
    <w:p w14:paraId="4172D772">
      <w:pPr>
        <w:spacing w:line="33" w:lineRule="exact"/>
      </w:pPr>
    </w:p>
    <w:tbl>
      <w:tblPr>
        <w:tblStyle w:val="5"/>
        <w:tblW w:w="5639" w:type="dxa"/>
        <w:tblInd w:w="2134"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2730"/>
        <w:gridCol w:w="2909"/>
      </w:tblGrid>
      <w:tr w14:paraId="106A50DD">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330" w:hRule="atLeast"/>
        </w:trPr>
        <w:tc>
          <w:tcPr>
            <w:tcW w:w="2730" w:type="dxa"/>
            <w:vAlign w:val="top"/>
          </w:tcPr>
          <w:p w14:paraId="1E3437A0">
            <w:pPr>
              <w:pStyle w:val="6"/>
              <w:spacing w:before="57" w:line="221" w:lineRule="auto"/>
              <w:ind w:left="70"/>
              <w:rPr>
                <w:rFonts w:ascii="Times New Roman" w:hAnsi="Times New Roman" w:eastAsia="Times New Roman" w:cs="Times New Roman"/>
                <w:sz w:val="18"/>
                <w:szCs w:val="18"/>
              </w:rPr>
            </w:pPr>
            <w:r>
              <w:rPr>
                <w:rFonts w:ascii="Times New Roman" w:hAnsi="Times New Roman" w:eastAsia="Times New Roman" w:cs="Times New Roman"/>
                <w:spacing w:val="2"/>
                <w:position w:val="-4"/>
                <w:sz w:val="21"/>
                <w:szCs w:val="21"/>
              </w:rPr>
              <w:t>1</w:t>
            </w:r>
            <w:r>
              <w:rPr>
                <w:rFonts w:ascii="Times New Roman" w:hAnsi="Times New Roman" w:eastAsia="Times New Roman" w:cs="Times New Roman"/>
                <w:spacing w:val="17"/>
                <w:w w:val="101"/>
                <w:position w:val="-4"/>
                <w:sz w:val="21"/>
                <w:szCs w:val="21"/>
              </w:rPr>
              <w:t xml:space="preserve">   </w:t>
            </w:r>
            <w:r>
              <w:rPr>
                <w:rFonts w:ascii="Times New Roman" w:hAnsi="Times New Roman" w:eastAsia="Times New Roman" w:cs="Times New Roman"/>
                <w:spacing w:val="2"/>
                <w:position w:val="-3"/>
                <w:sz w:val="18"/>
                <w:szCs w:val="18"/>
              </w:rPr>
              <w:t>0</w:t>
            </w:r>
            <w:r>
              <w:rPr>
                <w:rFonts w:ascii="Times New Roman" w:hAnsi="Times New Roman" w:eastAsia="Times New Roman" w:cs="Times New Roman"/>
                <w:spacing w:val="6"/>
                <w:position w:val="-3"/>
                <w:sz w:val="18"/>
                <w:szCs w:val="18"/>
              </w:rPr>
              <w:t xml:space="preserve">    </w:t>
            </w:r>
            <w:r>
              <w:rPr>
                <w:spacing w:val="2"/>
                <w:sz w:val="18"/>
                <w:szCs w:val="18"/>
              </w:rPr>
              <w:t>网络位(14</w:t>
            </w:r>
            <w:r>
              <w:rPr>
                <w:rFonts w:ascii="Times New Roman" w:hAnsi="Times New Roman" w:eastAsia="Times New Roman" w:cs="Times New Roman"/>
                <w:sz w:val="18"/>
                <w:szCs w:val="18"/>
              </w:rPr>
              <w:t>bit</w:t>
            </w:r>
            <w:r>
              <w:rPr>
                <w:rFonts w:ascii="Times New Roman" w:hAnsi="Times New Roman" w:eastAsia="Times New Roman" w:cs="Times New Roman"/>
                <w:spacing w:val="2"/>
                <w:sz w:val="18"/>
                <w:szCs w:val="18"/>
              </w:rPr>
              <w:t>)</w:t>
            </w:r>
          </w:p>
        </w:tc>
        <w:tc>
          <w:tcPr>
            <w:tcW w:w="2909" w:type="dxa"/>
            <w:vAlign w:val="top"/>
          </w:tcPr>
          <w:p w14:paraId="5DF2D363">
            <w:pPr>
              <w:pStyle w:val="6"/>
              <w:spacing w:before="47" w:line="212" w:lineRule="auto"/>
              <w:ind w:left="69"/>
              <w:rPr>
                <w:rFonts w:ascii="Times New Roman" w:hAnsi="Times New Roman" w:eastAsia="Times New Roman" w:cs="Times New Roman"/>
                <w:sz w:val="18"/>
                <w:szCs w:val="18"/>
              </w:rPr>
            </w:pPr>
            <w:r>
              <w:rPr>
                <w:spacing w:val="4"/>
                <w:sz w:val="18"/>
                <w:szCs w:val="18"/>
              </w:rPr>
              <w:t>主机位(16</w:t>
            </w:r>
            <w:r>
              <w:rPr>
                <w:rFonts w:ascii="Times New Roman" w:hAnsi="Times New Roman" w:eastAsia="Times New Roman" w:cs="Times New Roman"/>
                <w:sz w:val="18"/>
                <w:szCs w:val="18"/>
              </w:rPr>
              <w:t>bit</w:t>
            </w:r>
            <w:r>
              <w:rPr>
                <w:rFonts w:ascii="Times New Roman" w:hAnsi="Times New Roman" w:eastAsia="Times New Roman" w:cs="Times New Roman"/>
                <w:spacing w:val="4"/>
                <w:sz w:val="18"/>
                <w:szCs w:val="18"/>
              </w:rPr>
              <w:t>)</w:t>
            </w:r>
          </w:p>
        </w:tc>
      </w:tr>
    </w:tbl>
    <w:p w14:paraId="3DEF84EC">
      <w:pPr>
        <w:spacing w:before="44" w:line="188" w:lineRule="auto"/>
        <w:ind w:left="2209"/>
        <w:rPr>
          <w:rFonts w:ascii="Times New Roman" w:hAnsi="Times New Roman" w:eastAsia="Times New Roman" w:cs="Times New Roman"/>
          <w:sz w:val="18"/>
          <w:szCs w:val="18"/>
        </w:rPr>
      </w:pPr>
      <w:r>
        <w:fldChar w:fldCharType="begin"/>
      </w:r>
      <w:r>
        <w:instrText xml:space="preserve"> HYPERLINK "192.0.0.0" </w:instrText>
      </w:r>
      <w:r>
        <w:fldChar w:fldCharType="separate"/>
      </w:r>
      <w:r>
        <w:rPr>
          <w:rFonts w:ascii="Times New Roman" w:hAnsi="Times New Roman" w:eastAsia="Times New Roman" w:cs="Times New Roman"/>
          <w:spacing w:val="-4"/>
          <w:sz w:val="18"/>
          <w:szCs w:val="18"/>
        </w:rPr>
        <w:t>192.0.0.0</w:t>
      </w:r>
      <w:r>
        <w:rPr>
          <w:rFonts w:ascii="Times New Roman" w:hAnsi="Times New Roman" w:eastAsia="Times New Roman" w:cs="Times New Roman"/>
          <w:spacing w:val="-4"/>
          <w:sz w:val="18"/>
          <w:szCs w:val="18"/>
        </w:rPr>
        <w:fldChar w:fldCharType="end"/>
      </w:r>
      <w:r>
        <w:rPr>
          <w:rFonts w:ascii="Times New Roman" w:hAnsi="Times New Roman" w:eastAsia="Times New Roman" w:cs="Times New Roman"/>
          <w:spacing w:val="-4"/>
          <w:sz w:val="18"/>
          <w:szCs w:val="18"/>
        </w:rPr>
        <w:t>~</w:t>
      </w:r>
      <w:r>
        <w:fldChar w:fldCharType="begin"/>
      </w:r>
      <w:r>
        <w:instrText xml:space="preserve"> HYPERLINK "223.255.255.255" </w:instrText>
      </w:r>
      <w:r>
        <w:fldChar w:fldCharType="separate"/>
      </w:r>
      <w:r>
        <w:rPr>
          <w:rFonts w:ascii="Times New Roman" w:hAnsi="Times New Roman" w:eastAsia="Times New Roman" w:cs="Times New Roman"/>
          <w:spacing w:val="-4"/>
          <w:sz w:val="18"/>
          <w:szCs w:val="18"/>
        </w:rPr>
        <w:t>223.255.255</w:t>
      </w:r>
      <w:r>
        <w:rPr>
          <w:rFonts w:ascii="Times New Roman" w:hAnsi="Times New Roman" w:eastAsia="Times New Roman" w:cs="Times New Roman"/>
          <w:spacing w:val="-5"/>
          <w:sz w:val="18"/>
          <w:szCs w:val="18"/>
        </w:rPr>
        <w:t>.255</w:t>
      </w:r>
      <w:r>
        <w:rPr>
          <w:rFonts w:ascii="Times New Roman" w:hAnsi="Times New Roman" w:eastAsia="Times New Roman" w:cs="Times New Roman"/>
          <w:spacing w:val="-5"/>
          <w:sz w:val="18"/>
          <w:szCs w:val="18"/>
        </w:rPr>
        <w:fldChar w:fldCharType="end"/>
      </w:r>
    </w:p>
    <w:p w14:paraId="510B577E">
      <w:pPr>
        <w:spacing w:line="33" w:lineRule="exact"/>
      </w:pPr>
    </w:p>
    <w:tbl>
      <w:tblPr>
        <w:tblStyle w:val="5"/>
        <w:tblW w:w="5649" w:type="dxa"/>
        <w:tblInd w:w="2144"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3928"/>
        <w:gridCol w:w="1721"/>
      </w:tblGrid>
      <w:tr w14:paraId="52C81F78">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319" w:hRule="atLeast"/>
        </w:trPr>
        <w:tc>
          <w:tcPr>
            <w:tcW w:w="3928" w:type="dxa"/>
            <w:tcBorders>
              <w:right w:val="single" w:color="00FFFF" w:sz="4" w:space="0"/>
            </w:tcBorders>
            <w:vAlign w:val="top"/>
          </w:tcPr>
          <w:p w14:paraId="621B3ED7">
            <w:pPr>
              <w:pStyle w:val="6"/>
              <w:spacing w:before="57" w:line="212" w:lineRule="auto"/>
              <w:ind w:left="60"/>
              <w:rPr>
                <w:rFonts w:ascii="Times New Roman" w:hAnsi="Times New Roman" w:eastAsia="Times New Roman" w:cs="Times New Roman"/>
                <w:sz w:val="18"/>
                <w:szCs w:val="18"/>
              </w:rPr>
            </w:pPr>
            <w:r>
              <w:rPr>
                <w:rFonts w:ascii="Times New Roman" w:hAnsi="Times New Roman" w:eastAsia="Times New Roman" w:cs="Times New Roman"/>
                <w:spacing w:val="-1"/>
                <w:position w:val="-3"/>
                <w:sz w:val="18"/>
                <w:szCs w:val="18"/>
              </w:rPr>
              <w:t>1</w:t>
            </w:r>
            <w:r>
              <w:rPr>
                <w:rFonts w:ascii="Times New Roman" w:hAnsi="Times New Roman" w:eastAsia="Times New Roman" w:cs="Times New Roman"/>
                <w:spacing w:val="9"/>
                <w:position w:val="-3"/>
                <w:sz w:val="18"/>
                <w:szCs w:val="18"/>
              </w:rPr>
              <w:t xml:space="preserve">    </w:t>
            </w:r>
            <w:r>
              <w:rPr>
                <w:rFonts w:ascii="Times New Roman" w:hAnsi="Times New Roman" w:eastAsia="Times New Roman" w:cs="Times New Roman"/>
                <w:spacing w:val="-1"/>
                <w:position w:val="-3"/>
                <w:sz w:val="18"/>
                <w:szCs w:val="18"/>
              </w:rPr>
              <w:t>1</w:t>
            </w:r>
            <w:r>
              <w:rPr>
                <w:rFonts w:ascii="Times New Roman" w:hAnsi="Times New Roman" w:eastAsia="Times New Roman" w:cs="Times New Roman"/>
                <w:spacing w:val="8"/>
                <w:position w:val="-3"/>
                <w:sz w:val="18"/>
                <w:szCs w:val="18"/>
              </w:rPr>
              <w:t xml:space="preserve">    </w:t>
            </w:r>
            <w:r>
              <w:rPr>
                <w:rFonts w:ascii="Times New Roman" w:hAnsi="Times New Roman" w:eastAsia="Times New Roman" w:cs="Times New Roman"/>
                <w:spacing w:val="-1"/>
                <w:position w:val="-3"/>
                <w:sz w:val="18"/>
                <w:szCs w:val="18"/>
              </w:rPr>
              <w:t xml:space="preserve">0    </w:t>
            </w:r>
            <w:r>
              <w:rPr>
                <w:spacing w:val="-1"/>
                <w:sz w:val="18"/>
                <w:szCs w:val="18"/>
              </w:rPr>
              <w:t>网络位(21</w:t>
            </w:r>
            <w:r>
              <w:rPr>
                <w:rFonts w:ascii="Times New Roman" w:hAnsi="Times New Roman" w:eastAsia="Times New Roman" w:cs="Times New Roman"/>
                <w:spacing w:val="-1"/>
                <w:sz w:val="18"/>
                <w:szCs w:val="18"/>
              </w:rPr>
              <w:t>bit)</w:t>
            </w:r>
          </w:p>
        </w:tc>
        <w:tc>
          <w:tcPr>
            <w:tcW w:w="1721" w:type="dxa"/>
            <w:tcBorders>
              <w:left w:val="single" w:color="00FFFF" w:sz="4" w:space="0"/>
            </w:tcBorders>
            <w:vAlign w:val="top"/>
          </w:tcPr>
          <w:p w14:paraId="2F5D7964">
            <w:pPr>
              <w:pStyle w:val="6"/>
              <w:spacing w:before="57" w:line="212" w:lineRule="auto"/>
              <w:ind w:left="61"/>
              <w:rPr>
                <w:rFonts w:ascii="Times New Roman" w:hAnsi="Times New Roman" w:eastAsia="Times New Roman" w:cs="Times New Roman"/>
                <w:sz w:val="18"/>
                <w:szCs w:val="18"/>
              </w:rPr>
            </w:pPr>
            <w:r>
              <w:rPr>
                <w:spacing w:val="5"/>
                <w:sz w:val="18"/>
                <w:szCs w:val="18"/>
              </w:rPr>
              <w:t>主机位(8</w:t>
            </w:r>
            <w:r>
              <w:rPr>
                <w:rFonts w:ascii="Times New Roman" w:hAnsi="Times New Roman" w:eastAsia="Times New Roman" w:cs="Times New Roman"/>
                <w:sz w:val="18"/>
                <w:szCs w:val="18"/>
              </w:rPr>
              <w:t>bit</w:t>
            </w:r>
            <w:r>
              <w:rPr>
                <w:rFonts w:ascii="Times New Roman" w:hAnsi="Times New Roman" w:eastAsia="Times New Roman" w:cs="Times New Roman"/>
                <w:spacing w:val="5"/>
                <w:sz w:val="18"/>
                <w:szCs w:val="18"/>
              </w:rPr>
              <w:t>)</w:t>
            </w:r>
          </w:p>
        </w:tc>
      </w:tr>
    </w:tbl>
    <w:p w14:paraId="471D26BA">
      <w:pPr>
        <w:spacing w:before="54" w:line="188" w:lineRule="auto"/>
        <w:ind w:left="2209"/>
        <w:rPr>
          <w:rFonts w:ascii="Times New Roman" w:hAnsi="Times New Roman" w:eastAsia="Times New Roman" w:cs="Times New Roman"/>
          <w:sz w:val="18"/>
          <w:szCs w:val="18"/>
        </w:rPr>
      </w:pPr>
      <w:r>
        <w:pict>
          <v:shape id="_x0000_s1183" o:spid="_x0000_s1183" o:spt="202" type="#_x0000_t202" style="position:absolute;left:0pt;margin-left:62.45pt;margin-top:14.35pt;height:12.7pt;width:36.15pt;z-index:251692032;mso-width-relative:page;mso-height-relative:page;" filled="f" stroked="f" coordsize="21600,21600">
            <v:path/>
            <v:fill on="f" focussize="0,0"/>
            <v:stroke on="f"/>
            <v:imagedata o:title=""/>
            <o:lock v:ext="edit" aspectratio="f"/>
            <v:textbox inset="0mm,0mm,0mm,0mm">
              <w:txbxContent>
                <w:p w14:paraId="7FACDE0D">
                  <w:pPr>
                    <w:pStyle w:val="2"/>
                    <w:spacing w:before="20" w:line="219" w:lineRule="auto"/>
                    <w:ind w:left="20"/>
                    <w:rPr>
                      <w:sz w:val="18"/>
                      <w:szCs w:val="18"/>
                    </w:rPr>
                  </w:pPr>
                  <w:r>
                    <w:rPr>
                      <w:spacing w:val="-3"/>
                      <w:sz w:val="18"/>
                      <w:szCs w:val="18"/>
                    </w:rPr>
                    <w:t>D</w:t>
                  </w:r>
                  <w:r>
                    <w:rPr>
                      <w:spacing w:val="-24"/>
                      <w:sz w:val="18"/>
                      <w:szCs w:val="18"/>
                    </w:rPr>
                    <w:t xml:space="preserve"> </w:t>
                  </w:r>
                  <w:r>
                    <w:rPr>
                      <w:spacing w:val="-3"/>
                      <w:sz w:val="18"/>
                      <w:szCs w:val="18"/>
                    </w:rPr>
                    <w:t>类地址</w:t>
                  </w:r>
                </w:p>
              </w:txbxContent>
            </v:textbox>
          </v:shape>
        </w:pict>
      </w:r>
      <w:r>
        <w:fldChar w:fldCharType="begin"/>
      </w:r>
      <w:r>
        <w:instrText xml:space="preserve"> HYPERLINK "244.0.0.0" </w:instrText>
      </w:r>
      <w:r>
        <w:fldChar w:fldCharType="separate"/>
      </w:r>
      <w:r>
        <w:rPr>
          <w:rFonts w:ascii="Times New Roman" w:hAnsi="Times New Roman" w:eastAsia="Times New Roman" w:cs="Times New Roman"/>
          <w:spacing w:val="-3"/>
          <w:sz w:val="18"/>
          <w:szCs w:val="18"/>
        </w:rPr>
        <w:t>244.0.0.0</w:t>
      </w:r>
      <w:r>
        <w:rPr>
          <w:rFonts w:ascii="Times New Roman" w:hAnsi="Times New Roman" w:eastAsia="Times New Roman" w:cs="Times New Roman"/>
          <w:spacing w:val="-3"/>
          <w:sz w:val="18"/>
          <w:szCs w:val="18"/>
        </w:rPr>
        <w:fldChar w:fldCharType="end"/>
      </w:r>
      <w:r>
        <w:rPr>
          <w:rFonts w:ascii="Times New Roman" w:hAnsi="Times New Roman" w:eastAsia="Times New Roman" w:cs="Times New Roman"/>
          <w:spacing w:val="-3"/>
          <w:sz w:val="18"/>
          <w:szCs w:val="18"/>
        </w:rPr>
        <w:t>~</w:t>
      </w:r>
      <w:r>
        <w:fldChar w:fldCharType="begin"/>
      </w:r>
      <w:r>
        <w:instrText xml:space="preserve"> HYPERLINK "239.255.255.255" </w:instrText>
      </w:r>
      <w:r>
        <w:fldChar w:fldCharType="separate"/>
      </w:r>
      <w:r>
        <w:rPr>
          <w:rFonts w:ascii="Times New Roman" w:hAnsi="Times New Roman" w:eastAsia="Times New Roman" w:cs="Times New Roman"/>
          <w:spacing w:val="-3"/>
          <w:sz w:val="18"/>
          <w:szCs w:val="18"/>
        </w:rPr>
        <w:t>239.255.255.255</w:t>
      </w:r>
      <w:r>
        <w:rPr>
          <w:rFonts w:ascii="Times New Roman" w:hAnsi="Times New Roman" w:eastAsia="Times New Roman" w:cs="Times New Roman"/>
          <w:spacing w:val="-3"/>
          <w:sz w:val="18"/>
          <w:szCs w:val="18"/>
        </w:rPr>
        <w:fldChar w:fldCharType="end"/>
      </w:r>
    </w:p>
    <w:p w14:paraId="595FAC09">
      <w:pPr>
        <w:spacing w:line="44" w:lineRule="exact"/>
      </w:pPr>
    </w:p>
    <w:tbl>
      <w:tblPr>
        <w:tblStyle w:val="5"/>
        <w:tblW w:w="5649" w:type="dxa"/>
        <w:tblInd w:w="2144"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833"/>
        <w:gridCol w:w="4816"/>
      </w:tblGrid>
      <w:tr w14:paraId="0FE0A5B1">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305" w:hRule="atLeast"/>
        </w:trPr>
        <w:tc>
          <w:tcPr>
            <w:tcW w:w="833" w:type="dxa"/>
            <w:tcBorders>
              <w:bottom w:val="single" w:color="0000FF" w:sz="2" w:space="0"/>
            </w:tcBorders>
            <w:vAlign w:val="top"/>
          </w:tcPr>
          <w:p w14:paraId="208F160C">
            <w:pPr>
              <w:spacing w:before="74" w:line="192" w:lineRule="auto"/>
              <w:ind w:left="60"/>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1|1</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6"/>
                <w:position w:val="-1"/>
                <w:sz w:val="18"/>
                <w:szCs w:val="18"/>
              </w:rPr>
              <w:t>1</w:t>
            </w:r>
          </w:p>
        </w:tc>
        <w:tc>
          <w:tcPr>
            <w:tcW w:w="4816" w:type="dxa"/>
            <w:tcBorders>
              <w:bottom w:val="single" w:color="0000FF" w:sz="2" w:space="0"/>
            </w:tcBorders>
            <w:vAlign w:val="top"/>
          </w:tcPr>
          <w:p w14:paraId="2922DDBC">
            <w:pPr>
              <w:pStyle w:val="6"/>
              <w:spacing w:before="67" w:line="219" w:lineRule="auto"/>
              <w:ind w:left="57"/>
              <w:rPr>
                <w:sz w:val="18"/>
                <w:szCs w:val="18"/>
              </w:rPr>
            </w:pPr>
            <w:r>
              <w:rPr>
                <w:rFonts w:ascii="Times New Roman" w:hAnsi="Times New Roman" w:eastAsia="Times New Roman" w:cs="Times New Roman"/>
                <w:spacing w:val="-1"/>
                <w:position w:val="-1"/>
                <w:sz w:val="18"/>
                <w:szCs w:val="18"/>
              </w:rPr>
              <w:t xml:space="preserve">0               </w:t>
            </w:r>
            <w:r>
              <w:rPr>
                <w:spacing w:val="-1"/>
                <w:sz w:val="18"/>
                <w:szCs w:val="18"/>
              </w:rPr>
              <w:t>组播地址</w:t>
            </w:r>
          </w:p>
        </w:tc>
      </w:tr>
    </w:tbl>
    <w:p w14:paraId="6A56A74A">
      <w:pPr>
        <w:spacing w:before="54" w:line="188" w:lineRule="auto"/>
        <w:ind w:left="2209"/>
        <w:rPr>
          <w:rFonts w:ascii="Times New Roman" w:hAnsi="Times New Roman" w:eastAsia="Times New Roman" w:cs="Times New Roman"/>
          <w:sz w:val="18"/>
          <w:szCs w:val="18"/>
        </w:rPr>
      </w:pPr>
      <w:r>
        <w:pict>
          <v:shape id="_x0000_s1184" o:spid="_x0000_s1184" o:spt="202" type="#_x0000_t202" style="position:absolute;left:0pt;margin-left:105.95pt;margin-top:3.4pt;height:14.1pt;width:285pt;z-index:-251626496;mso-width-relative:page;mso-height-relative:page;" filled="f" stroked="f" coordsize="21600,21600">
            <v:path/>
            <v:fill on="f" focussize="0,0"/>
            <v:stroke on="f"/>
            <v:imagedata o:title=""/>
            <o:lock v:ext="edit" aspectratio="f"/>
            <v:textbox inset="0mm,0mm,0mm,0mm">
              <w:txbxContent>
                <w:p w14:paraId="6E1891F7">
                  <w:pPr>
                    <w:tabs>
                      <w:tab w:val="left" w:pos="5679"/>
                    </w:tabs>
                    <w:spacing w:before="19"/>
                    <w:ind w:left="20"/>
                    <w:rPr>
                      <w:rFonts w:ascii="Arial"/>
                      <w:sz w:val="21"/>
                    </w:rPr>
                  </w:pPr>
                  <w:r>
                    <w:rPr>
                      <w:rFonts w:ascii="Arial" w:hAnsi="Arial" w:eastAsia="Arial" w:cs="Arial"/>
                      <w:sz w:val="21"/>
                      <w:szCs w:val="21"/>
                      <w:u w:val="single" w:color="auto"/>
                    </w:rPr>
                    <w:tab/>
                  </w:r>
                </w:p>
              </w:txbxContent>
            </v:textbox>
          </v:shape>
        </w:pict>
      </w:r>
      <w:r>
        <w:fldChar w:fldCharType="begin"/>
      </w:r>
      <w:r>
        <w:instrText xml:space="preserve"> HYPERLINK "240.0.0.0" </w:instrText>
      </w:r>
      <w:r>
        <w:fldChar w:fldCharType="separate"/>
      </w:r>
      <w:r>
        <w:rPr>
          <w:rFonts w:ascii="Times New Roman" w:hAnsi="Times New Roman" w:eastAsia="Times New Roman" w:cs="Times New Roman"/>
          <w:spacing w:val="-3"/>
          <w:sz w:val="18"/>
          <w:szCs w:val="18"/>
        </w:rPr>
        <w:t>240.0.0.0</w:t>
      </w:r>
      <w:r>
        <w:rPr>
          <w:rFonts w:ascii="Times New Roman" w:hAnsi="Times New Roman" w:eastAsia="Times New Roman" w:cs="Times New Roman"/>
          <w:spacing w:val="-3"/>
          <w:sz w:val="18"/>
          <w:szCs w:val="18"/>
        </w:rPr>
        <w:fldChar w:fldCharType="end"/>
      </w:r>
      <w:r>
        <w:rPr>
          <w:rFonts w:ascii="Times New Roman" w:hAnsi="Times New Roman" w:eastAsia="Times New Roman" w:cs="Times New Roman"/>
          <w:spacing w:val="-3"/>
          <w:sz w:val="18"/>
          <w:szCs w:val="18"/>
        </w:rPr>
        <w:t>~</w:t>
      </w:r>
      <w:r>
        <w:fldChar w:fldCharType="begin"/>
      </w:r>
      <w:r>
        <w:instrText xml:space="preserve"> HYPERLINK "255.255.255.255" </w:instrText>
      </w:r>
      <w:r>
        <w:fldChar w:fldCharType="separate"/>
      </w:r>
      <w:r>
        <w:rPr>
          <w:rFonts w:ascii="Times New Roman" w:hAnsi="Times New Roman" w:eastAsia="Times New Roman" w:cs="Times New Roman"/>
          <w:spacing w:val="-3"/>
          <w:sz w:val="18"/>
          <w:szCs w:val="18"/>
        </w:rPr>
        <w:t>255.255.255.255</w:t>
      </w:r>
      <w:r>
        <w:rPr>
          <w:rFonts w:ascii="Times New Roman" w:hAnsi="Times New Roman" w:eastAsia="Times New Roman" w:cs="Times New Roman"/>
          <w:spacing w:val="-3"/>
          <w:sz w:val="18"/>
          <w:szCs w:val="18"/>
        </w:rPr>
        <w:fldChar w:fldCharType="end"/>
      </w:r>
    </w:p>
    <w:p w14:paraId="512A4E36">
      <w:pPr>
        <w:pStyle w:val="2"/>
        <w:spacing w:before="53" w:line="230" w:lineRule="auto"/>
        <w:ind w:left="1269"/>
        <w:rPr>
          <w:sz w:val="18"/>
          <w:szCs w:val="18"/>
        </w:rPr>
      </w:pPr>
      <w:r>
        <w:rPr>
          <w:spacing w:val="-4"/>
          <w:position w:val="5"/>
          <w:sz w:val="18"/>
          <w:szCs w:val="18"/>
        </w:rPr>
        <w:t>E类地址</w:t>
      </w:r>
      <w:r>
        <w:rPr>
          <w:spacing w:val="23"/>
          <w:position w:val="5"/>
          <w:sz w:val="18"/>
          <w:szCs w:val="18"/>
        </w:rPr>
        <w:t xml:space="preserve">  </w:t>
      </w:r>
      <w:r>
        <w:rPr>
          <w:spacing w:val="-79"/>
          <w:position w:val="5"/>
          <w:sz w:val="18"/>
          <w:szCs w:val="18"/>
          <w:u w:val="single" w:color="0000FF"/>
        </w:rPr>
        <w:t xml:space="preserve"> </w:t>
      </w:r>
      <w:r>
        <w:rPr>
          <w:position w:val="-5"/>
          <w:sz w:val="18"/>
          <w:szCs w:val="18"/>
        </w:rPr>
        <w:drawing>
          <wp:inline distT="0" distB="0" distL="0" distR="0">
            <wp:extent cx="6350" cy="19621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2"/>
                    <a:stretch>
                      <a:fillRect/>
                    </a:stretch>
                  </pic:blipFill>
                  <pic:spPr>
                    <a:xfrm>
                      <a:off x="0" y="0"/>
                      <a:ext cx="6350" cy="196836"/>
                    </a:xfrm>
                    <a:prstGeom prst="rect">
                      <a:avLst/>
                    </a:prstGeom>
                  </pic:spPr>
                </pic:pic>
              </a:graphicData>
            </a:graphic>
          </wp:inline>
        </w:drawing>
      </w:r>
      <w:r>
        <w:rPr>
          <w:rFonts w:ascii="Times New Roman" w:hAnsi="Times New Roman" w:eastAsia="Times New Roman" w:cs="Times New Roman"/>
          <w:spacing w:val="-5"/>
          <w:sz w:val="18"/>
          <w:szCs w:val="18"/>
          <w:u w:val="single" w:color="0000FF"/>
        </w:rPr>
        <w:t xml:space="preserve"> </w:t>
      </w:r>
      <w:r>
        <w:rPr>
          <w:rFonts w:ascii="Times New Roman" w:hAnsi="Times New Roman" w:eastAsia="Times New Roman" w:cs="Times New Roman"/>
          <w:spacing w:val="-4"/>
          <w:sz w:val="18"/>
          <w:szCs w:val="18"/>
          <w:u w:val="single" w:color="0000FF"/>
        </w:rPr>
        <w:t>1</w:t>
      </w:r>
      <w:r>
        <w:rPr>
          <w:rFonts w:ascii="Times New Roman" w:hAnsi="Times New Roman" w:eastAsia="Times New Roman" w:cs="Times New Roman"/>
          <w:spacing w:val="3"/>
          <w:sz w:val="18"/>
          <w:szCs w:val="18"/>
          <w:u w:val="single" w:color="0000FF"/>
        </w:rPr>
        <w:t xml:space="preserve">     </w:t>
      </w:r>
      <w:r>
        <w:rPr>
          <w:rFonts w:ascii="Times New Roman" w:hAnsi="Times New Roman" w:eastAsia="Times New Roman" w:cs="Times New Roman"/>
          <w:spacing w:val="-4"/>
          <w:sz w:val="18"/>
          <w:szCs w:val="18"/>
          <w:u w:val="single" w:color="0000FF"/>
        </w:rPr>
        <w:t>1    1</w:t>
      </w:r>
      <w:r>
        <w:rPr>
          <w:rFonts w:ascii="Times New Roman" w:hAnsi="Times New Roman" w:eastAsia="Times New Roman" w:cs="Times New Roman"/>
          <w:spacing w:val="5"/>
          <w:sz w:val="18"/>
          <w:szCs w:val="18"/>
          <w:u w:val="single" w:color="0000FF"/>
        </w:rPr>
        <w:t xml:space="preserve">    </w:t>
      </w:r>
      <w:r>
        <w:rPr>
          <w:rFonts w:ascii="Times New Roman" w:hAnsi="Times New Roman" w:eastAsia="Times New Roman" w:cs="Times New Roman"/>
          <w:spacing w:val="-4"/>
          <w:position w:val="1"/>
          <w:sz w:val="18"/>
          <w:szCs w:val="18"/>
          <w:u w:val="single" w:color="0000FF"/>
        </w:rPr>
        <w:t xml:space="preserve">1   </w:t>
      </w:r>
      <w:r>
        <w:rPr>
          <w:position w:val="-5"/>
          <w:sz w:val="18"/>
          <w:szCs w:val="18"/>
        </w:rPr>
        <w:drawing>
          <wp:inline distT="0" distB="0" distL="0" distR="0">
            <wp:extent cx="6350" cy="18986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73"/>
                    <a:stretch>
                      <a:fillRect/>
                    </a:stretch>
                  </pic:blipFill>
                  <pic:spPr>
                    <a:xfrm>
                      <a:off x="0" y="0"/>
                      <a:ext cx="6350" cy="190459"/>
                    </a:xfrm>
                    <a:prstGeom prst="rect">
                      <a:avLst/>
                    </a:prstGeom>
                  </pic:spPr>
                </pic:pic>
              </a:graphicData>
            </a:graphic>
          </wp:inline>
        </w:drawing>
      </w:r>
      <w:r>
        <w:rPr>
          <w:rFonts w:ascii="Times New Roman" w:hAnsi="Times New Roman" w:eastAsia="Times New Roman" w:cs="Times New Roman"/>
          <w:spacing w:val="17"/>
          <w:w w:val="102"/>
          <w:position w:val="4"/>
          <w:sz w:val="18"/>
          <w:szCs w:val="18"/>
          <w:u w:val="single" w:color="0000FF"/>
        </w:rPr>
        <w:t xml:space="preserve"> </w:t>
      </w:r>
      <w:r>
        <w:rPr>
          <w:rFonts w:ascii="Times New Roman" w:hAnsi="Times New Roman" w:eastAsia="Times New Roman" w:cs="Times New Roman"/>
          <w:spacing w:val="-4"/>
          <w:position w:val="4"/>
          <w:sz w:val="18"/>
          <w:szCs w:val="18"/>
          <w:u w:val="single" w:color="0000FF"/>
        </w:rPr>
        <w:t xml:space="preserve">0   </w:t>
      </w:r>
      <w:r>
        <w:rPr>
          <w:position w:val="-5"/>
          <w:sz w:val="18"/>
          <w:szCs w:val="18"/>
        </w:rPr>
        <w:drawing>
          <wp:inline distT="0" distB="0" distL="0" distR="0">
            <wp:extent cx="6350" cy="19621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2"/>
                    <a:stretch>
                      <a:fillRect/>
                    </a:stretch>
                  </pic:blipFill>
                  <pic:spPr>
                    <a:xfrm>
                      <a:off x="0" y="0"/>
                      <a:ext cx="6350" cy="196836"/>
                    </a:xfrm>
                    <a:prstGeom prst="rect">
                      <a:avLst/>
                    </a:prstGeom>
                  </pic:spPr>
                </pic:pic>
              </a:graphicData>
            </a:graphic>
          </wp:inline>
        </w:drawing>
      </w:r>
      <w:r>
        <w:rPr>
          <w:spacing w:val="3"/>
          <w:position w:val="1"/>
          <w:sz w:val="18"/>
          <w:szCs w:val="18"/>
          <w:u w:val="single" w:color="0000FF"/>
        </w:rPr>
        <w:t xml:space="preserve">   </w:t>
      </w:r>
      <w:r>
        <w:rPr>
          <w:spacing w:val="-4"/>
          <w:position w:val="1"/>
          <w:sz w:val="18"/>
          <w:szCs w:val="18"/>
          <w:u w:val="single" w:color="0000FF"/>
        </w:rPr>
        <w:t xml:space="preserve">保留                       </w:t>
      </w:r>
      <w:r>
        <w:rPr>
          <w:spacing w:val="-5"/>
          <w:position w:val="1"/>
          <w:sz w:val="18"/>
          <w:szCs w:val="18"/>
          <w:u w:val="single" w:color="0000FF"/>
        </w:rPr>
        <w:t xml:space="preserve">                   </w:t>
      </w:r>
      <w:r>
        <w:rPr>
          <w:position w:val="-7"/>
          <w:sz w:val="18"/>
          <w:szCs w:val="18"/>
        </w:rPr>
        <w:drawing>
          <wp:inline distT="0" distB="0" distL="0" distR="0">
            <wp:extent cx="6350" cy="20320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74"/>
                    <a:stretch>
                      <a:fillRect/>
                    </a:stretch>
                  </pic:blipFill>
                  <pic:spPr>
                    <a:xfrm>
                      <a:off x="0" y="0"/>
                      <a:ext cx="6350" cy="203213"/>
                    </a:xfrm>
                    <a:prstGeom prst="rect">
                      <a:avLst/>
                    </a:prstGeom>
                  </pic:spPr>
                </pic:pic>
              </a:graphicData>
            </a:graphic>
          </wp:inline>
        </w:drawing>
      </w:r>
      <w:r>
        <w:rPr>
          <w:spacing w:val="1"/>
          <w:position w:val="1"/>
          <w:sz w:val="18"/>
          <w:szCs w:val="18"/>
          <w:u w:val="single" w:color="0000FF"/>
        </w:rPr>
        <w:t xml:space="preserve"> </w:t>
      </w:r>
    </w:p>
    <w:p w14:paraId="3454F80A">
      <w:pPr>
        <w:pStyle w:val="2"/>
        <w:spacing w:before="158" w:line="219" w:lineRule="auto"/>
        <w:ind w:left="3609"/>
        <w:rPr>
          <w:sz w:val="18"/>
          <w:szCs w:val="18"/>
        </w:rPr>
      </w:pPr>
      <w:r>
        <w:rPr>
          <w:spacing w:val="5"/>
          <w:sz w:val="18"/>
          <w:szCs w:val="18"/>
        </w:rPr>
        <w:t>图3-5</w:t>
      </w:r>
      <w:r>
        <w:rPr>
          <w:spacing w:val="28"/>
          <w:w w:val="101"/>
          <w:sz w:val="18"/>
          <w:szCs w:val="18"/>
        </w:rPr>
        <w:t xml:space="preserve"> </w:t>
      </w:r>
      <w:r>
        <w:rPr>
          <w:sz w:val="18"/>
          <w:szCs w:val="18"/>
        </w:rPr>
        <w:t>IPv</w:t>
      </w:r>
      <w:r>
        <w:rPr>
          <w:spacing w:val="5"/>
          <w:sz w:val="18"/>
          <w:szCs w:val="18"/>
        </w:rPr>
        <w:t>4</w:t>
      </w:r>
      <w:r>
        <w:rPr>
          <w:spacing w:val="-43"/>
          <w:sz w:val="18"/>
          <w:szCs w:val="18"/>
        </w:rPr>
        <w:t xml:space="preserve"> </w:t>
      </w:r>
      <w:r>
        <w:rPr>
          <w:spacing w:val="5"/>
          <w:sz w:val="18"/>
          <w:szCs w:val="18"/>
        </w:rPr>
        <w:t>地址类型</w:t>
      </w:r>
    </w:p>
    <w:p w14:paraId="715FC644">
      <w:pPr>
        <w:pStyle w:val="2"/>
        <w:spacing w:before="176" w:line="287" w:lineRule="auto"/>
        <w:ind w:left="299" w:right="7" w:firstLine="420"/>
        <w:jc w:val="both"/>
        <w:rPr>
          <w:sz w:val="18"/>
          <w:szCs w:val="18"/>
        </w:rPr>
      </w:pPr>
      <w:r>
        <w:rPr>
          <w:spacing w:val="4"/>
          <w:sz w:val="21"/>
          <w:szCs w:val="21"/>
        </w:rPr>
        <w:t>实际规划操作中，</w:t>
      </w:r>
      <w:r>
        <w:rPr>
          <w:sz w:val="21"/>
          <w:szCs w:val="21"/>
        </w:rPr>
        <w:t>IPv</w:t>
      </w:r>
      <w:r>
        <w:rPr>
          <w:spacing w:val="4"/>
          <w:sz w:val="21"/>
          <w:szCs w:val="21"/>
        </w:rPr>
        <w:t>4地址还有一个重要的概念，即私网地址。公网地址是</w:t>
      </w:r>
      <w:r>
        <w:rPr>
          <w:spacing w:val="3"/>
          <w:sz w:val="21"/>
          <w:szCs w:val="21"/>
        </w:rPr>
        <w:t>全球唯一</w:t>
      </w:r>
      <w:r>
        <w:rPr>
          <w:sz w:val="21"/>
          <w:szCs w:val="21"/>
        </w:rPr>
        <w:t xml:space="preserve"> </w:t>
      </w:r>
      <w:r>
        <w:rPr>
          <w:spacing w:val="-1"/>
          <w:sz w:val="21"/>
          <w:szCs w:val="21"/>
        </w:rPr>
        <w:t>分配的地址，私网地址则是可以在多个内部局域网里重</w:t>
      </w:r>
      <w:r>
        <w:rPr>
          <w:spacing w:val="-2"/>
          <w:sz w:val="21"/>
          <w:szCs w:val="21"/>
        </w:rPr>
        <w:t>复使用的地址，例如甲单位可以使用</w:t>
      </w:r>
      <w:r>
        <w:rPr>
          <w:sz w:val="21"/>
          <w:szCs w:val="21"/>
        </w:rPr>
        <w:t xml:space="preserve"> </w:t>
      </w:r>
      <w:r>
        <w:fldChar w:fldCharType="begin"/>
      </w:r>
      <w:r>
        <w:instrText xml:space="preserve"> HYPERLINK "192.168.0.234" </w:instrText>
      </w:r>
      <w:r>
        <w:fldChar w:fldCharType="separate"/>
      </w:r>
      <w:r>
        <w:rPr>
          <w:spacing w:val="11"/>
          <w:sz w:val="18"/>
          <w:szCs w:val="18"/>
        </w:rPr>
        <w:t>192.168.0.234</w:t>
      </w:r>
      <w:r>
        <w:rPr>
          <w:spacing w:val="11"/>
          <w:sz w:val="18"/>
          <w:szCs w:val="18"/>
        </w:rPr>
        <w:fldChar w:fldCharType="end"/>
      </w:r>
      <w:r>
        <w:rPr>
          <w:spacing w:val="11"/>
          <w:sz w:val="18"/>
          <w:szCs w:val="18"/>
        </w:rPr>
        <w:t>作为私网地址，乙单位也可以使用这个私网地址。</w:t>
      </w:r>
    </w:p>
    <w:p w14:paraId="547B7BD8">
      <w:pPr>
        <w:pStyle w:val="2"/>
        <w:spacing w:before="37" w:line="290" w:lineRule="auto"/>
        <w:ind w:left="299" w:firstLine="420"/>
        <w:jc w:val="both"/>
        <w:rPr>
          <w:sz w:val="18"/>
          <w:szCs w:val="18"/>
        </w:rPr>
      </w:pPr>
      <w:r>
        <w:rPr>
          <w:spacing w:val="2"/>
          <w:sz w:val="21"/>
          <w:szCs w:val="21"/>
        </w:rPr>
        <w:t>在</w:t>
      </w:r>
      <w:r>
        <w:rPr>
          <w:sz w:val="21"/>
          <w:szCs w:val="21"/>
        </w:rPr>
        <w:t>IPv</w:t>
      </w:r>
      <w:r>
        <w:rPr>
          <w:spacing w:val="2"/>
          <w:sz w:val="21"/>
          <w:szCs w:val="21"/>
        </w:rPr>
        <w:t>4的</w:t>
      </w:r>
      <w:r>
        <w:rPr>
          <w:spacing w:val="-59"/>
          <w:sz w:val="21"/>
          <w:szCs w:val="21"/>
        </w:rPr>
        <w:t xml:space="preserve"> </w:t>
      </w:r>
      <w:r>
        <w:rPr>
          <w:spacing w:val="2"/>
          <w:sz w:val="21"/>
          <w:szCs w:val="21"/>
        </w:rPr>
        <w:t>A 类</w:t>
      </w:r>
      <w:r>
        <w:rPr>
          <w:spacing w:val="-51"/>
          <w:sz w:val="21"/>
          <w:szCs w:val="21"/>
        </w:rPr>
        <w:t xml:space="preserve"> </w:t>
      </w:r>
      <w:r>
        <w:rPr>
          <w:spacing w:val="2"/>
          <w:sz w:val="21"/>
          <w:szCs w:val="21"/>
        </w:rPr>
        <w:t>、B</w:t>
      </w:r>
      <w:r>
        <w:rPr>
          <w:spacing w:val="-17"/>
          <w:sz w:val="21"/>
          <w:szCs w:val="21"/>
        </w:rPr>
        <w:t xml:space="preserve"> </w:t>
      </w:r>
      <w:r>
        <w:rPr>
          <w:spacing w:val="2"/>
          <w:sz w:val="21"/>
          <w:szCs w:val="21"/>
        </w:rPr>
        <w:t>类和C 类地址池中，都有一部分预留给了私网地址：A 类地址中私</w:t>
      </w:r>
      <w:r>
        <w:rPr>
          <w:sz w:val="21"/>
          <w:szCs w:val="21"/>
        </w:rPr>
        <w:t xml:space="preserve"> </w:t>
      </w:r>
      <w:r>
        <w:rPr>
          <w:spacing w:val="-2"/>
          <w:sz w:val="21"/>
          <w:szCs w:val="21"/>
        </w:rPr>
        <w:t>网地址可用范围是</w:t>
      </w:r>
      <w:r>
        <w:fldChar w:fldCharType="begin"/>
      </w:r>
      <w:r>
        <w:instrText xml:space="preserve"> HYPERLINK "10.0.0.0" </w:instrText>
      </w:r>
      <w:r>
        <w:fldChar w:fldCharType="separate"/>
      </w:r>
      <w:r>
        <w:rPr>
          <w:spacing w:val="-2"/>
          <w:sz w:val="21"/>
          <w:szCs w:val="21"/>
        </w:rPr>
        <w:t>10.0.0.0</w:t>
      </w:r>
      <w:r>
        <w:rPr>
          <w:spacing w:val="-2"/>
          <w:sz w:val="21"/>
          <w:szCs w:val="21"/>
        </w:rPr>
        <w:fldChar w:fldCharType="end"/>
      </w:r>
      <w:r>
        <w:rPr>
          <w:spacing w:val="-2"/>
          <w:sz w:val="21"/>
          <w:szCs w:val="21"/>
        </w:rPr>
        <w:t>到</w:t>
      </w:r>
      <w:r>
        <w:fldChar w:fldCharType="begin"/>
      </w:r>
      <w:r>
        <w:instrText xml:space="preserve"> HYPERLINK "10.255.255.255" </w:instrText>
      </w:r>
      <w:r>
        <w:fldChar w:fldCharType="separate"/>
      </w:r>
      <w:r>
        <w:rPr>
          <w:spacing w:val="-2"/>
          <w:sz w:val="21"/>
          <w:szCs w:val="21"/>
        </w:rPr>
        <w:t>10</w:t>
      </w:r>
      <w:r>
        <w:rPr>
          <w:spacing w:val="-3"/>
          <w:sz w:val="21"/>
          <w:szCs w:val="21"/>
        </w:rPr>
        <w:t>.255.255.255</w:t>
      </w:r>
      <w:r>
        <w:rPr>
          <w:spacing w:val="-3"/>
          <w:sz w:val="21"/>
          <w:szCs w:val="21"/>
        </w:rPr>
        <w:fldChar w:fldCharType="end"/>
      </w:r>
      <w:r>
        <w:rPr>
          <w:spacing w:val="-3"/>
          <w:sz w:val="21"/>
          <w:szCs w:val="21"/>
        </w:rPr>
        <w:t>,</w:t>
      </w:r>
      <w:r>
        <w:rPr>
          <w:rFonts w:ascii="Times New Roman" w:hAnsi="Times New Roman" w:eastAsia="Times New Roman" w:cs="Times New Roman"/>
          <w:spacing w:val="-3"/>
          <w:sz w:val="21"/>
          <w:szCs w:val="21"/>
        </w:rPr>
        <w:t xml:space="preserve">B </w:t>
      </w:r>
      <w:r>
        <w:rPr>
          <w:spacing w:val="-3"/>
          <w:sz w:val="21"/>
          <w:szCs w:val="21"/>
        </w:rPr>
        <w:t>类地址中私网地址可用范围是172.16.0.0到</w:t>
      </w:r>
      <w:r>
        <w:rPr>
          <w:sz w:val="21"/>
          <w:szCs w:val="21"/>
        </w:rPr>
        <w:t xml:space="preserve"> </w:t>
      </w:r>
      <w:r>
        <w:fldChar w:fldCharType="begin"/>
      </w:r>
      <w:r>
        <w:instrText xml:space="preserve"> HYPERLINK "172.31.255.255" </w:instrText>
      </w:r>
      <w:r>
        <w:fldChar w:fldCharType="separate"/>
      </w:r>
      <w:r>
        <w:rPr>
          <w:spacing w:val="10"/>
          <w:sz w:val="18"/>
          <w:szCs w:val="18"/>
        </w:rPr>
        <w:t>172.31.255.255</w:t>
      </w:r>
      <w:r>
        <w:rPr>
          <w:spacing w:val="10"/>
          <w:sz w:val="18"/>
          <w:szCs w:val="18"/>
        </w:rPr>
        <w:fldChar w:fldCharType="end"/>
      </w:r>
      <w:r>
        <w:rPr>
          <w:spacing w:val="10"/>
          <w:sz w:val="18"/>
          <w:szCs w:val="18"/>
        </w:rPr>
        <w:t>,C</w:t>
      </w:r>
      <w:r>
        <w:rPr>
          <w:sz w:val="18"/>
          <w:szCs w:val="18"/>
        </w:rPr>
        <w:t xml:space="preserve">  </w:t>
      </w:r>
      <w:r>
        <w:rPr>
          <w:spacing w:val="10"/>
          <w:sz w:val="18"/>
          <w:szCs w:val="18"/>
        </w:rPr>
        <w:t>类地址中私网地址可用范围是</w:t>
      </w:r>
      <w:r>
        <w:rPr>
          <w:spacing w:val="9"/>
          <w:sz w:val="18"/>
          <w:szCs w:val="18"/>
        </w:rPr>
        <w:t>192.168.0.0到192.168.255.255。注意这些私网</w:t>
      </w:r>
      <w:r>
        <w:rPr>
          <w:sz w:val="18"/>
          <w:szCs w:val="18"/>
        </w:rPr>
        <w:t xml:space="preserve"> </w:t>
      </w:r>
      <w:r>
        <w:rPr>
          <w:spacing w:val="17"/>
          <w:sz w:val="18"/>
          <w:szCs w:val="18"/>
        </w:rPr>
        <w:t>地址仅可以在内部网络中使用，不可以在公网中使用。</w:t>
      </w:r>
    </w:p>
    <w:p w14:paraId="0C16B816">
      <w:pPr>
        <w:pStyle w:val="2"/>
        <w:spacing w:before="38" w:line="314" w:lineRule="auto"/>
        <w:ind w:left="299" w:right="18" w:firstLine="420"/>
        <w:jc w:val="both"/>
        <w:rPr>
          <w:sz w:val="18"/>
          <w:szCs w:val="18"/>
        </w:rPr>
      </w:pPr>
      <w:r>
        <w:rPr>
          <w:spacing w:val="23"/>
          <w:sz w:val="18"/>
          <w:szCs w:val="18"/>
        </w:rPr>
        <w:t>用户可以依据自己组织规模的大小，酌情选择使用哪类私网地址。家庭网络以及</w:t>
      </w:r>
      <w:r>
        <w:rPr>
          <w:spacing w:val="22"/>
          <w:sz w:val="18"/>
          <w:szCs w:val="18"/>
        </w:rPr>
        <w:t>小规模的</w:t>
      </w:r>
      <w:r>
        <w:rPr>
          <w:sz w:val="18"/>
          <w:szCs w:val="18"/>
        </w:rPr>
        <w:t xml:space="preserve"> </w:t>
      </w:r>
      <w:r>
        <w:rPr>
          <w:spacing w:val="22"/>
          <w:sz w:val="18"/>
          <w:szCs w:val="18"/>
        </w:rPr>
        <w:t>组织，通常设备数量比较少，使用</w:t>
      </w:r>
      <w:r>
        <w:rPr>
          <w:rFonts w:ascii="Times New Roman" w:hAnsi="Times New Roman" w:eastAsia="Times New Roman" w:cs="Times New Roman"/>
          <w:spacing w:val="22"/>
          <w:sz w:val="18"/>
          <w:szCs w:val="18"/>
        </w:rPr>
        <w:t>C</w:t>
      </w:r>
      <w:r>
        <w:rPr>
          <w:rFonts w:ascii="Times New Roman" w:hAnsi="Times New Roman" w:eastAsia="Times New Roman" w:cs="Times New Roman"/>
          <w:spacing w:val="32"/>
          <w:sz w:val="18"/>
          <w:szCs w:val="18"/>
        </w:rPr>
        <w:t xml:space="preserve"> </w:t>
      </w:r>
      <w:r>
        <w:rPr>
          <w:spacing w:val="22"/>
          <w:sz w:val="18"/>
          <w:szCs w:val="18"/>
        </w:rPr>
        <w:t>类私网地址即可，大中型组织在</w:t>
      </w:r>
      <w:r>
        <w:rPr>
          <w:rFonts w:ascii="Times New Roman" w:hAnsi="Times New Roman" w:eastAsia="Times New Roman" w:cs="Times New Roman"/>
          <w:sz w:val="18"/>
          <w:szCs w:val="18"/>
        </w:rPr>
        <w:t>IP</w:t>
      </w:r>
      <w:r>
        <w:rPr>
          <w:rFonts w:ascii="Times New Roman" w:hAnsi="Times New Roman" w:eastAsia="Times New Roman" w:cs="Times New Roman"/>
          <w:spacing w:val="29"/>
          <w:w w:val="101"/>
          <w:sz w:val="18"/>
          <w:szCs w:val="18"/>
        </w:rPr>
        <w:t xml:space="preserve"> </w:t>
      </w:r>
      <w:r>
        <w:rPr>
          <w:spacing w:val="22"/>
          <w:sz w:val="18"/>
          <w:szCs w:val="18"/>
        </w:rPr>
        <w:t>地址规划时，可以考虑</w:t>
      </w:r>
      <w:r>
        <w:rPr>
          <w:sz w:val="18"/>
          <w:szCs w:val="18"/>
        </w:rPr>
        <w:t xml:space="preserve"> </w:t>
      </w:r>
      <w:r>
        <w:rPr>
          <w:spacing w:val="18"/>
          <w:sz w:val="18"/>
          <w:szCs w:val="18"/>
        </w:rPr>
        <w:t>使</w:t>
      </w:r>
      <w:r>
        <w:rPr>
          <w:spacing w:val="-22"/>
          <w:sz w:val="18"/>
          <w:szCs w:val="18"/>
        </w:rPr>
        <w:t xml:space="preserve"> </w:t>
      </w:r>
      <w:r>
        <w:rPr>
          <w:spacing w:val="18"/>
          <w:sz w:val="18"/>
          <w:szCs w:val="18"/>
        </w:rPr>
        <w:t>用</w:t>
      </w:r>
      <w:r>
        <w:rPr>
          <w:rFonts w:ascii="Times New Roman" w:hAnsi="Times New Roman" w:eastAsia="Times New Roman" w:cs="Times New Roman"/>
          <w:spacing w:val="18"/>
          <w:sz w:val="18"/>
          <w:szCs w:val="18"/>
        </w:rPr>
        <w:t>A</w:t>
      </w:r>
      <w:r>
        <w:rPr>
          <w:rFonts w:ascii="Times New Roman" w:hAnsi="Times New Roman" w:eastAsia="Times New Roman" w:cs="Times New Roman"/>
          <w:spacing w:val="36"/>
          <w:w w:val="101"/>
          <w:sz w:val="18"/>
          <w:szCs w:val="18"/>
        </w:rPr>
        <w:t xml:space="preserve"> </w:t>
      </w:r>
      <w:r>
        <w:rPr>
          <w:spacing w:val="18"/>
          <w:sz w:val="18"/>
          <w:szCs w:val="18"/>
        </w:rPr>
        <w:t>类 或</w:t>
      </w:r>
      <w:r>
        <w:rPr>
          <w:rFonts w:ascii="Times New Roman" w:hAnsi="Times New Roman" w:eastAsia="Times New Roman" w:cs="Times New Roman"/>
          <w:spacing w:val="18"/>
          <w:sz w:val="18"/>
          <w:szCs w:val="18"/>
        </w:rPr>
        <w:t>B</w:t>
      </w:r>
      <w:r>
        <w:rPr>
          <w:rFonts w:ascii="Times New Roman" w:hAnsi="Times New Roman" w:eastAsia="Times New Roman" w:cs="Times New Roman"/>
          <w:spacing w:val="28"/>
          <w:sz w:val="18"/>
          <w:szCs w:val="18"/>
        </w:rPr>
        <w:t xml:space="preserve"> </w:t>
      </w:r>
      <w:r>
        <w:rPr>
          <w:spacing w:val="18"/>
          <w:sz w:val="18"/>
          <w:szCs w:val="18"/>
        </w:rPr>
        <w:t>类私网地址，能够支持更多的主机地址。使用私网地</w:t>
      </w:r>
      <w:r>
        <w:rPr>
          <w:spacing w:val="17"/>
          <w:sz w:val="18"/>
          <w:szCs w:val="18"/>
        </w:rPr>
        <w:t>址的主机需要通过地址转换</w:t>
      </w:r>
      <w:r>
        <w:rPr>
          <w:sz w:val="18"/>
          <w:szCs w:val="18"/>
        </w:rPr>
        <w:t xml:space="preserve"> </w:t>
      </w:r>
      <w:r>
        <w:rPr>
          <w:spacing w:val="6"/>
          <w:sz w:val="18"/>
          <w:szCs w:val="18"/>
        </w:rPr>
        <w:t>技 术(</w:t>
      </w:r>
      <w:r>
        <w:rPr>
          <w:sz w:val="18"/>
          <w:szCs w:val="18"/>
        </w:rPr>
        <w:t>Network</w:t>
      </w:r>
      <w:r>
        <w:rPr>
          <w:spacing w:val="41"/>
          <w:sz w:val="18"/>
          <w:szCs w:val="18"/>
        </w:rPr>
        <w:t xml:space="preserve">  </w:t>
      </w:r>
      <w:r>
        <w:rPr>
          <w:sz w:val="18"/>
          <w:szCs w:val="18"/>
        </w:rPr>
        <w:t>Address</w:t>
      </w:r>
      <w:r>
        <w:rPr>
          <w:spacing w:val="37"/>
          <w:sz w:val="18"/>
          <w:szCs w:val="18"/>
        </w:rPr>
        <w:t xml:space="preserve">  </w:t>
      </w:r>
      <w:r>
        <w:rPr>
          <w:sz w:val="18"/>
          <w:szCs w:val="18"/>
        </w:rPr>
        <w:t>Translation</w:t>
      </w:r>
      <w:r>
        <w:rPr>
          <w:spacing w:val="6"/>
          <w:sz w:val="18"/>
          <w:szCs w:val="18"/>
        </w:rPr>
        <w:t>,</w:t>
      </w:r>
      <w:r>
        <w:rPr>
          <w:sz w:val="18"/>
          <w:szCs w:val="18"/>
        </w:rPr>
        <w:t>NAT</w:t>
      </w:r>
      <w:r>
        <w:rPr>
          <w:spacing w:val="6"/>
          <w:sz w:val="18"/>
          <w:szCs w:val="18"/>
        </w:rPr>
        <w:t>)</w:t>
      </w:r>
      <w:r>
        <w:rPr>
          <w:spacing w:val="-49"/>
          <w:sz w:val="18"/>
          <w:szCs w:val="18"/>
        </w:rPr>
        <w:t xml:space="preserve"> </w:t>
      </w:r>
      <w:r>
        <w:rPr>
          <w:spacing w:val="6"/>
          <w:sz w:val="18"/>
          <w:szCs w:val="18"/>
        </w:rPr>
        <w:t>与</w:t>
      </w:r>
      <w:r>
        <w:rPr>
          <w:spacing w:val="-28"/>
          <w:sz w:val="18"/>
          <w:szCs w:val="18"/>
        </w:rPr>
        <w:t xml:space="preserve"> </w:t>
      </w:r>
      <w:r>
        <w:rPr>
          <w:spacing w:val="6"/>
          <w:sz w:val="18"/>
          <w:szCs w:val="18"/>
        </w:rPr>
        <w:t>公</w:t>
      </w:r>
      <w:r>
        <w:rPr>
          <w:spacing w:val="-20"/>
          <w:sz w:val="18"/>
          <w:szCs w:val="18"/>
        </w:rPr>
        <w:t xml:space="preserve"> </w:t>
      </w:r>
      <w:r>
        <w:rPr>
          <w:spacing w:val="6"/>
          <w:sz w:val="18"/>
          <w:szCs w:val="18"/>
        </w:rPr>
        <w:t>网</w:t>
      </w:r>
      <w:r>
        <w:rPr>
          <w:sz w:val="18"/>
          <w:szCs w:val="18"/>
        </w:rPr>
        <w:t>IPv</w:t>
      </w:r>
      <w:r>
        <w:rPr>
          <w:spacing w:val="6"/>
          <w:sz w:val="18"/>
          <w:szCs w:val="18"/>
        </w:rPr>
        <w:t>4 地址的主机进行通信。</w:t>
      </w:r>
      <w:r>
        <w:rPr>
          <w:spacing w:val="-30"/>
          <w:sz w:val="18"/>
          <w:szCs w:val="18"/>
        </w:rPr>
        <w:t xml:space="preserve"> </w:t>
      </w:r>
      <w:r>
        <w:rPr>
          <w:sz w:val="18"/>
          <w:szCs w:val="18"/>
        </w:rPr>
        <w:t xml:space="preserve">NAT  </w:t>
      </w:r>
      <w:r>
        <w:rPr>
          <w:spacing w:val="6"/>
          <w:sz w:val="18"/>
          <w:szCs w:val="18"/>
        </w:rPr>
        <w:t>一</w:t>
      </w:r>
      <w:r>
        <w:rPr>
          <w:spacing w:val="-48"/>
          <w:sz w:val="18"/>
          <w:szCs w:val="18"/>
        </w:rPr>
        <w:t xml:space="preserve"> </w:t>
      </w:r>
      <w:r>
        <w:rPr>
          <w:spacing w:val="6"/>
          <w:sz w:val="18"/>
          <w:szCs w:val="18"/>
        </w:rPr>
        <w:t>般在家庭</w:t>
      </w:r>
      <w:r>
        <w:rPr>
          <w:sz w:val="18"/>
          <w:szCs w:val="18"/>
        </w:rPr>
        <w:t xml:space="preserve"> </w:t>
      </w:r>
      <w:r>
        <w:rPr>
          <w:spacing w:val="22"/>
          <w:sz w:val="18"/>
          <w:szCs w:val="18"/>
        </w:rPr>
        <w:t>网关、企业网关或者接口路由器等设备上实现。通信前，</w:t>
      </w:r>
      <w:r>
        <w:rPr>
          <w:rFonts w:ascii="Times New Roman" w:hAnsi="Times New Roman" w:eastAsia="Times New Roman" w:cs="Times New Roman"/>
          <w:sz w:val="18"/>
          <w:szCs w:val="18"/>
        </w:rPr>
        <w:t>NAT</w:t>
      </w:r>
      <w:r>
        <w:rPr>
          <w:rFonts w:ascii="Times New Roman" w:hAnsi="Times New Roman" w:eastAsia="Times New Roman" w:cs="Times New Roman"/>
          <w:spacing w:val="43"/>
          <w:w w:val="101"/>
          <w:sz w:val="18"/>
          <w:szCs w:val="18"/>
        </w:rPr>
        <w:t xml:space="preserve"> </w:t>
      </w:r>
      <w:r>
        <w:rPr>
          <w:spacing w:val="22"/>
          <w:sz w:val="18"/>
          <w:szCs w:val="18"/>
        </w:rPr>
        <w:t>将内部私网</w:t>
      </w:r>
      <w:r>
        <w:rPr>
          <w:spacing w:val="21"/>
          <w:sz w:val="18"/>
          <w:szCs w:val="18"/>
        </w:rPr>
        <w:t>地址和端口号转换成</w:t>
      </w:r>
      <w:r>
        <w:rPr>
          <w:sz w:val="18"/>
          <w:szCs w:val="18"/>
        </w:rPr>
        <w:t xml:space="preserve"> </w:t>
      </w:r>
      <w:r>
        <w:rPr>
          <w:spacing w:val="23"/>
          <w:sz w:val="18"/>
          <w:szCs w:val="18"/>
        </w:rPr>
        <w:t>家庭网关或者企业网关申请的公网地址，再与外部网络中的主机进行通信，实现数据转发，如</w:t>
      </w:r>
      <w:r>
        <w:rPr>
          <w:spacing w:val="9"/>
          <w:sz w:val="18"/>
          <w:szCs w:val="18"/>
        </w:rPr>
        <w:t xml:space="preserve"> </w:t>
      </w:r>
      <w:r>
        <w:rPr>
          <w:spacing w:val="13"/>
          <w:sz w:val="18"/>
          <w:szCs w:val="18"/>
        </w:rPr>
        <w:t>图3-</w:t>
      </w:r>
      <w:r>
        <w:rPr>
          <w:spacing w:val="-52"/>
          <w:sz w:val="18"/>
          <w:szCs w:val="18"/>
        </w:rPr>
        <w:t xml:space="preserve"> </w:t>
      </w:r>
      <w:r>
        <w:rPr>
          <w:spacing w:val="13"/>
          <w:sz w:val="18"/>
          <w:szCs w:val="18"/>
        </w:rPr>
        <w:t>6所示。</w:t>
      </w:r>
    </w:p>
    <w:p w14:paraId="2144D36B">
      <w:pPr>
        <w:pStyle w:val="2"/>
        <w:spacing w:before="107" w:line="3410" w:lineRule="exact"/>
        <w:ind w:firstLine="539"/>
      </w:pPr>
      <w:r>
        <w:rPr>
          <w:position w:val="-68"/>
        </w:rPr>
        <w:pict>
          <v:group id="_x0000_s1185" o:spid="_x0000_s1185" o:spt="203" style="height:170.55pt;width:388.55pt;" coordsize="7770,3411">
            <o:lock v:ext="edit"/>
            <v:shape id="_x0000_s1186" o:spid="_x0000_s1186" o:spt="75" type="#_x0000_t75" style="position:absolute;left:0;top:0;height:3411;width:7770;" filled="f" stroked="f" coordsize="21600,21600">
              <v:path/>
              <v:fill on="f" focussize="0,0"/>
              <v:stroke on="f"/>
              <v:imagedata r:id="rId75" o:title=""/>
              <o:lock v:ext="edit" aspectratio="t"/>
            </v:shape>
            <v:shape id="_x0000_s1187" o:spid="_x0000_s1187" o:spt="202" type="#_x0000_t202" style="position:absolute;left:440;top:147;height:2692;width:6780;" filled="f" stroked="f" coordsize="21600,21600">
              <v:path/>
              <v:fill on="f" focussize="0,0"/>
              <v:stroke on="f"/>
              <v:imagedata o:title=""/>
              <o:lock v:ext="edit" aspectratio="f"/>
              <v:textbox inset="0mm,0mm,0mm,0mm">
                <w:txbxContent>
                  <w:p w14:paraId="5E005908">
                    <w:pPr>
                      <w:spacing w:before="20" w:line="219" w:lineRule="auto"/>
                      <w:ind w:left="2689"/>
                      <w:rPr>
                        <w:rFonts w:ascii="宋体" w:hAnsi="宋体" w:eastAsia="宋体" w:cs="宋体"/>
                        <w:sz w:val="18"/>
                        <w:szCs w:val="18"/>
                      </w:rPr>
                    </w:pPr>
                    <w:r>
                      <w:rPr>
                        <w:rFonts w:ascii="宋体" w:hAnsi="宋体" w:eastAsia="宋体" w:cs="宋体"/>
                        <w:spacing w:val="-8"/>
                        <w:sz w:val="18"/>
                        <w:szCs w:val="18"/>
                      </w:rPr>
                      <w:t>内部</w:t>
                    </w:r>
                  </w:p>
                  <w:p w14:paraId="2DC5CD0F">
                    <w:pPr>
                      <w:spacing w:before="136" w:line="268" w:lineRule="auto"/>
                      <w:ind w:left="1339" w:right="4121" w:hanging="110"/>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PC</w:t>
                    </w:r>
                    <w:r>
                      <w:rPr>
                        <w:rFonts w:ascii="宋体" w:hAnsi="宋体" w:eastAsia="宋体" w:cs="宋体"/>
                        <w:spacing w:val="-6"/>
                        <w:sz w:val="18"/>
                        <w:szCs w:val="18"/>
                      </w:rPr>
                      <w:t>访问服务器的包</w:t>
                    </w:r>
                    <w:r>
                      <w:rPr>
                        <w:rFonts w:ascii="宋体" w:hAnsi="宋体" w:eastAsia="宋体" w:cs="宋体"/>
                        <w:sz w:val="18"/>
                        <w:szCs w:val="18"/>
                      </w:rPr>
                      <w:t xml:space="preserve"> </w:t>
                    </w:r>
                    <w:r>
                      <w:rPr>
                        <w:rFonts w:ascii="宋体" w:hAnsi="宋体" w:eastAsia="宋体" w:cs="宋体"/>
                        <w:spacing w:val="-1"/>
                        <w:sz w:val="18"/>
                        <w:szCs w:val="18"/>
                      </w:rPr>
                      <w:t>源</w:t>
                    </w:r>
                    <w:r>
                      <w:rPr>
                        <w:rFonts w:ascii="Times New Roman" w:hAnsi="Times New Roman" w:eastAsia="Times New Roman" w:cs="Times New Roman"/>
                        <w:spacing w:val="-1"/>
                        <w:sz w:val="18"/>
                        <w:szCs w:val="18"/>
                      </w:rPr>
                      <w:t>IP=</w:t>
                    </w:r>
                    <w:r>
                      <w:fldChar w:fldCharType="begin"/>
                    </w:r>
                    <w:r>
                      <w:instrText xml:space="preserve"> HYPERLINK "192.168.1.2" </w:instrText>
                    </w:r>
                    <w:r>
                      <w:fldChar w:fldCharType="separate"/>
                    </w:r>
                    <w:r>
                      <w:rPr>
                        <w:rFonts w:ascii="Times New Roman" w:hAnsi="Times New Roman" w:eastAsia="Times New Roman" w:cs="Times New Roman"/>
                        <w:spacing w:val="-1"/>
                        <w:sz w:val="18"/>
                        <w:szCs w:val="18"/>
                      </w:rPr>
                      <w:t>192.168.1.2</w:t>
                    </w:r>
                    <w:r>
                      <w:rPr>
                        <w:rFonts w:ascii="Times New Roman" w:hAnsi="Times New Roman" w:eastAsia="Times New Roman" w:cs="Times New Roman"/>
                        <w:spacing w:val="-1"/>
                        <w:sz w:val="18"/>
                        <w:szCs w:val="18"/>
                      </w:rPr>
                      <w:fldChar w:fldCharType="end"/>
                    </w:r>
                  </w:p>
                  <w:p w14:paraId="59335626">
                    <w:pPr>
                      <w:spacing w:before="30" w:line="222" w:lineRule="auto"/>
                      <w:ind w:left="1229"/>
                      <w:rPr>
                        <w:rFonts w:ascii="Times New Roman" w:hAnsi="Times New Roman" w:eastAsia="Times New Roman" w:cs="Times New Roman"/>
                        <w:sz w:val="18"/>
                        <w:szCs w:val="18"/>
                      </w:rPr>
                    </w:pPr>
                    <w:r>
                      <w:rPr>
                        <w:rFonts w:ascii="宋体" w:hAnsi="宋体" w:eastAsia="宋体" w:cs="宋体"/>
                        <w:spacing w:val="-3"/>
                        <w:sz w:val="18"/>
                        <w:szCs w:val="18"/>
                      </w:rPr>
                      <w:t>目的</w:t>
                    </w:r>
                    <w:r>
                      <w:rPr>
                        <w:rFonts w:ascii="Times New Roman" w:hAnsi="Times New Roman" w:eastAsia="Times New Roman" w:cs="Times New Roman"/>
                        <w:spacing w:val="-3"/>
                        <w:sz w:val="18"/>
                        <w:szCs w:val="18"/>
                      </w:rPr>
                      <w:t>IP=</w:t>
                    </w:r>
                    <w:r>
                      <w:fldChar w:fldCharType="begin"/>
                    </w:r>
                    <w:r>
                      <w:instrText xml:space="preserve"> HYPERLINK "203.51.23.55" </w:instrText>
                    </w:r>
                    <w:r>
                      <w:fldChar w:fldCharType="separate"/>
                    </w:r>
                    <w:r>
                      <w:rPr>
                        <w:rFonts w:ascii="Times New Roman" w:hAnsi="Times New Roman" w:eastAsia="Times New Roman" w:cs="Times New Roman"/>
                        <w:spacing w:val="-3"/>
                        <w:sz w:val="18"/>
                        <w:szCs w:val="18"/>
                      </w:rPr>
                      <w:t>203.51.23.55</w:t>
                    </w:r>
                    <w:r>
                      <w:rPr>
                        <w:rFonts w:ascii="Times New Roman" w:hAnsi="Times New Roman" w:eastAsia="Times New Roman" w:cs="Times New Roman"/>
                        <w:spacing w:val="-3"/>
                        <w:sz w:val="18"/>
                        <w:szCs w:val="18"/>
                      </w:rPr>
                      <w:fldChar w:fldCharType="end"/>
                    </w:r>
                  </w:p>
                  <w:p w14:paraId="313D9BF9">
                    <w:pPr>
                      <w:spacing w:before="263" w:line="221" w:lineRule="auto"/>
                      <w:ind w:right="16"/>
                      <w:jc w:val="right"/>
                      <w:rPr>
                        <w:rFonts w:ascii="宋体" w:hAnsi="宋体" w:eastAsia="宋体" w:cs="宋体"/>
                        <w:sz w:val="18"/>
                        <w:szCs w:val="18"/>
                      </w:rPr>
                    </w:pPr>
                    <w:r>
                      <w:rPr>
                        <w:rFonts w:ascii="宋体" w:hAnsi="宋体" w:eastAsia="宋体" w:cs="宋体"/>
                        <w:spacing w:val="-3"/>
                        <w:sz w:val="18"/>
                        <w:szCs w:val="18"/>
                      </w:rPr>
                      <w:t>互联网</w:t>
                    </w:r>
                  </w:p>
                  <w:p w14:paraId="3BC6D94C">
                    <w:pPr>
                      <w:spacing w:before="238" w:line="115" w:lineRule="exact"/>
                      <w:ind w:left="20"/>
                      <w:rPr>
                        <w:rFonts w:ascii="Times New Roman" w:hAnsi="Times New Roman" w:eastAsia="Times New Roman" w:cs="Times New Roman"/>
                        <w:sz w:val="18"/>
                        <w:szCs w:val="18"/>
                      </w:rPr>
                    </w:pPr>
                    <w:r>
                      <w:fldChar w:fldCharType="begin"/>
                    </w:r>
                    <w:r>
                      <w:instrText xml:space="preserve"> HYPERLINK "192.168.1.2" </w:instrText>
                    </w:r>
                    <w:r>
                      <w:fldChar w:fldCharType="separate"/>
                    </w:r>
                    <w:r>
                      <w:rPr>
                        <w:rFonts w:ascii="Times New Roman" w:hAnsi="Times New Roman" w:eastAsia="Times New Roman" w:cs="Times New Roman"/>
                        <w:spacing w:val="-2"/>
                        <w:position w:val="-3"/>
                        <w:sz w:val="18"/>
                        <w:szCs w:val="18"/>
                      </w:rPr>
                      <w:t>192.168.1.2</w:t>
                    </w:r>
                    <w:r>
                      <w:rPr>
                        <w:rFonts w:ascii="Times New Roman" w:hAnsi="Times New Roman" w:eastAsia="Times New Roman" w:cs="Times New Roman"/>
                        <w:spacing w:val="-2"/>
                        <w:position w:val="-3"/>
                        <w:sz w:val="18"/>
                        <w:szCs w:val="18"/>
                      </w:rPr>
                      <w:fldChar w:fldCharType="end"/>
                    </w:r>
                  </w:p>
                  <w:p w14:paraId="6C21D79C">
                    <w:pPr>
                      <w:spacing w:line="259" w:lineRule="auto"/>
                      <w:ind w:left="1229" w:right="4099"/>
                      <w:jc w:val="both"/>
                      <w:rPr>
                        <w:rFonts w:ascii="宋体" w:hAnsi="宋体" w:eastAsia="宋体" w:cs="宋体"/>
                        <w:sz w:val="18"/>
                        <w:szCs w:val="18"/>
                      </w:rPr>
                    </w:pPr>
                    <w:r>
                      <w:rPr>
                        <w:rFonts w:ascii="宋体" w:hAnsi="宋体" w:eastAsia="宋体" w:cs="宋体"/>
                        <w:spacing w:val="-9"/>
                        <w:sz w:val="18"/>
                        <w:szCs w:val="18"/>
                      </w:rPr>
                      <w:t>经过路由器后的包</w:t>
                    </w:r>
                    <w:r>
                      <w:rPr>
                        <w:rFonts w:ascii="宋体" w:hAnsi="宋体" w:eastAsia="宋体" w:cs="宋体"/>
                        <w:sz w:val="18"/>
                        <w:szCs w:val="18"/>
                      </w:rPr>
                      <w:t xml:space="preserve">  </w:t>
                    </w:r>
                    <w:r>
                      <w:rPr>
                        <w:rFonts w:ascii="宋体" w:hAnsi="宋体" w:eastAsia="宋体" w:cs="宋体"/>
                        <w:spacing w:val="-11"/>
                        <w:sz w:val="18"/>
                        <w:szCs w:val="18"/>
                      </w:rPr>
                      <w:t>源</w:t>
                    </w:r>
                    <w:r>
                      <w:rPr>
                        <w:rFonts w:ascii="Times New Roman" w:hAnsi="Times New Roman" w:eastAsia="Times New Roman" w:cs="Times New Roman"/>
                        <w:spacing w:val="-11"/>
                        <w:sz w:val="18"/>
                        <w:szCs w:val="18"/>
                      </w:rPr>
                      <w:t>IP</w:t>
                    </w:r>
                    <w:r>
                      <w:rPr>
                        <w:rFonts w:ascii="Times New Roman" w:hAnsi="Times New Roman" w:eastAsia="Times New Roman" w:cs="Times New Roman"/>
                        <w:spacing w:val="-19"/>
                        <w:sz w:val="18"/>
                        <w:szCs w:val="18"/>
                      </w:rPr>
                      <w:t xml:space="preserve"> </w:t>
                    </w:r>
                    <w:r>
                      <w:rPr>
                        <w:rFonts w:ascii="宋体" w:hAnsi="宋体" w:eastAsia="宋体" w:cs="宋体"/>
                        <w:color w:val="0B7ADB"/>
                        <w:spacing w:val="-11"/>
                        <w:sz w:val="18"/>
                        <w:szCs w:val="18"/>
                      </w:rPr>
                      <w:t>=</w:t>
                    </w:r>
                    <w:r>
                      <w:fldChar w:fldCharType="begin"/>
                    </w:r>
                    <w:r>
                      <w:instrText xml:space="preserve"> HYPERLINK "203.51.23.55" </w:instrText>
                    </w:r>
                    <w:r>
                      <w:fldChar w:fldCharType="separate"/>
                    </w:r>
                    <w:r>
                      <w:rPr>
                        <w:rFonts w:ascii="Times New Roman" w:hAnsi="Times New Roman" w:eastAsia="Times New Roman" w:cs="Times New Roman"/>
                        <w:spacing w:val="-11"/>
                        <w:sz w:val="18"/>
                        <w:szCs w:val="18"/>
                      </w:rPr>
                      <w:t>203</w:t>
                    </w:r>
                    <w:r>
                      <w:rPr>
                        <w:rFonts w:ascii="宋体" w:hAnsi="宋体" w:eastAsia="宋体" w:cs="宋体"/>
                        <w:color w:val="0B7ADB"/>
                        <w:spacing w:val="-11"/>
                        <w:sz w:val="18"/>
                        <w:szCs w:val="18"/>
                      </w:rPr>
                      <w:t>.</w:t>
                    </w:r>
                    <w:r>
                      <w:rPr>
                        <w:rFonts w:ascii="Times New Roman" w:hAnsi="Times New Roman" w:eastAsia="Times New Roman" w:cs="Times New Roman"/>
                        <w:spacing w:val="-11"/>
                        <w:sz w:val="18"/>
                        <w:szCs w:val="18"/>
                      </w:rPr>
                      <w:t>51</w:t>
                    </w:r>
                    <w:r>
                      <w:rPr>
                        <w:rFonts w:ascii="宋体" w:hAnsi="宋体" w:eastAsia="宋体" w:cs="宋体"/>
                        <w:color w:val="0B7ADB"/>
                        <w:spacing w:val="-11"/>
                        <w:sz w:val="18"/>
                        <w:szCs w:val="18"/>
                      </w:rPr>
                      <w:t>.</w:t>
                    </w:r>
                    <w:r>
                      <w:rPr>
                        <w:rFonts w:ascii="Times New Roman" w:hAnsi="Times New Roman" w:eastAsia="Times New Roman" w:cs="Times New Roman"/>
                        <w:spacing w:val="-11"/>
                        <w:sz w:val="18"/>
                        <w:szCs w:val="18"/>
                      </w:rPr>
                      <w:t>23</w:t>
                    </w:r>
                    <w:r>
                      <w:rPr>
                        <w:rFonts w:ascii="宋体" w:hAnsi="宋体" w:eastAsia="宋体" w:cs="宋体"/>
                        <w:color w:val="0B7ADB"/>
                        <w:spacing w:val="-11"/>
                        <w:sz w:val="18"/>
                        <w:szCs w:val="18"/>
                      </w:rPr>
                      <w:t>.</w:t>
                    </w:r>
                    <w:r>
                      <w:rPr>
                        <w:rFonts w:ascii="Times New Roman" w:hAnsi="Times New Roman" w:eastAsia="Times New Roman" w:cs="Times New Roman"/>
                        <w:spacing w:val="-11"/>
                        <w:sz w:val="18"/>
                        <w:szCs w:val="18"/>
                      </w:rPr>
                      <w:t>55</w:t>
                    </w:r>
                    <w:r>
                      <w:rPr>
                        <w:rFonts w:ascii="Times New Roman" w:hAnsi="Times New Roman" w:eastAsia="Times New Roman" w:cs="Times New Roman"/>
                        <w:spacing w:val="-11"/>
                        <w:sz w:val="18"/>
                        <w:szCs w:val="18"/>
                      </w:rPr>
                      <w:fldChar w:fldCharType="end"/>
                    </w:r>
                    <w:r>
                      <w:rPr>
                        <w:rFonts w:ascii="Times New Roman" w:hAnsi="Times New Roman" w:eastAsia="Times New Roman" w:cs="Times New Roman"/>
                        <w:sz w:val="18"/>
                        <w:szCs w:val="18"/>
                      </w:rPr>
                      <w:t xml:space="preserve">   </w:t>
                    </w:r>
                    <w:r>
                      <w:rPr>
                        <w:rFonts w:ascii="宋体" w:hAnsi="宋体" w:eastAsia="宋体" w:cs="宋体"/>
                        <w:spacing w:val="-11"/>
                        <w:sz w:val="18"/>
                        <w:szCs w:val="18"/>
                      </w:rPr>
                      <w:t>目的IP=</w:t>
                    </w:r>
                    <w:r>
                      <w:fldChar w:fldCharType="begin"/>
                    </w:r>
                    <w:r>
                      <w:instrText xml:space="preserve"> HYPERLINK "192.168.1.2" </w:instrText>
                    </w:r>
                    <w:r>
                      <w:fldChar w:fldCharType="separate"/>
                    </w:r>
                    <w:r>
                      <w:rPr>
                        <w:rFonts w:ascii="宋体" w:hAnsi="宋体" w:eastAsia="宋体" w:cs="宋体"/>
                        <w:spacing w:val="-11"/>
                        <w:sz w:val="18"/>
                        <w:szCs w:val="18"/>
                      </w:rPr>
                      <w:t>192.168.1.2</w:t>
                    </w:r>
                    <w:r>
                      <w:rPr>
                        <w:rFonts w:ascii="宋体" w:hAnsi="宋体" w:eastAsia="宋体" w:cs="宋体"/>
                        <w:spacing w:val="-11"/>
                        <w:sz w:val="18"/>
                        <w:szCs w:val="18"/>
                      </w:rPr>
                      <w:fldChar w:fldCharType="end"/>
                    </w:r>
                  </w:p>
                </w:txbxContent>
              </v:textbox>
            </v:shape>
            <v:shape id="_x0000_s1188" o:spid="_x0000_s1188" o:spt="202" type="#_x0000_t202" style="position:absolute;left:4640;top:497;height:763;width:1608;" filled="f" stroked="f" coordsize="21600,21600">
              <v:path/>
              <v:fill on="f" focussize="0,0"/>
              <v:stroke on="f"/>
              <v:imagedata o:title=""/>
              <o:lock v:ext="edit" aspectratio="f"/>
              <v:textbox inset="0mm,0mm,0mm,0mm">
                <w:txbxContent>
                  <w:p w14:paraId="293C74FA">
                    <w:pPr>
                      <w:spacing w:before="19" w:line="268" w:lineRule="auto"/>
                      <w:ind w:left="80" w:right="160"/>
                      <w:rPr>
                        <w:rFonts w:ascii="Times New Roman" w:hAnsi="Times New Roman" w:eastAsia="Times New Roman" w:cs="Times New Roman"/>
                        <w:sz w:val="18"/>
                        <w:szCs w:val="18"/>
                      </w:rPr>
                    </w:pPr>
                    <w:r>
                      <w:rPr>
                        <w:rFonts w:ascii="宋体" w:hAnsi="宋体" w:eastAsia="宋体" w:cs="宋体"/>
                        <w:spacing w:val="-9"/>
                        <w:sz w:val="18"/>
                        <w:szCs w:val="18"/>
                      </w:rPr>
                      <w:t>经过路由器后的包</w:t>
                    </w:r>
                    <w:r>
                      <w:rPr>
                        <w:rFonts w:ascii="宋体" w:hAnsi="宋体" w:eastAsia="宋体" w:cs="宋体"/>
                        <w:sz w:val="18"/>
                        <w:szCs w:val="18"/>
                      </w:rPr>
                      <w:t xml:space="preserve"> </w:t>
                    </w:r>
                    <w:r>
                      <w:rPr>
                        <w:rFonts w:ascii="宋体" w:hAnsi="宋体" w:eastAsia="宋体" w:cs="宋体"/>
                        <w:spacing w:val="-9"/>
                        <w:sz w:val="18"/>
                        <w:szCs w:val="18"/>
                      </w:rPr>
                      <w:t>源</w:t>
                    </w:r>
                    <w:r>
                      <w:rPr>
                        <w:rFonts w:ascii="Times New Roman" w:hAnsi="Times New Roman" w:eastAsia="Times New Roman" w:cs="Times New Roman"/>
                        <w:spacing w:val="-9"/>
                        <w:sz w:val="18"/>
                        <w:szCs w:val="18"/>
                      </w:rPr>
                      <w:t>IP</w:t>
                    </w:r>
                    <w:r>
                      <w:rPr>
                        <w:rFonts w:ascii="宋体" w:hAnsi="宋体" w:eastAsia="宋体" w:cs="宋体"/>
                        <w:color w:val="0C9AE1"/>
                        <w:spacing w:val="-9"/>
                        <w:sz w:val="18"/>
                        <w:szCs w:val="18"/>
                      </w:rPr>
                      <w:t>=</w:t>
                    </w:r>
                    <w:r>
                      <w:rPr>
                        <w:rFonts w:ascii="宋体" w:hAnsi="宋体" w:eastAsia="宋体" w:cs="宋体"/>
                        <w:color w:val="0C9AE1"/>
                        <w:spacing w:val="-38"/>
                        <w:sz w:val="18"/>
                        <w:szCs w:val="18"/>
                      </w:rPr>
                      <w:t xml:space="preserve"> </w:t>
                    </w:r>
                    <w:r>
                      <w:fldChar w:fldCharType="begin"/>
                    </w:r>
                    <w:r>
                      <w:instrText xml:space="preserve"> HYPERLINK "125.25.65.3" </w:instrText>
                    </w:r>
                    <w:r>
                      <w:fldChar w:fldCharType="separate"/>
                    </w:r>
                    <w:r>
                      <w:rPr>
                        <w:rFonts w:ascii="Times New Roman" w:hAnsi="Times New Roman" w:eastAsia="Times New Roman" w:cs="Times New Roman"/>
                        <w:spacing w:val="-9"/>
                        <w:sz w:val="18"/>
                        <w:szCs w:val="18"/>
                      </w:rPr>
                      <w:t>125</w:t>
                    </w:r>
                    <w:r>
                      <w:rPr>
                        <w:rFonts w:ascii="宋体" w:hAnsi="宋体" w:eastAsia="宋体" w:cs="宋体"/>
                        <w:color w:val="0C9AE1"/>
                        <w:spacing w:val="-9"/>
                        <w:sz w:val="18"/>
                        <w:szCs w:val="18"/>
                      </w:rPr>
                      <w:t>.</w:t>
                    </w:r>
                    <w:r>
                      <w:rPr>
                        <w:rFonts w:ascii="Times New Roman" w:hAnsi="Times New Roman" w:eastAsia="Times New Roman" w:cs="Times New Roman"/>
                        <w:spacing w:val="-9"/>
                        <w:sz w:val="18"/>
                        <w:szCs w:val="18"/>
                      </w:rPr>
                      <w:t>25</w:t>
                    </w:r>
                    <w:r>
                      <w:rPr>
                        <w:rFonts w:ascii="宋体" w:hAnsi="宋体" w:eastAsia="宋体" w:cs="宋体"/>
                        <w:color w:val="0C9AE1"/>
                        <w:spacing w:val="-9"/>
                        <w:sz w:val="18"/>
                        <w:szCs w:val="18"/>
                      </w:rPr>
                      <w:t>.</w:t>
                    </w:r>
                    <w:r>
                      <w:rPr>
                        <w:rFonts w:ascii="Times New Roman" w:hAnsi="Times New Roman" w:eastAsia="Times New Roman" w:cs="Times New Roman"/>
                        <w:spacing w:val="-9"/>
                        <w:sz w:val="18"/>
                        <w:szCs w:val="18"/>
                      </w:rPr>
                      <w:t>65</w:t>
                    </w:r>
                    <w:r>
                      <w:rPr>
                        <w:rFonts w:ascii="宋体" w:hAnsi="宋体" w:eastAsia="宋体" w:cs="宋体"/>
                        <w:color w:val="0C9AE1"/>
                        <w:spacing w:val="-9"/>
                        <w:sz w:val="18"/>
                        <w:szCs w:val="18"/>
                      </w:rPr>
                      <w:t>.</w:t>
                    </w:r>
                    <w:r>
                      <w:rPr>
                        <w:rFonts w:ascii="Times New Roman" w:hAnsi="Times New Roman" w:eastAsia="Times New Roman" w:cs="Times New Roman"/>
                        <w:spacing w:val="-9"/>
                        <w:sz w:val="18"/>
                        <w:szCs w:val="18"/>
                      </w:rPr>
                      <w:t>3</w:t>
                    </w:r>
                    <w:r>
                      <w:rPr>
                        <w:rFonts w:ascii="Times New Roman" w:hAnsi="Times New Roman" w:eastAsia="Times New Roman" w:cs="Times New Roman"/>
                        <w:spacing w:val="-9"/>
                        <w:sz w:val="18"/>
                        <w:szCs w:val="18"/>
                      </w:rPr>
                      <w:fldChar w:fldCharType="end"/>
                    </w:r>
                  </w:p>
                  <w:p w14:paraId="28E8FCF7">
                    <w:pPr>
                      <w:spacing w:before="20" w:line="222" w:lineRule="auto"/>
                      <w:ind w:left="20"/>
                      <w:rPr>
                        <w:rFonts w:ascii="宋体" w:hAnsi="宋体" w:eastAsia="宋体" w:cs="宋体"/>
                        <w:sz w:val="18"/>
                        <w:szCs w:val="18"/>
                      </w:rPr>
                    </w:pPr>
                    <w:r>
                      <w:rPr>
                        <w:rFonts w:ascii="宋体" w:hAnsi="宋体" w:eastAsia="宋体" w:cs="宋体"/>
                        <w:spacing w:val="-9"/>
                        <w:sz w:val="18"/>
                        <w:szCs w:val="18"/>
                      </w:rPr>
                      <w:t>目的</w:t>
                    </w:r>
                    <w:r>
                      <w:rPr>
                        <w:rFonts w:ascii="Times New Roman" w:hAnsi="Times New Roman" w:eastAsia="Times New Roman" w:cs="Times New Roman"/>
                        <w:spacing w:val="-9"/>
                        <w:sz w:val="18"/>
                        <w:szCs w:val="18"/>
                      </w:rPr>
                      <w:t>IP</w:t>
                    </w:r>
                    <w:r>
                      <w:rPr>
                        <w:rFonts w:ascii="Times New Roman" w:hAnsi="Times New Roman" w:eastAsia="Times New Roman" w:cs="Times New Roman"/>
                        <w:spacing w:val="-6"/>
                        <w:sz w:val="18"/>
                        <w:szCs w:val="18"/>
                      </w:rPr>
                      <w:t xml:space="preserve"> </w:t>
                    </w:r>
                    <w:r>
                      <w:rPr>
                        <w:rFonts w:ascii="宋体" w:hAnsi="宋体" w:eastAsia="宋体" w:cs="宋体"/>
                        <w:color w:val="0791D7"/>
                        <w:spacing w:val="-9"/>
                        <w:sz w:val="18"/>
                        <w:szCs w:val="18"/>
                      </w:rPr>
                      <w:t>=</w:t>
                    </w:r>
                    <w:r>
                      <w:fldChar w:fldCharType="begin"/>
                    </w:r>
                    <w:r>
                      <w:instrText xml:space="preserve"> HYPERLINK "203.51.23.55" </w:instrText>
                    </w:r>
                    <w:r>
                      <w:fldChar w:fldCharType="separate"/>
                    </w:r>
                    <w:r>
                      <w:rPr>
                        <w:rFonts w:ascii="Times New Roman" w:hAnsi="Times New Roman" w:eastAsia="Times New Roman" w:cs="Times New Roman"/>
                        <w:spacing w:val="-9"/>
                        <w:sz w:val="18"/>
                        <w:szCs w:val="18"/>
                      </w:rPr>
                      <w:t>203</w:t>
                    </w:r>
                    <w:r>
                      <w:rPr>
                        <w:rFonts w:ascii="宋体" w:hAnsi="宋体" w:eastAsia="宋体" w:cs="宋体"/>
                        <w:color w:val="0791D7"/>
                        <w:spacing w:val="-9"/>
                        <w:sz w:val="18"/>
                        <w:szCs w:val="18"/>
                      </w:rPr>
                      <w:t>.</w:t>
                    </w:r>
                    <w:r>
                      <w:rPr>
                        <w:rFonts w:ascii="Times New Roman" w:hAnsi="Times New Roman" w:eastAsia="Times New Roman" w:cs="Times New Roman"/>
                        <w:spacing w:val="-9"/>
                        <w:sz w:val="18"/>
                        <w:szCs w:val="18"/>
                      </w:rPr>
                      <w:t>51</w:t>
                    </w:r>
                    <w:r>
                      <w:rPr>
                        <w:rFonts w:ascii="宋体" w:hAnsi="宋体" w:eastAsia="宋体" w:cs="宋体"/>
                        <w:color w:val="0791D7"/>
                        <w:spacing w:val="-9"/>
                        <w:sz w:val="18"/>
                        <w:szCs w:val="18"/>
                      </w:rPr>
                      <w:t>.</w:t>
                    </w:r>
                    <w:r>
                      <w:rPr>
                        <w:rFonts w:ascii="Times New Roman" w:hAnsi="Times New Roman" w:eastAsia="Times New Roman" w:cs="Times New Roman"/>
                        <w:spacing w:val="-9"/>
                        <w:sz w:val="18"/>
                        <w:szCs w:val="18"/>
                      </w:rPr>
                      <w:t>23</w:t>
                    </w:r>
                    <w:r>
                      <w:rPr>
                        <w:rFonts w:ascii="宋体" w:hAnsi="宋体" w:eastAsia="宋体" w:cs="宋体"/>
                        <w:color w:val="0791D7"/>
                        <w:spacing w:val="-9"/>
                        <w:sz w:val="18"/>
                        <w:szCs w:val="18"/>
                      </w:rPr>
                      <w:t>.55</w:t>
                    </w:r>
                    <w:r>
                      <w:rPr>
                        <w:rFonts w:ascii="宋体" w:hAnsi="宋体" w:eastAsia="宋体" w:cs="宋体"/>
                        <w:color w:val="0791D7"/>
                        <w:spacing w:val="-9"/>
                        <w:sz w:val="18"/>
                        <w:szCs w:val="18"/>
                      </w:rPr>
                      <w:fldChar w:fldCharType="end"/>
                    </w:r>
                  </w:p>
                </w:txbxContent>
              </v:textbox>
            </v:shape>
            <v:shape id="_x0000_s1189" o:spid="_x0000_s1189" o:spt="202" type="#_x0000_t202" style="position:absolute;left:4700;top:2087;height:753;width:1488;" filled="f" stroked="f" coordsize="21600,21600">
              <v:path/>
              <v:fill on="f" focussize="0,0"/>
              <v:stroke on="f"/>
              <v:imagedata o:title=""/>
              <o:lock v:ext="edit" aspectratio="f"/>
              <v:textbox inset="0mm,0mm,0mm,0mm">
                <w:txbxContent>
                  <w:p w14:paraId="56FD0927">
                    <w:pPr>
                      <w:spacing w:before="20" w:line="263" w:lineRule="auto"/>
                      <w:ind w:left="20" w:right="20"/>
                      <w:jc w:val="both"/>
                      <w:rPr>
                        <w:rFonts w:ascii="Times New Roman" w:hAnsi="Times New Roman" w:eastAsia="Times New Roman" w:cs="Times New Roman"/>
                        <w:sz w:val="18"/>
                        <w:szCs w:val="18"/>
                      </w:rPr>
                    </w:pPr>
                    <w:r>
                      <w:rPr>
                        <w:rFonts w:ascii="宋体" w:hAnsi="宋体" w:eastAsia="宋体" w:cs="宋体"/>
                        <w:spacing w:val="-8"/>
                        <w:sz w:val="18"/>
                        <w:szCs w:val="18"/>
                      </w:rPr>
                      <w:t>服务器返回</w:t>
                    </w:r>
                    <w:r>
                      <w:rPr>
                        <w:rFonts w:ascii="Times New Roman" w:hAnsi="Times New Roman" w:eastAsia="Times New Roman" w:cs="Times New Roman"/>
                        <w:spacing w:val="-8"/>
                        <w:sz w:val="18"/>
                        <w:szCs w:val="18"/>
                      </w:rPr>
                      <w:t>PC</w:t>
                    </w:r>
                    <w:r>
                      <w:rPr>
                        <w:rFonts w:ascii="宋体" w:hAnsi="宋体" w:eastAsia="宋体" w:cs="宋体"/>
                        <w:spacing w:val="-8"/>
                        <w:sz w:val="18"/>
                        <w:szCs w:val="18"/>
                      </w:rPr>
                      <w:t>的包</w:t>
                    </w:r>
                    <w:r>
                      <w:rPr>
                        <w:rFonts w:ascii="宋体" w:hAnsi="宋体" w:eastAsia="宋体" w:cs="宋体"/>
                        <w:sz w:val="18"/>
                        <w:szCs w:val="18"/>
                      </w:rPr>
                      <w:t xml:space="preserve"> </w:t>
                    </w:r>
                    <w:r>
                      <w:rPr>
                        <w:rFonts w:ascii="宋体" w:hAnsi="宋体" w:eastAsia="宋体" w:cs="宋体"/>
                        <w:spacing w:val="-10"/>
                        <w:sz w:val="18"/>
                        <w:szCs w:val="18"/>
                      </w:rPr>
                      <w:t>源</w:t>
                    </w:r>
                    <w:r>
                      <w:rPr>
                        <w:rFonts w:ascii="Times New Roman" w:hAnsi="Times New Roman" w:eastAsia="Times New Roman" w:cs="Times New Roman"/>
                        <w:spacing w:val="-10"/>
                        <w:sz w:val="18"/>
                        <w:szCs w:val="18"/>
                      </w:rPr>
                      <w:t>IP</w:t>
                    </w:r>
                    <w:r>
                      <w:rPr>
                        <w:rFonts w:ascii="宋体" w:hAnsi="宋体" w:eastAsia="宋体" w:cs="宋体"/>
                        <w:color w:val="2577C0"/>
                        <w:spacing w:val="-10"/>
                        <w:sz w:val="18"/>
                        <w:szCs w:val="18"/>
                      </w:rPr>
                      <w:t>=</w:t>
                    </w:r>
                    <w:r>
                      <w:fldChar w:fldCharType="begin"/>
                    </w:r>
                    <w:r>
                      <w:instrText xml:space="preserve"> HYPERLINK "203.51.23.55" </w:instrText>
                    </w:r>
                    <w:r>
                      <w:fldChar w:fldCharType="separate"/>
                    </w:r>
                    <w:r>
                      <w:rPr>
                        <w:rFonts w:ascii="Times New Roman" w:hAnsi="Times New Roman" w:eastAsia="Times New Roman" w:cs="Times New Roman"/>
                        <w:spacing w:val="-10"/>
                        <w:sz w:val="18"/>
                        <w:szCs w:val="18"/>
                      </w:rPr>
                      <w:t>203</w:t>
                    </w:r>
                    <w:r>
                      <w:rPr>
                        <w:rFonts w:ascii="宋体" w:hAnsi="宋体" w:eastAsia="宋体" w:cs="宋体"/>
                        <w:color w:val="2577C0"/>
                        <w:spacing w:val="-10"/>
                        <w:sz w:val="18"/>
                        <w:szCs w:val="18"/>
                      </w:rPr>
                      <w:t>.</w:t>
                    </w:r>
                    <w:r>
                      <w:rPr>
                        <w:rFonts w:ascii="Times New Roman" w:hAnsi="Times New Roman" w:eastAsia="Times New Roman" w:cs="Times New Roman"/>
                        <w:spacing w:val="-10"/>
                        <w:sz w:val="18"/>
                        <w:szCs w:val="18"/>
                      </w:rPr>
                      <w:t>51</w:t>
                    </w:r>
                    <w:r>
                      <w:rPr>
                        <w:rFonts w:ascii="宋体" w:hAnsi="宋体" w:eastAsia="宋体" w:cs="宋体"/>
                        <w:color w:val="2577C0"/>
                        <w:spacing w:val="-10"/>
                        <w:sz w:val="18"/>
                        <w:szCs w:val="18"/>
                      </w:rPr>
                      <w:t>.</w:t>
                    </w:r>
                    <w:r>
                      <w:rPr>
                        <w:rFonts w:ascii="Times New Roman" w:hAnsi="Times New Roman" w:eastAsia="Times New Roman" w:cs="Times New Roman"/>
                        <w:spacing w:val="-10"/>
                        <w:sz w:val="18"/>
                        <w:szCs w:val="18"/>
                      </w:rPr>
                      <w:t>23</w:t>
                    </w:r>
                    <w:r>
                      <w:rPr>
                        <w:rFonts w:ascii="宋体" w:hAnsi="宋体" w:eastAsia="宋体" w:cs="宋体"/>
                        <w:color w:val="2577C0"/>
                        <w:spacing w:val="-10"/>
                        <w:sz w:val="18"/>
                        <w:szCs w:val="18"/>
                      </w:rPr>
                      <w:t>.</w:t>
                    </w:r>
                    <w:r>
                      <w:rPr>
                        <w:rFonts w:ascii="Times New Roman" w:hAnsi="Times New Roman" w:eastAsia="Times New Roman" w:cs="Times New Roman"/>
                        <w:spacing w:val="-10"/>
                        <w:sz w:val="18"/>
                        <w:szCs w:val="18"/>
                      </w:rPr>
                      <w:t>55</w:t>
                    </w:r>
                    <w:r>
                      <w:rPr>
                        <w:rFonts w:ascii="Times New Roman" w:hAnsi="Times New Roman" w:eastAsia="Times New Roman" w:cs="Times New Roman"/>
                        <w:spacing w:val="-10"/>
                        <w:sz w:val="18"/>
                        <w:szCs w:val="18"/>
                      </w:rPr>
                      <w:fldChar w:fldCharType="end"/>
                    </w:r>
                    <w:r>
                      <w:rPr>
                        <w:rFonts w:ascii="Times New Roman" w:hAnsi="Times New Roman" w:eastAsia="Times New Roman" w:cs="Times New Roman"/>
                        <w:spacing w:val="3"/>
                        <w:sz w:val="18"/>
                        <w:szCs w:val="18"/>
                      </w:rPr>
                      <w:t xml:space="preserve">   </w:t>
                    </w:r>
                    <w:r>
                      <w:rPr>
                        <w:rFonts w:ascii="宋体" w:hAnsi="宋体" w:eastAsia="宋体" w:cs="宋体"/>
                        <w:spacing w:val="-8"/>
                        <w:sz w:val="18"/>
                        <w:szCs w:val="18"/>
                      </w:rPr>
                      <w:t>目的IP</w:t>
                    </w:r>
                    <w:r>
                      <w:rPr>
                        <w:rFonts w:ascii="宋体" w:hAnsi="宋体" w:eastAsia="宋体" w:cs="宋体"/>
                        <w:color w:val="0C77D6"/>
                        <w:spacing w:val="-8"/>
                        <w:sz w:val="18"/>
                        <w:szCs w:val="18"/>
                      </w:rPr>
                      <w:t>=</w:t>
                    </w:r>
                    <w:r>
                      <w:fldChar w:fldCharType="begin"/>
                    </w:r>
                    <w:r>
                      <w:instrText xml:space="preserve"> HYPERLINK "125.25.65.3" </w:instrText>
                    </w:r>
                    <w:r>
                      <w:fldChar w:fldCharType="separate"/>
                    </w:r>
                    <w:r>
                      <w:rPr>
                        <w:rFonts w:ascii="Times New Roman" w:hAnsi="Times New Roman" w:eastAsia="Times New Roman" w:cs="Times New Roman"/>
                        <w:spacing w:val="-8"/>
                        <w:sz w:val="18"/>
                        <w:szCs w:val="18"/>
                      </w:rPr>
                      <w:t>125</w:t>
                    </w:r>
                    <w:r>
                      <w:rPr>
                        <w:rFonts w:ascii="宋体" w:hAnsi="宋体" w:eastAsia="宋体" w:cs="宋体"/>
                        <w:color w:val="0C77D6"/>
                        <w:spacing w:val="-8"/>
                        <w:sz w:val="18"/>
                        <w:szCs w:val="18"/>
                      </w:rPr>
                      <w:t>.</w:t>
                    </w:r>
                    <w:r>
                      <w:rPr>
                        <w:rFonts w:ascii="Times New Roman" w:hAnsi="Times New Roman" w:eastAsia="Times New Roman" w:cs="Times New Roman"/>
                        <w:spacing w:val="-8"/>
                        <w:sz w:val="18"/>
                        <w:szCs w:val="18"/>
                      </w:rPr>
                      <w:t>25</w:t>
                    </w:r>
                    <w:r>
                      <w:rPr>
                        <w:rFonts w:ascii="宋体" w:hAnsi="宋体" w:eastAsia="宋体" w:cs="宋体"/>
                        <w:color w:val="0C77D6"/>
                        <w:spacing w:val="-8"/>
                        <w:sz w:val="18"/>
                        <w:szCs w:val="18"/>
                      </w:rPr>
                      <w:t>.</w:t>
                    </w:r>
                    <w:r>
                      <w:rPr>
                        <w:rFonts w:ascii="Times New Roman" w:hAnsi="Times New Roman" w:eastAsia="Times New Roman" w:cs="Times New Roman"/>
                        <w:spacing w:val="-8"/>
                        <w:sz w:val="18"/>
                        <w:szCs w:val="18"/>
                      </w:rPr>
                      <w:t>65.3</w:t>
                    </w:r>
                    <w:r>
                      <w:rPr>
                        <w:rFonts w:ascii="Times New Roman" w:hAnsi="Times New Roman" w:eastAsia="Times New Roman" w:cs="Times New Roman"/>
                        <w:spacing w:val="-8"/>
                        <w:sz w:val="18"/>
                        <w:szCs w:val="18"/>
                      </w:rPr>
                      <w:fldChar w:fldCharType="end"/>
                    </w:r>
                  </w:p>
                </w:txbxContent>
              </v:textbox>
            </v:shape>
            <v:shape id="_x0000_s1190" o:spid="_x0000_s1190" o:spt="202" type="#_x0000_t202" style="position:absolute;left:6550;top:2424;height:166;width:981;" filled="f" stroked="f" coordsize="21600,21600">
              <v:path/>
              <v:fill on="f" focussize="0,0"/>
              <v:stroke on="f"/>
              <v:imagedata o:title=""/>
              <o:lock v:ext="edit" aspectratio="f"/>
              <v:textbox inset="0mm,0mm,0mm,0mm">
                <w:txbxContent>
                  <w:p w14:paraId="6D4827B7">
                    <w:pPr>
                      <w:spacing w:before="20" w:line="188" w:lineRule="auto"/>
                      <w:ind w:left="20"/>
                      <w:rPr>
                        <w:rFonts w:ascii="Times New Roman" w:hAnsi="Times New Roman" w:eastAsia="Times New Roman" w:cs="Times New Roman"/>
                        <w:sz w:val="18"/>
                        <w:szCs w:val="18"/>
                      </w:rPr>
                    </w:pPr>
                    <w:r>
                      <w:fldChar w:fldCharType="begin"/>
                    </w:r>
                    <w:r>
                      <w:instrText xml:space="preserve"> HYPERLINK "203.51.23.55" </w:instrText>
                    </w:r>
                    <w:r>
                      <w:fldChar w:fldCharType="separate"/>
                    </w:r>
                    <w:r>
                      <w:rPr>
                        <w:rFonts w:ascii="Times New Roman" w:hAnsi="Times New Roman" w:eastAsia="Times New Roman" w:cs="Times New Roman"/>
                        <w:spacing w:val="-1"/>
                        <w:sz w:val="18"/>
                        <w:szCs w:val="18"/>
                      </w:rPr>
                      <w:t>203.51.23.55</w:t>
                    </w:r>
                    <w:r>
                      <w:rPr>
                        <w:rFonts w:ascii="Times New Roman" w:hAnsi="Times New Roman" w:eastAsia="Times New Roman" w:cs="Times New Roman"/>
                        <w:spacing w:val="-1"/>
                        <w:sz w:val="18"/>
                        <w:szCs w:val="18"/>
                      </w:rPr>
                      <w:fldChar w:fldCharType="end"/>
                    </w:r>
                  </w:p>
                </w:txbxContent>
              </v:textbox>
            </v:shape>
            <v:shape id="_x0000_s1191" o:spid="_x0000_s1191" o:spt="202" type="#_x0000_t202" style="position:absolute;left:3650;top:809;height:250;width:529;" filled="f" stroked="f" coordsize="21600,21600">
              <v:path/>
              <v:fill on="f" focussize="0,0"/>
              <v:stroke on="f"/>
              <v:imagedata o:title=""/>
              <o:lock v:ext="edit" aspectratio="f"/>
              <v:textbox inset="0mm,0mm,0mm,0mm">
                <w:txbxContent>
                  <w:p w14:paraId="32DE8DAE">
                    <w:pPr>
                      <w:spacing w:before="20" w:line="220" w:lineRule="auto"/>
                      <w:ind w:left="20"/>
                      <w:rPr>
                        <w:rFonts w:ascii="宋体" w:hAnsi="宋体" w:eastAsia="宋体" w:cs="宋体"/>
                        <w:sz w:val="21"/>
                        <w:szCs w:val="21"/>
                      </w:rPr>
                    </w:pPr>
                    <w:r>
                      <w:rPr>
                        <w:rFonts w:ascii="宋体" w:hAnsi="宋体" w:eastAsia="宋体" w:cs="宋体"/>
                        <w:color w:val="429FC7"/>
                        <w:spacing w:val="-5"/>
                        <w:sz w:val="21"/>
                        <w:szCs w:val="21"/>
                      </w:rPr>
                      <w:t>转</w:t>
                    </w:r>
                    <w:r>
                      <w:rPr>
                        <w:rFonts w:ascii="宋体" w:hAnsi="宋体" w:eastAsia="宋体" w:cs="宋体"/>
                        <w:color w:val="429FC7"/>
                        <w:spacing w:val="-18"/>
                        <w:sz w:val="21"/>
                        <w:szCs w:val="21"/>
                      </w:rPr>
                      <w:t xml:space="preserve"> </w:t>
                    </w:r>
                    <w:r>
                      <w:rPr>
                        <w:rFonts w:ascii="宋体" w:hAnsi="宋体" w:eastAsia="宋体" w:cs="宋体"/>
                        <w:color w:val="429FC7"/>
                        <w:spacing w:val="-5"/>
                        <w:sz w:val="21"/>
                        <w:szCs w:val="21"/>
                      </w:rPr>
                      <w:t>换</w:t>
                    </w:r>
                  </w:p>
                </w:txbxContent>
              </v:textbox>
            </v:shape>
            <v:shape id="_x0000_s1192" o:spid="_x0000_s1192" o:spt="202" type="#_x0000_t202" style="position:absolute;left:3660;top:2377;height:220;width:417;" filled="f" stroked="f" coordsize="21600,21600">
              <v:path/>
              <v:fill on="f" focussize="0,0"/>
              <v:stroke on="f"/>
              <v:imagedata o:title=""/>
              <o:lock v:ext="edit" aspectratio="f"/>
              <v:textbox inset="0mm,0mm,0mm,0mm">
                <w:txbxContent>
                  <w:p w14:paraId="524D8708">
                    <w:pPr>
                      <w:spacing w:before="20" w:line="220" w:lineRule="auto"/>
                      <w:ind w:left="20"/>
                      <w:rPr>
                        <w:rFonts w:ascii="宋体" w:hAnsi="宋体" w:eastAsia="宋体" w:cs="宋体"/>
                        <w:sz w:val="18"/>
                        <w:szCs w:val="18"/>
                      </w:rPr>
                    </w:pPr>
                    <w:r>
                      <w:rPr>
                        <w:rFonts w:ascii="宋体" w:hAnsi="宋体" w:eastAsia="宋体" w:cs="宋体"/>
                        <w:color w:val="277CA1"/>
                        <w:spacing w:val="8"/>
                        <w:sz w:val="18"/>
                        <w:szCs w:val="18"/>
                      </w:rPr>
                      <w:t>转换</w:t>
                    </w:r>
                  </w:p>
                </w:txbxContent>
              </v:textbox>
            </v:shape>
            <v:shape id="_x0000_s1193" o:spid="_x0000_s1193" o:spt="202" type="#_x0000_t202" style="position:absolute;left:4299;top:137;height:220;width:390;" filled="f" stroked="f" coordsize="21600,21600">
              <v:path/>
              <v:fill on="f" focussize="0,0"/>
              <v:stroke on="f"/>
              <v:imagedata o:title=""/>
              <o:lock v:ext="edit" aspectratio="f"/>
              <v:textbox inset="0mm,0mm,0mm,0mm">
                <w:txbxContent>
                  <w:p w14:paraId="49AB4096">
                    <w:pPr>
                      <w:spacing w:before="20" w:line="219" w:lineRule="auto"/>
                      <w:ind w:left="20"/>
                      <w:rPr>
                        <w:rFonts w:ascii="宋体" w:hAnsi="宋体" w:eastAsia="宋体" w:cs="宋体"/>
                        <w:sz w:val="18"/>
                        <w:szCs w:val="18"/>
                      </w:rPr>
                    </w:pPr>
                    <w:r>
                      <w:rPr>
                        <w:rFonts w:ascii="宋体" w:hAnsi="宋体" w:eastAsia="宋体" w:cs="宋体"/>
                        <w:spacing w:val="-3"/>
                        <w:sz w:val="18"/>
                        <w:szCs w:val="18"/>
                      </w:rPr>
                      <w:t>外部</w:t>
                    </w:r>
                  </w:p>
                </w:txbxContent>
              </v:textbox>
            </v:shape>
            <v:shape id="_x0000_s1194" o:spid="_x0000_s1194" o:spt="202" type="#_x0000_t202" style="position:absolute;left:3750;top:1564;height:166;width:412;" filled="f" stroked="f" coordsize="21600,21600">
              <v:path/>
              <v:fill on="f" focussize="0,0"/>
              <v:stroke on="f"/>
              <v:imagedata o:title=""/>
              <o:lock v:ext="edit" aspectratio="f"/>
              <v:textbox inset="0mm,0mm,0mm,0mm">
                <w:txbxContent>
                  <w:p w14:paraId="06253FF9">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z w:val="18"/>
                        <w:szCs w:val="18"/>
                      </w:rPr>
                      <w:t>NAT</w:t>
                    </w:r>
                  </w:p>
                </w:txbxContent>
              </v:textbox>
            </v:shape>
            <v:shape id="_x0000_s1195" o:spid="_x0000_s1195" o:spt="202" type="#_x0000_t202" style="position:absolute;left:710;top:1123;height:167;width:257;" filled="f" stroked="f" coordsize="21600,21600">
              <v:path/>
              <v:fill on="f" focussize="0,0"/>
              <v:stroke on="f"/>
              <v:imagedata o:title=""/>
              <o:lock v:ext="edit" aspectratio="f"/>
              <v:textbox inset="0mm,0mm,0mm,0mm">
                <w:txbxContent>
                  <w:p w14:paraId="79D5E7E1">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PC</w:t>
                    </w:r>
                  </w:p>
                </w:txbxContent>
              </v:textbox>
            </v:shape>
            <w10:wrap type="none"/>
            <w10:anchorlock/>
          </v:group>
        </w:pict>
      </w:r>
    </w:p>
    <w:p w14:paraId="268598BA">
      <w:pPr>
        <w:pStyle w:val="2"/>
        <w:spacing w:before="76" w:line="219" w:lineRule="auto"/>
        <w:ind w:left="3120"/>
        <w:rPr>
          <w:sz w:val="18"/>
          <w:szCs w:val="18"/>
        </w:rPr>
      </w:pPr>
      <w:r>
        <w:rPr>
          <w:spacing w:val="1"/>
          <w:sz w:val="18"/>
          <w:szCs w:val="18"/>
        </w:rPr>
        <w:t>图3-6</w:t>
      </w:r>
      <w:r>
        <w:rPr>
          <w:spacing w:val="48"/>
          <w:sz w:val="18"/>
          <w:szCs w:val="18"/>
        </w:rPr>
        <w:t xml:space="preserve"> </w:t>
      </w:r>
      <w:r>
        <w:rPr>
          <w:rFonts w:ascii="Times New Roman" w:hAnsi="Times New Roman" w:eastAsia="Times New Roman" w:cs="Times New Roman"/>
          <w:sz w:val="18"/>
          <w:szCs w:val="18"/>
        </w:rPr>
        <w:t>IPv</w:t>
      </w:r>
      <w:r>
        <w:rPr>
          <w:rFonts w:ascii="Times New Roman" w:hAnsi="Times New Roman" w:eastAsia="Times New Roman" w:cs="Times New Roman"/>
          <w:spacing w:val="1"/>
          <w:sz w:val="18"/>
          <w:szCs w:val="18"/>
        </w:rPr>
        <w:t>4</w:t>
      </w:r>
      <w:r>
        <w:rPr>
          <w:rFonts w:ascii="Times New Roman" w:hAnsi="Times New Roman" w:eastAsia="Times New Roman" w:cs="Times New Roman"/>
          <w:spacing w:val="19"/>
          <w:w w:val="101"/>
          <w:sz w:val="18"/>
          <w:szCs w:val="18"/>
        </w:rPr>
        <w:t xml:space="preserve"> </w:t>
      </w:r>
      <w:r>
        <w:rPr>
          <w:spacing w:val="1"/>
          <w:sz w:val="18"/>
          <w:szCs w:val="18"/>
        </w:rPr>
        <w:t>的</w:t>
      </w:r>
      <w:r>
        <w:rPr>
          <w:spacing w:val="-38"/>
          <w:sz w:val="18"/>
          <w:szCs w:val="18"/>
        </w:rPr>
        <w:t xml:space="preserve"> </w:t>
      </w:r>
      <w:r>
        <w:rPr>
          <w:rFonts w:ascii="Times New Roman" w:hAnsi="Times New Roman" w:eastAsia="Times New Roman" w:cs="Times New Roman"/>
          <w:sz w:val="18"/>
          <w:szCs w:val="18"/>
        </w:rPr>
        <w:t>NAT</w:t>
      </w:r>
      <w:r>
        <w:rPr>
          <w:rFonts w:ascii="Times New Roman" w:hAnsi="Times New Roman" w:eastAsia="Times New Roman" w:cs="Times New Roman"/>
          <w:spacing w:val="-17"/>
          <w:sz w:val="18"/>
          <w:szCs w:val="18"/>
        </w:rPr>
        <w:t xml:space="preserve"> </w:t>
      </w:r>
      <w:r>
        <w:rPr>
          <w:spacing w:val="1"/>
          <w:sz w:val="18"/>
          <w:szCs w:val="18"/>
        </w:rPr>
        <w:t>地址转换机制</w:t>
      </w:r>
    </w:p>
    <w:p w14:paraId="222722C5">
      <w:pPr>
        <w:spacing w:line="219" w:lineRule="auto"/>
        <w:rPr>
          <w:sz w:val="18"/>
          <w:szCs w:val="18"/>
        </w:rPr>
        <w:sectPr>
          <w:pgSz w:w="10310" w:h="13390"/>
          <w:pgMar w:top="399" w:right="1127" w:bottom="400" w:left="530" w:header="0" w:footer="0" w:gutter="0"/>
          <w:cols w:space="720" w:num="1"/>
        </w:sectPr>
      </w:pPr>
    </w:p>
    <w:p w14:paraId="3AB5DFA8">
      <w:pPr>
        <w:pStyle w:val="2"/>
        <w:spacing w:before="116" w:line="219" w:lineRule="auto"/>
        <w:jc w:val="right"/>
        <w:rPr>
          <w:rFonts w:ascii="Times New Roman" w:hAnsi="Times New Roman" w:eastAsia="Times New Roman" w:cs="Times New Roman"/>
          <w:sz w:val="17"/>
          <w:szCs w:val="17"/>
        </w:rPr>
      </w:pPr>
      <w:r>
        <w:rPr>
          <w:spacing w:val="-2"/>
          <w:sz w:val="20"/>
          <w:szCs w:val="20"/>
        </w:rPr>
        <w:t>第3章 信息网络系统</w:t>
      </w:r>
      <w:r>
        <w:rPr>
          <w:spacing w:val="14"/>
          <w:sz w:val="20"/>
          <w:szCs w:val="20"/>
        </w:rPr>
        <w:t xml:space="preserve">      </w:t>
      </w:r>
      <w:r>
        <w:rPr>
          <w:rFonts w:ascii="Times New Roman" w:hAnsi="Times New Roman" w:eastAsia="Times New Roman" w:cs="Times New Roman"/>
          <w:spacing w:val="-2"/>
          <w:sz w:val="17"/>
          <w:szCs w:val="17"/>
        </w:rPr>
        <w:t>99</w:t>
      </w:r>
    </w:p>
    <w:p w14:paraId="43B46A49">
      <w:pPr>
        <w:spacing w:line="290" w:lineRule="auto"/>
        <w:rPr>
          <w:rFonts w:ascii="Arial"/>
          <w:sz w:val="21"/>
        </w:rPr>
      </w:pPr>
    </w:p>
    <w:p w14:paraId="680E75B8">
      <w:pPr>
        <w:pStyle w:val="2"/>
        <w:spacing w:before="65" w:line="230" w:lineRule="auto"/>
        <w:ind w:left="409"/>
        <w:rPr>
          <w:rFonts w:ascii="楷体" w:hAnsi="楷体" w:eastAsia="楷体" w:cs="楷体"/>
          <w:sz w:val="20"/>
          <w:szCs w:val="20"/>
        </w:rPr>
      </w:pPr>
      <w:r>
        <w:rPr>
          <w:spacing w:val="6"/>
          <w:sz w:val="20"/>
          <w:szCs w:val="20"/>
        </w:rPr>
        <w:t>3)</w:t>
      </w:r>
      <w:r>
        <w:rPr>
          <w:sz w:val="20"/>
          <w:szCs w:val="20"/>
        </w:rPr>
        <w:t>IPv</w:t>
      </w:r>
      <w:r>
        <w:rPr>
          <w:spacing w:val="6"/>
          <w:sz w:val="20"/>
          <w:szCs w:val="20"/>
        </w:rPr>
        <w:t xml:space="preserve">4 </w:t>
      </w:r>
      <w:r>
        <w:rPr>
          <w:rFonts w:ascii="楷体" w:hAnsi="楷体" w:eastAsia="楷体" w:cs="楷体"/>
          <w:spacing w:val="6"/>
          <w:sz w:val="20"/>
          <w:szCs w:val="20"/>
        </w:rPr>
        <w:t>路由</w:t>
      </w:r>
    </w:p>
    <w:p w14:paraId="079AE7D6">
      <w:pPr>
        <w:pStyle w:val="2"/>
        <w:spacing w:before="60" w:line="285" w:lineRule="auto"/>
        <w:ind w:right="193" w:firstLine="409"/>
        <w:rPr>
          <w:sz w:val="20"/>
          <w:szCs w:val="20"/>
        </w:rPr>
      </w:pPr>
      <w:r>
        <w:rPr>
          <w:spacing w:val="3"/>
          <w:sz w:val="20"/>
          <w:szCs w:val="20"/>
        </w:rPr>
        <w:t>路由</w:t>
      </w:r>
      <w:r>
        <w:rPr>
          <w:spacing w:val="-53"/>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Routing</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 xml:space="preserve">    </w:t>
      </w:r>
      <w:r>
        <w:rPr>
          <w:spacing w:val="3"/>
          <w:sz w:val="20"/>
          <w:szCs w:val="20"/>
        </w:rPr>
        <w:t>是指路由器从一个接口上收到数据包，根据数据包的目的地</w:t>
      </w:r>
      <w:r>
        <w:rPr>
          <w:spacing w:val="2"/>
          <w:sz w:val="20"/>
          <w:szCs w:val="20"/>
        </w:rPr>
        <w:t>址进行定向并</w:t>
      </w:r>
      <w:r>
        <w:rPr>
          <w:spacing w:val="1"/>
          <w:sz w:val="20"/>
          <w:szCs w:val="20"/>
        </w:rPr>
        <w:t xml:space="preserve"> </w:t>
      </w:r>
      <w:r>
        <w:rPr>
          <w:spacing w:val="-1"/>
          <w:sz w:val="20"/>
          <w:szCs w:val="20"/>
        </w:rPr>
        <w:t>转发到另一个接口的过程。TCP/IP</w:t>
      </w:r>
      <w:r>
        <w:rPr>
          <w:spacing w:val="-24"/>
          <w:sz w:val="20"/>
          <w:szCs w:val="20"/>
        </w:rPr>
        <w:t xml:space="preserve"> </w:t>
      </w:r>
      <w:r>
        <w:rPr>
          <w:spacing w:val="-1"/>
          <w:sz w:val="20"/>
          <w:szCs w:val="20"/>
        </w:rPr>
        <w:t>的互联网络</w:t>
      </w:r>
      <w:r>
        <w:rPr>
          <w:spacing w:val="-2"/>
          <w:sz w:val="20"/>
          <w:szCs w:val="20"/>
        </w:rPr>
        <w:t>层实现不同网络中两个主机设备之间的数据传输，</w:t>
      </w:r>
      <w:r>
        <w:rPr>
          <w:sz w:val="20"/>
          <w:szCs w:val="20"/>
        </w:rPr>
        <w:t xml:space="preserve"> </w:t>
      </w:r>
      <w:r>
        <w:rPr>
          <w:spacing w:val="2"/>
          <w:sz w:val="20"/>
          <w:szCs w:val="20"/>
        </w:rPr>
        <w:t>路由发挥了重要的作用，每一个</w:t>
      </w:r>
      <w:r>
        <w:rPr>
          <w:rFonts w:ascii="Times New Roman" w:hAnsi="Times New Roman" w:eastAsia="Times New Roman" w:cs="Times New Roman"/>
          <w:sz w:val="20"/>
          <w:szCs w:val="20"/>
        </w:rPr>
        <w:t>IP</w:t>
      </w:r>
      <w:r>
        <w:rPr>
          <w:rFonts w:ascii="Times New Roman" w:hAnsi="Times New Roman" w:eastAsia="Times New Roman" w:cs="Times New Roman"/>
          <w:spacing w:val="24"/>
          <w:sz w:val="20"/>
          <w:szCs w:val="20"/>
        </w:rPr>
        <w:t xml:space="preserve"> </w:t>
      </w:r>
      <w:r>
        <w:rPr>
          <w:spacing w:val="2"/>
          <w:sz w:val="20"/>
          <w:szCs w:val="20"/>
        </w:rPr>
        <w:t>数据包从发送端源头到接收端目的地，中间要经过若干路由</w:t>
      </w:r>
      <w:r>
        <w:rPr>
          <w:sz w:val="20"/>
          <w:szCs w:val="20"/>
        </w:rPr>
        <w:t xml:space="preserve"> </w:t>
      </w:r>
      <w:r>
        <w:rPr>
          <w:spacing w:val="8"/>
          <w:sz w:val="20"/>
          <w:szCs w:val="20"/>
        </w:rPr>
        <w:t>器(或其他互联网络层设备)。每台路由器都会在本地建立和维护一个路由表，路由表中装载</w:t>
      </w:r>
      <w:r>
        <w:rPr>
          <w:spacing w:val="9"/>
          <w:sz w:val="20"/>
          <w:szCs w:val="20"/>
        </w:rPr>
        <w:t xml:space="preserve"> </w:t>
      </w:r>
      <w:r>
        <w:rPr>
          <w:spacing w:val="5"/>
          <w:sz w:val="20"/>
          <w:szCs w:val="20"/>
        </w:rPr>
        <w:t>着路由器通过各种途径获知的路由条目</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Routes</w:t>
      </w:r>
      <w:r>
        <w:rPr>
          <w:rFonts w:ascii="Times New Roman" w:hAnsi="Times New Roman" w:eastAsia="Times New Roman" w:cs="Times New Roman"/>
          <w:spacing w:val="5"/>
          <w:sz w:val="20"/>
          <w:szCs w:val="20"/>
        </w:rPr>
        <w:t xml:space="preserve">),     </w:t>
      </w:r>
      <w:r>
        <w:rPr>
          <w:spacing w:val="5"/>
          <w:sz w:val="20"/>
          <w:szCs w:val="20"/>
        </w:rPr>
        <w:t>每一条路由条目由路由前缀(路由所关联的</w:t>
      </w:r>
      <w:r>
        <w:rPr>
          <w:spacing w:val="7"/>
          <w:sz w:val="20"/>
          <w:szCs w:val="20"/>
        </w:rPr>
        <w:t xml:space="preserve">  </w:t>
      </w:r>
      <w:r>
        <w:rPr>
          <w:spacing w:val="2"/>
          <w:sz w:val="20"/>
          <w:szCs w:val="20"/>
        </w:rPr>
        <w:t>目的网络号及掩码长度)、路由信息来源、出接口或下一跳</w:t>
      </w:r>
      <w:r>
        <w:rPr>
          <w:sz w:val="20"/>
          <w:szCs w:val="20"/>
        </w:rPr>
        <w:t>IP</w:t>
      </w:r>
      <w:r>
        <w:rPr>
          <w:spacing w:val="2"/>
          <w:sz w:val="20"/>
          <w:szCs w:val="20"/>
        </w:rPr>
        <w:t>、优先级、开销等信息元素构成。</w:t>
      </w:r>
      <w:r>
        <w:rPr>
          <w:spacing w:val="6"/>
          <w:sz w:val="20"/>
          <w:szCs w:val="20"/>
        </w:rPr>
        <w:t xml:space="preserve"> </w:t>
      </w:r>
      <w:r>
        <w:rPr>
          <w:spacing w:val="3"/>
          <w:sz w:val="20"/>
          <w:szCs w:val="20"/>
        </w:rPr>
        <w:t>路由器获取路由条目并维护自己的路由表，路由表是每台支持路由功能的设备进行数据转发的</w:t>
      </w:r>
      <w:r>
        <w:rPr>
          <w:sz w:val="20"/>
          <w:szCs w:val="20"/>
        </w:rPr>
        <w:t xml:space="preserve">  </w:t>
      </w:r>
      <w:r>
        <w:rPr>
          <w:spacing w:val="3"/>
          <w:sz w:val="20"/>
          <w:szCs w:val="20"/>
        </w:rPr>
        <w:t>依据和基础，任何一台支持路由功能的设备要执行数据转发或路由的动作，就必须拥有及维护</w:t>
      </w:r>
      <w:r>
        <w:rPr>
          <w:sz w:val="20"/>
          <w:szCs w:val="20"/>
        </w:rPr>
        <w:t xml:space="preserve">  </w:t>
      </w:r>
      <w:r>
        <w:rPr>
          <w:spacing w:val="6"/>
          <w:sz w:val="20"/>
          <w:szCs w:val="20"/>
        </w:rPr>
        <w:t>一张路由表。当路由器每收到一个</w:t>
      </w:r>
      <w:r>
        <w:rPr>
          <w:rFonts w:ascii="Times New Roman" w:hAnsi="Times New Roman" w:eastAsia="Times New Roman" w:cs="Times New Roman"/>
          <w:sz w:val="20"/>
          <w:szCs w:val="20"/>
        </w:rPr>
        <w:t>IP</w:t>
      </w:r>
      <w:r>
        <w:rPr>
          <w:rFonts w:ascii="Times New Roman" w:hAnsi="Times New Roman" w:eastAsia="Times New Roman" w:cs="Times New Roman"/>
          <w:spacing w:val="17"/>
          <w:sz w:val="20"/>
          <w:szCs w:val="20"/>
        </w:rPr>
        <w:t xml:space="preserve"> </w:t>
      </w:r>
      <w:r>
        <w:rPr>
          <w:spacing w:val="6"/>
          <w:sz w:val="20"/>
          <w:szCs w:val="20"/>
        </w:rPr>
        <w:t>数据包，便会查找</w:t>
      </w:r>
      <w:r>
        <w:rPr>
          <w:rFonts w:ascii="Times New Roman" w:hAnsi="Times New Roman" w:eastAsia="Times New Roman" w:cs="Times New Roman"/>
          <w:sz w:val="20"/>
          <w:szCs w:val="20"/>
        </w:rPr>
        <w:t>IP</w:t>
      </w:r>
      <w:r>
        <w:rPr>
          <w:rFonts w:ascii="Times New Roman" w:hAnsi="Times New Roman" w:eastAsia="Times New Roman" w:cs="Times New Roman"/>
          <w:spacing w:val="17"/>
          <w:sz w:val="20"/>
          <w:szCs w:val="20"/>
        </w:rPr>
        <w:t xml:space="preserve"> </w:t>
      </w:r>
      <w:r>
        <w:rPr>
          <w:spacing w:val="6"/>
          <w:sz w:val="20"/>
          <w:szCs w:val="20"/>
        </w:rPr>
        <w:t>包头里的</w:t>
      </w:r>
      <w:r>
        <w:rPr>
          <w:spacing w:val="5"/>
          <w:sz w:val="20"/>
          <w:szCs w:val="20"/>
        </w:rPr>
        <w:t>目的</w:t>
      </w:r>
      <w:r>
        <w:rPr>
          <w:rFonts w:ascii="Times New Roman" w:hAnsi="Times New Roman" w:eastAsia="Times New Roman" w:cs="Times New Roman"/>
          <w:sz w:val="20"/>
          <w:szCs w:val="20"/>
        </w:rPr>
        <w:t>IP</w:t>
      </w:r>
      <w:r>
        <w:rPr>
          <w:rFonts w:ascii="Times New Roman" w:hAnsi="Times New Roman" w:eastAsia="Times New Roman" w:cs="Times New Roman"/>
          <w:spacing w:val="17"/>
          <w:w w:val="101"/>
          <w:sz w:val="20"/>
          <w:szCs w:val="20"/>
        </w:rPr>
        <w:t xml:space="preserve"> </w:t>
      </w:r>
      <w:r>
        <w:rPr>
          <w:spacing w:val="5"/>
          <w:sz w:val="20"/>
          <w:szCs w:val="20"/>
        </w:rPr>
        <w:t>地址，然后根据目</w:t>
      </w:r>
      <w:r>
        <w:rPr>
          <w:sz w:val="20"/>
          <w:szCs w:val="20"/>
        </w:rPr>
        <w:t xml:space="preserve"> </w:t>
      </w:r>
      <w:r>
        <w:rPr>
          <w:spacing w:val="2"/>
          <w:sz w:val="20"/>
          <w:szCs w:val="20"/>
        </w:rPr>
        <w:t>的</w:t>
      </w:r>
      <w:r>
        <w:rPr>
          <w:sz w:val="20"/>
          <w:szCs w:val="20"/>
        </w:rPr>
        <w:t>IP</w:t>
      </w:r>
      <w:r>
        <w:rPr>
          <w:spacing w:val="-34"/>
          <w:sz w:val="20"/>
          <w:szCs w:val="20"/>
        </w:rPr>
        <w:t xml:space="preserve"> </w:t>
      </w:r>
      <w:r>
        <w:rPr>
          <w:spacing w:val="2"/>
          <w:sz w:val="20"/>
          <w:szCs w:val="20"/>
        </w:rPr>
        <w:t>地址到自己的路由表中进行匹配，找到“最匹配”的路由条目后，将数据包根据路由条目</w:t>
      </w:r>
      <w:r>
        <w:rPr>
          <w:sz w:val="20"/>
          <w:szCs w:val="20"/>
        </w:rPr>
        <w:t xml:space="preserve"> </w:t>
      </w:r>
      <w:r>
        <w:rPr>
          <w:spacing w:val="-1"/>
          <w:sz w:val="20"/>
          <w:szCs w:val="20"/>
        </w:rPr>
        <w:t>所指示的出接口或下一跳IP</w:t>
      </w:r>
      <w:r>
        <w:rPr>
          <w:spacing w:val="-39"/>
          <w:sz w:val="20"/>
          <w:szCs w:val="20"/>
        </w:rPr>
        <w:t xml:space="preserve"> </w:t>
      </w:r>
      <w:r>
        <w:rPr>
          <w:spacing w:val="-1"/>
          <w:sz w:val="20"/>
          <w:szCs w:val="20"/>
        </w:rPr>
        <w:t>转发出去，这就是路由的概念。</w:t>
      </w:r>
    </w:p>
    <w:p w14:paraId="77FB72B3">
      <w:pPr>
        <w:pStyle w:val="2"/>
        <w:spacing w:before="71" w:line="219" w:lineRule="auto"/>
        <w:ind w:left="409"/>
        <w:rPr>
          <w:sz w:val="20"/>
          <w:szCs w:val="20"/>
        </w:rPr>
      </w:pPr>
      <w:r>
        <w:rPr>
          <w:spacing w:val="5"/>
          <w:sz w:val="20"/>
          <w:szCs w:val="20"/>
        </w:rPr>
        <w:t>路由器获得路由条目的方式(即路由的类型)包括：</w:t>
      </w:r>
    </w:p>
    <w:p w14:paraId="0D6CF7BB">
      <w:pPr>
        <w:pStyle w:val="2"/>
        <w:spacing w:before="72" w:line="219" w:lineRule="auto"/>
        <w:ind w:left="409"/>
        <w:rPr>
          <w:sz w:val="20"/>
          <w:szCs w:val="20"/>
        </w:rPr>
      </w:pPr>
      <w:r>
        <w:rPr>
          <w:sz w:val="20"/>
          <w:szCs w:val="20"/>
        </w:rPr>
        <w:t>●直连路由。由设备物理端口直接相连而获取的路由，设备自动获取。</w:t>
      </w:r>
    </w:p>
    <w:p w14:paraId="15846129">
      <w:pPr>
        <w:pStyle w:val="2"/>
        <w:spacing w:before="92" w:line="219" w:lineRule="auto"/>
        <w:ind w:left="409"/>
        <w:rPr>
          <w:sz w:val="20"/>
          <w:szCs w:val="20"/>
        </w:rPr>
      </w:pPr>
      <w:r>
        <w:rPr>
          <w:spacing w:val="1"/>
          <w:sz w:val="20"/>
          <w:szCs w:val="20"/>
        </w:rPr>
        <w:t>●静态路由。由管理员亲自配置的路由，用于固定路径的流量转发。</w:t>
      </w:r>
    </w:p>
    <w:p w14:paraId="369E4F54">
      <w:pPr>
        <w:pStyle w:val="2"/>
        <w:spacing w:before="96" w:line="282" w:lineRule="auto"/>
        <w:ind w:left="699" w:right="252" w:hanging="290"/>
        <w:rPr>
          <w:sz w:val="20"/>
          <w:szCs w:val="20"/>
        </w:rPr>
      </w:pPr>
      <w:r>
        <w:rPr>
          <w:spacing w:val="3"/>
          <w:sz w:val="20"/>
          <w:szCs w:val="20"/>
        </w:rPr>
        <w:t>●动态路由。与静态路由相对的概念，指路由器能够根据路由器之间交换的特定</w:t>
      </w:r>
      <w:r>
        <w:rPr>
          <w:spacing w:val="2"/>
          <w:sz w:val="20"/>
          <w:szCs w:val="20"/>
        </w:rPr>
        <w:t>路由信息</w:t>
      </w:r>
      <w:r>
        <w:rPr>
          <w:sz w:val="20"/>
          <w:szCs w:val="20"/>
        </w:rPr>
        <w:t xml:space="preserve"> </w:t>
      </w:r>
      <w:r>
        <w:rPr>
          <w:spacing w:val="6"/>
          <w:sz w:val="20"/>
          <w:szCs w:val="20"/>
        </w:rPr>
        <w:t>自动地建立自己的路由表，并且能够根据链路和节点的变化适时地进行自动调整。动</w:t>
      </w:r>
      <w:r>
        <w:rPr>
          <w:sz w:val="20"/>
          <w:szCs w:val="20"/>
        </w:rPr>
        <w:t xml:space="preserve"> </w:t>
      </w:r>
      <w:r>
        <w:rPr>
          <w:spacing w:val="2"/>
          <w:sz w:val="20"/>
          <w:szCs w:val="20"/>
        </w:rPr>
        <w:t>态路由需要路由器之间可以互认的路由协议支</w:t>
      </w:r>
      <w:r>
        <w:rPr>
          <w:spacing w:val="1"/>
          <w:sz w:val="20"/>
          <w:szCs w:val="20"/>
        </w:rPr>
        <w:t>持，主要有两大类路由协议：</w:t>
      </w:r>
      <w:r>
        <w:rPr>
          <w:spacing w:val="63"/>
          <w:sz w:val="20"/>
          <w:szCs w:val="20"/>
        </w:rPr>
        <w:t xml:space="preserve"> </w:t>
      </w:r>
      <w:r>
        <w:rPr>
          <w:spacing w:val="1"/>
          <w:sz w:val="20"/>
          <w:szCs w:val="20"/>
        </w:rPr>
        <w:t>一是距离</w:t>
      </w:r>
      <w:r>
        <w:rPr>
          <w:sz w:val="20"/>
          <w:szCs w:val="20"/>
        </w:rPr>
        <w:t xml:space="preserve"> </w:t>
      </w:r>
      <w:r>
        <w:rPr>
          <w:spacing w:val="6"/>
          <w:sz w:val="20"/>
          <w:szCs w:val="20"/>
        </w:rPr>
        <w:t>矢量路由协议，主要依据从源网络到目标网络所经过的路由器的个数来选择</w:t>
      </w:r>
      <w:r>
        <w:rPr>
          <w:spacing w:val="5"/>
          <w:sz w:val="20"/>
          <w:szCs w:val="20"/>
        </w:rPr>
        <w:t>路由，包</w:t>
      </w:r>
      <w:r>
        <w:rPr>
          <w:sz w:val="20"/>
          <w:szCs w:val="20"/>
        </w:rPr>
        <w:t xml:space="preserve"> </w:t>
      </w:r>
      <w:r>
        <w:rPr>
          <w:spacing w:val="2"/>
          <w:sz w:val="20"/>
          <w:szCs w:val="20"/>
        </w:rPr>
        <w:t>括路由信息协议</w:t>
      </w:r>
      <w:r>
        <w:rPr>
          <w:spacing w:val="-60"/>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Routing</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Information</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RIP</w:t>
      </w:r>
      <w:r>
        <w:rPr>
          <w:rFonts w:ascii="Times New Roman" w:hAnsi="Times New Roman" w:eastAsia="Times New Roman" w:cs="Times New Roman"/>
          <w:spacing w:val="2"/>
          <w:sz w:val="20"/>
          <w:szCs w:val="20"/>
        </w:rPr>
        <w:t>)</w:t>
      </w:r>
      <w:r>
        <w:rPr>
          <w:spacing w:val="2"/>
          <w:sz w:val="20"/>
          <w:szCs w:val="20"/>
        </w:rPr>
        <w:t>、边界网关</w:t>
      </w:r>
      <w:r>
        <w:rPr>
          <w:spacing w:val="1"/>
          <w:sz w:val="20"/>
          <w:szCs w:val="20"/>
        </w:rPr>
        <w:t>协议</w:t>
      </w:r>
      <w:r>
        <w:rPr>
          <w:spacing w:val="-49"/>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Border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Gateway Protocol</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BGP</w:t>
      </w:r>
      <w:r>
        <w:rPr>
          <w:rFonts w:ascii="Times New Roman" w:hAnsi="Times New Roman" w:eastAsia="Times New Roman" w:cs="Times New Roman"/>
          <w:spacing w:val="13"/>
          <w:sz w:val="20"/>
          <w:szCs w:val="20"/>
        </w:rPr>
        <w:t xml:space="preserve">);      </w:t>
      </w:r>
      <w:r>
        <w:rPr>
          <w:spacing w:val="13"/>
          <w:sz w:val="20"/>
          <w:szCs w:val="20"/>
        </w:rPr>
        <w:t>二是链路状态路由协议，综合考虑从源网络到目标网络</w:t>
      </w:r>
      <w:r>
        <w:rPr>
          <w:spacing w:val="12"/>
          <w:sz w:val="20"/>
          <w:szCs w:val="20"/>
        </w:rPr>
        <w:t>的各条路</w:t>
      </w:r>
      <w:r>
        <w:rPr>
          <w:sz w:val="20"/>
          <w:szCs w:val="20"/>
        </w:rPr>
        <w:t xml:space="preserve"> </w:t>
      </w:r>
      <w:r>
        <w:rPr>
          <w:spacing w:val="15"/>
          <w:sz w:val="20"/>
          <w:szCs w:val="20"/>
        </w:rPr>
        <w:t>径的情况选择路由，包括</w:t>
      </w:r>
      <w:r>
        <w:rPr>
          <w:rFonts w:ascii="Times New Roman" w:hAnsi="Times New Roman" w:eastAsia="Times New Roman" w:cs="Times New Roman"/>
          <w:sz w:val="20"/>
          <w:szCs w:val="20"/>
        </w:rPr>
        <w:t>OSPF</w:t>
      </w:r>
      <w:r>
        <w:rPr>
          <w:rFonts w:ascii="Times New Roman" w:hAnsi="Times New Roman" w:eastAsia="Times New Roman" w:cs="Times New Roman"/>
          <w:spacing w:val="15"/>
          <w:sz w:val="20"/>
          <w:szCs w:val="20"/>
        </w:rPr>
        <w:t xml:space="preserve"> </w:t>
      </w:r>
      <w:r>
        <w:rPr>
          <w:spacing w:val="15"/>
          <w:sz w:val="20"/>
          <w:szCs w:val="20"/>
        </w:rPr>
        <w:t>协议、中间系统到中间系统</w:t>
      </w:r>
      <w:r>
        <w:rPr>
          <w:spacing w:val="-49"/>
          <w:sz w:val="20"/>
          <w:szCs w:val="20"/>
        </w:rPr>
        <w:t xml:space="preserve"> </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Intermediate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 xml:space="preserve">to </w:t>
      </w:r>
      <w:r>
        <w:rPr>
          <w:rFonts w:ascii="Times New Roman" w:hAnsi="Times New Roman" w:eastAsia="Times New Roman" w:cs="Times New Roman"/>
          <w:spacing w:val="-2"/>
          <w:sz w:val="20"/>
          <w:szCs w:val="20"/>
        </w:rPr>
        <w:t>Intermediate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2"/>
          <w:sz w:val="20"/>
          <w:szCs w:val="20"/>
        </w:rPr>
        <w:t>System,ISIS)</w:t>
      </w:r>
      <w:r>
        <w:rPr>
          <w:rFonts w:ascii="Times New Roman" w:hAnsi="Times New Roman" w:eastAsia="Times New Roman" w:cs="Times New Roman"/>
          <w:spacing w:val="16"/>
          <w:sz w:val="20"/>
          <w:szCs w:val="20"/>
        </w:rPr>
        <w:t xml:space="preserve"> </w:t>
      </w:r>
      <w:r>
        <w:rPr>
          <w:spacing w:val="-2"/>
          <w:sz w:val="20"/>
          <w:szCs w:val="20"/>
        </w:rPr>
        <w:t>协议。</w:t>
      </w:r>
    </w:p>
    <w:p w14:paraId="022DD035">
      <w:pPr>
        <w:pStyle w:val="2"/>
        <w:spacing w:before="209" w:line="222" w:lineRule="auto"/>
        <w:ind w:left="412"/>
        <w:rPr>
          <w:rFonts w:ascii="黑体" w:hAnsi="黑体" w:eastAsia="黑体" w:cs="黑体"/>
          <w:sz w:val="20"/>
          <w:szCs w:val="20"/>
        </w:rPr>
      </w:pPr>
      <w:r>
        <w:rPr>
          <w:b/>
          <w:bCs/>
          <w:color w:val="005FBF"/>
          <w:spacing w:val="-1"/>
          <w:sz w:val="20"/>
          <w:szCs w:val="20"/>
        </w:rPr>
        <w:t>2.IPv6</w:t>
      </w:r>
      <w:r>
        <w:rPr>
          <w:color w:val="005FBF"/>
          <w:spacing w:val="-47"/>
          <w:sz w:val="20"/>
          <w:szCs w:val="20"/>
        </w:rPr>
        <w:t xml:space="preserve"> </w:t>
      </w:r>
      <w:r>
        <w:rPr>
          <w:rFonts w:ascii="黑体" w:hAnsi="黑体" w:eastAsia="黑体" w:cs="黑体"/>
          <w:b/>
          <w:bCs/>
          <w:color w:val="005FBF"/>
          <w:spacing w:val="-1"/>
          <w:sz w:val="20"/>
          <w:szCs w:val="20"/>
        </w:rPr>
        <w:t>协议</w:t>
      </w:r>
    </w:p>
    <w:p w14:paraId="51E2161C">
      <w:pPr>
        <w:pStyle w:val="2"/>
        <w:spacing w:before="144" w:line="268" w:lineRule="auto"/>
        <w:ind w:right="173" w:firstLine="409"/>
        <w:jc w:val="both"/>
        <w:rPr>
          <w:sz w:val="20"/>
          <w:szCs w:val="20"/>
        </w:rPr>
      </w:pPr>
      <w:r>
        <w:rPr>
          <w:spacing w:val="9"/>
          <w:sz w:val="20"/>
          <w:szCs w:val="20"/>
        </w:rPr>
        <w:t>2011年</w:t>
      </w:r>
      <w:r>
        <w:rPr>
          <w:rFonts w:ascii="Times New Roman" w:hAnsi="Times New Roman" w:eastAsia="Times New Roman" w:cs="Times New Roman"/>
          <w:sz w:val="20"/>
          <w:szCs w:val="20"/>
        </w:rPr>
        <w:t>IANA</w:t>
      </w:r>
      <w:r>
        <w:rPr>
          <w:rFonts w:ascii="Times New Roman" w:hAnsi="Times New Roman" w:eastAsia="Times New Roman" w:cs="Times New Roman"/>
          <w:spacing w:val="9"/>
          <w:sz w:val="20"/>
          <w:szCs w:val="20"/>
        </w:rPr>
        <w:t xml:space="preserve"> </w:t>
      </w:r>
      <w:r>
        <w:rPr>
          <w:spacing w:val="9"/>
          <w:sz w:val="20"/>
          <w:szCs w:val="20"/>
        </w:rPr>
        <w:t>正式宣布分配完最后的468万个</w:t>
      </w:r>
      <w:r>
        <w:rPr>
          <w:spacing w:val="8"/>
          <w:sz w:val="20"/>
          <w:szCs w:val="20"/>
        </w:rPr>
        <w:t>公网</w:t>
      </w:r>
      <w:r>
        <w:rPr>
          <w:rFonts w:ascii="Times New Roman" w:hAnsi="Times New Roman" w:eastAsia="Times New Roman" w:cs="Times New Roman"/>
          <w:sz w:val="20"/>
          <w:szCs w:val="20"/>
        </w:rPr>
        <w:t>IPv</w:t>
      </w:r>
      <w:r>
        <w:rPr>
          <w:rFonts w:ascii="Times New Roman" w:hAnsi="Times New Roman" w:eastAsia="Times New Roman" w:cs="Times New Roman"/>
          <w:spacing w:val="8"/>
          <w:sz w:val="20"/>
          <w:szCs w:val="20"/>
        </w:rPr>
        <w:t xml:space="preserve">4 </w:t>
      </w:r>
      <w:r>
        <w:rPr>
          <w:spacing w:val="8"/>
          <w:sz w:val="20"/>
          <w:szCs w:val="20"/>
        </w:rPr>
        <w:t>地址，然而随着互联网、物联网、</w:t>
      </w:r>
      <w:r>
        <w:rPr>
          <w:sz w:val="20"/>
          <w:szCs w:val="20"/>
        </w:rPr>
        <w:t xml:space="preserve"> </w:t>
      </w:r>
      <w:r>
        <w:rPr>
          <w:spacing w:val="3"/>
          <w:sz w:val="20"/>
          <w:szCs w:val="20"/>
        </w:rPr>
        <w:t>移动通信等的蓬勃发展，全世界对</w:t>
      </w:r>
      <w:r>
        <w:rPr>
          <w:rFonts w:ascii="Times New Roman" w:hAnsi="Times New Roman" w:eastAsia="Times New Roman" w:cs="Times New Roman"/>
          <w:sz w:val="20"/>
          <w:szCs w:val="20"/>
        </w:rPr>
        <w:t>IP</w:t>
      </w:r>
      <w:r>
        <w:rPr>
          <w:rFonts w:ascii="Times New Roman" w:hAnsi="Times New Roman" w:eastAsia="Times New Roman" w:cs="Times New Roman"/>
          <w:spacing w:val="3"/>
          <w:sz w:val="20"/>
          <w:szCs w:val="20"/>
        </w:rPr>
        <w:t xml:space="preserve"> </w:t>
      </w:r>
      <w:r>
        <w:rPr>
          <w:spacing w:val="3"/>
          <w:sz w:val="20"/>
          <w:szCs w:val="20"/>
        </w:rPr>
        <w:t>地址的需求愈加强烈，</w:t>
      </w:r>
      <w:r>
        <w:rPr>
          <w:rFonts w:ascii="Times New Roman" w:hAnsi="Times New Roman" w:eastAsia="Times New Roman" w:cs="Times New Roman"/>
          <w:sz w:val="20"/>
          <w:szCs w:val="20"/>
        </w:rPr>
        <w:t>IPv</w:t>
      </w:r>
      <w:r>
        <w:rPr>
          <w:rFonts w:ascii="Times New Roman" w:hAnsi="Times New Roman" w:eastAsia="Times New Roman" w:cs="Times New Roman"/>
          <w:spacing w:val="3"/>
          <w:sz w:val="20"/>
          <w:szCs w:val="20"/>
        </w:rPr>
        <w:t xml:space="preserve">6 </w:t>
      </w:r>
      <w:r>
        <w:rPr>
          <w:spacing w:val="3"/>
          <w:sz w:val="20"/>
          <w:szCs w:val="20"/>
        </w:rPr>
        <w:t>的部署</w:t>
      </w:r>
      <w:r>
        <w:rPr>
          <w:spacing w:val="2"/>
          <w:sz w:val="20"/>
          <w:szCs w:val="20"/>
        </w:rPr>
        <w:t>应用步伐也逐步加快，</w:t>
      </w:r>
      <w:r>
        <w:rPr>
          <w:sz w:val="20"/>
          <w:szCs w:val="20"/>
        </w:rPr>
        <w:t xml:space="preserve"> </w:t>
      </w:r>
      <w:r>
        <w:rPr>
          <w:rFonts w:ascii="Times New Roman" w:hAnsi="Times New Roman" w:eastAsia="Times New Roman" w:cs="Times New Roman"/>
          <w:spacing w:val="-3"/>
          <w:sz w:val="20"/>
          <w:szCs w:val="20"/>
        </w:rPr>
        <w:t>IPv6</w:t>
      </w:r>
      <w:r>
        <w:rPr>
          <w:rFonts w:ascii="Times New Roman" w:hAnsi="Times New Roman" w:eastAsia="Times New Roman" w:cs="Times New Roman"/>
          <w:spacing w:val="1"/>
          <w:sz w:val="20"/>
          <w:szCs w:val="20"/>
        </w:rPr>
        <w:t xml:space="preserve"> </w:t>
      </w:r>
      <w:r>
        <w:rPr>
          <w:spacing w:val="-3"/>
          <w:sz w:val="20"/>
          <w:szCs w:val="20"/>
        </w:rPr>
        <w:t>被公认为下一代互联网的核心。</w:t>
      </w:r>
    </w:p>
    <w:p w14:paraId="2BB759ED">
      <w:pPr>
        <w:spacing w:before="118" w:line="195" w:lineRule="auto"/>
        <w:ind w:left="409"/>
        <w:rPr>
          <w:rFonts w:ascii="楷体" w:hAnsi="楷体" w:eastAsia="楷体" w:cs="楷体"/>
          <w:sz w:val="20"/>
          <w:szCs w:val="20"/>
        </w:rPr>
      </w:pPr>
      <w:r>
        <w:rPr>
          <w:rFonts w:ascii="Times New Roman" w:hAnsi="Times New Roman" w:eastAsia="Times New Roman" w:cs="Times New Roman"/>
          <w:b/>
          <w:bCs/>
          <w:spacing w:val="-2"/>
          <w:sz w:val="20"/>
          <w:szCs w:val="20"/>
        </w:rPr>
        <w:t xml:space="preserve">1)IPv6   </w:t>
      </w:r>
      <w:r>
        <w:rPr>
          <w:rFonts w:ascii="楷体" w:hAnsi="楷体" w:eastAsia="楷体" w:cs="楷体"/>
          <w:b/>
          <w:bCs/>
          <w:spacing w:val="-2"/>
          <w:sz w:val="20"/>
          <w:szCs w:val="20"/>
        </w:rPr>
        <w:t>地址</w:t>
      </w:r>
    </w:p>
    <w:p w14:paraId="7ACF705D">
      <w:pPr>
        <w:pStyle w:val="2"/>
        <w:spacing w:before="100" w:line="272" w:lineRule="auto"/>
        <w:ind w:right="193" w:firstLine="409"/>
        <w:jc w:val="both"/>
        <w:rPr>
          <w:sz w:val="20"/>
          <w:szCs w:val="20"/>
        </w:rPr>
      </w:pPr>
      <w:r>
        <w:rPr>
          <w:rFonts w:ascii="Times New Roman" w:hAnsi="Times New Roman" w:eastAsia="Times New Roman" w:cs="Times New Roman"/>
          <w:sz w:val="20"/>
          <w:szCs w:val="20"/>
        </w:rPr>
        <w:t>IPv</w:t>
      </w:r>
      <w:r>
        <w:rPr>
          <w:rFonts w:ascii="Times New Roman" w:hAnsi="Times New Roman" w:eastAsia="Times New Roman" w:cs="Times New Roman"/>
          <w:spacing w:val="18"/>
          <w:sz w:val="20"/>
          <w:szCs w:val="20"/>
        </w:rPr>
        <w:t>6</w:t>
      </w:r>
      <w:r>
        <w:rPr>
          <w:rFonts w:ascii="Times New Roman" w:hAnsi="Times New Roman" w:eastAsia="Times New Roman" w:cs="Times New Roman"/>
          <w:spacing w:val="-23"/>
          <w:sz w:val="20"/>
          <w:szCs w:val="20"/>
        </w:rPr>
        <w:t xml:space="preserve"> </w:t>
      </w:r>
      <w:r>
        <w:rPr>
          <w:spacing w:val="18"/>
          <w:sz w:val="20"/>
          <w:szCs w:val="20"/>
        </w:rPr>
        <w:t>地址由128位二进制数组成，是</w:t>
      </w:r>
      <w:r>
        <w:rPr>
          <w:rFonts w:ascii="Times New Roman" w:hAnsi="Times New Roman" w:eastAsia="Times New Roman" w:cs="Times New Roman"/>
          <w:sz w:val="20"/>
          <w:szCs w:val="20"/>
        </w:rPr>
        <w:t>IPv</w:t>
      </w:r>
      <w:r>
        <w:rPr>
          <w:rFonts w:ascii="Times New Roman" w:hAnsi="Times New Roman" w:eastAsia="Times New Roman" w:cs="Times New Roman"/>
          <w:spacing w:val="18"/>
          <w:sz w:val="20"/>
          <w:szCs w:val="20"/>
        </w:rPr>
        <w:t>4</w:t>
      </w:r>
      <w:r>
        <w:rPr>
          <w:rFonts w:ascii="Times New Roman" w:hAnsi="Times New Roman" w:eastAsia="Times New Roman" w:cs="Times New Roman"/>
          <w:spacing w:val="37"/>
          <w:sz w:val="20"/>
          <w:szCs w:val="20"/>
        </w:rPr>
        <w:t xml:space="preserve"> </w:t>
      </w:r>
      <w:r>
        <w:rPr>
          <w:spacing w:val="18"/>
          <w:sz w:val="20"/>
          <w:szCs w:val="20"/>
        </w:rPr>
        <w:t>地址长度的4倍，前64比特为</w:t>
      </w:r>
      <w:r>
        <w:rPr>
          <w:spacing w:val="17"/>
          <w:sz w:val="20"/>
          <w:szCs w:val="20"/>
        </w:rPr>
        <w:t>网络前缀，主</w:t>
      </w:r>
      <w:r>
        <w:rPr>
          <w:sz w:val="20"/>
          <w:szCs w:val="20"/>
        </w:rPr>
        <w:t xml:space="preserve"> </w:t>
      </w:r>
      <w:r>
        <w:rPr>
          <w:spacing w:val="12"/>
          <w:sz w:val="20"/>
          <w:szCs w:val="20"/>
        </w:rPr>
        <w:t>要用于寻址和路由，后64比特为接口标识，主要用于标识主机。理论上，</w:t>
      </w:r>
      <w:r>
        <w:rPr>
          <w:rFonts w:ascii="Times New Roman" w:hAnsi="Times New Roman" w:eastAsia="Times New Roman" w:cs="Times New Roman"/>
          <w:sz w:val="20"/>
          <w:szCs w:val="20"/>
        </w:rPr>
        <w:t>IPv</w:t>
      </w:r>
      <w:r>
        <w:rPr>
          <w:rFonts w:ascii="Times New Roman" w:hAnsi="Times New Roman" w:eastAsia="Times New Roman" w:cs="Times New Roman"/>
          <w:spacing w:val="12"/>
          <w:sz w:val="20"/>
          <w:szCs w:val="20"/>
        </w:rPr>
        <w:t>6</w:t>
      </w:r>
      <w:r>
        <w:rPr>
          <w:rFonts w:ascii="Times New Roman" w:hAnsi="Times New Roman" w:eastAsia="Times New Roman" w:cs="Times New Roman"/>
          <w:spacing w:val="21"/>
          <w:w w:val="101"/>
          <w:sz w:val="20"/>
          <w:szCs w:val="20"/>
        </w:rPr>
        <w:t xml:space="preserve"> </w:t>
      </w:r>
      <w:r>
        <w:rPr>
          <w:spacing w:val="12"/>
          <w:sz w:val="20"/>
          <w:szCs w:val="20"/>
        </w:rPr>
        <w:t>地址总数共</w:t>
      </w:r>
      <w:r>
        <w:rPr>
          <w:sz w:val="20"/>
          <w:szCs w:val="20"/>
        </w:rPr>
        <w:t xml:space="preserve">  </w:t>
      </w:r>
      <w:r>
        <w:rPr>
          <w:spacing w:val="11"/>
          <w:sz w:val="20"/>
          <w:szCs w:val="20"/>
        </w:rPr>
        <w:t>计2¹28个，几乎可以为地球上每一粒沙子分配一个地址。</w:t>
      </w:r>
      <w:r>
        <w:rPr>
          <w:rFonts w:ascii="Times New Roman" w:hAnsi="Times New Roman" w:eastAsia="Times New Roman" w:cs="Times New Roman"/>
          <w:sz w:val="20"/>
          <w:szCs w:val="20"/>
        </w:rPr>
        <w:t>IPv</w:t>
      </w:r>
      <w:r>
        <w:rPr>
          <w:rFonts w:ascii="Times New Roman" w:hAnsi="Times New Roman" w:eastAsia="Times New Roman" w:cs="Times New Roman"/>
          <w:spacing w:val="11"/>
          <w:sz w:val="20"/>
          <w:szCs w:val="20"/>
        </w:rPr>
        <w:t>6</w:t>
      </w:r>
      <w:r>
        <w:rPr>
          <w:rFonts w:ascii="Times New Roman" w:hAnsi="Times New Roman" w:eastAsia="Times New Roman" w:cs="Times New Roman"/>
          <w:spacing w:val="50"/>
          <w:sz w:val="20"/>
          <w:szCs w:val="20"/>
        </w:rPr>
        <w:t xml:space="preserve"> </w:t>
      </w:r>
      <w:r>
        <w:rPr>
          <w:spacing w:val="11"/>
          <w:sz w:val="20"/>
          <w:szCs w:val="20"/>
        </w:rPr>
        <w:t>地址由国际组织互联网数字</w:t>
      </w:r>
      <w:r>
        <w:rPr>
          <w:sz w:val="20"/>
          <w:szCs w:val="20"/>
        </w:rPr>
        <w:t xml:space="preserve">  </w:t>
      </w:r>
      <w:r>
        <w:rPr>
          <w:spacing w:val="9"/>
          <w:sz w:val="20"/>
          <w:szCs w:val="20"/>
        </w:rPr>
        <w:t>分配机构</w:t>
      </w:r>
      <w:r>
        <w:rPr>
          <w:spacing w:val="-51"/>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IANA</w:t>
      </w:r>
      <w:r>
        <w:rPr>
          <w:rFonts w:ascii="Times New Roman" w:hAnsi="Times New Roman" w:eastAsia="Times New Roman" w:cs="Times New Roman"/>
          <w:spacing w:val="9"/>
          <w:sz w:val="20"/>
          <w:szCs w:val="20"/>
        </w:rPr>
        <w:t xml:space="preserve">)/     </w:t>
      </w:r>
      <w:r>
        <w:rPr>
          <w:spacing w:val="9"/>
          <w:sz w:val="20"/>
          <w:szCs w:val="20"/>
        </w:rPr>
        <w:t>互联网名称与数字地址分配机构</w:t>
      </w:r>
      <w:r>
        <w:rPr>
          <w:spacing w:val="-43"/>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The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Internet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Corporation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Assigned   Names</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Numbers</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ICANN</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11"/>
          <w:sz w:val="20"/>
          <w:szCs w:val="20"/>
        </w:rPr>
        <w:t xml:space="preserve"> </w:t>
      </w:r>
      <w:r>
        <w:rPr>
          <w:spacing w:val="13"/>
          <w:sz w:val="20"/>
          <w:szCs w:val="20"/>
        </w:rPr>
        <w:t>统一管理，采用分级管理架构，首先由</w:t>
      </w:r>
      <w:r>
        <w:rPr>
          <w:rFonts w:ascii="Times New Roman" w:hAnsi="Times New Roman" w:eastAsia="Times New Roman" w:cs="Times New Roman"/>
          <w:sz w:val="20"/>
          <w:szCs w:val="20"/>
        </w:rPr>
        <w:t>IANA</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ICANN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2"/>
          <w:sz w:val="20"/>
          <w:szCs w:val="20"/>
        </w:rPr>
        <w:t xml:space="preserve"> </w:t>
      </w:r>
      <w:r>
        <w:rPr>
          <w:spacing w:val="12"/>
          <w:sz w:val="20"/>
          <w:szCs w:val="20"/>
        </w:rPr>
        <w:t>分</w:t>
      </w:r>
      <w:r>
        <w:rPr>
          <w:spacing w:val="-33"/>
          <w:sz w:val="20"/>
          <w:szCs w:val="20"/>
        </w:rPr>
        <w:t xml:space="preserve"> </w:t>
      </w:r>
      <w:r>
        <w:rPr>
          <w:spacing w:val="12"/>
          <w:sz w:val="20"/>
          <w:szCs w:val="20"/>
        </w:rPr>
        <w:t>配</w:t>
      </w:r>
      <w:r>
        <w:rPr>
          <w:sz w:val="20"/>
          <w:szCs w:val="20"/>
        </w:rPr>
        <w:t xml:space="preserve"> </w:t>
      </w:r>
      <w:r>
        <w:rPr>
          <w:spacing w:val="10"/>
          <w:sz w:val="20"/>
          <w:szCs w:val="20"/>
        </w:rPr>
        <w:t>给大区一级的管理机构，再由各大区管理机构分</w:t>
      </w:r>
      <w:r>
        <w:rPr>
          <w:spacing w:val="9"/>
          <w:sz w:val="20"/>
          <w:szCs w:val="20"/>
        </w:rPr>
        <w:t>配给各会员国。与</w:t>
      </w:r>
      <w:r>
        <w:rPr>
          <w:rFonts w:ascii="Times New Roman" w:hAnsi="Times New Roman" w:eastAsia="Times New Roman" w:cs="Times New Roman"/>
          <w:sz w:val="20"/>
          <w:szCs w:val="20"/>
        </w:rPr>
        <w:t>IPv</w:t>
      </w:r>
      <w:r>
        <w:rPr>
          <w:rFonts w:ascii="Times New Roman" w:hAnsi="Times New Roman" w:eastAsia="Times New Roman" w:cs="Times New Roman"/>
          <w:spacing w:val="9"/>
          <w:sz w:val="20"/>
          <w:szCs w:val="20"/>
        </w:rPr>
        <w:t xml:space="preserve">4 </w:t>
      </w:r>
      <w:r>
        <w:rPr>
          <w:spacing w:val="9"/>
          <w:sz w:val="20"/>
          <w:szCs w:val="20"/>
        </w:rPr>
        <w:t>地址表示方法不同，</w:t>
      </w:r>
      <w:r>
        <w:rPr>
          <w:sz w:val="20"/>
          <w:szCs w:val="20"/>
        </w:rPr>
        <w:t xml:space="preserve"> IPv</w:t>
      </w:r>
      <w:r>
        <w:rPr>
          <w:spacing w:val="10"/>
          <w:sz w:val="20"/>
          <w:szCs w:val="20"/>
        </w:rPr>
        <w:t>6地址采用点分十六进制形式，分为8段，</w:t>
      </w:r>
      <w:r>
        <w:rPr>
          <w:spacing w:val="9"/>
          <w:sz w:val="20"/>
          <w:szCs w:val="20"/>
        </w:rPr>
        <w:t>每段16位，例如</w:t>
      </w:r>
      <w:r>
        <w:rPr>
          <w:sz w:val="20"/>
          <w:szCs w:val="20"/>
        </w:rPr>
        <w:t>ABCD</w:t>
      </w:r>
      <w:r>
        <w:rPr>
          <w:spacing w:val="9"/>
          <w:sz w:val="20"/>
          <w:szCs w:val="20"/>
        </w:rPr>
        <w:t>:</w:t>
      </w:r>
      <w:r>
        <w:rPr>
          <w:sz w:val="20"/>
          <w:szCs w:val="20"/>
        </w:rPr>
        <w:t>EF</w:t>
      </w:r>
      <w:r>
        <w:rPr>
          <w:spacing w:val="9"/>
          <w:sz w:val="20"/>
          <w:szCs w:val="20"/>
        </w:rPr>
        <w:t>01:2345:6789:</w:t>
      </w:r>
      <w:r>
        <w:rPr>
          <w:sz w:val="20"/>
          <w:szCs w:val="20"/>
        </w:rPr>
        <w:t>ABCD</w:t>
      </w:r>
      <w:r>
        <w:rPr>
          <w:spacing w:val="9"/>
          <w:sz w:val="20"/>
          <w:szCs w:val="20"/>
        </w:rPr>
        <w:t>:</w:t>
      </w:r>
    </w:p>
    <w:p w14:paraId="3D40DF06">
      <w:pPr>
        <w:pStyle w:val="2"/>
        <w:spacing w:before="139" w:line="180" w:lineRule="auto"/>
        <w:rPr>
          <w:sz w:val="20"/>
          <w:szCs w:val="20"/>
        </w:rPr>
      </w:pPr>
      <w:r>
        <w:rPr>
          <w:rFonts w:ascii="Times New Roman" w:hAnsi="Times New Roman" w:eastAsia="Times New Roman" w:cs="Times New Roman"/>
          <w:spacing w:val="-1"/>
          <w:sz w:val="20"/>
          <w:szCs w:val="20"/>
        </w:rPr>
        <w:t>EF01:2345:6789</w:t>
      </w:r>
      <w:r>
        <w:rPr>
          <w:spacing w:val="-1"/>
          <w:sz w:val="20"/>
          <w:szCs w:val="20"/>
        </w:rPr>
        <w:t>。</w:t>
      </w:r>
    </w:p>
    <w:p w14:paraId="049831E9">
      <w:pPr>
        <w:spacing w:line="180" w:lineRule="auto"/>
        <w:rPr>
          <w:sz w:val="20"/>
          <w:szCs w:val="20"/>
        </w:rPr>
        <w:sectPr>
          <w:pgSz w:w="10300" w:h="13320"/>
          <w:pgMar w:top="400" w:right="576" w:bottom="400" w:left="1120" w:header="0" w:footer="0" w:gutter="0"/>
          <w:cols w:space="720" w:num="1"/>
        </w:sectPr>
      </w:pPr>
    </w:p>
    <w:p w14:paraId="32CD7E51">
      <w:pPr>
        <w:pStyle w:val="2"/>
        <w:spacing w:before="88" w:line="219" w:lineRule="auto"/>
        <w:rPr>
          <w:sz w:val="20"/>
          <w:szCs w:val="20"/>
        </w:rPr>
      </w:pPr>
      <w:r>
        <w:rPr>
          <w:rFonts w:ascii="Times New Roman" w:hAnsi="Times New Roman" w:eastAsia="Times New Roman" w:cs="Times New Roman"/>
          <w:spacing w:val="-1"/>
          <w:sz w:val="17"/>
          <w:szCs w:val="17"/>
        </w:rPr>
        <w:t xml:space="preserve">100                </w:t>
      </w:r>
      <w:r>
        <w:rPr>
          <w:spacing w:val="-1"/>
          <w:sz w:val="20"/>
          <w:szCs w:val="20"/>
        </w:rPr>
        <w:t>信息系统监理师教程(第2版)</w:t>
      </w:r>
    </w:p>
    <w:p w14:paraId="605625CE">
      <w:pPr>
        <w:spacing w:line="293" w:lineRule="auto"/>
        <w:rPr>
          <w:rFonts w:ascii="Arial"/>
          <w:sz w:val="21"/>
        </w:rPr>
      </w:pPr>
    </w:p>
    <w:p w14:paraId="2E3F19F4">
      <w:pPr>
        <w:spacing w:before="65" w:line="212" w:lineRule="auto"/>
        <w:ind w:left="729"/>
        <w:rPr>
          <w:rFonts w:ascii="楷体" w:hAnsi="楷体" w:eastAsia="楷体" w:cs="楷体"/>
          <w:sz w:val="20"/>
          <w:szCs w:val="20"/>
        </w:rPr>
      </w:pPr>
      <w:r>
        <w:rPr>
          <w:rFonts w:ascii="Times New Roman" w:hAnsi="Times New Roman" w:eastAsia="Times New Roman" w:cs="Times New Roman"/>
          <w:spacing w:val="-1"/>
          <w:sz w:val="20"/>
          <w:szCs w:val="20"/>
        </w:rPr>
        <w:t>2)IPv6</w:t>
      </w:r>
      <w:r>
        <w:rPr>
          <w:rFonts w:ascii="Times New Roman" w:hAnsi="Times New Roman" w:eastAsia="Times New Roman" w:cs="Times New Roman"/>
          <w:spacing w:val="10"/>
          <w:sz w:val="20"/>
          <w:szCs w:val="20"/>
        </w:rPr>
        <w:t xml:space="preserve">   </w:t>
      </w:r>
      <w:r>
        <w:rPr>
          <w:rFonts w:ascii="楷体" w:hAnsi="楷体" w:eastAsia="楷体" w:cs="楷体"/>
          <w:spacing w:val="-1"/>
          <w:sz w:val="20"/>
          <w:szCs w:val="20"/>
        </w:rPr>
        <w:t>数据包</w:t>
      </w:r>
    </w:p>
    <w:p w14:paraId="5BC1C079">
      <w:pPr>
        <w:pStyle w:val="2"/>
        <w:spacing w:before="101" w:line="281" w:lineRule="auto"/>
        <w:ind w:left="339" w:firstLine="390"/>
        <w:rPr>
          <w:sz w:val="20"/>
          <w:szCs w:val="20"/>
        </w:rPr>
      </w:pPr>
      <w:r>
        <w:rPr>
          <w:rFonts w:ascii="Times New Roman" w:hAnsi="Times New Roman" w:eastAsia="Times New Roman" w:cs="Times New Roman"/>
          <w:sz w:val="20"/>
          <w:szCs w:val="20"/>
        </w:rPr>
        <w:t>IPv</w:t>
      </w:r>
      <w:r>
        <w:rPr>
          <w:rFonts w:ascii="Times New Roman" w:hAnsi="Times New Roman" w:eastAsia="Times New Roman" w:cs="Times New Roman"/>
          <w:spacing w:val="1"/>
          <w:sz w:val="20"/>
          <w:szCs w:val="20"/>
        </w:rPr>
        <w:t xml:space="preserve">6 </w:t>
      </w:r>
      <w:r>
        <w:rPr>
          <w:spacing w:val="1"/>
          <w:sz w:val="20"/>
          <w:szCs w:val="20"/>
        </w:rPr>
        <w:t>数据包的整体结构分为</w:t>
      </w:r>
      <w:r>
        <w:rPr>
          <w:rFonts w:ascii="Times New Roman" w:hAnsi="Times New Roman" w:eastAsia="Times New Roman" w:cs="Times New Roman"/>
          <w:sz w:val="20"/>
          <w:szCs w:val="20"/>
        </w:rPr>
        <w:t>IPv</w:t>
      </w:r>
      <w:r>
        <w:rPr>
          <w:rFonts w:ascii="Times New Roman" w:hAnsi="Times New Roman" w:eastAsia="Times New Roman" w:cs="Times New Roman"/>
          <w:spacing w:val="1"/>
          <w:sz w:val="20"/>
          <w:szCs w:val="20"/>
        </w:rPr>
        <w:t>6</w:t>
      </w:r>
      <w:r>
        <w:rPr>
          <w:rFonts w:ascii="Times New Roman" w:hAnsi="Times New Roman" w:eastAsia="Times New Roman" w:cs="Times New Roman"/>
          <w:spacing w:val="17"/>
          <w:w w:val="101"/>
          <w:sz w:val="20"/>
          <w:szCs w:val="20"/>
        </w:rPr>
        <w:t xml:space="preserve"> </w:t>
      </w:r>
      <w:r>
        <w:rPr>
          <w:spacing w:val="1"/>
          <w:sz w:val="20"/>
          <w:szCs w:val="20"/>
        </w:rPr>
        <w:t>包头、扩展包头和上层协议数据三大部分。</w:t>
      </w:r>
      <w:r>
        <w:rPr>
          <w:rFonts w:ascii="Times New Roman" w:hAnsi="Times New Roman" w:eastAsia="Times New Roman" w:cs="Times New Roman"/>
          <w:sz w:val="20"/>
          <w:szCs w:val="20"/>
        </w:rPr>
        <w:t>IPv</w:t>
      </w:r>
      <w:r>
        <w:rPr>
          <w:rFonts w:ascii="Times New Roman" w:hAnsi="Times New Roman" w:eastAsia="Times New Roman" w:cs="Times New Roman"/>
          <w:spacing w:val="1"/>
          <w:sz w:val="20"/>
          <w:szCs w:val="20"/>
        </w:rPr>
        <w:t>6</w:t>
      </w:r>
      <w:r>
        <w:rPr>
          <w:rFonts w:ascii="Times New Roman" w:hAnsi="Times New Roman" w:eastAsia="Times New Roman" w:cs="Times New Roman"/>
          <w:spacing w:val="17"/>
          <w:sz w:val="20"/>
          <w:szCs w:val="20"/>
        </w:rPr>
        <w:t xml:space="preserve"> </w:t>
      </w:r>
      <w:r>
        <w:rPr>
          <w:spacing w:val="1"/>
          <w:sz w:val="20"/>
          <w:szCs w:val="20"/>
        </w:rPr>
        <w:t>包头是必</w:t>
      </w:r>
      <w:r>
        <w:rPr>
          <w:sz w:val="20"/>
          <w:szCs w:val="20"/>
        </w:rPr>
        <w:t xml:space="preserve">  </w:t>
      </w:r>
      <w:r>
        <w:rPr>
          <w:spacing w:val="3"/>
          <w:sz w:val="20"/>
          <w:szCs w:val="20"/>
        </w:rPr>
        <w:t>选数据包头部，长度固定为40个字节，包含该数据包的基本信息；扩展包头是可选包，可能存</w:t>
      </w:r>
      <w:r>
        <w:rPr>
          <w:spacing w:val="5"/>
          <w:sz w:val="20"/>
          <w:szCs w:val="20"/>
        </w:rPr>
        <w:t xml:space="preserve">  </w:t>
      </w:r>
      <w:r>
        <w:rPr>
          <w:spacing w:val="6"/>
          <w:sz w:val="20"/>
          <w:szCs w:val="20"/>
        </w:rPr>
        <w:t>在0个、1个或多个，</w:t>
      </w:r>
      <w:r>
        <w:rPr>
          <w:rFonts w:ascii="Times New Roman" w:hAnsi="Times New Roman" w:eastAsia="Times New Roman" w:cs="Times New Roman"/>
          <w:sz w:val="20"/>
          <w:szCs w:val="20"/>
        </w:rPr>
        <w:t>IPv</w:t>
      </w:r>
      <w:r>
        <w:rPr>
          <w:rFonts w:ascii="Times New Roman" w:hAnsi="Times New Roman" w:eastAsia="Times New Roman" w:cs="Times New Roman"/>
          <w:spacing w:val="6"/>
          <w:sz w:val="20"/>
          <w:szCs w:val="20"/>
        </w:rPr>
        <w:t>6</w:t>
      </w:r>
      <w:r>
        <w:rPr>
          <w:rFonts w:ascii="Times New Roman" w:hAnsi="Times New Roman" w:eastAsia="Times New Roman" w:cs="Times New Roman"/>
          <w:spacing w:val="17"/>
          <w:w w:val="101"/>
          <w:sz w:val="20"/>
          <w:szCs w:val="20"/>
        </w:rPr>
        <w:t xml:space="preserve"> </w:t>
      </w:r>
      <w:r>
        <w:rPr>
          <w:spacing w:val="6"/>
          <w:sz w:val="20"/>
          <w:szCs w:val="20"/>
        </w:rPr>
        <w:t>协议通过扩展包头实现各种丰</w:t>
      </w:r>
      <w:r>
        <w:rPr>
          <w:spacing w:val="5"/>
          <w:sz w:val="20"/>
          <w:szCs w:val="20"/>
        </w:rPr>
        <w:t>富的功能；上层协议数据是该</w:t>
      </w:r>
      <w:r>
        <w:rPr>
          <w:rFonts w:ascii="Times New Roman" w:hAnsi="Times New Roman" w:eastAsia="Times New Roman" w:cs="Times New Roman"/>
          <w:sz w:val="20"/>
          <w:szCs w:val="20"/>
        </w:rPr>
        <w:t>IPv</w:t>
      </w:r>
      <w:r>
        <w:rPr>
          <w:rFonts w:ascii="Times New Roman" w:hAnsi="Times New Roman" w:eastAsia="Times New Roman" w:cs="Times New Roman"/>
          <w:spacing w:val="5"/>
          <w:sz w:val="20"/>
          <w:szCs w:val="20"/>
        </w:rPr>
        <w:t>6</w:t>
      </w:r>
      <w:r>
        <w:rPr>
          <w:rFonts w:ascii="Times New Roman" w:hAnsi="Times New Roman" w:eastAsia="Times New Roman" w:cs="Times New Roman"/>
          <w:spacing w:val="17"/>
          <w:sz w:val="20"/>
          <w:szCs w:val="20"/>
        </w:rPr>
        <w:t xml:space="preserve"> </w:t>
      </w:r>
      <w:r>
        <w:rPr>
          <w:spacing w:val="5"/>
          <w:sz w:val="20"/>
          <w:szCs w:val="20"/>
        </w:rPr>
        <w:t>数</w:t>
      </w:r>
      <w:r>
        <w:rPr>
          <w:sz w:val="20"/>
          <w:szCs w:val="20"/>
        </w:rPr>
        <w:t xml:space="preserve">  </w:t>
      </w:r>
      <w:r>
        <w:rPr>
          <w:spacing w:val="6"/>
          <w:sz w:val="20"/>
          <w:szCs w:val="20"/>
        </w:rPr>
        <w:t>据包携带的上层数据，可能是</w:t>
      </w:r>
      <w:r>
        <w:rPr>
          <w:rFonts w:ascii="Times New Roman" w:hAnsi="Times New Roman" w:eastAsia="Times New Roman" w:cs="Times New Roman"/>
          <w:sz w:val="20"/>
          <w:szCs w:val="20"/>
        </w:rPr>
        <w:t>ICMPv</w:t>
      </w:r>
      <w:r>
        <w:rPr>
          <w:rFonts w:ascii="Times New Roman" w:hAnsi="Times New Roman" w:eastAsia="Times New Roman" w:cs="Times New Roman"/>
          <w:spacing w:val="6"/>
          <w:sz w:val="20"/>
          <w:szCs w:val="20"/>
        </w:rPr>
        <w:t xml:space="preserve">6 </w:t>
      </w:r>
      <w:r>
        <w:rPr>
          <w:spacing w:val="6"/>
          <w:sz w:val="20"/>
          <w:szCs w:val="20"/>
        </w:rPr>
        <w:t>数据包、</w:t>
      </w:r>
      <w:r>
        <w:rPr>
          <w:rFonts w:ascii="Times New Roman" w:hAnsi="Times New Roman" w:eastAsia="Times New Roman" w:cs="Times New Roman"/>
          <w:sz w:val="20"/>
          <w:szCs w:val="20"/>
        </w:rPr>
        <w:t>TCP</w:t>
      </w:r>
      <w:r>
        <w:rPr>
          <w:rFonts w:ascii="Times New Roman" w:hAnsi="Times New Roman" w:eastAsia="Times New Roman" w:cs="Times New Roman"/>
          <w:spacing w:val="6"/>
          <w:sz w:val="20"/>
          <w:szCs w:val="20"/>
        </w:rPr>
        <w:t xml:space="preserve"> </w:t>
      </w:r>
      <w:r>
        <w:rPr>
          <w:spacing w:val="6"/>
          <w:sz w:val="20"/>
          <w:szCs w:val="20"/>
        </w:rPr>
        <w:t>数据</w:t>
      </w:r>
      <w:r>
        <w:rPr>
          <w:spacing w:val="5"/>
          <w:sz w:val="20"/>
          <w:szCs w:val="20"/>
        </w:rPr>
        <w:t>包、</w:t>
      </w:r>
      <w:r>
        <w:rPr>
          <w:rFonts w:ascii="Times New Roman" w:hAnsi="Times New Roman" w:eastAsia="Times New Roman" w:cs="Times New Roman"/>
          <w:sz w:val="20"/>
          <w:szCs w:val="20"/>
        </w:rPr>
        <w:t>UDP</w:t>
      </w:r>
      <w:r>
        <w:rPr>
          <w:rFonts w:ascii="Times New Roman" w:hAnsi="Times New Roman" w:eastAsia="Times New Roman" w:cs="Times New Roman"/>
          <w:spacing w:val="21"/>
          <w:sz w:val="20"/>
          <w:szCs w:val="20"/>
        </w:rPr>
        <w:t xml:space="preserve"> </w:t>
      </w:r>
      <w:r>
        <w:rPr>
          <w:spacing w:val="5"/>
          <w:sz w:val="20"/>
          <w:szCs w:val="20"/>
        </w:rPr>
        <w:t>数据包或其他可能数据包。</w:t>
      </w:r>
      <w:r>
        <w:rPr>
          <w:sz w:val="20"/>
          <w:szCs w:val="20"/>
        </w:rPr>
        <w:t xml:space="preserve"> </w:t>
      </w:r>
      <w:r>
        <w:rPr>
          <w:rFonts w:ascii="Times New Roman" w:hAnsi="Times New Roman" w:eastAsia="Times New Roman" w:cs="Times New Roman"/>
          <w:sz w:val="20"/>
          <w:szCs w:val="20"/>
        </w:rPr>
        <w:t>IPv</w:t>
      </w:r>
      <w:r>
        <w:rPr>
          <w:rFonts w:ascii="Times New Roman" w:hAnsi="Times New Roman" w:eastAsia="Times New Roman" w:cs="Times New Roman"/>
          <w:spacing w:val="5"/>
          <w:sz w:val="20"/>
          <w:szCs w:val="20"/>
        </w:rPr>
        <w:t>6</w:t>
      </w:r>
      <w:r>
        <w:rPr>
          <w:spacing w:val="5"/>
          <w:sz w:val="20"/>
          <w:szCs w:val="20"/>
        </w:rPr>
        <w:t>数据包格式如图3-7所示。</w:t>
      </w:r>
    </w:p>
    <w:p w14:paraId="1C6B6CFD">
      <w:pPr>
        <w:pStyle w:val="2"/>
        <w:spacing w:before="283" w:line="162" w:lineRule="exact"/>
        <w:ind w:left="1660"/>
        <w:rPr>
          <w:sz w:val="18"/>
          <w:szCs w:val="18"/>
        </w:rPr>
      </w:pPr>
      <w:r>
        <w:rPr>
          <w:spacing w:val="-4"/>
          <w:position w:val="-2"/>
          <w:sz w:val="18"/>
          <w:szCs w:val="18"/>
        </w:rPr>
        <w:t>0</w:t>
      </w:r>
      <w:r>
        <w:rPr>
          <w:spacing w:val="8"/>
          <w:position w:val="-2"/>
          <w:sz w:val="18"/>
          <w:szCs w:val="18"/>
        </w:rPr>
        <w:t xml:space="preserve">       </w:t>
      </w:r>
      <w:r>
        <w:rPr>
          <w:spacing w:val="-4"/>
          <w:position w:val="-2"/>
          <w:sz w:val="18"/>
          <w:szCs w:val="18"/>
        </w:rPr>
        <w:t>34</w:t>
      </w:r>
      <w:r>
        <w:rPr>
          <w:spacing w:val="7"/>
          <w:position w:val="-2"/>
          <w:sz w:val="18"/>
          <w:szCs w:val="18"/>
        </w:rPr>
        <w:t xml:space="preserve">            </w:t>
      </w:r>
      <w:r>
        <w:rPr>
          <w:spacing w:val="-4"/>
          <w:position w:val="-2"/>
          <w:sz w:val="18"/>
          <w:szCs w:val="18"/>
        </w:rPr>
        <w:t>11121516</w:t>
      </w:r>
      <w:r>
        <w:rPr>
          <w:spacing w:val="1"/>
          <w:position w:val="-2"/>
          <w:sz w:val="18"/>
          <w:szCs w:val="18"/>
        </w:rPr>
        <w:t xml:space="preserve">          </w:t>
      </w:r>
      <w:r>
        <w:rPr>
          <w:spacing w:val="-4"/>
          <w:position w:val="-2"/>
          <w:sz w:val="18"/>
          <w:szCs w:val="18"/>
        </w:rPr>
        <w:t>2324</w:t>
      </w:r>
      <w:r>
        <w:rPr>
          <w:spacing w:val="1"/>
          <w:position w:val="-2"/>
          <w:sz w:val="18"/>
          <w:szCs w:val="18"/>
        </w:rPr>
        <w:t xml:space="preserve">                </w:t>
      </w:r>
      <w:r>
        <w:rPr>
          <w:spacing w:val="-4"/>
          <w:position w:val="-1"/>
          <w:sz w:val="18"/>
          <w:szCs w:val="18"/>
        </w:rPr>
        <w:t>31</w:t>
      </w:r>
    </w:p>
    <w:tbl>
      <w:tblPr>
        <w:tblStyle w:val="5"/>
        <w:tblW w:w="5789" w:type="dxa"/>
        <w:tblInd w:w="16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3"/>
        <w:gridCol w:w="1387"/>
        <w:gridCol w:w="529"/>
        <w:gridCol w:w="1068"/>
        <w:gridCol w:w="1872"/>
      </w:tblGrid>
      <w:tr w14:paraId="13D31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933" w:type="dxa"/>
            <w:vAlign w:val="top"/>
          </w:tcPr>
          <w:p w14:paraId="34273ED6">
            <w:pPr>
              <w:pStyle w:val="6"/>
              <w:spacing w:before="81" w:line="219" w:lineRule="auto"/>
              <w:ind w:left="264"/>
              <w:rPr>
                <w:sz w:val="18"/>
                <w:szCs w:val="18"/>
              </w:rPr>
            </w:pPr>
            <w:r>
              <w:rPr>
                <w:spacing w:val="-2"/>
                <w:sz w:val="18"/>
                <w:szCs w:val="18"/>
              </w:rPr>
              <w:t>版本</w:t>
            </w:r>
          </w:p>
        </w:tc>
        <w:tc>
          <w:tcPr>
            <w:tcW w:w="1387" w:type="dxa"/>
            <w:vAlign w:val="top"/>
          </w:tcPr>
          <w:p w14:paraId="4BAA042E">
            <w:pPr>
              <w:pStyle w:val="6"/>
              <w:spacing w:before="81" w:line="219" w:lineRule="auto"/>
              <w:ind w:left="601"/>
              <w:rPr>
                <w:sz w:val="18"/>
                <w:szCs w:val="18"/>
              </w:rPr>
            </w:pPr>
            <w:r>
              <w:rPr>
                <w:spacing w:val="-2"/>
                <w:sz w:val="18"/>
                <w:szCs w:val="18"/>
              </w:rPr>
              <w:t>传输等级</w:t>
            </w:r>
          </w:p>
        </w:tc>
        <w:tc>
          <w:tcPr>
            <w:tcW w:w="3469" w:type="dxa"/>
            <w:gridSpan w:val="3"/>
            <w:vAlign w:val="top"/>
          </w:tcPr>
          <w:p w14:paraId="118AD42D">
            <w:pPr>
              <w:pStyle w:val="6"/>
              <w:spacing w:before="82" w:line="220" w:lineRule="auto"/>
              <w:ind w:left="1714"/>
              <w:rPr>
                <w:sz w:val="18"/>
                <w:szCs w:val="18"/>
              </w:rPr>
            </w:pPr>
            <w:r>
              <w:rPr>
                <w:spacing w:val="-2"/>
                <w:sz w:val="18"/>
                <w:szCs w:val="18"/>
              </w:rPr>
              <w:t>流标签</w:t>
            </w:r>
          </w:p>
        </w:tc>
      </w:tr>
      <w:tr w14:paraId="68DD8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849" w:type="dxa"/>
            <w:gridSpan w:val="3"/>
            <w:vAlign w:val="top"/>
          </w:tcPr>
          <w:p w14:paraId="3C63FE99">
            <w:pPr>
              <w:pStyle w:val="6"/>
              <w:spacing w:before="79" w:line="219" w:lineRule="auto"/>
              <w:ind w:left="1074"/>
              <w:rPr>
                <w:sz w:val="18"/>
                <w:szCs w:val="18"/>
              </w:rPr>
            </w:pPr>
            <w:r>
              <w:rPr>
                <w:spacing w:val="-2"/>
                <w:sz w:val="18"/>
                <w:szCs w:val="18"/>
              </w:rPr>
              <w:t>载荷长度</w:t>
            </w:r>
          </w:p>
        </w:tc>
        <w:tc>
          <w:tcPr>
            <w:tcW w:w="1068" w:type="dxa"/>
            <w:vAlign w:val="top"/>
          </w:tcPr>
          <w:p w14:paraId="2480C23E">
            <w:pPr>
              <w:pStyle w:val="6"/>
              <w:spacing w:before="79" w:line="219" w:lineRule="auto"/>
              <w:ind w:left="95"/>
              <w:rPr>
                <w:sz w:val="18"/>
                <w:szCs w:val="18"/>
              </w:rPr>
            </w:pPr>
            <w:r>
              <w:rPr>
                <w:spacing w:val="2"/>
                <w:sz w:val="18"/>
                <w:szCs w:val="18"/>
              </w:rPr>
              <w:t>下一个包头</w:t>
            </w:r>
          </w:p>
        </w:tc>
        <w:tc>
          <w:tcPr>
            <w:tcW w:w="1872" w:type="dxa"/>
            <w:vAlign w:val="top"/>
          </w:tcPr>
          <w:p w14:paraId="75BB834C">
            <w:pPr>
              <w:pStyle w:val="6"/>
              <w:spacing w:before="79" w:line="219" w:lineRule="auto"/>
              <w:ind w:left="497"/>
              <w:rPr>
                <w:sz w:val="18"/>
                <w:szCs w:val="18"/>
              </w:rPr>
            </w:pPr>
            <w:r>
              <w:rPr>
                <w:spacing w:val="3"/>
                <w:sz w:val="18"/>
                <w:szCs w:val="18"/>
              </w:rPr>
              <w:t>路程段限制</w:t>
            </w:r>
          </w:p>
        </w:tc>
      </w:tr>
      <w:tr w14:paraId="56FDD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5789" w:type="dxa"/>
            <w:gridSpan w:val="5"/>
            <w:vAlign w:val="top"/>
          </w:tcPr>
          <w:p w14:paraId="1805F842">
            <w:pPr>
              <w:pStyle w:val="6"/>
              <w:spacing w:before="214" w:line="222" w:lineRule="auto"/>
              <w:ind w:left="2614"/>
              <w:rPr>
                <w:sz w:val="18"/>
                <w:szCs w:val="18"/>
              </w:rPr>
            </w:pPr>
            <w:r>
              <w:rPr>
                <w:spacing w:val="-2"/>
                <w:sz w:val="18"/>
                <w:szCs w:val="18"/>
              </w:rPr>
              <w:t>源地址</w:t>
            </w:r>
          </w:p>
        </w:tc>
      </w:tr>
      <w:tr w14:paraId="74E35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 w:hRule="atLeast"/>
        </w:trPr>
        <w:tc>
          <w:tcPr>
            <w:tcW w:w="5789" w:type="dxa"/>
            <w:gridSpan w:val="5"/>
            <w:vAlign w:val="top"/>
          </w:tcPr>
          <w:p w14:paraId="44C8377C">
            <w:pPr>
              <w:pStyle w:val="6"/>
              <w:spacing w:before="217" w:line="222" w:lineRule="auto"/>
              <w:ind w:left="2524"/>
              <w:rPr>
                <w:sz w:val="18"/>
                <w:szCs w:val="18"/>
              </w:rPr>
            </w:pPr>
            <w:r>
              <w:rPr>
                <w:spacing w:val="2"/>
                <w:sz w:val="18"/>
                <w:szCs w:val="18"/>
              </w:rPr>
              <w:t>目的地址</w:t>
            </w:r>
          </w:p>
        </w:tc>
      </w:tr>
    </w:tbl>
    <w:p w14:paraId="5DBE4D3D">
      <w:pPr>
        <w:pStyle w:val="2"/>
        <w:spacing w:before="153" w:line="219" w:lineRule="auto"/>
        <w:ind w:left="3569"/>
        <w:rPr>
          <w:sz w:val="20"/>
          <w:szCs w:val="20"/>
        </w:rPr>
      </w:pPr>
      <w:r>
        <w:rPr>
          <w:spacing w:val="-6"/>
          <w:sz w:val="20"/>
          <w:szCs w:val="20"/>
        </w:rPr>
        <w:t>图3-7</w:t>
      </w:r>
      <w:r>
        <w:rPr>
          <w:spacing w:val="37"/>
          <w:sz w:val="20"/>
          <w:szCs w:val="20"/>
        </w:rPr>
        <w:t xml:space="preserve"> </w:t>
      </w:r>
      <w:r>
        <w:rPr>
          <w:rFonts w:ascii="Times New Roman" w:hAnsi="Times New Roman" w:eastAsia="Times New Roman" w:cs="Times New Roman"/>
          <w:spacing w:val="-6"/>
          <w:sz w:val="20"/>
          <w:szCs w:val="20"/>
        </w:rPr>
        <w:t>IPv6</w:t>
      </w:r>
      <w:r>
        <w:rPr>
          <w:spacing w:val="-6"/>
          <w:sz w:val="20"/>
          <w:szCs w:val="20"/>
        </w:rPr>
        <w:t>数据包格式</w:t>
      </w:r>
    </w:p>
    <w:p w14:paraId="5853F643">
      <w:pPr>
        <w:pStyle w:val="2"/>
        <w:spacing w:before="192" w:line="262" w:lineRule="auto"/>
        <w:ind w:left="1019" w:right="85" w:hanging="290"/>
        <w:rPr>
          <w:sz w:val="20"/>
          <w:szCs w:val="20"/>
        </w:rPr>
      </w:pPr>
      <w:r>
        <w:rPr>
          <w:spacing w:val="17"/>
          <w:sz w:val="20"/>
          <w:szCs w:val="20"/>
        </w:rPr>
        <w:t>●版本。该字段的长度与</w:t>
      </w:r>
      <w:r>
        <w:rPr>
          <w:sz w:val="20"/>
          <w:szCs w:val="20"/>
        </w:rPr>
        <w:t>IPv</w:t>
      </w:r>
      <w:r>
        <w:rPr>
          <w:spacing w:val="17"/>
          <w:sz w:val="20"/>
          <w:szCs w:val="20"/>
        </w:rPr>
        <w:t>4</w:t>
      </w:r>
      <w:r>
        <w:rPr>
          <w:spacing w:val="-41"/>
          <w:sz w:val="20"/>
          <w:szCs w:val="20"/>
        </w:rPr>
        <w:t xml:space="preserve"> </w:t>
      </w:r>
      <w:r>
        <w:rPr>
          <w:spacing w:val="17"/>
          <w:sz w:val="20"/>
          <w:szCs w:val="20"/>
        </w:rPr>
        <w:t>相同，版本号4(二进</w:t>
      </w:r>
      <w:r>
        <w:rPr>
          <w:spacing w:val="16"/>
          <w:sz w:val="20"/>
          <w:szCs w:val="20"/>
        </w:rPr>
        <w:t>制0100)、版本号6(二进制0110)</w:t>
      </w:r>
      <w:r>
        <w:rPr>
          <w:sz w:val="20"/>
          <w:szCs w:val="20"/>
        </w:rPr>
        <w:t xml:space="preserve"> </w:t>
      </w:r>
      <w:r>
        <w:rPr>
          <w:spacing w:val="-2"/>
          <w:sz w:val="20"/>
          <w:szCs w:val="20"/>
        </w:rPr>
        <w:t>分别代表</w:t>
      </w:r>
      <w:r>
        <w:rPr>
          <w:rFonts w:ascii="Times New Roman" w:hAnsi="Times New Roman" w:eastAsia="Times New Roman" w:cs="Times New Roman"/>
          <w:spacing w:val="-2"/>
          <w:sz w:val="20"/>
          <w:szCs w:val="20"/>
        </w:rPr>
        <w:t xml:space="preserve">IPv4 </w:t>
      </w:r>
      <w:r>
        <w:rPr>
          <w:spacing w:val="-2"/>
          <w:sz w:val="20"/>
          <w:szCs w:val="20"/>
        </w:rPr>
        <w:t>和</w:t>
      </w:r>
      <w:r>
        <w:rPr>
          <w:spacing w:val="-47"/>
          <w:sz w:val="20"/>
          <w:szCs w:val="20"/>
        </w:rPr>
        <w:t xml:space="preserve"> </w:t>
      </w:r>
      <w:r>
        <w:rPr>
          <w:rFonts w:ascii="Times New Roman" w:hAnsi="Times New Roman" w:eastAsia="Times New Roman" w:cs="Times New Roman"/>
          <w:spacing w:val="-2"/>
          <w:sz w:val="20"/>
          <w:szCs w:val="20"/>
        </w:rPr>
        <w:t>IPv6</w:t>
      </w:r>
      <w:r>
        <w:rPr>
          <w:rFonts w:ascii="Times New Roman" w:hAnsi="Times New Roman" w:eastAsia="Times New Roman" w:cs="Times New Roman"/>
          <w:spacing w:val="17"/>
          <w:w w:val="101"/>
          <w:sz w:val="20"/>
          <w:szCs w:val="20"/>
        </w:rPr>
        <w:t xml:space="preserve"> </w:t>
      </w:r>
      <w:r>
        <w:rPr>
          <w:spacing w:val="-2"/>
          <w:sz w:val="20"/>
          <w:szCs w:val="20"/>
        </w:rPr>
        <w:t>数据包。</w:t>
      </w:r>
    </w:p>
    <w:p w14:paraId="39558F9D">
      <w:pPr>
        <w:pStyle w:val="2"/>
        <w:spacing w:before="82" w:line="219" w:lineRule="auto"/>
        <w:ind w:left="729"/>
        <w:rPr>
          <w:sz w:val="20"/>
          <w:szCs w:val="20"/>
        </w:rPr>
      </w:pPr>
      <w:r>
        <w:rPr>
          <w:spacing w:val="3"/>
          <w:sz w:val="20"/>
          <w:szCs w:val="20"/>
        </w:rPr>
        <w:t>●传输等级。8位传输等级字段用于源节点或路由器识别和区分不同级别的</w:t>
      </w:r>
      <w:r>
        <w:rPr>
          <w:sz w:val="20"/>
          <w:szCs w:val="20"/>
        </w:rPr>
        <w:t>IPv</w:t>
      </w:r>
      <w:r>
        <w:rPr>
          <w:spacing w:val="3"/>
          <w:sz w:val="20"/>
          <w:szCs w:val="20"/>
        </w:rPr>
        <w:t>6</w:t>
      </w:r>
      <w:r>
        <w:rPr>
          <w:spacing w:val="-51"/>
          <w:sz w:val="20"/>
          <w:szCs w:val="20"/>
        </w:rPr>
        <w:t xml:space="preserve"> </w:t>
      </w:r>
      <w:r>
        <w:rPr>
          <w:spacing w:val="3"/>
          <w:sz w:val="20"/>
          <w:szCs w:val="20"/>
        </w:rPr>
        <w:t>信息</w:t>
      </w:r>
      <w:r>
        <w:rPr>
          <w:spacing w:val="2"/>
          <w:sz w:val="20"/>
          <w:szCs w:val="20"/>
        </w:rPr>
        <w:t>包。</w:t>
      </w:r>
    </w:p>
    <w:p w14:paraId="5900E86F">
      <w:pPr>
        <w:pStyle w:val="2"/>
        <w:spacing w:before="75" w:line="269" w:lineRule="auto"/>
        <w:ind w:left="1019" w:right="99" w:hanging="290"/>
        <w:rPr>
          <w:sz w:val="20"/>
          <w:szCs w:val="20"/>
        </w:rPr>
      </w:pPr>
      <w:r>
        <w:rPr>
          <w:spacing w:val="6"/>
          <w:sz w:val="20"/>
          <w:szCs w:val="20"/>
        </w:rPr>
        <w:t>●流标签。源节点用20位流标签字段来标识一系列属于同一流的信息包。</w:t>
      </w:r>
      <w:r>
        <w:rPr>
          <w:spacing w:val="-28"/>
          <w:sz w:val="20"/>
          <w:szCs w:val="20"/>
        </w:rPr>
        <w:t xml:space="preserve"> </w:t>
      </w:r>
      <w:r>
        <w:rPr>
          <w:spacing w:val="6"/>
          <w:sz w:val="20"/>
          <w:szCs w:val="20"/>
        </w:rPr>
        <w:t>一个</w:t>
      </w:r>
      <w:r>
        <w:rPr>
          <w:spacing w:val="5"/>
          <w:sz w:val="20"/>
          <w:szCs w:val="20"/>
        </w:rPr>
        <w:t>流可以由</w:t>
      </w:r>
      <w:r>
        <w:rPr>
          <w:sz w:val="20"/>
          <w:szCs w:val="20"/>
        </w:rPr>
        <w:t xml:space="preserve"> </w:t>
      </w:r>
      <w:r>
        <w:rPr>
          <w:spacing w:val="10"/>
          <w:sz w:val="20"/>
          <w:szCs w:val="20"/>
        </w:rPr>
        <w:t>源</w:t>
      </w:r>
      <w:r>
        <w:rPr>
          <w:rFonts w:ascii="Times New Roman" w:hAnsi="Times New Roman" w:eastAsia="Times New Roman" w:cs="Times New Roman"/>
          <w:sz w:val="20"/>
          <w:szCs w:val="20"/>
        </w:rPr>
        <w:t>IPv</w:t>
      </w:r>
      <w:r>
        <w:rPr>
          <w:rFonts w:ascii="Times New Roman" w:hAnsi="Times New Roman" w:eastAsia="Times New Roman" w:cs="Times New Roman"/>
          <w:spacing w:val="10"/>
          <w:sz w:val="20"/>
          <w:szCs w:val="20"/>
        </w:rPr>
        <w:t xml:space="preserve">6 </w:t>
      </w:r>
      <w:r>
        <w:rPr>
          <w:spacing w:val="10"/>
          <w:sz w:val="20"/>
          <w:szCs w:val="20"/>
        </w:rPr>
        <w:t>地址和非空的流标签唯一地标识，属</w:t>
      </w:r>
      <w:r>
        <w:rPr>
          <w:spacing w:val="9"/>
          <w:sz w:val="20"/>
          <w:szCs w:val="20"/>
        </w:rPr>
        <w:t>于同一个流的信息包必须由</w:t>
      </w:r>
      <w:r>
        <w:rPr>
          <w:rFonts w:ascii="Times New Roman" w:hAnsi="Times New Roman" w:eastAsia="Times New Roman" w:cs="Times New Roman"/>
          <w:sz w:val="20"/>
          <w:szCs w:val="20"/>
        </w:rPr>
        <w:t>IPv</w:t>
      </w:r>
      <w:r>
        <w:rPr>
          <w:rFonts w:ascii="Times New Roman" w:hAnsi="Times New Roman" w:eastAsia="Times New Roman" w:cs="Times New Roman"/>
          <w:spacing w:val="9"/>
          <w:sz w:val="20"/>
          <w:szCs w:val="20"/>
        </w:rPr>
        <w:t>6</w:t>
      </w:r>
      <w:r>
        <w:rPr>
          <w:rFonts w:ascii="Times New Roman" w:hAnsi="Times New Roman" w:eastAsia="Times New Roman" w:cs="Times New Roman"/>
          <w:spacing w:val="37"/>
          <w:w w:val="101"/>
          <w:sz w:val="20"/>
          <w:szCs w:val="20"/>
        </w:rPr>
        <w:t xml:space="preserve"> </w:t>
      </w:r>
      <w:r>
        <w:rPr>
          <w:spacing w:val="9"/>
          <w:sz w:val="20"/>
          <w:szCs w:val="20"/>
        </w:rPr>
        <w:t>路由器</w:t>
      </w:r>
      <w:r>
        <w:rPr>
          <w:sz w:val="20"/>
          <w:szCs w:val="20"/>
        </w:rPr>
        <w:t xml:space="preserve"> </w:t>
      </w:r>
      <w:r>
        <w:rPr>
          <w:spacing w:val="3"/>
          <w:sz w:val="20"/>
          <w:szCs w:val="20"/>
        </w:rPr>
        <w:t>做专门的处理，至于做何种处理则由信息包本身或资源预留</w:t>
      </w:r>
      <w:r>
        <w:rPr>
          <w:spacing w:val="2"/>
          <w:sz w:val="20"/>
          <w:szCs w:val="20"/>
        </w:rPr>
        <w:t>协议</w:t>
      </w:r>
      <w:r>
        <w:rPr>
          <w:spacing w:val="-49"/>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Resource</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z w:val="20"/>
          <w:szCs w:val="20"/>
        </w:rPr>
        <w:t xml:space="preserve">Reservation Protocol,RSVP)     </w:t>
      </w:r>
      <w:r>
        <w:rPr>
          <w:sz w:val="20"/>
          <w:szCs w:val="20"/>
        </w:rPr>
        <w:t>所给的信息来决定。</w:t>
      </w:r>
    </w:p>
    <w:p w14:paraId="13AB7C0C">
      <w:pPr>
        <w:pStyle w:val="2"/>
        <w:spacing w:before="123" w:line="262" w:lineRule="auto"/>
        <w:ind w:left="1019" w:right="141" w:hanging="290"/>
        <w:rPr>
          <w:sz w:val="20"/>
          <w:szCs w:val="20"/>
        </w:rPr>
      </w:pPr>
      <w:r>
        <w:rPr>
          <w:spacing w:val="6"/>
          <w:sz w:val="20"/>
          <w:szCs w:val="20"/>
        </w:rPr>
        <w:t>●载荷长度。16位载荷长度字段，指出</w:t>
      </w:r>
      <w:r>
        <w:rPr>
          <w:sz w:val="20"/>
          <w:szCs w:val="20"/>
        </w:rPr>
        <w:t>IPv</w:t>
      </w:r>
      <w:r>
        <w:rPr>
          <w:spacing w:val="6"/>
          <w:sz w:val="20"/>
          <w:szCs w:val="20"/>
        </w:rPr>
        <w:t>6</w:t>
      </w:r>
      <w:r>
        <w:rPr>
          <w:spacing w:val="-31"/>
          <w:sz w:val="20"/>
          <w:szCs w:val="20"/>
        </w:rPr>
        <w:t xml:space="preserve"> </w:t>
      </w:r>
      <w:r>
        <w:rPr>
          <w:spacing w:val="6"/>
          <w:sz w:val="20"/>
          <w:szCs w:val="20"/>
        </w:rPr>
        <w:t>信息包除去报头之后的数据字段的长度，以</w:t>
      </w:r>
      <w:r>
        <w:rPr>
          <w:sz w:val="20"/>
          <w:szCs w:val="20"/>
        </w:rPr>
        <w:t xml:space="preserve"> </w:t>
      </w:r>
      <w:r>
        <w:rPr>
          <w:spacing w:val="4"/>
          <w:sz w:val="20"/>
          <w:szCs w:val="20"/>
        </w:rPr>
        <w:t>字节为单位，</w:t>
      </w:r>
      <w:r>
        <w:rPr>
          <w:rFonts w:ascii="Times New Roman" w:hAnsi="Times New Roman" w:eastAsia="Times New Roman" w:cs="Times New Roman"/>
          <w:sz w:val="20"/>
          <w:szCs w:val="20"/>
        </w:rPr>
        <w:t>IPv</w:t>
      </w:r>
      <w:r>
        <w:rPr>
          <w:rFonts w:ascii="Times New Roman" w:hAnsi="Times New Roman" w:eastAsia="Times New Roman" w:cs="Times New Roman"/>
          <w:spacing w:val="4"/>
          <w:sz w:val="20"/>
          <w:szCs w:val="20"/>
        </w:rPr>
        <w:t>6</w:t>
      </w:r>
      <w:r>
        <w:rPr>
          <w:rFonts w:ascii="Times New Roman" w:hAnsi="Times New Roman" w:eastAsia="Times New Roman" w:cs="Times New Roman"/>
          <w:spacing w:val="32"/>
          <w:w w:val="101"/>
          <w:sz w:val="20"/>
          <w:szCs w:val="20"/>
        </w:rPr>
        <w:t xml:space="preserve"> </w:t>
      </w:r>
      <w:r>
        <w:rPr>
          <w:spacing w:val="4"/>
          <w:sz w:val="20"/>
          <w:szCs w:val="20"/>
        </w:rPr>
        <w:t>数据包的最大载荷长度为65535个字节。</w:t>
      </w:r>
    </w:p>
    <w:p w14:paraId="0F179A16">
      <w:pPr>
        <w:pStyle w:val="2"/>
        <w:spacing w:before="93" w:line="219" w:lineRule="auto"/>
        <w:ind w:left="729"/>
        <w:rPr>
          <w:sz w:val="20"/>
          <w:szCs w:val="20"/>
        </w:rPr>
      </w:pPr>
      <w:r>
        <w:rPr>
          <w:spacing w:val="3"/>
          <w:sz w:val="20"/>
          <w:szCs w:val="20"/>
        </w:rPr>
        <w:t>●下一个包头。8位下一个包头字段指出</w:t>
      </w:r>
      <w:r>
        <w:rPr>
          <w:sz w:val="20"/>
          <w:szCs w:val="20"/>
        </w:rPr>
        <w:t>IPv</w:t>
      </w:r>
      <w:r>
        <w:rPr>
          <w:spacing w:val="3"/>
          <w:sz w:val="20"/>
          <w:szCs w:val="20"/>
        </w:rPr>
        <w:t>6</w:t>
      </w:r>
      <w:r>
        <w:rPr>
          <w:spacing w:val="-42"/>
          <w:sz w:val="20"/>
          <w:szCs w:val="20"/>
        </w:rPr>
        <w:t xml:space="preserve"> </w:t>
      </w:r>
      <w:r>
        <w:rPr>
          <w:spacing w:val="2"/>
          <w:sz w:val="20"/>
          <w:szCs w:val="20"/>
        </w:rPr>
        <w:t>包头之后的包头类型。</w:t>
      </w:r>
    </w:p>
    <w:p w14:paraId="26DA128A">
      <w:pPr>
        <w:pStyle w:val="2"/>
        <w:spacing w:before="89" w:line="256" w:lineRule="auto"/>
        <w:ind w:left="1019" w:right="98" w:hanging="290"/>
        <w:rPr>
          <w:sz w:val="20"/>
          <w:szCs w:val="20"/>
        </w:rPr>
      </w:pPr>
      <w:r>
        <w:rPr>
          <w:spacing w:val="9"/>
          <w:sz w:val="20"/>
          <w:szCs w:val="20"/>
        </w:rPr>
        <w:t>●路程段限制。8位路程段限制字段。数据包</w:t>
      </w:r>
      <w:r>
        <w:rPr>
          <w:spacing w:val="8"/>
          <w:sz w:val="20"/>
          <w:szCs w:val="20"/>
        </w:rPr>
        <w:t>每向前经过一个转发节点(通常为路由器),</w:t>
      </w:r>
      <w:r>
        <w:rPr>
          <w:sz w:val="20"/>
          <w:szCs w:val="20"/>
        </w:rPr>
        <w:t xml:space="preserve"> </w:t>
      </w:r>
      <w:r>
        <w:rPr>
          <w:spacing w:val="9"/>
          <w:sz w:val="20"/>
          <w:szCs w:val="20"/>
        </w:rPr>
        <w:t>路程段限制减1,当路程段限制减至0,则丢弃该数据包。</w:t>
      </w:r>
    </w:p>
    <w:p w14:paraId="77A08069">
      <w:pPr>
        <w:pStyle w:val="2"/>
        <w:spacing w:before="100" w:line="221" w:lineRule="auto"/>
        <w:ind w:left="729"/>
        <w:rPr>
          <w:sz w:val="20"/>
          <w:szCs w:val="20"/>
        </w:rPr>
      </w:pPr>
      <w:r>
        <w:rPr>
          <w:spacing w:val="7"/>
          <w:sz w:val="20"/>
          <w:szCs w:val="20"/>
        </w:rPr>
        <w:t>●源地址。128位</w:t>
      </w:r>
      <w:r>
        <w:rPr>
          <w:sz w:val="20"/>
          <w:szCs w:val="20"/>
        </w:rPr>
        <w:t>IPv</w:t>
      </w:r>
      <w:r>
        <w:rPr>
          <w:spacing w:val="7"/>
          <w:sz w:val="20"/>
          <w:szCs w:val="20"/>
        </w:rPr>
        <w:t>6</w:t>
      </w:r>
      <w:r>
        <w:rPr>
          <w:spacing w:val="-36"/>
          <w:sz w:val="20"/>
          <w:szCs w:val="20"/>
        </w:rPr>
        <w:t xml:space="preserve"> </w:t>
      </w:r>
      <w:r>
        <w:rPr>
          <w:spacing w:val="7"/>
          <w:sz w:val="20"/>
          <w:szCs w:val="20"/>
        </w:rPr>
        <w:t>源地址。</w:t>
      </w:r>
    </w:p>
    <w:p w14:paraId="7FCA2B99">
      <w:pPr>
        <w:pStyle w:val="2"/>
        <w:spacing w:before="70" w:line="221" w:lineRule="auto"/>
        <w:ind w:left="729"/>
        <w:rPr>
          <w:sz w:val="20"/>
          <w:szCs w:val="20"/>
        </w:rPr>
      </w:pPr>
      <w:r>
        <w:rPr>
          <w:spacing w:val="5"/>
          <w:sz w:val="20"/>
          <w:szCs w:val="20"/>
        </w:rPr>
        <w:t>●</w:t>
      </w:r>
      <w:r>
        <w:rPr>
          <w:spacing w:val="-21"/>
          <w:sz w:val="20"/>
          <w:szCs w:val="20"/>
        </w:rPr>
        <w:t xml:space="preserve"> </w:t>
      </w:r>
      <w:r>
        <w:rPr>
          <w:spacing w:val="5"/>
          <w:sz w:val="20"/>
          <w:szCs w:val="20"/>
        </w:rPr>
        <w:t>目的地址。128位</w:t>
      </w:r>
      <w:r>
        <w:rPr>
          <w:sz w:val="20"/>
          <w:szCs w:val="20"/>
        </w:rPr>
        <w:t>IPv</w:t>
      </w:r>
      <w:r>
        <w:rPr>
          <w:spacing w:val="5"/>
          <w:sz w:val="20"/>
          <w:szCs w:val="20"/>
        </w:rPr>
        <w:t>6目的地址。</w:t>
      </w:r>
    </w:p>
    <w:p w14:paraId="46C33859">
      <w:pPr>
        <w:spacing w:line="303" w:lineRule="auto"/>
        <w:rPr>
          <w:rFonts w:ascii="Arial"/>
          <w:sz w:val="21"/>
        </w:rPr>
      </w:pPr>
    </w:p>
    <w:p w14:paraId="2D870258">
      <w:pPr>
        <w:pStyle w:val="2"/>
        <w:spacing w:before="92" w:line="221" w:lineRule="auto"/>
        <w:ind w:left="343"/>
        <w:rPr>
          <w:rFonts w:ascii="黑体" w:hAnsi="黑体" w:eastAsia="黑体" w:cs="黑体"/>
          <w:sz w:val="28"/>
          <w:szCs w:val="28"/>
        </w:rPr>
      </w:pPr>
      <w:r>
        <w:rPr>
          <w:b/>
          <w:bCs/>
          <w:color w:val="0079CA"/>
          <w:spacing w:val="-7"/>
          <w:sz w:val="28"/>
          <w:szCs w:val="28"/>
        </w:rPr>
        <w:t>3.3</w:t>
      </w:r>
      <w:r>
        <w:rPr>
          <w:color w:val="0079CA"/>
          <w:spacing w:val="-7"/>
          <w:sz w:val="28"/>
          <w:szCs w:val="28"/>
        </w:rPr>
        <w:t xml:space="preserve">  </w:t>
      </w:r>
      <w:r>
        <w:rPr>
          <w:rFonts w:ascii="黑体" w:hAnsi="黑体" w:eastAsia="黑体" w:cs="黑体"/>
          <w:b/>
          <w:bCs/>
          <w:color w:val="0079CA"/>
          <w:spacing w:val="-7"/>
          <w:sz w:val="28"/>
          <w:szCs w:val="28"/>
        </w:rPr>
        <w:t>网络传输平台</w:t>
      </w:r>
    </w:p>
    <w:p w14:paraId="3327FD2F">
      <w:pPr>
        <w:pStyle w:val="2"/>
        <w:spacing w:before="267" w:line="278" w:lineRule="auto"/>
        <w:ind w:left="339" w:right="120" w:firstLine="390"/>
        <w:jc w:val="both"/>
        <w:rPr>
          <w:sz w:val="20"/>
          <w:szCs w:val="20"/>
        </w:rPr>
      </w:pPr>
      <w:r>
        <w:rPr>
          <w:spacing w:val="2"/>
          <w:sz w:val="20"/>
          <w:szCs w:val="20"/>
        </w:rPr>
        <w:t>网络传输平台负责信息的传输，一般由传输媒介、传输设备、路由设备、交换设备、有线</w:t>
      </w:r>
      <w:r>
        <w:rPr>
          <w:spacing w:val="15"/>
          <w:sz w:val="20"/>
          <w:szCs w:val="20"/>
        </w:rPr>
        <w:t xml:space="preserve"> </w:t>
      </w:r>
      <w:r>
        <w:rPr>
          <w:spacing w:val="3"/>
          <w:sz w:val="20"/>
          <w:szCs w:val="20"/>
        </w:rPr>
        <w:t>接入设备、无线接入设备和相关系统组成。传统的网络传</w:t>
      </w:r>
      <w:r>
        <w:rPr>
          <w:spacing w:val="2"/>
          <w:sz w:val="20"/>
          <w:szCs w:val="20"/>
        </w:rPr>
        <w:t>输设备是软件和硬件一体，当前的趋</w:t>
      </w:r>
      <w:r>
        <w:rPr>
          <w:sz w:val="20"/>
          <w:szCs w:val="20"/>
        </w:rPr>
        <w:t xml:space="preserve"> </w:t>
      </w:r>
      <w:r>
        <w:rPr>
          <w:spacing w:val="5"/>
          <w:sz w:val="20"/>
          <w:szCs w:val="20"/>
        </w:rPr>
        <w:t>势是软件和硬件分离，例如软件定义网络</w:t>
      </w:r>
      <w:r>
        <w:rPr>
          <w:spacing w:val="-36"/>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Software    Defined</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SDN</w:t>
      </w:r>
      <w:r>
        <w:rPr>
          <w:rFonts w:ascii="Times New Roman" w:hAnsi="Times New Roman" w:eastAsia="Times New Roman" w:cs="Times New Roman"/>
          <w:spacing w:val="5"/>
          <w:sz w:val="20"/>
          <w:szCs w:val="20"/>
        </w:rPr>
        <w:t xml:space="preserve">) </w:t>
      </w:r>
      <w:r>
        <w:rPr>
          <w:spacing w:val="5"/>
          <w:sz w:val="20"/>
          <w:szCs w:val="20"/>
        </w:rPr>
        <w:t>技术就是将传统</w:t>
      </w:r>
      <w:r>
        <w:rPr>
          <w:sz w:val="20"/>
          <w:szCs w:val="20"/>
        </w:rPr>
        <w:t xml:space="preserve"> </w:t>
      </w:r>
      <w:r>
        <w:rPr>
          <w:spacing w:val="1"/>
          <w:sz w:val="20"/>
          <w:szCs w:val="20"/>
        </w:rPr>
        <w:t>的路由、交换设备中的控制功能分离出来，</w:t>
      </w:r>
      <w:r>
        <w:rPr>
          <w:sz w:val="20"/>
          <w:szCs w:val="20"/>
        </w:rPr>
        <w:t>专门设置</w:t>
      </w:r>
      <w:r>
        <w:rPr>
          <w:rFonts w:ascii="Times New Roman" w:hAnsi="Times New Roman" w:eastAsia="Times New Roman" w:cs="Times New Roman"/>
          <w:sz w:val="20"/>
          <w:szCs w:val="20"/>
        </w:rPr>
        <w:t>SDN</w:t>
      </w:r>
      <w:r>
        <w:rPr>
          <w:rFonts w:ascii="Times New Roman" w:hAnsi="Times New Roman" w:eastAsia="Times New Roman" w:cs="Times New Roman"/>
          <w:spacing w:val="22"/>
          <w:w w:val="101"/>
          <w:sz w:val="20"/>
          <w:szCs w:val="20"/>
        </w:rPr>
        <w:t xml:space="preserve"> </w:t>
      </w:r>
      <w:r>
        <w:rPr>
          <w:sz w:val="20"/>
          <w:szCs w:val="20"/>
        </w:rPr>
        <w:t>控制器系统，统一控制基于路由或者</w:t>
      </w:r>
    </w:p>
    <w:p w14:paraId="2EEC753D">
      <w:pPr>
        <w:spacing w:line="278" w:lineRule="auto"/>
        <w:rPr>
          <w:sz w:val="20"/>
          <w:szCs w:val="20"/>
        </w:rPr>
        <w:sectPr>
          <w:pgSz w:w="10310" w:h="13360"/>
          <w:pgMar w:top="400" w:right="1039" w:bottom="400" w:left="500" w:header="0" w:footer="0" w:gutter="0"/>
          <w:cols w:space="720" w:num="1"/>
        </w:sectPr>
      </w:pPr>
    </w:p>
    <w:p w14:paraId="5A29FD63">
      <w:pPr>
        <w:pStyle w:val="2"/>
        <w:jc w:val="right"/>
        <w:rPr>
          <w:rFonts w:ascii="Times New Roman" w:hAnsi="Times New Roman" w:eastAsia="Times New Roman" w:cs="Times New Roman"/>
          <w:sz w:val="22"/>
          <w:szCs w:val="22"/>
        </w:rPr>
      </w:pPr>
      <w:r>
        <w:rPr>
          <w:spacing w:val="5"/>
          <w:sz w:val="19"/>
          <w:szCs w:val="19"/>
        </w:rPr>
        <w:t>第3章</w:t>
      </w:r>
      <w:r>
        <w:rPr>
          <w:spacing w:val="33"/>
          <w:sz w:val="19"/>
          <w:szCs w:val="19"/>
        </w:rPr>
        <w:t xml:space="preserve"> </w:t>
      </w:r>
      <w:r>
        <w:rPr>
          <w:spacing w:val="5"/>
          <w:sz w:val="19"/>
          <w:szCs w:val="19"/>
        </w:rPr>
        <w:t xml:space="preserve">信息网络系统 </w:t>
      </w:r>
      <w:r>
        <w:rPr>
          <w:position w:val="-10"/>
          <w:sz w:val="19"/>
          <w:szCs w:val="19"/>
        </w:rPr>
        <w:drawing>
          <wp:inline distT="0" distB="0" distL="0" distR="0">
            <wp:extent cx="316865" cy="2470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76"/>
                    <a:stretch>
                      <a:fillRect/>
                    </a:stretch>
                  </pic:blipFill>
                  <pic:spPr>
                    <a:xfrm>
                      <a:off x="0" y="0"/>
                      <a:ext cx="317494" cy="247639"/>
                    </a:xfrm>
                    <a:prstGeom prst="rect">
                      <a:avLst/>
                    </a:prstGeom>
                  </pic:spPr>
                </pic:pic>
              </a:graphicData>
            </a:graphic>
          </wp:inline>
        </w:drawing>
      </w:r>
      <w:r>
        <w:rPr>
          <w:rFonts w:ascii="Times New Roman" w:hAnsi="Times New Roman" w:eastAsia="Times New Roman" w:cs="Times New Roman"/>
          <w:spacing w:val="5"/>
          <w:position w:val="-3"/>
          <w:sz w:val="22"/>
          <w:szCs w:val="22"/>
        </w:rPr>
        <w:t>101</w:t>
      </w:r>
    </w:p>
    <w:p w14:paraId="7877E8A7">
      <w:pPr>
        <w:spacing w:line="264" w:lineRule="auto"/>
        <w:rPr>
          <w:rFonts w:ascii="Arial"/>
          <w:sz w:val="21"/>
        </w:rPr>
      </w:pPr>
    </w:p>
    <w:p w14:paraId="3F8A1809">
      <w:pPr>
        <w:pStyle w:val="2"/>
        <w:spacing w:before="62" w:line="219" w:lineRule="auto"/>
        <w:rPr>
          <w:sz w:val="19"/>
          <w:szCs w:val="19"/>
        </w:rPr>
      </w:pPr>
      <w:r>
        <w:rPr>
          <w:spacing w:val="6"/>
          <w:sz w:val="19"/>
          <w:szCs w:val="19"/>
        </w:rPr>
        <w:t>交换设备的数据转发。</w:t>
      </w:r>
    </w:p>
    <w:p w14:paraId="50300FAD">
      <w:pPr>
        <w:pStyle w:val="2"/>
        <w:spacing w:before="231" w:line="219" w:lineRule="auto"/>
        <w:ind w:left="2"/>
        <w:rPr>
          <w:sz w:val="25"/>
          <w:szCs w:val="25"/>
        </w:rPr>
      </w:pPr>
      <w:r>
        <w:rPr>
          <w:b/>
          <w:bCs/>
          <w:color w:val="007AE6"/>
          <w:spacing w:val="-15"/>
          <w:sz w:val="25"/>
          <w:szCs w:val="25"/>
        </w:rPr>
        <w:t>3.3.1</w:t>
      </w:r>
      <w:r>
        <w:rPr>
          <w:color w:val="007AE6"/>
          <w:spacing w:val="-15"/>
          <w:sz w:val="25"/>
          <w:szCs w:val="25"/>
        </w:rPr>
        <w:t xml:space="preserve">  </w:t>
      </w:r>
      <w:r>
        <w:rPr>
          <w:b/>
          <w:bCs/>
          <w:color w:val="007AE6"/>
          <w:spacing w:val="-15"/>
          <w:sz w:val="25"/>
          <w:szCs w:val="25"/>
        </w:rPr>
        <w:t>网络传输平台的一般架构和主要技术</w:t>
      </w:r>
    </w:p>
    <w:p w14:paraId="0670A7AD">
      <w:pPr>
        <w:pStyle w:val="2"/>
        <w:spacing w:before="204" w:line="219" w:lineRule="auto"/>
        <w:ind w:left="399"/>
        <w:rPr>
          <w:sz w:val="19"/>
          <w:szCs w:val="19"/>
        </w:rPr>
      </w:pPr>
      <w:r>
        <w:rPr>
          <w:spacing w:val="9"/>
          <w:sz w:val="19"/>
          <w:szCs w:val="19"/>
        </w:rPr>
        <w:t>网络传输平台的一般架构如图3-8所示。</w:t>
      </w:r>
    </w:p>
    <w:p w14:paraId="5674833B">
      <w:pPr>
        <w:pStyle w:val="2"/>
        <w:spacing w:before="117" w:line="1331" w:lineRule="exact"/>
        <w:ind w:firstLine="1189"/>
      </w:pPr>
      <w:r>
        <w:pict>
          <v:shape id="_x0000_s1196" o:spid="_x0000_s1196" o:spt="202" type="#_x0000_t202" style="position:absolute;left:0pt;margin-left:250.45pt;margin-top:10.3pt;height:13.35pt;width:45.9pt;z-index:251693056;mso-width-relative:page;mso-height-relative:page;" filled="f" stroked="f" coordsize="21600,21600">
            <v:path/>
            <v:fill on="f" focussize="0,0"/>
            <v:stroke on="f"/>
            <v:imagedata o:title=""/>
            <o:lock v:ext="edit" aspectratio="f"/>
            <v:textbox inset="0mm,0mm,0mm,0mm">
              <w:txbxContent>
                <w:p w14:paraId="48A3F1D2">
                  <w:pPr>
                    <w:pStyle w:val="2"/>
                    <w:spacing w:before="20" w:line="220" w:lineRule="auto"/>
                    <w:ind w:left="20"/>
                    <w:rPr>
                      <w:sz w:val="19"/>
                      <w:szCs w:val="19"/>
                    </w:rPr>
                  </w:pPr>
                  <w:r>
                    <w:rPr>
                      <w:rFonts w:ascii="Times New Roman" w:hAnsi="Times New Roman" w:eastAsia="Times New Roman" w:cs="Times New Roman"/>
                      <w:spacing w:val="-11"/>
                      <w:sz w:val="19"/>
                      <w:szCs w:val="19"/>
                    </w:rPr>
                    <w:t>SDN</w:t>
                  </w:r>
                  <w:r>
                    <w:rPr>
                      <w:spacing w:val="-11"/>
                      <w:sz w:val="19"/>
                      <w:szCs w:val="19"/>
                    </w:rPr>
                    <w:t>控制器</w:t>
                  </w:r>
                </w:p>
              </w:txbxContent>
            </v:textbox>
          </v:shape>
        </w:pict>
      </w:r>
      <w:r>
        <w:rPr>
          <w:position w:val="-26"/>
        </w:rPr>
        <w:pict>
          <v:group id="_x0000_s1197" o:spid="_x0000_s1197" o:spt="203" style="height:66.55pt;width:299.55pt;" coordsize="5990,1331">
            <o:lock v:ext="edit"/>
            <v:shape id="_x0000_s1198" o:spid="_x0000_s1198" o:spt="75" type="#_x0000_t75" style="position:absolute;left:0;top:0;height:1331;width:5990;" filled="f" stroked="f" coordsize="21600,21600">
              <v:path/>
              <v:fill on="f" focussize="0,0"/>
              <v:stroke on="f"/>
              <v:imagedata r:id="rId77" o:title=""/>
              <o:lock v:ext="edit" aspectratio="t"/>
            </v:shape>
            <v:shape id="_x0000_s1199" o:spid="_x0000_s1199" o:spt="202" type="#_x0000_t202" style="position:absolute;left:1910;top:797;height:430;width:457;" filled="f" stroked="f" coordsize="21600,21600">
              <v:path/>
              <v:fill on="f" focussize="0,0"/>
              <v:stroke on="f"/>
              <v:imagedata o:title=""/>
              <o:lock v:ext="edit" aspectratio="f"/>
              <v:textbox inset="0mm,0mm,0mm,0mm">
                <w:txbxContent>
                  <w:p w14:paraId="2CA531CC">
                    <w:pPr>
                      <w:spacing w:before="19" w:line="208" w:lineRule="auto"/>
                      <w:ind w:left="29" w:right="20" w:hanging="9"/>
                      <w:rPr>
                        <w:rFonts w:ascii="宋体" w:hAnsi="宋体" w:eastAsia="宋体" w:cs="宋体"/>
                        <w:sz w:val="19"/>
                        <w:szCs w:val="19"/>
                      </w:rPr>
                    </w:pPr>
                    <w:r>
                      <w:rPr>
                        <w:rFonts w:ascii="宋体" w:hAnsi="宋体" w:eastAsia="宋体" w:cs="宋体"/>
                        <w:spacing w:val="-20"/>
                        <w:sz w:val="19"/>
                        <w:szCs w:val="19"/>
                      </w:rPr>
                      <w:t>路由/</w:t>
                    </w:r>
                    <w:r>
                      <w:rPr>
                        <w:rFonts w:ascii="宋体" w:hAnsi="宋体" w:eastAsia="宋体" w:cs="宋体"/>
                        <w:sz w:val="19"/>
                        <w:szCs w:val="19"/>
                      </w:rPr>
                      <w:t xml:space="preserve"> </w:t>
                    </w:r>
                    <w:r>
                      <w:rPr>
                        <w:rFonts w:ascii="宋体" w:hAnsi="宋体" w:eastAsia="宋体" w:cs="宋体"/>
                        <w:spacing w:val="-3"/>
                        <w:sz w:val="19"/>
                        <w:szCs w:val="19"/>
                      </w:rPr>
                      <w:t>交换</w:t>
                    </w:r>
                  </w:p>
                </w:txbxContent>
              </v:textbox>
            </v:shape>
            <v:shape id="_x0000_s1200" o:spid="_x0000_s1200" o:spt="202" type="#_x0000_t202" style="position:absolute;left:3620;top:797;height:430;width:447;" filled="f" stroked="f" coordsize="21600,21600">
              <v:path/>
              <v:fill on="f" focussize="0,0"/>
              <v:stroke on="f"/>
              <v:imagedata o:title=""/>
              <o:lock v:ext="edit" aspectratio="f"/>
              <v:textbox inset="0mm,0mm,0mm,0mm">
                <w:txbxContent>
                  <w:p w14:paraId="7F07EBCE">
                    <w:pPr>
                      <w:spacing w:before="19" w:line="208" w:lineRule="auto"/>
                      <w:ind w:left="49" w:right="20" w:hanging="29"/>
                      <w:rPr>
                        <w:rFonts w:ascii="宋体" w:hAnsi="宋体" w:eastAsia="宋体" w:cs="宋体"/>
                        <w:sz w:val="19"/>
                        <w:szCs w:val="19"/>
                      </w:rPr>
                    </w:pPr>
                    <w:r>
                      <w:rPr>
                        <w:rFonts w:ascii="宋体" w:hAnsi="宋体" w:eastAsia="宋体" w:cs="宋体"/>
                        <w:spacing w:val="-23"/>
                        <w:sz w:val="19"/>
                        <w:szCs w:val="19"/>
                      </w:rPr>
                      <w:t>路由/</w:t>
                    </w:r>
                    <w:r>
                      <w:rPr>
                        <w:rFonts w:ascii="宋体" w:hAnsi="宋体" w:eastAsia="宋体" w:cs="宋体"/>
                        <w:sz w:val="19"/>
                        <w:szCs w:val="19"/>
                      </w:rPr>
                      <w:t xml:space="preserve"> </w:t>
                    </w:r>
                    <w:r>
                      <w:rPr>
                        <w:rFonts w:ascii="宋体" w:hAnsi="宋体" w:eastAsia="宋体" w:cs="宋体"/>
                        <w:spacing w:val="-3"/>
                        <w:sz w:val="19"/>
                        <w:szCs w:val="19"/>
                      </w:rPr>
                      <w:t>交换</w:t>
                    </w:r>
                  </w:p>
                </w:txbxContent>
              </v:textbox>
            </v:shape>
            <v:shape id="_x0000_s1201" o:spid="_x0000_s1201" o:spt="202" type="#_x0000_t202" style="position:absolute;left:4490;top:798;height:450;width:422;" filled="f" stroked="f" coordsize="21600,21600">
              <v:path/>
              <v:fill on="f" focussize="0,0"/>
              <v:stroke on="f"/>
              <v:imagedata o:title=""/>
              <o:lock v:ext="edit" aspectratio="f"/>
              <v:textbox inset="0mm,0mm,0mm,0mm">
                <w:txbxContent>
                  <w:p w14:paraId="2D476F57">
                    <w:pPr>
                      <w:spacing w:before="19" w:line="218" w:lineRule="auto"/>
                      <w:ind w:left="20" w:right="20" w:firstLine="10"/>
                      <w:rPr>
                        <w:rFonts w:ascii="宋体" w:hAnsi="宋体" w:eastAsia="宋体" w:cs="宋体"/>
                        <w:sz w:val="19"/>
                        <w:szCs w:val="19"/>
                      </w:rPr>
                    </w:pPr>
                    <w:r>
                      <w:rPr>
                        <w:rFonts w:ascii="宋体" w:hAnsi="宋体" w:eastAsia="宋体" w:cs="宋体"/>
                        <w:spacing w:val="-5"/>
                        <w:sz w:val="19"/>
                        <w:szCs w:val="19"/>
                      </w:rPr>
                      <w:t>有线</w:t>
                    </w:r>
                    <w:r>
                      <w:rPr>
                        <w:rFonts w:ascii="宋体" w:hAnsi="宋体" w:eastAsia="宋体" w:cs="宋体"/>
                        <w:sz w:val="19"/>
                        <w:szCs w:val="19"/>
                      </w:rPr>
                      <w:t xml:space="preserve"> </w:t>
                    </w:r>
                    <w:r>
                      <w:rPr>
                        <w:rFonts w:ascii="宋体" w:hAnsi="宋体" w:eastAsia="宋体" w:cs="宋体"/>
                        <w:spacing w:val="-2"/>
                        <w:sz w:val="19"/>
                        <w:szCs w:val="19"/>
                      </w:rPr>
                      <w:t>接入</w:t>
                    </w:r>
                  </w:p>
                </w:txbxContent>
              </v:textbox>
            </v:shape>
            <v:shape id="_x0000_s1202" o:spid="_x0000_s1202" o:spt="202" type="#_x0000_t202" style="position:absolute;left:1080;top:798;height:440;width:412;" filled="f" stroked="f" coordsize="21600,21600">
              <v:path/>
              <v:fill on="f" focussize="0,0"/>
              <v:stroke on="f"/>
              <v:imagedata o:title=""/>
              <o:lock v:ext="edit" aspectratio="f"/>
              <v:textbox inset="0mm,0mm,0mm,0mm">
                <w:txbxContent>
                  <w:p w14:paraId="34F31377">
                    <w:pPr>
                      <w:spacing w:before="19" w:line="213" w:lineRule="auto"/>
                      <w:ind w:left="20" w:right="20"/>
                      <w:rPr>
                        <w:rFonts w:ascii="宋体" w:hAnsi="宋体" w:eastAsia="宋体" w:cs="宋体"/>
                        <w:sz w:val="19"/>
                        <w:szCs w:val="19"/>
                      </w:rPr>
                    </w:pPr>
                    <w:r>
                      <w:rPr>
                        <w:rFonts w:ascii="宋体" w:hAnsi="宋体" w:eastAsia="宋体" w:cs="宋体"/>
                        <w:spacing w:val="-5"/>
                        <w:sz w:val="19"/>
                        <w:szCs w:val="19"/>
                      </w:rPr>
                      <w:t>无线</w:t>
                    </w:r>
                    <w:r>
                      <w:rPr>
                        <w:rFonts w:ascii="宋体" w:hAnsi="宋体" w:eastAsia="宋体" w:cs="宋体"/>
                        <w:sz w:val="19"/>
                        <w:szCs w:val="19"/>
                      </w:rPr>
                      <w:t xml:space="preserve"> </w:t>
                    </w:r>
                    <w:r>
                      <w:rPr>
                        <w:rFonts w:ascii="宋体" w:hAnsi="宋体" w:eastAsia="宋体" w:cs="宋体"/>
                        <w:spacing w:val="-9"/>
                        <w:sz w:val="19"/>
                        <w:szCs w:val="19"/>
                      </w:rPr>
                      <w:t>接入</w:t>
                    </w:r>
                  </w:p>
                </w:txbxContent>
              </v:textbox>
            </v:shape>
            <v:shape id="_x0000_s1203" o:spid="_x0000_s1203" o:spt="202" type="#_x0000_t202" style="position:absolute;left:130;top:897;height:230;width:580;" filled="f" stroked="f" coordsize="21600,21600">
              <v:path/>
              <v:fill on="f" focussize="0,0"/>
              <v:stroke on="f"/>
              <v:imagedata o:title=""/>
              <o:lock v:ext="edit" aspectratio="f"/>
              <v:textbox inset="0mm,0mm,0mm,0mm">
                <w:txbxContent>
                  <w:p w14:paraId="16F4A2A6">
                    <w:pPr>
                      <w:spacing w:before="20" w:line="219" w:lineRule="auto"/>
                      <w:ind w:left="20"/>
                      <w:rPr>
                        <w:rFonts w:ascii="宋体" w:hAnsi="宋体" w:eastAsia="宋体" w:cs="宋体"/>
                        <w:sz w:val="19"/>
                        <w:szCs w:val="19"/>
                      </w:rPr>
                    </w:pPr>
                    <w:r>
                      <w:rPr>
                        <w:rFonts w:ascii="宋体" w:hAnsi="宋体" w:eastAsia="宋体" w:cs="宋体"/>
                        <w:spacing w:val="-7"/>
                        <w:sz w:val="19"/>
                        <w:szCs w:val="19"/>
                      </w:rPr>
                      <w:t>用户端</w:t>
                    </w:r>
                  </w:p>
                </w:txbxContent>
              </v:textbox>
            </v:shape>
            <v:shape id="_x0000_s1204" o:spid="_x0000_s1204" o:spt="202" type="#_x0000_t202" style="position:absolute;left:5270;top:907;height:230;width:559;" filled="f" stroked="f" coordsize="21600,21600">
              <v:path/>
              <v:fill on="f" focussize="0,0"/>
              <v:stroke on="f"/>
              <v:imagedata o:title=""/>
              <o:lock v:ext="edit" aspectratio="f"/>
              <v:textbox inset="0mm,0mm,0mm,0mm">
                <w:txbxContent>
                  <w:p w14:paraId="1D37AB71">
                    <w:pPr>
                      <w:spacing w:before="20" w:line="219" w:lineRule="auto"/>
                      <w:ind w:right="2"/>
                      <w:jc w:val="right"/>
                      <w:rPr>
                        <w:rFonts w:ascii="宋体" w:hAnsi="宋体" w:eastAsia="宋体" w:cs="宋体"/>
                        <w:sz w:val="19"/>
                        <w:szCs w:val="19"/>
                      </w:rPr>
                    </w:pPr>
                    <w:r>
                      <w:rPr>
                        <w:rFonts w:ascii="宋体" w:hAnsi="宋体" w:eastAsia="宋体" w:cs="宋体"/>
                        <w:spacing w:val="-12"/>
                        <w:sz w:val="19"/>
                        <w:szCs w:val="19"/>
                      </w:rPr>
                      <w:t>用户端</w:t>
                    </w:r>
                  </w:p>
                </w:txbxContent>
              </v:textbox>
            </v:shape>
            <v:shape id="_x0000_s1205" o:spid="_x0000_s1205" o:spt="202" type="#_x0000_t202" style="position:absolute;left:2790;top:907;height:230;width:387;" filled="f" stroked="f" coordsize="21600,21600">
              <v:path/>
              <v:fill on="f" focussize="0,0"/>
              <v:stroke on="f"/>
              <v:imagedata o:title=""/>
              <o:lock v:ext="edit" aspectratio="f"/>
              <v:textbox inset="0mm,0mm,0mm,0mm">
                <w:txbxContent>
                  <w:p w14:paraId="69249296">
                    <w:pPr>
                      <w:spacing w:before="19" w:line="219" w:lineRule="auto"/>
                      <w:ind w:left="20"/>
                      <w:rPr>
                        <w:rFonts w:ascii="宋体" w:hAnsi="宋体" w:eastAsia="宋体" w:cs="宋体"/>
                        <w:sz w:val="19"/>
                        <w:szCs w:val="19"/>
                      </w:rPr>
                    </w:pPr>
                    <w:r>
                      <w:rPr>
                        <w:rFonts w:ascii="宋体" w:hAnsi="宋体" w:eastAsia="宋体" w:cs="宋体"/>
                        <w:spacing w:val="-9"/>
                        <w:sz w:val="19"/>
                        <w:szCs w:val="19"/>
                      </w:rPr>
                      <w:t>传输</w:t>
                    </w:r>
                  </w:p>
                </w:txbxContent>
              </v:textbox>
            </v:shape>
            <w10:wrap type="none"/>
            <w10:anchorlock/>
          </v:group>
        </w:pict>
      </w:r>
    </w:p>
    <w:p w14:paraId="63AEDD9E">
      <w:pPr>
        <w:pStyle w:val="2"/>
        <w:spacing w:before="96" w:line="219" w:lineRule="auto"/>
        <w:ind w:left="2889"/>
        <w:rPr>
          <w:sz w:val="19"/>
          <w:szCs w:val="19"/>
        </w:rPr>
      </w:pPr>
      <w:r>
        <w:rPr>
          <w:spacing w:val="-9"/>
          <w:sz w:val="19"/>
          <w:szCs w:val="19"/>
        </w:rPr>
        <w:t>图3-8</w:t>
      </w:r>
      <w:r>
        <w:rPr>
          <w:spacing w:val="89"/>
          <w:sz w:val="19"/>
          <w:szCs w:val="19"/>
        </w:rPr>
        <w:t xml:space="preserve"> </w:t>
      </w:r>
      <w:r>
        <w:rPr>
          <w:spacing w:val="-9"/>
          <w:sz w:val="19"/>
          <w:szCs w:val="19"/>
        </w:rPr>
        <w:t>网络传输平台架构示意图</w:t>
      </w:r>
    </w:p>
    <w:p w14:paraId="46179F99">
      <w:pPr>
        <w:spacing w:before="291" w:line="222" w:lineRule="auto"/>
        <w:ind w:left="399"/>
        <w:rPr>
          <w:rFonts w:ascii="楷体" w:hAnsi="楷体" w:eastAsia="楷体" w:cs="楷体"/>
          <w:sz w:val="19"/>
          <w:szCs w:val="19"/>
        </w:rPr>
      </w:pPr>
      <w:r>
        <w:rPr>
          <w:rFonts w:ascii="楷体" w:hAnsi="楷体" w:eastAsia="楷体" w:cs="楷体"/>
          <w:spacing w:val="17"/>
          <w:sz w:val="19"/>
          <w:szCs w:val="19"/>
        </w:rPr>
        <w:t>1)网络传输媒介</w:t>
      </w:r>
    </w:p>
    <w:p w14:paraId="53811A32">
      <w:pPr>
        <w:pStyle w:val="2"/>
        <w:spacing w:before="87" w:line="263" w:lineRule="auto"/>
        <w:ind w:right="364" w:firstLine="399"/>
        <w:rPr>
          <w:sz w:val="19"/>
          <w:szCs w:val="19"/>
        </w:rPr>
      </w:pPr>
      <w:r>
        <w:rPr>
          <w:spacing w:val="18"/>
          <w:sz w:val="19"/>
          <w:szCs w:val="19"/>
        </w:rPr>
        <w:t>网络传输媒介是指在传输系统中，借助电磁波能量承载的信号将数据由发送端传输到接</w:t>
      </w:r>
      <w:r>
        <w:rPr>
          <w:spacing w:val="12"/>
          <w:sz w:val="19"/>
          <w:szCs w:val="19"/>
        </w:rPr>
        <w:t xml:space="preserve"> </w:t>
      </w:r>
      <w:r>
        <w:rPr>
          <w:spacing w:val="-4"/>
          <w:sz w:val="22"/>
          <w:szCs w:val="22"/>
        </w:rPr>
        <w:t>收端的媒介，处于</w:t>
      </w:r>
      <w:r>
        <w:rPr>
          <w:rFonts w:ascii="Times New Roman" w:hAnsi="Times New Roman" w:eastAsia="Times New Roman" w:cs="Times New Roman"/>
          <w:spacing w:val="-4"/>
          <w:sz w:val="22"/>
          <w:szCs w:val="22"/>
        </w:rPr>
        <w:t>OSI</w:t>
      </w:r>
      <w:r>
        <w:rPr>
          <w:spacing w:val="-4"/>
          <w:sz w:val="22"/>
          <w:szCs w:val="22"/>
        </w:rPr>
        <w:t>的物理层。传输媒介一般分为</w:t>
      </w:r>
      <w:r>
        <w:rPr>
          <w:spacing w:val="-5"/>
          <w:sz w:val="22"/>
          <w:szCs w:val="22"/>
        </w:rPr>
        <w:t>有线和无线两大类，有线媒介包括光</w:t>
      </w:r>
      <w:r>
        <w:rPr>
          <w:sz w:val="22"/>
          <w:szCs w:val="22"/>
        </w:rPr>
        <w:t xml:space="preserve"> </w:t>
      </w:r>
      <w:r>
        <w:rPr>
          <w:spacing w:val="-2"/>
          <w:sz w:val="22"/>
          <w:szCs w:val="22"/>
        </w:rPr>
        <w:t>纤、双绞线、同轴电缆等；无线媒介一般按照波长来区分，包括长波(3～30</w:t>
      </w:r>
      <w:r>
        <w:rPr>
          <w:rFonts w:ascii="Times New Roman" w:hAnsi="Times New Roman" w:eastAsia="Times New Roman" w:cs="Times New Roman"/>
          <w:spacing w:val="-2"/>
          <w:sz w:val="22"/>
          <w:szCs w:val="22"/>
        </w:rPr>
        <w:t>kHz)</w:t>
      </w:r>
      <w:r>
        <w:rPr>
          <w:rFonts w:ascii="Times New Roman" w:hAnsi="Times New Roman" w:eastAsia="Times New Roman" w:cs="Times New Roman"/>
          <w:spacing w:val="-22"/>
          <w:sz w:val="22"/>
          <w:szCs w:val="22"/>
        </w:rPr>
        <w:t xml:space="preserve"> </w:t>
      </w:r>
      <w:r>
        <w:rPr>
          <w:spacing w:val="-2"/>
          <w:sz w:val="22"/>
          <w:szCs w:val="22"/>
        </w:rPr>
        <w:t>、中波</w:t>
      </w:r>
      <w:r>
        <w:rPr>
          <w:sz w:val="22"/>
          <w:szCs w:val="22"/>
        </w:rPr>
        <w:t xml:space="preserve"> </w:t>
      </w:r>
      <w:r>
        <w:rPr>
          <w:rFonts w:ascii="Times New Roman" w:hAnsi="Times New Roman" w:eastAsia="Times New Roman" w:cs="Times New Roman"/>
          <w:spacing w:val="6"/>
          <w:sz w:val="19"/>
          <w:szCs w:val="19"/>
        </w:rPr>
        <w:t>(0.03</w:t>
      </w:r>
      <w:r>
        <w:rPr>
          <w:spacing w:val="6"/>
          <w:sz w:val="19"/>
          <w:szCs w:val="19"/>
        </w:rPr>
        <w:t>～</w:t>
      </w:r>
      <w:r>
        <w:rPr>
          <w:rFonts w:ascii="Times New Roman" w:hAnsi="Times New Roman" w:eastAsia="Times New Roman" w:cs="Times New Roman"/>
          <w:spacing w:val="6"/>
          <w:sz w:val="19"/>
          <w:szCs w:val="19"/>
        </w:rPr>
        <w:t>3</w:t>
      </w:r>
      <w:r>
        <w:rPr>
          <w:rFonts w:ascii="Times New Roman" w:hAnsi="Times New Roman" w:eastAsia="Times New Roman" w:cs="Times New Roman"/>
          <w:sz w:val="19"/>
          <w:szCs w:val="19"/>
        </w:rPr>
        <w:t>MHz</w:t>
      </w:r>
      <w:r>
        <w:rPr>
          <w:rFonts w:ascii="Times New Roman" w:hAnsi="Times New Roman" w:eastAsia="Times New Roman" w:cs="Times New Roman"/>
          <w:spacing w:val="6"/>
          <w:sz w:val="19"/>
          <w:szCs w:val="19"/>
        </w:rPr>
        <w:t>)</w:t>
      </w:r>
      <w:r>
        <w:rPr>
          <w:rFonts w:ascii="Times New Roman" w:hAnsi="Times New Roman" w:eastAsia="Times New Roman" w:cs="Times New Roman"/>
          <w:spacing w:val="-27"/>
          <w:sz w:val="19"/>
          <w:szCs w:val="19"/>
        </w:rPr>
        <w:t xml:space="preserve"> </w:t>
      </w:r>
      <w:r>
        <w:rPr>
          <w:spacing w:val="6"/>
          <w:sz w:val="19"/>
          <w:szCs w:val="19"/>
        </w:rPr>
        <w:t>、</w:t>
      </w:r>
      <w:r>
        <w:rPr>
          <w:spacing w:val="31"/>
          <w:sz w:val="19"/>
          <w:szCs w:val="19"/>
        </w:rPr>
        <w:t xml:space="preserve">  </w:t>
      </w:r>
      <w:r>
        <w:rPr>
          <w:spacing w:val="6"/>
          <w:sz w:val="19"/>
          <w:szCs w:val="19"/>
        </w:rPr>
        <w:t>短</w:t>
      </w:r>
      <w:r>
        <w:rPr>
          <w:spacing w:val="-37"/>
          <w:sz w:val="19"/>
          <w:szCs w:val="19"/>
        </w:rPr>
        <w:t xml:space="preserve"> </w:t>
      </w:r>
      <w:r>
        <w:rPr>
          <w:spacing w:val="6"/>
          <w:sz w:val="19"/>
          <w:szCs w:val="19"/>
        </w:rPr>
        <w:t>波 (</w:t>
      </w:r>
      <w:r>
        <w:rPr>
          <w:spacing w:val="-36"/>
          <w:sz w:val="19"/>
          <w:szCs w:val="19"/>
        </w:rPr>
        <w:t xml:space="preserve"> </w:t>
      </w:r>
      <w:r>
        <w:rPr>
          <w:spacing w:val="6"/>
          <w:sz w:val="19"/>
          <w:szCs w:val="19"/>
        </w:rPr>
        <w:t>3</w:t>
      </w:r>
      <w:r>
        <w:rPr>
          <w:spacing w:val="-33"/>
          <w:sz w:val="19"/>
          <w:szCs w:val="19"/>
        </w:rPr>
        <w:t xml:space="preserve"> </w:t>
      </w:r>
      <w:r>
        <w:rPr>
          <w:spacing w:val="6"/>
          <w:sz w:val="19"/>
          <w:szCs w:val="19"/>
        </w:rPr>
        <w:t>～</w:t>
      </w:r>
      <w:r>
        <w:rPr>
          <w:spacing w:val="-36"/>
          <w:sz w:val="19"/>
          <w:szCs w:val="19"/>
        </w:rPr>
        <w:t xml:space="preserve"> </w:t>
      </w:r>
      <w:r>
        <w:rPr>
          <w:spacing w:val="6"/>
          <w:sz w:val="19"/>
          <w:szCs w:val="19"/>
        </w:rPr>
        <w:t>3</w:t>
      </w:r>
      <w:r>
        <w:rPr>
          <w:spacing w:val="-38"/>
          <w:sz w:val="19"/>
          <w:szCs w:val="19"/>
        </w:rPr>
        <w:t xml:space="preserve"> </w:t>
      </w:r>
      <w:r>
        <w:rPr>
          <w:spacing w:val="6"/>
          <w:sz w:val="19"/>
          <w:szCs w:val="19"/>
        </w:rPr>
        <w:t>0</w:t>
      </w:r>
      <w:r>
        <w:rPr>
          <w:rFonts w:ascii="Times New Roman" w:hAnsi="Times New Roman" w:eastAsia="Times New Roman" w:cs="Times New Roman"/>
          <w:sz w:val="19"/>
          <w:szCs w:val="19"/>
        </w:rPr>
        <w:t>MHz</w:t>
      </w:r>
      <w:r>
        <w:rPr>
          <w:rFonts w:ascii="Times New Roman" w:hAnsi="Times New Roman" w:eastAsia="Times New Roman" w:cs="Times New Roman"/>
          <w:spacing w:val="6"/>
          <w:sz w:val="19"/>
          <w:szCs w:val="19"/>
        </w:rPr>
        <w:t>)</w:t>
      </w:r>
      <w:r>
        <w:rPr>
          <w:rFonts w:ascii="Times New Roman" w:hAnsi="Times New Roman" w:eastAsia="Times New Roman" w:cs="Times New Roman"/>
          <w:spacing w:val="-27"/>
          <w:sz w:val="19"/>
          <w:szCs w:val="19"/>
        </w:rPr>
        <w:t xml:space="preserve"> </w:t>
      </w:r>
      <w:r>
        <w:rPr>
          <w:spacing w:val="6"/>
          <w:sz w:val="19"/>
          <w:szCs w:val="19"/>
        </w:rPr>
        <w:t>、</w:t>
      </w:r>
      <w:r>
        <w:rPr>
          <w:spacing w:val="-25"/>
          <w:sz w:val="19"/>
          <w:szCs w:val="19"/>
        </w:rPr>
        <w:t xml:space="preserve"> </w:t>
      </w:r>
      <w:r>
        <w:rPr>
          <w:spacing w:val="6"/>
          <w:sz w:val="19"/>
          <w:szCs w:val="19"/>
        </w:rPr>
        <w:t>超</w:t>
      </w:r>
      <w:r>
        <w:rPr>
          <w:spacing w:val="5"/>
          <w:sz w:val="19"/>
          <w:szCs w:val="19"/>
        </w:rPr>
        <w:t>短波(30～300</w:t>
      </w:r>
      <w:r>
        <w:rPr>
          <w:rFonts w:ascii="Times New Roman" w:hAnsi="Times New Roman" w:eastAsia="Times New Roman" w:cs="Times New Roman"/>
          <w:sz w:val="19"/>
          <w:szCs w:val="19"/>
        </w:rPr>
        <w:t>MHz</w:t>
      </w:r>
      <w:r>
        <w:rPr>
          <w:rFonts w:ascii="Times New Roman" w:hAnsi="Times New Roman" w:eastAsia="Times New Roman" w:cs="Times New Roman"/>
          <w:spacing w:val="5"/>
          <w:sz w:val="19"/>
          <w:szCs w:val="19"/>
        </w:rPr>
        <w:t>)</w:t>
      </w:r>
      <w:r>
        <w:rPr>
          <w:rFonts w:ascii="Times New Roman" w:hAnsi="Times New Roman" w:eastAsia="Times New Roman" w:cs="Times New Roman"/>
          <w:spacing w:val="-27"/>
          <w:sz w:val="19"/>
          <w:szCs w:val="19"/>
        </w:rPr>
        <w:t xml:space="preserve"> </w:t>
      </w:r>
      <w:r>
        <w:rPr>
          <w:spacing w:val="5"/>
          <w:sz w:val="19"/>
          <w:szCs w:val="19"/>
        </w:rPr>
        <w:t>、</w:t>
      </w:r>
      <w:r>
        <w:rPr>
          <w:spacing w:val="-25"/>
          <w:sz w:val="19"/>
          <w:szCs w:val="19"/>
        </w:rPr>
        <w:t xml:space="preserve"> </w:t>
      </w:r>
      <w:r>
        <w:rPr>
          <w:spacing w:val="5"/>
          <w:sz w:val="19"/>
          <w:szCs w:val="19"/>
        </w:rPr>
        <w:t>微波(0</w:t>
      </w:r>
      <w:r>
        <w:rPr>
          <w:spacing w:val="-53"/>
          <w:sz w:val="19"/>
          <w:szCs w:val="19"/>
        </w:rPr>
        <w:t xml:space="preserve"> </w:t>
      </w:r>
      <w:r>
        <w:rPr>
          <w:spacing w:val="5"/>
          <w:sz w:val="19"/>
          <w:szCs w:val="19"/>
        </w:rPr>
        <w:t>.</w:t>
      </w:r>
      <w:r>
        <w:rPr>
          <w:spacing w:val="-55"/>
          <w:sz w:val="19"/>
          <w:szCs w:val="19"/>
        </w:rPr>
        <w:t xml:space="preserve"> </w:t>
      </w:r>
      <w:r>
        <w:rPr>
          <w:spacing w:val="5"/>
          <w:sz w:val="19"/>
          <w:szCs w:val="19"/>
        </w:rPr>
        <w:t>3～300</w:t>
      </w:r>
      <w:r>
        <w:rPr>
          <w:rFonts w:ascii="Times New Roman" w:hAnsi="Times New Roman" w:eastAsia="Times New Roman" w:cs="Times New Roman"/>
          <w:sz w:val="19"/>
          <w:szCs w:val="19"/>
        </w:rPr>
        <w:t>GHz</w:t>
      </w:r>
      <w:r>
        <w:rPr>
          <w:rFonts w:ascii="Times New Roman" w:hAnsi="Times New Roman" w:eastAsia="Times New Roman" w:cs="Times New Roman"/>
          <w:spacing w:val="5"/>
          <w:sz w:val="19"/>
          <w:szCs w:val="19"/>
        </w:rPr>
        <w:t>)</w:t>
      </w:r>
      <w:r>
        <w:rPr>
          <w:rFonts w:ascii="Times New Roman" w:hAnsi="Times New Roman" w:eastAsia="Times New Roman" w:cs="Times New Roman"/>
          <w:spacing w:val="20"/>
          <w:sz w:val="19"/>
          <w:szCs w:val="19"/>
        </w:rPr>
        <w:t xml:space="preserve">  </w:t>
      </w:r>
      <w:r>
        <w:rPr>
          <w:spacing w:val="5"/>
          <w:sz w:val="19"/>
          <w:szCs w:val="19"/>
        </w:rPr>
        <w:t>等</w:t>
      </w:r>
      <w:r>
        <w:rPr>
          <w:spacing w:val="-34"/>
          <w:sz w:val="19"/>
          <w:szCs w:val="19"/>
        </w:rPr>
        <w:t xml:space="preserve"> </w:t>
      </w:r>
      <w:r>
        <w:rPr>
          <w:spacing w:val="5"/>
          <w:sz w:val="19"/>
          <w:szCs w:val="19"/>
        </w:rPr>
        <w:t>。</w:t>
      </w:r>
    </w:p>
    <w:p w14:paraId="48D732F3">
      <w:pPr>
        <w:spacing w:before="174" w:line="230" w:lineRule="auto"/>
        <w:ind w:left="399"/>
        <w:rPr>
          <w:rFonts w:ascii="楷体" w:hAnsi="楷体" w:eastAsia="楷体" w:cs="楷体"/>
          <w:sz w:val="19"/>
          <w:szCs w:val="19"/>
        </w:rPr>
      </w:pPr>
      <w:r>
        <w:rPr>
          <w:rFonts w:ascii="楷体" w:hAnsi="楷体" w:eastAsia="楷体" w:cs="楷体"/>
          <w:spacing w:val="21"/>
          <w:sz w:val="19"/>
          <w:szCs w:val="19"/>
        </w:rPr>
        <w:t>2)网络传输技术</w:t>
      </w:r>
    </w:p>
    <w:p w14:paraId="4FEA5BD1">
      <w:pPr>
        <w:pStyle w:val="2"/>
        <w:spacing w:before="69" w:line="285" w:lineRule="auto"/>
        <w:ind w:right="344" w:firstLine="399"/>
        <w:rPr>
          <w:sz w:val="19"/>
          <w:szCs w:val="19"/>
        </w:rPr>
      </w:pPr>
      <w:r>
        <w:rPr>
          <w:spacing w:val="13"/>
          <w:sz w:val="19"/>
          <w:szCs w:val="19"/>
        </w:rPr>
        <w:t>网络传输数据带宽、传输线路调度的灵活性、传输故障响应和切换的时效等，都反映通信</w:t>
      </w:r>
      <w:r>
        <w:rPr>
          <w:spacing w:val="5"/>
          <w:sz w:val="19"/>
          <w:szCs w:val="19"/>
        </w:rPr>
        <w:t xml:space="preserve"> </w:t>
      </w:r>
      <w:r>
        <w:rPr>
          <w:spacing w:val="13"/>
          <w:sz w:val="19"/>
          <w:szCs w:val="19"/>
        </w:rPr>
        <w:t>网络的最底层承载能力。目前常用的网络传输技术包括基于</w:t>
      </w:r>
      <w:r>
        <w:rPr>
          <w:spacing w:val="12"/>
          <w:sz w:val="19"/>
          <w:szCs w:val="19"/>
        </w:rPr>
        <w:t>光纤的同步数字序列(</w:t>
      </w:r>
      <w:r>
        <w:rPr>
          <w:sz w:val="19"/>
          <w:szCs w:val="19"/>
        </w:rPr>
        <w:t xml:space="preserve">Synchronous  </w:t>
      </w:r>
      <w:r>
        <w:rPr>
          <w:rFonts w:ascii="Times New Roman" w:hAnsi="Times New Roman" w:eastAsia="Times New Roman" w:cs="Times New Roman"/>
          <w:sz w:val="19"/>
          <w:szCs w:val="19"/>
        </w:rPr>
        <w:t>Digital</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z w:val="19"/>
          <w:szCs w:val="19"/>
        </w:rPr>
        <w:t>Hierarchy</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SDH</w:t>
      </w:r>
      <w:r>
        <w:rPr>
          <w:rFonts w:ascii="Times New Roman" w:hAnsi="Times New Roman" w:eastAsia="Times New Roman" w:cs="Times New Roman"/>
          <w:spacing w:val="3"/>
          <w:sz w:val="19"/>
          <w:szCs w:val="19"/>
        </w:rPr>
        <w:t>)</w:t>
      </w:r>
      <w:r>
        <w:rPr>
          <w:spacing w:val="3"/>
          <w:sz w:val="19"/>
          <w:szCs w:val="19"/>
        </w:rPr>
        <w:t>、准同步数字序列</w:t>
      </w:r>
      <w:r>
        <w:rPr>
          <w:spacing w:val="-32"/>
          <w:sz w:val="19"/>
          <w:szCs w:val="19"/>
        </w:rPr>
        <w:t xml:space="preserve"> </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Plesiochronous</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z w:val="19"/>
          <w:szCs w:val="19"/>
        </w:rPr>
        <w:t>Digital</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z w:val="19"/>
          <w:szCs w:val="19"/>
        </w:rPr>
        <w:t>Hierarchy</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PDH</w:t>
      </w:r>
      <w:r>
        <w:rPr>
          <w:rFonts w:ascii="Times New Roman" w:hAnsi="Times New Roman" w:eastAsia="Times New Roman" w:cs="Times New Roman"/>
          <w:spacing w:val="3"/>
          <w:sz w:val="19"/>
          <w:szCs w:val="19"/>
        </w:rPr>
        <w:t>)</w:t>
      </w:r>
      <w:r>
        <w:rPr>
          <w:spacing w:val="3"/>
          <w:sz w:val="19"/>
          <w:szCs w:val="19"/>
        </w:rPr>
        <w:t>、密</w:t>
      </w:r>
      <w:r>
        <w:rPr>
          <w:spacing w:val="-44"/>
          <w:sz w:val="19"/>
          <w:szCs w:val="19"/>
        </w:rPr>
        <w:t xml:space="preserve"> </w:t>
      </w:r>
      <w:r>
        <w:rPr>
          <w:spacing w:val="3"/>
          <w:sz w:val="19"/>
          <w:szCs w:val="19"/>
        </w:rPr>
        <w:t>集</w:t>
      </w:r>
      <w:r>
        <w:rPr>
          <w:spacing w:val="-43"/>
          <w:sz w:val="19"/>
          <w:szCs w:val="19"/>
        </w:rPr>
        <w:t xml:space="preserve"> </w:t>
      </w:r>
      <w:r>
        <w:rPr>
          <w:spacing w:val="3"/>
          <w:sz w:val="19"/>
          <w:szCs w:val="19"/>
        </w:rPr>
        <w:t>波</w:t>
      </w:r>
      <w:r>
        <w:rPr>
          <w:sz w:val="19"/>
          <w:szCs w:val="19"/>
        </w:rPr>
        <w:t xml:space="preserve"> </w:t>
      </w:r>
      <w:r>
        <w:rPr>
          <w:spacing w:val="13"/>
          <w:sz w:val="19"/>
          <w:szCs w:val="19"/>
        </w:rPr>
        <w:t>分复用</w:t>
      </w:r>
      <w:r>
        <w:rPr>
          <w:spacing w:val="-15"/>
          <w:sz w:val="19"/>
          <w:szCs w:val="19"/>
        </w:rPr>
        <w:t xml:space="preserve"> </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Dense</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z w:val="19"/>
          <w:szCs w:val="19"/>
        </w:rPr>
        <w:t>Wavelength</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z w:val="19"/>
          <w:szCs w:val="19"/>
        </w:rPr>
        <w:t>Division</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z w:val="19"/>
          <w:szCs w:val="19"/>
        </w:rPr>
        <w:t>Multiplexer</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DWDM</w:t>
      </w:r>
      <w:r>
        <w:rPr>
          <w:rFonts w:ascii="Times New Roman" w:hAnsi="Times New Roman" w:eastAsia="Times New Roman" w:cs="Times New Roman"/>
          <w:spacing w:val="13"/>
          <w:sz w:val="19"/>
          <w:szCs w:val="19"/>
        </w:rPr>
        <w:t>)</w:t>
      </w:r>
      <w:r>
        <w:rPr>
          <w:rFonts w:ascii="Times New Roman" w:hAnsi="Times New Roman" w:eastAsia="Times New Roman" w:cs="Times New Roman"/>
          <w:spacing w:val="35"/>
          <w:w w:val="101"/>
          <w:sz w:val="19"/>
          <w:szCs w:val="19"/>
        </w:rPr>
        <w:t xml:space="preserve"> </w:t>
      </w:r>
      <w:r>
        <w:rPr>
          <w:spacing w:val="13"/>
          <w:sz w:val="19"/>
          <w:szCs w:val="19"/>
        </w:rPr>
        <w:t>等，基于同轴电缆的混合光纤同轴</w:t>
      </w:r>
    </w:p>
    <w:p w14:paraId="570D024D">
      <w:pPr>
        <w:pStyle w:val="2"/>
        <w:spacing w:before="47" w:line="212" w:lineRule="auto"/>
        <w:rPr>
          <w:rFonts w:ascii="Times New Roman" w:hAnsi="Times New Roman" w:eastAsia="Times New Roman" w:cs="Times New Roman"/>
          <w:sz w:val="19"/>
          <w:szCs w:val="19"/>
        </w:rPr>
      </w:pPr>
      <w:r>
        <w:rPr>
          <w:spacing w:val="6"/>
          <w:sz w:val="19"/>
          <w:szCs w:val="19"/>
        </w:rPr>
        <w:t>电</w:t>
      </w:r>
      <w:r>
        <w:rPr>
          <w:spacing w:val="-38"/>
          <w:sz w:val="19"/>
          <w:szCs w:val="19"/>
        </w:rPr>
        <w:t xml:space="preserve"> </w:t>
      </w:r>
      <w:r>
        <w:rPr>
          <w:spacing w:val="6"/>
          <w:sz w:val="19"/>
          <w:szCs w:val="19"/>
        </w:rPr>
        <w:t>缆</w:t>
      </w:r>
      <w:r>
        <w:rPr>
          <w:spacing w:val="-34"/>
          <w:sz w:val="19"/>
          <w:szCs w:val="19"/>
        </w:rPr>
        <w:t xml:space="preserve"> </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Hybrid</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Fiber</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Coaxial</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HFC</w:t>
      </w:r>
      <w:r>
        <w:rPr>
          <w:rFonts w:ascii="Times New Roman" w:hAnsi="Times New Roman" w:eastAsia="Times New Roman" w:cs="Times New Roman"/>
          <w:spacing w:val="6"/>
          <w:sz w:val="19"/>
          <w:szCs w:val="19"/>
        </w:rPr>
        <w:t>),</w:t>
      </w:r>
      <w:r>
        <w:rPr>
          <w:rFonts w:ascii="Times New Roman" w:hAnsi="Times New Roman" w:eastAsia="Times New Roman" w:cs="Times New Roman"/>
          <w:spacing w:val="13"/>
          <w:sz w:val="19"/>
          <w:szCs w:val="19"/>
        </w:rPr>
        <w:t xml:space="preserve"> </w:t>
      </w:r>
      <w:r>
        <w:rPr>
          <w:spacing w:val="6"/>
          <w:sz w:val="19"/>
          <w:szCs w:val="19"/>
        </w:rPr>
        <w:t>基于无线媒介的</w:t>
      </w:r>
      <w:r>
        <w:rPr>
          <w:rFonts w:ascii="Times New Roman" w:hAnsi="Times New Roman" w:eastAsia="Times New Roman" w:cs="Times New Roman"/>
          <w:sz w:val="19"/>
          <w:szCs w:val="19"/>
        </w:rPr>
        <w:t>Wi</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Fi</w:t>
      </w:r>
      <w:r>
        <w:rPr>
          <w:rFonts w:ascii="Times New Roman" w:hAnsi="Times New Roman" w:eastAsia="Times New Roman" w:cs="Times New Roman"/>
          <w:spacing w:val="-27"/>
          <w:sz w:val="19"/>
          <w:szCs w:val="19"/>
        </w:rPr>
        <w:t xml:space="preserve"> </w:t>
      </w:r>
      <w:r>
        <w:rPr>
          <w:spacing w:val="6"/>
          <w:sz w:val="19"/>
          <w:szCs w:val="19"/>
        </w:rPr>
        <w:t>、数字微波通</w:t>
      </w:r>
      <w:r>
        <w:rPr>
          <w:spacing w:val="5"/>
          <w:sz w:val="19"/>
          <w:szCs w:val="19"/>
        </w:rPr>
        <w:t>信</w:t>
      </w:r>
      <w:r>
        <w:rPr>
          <w:spacing w:val="-48"/>
          <w:sz w:val="19"/>
          <w:szCs w:val="19"/>
        </w:rPr>
        <w:t xml:space="preserve"> </w:t>
      </w:r>
      <w:r>
        <w:rPr>
          <w:rFonts w:ascii="Times New Roman" w:hAnsi="Times New Roman" w:eastAsia="Times New Roman" w:cs="Times New Roman"/>
          <w:spacing w:val="5"/>
          <w:sz w:val="19"/>
          <w:szCs w:val="19"/>
        </w:rPr>
        <w:t>(</w:t>
      </w:r>
      <w:r>
        <w:rPr>
          <w:rFonts w:ascii="Times New Roman" w:hAnsi="Times New Roman" w:eastAsia="Times New Roman" w:cs="Times New Roman"/>
          <w:sz w:val="19"/>
          <w:szCs w:val="19"/>
        </w:rPr>
        <w:t>Digital</w:t>
      </w:r>
      <w:r>
        <w:rPr>
          <w:rFonts w:ascii="Times New Roman" w:hAnsi="Times New Roman" w:eastAsia="Times New Roman" w:cs="Times New Roman"/>
          <w:spacing w:val="5"/>
          <w:sz w:val="19"/>
          <w:szCs w:val="19"/>
        </w:rPr>
        <w:t xml:space="preserve">     </w:t>
      </w:r>
      <w:r>
        <w:rPr>
          <w:rFonts w:ascii="Times New Roman" w:hAnsi="Times New Roman" w:eastAsia="Times New Roman" w:cs="Times New Roman"/>
          <w:sz w:val="19"/>
          <w:szCs w:val="19"/>
        </w:rPr>
        <w:t>Microwave</w:t>
      </w:r>
    </w:p>
    <w:p w14:paraId="3AE409C5">
      <w:pPr>
        <w:pStyle w:val="2"/>
        <w:spacing w:before="91" w:line="212" w:lineRule="auto"/>
        <w:rPr>
          <w:sz w:val="19"/>
          <w:szCs w:val="19"/>
        </w:rPr>
      </w:pPr>
      <w:r>
        <w:rPr>
          <w:rFonts w:ascii="Times New Roman" w:hAnsi="Times New Roman" w:eastAsia="Times New Roman" w:cs="Times New Roman"/>
          <w:sz w:val="19"/>
          <w:szCs w:val="19"/>
        </w:rPr>
        <w:t>Communication</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DMC</w:t>
      </w:r>
      <w:r>
        <w:rPr>
          <w:rFonts w:ascii="Times New Roman" w:hAnsi="Times New Roman" w:eastAsia="Times New Roman" w:cs="Times New Roman"/>
          <w:spacing w:val="2"/>
          <w:sz w:val="19"/>
          <w:szCs w:val="19"/>
        </w:rPr>
        <w:t>)</w:t>
      </w:r>
      <w:r>
        <w:rPr>
          <w:rFonts w:ascii="Times New Roman" w:hAnsi="Times New Roman" w:eastAsia="Times New Roman" w:cs="Times New Roman"/>
          <w:spacing w:val="-11"/>
          <w:sz w:val="19"/>
          <w:szCs w:val="19"/>
        </w:rPr>
        <w:t xml:space="preserve"> </w:t>
      </w:r>
      <w:r>
        <w:rPr>
          <w:spacing w:val="2"/>
          <w:sz w:val="19"/>
          <w:szCs w:val="19"/>
        </w:rPr>
        <w:t>、   卫星小数据站</w:t>
      </w:r>
      <w:r>
        <w:rPr>
          <w:spacing w:val="-26"/>
          <w:sz w:val="19"/>
          <w:szCs w:val="19"/>
        </w:rPr>
        <w:t xml:space="preserve"> </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Very</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Small</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Aperture</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Terminal</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VSAT</w:t>
      </w:r>
      <w:r>
        <w:rPr>
          <w:rFonts w:ascii="Times New Roman" w:hAnsi="Times New Roman" w:eastAsia="Times New Roman" w:cs="Times New Roman"/>
          <w:spacing w:val="2"/>
          <w:sz w:val="19"/>
          <w:szCs w:val="19"/>
        </w:rPr>
        <w:t>)</w:t>
      </w:r>
      <w:r>
        <w:rPr>
          <w:spacing w:val="2"/>
          <w:sz w:val="19"/>
          <w:szCs w:val="19"/>
        </w:rPr>
        <w:t>、数字卫星通信</w:t>
      </w:r>
    </w:p>
    <w:p w14:paraId="0E0CA396">
      <w:pPr>
        <w:pStyle w:val="2"/>
        <w:spacing w:before="114" w:line="219" w:lineRule="auto"/>
        <w:rPr>
          <w:sz w:val="19"/>
          <w:szCs w:val="19"/>
        </w:rPr>
      </w:pPr>
      <w:r>
        <w:rPr>
          <w:spacing w:val="3"/>
          <w:sz w:val="19"/>
          <w:szCs w:val="19"/>
        </w:rPr>
        <w:t>系统、2G/3G/4G/5G/6G</w:t>
      </w:r>
      <w:r>
        <w:rPr>
          <w:spacing w:val="55"/>
          <w:sz w:val="19"/>
          <w:szCs w:val="19"/>
        </w:rPr>
        <w:t xml:space="preserve"> </w:t>
      </w:r>
      <w:r>
        <w:rPr>
          <w:spacing w:val="3"/>
          <w:sz w:val="19"/>
          <w:szCs w:val="19"/>
        </w:rPr>
        <w:t>移动通信系统</w:t>
      </w:r>
      <w:r>
        <w:rPr>
          <w:spacing w:val="2"/>
          <w:sz w:val="19"/>
          <w:szCs w:val="19"/>
        </w:rPr>
        <w:t>等。</w:t>
      </w:r>
    </w:p>
    <w:p w14:paraId="4D8EFD3A">
      <w:pPr>
        <w:spacing w:before="168" w:line="230" w:lineRule="auto"/>
        <w:ind w:left="399"/>
        <w:rPr>
          <w:rFonts w:ascii="楷体" w:hAnsi="楷体" w:eastAsia="楷体" w:cs="楷体"/>
          <w:sz w:val="19"/>
          <w:szCs w:val="19"/>
        </w:rPr>
      </w:pPr>
      <w:r>
        <w:rPr>
          <w:rFonts w:ascii="楷体" w:hAnsi="楷体" w:eastAsia="楷体" w:cs="楷体"/>
          <w:spacing w:val="16"/>
          <w:sz w:val="19"/>
          <w:szCs w:val="19"/>
        </w:rPr>
        <w:t>3)网络路由、交换和组网技术</w:t>
      </w:r>
    </w:p>
    <w:p w14:paraId="011BE4C4">
      <w:pPr>
        <w:pStyle w:val="2"/>
        <w:spacing w:before="78" w:line="288" w:lineRule="auto"/>
        <w:ind w:right="364" w:firstLine="399"/>
        <w:rPr>
          <w:sz w:val="19"/>
          <w:szCs w:val="19"/>
        </w:rPr>
      </w:pPr>
      <w:r>
        <w:rPr>
          <w:spacing w:val="13"/>
          <w:sz w:val="19"/>
          <w:szCs w:val="19"/>
        </w:rPr>
        <w:t>网络路由组网有一个重要概念，即路由域，也叫自治系统，是一个有权自主决定在本系统</w:t>
      </w:r>
      <w:r>
        <w:rPr>
          <w:spacing w:val="1"/>
          <w:sz w:val="19"/>
          <w:szCs w:val="19"/>
        </w:rPr>
        <w:t xml:space="preserve"> </w:t>
      </w:r>
      <w:r>
        <w:rPr>
          <w:spacing w:val="13"/>
          <w:sz w:val="19"/>
          <w:szCs w:val="19"/>
        </w:rPr>
        <w:t>中应采用何种路由协议的小型网络单位。遍布全</w:t>
      </w:r>
      <w:r>
        <w:rPr>
          <w:spacing w:val="12"/>
          <w:sz w:val="19"/>
          <w:szCs w:val="19"/>
        </w:rPr>
        <w:t>球的互联网系统由多个各自独立又相互连接的</w:t>
      </w:r>
      <w:r>
        <w:rPr>
          <w:sz w:val="19"/>
          <w:szCs w:val="19"/>
        </w:rPr>
        <w:t xml:space="preserve"> </w:t>
      </w:r>
      <w:r>
        <w:rPr>
          <w:spacing w:val="14"/>
          <w:sz w:val="19"/>
          <w:szCs w:val="19"/>
        </w:rPr>
        <w:t>自治系统组成，有的自治系统由运营商或某机构建设和运营(例如运营商网络),用于其他自治</w:t>
      </w:r>
      <w:r>
        <w:rPr>
          <w:spacing w:val="2"/>
          <w:sz w:val="19"/>
          <w:szCs w:val="19"/>
        </w:rPr>
        <w:t xml:space="preserve"> </w:t>
      </w:r>
      <w:r>
        <w:rPr>
          <w:spacing w:val="15"/>
          <w:sz w:val="19"/>
          <w:szCs w:val="19"/>
        </w:rPr>
        <w:t>系统的互联互通；有的自治系统由某个组织建设(例如企业网),通过路由</w:t>
      </w:r>
      <w:r>
        <w:rPr>
          <w:spacing w:val="14"/>
          <w:sz w:val="19"/>
          <w:szCs w:val="19"/>
        </w:rPr>
        <w:t>器或网关设备接入运</w:t>
      </w:r>
      <w:r>
        <w:rPr>
          <w:sz w:val="19"/>
          <w:szCs w:val="19"/>
        </w:rPr>
        <w:t xml:space="preserve"> </w:t>
      </w:r>
      <w:r>
        <w:rPr>
          <w:spacing w:val="13"/>
          <w:sz w:val="19"/>
          <w:szCs w:val="19"/>
        </w:rPr>
        <w:t>营商网络，进而与整个互联网连通。在一个自治系统中的所有路由器相互连接</w:t>
      </w:r>
      <w:r>
        <w:rPr>
          <w:spacing w:val="12"/>
          <w:sz w:val="19"/>
          <w:szCs w:val="19"/>
        </w:rPr>
        <w:t>，运行相同的路</w:t>
      </w:r>
      <w:r>
        <w:rPr>
          <w:sz w:val="19"/>
          <w:szCs w:val="19"/>
        </w:rPr>
        <w:t xml:space="preserve"> </w:t>
      </w:r>
      <w:r>
        <w:rPr>
          <w:spacing w:val="11"/>
          <w:sz w:val="19"/>
          <w:szCs w:val="19"/>
        </w:rPr>
        <w:t>由</w:t>
      </w:r>
      <w:r>
        <w:rPr>
          <w:spacing w:val="-42"/>
          <w:sz w:val="19"/>
          <w:szCs w:val="19"/>
        </w:rPr>
        <w:t xml:space="preserve"> </w:t>
      </w:r>
      <w:r>
        <w:rPr>
          <w:spacing w:val="11"/>
          <w:sz w:val="19"/>
          <w:szCs w:val="19"/>
        </w:rPr>
        <w:t>协</w:t>
      </w:r>
      <w:r>
        <w:rPr>
          <w:spacing w:val="-43"/>
          <w:sz w:val="19"/>
          <w:szCs w:val="19"/>
        </w:rPr>
        <w:t xml:space="preserve"> </w:t>
      </w:r>
      <w:r>
        <w:rPr>
          <w:spacing w:val="11"/>
          <w:sz w:val="19"/>
          <w:szCs w:val="19"/>
        </w:rPr>
        <w:t>议 (</w:t>
      </w:r>
      <w:r>
        <w:rPr>
          <w:spacing w:val="-43"/>
          <w:sz w:val="19"/>
          <w:szCs w:val="19"/>
        </w:rPr>
        <w:t xml:space="preserve"> </w:t>
      </w:r>
      <w:r>
        <w:rPr>
          <w:spacing w:val="11"/>
          <w:sz w:val="19"/>
          <w:szCs w:val="19"/>
        </w:rPr>
        <w:t>例</w:t>
      </w:r>
      <w:r>
        <w:rPr>
          <w:spacing w:val="-41"/>
          <w:sz w:val="19"/>
          <w:szCs w:val="19"/>
        </w:rPr>
        <w:t xml:space="preserve"> </w:t>
      </w:r>
      <w:r>
        <w:rPr>
          <w:spacing w:val="11"/>
          <w:sz w:val="19"/>
          <w:szCs w:val="19"/>
        </w:rPr>
        <w:t>如</w:t>
      </w:r>
      <w:r>
        <w:rPr>
          <w:rFonts w:ascii="Times New Roman" w:hAnsi="Times New Roman" w:eastAsia="Times New Roman" w:cs="Times New Roman"/>
          <w:sz w:val="19"/>
          <w:szCs w:val="19"/>
        </w:rPr>
        <w:t>RIP</w:t>
      </w:r>
      <w:r>
        <w:rPr>
          <w:rFonts w:ascii="Times New Roman" w:hAnsi="Times New Roman" w:eastAsia="Times New Roman" w:cs="Times New Roman"/>
          <w:spacing w:val="-27"/>
          <w:sz w:val="19"/>
          <w:szCs w:val="19"/>
        </w:rPr>
        <w:t xml:space="preserve"> </w:t>
      </w:r>
      <w:r>
        <w:rPr>
          <w:spacing w:val="11"/>
          <w:sz w:val="19"/>
          <w:szCs w:val="19"/>
        </w:rPr>
        <w:t>、</w:t>
      </w:r>
      <w:r>
        <w:rPr>
          <w:rFonts w:ascii="Times New Roman" w:hAnsi="Times New Roman" w:eastAsia="Times New Roman" w:cs="Times New Roman"/>
          <w:sz w:val="19"/>
          <w:szCs w:val="19"/>
        </w:rPr>
        <w:t>OSPF</w:t>
      </w:r>
      <w:r>
        <w:rPr>
          <w:rFonts w:ascii="Times New Roman" w:hAnsi="Times New Roman" w:eastAsia="Times New Roman" w:cs="Times New Roman"/>
          <w:spacing w:val="-27"/>
          <w:sz w:val="19"/>
          <w:szCs w:val="19"/>
        </w:rPr>
        <w:t xml:space="preserve"> </w:t>
      </w:r>
      <w:r>
        <w:rPr>
          <w:spacing w:val="11"/>
          <w:sz w:val="19"/>
          <w:szCs w:val="19"/>
        </w:rPr>
        <w:t>、</w:t>
      </w:r>
      <w:r>
        <w:rPr>
          <w:rFonts w:ascii="Times New Roman" w:hAnsi="Times New Roman" w:eastAsia="Times New Roman" w:cs="Times New Roman"/>
          <w:sz w:val="19"/>
          <w:szCs w:val="19"/>
        </w:rPr>
        <w:t>ISIS</w:t>
      </w:r>
      <w:r>
        <w:rPr>
          <w:rFonts w:ascii="Times New Roman" w:hAnsi="Times New Roman" w:eastAsia="Times New Roman" w:cs="Times New Roman"/>
          <w:spacing w:val="20"/>
          <w:w w:val="101"/>
          <w:sz w:val="19"/>
          <w:szCs w:val="19"/>
        </w:rPr>
        <w:t xml:space="preserve">  </w:t>
      </w:r>
      <w:r>
        <w:rPr>
          <w:spacing w:val="11"/>
          <w:sz w:val="19"/>
          <w:szCs w:val="19"/>
        </w:rPr>
        <w:t>等),同时分配同一个自治系</w:t>
      </w:r>
      <w:r>
        <w:rPr>
          <w:spacing w:val="10"/>
          <w:sz w:val="19"/>
          <w:szCs w:val="19"/>
        </w:rPr>
        <w:t>统编号。自治系统之间的连接使</w:t>
      </w:r>
      <w:r>
        <w:rPr>
          <w:sz w:val="19"/>
          <w:szCs w:val="19"/>
        </w:rPr>
        <w:t xml:space="preserve"> </w:t>
      </w:r>
      <w:r>
        <w:rPr>
          <w:spacing w:val="10"/>
          <w:sz w:val="19"/>
          <w:szCs w:val="19"/>
        </w:rPr>
        <w:t>用外部路由协议，例如</w:t>
      </w:r>
      <w:r>
        <w:rPr>
          <w:rFonts w:ascii="Times New Roman" w:hAnsi="Times New Roman" w:eastAsia="Times New Roman" w:cs="Times New Roman"/>
          <w:sz w:val="19"/>
          <w:szCs w:val="19"/>
        </w:rPr>
        <w:t>BGP</w:t>
      </w:r>
      <w:r>
        <w:rPr>
          <w:spacing w:val="10"/>
          <w:sz w:val="19"/>
          <w:szCs w:val="19"/>
        </w:rPr>
        <w:t>。</w:t>
      </w:r>
    </w:p>
    <w:p w14:paraId="7BD94279">
      <w:pPr>
        <w:pStyle w:val="2"/>
        <w:spacing w:before="66" w:line="296" w:lineRule="auto"/>
        <w:ind w:right="356" w:firstLine="399"/>
        <w:jc w:val="both"/>
        <w:rPr>
          <w:sz w:val="19"/>
          <w:szCs w:val="19"/>
        </w:rPr>
      </w:pPr>
      <w:r>
        <w:rPr>
          <w:spacing w:val="13"/>
          <w:sz w:val="19"/>
          <w:szCs w:val="19"/>
        </w:rPr>
        <w:t>从组网规模(自治系统规模)、数据转发效率、管理范围等多方面考虑，不可能在</w:t>
      </w:r>
      <w:r>
        <w:rPr>
          <w:spacing w:val="12"/>
          <w:sz w:val="19"/>
          <w:szCs w:val="19"/>
        </w:rPr>
        <w:t>任何范围</w:t>
      </w:r>
      <w:r>
        <w:rPr>
          <w:sz w:val="19"/>
          <w:szCs w:val="19"/>
        </w:rPr>
        <w:t xml:space="preserve"> </w:t>
      </w:r>
      <w:r>
        <w:rPr>
          <w:spacing w:val="13"/>
          <w:sz w:val="19"/>
          <w:szCs w:val="19"/>
        </w:rPr>
        <w:t>内都建设三层的路由网络，在一定的覆盖区域范围内或一定的管理范围内建设二</w:t>
      </w:r>
      <w:r>
        <w:rPr>
          <w:spacing w:val="12"/>
          <w:sz w:val="19"/>
          <w:szCs w:val="19"/>
        </w:rPr>
        <w:t>层的交换网络</w:t>
      </w:r>
      <w:r>
        <w:rPr>
          <w:sz w:val="19"/>
          <w:szCs w:val="19"/>
        </w:rPr>
        <w:t xml:space="preserve"> </w:t>
      </w:r>
      <w:r>
        <w:rPr>
          <w:spacing w:val="15"/>
          <w:sz w:val="19"/>
          <w:szCs w:val="19"/>
        </w:rPr>
        <w:t>更为普遍，业务能力也更强大。这里所指的二层交换网络更多是指基于</w:t>
      </w:r>
      <w:r>
        <w:rPr>
          <w:rFonts w:ascii="Times New Roman" w:hAnsi="Times New Roman" w:eastAsia="Times New Roman" w:cs="Times New Roman"/>
          <w:sz w:val="19"/>
          <w:szCs w:val="19"/>
        </w:rPr>
        <w:t>MAC</w:t>
      </w:r>
      <w:r>
        <w:rPr>
          <w:rFonts w:ascii="Times New Roman" w:hAnsi="Times New Roman" w:eastAsia="Times New Roman" w:cs="Times New Roman"/>
          <w:spacing w:val="46"/>
          <w:w w:val="101"/>
          <w:sz w:val="19"/>
          <w:szCs w:val="19"/>
        </w:rPr>
        <w:t xml:space="preserve"> </w:t>
      </w:r>
      <w:r>
        <w:rPr>
          <w:spacing w:val="15"/>
          <w:sz w:val="19"/>
          <w:szCs w:val="19"/>
        </w:rPr>
        <w:t>地址实现数据交</w:t>
      </w:r>
      <w:r>
        <w:rPr>
          <w:sz w:val="19"/>
          <w:szCs w:val="19"/>
        </w:rPr>
        <w:t xml:space="preserve"> </w:t>
      </w:r>
      <w:r>
        <w:rPr>
          <w:spacing w:val="15"/>
          <w:sz w:val="19"/>
          <w:szCs w:val="19"/>
        </w:rPr>
        <w:t>换转发的设备组建的网络，此类设备一般被称为二层交换机(可以无路由功能)</w:t>
      </w:r>
      <w:r>
        <w:rPr>
          <w:spacing w:val="14"/>
          <w:sz w:val="19"/>
          <w:szCs w:val="19"/>
        </w:rPr>
        <w:t>,三层路由网络</w:t>
      </w:r>
      <w:r>
        <w:rPr>
          <w:sz w:val="19"/>
          <w:szCs w:val="19"/>
        </w:rPr>
        <w:t xml:space="preserve"> </w:t>
      </w:r>
      <w:r>
        <w:rPr>
          <w:spacing w:val="7"/>
          <w:sz w:val="19"/>
          <w:szCs w:val="19"/>
        </w:rPr>
        <w:t>则是指由支持路由功能的路由器设备组建的网络。</w:t>
      </w:r>
    </w:p>
    <w:p w14:paraId="038A64DC">
      <w:pPr>
        <w:spacing w:line="296" w:lineRule="auto"/>
        <w:rPr>
          <w:sz w:val="19"/>
          <w:szCs w:val="19"/>
        </w:rPr>
        <w:sectPr>
          <w:pgSz w:w="10290" w:h="13310"/>
          <w:pgMar w:top="370" w:right="515" w:bottom="400" w:left="1090" w:header="0" w:footer="0" w:gutter="0"/>
          <w:cols w:space="720" w:num="1"/>
        </w:sectPr>
      </w:pPr>
    </w:p>
    <w:p w14:paraId="7AFC86FB">
      <w:pPr>
        <w:pStyle w:val="2"/>
        <w:spacing w:before="98" w:line="219" w:lineRule="auto"/>
        <w:rPr>
          <w:sz w:val="20"/>
          <w:szCs w:val="20"/>
        </w:rPr>
      </w:pPr>
      <w:bookmarkStart w:id="533" w:name="bookmark520"/>
      <w:bookmarkEnd w:id="533"/>
      <w:r>
        <w:rPr>
          <w:rFonts w:ascii="Times New Roman" w:hAnsi="Times New Roman" w:eastAsia="Times New Roman" w:cs="Times New Roman"/>
          <w:spacing w:val="-4"/>
          <w:position w:val="1"/>
          <w:sz w:val="17"/>
          <w:szCs w:val="17"/>
        </w:rPr>
        <w:t>102</w:t>
      </w:r>
      <w:r>
        <w:rPr>
          <w:rFonts w:ascii="Times New Roman" w:hAnsi="Times New Roman" w:eastAsia="Times New Roman" w:cs="Times New Roman"/>
          <w:spacing w:val="2"/>
          <w:position w:val="1"/>
          <w:sz w:val="17"/>
          <w:szCs w:val="17"/>
        </w:rPr>
        <w:t xml:space="preserve">                </w:t>
      </w:r>
      <w:r>
        <w:rPr>
          <w:spacing w:val="-4"/>
          <w:sz w:val="20"/>
          <w:szCs w:val="20"/>
        </w:rPr>
        <w:t>信息系统监理师教程(第2版)</w:t>
      </w:r>
    </w:p>
    <w:p w14:paraId="79F24EC0">
      <w:pPr>
        <w:spacing w:line="293" w:lineRule="auto"/>
        <w:rPr>
          <w:rFonts w:ascii="Arial"/>
          <w:sz w:val="21"/>
        </w:rPr>
      </w:pPr>
    </w:p>
    <w:p w14:paraId="7C39BA0F">
      <w:pPr>
        <w:pStyle w:val="2"/>
        <w:spacing w:before="65" w:line="288" w:lineRule="auto"/>
        <w:ind w:left="340" w:right="71" w:firstLine="400"/>
        <w:rPr>
          <w:sz w:val="20"/>
          <w:szCs w:val="20"/>
        </w:rPr>
      </w:pPr>
      <w:r>
        <w:rPr>
          <w:spacing w:val="2"/>
          <w:sz w:val="20"/>
          <w:szCs w:val="20"/>
        </w:rPr>
        <w:t>按照物理覆盖和管理范畴划分组网，可以分为局域网</w:t>
      </w:r>
      <w:r>
        <w:rPr>
          <w:spacing w:val="-50"/>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Local</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Area</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LAN</w:t>
      </w:r>
      <w:r>
        <w:rPr>
          <w:rFonts w:ascii="Times New Roman" w:hAnsi="Times New Roman" w:eastAsia="Times New Roman" w:cs="Times New Roman"/>
          <w:spacing w:val="1"/>
          <w:sz w:val="20"/>
          <w:szCs w:val="20"/>
        </w:rPr>
        <w:t>)</w:t>
      </w:r>
      <w:r>
        <w:rPr>
          <w:spacing w:val="1"/>
          <w:sz w:val="20"/>
          <w:szCs w:val="20"/>
        </w:rPr>
        <w:t>、城 域</w:t>
      </w:r>
      <w:r>
        <w:rPr>
          <w:sz w:val="20"/>
          <w:szCs w:val="20"/>
        </w:rPr>
        <w:t xml:space="preserve"> </w:t>
      </w:r>
      <w:r>
        <w:rPr>
          <w:spacing w:val="1"/>
          <w:sz w:val="20"/>
          <w:szCs w:val="20"/>
        </w:rPr>
        <w:t xml:space="preserve">网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Metropolitan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Area</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MAN</w:t>
      </w:r>
      <w:r>
        <w:rPr>
          <w:rFonts w:ascii="Times New Roman" w:hAnsi="Times New Roman" w:eastAsia="Times New Roman" w:cs="Times New Roman"/>
          <w:spacing w:val="1"/>
          <w:sz w:val="20"/>
          <w:szCs w:val="20"/>
        </w:rPr>
        <w:t xml:space="preserve">) </w:t>
      </w:r>
      <w:r>
        <w:rPr>
          <w:spacing w:val="1"/>
          <w:sz w:val="20"/>
          <w:szCs w:val="20"/>
        </w:rPr>
        <w:t>和广域网</w:t>
      </w:r>
      <w:r>
        <w:rPr>
          <w:spacing w:val="-60"/>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Wide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Area</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WAN</w:t>
      </w:r>
      <w:r>
        <w:rPr>
          <w:rFonts w:ascii="Times New Roman" w:hAnsi="Times New Roman" w:eastAsia="Times New Roman" w:cs="Times New Roman"/>
          <w:spacing w:val="1"/>
          <w:sz w:val="20"/>
          <w:szCs w:val="20"/>
        </w:rPr>
        <w:t>)</w:t>
      </w:r>
      <w:r>
        <w:rPr>
          <w:spacing w:val="1"/>
          <w:sz w:val="20"/>
          <w:szCs w:val="20"/>
        </w:rPr>
        <w:t>。</w:t>
      </w:r>
    </w:p>
    <w:p w14:paraId="01676461">
      <w:pPr>
        <w:pStyle w:val="2"/>
        <w:spacing w:before="16" w:line="212" w:lineRule="auto"/>
        <w:ind w:left="740"/>
        <w:rPr>
          <w:sz w:val="20"/>
          <w:szCs w:val="20"/>
        </w:rPr>
      </w:pPr>
      <w:r>
        <w:rPr>
          <w:spacing w:val="11"/>
          <w:sz w:val="20"/>
          <w:szCs w:val="20"/>
        </w:rPr>
        <w:t>(1)局域网</w:t>
      </w:r>
      <w:r>
        <w:rPr>
          <w:spacing w:val="-49"/>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LAN</w:t>
      </w:r>
      <w:r>
        <w:rPr>
          <w:rFonts w:ascii="Times New Roman" w:hAnsi="Times New Roman" w:eastAsia="Times New Roman" w:cs="Times New Roman"/>
          <w:spacing w:val="11"/>
          <w:sz w:val="20"/>
          <w:szCs w:val="20"/>
        </w:rPr>
        <w:t>)</w:t>
      </w:r>
      <w:r>
        <w:rPr>
          <w:spacing w:val="11"/>
          <w:sz w:val="20"/>
          <w:szCs w:val="20"/>
        </w:rPr>
        <w:t>。</w:t>
      </w:r>
    </w:p>
    <w:p w14:paraId="737ED303">
      <w:pPr>
        <w:pStyle w:val="2"/>
        <w:spacing w:before="105" w:line="279" w:lineRule="auto"/>
        <w:ind w:left="340" w:firstLine="400"/>
        <w:rPr>
          <w:sz w:val="20"/>
          <w:szCs w:val="20"/>
        </w:rPr>
      </w:pPr>
      <w:r>
        <w:rPr>
          <w:spacing w:val="5"/>
          <w:sz w:val="20"/>
          <w:szCs w:val="20"/>
        </w:rPr>
        <w:t>局域网是在比较小的管理范围或地理范围内(例如企业单位内部、家庭内部)组建的网络。</w:t>
      </w:r>
      <w:r>
        <w:rPr>
          <w:spacing w:val="8"/>
          <w:sz w:val="20"/>
          <w:szCs w:val="20"/>
        </w:rPr>
        <w:t xml:space="preserve"> </w:t>
      </w:r>
      <w:r>
        <w:rPr>
          <w:spacing w:val="1"/>
          <w:sz w:val="20"/>
          <w:szCs w:val="20"/>
        </w:rPr>
        <w:t>早期的局域网技术包括以太网</w:t>
      </w:r>
      <w:r>
        <w:rPr>
          <w:spacing w:val="-42"/>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Ethernet</w:t>
      </w:r>
      <w:r>
        <w:rPr>
          <w:rFonts w:ascii="Times New Roman" w:hAnsi="Times New Roman" w:eastAsia="Times New Roman" w:cs="Times New Roman"/>
          <w:spacing w:val="1"/>
          <w:sz w:val="20"/>
          <w:szCs w:val="20"/>
        </w:rPr>
        <w:t>)</w:t>
      </w:r>
      <w:r>
        <w:rPr>
          <w:rFonts w:ascii="Times New Roman" w:hAnsi="Times New Roman" w:eastAsia="Times New Roman" w:cs="Times New Roman"/>
          <w:spacing w:val="-28"/>
          <w:sz w:val="20"/>
          <w:szCs w:val="20"/>
        </w:rPr>
        <w:t xml:space="preserve"> </w:t>
      </w:r>
      <w:r>
        <w:rPr>
          <w:spacing w:val="1"/>
          <w:sz w:val="20"/>
          <w:szCs w:val="20"/>
        </w:rPr>
        <w:t>、 令牌环网</w:t>
      </w:r>
      <w:r>
        <w:rPr>
          <w:spacing w:val="-50"/>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Token</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Ring</w:t>
      </w:r>
      <w:r>
        <w:rPr>
          <w:rFonts w:ascii="Times New Roman" w:hAnsi="Times New Roman" w:eastAsia="Times New Roman" w:cs="Times New Roman"/>
          <w:spacing w:val="1"/>
          <w:sz w:val="20"/>
          <w:szCs w:val="20"/>
        </w:rPr>
        <w:t>)</w:t>
      </w:r>
      <w:r>
        <w:rPr>
          <w:spacing w:val="1"/>
          <w:sz w:val="20"/>
          <w:szCs w:val="20"/>
        </w:rPr>
        <w:t>、光纤分布式数据网</w:t>
      </w:r>
      <w:r>
        <w:rPr>
          <w:spacing w:val="-50"/>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 xml:space="preserve">Fiber    </w:t>
      </w:r>
      <w:r>
        <w:rPr>
          <w:spacing w:val="-1"/>
          <w:sz w:val="20"/>
          <w:szCs w:val="20"/>
        </w:rPr>
        <w:t>Distributed Data Internet,FDDI)等。目前基本采用各类以太网交</w:t>
      </w:r>
      <w:r>
        <w:rPr>
          <w:spacing w:val="-2"/>
          <w:sz w:val="20"/>
          <w:szCs w:val="20"/>
        </w:rPr>
        <w:t>换机组建局域网，包括百兆、</w:t>
      </w:r>
      <w:r>
        <w:rPr>
          <w:sz w:val="20"/>
          <w:szCs w:val="20"/>
        </w:rPr>
        <w:t xml:space="preserve"> </w:t>
      </w:r>
      <w:r>
        <w:rPr>
          <w:spacing w:val="6"/>
          <w:sz w:val="20"/>
          <w:szCs w:val="20"/>
        </w:rPr>
        <w:t>千兆、万兆以太网交换机，物理层通常用光纤或双绞线相连，无线</w:t>
      </w:r>
      <w:r>
        <w:rPr>
          <w:spacing w:val="5"/>
          <w:sz w:val="20"/>
          <w:szCs w:val="20"/>
        </w:rPr>
        <w:t>局域网</w:t>
      </w:r>
      <w:r>
        <w:rPr>
          <w:sz w:val="20"/>
          <w:szCs w:val="20"/>
        </w:rPr>
        <w:t>Wi</w:t>
      </w:r>
      <w:r>
        <w:rPr>
          <w:spacing w:val="5"/>
          <w:sz w:val="20"/>
          <w:szCs w:val="20"/>
        </w:rPr>
        <w:t>-</w:t>
      </w:r>
      <w:r>
        <w:rPr>
          <w:sz w:val="20"/>
          <w:szCs w:val="20"/>
        </w:rPr>
        <w:t>Fi</w:t>
      </w:r>
      <w:r>
        <w:rPr>
          <w:spacing w:val="5"/>
          <w:sz w:val="20"/>
          <w:szCs w:val="20"/>
        </w:rPr>
        <w:t>作为局域网的</w:t>
      </w:r>
      <w:r>
        <w:rPr>
          <w:sz w:val="20"/>
          <w:szCs w:val="20"/>
        </w:rPr>
        <w:t xml:space="preserve">  </w:t>
      </w:r>
      <w:r>
        <w:rPr>
          <w:spacing w:val="1"/>
          <w:sz w:val="20"/>
          <w:szCs w:val="20"/>
        </w:rPr>
        <w:t>无线接入，例如手机、计算机等各类终端设备可以通过</w:t>
      </w:r>
      <w:r>
        <w:rPr>
          <w:rFonts w:ascii="Times New Roman" w:hAnsi="Times New Roman" w:eastAsia="Times New Roman" w:cs="Times New Roman"/>
          <w:sz w:val="20"/>
          <w:szCs w:val="20"/>
        </w:rPr>
        <w:t>Wi</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Fi</w:t>
      </w:r>
      <w:r>
        <w:rPr>
          <w:rFonts w:ascii="Times New Roman" w:hAnsi="Times New Roman" w:eastAsia="Times New Roman" w:cs="Times New Roman"/>
          <w:spacing w:val="-14"/>
          <w:sz w:val="20"/>
          <w:szCs w:val="20"/>
        </w:rPr>
        <w:t xml:space="preserve"> </w:t>
      </w:r>
      <w:r>
        <w:rPr>
          <w:sz w:val="20"/>
          <w:szCs w:val="20"/>
        </w:rPr>
        <w:t>接入局域网。</w:t>
      </w:r>
    </w:p>
    <w:p w14:paraId="6EB3C7EA">
      <w:pPr>
        <w:pStyle w:val="2"/>
        <w:spacing w:before="42" w:line="294" w:lineRule="auto"/>
        <w:ind w:left="340" w:right="39" w:firstLine="400"/>
        <w:rPr>
          <w:sz w:val="20"/>
          <w:szCs w:val="20"/>
        </w:rPr>
      </w:pPr>
      <w:r>
        <w:rPr>
          <w:sz w:val="20"/>
          <w:szCs w:val="20"/>
        </w:rPr>
        <w:t>局域网中的一个重要技术是虚拟局域网</w:t>
      </w:r>
      <w:r>
        <w:rPr>
          <w:spacing w:val="-40"/>
          <w:sz w:val="20"/>
          <w:szCs w:val="20"/>
        </w:rPr>
        <w:t xml:space="preserve"> </w:t>
      </w:r>
      <w:r>
        <w:rPr>
          <w:rFonts w:ascii="Times New Roman" w:hAnsi="Times New Roman" w:eastAsia="Times New Roman" w:cs="Times New Roman"/>
          <w:sz w:val="20"/>
          <w:szCs w:val="20"/>
        </w:rPr>
        <w:t>(Virtual</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z w:val="20"/>
          <w:szCs w:val="20"/>
        </w:rPr>
        <w:t>Local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Area</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z w:val="20"/>
          <w:szCs w:val="20"/>
        </w:rPr>
        <w:t>Netwo</w:t>
      </w:r>
      <w:r>
        <w:rPr>
          <w:rFonts w:ascii="Times New Roman" w:hAnsi="Times New Roman" w:eastAsia="Times New Roman" w:cs="Times New Roman"/>
          <w:spacing w:val="-1"/>
          <w:sz w:val="20"/>
          <w:szCs w:val="20"/>
        </w:rPr>
        <w:t>rk,VLAN),VLAN</w:t>
      </w:r>
      <w:r>
        <w:rPr>
          <w:rFonts w:ascii="Times New Roman" w:hAnsi="Times New Roman" w:eastAsia="Times New Roman" w:cs="Times New Roman"/>
          <w:spacing w:val="-12"/>
          <w:sz w:val="20"/>
          <w:szCs w:val="20"/>
        </w:rPr>
        <w:t xml:space="preserve"> </w:t>
      </w:r>
      <w:r>
        <w:rPr>
          <w:spacing w:val="-1"/>
          <w:sz w:val="20"/>
          <w:szCs w:val="20"/>
        </w:rPr>
        <w:t>是一</w:t>
      </w:r>
      <w:r>
        <w:rPr>
          <w:sz w:val="20"/>
          <w:szCs w:val="20"/>
        </w:rPr>
        <w:t xml:space="preserve"> </w:t>
      </w:r>
      <w:r>
        <w:rPr>
          <w:spacing w:val="5"/>
          <w:sz w:val="20"/>
          <w:szCs w:val="20"/>
        </w:rPr>
        <w:t>种将局域网设备从逻辑上划分成一个个虚拟网段(更小的局域网),从而实现局域网内虚拟工作</w:t>
      </w:r>
      <w:r>
        <w:rPr>
          <w:spacing w:val="12"/>
          <w:sz w:val="20"/>
          <w:szCs w:val="20"/>
        </w:rPr>
        <w:t xml:space="preserve"> </w:t>
      </w:r>
      <w:r>
        <w:rPr>
          <w:spacing w:val="3"/>
          <w:sz w:val="20"/>
          <w:szCs w:val="20"/>
        </w:rPr>
        <w:t>组(单元)的数据交换技术。</w:t>
      </w:r>
      <w:r>
        <w:rPr>
          <w:spacing w:val="68"/>
          <w:sz w:val="20"/>
          <w:szCs w:val="20"/>
        </w:rPr>
        <w:t xml:space="preserve"> </w:t>
      </w:r>
      <w:r>
        <w:rPr>
          <w:spacing w:val="3"/>
          <w:sz w:val="20"/>
          <w:szCs w:val="20"/>
        </w:rPr>
        <w:t>一个</w:t>
      </w:r>
      <w:r>
        <w:rPr>
          <w:rFonts w:ascii="Times New Roman" w:hAnsi="Times New Roman" w:eastAsia="Times New Roman" w:cs="Times New Roman"/>
          <w:sz w:val="20"/>
          <w:szCs w:val="20"/>
        </w:rPr>
        <w:t>VLAN</w:t>
      </w:r>
      <w:r>
        <w:rPr>
          <w:rFonts w:ascii="Times New Roman" w:hAnsi="Times New Roman" w:eastAsia="Times New Roman" w:cs="Times New Roman"/>
          <w:spacing w:val="37"/>
          <w:sz w:val="20"/>
          <w:szCs w:val="20"/>
        </w:rPr>
        <w:t xml:space="preserve"> </w:t>
      </w:r>
      <w:r>
        <w:rPr>
          <w:spacing w:val="3"/>
          <w:sz w:val="20"/>
          <w:szCs w:val="20"/>
        </w:rPr>
        <w:t>内部的广播和单播流量都不会转发到其他</w:t>
      </w:r>
      <w:r>
        <w:rPr>
          <w:rFonts w:ascii="Times New Roman" w:hAnsi="Times New Roman" w:eastAsia="Times New Roman" w:cs="Times New Roman"/>
          <w:sz w:val="20"/>
          <w:szCs w:val="20"/>
        </w:rPr>
        <w:t>VLAN</w:t>
      </w:r>
      <w:r>
        <w:rPr>
          <w:rFonts w:ascii="Times New Roman" w:hAnsi="Times New Roman" w:eastAsia="Times New Roman" w:cs="Times New Roman"/>
          <w:spacing w:val="16"/>
          <w:w w:val="101"/>
          <w:sz w:val="20"/>
          <w:szCs w:val="20"/>
        </w:rPr>
        <w:t xml:space="preserve"> </w:t>
      </w:r>
      <w:r>
        <w:rPr>
          <w:spacing w:val="3"/>
          <w:sz w:val="20"/>
          <w:szCs w:val="20"/>
        </w:rPr>
        <w:t>中</w:t>
      </w:r>
      <w:r>
        <w:rPr>
          <w:spacing w:val="-49"/>
          <w:sz w:val="20"/>
          <w:szCs w:val="20"/>
        </w:rPr>
        <w:t xml:space="preserve"> </w:t>
      </w:r>
      <w:r>
        <w:rPr>
          <w:spacing w:val="3"/>
          <w:sz w:val="20"/>
          <w:szCs w:val="20"/>
        </w:rPr>
        <w:t>，</w:t>
      </w:r>
      <w:r>
        <w:rPr>
          <w:sz w:val="20"/>
          <w:szCs w:val="20"/>
        </w:rPr>
        <w:t xml:space="preserve"> </w:t>
      </w:r>
      <w:r>
        <w:rPr>
          <w:spacing w:val="-2"/>
          <w:sz w:val="20"/>
          <w:szCs w:val="20"/>
        </w:rPr>
        <w:t>从而有助于控制流量、减少设备投资、简化网络管理、提高网络的安全性。</w:t>
      </w:r>
    </w:p>
    <w:p w14:paraId="3EC5E188">
      <w:pPr>
        <w:pStyle w:val="2"/>
        <w:spacing w:before="7" w:line="212" w:lineRule="auto"/>
        <w:ind w:left="740"/>
        <w:rPr>
          <w:sz w:val="20"/>
          <w:szCs w:val="20"/>
        </w:rPr>
      </w:pPr>
      <w:r>
        <w:rPr>
          <w:spacing w:val="11"/>
          <w:sz w:val="20"/>
          <w:szCs w:val="20"/>
        </w:rPr>
        <w:t>(2)城域网</w:t>
      </w:r>
      <w:r>
        <w:rPr>
          <w:spacing w:val="-39"/>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MAN</w:t>
      </w:r>
      <w:r>
        <w:rPr>
          <w:rFonts w:ascii="Times New Roman" w:hAnsi="Times New Roman" w:eastAsia="Times New Roman" w:cs="Times New Roman"/>
          <w:spacing w:val="11"/>
          <w:sz w:val="20"/>
          <w:szCs w:val="20"/>
        </w:rPr>
        <w:t>)</w:t>
      </w:r>
      <w:r>
        <w:rPr>
          <w:spacing w:val="11"/>
          <w:sz w:val="20"/>
          <w:szCs w:val="20"/>
        </w:rPr>
        <w:t>。</w:t>
      </w:r>
    </w:p>
    <w:p w14:paraId="446DE739">
      <w:pPr>
        <w:pStyle w:val="2"/>
        <w:spacing w:before="95" w:line="283" w:lineRule="auto"/>
        <w:ind w:left="340" w:right="40" w:firstLine="400"/>
        <w:rPr>
          <w:sz w:val="20"/>
          <w:szCs w:val="20"/>
        </w:rPr>
      </w:pPr>
      <w:r>
        <w:rPr>
          <w:spacing w:val="8"/>
          <w:sz w:val="20"/>
          <w:szCs w:val="20"/>
        </w:rPr>
        <w:t>城域网，顾名思义，就是在一个城市范围内建设的网络。在运营商等的网络规划中，为</w:t>
      </w:r>
      <w:r>
        <w:rPr>
          <w:spacing w:val="15"/>
          <w:sz w:val="20"/>
          <w:szCs w:val="20"/>
        </w:rPr>
        <w:t xml:space="preserve"> </w:t>
      </w:r>
      <w:r>
        <w:rPr>
          <w:spacing w:val="9"/>
          <w:sz w:val="20"/>
          <w:szCs w:val="20"/>
        </w:rPr>
        <w:t>便于管理，很多业务需要在一个城市范围内向用户</w:t>
      </w:r>
      <w:r>
        <w:rPr>
          <w:spacing w:val="8"/>
          <w:sz w:val="20"/>
          <w:szCs w:val="20"/>
        </w:rPr>
        <w:t>提供(例如</w:t>
      </w:r>
      <w:r>
        <w:rPr>
          <w:rFonts w:ascii="Times New Roman" w:hAnsi="Times New Roman" w:eastAsia="Times New Roman" w:cs="Times New Roman"/>
          <w:sz w:val="20"/>
          <w:szCs w:val="20"/>
        </w:rPr>
        <w:t>IPTV</w:t>
      </w:r>
      <w:r>
        <w:rPr>
          <w:rFonts w:ascii="Times New Roman" w:hAnsi="Times New Roman" w:eastAsia="Times New Roman" w:cs="Times New Roman"/>
          <w:spacing w:val="8"/>
          <w:sz w:val="20"/>
          <w:szCs w:val="20"/>
        </w:rPr>
        <w:t xml:space="preserve"> </w:t>
      </w:r>
      <w:r>
        <w:rPr>
          <w:spacing w:val="8"/>
          <w:sz w:val="20"/>
          <w:szCs w:val="20"/>
        </w:rPr>
        <w:t>业务、城市内的企业上网</w:t>
      </w:r>
      <w:r>
        <w:rPr>
          <w:sz w:val="20"/>
          <w:szCs w:val="20"/>
        </w:rPr>
        <w:t xml:space="preserve"> </w:t>
      </w:r>
      <w:r>
        <w:rPr>
          <w:spacing w:val="8"/>
          <w:sz w:val="20"/>
          <w:szCs w:val="20"/>
        </w:rPr>
        <w:t>和互连、家庭上网业务等),因此城域网的规划建设越来越引起重视。</w:t>
      </w:r>
      <w:r>
        <w:rPr>
          <w:spacing w:val="7"/>
          <w:sz w:val="20"/>
          <w:szCs w:val="20"/>
        </w:rPr>
        <w:t>早期的城域网组网技术</w:t>
      </w:r>
      <w:r>
        <w:rPr>
          <w:sz w:val="20"/>
          <w:szCs w:val="20"/>
        </w:rPr>
        <w:t xml:space="preserve"> </w:t>
      </w:r>
      <w:r>
        <w:rPr>
          <w:spacing w:val="8"/>
          <w:sz w:val="20"/>
          <w:szCs w:val="20"/>
        </w:rPr>
        <w:t>包括</w:t>
      </w:r>
      <w:r>
        <w:rPr>
          <w:rFonts w:ascii="Times New Roman" w:hAnsi="Times New Roman" w:eastAsia="Times New Roman" w:cs="Times New Roman"/>
          <w:sz w:val="20"/>
          <w:szCs w:val="20"/>
        </w:rPr>
        <w:t>FDDI</w:t>
      </w:r>
      <w:r>
        <w:rPr>
          <w:rFonts w:ascii="Times New Roman" w:hAnsi="Times New Roman" w:eastAsia="Times New Roman" w:cs="Times New Roman"/>
          <w:spacing w:val="-29"/>
          <w:sz w:val="20"/>
          <w:szCs w:val="20"/>
        </w:rPr>
        <w:t xml:space="preserve"> </w:t>
      </w:r>
      <w:r>
        <w:rPr>
          <w:spacing w:val="8"/>
          <w:sz w:val="20"/>
          <w:szCs w:val="20"/>
        </w:rPr>
        <w:t>、分布式队列双总线</w:t>
      </w:r>
      <w:r>
        <w:rPr>
          <w:spacing w:val="-53"/>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Distributed</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Queue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Dual</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Bus</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DQDB</w:t>
      </w:r>
      <w:r>
        <w:rPr>
          <w:rFonts w:ascii="Times New Roman" w:hAnsi="Times New Roman" w:eastAsia="Times New Roman" w:cs="Times New Roman"/>
          <w:spacing w:val="8"/>
          <w:sz w:val="20"/>
          <w:szCs w:val="20"/>
        </w:rPr>
        <w:t>)</w:t>
      </w:r>
      <w:r>
        <w:rPr>
          <w:spacing w:val="8"/>
          <w:sz w:val="20"/>
          <w:szCs w:val="20"/>
        </w:rPr>
        <w:t>、交换多兆位数据</w:t>
      </w:r>
      <w:r>
        <w:rPr>
          <w:spacing w:val="7"/>
          <w:sz w:val="20"/>
          <w:szCs w:val="20"/>
        </w:rPr>
        <w:t>服务</w:t>
      </w:r>
      <w:r>
        <w:rPr>
          <w:sz w:val="20"/>
          <w:szCs w:val="20"/>
        </w:rPr>
        <w:t xml:space="preserve"> (Switched Multimegabit Data Service,SMDS)等。目前普遍应用的城域网组网技术是以太网技</w:t>
      </w:r>
      <w:r>
        <w:rPr>
          <w:spacing w:val="17"/>
          <w:sz w:val="20"/>
          <w:szCs w:val="20"/>
        </w:rPr>
        <w:t xml:space="preserve"> </w:t>
      </w:r>
      <w:r>
        <w:rPr>
          <w:spacing w:val="1"/>
          <w:sz w:val="20"/>
          <w:szCs w:val="20"/>
        </w:rPr>
        <w:t>术和</w:t>
      </w:r>
      <w:r>
        <w:rPr>
          <w:rFonts w:ascii="Times New Roman" w:hAnsi="Times New Roman" w:eastAsia="Times New Roman" w:cs="Times New Roman"/>
          <w:sz w:val="20"/>
          <w:szCs w:val="20"/>
        </w:rPr>
        <w:t>IP</w:t>
      </w:r>
      <w:r>
        <w:rPr>
          <w:rFonts w:ascii="Times New Roman" w:hAnsi="Times New Roman" w:eastAsia="Times New Roman" w:cs="Times New Roman"/>
          <w:spacing w:val="1"/>
          <w:sz w:val="20"/>
          <w:szCs w:val="20"/>
        </w:rPr>
        <w:t xml:space="preserve"> </w:t>
      </w:r>
      <w:r>
        <w:rPr>
          <w:spacing w:val="1"/>
          <w:sz w:val="20"/>
          <w:szCs w:val="20"/>
        </w:rPr>
        <w:t>城域网技术。以太网是当下城域网组网普遍采用的二层传输技术，</w:t>
      </w:r>
      <w:r>
        <w:rPr>
          <w:sz w:val="20"/>
          <w:szCs w:val="20"/>
        </w:rPr>
        <w:t>虚拟局域网</w:t>
      </w:r>
      <w:r>
        <w:rPr>
          <w:spacing w:val="-50"/>
          <w:sz w:val="20"/>
          <w:szCs w:val="20"/>
        </w:rPr>
        <w:t xml:space="preserve"> </w:t>
      </w:r>
      <w:r>
        <w:rPr>
          <w:rFonts w:ascii="Times New Roman" w:hAnsi="Times New Roman" w:eastAsia="Times New Roman" w:cs="Times New Roman"/>
          <w:sz w:val="20"/>
          <w:szCs w:val="20"/>
        </w:rPr>
        <w:t xml:space="preserve">(VLAN)     </w:t>
      </w:r>
      <w:r>
        <w:rPr>
          <w:spacing w:val="-4"/>
          <w:sz w:val="20"/>
          <w:szCs w:val="20"/>
        </w:rPr>
        <w:t>和虚拟扩展局域网</w:t>
      </w:r>
      <w:r>
        <w:rPr>
          <w:spacing w:val="-23"/>
          <w:sz w:val="20"/>
          <w:szCs w:val="20"/>
        </w:rPr>
        <w:t xml:space="preserve"> </w:t>
      </w:r>
      <w:r>
        <w:rPr>
          <w:spacing w:val="-4"/>
          <w:sz w:val="20"/>
          <w:szCs w:val="20"/>
        </w:rPr>
        <w:t>(Virtual extensible Local Area Network,VxLAN)技术也得到普遍应用，用来</w:t>
      </w:r>
      <w:r>
        <w:rPr>
          <w:sz w:val="20"/>
          <w:szCs w:val="20"/>
        </w:rPr>
        <w:t xml:space="preserve"> </w:t>
      </w:r>
      <w:r>
        <w:rPr>
          <w:spacing w:val="3"/>
          <w:sz w:val="20"/>
          <w:szCs w:val="20"/>
        </w:rPr>
        <w:t>区分城域网中的用户和应用。专门的国际组织城域以太网论坛研究解</w:t>
      </w:r>
      <w:r>
        <w:rPr>
          <w:spacing w:val="2"/>
          <w:sz w:val="20"/>
          <w:szCs w:val="20"/>
        </w:rPr>
        <w:t>决和规范定义相关技术问</w:t>
      </w:r>
      <w:r>
        <w:rPr>
          <w:sz w:val="20"/>
          <w:szCs w:val="20"/>
        </w:rPr>
        <w:t xml:space="preserve"> </w:t>
      </w:r>
      <w:r>
        <w:rPr>
          <w:spacing w:val="3"/>
          <w:sz w:val="20"/>
          <w:szCs w:val="20"/>
        </w:rPr>
        <w:t>题，包括城域以太网的架构、城域以太网提供的业务、城域以太网的保护和服务质量</w:t>
      </w:r>
      <w:r>
        <w:rPr>
          <w:spacing w:val="-54"/>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Quality    of</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Service</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QoS</w:t>
      </w:r>
      <w:r>
        <w:rPr>
          <w:rFonts w:ascii="Times New Roman" w:hAnsi="Times New Roman" w:eastAsia="Times New Roman" w:cs="Times New Roman"/>
          <w:spacing w:val="1"/>
          <w:sz w:val="20"/>
          <w:szCs w:val="20"/>
        </w:rPr>
        <w:t>)</w:t>
      </w:r>
      <w:r>
        <w:rPr>
          <w:spacing w:val="1"/>
          <w:sz w:val="20"/>
          <w:szCs w:val="20"/>
        </w:rPr>
        <w:t>、城域以太网的管理等。随着城域网规模不断扩大和承载业务类型不断增加，</w:t>
      </w:r>
      <w:r>
        <w:rPr>
          <w:spacing w:val="8"/>
          <w:sz w:val="20"/>
          <w:szCs w:val="20"/>
        </w:rPr>
        <w:t xml:space="preserve"> </w:t>
      </w:r>
      <w:r>
        <w:rPr>
          <w:spacing w:val="2"/>
          <w:sz w:val="20"/>
          <w:szCs w:val="20"/>
        </w:rPr>
        <w:t>城域网的结构也逐步演进，引入各类</w:t>
      </w:r>
      <w:r>
        <w:rPr>
          <w:rFonts w:ascii="Times New Roman" w:hAnsi="Times New Roman" w:eastAsia="Times New Roman" w:cs="Times New Roman"/>
          <w:sz w:val="20"/>
          <w:szCs w:val="20"/>
        </w:rPr>
        <w:t>IP</w:t>
      </w:r>
      <w:r>
        <w:rPr>
          <w:rFonts w:ascii="Times New Roman" w:hAnsi="Times New Roman" w:eastAsia="Times New Roman" w:cs="Times New Roman"/>
          <w:spacing w:val="17"/>
          <w:w w:val="101"/>
          <w:sz w:val="20"/>
          <w:szCs w:val="20"/>
        </w:rPr>
        <w:t xml:space="preserve"> </w:t>
      </w:r>
      <w:r>
        <w:rPr>
          <w:spacing w:val="2"/>
          <w:sz w:val="20"/>
          <w:szCs w:val="20"/>
        </w:rPr>
        <w:t>路由设备，二层组网和三层组网有机结</w:t>
      </w:r>
      <w:r>
        <w:rPr>
          <w:spacing w:val="1"/>
          <w:sz w:val="20"/>
          <w:szCs w:val="20"/>
        </w:rPr>
        <w:t>合，层级关系更</w:t>
      </w:r>
      <w:r>
        <w:rPr>
          <w:sz w:val="20"/>
          <w:szCs w:val="20"/>
        </w:rPr>
        <w:t xml:space="preserve"> </w:t>
      </w:r>
      <w:r>
        <w:rPr>
          <w:spacing w:val="-1"/>
          <w:sz w:val="20"/>
          <w:szCs w:val="20"/>
        </w:rPr>
        <w:t>加科学的</w:t>
      </w:r>
      <w:r>
        <w:rPr>
          <w:rFonts w:ascii="Times New Roman" w:hAnsi="Times New Roman" w:eastAsia="Times New Roman" w:cs="Times New Roman"/>
          <w:spacing w:val="-1"/>
          <w:sz w:val="20"/>
          <w:szCs w:val="20"/>
        </w:rPr>
        <w:t>IP</w:t>
      </w:r>
      <w:r>
        <w:rPr>
          <w:rFonts w:ascii="Times New Roman" w:hAnsi="Times New Roman" w:eastAsia="Times New Roman" w:cs="Times New Roman"/>
          <w:spacing w:val="17"/>
          <w:sz w:val="20"/>
          <w:szCs w:val="20"/>
        </w:rPr>
        <w:t xml:space="preserve"> </w:t>
      </w:r>
      <w:r>
        <w:rPr>
          <w:spacing w:val="-1"/>
          <w:sz w:val="20"/>
          <w:szCs w:val="20"/>
        </w:rPr>
        <w:t>城域网建设越来越引起重视，并在实际组网中获得应用。</w:t>
      </w:r>
    </w:p>
    <w:p w14:paraId="162781D2">
      <w:pPr>
        <w:pStyle w:val="2"/>
        <w:spacing w:before="87" w:line="278" w:lineRule="auto"/>
        <w:ind w:left="340" w:right="59" w:firstLine="400"/>
        <w:rPr>
          <w:sz w:val="20"/>
          <w:szCs w:val="20"/>
        </w:rPr>
      </w:pPr>
      <w:r>
        <w:rPr>
          <w:spacing w:val="3"/>
          <w:sz w:val="20"/>
          <w:szCs w:val="20"/>
        </w:rPr>
        <w:t>虚拟扩展局域网主要在城域网范围内规划网络应</w:t>
      </w:r>
      <w:r>
        <w:rPr>
          <w:spacing w:val="2"/>
          <w:sz w:val="20"/>
          <w:szCs w:val="20"/>
        </w:rPr>
        <w:t>用，在传统的</w:t>
      </w:r>
      <w:r>
        <w:rPr>
          <w:rFonts w:ascii="Times New Roman" w:hAnsi="Times New Roman" w:eastAsia="Times New Roman" w:cs="Times New Roman"/>
          <w:sz w:val="20"/>
          <w:szCs w:val="20"/>
        </w:rPr>
        <w:t>VLAN</w:t>
      </w:r>
      <w:r>
        <w:rPr>
          <w:rFonts w:ascii="Times New Roman" w:hAnsi="Times New Roman" w:eastAsia="Times New Roman" w:cs="Times New Roman"/>
          <w:spacing w:val="17"/>
          <w:w w:val="101"/>
          <w:sz w:val="20"/>
          <w:szCs w:val="20"/>
        </w:rPr>
        <w:t xml:space="preserve"> </w:t>
      </w:r>
      <w:r>
        <w:rPr>
          <w:spacing w:val="2"/>
          <w:sz w:val="20"/>
          <w:szCs w:val="20"/>
        </w:rPr>
        <w:t>网络中，标准定义所</w:t>
      </w:r>
      <w:r>
        <w:rPr>
          <w:sz w:val="20"/>
          <w:szCs w:val="20"/>
        </w:rPr>
        <w:t xml:space="preserve"> </w:t>
      </w:r>
      <w:r>
        <w:rPr>
          <w:spacing w:val="11"/>
          <w:sz w:val="20"/>
          <w:szCs w:val="20"/>
        </w:rPr>
        <w:t>支持的可用</w:t>
      </w:r>
      <w:r>
        <w:rPr>
          <w:rFonts w:ascii="Times New Roman" w:hAnsi="Times New Roman" w:eastAsia="Times New Roman" w:cs="Times New Roman"/>
          <w:sz w:val="20"/>
          <w:szCs w:val="20"/>
        </w:rPr>
        <w:t>VLAN</w:t>
      </w:r>
      <w:r>
        <w:rPr>
          <w:rFonts w:ascii="Times New Roman" w:hAnsi="Times New Roman" w:eastAsia="Times New Roman" w:cs="Times New Roman"/>
          <w:spacing w:val="17"/>
          <w:sz w:val="20"/>
          <w:szCs w:val="20"/>
        </w:rPr>
        <w:t xml:space="preserve"> </w:t>
      </w:r>
      <w:r>
        <w:rPr>
          <w:spacing w:val="11"/>
          <w:sz w:val="20"/>
          <w:szCs w:val="20"/>
        </w:rPr>
        <w:t>数量只有4094个。</w:t>
      </w:r>
      <w:r>
        <w:rPr>
          <w:rFonts w:ascii="Times New Roman" w:hAnsi="Times New Roman" w:eastAsia="Times New Roman" w:cs="Times New Roman"/>
          <w:sz w:val="20"/>
          <w:szCs w:val="20"/>
        </w:rPr>
        <w:t>VxLAN</w:t>
      </w:r>
      <w:r>
        <w:rPr>
          <w:rFonts w:ascii="Times New Roman" w:hAnsi="Times New Roman" w:eastAsia="Times New Roman" w:cs="Times New Roman"/>
          <w:spacing w:val="16"/>
          <w:w w:val="101"/>
          <w:sz w:val="20"/>
          <w:szCs w:val="20"/>
        </w:rPr>
        <w:t xml:space="preserve"> </w:t>
      </w:r>
      <w:r>
        <w:rPr>
          <w:spacing w:val="11"/>
          <w:sz w:val="20"/>
          <w:szCs w:val="20"/>
        </w:rPr>
        <w:t>在其帧头中引入了类似</w:t>
      </w:r>
      <w:r>
        <w:rPr>
          <w:rFonts w:ascii="Times New Roman" w:hAnsi="Times New Roman" w:eastAsia="Times New Roman" w:cs="Times New Roman"/>
          <w:sz w:val="20"/>
          <w:szCs w:val="20"/>
        </w:rPr>
        <w:t>VLAN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ID</w:t>
      </w:r>
      <w:r>
        <w:rPr>
          <w:spacing w:val="11"/>
          <w:sz w:val="20"/>
          <w:szCs w:val="20"/>
        </w:rPr>
        <w:t>的</w:t>
      </w:r>
      <w:r>
        <w:rPr>
          <w:spacing w:val="10"/>
          <w:sz w:val="20"/>
          <w:szCs w:val="20"/>
        </w:rPr>
        <w:t>网络标识，</w:t>
      </w:r>
      <w:r>
        <w:rPr>
          <w:sz w:val="20"/>
          <w:szCs w:val="20"/>
        </w:rPr>
        <w:t xml:space="preserve"> </w:t>
      </w:r>
      <w:r>
        <w:rPr>
          <w:spacing w:val="6"/>
          <w:sz w:val="20"/>
          <w:szCs w:val="20"/>
        </w:rPr>
        <w:t>称为</w:t>
      </w:r>
      <w:r>
        <w:rPr>
          <w:rFonts w:ascii="Times New Roman" w:hAnsi="Times New Roman" w:eastAsia="Times New Roman" w:cs="Times New Roman"/>
          <w:sz w:val="20"/>
          <w:szCs w:val="20"/>
        </w:rPr>
        <w:t>VxLAN</w:t>
      </w:r>
      <w:r>
        <w:rPr>
          <w:rFonts w:ascii="Times New Roman" w:hAnsi="Times New Roman" w:eastAsia="Times New Roman" w:cs="Times New Roman"/>
          <w:spacing w:val="6"/>
          <w:sz w:val="20"/>
          <w:szCs w:val="20"/>
        </w:rPr>
        <w:t xml:space="preserve"> </w:t>
      </w:r>
      <w:r>
        <w:rPr>
          <w:spacing w:val="6"/>
          <w:sz w:val="20"/>
          <w:szCs w:val="20"/>
        </w:rPr>
        <w:t>网络标识</w:t>
      </w:r>
      <w:r>
        <w:rPr>
          <w:rFonts w:ascii="Times New Roman" w:hAnsi="Times New Roman" w:eastAsia="Times New Roman" w:cs="Times New Roman"/>
          <w:sz w:val="20"/>
          <w:szCs w:val="20"/>
        </w:rPr>
        <w:t>VNI</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VxLAN</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ID</w:t>
      </w:r>
      <w:r>
        <w:rPr>
          <w:rFonts w:ascii="Times New Roman" w:hAnsi="Times New Roman" w:eastAsia="Times New Roman" w:cs="Times New Roman"/>
          <w:spacing w:val="6"/>
          <w:sz w:val="20"/>
          <w:szCs w:val="20"/>
        </w:rPr>
        <w:t>),</w:t>
      </w:r>
      <w:r>
        <w:rPr>
          <w:spacing w:val="6"/>
          <w:sz w:val="20"/>
          <w:szCs w:val="20"/>
        </w:rPr>
        <w:t>由24比特组成，理论上可支持多达16</w:t>
      </w:r>
      <w:r>
        <w:rPr>
          <w:rFonts w:ascii="Times New Roman" w:hAnsi="Times New Roman" w:eastAsia="Times New Roman" w:cs="Times New Roman"/>
          <w:spacing w:val="6"/>
          <w:sz w:val="20"/>
          <w:szCs w:val="20"/>
        </w:rPr>
        <w:t xml:space="preserve">M </w:t>
      </w:r>
      <w:r>
        <w:rPr>
          <w:spacing w:val="6"/>
          <w:sz w:val="20"/>
          <w:szCs w:val="20"/>
        </w:rPr>
        <w:t>的</w:t>
      </w:r>
      <w:r>
        <w:rPr>
          <w:spacing w:val="1"/>
          <w:sz w:val="20"/>
          <w:szCs w:val="20"/>
        </w:rPr>
        <w:t xml:space="preserve">  </w:t>
      </w:r>
      <w:r>
        <w:rPr>
          <w:rFonts w:ascii="Times New Roman" w:hAnsi="Times New Roman" w:eastAsia="Times New Roman" w:cs="Times New Roman"/>
          <w:sz w:val="20"/>
          <w:szCs w:val="20"/>
        </w:rPr>
        <w:t>VxLAN</w:t>
      </w:r>
      <w:r>
        <w:rPr>
          <w:sz w:val="20"/>
          <w:szCs w:val="20"/>
        </w:rPr>
        <w:t>段，满足了大规模不同用户之间的标识和隔离需求。</w:t>
      </w:r>
    </w:p>
    <w:p w14:paraId="7C735605">
      <w:pPr>
        <w:pStyle w:val="2"/>
        <w:spacing w:before="24" w:line="212" w:lineRule="auto"/>
        <w:ind w:left="740"/>
        <w:rPr>
          <w:sz w:val="20"/>
          <w:szCs w:val="20"/>
        </w:rPr>
      </w:pPr>
      <w:r>
        <w:rPr>
          <w:spacing w:val="11"/>
          <w:sz w:val="20"/>
          <w:szCs w:val="20"/>
        </w:rPr>
        <w:t>(3)广域网</w:t>
      </w:r>
      <w:r>
        <w:rPr>
          <w:spacing w:val="-39"/>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WAN</w:t>
      </w:r>
      <w:r>
        <w:rPr>
          <w:rFonts w:ascii="Times New Roman" w:hAnsi="Times New Roman" w:eastAsia="Times New Roman" w:cs="Times New Roman"/>
          <w:spacing w:val="11"/>
          <w:sz w:val="20"/>
          <w:szCs w:val="20"/>
        </w:rPr>
        <w:t>)</w:t>
      </w:r>
      <w:r>
        <w:rPr>
          <w:spacing w:val="11"/>
          <w:sz w:val="20"/>
          <w:szCs w:val="20"/>
        </w:rPr>
        <w:t>。</w:t>
      </w:r>
    </w:p>
    <w:p w14:paraId="1D5FF0AD">
      <w:pPr>
        <w:pStyle w:val="2"/>
        <w:spacing w:before="102" w:line="277" w:lineRule="auto"/>
        <w:ind w:left="340" w:right="59" w:firstLine="400"/>
        <w:rPr>
          <w:sz w:val="20"/>
          <w:szCs w:val="20"/>
        </w:rPr>
      </w:pPr>
      <w:r>
        <w:rPr>
          <w:spacing w:val="9"/>
          <w:sz w:val="20"/>
          <w:szCs w:val="20"/>
        </w:rPr>
        <w:t>广域网是跨地区、跨省市、跨国家的更大规模网络的</w:t>
      </w:r>
      <w:r>
        <w:rPr>
          <w:spacing w:val="8"/>
          <w:sz w:val="20"/>
          <w:szCs w:val="20"/>
        </w:rPr>
        <w:t>统称，用来连接地区的城域网、省</w:t>
      </w:r>
      <w:r>
        <w:rPr>
          <w:sz w:val="20"/>
          <w:szCs w:val="20"/>
        </w:rPr>
        <w:t xml:space="preserve"> </w:t>
      </w:r>
      <w:r>
        <w:rPr>
          <w:spacing w:val="9"/>
          <w:sz w:val="20"/>
          <w:szCs w:val="20"/>
        </w:rPr>
        <w:t xml:space="preserve">网和各个国家的网络，在运营商的网络规划中，连接城域网的省网以上均属广域网的范畴， </w:t>
      </w:r>
      <w:r>
        <w:rPr>
          <w:rFonts w:ascii="Times New Roman" w:hAnsi="Times New Roman" w:eastAsia="Times New Roman" w:cs="Times New Roman"/>
          <w:spacing w:val="-1"/>
          <w:sz w:val="20"/>
          <w:szCs w:val="20"/>
        </w:rPr>
        <w:t>Internet</w:t>
      </w:r>
      <w:r>
        <w:rPr>
          <w:rFonts w:ascii="Times New Roman" w:hAnsi="Times New Roman" w:eastAsia="Times New Roman" w:cs="Times New Roman"/>
          <w:spacing w:val="-3"/>
          <w:sz w:val="20"/>
          <w:szCs w:val="20"/>
        </w:rPr>
        <w:t xml:space="preserve"> </w:t>
      </w:r>
      <w:r>
        <w:rPr>
          <w:spacing w:val="-1"/>
          <w:sz w:val="20"/>
          <w:szCs w:val="20"/>
        </w:rPr>
        <w:t>是全球最大的广域网，它覆盖的范围遍布全世界。</w:t>
      </w:r>
    </w:p>
    <w:p w14:paraId="771825AB">
      <w:pPr>
        <w:pStyle w:val="2"/>
        <w:spacing w:before="17" w:line="264" w:lineRule="auto"/>
        <w:ind w:left="340" w:right="101" w:firstLine="400"/>
        <w:rPr>
          <w:sz w:val="20"/>
          <w:szCs w:val="20"/>
        </w:rPr>
      </w:pPr>
      <w:r>
        <w:rPr>
          <w:sz w:val="20"/>
          <w:szCs w:val="20"/>
        </w:rPr>
        <w:t>早期的广域网组网技术包括数字数据网</w:t>
      </w:r>
      <w:r>
        <w:rPr>
          <w:spacing w:val="-30"/>
          <w:sz w:val="20"/>
          <w:szCs w:val="20"/>
        </w:rPr>
        <w:t xml:space="preserve"> </w:t>
      </w:r>
      <w:r>
        <w:rPr>
          <w:rFonts w:ascii="Times New Roman" w:hAnsi="Times New Roman" w:eastAsia="Times New Roman" w:cs="Times New Roman"/>
          <w:sz w:val="20"/>
          <w:szCs w:val="20"/>
        </w:rPr>
        <w:t>(Digital    Data    Network,</w:t>
      </w:r>
      <w:r>
        <w:rPr>
          <w:rFonts w:ascii="Times New Roman" w:hAnsi="Times New Roman" w:eastAsia="Times New Roman" w:cs="Times New Roman"/>
          <w:spacing w:val="-1"/>
          <w:sz w:val="20"/>
          <w:szCs w:val="20"/>
        </w:rPr>
        <w:t>DDN)</w:t>
      </w:r>
      <w:r>
        <w:rPr>
          <w:rFonts w:ascii="Times New Roman" w:hAnsi="Times New Roman" w:eastAsia="Times New Roman" w:cs="Times New Roman"/>
          <w:spacing w:val="-29"/>
          <w:sz w:val="20"/>
          <w:szCs w:val="20"/>
        </w:rPr>
        <w:t xml:space="preserve"> </w:t>
      </w:r>
      <w:r>
        <w:rPr>
          <w:spacing w:val="-1"/>
          <w:sz w:val="20"/>
          <w:szCs w:val="20"/>
        </w:rPr>
        <w:t>、</w:t>
      </w:r>
      <w:r>
        <w:rPr>
          <w:rFonts w:ascii="Times New Roman" w:hAnsi="Times New Roman" w:eastAsia="Times New Roman" w:cs="Times New Roman"/>
          <w:spacing w:val="-1"/>
          <w:sz w:val="20"/>
          <w:szCs w:val="20"/>
        </w:rPr>
        <w:t>X.25</w:t>
      </w:r>
      <w:r>
        <w:rPr>
          <w:spacing w:val="-1"/>
          <w:sz w:val="20"/>
          <w:szCs w:val="20"/>
        </w:rPr>
        <w:t>分组交换数据</w:t>
      </w:r>
      <w:r>
        <w:rPr>
          <w:sz w:val="20"/>
          <w:szCs w:val="20"/>
        </w:rPr>
        <w:t xml:space="preserve"> </w:t>
      </w:r>
      <w:r>
        <w:rPr>
          <w:spacing w:val="-1"/>
          <w:sz w:val="20"/>
          <w:szCs w:val="20"/>
        </w:rPr>
        <w:t>网、公共交换电话网</w:t>
      </w:r>
      <w:r>
        <w:rPr>
          <w:spacing w:val="-40"/>
          <w:sz w:val="20"/>
          <w:szCs w:val="20"/>
        </w:rPr>
        <w:t xml:space="preserve"> </w:t>
      </w:r>
      <w:r>
        <w:rPr>
          <w:rFonts w:ascii="Times New Roman" w:hAnsi="Times New Roman" w:eastAsia="Times New Roman" w:cs="Times New Roman"/>
          <w:spacing w:val="-1"/>
          <w:sz w:val="20"/>
          <w:szCs w:val="20"/>
        </w:rPr>
        <w:t>(Public   Switched   Telephone</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1"/>
          <w:sz w:val="20"/>
          <w:szCs w:val="20"/>
        </w:rPr>
        <w:t>Network,PSTN)</w:t>
      </w:r>
      <w:r>
        <w:rPr>
          <w:spacing w:val="-1"/>
          <w:sz w:val="20"/>
          <w:szCs w:val="20"/>
        </w:rPr>
        <w:t>、综合业务数据网</w:t>
      </w:r>
      <w:r>
        <w:rPr>
          <w:spacing w:val="-50"/>
          <w:sz w:val="20"/>
          <w:szCs w:val="20"/>
        </w:rPr>
        <w:t xml:space="preserve"> </w:t>
      </w:r>
      <w:r>
        <w:rPr>
          <w:rFonts w:ascii="Times New Roman" w:hAnsi="Times New Roman" w:eastAsia="Times New Roman" w:cs="Times New Roman"/>
          <w:spacing w:val="-1"/>
          <w:sz w:val="20"/>
          <w:szCs w:val="20"/>
        </w:rPr>
        <w:t>(Integrat</w:t>
      </w:r>
      <w:r>
        <w:rPr>
          <w:rFonts w:ascii="Times New Roman" w:hAnsi="Times New Roman" w:eastAsia="Times New Roman" w:cs="Times New Roman"/>
          <w:spacing w:val="-2"/>
          <w:sz w:val="20"/>
          <w:szCs w:val="20"/>
        </w:rPr>
        <w:t>ed</w:t>
      </w:r>
      <w:r>
        <w:rPr>
          <w:rFonts w:ascii="Times New Roman" w:hAnsi="Times New Roman" w:eastAsia="Times New Roman" w:cs="Times New Roman"/>
          <w:sz w:val="20"/>
          <w:szCs w:val="20"/>
        </w:rPr>
        <w:t xml:space="preserve">   Services</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Digital</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ISDN</w:t>
      </w:r>
      <w:r>
        <w:rPr>
          <w:rFonts w:ascii="Times New Roman" w:hAnsi="Times New Roman" w:eastAsia="Times New Roman" w:cs="Times New Roman"/>
          <w:spacing w:val="2"/>
          <w:sz w:val="20"/>
          <w:szCs w:val="20"/>
        </w:rPr>
        <w:t>)</w:t>
      </w:r>
      <w:r>
        <w:rPr>
          <w:spacing w:val="2"/>
          <w:sz w:val="20"/>
          <w:szCs w:val="20"/>
        </w:rPr>
        <w:t>、帧中继</w:t>
      </w:r>
      <w:r>
        <w:rPr>
          <w:spacing w:val="-49"/>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Frame</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Relay</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FR</w:t>
      </w:r>
      <w:r>
        <w:rPr>
          <w:rFonts w:ascii="Times New Roman" w:hAnsi="Times New Roman" w:eastAsia="Times New Roman" w:cs="Times New Roman"/>
          <w:spacing w:val="2"/>
          <w:sz w:val="20"/>
          <w:szCs w:val="20"/>
        </w:rPr>
        <w:t>)</w:t>
      </w:r>
      <w:r>
        <w:rPr>
          <w:spacing w:val="2"/>
          <w:sz w:val="20"/>
          <w:szCs w:val="20"/>
        </w:rPr>
        <w:t>、异步传输模式</w:t>
      </w:r>
      <w:r>
        <w:rPr>
          <w:spacing w:val="-58"/>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Asynchronous   Transfer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Mode</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ATM</w:t>
      </w:r>
      <w:r>
        <w:rPr>
          <w:rFonts w:ascii="Times New Roman" w:hAnsi="Times New Roman" w:eastAsia="Times New Roman" w:cs="Times New Roman"/>
          <w:spacing w:val="11"/>
          <w:sz w:val="20"/>
          <w:szCs w:val="20"/>
        </w:rPr>
        <w:t>)</w:t>
      </w:r>
      <w:r>
        <w:rPr>
          <w:rFonts w:ascii="Times New Roman" w:hAnsi="Times New Roman" w:eastAsia="Times New Roman" w:cs="Times New Roman"/>
          <w:spacing w:val="22"/>
          <w:w w:val="101"/>
          <w:sz w:val="20"/>
          <w:szCs w:val="20"/>
        </w:rPr>
        <w:t xml:space="preserve"> </w:t>
      </w:r>
      <w:r>
        <w:rPr>
          <w:spacing w:val="11"/>
          <w:sz w:val="20"/>
          <w:szCs w:val="20"/>
        </w:rPr>
        <w:t>等，当前广域网技术主要集中在</w:t>
      </w:r>
      <w:r>
        <w:rPr>
          <w:rFonts w:ascii="Times New Roman" w:hAnsi="Times New Roman" w:eastAsia="Times New Roman" w:cs="Times New Roman"/>
          <w:sz w:val="20"/>
          <w:szCs w:val="20"/>
        </w:rPr>
        <w:t>TCP</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26"/>
          <w:w w:val="101"/>
          <w:sz w:val="20"/>
          <w:szCs w:val="20"/>
        </w:rPr>
        <w:t xml:space="preserve"> </w:t>
      </w:r>
      <w:r>
        <w:rPr>
          <w:spacing w:val="11"/>
          <w:sz w:val="20"/>
          <w:szCs w:val="20"/>
        </w:rPr>
        <w:t>领域，以及</w:t>
      </w:r>
      <w:r>
        <w:rPr>
          <w:spacing w:val="10"/>
          <w:sz w:val="20"/>
          <w:szCs w:val="20"/>
        </w:rPr>
        <w:t>基于</w:t>
      </w:r>
      <w:r>
        <w:rPr>
          <w:rFonts w:ascii="Times New Roman" w:hAnsi="Times New Roman" w:eastAsia="Times New Roman" w:cs="Times New Roman"/>
          <w:sz w:val="20"/>
          <w:szCs w:val="20"/>
        </w:rPr>
        <w:t>TCP</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26"/>
          <w:sz w:val="20"/>
          <w:szCs w:val="20"/>
        </w:rPr>
        <w:t xml:space="preserve"> </w:t>
      </w:r>
      <w:r>
        <w:rPr>
          <w:spacing w:val="10"/>
          <w:sz w:val="20"/>
          <w:szCs w:val="20"/>
        </w:rPr>
        <w:t>的多</w:t>
      </w:r>
    </w:p>
    <w:p w14:paraId="694BB9D4">
      <w:pPr>
        <w:spacing w:line="264" w:lineRule="auto"/>
        <w:rPr>
          <w:sz w:val="20"/>
          <w:szCs w:val="20"/>
        </w:rPr>
        <w:sectPr>
          <w:pgSz w:w="10300" w:h="13390"/>
          <w:pgMar w:top="400" w:right="1020" w:bottom="400" w:left="509" w:header="0" w:footer="0" w:gutter="0"/>
          <w:cols w:space="720" w:num="1"/>
        </w:sectPr>
      </w:pPr>
    </w:p>
    <w:p w14:paraId="6E149525">
      <w:pPr>
        <w:pStyle w:val="2"/>
        <w:jc w:val="right"/>
        <w:rPr>
          <w:rFonts w:ascii="Times New Roman" w:hAnsi="Times New Roman" w:eastAsia="Times New Roman" w:cs="Times New Roman"/>
          <w:sz w:val="17"/>
          <w:szCs w:val="17"/>
        </w:rPr>
      </w:pPr>
      <w:bookmarkStart w:id="534" w:name="bookmark521"/>
      <w:bookmarkEnd w:id="534"/>
      <w:r>
        <w:rPr>
          <w:spacing w:val="-2"/>
          <w:sz w:val="20"/>
          <w:szCs w:val="20"/>
        </w:rPr>
        <w:t xml:space="preserve">第3章 信息网络系统 </w:t>
      </w:r>
      <w:r>
        <w:rPr>
          <w:position w:val="-10"/>
          <w:sz w:val="20"/>
          <w:szCs w:val="20"/>
        </w:rPr>
        <w:drawing>
          <wp:inline distT="0" distB="0" distL="0" distR="0">
            <wp:extent cx="310515" cy="2406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78"/>
                    <a:stretch>
                      <a:fillRect/>
                    </a:stretch>
                  </pic:blipFill>
                  <pic:spPr>
                    <a:xfrm>
                      <a:off x="0" y="0"/>
                      <a:ext cx="311131" cy="241262"/>
                    </a:xfrm>
                    <a:prstGeom prst="rect">
                      <a:avLst/>
                    </a:prstGeom>
                  </pic:spPr>
                </pic:pic>
              </a:graphicData>
            </a:graphic>
          </wp:inline>
        </w:drawing>
      </w:r>
      <w:r>
        <w:rPr>
          <w:spacing w:val="-53"/>
          <w:sz w:val="20"/>
          <w:szCs w:val="20"/>
        </w:rPr>
        <w:t xml:space="preserve"> </w:t>
      </w:r>
      <w:r>
        <w:rPr>
          <w:rFonts w:ascii="Times New Roman" w:hAnsi="Times New Roman" w:eastAsia="Times New Roman" w:cs="Times New Roman"/>
          <w:spacing w:val="-2"/>
          <w:sz w:val="17"/>
          <w:szCs w:val="17"/>
        </w:rPr>
        <w:t>103</w:t>
      </w:r>
    </w:p>
    <w:p w14:paraId="664B9F5D">
      <w:pPr>
        <w:spacing w:line="249" w:lineRule="auto"/>
        <w:rPr>
          <w:rFonts w:ascii="Arial"/>
          <w:sz w:val="21"/>
        </w:rPr>
      </w:pPr>
    </w:p>
    <w:p w14:paraId="5942CB31">
      <w:pPr>
        <w:pStyle w:val="2"/>
        <w:spacing w:before="65" w:line="260" w:lineRule="auto"/>
        <w:ind w:right="309"/>
        <w:rPr>
          <w:sz w:val="20"/>
          <w:szCs w:val="20"/>
        </w:rPr>
      </w:pPr>
      <w:r>
        <w:rPr>
          <w:spacing w:val="10"/>
          <w:sz w:val="20"/>
          <w:szCs w:val="20"/>
        </w:rPr>
        <w:t>协议标记交换</w:t>
      </w:r>
      <w:r>
        <w:rPr>
          <w:spacing w:val="-39"/>
          <w:sz w:val="20"/>
          <w:szCs w:val="20"/>
        </w:rPr>
        <w:t xml:space="preserve"> </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Multi</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Protocol    Label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Switching</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MPLS</w:t>
      </w:r>
      <w:r>
        <w:rPr>
          <w:rFonts w:ascii="Times New Roman" w:hAnsi="Times New Roman" w:eastAsia="Times New Roman" w:cs="Times New Roman"/>
          <w:spacing w:val="10"/>
          <w:sz w:val="20"/>
          <w:szCs w:val="20"/>
        </w:rPr>
        <w:t>)</w:t>
      </w:r>
      <w:r>
        <w:rPr>
          <w:rFonts w:ascii="Times New Roman" w:hAnsi="Times New Roman" w:eastAsia="Times New Roman" w:cs="Times New Roman"/>
          <w:spacing w:val="25"/>
          <w:sz w:val="20"/>
          <w:szCs w:val="20"/>
        </w:rPr>
        <w:t xml:space="preserve"> </w:t>
      </w:r>
      <w:r>
        <w:rPr>
          <w:spacing w:val="10"/>
          <w:sz w:val="20"/>
          <w:szCs w:val="20"/>
        </w:rPr>
        <w:t>技术、虚拟专用网</w:t>
      </w:r>
      <w:r>
        <w:rPr>
          <w:spacing w:val="9"/>
          <w:sz w:val="20"/>
          <w:szCs w:val="20"/>
        </w:rPr>
        <w:t>络</w:t>
      </w:r>
      <w:r>
        <w:rPr>
          <w:spacing w:val="-49"/>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Virtual</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 xml:space="preserve">Private </w:t>
      </w:r>
      <w:r>
        <w:rPr>
          <w:rFonts w:ascii="Times New Roman" w:hAnsi="Times New Roman" w:eastAsia="Times New Roman" w:cs="Times New Roman"/>
          <w:spacing w:val="-2"/>
          <w:sz w:val="20"/>
          <w:szCs w:val="20"/>
        </w:rPr>
        <w:t>Network,VPN)</w:t>
      </w:r>
      <w:r>
        <w:rPr>
          <w:rFonts w:ascii="Times New Roman" w:hAnsi="Times New Roman" w:eastAsia="Times New Roman" w:cs="Times New Roman"/>
          <w:spacing w:val="5"/>
          <w:sz w:val="20"/>
          <w:szCs w:val="20"/>
        </w:rPr>
        <w:t xml:space="preserve">     </w:t>
      </w:r>
      <w:r>
        <w:rPr>
          <w:spacing w:val="-2"/>
          <w:sz w:val="20"/>
          <w:szCs w:val="20"/>
        </w:rPr>
        <w:t>技术等。</w:t>
      </w:r>
    </w:p>
    <w:p w14:paraId="7DC86E82">
      <w:pPr>
        <w:pStyle w:val="2"/>
        <w:spacing w:before="56" w:line="288" w:lineRule="auto"/>
        <w:ind w:right="303" w:firstLine="420"/>
        <w:jc w:val="both"/>
        <w:rPr>
          <w:sz w:val="20"/>
          <w:szCs w:val="20"/>
        </w:rPr>
      </w:pPr>
      <w:r>
        <w:rPr>
          <w:rFonts w:ascii="Times New Roman" w:hAnsi="Times New Roman" w:eastAsia="Times New Roman" w:cs="Times New Roman"/>
          <w:sz w:val="20"/>
          <w:szCs w:val="20"/>
        </w:rPr>
        <w:t>MPLS</w:t>
      </w:r>
      <w:r>
        <w:rPr>
          <w:rFonts w:ascii="Times New Roman" w:hAnsi="Times New Roman" w:eastAsia="Times New Roman" w:cs="Times New Roman"/>
          <w:spacing w:val="8"/>
          <w:sz w:val="20"/>
          <w:szCs w:val="20"/>
        </w:rPr>
        <w:t xml:space="preserve"> </w:t>
      </w:r>
      <w:r>
        <w:rPr>
          <w:spacing w:val="5"/>
          <w:sz w:val="20"/>
          <w:szCs w:val="20"/>
        </w:rPr>
        <w:t>在</w:t>
      </w:r>
      <w:r>
        <w:rPr>
          <w:rFonts w:ascii="Times New Roman" w:hAnsi="Times New Roman" w:eastAsia="Times New Roman" w:cs="Times New Roman"/>
          <w:sz w:val="20"/>
          <w:szCs w:val="20"/>
        </w:rPr>
        <w:t>IP</w:t>
      </w:r>
      <w:r>
        <w:rPr>
          <w:rFonts w:ascii="Times New Roman" w:hAnsi="Times New Roman" w:eastAsia="Times New Roman" w:cs="Times New Roman"/>
          <w:spacing w:val="27"/>
          <w:sz w:val="20"/>
          <w:szCs w:val="20"/>
        </w:rPr>
        <w:t xml:space="preserve"> </w:t>
      </w:r>
      <w:r>
        <w:rPr>
          <w:spacing w:val="5"/>
          <w:sz w:val="20"/>
          <w:szCs w:val="20"/>
        </w:rPr>
        <w:t>数据包基础上，增加了一个标签</w:t>
      </w:r>
      <w:r>
        <w:rPr>
          <w:spacing w:val="-4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Lable</w:t>
      </w:r>
      <w:r>
        <w:rPr>
          <w:rFonts w:ascii="Times New Roman" w:hAnsi="Times New Roman" w:eastAsia="Times New Roman" w:cs="Times New Roman"/>
          <w:spacing w:val="5"/>
          <w:sz w:val="20"/>
          <w:szCs w:val="20"/>
        </w:rPr>
        <w:t xml:space="preserve">),    </w:t>
      </w:r>
      <w:r>
        <w:rPr>
          <w:spacing w:val="5"/>
          <w:sz w:val="20"/>
          <w:szCs w:val="20"/>
        </w:rPr>
        <w:t>基于这个标签进行路由选择和数据</w:t>
      </w:r>
      <w:r>
        <w:rPr>
          <w:sz w:val="20"/>
          <w:szCs w:val="20"/>
        </w:rPr>
        <w:t xml:space="preserve"> </w:t>
      </w:r>
      <w:r>
        <w:rPr>
          <w:spacing w:val="8"/>
          <w:sz w:val="20"/>
          <w:szCs w:val="20"/>
        </w:rPr>
        <w:t>转发。在基于</w:t>
      </w:r>
      <w:r>
        <w:rPr>
          <w:rFonts w:ascii="Times New Roman" w:hAnsi="Times New Roman" w:eastAsia="Times New Roman" w:cs="Times New Roman"/>
          <w:sz w:val="20"/>
          <w:szCs w:val="20"/>
        </w:rPr>
        <w:t>TCP</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17"/>
          <w:sz w:val="20"/>
          <w:szCs w:val="20"/>
        </w:rPr>
        <w:t xml:space="preserve"> </w:t>
      </w:r>
      <w:r>
        <w:rPr>
          <w:spacing w:val="8"/>
          <w:sz w:val="20"/>
          <w:szCs w:val="20"/>
        </w:rPr>
        <w:t>的广域网中，要支持</w:t>
      </w:r>
      <w:r>
        <w:rPr>
          <w:rFonts w:ascii="Times New Roman" w:hAnsi="Times New Roman" w:eastAsia="Times New Roman" w:cs="Times New Roman"/>
          <w:sz w:val="20"/>
          <w:szCs w:val="20"/>
        </w:rPr>
        <w:t>MPLS</w:t>
      </w:r>
      <w:r>
        <w:rPr>
          <w:rFonts w:ascii="Times New Roman" w:hAnsi="Times New Roman" w:eastAsia="Times New Roman" w:cs="Times New Roman"/>
          <w:spacing w:val="8"/>
          <w:sz w:val="20"/>
          <w:szCs w:val="20"/>
        </w:rPr>
        <w:t xml:space="preserve"> </w:t>
      </w:r>
      <w:r>
        <w:rPr>
          <w:spacing w:val="8"/>
          <w:sz w:val="20"/>
          <w:szCs w:val="20"/>
        </w:rPr>
        <w:t>功能，需要将</w:t>
      </w:r>
      <w:r>
        <w:rPr>
          <w:spacing w:val="7"/>
          <w:sz w:val="20"/>
          <w:szCs w:val="20"/>
        </w:rPr>
        <w:t>传统路由器升级为</w:t>
      </w:r>
      <w:r>
        <w:rPr>
          <w:rFonts w:ascii="Times New Roman" w:hAnsi="Times New Roman" w:eastAsia="Times New Roman" w:cs="Times New Roman"/>
          <w:sz w:val="20"/>
          <w:szCs w:val="20"/>
        </w:rPr>
        <w:t>MPLS</w:t>
      </w:r>
      <w:r>
        <w:rPr>
          <w:rFonts w:ascii="Times New Roman" w:hAnsi="Times New Roman" w:eastAsia="Times New Roman" w:cs="Times New Roman"/>
          <w:spacing w:val="7"/>
          <w:sz w:val="20"/>
          <w:szCs w:val="20"/>
        </w:rPr>
        <w:t xml:space="preserve"> </w:t>
      </w:r>
      <w:r>
        <w:rPr>
          <w:spacing w:val="7"/>
          <w:sz w:val="20"/>
          <w:szCs w:val="20"/>
        </w:rPr>
        <w:t>标</w:t>
      </w:r>
      <w:r>
        <w:rPr>
          <w:spacing w:val="-45"/>
          <w:sz w:val="20"/>
          <w:szCs w:val="20"/>
        </w:rPr>
        <w:t xml:space="preserve"> </w:t>
      </w:r>
      <w:r>
        <w:rPr>
          <w:spacing w:val="7"/>
          <w:sz w:val="20"/>
          <w:szCs w:val="20"/>
        </w:rPr>
        <w:t>记</w:t>
      </w:r>
      <w:r>
        <w:rPr>
          <w:sz w:val="20"/>
          <w:szCs w:val="20"/>
        </w:rPr>
        <w:t xml:space="preserve"> </w:t>
      </w:r>
      <w:r>
        <w:rPr>
          <w:spacing w:val="8"/>
          <w:sz w:val="20"/>
          <w:szCs w:val="20"/>
        </w:rPr>
        <w:t>交换路由器，以支持</w:t>
      </w:r>
      <w:r>
        <w:rPr>
          <w:rFonts w:ascii="Times New Roman" w:hAnsi="Times New Roman" w:eastAsia="Times New Roman" w:cs="Times New Roman"/>
          <w:sz w:val="20"/>
          <w:szCs w:val="20"/>
        </w:rPr>
        <w:t>MPLS</w:t>
      </w:r>
      <w:r>
        <w:rPr>
          <w:rFonts w:ascii="Times New Roman" w:hAnsi="Times New Roman" w:eastAsia="Times New Roman" w:cs="Times New Roman"/>
          <w:spacing w:val="21"/>
          <w:sz w:val="20"/>
          <w:szCs w:val="20"/>
        </w:rPr>
        <w:t xml:space="preserve"> </w:t>
      </w:r>
      <w:r>
        <w:rPr>
          <w:spacing w:val="8"/>
          <w:sz w:val="20"/>
          <w:szCs w:val="20"/>
        </w:rPr>
        <w:t>的标记分发协议</w:t>
      </w:r>
      <w:r>
        <w:rPr>
          <w:spacing w:val="-50"/>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Label</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Distribution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LDP</w:t>
      </w:r>
      <w:r>
        <w:rPr>
          <w:rFonts w:ascii="Times New Roman" w:hAnsi="Times New Roman" w:eastAsia="Times New Roman" w:cs="Times New Roman"/>
          <w:spacing w:val="8"/>
          <w:sz w:val="20"/>
          <w:szCs w:val="20"/>
        </w:rPr>
        <w:t>),</w:t>
      </w:r>
      <w:r>
        <w:rPr>
          <w:spacing w:val="7"/>
          <w:sz w:val="20"/>
          <w:szCs w:val="20"/>
        </w:rPr>
        <w:t>按照它们在</w:t>
      </w:r>
      <w:r>
        <w:rPr>
          <w:sz w:val="20"/>
          <w:szCs w:val="20"/>
        </w:rPr>
        <w:t xml:space="preserve"> MPLS</w:t>
      </w:r>
      <w:r>
        <w:rPr>
          <w:spacing w:val="108"/>
          <w:sz w:val="20"/>
          <w:szCs w:val="20"/>
        </w:rPr>
        <w:t xml:space="preserve"> </w:t>
      </w:r>
      <w:r>
        <w:rPr>
          <w:spacing w:val="2"/>
          <w:sz w:val="20"/>
          <w:szCs w:val="20"/>
        </w:rPr>
        <w:t>网络中所处位置的不同，可划分为</w:t>
      </w:r>
      <w:r>
        <w:rPr>
          <w:sz w:val="20"/>
          <w:szCs w:val="20"/>
        </w:rPr>
        <w:t>MPLS</w:t>
      </w:r>
      <w:r>
        <w:rPr>
          <w:spacing w:val="71"/>
          <w:sz w:val="20"/>
          <w:szCs w:val="20"/>
        </w:rPr>
        <w:t xml:space="preserve"> </w:t>
      </w:r>
      <w:r>
        <w:rPr>
          <w:spacing w:val="2"/>
          <w:sz w:val="20"/>
          <w:szCs w:val="20"/>
        </w:rPr>
        <w:t>标记边缘路由器(</w:t>
      </w:r>
      <w:r>
        <w:rPr>
          <w:sz w:val="20"/>
          <w:szCs w:val="20"/>
        </w:rPr>
        <w:t>Label</w:t>
      </w:r>
      <w:r>
        <w:rPr>
          <w:spacing w:val="84"/>
          <w:sz w:val="20"/>
          <w:szCs w:val="20"/>
        </w:rPr>
        <w:t xml:space="preserve"> </w:t>
      </w:r>
      <w:r>
        <w:rPr>
          <w:sz w:val="20"/>
          <w:szCs w:val="20"/>
        </w:rPr>
        <w:t>Edge</w:t>
      </w:r>
      <w:r>
        <w:rPr>
          <w:spacing w:val="85"/>
          <w:sz w:val="20"/>
          <w:szCs w:val="20"/>
        </w:rPr>
        <w:t xml:space="preserve"> </w:t>
      </w:r>
      <w:r>
        <w:rPr>
          <w:sz w:val="20"/>
          <w:szCs w:val="20"/>
        </w:rPr>
        <w:t>Router</w:t>
      </w:r>
      <w:r>
        <w:rPr>
          <w:spacing w:val="2"/>
          <w:sz w:val="20"/>
          <w:szCs w:val="20"/>
        </w:rPr>
        <w:t>,</w:t>
      </w:r>
      <w:r>
        <w:rPr>
          <w:sz w:val="20"/>
          <w:szCs w:val="20"/>
        </w:rPr>
        <w:t>LER</w:t>
      </w:r>
      <w:r>
        <w:rPr>
          <w:spacing w:val="2"/>
          <w:sz w:val="20"/>
          <w:szCs w:val="20"/>
        </w:rPr>
        <w:t>)和</w:t>
      </w:r>
      <w:r>
        <w:rPr>
          <w:sz w:val="20"/>
          <w:szCs w:val="20"/>
        </w:rPr>
        <w:t xml:space="preserve"> </w:t>
      </w:r>
      <w:r>
        <w:rPr>
          <w:rFonts w:ascii="Times New Roman" w:hAnsi="Times New Roman" w:eastAsia="Times New Roman" w:cs="Times New Roman"/>
          <w:sz w:val="20"/>
          <w:szCs w:val="20"/>
        </w:rPr>
        <w:t xml:space="preserve">MPLS </w:t>
      </w:r>
      <w:r>
        <w:rPr>
          <w:sz w:val="20"/>
          <w:szCs w:val="20"/>
        </w:rPr>
        <w:t>标记核心路由器</w:t>
      </w:r>
      <w:r>
        <w:rPr>
          <w:spacing w:val="-46"/>
          <w:sz w:val="20"/>
          <w:szCs w:val="20"/>
        </w:rPr>
        <w:t xml:space="preserve"> </w:t>
      </w:r>
      <w:r>
        <w:rPr>
          <w:rFonts w:ascii="Times New Roman" w:hAnsi="Times New Roman" w:eastAsia="Times New Roman" w:cs="Times New Roman"/>
          <w:sz w:val="20"/>
          <w:szCs w:val="20"/>
        </w:rPr>
        <w:t>(Label   Switching    Router,LSR)</w:t>
      </w:r>
      <w:r>
        <w:rPr>
          <w:rFonts w:ascii="Times New Roman" w:hAnsi="Times New Roman" w:eastAsia="Times New Roman" w:cs="Times New Roman"/>
          <w:spacing w:val="-23"/>
          <w:sz w:val="20"/>
          <w:szCs w:val="20"/>
        </w:rPr>
        <w:t xml:space="preserve"> </w:t>
      </w:r>
      <w:r>
        <w:rPr>
          <w:sz w:val="20"/>
          <w:szCs w:val="20"/>
        </w:rPr>
        <w:t>。</w:t>
      </w:r>
      <w:r>
        <w:rPr>
          <w:rFonts w:ascii="Times New Roman" w:hAnsi="Times New Roman" w:eastAsia="Times New Roman" w:cs="Times New Roman"/>
          <w:sz w:val="20"/>
          <w:szCs w:val="20"/>
        </w:rPr>
        <w:t>MPLS</w:t>
      </w:r>
      <w:r>
        <w:rPr>
          <w:rFonts w:ascii="Times New Roman" w:hAnsi="Times New Roman" w:eastAsia="Times New Roman" w:cs="Times New Roman"/>
          <w:spacing w:val="-21"/>
          <w:sz w:val="20"/>
          <w:szCs w:val="20"/>
        </w:rPr>
        <w:t xml:space="preserve"> </w:t>
      </w:r>
      <w:r>
        <w:rPr>
          <w:sz w:val="20"/>
          <w:szCs w:val="20"/>
        </w:rPr>
        <w:t>支持流量工程、服务级别</w:t>
      </w:r>
      <w:r>
        <w:rPr>
          <w:spacing w:val="-46"/>
          <w:sz w:val="20"/>
          <w:szCs w:val="20"/>
        </w:rPr>
        <w:t xml:space="preserve"> </w:t>
      </w:r>
      <w:r>
        <w:rPr>
          <w:rFonts w:ascii="Times New Roman" w:hAnsi="Times New Roman" w:eastAsia="Times New Roman" w:cs="Times New Roman"/>
          <w:sz w:val="20"/>
          <w:szCs w:val="20"/>
        </w:rPr>
        <w:t xml:space="preserve">(Class  </w:t>
      </w:r>
      <w:r>
        <w:rPr>
          <w:rFonts w:ascii="Times New Roman" w:hAnsi="Times New Roman" w:eastAsia="Times New Roman" w:cs="Times New Roman"/>
          <w:spacing w:val="-1"/>
          <w:sz w:val="20"/>
          <w:szCs w:val="20"/>
        </w:rPr>
        <w:t>of     Service,CoS)</w:t>
      </w:r>
      <w:r>
        <w:rPr>
          <w:rFonts w:ascii="Times New Roman" w:hAnsi="Times New Roman" w:eastAsia="Times New Roman" w:cs="Times New Roman"/>
          <w:spacing w:val="-10"/>
          <w:sz w:val="20"/>
          <w:szCs w:val="20"/>
        </w:rPr>
        <w:t xml:space="preserve"> </w:t>
      </w:r>
      <w:r>
        <w:rPr>
          <w:spacing w:val="-1"/>
          <w:sz w:val="20"/>
          <w:szCs w:val="20"/>
        </w:rPr>
        <w:t>、</w:t>
      </w:r>
      <w:r>
        <w:rPr>
          <w:rFonts w:ascii="Times New Roman" w:hAnsi="Times New Roman" w:eastAsia="Times New Roman" w:cs="Times New Roman"/>
          <w:spacing w:val="-1"/>
          <w:sz w:val="20"/>
          <w:szCs w:val="20"/>
        </w:rPr>
        <w:t>QoS</w:t>
      </w:r>
      <w:r>
        <w:rPr>
          <w:spacing w:val="-1"/>
          <w:sz w:val="20"/>
          <w:szCs w:val="20"/>
        </w:rPr>
        <w:t>和</w:t>
      </w:r>
      <w:r>
        <w:rPr>
          <w:spacing w:val="-51"/>
          <w:sz w:val="20"/>
          <w:szCs w:val="20"/>
        </w:rPr>
        <w:t xml:space="preserve"> </w:t>
      </w:r>
      <w:r>
        <w:rPr>
          <w:rFonts w:ascii="Times New Roman" w:hAnsi="Times New Roman" w:eastAsia="Times New Roman" w:cs="Times New Roman"/>
          <w:spacing w:val="-1"/>
          <w:sz w:val="20"/>
          <w:szCs w:val="20"/>
        </w:rPr>
        <w:t>MPLS VPN</w:t>
      </w:r>
      <w:r>
        <w:rPr>
          <w:rFonts w:ascii="Times New Roman" w:hAnsi="Times New Roman" w:eastAsia="Times New Roman" w:cs="Times New Roman"/>
          <w:spacing w:val="11"/>
          <w:sz w:val="20"/>
          <w:szCs w:val="20"/>
        </w:rPr>
        <w:t xml:space="preserve"> </w:t>
      </w:r>
      <w:r>
        <w:rPr>
          <w:spacing w:val="-1"/>
          <w:sz w:val="20"/>
          <w:szCs w:val="20"/>
        </w:rPr>
        <w:t>等应用。</w:t>
      </w:r>
    </w:p>
    <w:p w14:paraId="0F6FC547">
      <w:pPr>
        <w:pStyle w:val="2"/>
        <w:spacing w:before="24" w:line="288" w:lineRule="auto"/>
        <w:ind w:right="271" w:firstLine="420"/>
        <w:jc w:val="both"/>
        <w:rPr>
          <w:sz w:val="20"/>
          <w:szCs w:val="20"/>
        </w:rPr>
      </w:pPr>
      <w:r>
        <w:rPr>
          <w:rFonts w:ascii="Times New Roman" w:hAnsi="Times New Roman" w:eastAsia="Times New Roman" w:cs="Times New Roman"/>
          <w:sz w:val="20"/>
          <w:szCs w:val="20"/>
        </w:rPr>
        <w:t>VPN</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1"/>
          <w:sz w:val="20"/>
          <w:szCs w:val="20"/>
        </w:rPr>
        <w:t xml:space="preserve">  </w:t>
      </w:r>
      <w:r>
        <w:rPr>
          <w:spacing w:val="8"/>
          <w:sz w:val="20"/>
          <w:szCs w:val="20"/>
        </w:rPr>
        <w:t>即虚拟专用网，指通过</w:t>
      </w:r>
      <w:r>
        <w:rPr>
          <w:rFonts w:ascii="Times New Roman" w:hAnsi="Times New Roman" w:eastAsia="Times New Roman" w:cs="Times New Roman"/>
          <w:sz w:val="20"/>
          <w:szCs w:val="20"/>
        </w:rPr>
        <w:t>VPN</w:t>
      </w:r>
      <w:r>
        <w:rPr>
          <w:rFonts w:ascii="Times New Roman" w:hAnsi="Times New Roman" w:eastAsia="Times New Roman" w:cs="Times New Roman"/>
          <w:spacing w:val="8"/>
          <w:sz w:val="20"/>
          <w:szCs w:val="20"/>
        </w:rPr>
        <w:t xml:space="preserve"> </w:t>
      </w:r>
      <w:r>
        <w:rPr>
          <w:spacing w:val="8"/>
          <w:sz w:val="20"/>
          <w:szCs w:val="20"/>
        </w:rPr>
        <w:t>技术在运营商等公有网</w:t>
      </w:r>
      <w:r>
        <w:rPr>
          <w:spacing w:val="7"/>
          <w:sz w:val="20"/>
          <w:szCs w:val="20"/>
        </w:rPr>
        <w:t>络中构建专用的虚拟网络，主</w:t>
      </w:r>
      <w:r>
        <w:rPr>
          <w:sz w:val="20"/>
          <w:szCs w:val="20"/>
        </w:rPr>
        <w:t xml:space="preserve"> </w:t>
      </w:r>
      <w:r>
        <w:rPr>
          <w:spacing w:val="7"/>
          <w:sz w:val="20"/>
          <w:szCs w:val="20"/>
        </w:rPr>
        <w:t>要用于将企业的分支机构网络通过城域网和广域网实</w:t>
      </w:r>
      <w:r>
        <w:rPr>
          <w:spacing w:val="6"/>
          <w:sz w:val="20"/>
          <w:szCs w:val="20"/>
        </w:rPr>
        <w:t>现互连，或个人用户终端通过</w:t>
      </w:r>
      <w:r>
        <w:rPr>
          <w:rFonts w:ascii="Times New Roman" w:hAnsi="Times New Roman" w:eastAsia="Times New Roman" w:cs="Times New Roman"/>
          <w:sz w:val="20"/>
          <w:szCs w:val="20"/>
        </w:rPr>
        <w:t>VPN</w:t>
      </w:r>
      <w:r>
        <w:rPr>
          <w:rFonts w:ascii="Times New Roman" w:hAnsi="Times New Roman" w:eastAsia="Times New Roman" w:cs="Times New Roman"/>
          <w:spacing w:val="6"/>
          <w:sz w:val="20"/>
          <w:szCs w:val="20"/>
        </w:rPr>
        <w:t xml:space="preserve"> </w:t>
      </w:r>
      <w:r>
        <w:rPr>
          <w:spacing w:val="6"/>
          <w:sz w:val="20"/>
          <w:szCs w:val="20"/>
        </w:rPr>
        <w:t>接入</w:t>
      </w:r>
      <w:r>
        <w:rPr>
          <w:sz w:val="20"/>
          <w:szCs w:val="20"/>
        </w:rPr>
        <w:t xml:space="preserve"> </w:t>
      </w:r>
      <w:r>
        <w:rPr>
          <w:spacing w:val="6"/>
          <w:sz w:val="20"/>
          <w:szCs w:val="20"/>
        </w:rPr>
        <w:t>远程的企业网络，通过</w:t>
      </w:r>
      <w:r>
        <w:rPr>
          <w:rFonts w:ascii="Times New Roman" w:hAnsi="Times New Roman" w:eastAsia="Times New Roman" w:cs="Times New Roman"/>
          <w:sz w:val="20"/>
          <w:szCs w:val="20"/>
        </w:rPr>
        <w:t>VPN</w:t>
      </w:r>
      <w:r>
        <w:rPr>
          <w:rFonts w:ascii="Times New Roman" w:hAnsi="Times New Roman" w:eastAsia="Times New Roman" w:cs="Times New Roman"/>
          <w:spacing w:val="-8"/>
          <w:sz w:val="20"/>
          <w:szCs w:val="20"/>
        </w:rPr>
        <w:t xml:space="preserve"> </w:t>
      </w:r>
      <w:r>
        <w:rPr>
          <w:spacing w:val="6"/>
          <w:sz w:val="20"/>
          <w:szCs w:val="20"/>
        </w:rPr>
        <w:t>可有效解决互通、安全、成本等问题；实现</w:t>
      </w:r>
      <w:r>
        <w:rPr>
          <w:rFonts w:ascii="Times New Roman" w:hAnsi="Times New Roman" w:eastAsia="Times New Roman" w:cs="Times New Roman"/>
          <w:sz w:val="20"/>
          <w:szCs w:val="20"/>
        </w:rPr>
        <w:t>VPN</w:t>
      </w:r>
      <w:r>
        <w:rPr>
          <w:rFonts w:ascii="Times New Roman" w:hAnsi="Times New Roman" w:eastAsia="Times New Roman" w:cs="Times New Roman"/>
          <w:spacing w:val="22"/>
          <w:w w:val="101"/>
          <w:sz w:val="20"/>
          <w:szCs w:val="20"/>
        </w:rPr>
        <w:t xml:space="preserve"> </w:t>
      </w:r>
      <w:r>
        <w:rPr>
          <w:spacing w:val="6"/>
          <w:sz w:val="20"/>
          <w:szCs w:val="20"/>
        </w:rPr>
        <w:t>的关键</w:t>
      </w:r>
      <w:r>
        <w:rPr>
          <w:spacing w:val="5"/>
          <w:sz w:val="20"/>
          <w:szCs w:val="20"/>
        </w:rPr>
        <w:t>技术包括</w:t>
      </w:r>
      <w:r>
        <w:rPr>
          <w:sz w:val="20"/>
          <w:szCs w:val="20"/>
        </w:rPr>
        <w:t xml:space="preserve"> </w:t>
      </w:r>
      <w:r>
        <w:rPr>
          <w:spacing w:val="11"/>
          <w:sz w:val="20"/>
          <w:szCs w:val="20"/>
        </w:rPr>
        <w:t>隧道</w:t>
      </w:r>
      <w:r>
        <w:rPr>
          <w:spacing w:val="-50"/>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Tunneling</w:t>
      </w:r>
      <w:r>
        <w:rPr>
          <w:rFonts w:ascii="Times New Roman" w:hAnsi="Times New Roman" w:eastAsia="Times New Roman" w:cs="Times New Roman"/>
          <w:spacing w:val="11"/>
          <w:sz w:val="20"/>
          <w:szCs w:val="20"/>
        </w:rPr>
        <w:t xml:space="preserve">)   </w:t>
      </w:r>
      <w:r>
        <w:rPr>
          <w:spacing w:val="11"/>
          <w:sz w:val="20"/>
          <w:szCs w:val="20"/>
        </w:rPr>
        <w:t>技术、认证协议、密钥交换技术等，隧道技术除了</w:t>
      </w:r>
      <w:r>
        <w:rPr>
          <w:rFonts w:ascii="Times New Roman" w:hAnsi="Times New Roman" w:eastAsia="Times New Roman" w:cs="Times New Roman"/>
          <w:sz w:val="20"/>
          <w:szCs w:val="20"/>
        </w:rPr>
        <w:t>MPLS</w:t>
      </w:r>
      <w:r>
        <w:rPr>
          <w:rFonts w:ascii="Times New Roman" w:hAnsi="Times New Roman" w:eastAsia="Times New Roman" w:cs="Times New Roman"/>
          <w:spacing w:val="11"/>
          <w:sz w:val="20"/>
          <w:szCs w:val="20"/>
        </w:rPr>
        <w:t xml:space="preserve"> </w:t>
      </w:r>
      <w:r>
        <w:rPr>
          <w:spacing w:val="10"/>
          <w:sz w:val="20"/>
          <w:szCs w:val="20"/>
        </w:rPr>
        <w:t>外，点对点隧道</w:t>
      </w:r>
      <w:r>
        <w:rPr>
          <w:sz w:val="20"/>
          <w:szCs w:val="20"/>
        </w:rPr>
        <w:t xml:space="preserve"> </w:t>
      </w:r>
      <w:r>
        <w:rPr>
          <w:spacing w:val="4"/>
          <w:sz w:val="20"/>
          <w:szCs w:val="20"/>
        </w:rPr>
        <w:t>协议</w:t>
      </w:r>
      <w:r>
        <w:rPr>
          <w:spacing w:val="-49"/>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Point</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to</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Point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Tunneling</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PPTP</w:t>
      </w:r>
      <w:r>
        <w:rPr>
          <w:rFonts w:ascii="Times New Roman" w:hAnsi="Times New Roman" w:eastAsia="Times New Roman" w:cs="Times New Roman"/>
          <w:spacing w:val="4"/>
          <w:sz w:val="20"/>
          <w:szCs w:val="20"/>
        </w:rPr>
        <w:t>)</w:t>
      </w:r>
      <w:r>
        <w:rPr>
          <w:spacing w:val="4"/>
          <w:sz w:val="20"/>
          <w:szCs w:val="20"/>
        </w:rPr>
        <w:t>、第二</w:t>
      </w:r>
      <w:r>
        <w:rPr>
          <w:spacing w:val="3"/>
          <w:sz w:val="20"/>
          <w:szCs w:val="20"/>
        </w:rPr>
        <w:t>层隧道协议</w:t>
      </w:r>
      <w:r>
        <w:rPr>
          <w:spacing w:val="-59"/>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Layer</w:t>
      </w:r>
      <w:r>
        <w:rPr>
          <w:rFonts w:ascii="Times New Roman" w:hAnsi="Times New Roman" w:eastAsia="Times New Roman" w:cs="Times New Roman"/>
          <w:spacing w:val="3"/>
          <w:sz w:val="20"/>
          <w:szCs w:val="20"/>
        </w:rPr>
        <w:t xml:space="preserve">2  </w:t>
      </w:r>
      <w:r>
        <w:rPr>
          <w:rFonts w:ascii="Times New Roman" w:hAnsi="Times New Roman" w:eastAsia="Times New Roman" w:cs="Times New Roman"/>
          <w:sz w:val="20"/>
          <w:szCs w:val="20"/>
        </w:rPr>
        <w:t>Tunneling</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L2</w:t>
      </w:r>
      <w:r>
        <w:rPr>
          <w:rFonts w:ascii="Times New Roman" w:hAnsi="Times New Roman" w:eastAsia="Times New Roman" w:cs="Times New Roman"/>
          <w:sz w:val="20"/>
          <w:szCs w:val="20"/>
        </w:rPr>
        <w:t>TP</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9"/>
          <w:sz w:val="20"/>
          <w:szCs w:val="20"/>
        </w:rPr>
        <w:t xml:space="preserve"> </w:t>
      </w:r>
      <w:r>
        <w:rPr>
          <w:spacing w:val="2"/>
          <w:sz w:val="20"/>
          <w:szCs w:val="20"/>
        </w:rPr>
        <w:t>、</w:t>
      </w:r>
      <w:r>
        <w:rPr>
          <w:spacing w:val="-17"/>
          <w:sz w:val="20"/>
          <w:szCs w:val="20"/>
        </w:rPr>
        <w:t xml:space="preserve"> </w:t>
      </w:r>
      <w:r>
        <w:rPr>
          <w:spacing w:val="2"/>
          <w:sz w:val="20"/>
          <w:szCs w:val="20"/>
        </w:rPr>
        <w:t>互联网安全协议</w:t>
      </w:r>
      <w:r>
        <w:rPr>
          <w:spacing w:val="-40"/>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Internet</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Security</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IPSec</w:t>
      </w:r>
      <w:r>
        <w:rPr>
          <w:rFonts w:ascii="Times New Roman" w:hAnsi="Times New Roman" w:eastAsia="Times New Roman" w:cs="Times New Roman"/>
          <w:spacing w:val="2"/>
          <w:sz w:val="20"/>
          <w:szCs w:val="20"/>
        </w:rPr>
        <w:t>)</w:t>
      </w:r>
      <w:r>
        <w:rPr>
          <w:spacing w:val="2"/>
          <w:sz w:val="20"/>
          <w:szCs w:val="20"/>
        </w:rPr>
        <w:t>、通用路由封装</w:t>
      </w:r>
      <w:r>
        <w:rPr>
          <w:spacing w:val="-49"/>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Generic</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Routing Encapsulation,GRE)     </w:t>
      </w:r>
      <w:r>
        <w:rPr>
          <w:sz w:val="20"/>
          <w:szCs w:val="20"/>
        </w:rPr>
        <w:t>和</w:t>
      </w:r>
      <w:r>
        <w:rPr>
          <w:spacing w:val="-40"/>
          <w:sz w:val="20"/>
          <w:szCs w:val="20"/>
        </w:rPr>
        <w:t xml:space="preserve"> </w:t>
      </w:r>
      <w:r>
        <w:rPr>
          <w:rFonts w:ascii="Times New Roman" w:hAnsi="Times New Roman" w:eastAsia="Times New Roman" w:cs="Times New Roman"/>
          <w:sz w:val="20"/>
          <w:szCs w:val="20"/>
        </w:rPr>
        <w:t>GPRS</w:t>
      </w:r>
      <w:r>
        <w:rPr>
          <w:rFonts w:ascii="Times New Roman" w:hAnsi="Times New Roman" w:eastAsia="Times New Roman" w:cs="Times New Roman"/>
          <w:spacing w:val="27"/>
          <w:sz w:val="20"/>
          <w:szCs w:val="20"/>
        </w:rPr>
        <w:t xml:space="preserve"> </w:t>
      </w:r>
      <w:r>
        <w:rPr>
          <w:sz w:val="20"/>
          <w:szCs w:val="20"/>
        </w:rPr>
        <w:t>隧道协议</w:t>
      </w:r>
      <w:r>
        <w:rPr>
          <w:spacing w:val="-49"/>
          <w:sz w:val="20"/>
          <w:szCs w:val="20"/>
        </w:rPr>
        <w:t xml:space="preserve"> </w:t>
      </w:r>
      <w:r>
        <w:rPr>
          <w:rFonts w:ascii="Times New Roman" w:hAnsi="Times New Roman" w:eastAsia="Times New Roman" w:cs="Times New Roman"/>
          <w:sz w:val="20"/>
          <w:szCs w:val="20"/>
        </w:rPr>
        <w:t xml:space="preserve">(GPRS    Tunneling    Protocol,GTP) </w:t>
      </w:r>
      <w:r>
        <w:rPr>
          <w:sz w:val="20"/>
          <w:szCs w:val="20"/>
        </w:rPr>
        <w:t>等也被广泛应用。</w:t>
      </w:r>
    </w:p>
    <w:p w14:paraId="24048EF8">
      <w:pPr>
        <w:spacing w:before="109" w:line="225" w:lineRule="auto"/>
        <w:ind w:left="420"/>
        <w:rPr>
          <w:rFonts w:ascii="楷体" w:hAnsi="楷体" w:eastAsia="楷体" w:cs="楷体"/>
          <w:sz w:val="20"/>
          <w:szCs w:val="20"/>
        </w:rPr>
      </w:pPr>
      <w:r>
        <w:rPr>
          <w:rFonts w:ascii="楷体" w:hAnsi="楷体" w:eastAsia="楷体" w:cs="楷体"/>
          <w:spacing w:val="8"/>
          <w:sz w:val="20"/>
          <w:szCs w:val="20"/>
        </w:rPr>
        <w:t>4)有线、无线接入技术</w:t>
      </w:r>
    </w:p>
    <w:p w14:paraId="31BDCE73">
      <w:pPr>
        <w:pStyle w:val="2"/>
        <w:spacing w:before="86" w:line="276" w:lineRule="auto"/>
        <w:ind w:right="285" w:firstLine="420"/>
        <w:rPr>
          <w:sz w:val="20"/>
          <w:szCs w:val="20"/>
        </w:rPr>
      </w:pPr>
      <w:r>
        <w:rPr>
          <w:spacing w:val="3"/>
          <w:sz w:val="20"/>
          <w:szCs w:val="20"/>
        </w:rPr>
        <w:t>网络接入是整个信息网络系统的重要组成部分，根据用户的不同需求，有不同的接入技术</w:t>
      </w:r>
      <w:r>
        <w:rPr>
          <w:spacing w:val="11"/>
          <w:sz w:val="20"/>
          <w:szCs w:val="20"/>
        </w:rPr>
        <w:t xml:space="preserve"> </w:t>
      </w:r>
      <w:r>
        <w:rPr>
          <w:spacing w:val="5"/>
          <w:sz w:val="20"/>
          <w:szCs w:val="20"/>
        </w:rPr>
        <w:t>和设备供选择。早期的有线接入技术包括电话线调制解调器</w:t>
      </w:r>
      <w:r>
        <w:rPr>
          <w:spacing w:val="-46"/>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Modem</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8"/>
          <w:sz w:val="20"/>
          <w:szCs w:val="20"/>
        </w:rPr>
        <w:t xml:space="preserve"> </w:t>
      </w:r>
      <w:r>
        <w:rPr>
          <w:spacing w:val="5"/>
          <w:sz w:val="20"/>
          <w:szCs w:val="20"/>
        </w:rPr>
        <w:t>、 非对称数字用户环路</w:t>
      </w:r>
      <w:r>
        <w:rPr>
          <w:sz w:val="20"/>
          <w:szCs w:val="20"/>
        </w:rPr>
        <w:t xml:space="preserve"> </w:t>
      </w:r>
      <w:r>
        <w:rPr>
          <w:rFonts w:ascii="Times New Roman" w:hAnsi="Times New Roman" w:eastAsia="Times New Roman" w:cs="Times New Roman"/>
          <w:sz w:val="20"/>
          <w:szCs w:val="20"/>
        </w:rPr>
        <w:t>(Asymmetric   Digital   Subscribe</w:t>
      </w:r>
      <w:r>
        <w:rPr>
          <w:rFonts w:ascii="Times New Roman" w:hAnsi="Times New Roman" w:eastAsia="Times New Roman" w:cs="Times New Roman"/>
          <w:spacing w:val="-1"/>
          <w:sz w:val="20"/>
          <w:szCs w:val="20"/>
        </w:rPr>
        <w:t>r   Line,ADSL)</w:t>
      </w:r>
      <w:r>
        <w:rPr>
          <w:spacing w:val="-1"/>
          <w:sz w:val="20"/>
          <w:szCs w:val="20"/>
        </w:rPr>
        <w:t>、高速数字用户环路</w:t>
      </w:r>
      <w:r>
        <w:rPr>
          <w:spacing w:val="-47"/>
          <w:sz w:val="20"/>
          <w:szCs w:val="20"/>
        </w:rPr>
        <w:t xml:space="preserve"> </w:t>
      </w:r>
      <w:r>
        <w:rPr>
          <w:rFonts w:ascii="Times New Roman" w:hAnsi="Times New Roman" w:eastAsia="Times New Roman" w:cs="Times New Roman"/>
          <w:spacing w:val="-1"/>
          <w:sz w:val="20"/>
          <w:szCs w:val="20"/>
        </w:rPr>
        <w:t>(High-speed  Digital  Subscriber</w:t>
      </w:r>
      <w:r>
        <w:rPr>
          <w:rFonts w:ascii="Times New Roman" w:hAnsi="Times New Roman" w:eastAsia="Times New Roman" w:cs="Times New Roman"/>
          <w:sz w:val="20"/>
          <w:szCs w:val="20"/>
        </w:rPr>
        <w:t xml:space="preserve"> Line</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HDSL</w:t>
      </w:r>
      <w:r>
        <w:rPr>
          <w:rFonts w:ascii="Times New Roman" w:hAnsi="Times New Roman" w:eastAsia="Times New Roman" w:cs="Times New Roman"/>
          <w:spacing w:val="6"/>
          <w:sz w:val="20"/>
          <w:szCs w:val="20"/>
        </w:rPr>
        <w:t>)</w:t>
      </w:r>
      <w:r>
        <w:rPr>
          <w:rFonts w:ascii="Times New Roman" w:hAnsi="Times New Roman" w:eastAsia="Times New Roman" w:cs="Times New Roman"/>
          <w:spacing w:val="-19"/>
          <w:sz w:val="20"/>
          <w:szCs w:val="20"/>
        </w:rPr>
        <w:t xml:space="preserve"> </w:t>
      </w:r>
      <w:r>
        <w:rPr>
          <w:spacing w:val="6"/>
          <w:sz w:val="20"/>
          <w:szCs w:val="20"/>
        </w:rPr>
        <w:t>、  电缆调制解调器</w:t>
      </w:r>
      <w:r>
        <w:rPr>
          <w:spacing w:val="-49"/>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Cable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Modem</w:t>
      </w:r>
      <w:r>
        <w:rPr>
          <w:rFonts w:ascii="Times New Roman" w:hAnsi="Times New Roman" w:eastAsia="Times New Roman" w:cs="Times New Roman"/>
          <w:spacing w:val="6"/>
          <w:sz w:val="20"/>
          <w:szCs w:val="20"/>
        </w:rPr>
        <w:t>)</w:t>
      </w:r>
      <w:r>
        <w:rPr>
          <w:spacing w:val="6"/>
          <w:sz w:val="20"/>
          <w:szCs w:val="20"/>
        </w:rPr>
        <w:t>。现阶段，随着光纤接入网</w:t>
      </w:r>
      <w:r>
        <w:rPr>
          <w:spacing w:val="-59"/>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Optical</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Access Network</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OAN</w:t>
      </w:r>
      <w:r>
        <w:rPr>
          <w:rFonts w:ascii="Times New Roman" w:hAnsi="Times New Roman" w:eastAsia="Times New Roman" w:cs="Times New Roman"/>
          <w:spacing w:val="2"/>
          <w:sz w:val="20"/>
          <w:szCs w:val="20"/>
        </w:rPr>
        <w:t xml:space="preserve">)     </w:t>
      </w:r>
      <w:r>
        <w:rPr>
          <w:spacing w:val="2"/>
          <w:sz w:val="20"/>
          <w:szCs w:val="20"/>
        </w:rPr>
        <w:t>的部署和应用的普及，无源光网络</w:t>
      </w:r>
      <w:r>
        <w:rPr>
          <w:spacing w:val="-38"/>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Passive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Optical</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PON</w:t>
      </w:r>
      <w:r>
        <w:rPr>
          <w:rFonts w:ascii="Times New Roman" w:hAnsi="Times New Roman" w:eastAsia="Times New Roman" w:cs="Times New Roman"/>
          <w:spacing w:val="2"/>
          <w:sz w:val="20"/>
          <w:szCs w:val="20"/>
        </w:rPr>
        <w:t>)</w:t>
      </w:r>
      <w:r>
        <w:rPr>
          <w:rFonts w:ascii="Times New Roman" w:hAnsi="Times New Roman" w:eastAsia="Times New Roman" w:cs="Times New Roman"/>
          <w:spacing w:val="-7"/>
          <w:sz w:val="20"/>
          <w:szCs w:val="20"/>
        </w:rPr>
        <w:t xml:space="preserve"> </w:t>
      </w:r>
      <w:r>
        <w:rPr>
          <w:spacing w:val="2"/>
          <w:sz w:val="20"/>
          <w:szCs w:val="20"/>
        </w:rPr>
        <w:t>逐步获得</w:t>
      </w:r>
      <w:r>
        <w:rPr>
          <w:sz w:val="20"/>
          <w:szCs w:val="20"/>
        </w:rPr>
        <w:t xml:space="preserve"> </w:t>
      </w:r>
      <w:r>
        <w:rPr>
          <w:spacing w:val="4"/>
          <w:sz w:val="20"/>
          <w:szCs w:val="20"/>
        </w:rPr>
        <w:t>广泛应用，</w:t>
      </w:r>
      <w:r>
        <w:rPr>
          <w:rFonts w:ascii="Times New Roman" w:hAnsi="Times New Roman" w:eastAsia="Times New Roman" w:cs="Times New Roman"/>
          <w:sz w:val="20"/>
          <w:szCs w:val="20"/>
        </w:rPr>
        <w:t>PON</w:t>
      </w:r>
      <w:r>
        <w:rPr>
          <w:rFonts w:ascii="Times New Roman" w:hAnsi="Times New Roman" w:eastAsia="Times New Roman" w:cs="Times New Roman"/>
          <w:spacing w:val="23"/>
          <w:w w:val="101"/>
          <w:sz w:val="20"/>
          <w:szCs w:val="20"/>
        </w:rPr>
        <w:t xml:space="preserve"> </w:t>
      </w:r>
      <w:r>
        <w:rPr>
          <w:spacing w:val="4"/>
          <w:sz w:val="20"/>
          <w:szCs w:val="20"/>
        </w:rPr>
        <w:t>有几种类型，包括以太网无源光网络</w:t>
      </w:r>
      <w:r>
        <w:rPr>
          <w:spacing w:val="-49"/>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EPON</w:t>
      </w:r>
      <w:r>
        <w:rPr>
          <w:rFonts w:ascii="Times New Roman" w:hAnsi="Times New Roman" w:eastAsia="Times New Roman" w:cs="Times New Roman"/>
          <w:spacing w:val="4"/>
          <w:sz w:val="20"/>
          <w:szCs w:val="20"/>
        </w:rPr>
        <w:t>)</w:t>
      </w:r>
      <w:r>
        <w:rPr>
          <w:rFonts w:ascii="Times New Roman" w:hAnsi="Times New Roman" w:eastAsia="Times New Roman" w:cs="Times New Roman"/>
          <w:spacing w:val="-29"/>
          <w:sz w:val="20"/>
          <w:szCs w:val="20"/>
        </w:rPr>
        <w:t xml:space="preserve"> </w:t>
      </w:r>
      <w:r>
        <w:rPr>
          <w:spacing w:val="4"/>
          <w:sz w:val="20"/>
          <w:szCs w:val="20"/>
        </w:rPr>
        <w:t>、</w:t>
      </w:r>
      <w:r>
        <w:rPr>
          <w:spacing w:val="-17"/>
          <w:sz w:val="20"/>
          <w:szCs w:val="20"/>
        </w:rPr>
        <w:t xml:space="preserve"> </w:t>
      </w:r>
      <w:r>
        <w:rPr>
          <w:spacing w:val="4"/>
          <w:sz w:val="20"/>
          <w:szCs w:val="20"/>
        </w:rPr>
        <w:t>千兆</w:t>
      </w:r>
      <w:r>
        <w:rPr>
          <w:spacing w:val="3"/>
          <w:sz w:val="20"/>
          <w:szCs w:val="20"/>
        </w:rPr>
        <w:t>无源光网络</w:t>
      </w:r>
      <w:r>
        <w:rPr>
          <w:spacing w:val="-59"/>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GPON</w:t>
      </w:r>
      <w:r>
        <w:rPr>
          <w:rFonts w:ascii="Times New Roman" w:hAnsi="Times New Roman" w:eastAsia="Times New Roman" w:cs="Times New Roman"/>
          <w:spacing w:val="3"/>
          <w:sz w:val="20"/>
          <w:szCs w:val="20"/>
        </w:rPr>
        <w:t xml:space="preserve">)   </w:t>
      </w:r>
      <w:r>
        <w:rPr>
          <w:spacing w:val="3"/>
          <w:sz w:val="20"/>
          <w:szCs w:val="20"/>
        </w:rPr>
        <w:t>和</w:t>
      </w:r>
      <w:r>
        <w:rPr>
          <w:sz w:val="20"/>
          <w:szCs w:val="20"/>
        </w:rPr>
        <w:t xml:space="preserve"> </w:t>
      </w:r>
      <w:r>
        <w:rPr>
          <w:rFonts w:ascii="Times New Roman" w:hAnsi="Times New Roman" w:eastAsia="Times New Roman" w:cs="Times New Roman"/>
          <w:spacing w:val="5"/>
          <w:sz w:val="20"/>
          <w:szCs w:val="20"/>
        </w:rPr>
        <w:t>10G</w:t>
      </w:r>
      <w:r>
        <w:rPr>
          <w:rFonts w:ascii="Times New Roman" w:hAnsi="Times New Roman" w:eastAsia="Times New Roman" w:cs="Times New Roman"/>
          <w:spacing w:val="-9"/>
          <w:sz w:val="20"/>
          <w:szCs w:val="20"/>
        </w:rPr>
        <w:t xml:space="preserve"> </w:t>
      </w:r>
      <w:r>
        <w:rPr>
          <w:spacing w:val="5"/>
          <w:sz w:val="20"/>
          <w:szCs w:val="20"/>
        </w:rPr>
        <w:t>无源光网络(10</w:t>
      </w:r>
      <w:r>
        <w:rPr>
          <w:rFonts w:ascii="Times New Roman" w:hAnsi="Times New Roman" w:eastAsia="Times New Roman" w:cs="Times New Roman"/>
          <w:spacing w:val="5"/>
          <w:sz w:val="20"/>
          <w:szCs w:val="20"/>
        </w:rPr>
        <w:t>G-</w:t>
      </w:r>
      <w:r>
        <w:rPr>
          <w:rFonts w:ascii="Times New Roman" w:hAnsi="Times New Roman" w:eastAsia="Times New Roman" w:cs="Times New Roman"/>
          <w:sz w:val="20"/>
          <w:szCs w:val="20"/>
        </w:rPr>
        <w:t>PON</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2"/>
          <w:sz w:val="20"/>
          <w:szCs w:val="20"/>
        </w:rPr>
        <w:t xml:space="preserve"> </w:t>
      </w:r>
      <w:r>
        <w:rPr>
          <w:spacing w:val="5"/>
          <w:sz w:val="20"/>
          <w:szCs w:val="20"/>
        </w:rPr>
        <w:t>。无线接入技术包括</w:t>
      </w:r>
      <w:r>
        <w:rPr>
          <w:rFonts w:ascii="Times New Roman" w:hAnsi="Times New Roman" w:eastAsia="Times New Roman" w:cs="Times New Roman"/>
          <w:sz w:val="20"/>
          <w:szCs w:val="20"/>
        </w:rPr>
        <w:t>Wi</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Fi</w:t>
      </w:r>
      <w:r>
        <w:rPr>
          <w:rFonts w:ascii="Times New Roman" w:hAnsi="Times New Roman" w:eastAsia="Times New Roman" w:cs="Times New Roman"/>
          <w:spacing w:val="5"/>
          <w:sz w:val="20"/>
          <w:szCs w:val="20"/>
        </w:rPr>
        <w:t xml:space="preserve"> </w:t>
      </w:r>
      <w:r>
        <w:rPr>
          <w:spacing w:val="5"/>
          <w:sz w:val="20"/>
          <w:szCs w:val="20"/>
        </w:rPr>
        <w:t>和蓝牙等。</w:t>
      </w:r>
    </w:p>
    <w:p w14:paraId="08B9CC24">
      <w:pPr>
        <w:pStyle w:val="2"/>
        <w:spacing w:before="218" w:line="220" w:lineRule="auto"/>
        <w:ind w:left="2"/>
        <w:rPr>
          <w:sz w:val="25"/>
          <w:szCs w:val="25"/>
        </w:rPr>
      </w:pPr>
      <w:r>
        <w:rPr>
          <w:b/>
          <w:bCs/>
          <w:color w:val="005BD3"/>
          <w:spacing w:val="-17"/>
          <w:sz w:val="25"/>
          <w:szCs w:val="25"/>
        </w:rPr>
        <w:t>3.3.2</w:t>
      </w:r>
      <w:r>
        <w:rPr>
          <w:color w:val="005BD3"/>
          <w:spacing w:val="68"/>
          <w:sz w:val="25"/>
          <w:szCs w:val="25"/>
        </w:rPr>
        <w:t xml:space="preserve"> </w:t>
      </w:r>
      <w:r>
        <w:rPr>
          <w:b/>
          <w:bCs/>
          <w:color w:val="005BD3"/>
          <w:spacing w:val="-17"/>
          <w:sz w:val="25"/>
          <w:szCs w:val="25"/>
        </w:rPr>
        <w:t>运营商网络架构</w:t>
      </w:r>
    </w:p>
    <w:p w14:paraId="4282196B">
      <w:pPr>
        <w:pStyle w:val="2"/>
        <w:spacing w:before="173" w:line="280" w:lineRule="auto"/>
        <w:ind w:right="306" w:firstLine="420"/>
        <w:jc w:val="both"/>
        <w:rPr>
          <w:sz w:val="20"/>
          <w:szCs w:val="20"/>
        </w:rPr>
      </w:pPr>
      <w:r>
        <w:rPr>
          <w:spacing w:val="-2"/>
          <w:sz w:val="20"/>
          <w:szCs w:val="20"/>
        </w:rPr>
        <w:t>传统的运营商网络会按照不同的业务功能分别建设，例如PSTN</w:t>
      </w:r>
      <w:r>
        <w:rPr>
          <w:spacing w:val="76"/>
          <w:sz w:val="20"/>
          <w:szCs w:val="20"/>
        </w:rPr>
        <w:t xml:space="preserve"> </w:t>
      </w:r>
      <w:r>
        <w:rPr>
          <w:spacing w:val="-2"/>
          <w:sz w:val="20"/>
          <w:szCs w:val="20"/>
        </w:rPr>
        <w:t>网</w:t>
      </w:r>
      <w:r>
        <w:rPr>
          <w:spacing w:val="-38"/>
          <w:sz w:val="20"/>
          <w:szCs w:val="20"/>
        </w:rPr>
        <w:t xml:space="preserve"> </w:t>
      </w:r>
      <w:r>
        <w:rPr>
          <w:spacing w:val="-2"/>
          <w:sz w:val="20"/>
          <w:szCs w:val="20"/>
        </w:rPr>
        <w:t>、DDN  网</w:t>
      </w:r>
      <w:r>
        <w:rPr>
          <w:spacing w:val="-37"/>
          <w:sz w:val="20"/>
          <w:szCs w:val="20"/>
        </w:rPr>
        <w:t xml:space="preserve"> </w:t>
      </w:r>
      <w:r>
        <w:rPr>
          <w:spacing w:val="-2"/>
          <w:sz w:val="20"/>
          <w:szCs w:val="20"/>
        </w:rPr>
        <w:t>、FR</w:t>
      </w:r>
      <w:r>
        <w:rPr>
          <w:spacing w:val="24"/>
          <w:sz w:val="20"/>
          <w:szCs w:val="20"/>
        </w:rPr>
        <w:t xml:space="preserve"> </w:t>
      </w:r>
      <w:r>
        <w:rPr>
          <w:spacing w:val="-2"/>
          <w:sz w:val="20"/>
          <w:szCs w:val="20"/>
        </w:rPr>
        <w:t>网</w:t>
      </w:r>
      <w:r>
        <w:rPr>
          <w:spacing w:val="-47"/>
          <w:sz w:val="20"/>
          <w:szCs w:val="20"/>
        </w:rPr>
        <w:t xml:space="preserve"> </w:t>
      </w:r>
      <w:r>
        <w:rPr>
          <w:spacing w:val="-2"/>
          <w:sz w:val="20"/>
          <w:szCs w:val="20"/>
        </w:rPr>
        <w:t>、IP</w:t>
      </w:r>
      <w:r>
        <w:rPr>
          <w:sz w:val="20"/>
          <w:szCs w:val="20"/>
        </w:rPr>
        <w:t xml:space="preserve"> </w:t>
      </w:r>
      <w:r>
        <w:rPr>
          <w:spacing w:val="2"/>
          <w:sz w:val="20"/>
          <w:szCs w:val="20"/>
        </w:rPr>
        <w:t>网等，当前运营商网络建设已经走向融合，即建设支</w:t>
      </w:r>
      <w:r>
        <w:rPr>
          <w:spacing w:val="1"/>
          <w:sz w:val="20"/>
          <w:szCs w:val="20"/>
        </w:rPr>
        <w:t>持多种业务能力的融合</w:t>
      </w:r>
      <w:r>
        <w:rPr>
          <w:rFonts w:ascii="Times New Roman" w:hAnsi="Times New Roman" w:eastAsia="Times New Roman" w:cs="Times New Roman"/>
          <w:sz w:val="20"/>
          <w:szCs w:val="20"/>
        </w:rPr>
        <w:t>IP</w:t>
      </w:r>
      <w:r>
        <w:rPr>
          <w:rFonts w:ascii="Times New Roman" w:hAnsi="Times New Roman" w:eastAsia="Times New Roman" w:cs="Times New Roman"/>
          <w:spacing w:val="17"/>
          <w:w w:val="101"/>
          <w:sz w:val="20"/>
          <w:szCs w:val="20"/>
        </w:rPr>
        <w:t xml:space="preserve"> </w:t>
      </w:r>
      <w:r>
        <w:rPr>
          <w:spacing w:val="1"/>
          <w:sz w:val="20"/>
          <w:szCs w:val="20"/>
        </w:rPr>
        <w:t>网络，来统一承</w:t>
      </w:r>
      <w:r>
        <w:rPr>
          <w:sz w:val="20"/>
          <w:szCs w:val="20"/>
        </w:rPr>
        <w:t xml:space="preserve"> </w:t>
      </w:r>
      <w:r>
        <w:rPr>
          <w:spacing w:val="3"/>
          <w:sz w:val="20"/>
          <w:szCs w:val="20"/>
        </w:rPr>
        <w:t>载数据、语音、流媒体等多种业务应用。典型的运营商网络由全国骨干网、省级骨干网、城域</w:t>
      </w:r>
      <w:r>
        <w:rPr>
          <w:spacing w:val="5"/>
          <w:sz w:val="20"/>
          <w:szCs w:val="20"/>
        </w:rPr>
        <w:t xml:space="preserve"> </w:t>
      </w:r>
      <w:r>
        <w:rPr>
          <w:sz w:val="20"/>
          <w:szCs w:val="20"/>
        </w:rPr>
        <w:t>网和接入网组成，如图3-9所示。</w:t>
      </w:r>
    </w:p>
    <w:p w14:paraId="4219F158">
      <w:pPr>
        <w:pStyle w:val="2"/>
        <w:spacing w:before="27" w:line="268" w:lineRule="auto"/>
        <w:ind w:right="299" w:firstLine="420"/>
        <w:jc w:val="both"/>
        <w:rPr>
          <w:sz w:val="20"/>
          <w:szCs w:val="20"/>
        </w:rPr>
      </w:pPr>
      <w:r>
        <w:rPr>
          <w:spacing w:val="3"/>
          <w:sz w:val="20"/>
          <w:szCs w:val="20"/>
        </w:rPr>
        <w:t>全国骨干网负责省级骨干网的互联互通，以及与国内其他运营商网络、国际运营商</w:t>
      </w:r>
      <w:r>
        <w:rPr>
          <w:spacing w:val="2"/>
          <w:sz w:val="20"/>
          <w:szCs w:val="20"/>
        </w:rPr>
        <w:t>网络的</w:t>
      </w:r>
      <w:r>
        <w:rPr>
          <w:sz w:val="20"/>
          <w:szCs w:val="20"/>
        </w:rPr>
        <w:t xml:space="preserve"> </w:t>
      </w:r>
      <w:r>
        <w:rPr>
          <w:spacing w:val="3"/>
          <w:sz w:val="20"/>
          <w:szCs w:val="20"/>
        </w:rPr>
        <w:t>互联互通，省级骨干网负责省内各城域网之间的互联互通，业务量大的城域网之间也会设置直</w:t>
      </w:r>
      <w:r>
        <w:rPr>
          <w:spacing w:val="5"/>
          <w:sz w:val="20"/>
          <w:szCs w:val="20"/>
        </w:rPr>
        <w:t xml:space="preserve"> </w:t>
      </w:r>
      <w:r>
        <w:rPr>
          <w:spacing w:val="-3"/>
          <w:sz w:val="20"/>
          <w:szCs w:val="20"/>
        </w:rPr>
        <w:t>达路由线路进行互联互通。</w:t>
      </w:r>
    </w:p>
    <w:p w14:paraId="18E752BE">
      <w:pPr>
        <w:pStyle w:val="2"/>
        <w:spacing w:before="28" w:line="276" w:lineRule="auto"/>
        <w:ind w:right="298" w:firstLine="420"/>
        <w:rPr>
          <w:sz w:val="20"/>
          <w:szCs w:val="20"/>
        </w:rPr>
      </w:pPr>
      <w:r>
        <w:rPr>
          <w:spacing w:val="6"/>
          <w:sz w:val="20"/>
          <w:szCs w:val="20"/>
        </w:rPr>
        <w:t>当前的</w:t>
      </w:r>
      <w:r>
        <w:rPr>
          <w:rFonts w:ascii="Times New Roman" w:hAnsi="Times New Roman" w:eastAsia="Times New Roman" w:cs="Times New Roman"/>
          <w:sz w:val="20"/>
          <w:szCs w:val="20"/>
        </w:rPr>
        <w:t>IP</w:t>
      </w:r>
      <w:r>
        <w:rPr>
          <w:rFonts w:ascii="Times New Roman" w:hAnsi="Times New Roman" w:eastAsia="Times New Roman" w:cs="Times New Roman"/>
          <w:spacing w:val="6"/>
          <w:sz w:val="20"/>
          <w:szCs w:val="20"/>
        </w:rPr>
        <w:t xml:space="preserve"> </w:t>
      </w:r>
      <w:r>
        <w:rPr>
          <w:spacing w:val="6"/>
          <w:sz w:val="20"/>
          <w:szCs w:val="20"/>
        </w:rPr>
        <w:t>城域网已演变成以</w:t>
      </w:r>
      <w:r>
        <w:rPr>
          <w:rFonts w:ascii="Times New Roman" w:hAnsi="Times New Roman" w:eastAsia="Times New Roman" w:cs="Times New Roman"/>
          <w:sz w:val="20"/>
          <w:szCs w:val="20"/>
        </w:rPr>
        <w:t>IP</w:t>
      </w:r>
      <w:r>
        <w:rPr>
          <w:rFonts w:ascii="Times New Roman" w:hAnsi="Times New Roman" w:eastAsia="Times New Roman" w:cs="Times New Roman"/>
          <w:spacing w:val="30"/>
          <w:sz w:val="20"/>
          <w:szCs w:val="20"/>
        </w:rPr>
        <w:t xml:space="preserve"> </w:t>
      </w:r>
      <w:r>
        <w:rPr>
          <w:spacing w:val="6"/>
          <w:sz w:val="20"/>
          <w:szCs w:val="20"/>
        </w:rPr>
        <w:t>技术为基础，以光纤为传输媒介，集数据、语音、流媒体</w:t>
      </w:r>
      <w:r>
        <w:rPr>
          <w:sz w:val="20"/>
          <w:szCs w:val="20"/>
        </w:rPr>
        <w:t xml:space="preserve"> </w:t>
      </w:r>
      <w:r>
        <w:rPr>
          <w:spacing w:val="3"/>
          <w:sz w:val="20"/>
          <w:szCs w:val="20"/>
        </w:rPr>
        <w:t>等业务服务于一体的高带宽、多功能、多业务接入的多媒体通信网络。将承载综合业务，特别</w:t>
      </w:r>
      <w:r>
        <w:rPr>
          <w:spacing w:val="12"/>
          <w:sz w:val="20"/>
          <w:szCs w:val="20"/>
        </w:rPr>
        <w:t xml:space="preserve"> </w:t>
      </w:r>
      <w:r>
        <w:rPr>
          <w:spacing w:val="-2"/>
          <w:sz w:val="20"/>
          <w:szCs w:val="20"/>
        </w:rPr>
        <w:t>是快速发展起来的互联网用户群对宽带高速上网的需求，承载各类宽带用户接入和互连、IPTV、</w:t>
      </w:r>
      <w:r>
        <w:rPr>
          <w:sz w:val="20"/>
          <w:szCs w:val="20"/>
        </w:rPr>
        <w:t xml:space="preserve"> </w:t>
      </w:r>
      <w:r>
        <w:rPr>
          <w:spacing w:val="7"/>
          <w:sz w:val="20"/>
          <w:szCs w:val="20"/>
        </w:rPr>
        <w:t>内</w:t>
      </w:r>
      <w:r>
        <w:rPr>
          <w:spacing w:val="-30"/>
          <w:sz w:val="20"/>
          <w:szCs w:val="20"/>
        </w:rPr>
        <w:t xml:space="preserve"> </w:t>
      </w:r>
      <w:r>
        <w:rPr>
          <w:spacing w:val="7"/>
          <w:sz w:val="20"/>
          <w:szCs w:val="20"/>
        </w:rPr>
        <w:t>容</w:t>
      </w:r>
      <w:r>
        <w:rPr>
          <w:spacing w:val="-43"/>
          <w:sz w:val="20"/>
          <w:szCs w:val="20"/>
        </w:rPr>
        <w:t xml:space="preserve"> </w:t>
      </w:r>
      <w:r>
        <w:rPr>
          <w:spacing w:val="7"/>
          <w:sz w:val="20"/>
          <w:szCs w:val="20"/>
        </w:rPr>
        <w:t>分</w:t>
      </w:r>
      <w:r>
        <w:rPr>
          <w:spacing w:val="-43"/>
          <w:sz w:val="20"/>
          <w:szCs w:val="20"/>
        </w:rPr>
        <w:t xml:space="preserve"> </w:t>
      </w:r>
      <w:r>
        <w:rPr>
          <w:spacing w:val="7"/>
          <w:sz w:val="20"/>
          <w:szCs w:val="20"/>
        </w:rPr>
        <w:t>发</w:t>
      </w:r>
      <w:r>
        <w:rPr>
          <w:spacing w:val="-30"/>
          <w:sz w:val="20"/>
          <w:szCs w:val="20"/>
        </w:rPr>
        <w:t xml:space="preserve"> </w:t>
      </w:r>
      <w:r>
        <w:rPr>
          <w:spacing w:val="7"/>
          <w:sz w:val="20"/>
          <w:szCs w:val="20"/>
        </w:rPr>
        <w:t>网</w:t>
      </w:r>
      <w:r>
        <w:rPr>
          <w:spacing w:val="-46"/>
          <w:sz w:val="20"/>
          <w:szCs w:val="20"/>
        </w:rPr>
        <w:t xml:space="preserve"> </w:t>
      </w:r>
      <w:r>
        <w:rPr>
          <w:spacing w:val="7"/>
          <w:sz w:val="20"/>
          <w:szCs w:val="20"/>
        </w:rPr>
        <w:t>络</w:t>
      </w:r>
      <w:r>
        <w:rPr>
          <w:spacing w:val="-59"/>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Content</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Delivery</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CDN</w:t>
      </w:r>
      <w:r>
        <w:rPr>
          <w:rFonts w:ascii="Times New Roman" w:hAnsi="Times New Roman" w:eastAsia="Times New Roman" w:cs="Times New Roman"/>
          <w:spacing w:val="7"/>
          <w:sz w:val="20"/>
          <w:szCs w:val="20"/>
        </w:rPr>
        <w:t>)</w:t>
      </w:r>
      <w:r>
        <w:rPr>
          <w:rFonts w:ascii="Times New Roman" w:hAnsi="Times New Roman" w:eastAsia="Times New Roman" w:cs="Times New Roman"/>
          <w:spacing w:val="-28"/>
          <w:sz w:val="20"/>
          <w:szCs w:val="20"/>
        </w:rPr>
        <w:t xml:space="preserve"> </w:t>
      </w:r>
      <w:r>
        <w:rPr>
          <w:spacing w:val="7"/>
          <w:sz w:val="20"/>
          <w:szCs w:val="20"/>
        </w:rPr>
        <w:t>、互联网数据中心</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Internet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Center</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 xml:space="preserve">  IDC</w:t>
      </w:r>
      <w:r>
        <w:rPr>
          <w:rFonts w:ascii="Times New Roman" w:hAnsi="Times New Roman" w:eastAsia="Times New Roman" w:cs="Times New Roman"/>
          <w:spacing w:val="3"/>
          <w:sz w:val="20"/>
          <w:szCs w:val="20"/>
        </w:rPr>
        <w:t>)</w:t>
      </w:r>
      <w:r>
        <w:rPr>
          <w:rFonts w:ascii="Times New Roman" w:hAnsi="Times New Roman" w:eastAsia="Times New Roman" w:cs="Times New Roman"/>
          <w:spacing w:val="-25"/>
          <w:sz w:val="20"/>
          <w:szCs w:val="20"/>
        </w:rPr>
        <w:t xml:space="preserve"> </w:t>
      </w:r>
      <w:r>
        <w:rPr>
          <w:spacing w:val="3"/>
          <w:sz w:val="20"/>
          <w:szCs w:val="20"/>
        </w:rPr>
        <w:t>、</w:t>
      </w:r>
      <w:r>
        <w:rPr>
          <w:spacing w:val="-55"/>
          <w:sz w:val="20"/>
          <w:szCs w:val="20"/>
        </w:rPr>
        <w:t xml:space="preserve"> </w:t>
      </w:r>
      <w:r>
        <w:rPr>
          <w:spacing w:val="3"/>
          <w:sz w:val="20"/>
          <w:szCs w:val="20"/>
        </w:rPr>
        <w:t>组播、游戏、</w:t>
      </w:r>
      <w:r>
        <w:rPr>
          <w:rFonts w:ascii="Times New Roman" w:hAnsi="Times New Roman" w:eastAsia="Times New Roman" w:cs="Times New Roman"/>
          <w:sz w:val="20"/>
          <w:szCs w:val="20"/>
        </w:rPr>
        <w:t>AR</w:t>
      </w:r>
      <w:r>
        <w:rPr>
          <w:rFonts w:ascii="Times New Roman" w:hAnsi="Times New Roman" w:eastAsia="Times New Roman" w:cs="Times New Roman"/>
          <w:spacing w:val="3"/>
          <w:sz w:val="20"/>
          <w:szCs w:val="20"/>
        </w:rPr>
        <w:t xml:space="preserve"> </w:t>
      </w:r>
      <w:r>
        <w:rPr>
          <w:spacing w:val="3"/>
          <w:sz w:val="20"/>
          <w:szCs w:val="20"/>
        </w:rPr>
        <w:t>等宽带网络业务，满足政府机构、金融保险、大中小学校、公司企业</w:t>
      </w:r>
    </w:p>
    <w:p w14:paraId="7E476F9A">
      <w:pPr>
        <w:spacing w:line="276" w:lineRule="auto"/>
        <w:rPr>
          <w:sz w:val="20"/>
          <w:szCs w:val="20"/>
        </w:rPr>
        <w:sectPr>
          <w:pgSz w:w="10300" w:h="13280"/>
          <w:pgMar w:top="330" w:right="604" w:bottom="400" w:left="1059" w:header="0" w:footer="0" w:gutter="0"/>
          <w:cols w:space="720" w:num="1"/>
        </w:sectPr>
      </w:pPr>
    </w:p>
    <w:p w14:paraId="6947DB3B">
      <w:pPr>
        <w:pStyle w:val="2"/>
        <w:rPr>
          <w:sz w:val="19"/>
          <w:szCs w:val="19"/>
        </w:rPr>
      </w:pPr>
      <w:bookmarkStart w:id="535" w:name="bookmark522"/>
      <w:bookmarkEnd w:id="535"/>
      <w:r>
        <w:rPr>
          <w:rFonts w:ascii="Times New Roman" w:hAnsi="Times New Roman" w:eastAsia="Times New Roman" w:cs="Times New Roman"/>
          <w:b/>
          <w:bCs/>
          <w:spacing w:val="4"/>
          <w:position w:val="-5"/>
          <w:sz w:val="19"/>
          <w:szCs w:val="19"/>
        </w:rPr>
        <w:t xml:space="preserve">104  </w:t>
      </w:r>
      <w:r>
        <w:rPr>
          <w:position w:val="-12"/>
          <w:sz w:val="19"/>
          <w:szCs w:val="19"/>
        </w:rPr>
        <w:drawing>
          <wp:inline distT="0" distB="0" distL="0" distR="0">
            <wp:extent cx="273050" cy="2406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9"/>
                    <a:stretch>
                      <a:fillRect/>
                    </a:stretch>
                  </pic:blipFill>
                  <pic:spPr>
                    <a:xfrm>
                      <a:off x="0" y="0"/>
                      <a:ext cx="273065" cy="241262"/>
                    </a:xfrm>
                    <a:prstGeom prst="rect">
                      <a:avLst/>
                    </a:prstGeom>
                  </pic:spPr>
                </pic:pic>
              </a:graphicData>
            </a:graphic>
          </wp:inline>
        </w:drawing>
      </w:r>
      <w:r>
        <w:rPr>
          <w:rFonts w:ascii="Times New Roman" w:hAnsi="Times New Roman" w:eastAsia="Times New Roman" w:cs="Times New Roman"/>
          <w:b/>
          <w:bCs/>
          <w:spacing w:val="2"/>
          <w:position w:val="-5"/>
          <w:sz w:val="19"/>
          <w:szCs w:val="19"/>
        </w:rPr>
        <w:t xml:space="preserve">   </w:t>
      </w:r>
      <w:r>
        <w:rPr>
          <w:spacing w:val="4"/>
          <w:sz w:val="19"/>
          <w:szCs w:val="19"/>
        </w:rPr>
        <w:t>信息系统监理师教程(第2版)</w:t>
      </w:r>
    </w:p>
    <w:p w14:paraId="1604502F">
      <w:pPr>
        <w:pStyle w:val="2"/>
        <w:spacing w:before="298" w:line="345" w:lineRule="auto"/>
        <w:ind w:left="350"/>
        <w:rPr>
          <w:sz w:val="19"/>
          <w:szCs w:val="19"/>
        </w:rPr>
      </w:pPr>
      <w:r>
        <w:rPr>
          <w:spacing w:val="8"/>
          <w:sz w:val="19"/>
          <w:szCs w:val="19"/>
        </w:rPr>
        <w:t>等组织对高速率、高质量数据通信业务日益旺盛的需求。</w:t>
      </w:r>
      <w:r>
        <w:rPr>
          <w:spacing w:val="-34"/>
          <w:sz w:val="19"/>
          <w:szCs w:val="19"/>
        </w:rPr>
        <w:t xml:space="preserve"> </w:t>
      </w:r>
      <w:r>
        <w:rPr>
          <w:rFonts w:ascii="Times New Roman" w:hAnsi="Times New Roman" w:eastAsia="Times New Roman" w:cs="Times New Roman"/>
          <w:sz w:val="19"/>
          <w:szCs w:val="19"/>
        </w:rPr>
        <w:t>IP</w:t>
      </w:r>
      <w:r>
        <w:rPr>
          <w:rFonts w:ascii="Times New Roman" w:hAnsi="Times New Roman" w:eastAsia="Times New Roman" w:cs="Times New Roman"/>
          <w:spacing w:val="18"/>
          <w:sz w:val="19"/>
          <w:szCs w:val="19"/>
        </w:rPr>
        <w:t xml:space="preserve"> </w:t>
      </w:r>
      <w:r>
        <w:rPr>
          <w:spacing w:val="8"/>
          <w:sz w:val="19"/>
          <w:szCs w:val="19"/>
        </w:rPr>
        <w:t>城域网作为一</w:t>
      </w:r>
      <w:r>
        <w:rPr>
          <w:spacing w:val="7"/>
          <w:sz w:val="19"/>
          <w:szCs w:val="19"/>
        </w:rPr>
        <w:t>个综合性多业务平台，</w:t>
      </w:r>
      <w:r>
        <w:rPr>
          <w:sz w:val="19"/>
          <w:szCs w:val="19"/>
        </w:rPr>
        <w:t xml:space="preserve"> </w:t>
      </w:r>
      <w:r>
        <w:rPr>
          <w:spacing w:val="9"/>
          <w:sz w:val="19"/>
          <w:szCs w:val="19"/>
        </w:rPr>
        <w:t>提供多种宽带接入手段，并能提供城域内乃至连接国内外的</w:t>
      </w:r>
      <w:r>
        <w:rPr>
          <w:rFonts w:ascii="Times New Roman" w:hAnsi="Times New Roman" w:eastAsia="Times New Roman" w:cs="Times New Roman"/>
          <w:sz w:val="19"/>
          <w:szCs w:val="19"/>
        </w:rPr>
        <w:t>IP</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VPN</w:t>
      </w:r>
      <w:r>
        <w:rPr>
          <w:rFonts w:ascii="Times New Roman" w:hAnsi="Times New Roman" w:eastAsia="Times New Roman" w:cs="Times New Roman"/>
          <w:spacing w:val="54"/>
          <w:sz w:val="19"/>
          <w:szCs w:val="19"/>
        </w:rPr>
        <w:t xml:space="preserve"> </w:t>
      </w:r>
      <w:r>
        <w:rPr>
          <w:spacing w:val="9"/>
          <w:sz w:val="19"/>
          <w:szCs w:val="19"/>
        </w:rPr>
        <w:t>业务。</w:t>
      </w:r>
    </w:p>
    <w:p w14:paraId="7DA24424">
      <w:pPr>
        <w:pStyle w:val="2"/>
        <w:spacing w:before="1" w:line="4670" w:lineRule="exact"/>
        <w:ind w:firstLine="1890"/>
      </w:pPr>
      <w:r>
        <w:rPr>
          <w:position w:val="-93"/>
        </w:rPr>
        <w:pict>
          <v:group id="_x0000_s1206" o:spid="_x0000_s1206" o:spt="203" style="height:233.5pt;width:261.55pt;" coordsize="5230,4670">
            <o:lock v:ext="edit"/>
            <v:shape id="_x0000_s1207" o:spid="_x0000_s1207" o:spt="75" type="#_x0000_t75" style="position:absolute;left:0;top:0;height:4670;width:5230;" filled="f" stroked="f" coordsize="21600,21600">
              <v:path/>
              <v:fill on="f" focussize="0,0"/>
              <v:stroke on="f"/>
              <v:imagedata r:id="rId80" o:title=""/>
              <o:lock v:ext="edit" aspectratio="t"/>
            </v:shape>
            <v:shape id="_x0000_s1208" o:spid="_x0000_s1208" o:spt="202" type="#_x0000_t202" style="position:absolute;left:170;top:217;height:4350;width:4570;" filled="f" stroked="f" coordsize="21600,21600">
              <v:path/>
              <v:fill on="f" focussize="0,0"/>
              <v:stroke on="f"/>
              <v:imagedata o:title=""/>
              <o:lock v:ext="edit" aspectratio="f"/>
              <v:textbox inset="0mm,0mm,0mm,0mm">
                <w:txbxContent>
                  <w:p w14:paraId="72BC4CC7">
                    <w:pPr>
                      <w:spacing w:before="19" w:line="219" w:lineRule="auto"/>
                      <w:ind w:left="2499"/>
                      <w:rPr>
                        <w:rFonts w:ascii="宋体" w:hAnsi="宋体" w:eastAsia="宋体" w:cs="宋体"/>
                        <w:sz w:val="19"/>
                        <w:szCs w:val="19"/>
                      </w:rPr>
                    </w:pPr>
                    <w:r>
                      <w:rPr>
                        <w:rFonts w:ascii="宋体" w:hAnsi="宋体" w:eastAsia="宋体" w:cs="宋体"/>
                        <w:spacing w:val="-15"/>
                        <w:sz w:val="19"/>
                        <w:szCs w:val="19"/>
                      </w:rPr>
                      <w:t>全国骨干网</w:t>
                    </w:r>
                  </w:p>
                  <w:p w14:paraId="7207C4A0">
                    <w:pPr>
                      <w:spacing w:line="244" w:lineRule="auto"/>
                      <w:rPr>
                        <w:rFonts w:ascii="Arial"/>
                        <w:sz w:val="21"/>
                      </w:rPr>
                    </w:pPr>
                  </w:p>
                  <w:p w14:paraId="1B92F500">
                    <w:pPr>
                      <w:spacing w:line="244" w:lineRule="auto"/>
                      <w:rPr>
                        <w:rFonts w:ascii="Arial"/>
                        <w:sz w:val="21"/>
                      </w:rPr>
                    </w:pPr>
                  </w:p>
                  <w:p w14:paraId="166166FA">
                    <w:pPr>
                      <w:spacing w:line="244" w:lineRule="auto"/>
                      <w:rPr>
                        <w:rFonts w:ascii="Arial"/>
                        <w:sz w:val="21"/>
                      </w:rPr>
                    </w:pPr>
                  </w:p>
                  <w:p w14:paraId="7DC2FFB8">
                    <w:pPr>
                      <w:spacing w:line="245" w:lineRule="auto"/>
                      <w:rPr>
                        <w:rFonts w:ascii="Arial"/>
                        <w:sz w:val="21"/>
                      </w:rPr>
                    </w:pPr>
                  </w:p>
                  <w:p w14:paraId="0711072D">
                    <w:pPr>
                      <w:spacing w:before="62" w:line="194" w:lineRule="auto"/>
                      <w:jc w:val="right"/>
                      <w:rPr>
                        <w:rFonts w:ascii="宋体" w:hAnsi="宋体" w:eastAsia="宋体" w:cs="宋体"/>
                        <w:sz w:val="19"/>
                        <w:szCs w:val="19"/>
                      </w:rPr>
                    </w:pPr>
                    <w:r>
                      <w:rPr>
                        <w:rFonts w:ascii="宋体" w:hAnsi="宋体" w:eastAsia="宋体" w:cs="宋体"/>
                        <w:spacing w:val="-9"/>
                        <w:sz w:val="19"/>
                        <w:szCs w:val="19"/>
                      </w:rPr>
                      <w:t>A省骨</w:t>
                    </w:r>
                    <w:r>
                      <w:rPr>
                        <w:rFonts w:ascii="宋体" w:hAnsi="宋体" w:eastAsia="宋体" w:cs="宋体"/>
                        <w:spacing w:val="2"/>
                        <w:sz w:val="19"/>
                        <w:szCs w:val="19"/>
                      </w:rPr>
                      <w:t xml:space="preserve">                       </w:t>
                    </w:r>
                    <w:r>
                      <w:rPr>
                        <w:rFonts w:ascii="宋体" w:hAnsi="宋体" w:eastAsia="宋体" w:cs="宋体"/>
                        <w:spacing w:val="-9"/>
                        <w:sz w:val="19"/>
                        <w:szCs w:val="19"/>
                      </w:rPr>
                      <w:t>B</w:t>
                    </w:r>
                    <w:r>
                      <w:rPr>
                        <w:rFonts w:ascii="宋体" w:hAnsi="宋体" w:eastAsia="宋体" w:cs="宋体"/>
                        <w:spacing w:val="-54"/>
                        <w:sz w:val="19"/>
                        <w:szCs w:val="19"/>
                      </w:rPr>
                      <w:t xml:space="preserve"> </w:t>
                    </w:r>
                    <w:r>
                      <w:rPr>
                        <w:rFonts w:ascii="宋体" w:hAnsi="宋体" w:eastAsia="宋体" w:cs="宋体"/>
                        <w:spacing w:val="-9"/>
                        <w:sz w:val="19"/>
                        <w:szCs w:val="19"/>
                      </w:rPr>
                      <w:t>省骨</w:t>
                    </w:r>
                  </w:p>
                  <w:p w14:paraId="24DBF14C">
                    <w:pPr>
                      <w:spacing w:line="228" w:lineRule="auto"/>
                      <w:ind w:left="1439"/>
                      <w:rPr>
                        <w:rFonts w:ascii="宋体" w:hAnsi="宋体" w:eastAsia="宋体" w:cs="宋体"/>
                        <w:sz w:val="19"/>
                        <w:szCs w:val="19"/>
                      </w:rPr>
                    </w:pPr>
                    <w:r>
                      <w:rPr>
                        <w:rFonts w:ascii="宋体" w:hAnsi="宋体" w:eastAsia="宋体" w:cs="宋体"/>
                        <w:spacing w:val="-3"/>
                        <w:sz w:val="19"/>
                        <w:szCs w:val="19"/>
                      </w:rPr>
                      <w:t>干网</w:t>
                    </w:r>
                    <w:r>
                      <w:rPr>
                        <w:rFonts w:ascii="宋体" w:hAnsi="宋体" w:eastAsia="宋体" w:cs="宋体"/>
                        <w:spacing w:val="1"/>
                        <w:sz w:val="19"/>
                        <w:szCs w:val="19"/>
                      </w:rPr>
                      <w:t xml:space="preserve">                        </w:t>
                    </w:r>
                    <w:r>
                      <w:rPr>
                        <w:rFonts w:ascii="宋体" w:hAnsi="宋体" w:eastAsia="宋体" w:cs="宋体"/>
                        <w:spacing w:val="-3"/>
                        <w:sz w:val="19"/>
                        <w:szCs w:val="19"/>
                      </w:rPr>
                      <w:t>干网</w:t>
                    </w:r>
                  </w:p>
                  <w:p w14:paraId="11E5B901">
                    <w:pPr>
                      <w:spacing w:line="255" w:lineRule="auto"/>
                      <w:rPr>
                        <w:rFonts w:ascii="Arial"/>
                        <w:sz w:val="21"/>
                      </w:rPr>
                    </w:pPr>
                  </w:p>
                  <w:p w14:paraId="1CA97297">
                    <w:pPr>
                      <w:spacing w:line="255" w:lineRule="auto"/>
                      <w:rPr>
                        <w:rFonts w:ascii="Arial"/>
                        <w:sz w:val="21"/>
                      </w:rPr>
                    </w:pPr>
                  </w:p>
                  <w:p w14:paraId="315E306F">
                    <w:pPr>
                      <w:spacing w:before="62" w:line="229" w:lineRule="auto"/>
                      <w:ind w:left="1169"/>
                      <w:rPr>
                        <w:rFonts w:ascii="宋体" w:hAnsi="宋体" w:eastAsia="宋体" w:cs="宋体"/>
                        <w:sz w:val="19"/>
                        <w:szCs w:val="19"/>
                      </w:rPr>
                    </w:pPr>
                    <w:r>
                      <w:rPr>
                        <w:rFonts w:ascii="宋体" w:hAnsi="宋体" w:eastAsia="宋体" w:cs="宋体"/>
                        <w:spacing w:val="-8"/>
                        <w:sz w:val="19"/>
                        <w:szCs w:val="19"/>
                      </w:rPr>
                      <w:t>城域网                城域网</w:t>
                    </w:r>
                  </w:p>
                  <w:p w14:paraId="50351F50">
                    <w:pPr>
                      <w:spacing w:before="63" w:line="188" w:lineRule="auto"/>
                      <w:ind w:left="81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IDC</w:t>
                    </w:r>
                  </w:p>
                  <w:p w14:paraId="7A9824F7">
                    <w:pPr>
                      <w:spacing w:line="477" w:lineRule="auto"/>
                      <w:rPr>
                        <w:rFonts w:ascii="Arial"/>
                        <w:sz w:val="21"/>
                      </w:rPr>
                    </w:pPr>
                  </w:p>
                  <w:p w14:paraId="47CE9543">
                    <w:pPr>
                      <w:spacing w:before="55" w:line="192" w:lineRule="auto"/>
                      <w:ind w:left="1919"/>
                      <w:rPr>
                        <w:rFonts w:ascii="Times New Roman" w:hAnsi="Times New Roman" w:eastAsia="Times New Roman" w:cs="Times New Roman"/>
                        <w:sz w:val="19"/>
                        <w:szCs w:val="19"/>
                      </w:rPr>
                    </w:pPr>
                    <w:r>
                      <w:rPr>
                        <w:rFonts w:ascii="Times New Roman" w:hAnsi="Times New Roman" w:eastAsia="Times New Roman" w:cs="Times New Roman"/>
                        <w:spacing w:val="-8"/>
                        <w:w w:val="98"/>
                        <w:sz w:val="19"/>
                        <w:szCs w:val="19"/>
                      </w:rPr>
                      <w:t>Wi-Fi</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8"/>
                        <w:w w:val="98"/>
                        <w:sz w:val="19"/>
                        <w:szCs w:val="19"/>
                      </w:rPr>
                      <w:t>4G/5G</w:t>
                    </w:r>
                  </w:p>
                  <w:p w14:paraId="32A1E350">
                    <w:pPr>
                      <w:spacing w:before="59" w:line="212" w:lineRule="auto"/>
                      <w:ind w:left="20" w:right="4178"/>
                      <w:rPr>
                        <w:rFonts w:ascii="宋体" w:hAnsi="宋体" w:eastAsia="宋体" w:cs="宋体"/>
                        <w:sz w:val="19"/>
                        <w:szCs w:val="19"/>
                      </w:rPr>
                    </w:pPr>
                    <w:r>
                      <w:rPr>
                        <w:rFonts w:ascii="宋体" w:hAnsi="宋体" w:eastAsia="宋体" w:cs="宋体"/>
                        <w:spacing w:val="-5"/>
                        <w:sz w:val="19"/>
                        <w:szCs w:val="19"/>
                      </w:rPr>
                      <w:t>光纤</w:t>
                    </w:r>
                    <w:r>
                      <w:rPr>
                        <w:rFonts w:ascii="宋体" w:hAnsi="宋体" w:eastAsia="宋体" w:cs="宋体"/>
                        <w:sz w:val="19"/>
                        <w:szCs w:val="19"/>
                      </w:rPr>
                      <w:t xml:space="preserve"> </w:t>
                    </w:r>
                    <w:r>
                      <w:rPr>
                        <w:rFonts w:ascii="宋体" w:hAnsi="宋体" w:eastAsia="宋体" w:cs="宋体"/>
                        <w:spacing w:val="-9"/>
                        <w:sz w:val="19"/>
                        <w:szCs w:val="19"/>
                      </w:rPr>
                      <w:t>宽带</w:t>
                    </w:r>
                  </w:p>
                  <w:p w14:paraId="4D4C20C2">
                    <w:pPr>
                      <w:spacing w:before="146" w:line="226" w:lineRule="auto"/>
                      <w:ind w:left="1529"/>
                      <w:rPr>
                        <w:rFonts w:ascii="宋体" w:hAnsi="宋体" w:eastAsia="宋体" w:cs="宋体"/>
                        <w:sz w:val="19"/>
                        <w:szCs w:val="19"/>
                      </w:rPr>
                    </w:pPr>
                    <w:r>
                      <w:rPr>
                        <w:rFonts w:ascii="Times New Roman" w:hAnsi="Times New Roman" w:eastAsia="Times New Roman" w:cs="Times New Roman"/>
                        <w:position w:val="3"/>
                        <w:sz w:val="19"/>
                        <w:szCs w:val="19"/>
                      </w:rPr>
                      <w:drawing>
                        <wp:inline distT="0" distB="0" distL="0" distR="0">
                          <wp:extent cx="221615" cy="317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82"/>
                                  <a:stretch>
                                    <a:fillRect/>
                                  </a:stretch>
                                </pic:blipFill>
                                <pic:spPr>
                                  <a:xfrm>
                                    <a:off x="0" y="0"/>
                                    <a:ext cx="222246" cy="31789"/>
                                  </a:xfrm>
                                  <a:prstGeom prst="rect">
                                    <a:avLst/>
                                  </a:prstGeom>
                                </pic:spPr>
                              </pic:pic>
                            </a:graphicData>
                          </a:graphic>
                        </wp:inline>
                      </w:drawing>
                    </w:r>
                    <w:r>
                      <w:rPr>
                        <w:rFonts w:ascii="Times New Roman" w:hAnsi="Times New Roman" w:eastAsia="Times New Roman" w:cs="Times New Roman"/>
                        <w:spacing w:val="2"/>
                        <w:position w:val="1"/>
                        <w:sz w:val="19"/>
                        <w:szCs w:val="19"/>
                      </w:rPr>
                      <w:t xml:space="preserve">          </w:t>
                    </w:r>
                    <w:r>
                      <w:rPr>
                        <w:rFonts w:ascii="Times New Roman" w:hAnsi="Times New Roman" w:eastAsia="Times New Roman" w:cs="Times New Roman"/>
                        <w:spacing w:val="-6"/>
                        <w:position w:val="1"/>
                        <w:sz w:val="19"/>
                        <w:szCs w:val="19"/>
                      </w:rPr>
                      <w:t>PC</w:t>
                    </w:r>
                    <w:r>
                      <w:rPr>
                        <w:rFonts w:ascii="Times New Roman" w:hAnsi="Times New Roman" w:eastAsia="Times New Roman" w:cs="Times New Roman"/>
                        <w:spacing w:val="1"/>
                        <w:position w:val="1"/>
                        <w:sz w:val="19"/>
                        <w:szCs w:val="19"/>
                      </w:rPr>
                      <w:t xml:space="preserve">         </w:t>
                    </w:r>
                    <w:r>
                      <w:rPr>
                        <w:rFonts w:ascii="宋体" w:hAnsi="宋体" w:eastAsia="宋体" w:cs="宋体"/>
                        <w:spacing w:val="-6"/>
                        <w:position w:val="-1"/>
                        <w:sz w:val="19"/>
                        <w:szCs w:val="19"/>
                      </w:rPr>
                      <w:t xml:space="preserve">手机   </w:t>
                    </w:r>
                    <w:r>
                      <w:rPr>
                        <w:rFonts w:ascii="宋体" w:hAnsi="宋体" w:eastAsia="宋体" w:cs="宋体"/>
                        <w:spacing w:val="-6"/>
                        <w:sz w:val="19"/>
                        <w:szCs w:val="19"/>
                      </w:rPr>
                      <w:t>物联网</w:t>
                    </w:r>
                  </w:p>
                </w:txbxContent>
              </v:textbox>
            </v:shape>
            <v:shape id="_x0000_s1209" o:spid="_x0000_s1209" o:spt="202" type="#_x0000_t202" style="position:absolute;left:870;top:3507;height:232;width:555;" filled="f" stroked="f" coordsize="21600,21600">
              <v:path/>
              <v:fill on="f" focussize="0,0"/>
              <v:stroke on="f"/>
              <v:imagedata o:title=""/>
              <o:lock v:ext="edit" aspectratio="f"/>
              <v:textbox inset="0mm,0mm,0mm,0mm">
                <w:txbxContent>
                  <w:p w14:paraId="4B283233">
                    <w:pPr>
                      <w:spacing w:before="20" w:line="222" w:lineRule="auto"/>
                      <w:ind w:right="1"/>
                      <w:jc w:val="right"/>
                      <w:rPr>
                        <w:rFonts w:ascii="黑体" w:hAnsi="黑体" w:eastAsia="黑体" w:cs="黑体"/>
                        <w:sz w:val="19"/>
                        <w:szCs w:val="19"/>
                      </w:rPr>
                    </w:pPr>
                    <w:r>
                      <w:rPr>
                        <w:rFonts w:ascii="黑体" w:hAnsi="黑体" w:eastAsia="黑体" w:cs="黑体"/>
                        <w:spacing w:val="-13"/>
                        <w:sz w:val="19"/>
                        <w:szCs w:val="19"/>
                      </w:rPr>
                      <w:t>接入网</w:t>
                    </w:r>
                  </w:p>
                </w:txbxContent>
              </v:textbox>
            </v:shape>
            <v:shape id="_x0000_s1210" o:spid="_x0000_s1210" o:spt="202" type="#_x0000_t202" style="position:absolute;left:929;top:4327;height:230;width:410;" filled="f" stroked="f" coordsize="21600,21600">
              <v:path/>
              <v:fill on="f" focussize="0,0"/>
              <v:stroke on="f"/>
              <v:imagedata o:title=""/>
              <o:lock v:ext="edit" aspectratio="f"/>
              <v:textbox inset="0mm,0mm,0mm,0mm">
                <w:txbxContent>
                  <w:p w14:paraId="326B38D9">
                    <w:pPr>
                      <w:spacing w:before="20" w:line="229" w:lineRule="auto"/>
                      <w:ind w:left="20"/>
                      <w:rPr>
                        <w:rFonts w:ascii="宋体" w:hAnsi="宋体" w:eastAsia="宋体" w:cs="宋体"/>
                        <w:sz w:val="19"/>
                        <w:szCs w:val="19"/>
                      </w:rPr>
                    </w:pPr>
                    <w:r>
                      <w:rPr>
                        <w:rFonts w:ascii="宋体" w:hAnsi="宋体" w:eastAsia="宋体" w:cs="宋体"/>
                        <w:spacing w:val="-3"/>
                        <w:sz w:val="19"/>
                        <w:szCs w:val="19"/>
                      </w:rPr>
                      <w:t>企业</w:t>
                    </w:r>
                  </w:p>
                </w:txbxContent>
              </v:textbox>
            </v:shape>
            <v:shape id="_x0000_s1211" o:spid="_x0000_s1211" o:spt="202" type="#_x0000_t202" style="position:absolute;left:170;top:4338;height:230;width:389;" filled="f" stroked="f" coordsize="21600,21600">
              <v:path/>
              <v:fill on="f" focussize="0,0"/>
              <v:stroke on="f"/>
              <v:imagedata o:title=""/>
              <o:lock v:ext="edit" aspectratio="f"/>
              <v:textbox inset="0mm,0mm,0mm,0mm">
                <w:txbxContent>
                  <w:p w14:paraId="64D58DA5">
                    <w:pPr>
                      <w:spacing w:before="20" w:line="220" w:lineRule="auto"/>
                      <w:ind w:left="20"/>
                      <w:rPr>
                        <w:rFonts w:ascii="宋体" w:hAnsi="宋体" w:eastAsia="宋体" w:cs="宋体"/>
                        <w:sz w:val="19"/>
                        <w:szCs w:val="19"/>
                      </w:rPr>
                    </w:pPr>
                    <w:r>
                      <w:rPr>
                        <w:rFonts w:ascii="宋体" w:hAnsi="宋体" w:eastAsia="宋体" w:cs="宋体"/>
                        <w:spacing w:val="-8"/>
                        <w:sz w:val="19"/>
                        <w:szCs w:val="19"/>
                      </w:rPr>
                      <w:t>家庭</w:t>
                    </w:r>
                  </w:p>
                </w:txbxContent>
              </v:textbox>
            </v:shape>
            <v:shape id="_x0000_s1212" o:spid="_x0000_s1212" o:spt="75" type="#_x0000_t75" style="position:absolute;left:4430;top:3569;height:50;width:350;" filled="f" stroked="f" coordsize="21600,21600">
              <v:path/>
              <v:fill on="f" focussize="0,0"/>
              <v:stroke on="f"/>
              <v:imagedata r:id="rId81" o:title=""/>
              <o:lock v:ext="edit" aspectratio="t"/>
            </v:shape>
            <v:shape id="_x0000_s1213" o:spid="_x0000_s1213" o:spt="202" type="#_x0000_t202" style="position:absolute;left:4900;top:4397;height:90;width:85;" filled="f" stroked="f" coordsize="21600,21600">
              <v:path/>
              <v:fill on="f" focussize="0,0"/>
              <v:stroke on="f"/>
              <v:imagedata o:title=""/>
              <o:lock v:ext="edit" aspectratio="f"/>
              <v:textbox inset="0mm,0mm,0mm,0mm">
                <w:txbxContent>
                  <w:p w14:paraId="7EB58323">
                    <w:pPr>
                      <w:spacing w:before="20" w:line="78" w:lineRule="exact"/>
                      <w:ind w:left="20"/>
                      <w:rPr>
                        <w:rFonts w:ascii="宋体" w:hAnsi="宋体" w:eastAsia="宋体" w:cs="宋体"/>
                        <w:sz w:val="5"/>
                        <w:szCs w:val="5"/>
                      </w:rPr>
                    </w:pPr>
                    <w:r>
                      <w:rPr>
                        <w:rFonts w:ascii="宋体" w:hAnsi="宋体" w:eastAsia="宋体" w:cs="宋体"/>
                        <w:position w:val="1"/>
                        <w:sz w:val="5"/>
                        <w:szCs w:val="5"/>
                      </w:rPr>
                      <w:t>…</w:t>
                    </w:r>
                  </w:p>
                </w:txbxContent>
              </v:textbox>
            </v:shape>
            <w10:wrap type="none"/>
            <w10:anchorlock/>
          </v:group>
        </w:pict>
      </w:r>
    </w:p>
    <w:p w14:paraId="30946A08">
      <w:pPr>
        <w:pStyle w:val="2"/>
        <w:spacing w:before="68" w:line="220" w:lineRule="auto"/>
        <w:ind w:left="3330"/>
        <w:rPr>
          <w:sz w:val="19"/>
          <w:szCs w:val="19"/>
        </w:rPr>
      </w:pPr>
      <w:r>
        <w:rPr>
          <w:spacing w:val="-8"/>
          <w:sz w:val="19"/>
          <w:szCs w:val="19"/>
        </w:rPr>
        <w:t>图3-9</w:t>
      </w:r>
      <w:r>
        <w:rPr>
          <w:spacing w:val="75"/>
          <w:sz w:val="19"/>
          <w:szCs w:val="19"/>
        </w:rPr>
        <w:t xml:space="preserve"> </w:t>
      </w:r>
      <w:r>
        <w:rPr>
          <w:spacing w:val="-8"/>
          <w:sz w:val="19"/>
          <w:szCs w:val="19"/>
        </w:rPr>
        <w:t>运营商网络架构示意图</w:t>
      </w:r>
    </w:p>
    <w:p w14:paraId="04388E4D">
      <w:pPr>
        <w:pStyle w:val="2"/>
        <w:spacing w:before="213" w:line="219" w:lineRule="auto"/>
        <w:ind w:left="780"/>
        <w:rPr>
          <w:sz w:val="19"/>
          <w:szCs w:val="19"/>
        </w:rPr>
      </w:pPr>
      <w:r>
        <w:rPr>
          <w:spacing w:val="7"/>
          <w:sz w:val="19"/>
          <w:szCs w:val="19"/>
        </w:rPr>
        <w:t>典型的城域网一般由核心层、汇聚层和接入层三层架构组成。</w:t>
      </w:r>
    </w:p>
    <w:p w14:paraId="0ED76E2A">
      <w:pPr>
        <w:pStyle w:val="2"/>
        <w:spacing w:before="74" w:line="279" w:lineRule="auto"/>
        <w:ind w:left="350" w:right="83" w:firstLine="429"/>
        <w:rPr>
          <w:sz w:val="19"/>
          <w:szCs w:val="19"/>
        </w:rPr>
      </w:pPr>
      <w:r>
        <w:rPr>
          <w:spacing w:val="14"/>
          <w:sz w:val="19"/>
          <w:szCs w:val="19"/>
        </w:rPr>
        <w:t>(1)核心层部署核心路由器设备，提供本城域网的互联网出口，与省级骨干网相连，同时</w:t>
      </w:r>
      <w:r>
        <w:rPr>
          <w:spacing w:val="15"/>
          <w:sz w:val="19"/>
          <w:szCs w:val="19"/>
        </w:rPr>
        <w:t xml:space="preserve"> </w:t>
      </w:r>
      <w:r>
        <w:rPr>
          <w:spacing w:val="6"/>
          <w:sz w:val="19"/>
          <w:szCs w:val="19"/>
        </w:rPr>
        <w:t>作为本城域网内的</w:t>
      </w:r>
      <w:r>
        <w:rPr>
          <w:rFonts w:ascii="Times New Roman" w:hAnsi="Times New Roman" w:eastAsia="Times New Roman" w:cs="Times New Roman"/>
          <w:sz w:val="19"/>
          <w:szCs w:val="19"/>
        </w:rPr>
        <w:t>IDC</w:t>
      </w:r>
      <w:r>
        <w:rPr>
          <w:rFonts w:ascii="Times New Roman" w:hAnsi="Times New Roman" w:eastAsia="Times New Roman" w:cs="Times New Roman"/>
          <w:spacing w:val="-17"/>
          <w:sz w:val="19"/>
          <w:szCs w:val="19"/>
        </w:rPr>
        <w:t xml:space="preserve"> </w:t>
      </w:r>
      <w:r>
        <w:rPr>
          <w:spacing w:val="6"/>
          <w:sz w:val="19"/>
          <w:szCs w:val="19"/>
        </w:rPr>
        <w:t>、</w:t>
      </w:r>
      <w:r>
        <w:rPr>
          <w:rFonts w:ascii="Times New Roman" w:hAnsi="Times New Roman" w:eastAsia="Times New Roman" w:cs="Times New Roman"/>
          <w:sz w:val="19"/>
          <w:szCs w:val="19"/>
        </w:rPr>
        <w:t>CDN</w:t>
      </w:r>
      <w:r>
        <w:rPr>
          <w:rFonts w:ascii="Times New Roman" w:hAnsi="Times New Roman" w:eastAsia="Times New Roman" w:cs="Times New Roman"/>
          <w:spacing w:val="6"/>
          <w:sz w:val="19"/>
          <w:szCs w:val="19"/>
        </w:rPr>
        <w:t xml:space="preserve">  </w:t>
      </w:r>
      <w:r>
        <w:rPr>
          <w:spacing w:val="6"/>
          <w:sz w:val="19"/>
          <w:szCs w:val="19"/>
        </w:rPr>
        <w:t>等中心节点的接入；</w:t>
      </w:r>
    </w:p>
    <w:p w14:paraId="2D153986">
      <w:pPr>
        <w:pStyle w:val="2"/>
        <w:spacing w:before="53" w:line="281" w:lineRule="auto"/>
        <w:ind w:left="350" w:right="87" w:firstLine="429"/>
        <w:rPr>
          <w:sz w:val="19"/>
          <w:szCs w:val="19"/>
        </w:rPr>
      </w:pPr>
      <w:r>
        <w:rPr>
          <w:spacing w:val="14"/>
          <w:sz w:val="19"/>
          <w:szCs w:val="19"/>
        </w:rPr>
        <w:t>(2)汇聚层部署汇聚交换机设备，作为本城域网的区域性汇接点，上联核心层设备，下接</w:t>
      </w:r>
      <w:r>
        <w:rPr>
          <w:spacing w:val="11"/>
          <w:sz w:val="19"/>
          <w:szCs w:val="19"/>
        </w:rPr>
        <w:t xml:space="preserve"> </w:t>
      </w:r>
      <w:r>
        <w:rPr>
          <w:spacing w:val="10"/>
          <w:sz w:val="19"/>
          <w:szCs w:val="19"/>
        </w:rPr>
        <w:t>光纤线路终端</w:t>
      </w:r>
      <w:r>
        <w:rPr>
          <w:spacing w:val="-37"/>
          <w:sz w:val="19"/>
          <w:szCs w:val="19"/>
        </w:rPr>
        <w:t xml:space="preserve"> </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Optical</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Line</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Termination</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OLT</w:t>
      </w:r>
      <w:r>
        <w:rPr>
          <w:rFonts w:ascii="Times New Roman" w:hAnsi="Times New Roman" w:eastAsia="Times New Roman" w:cs="Times New Roman"/>
          <w:spacing w:val="10"/>
          <w:sz w:val="19"/>
          <w:szCs w:val="19"/>
        </w:rPr>
        <w:t xml:space="preserve">) </w:t>
      </w:r>
      <w:r>
        <w:rPr>
          <w:spacing w:val="10"/>
          <w:sz w:val="19"/>
          <w:szCs w:val="19"/>
        </w:rPr>
        <w:t>等接入设备，同时作为各类边缘</w:t>
      </w:r>
      <w:r>
        <w:rPr>
          <w:rFonts w:ascii="Times New Roman" w:hAnsi="Times New Roman" w:eastAsia="Times New Roman" w:cs="Times New Roman"/>
          <w:sz w:val="19"/>
          <w:szCs w:val="19"/>
        </w:rPr>
        <w:t>IDC</w:t>
      </w:r>
      <w:r>
        <w:rPr>
          <w:rFonts w:ascii="Times New Roman" w:hAnsi="Times New Roman" w:eastAsia="Times New Roman" w:cs="Times New Roman"/>
          <w:spacing w:val="30"/>
          <w:sz w:val="19"/>
          <w:szCs w:val="19"/>
        </w:rPr>
        <w:t xml:space="preserve"> </w:t>
      </w:r>
      <w:r>
        <w:rPr>
          <w:spacing w:val="10"/>
          <w:sz w:val="19"/>
          <w:szCs w:val="19"/>
        </w:rPr>
        <w:t>节点、边</w:t>
      </w:r>
      <w:r>
        <w:rPr>
          <w:sz w:val="19"/>
          <w:szCs w:val="19"/>
        </w:rPr>
        <w:t xml:space="preserve"> </w:t>
      </w:r>
      <w:r>
        <w:rPr>
          <w:spacing w:val="4"/>
          <w:sz w:val="19"/>
          <w:szCs w:val="19"/>
        </w:rPr>
        <w:t>缘计算节点的接入；</w:t>
      </w:r>
    </w:p>
    <w:p w14:paraId="5F4B48B8">
      <w:pPr>
        <w:pStyle w:val="2"/>
        <w:spacing w:before="63" w:line="276" w:lineRule="auto"/>
        <w:ind w:left="350" w:right="86" w:firstLine="429"/>
        <w:rPr>
          <w:sz w:val="19"/>
          <w:szCs w:val="19"/>
        </w:rPr>
      </w:pPr>
      <w:r>
        <w:rPr>
          <w:spacing w:val="14"/>
          <w:sz w:val="19"/>
          <w:szCs w:val="19"/>
        </w:rPr>
        <w:t>(3)接入层面向各类园区、楼宇、住宅小区等商业、家庭和个人用户，提供各种有线、无</w:t>
      </w:r>
      <w:r>
        <w:rPr>
          <w:spacing w:val="12"/>
          <w:sz w:val="19"/>
          <w:szCs w:val="19"/>
        </w:rPr>
        <w:t xml:space="preserve"> </w:t>
      </w:r>
      <w:r>
        <w:rPr>
          <w:spacing w:val="2"/>
          <w:sz w:val="19"/>
          <w:szCs w:val="19"/>
        </w:rPr>
        <w:t>线接入方式。</w:t>
      </w:r>
    </w:p>
    <w:p w14:paraId="605885BB">
      <w:pPr>
        <w:pStyle w:val="2"/>
        <w:spacing w:before="223" w:line="220" w:lineRule="auto"/>
        <w:ind w:left="352"/>
        <w:rPr>
          <w:sz w:val="25"/>
          <w:szCs w:val="25"/>
        </w:rPr>
      </w:pPr>
      <w:r>
        <w:rPr>
          <w:b/>
          <w:bCs/>
          <w:color w:val="0061C3"/>
          <w:spacing w:val="-17"/>
          <w:sz w:val="25"/>
          <w:szCs w:val="25"/>
        </w:rPr>
        <w:t>3.3.3</w:t>
      </w:r>
      <w:r>
        <w:rPr>
          <w:color w:val="0061C3"/>
          <w:spacing w:val="100"/>
          <w:sz w:val="25"/>
          <w:szCs w:val="25"/>
        </w:rPr>
        <w:t xml:space="preserve"> </w:t>
      </w:r>
      <w:r>
        <w:rPr>
          <w:b/>
          <w:bCs/>
          <w:color w:val="0061C3"/>
          <w:spacing w:val="-17"/>
          <w:sz w:val="25"/>
          <w:szCs w:val="25"/>
        </w:rPr>
        <w:t>企业网和家庭网络组网</w:t>
      </w:r>
    </w:p>
    <w:p w14:paraId="411E9550">
      <w:pPr>
        <w:pStyle w:val="2"/>
        <w:spacing w:before="174" w:line="292" w:lineRule="auto"/>
        <w:ind w:left="350" w:right="66" w:firstLine="429"/>
        <w:jc w:val="both"/>
        <w:rPr>
          <w:sz w:val="19"/>
          <w:szCs w:val="19"/>
        </w:rPr>
      </w:pPr>
      <w:r>
        <w:rPr>
          <w:spacing w:val="13"/>
          <w:sz w:val="19"/>
          <w:szCs w:val="19"/>
        </w:rPr>
        <w:t>随着企业内部应用越来越丰富、企业分支之间互联互通、企业与外</w:t>
      </w:r>
      <w:r>
        <w:rPr>
          <w:spacing w:val="12"/>
          <w:sz w:val="19"/>
          <w:szCs w:val="19"/>
        </w:rPr>
        <w:t>部应用对接的需求越来</w:t>
      </w:r>
      <w:r>
        <w:rPr>
          <w:sz w:val="19"/>
          <w:szCs w:val="19"/>
        </w:rPr>
        <w:t xml:space="preserve"> </w:t>
      </w:r>
      <w:r>
        <w:rPr>
          <w:spacing w:val="13"/>
          <w:sz w:val="19"/>
          <w:szCs w:val="19"/>
        </w:rPr>
        <w:t>越多，以及企业内部人员移动办公、家庭办公等情况越来越普及，对网络和数据</w:t>
      </w:r>
      <w:r>
        <w:rPr>
          <w:spacing w:val="12"/>
          <w:sz w:val="19"/>
          <w:szCs w:val="19"/>
        </w:rPr>
        <w:t>安全性的要求</w:t>
      </w:r>
      <w:r>
        <w:rPr>
          <w:sz w:val="19"/>
          <w:szCs w:val="19"/>
        </w:rPr>
        <w:t xml:space="preserve"> </w:t>
      </w:r>
      <w:r>
        <w:rPr>
          <w:spacing w:val="6"/>
          <w:sz w:val="19"/>
          <w:szCs w:val="19"/>
        </w:rPr>
        <w:t>越来越高，企业网的组建愈发受到重视。</w:t>
      </w:r>
    </w:p>
    <w:p w14:paraId="342F7DBD">
      <w:pPr>
        <w:pStyle w:val="2"/>
        <w:spacing w:before="24" w:line="295" w:lineRule="auto"/>
        <w:ind w:left="350" w:right="84" w:firstLine="429"/>
        <w:jc w:val="both"/>
        <w:rPr>
          <w:sz w:val="19"/>
          <w:szCs w:val="19"/>
        </w:rPr>
      </w:pPr>
      <w:r>
        <w:rPr>
          <w:spacing w:val="12"/>
          <w:sz w:val="19"/>
          <w:szCs w:val="19"/>
        </w:rPr>
        <w:t>企业组网根据企业规模、是否有分支、企业信息化部署要求等方面的不同，实际部署网络</w:t>
      </w:r>
      <w:r>
        <w:rPr>
          <w:spacing w:val="9"/>
          <w:sz w:val="19"/>
          <w:szCs w:val="19"/>
        </w:rPr>
        <w:t xml:space="preserve"> </w:t>
      </w:r>
      <w:r>
        <w:rPr>
          <w:spacing w:val="11"/>
          <w:sz w:val="19"/>
          <w:szCs w:val="19"/>
        </w:rPr>
        <w:t>架构会有所差异。对于中小型企业网，</w:t>
      </w:r>
      <w:r>
        <w:rPr>
          <w:spacing w:val="74"/>
          <w:sz w:val="19"/>
          <w:szCs w:val="19"/>
        </w:rPr>
        <w:t xml:space="preserve"> </w:t>
      </w:r>
      <w:r>
        <w:rPr>
          <w:spacing w:val="11"/>
          <w:sz w:val="19"/>
          <w:szCs w:val="19"/>
        </w:rPr>
        <w:t>一般设置企业网关/企业接口路由器设备，核心层设置</w:t>
      </w:r>
      <w:r>
        <w:rPr>
          <w:sz w:val="19"/>
          <w:szCs w:val="19"/>
        </w:rPr>
        <w:t xml:space="preserve"> </w:t>
      </w:r>
      <w:r>
        <w:rPr>
          <w:spacing w:val="8"/>
          <w:sz w:val="19"/>
          <w:szCs w:val="19"/>
        </w:rPr>
        <w:t>若干台二层或者三层交换机设备，相关应用服务器、接入点</w:t>
      </w:r>
      <w:r>
        <w:rPr>
          <w:spacing w:val="-49"/>
          <w:sz w:val="19"/>
          <w:szCs w:val="19"/>
        </w:rPr>
        <w:t xml:space="preserve"> </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Access</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z w:val="19"/>
          <w:szCs w:val="19"/>
        </w:rPr>
        <w:t>Point</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AP</w:t>
      </w:r>
      <w:r>
        <w:rPr>
          <w:rFonts w:ascii="Times New Roman" w:hAnsi="Times New Roman" w:eastAsia="Times New Roman" w:cs="Times New Roman"/>
          <w:spacing w:val="8"/>
          <w:sz w:val="19"/>
          <w:szCs w:val="19"/>
        </w:rPr>
        <w:t>)</w:t>
      </w:r>
      <w:r>
        <w:rPr>
          <w:rFonts w:ascii="Times New Roman" w:hAnsi="Times New Roman" w:eastAsia="Times New Roman" w:cs="Times New Roman"/>
          <w:spacing w:val="-26"/>
          <w:sz w:val="19"/>
          <w:szCs w:val="19"/>
        </w:rPr>
        <w:t xml:space="preserve"> </w:t>
      </w:r>
      <w:r>
        <w:rPr>
          <w:spacing w:val="8"/>
          <w:sz w:val="19"/>
          <w:szCs w:val="19"/>
        </w:rPr>
        <w:t>、</w:t>
      </w:r>
      <w:r>
        <w:rPr>
          <w:rFonts w:ascii="Times New Roman" w:hAnsi="Times New Roman" w:eastAsia="Times New Roman" w:cs="Times New Roman"/>
          <w:sz w:val="19"/>
          <w:szCs w:val="19"/>
        </w:rPr>
        <w:t>PC</w:t>
      </w:r>
      <w:r>
        <w:rPr>
          <w:spacing w:val="8"/>
          <w:sz w:val="19"/>
          <w:szCs w:val="19"/>
        </w:rPr>
        <w:t>、手机等</w:t>
      </w:r>
      <w:r>
        <w:rPr>
          <w:sz w:val="19"/>
          <w:szCs w:val="19"/>
        </w:rPr>
        <w:t xml:space="preserve"> </w:t>
      </w:r>
      <w:r>
        <w:rPr>
          <w:spacing w:val="7"/>
          <w:sz w:val="19"/>
          <w:szCs w:val="19"/>
        </w:rPr>
        <w:t>设备通过光线、双绞线、</w:t>
      </w:r>
      <w:r>
        <w:rPr>
          <w:spacing w:val="-11"/>
          <w:sz w:val="19"/>
          <w:szCs w:val="19"/>
        </w:rPr>
        <w:t xml:space="preserve"> </w:t>
      </w:r>
      <w:r>
        <w:rPr>
          <w:rFonts w:ascii="Times New Roman" w:hAnsi="Times New Roman" w:eastAsia="Times New Roman" w:cs="Times New Roman"/>
          <w:sz w:val="19"/>
          <w:szCs w:val="19"/>
        </w:rPr>
        <w:t>Wi</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Fi</w:t>
      </w:r>
      <w:r>
        <w:rPr>
          <w:rFonts w:ascii="Times New Roman" w:hAnsi="Times New Roman" w:eastAsia="Times New Roman" w:cs="Times New Roman"/>
          <w:spacing w:val="21"/>
          <w:w w:val="101"/>
          <w:sz w:val="19"/>
          <w:szCs w:val="19"/>
        </w:rPr>
        <w:t xml:space="preserve"> </w:t>
      </w:r>
      <w:r>
        <w:rPr>
          <w:spacing w:val="7"/>
          <w:sz w:val="19"/>
          <w:szCs w:val="19"/>
        </w:rPr>
        <w:t>等手段接入交换机设备即可；对于大中型企业网，尤其有多个分</w:t>
      </w:r>
      <w:r>
        <w:rPr>
          <w:sz w:val="19"/>
          <w:szCs w:val="19"/>
        </w:rPr>
        <w:t xml:space="preserve"> </w:t>
      </w:r>
      <w:r>
        <w:rPr>
          <w:spacing w:val="9"/>
          <w:sz w:val="19"/>
          <w:szCs w:val="19"/>
        </w:rPr>
        <w:t>支的企业网络，组网就比较复杂，</w:t>
      </w:r>
      <w:r>
        <w:rPr>
          <w:spacing w:val="67"/>
          <w:sz w:val="19"/>
          <w:szCs w:val="19"/>
        </w:rPr>
        <w:t xml:space="preserve"> </w:t>
      </w:r>
      <w:r>
        <w:rPr>
          <w:spacing w:val="9"/>
          <w:sz w:val="19"/>
          <w:szCs w:val="19"/>
        </w:rPr>
        <w:t>一般也会分为核心层、汇聚层、接入层三层部署架构，</w:t>
      </w:r>
      <w:r>
        <w:rPr>
          <w:spacing w:val="8"/>
          <w:sz w:val="19"/>
          <w:szCs w:val="19"/>
        </w:rPr>
        <w:t>分支</w:t>
      </w:r>
    </w:p>
    <w:p w14:paraId="1220AB5E">
      <w:pPr>
        <w:spacing w:line="295" w:lineRule="auto"/>
        <w:rPr>
          <w:sz w:val="19"/>
          <w:szCs w:val="19"/>
        </w:rPr>
        <w:sectPr>
          <w:pgSz w:w="10300" w:h="13350"/>
          <w:pgMar w:top="350" w:right="1035" w:bottom="400" w:left="509" w:header="0" w:footer="0" w:gutter="0"/>
          <w:cols w:space="720" w:num="1"/>
        </w:sectPr>
      </w:pPr>
    </w:p>
    <w:p w14:paraId="0816173C">
      <w:pPr>
        <w:pStyle w:val="2"/>
        <w:spacing w:before="26" w:line="219" w:lineRule="auto"/>
        <w:jc w:val="right"/>
        <w:rPr>
          <w:rFonts w:ascii="Times New Roman" w:hAnsi="Times New Roman" w:eastAsia="Times New Roman" w:cs="Times New Roman"/>
          <w:sz w:val="20"/>
          <w:szCs w:val="20"/>
        </w:rPr>
      </w:pPr>
      <w:r>
        <w:rPr>
          <w:spacing w:val="-2"/>
          <w:sz w:val="20"/>
          <w:szCs w:val="20"/>
        </w:rPr>
        <w:t>第3章 信息网络系统</w:t>
      </w:r>
      <w:r>
        <w:rPr>
          <w:spacing w:val="6"/>
          <w:sz w:val="20"/>
          <w:szCs w:val="20"/>
        </w:rPr>
        <w:t xml:space="preserve">      </w:t>
      </w:r>
      <w:r>
        <w:rPr>
          <w:rFonts w:ascii="Times New Roman" w:hAnsi="Times New Roman" w:eastAsia="Times New Roman" w:cs="Times New Roman"/>
          <w:b/>
          <w:bCs/>
          <w:spacing w:val="-2"/>
          <w:sz w:val="20"/>
          <w:szCs w:val="20"/>
        </w:rPr>
        <w:t>105</w:t>
      </w:r>
    </w:p>
    <w:p w14:paraId="2BE7C81E">
      <w:pPr>
        <w:spacing w:line="306" w:lineRule="auto"/>
        <w:rPr>
          <w:rFonts w:ascii="Arial"/>
          <w:sz w:val="21"/>
        </w:rPr>
      </w:pPr>
    </w:p>
    <w:p w14:paraId="4A40B81E">
      <w:pPr>
        <w:pStyle w:val="2"/>
        <w:spacing w:before="65" w:line="291" w:lineRule="auto"/>
        <w:ind w:right="354"/>
        <w:rPr>
          <w:sz w:val="20"/>
          <w:szCs w:val="20"/>
        </w:rPr>
      </w:pPr>
      <w:r>
        <w:rPr>
          <w:spacing w:val="2"/>
          <w:sz w:val="20"/>
          <w:szCs w:val="20"/>
        </w:rPr>
        <w:t>之间会租用运营商等的</w:t>
      </w:r>
      <w:r>
        <w:rPr>
          <w:rFonts w:ascii="Times New Roman" w:hAnsi="Times New Roman" w:eastAsia="Times New Roman" w:cs="Times New Roman"/>
          <w:sz w:val="20"/>
          <w:szCs w:val="20"/>
        </w:rPr>
        <w:t>VPN</w:t>
      </w:r>
      <w:r>
        <w:rPr>
          <w:rFonts w:ascii="Times New Roman" w:hAnsi="Times New Roman" w:eastAsia="Times New Roman" w:cs="Times New Roman"/>
          <w:spacing w:val="21"/>
          <w:w w:val="101"/>
          <w:sz w:val="20"/>
          <w:szCs w:val="20"/>
        </w:rPr>
        <w:t xml:space="preserve"> </w:t>
      </w:r>
      <w:r>
        <w:rPr>
          <w:spacing w:val="2"/>
          <w:sz w:val="20"/>
          <w:szCs w:val="20"/>
        </w:rPr>
        <w:t>通道进行互联互通，核</w:t>
      </w:r>
      <w:r>
        <w:rPr>
          <w:spacing w:val="1"/>
          <w:sz w:val="20"/>
          <w:szCs w:val="20"/>
        </w:rPr>
        <w:t>心层主要是路由器设备，汇聚层主要是三层</w:t>
      </w:r>
      <w:r>
        <w:rPr>
          <w:sz w:val="20"/>
          <w:szCs w:val="20"/>
        </w:rPr>
        <w:t xml:space="preserve"> </w:t>
      </w:r>
      <w:r>
        <w:rPr>
          <w:spacing w:val="-2"/>
          <w:sz w:val="20"/>
          <w:szCs w:val="20"/>
        </w:rPr>
        <w:t>交换机设备，接入层主要是二层交换机设备。</w:t>
      </w:r>
    </w:p>
    <w:p w14:paraId="18A69423">
      <w:pPr>
        <w:pStyle w:val="2"/>
        <w:spacing w:before="12" w:line="279" w:lineRule="auto"/>
        <w:ind w:right="286" w:firstLine="409"/>
        <w:jc w:val="both"/>
        <w:rPr>
          <w:sz w:val="20"/>
          <w:szCs w:val="20"/>
        </w:rPr>
      </w:pPr>
      <w:r>
        <w:rPr>
          <w:spacing w:val="3"/>
          <w:sz w:val="20"/>
          <w:szCs w:val="20"/>
        </w:rPr>
        <w:t>随着家庭宽带业务应用的丰富多彩，特别是智慧家庭应用的普及，家庭宽带组网也逐渐受</w:t>
      </w:r>
      <w:r>
        <w:rPr>
          <w:sz w:val="20"/>
          <w:szCs w:val="20"/>
        </w:rPr>
        <w:t xml:space="preserve"> </w:t>
      </w:r>
      <w:r>
        <w:rPr>
          <w:spacing w:val="3"/>
          <w:sz w:val="20"/>
          <w:szCs w:val="20"/>
        </w:rPr>
        <w:t>到重视，家庭网络的概念也愈发成熟。家庭网络</w:t>
      </w:r>
      <w:r>
        <w:rPr>
          <w:spacing w:val="-47"/>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Home</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3"/>
          <w:sz w:val="20"/>
          <w:szCs w:val="20"/>
        </w:rPr>
        <w:t xml:space="preserve">) </w:t>
      </w:r>
      <w:r>
        <w:rPr>
          <w:spacing w:val="3"/>
          <w:sz w:val="20"/>
          <w:szCs w:val="20"/>
        </w:rPr>
        <w:t>是融合家庭控制网络和多媒</w:t>
      </w:r>
      <w:r>
        <w:rPr>
          <w:sz w:val="20"/>
          <w:szCs w:val="20"/>
        </w:rPr>
        <w:t xml:space="preserve"> </w:t>
      </w:r>
      <w:r>
        <w:rPr>
          <w:spacing w:val="5"/>
          <w:sz w:val="20"/>
          <w:szCs w:val="20"/>
        </w:rPr>
        <w:t>体信息网络于一体的家庭信息化平台，是在家庭范围内实现信息设备、通信设备</w:t>
      </w:r>
      <w:r>
        <w:rPr>
          <w:spacing w:val="4"/>
          <w:sz w:val="20"/>
          <w:szCs w:val="20"/>
        </w:rPr>
        <w:t>、娱乐设备、</w:t>
      </w:r>
      <w:r>
        <w:rPr>
          <w:sz w:val="20"/>
          <w:szCs w:val="20"/>
        </w:rPr>
        <w:t xml:space="preserve"> </w:t>
      </w:r>
      <w:r>
        <w:rPr>
          <w:spacing w:val="8"/>
          <w:sz w:val="20"/>
          <w:szCs w:val="20"/>
        </w:rPr>
        <w:t>家用电器、自动化设备、照明设备、安防(监控</w:t>
      </w:r>
      <w:r>
        <w:rPr>
          <w:spacing w:val="7"/>
          <w:sz w:val="20"/>
          <w:szCs w:val="20"/>
        </w:rPr>
        <w:t>)装置及水电气热表设备、家庭求助报警等设</w:t>
      </w:r>
      <w:r>
        <w:rPr>
          <w:sz w:val="20"/>
          <w:szCs w:val="20"/>
        </w:rPr>
        <w:t xml:space="preserve">  </w:t>
      </w:r>
      <w:r>
        <w:rPr>
          <w:spacing w:val="-3"/>
          <w:sz w:val="20"/>
          <w:szCs w:val="20"/>
        </w:rPr>
        <w:t>备互连和管理，以及数据和多媒体信息共享的系统。</w:t>
      </w:r>
    </w:p>
    <w:p w14:paraId="3E8EF004">
      <w:pPr>
        <w:pStyle w:val="2"/>
        <w:spacing w:before="244" w:line="219" w:lineRule="auto"/>
        <w:rPr>
          <w:sz w:val="23"/>
          <w:szCs w:val="23"/>
        </w:rPr>
      </w:pPr>
      <w:bookmarkStart w:id="536" w:name="bookmark523"/>
      <w:bookmarkEnd w:id="536"/>
      <w:r>
        <w:rPr>
          <w:rFonts w:ascii="Times New Roman" w:hAnsi="Times New Roman" w:eastAsia="Times New Roman" w:cs="Times New Roman"/>
          <w:b/>
          <w:bCs/>
          <w:color w:val="004FDA"/>
          <w:spacing w:val="1"/>
          <w:sz w:val="23"/>
          <w:szCs w:val="23"/>
        </w:rPr>
        <w:t xml:space="preserve">3.3.44G/5G     </w:t>
      </w:r>
      <w:r>
        <w:rPr>
          <w:b/>
          <w:bCs/>
          <w:color w:val="004FDA"/>
          <w:spacing w:val="1"/>
          <w:sz w:val="23"/>
          <w:szCs w:val="23"/>
        </w:rPr>
        <w:t>移动通信</w:t>
      </w:r>
    </w:p>
    <w:p w14:paraId="555F45BE">
      <w:pPr>
        <w:pStyle w:val="2"/>
        <w:spacing w:before="179" w:line="219" w:lineRule="auto"/>
        <w:ind w:left="409"/>
        <w:rPr>
          <w:sz w:val="20"/>
          <w:szCs w:val="20"/>
        </w:rPr>
      </w:pPr>
      <w:r>
        <w:rPr>
          <w:spacing w:val="7"/>
          <w:sz w:val="20"/>
          <w:szCs w:val="20"/>
        </w:rPr>
        <w:t>20世纪70年代到21世纪初，移动通信的发展历经三代：</w:t>
      </w:r>
    </w:p>
    <w:p w14:paraId="79F1D55E">
      <w:pPr>
        <w:pStyle w:val="2"/>
        <w:spacing w:before="62" w:line="219" w:lineRule="auto"/>
        <w:ind w:left="409"/>
        <w:rPr>
          <w:sz w:val="20"/>
          <w:szCs w:val="20"/>
        </w:rPr>
      </w:pPr>
      <w:r>
        <w:rPr>
          <w:spacing w:val="9"/>
          <w:sz w:val="20"/>
          <w:szCs w:val="20"/>
        </w:rPr>
        <w:t>●第1代，模拟蜂窝通信系统；</w:t>
      </w:r>
    </w:p>
    <w:p w14:paraId="331BB5D9">
      <w:pPr>
        <w:pStyle w:val="2"/>
        <w:spacing w:before="93" w:line="267" w:lineRule="auto"/>
        <w:ind w:left="679" w:right="376" w:hanging="270"/>
        <w:rPr>
          <w:sz w:val="20"/>
          <w:szCs w:val="20"/>
        </w:rPr>
      </w:pPr>
      <w:r>
        <w:rPr>
          <w:spacing w:val="29"/>
          <w:sz w:val="20"/>
          <w:szCs w:val="20"/>
        </w:rPr>
        <w:t>●</w:t>
      </w:r>
      <w:r>
        <w:rPr>
          <w:spacing w:val="-47"/>
          <w:sz w:val="20"/>
          <w:szCs w:val="20"/>
        </w:rPr>
        <w:t xml:space="preserve"> </w:t>
      </w:r>
      <w:r>
        <w:rPr>
          <w:spacing w:val="29"/>
          <w:sz w:val="20"/>
          <w:szCs w:val="20"/>
        </w:rPr>
        <w:t>第2代，数字蜂窝移动通信系统，即2G</w:t>
      </w:r>
      <w:r>
        <w:rPr>
          <w:spacing w:val="-14"/>
          <w:sz w:val="20"/>
          <w:szCs w:val="20"/>
        </w:rPr>
        <w:t xml:space="preserve"> </w:t>
      </w:r>
      <w:r>
        <w:rPr>
          <w:spacing w:val="29"/>
          <w:sz w:val="20"/>
          <w:szCs w:val="20"/>
        </w:rPr>
        <w:t>系统，包括全球移动通信系统(</w:t>
      </w:r>
      <w:r>
        <w:rPr>
          <w:sz w:val="20"/>
          <w:szCs w:val="20"/>
        </w:rPr>
        <w:t xml:space="preserve">Global </w:t>
      </w:r>
      <w:r>
        <w:rPr>
          <w:rFonts w:ascii="Times New Roman" w:hAnsi="Times New Roman" w:eastAsia="Times New Roman" w:cs="Times New Roman"/>
          <w:sz w:val="20"/>
          <w:szCs w:val="20"/>
        </w:rPr>
        <w:t>System</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Mobile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Communications</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GSM</w:t>
      </w:r>
      <w:r>
        <w:rPr>
          <w:rFonts w:ascii="Times New Roman" w:hAnsi="Times New Roman" w:eastAsia="Times New Roman" w:cs="Times New Roman"/>
          <w:spacing w:val="1"/>
          <w:sz w:val="20"/>
          <w:szCs w:val="20"/>
        </w:rPr>
        <w:t>)</w:t>
      </w:r>
      <w:r>
        <w:rPr>
          <w:spacing w:val="1"/>
          <w:sz w:val="20"/>
          <w:szCs w:val="20"/>
        </w:rPr>
        <w:t>、码分多址</w:t>
      </w:r>
      <w:r>
        <w:rPr>
          <w:spacing w:val="-40"/>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Code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Division  Multiple  Access, </w:t>
      </w:r>
      <w:r>
        <w:rPr>
          <w:rFonts w:ascii="Times New Roman" w:hAnsi="Times New Roman" w:eastAsia="Times New Roman" w:cs="Times New Roman"/>
          <w:spacing w:val="-3"/>
          <w:sz w:val="20"/>
          <w:szCs w:val="20"/>
        </w:rPr>
        <w:t>CDMA)</w:t>
      </w:r>
      <w:r>
        <w:rPr>
          <w:rFonts w:ascii="Times New Roman" w:hAnsi="Times New Roman" w:eastAsia="Times New Roman" w:cs="Times New Roman"/>
          <w:spacing w:val="16"/>
          <w:w w:val="101"/>
          <w:sz w:val="20"/>
          <w:szCs w:val="20"/>
        </w:rPr>
        <w:t xml:space="preserve">  </w:t>
      </w:r>
      <w:r>
        <w:rPr>
          <w:spacing w:val="-3"/>
          <w:sz w:val="20"/>
          <w:szCs w:val="20"/>
        </w:rPr>
        <w:t>等；</w:t>
      </w:r>
    </w:p>
    <w:p w14:paraId="33CC2544">
      <w:pPr>
        <w:pStyle w:val="2"/>
        <w:spacing w:before="132" w:line="267" w:lineRule="auto"/>
        <w:ind w:left="679" w:right="340" w:hanging="270"/>
        <w:rPr>
          <w:sz w:val="20"/>
          <w:szCs w:val="20"/>
        </w:rPr>
      </w:pPr>
      <w:r>
        <w:rPr>
          <w:spacing w:val="4"/>
          <w:sz w:val="20"/>
          <w:szCs w:val="20"/>
        </w:rPr>
        <w:t>●第3代，数字移动通信系统，即3G 系统，包括宽带码分多址(</w:t>
      </w:r>
      <w:r>
        <w:rPr>
          <w:sz w:val="20"/>
          <w:szCs w:val="20"/>
        </w:rPr>
        <w:t>Wide</w:t>
      </w:r>
      <w:r>
        <w:rPr>
          <w:spacing w:val="4"/>
          <w:sz w:val="20"/>
          <w:szCs w:val="20"/>
        </w:rPr>
        <w:t xml:space="preserve"> </w:t>
      </w:r>
      <w:r>
        <w:rPr>
          <w:sz w:val="20"/>
          <w:szCs w:val="20"/>
        </w:rPr>
        <w:t>band</w:t>
      </w:r>
      <w:r>
        <w:rPr>
          <w:spacing w:val="4"/>
          <w:sz w:val="20"/>
          <w:szCs w:val="20"/>
        </w:rPr>
        <w:t xml:space="preserve"> </w:t>
      </w:r>
      <w:r>
        <w:rPr>
          <w:sz w:val="20"/>
          <w:szCs w:val="20"/>
        </w:rPr>
        <w:t>Code</w:t>
      </w:r>
      <w:r>
        <w:rPr>
          <w:spacing w:val="4"/>
          <w:sz w:val="20"/>
          <w:szCs w:val="20"/>
        </w:rPr>
        <w:t xml:space="preserve"> </w:t>
      </w:r>
      <w:r>
        <w:rPr>
          <w:sz w:val="20"/>
          <w:szCs w:val="20"/>
        </w:rPr>
        <w:t>Division</w:t>
      </w:r>
      <w:r>
        <w:rPr>
          <w:spacing w:val="2"/>
          <w:sz w:val="20"/>
          <w:szCs w:val="20"/>
        </w:rPr>
        <w:t xml:space="preserve"> </w:t>
      </w:r>
      <w:r>
        <w:rPr>
          <w:rFonts w:ascii="Times New Roman" w:hAnsi="Times New Roman" w:eastAsia="Times New Roman" w:cs="Times New Roman"/>
          <w:spacing w:val="-2"/>
          <w:sz w:val="20"/>
          <w:szCs w:val="20"/>
        </w:rPr>
        <w:t>Multiple      Access,W-CDMA)</w:t>
      </w:r>
      <w:r>
        <w:rPr>
          <w:rFonts w:ascii="Times New Roman" w:hAnsi="Times New Roman" w:eastAsia="Times New Roman" w:cs="Times New Roman"/>
          <w:spacing w:val="-28"/>
          <w:sz w:val="20"/>
          <w:szCs w:val="20"/>
        </w:rPr>
        <w:t xml:space="preserve"> </w:t>
      </w:r>
      <w:r>
        <w:rPr>
          <w:spacing w:val="-2"/>
          <w:sz w:val="20"/>
          <w:szCs w:val="20"/>
        </w:rPr>
        <w:t>、</w:t>
      </w:r>
      <w:r>
        <w:rPr>
          <w:rFonts w:ascii="Times New Roman" w:hAnsi="Times New Roman" w:eastAsia="Times New Roman" w:cs="Times New Roman"/>
          <w:spacing w:val="-2"/>
          <w:sz w:val="20"/>
          <w:szCs w:val="20"/>
        </w:rPr>
        <w:t>CDMA2000</w:t>
      </w:r>
      <w:r>
        <w:rPr>
          <w:rFonts w:ascii="Times New Roman" w:hAnsi="Times New Roman" w:eastAsia="Times New Roman" w:cs="Times New Roman"/>
          <w:spacing w:val="-28"/>
          <w:sz w:val="20"/>
          <w:szCs w:val="20"/>
        </w:rPr>
        <w:t xml:space="preserve"> </w:t>
      </w:r>
      <w:r>
        <w:rPr>
          <w:spacing w:val="-2"/>
          <w:sz w:val="20"/>
          <w:szCs w:val="20"/>
        </w:rPr>
        <w:t>、</w:t>
      </w:r>
      <w:r>
        <w:rPr>
          <w:spacing w:val="-59"/>
          <w:sz w:val="20"/>
          <w:szCs w:val="20"/>
        </w:rPr>
        <w:t xml:space="preserve"> </w:t>
      </w:r>
      <w:r>
        <w:rPr>
          <w:spacing w:val="-2"/>
          <w:sz w:val="20"/>
          <w:szCs w:val="20"/>
        </w:rPr>
        <w:t>时 分</w:t>
      </w:r>
      <w:r>
        <w:rPr>
          <w:spacing w:val="27"/>
          <w:sz w:val="20"/>
          <w:szCs w:val="20"/>
        </w:rPr>
        <w:t xml:space="preserve"> </w:t>
      </w:r>
      <w:r>
        <w:rPr>
          <w:spacing w:val="-2"/>
          <w:sz w:val="20"/>
          <w:szCs w:val="20"/>
        </w:rPr>
        <w:t>同 步 码 分</w:t>
      </w:r>
      <w:r>
        <w:rPr>
          <w:spacing w:val="16"/>
          <w:sz w:val="20"/>
          <w:szCs w:val="20"/>
        </w:rPr>
        <w:t xml:space="preserve"> </w:t>
      </w:r>
      <w:r>
        <w:rPr>
          <w:spacing w:val="-2"/>
          <w:sz w:val="20"/>
          <w:szCs w:val="20"/>
        </w:rPr>
        <w:t>多 址</w:t>
      </w:r>
      <w:r>
        <w:rPr>
          <w:spacing w:val="-59"/>
          <w:sz w:val="20"/>
          <w:szCs w:val="20"/>
        </w:rPr>
        <w:t xml:space="preserve"> </w:t>
      </w:r>
      <w:r>
        <w:rPr>
          <w:rFonts w:ascii="Times New Roman" w:hAnsi="Times New Roman" w:eastAsia="Times New Roman" w:cs="Times New Roman"/>
          <w:spacing w:val="-2"/>
          <w:sz w:val="20"/>
          <w:szCs w:val="20"/>
        </w:rPr>
        <w:t>(Time   D</w:t>
      </w:r>
      <w:r>
        <w:rPr>
          <w:rFonts w:ascii="Times New Roman" w:hAnsi="Times New Roman" w:eastAsia="Times New Roman" w:cs="Times New Roman"/>
          <w:spacing w:val="-3"/>
          <w:sz w:val="20"/>
          <w:szCs w:val="20"/>
        </w:rPr>
        <w:t>ivision-</w:t>
      </w:r>
      <w:r>
        <w:rPr>
          <w:rFonts w:ascii="Times New Roman" w:hAnsi="Times New Roman" w:eastAsia="Times New Roman" w:cs="Times New Roman"/>
          <w:sz w:val="20"/>
          <w:szCs w:val="20"/>
        </w:rPr>
        <w:t xml:space="preserve"> Synchronous  Code  Division  Multiple  Access,TD-SCDMA) </w:t>
      </w:r>
      <w:r>
        <w:rPr>
          <w:sz w:val="20"/>
          <w:szCs w:val="20"/>
        </w:rPr>
        <w:t>等。</w:t>
      </w:r>
    </w:p>
    <w:p w14:paraId="3CB0ACAE">
      <w:pPr>
        <w:spacing w:before="169" w:line="222" w:lineRule="auto"/>
        <w:ind w:left="409"/>
        <w:rPr>
          <w:rFonts w:ascii="黑体" w:hAnsi="黑体" w:eastAsia="黑体" w:cs="黑体"/>
          <w:sz w:val="20"/>
          <w:szCs w:val="20"/>
        </w:rPr>
      </w:pPr>
      <w:r>
        <w:rPr>
          <w:rFonts w:ascii="Times New Roman" w:hAnsi="Times New Roman" w:eastAsia="Times New Roman" w:cs="Times New Roman"/>
          <w:b/>
          <w:bCs/>
          <w:color w:val="0051BB"/>
          <w:spacing w:val="-4"/>
          <w:sz w:val="20"/>
          <w:szCs w:val="20"/>
        </w:rPr>
        <w:t>1.4G</w:t>
      </w:r>
      <w:r>
        <w:rPr>
          <w:rFonts w:ascii="Times New Roman" w:hAnsi="Times New Roman" w:eastAsia="Times New Roman" w:cs="Times New Roman"/>
          <w:b/>
          <w:bCs/>
          <w:color w:val="0051BB"/>
          <w:spacing w:val="11"/>
          <w:sz w:val="20"/>
          <w:szCs w:val="20"/>
        </w:rPr>
        <w:t xml:space="preserve">  </w:t>
      </w:r>
      <w:r>
        <w:rPr>
          <w:rFonts w:ascii="黑体" w:hAnsi="黑体" w:eastAsia="黑体" w:cs="黑体"/>
          <w:b/>
          <w:bCs/>
          <w:color w:val="0051BB"/>
          <w:spacing w:val="-4"/>
          <w:sz w:val="20"/>
          <w:szCs w:val="20"/>
        </w:rPr>
        <w:t>移动通信</w:t>
      </w:r>
    </w:p>
    <w:p w14:paraId="6C52F233">
      <w:pPr>
        <w:pStyle w:val="2"/>
        <w:spacing w:before="161" w:line="270" w:lineRule="auto"/>
        <w:ind w:right="358" w:firstLine="409"/>
        <w:jc w:val="both"/>
        <w:rPr>
          <w:sz w:val="20"/>
          <w:szCs w:val="20"/>
        </w:rPr>
      </w:pPr>
      <w:r>
        <w:rPr>
          <w:spacing w:val="15"/>
          <w:sz w:val="20"/>
          <w:szCs w:val="20"/>
        </w:rPr>
        <w:t>2013年12月4日，我国正式向三大运营商发布4G 牌照，</w:t>
      </w:r>
      <w:r>
        <w:rPr>
          <w:spacing w:val="14"/>
          <w:sz w:val="20"/>
          <w:szCs w:val="20"/>
        </w:rPr>
        <w:t>标志着第4代移动通信系统建</w:t>
      </w:r>
      <w:r>
        <w:rPr>
          <w:sz w:val="20"/>
          <w:szCs w:val="20"/>
        </w:rPr>
        <w:t xml:space="preserve"> </w:t>
      </w:r>
      <w:r>
        <w:rPr>
          <w:spacing w:val="4"/>
          <w:sz w:val="20"/>
          <w:szCs w:val="20"/>
        </w:rPr>
        <w:t>设的开启。相比3G 系统，4G 移动通信采用了正交频分复</w:t>
      </w:r>
      <w:r>
        <w:rPr>
          <w:spacing w:val="3"/>
          <w:sz w:val="20"/>
          <w:szCs w:val="20"/>
        </w:rPr>
        <w:t>用(</w:t>
      </w:r>
      <w:r>
        <w:rPr>
          <w:sz w:val="20"/>
          <w:szCs w:val="20"/>
        </w:rPr>
        <w:t>Orthogonal</w:t>
      </w:r>
      <w:r>
        <w:rPr>
          <w:spacing w:val="3"/>
          <w:sz w:val="20"/>
          <w:szCs w:val="20"/>
        </w:rPr>
        <w:t xml:space="preserve"> </w:t>
      </w:r>
      <w:r>
        <w:rPr>
          <w:sz w:val="20"/>
          <w:szCs w:val="20"/>
        </w:rPr>
        <w:t>Frequency</w:t>
      </w:r>
      <w:r>
        <w:rPr>
          <w:spacing w:val="3"/>
          <w:sz w:val="20"/>
          <w:szCs w:val="20"/>
        </w:rPr>
        <w:t xml:space="preserve"> </w:t>
      </w:r>
      <w:r>
        <w:rPr>
          <w:sz w:val="20"/>
          <w:szCs w:val="20"/>
        </w:rPr>
        <w:t xml:space="preserve">Division </w:t>
      </w:r>
      <w:r>
        <w:rPr>
          <w:rFonts w:ascii="Times New Roman" w:hAnsi="Times New Roman" w:eastAsia="Times New Roman" w:cs="Times New Roman"/>
          <w:sz w:val="20"/>
          <w:szCs w:val="20"/>
        </w:rPr>
        <w:t>Multiplexing</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OFDM</w:t>
      </w:r>
      <w:r>
        <w:rPr>
          <w:rFonts w:ascii="Times New Roman" w:hAnsi="Times New Roman" w:eastAsia="Times New Roman" w:cs="Times New Roman"/>
          <w:spacing w:val="4"/>
          <w:sz w:val="20"/>
          <w:szCs w:val="20"/>
        </w:rPr>
        <w:t xml:space="preserve">)     </w:t>
      </w:r>
      <w:r>
        <w:rPr>
          <w:spacing w:val="4"/>
          <w:sz w:val="20"/>
          <w:szCs w:val="20"/>
        </w:rPr>
        <w:t>技术、软件无线电技术、智能天线技术、多输入多输出</w:t>
      </w:r>
      <w:r>
        <w:rPr>
          <w:spacing w:val="-38"/>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Multiple</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Input Multiple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Output</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MIMO</w:t>
      </w:r>
      <w:r>
        <w:rPr>
          <w:rFonts w:ascii="Times New Roman" w:hAnsi="Times New Roman" w:eastAsia="Times New Roman" w:cs="Times New Roman"/>
          <w:spacing w:val="1"/>
          <w:sz w:val="20"/>
          <w:szCs w:val="20"/>
        </w:rPr>
        <w:t xml:space="preserve">) </w:t>
      </w:r>
      <w:r>
        <w:rPr>
          <w:spacing w:val="1"/>
          <w:sz w:val="20"/>
          <w:szCs w:val="20"/>
        </w:rPr>
        <w:t>技术、基于</w:t>
      </w:r>
      <w:r>
        <w:rPr>
          <w:rFonts w:ascii="Times New Roman" w:hAnsi="Times New Roman" w:eastAsia="Times New Roman" w:cs="Times New Roman"/>
          <w:sz w:val="20"/>
          <w:szCs w:val="20"/>
        </w:rPr>
        <w:t>IP</w:t>
      </w:r>
      <w:r>
        <w:rPr>
          <w:rFonts w:ascii="Times New Roman" w:hAnsi="Times New Roman" w:eastAsia="Times New Roman" w:cs="Times New Roman"/>
          <w:spacing w:val="28"/>
          <w:w w:val="101"/>
          <w:sz w:val="20"/>
          <w:szCs w:val="20"/>
        </w:rPr>
        <w:t xml:space="preserve"> </w:t>
      </w:r>
      <w:r>
        <w:rPr>
          <w:spacing w:val="1"/>
          <w:sz w:val="20"/>
          <w:szCs w:val="20"/>
        </w:rPr>
        <w:t>的核心网等技术，以提高无线通信网络效率和功能。</w:t>
      </w:r>
    </w:p>
    <w:p w14:paraId="147CF646">
      <w:pPr>
        <w:pStyle w:val="2"/>
        <w:spacing w:before="40" w:line="212" w:lineRule="auto"/>
        <w:ind w:left="409"/>
        <w:rPr>
          <w:sz w:val="20"/>
          <w:szCs w:val="20"/>
        </w:rPr>
      </w:pPr>
      <w:r>
        <w:rPr>
          <w:rFonts w:ascii="Times New Roman" w:hAnsi="Times New Roman" w:eastAsia="Times New Roman" w:cs="Times New Roman"/>
          <w:spacing w:val="-2"/>
          <w:sz w:val="20"/>
          <w:szCs w:val="20"/>
        </w:rPr>
        <w:t>(1)4G</w:t>
      </w:r>
      <w:r>
        <w:rPr>
          <w:rFonts w:ascii="Times New Roman" w:hAnsi="Times New Roman" w:eastAsia="Times New Roman" w:cs="Times New Roman"/>
          <w:spacing w:val="11"/>
          <w:sz w:val="20"/>
          <w:szCs w:val="20"/>
        </w:rPr>
        <w:t xml:space="preserve">   </w:t>
      </w:r>
      <w:r>
        <w:rPr>
          <w:spacing w:val="-2"/>
          <w:sz w:val="20"/>
          <w:szCs w:val="20"/>
        </w:rPr>
        <w:t>移动通信的优势包括：</w:t>
      </w:r>
    </w:p>
    <w:p w14:paraId="51F4DDCD">
      <w:pPr>
        <w:pStyle w:val="2"/>
        <w:spacing w:before="122" w:line="239" w:lineRule="auto"/>
        <w:ind w:left="679" w:right="359" w:hanging="270"/>
        <w:rPr>
          <w:sz w:val="20"/>
          <w:szCs w:val="20"/>
        </w:rPr>
      </w:pPr>
      <w:r>
        <w:rPr>
          <w:spacing w:val="20"/>
          <w:sz w:val="20"/>
          <w:szCs w:val="20"/>
        </w:rPr>
        <w:t>●高速率、高容量。4G</w:t>
      </w:r>
      <w:r>
        <w:rPr>
          <w:spacing w:val="-9"/>
          <w:sz w:val="20"/>
          <w:szCs w:val="20"/>
        </w:rPr>
        <w:t xml:space="preserve"> </w:t>
      </w:r>
      <w:r>
        <w:rPr>
          <w:spacing w:val="20"/>
          <w:sz w:val="20"/>
          <w:szCs w:val="20"/>
        </w:rPr>
        <w:t>拥有比3G</w:t>
      </w:r>
      <w:r>
        <w:rPr>
          <w:spacing w:val="-15"/>
          <w:sz w:val="20"/>
          <w:szCs w:val="20"/>
        </w:rPr>
        <w:t xml:space="preserve"> </w:t>
      </w:r>
      <w:r>
        <w:rPr>
          <w:spacing w:val="20"/>
          <w:sz w:val="20"/>
          <w:szCs w:val="20"/>
        </w:rPr>
        <w:t>更快的通信传输速率，理论上最高下行速率可达</w:t>
      </w:r>
      <w:r>
        <w:rPr>
          <w:sz w:val="20"/>
          <w:szCs w:val="20"/>
        </w:rPr>
        <w:t xml:space="preserve"> </w:t>
      </w:r>
      <w:r>
        <w:rPr>
          <w:rFonts w:ascii="Times New Roman" w:hAnsi="Times New Roman" w:eastAsia="Times New Roman" w:cs="Times New Roman"/>
          <w:spacing w:val="1"/>
          <w:sz w:val="20"/>
          <w:szCs w:val="20"/>
        </w:rPr>
        <w:t>100</w:t>
      </w:r>
      <w:r>
        <w:rPr>
          <w:rFonts w:ascii="Times New Roman" w:hAnsi="Times New Roman" w:eastAsia="Times New Roman" w:cs="Times New Roman"/>
          <w:sz w:val="20"/>
          <w:szCs w:val="20"/>
        </w:rPr>
        <w:t>Mb</w:t>
      </w:r>
      <w:r>
        <w:rPr>
          <w:rFonts w:ascii="Times New Roman" w:hAnsi="Times New Roman" w:eastAsia="Times New Roman" w:cs="Times New Roman"/>
          <w:spacing w:val="1"/>
          <w:sz w:val="20"/>
          <w:szCs w:val="20"/>
        </w:rPr>
        <w:t xml:space="preserve">,   </w:t>
      </w:r>
      <w:r>
        <w:rPr>
          <w:spacing w:val="1"/>
          <w:sz w:val="20"/>
          <w:szCs w:val="20"/>
        </w:rPr>
        <w:t>上行速率可达50</w:t>
      </w:r>
      <w:r>
        <w:rPr>
          <w:rFonts w:ascii="Times New Roman" w:hAnsi="Times New Roman" w:eastAsia="Times New Roman" w:cs="Times New Roman"/>
          <w:sz w:val="20"/>
          <w:szCs w:val="20"/>
        </w:rPr>
        <w:t>Mb</w:t>
      </w:r>
      <w:r>
        <w:rPr>
          <w:rFonts w:ascii="Times New Roman" w:hAnsi="Times New Roman" w:eastAsia="Times New Roman" w:cs="Times New Roman"/>
          <w:spacing w:val="1"/>
          <w:sz w:val="20"/>
          <w:szCs w:val="20"/>
        </w:rPr>
        <w:t xml:space="preserve">,  </w:t>
      </w:r>
      <w:r>
        <w:rPr>
          <w:spacing w:val="1"/>
          <w:sz w:val="20"/>
          <w:szCs w:val="20"/>
        </w:rPr>
        <w:t>当然这与用户的移动特征有关，移动越快，速率越低。</w:t>
      </w:r>
    </w:p>
    <w:p w14:paraId="6E19BE84">
      <w:pPr>
        <w:pStyle w:val="2"/>
        <w:spacing w:before="103" w:line="219" w:lineRule="auto"/>
        <w:ind w:left="409"/>
        <w:rPr>
          <w:sz w:val="20"/>
          <w:szCs w:val="20"/>
        </w:rPr>
      </w:pPr>
      <w:r>
        <w:rPr>
          <w:spacing w:val="9"/>
          <w:sz w:val="20"/>
          <w:szCs w:val="20"/>
        </w:rPr>
        <w:t>●网络频谱更宽。每个4G</w:t>
      </w:r>
      <w:r>
        <w:rPr>
          <w:spacing w:val="-25"/>
          <w:sz w:val="20"/>
          <w:szCs w:val="20"/>
        </w:rPr>
        <w:t xml:space="preserve"> </w:t>
      </w:r>
      <w:r>
        <w:rPr>
          <w:spacing w:val="9"/>
          <w:sz w:val="20"/>
          <w:szCs w:val="20"/>
        </w:rPr>
        <w:t>信道将占100</w:t>
      </w:r>
      <w:r>
        <w:rPr>
          <w:sz w:val="20"/>
          <w:szCs w:val="20"/>
        </w:rPr>
        <w:t>MHz</w:t>
      </w:r>
      <w:r>
        <w:rPr>
          <w:spacing w:val="52"/>
          <w:sz w:val="20"/>
          <w:szCs w:val="20"/>
        </w:rPr>
        <w:t xml:space="preserve"> </w:t>
      </w:r>
      <w:r>
        <w:rPr>
          <w:spacing w:val="9"/>
          <w:sz w:val="20"/>
          <w:szCs w:val="20"/>
        </w:rPr>
        <w:t>频谱，相当于W-</w:t>
      </w:r>
      <w:r>
        <w:rPr>
          <w:sz w:val="20"/>
          <w:szCs w:val="20"/>
        </w:rPr>
        <w:t>CDMA</w:t>
      </w:r>
      <w:r>
        <w:rPr>
          <w:spacing w:val="9"/>
          <w:sz w:val="20"/>
          <w:szCs w:val="20"/>
        </w:rPr>
        <w:t>3G</w:t>
      </w:r>
      <w:r>
        <w:rPr>
          <w:spacing w:val="27"/>
          <w:sz w:val="20"/>
          <w:szCs w:val="20"/>
        </w:rPr>
        <w:t xml:space="preserve">   </w:t>
      </w:r>
      <w:r>
        <w:rPr>
          <w:spacing w:val="9"/>
          <w:sz w:val="20"/>
          <w:szCs w:val="20"/>
        </w:rPr>
        <w:t>网络的</w:t>
      </w:r>
      <w:r>
        <w:rPr>
          <w:spacing w:val="8"/>
          <w:sz w:val="20"/>
          <w:szCs w:val="20"/>
        </w:rPr>
        <w:t>20倍。</w:t>
      </w:r>
    </w:p>
    <w:p w14:paraId="661AE9E3">
      <w:pPr>
        <w:pStyle w:val="2"/>
        <w:spacing w:before="73" w:line="258" w:lineRule="auto"/>
        <w:ind w:left="679" w:right="359" w:hanging="270"/>
        <w:rPr>
          <w:sz w:val="20"/>
          <w:szCs w:val="20"/>
        </w:rPr>
      </w:pPr>
      <w:r>
        <w:rPr>
          <w:spacing w:val="6"/>
          <w:sz w:val="20"/>
          <w:szCs w:val="20"/>
        </w:rPr>
        <w:t>●智能性能更高。4G</w:t>
      </w:r>
      <w:r>
        <w:rPr>
          <w:spacing w:val="-18"/>
          <w:sz w:val="20"/>
          <w:szCs w:val="20"/>
        </w:rPr>
        <w:t xml:space="preserve"> </w:t>
      </w:r>
      <w:r>
        <w:rPr>
          <w:spacing w:val="6"/>
          <w:sz w:val="20"/>
          <w:szCs w:val="20"/>
        </w:rPr>
        <w:t>采用智能技术，使得终端设备具有智能化，同时系统可自适应地进</w:t>
      </w:r>
      <w:r>
        <w:rPr>
          <w:sz w:val="20"/>
          <w:szCs w:val="20"/>
        </w:rPr>
        <w:t xml:space="preserve"> </w:t>
      </w:r>
      <w:r>
        <w:rPr>
          <w:spacing w:val="-6"/>
          <w:sz w:val="20"/>
          <w:szCs w:val="20"/>
        </w:rPr>
        <w:t>行资源分配。</w:t>
      </w:r>
    </w:p>
    <w:p w14:paraId="137E9E23">
      <w:pPr>
        <w:pStyle w:val="2"/>
        <w:spacing w:before="81" w:line="252" w:lineRule="auto"/>
        <w:ind w:left="679" w:right="347" w:hanging="270"/>
        <w:rPr>
          <w:sz w:val="20"/>
          <w:szCs w:val="20"/>
        </w:rPr>
      </w:pPr>
      <w:r>
        <w:rPr>
          <w:spacing w:val="6"/>
          <w:sz w:val="20"/>
          <w:szCs w:val="20"/>
        </w:rPr>
        <w:t>●兼容性能更平滑。4G 系统具备全球漫游功能，接口开放</w:t>
      </w:r>
      <w:r>
        <w:rPr>
          <w:spacing w:val="5"/>
          <w:sz w:val="20"/>
          <w:szCs w:val="20"/>
        </w:rPr>
        <w:t>，能与多种网络互连，终端多</w:t>
      </w:r>
      <w:r>
        <w:rPr>
          <w:sz w:val="20"/>
          <w:szCs w:val="20"/>
        </w:rPr>
        <w:t xml:space="preserve"> </w:t>
      </w:r>
      <w:r>
        <w:rPr>
          <w:spacing w:val="-1"/>
          <w:sz w:val="20"/>
          <w:szCs w:val="20"/>
        </w:rPr>
        <w:t>样化，在不同系统间能够无缝切换、传输高速</w:t>
      </w:r>
      <w:r>
        <w:rPr>
          <w:spacing w:val="-2"/>
          <w:sz w:val="20"/>
          <w:szCs w:val="20"/>
        </w:rPr>
        <w:t>多媒体业务数据。</w:t>
      </w:r>
    </w:p>
    <w:p w14:paraId="2EA7EBF2">
      <w:pPr>
        <w:pStyle w:val="2"/>
        <w:spacing w:before="82" w:line="262" w:lineRule="auto"/>
        <w:ind w:left="679" w:right="358" w:hanging="270"/>
        <w:rPr>
          <w:sz w:val="20"/>
          <w:szCs w:val="20"/>
        </w:rPr>
      </w:pPr>
      <w:r>
        <w:rPr>
          <w:spacing w:val="6"/>
          <w:sz w:val="20"/>
          <w:szCs w:val="20"/>
        </w:rPr>
        <w:t>●实现更高质量、更低费用的通信。4G</w:t>
      </w:r>
      <w:r>
        <w:rPr>
          <w:spacing w:val="-15"/>
          <w:sz w:val="20"/>
          <w:szCs w:val="20"/>
        </w:rPr>
        <w:t xml:space="preserve"> </w:t>
      </w:r>
      <w:r>
        <w:rPr>
          <w:spacing w:val="6"/>
          <w:sz w:val="20"/>
          <w:szCs w:val="20"/>
        </w:rPr>
        <w:t>系统可以提供良好的覆盖性、高速数据和高</w:t>
      </w:r>
      <w:r>
        <w:rPr>
          <w:spacing w:val="5"/>
          <w:sz w:val="20"/>
          <w:szCs w:val="20"/>
        </w:rPr>
        <w:t>分辨</w:t>
      </w:r>
      <w:r>
        <w:rPr>
          <w:sz w:val="20"/>
          <w:szCs w:val="20"/>
        </w:rPr>
        <w:t xml:space="preserve"> </w:t>
      </w:r>
      <w:r>
        <w:rPr>
          <w:spacing w:val="-1"/>
          <w:sz w:val="20"/>
          <w:szCs w:val="20"/>
        </w:rPr>
        <w:t>率的多媒体服务，因此4</w:t>
      </w:r>
      <w:r>
        <w:rPr>
          <w:rFonts w:ascii="Times New Roman" w:hAnsi="Times New Roman" w:eastAsia="Times New Roman" w:cs="Times New Roman"/>
          <w:spacing w:val="-1"/>
          <w:sz w:val="20"/>
          <w:szCs w:val="20"/>
        </w:rPr>
        <w:t xml:space="preserve">G </w:t>
      </w:r>
      <w:r>
        <w:rPr>
          <w:spacing w:val="-1"/>
          <w:sz w:val="20"/>
          <w:szCs w:val="20"/>
        </w:rPr>
        <w:t>系统也可以称</w:t>
      </w:r>
      <w:r>
        <w:rPr>
          <w:spacing w:val="-2"/>
          <w:sz w:val="20"/>
          <w:szCs w:val="20"/>
        </w:rPr>
        <w:t>为“多媒体移动通信”。</w:t>
      </w:r>
    </w:p>
    <w:p w14:paraId="62CE57DE">
      <w:pPr>
        <w:pStyle w:val="2"/>
        <w:spacing w:before="72" w:line="262" w:lineRule="auto"/>
        <w:ind w:left="679" w:right="286" w:hanging="270"/>
        <w:rPr>
          <w:sz w:val="20"/>
          <w:szCs w:val="20"/>
        </w:rPr>
      </w:pPr>
      <w:r>
        <w:rPr>
          <w:spacing w:val="8"/>
          <w:sz w:val="20"/>
          <w:szCs w:val="20"/>
        </w:rPr>
        <w:t>●更好的安全性。4G</w:t>
      </w:r>
      <w:r>
        <w:rPr>
          <w:spacing w:val="-14"/>
          <w:sz w:val="20"/>
          <w:szCs w:val="20"/>
        </w:rPr>
        <w:t xml:space="preserve"> </w:t>
      </w:r>
      <w:r>
        <w:rPr>
          <w:spacing w:val="8"/>
          <w:sz w:val="20"/>
          <w:szCs w:val="20"/>
        </w:rPr>
        <w:t>安全已经与计算机网络安全、终端安全与认证</w:t>
      </w:r>
      <w:r>
        <w:rPr>
          <w:spacing w:val="7"/>
          <w:sz w:val="20"/>
          <w:szCs w:val="20"/>
        </w:rPr>
        <w:t>系统安全融为一体，</w:t>
      </w:r>
      <w:r>
        <w:rPr>
          <w:sz w:val="20"/>
          <w:szCs w:val="20"/>
        </w:rPr>
        <w:t xml:space="preserve"> </w:t>
      </w:r>
      <w:r>
        <w:rPr>
          <w:rFonts w:ascii="Times New Roman" w:hAnsi="Times New Roman" w:eastAsia="Times New Roman" w:cs="Times New Roman"/>
          <w:spacing w:val="1"/>
          <w:sz w:val="20"/>
          <w:szCs w:val="20"/>
        </w:rPr>
        <w:t xml:space="preserve">4G </w:t>
      </w:r>
      <w:r>
        <w:rPr>
          <w:spacing w:val="1"/>
          <w:sz w:val="20"/>
          <w:szCs w:val="20"/>
        </w:rPr>
        <w:t>系统充分共享并利用计算机安全管理机制与技术加强4</w:t>
      </w:r>
      <w:r>
        <w:rPr>
          <w:rFonts w:ascii="Times New Roman" w:hAnsi="Times New Roman" w:eastAsia="Times New Roman" w:cs="Times New Roman"/>
          <w:spacing w:val="1"/>
          <w:sz w:val="20"/>
          <w:szCs w:val="20"/>
        </w:rPr>
        <w:t xml:space="preserve">G </w:t>
      </w:r>
      <w:r>
        <w:rPr>
          <w:spacing w:val="1"/>
          <w:sz w:val="20"/>
          <w:szCs w:val="20"/>
        </w:rPr>
        <w:t>移动通信的安全。</w:t>
      </w:r>
    </w:p>
    <w:p w14:paraId="47A094CE">
      <w:pPr>
        <w:pStyle w:val="2"/>
        <w:spacing w:before="42" w:line="212" w:lineRule="auto"/>
        <w:ind w:left="409"/>
        <w:rPr>
          <w:sz w:val="20"/>
          <w:szCs w:val="20"/>
        </w:rPr>
      </w:pPr>
      <w:r>
        <w:rPr>
          <w:rFonts w:ascii="Times New Roman" w:hAnsi="Times New Roman" w:eastAsia="Times New Roman" w:cs="Times New Roman"/>
          <w:spacing w:val="2"/>
          <w:sz w:val="20"/>
          <w:szCs w:val="20"/>
        </w:rPr>
        <w:t xml:space="preserve">(2)4G    </w:t>
      </w:r>
      <w:r>
        <w:rPr>
          <w:spacing w:val="2"/>
          <w:sz w:val="20"/>
          <w:szCs w:val="20"/>
        </w:rPr>
        <w:t>网络架构模型如图3-10所示。</w:t>
      </w:r>
    </w:p>
    <w:p w14:paraId="59704782">
      <w:pPr>
        <w:spacing w:line="212" w:lineRule="auto"/>
        <w:rPr>
          <w:sz w:val="20"/>
          <w:szCs w:val="20"/>
        </w:rPr>
        <w:sectPr>
          <w:pgSz w:w="10290" w:h="13310"/>
          <w:pgMar w:top="400" w:right="503" w:bottom="400" w:left="1100" w:header="0" w:footer="0" w:gutter="0"/>
          <w:cols w:space="720" w:num="1"/>
        </w:sectPr>
      </w:pPr>
    </w:p>
    <w:p w14:paraId="4C68BEBD">
      <w:pPr>
        <w:pStyle w:val="2"/>
        <w:rPr>
          <w:sz w:val="19"/>
          <w:szCs w:val="19"/>
        </w:rPr>
      </w:pPr>
      <w:bookmarkStart w:id="537" w:name="bookmark524"/>
      <w:bookmarkEnd w:id="537"/>
      <w:r>
        <w:rPr>
          <w:rFonts w:ascii="Times New Roman" w:hAnsi="Times New Roman" w:eastAsia="Times New Roman" w:cs="Times New Roman"/>
          <w:spacing w:val="2"/>
          <w:sz w:val="19"/>
          <w:szCs w:val="19"/>
        </w:rPr>
        <w:t xml:space="preserve">106  </w:t>
      </w:r>
      <w:r>
        <w:rPr>
          <w:position w:val="-10"/>
          <w:sz w:val="19"/>
          <w:szCs w:val="19"/>
        </w:rPr>
        <w:drawing>
          <wp:inline distT="0" distB="0" distL="0" distR="0">
            <wp:extent cx="279400" cy="2476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83"/>
                    <a:stretch>
                      <a:fillRect/>
                    </a:stretch>
                  </pic:blipFill>
                  <pic:spPr>
                    <a:xfrm>
                      <a:off x="0" y="0"/>
                      <a:ext cx="279419" cy="247651"/>
                    </a:xfrm>
                    <a:prstGeom prst="rect">
                      <a:avLst/>
                    </a:prstGeom>
                  </pic:spPr>
                </pic:pic>
              </a:graphicData>
            </a:graphic>
          </wp:inline>
        </w:drawing>
      </w:r>
      <w:r>
        <w:rPr>
          <w:rFonts w:ascii="Times New Roman" w:hAnsi="Times New Roman" w:eastAsia="Times New Roman" w:cs="Times New Roman"/>
          <w:spacing w:val="15"/>
          <w:sz w:val="19"/>
          <w:szCs w:val="19"/>
        </w:rPr>
        <w:t xml:space="preserve">   </w:t>
      </w:r>
      <w:r>
        <w:rPr>
          <w:spacing w:val="2"/>
          <w:sz w:val="19"/>
          <w:szCs w:val="19"/>
        </w:rPr>
        <w:t>信息系统监理师教程(第2版)</w:t>
      </w:r>
    </w:p>
    <w:p w14:paraId="73751823">
      <w:pPr>
        <w:spacing w:line="365" w:lineRule="auto"/>
        <w:rPr>
          <w:rFonts w:ascii="Arial"/>
          <w:sz w:val="21"/>
        </w:rPr>
      </w:pPr>
    </w:p>
    <w:p w14:paraId="23F8858A">
      <w:pPr>
        <w:pStyle w:val="2"/>
        <w:spacing w:line="3332" w:lineRule="exact"/>
        <w:ind w:firstLine="979"/>
      </w:pPr>
      <w:r>
        <mc:AlternateContent>
          <mc:Choice Requires="wps">
            <w:drawing>
              <wp:anchor distT="0" distB="0" distL="0" distR="0" simplePos="0" relativeHeight="251694080" behindDoc="0" locked="0" layoutInCell="1" allowOverlap="1">
                <wp:simplePos x="0" y="0"/>
                <wp:positionH relativeFrom="column">
                  <wp:posOffset>702945</wp:posOffset>
                </wp:positionH>
                <wp:positionV relativeFrom="paragraph">
                  <wp:posOffset>1107440</wp:posOffset>
                </wp:positionV>
                <wp:extent cx="86995" cy="236855"/>
                <wp:effectExtent l="0" t="0" r="0" b="0"/>
                <wp:wrapNone/>
                <wp:docPr id="98" name="TextBox 98"/>
                <wp:cNvGraphicFramePr/>
                <a:graphic xmlns:a="http://schemas.openxmlformats.org/drawingml/2006/main">
                  <a:graphicData uri="http://schemas.microsoft.com/office/word/2010/wordprocessingShape">
                    <wps:wsp>
                      <wps:cNvSpPr txBox="1"/>
                      <wps:spPr>
                        <a:xfrm rot="5400000">
                          <a:off x="703401" y="1108059"/>
                          <a:ext cx="86994" cy="236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72929FB">
                            <w:pPr>
                              <w:pStyle w:val="2"/>
                              <w:spacing w:before="111" w:line="241" w:lineRule="exact"/>
                              <w:jc w:val="right"/>
                              <w:rPr>
                                <w:sz w:val="31"/>
                                <w:szCs w:val="31"/>
                              </w:rPr>
                            </w:pPr>
                            <w:r>
                              <w:rPr>
                                <w:spacing w:val="-59"/>
                                <w:sz w:val="31"/>
                                <w:szCs w:val="3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8" o:spid="_x0000_s1026" o:spt="202" type="#_x0000_t202" style="position:absolute;left:0pt;margin-left:55.35pt;margin-top:87.2pt;height:18.65pt;width:6.85pt;rotation:5898240f;z-index:251694080;mso-width-relative:page;mso-height-relative:page;" filled="f" stroked="f" coordsize="21600,21600" o:gfxdata="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urqQM1wAAAAsBAAAPAAAA&#10;AAAAAAEAIAAAACIAAABkcnMvZG93bnJldi54bWxQSwECFAAUAAAACACHTuJAd0Da208CAACgBAAA&#10;DgAAAAAAAAABACAAAAAmAQAAZHJzL2Uyb0RvYy54bWxQSwUGAAAAAAYABgBZAQAA5wUAAAAA&#10;">
                <v:fill on="f" focussize="0,0"/>
                <v:stroke on="f" weight="0pt" miterlimit="0" joinstyle="miter"/>
                <v:imagedata o:title=""/>
                <o:lock v:ext="edit" aspectratio="f"/>
                <v:textbox inset="0mm,0mm,0mm,0mm">
                  <w:txbxContent>
                    <w:p w14:paraId="672929FB">
                      <w:pPr>
                        <w:pStyle w:val="2"/>
                        <w:spacing w:before="111" w:line="241" w:lineRule="exact"/>
                        <w:jc w:val="right"/>
                        <w:rPr>
                          <w:sz w:val="31"/>
                          <w:szCs w:val="31"/>
                        </w:rPr>
                      </w:pPr>
                      <w:r>
                        <w:rPr>
                          <w:spacing w:val="-59"/>
                          <w:sz w:val="31"/>
                          <w:szCs w:val="31"/>
                        </w:rPr>
                        <w:t>:</w:t>
                      </w:r>
                    </w:p>
                  </w:txbxContent>
                </v:textbox>
              </v:shape>
            </w:pict>
          </mc:Fallback>
        </mc:AlternateContent>
      </w:r>
      <w:r>
        <w:rPr>
          <w:position w:val="-66"/>
        </w:rPr>
        <w:pict>
          <v:group id="_x0000_s1214" o:spid="_x0000_s1214" o:spt="203" style="height:166.65pt;width:351pt;" coordsize="7020,3332">
            <o:lock v:ext="edit"/>
            <v:shape id="_x0000_s1215" o:spid="_x0000_s1215" o:spt="75" type="#_x0000_t75" style="position:absolute;left:0;top:2;height:3331;width:7020;" filled="f" stroked="f" coordsize="21600,21600">
              <v:path/>
              <v:fill on="f" focussize="0,0"/>
              <v:stroke on="f"/>
              <v:imagedata r:id="rId84" o:title=""/>
              <o:lock v:ext="edit" aspectratio="t"/>
            </v:shape>
            <v:shape id="_x0000_s1216" o:spid="_x0000_s1216" o:spt="202" type="#_x0000_t202" style="position:absolute;left:310;top:19;height:3253;width:4755;" filled="f" stroked="f" coordsize="21600,21600">
              <v:path/>
              <v:fill on="f" focussize="0,0"/>
              <v:stroke on="f"/>
              <v:imagedata o:title=""/>
              <o:lock v:ext="edit" aspectratio="f"/>
              <v:textbox inset="0mm,0mm,0mm,0mm">
                <w:txbxContent>
                  <w:p w14:paraId="5C9A115A">
                    <w:pPr>
                      <w:spacing w:before="20" w:line="199"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 xml:space="preserve">UE                     E-UTRAN     </w:t>
                    </w:r>
                    <w:r>
                      <w:rPr>
                        <w:rFonts w:ascii="Times New Roman" w:hAnsi="Times New Roman" w:eastAsia="Times New Roman" w:cs="Times New Roman"/>
                        <w:spacing w:val="-3"/>
                        <w:sz w:val="19"/>
                        <w:szCs w:val="19"/>
                      </w:rPr>
                      <w:t xml:space="preserve">                           EPC</w:t>
                    </w:r>
                  </w:p>
                  <w:p w14:paraId="7D40640A">
                    <w:pPr>
                      <w:spacing w:before="290" w:line="223" w:lineRule="auto"/>
                      <w:ind w:right="17"/>
                      <w:jc w:val="right"/>
                      <w:rPr>
                        <w:rFonts w:ascii="黑体" w:hAnsi="黑体" w:eastAsia="黑体" w:cs="黑体"/>
                        <w:sz w:val="19"/>
                        <w:szCs w:val="19"/>
                      </w:rPr>
                    </w:pPr>
                    <w:r>
                      <w:rPr>
                        <w:rFonts w:ascii="宋体" w:hAnsi="宋体" w:eastAsia="宋体" w:cs="宋体"/>
                        <w:spacing w:val="-2"/>
                        <w:sz w:val="19"/>
                        <w:szCs w:val="19"/>
                      </w:rPr>
                      <w:t>GPRS</w:t>
                    </w:r>
                    <w:r>
                      <w:rPr>
                        <w:rFonts w:ascii="宋体" w:hAnsi="宋体" w:eastAsia="宋体" w:cs="宋体"/>
                        <w:spacing w:val="-27"/>
                        <w:sz w:val="19"/>
                        <w:szCs w:val="19"/>
                      </w:rPr>
                      <w:t xml:space="preserve"> </w:t>
                    </w:r>
                    <w:r>
                      <w:rPr>
                        <w:rFonts w:ascii="黑体" w:hAnsi="黑体" w:eastAsia="黑体" w:cs="黑体"/>
                        <w:spacing w:val="-2"/>
                        <w:sz w:val="19"/>
                        <w:szCs w:val="19"/>
                      </w:rPr>
                      <w:t>核心</w:t>
                    </w:r>
                  </w:p>
                  <w:p w14:paraId="01D48195">
                    <w:pPr>
                      <w:spacing w:before="159" w:line="188" w:lineRule="auto"/>
                      <w:ind w:left="4079"/>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SGSN</w:t>
                    </w:r>
                  </w:p>
                  <w:p w14:paraId="30052474">
                    <w:pPr>
                      <w:spacing w:line="275" w:lineRule="auto"/>
                      <w:rPr>
                        <w:rFonts w:ascii="Arial"/>
                        <w:sz w:val="21"/>
                      </w:rPr>
                    </w:pPr>
                  </w:p>
                  <w:p w14:paraId="2A58B350">
                    <w:pPr>
                      <w:spacing w:before="55" w:line="185" w:lineRule="auto"/>
                      <w:ind w:left="1680"/>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eNB</w:t>
                    </w:r>
                  </w:p>
                  <w:p w14:paraId="45FB5935">
                    <w:pPr>
                      <w:spacing w:before="258" w:line="188" w:lineRule="auto"/>
                      <w:ind w:left="422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P-GW</w:t>
                    </w:r>
                  </w:p>
                  <w:p w14:paraId="39421D59">
                    <w:pPr>
                      <w:spacing w:before="51" w:line="185" w:lineRule="auto"/>
                      <w:ind w:left="939"/>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eNB</w:t>
                    </w:r>
                  </w:p>
                  <w:p w14:paraId="31148646">
                    <w:pPr>
                      <w:spacing w:line="384" w:lineRule="auto"/>
                      <w:rPr>
                        <w:rFonts w:ascii="Arial"/>
                        <w:sz w:val="21"/>
                      </w:rPr>
                    </w:pPr>
                  </w:p>
                  <w:p w14:paraId="45C27E30">
                    <w:pPr>
                      <w:spacing w:before="55" w:line="185" w:lineRule="auto"/>
                      <w:ind w:left="1449"/>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eNB</w:t>
                    </w:r>
                  </w:p>
                  <w:p w14:paraId="2D102135">
                    <w:pPr>
                      <w:spacing w:before="288" w:line="188" w:lineRule="auto"/>
                      <w:ind w:left="2279"/>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SI</w:t>
                    </w:r>
                  </w:p>
                </w:txbxContent>
              </v:textbox>
            </v:shape>
            <v:shape id="_x0000_s1217" o:spid="_x0000_s1217" o:spt="202" type="#_x0000_t202" style="position:absolute;left:3130;top:1394;height:587;width:514;" filled="f" stroked="f" coordsize="21600,21600">
              <v:path/>
              <v:fill on="f" focussize="0,0"/>
              <v:stroke on="f"/>
              <v:imagedata o:title=""/>
              <o:lock v:ext="edit" aspectratio="f"/>
              <v:textbox inset="0mm,0mm,0mm,0mm">
                <w:txbxContent>
                  <w:p w14:paraId="087CC86A">
                    <w:pPr>
                      <w:spacing w:before="20" w:line="185" w:lineRule="auto"/>
                      <w:ind w:left="3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MME</w:t>
                    </w:r>
                  </w:p>
                  <w:p w14:paraId="1FFBEDD5">
                    <w:pPr>
                      <w:spacing w:before="246"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S-GW</w:t>
                    </w:r>
                  </w:p>
                </w:txbxContent>
              </v:textbox>
            </v:shape>
            <v:shape id="_x0000_s1218" o:spid="_x0000_s1218" o:spt="202" type="#_x0000_t202" style="position:absolute;left:5890;top:1694;height:437;width:597;" filled="f" stroked="f" coordsize="21600,21600">
              <v:path/>
              <v:fill on="f" focussize="0,0"/>
              <v:stroke on="f"/>
              <v:imagedata o:title=""/>
              <o:lock v:ext="edit" aspectratio="f"/>
              <v:textbox inset="0mm,0mm,0mm,0mm">
                <w:txbxContent>
                  <w:p w14:paraId="4EFE6AB1">
                    <w:pPr>
                      <w:spacing w:before="19" w:line="234" w:lineRule="auto"/>
                      <w:ind w:left="20" w:right="20" w:firstLine="3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IP</w:t>
                    </w:r>
                    <w:r>
                      <w:rPr>
                        <w:rFonts w:ascii="宋体" w:hAnsi="宋体" w:eastAsia="宋体" w:cs="宋体"/>
                        <w:spacing w:val="-6"/>
                        <w:sz w:val="19"/>
                        <w:szCs w:val="19"/>
                      </w:rPr>
                      <w:t>网络</w:t>
                    </w:r>
                    <w:r>
                      <w:rPr>
                        <w:rFonts w:ascii="宋体" w:hAnsi="宋体" w:eastAsia="宋体" w:cs="宋体"/>
                        <w:spacing w:val="1"/>
                        <w:sz w:val="19"/>
                        <w:szCs w:val="19"/>
                      </w:rPr>
                      <w:t xml:space="preserve"> </w:t>
                    </w:r>
                    <w:r>
                      <w:rPr>
                        <w:rFonts w:ascii="Times New Roman" w:hAnsi="Times New Roman" w:eastAsia="Times New Roman" w:cs="Times New Roman"/>
                        <w:spacing w:val="-5"/>
                        <w:sz w:val="19"/>
                        <w:szCs w:val="19"/>
                      </w:rPr>
                      <w:t>Internet</w:t>
                    </w:r>
                  </w:p>
                </w:txbxContent>
              </v:textbox>
            </v:shape>
            <v:shape id="_x0000_s1219" o:spid="_x0000_s1219" o:spt="202" type="#_x0000_t202" style="position:absolute;left:5839;top:-20;height:230;width:739;" filled="f" stroked="f" coordsize="21600,21600">
              <v:path/>
              <v:fill on="f" focussize="0,0"/>
              <v:stroke on="f"/>
              <v:imagedata o:title=""/>
              <o:lock v:ext="edit" aspectratio="f"/>
              <v:textbox inset="0mm,0mm,0mm,0mm">
                <w:txbxContent>
                  <w:p w14:paraId="101FD009">
                    <w:pPr>
                      <w:spacing w:before="20" w:line="219" w:lineRule="auto"/>
                      <w:ind w:left="20"/>
                      <w:rPr>
                        <w:rFonts w:ascii="宋体" w:hAnsi="宋体" w:eastAsia="宋体" w:cs="宋体"/>
                        <w:sz w:val="19"/>
                        <w:szCs w:val="19"/>
                      </w:rPr>
                    </w:pPr>
                    <w:r>
                      <w:rPr>
                        <w:rFonts w:ascii="宋体" w:hAnsi="宋体" w:eastAsia="宋体" w:cs="宋体"/>
                        <w:spacing w:val="-12"/>
                        <w:sz w:val="19"/>
                        <w:szCs w:val="19"/>
                      </w:rPr>
                      <w:t>外部网络</w:t>
                    </w:r>
                  </w:p>
                </w:txbxContent>
              </v:textbox>
            </v:shape>
            <v:shape id="_x0000_s1220" o:spid="_x0000_s1220" o:spt="202" type="#_x0000_t202" style="position:absolute;left:580;top:3111;height:171;width:630;" filled="f" stroked="f" coordsize="21600,21600">
              <v:path/>
              <v:fill on="f" focussize="0,0"/>
              <v:stroke on="f"/>
              <v:imagedata o:title=""/>
              <o:lock v:ext="edit" aspectratio="f"/>
              <v:textbox inset="0mm,0mm,0mm,0mm">
                <w:txbxContent>
                  <w:p w14:paraId="70BF161E">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7"/>
                        <w:w w:val="99"/>
                        <w:sz w:val="19"/>
                        <w:szCs w:val="19"/>
                      </w:rPr>
                      <w:t>LTE-Uu</w:t>
                    </w:r>
                  </w:p>
                </w:txbxContent>
              </v:textbox>
            </v:shape>
            <v:shape id="_x0000_s1221" o:spid="_x0000_s1221" o:spt="202" type="#_x0000_t202" style="position:absolute;left:5259;top:3095;height:177;width:324;" filled="f" stroked="f" coordsize="21600,21600">
              <v:path/>
              <v:fill on="f" focussize="0,0"/>
              <v:stroke on="f"/>
              <v:imagedata o:title=""/>
              <o:lock v:ext="edit" aspectratio="f"/>
              <v:textbox inset="0mm,0mm,0mm,0mm">
                <w:txbxContent>
                  <w:p w14:paraId="4E83C928">
                    <w:pPr>
                      <w:spacing w:before="19"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SGi</w:t>
                    </w:r>
                  </w:p>
                </w:txbxContent>
              </v:textbox>
            </v:shape>
            <w10:wrap type="none"/>
            <w10:anchorlock/>
          </v:group>
        </w:pict>
      </w:r>
    </w:p>
    <w:p w14:paraId="07B0DEE0">
      <w:pPr>
        <w:pStyle w:val="2"/>
        <w:spacing w:before="127" w:line="219" w:lineRule="auto"/>
        <w:ind w:left="3519"/>
        <w:rPr>
          <w:sz w:val="19"/>
          <w:szCs w:val="19"/>
        </w:rPr>
      </w:pPr>
      <w:r>
        <w:rPr>
          <w:spacing w:val="-3"/>
          <w:sz w:val="19"/>
          <w:szCs w:val="19"/>
        </w:rPr>
        <w:t>图3</w:t>
      </w:r>
      <w:r>
        <w:rPr>
          <w:spacing w:val="-46"/>
          <w:sz w:val="19"/>
          <w:szCs w:val="19"/>
        </w:rPr>
        <w:t xml:space="preserve"> </w:t>
      </w:r>
      <w:r>
        <w:rPr>
          <w:spacing w:val="-3"/>
          <w:sz w:val="19"/>
          <w:szCs w:val="19"/>
        </w:rPr>
        <w:t>-</w:t>
      </w:r>
      <w:r>
        <w:rPr>
          <w:spacing w:val="-40"/>
          <w:sz w:val="19"/>
          <w:szCs w:val="19"/>
        </w:rPr>
        <w:t xml:space="preserve"> </w:t>
      </w:r>
      <w:r>
        <w:rPr>
          <w:spacing w:val="-3"/>
          <w:sz w:val="19"/>
          <w:szCs w:val="19"/>
        </w:rPr>
        <w:t>104</w:t>
      </w:r>
      <w:r>
        <w:rPr>
          <w:rFonts w:ascii="Times New Roman" w:hAnsi="Times New Roman" w:eastAsia="Times New Roman" w:cs="Times New Roman"/>
          <w:spacing w:val="-3"/>
          <w:sz w:val="19"/>
          <w:szCs w:val="19"/>
        </w:rPr>
        <w:t xml:space="preserve">G </w:t>
      </w:r>
      <w:r>
        <w:rPr>
          <w:spacing w:val="-3"/>
          <w:sz w:val="19"/>
          <w:szCs w:val="19"/>
        </w:rPr>
        <w:t>网络架构模型</w:t>
      </w:r>
    </w:p>
    <w:p w14:paraId="1E8310FD">
      <w:pPr>
        <w:pStyle w:val="2"/>
        <w:spacing w:before="182" w:line="303" w:lineRule="auto"/>
        <w:ind w:left="359" w:firstLine="390"/>
        <w:jc w:val="both"/>
        <w:rPr>
          <w:sz w:val="19"/>
          <w:szCs w:val="19"/>
        </w:rPr>
      </w:pPr>
      <w:r>
        <w:rPr>
          <w:spacing w:val="2"/>
          <w:sz w:val="19"/>
          <w:szCs w:val="19"/>
        </w:rPr>
        <w:t>分组核心演进</w:t>
      </w:r>
      <w:r>
        <w:rPr>
          <w:spacing w:val="-52"/>
          <w:sz w:val="19"/>
          <w:szCs w:val="19"/>
        </w:rPr>
        <w:t xml:space="preserve"> </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Evolved</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Packet</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Core</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EPC</w:t>
      </w:r>
      <w:r>
        <w:rPr>
          <w:rFonts w:ascii="Times New Roman" w:hAnsi="Times New Roman" w:eastAsia="Times New Roman" w:cs="Times New Roman"/>
          <w:spacing w:val="2"/>
          <w:sz w:val="19"/>
          <w:szCs w:val="19"/>
        </w:rPr>
        <w:t>)</w:t>
      </w:r>
      <w:r>
        <w:rPr>
          <w:rFonts w:ascii="Times New Roman" w:hAnsi="Times New Roman" w:eastAsia="Times New Roman" w:cs="Times New Roman"/>
          <w:spacing w:val="-16"/>
          <w:sz w:val="19"/>
          <w:szCs w:val="19"/>
        </w:rPr>
        <w:t xml:space="preserve"> </w:t>
      </w:r>
      <w:r>
        <w:rPr>
          <w:spacing w:val="2"/>
          <w:sz w:val="19"/>
          <w:szCs w:val="19"/>
        </w:rPr>
        <w:t>核心网主要</w:t>
      </w:r>
      <w:r>
        <w:rPr>
          <w:spacing w:val="1"/>
          <w:sz w:val="19"/>
          <w:szCs w:val="19"/>
        </w:rPr>
        <w:t>由移动性管理设备</w:t>
      </w:r>
      <w:r>
        <w:rPr>
          <w:spacing w:val="-44"/>
          <w:sz w:val="19"/>
          <w:szCs w:val="19"/>
        </w:rPr>
        <w:t xml:space="preserve"> </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Mobility</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Management   Entity</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MME</w:t>
      </w:r>
      <w:r>
        <w:rPr>
          <w:rFonts w:ascii="Times New Roman" w:hAnsi="Times New Roman" w:eastAsia="Times New Roman" w:cs="Times New Roman"/>
          <w:spacing w:val="2"/>
          <w:sz w:val="19"/>
          <w:szCs w:val="19"/>
        </w:rPr>
        <w:t>)</w:t>
      </w:r>
      <w:r>
        <w:rPr>
          <w:rFonts w:ascii="Times New Roman" w:hAnsi="Times New Roman" w:eastAsia="Times New Roman" w:cs="Times New Roman"/>
          <w:spacing w:val="-10"/>
          <w:sz w:val="19"/>
          <w:szCs w:val="19"/>
        </w:rPr>
        <w:t xml:space="preserve"> </w:t>
      </w:r>
      <w:r>
        <w:rPr>
          <w:spacing w:val="2"/>
          <w:sz w:val="19"/>
          <w:szCs w:val="19"/>
        </w:rPr>
        <w:t>、  服</w:t>
      </w:r>
      <w:r>
        <w:rPr>
          <w:spacing w:val="-40"/>
          <w:sz w:val="19"/>
          <w:szCs w:val="19"/>
        </w:rPr>
        <w:t xml:space="preserve"> </w:t>
      </w:r>
      <w:r>
        <w:rPr>
          <w:spacing w:val="2"/>
          <w:sz w:val="19"/>
          <w:szCs w:val="19"/>
        </w:rPr>
        <w:t>务</w:t>
      </w:r>
      <w:r>
        <w:rPr>
          <w:spacing w:val="-28"/>
          <w:sz w:val="19"/>
          <w:szCs w:val="19"/>
        </w:rPr>
        <w:t xml:space="preserve"> </w:t>
      </w:r>
      <w:r>
        <w:rPr>
          <w:spacing w:val="2"/>
          <w:sz w:val="19"/>
          <w:szCs w:val="19"/>
        </w:rPr>
        <w:t>网</w:t>
      </w:r>
      <w:r>
        <w:rPr>
          <w:spacing w:val="-39"/>
          <w:sz w:val="19"/>
          <w:szCs w:val="19"/>
        </w:rPr>
        <w:t xml:space="preserve"> </w:t>
      </w:r>
      <w:r>
        <w:rPr>
          <w:spacing w:val="2"/>
          <w:sz w:val="19"/>
          <w:szCs w:val="19"/>
        </w:rPr>
        <w:t>关</w:t>
      </w:r>
      <w:r>
        <w:rPr>
          <w:spacing w:val="-54"/>
          <w:sz w:val="19"/>
          <w:szCs w:val="19"/>
        </w:rPr>
        <w:t xml:space="preserve"> </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Serving</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GateWay</w:t>
      </w:r>
      <w:r>
        <w:rPr>
          <w:rFonts w:ascii="Times New Roman" w:hAnsi="Times New Roman" w:eastAsia="Times New Roman" w:cs="Times New Roman"/>
          <w:spacing w:val="2"/>
          <w:sz w:val="19"/>
          <w:szCs w:val="19"/>
        </w:rPr>
        <w:t>,S-</w:t>
      </w:r>
      <w:r>
        <w:rPr>
          <w:rFonts w:ascii="Times New Roman" w:hAnsi="Times New Roman" w:eastAsia="Times New Roman" w:cs="Times New Roman"/>
          <w:sz w:val="19"/>
          <w:szCs w:val="19"/>
        </w:rPr>
        <w:t>GW</w:t>
      </w:r>
      <w:r>
        <w:rPr>
          <w:rFonts w:ascii="Times New Roman" w:hAnsi="Times New Roman" w:eastAsia="Times New Roman" w:cs="Times New Roman"/>
          <w:spacing w:val="2"/>
          <w:sz w:val="19"/>
          <w:szCs w:val="19"/>
        </w:rPr>
        <w:t>)</w:t>
      </w:r>
      <w:r>
        <w:rPr>
          <w:spacing w:val="2"/>
          <w:sz w:val="19"/>
          <w:szCs w:val="19"/>
        </w:rPr>
        <w:t>、分组数据网关</w:t>
      </w:r>
      <w:r>
        <w:rPr>
          <w:spacing w:val="-54"/>
          <w:sz w:val="19"/>
          <w:szCs w:val="19"/>
        </w:rPr>
        <w:t xml:space="preserve"> </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PDN</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GateWay</w:t>
      </w:r>
      <w:r>
        <w:rPr>
          <w:rFonts w:ascii="Times New Roman" w:hAnsi="Times New Roman" w:eastAsia="Times New Roman" w:cs="Times New Roman"/>
          <w:spacing w:val="2"/>
          <w:sz w:val="19"/>
          <w:szCs w:val="19"/>
        </w:rPr>
        <w:t>,P-</w:t>
      </w:r>
      <w:r>
        <w:rPr>
          <w:rFonts w:ascii="Times New Roman" w:hAnsi="Times New Roman" w:eastAsia="Times New Roman" w:cs="Times New Roman"/>
          <w:sz w:val="19"/>
          <w:szCs w:val="19"/>
        </w:rPr>
        <w:t>GW</w:t>
      </w:r>
      <w:r>
        <w:rPr>
          <w:rFonts w:ascii="Times New Roman" w:hAnsi="Times New Roman" w:eastAsia="Times New Roman" w:cs="Times New Roman"/>
          <w:spacing w:val="2"/>
          <w:sz w:val="19"/>
          <w:szCs w:val="19"/>
        </w:rPr>
        <w:t>)</w:t>
      </w:r>
      <w:r>
        <w:rPr>
          <w:rFonts w:ascii="Times New Roman" w:hAnsi="Times New Roman" w:eastAsia="Times New Roman" w:cs="Times New Roman"/>
          <w:sz w:val="19"/>
          <w:szCs w:val="19"/>
        </w:rPr>
        <w:t xml:space="preserve">   </w:t>
      </w:r>
      <w:r>
        <w:rPr>
          <w:spacing w:val="14"/>
          <w:sz w:val="19"/>
          <w:szCs w:val="19"/>
        </w:rPr>
        <w:t>等组成。</w:t>
      </w:r>
      <w:r>
        <w:rPr>
          <w:rFonts w:ascii="Times New Roman" w:hAnsi="Times New Roman" w:eastAsia="Times New Roman" w:cs="Times New Roman"/>
          <w:sz w:val="19"/>
          <w:szCs w:val="19"/>
        </w:rPr>
        <w:t>EPC</w:t>
      </w:r>
      <w:r>
        <w:rPr>
          <w:rFonts w:ascii="Times New Roman" w:hAnsi="Times New Roman" w:eastAsia="Times New Roman" w:cs="Times New Roman"/>
          <w:spacing w:val="34"/>
          <w:sz w:val="19"/>
          <w:szCs w:val="19"/>
        </w:rPr>
        <w:t xml:space="preserve"> </w:t>
      </w:r>
      <w:r>
        <w:rPr>
          <w:spacing w:val="14"/>
          <w:sz w:val="19"/>
          <w:szCs w:val="19"/>
        </w:rPr>
        <w:t>秉承了控制与承载分离的理念，将分组域中服务</w:t>
      </w:r>
      <w:r>
        <w:rPr>
          <w:rFonts w:ascii="Times New Roman" w:hAnsi="Times New Roman" w:eastAsia="Times New Roman" w:cs="Times New Roman"/>
          <w:sz w:val="19"/>
          <w:szCs w:val="19"/>
        </w:rPr>
        <w:t>GPRS</w:t>
      </w:r>
      <w:r>
        <w:rPr>
          <w:rFonts w:ascii="Times New Roman" w:hAnsi="Times New Roman" w:eastAsia="Times New Roman" w:cs="Times New Roman"/>
          <w:spacing w:val="14"/>
          <w:sz w:val="19"/>
          <w:szCs w:val="19"/>
        </w:rPr>
        <w:t xml:space="preserve"> </w:t>
      </w:r>
      <w:r>
        <w:rPr>
          <w:spacing w:val="14"/>
          <w:sz w:val="19"/>
          <w:szCs w:val="19"/>
        </w:rPr>
        <w:t>支</w:t>
      </w:r>
      <w:r>
        <w:rPr>
          <w:spacing w:val="-40"/>
          <w:sz w:val="19"/>
          <w:szCs w:val="19"/>
        </w:rPr>
        <w:t xml:space="preserve"> </w:t>
      </w:r>
      <w:r>
        <w:rPr>
          <w:spacing w:val="14"/>
          <w:sz w:val="19"/>
          <w:szCs w:val="19"/>
        </w:rPr>
        <w:t>持</w:t>
      </w:r>
      <w:r>
        <w:rPr>
          <w:spacing w:val="-43"/>
          <w:sz w:val="19"/>
          <w:szCs w:val="19"/>
        </w:rPr>
        <w:t xml:space="preserve"> </w:t>
      </w:r>
      <w:r>
        <w:rPr>
          <w:spacing w:val="14"/>
          <w:sz w:val="19"/>
          <w:szCs w:val="19"/>
        </w:rPr>
        <w:t>节</w:t>
      </w:r>
      <w:r>
        <w:rPr>
          <w:spacing w:val="-33"/>
          <w:sz w:val="19"/>
          <w:szCs w:val="19"/>
        </w:rPr>
        <w:t xml:space="preserve"> </w:t>
      </w:r>
      <w:r>
        <w:rPr>
          <w:spacing w:val="14"/>
          <w:sz w:val="19"/>
          <w:szCs w:val="19"/>
        </w:rPr>
        <w:t>点</w:t>
      </w:r>
      <w:r>
        <w:rPr>
          <w:rFonts w:ascii="Times New Roman" w:hAnsi="Times New Roman" w:eastAsia="Times New Roman" w:cs="Times New Roman"/>
          <w:spacing w:val="14"/>
          <w:sz w:val="19"/>
          <w:szCs w:val="19"/>
        </w:rPr>
        <w:t>(</w:t>
      </w:r>
      <w:r>
        <w:rPr>
          <w:rFonts w:ascii="Times New Roman" w:hAnsi="Times New Roman" w:eastAsia="Times New Roman" w:cs="Times New Roman"/>
          <w:sz w:val="19"/>
          <w:szCs w:val="19"/>
        </w:rPr>
        <w:t>Serving</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GPRS   Support</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Node</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SGSN</w:t>
      </w:r>
      <w:r>
        <w:rPr>
          <w:rFonts w:ascii="Times New Roman" w:hAnsi="Times New Roman" w:eastAsia="Times New Roman" w:cs="Times New Roman"/>
          <w:spacing w:val="4"/>
          <w:sz w:val="19"/>
          <w:szCs w:val="19"/>
        </w:rPr>
        <w:t>)</w:t>
      </w:r>
      <w:r>
        <w:rPr>
          <w:rFonts w:ascii="Times New Roman" w:hAnsi="Times New Roman" w:eastAsia="Times New Roman" w:cs="Times New Roman"/>
          <w:spacing w:val="14"/>
          <w:w w:val="101"/>
          <w:sz w:val="19"/>
          <w:szCs w:val="19"/>
        </w:rPr>
        <w:t xml:space="preserve"> </w:t>
      </w:r>
      <w:r>
        <w:rPr>
          <w:spacing w:val="4"/>
          <w:sz w:val="19"/>
          <w:szCs w:val="19"/>
        </w:rPr>
        <w:t xml:space="preserve">的移动性管理、信令控制功能和媒体转发功能分离出来， </w:t>
      </w:r>
      <w:r>
        <w:rPr>
          <w:rFonts w:ascii="Times New Roman" w:hAnsi="Times New Roman" w:eastAsia="Times New Roman" w:cs="Times New Roman"/>
          <w:sz w:val="19"/>
          <w:szCs w:val="19"/>
        </w:rPr>
        <w:t>MME</w:t>
      </w:r>
      <w:r>
        <w:rPr>
          <w:rFonts w:ascii="Times New Roman" w:hAnsi="Times New Roman" w:eastAsia="Times New Roman" w:cs="Times New Roman"/>
          <w:spacing w:val="12"/>
          <w:sz w:val="19"/>
          <w:szCs w:val="19"/>
        </w:rPr>
        <w:t xml:space="preserve"> </w:t>
      </w:r>
      <w:r>
        <w:rPr>
          <w:spacing w:val="4"/>
          <w:sz w:val="19"/>
          <w:szCs w:val="19"/>
        </w:rPr>
        <w:t>负责移</w:t>
      </w:r>
      <w:r>
        <w:rPr>
          <w:spacing w:val="3"/>
          <w:sz w:val="19"/>
          <w:szCs w:val="19"/>
        </w:rPr>
        <w:t>动性</w:t>
      </w:r>
      <w:r>
        <w:rPr>
          <w:sz w:val="19"/>
          <w:szCs w:val="19"/>
        </w:rPr>
        <w:t xml:space="preserve">  </w:t>
      </w:r>
      <w:r>
        <w:rPr>
          <w:spacing w:val="5"/>
          <w:sz w:val="19"/>
          <w:szCs w:val="19"/>
        </w:rPr>
        <w:t>管理、信令处理等功能，</w:t>
      </w:r>
      <w:r>
        <w:rPr>
          <w:rFonts w:ascii="Times New Roman" w:hAnsi="Times New Roman" w:eastAsia="Times New Roman" w:cs="Times New Roman"/>
          <w:spacing w:val="5"/>
          <w:sz w:val="19"/>
          <w:szCs w:val="19"/>
        </w:rPr>
        <w:t>S-</w:t>
      </w:r>
      <w:r>
        <w:rPr>
          <w:rFonts w:ascii="Times New Roman" w:hAnsi="Times New Roman" w:eastAsia="Times New Roman" w:cs="Times New Roman"/>
          <w:sz w:val="19"/>
          <w:szCs w:val="19"/>
        </w:rPr>
        <w:t>GW</w:t>
      </w:r>
      <w:r>
        <w:rPr>
          <w:rFonts w:ascii="Times New Roman" w:hAnsi="Times New Roman" w:eastAsia="Times New Roman" w:cs="Times New Roman"/>
          <w:spacing w:val="30"/>
          <w:w w:val="101"/>
          <w:sz w:val="19"/>
          <w:szCs w:val="19"/>
        </w:rPr>
        <w:t xml:space="preserve"> </w:t>
      </w:r>
      <w:r>
        <w:rPr>
          <w:spacing w:val="5"/>
          <w:sz w:val="19"/>
          <w:szCs w:val="19"/>
        </w:rPr>
        <w:t>负责媒体流处理及转发等功能。</w:t>
      </w:r>
      <w:r>
        <w:rPr>
          <w:spacing w:val="-36"/>
          <w:sz w:val="19"/>
          <w:szCs w:val="19"/>
        </w:rPr>
        <w:t xml:space="preserve"> </w:t>
      </w:r>
      <w:r>
        <w:rPr>
          <w:rFonts w:ascii="Times New Roman" w:hAnsi="Times New Roman" w:eastAsia="Times New Roman" w:cs="Times New Roman"/>
          <w:spacing w:val="5"/>
          <w:sz w:val="19"/>
          <w:szCs w:val="19"/>
        </w:rPr>
        <w:t>P-</w:t>
      </w:r>
      <w:r>
        <w:rPr>
          <w:rFonts w:ascii="Times New Roman" w:hAnsi="Times New Roman" w:eastAsia="Times New Roman" w:cs="Times New Roman"/>
          <w:sz w:val="19"/>
          <w:szCs w:val="19"/>
        </w:rPr>
        <w:t>GW</w:t>
      </w:r>
      <w:r>
        <w:rPr>
          <w:rFonts w:ascii="Times New Roman" w:hAnsi="Times New Roman" w:eastAsia="Times New Roman" w:cs="Times New Roman"/>
          <w:spacing w:val="21"/>
          <w:sz w:val="19"/>
          <w:szCs w:val="19"/>
        </w:rPr>
        <w:t xml:space="preserve"> </w:t>
      </w:r>
      <w:r>
        <w:rPr>
          <w:spacing w:val="5"/>
          <w:sz w:val="19"/>
          <w:szCs w:val="19"/>
        </w:rPr>
        <w:t>承接原3</w:t>
      </w:r>
      <w:r>
        <w:rPr>
          <w:rFonts w:ascii="Times New Roman" w:hAnsi="Times New Roman" w:eastAsia="Times New Roman" w:cs="Times New Roman"/>
          <w:spacing w:val="5"/>
          <w:sz w:val="19"/>
          <w:szCs w:val="19"/>
        </w:rPr>
        <w:t xml:space="preserve">G </w:t>
      </w:r>
      <w:r>
        <w:rPr>
          <w:spacing w:val="5"/>
          <w:sz w:val="19"/>
          <w:szCs w:val="19"/>
        </w:rPr>
        <w:t>网络中网关支持</w:t>
      </w:r>
      <w:r>
        <w:rPr>
          <w:sz w:val="19"/>
          <w:szCs w:val="19"/>
        </w:rPr>
        <w:t xml:space="preserve">  节点</w:t>
      </w:r>
      <w:r>
        <w:rPr>
          <w:spacing w:val="-34"/>
          <w:sz w:val="19"/>
          <w:szCs w:val="19"/>
        </w:rPr>
        <w:t xml:space="preserve"> </w:t>
      </w:r>
      <w:r>
        <w:rPr>
          <w:rFonts w:ascii="Times New Roman" w:hAnsi="Times New Roman" w:eastAsia="Times New Roman" w:cs="Times New Roman"/>
          <w:sz w:val="19"/>
          <w:szCs w:val="19"/>
        </w:rPr>
        <w:t>(Gateway</w:t>
      </w:r>
      <w:r>
        <w:rPr>
          <w:rFonts w:ascii="Times New Roman" w:hAnsi="Times New Roman" w:eastAsia="Times New Roman" w:cs="Times New Roman"/>
          <w:spacing w:val="13"/>
          <w:w w:val="101"/>
          <w:sz w:val="19"/>
          <w:szCs w:val="19"/>
        </w:rPr>
        <w:t xml:space="preserve">  </w:t>
      </w:r>
      <w:r>
        <w:rPr>
          <w:rFonts w:ascii="Times New Roman" w:hAnsi="Times New Roman" w:eastAsia="Times New Roman" w:cs="Times New Roman"/>
          <w:sz w:val="19"/>
          <w:szCs w:val="19"/>
        </w:rPr>
        <w:t>General</w:t>
      </w:r>
      <w:r>
        <w:rPr>
          <w:rFonts w:ascii="Times New Roman" w:hAnsi="Times New Roman" w:eastAsia="Times New Roman" w:cs="Times New Roman"/>
          <w:spacing w:val="16"/>
          <w:w w:val="101"/>
          <w:sz w:val="19"/>
          <w:szCs w:val="19"/>
        </w:rPr>
        <w:t xml:space="preserve">  </w:t>
      </w:r>
      <w:r>
        <w:rPr>
          <w:rFonts w:ascii="Times New Roman" w:hAnsi="Times New Roman" w:eastAsia="Times New Roman" w:cs="Times New Roman"/>
          <w:sz w:val="19"/>
          <w:szCs w:val="19"/>
        </w:rPr>
        <w:t>Support  Node,GGSN)</w:t>
      </w:r>
      <w:r>
        <w:rPr>
          <w:rFonts w:ascii="Times New Roman" w:hAnsi="Times New Roman" w:eastAsia="Times New Roman" w:cs="Times New Roman"/>
          <w:spacing w:val="15"/>
          <w:sz w:val="19"/>
          <w:szCs w:val="19"/>
        </w:rPr>
        <w:t xml:space="preserve"> </w:t>
      </w:r>
      <w:r>
        <w:rPr>
          <w:sz w:val="19"/>
          <w:szCs w:val="19"/>
        </w:rPr>
        <w:t>网元的功能，</w:t>
      </w:r>
      <w:r>
        <w:rPr>
          <w:rFonts w:ascii="Times New Roman" w:hAnsi="Times New Roman" w:eastAsia="Times New Roman" w:cs="Times New Roman"/>
          <w:sz w:val="19"/>
          <w:szCs w:val="19"/>
        </w:rPr>
        <w:t xml:space="preserve">S-GW </w:t>
      </w:r>
      <w:r>
        <w:rPr>
          <w:sz w:val="19"/>
          <w:szCs w:val="19"/>
        </w:rPr>
        <w:t>和</w:t>
      </w:r>
      <w:r>
        <w:rPr>
          <w:spacing w:val="-27"/>
          <w:sz w:val="19"/>
          <w:szCs w:val="19"/>
        </w:rPr>
        <w:t xml:space="preserve"> </w:t>
      </w:r>
      <w:r>
        <w:rPr>
          <w:rFonts w:ascii="Times New Roman" w:hAnsi="Times New Roman" w:eastAsia="Times New Roman" w:cs="Times New Roman"/>
          <w:sz w:val="19"/>
          <w:szCs w:val="19"/>
        </w:rPr>
        <w:t>P-GW</w:t>
      </w:r>
      <w:r>
        <w:rPr>
          <w:rFonts w:ascii="Times New Roman" w:hAnsi="Times New Roman" w:eastAsia="Times New Roman" w:cs="Times New Roman"/>
          <w:spacing w:val="20"/>
          <w:w w:val="101"/>
          <w:sz w:val="19"/>
          <w:szCs w:val="19"/>
        </w:rPr>
        <w:t xml:space="preserve"> </w:t>
      </w:r>
      <w:r>
        <w:rPr>
          <w:sz w:val="19"/>
          <w:szCs w:val="19"/>
        </w:rPr>
        <w:t>可以合设，也可以分设。</w:t>
      </w:r>
    </w:p>
    <w:p w14:paraId="7C3CCF89">
      <w:pPr>
        <w:pStyle w:val="2"/>
        <w:spacing w:before="11" w:line="305" w:lineRule="auto"/>
        <w:ind w:left="359" w:right="103" w:firstLine="390"/>
        <w:jc w:val="both"/>
        <w:rPr>
          <w:sz w:val="19"/>
          <w:szCs w:val="19"/>
        </w:rPr>
      </w:pPr>
      <w:r>
        <w:rPr>
          <w:spacing w:val="-3"/>
          <w:sz w:val="19"/>
          <w:szCs w:val="19"/>
        </w:rPr>
        <w:t>演</w:t>
      </w:r>
      <w:r>
        <w:rPr>
          <w:spacing w:val="-19"/>
          <w:sz w:val="19"/>
          <w:szCs w:val="19"/>
        </w:rPr>
        <w:t xml:space="preserve"> </w:t>
      </w:r>
      <w:r>
        <w:rPr>
          <w:spacing w:val="-3"/>
          <w:sz w:val="19"/>
          <w:szCs w:val="19"/>
        </w:rPr>
        <w:t>进 的 通 用 地</w:t>
      </w:r>
      <w:r>
        <w:rPr>
          <w:spacing w:val="-16"/>
          <w:sz w:val="19"/>
          <w:szCs w:val="19"/>
        </w:rPr>
        <w:t xml:space="preserve"> </w:t>
      </w:r>
      <w:r>
        <w:rPr>
          <w:spacing w:val="-3"/>
          <w:sz w:val="19"/>
          <w:szCs w:val="19"/>
        </w:rPr>
        <w:t>面</w:t>
      </w:r>
      <w:r>
        <w:rPr>
          <w:spacing w:val="-16"/>
          <w:sz w:val="19"/>
          <w:szCs w:val="19"/>
        </w:rPr>
        <w:t xml:space="preserve"> </w:t>
      </w:r>
      <w:r>
        <w:rPr>
          <w:spacing w:val="-3"/>
          <w:sz w:val="19"/>
          <w:szCs w:val="19"/>
        </w:rPr>
        <w:t>无</w:t>
      </w:r>
      <w:r>
        <w:rPr>
          <w:spacing w:val="-14"/>
          <w:sz w:val="19"/>
          <w:szCs w:val="19"/>
        </w:rPr>
        <w:t xml:space="preserve"> </w:t>
      </w:r>
      <w:r>
        <w:rPr>
          <w:spacing w:val="-3"/>
          <w:sz w:val="19"/>
          <w:szCs w:val="19"/>
        </w:rPr>
        <w:t>线 电 接</w:t>
      </w:r>
      <w:r>
        <w:rPr>
          <w:spacing w:val="-18"/>
          <w:sz w:val="19"/>
          <w:szCs w:val="19"/>
        </w:rPr>
        <w:t xml:space="preserve"> </w:t>
      </w:r>
      <w:r>
        <w:rPr>
          <w:spacing w:val="-3"/>
          <w:sz w:val="19"/>
          <w:szCs w:val="19"/>
        </w:rPr>
        <w:t>入 网</w:t>
      </w:r>
      <w:r>
        <w:rPr>
          <w:spacing w:val="-44"/>
          <w:sz w:val="19"/>
          <w:szCs w:val="19"/>
        </w:rPr>
        <w:t xml:space="preserve"> </w:t>
      </w:r>
      <w:r>
        <w:rPr>
          <w:rFonts w:ascii="Times New Roman" w:hAnsi="Times New Roman" w:eastAsia="Times New Roman" w:cs="Times New Roman"/>
          <w:spacing w:val="-3"/>
          <w:sz w:val="19"/>
          <w:szCs w:val="19"/>
        </w:rPr>
        <w:t>(Evolved</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pacing w:val="-4"/>
          <w:sz w:val="19"/>
          <w:szCs w:val="19"/>
        </w:rPr>
        <w:t>Universal</w:t>
      </w:r>
      <w:r>
        <w:rPr>
          <w:rFonts w:ascii="Times New Roman" w:hAnsi="Times New Roman" w:eastAsia="Times New Roman" w:cs="Times New Roman"/>
          <w:spacing w:val="15"/>
          <w:w w:val="101"/>
          <w:sz w:val="19"/>
          <w:szCs w:val="19"/>
        </w:rPr>
        <w:t xml:space="preserve">  </w:t>
      </w:r>
      <w:r>
        <w:rPr>
          <w:rFonts w:ascii="Times New Roman" w:hAnsi="Times New Roman" w:eastAsia="Times New Roman" w:cs="Times New Roman"/>
          <w:spacing w:val="-4"/>
          <w:sz w:val="19"/>
          <w:szCs w:val="19"/>
        </w:rPr>
        <w:t>Terrestrial</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pacing w:val="-4"/>
          <w:sz w:val="19"/>
          <w:szCs w:val="19"/>
        </w:rPr>
        <w:t>Radio</w:t>
      </w:r>
      <w:r>
        <w:rPr>
          <w:rFonts w:ascii="Times New Roman" w:hAnsi="Times New Roman" w:eastAsia="Times New Roman" w:cs="Times New Roman"/>
          <w:spacing w:val="13"/>
          <w:w w:val="101"/>
          <w:sz w:val="19"/>
          <w:szCs w:val="19"/>
        </w:rPr>
        <w:t xml:space="preserve">  </w:t>
      </w:r>
      <w:r>
        <w:rPr>
          <w:rFonts w:ascii="Times New Roman" w:hAnsi="Times New Roman" w:eastAsia="Times New Roman" w:cs="Times New Roman"/>
          <w:spacing w:val="-4"/>
          <w:sz w:val="19"/>
          <w:szCs w:val="19"/>
        </w:rPr>
        <w:t>Access</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pacing w:val="-4"/>
          <w:sz w:val="19"/>
          <w:szCs w:val="19"/>
        </w:rPr>
        <w:t>Network,</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9"/>
          <w:sz w:val="19"/>
          <w:szCs w:val="19"/>
        </w:rPr>
        <w:t>E-</w:t>
      </w:r>
      <w:r>
        <w:rPr>
          <w:rFonts w:ascii="Times New Roman" w:hAnsi="Times New Roman" w:eastAsia="Times New Roman" w:cs="Times New Roman"/>
          <w:sz w:val="19"/>
          <w:szCs w:val="19"/>
        </w:rPr>
        <w:t>UTRAN</w:t>
      </w:r>
      <w:r>
        <w:rPr>
          <w:rFonts w:ascii="Times New Roman" w:hAnsi="Times New Roman" w:eastAsia="Times New Roman" w:cs="Times New Roman"/>
          <w:spacing w:val="9"/>
          <w:sz w:val="19"/>
          <w:szCs w:val="19"/>
        </w:rPr>
        <w:t xml:space="preserve">)   </w:t>
      </w:r>
      <w:r>
        <w:rPr>
          <w:spacing w:val="9"/>
          <w:sz w:val="19"/>
          <w:szCs w:val="19"/>
        </w:rPr>
        <w:t>中 ，</w:t>
      </w:r>
      <w:r>
        <w:rPr>
          <w:rFonts w:ascii="Times New Roman" w:hAnsi="Times New Roman" w:eastAsia="Times New Roman" w:cs="Times New Roman"/>
          <w:sz w:val="19"/>
          <w:szCs w:val="19"/>
        </w:rPr>
        <w:t>eNodeB</w:t>
      </w:r>
      <w:r>
        <w:rPr>
          <w:rFonts w:ascii="Times New Roman" w:hAnsi="Times New Roman" w:eastAsia="Times New Roman" w:cs="Times New Roman"/>
          <w:spacing w:val="10"/>
          <w:sz w:val="19"/>
          <w:szCs w:val="19"/>
        </w:rPr>
        <w:t xml:space="preserve">  </w:t>
      </w:r>
      <w:r>
        <w:rPr>
          <w:spacing w:val="9"/>
          <w:sz w:val="19"/>
          <w:szCs w:val="19"/>
        </w:rPr>
        <w:t>之间底层采用</w:t>
      </w:r>
      <w:r>
        <w:rPr>
          <w:rFonts w:ascii="Times New Roman" w:hAnsi="Times New Roman" w:eastAsia="Times New Roman" w:cs="Times New Roman"/>
          <w:sz w:val="19"/>
          <w:szCs w:val="19"/>
        </w:rPr>
        <w:t>IP</w:t>
      </w:r>
      <w:r>
        <w:rPr>
          <w:rFonts w:ascii="Times New Roman" w:hAnsi="Times New Roman" w:eastAsia="Times New Roman" w:cs="Times New Roman"/>
          <w:spacing w:val="29"/>
          <w:w w:val="101"/>
          <w:sz w:val="19"/>
          <w:szCs w:val="19"/>
        </w:rPr>
        <w:t xml:space="preserve"> </w:t>
      </w:r>
      <w:r>
        <w:rPr>
          <w:spacing w:val="9"/>
          <w:sz w:val="19"/>
          <w:szCs w:val="19"/>
        </w:rPr>
        <w:t>传输，在逻辑上互相连接形成</w:t>
      </w:r>
      <w:r>
        <w:rPr>
          <w:rFonts w:ascii="Times New Roman" w:hAnsi="Times New Roman" w:eastAsia="Times New Roman" w:cs="Times New Roman"/>
          <w:sz w:val="19"/>
          <w:szCs w:val="19"/>
        </w:rPr>
        <w:t>Mesh</w:t>
      </w:r>
      <w:r>
        <w:rPr>
          <w:rFonts w:ascii="Times New Roman" w:hAnsi="Times New Roman" w:eastAsia="Times New Roman" w:cs="Times New Roman"/>
          <w:spacing w:val="24"/>
          <w:sz w:val="19"/>
          <w:szCs w:val="19"/>
        </w:rPr>
        <w:t xml:space="preserve"> </w:t>
      </w:r>
      <w:r>
        <w:rPr>
          <w:spacing w:val="9"/>
          <w:sz w:val="19"/>
          <w:szCs w:val="19"/>
        </w:rPr>
        <w:t>型网络，支持</w:t>
      </w:r>
      <w:r>
        <w:rPr>
          <w:rFonts w:ascii="Times New Roman" w:hAnsi="Times New Roman" w:eastAsia="Times New Roman" w:cs="Times New Roman"/>
          <w:sz w:val="19"/>
          <w:szCs w:val="19"/>
        </w:rPr>
        <w:t xml:space="preserve">UE </w:t>
      </w:r>
      <w:r>
        <w:rPr>
          <w:spacing w:val="7"/>
          <w:sz w:val="19"/>
          <w:szCs w:val="19"/>
        </w:rPr>
        <w:t>在整个网络内的移动性，保证用户的无缝切换。</w:t>
      </w:r>
    </w:p>
    <w:p w14:paraId="18477AED">
      <w:pPr>
        <w:pStyle w:val="2"/>
        <w:spacing w:before="37" w:line="219" w:lineRule="auto"/>
        <w:ind w:left="749"/>
        <w:rPr>
          <w:sz w:val="19"/>
          <w:szCs w:val="19"/>
        </w:rPr>
      </w:pPr>
      <w:r>
        <w:rPr>
          <w:rFonts w:ascii="Times New Roman" w:hAnsi="Times New Roman" w:eastAsia="Times New Roman" w:cs="Times New Roman"/>
          <w:spacing w:val="9"/>
          <w:sz w:val="19"/>
          <w:szCs w:val="19"/>
        </w:rPr>
        <w:t xml:space="preserve">4G </w:t>
      </w:r>
      <w:r>
        <w:rPr>
          <w:spacing w:val="9"/>
          <w:sz w:val="19"/>
          <w:szCs w:val="19"/>
        </w:rPr>
        <w:t>用户设备包括4</w:t>
      </w:r>
      <w:r>
        <w:rPr>
          <w:rFonts w:ascii="Times New Roman" w:hAnsi="Times New Roman" w:eastAsia="Times New Roman" w:cs="Times New Roman"/>
          <w:spacing w:val="9"/>
          <w:sz w:val="19"/>
          <w:szCs w:val="19"/>
        </w:rPr>
        <w:t xml:space="preserve">G </w:t>
      </w:r>
      <w:r>
        <w:rPr>
          <w:spacing w:val="9"/>
          <w:sz w:val="19"/>
          <w:szCs w:val="19"/>
        </w:rPr>
        <w:t>手机或携带4</w:t>
      </w:r>
      <w:r>
        <w:rPr>
          <w:rFonts w:ascii="Times New Roman" w:hAnsi="Times New Roman" w:eastAsia="Times New Roman" w:cs="Times New Roman"/>
          <w:spacing w:val="9"/>
          <w:sz w:val="19"/>
          <w:szCs w:val="19"/>
        </w:rPr>
        <w:t xml:space="preserve">G </w:t>
      </w:r>
      <w:r>
        <w:rPr>
          <w:spacing w:val="9"/>
          <w:sz w:val="19"/>
          <w:szCs w:val="19"/>
        </w:rPr>
        <w:t>卡</w:t>
      </w:r>
      <w:r>
        <w:rPr>
          <w:spacing w:val="-5"/>
          <w:sz w:val="19"/>
          <w:szCs w:val="19"/>
        </w:rPr>
        <w:t xml:space="preserve"> </w:t>
      </w:r>
      <w:r>
        <w:rPr>
          <w:spacing w:val="9"/>
          <w:sz w:val="19"/>
          <w:szCs w:val="19"/>
        </w:rPr>
        <w:t>的</w:t>
      </w:r>
      <w:r>
        <w:rPr>
          <w:rFonts w:ascii="Times New Roman" w:hAnsi="Times New Roman" w:eastAsia="Times New Roman" w:cs="Times New Roman"/>
          <w:sz w:val="19"/>
          <w:szCs w:val="19"/>
        </w:rPr>
        <w:t>PAD</w:t>
      </w:r>
      <w:r>
        <w:rPr>
          <w:rFonts w:ascii="Times New Roman" w:hAnsi="Times New Roman" w:eastAsia="Times New Roman" w:cs="Times New Roman"/>
          <w:spacing w:val="-27"/>
          <w:sz w:val="19"/>
          <w:szCs w:val="19"/>
        </w:rPr>
        <w:t xml:space="preserve"> </w:t>
      </w:r>
      <w:r>
        <w:rPr>
          <w:spacing w:val="9"/>
          <w:sz w:val="19"/>
          <w:szCs w:val="19"/>
        </w:rPr>
        <w:t>、笔记本、物联网等终端设备。</w:t>
      </w:r>
    </w:p>
    <w:p w14:paraId="09C87EBD">
      <w:pPr>
        <w:pStyle w:val="2"/>
        <w:spacing w:before="162" w:line="222" w:lineRule="auto"/>
        <w:ind w:left="752"/>
        <w:rPr>
          <w:rFonts w:ascii="黑体" w:hAnsi="黑体" w:eastAsia="黑体" w:cs="黑体"/>
          <w:sz w:val="19"/>
          <w:szCs w:val="19"/>
        </w:rPr>
      </w:pPr>
      <w:r>
        <w:rPr>
          <w:b/>
          <w:bCs/>
          <w:color w:val="0085DF"/>
          <w:spacing w:val="3"/>
          <w:sz w:val="19"/>
          <w:szCs w:val="19"/>
        </w:rPr>
        <w:t>2.5G</w:t>
      </w:r>
      <w:r>
        <w:rPr>
          <w:color w:val="0085DF"/>
          <w:spacing w:val="68"/>
          <w:sz w:val="19"/>
          <w:szCs w:val="19"/>
        </w:rPr>
        <w:t xml:space="preserve"> </w:t>
      </w:r>
      <w:r>
        <w:rPr>
          <w:rFonts w:ascii="黑体" w:hAnsi="黑体" w:eastAsia="黑体" w:cs="黑体"/>
          <w:b/>
          <w:bCs/>
          <w:color w:val="0085DF"/>
          <w:spacing w:val="3"/>
          <w:sz w:val="19"/>
          <w:szCs w:val="19"/>
        </w:rPr>
        <w:t>移动通信</w:t>
      </w:r>
    </w:p>
    <w:p w14:paraId="6C29AC7E">
      <w:pPr>
        <w:pStyle w:val="2"/>
        <w:spacing w:before="165" w:line="288" w:lineRule="auto"/>
        <w:ind w:left="359" w:right="50" w:firstLine="390"/>
        <w:rPr>
          <w:sz w:val="19"/>
          <w:szCs w:val="19"/>
        </w:rPr>
      </w:pPr>
      <w:r>
        <w:rPr>
          <w:spacing w:val="13"/>
          <w:sz w:val="19"/>
          <w:szCs w:val="19"/>
        </w:rPr>
        <w:t xml:space="preserve">2019年6月，工信部正式向中国电信、中国移动、中国联通、中国广电发放5G </w:t>
      </w:r>
      <w:r>
        <w:rPr>
          <w:spacing w:val="12"/>
          <w:sz w:val="19"/>
          <w:szCs w:val="19"/>
        </w:rPr>
        <w:t>商用牌照，</w:t>
      </w:r>
      <w:r>
        <w:rPr>
          <w:sz w:val="19"/>
          <w:szCs w:val="19"/>
        </w:rPr>
        <w:t xml:space="preserve"> </w:t>
      </w:r>
      <w:r>
        <w:rPr>
          <w:spacing w:val="12"/>
          <w:sz w:val="19"/>
          <w:szCs w:val="19"/>
        </w:rPr>
        <w:t>中国进入第5代移动通信系统商用元年。</w:t>
      </w:r>
    </w:p>
    <w:p w14:paraId="4B60E8CD">
      <w:pPr>
        <w:pStyle w:val="2"/>
        <w:spacing w:before="13" w:line="299" w:lineRule="auto"/>
        <w:ind w:left="359" w:right="75" w:firstLine="390"/>
        <w:jc w:val="both"/>
        <w:rPr>
          <w:sz w:val="19"/>
          <w:szCs w:val="19"/>
        </w:rPr>
      </w:pPr>
      <w:r>
        <w:rPr>
          <w:spacing w:val="9"/>
          <w:sz w:val="19"/>
          <w:szCs w:val="19"/>
        </w:rPr>
        <w:t>国际电信联盟</w:t>
      </w:r>
      <w:r>
        <w:rPr>
          <w:spacing w:val="-27"/>
          <w:sz w:val="19"/>
          <w:szCs w:val="19"/>
        </w:rPr>
        <w:t xml:space="preserve"> </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ITU</w:t>
      </w:r>
      <w:r>
        <w:rPr>
          <w:rFonts w:ascii="Times New Roman" w:hAnsi="Times New Roman" w:eastAsia="Times New Roman" w:cs="Times New Roman"/>
          <w:spacing w:val="9"/>
          <w:sz w:val="19"/>
          <w:szCs w:val="19"/>
        </w:rPr>
        <w:t xml:space="preserve">)    </w:t>
      </w:r>
      <w:r>
        <w:rPr>
          <w:spacing w:val="9"/>
          <w:sz w:val="19"/>
          <w:szCs w:val="19"/>
        </w:rPr>
        <w:t>定</w:t>
      </w:r>
      <w:r>
        <w:rPr>
          <w:spacing w:val="-39"/>
          <w:sz w:val="19"/>
          <w:szCs w:val="19"/>
        </w:rPr>
        <w:t xml:space="preserve"> </w:t>
      </w:r>
      <w:r>
        <w:rPr>
          <w:spacing w:val="9"/>
          <w:sz w:val="19"/>
          <w:szCs w:val="19"/>
        </w:rPr>
        <w:t>义</w:t>
      </w:r>
      <w:r>
        <w:rPr>
          <w:spacing w:val="-24"/>
          <w:sz w:val="19"/>
          <w:szCs w:val="19"/>
        </w:rPr>
        <w:t xml:space="preserve"> </w:t>
      </w:r>
      <w:r>
        <w:rPr>
          <w:spacing w:val="9"/>
          <w:sz w:val="19"/>
          <w:szCs w:val="19"/>
        </w:rPr>
        <w:t>了</w:t>
      </w:r>
      <w:r>
        <w:rPr>
          <w:spacing w:val="-38"/>
          <w:sz w:val="19"/>
          <w:szCs w:val="19"/>
        </w:rPr>
        <w:t xml:space="preserve"> </w:t>
      </w:r>
      <w:r>
        <w:rPr>
          <w:spacing w:val="9"/>
          <w:sz w:val="19"/>
          <w:szCs w:val="19"/>
        </w:rPr>
        <w:t>5</w:t>
      </w:r>
      <w:r>
        <w:rPr>
          <w:rFonts w:ascii="Times New Roman" w:hAnsi="Times New Roman" w:eastAsia="Times New Roman" w:cs="Times New Roman"/>
          <w:spacing w:val="9"/>
          <w:sz w:val="19"/>
          <w:szCs w:val="19"/>
        </w:rPr>
        <w:t xml:space="preserve">G </w:t>
      </w:r>
      <w:r>
        <w:rPr>
          <w:spacing w:val="9"/>
          <w:sz w:val="19"/>
          <w:szCs w:val="19"/>
        </w:rPr>
        <w:t>的三大类应用场景，即增强移动宽带</w:t>
      </w:r>
      <w:r>
        <w:rPr>
          <w:spacing w:val="-45"/>
          <w:sz w:val="19"/>
          <w:szCs w:val="19"/>
        </w:rPr>
        <w:t xml:space="preserve"> </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Enhanced</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 xml:space="preserve">Mobile </w:t>
      </w:r>
      <w:r>
        <w:rPr>
          <w:rFonts w:ascii="Times New Roman" w:hAnsi="Times New Roman" w:eastAsia="Times New Roman" w:cs="Times New Roman"/>
          <w:b/>
          <w:bCs/>
          <w:spacing w:val="-1"/>
          <w:sz w:val="19"/>
          <w:szCs w:val="19"/>
        </w:rPr>
        <w:t xml:space="preserve">Broadband,eMBB)    </w:t>
      </w:r>
      <w:r>
        <w:rPr>
          <w:spacing w:val="-1"/>
          <w:sz w:val="19"/>
          <w:szCs w:val="19"/>
        </w:rPr>
        <w:t>、 超 高 可 靠 低 时 延 通 信</w:t>
      </w:r>
      <w:r>
        <w:rPr>
          <w:spacing w:val="-48"/>
          <w:sz w:val="19"/>
          <w:szCs w:val="19"/>
        </w:rPr>
        <w:t xml:space="preserve"> </w:t>
      </w:r>
      <w:r>
        <w:rPr>
          <w:rFonts w:ascii="Times New Roman" w:hAnsi="Times New Roman" w:eastAsia="Times New Roman" w:cs="Times New Roman"/>
          <w:spacing w:val="-1"/>
          <w:sz w:val="19"/>
          <w:szCs w:val="19"/>
        </w:rPr>
        <w:t xml:space="preserve">(Ultra   </w:t>
      </w:r>
      <w:r>
        <w:rPr>
          <w:rFonts w:ascii="Times New Roman" w:hAnsi="Times New Roman" w:eastAsia="Times New Roman" w:cs="Times New Roman"/>
          <w:spacing w:val="-2"/>
          <w:sz w:val="19"/>
          <w:szCs w:val="19"/>
        </w:rPr>
        <w:t>Reliable   Low   Latency   Communication,</w:t>
      </w:r>
      <w:r>
        <w:rPr>
          <w:rFonts w:ascii="Times New Roman" w:hAnsi="Times New Roman" w:eastAsia="Times New Roman" w:cs="Times New Roman"/>
          <w:sz w:val="19"/>
          <w:szCs w:val="19"/>
        </w:rPr>
        <w:t xml:space="preserve">  uRLLC</w:t>
      </w:r>
      <w:r>
        <w:rPr>
          <w:rFonts w:ascii="Times New Roman" w:hAnsi="Times New Roman" w:eastAsia="Times New Roman" w:cs="Times New Roman"/>
          <w:spacing w:val="6"/>
          <w:sz w:val="19"/>
          <w:szCs w:val="19"/>
        </w:rPr>
        <w:t>)</w:t>
      </w:r>
      <w:r>
        <w:rPr>
          <w:rFonts w:ascii="Times New Roman" w:hAnsi="Times New Roman" w:eastAsia="Times New Roman" w:cs="Times New Roman"/>
          <w:spacing w:val="21"/>
          <w:sz w:val="19"/>
          <w:szCs w:val="19"/>
        </w:rPr>
        <w:t xml:space="preserve">  </w:t>
      </w:r>
      <w:r>
        <w:rPr>
          <w:spacing w:val="6"/>
          <w:sz w:val="19"/>
          <w:szCs w:val="19"/>
        </w:rPr>
        <w:t>和海量机器类通信</w:t>
      </w:r>
      <w:r>
        <w:rPr>
          <w:spacing w:val="-38"/>
          <w:sz w:val="19"/>
          <w:szCs w:val="19"/>
        </w:rPr>
        <w:t xml:space="preserve"> </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Massive</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Machine</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Type</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pacing w:val="5"/>
          <w:sz w:val="19"/>
          <w:szCs w:val="19"/>
        </w:rPr>
        <w:t xml:space="preserve">  </w:t>
      </w:r>
      <w:r>
        <w:rPr>
          <w:rFonts w:ascii="Times New Roman" w:hAnsi="Times New Roman" w:eastAsia="Times New Roman" w:cs="Times New Roman"/>
          <w:sz w:val="19"/>
          <w:szCs w:val="19"/>
        </w:rPr>
        <w:t>Communication</w:t>
      </w:r>
      <w:r>
        <w:rPr>
          <w:rFonts w:ascii="Times New Roman" w:hAnsi="Times New Roman" w:eastAsia="Times New Roman" w:cs="Times New Roman"/>
          <w:spacing w:val="5"/>
          <w:sz w:val="19"/>
          <w:szCs w:val="19"/>
        </w:rPr>
        <w:t>,</w:t>
      </w:r>
      <w:r>
        <w:rPr>
          <w:rFonts w:ascii="Times New Roman" w:hAnsi="Times New Roman" w:eastAsia="Times New Roman" w:cs="Times New Roman"/>
          <w:sz w:val="19"/>
          <w:szCs w:val="19"/>
        </w:rPr>
        <w:t>mMTC</w:t>
      </w:r>
      <w:r>
        <w:rPr>
          <w:rFonts w:ascii="Times New Roman" w:hAnsi="Times New Roman" w:eastAsia="Times New Roman" w:cs="Times New Roman"/>
          <w:spacing w:val="5"/>
          <w:sz w:val="19"/>
          <w:szCs w:val="19"/>
        </w:rPr>
        <w:t>)</w:t>
      </w:r>
      <w:r>
        <w:rPr>
          <w:rFonts w:ascii="Times New Roman" w:hAnsi="Times New Roman" w:eastAsia="Times New Roman" w:cs="Times New Roman"/>
          <w:spacing w:val="-22"/>
          <w:sz w:val="19"/>
          <w:szCs w:val="19"/>
        </w:rPr>
        <w:t xml:space="preserve"> </w:t>
      </w:r>
      <w:r>
        <w:rPr>
          <w:spacing w:val="5"/>
          <w:sz w:val="19"/>
          <w:szCs w:val="19"/>
        </w:rPr>
        <w:t>。</w:t>
      </w:r>
      <w:r>
        <w:rPr>
          <w:rFonts w:ascii="Times New Roman" w:hAnsi="Times New Roman" w:eastAsia="Times New Roman" w:cs="Times New Roman"/>
          <w:sz w:val="19"/>
          <w:szCs w:val="19"/>
        </w:rPr>
        <w:t>eMBB</w:t>
      </w:r>
      <w:r>
        <w:rPr>
          <w:spacing w:val="5"/>
          <w:sz w:val="19"/>
          <w:szCs w:val="19"/>
        </w:rPr>
        <w:t>主要面向</w:t>
      </w:r>
      <w:r>
        <w:rPr>
          <w:sz w:val="19"/>
          <w:szCs w:val="19"/>
        </w:rPr>
        <w:t xml:space="preserve"> </w:t>
      </w:r>
      <w:r>
        <w:rPr>
          <w:spacing w:val="11"/>
          <w:sz w:val="19"/>
          <w:szCs w:val="19"/>
        </w:rPr>
        <w:t>移动互联网流量爆炸式增长，为移动互联网用户提供</w:t>
      </w:r>
      <w:r>
        <w:rPr>
          <w:spacing w:val="10"/>
          <w:sz w:val="19"/>
          <w:szCs w:val="19"/>
        </w:rPr>
        <w:t>更加极致的应用体验；</w:t>
      </w:r>
      <w:r>
        <w:rPr>
          <w:rFonts w:ascii="Times New Roman" w:hAnsi="Times New Roman" w:eastAsia="Times New Roman" w:cs="Times New Roman"/>
          <w:sz w:val="19"/>
          <w:szCs w:val="19"/>
        </w:rPr>
        <w:t>uRLLC</w:t>
      </w:r>
      <w:r>
        <w:rPr>
          <w:rFonts w:ascii="Times New Roman" w:hAnsi="Times New Roman" w:eastAsia="Times New Roman" w:cs="Times New Roman"/>
          <w:spacing w:val="10"/>
          <w:sz w:val="19"/>
          <w:szCs w:val="19"/>
        </w:rPr>
        <w:t xml:space="preserve">  </w:t>
      </w:r>
      <w:r>
        <w:rPr>
          <w:spacing w:val="10"/>
          <w:sz w:val="19"/>
          <w:szCs w:val="19"/>
        </w:rPr>
        <w:t>主要面向工</w:t>
      </w:r>
      <w:r>
        <w:rPr>
          <w:sz w:val="19"/>
          <w:szCs w:val="19"/>
        </w:rPr>
        <w:t xml:space="preserve"> </w:t>
      </w:r>
      <w:r>
        <w:rPr>
          <w:spacing w:val="10"/>
          <w:sz w:val="19"/>
          <w:szCs w:val="19"/>
        </w:rPr>
        <w:t>业控制、远程医疗、自动驾驶等对时延和可靠性具有极高要求的垂直行业应用需求；</w:t>
      </w:r>
      <w:r>
        <w:rPr>
          <w:rFonts w:ascii="Times New Roman" w:hAnsi="Times New Roman" w:eastAsia="Times New Roman" w:cs="Times New Roman"/>
          <w:sz w:val="19"/>
          <w:szCs w:val="19"/>
        </w:rPr>
        <w:t>mMTC</w:t>
      </w:r>
      <w:r>
        <w:rPr>
          <w:rFonts w:ascii="Times New Roman" w:hAnsi="Times New Roman" w:eastAsia="Times New Roman" w:cs="Times New Roman"/>
          <w:spacing w:val="10"/>
          <w:sz w:val="19"/>
          <w:szCs w:val="19"/>
        </w:rPr>
        <w:t xml:space="preserve">  </w:t>
      </w:r>
      <w:r>
        <w:rPr>
          <w:spacing w:val="10"/>
          <w:sz w:val="19"/>
          <w:szCs w:val="19"/>
        </w:rPr>
        <w:t>主</w:t>
      </w:r>
      <w:r>
        <w:rPr>
          <w:spacing w:val="15"/>
          <w:sz w:val="19"/>
          <w:szCs w:val="19"/>
        </w:rPr>
        <w:t xml:space="preserve"> </w:t>
      </w:r>
      <w:r>
        <w:rPr>
          <w:spacing w:val="8"/>
          <w:sz w:val="19"/>
          <w:szCs w:val="19"/>
        </w:rPr>
        <w:t>要面向智慧城市、智能家居、环境监测等以传感和数据采集为目标的应用需求。</w:t>
      </w:r>
    </w:p>
    <w:p w14:paraId="65BFB7E9">
      <w:pPr>
        <w:spacing w:before="86" w:line="212" w:lineRule="auto"/>
        <w:ind w:left="749"/>
        <w:rPr>
          <w:rFonts w:ascii="楷体" w:hAnsi="楷体" w:eastAsia="楷体" w:cs="楷体"/>
          <w:sz w:val="19"/>
          <w:szCs w:val="19"/>
        </w:rPr>
      </w:pPr>
      <w:r>
        <w:rPr>
          <w:rFonts w:ascii="Times New Roman" w:hAnsi="Times New Roman" w:eastAsia="Times New Roman" w:cs="Times New Roman"/>
          <w:spacing w:val="6"/>
          <w:sz w:val="19"/>
          <w:szCs w:val="19"/>
        </w:rPr>
        <w:t>1)5G</w:t>
      </w:r>
      <w:r>
        <w:rPr>
          <w:rFonts w:ascii="Times New Roman" w:hAnsi="Times New Roman" w:eastAsia="Times New Roman" w:cs="Times New Roman"/>
          <w:spacing w:val="1"/>
          <w:sz w:val="19"/>
          <w:szCs w:val="19"/>
        </w:rPr>
        <w:t xml:space="preserve">    </w:t>
      </w:r>
      <w:r>
        <w:rPr>
          <w:rFonts w:ascii="楷体" w:hAnsi="楷体" w:eastAsia="楷体" w:cs="楷体"/>
          <w:spacing w:val="6"/>
          <w:sz w:val="19"/>
          <w:szCs w:val="19"/>
        </w:rPr>
        <w:t>系统主要性能指标</w:t>
      </w:r>
    </w:p>
    <w:p w14:paraId="53D84A03">
      <w:pPr>
        <w:pStyle w:val="2"/>
        <w:spacing w:before="92" w:line="299" w:lineRule="auto"/>
        <w:ind w:left="359" w:firstLine="390"/>
        <w:rPr>
          <w:sz w:val="19"/>
          <w:szCs w:val="19"/>
        </w:rPr>
      </w:pPr>
      <w:r>
        <w:rPr>
          <w:rFonts w:ascii="Times New Roman" w:hAnsi="Times New Roman" w:eastAsia="Times New Roman" w:cs="Times New Roman"/>
          <w:spacing w:val="8"/>
          <w:sz w:val="19"/>
          <w:szCs w:val="19"/>
        </w:rPr>
        <w:t>5G</w:t>
      </w:r>
      <w:r>
        <w:rPr>
          <w:rFonts w:ascii="Times New Roman" w:hAnsi="Times New Roman" w:eastAsia="Times New Roman" w:cs="Times New Roman"/>
          <w:spacing w:val="-6"/>
          <w:sz w:val="19"/>
          <w:szCs w:val="19"/>
        </w:rPr>
        <w:t xml:space="preserve"> </w:t>
      </w:r>
      <w:r>
        <w:rPr>
          <w:spacing w:val="8"/>
          <w:sz w:val="19"/>
          <w:szCs w:val="19"/>
        </w:rPr>
        <w:t>系统主要性能指标包括：峰值速率达到10～20</w:t>
      </w:r>
      <w:r>
        <w:rPr>
          <w:rFonts w:ascii="Times New Roman" w:hAnsi="Times New Roman" w:eastAsia="Times New Roman" w:cs="Times New Roman"/>
          <w:sz w:val="19"/>
          <w:szCs w:val="19"/>
        </w:rPr>
        <w:t>Gbit</w:t>
      </w:r>
      <w:r>
        <w:rPr>
          <w:rFonts w:ascii="Times New Roman" w:hAnsi="Times New Roman" w:eastAsia="Times New Roman" w:cs="Times New Roman"/>
          <w:spacing w:val="8"/>
          <w:sz w:val="19"/>
          <w:szCs w:val="19"/>
        </w:rPr>
        <w:t>/s,</w:t>
      </w:r>
      <w:r>
        <w:rPr>
          <w:rFonts w:ascii="Times New Roman" w:hAnsi="Times New Roman" w:eastAsia="Times New Roman" w:cs="Times New Roman"/>
          <w:spacing w:val="20"/>
          <w:sz w:val="19"/>
          <w:szCs w:val="19"/>
        </w:rPr>
        <w:t xml:space="preserve">  </w:t>
      </w:r>
      <w:r>
        <w:rPr>
          <w:spacing w:val="8"/>
          <w:sz w:val="19"/>
          <w:szCs w:val="19"/>
        </w:rPr>
        <w:t>以满足高清视频、虚拟现实等大数</w:t>
      </w:r>
      <w:r>
        <w:rPr>
          <w:sz w:val="19"/>
          <w:szCs w:val="19"/>
        </w:rPr>
        <w:t xml:space="preserve">  </w:t>
      </w:r>
      <w:r>
        <w:rPr>
          <w:spacing w:val="3"/>
          <w:sz w:val="19"/>
          <w:szCs w:val="19"/>
        </w:rPr>
        <w:t>据量传输；空中接口时延低至1</w:t>
      </w:r>
      <w:r>
        <w:rPr>
          <w:rFonts w:ascii="Times New Roman" w:hAnsi="Times New Roman" w:eastAsia="Times New Roman" w:cs="Times New Roman"/>
          <w:sz w:val="19"/>
          <w:szCs w:val="19"/>
        </w:rPr>
        <w:t>ms</w:t>
      </w:r>
      <w:r>
        <w:rPr>
          <w:rFonts w:ascii="Times New Roman" w:hAnsi="Times New Roman" w:eastAsia="Times New Roman" w:cs="Times New Roman"/>
          <w:spacing w:val="3"/>
          <w:sz w:val="19"/>
          <w:szCs w:val="19"/>
        </w:rPr>
        <w:t>,</w:t>
      </w:r>
      <w:r>
        <w:rPr>
          <w:rFonts w:ascii="Times New Roman" w:hAnsi="Times New Roman" w:eastAsia="Times New Roman" w:cs="Times New Roman"/>
          <w:spacing w:val="17"/>
          <w:sz w:val="19"/>
          <w:szCs w:val="19"/>
        </w:rPr>
        <w:t xml:space="preserve">  </w:t>
      </w:r>
      <w:r>
        <w:rPr>
          <w:spacing w:val="3"/>
          <w:sz w:val="19"/>
          <w:szCs w:val="19"/>
        </w:rPr>
        <w:t>满足自动驾驶、远程医疗等实时应用；具备百万连接/平方公里</w:t>
      </w:r>
      <w:r>
        <w:rPr>
          <w:sz w:val="19"/>
          <w:szCs w:val="19"/>
        </w:rPr>
        <w:t xml:space="preserve">  </w:t>
      </w:r>
      <w:r>
        <w:rPr>
          <w:spacing w:val="2"/>
          <w:sz w:val="19"/>
          <w:szCs w:val="19"/>
        </w:rPr>
        <w:t>的设备连接能力，满足物联网通信；频谱效率比4</w:t>
      </w:r>
      <w:r>
        <w:rPr>
          <w:rFonts w:ascii="Times New Roman" w:hAnsi="Times New Roman" w:eastAsia="Times New Roman" w:cs="Times New Roman"/>
          <w:sz w:val="19"/>
          <w:szCs w:val="19"/>
        </w:rPr>
        <w:t>G</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LTE</w:t>
      </w:r>
      <w:r>
        <w:rPr>
          <w:spacing w:val="2"/>
          <w:sz w:val="19"/>
          <w:szCs w:val="19"/>
        </w:rPr>
        <w:t>提升3倍以上；连续广域覆盖和高</w:t>
      </w:r>
      <w:r>
        <w:rPr>
          <w:spacing w:val="1"/>
          <w:sz w:val="19"/>
          <w:szCs w:val="19"/>
        </w:rPr>
        <w:t>移动性下，</w:t>
      </w:r>
      <w:r>
        <w:rPr>
          <w:sz w:val="19"/>
          <w:szCs w:val="19"/>
        </w:rPr>
        <w:t xml:space="preserve"> </w:t>
      </w:r>
      <w:r>
        <w:rPr>
          <w:spacing w:val="6"/>
          <w:sz w:val="19"/>
          <w:szCs w:val="19"/>
        </w:rPr>
        <w:t>用户体验速率达到100</w:t>
      </w:r>
      <w:r>
        <w:rPr>
          <w:rFonts w:ascii="Times New Roman" w:hAnsi="Times New Roman" w:eastAsia="Times New Roman" w:cs="Times New Roman"/>
          <w:sz w:val="19"/>
          <w:szCs w:val="19"/>
        </w:rPr>
        <w:t>Mbits</w:t>
      </w:r>
      <w:r>
        <w:rPr>
          <w:rFonts w:ascii="Times New Roman" w:hAnsi="Times New Roman" w:eastAsia="Times New Roman" w:cs="Times New Roman"/>
          <w:spacing w:val="6"/>
          <w:sz w:val="19"/>
          <w:szCs w:val="19"/>
        </w:rPr>
        <w:t xml:space="preserve">;   </w:t>
      </w:r>
      <w:r>
        <w:rPr>
          <w:spacing w:val="6"/>
          <w:sz w:val="19"/>
          <w:szCs w:val="19"/>
        </w:rPr>
        <w:t>流量密度达到10</w:t>
      </w:r>
      <w:r>
        <w:rPr>
          <w:rFonts w:ascii="Times New Roman" w:hAnsi="Times New Roman" w:eastAsia="Times New Roman" w:cs="Times New Roman"/>
          <w:sz w:val="19"/>
          <w:szCs w:val="19"/>
        </w:rPr>
        <w:t>Mbps</w:t>
      </w:r>
      <w:r>
        <w:rPr>
          <w:rFonts w:ascii="Times New Roman" w:hAnsi="Times New Roman" w:eastAsia="Times New Roman" w:cs="Times New Roman"/>
          <w:spacing w:val="6"/>
          <w:sz w:val="19"/>
          <w:szCs w:val="19"/>
        </w:rPr>
        <w:t>/m²</w:t>
      </w:r>
      <w:r>
        <w:rPr>
          <w:spacing w:val="6"/>
          <w:sz w:val="19"/>
          <w:szCs w:val="19"/>
        </w:rPr>
        <w:t>以上；移动性支持500</w:t>
      </w:r>
      <w:r>
        <w:rPr>
          <w:rFonts w:ascii="Times New Roman" w:hAnsi="Times New Roman" w:eastAsia="Times New Roman" w:cs="Times New Roman"/>
          <w:sz w:val="19"/>
          <w:szCs w:val="19"/>
        </w:rPr>
        <w:t>km</w:t>
      </w:r>
      <w:r>
        <w:rPr>
          <w:rFonts w:ascii="Times New Roman" w:hAnsi="Times New Roman" w:eastAsia="Times New Roman" w:cs="Times New Roman"/>
          <w:spacing w:val="6"/>
          <w:sz w:val="19"/>
          <w:szCs w:val="19"/>
        </w:rPr>
        <w:t>/h</w:t>
      </w:r>
      <w:r>
        <w:rPr>
          <w:spacing w:val="5"/>
          <w:sz w:val="19"/>
          <w:szCs w:val="19"/>
        </w:rPr>
        <w:t>的高速移动。</w:t>
      </w:r>
    </w:p>
    <w:p w14:paraId="41343798">
      <w:pPr>
        <w:spacing w:line="299" w:lineRule="auto"/>
        <w:rPr>
          <w:sz w:val="19"/>
          <w:szCs w:val="19"/>
        </w:rPr>
        <w:sectPr>
          <w:pgSz w:w="10310" w:h="13370"/>
          <w:pgMar w:top="350" w:right="1044" w:bottom="400" w:left="500" w:header="0" w:footer="0" w:gutter="0"/>
          <w:cols w:space="720" w:num="1"/>
        </w:sectPr>
      </w:pPr>
    </w:p>
    <w:p w14:paraId="1B27E7D9">
      <w:pPr>
        <w:pStyle w:val="2"/>
        <w:spacing w:before="107" w:line="219" w:lineRule="auto"/>
        <w:jc w:val="right"/>
        <w:rPr>
          <w:rFonts w:ascii="Times New Roman" w:hAnsi="Times New Roman" w:eastAsia="Times New Roman" w:cs="Times New Roman"/>
          <w:sz w:val="19"/>
          <w:szCs w:val="19"/>
        </w:rPr>
      </w:pPr>
      <w:bookmarkStart w:id="538" w:name="bookmark525"/>
      <w:bookmarkEnd w:id="538"/>
      <w:r>
        <w:rPr>
          <w:spacing w:val="3"/>
          <w:sz w:val="19"/>
          <w:szCs w:val="19"/>
        </w:rPr>
        <w:t>第3章</w:t>
      </w:r>
      <w:r>
        <w:rPr>
          <w:spacing w:val="29"/>
          <w:sz w:val="19"/>
          <w:szCs w:val="19"/>
        </w:rPr>
        <w:t xml:space="preserve"> </w:t>
      </w:r>
      <w:r>
        <w:rPr>
          <w:spacing w:val="3"/>
          <w:sz w:val="19"/>
          <w:szCs w:val="19"/>
        </w:rPr>
        <w:t>信息网络系统</w:t>
      </w:r>
      <w:r>
        <w:rPr>
          <w:spacing w:val="8"/>
          <w:sz w:val="19"/>
          <w:szCs w:val="19"/>
        </w:rPr>
        <w:t xml:space="preserve">      </w:t>
      </w:r>
      <w:r>
        <w:rPr>
          <w:rFonts w:ascii="Times New Roman" w:hAnsi="Times New Roman" w:eastAsia="Times New Roman" w:cs="Times New Roman"/>
          <w:spacing w:val="3"/>
          <w:position w:val="-2"/>
          <w:sz w:val="19"/>
          <w:szCs w:val="19"/>
        </w:rPr>
        <w:t>107</w:t>
      </w:r>
    </w:p>
    <w:p w14:paraId="4A52F523">
      <w:pPr>
        <w:spacing w:line="293" w:lineRule="auto"/>
        <w:rPr>
          <w:rFonts w:ascii="Arial"/>
          <w:sz w:val="21"/>
        </w:rPr>
      </w:pPr>
    </w:p>
    <w:p w14:paraId="7CF9F910">
      <w:pPr>
        <w:pStyle w:val="2"/>
        <w:spacing w:before="62" w:line="291" w:lineRule="auto"/>
        <w:ind w:right="283" w:firstLine="379"/>
        <w:jc w:val="both"/>
        <w:rPr>
          <w:sz w:val="19"/>
          <w:szCs w:val="19"/>
        </w:rPr>
      </w:pPr>
      <w:r>
        <w:rPr>
          <w:rFonts w:ascii="Times New Roman" w:hAnsi="Times New Roman" w:eastAsia="Times New Roman" w:cs="Times New Roman"/>
          <w:spacing w:val="16"/>
          <w:sz w:val="19"/>
          <w:szCs w:val="19"/>
        </w:rPr>
        <w:t xml:space="preserve">5G </w:t>
      </w:r>
      <w:r>
        <w:rPr>
          <w:spacing w:val="16"/>
          <w:sz w:val="19"/>
          <w:szCs w:val="19"/>
        </w:rPr>
        <w:t>系统采用了更多的创新技术以实现上述功能和性能</w:t>
      </w:r>
      <w:r>
        <w:rPr>
          <w:spacing w:val="15"/>
          <w:sz w:val="19"/>
          <w:szCs w:val="19"/>
        </w:rPr>
        <w:t>指标，包括网络功能虚拟化、控制</w:t>
      </w:r>
      <w:r>
        <w:rPr>
          <w:sz w:val="19"/>
          <w:szCs w:val="19"/>
        </w:rPr>
        <w:t xml:space="preserve"> </w:t>
      </w:r>
      <w:r>
        <w:rPr>
          <w:spacing w:val="18"/>
          <w:sz w:val="19"/>
          <w:szCs w:val="19"/>
        </w:rPr>
        <w:t>面与用户面分离、网络切片、边缘计算、网络功能重构等新型网络技术和架构，以及极化码</w:t>
      </w:r>
      <w:r>
        <w:rPr>
          <w:spacing w:val="8"/>
          <w:sz w:val="19"/>
          <w:szCs w:val="19"/>
        </w:rPr>
        <w:t xml:space="preserve"> </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Polar</w:t>
      </w:r>
      <w:r>
        <w:rPr>
          <w:rFonts w:ascii="Times New Roman" w:hAnsi="Times New Roman" w:eastAsia="Times New Roman" w:cs="Times New Roman"/>
          <w:spacing w:val="18"/>
          <w:w w:val="101"/>
          <w:sz w:val="19"/>
          <w:szCs w:val="19"/>
        </w:rPr>
        <w:t xml:space="preserve">   </w:t>
      </w:r>
      <w:r>
        <w:rPr>
          <w:rFonts w:ascii="Times New Roman" w:hAnsi="Times New Roman" w:eastAsia="Times New Roman" w:cs="Times New Roman"/>
          <w:sz w:val="19"/>
          <w:szCs w:val="19"/>
        </w:rPr>
        <w:t>code</w:t>
      </w:r>
      <w:r>
        <w:rPr>
          <w:rFonts w:ascii="Times New Roman" w:hAnsi="Times New Roman" w:eastAsia="Times New Roman" w:cs="Times New Roman"/>
          <w:spacing w:val="3"/>
          <w:sz w:val="19"/>
          <w:szCs w:val="19"/>
        </w:rPr>
        <w:t xml:space="preserve">) </w:t>
      </w:r>
      <w:r>
        <w:rPr>
          <w:spacing w:val="3"/>
          <w:sz w:val="19"/>
          <w:szCs w:val="19"/>
        </w:rPr>
        <w:t>编码、毫米波、小基站、</w:t>
      </w:r>
      <w:r>
        <w:rPr>
          <w:spacing w:val="-24"/>
          <w:sz w:val="19"/>
          <w:szCs w:val="19"/>
        </w:rPr>
        <w:t xml:space="preserve"> </w:t>
      </w:r>
      <w:r>
        <w:rPr>
          <w:rFonts w:ascii="Times New Roman" w:hAnsi="Times New Roman" w:eastAsia="Times New Roman" w:cs="Times New Roman"/>
          <w:sz w:val="19"/>
          <w:szCs w:val="19"/>
        </w:rPr>
        <w:t>MIMO</w:t>
      </w:r>
      <w:r>
        <w:rPr>
          <w:rFonts w:ascii="Times New Roman" w:hAnsi="Times New Roman" w:eastAsia="Times New Roman" w:cs="Times New Roman"/>
          <w:spacing w:val="3"/>
          <w:sz w:val="19"/>
          <w:szCs w:val="19"/>
        </w:rPr>
        <w:t xml:space="preserve">  </w:t>
      </w:r>
      <w:r>
        <w:rPr>
          <w:spacing w:val="3"/>
          <w:sz w:val="19"/>
          <w:szCs w:val="19"/>
        </w:rPr>
        <w:t>等新型空中接口技术。</w:t>
      </w:r>
    </w:p>
    <w:p w14:paraId="08847E6F">
      <w:pPr>
        <w:spacing w:before="122" w:line="212" w:lineRule="auto"/>
        <w:ind w:left="379"/>
        <w:rPr>
          <w:rFonts w:ascii="楷体" w:hAnsi="楷体" w:eastAsia="楷体" w:cs="楷体"/>
          <w:sz w:val="19"/>
          <w:szCs w:val="19"/>
        </w:rPr>
      </w:pPr>
      <w:r>
        <w:rPr>
          <w:rFonts w:ascii="Times New Roman" w:hAnsi="Times New Roman" w:eastAsia="Times New Roman" w:cs="Times New Roman"/>
          <w:spacing w:val="5"/>
          <w:sz w:val="19"/>
          <w:szCs w:val="19"/>
        </w:rPr>
        <w:t>2)5G</w:t>
      </w:r>
      <w:r>
        <w:rPr>
          <w:rFonts w:ascii="Times New Roman" w:hAnsi="Times New Roman" w:eastAsia="Times New Roman" w:cs="Times New Roman"/>
          <w:spacing w:val="8"/>
          <w:sz w:val="19"/>
          <w:szCs w:val="19"/>
        </w:rPr>
        <w:t xml:space="preserve">    </w:t>
      </w:r>
      <w:r>
        <w:rPr>
          <w:rFonts w:ascii="楷体" w:hAnsi="楷体" w:eastAsia="楷体" w:cs="楷体"/>
          <w:spacing w:val="5"/>
          <w:sz w:val="19"/>
          <w:szCs w:val="19"/>
        </w:rPr>
        <w:t>系统网络架构</w:t>
      </w:r>
    </w:p>
    <w:p w14:paraId="3B1141B3">
      <w:pPr>
        <w:pStyle w:val="2"/>
        <w:spacing w:before="103" w:line="302" w:lineRule="auto"/>
        <w:ind w:right="298" w:firstLine="379"/>
        <w:rPr>
          <w:sz w:val="19"/>
          <w:szCs w:val="19"/>
        </w:rPr>
      </w:pPr>
      <w:r>
        <w:rPr>
          <w:rFonts w:ascii="Times New Roman" w:hAnsi="Times New Roman" w:eastAsia="Times New Roman" w:cs="Times New Roman"/>
          <w:spacing w:val="10"/>
          <w:sz w:val="19"/>
          <w:szCs w:val="19"/>
        </w:rPr>
        <w:t xml:space="preserve">5G </w:t>
      </w:r>
      <w:r>
        <w:rPr>
          <w:spacing w:val="10"/>
          <w:sz w:val="19"/>
          <w:szCs w:val="19"/>
        </w:rPr>
        <w:t>系统采用总线式的微服务架构，将大型服务分解为若干个小型独立的服务，每个</w:t>
      </w:r>
      <w:r>
        <w:rPr>
          <w:spacing w:val="9"/>
          <w:sz w:val="19"/>
          <w:szCs w:val="19"/>
        </w:rPr>
        <w:t>服务可</w:t>
      </w:r>
      <w:r>
        <w:rPr>
          <w:sz w:val="19"/>
          <w:szCs w:val="19"/>
        </w:rPr>
        <w:t xml:space="preserve"> </w:t>
      </w:r>
      <w:r>
        <w:rPr>
          <w:spacing w:val="15"/>
          <w:sz w:val="19"/>
          <w:szCs w:val="19"/>
        </w:rPr>
        <w:t>以独立运行、扩展、开发和演化。微服务架构的采用为5</w:t>
      </w:r>
      <w:r>
        <w:rPr>
          <w:rFonts w:ascii="Times New Roman" w:hAnsi="Times New Roman" w:eastAsia="Times New Roman" w:cs="Times New Roman"/>
          <w:spacing w:val="15"/>
          <w:sz w:val="19"/>
          <w:szCs w:val="19"/>
        </w:rPr>
        <w:t>G</w:t>
      </w:r>
      <w:r>
        <w:rPr>
          <w:rFonts w:ascii="Times New Roman" w:hAnsi="Times New Roman" w:eastAsia="Times New Roman" w:cs="Times New Roman"/>
          <w:spacing w:val="22"/>
          <w:sz w:val="19"/>
          <w:szCs w:val="19"/>
        </w:rPr>
        <w:t xml:space="preserve"> </w:t>
      </w:r>
      <w:r>
        <w:rPr>
          <w:spacing w:val="15"/>
          <w:sz w:val="19"/>
          <w:szCs w:val="19"/>
        </w:rPr>
        <w:t>核心</w:t>
      </w:r>
      <w:r>
        <w:rPr>
          <w:spacing w:val="14"/>
          <w:sz w:val="19"/>
          <w:szCs w:val="19"/>
        </w:rPr>
        <w:t>网的维护和扩展提供了极大的</w:t>
      </w:r>
      <w:r>
        <w:rPr>
          <w:sz w:val="19"/>
          <w:szCs w:val="19"/>
        </w:rPr>
        <w:t xml:space="preserve"> </w:t>
      </w:r>
      <w:r>
        <w:rPr>
          <w:spacing w:val="9"/>
          <w:sz w:val="19"/>
          <w:szCs w:val="19"/>
        </w:rPr>
        <w:t>便利性，也利于切片技术的实现。5G 网络架构模型如图3-11所示。</w:t>
      </w:r>
    </w:p>
    <w:p w14:paraId="190F499C">
      <w:pPr>
        <w:spacing w:before="79" w:line="2710" w:lineRule="exact"/>
        <w:ind w:firstLine="1350"/>
      </w:pPr>
      <w:r>
        <w:rPr>
          <w:position w:val="-54"/>
        </w:rPr>
        <w:pict>
          <v:group id="_x0000_s1222" o:spid="_x0000_s1222" o:spt="203" style="height:135.55pt;width:279pt;" coordsize="5580,2711">
            <o:lock v:ext="edit"/>
            <v:shape id="_x0000_s1223" o:spid="_x0000_s1223" o:spt="75" type="#_x0000_t75" style="position:absolute;left:0;top:0;height:2711;width:5580;" filled="f" stroked="f" coordsize="21600,21600">
              <v:path/>
              <v:fill on="f" focussize="0,0"/>
              <v:stroke on="f"/>
              <v:imagedata r:id="rId85" o:title=""/>
              <o:lock v:ext="edit" aspectratio="t"/>
            </v:shape>
            <v:shape id="_x0000_s1224" o:spid="_x0000_s1224" o:spt="202" type="#_x0000_t202" style="position:absolute;left:419;top:126;height:2353;width:4602;" filled="f" stroked="f" coordsize="21600,21600">
              <v:path/>
              <v:fill on="f" focussize="0,0"/>
              <v:stroke on="f"/>
              <v:imagedata o:title=""/>
              <o:lock v:ext="edit" aspectratio="f"/>
              <v:textbox inset="0mm,0mm,0mm,0mm">
                <w:txbxContent>
                  <w:p w14:paraId="1D9D0A4C">
                    <w:pPr>
                      <w:spacing w:before="20" w:line="199" w:lineRule="auto"/>
                      <w:ind w:right="19"/>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 xml:space="preserve">NSSF       NEF       NRF              PCF       </w:t>
                    </w:r>
                    <w:r>
                      <w:rPr>
                        <w:rFonts w:ascii="Times New Roman" w:hAnsi="Times New Roman" w:eastAsia="Times New Roman" w:cs="Times New Roman"/>
                        <w:position w:val="-3"/>
                        <w:sz w:val="19"/>
                        <w:szCs w:val="19"/>
                      </w:rPr>
                      <w:t xml:space="preserve">UDM         </w:t>
                    </w:r>
                    <w:r>
                      <w:rPr>
                        <w:rFonts w:ascii="Times New Roman" w:hAnsi="Times New Roman" w:eastAsia="Times New Roman" w:cs="Times New Roman"/>
                        <w:sz w:val="19"/>
                        <w:szCs w:val="19"/>
                      </w:rPr>
                      <w:t>AF</w:t>
                    </w:r>
                  </w:p>
                  <w:p w14:paraId="7BF42CBD">
                    <w:pPr>
                      <w:spacing w:before="205" w:line="194"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Nnssf        Nnef</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Nnrf             Npcf</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Nudm</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Naf</w:t>
                    </w:r>
                  </w:p>
                  <w:p w14:paraId="68AFF0B1">
                    <w:pPr>
                      <w:spacing w:before="263" w:line="203" w:lineRule="auto"/>
                      <w:ind w:left="900"/>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Nausf</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3"/>
                        <w:sz w:val="19"/>
                        <w:szCs w:val="19"/>
                      </w:rPr>
                      <w:t xml:space="preserve">Namf            </w:t>
                    </w:r>
                    <w:r>
                      <w:rPr>
                        <w:rFonts w:ascii="Times New Roman" w:hAnsi="Times New Roman" w:eastAsia="Times New Roman" w:cs="Times New Roman"/>
                        <w:spacing w:val="3"/>
                        <w:position w:val="2"/>
                        <w:sz w:val="19"/>
                        <w:szCs w:val="19"/>
                      </w:rPr>
                      <w:t>Nsmf</w:t>
                    </w:r>
                  </w:p>
                  <w:p w14:paraId="7CF64046">
                    <w:pPr>
                      <w:spacing w:before="128" w:line="199" w:lineRule="auto"/>
                      <w:ind w:left="1150"/>
                      <w:rPr>
                        <w:rFonts w:ascii="Times New Roman" w:hAnsi="Times New Roman" w:eastAsia="Times New Roman" w:cs="Times New Roman"/>
                        <w:sz w:val="19"/>
                        <w:szCs w:val="19"/>
                      </w:rPr>
                    </w:pPr>
                    <w:r>
                      <w:rPr>
                        <w:rFonts w:ascii="Times New Roman" w:hAnsi="Times New Roman" w:eastAsia="Times New Roman" w:cs="Times New Roman"/>
                        <w:spacing w:val="-4"/>
                        <w:position w:val="1"/>
                        <w:sz w:val="19"/>
                        <w:szCs w:val="19"/>
                      </w:rPr>
                      <w:t xml:space="preserve">AUSF          </w:t>
                    </w:r>
                    <w:r>
                      <w:rPr>
                        <w:rFonts w:ascii="Times New Roman" w:hAnsi="Times New Roman" w:eastAsia="Times New Roman" w:cs="Times New Roman"/>
                        <w:spacing w:val="-4"/>
                        <w:sz w:val="19"/>
                        <w:szCs w:val="19"/>
                      </w:rPr>
                      <w:t>AMF</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pacing w:val="-4"/>
                        <w:position w:val="-2"/>
                        <w:sz w:val="19"/>
                        <w:szCs w:val="19"/>
                      </w:rPr>
                      <w:t>SMF</w:t>
                    </w:r>
                  </w:p>
                  <w:p w14:paraId="4EB958D9">
                    <w:pPr>
                      <w:spacing w:before="189" w:line="199" w:lineRule="auto"/>
                      <w:ind w:left="910"/>
                      <w:rPr>
                        <w:rFonts w:ascii="Times New Roman" w:hAnsi="Times New Roman" w:eastAsia="Times New Roman" w:cs="Times New Roman"/>
                        <w:sz w:val="19"/>
                        <w:szCs w:val="19"/>
                      </w:rPr>
                    </w:pPr>
                    <w:r>
                      <w:rPr>
                        <w:rFonts w:ascii="Times New Roman" w:hAnsi="Times New Roman" w:eastAsia="Times New Roman" w:cs="Times New Roman"/>
                        <w:spacing w:val="1"/>
                        <w:position w:val="3"/>
                        <w:sz w:val="19"/>
                        <w:szCs w:val="19"/>
                      </w:rPr>
                      <w:t>N1</w:t>
                    </w:r>
                    <w:r>
                      <w:rPr>
                        <w:rFonts w:ascii="Times New Roman" w:hAnsi="Times New Roman" w:eastAsia="Times New Roman" w:cs="Times New Roman"/>
                        <w:spacing w:val="2"/>
                        <w:position w:val="3"/>
                        <w:sz w:val="19"/>
                        <w:szCs w:val="19"/>
                      </w:rPr>
                      <w:t xml:space="preserve">                   </w:t>
                    </w:r>
                    <w:r>
                      <w:rPr>
                        <w:rFonts w:ascii="Times New Roman" w:hAnsi="Times New Roman" w:eastAsia="Times New Roman" w:cs="Times New Roman"/>
                        <w:spacing w:val="1"/>
                        <w:position w:val="3"/>
                        <w:sz w:val="19"/>
                        <w:szCs w:val="19"/>
                      </w:rPr>
                      <w:t xml:space="preserve">    </w:t>
                    </w:r>
                    <w:r>
                      <w:rPr>
                        <w:rFonts w:ascii="Times New Roman" w:hAnsi="Times New Roman" w:eastAsia="Times New Roman" w:cs="Times New Roman"/>
                        <w:spacing w:val="1"/>
                        <w:sz w:val="19"/>
                        <w:szCs w:val="19"/>
                      </w:rPr>
                      <w:t xml:space="preserve">N2                 </w:t>
                    </w:r>
                    <w:r>
                      <w:rPr>
                        <w:rFonts w:ascii="Times New Roman" w:hAnsi="Times New Roman" w:eastAsia="Times New Roman" w:cs="Times New Roman"/>
                        <w:spacing w:val="1"/>
                        <w:position w:val="-3"/>
                        <w:sz w:val="19"/>
                        <w:szCs w:val="19"/>
                      </w:rPr>
                      <w:t>N4</w:t>
                    </w:r>
                  </w:p>
                  <w:p w14:paraId="2604FF38">
                    <w:pPr>
                      <w:spacing w:line="250" w:lineRule="auto"/>
                      <w:rPr>
                        <w:rFonts w:ascii="Arial"/>
                        <w:sz w:val="21"/>
                      </w:rPr>
                    </w:pPr>
                  </w:p>
                  <w:p w14:paraId="5BC11C50">
                    <w:pPr>
                      <w:spacing w:before="55" w:line="192" w:lineRule="auto"/>
                      <w:ind w:left="2010"/>
                      <w:rPr>
                        <w:rFonts w:ascii="Times New Roman" w:hAnsi="Times New Roman" w:eastAsia="Times New Roman" w:cs="Times New Roman"/>
                        <w:sz w:val="19"/>
                        <w:szCs w:val="19"/>
                      </w:rPr>
                    </w:pPr>
                    <w:r>
                      <w:rPr>
                        <w:rFonts w:ascii="Times New Roman" w:hAnsi="Times New Roman" w:eastAsia="Times New Roman" w:cs="Times New Roman"/>
                        <w:spacing w:val="-2"/>
                        <w:w w:val="95"/>
                        <w:sz w:val="19"/>
                        <w:szCs w:val="19"/>
                      </w:rPr>
                      <w:t>(R)AN</w:t>
                    </w:r>
                  </w:p>
                </w:txbxContent>
              </v:textbox>
            </v:shape>
            <v:shape id="_x0000_s1225" o:spid="_x0000_s1225" o:spt="202" type="#_x0000_t202" style="position:absolute;left:3549;top:2289;height:171;width:387;" filled="f" stroked="f" coordsize="21600,21600">
              <v:path/>
              <v:fill on="f" focussize="0,0"/>
              <v:stroke on="f"/>
              <v:imagedata o:title=""/>
              <o:lock v:ext="edit" aspectratio="f"/>
              <v:textbox inset="0mm,0mm,0mm,0mm">
                <w:txbxContent>
                  <w:p w14:paraId="68EB321A">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color w:val="FFFFFF"/>
                        <w:spacing w:val="-1"/>
                        <w:sz w:val="19"/>
                        <w:szCs w:val="19"/>
                      </w:rPr>
                      <w:t>UPF</w:t>
                    </w:r>
                  </w:p>
                </w:txbxContent>
              </v:textbox>
            </v:shape>
            <v:shape id="_x0000_s1226" o:spid="_x0000_s1226" o:spt="202" type="#_x0000_t202" style="position:absolute;left:4919;top:2280;height:170;width:312;" filled="f" stroked="f" coordsize="21600,21600">
              <v:path/>
              <v:fill on="f" focussize="0,0"/>
              <v:stroke on="f"/>
              <v:imagedata o:title=""/>
              <o:lock v:ext="edit" aspectratio="f"/>
              <v:textbox inset="0mm,0mm,0mm,0mm">
                <w:txbxContent>
                  <w:p w14:paraId="722CB826">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DN</w:t>
                    </w:r>
                  </w:p>
                </w:txbxContent>
              </v:textbox>
            </v:shape>
            <v:shape id="_x0000_s1227" o:spid="_x0000_s1227" o:spt="202" type="#_x0000_t202" style="position:absolute;left:1120;top:2289;height:171;width:292;" filled="f" stroked="f" coordsize="21600,21600">
              <v:path/>
              <v:fill on="f" focussize="0,0"/>
              <v:stroke on="f"/>
              <v:imagedata o:title=""/>
              <o:lock v:ext="edit" aspectratio="f"/>
              <v:textbox inset="0mm,0mm,0mm,0mm">
                <w:txbxContent>
                  <w:p w14:paraId="3F00563C">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UE</w:t>
                    </w:r>
                  </w:p>
                </w:txbxContent>
              </v:textbox>
            </v:shape>
            <v:shape id="_x0000_s1228" o:spid="_x0000_s1228" o:spt="202" type="#_x0000_t202" style="position:absolute;left:4269;top:2167;height:172;width:275;" filled="f" stroked="f" coordsize="21600,21600">
              <v:path/>
              <v:fill on="f" focussize="0,0"/>
              <v:stroke on="f"/>
              <v:imagedata o:title=""/>
              <o:lock v:ext="edit" aspectratio="f"/>
              <v:textbox inset="0mm,0mm,0mm,0mm">
                <w:txbxContent>
                  <w:p w14:paraId="3785717B">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N6</w:t>
                    </w:r>
                  </w:p>
                </w:txbxContent>
              </v:textbox>
            </v:shape>
            <v:shape id="_x0000_s1229" o:spid="_x0000_s1229" o:spt="202" type="#_x0000_t202" style="position:absolute;left:3139;top:2187;height:172;width:275;" filled="f" stroked="f" coordsize="21600,21600">
              <v:path/>
              <v:fill on="f" focussize="0,0"/>
              <v:stroke on="f"/>
              <v:imagedata o:title=""/>
              <o:lock v:ext="edit" aspectratio="f"/>
              <v:textbox inset="0mm,0mm,0mm,0mm">
                <w:txbxContent>
                  <w:p w14:paraId="6529A2C1">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N3</w:t>
                    </w:r>
                  </w:p>
                </w:txbxContent>
              </v:textbox>
            </v:shape>
            <w10:wrap type="none"/>
            <w10:anchorlock/>
          </v:group>
        </w:pict>
      </w:r>
    </w:p>
    <w:p w14:paraId="6D722770">
      <w:pPr>
        <w:pStyle w:val="2"/>
        <w:spacing w:before="77" w:line="219" w:lineRule="auto"/>
        <w:ind w:left="3119"/>
        <w:rPr>
          <w:sz w:val="19"/>
          <w:szCs w:val="19"/>
        </w:rPr>
      </w:pPr>
      <w:r>
        <w:rPr>
          <w:spacing w:val="4"/>
          <w:sz w:val="19"/>
          <w:szCs w:val="19"/>
        </w:rPr>
        <w:t>图3-</w:t>
      </w:r>
      <w:r>
        <w:rPr>
          <w:spacing w:val="-37"/>
          <w:sz w:val="19"/>
          <w:szCs w:val="19"/>
        </w:rPr>
        <w:t xml:space="preserve"> </w:t>
      </w:r>
      <w:r>
        <w:rPr>
          <w:spacing w:val="4"/>
          <w:sz w:val="19"/>
          <w:szCs w:val="19"/>
        </w:rPr>
        <w:t>115</w:t>
      </w:r>
      <w:r>
        <w:rPr>
          <w:rFonts w:ascii="Times New Roman" w:hAnsi="Times New Roman" w:eastAsia="Times New Roman" w:cs="Times New Roman"/>
          <w:spacing w:val="4"/>
          <w:sz w:val="19"/>
          <w:szCs w:val="19"/>
        </w:rPr>
        <w:t>G</w:t>
      </w:r>
      <w:r>
        <w:rPr>
          <w:spacing w:val="4"/>
          <w:sz w:val="19"/>
          <w:szCs w:val="19"/>
        </w:rPr>
        <w:t>网络架构模型</w:t>
      </w:r>
    </w:p>
    <w:p w14:paraId="3F05B59A">
      <w:pPr>
        <w:pStyle w:val="2"/>
        <w:spacing w:before="229" w:line="258" w:lineRule="auto"/>
        <w:ind w:left="669" w:right="305" w:hanging="290"/>
        <w:rPr>
          <w:sz w:val="19"/>
          <w:szCs w:val="19"/>
        </w:rPr>
      </w:pPr>
      <w:r>
        <w:rPr>
          <w:spacing w:val="8"/>
          <w:sz w:val="19"/>
          <w:szCs w:val="19"/>
        </w:rPr>
        <w:t>●</w:t>
      </w:r>
      <w:r>
        <w:rPr>
          <w:spacing w:val="-38"/>
          <w:sz w:val="19"/>
          <w:szCs w:val="19"/>
        </w:rPr>
        <w:t xml:space="preserve"> </w:t>
      </w:r>
      <w:r>
        <w:rPr>
          <w:spacing w:val="8"/>
          <w:sz w:val="19"/>
          <w:szCs w:val="19"/>
        </w:rPr>
        <w:t>用</w:t>
      </w:r>
      <w:r>
        <w:rPr>
          <w:spacing w:val="-41"/>
          <w:sz w:val="19"/>
          <w:szCs w:val="19"/>
        </w:rPr>
        <w:t xml:space="preserve"> </w:t>
      </w:r>
      <w:r>
        <w:rPr>
          <w:spacing w:val="8"/>
          <w:sz w:val="19"/>
          <w:szCs w:val="19"/>
        </w:rPr>
        <w:t>户</w:t>
      </w:r>
      <w:r>
        <w:rPr>
          <w:spacing w:val="-39"/>
          <w:sz w:val="19"/>
          <w:szCs w:val="19"/>
        </w:rPr>
        <w:t xml:space="preserve"> </w:t>
      </w:r>
      <w:r>
        <w:rPr>
          <w:spacing w:val="8"/>
          <w:sz w:val="19"/>
          <w:szCs w:val="19"/>
        </w:rPr>
        <w:t>设</w:t>
      </w:r>
      <w:r>
        <w:rPr>
          <w:spacing w:val="-40"/>
          <w:sz w:val="19"/>
          <w:szCs w:val="19"/>
        </w:rPr>
        <w:t xml:space="preserve"> </w:t>
      </w:r>
      <w:r>
        <w:rPr>
          <w:spacing w:val="8"/>
          <w:sz w:val="19"/>
          <w:szCs w:val="19"/>
        </w:rPr>
        <w:t>备</w:t>
      </w:r>
      <w:r>
        <w:rPr>
          <w:spacing w:val="-34"/>
          <w:sz w:val="19"/>
          <w:szCs w:val="19"/>
        </w:rPr>
        <w:t xml:space="preserve"> </w:t>
      </w:r>
      <w:r>
        <w:rPr>
          <w:spacing w:val="8"/>
          <w:sz w:val="19"/>
          <w:szCs w:val="19"/>
        </w:rPr>
        <w:t>(</w:t>
      </w:r>
      <w:r>
        <w:rPr>
          <w:sz w:val="19"/>
          <w:szCs w:val="19"/>
        </w:rPr>
        <w:t>User</w:t>
      </w:r>
      <w:r>
        <w:rPr>
          <w:spacing w:val="20"/>
          <w:sz w:val="19"/>
          <w:szCs w:val="19"/>
        </w:rPr>
        <w:t xml:space="preserve">    </w:t>
      </w:r>
      <w:r>
        <w:rPr>
          <w:sz w:val="19"/>
          <w:szCs w:val="19"/>
        </w:rPr>
        <w:t>Equipment</w:t>
      </w:r>
      <w:r>
        <w:rPr>
          <w:spacing w:val="8"/>
          <w:sz w:val="19"/>
          <w:szCs w:val="19"/>
        </w:rPr>
        <w:t>,</w:t>
      </w:r>
      <w:r>
        <w:rPr>
          <w:sz w:val="19"/>
          <w:szCs w:val="19"/>
        </w:rPr>
        <w:t>UE</w:t>
      </w:r>
      <w:r>
        <w:rPr>
          <w:spacing w:val="8"/>
          <w:sz w:val="19"/>
          <w:szCs w:val="19"/>
        </w:rPr>
        <w:t>),包括手机、计算机、各类物联网终端在内的各种接</w:t>
      </w:r>
      <w:r>
        <w:rPr>
          <w:sz w:val="19"/>
          <w:szCs w:val="19"/>
        </w:rPr>
        <w:t xml:space="preserve"> </w:t>
      </w:r>
      <w:r>
        <w:rPr>
          <w:spacing w:val="4"/>
          <w:sz w:val="19"/>
          <w:szCs w:val="19"/>
        </w:rPr>
        <w:t>入终端设备。</w:t>
      </w:r>
    </w:p>
    <w:p w14:paraId="2D13933B">
      <w:pPr>
        <w:pStyle w:val="2"/>
        <w:spacing w:before="92" w:line="216" w:lineRule="auto"/>
        <w:ind w:left="379"/>
        <w:rPr>
          <w:sz w:val="19"/>
          <w:szCs w:val="19"/>
        </w:rPr>
      </w:pPr>
      <w:r>
        <w:rPr>
          <w:spacing w:val="6"/>
          <w:sz w:val="19"/>
          <w:szCs w:val="19"/>
        </w:rPr>
        <w:t>●</w:t>
      </w:r>
      <w:r>
        <w:rPr>
          <w:spacing w:val="-38"/>
          <w:sz w:val="19"/>
          <w:szCs w:val="19"/>
        </w:rPr>
        <w:t xml:space="preserve"> </w:t>
      </w:r>
      <w:r>
        <w:rPr>
          <w:spacing w:val="6"/>
          <w:sz w:val="19"/>
          <w:szCs w:val="19"/>
        </w:rPr>
        <w:t>接</w:t>
      </w:r>
      <w:r>
        <w:rPr>
          <w:spacing w:val="-37"/>
          <w:sz w:val="19"/>
          <w:szCs w:val="19"/>
        </w:rPr>
        <w:t xml:space="preserve"> </w:t>
      </w:r>
      <w:r>
        <w:rPr>
          <w:spacing w:val="6"/>
          <w:sz w:val="19"/>
          <w:szCs w:val="19"/>
        </w:rPr>
        <w:t>入</w:t>
      </w:r>
      <w:r>
        <w:rPr>
          <w:spacing w:val="-22"/>
          <w:sz w:val="19"/>
          <w:szCs w:val="19"/>
        </w:rPr>
        <w:t xml:space="preserve"> </w:t>
      </w:r>
      <w:r>
        <w:rPr>
          <w:spacing w:val="6"/>
          <w:sz w:val="19"/>
          <w:szCs w:val="19"/>
        </w:rPr>
        <w:t>网</w:t>
      </w:r>
      <w:r>
        <w:rPr>
          <w:spacing w:val="-34"/>
          <w:sz w:val="19"/>
          <w:szCs w:val="19"/>
        </w:rPr>
        <w:t xml:space="preserve"> </w:t>
      </w:r>
      <w:r>
        <w:rPr>
          <w:spacing w:val="6"/>
          <w:sz w:val="19"/>
          <w:szCs w:val="19"/>
        </w:rPr>
        <w:t>(</w:t>
      </w:r>
      <w:r>
        <w:rPr>
          <w:sz w:val="19"/>
          <w:szCs w:val="19"/>
        </w:rPr>
        <w:t>Access</w:t>
      </w:r>
      <w:r>
        <w:rPr>
          <w:spacing w:val="6"/>
          <w:sz w:val="19"/>
          <w:szCs w:val="19"/>
        </w:rPr>
        <w:t xml:space="preserve">    </w:t>
      </w:r>
      <w:r>
        <w:rPr>
          <w:sz w:val="19"/>
          <w:szCs w:val="19"/>
        </w:rPr>
        <w:t>Network</w:t>
      </w:r>
      <w:r>
        <w:rPr>
          <w:spacing w:val="6"/>
          <w:sz w:val="19"/>
          <w:szCs w:val="19"/>
        </w:rPr>
        <w:t>,</w:t>
      </w:r>
      <w:r>
        <w:rPr>
          <w:sz w:val="19"/>
          <w:szCs w:val="19"/>
        </w:rPr>
        <w:t>AN</w:t>
      </w:r>
      <w:r>
        <w:rPr>
          <w:spacing w:val="6"/>
          <w:sz w:val="19"/>
          <w:szCs w:val="19"/>
        </w:rPr>
        <w:t>),指由业务节点接入到用户网络接口间的</w:t>
      </w:r>
      <w:r>
        <w:rPr>
          <w:spacing w:val="5"/>
          <w:sz w:val="19"/>
          <w:szCs w:val="19"/>
        </w:rPr>
        <w:t>传输网络。</w:t>
      </w:r>
    </w:p>
    <w:p w14:paraId="57950E09">
      <w:pPr>
        <w:pStyle w:val="2"/>
        <w:spacing w:before="85" w:line="272" w:lineRule="auto"/>
        <w:ind w:left="669" w:right="295" w:hanging="290"/>
        <w:rPr>
          <w:sz w:val="19"/>
          <w:szCs w:val="19"/>
        </w:rPr>
      </w:pPr>
      <w:r>
        <w:rPr>
          <w:spacing w:val="6"/>
          <w:sz w:val="19"/>
          <w:szCs w:val="19"/>
        </w:rPr>
        <w:t>●</w:t>
      </w:r>
      <w:r>
        <w:rPr>
          <w:spacing w:val="-37"/>
          <w:sz w:val="19"/>
          <w:szCs w:val="19"/>
        </w:rPr>
        <w:t xml:space="preserve"> </w:t>
      </w:r>
      <w:r>
        <w:rPr>
          <w:spacing w:val="6"/>
          <w:sz w:val="19"/>
          <w:szCs w:val="19"/>
        </w:rPr>
        <w:t>应用功能</w:t>
      </w:r>
      <w:r>
        <w:rPr>
          <w:spacing w:val="-15"/>
          <w:sz w:val="19"/>
          <w:szCs w:val="19"/>
        </w:rPr>
        <w:t xml:space="preserve"> </w:t>
      </w:r>
      <w:r>
        <w:rPr>
          <w:spacing w:val="6"/>
          <w:sz w:val="19"/>
          <w:szCs w:val="19"/>
        </w:rPr>
        <w:t>(</w:t>
      </w:r>
      <w:r>
        <w:rPr>
          <w:sz w:val="19"/>
          <w:szCs w:val="19"/>
        </w:rPr>
        <w:t>Application</w:t>
      </w:r>
      <w:r>
        <w:rPr>
          <w:spacing w:val="6"/>
          <w:sz w:val="19"/>
          <w:szCs w:val="19"/>
        </w:rPr>
        <w:t xml:space="preserve">   </w:t>
      </w:r>
      <w:r>
        <w:rPr>
          <w:sz w:val="19"/>
          <w:szCs w:val="19"/>
        </w:rPr>
        <w:t>Function</w:t>
      </w:r>
      <w:r>
        <w:rPr>
          <w:spacing w:val="6"/>
          <w:sz w:val="19"/>
          <w:szCs w:val="19"/>
        </w:rPr>
        <w:t>,</w:t>
      </w:r>
      <w:r>
        <w:rPr>
          <w:sz w:val="19"/>
          <w:szCs w:val="19"/>
        </w:rPr>
        <w:t>AF</w:t>
      </w:r>
      <w:r>
        <w:rPr>
          <w:spacing w:val="6"/>
          <w:sz w:val="19"/>
          <w:szCs w:val="19"/>
        </w:rPr>
        <w:t>),指应用层的各种服务功能，</w:t>
      </w:r>
      <w:r>
        <w:rPr>
          <w:spacing w:val="-25"/>
          <w:sz w:val="19"/>
          <w:szCs w:val="19"/>
        </w:rPr>
        <w:t xml:space="preserve"> </w:t>
      </w:r>
      <w:r>
        <w:rPr>
          <w:sz w:val="19"/>
          <w:szCs w:val="19"/>
        </w:rPr>
        <w:t>AF</w:t>
      </w:r>
      <w:r>
        <w:rPr>
          <w:spacing w:val="37"/>
          <w:sz w:val="19"/>
          <w:szCs w:val="19"/>
        </w:rPr>
        <w:t xml:space="preserve"> </w:t>
      </w:r>
      <w:r>
        <w:rPr>
          <w:spacing w:val="6"/>
          <w:sz w:val="19"/>
          <w:szCs w:val="19"/>
        </w:rPr>
        <w:t>与核心网交互以</w:t>
      </w:r>
      <w:r>
        <w:rPr>
          <w:sz w:val="19"/>
          <w:szCs w:val="19"/>
        </w:rPr>
        <w:t xml:space="preserve"> </w:t>
      </w:r>
      <w:r>
        <w:rPr>
          <w:spacing w:val="4"/>
          <w:sz w:val="19"/>
          <w:szCs w:val="19"/>
        </w:rPr>
        <w:t>提供各种服务。</w:t>
      </w:r>
    </w:p>
    <w:p w14:paraId="50CB887F">
      <w:pPr>
        <w:pStyle w:val="2"/>
        <w:spacing w:before="91" w:line="267" w:lineRule="auto"/>
        <w:ind w:left="669" w:right="304" w:hanging="290"/>
        <w:rPr>
          <w:sz w:val="19"/>
          <w:szCs w:val="19"/>
        </w:rPr>
      </w:pPr>
      <w:r>
        <w:rPr>
          <w:spacing w:val="8"/>
          <w:sz w:val="19"/>
          <w:szCs w:val="19"/>
        </w:rPr>
        <w:t>●</w:t>
      </w:r>
      <w:r>
        <w:rPr>
          <w:spacing w:val="-25"/>
          <w:sz w:val="19"/>
          <w:szCs w:val="19"/>
        </w:rPr>
        <w:t xml:space="preserve"> </w:t>
      </w:r>
      <w:r>
        <w:rPr>
          <w:spacing w:val="8"/>
          <w:sz w:val="19"/>
          <w:szCs w:val="19"/>
        </w:rPr>
        <w:t>数</w:t>
      </w:r>
      <w:r>
        <w:rPr>
          <w:spacing w:val="-43"/>
          <w:sz w:val="19"/>
          <w:szCs w:val="19"/>
        </w:rPr>
        <w:t xml:space="preserve"> </w:t>
      </w:r>
      <w:r>
        <w:rPr>
          <w:spacing w:val="8"/>
          <w:sz w:val="19"/>
          <w:szCs w:val="19"/>
        </w:rPr>
        <w:t>据</w:t>
      </w:r>
      <w:r>
        <w:rPr>
          <w:spacing w:val="-27"/>
          <w:sz w:val="19"/>
          <w:szCs w:val="19"/>
        </w:rPr>
        <w:t xml:space="preserve"> </w:t>
      </w:r>
      <w:r>
        <w:rPr>
          <w:spacing w:val="8"/>
          <w:sz w:val="19"/>
          <w:szCs w:val="19"/>
        </w:rPr>
        <w:t>网</w:t>
      </w:r>
      <w:r>
        <w:rPr>
          <w:spacing w:val="-41"/>
          <w:sz w:val="19"/>
          <w:szCs w:val="19"/>
        </w:rPr>
        <w:t xml:space="preserve"> </w:t>
      </w:r>
      <w:r>
        <w:rPr>
          <w:spacing w:val="8"/>
          <w:sz w:val="19"/>
          <w:szCs w:val="19"/>
        </w:rPr>
        <w:t>络(</w:t>
      </w:r>
      <w:r>
        <w:rPr>
          <w:sz w:val="19"/>
          <w:szCs w:val="19"/>
        </w:rPr>
        <w:t>Data     Network</w:t>
      </w:r>
      <w:r>
        <w:rPr>
          <w:spacing w:val="8"/>
          <w:sz w:val="19"/>
          <w:szCs w:val="19"/>
        </w:rPr>
        <w:t>,</w:t>
      </w:r>
      <w:r>
        <w:rPr>
          <w:sz w:val="19"/>
          <w:szCs w:val="19"/>
        </w:rPr>
        <w:t>DN</w:t>
      </w:r>
      <w:r>
        <w:rPr>
          <w:spacing w:val="8"/>
          <w:sz w:val="19"/>
          <w:szCs w:val="19"/>
        </w:rPr>
        <w:t>),指 5G 系统可以对接的其他运营商网络、企业网或者</w:t>
      </w:r>
      <w:r>
        <w:rPr>
          <w:spacing w:val="1"/>
          <w:sz w:val="19"/>
          <w:szCs w:val="19"/>
        </w:rPr>
        <w:t xml:space="preserve"> </w:t>
      </w:r>
      <w:r>
        <w:rPr>
          <w:spacing w:val="5"/>
          <w:sz w:val="19"/>
          <w:szCs w:val="19"/>
        </w:rPr>
        <w:t>互联网上的网络服务。</w:t>
      </w:r>
    </w:p>
    <w:p w14:paraId="20412180">
      <w:pPr>
        <w:pStyle w:val="2"/>
        <w:spacing w:before="89" w:line="263" w:lineRule="auto"/>
        <w:ind w:left="669" w:right="303" w:hanging="290"/>
        <w:rPr>
          <w:sz w:val="19"/>
          <w:szCs w:val="19"/>
        </w:rPr>
      </w:pPr>
      <w:r>
        <w:rPr>
          <w:spacing w:val="14"/>
          <w:sz w:val="19"/>
          <w:szCs w:val="19"/>
        </w:rPr>
        <w:t>●</w:t>
      </w:r>
      <w:r>
        <w:rPr>
          <w:spacing w:val="-60"/>
          <w:sz w:val="19"/>
          <w:szCs w:val="19"/>
        </w:rPr>
        <w:t xml:space="preserve"> </w:t>
      </w:r>
      <w:r>
        <w:rPr>
          <w:spacing w:val="14"/>
          <w:sz w:val="19"/>
          <w:szCs w:val="19"/>
        </w:rPr>
        <w:t>接入及移动性管理功能</w:t>
      </w:r>
      <w:r>
        <w:rPr>
          <w:spacing w:val="-34"/>
          <w:sz w:val="19"/>
          <w:szCs w:val="19"/>
        </w:rPr>
        <w:t xml:space="preserve"> </w:t>
      </w:r>
      <w:r>
        <w:rPr>
          <w:spacing w:val="14"/>
          <w:sz w:val="19"/>
          <w:szCs w:val="19"/>
        </w:rPr>
        <w:t>(</w:t>
      </w:r>
      <w:r>
        <w:rPr>
          <w:sz w:val="19"/>
          <w:szCs w:val="19"/>
        </w:rPr>
        <w:t>Access</w:t>
      </w:r>
      <w:r>
        <w:rPr>
          <w:spacing w:val="80"/>
          <w:sz w:val="19"/>
          <w:szCs w:val="19"/>
        </w:rPr>
        <w:t xml:space="preserve"> </w:t>
      </w:r>
      <w:r>
        <w:rPr>
          <w:sz w:val="19"/>
          <w:szCs w:val="19"/>
        </w:rPr>
        <w:t>and</w:t>
      </w:r>
      <w:r>
        <w:rPr>
          <w:spacing w:val="74"/>
          <w:sz w:val="19"/>
          <w:szCs w:val="19"/>
        </w:rPr>
        <w:t xml:space="preserve"> </w:t>
      </w:r>
      <w:r>
        <w:rPr>
          <w:sz w:val="19"/>
          <w:szCs w:val="19"/>
        </w:rPr>
        <w:t>Mobility</w:t>
      </w:r>
      <w:r>
        <w:rPr>
          <w:spacing w:val="74"/>
          <w:sz w:val="19"/>
          <w:szCs w:val="19"/>
        </w:rPr>
        <w:t xml:space="preserve"> </w:t>
      </w:r>
      <w:r>
        <w:rPr>
          <w:sz w:val="19"/>
          <w:szCs w:val="19"/>
        </w:rPr>
        <w:t>Management</w:t>
      </w:r>
      <w:r>
        <w:rPr>
          <w:spacing w:val="77"/>
          <w:sz w:val="19"/>
          <w:szCs w:val="19"/>
        </w:rPr>
        <w:t xml:space="preserve"> </w:t>
      </w:r>
      <w:r>
        <w:rPr>
          <w:sz w:val="19"/>
          <w:szCs w:val="19"/>
        </w:rPr>
        <w:t>Function</w:t>
      </w:r>
      <w:r>
        <w:rPr>
          <w:spacing w:val="14"/>
          <w:sz w:val="19"/>
          <w:szCs w:val="19"/>
        </w:rPr>
        <w:t>,</w:t>
      </w:r>
      <w:r>
        <w:rPr>
          <w:sz w:val="19"/>
          <w:szCs w:val="19"/>
        </w:rPr>
        <w:t>AMF</w:t>
      </w:r>
      <w:r>
        <w:rPr>
          <w:spacing w:val="14"/>
          <w:sz w:val="19"/>
          <w:szCs w:val="19"/>
        </w:rPr>
        <w:t>),</w:t>
      </w:r>
      <w:r>
        <w:rPr>
          <w:spacing w:val="-54"/>
          <w:sz w:val="19"/>
          <w:szCs w:val="19"/>
        </w:rPr>
        <w:t xml:space="preserve"> </w:t>
      </w:r>
      <w:r>
        <w:rPr>
          <w:spacing w:val="14"/>
          <w:sz w:val="19"/>
          <w:szCs w:val="19"/>
        </w:rPr>
        <w:t>实现终端</w:t>
      </w:r>
      <w:r>
        <w:rPr>
          <w:sz w:val="19"/>
          <w:szCs w:val="19"/>
        </w:rPr>
        <w:t xml:space="preserve"> </w:t>
      </w:r>
      <w:r>
        <w:rPr>
          <w:spacing w:val="12"/>
          <w:sz w:val="19"/>
          <w:szCs w:val="19"/>
        </w:rPr>
        <w:t>用户的接入和移动性管理，类似4</w:t>
      </w:r>
      <w:r>
        <w:rPr>
          <w:rFonts w:ascii="Times New Roman" w:hAnsi="Times New Roman" w:eastAsia="Times New Roman" w:cs="Times New Roman"/>
          <w:spacing w:val="12"/>
          <w:sz w:val="19"/>
          <w:szCs w:val="19"/>
        </w:rPr>
        <w:t xml:space="preserve">G </w:t>
      </w:r>
      <w:r>
        <w:rPr>
          <w:spacing w:val="12"/>
          <w:sz w:val="19"/>
          <w:szCs w:val="19"/>
        </w:rPr>
        <w:t>核心网中的</w:t>
      </w:r>
      <w:r>
        <w:rPr>
          <w:rFonts w:ascii="Times New Roman" w:hAnsi="Times New Roman" w:eastAsia="Times New Roman" w:cs="Times New Roman"/>
          <w:sz w:val="19"/>
          <w:szCs w:val="19"/>
        </w:rPr>
        <w:t>MME</w:t>
      </w:r>
      <w:r>
        <w:rPr>
          <w:rFonts w:ascii="Times New Roman" w:hAnsi="Times New Roman" w:eastAsia="Times New Roman" w:cs="Times New Roman"/>
          <w:spacing w:val="12"/>
          <w:sz w:val="19"/>
          <w:szCs w:val="19"/>
        </w:rPr>
        <w:t xml:space="preserve">  </w:t>
      </w:r>
      <w:r>
        <w:rPr>
          <w:spacing w:val="12"/>
          <w:sz w:val="19"/>
          <w:szCs w:val="19"/>
        </w:rPr>
        <w:t>(移动性管理实体)。</w:t>
      </w:r>
    </w:p>
    <w:p w14:paraId="768ED287">
      <w:pPr>
        <w:pStyle w:val="2"/>
        <w:spacing w:before="78" w:line="282" w:lineRule="auto"/>
        <w:ind w:left="669" w:right="289" w:hanging="290"/>
        <w:rPr>
          <w:sz w:val="19"/>
          <w:szCs w:val="19"/>
        </w:rPr>
      </w:pPr>
      <w:r>
        <w:rPr>
          <w:spacing w:val="19"/>
          <w:sz w:val="19"/>
          <w:szCs w:val="19"/>
        </w:rPr>
        <w:t>●</w:t>
      </w:r>
      <w:r>
        <w:rPr>
          <w:spacing w:val="-48"/>
          <w:sz w:val="19"/>
          <w:szCs w:val="19"/>
        </w:rPr>
        <w:t xml:space="preserve"> </w:t>
      </w:r>
      <w:r>
        <w:rPr>
          <w:spacing w:val="19"/>
          <w:sz w:val="19"/>
          <w:szCs w:val="19"/>
        </w:rPr>
        <w:t>会话管理功能</w:t>
      </w:r>
      <w:r>
        <w:rPr>
          <w:spacing w:val="-35"/>
          <w:sz w:val="19"/>
          <w:szCs w:val="19"/>
        </w:rPr>
        <w:t xml:space="preserve"> </w:t>
      </w:r>
      <w:r>
        <w:rPr>
          <w:spacing w:val="19"/>
          <w:sz w:val="19"/>
          <w:szCs w:val="19"/>
        </w:rPr>
        <w:t>(</w:t>
      </w:r>
      <w:r>
        <w:rPr>
          <w:sz w:val="19"/>
          <w:szCs w:val="19"/>
        </w:rPr>
        <w:t>Session</w:t>
      </w:r>
      <w:r>
        <w:rPr>
          <w:spacing w:val="36"/>
          <w:sz w:val="19"/>
          <w:szCs w:val="19"/>
        </w:rPr>
        <w:t xml:space="preserve">  </w:t>
      </w:r>
      <w:r>
        <w:rPr>
          <w:sz w:val="19"/>
          <w:szCs w:val="19"/>
        </w:rPr>
        <w:t>Management</w:t>
      </w:r>
      <w:r>
        <w:rPr>
          <w:spacing w:val="37"/>
          <w:sz w:val="19"/>
          <w:szCs w:val="19"/>
        </w:rPr>
        <w:t xml:space="preserve">  </w:t>
      </w:r>
      <w:r>
        <w:rPr>
          <w:sz w:val="19"/>
          <w:szCs w:val="19"/>
        </w:rPr>
        <w:t>Function</w:t>
      </w:r>
      <w:r>
        <w:rPr>
          <w:spacing w:val="19"/>
          <w:sz w:val="19"/>
          <w:szCs w:val="19"/>
        </w:rPr>
        <w:t>,</w:t>
      </w:r>
      <w:r>
        <w:rPr>
          <w:sz w:val="19"/>
          <w:szCs w:val="19"/>
        </w:rPr>
        <w:t>SMF</w:t>
      </w:r>
      <w:r>
        <w:rPr>
          <w:spacing w:val="19"/>
          <w:sz w:val="19"/>
          <w:szCs w:val="19"/>
        </w:rPr>
        <w:t>),用以实现会话管理，支</w:t>
      </w:r>
      <w:r>
        <w:rPr>
          <w:spacing w:val="18"/>
          <w:sz w:val="19"/>
          <w:szCs w:val="19"/>
        </w:rPr>
        <w:t>持会话</w:t>
      </w:r>
      <w:r>
        <w:rPr>
          <w:sz w:val="19"/>
          <w:szCs w:val="19"/>
        </w:rPr>
        <w:t xml:space="preserve"> </w:t>
      </w:r>
      <w:r>
        <w:rPr>
          <w:spacing w:val="13"/>
          <w:sz w:val="19"/>
          <w:szCs w:val="19"/>
        </w:rPr>
        <w:t>的建立、修改和释放，</w:t>
      </w:r>
      <w:r>
        <w:rPr>
          <w:rFonts w:ascii="Times New Roman" w:hAnsi="Times New Roman" w:eastAsia="Times New Roman" w:cs="Times New Roman"/>
          <w:sz w:val="19"/>
          <w:szCs w:val="19"/>
        </w:rPr>
        <w:t>UE</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z w:val="19"/>
          <w:szCs w:val="19"/>
        </w:rPr>
        <w:t>IP</w:t>
      </w:r>
      <w:r>
        <w:rPr>
          <w:spacing w:val="13"/>
          <w:sz w:val="19"/>
          <w:szCs w:val="19"/>
        </w:rPr>
        <w:t>地址的分配和管理等，其作用相当于4</w:t>
      </w:r>
      <w:r>
        <w:rPr>
          <w:rFonts w:ascii="Times New Roman" w:hAnsi="Times New Roman" w:eastAsia="Times New Roman" w:cs="Times New Roman"/>
          <w:spacing w:val="13"/>
          <w:sz w:val="19"/>
          <w:szCs w:val="19"/>
        </w:rPr>
        <w:t>G</w:t>
      </w:r>
      <w:r>
        <w:rPr>
          <w:rFonts w:ascii="Times New Roman" w:hAnsi="Times New Roman" w:eastAsia="Times New Roman" w:cs="Times New Roman"/>
          <w:spacing w:val="-5"/>
          <w:sz w:val="19"/>
          <w:szCs w:val="19"/>
        </w:rPr>
        <w:t xml:space="preserve"> </w:t>
      </w:r>
      <w:r>
        <w:rPr>
          <w:spacing w:val="13"/>
          <w:sz w:val="19"/>
          <w:szCs w:val="19"/>
        </w:rPr>
        <w:t>核心网中</w:t>
      </w:r>
      <w:r>
        <w:rPr>
          <w:rFonts w:ascii="Times New Roman" w:hAnsi="Times New Roman" w:eastAsia="Times New Roman" w:cs="Times New Roman"/>
          <w:sz w:val="19"/>
          <w:szCs w:val="19"/>
        </w:rPr>
        <w:t>MME</w:t>
      </w:r>
      <w:r>
        <w:rPr>
          <w:spacing w:val="13"/>
          <w:sz w:val="19"/>
          <w:szCs w:val="19"/>
        </w:rPr>
        <w:t>、</w:t>
      </w:r>
      <w:r>
        <w:rPr>
          <w:sz w:val="19"/>
          <w:szCs w:val="19"/>
        </w:rPr>
        <w:t xml:space="preserve"> </w:t>
      </w:r>
      <w:r>
        <w:rPr>
          <w:rFonts w:ascii="Times New Roman" w:hAnsi="Times New Roman" w:eastAsia="Times New Roman" w:cs="Times New Roman"/>
          <w:spacing w:val="2"/>
          <w:sz w:val="19"/>
          <w:szCs w:val="19"/>
        </w:rPr>
        <w:t>S-</w:t>
      </w:r>
      <w:r>
        <w:rPr>
          <w:rFonts w:ascii="Times New Roman" w:hAnsi="Times New Roman" w:eastAsia="Times New Roman" w:cs="Times New Roman"/>
          <w:sz w:val="19"/>
          <w:szCs w:val="19"/>
        </w:rPr>
        <w:t>GW</w:t>
      </w:r>
      <w:r>
        <w:rPr>
          <w:rFonts w:ascii="Times New Roman" w:hAnsi="Times New Roman" w:eastAsia="Times New Roman" w:cs="Times New Roman"/>
          <w:spacing w:val="42"/>
          <w:sz w:val="19"/>
          <w:szCs w:val="19"/>
        </w:rPr>
        <w:t xml:space="preserve"> </w:t>
      </w:r>
      <w:r>
        <w:rPr>
          <w:spacing w:val="2"/>
          <w:sz w:val="19"/>
          <w:szCs w:val="19"/>
        </w:rPr>
        <w:t>和</w:t>
      </w:r>
      <w:r>
        <w:rPr>
          <w:spacing w:val="-37"/>
          <w:sz w:val="19"/>
          <w:szCs w:val="19"/>
        </w:rPr>
        <w:t xml:space="preserve"> </w:t>
      </w:r>
      <w:r>
        <w:rPr>
          <w:rFonts w:ascii="Times New Roman" w:hAnsi="Times New Roman" w:eastAsia="Times New Roman" w:cs="Times New Roman"/>
          <w:spacing w:val="2"/>
          <w:sz w:val="19"/>
          <w:szCs w:val="19"/>
        </w:rPr>
        <w:t>P-</w:t>
      </w:r>
      <w:r>
        <w:rPr>
          <w:rFonts w:ascii="Times New Roman" w:hAnsi="Times New Roman" w:eastAsia="Times New Roman" w:cs="Times New Roman"/>
          <w:sz w:val="19"/>
          <w:szCs w:val="19"/>
        </w:rPr>
        <w:t>GW</w:t>
      </w:r>
      <w:r>
        <w:rPr>
          <w:rFonts w:ascii="Times New Roman" w:hAnsi="Times New Roman" w:eastAsia="Times New Roman" w:cs="Times New Roman"/>
          <w:spacing w:val="2"/>
          <w:sz w:val="19"/>
          <w:szCs w:val="19"/>
        </w:rPr>
        <w:t xml:space="preserve">  </w:t>
      </w:r>
      <w:r>
        <w:rPr>
          <w:spacing w:val="2"/>
          <w:sz w:val="19"/>
          <w:szCs w:val="19"/>
        </w:rPr>
        <w:t>的会话管理功能。</w:t>
      </w:r>
    </w:p>
    <w:p w14:paraId="01D3AA86">
      <w:pPr>
        <w:pStyle w:val="2"/>
        <w:spacing w:before="82" w:line="282" w:lineRule="auto"/>
        <w:ind w:left="669" w:right="237" w:hanging="290"/>
        <w:rPr>
          <w:sz w:val="19"/>
          <w:szCs w:val="19"/>
        </w:rPr>
      </w:pPr>
      <w:r>
        <w:rPr>
          <w:spacing w:val="12"/>
          <w:sz w:val="19"/>
          <w:szCs w:val="19"/>
        </w:rPr>
        <w:t>●</w:t>
      </w:r>
      <w:r>
        <w:rPr>
          <w:spacing w:val="-49"/>
          <w:sz w:val="19"/>
          <w:szCs w:val="19"/>
        </w:rPr>
        <w:t xml:space="preserve"> </w:t>
      </w:r>
      <w:r>
        <w:rPr>
          <w:spacing w:val="12"/>
          <w:sz w:val="19"/>
          <w:szCs w:val="19"/>
        </w:rPr>
        <w:t>用户面功能(</w:t>
      </w:r>
      <w:r>
        <w:rPr>
          <w:sz w:val="19"/>
          <w:szCs w:val="19"/>
        </w:rPr>
        <w:t>User</w:t>
      </w:r>
      <w:r>
        <w:rPr>
          <w:spacing w:val="77"/>
          <w:sz w:val="19"/>
          <w:szCs w:val="19"/>
        </w:rPr>
        <w:t xml:space="preserve"> </w:t>
      </w:r>
      <w:r>
        <w:rPr>
          <w:sz w:val="19"/>
          <w:szCs w:val="19"/>
        </w:rPr>
        <w:t>Plane</w:t>
      </w:r>
      <w:r>
        <w:rPr>
          <w:spacing w:val="76"/>
          <w:sz w:val="19"/>
          <w:szCs w:val="19"/>
        </w:rPr>
        <w:t xml:space="preserve"> </w:t>
      </w:r>
      <w:r>
        <w:rPr>
          <w:sz w:val="19"/>
          <w:szCs w:val="19"/>
        </w:rPr>
        <w:t>Function</w:t>
      </w:r>
      <w:r>
        <w:rPr>
          <w:spacing w:val="12"/>
          <w:sz w:val="19"/>
          <w:szCs w:val="19"/>
        </w:rPr>
        <w:t>,</w:t>
      </w:r>
      <w:r>
        <w:rPr>
          <w:sz w:val="19"/>
          <w:szCs w:val="19"/>
        </w:rPr>
        <w:t>UPF</w:t>
      </w:r>
      <w:r>
        <w:rPr>
          <w:spacing w:val="12"/>
          <w:sz w:val="19"/>
          <w:szCs w:val="19"/>
        </w:rPr>
        <w:t>),5G核心网中所有的用户面</w:t>
      </w:r>
      <w:r>
        <w:rPr>
          <w:spacing w:val="11"/>
          <w:sz w:val="19"/>
          <w:szCs w:val="19"/>
        </w:rPr>
        <w:t>功能都由</w:t>
      </w:r>
      <w:r>
        <w:rPr>
          <w:sz w:val="19"/>
          <w:szCs w:val="19"/>
        </w:rPr>
        <w:t>UPF</w:t>
      </w:r>
      <w:r>
        <w:rPr>
          <w:spacing w:val="44"/>
          <w:sz w:val="19"/>
          <w:szCs w:val="19"/>
        </w:rPr>
        <w:t xml:space="preserve"> </w:t>
      </w:r>
      <w:r>
        <w:rPr>
          <w:spacing w:val="11"/>
          <w:sz w:val="19"/>
          <w:szCs w:val="19"/>
        </w:rPr>
        <w:t>完成，</w:t>
      </w:r>
      <w:r>
        <w:rPr>
          <w:sz w:val="19"/>
          <w:szCs w:val="19"/>
        </w:rPr>
        <w:t xml:space="preserve"> </w:t>
      </w:r>
      <w:r>
        <w:rPr>
          <w:spacing w:val="13"/>
          <w:sz w:val="19"/>
          <w:szCs w:val="19"/>
        </w:rPr>
        <w:t>包括分组路由和转发、外部</w:t>
      </w:r>
      <w:r>
        <w:rPr>
          <w:rFonts w:ascii="Times New Roman" w:hAnsi="Times New Roman" w:eastAsia="Times New Roman" w:cs="Times New Roman"/>
          <w:sz w:val="19"/>
          <w:szCs w:val="19"/>
        </w:rPr>
        <w:t>PDU</w:t>
      </w:r>
      <w:r>
        <w:rPr>
          <w:rFonts w:ascii="Times New Roman" w:hAnsi="Times New Roman" w:eastAsia="Times New Roman" w:cs="Times New Roman"/>
          <w:spacing w:val="41"/>
          <w:w w:val="101"/>
          <w:sz w:val="19"/>
          <w:szCs w:val="19"/>
        </w:rPr>
        <w:t xml:space="preserve"> </w:t>
      </w:r>
      <w:r>
        <w:rPr>
          <w:spacing w:val="13"/>
          <w:sz w:val="19"/>
          <w:szCs w:val="19"/>
        </w:rPr>
        <w:t>与数据网络互连的会话点等，相当于4</w:t>
      </w:r>
      <w:r>
        <w:rPr>
          <w:rFonts w:ascii="Times New Roman" w:hAnsi="Times New Roman" w:eastAsia="Times New Roman" w:cs="Times New Roman"/>
          <w:spacing w:val="13"/>
          <w:sz w:val="19"/>
          <w:szCs w:val="19"/>
        </w:rPr>
        <w:t xml:space="preserve">G </w:t>
      </w:r>
      <w:r>
        <w:rPr>
          <w:spacing w:val="13"/>
          <w:sz w:val="19"/>
          <w:szCs w:val="19"/>
        </w:rPr>
        <w:t>核心网</w:t>
      </w:r>
      <w:r>
        <w:rPr>
          <w:rFonts w:ascii="Times New Roman" w:hAnsi="Times New Roman" w:eastAsia="Times New Roman" w:cs="Times New Roman"/>
          <w:spacing w:val="13"/>
          <w:sz w:val="19"/>
          <w:szCs w:val="19"/>
        </w:rPr>
        <w:t>S-</w:t>
      </w:r>
      <w:r>
        <w:rPr>
          <w:rFonts w:ascii="Times New Roman" w:hAnsi="Times New Roman" w:eastAsia="Times New Roman" w:cs="Times New Roman"/>
          <w:sz w:val="19"/>
          <w:szCs w:val="19"/>
        </w:rPr>
        <w:t xml:space="preserve">GW   </w:t>
      </w:r>
      <w:r>
        <w:rPr>
          <w:spacing w:val="3"/>
          <w:sz w:val="19"/>
          <w:szCs w:val="19"/>
        </w:rPr>
        <w:t>和</w:t>
      </w:r>
      <w:r>
        <w:rPr>
          <w:spacing w:val="-51"/>
          <w:sz w:val="19"/>
          <w:szCs w:val="19"/>
        </w:rPr>
        <w:t xml:space="preserve"> </w:t>
      </w:r>
      <w:r>
        <w:rPr>
          <w:rFonts w:ascii="Times New Roman" w:hAnsi="Times New Roman" w:eastAsia="Times New Roman" w:cs="Times New Roman"/>
          <w:spacing w:val="3"/>
          <w:sz w:val="19"/>
          <w:szCs w:val="19"/>
        </w:rPr>
        <w:t>P-</w:t>
      </w:r>
      <w:r>
        <w:rPr>
          <w:rFonts w:ascii="Times New Roman" w:hAnsi="Times New Roman" w:eastAsia="Times New Roman" w:cs="Times New Roman"/>
          <w:sz w:val="19"/>
          <w:szCs w:val="19"/>
        </w:rPr>
        <w:t>GW</w:t>
      </w:r>
      <w:r>
        <w:rPr>
          <w:rFonts w:ascii="Times New Roman" w:hAnsi="Times New Roman" w:eastAsia="Times New Roman" w:cs="Times New Roman"/>
          <w:spacing w:val="3"/>
          <w:sz w:val="19"/>
          <w:szCs w:val="19"/>
        </w:rPr>
        <w:t xml:space="preserve">  </w:t>
      </w:r>
      <w:r>
        <w:rPr>
          <w:spacing w:val="3"/>
          <w:sz w:val="19"/>
          <w:szCs w:val="19"/>
        </w:rPr>
        <w:t>中的用户面功能。</w:t>
      </w:r>
    </w:p>
    <w:p w14:paraId="4CDA3185">
      <w:pPr>
        <w:pStyle w:val="2"/>
        <w:spacing w:before="67" w:line="280" w:lineRule="auto"/>
        <w:ind w:left="669" w:right="362" w:hanging="290"/>
        <w:rPr>
          <w:sz w:val="19"/>
          <w:szCs w:val="19"/>
        </w:rPr>
      </w:pPr>
      <w:r>
        <w:rPr>
          <w:spacing w:val="11"/>
          <w:sz w:val="19"/>
          <w:szCs w:val="19"/>
        </w:rPr>
        <w:t>●</w:t>
      </w:r>
      <w:r>
        <w:rPr>
          <w:spacing w:val="-38"/>
          <w:sz w:val="19"/>
          <w:szCs w:val="19"/>
        </w:rPr>
        <w:t xml:space="preserve"> </w:t>
      </w:r>
      <w:r>
        <w:rPr>
          <w:spacing w:val="11"/>
          <w:sz w:val="19"/>
          <w:szCs w:val="19"/>
        </w:rPr>
        <w:t>统</w:t>
      </w:r>
      <w:r>
        <w:rPr>
          <w:spacing w:val="-57"/>
          <w:sz w:val="19"/>
          <w:szCs w:val="19"/>
        </w:rPr>
        <w:t xml:space="preserve"> </w:t>
      </w:r>
      <w:r>
        <w:rPr>
          <w:spacing w:val="11"/>
          <w:sz w:val="19"/>
          <w:szCs w:val="19"/>
        </w:rPr>
        <w:t>一数据管理功能(</w:t>
      </w:r>
      <w:r>
        <w:rPr>
          <w:sz w:val="19"/>
          <w:szCs w:val="19"/>
        </w:rPr>
        <w:t>Unified</w:t>
      </w:r>
      <w:r>
        <w:rPr>
          <w:spacing w:val="11"/>
          <w:sz w:val="19"/>
          <w:szCs w:val="19"/>
        </w:rPr>
        <w:t xml:space="preserve">   </w:t>
      </w:r>
      <w:r>
        <w:rPr>
          <w:sz w:val="19"/>
          <w:szCs w:val="19"/>
        </w:rPr>
        <w:t>Data</w:t>
      </w:r>
      <w:r>
        <w:rPr>
          <w:spacing w:val="11"/>
          <w:sz w:val="19"/>
          <w:szCs w:val="19"/>
        </w:rPr>
        <w:t xml:space="preserve">   </w:t>
      </w:r>
      <w:r>
        <w:rPr>
          <w:sz w:val="19"/>
          <w:szCs w:val="19"/>
        </w:rPr>
        <w:t>Management</w:t>
      </w:r>
      <w:r>
        <w:rPr>
          <w:spacing w:val="11"/>
          <w:sz w:val="19"/>
          <w:szCs w:val="19"/>
        </w:rPr>
        <w:t>,</w:t>
      </w:r>
      <w:r>
        <w:rPr>
          <w:sz w:val="19"/>
          <w:szCs w:val="19"/>
        </w:rPr>
        <w:t>UDM</w:t>
      </w:r>
      <w:r>
        <w:rPr>
          <w:spacing w:val="11"/>
          <w:sz w:val="19"/>
          <w:szCs w:val="19"/>
        </w:rPr>
        <w:t>),用于管理用户数据，相当于4G</w:t>
      </w:r>
      <w:r>
        <w:rPr>
          <w:sz w:val="19"/>
          <w:szCs w:val="19"/>
        </w:rPr>
        <w:t xml:space="preserve"> </w:t>
      </w:r>
      <w:r>
        <w:rPr>
          <w:spacing w:val="8"/>
          <w:sz w:val="19"/>
          <w:szCs w:val="19"/>
        </w:rPr>
        <w:t>核心网归属用户服务器(</w:t>
      </w:r>
      <w:r>
        <w:rPr>
          <w:sz w:val="19"/>
          <w:szCs w:val="19"/>
        </w:rPr>
        <w:t>Home</w:t>
      </w:r>
      <w:r>
        <w:rPr>
          <w:spacing w:val="8"/>
          <w:sz w:val="19"/>
          <w:szCs w:val="19"/>
        </w:rPr>
        <w:t xml:space="preserve">  </w:t>
      </w:r>
      <w:r>
        <w:rPr>
          <w:sz w:val="19"/>
          <w:szCs w:val="19"/>
        </w:rPr>
        <w:t>Subscriber</w:t>
      </w:r>
      <w:r>
        <w:rPr>
          <w:spacing w:val="8"/>
          <w:sz w:val="19"/>
          <w:szCs w:val="19"/>
        </w:rPr>
        <w:t xml:space="preserve">  </w:t>
      </w:r>
      <w:r>
        <w:rPr>
          <w:sz w:val="19"/>
          <w:szCs w:val="19"/>
        </w:rPr>
        <w:t>Server</w:t>
      </w:r>
      <w:r>
        <w:rPr>
          <w:spacing w:val="8"/>
          <w:sz w:val="19"/>
          <w:szCs w:val="19"/>
        </w:rPr>
        <w:t>,</w:t>
      </w:r>
      <w:r>
        <w:rPr>
          <w:sz w:val="19"/>
          <w:szCs w:val="19"/>
        </w:rPr>
        <w:t>HSS</w:t>
      </w:r>
      <w:r>
        <w:rPr>
          <w:spacing w:val="8"/>
          <w:sz w:val="19"/>
          <w:szCs w:val="19"/>
        </w:rPr>
        <w:t>)</w:t>
      </w:r>
      <w:r>
        <w:rPr>
          <w:spacing w:val="-56"/>
          <w:sz w:val="19"/>
          <w:szCs w:val="19"/>
        </w:rPr>
        <w:t xml:space="preserve"> </w:t>
      </w:r>
      <w:r>
        <w:rPr>
          <w:spacing w:val="8"/>
          <w:sz w:val="19"/>
          <w:szCs w:val="19"/>
        </w:rPr>
        <w:t>中的用户数据管理功能。</w:t>
      </w:r>
    </w:p>
    <w:p w14:paraId="4A898A35">
      <w:pPr>
        <w:pStyle w:val="2"/>
        <w:spacing w:before="67" w:line="276" w:lineRule="auto"/>
        <w:ind w:left="669" w:right="362" w:hanging="290"/>
        <w:rPr>
          <w:sz w:val="19"/>
          <w:szCs w:val="19"/>
        </w:rPr>
      </w:pPr>
      <w:r>
        <w:rPr>
          <w:spacing w:val="10"/>
          <w:sz w:val="19"/>
          <w:szCs w:val="19"/>
        </w:rPr>
        <w:t>●</w:t>
      </w:r>
      <w:r>
        <w:rPr>
          <w:spacing w:val="-49"/>
          <w:sz w:val="19"/>
          <w:szCs w:val="19"/>
        </w:rPr>
        <w:t xml:space="preserve"> </w:t>
      </w:r>
      <w:r>
        <w:rPr>
          <w:spacing w:val="10"/>
          <w:sz w:val="19"/>
          <w:szCs w:val="19"/>
        </w:rPr>
        <w:t>鉴权服务功能</w:t>
      </w:r>
      <w:r>
        <w:rPr>
          <w:spacing w:val="-35"/>
          <w:sz w:val="19"/>
          <w:szCs w:val="19"/>
        </w:rPr>
        <w:t xml:space="preserve"> </w:t>
      </w:r>
      <w:r>
        <w:rPr>
          <w:spacing w:val="10"/>
          <w:sz w:val="19"/>
          <w:szCs w:val="19"/>
        </w:rPr>
        <w:t>(</w:t>
      </w:r>
      <w:r>
        <w:rPr>
          <w:sz w:val="19"/>
          <w:szCs w:val="19"/>
        </w:rPr>
        <w:t>Authentication</w:t>
      </w:r>
      <w:r>
        <w:rPr>
          <w:spacing w:val="53"/>
          <w:sz w:val="19"/>
          <w:szCs w:val="19"/>
        </w:rPr>
        <w:t xml:space="preserve"> </w:t>
      </w:r>
      <w:r>
        <w:rPr>
          <w:sz w:val="19"/>
          <w:szCs w:val="19"/>
        </w:rPr>
        <w:t>Server</w:t>
      </w:r>
      <w:r>
        <w:rPr>
          <w:spacing w:val="49"/>
          <w:sz w:val="19"/>
          <w:szCs w:val="19"/>
        </w:rPr>
        <w:t xml:space="preserve"> </w:t>
      </w:r>
      <w:r>
        <w:rPr>
          <w:sz w:val="19"/>
          <w:szCs w:val="19"/>
        </w:rPr>
        <w:t>Function</w:t>
      </w:r>
      <w:r>
        <w:rPr>
          <w:spacing w:val="10"/>
          <w:sz w:val="19"/>
          <w:szCs w:val="19"/>
        </w:rPr>
        <w:t>,</w:t>
      </w:r>
      <w:r>
        <w:rPr>
          <w:sz w:val="19"/>
          <w:szCs w:val="19"/>
        </w:rPr>
        <w:t>AUSF</w:t>
      </w:r>
      <w:r>
        <w:rPr>
          <w:spacing w:val="10"/>
          <w:sz w:val="19"/>
          <w:szCs w:val="19"/>
        </w:rPr>
        <w:t>),用于实现用户鉴权，相当于4G</w:t>
      </w:r>
      <w:r>
        <w:rPr>
          <w:sz w:val="19"/>
          <w:szCs w:val="19"/>
        </w:rPr>
        <w:t xml:space="preserve"> </w:t>
      </w:r>
      <w:r>
        <w:rPr>
          <w:spacing w:val="13"/>
          <w:sz w:val="19"/>
          <w:szCs w:val="19"/>
        </w:rPr>
        <w:t>核心网中</w:t>
      </w:r>
      <w:r>
        <w:rPr>
          <w:rFonts w:ascii="Times New Roman" w:hAnsi="Times New Roman" w:eastAsia="Times New Roman" w:cs="Times New Roman"/>
          <w:sz w:val="19"/>
          <w:szCs w:val="19"/>
        </w:rPr>
        <w:t>MME</w:t>
      </w:r>
      <w:r>
        <w:rPr>
          <w:rFonts w:ascii="Times New Roman" w:hAnsi="Times New Roman" w:eastAsia="Times New Roman" w:cs="Times New Roman"/>
          <w:spacing w:val="43"/>
          <w:sz w:val="19"/>
          <w:szCs w:val="19"/>
        </w:rPr>
        <w:t xml:space="preserve"> </w:t>
      </w:r>
      <w:r>
        <w:rPr>
          <w:spacing w:val="13"/>
          <w:sz w:val="19"/>
          <w:szCs w:val="19"/>
        </w:rPr>
        <w:t>和</w:t>
      </w:r>
      <w:r>
        <w:rPr>
          <w:spacing w:val="-27"/>
          <w:sz w:val="19"/>
          <w:szCs w:val="19"/>
        </w:rPr>
        <w:t xml:space="preserve"> </w:t>
      </w:r>
      <w:r>
        <w:rPr>
          <w:rFonts w:ascii="Times New Roman" w:hAnsi="Times New Roman" w:eastAsia="Times New Roman" w:cs="Times New Roman"/>
          <w:sz w:val="19"/>
          <w:szCs w:val="19"/>
        </w:rPr>
        <w:t>HSS</w:t>
      </w:r>
      <w:r>
        <w:rPr>
          <w:rFonts w:ascii="Times New Roman" w:hAnsi="Times New Roman" w:eastAsia="Times New Roman" w:cs="Times New Roman"/>
          <w:spacing w:val="37"/>
          <w:sz w:val="19"/>
          <w:szCs w:val="19"/>
        </w:rPr>
        <w:t xml:space="preserve"> </w:t>
      </w:r>
      <w:r>
        <w:rPr>
          <w:spacing w:val="13"/>
          <w:sz w:val="19"/>
          <w:szCs w:val="19"/>
        </w:rPr>
        <w:t>的用户鉴权功能，包括3</w:t>
      </w:r>
      <w:r>
        <w:rPr>
          <w:rFonts w:ascii="Times New Roman" w:hAnsi="Times New Roman" w:eastAsia="Times New Roman" w:cs="Times New Roman"/>
          <w:sz w:val="19"/>
          <w:szCs w:val="19"/>
        </w:rPr>
        <w:t>GPP</w:t>
      </w:r>
      <w:r>
        <w:rPr>
          <w:rFonts w:ascii="Times New Roman" w:hAnsi="Times New Roman" w:eastAsia="Times New Roman" w:cs="Times New Roman"/>
          <w:spacing w:val="13"/>
          <w:sz w:val="19"/>
          <w:szCs w:val="19"/>
        </w:rPr>
        <w:t xml:space="preserve"> </w:t>
      </w:r>
      <w:r>
        <w:rPr>
          <w:spacing w:val="13"/>
          <w:sz w:val="19"/>
          <w:szCs w:val="19"/>
        </w:rPr>
        <w:t>接入鉴权和非3</w:t>
      </w:r>
      <w:r>
        <w:rPr>
          <w:rFonts w:ascii="Times New Roman" w:hAnsi="Times New Roman" w:eastAsia="Times New Roman" w:cs="Times New Roman"/>
          <w:sz w:val="19"/>
          <w:szCs w:val="19"/>
        </w:rPr>
        <w:t>GPP</w:t>
      </w:r>
      <w:r>
        <w:rPr>
          <w:rFonts w:ascii="Times New Roman" w:hAnsi="Times New Roman" w:eastAsia="Times New Roman" w:cs="Times New Roman"/>
          <w:spacing w:val="13"/>
          <w:sz w:val="19"/>
          <w:szCs w:val="19"/>
        </w:rPr>
        <w:t xml:space="preserve"> </w:t>
      </w:r>
      <w:r>
        <w:rPr>
          <w:spacing w:val="13"/>
          <w:sz w:val="19"/>
          <w:szCs w:val="19"/>
        </w:rPr>
        <w:t>接</w:t>
      </w:r>
      <w:r>
        <w:rPr>
          <w:spacing w:val="12"/>
          <w:sz w:val="19"/>
          <w:szCs w:val="19"/>
        </w:rPr>
        <w:t>入鉴权。</w:t>
      </w:r>
    </w:p>
    <w:p w14:paraId="52CE67BC">
      <w:pPr>
        <w:spacing w:line="276" w:lineRule="auto"/>
        <w:rPr>
          <w:sz w:val="19"/>
          <w:szCs w:val="19"/>
        </w:rPr>
        <w:sectPr>
          <w:pgSz w:w="10300" w:h="13310"/>
          <w:pgMar w:top="400" w:right="567" w:bottom="400" w:left="1120" w:header="0" w:footer="0" w:gutter="0"/>
          <w:cols w:space="720" w:num="1"/>
        </w:sectPr>
      </w:pPr>
    </w:p>
    <w:p w14:paraId="3F888C78">
      <w:pPr>
        <w:pStyle w:val="2"/>
        <w:spacing w:before="147" w:line="219" w:lineRule="auto"/>
        <w:rPr>
          <w:sz w:val="17"/>
          <w:szCs w:val="17"/>
        </w:rPr>
      </w:pPr>
      <w:r>
        <w:rPr>
          <w:rFonts w:ascii="Times New Roman" w:hAnsi="Times New Roman" w:eastAsia="Times New Roman" w:cs="Times New Roman"/>
          <w:spacing w:val="13"/>
          <w:sz w:val="17"/>
          <w:szCs w:val="17"/>
        </w:rPr>
        <w:t xml:space="preserve">108              </w:t>
      </w:r>
      <w:r>
        <w:rPr>
          <w:spacing w:val="13"/>
          <w:sz w:val="17"/>
          <w:szCs w:val="17"/>
        </w:rPr>
        <w:t>信息系统监理师教程(第2版)</w:t>
      </w:r>
    </w:p>
    <w:p w14:paraId="0CC0C117">
      <w:pPr>
        <w:spacing w:line="336" w:lineRule="auto"/>
        <w:rPr>
          <w:rFonts w:ascii="Arial"/>
          <w:sz w:val="21"/>
        </w:rPr>
      </w:pPr>
    </w:p>
    <w:p w14:paraId="4F6F31DA">
      <w:pPr>
        <w:pStyle w:val="2"/>
        <w:spacing w:before="56" w:line="215" w:lineRule="auto"/>
        <w:ind w:left="730"/>
        <w:rPr>
          <w:sz w:val="17"/>
          <w:szCs w:val="17"/>
        </w:rPr>
      </w:pPr>
      <w:r>
        <w:rPr>
          <w:spacing w:val="-3"/>
          <w:sz w:val="17"/>
          <w:szCs w:val="17"/>
        </w:rPr>
        <w:t>●</w:t>
      </w:r>
      <w:r>
        <w:rPr>
          <w:spacing w:val="-19"/>
          <w:sz w:val="17"/>
          <w:szCs w:val="17"/>
        </w:rPr>
        <w:t xml:space="preserve"> </w:t>
      </w:r>
      <w:r>
        <w:rPr>
          <w:spacing w:val="-3"/>
          <w:sz w:val="17"/>
          <w:szCs w:val="17"/>
        </w:rPr>
        <w:t>策 略</w:t>
      </w:r>
      <w:r>
        <w:rPr>
          <w:spacing w:val="-20"/>
          <w:sz w:val="17"/>
          <w:szCs w:val="17"/>
        </w:rPr>
        <w:t xml:space="preserve"> </w:t>
      </w:r>
      <w:r>
        <w:rPr>
          <w:spacing w:val="-3"/>
          <w:sz w:val="17"/>
          <w:szCs w:val="17"/>
        </w:rPr>
        <w:t>控</w:t>
      </w:r>
      <w:r>
        <w:rPr>
          <w:spacing w:val="-20"/>
          <w:sz w:val="17"/>
          <w:szCs w:val="17"/>
        </w:rPr>
        <w:t xml:space="preserve"> </w:t>
      </w:r>
      <w:r>
        <w:rPr>
          <w:spacing w:val="-3"/>
          <w:sz w:val="17"/>
          <w:szCs w:val="17"/>
        </w:rPr>
        <w:t>制</w:t>
      </w:r>
      <w:r>
        <w:rPr>
          <w:spacing w:val="-17"/>
          <w:sz w:val="17"/>
          <w:szCs w:val="17"/>
        </w:rPr>
        <w:t xml:space="preserve"> </w:t>
      </w:r>
      <w:r>
        <w:rPr>
          <w:spacing w:val="-3"/>
          <w:sz w:val="17"/>
          <w:szCs w:val="17"/>
        </w:rPr>
        <w:t>功 能(Policy   Control</w:t>
      </w:r>
      <w:r>
        <w:rPr>
          <w:spacing w:val="12"/>
          <w:sz w:val="17"/>
          <w:szCs w:val="17"/>
        </w:rPr>
        <w:t xml:space="preserve">   </w:t>
      </w:r>
      <w:r>
        <w:rPr>
          <w:spacing w:val="-3"/>
          <w:sz w:val="17"/>
          <w:szCs w:val="17"/>
        </w:rPr>
        <w:t>Function,PC</w:t>
      </w:r>
      <w:r>
        <w:rPr>
          <w:spacing w:val="-4"/>
          <w:sz w:val="17"/>
          <w:szCs w:val="17"/>
        </w:rPr>
        <w:t>F),相 当 于 4G 核 心 网PCRF   中 的</w:t>
      </w:r>
      <w:r>
        <w:rPr>
          <w:spacing w:val="-25"/>
          <w:sz w:val="17"/>
          <w:szCs w:val="17"/>
        </w:rPr>
        <w:t xml:space="preserve"> </w:t>
      </w:r>
      <w:r>
        <w:rPr>
          <w:spacing w:val="-4"/>
          <w:sz w:val="17"/>
          <w:szCs w:val="17"/>
        </w:rPr>
        <w:t>策</w:t>
      </w:r>
      <w:r>
        <w:rPr>
          <w:spacing w:val="-22"/>
          <w:sz w:val="17"/>
          <w:szCs w:val="17"/>
        </w:rPr>
        <w:t xml:space="preserve"> </w:t>
      </w:r>
      <w:r>
        <w:rPr>
          <w:spacing w:val="-4"/>
          <w:sz w:val="17"/>
          <w:szCs w:val="17"/>
        </w:rPr>
        <w:t>略</w:t>
      </w:r>
      <w:r>
        <w:rPr>
          <w:spacing w:val="-29"/>
          <w:sz w:val="17"/>
          <w:szCs w:val="17"/>
        </w:rPr>
        <w:t xml:space="preserve"> </w:t>
      </w:r>
      <w:r>
        <w:rPr>
          <w:spacing w:val="-4"/>
          <w:sz w:val="17"/>
          <w:szCs w:val="17"/>
        </w:rPr>
        <w:t>控</w:t>
      </w:r>
      <w:r>
        <w:rPr>
          <w:spacing w:val="-29"/>
          <w:sz w:val="17"/>
          <w:szCs w:val="17"/>
        </w:rPr>
        <w:t xml:space="preserve"> </w:t>
      </w:r>
      <w:r>
        <w:rPr>
          <w:spacing w:val="-4"/>
          <w:sz w:val="17"/>
          <w:szCs w:val="17"/>
        </w:rPr>
        <w:t>制</w:t>
      </w:r>
    </w:p>
    <w:p w14:paraId="5F9DEF09">
      <w:pPr>
        <w:pStyle w:val="2"/>
        <w:spacing w:before="165" w:line="219" w:lineRule="auto"/>
        <w:ind w:left="1020"/>
        <w:rPr>
          <w:sz w:val="17"/>
          <w:szCs w:val="17"/>
        </w:rPr>
      </w:pPr>
      <w:r>
        <w:rPr>
          <w:spacing w:val="26"/>
          <w:sz w:val="17"/>
          <w:szCs w:val="17"/>
        </w:rPr>
        <w:t>部分，支持管控网络行为的统</w:t>
      </w:r>
      <w:r>
        <w:rPr>
          <w:spacing w:val="-46"/>
          <w:sz w:val="17"/>
          <w:szCs w:val="17"/>
        </w:rPr>
        <w:t xml:space="preserve"> </w:t>
      </w:r>
      <w:r>
        <w:rPr>
          <w:spacing w:val="26"/>
          <w:sz w:val="17"/>
          <w:szCs w:val="17"/>
        </w:rPr>
        <w:t>一</w:t>
      </w:r>
      <w:r>
        <w:rPr>
          <w:spacing w:val="-46"/>
          <w:sz w:val="17"/>
          <w:szCs w:val="17"/>
        </w:rPr>
        <w:t xml:space="preserve"> </w:t>
      </w:r>
      <w:r>
        <w:rPr>
          <w:spacing w:val="26"/>
          <w:sz w:val="17"/>
          <w:szCs w:val="17"/>
        </w:rPr>
        <w:t>策略框架，为控</w:t>
      </w:r>
      <w:r>
        <w:rPr>
          <w:spacing w:val="25"/>
          <w:sz w:val="17"/>
          <w:szCs w:val="17"/>
        </w:rPr>
        <w:t>制面提供策略规则等。</w:t>
      </w:r>
    </w:p>
    <w:p w14:paraId="0D4BCD5D">
      <w:pPr>
        <w:pStyle w:val="2"/>
        <w:spacing w:before="84" w:line="214" w:lineRule="auto"/>
        <w:ind w:left="730"/>
        <w:rPr>
          <w:sz w:val="17"/>
          <w:szCs w:val="17"/>
        </w:rPr>
      </w:pPr>
      <w:r>
        <w:rPr>
          <w:spacing w:val="-2"/>
          <w:sz w:val="17"/>
          <w:szCs w:val="17"/>
        </w:rPr>
        <w:t>● 网</w:t>
      </w:r>
      <w:r>
        <w:rPr>
          <w:spacing w:val="-10"/>
          <w:sz w:val="17"/>
          <w:szCs w:val="17"/>
        </w:rPr>
        <w:t xml:space="preserve"> </w:t>
      </w:r>
      <w:r>
        <w:rPr>
          <w:spacing w:val="-2"/>
          <w:sz w:val="17"/>
          <w:szCs w:val="17"/>
        </w:rPr>
        <w:t>络</w:t>
      </w:r>
      <w:r>
        <w:rPr>
          <w:spacing w:val="-20"/>
          <w:sz w:val="17"/>
          <w:szCs w:val="17"/>
        </w:rPr>
        <w:t xml:space="preserve"> </w:t>
      </w:r>
      <w:r>
        <w:rPr>
          <w:spacing w:val="-2"/>
          <w:sz w:val="17"/>
          <w:szCs w:val="17"/>
        </w:rPr>
        <w:t>开</w:t>
      </w:r>
      <w:r>
        <w:rPr>
          <w:spacing w:val="-20"/>
          <w:sz w:val="17"/>
          <w:szCs w:val="17"/>
        </w:rPr>
        <w:t xml:space="preserve"> </w:t>
      </w:r>
      <w:r>
        <w:rPr>
          <w:spacing w:val="-2"/>
          <w:sz w:val="17"/>
          <w:szCs w:val="17"/>
        </w:rPr>
        <w:t>放</w:t>
      </w:r>
      <w:r>
        <w:rPr>
          <w:spacing w:val="-17"/>
          <w:sz w:val="17"/>
          <w:szCs w:val="17"/>
        </w:rPr>
        <w:t xml:space="preserve"> </w:t>
      </w:r>
      <w:r>
        <w:rPr>
          <w:spacing w:val="-2"/>
          <w:sz w:val="17"/>
          <w:szCs w:val="17"/>
        </w:rPr>
        <w:t>功 能(Network    Exposure     Fu</w:t>
      </w:r>
      <w:r>
        <w:rPr>
          <w:spacing w:val="-3"/>
          <w:sz w:val="17"/>
          <w:szCs w:val="17"/>
        </w:rPr>
        <w:t>nction,NEF),</w:t>
      </w:r>
      <w:r>
        <w:rPr>
          <w:spacing w:val="-48"/>
          <w:sz w:val="17"/>
          <w:szCs w:val="17"/>
        </w:rPr>
        <w:t xml:space="preserve"> </w:t>
      </w:r>
      <w:r>
        <w:rPr>
          <w:spacing w:val="34"/>
          <w:sz w:val="17"/>
          <w:szCs w:val="17"/>
        </w:rPr>
        <w:t>提供对外开放网络数据的功能，使</w:t>
      </w:r>
    </w:p>
    <w:p w14:paraId="00C762E4">
      <w:pPr>
        <w:pStyle w:val="2"/>
        <w:spacing w:before="158" w:line="220" w:lineRule="auto"/>
        <w:ind w:left="1020"/>
        <w:rPr>
          <w:sz w:val="17"/>
          <w:szCs w:val="17"/>
        </w:rPr>
      </w:pPr>
      <w:r>
        <w:rPr>
          <w:spacing w:val="-9"/>
          <w:sz w:val="17"/>
          <w:szCs w:val="17"/>
        </w:rPr>
        <w:t>非</w:t>
      </w:r>
      <w:r>
        <w:rPr>
          <w:spacing w:val="19"/>
          <w:sz w:val="17"/>
          <w:szCs w:val="17"/>
        </w:rPr>
        <w:t xml:space="preserve"> </w:t>
      </w:r>
      <w:r>
        <w:rPr>
          <w:spacing w:val="-9"/>
          <w:sz w:val="17"/>
          <w:szCs w:val="17"/>
        </w:rPr>
        <w:t>3</w:t>
      </w:r>
      <w:r>
        <w:rPr>
          <w:rFonts w:ascii="Times New Roman" w:hAnsi="Times New Roman" w:eastAsia="Times New Roman" w:cs="Times New Roman"/>
          <w:spacing w:val="-9"/>
          <w:sz w:val="17"/>
          <w:szCs w:val="17"/>
        </w:rPr>
        <w:t>GPP</w:t>
      </w:r>
      <w:r>
        <w:rPr>
          <w:rFonts w:ascii="Times New Roman" w:hAnsi="Times New Roman" w:eastAsia="Times New Roman" w:cs="Times New Roman"/>
          <w:spacing w:val="10"/>
          <w:sz w:val="17"/>
          <w:szCs w:val="17"/>
        </w:rPr>
        <w:t xml:space="preserve">  </w:t>
      </w:r>
      <w:r>
        <w:rPr>
          <w:spacing w:val="-9"/>
          <w:sz w:val="17"/>
          <w:szCs w:val="17"/>
        </w:rPr>
        <w:t>网</w:t>
      </w:r>
      <w:r>
        <w:rPr>
          <w:spacing w:val="-34"/>
          <w:sz w:val="17"/>
          <w:szCs w:val="17"/>
        </w:rPr>
        <w:t xml:space="preserve"> </w:t>
      </w:r>
      <w:r>
        <w:rPr>
          <w:spacing w:val="-9"/>
          <w:sz w:val="17"/>
          <w:szCs w:val="17"/>
        </w:rPr>
        <w:t>络</w:t>
      </w:r>
      <w:r>
        <w:rPr>
          <w:spacing w:val="-27"/>
          <w:sz w:val="17"/>
          <w:szCs w:val="17"/>
        </w:rPr>
        <w:t xml:space="preserve"> </w:t>
      </w:r>
      <w:r>
        <w:rPr>
          <w:spacing w:val="-9"/>
          <w:sz w:val="17"/>
          <w:szCs w:val="17"/>
        </w:rPr>
        <w:t>能</w:t>
      </w:r>
      <w:r>
        <w:rPr>
          <w:spacing w:val="-35"/>
          <w:sz w:val="17"/>
          <w:szCs w:val="17"/>
        </w:rPr>
        <w:t xml:space="preserve"> </w:t>
      </w:r>
      <w:r>
        <w:rPr>
          <w:spacing w:val="-9"/>
          <w:sz w:val="17"/>
          <w:szCs w:val="17"/>
        </w:rPr>
        <w:t>够</w:t>
      </w:r>
      <w:r>
        <w:rPr>
          <w:spacing w:val="-35"/>
          <w:sz w:val="17"/>
          <w:szCs w:val="17"/>
        </w:rPr>
        <w:t xml:space="preserve"> </w:t>
      </w:r>
      <w:r>
        <w:rPr>
          <w:spacing w:val="-9"/>
          <w:sz w:val="17"/>
          <w:szCs w:val="17"/>
        </w:rPr>
        <w:t>接</w:t>
      </w:r>
      <w:r>
        <w:rPr>
          <w:spacing w:val="-35"/>
          <w:sz w:val="17"/>
          <w:szCs w:val="17"/>
        </w:rPr>
        <w:t xml:space="preserve"> </w:t>
      </w:r>
      <w:r>
        <w:rPr>
          <w:spacing w:val="-9"/>
          <w:sz w:val="17"/>
          <w:szCs w:val="17"/>
        </w:rPr>
        <w:t>入</w:t>
      </w:r>
      <w:r>
        <w:rPr>
          <w:spacing w:val="-30"/>
          <w:sz w:val="17"/>
          <w:szCs w:val="17"/>
        </w:rPr>
        <w:t xml:space="preserve"> </w:t>
      </w:r>
      <w:r>
        <w:rPr>
          <w:spacing w:val="-9"/>
          <w:sz w:val="17"/>
          <w:szCs w:val="17"/>
        </w:rPr>
        <w:t>5</w:t>
      </w:r>
      <w:r>
        <w:rPr>
          <w:rFonts w:ascii="Times New Roman" w:hAnsi="Times New Roman" w:eastAsia="Times New Roman" w:cs="Times New Roman"/>
          <w:spacing w:val="-9"/>
          <w:sz w:val="17"/>
          <w:szCs w:val="17"/>
        </w:rPr>
        <w:t>G</w:t>
      </w:r>
      <w:r>
        <w:rPr>
          <w:rFonts w:ascii="Times New Roman" w:hAnsi="Times New Roman" w:eastAsia="Times New Roman" w:cs="Times New Roman"/>
          <w:spacing w:val="30"/>
          <w:w w:val="101"/>
          <w:sz w:val="17"/>
          <w:szCs w:val="17"/>
        </w:rPr>
        <w:t xml:space="preserve"> </w:t>
      </w:r>
      <w:r>
        <w:rPr>
          <w:spacing w:val="-9"/>
          <w:sz w:val="17"/>
          <w:szCs w:val="17"/>
        </w:rPr>
        <w:t>核</w:t>
      </w:r>
      <w:r>
        <w:rPr>
          <w:spacing w:val="-30"/>
          <w:sz w:val="17"/>
          <w:szCs w:val="17"/>
        </w:rPr>
        <w:t xml:space="preserve"> </w:t>
      </w:r>
      <w:r>
        <w:rPr>
          <w:spacing w:val="-9"/>
          <w:sz w:val="17"/>
          <w:szCs w:val="17"/>
        </w:rPr>
        <w:t>心</w:t>
      </w:r>
      <w:r>
        <w:rPr>
          <w:spacing w:val="-22"/>
          <w:sz w:val="17"/>
          <w:szCs w:val="17"/>
        </w:rPr>
        <w:t xml:space="preserve"> </w:t>
      </w:r>
      <w:r>
        <w:rPr>
          <w:spacing w:val="-9"/>
          <w:sz w:val="17"/>
          <w:szCs w:val="17"/>
        </w:rPr>
        <w:t>网</w:t>
      </w:r>
      <w:r>
        <w:rPr>
          <w:spacing w:val="-42"/>
          <w:sz w:val="17"/>
          <w:szCs w:val="17"/>
        </w:rPr>
        <w:t xml:space="preserve"> </w:t>
      </w:r>
      <w:r>
        <w:rPr>
          <w:spacing w:val="-9"/>
          <w:sz w:val="17"/>
          <w:szCs w:val="17"/>
        </w:rPr>
        <w:t>。</w:t>
      </w:r>
    </w:p>
    <w:p w14:paraId="6ABCB623">
      <w:pPr>
        <w:pStyle w:val="2"/>
        <w:spacing w:before="83" w:line="363" w:lineRule="auto"/>
        <w:ind w:left="1019" w:hanging="289"/>
        <w:rPr>
          <w:sz w:val="17"/>
          <w:szCs w:val="17"/>
        </w:rPr>
      </w:pPr>
      <w:r>
        <w:rPr>
          <w:spacing w:val="10"/>
          <w:sz w:val="17"/>
          <w:szCs w:val="17"/>
        </w:rPr>
        <w:t>●</w:t>
      </w:r>
      <w:r>
        <w:rPr>
          <w:spacing w:val="-15"/>
          <w:sz w:val="17"/>
          <w:szCs w:val="17"/>
        </w:rPr>
        <w:t xml:space="preserve"> </w:t>
      </w:r>
      <w:r>
        <w:rPr>
          <w:spacing w:val="10"/>
          <w:sz w:val="17"/>
          <w:szCs w:val="17"/>
        </w:rPr>
        <w:t>网</w:t>
      </w:r>
      <w:r>
        <w:rPr>
          <w:spacing w:val="-28"/>
          <w:sz w:val="17"/>
          <w:szCs w:val="17"/>
        </w:rPr>
        <w:t xml:space="preserve"> </w:t>
      </w:r>
      <w:r>
        <w:rPr>
          <w:spacing w:val="10"/>
          <w:sz w:val="17"/>
          <w:szCs w:val="17"/>
        </w:rPr>
        <w:t>络</w:t>
      </w:r>
      <w:r>
        <w:rPr>
          <w:spacing w:val="-29"/>
          <w:sz w:val="17"/>
          <w:szCs w:val="17"/>
        </w:rPr>
        <w:t xml:space="preserve"> </w:t>
      </w:r>
      <w:r>
        <w:rPr>
          <w:spacing w:val="10"/>
          <w:sz w:val="17"/>
          <w:szCs w:val="17"/>
        </w:rPr>
        <w:t>切</w:t>
      </w:r>
      <w:r>
        <w:rPr>
          <w:spacing w:val="-25"/>
          <w:sz w:val="17"/>
          <w:szCs w:val="17"/>
        </w:rPr>
        <w:t xml:space="preserve"> </w:t>
      </w:r>
      <w:r>
        <w:rPr>
          <w:spacing w:val="10"/>
          <w:sz w:val="17"/>
          <w:szCs w:val="17"/>
        </w:rPr>
        <w:t>片</w:t>
      </w:r>
      <w:r>
        <w:rPr>
          <w:spacing w:val="-29"/>
          <w:sz w:val="17"/>
          <w:szCs w:val="17"/>
        </w:rPr>
        <w:t xml:space="preserve"> </w:t>
      </w:r>
      <w:r>
        <w:rPr>
          <w:spacing w:val="10"/>
          <w:sz w:val="17"/>
          <w:szCs w:val="17"/>
        </w:rPr>
        <w:t>选</w:t>
      </w:r>
      <w:r>
        <w:rPr>
          <w:spacing w:val="-27"/>
          <w:sz w:val="17"/>
          <w:szCs w:val="17"/>
        </w:rPr>
        <w:t xml:space="preserve"> </w:t>
      </w:r>
      <w:r>
        <w:rPr>
          <w:spacing w:val="10"/>
          <w:sz w:val="17"/>
          <w:szCs w:val="17"/>
        </w:rPr>
        <w:t>择</w:t>
      </w:r>
      <w:r>
        <w:rPr>
          <w:spacing w:val="-25"/>
          <w:sz w:val="17"/>
          <w:szCs w:val="17"/>
        </w:rPr>
        <w:t xml:space="preserve"> </w:t>
      </w:r>
      <w:r>
        <w:rPr>
          <w:spacing w:val="10"/>
          <w:sz w:val="17"/>
          <w:szCs w:val="17"/>
        </w:rPr>
        <w:t>功</w:t>
      </w:r>
      <w:r>
        <w:rPr>
          <w:spacing w:val="-22"/>
          <w:sz w:val="17"/>
          <w:szCs w:val="17"/>
        </w:rPr>
        <w:t xml:space="preserve"> </w:t>
      </w:r>
      <w:r>
        <w:rPr>
          <w:spacing w:val="10"/>
          <w:sz w:val="17"/>
          <w:szCs w:val="17"/>
        </w:rPr>
        <w:t>能(</w:t>
      </w:r>
      <w:r>
        <w:rPr>
          <w:sz w:val="17"/>
          <w:szCs w:val="17"/>
        </w:rPr>
        <w:t>Network</w:t>
      </w:r>
      <w:r>
        <w:rPr>
          <w:spacing w:val="36"/>
          <w:sz w:val="17"/>
          <w:szCs w:val="17"/>
        </w:rPr>
        <w:t xml:space="preserve">  </w:t>
      </w:r>
      <w:r>
        <w:rPr>
          <w:sz w:val="17"/>
          <w:szCs w:val="17"/>
        </w:rPr>
        <w:t>Slice</w:t>
      </w:r>
      <w:r>
        <w:rPr>
          <w:spacing w:val="36"/>
          <w:sz w:val="17"/>
          <w:szCs w:val="17"/>
        </w:rPr>
        <w:t xml:space="preserve">  </w:t>
      </w:r>
      <w:r>
        <w:rPr>
          <w:sz w:val="17"/>
          <w:szCs w:val="17"/>
        </w:rPr>
        <w:t>Selection</w:t>
      </w:r>
      <w:r>
        <w:rPr>
          <w:spacing w:val="34"/>
          <w:sz w:val="17"/>
          <w:szCs w:val="17"/>
        </w:rPr>
        <w:t xml:space="preserve">  </w:t>
      </w:r>
      <w:r>
        <w:rPr>
          <w:sz w:val="17"/>
          <w:szCs w:val="17"/>
        </w:rPr>
        <w:t>Function</w:t>
      </w:r>
      <w:r>
        <w:rPr>
          <w:spacing w:val="10"/>
          <w:sz w:val="17"/>
          <w:szCs w:val="17"/>
        </w:rPr>
        <w:t>,</w:t>
      </w:r>
      <w:r>
        <w:rPr>
          <w:sz w:val="17"/>
          <w:szCs w:val="17"/>
        </w:rPr>
        <w:t>NSSF</w:t>
      </w:r>
      <w:r>
        <w:rPr>
          <w:spacing w:val="10"/>
          <w:sz w:val="17"/>
          <w:szCs w:val="17"/>
        </w:rPr>
        <w:t>),用以实现网络切</w:t>
      </w:r>
      <w:r>
        <w:rPr>
          <w:spacing w:val="9"/>
          <w:sz w:val="17"/>
          <w:szCs w:val="17"/>
        </w:rPr>
        <w:t>片功能，</w:t>
      </w:r>
      <w:r>
        <w:rPr>
          <w:spacing w:val="1"/>
          <w:sz w:val="17"/>
          <w:szCs w:val="17"/>
        </w:rPr>
        <w:t xml:space="preserve"> </w:t>
      </w:r>
      <w:r>
        <w:rPr>
          <w:spacing w:val="29"/>
          <w:sz w:val="17"/>
          <w:szCs w:val="17"/>
        </w:rPr>
        <w:t>网络切片技术可以把网络切成多个虚拟的子网，以满</w:t>
      </w:r>
      <w:r>
        <w:rPr>
          <w:spacing w:val="28"/>
          <w:sz w:val="17"/>
          <w:szCs w:val="17"/>
        </w:rPr>
        <w:t>足不同业务的个性化需求。</w:t>
      </w:r>
    </w:p>
    <w:p w14:paraId="0814D807">
      <w:pPr>
        <w:pStyle w:val="2"/>
        <w:spacing w:line="214" w:lineRule="auto"/>
        <w:ind w:left="730"/>
        <w:rPr>
          <w:sz w:val="17"/>
          <w:szCs w:val="17"/>
        </w:rPr>
      </w:pPr>
      <w:r>
        <w:rPr>
          <w:spacing w:val="-5"/>
          <w:sz w:val="17"/>
          <w:szCs w:val="17"/>
        </w:rPr>
        <w:t>● 网</w:t>
      </w:r>
      <w:r>
        <w:rPr>
          <w:spacing w:val="-27"/>
          <w:sz w:val="17"/>
          <w:szCs w:val="17"/>
        </w:rPr>
        <w:t xml:space="preserve"> </w:t>
      </w:r>
      <w:r>
        <w:rPr>
          <w:spacing w:val="-5"/>
          <w:sz w:val="17"/>
          <w:szCs w:val="17"/>
        </w:rPr>
        <w:t>络</w:t>
      </w:r>
      <w:r>
        <w:rPr>
          <w:spacing w:val="-26"/>
          <w:sz w:val="17"/>
          <w:szCs w:val="17"/>
        </w:rPr>
        <w:t xml:space="preserve"> </w:t>
      </w:r>
      <w:r>
        <w:rPr>
          <w:spacing w:val="-5"/>
          <w:sz w:val="17"/>
          <w:szCs w:val="17"/>
        </w:rPr>
        <w:t>功</w:t>
      </w:r>
      <w:r>
        <w:rPr>
          <w:spacing w:val="-22"/>
          <w:sz w:val="17"/>
          <w:szCs w:val="17"/>
        </w:rPr>
        <w:t xml:space="preserve"> </w:t>
      </w:r>
      <w:r>
        <w:rPr>
          <w:spacing w:val="-5"/>
          <w:sz w:val="17"/>
          <w:szCs w:val="17"/>
        </w:rPr>
        <w:t>能</w:t>
      </w:r>
      <w:r>
        <w:rPr>
          <w:spacing w:val="-29"/>
          <w:sz w:val="17"/>
          <w:szCs w:val="17"/>
        </w:rPr>
        <w:t xml:space="preserve"> </w:t>
      </w:r>
      <w:r>
        <w:rPr>
          <w:spacing w:val="-5"/>
          <w:sz w:val="17"/>
          <w:szCs w:val="17"/>
        </w:rPr>
        <w:t>存</w:t>
      </w:r>
      <w:r>
        <w:rPr>
          <w:spacing w:val="-29"/>
          <w:sz w:val="17"/>
          <w:szCs w:val="17"/>
        </w:rPr>
        <w:t xml:space="preserve"> </w:t>
      </w:r>
      <w:r>
        <w:rPr>
          <w:spacing w:val="-5"/>
          <w:sz w:val="17"/>
          <w:szCs w:val="17"/>
        </w:rPr>
        <w:t>储</w:t>
      </w:r>
      <w:r>
        <w:rPr>
          <w:spacing w:val="-26"/>
          <w:sz w:val="17"/>
          <w:szCs w:val="17"/>
        </w:rPr>
        <w:t xml:space="preserve"> </w:t>
      </w:r>
      <w:r>
        <w:rPr>
          <w:spacing w:val="-5"/>
          <w:sz w:val="17"/>
          <w:szCs w:val="17"/>
        </w:rPr>
        <w:t>功</w:t>
      </w:r>
      <w:r>
        <w:rPr>
          <w:spacing w:val="-21"/>
          <w:sz w:val="17"/>
          <w:szCs w:val="17"/>
        </w:rPr>
        <w:t xml:space="preserve"> </w:t>
      </w:r>
      <w:r>
        <w:rPr>
          <w:spacing w:val="-5"/>
          <w:sz w:val="17"/>
          <w:szCs w:val="17"/>
        </w:rPr>
        <w:t>能 (NF    Repository    Function,NRF),用</w:t>
      </w:r>
      <w:r>
        <w:rPr>
          <w:spacing w:val="-25"/>
          <w:sz w:val="17"/>
          <w:szCs w:val="17"/>
        </w:rPr>
        <w:t xml:space="preserve"> </w:t>
      </w:r>
      <w:r>
        <w:rPr>
          <w:spacing w:val="-5"/>
          <w:sz w:val="17"/>
          <w:szCs w:val="17"/>
        </w:rPr>
        <w:t>于 网</w:t>
      </w:r>
      <w:r>
        <w:rPr>
          <w:spacing w:val="-26"/>
          <w:sz w:val="17"/>
          <w:szCs w:val="17"/>
        </w:rPr>
        <w:t xml:space="preserve"> </w:t>
      </w:r>
      <w:r>
        <w:rPr>
          <w:spacing w:val="-5"/>
          <w:sz w:val="17"/>
          <w:szCs w:val="17"/>
        </w:rPr>
        <w:t>络</w:t>
      </w:r>
      <w:r>
        <w:rPr>
          <w:spacing w:val="-24"/>
          <w:sz w:val="17"/>
          <w:szCs w:val="17"/>
        </w:rPr>
        <w:t xml:space="preserve"> </w:t>
      </w:r>
      <w:r>
        <w:rPr>
          <w:spacing w:val="-5"/>
          <w:sz w:val="17"/>
          <w:szCs w:val="17"/>
        </w:rPr>
        <w:t>功</w:t>
      </w:r>
      <w:r>
        <w:rPr>
          <w:spacing w:val="-21"/>
          <w:sz w:val="17"/>
          <w:szCs w:val="17"/>
        </w:rPr>
        <w:t xml:space="preserve"> </w:t>
      </w:r>
      <w:r>
        <w:rPr>
          <w:spacing w:val="-5"/>
          <w:sz w:val="17"/>
          <w:szCs w:val="17"/>
        </w:rPr>
        <w:t>能</w:t>
      </w:r>
      <w:r>
        <w:rPr>
          <w:spacing w:val="-23"/>
          <w:sz w:val="17"/>
          <w:szCs w:val="17"/>
        </w:rPr>
        <w:t xml:space="preserve"> </w:t>
      </w:r>
      <w:r>
        <w:rPr>
          <w:spacing w:val="-6"/>
          <w:sz w:val="17"/>
          <w:szCs w:val="17"/>
        </w:rPr>
        <w:t>(NF)    的</w:t>
      </w:r>
      <w:r>
        <w:rPr>
          <w:spacing w:val="-27"/>
          <w:sz w:val="17"/>
          <w:szCs w:val="17"/>
        </w:rPr>
        <w:t xml:space="preserve"> </w:t>
      </w:r>
      <w:r>
        <w:rPr>
          <w:spacing w:val="-6"/>
          <w:sz w:val="17"/>
          <w:szCs w:val="17"/>
        </w:rPr>
        <w:t>注</w:t>
      </w:r>
      <w:r>
        <w:rPr>
          <w:spacing w:val="-26"/>
          <w:sz w:val="17"/>
          <w:szCs w:val="17"/>
        </w:rPr>
        <w:t xml:space="preserve"> </w:t>
      </w:r>
      <w:r>
        <w:rPr>
          <w:spacing w:val="-6"/>
          <w:sz w:val="17"/>
          <w:szCs w:val="17"/>
        </w:rPr>
        <w:t>册 、</w:t>
      </w:r>
      <w:r>
        <w:rPr>
          <w:spacing w:val="-27"/>
          <w:sz w:val="17"/>
          <w:szCs w:val="17"/>
        </w:rPr>
        <w:t xml:space="preserve"> </w:t>
      </w:r>
      <w:r>
        <w:rPr>
          <w:spacing w:val="-6"/>
          <w:sz w:val="17"/>
          <w:szCs w:val="17"/>
        </w:rPr>
        <w:t>存</w:t>
      </w:r>
    </w:p>
    <w:p w14:paraId="73321D77">
      <w:pPr>
        <w:pStyle w:val="2"/>
        <w:spacing w:before="167" w:line="219" w:lineRule="auto"/>
        <w:ind w:left="1020"/>
        <w:rPr>
          <w:sz w:val="17"/>
          <w:szCs w:val="17"/>
        </w:rPr>
      </w:pPr>
      <w:r>
        <w:rPr>
          <w:spacing w:val="27"/>
          <w:sz w:val="17"/>
          <w:szCs w:val="17"/>
        </w:rPr>
        <w:t>储、管理和状态检测，实现所有</w:t>
      </w:r>
      <w:r>
        <w:rPr>
          <w:rFonts w:ascii="Times New Roman" w:hAnsi="Times New Roman" w:eastAsia="Times New Roman" w:cs="Times New Roman"/>
          <w:sz w:val="17"/>
          <w:szCs w:val="17"/>
        </w:rPr>
        <w:t>NF</w:t>
      </w:r>
      <w:r>
        <w:rPr>
          <w:rFonts w:ascii="Times New Roman" w:hAnsi="Times New Roman" w:eastAsia="Times New Roman" w:cs="Times New Roman"/>
          <w:spacing w:val="27"/>
          <w:sz w:val="17"/>
          <w:szCs w:val="17"/>
        </w:rPr>
        <w:t xml:space="preserve">  </w:t>
      </w:r>
      <w:r>
        <w:rPr>
          <w:spacing w:val="27"/>
          <w:sz w:val="17"/>
          <w:szCs w:val="17"/>
        </w:rPr>
        <w:t>的自动化管理。</w:t>
      </w:r>
    </w:p>
    <w:p w14:paraId="18161C89">
      <w:pPr>
        <w:pStyle w:val="2"/>
        <w:spacing w:before="268" w:line="219" w:lineRule="auto"/>
        <w:ind w:left="322"/>
        <w:rPr>
          <w:sz w:val="23"/>
          <w:szCs w:val="23"/>
        </w:rPr>
      </w:pPr>
      <w:r>
        <w:rPr>
          <w:b/>
          <w:bCs/>
          <w:color w:val="075EAA"/>
          <w:spacing w:val="-5"/>
          <w:sz w:val="23"/>
          <w:szCs w:val="23"/>
        </w:rPr>
        <w:t>3.3.5</w:t>
      </w:r>
      <w:r>
        <w:rPr>
          <w:color w:val="075EAA"/>
          <w:spacing w:val="114"/>
          <w:sz w:val="23"/>
          <w:szCs w:val="23"/>
        </w:rPr>
        <w:t xml:space="preserve"> </w:t>
      </w:r>
      <w:r>
        <w:rPr>
          <w:b/>
          <w:bCs/>
          <w:color w:val="075EAA"/>
          <w:spacing w:val="-5"/>
          <w:sz w:val="23"/>
          <w:szCs w:val="23"/>
        </w:rPr>
        <w:t>物联网组网技术</w:t>
      </w:r>
    </w:p>
    <w:p w14:paraId="100D9549">
      <w:pPr>
        <w:pStyle w:val="2"/>
        <w:spacing w:before="190" w:line="335" w:lineRule="auto"/>
        <w:ind w:left="320" w:firstLine="410"/>
        <w:jc w:val="both"/>
        <w:rPr>
          <w:sz w:val="17"/>
          <w:szCs w:val="17"/>
        </w:rPr>
      </w:pPr>
      <w:r>
        <w:rPr>
          <w:spacing w:val="19"/>
          <w:sz w:val="17"/>
          <w:szCs w:val="17"/>
        </w:rPr>
        <w:t>物</w:t>
      </w:r>
      <w:r>
        <w:rPr>
          <w:spacing w:val="-21"/>
          <w:sz w:val="17"/>
          <w:szCs w:val="17"/>
        </w:rPr>
        <w:t xml:space="preserve"> </w:t>
      </w:r>
      <w:r>
        <w:rPr>
          <w:spacing w:val="19"/>
          <w:sz w:val="17"/>
          <w:szCs w:val="17"/>
        </w:rPr>
        <w:t>联</w:t>
      </w:r>
      <w:r>
        <w:rPr>
          <w:spacing w:val="-8"/>
          <w:sz w:val="17"/>
          <w:szCs w:val="17"/>
        </w:rPr>
        <w:t xml:space="preserve"> </w:t>
      </w:r>
      <w:r>
        <w:rPr>
          <w:spacing w:val="19"/>
          <w:sz w:val="17"/>
          <w:szCs w:val="17"/>
        </w:rPr>
        <w:t>网</w:t>
      </w:r>
      <w:r>
        <w:rPr>
          <w:spacing w:val="-22"/>
          <w:sz w:val="17"/>
          <w:szCs w:val="17"/>
        </w:rPr>
        <w:t xml:space="preserve"> </w:t>
      </w:r>
      <w:r>
        <w:rPr>
          <w:rFonts w:ascii="Times New Roman" w:hAnsi="Times New Roman" w:eastAsia="Times New Roman" w:cs="Times New Roman"/>
          <w:spacing w:val="19"/>
          <w:sz w:val="17"/>
          <w:szCs w:val="17"/>
        </w:rPr>
        <w:t>(</w:t>
      </w:r>
      <w:r>
        <w:rPr>
          <w:rFonts w:ascii="Times New Roman" w:hAnsi="Times New Roman" w:eastAsia="Times New Roman" w:cs="Times New Roman"/>
          <w:sz w:val="17"/>
          <w:szCs w:val="17"/>
        </w:rPr>
        <w:t>Internet</w:t>
      </w:r>
      <w:r>
        <w:rPr>
          <w:rFonts w:ascii="Times New Roman" w:hAnsi="Times New Roman" w:eastAsia="Times New Roman" w:cs="Times New Roman"/>
          <w:spacing w:val="19"/>
          <w:sz w:val="17"/>
          <w:szCs w:val="17"/>
        </w:rPr>
        <w:t xml:space="preserve">      </w:t>
      </w:r>
      <w:r>
        <w:rPr>
          <w:rFonts w:ascii="Times New Roman" w:hAnsi="Times New Roman" w:eastAsia="Times New Roman" w:cs="Times New Roman"/>
          <w:sz w:val="17"/>
          <w:szCs w:val="17"/>
        </w:rPr>
        <w:t>of</w:t>
      </w:r>
      <w:r>
        <w:rPr>
          <w:rFonts w:ascii="Times New Roman" w:hAnsi="Times New Roman" w:eastAsia="Times New Roman" w:cs="Times New Roman"/>
          <w:spacing w:val="19"/>
          <w:sz w:val="17"/>
          <w:szCs w:val="17"/>
        </w:rPr>
        <w:t xml:space="preserve">       </w:t>
      </w:r>
      <w:r>
        <w:rPr>
          <w:rFonts w:ascii="Times New Roman" w:hAnsi="Times New Roman" w:eastAsia="Times New Roman" w:cs="Times New Roman"/>
          <w:sz w:val="17"/>
          <w:szCs w:val="17"/>
        </w:rPr>
        <w:t>Things</w:t>
      </w:r>
      <w:r>
        <w:rPr>
          <w:rFonts w:ascii="Times New Roman" w:hAnsi="Times New Roman" w:eastAsia="Times New Roman" w:cs="Times New Roman"/>
          <w:spacing w:val="19"/>
          <w:sz w:val="17"/>
          <w:szCs w:val="17"/>
        </w:rPr>
        <w:t>,</w:t>
      </w:r>
      <w:r>
        <w:rPr>
          <w:rFonts w:ascii="Times New Roman" w:hAnsi="Times New Roman" w:eastAsia="Times New Roman" w:cs="Times New Roman"/>
          <w:sz w:val="17"/>
          <w:szCs w:val="17"/>
        </w:rPr>
        <w:t>IoT</w:t>
      </w:r>
      <w:r>
        <w:rPr>
          <w:rFonts w:ascii="Times New Roman" w:hAnsi="Times New Roman" w:eastAsia="Times New Roman" w:cs="Times New Roman"/>
          <w:spacing w:val="19"/>
          <w:sz w:val="17"/>
          <w:szCs w:val="17"/>
        </w:rPr>
        <w:t xml:space="preserve">) </w:t>
      </w:r>
      <w:r>
        <w:rPr>
          <w:spacing w:val="19"/>
          <w:sz w:val="17"/>
          <w:szCs w:val="17"/>
        </w:rPr>
        <w:t>泛指物</w:t>
      </w:r>
      <w:r>
        <w:rPr>
          <w:spacing w:val="18"/>
          <w:sz w:val="17"/>
          <w:szCs w:val="17"/>
        </w:rPr>
        <w:t>与物、物与人之间通过通信网络实现的互联网，这</w:t>
      </w:r>
      <w:r>
        <w:rPr>
          <w:sz w:val="17"/>
          <w:szCs w:val="17"/>
        </w:rPr>
        <w:t xml:space="preserve"> </w:t>
      </w:r>
      <w:r>
        <w:rPr>
          <w:spacing w:val="33"/>
          <w:sz w:val="17"/>
          <w:szCs w:val="17"/>
        </w:rPr>
        <w:t>里的“物”可以是大家想象得到的各种物品，例如各种生活娱乐设施、工业生产</w:t>
      </w:r>
      <w:r>
        <w:rPr>
          <w:spacing w:val="32"/>
          <w:sz w:val="17"/>
          <w:szCs w:val="17"/>
        </w:rPr>
        <w:t>设备，甚至是</w:t>
      </w:r>
      <w:r>
        <w:rPr>
          <w:sz w:val="17"/>
          <w:szCs w:val="17"/>
        </w:rPr>
        <w:t xml:space="preserve">  </w:t>
      </w:r>
      <w:r>
        <w:rPr>
          <w:spacing w:val="33"/>
          <w:sz w:val="17"/>
          <w:szCs w:val="17"/>
        </w:rPr>
        <w:t>各种动植物，当然也包括人类自身。这些“物”通过各类传感器设备，或者</w:t>
      </w:r>
      <w:r>
        <w:rPr>
          <w:spacing w:val="32"/>
          <w:sz w:val="17"/>
          <w:szCs w:val="17"/>
        </w:rPr>
        <w:t>附着二维码、射频</w:t>
      </w:r>
      <w:r>
        <w:rPr>
          <w:sz w:val="17"/>
          <w:szCs w:val="17"/>
        </w:rPr>
        <w:t xml:space="preserve">  </w:t>
      </w:r>
      <w:r>
        <w:rPr>
          <w:spacing w:val="-3"/>
          <w:sz w:val="17"/>
          <w:szCs w:val="17"/>
        </w:rPr>
        <w:t>识 别</w:t>
      </w:r>
      <w:r>
        <w:rPr>
          <w:spacing w:val="-13"/>
          <w:sz w:val="17"/>
          <w:szCs w:val="17"/>
        </w:rPr>
        <w:t xml:space="preserve"> </w:t>
      </w:r>
      <w:r>
        <w:rPr>
          <w:rFonts w:ascii="Times New Roman" w:hAnsi="Times New Roman" w:eastAsia="Times New Roman" w:cs="Times New Roman"/>
          <w:spacing w:val="-3"/>
          <w:sz w:val="17"/>
          <w:szCs w:val="17"/>
        </w:rPr>
        <w:t>(Radio          Frequency          Identification,RFID)</w:t>
      </w:r>
      <w:r>
        <w:rPr>
          <w:rFonts w:ascii="Times New Roman" w:hAnsi="Times New Roman" w:eastAsia="Times New Roman" w:cs="Times New Roman"/>
          <w:spacing w:val="21"/>
          <w:w w:val="101"/>
          <w:sz w:val="17"/>
          <w:szCs w:val="17"/>
        </w:rPr>
        <w:t xml:space="preserve"> </w:t>
      </w:r>
      <w:r>
        <w:rPr>
          <w:spacing w:val="-3"/>
          <w:sz w:val="17"/>
          <w:szCs w:val="17"/>
        </w:rPr>
        <w:t>等</w:t>
      </w:r>
      <w:r>
        <w:rPr>
          <w:spacing w:val="-38"/>
          <w:sz w:val="17"/>
          <w:szCs w:val="17"/>
        </w:rPr>
        <w:t xml:space="preserve"> </w:t>
      </w:r>
      <w:r>
        <w:rPr>
          <w:spacing w:val="-3"/>
          <w:sz w:val="17"/>
          <w:szCs w:val="17"/>
        </w:rPr>
        <w:t>标</w:t>
      </w:r>
      <w:r>
        <w:rPr>
          <w:spacing w:val="-39"/>
          <w:sz w:val="17"/>
          <w:szCs w:val="17"/>
        </w:rPr>
        <w:t xml:space="preserve"> </w:t>
      </w:r>
      <w:r>
        <w:rPr>
          <w:spacing w:val="-3"/>
          <w:sz w:val="17"/>
          <w:szCs w:val="17"/>
        </w:rPr>
        <w:t>签</w:t>
      </w:r>
      <w:r>
        <w:rPr>
          <w:spacing w:val="-25"/>
          <w:sz w:val="17"/>
          <w:szCs w:val="17"/>
        </w:rPr>
        <w:t xml:space="preserve"> </w:t>
      </w:r>
      <w:r>
        <w:rPr>
          <w:spacing w:val="-3"/>
          <w:sz w:val="17"/>
          <w:szCs w:val="17"/>
        </w:rPr>
        <w:t>，</w:t>
      </w:r>
      <w:r>
        <w:rPr>
          <w:spacing w:val="-37"/>
          <w:sz w:val="17"/>
          <w:szCs w:val="17"/>
        </w:rPr>
        <w:t xml:space="preserve"> </w:t>
      </w:r>
      <w:r>
        <w:rPr>
          <w:spacing w:val="-3"/>
          <w:sz w:val="17"/>
          <w:szCs w:val="17"/>
        </w:rPr>
        <w:t>可</w:t>
      </w:r>
      <w:r>
        <w:rPr>
          <w:spacing w:val="-20"/>
          <w:sz w:val="17"/>
          <w:szCs w:val="17"/>
        </w:rPr>
        <w:t xml:space="preserve"> </w:t>
      </w:r>
      <w:r>
        <w:rPr>
          <w:spacing w:val="-3"/>
          <w:sz w:val="17"/>
          <w:szCs w:val="17"/>
        </w:rPr>
        <w:t>以</w:t>
      </w:r>
      <w:r>
        <w:rPr>
          <w:spacing w:val="-38"/>
          <w:sz w:val="17"/>
          <w:szCs w:val="17"/>
        </w:rPr>
        <w:t xml:space="preserve"> </w:t>
      </w:r>
      <w:r>
        <w:rPr>
          <w:spacing w:val="-3"/>
          <w:sz w:val="17"/>
          <w:szCs w:val="17"/>
        </w:rPr>
        <w:t>感</w:t>
      </w:r>
      <w:r>
        <w:rPr>
          <w:spacing w:val="-35"/>
          <w:sz w:val="17"/>
          <w:szCs w:val="17"/>
        </w:rPr>
        <w:t xml:space="preserve"> </w:t>
      </w:r>
      <w:r>
        <w:rPr>
          <w:spacing w:val="-3"/>
          <w:sz w:val="17"/>
          <w:szCs w:val="17"/>
        </w:rPr>
        <w:t>知</w:t>
      </w:r>
      <w:r>
        <w:rPr>
          <w:spacing w:val="-38"/>
          <w:sz w:val="17"/>
          <w:szCs w:val="17"/>
        </w:rPr>
        <w:t xml:space="preserve"> </w:t>
      </w:r>
      <w:r>
        <w:rPr>
          <w:spacing w:val="-3"/>
          <w:sz w:val="17"/>
          <w:szCs w:val="17"/>
        </w:rPr>
        <w:t>和</w:t>
      </w:r>
      <w:r>
        <w:rPr>
          <w:spacing w:val="-38"/>
          <w:sz w:val="17"/>
          <w:szCs w:val="17"/>
        </w:rPr>
        <w:t xml:space="preserve"> </w:t>
      </w:r>
      <w:r>
        <w:rPr>
          <w:spacing w:val="-3"/>
          <w:sz w:val="17"/>
          <w:szCs w:val="17"/>
        </w:rPr>
        <w:t>反</w:t>
      </w:r>
      <w:r>
        <w:rPr>
          <w:spacing w:val="-29"/>
          <w:sz w:val="17"/>
          <w:szCs w:val="17"/>
        </w:rPr>
        <w:t xml:space="preserve"> </w:t>
      </w:r>
      <w:r>
        <w:rPr>
          <w:spacing w:val="-3"/>
          <w:sz w:val="17"/>
          <w:szCs w:val="17"/>
        </w:rPr>
        <w:t>映</w:t>
      </w:r>
      <w:r>
        <w:rPr>
          <w:spacing w:val="-39"/>
          <w:sz w:val="17"/>
          <w:szCs w:val="17"/>
        </w:rPr>
        <w:t xml:space="preserve"> </w:t>
      </w:r>
      <w:r>
        <w:rPr>
          <w:spacing w:val="-3"/>
          <w:sz w:val="17"/>
          <w:szCs w:val="17"/>
        </w:rPr>
        <w:t>相</w:t>
      </w:r>
      <w:r>
        <w:rPr>
          <w:spacing w:val="-36"/>
          <w:sz w:val="17"/>
          <w:szCs w:val="17"/>
        </w:rPr>
        <w:t xml:space="preserve"> </w:t>
      </w:r>
      <w:r>
        <w:rPr>
          <w:spacing w:val="-3"/>
          <w:sz w:val="17"/>
          <w:szCs w:val="17"/>
        </w:rPr>
        <w:t>关</w:t>
      </w:r>
      <w:r>
        <w:rPr>
          <w:spacing w:val="-45"/>
          <w:sz w:val="17"/>
          <w:szCs w:val="17"/>
        </w:rPr>
        <w:t xml:space="preserve"> </w:t>
      </w:r>
      <w:r>
        <w:rPr>
          <w:spacing w:val="-3"/>
          <w:sz w:val="17"/>
          <w:szCs w:val="17"/>
        </w:rPr>
        <w:t>“</w:t>
      </w:r>
      <w:r>
        <w:rPr>
          <w:spacing w:val="-39"/>
          <w:sz w:val="17"/>
          <w:szCs w:val="17"/>
        </w:rPr>
        <w:t xml:space="preserve"> </w:t>
      </w:r>
      <w:r>
        <w:rPr>
          <w:spacing w:val="-3"/>
          <w:sz w:val="17"/>
          <w:szCs w:val="17"/>
        </w:rPr>
        <w:t>物</w:t>
      </w:r>
      <w:r>
        <w:rPr>
          <w:spacing w:val="-22"/>
          <w:sz w:val="17"/>
          <w:szCs w:val="17"/>
        </w:rPr>
        <w:t xml:space="preserve"> </w:t>
      </w:r>
      <w:r>
        <w:rPr>
          <w:spacing w:val="-3"/>
          <w:sz w:val="17"/>
          <w:szCs w:val="17"/>
        </w:rPr>
        <w:t>”</w:t>
      </w:r>
      <w:r>
        <w:rPr>
          <w:spacing w:val="-41"/>
          <w:sz w:val="17"/>
          <w:szCs w:val="17"/>
        </w:rPr>
        <w:t xml:space="preserve"> </w:t>
      </w:r>
      <w:r>
        <w:rPr>
          <w:spacing w:val="-3"/>
          <w:sz w:val="17"/>
          <w:szCs w:val="17"/>
        </w:rPr>
        <w:t>内</w:t>
      </w:r>
      <w:r>
        <w:rPr>
          <w:spacing w:val="-39"/>
          <w:sz w:val="17"/>
          <w:szCs w:val="17"/>
        </w:rPr>
        <w:t xml:space="preserve"> </w:t>
      </w:r>
      <w:r>
        <w:rPr>
          <w:spacing w:val="-3"/>
          <w:sz w:val="17"/>
          <w:szCs w:val="17"/>
        </w:rPr>
        <w:t>在</w:t>
      </w:r>
      <w:r>
        <w:rPr>
          <w:spacing w:val="-39"/>
          <w:sz w:val="17"/>
          <w:szCs w:val="17"/>
        </w:rPr>
        <w:t xml:space="preserve"> </w:t>
      </w:r>
      <w:r>
        <w:rPr>
          <w:spacing w:val="-3"/>
          <w:sz w:val="17"/>
          <w:szCs w:val="17"/>
        </w:rPr>
        <w:t>某</w:t>
      </w:r>
      <w:r>
        <w:rPr>
          <w:spacing w:val="-36"/>
          <w:sz w:val="17"/>
          <w:szCs w:val="17"/>
        </w:rPr>
        <w:t xml:space="preserve"> </w:t>
      </w:r>
      <w:r>
        <w:rPr>
          <w:spacing w:val="-3"/>
          <w:sz w:val="17"/>
          <w:szCs w:val="17"/>
        </w:rPr>
        <w:t>些</w:t>
      </w:r>
      <w:r>
        <w:rPr>
          <w:spacing w:val="-39"/>
          <w:sz w:val="17"/>
          <w:szCs w:val="17"/>
        </w:rPr>
        <w:t xml:space="preserve"> </w:t>
      </w:r>
      <w:r>
        <w:rPr>
          <w:spacing w:val="-3"/>
          <w:sz w:val="17"/>
          <w:szCs w:val="17"/>
        </w:rPr>
        <w:t>特</w:t>
      </w:r>
      <w:r>
        <w:rPr>
          <w:sz w:val="17"/>
          <w:szCs w:val="17"/>
        </w:rPr>
        <w:t xml:space="preserve">  </w:t>
      </w:r>
      <w:r>
        <w:rPr>
          <w:spacing w:val="33"/>
          <w:sz w:val="17"/>
          <w:szCs w:val="17"/>
        </w:rPr>
        <w:t>征要素的信息数据，通过通信网络传递到物联网业务平台，按照设定的业务逻辑</w:t>
      </w:r>
      <w:r>
        <w:rPr>
          <w:spacing w:val="32"/>
          <w:sz w:val="17"/>
          <w:szCs w:val="17"/>
        </w:rPr>
        <w:t>进行处理，将</w:t>
      </w:r>
      <w:r>
        <w:rPr>
          <w:sz w:val="17"/>
          <w:szCs w:val="17"/>
        </w:rPr>
        <w:t xml:space="preserve">  </w:t>
      </w:r>
      <w:r>
        <w:rPr>
          <w:spacing w:val="30"/>
          <w:sz w:val="17"/>
          <w:szCs w:val="17"/>
        </w:rPr>
        <w:t>结果反馈给“物”本身，或传递给其他的“物”或者人，进行相应处置和展示。从</w:t>
      </w:r>
      <w:r>
        <w:rPr>
          <w:spacing w:val="29"/>
          <w:sz w:val="17"/>
          <w:szCs w:val="17"/>
        </w:rPr>
        <w:t>技术角度看，</w:t>
      </w:r>
      <w:r>
        <w:rPr>
          <w:sz w:val="17"/>
          <w:szCs w:val="17"/>
        </w:rPr>
        <w:t xml:space="preserve"> </w:t>
      </w:r>
      <w:r>
        <w:rPr>
          <w:spacing w:val="31"/>
          <w:sz w:val="17"/>
          <w:szCs w:val="17"/>
        </w:rPr>
        <w:t>物联网</w:t>
      </w:r>
      <w:r>
        <w:rPr>
          <w:spacing w:val="-42"/>
          <w:sz w:val="17"/>
          <w:szCs w:val="17"/>
        </w:rPr>
        <w:t xml:space="preserve"> </w:t>
      </w:r>
      <w:r>
        <w:rPr>
          <w:spacing w:val="31"/>
          <w:sz w:val="17"/>
          <w:szCs w:val="17"/>
        </w:rPr>
        <w:t>一</w:t>
      </w:r>
      <w:r>
        <w:rPr>
          <w:spacing w:val="-45"/>
          <w:sz w:val="17"/>
          <w:szCs w:val="17"/>
        </w:rPr>
        <w:t xml:space="preserve"> </w:t>
      </w:r>
      <w:r>
        <w:rPr>
          <w:spacing w:val="31"/>
          <w:sz w:val="17"/>
          <w:szCs w:val="17"/>
        </w:rPr>
        <w:t>般由三层组成，分别是由负责感知“物”的传感器组成的感知层、负责进</w:t>
      </w:r>
      <w:r>
        <w:rPr>
          <w:spacing w:val="30"/>
          <w:sz w:val="17"/>
          <w:szCs w:val="17"/>
        </w:rPr>
        <w:t>行信息数据</w:t>
      </w:r>
      <w:r>
        <w:rPr>
          <w:sz w:val="17"/>
          <w:szCs w:val="17"/>
        </w:rPr>
        <w:t xml:space="preserve">  </w:t>
      </w:r>
      <w:r>
        <w:rPr>
          <w:spacing w:val="26"/>
          <w:sz w:val="17"/>
          <w:szCs w:val="17"/>
        </w:rPr>
        <w:t>传递的网络层、负责相关数据处置和提供服</w:t>
      </w:r>
      <w:r>
        <w:rPr>
          <w:spacing w:val="25"/>
          <w:sz w:val="17"/>
          <w:szCs w:val="17"/>
        </w:rPr>
        <w:t>务的应用层，如图3</w:t>
      </w:r>
      <w:r>
        <w:rPr>
          <w:spacing w:val="-50"/>
          <w:sz w:val="17"/>
          <w:szCs w:val="17"/>
        </w:rPr>
        <w:t xml:space="preserve"> </w:t>
      </w:r>
      <w:r>
        <w:rPr>
          <w:spacing w:val="25"/>
          <w:sz w:val="17"/>
          <w:szCs w:val="17"/>
        </w:rPr>
        <w:t>-</w:t>
      </w:r>
      <w:r>
        <w:rPr>
          <w:spacing w:val="-36"/>
          <w:sz w:val="17"/>
          <w:szCs w:val="17"/>
        </w:rPr>
        <w:t xml:space="preserve"> </w:t>
      </w:r>
      <w:r>
        <w:rPr>
          <w:spacing w:val="25"/>
          <w:sz w:val="17"/>
          <w:szCs w:val="17"/>
        </w:rPr>
        <w:t>12所示。</w:t>
      </w:r>
    </w:p>
    <w:p w14:paraId="1824346F">
      <w:pPr>
        <w:pStyle w:val="2"/>
        <w:spacing w:before="83" w:line="1800" w:lineRule="exact"/>
        <w:ind w:firstLine="550"/>
      </w:pPr>
      <w:r>
        <w:rPr>
          <w:position w:val="-36"/>
        </w:rPr>
        <w:pict>
          <v:group id="_x0000_s1230" o:spid="_x0000_s1230" o:spt="203" style="height:90.05pt;width:389.05pt;" coordsize="7780,1801">
            <o:lock v:ext="edit"/>
            <v:shape id="_x0000_s1231" o:spid="_x0000_s1231" o:spt="75" type="#_x0000_t75" style="position:absolute;left:0;top:0;height:1801;width:7780;" filled="f" stroked="f" coordsize="21600,21600">
              <v:path/>
              <v:fill on="f" focussize="0,0"/>
              <v:stroke on="f"/>
              <v:imagedata r:id="rId86" o:title=""/>
              <o:lock v:ext="edit" aspectratio="t"/>
            </v:shape>
            <v:shape id="_x0000_s1232" o:spid="_x0000_s1232" o:spt="202" type="#_x0000_t202" style="position:absolute;left:-20;top:-20;height:1841;width:7820;" filled="f" stroked="f" coordsize="21600,21600">
              <v:path/>
              <v:fill on="f" focussize="0,0"/>
              <v:stroke on="f"/>
              <v:imagedata o:title=""/>
              <o:lock v:ext="edit" aspectratio="f"/>
              <v:textbox inset="0mm,0mm,0mm,0mm">
                <w:txbxContent>
                  <w:p w14:paraId="3631854B">
                    <w:pPr>
                      <w:spacing w:line="430" w:lineRule="auto"/>
                      <w:rPr>
                        <w:rFonts w:ascii="Arial"/>
                        <w:sz w:val="21"/>
                      </w:rPr>
                    </w:pPr>
                  </w:p>
                  <w:p w14:paraId="48891C7A">
                    <w:pPr>
                      <w:spacing w:before="55" w:line="221" w:lineRule="auto"/>
                      <w:ind w:left="200"/>
                      <w:rPr>
                        <w:rFonts w:ascii="宋体" w:hAnsi="宋体" w:eastAsia="宋体" w:cs="宋体"/>
                        <w:sz w:val="17"/>
                        <w:szCs w:val="17"/>
                      </w:rPr>
                    </w:pPr>
                    <w:r>
                      <w:rPr>
                        <w:rFonts w:ascii="宋体" w:hAnsi="宋体" w:eastAsia="宋体" w:cs="宋体"/>
                        <w:spacing w:val="6"/>
                        <w:sz w:val="17"/>
                        <w:szCs w:val="17"/>
                      </w:rPr>
                      <w:t>物联网应用</w:t>
                    </w:r>
                  </w:p>
                  <w:p w14:paraId="4A3C3A91">
                    <w:pPr>
                      <w:spacing w:line="318" w:lineRule="auto"/>
                      <w:rPr>
                        <w:rFonts w:ascii="Arial"/>
                        <w:sz w:val="21"/>
                      </w:rPr>
                    </w:pPr>
                  </w:p>
                  <w:p w14:paraId="4EAAE446">
                    <w:pPr>
                      <w:spacing w:before="55" w:line="219" w:lineRule="auto"/>
                      <w:ind w:left="159"/>
                      <w:rPr>
                        <w:rFonts w:ascii="宋体" w:hAnsi="宋体" w:eastAsia="宋体" w:cs="宋体"/>
                        <w:sz w:val="17"/>
                        <w:szCs w:val="17"/>
                      </w:rPr>
                    </w:pPr>
                    <w:r>
                      <w:rPr>
                        <w:rFonts w:ascii="宋体" w:hAnsi="宋体" w:eastAsia="宋体" w:cs="宋体"/>
                        <w:spacing w:val="-3"/>
                        <w:sz w:val="17"/>
                        <w:szCs w:val="17"/>
                      </w:rPr>
                      <w:t>应用基础设施/中间件</w:t>
                    </w:r>
                  </w:p>
                  <w:p w14:paraId="61607E28">
                    <w:pPr>
                      <w:spacing w:before="208" w:line="230" w:lineRule="auto"/>
                      <w:ind w:left="489"/>
                      <w:rPr>
                        <w:rFonts w:ascii="宋体" w:hAnsi="宋体" w:eastAsia="宋体" w:cs="宋体"/>
                        <w:sz w:val="17"/>
                        <w:szCs w:val="17"/>
                      </w:rPr>
                    </w:pPr>
                    <w:r>
                      <w:rPr>
                        <w:rFonts w:ascii="宋体" w:hAnsi="宋体" w:eastAsia="宋体" w:cs="宋体"/>
                        <w:spacing w:val="3"/>
                        <w:position w:val="2"/>
                        <w:sz w:val="17"/>
                        <w:szCs w:val="17"/>
                      </w:rPr>
                      <w:t>应用层</w:t>
                    </w:r>
                    <w:r>
                      <w:rPr>
                        <w:rFonts w:ascii="宋体" w:hAnsi="宋体" w:eastAsia="宋体" w:cs="宋体"/>
                        <w:spacing w:val="8"/>
                        <w:position w:val="2"/>
                        <w:sz w:val="17"/>
                        <w:szCs w:val="17"/>
                      </w:rPr>
                      <w:t xml:space="preserve">       </w:t>
                    </w:r>
                    <w:r>
                      <w:rPr>
                        <w:rFonts w:ascii="宋体" w:hAnsi="宋体" w:eastAsia="宋体" w:cs="宋体"/>
                        <w:spacing w:val="3"/>
                        <w:sz w:val="17"/>
                        <w:szCs w:val="17"/>
                      </w:rPr>
                      <w:t>信息处理</w:t>
                    </w:r>
                    <w:r>
                      <w:rPr>
                        <w:rFonts w:ascii="宋体" w:hAnsi="宋体" w:eastAsia="宋体" w:cs="宋体"/>
                        <w:spacing w:val="30"/>
                        <w:sz w:val="17"/>
                        <w:szCs w:val="17"/>
                      </w:rPr>
                      <w:t xml:space="preserve">  </w:t>
                    </w:r>
                    <w:r>
                      <w:rPr>
                        <w:rFonts w:ascii="宋体" w:hAnsi="宋体" w:eastAsia="宋体" w:cs="宋体"/>
                        <w:spacing w:val="3"/>
                        <w:sz w:val="17"/>
                        <w:szCs w:val="17"/>
                      </w:rPr>
                      <w:t>应用集成    云计算</w:t>
                    </w:r>
                    <w:r>
                      <w:rPr>
                        <w:rFonts w:ascii="宋体" w:hAnsi="宋体" w:eastAsia="宋体" w:cs="宋体"/>
                        <w:spacing w:val="19"/>
                        <w:sz w:val="17"/>
                        <w:szCs w:val="17"/>
                      </w:rPr>
                      <w:t xml:space="preserve">   </w:t>
                    </w:r>
                    <w:r>
                      <w:rPr>
                        <w:rFonts w:ascii="宋体" w:hAnsi="宋体" w:eastAsia="宋体" w:cs="宋体"/>
                        <w:spacing w:val="3"/>
                        <w:sz w:val="17"/>
                        <w:szCs w:val="17"/>
                      </w:rPr>
                      <w:t>解析服务</w:t>
                    </w:r>
                    <w:r>
                      <w:rPr>
                        <w:rFonts w:ascii="宋体" w:hAnsi="宋体" w:eastAsia="宋体" w:cs="宋体"/>
                        <w:spacing w:val="44"/>
                        <w:w w:val="101"/>
                        <w:sz w:val="17"/>
                        <w:szCs w:val="17"/>
                      </w:rPr>
                      <w:t xml:space="preserve"> </w:t>
                    </w:r>
                    <w:r>
                      <w:rPr>
                        <w:rFonts w:ascii="宋体" w:hAnsi="宋体" w:eastAsia="宋体" w:cs="宋体"/>
                        <w:spacing w:val="3"/>
                        <w:sz w:val="17"/>
                        <w:szCs w:val="17"/>
                      </w:rPr>
                      <w:t>网络管理   安全服务</w:t>
                    </w:r>
                  </w:p>
                </w:txbxContent>
              </v:textbox>
            </v:shape>
            <w10:wrap type="none"/>
            <w10:anchorlock/>
          </v:group>
        </w:pict>
      </w:r>
    </w:p>
    <w:p w14:paraId="24A415A9">
      <w:pPr>
        <w:spacing w:line="303" w:lineRule="auto"/>
        <w:rPr>
          <w:rFonts w:ascii="Arial"/>
          <w:sz w:val="21"/>
        </w:rPr>
      </w:pPr>
    </w:p>
    <w:p w14:paraId="580028C7">
      <w:pPr>
        <w:spacing w:line="304" w:lineRule="auto"/>
        <w:rPr>
          <w:rFonts w:ascii="Arial"/>
          <w:sz w:val="21"/>
        </w:rPr>
      </w:pPr>
    </w:p>
    <w:p w14:paraId="563B3A22">
      <w:pPr>
        <w:pStyle w:val="2"/>
        <w:spacing w:before="56" w:line="174" w:lineRule="auto"/>
        <w:ind w:left="3260"/>
        <w:rPr>
          <w:sz w:val="17"/>
          <w:szCs w:val="17"/>
        </w:rPr>
      </w:pPr>
      <w:r>
        <w:drawing>
          <wp:anchor distT="0" distB="0" distL="0" distR="0" simplePos="0" relativeHeight="251695104" behindDoc="1" locked="0" layoutInCell="1" allowOverlap="1">
            <wp:simplePos x="0" y="0"/>
            <wp:positionH relativeFrom="column">
              <wp:posOffset>336550</wp:posOffset>
            </wp:positionH>
            <wp:positionV relativeFrom="paragraph">
              <wp:posOffset>-330200</wp:posOffset>
            </wp:positionV>
            <wp:extent cx="4965700" cy="12382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87"/>
                    <a:stretch>
                      <a:fillRect/>
                    </a:stretch>
                  </pic:blipFill>
                  <pic:spPr>
                    <a:xfrm>
                      <a:off x="0" y="0"/>
                      <a:ext cx="4965678" cy="1238325"/>
                    </a:xfrm>
                    <a:prstGeom prst="rect">
                      <a:avLst/>
                    </a:prstGeom>
                  </pic:spPr>
                </pic:pic>
              </a:graphicData>
            </a:graphic>
          </wp:anchor>
        </w:drawing>
      </w:r>
      <w:r>
        <w:rPr>
          <w:spacing w:val="-6"/>
          <w:sz w:val="17"/>
          <w:szCs w:val="17"/>
        </w:rPr>
        <w:t>电信网/互联网</w:t>
      </w:r>
    </w:p>
    <w:p w14:paraId="1F963699">
      <w:pPr>
        <w:pStyle w:val="2"/>
        <w:spacing w:line="209" w:lineRule="auto"/>
        <w:ind w:left="5729"/>
        <w:rPr>
          <w:sz w:val="17"/>
          <w:szCs w:val="17"/>
        </w:rPr>
      </w:pPr>
      <w:r>
        <w:rPr>
          <w:spacing w:val="-2"/>
          <w:sz w:val="17"/>
          <w:szCs w:val="17"/>
        </w:rPr>
        <w:t>专用网络</w:t>
      </w:r>
    </w:p>
    <w:p w14:paraId="3DD7BDBA">
      <w:pPr>
        <w:pStyle w:val="2"/>
        <w:spacing w:before="37" w:line="219" w:lineRule="auto"/>
        <w:ind w:left="1020"/>
        <w:rPr>
          <w:sz w:val="17"/>
          <w:szCs w:val="17"/>
        </w:rPr>
      </w:pPr>
      <w:r>
        <w:rPr>
          <w:spacing w:val="3"/>
          <w:sz w:val="17"/>
          <w:szCs w:val="17"/>
        </w:rPr>
        <w:t>网络层</w:t>
      </w:r>
    </w:p>
    <w:p w14:paraId="34D948FD">
      <w:pPr>
        <w:spacing w:before="87" w:line="222" w:lineRule="auto"/>
        <w:ind w:left="4870"/>
        <w:rPr>
          <w:rFonts w:ascii="黑体" w:hAnsi="黑体" w:eastAsia="黑体" w:cs="黑体"/>
          <w:sz w:val="17"/>
          <w:szCs w:val="17"/>
        </w:rPr>
      </w:pPr>
      <w:r>
        <w:rPr>
          <w:rFonts w:ascii="黑体" w:hAnsi="黑体" w:eastAsia="黑体" w:cs="黑体"/>
          <w:spacing w:val="7"/>
          <w:sz w:val="17"/>
          <w:szCs w:val="17"/>
        </w:rPr>
        <w:t>物联网</w:t>
      </w:r>
    </w:p>
    <w:p w14:paraId="5C4EE71E">
      <w:pPr>
        <w:pStyle w:val="2"/>
        <w:spacing w:before="8" w:line="220" w:lineRule="auto"/>
        <w:ind w:left="4960"/>
        <w:rPr>
          <w:sz w:val="17"/>
          <w:szCs w:val="17"/>
        </w:rPr>
      </w:pPr>
      <w:r>
        <w:pict>
          <v:shape id="_x0000_s1233" o:spid="_x0000_s1233" o:spt="202" type="#_x0000_t202" style="position:absolute;left:0pt;margin-left:189.5pt;margin-top:-4.1pt;height:12.15pt;width:35.65pt;z-index:251697152;mso-width-relative:page;mso-height-relative:page;" filled="f" stroked="f" coordsize="21600,21600">
            <v:path/>
            <v:fill on="f" focussize="0,0"/>
            <v:stroke on="f"/>
            <v:imagedata o:title=""/>
            <o:lock v:ext="edit" aspectratio="f"/>
            <v:textbox inset="0mm,0mm,0mm,0mm">
              <w:txbxContent>
                <w:p w14:paraId="563B6477">
                  <w:pPr>
                    <w:pStyle w:val="2"/>
                    <w:spacing w:before="20" w:line="220" w:lineRule="auto"/>
                    <w:ind w:left="20"/>
                    <w:rPr>
                      <w:sz w:val="17"/>
                      <w:szCs w:val="17"/>
                    </w:rPr>
                  </w:pPr>
                  <w:r>
                    <w:rPr>
                      <w:spacing w:val="-2"/>
                      <w:sz w:val="17"/>
                      <w:szCs w:val="17"/>
                    </w:rPr>
                    <w:t>延伸网络</w:t>
                  </w:r>
                </w:p>
              </w:txbxContent>
            </v:textbox>
          </v:shape>
        </w:pict>
      </w:r>
      <w:r>
        <w:rPr>
          <w:spacing w:val="-10"/>
          <w:sz w:val="17"/>
          <w:szCs w:val="17"/>
        </w:rPr>
        <w:t>网</w:t>
      </w:r>
      <w:r>
        <w:rPr>
          <w:spacing w:val="-18"/>
          <w:sz w:val="17"/>
          <w:szCs w:val="17"/>
        </w:rPr>
        <w:t xml:space="preserve"> </w:t>
      </w:r>
      <w:r>
        <w:rPr>
          <w:spacing w:val="-10"/>
          <w:sz w:val="17"/>
          <w:szCs w:val="17"/>
        </w:rPr>
        <w:t>关</w:t>
      </w:r>
    </w:p>
    <w:p w14:paraId="76E2E74F">
      <w:pPr>
        <w:spacing w:line="298" w:lineRule="auto"/>
        <w:rPr>
          <w:rFonts w:ascii="Arial"/>
          <w:sz w:val="21"/>
        </w:rPr>
      </w:pPr>
    </w:p>
    <w:p w14:paraId="5169BBD7">
      <w:pPr>
        <w:spacing w:line="299" w:lineRule="auto"/>
        <w:rPr>
          <w:rFonts w:ascii="Arial"/>
          <w:sz w:val="21"/>
        </w:rPr>
      </w:pPr>
    </w:p>
    <w:p w14:paraId="37B000F0">
      <w:pPr>
        <w:pStyle w:val="2"/>
        <w:spacing w:before="56" w:line="219" w:lineRule="auto"/>
        <w:ind w:left="4050"/>
        <w:rPr>
          <w:sz w:val="17"/>
          <w:szCs w:val="17"/>
        </w:rPr>
      </w:pPr>
      <w:r>
        <w:drawing>
          <wp:anchor distT="0" distB="0" distL="0" distR="0" simplePos="0" relativeHeight="251696128" behindDoc="1" locked="0" layoutInCell="1" allowOverlap="1">
            <wp:simplePos x="0" y="0"/>
            <wp:positionH relativeFrom="column">
              <wp:posOffset>367665</wp:posOffset>
            </wp:positionH>
            <wp:positionV relativeFrom="paragraph">
              <wp:posOffset>-95250</wp:posOffset>
            </wp:positionV>
            <wp:extent cx="4953000" cy="8255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8"/>
                    <a:stretch>
                      <a:fillRect/>
                    </a:stretch>
                  </pic:blipFill>
                  <pic:spPr>
                    <a:xfrm>
                      <a:off x="0" y="0"/>
                      <a:ext cx="4953055" cy="825522"/>
                    </a:xfrm>
                    <a:prstGeom prst="rect">
                      <a:avLst/>
                    </a:prstGeom>
                  </pic:spPr>
                </pic:pic>
              </a:graphicData>
            </a:graphic>
          </wp:anchor>
        </w:drawing>
      </w:r>
      <w:r>
        <w:rPr>
          <w:spacing w:val="4"/>
          <w:sz w:val="17"/>
          <w:szCs w:val="17"/>
        </w:rPr>
        <w:t>通信模块</w:t>
      </w:r>
    </w:p>
    <w:p w14:paraId="429D8782">
      <w:pPr>
        <w:pStyle w:val="2"/>
        <w:spacing w:before="38" w:line="219" w:lineRule="auto"/>
        <w:ind w:left="1020"/>
        <w:rPr>
          <w:sz w:val="17"/>
          <w:szCs w:val="17"/>
        </w:rPr>
      </w:pPr>
      <w:r>
        <w:rPr>
          <w:spacing w:val="-2"/>
          <w:sz w:val="17"/>
          <w:szCs w:val="17"/>
        </w:rPr>
        <w:t>感知层</w:t>
      </w:r>
    </w:p>
    <w:p w14:paraId="4A3FC0C0">
      <w:pPr>
        <w:pStyle w:val="2"/>
        <w:spacing w:before="228" w:line="230" w:lineRule="auto"/>
        <w:ind w:left="3270"/>
        <w:rPr>
          <w:sz w:val="17"/>
          <w:szCs w:val="17"/>
        </w:rPr>
      </w:pPr>
      <w:r>
        <w:pict>
          <v:shape id="_x0000_s1234" o:spid="_x0000_s1234" o:spt="202" type="#_x0000_t202" style="position:absolute;left:0pt;margin-left:108.5pt;margin-top:11.35pt;height:12.1pt;width:27.25pt;z-index:251698176;mso-width-relative:page;mso-height-relative:page;" filled="f" stroked="f" coordsize="21600,21600">
            <v:path/>
            <v:fill on="f" focussize="0,0"/>
            <v:stroke on="f"/>
            <v:imagedata o:title=""/>
            <o:lock v:ext="edit" aspectratio="f"/>
            <v:textbox inset="0mm,0mm,0mm,0mm">
              <w:txbxContent>
                <w:p w14:paraId="69DE70AA">
                  <w:pPr>
                    <w:pStyle w:val="2"/>
                    <w:spacing w:before="19" w:line="219" w:lineRule="auto"/>
                    <w:ind w:left="20"/>
                    <w:rPr>
                      <w:sz w:val="17"/>
                      <w:szCs w:val="17"/>
                    </w:rPr>
                  </w:pPr>
                  <w:r>
                    <w:rPr>
                      <w:spacing w:val="-2"/>
                      <w:sz w:val="17"/>
                      <w:szCs w:val="17"/>
                    </w:rPr>
                    <w:t>传感器</w:t>
                  </w:r>
                </w:p>
              </w:txbxContent>
            </v:textbox>
          </v:shape>
        </w:pict>
      </w:r>
      <w:r>
        <w:rPr>
          <w:spacing w:val="-1"/>
          <w:sz w:val="17"/>
          <w:szCs w:val="17"/>
        </w:rPr>
        <w:t>执行器</w:t>
      </w:r>
      <w:r>
        <w:rPr>
          <w:spacing w:val="4"/>
          <w:sz w:val="17"/>
          <w:szCs w:val="17"/>
        </w:rPr>
        <w:t xml:space="preserve">       </w:t>
      </w:r>
      <w:r>
        <w:rPr>
          <w:rFonts w:ascii="Times New Roman" w:hAnsi="Times New Roman" w:eastAsia="Times New Roman" w:cs="Times New Roman"/>
          <w:spacing w:val="-1"/>
          <w:position w:val="1"/>
          <w:sz w:val="17"/>
          <w:szCs w:val="17"/>
        </w:rPr>
        <w:t xml:space="preserve">RFID              </w:t>
      </w:r>
      <w:r>
        <w:rPr>
          <w:spacing w:val="-1"/>
          <w:sz w:val="17"/>
          <w:szCs w:val="17"/>
        </w:rPr>
        <w:t xml:space="preserve">二维码       </w:t>
      </w:r>
      <w:r>
        <w:rPr>
          <w:spacing w:val="-1"/>
          <w:position w:val="-1"/>
          <w:sz w:val="17"/>
          <w:szCs w:val="17"/>
        </w:rPr>
        <w:t>智能装置等</w:t>
      </w:r>
    </w:p>
    <w:p w14:paraId="5AC058FA">
      <w:pPr>
        <w:spacing w:line="251" w:lineRule="auto"/>
        <w:rPr>
          <w:rFonts w:ascii="Arial"/>
          <w:sz w:val="21"/>
        </w:rPr>
      </w:pPr>
    </w:p>
    <w:p w14:paraId="3581F2C8">
      <w:pPr>
        <w:pStyle w:val="2"/>
        <w:spacing w:before="56" w:line="219" w:lineRule="auto"/>
        <w:ind w:left="3520"/>
        <w:rPr>
          <w:sz w:val="17"/>
          <w:szCs w:val="17"/>
        </w:rPr>
      </w:pPr>
      <w:r>
        <w:rPr>
          <w:spacing w:val="7"/>
          <w:sz w:val="17"/>
          <w:szCs w:val="17"/>
        </w:rPr>
        <w:t>图3-12  典型物联网架构</w:t>
      </w:r>
    </w:p>
    <w:p w14:paraId="26E13E04">
      <w:pPr>
        <w:spacing w:line="219" w:lineRule="auto"/>
        <w:rPr>
          <w:sz w:val="17"/>
          <w:szCs w:val="17"/>
        </w:rPr>
        <w:sectPr>
          <w:pgSz w:w="10300" w:h="13390"/>
          <w:pgMar w:top="400" w:right="1084" w:bottom="400" w:left="499" w:header="0" w:footer="0" w:gutter="0"/>
          <w:cols w:space="720" w:num="1"/>
        </w:sectPr>
      </w:pPr>
    </w:p>
    <w:p w14:paraId="3C013520">
      <w:pPr>
        <w:pStyle w:val="2"/>
        <w:jc w:val="right"/>
        <w:rPr>
          <w:rFonts w:ascii="Times New Roman" w:hAnsi="Times New Roman" w:eastAsia="Times New Roman" w:cs="Times New Roman"/>
          <w:sz w:val="20"/>
          <w:szCs w:val="20"/>
        </w:rPr>
      </w:pPr>
      <w:r>
        <w:rPr>
          <w:spacing w:val="-5"/>
          <w:sz w:val="20"/>
          <w:szCs w:val="20"/>
        </w:rPr>
        <w:t>第3章 信息网络系统</w:t>
      </w:r>
      <w:r>
        <w:rPr>
          <w:spacing w:val="50"/>
          <w:sz w:val="20"/>
          <w:szCs w:val="20"/>
        </w:rPr>
        <w:t xml:space="preserve"> </w:t>
      </w:r>
      <w:r>
        <w:rPr>
          <w:position w:val="-11"/>
          <w:sz w:val="20"/>
          <w:szCs w:val="20"/>
        </w:rPr>
        <w:drawing>
          <wp:inline distT="0" distB="0" distL="0" distR="0">
            <wp:extent cx="316865" cy="24130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9"/>
                    <a:stretch>
                      <a:fillRect/>
                    </a:stretch>
                  </pic:blipFill>
                  <pic:spPr>
                    <a:xfrm>
                      <a:off x="0" y="0"/>
                      <a:ext cx="317494" cy="241300"/>
                    </a:xfrm>
                    <a:prstGeom prst="rect">
                      <a:avLst/>
                    </a:prstGeom>
                  </pic:spPr>
                </pic:pic>
              </a:graphicData>
            </a:graphic>
          </wp:inline>
        </w:drawing>
      </w:r>
      <w:r>
        <w:rPr>
          <w:rFonts w:ascii="Times New Roman" w:hAnsi="Times New Roman" w:eastAsia="Times New Roman" w:cs="Times New Roman"/>
          <w:spacing w:val="-5"/>
          <w:position w:val="-4"/>
          <w:sz w:val="20"/>
          <w:szCs w:val="20"/>
        </w:rPr>
        <w:t>109</w:t>
      </w:r>
    </w:p>
    <w:p w14:paraId="1687BC00">
      <w:pPr>
        <w:spacing w:line="257" w:lineRule="auto"/>
        <w:rPr>
          <w:rFonts w:ascii="Arial"/>
          <w:sz w:val="21"/>
        </w:rPr>
      </w:pPr>
    </w:p>
    <w:p w14:paraId="2324BA67">
      <w:pPr>
        <w:spacing w:before="65" w:line="232" w:lineRule="auto"/>
        <w:ind w:left="400"/>
        <w:rPr>
          <w:rFonts w:ascii="楷体" w:hAnsi="楷体" w:eastAsia="楷体" w:cs="楷体"/>
          <w:sz w:val="20"/>
          <w:szCs w:val="20"/>
        </w:rPr>
      </w:pPr>
      <w:r>
        <w:rPr>
          <w:rFonts w:ascii="楷体" w:hAnsi="楷体" w:eastAsia="楷体" w:cs="楷体"/>
          <w:spacing w:val="19"/>
          <w:sz w:val="20"/>
          <w:szCs w:val="20"/>
        </w:rPr>
        <w:t>1)感知层</w:t>
      </w:r>
    </w:p>
    <w:p w14:paraId="521F30DE">
      <w:pPr>
        <w:pStyle w:val="2"/>
        <w:spacing w:before="53" w:line="281" w:lineRule="auto"/>
        <w:ind w:right="318" w:firstLine="400"/>
        <w:rPr>
          <w:sz w:val="20"/>
          <w:szCs w:val="20"/>
        </w:rPr>
      </w:pPr>
      <w:r>
        <w:rPr>
          <w:spacing w:val="3"/>
          <w:sz w:val="20"/>
          <w:szCs w:val="20"/>
        </w:rPr>
        <w:t>感知层承担着物联网应用对现实世界的“物”进行感知和交互的任</w:t>
      </w:r>
      <w:r>
        <w:rPr>
          <w:spacing w:val="2"/>
          <w:sz w:val="20"/>
          <w:szCs w:val="20"/>
        </w:rPr>
        <w:t>务，收集信息数据或获</w:t>
      </w:r>
      <w:r>
        <w:rPr>
          <w:sz w:val="20"/>
          <w:szCs w:val="20"/>
        </w:rPr>
        <w:t xml:space="preserve"> </w:t>
      </w:r>
      <w:r>
        <w:rPr>
          <w:spacing w:val="-3"/>
          <w:sz w:val="20"/>
          <w:szCs w:val="20"/>
        </w:rPr>
        <w:t>取指令对现实世界进行交互。</w:t>
      </w:r>
    </w:p>
    <w:p w14:paraId="3BEA9CAD">
      <w:pPr>
        <w:pStyle w:val="2"/>
        <w:spacing w:before="41" w:line="219" w:lineRule="auto"/>
        <w:ind w:left="400"/>
        <w:rPr>
          <w:sz w:val="20"/>
          <w:szCs w:val="20"/>
        </w:rPr>
      </w:pPr>
      <w:r>
        <w:rPr>
          <w:spacing w:val="-3"/>
          <w:sz w:val="20"/>
          <w:szCs w:val="20"/>
        </w:rPr>
        <w:t>感知层包括各类感知和处置设备，主要负责：</w:t>
      </w:r>
    </w:p>
    <w:p w14:paraId="14F9D4A1">
      <w:pPr>
        <w:pStyle w:val="2"/>
        <w:spacing w:before="62" w:line="219" w:lineRule="auto"/>
        <w:ind w:left="400"/>
        <w:rPr>
          <w:sz w:val="20"/>
          <w:szCs w:val="20"/>
        </w:rPr>
      </w:pPr>
      <w:r>
        <w:rPr>
          <w:spacing w:val="3"/>
          <w:sz w:val="20"/>
          <w:szCs w:val="20"/>
        </w:rPr>
        <w:t>(1)感知各类物品的信息；</w:t>
      </w:r>
    </w:p>
    <w:p w14:paraId="6C95DBDB">
      <w:pPr>
        <w:pStyle w:val="2"/>
        <w:spacing w:before="71" w:line="219" w:lineRule="auto"/>
        <w:ind w:left="400"/>
        <w:rPr>
          <w:sz w:val="20"/>
          <w:szCs w:val="20"/>
        </w:rPr>
      </w:pPr>
      <w:r>
        <w:rPr>
          <w:spacing w:val="1"/>
          <w:sz w:val="20"/>
          <w:szCs w:val="20"/>
        </w:rPr>
        <w:t>(2)将信息进行本地处理和传递；</w:t>
      </w:r>
    </w:p>
    <w:p w14:paraId="1C2E9E8B">
      <w:pPr>
        <w:pStyle w:val="2"/>
        <w:spacing w:before="82" w:line="219" w:lineRule="auto"/>
        <w:ind w:left="400"/>
        <w:rPr>
          <w:sz w:val="20"/>
          <w:szCs w:val="20"/>
        </w:rPr>
      </w:pPr>
      <w:r>
        <w:rPr>
          <w:spacing w:val="2"/>
          <w:sz w:val="20"/>
          <w:szCs w:val="20"/>
        </w:rPr>
        <w:t>(3)根据应用层的指令进行下一步处置。</w:t>
      </w:r>
    </w:p>
    <w:p w14:paraId="14135DBC">
      <w:pPr>
        <w:pStyle w:val="2"/>
        <w:spacing w:before="74" w:line="286" w:lineRule="auto"/>
        <w:ind w:right="246" w:firstLine="400"/>
        <w:jc w:val="both"/>
        <w:rPr>
          <w:sz w:val="20"/>
          <w:szCs w:val="20"/>
        </w:rPr>
      </w:pPr>
      <w:r>
        <w:rPr>
          <w:spacing w:val="5"/>
          <w:sz w:val="20"/>
          <w:szCs w:val="20"/>
        </w:rPr>
        <w:t>各式各样的温度、压力、湿度、色彩等的传感器，</w:t>
      </w:r>
      <w:r>
        <w:rPr>
          <w:spacing w:val="4"/>
          <w:sz w:val="20"/>
          <w:szCs w:val="20"/>
        </w:rPr>
        <w:t>各类摄像头、条码设备、二维码设备、</w:t>
      </w:r>
      <w:r>
        <w:rPr>
          <w:sz w:val="20"/>
          <w:szCs w:val="20"/>
        </w:rPr>
        <w:t xml:space="preserve"> </w:t>
      </w:r>
      <w:r>
        <w:rPr>
          <w:rFonts w:ascii="Times New Roman" w:hAnsi="Times New Roman" w:eastAsia="Times New Roman" w:cs="Times New Roman"/>
          <w:sz w:val="20"/>
          <w:szCs w:val="20"/>
        </w:rPr>
        <w:t>GPS</w:t>
      </w:r>
      <w:r>
        <w:rPr>
          <w:rFonts w:ascii="Times New Roman" w:hAnsi="Times New Roman" w:eastAsia="Times New Roman" w:cs="Times New Roman"/>
          <w:spacing w:val="2"/>
          <w:sz w:val="20"/>
          <w:szCs w:val="20"/>
        </w:rPr>
        <w:t xml:space="preserve"> </w:t>
      </w:r>
      <w:r>
        <w:rPr>
          <w:spacing w:val="2"/>
          <w:sz w:val="20"/>
          <w:szCs w:val="20"/>
        </w:rPr>
        <w:t>设备、</w:t>
      </w:r>
      <w:r>
        <w:rPr>
          <w:rFonts w:ascii="Times New Roman" w:hAnsi="Times New Roman" w:eastAsia="Times New Roman" w:cs="Times New Roman"/>
          <w:sz w:val="20"/>
          <w:szCs w:val="20"/>
        </w:rPr>
        <w:t>NFC</w:t>
      </w:r>
      <w:r>
        <w:rPr>
          <w:rFonts w:ascii="Times New Roman" w:hAnsi="Times New Roman" w:eastAsia="Times New Roman" w:cs="Times New Roman"/>
          <w:spacing w:val="19"/>
          <w:w w:val="101"/>
          <w:sz w:val="20"/>
          <w:szCs w:val="20"/>
        </w:rPr>
        <w:t xml:space="preserve"> </w:t>
      </w:r>
      <w:r>
        <w:rPr>
          <w:spacing w:val="2"/>
          <w:sz w:val="20"/>
          <w:szCs w:val="20"/>
        </w:rPr>
        <w:t>设备等，都是感知层设备。感知层的关键</w:t>
      </w:r>
      <w:r>
        <w:rPr>
          <w:spacing w:val="1"/>
          <w:sz w:val="20"/>
          <w:szCs w:val="20"/>
        </w:rPr>
        <w:t>技术包括各种传感器技术、射频识别</w:t>
      </w:r>
      <w:r>
        <w:rPr>
          <w:sz w:val="20"/>
          <w:szCs w:val="20"/>
        </w:rPr>
        <w:t xml:space="preserve"> </w:t>
      </w:r>
      <w:r>
        <w:rPr>
          <w:spacing w:val="-2"/>
          <w:sz w:val="20"/>
          <w:szCs w:val="20"/>
        </w:rPr>
        <w:t>技术、条码、二维码技术、</w:t>
      </w:r>
      <w:r>
        <w:rPr>
          <w:rFonts w:ascii="Times New Roman" w:hAnsi="Times New Roman" w:eastAsia="Times New Roman" w:cs="Times New Roman"/>
          <w:spacing w:val="-2"/>
          <w:sz w:val="20"/>
          <w:szCs w:val="20"/>
        </w:rPr>
        <w:t>GPS</w:t>
      </w:r>
      <w:r>
        <w:rPr>
          <w:rFonts w:ascii="Times New Roman" w:hAnsi="Times New Roman" w:eastAsia="Times New Roman" w:cs="Times New Roman"/>
          <w:spacing w:val="20"/>
          <w:w w:val="101"/>
          <w:sz w:val="20"/>
          <w:szCs w:val="20"/>
        </w:rPr>
        <w:t xml:space="preserve"> </w:t>
      </w:r>
      <w:r>
        <w:rPr>
          <w:spacing w:val="-2"/>
          <w:sz w:val="20"/>
          <w:szCs w:val="20"/>
        </w:rPr>
        <w:t>技术、</w:t>
      </w:r>
      <w:r>
        <w:rPr>
          <w:rFonts w:ascii="Times New Roman" w:hAnsi="Times New Roman" w:eastAsia="Times New Roman" w:cs="Times New Roman"/>
          <w:spacing w:val="-2"/>
          <w:sz w:val="20"/>
          <w:szCs w:val="20"/>
        </w:rPr>
        <w:t xml:space="preserve">NFC </w:t>
      </w:r>
      <w:r>
        <w:rPr>
          <w:spacing w:val="-2"/>
          <w:sz w:val="20"/>
          <w:szCs w:val="20"/>
        </w:rPr>
        <w:t>技术、微机电系统</w:t>
      </w:r>
      <w:r>
        <w:rPr>
          <w:spacing w:val="-3"/>
          <w:sz w:val="20"/>
          <w:szCs w:val="20"/>
        </w:rPr>
        <w:t>技术等。</w:t>
      </w:r>
    </w:p>
    <w:p w14:paraId="0BE5E739">
      <w:pPr>
        <w:spacing w:before="96" w:line="232" w:lineRule="auto"/>
        <w:ind w:left="400"/>
        <w:rPr>
          <w:rFonts w:ascii="楷体" w:hAnsi="楷体" w:eastAsia="楷体" w:cs="楷体"/>
          <w:sz w:val="20"/>
          <w:szCs w:val="20"/>
        </w:rPr>
      </w:pPr>
      <w:r>
        <w:rPr>
          <w:rFonts w:ascii="楷体" w:hAnsi="楷体" w:eastAsia="楷体" w:cs="楷体"/>
          <w:spacing w:val="25"/>
          <w:sz w:val="20"/>
          <w:szCs w:val="20"/>
        </w:rPr>
        <w:t>2)网络层</w:t>
      </w:r>
    </w:p>
    <w:p w14:paraId="5F36FA05">
      <w:pPr>
        <w:pStyle w:val="2"/>
        <w:spacing w:before="82" w:line="219" w:lineRule="auto"/>
        <w:ind w:left="400"/>
        <w:rPr>
          <w:sz w:val="20"/>
          <w:szCs w:val="20"/>
        </w:rPr>
      </w:pPr>
      <w:r>
        <w:rPr>
          <w:spacing w:val="-1"/>
          <w:sz w:val="20"/>
          <w:szCs w:val="20"/>
        </w:rPr>
        <w:t>网络层负责连通感知层和应用层，安全、顺畅地传输数据和指令。</w:t>
      </w:r>
    </w:p>
    <w:p w14:paraId="6FB1E67D">
      <w:pPr>
        <w:pStyle w:val="2"/>
        <w:spacing w:before="52" w:line="280" w:lineRule="auto"/>
        <w:ind w:right="226" w:firstLine="400"/>
        <w:rPr>
          <w:sz w:val="20"/>
          <w:szCs w:val="20"/>
        </w:rPr>
      </w:pPr>
      <w:r>
        <w:rPr>
          <w:spacing w:val="1"/>
          <w:sz w:val="20"/>
          <w:szCs w:val="20"/>
        </w:rPr>
        <w:t>在实际信息系统工程建设中有以下几种方式：</w:t>
      </w:r>
      <w:r>
        <w:rPr>
          <w:spacing w:val="-30"/>
          <w:sz w:val="20"/>
          <w:szCs w:val="20"/>
        </w:rPr>
        <w:t xml:space="preserve"> </w:t>
      </w:r>
      <w:r>
        <w:rPr>
          <w:spacing w:val="1"/>
          <w:sz w:val="20"/>
          <w:szCs w:val="20"/>
        </w:rPr>
        <w:t>一种方式是由用户自行组建网络进行数据传</w:t>
      </w:r>
      <w:r>
        <w:rPr>
          <w:sz w:val="20"/>
          <w:szCs w:val="20"/>
        </w:rPr>
        <w:t xml:space="preserve">  </w:t>
      </w:r>
      <w:r>
        <w:rPr>
          <w:spacing w:val="2"/>
          <w:sz w:val="20"/>
          <w:szCs w:val="20"/>
        </w:rPr>
        <w:t>输，相关应用服务系统也自行建设；另一种方式是租用运营商等的通信网络(运营商有线网络、</w:t>
      </w:r>
      <w:r>
        <w:rPr>
          <w:spacing w:val="15"/>
          <w:sz w:val="20"/>
          <w:szCs w:val="20"/>
        </w:rPr>
        <w:t xml:space="preserve"> </w:t>
      </w:r>
      <w:r>
        <w:rPr>
          <w:spacing w:val="5"/>
          <w:sz w:val="20"/>
          <w:szCs w:val="20"/>
        </w:rPr>
        <w:t>移动网络或专门服务于物联网数据传输的网络)以及互联网进行数据传输。也可以将上述两种</w:t>
      </w:r>
      <w:r>
        <w:rPr>
          <w:spacing w:val="4"/>
          <w:sz w:val="20"/>
          <w:szCs w:val="20"/>
        </w:rPr>
        <w:t xml:space="preserve">  </w:t>
      </w:r>
      <w:r>
        <w:rPr>
          <w:spacing w:val="-1"/>
          <w:sz w:val="20"/>
          <w:szCs w:val="20"/>
        </w:rPr>
        <w:t>方式混合使用，即一部分自己建设，一部分租用</w:t>
      </w:r>
      <w:r>
        <w:rPr>
          <w:spacing w:val="-2"/>
          <w:sz w:val="20"/>
          <w:szCs w:val="20"/>
        </w:rPr>
        <w:t>运营商等的网络。</w:t>
      </w:r>
    </w:p>
    <w:p w14:paraId="5AA7D2EE">
      <w:pPr>
        <w:pStyle w:val="2"/>
        <w:spacing w:before="47" w:line="281" w:lineRule="auto"/>
        <w:ind w:right="292" w:firstLine="400"/>
        <w:rPr>
          <w:sz w:val="20"/>
          <w:szCs w:val="20"/>
        </w:rPr>
      </w:pPr>
      <w:r>
        <w:rPr>
          <w:spacing w:val="8"/>
          <w:sz w:val="20"/>
          <w:szCs w:val="20"/>
        </w:rPr>
        <w:t>组建网络层系统，除了之前提及的各种互联网技术和设备外，根据大多数物联网传感设</w:t>
      </w:r>
      <w:r>
        <w:rPr>
          <w:spacing w:val="4"/>
          <w:sz w:val="20"/>
          <w:szCs w:val="20"/>
        </w:rPr>
        <w:t xml:space="preserve"> </w:t>
      </w:r>
      <w:r>
        <w:rPr>
          <w:spacing w:val="3"/>
          <w:sz w:val="20"/>
          <w:szCs w:val="20"/>
        </w:rPr>
        <w:t>备数据量小、时延敏感等特点，又开发出特别适合物联网数据传输的若干无线传输技术，例如</w:t>
      </w:r>
      <w:r>
        <w:rPr>
          <w:spacing w:val="10"/>
          <w:sz w:val="20"/>
          <w:szCs w:val="20"/>
        </w:rPr>
        <w:t xml:space="preserve"> </w:t>
      </w:r>
      <w:r>
        <w:rPr>
          <w:rFonts w:ascii="Times New Roman" w:hAnsi="Times New Roman" w:eastAsia="Times New Roman" w:cs="Times New Roman"/>
          <w:sz w:val="20"/>
          <w:szCs w:val="20"/>
        </w:rPr>
        <w:t>Bluetooth</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IEEE</w:t>
      </w:r>
      <w:r>
        <w:rPr>
          <w:rFonts w:ascii="Times New Roman" w:hAnsi="Times New Roman" w:eastAsia="Times New Roman" w:cs="Times New Roman"/>
          <w:spacing w:val="6"/>
          <w:sz w:val="20"/>
          <w:szCs w:val="20"/>
        </w:rPr>
        <w:t xml:space="preserve">      802.15.1</w:t>
      </w:r>
      <w:r>
        <w:rPr>
          <w:spacing w:val="6"/>
          <w:sz w:val="20"/>
          <w:szCs w:val="20"/>
        </w:rPr>
        <w:t>标准)、</w:t>
      </w:r>
      <w:r>
        <w:rPr>
          <w:spacing w:val="-30"/>
          <w:sz w:val="20"/>
          <w:szCs w:val="20"/>
        </w:rPr>
        <w:t xml:space="preserve"> </w:t>
      </w:r>
      <w:r>
        <w:rPr>
          <w:rFonts w:ascii="Times New Roman" w:hAnsi="Times New Roman" w:eastAsia="Times New Roman" w:cs="Times New Roman"/>
          <w:sz w:val="20"/>
          <w:szCs w:val="20"/>
        </w:rPr>
        <w:t>ZigBee</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IEEE</w:t>
      </w:r>
      <w:r>
        <w:rPr>
          <w:rFonts w:ascii="Times New Roman" w:hAnsi="Times New Roman" w:eastAsia="Times New Roman" w:cs="Times New Roman"/>
          <w:spacing w:val="6"/>
          <w:sz w:val="20"/>
          <w:szCs w:val="20"/>
        </w:rPr>
        <w:t xml:space="preserve">      802.15.4</w:t>
      </w:r>
      <w:r>
        <w:rPr>
          <w:spacing w:val="6"/>
          <w:sz w:val="20"/>
          <w:szCs w:val="20"/>
        </w:rPr>
        <w:t>标准)无线传</w:t>
      </w:r>
      <w:r>
        <w:rPr>
          <w:spacing w:val="5"/>
          <w:sz w:val="20"/>
          <w:szCs w:val="20"/>
        </w:rPr>
        <w:t>输技术，其特点是低</w:t>
      </w:r>
      <w:r>
        <w:rPr>
          <w:sz w:val="20"/>
          <w:szCs w:val="20"/>
        </w:rPr>
        <w:t xml:space="preserve"> 功耗、低传输速率、短距离，</w:t>
      </w:r>
      <w:r>
        <w:rPr>
          <w:spacing w:val="-19"/>
          <w:sz w:val="20"/>
          <w:szCs w:val="20"/>
        </w:rPr>
        <w:t xml:space="preserve"> </w:t>
      </w:r>
      <w:r>
        <w:rPr>
          <w:sz w:val="20"/>
          <w:szCs w:val="20"/>
        </w:rPr>
        <w:t>一般用作个人电子产品互连</w:t>
      </w:r>
      <w:r>
        <w:rPr>
          <w:spacing w:val="-1"/>
          <w:sz w:val="20"/>
          <w:szCs w:val="20"/>
        </w:rPr>
        <w:t>、工业设备控制等领域；</w:t>
      </w:r>
      <w:r>
        <w:rPr>
          <w:rFonts w:ascii="Times New Roman" w:hAnsi="Times New Roman" w:eastAsia="Times New Roman" w:cs="Times New Roman"/>
          <w:spacing w:val="-1"/>
          <w:sz w:val="20"/>
          <w:szCs w:val="20"/>
        </w:rPr>
        <w:t>LoRa</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NB-</w:t>
      </w:r>
      <w:r>
        <w:rPr>
          <w:rFonts w:ascii="Times New Roman" w:hAnsi="Times New Roman" w:eastAsia="Times New Roman" w:cs="Times New Roman"/>
          <w:sz w:val="20"/>
          <w:szCs w:val="20"/>
        </w:rPr>
        <w:t xml:space="preserve">  IoT</w:t>
      </w:r>
      <w:r>
        <w:rPr>
          <w:rFonts w:ascii="Times New Roman" w:hAnsi="Times New Roman" w:eastAsia="Times New Roman" w:cs="Times New Roman"/>
          <w:spacing w:val="5"/>
          <w:sz w:val="20"/>
          <w:szCs w:val="20"/>
        </w:rPr>
        <w:t xml:space="preserve"> </w:t>
      </w:r>
      <w:r>
        <w:rPr>
          <w:spacing w:val="5"/>
          <w:sz w:val="20"/>
          <w:szCs w:val="20"/>
        </w:rPr>
        <w:t>等无线传输技术，其特点是低功耗、低传输速率、长距离，适用</w:t>
      </w:r>
      <w:r>
        <w:rPr>
          <w:spacing w:val="4"/>
          <w:sz w:val="20"/>
          <w:szCs w:val="20"/>
        </w:rPr>
        <w:t>于智慧城市、智慧农业等</w:t>
      </w:r>
      <w:r>
        <w:rPr>
          <w:sz w:val="20"/>
          <w:szCs w:val="20"/>
        </w:rPr>
        <w:t xml:space="preserve"> </w:t>
      </w:r>
      <w:r>
        <w:rPr>
          <w:spacing w:val="-2"/>
          <w:sz w:val="20"/>
          <w:szCs w:val="20"/>
        </w:rPr>
        <w:t>诸多应用场景。不同类型的无线传输技术适用于不同的使用环境和场景。</w:t>
      </w:r>
    </w:p>
    <w:p w14:paraId="5D132D81">
      <w:pPr>
        <w:spacing w:before="126" w:line="228" w:lineRule="auto"/>
        <w:ind w:left="400"/>
        <w:rPr>
          <w:rFonts w:ascii="楷体" w:hAnsi="楷体" w:eastAsia="楷体" w:cs="楷体"/>
          <w:sz w:val="20"/>
          <w:szCs w:val="20"/>
        </w:rPr>
      </w:pPr>
      <w:r>
        <w:rPr>
          <w:rFonts w:ascii="楷体" w:hAnsi="楷体" w:eastAsia="楷体" w:cs="楷体"/>
          <w:spacing w:val="19"/>
          <w:sz w:val="20"/>
          <w:szCs w:val="20"/>
        </w:rPr>
        <w:t>3)应用层</w:t>
      </w:r>
    </w:p>
    <w:p w14:paraId="6A573453">
      <w:pPr>
        <w:pStyle w:val="2"/>
        <w:spacing w:before="73" w:line="270" w:lineRule="auto"/>
        <w:ind w:right="226" w:firstLine="400"/>
        <w:rPr>
          <w:sz w:val="20"/>
          <w:szCs w:val="20"/>
        </w:rPr>
      </w:pPr>
      <w:r>
        <w:rPr>
          <w:spacing w:val="3"/>
          <w:sz w:val="20"/>
          <w:szCs w:val="20"/>
        </w:rPr>
        <w:t>应用层承载着物联网应用的信息数据和业务处置逻辑，对感知层收集到的信息数据进行处</w:t>
      </w:r>
      <w:r>
        <w:rPr>
          <w:spacing w:val="10"/>
          <w:sz w:val="20"/>
          <w:szCs w:val="20"/>
        </w:rPr>
        <w:t xml:space="preserve"> </w:t>
      </w:r>
      <w:r>
        <w:rPr>
          <w:spacing w:val="3"/>
          <w:sz w:val="20"/>
          <w:szCs w:val="20"/>
        </w:rPr>
        <w:t>理，对感知层下达相关处置指令。应用层由一系列满足特定用户业务需求、安全需求、运营需</w:t>
      </w:r>
      <w:r>
        <w:rPr>
          <w:spacing w:val="8"/>
          <w:sz w:val="20"/>
          <w:szCs w:val="20"/>
        </w:rPr>
        <w:t xml:space="preserve"> </w:t>
      </w:r>
      <w:r>
        <w:rPr>
          <w:spacing w:val="5"/>
          <w:sz w:val="20"/>
          <w:szCs w:val="20"/>
        </w:rPr>
        <w:t>求的应用和服务模块组成。物联网应用包括各类智慧城市、智慧校园、智慧矿</w:t>
      </w:r>
      <w:r>
        <w:rPr>
          <w:spacing w:val="4"/>
          <w:sz w:val="20"/>
          <w:szCs w:val="20"/>
        </w:rPr>
        <w:t>山、智能交通、</w:t>
      </w:r>
      <w:r>
        <w:rPr>
          <w:sz w:val="20"/>
          <w:szCs w:val="20"/>
        </w:rPr>
        <w:t xml:space="preserve"> </w:t>
      </w:r>
      <w:r>
        <w:rPr>
          <w:spacing w:val="-3"/>
          <w:sz w:val="20"/>
          <w:szCs w:val="20"/>
        </w:rPr>
        <w:t>智能办公、智能家居、工业控制等应用。</w:t>
      </w:r>
    </w:p>
    <w:p w14:paraId="425C18FD">
      <w:pPr>
        <w:pStyle w:val="2"/>
        <w:spacing w:before="47" w:line="282" w:lineRule="auto"/>
        <w:ind w:right="291" w:firstLine="400"/>
        <w:jc w:val="both"/>
        <w:rPr>
          <w:sz w:val="20"/>
          <w:szCs w:val="20"/>
        </w:rPr>
      </w:pPr>
      <w:r>
        <w:rPr>
          <w:spacing w:val="3"/>
          <w:sz w:val="20"/>
          <w:szCs w:val="20"/>
        </w:rPr>
        <w:t>物联网已经融入国计民生、衣食住行的各个方面。随着近年来不断爆发的令世人瞩目的安</w:t>
      </w:r>
      <w:r>
        <w:rPr>
          <w:spacing w:val="14"/>
          <w:sz w:val="20"/>
          <w:szCs w:val="20"/>
        </w:rPr>
        <w:t xml:space="preserve"> </w:t>
      </w:r>
      <w:r>
        <w:rPr>
          <w:spacing w:val="3"/>
          <w:sz w:val="20"/>
          <w:szCs w:val="20"/>
        </w:rPr>
        <w:t>全事故，物联网应用为人们的生产生活带来诸多便利的同时，其安全威胁也逐渐进入了大众的</w:t>
      </w:r>
      <w:r>
        <w:rPr>
          <w:spacing w:val="11"/>
          <w:sz w:val="20"/>
          <w:szCs w:val="20"/>
        </w:rPr>
        <w:t xml:space="preserve"> </w:t>
      </w:r>
      <w:r>
        <w:rPr>
          <w:spacing w:val="3"/>
          <w:sz w:val="20"/>
          <w:szCs w:val="20"/>
        </w:rPr>
        <w:t>视野。不同于传统的网络安全威胁，物联网应用场景强调的是与现实世界的感知和交互，物联</w:t>
      </w:r>
      <w:r>
        <w:rPr>
          <w:spacing w:val="4"/>
          <w:sz w:val="20"/>
          <w:szCs w:val="20"/>
        </w:rPr>
        <w:t xml:space="preserve"> </w:t>
      </w:r>
      <w:r>
        <w:rPr>
          <w:spacing w:val="3"/>
          <w:sz w:val="20"/>
          <w:szCs w:val="20"/>
        </w:rPr>
        <w:t>网产生的安全威胁会对现实世界造成直接的威胁。无论是车辆、摄像头、心脏起搏器，还是工</w:t>
      </w:r>
      <w:r>
        <w:rPr>
          <w:spacing w:val="7"/>
          <w:sz w:val="20"/>
          <w:szCs w:val="20"/>
        </w:rPr>
        <w:t xml:space="preserve"> </w:t>
      </w:r>
      <w:r>
        <w:rPr>
          <w:spacing w:val="2"/>
          <w:sz w:val="20"/>
          <w:szCs w:val="20"/>
        </w:rPr>
        <w:t>业物联网中的各类工业控制系统，</w:t>
      </w:r>
      <w:r>
        <w:rPr>
          <w:spacing w:val="-45"/>
          <w:sz w:val="20"/>
          <w:szCs w:val="20"/>
        </w:rPr>
        <w:t xml:space="preserve"> </w:t>
      </w:r>
      <w:r>
        <w:rPr>
          <w:spacing w:val="2"/>
          <w:sz w:val="20"/>
          <w:szCs w:val="20"/>
        </w:rPr>
        <w:t>一旦被入侵和攻击，都会直接对人</w:t>
      </w:r>
      <w:r>
        <w:rPr>
          <w:spacing w:val="1"/>
          <w:sz w:val="20"/>
          <w:szCs w:val="20"/>
        </w:rPr>
        <w:t>身安全、个人隐私和工业</w:t>
      </w:r>
      <w:r>
        <w:rPr>
          <w:sz w:val="20"/>
          <w:szCs w:val="20"/>
        </w:rPr>
        <w:t xml:space="preserve"> </w:t>
      </w:r>
      <w:r>
        <w:rPr>
          <w:spacing w:val="-4"/>
          <w:sz w:val="20"/>
          <w:szCs w:val="20"/>
        </w:rPr>
        <w:t>生产安全带来极大威胁。</w:t>
      </w:r>
    </w:p>
    <w:p w14:paraId="5A8F4F8D">
      <w:pPr>
        <w:pStyle w:val="2"/>
        <w:spacing w:before="18" w:line="219" w:lineRule="auto"/>
        <w:ind w:left="400"/>
        <w:rPr>
          <w:sz w:val="20"/>
          <w:szCs w:val="20"/>
        </w:rPr>
      </w:pPr>
      <w:r>
        <w:rPr>
          <w:spacing w:val="-3"/>
          <w:sz w:val="20"/>
          <w:szCs w:val="20"/>
        </w:rPr>
        <w:t>物联网的三个层面均会受到不同程度的安全威胁：</w:t>
      </w:r>
    </w:p>
    <w:p w14:paraId="0EB606CB">
      <w:pPr>
        <w:pStyle w:val="2"/>
        <w:spacing w:before="62" w:line="282" w:lineRule="auto"/>
        <w:ind w:left="709" w:right="206" w:hanging="309"/>
        <w:rPr>
          <w:sz w:val="20"/>
          <w:szCs w:val="20"/>
        </w:rPr>
      </w:pPr>
      <w:r>
        <w:rPr>
          <w:spacing w:val="6"/>
          <w:sz w:val="20"/>
          <w:szCs w:val="20"/>
        </w:rPr>
        <w:t>●感知层各类传感设备数量庞大，受攻击面较大较广。</w:t>
      </w:r>
      <w:r>
        <w:rPr>
          <w:spacing w:val="5"/>
          <w:sz w:val="20"/>
          <w:szCs w:val="20"/>
        </w:rPr>
        <w:t>如果感知节点或感知网关被入侵、</w:t>
      </w:r>
      <w:r>
        <w:rPr>
          <w:sz w:val="20"/>
          <w:szCs w:val="20"/>
        </w:rPr>
        <w:t xml:space="preserve"> </w:t>
      </w:r>
      <w:r>
        <w:rPr>
          <w:spacing w:val="1"/>
          <w:sz w:val="20"/>
          <w:szCs w:val="20"/>
        </w:rPr>
        <w:t>被控制，攻击者可以偷窃感知数据，或者借由控制的传感网络培养为僵尸网络对外发动</w:t>
      </w:r>
    </w:p>
    <w:p w14:paraId="6F268324">
      <w:pPr>
        <w:spacing w:line="282" w:lineRule="auto"/>
        <w:rPr>
          <w:sz w:val="20"/>
          <w:szCs w:val="20"/>
        </w:rPr>
        <w:sectPr>
          <w:pgSz w:w="10290" w:h="13310"/>
          <w:pgMar w:top="389" w:right="543" w:bottom="400" w:left="1119" w:header="0" w:footer="0" w:gutter="0"/>
          <w:cols w:space="720" w:num="1"/>
        </w:sectPr>
      </w:pPr>
    </w:p>
    <w:p w14:paraId="3FBCF1B4">
      <w:pPr>
        <w:pStyle w:val="2"/>
        <w:spacing w:before="78" w:line="219" w:lineRule="auto"/>
        <w:rPr>
          <w:sz w:val="20"/>
          <w:szCs w:val="20"/>
        </w:rPr>
      </w:pPr>
      <w:r>
        <w:rPr>
          <w:rFonts w:ascii="Times New Roman" w:hAnsi="Times New Roman" w:eastAsia="Times New Roman" w:cs="Times New Roman"/>
          <w:spacing w:val="-1"/>
          <w:position w:val="1"/>
          <w:sz w:val="20"/>
          <w:szCs w:val="20"/>
        </w:rPr>
        <w:t xml:space="preserve">110             </w:t>
      </w:r>
      <w:r>
        <w:rPr>
          <w:spacing w:val="-1"/>
          <w:sz w:val="20"/>
          <w:szCs w:val="20"/>
        </w:rPr>
        <w:t>信息系统监理师教程(第2版)</w:t>
      </w:r>
    </w:p>
    <w:p w14:paraId="763554FA">
      <w:pPr>
        <w:spacing w:line="314" w:lineRule="auto"/>
        <w:rPr>
          <w:rFonts w:ascii="Arial"/>
          <w:sz w:val="21"/>
        </w:rPr>
      </w:pPr>
    </w:p>
    <w:p w14:paraId="51B1BA5B">
      <w:pPr>
        <w:pStyle w:val="2"/>
        <w:spacing w:before="65" w:line="219" w:lineRule="auto"/>
        <w:ind w:left="1019"/>
        <w:rPr>
          <w:sz w:val="20"/>
          <w:szCs w:val="20"/>
        </w:rPr>
      </w:pPr>
      <w:r>
        <w:rPr>
          <w:rFonts w:ascii="Times New Roman" w:hAnsi="Times New Roman" w:eastAsia="Times New Roman" w:cs="Times New Roman"/>
          <w:sz w:val="20"/>
          <w:szCs w:val="20"/>
        </w:rPr>
        <w:t xml:space="preserve">DDoS </w:t>
      </w:r>
      <w:r>
        <w:rPr>
          <w:sz w:val="20"/>
          <w:szCs w:val="20"/>
        </w:rPr>
        <w:t>攻击，甚至可能直接对感知节点下达指令</w:t>
      </w:r>
      <w:r>
        <w:rPr>
          <w:spacing w:val="-1"/>
          <w:sz w:val="20"/>
          <w:szCs w:val="20"/>
        </w:rPr>
        <w:t>，对现实世界造成破坏。</w:t>
      </w:r>
    </w:p>
    <w:p w14:paraId="5E9A9F63">
      <w:pPr>
        <w:pStyle w:val="2"/>
        <w:spacing w:before="94" w:line="268" w:lineRule="auto"/>
        <w:ind w:left="1019" w:right="72" w:hanging="260"/>
        <w:rPr>
          <w:sz w:val="20"/>
          <w:szCs w:val="20"/>
        </w:rPr>
      </w:pPr>
      <w:r>
        <w:rPr>
          <w:spacing w:val="8"/>
          <w:sz w:val="20"/>
          <w:szCs w:val="20"/>
        </w:rPr>
        <w:t>●物联网需要网络层处理应用层和感知层之间的安全互连，但是由于网络层的互联互通</w:t>
      </w:r>
      <w:r>
        <w:rPr>
          <w:spacing w:val="12"/>
          <w:sz w:val="20"/>
          <w:szCs w:val="20"/>
        </w:rPr>
        <w:t xml:space="preserve"> </w:t>
      </w:r>
      <w:r>
        <w:rPr>
          <w:spacing w:val="2"/>
          <w:sz w:val="20"/>
          <w:szCs w:val="20"/>
        </w:rPr>
        <w:t>(尤其是互联网),也带来了外部的安全威胁，成为威胁物联网应用场景的攻击源。</w:t>
      </w:r>
    </w:p>
    <w:p w14:paraId="2B48D23A">
      <w:pPr>
        <w:pStyle w:val="2"/>
        <w:spacing w:before="70" w:line="287" w:lineRule="auto"/>
        <w:ind w:left="1019" w:right="66" w:hanging="260"/>
        <w:rPr>
          <w:sz w:val="20"/>
          <w:szCs w:val="20"/>
        </w:rPr>
      </w:pPr>
      <w:r>
        <w:rPr>
          <w:spacing w:val="3"/>
          <w:sz w:val="20"/>
          <w:szCs w:val="20"/>
        </w:rPr>
        <w:t>●应用层承载着物联网应用智能处理的任务，是物联网应用的核心。应用层需要接收来自</w:t>
      </w:r>
      <w:r>
        <w:rPr>
          <w:spacing w:val="5"/>
          <w:sz w:val="20"/>
          <w:szCs w:val="20"/>
        </w:rPr>
        <w:t xml:space="preserve"> </w:t>
      </w:r>
      <w:r>
        <w:rPr>
          <w:spacing w:val="7"/>
          <w:sz w:val="20"/>
          <w:szCs w:val="20"/>
        </w:rPr>
        <w:t>网络层的海量数据，其中除了来自感知层的数据外，也许还会混杂着恶意的流量</w:t>
      </w:r>
      <w:r>
        <w:rPr>
          <w:spacing w:val="6"/>
          <w:sz w:val="20"/>
          <w:szCs w:val="20"/>
        </w:rPr>
        <w:t>和数</w:t>
      </w:r>
      <w:r>
        <w:rPr>
          <w:sz w:val="20"/>
          <w:szCs w:val="20"/>
        </w:rPr>
        <w:t xml:space="preserve"> </w:t>
      </w:r>
      <w:r>
        <w:rPr>
          <w:spacing w:val="1"/>
          <w:sz w:val="20"/>
          <w:szCs w:val="20"/>
        </w:rPr>
        <w:t xml:space="preserve">据。可能是为了偷窃数据，也可能是为了获取对整个物联网应用的控制权，甚至可能是 </w:t>
      </w:r>
      <w:r>
        <w:rPr>
          <w:sz w:val="20"/>
          <w:szCs w:val="20"/>
        </w:rPr>
        <w:t>出于经济目的、政治目的进行恶意破坏。同时，应用层还需要面对传统网络应用场景下</w:t>
      </w:r>
      <w:r>
        <w:rPr>
          <w:spacing w:val="2"/>
          <w:sz w:val="20"/>
          <w:szCs w:val="20"/>
        </w:rPr>
        <w:t xml:space="preserve"> </w:t>
      </w:r>
      <w:r>
        <w:rPr>
          <w:spacing w:val="-1"/>
          <w:sz w:val="20"/>
          <w:szCs w:val="20"/>
        </w:rPr>
        <w:t>的安全威胁，包括来自内部和外部的各类会</w:t>
      </w:r>
      <w:r>
        <w:rPr>
          <w:spacing w:val="-2"/>
          <w:sz w:val="20"/>
          <w:szCs w:val="20"/>
        </w:rPr>
        <w:t>话对网络、主机、应用和数据的威胁。</w:t>
      </w:r>
    </w:p>
    <w:p w14:paraId="1F3BB8AB">
      <w:pPr>
        <w:pStyle w:val="2"/>
        <w:spacing w:before="83" w:line="296" w:lineRule="auto"/>
        <w:ind w:left="349" w:right="68" w:firstLine="410"/>
        <w:jc w:val="both"/>
        <w:rPr>
          <w:sz w:val="20"/>
          <w:szCs w:val="20"/>
        </w:rPr>
      </w:pPr>
      <w:r>
        <w:rPr>
          <w:spacing w:val="3"/>
          <w:sz w:val="20"/>
          <w:szCs w:val="20"/>
        </w:rPr>
        <w:t>对物联网的安全防护，不应是各个层面单独布防，而应以点带面，将物联网应用场景作为</w:t>
      </w:r>
      <w:r>
        <w:rPr>
          <w:spacing w:val="1"/>
          <w:sz w:val="20"/>
          <w:szCs w:val="20"/>
        </w:rPr>
        <w:t xml:space="preserve"> </w:t>
      </w:r>
      <w:r>
        <w:rPr>
          <w:spacing w:val="3"/>
          <w:sz w:val="20"/>
          <w:szCs w:val="20"/>
        </w:rPr>
        <w:t>整体，按照纵深防御、安全措施互补、保证一致性强度、建立统一支撑平台、实现集中安全管</w:t>
      </w:r>
      <w:r>
        <w:rPr>
          <w:spacing w:val="7"/>
          <w:sz w:val="20"/>
          <w:szCs w:val="20"/>
        </w:rPr>
        <w:t xml:space="preserve"> </w:t>
      </w:r>
      <w:r>
        <w:rPr>
          <w:sz w:val="20"/>
          <w:szCs w:val="20"/>
        </w:rPr>
        <w:t>理的等级保护2.0思想，构建物联网安全保障体系。</w:t>
      </w:r>
    </w:p>
    <w:p w14:paraId="50BCDF42">
      <w:pPr>
        <w:spacing w:line="272" w:lineRule="auto"/>
        <w:rPr>
          <w:rFonts w:ascii="Arial"/>
          <w:sz w:val="21"/>
        </w:rPr>
      </w:pPr>
    </w:p>
    <w:p w14:paraId="7653AE21">
      <w:pPr>
        <w:pStyle w:val="2"/>
        <w:spacing w:before="91" w:line="221" w:lineRule="auto"/>
        <w:ind w:left="353"/>
        <w:rPr>
          <w:rFonts w:ascii="黑体" w:hAnsi="黑体" w:eastAsia="黑体" w:cs="黑体"/>
          <w:sz w:val="28"/>
          <w:szCs w:val="28"/>
        </w:rPr>
      </w:pPr>
      <w:bookmarkStart w:id="539" w:name="bookmark526"/>
      <w:bookmarkEnd w:id="539"/>
      <w:r>
        <w:rPr>
          <w:b/>
          <w:bCs/>
          <w:color w:val="006EDC"/>
          <w:spacing w:val="-7"/>
          <w:sz w:val="28"/>
          <w:szCs w:val="28"/>
        </w:rPr>
        <w:t>3.4</w:t>
      </w:r>
      <w:r>
        <w:rPr>
          <w:color w:val="006EDC"/>
          <w:spacing w:val="136"/>
          <w:sz w:val="28"/>
          <w:szCs w:val="28"/>
        </w:rPr>
        <w:t xml:space="preserve"> </w:t>
      </w:r>
      <w:r>
        <w:rPr>
          <w:rFonts w:ascii="黑体" w:hAnsi="黑体" w:eastAsia="黑体" w:cs="黑体"/>
          <w:b/>
          <w:bCs/>
          <w:color w:val="006EDC"/>
          <w:spacing w:val="-7"/>
          <w:sz w:val="28"/>
          <w:szCs w:val="28"/>
        </w:rPr>
        <w:t>网络和应用服务平台</w:t>
      </w:r>
    </w:p>
    <w:p w14:paraId="25EF9931">
      <w:pPr>
        <w:pStyle w:val="2"/>
        <w:spacing w:before="256" w:line="282" w:lineRule="auto"/>
        <w:ind w:left="349" w:firstLine="410"/>
        <w:jc w:val="both"/>
        <w:rPr>
          <w:sz w:val="20"/>
          <w:szCs w:val="20"/>
        </w:rPr>
      </w:pPr>
      <w:r>
        <w:rPr>
          <w:spacing w:val="3"/>
          <w:sz w:val="20"/>
          <w:szCs w:val="20"/>
        </w:rPr>
        <w:t>网络传输平台负责数据在各设备和系统之间的传输，数据资源平台负责存储和处理各类信</w:t>
      </w:r>
      <w:r>
        <w:rPr>
          <w:spacing w:val="6"/>
          <w:sz w:val="20"/>
          <w:szCs w:val="20"/>
        </w:rPr>
        <w:t xml:space="preserve"> </w:t>
      </w:r>
      <w:r>
        <w:rPr>
          <w:spacing w:val="3"/>
          <w:sz w:val="20"/>
          <w:szCs w:val="20"/>
        </w:rPr>
        <w:t>息数据，网络和应用服务平台则负责服务于整个网络业务应用正常运行的各类通用的业务逻辑 的实现。网络和应用服务平台由众多相互独立又有关联关系的</w:t>
      </w:r>
      <w:r>
        <w:rPr>
          <w:spacing w:val="2"/>
          <w:sz w:val="20"/>
          <w:szCs w:val="20"/>
        </w:rPr>
        <w:t>网络服务协议组成和实现，只有</w:t>
      </w:r>
      <w:r>
        <w:rPr>
          <w:sz w:val="20"/>
          <w:szCs w:val="20"/>
        </w:rPr>
        <w:t xml:space="preserve">  </w:t>
      </w:r>
      <w:r>
        <w:rPr>
          <w:spacing w:val="3"/>
          <w:sz w:val="20"/>
          <w:szCs w:val="20"/>
        </w:rPr>
        <w:t>遵守这些网络服务协议和功能，才能真正基于互联网实现和享受相关应用服务。常</w:t>
      </w:r>
      <w:r>
        <w:rPr>
          <w:spacing w:val="2"/>
          <w:sz w:val="20"/>
          <w:szCs w:val="20"/>
        </w:rPr>
        <w:t>见的互联网</w:t>
      </w:r>
      <w:r>
        <w:rPr>
          <w:sz w:val="20"/>
          <w:szCs w:val="20"/>
        </w:rPr>
        <w:t xml:space="preserve">  </w:t>
      </w:r>
      <w:r>
        <w:rPr>
          <w:spacing w:val="5"/>
          <w:sz w:val="20"/>
          <w:szCs w:val="20"/>
        </w:rPr>
        <w:t>服务有</w:t>
      </w:r>
      <w:r>
        <w:rPr>
          <w:rFonts w:ascii="Times New Roman" w:hAnsi="Times New Roman" w:eastAsia="Times New Roman" w:cs="Times New Roman"/>
          <w:spacing w:val="5"/>
          <w:sz w:val="20"/>
          <w:szCs w:val="20"/>
        </w:rPr>
        <w:t>E-</w:t>
      </w:r>
      <w:r>
        <w:rPr>
          <w:rFonts w:ascii="Times New Roman" w:hAnsi="Times New Roman" w:eastAsia="Times New Roman" w:cs="Times New Roman"/>
          <w:sz w:val="20"/>
          <w:szCs w:val="20"/>
        </w:rPr>
        <w:t>mail</w:t>
      </w:r>
      <w:r>
        <w:rPr>
          <w:rFonts w:ascii="Times New Roman" w:hAnsi="Times New Roman" w:eastAsia="Times New Roman" w:cs="Times New Roman"/>
          <w:spacing w:val="41"/>
          <w:sz w:val="20"/>
          <w:szCs w:val="20"/>
        </w:rPr>
        <w:t xml:space="preserve"> </w:t>
      </w:r>
      <w:r>
        <w:rPr>
          <w:spacing w:val="5"/>
          <w:sz w:val="20"/>
          <w:szCs w:val="20"/>
        </w:rPr>
        <w:t>电子邮件服务、</w:t>
      </w:r>
      <w:r>
        <w:rPr>
          <w:spacing w:val="-30"/>
          <w:sz w:val="20"/>
          <w:szCs w:val="20"/>
        </w:rPr>
        <w:t xml:space="preserve"> </w:t>
      </w:r>
      <w:r>
        <w:rPr>
          <w:rFonts w:ascii="Times New Roman" w:hAnsi="Times New Roman" w:eastAsia="Times New Roman" w:cs="Times New Roman"/>
          <w:sz w:val="20"/>
          <w:szCs w:val="20"/>
        </w:rPr>
        <w:t xml:space="preserve">WwW  </w:t>
      </w:r>
      <w:r>
        <w:rPr>
          <w:spacing w:val="5"/>
          <w:sz w:val="20"/>
          <w:szCs w:val="20"/>
        </w:rPr>
        <w:t>万维网服务、</w:t>
      </w:r>
      <w:r>
        <w:rPr>
          <w:spacing w:val="-39"/>
          <w:sz w:val="20"/>
          <w:szCs w:val="20"/>
        </w:rPr>
        <w:t xml:space="preserve"> </w:t>
      </w:r>
      <w:r>
        <w:rPr>
          <w:rFonts w:ascii="Times New Roman" w:hAnsi="Times New Roman" w:eastAsia="Times New Roman" w:cs="Times New Roman"/>
          <w:sz w:val="20"/>
          <w:szCs w:val="20"/>
        </w:rPr>
        <w:t>DNS</w:t>
      </w:r>
      <w:r>
        <w:rPr>
          <w:rFonts w:ascii="Times New Roman" w:hAnsi="Times New Roman" w:eastAsia="Times New Roman" w:cs="Times New Roman"/>
          <w:spacing w:val="5"/>
          <w:sz w:val="20"/>
          <w:szCs w:val="20"/>
        </w:rPr>
        <w:t xml:space="preserve"> </w:t>
      </w:r>
      <w:r>
        <w:rPr>
          <w:spacing w:val="5"/>
          <w:sz w:val="20"/>
          <w:szCs w:val="20"/>
        </w:rPr>
        <w:t>域名解析服务、</w:t>
      </w:r>
      <w:r>
        <w:rPr>
          <w:rFonts w:ascii="Times New Roman" w:hAnsi="Times New Roman" w:eastAsia="Times New Roman" w:cs="Times New Roman"/>
          <w:sz w:val="20"/>
          <w:szCs w:val="20"/>
        </w:rPr>
        <w:t>FTP</w:t>
      </w:r>
      <w:r>
        <w:rPr>
          <w:rFonts w:ascii="Times New Roman" w:hAnsi="Times New Roman" w:eastAsia="Times New Roman" w:cs="Times New Roman"/>
          <w:spacing w:val="5"/>
          <w:sz w:val="20"/>
          <w:szCs w:val="20"/>
        </w:rPr>
        <w:t xml:space="preserve"> </w:t>
      </w:r>
      <w:r>
        <w:rPr>
          <w:spacing w:val="5"/>
          <w:sz w:val="20"/>
          <w:szCs w:val="20"/>
        </w:rPr>
        <w:t>文件传</w:t>
      </w:r>
      <w:r>
        <w:rPr>
          <w:spacing w:val="4"/>
          <w:sz w:val="20"/>
          <w:szCs w:val="20"/>
        </w:rPr>
        <w:t>输服务、</w:t>
      </w:r>
      <w:r>
        <w:rPr>
          <w:sz w:val="20"/>
          <w:szCs w:val="20"/>
        </w:rPr>
        <w:t xml:space="preserve"> </w:t>
      </w:r>
      <w:r>
        <w:rPr>
          <w:rFonts w:ascii="Times New Roman" w:hAnsi="Times New Roman" w:eastAsia="Times New Roman" w:cs="Times New Roman"/>
          <w:sz w:val="20"/>
          <w:szCs w:val="20"/>
        </w:rPr>
        <w:t>Telnet</w:t>
      </w:r>
      <w:r>
        <w:rPr>
          <w:spacing w:val="2"/>
          <w:sz w:val="20"/>
          <w:szCs w:val="20"/>
        </w:rPr>
        <w:t>远程登录服务等。</w:t>
      </w:r>
    </w:p>
    <w:p w14:paraId="4B8414C7">
      <w:pPr>
        <w:spacing w:before="107" w:line="212" w:lineRule="auto"/>
        <w:ind w:left="759"/>
        <w:rPr>
          <w:rFonts w:ascii="楷体" w:hAnsi="楷体" w:eastAsia="楷体" w:cs="楷体"/>
          <w:sz w:val="20"/>
          <w:szCs w:val="20"/>
        </w:rPr>
      </w:pPr>
      <w:r>
        <w:rPr>
          <w:rFonts w:ascii="Times New Roman" w:hAnsi="Times New Roman" w:eastAsia="Times New Roman" w:cs="Times New Roman"/>
          <w:spacing w:val="-4"/>
          <w:sz w:val="20"/>
          <w:szCs w:val="20"/>
        </w:rPr>
        <w:t>1)E-mail</w:t>
      </w:r>
      <w:r>
        <w:rPr>
          <w:rFonts w:ascii="Times New Roman" w:hAnsi="Times New Roman" w:eastAsia="Times New Roman" w:cs="Times New Roman"/>
          <w:spacing w:val="17"/>
          <w:sz w:val="20"/>
          <w:szCs w:val="20"/>
        </w:rPr>
        <w:t xml:space="preserve">   </w:t>
      </w:r>
      <w:r>
        <w:rPr>
          <w:rFonts w:ascii="楷体" w:hAnsi="楷体" w:eastAsia="楷体" w:cs="楷体"/>
          <w:spacing w:val="-4"/>
          <w:sz w:val="20"/>
          <w:szCs w:val="20"/>
        </w:rPr>
        <w:t>电子邮件服务</w:t>
      </w:r>
    </w:p>
    <w:p w14:paraId="4DBAFB10">
      <w:pPr>
        <w:pStyle w:val="2"/>
        <w:spacing w:before="67" w:line="285" w:lineRule="auto"/>
        <w:ind w:left="349" w:right="54" w:firstLine="410"/>
        <w:rPr>
          <w:sz w:val="20"/>
          <w:szCs w:val="20"/>
        </w:rPr>
      </w:pPr>
      <w:r>
        <w:rPr>
          <w:rFonts w:ascii="Times New Roman" w:hAnsi="Times New Roman" w:eastAsia="Times New Roman" w:cs="Times New Roman"/>
          <w:spacing w:val="3"/>
          <w:sz w:val="20"/>
          <w:szCs w:val="20"/>
        </w:rPr>
        <w:t>E-</w:t>
      </w:r>
      <w:r>
        <w:rPr>
          <w:rFonts w:ascii="Times New Roman" w:hAnsi="Times New Roman" w:eastAsia="Times New Roman" w:cs="Times New Roman"/>
          <w:sz w:val="20"/>
          <w:szCs w:val="20"/>
        </w:rPr>
        <w:t>mail</w:t>
      </w:r>
      <w:r>
        <w:rPr>
          <w:rFonts w:ascii="Times New Roman" w:hAnsi="Times New Roman" w:eastAsia="Times New Roman" w:cs="Times New Roman"/>
          <w:spacing w:val="-9"/>
          <w:sz w:val="20"/>
          <w:szCs w:val="20"/>
        </w:rPr>
        <w:t xml:space="preserve"> </w:t>
      </w:r>
      <w:r>
        <w:rPr>
          <w:spacing w:val="3"/>
          <w:sz w:val="20"/>
          <w:szCs w:val="20"/>
        </w:rPr>
        <w:t>是互联网中最常见的服务，常见的电子邮件协议包括</w:t>
      </w:r>
      <w:r>
        <w:rPr>
          <w:rFonts w:ascii="Times New Roman" w:hAnsi="Times New Roman" w:eastAsia="Times New Roman" w:cs="Times New Roman"/>
          <w:sz w:val="20"/>
          <w:szCs w:val="20"/>
        </w:rPr>
        <w:t>SMTP</w:t>
      </w:r>
      <w:r>
        <w:rPr>
          <w:rFonts w:ascii="Times New Roman" w:hAnsi="Times New Roman" w:eastAsia="Times New Roman" w:cs="Times New Roman"/>
          <w:spacing w:val="-28"/>
          <w:sz w:val="20"/>
          <w:szCs w:val="20"/>
        </w:rPr>
        <w:t xml:space="preserve"> </w:t>
      </w:r>
      <w:r>
        <w:rPr>
          <w:spacing w:val="3"/>
          <w:sz w:val="20"/>
          <w:szCs w:val="20"/>
        </w:rPr>
        <w:t>、邮局协议</w:t>
      </w:r>
      <w:r>
        <w:rPr>
          <w:spacing w:val="-60"/>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Post</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Office Protocol</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Version</w:t>
      </w:r>
      <w:r>
        <w:rPr>
          <w:rFonts w:ascii="Times New Roman" w:hAnsi="Times New Roman" w:eastAsia="Times New Roman" w:cs="Times New Roman"/>
          <w:spacing w:val="4"/>
          <w:sz w:val="20"/>
          <w:szCs w:val="20"/>
        </w:rPr>
        <w:t xml:space="preserve">    3,</w:t>
      </w:r>
      <w:r>
        <w:rPr>
          <w:rFonts w:ascii="Times New Roman" w:hAnsi="Times New Roman" w:eastAsia="Times New Roman" w:cs="Times New Roman"/>
          <w:sz w:val="20"/>
          <w:szCs w:val="20"/>
        </w:rPr>
        <w:t>POP</w:t>
      </w:r>
      <w:r>
        <w:rPr>
          <w:rFonts w:ascii="Times New Roman" w:hAnsi="Times New Roman" w:eastAsia="Times New Roman" w:cs="Times New Roman"/>
          <w:spacing w:val="4"/>
          <w:sz w:val="20"/>
          <w:szCs w:val="20"/>
        </w:rPr>
        <w:t>3)</w:t>
      </w:r>
      <w:r>
        <w:rPr>
          <w:spacing w:val="4"/>
          <w:sz w:val="20"/>
          <w:szCs w:val="20"/>
        </w:rPr>
        <w:t>、互联网邮件访问协议</w:t>
      </w:r>
      <w:r>
        <w:rPr>
          <w:spacing w:val="-50"/>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Internet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Message</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Access</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IMAP</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 xml:space="preserve"> </w:t>
      </w:r>
      <w:r>
        <w:rPr>
          <w:spacing w:val="2"/>
          <w:sz w:val="20"/>
          <w:szCs w:val="20"/>
        </w:rPr>
        <w:t>这几种协议都是由前述的</w:t>
      </w:r>
      <w:r>
        <w:rPr>
          <w:rFonts w:ascii="Times New Roman" w:hAnsi="Times New Roman" w:eastAsia="Times New Roman" w:cs="Times New Roman"/>
          <w:sz w:val="20"/>
          <w:szCs w:val="20"/>
        </w:rPr>
        <w:t>TCP</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2"/>
          <w:sz w:val="20"/>
          <w:szCs w:val="20"/>
        </w:rPr>
        <w:t xml:space="preserve"> </w:t>
      </w:r>
      <w:r>
        <w:rPr>
          <w:spacing w:val="2"/>
          <w:sz w:val="20"/>
          <w:szCs w:val="20"/>
        </w:rPr>
        <w:t>协议族定义的。</w:t>
      </w:r>
      <w:r>
        <w:rPr>
          <w:rFonts w:ascii="Times New Roman" w:hAnsi="Times New Roman" w:eastAsia="Times New Roman" w:cs="Times New Roman"/>
          <w:sz w:val="20"/>
          <w:szCs w:val="20"/>
        </w:rPr>
        <w:t>SMTP</w:t>
      </w:r>
      <w:r>
        <w:rPr>
          <w:rFonts w:ascii="Times New Roman" w:hAnsi="Times New Roman" w:eastAsia="Times New Roman" w:cs="Times New Roman"/>
          <w:spacing w:val="33"/>
          <w:sz w:val="20"/>
          <w:szCs w:val="20"/>
        </w:rPr>
        <w:t xml:space="preserve"> </w:t>
      </w:r>
      <w:r>
        <w:rPr>
          <w:spacing w:val="2"/>
          <w:sz w:val="20"/>
          <w:szCs w:val="20"/>
        </w:rPr>
        <w:t>主要负责底层的邮件系统，将邮件从一</w:t>
      </w:r>
      <w:r>
        <w:rPr>
          <w:sz w:val="20"/>
          <w:szCs w:val="20"/>
        </w:rPr>
        <w:t xml:space="preserve"> 台机器传至另外一台机器；POP3 是将邮件从电子邮箱中传输到本地计算机的协议；IMAP  提供</w:t>
      </w:r>
      <w:r>
        <w:rPr>
          <w:spacing w:val="6"/>
          <w:sz w:val="20"/>
          <w:szCs w:val="20"/>
        </w:rPr>
        <w:t xml:space="preserve"> </w:t>
      </w:r>
      <w:r>
        <w:rPr>
          <w:spacing w:val="3"/>
          <w:sz w:val="20"/>
          <w:szCs w:val="20"/>
        </w:rPr>
        <w:t>邮件检索和邮件处理的新功能，用户可以不必下载邮件正文就看到邮件的标题摘要，从邮件客</w:t>
      </w:r>
      <w:r>
        <w:rPr>
          <w:spacing w:val="5"/>
          <w:sz w:val="20"/>
          <w:szCs w:val="20"/>
        </w:rPr>
        <w:t xml:space="preserve"> </w:t>
      </w:r>
      <w:r>
        <w:rPr>
          <w:spacing w:val="-2"/>
          <w:sz w:val="20"/>
          <w:szCs w:val="20"/>
        </w:rPr>
        <w:t>户端软件即可对服务器上的邮件和文件夹目录等进行操作。</w:t>
      </w:r>
    </w:p>
    <w:p w14:paraId="42713104">
      <w:pPr>
        <w:pStyle w:val="2"/>
        <w:spacing w:before="63" w:line="280" w:lineRule="auto"/>
        <w:ind w:left="349" w:right="68" w:firstLine="410"/>
        <w:rPr>
          <w:sz w:val="20"/>
          <w:szCs w:val="20"/>
        </w:rPr>
      </w:pPr>
      <w:r>
        <w:rPr>
          <w:rFonts w:ascii="Times New Roman" w:hAnsi="Times New Roman" w:eastAsia="Times New Roman" w:cs="Times New Roman"/>
          <w:spacing w:val="12"/>
          <w:sz w:val="20"/>
          <w:szCs w:val="20"/>
        </w:rPr>
        <w:t>E-</w:t>
      </w:r>
      <w:r>
        <w:rPr>
          <w:rFonts w:ascii="Times New Roman" w:hAnsi="Times New Roman" w:eastAsia="Times New Roman" w:cs="Times New Roman"/>
          <w:sz w:val="20"/>
          <w:szCs w:val="20"/>
        </w:rPr>
        <w:t>mail</w:t>
      </w:r>
      <w:r>
        <w:rPr>
          <w:rFonts w:ascii="Times New Roman" w:hAnsi="Times New Roman" w:eastAsia="Times New Roman" w:cs="Times New Roman"/>
          <w:spacing w:val="-18"/>
          <w:sz w:val="20"/>
          <w:szCs w:val="20"/>
        </w:rPr>
        <w:t xml:space="preserve"> </w:t>
      </w:r>
      <w:r>
        <w:rPr>
          <w:spacing w:val="12"/>
          <w:sz w:val="20"/>
          <w:szCs w:val="20"/>
        </w:rPr>
        <w:t>系统采用客户端/服务器模式，在客户端或运营商数据资源平台的服务器中部署</w:t>
      </w:r>
      <w:r>
        <w:rPr>
          <w:sz w:val="20"/>
          <w:szCs w:val="20"/>
        </w:rPr>
        <w:t xml:space="preserve"> </w:t>
      </w:r>
      <w:r>
        <w:rPr>
          <w:rFonts w:ascii="Times New Roman" w:hAnsi="Times New Roman" w:eastAsia="Times New Roman" w:cs="Times New Roman"/>
          <w:spacing w:val="9"/>
          <w:sz w:val="20"/>
          <w:szCs w:val="20"/>
        </w:rPr>
        <w:t>E-</w:t>
      </w:r>
      <w:r>
        <w:rPr>
          <w:rFonts w:ascii="Times New Roman" w:hAnsi="Times New Roman" w:eastAsia="Times New Roman" w:cs="Times New Roman"/>
          <w:sz w:val="20"/>
          <w:szCs w:val="20"/>
        </w:rPr>
        <w:t>mail</w:t>
      </w:r>
      <w:r>
        <w:rPr>
          <w:rFonts w:ascii="Times New Roman" w:hAnsi="Times New Roman" w:eastAsia="Times New Roman" w:cs="Times New Roman"/>
          <w:spacing w:val="-19"/>
          <w:sz w:val="20"/>
          <w:szCs w:val="20"/>
        </w:rPr>
        <w:t xml:space="preserve"> </w:t>
      </w:r>
      <w:r>
        <w:rPr>
          <w:spacing w:val="9"/>
          <w:sz w:val="20"/>
          <w:szCs w:val="20"/>
        </w:rPr>
        <w:t>系统，用户使用专业的客户端或</w:t>
      </w:r>
      <w:r>
        <w:rPr>
          <w:rFonts w:ascii="Times New Roman" w:hAnsi="Times New Roman" w:eastAsia="Times New Roman" w:cs="Times New Roman"/>
          <w:sz w:val="20"/>
          <w:szCs w:val="20"/>
        </w:rPr>
        <w:t>Web</w:t>
      </w:r>
      <w:r>
        <w:rPr>
          <w:rFonts w:ascii="Times New Roman" w:hAnsi="Times New Roman" w:eastAsia="Times New Roman" w:cs="Times New Roman"/>
          <w:spacing w:val="9"/>
          <w:sz w:val="20"/>
          <w:szCs w:val="20"/>
        </w:rPr>
        <w:t xml:space="preserve"> </w:t>
      </w:r>
      <w:r>
        <w:rPr>
          <w:spacing w:val="9"/>
          <w:sz w:val="20"/>
          <w:szCs w:val="20"/>
        </w:rPr>
        <w:t>界面登录即可链接</w:t>
      </w:r>
      <w:r>
        <w:rPr>
          <w:spacing w:val="8"/>
          <w:sz w:val="20"/>
          <w:szCs w:val="20"/>
        </w:rPr>
        <w:t>和访问</w:t>
      </w:r>
      <w:r>
        <w:rPr>
          <w:rFonts w:ascii="Times New Roman" w:hAnsi="Times New Roman" w:eastAsia="Times New Roman" w:cs="Times New Roman"/>
          <w:spacing w:val="8"/>
          <w:sz w:val="20"/>
          <w:szCs w:val="20"/>
        </w:rPr>
        <w:t>E-</w:t>
      </w:r>
      <w:r>
        <w:rPr>
          <w:rFonts w:ascii="Times New Roman" w:hAnsi="Times New Roman" w:eastAsia="Times New Roman" w:cs="Times New Roman"/>
          <w:sz w:val="20"/>
          <w:szCs w:val="20"/>
        </w:rPr>
        <w:t>mail</w:t>
      </w:r>
      <w:r>
        <w:rPr>
          <w:rFonts w:ascii="Times New Roman" w:hAnsi="Times New Roman" w:eastAsia="Times New Roman" w:cs="Times New Roman"/>
          <w:spacing w:val="8"/>
          <w:sz w:val="20"/>
          <w:szCs w:val="20"/>
        </w:rPr>
        <w:t xml:space="preserve"> </w:t>
      </w:r>
      <w:r>
        <w:rPr>
          <w:spacing w:val="8"/>
          <w:sz w:val="20"/>
          <w:szCs w:val="20"/>
        </w:rPr>
        <w:t>系统，每个客户</w:t>
      </w:r>
      <w:r>
        <w:rPr>
          <w:sz w:val="20"/>
          <w:szCs w:val="20"/>
        </w:rPr>
        <w:t xml:space="preserve"> </w:t>
      </w:r>
      <w:r>
        <w:rPr>
          <w:spacing w:val="8"/>
          <w:sz w:val="20"/>
          <w:szCs w:val="20"/>
        </w:rPr>
        <w:t>有一个</w:t>
      </w:r>
      <w:r>
        <w:rPr>
          <w:rFonts w:ascii="Times New Roman" w:hAnsi="Times New Roman" w:eastAsia="Times New Roman" w:cs="Times New Roman"/>
          <w:spacing w:val="8"/>
          <w:sz w:val="20"/>
          <w:szCs w:val="20"/>
        </w:rPr>
        <w:t>E-</w:t>
      </w:r>
      <w:r>
        <w:rPr>
          <w:rFonts w:ascii="Times New Roman" w:hAnsi="Times New Roman" w:eastAsia="Times New Roman" w:cs="Times New Roman"/>
          <w:sz w:val="20"/>
          <w:szCs w:val="20"/>
        </w:rPr>
        <w:t>mail</w:t>
      </w:r>
      <w:r>
        <w:rPr>
          <w:rFonts w:ascii="Times New Roman" w:hAnsi="Times New Roman" w:eastAsia="Times New Roman" w:cs="Times New Roman"/>
          <w:spacing w:val="21"/>
          <w:w w:val="101"/>
          <w:sz w:val="20"/>
          <w:szCs w:val="20"/>
        </w:rPr>
        <w:t xml:space="preserve"> </w:t>
      </w:r>
      <w:r>
        <w:rPr>
          <w:spacing w:val="8"/>
          <w:sz w:val="20"/>
          <w:szCs w:val="20"/>
        </w:rPr>
        <w:t>账号地址，就像每家的门牌号码地址一样，根据该地址就可以进行邮件的收发</w:t>
      </w:r>
      <w:r>
        <w:rPr>
          <w:sz w:val="20"/>
          <w:szCs w:val="20"/>
        </w:rPr>
        <w:t xml:space="preserve"> </w:t>
      </w:r>
      <w:r>
        <w:rPr>
          <w:spacing w:val="-3"/>
          <w:sz w:val="20"/>
          <w:szCs w:val="20"/>
        </w:rPr>
        <w:t>工作。</w:t>
      </w:r>
    </w:p>
    <w:p w14:paraId="546CA552">
      <w:pPr>
        <w:spacing w:before="77" w:line="212" w:lineRule="auto"/>
        <w:ind w:left="759"/>
        <w:rPr>
          <w:rFonts w:ascii="楷体" w:hAnsi="楷体" w:eastAsia="楷体" w:cs="楷体"/>
          <w:sz w:val="20"/>
          <w:szCs w:val="20"/>
        </w:rPr>
      </w:pPr>
      <w:r>
        <w:rPr>
          <w:rFonts w:ascii="Times New Roman" w:hAnsi="Times New Roman" w:eastAsia="Times New Roman" w:cs="Times New Roman"/>
          <w:b/>
          <w:bCs/>
          <w:spacing w:val="-3"/>
          <w:sz w:val="20"/>
          <w:szCs w:val="20"/>
        </w:rPr>
        <w:t xml:space="preserve">2)WWW   </w:t>
      </w:r>
      <w:r>
        <w:rPr>
          <w:rFonts w:ascii="楷体" w:hAnsi="楷体" w:eastAsia="楷体" w:cs="楷体"/>
          <w:b/>
          <w:bCs/>
          <w:spacing w:val="-3"/>
          <w:sz w:val="20"/>
          <w:szCs w:val="20"/>
        </w:rPr>
        <w:t>万维网服务</w:t>
      </w:r>
    </w:p>
    <w:p w14:paraId="231564FF">
      <w:pPr>
        <w:pStyle w:val="2"/>
        <w:spacing w:before="89" w:line="275" w:lineRule="auto"/>
        <w:ind w:left="349" w:right="65" w:firstLine="410"/>
        <w:jc w:val="both"/>
        <w:rPr>
          <w:sz w:val="20"/>
          <w:szCs w:val="20"/>
        </w:rPr>
      </w:pPr>
      <w:r>
        <w:rPr>
          <w:spacing w:val="5"/>
          <w:sz w:val="20"/>
          <w:szCs w:val="20"/>
        </w:rPr>
        <w:t>可以说，真正带来互联网革命的是万维网</w:t>
      </w:r>
      <w:r>
        <w:rPr>
          <w:spacing w:val="-40"/>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World</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Wide</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Web</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WWW</w:t>
      </w:r>
      <w:r>
        <w:rPr>
          <w:rFonts w:ascii="Times New Roman" w:hAnsi="Times New Roman" w:eastAsia="Times New Roman" w:cs="Times New Roman"/>
          <w:spacing w:val="4"/>
          <w:sz w:val="20"/>
          <w:szCs w:val="20"/>
        </w:rPr>
        <w:t xml:space="preserve">) </w:t>
      </w:r>
      <w:r>
        <w:rPr>
          <w:spacing w:val="4"/>
          <w:sz w:val="20"/>
          <w:szCs w:val="20"/>
        </w:rPr>
        <w:t>服务。</w:t>
      </w:r>
      <w:r>
        <w:rPr>
          <w:rFonts w:ascii="Times New Roman" w:hAnsi="Times New Roman" w:eastAsia="Times New Roman" w:cs="Times New Roman"/>
          <w:sz w:val="20"/>
          <w:szCs w:val="20"/>
        </w:rPr>
        <w:t>WwW</w:t>
      </w:r>
      <w:r>
        <w:rPr>
          <w:rFonts w:ascii="Times New Roman" w:hAnsi="Times New Roman" w:eastAsia="Times New Roman" w:cs="Times New Roman"/>
          <w:spacing w:val="4"/>
          <w:sz w:val="20"/>
          <w:szCs w:val="20"/>
        </w:rPr>
        <w:t xml:space="preserve">  </w:t>
      </w:r>
      <w:r>
        <w:rPr>
          <w:spacing w:val="4"/>
          <w:sz w:val="20"/>
          <w:szCs w:val="20"/>
        </w:rPr>
        <w:t>服务</w:t>
      </w:r>
      <w:r>
        <w:rPr>
          <w:sz w:val="20"/>
          <w:szCs w:val="20"/>
        </w:rPr>
        <w:t xml:space="preserve"> </w:t>
      </w:r>
      <w:r>
        <w:rPr>
          <w:spacing w:val="3"/>
          <w:sz w:val="20"/>
          <w:szCs w:val="20"/>
        </w:rPr>
        <w:t>是一种建立在超文本基础上的浏览、查询互联网信息的方式，以交互方式查询并访问存放于远</w:t>
      </w:r>
      <w:r>
        <w:rPr>
          <w:spacing w:val="4"/>
          <w:sz w:val="20"/>
          <w:szCs w:val="20"/>
        </w:rPr>
        <w:t xml:space="preserve"> </w:t>
      </w:r>
      <w:r>
        <w:rPr>
          <w:spacing w:val="3"/>
          <w:sz w:val="20"/>
          <w:szCs w:val="20"/>
        </w:rPr>
        <w:t>程计算机的信息，为多种互联网信息浏览与检索访问提供一个单独一致的访问机制。网页将文</w:t>
      </w:r>
      <w:r>
        <w:rPr>
          <w:spacing w:val="7"/>
          <w:sz w:val="20"/>
          <w:szCs w:val="20"/>
        </w:rPr>
        <w:t xml:space="preserve"> </w:t>
      </w:r>
      <w:r>
        <w:rPr>
          <w:spacing w:val="3"/>
          <w:sz w:val="20"/>
          <w:szCs w:val="20"/>
        </w:rPr>
        <w:t>本、超媒体、图形和声音结合在一起，</w:t>
      </w:r>
      <w:r>
        <w:rPr>
          <w:rFonts w:ascii="Times New Roman" w:hAnsi="Times New Roman" w:eastAsia="Times New Roman" w:cs="Times New Roman"/>
          <w:sz w:val="20"/>
          <w:szCs w:val="20"/>
        </w:rPr>
        <w:t>WWW</w:t>
      </w:r>
      <w:r>
        <w:rPr>
          <w:rFonts w:ascii="Times New Roman" w:hAnsi="Times New Roman" w:eastAsia="Times New Roman" w:cs="Times New Roman"/>
          <w:spacing w:val="3"/>
          <w:sz w:val="20"/>
          <w:szCs w:val="20"/>
        </w:rPr>
        <w:t xml:space="preserve"> </w:t>
      </w:r>
      <w:r>
        <w:rPr>
          <w:spacing w:val="3"/>
          <w:sz w:val="20"/>
          <w:szCs w:val="20"/>
        </w:rPr>
        <w:t>服务给个人、家庭和企业带来了通信与获取信息</w:t>
      </w:r>
    </w:p>
    <w:p w14:paraId="026649D3">
      <w:pPr>
        <w:spacing w:line="275" w:lineRule="auto"/>
        <w:rPr>
          <w:sz w:val="20"/>
          <w:szCs w:val="20"/>
        </w:rPr>
        <w:sectPr>
          <w:pgSz w:w="10310" w:h="13400"/>
          <w:pgMar w:top="400" w:right="1049" w:bottom="400" w:left="510" w:header="0" w:footer="0" w:gutter="0"/>
          <w:cols w:space="720" w:num="1"/>
        </w:sectPr>
      </w:pPr>
    </w:p>
    <w:p w14:paraId="653343CD">
      <w:pPr>
        <w:pStyle w:val="2"/>
        <w:spacing w:before="66" w:line="219" w:lineRule="auto"/>
        <w:jc w:val="right"/>
        <w:rPr>
          <w:rFonts w:ascii="Times New Roman" w:hAnsi="Times New Roman" w:eastAsia="Times New Roman" w:cs="Times New Roman"/>
          <w:sz w:val="20"/>
          <w:szCs w:val="20"/>
        </w:rPr>
      </w:pPr>
      <w:r>
        <w:rPr>
          <w:spacing w:val="-3"/>
          <w:sz w:val="20"/>
          <w:szCs w:val="20"/>
        </w:rPr>
        <w:t>第3章 信息网络系统</w:t>
      </w:r>
      <w:r>
        <w:rPr>
          <w:spacing w:val="7"/>
          <w:sz w:val="20"/>
          <w:szCs w:val="20"/>
        </w:rPr>
        <w:t xml:space="preserve">      </w:t>
      </w:r>
      <w:r>
        <w:rPr>
          <w:rFonts w:ascii="Times New Roman" w:hAnsi="Times New Roman" w:eastAsia="Times New Roman" w:cs="Times New Roman"/>
          <w:spacing w:val="-3"/>
          <w:sz w:val="20"/>
          <w:szCs w:val="20"/>
        </w:rPr>
        <w:t>111</w:t>
      </w:r>
    </w:p>
    <w:p w14:paraId="178D3E01">
      <w:pPr>
        <w:spacing w:line="317" w:lineRule="auto"/>
        <w:rPr>
          <w:rFonts w:ascii="Arial"/>
          <w:sz w:val="21"/>
        </w:rPr>
      </w:pPr>
    </w:p>
    <w:p w14:paraId="019A3E61">
      <w:pPr>
        <w:pStyle w:val="2"/>
        <w:spacing w:before="65" w:line="219" w:lineRule="auto"/>
        <w:rPr>
          <w:sz w:val="20"/>
          <w:szCs w:val="20"/>
        </w:rPr>
      </w:pPr>
      <w:r>
        <w:rPr>
          <w:spacing w:val="-5"/>
          <w:sz w:val="20"/>
          <w:szCs w:val="20"/>
        </w:rPr>
        <w:t>资源的便利条件。</w:t>
      </w:r>
    </w:p>
    <w:p w14:paraId="621CF729">
      <w:pPr>
        <w:pStyle w:val="2"/>
        <w:spacing w:before="64" w:line="279" w:lineRule="auto"/>
        <w:ind w:right="246" w:firstLine="409"/>
        <w:jc w:val="both"/>
        <w:rPr>
          <w:sz w:val="20"/>
          <w:szCs w:val="20"/>
        </w:rPr>
      </w:pPr>
      <w:r>
        <w:rPr>
          <w:rFonts w:ascii="Times New Roman" w:hAnsi="Times New Roman" w:eastAsia="Times New Roman" w:cs="Times New Roman"/>
          <w:sz w:val="20"/>
          <w:szCs w:val="20"/>
        </w:rPr>
        <w:t>WWW</w:t>
      </w:r>
      <w:r>
        <w:rPr>
          <w:sz w:val="20"/>
          <w:szCs w:val="20"/>
        </w:rPr>
        <w:t>服务技术包括</w:t>
      </w:r>
      <w:r>
        <w:rPr>
          <w:rFonts w:ascii="Times New Roman" w:hAnsi="Times New Roman" w:eastAsia="Times New Roman" w:cs="Times New Roman"/>
          <w:sz w:val="20"/>
          <w:szCs w:val="20"/>
        </w:rPr>
        <w:t xml:space="preserve">HTTP </w:t>
      </w:r>
      <w:r>
        <w:rPr>
          <w:sz w:val="20"/>
          <w:szCs w:val="20"/>
        </w:rPr>
        <w:t>和</w:t>
      </w:r>
      <w:r>
        <w:rPr>
          <w:spacing w:val="-51"/>
          <w:sz w:val="20"/>
          <w:szCs w:val="20"/>
        </w:rPr>
        <w:t xml:space="preserve"> </w:t>
      </w:r>
      <w:r>
        <w:rPr>
          <w:rFonts w:ascii="Times New Roman" w:hAnsi="Times New Roman" w:eastAsia="Times New Roman" w:cs="Times New Roman"/>
          <w:sz w:val="20"/>
          <w:szCs w:val="20"/>
        </w:rPr>
        <w:t>HTML</w:t>
      </w:r>
      <w:r>
        <w:rPr>
          <w:rFonts w:ascii="Times New Roman" w:hAnsi="Times New Roman" w:eastAsia="Times New Roman" w:cs="Times New Roman"/>
          <w:spacing w:val="-23"/>
          <w:sz w:val="20"/>
          <w:szCs w:val="20"/>
        </w:rPr>
        <w:t xml:space="preserve"> </w:t>
      </w:r>
      <w:r>
        <w:rPr>
          <w:sz w:val="20"/>
          <w:szCs w:val="20"/>
        </w:rPr>
        <w:t>。其</w:t>
      </w:r>
      <w:r>
        <w:rPr>
          <w:spacing w:val="-22"/>
          <w:sz w:val="20"/>
          <w:szCs w:val="20"/>
        </w:rPr>
        <w:t xml:space="preserve"> </w:t>
      </w:r>
      <w:r>
        <w:rPr>
          <w:sz w:val="20"/>
          <w:szCs w:val="20"/>
        </w:rPr>
        <w:t>中</w:t>
      </w:r>
      <w:r>
        <w:rPr>
          <w:spacing w:val="-48"/>
          <w:sz w:val="20"/>
          <w:szCs w:val="20"/>
        </w:rPr>
        <w:t xml:space="preserve"> </w:t>
      </w:r>
      <w:r>
        <w:rPr>
          <w:sz w:val="20"/>
          <w:szCs w:val="20"/>
        </w:rPr>
        <w:t>，</w:t>
      </w:r>
      <w:r>
        <w:rPr>
          <w:rFonts w:ascii="Times New Roman" w:hAnsi="Times New Roman" w:eastAsia="Times New Roman" w:cs="Times New Roman"/>
          <w:sz w:val="20"/>
          <w:szCs w:val="20"/>
        </w:rPr>
        <w:t>HTTP</w:t>
      </w:r>
      <w:r>
        <w:rPr>
          <w:rFonts w:ascii="Times New Roman" w:hAnsi="Times New Roman" w:eastAsia="Times New Roman" w:cs="Times New Roman"/>
          <w:spacing w:val="14"/>
          <w:sz w:val="20"/>
          <w:szCs w:val="20"/>
        </w:rPr>
        <w:t xml:space="preserve"> </w:t>
      </w:r>
      <w:r>
        <w:rPr>
          <w:sz w:val="20"/>
          <w:szCs w:val="20"/>
        </w:rPr>
        <w:t>是</w:t>
      </w:r>
      <w:r>
        <w:rPr>
          <w:spacing w:val="-39"/>
          <w:sz w:val="20"/>
          <w:szCs w:val="20"/>
        </w:rPr>
        <w:t xml:space="preserve"> </w:t>
      </w:r>
      <w:r>
        <w:rPr>
          <w:rFonts w:ascii="Times New Roman" w:hAnsi="Times New Roman" w:eastAsia="Times New Roman" w:cs="Times New Roman"/>
          <w:sz w:val="20"/>
          <w:szCs w:val="20"/>
        </w:rPr>
        <w:t xml:space="preserve">WWW </w:t>
      </w:r>
      <w:r>
        <w:rPr>
          <w:sz w:val="20"/>
          <w:szCs w:val="20"/>
        </w:rPr>
        <w:t>服务使用的</w:t>
      </w:r>
      <w:r>
        <w:rPr>
          <w:spacing w:val="-1"/>
          <w:sz w:val="20"/>
          <w:szCs w:val="20"/>
        </w:rPr>
        <w:t>应用层协议，用</w:t>
      </w:r>
      <w:r>
        <w:rPr>
          <w:sz w:val="20"/>
          <w:szCs w:val="20"/>
        </w:rPr>
        <w:t xml:space="preserve">  </w:t>
      </w:r>
      <w:r>
        <w:rPr>
          <w:spacing w:val="2"/>
          <w:sz w:val="20"/>
          <w:szCs w:val="20"/>
        </w:rPr>
        <w:t>于实现</w:t>
      </w:r>
      <w:r>
        <w:rPr>
          <w:spacing w:val="-60"/>
          <w:sz w:val="20"/>
          <w:szCs w:val="20"/>
        </w:rPr>
        <w:t xml:space="preserve"> </w:t>
      </w:r>
      <w:r>
        <w:rPr>
          <w:rFonts w:ascii="Times New Roman" w:hAnsi="Times New Roman" w:eastAsia="Times New Roman" w:cs="Times New Roman"/>
          <w:sz w:val="20"/>
          <w:szCs w:val="20"/>
        </w:rPr>
        <w:t>WWW</w:t>
      </w:r>
      <w:r>
        <w:rPr>
          <w:rFonts w:ascii="Times New Roman" w:hAnsi="Times New Roman" w:eastAsia="Times New Roman" w:cs="Times New Roman"/>
          <w:spacing w:val="2"/>
          <w:sz w:val="20"/>
          <w:szCs w:val="20"/>
        </w:rPr>
        <w:t xml:space="preserve"> </w:t>
      </w:r>
      <w:r>
        <w:rPr>
          <w:spacing w:val="2"/>
          <w:sz w:val="20"/>
          <w:szCs w:val="20"/>
        </w:rPr>
        <w:t>客户机与</w:t>
      </w:r>
      <w:r>
        <w:rPr>
          <w:rFonts w:ascii="Times New Roman" w:hAnsi="Times New Roman" w:eastAsia="Times New Roman" w:cs="Times New Roman"/>
          <w:sz w:val="20"/>
          <w:szCs w:val="20"/>
        </w:rPr>
        <w:t>WwW</w:t>
      </w:r>
      <w:r>
        <w:rPr>
          <w:rFonts w:ascii="Times New Roman" w:hAnsi="Times New Roman" w:eastAsia="Times New Roman" w:cs="Times New Roman"/>
          <w:spacing w:val="2"/>
          <w:sz w:val="20"/>
          <w:szCs w:val="20"/>
        </w:rPr>
        <w:t xml:space="preserve">  </w:t>
      </w:r>
      <w:r>
        <w:rPr>
          <w:spacing w:val="2"/>
          <w:sz w:val="20"/>
          <w:szCs w:val="20"/>
        </w:rPr>
        <w:t>服务器之间的通信；</w:t>
      </w:r>
      <w:r>
        <w:rPr>
          <w:rFonts w:ascii="Times New Roman" w:hAnsi="Times New Roman" w:eastAsia="Times New Roman" w:cs="Times New Roman"/>
          <w:sz w:val="20"/>
          <w:szCs w:val="20"/>
        </w:rPr>
        <w:t>HTML</w:t>
      </w:r>
      <w:r>
        <w:rPr>
          <w:rFonts w:ascii="Times New Roman" w:hAnsi="Times New Roman" w:eastAsia="Times New Roman" w:cs="Times New Roman"/>
          <w:spacing w:val="18"/>
          <w:sz w:val="20"/>
          <w:szCs w:val="20"/>
        </w:rPr>
        <w:t xml:space="preserve"> </w:t>
      </w:r>
      <w:r>
        <w:rPr>
          <w:spacing w:val="2"/>
          <w:sz w:val="20"/>
          <w:szCs w:val="20"/>
        </w:rPr>
        <w:t>语</w:t>
      </w:r>
      <w:r>
        <w:rPr>
          <w:spacing w:val="1"/>
          <w:sz w:val="20"/>
          <w:szCs w:val="20"/>
        </w:rPr>
        <w:t>言是</w:t>
      </w:r>
      <w:r>
        <w:rPr>
          <w:rFonts w:ascii="Times New Roman" w:hAnsi="Times New Roman" w:eastAsia="Times New Roman" w:cs="Times New Roman"/>
          <w:sz w:val="20"/>
          <w:szCs w:val="20"/>
        </w:rPr>
        <w:t>WwW</w:t>
      </w:r>
      <w:r>
        <w:rPr>
          <w:rFonts w:ascii="Times New Roman" w:hAnsi="Times New Roman" w:eastAsia="Times New Roman" w:cs="Times New Roman"/>
          <w:spacing w:val="1"/>
          <w:sz w:val="20"/>
          <w:szCs w:val="20"/>
        </w:rPr>
        <w:t xml:space="preserve">  </w:t>
      </w:r>
      <w:r>
        <w:rPr>
          <w:spacing w:val="1"/>
          <w:sz w:val="20"/>
          <w:szCs w:val="20"/>
        </w:rPr>
        <w:t>服务的信息组织形式，</w:t>
      </w:r>
      <w:r>
        <w:rPr>
          <w:sz w:val="20"/>
          <w:szCs w:val="20"/>
        </w:rPr>
        <w:t xml:space="preserve"> </w:t>
      </w:r>
      <w:r>
        <w:rPr>
          <w:spacing w:val="2"/>
          <w:sz w:val="20"/>
          <w:szCs w:val="20"/>
        </w:rPr>
        <w:t>用于定义在</w:t>
      </w:r>
      <w:r>
        <w:rPr>
          <w:rFonts w:ascii="Times New Roman" w:hAnsi="Times New Roman" w:eastAsia="Times New Roman" w:cs="Times New Roman"/>
          <w:sz w:val="20"/>
          <w:szCs w:val="20"/>
        </w:rPr>
        <w:t>WWW</w:t>
      </w:r>
      <w:r>
        <w:rPr>
          <w:rFonts w:ascii="Times New Roman" w:hAnsi="Times New Roman" w:eastAsia="Times New Roman" w:cs="Times New Roman"/>
          <w:spacing w:val="2"/>
          <w:sz w:val="20"/>
          <w:szCs w:val="20"/>
        </w:rPr>
        <w:t xml:space="preserve"> </w:t>
      </w:r>
      <w:r>
        <w:rPr>
          <w:spacing w:val="2"/>
          <w:sz w:val="20"/>
          <w:szCs w:val="20"/>
        </w:rPr>
        <w:t>服务器中存储的信息格式，2008年发布的</w:t>
      </w:r>
      <w:r>
        <w:rPr>
          <w:rFonts w:ascii="Times New Roman" w:hAnsi="Times New Roman" w:eastAsia="Times New Roman" w:cs="Times New Roman"/>
          <w:sz w:val="20"/>
          <w:szCs w:val="20"/>
        </w:rPr>
        <w:t>HTML</w:t>
      </w:r>
      <w:r>
        <w:rPr>
          <w:rFonts w:ascii="Times New Roman" w:hAnsi="Times New Roman" w:eastAsia="Times New Roman" w:cs="Times New Roman"/>
          <w:spacing w:val="2"/>
          <w:sz w:val="20"/>
          <w:szCs w:val="20"/>
        </w:rPr>
        <w:t xml:space="preserve">5 </w:t>
      </w:r>
      <w:r>
        <w:rPr>
          <w:spacing w:val="2"/>
          <w:sz w:val="20"/>
          <w:szCs w:val="20"/>
        </w:rPr>
        <w:t>版本对视频、音频、图像、</w:t>
      </w:r>
      <w:r>
        <w:rPr>
          <w:spacing w:val="15"/>
          <w:sz w:val="20"/>
          <w:szCs w:val="20"/>
        </w:rPr>
        <w:t xml:space="preserve"> </w:t>
      </w:r>
      <w:r>
        <w:rPr>
          <w:spacing w:val="-3"/>
          <w:sz w:val="20"/>
          <w:szCs w:val="20"/>
        </w:rPr>
        <w:t>动画以及与设备的交互都进行了规范。</w:t>
      </w:r>
    </w:p>
    <w:p w14:paraId="3EF5A8E5">
      <w:pPr>
        <w:spacing w:before="116" w:line="212" w:lineRule="auto"/>
        <w:ind w:left="409"/>
        <w:rPr>
          <w:rFonts w:ascii="楷体" w:hAnsi="楷体" w:eastAsia="楷体" w:cs="楷体"/>
          <w:sz w:val="20"/>
          <w:szCs w:val="20"/>
        </w:rPr>
      </w:pPr>
      <w:bookmarkStart w:id="540" w:name="bookmark527"/>
      <w:bookmarkEnd w:id="540"/>
      <w:r>
        <w:rPr>
          <w:rFonts w:ascii="Times New Roman" w:hAnsi="Times New Roman" w:eastAsia="Times New Roman" w:cs="Times New Roman"/>
          <w:spacing w:val="-2"/>
          <w:sz w:val="20"/>
          <w:szCs w:val="20"/>
        </w:rPr>
        <w:t>3)DNS</w:t>
      </w:r>
      <w:r>
        <w:rPr>
          <w:rFonts w:ascii="Times New Roman" w:hAnsi="Times New Roman" w:eastAsia="Times New Roman" w:cs="Times New Roman"/>
          <w:spacing w:val="11"/>
          <w:sz w:val="20"/>
          <w:szCs w:val="20"/>
        </w:rPr>
        <w:t xml:space="preserve">   </w:t>
      </w:r>
      <w:r>
        <w:rPr>
          <w:rFonts w:ascii="楷体" w:hAnsi="楷体" w:eastAsia="楷体" w:cs="楷体"/>
          <w:spacing w:val="-2"/>
          <w:sz w:val="20"/>
          <w:szCs w:val="20"/>
        </w:rPr>
        <w:t>域名解析服务</w:t>
      </w:r>
    </w:p>
    <w:p w14:paraId="5DC60CE3">
      <w:pPr>
        <w:pStyle w:val="2"/>
        <w:spacing w:before="91" w:line="291" w:lineRule="auto"/>
        <w:ind w:right="330" w:firstLine="409"/>
        <w:rPr>
          <w:sz w:val="20"/>
          <w:szCs w:val="20"/>
        </w:rPr>
      </w:pPr>
      <w:r>
        <w:rPr>
          <w:spacing w:val="21"/>
          <w:sz w:val="20"/>
          <w:szCs w:val="20"/>
        </w:rPr>
        <w:t>互联网是基于</w:t>
      </w:r>
      <w:r>
        <w:rPr>
          <w:rFonts w:ascii="Times New Roman" w:hAnsi="Times New Roman" w:eastAsia="Times New Roman" w:cs="Times New Roman"/>
          <w:sz w:val="20"/>
          <w:szCs w:val="20"/>
        </w:rPr>
        <w:t>IP</w:t>
      </w:r>
      <w:r>
        <w:rPr>
          <w:rFonts w:ascii="Times New Roman" w:hAnsi="Times New Roman" w:eastAsia="Times New Roman" w:cs="Times New Roman"/>
          <w:spacing w:val="27"/>
          <w:w w:val="101"/>
          <w:sz w:val="20"/>
          <w:szCs w:val="20"/>
        </w:rPr>
        <w:t xml:space="preserve"> </w:t>
      </w:r>
      <w:r>
        <w:rPr>
          <w:spacing w:val="21"/>
          <w:sz w:val="20"/>
          <w:szCs w:val="20"/>
        </w:rPr>
        <w:t>地址进行数据收发的，但是在</w:t>
      </w:r>
      <w:r>
        <w:rPr>
          <w:rFonts w:ascii="Times New Roman" w:hAnsi="Times New Roman" w:eastAsia="Times New Roman" w:cs="Times New Roman"/>
          <w:spacing w:val="21"/>
          <w:sz w:val="20"/>
          <w:szCs w:val="20"/>
        </w:rPr>
        <w:t>E-</w:t>
      </w:r>
      <w:r>
        <w:rPr>
          <w:rFonts w:ascii="Times New Roman" w:hAnsi="Times New Roman" w:eastAsia="Times New Roman" w:cs="Times New Roman"/>
          <w:sz w:val="20"/>
          <w:szCs w:val="20"/>
        </w:rPr>
        <w:t>mail</w:t>
      </w:r>
      <w:r>
        <w:rPr>
          <w:rFonts w:ascii="Times New Roman" w:hAnsi="Times New Roman" w:eastAsia="Times New Roman" w:cs="Times New Roman"/>
          <w:spacing w:val="-29"/>
          <w:sz w:val="20"/>
          <w:szCs w:val="20"/>
        </w:rPr>
        <w:t xml:space="preserve"> </w:t>
      </w:r>
      <w:r>
        <w:rPr>
          <w:spacing w:val="21"/>
          <w:sz w:val="20"/>
          <w:szCs w:val="20"/>
        </w:rPr>
        <w:t>、</w:t>
      </w:r>
      <w:r>
        <w:rPr>
          <w:rFonts w:ascii="Times New Roman" w:hAnsi="Times New Roman" w:eastAsia="Times New Roman" w:cs="Times New Roman"/>
          <w:sz w:val="20"/>
          <w:szCs w:val="20"/>
        </w:rPr>
        <w:t>WwW</w:t>
      </w:r>
      <w:r>
        <w:rPr>
          <w:rFonts w:ascii="Times New Roman" w:hAnsi="Times New Roman" w:eastAsia="Times New Roman" w:cs="Times New Roman"/>
          <w:spacing w:val="20"/>
          <w:sz w:val="20"/>
          <w:szCs w:val="20"/>
        </w:rPr>
        <w:t xml:space="preserve">  </w:t>
      </w:r>
      <w:r>
        <w:rPr>
          <w:spacing w:val="21"/>
          <w:sz w:val="20"/>
          <w:szCs w:val="20"/>
        </w:rPr>
        <w:t>等众多</w:t>
      </w:r>
      <w:r>
        <w:rPr>
          <w:spacing w:val="20"/>
          <w:sz w:val="20"/>
          <w:szCs w:val="20"/>
        </w:rPr>
        <w:t>服务中，让每</w:t>
      </w:r>
      <w:r>
        <w:rPr>
          <w:sz w:val="20"/>
          <w:szCs w:val="20"/>
        </w:rPr>
        <w:t xml:space="preserve"> </w:t>
      </w:r>
      <w:r>
        <w:rPr>
          <w:spacing w:val="14"/>
          <w:sz w:val="20"/>
          <w:szCs w:val="20"/>
        </w:rPr>
        <w:t>个人都记住对方和己方的</w:t>
      </w:r>
      <w:r>
        <w:rPr>
          <w:rFonts w:ascii="Times New Roman" w:hAnsi="Times New Roman" w:eastAsia="Times New Roman" w:cs="Times New Roman"/>
          <w:sz w:val="20"/>
          <w:szCs w:val="20"/>
        </w:rPr>
        <w:t>IP</w:t>
      </w:r>
      <w:r>
        <w:rPr>
          <w:rFonts w:ascii="Times New Roman" w:hAnsi="Times New Roman" w:eastAsia="Times New Roman" w:cs="Times New Roman"/>
          <w:spacing w:val="37"/>
          <w:w w:val="101"/>
          <w:sz w:val="20"/>
          <w:szCs w:val="20"/>
        </w:rPr>
        <w:t xml:space="preserve"> </w:t>
      </w:r>
      <w:r>
        <w:rPr>
          <w:spacing w:val="14"/>
          <w:sz w:val="20"/>
          <w:szCs w:val="20"/>
        </w:rPr>
        <w:t>地址显然是不现实的，这里就用到了域名服务</w:t>
      </w:r>
      <w:r>
        <w:rPr>
          <w:spacing w:val="-60"/>
          <w:sz w:val="20"/>
          <w:szCs w:val="20"/>
        </w:rPr>
        <w:t xml:space="preserve"> </w:t>
      </w:r>
      <w:r>
        <w:rPr>
          <w:rFonts w:ascii="Times New Roman" w:hAnsi="Times New Roman" w:eastAsia="Times New Roman" w:cs="Times New Roman"/>
          <w:spacing w:val="14"/>
          <w:sz w:val="20"/>
          <w:szCs w:val="20"/>
        </w:rPr>
        <w:t>(</w:t>
      </w:r>
      <w:r>
        <w:rPr>
          <w:rFonts w:ascii="Times New Roman" w:hAnsi="Times New Roman" w:eastAsia="Times New Roman" w:cs="Times New Roman"/>
          <w:sz w:val="20"/>
          <w:szCs w:val="20"/>
        </w:rPr>
        <w:t>Domain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Name Service</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DNS</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DNS</w:t>
      </w:r>
      <w:r>
        <w:rPr>
          <w:rFonts w:ascii="Times New Roman" w:hAnsi="Times New Roman" w:eastAsia="Times New Roman" w:cs="Times New Roman"/>
          <w:spacing w:val="7"/>
          <w:sz w:val="20"/>
          <w:szCs w:val="20"/>
        </w:rPr>
        <w:t xml:space="preserve">         </w:t>
      </w:r>
      <w:r>
        <w:rPr>
          <w:spacing w:val="7"/>
          <w:sz w:val="20"/>
          <w:szCs w:val="20"/>
        </w:rPr>
        <w:t>就是将容易记忆的域名(例如</w:t>
      </w:r>
      <w:r>
        <w:rPr>
          <w:rFonts w:ascii="Times New Roman" w:hAnsi="Times New Roman" w:eastAsia="Times New Roman" w:cs="Times New Roman"/>
          <w:sz w:val="20"/>
          <w:szCs w:val="20"/>
        </w:rPr>
        <w:t>www</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baidu</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com</w:t>
      </w:r>
      <w:r>
        <w:rPr>
          <w:rFonts w:ascii="Times New Roman" w:hAnsi="Times New Roman" w:eastAsia="Times New Roman" w:cs="Times New Roman"/>
          <w:spacing w:val="7"/>
          <w:sz w:val="20"/>
          <w:szCs w:val="20"/>
        </w:rPr>
        <w:t xml:space="preserve">)   </w:t>
      </w:r>
      <w:r>
        <w:rPr>
          <w:spacing w:val="7"/>
          <w:sz w:val="20"/>
          <w:szCs w:val="20"/>
        </w:rPr>
        <w:t>转换为网络可以识别的</w:t>
      </w:r>
      <w:r>
        <w:rPr>
          <w:spacing w:val="2"/>
          <w:sz w:val="20"/>
          <w:szCs w:val="20"/>
        </w:rPr>
        <w:t xml:space="preserve"> </w:t>
      </w:r>
      <w:r>
        <w:rPr>
          <w:spacing w:val="-2"/>
          <w:sz w:val="20"/>
          <w:szCs w:val="20"/>
        </w:rPr>
        <w:t>IP</w:t>
      </w:r>
      <w:r>
        <w:rPr>
          <w:spacing w:val="-52"/>
          <w:sz w:val="20"/>
          <w:szCs w:val="20"/>
        </w:rPr>
        <w:t xml:space="preserve"> </w:t>
      </w:r>
      <w:r>
        <w:rPr>
          <w:spacing w:val="-2"/>
          <w:sz w:val="20"/>
          <w:szCs w:val="20"/>
        </w:rPr>
        <w:t>地址。</w:t>
      </w:r>
    </w:p>
    <w:p w14:paraId="6A1DF818">
      <w:pPr>
        <w:pStyle w:val="2"/>
        <w:spacing w:before="19" w:line="282" w:lineRule="auto"/>
        <w:ind w:right="325" w:firstLine="409"/>
        <w:jc w:val="both"/>
        <w:rPr>
          <w:sz w:val="20"/>
          <w:szCs w:val="20"/>
        </w:rPr>
      </w:pPr>
      <w:r>
        <w:rPr>
          <w:spacing w:val="9"/>
          <w:sz w:val="20"/>
          <w:szCs w:val="20"/>
        </w:rPr>
        <w:t>域名是互联网上某一台计算机或计算机组的名称，用于</w:t>
      </w:r>
      <w:r>
        <w:rPr>
          <w:spacing w:val="8"/>
          <w:sz w:val="20"/>
          <w:szCs w:val="20"/>
        </w:rPr>
        <w:t>在数据传输时标识计算机的电子</w:t>
      </w:r>
      <w:r>
        <w:rPr>
          <w:sz w:val="20"/>
          <w:szCs w:val="20"/>
        </w:rPr>
        <w:t xml:space="preserve"> </w:t>
      </w:r>
      <w:r>
        <w:rPr>
          <w:spacing w:val="9"/>
          <w:sz w:val="20"/>
          <w:szCs w:val="20"/>
        </w:rPr>
        <w:t>方位(有时也指地理位置)。域名是由一串用点分</w:t>
      </w:r>
      <w:r>
        <w:rPr>
          <w:spacing w:val="8"/>
          <w:sz w:val="20"/>
          <w:szCs w:val="20"/>
        </w:rPr>
        <w:t>隔的名字组成的，通常包含组织名，以指明</w:t>
      </w:r>
      <w:r>
        <w:rPr>
          <w:sz w:val="20"/>
          <w:szCs w:val="20"/>
        </w:rPr>
        <w:t xml:space="preserve"> </w:t>
      </w:r>
      <w:r>
        <w:rPr>
          <w:spacing w:val="4"/>
          <w:sz w:val="20"/>
          <w:szCs w:val="20"/>
        </w:rPr>
        <w:t>组织的类型或该域所在的国家或地区。</w:t>
      </w:r>
      <w:r>
        <w:rPr>
          <w:spacing w:val="-19"/>
          <w:sz w:val="20"/>
          <w:szCs w:val="20"/>
        </w:rPr>
        <w:t xml:space="preserve"> </w:t>
      </w:r>
      <w:r>
        <w:rPr>
          <w:rFonts w:ascii="Times New Roman" w:hAnsi="Times New Roman" w:eastAsia="Times New Roman" w:cs="Times New Roman"/>
          <w:sz w:val="20"/>
          <w:szCs w:val="20"/>
        </w:rPr>
        <w:t>DNS</w:t>
      </w:r>
      <w:r>
        <w:rPr>
          <w:rFonts w:ascii="Times New Roman" w:hAnsi="Times New Roman" w:eastAsia="Times New Roman" w:cs="Times New Roman"/>
          <w:spacing w:val="23"/>
          <w:sz w:val="20"/>
          <w:szCs w:val="20"/>
        </w:rPr>
        <w:t xml:space="preserve"> </w:t>
      </w:r>
      <w:r>
        <w:rPr>
          <w:spacing w:val="4"/>
          <w:sz w:val="20"/>
          <w:szCs w:val="20"/>
        </w:rPr>
        <w:t>系统的本质是一个将域</w:t>
      </w:r>
      <w:r>
        <w:rPr>
          <w:spacing w:val="3"/>
          <w:sz w:val="20"/>
          <w:szCs w:val="20"/>
        </w:rPr>
        <w:t>名和</w:t>
      </w:r>
      <w:r>
        <w:rPr>
          <w:rFonts w:ascii="Times New Roman" w:hAnsi="Times New Roman" w:eastAsia="Times New Roman" w:cs="Times New Roman"/>
          <w:sz w:val="20"/>
          <w:szCs w:val="20"/>
        </w:rPr>
        <w:t>IP</w:t>
      </w:r>
      <w:r>
        <w:rPr>
          <w:rFonts w:ascii="Times New Roman" w:hAnsi="Times New Roman" w:eastAsia="Times New Roman" w:cs="Times New Roman"/>
          <w:spacing w:val="17"/>
          <w:w w:val="101"/>
          <w:sz w:val="20"/>
          <w:szCs w:val="20"/>
        </w:rPr>
        <w:t xml:space="preserve"> </w:t>
      </w:r>
      <w:r>
        <w:rPr>
          <w:spacing w:val="3"/>
          <w:sz w:val="20"/>
          <w:szCs w:val="20"/>
        </w:rPr>
        <w:t>地址相互映射的分</w:t>
      </w:r>
      <w:r>
        <w:rPr>
          <w:sz w:val="20"/>
          <w:szCs w:val="20"/>
        </w:rPr>
        <w:t xml:space="preserve"> </w:t>
      </w:r>
      <w:r>
        <w:rPr>
          <w:spacing w:val="8"/>
          <w:sz w:val="20"/>
          <w:szCs w:val="20"/>
        </w:rPr>
        <w:t>布式数据库，以及保存、更新、解析、遍历这种对应数据的方式方法。存储该数据库的服务</w:t>
      </w:r>
      <w:r>
        <w:rPr>
          <w:spacing w:val="18"/>
          <w:sz w:val="20"/>
          <w:szCs w:val="20"/>
        </w:rPr>
        <w:t xml:space="preserve"> </w:t>
      </w:r>
      <w:r>
        <w:rPr>
          <w:spacing w:val="7"/>
          <w:sz w:val="20"/>
          <w:szCs w:val="20"/>
        </w:rPr>
        <w:t>器叫</w:t>
      </w:r>
      <w:r>
        <w:rPr>
          <w:rFonts w:ascii="Times New Roman" w:hAnsi="Times New Roman" w:eastAsia="Times New Roman" w:cs="Times New Roman"/>
          <w:sz w:val="20"/>
          <w:szCs w:val="20"/>
        </w:rPr>
        <w:t>DNS</w:t>
      </w:r>
      <w:r>
        <w:rPr>
          <w:rFonts w:ascii="Times New Roman" w:hAnsi="Times New Roman" w:eastAsia="Times New Roman" w:cs="Times New Roman"/>
          <w:spacing w:val="24"/>
          <w:sz w:val="20"/>
          <w:szCs w:val="20"/>
        </w:rPr>
        <w:t xml:space="preserve"> </w:t>
      </w:r>
      <w:r>
        <w:rPr>
          <w:spacing w:val="7"/>
          <w:sz w:val="20"/>
          <w:szCs w:val="20"/>
        </w:rPr>
        <w:t>服务器，一般由相关机构和运营商进行部署，为企业、家庭和个人客户提</w:t>
      </w:r>
      <w:r>
        <w:rPr>
          <w:spacing w:val="6"/>
          <w:sz w:val="20"/>
          <w:szCs w:val="20"/>
        </w:rPr>
        <w:t>供域名解</w:t>
      </w:r>
      <w:r>
        <w:rPr>
          <w:sz w:val="20"/>
          <w:szCs w:val="20"/>
        </w:rPr>
        <w:t xml:space="preserve"> </w:t>
      </w:r>
      <w:r>
        <w:rPr>
          <w:spacing w:val="-1"/>
          <w:sz w:val="20"/>
          <w:szCs w:val="20"/>
        </w:rPr>
        <w:t>析服务。</w:t>
      </w:r>
    </w:p>
    <w:p w14:paraId="4C5D10C5">
      <w:pPr>
        <w:pStyle w:val="2"/>
        <w:spacing w:before="60" w:line="261" w:lineRule="auto"/>
        <w:ind w:right="315" w:firstLine="409"/>
        <w:jc w:val="both"/>
        <w:rPr>
          <w:sz w:val="20"/>
          <w:szCs w:val="20"/>
        </w:rPr>
      </w:pPr>
      <w:r>
        <w:rPr>
          <w:spacing w:val="7"/>
          <w:sz w:val="20"/>
          <w:szCs w:val="20"/>
        </w:rPr>
        <w:t>域名由</w:t>
      </w:r>
      <w:r>
        <w:rPr>
          <w:rFonts w:ascii="Times New Roman" w:hAnsi="Times New Roman" w:eastAsia="Times New Roman" w:cs="Times New Roman"/>
          <w:sz w:val="20"/>
          <w:szCs w:val="20"/>
        </w:rPr>
        <w:t>ICANN</w:t>
      </w:r>
      <w:r>
        <w:rPr>
          <w:rFonts w:ascii="Times New Roman" w:hAnsi="Times New Roman" w:eastAsia="Times New Roman" w:cs="Times New Roman"/>
          <w:spacing w:val="30"/>
          <w:w w:val="101"/>
          <w:sz w:val="20"/>
          <w:szCs w:val="20"/>
        </w:rPr>
        <w:t xml:space="preserve"> </w:t>
      </w:r>
      <w:r>
        <w:rPr>
          <w:spacing w:val="7"/>
          <w:sz w:val="20"/>
          <w:szCs w:val="20"/>
        </w:rPr>
        <w:t>进行管理，中国的顶级域名.</w:t>
      </w:r>
      <w:r>
        <w:rPr>
          <w:rFonts w:ascii="Times New Roman" w:hAnsi="Times New Roman" w:eastAsia="Times New Roman" w:cs="Times New Roman"/>
          <w:sz w:val="20"/>
          <w:szCs w:val="20"/>
        </w:rPr>
        <w:t>cn</w:t>
      </w:r>
      <w:r>
        <w:rPr>
          <w:rFonts w:ascii="Times New Roman" w:hAnsi="Times New Roman" w:eastAsia="Times New Roman" w:cs="Times New Roman"/>
          <w:spacing w:val="7"/>
          <w:sz w:val="20"/>
          <w:szCs w:val="20"/>
        </w:rPr>
        <w:t xml:space="preserve"> </w:t>
      </w:r>
      <w:r>
        <w:rPr>
          <w:spacing w:val="7"/>
          <w:sz w:val="20"/>
          <w:szCs w:val="20"/>
        </w:rPr>
        <w:t>就是由其分配的。 .</w:t>
      </w:r>
      <w:r>
        <w:rPr>
          <w:rFonts w:ascii="Times New Roman" w:hAnsi="Times New Roman" w:eastAsia="Times New Roman" w:cs="Times New Roman"/>
          <w:sz w:val="20"/>
          <w:szCs w:val="20"/>
        </w:rPr>
        <w:t>cn</w:t>
      </w:r>
      <w:r>
        <w:rPr>
          <w:rFonts w:ascii="Times New Roman" w:hAnsi="Times New Roman" w:eastAsia="Times New Roman" w:cs="Times New Roman"/>
          <w:spacing w:val="18"/>
          <w:sz w:val="20"/>
          <w:szCs w:val="20"/>
        </w:rPr>
        <w:t xml:space="preserve"> </w:t>
      </w:r>
      <w:r>
        <w:rPr>
          <w:spacing w:val="7"/>
          <w:sz w:val="20"/>
          <w:szCs w:val="20"/>
        </w:rPr>
        <w:t>下的域名(如</w:t>
      </w:r>
      <w:r>
        <w:rPr>
          <w:rFonts w:ascii="Times New Roman" w:hAnsi="Times New Roman" w:eastAsia="Times New Roman" w:cs="Times New Roman"/>
          <w:sz w:val="20"/>
          <w:szCs w:val="20"/>
        </w:rPr>
        <w:t>www</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 xml:space="preserve"> baidu</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cn</w:t>
      </w:r>
      <w:r>
        <w:rPr>
          <w:rFonts w:ascii="Times New Roman" w:hAnsi="Times New Roman" w:eastAsia="Times New Roman" w:cs="Times New Roman"/>
          <w:spacing w:val="20"/>
          <w:w w:val="101"/>
          <w:sz w:val="20"/>
          <w:szCs w:val="20"/>
        </w:rPr>
        <w:t xml:space="preserve"> </w:t>
      </w:r>
      <w:r>
        <w:rPr>
          <w:spacing w:val="12"/>
          <w:sz w:val="20"/>
          <w:szCs w:val="20"/>
        </w:rPr>
        <w:t>中</w:t>
      </w:r>
      <w:r>
        <w:rPr>
          <w:spacing w:val="-26"/>
          <w:sz w:val="20"/>
          <w:szCs w:val="20"/>
        </w:rPr>
        <w:t xml:space="preserve"> </w:t>
      </w:r>
      <w:r>
        <w:rPr>
          <w:spacing w:val="12"/>
          <w:sz w:val="20"/>
          <w:szCs w:val="20"/>
        </w:rPr>
        <w:t>的</w:t>
      </w:r>
      <w:r>
        <w:rPr>
          <w:spacing w:val="-37"/>
          <w:sz w:val="20"/>
          <w:szCs w:val="20"/>
        </w:rPr>
        <w:t xml:space="preserve"> </w:t>
      </w:r>
      <w:r>
        <w:rPr>
          <w:spacing w:val="12"/>
          <w:sz w:val="20"/>
          <w:szCs w:val="20"/>
        </w:rPr>
        <w:t>.</w:t>
      </w:r>
      <w:r>
        <w:rPr>
          <w:rFonts w:ascii="Times New Roman" w:hAnsi="Times New Roman" w:eastAsia="Times New Roman" w:cs="Times New Roman"/>
          <w:sz w:val="20"/>
          <w:szCs w:val="20"/>
        </w:rPr>
        <w:t>cn</w:t>
      </w:r>
      <w:r>
        <w:rPr>
          <w:rFonts w:ascii="Times New Roman" w:hAnsi="Times New Roman" w:eastAsia="Times New Roman" w:cs="Times New Roman"/>
          <w:spacing w:val="12"/>
          <w:sz w:val="20"/>
          <w:szCs w:val="20"/>
        </w:rPr>
        <w:t xml:space="preserve"> </w:t>
      </w:r>
      <w:r>
        <w:rPr>
          <w:spacing w:val="12"/>
          <w:sz w:val="20"/>
          <w:szCs w:val="20"/>
        </w:rPr>
        <w:t>之前的部分)由中国互联网络信息中心</w:t>
      </w:r>
      <w:r>
        <w:rPr>
          <w:spacing w:val="-53"/>
          <w:sz w:val="20"/>
          <w:szCs w:val="20"/>
        </w:rPr>
        <w:t xml:space="preserve"> </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China</w:t>
      </w:r>
      <w:r>
        <w:rPr>
          <w:rFonts w:ascii="Times New Roman" w:hAnsi="Times New Roman" w:eastAsia="Times New Roman" w:cs="Times New Roman"/>
          <w:spacing w:val="48"/>
          <w:sz w:val="20"/>
          <w:szCs w:val="20"/>
        </w:rPr>
        <w:t xml:space="preserve"> </w:t>
      </w:r>
      <w:r>
        <w:rPr>
          <w:rFonts w:ascii="Times New Roman" w:hAnsi="Times New Roman" w:eastAsia="Times New Roman" w:cs="Times New Roman"/>
          <w:sz w:val="20"/>
          <w:szCs w:val="20"/>
        </w:rPr>
        <w:t>Internet</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47"/>
          <w:w w:val="101"/>
          <w:sz w:val="20"/>
          <w:szCs w:val="20"/>
        </w:rPr>
        <w:t xml:space="preserve"> </w:t>
      </w:r>
      <w:r>
        <w:rPr>
          <w:rFonts w:ascii="Times New Roman" w:hAnsi="Times New Roman" w:eastAsia="Times New Roman" w:cs="Times New Roman"/>
          <w:sz w:val="20"/>
          <w:szCs w:val="20"/>
        </w:rPr>
        <w:t xml:space="preserve">Information </w:t>
      </w:r>
      <w:r>
        <w:rPr>
          <w:rFonts w:ascii="Times New Roman" w:hAnsi="Times New Roman" w:eastAsia="Times New Roman" w:cs="Times New Roman"/>
          <w:spacing w:val="-1"/>
          <w:sz w:val="20"/>
          <w:szCs w:val="20"/>
        </w:rPr>
        <w:t>Center,CNNIC)</w:t>
      </w:r>
      <w:r>
        <w:rPr>
          <w:rFonts w:ascii="Times New Roman" w:hAnsi="Times New Roman" w:eastAsia="Times New Roman" w:cs="Times New Roman"/>
          <w:spacing w:val="6"/>
          <w:sz w:val="20"/>
          <w:szCs w:val="20"/>
        </w:rPr>
        <w:t xml:space="preserve">     </w:t>
      </w:r>
      <w:r>
        <w:rPr>
          <w:spacing w:val="-1"/>
          <w:sz w:val="20"/>
          <w:szCs w:val="20"/>
        </w:rPr>
        <w:t>进行管理。</w:t>
      </w:r>
    </w:p>
    <w:p w14:paraId="6526A4AA">
      <w:pPr>
        <w:spacing w:before="138" w:line="212" w:lineRule="auto"/>
        <w:ind w:left="409"/>
        <w:rPr>
          <w:rFonts w:ascii="楷体" w:hAnsi="楷体" w:eastAsia="楷体" w:cs="楷体"/>
          <w:sz w:val="20"/>
          <w:szCs w:val="20"/>
        </w:rPr>
      </w:pPr>
      <w:r>
        <w:rPr>
          <w:rFonts w:ascii="Times New Roman" w:hAnsi="Times New Roman" w:eastAsia="Times New Roman" w:cs="Times New Roman"/>
          <w:spacing w:val="-2"/>
          <w:sz w:val="20"/>
          <w:szCs w:val="20"/>
        </w:rPr>
        <w:t>4)FTP</w:t>
      </w:r>
      <w:r>
        <w:rPr>
          <w:rFonts w:ascii="Times New Roman" w:hAnsi="Times New Roman" w:eastAsia="Times New Roman" w:cs="Times New Roman"/>
          <w:spacing w:val="12"/>
          <w:w w:val="101"/>
          <w:sz w:val="20"/>
          <w:szCs w:val="20"/>
        </w:rPr>
        <w:t xml:space="preserve">   </w:t>
      </w:r>
      <w:r>
        <w:rPr>
          <w:rFonts w:ascii="楷体" w:hAnsi="楷体" w:eastAsia="楷体" w:cs="楷体"/>
          <w:spacing w:val="-2"/>
          <w:sz w:val="20"/>
          <w:szCs w:val="20"/>
        </w:rPr>
        <w:t>文件传输服务</w:t>
      </w:r>
    </w:p>
    <w:p w14:paraId="05628FBB">
      <w:pPr>
        <w:pStyle w:val="2"/>
        <w:spacing w:before="102" w:line="277" w:lineRule="auto"/>
        <w:ind w:right="266" w:firstLine="409"/>
        <w:rPr>
          <w:sz w:val="20"/>
          <w:szCs w:val="20"/>
        </w:rPr>
      </w:pPr>
      <w:r>
        <w:rPr>
          <w:rFonts w:ascii="Times New Roman" w:hAnsi="Times New Roman" w:eastAsia="Times New Roman" w:cs="Times New Roman"/>
          <w:sz w:val="20"/>
          <w:szCs w:val="20"/>
        </w:rPr>
        <w:t>FTP</w:t>
      </w:r>
      <w:r>
        <w:rPr>
          <w:rFonts w:ascii="Times New Roman" w:hAnsi="Times New Roman" w:eastAsia="Times New Roman" w:cs="Times New Roman"/>
          <w:spacing w:val="10"/>
          <w:sz w:val="20"/>
          <w:szCs w:val="20"/>
        </w:rPr>
        <w:t xml:space="preserve"> </w:t>
      </w:r>
      <w:r>
        <w:rPr>
          <w:spacing w:val="10"/>
          <w:sz w:val="20"/>
          <w:szCs w:val="20"/>
        </w:rPr>
        <w:t>允许用户以文件操作的方式(例如文件的增</w:t>
      </w:r>
      <w:r>
        <w:rPr>
          <w:spacing w:val="9"/>
          <w:sz w:val="20"/>
          <w:szCs w:val="20"/>
        </w:rPr>
        <w:t>、删、改、查、传输等)与另一主机相互</w:t>
      </w:r>
      <w:r>
        <w:rPr>
          <w:sz w:val="20"/>
          <w:szCs w:val="20"/>
        </w:rPr>
        <w:t xml:space="preserve"> </w:t>
      </w:r>
      <w:r>
        <w:rPr>
          <w:spacing w:val="-2"/>
          <w:sz w:val="20"/>
          <w:szCs w:val="20"/>
        </w:rPr>
        <w:t>通信。</w:t>
      </w:r>
      <w:r>
        <w:rPr>
          <w:rFonts w:ascii="Times New Roman" w:hAnsi="Times New Roman" w:eastAsia="Times New Roman" w:cs="Times New Roman"/>
          <w:spacing w:val="-2"/>
          <w:sz w:val="20"/>
          <w:szCs w:val="20"/>
        </w:rPr>
        <w:t xml:space="preserve">FTP </w:t>
      </w:r>
      <w:r>
        <w:rPr>
          <w:spacing w:val="-2"/>
          <w:sz w:val="20"/>
          <w:szCs w:val="20"/>
        </w:rPr>
        <w:t>采用客户端/服务器模式，</w:t>
      </w:r>
      <w:r>
        <w:rPr>
          <w:rFonts w:ascii="Times New Roman" w:hAnsi="Times New Roman" w:eastAsia="Times New Roman" w:cs="Times New Roman"/>
          <w:spacing w:val="-2"/>
          <w:sz w:val="20"/>
          <w:szCs w:val="20"/>
        </w:rPr>
        <w:t xml:space="preserve">FTP </w:t>
      </w:r>
      <w:r>
        <w:rPr>
          <w:spacing w:val="-2"/>
          <w:sz w:val="20"/>
          <w:szCs w:val="20"/>
        </w:rPr>
        <w:t>客户端软件必须与远程</w:t>
      </w:r>
      <w:r>
        <w:rPr>
          <w:rFonts w:ascii="Times New Roman" w:hAnsi="Times New Roman" w:eastAsia="Times New Roman" w:cs="Times New Roman"/>
          <w:spacing w:val="-2"/>
          <w:sz w:val="20"/>
          <w:szCs w:val="20"/>
        </w:rPr>
        <w:t>FTP</w:t>
      </w:r>
      <w:r>
        <w:rPr>
          <w:rFonts w:ascii="Times New Roman" w:hAnsi="Times New Roman" w:eastAsia="Times New Roman" w:cs="Times New Roman"/>
          <w:spacing w:val="21"/>
          <w:sz w:val="20"/>
          <w:szCs w:val="20"/>
        </w:rPr>
        <w:t xml:space="preserve"> </w:t>
      </w:r>
      <w:r>
        <w:rPr>
          <w:spacing w:val="-2"/>
          <w:sz w:val="20"/>
          <w:szCs w:val="20"/>
        </w:rPr>
        <w:t>服务器建立连接和登录后，</w:t>
      </w:r>
      <w:r>
        <w:rPr>
          <w:sz w:val="20"/>
          <w:szCs w:val="20"/>
        </w:rPr>
        <w:t xml:space="preserve"> </w:t>
      </w:r>
      <w:r>
        <w:rPr>
          <w:spacing w:val="-3"/>
          <w:sz w:val="20"/>
          <w:szCs w:val="20"/>
        </w:rPr>
        <w:t>才能进行文件传输操作。</w:t>
      </w:r>
    </w:p>
    <w:p w14:paraId="29A74B89">
      <w:pPr>
        <w:spacing w:before="88" w:line="212" w:lineRule="auto"/>
        <w:ind w:left="409"/>
        <w:rPr>
          <w:rFonts w:ascii="楷体" w:hAnsi="楷体" w:eastAsia="楷体" w:cs="楷体"/>
          <w:sz w:val="20"/>
          <w:szCs w:val="20"/>
        </w:rPr>
      </w:pPr>
      <w:r>
        <w:rPr>
          <w:rFonts w:ascii="Times New Roman" w:hAnsi="Times New Roman" w:eastAsia="Times New Roman" w:cs="Times New Roman"/>
          <w:sz w:val="20"/>
          <w:szCs w:val="20"/>
        </w:rPr>
        <w:t xml:space="preserve">5)Telnet   </w:t>
      </w:r>
      <w:r>
        <w:rPr>
          <w:rFonts w:ascii="楷体" w:hAnsi="楷体" w:eastAsia="楷体" w:cs="楷体"/>
          <w:sz w:val="20"/>
          <w:szCs w:val="20"/>
        </w:rPr>
        <w:t>远程登录服务</w:t>
      </w:r>
    </w:p>
    <w:p w14:paraId="647DC72C">
      <w:pPr>
        <w:pStyle w:val="2"/>
        <w:spacing w:before="80" w:line="278" w:lineRule="auto"/>
        <w:ind w:right="337" w:firstLine="409"/>
        <w:rPr>
          <w:sz w:val="20"/>
          <w:szCs w:val="20"/>
        </w:rPr>
      </w:pPr>
      <w:r>
        <w:rPr>
          <w:rFonts w:ascii="Times New Roman" w:hAnsi="Times New Roman" w:eastAsia="Times New Roman" w:cs="Times New Roman"/>
          <w:sz w:val="20"/>
          <w:szCs w:val="20"/>
        </w:rPr>
        <w:t>Telnet</w:t>
      </w:r>
      <w:r>
        <w:rPr>
          <w:spacing w:val="6"/>
          <w:sz w:val="20"/>
          <w:szCs w:val="20"/>
        </w:rPr>
        <w:t>远程登录服务用于将用户计算机与远程主机连接起来，并可作为该远程主机的一个</w:t>
      </w:r>
      <w:r>
        <w:rPr>
          <w:sz w:val="20"/>
          <w:szCs w:val="20"/>
        </w:rPr>
        <w:t xml:space="preserve"> </w:t>
      </w:r>
      <w:r>
        <w:rPr>
          <w:spacing w:val="3"/>
          <w:sz w:val="20"/>
          <w:szCs w:val="20"/>
        </w:rPr>
        <w:t>访问终端使用，共享远程主机的</w:t>
      </w:r>
      <w:r>
        <w:rPr>
          <w:rFonts w:ascii="Times New Roman" w:hAnsi="Times New Roman" w:eastAsia="Times New Roman" w:cs="Times New Roman"/>
          <w:sz w:val="20"/>
          <w:szCs w:val="20"/>
        </w:rPr>
        <w:t>CPU</w:t>
      </w:r>
      <w:r>
        <w:rPr>
          <w:rFonts w:ascii="Times New Roman" w:hAnsi="Times New Roman" w:eastAsia="Times New Roman" w:cs="Times New Roman"/>
          <w:spacing w:val="-18"/>
          <w:sz w:val="20"/>
          <w:szCs w:val="20"/>
        </w:rPr>
        <w:t xml:space="preserve"> </w:t>
      </w:r>
      <w:r>
        <w:rPr>
          <w:spacing w:val="3"/>
          <w:sz w:val="20"/>
          <w:szCs w:val="20"/>
        </w:rPr>
        <w:t>、硬件、存储、应用等资源，例如进行远程计算和远程事</w:t>
      </w:r>
      <w:r>
        <w:rPr>
          <w:sz w:val="20"/>
          <w:szCs w:val="20"/>
        </w:rPr>
        <w:t xml:space="preserve"> </w:t>
      </w:r>
      <w:r>
        <w:rPr>
          <w:spacing w:val="-5"/>
          <w:sz w:val="20"/>
          <w:szCs w:val="20"/>
        </w:rPr>
        <w:t>务处理等操作。</w:t>
      </w:r>
    </w:p>
    <w:p w14:paraId="65098DD0">
      <w:pPr>
        <w:spacing w:line="302" w:lineRule="auto"/>
        <w:rPr>
          <w:rFonts w:ascii="Arial"/>
          <w:sz w:val="21"/>
        </w:rPr>
      </w:pPr>
    </w:p>
    <w:p w14:paraId="1263C145">
      <w:pPr>
        <w:pStyle w:val="2"/>
        <w:spacing w:before="92" w:line="221" w:lineRule="auto"/>
        <w:ind w:left="4"/>
        <w:rPr>
          <w:rFonts w:ascii="黑体" w:hAnsi="黑体" w:eastAsia="黑体" w:cs="黑体"/>
          <w:sz w:val="28"/>
          <w:szCs w:val="28"/>
        </w:rPr>
      </w:pPr>
      <w:r>
        <w:rPr>
          <w:b/>
          <w:bCs/>
          <w:color w:val="0067DD"/>
          <w:spacing w:val="-6"/>
          <w:sz w:val="28"/>
          <w:szCs w:val="28"/>
        </w:rPr>
        <w:t>3.5</w:t>
      </w:r>
      <w:r>
        <w:rPr>
          <w:color w:val="0067DD"/>
          <w:spacing w:val="-6"/>
          <w:sz w:val="28"/>
          <w:szCs w:val="28"/>
        </w:rPr>
        <w:t xml:space="preserve">  </w:t>
      </w:r>
      <w:r>
        <w:rPr>
          <w:rFonts w:ascii="黑体" w:hAnsi="黑体" w:eastAsia="黑体" w:cs="黑体"/>
          <w:b/>
          <w:bCs/>
          <w:color w:val="0067DD"/>
          <w:spacing w:val="-6"/>
          <w:sz w:val="28"/>
          <w:szCs w:val="28"/>
        </w:rPr>
        <w:t>安全服务平台</w:t>
      </w:r>
    </w:p>
    <w:p w14:paraId="35B0B39E">
      <w:pPr>
        <w:pStyle w:val="2"/>
        <w:spacing w:before="226" w:line="281" w:lineRule="auto"/>
        <w:ind w:right="266" w:firstLine="409"/>
        <w:jc w:val="both"/>
        <w:rPr>
          <w:sz w:val="20"/>
          <w:szCs w:val="20"/>
        </w:rPr>
      </w:pPr>
      <w:r>
        <w:rPr>
          <w:spacing w:val="5"/>
          <w:sz w:val="20"/>
          <w:szCs w:val="20"/>
        </w:rPr>
        <w:t>在信息网络系统的规划建设中，安全已经成为不可或缺的一部分。一方面要从物理安全、</w:t>
      </w:r>
      <w:r>
        <w:rPr>
          <w:spacing w:val="4"/>
          <w:sz w:val="20"/>
          <w:szCs w:val="20"/>
        </w:rPr>
        <w:t xml:space="preserve"> </w:t>
      </w:r>
      <w:r>
        <w:rPr>
          <w:spacing w:val="3"/>
          <w:sz w:val="20"/>
          <w:szCs w:val="20"/>
        </w:rPr>
        <w:t>网络安全、主机安全、应用安全、数据安全、安全管理等相关层面进行考量；另一方面应结合</w:t>
      </w:r>
      <w:r>
        <w:rPr>
          <w:spacing w:val="14"/>
          <w:sz w:val="20"/>
          <w:szCs w:val="20"/>
        </w:rPr>
        <w:t xml:space="preserve"> </w:t>
      </w:r>
      <w:r>
        <w:rPr>
          <w:spacing w:val="3"/>
          <w:sz w:val="20"/>
          <w:szCs w:val="20"/>
        </w:rPr>
        <w:t>特定的网络业务场景，例如云计算、物联网、人工智能等特定场景考虑安全风险和防护。随着</w:t>
      </w:r>
      <w:r>
        <w:rPr>
          <w:spacing w:val="17"/>
          <w:sz w:val="20"/>
          <w:szCs w:val="20"/>
        </w:rPr>
        <w:t xml:space="preserve"> </w:t>
      </w:r>
      <w:r>
        <w:rPr>
          <w:spacing w:val="4"/>
          <w:sz w:val="20"/>
          <w:szCs w:val="20"/>
        </w:rPr>
        <w:t>社会分工的细化，出现了专门从事安全业务运营的公司，将</w:t>
      </w:r>
      <w:r>
        <w:rPr>
          <w:spacing w:val="3"/>
          <w:sz w:val="20"/>
          <w:szCs w:val="20"/>
        </w:rPr>
        <w:t>安全服务本身的安全功能云化，即</w:t>
      </w:r>
      <w:r>
        <w:rPr>
          <w:sz w:val="20"/>
          <w:szCs w:val="20"/>
        </w:rPr>
        <w:t xml:space="preserve"> 基于云计算资源平台，采用云计算</w:t>
      </w:r>
      <w:r>
        <w:rPr>
          <w:rFonts w:ascii="Times New Roman" w:hAnsi="Times New Roman" w:eastAsia="Times New Roman" w:cs="Times New Roman"/>
          <w:sz w:val="20"/>
          <w:szCs w:val="20"/>
        </w:rPr>
        <w:t>SaaS</w:t>
      </w:r>
      <w:r>
        <w:rPr>
          <w:rFonts w:ascii="Times New Roman" w:hAnsi="Times New Roman" w:eastAsia="Times New Roman" w:cs="Times New Roman"/>
          <w:spacing w:val="28"/>
          <w:w w:val="101"/>
          <w:sz w:val="20"/>
          <w:szCs w:val="20"/>
        </w:rPr>
        <w:t xml:space="preserve"> </w:t>
      </w:r>
      <w:r>
        <w:rPr>
          <w:sz w:val="20"/>
          <w:szCs w:val="20"/>
        </w:rPr>
        <w:t>模式提供安全服务。</w:t>
      </w:r>
    </w:p>
    <w:p w14:paraId="47C271F4">
      <w:pPr>
        <w:pStyle w:val="2"/>
        <w:spacing w:before="20" w:line="219" w:lineRule="auto"/>
        <w:ind w:left="409"/>
        <w:rPr>
          <w:sz w:val="20"/>
          <w:szCs w:val="20"/>
        </w:rPr>
      </w:pPr>
      <w:r>
        <w:rPr>
          <w:spacing w:val="1"/>
          <w:sz w:val="20"/>
          <w:szCs w:val="20"/>
        </w:rPr>
        <w:t>信息网络系统安全体系框架如图3-13所示。</w:t>
      </w:r>
    </w:p>
    <w:p w14:paraId="0B5B9627">
      <w:pPr>
        <w:spacing w:line="219" w:lineRule="auto"/>
        <w:rPr>
          <w:sz w:val="20"/>
          <w:szCs w:val="20"/>
        </w:rPr>
        <w:sectPr>
          <w:pgSz w:w="10300" w:h="13300"/>
          <w:pgMar w:top="400" w:right="533" w:bottom="400" w:left="1090" w:header="0" w:footer="0" w:gutter="0"/>
          <w:cols w:space="720" w:num="1"/>
        </w:sectPr>
      </w:pPr>
    </w:p>
    <w:p w14:paraId="438F8CF2">
      <w:pPr>
        <w:pStyle w:val="2"/>
        <w:rPr>
          <w:sz w:val="18"/>
          <w:szCs w:val="18"/>
        </w:rPr>
      </w:pPr>
      <w:r>
        <w:rPr>
          <w:rFonts w:ascii="Times New Roman" w:hAnsi="Times New Roman" w:eastAsia="Times New Roman" w:cs="Times New Roman"/>
          <w:b/>
          <w:bCs/>
          <w:spacing w:val="11"/>
          <w:sz w:val="18"/>
          <w:szCs w:val="18"/>
        </w:rPr>
        <w:t>112</w:t>
      </w:r>
      <w:r>
        <w:rPr>
          <w:rFonts w:ascii="Times New Roman" w:hAnsi="Times New Roman" w:eastAsia="Times New Roman" w:cs="Times New Roman"/>
          <w:b/>
          <w:bCs/>
          <w:sz w:val="18"/>
          <w:szCs w:val="18"/>
        </w:rPr>
        <w:t xml:space="preserve">  </w:t>
      </w:r>
      <w:r>
        <w:rPr>
          <w:position w:val="-10"/>
          <w:sz w:val="18"/>
          <w:szCs w:val="18"/>
        </w:rPr>
        <w:drawing>
          <wp:inline distT="0" distB="0" distL="0" distR="0">
            <wp:extent cx="292100" cy="23495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90"/>
                    <a:stretch>
                      <a:fillRect/>
                    </a:stretch>
                  </pic:blipFill>
                  <pic:spPr>
                    <a:xfrm>
                      <a:off x="0" y="0"/>
                      <a:ext cx="292120" cy="235012"/>
                    </a:xfrm>
                    <a:prstGeom prst="rect">
                      <a:avLst/>
                    </a:prstGeom>
                  </pic:spPr>
                </pic:pic>
              </a:graphicData>
            </a:graphic>
          </wp:inline>
        </w:drawing>
      </w:r>
      <w:r>
        <w:rPr>
          <w:rFonts w:ascii="Times New Roman" w:hAnsi="Times New Roman" w:eastAsia="Times New Roman" w:cs="Times New Roman"/>
          <w:b/>
          <w:bCs/>
          <w:spacing w:val="5"/>
          <w:sz w:val="18"/>
          <w:szCs w:val="18"/>
        </w:rPr>
        <w:t xml:space="preserve">   </w:t>
      </w:r>
      <w:r>
        <w:rPr>
          <w:spacing w:val="11"/>
          <w:sz w:val="18"/>
          <w:szCs w:val="18"/>
        </w:rPr>
        <w:t>信息系统监理师教程(第2版)</w:t>
      </w:r>
    </w:p>
    <w:p w14:paraId="01FEFB1B">
      <w:pPr>
        <w:pStyle w:val="2"/>
        <w:spacing w:before="229" w:line="4290" w:lineRule="exact"/>
        <w:ind w:firstLine="509"/>
      </w:pPr>
      <w:r>
        <w:rPr>
          <w:position w:val="-85"/>
        </w:rPr>
        <w:pict>
          <v:group id="_x0000_s1235" o:spid="_x0000_s1235" o:spt="203" style="height:214.55pt;width:394.55pt;" coordsize="7890,4291">
            <o:lock v:ext="edit"/>
            <v:shape id="_x0000_s1236" o:spid="_x0000_s1236" o:spt="75" type="#_x0000_t75" style="position:absolute;left:0;top:0;height:4291;width:7890;" filled="f" stroked="f" coordsize="21600,21600">
              <v:path/>
              <v:fill on="f" focussize="0,0"/>
              <v:stroke on="f"/>
              <v:imagedata r:id="rId91" o:title=""/>
              <o:lock v:ext="edit" aspectratio="t"/>
            </v:shape>
            <v:shape id="_x0000_s1237" o:spid="_x0000_s1237" o:spt="202" type="#_x0000_t202" style="position:absolute;left:182;top:144;height:3952;width:6475;" filled="f" stroked="f" coordsize="21600,21600">
              <v:path/>
              <v:fill on="f" focussize="0,0"/>
              <v:stroke on="f"/>
              <v:imagedata o:title=""/>
              <o:lock v:ext="edit" aspectratio="f"/>
              <v:textbox inset="0mm,0mm,0mm,0mm">
                <w:txbxContent>
                  <w:p w14:paraId="07E2AFAE">
                    <w:pPr>
                      <w:spacing w:before="20" w:line="218" w:lineRule="auto"/>
                      <w:ind w:left="20"/>
                      <w:rPr>
                        <w:rFonts w:ascii="宋体" w:hAnsi="宋体" w:eastAsia="宋体" w:cs="宋体"/>
                        <w:sz w:val="18"/>
                        <w:szCs w:val="18"/>
                      </w:rPr>
                    </w:pPr>
                    <w:r>
                      <w:rPr>
                        <w:rFonts w:ascii="宋体" w:hAnsi="宋体" w:eastAsia="宋体" w:cs="宋体"/>
                        <w:b/>
                        <w:bCs/>
                        <w:spacing w:val="-4"/>
                        <w:sz w:val="18"/>
                        <w:szCs w:val="18"/>
                      </w:rPr>
                      <w:t>数据安全</w:t>
                    </w:r>
                  </w:p>
                  <w:p w14:paraId="6473A7BB">
                    <w:pPr>
                      <w:spacing w:line="228" w:lineRule="auto"/>
                      <w:ind w:left="1417"/>
                      <w:rPr>
                        <w:rFonts w:ascii="宋体" w:hAnsi="宋体" w:eastAsia="宋体" w:cs="宋体"/>
                        <w:sz w:val="18"/>
                        <w:szCs w:val="18"/>
                      </w:rPr>
                    </w:pPr>
                    <w:r>
                      <w:rPr>
                        <w:rFonts w:ascii="宋体" w:hAnsi="宋体" w:eastAsia="宋体" w:cs="宋体"/>
                        <w:spacing w:val="-9"/>
                        <w:sz w:val="18"/>
                        <w:szCs w:val="18"/>
                      </w:rPr>
                      <w:t>机密数据保护</w:t>
                    </w:r>
                    <w:r>
                      <w:rPr>
                        <w:rFonts w:ascii="宋体" w:hAnsi="宋体" w:eastAsia="宋体" w:cs="宋体"/>
                        <w:spacing w:val="10"/>
                        <w:sz w:val="18"/>
                        <w:szCs w:val="18"/>
                      </w:rPr>
                      <w:t xml:space="preserve">         </w:t>
                    </w:r>
                    <w:r>
                      <w:rPr>
                        <w:rFonts w:ascii="宋体" w:hAnsi="宋体" w:eastAsia="宋体" w:cs="宋体"/>
                        <w:spacing w:val="-9"/>
                        <w:sz w:val="18"/>
                        <w:szCs w:val="18"/>
                      </w:rPr>
                      <w:t>数据备份和恢复</w:t>
                    </w:r>
                  </w:p>
                  <w:p w14:paraId="61B8CE92">
                    <w:pPr>
                      <w:spacing w:line="408" w:lineRule="auto"/>
                      <w:rPr>
                        <w:rFonts w:ascii="Arial"/>
                        <w:sz w:val="21"/>
                      </w:rPr>
                    </w:pPr>
                  </w:p>
                  <w:p w14:paraId="247665B7">
                    <w:pPr>
                      <w:spacing w:before="58" w:line="173" w:lineRule="auto"/>
                      <w:ind w:left="27"/>
                      <w:rPr>
                        <w:rFonts w:ascii="宋体" w:hAnsi="宋体" w:eastAsia="宋体" w:cs="宋体"/>
                        <w:sz w:val="18"/>
                        <w:szCs w:val="18"/>
                      </w:rPr>
                    </w:pPr>
                    <w:r>
                      <w:rPr>
                        <w:rFonts w:ascii="宋体" w:hAnsi="宋体" w:eastAsia="宋体" w:cs="宋体"/>
                        <w:spacing w:val="-2"/>
                        <w:sz w:val="18"/>
                        <w:szCs w:val="18"/>
                      </w:rPr>
                      <w:t>应用安全</w:t>
                    </w:r>
                  </w:p>
                  <w:p w14:paraId="075D2764">
                    <w:pPr>
                      <w:spacing w:line="219" w:lineRule="auto"/>
                      <w:ind w:left="1297"/>
                      <w:rPr>
                        <w:rFonts w:ascii="宋体" w:hAnsi="宋体" w:eastAsia="宋体" w:cs="宋体"/>
                        <w:sz w:val="18"/>
                        <w:szCs w:val="18"/>
                      </w:rPr>
                    </w:pPr>
                    <w:r>
                      <w:rPr>
                        <w:rFonts w:ascii="宋体" w:hAnsi="宋体" w:eastAsia="宋体" w:cs="宋体"/>
                        <w:spacing w:val="-8"/>
                        <w:sz w:val="18"/>
                        <w:szCs w:val="18"/>
                      </w:rPr>
                      <w:t>应用身份识别和授权    应用安全漏洞和入侵防护</w:t>
                    </w:r>
                    <w:r>
                      <w:rPr>
                        <w:rFonts w:ascii="宋体" w:hAnsi="宋体" w:eastAsia="宋体" w:cs="宋体"/>
                        <w:spacing w:val="18"/>
                        <w:sz w:val="18"/>
                        <w:szCs w:val="18"/>
                      </w:rPr>
                      <w:t xml:space="preserve">     </w:t>
                    </w:r>
                    <w:r>
                      <w:rPr>
                        <w:rFonts w:ascii="宋体" w:hAnsi="宋体" w:eastAsia="宋体" w:cs="宋体"/>
                        <w:spacing w:val="-8"/>
                        <w:sz w:val="18"/>
                        <w:szCs w:val="18"/>
                      </w:rPr>
                      <w:t>会话管理</w:t>
                    </w:r>
                  </w:p>
                  <w:p w14:paraId="0462C060">
                    <w:pPr>
                      <w:spacing w:line="413" w:lineRule="auto"/>
                      <w:rPr>
                        <w:rFonts w:ascii="Arial"/>
                        <w:sz w:val="21"/>
                      </w:rPr>
                    </w:pPr>
                  </w:p>
                  <w:p w14:paraId="4E8B6A33">
                    <w:pPr>
                      <w:spacing w:before="59" w:line="187" w:lineRule="auto"/>
                      <w:ind w:left="27"/>
                      <w:rPr>
                        <w:rFonts w:ascii="仿宋" w:hAnsi="仿宋" w:eastAsia="仿宋" w:cs="仿宋"/>
                        <w:sz w:val="18"/>
                        <w:szCs w:val="18"/>
                      </w:rPr>
                    </w:pPr>
                    <w:r>
                      <w:rPr>
                        <w:rFonts w:ascii="仿宋" w:hAnsi="仿宋" w:eastAsia="仿宋" w:cs="仿宋"/>
                        <w:spacing w:val="-4"/>
                        <w:sz w:val="18"/>
                        <w:szCs w:val="18"/>
                      </w:rPr>
                      <w:t>主机安全</w:t>
                    </w:r>
                  </w:p>
                  <w:p w14:paraId="51D04863">
                    <w:pPr>
                      <w:spacing w:line="217" w:lineRule="auto"/>
                      <w:ind w:right="8"/>
                      <w:jc w:val="right"/>
                      <w:rPr>
                        <w:rFonts w:ascii="宋体" w:hAnsi="宋体" w:eastAsia="宋体" w:cs="宋体"/>
                        <w:sz w:val="18"/>
                        <w:szCs w:val="18"/>
                      </w:rPr>
                    </w:pPr>
                    <w:r>
                      <w:rPr>
                        <w:rFonts w:ascii="宋体" w:hAnsi="宋体" w:eastAsia="宋体" w:cs="宋体"/>
                        <w:spacing w:val="-8"/>
                        <w:sz w:val="18"/>
                        <w:szCs w:val="18"/>
                      </w:rPr>
                      <w:t>身份鉴别</w:t>
                    </w:r>
                    <w:r>
                      <w:rPr>
                        <w:rFonts w:ascii="宋体" w:hAnsi="宋体" w:eastAsia="宋体" w:cs="宋体"/>
                        <w:spacing w:val="14"/>
                        <w:sz w:val="18"/>
                        <w:szCs w:val="18"/>
                      </w:rPr>
                      <w:t xml:space="preserve">     </w:t>
                    </w:r>
                    <w:r>
                      <w:rPr>
                        <w:rFonts w:ascii="宋体" w:hAnsi="宋体" w:eastAsia="宋体" w:cs="宋体"/>
                        <w:spacing w:val="-8"/>
                        <w:sz w:val="18"/>
                        <w:szCs w:val="18"/>
                      </w:rPr>
                      <w:t>主机访问控制</w:t>
                    </w:r>
                    <w:r>
                      <w:rPr>
                        <w:rFonts w:ascii="宋体" w:hAnsi="宋体" w:eastAsia="宋体" w:cs="宋体"/>
                        <w:spacing w:val="14"/>
                        <w:sz w:val="18"/>
                        <w:szCs w:val="18"/>
                      </w:rPr>
                      <w:t xml:space="preserve">    </w:t>
                    </w:r>
                    <w:r>
                      <w:rPr>
                        <w:rFonts w:ascii="宋体" w:hAnsi="宋体" w:eastAsia="宋体" w:cs="宋体"/>
                        <w:spacing w:val="-8"/>
                        <w:sz w:val="18"/>
                        <w:szCs w:val="18"/>
                      </w:rPr>
                      <w:t>主机安全漏洞    主机安全审计</w:t>
                    </w:r>
                  </w:p>
                  <w:p w14:paraId="5682FBEF">
                    <w:pPr>
                      <w:spacing w:line="417" w:lineRule="auto"/>
                      <w:rPr>
                        <w:rFonts w:ascii="Arial"/>
                        <w:sz w:val="21"/>
                      </w:rPr>
                    </w:pPr>
                  </w:p>
                  <w:p w14:paraId="5B0260C8">
                    <w:pPr>
                      <w:spacing w:before="59" w:line="204" w:lineRule="auto"/>
                      <w:ind w:left="27"/>
                      <w:rPr>
                        <w:rFonts w:ascii="宋体" w:hAnsi="宋体" w:eastAsia="宋体" w:cs="宋体"/>
                        <w:sz w:val="18"/>
                        <w:szCs w:val="18"/>
                      </w:rPr>
                    </w:pPr>
                    <w:r>
                      <w:rPr>
                        <w:rFonts w:ascii="宋体" w:hAnsi="宋体" w:eastAsia="宋体" w:cs="宋体"/>
                        <w:spacing w:val="-4"/>
                        <w:sz w:val="18"/>
                        <w:szCs w:val="18"/>
                      </w:rPr>
                      <w:t>网络安全</w:t>
                    </w:r>
                  </w:p>
                  <w:p w14:paraId="18E19990">
                    <w:pPr>
                      <w:spacing w:line="220" w:lineRule="auto"/>
                      <w:ind w:right="8"/>
                      <w:jc w:val="right"/>
                      <w:rPr>
                        <w:rFonts w:ascii="宋体" w:hAnsi="宋体" w:eastAsia="宋体" w:cs="宋体"/>
                        <w:sz w:val="18"/>
                        <w:szCs w:val="18"/>
                      </w:rPr>
                    </w:pPr>
                    <w:r>
                      <w:rPr>
                        <w:rFonts w:ascii="宋体" w:hAnsi="宋体" w:eastAsia="宋体" w:cs="宋体"/>
                        <w:spacing w:val="-7"/>
                        <w:sz w:val="18"/>
                        <w:szCs w:val="18"/>
                      </w:rPr>
                      <w:t>网络结构</w:t>
                    </w:r>
                    <w:r>
                      <w:rPr>
                        <w:rFonts w:ascii="宋体" w:hAnsi="宋体" w:eastAsia="宋体" w:cs="宋体"/>
                        <w:spacing w:val="9"/>
                        <w:sz w:val="18"/>
                        <w:szCs w:val="18"/>
                      </w:rPr>
                      <w:t xml:space="preserve">     </w:t>
                    </w:r>
                    <w:r>
                      <w:rPr>
                        <w:rFonts w:ascii="宋体" w:hAnsi="宋体" w:eastAsia="宋体" w:cs="宋体"/>
                        <w:spacing w:val="-7"/>
                        <w:sz w:val="18"/>
                        <w:szCs w:val="18"/>
                      </w:rPr>
                      <w:t>网络访问控制</w:t>
                    </w:r>
                    <w:r>
                      <w:rPr>
                        <w:rFonts w:ascii="宋体" w:hAnsi="宋体" w:eastAsia="宋体" w:cs="宋体"/>
                        <w:spacing w:val="13"/>
                        <w:sz w:val="18"/>
                        <w:szCs w:val="18"/>
                      </w:rPr>
                      <w:t xml:space="preserve">    </w:t>
                    </w:r>
                    <w:r>
                      <w:rPr>
                        <w:rFonts w:ascii="宋体" w:hAnsi="宋体" w:eastAsia="宋体" w:cs="宋体"/>
                        <w:spacing w:val="-7"/>
                        <w:sz w:val="18"/>
                        <w:szCs w:val="18"/>
                      </w:rPr>
                      <w:t>网络入侵防护    网络安全审计</w:t>
                    </w:r>
                  </w:p>
                  <w:p w14:paraId="10ED1419">
                    <w:pPr>
                      <w:spacing w:line="425" w:lineRule="auto"/>
                      <w:rPr>
                        <w:rFonts w:ascii="Arial"/>
                        <w:sz w:val="21"/>
                      </w:rPr>
                    </w:pPr>
                  </w:p>
                  <w:p w14:paraId="44762877">
                    <w:pPr>
                      <w:spacing w:before="58" w:line="178" w:lineRule="auto"/>
                      <w:ind w:left="27"/>
                      <w:rPr>
                        <w:rFonts w:ascii="宋体" w:hAnsi="宋体" w:eastAsia="宋体" w:cs="宋体"/>
                        <w:sz w:val="18"/>
                        <w:szCs w:val="18"/>
                      </w:rPr>
                    </w:pPr>
                    <w:r>
                      <w:rPr>
                        <w:rFonts w:ascii="宋体" w:hAnsi="宋体" w:eastAsia="宋体" w:cs="宋体"/>
                        <w:spacing w:val="-6"/>
                        <w:sz w:val="18"/>
                        <w:szCs w:val="18"/>
                      </w:rPr>
                      <w:t>物理安全</w:t>
                    </w:r>
                  </w:p>
                  <w:p w14:paraId="1282E722">
                    <w:pPr>
                      <w:spacing w:before="1" w:line="222" w:lineRule="auto"/>
                      <w:ind w:right="10"/>
                      <w:jc w:val="right"/>
                      <w:rPr>
                        <w:rFonts w:ascii="宋体" w:hAnsi="宋体" w:eastAsia="宋体" w:cs="宋体"/>
                        <w:sz w:val="18"/>
                        <w:szCs w:val="18"/>
                      </w:rPr>
                    </w:pPr>
                    <w:r>
                      <w:rPr>
                        <w:rFonts w:ascii="宋体" w:hAnsi="宋体" w:eastAsia="宋体" w:cs="宋体"/>
                        <w:spacing w:val="-5"/>
                        <w:position w:val="-2"/>
                        <w:sz w:val="18"/>
                        <w:szCs w:val="18"/>
                      </w:rPr>
                      <w:t xml:space="preserve">机房位置          </w:t>
                    </w:r>
                    <w:r>
                      <w:rPr>
                        <w:rFonts w:ascii="宋体" w:hAnsi="宋体" w:eastAsia="宋体" w:cs="宋体"/>
                        <w:spacing w:val="-5"/>
                        <w:sz w:val="18"/>
                        <w:szCs w:val="18"/>
                      </w:rPr>
                      <w:t>物理访问控制       防火、防雷、防静电等</w:t>
                    </w:r>
                  </w:p>
                </w:txbxContent>
              </v:textbox>
            </v:shape>
            <v:shape id="_x0000_s1238" o:spid="_x0000_s1238" o:spt="202" type="#_x0000_t202" style="position:absolute;left:7491;top:1672;height:780;width:188;" filled="f" stroked="f" coordsize="21600,21600">
              <v:path/>
              <v:fill on="f" focussize="0,0"/>
              <v:stroke on="f"/>
              <v:imagedata o:title=""/>
              <o:lock v:ext="edit" aspectratio="f"/>
              <v:textbox inset="0mm,0mm,0mm,0mm" style="layout-flow:vertical-ideographic;">
                <w:txbxContent>
                  <w:p w14:paraId="260B8710">
                    <w:pPr>
                      <w:spacing w:before="19" w:line="202" w:lineRule="auto"/>
                      <w:ind w:left="20"/>
                      <w:rPr>
                        <w:rFonts w:ascii="宋体" w:hAnsi="宋体" w:eastAsia="宋体" w:cs="宋体"/>
                        <w:sz w:val="16"/>
                        <w:szCs w:val="16"/>
                      </w:rPr>
                    </w:pPr>
                    <w:r>
                      <w:rPr>
                        <w:rFonts w:ascii="宋体" w:hAnsi="宋体" w:eastAsia="宋体" w:cs="宋体"/>
                        <w:spacing w:val="24"/>
                        <w:sz w:val="16"/>
                        <w:szCs w:val="16"/>
                      </w:rPr>
                      <w:t>安全管理</w:t>
                    </w:r>
                  </w:p>
                </w:txbxContent>
              </v:textbox>
            </v:shape>
            <w10:wrap type="none"/>
            <w10:anchorlock/>
          </v:group>
        </w:pict>
      </w:r>
    </w:p>
    <w:p w14:paraId="55C1DC16">
      <w:pPr>
        <w:pStyle w:val="2"/>
        <w:spacing w:before="77" w:line="219" w:lineRule="auto"/>
        <w:ind w:left="3090"/>
        <w:rPr>
          <w:sz w:val="18"/>
          <w:szCs w:val="18"/>
        </w:rPr>
      </w:pPr>
      <w:r>
        <w:rPr>
          <w:spacing w:val="1"/>
          <w:sz w:val="18"/>
          <w:szCs w:val="18"/>
        </w:rPr>
        <w:t>图3-13</w:t>
      </w:r>
      <w:r>
        <w:rPr>
          <w:spacing w:val="71"/>
          <w:w w:val="101"/>
          <w:sz w:val="18"/>
          <w:szCs w:val="18"/>
        </w:rPr>
        <w:t xml:space="preserve"> </w:t>
      </w:r>
      <w:r>
        <w:rPr>
          <w:spacing w:val="1"/>
          <w:sz w:val="18"/>
          <w:szCs w:val="18"/>
        </w:rPr>
        <w:t>信息网络系统安全体系框架</w:t>
      </w:r>
    </w:p>
    <w:p w14:paraId="21270D21">
      <w:pPr>
        <w:spacing w:line="264" w:lineRule="auto"/>
        <w:rPr>
          <w:rFonts w:ascii="Arial"/>
          <w:sz w:val="21"/>
        </w:rPr>
      </w:pPr>
    </w:p>
    <w:p w14:paraId="2365D386">
      <w:pPr>
        <w:pStyle w:val="2"/>
        <w:spacing w:before="58" w:line="223" w:lineRule="auto"/>
        <w:ind w:left="722"/>
        <w:rPr>
          <w:rFonts w:ascii="黑体" w:hAnsi="黑体" w:eastAsia="黑体" w:cs="黑体"/>
          <w:sz w:val="18"/>
          <w:szCs w:val="18"/>
        </w:rPr>
      </w:pPr>
      <w:r>
        <w:rPr>
          <w:b/>
          <w:bCs/>
          <w:color w:val="0075C3"/>
          <w:spacing w:val="15"/>
          <w:sz w:val="18"/>
          <w:szCs w:val="18"/>
        </w:rPr>
        <w:t>1.</w:t>
      </w:r>
      <w:r>
        <w:rPr>
          <w:rFonts w:ascii="黑体" w:hAnsi="黑体" w:eastAsia="黑体" w:cs="黑体"/>
          <w:b/>
          <w:bCs/>
          <w:color w:val="0075C3"/>
          <w:spacing w:val="15"/>
          <w:sz w:val="18"/>
          <w:szCs w:val="18"/>
        </w:rPr>
        <w:t>物理安全</w:t>
      </w:r>
    </w:p>
    <w:p w14:paraId="75C195A1">
      <w:pPr>
        <w:pStyle w:val="2"/>
        <w:spacing w:before="125" w:line="321" w:lineRule="auto"/>
        <w:ind w:left="339" w:right="25" w:firstLine="380"/>
        <w:jc w:val="both"/>
        <w:rPr>
          <w:sz w:val="18"/>
          <w:szCs w:val="18"/>
        </w:rPr>
      </w:pPr>
      <w:r>
        <w:rPr>
          <w:spacing w:val="23"/>
          <w:sz w:val="18"/>
          <w:szCs w:val="18"/>
        </w:rPr>
        <w:t>物理安全是网络和上层系统应用及数据安全的</w:t>
      </w:r>
      <w:r>
        <w:rPr>
          <w:spacing w:val="22"/>
          <w:sz w:val="18"/>
          <w:szCs w:val="18"/>
        </w:rPr>
        <w:t>基础，包括机房和相关设施的安全。机房是</w:t>
      </w:r>
      <w:r>
        <w:rPr>
          <w:sz w:val="18"/>
          <w:szCs w:val="18"/>
        </w:rPr>
        <w:t xml:space="preserve"> </w:t>
      </w:r>
      <w:r>
        <w:rPr>
          <w:spacing w:val="23"/>
          <w:sz w:val="18"/>
          <w:szCs w:val="18"/>
        </w:rPr>
        <w:t>网络设备、安全设备、服务器设备、存储设备和存储介质，以及供电和通信用线缆等实体的物</w:t>
      </w:r>
      <w:r>
        <w:rPr>
          <w:spacing w:val="5"/>
          <w:sz w:val="18"/>
          <w:szCs w:val="18"/>
        </w:rPr>
        <w:t xml:space="preserve"> </w:t>
      </w:r>
      <w:r>
        <w:rPr>
          <w:spacing w:val="23"/>
          <w:sz w:val="18"/>
          <w:szCs w:val="18"/>
        </w:rPr>
        <w:t>理存放场所，机房环境除了物理场地外，还包括确保机房安全及维护机房正常运转的配电、照</w:t>
      </w:r>
      <w:r>
        <w:rPr>
          <w:spacing w:val="10"/>
          <w:sz w:val="18"/>
          <w:szCs w:val="18"/>
        </w:rPr>
        <w:t xml:space="preserve"> </w:t>
      </w:r>
      <w:r>
        <w:rPr>
          <w:spacing w:val="17"/>
          <w:sz w:val="18"/>
          <w:szCs w:val="18"/>
        </w:rPr>
        <w:t>明、供水、制冷等各类系统、设备及措施等支撑设施。</w:t>
      </w:r>
    </w:p>
    <w:p w14:paraId="1059764A">
      <w:pPr>
        <w:pStyle w:val="2"/>
        <w:spacing w:before="26" w:line="219" w:lineRule="auto"/>
        <w:ind w:left="719"/>
        <w:rPr>
          <w:sz w:val="18"/>
          <w:szCs w:val="18"/>
        </w:rPr>
      </w:pPr>
      <w:r>
        <w:rPr>
          <w:spacing w:val="19"/>
          <w:sz w:val="18"/>
          <w:szCs w:val="18"/>
        </w:rPr>
        <w:t>物理安全主要包括环境安全、供配电系统、安防系统和消</w:t>
      </w:r>
      <w:r>
        <w:rPr>
          <w:spacing w:val="18"/>
          <w:sz w:val="18"/>
          <w:szCs w:val="18"/>
        </w:rPr>
        <w:t>防系统四个部分。</w:t>
      </w:r>
    </w:p>
    <w:p w14:paraId="47F2442A">
      <w:pPr>
        <w:pStyle w:val="2"/>
        <w:spacing w:before="96" w:line="279" w:lineRule="auto"/>
        <w:ind w:left="1019" w:right="58" w:hanging="300"/>
        <w:rPr>
          <w:sz w:val="18"/>
          <w:szCs w:val="18"/>
        </w:rPr>
      </w:pPr>
      <w:r>
        <w:rPr>
          <w:spacing w:val="22"/>
          <w:sz w:val="18"/>
          <w:szCs w:val="18"/>
        </w:rPr>
        <w:t>●</w:t>
      </w:r>
      <w:r>
        <w:rPr>
          <w:spacing w:val="-48"/>
          <w:sz w:val="18"/>
          <w:szCs w:val="18"/>
        </w:rPr>
        <w:t xml:space="preserve"> </w:t>
      </w:r>
      <w:r>
        <w:rPr>
          <w:spacing w:val="22"/>
          <w:sz w:val="18"/>
          <w:szCs w:val="18"/>
        </w:rPr>
        <w:t>环境安全主要包括防水、防尘、防静电、防电磁干扰、防雷击、防震动、防生物和有害</w:t>
      </w:r>
      <w:r>
        <w:rPr>
          <w:sz w:val="18"/>
          <w:szCs w:val="18"/>
        </w:rPr>
        <w:t xml:space="preserve"> </w:t>
      </w:r>
      <w:r>
        <w:rPr>
          <w:spacing w:val="19"/>
          <w:sz w:val="18"/>
          <w:szCs w:val="18"/>
        </w:rPr>
        <w:t>气体等。相关设备包括相关专业传感器、专业防控设备、温湿度调节设备等。</w:t>
      </w:r>
    </w:p>
    <w:p w14:paraId="233BD097">
      <w:pPr>
        <w:pStyle w:val="2"/>
        <w:spacing w:before="88" w:line="275" w:lineRule="auto"/>
        <w:ind w:left="1019" w:hanging="300"/>
        <w:rPr>
          <w:sz w:val="18"/>
          <w:szCs w:val="18"/>
        </w:rPr>
      </w:pPr>
      <w:r>
        <w:rPr>
          <w:spacing w:val="24"/>
          <w:sz w:val="18"/>
          <w:szCs w:val="18"/>
        </w:rPr>
        <w:t>●</w:t>
      </w:r>
      <w:r>
        <w:rPr>
          <w:spacing w:val="-57"/>
          <w:sz w:val="18"/>
          <w:szCs w:val="18"/>
        </w:rPr>
        <w:t xml:space="preserve"> </w:t>
      </w:r>
      <w:r>
        <w:rPr>
          <w:spacing w:val="24"/>
          <w:sz w:val="18"/>
          <w:szCs w:val="18"/>
        </w:rPr>
        <w:t>供配电系统主要为机房提供可用的电源，并确保供电动力安全</w:t>
      </w:r>
      <w:r>
        <w:rPr>
          <w:spacing w:val="23"/>
          <w:sz w:val="18"/>
          <w:szCs w:val="18"/>
        </w:rPr>
        <w:t>。相关设备包括配电柜、</w:t>
      </w:r>
      <w:r>
        <w:rPr>
          <w:sz w:val="18"/>
          <w:szCs w:val="18"/>
        </w:rPr>
        <w:t xml:space="preserve"> </w:t>
      </w:r>
      <w:r>
        <w:rPr>
          <w:spacing w:val="18"/>
          <w:sz w:val="18"/>
          <w:szCs w:val="18"/>
        </w:rPr>
        <w:t>不间断电源系统</w:t>
      </w:r>
      <w:r>
        <w:rPr>
          <w:spacing w:val="-39"/>
          <w:sz w:val="18"/>
          <w:szCs w:val="18"/>
        </w:rPr>
        <w:t xml:space="preserve"> </w:t>
      </w:r>
      <w:r>
        <w:rPr>
          <w:rFonts w:ascii="Times New Roman" w:hAnsi="Times New Roman" w:eastAsia="Times New Roman" w:cs="Times New Roman"/>
          <w:spacing w:val="18"/>
          <w:sz w:val="18"/>
          <w:szCs w:val="18"/>
        </w:rPr>
        <w:t>(</w:t>
      </w:r>
      <w:r>
        <w:rPr>
          <w:rFonts w:ascii="Times New Roman" w:hAnsi="Times New Roman" w:eastAsia="Times New Roman" w:cs="Times New Roman"/>
          <w:sz w:val="18"/>
          <w:szCs w:val="18"/>
        </w:rPr>
        <w:t>UPS</w:t>
      </w:r>
      <w:r>
        <w:rPr>
          <w:rFonts w:ascii="Times New Roman" w:hAnsi="Times New Roman" w:eastAsia="Times New Roman" w:cs="Times New Roman"/>
          <w:spacing w:val="18"/>
          <w:sz w:val="18"/>
          <w:szCs w:val="18"/>
        </w:rPr>
        <w:t>)</w:t>
      </w:r>
      <w:r>
        <w:rPr>
          <w:rFonts w:ascii="Times New Roman" w:hAnsi="Times New Roman" w:eastAsia="Times New Roman" w:cs="Times New Roman"/>
          <w:spacing w:val="-25"/>
          <w:sz w:val="18"/>
          <w:szCs w:val="18"/>
        </w:rPr>
        <w:t xml:space="preserve"> </w:t>
      </w:r>
      <w:r>
        <w:rPr>
          <w:spacing w:val="18"/>
          <w:sz w:val="18"/>
          <w:szCs w:val="18"/>
        </w:rPr>
        <w:t>、</w:t>
      </w:r>
      <w:r>
        <w:rPr>
          <w:spacing w:val="87"/>
          <w:sz w:val="18"/>
          <w:szCs w:val="18"/>
        </w:rPr>
        <w:t xml:space="preserve"> </w:t>
      </w:r>
      <w:r>
        <w:rPr>
          <w:spacing w:val="18"/>
          <w:sz w:val="18"/>
          <w:szCs w:val="18"/>
        </w:rPr>
        <w:t>交直流电源等，还包括应急响应设备，例如发电机组等。</w:t>
      </w:r>
    </w:p>
    <w:p w14:paraId="6EA5B257">
      <w:pPr>
        <w:pStyle w:val="2"/>
        <w:spacing w:before="114" w:line="289" w:lineRule="auto"/>
        <w:ind w:left="1019" w:right="81" w:hanging="300"/>
        <w:rPr>
          <w:sz w:val="18"/>
          <w:szCs w:val="18"/>
        </w:rPr>
      </w:pPr>
      <w:r>
        <w:rPr>
          <w:spacing w:val="32"/>
          <w:sz w:val="18"/>
          <w:szCs w:val="18"/>
        </w:rPr>
        <w:t>●</w:t>
      </w:r>
      <w:r>
        <w:rPr>
          <w:spacing w:val="-37"/>
          <w:sz w:val="18"/>
          <w:szCs w:val="18"/>
        </w:rPr>
        <w:t xml:space="preserve"> </w:t>
      </w:r>
      <w:r>
        <w:rPr>
          <w:spacing w:val="32"/>
          <w:sz w:val="18"/>
          <w:szCs w:val="18"/>
        </w:rPr>
        <w:t>安防系统为机房提供基本的物理访问控制安全保护，例如各类门禁系统、红外传感</w:t>
      </w:r>
      <w:r>
        <w:rPr>
          <w:sz w:val="18"/>
          <w:szCs w:val="18"/>
        </w:rPr>
        <w:t xml:space="preserve"> </w:t>
      </w:r>
      <w:r>
        <w:rPr>
          <w:spacing w:val="13"/>
          <w:sz w:val="18"/>
          <w:szCs w:val="18"/>
        </w:rPr>
        <w:t>器等。</w:t>
      </w:r>
    </w:p>
    <w:p w14:paraId="4007E6F5">
      <w:pPr>
        <w:pStyle w:val="2"/>
        <w:spacing w:before="86" w:line="284" w:lineRule="auto"/>
        <w:ind w:left="1019" w:right="81" w:hanging="300"/>
        <w:rPr>
          <w:sz w:val="18"/>
          <w:szCs w:val="18"/>
        </w:rPr>
      </w:pPr>
      <w:r>
        <w:rPr>
          <w:spacing w:val="22"/>
          <w:sz w:val="18"/>
          <w:szCs w:val="18"/>
        </w:rPr>
        <w:t>●</w:t>
      </w:r>
      <w:r>
        <w:rPr>
          <w:spacing w:val="-56"/>
          <w:sz w:val="18"/>
          <w:szCs w:val="18"/>
        </w:rPr>
        <w:t xml:space="preserve"> </w:t>
      </w:r>
      <w:r>
        <w:rPr>
          <w:spacing w:val="22"/>
          <w:sz w:val="18"/>
          <w:szCs w:val="18"/>
        </w:rPr>
        <w:t>消防系统为机房提供防火的安全保护，消防设备主要</w:t>
      </w:r>
      <w:r>
        <w:rPr>
          <w:spacing w:val="21"/>
          <w:sz w:val="18"/>
          <w:szCs w:val="18"/>
        </w:rPr>
        <w:t>包括烟感器、火焰传感器、触发设</w:t>
      </w:r>
      <w:r>
        <w:rPr>
          <w:sz w:val="18"/>
          <w:szCs w:val="18"/>
        </w:rPr>
        <w:t xml:space="preserve"> </w:t>
      </w:r>
      <w:r>
        <w:rPr>
          <w:spacing w:val="15"/>
          <w:sz w:val="18"/>
          <w:szCs w:val="18"/>
        </w:rPr>
        <w:t>备、排烟设备、灭火设备等。</w:t>
      </w:r>
    </w:p>
    <w:p w14:paraId="47330879">
      <w:pPr>
        <w:pStyle w:val="2"/>
        <w:spacing w:before="202" w:line="221" w:lineRule="auto"/>
        <w:ind w:left="722"/>
        <w:rPr>
          <w:rFonts w:ascii="黑体" w:hAnsi="黑体" w:eastAsia="黑体" w:cs="黑体"/>
          <w:sz w:val="18"/>
          <w:szCs w:val="18"/>
        </w:rPr>
      </w:pPr>
      <w:r>
        <w:rPr>
          <w:b/>
          <w:bCs/>
          <w:color w:val="006AC8"/>
          <w:spacing w:val="10"/>
          <w:sz w:val="18"/>
          <w:szCs w:val="18"/>
        </w:rPr>
        <w:t>2.</w:t>
      </w:r>
      <w:r>
        <w:rPr>
          <w:color w:val="006AC8"/>
          <w:spacing w:val="-40"/>
          <w:sz w:val="18"/>
          <w:szCs w:val="18"/>
        </w:rPr>
        <w:t xml:space="preserve"> </w:t>
      </w:r>
      <w:r>
        <w:rPr>
          <w:rFonts w:ascii="黑体" w:hAnsi="黑体" w:eastAsia="黑体" w:cs="黑体"/>
          <w:b/>
          <w:bCs/>
          <w:color w:val="006AC8"/>
          <w:spacing w:val="10"/>
          <w:sz w:val="18"/>
          <w:szCs w:val="18"/>
        </w:rPr>
        <w:t>网络安全</w:t>
      </w:r>
    </w:p>
    <w:p w14:paraId="54B1FC0B">
      <w:pPr>
        <w:pStyle w:val="2"/>
        <w:spacing w:before="117" w:line="313" w:lineRule="auto"/>
        <w:ind w:left="339" w:right="25" w:firstLine="380"/>
        <w:jc w:val="both"/>
        <w:rPr>
          <w:sz w:val="18"/>
          <w:szCs w:val="18"/>
        </w:rPr>
      </w:pPr>
      <w:r>
        <w:rPr>
          <w:spacing w:val="23"/>
          <w:sz w:val="18"/>
          <w:szCs w:val="18"/>
        </w:rPr>
        <w:t>网络安全关注的重点包括：网络结构，包括网络结构合理性、安全域划</w:t>
      </w:r>
      <w:r>
        <w:rPr>
          <w:spacing w:val="22"/>
          <w:sz w:val="18"/>
          <w:szCs w:val="18"/>
        </w:rPr>
        <w:t>分合理性等；访问</w:t>
      </w:r>
      <w:r>
        <w:rPr>
          <w:sz w:val="18"/>
          <w:szCs w:val="18"/>
        </w:rPr>
        <w:t xml:space="preserve"> </w:t>
      </w:r>
      <w:r>
        <w:rPr>
          <w:spacing w:val="23"/>
          <w:sz w:val="18"/>
          <w:szCs w:val="18"/>
        </w:rPr>
        <w:t>控制，包括网络边界部署访问控制设备，是否制定了用户和系统之间的允许访问规则，访问控</w:t>
      </w:r>
      <w:r>
        <w:rPr>
          <w:spacing w:val="4"/>
          <w:sz w:val="18"/>
          <w:szCs w:val="18"/>
        </w:rPr>
        <w:t xml:space="preserve"> </w:t>
      </w:r>
      <w:r>
        <w:rPr>
          <w:spacing w:val="23"/>
          <w:sz w:val="18"/>
          <w:szCs w:val="18"/>
        </w:rPr>
        <w:t>制策略和粒度是否合理等；网络入侵防护，包括拒绝服务攻击的监控和防御能力，对于端口扫</w:t>
      </w:r>
      <w:r>
        <w:rPr>
          <w:spacing w:val="10"/>
          <w:sz w:val="18"/>
          <w:szCs w:val="18"/>
        </w:rPr>
        <w:t xml:space="preserve"> </w:t>
      </w:r>
      <w:r>
        <w:rPr>
          <w:spacing w:val="20"/>
          <w:sz w:val="18"/>
          <w:szCs w:val="18"/>
        </w:rPr>
        <w:t>描</w:t>
      </w:r>
      <w:r>
        <w:rPr>
          <w:spacing w:val="-8"/>
          <w:sz w:val="18"/>
          <w:szCs w:val="18"/>
        </w:rPr>
        <w:t xml:space="preserve"> </w:t>
      </w:r>
      <w:r>
        <w:rPr>
          <w:spacing w:val="20"/>
          <w:sz w:val="18"/>
          <w:szCs w:val="18"/>
        </w:rPr>
        <w:t>、</w:t>
      </w:r>
      <w:r>
        <w:rPr>
          <w:rFonts w:ascii="Times New Roman" w:hAnsi="Times New Roman" w:eastAsia="Times New Roman" w:cs="Times New Roman"/>
          <w:sz w:val="18"/>
          <w:szCs w:val="18"/>
        </w:rPr>
        <w:t>IP</w:t>
      </w:r>
      <w:r>
        <w:rPr>
          <w:rFonts w:ascii="Times New Roman" w:hAnsi="Times New Roman" w:eastAsia="Times New Roman" w:cs="Times New Roman"/>
          <w:spacing w:val="40"/>
          <w:sz w:val="18"/>
          <w:szCs w:val="18"/>
        </w:rPr>
        <w:t xml:space="preserve"> </w:t>
      </w:r>
      <w:r>
        <w:rPr>
          <w:spacing w:val="20"/>
          <w:sz w:val="18"/>
          <w:szCs w:val="18"/>
        </w:rPr>
        <w:t>碎片攻击、网络蠕虫等网络攻击的监控能力等；网络安全审计，包括对网络设备运行状</w:t>
      </w:r>
      <w:r>
        <w:rPr>
          <w:sz w:val="18"/>
          <w:szCs w:val="18"/>
        </w:rPr>
        <w:t xml:space="preserve"> </w:t>
      </w:r>
      <w:r>
        <w:rPr>
          <w:spacing w:val="18"/>
          <w:sz w:val="18"/>
          <w:szCs w:val="18"/>
        </w:rPr>
        <w:t>况、网络流量、用户行为等进行日志审计的能力等。</w:t>
      </w:r>
    </w:p>
    <w:p w14:paraId="552712F9">
      <w:pPr>
        <w:pStyle w:val="2"/>
        <w:spacing w:before="26" w:line="220" w:lineRule="auto"/>
        <w:ind w:left="719"/>
        <w:rPr>
          <w:sz w:val="18"/>
          <w:szCs w:val="18"/>
        </w:rPr>
      </w:pPr>
      <w:r>
        <w:rPr>
          <w:spacing w:val="17"/>
          <w:sz w:val="18"/>
          <w:szCs w:val="18"/>
        </w:rPr>
        <w:t>网络安全设备和手段主要包括但不限于：</w:t>
      </w:r>
    </w:p>
    <w:p w14:paraId="43334745">
      <w:pPr>
        <w:spacing w:line="220" w:lineRule="auto"/>
        <w:rPr>
          <w:sz w:val="18"/>
          <w:szCs w:val="18"/>
        </w:rPr>
        <w:sectPr>
          <w:pgSz w:w="10310" w:h="13390"/>
          <w:pgMar w:top="399" w:right="1120" w:bottom="400" w:left="490" w:header="0" w:footer="0" w:gutter="0"/>
          <w:cols w:space="720" w:num="1"/>
        </w:sectPr>
      </w:pPr>
    </w:p>
    <w:p w14:paraId="6ECEDD1B">
      <w:pPr>
        <w:pStyle w:val="2"/>
        <w:spacing w:before="87" w:line="219" w:lineRule="auto"/>
        <w:jc w:val="right"/>
        <w:rPr>
          <w:rFonts w:ascii="Times New Roman" w:hAnsi="Times New Roman" w:eastAsia="Times New Roman" w:cs="Times New Roman"/>
          <w:sz w:val="20"/>
          <w:szCs w:val="20"/>
        </w:rPr>
      </w:pPr>
      <w:r>
        <w:rPr>
          <w:spacing w:val="-3"/>
          <w:sz w:val="20"/>
          <w:szCs w:val="20"/>
        </w:rPr>
        <w:t>第3章 信息网络系统</w:t>
      </w:r>
      <w:r>
        <w:rPr>
          <w:spacing w:val="7"/>
          <w:sz w:val="20"/>
          <w:szCs w:val="20"/>
        </w:rPr>
        <w:t xml:space="preserve">      </w:t>
      </w:r>
      <w:r>
        <w:rPr>
          <w:rFonts w:ascii="Times New Roman" w:hAnsi="Times New Roman" w:eastAsia="Times New Roman" w:cs="Times New Roman"/>
          <w:spacing w:val="-3"/>
          <w:sz w:val="20"/>
          <w:szCs w:val="20"/>
        </w:rPr>
        <w:t>113</w:t>
      </w:r>
    </w:p>
    <w:p w14:paraId="3E579C86">
      <w:pPr>
        <w:spacing w:line="317" w:lineRule="auto"/>
        <w:rPr>
          <w:rFonts w:ascii="Arial"/>
          <w:sz w:val="21"/>
        </w:rPr>
      </w:pPr>
    </w:p>
    <w:p w14:paraId="2B8346F0">
      <w:pPr>
        <w:pStyle w:val="2"/>
        <w:spacing w:before="65" w:line="277" w:lineRule="auto"/>
        <w:ind w:left="659" w:right="266" w:hanging="270"/>
        <w:rPr>
          <w:sz w:val="20"/>
          <w:szCs w:val="20"/>
        </w:rPr>
      </w:pPr>
      <w:r>
        <w:rPr>
          <w:spacing w:val="5"/>
          <w:sz w:val="20"/>
          <w:szCs w:val="20"/>
        </w:rPr>
        <w:t>●防火墙是基本的网络层安全防护设备，目前基本上所有业务平台都部署</w:t>
      </w:r>
      <w:r>
        <w:rPr>
          <w:spacing w:val="4"/>
          <w:sz w:val="20"/>
          <w:szCs w:val="20"/>
        </w:rPr>
        <w:t>了硬件防火墙。</w:t>
      </w:r>
      <w:r>
        <w:rPr>
          <w:sz w:val="20"/>
          <w:szCs w:val="20"/>
        </w:rPr>
        <w:t xml:space="preserve"> </w:t>
      </w:r>
      <w:r>
        <w:rPr>
          <w:spacing w:val="6"/>
          <w:sz w:val="20"/>
          <w:szCs w:val="20"/>
        </w:rPr>
        <w:t>通过防火墙可以实现系统内外网边界的访问控制，对进出的网络数据包进行过滤和检</w:t>
      </w:r>
      <w:r>
        <w:rPr>
          <w:spacing w:val="2"/>
          <w:sz w:val="20"/>
          <w:szCs w:val="20"/>
        </w:rPr>
        <w:t xml:space="preserve">  </w:t>
      </w:r>
      <w:bookmarkStart w:id="541" w:name="bookmark528"/>
      <w:bookmarkEnd w:id="541"/>
      <w:r>
        <w:rPr>
          <w:sz w:val="20"/>
          <w:szCs w:val="20"/>
        </w:rPr>
        <w:t>测，并可实现对网络层分布式拒绝服务</w:t>
      </w:r>
      <w:r>
        <w:rPr>
          <w:spacing w:val="-41"/>
          <w:sz w:val="20"/>
          <w:szCs w:val="20"/>
        </w:rPr>
        <w:t xml:space="preserve"> </w:t>
      </w:r>
      <w:r>
        <w:rPr>
          <w:rFonts w:ascii="Times New Roman" w:hAnsi="Times New Roman" w:eastAsia="Times New Roman" w:cs="Times New Roman"/>
          <w:sz w:val="20"/>
          <w:szCs w:val="20"/>
        </w:rPr>
        <w:t>(Distributed</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Denial</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Service,</w:t>
      </w:r>
      <w:r>
        <w:rPr>
          <w:rFonts w:ascii="Times New Roman" w:hAnsi="Times New Roman" w:eastAsia="Times New Roman" w:cs="Times New Roman"/>
          <w:spacing w:val="-1"/>
          <w:sz w:val="20"/>
          <w:szCs w:val="20"/>
        </w:rPr>
        <w:t xml:space="preserve">DDoS) </w:t>
      </w:r>
      <w:r>
        <w:rPr>
          <w:spacing w:val="-1"/>
          <w:sz w:val="20"/>
          <w:szCs w:val="20"/>
        </w:rPr>
        <w:t>攻击的防</w:t>
      </w:r>
      <w:r>
        <w:rPr>
          <w:sz w:val="20"/>
          <w:szCs w:val="20"/>
        </w:rPr>
        <w:t xml:space="preserve">  </w:t>
      </w:r>
      <w:r>
        <w:rPr>
          <w:spacing w:val="-8"/>
          <w:sz w:val="20"/>
          <w:szCs w:val="20"/>
        </w:rPr>
        <w:t>御功能。</w:t>
      </w:r>
    </w:p>
    <w:p w14:paraId="47F6E373">
      <w:pPr>
        <w:pStyle w:val="2"/>
        <w:spacing w:before="100" w:line="270" w:lineRule="auto"/>
        <w:ind w:left="659" w:right="337" w:hanging="270"/>
        <w:rPr>
          <w:sz w:val="20"/>
          <w:szCs w:val="20"/>
        </w:rPr>
      </w:pPr>
      <w:r>
        <w:rPr>
          <w:spacing w:val="4"/>
          <w:sz w:val="20"/>
          <w:szCs w:val="20"/>
        </w:rPr>
        <w:t>●</w:t>
      </w:r>
      <w:r>
        <w:rPr>
          <w:spacing w:val="-27"/>
          <w:sz w:val="20"/>
          <w:szCs w:val="20"/>
        </w:rPr>
        <w:t xml:space="preserve"> </w:t>
      </w:r>
      <w:r>
        <w:rPr>
          <w:spacing w:val="4"/>
          <w:sz w:val="20"/>
          <w:szCs w:val="20"/>
        </w:rPr>
        <w:t>利</w:t>
      </w:r>
      <w:r>
        <w:rPr>
          <w:spacing w:val="-26"/>
          <w:sz w:val="20"/>
          <w:szCs w:val="20"/>
        </w:rPr>
        <w:t xml:space="preserve"> </w:t>
      </w:r>
      <w:r>
        <w:rPr>
          <w:spacing w:val="4"/>
          <w:sz w:val="20"/>
          <w:szCs w:val="20"/>
        </w:rPr>
        <w:t>用</w:t>
      </w:r>
      <w:r>
        <w:rPr>
          <w:sz w:val="20"/>
          <w:szCs w:val="20"/>
        </w:rPr>
        <w:t>Vlan</w:t>
      </w:r>
      <w:r>
        <w:rPr>
          <w:spacing w:val="-56"/>
          <w:sz w:val="20"/>
          <w:szCs w:val="20"/>
        </w:rPr>
        <w:t xml:space="preserve"> </w:t>
      </w:r>
      <w:r>
        <w:rPr>
          <w:spacing w:val="4"/>
          <w:sz w:val="20"/>
          <w:szCs w:val="20"/>
        </w:rPr>
        <w:t>等技术进行安全域划分是实现网络安</w:t>
      </w:r>
      <w:r>
        <w:rPr>
          <w:spacing w:val="3"/>
          <w:sz w:val="20"/>
          <w:szCs w:val="20"/>
        </w:rPr>
        <w:t>全域结构优化的主要技术手段，目前大</w:t>
      </w:r>
      <w:r>
        <w:rPr>
          <w:sz w:val="20"/>
          <w:szCs w:val="20"/>
        </w:rPr>
        <w:t xml:space="preserve"> </w:t>
      </w:r>
      <w:r>
        <w:rPr>
          <w:spacing w:val="5"/>
          <w:sz w:val="20"/>
          <w:szCs w:val="20"/>
        </w:rPr>
        <w:t>多数业务平台都进行了相应的</w:t>
      </w:r>
      <w:r>
        <w:rPr>
          <w:rFonts w:ascii="Times New Roman" w:hAnsi="Times New Roman" w:eastAsia="Times New Roman" w:cs="Times New Roman"/>
          <w:sz w:val="20"/>
          <w:szCs w:val="20"/>
        </w:rPr>
        <w:t>Vlan</w:t>
      </w:r>
      <w:r>
        <w:rPr>
          <w:rFonts w:ascii="Times New Roman" w:hAnsi="Times New Roman" w:eastAsia="Times New Roman" w:cs="Times New Roman"/>
          <w:spacing w:val="5"/>
          <w:sz w:val="20"/>
          <w:szCs w:val="20"/>
        </w:rPr>
        <w:t xml:space="preserve"> </w:t>
      </w:r>
      <w:r>
        <w:rPr>
          <w:spacing w:val="5"/>
          <w:sz w:val="20"/>
          <w:szCs w:val="20"/>
        </w:rPr>
        <w:t>网段划分，能够按照不同功能、级别、安全要求等</w:t>
      </w:r>
      <w:r>
        <w:rPr>
          <w:spacing w:val="9"/>
          <w:sz w:val="20"/>
          <w:szCs w:val="20"/>
        </w:rPr>
        <w:t xml:space="preserve"> </w:t>
      </w:r>
      <w:r>
        <w:rPr>
          <w:spacing w:val="-3"/>
          <w:sz w:val="20"/>
          <w:szCs w:val="20"/>
        </w:rPr>
        <w:t>对网络系统划分不同的安全域。</w:t>
      </w:r>
    </w:p>
    <w:p w14:paraId="04977FD3">
      <w:pPr>
        <w:pStyle w:val="2"/>
        <w:spacing w:before="90" w:line="270" w:lineRule="auto"/>
        <w:ind w:left="659" w:right="341" w:hanging="270"/>
        <w:rPr>
          <w:sz w:val="20"/>
          <w:szCs w:val="20"/>
        </w:rPr>
      </w:pPr>
      <w:r>
        <w:rPr>
          <w:spacing w:val="20"/>
          <w:sz w:val="20"/>
          <w:szCs w:val="20"/>
        </w:rPr>
        <w:t>●</w:t>
      </w:r>
      <w:r>
        <w:rPr>
          <w:spacing w:val="-36"/>
          <w:sz w:val="20"/>
          <w:szCs w:val="20"/>
        </w:rPr>
        <w:t xml:space="preserve"> </w:t>
      </w:r>
      <w:r>
        <w:rPr>
          <w:spacing w:val="20"/>
          <w:sz w:val="20"/>
          <w:szCs w:val="20"/>
        </w:rPr>
        <w:t>网络入侵检测和防护主要通过入侵检测系统/入侵防御系统(</w:t>
      </w:r>
      <w:r>
        <w:rPr>
          <w:sz w:val="20"/>
          <w:szCs w:val="20"/>
        </w:rPr>
        <w:t>Intrusion</w:t>
      </w:r>
      <w:r>
        <w:rPr>
          <w:spacing w:val="-10"/>
          <w:sz w:val="20"/>
          <w:szCs w:val="20"/>
        </w:rPr>
        <w:t xml:space="preserve"> </w:t>
      </w:r>
      <w:r>
        <w:rPr>
          <w:sz w:val="20"/>
          <w:szCs w:val="20"/>
        </w:rPr>
        <w:t xml:space="preserve">Detection </w:t>
      </w:r>
      <w:r>
        <w:rPr>
          <w:rFonts w:ascii="Times New Roman" w:hAnsi="Times New Roman" w:eastAsia="Times New Roman" w:cs="Times New Roman"/>
          <w:sz w:val="20"/>
          <w:szCs w:val="20"/>
        </w:rPr>
        <w:t>Systems,Intrusion     Prevention     Systems,IDS/IPS)</w:t>
      </w:r>
      <w:r>
        <w:rPr>
          <w:rFonts w:ascii="Times New Roman" w:hAnsi="Times New Roman" w:eastAsia="Times New Roman" w:cs="Times New Roman"/>
          <w:spacing w:val="22"/>
          <w:w w:val="101"/>
          <w:sz w:val="20"/>
          <w:szCs w:val="20"/>
        </w:rPr>
        <w:t xml:space="preserve"> </w:t>
      </w:r>
      <w:r>
        <w:rPr>
          <w:sz w:val="20"/>
          <w:szCs w:val="20"/>
        </w:rPr>
        <w:t>安全设备进行，通过部署</w:t>
      </w:r>
      <w:r>
        <w:rPr>
          <w:rFonts w:ascii="Times New Roman" w:hAnsi="Times New Roman" w:eastAsia="Times New Roman" w:cs="Times New Roman"/>
          <w:sz w:val="20"/>
          <w:szCs w:val="20"/>
        </w:rPr>
        <w:t xml:space="preserve">IDS/IPS,   </w:t>
      </w:r>
      <w:r>
        <w:rPr>
          <w:rFonts w:ascii="Times New Roman" w:hAnsi="Times New Roman" w:eastAsia="Times New Roman" w:cs="Times New Roman"/>
          <w:spacing w:val="-1"/>
          <w:sz w:val="20"/>
          <w:szCs w:val="20"/>
        </w:rPr>
        <w:t xml:space="preserve"> </w:t>
      </w:r>
      <w:r>
        <w:rPr>
          <w:spacing w:val="-1"/>
          <w:sz w:val="20"/>
          <w:szCs w:val="20"/>
        </w:rPr>
        <w:t>能</w:t>
      </w:r>
      <w:r>
        <w:rPr>
          <w:sz w:val="20"/>
          <w:szCs w:val="20"/>
        </w:rPr>
        <w:t xml:space="preserve"> </w:t>
      </w:r>
      <w:r>
        <w:rPr>
          <w:spacing w:val="-2"/>
          <w:sz w:val="20"/>
          <w:szCs w:val="20"/>
        </w:rPr>
        <w:t>够对已知的网络攻击进行监控和报警。</w:t>
      </w:r>
    </w:p>
    <w:p w14:paraId="147887C8">
      <w:pPr>
        <w:pStyle w:val="2"/>
        <w:spacing w:before="118" w:line="262" w:lineRule="auto"/>
        <w:ind w:left="659" w:right="311" w:hanging="270"/>
        <w:rPr>
          <w:sz w:val="20"/>
          <w:szCs w:val="20"/>
        </w:rPr>
      </w:pPr>
      <w:r>
        <w:rPr>
          <w:spacing w:val="-1"/>
          <w:sz w:val="20"/>
          <w:szCs w:val="20"/>
        </w:rPr>
        <w:t>●网络安全审计主要通过统一日志管理系统或安全运营中心(Security Operations Cente</w:t>
      </w:r>
      <w:r>
        <w:rPr>
          <w:spacing w:val="-2"/>
          <w:sz w:val="20"/>
          <w:szCs w:val="20"/>
        </w:rPr>
        <w:t>r,</w:t>
      </w:r>
      <w:r>
        <w:rPr>
          <w:sz w:val="20"/>
          <w:szCs w:val="20"/>
        </w:rPr>
        <w:t xml:space="preserve"> </w:t>
      </w:r>
      <w:r>
        <w:rPr>
          <w:rFonts w:ascii="Times New Roman" w:hAnsi="Times New Roman" w:eastAsia="Times New Roman" w:cs="Times New Roman"/>
          <w:sz w:val="20"/>
          <w:szCs w:val="20"/>
        </w:rPr>
        <w:t>SOC</w:t>
      </w:r>
      <w:r>
        <w:rPr>
          <w:rFonts w:ascii="Times New Roman" w:hAnsi="Times New Roman" w:eastAsia="Times New Roman" w:cs="Times New Roman"/>
          <w:spacing w:val="6"/>
          <w:sz w:val="20"/>
          <w:szCs w:val="20"/>
        </w:rPr>
        <w:t>)</w:t>
      </w:r>
      <w:r>
        <w:rPr>
          <w:rFonts w:ascii="Times New Roman" w:hAnsi="Times New Roman" w:eastAsia="Times New Roman" w:cs="Times New Roman"/>
          <w:spacing w:val="18"/>
          <w:w w:val="101"/>
          <w:sz w:val="20"/>
          <w:szCs w:val="20"/>
        </w:rPr>
        <w:t xml:space="preserve">  </w:t>
      </w:r>
      <w:r>
        <w:rPr>
          <w:spacing w:val="6"/>
          <w:sz w:val="20"/>
          <w:szCs w:val="20"/>
        </w:rPr>
        <w:t>实现，通过部署</w:t>
      </w:r>
      <w:r>
        <w:rPr>
          <w:rFonts w:ascii="Times New Roman" w:hAnsi="Times New Roman" w:eastAsia="Times New Roman" w:cs="Times New Roman"/>
          <w:sz w:val="20"/>
          <w:szCs w:val="20"/>
        </w:rPr>
        <w:t>SOC</w:t>
      </w:r>
      <w:r>
        <w:rPr>
          <w:rFonts w:ascii="Times New Roman" w:hAnsi="Times New Roman" w:eastAsia="Times New Roman" w:cs="Times New Roman"/>
          <w:spacing w:val="24"/>
          <w:sz w:val="20"/>
          <w:szCs w:val="20"/>
        </w:rPr>
        <w:t xml:space="preserve"> </w:t>
      </w:r>
      <w:r>
        <w:rPr>
          <w:spacing w:val="6"/>
          <w:sz w:val="20"/>
          <w:szCs w:val="20"/>
        </w:rPr>
        <w:t>系统或统一的日志服务器，能够对网络安全日志</w:t>
      </w:r>
      <w:r>
        <w:rPr>
          <w:spacing w:val="5"/>
          <w:sz w:val="20"/>
          <w:szCs w:val="20"/>
        </w:rPr>
        <w:t>进行统一</w:t>
      </w:r>
      <w:r>
        <w:rPr>
          <w:sz w:val="20"/>
          <w:szCs w:val="20"/>
        </w:rPr>
        <w:t xml:space="preserve"> </w:t>
      </w:r>
      <w:r>
        <w:rPr>
          <w:spacing w:val="-6"/>
          <w:sz w:val="20"/>
          <w:szCs w:val="20"/>
        </w:rPr>
        <w:t>管理和分析。</w:t>
      </w:r>
    </w:p>
    <w:p w14:paraId="4A478920">
      <w:pPr>
        <w:pStyle w:val="2"/>
        <w:spacing w:before="200" w:line="223" w:lineRule="auto"/>
        <w:ind w:left="392"/>
        <w:rPr>
          <w:rFonts w:ascii="黑体" w:hAnsi="黑体" w:eastAsia="黑体" w:cs="黑体"/>
          <w:sz w:val="20"/>
          <w:szCs w:val="20"/>
        </w:rPr>
      </w:pPr>
      <w:r>
        <w:rPr>
          <w:b/>
          <w:bCs/>
          <w:color w:val="005EBC"/>
          <w:spacing w:val="-4"/>
          <w:sz w:val="20"/>
          <w:szCs w:val="20"/>
        </w:rPr>
        <w:t>3.</w:t>
      </w:r>
      <w:r>
        <w:rPr>
          <w:rFonts w:ascii="黑体" w:hAnsi="黑体" w:eastAsia="黑体" w:cs="黑体"/>
          <w:b/>
          <w:bCs/>
          <w:color w:val="005EBC"/>
          <w:spacing w:val="-4"/>
          <w:sz w:val="20"/>
          <w:szCs w:val="20"/>
        </w:rPr>
        <w:t>主机安全</w:t>
      </w:r>
    </w:p>
    <w:p w14:paraId="76CED07F">
      <w:pPr>
        <w:pStyle w:val="2"/>
        <w:spacing w:before="110" w:line="281" w:lineRule="auto"/>
        <w:ind w:right="304" w:firstLine="389"/>
        <w:jc w:val="both"/>
        <w:rPr>
          <w:sz w:val="20"/>
          <w:szCs w:val="20"/>
        </w:rPr>
      </w:pPr>
      <w:r>
        <w:rPr>
          <w:spacing w:val="3"/>
          <w:sz w:val="20"/>
          <w:szCs w:val="20"/>
        </w:rPr>
        <w:t>主机安全关注的重点包括：身份鉴别，包括用户身份标识和鉴别，用户或用户组的权限管 理，用户口令策略等；访问控制，包括特权用户的权限分离，主机设备的网络访问限制和物理</w:t>
      </w:r>
      <w:r>
        <w:rPr>
          <w:spacing w:val="13"/>
          <w:sz w:val="20"/>
          <w:szCs w:val="20"/>
        </w:rPr>
        <w:t xml:space="preserve"> </w:t>
      </w:r>
      <w:r>
        <w:rPr>
          <w:spacing w:val="3"/>
          <w:sz w:val="20"/>
          <w:szCs w:val="20"/>
        </w:rPr>
        <w:t>访问限制，主机端口和服务控制等；安全漏洞和攻击防御，包括</w:t>
      </w:r>
      <w:r>
        <w:rPr>
          <w:spacing w:val="2"/>
          <w:sz w:val="20"/>
          <w:szCs w:val="20"/>
        </w:rPr>
        <w:t>操作系统和数据库系统的补丁</w:t>
      </w:r>
      <w:r>
        <w:rPr>
          <w:sz w:val="20"/>
          <w:szCs w:val="20"/>
        </w:rPr>
        <w:t xml:space="preserve"> </w:t>
      </w:r>
      <w:r>
        <w:rPr>
          <w:spacing w:val="3"/>
          <w:sz w:val="20"/>
          <w:szCs w:val="20"/>
        </w:rPr>
        <w:t>更新，操作系统和数据库系统的安全漏洞管理，病毒、木马等恶意代码的防范能力等；主机安</w:t>
      </w:r>
      <w:r>
        <w:rPr>
          <w:spacing w:val="17"/>
          <w:sz w:val="20"/>
          <w:szCs w:val="20"/>
        </w:rPr>
        <w:t xml:space="preserve"> </w:t>
      </w:r>
      <w:r>
        <w:rPr>
          <w:spacing w:val="-1"/>
          <w:sz w:val="20"/>
          <w:szCs w:val="20"/>
        </w:rPr>
        <w:t>全审计，包括操作系统和数据库系统运行状况、用户行为等的日志审计能力</w:t>
      </w:r>
      <w:r>
        <w:rPr>
          <w:spacing w:val="-2"/>
          <w:sz w:val="20"/>
          <w:szCs w:val="20"/>
        </w:rPr>
        <w:t>等。</w:t>
      </w:r>
    </w:p>
    <w:p w14:paraId="2E558482">
      <w:pPr>
        <w:pStyle w:val="2"/>
        <w:spacing w:before="48" w:line="219" w:lineRule="auto"/>
        <w:ind w:left="389"/>
        <w:rPr>
          <w:sz w:val="20"/>
          <w:szCs w:val="20"/>
        </w:rPr>
      </w:pPr>
      <w:r>
        <w:rPr>
          <w:spacing w:val="-3"/>
          <w:sz w:val="20"/>
          <w:szCs w:val="20"/>
        </w:rPr>
        <w:t>主机安全设备和手段主要包括但不限于：</w:t>
      </w:r>
    </w:p>
    <w:p w14:paraId="22031AD4">
      <w:pPr>
        <w:pStyle w:val="2"/>
        <w:spacing w:before="65" w:line="276" w:lineRule="auto"/>
        <w:ind w:left="659" w:right="266" w:hanging="270"/>
        <w:rPr>
          <w:sz w:val="20"/>
          <w:szCs w:val="20"/>
        </w:rPr>
      </w:pPr>
      <w:r>
        <w:rPr>
          <w:spacing w:val="10"/>
          <w:sz w:val="20"/>
          <w:szCs w:val="20"/>
        </w:rPr>
        <w:t>●身份鉴别，主要通过主机操作系统和数据库系统自身的安全机制和安全配置来实现，</w:t>
      </w:r>
      <w:r>
        <w:rPr>
          <w:spacing w:val="8"/>
          <w:sz w:val="20"/>
          <w:szCs w:val="20"/>
        </w:rPr>
        <w:t xml:space="preserve"> </w:t>
      </w:r>
      <w:r>
        <w:rPr>
          <w:spacing w:val="14"/>
          <w:sz w:val="20"/>
          <w:szCs w:val="20"/>
        </w:rPr>
        <w:t>如活动目录</w:t>
      </w:r>
      <w:r>
        <w:rPr>
          <w:spacing w:val="-60"/>
          <w:sz w:val="20"/>
          <w:szCs w:val="20"/>
        </w:rPr>
        <w:t xml:space="preserve"> </w:t>
      </w:r>
      <w:r>
        <w:rPr>
          <w:rFonts w:ascii="Times New Roman" w:hAnsi="Times New Roman" w:eastAsia="Times New Roman" w:cs="Times New Roman"/>
          <w:spacing w:val="14"/>
          <w:sz w:val="20"/>
          <w:szCs w:val="20"/>
        </w:rPr>
        <w:t>(</w:t>
      </w:r>
      <w:r>
        <w:rPr>
          <w:rFonts w:ascii="Times New Roman" w:hAnsi="Times New Roman" w:eastAsia="Times New Roman" w:cs="Times New Roman"/>
          <w:sz w:val="20"/>
          <w:szCs w:val="20"/>
        </w:rPr>
        <w:t>Active</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Directory</w:t>
      </w:r>
      <w:r>
        <w:rPr>
          <w:rFonts w:ascii="Times New Roman" w:hAnsi="Times New Roman" w:eastAsia="Times New Roman" w:cs="Times New Roman"/>
          <w:spacing w:val="14"/>
          <w:sz w:val="20"/>
          <w:szCs w:val="20"/>
        </w:rPr>
        <w:t>,</w:t>
      </w:r>
      <w:r>
        <w:rPr>
          <w:rFonts w:ascii="Times New Roman" w:hAnsi="Times New Roman" w:eastAsia="Times New Roman" w:cs="Times New Roman"/>
          <w:sz w:val="20"/>
          <w:szCs w:val="20"/>
        </w:rPr>
        <w:t>AD</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22"/>
          <w:w w:val="101"/>
          <w:sz w:val="20"/>
          <w:szCs w:val="20"/>
        </w:rPr>
        <w:t xml:space="preserve"> </w:t>
      </w:r>
      <w:r>
        <w:rPr>
          <w:spacing w:val="14"/>
          <w:sz w:val="20"/>
          <w:szCs w:val="20"/>
        </w:rPr>
        <w:t>域、安全模板</w:t>
      </w:r>
      <w:r>
        <w:rPr>
          <w:spacing w:val="13"/>
          <w:sz w:val="20"/>
          <w:szCs w:val="20"/>
        </w:rPr>
        <w:t>配置、数据库配置文件安全配置</w:t>
      </w:r>
      <w:r>
        <w:rPr>
          <w:sz w:val="20"/>
          <w:szCs w:val="20"/>
        </w:rPr>
        <w:t xml:space="preserve"> </w:t>
      </w:r>
      <w:r>
        <w:rPr>
          <w:spacing w:val="11"/>
          <w:sz w:val="20"/>
          <w:szCs w:val="20"/>
        </w:rPr>
        <w:t>等，相关的安全设备包括堡垒主机和认证、授权、计费</w:t>
      </w:r>
      <w:r>
        <w:rPr>
          <w:spacing w:val="-49"/>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Authentication</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 xml:space="preserve">Authorization  </w:t>
      </w:r>
      <w:r>
        <w:rPr>
          <w:rFonts w:ascii="Times New Roman" w:hAnsi="Times New Roman" w:eastAsia="Times New Roman" w:cs="Times New Roman"/>
          <w:spacing w:val="-1"/>
          <w:sz w:val="20"/>
          <w:szCs w:val="20"/>
        </w:rPr>
        <w:t>Accounting,AAA)</w:t>
      </w:r>
      <w:r>
        <w:rPr>
          <w:rFonts w:ascii="Times New Roman" w:hAnsi="Times New Roman" w:eastAsia="Times New Roman" w:cs="Times New Roman"/>
          <w:spacing w:val="4"/>
          <w:sz w:val="20"/>
          <w:szCs w:val="20"/>
        </w:rPr>
        <w:t xml:space="preserve">     </w:t>
      </w:r>
      <w:r>
        <w:rPr>
          <w:spacing w:val="-1"/>
          <w:sz w:val="20"/>
          <w:szCs w:val="20"/>
        </w:rPr>
        <w:t>系统。</w:t>
      </w:r>
    </w:p>
    <w:p w14:paraId="7C9E63EB">
      <w:pPr>
        <w:pStyle w:val="2"/>
        <w:spacing w:before="72" w:line="267" w:lineRule="auto"/>
        <w:ind w:left="659" w:right="370" w:hanging="270"/>
        <w:rPr>
          <w:sz w:val="20"/>
          <w:szCs w:val="20"/>
        </w:rPr>
      </w:pPr>
      <w:r>
        <w:rPr>
          <w:spacing w:val="3"/>
          <w:sz w:val="20"/>
          <w:szCs w:val="20"/>
        </w:rPr>
        <w:t>●主机层的访问控制，主要通过主机防火墙实</w:t>
      </w:r>
      <w:r>
        <w:rPr>
          <w:spacing w:val="2"/>
          <w:sz w:val="20"/>
          <w:szCs w:val="20"/>
        </w:rPr>
        <w:t>现，如</w:t>
      </w:r>
      <w:r>
        <w:rPr>
          <w:sz w:val="20"/>
          <w:szCs w:val="20"/>
        </w:rPr>
        <w:t>Windows</w:t>
      </w:r>
      <w:r>
        <w:rPr>
          <w:spacing w:val="2"/>
          <w:sz w:val="20"/>
          <w:szCs w:val="20"/>
        </w:rPr>
        <w:t xml:space="preserve"> 系统防火墙，</w:t>
      </w:r>
      <w:r>
        <w:rPr>
          <w:sz w:val="20"/>
          <w:szCs w:val="20"/>
        </w:rPr>
        <w:t>Unix</w:t>
      </w:r>
      <w:r>
        <w:rPr>
          <w:spacing w:val="2"/>
          <w:sz w:val="20"/>
          <w:szCs w:val="20"/>
        </w:rPr>
        <w:t>/</w:t>
      </w:r>
      <w:r>
        <w:rPr>
          <w:sz w:val="20"/>
          <w:szCs w:val="20"/>
        </w:rPr>
        <w:t>Linux</w:t>
      </w:r>
      <w:r>
        <w:rPr>
          <w:spacing w:val="2"/>
          <w:sz w:val="20"/>
          <w:szCs w:val="20"/>
        </w:rPr>
        <w:t>的</w:t>
      </w:r>
      <w:r>
        <w:rPr>
          <w:sz w:val="20"/>
          <w:szCs w:val="20"/>
        </w:rPr>
        <w:t xml:space="preserve"> </w:t>
      </w:r>
      <w:r>
        <w:rPr>
          <w:rFonts w:ascii="Times New Roman" w:hAnsi="Times New Roman" w:eastAsia="Times New Roman" w:cs="Times New Roman"/>
          <w:spacing w:val="-2"/>
          <w:sz w:val="20"/>
          <w:szCs w:val="20"/>
        </w:rPr>
        <w:t xml:space="preserve">IP tables </w:t>
      </w:r>
      <w:r>
        <w:rPr>
          <w:spacing w:val="-2"/>
          <w:sz w:val="20"/>
          <w:szCs w:val="20"/>
        </w:rPr>
        <w:t>等。</w:t>
      </w:r>
    </w:p>
    <w:p w14:paraId="1F187FC7">
      <w:pPr>
        <w:pStyle w:val="2"/>
        <w:spacing w:before="62" w:line="270" w:lineRule="auto"/>
        <w:ind w:left="659" w:right="328" w:hanging="270"/>
        <w:rPr>
          <w:sz w:val="20"/>
          <w:szCs w:val="20"/>
        </w:rPr>
      </w:pPr>
      <w:r>
        <w:rPr>
          <w:spacing w:val="3"/>
          <w:sz w:val="20"/>
          <w:szCs w:val="20"/>
        </w:rPr>
        <w:t>●主机安全漏洞的发现，主要通过相关主机层漏洞扫描系统工具来实现，能够发现操作系</w:t>
      </w:r>
      <w:r>
        <w:rPr>
          <w:spacing w:val="10"/>
          <w:sz w:val="20"/>
          <w:szCs w:val="20"/>
        </w:rPr>
        <w:t xml:space="preserve"> </w:t>
      </w:r>
      <w:r>
        <w:rPr>
          <w:spacing w:val="1"/>
          <w:sz w:val="20"/>
          <w:szCs w:val="20"/>
        </w:rPr>
        <w:t>统、数据库系统、应用中间件系统等存在的安全漏洞，安全漏洞修补主要通过安全补丁</w:t>
      </w:r>
      <w:r>
        <w:rPr>
          <w:spacing w:val="12"/>
          <w:sz w:val="20"/>
          <w:szCs w:val="20"/>
        </w:rPr>
        <w:t xml:space="preserve"> </w:t>
      </w:r>
      <w:r>
        <w:rPr>
          <w:spacing w:val="-3"/>
          <w:sz w:val="20"/>
          <w:szCs w:val="20"/>
        </w:rPr>
        <w:t>更新和安全配置加固等技术手段来实现。</w:t>
      </w:r>
    </w:p>
    <w:p w14:paraId="3E7DC489">
      <w:pPr>
        <w:pStyle w:val="2"/>
        <w:spacing w:before="82" w:line="219" w:lineRule="auto"/>
        <w:ind w:left="389"/>
        <w:rPr>
          <w:sz w:val="20"/>
          <w:szCs w:val="20"/>
        </w:rPr>
      </w:pPr>
      <w:r>
        <w:rPr>
          <w:spacing w:val="1"/>
          <w:sz w:val="20"/>
          <w:szCs w:val="20"/>
        </w:rPr>
        <w:t>●病毒、木马防护，主要通过部署防病毒网关或单机版防病毒系统进行防护。</w:t>
      </w:r>
    </w:p>
    <w:p w14:paraId="41D2028B">
      <w:pPr>
        <w:pStyle w:val="2"/>
        <w:spacing w:before="181" w:line="223" w:lineRule="auto"/>
        <w:ind w:left="392"/>
        <w:rPr>
          <w:rFonts w:ascii="黑体" w:hAnsi="黑体" w:eastAsia="黑体" w:cs="黑体"/>
          <w:sz w:val="20"/>
          <w:szCs w:val="20"/>
        </w:rPr>
      </w:pPr>
      <w:r>
        <w:rPr>
          <w:b/>
          <w:bCs/>
          <w:color w:val="055FC6"/>
          <w:spacing w:val="1"/>
          <w:sz w:val="20"/>
          <w:szCs w:val="20"/>
        </w:rPr>
        <w:t>4.</w:t>
      </w:r>
      <w:r>
        <w:rPr>
          <w:rFonts w:ascii="黑体" w:hAnsi="黑体" w:eastAsia="黑体" w:cs="黑体"/>
          <w:b/>
          <w:bCs/>
          <w:color w:val="055FC6"/>
          <w:spacing w:val="1"/>
          <w:sz w:val="20"/>
          <w:szCs w:val="20"/>
        </w:rPr>
        <w:t>应用安全</w:t>
      </w:r>
    </w:p>
    <w:p w14:paraId="7E5F279D">
      <w:pPr>
        <w:pStyle w:val="2"/>
        <w:spacing w:before="111" w:line="278" w:lineRule="auto"/>
        <w:ind w:right="246" w:firstLine="389"/>
        <w:jc w:val="both"/>
        <w:rPr>
          <w:sz w:val="20"/>
          <w:szCs w:val="20"/>
        </w:rPr>
      </w:pPr>
      <w:r>
        <w:rPr>
          <w:sz w:val="20"/>
          <w:szCs w:val="20"/>
        </w:rPr>
        <w:t>应用安全关注的重点包括：身份和访问控制，包括应用层用户身份识别、认证、权限管理，</w:t>
      </w:r>
      <w:r>
        <w:rPr>
          <w:spacing w:val="9"/>
          <w:sz w:val="20"/>
          <w:szCs w:val="20"/>
        </w:rPr>
        <w:t xml:space="preserve"> </w:t>
      </w:r>
      <w:r>
        <w:rPr>
          <w:spacing w:val="5"/>
          <w:sz w:val="20"/>
          <w:szCs w:val="20"/>
        </w:rPr>
        <w:t>口令策略和传输，端口控制，敏感信息访问等；应用安全漏洞，防范应用层存在</w:t>
      </w:r>
      <w:r>
        <w:rPr>
          <w:spacing w:val="4"/>
          <w:sz w:val="20"/>
          <w:szCs w:val="20"/>
        </w:rPr>
        <w:t>的安全漏洞，</w:t>
      </w:r>
      <w:r>
        <w:rPr>
          <w:sz w:val="20"/>
          <w:szCs w:val="20"/>
        </w:rPr>
        <w:t xml:space="preserve"> </w:t>
      </w:r>
      <w:r>
        <w:rPr>
          <w:spacing w:val="1"/>
          <w:sz w:val="20"/>
          <w:szCs w:val="20"/>
        </w:rPr>
        <w:t>如</w:t>
      </w:r>
      <w:r>
        <w:rPr>
          <w:spacing w:val="-45"/>
          <w:sz w:val="20"/>
          <w:szCs w:val="20"/>
        </w:rPr>
        <w:t xml:space="preserve"> </w:t>
      </w:r>
      <w:r>
        <w:rPr>
          <w:rFonts w:ascii="Times New Roman" w:hAnsi="Times New Roman" w:eastAsia="Times New Roman" w:cs="Times New Roman"/>
          <w:sz w:val="20"/>
          <w:szCs w:val="20"/>
        </w:rPr>
        <w:t>SQL</w:t>
      </w:r>
      <w:r>
        <w:rPr>
          <w:rFonts w:ascii="Times New Roman" w:hAnsi="Times New Roman" w:eastAsia="Times New Roman" w:cs="Times New Roman"/>
          <w:spacing w:val="15"/>
          <w:sz w:val="20"/>
          <w:szCs w:val="20"/>
        </w:rPr>
        <w:t xml:space="preserve"> </w:t>
      </w:r>
      <w:r>
        <w:rPr>
          <w:spacing w:val="1"/>
          <w:sz w:val="20"/>
          <w:szCs w:val="20"/>
        </w:rPr>
        <w:t>注入、跨站脚本编制、上传漏洞、命令注入、应用中间件漏洞等；会话管理，包括会话</w:t>
      </w:r>
      <w:r>
        <w:rPr>
          <w:sz w:val="20"/>
          <w:szCs w:val="20"/>
        </w:rPr>
        <w:t xml:space="preserve"> </w:t>
      </w:r>
      <w:r>
        <w:rPr>
          <w:spacing w:val="-4"/>
          <w:sz w:val="20"/>
          <w:szCs w:val="20"/>
        </w:rPr>
        <w:t>标识、</w:t>
      </w:r>
      <w:r>
        <w:rPr>
          <w:rFonts w:ascii="Times New Roman" w:hAnsi="Times New Roman" w:eastAsia="Times New Roman" w:cs="Times New Roman"/>
          <w:spacing w:val="-4"/>
          <w:sz w:val="20"/>
          <w:szCs w:val="20"/>
        </w:rPr>
        <w:t>cookie</w:t>
      </w:r>
      <w:r>
        <w:rPr>
          <w:rFonts w:ascii="Times New Roman" w:hAnsi="Times New Roman" w:eastAsia="Times New Roman" w:cs="Times New Roman"/>
          <w:spacing w:val="20"/>
          <w:sz w:val="20"/>
          <w:szCs w:val="20"/>
        </w:rPr>
        <w:t xml:space="preserve"> </w:t>
      </w:r>
      <w:r>
        <w:rPr>
          <w:spacing w:val="-4"/>
          <w:sz w:val="20"/>
          <w:szCs w:val="20"/>
        </w:rPr>
        <w:t>管理等。</w:t>
      </w:r>
    </w:p>
    <w:p w14:paraId="40C4E26A">
      <w:pPr>
        <w:spacing w:line="278" w:lineRule="auto"/>
        <w:rPr>
          <w:sz w:val="20"/>
          <w:szCs w:val="20"/>
        </w:rPr>
        <w:sectPr>
          <w:pgSz w:w="10290" w:h="13290"/>
          <w:pgMar w:top="400" w:right="533" w:bottom="400" w:left="1109" w:header="0" w:footer="0" w:gutter="0"/>
          <w:cols w:space="720" w:num="1"/>
        </w:sectPr>
      </w:pPr>
    </w:p>
    <w:p w14:paraId="6CE0762E">
      <w:pPr>
        <w:pStyle w:val="2"/>
        <w:spacing w:before="78" w:line="219" w:lineRule="auto"/>
        <w:rPr>
          <w:sz w:val="20"/>
          <w:szCs w:val="20"/>
        </w:rPr>
      </w:pPr>
      <w:r>
        <w:rPr>
          <w:rFonts w:ascii="Times New Roman" w:hAnsi="Times New Roman" w:eastAsia="Times New Roman" w:cs="Times New Roman"/>
          <w:spacing w:val="-1"/>
          <w:sz w:val="17"/>
          <w:szCs w:val="17"/>
        </w:rPr>
        <w:t xml:space="preserve">114                 </w:t>
      </w:r>
      <w:r>
        <w:rPr>
          <w:spacing w:val="-1"/>
          <w:sz w:val="20"/>
          <w:szCs w:val="20"/>
        </w:rPr>
        <w:t>信息系统监理师教程(第2版)</w:t>
      </w:r>
    </w:p>
    <w:p w14:paraId="11FE7548">
      <w:pPr>
        <w:spacing w:line="325" w:lineRule="auto"/>
        <w:rPr>
          <w:rFonts w:ascii="Arial"/>
          <w:sz w:val="21"/>
        </w:rPr>
      </w:pPr>
    </w:p>
    <w:p w14:paraId="5C69BE61">
      <w:pPr>
        <w:pStyle w:val="2"/>
        <w:spacing w:before="65" w:line="219" w:lineRule="auto"/>
        <w:ind w:left="759"/>
        <w:rPr>
          <w:sz w:val="20"/>
          <w:szCs w:val="20"/>
        </w:rPr>
      </w:pPr>
      <w:r>
        <w:rPr>
          <w:spacing w:val="-3"/>
          <w:sz w:val="20"/>
          <w:szCs w:val="20"/>
        </w:rPr>
        <w:t>应用层安全设备和技术包括但不限于：</w:t>
      </w:r>
    </w:p>
    <w:p w14:paraId="0546E97D">
      <w:pPr>
        <w:pStyle w:val="2"/>
        <w:spacing w:before="62" w:line="276" w:lineRule="auto"/>
        <w:ind w:left="1029" w:hanging="270"/>
        <w:rPr>
          <w:sz w:val="20"/>
          <w:szCs w:val="20"/>
        </w:rPr>
      </w:pPr>
      <w:r>
        <w:rPr>
          <w:spacing w:val="5"/>
          <w:sz w:val="20"/>
          <w:szCs w:val="20"/>
        </w:rPr>
        <w:t>●应用层安全漏洞检测，主要通过相关应用漏洞扫描系统工具来实现，还包括渗透测试、</w:t>
      </w:r>
      <w:r>
        <w:rPr>
          <w:spacing w:val="13"/>
          <w:sz w:val="20"/>
          <w:szCs w:val="20"/>
        </w:rPr>
        <w:t xml:space="preserve"> </w:t>
      </w:r>
      <w:r>
        <w:rPr>
          <w:spacing w:val="1"/>
          <w:sz w:val="20"/>
          <w:szCs w:val="20"/>
        </w:rPr>
        <w:t>代码审计等技术手段。应用层的安全漏洞修补主要通过应用中间件安全配置和应用程序</w:t>
      </w:r>
      <w:r>
        <w:rPr>
          <w:spacing w:val="6"/>
          <w:sz w:val="20"/>
          <w:szCs w:val="20"/>
        </w:rPr>
        <w:t xml:space="preserve">  </w:t>
      </w:r>
      <w:r>
        <w:rPr>
          <w:spacing w:val="-4"/>
          <w:sz w:val="20"/>
          <w:szCs w:val="20"/>
        </w:rPr>
        <w:t>安全代码整改来实现。</w:t>
      </w:r>
    </w:p>
    <w:p w14:paraId="511CA907">
      <w:pPr>
        <w:pStyle w:val="2"/>
        <w:spacing w:before="93" w:line="257" w:lineRule="auto"/>
        <w:ind w:left="1029" w:right="92" w:hanging="270"/>
        <w:rPr>
          <w:sz w:val="20"/>
          <w:szCs w:val="20"/>
        </w:rPr>
      </w:pPr>
      <w:r>
        <w:rPr>
          <w:spacing w:val="8"/>
          <w:sz w:val="20"/>
          <w:szCs w:val="20"/>
        </w:rPr>
        <w:t>●应用层的安全防护设备，主要通过</w:t>
      </w:r>
      <w:r>
        <w:rPr>
          <w:sz w:val="20"/>
          <w:szCs w:val="20"/>
        </w:rPr>
        <w:t>Web</w:t>
      </w:r>
      <w:r>
        <w:rPr>
          <w:spacing w:val="44"/>
          <w:sz w:val="20"/>
          <w:szCs w:val="20"/>
        </w:rPr>
        <w:t xml:space="preserve"> </w:t>
      </w:r>
      <w:r>
        <w:rPr>
          <w:spacing w:val="8"/>
          <w:sz w:val="20"/>
          <w:szCs w:val="20"/>
        </w:rPr>
        <w:t>防火墙对</w:t>
      </w:r>
      <w:r>
        <w:rPr>
          <w:sz w:val="20"/>
          <w:szCs w:val="20"/>
        </w:rPr>
        <w:t>SQL</w:t>
      </w:r>
      <w:r>
        <w:rPr>
          <w:spacing w:val="8"/>
          <w:sz w:val="20"/>
          <w:szCs w:val="20"/>
        </w:rPr>
        <w:t xml:space="preserve"> 注入、</w:t>
      </w:r>
      <w:r>
        <w:rPr>
          <w:sz w:val="20"/>
          <w:szCs w:val="20"/>
        </w:rPr>
        <w:t>XSS</w:t>
      </w:r>
      <w:r>
        <w:rPr>
          <w:spacing w:val="8"/>
          <w:sz w:val="20"/>
          <w:szCs w:val="20"/>
        </w:rPr>
        <w:t xml:space="preserve"> 等已知应用漏洞攻击</w:t>
      </w:r>
      <w:r>
        <w:rPr>
          <w:sz w:val="20"/>
          <w:szCs w:val="20"/>
        </w:rPr>
        <w:t xml:space="preserve"> </w:t>
      </w:r>
      <w:r>
        <w:rPr>
          <w:spacing w:val="-2"/>
          <w:sz w:val="20"/>
          <w:szCs w:val="20"/>
        </w:rPr>
        <w:t>以及应用层</w:t>
      </w:r>
      <w:r>
        <w:rPr>
          <w:rFonts w:ascii="Times New Roman" w:hAnsi="Times New Roman" w:eastAsia="Times New Roman" w:cs="Times New Roman"/>
          <w:spacing w:val="-2"/>
          <w:sz w:val="20"/>
          <w:szCs w:val="20"/>
        </w:rPr>
        <w:t xml:space="preserve">DoS </w:t>
      </w:r>
      <w:r>
        <w:rPr>
          <w:spacing w:val="-2"/>
          <w:sz w:val="20"/>
          <w:szCs w:val="20"/>
        </w:rPr>
        <w:t>攻击起到防护作用。</w:t>
      </w:r>
    </w:p>
    <w:p w14:paraId="408D3093">
      <w:pPr>
        <w:pStyle w:val="2"/>
        <w:spacing w:before="200" w:line="222" w:lineRule="auto"/>
        <w:ind w:left="762"/>
        <w:rPr>
          <w:rFonts w:ascii="黑体" w:hAnsi="黑体" w:eastAsia="黑体" w:cs="黑体"/>
          <w:sz w:val="20"/>
          <w:szCs w:val="20"/>
        </w:rPr>
      </w:pPr>
      <w:r>
        <w:rPr>
          <w:b/>
          <w:bCs/>
          <w:color w:val="0B93E3"/>
          <w:sz w:val="20"/>
          <w:szCs w:val="20"/>
        </w:rPr>
        <w:t>5.</w:t>
      </w:r>
      <w:r>
        <w:rPr>
          <w:rFonts w:ascii="黑体" w:hAnsi="黑体" w:eastAsia="黑体" w:cs="黑体"/>
          <w:b/>
          <w:bCs/>
          <w:color w:val="0B93E3"/>
          <w:sz w:val="20"/>
          <w:szCs w:val="20"/>
        </w:rPr>
        <w:t>数据安全</w:t>
      </w:r>
    </w:p>
    <w:p w14:paraId="39B327C7">
      <w:pPr>
        <w:pStyle w:val="2"/>
        <w:spacing w:before="120" w:line="282" w:lineRule="auto"/>
        <w:ind w:left="359" w:right="91" w:firstLine="400"/>
        <w:rPr>
          <w:sz w:val="20"/>
          <w:szCs w:val="20"/>
        </w:rPr>
      </w:pPr>
      <w:r>
        <w:rPr>
          <w:spacing w:val="3"/>
          <w:sz w:val="20"/>
          <w:szCs w:val="20"/>
        </w:rPr>
        <w:t>数据安全关注的重点包括：机密数据保护，包括数据加密传输、数据加密存储、敏感资源</w:t>
      </w:r>
      <w:r>
        <w:rPr>
          <w:sz w:val="20"/>
          <w:szCs w:val="20"/>
        </w:rPr>
        <w:t xml:space="preserve"> </w:t>
      </w:r>
      <w:r>
        <w:rPr>
          <w:spacing w:val="-1"/>
          <w:sz w:val="20"/>
          <w:szCs w:val="20"/>
        </w:rPr>
        <w:t>控制等；数据备份恢复，包括重要信息的冗余备份机制和恢</w:t>
      </w:r>
      <w:r>
        <w:rPr>
          <w:spacing w:val="-2"/>
          <w:sz w:val="20"/>
          <w:szCs w:val="20"/>
        </w:rPr>
        <w:t>复机制等。</w:t>
      </w:r>
    </w:p>
    <w:p w14:paraId="5756A5F8">
      <w:pPr>
        <w:pStyle w:val="2"/>
        <w:spacing w:before="21" w:line="219" w:lineRule="auto"/>
        <w:ind w:left="759"/>
        <w:rPr>
          <w:sz w:val="20"/>
          <w:szCs w:val="20"/>
        </w:rPr>
      </w:pPr>
      <w:r>
        <w:rPr>
          <w:spacing w:val="-4"/>
          <w:sz w:val="20"/>
          <w:szCs w:val="20"/>
        </w:rPr>
        <w:t>数据安全设备和技术包括但不限于：</w:t>
      </w:r>
    </w:p>
    <w:p w14:paraId="218140F1">
      <w:pPr>
        <w:pStyle w:val="2"/>
        <w:spacing w:before="80" w:line="263" w:lineRule="auto"/>
        <w:ind w:left="1029" w:right="92" w:hanging="270"/>
        <w:rPr>
          <w:sz w:val="20"/>
          <w:szCs w:val="20"/>
        </w:rPr>
      </w:pPr>
      <w:r>
        <w:rPr>
          <w:spacing w:val="11"/>
          <w:sz w:val="20"/>
          <w:szCs w:val="20"/>
        </w:rPr>
        <w:t>●数据安全传输设备和技术，包括</w:t>
      </w:r>
      <w:r>
        <w:rPr>
          <w:sz w:val="20"/>
          <w:szCs w:val="20"/>
        </w:rPr>
        <w:t>VPN</w:t>
      </w:r>
      <w:r>
        <w:rPr>
          <w:spacing w:val="64"/>
          <w:sz w:val="20"/>
          <w:szCs w:val="20"/>
        </w:rPr>
        <w:t xml:space="preserve"> </w:t>
      </w:r>
      <w:r>
        <w:rPr>
          <w:spacing w:val="11"/>
          <w:sz w:val="20"/>
          <w:szCs w:val="20"/>
        </w:rPr>
        <w:t>设备(</w:t>
      </w:r>
      <w:r>
        <w:rPr>
          <w:sz w:val="20"/>
          <w:szCs w:val="20"/>
        </w:rPr>
        <w:t>IPSEC</w:t>
      </w:r>
      <w:r>
        <w:rPr>
          <w:spacing w:val="11"/>
          <w:sz w:val="20"/>
          <w:szCs w:val="20"/>
        </w:rPr>
        <w:t xml:space="preserve">  </w:t>
      </w:r>
      <w:r>
        <w:rPr>
          <w:sz w:val="20"/>
          <w:szCs w:val="20"/>
        </w:rPr>
        <w:t>VPN</w:t>
      </w:r>
      <w:r>
        <w:rPr>
          <w:spacing w:val="11"/>
          <w:sz w:val="20"/>
          <w:szCs w:val="20"/>
        </w:rPr>
        <w:t>、</w:t>
      </w:r>
      <w:r>
        <w:rPr>
          <w:sz w:val="20"/>
          <w:szCs w:val="20"/>
        </w:rPr>
        <w:t>SSL</w:t>
      </w:r>
      <w:r>
        <w:rPr>
          <w:spacing w:val="11"/>
          <w:sz w:val="20"/>
          <w:szCs w:val="20"/>
        </w:rPr>
        <w:t xml:space="preserve">  </w:t>
      </w:r>
      <w:r>
        <w:rPr>
          <w:sz w:val="20"/>
          <w:szCs w:val="20"/>
        </w:rPr>
        <w:t>VPN</w:t>
      </w:r>
      <w:r>
        <w:rPr>
          <w:spacing w:val="11"/>
          <w:sz w:val="20"/>
          <w:szCs w:val="20"/>
        </w:rPr>
        <w:t>等),可以使用防火</w:t>
      </w:r>
      <w:r>
        <w:rPr>
          <w:sz w:val="20"/>
          <w:szCs w:val="20"/>
        </w:rPr>
        <w:t xml:space="preserve"> </w:t>
      </w:r>
      <w:r>
        <w:rPr>
          <w:spacing w:val="3"/>
          <w:sz w:val="20"/>
          <w:szCs w:val="20"/>
        </w:rPr>
        <w:t>墙的</w:t>
      </w:r>
      <w:r>
        <w:rPr>
          <w:rFonts w:ascii="Times New Roman" w:hAnsi="Times New Roman" w:eastAsia="Times New Roman" w:cs="Times New Roman"/>
          <w:sz w:val="20"/>
          <w:szCs w:val="20"/>
        </w:rPr>
        <w:t>VPN</w:t>
      </w:r>
      <w:r>
        <w:rPr>
          <w:rFonts w:ascii="Times New Roman" w:hAnsi="Times New Roman" w:eastAsia="Times New Roman" w:cs="Times New Roman"/>
          <w:spacing w:val="3"/>
          <w:sz w:val="20"/>
          <w:szCs w:val="20"/>
        </w:rPr>
        <w:t xml:space="preserve"> </w:t>
      </w:r>
      <w:r>
        <w:rPr>
          <w:spacing w:val="3"/>
          <w:sz w:val="20"/>
          <w:szCs w:val="20"/>
        </w:rPr>
        <w:t>功能模块或单独的</w:t>
      </w:r>
      <w:r>
        <w:rPr>
          <w:rFonts w:ascii="Times New Roman" w:hAnsi="Times New Roman" w:eastAsia="Times New Roman" w:cs="Times New Roman"/>
          <w:sz w:val="20"/>
          <w:szCs w:val="20"/>
        </w:rPr>
        <w:t>VPN</w:t>
      </w:r>
      <w:r>
        <w:rPr>
          <w:rFonts w:ascii="Times New Roman" w:hAnsi="Times New Roman" w:eastAsia="Times New Roman" w:cs="Times New Roman"/>
          <w:spacing w:val="3"/>
          <w:sz w:val="20"/>
          <w:szCs w:val="20"/>
        </w:rPr>
        <w:t xml:space="preserve"> </w:t>
      </w:r>
      <w:r>
        <w:rPr>
          <w:spacing w:val="3"/>
          <w:sz w:val="20"/>
          <w:szCs w:val="20"/>
        </w:rPr>
        <w:t>设备或者软件来实现。</w:t>
      </w:r>
    </w:p>
    <w:p w14:paraId="3CBCFA1B">
      <w:pPr>
        <w:pStyle w:val="2"/>
        <w:spacing w:before="99" w:line="268" w:lineRule="auto"/>
        <w:ind w:left="1029" w:right="71" w:hanging="270"/>
        <w:rPr>
          <w:sz w:val="20"/>
          <w:szCs w:val="20"/>
        </w:rPr>
      </w:pPr>
      <w:r>
        <w:rPr>
          <w:spacing w:val="14"/>
          <w:sz w:val="20"/>
          <w:szCs w:val="20"/>
        </w:rPr>
        <w:t>●数据加密技术，将数据信息(或称明文)经过加密钥匙</w:t>
      </w:r>
      <w:r>
        <w:rPr>
          <w:spacing w:val="-25"/>
          <w:sz w:val="20"/>
          <w:szCs w:val="20"/>
        </w:rPr>
        <w:t xml:space="preserve"> </w:t>
      </w:r>
      <w:r>
        <w:rPr>
          <w:spacing w:val="14"/>
          <w:sz w:val="20"/>
          <w:szCs w:val="20"/>
        </w:rPr>
        <w:t>(</w:t>
      </w:r>
      <w:r>
        <w:rPr>
          <w:sz w:val="20"/>
          <w:szCs w:val="20"/>
        </w:rPr>
        <w:t>Encryption</w:t>
      </w:r>
      <w:r>
        <w:rPr>
          <w:spacing w:val="14"/>
          <w:sz w:val="20"/>
          <w:szCs w:val="20"/>
        </w:rPr>
        <w:t xml:space="preserve"> </w:t>
      </w:r>
      <w:r>
        <w:rPr>
          <w:sz w:val="20"/>
          <w:szCs w:val="20"/>
        </w:rPr>
        <w:t>Key</w:t>
      </w:r>
      <w:r>
        <w:rPr>
          <w:spacing w:val="14"/>
          <w:sz w:val="20"/>
          <w:szCs w:val="20"/>
        </w:rPr>
        <w:t>)及加密函数</w:t>
      </w:r>
      <w:r>
        <w:rPr>
          <w:sz w:val="20"/>
          <w:szCs w:val="20"/>
        </w:rPr>
        <w:t xml:space="preserve"> </w:t>
      </w:r>
      <w:r>
        <w:rPr>
          <w:spacing w:val="4"/>
          <w:sz w:val="20"/>
          <w:szCs w:val="20"/>
        </w:rPr>
        <w:t>转换，变成无意义的密文，而接收方则将此密文经过解密函数、解</w:t>
      </w:r>
      <w:r>
        <w:rPr>
          <w:spacing w:val="3"/>
          <w:sz w:val="20"/>
          <w:szCs w:val="20"/>
        </w:rPr>
        <w:t>密钥匙</w:t>
      </w:r>
      <w:r>
        <w:rPr>
          <w:spacing w:val="-18"/>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 xml:space="preserve">Decryption   </w:t>
      </w:r>
      <w:r>
        <w:rPr>
          <w:rFonts w:ascii="Times New Roman" w:hAnsi="Times New Roman" w:eastAsia="Times New Roman" w:cs="Times New Roman"/>
          <w:spacing w:val="-1"/>
          <w:sz w:val="20"/>
          <w:szCs w:val="20"/>
        </w:rPr>
        <w:t>Key)</w:t>
      </w:r>
      <w:r>
        <w:rPr>
          <w:rFonts w:ascii="Times New Roman" w:hAnsi="Times New Roman" w:eastAsia="Times New Roman" w:cs="Times New Roman"/>
          <w:spacing w:val="14"/>
          <w:w w:val="101"/>
          <w:sz w:val="20"/>
          <w:szCs w:val="20"/>
        </w:rPr>
        <w:t xml:space="preserve">  </w:t>
      </w:r>
      <w:r>
        <w:rPr>
          <w:spacing w:val="-1"/>
          <w:sz w:val="20"/>
          <w:szCs w:val="20"/>
        </w:rPr>
        <w:t>还原成明文。</w:t>
      </w:r>
    </w:p>
    <w:p w14:paraId="3767080E">
      <w:pPr>
        <w:pStyle w:val="2"/>
        <w:spacing w:before="83" w:line="270" w:lineRule="auto"/>
        <w:ind w:left="1029" w:right="86" w:hanging="270"/>
        <w:rPr>
          <w:sz w:val="20"/>
          <w:szCs w:val="20"/>
        </w:rPr>
      </w:pPr>
      <w:r>
        <w:rPr>
          <w:spacing w:val="3"/>
          <w:sz w:val="20"/>
          <w:szCs w:val="20"/>
        </w:rPr>
        <w:t>●数据备份和恢复，包括自动化备份系统和手工备份等方式，如定期将数据库文件备份到</w:t>
      </w:r>
      <w:r>
        <w:rPr>
          <w:spacing w:val="5"/>
          <w:sz w:val="20"/>
          <w:szCs w:val="20"/>
        </w:rPr>
        <w:t xml:space="preserve"> </w:t>
      </w:r>
      <w:r>
        <w:rPr>
          <w:spacing w:val="1"/>
          <w:sz w:val="20"/>
          <w:szCs w:val="20"/>
        </w:rPr>
        <w:t>磁带库或磁盘阵列等。数据备份的目的是防止发生数据灾难。数据恢复</w:t>
      </w:r>
      <w:r>
        <w:rPr>
          <w:sz w:val="20"/>
          <w:szCs w:val="20"/>
        </w:rPr>
        <w:t xml:space="preserve">是在数据发生灾 </w:t>
      </w:r>
      <w:r>
        <w:rPr>
          <w:spacing w:val="-2"/>
          <w:sz w:val="20"/>
          <w:szCs w:val="20"/>
        </w:rPr>
        <w:t>难时能及时有效地恢复，数据备份是恢复的基础。</w:t>
      </w:r>
    </w:p>
    <w:p w14:paraId="16011D0B">
      <w:pPr>
        <w:pStyle w:val="2"/>
        <w:spacing w:before="180" w:line="223" w:lineRule="auto"/>
        <w:ind w:left="762"/>
        <w:rPr>
          <w:rFonts w:ascii="黑体" w:hAnsi="黑体" w:eastAsia="黑体" w:cs="黑体"/>
          <w:sz w:val="20"/>
          <w:szCs w:val="20"/>
        </w:rPr>
      </w:pPr>
      <w:r>
        <w:rPr>
          <w:b/>
          <w:bCs/>
          <w:color w:val="006DC1"/>
          <w:spacing w:val="-1"/>
          <w:sz w:val="20"/>
          <w:szCs w:val="20"/>
        </w:rPr>
        <w:t>6.</w:t>
      </w:r>
      <w:r>
        <w:rPr>
          <w:rFonts w:ascii="黑体" w:hAnsi="黑体" w:eastAsia="黑体" w:cs="黑体"/>
          <w:b/>
          <w:bCs/>
          <w:color w:val="006DC1"/>
          <w:spacing w:val="-1"/>
          <w:sz w:val="20"/>
          <w:szCs w:val="20"/>
        </w:rPr>
        <w:t>安全管理</w:t>
      </w:r>
    </w:p>
    <w:p w14:paraId="479DD633">
      <w:pPr>
        <w:pStyle w:val="2"/>
        <w:spacing w:before="140" w:line="281" w:lineRule="auto"/>
        <w:ind w:left="359" w:right="19" w:firstLine="400"/>
        <w:jc w:val="both"/>
        <w:rPr>
          <w:sz w:val="20"/>
          <w:szCs w:val="20"/>
        </w:rPr>
      </w:pPr>
      <w:r>
        <w:rPr>
          <w:spacing w:val="3"/>
          <w:sz w:val="20"/>
          <w:szCs w:val="20"/>
        </w:rPr>
        <w:t xml:space="preserve">安全管理的重点内容包括：安全组织和责任，包括建立安全工作组织架构，设置安全分管 </w:t>
      </w:r>
      <w:r>
        <w:rPr>
          <w:sz w:val="20"/>
          <w:szCs w:val="20"/>
        </w:rPr>
        <w:t>领导和安全管理专员，明确人员的安全责任等；风险管理工作机制，包</w:t>
      </w:r>
      <w:r>
        <w:rPr>
          <w:spacing w:val="-1"/>
          <w:sz w:val="20"/>
          <w:szCs w:val="20"/>
        </w:rPr>
        <w:t>括实施定期的安全评估、</w:t>
      </w:r>
      <w:r>
        <w:rPr>
          <w:sz w:val="20"/>
          <w:szCs w:val="20"/>
        </w:rPr>
        <w:t xml:space="preserve"> </w:t>
      </w:r>
      <w:r>
        <w:rPr>
          <w:spacing w:val="3"/>
          <w:sz w:val="20"/>
          <w:szCs w:val="20"/>
        </w:rPr>
        <w:t>漏洞管理、安全加固、残余风险评价等工作；应急处理工作机制，包括安全风险监控、</w:t>
      </w:r>
      <w:r>
        <w:rPr>
          <w:spacing w:val="2"/>
          <w:sz w:val="20"/>
          <w:szCs w:val="20"/>
        </w:rPr>
        <w:t>定期安</w:t>
      </w:r>
      <w:r>
        <w:rPr>
          <w:sz w:val="20"/>
          <w:szCs w:val="20"/>
        </w:rPr>
        <w:t xml:space="preserve"> </w:t>
      </w:r>
      <w:r>
        <w:rPr>
          <w:spacing w:val="3"/>
          <w:sz w:val="20"/>
          <w:szCs w:val="20"/>
        </w:rPr>
        <w:t>全通告、安全紧急事件处理措施等；容灾备份工作机制，包括制定完善的灾难恢复方案并制定</w:t>
      </w:r>
      <w:r>
        <w:rPr>
          <w:sz w:val="20"/>
          <w:szCs w:val="20"/>
        </w:rPr>
        <w:t xml:space="preserve"> </w:t>
      </w:r>
      <w:r>
        <w:rPr>
          <w:spacing w:val="-1"/>
          <w:sz w:val="20"/>
          <w:szCs w:val="20"/>
        </w:rPr>
        <w:t>定期的灾难恢复演练计划等；制定系统上线、切换办法</w:t>
      </w:r>
      <w:r>
        <w:rPr>
          <w:spacing w:val="-2"/>
          <w:sz w:val="20"/>
          <w:szCs w:val="20"/>
        </w:rPr>
        <w:t>、安全运维方案等。</w:t>
      </w:r>
    </w:p>
    <w:p w14:paraId="225FD80B">
      <w:pPr>
        <w:pStyle w:val="2"/>
        <w:spacing w:before="134" w:line="222" w:lineRule="auto"/>
        <w:ind w:left="762"/>
        <w:rPr>
          <w:rFonts w:ascii="黑体" w:hAnsi="黑体" w:eastAsia="黑体" w:cs="黑体"/>
          <w:sz w:val="20"/>
          <w:szCs w:val="20"/>
        </w:rPr>
      </w:pPr>
      <w:r>
        <w:rPr>
          <w:b/>
          <w:bCs/>
          <w:color w:val="0081D7"/>
          <w:spacing w:val="-4"/>
          <w:sz w:val="20"/>
          <w:szCs w:val="20"/>
        </w:rPr>
        <w:t>7.</w:t>
      </w:r>
      <w:r>
        <w:rPr>
          <w:rFonts w:ascii="黑体" w:hAnsi="黑体" w:eastAsia="黑体" w:cs="黑体"/>
          <w:b/>
          <w:bCs/>
          <w:color w:val="0081D7"/>
          <w:spacing w:val="-4"/>
          <w:sz w:val="20"/>
          <w:szCs w:val="20"/>
        </w:rPr>
        <w:t>云计算安全</w:t>
      </w:r>
    </w:p>
    <w:p w14:paraId="700DB123">
      <w:pPr>
        <w:pStyle w:val="2"/>
        <w:spacing w:before="134" w:line="272" w:lineRule="auto"/>
        <w:ind w:left="359" w:right="92" w:firstLine="400"/>
        <w:rPr>
          <w:sz w:val="20"/>
          <w:szCs w:val="20"/>
        </w:rPr>
      </w:pPr>
      <w:r>
        <w:rPr>
          <w:spacing w:val="3"/>
          <w:sz w:val="20"/>
          <w:szCs w:val="20"/>
        </w:rPr>
        <w:t>当业务平台迁移到云计算环境后，由于虚拟化技术的引入，原本运行在物理服务器上的业</w:t>
      </w:r>
      <w:r>
        <w:rPr>
          <w:sz w:val="20"/>
          <w:szCs w:val="20"/>
        </w:rPr>
        <w:t xml:space="preserve"> </w:t>
      </w:r>
      <w:r>
        <w:rPr>
          <w:spacing w:val="-2"/>
          <w:sz w:val="20"/>
          <w:szCs w:val="20"/>
        </w:rPr>
        <w:t>务系统转而运行在虚拟机上，因此出现了新的安全问题和需求。</w:t>
      </w:r>
    </w:p>
    <w:p w14:paraId="35E6925F">
      <w:pPr>
        <w:pStyle w:val="2"/>
        <w:spacing w:before="20" w:line="219" w:lineRule="auto"/>
        <w:ind w:left="759"/>
        <w:rPr>
          <w:sz w:val="20"/>
          <w:szCs w:val="20"/>
        </w:rPr>
      </w:pPr>
      <w:r>
        <w:rPr>
          <w:spacing w:val="-3"/>
          <w:sz w:val="20"/>
          <w:szCs w:val="20"/>
        </w:rPr>
        <w:t>云化业务平台和传统业务平台相比，新增的主要安全问题包括：</w:t>
      </w:r>
    </w:p>
    <w:p w14:paraId="7A0D5124">
      <w:pPr>
        <w:pStyle w:val="2"/>
        <w:spacing w:before="72" w:line="275" w:lineRule="auto"/>
        <w:ind w:left="1029" w:hanging="270"/>
        <w:rPr>
          <w:sz w:val="20"/>
          <w:szCs w:val="20"/>
        </w:rPr>
      </w:pPr>
      <w:r>
        <w:rPr>
          <w:spacing w:val="5"/>
          <w:sz w:val="20"/>
          <w:szCs w:val="20"/>
        </w:rPr>
        <w:t>●主机安全方面。基于以虚拟化技术为核心的云资源池，需要重新审视主</w:t>
      </w:r>
      <w:r>
        <w:rPr>
          <w:spacing w:val="4"/>
          <w:sz w:val="20"/>
          <w:szCs w:val="20"/>
        </w:rPr>
        <w:t>机层安全问题。</w:t>
      </w:r>
      <w:r>
        <w:rPr>
          <w:sz w:val="20"/>
          <w:szCs w:val="20"/>
        </w:rPr>
        <w:t xml:space="preserve"> </w:t>
      </w:r>
      <w:r>
        <w:rPr>
          <w:spacing w:val="1"/>
          <w:sz w:val="20"/>
          <w:szCs w:val="20"/>
        </w:rPr>
        <w:t>一方面要考虑运行在虚拟机之上的操作系统、数据库系统等的安全问题，同时还要考虑</w:t>
      </w:r>
      <w:r>
        <w:rPr>
          <w:spacing w:val="7"/>
          <w:sz w:val="20"/>
          <w:szCs w:val="20"/>
        </w:rPr>
        <w:t xml:space="preserve">  </w:t>
      </w:r>
      <w:r>
        <w:rPr>
          <w:spacing w:val="5"/>
          <w:sz w:val="20"/>
          <w:szCs w:val="20"/>
        </w:rPr>
        <w:t>虚拟机管理程序的安全问题，包括虚拟机管理程序</w:t>
      </w:r>
      <w:r>
        <w:rPr>
          <w:spacing w:val="-34"/>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Virtual</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Machine</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z w:val="20"/>
          <w:szCs w:val="20"/>
        </w:rPr>
        <w:t>Manager</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VMM</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 xml:space="preserve">   </w:t>
      </w:r>
      <w:r>
        <w:rPr>
          <w:spacing w:val="11"/>
          <w:sz w:val="20"/>
          <w:szCs w:val="20"/>
        </w:rPr>
        <w:t>安全问题和用户虚拟机</w:t>
      </w:r>
      <w:r>
        <w:rPr>
          <w:spacing w:val="-47"/>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Guest</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OS</w:t>
      </w:r>
      <w:r>
        <w:rPr>
          <w:rFonts w:ascii="Times New Roman" w:hAnsi="Times New Roman" w:eastAsia="Times New Roman" w:cs="Times New Roman"/>
          <w:spacing w:val="11"/>
          <w:sz w:val="20"/>
          <w:szCs w:val="20"/>
        </w:rPr>
        <w:t>)</w:t>
      </w:r>
      <w:r>
        <w:rPr>
          <w:rFonts w:ascii="Times New Roman" w:hAnsi="Times New Roman" w:eastAsia="Times New Roman" w:cs="Times New Roman"/>
          <w:spacing w:val="21"/>
          <w:w w:val="101"/>
          <w:sz w:val="20"/>
          <w:szCs w:val="20"/>
        </w:rPr>
        <w:t xml:space="preserve"> </w:t>
      </w:r>
      <w:r>
        <w:rPr>
          <w:spacing w:val="11"/>
          <w:sz w:val="20"/>
          <w:szCs w:val="20"/>
        </w:rPr>
        <w:t>安全问题。</w:t>
      </w:r>
      <w:r>
        <w:rPr>
          <w:rFonts w:ascii="Times New Roman" w:hAnsi="Times New Roman" w:eastAsia="Times New Roman" w:cs="Times New Roman"/>
          <w:sz w:val="20"/>
          <w:szCs w:val="20"/>
        </w:rPr>
        <w:t>VMM</w:t>
      </w:r>
      <w:r>
        <w:rPr>
          <w:rFonts w:ascii="Times New Roman" w:hAnsi="Times New Roman" w:eastAsia="Times New Roman" w:cs="Times New Roman"/>
          <w:spacing w:val="11"/>
          <w:sz w:val="20"/>
          <w:szCs w:val="20"/>
        </w:rPr>
        <w:t xml:space="preserve"> </w:t>
      </w:r>
      <w:r>
        <w:rPr>
          <w:spacing w:val="11"/>
          <w:sz w:val="20"/>
          <w:szCs w:val="20"/>
        </w:rPr>
        <w:t>安全是云化系</w:t>
      </w:r>
      <w:r>
        <w:rPr>
          <w:spacing w:val="10"/>
          <w:sz w:val="20"/>
          <w:szCs w:val="20"/>
        </w:rPr>
        <w:t>统的新增安全问</w:t>
      </w:r>
      <w:r>
        <w:rPr>
          <w:sz w:val="20"/>
          <w:szCs w:val="20"/>
        </w:rPr>
        <w:t xml:space="preserve"> </w:t>
      </w:r>
      <w:r>
        <w:rPr>
          <w:spacing w:val="1"/>
          <w:sz w:val="20"/>
          <w:szCs w:val="20"/>
        </w:rPr>
        <w:t>题，主要包括</w:t>
      </w:r>
      <w:r>
        <w:rPr>
          <w:rFonts w:ascii="Times New Roman" w:hAnsi="Times New Roman" w:eastAsia="Times New Roman" w:cs="Times New Roman"/>
          <w:sz w:val="20"/>
          <w:szCs w:val="20"/>
        </w:rPr>
        <w:t>VMM</w:t>
      </w:r>
      <w:r>
        <w:rPr>
          <w:rFonts w:ascii="Times New Roman" w:hAnsi="Times New Roman" w:eastAsia="Times New Roman" w:cs="Times New Roman"/>
          <w:spacing w:val="22"/>
          <w:sz w:val="20"/>
          <w:szCs w:val="20"/>
        </w:rPr>
        <w:t xml:space="preserve"> </w:t>
      </w:r>
      <w:r>
        <w:rPr>
          <w:spacing w:val="1"/>
          <w:sz w:val="20"/>
          <w:szCs w:val="20"/>
        </w:rPr>
        <w:t>安全漏洞检测、</w:t>
      </w:r>
      <w:r>
        <w:rPr>
          <w:rFonts w:ascii="Times New Roman" w:hAnsi="Times New Roman" w:eastAsia="Times New Roman" w:cs="Times New Roman"/>
          <w:sz w:val="20"/>
          <w:szCs w:val="20"/>
        </w:rPr>
        <w:t>VMM</w:t>
      </w:r>
      <w:r>
        <w:rPr>
          <w:rFonts w:ascii="Times New Roman" w:hAnsi="Times New Roman" w:eastAsia="Times New Roman" w:cs="Times New Roman"/>
          <w:spacing w:val="21"/>
          <w:w w:val="101"/>
          <w:sz w:val="20"/>
          <w:szCs w:val="20"/>
        </w:rPr>
        <w:t xml:space="preserve"> </w:t>
      </w:r>
      <w:r>
        <w:rPr>
          <w:spacing w:val="1"/>
          <w:sz w:val="20"/>
          <w:szCs w:val="20"/>
        </w:rPr>
        <w:t>用户身份鉴别、</w:t>
      </w:r>
      <w:r>
        <w:rPr>
          <w:rFonts w:ascii="Times New Roman" w:hAnsi="Times New Roman" w:eastAsia="Times New Roman" w:cs="Times New Roman"/>
          <w:sz w:val="20"/>
          <w:szCs w:val="20"/>
        </w:rPr>
        <w:t>VMM</w:t>
      </w:r>
      <w:r>
        <w:rPr>
          <w:rFonts w:ascii="Times New Roman" w:hAnsi="Times New Roman" w:eastAsia="Times New Roman" w:cs="Times New Roman"/>
          <w:spacing w:val="22"/>
          <w:sz w:val="20"/>
          <w:szCs w:val="20"/>
        </w:rPr>
        <w:t xml:space="preserve"> </w:t>
      </w:r>
      <w:r>
        <w:rPr>
          <w:spacing w:val="1"/>
          <w:sz w:val="20"/>
          <w:szCs w:val="20"/>
        </w:rPr>
        <w:t>物理和</w:t>
      </w:r>
      <w:r>
        <w:rPr>
          <w:sz w:val="20"/>
          <w:szCs w:val="20"/>
        </w:rPr>
        <w:t xml:space="preserve">网络访问控制、 </w:t>
      </w:r>
      <w:r>
        <w:rPr>
          <w:rFonts w:ascii="Times New Roman" w:hAnsi="Times New Roman" w:eastAsia="Times New Roman" w:cs="Times New Roman"/>
          <w:spacing w:val="-2"/>
          <w:sz w:val="20"/>
          <w:szCs w:val="20"/>
        </w:rPr>
        <w:t>VMM</w:t>
      </w:r>
      <w:r>
        <w:rPr>
          <w:rFonts w:ascii="Times New Roman" w:hAnsi="Times New Roman" w:eastAsia="Times New Roman" w:cs="Times New Roman"/>
          <w:spacing w:val="-18"/>
          <w:sz w:val="20"/>
          <w:szCs w:val="20"/>
        </w:rPr>
        <w:t xml:space="preserve"> </w:t>
      </w:r>
      <w:r>
        <w:rPr>
          <w:spacing w:val="-2"/>
          <w:sz w:val="20"/>
          <w:szCs w:val="20"/>
        </w:rPr>
        <w:t>安全审计等问题；</w:t>
      </w:r>
      <w:r>
        <w:rPr>
          <w:rFonts w:ascii="Times New Roman" w:hAnsi="Times New Roman" w:eastAsia="Times New Roman" w:cs="Times New Roman"/>
          <w:spacing w:val="-2"/>
          <w:sz w:val="20"/>
          <w:szCs w:val="20"/>
        </w:rPr>
        <w:t>Guest</w:t>
      </w:r>
      <w:r>
        <w:rPr>
          <w:rFonts w:ascii="Times New Roman" w:hAnsi="Times New Roman" w:eastAsia="Times New Roman" w:cs="Times New Roman"/>
          <w:spacing w:val="42"/>
          <w:w w:val="101"/>
          <w:sz w:val="20"/>
          <w:szCs w:val="20"/>
        </w:rPr>
        <w:t xml:space="preserve"> </w:t>
      </w:r>
      <w:r>
        <w:rPr>
          <w:rFonts w:ascii="Times New Roman" w:hAnsi="Times New Roman" w:eastAsia="Times New Roman" w:cs="Times New Roman"/>
          <w:spacing w:val="-2"/>
          <w:sz w:val="20"/>
          <w:szCs w:val="20"/>
        </w:rPr>
        <w:t>OS</w:t>
      </w:r>
      <w:r>
        <w:rPr>
          <w:rFonts w:ascii="Times New Roman" w:hAnsi="Times New Roman" w:eastAsia="Times New Roman" w:cs="Times New Roman"/>
          <w:spacing w:val="-11"/>
          <w:sz w:val="20"/>
          <w:szCs w:val="20"/>
        </w:rPr>
        <w:t xml:space="preserve"> </w:t>
      </w:r>
      <w:r>
        <w:rPr>
          <w:spacing w:val="-2"/>
          <w:sz w:val="20"/>
          <w:szCs w:val="20"/>
        </w:rPr>
        <w:t>安全与</w:t>
      </w:r>
      <w:r>
        <w:rPr>
          <w:spacing w:val="-3"/>
          <w:sz w:val="20"/>
          <w:szCs w:val="20"/>
        </w:rPr>
        <w:t>传统的主机安全需求基本一致。</w:t>
      </w:r>
    </w:p>
    <w:p w14:paraId="193E515C">
      <w:pPr>
        <w:pStyle w:val="2"/>
        <w:spacing w:before="123" w:line="219" w:lineRule="auto"/>
        <w:ind w:left="759"/>
        <w:rPr>
          <w:sz w:val="20"/>
          <w:szCs w:val="20"/>
        </w:rPr>
      </w:pPr>
      <w:r>
        <w:rPr>
          <w:spacing w:val="3"/>
          <w:sz w:val="20"/>
          <w:szCs w:val="20"/>
        </w:rPr>
        <w:t>●网络安全方面。虚拟化技术的引入使得传统的基于物理服务器为单元划分网络安全域的</w:t>
      </w:r>
    </w:p>
    <w:p w14:paraId="59A6A726">
      <w:pPr>
        <w:spacing w:line="219" w:lineRule="auto"/>
        <w:rPr>
          <w:sz w:val="20"/>
          <w:szCs w:val="20"/>
        </w:rPr>
        <w:sectPr>
          <w:pgSz w:w="10310" w:h="13350"/>
          <w:pgMar w:top="400" w:right="1070" w:bottom="400" w:left="470" w:header="0" w:footer="0" w:gutter="0"/>
          <w:cols w:space="720" w:num="1"/>
        </w:sectPr>
      </w:pPr>
    </w:p>
    <w:p w14:paraId="563420AE">
      <w:pPr>
        <w:pStyle w:val="2"/>
        <w:spacing w:before="87" w:line="220" w:lineRule="auto"/>
        <w:jc w:val="right"/>
        <w:rPr>
          <w:rFonts w:ascii="Times New Roman" w:hAnsi="Times New Roman" w:eastAsia="Times New Roman" w:cs="Times New Roman"/>
          <w:sz w:val="20"/>
          <w:szCs w:val="20"/>
        </w:rPr>
      </w:pPr>
      <w:bookmarkStart w:id="542" w:name="bookmark529"/>
      <w:bookmarkEnd w:id="542"/>
      <w:r>
        <w:rPr>
          <w:spacing w:val="-3"/>
          <w:sz w:val="20"/>
          <w:szCs w:val="20"/>
        </w:rPr>
        <w:t>第3章 信息网络系统</w:t>
      </w:r>
      <w:r>
        <w:rPr>
          <w:spacing w:val="4"/>
          <w:sz w:val="20"/>
          <w:szCs w:val="20"/>
        </w:rPr>
        <w:t xml:space="preserve">      </w:t>
      </w:r>
      <w:r>
        <w:rPr>
          <w:rFonts w:ascii="Times New Roman" w:hAnsi="Times New Roman" w:eastAsia="Times New Roman" w:cs="Times New Roman"/>
          <w:spacing w:val="-3"/>
          <w:position w:val="-2"/>
          <w:sz w:val="20"/>
          <w:szCs w:val="20"/>
        </w:rPr>
        <w:t>115</w:t>
      </w:r>
    </w:p>
    <w:p w14:paraId="3C55ADBF">
      <w:pPr>
        <w:spacing w:line="268" w:lineRule="auto"/>
        <w:rPr>
          <w:rFonts w:ascii="Arial"/>
          <w:sz w:val="21"/>
        </w:rPr>
      </w:pPr>
    </w:p>
    <w:p w14:paraId="7C555B74">
      <w:pPr>
        <w:pStyle w:val="2"/>
        <w:spacing w:before="65" w:line="298" w:lineRule="auto"/>
        <w:ind w:left="660" w:right="327"/>
        <w:jc w:val="both"/>
        <w:rPr>
          <w:sz w:val="20"/>
          <w:szCs w:val="20"/>
        </w:rPr>
      </w:pPr>
      <w:r>
        <w:rPr>
          <w:spacing w:val="1"/>
          <w:sz w:val="20"/>
          <w:szCs w:val="20"/>
        </w:rPr>
        <w:t>方法发生了改变，与传统的基于安全域隔离的模型不同，云计算模型不再有物</w:t>
      </w:r>
      <w:r>
        <w:rPr>
          <w:sz w:val="20"/>
          <w:szCs w:val="20"/>
        </w:rPr>
        <w:t xml:space="preserve">理机的隔 </w:t>
      </w:r>
      <w:r>
        <w:rPr>
          <w:spacing w:val="1"/>
          <w:sz w:val="20"/>
          <w:szCs w:val="20"/>
        </w:rPr>
        <w:t>离，测试虚拟机可能与生产虚拟机在同一台物理机上，相应的网络</w:t>
      </w:r>
      <w:r>
        <w:rPr>
          <w:sz w:val="20"/>
          <w:szCs w:val="20"/>
        </w:rPr>
        <w:t xml:space="preserve">隔离也不存在。除传 </w:t>
      </w:r>
      <w:r>
        <w:rPr>
          <w:spacing w:val="1"/>
          <w:sz w:val="20"/>
          <w:szCs w:val="20"/>
        </w:rPr>
        <w:t>统的安全问题之外，云化业务系统在网络层上还需要重点考虑如何设置虚拟安全域，包</w:t>
      </w:r>
      <w:r>
        <w:rPr>
          <w:spacing w:val="10"/>
          <w:sz w:val="20"/>
          <w:szCs w:val="20"/>
        </w:rPr>
        <w:t xml:space="preserve"> </w:t>
      </w:r>
      <w:r>
        <w:rPr>
          <w:spacing w:val="-1"/>
          <w:sz w:val="20"/>
          <w:szCs w:val="20"/>
        </w:rPr>
        <w:t>括虚拟安全域划分方式、虚拟安全域访问控制，以及相应的虚拟防火墙部署和配置等。</w:t>
      </w:r>
    </w:p>
    <w:p w14:paraId="24AEFCB4">
      <w:pPr>
        <w:pStyle w:val="2"/>
        <w:spacing w:before="10" w:line="270" w:lineRule="auto"/>
        <w:ind w:left="659" w:right="320" w:hanging="260"/>
        <w:rPr>
          <w:sz w:val="20"/>
          <w:szCs w:val="20"/>
        </w:rPr>
      </w:pPr>
      <w:r>
        <w:rPr>
          <w:spacing w:val="8"/>
          <w:sz w:val="20"/>
          <w:szCs w:val="20"/>
        </w:rPr>
        <w:t>●数据安全方面。在虚拟化环境中，由于云计算平台的多租户特性，数据安全将更为复</w:t>
      </w:r>
      <w:r>
        <w:rPr>
          <w:spacing w:val="4"/>
          <w:sz w:val="20"/>
          <w:szCs w:val="20"/>
        </w:rPr>
        <w:t xml:space="preserve"> </w:t>
      </w:r>
      <w:r>
        <w:rPr>
          <w:spacing w:val="1"/>
          <w:sz w:val="20"/>
          <w:szCs w:val="20"/>
        </w:rPr>
        <w:t>杂。除了传统业务平台的机密数据保护和数据备份恢复之外，还需要考虑虚拟环境中的</w:t>
      </w:r>
      <w:r>
        <w:rPr>
          <w:spacing w:val="16"/>
          <w:sz w:val="20"/>
          <w:szCs w:val="20"/>
        </w:rPr>
        <w:t xml:space="preserve"> </w:t>
      </w:r>
      <w:r>
        <w:rPr>
          <w:spacing w:val="-2"/>
          <w:sz w:val="20"/>
          <w:szCs w:val="20"/>
        </w:rPr>
        <w:t>用户数据隔离、镜像文件存储、残留数据处理等安全问题。</w:t>
      </w:r>
    </w:p>
    <w:p w14:paraId="0264DE93">
      <w:pPr>
        <w:pStyle w:val="2"/>
        <w:spacing w:before="91" w:line="267" w:lineRule="auto"/>
        <w:ind w:left="659" w:right="324" w:hanging="260"/>
        <w:rPr>
          <w:sz w:val="20"/>
          <w:szCs w:val="20"/>
        </w:rPr>
      </w:pPr>
      <w:r>
        <w:rPr>
          <w:spacing w:val="8"/>
          <w:sz w:val="20"/>
          <w:szCs w:val="20"/>
        </w:rPr>
        <w:t xml:space="preserve">●  </w:t>
      </w:r>
      <w:r>
        <w:rPr>
          <w:sz w:val="20"/>
          <w:szCs w:val="20"/>
        </w:rPr>
        <w:t>DDoS</w:t>
      </w:r>
      <w:r>
        <w:rPr>
          <w:spacing w:val="8"/>
          <w:sz w:val="20"/>
          <w:szCs w:val="20"/>
        </w:rPr>
        <w:t>攻击。云计算环境中，</w:t>
      </w:r>
      <w:r>
        <w:rPr>
          <w:spacing w:val="-16"/>
          <w:sz w:val="20"/>
          <w:szCs w:val="20"/>
        </w:rPr>
        <w:t xml:space="preserve"> </w:t>
      </w:r>
      <w:r>
        <w:rPr>
          <w:sz w:val="20"/>
          <w:szCs w:val="20"/>
        </w:rPr>
        <w:t>DDoS</w:t>
      </w:r>
      <w:r>
        <w:rPr>
          <w:spacing w:val="54"/>
          <w:sz w:val="20"/>
          <w:szCs w:val="20"/>
        </w:rPr>
        <w:t xml:space="preserve"> </w:t>
      </w:r>
      <w:r>
        <w:rPr>
          <w:spacing w:val="8"/>
          <w:sz w:val="20"/>
          <w:szCs w:val="20"/>
        </w:rPr>
        <w:t>攻击将更加集中化和多样化，除了传统的网络层</w:t>
      </w:r>
      <w:r>
        <w:rPr>
          <w:sz w:val="20"/>
          <w:szCs w:val="20"/>
        </w:rPr>
        <w:t xml:space="preserve"> </w:t>
      </w:r>
      <w:r>
        <w:rPr>
          <w:rFonts w:ascii="Times New Roman" w:hAnsi="Times New Roman" w:eastAsia="Times New Roman" w:cs="Times New Roman"/>
          <w:sz w:val="20"/>
          <w:szCs w:val="20"/>
        </w:rPr>
        <w:t>DDoS</w:t>
      </w:r>
      <w:r>
        <w:rPr>
          <w:rFonts w:ascii="Times New Roman" w:hAnsi="Times New Roman" w:eastAsia="Times New Roman" w:cs="Times New Roman"/>
          <w:spacing w:val="-7"/>
          <w:sz w:val="20"/>
          <w:szCs w:val="20"/>
        </w:rPr>
        <w:t xml:space="preserve"> </w:t>
      </w:r>
      <w:r>
        <w:rPr>
          <w:spacing w:val="5"/>
          <w:sz w:val="20"/>
          <w:szCs w:val="20"/>
        </w:rPr>
        <w:t>攻</w:t>
      </w:r>
      <w:r>
        <w:rPr>
          <w:spacing w:val="-41"/>
          <w:sz w:val="20"/>
          <w:szCs w:val="20"/>
        </w:rPr>
        <w:t xml:space="preserve"> </w:t>
      </w:r>
      <w:r>
        <w:rPr>
          <w:spacing w:val="5"/>
          <w:sz w:val="20"/>
          <w:szCs w:val="20"/>
        </w:rPr>
        <w:t>击 (</w:t>
      </w:r>
      <w:r>
        <w:rPr>
          <w:spacing w:val="-38"/>
          <w:sz w:val="20"/>
          <w:szCs w:val="20"/>
        </w:rPr>
        <w:t xml:space="preserve"> </w:t>
      </w:r>
      <w:r>
        <w:rPr>
          <w:spacing w:val="5"/>
          <w:sz w:val="20"/>
          <w:szCs w:val="20"/>
        </w:rPr>
        <w:t>如</w:t>
      </w:r>
      <w:r>
        <w:rPr>
          <w:rFonts w:ascii="Times New Roman" w:hAnsi="Times New Roman" w:eastAsia="Times New Roman" w:cs="Times New Roman"/>
          <w:sz w:val="20"/>
          <w:szCs w:val="20"/>
        </w:rPr>
        <w:t>Syn</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Flooding</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2"/>
          <w:sz w:val="20"/>
          <w:szCs w:val="20"/>
        </w:rPr>
        <w:t xml:space="preserve"> </w:t>
      </w:r>
      <w:r>
        <w:rPr>
          <w:spacing w:val="5"/>
          <w:sz w:val="20"/>
          <w:szCs w:val="20"/>
        </w:rPr>
        <w:t>之外，还需要着重关注近年来成为趋势的应用层</w:t>
      </w:r>
      <w:r>
        <w:rPr>
          <w:rFonts w:ascii="Times New Roman" w:hAnsi="Times New Roman" w:eastAsia="Times New Roman" w:cs="Times New Roman"/>
          <w:sz w:val="20"/>
          <w:szCs w:val="20"/>
        </w:rPr>
        <w:t xml:space="preserve">DDoS  </w:t>
      </w:r>
      <w:r>
        <w:rPr>
          <w:spacing w:val="1"/>
          <w:sz w:val="20"/>
          <w:szCs w:val="20"/>
        </w:rPr>
        <w:t>攻击和云计算环境中特有的</w:t>
      </w:r>
      <w:r>
        <w:rPr>
          <w:rFonts w:ascii="Times New Roman" w:hAnsi="Times New Roman" w:eastAsia="Times New Roman" w:cs="Times New Roman"/>
          <w:sz w:val="20"/>
          <w:szCs w:val="20"/>
        </w:rPr>
        <w:t>EDoS</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Economic</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DoS</w:t>
      </w:r>
      <w:r>
        <w:rPr>
          <w:rFonts w:ascii="Times New Roman" w:hAnsi="Times New Roman" w:eastAsia="Times New Roman" w:cs="Times New Roman"/>
          <w:spacing w:val="1"/>
          <w:sz w:val="20"/>
          <w:szCs w:val="20"/>
        </w:rPr>
        <w:t xml:space="preserve">) </w:t>
      </w:r>
      <w:r>
        <w:rPr>
          <w:spacing w:val="1"/>
          <w:sz w:val="20"/>
          <w:szCs w:val="20"/>
        </w:rPr>
        <w:t>攻击。</w:t>
      </w:r>
    </w:p>
    <w:p w14:paraId="65121E76">
      <w:pPr>
        <w:pStyle w:val="2"/>
        <w:spacing w:before="103" w:line="272" w:lineRule="auto"/>
        <w:ind w:right="328" w:firstLine="399"/>
        <w:rPr>
          <w:sz w:val="20"/>
          <w:szCs w:val="20"/>
        </w:rPr>
      </w:pPr>
      <w:r>
        <w:rPr>
          <w:spacing w:val="3"/>
          <w:sz w:val="20"/>
          <w:szCs w:val="20"/>
        </w:rPr>
        <w:t>云化业务平台在物理安全、应用安全、安全管理方面与传统的业</w:t>
      </w:r>
      <w:r>
        <w:rPr>
          <w:spacing w:val="2"/>
          <w:sz w:val="20"/>
          <w:szCs w:val="20"/>
        </w:rPr>
        <w:t>务平台安全需求和处置方</w:t>
      </w:r>
      <w:r>
        <w:rPr>
          <w:sz w:val="20"/>
          <w:szCs w:val="20"/>
        </w:rPr>
        <w:t xml:space="preserve"> </w:t>
      </w:r>
      <w:r>
        <w:rPr>
          <w:spacing w:val="-6"/>
          <w:sz w:val="20"/>
          <w:szCs w:val="20"/>
        </w:rPr>
        <w:t>法基本相同。</w:t>
      </w:r>
    </w:p>
    <w:p w14:paraId="27B25CA6">
      <w:pPr>
        <w:spacing w:line="294" w:lineRule="auto"/>
        <w:rPr>
          <w:rFonts w:ascii="Arial"/>
          <w:sz w:val="21"/>
        </w:rPr>
      </w:pPr>
    </w:p>
    <w:p w14:paraId="1685C1C3">
      <w:pPr>
        <w:pStyle w:val="2"/>
        <w:spacing w:before="92" w:line="221" w:lineRule="auto"/>
        <w:ind w:left="4"/>
        <w:rPr>
          <w:rFonts w:ascii="黑体" w:hAnsi="黑体" w:eastAsia="黑体" w:cs="黑体"/>
          <w:sz w:val="28"/>
          <w:szCs w:val="28"/>
        </w:rPr>
      </w:pPr>
      <w:r>
        <w:rPr>
          <w:b/>
          <w:bCs/>
          <w:color w:val="0074DB"/>
          <w:spacing w:val="-7"/>
          <w:sz w:val="28"/>
          <w:szCs w:val="28"/>
        </w:rPr>
        <w:t>3.6</w:t>
      </w:r>
      <w:r>
        <w:rPr>
          <w:color w:val="0074DB"/>
          <w:spacing w:val="126"/>
          <w:sz w:val="28"/>
          <w:szCs w:val="28"/>
        </w:rPr>
        <w:t xml:space="preserve"> </w:t>
      </w:r>
      <w:r>
        <w:rPr>
          <w:rFonts w:ascii="黑体" w:hAnsi="黑体" w:eastAsia="黑体" w:cs="黑体"/>
          <w:b/>
          <w:bCs/>
          <w:color w:val="0074DB"/>
          <w:spacing w:val="-7"/>
          <w:sz w:val="28"/>
          <w:szCs w:val="28"/>
        </w:rPr>
        <w:t>网络管理和维护平台</w:t>
      </w:r>
    </w:p>
    <w:p w14:paraId="42777432">
      <w:pPr>
        <w:pStyle w:val="2"/>
        <w:spacing w:before="270" w:line="279" w:lineRule="auto"/>
        <w:ind w:right="256" w:firstLine="399"/>
        <w:jc w:val="both"/>
        <w:rPr>
          <w:sz w:val="20"/>
          <w:szCs w:val="20"/>
        </w:rPr>
      </w:pPr>
      <w:r>
        <w:rPr>
          <w:spacing w:val="3"/>
          <w:sz w:val="20"/>
          <w:szCs w:val="20"/>
        </w:rPr>
        <w:t>随着网络规模的不断扩大，需要建设专门的网络管理和维护系统来管</w:t>
      </w:r>
      <w:r>
        <w:rPr>
          <w:spacing w:val="2"/>
          <w:sz w:val="20"/>
          <w:szCs w:val="20"/>
        </w:rPr>
        <w:t>理、监测和控制网络</w:t>
      </w:r>
      <w:r>
        <w:rPr>
          <w:sz w:val="20"/>
          <w:szCs w:val="20"/>
        </w:rPr>
        <w:t xml:space="preserve"> 的运行。一方面，通过网络业务流量、流向等监</w:t>
      </w:r>
      <w:r>
        <w:rPr>
          <w:spacing w:val="-1"/>
          <w:sz w:val="20"/>
          <w:szCs w:val="20"/>
        </w:rPr>
        <w:t>测，可以有效优化和利用网络资源；另一方面，</w:t>
      </w:r>
      <w:r>
        <w:rPr>
          <w:sz w:val="20"/>
          <w:szCs w:val="20"/>
        </w:rPr>
        <w:t xml:space="preserve"> </w:t>
      </w:r>
      <w:r>
        <w:rPr>
          <w:spacing w:val="3"/>
          <w:sz w:val="20"/>
          <w:szCs w:val="20"/>
        </w:rPr>
        <w:t>在网络发生故障时能够利用相关技术手段及时检测、排查和</w:t>
      </w:r>
      <w:r>
        <w:rPr>
          <w:spacing w:val="2"/>
          <w:sz w:val="20"/>
          <w:szCs w:val="20"/>
        </w:rPr>
        <w:t>修复故障，甚至要求在故障未发生</w:t>
      </w:r>
      <w:r>
        <w:rPr>
          <w:sz w:val="20"/>
          <w:szCs w:val="20"/>
        </w:rPr>
        <w:t xml:space="preserve"> </w:t>
      </w:r>
      <w:r>
        <w:rPr>
          <w:spacing w:val="-3"/>
          <w:sz w:val="20"/>
          <w:szCs w:val="20"/>
        </w:rPr>
        <w:t>前就进行故障预警，以保障信息网络系统的正常运行。</w:t>
      </w:r>
    </w:p>
    <w:p w14:paraId="76FC9B77">
      <w:pPr>
        <w:pStyle w:val="2"/>
        <w:spacing w:before="114" w:line="221" w:lineRule="auto"/>
        <w:ind w:left="402"/>
        <w:rPr>
          <w:rFonts w:ascii="黑体" w:hAnsi="黑体" w:eastAsia="黑体" w:cs="黑体"/>
          <w:sz w:val="20"/>
          <w:szCs w:val="20"/>
        </w:rPr>
      </w:pPr>
      <w:r>
        <w:rPr>
          <w:b/>
          <w:bCs/>
          <w:color w:val="0076D1"/>
          <w:spacing w:val="-3"/>
          <w:sz w:val="20"/>
          <w:szCs w:val="20"/>
        </w:rPr>
        <w:t>1.</w:t>
      </w:r>
      <w:r>
        <w:rPr>
          <w:rFonts w:ascii="黑体" w:hAnsi="黑体" w:eastAsia="黑体" w:cs="黑体"/>
          <w:b/>
          <w:bCs/>
          <w:color w:val="0076D1"/>
          <w:spacing w:val="-3"/>
          <w:sz w:val="20"/>
          <w:szCs w:val="20"/>
        </w:rPr>
        <w:t>网络管理的五大功能</w:t>
      </w:r>
    </w:p>
    <w:p w14:paraId="04CC992B">
      <w:pPr>
        <w:pStyle w:val="2"/>
        <w:spacing w:before="164" w:line="264" w:lineRule="auto"/>
        <w:ind w:right="325" w:firstLine="399"/>
        <w:rPr>
          <w:sz w:val="20"/>
          <w:szCs w:val="20"/>
        </w:rPr>
      </w:pPr>
      <w:r>
        <w:rPr>
          <w:spacing w:val="1"/>
          <w:sz w:val="20"/>
          <w:szCs w:val="20"/>
        </w:rPr>
        <w:t>国际标准化组织(</w:t>
      </w:r>
      <w:r>
        <w:rPr>
          <w:sz w:val="20"/>
          <w:szCs w:val="20"/>
        </w:rPr>
        <w:t>ISO</w:t>
      </w:r>
      <w:r>
        <w:rPr>
          <w:spacing w:val="1"/>
          <w:sz w:val="20"/>
          <w:szCs w:val="20"/>
        </w:rPr>
        <w:t>)</w:t>
      </w:r>
      <w:r>
        <w:rPr>
          <w:spacing w:val="84"/>
          <w:sz w:val="20"/>
          <w:szCs w:val="20"/>
        </w:rPr>
        <w:t xml:space="preserve"> </w:t>
      </w:r>
      <w:r>
        <w:rPr>
          <w:spacing w:val="1"/>
          <w:sz w:val="20"/>
          <w:szCs w:val="20"/>
        </w:rPr>
        <w:t>定义了网络管理的五大功能，分别是故</w:t>
      </w:r>
      <w:r>
        <w:rPr>
          <w:sz w:val="20"/>
          <w:szCs w:val="20"/>
        </w:rPr>
        <w:t xml:space="preserve">障管理、配置管理、性能管 </w:t>
      </w:r>
      <w:r>
        <w:rPr>
          <w:spacing w:val="-3"/>
          <w:sz w:val="20"/>
          <w:szCs w:val="20"/>
        </w:rPr>
        <w:t>理、计费管理和安全管理。</w:t>
      </w:r>
    </w:p>
    <w:p w14:paraId="254AE48D">
      <w:pPr>
        <w:pStyle w:val="2"/>
        <w:spacing w:before="27" w:line="263" w:lineRule="auto"/>
        <w:ind w:right="320" w:firstLine="399"/>
        <w:rPr>
          <w:sz w:val="20"/>
          <w:szCs w:val="20"/>
        </w:rPr>
      </w:pPr>
      <w:r>
        <w:rPr>
          <w:spacing w:val="5"/>
          <w:sz w:val="20"/>
          <w:szCs w:val="20"/>
        </w:rPr>
        <w:t>(1)故障管理。通过收集网络中各类设备告警信息，通过各种技术手段，进行网络故障的</w:t>
      </w:r>
      <w:r>
        <w:rPr>
          <w:spacing w:val="14"/>
          <w:sz w:val="20"/>
          <w:szCs w:val="20"/>
        </w:rPr>
        <w:t xml:space="preserve"> </w:t>
      </w:r>
      <w:r>
        <w:rPr>
          <w:spacing w:val="-2"/>
          <w:sz w:val="20"/>
          <w:szCs w:val="20"/>
        </w:rPr>
        <w:t>判定和定位，为快速完成故障排除和网络恢复打下基础。</w:t>
      </w:r>
    </w:p>
    <w:p w14:paraId="1971BDCF">
      <w:pPr>
        <w:pStyle w:val="2"/>
        <w:spacing w:before="73" w:line="248" w:lineRule="auto"/>
        <w:ind w:right="327" w:firstLine="399"/>
        <w:rPr>
          <w:sz w:val="20"/>
          <w:szCs w:val="20"/>
        </w:rPr>
      </w:pPr>
      <w:r>
        <w:rPr>
          <w:spacing w:val="5"/>
          <w:sz w:val="20"/>
          <w:szCs w:val="20"/>
        </w:rPr>
        <w:t>(2)配置管理。配置网络以使其提供网络服务，同时采集网络中相关设备的配置数据，对</w:t>
      </w:r>
      <w:r>
        <w:rPr>
          <w:spacing w:val="7"/>
          <w:sz w:val="20"/>
          <w:szCs w:val="20"/>
        </w:rPr>
        <w:t xml:space="preserve"> </w:t>
      </w:r>
      <w:r>
        <w:rPr>
          <w:spacing w:val="-2"/>
          <w:sz w:val="20"/>
          <w:szCs w:val="20"/>
        </w:rPr>
        <w:t>其进行管理和分析，以便使网络整体运行状态达到最优。</w:t>
      </w:r>
    </w:p>
    <w:p w14:paraId="339AD83C">
      <w:pPr>
        <w:pStyle w:val="2"/>
        <w:spacing w:before="71" w:line="253" w:lineRule="auto"/>
        <w:ind w:right="327" w:firstLine="399"/>
        <w:rPr>
          <w:sz w:val="20"/>
          <w:szCs w:val="20"/>
        </w:rPr>
      </w:pPr>
      <w:r>
        <w:rPr>
          <w:spacing w:val="5"/>
          <w:sz w:val="20"/>
          <w:szCs w:val="20"/>
        </w:rPr>
        <w:t>(3)性能管理。通过对网络各类性能数据的采集、分析和处理，更好地了解整个网络和其</w:t>
      </w:r>
      <w:r>
        <w:rPr>
          <w:spacing w:val="7"/>
          <w:sz w:val="20"/>
          <w:szCs w:val="20"/>
        </w:rPr>
        <w:t xml:space="preserve"> </w:t>
      </w:r>
      <w:r>
        <w:rPr>
          <w:spacing w:val="-6"/>
          <w:sz w:val="20"/>
          <w:szCs w:val="20"/>
        </w:rPr>
        <w:t>中设备的运行状况。</w:t>
      </w:r>
    </w:p>
    <w:p w14:paraId="49DF33AA">
      <w:pPr>
        <w:pStyle w:val="2"/>
        <w:spacing w:before="63" w:line="280" w:lineRule="auto"/>
        <w:ind w:right="319" w:firstLine="399"/>
        <w:rPr>
          <w:sz w:val="16"/>
          <w:szCs w:val="16"/>
        </w:rPr>
      </w:pPr>
      <w:r>
        <w:rPr>
          <w:spacing w:val="5"/>
          <w:sz w:val="20"/>
          <w:szCs w:val="20"/>
        </w:rPr>
        <w:t>(4)计费管理。记录各类网络业务资源的使用情况，目的是控制和监测网络操作的费用和</w:t>
      </w:r>
      <w:r>
        <w:rPr>
          <w:spacing w:val="15"/>
          <w:sz w:val="20"/>
          <w:szCs w:val="20"/>
        </w:rPr>
        <w:t xml:space="preserve"> </w:t>
      </w:r>
      <w:r>
        <w:rPr>
          <w:spacing w:val="-5"/>
          <w:sz w:val="16"/>
          <w:szCs w:val="16"/>
        </w:rPr>
        <w:t>代</w:t>
      </w:r>
      <w:r>
        <w:rPr>
          <w:spacing w:val="-18"/>
          <w:sz w:val="16"/>
          <w:szCs w:val="16"/>
        </w:rPr>
        <w:t xml:space="preserve"> </w:t>
      </w:r>
      <w:r>
        <w:rPr>
          <w:spacing w:val="-5"/>
          <w:sz w:val="16"/>
          <w:szCs w:val="16"/>
        </w:rPr>
        <w:t>价</w:t>
      </w:r>
      <w:r>
        <w:rPr>
          <w:spacing w:val="-25"/>
          <w:sz w:val="16"/>
          <w:szCs w:val="16"/>
        </w:rPr>
        <w:t xml:space="preserve"> </w:t>
      </w:r>
      <w:r>
        <w:rPr>
          <w:spacing w:val="-5"/>
          <w:sz w:val="16"/>
          <w:szCs w:val="16"/>
        </w:rPr>
        <w:t>。</w:t>
      </w:r>
    </w:p>
    <w:p w14:paraId="38AAD53A">
      <w:pPr>
        <w:pStyle w:val="2"/>
        <w:spacing w:before="73" w:line="254" w:lineRule="auto"/>
        <w:ind w:right="307" w:firstLine="399"/>
        <w:rPr>
          <w:sz w:val="20"/>
          <w:szCs w:val="20"/>
        </w:rPr>
      </w:pPr>
      <w:r>
        <w:rPr>
          <w:spacing w:val="6"/>
          <w:sz w:val="20"/>
          <w:szCs w:val="20"/>
        </w:rPr>
        <w:t>(5)安全管理。提供网络中各类设备和网络管理层面的安全性</w:t>
      </w:r>
      <w:r>
        <w:rPr>
          <w:spacing w:val="5"/>
          <w:sz w:val="20"/>
          <w:szCs w:val="20"/>
        </w:rPr>
        <w:t>管理功能，目的是保障网络</w:t>
      </w:r>
      <w:r>
        <w:rPr>
          <w:sz w:val="20"/>
          <w:szCs w:val="20"/>
        </w:rPr>
        <w:t xml:space="preserve"> </w:t>
      </w:r>
      <w:r>
        <w:rPr>
          <w:spacing w:val="-7"/>
          <w:sz w:val="20"/>
          <w:szCs w:val="20"/>
        </w:rPr>
        <w:t>安全运行。</w:t>
      </w:r>
    </w:p>
    <w:p w14:paraId="27F1AD2D">
      <w:pPr>
        <w:pStyle w:val="2"/>
        <w:spacing w:before="146" w:line="221" w:lineRule="auto"/>
        <w:ind w:left="402"/>
        <w:rPr>
          <w:rFonts w:ascii="黑体" w:hAnsi="黑体" w:eastAsia="黑体" w:cs="黑体"/>
          <w:sz w:val="20"/>
          <w:szCs w:val="20"/>
        </w:rPr>
      </w:pPr>
      <w:r>
        <w:rPr>
          <w:b/>
          <w:bCs/>
          <w:color w:val="0079D7"/>
          <w:spacing w:val="-3"/>
          <w:sz w:val="20"/>
          <w:szCs w:val="20"/>
        </w:rPr>
        <w:t>2.</w:t>
      </w:r>
      <w:r>
        <w:rPr>
          <w:rFonts w:ascii="黑体" w:hAnsi="黑体" w:eastAsia="黑体" w:cs="黑体"/>
          <w:b/>
          <w:bCs/>
          <w:color w:val="0079D7"/>
          <w:spacing w:val="-3"/>
          <w:sz w:val="20"/>
          <w:szCs w:val="20"/>
        </w:rPr>
        <w:t>网络管理和维护系统</w:t>
      </w:r>
    </w:p>
    <w:p w14:paraId="4C85BF2B">
      <w:pPr>
        <w:pStyle w:val="2"/>
        <w:spacing w:before="124" w:line="282" w:lineRule="auto"/>
        <w:ind w:right="312" w:firstLine="399"/>
        <w:rPr>
          <w:sz w:val="20"/>
          <w:szCs w:val="20"/>
        </w:rPr>
      </w:pPr>
      <w:r>
        <w:rPr>
          <w:spacing w:val="4"/>
          <w:sz w:val="20"/>
          <w:szCs w:val="20"/>
        </w:rPr>
        <w:t>现代信息网络系统中，</w:t>
      </w:r>
      <w:r>
        <w:rPr>
          <w:spacing w:val="-34"/>
          <w:sz w:val="20"/>
          <w:szCs w:val="20"/>
        </w:rPr>
        <w:t xml:space="preserve"> </w:t>
      </w:r>
      <w:r>
        <w:rPr>
          <w:spacing w:val="4"/>
          <w:sz w:val="20"/>
          <w:szCs w:val="20"/>
        </w:rPr>
        <w:t>一般会根据网络规模、网络性质(自建自用的局域网，或向外界用</w:t>
      </w:r>
      <w:r>
        <w:rPr>
          <w:sz w:val="20"/>
          <w:szCs w:val="20"/>
        </w:rPr>
        <w:t xml:space="preserve"> 户提供业务服务运营的运营商网络)、网络管理维护运营需求来建设不同规模架构和功能定位的</w:t>
      </w:r>
    </w:p>
    <w:p w14:paraId="55CAABE0">
      <w:pPr>
        <w:spacing w:line="282" w:lineRule="auto"/>
        <w:rPr>
          <w:sz w:val="20"/>
          <w:szCs w:val="20"/>
        </w:rPr>
        <w:sectPr>
          <w:pgSz w:w="10290" w:h="13270"/>
          <w:pgMar w:top="400" w:right="543" w:bottom="400" w:left="1109" w:header="0" w:footer="0" w:gutter="0"/>
          <w:cols w:space="720" w:num="1"/>
        </w:sectPr>
      </w:pPr>
    </w:p>
    <w:p w14:paraId="592485E5">
      <w:pPr>
        <w:pStyle w:val="2"/>
        <w:spacing w:before="78" w:line="219" w:lineRule="auto"/>
        <w:rPr>
          <w:sz w:val="20"/>
          <w:szCs w:val="20"/>
        </w:rPr>
      </w:pPr>
      <w:r>
        <w:rPr>
          <w:rFonts w:ascii="Times New Roman" w:hAnsi="Times New Roman" w:eastAsia="Times New Roman" w:cs="Times New Roman"/>
          <w:position w:val="1"/>
          <w:sz w:val="20"/>
          <w:szCs w:val="20"/>
        </w:rPr>
        <w:t xml:space="preserve">116             </w:t>
      </w:r>
      <w:r>
        <w:rPr>
          <w:sz w:val="20"/>
          <w:szCs w:val="20"/>
        </w:rPr>
        <w:t>信息系统监</w:t>
      </w:r>
      <w:r>
        <w:rPr>
          <w:spacing w:val="-1"/>
          <w:sz w:val="20"/>
          <w:szCs w:val="20"/>
        </w:rPr>
        <w:t>理师教程(第2版)</w:t>
      </w:r>
    </w:p>
    <w:p w14:paraId="371F104E">
      <w:pPr>
        <w:spacing w:line="295" w:lineRule="auto"/>
        <w:rPr>
          <w:rFonts w:ascii="Arial"/>
          <w:sz w:val="21"/>
        </w:rPr>
      </w:pPr>
    </w:p>
    <w:p w14:paraId="3C5900FC">
      <w:pPr>
        <w:pStyle w:val="2"/>
        <w:spacing w:before="65" w:line="219" w:lineRule="auto"/>
        <w:ind w:left="349"/>
        <w:rPr>
          <w:sz w:val="20"/>
          <w:szCs w:val="20"/>
        </w:rPr>
      </w:pPr>
      <w:r>
        <w:rPr>
          <w:spacing w:val="-7"/>
          <w:sz w:val="20"/>
          <w:szCs w:val="20"/>
        </w:rPr>
        <w:t>网络管理系统。</w:t>
      </w:r>
    </w:p>
    <w:p w14:paraId="789400C9">
      <w:pPr>
        <w:pStyle w:val="2"/>
        <w:spacing w:before="92" w:line="219" w:lineRule="auto"/>
        <w:ind w:left="759"/>
        <w:rPr>
          <w:sz w:val="20"/>
          <w:szCs w:val="20"/>
        </w:rPr>
      </w:pPr>
      <w:r>
        <w:rPr>
          <w:spacing w:val="2"/>
          <w:sz w:val="20"/>
          <w:szCs w:val="20"/>
        </w:rPr>
        <w:t>网络管理系统的功能体系结构从下至上可以分为网元/网络层、管理应用层和表示层。</w:t>
      </w:r>
    </w:p>
    <w:p w14:paraId="5201C75F">
      <w:pPr>
        <w:pStyle w:val="2"/>
        <w:spacing w:before="51" w:line="279" w:lineRule="auto"/>
        <w:ind w:left="349" w:right="49" w:firstLine="410"/>
        <w:rPr>
          <w:sz w:val="20"/>
          <w:szCs w:val="20"/>
        </w:rPr>
      </w:pPr>
      <w:r>
        <w:rPr>
          <w:spacing w:val="8"/>
          <w:sz w:val="20"/>
          <w:szCs w:val="20"/>
        </w:rPr>
        <w:t>(1)网元/网络层。网管系统的最底层，包括被管理的所有网元设备和网络系统。被管理</w:t>
      </w:r>
      <w:r>
        <w:rPr>
          <w:spacing w:val="15"/>
          <w:sz w:val="20"/>
          <w:szCs w:val="20"/>
        </w:rPr>
        <w:t xml:space="preserve"> </w:t>
      </w:r>
      <w:r>
        <w:rPr>
          <w:spacing w:val="8"/>
          <w:sz w:val="20"/>
          <w:szCs w:val="20"/>
        </w:rPr>
        <w:t>的设备会按照一定的规范定义自身的管理信息，包括各种操作信息、告警信息、设备状态信</w:t>
      </w:r>
      <w:r>
        <w:rPr>
          <w:spacing w:val="12"/>
          <w:sz w:val="20"/>
          <w:szCs w:val="20"/>
        </w:rPr>
        <w:t xml:space="preserve"> </w:t>
      </w:r>
      <w:bookmarkStart w:id="543" w:name="bookmark530"/>
      <w:bookmarkEnd w:id="543"/>
      <w:r>
        <w:rPr>
          <w:spacing w:val="6"/>
          <w:sz w:val="20"/>
          <w:szCs w:val="20"/>
        </w:rPr>
        <w:t>息等。最著名的是</w:t>
      </w:r>
      <w:r>
        <w:rPr>
          <w:rFonts w:ascii="Times New Roman" w:hAnsi="Times New Roman" w:eastAsia="Times New Roman" w:cs="Times New Roman"/>
          <w:sz w:val="20"/>
          <w:szCs w:val="20"/>
        </w:rPr>
        <w:t>TCP</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39"/>
          <w:w w:val="101"/>
          <w:sz w:val="20"/>
          <w:szCs w:val="20"/>
        </w:rPr>
        <w:t xml:space="preserve"> </w:t>
      </w:r>
      <w:r>
        <w:rPr>
          <w:spacing w:val="6"/>
          <w:sz w:val="20"/>
          <w:szCs w:val="20"/>
        </w:rPr>
        <w:t>网络管理协议标准框架定义的管理信息库</w:t>
      </w:r>
      <w:r>
        <w:rPr>
          <w:spacing w:val="-54"/>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Management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Information  Base</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MIB</w:t>
      </w:r>
      <w:r>
        <w:rPr>
          <w:rFonts w:ascii="Times New Roman" w:hAnsi="Times New Roman" w:eastAsia="Times New Roman" w:cs="Times New Roman"/>
          <w:spacing w:val="6"/>
          <w:sz w:val="20"/>
          <w:szCs w:val="20"/>
        </w:rPr>
        <w:t xml:space="preserve">)     </w:t>
      </w:r>
      <w:r>
        <w:rPr>
          <w:spacing w:val="6"/>
          <w:sz w:val="20"/>
          <w:szCs w:val="20"/>
        </w:rPr>
        <w:t>规范和简单网络管理协议</w:t>
      </w:r>
      <w:r>
        <w:rPr>
          <w:spacing w:val="-42"/>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Simple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SNMP</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2"/>
          <w:sz w:val="20"/>
          <w:szCs w:val="20"/>
        </w:rPr>
        <w:t xml:space="preserve"> </w:t>
      </w:r>
      <w:r>
        <w:rPr>
          <w:spacing w:val="6"/>
          <w:sz w:val="20"/>
          <w:szCs w:val="20"/>
        </w:rPr>
        <w:t>。</w:t>
      </w:r>
      <w:r>
        <w:rPr>
          <w:rFonts w:ascii="Times New Roman" w:hAnsi="Times New Roman" w:eastAsia="Times New Roman" w:cs="Times New Roman"/>
          <w:sz w:val="20"/>
          <w:szCs w:val="20"/>
        </w:rPr>
        <w:t xml:space="preserve">MIB </w:t>
      </w:r>
      <w:r>
        <w:rPr>
          <w:spacing w:val="4"/>
          <w:sz w:val="20"/>
          <w:szCs w:val="20"/>
        </w:rPr>
        <w:t>定义了受管设备必须保存的数据项、允许对</w:t>
      </w:r>
      <w:r>
        <w:rPr>
          <w:spacing w:val="3"/>
          <w:sz w:val="20"/>
          <w:szCs w:val="20"/>
        </w:rPr>
        <w:t>每个数据项进行的操作及其含义，管理系统可访问</w:t>
      </w:r>
      <w:r>
        <w:rPr>
          <w:sz w:val="20"/>
          <w:szCs w:val="20"/>
        </w:rPr>
        <w:t xml:space="preserve"> </w:t>
      </w:r>
      <w:r>
        <w:rPr>
          <w:spacing w:val="5"/>
          <w:sz w:val="20"/>
          <w:szCs w:val="20"/>
        </w:rPr>
        <w:t>的受管设备的控制和状态信息等数据变量都保存在</w:t>
      </w:r>
      <w:r>
        <w:rPr>
          <w:rFonts w:ascii="Times New Roman" w:hAnsi="Times New Roman" w:eastAsia="Times New Roman" w:cs="Times New Roman"/>
          <w:sz w:val="20"/>
          <w:szCs w:val="20"/>
        </w:rPr>
        <w:t>MIB</w:t>
      </w:r>
      <w:r>
        <w:rPr>
          <w:rFonts w:ascii="Times New Roman" w:hAnsi="Times New Roman" w:eastAsia="Times New Roman" w:cs="Times New Roman"/>
          <w:spacing w:val="29"/>
          <w:sz w:val="20"/>
          <w:szCs w:val="20"/>
        </w:rPr>
        <w:t xml:space="preserve"> </w:t>
      </w:r>
      <w:r>
        <w:rPr>
          <w:spacing w:val="5"/>
          <w:sz w:val="20"/>
          <w:szCs w:val="20"/>
        </w:rPr>
        <w:t>中</w:t>
      </w:r>
      <w:r>
        <w:rPr>
          <w:spacing w:val="-27"/>
          <w:sz w:val="20"/>
          <w:szCs w:val="20"/>
        </w:rPr>
        <w:t xml:space="preserve"> </w:t>
      </w:r>
      <w:r>
        <w:rPr>
          <w:spacing w:val="5"/>
          <w:sz w:val="20"/>
          <w:szCs w:val="20"/>
        </w:rPr>
        <w:t>；</w:t>
      </w:r>
      <w:r>
        <w:rPr>
          <w:rFonts w:ascii="Times New Roman" w:hAnsi="Times New Roman" w:eastAsia="Times New Roman" w:cs="Times New Roman"/>
          <w:sz w:val="20"/>
          <w:szCs w:val="20"/>
        </w:rPr>
        <w:t>SNMP</w:t>
      </w:r>
      <w:r>
        <w:rPr>
          <w:rFonts w:ascii="Times New Roman" w:hAnsi="Times New Roman" w:eastAsia="Times New Roman" w:cs="Times New Roman"/>
          <w:spacing w:val="28"/>
          <w:w w:val="101"/>
          <w:sz w:val="20"/>
          <w:szCs w:val="20"/>
        </w:rPr>
        <w:t xml:space="preserve"> </w:t>
      </w:r>
      <w:r>
        <w:rPr>
          <w:spacing w:val="5"/>
          <w:sz w:val="20"/>
          <w:szCs w:val="20"/>
        </w:rPr>
        <w:t>主要涉及与信息通信相关</w:t>
      </w:r>
      <w:r>
        <w:rPr>
          <w:sz w:val="20"/>
          <w:szCs w:val="20"/>
        </w:rPr>
        <w:t xml:space="preserve"> </w:t>
      </w:r>
      <w:r>
        <w:rPr>
          <w:spacing w:val="3"/>
          <w:sz w:val="20"/>
          <w:szCs w:val="20"/>
        </w:rPr>
        <w:t xml:space="preserve">的关系和消息流，定义了管理系统上运行的管理软件如何与被管设备中的代理模块通信，包括 两者之间交换的消息分组的格式、含义及名字与值的表示等，此外也定义了被管设备间的管理 </w:t>
      </w:r>
      <w:r>
        <w:rPr>
          <w:spacing w:val="-5"/>
          <w:sz w:val="20"/>
          <w:szCs w:val="20"/>
        </w:rPr>
        <w:t>关系。</w:t>
      </w:r>
    </w:p>
    <w:p w14:paraId="44504E88">
      <w:pPr>
        <w:pStyle w:val="2"/>
        <w:spacing w:before="101" w:line="256" w:lineRule="auto"/>
        <w:ind w:left="349" w:right="72" w:firstLine="410"/>
        <w:rPr>
          <w:sz w:val="20"/>
          <w:szCs w:val="20"/>
        </w:rPr>
      </w:pPr>
      <w:r>
        <w:rPr>
          <w:spacing w:val="5"/>
          <w:sz w:val="20"/>
          <w:szCs w:val="20"/>
        </w:rPr>
        <w:t>(2)管理应用层。主要实现网络管理五大功能，并可以根据实际管理需求和扩展接口实现</w:t>
      </w:r>
      <w:r>
        <w:rPr>
          <w:spacing w:val="16"/>
          <w:sz w:val="20"/>
          <w:szCs w:val="20"/>
        </w:rPr>
        <w:t xml:space="preserve"> </w:t>
      </w:r>
      <w:r>
        <w:rPr>
          <w:spacing w:val="-1"/>
          <w:sz w:val="20"/>
          <w:szCs w:val="20"/>
        </w:rPr>
        <w:t>附加的功能模块或相关子系统，例如辅助决策子系统、资源管理子</w:t>
      </w:r>
      <w:r>
        <w:rPr>
          <w:spacing w:val="-2"/>
          <w:sz w:val="20"/>
          <w:szCs w:val="20"/>
        </w:rPr>
        <w:t>系统、测试评估子系统等。</w:t>
      </w:r>
    </w:p>
    <w:p w14:paraId="313CEBD2">
      <w:pPr>
        <w:pStyle w:val="2"/>
        <w:spacing w:before="85" w:line="252" w:lineRule="auto"/>
        <w:ind w:left="349" w:right="70" w:firstLine="410"/>
        <w:rPr>
          <w:sz w:val="20"/>
          <w:szCs w:val="20"/>
        </w:rPr>
      </w:pPr>
      <w:r>
        <w:rPr>
          <w:spacing w:val="5"/>
          <w:sz w:val="20"/>
          <w:szCs w:val="20"/>
        </w:rPr>
        <w:t>(3)表示层。提供用户直观、友好的人机交互界面，可以支持图形、文字、表格等多种形</w:t>
      </w:r>
      <w:r>
        <w:rPr>
          <w:spacing w:val="18"/>
          <w:sz w:val="20"/>
          <w:szCs w:val="20"/>
        </w:rPr>
        <w:t xml:space="preserve"> </w:t>
      </w:r>
      <w:r>
        <w:rPr>
          <w:spacing w:val="-1"/>
          <w:sz w:val="20"/>
          <w:szCs w:val="20"/>
        </w:rPr>
        <w:t>式，支持本地大屏显示、办公室</w:t>
      </w:r>
      <w:r>
        <w:rPr>
          <w:rFonts w:ascii="Times New Roman" w:hAnsi="Times New Roman" w:eastAsia="Times New Roman" w:cs="Times New Roman"/>
          <w:spacing w:val="-1"/>
          <w:sz w:val="20"/>
          <w:szCs w:val="20"/>
        </w:rPr>
        <w:t>PC</w:t>
      </w:r>
      <w:r>
        <w:rPr>
          <w:rFonts w:ascii="Times New Roman" w:hAnsi="Times New Roman" w:eastAsia="Times New Roman" w:cs="Times New Roman"/>
          <w:spacing w:val="19"/>
          <w:w w:val="101"/>
          <w:sz w:val="20"/>
          <w:szCs w:val="20"/>
        </w:rPr>
        <w:t xml:space="preserve"> </w:t>
      </w:r>
      <w:r>
        <w:rPr>
          <w:spacing w:val="-1"/>
          <w:sz w:val="20"/>
          <w:szCs w:val="20"/>
        </w:rPr>
        <w:t>展示以及远程手机接入等多种接入和</w:t>
      </w:r>
      <w:r>
        <w:rPr>
          <w:spacing w:val="-2"/>
          <w:sz w:val="20"/>
          <w:szCs w:val="20"/>
        </w:rPr>
        <w:t>展现手段。</w:t>
      </w:r>
    </w:p>
    <w:p w14:paraId="275291CD">
      <w:pPr>
        <w:spacing w:line="330" w:lineRule="auto"/>
        <w:rPr>
          <w:rFonts w:ascii="Arial"/>
          <w:sz w:val="21"/>
        </w:rPr>
      </w:pPr>
    </w:p>
    <w:p w14:paraId="1784DF5A">
      <w:pPr>
        <w:pStyle w:val="2"/>
        <w:spacing w:before="89" w:line="221" w:lineRule="auto"/>
        <w:ind w:left="353"/>
        <w:rPr>
          <w:rFonts w:ascii="黑体" w:hAnsi="黑体" w:eastAsia="黑体" w:cs="黑体"/>
          <w:sz w:val="27"/>
          <w:szCs w:val="27"/>
        </w:rPr>
      </w:pPr>
      <w:r>
        <w:rPr>
          <w:b/>
          <w:bCs/>
          <w:color w:val="0075D0"/>
          <w:spacing w:val="1"/>
          <w:sz w:val="27"/>
          <w:szCs w:val="27"/>
        </w:rPr>
        <w:t>3.7</w:t>
      </w:r>
      <w:r>
        <w:rPr>
          <w:color w:val="0075D0"/>
          <w:spacing w:val="77"/>
          <w:sz w:val="27"/>
          <w:szCs w:val="27"/>
        </w:rPr>
        <w:t xml:space="preserve"> </w:t>
      </w:r>
      <w:r>
        <w:rPr>
          <w:rFonts w:ascii="黑体" w:hAnsi="黑体" w:eastAsia="黑体" w:cs="黑体"/>
          <w:b/>
          <w:bCs/>
          <w:color w:val="0075D0"/>
          <w:spacing w:val="1"/>
          <w:sz w:val="27"/>
          <w:szCs w:val="27"/>
        </w:rPr>
        <w:t>环境系统建设</w:t>
      </w:r>
    </w:p>
    <w:p w14:paraId="68A47E92">
      <w:pPr>
        <w:pStyle w:val="2"/>
        <w:spacing w:before="270" w:line="286" w:lineRule="auto"/>
        <w:ind w:left="349" w:right="66" w:firstLine="410"/>
        <w:jc w:val="both"/>
        <w:rPr>
          <w:sz w:val="20"/>
          <w:szCs w:val="20"/>
        </w:rPr>
      </w:pPr>
      <w:r>
        <w:rPr>
          <w:spacing w:val="3"/>
          <w:sz w:val="20"/>
          <w:szCs w:val="20"/>
        </w:rPr>
        <w:t>环境系统是指承载信息网络系统相关设备的物理机房场地，以及确保机房安全及维护机房</w:t>
      </w:r>
      <w:r>
        <w:rPr>
          <w:spacing w:val="5"/>
          <w:sz w:val="20"/>
          <w:szCs w:val="20"/>
        </w:rPr>
        <w:t xml:space="preserve"> </w:t>
      </w:r>
      <w:r>
        <w:rPr>
          <w:spacing w:val="3"/>
          <w:sz w:val="20"/>
          <w:szCs w:val="20"/>
        </w:rPr>
        <w:t>正常运转的配电、照明、供水、制冷等各类系统、设备及措施等支撑设施，在保</w:t>
      </w:r>
      <w:r>
        <w:rPr>
          <w:spacing w:val="2"/>
          <w:sz w:val="20"/>
          <w:szCs w:val="20"/>
        </w:rPr>
        <w:t>障信息网络系</w:t>
      </w:r>
      <w:r>
        <w:rPr>
          <w:sz w:val="20"/>
          <w:szCs w:val="20"/>
        </w:rPr>
        <w:t xml:space="preserve"> </w:t>
      </w:r>
      <w:r>
        <w:rPr>
          <w:spacing w:val="-1"/>
          <w:sz w:val="20"/>
          <w:szCs w:val="20"/>
        </w:rPr>
        <w:t>统正常运转的同时，需要充分考虑节能降耗，降低运行成本</w:t>
      </w:r>
      <w:r>
        <w:rPr>
          <w:spacing w:val="-2"/>
          <w:sz w:val="20"/>
          <w:szCs w:val="20"/>
        </w:rPr>
        <w:t>，提高运行效率。</w:t>
      </w:r>
    </w:p>
    <w:p w14:paraId="5E089DD6">
      <w:pPr>
        <w:pStyle w:val="2"/>
        <w:spacing w:before="158" w:line="219" w:lineRule="auto"/>
        <w:ind w:left="352"/>
        <w:rPr>
          <w:sz w:val="27"/>
          <w:szCs w:val="27"/>
        </w:rPr>
      </w:pPr>
      <w:r>
        <w:rPr>
          <w:b/>
          <w:bCs/>
          <w:color w:val="007BDA"/>
          <w:spacing w:val="-31"/>
          <w:sz w:val="27"/>
          <w:szCs w:val="27"/>
        </w:rPr>
        <w:t>3.7.1</w:t>
      </w:r>
      <w:r>
        <w:rPr>
          <w:color w:val="007BDA"/>
          <w:spacing w:val="-29"/>
          <w:sz w:val="27"/>
          <w:szCs w:val="27"/>
        </w:rPr>
        <w:t xml:space="preserve"> </w:t>
      </w:r>
      <w:r>
        <w:rPr>
          <w:b/>
          <w:bCs/>
          <w:color w:val="007BDA"/>
          <w:spacing w:val="-31"/>
          <w:sz w:val="27"/>
          <w:szCs w:val="27"/>
        </w:rPr>
        <w:t>机房建设</w:t>
      </w:r>
    </w:p>
    <w:p w14:paraId="3E8423F6">
      <w:pPr>
        <w:pStyle w:val="2"/>
        <w:spacing w:before="149" w:line="282" w:lineRule="auto"/>
        <w:ind w:left="349" w:right="51" w:firstLine="410"/>
        <w:jc w:val="both"/>
        <w:rPr>
          <w:sz w:val="20"/>
          <w:szCs w:val="20"/>
        </w:rPr>
      </w:pPr>
      <w:r>
        <w:rPr>
          <w:sz w:val="20"/>
          <w:szCs w:val="20"/>
        </w:rPr>
        <w:t>现代机房建设工程充分体现了新技术、新材料、新工艺、新设备的特点。 一方面，网络机</w:t>
      </w:r>
      <w:r>
        <w:rPr>
          <w:spacing w:val="16"/>
          <w:sz w:val="20"/>
          <w:szCs w:val="20"/>
        </w:rPr>
        <w:t xml:space="preserve"> </w:t>
      </w:r>
      <w:r>
        <w:rPr>
          <w:spacing w:val="3"/>
          <w:sz w:val="20"/>
          <w:szCs w:val="20"/>
        </w:rPr>
        <w:t>房运转是否正常将会影响信息网络系统的日常经营业务的正</w:t>
      </w:r>
      <w:r>
        <w:rPr>
          <w:spacing w:val="2"/>
          <w:sz w:val="20"/>
          <w:szCs w:val="20"/>
        </w:rPr>
        <w:t>常运行，所以对机房的安全性、可</w:t>
      </w:r>
      <w:r>
        <w:rPr>
          <w:sz w:val="20"/>
          <w:szCs w:val="20"/>
        </w:rPr>
        <w:t xml:space="preserve"> </w:t>
      </w:r>
      <w:r>
        <w:rPr>
          <w:spacing w:val="3"/>
          <w:sz w:val="20"/>
          <w:szCs w:val="20"/>
        </w:rPr>
        <w:t>靠性和可管理性提出了很高的要求，机房建设要符合国家各项有关标准的规定，机房建设也为</w:t>
      </w:r>
      <w:r>
        <w:rPr>
          <w:spacing w:val="6"/>
          <w:sz w:val="20"/>
          <w:szCs w:val="20"/>
        </w:rPr>
        <w:t xml:space="preserve"> </w:t>
      </w:r>
      <w:r>
        <w:rPr>
          <w:spacing w:val="3"/>
          <w:sz w:val="20"/>
          <w:szCs w:val="20"/>
        </w:rPr>
        <w:t>机房工作人员提供了一个舒适的工作环境；另一方面，现代机房建设越来越需要考虑建设、维</w:t>
      </w:r>
      <w:r>
        <w:rPr>
          <w:spacing w:val="5"/>
          <w:sz w:val="20"/>
          <w:szCs w:val="20"/>
        </w:rPr>
        <w:t xml:space="preserve"> </w:t>
      </w:r>
      <w:r>
        <w:rPr>
          <w:spacing w:val="4"/>
          <w:sz w:val="20"/>
          <w:szCs w:val="20"/>
        </w:rPr>
        <w:t>护的性价比，有效降低运行功耗，提升机房本身、机房</w:t>
      </w:r>
      <w:r>
        <w:rPr>
          <w:spacing w:val="3"/>
          <w:sz w:val="20"/>
          <w:szCs w:val="20"/>
        </w:rPr>
        <w:t>环境系统、机房内承载的各类设备的故</w:t>
      </w:r>
      <w:r>
        <w:rPr>
          <w:sz w:val="20"/>
          <w:szCs w:val="20"/>
        </w:rPr>
        <w:t xml:space="preserve"> </w:t>
      </w:r>
      <w:r>
        <w:rPr>
          <w:spacing w:val="-2"/>
          <w:sz w:val="20"/>
          <w:szCs w:val="20"/>
        </w:rPr>
        <w:t>障处理能力，对机房建设和运行维护提出了更高的要求。</w:t>
      </w:r>
    </w:p>
    <w:p w14:paraId="4C2090CF">
      <w:pPr>
        <w:pStyle w:val="2"/>
        <w:spacing w:before="38" w:line="281" w:lineRule="auto"/>
        <w:ind w:left="349" w:firstLine="410"/>
        <w:jc w:val="both"/>
        <w:rPr>
          <w:sz w:val="20"/>
          <w:szCs w:val="20"/>
        </w:rPr>
      </w:pPr>
      <w:r>
        <w:rPr>
          <w:spacing w:val="3"/>
          <w:sz w:val="20"/>
          <w:szCs w:val="20"/>
        </w:rPr>
        <w:t>机房的建设工程是一项综合性的专业技术系统工程，它具有建筑设计、空调、通风、给排</w:t>
      </w:r>
      <w:r>
        <w:rPr>
          <w:sz w:val="20"/>
          <w:szCs w:val="20"/>
        </w:rPr>
        <w:t xml:space="preserve"> </w:t>
      </w:r>
      <w:r>
        <w:rPr>
          <w:spacing w:val="5"/>
          <w:sz w:val="20"/>
          <w:szCs w:val="20"/>
        </w:rPr>
        <w:t>水、强电、弱电等各个专业所特有的专业技术要求，同时又具有建筑装饰的关</w:t>
      </w:r>
      <w:r>
        <w:rPr>
          <w:spacing w:val="4"/>
          <w:sz w:val="20"/>
          <w:szCs w:val="20"/>
        </w:rPr>
        <w:t>于美学、光学、</w:t>
      </w:r>
      <w:r>
        <w:rPr>
          <w:sz w:val="20"/>
          <w:szCs w:val="20"/>
        </w:rPr>
        <w:t xml:space="preserve"> </w:t>
      </w:r>
      <w:r>
        <w:rPr>
          <w:spacing w:val="3"/>
          <w:sz w:val="20"/>
          <w:szCs w:val="20"/>
        </w:rPr>
        <w:t>色彩学等专业的技术要求。因此，机房建设常常需要专业技术单位来完成，从而在设计施工中</w:t>
      </w:r>
      <w:r>
        <w:rPr>
          <w:spacing w:val="17"/>
          <w:sz w:val="20"/>
          <w:szCs w:val="20"/>
        </w:rPr>
        <w:t xml:space="preserve"> </w:t>
      </w:r>
      <w:r>
        <w:rPr>
          <w:spacing w:val="3"/>
          <w:sz w:val="20"/>
          <w:szCs w:val="20"/>
        </w:rPr>
        <w:t>确保机房先进、可靠、安全、精致。既满足机房专业的各项技术条件，又具有建筑装饰现代艺</w:t>
      </w:r>
      <w:r>
        <w:rPr>
          <w:spacing w:val="8"/>
          <w:sz w:val="20"/>
          <w:szCs w:val="20"/>
        </w:rPr>
        <w:t xml:space="preserve"> </w:t>
      </w:r>
      <w:r>
        <w:rPr>
          <w:spacing w:val="-2"/>
          <w:sz w:val="20"/>
          <w:szCs w:val="20"/>
        </w:rPr>
        <w:t>术风格的机房，才能充分满足业主的使用要求。</w:t>
      </w:r>
    </w:p>
    <w:p w14:paraId="0C6844E8">
      <w:pPr>
        <w:pStyle w:val="2"/>
        <w:spacing w:before="19" w:line="283" w:lineRule="auto"/>
        <w:ind w:left="349" w:right="60" w:firstLine="410"/>
        <w:rPr>
          <w:sz w:val="20"/>
          <w:szCs w:val="20"/>
        </w:rPr>
      </w:pPr>
      <w:r>
        <w:rPr>
          <w:spacing w:val="3"/>
          <w:sz w:val="20"/>
          <w:szCs w:val="20"/>
        </w:rPr>
        <w:t>机房建设包括机房装修、空调系统、电气系统、接地和防雷系统、消防系统、环境监控系</w:t>
      </w:r>
      <w:r>
        <w:rPr>
          <w:spacing w:val="11"/>
          <w:sz w:val="20"/>
          <w:szCs w:val="20"/>
        </w:rPr>
        <w:t xml:space="preserve"> </w:t>
      </w:r>
      <w:r>
        <w:rPr>
          <w:spacing w:val="-4"/>
          <w:sz w:val="20"/>
          <w:szCs w:val="20"/>
        </w:rPr>
        <w:t>统、节能降耗系统等。</w:t>
      </w:r>
    </w:p>
    <w:p w14:paraId="59821113">
      <w:pPr>
        <w:spacing w:line="283" w:lineRule="auto"/>
        <w:rPr>
          <w:sz w:val="20"/>
          <w:szCs w:val="20"/>
        </w:rPr>
        <w:sectPr>
          <w:pgSz w:w="10310" w:h="13320"/>
          <w:pgMar w:top="400" w:right="1050" w:bottom="400" w:left="510" w:header="0" w:footer="0" w:gutter="0"/>
          <w:cols w:space="720" w:num="1"/>
        </w:sectPr>
      </w:pPr>
    </w:p>
    <w:p w14:paraId="54C3586F">
      <w:pPr>
        <w:pStyle w:val="2"/>
        <w:spacing w:before="56" w:line="219" w:lineRule="auto"/>
        <w:jc w:val="right"/>
        <w:rPr>
          <w:rFonts w:ascii="Times New Roman" w:hAnsi="Times New Roman" w:eastAsia="Times New Roman" w:cs="Times New Roman"/>
          <w:sz w:val="19"/>
          <w:szCs w:val="19"/>
        </w:rPr>
      </w:pPr>
      <w:r>
        <w:rPr>
          <w:spacing w:val="3"/>
          <w:sz w:val="19"/>
          <w:szCs w:val="19"/>
        </w:rPr>
        <w:t>第3章</w:t>
      </w:r>
      <w:r>
        <w:rPr>
          <w:spacing w:val="39"/>
          <w:sz w:val="19"/>
          <w:szCs w:val="19"/>
        </w:rPr>
        <w:t xml:space="preserve"> </w:t>
      </w:r>
      <w:r>
        <w:rPr>
          <w:spacing w:val="3"/>
          <w:sz w:val="19"/>
          <w:szCs w:val="19"/>
        </w:rPr>
        <w:t>信息网络系统</w:t>
      </w:r>
      <w:r>
        <w:rPr>
          <w:spacing w:val="10"/>
          <w:sz w:val="19"/>
          <w:szCs w:val="19"/>
        </w:rPr>
        <w:t xml:space="preserve">      </w:t>
      </w:r>
      <w:r>
        <w:rPr>
          <w:rFonts w:ascii="Times New Roman" w:hAnsi="Times New Roman" w:eastAsia="Times New Roman" w:cs="Times New Roman"/>
          <w:spacing w:val="3"/>
          <w:position w:val="-1"/>
          <w:sz w:val="19"/>
          <w:szCs w:val="19"/>
        </w:rPr>
        <w:t>117</w:t>
      </w:r>
    </w:p>
    <w:p w14:paraId="4F1A0A72">
      <w:pPr>
        <w:spacing w:line="280" w:lineRule="auto"/>
        <w:rPr>
          <w:rFonts w:ascii="Arial"/>
          <w:sz w:val="21"/>
        </w:rPr>
      </w:pPr>
    </w:p>
    <w:p w14:paraId="32A2F7A4">
      <w:pPr>
        <w:pStyle w:val="2"/>
        <w:spacing w:before="81" w:line="219" w:lineRule="auto"/>
        <w:ind w:left="2"/>
        <w:rPr>
          <w:sz w:val="25"/>
          <w:szCs w:val="25"/>
        </w:rPr>
      </w:pPr>
      <w:r>
        <w:rPr>
          <w:b/>
          <w:bCs/>
          <w:color w:val="0067DE"/>
          <w:spacing w:val="-21"/>
          <w:sz w:val="25"/>
          <w:szCs w:val="25"/>
        </w:rPr>
        <w:t>3.7.2</w:t>
      </w:r>
      <w:r>
        <w:rPr>
          <w:color w:val="0067DE"/>
          <w:spacing w:val="125"/>
          <w:sz w:val="25"/>
          <w:szCs w:val="25"/>
        </w:rPr>
        <w:t xml:space="preserve"> </w:t>
      </w:r>
      <w:r>
        <w:rPr>
          <w:b/>
          <w:bCs/>
          <w:color w:val="0067DE"/>
          <w:spacing w:val="-21"/>
          <w:sz w:val="25"/>
          <w:szCs w:val="25"/>
        </w:rPr>
        <w:t>综合布线</w:t>
      </w:r>
    </w:p>
    <w:p w14:paraId="5B6EB052">
      <w:pPr>
        <w:pStyle w:val="2"/>
        <w:spacing w:before="205" w:line="292" w:lineRule="auto"/>
        <w:ind w:right="267" w:firstLine="410"/>
        <w:jc w:val="both"/>
        <w:rPr>
          <w:sz w:val="19"/>
          <w:szCs w:val="19"/>
        </w:rPr>
      </w:pPr>
      <w:r>
        <w:rPr>
          <w:spacing w:val="15"/>
          <w:sz w:val="19"/>
          <w:szCs w:val="19"/>
        </w:rPr>
        <w:t>综合布线系统是指按标准的、统一的和简单的结构化方式编制和布置各种建筑物(或建筑</w:t>
      </w:r>
      <w:r>
        <w:rPr>
          <w:spacing w:val="6"/>
          <w:sz w:val="19"/>
          <w:szCs w:val="19"/>
        </w:rPr>
        <w:t xml:space="preserve"> </w:t>
      </w:r>
      <w:r>
        <w:rPr>
          <w:spacing w:val="17"/>
          <w:sz w:val="19"/>
          <w:szCs w:val="19"/>
        </w:rPr>
        <w:t>群)内各种系统的通信线路，包括网络系统、电话系统、监控系统、电源</w:t>
      </w:r>
      <w:r>
        <w:rPr>
          <w:spacing w:val="16"/>
          <w:sz w:val="19"/>
          <w:szCs w:val="19"/>
        </w:rPr>
        <w:t>系统和照明系统等。</w:t>
      </w:r>
      <w:r>
        <w:rPr>
          <w:sz w:val="19"/>
          <w:szCs w:val="19"/>
        </w:rPr>
        <w:t xml:space="preserve"> </w:t>
      </w:r>
      <w:r>
        <w:rPr>
          <w:spacing w:val="8"/>
          <w:sz w:val="19"/>
          <w:szCs w:val="19"/>
        </w:rPr>
        <w:t>因此，综合布线系统是一种标准通用的信息传输系统。</w:t>
      </w:r>
    </w:p>
    <w:p w14:paraId="1F6B3AB8">
      <w:pPr>
        <w:pStyle w:val="2"/>
        <w:spacing w:before="48" w:line="296" w:lineRule="auto"/>
        <w:ind w:right="247" w:firstLine="410"/>
        <w:jc w:val="both"/>
        <w:rPr>
          <w:sz w:val="19"/>
          <w:szCs w:val="19"/>
        </w:rPr>
      </w:pPr>
      <w:r>
        <w:rPr>
          <w:spacing w:val="10"/>
          <w:sz w:val="19"/>
          <w:szCs w:val="19"/>
        </w:rPr>
        <w:t>综合布线系统设施的建设应纳入建筑与建筑群相应的规划设计之中，根据工</w:t>
      </w:r>
      <w:r>
        <w:rPr>
          <w:spacing w:val="9"/>
          <w:sz w:val="19"/>
          <w:szCs w:val="19"/>
        </w:rPr>
        <w:t>程项目的性质、</w:t>
      </w:r>
      <w:r>
        <w:rPr>
          <w:sz w:val="19"/>
          <w:szCs w:val="19"/>
        </w:rPr>
        <w:t xml:space="preserve"> </w:t>
      </w:r>
      <w:r>
        <w:rPr>
          <w:spacing w:val="13"/>
          <w:sz w:val="19"/>
          <w:szCs w:val="19"/>
        </w:rPr>
        <w:t>功能、环境条件和近、远期用户需求进行设计，应考虑施工和维护是否方便，确保综合布线系</w:t>
      </w:r>
      <w:r>
        <w:rPr>
          <w:spacing w:val="1"/>
          <w:sz w:val="19"/>
          <w:szCs w:val="19"/>
        </w:rPr>
        <w:t xml:space="preserve">  </w:t>
      </w:r>
      <w:r>
        <w:rPr>
          <w:spacing w:val="13"/>
          <w:sz w:val="19"/>
          <w:szCs w:val="19"/>
        </w:rPr>
        <w:t>统工程的质量和安全，做到技术先进、经济合理。综合布线系统宜与信息网络系统、安全防护</w:t>
      </w:r>
      <w:r>
        <w:rPr>
          <w:sz w:val="19"/>
          <w:szCs w:val="19"/>
        </w:rPr>
        <w:t xml:space="preserve">  </w:t>
      </w:r>
      <w:r>
        <w:rPr>
          <w:spacing w:val="13"/>
          <w:sz w:val="19"/>
          <w:szCs w:val="19"/>
        </w:rPr>
        <w:t>系统、建筑设备监控系统等的配线做统筹规划，同步设计，并应按照各系统对</w:t>
      </w:r>
      <w:r>
        <w:rPr>
          <w:spacing w:val="12"/>
          <w:sz w:val="19"/>
          <w:szCs w:val="19"/>
        </w:rPr>
        <w:t>信息传输的具体</w:t>
      </w:r>
      <w:r>
        <w:rPr>
          <w:sz w:val="19"/>
          <w:szCs w:val="19"/>
        </w:rPr>
        <w:t xml:space="preserve">  </w:t>
      </w:r>
      <w:r>
        <w:rPr>
          <w:spacing w:val="5"/>
          <w:sz w:val="19"/>
          <w:szCs w:val="19"/>
        </w:rPr>
        <w:t>要求，做到合理优化设计。</w:t>
      </w:r>
    </w:p>
    <w:p w14:paraId="31EB770E">
      <w:pPr>
        <w:pStyle w:val="2"/>
        <w:spacing w:before="55" w:line="295" w:lineRule="auto"/>
        <w:ind w:right="316" w:firstLine="410"/>
        <w:jc w:val="both"/>
        <w:rPr>
          <w:sz w:val="19"/>
          <w:szCs w:val="19"/>
        </w:rPr>
      </w:pPr>
      <w:r>
        <w:rPr>
          <w:spacing w:val="18"/>
          <w:sz w:val="19"/>
          <w:szCs w:val="19"/>
        </w:rPr>
        <w:t>综合布线系统的基本构成应包括建筑群子系统、干线子系</w:t>
      </w:r>
      <w:r>
        <w:rPr>
          <w:spacing w:val="17"/>
          <w:sz w:val="19"/>
          <w:szCs w:val="19"/>
        </w:rPr>
        <w:t>统和配线子系统，如图3-14所</w:t>
      </w:r>
      <w:r>
        <w:rPr>
          <w:sz w:val="19"/>
          <w:szCs w:val="19"/>
        </w:rPr>
        <w:t xml:space="preserve"> </w:t>
      </w:r>
      <w:r>
        <w:rPr>
          <w:spacing w:val="8"/>
          <w:sz w:val="19"/>
          <w:szCs w:val="19"/>
        </w:rPr>
        <w:t>示。图中</w:t>
      </w:r>
      <w:r>
        <w:rPr>
          <w:rFonts w:ascii="Times New Roman" w:hAnsi="Times New Roman" w:eastAsia="Times New Roman" w:cs="Times New Roman"/>
          <w:sz w:val="19"/>
          <w:szCs w:val="19"/>
        </w:rPr>
        <w:t>CD</w:t>
      </w:r>
      <w:r>
        <w:rPr>
          <w:rFonts w:ascii="Times New Roman" w:hAnsi="Times New Roman" w:eastAsia="Times New Roman" w:cs="Times New Roman"/>
          <w:spacing w:val="25"/>
          <w:w w:val="101"/>
          <w:sz w:val="19"/>
          <w:szCs w:val="19"/>
        </w:rPr>
        <w:t xml:space="preserve"> </w:t>
      </w:r>
      <w:r>
        <w:rPr>
          <w:spacing w:val="8"/>
          <w:sz w:val="19"/>
          <w:szCs w:val="19"/>
        </w:rPr>
        <w:t>代表建筑群配线设备；</w:t>
      </w:r>
      <w:r>
        <w:rPr>
          <w:rFonts w:ascii="Times New Roman" w:hAnsi="Times New Roman" w:eastAsia="Times New Roman" w:cs="Times New Roman"/>
          <w:sz w:val="19"/>
          <w:szCs w:val="19"/>
        </w:rPr>
        <w:t>BD</w:t>
      </w:r>
      <w:r>
        <w:rPr>
          <w:rFonts w:ascii="Times New Roman" w:hAnsi="Times New Roman" w:eastAsia="Times New Roman" w:cs="Times New Roman"/>
          <w:spacing w:val="42"/>
          <w:sz w:val="19"/>
          <w:szCs w:val="19"/>
        </w:rPr>
        <w:t xml:space="preserve"> </w:t>
      </w:r>
      <w:r>
        <w:rPr>
          <w:spacing w:val="8"/>
          <w:sz w:val="19"/>
          <w:szCs w:val="19"/>
        </w:rPr>
        <w:t>代表建筑物配线设备；</w:t>
      </w:r>
      <w:r>
        <w:rPr>
          <w:rFonts w:ascii="Times New Roman" w:hAnsi="Times New Roman" w:eastAsia="Times New Roman" w:cs="Times New Roman"/>
          <w:sz w:val="19"/>
          <w:szCs w:val="19"/>
        </w:rPr>
        <w:t>FD</w:t>
      </w:r>
      <w:r>
        <w:rPr>
          <w:rFonts w:ascii="Times New Roman" w:hAnsi="Times New Roman" w:eastAsia="Times New Roman" w:cs="Times New Roman"/>
          <w:spacing w:val="32"/>
          <w:w w:val="101"/>
          <w:sz w:val="19"/>
          <w:szCs w:val="19"/>
        </w:rPr>
        <w:t xml:space="preserve"> </w:t>
      </w:r>
      <w:r>
        <w:rPr>
          <w:spacing w:val="8"/>
          <w:sz w:val="19"/>
          <w:szCs w:val="19"/>
        </w:rPr>
        <w:t>代表楼层配线</w:t>
      </w:r>
      <w:r>
        <w:rPr>
          <w:spacing w:val="7"/>
          <w:sz w:val="19"/>
          <w:szCs w:val="19"/>
        </w:rPr>
        <w:t>设备；</w:t>
      </w:r>
      <w:r>
        <w:rPr>
          <w:rFonts w:ascii="Times New Roman" w:hAnsi="Times New Roman" w:eastAsia="Times New Roman" w:cs="Times New Roman"/>
          <w:sz w:val="19"/>
          <w:szCs w:val="19"/>
        </w:rPr>
        <w:t>CP</w:t>
      </w:r>
      <w:r>
        <w:rPr>
          <w:rFonts w:ascii="Times New Roman" w:hAnsi="Times New Roman" w:eastAsia="Times New Roman" w:cs="Times New Roman"/>
          <w:spacing w:val="37"/>
          <w:w w:val="101"/>
          <w:sz w:val="19"/>
          <w:szCs w:val="19"/>
        </w:rPr>
        <w:t xml:space="preserve"> </w:t>
      </w:r>
      <w:r>
        <w:rPr>
          <w:spacing w:val="7"/>
          <w:sz w:val="19"/>
          <w:szCs w:val="19"/>
        </w:rPr>
        <w:t>代</w:t>
      </w:r>
      <w:r>
        <w:rPr>
          <w:spacing w:val="-33"/>
          <w:sz w:val="19"/>
          <w:szCs w:val="19"/>
        </w:rPr>
        <w:t xml:space="preserve"> </w:t>
      </w:r>
      <w:r>
        <w:rPr>
          <w:spacing w:val="7"/>
          <w:sz w:val="19"/>
          <w:szCs w:val="19"/>
        </w:rPr>
        <w:t>表</w:t>
      </w:r>
      <w:r>
        <w:rPr>
          <w:sz w:val="19"/>
          <w:szCs w:val="19"/>
        </w:rPr>
        <w:t xml:space="preserve"> </w:t>
      </w:r>
      <w:r>
        <w:rPr>
          <w:spacing w:val="6"/>
          <w:sz w:val="19"/>
          <w:szCs w:val="19"/>
        </w:rPr>
        <w:t>集合点，是综合布线系统中所规定的在水平电缆中的一个连接点；</w:t>
      </w:r>
      <w:r>
        <w:rPr>
          <w:rFonts w:ascii="Times New Roman" w:hAnsi="Times New Roman" w:eastAsia="Times New Roman" w:cs="Times New Roman"/>
          <w:sz w:val="19"/>
          <w:szCs w:val="19"/>
        </w:rPr>
        <w:t>TO</w:t>
      </w:r>
      <w:r>
        <w:rPr>
          <w:rFonts w:ascii="Times New Roman" w:hAnsi="Times New Roman" w:eastAsia="Times New Roman" w:cs="Times New Roman"/>
          <w:spacing w:val="31"/>
          <w:w w:val="101"/>
          <w:sz w:val="19"/>
          <w:szCs w:val="19"/>
        </w:rPr>
        <w:t xml:space="preserve"> </w:t>
      </w:r>
      <w:r>
        <w:rPr>
          <w:spacing w:val="6"/>
          <w:sz w:val="19"/>
          <w:szCs w:val="19"/>
        </w:rPr>
        <w:t>代表信息插座模块；</w:t>
      </w:r>
      <w:r>
        <w:rPr>
          <w:rFonts w:ascii="Times New Roman" w:hAnsi="Times New Roman" w:eastAsia="Times New Roman" w:cs="Times New Roman"/>
          <w:sz w:val="19"/>
          <w:szCs w:val="19"/>
        </w:rPr>
        <w:t>TE</w:t>
      </w:r>
      <w:r>
        <w:rPr>
          <w:rFonts w:ascii="Times New Roman" w:hAnsi="Times New Roman" w:eastAsia="Times New Roman" w:cs="Times New Roman"/>
          <w:spacing w:val="16"/>
          <w:w w:val="101"/>
          <w:sz w:val="19"/>
          <w:szCs w:val="19"/>
        </w:rPr>
        <w:t xml:space="preserve"> </w:t>
      </w:r>
      <w:r>
        <w:rPr>
          <w:spacing w:val="6"/>
          <w:sz w:val="19"/>
          <w:szCs w:val="19"/>
        </w:rPr>
        <w:t>代</w:t>
      </w:r>
      <w:r>
        <w:rPr>
          <w:sz w:val="19"/>
          <w:szCs w:val="19"/>
        </w:rPr>
        <w:t xml:space="preserve"> </w:t>
      </w:r>
      <w:r>
        <w:rPr>
          <w:spacing w:val="2"/>
          <w:sz w:val="19"/>
          <w:szCs w:val="19"/>
        </w:rPr>
        <w:t>表终端设备。</w:t>
      </w:r>
    </w:p>
    <w:p w14:paraId="25156412">
      <w:pPr>
        <w:pStyle w:val="2"/>
        <w:spacing w:before="70" w:line="2160" w:lineRule="exact"/>
        <w:ind w:firstLine="609"/>
      </w:pPr>
      <w:r>
        <w:rPr>
          <w:position w:val="-43"/>
        </w:rPr>
        <w:pict>
          <v:group id="_x0000_s1239" o:spid="_x0000_s1239" o:spt="203" style="height:108.05pt;width:355pt;" coordsize="7100,2161">
            <o:lock v:ext="edit"/>
            <v:shape id="_x0000_s1240" o:spid="_x0000_s1240" o:spt="75" type="#_x0000_t75" style="position:absolute;left:0;top:0;height:2161;width:7100;" filled="f" stroked="f" coordsize="21600,21600">
              <v:path/>
              <v:fill on="f" focussize="0,0"/>
              <v:stroke on="f"/>
              <v:imagedata r:id="rId92" o:title=""/>
              <o:lock v:ext="edit" aspectratio="t"/>
            </v:shape>
            <v:shape id="_x0000_s1241" o:spid="_x0000_s1241" o:spt="202" type="#_x0000_t202" style="position:absolute;left:2920;top:82;height:1805;width:1768;" filled="f" stroked="f" coordsize="21600,21600">
              <v:path/>
              <v:fill on="f" focussize="0,0"/>
              <v:stroke on="f"/>
              <v:imagedata o:title=""/>
              <o:lock v:ext="edit" aspectratio="f"/>
              <v:textbox inset="0mm,0mm,0mm,0mm">
                <w:txbxContent>
                  <w:p w14:paraId="1E053608">
                    <w:pPr>
                      <w:spacing w:before="20" w:line="193"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FD</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2"/>
                        <w:sz w:val="19"/>
                        <w:szCs w:val="19"/>
                      </w:rPr>
                      <w:t>CP</w:t>
                    </w:r>
                  </w:p>
                  <w:p w14:paraId="3003E55F">
                    <w:pPr>
                      <w:spacing w:line="284" w:lineRule="auto"/>
                      <w:rPr>
                        <w:rFonts w:ascii="Arial"/>
                        <w:sz w:val="21"/>
                      </w:rPr>
                    </w:pPr>
                  </w:p>
                  <w:p w14:paraId="220F6CDE">
                    <w:pPr>
                      <w:spacing w:line="284" w:lineRule="auto"/>
                      <w:rPr>
                        <w:rFonts w:ascii="Arial"/>
                        <w:sz w:val="21"/>
                      </w:rPr>
                    </w:pPr>
                  </w:p>
                  <w:p w14:paraId="78EF7B94">
                    <w:pPr>
                      <w:spacing w:line="285" w:lineRule="auto"/>
                      <w:rPr>
                        <w:rFonts w:ascii="Arial"/>
                        <w:sz w:val="21"/>
                      </w:rPr>
                    </w:pPr>
                  </w:p>
                  <w:p w14:paraId="2E2C83F4">
                    <w:pPr>
                      <w:spacing w:before="61" w:line="220" w:lineRule="auto"/>
                      <w:ind w:right="1"/>
                      <w:jc w:val="right"/>
                      <w:rPr>
                        <w:rFonts w:ascii="宋体" w:hAnsi="宋体" w:eastAsia="宋体" w:cs="宋体"/>
                        <w:sz w:val="19"/>
                        <w:szCs w:val="19"/>
                      </w:rPr>
                    </w:pPr>
                    <w:r>
                      <w:rPr>
                        <w:rFonts w:ascii="宋体" w:hAnsi="宋体" w:eastAsia="宋体" w:cs="宋体"/>
                        <w:spacing w:val="-16"/>
                        <w:sz w:val="19"/>
                        <w:szCs w:val="19"/>
                      </w:rPr>
                      <w:t>配线子系</w:t>
                    </w:r>
                    <w:r>
                      <w:rPr>
                        <w:rFonts w:ascii="宋体" w:hAnsi="宋体" w:eastAsia="宋体" w:cs="宋体"/>
                        <w:spacing w:val="-11"/>
                        <w:sz w:val="19"/>
                        <w:szCs w:val="19"/>
                      </w:rPr>
                      <w:t>统</w:t>
                    </w:r>
                  </w:p>
                  <w:p w14:paraId="13D95294">
                    <w:pPr>
                      <w:spacing w:before="251" w:line="219" w:lineRule="auto"/>
                      <w:ind w:left="29"/>
                      <w:rPr>
                        <w:rFonts w:ascii="宋体" w:hAnsi="宋体" w:eastAsia="宋体" w:cs="宋体"/>
                        <w:sz w:val="19"/>
                        <w:szCs w:val="19"/>
                      </w:rPr>
                    </w:pPr>
                    <w:r>
                      <w:rPr>
                        <w:rFonts w:ascii="宋体" w:hAnsi="宋体" w:eastAsia="宋体" w:cs="宋体"/>
                        <w:spacing w:val="-17"/>
                        <w:sz w:val="19"/>
                        <w:szCs w:val="19"/>
                      </w:rPr>
                      <w:t>综合布线系统</w:t>
                    </w:r>
                  </w:p>
                </w:txbxContent>
              </v:textbox>
            </v:shape>
            <v:shape id="_x0000_s1242" o:spid="_x0000_s1242" o:spt="202" type="#_x0000_t202" style="position:absolute;left:5429;top:76;height:183;width:1506;" filled="f" stroked="f" coordsize="21600,21600">
              <v:path/>
              <v:fill on="f" focussize="0,0"/>
              <v:stroke on="f"/>
              <v:imagedata o:title=""/>
              <o:lock v:ext="edit" aspectratio="f"/>
              <v:textbox inset="0mm,0mm,0mm,0mm">
                <w:txbxContent>
                  <w:p w14:paraId="0558B0A1">
                    <w:pPr>
                      <w:spacing w:before="20" w:line="199"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TO</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color w:val="FFFFFF"/>
                        <w:spacing w:val="-3"/>
                        <w:sz w:val="19"/>
                        <w:szCs w:val="19"/>
                      </w:rPr>
                      <w:t>TE</w:t>
                    </w:r>
                  </w:p>
                </w:txbxContent>
              </v:textbox>
            </v:shape>
            <v:shape id="_x0000_s1243" o:spid="_x0000_s1243" o:spt="202" type="#_x0000_t202" style="position:absolute;left:230;top:1177;height:230;width:1069;" filled="f" stroked="f" coordsize="21600,21600">
              <v:path/>
              <v:fill on="f" focussize="0,0"/>
              <v:stroke on="f"/>
              <v:imagedata o:title=""/>
              <o:lock v:ext="edit" aspectratio="f"/>
              <v:textbox inset="0mm,0mm,0mm,0mm">
                <w:txbxContent>
                  <w:p w14:paraId="7D1E17FF">
                    <w:pPr>
                      <w:spacing w:before="20" w:line="219" w:lineRule="auto"/>
                      <w:ind w:right="1"/>
                      <w:jc w:val="right"/>
                      <w:rPr>
                        <w:rFonts w:ascii="宋体" w:hAnsi="宋体" w:eastAsia="宋体" w:cs="宋体"/>
                        <w:sz w:val="19"/>
                        <w:szCs w:val="19"/>
                      </w:rPr>
                    </w:pPr>
                    <w:r>
                      <w:rPr>
                        <w:rFonts w:ascii="宋体" w:hAnsi="宋体" w:eastAsia="宋体" w:cs="宋体"/>
                        <w:spacing w:val="-17"/>
                        <w:sz w:val="19"/>
                        <w:szCs w:val="19"/>
                      </w:rPr>
                      <w:t>建筑群子系</w:t>
                    </w:r>
                    <w:r>
                      <w:rPr>
                        <w:rFonts w:ascii="宋体" w:hAnsi="宋体" w:eastAsia="宋体" w:cs="宋体"/>
                        <w:spacing w:val="-11"/>
                        <w:sz w:val="19"/>
                        <w:szCs w:val="19"/>
                      </w:rPr>
                      <w:t>统</w:t>
                    </w:r>
                  </w:p>
                </w:txbxContent>
              </v:textbox>
            </v:shape>
            <v:shape id="_x0000_s1244" o:spid="_x0000_s1244" o:spt="202" type="#_x0000_t202" style="position:absolute;left:1660;top:1177;height:230;width:909;" filled="f" stroked="f" coordsize="21600,21600">
              <v:path/>
              <v:fill on="f" focussize="0,0"/>
              <v:stroke on="f"/>
              <v:imagedata o:title=""/>
              <o:lock v:ext="edit" aspectratio="f"/>
              <v:textbox inset="0mm,0mm,0mm,0mm">
                <w:txbxContent>
                  <w:p w14:paraId="0E3DAD24">
                    <w:pPr>
                      <w:spacing w:before="19" w:line="219" w:lineRule="auto"/>
                      <w:ind w:left="20"/>
                      <w:rPr>
                        <w:rFonts w:ascii="宋体" w:hAnsi="宋体" w:eastAsia="宋体" w:cs="宋体"/>
                        <w:sz w:val="19"/>
                        <w:szCs w:val="19"/>
                      </w:rPr>
                    </w:pPr>
                    <w:r>
                      <w:rPr>
                        <w:rFonts w:ascii="宋体" w:hAnsi="宋体" w:eastAsia="宋体" w:cs="宋体"/>
                        <w:spacing w:val="-15"/>
                        <w:sz w:val="19"/>
                        <w:szCs w:val="19"/>
                      </w:rPr>
                      <w:t>干</w:t>
                    </w:r>
                    <w:r>
                      <w:rPr>
                        <w:rFonts w:ascii="宋体" w:hAnsi="宋体" w:eastAsia="宋体" w:cs="宋体"/>
                        <w:spacing w:val="-14"/>
                        <w:sz w:val="19"/>
                        <w:szCs w:val="19"/>
                      </w:rPr>
                      <w:t>线子系</w:t>
                    </w:r>
                    <w:r>
                      <w:rPr>
                        <w:rFonts w:ascii="宋体" w:hAnsi="宋体" w:eastAsia="宋体" w:cs="宋体"/>
                        <w:spacing w:val="-13"/>
                        <w:sz w:val="19"/>
                        <w:szCs w:val="19"/>
                      </w:rPr>
                      <w:t>统</w:t>
                    </w:r>
                  </w:p>
                </w:txbxContent>
              </v:textbox>
            </v:shape>
            <v:shape id="_x0000_s1245" o:spid="_x0000_s1245" o:spt="202" type="#_x0000_t202" style="position:absolute;left:6050;top:1187;height:230;width:733;" filled="f" stroked="f" coordsize="21600,21600">
              <v:path/>
              <v:fill on="f" focussize="0,0"/>
              <v:stroke on="f"/>
              <v:imagedata o:title=""/>
              <o:lock v:ext="edit" aspectratio="f"/>
              <v:textbox inset="0mm,0mm,0mm,0mm">
                <w:txbxContent>
                  <w:p w14:paraId="5F6003AA">
                    <w:pPr>
                      <w:spacing w:before="20" w:line="219" w:lineRule="auto"/>
                      <w:ind w:right="3"/>
                      <w:jc w:val="right"/>
                      <w:rPr>
                        <w:rFonts w:ascii="宋体" w:hAnsi="宋体" w:eastAsia="宋体" w:cs="宋体"/>
                        <w:sz w:val="19"/>
                        <w:szCs w:val="19"/>
                      </w:rPr>
                    </w:pPr>
                    <w:r>
                      <w:rPr>
                        <w:rFonts w:ascii="宋体" w:hAnsi="宋体" w:eastAsia="宋体" w:cs="宋体"/>
                        <w:spacing w:val="-13"/>
                        <w:sz w:val="19"/>
                        <w:szCs w:val="19"/>
                      </w:rPr>
                      <w:t>设备缆线</w:t>
                    </w:r>
                  </w:p>
                </w:txbxContent>
              </v:textbox>
            </v:shape>
            <v:shape id="_x0000_s1246" o:spid="_x0000_s1246" o:spt="202" type="#_x0000_t202" style="position:absolute;left:220;top:66;height:173;width:297;" filled="f" stroked="f" coordsize="21600,21600">
              <v:path/>
              <v:fill on="f" focussize="0,0"/>
              <v:stroke on="f"/>
              <v:imagedata o:title=""/>
              <o:lock v:ext="edit" aspectratio="f"/>
              <v:textbox inset="0mm,0mm,0mm,0mm">
                <w:txbxContent>
                  <w:p w14:paraId="26FD4188">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CD</w:t>
                    </w:r>
                  </w:p>
                </w:txbxContent>
              </v:textbox>
            </v:shape>
            <v:shape id="_x0000_s1247" o:spid="_x0000_s1247" o:spt="202" type="#_x0000_t202" style="position:absolute;left:1570;top:82;height:167;width:301;" filled="f" stroked="f" coordsize="21600,21600">
              <v:path/>
              <v:fill on="f" focussize="0,0"/>
              <v:stroke on="f"/>
              <v:imagedata o:title=""/>
              <o:lock v:ext="edit" aspectratio="f"/>
              <v:textbox inset="0mm,0mm,0mm,0mm">
                <w:txbxContent>
                  <w:p w14:paraId="6C65E1FA">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BD</w:t>
                    </w:r>
                  </w:p>
                </w:txbxContent>
              </v:textbox>
            </v:shape>
            <w10:wrap type="none"/>
            <w10:anchorlock/>
          </v:group>
        </w:pict>
      </w:r>
    </w:p>
    <w:p w14:paraId="121D4BE8">
      <w:pPr>
        <w:pStyle w:val="2"/>
        <w:spacing w:before="66" w:line="219" w:lineRule="auto"/>
        <w:ind w:left="3100"/>
        <w:rPr>
          <w:sz w:val="19"/>
          <w:szCs w:val="19"/>
        </w:rPr>
      </w:pPr>
      <w:r>
        <w:rPr>
          <w:spacing w:val="-7"/>
          <w:sz w:val="19"/>
          <w:szCs w:val="19"/>
        </w:rPr>
        <w:t>图3-14</w:t>
      </w:r>
      <w:r>
        <w:rPr>
          <w:spacing w:val="61"/>
          <w:sz w:val="19"/>
          <w:szCs w:val="19"/>
        </w:rPr>
        <w:t xml:space="preserve"> </w:t>
      </w:r>
      <w:r>
        <w:rPr>
          <w:spacing w:val="-7"/>
          <w:sz w:val="19"/>
          <w:szCs w:val="19"/>
        </w:rPr>
        <w:t>综合布线系统构成</w:t>
      </w:r>
    </w:p>
    <w:p w14:paraId="4FF6927C">
      <w:pPr>
        <w:pStyle w:val="2"/>
        <w:spacing w:before="204" w:line="293" w:lineRule="auto"/>
        <w:ind w:right="268" w:firstLine="410"/>
        <w:jc w:val="both"/>
        <w:rPr>
          <w:sz w:val="19"/>
          <w:szCs w:val="19"/>
        </w:rPr>
      </w:pPr>
      <w:r>
        <w:rPr>
          <w:spacing w:val="9"/>
          <w:sz w:val="19"/>
          <w:szCs w:val="19"/>
        </w:rPr>
        <w:t>综合布线系统工程中的产品类别及链路、信道等级的确定应综合考虑建筑物的性质、功能、</w:t>
      </w:r>
      <w:r>
        <w:rPr>
          <w:spacing w:val="13"/>
          <w:sz w:val="19"/>
          <w:szCs w:val="19"/>
        </w:rPr>
        <w:t xml:space="preserve"> 应用网络和业务对传输带宽及缆线长度的要求、业务终端的类型、业务的需求</w:t>
      </w:r>
      <w:r>
        <w:rPr>
          <w:spacing w:val="12"/>
          <w:sz w:val="19"/>
          <w:szCs w:val="19"/>
        </w:rPr>
        <w:t>及发展、性能价</w:t>
      </w:r>
      <w:r>
        <w:rPr>
          <w:sz w:val="19"/>
          <w:szCs w:val="19"/>
        </w:rPr>
        <w:t xml:space="preserve"> </w:t>
      </w:r>
      <w:r>
        <w:rPr>
          <w:spacing w:val="9"/>
          <w:sz w:val="19"/>
          <w:szCs w:val="19"/>
        </w:rPr>
        <w:t>格、现场安装条件等因素，并应符合国家相关</w:t>
      </w:r>
      <w:r>
        <w:rPr>
          <w:spacing w:val="8"/>
          <w:sz w:val="19"/>
          <w:szCs w:val="19"/>
        </w:rPr>
        <w:t>标准规范的规定。</w:t>
      </w:r>
    </w:p>
    <w:p w14:paraId="2831BA35">
      <w:pPr>
        <w:pStyle w:val="2"/>
        <w:spacing w:before="157" w:line="220" w:lineRule="auto"/>
        <w:ind w:left="2"/>
        <w:rPr>
          <w:sz w:val="25"/>
          <w:szCs w:val="25"/>
        </w:rPr>
      </w:pPr>
      <w:r>
        <w:rPr>
          <w:b/>
          <w:bCs/>
          <w:color w:val="0055C6"/>
          <w:spacing w:val="-20"/>
          <w:sz w:val="25"/>
          <w:szCs w:val="25"/>
        </w:rPr>
        <w:t>3.7.3</w:t>
      </w:r>
      <w:r>
        <w:rPr>
          <w:color w:val="0055C6"/>
          <w:spacing w:val="101"/>
          <w:sz w:val="25"/>
          <w:szCs w:val="25"/>
        </w:rPr>
        <w:t xml:space="preserve"> </w:t>
      </w:r>
      <w:r>
        <w:rPr>
          <w:b/>
          <w:bCs/>
          <w:color w:val="0055C6"/>
          <w:spacing w:val="-20"/>
          <w:sz w:val="25"/>
          <w:szCs w:val="25"/>
        </w:rPr>
        <w:t>监控系统</w:t>
      </w:r>
    </w:p>
    <w:p w14:paraId="1ACDE1EA">
      <w:pPr>
        <w:pStyle w:val="2"/>
        <w:spacing w:before="182" w:line="292" w:lineRule="auto"/>
        <w:ind w:right="323" w:firstLine="410"/>
        <w:jc w:val="both"/>
        <w:rPr>
          <w:sz w:val="19"/>
          <w:szCs w:val="19"/>
        </w:rPr>
      </w:pPr>
      <w:r>
        <w:rPr>
          <w:spacing w:val="13"/>
          <w:sz w:val="19"/>
          <w:szCs w:val="19"/>
        </w:rPr>
        <w:t>机房监控系统主要是对机房环境自身和所承载的信息网络设备进</w:t>
      </w:r>
      <w:r>
        <w:rPr>
          <w:spacing w:val="12"/>
          <w:sz w:val="19"/>
          <w:szCs w:val="19"/>
        </w:rPr>
        <w:t>行集中监控和管理，通过</w:t>
      </w:r>
      <w:r>
        <w:rPr>
          <w:sz w:val="19"/>
          <w:szCs w:val="19"/>
        </w:rPr>
        <w:t xml:space="preserve"> </w:t>
      </w:r>
      <w:r>
        <w:rPr>
          <w:spacing w:val="13"/>
          <w:sz w:val="19"/>
          <w:szCs w:val="19"/>
        </w:rPr>
        <w:t>监控系统收集机房运行的各种参数数据，进行实时分析和研判，当出现问题时或者有潜在隐患</w:t>
      </w:r>
      <w:r>
        <w:rPr>
          <w:spacing w:val="5"/>
          <w:sz w:val="19"/>
          <w:szCs w:val="19"/>
        </w:rPr>
        <w:t xml:space="preserve"> </w:t>
      </w:r>
      <w:r>
        <w:rPr>
          <w:spacing w:val="8"/>
          <w:sz w:val="19"/>
          <w:szCs w:val="19"/>
        </w:rPr>
        <w:t>时，及时或者预先通知机房及专业维护人员，做出判断和进行相关处置动作。</w:t>
      </w:r>
    </w:p>
    <w:p w14:paraId="08FA3328">
      <w:pPr>
        <w:pStyle w:val="2"/>
        <w:spacing w:before="38" w:line="280" w:lineRule="auto"/>
        <w:ind w:right="334" w:firstLine="410"/>
        <w:rPr>
          <w:sz w:val="19"/>
          <w:szCs w:val="19"/>
        </w:rPr>
      </w:pPr>
      <w:r>
        <w:rPr>
          <w:spacing w:val="13"/>
          <w:sz w:val="19"/>
          <w:szCs w:val="19"/>
        </w:rPr>
        <w:t>机房监控系统自身也经历了从简单到复杂、从分专业独立到综合</w:t>
      </w:r>
      <w:r>
        <w:rPr>
          <w:spacing w:val="12"/>
          <w:sz w:val="19"/>
          <w:szCs w:val="19"/>
        </w:rPr>
        <w:t>、从功能性监测到基于人</w:t>
      </w:r>
      <w:r>
        <w:rPr>
          <w:sz w:val="19"/>
          <w:szCs w:val="19"/>
        </w:rPr>
        <w:t xml:space="preserve"> </w:t>
      </w:r>
      <w:r>
        <w:rPr>
          <w:spacing w:val="5"/>
          <w:sz w:val="19"/>
          <w:szCs w:val="19"/>
        </w:rPr>
        <w:t>工智能的智能化监控的转变。</w:t>
      </w:r>
    </w:p>
    <w:p w14:paraId="03B2AE56">
      <w:pPr>
        <w:pStyle w:val="2"/>
        <w:spacing w:before="26" w:line="286" w:lineRule="auto"/>
        <w:ind w:right="308" w:firstLine="410"/>
        <w:jc w:val="both"/>
        <w:rPr>
          <w:sz w:val="19"/>
          <w:szCs w:val="19"/>
        </w:rPr>
      </w:pPr>
      <w:r>
        <w:rPr>
          <w:spacing w:val="13"/>
          <w:sz w:val="19"/>
          <w:szCs w:val="19"/>
        </w:rPr>
        <w:t>机房监控对象可涵盖机房环境、承载设备和运行所涉及的方方面面</w:t>
      </w:r>
      <w:r>
        <w:rPr>
          <w:spacing w:val="12"/>
          <w:sz w:val="19"/>
          <w:szCs w:val="19"/>
        </w:rPr>
        <w:t>，包括内部各类动力设</w:t>
      </w:r>
      <w:r>
        <w:rPr>
          <w:sz w:val="19"/>
          <w:szCs w:val="19"/>
        </w:rPr>
        <w:t xml:space="preserve"> </w:t>
      </w:r>
      <w:r>
        <w:rPr>
          <w:spacing w:val="13"/>
          <w:sz w:val="19"/>
          <w:szCs w:val="19"/>
        </w:rPr>
        <w:t>备、各类环境设施、消防设施、安防设施、所承载的信息网络设备等。机房监控</w:t>
      </w:r>
      <w:r>
        <w:rPr>
          <w:spacing w:val="12"/>
          <w:sz w:val="19"/>
          <w:szCs w:val="19"/>
        </w:rPr>
        <w:t>的具体作用包</w:t>
      </w:r>
      <w:r>
        <w:rPr>
          <w:sz w:val="19"/>
          <w:szCs w:val="19"/>
        </w:rPr>
        <w:t xml:space="preserve"> </w:t>
      </w:r>
      <w:r>
        <w:rPr>
          <w:spacing w:val="13"/>
          <w:sz w:val="19"/>
          <w:szCs w:val="19"/>
        </w:rPr>
        <w:t>括：自动预警、报警，使机房故障能及时处置，避免扩大故障影响；让运维人员从烦琐、复杂</w:t>
      </w:r>
      <w:r>
        <w:rPr>
          <w:sz w:val="19"/>
          <w:szCs w:val="19"/>
        </w:rPr>
        <w:t xml:space="preserve"> </w:t>
      </w:r>
      <w:r>
        <w:rPr>
          <w:spacing w:val="14"/>
          <w:sz w:val="19"/>
          <w:szCs w:val="19"/>
        </w:rPr>
        <w:t>的运维工作中解脱出来，做到机房智能运维管</w:t>
      </w:r>
      <w:r>
        <w:rPr>
          <w:spacing w:val="13"/>
          <w:sz w:val="19"/>
          <w:szCs w:val="19"/>
        </w:rPr>
        <w:t>理模式；机房得到有效的管理，防护效果提升，</w:t>
      </w:r>
      <w:r>
        <w:rPr>
          <w:sz w:val="19"/>
          <w:szCs w:val="19"/>
        </w:rPr>
        <w:t xml:space="preserve"> </w:t>
      </w:r>
      <w:r>
        <w:rPr>
          <w:spacing w:val="8"/>
          <w:sz w:val="19"/>
          <w:szCs w:val="19"/>
        </w:rPr>
        <w:t>业务系统能长期运行，为企业创造直接、间接的利益。</w:t>
      </w:r>
    </w:p>
    <w:p w14:paraId="67DA8CA9">
      <w:pPr>
        <w:spacing w:line="286" w:lineRule="auto"/>
        <w:rPr>
          <w:sz w:val="19"/>
          <w:szCs w:val="19"/>
        </w:rPr>
        <w:sectPr>
          <w:pgSz w:w="10290" w:h="13310"/>
          <w:pgMar w:top="400" w:right="527" w:bottom="400" w:left="1109" w:header="0" w:footer="0" w:gutter="0"/>
          <w:cols w:space="720" w:num="1"/>
        </w:sectPr>
      </w:pPr>
    </w:p>
    <w:p w14:paraId="411334B5">
      <w:pPr>
        <w:pStyle w:val="2"/>
        <w:spacing w:before="97" w:line="219" w:lineRule="auto"/>
        <w:rPr>
          <w:sz w:val="19"/>
          <w:szCs w:val="19"/>
        </w:rPr>
      </w:pPr>
      <w:r>
        <w:rPr>
          <w:rFonts w:ascii="Times New Roman" w:hAnsi="Times New Roman" w:eastAsia="Times New Roman" w:cs="Times New Roman"/>
          <w:spacing w:val="3"/>
          <w:position w:val="-1"/>
          <w:sz w:val="19"/>
          <w:szCs w:val="19"/>
        </w:rPr>
        <w:t xml:space="preserve">118              </w:t>
      </w:r>
      <w:r>
        <w:rPr>
          <w:spacing w:val="3"/>
          <w:sz w:val="19"/>
          <w:szCs w:val="19"/>
        </w:rPr>
        <w:t>信息系统监理师教程(第2版)</w:t>
      </w:r>
    </w:p>
    <w:p w14:paraId="6C742E65">
      <w:pPr>
        <w:spacing w:line="339" w:lineRule="auto"/>
        <w:rPr>
          <w:rFonts w:ascii="Arial"/>
          <w:sz w:val="21"/>
        </w:rPr>
      </w:pPr>
    </w:p>
    <w:p w14:paraId="5CCC0F08">
      <w:pPr>
        <w:pStyle w:val="2"/>
        <w:spacing w:before="62" w:line="219" w:lineRule="auto"/>
        <w:ind w:left="749"/>
        <w:rPr>
          <w:sz w:val="19"/>
          <w:szCs w:val="19"/>
        </w:rPr>
      </w:pPr>
      <w:r>
        <w:rPr>
          <w:spacing w:val="15"/>
          <w:sz w:val="19"/>
          <w:szCs w:val="19"/>
        </w:rPr>
        <w:t>典型的机房监控功能系统(子系统)包括但不限于：</w:t>
      </w:r>
    </w:p>
    <w:p w14:paraId="77E97D8D">
      <w:pPr>
        <w:pStyle w:val="2"/>
        <w:spacing w:before="75" w:line="288" w:lineRule="auto"/>
        <w:ind w:left="339" w:right="26" w:firstLine="410"/>
        <w:rPr>
          <w:sz w:val="19"/>
          <w:szCs w:val="19"/>
        </w:rPr>
      </w:pPr>
      <w:r>
        <w:rPr>
          <w:spacing w:val="15"/>
          <w:sz w:val="19"/>
          <w:szCs w:val="19"/>
        </w:rPr>
        <w:t>(1)机房动力环境系统监控。为保障机房安全正常运行，与之配套的机房动力系统、环境</w:t>
      </w:r>
      <w:r>
        <w:rPr>
          <w:spacing w:val="12"/>
          <w:sz w:val="19"/>
          <w:szCs w:val="19"/>
        </w:rPr>
        <w:t xml:space="preserve"> </w:t>
      </w:r>
      <w:r>
        <w:rPr>
          <w:spacing w:val="13"/>
          <w:sz w:val="19"/>
          <w:szCs w:val="19"/>
        </w:rPr>
        <w:t>系统、消防系统、安保系统必须时刻稳定协调工作。如果机房动力及环境设备出现故障，轻则</w:t>
      </w:r>
      <w:r>
        <w:rPr>
          <w:spacing w:val="2"/>
          <w:sz w:val="19"/>
          <w:szCs w:val="19"/>
        </w:rPr>
        <w:t xml:space="preserve"> </w:t>
      </w:r>
      <w:r>
        <w:rPr>
          <w:spacing w:val="13"/>
          <w:sz w:val="19"/>
          <w:szCs w:val="19"/>
        </w:rPr>
        <w:t>影响相关系统的运行，重则造成系统相关设备的报废，后果不堪设想。因此对通</w:t>
      </w:r>
      <w:r>
        <w:rPr>
          <w:spacing w:val="12"/>
          <w:sz w:val="19"/>
          <w:szCs w:val="19"/>
        </w:rPr>
        <w:t>信机房的环境</w:t>
      </w:r>
      <w:r>
        <w:rPr>
          <w:sz w:val="19"/>
          <w:szCs w:val="19"/>
        </w:rPr>
        <w:t xml:space="preserve"> </w:t>
      </w:r>
      <w:r>
        <w:rPr>
          <w:spacing w:val="5"/>
          <w:sz w:val="19"/>
          <w:szCs w:val="19"/>
        </w:rPr>
        <w:t>系统进行实时集中地监控极其必要。</w:t>
      </w:r>
    </w:p>
    <w:p w14:paraId="18AF9CDB">
      <w:pPr>
        <w:pStyle w:val="2"/>
        <w:spacing w:before="102" w:line="281" w:lineRule="auto"/>
        <w:ind w:left="339" w:firstLine="410"/>
        <w:rPr>
          <w:sz w:val="19"/>
          <w:szCs w:val="19"/>
        </w:rPr>
      </w:pPr>
      <w:r>
        <w:rPr>
          <w:spacing w:val="17"/>
          <w:sz w:val="19"/>
          <w:szCs w:val="19"/>
        </w:rPr>
        <w:t>(2)机房系统/网络设备监控。机房里有成千上万的设备，监控这些设备的运行是非常必</w:t>
      </w:r>
      <w:r>
        <w:rPr>
          <w:spacing w:val="14"/>
          <w:sz w:val="19"/>
          <w:szCs w:val="19"/>
        </w:rPr>
        <w:t xml:space="preserve"> </w:t>
      </w:r>
      <w:r>
        <w:rPr>
          <w:spacing w:val="15"/>
          <w:sz w:val="19"/>
          <w:szCs w:val="19"/>
        </w:rPr>
        <w:t>要的，如服务器运行中的</w:t>
      </w:r>
      <w:r>
        <w:rPr>
          <w:rFonts w:ascii="Times New Roman" w:hAnsi="Times New Roman" w:eastAsia="Times New Roman" w:cs="Times New Roman"/>
          <w:sz w:val="19"/>
          <w:szCs w:val="19"/>
        </w:rPr>
        <w:t>CPU</w:t>
      </w:r>
      <w:r>
        <w:rPr>
          <w:rFonts w:ascii="Times New Roman" w:hAnsi="Times New Roman" w:eastAsia="Times New Roman" w:cs="Times New Roman"/>
          <w:spacing w:val="15"/>
          <w:sz w:val="19"/>
          <w:szCs w:val="19"/>
        </w:rPr>
        <w:t xml:space="preserve">/  </w:t>
      </w:r>
      <w:r>
        <w:rPr>
          <w:spacing w:val="15"/>
          <w:sz w:val="19"/>
          <w:szCs w:val="19"/>
        </w:rPr>
        <w:t>内存等参数、网络设备的端口流量、业务运行层面的监控等，</w:t>
      </w:r>
      <w:r>
        <w:rPr>
          <w:spacing w:val="11"/>
          <w:sz w:val="19"/>
          <w:szCs w:val="19"/>
        </w:rPr>
        <w:t xml:space="preserve"> </w:t>
      </w:r>
      <w:r>
        <w:rPr>
          <w:spacing w:val="7"/>
          <w:sz w:val="19"/>
          <w:szCs w:val="19"/>
        </w:rPr>
        <w:t>设备运行的有关参数需要清晰呈现并进行必要的分析处置。</w:t>
      </w:r>
    </w:p>
    <w:p w14:paraId="66353499">
      <w:pPr>
        <w:pStyle w:val="2"/>
        <w:spacing w:before="83" w:line="260" w:lineRule="auto"/>
        <w:ind w:left="339" w:right="27" w:firstLine="410"/>
        <w:rPr>
          <w:sz w:val="19"/>
          <w:szCs w:val="19"/>
        </w:rPr>
      </w:pPr>
      <w:r>
        <w:rPr>
          <w:spacing w:val="15"/>
          <w:sz w:val="19"/>
          <w:szCs w:val="19"/>
        </w:rPr>
        <w:t>(3)机房门禁监控。为保障业务保密和机房安全运行，防止无关人员进入，要监控进出机</w:t>
      </w:r>
      <w:r>
        <w:rPr>
          <w:spacing w:val="11"/>
          <w:sz w:val="19"/>
          <w:szCs w:val="19"/>
        </w:rPr>
        <w:t xml:space="preserve"> </w:t>
      </w:r>
      <w:r>
        <w:rPr>
          <w:spacing w:val="7"/>
          <w:sz w:val="19"/>
          <w:szCs w:val="19"/>
        </w:rPr>
        <w:t>房的人员，如在机房出入口部署摄像头、门禁等监控设备。</w:t>
      </w:r>
    </w:p>
    <w:p w14:paraId="4ECC59D2">
      <w:pPr>
        <w:pStyle w:val="2"/>
        <w:spacing w:before="94" w:line="275" w:lineRule="auto"/>
        <w:ind w:left="339" w:right="26" w:firstLine="410"/>
        <w:rPr>
          <w:sz w:val="19"/>
          <w:szCs w:val="19"/>
        </w:rPr>
      </w:pPr>
      <w:r>
        <w:rPr>
          <w:spacing w:val="16"/>
          <w:sz w:val="19"/>
          <w:szCs w:val="19"/>
        </w:rPr>
        <w:t>(4)机房环境消防监控。机房内存放的是精密电子设备，</w:t>
      </w:r>
      <w:r>
        <w:rPr>
          <w:spacing w:val="75"/>
          <w:sz w:val="19"/>
          <w:szCs w:val="19"/>
        </w:rPr>
        <w:t xml:space="preserve"> </w:t>
      </w:r>
      <w:r>
        <w:rPr>
          <w:spacing w:val="16"/>
          <w:sz w:val="19"/>
          <w:szCs w:val="19"/>
        </w:rPr>
        <w:t>一旦</w:t>
      </w:r>
      <w:r>
        <w:rPr>
          <w:spacing w:val="15"/>
          <w:sz w:val="19"/>
          <w:szCs w:val="19"/>
        </w:rPr>
        <w:t>发生火灾，对于机房就是</w:t>
      </w:r>
      <w:r>
        <w:rPr>
          <w:sz w:val="19"/>
          <w:szCs w:val="19"/>
        </w:rPr>
        <w:t xml:space="preserve"> </w:t>
      </w:r>
      <w:r>
        <w:rPr>
          <w:spacing w:val="13"/>
          <w:sz w:val="19"/>
          <w:szCs w:val="19"/>
        </w:rPr>
        <w:t>毁灭性的打击。应时刻注意机房的温湿度、粉尘、气体和消防，最大程度避免机房发生火灾等</w:t>
      </w:r>
      <w:r>
        <w:rPr>
          <w:spacing w:val="14"/>
          <w:sz w:val="19"/>
          <w:szCs w:val="19"/>
        </w:rPr>
        <w:t xml:space="preserve"> </w:t>
      </w:r>
      <w:r>
        <w:rPr>
          <w:spacing w:val="1"/>
          <w:sz w:val="19"/>
          <w:szCs w:val="19"/>
        </w:rPr>
        <w:t>事故。</w:t>
      </w:r>
    </w:p>
    <w:p w14:paraId="3290F363">
      <w:pPr>
        <w:pStyle w:val="2"/>
        <w:spacing w:before="242" w:line="219" w:lineRule="auto"/>
        <w:ind w:left="342"/>
        <w:rPr>
          <w:sz w:val="26"/>
          <w:szCs w:val="26"/>
        </w:rPr>
      </w:pPr>
      <w:bookmarkStart w:id="544" w:name="bookmark531"/>
      <w:bookmarkEnd w:id="544"/>
      <w:r>
        <w:rPr>
          <w:b/>
          <w:bCs/>
          <w:color w:val="0080E2"/>
          <w:spacing w:val="-26"/>
          <w:sz w:val="26"/>
          <w:szCs w:val="26"/>
        </w:rPr>
        <w:t>3.7.4</w:t>
      </w:r>
      <w:r>
        <w:rPr>
          <w:color w:val="0080E2"/>
          <w:spacing w:val="84"/>
          <w:sz w:val="26"/>
          <w:szCs w:val="26"/>
        </w:rPr>
        <w:t xml:space="preserve"> </w:t>
      </w:r>
      <w:r>
        <w:rPr>
          <w:b/>
          <w:bCs/>
          <w:color w:val="0080E2"/>
          <w:spacing w:val="-26"/>
          <w:sz w:val="26"/>
          <w:szCs w:val="26"/>
        </w:rPr>
        <w:t>节能降耗</w:t>
      </w:r>
    </w:p>
    <w:p w14:paraId="4C9895D0">
      <w:pPr>
        <w:pStyle w:val="2"/>
        <w:spacing w:before="174" w:line="292" w:lineRule="auto"/>
        <w:ind w:left="339" w:right="45" w:firstLine="410"/>
        <w:jc w:val="both"/>
        <w:rPr>
          <w:sz w:val="19"/>
          <w:szCs w:val="19"/>
        </w:rPr>
      </w:pPr>
      <w:r>
        <w:rPr>
          <w:spacing w:val="13"/>
          <w:sz w:val="19"/>
          <w:szCs w:val="19"/>
        </w:rPr>
        <w:t>随着信息通信系统规模的不断扩大，以及人们对温室气体排放、节</w:t>
      </w:r>
      <w:r>
        <w:rPr>
          <w:spacing w:val="12"/>
          <w:sz w:val="19"/>
          <w:szCs w:val="19"/>
        </w:rPr>
        <w:t>能减排的愈发重视，各</w:t>
      </w:r>
      <w:r>
        <w:rPr>
          <w:sz w:val="19"/>
          <w:szCs w:val="19"/>
        </w:rPr>
        <w:t xml:space="preserve"> </w:t>
      </w:r>
      <w:r>
        <w:rPr>
          <w:spacing w:val="13"/>
          <w:sz w:val="19"/>
          <w:szCs w:val="19"/>
        </w:rPr>
        <w:t>类机房设施尤其是数据中心等高能耗机房的节能降耗问题日益引发关注，绿色节</w:t>
      </w:r>
      <w:r>
        <w:rPr>
          <w:spacing w:val="12"/>
          <w:sz w:val="19"/>
          <w:szCs w:val="19"/>
        </w:rPr>
        <w:t>能机房、绿色</w:t>
      </w:r>
      <w:r>
        <w:rPr>
          <w:sz w:val="19"/>
          <w:szCs w:val="19"/>
        </w:rPr>
        <w:t xml:space="preserve"> </w:t>
      </w:r>
      <w:r>
        <w:rPr>
          <w:spacing w:val="6"/>
          <w:sz w:val="19"/>
          <w:szCs w:val="19"/>
        </w:rPr>
        <w:t>数据中心建设已经成为必选项。</w:t>
      </w:r>
    </w:p>
    <w:p w14:paraId="1B527EC7">
      <w:pPr>
        <w:pStyle w:val="2"/>
        <w:spacing w:before="36" w:line="219" w:lineRule="auto"/>
        <w:ind w:left="749"/>
        <w:rPr>
          <w:sz w:val="19"/>
          <w:szCs w:val="19"/>
        </w:rPr>
      </w:pPr>
      <w:r>
        <w:rPr>
          <w:spacing w:val="5"/>
          <w:sz w:val="19"/>
          <w:szCs w:val="19"/>
        </w:rPr>
        <w:t>机房的节能降耗是多方面的，包括：</w:t>
      </w:r>
    </w:p>
    <w:p w14:paraId="0FFD5EC4">
      <w:pPr>
        <w:pStyle w:val="2"/>
        <w:spacing w:before="105" w:line="255" w:lineRule="auto"/>
        <w:ind w:left="339" w:right="40" w:firstLine="410"/>
        <w:rPr>
          <w:sz w:val="19"/>
          <w:szCs w:val="19"/>
        </w:rPr>
      </w:pPr>
      <w:r>
        <w:rPr>
          <w:spacing w:val="15"/>
          <w:sz w:val="19"/>
          <w:szCs w:val="19"/>
        </w:rPr>
        <w:t>(1)在机房选址和规划建设方面，就应考虑选址是否有利于节能和降低能源成本，机</w:t>
      </w:r>
      <w:r>
        <w:rPr>
          <w:spacing w:val="14"/>
          <w:sz w:val="19"/>
          <w:szCs w:val="19"/>
        </w:rPr>
        <w:t>房的</w:t>
      </w:r>
      <w:r>
        <w:rPr>
          <w:sz w:val="19"/>
          <w:szCs w:val="19"/>
        </w:rPr>
        <w:t xml:space="preserve"> </w:t>
      </w:r>
      <w:r>
        <w:rPr>
          <w:spacing w:val="7"/>
          <w:sz w:val="19"/>
          <w:szCs w:val="19"/>
        </w:rPr>
        <w:t>密封、绝热、配风、气流组织等设计是否合理，是否能降低空调等成本；</w:t>
      </w:r>
    </w:p>
    <w:p w14:paraId="7654AA23">
      <w:pPr>
        <w:pStyle w:val="2"/>
        <w:spacing w:before="86" w:line="265" w:lineRule="auto"/>
        <w:ind w:left="339" w:firstLine="410"/>
        <w:rPr>
          <w:sz w:val="19"/>
          <w:szCs w:val="19"/>
        </w:rPr>
      </w:pPr>
      <w:r>
        <w:rPr>
          <w:spacing w:val="16"/>
          <w:sz w:val="19"/>
          <w:szCs w:val="19"/>
        </w:rPr>
        <w:t>(2)机房内部的规划布局、机柜的布局排列是否能分隔冷热气流，形成良好的气流组</w:t>
      </w:r>
      <w:r>
        <w:rPr>
          <w:spacing w:val="15"/>
          <w:sz w:val="19"/>
          <w:szCs w:val="19"/>
        </w:rPr>
        <w:t>织，</w:t>
      </w:r>
      <w:r>
        <w:rPr>
          <w:sz w:val="19"/>
          <w:szCs w:val="19"/>
        </w:rPr>
        <w:t xml:space="preserve"> </w:t>
      </w:r>
      <w:r>
        <w:rPr>
          <w:spacing w:val="4"/>
          <w:sz w:val="19"/>
          <w:szCs w:val="19"/>
        </w:rPr>
        <w:t>提高空调使用效率；</w:t>
      </w:r>
    </w:p>
    <w:p w14:paraId="65672149">
      <w:pPr>
        <w:pStyle w:val="2"/>
        <w:spacing w:before="83" w:line="219" w:lineRule="auto"/>
        <w:ind w:left="749"/>
        <w:rPr>
          <w:sz w:val="19"/>
          <w:szCs w:val="19"/>
        </w:rPr>
      </w:pPr>
      <w:r>
        <w:rPr>
          <w:spacing w:val="11"/>
          <w:sz w:val="19"/>
          <w:szCs w:val="19"/>
        </w:rPr>
        <w:t>(3)各种设备本身，例如机柜、服务器本</w:t>
      </w:r>
      <w:r>
        <w:rPr>
          <w:spacing w:val="10"/>
          <w:sz w:val="19"/>
          <w:szCs w:val="19"/>
        </w:rPr>
        <w:t>身等是否具备一定的节能降耗措施；</w:t>
      </w:r>
    </w:p>
    <w:p w14:paraId="5FF06204">
      <w:pPr>
        <w:pStyle w:val="2"/>
        <w:spacing w:before="105" w:line="274" w:lineRule="auto"/>
        <w:ind w:left="339" w:right="45" w:firstLine="410"/>
        <w:rPr>
          <w:sz w:val="19"/>
          <w:szCs w:val="19"/>
        </w:rPr>
      </w:pPr>
      <w:r>
        <w:rPr>
          <w:spacing w:val="20"/>
          <w:sz w:val="19"/>
          <w:szCs w:val="19"/>
        </w:rPr>
        <w:t>(4)基于人工智能等技术手段，根据对机房内部实时环境监测结果和各类设备系统的能</w:t>
      </w:r>
      <w:r>
        <w:rPr>
          <w:spacing w:val="3"/>
          <w:sz w:val="19"/>
          <w:szCs w:val="19"/>
        </w:rPr>
        <w:t xml:space="preserve"> </w:t>
      </w:r>
      <w:r>
        <w:rPr>
          <w:spacing w:val="13"/>
          <w:sz w:val="19"/>
          <w:szCs w:val="19"/>
        </w:rPr>
        <w:t>源消耗情况进行智能分析和决策，例如采取按需调节动态制冷的手段，以整体降</w:t>
      </w:r>
      <w:r>
        <w:rPr>
          <w:spacing w:val="12"/>
          <w:sz w:val="19"/>
          <w:szCs w:val="19"/>
        </w:rPr>
        <w:t>低机房的能耗</w:t>
      </w:r>
      <w:r>
        <w:rPr>
          <w:sz w:val="19"/>
          <w:szCs w:val="19"/>
        </w:rPr>
        <w:t xml:space="preserve"> </w:t>
      </w:r>
      <w:r>
        <w:rPr>
          <w:spacing w:val="1"/>
          <w:sz w:val="19"/>
          <w:szCs w:val="19"/>
        </w:rPr>
        <w:t>水平。</w:t>
      </w:r>
    </w:p>
    <w:p w14:paraId="14A5A352">
      <w:pPr>
        <w:spacing w:line="274" w:lineRule="auto"/>
        <w:rPr>
          <w:sz w:val="19"/>
          <w:szCs w:val="19"/>
        </w:rPr>
        <w:sectPr>
          <w:pgSz w:w="10310" w:h="13380"/>
          <w:pgMar w:top="400" w:right="1085" w:bottom="400" w:left="520" w:header="0" w:footer="0" w:gutter="0"/>
          <w:cols w:space="720" w:num="1"/>
        </w:sectPr>
      </w:pPr>
    </w:p>
    <w:p w14:paraId="1A2706BB">
      <w:pPr>
        <w:spacing w:line="258" w:lineRule="auto"/>
        <w:rPr>
          <w:rFonts w:ascii="Arial"/>
          <w:sz w:val="21"/>
        </w:rPr>
      </w:pPr>
    </w:p>
    <w:p w14:paraId="674ED995">
      <w:pPr>
        <w:spacing w:line="258" w:lineRule="auto"/>
        <w:rPr>
          <w:rFonts w:ascii="Arial"/>
          <w:sz w:val="21"/>
        </w:rPr>
      </w:pPr>
    </w:p>
    <w:p w14:paraId="7C325A55">
      <w:pPr>
        <w:spacing w:line="259" w:lineRule="auto"/>
        <w:rPr>
          <w:rFonts w:ascii="Arial"/>
          <w:sz w:val="21"/>
        </w:rPr>
      </w:pPr>
    </w:p>
    <w:p w14:paraId="6557921F">
      <w:pPr>
        <w:spacing w:before="130" w:line="229" w:lineRule="auto"/>
        <w:ind w:left="20"/>
        <w:rPr>
          <w:sz w:val="40"/>
          <w:szCs w:val="40"/>
        </w:rPr>
      </w:pPr>
      <w:r>
        <w:rPr>
          <w:rFonts w:ascii="黑体" w:hAnsi="黑体" w:eastAsia="黑体" w:cs="黑体"/>
          <w:color w:val="0054E7"/>
          <w:position w:val="-5"/>
          <w:sz w:val="40"/>
          <w:szCs w:val="40"/>
        </w:rPr>
        <w:drawing>
          <wp:inline distT="0" distB="0" distL="0" distR="0">
            <wp:extent cx="634365" cy="27305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93"/>
                    <a:stretch>
                      <a:fillRect/>
                    </a:stretch>
                  </pic:blipFill>
                  <pic:spPr>
                    <a:xfrm>
                      <a:off x="0" y="0"/>
                      <a:ext cx="634951" cy="273053"/>
                    </a:xfrm>
                    <a:prstGeom prst="rect">
                      <a:avLst/>
                    </a:prstGeom>
                  </pic:spPr>
                </pic:pic>
              </a:graphicData>
            </a:graphic>
          </wp:inline>
        </w:drawing>
      </w:r>
      <w:r>
        <w:rPr>
          <w:rFonts w:ascii="黑体" w:hAnsi="黑体" w:eastAsia="黑体" w:cs="黑体"/>
          <w:color w:val="0054E7"/>
          <w:spacing w:val="39"/>
          <w:sz w:val="40"/>
          <w:szCs w:val="40"/>
        </w:rPr>
        <w:t xml:space="preserve">     </w:t>
      </w:r>
      <w:r>
        <w:rPr>
          <w:rFonts w:ascii="黑体" w:hAnsi="黑体" w:eastAsia="黑体" w:cs="黑体"/>
          <w:b/>
          <w:bCs/>
          <w:color w:val="0054E7"/>
          <w:spacing w:val="12"/>
          <w:sz w:val="40"/>
          <w:szCs w:val="40"/>
        </w:rPr>
        <w:t>第4章</w:t>
      </w:r>
      <w:r>
        <w:rPr>
          <w:rFonts w:ascii="黑体" w:hAnsi="黑体" w:eastAsia="黑体" w:cs="黑体"/>
          <w:color w:val="0054E7"/>
          <w:spacing w:val="198"/>
          <w:sz w:val="40"/>
          <w:szCs w:val="40"/>
        </w:rPr>
        <w:t xml:space="preserve"> </w:t>
      </w:r>
      <w:r>
        <w:rPr>
          <w:rFonts w:ascii="黑体" w:hAnsi="黑体" w:eastAsia="黑体" w:cs="黑体"/>
          <w:b/>
          <w:bCs/>
          <w:color w:val="0054E7"/>
          <w:spacing w:val="12"/>
          <w:sz w:val="40"/>
          <w:szCs w:val="40"/>
        </w:rPr>
        <w:t>信息资源系统</w:t>
      </w:r>
      <w:r>
        <w:rPr>
          <w:rFonts w:ascii="黑体" w:hAnsi="黑体" w:eastAsia="黑体" w:cs="黑体"/>
          <w:color w:val="0054E7"/>
          <w:spacing w:val="32"/>
          <w:sz w:val="40"/>
          <w:szCs w:val="40"/>
        </w:rPr>
        <w:t xml:space="preserve">     </w:t>
      </w:r>
      <w:r>
        <w:rPr>
          <w:position w:val="-6"/>
          <w:sz w:val="40"/>
          <w:szCs w:val="40"/>
        </w:rPr>
        <w:drawing>
          <wp:inline distT="0" distB="0" distL="0" distR="0">
            <wp:extent cx="641350" cy="2667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94"/>
                    <a:stretch>
                      <a:fillRect/>
                    </a:stretch>
                  </pic:blipFill>
                  <pic:spPr>
                    <a:xfrm>
                      <a:off x="0" y="0"/>
                      <a:ext cx="641361" cy="266729"/>
                    </a:xfrm>
                    <a:prstGeom prst="rect">
                      <a:avLst/>
                    </a:prstGeom>
                  </pic:spPr>
                </pic:pic>
              </a:graphicData>
            </a:graphic>
          </wp:inline>
        </w:drawing>
      </w:r>
    </w:p>
    <w:p w14:paraId="3BDED4E4">
      <w:pPr>
        <w:spacing w:line="244" w:lineRule="auto"/>
        <w:rPr>
          <w:rFonts w:ascii="Arial"/>
          <w:sz w:val="21"/>
        </w:rPr>
      </w:pPr>
    </w:p>
    <w:p w14:paraId="0B404E6B">
      <w:pPr>
        <w:spacing w:line="244" w:lineRule="auto"/>
        <w:rPr>
          <w:rFonts w:ascii="Arial"/>
          <w:sz w:val="21"/>
        </w:rPr>
      </w:pPr>
    </w:p>
    <w:p w14:paraId="01368413">
      <w:pPr>
        <w:spacing w:line="244" w:lineRule="auto"/>
        <w:rPr>
          <w:rFonts w:ascii="Arial"/>
          <w:sz w:val="21"/>
        </w:rPr>
      </w:pPr>
    </w:p>
    <w:p w14:paraId="153E874C">
      <w:pPr>
        <w:pStyle w:val="2"/>
        <w:spacing w:before="65" w:line="283" w:lineRule="auto"/>
        <w:ind w:firstLine="410"/>
        <w:jc w:val="both"/>
        <w:rPr>
          <w:sz w:val="20"/>
          <w:szCs w:val="20"/>
        </w:rPr>
      </w:pPr>
      <w:r>
        <w:rPr>
          <w:spacing w:val="3"/>
          <w:sz w:val="20"/>
          <w:szCs w:val="20"/>
        </w:rPr>
        <w:t>传统信息化的业务信息系统正在变得越来越复杂笨重，业务间的关联也越来越强。随着用</w:t>
      </w:r>
      <w:r>
        <w:rPr>
          <w:spacing w:val="6"/>
          <w:sz w:val="20"/>
          <w:szCs w:val="20"/>
        </w:rPr>
        <w:t xml:space="preserve"> </w:t>
      </w:r>
      <w:r>
        <w:rPr>
          <w:sz w:val="20"/>
          <w:szCs w:val="20"/>
        </w:rPr>
        <w:t>户数或业务量的急剧增加，给计算能力、数据存储能力、系统稳定性和安全性带来了巨大挑战。</w:t>
      </w:r>
      <w:r>
        <w:rPr>
          <w:spacing w:val="8"/>
          <w:sz w:val="20"/>
          <w:szCs w:val="20"/>
        </w:rPr>
        <w:t xml:space="preserve"> </w:t>
      </w:r>
      <w:r>
        <w:rPr>
          <w:spacing w:val="9"/>
          <w:sz w:val="20"/>
          <w:szCs w:val="20"/>
        </w:rPr>
        <w:t>为了适应不断增长的业务需要，组织不得不购买更多的</w:t>
      </w:r>
      <w:r>
        <w:rPr>
          <w:spacing w:val="8"/>
          <w:sz w:val="20"/>
          <w:szCs w:val="20"/>
        </w:rPr>
        <w:t>软件(应用软件、数据库、中间件等)</w:t>
      </w:r>
      <w:r>
        <w:rPr>
          <w:sz w:val="20"/>
          <w:szCs w:val="20"/>
        </w:rPr>
        <w:t xml:space="preserve"> </w:t>
      </w:r>
      <w:r>
        <w:rPr>
          <w:spacing w:val="10"/>
          <w:sz w:val="20"/>
          <w:szCs w:val="20"/>
        </w:rPr>
        <w:t>和硬件设备(存储、服务器、负载均衡等),引入更多的专业人员来维持这些软硬件的正常运</w:t>
      </w:r>
      <w:r>
        <w:rPr>
          <w:spacing w:val="3"/>
          <w:sz w:val="20"/>
          <w:szCs w:val="20"/>
        </w:rPr>
        <w:t xml:space="preserve">  行。随着业务的不断增长和变化，支持这些业务的信息系统开销变得非常大，这些信息系统的</w:t>
      </w:r>
      <w:r>
        <w:rPr>
          <w:sz w:val="20"/>
          <w:szCs w:val="20"/>
        </w:rPr>
        <w:t xml:space="preserve">  </w:t>
      </w:r>
      <w:r>
        <w:rPr>
          <w:spacing w:val="3"/>
          <w:sz w:val="20"/>
          <w:szCs w:val="20"/>
        </w:rPr>
        <w:t>维护成本也呈几何级数上升。数据资源平台和云资源系统可以帮助用户解决以上问题。数据资</w:t>
      </w:r>
      <w:r>
        <w:rPr>
          <w:sz w:val="20"/>
          <w:szCs w:val="20"/>
        </w:rPr>
        <w:t xml:space="preserve">  </w:t>
      </w:r>
      <w:r>
        <w:rPr>
          <w:spacing w:val="3"/>
          <w:sz w:val="20"/>
          <w:szCs w:val="20"/>
        </w:rPr>
        <w:t>源平台负责信息系统中的数据存储、计算和相关处理。云资源系统把物理资源、虚</w:t>
      </w:r>
      <w:r>
        <w:rPr>
          <w:spacing w:val="2"/>
          <w:sz w:val="20"/>
          <w:szCs w:val="20"/>
        </w:rPr>
        <w:t>拟资源、平</w:t>
      </w:r>
      <w:r>
        <w:rPr>
          <w:sz w:val="20"/>
          <w:szCs w:val="20"/>
        </w:rPr>
        <w:t xml:space="preserve">  </w:t>
      </w:r>
      <w:r>
        <w:rPr>
          <w:spacing w:val="3"/>
          <w:sz w:val="20"/>
          <w:szCs w:val="20"/>
        </w:rPr>
        <w:t>台资源、应用及数据等信息资源集合起来，将其作为服务资源池，通过网络以不</w:t>
      </w:r>
      <w:r>
        <w:rPr>
          <w:spacing w:val="2"/>
          <w:sz w:val="20"/>
          <w:szCs w:val="20"/>
        </w:rPr>
        <w:t>同服务模式提</w:t>
      </w:r>
      <w:r>
        <w:rPr>
          <w:sz w:val="20"/>
          <w:szCs w:val="20"/>
        </w:rPr>
        <w:t xml:space="preserve">  </w:t>
      </w:r>
      <w:r>
        <w:rPr>
          <w:spacing w:val="-2"/>
          <w:sz w:val="20"/>
          <w:szCs w:val="20"/>
        </w:rPr>
        <w:t>供给用户，满足用户在各种环境和资源需求上的要求。</w:t>
      </w:r>
    </w:p>
    <w:p w14:paraId="4DA2ED8C">
      <w:pPr>
        <w:pStyle w:val="2"/>
        <w:spacing w:before="89" w:line="293" w:lineRule="auto"/>
        <w:ind w:right="90" w:firstLine="410"/>
        <w:rPr>
          <w:sz w:val="16"/>
          <w:szCs w:val="16"/>
        </w:rPr>
      </w:pPr>
      <w:r>
        <w:rPr>
          <w:spacing w:val="8"/>
          <w:sz w:val="20"/>
          <w:szCs w:val="20"/>
        </w:rPr>
        <w:t>本章重点介绍数据资源平台和云资源系统，帮助监理人员奠定资源管理相关的技术理论</w:t>
      </w:r>
      <w:r>
        <w:rPr>
          <w:spacing w:val="4"/>
          <w:sz w:val="20"/>
          <w:szCs w:val="20"/>
        </w:rPr>
        <w:t xml:space="preserve"> </w:t>
      </w:r>
      <w:r>
        <w:rPr>
          <w:spacing w:val="-4"/>
          <w:sz w:val="16"/>
          <w:szCs w:val="16"/>
        </w:rPr>
        <w:t>基</w:t>
      </w:r>
      <w:r>
        <w:rPr>
          <w:spacing w:val="-15"/>
          <w:sz w:val="16"/>
          <w:szCs w:val="16"/>
        </w:rPr>
        <w:t xml:space="preserve"> </w:t>
      </w:r>
      <w:r>
        <w:rPr>
          <w:spacing w:val="-4"/>
          <w:sz w:val="16"/>
          <w:szCs w:val="16"/>
        </w:rPr>
        <w:t>础</w:t>
      </w:r>
      <w:r>
        <w:rPr>
          <w:spacing w:val="-21"/>
          <w:sz w:val="16"/>
          <w:szCs w:val="16"/>
        </w:rPr>
        <w:t xml:space="preserve"> </w:t>
      </w:r>
      <w:r>
        <w:rPr>
          <w:spacing w:val="-4"/>
          <w:sz w:val="16"/>
          <w:szCs w:val="16"/>
        </w:rPr>
        <w:t>。</w:t>
      </w:r>
    </w:p>
    <w:p w14:paraId="6437E54F">
      <w:pPr>
        <w:spacing w:line="387" w:lineRule="auto"/>
        <w:rPr>
          <w:rFonts w:ascii="Arial"/>
          <w:sz w:val="21"/>
        </w:rPr>
      </w:pPr>
    </w:p>
    <w:p w14:paraId="2822E6A6">
      <w:pPr>
        <w:pStyle w:val="2"/>
        <w:spacing w:before="65" w:line="221" w:lineRule="auto"/>
        <w:ind w:left="2"/>
        <w:rPr>
          <w:rFonts w:ascii="黑体" w:hAnsi="黑体" w:eastAsia="黑体" w:cs="黑体"/>
          <w:sz w:val="20"/>
          <w:szCs w:val="20"/>
        </w:rPr>
      </w:pPr>
      <w:r>
        <w:rPr>
          <w:b/>
          <w:bCs/>
          <w:color w:val="004DE8"/>
          <w:spacing w:val="-6"/>
          <w:sz w:val="20"/>
          <w:szCs w:val="20"/>
        </w:rPr>
        <w:t>4.1</w:t>
      </w:r>
      <w:r>
        <w:rPr>
          <w:color w:val="004DE8"/>
          <w:spacing w:val="-6"/>
          <w:sz w:val="20"/>
          <w:szCs w:val="20"/>
        </w:rPr>
        <w:t xml:space="preserve">    </w:t>
      </w:r>
      <w:r>
        <w:rPr>
          <w:rFonts w:ascii="黑体" w:hAnsi="黑体" w:eastAsia="黑体" w:cs="黑体"/>
          <w:b/>
          <w:bCs/>
          <w:color w:val="004DE8"/>
          <w:spacing w:val="-6"/>
          <w:sz w:val="20"/>
          <w:szCs w:val="20"/>
        </w:rPr>
        <w:t>数</w:t>
      </w:r>
      <w:r>
        <w:rPr>
          <w:rFonts w:ascii="黑体" w:hAnsi="黑体" w:eastAsia="黑体" w:cs="黑体"/>
          <w:color w:val="004DE8"/>
          <w:spacing w:val="-6"/>
          <w:sz w:val="20"/>
          <w:szCs w:val="20"/>
        </w:rPr>
        <w:t xml:space="preserve"> </w:t>
      </w:r>
      <w:r>
        <w:rPr>
          <w:rFonts w:ascii="黑体" w:hAnsi="黑体" w:eastAsia="黑体" w:cs="黑体"/>
          <w:b/>
          <w:bCs/>
          <w:color w:val="004DE8"/>
          <w:spacing w:val="-6"/>
          <w:sz w:val="20"/>
          <w:szCs w:val="20"/>
        </w:rPr>
        <w:t>据</w:t>
      </w:r>
      <w:r>
        <w:rPr>
          <w:rFonts w:ascii="黑体" w:hAnsi="黑体" w:eastAsia="黑体" w:cs="黑体"/>
          <w:color w:val="004DE8"/>
          <w:spacing w:val="9"/>
          <w:sz w:val="20"/>
          <w:szCs w:val="20"/>
        </w:rPr>
        <w:t xml:space="preserve"> </w:t>
      </w:r>
      <w:r>
        <w:rPr>
          <w:rFonts w:ascii="黑体" w:hAnsi="黑体" w:eastAsia="黑体" w:cs="黑体"/>
          <w:b/>
          <w:bCs/>
          <w:color w:val="004DE8"/>
          <w:spacing w:val="-6"/>
          <w:sz w:val="20"/>
          <w:szCs w:val="20"/>
        </w:rPr>
        <w:t>资</w:t>
      </w:r>
      <w:r>
        <w:rPr>
          <w:rFonts w:ascii="黑体" w:hAnsi="黑体" w:eastAsia="黑体" w:cs="黑体"/>
          <w:color w:val="004DE8"/>
          <w:spacing w:val="-6"/>
          <w:sz w:val="20"/>
          <w:szCs w:val="20"/>
        </w:rPr>
        <w:t xml:space="preserve"> </w:t>
      </w:r>
      <w:r>
        <w:rPr>
          <w:rFonts w:ascii="黑体" w:hAnsi="黑体" w:eastAsia="黑体" w:cs="黑体"/>
          <w:b/>
          <w:bCs/>
          <w:color w:val="004DE8"/>
          <w:spacing w:val="-6"/>
          <w:sz w:val="20"/>
          <w:szCs w:val="20"/>
        </w:rPr>
        <w:t>源</w:t>
      </w:r>
      <w:r>
        <w:rPr>
          <w:rFonts w:ascii="黑体" w:hAnsi="黑体" w:eastAsia="黑体" w:cs="黑体"/>
          <w:color w:val="004DE8"/>
          <w:spacing w:val="6"/>
          <w:sz w:val="20"/>
          <w:szCs w:val="20"/>
        </w:rPr>
        <w:t xml:space="preserve"> </w:t>
      </w:r>
      <w:r>
        <w:rPr>
          <w:rFonts w:ascii="黑体" w:hAnsi="黑体" w:eastAsia="黑体" w:cs="黑体"/>
          <w:b/>
          <w:bCs/>
          <w:color w:val="004DE8"/>
          <w:spacing w:val="-6"/>
          <w:sz w:val="20"/>
          <w:szCs w:val="20"/>
        </w:rPr>
        <w:t>平</w:t>
      </w:r>
      <w:r>
        <w:rPr>
          <w:rFonts w:ascii="黑体" w:hAnsi="黑体" w:eastAsia="黑体" w:cs="黑体"/>
          <w:color w:val="004DE8"/>
          <w:spacing w:val="13"/>
          <w:sz w:val="20"/>
          <w:szCs w:val="20"/>
        </w:rPr>
        <w:t xml:space="preserve"> </w:t>
      </w:r>
      <w:r>
        <w:rPr>
          <w:rFonts w:ascii="黑体" w:hAnsi="黑体" w:eastAsia="黑体" w:cs="黑体"/>
          <w:b/>
          <w:bCs/>
          <w:color w:val="004DE8"/>
          <w:spacing w:val="-6"/>
          <w:sz w:val="20"/>
          <w:szCs w:val="20"/>
        </w:rPr>
        <w:t>台</w:t>
      </w:r>
    </w:p>
    <w:p w14:paraId="17AB5E8A">
      <w:pPr>
        <w:pStyle w:val="2"/>
        <w:spacing w:before="284" w:line="277" w:lineRule="auto"/>
        <w:ind w:firstLine="410"/>
        <w:jc w:val="both"/>
        <w:rPr>
          <w:sz w:val="20"/>
          <w:szCs w:val="20"/>
        </w:rPr>
      </w:pPr>
      <w:r>
        <w:rPr>
          <w:spacing w:val="5"/>
          <w:sz w:val="20"/>
          <w:szCs w:val="20"/>
        </w:rPr>
        <w:t>数据资源平台负责信息系统中的数据存储、计算和相关处理，硬件层面包括各类服务器、</w:t>
      </w:r>
      <w:r>
        <w:rPr>
          <w:spacing w:val="4"/>
          <w:sz w:val="20"/>
          <w:szCs w:val="20"/>
        </w:rPr>
        <w:t xml:space="preserve"> </w:t>
      </w:r>
      <w:r>
        <w:rPr>
          <w:spacing w:val="3"/>
          <w:sz w:val="20"/>
          <w:szCs w:val="20"/>
        </w:rPr>
        <w:t>存储设备和备份设备等，软件层面包括操作系统、数据库系统、中间件系统、云计算</w:t>
      </w:r>
      <w:r>
        <w:rPr>
          <w:spacing w:val="2"/>
          <w:sz w:val="20"/>
          <w:szCs w:val="20"/>
        </w:rPr>
        <w:t>系统、虚</w:t>
      </w:r>
      <w:r>
        <w:rPr>
          <w:sz w:val="20"/>
          <w:szCs w:val="20"/>
        </w:rPr>
        <w:t xml:space="preserve">  </w:t>
      </w:r>
      <w:r>
        <w:rPr>
          <w:spacing w:val="-4"/>
          <w:sz w:val="20"/>
          <w:szCs w:val="20"/>
        </w:rPr>
        <w:t>拟化系统、集群系统等。</w:t>
      </w:r>
    </w:p>
    <w:p w14:paraId="7E52E117">
      <w:pPr>
        <w:pStyle w:val="2"/>
        <w:spacing w:before="179" w:line="219" w:lineRule="auto"/>
        <w:ind w:left="2"/>
        <w:rPr>
          <w:sz w:val="25"/>
          <w:szCs w:val="25"/>
        </w:rPr>
      </w:pPr>
      <w:r>
        <w:rPr>
          <w:b/>
          <w:bCs/>
          <w:color w:val="0044CF"/>
          <w:spacing w:val="-17"/>
          <w:sz w:val="25"/>
          <w:szCs w:val="25"/>
        </w:rPr>
        <w:t>4.1.1</w:t>
      </w:r>
      <w:r>
        <w:rPr>
          <w:color w:val="0044CF"/>
          <w:spacing w:val="-17"/>
          <w:sz w:val="25"/>
          <w:szCs w:val="25"/>
        </w:rPr>
        <w:t xml:space="preserve">  </w:t>
      </w:r>
      <w:r>
        <w:rPr>
          <w:b/>
          <w:bCs/>
          <w:color w:val="0044CF"/>
          <w:spacing w:val="-17"/>
          <w:sz w:val="25"/>
          <w:szCs w:val="25"/>
        </w:rPr>
        <w:t>计算服务器和人工智能服务器</w:t>
      </w:r>
    </w:p>
    <w:p w14:paraId="65E24ED1">
      <w:pPr>
        <w:pStyle w:val="2"/>
        <w:spacing w:before="178" w:line="281" w:lineRule="auto"/>
        <w:ind w:right="86" w:firstLine="410"/>
        <w:jc w:val="both"/>
        <w:rPr>
          <w:sz w:val="20"/>
          <w:szCs w:val="20"/>
        </w:rPr>
      </w:pPr>
      <w:r>
        <w:rPr>
          <w:spacing w:val="3"/>
          <w:sz w:val="20"/>
          <w:szCs w:val="20"/>
        </w:rPr>
        <w:t>信息网络系统中所有的信息处理、逻辑运算等活动都可以抽象为基</w:t>
      </w:r>
      <w:r>
        <w:rPr>
          <w:spacing w:val="2"/>
          <w:sz w:val="20"/>
          <w:szCs w:val="20"/>
        </w:rPr>
        <w:t>于某种算力来执行的计</w:t>
      </w:r>
      <w:r>
        <w:rPr>
          <w:sz w:val="20"/>
          <w:szCs w:val="20"/>
        </w:rPr>
        <w:t xml:space="preserve"> </w:t>
      </w:r>
      <w:r>
        <w:rPr>
          <w:spacing w:val="5"/>
          <w:sz w:val="20"/>
          <w:szCs w:val="20"/>
        </w:rPr>
        <w:t>算操作。广义的算力是计算机设备或计算/数据中心服务器等设备处理数据的能力，是计算机</w:t>
      </w:r>
      <w:r>
        <w:rPr>
          <w:spacing w:val="11"/>
          <w:sz w:val="20"/>
          <w:szCs w:val="20"/>
        </w:rPr>
        <w:t xml:space="preserve"> </w:t>
      </w:r>
      <w:r>
        <w:rPr>
          <w:spacing w:val="3"/>
          <w:sz w:val="20"/>
          <w:szCs w:val="20"/>
        </w:rPr>
        <w:t>硬件和软件配合共同执行某种计算需求的能力。狭义的算力是指一台计算机具备的</w:t>
      </w:r>
      <w:r>
        <w:rPr>
          <w:spacing w:val="2"/>
          <w:sz w:val="20"/>
          <w:szCs w:val="20"/>
        </w:rPr>
        <w:t>理论上最大</w:t>
      </w:r>
      <w:r>
        <w:rPr>
          <w:sz w:val="20"/>
          <w:szCs w:val="20"/>
        </w:rPr>
        <w:t xml:space="preserve"> 的每秒浮点运算次数(floating-point operations per second,FLOPS),这里的计算机泛指个人</w:t>
      </w:r>
      <w:r>
        <w:rPr>
          <w:spacing w:val="17"/>
          <w:sz w:val="20"/>
          <w:szCs w:val="20"/>
        </w:rPr>
        <w:t xml:space="preserve"> </w:t>
      </w:r>
      <w:r>
        <w:rPr>
          <w:rFonts w:ascii="Times New Roman" w:hAnsi="Times New Roman" w:eastAsia="Times New Roman" w:cs="Times New Roman"/>
          <w:sz w:val="20"/>
          <w:szCs w:val="20"/>
        </w:rPr>
        <w:t>PC</w:t>
      </w:r>
      <w:r>
        <w:rPr>
          <w:spacing w:val="1"/>
          <w:sz w:val="20"/>
          <w:szCs w:val="20"/>
        </w:rPr>
        <w:t>、数据中心或组织的服务器、各类</w:t>
      </w:r>
      <w:r>
        <w:rPr>
          <w:rFonts w:ascii="Times New Roman" w:hAnsi="Times New Roman" w:eastAsia="Times New Roman" w:cs="Times New Roman"/>
          <w:sz w:val="20"/>
          <w:szCs w:val="20"/>
        </w:rPr>
        <w:t>PAD</w:t>
      </w:r>
      <w:r>
        <w:rPr>
          <w:rFonts w:ascii="Times New Roman" w:hAnsi="Times New Roman" w:eastAsia="Times New Roman" w:cs="Times New Roman"/>
          <w:spacing w:val="1"/>
          <w:sz w:val="20"/>
          <w:szCs w:val="20"/>
        </w:rPr>
        <w:t xml:space="preserve"> </w:t>
      </w:r>
      <w:r>
        <w:rPr>
          <w:spacing w:val="1"/>
          <w:sz w:val="20"/>
          <w:szCs w:val="20"/>
        </w:rPr>
        <w:t>设备，甚至是人们日常使</w:t>
      </w:r>
      <w:r>
        <w:rPr>
          <w:sz w:val="20"/>
          <w:szCs w:val="20"/>
        </w:rPr>
        <w:t xml:space="preserve">用的已经具备某种计算机功 </w:t>
      </w:r>
      <w:r>
        <w:rPr>
          <w:spacing w:val="-5"/>
          <w:sz w:val="20"/>
          <w:szCs w:val="20"/>
        </w:rPr>
        <w:t>能的智能手机等设备。</w:t>
      </w:r>
    </w:p>
    <w:p w14:paraId="76746855">
      <w:pPr>
        <w:pStyle w:val="2"/>
        <w:spacing w:before="19" w:line="219" w:lineRule="auto"/>
        <w:ind w:left="410"/>
        <w:rPr>
          <w:sz w:val="20"/>
          <w:szCs w:val="20"/>
        </w:rPr>
      </w:pPr>
      <w:r>
        <w:rPr>
          <w:spacing w:val="-1"/>
          <w:sz w:val="20"/>
          <w:szCs w:val="20"/>
        </w:rPr>
        <w:t>本节重点阐述监理人员工作中常见的计算服务器和</w:t>
      </w:r>
      <w:r>
        <w:rPr>
          <w:spacing w:val="-2"/>
          <w:sz w:val="20"/>
          <w:szCs w:val="20"/>
        </w:rPr>
        <w:t>人工智能服务器。</w:t>
      </w:r>
    </w:p>
    <w:p w14:paraId="4E31F1C9">
      <w:pPr>
        <w:pStyle w:val="2"/>
        <w:spacing w:before="160" w:line="221" w:lineRule="auto"/>
        <w:ind w:left="412"/>
        <w:rPr>
          <w:rFonts w:ascii="黑体" w:hAnsi="黑体" w:eastAsia="黑体" w:cs="黑体"/>
          <w:sz w:val="20"/>
          <w:szCs w:val="20"/>
        </w:rPr>
      </w:pPr>
      <w:r>
        <w:rPr>
          <w:b/>
          <w:bCs/>
          <w:color w:val="0059CF"/>
          <w:spacing w:val="-5"/>
          <w:sz w:val="20"/>
          <w:szCs w:val="20"/>
        </w:rPr>
        <w:t>1.</w:t>
      </w:r>
      <w:r>
        <w:rPr>
          <w:rFonts w:ascii="黑体" w:hAnsi="黑体" w:eastAsia="黑体" w:cs="黑体"/>
          <w:b/>
          <w:bCs/>
          <w:color w:val="0059CF"/>
          <w:spacing w:val="-5"/>
          <w:sz w:val="20"/>
          <w:szCs w:val="20"/>
        </w:rPr>
        <w:t>计算服务器</w:t>
      </w:r>
    </w:p>
    <w:p w14:paraId="6CE3DC95">
      <w:pPr>
        <w:pStyle w:val="2"/>
        <w:spacing w:before="132" w:line="281" w:lineRule="auto"/>
        <w:ind w:right="20" w:firstLine="410"/>
        <w:jc w:val="both"/>
        <w:rPr>
          <w:sz w:val="20"/>
          <w:szCs w:val="20"/>
        </w:rPr>
      </w:pPr>
      <w:r>
        <w:rPr>
          <w:spacing w:val="3"/>
          <w:sz w:val="20"/>
          <w:szCs w:val="20"/>
        </w:rPr>
        <w:t>计算服务器主要承载和提供各类业务应用、管理服务及数据资源共享服务，计算服务</w:t>
      </w:r>
      <w:r>
        <w:rPr>
          <w:spacing w:val="2"/>
          <w:sz w:val="20"/>
          <w:szCs w:val="20"/>
        </w:rPr>
        <w:t>器相</w:t>
      </w:r>
      <w:r>
        <w:rPr>
          <w:sz w:val="20"/>
          <w:szCs w:val="20"/>
        </w:rPr>
        <w:t xml:space="preserve"> </w:t>
      </w:r>
      <w:r>
        <w:rPr>
          <w:spacing w:val="2"/>
          <w:sz w:val="20"/>
          <w:szCs w:val="20"/>
        </w:rPr>
        <w:t>比于普通的计算机，要求具有高速的</w:t>
      </w:r>
      <w:r>
        <w:rPr>
          <w:sz w:val="20"/>
          <w:szCs w:val="20"/>
        </w:rPr>
        <w:t>CPU</w:t>
      </w:r>
      <w:r>
        <w:rPr>
          <w:spacing w:val="56"/>
          <w:sz w:val="20"/>
          <w:szCs w:val="20"/>
        </w:rPr>
        <w:t xml:space="preserve"> </w:t>
      </w:r>
      <w:r>
        <w:rPr>
          <w:spacing w:val="2"/>
          <w:sz w:val="20"/>
          <w:szCs w:val="20"/>
        </w:rPr>
        <w:t>计算能力、较大的</w:t>
      </w:r>
      <w:r>
        <w:rPr>
          <w:spacing w:val="1"/>
          <w:sz w:val="20"/>
          <w:szCs w:val="20"/>
        </w:rPr>
        <w:t>存储空间、长时间的可靠运行、强</w:t>
      </w:r>
      <w:r>
        <w:rPr>
          <w:sz w:val="20"/>
          <w:szCs w:val="20"/>
        </w:rPr>
        <w:t xml:space="preserve"> </w:t>
      </w:r>
      <w:r>
        <w:rPr>
          <w:spacing w:val="2"/>
          <w:sz w:val="20"/>
          <w:szCs w:val="20"/>
        </w:rPr>
        <w:t>大的</w:t>
      </w:r>
      <w:r>
        <w:rPr>
          <w:rFonts w:ascii="Times New Roman" w:hAnsi="Times New Roman" w:eastAsia="Times New Roman" w:cs="Times New Roman"/>
          <w:spacing w:val="2"/>
          <w:sz w:val="20"/>
          <w:szCs w:val="20"/>
        </w:rPr>
        <w:t>I/O</w:t>
      </w:r>
      <w:r>
        <w:rPr>
          <w:rFonts w:ascii="Times New Roman" w:hAnsi="Times New Roman" w:eastAsia="Times New Roman" w:cs="Times New Roman"/>
          <w:spacing w:val="30"/>
          <w:w w:val="101"/>
          <w:sz w:val="20"/>
          <w:szCs w:val="20"/>
        </w:rPr>
        <w:t xml:space="preserve"> </w:t>
      </w:r>
      <w:r>
        <w:rPr>
          <w:spacing w:val="2"/>
          <w:sz w:val="20"/>
          <w:szCs w:val="20"/>
        </w:rPr>
        <w:t>外部数据吞吐能力以及更好的扩展性。选择计算服务器时应考虑的因素包括：</w:t>
      </w:r>
      <w:r>
        <w:rPr>
          <w:rFonts w:ascii="Times New Roman" w:hAnsi="Times New Roman" w:eastAsia="Times New Roman" w:cs="Times New Roman"/>
          <w:sz w:val="20"/>
          <w:szCs w:val="20"/>
        </w:rPr>
        <w:t>CPU</w:t>
      </w:r>
      <w:r>
        <w:rPr>
          <w:rFonts w:ascii="Times New Roman" w:hAnsi="Times New Roman" w:eastAsia="Times New Roman" w:cs="Times New Roman"/>
          <w:spacing w:val="18"/>
          <w:w w:val="101"/>
          <w:sz w:val="20"/>
          <w:szCs w:val="20"/>
        </w:rPr>
        <w:t xml:space="preserve"> </w:t>
      </w:r>
      <w:r>
        <w:rPr>
          <w:spacing w:val="2"/>
          <w:sz w:val="20"/>
          <w:szCs w:val="20"/>
        </w:rPr>
        <w:t>的</w:t>
      </w:r>
      <w:r>
        <w:rPr>
          <w:sz w:val="20"/>
          <w:szCs w:val="20"/>
        </w:rPr>
        <w:t xml:space="preserve">  </w:t>
      </w:r>
      <w:r>
        <w:rPr>
          <w:spacing w:val="5"/>
          <w:sz w:val="20"/>
          <w:szCs w:val="20"/>
        </w:rPr>
        <w:t>类型、数量、核数、速度等；内存数量、容量、性能等；</w:t>
      </w:r>
      <w:r>
        <w:rPr>
          <w:spacing w:val="4"/>
          <w:sz w:val="20"/>
          <w:szCs w:val="20"/>
        </w:rPr>
        <w:t>总线结构和类型；磁盘总量和性能；</w:t>
      </w:r>
      <w:r>
        <w:rPr>
          <w:sz w:val="20"/>
          <w:szCs w:val="20"/>
        </w:rPr>
        <w:t xml:space="preserve"> </w:t>
      </w:r>
      <w:r>
        <w:rPr>
          <w:spacing w:val="-1"/>
          <w:sz w:val="20"/>
          <w:szCs w:val="20"/>
        </w:rPr>
        <w:t>容错性能；网络接口类型、数量、性能等；服务器软件；服务器本身</w:t>
      </w:r>
      <w:r>
        <w:rPr>
          <w:spacing w:val="-2"/>
          <w:sz w:val="20"/>
          <w:szCs w:val="20"/>
        </w:rPr>
        <w:t>的管理等。</w:t>
      </w:r>
    </w:p>
    <w:p w14:paraId="02029FB8">
      <w:pPr>
        <w:spacing w:line="281" w:lineRule="auto"/>
        <w:rPr>
          <w:sz w:val="20"/>
          <w:szCs w:val="20"/>
        </w:rPr>
        <w:sectPr>
          <w:pgSz w:w="10300" w:h="13280"/>
          <w:pgMar w:top="400" w:right="819" w:bottom="400" w:left="1069" w:header="0" w:footer="0" w:gutter="0"/>
          <w:cols w:space="720" w:num="1"/>
        </w:sectPr>
      </w:pPr>
    </w:p>
    <w:p w14:paraId="3295B564">
      <w:pPr>
        <w:pStyle w:val="2"/>
        <w:spacing w:before="118" w:line="219" w:lineRule="auto"/>
        <w:rPr>
          <w:sz w:val="20"/>
          <w:szCs w:val="20"/>
        </w:rPr>
      </w:pPr>
      <w:r>
        <w:rPr>
          <w:rFonts w:ascii="Times New Roman" w:hAnsi="Times New Roman" w:eastAsia="Times New Roman" w:cs="Times New Roman"/>
          <w:spacing w:val="-2"/>
          <w:sz w:val="16"/>
          <w:szCs w:val="16"/>
        </w:rPr>
        <w:t xml:space="preserve">120                   </w:t>
      </w:r>
      <w:r>
        <w:rPr>
          <w:spacing w:val="-2"/>
          <w:sz w:val="20"/>
          <w:szCs w:val="20"/>
        </w:rPr>
        <w:t>信息系统监理师教程</w:t>
      </w:r>
      <w:r>
        <w:rPr>
          <w:spacing w:val="-3"/>
          <w:sz w:val="20"/>
          <w:szCs w:val="20"/>
        </w:rPr>
        <w:t>(第2版)</w:t>
      </w:r>
    </w:p>
    <w:p w14:paraId="661361AA">
      <w:pPr>
        <w:spacing w:line="276" w:lineRule="auto"/>
        <w:rPr>
          <w:rFonts w:ascii="Arial"/>
          <w:sz w:val="21"/>
        </w:rPr>
      </w:pPr>
    </w:p>
    <w:p w14:paraId="1C7DDE3D">
      <w:pPr>
        <w:pStyle w:val="2"/>
        <w:spacing w:before="65" w:line="291" w:lineRule="auto"/>
        <w:ind w:left="339" w:right="63" w:firstLine="410"/>
        <w:rPr>
          <w:sz w:val="20"/>
          <w:szCs w:val="20"/>
        </w:rPr>
      </w:pPr>
      <w:r>
        <w:rPr>
          <w:sz w:val="20"/>
          <w:szCs w:val="20"/>
        </w:rPr>
        <w:t>服务器操作系统是服务器重要的组成部分，当前主流的服务器操作系统包括</w:t>
      </w:r>
      <w:r>
        <w:rPr>
          <w:spacing w:val="-44"/>
          <w:sz w:val="20"/>
          <w:szCs w:val="20"/>
        </w:rPr>
        <w:t xml:space="preserve"> </w:t>
      </w:r>
      <w:r>
        <w:rPr>
          <w:rFonts w:ascii="Times New Roman" w:hAnsi="Times New Roman" w:eastAsia="Times New Roman" w:cs="Times New Roman"/>
          <w:sz w:val="20"/>
          <w:szCs w:val="20"/>
        </w:rPr>
        <w:t>Unix</w:t>
      </w:r>
      <w:r>
        <w:rPr>
          <w:rFonts w:ascii="Times New Roman" w:hAnsi="Times New Roman" w:eastAsia="Times New Roman" w:cs="Times New Roman"/>
          <w:spacing w:val="-28"/>
          <w:sz w:val="20"/>
          <w:szCs w:val="20"/>
        </w:rPr>
        <w:t xml:space="preserve"> </w:t>
      </w:r>
      <w:r>
        <w:rPr>
          <w:sz w:val="20"/>
          <w:szCs w:val="20"/>
        </w:rPr>
        <w:t>、</w:t>
      </w:r>
      <w:r>
        <w:rPr>
          <w:rFonts w:ascii="Times New Roman" w:hAnsi="Times New Roman" w:eastAsia="Times New Roman" w:cs="Times New Roman"/>
          <w:sz w:val="20"/>
          <w:szCs w:val="20"/>
        </w:rPr>
        <w:t>Linux</w:t>
      </w:r>
      <w:r>
        <w:rPr>
          <w:sz w:val="20"/>
          <w:szCs w:val="20"/>
        </w:rPr>
        <w:t xml:space="preserve">、 </w:t>
      </w:r>
      <w:r>
        <w:rPr>
          <w:rFonts w:ascii="Times New Roman" w:hAnsi="Times New Roman" w:eastAsia="Times New Roman" w:cs="Times New Roman"/>
          <w:spacing w:val="-1"/>
          <w:sz w:val="20"/>
          <w:szCs w:val="20"/>
        </w:rPr>
        <w:t>Windows</w:t>
      </w:r>
      <w:r>
        <w:rPr>
          <w:rFonts w:ascii="Times New Roman" w:hAnsi="Times New Roman" w:eastAsia="Times New Roman" w:cs="Times New Roman"/>
          <w:spacing w:val="-28"/>
          <w:sz w:val="20"/>
          <w:szCs w:val="20"/>
        </w:rPr>
        <w:t xml:space="preserve"> </w:t>
      </w:r>
      <w:r>
        <w:rPr>
          <w:spacing w:val="-1"/>
          <w:sz w:val="20"/>
          <w:szCs w:val="20"/>
        </w:rPr>
        <w:t>、</w:t>
      </w:r>
      <w:r>
        <w:rPr>
          <w:rFonts w:ascii="Times New Roman" w:hAnsi="Times New Roman" w:eastAsia="Times New Roman" w:cs="Times New Roman"/>
          <w:spacing w:val="-1"/>
          <w:sz w:val="20"/>
          <w:szCs w:val="20"/>
        </w:rPr>
        <w:t>Netware</w:t>
      </w:r>
      <w:r>
        <w:rPr>
          <w:spacing w:val="-1"/>
          <w:sz w:val="20"/>
          <w:szCs w:val="20"/>
        </w:rPr>
        <w:t>等，主流国产操作系统包括麒麟</w:t>
      </w:r>
      <w:r>
        <w:rPr>
          <w:spacing w:val="-2"/>
          <w:sz w:val="20"/>
          <w:szCs w:val="20"/>
        </w:rPr>
        <w:t>、统信、欧拉等。</w:t>
      </w:r>
    </w:p>
    <w:p w14:paraId="14DF7882">
      <w:pPr>
        <w:spacing w:before="87" w:line="212" w:lineRule="auto"/>
        <w:ind w:left="749"/>
        <w:rPr>
          <w:rFonts w:ascii="黑体" w:hAnsi="黑体" w:eastAsia="黑体" w:cs="黑体"/>
          <w:sz w:val="20"/>
          <w:szCs w:val="20"/>
        </w:rPr>
      </w:pPr>
      <w:r>
        <w:rPr>
          <w:rFonts w:ascii="Arial" w:hAnsi="Arial" w:eastAsia="Arial" w:cs="Arial"/>
          <w:b/>
          <w:bCs/>
          <w:color w:val="0056AD"/>
          <w:spacing w:val="1"/>
          <w:sz w:val="20"/>
          <w:szCs w:val="20"/>
        </w:rPr>
        <w:t>2.</w:t>
      </w:r>
      <w:r>
        <w:rPr>
          <w:rFonts w:ascii="Arial" w:hAnsi="Arial" w:eastAsia="Arial" w:cs="Arial"/>
          <w:b/>
          <w:bCs/>
          <w:color w:val="0056AD"/>
          <w:spacing w:val="-8"/>
          <w:sz w:val="20"/>
          <w:szCs w:val="20"/>
        </w:rPr>
        <w:t xml:space="preserve"> </w:t>
      </w:r>
      <w:r>
        <w:rPr>
          <w:rFonts w:ascii="黑体" w:hAnsi="黑体" w:eastAsia="黑体" w:cs="黑体"/>
          <w:b/>
          <w:bCs/>
          <w:color w:val="0056AD"/>
          <w:spacing w:val="1"/>
          <w:sz w:val="20"/>
          <w:szCs w:val="20"/>
        </w:rPr>
        <w:t>人工智能</w:t>
      </w:r>
      <w:r>
        <w:rPr>
          <w:rFonts w:ascii="黑体" w:hAnsi="黑体" w:eastAsia="黑体" w:cs="黑体"/>
          <w:color w:val="0056AD"/>
          <w:spacing w:val="-58"/>
          <w:sz w:val="20"/>
          <w:szCs w:val="20"/>
        </w:rPr>
        <w:t xml:space="preserve"> </w:t>
      </w:r>
      <w:r>
        <w:rPr>
          <w:rFonts w:ascii="Arial" w:hAnsi="Arial" w:eastAsia="Arial" w:cs="Arial"/>
          <w:b/>
          <w:bCs/>
          <w:color w:val="0056AD"/>
          <w:spacing w:val="1"/>
          <w:sz w:val="20"/>
          <w:szCs w:val="20"/>
        </w:rPr>
        <w:t>(</w:t>
      </w:r>
      <w:r>
        <w:rPr>
          <w:rFonts w:ascii="Arial" w:hAnsi="Arial" w:eastAsia="Arial" w:cs="Arial"/>
          <w:b/>
          <w:bCs/>
          <w:color w:val="0056AD"/>
          <w:sz w:val="20"/>
          <w:szCs w:val="20"/>
        </w:rPr>
        <w:t>Al</w:t>
      </w:r>
      <w:r>
        <w:rPr>
          <w:rFonts w:ascii="Arial" w:hAnsi="Arial" w:eastAsia="Arial" w:cs="Arial"/>
          <w:b/>
          <w:bCs/>
          <w:color w:val="0056AD"/>
          <w:spacing w:val="1"/>
          <w:sz w:val="20"/>
          <w:szCs w:val="20"/>
        </w:rPr>
        <w:t>)</w:t>
      </w:r>
      <w:r>
        <w:rPr>
          <w:rFonts w:ascii="Arial" w:hAnsi="Arial" w:eastAsia="Arial" w:cs="Arial"/>
          <w:b/>
          <w:bCs/>
          <w:color w:val="0056AD"/>
          <w:spacing w:val="7"/>
          <w:sz w:val="20"/>
          <w:szCs w:val="20"/>
        </w:rPr>
        <w:t xml:space="preserve">   </w:t>
      </w:r>
      <w:r>
        <w:rPr>
          <w:rFonts w:ascii="黑体" w:hAnsi="黑体" w:eastAsia="黑体" w:cs="黑体"/>
          <w:b/>
          <w:bCs/>
          <w:color w:val="0056AD"/>
          <w:spacing w:val="1"/>
          <w:sz w:val="20"/>
          <w:szCs w:val="20"/>
        </w:rPr>
        <w:t>服务器</w:t>
      </w:r>
    </w:p>
    <w:p w14:paraId="1968084A">
      <w:pPr>
        <w:pStyle w:val="2"/>
        <w:spacing w:before="180" w:line="282" w:lineRule="auto"/>
        <w:ind w:left="339" w:right="20" w:firstLine="410"/>
        <w:jc w:val="both"/>
        <w:rPr>
          <w:sz w:val="20"/>
          <w:szCs w:val="20"/>
        </w:rPr>
      </w:pPr>
      <w:r>
        <w:rPr>
          <w:spacing w:val="4"/>
          <w:sz w:val="20"/>
          <w:szCs w:val="20"/>
        </w:rPr>
        <w:t>随着算法、算力、数据的不断发展，计算机视觉、语音识别、自然语言处理、</w:t>
      </w:r>
      <w:r>
        <w:rPr>
          <w:spacing w:val="3"/>
          <w:sz w:val="20"/>
          <w:szCs w:val="20"/>
        </w:rPr>
        <w:t>生物特征识</w:t>
      </w:r>
      <w:r>
        <w:rPr>
          <w:sz w:val="20"/>
          <w:szCs w:val="20"/>
        </w:rPr>
        <w:t xml:space="preserve"> </w:t>
      </w:r>
      <w:r>
        <w:rPr>
          <w:spacing w:val="3"/>
          <w:sz w:val="20"/>
          <w:szCs w:val="20"/>
        </w:rPr>
        <w:t>别、知识图谱以及机器学习等人工智能核心技术也愈发成熟。人工智能已经从单纯的</w:t>
      </w:r>
      <w:r>
        <w:rPr>
          <w:spacing w:val="2"/>
          <w:sz w:val="20"/>
          <w:szCs w:val="20"/>
        </w:rPr>
        <w:t>技术研究</w:t>
      </w:r>
      <w:r>
        <w:rPr>
          <w:sz w:val="20"/>
          <w:szCs w:val="20"/>
        </w:rPr>
        <w:t xml:space="preserve">  走向整体产业格局的发展，包括算法研究设计、芯片、基础软件、人工智能框架、开源数据集、</w:t>
      </w:r>
      <w:r>
        <w:rPr>
          <w:spacing w:val="8"/>
          <w:sz w:val="20"/>
          <w:szCs w:val="20"/>
        </w:rPr>
        <w:t xml:space="preserve"> </w:t>
      </w:r>
      <w:r>
        <w:rPr>
          <w:spacing w:val="3"/>
          <w:sz w:val="20"/>
          <w:szCs w:val="20"/>
        </w:rPr>
        <w:t>人工智能应用等。人工智能的内涵已经大大扩展，成为一门交叉学科。抽象地看，</w:t>
      </w:r>
      <w:r>
        <w:rPr>
          <w:spacing w:val="2"/>
          <w:sz w:val="20"/>
          <w:szCs w:val="20"/>
        </w:rPr>
        <w:t>人工智能包</w:t>
      </w:r>
      <w:r>
        <w:rPr>
          <w:sz w:val="20"/>
          <w:szCs w:val="20"/>
        </w:rPr>
        <w:t xml:space="preserve">  </w:t>
      </w:r>
      <w:r>
        <w:rPr>
          <w:spacing w:val="3"/>
          <w:sz w:val="20"/>
          <w:szCs w:val="20"/>
        </w:rPr>
        <w:t>括算力、算法和数据三个方面，具体到人工智能应用，需要着重考虑应用场景</w:t>
      </w:r>
      <w:r>
        <w:rPr>
          <w:spacing w:val="2"/>
          <w:sz w:val="20"/>
          <w:szCs w:val="20"/>
        </w:rPr>
        <w:t>、平台框架、解</w:t>
      </w:r>
      <w:r>
        <w:rPr>
          <w:sz w:val="20"/>
          <w:szCs w:val="20"/>
        </w:rPr>
        <w:t xml:space="preserve">  </w:t>
      </w:r>
      <w:r>
        <w:rPr>
          <w:spacing w:val="-4"/>
          <w:sz w:val="20"/>
          <w:szCs w:val="20"/>
        </w:rPr>
        <w:t>决方案、部署实施等事项。</w:t>
      </w:r>
    </w:p>
    <w:p w14:paraId="28D0ABB6">
      <w:pPr>
        <w:pStyle w:val="2"/>
        <w:spacing w:before="49" w:line="279" w:lineRule="auto"/>
        <w:ind w:left="339" w:right="98" w:firstLine="410"/>
        <w:jc w:val="both"/>
        <w:rPr>
          <w:sz w:val="20"/>
          <w:szCs w:val="20"/>
        </w:rPr>
      </w:pPr>
      <w:r>
        <w:rPr>
          <w:spacing w:val="-1"/>
          <w:sz w:val="20"/>
          <w:szCs w:val="20"/>
        </w:rPr>
        <w:t>应用场景首先应明确人工智能实现环节，人工智能的实现包括训练和推理两个环节。</w:t>
      </w:r>
      <w:r>
        <w:rPr>
          <w:spacing w:val="46"/>
          <w:sz w:val="20"/>
          <w:szCs w:val="20"/>
        </w:rPr>
        <w:t xml:space="preserve"> </w:t>
      </w:r>
      <w:r>
        <w:rPr>
          <w:spacing w:val="-1"/>
          <w:sz w:val="20"/>
          <w:szCs w:val="20"/>
        </w:rPr>
        <w:t>一般</w:t>
      </w:r>
      <w:r>
        <w:rPr>
          <w:sz w:val="20"/>
          <w:szCs w:val="20"/>
        </w:rPr>
        <w:t xml:space="preserve"> </w:t>
      </w:r>
      <w:r>
        <w:rPr>
          <w:spacing w:val="5"/>
          <w:sz w:val="20"/>
          <w:szCs w:val="20"/>
        </w:rPr>
        <w:t>大型的人工智能应用需要独立部署训练服务器和推理服务器(或者是专用的实现推理功能的计</w:t>
      </w:r>
      <w:r>
        <w:rPr>
          <w:spacing w:val="12"/>
          <w:sz w:val="20"/>
          <w:szCs w:val="20"/>
        </w:rPr>
        <w:t xml:space="preserve"> </w:t>
      </w:r>
      <w:r>
        <w:rPr>
          <w:spacing w:val="3"/>
          <w:sz w:val="20"/>
          <w:szCs w:val="20"/>
        </w:rPr>
        <w:t>算机、工控机和专用设备),例如常见的道路视频监控，在数据中心侧部署用于视频图像识别训</w:t>
      </w:r>
      <w:r>
        <w:rPr>
          <w:spacing w:val="4"/>
          <w:sz w:val="20"/>
          <w:szCs w:val="20"/>
        </w:rPr>
        <w:t xml:space="preserve"> </w:t>
      </w:r>
      <w:r>
        <w:rPr>
          <w:spacing w:val="-1"/>
          <w:sz w:val="20"/>
          <w:szCs w:val="20"/>
        </w:rPr>
        <w:t>练的训练服务器，在道路侧部署专用的用于本地实际视频图像识别的推</w:t>
      </w:r>
      <w:r>
        <w:rPr>
          <w:spacing w:val="-2"/>
          <w:sz w:val="20"/>
          <w:szCs w:val="20"/>
        </w:rPr>
        <w:t>理设备。</w:t>
      </w:r>
    </w:p>
    <w:p w14:paraId="1B5C94F4">
      <w:pPr>
        <w:pStyle w:val="2"/>
        <w:spacing w:before="48" w:line="287" w:lineRule="auto"/>
        <w:ind w:left="339" w:right="109" w:firstLine="410"/>
        <w:jc w:val="both"/>
        <w:rPr>
          <w:sz w:val="20"/>
          <w:szCs w:val="20"/>
        </w:rPr>
      </w:pPr>
      <w:r>
        <w:rPr>
          <w:spacing w:val="1"/>
          <w:sz w:val="20"/>
          <w:szCs w:val="20"/>
        </w:rPr>
        <w:t>训练服务器和推理服务器一般是由通用计算服务器上加插特定</w:t>
      </w:r>
      <w:r>
        <w:rPr>
          <w:rFonts w:ascii="Times New Roman" w:hAnsi="Times New Roman" w:eastAsia="Times New Roman" w:cs="Times New Roman"/>
          <w:sz w:val="20"/>
          <w:szCs w:val="20"/>
        </w:rPr>
        <w:t>AI</w:t>
      </w:r>
      <w:r>
        <w:rPr>
          <w:rFonts w:ascii="Times New Roman" w:hAnsi="Times New Roman" w:eastAsia="Times New Roman" w:cs="Times New Roman"/>
          <w:spacing w:val="1"/>
          <w:sz w:val="20"/>
          <w:szCs w:val="20"/>
        </w:rPr>
        <w:t xml:space="preserve"> </w:t>
      </w:r>
      <w:r>
        <w:rPr>
          <w:spacing w:val="1"/>
          <w:sz w:val="20"/>
          <w:szCs w:val="20"/>
        </w:rPr>
        <w:t>模块组成的，也有根据具</w:t>
      </w:r>
      <w:r>
        <w:rPr>
          <w:spacing w:val="9"/>
          <w:sz w:val="20"/>
          <w:szCs w:val="20"/>
        </w:rPr>
        <w:t xml:space="preserve"> </w:t>
      </w:r>
      <w:r>
        <w:rPr>
          <w:spacing w:val="1"/>
          <w:sz w:val="20"/>
          <w:szCs w:val="20"/>
        </w:rPr>
        <w:t>体业务场景需求定制的工控机、其他专用或通用设备的。根据承担训练或推理任务的不同，</w:t>
      </w:r>
      <w:r>
        <w:rPr>
          <w:rFonts w:ascii="Times New Roman" w:hAnsi="Times New Roman" w:eastAsia="Times New Roman" w:cs="Times New Roman"/>
          <w:sz w:val="20"/>
          <w:szCs w:val="20"/>
        </w:rPr>
        <w:t>AI</w:t>
      </w:r>
      <w:r>
        <w:rPr>
          <w:rFonts w:ascii="Times New Roman" w:hAnsi="Times New Roman" w:eastAsia="Times New Roman" w:cs="Times New Roman"/>
          <w:spacing w:val="8"/>
          <w:sz w:val="20"/>
          <w:szCs w:val="20"/>
        </w:rPr>
        <w:t xml:space="preserve">  </w:t>
      </w:r>
      <w:r>
        <w:rPr>
          <w:spacing w:val="-3"/>
          <w:sz w:val="20"/>
          <w:szCs w:val="20"/>
        </w:rPr>
        <w:t>芯片也分为训练芯片和推理芯片两类。</w:t>
      </w:r>
    </w:p>
    <w:p w14:paraId="668942CA">
      <w:pPr>
        <w:pStyle w:val="2"/>
        <w:spacing w:before="9" w:line="219" w:lineRule="auto"/>
        <w:ind w:left="749"/>
        <w:rPr>
          <w:sz w:val="20"/>
          <w:szCs w:val="20"/>
        </w:rPr>
      </w:pPr>
      <w:r>
        <w:rPr>
          <w:spacing w:val="2"/>
          <w:sz w:val="20"/>
          <w:szCs w:val="20"/>
        </w:rPr>
        <w:t>(1)训练芯片主要用于构建</w:t>
      </w:r>
      <w:r>
        <w:rPr>
          <w:rFonts w:ascii="Times New Roman" w:hAnsi="Times New Roman" w:eastAsia="Times New Roman" w:cs="Times New Roman"/>
          <w:sz w:val="20"/>
          <w:szCs w:val="20"/>
        </w:rPr>
        <w:t>AI</w:t>
      </w:r>
      <w:r>
        <w:rPr>
          <w:rFonts w:ascii="Times New Roman" w:hAnsi="Times New Roman" w:eastAsia="Times New Roman" w:cs="Times New Roman"/>
          <w:spacing w:val="2"/>
          <w:sz w:val="20"/>
          <w:szCs w:val="20"/>
        </w:rPr>
        <w:t xml:space="preserve"> </w:t>
      </w:r>
      <w:r>
        <w:rPr>
          <w:spacing w:val="2"/>
          <w:sz w:val="20"/>
          <w:szCs w:val="20"/>
        </w:rPr>
        <w:t>训练模型，注重强大的计算能力；</w:t>
      </w:r>
    </w:p>
    <w:p w14:paraId="31EAB2DD">
      <w:pPr>
        <w:pStyle w:val="2"/>
        <w:spacing w:before="92" w:line="312" w:lineRule="auto"/>
        <w:ind w:left="339" w:firstLine="410"/>
        <w:rPr>
          <w:sz w:val="16"/>
          <w:szCs w:val="16"/>
        </w:rPr>
      </w:pPr>
      <w:r>
        <w:rPr>
          <w:spacing w:val="8"/>
          <w:sz w:val="20"/>
          <w:szCs w:val="20"/>
        </w:rPr>
        <w:t>(2)推理芯片则利用训练模型的结果进行推理预测，更注重综合指标，例如算力、能耗、</w:t>
      </w:r>
      <w:r>
        <w:rPr>
          <w:sz w:val="20"/>
          <w:szCs w:val="20"/>
        </w:rPr>
        <w:t xml:space="preserve"> </w:t>
      </w:r>
      <w:r>
        <w:rPr>
          <w:spacing w:val="-6"/>
          <w:sz w:val="16"/>
          <w:szCs w:val="16"/>
        </w:rPr>
        <w:t>成</w:t>
      </w:r>
      <w:r>
        <w:rPr>
          <w:spacing w:val="-22"/>
          <w:sz w:val="16"/>
          <w:szCs w:val="16"/>
        </w:rPr>
        <w:t xml:space="preserve"> </w:t>
      </w:r>
      <w:r>
        <w:rPr>
          <w:spacing w:val="-6"/>
          <w:sz w:val="16"/>
          <w:szCs w:val="16"/>
        </w:rPr>
        <w:t>本</w:t>
      </w:r>
      <w:r>
        <w:rPr>
          <w:spacing w:val="-22"/>
          <w:sz w:val="16"/>
          <w:szCs w:val="16"/>
        </w:rPr>
        <w:t xml:space="preserve"> </w:t>
      </w:r>
      <w:r>
        <w:rPr>
          <w:spacing w:val="-6"/>
          <w:sz w:val="16"/>
          <w:szCs w:val="16"/>
        </w:rPr>
        <w:t>等</w:t>
      </w:r>
      <w:r>
        <w:rPr>
          <w:spacing w:val="-30"/>
          <w:sz w:val="16"/>
          <w:szCs w:val="16"/>
        </w:rPr>
        <w:t xml:space="preserve"> </w:t>
      </w:r>
      <w:r>
        <w:rPr>
          <w:spacing w:val="-6"/>
          <w:sz w:val="16"/>
          <w:szCs w:val="16"/>
        </w:rPr>
        <w:t>。</w:t>
      </w:r>
    </w:p>
    <w:p w14:paraId="486A4D1F">
      <w:pPr>
        <w:pStyle w:val="2"/>
        <w:spacing w:before="1" w:line="280" w:lineRule="auto"/>
        <w:ind w:left="339" w:right="20" w:firstLine="410"/>
        <w:jc w:val="both"/>
        <w:rPr>
          <w:sz w:val="20"/>
          <w:szCs w:val="20"/>
        </w:rPr>
      </w:pPr>
      <w:r>
        <w:rPr>
          <w:spacing w:val="8"/>
          <w:sz w:val="20"/>
          <w:szCs w:val="20"/>
        </w:rPr>
        <w:t>人工智能仍处于快速发展阶段，为服务千差万别的</w:t>
      </w:r>
      <w:r>
        <w:rPr>
          <w:rFonts w:ascii="Times New Roman" w:hAnsi="Times New Roman" w:eastAsia="Times New Roman" w:cs="Times New Roman"/>
          <w:sz w:val="20"/>
          <w:szCs w:val="20"/>
        </w:rPr>
        <w:t>AI</w:t>
      </w:r>
      <w:r>
        <w:rPr>
          <w:rFonts w:ascii="Times New Roman" w:hAnsi="Times New Roman" w:eastAsia="Times New Roman" w:cs="Times New Roman"/>
          <w:spacing w:val="8"/>
          <w:sz w:val="20"/>
          <w:szCs w:val="20"/>
        </w:rPr>
        <w:t xml:space="preserve"> </w:t>
      </w:r>
      <w:r>
        <w:rPr>
          <w:spacing w:val="8"/>
          <w:sz w:val="20"/>
          <w:szCs w:val="20"/>
        </w:rPr>
        <w:t>使用</w:t>
      </w:r>
      <w:r>
        <w:rPr>
          <w:spacing w:val="7"/>
          <w:sz w:val="20"/>
          <w:szCs w:val="20"/>
        </w:rPr>
        <w:t>场景，由底层</w:t>
      </w:r>
      <w:r>
        <w:rPr>
          <w:rFonts w:ascii="Times New Roman" w:hAnsi="Times New Roman" w:eastAsia="Times New Roman" w:cs="Times New Roman"/>
          <w:sz w:val="20"/>
          <w:szCs w:val="20"/>
        </w:rPr>
        <w:t>AI</w:t>
      </w:r>
      <w:r>
        <w:rPr>
          <w:rFonts w:ascii="Times New Roman" w:hAnsi="Times New Roman" w:eastAsia="Times New Roman" w:cs="Times New Roman"/>
          <w:spacing w:val="7"/>
          <w:sz w:val="20"/>
          <w:szCs w:val="20"/>
        </w:rPr>
        <w:t xml:space="preserve"> </w:t>
      </w:r>
      <w:r>
        <w:rPr>
          <w:spacing w:val="7"/>
          <w:sz w:val="20"/>
          <w:szCs w:val="20"/>
        </w:rPr>
        <w:t>处理器(例如</w:t>
      </w:r>
      <w:r>
        <w:rPr>
          <w:sz w:val="20"/>
          <w:szCs w:val="20"/>
        </w:rPr>
        <w:t xml:space="preserve">  </w:t>
      </w:r>
      <w:r>
        <w:rPr>
          <w:spacing w:val="8"/>
          <w:sz w:val="20"/>
          <w:szCs w:val="20"/>
        </w:rPr>
        <w:t>图形处理器</w:t>
      </w:r>
      <w:r>
        <w:rPr>
          <w:rFonts w:ascii="Times New Roman" w:hAnsi="Times New Roman" w:eastAsia="Times New Roman" w:cs="Times New Roman"/>
          <w:sz w:val="20"/>
          <w:szCs w:val="20"/>
        </w:rPr>
        <w:t>GPU</w:t>
      </w:r>
      <w:r>
        <w:rPr>
          <w:rFonts w:ascii="Times New Roman" w:hAnsi="Times New Roman" w:eastAsia="Times New Roman" w:cs="Times New Roman"/>
          <w:spacing w:val="-28"/>
          <w:sz w:val="20"/>
          <w:szCs w:val="20"/>
        </w:rPr>
        <w:t xml:space="preserve"> </w:t>
      </w:r>
      <w:r>
        <w:rPr>
          <w:spacing w:val="8"/>
          <w:sz w:val="20"/>
          <w:szCs w:val="20"/>
        </w:rPr>
        <w:t>、神经网络处理器</w:t>
      </w:r>
      <w:r>
        <w:rPr>
          <w:rFonts w:ascii="Times New Roman" w:hAnsi="Times New Roman" w:eastAsia="Times New Roman" w:cs="Times New Roman"/>
          <w:sz w:val="20"/>
          <w:szCs w:val="20"/>
        </w:rPr>
        <w:t>NPU</w:t>
      </w:r>
      <w:r>
        <w:rPr>
          <w:rFonts w:ascii="Times New Roman" w:hAnsi="Times New Roman" w:eastAsia="Times New Roman" w:cs="Times New Roman"/>
          <w:spacing w:val="-29"/>
          <w:sz w:val="20"/>
          <w:szCs w:val="20"/>
        </w:rPr>
        <w:t xml:space="preserve"> </w:t>
      </w:r>
      <w:r>
        <w:rPr>
          <w:spacing w:val="8"/>
          <w:sz w:val="20"/>
          <w:szCs w:val="20"/>
        </w:rPr>
        <w:t>、张量处理器</w:t>
      </w:r>
      <w:r>
        <w:rPr>
          <w:rFonts w:ascii="Times New Roman" w:hAnsi="Times New Roman" w:eastAsia="Times New Roman" w:cs="Times New Roman"/>
          <w:sz w:val="20"/>
          <w:szCs w:val="20"/>
        </w:rPr>
        <w:t>TPU</w:t>
      </w:r>
      <w:r>
        <w:rPr>
          <w:rFonts w:ascii="Times New Roman" w:hAnsi="Times New Roman" w:eastAsia="Times New Roman" w:cs="Times New Roman"/>
          <w:spacing w:val="-28"/>
          <w:sz w:val="20"/>
          <w:szCs w:val="20"/>
        </w:rPr>
        <w:t xml:space="preserve"> </w:t>
      </w:r>
      <w:r>
        <w:rPr>
          <w:spacing w:val="8"/>
          <w:sz w:val="20"/>
          <w:szCs w:val="20"/>
        </w:rPr>
        <w:t>、深度学习处理器</w:t>
      </w:r>
      <w:r>
        <w:rPr>
          <w:rFonts w:ascii="Times New Roman" w:hAnsi="Times New Roman" w:eastAsia="Times New Roman" w:cs="Times New Roman"/>
          <w:sz w:val="20"/>
          <w:szCs w:val="20"/>
        </w:rPr>
        <w:t>DPU</w:t>
      </w:r>
      <w:r>
        <w:rPr>
          <w:rFonts w:ascii="Times New Roman" w:hAnsi="Times New Roman" w:eastAsia="Times New Roman" w:cs="Times New Roman"/>
          <w:spacing w:val="-28"/>
          <w:sz w:val="20"/>
          <w:szCs w:val="20"/>
        </w:rPr>
        <w:t xml:space="preserve"> </w:t>
      </w:r>
      <w:r>
        <w:rPr>
          <w:spacing w:val="8"/>
          <w:sz w:val="20"/>
          <w:szCs w:val="20"/>
        </w:rPr>
        <w:t>、</w:t>
      </w:r>
      <w:r>
        <w:rPr>
          <w:spacing w:val="7"/>
          <w:sz w:val="20"/>
          <w:szCs w:val="20"/>
        </w:rPr>
        <w:t>可穿戴处</w:t>
      </w:r>
      <w:r>
        <w:rPr>
          <w:sz w:val="20"/>
          <w:szCs w:val="20"/>
        </w:rPr>
        <w:t xml:space="preserve">  </w:t>
      </w:r>
      <w:r>
        <w:rPr>
          <w:spacing w:val="8"/>
          <w:sz w:val="20"/>
          <w:szCs w:val="20"/>
        </w:rPr>
        <w:t>理器</w:t>
      </w:r>
      <w:r>
        <w:rPr>
          <w:spacing w:val="-49"/>
          <w:sz w:val="20"/>
          <w:szCs w:val="20"/>
        </w:rPr>
        <w:t xml:space="preserve"> </w:t>
      </w:r>
      <w:r>
        <w:rPr>
          <w:rFonts w:ascii="Times New Roman" w:hAnsi="Times New Roman" w:eastAsia="Times New Roman" w:cs="Times New Roman"/>
          <w:sz w:val="20"/>
          <w:szCs w:val="20"/>
        </w:rPr>
        <w:t>WPU</w:t>
      </w:r>
      <w:r>
        <w:rPr>
          <w:rFonts w:ascii="Times New Roman" w:hAnsi="Times New Roman" w:eastAsia="Times New Roman" w:cs="Times New Roman"/>
          <w:spacing w:val="8"/>
          <w:sz w:val="20"/>
          <w:szCs w:val="20"/>
        </w:rPr>
        <w:t xml:space="preserve"> </w:t>
      </w:r>
      <w:r>
        <w:rPr>
          <w:spacing w:val="8"/>
          <w:sz w:val="20"/>
          <w:szCs w:val="20"/>
        </w:rPr>
        <w:t>等)、中层</w:t>
      </w:r>
      <w:r>
        <w:rPr>
          <w:rFonts w:ascii="Times New Roman" w:hAnsi="Times New Roman" w:eastAsia="Times New Roman" w:cs="Times New Roman"/>
          <w:sz w:val="20"/>
          <w:szCs w:val="20"/>
        </w:rPr>
        <w:t>AI</w:t>
      </w:r>
      <w:r>
        <w:rPr>
          <w:rFonts w:ascii="Times New Roman" w:hAnsi="Times New Roman" w:eastAsia="Times New Roman" w:cs="Times New Roman"/>
          <w:spacing w:val="-10"/>
          <w:sz w:val="20"/>
          <w:szCs w:val="20"/>
        </w:rPr>
        <w:t xml:space="preserve"> </w:t>
      </w:r>
      <w:r>
        <w:rPr>
          <w:spacing w:val="8"/>
          <w:sz w:val="20"/>
          <w:szCs w:val="20"/>
        </w:rPr>
        <w:t>开发框架(例如</w:t>
      </w:r>
      <w:r>
        <w:rPr>
          <w:rFonts w:ascii="Times New Roman" w:hAnsi="Times New Roman" w:eastAsia="Times New Roman" w:cs="Times New Roman"/>
          <w:sz w:val="20"/>
          <w:szCs w:val="20"/>
        </w:rPr>
        <w:t>TensorFlow</w:t>
      </w:r>
      <w:r>
        <w:rPr>
          <w:rFonts w:ascii="Times New Roman" w:hAnsi="Times New Roman" w:eastAsia="Times New Roman" w:cs="Times New Roman"/>
          <w:spacing w:val="-28"/>
          <w:sz w:val="20"/>
          <w:szCs w:val="20"/>
        </w:rPr>
        <w:t xml:space="preserve"> </w:t>
      </w:r>
      <w:r>
        <w:rPr>
          <w:spacing w:val="8"/>
          <w:sz w:val="20"/>
          <w:szCs w:val="20"/>
        </w:rPr>
        <w:t>、</w:t>
      </w:r>
      <w:r>
        <w:rPr>
          <w:rFonts w:ascii="Times New Roman" w:hAnsi="Times New Roman" w:eastAsia="Times New Roman" w:cs="Times New Roman"/>
          <w:sz w:val="20"/>
          <w:szCs w:val="20"/>
        </w:rPr>
        <w:t>PyTorch</w:t>
      </w:r>
      <w:r>
        <w:rPr>
          <w:rFonts w:ascii="Times New Roman" w:hAnsi="Times New Roman" w:eastAsia="Times New Roman" w:cs="Times New Roman"/>
          <w:spacing w:val="-28"/>
          <w:sz w:val="20"/>
          <w:szCs w:val="20"/>
        </w:rPr>
        <w:t xml:space="preserve"> </w:t>
      </w:r>
      <w:r>
        <w:rPr>
          <w:spacing w:val="8"/>
          <w:sz w:val="20"/>
          <w:szCs w:val="20"/>
        </w:rPr>
        <w:t>、</w:t>
      </w:r>
      <w:r>
        <w:rPr>
          <w:rFonts w:ascii="Times New Roman" w:hAnsi="Times New Roman" w:eastAsia="Times New Roman" w:cs="Times New Roman"/>
          <w:sz w:val="20"/>
          <w:szCs w:val="20"/>
        </w:rPr>
        <w:t>PaddlePaddle</w:t>
      </w:r>
      <w:r>
        <w:rPr>
          <w:rFonts w:ascii="Times New Roman" w:hAnsi="Times New Roman" w:eastAsia="Times New Roman" w:cs="Times New Roman"/>
          <w:spacing w:val="-28"/>
          <w:sz w:val="20"/>
          <w:szCs w:val="20"/>
        </w:rPr>
        <w:t xml:space="preserve"> </w:t>
      </w:r>
      <w:r>
        <w:rPr>
          <w:spacing w:val="8"/>
          <w:sz w:val="20"/>
          <w:szCs w:val="20"/>
        </w:rPr>
        <w:t>、</w:t>
      </w:r>
      <w:r>
        <w:rPr>
          <w:rFonts w:ascii="Times New Roman" w:hAnsi="Times New Roman" w:eastAsia="Times New Roman" w:cs="Times New Roman"/>
          <w:sz w:val="20"/>
          <w:szCs w:val="20"/>
        </w:rPr>
        <w:t>MindSpore</w:t>
      </w:r>
      <w:r>
        <w:rPr>
          <w:rFonts w:ascii="Times New Roman" w:hAnsi="Times New Roman" w:eastAsia="Times New Roman" w:cs="Times New Roman"/>
          <w:spacing w:val="-16"/>
          <w:sz w:val="20"/>
          <w:szCs w:val="20"/>
        </w:rPr>
        <w:t xml:space="preserve"> </w:t>
      </w:r>
      <w:r>
        <w:rPr>
          <w:spacing w:val="8"/>
          <w:sz w:val="20"/>
          <w:szCs w:val="20"/>
        </w:rPr>
        <w:t>等)、</w:t>
      </w:r>
      <w:r>
        <w:rPr>
          <w:sz w:val="20"/>
          <w:szCs w:val="20"/>
        </w:rPr>
        <w:t xml:space="preserve"> </w:t>
      </w:r>
      <w:r>
        <w:rPr>
          <w:spacing w:val="1"/>
          <w:sz w:val="20"/>
          <w:szCs w:val="20"/>
        </w:rPr>
        <w:t>上层</w:t>
      </w:r>
      <w:r>
        <w:rPr>
          <w:rFonts w:ascii="Times New Roman" w:hAnsi="Times New Roman" w:eastAsia="Times New Roman" w:cs="Times New Roman"/>
          <w:sz w:val="20"/>
          <w:szCs w:val="20"/>
        </w:rPr>
        <w:t>AI</w:t>
      </w:r>
      <w:r>
        <w:rPr>
          <w:rFonts w:ascii="Times New Roman" w:hAnsi="Times New Roman" w:eastAsia="Times New Roman" w:cs="Times New Roman"/>
          <w:spacing w:val="1"/>
          <w:sz w:val="20"/>
          <w:szCs w:val="20"/>
        </w:rPr>
        <w:t xml:space="preserve"> </w:t>
      </w:r>
      <w:r>
        <w:rPr>
          <w:spacing w:val="1"/>
          <w:sz w:val="20"/>
          <w:szCs w:val="20"/>
        </w:rPr>
        <w:t>应用共同构成的异构人工智能算力中心，相互连接，形成了能够覆盖不同区域</w:t>
      </w:r>
      <w:r>
        <w:rPr>
          <w:sz w:val="20"/>
          <w:szCs w:val="20"/>
        </w:rPr>
        <w:t xml:space="preserve">，且具备  </w:t>
      </w:r>
      <w:r>
        <w:rPr>
          <w:spacing w:val="-3"/>
          <w:sz w:val="20"/>
          <w:szCs w:val="20"/>
        </w:rPr>
        <w:t>异地灵活调度、漫游接入功能的人工智能算力网络。</w:t>
      </w:r>
    </w:p>
    <w:p w14:paraId="60864EE6">
      <w:pPr>
        <w:pStyle w:val="2"/>
        <w:spacing w:before="193" w:line="219" w:lineRule="auto"/>
        <w:ind w:left="342"/>
        <w:rPr>
          <w:sz w:val="25"/>
          <w:szCs w:val="25"/>
        </w:rPr>
      </w:pPr>
      <w:r>
        <w:rPr>
          <w:b/>
          <w:bCs/>
          <w:color w:val="0052CF"/>
          <w:spacing w:val="-19"/>
          <w:sz w:val="25"/>
          <w:szCs w:val="25"/>
        </w:rPr>
        <w:t>4.1.2</w:t>
      </w:r>
      <w:r>
        <w:rPr>
          <w:color w:val="0052CF"/>
          <w:spacing w:val="111"/>
          <w:sz w:val="25"/>
          <w:szCs w:val="25"/>
        </w:rPr>
        <w:t xml:space="preserve"> </w:t>
      </w:r>
      <w:r>
        <w:rPr>
          <w:b/>
          <w:bCs/>
          <w:color w:val="0052CF"/>
          <w:spacing w:val="-19"/>
          <w:sz w:val="25"/>
          <w:szCs w:val="25"/>
        </w:rPr>
        <w:t>数据存储和备份设备</w:t>
      </w:r>
    </w:p>
    <w:p w14:paraId="12F1AC57">
      <w:pPr>
        <w:pStyle w:val="2"/>
        <w:spacing w:before="195" w:line="264" w:lineRule="auto"/>
        <w:ind w:left="339" w:right="40" w:firstLine="410"/>
        <w:jc w:val="both"/>
        <w:rPr>
          <w:sz w:val="20"/>
          <w:szCs w:val="20"/>
        </w:rPr>
      </w:pPr>
      <w:r>
        <w:rPr>
          <w:spacing w:val="20"/>
          <w:sz w:val="20"/>
          <w:szCs w:val="20"/>
        </w:rPr>
        <w:t>目前市场上的存储产品主要有磁盘阵列、磁带机与磁带</w:t>
      </w:r>
      <w:r>
        <w:rPr>
          <w:spacing w:val="19"/>
          <w:sz w:val="20"/>
          <w:szCs w:val="20"/>
        </w:rPr>
        <w:t>库、光盘库、存储区域网络</w:t>
      </w:r>
      <w:r>
        <w:rPr>
          <w:sz w:val="20"/>
          <w:szCs w:val="20"/>
        </w:rPr>
        <w:t xml:space="preserve"> </w:t>
      </w:r>
      <w:r>
        <w:rPr>
          <w:rFonts w:ascii="Times New Roman" w:hAnsi="Times New Roman" w:eastAsia="Times New Roman" w:cs="Times New Roman"/>
          <w:sz w:val="20"/>
          <w:szCs w:val="20"/>
        </w:rPr>
        <w:t>(Storage   Area   Network,SAN)</w:t>
      </w:r>
      <w:r>
        <w:rPr>
          <w:rFonts w:ascii="Times New Roman" w:hAnsi="Times New Roman" w:eastAsia="Times New Roman" w:cs="Times New Roman"/>
          <w:spacing w:val="22"/>
          <w:sz w:val="20"/>
          <w:szCs w:val="20"/>
        </w:rPr>
        <w:t xml:space="preserve"> </w:t>
      </w:r>
      <w:r>
        <w:rPr>
          <w:sz w:val="20"/>
          <w:szCs w:val="20"/>
        </w:rPr>
        <w:t>和网络附加存储</w:t>
      </w:r>
      <w:r>
        <w:rPr>
          <w:spacing w:val="-59"/>
          <w:sz w:val="20"/>
          <w:szCs w:val="20"/>
        </w:rPr>
        <w:t xml:space="preserve"> </w:t>
      </w:r>
      <w:r>
        <w:rPr>
          <w:rFonts w:ascii="Times New Roman" w:hAnsi="Times New Roman" w:eastAsia="Times New Roman" w:cs="Times New Roman"/>
          <w:sz w:val="20"/>
          <w:szCs w:val="20"/>
        </w:rPr>
        <w:t>(Network     Attached</w:t>
      </w:r>
      <w:r>
        <w:rPr>
          <w:rFonts w:ascii="Times New Roman" w:hAnsi="Times New Roman" w:eastAsia="Times New Roman" w:cs="Times New Roman"/>
          <w:spacing w:val="-1"/>
          <w:sz w:val="20"/>
          <w:szCs w:val="20"/>
        </w:rPr>
        <w:t xml:space="preserve">     Storage,NAS)</w:t>
      </w:r>
      <w:r>
        <w:rPr>
          <w:spacing w:val="-1"/>
          <w:sz w:val="20"/>
          <w:szCs w:val="20"/>
        </w:rPr>
        <w:t>、对象存储、</w:t>
      </w:r>
      <w:r>
        <w:rPr>
          <w:sz w:val="20"/>
          <w:szCs w:val="20"/>
        </w:rPr>
        <w:t xml:space="preserve"> </w:t>
      </w:r>
      <w:r>
        <w:rPr>
          <w:spacing w:val="-3"/>
          <w:sz w:val="20"/>
          <w:szCs w:val="20"/>
        </w:rPr>
        <w:t>集中式存储和分布式存储等。</w:t>
      </w:r>
    </w:p>
    <w:p w14:paraId="35886F65">
      <w:pPr>
        <w:spacing w:before="133" w:line="228" w:lineRule="auto"/>
        <w:ind w:left="749"/>
        <w:rPr>
          <w:rFonts w:ascii="楷体" w:hAnsi="楷体" w:eastAsia="楷体" w:cs="楷体"/>
          <w:sz w:val="20"/>
          <w:szCs w:val="20"/>
        </w:rPr>
      </w:pPr>
      <w:r>
        <w:rPr>
          <w:rFonts w:ascii="楷体" w:hAnsi="楷体" w:eastAsia="楷体" w:cs="楷体"/>
          <w:spacing w:val="14"/>
          <w:sz w:val="20"/>
          <w:szCs w:val="20"/>
        </w:rPr>
        <w:t>1)磁盘阵列</w:t>
      </w:r>
    </w:p>
    <w:p w14:paraId="63FE14DE">
      <w:pPr>
        <w:pStyle w:val="2"/>
        <w:spacing w:before="42" w:line="284" w:lineRule="auto"/>
        <w:ind w:left="339" w:right="108" w:firstLine="410"/>
        <w:rPr>
          <w:sz w:val="16"/>
          <w:szCs w:val="16"/>
        </w:rPr>
      </w:pPr>
      <w:r>
        <w:rPr>
          <w:spacing w:val="11"/>
          <w:sz w:val="20"/>
          <w:szCs w:val="20"/>
        </w:rPr>
        <w:t>磁盘阵列</w:t>
      </w:r>
      <w:r>
        <w:rPr>
          <w:spacing w:val="-45"/>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RAID</w:t>
      </w:r>
      <w:r>
        <w:rPr>
          <w:rFonts w:ascii="Times New Roman" w:hAnsi="Times New Roman" w:eastAsia="Times New Roman" w:cs="Times New Roman"/>
          <w:spacing w:val="11"/>
          <w:sz w:val="20"/>
          <w:szCs w:val="20"/>
        </w:rPr>
        <w:t xml:space="preserve">)    </w:t>
      </w:r>
      <w:r>
        <w:rPr>
          <w:spacing w:val="11"/>
          <w:sz w:val="20"/>
          <w:szCs w:val="20"/>
        </w:rPr>
        <w:t>是将很多块独立的专用磁盘或普通磁盘连成阵列，组合成一个容量</w:t>
      </w:r>
      <w:r>
        <w:rPr>
          <w:sz w:val="20"/>
          <w:szCs w:val="20"/>
        </w:rPr>
        <w:t xml:space="preserve"> </w:t>
      </w:r>
      <w:r>
        <w:rPr>
          <w:spacing w:val="13"/>
          <w:sz w:val="20"/>
          <w:szCs w:val="20"/>
        </w:rPr>
        <w:t>巨大的磁盘组，使其能以某种快速、准确和安全的方式来读写更大的磁盘数据。将多个容</w:t>
      </w:r>
      <w:r>
        <w:rPr>
          <w:spacing w:val="12"/>
          <w:sz w:val="20"/>
          <w:szCs w:val="20"/>
        </w:rPr>
        <w:t xml:space="preserve"> </w:t>
      </w:r>
      <w:r>
        <w:rPr>
          <w:spacing w:val="8"/>
          <w:sz w:val="20"/>
          <w:szCs w:val="20"/>
        </w:rPr>
        <w:t>量较小的磁盘通过某种技术连接，可组合成容量巨大的磁盘组，通过智能镜像等技术实</w:t>
      </w:r>
      <w:r>
        <w:rPr>
          <w:spacing w:val="7"/>
          <w:sz w:val="20"/>
          <w:szCs w:val="20"/>
        </w:rPr>
        <w:t>现对</w:t>
      </w:r>
      <w:r>
        <w:rPr>
          <w:sz w:val="20"/>
          <w:szCs w:val="20"/>
        </w:rPr>
        <w:t xml:space="preserve"> </w:t>
      </w:r>
      <w:r>
        <w:rPr>
          <w:spacing w:val="8"/>
          <w:sz w:val="20"/>
          <w:szCs w:val="20"/>
        </w:rPr>
        <w:t>数据的冗余保护，在其中某一个或几个磁盘故障失效时，阵列中其他磁盘上保存的冗余数据</w:t>
      </w:r>
      <w:r>
        <w:rPr>
          <w:spacing w:val="1"/>
          <w:sz w:val="20"/>
          <w:szCs w:val="20"/>
        </w:rPr>
        <w:t xml:space="preserve"> </w:t>
      </w:r>
      <w:r>
        <w:rPr>
          <w:spacing w:val="8"/>
          <w:sz w:val="20"/>
          <w:szCs w:val="20"/>
        </w:rPr>
        <w:t>仍然可用。通过阵列中的几块磁盘同时读取和对磁盘上的数据成块存取，提高整体数据</w:t>
      </w:r>
      <w:r>
        <w:rPr>
          <w:spacing w:val="7"/>
          <w:sz w:val="20"/>
          <w:szCs w:val="20"/>
        </w:rPr>
        <w:t>存取</w:t>
      </w:r>
      <w:r>
        <w:rPr>
          <w:sz w:val="20"/>
          <w:szCs w:val="20"/>
        </w:rPr>
        <w:t xml:space="preserve"> </w:t>
      </w:r>
      <w:r>
        <w:rPr>
          <w:spacing w:val="-4"/>
          <w:sz w:val="16"/>
          <w:szCs w:val="16"/>
        </w:rPr>
        <w:t>速 度 。</w:t>
      </w:r>
    </w:p>
    <w:p w14:paraId="19DE0983">
      <w:pPr>
        <w:spacing w:line="284" w:lineRule="auto"/>
        <w:rPr>
          <w:sz w:val="16"/>
          <w:szCs w:val="16"/>
        </w:rPr>
        <w:sectPr>
          <w:pgSz w:w="10310" w:h="13330"/>
          <w:pgMar w:top="400" w:right="969" w:bottom="400" w:left="570" w:header="0" w:footer="0" w:gutter="0"/>
          <w:cols w:space="720" w:num="1"/>
        </w:sectPr>
      </w:pPr>
    </w:p>
    <w:p w14:paraId="08C8CE89">
      <w:pPr>
        <w:pStyle w:val="2"/>
        <w:spacing w:before="97" w:line="222" w:lineRule="auto"/>
        <w:jc w:val="right"/>
        <w:rPr>
          <w:rFonts w:ascii="Times New Roman" w:hAnsi="Times New Roman" w:eastAsia="Times New Roman" w:cs="Times New Roman"/>
          <w:sz w:val="20"/>
          <w:szCs w:val="20"/>
        </w:rPr>
      </w:pPr>
      <w:r>
        <w:rPr>
          <w:spacing w:val="-3"/>
          <w:sz w:val="20"/>
          <w:szCs w:val="20"/>
        </w:rPr>
        <w:t>第4章 信息资源系统</w:t>
      </w:r>
      <w:r>
        <w:rPr>
          <w:spacing w:val="4"/>
          <w:sz w:val="20"/>
          <w:szCs w:val="20"/>
        </w:rPr>
        <w:t xml:space="preserve">      </w:t>
      </w:r>
      <w:r>
        <w:rPr>
          <w:rFonts w:ascii="Times New Roman" w:hAnsi="Times New Roman" w:eastAsia="Times New Roman" w:cs="Times New Roman"/>
          <w:spacing w:val="-3"/>
          <w:position w:val="-4"/>
          <w:sz w:val="20"/>
          <w:szCs w:val="20"/>
        </w:rPr>
        <w:t>121</w:t>
      </w:r>
    </w:p>
    <w:p w14:paraId="43E848E3">
      <w:pPr>
        <w:spacing w:line="241" w:lineRule="auto"/>
        <w:rPr>
          <w:rFonts w:ascii="Arial"/>
          <w:sz w:val="21"/>
        </w:rPr>
      </w:pPr>
    </w:p>
    <w:p w14:paraId="4039C7F7">
      <w:pPr>
        <w:spacing w:before="65" w:line="221" w:lineRule="auto"/>
        <w:ind w:left="410"/>
        <w:rPr>
          <w:rFonts w:ascii="楷体" w:hAnsi="楷体" w:eastAsia="楷体" w:cs="楷体"/>
          <w:sz w:val="20"/>
          <w:szCs w:val="20"/>
        </w:rPr>
      </w:pPr>
      <w:r>
        <w:rPr>
          <w:rFonts w:ascii="楷体" w:hAnsi="楷体" w:eastAsia="楷体" w:cs="楷体"/>
          <w:spacing w:val="8"/>
          <w:sz w:val="20"/>
          <w:szCs w:val="20"/>
        </w:rPr>
        <w:t>2)磁带机、磁带库和光盘库</w:t>
      </w:r>
    </w:p>
    <w:p w14:paraId="753383A7">
      <w:pPr>
        <w:pStyle w:val="2"/>
        <w:spacing w:before="85" w:line="278" w:lineRule="auto"/>
        <w:ind w:right="256" w:firstLine="410"/>
        <w:rPr>
          <w:sz w:val="20"/>
          <w:szCs w:val="20"/>
        </w:rPr>
      </w:pPr>
      <w:r>
        <w:rPr>
          <w:spacing w:val="5"/>
          <w:sz w:val="20"/>
          <w:szCs w:val="20"/>
        </w:rPr>
        <w:t>磁带机由磁带驱动器和磁带构成，是一种经济、可靠、容量大、速度快的备</w:t>
      </w:r>
      <w:r>
        <w:rPr>
          <w:spacing w:val="4"/>
          <w:sz w:val="20"/>
          <w:szCs w:val="20"/>
        </w:rPr>
        <w:t>份存储设备，</w:t>
      </w:r>
      <w:r>
        <w:rPr>
          <w:sz w:val="20"/>
          <w:szCs w:val="20"/>
        </w:rPr>
        <w:t xml:space="preserve"> </w:t>
      </w:r>
      <w:r>
        <w:rPr>
          <w:spacing w:val="3"/>
          <w:sz w:val="20"/>
          <w:szCs w:val="20"/>
        </w:rPr>
        <w:t>随着制造技术和生产工艺的不断改进，磁带机的体积越来越小，存储能力越来越大，数据备份</w:t>
      </w:r>
      <w:r>
        <w:rPr>
          <w:spacing w:val="4"/>
          <w:sz w:val="20"/>
          <w:szCs w:val="20"/>
        </w:rPr>
        <w:t xml:space="preserve"> </w:t>
      </w:r>
      <w:r>
        <w:rPr>
          <w:spacing w:val="-4"/>
          <w:sz w:val="20"/>
          <w:szCs w:val="20"/>
        </w:rPr>
        <w:t>的可靠性和自动化程度越来越高。</w:t>
      </w:r>
    </w:p>
    <w:p w14:paraId="31EACE5C">
      <w:pPr>
        <w:pStyle w:val="2"/>
        <w:spacing w:before="40" w:line="288" w:lineRule="auto"/>
        <w:ind w:right="303" w:firstLine="410"/>
        <w:jc w:val="both"/>
        <w:rPr>
          <w:sz w:val="17"/>
          <w:szCs w:val="17"/>
        </w:rPr>
      </w:pPr>
      <w:r>
        <w:rPr>
          <w:spacing w:val="3"/>
          <w:sz w:val="20"/>
          <w:szCs w:val="20"/>
        </w:rPr>
        <w:t>广义的磁带库产品包括自动加载磁带机和磁带库。自动加载磁带机由磁带和磁带机有机结 合组成，是一个位于单机中的磁带驱动器和自动磁带更换装置。自动加载磁带机可以从装有多</w:t>
      </w:r>
      <w:r>
        <w:rPr>
          <w:spacing w:val="14"/>
          <w:sz w:val="20"/>
          <w:szCs w:val="20"/>
        </w:rPr>
        <w:t xml:space="preserve"> </w:t>
      </w:r>
      <w:r>
        <w:rPr>
          <w:spacing w:val="6"/>
          <w:sz w:val="20"/>
          <w:szCs w:val="20"/>
        </w:rPr>
        <w:t>盘磁带的磁带匣中拾取磁带并放入驱动器中，或执行相反的过程，可以</w:t>
      </w:r>
      <w:r>
        <w:rPr>
          <w:spacing w:val="5"/>
          <w:sz w:val="20"/>
          <w:szCs w:val="20"/>
        </w:rPr>
        <w:t>备份</w:t>
      </w:r>
      <w:r>
        <w:rPr>
          <w:rFonts w:ascii="Times New Roman" w:hAnsi="Times New Roman" w:eastAsia="Times New Roman" w:cs="Times New Roman"/>
          <w:sz w:val="20"/>
          <w:szCs w:val="20"/>
        </w:rPr>
        <w:t>TB</w:t>
      </w:r>
      <w:r>
        <w:rPr>
          <w:rFonts w:ascii="Times New Roman" w:hAnsi="Times New Roman" w:eastAsia="Times New Roman" w:cs="Times New Roman"/>
          <w:spacing w:val="21"/>
          <w:sz w:val="20"/>
          <w:szCs w:val="20"/>
        </w:rPr>
        <w:t xml:space="preserve"> </w:t>
      </w:r>
      <w:r>
        <w:rPr>
          <w:spacing w:val="5"/>
          <w:sz w:val="20"/>
          <w:szCs w:val="20"/>
        </w:rPr>
        <w:t>级的数据。自</w:t>
      </w:r>
      <w:r>
        <w:rPr>
          <w:sz w:val="20"/>
          <w:szCs w:val="20"/>
        </w:rPr>
        <w:t xml:space="preserve"> </w:t>
      </w:r>
      <w:r>
        <w:rPr>
          <w:spacing w:val="8"/>
          <w:sz w:val="20"/>
          <w:szCs w:val="20"/>
        </w:rPr>
        <w:t>动加载磁带机能够支持例行备份过程，自动为每日的备份工作装载新的磁带，从而实现自动</w:t>
      </w:r>
      <w:r>
        <w:rPr>
          <w:spacing w:val="12"/>
          <w:sz w:val="20"/>
          <w:szCs w:val="20"/>
        </w:rPr>
        <w:t xml:space="preserve"> </w:t>
      </w:r>
      <w:r>
        <w:rPr>
          <w:spacing w:val="-6"/>
          <w:sz w:val="17"/>
          <w:szCs w:val="17"/>
        </w:rPr>
        <w:t>备</w:t>
      </w:r>
      <w:r>
        <w:rPr>
          <w:spacing w:val="-23"/>
          <w:sz w:val="17"/>
          <w:szCs w:val="17"/>
        </w:rPr>
        <w:t xml:space="preserve"> </w:t>
      </w:r>
      <w:r>
        <w:rPr>
          <w:spacing w:val="-6"/>
          <w:sz w:val="17"/>
          <w:szCs w:val="17"/>
        </w:rPr>
        <w:t>份</w:t>
      </w:r>
      <w:r>
        <w:rPr>
          <w:spacing w:val="-31"/>
          <w:sz w:val="17"/>
          <w:szCs w:val="17"/>
        </w:rPr>
        <w:t xml:space="preserve"> </w:t>
      </w:r>
      <w:r>
        <w:rPr>
          <w:spacing w:val="-6"/>
          <w:sz w:val="17"/>
          <w:szCs w:val="17"/>
        </w:rPr>
        <w:t>。</w:t>
      </w:r>
    </w:p>
    <w:p w14:paraId="791C2F7F">
      <w:pPr>
        <w:pStyle w:val="2"/>
        <w:spacing w:before="47" w:line="283" w:lineRule="auto"/>
        <w:ind w:right="256" w:firstLine="410"/>
        <w:jc w:val="both"/>
        <w:rPr>
          <w:sz w:val="20"/>
          <w:szCs w:val="20"/>
        </w:rPr>
      </w:pPr>
      <w:r>
        <w:rPr>
          <w:spacing w:val="3"/>
          <w:sz w:val="20"/>
          <w:szCs w:val="20"/>
        </w:rPr>
        <w:t>磁带库是像自动加载磁带机一样的基于磁带的备份系统，磁带库由多个驱动器、多个槽和</w:t>
      </w:r>
      <w:r>
        <w:rPr>
          <w:spacing w:val="7"/>
          <w:sz w:val="20"/>
          <w:szCs w:val="20"/>
        </w:rPr>
        <w:t xml:space="preserve"> </w:t>
      </w:r>
      <w:r>
        <w:rPr>
          <w:spacing w:val="3"/>
          <w:sz w:val="20"/>
          <w:szCs w:val="20"/>
        </w:rPr>
        <w:t>机械手臂组成，并可以由机械手臂自动实现磁带的拆卸和装填。它能够提供同样的基本自动备</w:t>
      </w:r>
      <w:r>
        <w:rPr>
          <w:spacing w:val="5"/>
          <w:sz w:val="20"/>
          <w:szCs w:val="20"/>
        </w:rPr>
        <w:t xml:space="preserve"> </w:t>
      </w:r>
      <w:r>
        <w:rPr>
          <w:spacing w:val="3"/>
          <w:sz w:val="20"/>
          <w:szCs w:val="20"/>
        </w:rPr>
        <w:t>份和数据恢复功能，但同时具有更先进的技术特点。磁带库可以多个驱动器并行工作，也可以</w:t>
      </w:r>
      <w:r>
        <w:rPr>
          <w:spacing w:val="13"/>
          <w:sz w:val="20"/>
          <w:szCs w:val="20"/>
        </w:rPr>
        <w:t xml:space="preserve"> </w:t>
      </w:r>
      <w:r>
        <w:rPr>
          <w:spacing w:val="6"/>
          <w:sz w:val="20"/>
          <w:szCs w:val="20"/>
        </w:rPr>
        <w:t>几个驱动器指向不同的服务器进行备份，存储容量达到</w:t>
      </w:r>
      <w:r>
        <w:rPr>
          <w:rFonts w:ascii="Times New Roman" w:hAnsi="Times New Roman" w:eastAsia="Times New Roman" w:cs="Times New Roman"/>
          <w:sz w:val="20"/>
          <w:szCs w:val="20"/>
        </w:rPr>
        <w:t>PB</w:t>
      </w:r>
      <w:r>
        <w:rPr>
          <w:rFonts w:ascii="Times New Roman" w:hAnsi="Times New Roman" w:eastAsia="Times New Roman" w:cs="Times New Roman"/>
          <w:spacing w:val="19"/>
          <w:sz w:val="20"/>
          <w:szCs w:val="20"/>
        </w:rPr>
        <w:t xml:space="preserve"> </w:t>
      </w:r>
      <w:r>
        <w:rPr>
          <w:spacing w:val="5"/>
          <w:sz w:val="20"/>
          <w:szCs w:val="20"/>
        </w:rPr>
        <w:t>级，可以实现连续备份、自动搜索</w:t>
      </w:r>
      <w:r>
        <w:rPr>
          <w:sz w:val="20"/>
          <w:szCs w:val="20"/>
        </w:rPr>
        <w:t xml:space="preserve"> </w:t>
      </w:r>
      <w:r>
        <w:rPr>
          <w:spacing w:val="4"/>
          <w:sz w:val="20"/>
          <w:szCs w:val="20"/>
        </w:rPr>
        <w:t>磁带等功能，并可以在管理软件的支持下实现智能恢复、</w:t>
      </w:r>
      <w:r>
        <w:rPr>
          <w:spacing w:val="3"/>
          <w:sz w:val="20"/>
          <w:szCs w:val="20"/>
        </w:rPr>
        <w:t>实时监控和统计功能，是集中式网络</w:t>
      </w:r>
      <w:r>
        <w:rPr>
          <w:sz w:val="20"/>
          <w:szCs w:val="20"/>
        </w:rPr>
        <w:t xml:space="preserve"> </w:t>
      </w:r>
      <w:r>
        <w:rPr>
          <w:spacing w:val="3"/>
          <w:sz w:val="20"/>
          <w:szCs w:val="20"/>
        </w:rPr>
        <w:t>数据备份的主要设备。磁带库不仅数据存储量庞大，在备份效率和人工占用方面也拥有无可比</w:t>
      </w:r>
      <w:r>
        <w:rPr>
          <w:spacing w:val="8"/>
          <w:sz w:val="20"/>
          <w:szCs w:val="20"/>
        </w:rPr>
        <w:t xml:space="preserve"> </w:t>
      </w:r>
      <w:r>
        <w:rPr>
          <w:spacing w:val="6"/>
          <w:sz w:val="20"/>
          <w:szCs w:val="20"/>
        </w:rPr>
        <w:t>拟的优势。在网络系统中，磁带库通过</w:t>
      </w:r>
      <w:r>
        <w:rPr>
          <w:rFonts w:ascii="Times New Roman" w:hAnsi="Times New Roman" w:eastAsia="Times New Roman" w:cs="Times New Roman"/>
          <w:sz w:val="20"/>
          <w:szCs w:val="20"/>
        </w:rPr>
        <w:t>SAN</w:t>
      </w:r>
      <w:r>
        <w:rPr>
          <w:rFonts w:ascii="Times New Roman" w:hAnsi="Times New Roman" w:eastAsia="Times New Roman" w:cs="Times New Roman"/>
          <w:spacing w:val="51"/>
          <w:sz w:val="20"/>
          <w:szCs w:val="20"/>
        </w:rPr>
        <w:t xml:space="preserve"> </w:t>
      </w:r>
      <w:r>
        <w:rPr>
          <w:spacing w:val="6"/>
          <w:sz w:val="20"/>
          <w:szCs w:val="20"/>
        </w:rPr>
        <w:t>系统可以形成网络存储系统，为组织存储提供有</w:t>
      </w:r>
      <w:r>
        <w:rPr>
          <w:sz w:val="20"/>
          <w:szCs w:val="20"/>
        </w:rPr>
        <w:t xml:space="preserve"> 力保障，实现远程数据访问、数据存储备份功能，或通过磁带镜像技术实现多磁带库备份功能， </w:t>
      </w:r>
      <w:r>
        <w:rPr>
          <w:spacing w:val="-2"/>
          <w:sz w:val="20"/>
          <w:szCs w:val="20"/>
        </w:rPr>
        <w:t>无疑是适合数据仓库、</w:t>
      </w:r>
      <w:r>
        <w:rPr>
          <w:rFonts w:ascii="Times New Roman" w:hAnsi="Times New Roman" w:eastAsia="Times New Roman" w:cs="Times New Roman"/>
          <w:spacing w:val="-2"/>
          <w:sz w:val="20"/>
          <w:szCs w:val="20"/>
        </w:rPr>
        <w:t>ERP</w:t>
      </w:r>
      <w:r>
        <w:rPr>
          <w:rFonts w:ascii="Times New Roman" w:hAnsi="Times New Roman" w:eastAsia="Times New Roman" w:cs="Times New Roman"/>
          <w:spacing w:val="18"/>
          <w:sz w:val="20"/>
          <w:szCs w:val="20"/>
        </w:rPr>
        <w:t xml:space="preserve"> </w:t>
      </w:r>
      <w:r>
        <w:rPr>
          <w:spacing w:val="-2"/>
          <w:sz w:val="20"/>
          <w:szCs w:val="20"/>
        </w:rPr>
        <w:t>等大型网络应用的良</w:t>
      </w:r>
      <w:r>
        <w:rPr>
          <w:spacing w:val="-3"/>
          <w:sz w:val="20"/>
          <w:szCs w:val="20"/>
        </w:rPr>
        <w:t>好存储设备。</w:t>
      </w:r>
    </w:p>
    <w:p w14:paraId="27CAE5D9">
      <w:pPr>
        <w:pStyle w:val="2"/>
        <w:spacing w:before="61" w:line="282" w:lineRule="auto"/>
        <w:ind w:right="236" w:firstLine="410"/>
        <w:jc w:val="both"/>
        <w:rPr>
          <w:sz w:val="20"/>
          <w:szCs w:val="20"/>
        </w:rPr>
      </w:pPr>
      <w:r>
        <w:rPr>
          <w:spacing w:val="3"/>
          <w:sz w:val="20"/>
          <w:szCs w:val="20"/>
        </w:rPr>
        <w:t>光盘以其容量大、成本低、制作简单、体积小、易于保存、使用便利等特点，仍是当前海</w:t>
      </w:r>
      <w:r>
        <w:rPr>
          <w:sz w:val="20"/>
          <w:szCs w:val="20"/>
        </w:rPr>
        <w:t xml:space="preserve">  </w:t>
      </w:r>
      <w:r>
        <w:rPr>
          <w:spacing w:val="5"/>
          <w:sz w:val="20"/>
          <w:szCs w:val="20"/>
        </w:rPr>
        <w:t>量信息和重要文献资料的备份媒体。光盘存储产品包括光盘塔、光盘库、光盘镜像服务器等。</w:t>
      </w:r>
      <w:r>
        <w:rPr>
          <w:spacing w:val="14"/>
          <w:sz w:val="20"/>
          <w:szCs w:val="20"/>
        </w:rPr>
        <w:t xml:space="preserve"> </w:t>
      </w:r>
      <w:r>
        <w:rPr>
          <w:spacing w:val="3"/>
          <w:sz w:val="20"/>
          <w:szCs w:val="20"/>
        </w:rPr>
        <w:t>光盘塔由多个光盘驱动器并联而成，可以通过软件控制某台光驱的读写操作。光盘库是一种可</w:t>
      </w:r>
      <w:r>
        <w:rPr>
          <w:spacing w:val="2"/>
          <w:sz w:val="20"/>
          <w:szCs w:val="20"/>
        </w:rPr>
        <w:t xml:space="preserve">  </w:t>
      </w:r>
      <w:r>
        <w:rPr>
          <w:spacing w:val="3"/>
          <w:sz w:val="20"/>
          <w:szCs w:val="20"/>
        </w:rPr>
        <w:t>以存放多张光盘并带有机械臂和光盘驱动器的光盘柜，也叫自动换盘机，能够利用机械手从机</w:t>
      </w:r>
      <w:r>
        <w:rPr>
          <w:spacing w:val="1"/>
          <w:sz w:val="20"/>
          <w:szCs w:val="20"/>
        </w:rPr>
        <w:t xml:space="preserve">  柜中选出一张光盘送到光盘驱动器进行读写。光盘镜像服务器是一种“瘦服务器”,采用硬盘高</w:t>
      </w:r>
      <w:r>
        <w:rPr>
          <w:spacing w:val="5"/>
          <w:sz w:val="20"/>
          <w:szCs w:val="20"/>
        </w:rPr>
        <w:t xml:space="preserve"> </w:t>
      </w:r>
      <w:r>
        <w:rPr>
          <w:spacing w:val="8"/>
          <w:sz w:val="20"/>
          <w:szCs w:val="20"/>
        </w:rPr>
        <w:t>速缓存技术，将整张光盘的内容存储(镜像)到硬盘中，这样，用户就可以以硬盘的速度来共</w:t>
      </w:r>
      <w:r>
        <w:rPr>
          <w:sz w:val="20"/>
          <w:szCs w:val="20"/>
        </w:rPr>
        <w:t xml:space="preserve">  </w:t>
      </w:r>
      <w:r>
        <w:rPr>
          <w:spacing w:val="-4"/>
          <w:sz w:val="20"/>
          <w:szCs w:val="20"/>
        </w:rPr>
        <w:t>享服务器中的镜像光盘。</w:t>
      </w:r>
    </w:p>
    <w:p w14:paraId="0D68179A">
      <w:pPr>
        <w:spacing w:before="79" w:line="212" w:lineRule="auto"/>
        <w:ind w:left="410"/>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3)SAN</w:t>
      </w:r>
      <w:r>
        <w:rPr>
          <w:rFonts w:ascii="Times New Roman" w:hAnsi="Times New Roman" w:eastAsia="Times New Roman" w:cs="Times New Roman"/>
          <w:b/>
          <w:bCs/>
          <w:spacing w:val="10"/>
          <w:sz w:val="20"/>
          <w:szCs w:val="20"/>
        </w:rPr>
        <w:t xml:space="preserve">   </w:t>
      </w:r>
      <w:r>
        <w:rPr>
          <w:rFonts w:ascii="楷体" w:hAnsi="楷体" w:eastAsia="楷体" w:cs="楷体"/>
          <w:b/>
          <w:bCs/>
          <w:spacing w:val="-2"/>
          <w:sz w:val="20"/>
          <w:szCs w:val="20"/>
        </w:rPr>
        <w:t>和</w:t>
      </w:r>
      <w:r>
        <w:rPr>
          <w:rFonts w:ascii="楷体" w:hAnsi="楷体" w:eastAsia="楷体" w:cs="楷体"/>
          <w:spacing w:val="-54"/>
          <w:sz w:val="20"/>
          <w:szCs w:val="20"/>
        </w:rPr>
        <w:t xml:space="preserve"> </w:t>
      </w:r>
      <w:r>
        <w:rPr>
          <w:rFonts w:ascii="Times New Roman" w:hAnsi="Times New Roman" w:eastAsia="Times New Roman" w:cs="Times New Roman"/>
          <w:b/>
          <w:bCs/>
          <w:spacing w:val="-2"/>
          <w:sz w:val="20"/>
          <w:szCs w:val="20"/>
        </w:rPr>
        <w:t>NAS</w:t>
      </w:r>
    </w:p>
    <w:p w14:paraId="61B18C04">
      <w:pPr>
        <w:pStyle w:val="2"/>
        <w:spacing w:before="108" w:line="272" w:lineRule="auto"/>
        <w:ind w:right="236" w:firstLine="410"/>
        <w:jc w:val="both"/>
        <w:rPr>
          <w:sz w:val="20"/>
          <w:szCs w:val="20"/>
        </w:rPr>
      </w:pPr>
      <w:r>
        <w:rPr>
          <w:rFonts w:ascii="Times New Roman" w:hAnsi="Times New Roman" w:eastAsia="Times New Roman" w:cs="Times New Roman"/>
          <w:sz w:val="20"/>
          <w:szCs w:val="20"/>
        </w:rPr>
        <w:t>SAN</w:t>
      </w:r>
      <w:r>
        <w:rPr>
          <w:rFonts w:ascii="Times New Roman" w:hAnsi="Times New Roman" w:eastAsia="Times New Roman" w:cs="Times New Roman"/>
          <w:spacing w:val="2"/>
          <w:sz w:val="20"/>
          <w:szCs w:val="20"/>
        </w:rPr>
        <w:t xml:space="preserve"> </w:t>
      </w:r>
      <w:r>
        <w:rPr>
          <w:spacing w:val="2"/>
          <w:sz w:val="20"/>
          <w:szCs w:val="20"/>
        </w:rPr>
        <w:t>采用光纤通道技术，通过光纤通道交换机连接存储阵列和服务器</w:t>
      </w:r>
      <w:r>
        <w:rPr>
          <w:spacing w:val="1"/>
          <w:sz w:val="20"/>
          <w:szCs w:val="20"/>
        </w:rPr>
        <w:t>主机，建立专用于数</w:t>
      </w:r>
      <w:r>
        <w:rPr>
          <w:sz w:val="20"/>
          <w:szCs w:val="20"/>
        </w:rPr>
        <w:t xml:space="preserve">  </w:t>
      </w:r>
      <w:r>
        <w:rPr>
          <w:spacing w:val="6"/>
          <w:sz w:val="20"/>
          <w:szCs w:val="20"/>
        </w:rPr>
        <w:t>据存储的区域网络。</w:t>
      </w:r>
      <w:r>
        <w:rPr>
          <w:rFonts w:ascii="Times New Roman" w:hAnsi="Times New Roman" w:eastAsia="Times New Roman" w:cs="Times New Roman"/>
          <w:sz w:val="20"/>
          <w:szCs w:val="20"/>
        </w:rPr>
        <w:t>SAN</w:t>
      </w:r>
      <w:r>
        <w:rPr>
          <w:rFonts w:ascii="Times New Roman" w:hAnsi="Times New Roman" w:eastAsia="Times New Roman" w:cs="Times New Roman"/>
          <w:spacing w:val="6"/>
          <w:sz w:val="20"/>
          <w:szCs w:val="20"/>
        </w:rPr>
        <w:t xml:space="preserve"> </w:t>
      </w:r>
      <w:r>
        <w:rPr>
          <w:spacing w:val="6"/>
          <w:sz w:val="20"/>
          <w:szCs w:val="20"/>
        </w:rPr>
        <w:t>提供了一种与现有</w:t>
      </w:r>
      <w:r>
        <w:rPr>
          <w:rFonts w:ascii="Times New Roman" w:hAnsi="Times New Roman" w:eastAsia="Times New Roman" w:cs="Times New Roman"/>
          <w:sz w:val="20"/>
          <w:szCs w:val="20"/>
        </w:rPr>
        <w:t>LAN</w:t>
      </w:r>
      <w:r>
        <w:rPr>
          <w:rFonts w:ascii="Times New Roman" w:hAnsi="Times New Roman" w:eastAsia="Times New Roman" w:cs="Times New Roman"/>
          <w:spacing w:val="6"/>
          <w:sz w:val="20"/>
          <w:szCs w:val="20"/>
        </w:rPr>
        <w:t xml:space="preserve"> </w:t>
      </w:r>
      <w:r>
        <w:rPr>
          <w:spacing w:val="6"/>
          <w:sz w:val="20"/>
          <w:szCs w:val="20"/>
        </w:rPr>
        <w:t>连接的简易方法，并</w:t>
      </w:r>
      <w:r>
        <w:rPr>
          <w:spacing w:val="5"/>
          <w:sz w:val="20"/>
          <w:szCs w:val="20"/>
        </w:rPr>
        <w:t>且通过同一物理通道支</w:t>
      </w:r>
      <w:r>
        <w:rPr>
          <w:sz w:val="20"/>
          <w:szCs w:val="20"/>
        </w:rPr>
        <w:t xml:space="preserve">  </w:t>
      </w:r>
      <w:r>
        <w:rPr>
          <w:spacing w:val="5"/>
          <w:sz w:val="20"/>
          <w:szCs w:val="20"/>
        </w:rPr>
        <w:t>持广泛使用的小型计算机系统专用接口</w:t>
      </w:r>
      <w:r>
        <w:rPr>
          <w:spacing w:val="-34"/>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Small</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Interface</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SCSI</w:t>
      </w:r>
      <w:r>
        <w:rPr>
          <w:rFonts w:ascii="Times New Roman" w:hAnsi="Times New Roman" w:eastAsia="Times New Roman" w:cs="Times New Roman"/>
          <w:spacing w:val="5"/>
          <w:sz w:val="20"/>
          <w:szCs w:val="20"/>
        </w:rPr>
        <w:t>)</w:t>
      </w:r>
      <w:r>
        <w:rPr>
          <w:rFonts w:ascii="Times New Roman" w:hAnsi="Times New Roman" w:eastAsia="Times New Roman" w:cs="Times New Roman"/>
          <w:spacing w:val="12"/>
          <w:w w:val="101"/>
          <w:sz w:val="20"/>
          <w:szCs w:val="20"/>
        </w:rPr>
        <w:t xml:space="preserve"> </w:t>
      </w:r>
      <w:r>
        <w:rPr>
          <w:spacing w:val="5"/>
          <w:sz w:val="20"/>
          <w:szCs w:val="20"/>
        </w:rPr>
        <w:t>和</w:t>
      </w:r>
      <w:r>
        <w:rPr>
          <w:spacing w:val="-42"/>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17"/>
          <w:w w:val="101"/>
          <w:sz w:val="20"/>
          <w:szCs w:val="20"/>
        </w:rPr>
        <w:t xml:space="preserve"> </w:t>
      </w:r>
      <w:r>
        <w:rPr>
          <w:spacing w:val="5"/>
          <w:sz w:val="20"/>
          <w:szCs w:val="20"/>
        </w:rPr>
        <w:t>协议。</w:t>
      </w:r>
      <w:r>
        <w:rPr>
          <w:sz w:val="20"/>
          <w:szCs w:val="20"/>
        </w:rPr>
        <w:t xml:space="preserve"> </w:t>
      </w:r>
      <w:r>
        <w:rPr>
          <w:rFonts w:ascii="Times New Roman" w:hAnsi="Times New Roman" w:eastAsia="Times New Roman" w:cs="Times New Roman"/>
          <w:sz w:val="20"/>
          <w:szCs w:val="20"/>
        </w:rPr>
        <w:t>SAN</w:t>
      </w:r>
      <w:r>
        <w:rPr>
          <w:rFonts w:ascii="Times New Roman" w:hAnsi="Times New Roman" w:eastAsia="Times New Roman" w:cs="Times New Roman"/>
          <w:spacing w:val="1"/>
          <w:sz w:val="20"/>
          <w:szCs w:val="20"/>
        </w:rPr>
        <w:t xml:space="preserve"> </w:t>
      </w:r>
      <w:r>
        <w:rPr>
          <w:spacing w:val="1"/>
          <w:sz w:val="20"/>
          <w:szCs w:val="20"/>
        </w:rPr>
        <w:t>采用</w:t>
      </w:r>
      <w:r>
        <w:rPr>
          <w:rFonts w:ascii="Times New Roman" w:hAnsi="Times New Roman" w:eastAsia="Times New Roman" w:cs="Times New Roman"/>
          <w:sz w:val="20"/>
          <w:szCs w:val="20"/>
        </w:rPr>
        <w:t>SCSI</w:t>
      </w:r>
      <w:r>
        <w:rPr>
          <w:rFonts w:ascii="Times New Roman" w:hAnsi="Times New Roman" w:eastAsia="Times New Roman" w:cs="Times New Roman"/>
          <w:spacing w:val="1"/>
          <w:sz w:val="20"/>
          <w:szCs w:val="20"/>
        </w:rPr>
        <w:t xml:space="preserve"> </w:t>
      </w:r>
      <w:r>
        <w:rPr>
          <w:spacing w:val="1"/>
          <w:sz w:val="20"/>
          <w:szCs w:val="20"/>
        </w:rPr>
        <w:t>块</w:t>
      </w:r>
      <w:r>
        <w:rPr>
          <w:spacing w:val="-49"/>
          <w:sz w:val="20"/>
          <w:szCs w:val="20"/>
        </w:rPr>
        <w:t xml:space="preserve"> </w:t>
      </w:r>
      <w:r>
        <w:rPr>
          <w:rFonts w:ascii="Times New Roman" w:hAnsi="Times New Roman" w:eastAsia="Times New Roman" w:cs="Times New Roman"/>
          <w:spacing w:val="1"/>
          <w:sz w:val="20"/>
          <w:szCs w:val="20"/>
        </w:rPr>
        <w:t>I/O</w:t>
      </w:r>
      <w:r>
        <w:rPr>
          <w:rFonts w:ascii="Times New Roman" w:hAnsi="Times New Roman" w:eastAsia="Times New Roman" w:cs="Times New Roman"/>
          <w:spacing w:val="29"/>
          <w:sz w:val="20"/>
          <w:szCs w:val="20"/>
        </w:rPr>
        <w:t xml:space="preserve"> </w:t>
      </w:r>
      <w:r>
        <w:rPr>
          <w:spacing w:val="1"/>
          <w:sz w:val="20"/>
          <w:szCs w:val="20"/>
        </w:rPr>
        <w:t>的命令集，通过在磁盘或光纤通道</w:t>
      </w:r>
      <w:r>
        <w:rPr>
          <w:spacing w:val="-50"/>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Fiber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Channel</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FC</w:t>
      </w:r>
      <w:r>
        <w:rPr>
          <w:rFonts w:ascii="Times New Roman" w:hAnsi="Times New Roman" w:eastAsia="Times New Roman" w:cs="Times New Roman"/>
          <w:spacing w:val="1"/>
          <w:sz w:val="20"/>
          <w:szCs w:val="20"/>
        </w:rPr>
        <w:t xml:space="preserve">) </w:t>
      </w:r>
      <w:r>
        <w:rPr>
          <w:spacing w:val="1"/>
          <w:sz w:val="20"/>
          <w:szCs w:val="20"/>
        </w:rPr>
        <w:t>级的数据访问提</w:t>
      </w:r>
      <w:r>
        <w:rPr>
          <w:sz w:val="20"/>
          <w:szCs w:val="20"/>
        </w:rPr>
        <w:t xml:space="preserve">  </w:t>
      </w:r>
      <w:r>
        <w:rPr>
          <w:spacing w:val="5"/>
          <w:sz w:val="20"/>
          <w:szCs w:val="20"/>
        </w:rPr>
        <w:t>供高性能的随机I/O和数据吞吐率，具有高带宽、低延迟的优势，在高性能计算中占有一席之</w:t>
      </w:r>
      <w:r>
        <w:rPr>
          <w:spacing w:val="8"/>
          <w:sz w:val="20"/>
          <w:szCs w:val="20"/>
        </w:rPr>
        <w:t xml:space="preserve">  </w:t>
      </w:r>
      <w:r>
        <w:rPr>
          <w:spacing w:val="5"/>
          <w:sz w:val="20"/>
          <w:szCs w:val="20"/>
        </w:rPr>
        <w:t>地，例如</w:t>
      </w:r>
      <w:r>
        <w:rPr>
          <w:rFonts w:ascii="Times New Roman" w:hAnsi="Times New Roman" w:eastAsia="Times New Roman" w:cs="Times New Roman"/>
          <w:sz w:val="20"/>
          <w:szCs w:val="20"/>
        </w:rPr>
        <w:t>SGI</w:t>
      </w:r>
      <w:r>
        <w:rPr>
          <w:rFonts w:ascii="Times New Roman" w:hAnsi="Times New Roman" w:eastAsia="Times New Roman" w:cs="Times New Roman"/>
          <w:spacing w:val="37"/>
          <w:w w:val="101"/>
          <w:sz w:val="20"/>
          <w:szCs w:val="20"/>
        </w:rPr>
        <w:t xml:space="preserve"> </w:t>
      </w:r>
      <w:r>
        <w:rPr>
          <w:spacing w:val="5"/>
          <w:sz w:val="20"/>
          <w:szCs w:val="20"/>
        </w:rPr>
        <w:t>的</w:t>
      </w:r>
      <w:r>
        <w:rPr>
          <w:spacing w:val="-46"/>
          <w:sz w:val="20"/>
          <w:szCs w:val="20"/>
        </w:rPr>
        <w:t xml:space="preserve"> </w:t>
      </w:r>
      <w:r>
        <w:rPr>
          <w:rFonts w:ascii="Times New Roman" w:hAnsi="Times New Roman" w:eastAsia="Times New Roman" w:cs="Times New Roman"/>
          <w:sz w:val="20"/>
          <w:szCs w:val="20"/>
        </w:rPr>
        <w:t>CXFS</w:t>
      </w:r>
      <w:r>
        <w:rPr>
          <w:rFonts w:ascii="Times New Roman" w:hAnsi="Times New Roman" w:eastAsia="Times New Roman" w:cs="Times New Roman"/>
          <w:spacing w:val="27"/>
          <w:w w:val="101"/>
          <w:sz w:val="20"/>
          <w:szCs w:val="20"/>
        </w:rPr>
        <w:t xml:space="preserve"> </w:t>
      </w:r>
      <w:r>
        <w:rPr>
          <w:spacing w:val="5"/>
          <w:sz w:val="20"/>
          <w:szCs w:val="20"/>
        </w:rPr>
        <w:t>文件系统就是基于</w:t>
      </w:r>
      <w:r>
        <w:rPr>
          <w:rFonts w:ascii="Times New Roman" w:hAnsi="Times New Roman" w:eastAsia="Times New Roman" w:cs="Times New Roman"/>
          <w:sz w:val="20"/>
          <w:szCs w:val="20"/>
        </w:rPr>
        <w:t>SAN</w:t>
      </w:r>
      <w:r>
        <w:rPr>
          <w:rFonts w:ascii="Times New Roman" w:hAnsi="Times New Roman" w:eastAsia="Times New Roman" w:cs="Times New Roman"/>
          <w:spacing w:val="5"/>
          <w:sz w:val="20"/>
          <w:szCs w:val="20"/>
        </w:rPr>
        <w:t xml:space="preserve"> </w:t>
      </w:r>
      <w:r>
        <w:rPr>
          <w:spacing w:val="5"/>
          <w:sz w:val="20"/>
          <w:szCs w:val="20"/>
        </w:rPr>
        <w:t>实现高性能文件存储的，但是由于</w:t>
      </w:r>
      <w:r>
        <w:rPr>
          <w:rFonts w:ascii="Times New Roman" w:hAnsi="Times New Roman" w:eastAsia="Times New Roman" w:cs="Times New Roman"/>
          <w:sz w:val="20"/>
          <w:szCs w:val="20"/>
        </w:rPr>
        <w:t>SAN</w:t>
      </w:r>
      <w:r>
        <w:rPr>
          <w:rFonts w:ascii="Times New Roman" w:hAnsi="Times New Roman" w:eastAsia="Times New Roman" w:cs="Times New Roman"/>
          <w:spacing w:val="32"/>
          <w:w w:val="101"/>
          <w:sz w:val="20"/>
          <w:szCs w:val="20"/>
        </w:rPr>
        <w:t xml:space="preserve"> </w:t>
      </w:r>
      <w:r>
        <w:rPr>
          <w:spacing w:val="5"/>
          <w:sz w:val="20"/>
          <w:szCs w:val="20"/>
        </w:rPr>
        <w:t>系统的</w:t>
      </w:r>
      <w:r>
        <w:rPr>
          <w:sz w:val="20"/>
          <w:szCs w:val="20"/>
        </w:rPr>
        <w:t xml:space="preserve">  价格较高，且可扩展性较差，已不能满足成千上万个</w:t>
      </w:r>
      <w:r>
        <w:rPr>
          <w:rFonts w:ascii="Times New Roman" w:hAnsi="Times New Roman" w:eastAsia="Times New Roman" w:cs="Times New Roman"/>
          <w:sz w:val="20"/>
          <w:szCs w:val="20"/>
        </w:rPr>
        <w:t>CPU</w:t>
      </w:r>
      <w:r>
        <w:rPr>
          <w:rFonts w:ascii="Times New Roman" w:hAnsi="Times New Roman" w:eastAsia="Times New Roman" w:cs="Times New Roman"/>
          <w:spacing w:val="19"/>
          <w:w w:val="101"/>
          <w:sz w:val="20"/>
          <w:szCs w:val="20"/>
        </w:rPr>
        <w:t xml:space="preserve"> </w:t>
      </w:r>
      <w:r>
        <w:rPr>
          <w:sz w:val="20"/>
          <w:szCs w:val="20"/>
        </w:rPr>
        <w:t>规模的系统。</w:t>
      </w:r>
    </w:p>
    <w:p w14:paraId="590D94FC">
      <w:pPr>
        <w:pStyle w:val="2"/>
        <w:spacing w:before="88" w:line="268" w:lineRule="auto"/>
        <w:ind w:right="236" w:firstLine="410"/>
        <w:jc w:val="both"/>
        <w:rPr>
          <w:sz w:val="20"/>
          <w:szCs w:val="20"/>
        </w:rPr>
      </w:pPr>
      <w:r>
        <w:rPr>
          <w:rFonts w:ascii="Times New Roman" w:hAnsi="Times New Roman" w:eastAsia="Times New Roman" w:cs="Times New Roman"/>
          <w:sz w:val="20"/>
          <w:szCs w:val="20"/>
        </w:rPr>
        <w:t>NAS</w:t>
      </w:r>
      <w:r>
        <w:rPr>
          <w:rFonts w:ascii="Times New Roman" w:hAnsi="Times New Roman" w:eastAsia="Times New Roman" w:cs="Times New Roman"/>
          <w:spacing w:val="-1"/>
          <w:sz w:val="20"/>
          <w:szCs w:val="20"/>
        </w:rPr>
        <w:t xml:space="preserve"> </w:t>
      </w:r>
      <w:r>
        <w:rPr>
          <w:spacing w:val="17"/>
          <w:sz w:val="20"/>
          <w:szCs w:val="20"/>
        </w:rPr>
        <w:t>将存储设备通过标准网络拓扑结构(例如以太网)连接到一群计算机上。</w:t>
      </w:r>
      <w:r>
        <w:rPr>
          <w:rFonts w:ascii="Times New Roman" w:hAnsi="Times New Roman" w:eastAsia="Times New Roman" w:cs="Times New Roman"/>
          <w:sz w:val="20"/>
          <w:szCs w:val="20"/>
        </w:rPr>
        <w:t>NAS</w:t>
      </w:r>
      <w:r>
        <w:rPr>
          <w:rFonts w:ascii="Times New Roman" w:hAnsi="Times New Roman" w:eastAsia="Times New Roman" w:cs="Times New Roman"/>
          <w:spacing w:val="47"/>
          <w:w w:val="101"/>
          <w:sz w:val="20"/>
          <w:szCs w:val="20"/>
        </w:rPr>
        <w:t xml:space="preserve"> </w:t>
      </w:r>
      <w:r>
        <w:rPr>
          <w:spacing w:val="17"/>
          <w:sz w:val="20"/>
          <w:szCs w:val="20"/>
        </w:rPr>
        <w:t>是</w:t>
      </w:r>
      <w:r>
        <w:rPr>
          <w:sz w:val="20"/>
          <w:szCs w:val="20"/>
        </w:rPr>
        <w:t xml:space="preserve">  </w:t>
      </w:r>
      <w:r>
        <w:rPr>
          <w:spacing w:val="7"/>
          <w:sz w:val="20"/>
          <w:szCs w:val="20"/>
        </w:rPr>
        <w:t>部件级的存储方法，其重点在于满足组织迅速增加存储容量的需求。</w:t>
      </w:r>
      <w:r>
        <w:rPr>
          <w:rFonts w:ascii="Times New Roman" w:hAnsi="Times New Roman" w:eastAsia="Times New Roman" w:cs="Times New Roman"/>
          <w:sz w:val="20"/>
          <w:szCs w:val="20"/>
        </w:rPr>
        <w:t>NAS</w:t>
      </w:r>
      <w:r>
        <w:rPr>
          <w:rFonts w:ascii="Times New Roman" w:hAnsi="Times New Roman" w:eastAsia="Times New Roman" w:cs="Times New Roman"/>
          <w:spacing w:val="7"/>
          <w:sz w:val="20"/>
          <w:szCs w:val="20"/>
        </w:rPr>
        <w:t xml:space="preserve"> </w:t>
      </w:r>
      <w:r>
        <w:rPr>
          <w:spacing w:val="7"/>
          <w:sz w:val="20"/>
          <w:szCs w:val="20"/>
        </w:rPr>
        <w:t>采用网络文件系统</w:t>
      </w:r>
      <w:r>
        <w:rPr>
          <w:spacing w:val="2"/>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Network</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File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NFS</w:t>
      </w:r>
      <w:r>
        <w:rPr>
          <w:rFonts w:ascii="Times New Roman" w:hAnsi="Times New Roman" w:eastAsia="Times New Roman" w:cs="Times New Roman"/>
          <w:spacing w:val="5"/>
          <w:sz w:val="20"/>
          <w:szCs w:val="20"/>
        </w:rPr>
        <w:t>)</w:t>
      </w:r>
      <w:r>
        <w:rPr>
          <w:rFonts w:ascii="Times New Roman" w:hAnsi="Times New Roman" w:eastAsia="Times New Roman" w:cs="Times New Roman"/>
          <w:spacing w:val="39"/>
          <w:w w:val="101"/>
          <w:sz w:val="20"/>
          <w:szCs w:val="20"/>
        </w:rPr>
        <w:t xml:space="preserve"> </w:t>
      </w:r>
      <w:r>
        <w:rPr>
          <w:spacing w:val="5"/>
          <w:sz w:val="20"/>
          <w:szCs w:val="20"/>
        </w:rPr>
        <w:t>或通用网络文件共享服务</w:t>
      </w:r>
      <w:r>
        <w:rPr>
          <w:spacing w:val="-50"/>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Common</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Internet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File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CIFS</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 xml:space="preserve">   </w:t>
      </w:r>
      <w:r>
        <w:rPr>
          <w:spacing w:val="4"/>
          <w:sz w:val="20"/>
          <w:szCs w:val="20"/>
        </w:rPr>
        <w:t>命令集访问数据，以文件为传输协议，通过</w:t>
      </w:r>
      <w:r>
        <w:rPr>
          <w:rFonts w:ascii="Times New Roman" w:hAnsi="Times New Roman" w:eastAsia="Times New Roman" w:cs="Times New Roman"/>
          <w:sz w:val="20"/>
          <w:szCs w:val="20"/>
        </w:rPr>
        <w:t>TCP</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4"/>
          <w:sz w:val="20"/>
          <w:szCs w:val="20"/>
        </w:rPr>
        <w:t xml:space="preserve"> </w:t>
      </w:r>
      <w:r>
        <w:rPr>
          <w:spacing w:val="4"/>
          <w:sz w:val="20"/>
          <w:szCs w:val="20"/>
        </w:rPr>
        <w:t>实现网络化存储，可扩展性好、价格便宜、</w:t>
      </w:r>
    </w:p>
    <w:p w14:paraId="02CA12B0">
      <w:pPr>
        <w:spacing w:line="268" w:lineRule="auto"/>
        <w:rPr>
          <w:sz w:val="20"/>
          <w:szCs w:val="20"/>
        </w:rPr>
        <w:sectPr>
          <w:pgSz w:w="10290" w:h="13260"/>
          <w:pgMar w:top="400" w:right="573" w:bottom="400" w:left="1059" w:header="0" w:footer="0" w:gutter="0"/>
          <w:cols w:space="720" w:num="1"/>
        </w:sectPr>
      </w:pPr>
    </w:p>
    <w:p w14:paraId="6C794898">
      <w:pPr>
        <w:pStyle w:val="2"/>
        <w:spacing w:before="108" w:line="219" w:lineRule="auto"/>
        <w:rPr>
          <w:sz w:val="20"/>
          <w:szCs w:val="20"/>
        </w:rPr>
      </w:pPr>
      <w:r>
        <w:rPr>
          <w:rFonts w:ascii="Times New Roman" w:hAnsi="Times New Roman" w:eastAsia="Times New Roman" w:cs="Times New Roman"/>
          <w:spacing w:val="-2"/>
          <w:sz w:val="17"/>
          <w:szCs w:val="17"/>
        </w:rPr>
        <w:t>122</w:t>
      </w:r>
      <w:r>
        <w:rPr>
          <w:rFonts w:ascii="Times New Roman" w:hAnsi="Times New Roman" w:eastAsia="Times New Roman" w:cs="Times New Roman"/>
          <w:spacing w:val="2"/>
          <w:sz w:val="17"/>
          <w:szCs w:val="17"/>
        </w:rPr>
        <w:t xml:space="preserve">                </w:t>
      </w:r>
      <w:r>
        <w:rPr>
          <w:spacing w:val="-2"/>
          <w:sz w:val="20"/>
          <w:szCs w:val="20"/>
        </w:rPr>
        <w:t>信息系统监理师教程(第2版)</w:t>
      </w:r>
    </w:p>
    <w:p w14:paraId="23A7A289">
      <w:pPr>
        <w:spacing w:line="284" w:lineRule="auto"/>
        <w:rPr>
          <w:rFonts w:ascii="Arial"/>
          <w:sz w:val="21"/>
        </w:rPr>
      </w:pPr>
    </w:p>
    <w:p w14:paraId="7ECDBFEC">
      <w:pPr>
        <w:pStyle w:val="2"/>
        <w:spacing w:before="65" w:line="301" w:lineRule="auto"/>
        <w:ind w:left="339"/>
        <w:rPr>
          <w:sz w:val="20"/>
          <w:szCs w:val="20"/>
        </w:rPr>
      </w:pPr>
      <w:r>
        <w:rPr>
          <w:spacing w:val="5"/>
          <w:sz w:val="20"/>
          <w:szCs w:val="20"/>
        </w:rPr>
        <w:t>用户易管理，例如目前在集群计算中应用较多的</w:t>
      </w:r>
      <w:r>
        <w:rPr>
          <w:sz w:val="20"/>
          <w:szCs w:val="20"/>
        </w:rPr>
        <w:t>NFS</w:t>
      </w:r>
      <w:r>
        <w:rPr>
          <w:spacing w:val="5"/>
          <w:sz w:val="20"/>
          <w:szCs w:val="20"/>
        </w:rPr>
        <w:t xml:space="preserve"> 文件系</w:t>
      </w:r>
      <w:r>
        <w:rPr>
          <w:spacing w:val="4"/>
          <w:sz w:val="20"/>
          <w:szCs w:val="20"/>
        </w:rPr>
        <w:t>统。但</w:t>
      </w:r>
      <w:r>
        <w:rPr>
          <w:sz w:val="20"/>
          <w:szCs w:val="20"/>
        </w:rPr>
        <w:t>NAS</w:t>
      </w:r>
      <w:r>
        <w:rPr>
          <w:spacing w:val="62"/>
          <w:sz w:val="20"/>
          <w:szCs w:val="20"/>
        </w:rPr>
        <w:t xml:space="preserve"> </w:t>
      </w:r>
      <w:r>
        <w:rPr>
          <w:spacing w:val="4"/>
          <w:sz w:val="20"/>
          <w:szCs w:val="20"/>
        </w:rPr>
        <w:t>协议开销高、带宽低、</w:t>
      </w:r>
      <w:r>
        <w:rPr>
          <w:sz w:val="20"/>
          <w:szCs w:val="20"/>
        </w:rPr>
        <w:t xml:space="preserve"> </w:t>
      </w:r>
      <w:r>
        <w:rPr>
          <w:spacing w:val="-3"/>
          <w:sz w:val="20"/>
          <w:szCs w:val="20"/>
        </w:rPr>
        <w:t>延迟大，不利于在高性能集群中应用。</w:t>
      </w:r>
    </w:p>
    <w:p w14:paraId="5A2FF224">
      <w:pPr>
        <w:spacing w:before="66" w:line="225" w:lineRule="auto"/>
        <w:ind w:left="759"/>
        <w:rPr>
          <w:rFonts w:ascii="楷体" w:hAnsi="楷体" w:eastAsia="楷体" w:cs="楷体"/>
          <w:sz w:val="20"/>
          <w:szCs w:val="20"/>
        </w:rPr>
      </w:pPr>
      <w:r>
        <w:rPr>
          <w:rFonts w:ascii="楷体" w:hAnsi="楷体" w:eastAsia="楷体" w:cs="楷体"/>
          <w:spacing w:val="16"/>
          <w:sz w:val="20"/>
          <w:szCs w:val="20"/>
        </w:rPr>
        <w:t>4)对象存储</w:t>
      </w:r>
    </w:p>
    <w:p w14:paraId="657E2420">
      <w:pPr>
        <w:pStyle w:val="2"/>
        <w:spacing w:before="45" w:line="286" w:lineRule="auto"/>
        <w:ind w:left="339" w:right="64" w:firstLine="420"/>
        <w:rPr>
          <w:sz w:val="20"/>
          <w:szCs w:val="20"/>
        </w:rPr>
      </w:pPr>
      <w:r>
        <w:rPr>
          <w:sz w:val="20"/>
          <w:szCs w:val="20"/>
        </w:rPr>
        <w:t>SAN</w:t>
      </w:r>
      <w:r>
        <w:rPr>
          <w:spacing w:val="63"/>
          <w:sz w:val="20"/>
          <w:szCs w:val="20"/>
        </w:rPr>
        <w:t xml:space="preserve"> </w:t>
      </w:r>
      <w:r>
        <w:rPr>
          <w:spacing w:val="24"/>
          <w:sz w:val="20"/>
          <w:szCs w:val="20"/>
        </w:rPr>
        <w:t>和</w:t>
      </w:r>
      <w:r>
        <w:rPr>
          <w:sz w:val="20"/>
          <w:szCs w:val="20"/>
        </w:rPr>
        <w:t>NAS</w:t>
      </w:r>
      <w:r>
        <w:rPr>
          <w:spacing w:val="71"/>
          <w:sz w:val="20"/>
          <w:szCs w:val="20"/>
        </w:rPr>
        <w:t xml:space="preserve"> </w:t>
      </w:r>
      <w:r>
        <w:rPr>
          <w:spacing w:val="24"/>
          <w:sz w:val="20"/>
          <w:szCs w:val="20"/>
        </w:rPr>
        <w:t>是人们比较熟悉的两种主流网络存储架构，而对象存储</w:t>
      </w:r>
      <w:r>
        <w:rPr>
          <w:spacing w:val="-28"/>
          <w:sz w:val="20"/>
          <w:szCs w:val="20"/>
        </w:rPr>
        <w:t xml:space="preserve"> </w:t>
      </w:r>
      <w:r>
        <w:rPr>
          <w:spacing w:val="24"/>
          <w:sz w:val="20"/>
          <w:szCs w:val="20"/>
        </w:rPr>
        <w:t>(</w:t>
      </w:r>
      <w:r>
        <w:rPr>
          <w:sz w:val="20"/>
          <w:szCs w:val="20"/>
        </w:rPr>
        <w:t>Object</w:t>
      </w:r>
      <w:r>
        <w:rPr>
          <w:spacing w:val="24"/>
          <w:sz w:val="20"/>
          <w:szCs w:val="20"/>
        </w:rPr>
        <w:t>-</w:t>
      </w:r>
      <w:r>
        <w:rPr>
          <w:sz w:val="20"/>
          <w:szCs w:val="20"/>
        </w:rPr>
        <w:t xml:space="preserve">based </w:t>
      </w:r>
      <w:r>
        <w:rPr>
          <w:rFonts w:ascii="Times New Roman" w:hAnsi="Times New Roman" w:eastAsia="Times New Roman" w:cs="Times New Roman"/>
          <w:sz w:val="20"/>
          <w:szCs w:val="20"/>
        </w:rPr>
        <w:t>Storage</w:t>
      </w:r>
      <w:r>
        <w:rPr>
          <w:rFonts w:ascii="Times New Roman" w:hAnsi="Times New Roman" w:eastAsia="Times New Roman" w:cs="Times New Roman"/>
          <w:spacing w:val="4"/>
          <w:sz w:val="20"/>
          <w:szCs w:val="20"/>
        </w:rPr>
        <w:t xml:space="preserve">)  </w:t>
      </w:r>
      <w:r>
        <w:rPr>
          <w:spacing w:val="4"/>
          <w:sz w:val="20"/>
          <w:szCs w:val="20"/>
        </w:rPr>
        <w:t>是一种新的网络存储架构，基于对象存储技术的设备就是对象存储设备</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Object</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based    Storage</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Device</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OSD</w:t>
      </w:r>
      <w:r>
        <w:rPr>
          <w:rFonts w:ascii="Times New Roman" w:hAnsi="Times New Roman" w:eastAsia="Times New Roman" w:cs="Times New Roman"/>
          <w:spacing w:val="2"/>
          <w:sz w:val="20"/>
          <w:szCs w:val="20"/>
        </w:rPr>
        <w:t>)</w:t>
      </w:r>
      <w:r>
        <w:rPr>
          <w:spacing w:val="2"/>
          <w:sz w:val="20"/>
          <w:szCs w:val="20"/>
        </w:rPr>
        <w:t>。对象存储系统允许保留大量的非结构化数据，例如相关应用网站上存</w:t>
      </w:r>
      <w:r>
        <w:rPr>
          <w:spacing w:val="3"/>
          <w:sz w:val="20"/>
          <w:szCs w:val="20"/>
        </w:rPr>
        <w:t xml:space="preserve"> </w:t>
      </w:r>
      <w:r>
        <w:rPr>
          <w:spacing w:val="-3"/>
          <w:sz w:val="20"/>
          <w:szCs w:val="20"/>
        </w:rPr>
        <w:t>储的短视频、歌曲、文件数据等。</w:t>
      </w:r>
    </w:p>
    <w:p w14:paraId="6D2FFA8D">
      <w:pPr>
        <w:pStyle w:val="2"/>
        <w:spacing w:before="22" w:line="281" w:lineRule="auto"/>
        <w:ind w:left="339" w:right="20" w:firstLine="420"/>
        <w:jc w:val="both"/>
        <w:rPr>
          <w:sz w:val="20"/>
          <w:szCs w:val="20"/>
        </w:rPr>
      </w:pPr>
      <w:r>
        <w:rPr>
          <w:spacing w:val="5"/>
          <w:sz w:val="20"/>
          <w:szCs w:val="20"/>
        </w:rPr>
        <w:t>总体而言，对象存储同时兼具</w:t>
      </w:r>
      <w:r>
        <w:rPr>
          <w:rFonts w:ascii="Times New Roman" w:hAnsi="Times New Roman" w:eastAsia="Times New Roman" w:cs="Times New Roman"/>
          <w:sz w:val="20"/>
          <w:szCs w:val="20"/>
        </w:rPr>
        <w:t>SAN</w:t>
      </w:r>
      <w:r>
        <w:rPr>
          <w:rFonts w:ascii="Times New Roman" w:hAnsi="Times New Roman" w:eastAsia="Times New Roman" w:cs="Times New Roman"/>
          <w:spacing w:val="38"/>
          <w:sz w:val="20"/>
          <w:szCs w:val="20"/>
        </w:rPr>
        <w:t xml:space="preserve"> </w:t>
      </w:r>
      <w:r>
        <w:rPr>
          <w:spacing w:val="5"/>
          <w:sz w:val="20"/>
          <w:szCs w:val="20"/>
        </w:rPr>
        <w:t>的高速直接访问磁盘的特点及</w:t>
      </w:r>
      <w:r>
        <w:rPr>
          <w:rFonts w:ascii="Times New Roman" w:hAnsi="Times New Roman" w:eastAsia="Times New Roman" w:cs="Times New Roman"/>
          <w:sz w:val="20"/>
          <w:szCs w:val="20"/>
        </w:rPr>
        <w:t>NAS</w:t>
      </w:r>
      <w:r>
        <w:rPr>
          <w:rFonts w:ascii="Times New Roman" w:hAnsi="Times New Roman" w:eastAsia="Times New Roman" w:cs="Times New Roman"/>
          <w:spacing w:val="17"/>
          <w:w w:val="101"/>
          <w:sz w:val="20"/>
          <w:szCs w:val="20"/>
        </w:rPr>
        <w:t xml:space="preserve"> </w:t>
      </w:r>
      <w:r>
        <w:rPr>
          <w:spacing w:val="5"/>
          <w:sz w:val="20"/>
          <w:szCs w:val="20"/>
        </w:rPr>
        <w:t>的分布式共享的特</w:t>
      </w:r>
      <w:r>
        <w:rPr>
          <w:sz w:val="20"/>
          <w:szCs w:val="20"/>
        </w:rPr>
        <w:t xml:space="preserve"> </w:t>
      </w:r>
      <w:r>
        <w:rPr>
          <w:spacing w:val="3"/>
          <w:sz w:val="20"/>
          <w:szCs w:val="20"/>
        </w:rPr>
        <w:t>点。对象存储的设计原则之一是将一些较低层次的存储从管理员和应用程序中抽象出来，数据  是作为对象而不是文件或块被暴露和管理的。对象包含额外的描述性属性，可以用于更好地进</w:t>
      </w:r>
      <w:r>
        <w:rPr>
          <w:spacing w:val="2"/>
          <w:sz w:val="20"/>
          <w:szCs w:val="20"/>
        </w:rPr>
        <w:t xml:space="preserve">  </w:t>
      </w:r>
      <w:r>
        <w:rPr>
          <w:sz w:val="20"/>
          <w:szCs w:val="20"/>
        </w:rPr>
        <w:t>行索引或管理，对象存储还允许通过文件名和文件路径以外的方式对单个对象进行寻址和识别。</w:t>
      </w:r>
      <w:r>
        <w:rPr>
          <w:spacing w:val="18"/>
          <w:sz w:val="20"/>
          <w:szCs w:val="20"/>
        </w:rPr>
        <w:t xml:space="preserve"> </w:t>
      </w:r>
      <w:r>
        <w:rPr>
          <w:spacing w:val="5"/>
          <w:sz w:val="20"/>
          <w:szCs w:val="20"/>
        </w:rPr>
        <w:t>对象数据不是存储在固定的块中，而是在大小可变的“</w:t>
      </w:r>
      <w:r>
        <w:rPr>
          <w:spacing w:val="4"/>
          <w:sz w:val="20"/>
          <w:szCs w:val="20"/>
        </w:rPr>
        <w:t>容器”里，鉴于元数据</w:t>
      </w:r>
      <w:r>
        <w:rPr>
          <w:spacing w:val="-51"/>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Metadata</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 xml:space="preserve">    </w:t>
      </w:r>
      <w:r>
        <w:rPr>
          <w:spacing w:val="4"/>
          <w:sz w:val="20"/>
          <w:szCs w:val="20"/>
        </w:rPr>
        <w:t>和</w:t>
      </w:r>
      <w:r>
        <w:rPr>
          <w:spacing w:val="1"/>
          <w:sz w:val="20"/>
          <w:szCs w:val="20"/>
        </w:rPr>
        <w:t xml:space="preserve">  </w:t>
      </w:r>
      <w:r>
        <w:rPr>
          <w:spacing w:val="-1"/>
          <w:sz w:val="20"/>
          <w:szCs w:val="20"/>
        </w:rPr>
        <w:t>数据本身可以通过传统数据访问方法进行访问，对象存储允许数据被直</w:t>
      </w:r>
      <w:r>
        <w:rPr>
          <w:spacing w:val="-2"/>
          <w:sz w:val="20"/>
          <w:szCs w:val="20"/>
        </w:rPr>
        <w:t>接访问。</w:t>
      </w:r>
    </w:p>
    <w:p w14:paraId="115FF355">
      <w:pPr>
        <w:spacing w:before="153" w:line="225" w:lineRule="auto"/>
        <w:ind w:left="759"/>
        <w:rPr>
          <w:rFonts w:ascii="楷体" w:hAnsi="楷体" w:eastAsia="楷体" w:cs="楷体"/>
          <w:sz w:val="20"/>
          <w:szCs w:val="20"/>
        </w:rPr>
      </w:pPr>
      <w:r>
        <w:rPr>
          <w:rFonts w:ascii="楷体" w:hAnsi="楷体" w:eastAsia="楷体" w:cs="楷体"/>
          <w:spacing w:val="7"/>
          <w:sz w:val="20"/>
          <w:szCs w:val="20"/>
        </w:rPr>
        <w:t>5)集中式存储和分布式存储</w:t>
      </w:r>
    </w:p>
    <w:p w14:paraId="2E7014AF">
      <w:pPr>
        <w:pStyle w:val="2"/>
        <w:spacing w:before="46" w:line="280" w:lineRule="auto"/>
        <w:ind w:left="339" w:right="73" w:firstLine="420"/>
        <w:rPr>
          <w:sz w:val="20"/>
          <w:szCs w:val="20"/>
        </w:rPr>
      </w:pPr>
      <w:r>
        <w:rPr>
          <w:spacing w:val="-2"/>
          <w:sz w:val="20"/>
          <w:szCs w:val="20"/>
        </w:rPr>
        <w:t>集中式存储是将一台或多台存储设备组成中心节点，数据集中存</w:t>
      </w:r>
      <w:r>
        <w:rPr>
          <w:spacing w:val="-3"/>
          <w:sz w:val="20"/>
          <w:szCs w:val="20"/>
        </w:rPr>
        <w:t>储于这个中心节点中，并且</w:t>
      </w:r>
      <w:r>
        <w:rPr>
          <w:sz w:val="20"/>
          <w:szCs w:val="20"/>
        </w:rPr>
        <w:t xml:space="preserve"> </w:t>
      </w:r>
      <w:r>
        <w:rPr>
          <w:spacing w:val="-2"/>
          <w:sz w:val="20"/>
          <w:szCs w:val="20"/>
        </w:rPr>
        <w:t>整个系统的所有业务单元都集中部署在这个中心节点上。集中式存储是一直以来普遍应用的传统</w:t>
      </w:r>
      <w:r>
        <w:rPr>
          <w:spacing w:val="12"/>
          <w:sz w:val="20"/>
          <w:szCs w:val="20"/>
        </w:rPr>
        <w:t xml:space="preserve"> </w:t>
      </w:r>
      <w:r>
        <w:rPr>
          <w:spacing w:val="-1"/>
          <w:sz w:val="20"/>
          <w:szCs w:val="20"/>
        </w:rPr>
        <w:t>架构，由于</w:t>
      </w:r>
      <w:r>
        <w:rPr>
          <w:rFonts w:ascii="Times New Roman" w:hAnsi="Times New Roman" w:eastAsia="Times New Roman" w:cs="Times New Roman"/>
          <w:spacing w:val="-1"/>
          <w:sz w:val="20"/>
          <w:szCs w:val="20"/>
        </w:rPr>
        <w:t xml:space="preserve">I/O </w:t>
      </w:r>
      <w:r>
        <w:rPr>
          <w:spacing w:val="-1"/>
          <w:sz w:val="20"/>
          <w:szCs w:val="20"/>
        </w:rPr>
        <w:t>路径短、性能较高且技术成熟，一般应</w:t>
      </w:r>
      <w:r>
        <w:rPr>
          <w:spacing w:val="-2"/>
          <w:sz w:val="20"/>
          <w:szCs w:val="20"/>
        </w:rPr>
        <w:t>用于对</w:t>
      </w:r>
      <w:r>
        <w:rPr>
          <w:rFonts w:ascii="Times New Roman" w:hAnsi="Times New Roman" w:eastAsia="Times New Roman" w:cs="Times New Roman"/>
          <w:spacing w:val="-2"/>
          <w:sz w:val="20"/>
          <w:szCs w:val="20"/>
        </w:rPr>
        <w:t xml:space="preserve">I/O </w:t>
      </w:r>
      <w:r>
        <w:rPr>
          <w:spacing w:val="-2"/>
          <w:sz w:val="20"/>
          <w:szCs w:val="20"/>
        </w:rPr>
        <w:t>延时要求严格的核心业务场景，</w:t>
      </w:r>
      <w:r>
        <w:rPr>
          <w:sz w:val="20"/>
          <w:szCs w:val="20"/>
        </w:rPr>
        <w:t xml:space="preserve"> </w:t>
      </w:r>
      <w:r>
        <w:rPr>
          <w:spacing w:val="-6"/>
          <w:sz w:val="20"/>
          <w:szCs w:val="20"/>
        </w:rPr>
        <w:t>其优势在目前技术条件下是无可替代的，但缺点就是核心部件集中，冗余性和扩展能力较差。</w:t>
      </w:r>
    </w:p>
    <w:p w14:paraId="0642CF0B">
      <w:pPr>
        <w:pStyle w:val="2"/>
        <w:spacing w:before="37" w:line="280" w:lineRule="auto"/>
        <w:ind w:left="339" w:right="59" w:firstLine="420"/>
        <w:rPr>
          <w:sz w:val="20"/>
          <w:szCs w:val="20"/>
        </w:rPr>
      </w:pPr>
      <w:r>
        <w:rPr>
          <w:spacing w:val="3"/>
          <w:sz w:val="20"/>
          <w:szCs w:val="20"/>
        </w:rPr>
        <w:t>分布式存储是将数据分散存储在多台独立的存储设备上，采用可扩展的系统结构，利用多</w:t>
      </w:r>
      <w:r>
        <w:rPr>
          <w:sz w:val="20"/>
          <w:szCs w:val="20"/>
        </w:rPr>
        <w:t xml:space="preserve"> </w:t>
      </w:r>
      <w:r>
        <w:rPr>
          <w:spacing w:val="3"/>
          <w:sz w:val="20"/>
          <w:szCs w:val="20"/>
        </w:rPr>
        <w:t>台存储服务器分担存储负载，利用位置服务器定位存储信息，节点间采用高速网络，对硬件无</w:t>
      </w:r>
      <w:r>
        <w:rPr>
          <w:spacing w:val="4"/>
          <w:sz w:val="20"/>
          <w:szCs w:val="20"/>
        </w:rPr>
        <w:t xml:space="preserve"> </w:t>
      </w:r>
      <w:r>
        <w:rPr>
          <w:sz w:val="20"/>
          <w:szCs w:val="20"/>
        </w:rPr>
        <w:t>特殊要求，成本较低，扩展能力强。同时可以灵</w:t>
      </w:r>
      <w:r>
        <w:rPr>
          <w:spacing w:val="-1"/>
          <w:sz w:val="20"/>
          <w:szCs w:val="20"/>
        </w:rPr>
        <w:t>活配置故障与副本策略，拥有自动重平衡能力，</w:t>
      </w:r>
      <w:r>
        <w:rPr>
          <w:sz w:val="20"/>
          <w:szCs w:val="20"/>
        </w:rPr>
        <w:t xml:space="preserve"> </w:t>
      </w:r>
      <w:r>
        <w:rPr>
          <w:spacing w:val="-2"/>
          <w:sz w:val="20"/>
          <w:szCs w:val="20"/>
        </w:rPr>
        <w:t>但延迟高、数据一致性问题也是其缺点和难点所在。</w:t>
      </w:r>
    </w:p>
    <w:p w14:paraId="53D8E8DF">
      <w:pPr>
        <w:pStyle w:val="2"/>
        <w:spacing w:before="36" w:line="281" w:lineRule="auto"/>
        <w:ind w:left="339" w:right="20" w:firstLine="420"/>
        <w:rPr>
          <w:sz w:val="20"/>
          <w:szCs w:val="20"/>
        </w:rPr>
      </w:pPr>
      <w:r>
        <w:rPr>
          <w:spacing w:val="1"/>
          <w:sz w:val="20"/>
          <w:szCs w:val="20"/>
        </w:rPr>
        <w:t>在数据服务层面，通常会提到块、文件和对象三个概念，前</w:t>
      </w:r>
      <w:r>
        <w:rPr>
          <w:sz w:val="20"/>
          <w:szCs w:val="20"/>
        </w:rPr>
        <w:t>面讲到的集中式存储中，</w:t>
      </w:r>
      <w:r>
        <w:rPr>
          <w:spacing w:val="-40"/>
          <w:sz w:val="20"/>
          <w:szCs w:val="20"/>
        </w:rPr>
        <w:t xml:space="preserve"> </w:t>
      </w:r>
      <w:r>
        <w:rPr>
          <w:rFonts w:ascii="Times New Roman" w:hAnsi="Times New Roman" w:eastAsia="Times New Roman" w:cs="Times New Roman"/>
          <w:sz w:val="20"/>
          <w:szCs w:val="20"/>
        </w:rPr>
        <w:t xml:space="preserve">SAN   </w:t>
      </w:r>
      <w:r>
        <w:rPr>
          <w:spacing w:val="2"/>
          <w:sz w:val="20"/>
          <w:szCs w:val="20"/>
        </w:rPr>
        <w:t>是提供块服务的设备，</w:t>
      </w:r>
      <w:r>
        <w:rPr>
          <w:rFonts w:ascii="Times New Roman" w:hAnsi="Times New Roman" w:eastAsia="Times New Roman" w:cs="Times New Roman"/>
          <w:sz w:val="20"/>
          <w:szCs w:val="20"/>
        </w:rPr>
        <w:t>NAS</w:t>
      </w:r>
      <w:r>
        <w:rPr>
          <w:rFonts w:ascii="Times New Roman" w:hAnsi="Times New Roman" w:eastAsia="Times New Roman" w:cs="Times New Roman"/>
          <w:spacing w:val="18"/>
          <w:sz w:val="20"/>
          <w:szCs w:val="20"/>
        </w:rPr>
        <w:t xml:space="preserve"> </w:t>
      </w:r>
      <w:r>
        <w:rPr>
          <w:spacing w:val="2"/>
          <w:sz w:val="20"/>
          <w:szCs w:val="20"/>
        </w:rPr>
        <w:t>是提供文件服务的设备，还有一种统一存</w:t>
      </w:r>
      <w:r>
        <w:rPr>
          <w:spacing w:val="1"/>
          <w:sz w:val="20"/>
          <w:szCs w:val="20"/>
        </w:rPr>
        <w:t>储设备，能同时提供块和</w:t>
      </w:r>
      <w:r>
        <w:rPr>
          <w:sz w:val="20"/>
          <w:szCs w:val="20"/>
        </w:rPr>
        <w:t xml:space="preserve">  文件的服务。同样的，分布式存储系统也有类似的分布式块、分布式文件和分布式对象的区分。</w:t>
      </w:r>
      <w:r>
        <w:rPr>
          <w:spacing w:val="18"/>
          <w:sz w:val="20"/>
          <w:szCs w:val="20"/>
        </w:rPr>
        <w:t xml:space="preserve"> </w:t>
      </w:r>
      <w:r>
        <w:rPr>
          <w:spacing w:val="3"/>
          <w:sz w:val="20"/>
          <w:szCs w:val="20"/>
        </w:rPr>
        <w:t>顾名思义，这三种分布式存储系统对外提供的数据服务不同，但从硬件设备形态上很难进行区</w:t>
      </w:r>
      <w:r>
        <w:rPr>
          <w:spacing w:val="6"/>
          <w:sz w:val="20"/>
          <w:szCs w:val="20"/>
        </w:rPr>
        <w:t xml:space="preserve">  </w:t>
      </w:r>
      <w:r>
        <w:rPr>
          <w:spacing w:val="-1"/>
          <w:sz w:val="20"/>
          <w:szCs w:val="20"/>
        </w:rPr>
        <w:t>分，因为它们通常都会选择部署在多台通用</w:t>
      </w:r>
      <w:r>
        <w:rPr>
          <w:spacing w:val="-2"/>
          <w:sz w:val="20"/>
          <w:szCs w:val="20"/>
        </w:rPr>
        <w:t>的服务器硬件平台上。</w:t>
      </w:r>
    </w:p>
    <w:p w14:paraId="77132A59">
      <w:pPr>
        <w:pStyle w:val="2"/>
        <w:spacing w:before="39" w:line="283" w:lineRule="auto"/>
        <w:ind w:left="339" w:right="90" w:firstLine="420"/>
        <w:rPr>
          <w:sz w:val="20"/>
          <w:szCs w:val="20"/>
        </w:rPr>
      </w:pPr>
      <w:r>
        <w:rPr>
          <w:spacing w:val="3"/>
          <w:sz w:val="20"/>
          <w:szCs w:val="20"/>
        </w:rPr>
        <w:t>集群存储是将多台存储设备中的存储空间聚合成一个能够给应用服务器提供统一访问接口</w:t>
      </w:r>
      <w:r>
        <w:rPr>
          <w:spacing w:val="11"/>
          <w:sz w:val="20"/>
          <w:szCs w:val="20"/>
        </w:rPr>
        <w:t xml:space="preserve"> </w:t>
      </w:r>
      <w:r>
        <w:rPr>
          <w:spacing w:val="-1"/>
          <w:sz w:val="20"/>
          <w:szCs w:val="20"/>
        </w:rPr>
        <w:t>和管理界面的存储池，应用可以通过该访问接口透明地访问和利用所有存储设备上的磁盘。</w:t>
      </w:r>
    </w:p>
    <w:p w14:paraId="2D83C2F4">
      <w:pPr>
        <w:pStyle w:val="2"/>
        <w:spacing w:before="19" w:line="273" w:lineRule="auto"/>
        <w:ind w:left="339" w:right="59" w:firstLine="420"/>
        <w:rPr>
          <w:sz w:val="20"/>
          <w:szCs w:val="20"/>
        </w:rPr>
      </w:pPr>
      <w:r>
        <w:rPr>
          <w:spacing w:val="3"/>
          <w:sz w:val="20"/>
          <w:szCs w:val="20"/>
        </w:rPr>
        <w:t>分布式存储也分为分布式块存储、分布式文件存储和分布式对象存储，区别在于它的核心</w:t>
      </w:r>
      <w:r>
        <w:rPr>
          <w:spacing w:val="15"/>
          <w:sz w:val="20"/>
          <w:szCs w:val="20"/>
        </w:rPr>
        <w:t xml:space="preserve"> </w:t>
      </w:r>
      <w:r>
        <w:rPr>
          <w:spacing w:val="1"/>
          <w:sz w:val="20"/>
          <w:szCs w:val="20"/>
        </w:rPr>
        <w:t>软件，有些分布式存储软件甚至能够同时向外提供块、文件和对象的服务能力。著名的</w:t>
      </w:r>
      <w:r>
        <w:rPr>
          <w:rFonts w:ascii="Times New Roman" w:hAnsi="Times New Roman" w:eastAsia="Times New Roman" w:cs="Times New Roman"/>
          <w:sz w:val="20"/>
          <w:szCs w:val="20"/>
        </w:rPr>
        <w:t>CAP</w:t>
      </w:r>
      <w:r>
        <w:rPr>
          <w:rFonts w:ascii="Times New Roman" w:hAnsi="Times New Roman" w:eastAsia="Times New Roman" w:cs="Times New Roman"/>
          <w:spacing w:val="18"/>
          <w:sz w:val="20"/>
          <w:szCs w:val="20"/>
        </w:rPr>
        <w:t xml:space="preserve"> </w:t>
      </w:r>
      <w:r>
        <w:rPr>
          <w:spacing w:val="1"/>
          <w:sz w:val="20"/>
          <w:szCs w:val="20"/>
        </w:rPr>
        <w:t>定</w:t>
      </w:r>
      <w:r>
        <w:rPr>
          <w:sz w:val="20"/>
          <w:szCs w:val="20"/>
        </w:rPr>
        <w:t xml:space="preserve">  </w:t>
      </w:r>
      <w:r>
        <w:rPr>
          <w:spacing w:val="3"/>
          <w:sz w:val="20"/>
          <w:szCs w:val="20"/>
        </w:rPr>
        <w:t>理指出：在一个分布式存储架构中，数据的一致性、可用性和网络分隔的容忍程度，三者只能</w:t>
      </w:r>
      <w:r>
        <w:rPr>
          <w:spacing w:val="6"/>
          <w:sz w:val="20"/>
          <w:szCs w:val="20"/>
        </w:rPr>
        <w:t xml:space="preserve"> </w:t>
      </w:r>
      <w:r>
        <w:rPr>
          <w:spacing w:val="3"/>
          <w:sz w:val="20"/>
          <w:szCs w:val="20"/>
        </w:rPr>
        <w:t>取两个来做优化，无法三者兼具。分布式存储系统的设计需要针对特定服务的内容和性质来做</w:t>
      </w:r>
      <w:r>
        <w:rPr>
          <w:spacing w:val="6"/>
          <w:sz w:val="20"/>
          <w:szCs w:val="20"/>
        </w:rPr>
        <w:t xml:space="preserve"> </w:t>
      </w:r>
      <w:r>
        <w:rPr>
          <w:spacing w:val="3"/>
          <w:sz w:val="20"/>
          <w:szCs w:val="20"/>
        </w:rPr>
        <w:t>取舍，很难有通用的最佳解。显然，分布式存储系统的优势在于其近乎无限的扩展能力，更适</w:t>
      </w:r>
      <w:r>
        <w:rPr>
          <w:spacing w:val="4"/>
          <w:sz w:val="20"/>
          <w:szCs w:val="20"/>
        </w:rPr>
        <w:t xml:space="preserve"> </w:t>
      </w:r>
      <w:r>
        <w:rPr>
          <w:sz w:val="20"/>
          <w:szCs w:val="20"/>
        </w:rPr>
        <w:t>合互联网类型的大规模应用，而集中式存储的优</w:t>
      </w:r>
      <w:r>
        <w:rPr>
          <w:spacing w:val="-1"/>
          <w:sz w:val="20"/>
          <w:szCs w:val="20"/>
        </w:rPr>
        <w:t>势在于能够提供低延时、高性能的数据一致性，</w:t>
      </w:r>
      <w:r>
        <w:rPr>
          <w:sz w:val="20"/>
          <w:szCs w:val="20"/>
        </w:rPr>
        <w:t xml:space="preserve"> </w:t>
      </w:r>
      <w:r>
        <w:rPr>
          <w:spacing w:val="-3"/>
          <w:sz w:val="20"/>
          <w:szCs w:val="20"/>
        </w:rPr>
        <w:t>更适合对处理时延敏感的交易类型系统。</w:t>
      </w:r>
    </w:p>
    <w:p w14:paraId="191A3CB0">
      <w:pPr>
        <w:pStyle w:val="2"/>
        <w:spacing w:before="78" w:line="219" w:lineRule="auto"/>
        <w:ind w:left="759"/>
        <w:rPr>
          <w:sz w:val="20"/>
          <w:szCs w:val="20"/>
        </w:rPr>
      </w:pPr>
      <w:r>
        <w:rPr>
          <w:spacing w:val="1"/>
          <w:sz w:val="20"/>
          <w:szCs w:val="20"/>
        </w:rPr>
        <w:t>集中式存储、集群存储和分布式存储的典型部署架构如图4-1所示。</w:t>
      </w:r>
    </w:p>
    <w:p w14:paraId="37326F03">
      <w:pPr>
        <w:spacing w:line="219" w:lineRule="auto"/>
        <w:rPr>
          <w:sz w:val="20"/>
          <w:szCs w:val="20"/>
        </w:rPr>
        <w:sectPr>
          <w:pgSz w:w="10310" w:h="13310"/>
          <w:pgMar w:top="400" w:right="999" w:bottom="400" w:left="530" w:header="0" w:footer="0" w:gutter="0"/>
          <w:cols w:space="720" w:num="1"/>
        </w:sectPr>
      </w:pPr>
    </w:p>
    <w:p w14:paraId="7FA15604">
      <w:pPr>
        <w:pStyle w:val="2"/>
        <w:jc w:val="right"/>
        <w:outlineLvl w:val="1"/>
        <w:rPr>
          <w:rFonts w:ascii="Times New Roman" w:hAnsi="Times New Roman" w:eastAsia="Times New Roman" w:cs="Times New Roman"/>
          <w:sz w:val="32"/>
          <w:szCs w:val="32"/>
        </w:rPr>
      </w:pPr>
      <w:bookmarkStart w:id="545" w:name="bookmark83"/>
      <w:bookmarkEnd w:id="545"/>
      <w:bookmarkStart w:id="546" w:name="bookmark532"/>
      <w:bookmarkEnd w:id="546"/>
      <w:r>
        <w:rPr>
          <w:spacing w:val="-2"/>
          <w:position w:val="2"/>
          <w:sz w:val="18"/>
          <w:szCs w:val="18"/>
        </w:rPr>
        <w:t>第4章</w:t>
      </w:r>
      <w:r>
        <w:rPr>
          <w:spacing w:val="51"/>
          <w:position w:val="2"/>
          <w:sz w:val="18"/>
          <w:szCs w:val="18"/>
        </w:rPr>
        <w:t xml:space="preserve"> </w:t>
      </w:r>
      <w:r>
        <w:rPr>
          <w:spacing w:val="-2"/>
          <w:position w:val="2"/>
          <w:sz w:val="18"/>
          <w:szCs w:val="18"/>
        </w:rPr>
        <w:t>信息资源系统</w:t>
      </w:r>
      <w:r>
        <w:rPr>
          <w:spacing w:val="32"/>
          <w:position w:val="2"/>
          <w:sz w:val="18"/>
          <w:szCs w:val="18"/>
        </w:rPr>
        <w:t xml:space="preserve"> </w:t>
      </w:r>
      <w:r>
        <w:rPr>
          <w:position w:val="-9"/>
          <w:sz w:val="18"/>
          <w:szCs w:val="18"/>
        </w:rPr>
        <w:drawing>
          <wp:inline distT="0" distB="0" distL="0" distR="0">
            <wp:extent cx="317500" cy="25400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95"/>
                    <a:stretch>
                      <a:fillRect/>
                    </a:stretch>
                  </pic:blipFill>
                  <pic:spPr>
                    <a:xfrm>
                      <a:off x="0" y="0"/>
                      <a:ext cx="317541" cy="254000"/>
                    </a:xfrm>
                    <a:prstGeom prst="rect">
                      <a:avLst/>
                    </a:prstGeom>
                  </pic:spPr>
                </pic:pic>
              </a:graphicData>
            </a:graphic>
          </wp:inline>
        </w:drawing>
      </w:r>
      <w:r>
        <w:rPr>
          <w:rFonts w:ascii="Times New Roman" w:hAnsi="Times New Roman" w:eastAsia="Times New Roman" w:cs="Times New Roman"/>
          <w:spacing w:val="-2"/>
          <w:position w:val="-5"/>
          <w:sz w:val="32"/>
          <w:szCs w:val="32"/>
        </w:rPr>
        <w:t>123</w:t>
      </w:r>
    </w:p>
    <w:p w14:paraId="255AC7F0">
      <w:pPr>
        <w:pStyle w:val="2"/>
        <w:spacing w:before="160" w:line="5077" w:lineRule="exact"/>
        <w:ind w:firstLine="299"/>
      </w:pPr>
      <w:r>
        <w:rPr>
          <w:position w:val="-101"/>
        </w:rPr>
        <w:pict>
          <v:group id="_x0000_s1248" o:spid="_x0000_s1248" o:spt="203" style="height:253.9pt;width:386.05pt;" coordsize="7720,5077">
            <o:lock v:ext="edit"/>
            <v:shape id="_x0000_s1249" o:spid="_x0000_s1249" o:spt="75" type="#_x0000_t75" style="position:absolute;left:0;top:0;height:4851;width:7720;" filled="f" stroked="f" coordsize="21600,21600">
              <v:path/>
              <v:fill on="f" focussize="0,0"/>
              <v:stroke on="f"/>
              <v:imagedata r:id="rId96" o:title=""/>
              <o:lock v:ext="edit" aspectratio="t"/>
            </v:shape>
            <v:shape id="_x0000_s1250" o:spid="_x0000_s1250" o:spt="202" type="#_x0000_t202" style="position:absolute;left:840;top:487;height:4610;width:6617;" filled="f" stroked="f" coordsize="21600,21600">
              <v:path/>
              <v:fill on="f" focussize="0,0"/>
              <v:stroke on="f"/>
              <v:imagedata o:title=""/>
              <o:lock v:ext="edit" aspectratio="f"/>
              <v:textbox inset="0mm,0mm,0mm,0mm">
                <w:txbxContent>
                  <w:p w14:paraId="03CDF10A">
                    <w:pPr>
                      <w:spacing w:before="20" w:line="78" w:lineRule="exact"/>
                      <w:ind w:left="5229"/>
                      <w:rPr>
                        <w:rFonts w:ascii="宋体" w:hAnsi="宋体" w:eastAsia="宋体" w:cs="宋体"/>
                        <w:sz w:val="5"/>
                        <w:szCs w:val="5"/>
                      </w:rPr>
                    </w:pPr>
                    <w:r>
                      <w:rPr>
                        <w:rFonts w:ascii="宋体" w:hAnsi="宋体" w:eastAsia="宋体" w:cs="宋体"/>
                        <w:position w:val="1"/>
                        <w:sz w:val="5"/>
                        <w:szCs w:val="5"/>
                      </w:rPr>
                      <w:t>…</w:t>
                    </w:r>
                  </w:p>
                  <w:p w14:paraId="125F3D89">
                    <w:pPr>
                      <w:spacing w:line="311" w:lineRule="auto"/>
                      <w:rPr>
                        <w:rFonts w:ascii="Arial"/>
                        <w:sz w:val="21"/>
                      </w:rPr>
                    </w:pPr>
                  </w:p>
                  <w:p w14:paraId="14881073">
                    <w:pPr>
                      <w:spacing w:line="312" w:lineRule="auto"/>
                      <w:rPr>
                        <w:rFonts w:ascii="Arial"/>
                        <w:sz w:val="21"/>
                      </w:rPr>
                    </w:pPr>
                  </w:p>
                  <w:p w14:paraId="6D287D24">
                    <w:pPr>
                      <w:spacing w:before="58" w:line="224" w:lineRule="auto"/>
                      <w:ind w:left="4789"/>
                      <w:rPr>
                        <w:rFonts w:ascii="宋体" w:hAnsi="宋体" w:eastAsia="宋体" w:cs="宋体"/>
                        <w:sz w:val="18"/>
                        <w:szCs w:val="18"/>
                      </w:rPr>
                    </w:pPr>
                    <w:r>
                      <w:rPr>
                        <w:rFonts w:ascii="宋体" w:hAnsi="宋体" w:eastAsia="宋体" w:cs="宋体"/>
                        <w:spacing w:val="-6"/>
                        <w:sz w:val="18"/>
                        <w:szCs w:val="18"/>
                      </w:rPr>
                      <w:t>网络</w:t>
                    </w:r>
                  </w:p>
                  <w:p w14:paraId="51426D6E">
                    <w:pPr>
                      <w:spacing w:before="57" w:line="219" w:lineRule="auto"/>
                      <w:ind w:right="11"/>
                      <w:jc w:val="right"/>
                      <w:rPr>
                        <w:rFonts w:ascii="宋体" w:hAnsi="宋体" w:eastAsia="宋体" w:cs="宋体"/>
                        <w:sz w:val="18"/>
                        <w:szCs w:val="18"/>
                      </w:rPr>
                    </w:pPr>
                    <w:r>
                      <w:rPr>
                        <w:rFonts w:ascii="宋体" w:hAnsi="宋体" w:eastAsia="宋体" w:cs="宋体"/>
                        <w:spacing w:val="-7"/>
                        <w:sz w:val="18"/>
                        <w:szCs w:val="18"/>
                      </w:rPr>
                      <w:t>冗余链路</w:t>
                    </w:r>
                  </w:p>
                  <w:p w14:paraId="4515444F">
                    <w:pPr>
                      <w:spacing w:before="167" w:line="184" w:lineRule="auto"/>
                      <w:ind w:left="3450"/>
                      <w:rPr>
                        <w:rFonts w:ascii="Times New Roman" w:hAnsi="Times New Roman" w:eastAsia="Times New Roman" w:cs="Times New Roman"/>
                        <w:sz w:val="18"/>
                        <w:szCs w:val="18"/>
                      </w:rPr>
                    </w:pPr>
                    <w:r>
                      <w:rPr>
                        <w:rFonts w:ascii="宋体" w:hAnsi="宋体" w:eastAsia="宋体" w:cs="宋体"/>
                        <w:sz w:val="18"/>
                        <w:szCs w:val="18"/>
                      </w:rPr>
                      <w:t>节点1节点2</w:t>
                    </w:r>
                    <w:r>
                      <w:rPr>
                        <w:rFonts w:ascii="宋体" w:hAnsi="宋体" w:eastAsia="宋体" w:cs="宋体"/>
                        <w:spacing w:val="45"/>
                        <w:w w:val="101"/>
                        <w:sz w:val="18"/>
                        <w:szCs w:val="18"/>
                      </w:rPr>
                      <w:t xml:space="preserve">  </w:t>
                    </w:r>
                    <w:r>
                      <w:rPr>
                        <w:rFonts w:ascii="宋体" w:hAnsi="宋体" w:eastAsia="宋体" w:cs="宋体"/>
                        <w:sz w:val="18"/>
                        <w:szCs w:val="18"/>
                      </w:rPr>
                      <w:t xml:space="preserve">节点3           </w:t>
                    </w:r>
                    <w:r>
                      <w:rPr>
                        <w:rFonts w:ascii="宋体" w:hAnsi="宋体" w:eastAsia="宋体" w:cs="宋体"/>
                        <w:position w:val="-2"/>
                        <w:sz w:val="18"/>
                        <w:szCs w:val="18"/>
                      </w:rPr>
                      <w:t>节点</w:t>
                    </w:r>
                    <w:r>
                      <w:rPr>
                        <w:rFonts w:ascii="Times New Roman" w:hAnsi="Times New Roman" w:eastAsia="Times New Roman" w:cs="Times New Roman"/>
                        <w:position w:val="-2"/>
                        <w:sz w:val="18"/>
                        <w:szCs w:val="18"/>
                      </w:rPr>
                      <w:t>n</w:t>
                    </w:r>
                  </w:p>
                  <w:p w14:paraId="60AABC9C">
                    <w:pPr>
                      <w:spacing w:before="1" w:line="209" w:lineRule="auto"/>
                      <w:ind w:left="20"/>
                      <w:rPr>
                        <w:rFonts w:ascii="宋体" w:hAnsi="宋体" w:eastAsia="宋体" w:cs="宋体"/>
                        <w:sz w:val="18"/>
                        <w:szCs w:val="18"/>
                      </w:rPr>
                    </w:pPr>
                    <w:r>
                      <w:rPr>
                        <w:rFonts w:ascii="宋体" w:hAnsi="宋体" w:eastAsia="宋体" w:cs="宋体"/>
                        <w:spacing w:val="-3"/>
                        <w:sz w:val="18"/>
                        <w:szCs w:val="18"/>
                      </w:rPr>
                      <w:t>控制器0         控制器1</w:t>
                    </w:r>
                  </w:p>
                  <w:p w14:paraId="400A42B8">
                    <w:pPr>
                      <w:spacing w:before="49" w:line="236" w:lineRule="exact"/>
                      <w:ind w:left="5479"/>
                      <w:rPr>
                        <w:rFonts w:ascii="宋体" w:hAnsi="宋体" w:eastAsia="宋体" w:cs="宋体"/>
                        <w:sz w:val="15"/>
                        <w:szCs w:val="15"/>
                      </w:rPr>
                    </w:pPr>
                    <w:r>
                      <w:rPr>
                        <w:rFonts w:ascii="宋体" w:hAnsi="宋体" w:eastAsia="宋体" w:cs="宋体"/>
                        <w:spacing w:val="-4"/>
                        <w:position w:val="2"/>
                        <w:sz w:val="15"/>
                        <w:szCs w:val="15"/>
                      </w:rPr>
                      <w:t>……</w:t>
                    </w:r>
                  </w:p>
                  <w:p w14:paraId="150704D2">
                    <w:pPr>
                      <w:spacing w:line="289" w:lineRule="auto"/>
                      <w:rPr>
                        <w:rFonts w:ascii="Arial"/>
                        <w:sz w:val="21"/>
                      </w:rPr>
                    </w:pPr>
                  </w:p>
                  <w:p w14:paraId="45813A56">
                    <w:pPr>
                      <w:spacing w:line="289" w:lineRule="auto"/>
                      <w:rPr>
                        <w:rFonts w:ascii="Arial"/>
                        <w:sz w:val="21"/>
                      </w:rPr>
                    </w:pPr>
                  </w:p>
                  <w:p w14:paraId="4BCCEEC7">
                    <w:pPr>
                      <w:spacing w:line="289" w:lineRule="auto"/>
                      <w:rPr>
                        <w:rFonts w:ascii="Arial"/>
                        <w:sz w:val="21"/>
                      </w:rPr>
                    </w:pPr>
                  </w:p>
                  <w:p w14:paraId="69E2BC16">
                    <w:pPr>
                      <w:spacing w:line="1070" w:lineRule="exact"/>
                      <w:ind w:firstLine="3639"/>
                    </w:pPr>
                    <w:r>
                      <w:rPr>
                        <w:position w:val="-21"/>
                      </w:rPr>
                      <w:drawing>
                        <wp:inline distT="0" distB="0" distL="0" distR="0">
                          <wp:extent cx="1670050" cy="67881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97"/>
                                  <a:stretch>
                                    <a:fillRect/>
                                  </a:stretch>
                                </pic:blipFill>
                                <pic:spPr>
                                  <a:xfrm>
                                    <a:off x="0" y="0"/>
                                    <a:ext cx="1670051" cy="679447"/>
                                  </a:xfrm>
                                  <a:prstGeom prst="rect">
                                    <a:avLst/>
                                  </a:prstGeom>
                                </pic:spPr>
                              </pic:pic>
                            </a:graphicData>
                          </a:graphic>
                        </wp:inline>
                      </w:drawing>
                    </w:r>
                  </w:p>
                  <w:p w14:paraId="57C95EB4">
                    <w:pPr>
                      <w:spacing w:line="246" w:lineRule="auto"/>
                      <w:rPr>
                        <w:rFonts w:ascii="Arial"/>
                        <w:sz w:val="21"/>
                      </w:rPr>
                    </w:pPr>
                  </w:p>
                  <w:p w14:paraId="6114FCD1">
                    <w:pPr>
                      <w:spacing w:before="59" w:line="230" w:lineRule="auto"/>
                      <w:ind w:left="269"/>
                      <w:rPr>
                        <w:rFonts w:ascii="宋体" w:hAnsi="宋体" w:eastAsia="宋体" w:cs="宋体"/>
                        <w:sz w:val="18"/>
                        <w:szCs w:val="18"/>
                      </w:rPr>
                    </w:pPr>
                    <w:r>
                      <w:rPr>
                        <w:rFonts w:ascii="宋体" w:hAnsi="宋体" w:eastAsia="宋体" w:cs="宋体"/>
                        <w:spacing w:val="-1"/>
                        <w:sz w:val="18"/>
                        <w:szCs w:val="18"/>
                      </w:rPr>
                      <w:t>集中式存储</w:t>
                    </w:r>
                    <w:r>
                      <w:rPr>
                        <w:rFonts w:ascii="Times New Roman" w:hAnsi="Times New Roman" w:eastAsia="Times New Roman" w:cs="Times New Roman"/>
                        <w:spacing w:val="-1"/>
                        <w:sz w:val="18"/>
                        <w:szCs w:val="18"/>
                      </w:rPr>
                      <w:t xml:space="preserve">SAN/NAS                                                             </w:t>
                    </w:r>
                    <w:r>
                      <w:rPr>
                        <w:rFonts w:ascii="宋体" w:hAnsi="宋体" w:eastAsia="宋体" w:cs="宋体"/>
                        <w:spacing w:val="-1"/>
                        <w:position w:val="-2"/>
                        <w:sz w:val="18"/>
                        <w:szCs w:val="18"/>
                      </w:rPr>
                      <w:t>存储</w:t>
                    </w:r>
                    <w:r>
                      <w:rPr>
                        <w:rFonts w:ascii="宋体" w:hAnsi="宋体" w:eastAsia="宋体" w:cs="宋体"/>
                        <w:spacing w:val="-2"/>
                        <w:position w:val="-2"/>
                        <w:sz w:val="18"/>
                        <w:szCs w:val="18"/>
                      </w:rPr>
                      <w:t>集群</w:t>
                    </w:r>
                  </w:p>
                </w:txbxContent>
              </v:textbox>
            </v:shape>
            <v:shape id="_x0000_s1251" o:spid="_x0000_s1251" o:spt="202" type="#_x0000_t202" style="position:absolute;left:2830;top:1497;height:220;width:750;" filled="f" stroked="f" coordsize="21600,21600">
              <v:path/>
              <v:fill on="f" focussize="0,0"/>
              <v:stroke on="f"/>
              <v:imagedata o:title=""/>
              <o:lock v:ext="edit" aspectratio="f"/>
              <v:textbox inset="0mm,0mm,0mm,0mm">
                <w:txbxContent>
                  <w:p w14:paraId="6BA71395">
                    <w:pPr>
                      <w:spacing w:before="20" w:line="219" w:lineRule="auto"/>
                      <w:ind w:left="20"/>
                      <w:rPr>
                        <w:rFonts w:ascii="宋体" w:hAnsi="宋体" w:eastAsia="宋体" w:cs="宋体"/>
                        <w:sz w:val="18"/>
                        <w:szCs w:val="18"/>
                      </w:rPr>
                    </w:pPr>
                    <w:r>
                      <w:rPr>
                        <w:rFonts w:ascii="宋体" w:hAnsi="宋体" w:eastAsia="宋体" w:cs="宋体"/>
                        <w:spacing w:val="-2"/>
                        <w:sz w:val="18"/>
                        <w:szCs w:val="18"/>
                      </w:rPr>
                      <w:t>冗余链路</w:t>
                    </w:r>
                  </w:p>
                </w:txbxContent>
              </v:textbox>
            </v:shape>
            <v:shape id="_x0000_s1252" o:spid="_x0000_s1252" o:spt="202" type="#_x0000_t202" style="position:absolute;left:1387;top:201;height:592;width:195;" filled="f" stroked="f" coordsize="21600,21600">
              <v:path/>
              <v:fill on="f" focussize="0,0"/>
              <v:stroke on="f"/>
              <v:imagedata o:title=""/>
              <o:lock v:ext="edit" aspectratio="f"/>
              <v:textbox inset="0mm,0mm,0mm,0mm" style="layout-flow:vertical-ideographic;">
                <w:txbxContent>
                  <w:p w14:paraId="38CBC1E5">
                    <w:pPr>
                      <w:spacing w:before="19" w:line="199" w:lineRule="auto"/>
                      <w:ind w:left="20"/>
                      <w:rPr>
                        <w:rFonts w:ascii="宋体" w:hAnsi="宋体" w:eastAsia="宋体" w:cs="宋体"/>
                        <w:sz w:val="17"/>
                        <w:szCs w:val="17"/>
                      </w:rPr>
                    </w:pPr>
                    <w:r>
                      <w:rPr>
                        <w:rFonts w:ascii="宋体" w:hAnsi="宋体" w:eastAsia="宋体" w:cs="宋体"/>
                        <w:spacing w:val="13"/>
                        <w:sz w:val="17"/>
                        <w:szCs w:val="17"/>
                      </w:rPr>
                      <w:t>客户端</w:t>
                    </w:r>
                  </w:p>
                </w:txbxContent>
              </v:textbox>
            </v:shape>
            <v:shape id="_x0000_s1253" o:spid="_x0000_s1253" o:spt="202" type="#_x0000_t202" style="position:absolute;left:527;top:201;height:582;width:195;" filled="f" stroked="f" coordsize="21600,21600">
              <v:path/>
              <v:fill on="f" focussize="0,0"/>
              <v:stroke on="f"/>
              <v:imagedata o:title=""/>
              <o:lock v:ext="edit" aspectratio="f"/>
              <v:textbox inset="0mm,0mm,0mm,0mm" style="layout-flow:vertical-ideographic;">
                <w:txbxContent>
                  <w:p w14:paraId="6A523262">
                    <w:pPr>
                      <w:spacing w:before="19" w:line="199" w:lineRule="auto"/>
                      <w:ind w:left="20"/>
                      <w:rPr>
                        <w:rFonts w:ascii="宋体" w:hAnsi="宋体" w:eastAsia="宋体" w:cs="宋体"/>
                        <w:sz w:val="17"/>
                        <w:szCs w:val="17"/>
                      </w:rPr>
                    </w:pPr>
                    <w:r>
                      <w:rPr>
                        <w:rFonts w:ascii="宋体" w:hAnsi="宋体" w:eastAsia="宋体" w:cs="宋体"/>
                        <w:spacing w:val="10"/>
                        <w:sz w:val="17"/>
                        <w:szCs w:val="17"/>
                      </w:rPr>
                      <w:t>客户端</w:t>
                    </w:r>
                  </w:p>
                </w:txbxContent>
              </v:textbox>
            </v:shape>
            <v:shape id="_x0000_s1254" o:spid="_x0000_s1254" o:spt="202" type="#_x0000_t202" style="position:absolute;left:3007;top:201;height:582;width:195;" filled="f" stroked="f" coordsize="21600,21600">
              <v:path/>
              <v:fill on="f" focussize="0,0"/>
              <v:stroke on="f"/>
              <v:imagedata o:title=""/>
              <o:lock v:ext="edit" aspectratio="f"/>
              <v:textbox inset="0mm,0mm,0mm,0mm" style="layout-flow:vertical-ideographic;">
                <w:txbxContent>
                  <w:p w14:paraId="21FC7E77">
                    <w:pPr>
                      <w:spacing w:before="19" w:line="199" w:lineRule="auto"/>
                      <w:ind w:left="20"/>
                      <w:rPr>
                        <w:rFonts w:ascii="宋体" w:hAnsi="宋体" w:eastAsia="宋体" w:cs="宋体"/>
                        <w:sz w:val="17"/>
                        <w:szCs w:val="17"/>
                      </w:rPr>
                    </w:pPr>
                    <w:r>
                      <w:rPr>
                        <w:rFonts w:ascii="宋体" w:hAnsi="宋体" w:eastAsia="宋体" w:cs="宋体"/>
                        <w:spacing w:val="10"/>
                        <w:sz w:val="17"/>
                        <w:szCs w:val="17"/>
                      </w:rPr>
                      <w:t>客户端</w:t>
                    </w:r>
                  </w:p>
                </w:txbxContent>
              </v:textbox>
            </v:shape>
            <v:shape id="_x0000_s1255" o:spid="_x0000_s1255" o:spt="202" type="#_x0000_t202" style="position:absolute;left:5292;top:231;height:582;width:195;" filled="f" stroked="f" coordsize="21600,21600">
              <v:path/>
              <v:fill on="f" focussize="0,0"/>
              <v:stroke on="f"/>
              <v:imagedata o:title=""/>
              <o:lock v:ext="edit" aspectratio="f"/>
              <v:textbox inset="0mm,0mm,0mm,0mm" style="layout-flow:vertical-ideographic;">
                <w:txbxContent>
                  <w:p w14:paraId="6DF375A3">
                    <w:pPr>
                      <w:spacing w:before="19" w:line="199" w:lineRule="auto"/>
                      <w:ind w:left="20"/>
                      <w:rPr>
                        <w:rFonts w:ascii="宋体" w:hAnsi="宋体" w:eastAsia="宋体" w:cs="宋体"/>
                        <w:sz w:val="17"/>
                        <w:szCs w:val="17"/>
                      </w:rPr>
                    </w:pPr>
                    <w:r>
                      <w:rPr>
                        <w:rFonts w:ascii="宋体" w:hAnsi="宋体" w:eastAsia="宋体" w:cs="宋体"/>
                        <w:spacing w:val="10"/>
                        <w:sz w:val="17"/>
                        <w:szCs w:val="17"/>
                      </w:rPr>
                      <w:t>客户端</w:t>
                    </w:r>
                  </w:p>
                </w:txbxContent>
              </v:textbox>
            </v:shape>
            <v:shape id="_x0000_s1256" o:spid="_x0000_s1256" o:spt="202" type="#_x0000_t202" style="position:absolute;left:4427;top:231;height:582;width:195;" filled="f" stroked="f" coordsize="21600,21600">
              <v:path/>
              <v:fill on="f" focussize="0,0"/>
              <v:stroke on="f"/>
              <v:imagedata o:title=""/>
              <o:lock v:ext="edit" aspectratio="f"/>
              <v:textbox inset="0mm,0mm,0mm,0mm" style="layout-flow:vertical-ideographic;">
                <w:txbxContent>
                  <w:p w14:paraId="4D7E26DB">
                    <w:pPr>
                      <w:spacing w:before="19" w:line="199" w:lineRule="auto"/>
                      <w:ind w:left="20"/>
                      <w:rPr>
                        <w:rFonts w:ascii="宋体" w:hAnsi="宋体" w:eastAsia="宋体" w:cs="宋体"/>
                        <w:sz w:val="17"/>
                        <w:szCs w:val="17"/>
                      </w:rPr>
                    </w:pPr>
                    <w:r>
                      <w:rPr>
                        <w:rFonts w:ascii="宋体" w:hAnsi="宋体" w:eastAsia="宋体" w:cs="宋体"/>
                        <w:spacing w:val="10"/>
                        <w:sz w:val="17"/>
                        <w:szCs w:val="17"/>
                      </w:rPr>
                      <w:t>客户端</w:t>
                    </w:r>
                  </w:p>
                </w:txbxContent>
              </v:textbox>
            </v:shape>
            <v:shape id="_x0000_s1257" o:spid="_x0000_s1257" o:spt="202" type="#_x0000_t202" style="position:absolute;left:6917;top:231;height:582;width:195;" filled="f" stroked="f" coordsize="21600,21600">
              <v:path/>
              <v:fill on="f" focussize="0,0"/>
              <v:stroke on="f"/>
              <v:imagedata o:title=""/>
              <o:lock v:ext="edit" aspectratio="f"/>
              <v:textbox inset="0mm,0mm,0mm,0mm" style="layout-flow:vertical-ideographic;">
                <w:txbxContent>
                  <w:p w14:paraId="0ADC2EF9">
                    <w:pPr>
                      <w:spacing w:before="19" w:line="199" w:lineRule="auto"/>
                      <w:ind w:left="20"/>
                      <w:rPr>
                        <w:rFonts w:ascii="宋体" w:hAnsi="宋体" w:eastAsia="宋体" w:cs="宋体"/>
                        <w:sz w:val="17"/>
                        <w:szCs w:val="17"/>
                      </w:rPr>
                    </w:pPr>
                    <w:r>
                      <w:rPr>
                        <w:rFonts w:ascii="宋体" w:hAnsi="宋体" w:eastAsia="宋体" w:cs="宋体"/>
                        <w:spacing w:val="10"/>
                        <w:sz w:val="17"/>
                        <w:szCs w:val="17"/>
                      </w:rPr>
                      <w:t>客户端</w:t>
                    </w:r>
                  </w:p>
                </w:txbxContent>
              </v:textbox>
            </v:shape>
            <v:shape id="_x0000_s1258" o:spid="_x0000_s1258" o:spt="202" type="#_x0000_t202" style="position:absolute;left:4116;top:3631;height:459;width:197;" filled="f" stroked="f" coordsize="21600,21600">
              <v:path/>
              <v:fill on="f" focussize="0,0"/>
              <v:stroke on="f"/>
              <v:imagedata o:title=""/>
              <o:lock v:ext="edit" aspectratio="f"/>
              <v:textbox inset="0mm,0mm,0mm,0mm" style="layout-flow:vertical-ideographic;">
                <w:txbxContent>
                  <w:p w14:paraId="51514DE0">
                    <w:pPr>
                      <w:spacing w:before="19" w:line="206" w:lineRule="auto"/>
                      <w:ind w:left="20"/>
                      <w:rPr>
                        <w:rFonts w:ascii="宋体" w:hAnsi="宋体" w:eastAsia="宋体" w:cs="宋体"/>
                        <w:sz w:val="17"/>
                        <w:szCs w:val="17"/>
                      </w:rPr>
                    </w:pPr>
                    <w:r>
                      <w:rPr>
                        <w:rFonts w:ascii="宋体" w:hAnsi="宋体" w:eastAsia="宋体" w:cs="宋体"/>
                        <w:sz w:val="17"/>
                        <w:szCs w:val="17"/>
                      </w:rPr>
                      <w:t>磁</w:t>
                    </w:r>
                    <w:r>
                      <w:rPr>
                        <w:rFonts w:ascii="宋体" w:hAnsi="宋体" w:eastAsia="宋体" w:cs="宋体"/>
                        <w:spacing w:val="-7"/>
                        <w:sz w:val="17"/>
                        <w:szCs w:val="17"/>
                      </w:rPr>
                      <w:t xml:space="preserve"> </w:t>
                    </w:r>
                    <w:r>
                      <w:rPr>
                        <w:rFonts w:ascii="宋体" w:hAnsi="宋体" w:eastAsia="宋体" w:cs="宋体"/>
                        <w:sz w:val="17"/>
                        <w:szCs w:val="17"/>
                      </w:rPr>
                      <w:t>盘</w:t>
                    </w:r>
                  </w:p>
                </w:txbxContent>
              </v:textbox>
            </v:shape>
            <v:shape id="_x0000_s1259" o:spid="_x0000_s1259" o:spt="202" type="#_x0000_t202" style="position:absolute;left:221;top:3481;height:439;width:197;" filled="f" stroked="f" coordsize="21600,21600">
              <v:path/>
              <v:fill on="f" focussize="0,0"/>
              <v:stroke on="f"/>
              <v:imagedata o:title=""/>
              <o:lock v:ext="edit" aspectratio="f"/>
              <v:textbox inset="0mm,0mm,0mm,0mm" style="layout-flow:vertical-ideographic;">
                <w:txbxContent>
                  <w:p w14:paraId="21A7F3E0">
                    <w:pPr>
                      <w:spacing w:before="19" w:line="206" w:lineRule="auto"/>
                      <w:ind w:left="20"/>
                      <w:rPr>
                        <w:rFonts w:ascii="宋体" w:hAnsi="宋体" w:eastAsia="宋体" w:cs="宋体"/>
                        <w:sz w:val="17"/>
                        <w:szCs w:val="17"/>
                      </w:rPr>
                    </w:pPr>
                    <w:r>
                      <w:rPr>
                        <w:rFonts w:ascii="宋体" w:hAnsi="宋体" w:eastAsia="宋体" w:cs="宋体"/>
                        <w:sz w:val="17"/>
                        <w:szCs w:val="17"/>
                      </w:rPr>
                      <w:t>磁</w:t>
                    </w:r>
                    <w:r>
                      <w:rPr>
                        <w:rFonts w:ascii="宋体" w:hAnsi="宋体" w:eastAsia="宋体" w:cs="宋体"/>
                        <w:spacing w:val="-27"/>
                        <w:sz w:val="17"/>
                        <w:szCs w:val="17"/>
                      </w:rPr>
                      <w:t xml:space="preserve"> </w:t>
                    </w:r>
                    <w:r>
                      <w:rPr>
                        <w:rFonts w:ascii="宋体" w:hAnsi="宋体" w:eastAsia="宋体" w:cs="宋体"/>
                        <w:sz w:val="17"/>
                        <w:szCs w:val="17"/>
                      </w:rPr>
                      <w:t>盘</w:t>
                    </w:r>
                  </w:p>
                </w:txbxContent>
              </v:textbox>
            </v:shape>
            <v:shape id="_x0000_s1260" o:spid="_x0000_s1260" o:spt="202" type="#_x0000_t202" style="position:absolute;left:1709;top:1211;height:220;width:379;" filled="f" stroked="f" coordsize="21600,21600">
              <v:path/>
              <v:fill on="f" focussize="0,0"/>
              <v:stroke on="f"/>
              <v:imagedata o:title=""/>
              <o:lock v:ext="edit" aspectratio="f"/>
              <v:textbox inset="0mm,0mm,0mm,0mm">
                <w:txbxContent>
                  <w:p w14:paraId="1F1DF48F">
                    <w:pPr>
                      <w:spacing w:before="19" w:line="224" w:lineRule="auto"/>
                      <w:ind w:left="20"/>
                      <w:rPr>
                        <w:rFonts w:ascii="宋体" w:hAnsi="宋体" w:eastAsia="宋体" w:cs="宋体"/>
                        <w:sz w:val="18"/>
                        <w:szCs w:val="18"/>
                      </w:rPr>
                    </w:pPr>
                    <w:r>
                      <w:rPr>
                        <w:rFonts w:ascii="宋体" w:hAnsi="宋体" w:eastAsia="宋体" w:cs="宋体"/>
                        <w:spacing w:val="-6"/>
                        <w:sz w:val="18"/>
                        <w:szCs w:val="18"/>
                      </w:rPr>
                      <w:t>网络</w:t>
                    </w:r>
                  </w:p>
                </w:txbxContent>
              </v:textbox>
            </v:shape>
            <v:shape id="_x0000_s1261" o:spid="_x0000_s1261" o:spt="202" type="#_x0000_t202" style="position:absolute;left:2250;top:493;height:45;width:61;" filled="f" stroked="f" coordsize="21600,21600">
              <v:path/>
              <v:fill on="f" focussize="0,0"/>
              <v:stroke on="f"/>
              <v:imagedata o:title=""/>
              <o:lock v:ext="edit" aspectratio="f"/>
              <v:textbox inset="0mm,0mm,0mm,0mm">
                <w:txbxContent>
                  <w:p w14:paraId="18084DFA">
                    <w:pPr>
                      <w:spacing w:before="20" w:line="20" w:lineRule="exact"/>
                      <w:ind w:left="20"/>
                      <w:rPr>
                        <w:rFonts w:ascii="宋体" w:hAnsi="宋体" w:eastAsia="宋体" w:cs="宋体"/>
                        <w:sz w:val="5"/>
                        <w:szCs w:val="5"/>
                      </w:rPr>
                    </w:pPr>
                    <w:r>
                      <w:rPr>
                        <w:rFonts w:ascii="宋体" w:hAnsi="宋体" w:eastAsia="宋体" w:cs="宋体"/>
                        <w:sz w:val="5"/>
                        <w:szCs w:val="5"/>
                      </w:rPr>
                      <w:t>.</w:t>
                    </w:r>
                  </w:p>
                </w:txbxContent>
              </v:textbox>
            </v:shape>
            <w10:wrap type="none"/>
            <w10:anchorlock/>
          </v:group>
        </w:pict>
      </w:r>
    </w:p>
    <w:p w14:paraId="1D7BBED3">
      <w:pPr>
        <w:pStyle w:val="2"/>
        <w:spacing w:before="183" w:line="3516" w:lineRule="exact"/>
        <w:ind w:firstLine="1309"/>
      </w:pPr>
      <w:r>
        <w:rPr>
          <w:position w:val="-70"/>
        </w:rPr>
        <w:pict>
          <v:group id="_x0000_s1262" o:spid="_x0000_s1262" o:spt="203" style="height:175.85pt;width:284.55pt;" coordsize="5690,3517">
            <o:lock v:ext="edit"/>
            <v:shape id="_x0000_s1263" o:spid="_x0000_s1263" o:spt="75" type="#_x0000_t75" style="position:absolute;left:0;top:0;height:3360;width:5690;" filled="f" stroked="f" coordsize="21600,21600">
              <v:path/>
              <v:fill on="f" focussize="0,0"/>
              <v:stroke on="f"/>
              <v:imagedata r:id="rId98" o:title=""/>
              <o:lock v:ext="edit" aspectratio="t"/>
            </v:shape>
            <v:shape id="_x0000_s1264" o:spid="_x0000_s1264" o:spt="202" type="#_x0000_t202" style="position:absolute;left:310;top:1265;height:2271;width:5038;" filled="f" stroked="f" coordsize="21600,21600">
              <v:path/>
              <v:fill on="f" focussize="0,0"/>
              <v:stroke on="f"/>
              <v:imagedata o:title=""/>
              <o:lock v:ext="edit" aspectratio="f"/>
              <v:textbox inset="0mm,0mm,0mm,0mm">
                <w:txbxContent>
                  <w:p w14:paraId="03C4873E">
                    <w:pPr>
                      <w:spacing w:before="19" w:line="221" w:lineRule="auto"/>
                      <w:ind w:left="2369"/>
                      <w:rPr>
                        <w:rFonts w:ascii="黑体" w:hAnsi="黑体" w:eastAsia="黑体" w:cs="黑体"/>
                        <w:sz w:val="18"/>
                        <w:szCs w:val="18"/>
                      </w:rPr>
                    </w:pPr>
                    <w:r>
                      <w:rPr>
                        <w:rFonts w:ascii="黑体" w:hAnsi="黑体" w:eastAsia="黑体" w:cs="黑体"/>
                        <w:spacing w:val="-4"/>
                        <w:sz w:val="18"/>
                        <w:szCs w:val="18"/>
                      </w:rPr>
                      <w:t>网络</w:t>
                    </w:r>
                  </w:p>
                  <w:p w14:paraId="6A74C8D2">
                    <w:pPr>
                      <w:spacing w:line="259" w:lineRule="auto"/>
                      <w:rPr>
                        <w:rFonts w:ascii="Arial"/>
                        <w:sz w:val="21"/>
                      </w:rPr>
                    </w:pPr>
                  </w:p>
                  <w:p w14:paraId="2B61B811">
                    <w:pPr>
                      <w:spacing w:before="52" w:line="188" w:lineRule="auto"/>
                      <w:ind w:left="2679"/>
                      <w:rPr>
                        <w:rFonts w:ascii="Times New Roman" w:hAnsi="Times New Roman" w:eastAsia="Times New Roman" w:cs="Times New Roman"/>
                        <w:sz w:val="18"/>
                        <w:szCs w:val="18"/>
                      </w:rPr>
                    </w:pPr>
                    <w:r>
                      <w:rPr>
                        <w:rFonts w:ascii="Times New Roman" w:hAnsi="Times New Roman" w:eastAsia="Times New Roman" w:cs="Times New Roman"/>
                        <w:color w:val="2A3034"/>
                        <w:spacing w:val="-2"/>
                        <w:sz w:val="18"/>
                        <w:szCs w:val="18"/>
                      </w:rPr>
                      <w:t>CPU</w:t>
                    </w:r>
                  </w:p>
                  <w:p w14:paraId="3BD91FF9">
                    <w:pPr>
                      <w:spacing w:before="171" w:line="219" w:lineRule="auto"/>
                      <w:ind w:left="2679"/>
                      <w:rPr>
                        <w:rFonts w:ascii="宋体" w:hAnsi="宋体" w:eastAsia="宋体" w:cs="宋体"/>
                        <w:sz w:val="18"/>
                        <w:szCs w:val="18"/>
                      </w:rPr>
                    </w:pPr>
                    <w:r>
                      <w:rPr>
                        <w:rFonts w:ascii="宋体" w:hAnsi="宋体" w:eastAsia="宋体" w:cs="宋体"/>
                        <w:spacing w:val="-8"/>
                        <w:sz w:val="18"/>
                        <w:szCs w:val="18"/>
                      </w:rPr>
                      <w:t>内存</w:t>
                    </w:r>
                  </w:p>
                  <w:p w14:paraId="21335AC8">
                    <w:pPr>
                      <w:spacing w:before="234"/>
                    </w:pPr>
                  </w:p>
                  <w:tbl>
                    <w:tblPr>
                      <w:tblStyle w:val="5"/>
                      <w:tblW w:w="4998"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73"/>
                      <w:gridCol w:w="1725"/>
                    </w:tblGrid>
                    <w:tr w14:paraId="2127EB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3273" w:type="dxa"/>
                          <w:vAlign w:val="top"/>
                        </w:tcPr>
                        <w:p w14:paraId="5CF2ADCF">
                          <w:pPr>
                            <w:spacing w:before="9" w:line="215" w:lineRule="auto"/>
                            <w:rPr>
                              <w:rFonts w:ascii="宋体" w:hAnsi="宋体" w:eastAsia="宋体" w:cs="宋体"/>
                              <w:sz w:val="18"/>
                              <w:szCs w:val="18"/>
                            </w:rPr>
                          </w:pPr>
                          <w:r>
                            <w:rPr>
                              <w:rFonts w:ascii="宋体" w:hAnsi="宋体" w:eastAsia="宋体" w:cs="宋体"/>
                              <w:spacing w:val="-5"/>
                              <w:sz w:val="18"/>
                              <w:szCs w:val="18"/>
                            </w:rPr>
                            <w:t>元数据1</w:t>
                          </w:r>
                          <w:r>
                            <w:rPr>
                              <w:rFonts w:ascii="宋体" w:hAnsi="宋体" w:eastAsia="宋体" w:cs="宋体"/>
                              <w:spacing w:val="11"/>
                              <w:sz w:val="18"/>
                              <w:szCs w:val="18"/>
                            </w:rPr>
                            <w:t xml:space="preserve">     </w:t>
                          </w:r>
                          <w:r>
                            <w:rPr>
                              <w:rFonts w:ascii="宋体" w:hAnsi="宋体" w:eastAsia="宋体" w:cs="宋体"/>
                              <w:spacing w:val="-5"/>
                              <w:sz w:val="18"/>
                              <w:szCs w:val="18"/>
                            </w:rPr>
                            <w:t>元数据</w:t>
                          </w:r>
                          <w:r>
                            <w:rPr>
                              <w:rFonts w:ascii="Times New Roman" w:hAnsi="Times New Roman" w:eastAsia="Times New Roman" w:cs="Times New Roman"/>
                              <w:spacing w:val="-5"/>
                              <w:sz w:val="18"/>
                              <w:szCs w:val="18"/>
                            </w:rPr>
                            <w:t>n</w:t>
                          </w:r>
                          <w:r>
                            <w:rPr>
                              <w:rFonts w:ascii="Times New Roman" w:hAnsi="Times New Roman" w:eastAsia="Times New Roman" w:cs="Times New Roman"/>
                              <w:sz w:val="18"/>
                              <w:szCs w:val="18"/>
                            </w:rPr>
                            <w:t xml:space="preserve">                    </w:t>
                          </w:r>
                          <w:r>
                            <w:rPr>
                              <w:rFonts w:ascii="宋体" w:hAnsi="宋体" w:eastAsia="宋体" w:cs="宋体"/>
                              <w:spacing w:val="-5"/>
                              <w:sz w:val="18"/>
                              <w:szCs w:val="18"/>
                            </w:rPr>
                            <w:t>数据1</w:t>
                          </w:r>
                        </w:p>
                        <w:p w14:paraId="4E3650E8">
                          <w:pPr>
                            <w:spacing w:line="218" w:lineRule="auto"/>
                            <w:ind w:left="1920"/>
                            <w:rPr>
                              <w:rFonts w:ascii="宋体" w:hAnsi="宋体" w:eastAsia="宋体" w:cs="宋体"/>
                              <w:sz w:val="18"/>
                              <w:szCs w:val="18"/>
                            </w:rPr>
                          </w:pPr>
                          <w:r>
                            <w:rPr>
                              <w:rFonts w:ascii="宋体" w:hAnsi="宋体" w:eastAsia="宋体" w:cs="宋体"/>
                              <w:spacing w:val="-7"/>
                              <w:sz w:val="18"/>
                              <w:szCs w:val="18"/>
                            </w:rPr>
                            <w:t>分布式存储软件</w:t>
                          </w:r>
                        </w:p>
                      </w:tc>
                      <w:tc>
                        <w:tcPr>
                          <w:tcW w:w="1725" w:type="dxa"/>
                          <w:vAlign w:val="top"/>
                        </w:tcPr>
                        <w:p w14:paraId="4BF8A54F">
                          <w:pPr>
                            <w:spacing w:line="219" w:lineRule="auto"/>
                            <w:jc w:val="right"/>
                            <w:rPr>
                              <w:rFonts w:ascii="Times New Roman" w:hAnsi="Times New Roman" w:eastAsia="Times New Roman" w:cs="Times New Roman"/>
                              <w:sz w:val="18"/>
                              <w:szCs w:val="18"/>
                            </w:rPr>
                          </w:pPr>
                          <w:r>
                            <w:rPr>
                              <w:rFonts w:ascii="宋体" w:hAnsi="宋体" w:eastAsia="宋体" w:cs="宋体"/>
                              <w:spacing w:val="-5"/>
                              <w:sz w:val="18"/>
                              <w:szCs w:val="18"/>
                            </w:rPr>
                            <w:t>数据2</w:t>
                          </w:r>
                          <w:r>
                            <w:rPr>
                              <w:rFonts w:ascii="宋体" w:hAnsi="宋体" w:eastAsia="宋体" w:cs="宋体"/>
                              <w:spacing w:val="-4"/>
                              <w:sz w:val="18"/>
                              <w:szCs w:val="18"/>
                            </w:rPr>
                            <w:t xml:space="preserve">        数据</w:t>
                          </w:r>
                          <w:r>
                            <w:rPr>
                              <w:rFonts w:ascii="Times New Roman" w:hAnsi="Times New Roman" w:eastAsia="Times New Roman" w:cs="Times New Roman"/>
                              <w:spacing w:val="-1"/>
                              <w:sz w:val="18"/>
                              <w:szCs w:val="18"/>
                            </w:rPr>
                            <w:t>n</w:t>
                          </w:r>
                        </w:p>
                      </w:tc>
                    </w:tr>
                    <w:tr w14:paraId="789745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0" w:hRule="atLeast"/>
                      </w:trPr>
                      <w:tc>
                        <w:tcPr>
                          <w:tcW w:w="3273" w:type="dxa"/>
                          <w:vAlign w:val="top"/>
                        </w:tcPr>
                        <w:p w14:paraId="61D630B9">
                          <w:pPr>
                            <w:spacing w:before="50" w:line="174" w:lineRule="auto"/>
                            <w:ind w:left="2089"/>
                            <w:rPr>
                              <w:rFonts w:ascii="宋体" w:hAnsi="宋体" w:eastAsia="宋体" w:cs="宋体"/>
                              <w:sz w:val="18"/>
                              <w:szCs w:val="18"/>
                            </w:rPr>
                          </w:pPr>
                          <w:r>
                            <w:rPr>
                              <w:rFonts w:ascii="宋体" w:hAnsi="宋体" w:eastAsia="宋体" w:cs="宋体"/>
                              <w:spacing w:val="-7"/>
                              <w:sz w:val="18"/>
                              <w:szCs w:val="18"/>
                            </w:rPr>
                            <w:t>分布式存储</w:t>
                          </w:r>
                        </w:p>
                      </w:tc>
                      <w:tc>
                        <w:tcPr>
                          <w:tcW w:w="1725" w:type="dxa"/>
                          <w:vAlign w:val="top"/>
                        </w:tcPr>
                        <w:p w14:paraId="497ECD8C">
                          <w:pPr>
                            <w:spacing w:line="220" w:lineRule="exact"/>
                            <w:rPr>
                              <w:rFonts w:ascii="Arial"/>
                              <w:sz w:val="19"/>
                            </w:rPr>
                          </w:pPr>
                        </w:p>
                      </w:tc>
                    </w:tr>
                  </w:tbl>
                  <w:p w14:paraId="366B5008">
                    <w:pPr>
                      <w:rPr>
                        <w:rFonts w:ascii="Arial"/>
                        <w:sz w:val="21"/>
                      </w:rPr>
                    </w:pPr>
                  </w:p>
                </w:txbxContent>
              </v:textbox>
            </v:shape>
            <v:shape id="_x0000_s1265" o:spid="_x0000_s1265" o:spt="202" type="#_x0000_t202" style="position:absolute;left:1027;top:111;height:622;width:1815;" filled="f" stroked="f" coordsize="21600,21600">
              <v:path/>
              <v:fill on="f" focussize="0,0"/>
              <v:stroke on="f"/>
              <v:imagedata o:title=""/>
              <o:lock v:ext="edit" aspectratio="f"/>
              <v:textbox inset="0mm,0mm,0mm,0mm" style="layout-flow:vertical-ideographic;">
                <w:txbxContent>
                  <w:p w14:paraId="0E1CEE19">
                    <w:pPr>
                      <w:spacing w:before="19" w:line="199" w:lineRule="auto"/>
                      <w:ind w:left="20"/>
                      <w:rPr>
                        <w:rFonts w:ascii="宋体" w:hAnsi="宋体" w:eastAsia="宋体" w:cs="宋体"/>
                        <w:sz w:val="17"/>
                        <w:szCs w:val="17"/>
                      </w:rPr>
                    </w:pPr>
                    <w:r>
                      <w:rPr>
                        <w:rFonts w:ascii="宋体" w:hAnsi="宋体" w:eastAsia="宋体" w:cs="宋体"/>
                        <w:spacing w:val="10"/>
                        <w:sz w:val="17"/>
                        <w:szCs w:val="17"/>
                      </w:rPr>
                      <w:t>客户端</w:t>
                    </w:r>
                  </w:p>
                  <w:p w14:paraId="08C9FB44">
                    <w:pPr>
                      <w:spacing w:line="256" w:lineRule="auto"/>
                      <w:rPr>
                        <w:rFonts w:ascii="Arial"/>
                        <w:sz w:val="21"/>
                      </w:rPr>
                    </w:pPr>
                  </w:p>
                  <w:p w14:paraId="09DBFC6F">
                    <w:pPr>
                      <w:spacing w:before="57" w:line="199" w:lineRule="auto"/>
                      <w:ind w:left="29"/>
                      <w:rPr>
                        <w:rFonts w:ascii="宋体" w:hAnsi="宋体" w:eastAsia="宋体" w:cs="宋体"/>
                        <w:sz w:val="17"/>
                        <w:szCs w:val="17"/>
                      </w:rPr>
                    </w:pPr>
                    <w:r>
                      <w:rPr>
                        <w:rFonts w:ascii="宋体" w:hAnsi="宋体" w:eastAsia="宋体" w:cs="宋体"/>
                        <w:spacing w:val="20"/>
                        <w:sz w:val="17"/>
                        <w:szCs w:val="17"/>
                      </w:rPr>
                      <w:t>客户端</w:t>
                    </w:r>
                  </w:p>
                  <w:p w14:paraId="16944EDF">
                    <w:pPr>
                      <w:spacing w:line="266" w:lineRule="auto"/>
                      <w:rPr>
                        <w:rFonts w:ascii="Arial"/>
                        <w:sz w:val="21"/>
                      </w:rPr>
                    </w:pPr>
                  </w:p>
                  <w:p w14:paraId="3A766407">
                    <w:pPr>
                      <w:spacing w:before="57" w:line="199" w:lineRule="auto"/>
                      <w:ind w:left="20"/>
                      <w:rPr>
                        <w:rFonts w:ascii="宋体" w:hAnsi="宋体" w:eastAsia="宋体" w:cs="宋体"/>
                        <w:sz w:val="17"/>
                        <w:szCs w:val="17"/>
                      </w:rPr>
                    </w:pPr>
                    <w:r>
                      <w:rPr>
                        <w:rFonts w:ascii="宋体" w:hAnsi="宋体" w:eastAsia="宋体" w:cs="宋体"/>
                        <w:spacing w:val="10"/>
                        <w:sz w:val="17"/>
                        <w:szCs w:val="17"/>
                      </w:rPr>
                      <w:t>客户端</w:t>
                    </w:r>
                  </w:p>
                  <w:p w14:paraId="15B95639">
                    <w:pPr>
                      <w:spacing w:line="334" w:lineRule="auto"/>
                      <w:rPr>
                        <w:rFonts w:ascii="Arial"/>
                        <w:sz w:val="21"/>
                      </w:rPr>
                    </w:pPr>
                  </w:p>
                  <w:p w14:paraId="58058459">
                    <w:pPr>
                      <w:spacing w:before="57" w:line="199" w:lineRule="auto"/>
                      <w:ind w:left="20"/>
                      <w:rPr>
                        <w:rFonts w:ascii="宋体" w:hAnsi="宋体" w:eastAsia="宋体" w:cs="宋体"/>
                        <w:sz w:val="17"/>
                        <w:szCs w:val="17"/>
                      </w:rPr>
                    </w:pPr>
                    <w:r>
                      <w:rPr>
                        <w:rFonts w:ascii="宋体" w:hAnsi="宋体" w:eastAsia="宋体" w:cs="宋体"/>
                        <w:spacing w:val="10"/>
                        <w:sz w:val="17"/>
                        <w:szCs w:val="17"/>
                      </w:rPr>
                      <w:t>客户端</w:t>
                    </w:r>
                  </w:p>
                </w:txbxContent>
              </v:textbox>
            </v:shape>
            <v:shape id="_x0000_s1266" o:spid="_x0000_s1266" o:spt="202" type="#_x0000_t202" style="position:absolute;left:3730;top:1803;height:544;width:384;" filled="f" stroked="f" coordsize="21600,21600">
              <v:path/>
              <v:fill on="f" focussize="0,0"/>
              <v:stroke on="f"/>
              <v:imagedata o:title=""/>
              <o:lock v:ext="edit" aspectratio="f"/>
              <v:textbox inset="0mm,0mm,0mm,0mm">
                <w:txbxContent>
                  <w:p w14:paraId="7C463CF8">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CPU</w:t>
                    </w:r>
                  </w:p>
                  <w:p w14:paraId="48171F1D">
                    <w:pPr>
                      <w:spacing w:before="161" w:line="219" w:lineRule="auto"/>
                      <w:ind w:left="20"/>
                      <w:rPr>
                        <w:rFonts w:ascii="宋体" w:hAnsi="宋体" w:eastAsia="宋体" w:cs="宋体"/>
                        <w:sz w:val="18"/>
                        <w:szCs w:val="18"/>
                      </w:rPr>
                    </w:pPr>
                    <w:r>
                      <w:rPr>
                        <w:rFonts w:ascii="宋体" w:hAnsi="宋体" w:eastAsia="宋体" w:cs="宋体"/>
                        <w:spacing w:val="-8"/>
                        <w:sz w:val="18"/>
                        <w:szCs w:val="18"/>
                      </w:rPr>
                      <w:t>内存</w:t>
                    </w:r>
                  </w:p>
                </w:txbxContent>
              </v:textbox>
            </v:shape>
            <v:shape id="_x0000_s1267" o:spid="_x0000_s1267" o:spt="202" type="#_x0000_t202" style="position:absolute;left:1540;top:1813;height:534;width:384;" filled="f" stroked="f" coordsize="21600,21600">
              <v:path/>
              <v:fill on="f" focussize="0,0"/>
              <v:stroke on="f"/>
              <v:imagedata o:title=""/>
              <o:lock v:ext="edit" aspectratio="f"/>
              <v:textbox inset="0mm,0mm,0mm,0mm">
                <w:txbxContent>
                  <w:p w14:paraId="3A11EE7B">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CPU</w:t>
                    </w:r>
                  </w:p>
                  <w:p w14:paraId="54177EF7">
                    <w:pPr>
                      <w:spacing w:before="151" w:line="219" w:lineRule="auto"/>
                      <w:ind w:left="29"/>
                      <w:rPr>
                        <w:rFonts w:ascii="宋体" w:hAnsi="宋体" w:eastAsia="宋体" w:cs="宋体"/>
                        <w:sz w:val="18"/>
                        <w:szCs w:val="18"/>
                      </w:rPr>
                    </w:pPr>
                    <w:r>
                      <w:rPr>
                        <w:rFonts w:ascii="宋体" w:hAnsi="宋体" w:eastAsia="宋体" w:cs="宋体"/>
                        <w:spacing w:val="-8"/>
                        <w:sz w:val="18"/>
                        <w:szCs w:val="18"/>
                      </w:rPr>
                      <w:t>内存</w:t>
                    </w:r>
                  </w:p>
                </w:txbxContent>
              </v:textbox>
            </v:shape>
            <v:shape id="_x0000_s1268" o:spid="_x0000_s1268" o:spt="202" type="#_x0000_t202" style="position:absolute;left:4880;top:1853;height:494;width:384;" filled="f" stroked="f" coordsize="21600,21600">
              <v:path/>
              <v:fill on="f" focussize="0,0"/>
              <v:stroke on="f"/>
              <v:imagedata o:title=""/>
              <o:lock v:ext="edit" aspectratio="f"/>
              <v:textbox inset="0mm,0mm,0mm,0mm">
                <w:txbxContent>
                  <w:p w14:paraId="1CC6EB15">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CPU</w:t>
                    </w:r>
                  </w:p>
                  <w:p w14:paraId="092925CB">
                    <w:pPr>
                      <w:spacing w:before="111" w:line="219" w:lineRule="auto"/>
                      <w:ind w:left="20"/>
                      <w:rPr>
                        <w:rFonts w:ascii="宋体" w:hAnsi="宋体" w:eastAsia="宋体" w:cs="宋体"/>
                        <w:sz w:val="18"/>
                        <w:szCs w:val="18"/>
                      </w:rPr>
                    </w:pPr>
                    <w:r>
                      <w:rPr>
                        <w:rFonts w:ascii="宋体" w:hAnsi="宋体" w:eastAsia="宋体" w:cs="宋体"/>
                        <w:spacing w:val="-8"/>
                        <w:sz w:val="18"/>
                        <w:szCs w:val="18"/>
                      </w:rPr>
                      <w:t>内存</w:t>
                    </w:r>
                  </w:p>
                </w:txbxContent>
              </v:textbox>
            </v:shape>
            <v:shape id="_x0000_s1269" o:spid="_x0000_s1269" o:spt="202" type="#_x0000_t202" style="position:absolute;left:420;top:1853;height:484;width:384;" filled="f" stroked="f" coordsize="21600,21600">
              <v:path/>
              <v:fill on="f" focussize="0,0"/>
              <v:stroke on="f"/>
              <v:imagedata o:title=""/>
              <o:lock v:ext="edit" aspectratio="f"/>
              <v:textbox inset="0mm,0mm,0mm,0mm">
                <w:txbxContent>
                  <w:p w14:paraId="2CF928BC">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CPU</w:t>
                    </w:r>
                  </w:p>
                  <w:p w14:paraId="29D3BA6A">
                    <w:pPr>
                      <w:spacing w:before="101" w:line="219" w:lineRule="auto"/>
                      <w:ind w:left="29"/>
                      <w:rPr>
                        <w:rFonts w:ascii="宋体" w:hAnsi="宋体" w:eastAsia="宋体" w:cs="宋体"/>
                        <w:sz w:val="18"/>
                        <w:szCs w:val="18"/>
                      </w:rPr>
                    </w:pPr>
                    <w:r>
                      <w:rPr>
                        <w:rFonts w:ascii="宋体" w:hAnsi="宋体" w:eastAsia="宋体" w:cs="宋体"/>
                        <w:spacing w:val="-8"/>
                        <w:sz w:val="18"/>
                        <w:szCs w:val="18"/>
                      </w:rPr>
                      <w:t>内存</w:t>
                    </w:r>
                  </w:p>
                </w:txbxContent>
              </v:textbox>
            </v:shape>
            <v:shape id="_x0000_s1270" o:spid="_x0000_s1270" o:spt="202" type="#_x0000_t202" style="position:absolute;left:2230;top:1737;height:412;width:389;" filled="f" stroked="f" coordsize="21600,21600">
              <v:path/>
              <v:fill on="f" focussize="0,0"/>
              <v:stroke on="f"/>
              <v:imagedata o:title=""/>
              <o:lock v:ext="edit" aspectratio="f"/>
              <v:textbox inset="0mm,0mm,0mm,0mm">
                <w:txbxContent>
                  <w:p w14:paraId="73F27DD5">
                    <w:pPr>
                      <w:spacing w:before="20" w:line="207" w:lineRule="auto"/>
                      <w:ind w:left="20" w:right="20"/>
                      <w:rPr>
                        <w:rFonts w:ascii="黑体" w:hAnsi="黑体" w:eastAsia="黑体" w:cs="黑体"/>
                        <w:sz w:val="18"/>
                        <w:szCs w:val="18"/>
                      </w:rPr>
                    </w:pPr>
                    <w:r>
                      <w:rPr>
                        <w:rFonts w:ascii="宋体" w:hAnsi="宋体" w:eastAsia="宋体" w:cs="宋体"/>
                        <w:spacing w:val="-6"/>
                        <w:sz w:val="18"/>
                        <w:szCs w:val="18"/>
                      </w:rPr>
                      <w:t>高速</w:t>
                    </w:r>
                    <w:r>
                      <w:rPr>
                        <w:rFonts w:ascii="宋体" w:hAnsi="宋体" w:eastAsia="宋体" w:cs="宋体"/>
                        <w:sz w:val="18"/>
                        <w:szCs w:val="18"/>
                      </w:rPr>
                      <w:t xml:space="preserve"> </w:t>
                    </w:r>
                    <w:r>
                      <w:rPr>
                        <w:rFonts w:ascii="黑体" w:hAnsi="黑体" w:eastAsia="黑体" w:cs="黑体"/>
                        <w:spacing w:val="-8"/>
                        <w:sz w:val="18"/>
                        <w:szCs w:val="18"/>
                      </w:rPr>
                      <w:t>网络</w:t>
                    </w:r>
                  </w:p>
                </w:txbxContent>
              </v:textbox>
            </v:shape>
            <v:shape id="_x0000_s1271" o:spid="_x0000_s1271" o:spt="202" type="#_x0000_t202" style="position:absolute;left:4007;top:111;height:582;width:195;" filled="f" stroked="f" coordsize="21600,21600">
              <v:path/>
              <v:fill on="f" focussize="0,0"/>
              <v:stroke on="f"/>
              <v:imagedata o:title=""/>
              <o:lock v:ext="edit" aspectratio="f"/>
              <v:textbox inset="0mm,0mm,0mm,0mm" style="layout-flow:vertical-ideographic;">
                <w:txbxContent>
                  <w:p w14:paraId="41CD36BF">
                    <w:pPr>
                      <w:spacing w:before="19" w:line="199" w:lineRule="auto"/>
                      <w:ind w:left="20"/>
                      <w:rPr>
                        <w:rFonts w:ascii="宋体" w:hAnsi="宋体" w:eastAsia="宋体" w:cs="宋体"/>
                        <w:sz w:val="17"/>
                        <w:szCs w:val="17"/>
                      </w:rPr>
                    </w:pPr>
                    <w:r>
                      <w:rPr>
                        <w:rFonts w:ascii="宋体" w:hAnsi="宋体" w:eastAsia="宋体" w:cs="宋体"/>
                        <w:spacing w:val="10"/>
                        <w:sz w:val="17"/>
                        <w:szCs w:val="17"/>
                      </w:rPr>
                      <w:t>客户端</w:t>
                    </w:r>
                  </w:p>
                </w:txbxContent>
              </v:textbox>
            </v:shape>
            <v:shape id="_x0000_s1272" o:spid="_x0000_s1272" o:spt="202" type="#_x0000_t202" style="position:absolute;left:4420;top:2126;height:90;width:135;" filled="f" stroked="f" coordsize="21600,21600">
              <v:path/>
              <v:fill on="f" focussize="0,0"/>
              <v:stroke on="f"/>
              <v:imagedata o:title=""/>
              <o:lock v:ext="edit" aspectratio="f"/>
              <v:textbox inset="0mm,0mm,0mm,0mm">
                <w:txbxContent>
                  <w:p w14:paraId="12B9BF54">
                    <w:pPr>
                      <w:spacing w:before="20" w:line="78" w:lineRule="exact"/>
                      <w:ind w:left="20"/>
                      <w:rPr>
                        <w:rFonts w:ascii="宋体" w:hAnsi="宋体" w:eastAsia="宋体" w:cs="宋体"/>
                        <w:sz w:val="5"/>
                        <w:szCs w:val="5"/>
                      </w:rPr>
                    </w:pPr>
                    <w:r>
                      <w:rPr>
                        <w:rFonts w:ascii="宋体" w:hAnsi="宋体" w:eastAsia="宋体" w:cs="宋体"/>
                        <w:spacing w:val="-2"/>
                        <w:position w:val="1"/>
                        <w:sz w:val="5"/>
                        <w:szCs w:val="5"/>
                      </w:rPr>
                      <w:t>……</w:t>
                    </w:r>
                  </w:p>
                </w:txbxContent>
              </v:textbox>
            </v:shape>
            <v:shape id="_x0000_s1273" o:spid="_x0000_s1273" o:spt="202" type="#_x0000_t202" style="position:absolute;left:3470;top:377;height:90;width:85;" filled="f" stroked="f" coordsize="21600,21600">
              <v:path/>
              <v:fill on="f" focussize="0,0"/>
              <v:stroke on="f"/>
              <v:imagedata o:title=""/>
              <o:lock v:ext="edit" aspectratio="f"/>
              <v:textbox inset="0mm,0mm,0mm,0mm" style="layout-flow:vertical-ideographic;">
                <w:txbxContent>
                  <w:p w14:paraId="30E06450">
                    <w:pPr>
                      <w:spacing w:before="20" w:line="74" w:lineRule="exact"/>
                      <w:ind w:left="20"/>
                      <w:rPr>
                        <w:rFonts w:ascii="宋体" w:hAnsi="宋体" w:eastAsia="宋体" w:cs="宋体"/>
                        <w:sz w:val="5"/>
                        <w:szCs w:val="5"/>
                      </w:rPr>
                    </w:pPr>
                    <w:r>
                      <w:rPr>
                        <w:rFonts w:ascii="宋体" w:hAnsi="宋体" w:eastAsia="宋体" w:cs="宋体"/>
                        <w:sz w:val="5"/>
                        <w:szCs w:val="5"/>
                      </w:rPr>
                      <w:t>…</w:t>
                    </w:r>
                  </w:p>
                </w:txbxContent>
              </v:textbox>
            </v:shape>
            <w10:wrap type="none"/>
            <w10:anchorlock/>
          </v:group>
        </w:pict>
      </w:r>
    </w:p>
    <w:p w14:paraId="42AE7C73">
      <w:pPr>
        <w:pStyle w:val="2"/>
        <w:spacing w:before="111" w:line="219" w:lineRule="auto"/>
        <w:ind w:left="2970"/>
        <w:rPr>
          <w:sz w:val="18"/>
          <w:szCs w:val="18"/>
        </w:rPr>
      </w:pPr>
      <w:r>
        <w:rPr>
          <w:sz w:val="18"/>
          <w:szCs w:val="18"/>
        </w:rPr>
        <w:t>图4-1</w:t>
      </w:r>
      <w:r>
        <w:rPr>
          <w:spacing w:val="72"/>
          <w:sz w:val="18"/>
          <w:szCs w:val="18"/>
        </w:rPr>
        <w:t xml:space="preserve"> </w:t>
      </w:r>
      <w:r>
        <w:rPr>
          <w:sz w:val="18"/>
          <w:szCs w:val="18"/>
        </w:rPr>
        <w:t>三种典型存储部署架构</w:t>
      </w:r>
    </w:p>
    <w:p w14:paraId="50509616">
      <w:pPr>
        <w:spacing w:line="282" w:lineRule="auto"/>
        <w:rPr>
          <w:rFonts w:ascii="Arial"/>
          <w:sz w:val="21"/>
        </w:rPr>
      </w:pPr>
    </w:p>
    <w:p w14:paraId="62FB2E4B">
      <w:pPr>
        <w:pStyle w:val="2"/>
        <w:spacing w:before="82" w:line="219" w:lineRule="auto"/>
        <w:ind w:left="2"/>
        <w:rPr>
          <w:sz w:val="25"/>
          <w:szCs w:val="25"/>
        </w:rPr>
      </w:pPr>
      <w:r>
        <w:rPr>
          <w:b/>
          <w:bCs/>
          <w:color w:val="0056B9"/>
          <w:spacing w:val="-16"/>
          <w:sz w:val="25"/>
          <w:szCs w:val="25"/>
        </w:rPr>
        <w:t>4.1.3</w:t>
      </w:r>
      <w:r>
        <w:rPr>
          <w:color w:val="0056B9"/>
          <w:spacing w:val="72"/>
          <w:sz w:val="25"/>
          <w:szCs w:val="25"/>
        </w:rPr>
        <w:t xml:space="preserve"> </w:t>
      </w:r>
      <w:r>
        <w:rPr>
          <w:b/>
          <w:bCs/>
          <w:color w:val="0056B9"/>
          <w:spacing w:val="-16"/>
          <w:sz w:val="25"/>
          <w:szCs w:val="25"/>
        </w:rPr>
        <w:t>主流数据库技术和系统</w:t>
      </w:r>
    </w:p>
    <w:p w14:paraId="7CC31D08">
      <w:pPr>
        <w:pStyle w:val="2"/>
        <w:spacing w:before="151" w:line="314" w:lineRule="auto"/>
        <w:ind w:right="340" w:firstLine="409"/>
        <w:jc w:val="both"/>
        <w:rPr>
          <w:sz w:val="18"/>
          <w:szCs w:val="18"/>
        </w:rPr>
      </w:pPr>
      <w:r>
        <w:rPr>
          <w:spacing w:val="29"/>
          <w:sz w:val="18"/>
          <w:szCs w:val="18"/>
        </w:rPr>
        <w:t>在数据库领域，数据从组织的角度主要分为结构化数据和非结构化数据两</w:t>
      </w:r>
      <w:r>
        <w:rPr>
          <w:spacing w:val="28"/>
          <w:sz w:val="18"/>
          <w:szCs w:val="18"/>
        </w:rPr>
        <w:t>类。结构化数</w:t>
      </w:r>
      <w:r>
        <w:rPr>
          <w:sz w:val="18"/>
          <w:szCs w:val="18"/>
        </w:rPr>
        <w:t xml:space="preserve"> </w:t>
      </w:r>
      <w:r>
        <w:rPr>
          <w:spacing w:val="26"/>
          <w:sz w:val="18"/>
          <w:szCs w:val="18"/>
        </w:rPr>
        <w:t>据是带有固定结构的数据，在组织形式上是整齐格式化的，同</w:t>
      </w:r>
      <w:r>
        <w:rPr>
          <w:spacing w:val="-50"/>
          <w:sz w:val="18"/>
          <w:szCs w:val="18"/>
        </w:rPr>
        <w:t xml:space="preserve"> </w:t>
      </w:r>
      <w:r>
        <w:rPr>
          <w:spacing w:val="26"/>
          <w:sz w:val="18"/>
          <w:szCs w:val="18"/>
        </w:rPr>
        <w:t>一</w:t>
      </w:r>
      <w:r>
        <w:rPr>
          <w:spacing w:val="-52"/>
          <w:sz w:val="18"/>
          <w:szCs w:val="18"/>
        </w:rPr>
        <w:t xml:space="preserve"> </w:t>
      </w:r>
      <w:r>
        <w:rPr>
          <w:spacing w:val="26"/>
          <w:sz w:val="18"/>
          <w:szCs w:val="18"/>
        </w:rPr>
        <w:t>数据对象的所有数据都具有</w:t>
      </w:r>
      <w:r>
        <w:rPr>
          <w:sz w:val="18"/>
          <w:szCs w:val="18"/>
        </w:rPr>
        <w:t xml:space="preserve"> </w:t>
      </w:r>
      <w:r>
        <w:rPr>
          <w:spacing w:val="28"/>
          <w:sz w:val="18"/>
          <w:szCs w:val="18"/>
        </w:rPr>
        <w:t>完全相同的结构。例如人员信息数据，定义为“身份证号、姓名、籍贯、出生日期”这种结</w:t>
      </w:r>
      <w:r>
        <w:rPr>
          <w:sz w:val="18"/>
          <w:szCs w:val="18"/>
        </w:rPr>
        <w:t xml:space="preserve"> </w:t>
      </w:r>
      <w:r>
        <w:rPr>
          <w:spacing w:val="28"/>
          <w:sz w:val="18"/>
          <w:szCs w:val="18"/>
        </w:rPr>
        <w:t>构后，所有人员的信息都会按照这个固定的格式来组织。结构化数据是数据库中最</w:t>
      </w:r>
      <w:r>
        <w:rPr>
          <w:spacing w:val="27"/>
          <w:sz w:val="18"/>
          <w:szCs w:val="18"/>
        </w:rPr>
        <w:t>常见的数</w:t>
      </w:r>
      <w:r>
        <w:rPr>
          <w:sz w:val="18"/>
          <w:szCs w:val="18"/>
        </w:rPr>
        <w:t xml:space="preserve"> </w:t>
      </w:r>
      <w:r>
        <w:rPr>
          <w:spacing w:val="27"/>
          <w:sz w:val="18"/>
          <w:szCs w:val="18"/>
        </w:rPr>
        <w:t>据，也是数据库最擅长处理的数据。非结构化数据可以理解为结构化数据之外的</w:t>
      </w:r>
      <w:r>
        <w:rPr>
          <w:spacing w:val="-39"/>
          <w:sz w:val="18"/>
          <w:szCs w:val="18"/>
        </w:rPr>
        <w:t xml:space="preserve"> </w:t>
      </w:r>
      <w:r>
        <w:rPr>
          <w:spacing w:val="27"/>
          <w:sz w:val="18"/>
          <w:szCs w:val="18"/>
        </w:rPr>
        <w:t>一</w:t>
      </w:r>
      <w:r>
        <w:rPr>
          <w:spacing w:val="-53"/>
          <w:sz w:val="18"/>
          <w:szCs w:val="18"/>
        </w:rPr>
        <w:t xml:space="preserve"> </w:t>
      </w:r>
      <w:r>
        <w:rPr>
          <w:spacing w:val="27"/>
          <w:sz w:val="18"/>
          <w:szCs w:val="18"/>
        </w:rPr>
        <w:t>切数据，</w:t>
      </w:r>
      <w:r>
        <w:rPr>
          <w:sz w:val="18"/>
          <w:szCs w:val="18"/>
        </w:rPr>
        <w:t xml:space="preserve"> </w:t>
      </w:r>
      <w:r>
        <w:rPr>
          <w:spacing w:val="28"/>
          <w:sz w:val="18"/>
          <w:szCs w:val="18"/>
        </w:rPr>
        <w:t>这类数据无法预先定义出固定格式，直接的表现就是字段可变，包括字段的多少和类型。例</w:t>
      </w:r>
    </w:p>
    <w:p w14:paraId="152AB81F">
      <w:pPr>
        <w:spacing w:line="314" w:lineRule="auto"/>
        <w:rPr>
          <w:sz w:val="18"/>
          <w:szCs w:val="18"/>
        </w:rPr>
        <w:sectPr>
          <w:pgSz w:w="10300" w:h="13320"/>
          <w:pgMar w:top="370" w:right="489" w:bottom="400" w:left="1100" w:header="0" w:footer="0" w:gutter="0"/>
          <w:cols w:space="720" w:num="1"/>
        </w:sectPr>
      </w:pPr>
    </w:p>
    <w:p w14:paraId="2120D487">
      <w:pPr>
        <w:pStyle w:val="2"/>
        <w:spacing w:before="78" w:line="219" w:lineRule="auto"/>
        <w:rPr>
          <w:sz w:val="20"/>
          <w:szCs w:val="20"/>
        </w:rPr>
      </w:pPr>
      <w:r>
        <w:rPr>
          <w:rFonts w:ascii="Times New Roman" w:hAnsi="Times New Roman" w:eastAsia="Times New Roman" w:cs="Times New Roman"/>
          <w:spacing w:val="-3"/>
          <w:sz w:val="20"/>
          <w:szCs w:val="20"/>
        </w:rPr>
        <w:t xml:space="preserve">124              </w:t>
      </w:r>
      <w:r>
        <w:rPr>
          <w:spacing w:val="-3"/>
          <w:sz w:val="20"/>
          <w:szCs w:val="20"/>
        </w:rPr>
        <w:t>信息系统监理师教程(第2版)</w:t>
      </w:r>
    </w:p>
    <w:p w14:paraId="2D9B19F3">
      <w:pPr>
        <w:spacing w:line="294" w:lineRule="auto"/>
        <w:rPr>
          <w:rFonts w:ascii="Arial"/>
          <w:sz w:val="21"/>
        </w:rPr>
      </w:pPr>
    </w:p>
    <w:p w14:paraId="79299F47">
      <w:pPr>
        <w:pStyle w:val="2"/>
        <w:spacing w:before="65" w:line="296" w:lineRule="auto"/>
        <w:ind w:left="359" w:right="77"/>
        <w:jc w:val="both"/>
        <w:rPr>
          <w:sz w:val="20"/>
          <w:szCs w:val="20"/>
        </w:rPr>
      </w:pPr>
      <w:r>
        <w:rPr>
          <w:spacing w:val="8"/>
          <w:sz w:val="20"/>
          <w:szCs w:val="20"/>
        </w:rPr>
        <w:t>如在即时聊天工具中的数据，可能包含文字、图片、音频、视频等。非结构化数据是生活中</w:t>
      </w:r>
      <w:r>
        <w:rPr>
          <w:spacing w:val="11"/>
          <w:sz w:val="20"/>
          <w:szCs w:val="20"/>
        </w:rPr>
        <w:t xml:space="preserve"> </w:t>
      </w:r>
      <w:r>
        <w:rPr>
          <w:spacing w:val="8"/>
          <w:sz w:val="20"/>
          <w:szCs w:val="20"/>
        </w:rPr>
        <w:t>数量最庞大的数据，尤其是当前由机器生成的数据越来越多，非结构化数据在所有数据中的</w:t>
      </w:r>
      <w:r>
        <w:rPr>
          <w:spacing w:val="5"/>
          <w:sz w:val="20"/>
          <w:szCs w:val="20"/>
        </w:rPr>
        <w:t xml:space="preserve"> </w:t>
      </w:r>
      <w:r>
        <w:rPr>
          <w:spacing w:val="-3"/>
          <w:sz w:val="20"/>
          <w:szCs w:val="20"/>
        </w:rPr>
        <w:t>占比也越来越大。</w:t>
      </w:r>
    </w:p>
    <w:p w14:paraId="04E3058B">
      <w:pPr>
        <w:pStyle w:val="2"/>
        <w:spacing w:before="19" w:line="219" w:lineRule="auto"/>
        <w:ind w:left="750"/>
        <w:rPr>
          <w:sz w:val="20"/>
          <w:szCs w:val="20"/>
        </w:rPr>
      </w:pPr>
      <w:r>
        <w:rPr>
          <w:spacing w:val="-2"/>
          <w:sz w:val="20"/>
          <w:szCs w:val="20"/>
        </w:rPr>
        <w:t>数据库系统主要分为关系型数据库和非关系型数据库两大类。</w:t>
      </w:r>
    </w:p>
    <w:p w14:paraId="68D454D7">
      <w:pPr>
        <w:pStyle w:val="2"/>
        <w:spacing w:before="50" w:line="275" w:lineRule="auto"/>
        <w:ind w:left="359" w:firstLine="390"/>
        <w:rPr>
          <w:sz w:val="20"/>
          <w:szCs w:val="20"/>
        </w:rPr>
      </w:pPr>
      <w:r>
        <w:rPr>
          <w:spacing w:val="6"/>
          <w:sz w:val="20"/>
          <w:szCs w:val="20"/>
        </w:rPr>
        <w:t>(1)关系型数据库：存储的格式可以直观地反映实体间的关系</w:t>
      </w:r>
      <w:r>
        <w:rPr>
          <w:spacing w:val="5"/>
          <w:sz w:val="20"/>
          <w:szCs w:val="20"/>
        </w:rPr>
        <w:t>。关系型数据库和常见的表</w:t>
      </w:r>
      <w:r>
        <w:rPr>
          <w:sz w:val="20"/>
          <w:szCs w:val="20"/>
        </w:rPr>
        <w:t xml:space="preserve">  </w:t>
      </w:r>
      <w:r>
        <w:rPr>
          <w:spacing w:val="3"/>
          <w:sz w:val="20"/>
          <w:szCs w:val="20"/>
        </w:rPr>
        <w:t>格比较相似，关系型数据库中表与表之间是有很多复杂的关联关系的。传统的关系型数据库有</w:t>
      </w:r>
      <w:r>
        <w:rPr>
          <w:spacing w:val="16"/>
          <w:sz w:val="20"/>
          <w:szCs w:val="20"/>
        </w:rPr>
        <w:t xml:space="preserve"> </w:t>
      </w:r>
      <w:r>
        <w:rPr>
          <w:spacing w:val="-1"/>
          <w:sz w:val="20"/>
          <w:szCs w:val="20"/>
        </w:rPr>
        <w:t>Oracle、DB2、MySQL、Microsoft SQL Server、Microsoft Acc</w:t>
      </w:r>
      <w:r>
        <w:rPr>
          <w:spacing w:val="-2"/>
          <w:sz w:val="20"/>
          <w:szCs w:val="20"/>
        </w:rPr>
        <w:t>ess等多个品种，每种数据库的语</w:t>
      </w:r>
      <w:r>
        <w:rPr>
          <w:sz w:val="20"/>
          <w:szCs w:val="20"/>
        </w:rPr>
        <w:t xml:space="preserve">  </w:t>
      </w:r>
      <w:r>
        <w:rPr>
          <w:spacing w:val="3"/>
          <w:sz w:val="20"/>
          <w:szCs w:val="20"/>
        </w:rPr>
        <w:t>法、功能和特性也各具特色。国产的关系型数据库包括</w:t>
      </w:r>
      <w:r>
        <w:rPr>
          <w:sz w:val="20"/>
          <w:szCs w:val="20"/>
        </w:rPr>
        <w:t>GaussDB</w:t>
      </w:r>
      <w:r>
        <w:rPr>
          <w:spacing w:val="3"/>
          <w:sz w:val="20"/>
          <w:szCs w:val="20"/>
        </w:rPr>
        <w:t>(</w:t>
      </w:r>
      <w:r>
        <w:rPr>
          <w:sz w:val="20"/>
          <w:szCs w:val="20"/>
        </w:rPr>
        <w:t>for</w:t>
      </w:r>
      <w:r>
        <w:rPr>
          <w:spacing w:val="3"/>
          <w:sz w:val="20"/>
          <w:szCs w:val="20"/>
        </w:rPr>
        <w:t xml:space="preserve">    </w:t>
      </w:r>
      <w:r>
        <w:rPr>
          <w:sz w:val="20"/>
          <w:szCs w:val="20"/>
        </w:rPr>
        <w:t>MySQL</w:t>
      </w:r>
      <w:r>
        <w:rPr>
          <w:spacing w:val="3"/>
          <w:sz w:val="20"/>
          <w:szCs w:val="20"/>
        </w:rPr>
        <w:t>)、达梦数据</w:t>
      </w:r>
      <w:r>
        <w:rPr>
          <w:spacing w:val="2"/>
          <w:sz w:val="20"/>
          <w:szCs w:val="20"/>
        </w:rPr>
        <w:t>库、</w:t>
      </w:r>
      <w:r>
        <w:rPr>
          <w:sz w:val="20"/>
          <w:szCs w:val="20"/>
        </w:rPr>
        <w:t xml:space="preserve"> </w:t>
      </w:r>
      <w:r>
        <w:rPr>
          <w:rFonts w:ascii="Times New Roman" w:hAnsi="Times New Roman" w:eastAsia="Times New Roman" w:cs="Times New Roman"/>
          <w:b/>
          <w:bCs/>
          <w:spacing w:val="-7"/>
          <w:sz w:val="20"/>
          <w:szCs w:val="20"/>
        </w:rPr>
        <w:t>OpenBASE</w:t>
      </w:r>
      <w:r>
        <w:rPr>
          <w:rFonts w:ascii="Times New Roman" w:hAnsi="Times New Roman" w:eastAsia="Times New Roman" w:cs="Times New Roman"/>
          <w:b/>
          <w:bCs/>
          <w:spacing w:val="-22"/>
          <w:sz w:val="20"/>
          <w:szCs w:val="20"/>
        </w:rPr>
        <w:t xml:space="preserve"> </w:t>
      </w:r>
      <w:r>
        <w:rPr>
          <w:b/>
          <w:bCs/>
          <w:spacing w:val="-7"/>
          <w:sz w:val="20"/>
          <w:szCs w:val="20"/>
        </w:rPr>
        <w:t>、</w:t>
      </w:r>
      <w:r>
        <w:rPr>
          <w:rFonts w:ascii="Times New Roman" w:hAnsi="Times New Roman" w:eastAsia="Times New Roman" w:cs="Times New Roman"/>
          <w:b/>
          <w:bCs/>
          <w:spacing w:val="-7"/>
          <w:sz w:val="20"/>
          <w:szCs w:val="20"/>
        </w:rPr>
        <w:t>OSCAR</w:t>
      </w:r>
      <w:r>
        <w:rPr>
          <w:rFonts w:ascii="Times New Roman" w:hAnsi="Times New Roman" w:eastAsia="Times New Roman" w:cs="Times New Roman"/>
          <w:b/>
          <w:bCs/>
          <w:spacing w:val="-18"/>
          <w:sz w:val="20"/>
          <w:szCs w:val="20"/>
        </w:rPr>
        <w:t xml:space="preserve"> </w:t>
      </w:r>
      <w:r>
        <w:rPr>
          <w:b/>
          <w:bCs/>
          <w:spacing w:val="-7"/>
          <w:sz w:val="20"/>
          <w:szCs w:val="20"/>
        </w:rPr>
        <w:t>等</w:t>
      </w:r>
      <w:r>
        <w:rPr>
          <w:spacing w:val="-7"/>
          <w:sz w:val="20"/>
          <w:szCs w:val="20"/>
        </w:rPr>
        <w:t>。</w:t>
      </w:r>
    </w:p>
    <w:p w14:paraId="6E022C55">
      <w:pPr>
        <w:pStyle w:val="2"/>
        <w:spacing w:before="110" w:line="273" w:lineRule="auto"/>
        <w:ind w:left="359" w:right="89" w:firstLine="390"/>
        <w:rPr>
          <w:sz w:val="20"/>
          <w:szCs w:val="20"/>
        </w:rPr>
      </w:pPr>
      <w:r>
        <w:rPr>
          <w:spacing w:val="7"/>
          <w:sz w:val="20"/>
          <w:szCs w:val="20"/>
        </w:rPr>
        <w:t>(2)非关系型数据库</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NoSQL</w:t>
      </w:r>
      <w:r>
        <w:rPr>
          <w:rFonts w:ascii="Times New Roman" w:hAnsi="Times New Roman" w:eastAsia="Times New Roman" w:cs="Times New Roman"/>
          <w:spacing w:val="7"/>
          <w:sz w:val="20"/>
          <w:szCs w:val="20"/>
        </w:rPr>
        <w:t xml:space="preserve">):     </w:t>
      </w:r>
      <w:r>
        <w:rPr>
          <w:spacing w:val="7"/>
          <w:sz w:val="20"/>
          <w:szCs w:val="20"/>
        </w:rPr>
        <w:t>指分布式的、非关系型的、不保证遵循</w:t>
      </w:r>
      <w:r>
        <w:rPr>
          <w:rFonts w:ascii="Times New Roman" w:hAnsi="Times New Roman" w:eastAsia="Times New Roman" w:cs="Times New Roman"/>
          <w:sz w:val="20"/>
          <w:szCs w:val="20"/>
        </w:rPr>
        <w:t>ACID</w:t>
      </w:r>
      <w:r>
        <w:rPr>
          <w:rFonts w:ascii="Times New Roman" w:hAnsi="Times New Roman" w:eastAsia="Times New Roman" w:cs="Times New Roman"/>
          <w:spacing w:val="48"/>
          <w:sz w:val="20"/>
          <w:szCs w:val="20"/>
        </w:rPr>
        <w:t xml:space="preserve"> </w:t>
      </w:r>
      <w:r>
        <w:rPr>
          <w:spacing w:val="7"/>
          <w:sz w:val="20"/>
          <w:szCs w:val="20"/>
        </w:rPr>
        <w:t>(数据库事</w:t>
      </w:r>
      <w:r>
        <w:rPr>
          <w:sz w:val="20"/>
          <w:szCs w:val="20"/>
        </w:rPr>
        <w:t xml:space="preserve"> </w:t>
      </w:r>
      <w:r>
        <w:rPr>
          <w:spacing w:val="8"/>
          <w:sz w:val="20"/>
          <w:szCs w:val="20"/>
        </w:rPr>
        <w:t>务处理的四个基本要素)原则的数据存储系统。</w:t>
      </w:r>
      <w:r>
        <w:rPr>
          <w:rFonts w:ascii="Times New Roman" w:hAnsi="Times New Roman" w:eastAsia="Times New Roman" w:cs="Times New Roman"/>
          <w:sz w:val="20"/>
          <w:szCs w:val="20"/>
        </w:rPr>
        <w:t>NoSQL</w:t>
      </w:r>
      <w:r>
        <w:rPr>
          <w:rFonts w:ascii="Times New Roman" w:hAnsi="Times New Roman" w:eastAsia="Times New Roman" w:cs="Times New Roman"/>
          <w:spacing w:val="51"/>
          <w:w w:val="101"/>
          <w:sz w:val="20"/>
          <w:szCs w:val="20"/>
        </w:rPr>
        <w:t xml:space="preserve"> </w:t>
      </w:r>
      <w:r>
        <w:rPr>
          <w:spacing w:val="8"/>
          <w:sz w:val="20"/>
          <w:szCs w:val="20"/>
        </w:rPr>
        <w:t>数据库适合文档形式、图片形式、文</w:t>
      </w:r>
      <w:r>
        <w:rPr>
          <w:sz w:val="20"/>
          <w:szCs w:val="20"/>
        </w:rPr>
        <w:t xml:space="preserve"> </w:t>
      </w:r>
      <w:r>
        <w:rPr>
          <w:spacing w:val="11"/>
          <w:sz w:val="20"/>
          <w:szCs w:val="20"/>
        </w:rPr>
        <w:t>件形式等，使用灵活，应用场景广泛。传统的非关</w:t>
      </w:r>
      <w:r>
        <w:rPr>
          <w:spacing w:val="10"/>
          <w:sz w:val="20"/>
          <w:szCs w:val="20"/>
        </w:rPr>
        <w:t>系型数据库有</w:t>
      </w:r>
      <w:r>
        <w:rPr>
          <w:sz w:val="20"/>
          <w:szCs w:val="20"/>
        </w:rPr>
        <w:t>MongoDB</w:t>
      </w:r>
      <w:r>
        <w:rPr>
          <w:spacing w:val="10"/>
          <w:sz w:val="20"/>
          <w:szCs w:val="20"/>
        </w:rPr>
        <w:t>、</w:t>
      </w:r>
      <w:r>
        <w:rPr>
          <w:sz w:val="20"/>
          <w:szCs w:val="20"/>
        </w:rPr>
        <w:t>HBase</w:t>
      </w:r>
      <w:r>
        <w:rPr>
          <w:spacing w:val="10"/>
          <w:sz w:val="20"/>
          <w:szCs w:val="20"/>
        </w:rPr>
        <w:t>、</w:t>
      </w:r>
      <w:r>
        <w:rPr>
          <w:sz w:val="20"/>
          <w:szCs w:val="20"/>
        </w:rPr>
        <w:t>Redis</w:t>
      </w:r>
      <w:r>
        <w:rPr>
          <w:spacing w:val="10"/>
          <w:sz w:val="20"/>
          <w:szCs w:val="20"/>
        </w:rPr>
        <w:t>、</w:t>
      </w:r>
    </w:p>
    <w:p w14:paraId="0BEE562A">
      <w:pPr>
        <w:pStyle w:val="2"/>
        <w:spacing w:before="72" w:line="212" w:lineRule="auto"/>
        <w:ind w:left="359"/>
        <w:rPr>
          <w:sz w:val="20"/>
          <w:szCs w:val="20"/>
        </w:rPr>
      </w:pPr>
      <w:r>
        <w:rPr>
          <w:rFonts w:ascii="Times New Roman" w:hAnsi="Times New Roman" w:eastAsia="Times New Roman" w:cs="Times New Roman"/>
          <w:sz w:val="20"/>
          <w:szCs w:val="20"/>
        </w:rPr>
        <w:t>Neo</w:t>
      </w:r>
      <w:r>
        <w:rPr>
          <w:rFonts w:ascii="Times New Roman" w:hAnsi="Times New Roman" w:eastAsia="Times New Roman" w:cs="Times New Roman"/>
          <w:spacing w:val="2"/>
          <w:sz w:val="20"/>
          <w:szCs w:val="20"/>
        </w:rPr>
        <w:t>4j</w:t>
      </w:r>
      <w:r>
        <w:rPr>
          <w:rFonts w:ascii="Times New Roman" w:hAnsi="Times New Roman" w:eastAsia="Times New Roman" w:cs="Times New Roman"/>
          <w:spacing w:val="-18"/>
          <w:sz w:val="20"/>
          <w:szCs w:val="20"/>
        </w:rPr>
        <w:t xml:space="preserve"> </w:t>
      </w:r>
      <w:r>
        <w:rPr>
          <w:spacing w:val="2"/>
          <w:sz w:val="20"/>
          <w:szCs w:val="20"/>
        </w:rPr>
        <w:t>等。国产的非关系型数据库包括</w:t>
      </w:r>
      <w:r>
        <w:rPr>
          <w:rFonts w:ascii="Times New Roman" w:hAnsi="Times New Roman" w:eastAsia="Times New Roman" w:cs="Times New Roman"/>
          <w:sz w:val="20"/>
          <w:szCs w:val="20"/>
        </w:rPr>
        <w:t>GaussDB</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for</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Mongo</w:t>
      </w:r>
      <w:r>
        <w:rPr>
          <w:rFonts w:ascii="Times New Roman" w:hAnsi="Times New Roman" w:eastAsia="Times New Roman" w:cs="Times New Roman"/>
          <w:spacing w:val="2"/>
          <w:sz w:val="20"/>
          <w:szCs w:val="20"/>
        </w:rPr>
        <w:t xml:space="preserve">) </w:t>
      </w:r>
      <w:r>
        <w:rPr>
          <w:spacing w:val="2"/>
          <w:sz w:val="20"/>
          <w:szCs w:val="20"/>
        </w:rPr>
        <w:t>等。</w:t>
      </w:r>
    </w:p>
    <w:p w14:paraId="502D10F8">
      <w:pPr>
        <w:pStyle w:val="2"/>
        <w:spacing w:before="232" w:line="219" w:lineRule="auto"/>
        <w:ind w:left="362"/>
        <w:rPr>
          <w:sz w:val="25"/>
          <w:szCs w:val="25"/>
        </w:rPr>
      </w:pPr>
      <w:bookmarkStart w:id="547" w:name="bookmark533"/>
      <w:bookmarkEnd w:id="547"/>
      <w:r>
        <w:rPr>
          <w:b/>
          <w:bCs/>
          <w:color w:val="0050DB"/>
          <w:spacing w:val="-17"/>
          <w:sz w:val="25"/>
          <w:szCs w:val="25"/>
        </w:rPr>
        <w:t>4.1.4</w:t>
      </w:r>
      <w:r>
        <w:rPr>
          <w:color w:val="0050DB"/>
          <w:spacing w:val="88"/>
          <w:sz w:val="25"/>
          <w:szCs w:val="25"/>
        </w:rPr>
        <w:t xml:space="preserve"> </w:t>
      </w:r>
      <w:r>
        <w:rPr>
          <w:b/>
          <w:bCs/>
          <w:color w:val="0050DB"/>
          <w:spacing w:val="-17"/>
          <w:sz w:val="25"/>
          <w:szCs w:val="25"/>
        </w:rPr>
        <w:t>典型数据中心组网技术</w:t>
      </w:r>
    </w:p>
    <w:p w14:paraId="0F860D5C">
      <w:pPr>
        <w:pStyle w:val="2"/>
        <w:spacing w:before="141" w:line="284" w:lineRule="auto"/>
        <w:ind w:left="359" w:firstLine="390"/>
        <w:jc w:val="both"/>
        <w:rPr>
          <w:sz w:val="20"/>
          <w:szCs w:val="20"/>
        </w:rPr>
      </w:pPr>
      <w:r>
        <w:rPr>
          <w:spacing w:val="6"/>
          <w:sz w:val="20"/>
          <w:szCs w:val="20"/>
        </w:rPr>
        <w:t>数据中心通常指的是互联网数据中心</w:t>
      </w:r>
      <w:r>
        <w:rPr>
          <w:spacing w:val="-46"/>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Internet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Center</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IDC</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0"/>
          <w:sz w:val="20"/>
          <w:szCs w:val="20"/>
        </w:rPr>
        <w:t xml:space="preserve"> </w:t>
      </w:r>
      <w:r>
        <w:rPr>
          <w:spacing w:val="6"/>
          <w:sz w:val="20"/>
          <w:szCs w:val="20"/>
        </w:rPr>
        <w:t>为互联网业务提供商</w:t>
      </w:r>
      <w:r>
        <w:rPr>
          <w:sz w:val="20"/>
          <w:szCs w:val="20"/>
        </w:rPr>
        <w:t xml:space="preserve">  </w:t>
      </w:r>
      <w:r>
        <w:rPr>
          <w:rFonts w:ascii="Times New Roman" w:hAnsi="Times New Roman" w:eastAsia="Times New Roman" w:cs="Times New Roman"/>
          <w:b/>
          <w:bCs/>
          <w:spacing w:val="-1"/>
          <w:sz w:val="20"/>
          <w:szCs w:val="20"/>
        </w:rPr>
        <w:t>(Internet Service Provider,ISP)</w:t>
      </w:r>
      <w:r>
        <w:rPr>
          <w:spacing w:val="-1"/>
          <w:sz w:val="20"/>
          <w:szCs w:val="20"/>
        </w:rPr>
        <w:t>、互联网内容服务提供商</w:t>
      </w:r>
      <w:r>
        <w:rPr>
          <w:spacing w:val="-33"/>
          <w:sz w:val="20"/>
          <w:szCs w:val="20"/>
        </w:rPr>
        <w:t xml:space="preserve"> </w:t>
      </w:r>
      <w:r>
        <w:rPr>
          <w:rFonts w:ascii="Times New Roman" w:hAnsi="Times New Roman" w:eastAsia="Times New Roman" w:cs="Times New Roman"/>
          <w:spacing w:val="-1"/>
          <w:sz w:val="20"/>
          <w:szCs w:val="20"/>
        </w:rPr>
        <w:t>(Int</w:t>
      </w:r>
      <w:r>
        <w:rPr>
          <w:rFonts w:ascii="Times New Roman" w:hAnsi="Times New Roman" w:eastAsia="Times New Roman" w:cs="Times New Roman"/>
          <w:spacing w:val="-2"/>
          <w:sz w:val="20"/>
          <w:szCs w:val="20"/>
        </w:rPr>
        <w:t>ernet   Content    Provider,ICP)</w:t>
      </w:r>
      <w:r>
        <w:rPr>
          <w:spacing w:val="-2"/>
          <w:sz w:val="20"/>
          <w:szCs w:val="20"/>
        </w:rPr>
        <w:t>、政府、</w:t>
      </w:r>
      <w:r>
        <w:rPr>
          <w:sz w:val="20"/>
          <w:szCs w:val="20"/>
        </w:rPr>
        <w:t xml:space="preserve"> </w:t>
      </w:r>
      <w:r>
        <w:rPr>
          <w:spacing w:val="3"/>
          <w:sz w:val="20"/>
          <w:szCs w:val="20"/>
        </w:rPr>
        <w:t>企业、媒体、各类网站甚至是个人提供大规模、高质量、安全可靠的专业化服务器托管、空间</w:t>
      </w:r>
      <w:r>
        <w:rPr>
          <w:spacing w:val="2"/>
          <w:sz w:val="20"/>
          <w:szCs w:val="20"/>
        </w:rPr>
        <w:t xml:space="preserve">  </w:t>
      </w:r>
      <w:r>
        <w:rPr>
          <w:spacing w:val="5"/>
          <w:sz w:val="20"/>
          <w:szCs w:val="20"/>
        </w:rPr>
        <w:t>租用、云计算资源租用、业务应用部署等服务。除此之外，也有大型企业自主建设数据中心，</w:t>
      </w:r>
      <w:r>
        <w:rPr>
          <w:spacing w:val="4"/>
          <w:sz w:val="20"/>
          <w:szCs w:val="20"/>
        </w:rPr>
        <w:t xml:space="preserve"> </w:t>
      </w:r>
      <w:r>
        <w:rPr>
          <w:spacing w:val="5"/>
          <w:sz w:val="20"/>
          <w:szCs w:val="20"/>
        </w:rPr>
        <w:t>称为企业级数据中心</w:t>
      </w:r>
      <w:r>
        <w:rPr>
          <w:spacing w:val="-53"/>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Enterprise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Center</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EDC</w:t>
      </w:r>
      <w:r>
        <w:rPr>
          <w:rFonts w:ascii="Times New Roman" w:hAnsi="Times New Roman" w:eastAsia="Times New Roman" w:cs="Times New Roman"/>
          <w:spacing w:val="5"/>
          <w:sz w:val="20"/>
          <w:szCs w:val="20"/>
        </w:rPr>
        <w:t>)</w:t>
      </w:r>
      <w:r>
        <w:rPr>
          <w:spacing w:val="5"/>
          <w:sz w:val="20"/>
          <w:szCs w:val="20"/>
        </w:rPr>
        <w:t>。在云计算</w:t>
      </w:r>
      <w:r>
        <w:rPr>
          <w:spacing w:val="4"/>
          <w:sz w:val="20"/>
          <w:szCs w:val="20"/>
        </w:rPr>
        <w:t>、大数据和人工智能快速发展</w:t>
      </w:r>
      <w:r>
        <w:rPr>
          <w:sz w:val="20"/>
          <w:szCs w:val="20"/>
        </w:rPr>
        <w:t xml:space="preserve"> </w:t>
      </w:r>
      <w:r>
        <w:rPr>
          <w:spacing w:val="-1"/>
          <w:sz w:val="20"/>
          <w:szCs w:val="20"/>
        </w:rPr>
        <w:t>和应用的背景下，云计算数据中心、人工智能算力中心、混合数据中心等应运而生。</w:t>
      </w:r>
    </w:p>
    <w:p w14:paraId="3DE59FB9">
      <w:pPr>
        <w:pStyle w:val="2"/>
        <w:spacing w:before="163" w:line="221" w:lineRule="auto"/>
        <w:ind w:left="752"/>
        <w:rPr>
          <w:rFonts w:ascii="黑体" w:hAnsi="黑体" w:eastAsia="黑体" w:cs="黑体"/>
          <w:sz w:val="20"/>
          <w:szCs w:val="20"/>
        </w:rPr>
      </w:pPr>
      <w:r>
        <w:rPr>
          <w:b/>
          <w:bCs/>
          <w:color w:val="004DC1"/>
          <w:spacing w:val="-6"/>
          <w:sz w:val="20"/>
          <w:szCs w:val="20"/>
        </w:rPr>
        <w:t>1.</w:t>
      </w:r>
      <w:r>
        <w:rPr>
          <w:rFonts w:ascii="黑体" w:hAnsi="黑体" w:eastAsia="黑体" w:cs="黑体"/>
          <w:b/>
          <w:bCs/>
          <w:color w:val="004DC1"/>
          <w:spacing w:val="-6"/>
          <w:sz w:val="20"/>
          <w:szCs w:val="20"/>
        </w:rPr>
        <w:t>数据中心网络</w:t>
      </w:r>
    </w:p>
    <w:p w14:paraId="43AE1086">
      <w:pPr>
        <w:pStyle w:val="2"/>
        <w:spacing w:before="136" w:line="277" w:lineRule="auto"/>
        <w:ind w:left="359" w:right="80" w:firstLine="390"/>
        <w:jc w:val="both"/>
        <w:rPr>
          <w:sz w:val="20"/>
          <w:szCs w:val="20"/>
        </w:rPr>
      </w:pPr>
      <w:r>
        <w:rPr>
          <w:rFonts w:ascii="Times New Roman" w:hAnsi="Times New Roman" w:eastAsia="Times New Roman" w:cs="Times New Roman"/>
          <w:sz w:val="20"/>
          <w:szCs w:val="20"/>
        </w:rPr>
        <w:t>IDC</w:t>
      </w:r>
      <w:r>
        <w:rPr>
          <w:spacing w:val="5"/>
          <w:sz w:val="20"/>
          <w:szCs w:val="20"/>
        </w:rPr>
        <w:t>内部的各种服务器、存储器等计算资源、存储资源设备，</w:t>
      </w:r>
      <w:r>
        <w:rPr>
          <w:spacing w:val="4"/>
          <w:sz w:val="20"/>
          <w:szCs w:val="20"/>
        </w:rPr>
        <w:t>以及支撑</w:t>
      </w:r>
      <w:r>
        <w:rPr>
          <w:rFonts w:ascii="Times New Roman" w:hAnsi="Times New Roman" w:eastAsia="Times New Roman" w:cs="Times New Roman"/>
          <w:sz w:val="20"/>
          <w:szCs w:val="20"/>
        </w:rPr>
        <w:t>IDC</w:t>
      </w:r>
      <w:r>
        <w:rPr>
          <w:rFonts w:ascii="Times New Roman" w:hAnsi="Times New Roman" w:eastAsia="Times New Roman" w:cs="Times New Roman"/>
          <w:spacing w:val="4"/>
          <w:sz w:val="20"/>
          <w:szCs w:val="20"/>
        </w:rPr>
        <w:t xml:space="preserve"> </w:t>
      </w:r>
      <w:r>
        <w:rPr>
          <w:spacing w:val="4"/>
          <w:sz w:val="20"/>
          <w:szCs w:val="20"/>
        </w:rPr>
        <w:t>正常运转的各</w:t>
      </w:r>
      <w:r>
        <w:rPr>
          <w:sz w:val="20"/>
          <w:szCs w:val="20"/>
        </w:rPr>
        <w:t xml:space="preserve"> </w:t>
      </w:r>
      <w:r>
        <w:rPr>
          <w:spacing w:val="2"/>
          <w:sz w:val="20"/>
          <w:szCs w:val="20"/>
        </w:rPr>
        <w:t>类监控管理服务模块，同样需要一定规模的网络连接支持，</w:t>
      </w:r>
      <w:r>
        <w:rPr>
          <w:spacing w:val="-48"/>
          <w:sz w:val="20"/>
          <w:szCs w:val="20"/>
        </w:rPr>
        <w:t xml:space="preserve"> </w:t>
      </w:r>
      <w:r>
        <w:rPr>
          <w:spacing w:val="2"/>
          <w:sz w:val="20"/>
          <w:szCs w:val="20"/>
        </w:rPr>
        <w:t>一个典型的数据中心</w:t>
      </w:r>
      <w:r>
        <w:rPr>
          <w:spacing w:val="1"/>
          <w:sz w:val="20"/>
          <w:szCs w:val="20"/>
        </w:rPr>
        <w:t>网络主要由网</w:t>
      </w:r>
      <w:r>
        <w:rPr>
          <w:sz w:val="20"/>
          <w:szCs w:val="20"/>
        </w:rPr>
        <w:t xml:space="preserve"> 络连接模块、业务接入模块和后台管理模块三部分构成，如图4-2所示。</w:t>
      </w:r>
    </w:p>
    <w:p w14:paraId="4A6BB2C3">
      <w:pPr>
        <w:pStyle w:val="2"/>
        <w:spacing w:before="37" w:line="258" w:lineRule="auto"/>
        <w:ind w:left="359" w:right="91" w:firstLine="390"/>
        <w:rPr>
          <w:sz w:val="20"/>
          <w:szCs w:val="20"/>
        </w:rPr>
      </w:pPr>
      <w:r>
        <w:rPr>
          <w:spacing w:val="6"/>
          <w:sz w:val="20"/>
          <w:szCs w:val="20"/>
        </w:rPr>
        <w:t>(1)网络连接模块。主要提供稳定、可靠、高速的数据中心</w:t>
      </w:r>
      <w:r>
        <w:rPr>
          <w:spacing w:val="5"/>
          <w:sz w:val="20"/>
          <w:szCs w:val="20"/>
        </w:rPr>
        <w:t>内部和外部网络连接、数据交</w:t>
      </w:r>
      <w:r>
        <w:rPr>
          <w:sz w:val="20"/>
          <w:szCs w:val="20"/>
        </w:rPr>
        <w:t xml:space="preserve"> </w:t>
      </w:r>
      <w:r>
        <w:rPr>
          <w:spacing w:val="-4"/>
          <w:sz w:val="20"/>
          <w:szCs w:val="20"/>
        </w:rPr>
        <w:t>换、业务安全等功能。</w:t>
      </w:r>
    </w:p>
    <w:p w14:paraId="6EF2E443">
      <w:pPr>
        <w:pStyle w:val="2"/>
        <w:spacing w:before="93" w:line="262" w:lineRule="auto"/>
        <w:ind w:left="359" w:right="88" w:firstLine="390"/>
        <w:rPr>
          <w:sz w:val="20"/>
          <w:szCs w:val="20"/>
        </w:rPr>
      </w:pPr>
      <w:r>
        <w:rPr>
          <w:spacing w:val="5"/>
          <w:sz w:val="20"/>
          <w:szCs w:val="20"/>
        </w:rPr>
        <w:t>(2)业务接入模块。主要提供</w:t>
      </w:r>
      <w:r>
        <w:rPr>
          <w:rFonts w:ascii="Times New Roman" w:hAnsi="Times New Roman" w:eastAsia="Times New Roman" w:cs="Times New Roman"/>
          <w:sz w:val="20"/>
          <w:szCs w:val="20"/>
        </w:rPr>
        <w:t>IDC</w:t>
      </w:r>
      <w:r>
        <w:rPr>
          <w:rFonts w:ascii="Times New Roman" w:hAnsi="Times New Roman" w:eastAsia="Times New Roman" w:cs="Times New Roman"/>
          <w:spacing w:val="43"/>
          <w:sz w:val="20"/>
          <w:szCs w:val="20"/>
        </w:rPr>
        <w:t xml:space="preserve"> </w:t>
      </w:r>
      <w:r>
        <w:rPr>
          <w:spacing w:val="5"/>
          <w:sz w:val="20"/>
          <w:szCs w:val="20"/>
        </w:rPr>
        <w:t>内部各种资源和业务功能的接入和连接，通常包括：基</w:t>
      </w:r>
      <w:r>
        <w:rPr>
          <w:sz w:val="20"/>
          <w:szCs w:val="20"/>
        </w:rPr>
        <w:t xml:space="preserve"> </w:t>
      </w:r>
      <w:r>
        <w:rPr>
          <w:spacing w:val="3"/>
          <w:sz w:val="20"/>
          <w:szCs w:val="20"/>
        </w:rPr>
        <w:t>本业务区，实现</w:t>
      </w:r>
      <w:r>
        <w:rPr>
          <w:rFonts w:ascii="Times New Roman" w:hAnsi="Times New Roman" w:eastAsia="Times New Roman" w:cs="Times New Roman"/>
          <w:sz w:val="20"/>
          <w:szCs w:val="20"/>
        </w:rPr>
        <w:t>IDC</w:t>
      </w:r>
      <w:r>
        <w:rPr>
          <w:rFonts w:ascii="Times New Roman" w:hAnsi="Times New Roman" w:eastAsia="Times New Roman" w:cs="Times New Roman"/>
          <w:spacing w:val="3"/>
          <w:sz w:val="20"/>
          <w:szCs w:val="20"/>
        </w:rPr>
        <w:t xml:space="preserve"> </w:t>
      </w:r>
      <w:r>
        <w:rPr>
          <w:spacing w:val="3"/>
          <w:sz w:val="20"/>
          <w:szCs w:val="20"/>
        </w:rPr>
        <w:t>主机托管、云计算等资源接入和基本业务能力提供；增值业务区，提供安</w:t>
      </w:r>
      <w:r>
        <w:rPr>
          <w:spacing w:val="6"/>
          <w:sz w:val="20"/>
          <w:szCs w:val="20"/>
        </w:rPr>
        <w:t xml:space="preserve"> </w:t>
      </w:r>
      <w:r>
        <w:rPr>
          <w:spacing w:val="1"/>
          <w:sz w:val="20"/>
          <w:szCs w:val="20"/>
        </w:rPr>
        <w:t>全服务、高速缓存、负载均衡、</w:t>
      </w:r>
      <w:r>
        <w:rPr>
          <w:rFonts w:ascii="Times New Roman" w:hAnsi="Times New Roman" w:eastAsia="Times New Roman" w:cs="Times New Roman"/>
          <w:sz w:val="20"/>
          <w:szCs w:val="20"/>
        </w:rPr>
        <w:t>SSL</w:t>
      </w:r>
      <w:r>
        <w:rPr>
          <w:rFonts w:ascii="Times New Roman" w:hAnsi="Times New Roman" w:eastAsia="Times New Roman" w:cs="Times New Roman"/>
          <w:spacing w:val="18"/>
          <w:sz w:val="20"/>
          <w:szCs w:val="20"/>
        </w:rPr>
        <w:t xml:space="preserve"> </w:t>
      </w:r>
      <w:r>
        <w:rPr>
          <w:spacing w:val="1"/>
          <w:sz w:val="20"/>
          <w:szCs w:val="20"/>
        </w:rPr>
        <w:t>加速、</w:t>
      </w:r>
      <w:r>
        <w:rPr>
          <w:rFonts w:ascii="Times New Roman" w:hAnsi="Times New Roman" w:eastAsia="Times New Roman" w:cs="Times New Roman"/>
          <w:sz w:val="20"/>
          <w:szCs w:val="20"/>
        </w:rPr>
        <w:t>VPN</w:t>
      </w:r>
      <w:r>
        <w:rPr>
          <w:rFonts w:ascii="Times New Roman" w:hAnsi="Times New Roman" w:eastAsia="Times New Roman" w:cs="Times New Roman"/>
          <w:spacing w:val="22"/>
          <w:sz w:val="20"/>
          <w:szCs w:val="20"/>
        </w:rPr>
        <w:t xml:space="preserve"> </w:t>
      </w:r>
      <w:r>
        <w:rPr>
          <w:spacing w:val="1"/>
          <w:sz w:val="20"/>
          <w:szCs w:val="20"/>
        </w:rPr>
        <w:t>服务、应用系统托管服务等增值业务</w:t>
      </w:r>
      <w:r>
        <w:rPr>
          <w:sz w:val="20"/>
          <w:szCs w:val="20"/>
        </w:rPr>
        <w:t xml:space="preserve">能力；存 </w:t>
      </w:r>
      <w:r>
        <w:rPr>
          <w:spacing w:val="-2"/>
          <w:sz w:val="20"/>
          <w:szCs w:val="20"/>
        </w:rPr>
        <w:t>储业务区，提供存储、备份等增值服务能力。</w:t>
      </w:r>
    </w:p>
    <w:p w14:paraId="28C89488">
      <w:pPr>
        <w:pStyle w:val="2"/>
        <w:spacing w:before="74" w:line="253" w:lineRule="auto"/>
        <w:ind w:left="359" w:right="109" w:firstLine="390"/>
        <w:rPr>
          <w:sz w:val="20"/>
          <w:szCs w:val="20"/>
        </w:rPr>
      </w:pPr>
      <w:r>
        <w:rPr>
          <w:spacing w:val="11"/>
          <w:sz w:val="20"/>
          <w:szCs w:val="20"/>
        </w:rPr>
        <w:t>(3)后台管理模块。主要提供</w:t>
      </w:r>
      <w:r>
        <w:rPr>
          <w:rFonts w:ascii="Times New Roman" w:hAnsi="Times New Roman" w:eastAsia="Times New Roman" w:cs="Times New Roman"/>
          <w:sz w:val="20"/>
          <w:szCs w:val="20"/>
        </w:rPr>
        <w:t>IDC</w:t>
      </w:r>
      <w:r>
        <w:rPr>
          <w:rFonts w:ascii="Times New Roman" w:hAnsi="Times New Roman" w:eastAsia="Times New Roman" w:cs="Times New Roman"/>
          <w:spacing w:val="21"/>
          <w:sz w:val="20"/>
          <w:szCs w:val="20"/>
        </w:rPr>
        <w:t xml:space="preserve"> </w:t>
      </w:r>
      <w:r>
        <w:rPr>
          <w:spacing w:val="11"/>
          <w:sz w:val="20"/>
          <w:szCs w:val="20"/>
        </w:rPr>
        <w:t>的接入管理、监控、系</w:t>
      </w:r>
      <w:r>
        <w:rPr>
          <w:spacing w:val="10"/>
          <w:sz w:val="20"/>
          <w:szCs w:val="20"/>
        </w:rPr>
        <w:t>统管理、网络管理、防病毒管</w:t>
      </w:r>
      <w:r>
        <w:rPr>
          <w:sz w:val="20"/>
          <w:szCs w:val="20"/>
        </w:rPr>
        <w:t xml:space="preserve"> </w:t>
      </w:r>
      <w:r>
        <w:rPr>
          <w:spacing w:val="-2"/>
          <w:sz w:val="20"/>
          <w:szCs w:val="20"/>
        </w:rPr>
        <w:t>理、安全管理中心、</w:t>
      </w:r>
      <w:r>
        <w:rPr>
          <w:rFonts w:ascii="Times New Roman" w:hAnsi="Times New Roman" w:eastAsia="Times New Roman" w:cs="Times New Roman"/>
          <w:spacing w:val="-2"/>
          <w:sz w:val="20"/>
          <w:szCs w:val="20"/>
        </w:rPr>
        <w:t xml:space="preserve">DCN </w:t>
      </w:r>
      <w:r>
        <w:rPr>
          <w:spacing w:val="-2"/>
          <w:sz w:val="20"/>
          <w:szCs w:val="20"/>
        </w:rPr>
        <w:t>接口、银行接口等功能。</w:t>
      </w:r>
    </w:p>
    <w:p w14:paraId="742C2D4F">
      <w:pPr>
        <w:pStyle w:val="2"/>
        <w:spacing w:before="149" w:line="222" w:lineRule="auto"/>
        <w:ind w:left="752"/>
        <w:rPr>
          <w:rFonts w:ascii="黑体" w:hAnsi="黑体" w:eastAsia="黑体" w:cs="黑体"/>
          <w:sz w:val="20"/>
          <w:szCs w:val="20"/>
        </w:rPr>
      </w:pPr>
      <w:r>
        <w:rPr>
          <w:b/>
          <w:bCs/>
          <w:color w:val="0047D7"/>
          <w:spacing w:val="-2"/>
          <w:sz w:val="20"/>
          <w:szCs w:val="20"/>
        </w:rPr>
        <w:t>2.</w:t>
      </w:r>
      <w:r>
        <w:rPr>
          <w:rFonts w:ascii="黑体" w:hAnsi="黑体" w:eastAsia="黑体" w:cs="黑体"/>
          <w:b/>
          <w:bCs/>
          <w:color w:val="0047D7"/>
          <w:spacing w:val="-2"/>
          <w:sz w:val="20"/>
          <w:szCs w:val="20"/>
        </w:rPr>
        <w:t>数据中心组网架构</w:t>
      </w:r>
    </w:p>
    <w:p w14:paraId="6EF9D7B5">
      <w:pPr>
        <w:pStyle w:val="2"/>
        <w:spacing w:before="152" w:line="263" w:lineRule="auto"/>
        <w:ind w:left="359" w:right="91" w:firstLine="390"/>
        <w:rPr>
          <w:sz w:val="20"/>
          <w:szCs w:val="20"/>
        </w:rPr>
      </w:pPr>
      <w:r>
        <w:rPr>
          <w:spacing w:val="1"/>
          <w:sz w:val="20"/>
          <w:szCs w:val="20"/>
        </w:rPr>
        <w:t>针对网络连接模块，传统的做法是采用两层或三层的树形架构进行组网，随着传统</w:t>
      </w:r>
      <w:r>
        <w:rPr>
          <w:sz w:val="20"/>
          <w:szCs w:val="20"/>
        </w:rPr>
        <w:t>IDC</w:t>
      </w:r>
      <w:r>
        <w:rPr>
          <w:spacing w:val="43"/>
          <w:sz w:val="20"/>
          <w:szCs w:val="20"/>
        </w:rPr>
        <w:t xml:space="preserve"> </w:t>
      </w:r>
      <w:r>
        <w:rPr>
          <w:spacing w:val="1"/>
          <w:sz w:val="20"/>
          <w:szCs w:val="20"/>
        </w:rPr>
        <w:t>向</w:t>
      </w:r>
      <w:r>
        <w:rPr>
          <w:sz w:val="20"/>
          <w:szCs w:val="20"/>
        </w:rPr>
        <w:t xml:space="preserve"> </w:t>
      </w:r>
      <w:r>
        <w:rPr>
          <w:spacing w:val="3"/>
          <w:sz w:val="20"/>
          <w:szCs w:val="20"/>
        </w:rPr>
        <w:t>云数据中心转型，数据中心网络架构也在不断演进。传统的大型数据中心采用层</w:t>
      </w:r>
      <w:r>
        <w:rPr>
          <w:spacing w:val="2"/>
          <w:sz w:val="20"/>
          <w:szCs w:val="20"/>
        </w:rPr>
        <w:t>次化模型设计</w:t>
      </w:r>
    </w:p>
    <w:p w14:paraId="5C69C6EF">
      <w:pPr>
        <w:spacing w:line="263" w:lineRule="auto"/>
        <w:rPr>
          <w:sz w:val="20"/>
          <w:szCs w:val="20"/>
        </w:rPr>
        <w:sectPr>
          <w:pgSz w:w="10300" w:h="13400"/>
          <w:pgMar w:top="400" w:right="1049" w:bottom="400" w:left="479" w:header="0" w:footer="0" w:gutter="0"/>
          <w:cols w:space="720" w:num="1"/>
        </w:sectPr>
      </w:pPr>
    </w:p>
    <w:p w14:paraId="6A2EAF0E">
      <w:pPr>
        <w:pStyle w:val="2"/>
        <w:spacing w:before="75" w:line="219" w:lineRule="auto"/>
        <w:jc w:val="right"/>
        <w:rPr>
          <w:rFonts w:ascii="Times New Roman" w:hAnsi="Times New Roman" w:eastAsia="Times New Roman" w:cs="Times New Roman"/>
          <w:sz w:val="17"/>
          <w:szCs w:val="17"/>
        </w:rPr>
      </w:pPr>
      <w:r>
        <w:rPr>
          <w:spacing w:val="15"/>
          <w:sz w:val="17"/>
          <w:szCs w:val="17"/>
        </w:rPr>
        <w:t>第4章</w:t>
      </w:r>
      <w:r>
        <w:rPr>
          <w:spacing w:val="77"/>
          <w:sz w:val="17"/>
          <w:szCs w:val="17"/>
        </w:rPr>
        <w:t xml:space="preserve"> </w:t>
      </w:r>
      <w:r>
        <w:rPr>
          <w:spacing w:val="15"/>
          <w:sz w:val="17"/>
          <w:szCs w:val="17"/>
        </w:rPr>
        <w:t>信息资源系统</w:t>
      </w:r>
      <w:r>
        <w:rPr>
          <w:spacing w:val="3"/>
          <w:sz w:val="17"/>
          <w:szCs w:val="17"/>
        </w:rPr>
        <w:t xml:space="preserve">       </w:t>
      </w:r>
      <w:r>
        <w:rPr>
          <w:rFonts w:ascii="Times New Roman" w:hAnsi="Times New Roman" w:eastAsia="Times New Roman" w:cs="Times New Roman"/>
          <w:spacing w:val="15"/>
          <w:position w:val="1"/>
          <w:sz w:val="17"/>
          <w:szCs w:val="17"/>
        </w:rPr>
        <w:t>125</w:t>
      </w:r>
    </w:p>
    <w:p w14:paraId="074FF35A">
      <w:pPr>
        <w:spacing w:line="350" w:lineRule="auto"/>
        <w:rPr>
          <w:rFonts w:ascii="Arial"/>
          <w:sz w:val="21"/>
        </w:rPr>
      </w:pPr>
    </w:p>
    <w:p w14:paraId="6F7803E3">
      <w:pPr>
        <w:pStyle w:val="2"/>
        <w:spacing w:line="6250" w:lineRule="exact"/>
        <w:ind w:firstLine="230"/>
      </w:pPr>
      <w:r>
        <w:pict>
          <v:shape id="_x0000_s1274" o:spid="_x0000_s1274" o:spt="202" type="#_x0000_t202" style="position:absolute;left:0pt;margin-left:227.5pt;margin-top:17.65pt;height:9.55pt;width:28.25pt;z-index:251699200;mso-width-relative:page;mso-height-relative:page;" filled="f" stroked="f" coordsize="21600,21600">
            <v:path/>
            <v:fill on="f" focussize="0,0"/>
            <v:stroke on="f"/>
            <v:imagedata o:title=""/>
            <o:lock v:ext="edit" aspectratio="f"/>
            <v:textbox inset="0mm,0mm,0mm,0mm">
              <w:txbxContent>
                <w:p w14:paraId="2D93079D">
                  <w:pPr>
                    <w:spacing w:before="20" w:line="185"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Internet</w:t>
                  </w:r>
                </w:p>
              </w:txbxContent>
            </v:textbox>
          </v:shape>
        </w:pict>
      </w:r>
      <w:r>
        <w:rPr>
          <w:position w:val="-124"/>
        </w:rPr>
        <w:pict>
          <v:group id="_x0000_s1275" o:spid="_x0000_s1275" o:spt="203" style="height:312.5pt;width:387.5pt;" coordsize="7750,6250">
            <o:lock v:ext="edit"/>
            <v:shape id="_x0000_s1276" o:spid="_x0000_s1276" o:spt="75" type="#_x0000_t75" style="position:absolute;left:0;top:0;height:6250;width:7750;" filled="f" stroked="f" coordsize="21600,21600">
              <v:path/>
              <v:fill on="f" focussize="0,0"/>
              <v:stroke on="f"/>
              <v:imagedata r:id="rId99" o:title=""/>
              <o:lock v:ext="edit" aspectratio="t"/>
            </v:shape>
            <v:shape id="_x0000_s1277" o:spid="_x0000_s1277" o:spt="202" type="#_x0000_t202" style="position:absolute;left:1899;top:1285;height:4511;width:1806;" filled="f" stroked="f" coordsize="21600,21600">
              <v:path/>
              <v:fill on="f" focussize="0,0"/>
              <v:stroke on="f"/>
              <v:imagedata o:title=""/>
              <o:lock v:ext="edit" aspectratio="f"/>
              <v:textbox inset="0mm,0mm,0mm,0mm">
                <w:txbxContent>
                  <w:p w14:paraId="6E60B7FE">
                    <w:pPr>
                      <w:spacing w:before="20" w:line="219" w:lineRule="auto"/>
                      <w:ind w:left="550"/>
                      <w:rPr>
                        <w:rFonts w:ascii="宋体" w:hAnsi="宋体" w:eastAsia="宋体" w:cs="宋体"/>
                        <w:sz w:val="14"/>
                        <w:szCs w:val="14"/>
                      </w:rPr>
                    </w:pPr>
                    <w:r>
                      <w:rPr>
                        <w:rFonts w:ascii="宋体" w:hAnsi="宋体" w:eastAsia="宋体" w:cs="宋体"/>
                        <w:spacing w:val="-5"/>
                        <w:sz w:val="14"/>
                        <w:szCs w:val="14"/>
                      </w:rPr>
                      <w:t>高性能路由器</w:t>
                    </w:r>
                  </w:p>
                  <w:p w14:paraId="2C7F9137">
                    <w:pPr>
                      <w:spacing w:line="316" w:lineRule="auto"/>
                      <w:rPr>
                        <w:rFonts w:ascii="Arial"/>
                        <w:sz w:val="21"/>
                      </w:rPr>
                    </w:pPr>
                  </w:p>
                  <w:p w14:paraId="38FE2F47">
                    <w:pPr>
                      <w:spacing w:before="46" w:line="539" w:lineRule="auto"/>
                      <w:ind w:left="939" w:right="433" w:hanging="119"/>
                      <w:rPr>
                        <w:rFonts w:ascii="宋体" w:hAnsi="宋体" w:eastAsia="宋体" w:cs="宋体"/>
                        <w:sz w:val="14"/>
                        <w:szCs w:val="14"/>
                      </w:rPr>
                    </w:pPr>
                    <w:r>
                      <w:rPr>
                        <w:rFonts w:ascii="宋体" w:hAnsi="宋体" w:eastAsia="宋体" w:cs="宋体"/>
                        <w:spacing w:val="-3"/>
                        <w:sz w:val="14"/>
                        <w:szCs w:val="14"/>
                      </w:rPr>
                      <w:t>安全网关</w:t>
                    </w:r>
                    <w:r>
                      <w:rPr>
                        <w:rFonts w:ascii="宋体" w:hAnsi="宋体" w:eastAsia="宋体" w:cs="宋体"/>
                        <w:spacing w:val="2"/>
                        <w:sz w:val="14"/>
                        <w:szCs w:val="14"/>
                      </w:rPr>
                      <w:t xml:space="preserve"> </w:t>
                    </w:r>
                    <w:r>
                      <w:rPr>
                        <w:rFonts w:ascii="宋体" w:hAnsi="宋体" w:eastAsia="宋体" w:cs="宋体"/>
                        <w:spacing w:val="-2"/>
                        <w:sz w:val="14"/>
                        <w:szCs w:val="14"/>
                      </w:rPr>
                      <w:t>交换机</w:t>
                    </w:r>
                  </w:p>
                  <w:p w14:paraId="03C4F0DE">
                    <w:pPr>
                      <w:spacing w:line="254" w:lineRule="auto"/>
                      <w:rPr>
                        <w:rFonts w:ascii="Arial"/>
                        <w:sz w:val="21"/>
                      </w:rPr>
                    </w:pPr>
                  </w:p>
                  <w:p w14:paraId="627C348F">
                    <w:pPr>
                      <w:spacing w:before="45" w:line="219" w:lineRule="auto"/>
                      <w:ind w:left="20"/>
                      <w:rPr>
                        <w:rFonts w:ascii="宋体" w:hAnsi="宋体" w:eastAsia="宋体" w:cs="宋体"/>
                        <w:sz w:val="14"/>
                        <w:szCs w:val="14"/>
                      </w:rPr>
                    </w:pPr>
                    <w:r>
                      <w:rPr>
                        <w:rFonts w:ascii="宋体" w:hAnsi="宋体" w:eastAsia="宋体" w:cs="宋体"/>
                        <w:spacing w:val="-1"/>
                        <w:sz w:val="14"/>
                        <w:szCs w:val="14"/>
                      </w:rPr>
                      <w:t>接入交换机</w:t>
                    </w:r>
                  </w:p>
                  <w:p w14:paraId="71DB1881">
                    <w:pPr>
                      <w:spacing w:line="287" w:lineRule="auto"/>
                      <w:rPr>
                        <w:rFonts w:ascii="Arial"/>
                        <w:sz w:val="21"/>
                      </w:rPr>
                    </w:pPr>
                  </w:p>
                  <w:p w14:paraId="136D468D">
                    <w:pPr>
                      <w:spacing w:line="288" w:lineRule="auto"/>
                      <w:rPr>
                        <w:rFonts w:ascii="Arial"/>
                        <w:sz w:val="21"/>
                      </w:rPr>
                    </w:pPr>
                  </w:p>
                  <w:p w14:paraId="7CA04A5F">
                    <w:pPr>
                      <w:spacing w:line="288" w:lineRule="auto"/>
                      <w:rPr>
                        <w:rFonts w:ascii="Arial"/>
                        <w:sz w:val="21"/>
                      </w:rPr>
                    </w:pPr>
                  </w:p>
                  <w:p w14:paraId="1BE466CA">
                    <w:pPr>
                      <w:spacing w:before="45" w:line="219" w:lineRule="auto"/>
                      <w:ind w:left="870"/>
                      <w:rPr>
                        <w:rFonts w:ascii="宋体" w:hAnsi="宋体" w:eastAsia="宋体" w:cs="宋体"/>
                        <w:sz w:val="14"/>
                        <w:szCs w:val="14"/>
                      </w:rPr>
                    </w:pPr>
                    <w:r>
                      <w:rPr>
                        <w:rFonts w:ascii="宋体" w:hAnsi="宋体" w:eastAsia="宋体" w:cs="宋体"/>
                        <w:spacing w:val="-5"/>
                        <w:sz w:val="14"/>
                        <w:szCs w:val="14"/>
                      </w:rPr>
                      <w:t>基本业务区</w:t>
                    </w:r>
                  </w:p>
                  <w:p w14:paraId="3AF97B0F">
                    <w:pPr>
                      <w:spacing w:line="327" w:lineRule="auto"/>
                      <w:rPr>
                        <w:rFonts w:ascii="Arial"/>
                        <w:sz w:val="21"/>
                      </w:rPr>
                    </w:pPr>
                  </w:p>
                  <w:p w14:paraId="3AAE1976">
                    <w:pPr>
                      <w:spacing w:line="328" w:lineRule="auto"/>
                      <w:rPr>
                        <w:rFonts w:ascii="Arial"/>
                        <w:sz w:val="21"/>
                      </w:rPr>
                    </w:pPr>
                  </w:p>
                  <w:p w14:paraId="6C22A42D">
                    <w:pPr>
                      <w:spacing w:before="45" w:line="219" w:lineRule="auto"/>
                      <w:ind w:left="550"/>
                      <w:rPr>
                        <w:rFonts w:ascii="宋体" w:hAnsi="宋体" w:eastAsia="宋体" w:cs="宋体"/>
                        <w:sz w:val="14"/>
                        <w:szCs w:val="14"/>
                      </w:rPr>
                    </w:pPr>
                    <w:r>
                      <w:rPr>
                        <w:rFonts w:ascii="宋体" w:hAnsi="宋体" w:eastAsia="宋体" w:cs="宋体"/>
                        <w:spacing w:val="-7"/>
                        <w:sz w:val="14"/>
                        <w:szCs w:val="14"/>
                      </w:rPr>
                      <w:t>维护管理区</w:t>
                    </w:r>
                  </w:p>
                  <w:p w14:paraId="7BE337DF">
                    <w:pPr>
                      <w:spacing w:line="253" w:lineRule="auto"/>
                      <w:rPr>
                        <w:rFonts w:ascii="Arial"/>
                        <w:sz w:val="21"/>
                      </w:rPr>
                    </w:pPr>
                  </w:p>
                  <w:p w14:paraId="5524709E">
                    <w:pPr>
                      <w:spacing w:line="253" w:lineRule="auto"/>
                      <w:rPr>
                        <w:rFonts w:ascii="Arial"/>
                        <w:sz w:val="21"/>
                      </w:rPr>
                    </w:pPr>
                  </w:p>
                  <w:p w14:paraId="397588E1">
                    <w:pPr>
                      <w:spacing w:before="46" w:line="232" w:lineRule="auto"/>
                      <w:ind w:right="8"/>
                      <w:jc w:val="right"/>
                      <w:rPr>
                        <w:rFonts w:ascii="宋体" w:hAnsi="宋体" w:eastAsia="宋体" w:cs="宋体"/>
                        <w:sz w:val="14"/>
                        <w:szCs w:val="14"/>
                      </w:rPr>
                    </w:pPr>
                    <w:r>
                      <w:rPr>
                        <w:rFonts w:ascii="宋体" w:hAnsi="宋体" w:eastAsia="宋体" w:cs="宋体"/>
                        <w:spacing w:val="-2"/>
                        <w:sz w:val="14"/>
                        <w:szCs w:val="14"/>
                      </w:rPr>
                      <w:t xml:space="preserve">远程接入      </w:t>
                    </w:r>
                    <w:r>
                      <w:rPr>
                        <w:rFonts w:ascii="Times New Roman" w:hAnsi="Times New Roman" w:eastAsia="Times New Roman" w:cs="Times New Roman"/>
                        <w:spacing w:val="-2"/>
                        <w:sz w:val="14"/>
                        <w:szCs w:val="14"/>
                      </w:rPr>
                      <w:t>VPN</w:t>
                    </w:r>
                    <w:r>
                      <w:rPr>
                        <w:rFonts w:ascii="宋体" w:hAnsi="宋体" w:eastAsia="宋体" w:cs="宋体"/>
                        <w:spacing w:val="-2"/>
                        <w:sz w:val="14"/>
                        <w:szCs w:val="14"/>
                      </w:rPr>
                      <w:t>接入</w:t>
                    </w:r>
                  </w:p>
                </w:txbxContent>
              </v:textbox>
            </v:shape>
            <v:shape id="_x0000_s1278" o:spid="_x0000_s1278" o:spt="202" type="#_x0000_t202" style="position:absolute;left:3979;top:1769;height:3997;width:1708;" filled="f" stroked="f" coordsize="21600,21600">
              <v:path/>
              <v:fill on="f" focussize="0,0"/>
              <v:stroke on="f"/>
              <v:imagedata o:title=""/>
              <o:lock v:ext="edit" aspectratio="f"/>
              <v:textbox inset="0mm,0mm,0mm,0mm">
                <w:txbxContent>
                  <w:p w14:paraId="4EDF0AE1">
                    <w:pPr>
                      <w:spacing w:before="19" w:line="192"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IDS</w:t>
                    </w:r>
                    <w:r>
                      <w:rPr>
                        <w:rFonts w:ascii="Times New Roman" w:hAnsi="Times New Roman" w:eastAsia="Times New Roman" w:cs="Times New Roman"/>
                        <w:color w:val="1179E2"/>
                        <w:spacing w:val="-3"/>
                        <w:sz w:val="14"/>
                        <w:szCs w:val="14"/>
                      </w:rPr>
                      <w:t>/</w:t>
                    </w:r>
                    <w:r>
                      <w:rPr>
                        <w:rFonts w:ascii="Times New Roman" w:hAnsi="Times New Roman" w:eastAsia="Times New Roman" w:cs="Times New Roman"/>
                        <w:spacing w:val="-3"/>
                        <w:sz w:val="14"/>
                        <w:szCs w:val="14"/>
                      </w:rPr>
                      <w:t>IPS</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3"/>
                        <w:sz w:val="14"/>
                        <w:szCs w:val="14"/>
                      </w:rPr>
                      <w:t>IDS</w:t>
                    </w:r>
                    <w:r>
                      <w:rPr>
                        <w:rFonts w:ascii="Times New Roman" w:hAnsi="Times New Roman" w:eastAsia="Times New Roman" w:cs="Times New Roman"/>
                        <w:color w:val="1179E2"/>
                        <w:spacing w:val="-3"/>
                        <w:sz w:val="14"/>
                        <w:szCs w:val="14"/>
                      </w:rPr>
                      <w:t>/</w:t>
                    </w:r>
                    <w:r>
                      <w:rPr>
                        <w:rFonts w:ascii="Times New Roman" w:hAnsi="Times New Roman" w:eastAsia="Times New Roman" w:cs="Times New Roman"/>
                        <w:spacing w:val="-3"/>
                        <w:sz w:val="14"/>
                        <w:szCs w:val="14"/>
                      </w:rPr>
                      <w:t>IPS</w:t>
                    </w:r>
                  </w:p>
                  <w:p w14:paraId="17D3A033">
                    <w:pPr>
                      <w:spacing w:line="449" w:lineRule="auto"/>
                      <w:rPr>
                        <w:rFonts w:ascii="Arial"/>
                        <w:sz w:val="21"/>
                      </w:rPr>
                    </w:pPr>
                  </w:p>
                  <w:p w14:paraId="6221F9E2">
                    <w:pPr>
                      <w:spacing w:before="45" w:line="219" w:lineRule="auto"/>
                      <w:ind w:left="359"/>
                      <w:rPr>
                        <w:rFonts w:ascii="宋体" w:hAnsi="宋体" w:eastAsia="宋体" w:cs="宋体"/>
                        <w:sz w:val="14"/>
                        <w:szCs w:val="14"/>
                      </w:rPr>
                    </w:pPr>
                    <w:r>
                      <w:rPr>
                        <w:rFonts w:ascii="宋体" w:hAnsi="宋体" w:eastAsia="宋体" w:cs="宋体"/>
                        <w:spacing w:val="-3"/>
                        <w:sz w:val="14"/>
                        <w:szCs w:val="14"/>
                      </w:rPr>
                      <w:t>防病毒网关</w:t>
                    </w:r>
                  </w:p>
                  <w:p w14:paraId="276B893E">
                    <w:pPr>
                      <w:spacing w:line="283" w:lineRule="auto"/>
                      <w:rPr>
                        <w:rFonts w:ascii="Arial"/>
                        <w:sz w:val="21"/>
                      </w:rPr>
                    </w:pPr>
                  </w:p>
                  <w:p w14:paraId="152BBDDA">
                    <w:pPr>
                      <w:spacing w:line="284" w:lineRule="auto"/>
                      <w:rPr>
                        <w:rFonts w:ascii="Arial"/>
                        <w:sz w:val="21"/>
                      </w:rPr>
                    </w:pPr>
                  </w:p>
                  <w:p w14:paraId="74D87B0F">
                    <w:pPr>
                      <w:spacing w:line="284" w:lineRule="auto"/>
                      <w:rPr>
                        <w:rFonts w:ascii="Arial"/>
                        <w:sz w:val="21"/>
                      </w:rPr>
                    </w:pPr>
                  </w:p>
                  <w:p w14:paraId="390A0D00">
                    <w:pPr>
                      <w:spacing w:line="284" w:lineRule="auto"/>
                      <w:rPr>
                        <w:rFonts w:ascii="Arial"/>
                        <w:sz w:val="21"/>
                      </w:rPr>
                    </w:pPr>
                  </w:p>
                  <w:p w14:paraId="1EB69F2B">
                    <w:pPr>
                      <w:spacing w:line="284" w:lineRule="auto"/>
                      <w:rPr>
                        <w:rFonts w:ascii="Arial"/>
                        <w:sz w:val="21"/>
                      </w:rPr>
                    </w:pPr>
                  </w:p>
                  <w:p w14:paraId="18C51AA0">
                    <w:pPr>
                      <w:spacing w:before="46" w:line="219" w:lineRule="auto"/>
                      <w:ind w:left="359"/>
                      <w:rPr>
                        <w:rFonts w:ascii="宋体" w:hAnsi="宋体" w:eastAsia="宋体" w:cs="宋体"/>
                        <w:sz w:val="14"/>
                        <w:szCs w:val="14"/>
                      </w:rPr>
                    </w:pPr>
                    <w:r>
                      <w:rPr>
                        <w:rFonts w:ascii="宋体" w:hAnsi="宋体" w:eastAsia="宋体" w:cs="宋体"/>
                        <w:spacing w:val="-1"/>
                        <w:sz w:val="14"/>
                        <w:szCs w:val="14"/>
                      </w:rPr>
                      <w:t>增值业务区</w:t>
                    </w:r>
                  </w:p>
                  <w:p w14:paraId="508D0013">
                    <w:pPr>
                      <w:spacing w:line="272" w:lineRule="auto"/>
                      <w:rPr>
                        <w:rFonts w:ascii="Arial"/>
                        <w:sz w:val="21"/>
                      </w:rPr>
                    </w:pPr>
                  </w:p>
                  <w:p w14:paraId="70A8DDA9">
                    <w:pPr>
                      <w:spacing w:line="273" w:lineRule="auto"/>
                      <w:rPr>
                        <w:rFonts w:ascii="Arial"/>
                        <w:sz w:val="21"/>
                      </w:rPr>
                    </w:pPr>
                  </w:p>
                  <w:p w14:paraId="3904E69F">
                    <w:pPr>
                      <w:spacing w:before="45" w:line="219" w:lineRule="auto"/>
                      <w:ind w:left="260"/>
                      <w:rPr>
                        <w:rFonts w:ascii="宋体" w:hAnsi="宋体" w:eastAsia="宋体" w:cs="宋体"/>
                        <w:sz w:val="14"/>
                        <w:szCs w:val="14"/>
                      </w:rPr>
                    </w:pPr>
                    <w:r>
                      <w:rPr>
                        <w:rFonts w:ascii="宋体" w:hAnsi="宋体" w:eastAsia="宋体" w:cs="宋体"/>
                        <w:spacing w:val="13"/>
                        <w:sz w:val="14"/>
                        <w:szCs w:val="14"/>
                      </w:rPr>
                      <w:t>安全管理中心</w:t>
                    </w:r>
                  </w:p>
                  <w:p w14:paraId="57273058">
                    <w:pPr>
                      <w:spacing w:before="32" w:line="192" w:lineRule="auto"/>
                      <w:ind w:left="46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(SOC)</w:t>
                    </w:r>
                  </w:p>
                  <w:p w14:paraId="3C28F5A9">
                    <w:pPr>
                      <w:spacing w:line="387" w:lineRule="auto"/>
                      <w:rPr>
                        <w:rFonts w:ascii="Arial"/>
                        <w:sz w:val="21"/>
                      </w:rPr>
                    </w:pPr>
                  </w:p>
                  <w:p w14:paraId="47CEA587">
                    <w:pPr>
                      <w:spacing w:before="46" w:line="220" w:lineRule="auto"/>
                      <w:ind w:left="60"/>
                      <w:rPr>
                        <w:rFonts w:ascii="宋体" w:hAnsi="宋体" w:eastAsia="宋体" w:cs="宋体"/>
                        <w:sz w:val="14"/>
                        <w:szCs w:val="14"/>
                      </w:rPr>
                    </w:pPr>
                    <w:r>
                      <w:rPr>
                        <w:rFonts w:ascii="宋体" w:hAnsi="宋体" w:eastAsia="宋体" w:cs="宋体"/>
                        <w:spacing w:val="-7"/>
                        <w:sz w:val="14"/>
                        <w:szCs w:val="14"/>
                      </w:rPr>
                      <w:t>网管</w:t>
                    </w:r>
                    <w:r>
                      <w:rPr>
                        <w:rFonts w:ascii="Times New Roman" w:hAnsi="Times New Roman" w:eastAsia="Times New Roman" w:cs="Times New Roman"/>
                        <w:spacing w:val="-7"/>
                        <w:sz w:val="14"/>
                        <w:szCs w:val="14"/>
                      </w:rPr>
                      <w:t>DCN</w:t>
                    </w:r>
                    <w:r>
                      <w:rPr>
                        <w:rFonts w:ascii="宋体" w:hAnsi="宋体" w:eastAsia="宋体" w:cs="宋体"/>
                        <w:spacing w:val="-7"/>
                        <w:sz w:val="14"/>
                        <w:szCs w:val="14"/>
                      </w:rPr>
                      <w:t>接入</w:t>
                    </w:r>
                    <w:r>
                      <w:rPr>
                        <w:rFonts w:ascii="宋体" w:hAnsi="宋体" w:eastAsia="宋体" w:cs="宋体"/>
                        <w:spacing w:val="2"/>
                        <w:sz w:val="14"/>
                        <w:szCs w:val="14"/>
                      </w:rPr>
                      <w:t xml:space="preserve">     </w:t>
                    </w:r>
                    <w:r>
                      <w:rPr>
                        <w:rFonts w:ascii="宋体" w:hAnsi="宋体" w:eastAsia="宋体" w:cs="宋体"/>
                        <w:spacing w:val="-7"/>
                        <w:sz w:val="14"/>
                        <w:szCs w:val="14"/>
                      </w:rPr>
                      <w:t>计费DCN</w:t>
                    </w:r>
                  </w:p>
                </w:txbxContent>
              </v:textbox>
            </v:shape>
            <v:shape id="_x0000_s1279" o:spid="_x0000_s1279" o:spt="202" type="#_x0000_t202" style="position:absolute;left:5729;top:1275;height:4500;width:1480;" filled="f" stroked="f" coordsize="21600,21600">
              <v:path/>
              <v:fill on="f" focussize="0,0"/>
              <v:stroke on="f"/>
              <v:imagedata o:title=""/>
              <o:lock v:ext="edit" aspectratio="f"/>
              <v:textbox inset="0mm,0mm,0mm,0mm">
                <w:txbxContent>
                  <w:p w14:paraId="5BEF6C96">
                    <w:pPr>
                      <w:spacing w:before="20" w:line="219" w:lineRule="auto"/>
                      <w:ind w:left="149"/>
                      <w:rPr>
                        <w:rFonts w:ascii="宋体" w:hAnsi="宋体" w:eastAsia="宋体" w:cs="宋体"/>
                        <w:sz w:val="14"/>
                        <w:szCs w:val="14"/>
                      </w:rPr>
                    </w:pPr>
                    <w:r>
                      <w:rPr>
                        <w:rFonts w:ascii="宋体" w:hAnsi="宋体" w:eastAsia="宋体" w:cs="宋体"/>
                        <w:spacing w:val="-7"/>
                        <w:sz w:val="14"/>
                        <w:szCs w:val="14"/>
                      </w:rPr>
                      <w:t>高性能路由器</w:t>
                    </w:r>
                  </w:p>
                  <w:p w14:paraId="096BC376">
                    <w:pPr>
                      <w:spacing w:line="317" w:lineRule="auto"/>
                      <w:rPr>
                        <w:rFonts w:ascii="Arial"/>
                        <w:sz w:val="21"/>
                      </w:rPr>
                    </w:pPr>
                  </w:p>
                  <w:p w14:paraId="5DF6C31C">
                    <w:pPr>
                      <w:spacing w:before="45" w:line="565" w:lineRule="auto"/>
                      <w:ind w:left="149" w:right="803"/>
                      <w:rPr>
                        <w:rFonts w:ascii="宋体" w:hAnsi="宋体" w:eastAsia="宋体" w:cs="宋体"/>
                        <w:sz w:val="14"/>
                        <w:szCs w:val="14"/>
                      </w:rPr>
                    </w:pPr>
                    <w:r>
                      <w:rPr>
                        <w:rFonts w:ascii="宋体" w:hAnsi="宋体" w:eastAsia="宋体" w:cs="宋体"/>
                        <w:spacing w:val="-9"/>
                        <w:sz w:val="14"/>
                        <w:szCs w:val="14"/>
                      </w:rPr>
                      <w:t>安全网关</w:t>
                    </w:r>
                    <w:r>
                      <w:rPr>
                        <w:rFonts w:ascii="宋体" w:hAnsi="宋体" w:eastAsia="宋体" w:cs="宋体"/>
                        <w:spacing w:val="1"/>
                        <w:sz w:val="14"/>
                        <w:szCs w:val="14"/>
                      </w:rPr>
                      <w:t xml:space="preserve"> </w:t>
                    </w:r>
                    <w:r>
                      <w:rPr>
                        <w:rFonts w:ascii="宋体" w:hAnsi="宋体" w:eastAsia="宋体" w:cs="宋体"/>
                        <w:spacing w:val="-2"/>
                        <w:sz w:val="14"/>
                        <w:szCs w:val="14"/>
                      </w:rPr>
                      <w:t>交换机</w:t>
                    </w:r>
                  </w:p>
                  <w:p w14:paraId="07BA6863">
                    <w:pPr>
                      <w:spacing w:line="261" w:lineRule="auto"/>
                      <w:rPr>
                        <w:rFonts w:ascii="Arial"/>
                        <w:sz w:val="21"/>
                      </w:rPr>
                    </w:pPr>
                  </w:p>
                  <w:p w14:paraId="0FF186AE">
                    <w:pPr>
                      <w:spacing w:line="261" w:lineRule="auto"/>
                      <w:rPr>
                        <w:rFonts w:ascii="Arial"/>
                        <w:sz w:val="21"/>
                      </w:rPr>
                    </w:pPr>
                  </w:p>
                  <w:p w14:paraId="526F7D71">
                    <w:pPr>
                      <w:spacing w:line="262" w:lineRule="auto"/>
                      <w:rPr>
                        <w:rFonts w:ascii="Arial"/>
                        <w:sz w:val="21"/>
                      </w:rPr>
                    </w:pPr>
                  </w:p>
                  <w:p w14:paraId="228C9D94">
                    <w:pPr>
                      <w:spacing w:line="262" w:lineRule="auto"/>
                      <w:rPr>
                        <w:rFonts w:ascii="Arial"/>
                        <w:sz w:val="21"/>
                      </w:rPr>
                    </w:pPr>
                  </w:p>
                  <w:p w14:paraId="64B1C3A2">
                    <w:pPr>
                      <w:spacing w:line="262" w:lineRule="auto"/>
                      <w:rPr>
                        <w:rFonts w:ascii="Arial"/>
                        <w:sz w:val="21"/>
                      </w:rPr>
                    </w:pPr>
                  </w:p>
                  <w:p w14:paraId="01AEC7CD">
                    <w:pPr>
                      <w:spacing w:before="46" w:line="219" w:lineRule="auto"/>
                      <w:ind w:left="149"/>
                      <w:rPr>
                        <w:rFonts w:ascii="宋体" w:hAnsi="宋体" w:eastAsia="宋体" w:cs="宋体"/>
                        <w:sz w:val="14"/>
                        <w:szCs w:val="14"/>
                      </w:rPr>
                    </w:pPr>
                    <w:r>
                      <w:rPr>
                        <w:rFonts w:ascii="宋体" w:hAnsi="宋体" w:eastAsia="宋体" w:cs="宋体"/>
                        <w:spacing w:val="-1"/>
                        <w:sz w:val="14"/>
                        <w:szCs w:val="14"/>
                      </w:rPr>
                      <w:t>存储业务区</w:t>
                    </w:r>
                  </w:p>
                  <w:p w14:paraId="13BC1A8F">
                    <w:pPr>
                      <w:spacing w:line="317" w:lineRule="auto"/>
                      <w:rPr>
                        <w:rFonts w:ascii="Arial"/>
                        <w:sz w:val="21"/>
                      </w:rPr>
                    </w:pPr>
                  </w:p>
                  <w:p w14:paraId="4B9D24D8">
                    <w:pPr>
                      <w:spacing w:line="317" w:lineRule="auto"/>
                      <w:rPr>
                        <w:rFonts w:ascii="Arial"/>
                        <w:sz w:val="21"/>
                      </w:rPr>
                    </w:pPr>
                  </w:p>
                  <w:p w14:paraId="495EDB21">
                    <w:pPr>
                      <w:spacing w:before="46" w:line="220" w:lineRule="auto"/>
                      <w:ind w:left="460"/>
                      <w:rPr>
                        <w:rFonts w:ascii="宋体" w:hAnsi="宋体" w:eastAsia="宋体" w:cs="宋体"/>
                        <w:sz w:val="14"/>
                        <w:szCs w:val="14"/>
                      </w:rPr>
                    </w:pPr>
                    <w:r>
                      <w:rPr>
                        <w:rFonts w:ascii="宋体" w:hAnsi="宋体" w:eastAsia="宋体" w:cs="宋体"/>
                        <w:spacing w:val="-5"/>
                        <w:sz w:val="14"/>
                        <w:szCs w:val="14"/>
                      </w:rPr>
                      <w:t>客户工作区</w:t>
                    </w:r>
                  </w:p>
                  <w:p w14:paraId="6B19E05B">
                    <w:pPr>
                      <w:spacing w:line="247" w:lineRule="auto"/>
                      <w:rPr>
                        <w:rFonts w:ascii="Arial"/>
                        <w:sz w:val="21"/>
                      </w:rPr>
                    </w:pPr>
                  </w:p>
                  <w:p w14:paraId="17D089C3">
                    <w:pPr>
                      <w:spacing w:line="247" w:lineRule="auto"/>
                      <w:rPr>
                        <w:rFonts w:ascii="Arial"/>
                        <w:sz w:val="21"/>
                      </w:rPr>
                    </w:pPr>
                  </w:p>
                  <w:p w14:paraId="5AA5E218">
                    <w:pPr>
                      <w:spacing w:before="45" w:line="232" w:lineRule="auto"/>
                      <w:ind w:left="20"/>
                      <w:rPr>
                        <w:rFonts w:ascii="宋体" w:hAnsi="宋体" w:eastAsia="宋体" w:cs="宋体"/>
                        <w:sz w:val="14"/>
                        <w:szCs w:val="14"/>
                      </w:rPr>
                    </w:pPr>
                    <w:r>
                      <w:rPr>
                        <w:rFonts w:ascii="宋体" w:hAnsi="宋体" w:eastAsia="宋体" w:cs="宋体"/>
                        <w:spacing w:val="-5"/>
                        <w:sz w:val="14"/>
                        <w:szCs w:val="14"/>
                      </w:rPr>
                      <w:t>接入</w:t>
                    </w:r>
                    <w:r>
                      <w:rPr>
                        <w:rFonts w:ascii="宋体" w:hAnsi="宋体" w:eastAsia="宋体" w:cs="宋体"/>
                        <w:spacing w:val="3"/>
                        <w:sz w:val="14"/>
                        <w:szCs w:val="14"/>
                      </w:rPr>
                      <w:t xml:space="preserve">     </w:t>
                    </w:r>
                    <w:r>
                      <w:rPr>
                        <w:rFonts w:ascii="宋体" w:hAnsi="宋体" w:eastAsia="宋体" w:cs="宋体"/>
                        <w:spacing w:val="-5"/>
                        <w:sz w:val="14"/>
                        <w:szCs w:val="14"/>
                      </w:rPr>
                      <w:t>应用服务接口</w:t>
                    </w:r>
                  </w:p>
                </w:txbxContent>
              </v:textbox>
            </v:shape>
            <v:shape id="_x0000_s1280" o:spid="_x0000_s1280" o:spt="202" type="#_x0000_t202" style="position:absolute;left:179;top:495;height:5172;width:1225;" filled="f" stroked="f" coordsize="21600,21600">
              <v:path/>
              <v:fill on="f" focussize="0,0"/>
              <v:stroke on="f"/>
              <v:imagedata o:title=""/>
              <o:lock v:ext="edit" aspectratio="f"/>
              <v:textbox inset="0mm,0mm,0mm,0mm">
                <w:txbxContent>
                  <w:p w14:paraId="2DD80BE5">
                    <w:pPr>
                      <w:spacing w:before="20" w:line="222" w:lineRule="auto"/>
                      <w:ind w:left="20"/>
                      <w:rPr>
                        <w:rFonts w:ascii="黑体" w:hAnsi="黑体" w:eastAsia="黑体" w:cs="黑体"/>
                        <w:sz w:val="14"/>
                        <w:szCs w:val="14"/>
                      </w:rPr>
                    </w:pPr>
                    <w:r>
                      <w:rPr>
                        <w:rFonts w:ascii="黑体" w:hAnsi="黑体" w:eastAsia="黑体" w:cs="黑体"/>
                        <w:spacing w:val="-7"/>
                        <w:sz w:val="14"/>
                        <w:szCs w:val="14"/>
                      </w:rPr>
                      <w:t>图</w:t>
                    </w:r>
                    <w:r>
                      <w:rPr>
                        <w:rFonts w:ascii="黑体" w:hAnsi="黑体" w:eastAsia="黑体" w:cs="黑体"/>
                        <w:spacing w:val="-19"/>
                        <w:sz w:val="14"/>
                        <w:szCs w:val="14"/>
                      </w:rPr>
                      <w:t xml:space="preserve"> </w:t>
                    </w:r>
                    <w:r>
                      <w:rPr>
                        <w:rFonts w:ascii="黑体" w:hAnsi="黑体" w:eastAsia="黑体" w:cs="黑体"/>
                        <w:spacing w:val="-7"/>
                        <w:sz w:val="14"/>
                        <w:szCs w:val="14"/>
                      </w:rPr>
                      <w:t>例</w:t>
                    </w:r>
                    <w:r>
                      <w:rPr>
                        <w:rFonts w:ascii="黑体" w:hAnsi="黑体" w:eastAsia="黑体" w:cs="黑体"/>
                        <w:spacing w:val="-26"/>
                        <w:sz w:val="14"/>
                        <w:szCs w:val="14"/>
                      </w:rPr>
                      <w:t xml:space="preserve"> </w:t>
                    </w:r>
                    <w:r>
                      <w:rPr>
                        <w:rFonts w:ascii="黑体" w:hAnsi="黑体" w:eastAsia="黑体" w:cs="黑体"/>
                        <w:spacing w:val="-7"/>
                        <w:sz w:val="14"/>
                        <w:szCs w:val="14"/>
                      </w:rPr>
                      <w:t>：</w:t>
                    </w:r>
                  </w:p>
                  <w:p w14:paraId="1C9C9106">
                    <w:pPr>
                      <w:spacing w:before="75" w:line="192" w:lineRule="auto"/>
                      <w:ind w:right="18"/>
                      <w:jc w:val="right"/>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100GE/25GE</w:t>
                    </w:r>
                  </w:p>
                  <w:p w14:paraId="31005603">
                    <w:pPr>
                      <w:spacing w:before="171" w:line="192" w:lineRule="auto"/>
                      <w:ind w:left="60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10GE/GE</w:t>
                    </w:r>
                  </w:p>
                  <w:p w14:paraId="20048DA9">
                    <w:pPr>
                      <w:spacing w:line="250" w:lineRule="auto"/>
                      <w:rPr>
                        <w:rFonts w:ascii="Arial"/>
                        <w:sz w:val="21"/>
                      </w:rPr>
                    </w:pPr>
                  </w:p>
                  <w:p w14:paraId="70D9FC62">
                    <w:pPr>
                      <w:spacing w:line="250" w:lineRule="auto"/>
                      <w:rPr>
                        <w:rFonts w:ascii="Arial"/>
                        <w:sz w:val="21"/>
                      </w:rPr>
                    </w:pPr>
                  </w:p>
                  <w:p w14:paraId="653DE435">
                    <w:pPr>
                      <w:spacing w:before="55" w:line="219" w:lineRule="auto"/>
                      <w:ind w:left="20"/>
                      <w:rPr>
                        <w:rFonts w:ascii="宋体" w:hAnsi="宋体" w:eastAsia="宋体" w:cs="宋体"/>
                        <w:sz w:val="17"/>
                        <w:szCs w:val="17"/>
                      </w:rPr>
                    </w:pPr>
                    <w:r>
                      <w:rPr>
                        <w:rFonts w:ascii="宋体" w:hAnsi="宋体" w:eastAsia="宋体" w:cs="宋体"/>
                        <w:color w:val="305B7C"/>
                        <w:spacing w:val="2"/>
                        <w:sz w:val="17"/>
                        <w:szCs w:val="17"/>
                      </w:rPr>
                      <w:t>网络连接模块</w:t>
                    </w:r>
                  </w:p>
                  <w:p w14:paraId="35C9B972">
                    <w:pPr>
                      <w:spacing w:line="272" w:lineRule="auto"/>
                      <w:rPr>
                        <w:rFonts w:ascii="Arial"/>
                        <w:sz w:val="21"/>
                      </w:rPr>
                    </w:pPr>
                  </w:p>
                  <w:p w14:paraId="4BC4DF89">
                    <w:pPr>
                      <w:spacing w:line="273" w:lineRule="auto"/>
                      <w:rPr>
                        <w:rFonts w:ascii="Arial"/>
                        <w:sz w:val="21"/>
                      </w:rPr>
                    </w:pPr>
                  </w:p>
                  <w:p w14:paraId="64131896">
                    <w:pPr>
                      <w:spacing w:line="273" w:lineRule="auto"/>
                      <w:rPr>
                        <w:rFonts w:ascii="Arial"/>
                        <w:sz w:val="21"/>
                      </w:rPr>
                    </w:pPr>
                  </w:p>
                  <w:p w14:paraId="244F7F02">
                    <w:pPr>
                      <w:spacing w:line="273" w:lineRule="auto"/>
                      <w:rPr>
                        <w:rFonts w:ascii="Arial"/>
                        <w:sz w:val="21"/>
                      </w:rPr>
                    </w:pPr>
                  </w:p>
                  <w:p w14:paraId="2A0ADDFE">
                    <w:pPr>
                      <w:spacing w:line="273" w:lineRule="auto"/>
                      <w:rPr>
                        <w:rFonts w:ascii="Arial"/>
                        <w:sz w:val="21"/>
                      </w:rPr>
                    </w:pPr>
                  </w:p>
                  <w:p w14:paraId="1B36E841">
                    <w:pPr>
                      <w:spacing w:before="55" w:line="219" w:lineRule="auto"/>
                      <w:ind w:left="20"/>
                      <w:rPr>
                        <w:rFonts w:ascii="宋体" w:hAnsi="宋体" w:eastAsia="宋体" w:cs="宋体"/>
                        <w:sz w:val="17"/>
                        <w:szCs w:val="17"/>
                      </w:rPr>
                    </w:pPr>
                    <w:r>
                      <w:rPr>
                        <w:rFonts w:ascii="宋体" w:hAnsi="宋体" w:eastAsia="宋体" w:cs="宋体"/>
                        <w:spacing w:val="2"/>
                        <w:sz w:val="17"/>
                        <w:szCs w:val="17"/>
                      </w:rPr>
                      <w:t>业务接入模块</w:t>
                    </w:r>
                  </w:p>
                  <w:p w14:paraId="57C32CDE">
                    <w:pPr>
                      <w:spacing w:line="261" w:lineRule="auto"/>
                      <w:rPr>
                        <w:rFonts w:ascii="Arial"/>
                        <w:sz w:val="21"/>
                      </w:rPr>
                    </w:pPr>
                  </w:p>
                  <w:p w14:paraId="6C6BF074">
                    <w:pPr>
                      <w:spacing w:line="261" w:lineRule="auto"/>
                      <w:rPr>
                        <w:rFonts w:ascii="Arial"/>
                        <w:sz w:val="21"/>
                      </w:rPr>
                    </w:pPr>
                  </w:p>
                  <w:p w14:paraId="35E4760F">
                    <w:pPr>
                      <w:spacing w:line="261" w:lineRule="auto"/>
                      <w:rPr>
                        <w:rFonts w:ascii="Arial"/>
                        <w:sz w:val="21"/>
                      </w:rPr>
                    </w:pPr>
                  </w:p>
                  <w:p w14:paraId="12AD36AD">
                    <w:pPr>
                      <w:spacing w:line="262" w:lineRule="auto"/>
                      <w:rPr>
                        <w:rFonts w:ascii="Arial"/>
                        <w:sz w:val="21"/>
                      </w:rPr>
                    </w:pPr>
                  </w:p>
                  <w:p w14:paraId="73483458">
                    <w:pPr>
                      <w:spacing w:line="262" w:lineRule="auto"/>
                      <w:rPr>
                        <w:rFonts w:ascii="Arial"/>
                        <w:sz w:val="21"/>
                      </w:rPr>
                    </w:pPr>
                  </w:p>
                  <w:p w14:paraId="67C53A00">
                    <w:pPr>
                      <w:spacing w:line="262" w:lineRule="auto"/>
                      <w:rPr>
                        <w:rFonts w:ascii="Arial"/>
                        <w:sz w:val="21"/>
                      </w:rPr>
                    </w:pPr>
                  </w:p>
                  <w:p w14:paraId="381BB594">
                    <w:pPr>
                      <w:spacing w:line="262" w:lineRule="auto"/>
                      <w:rPr>
                        <w:rFonts w:ascii="Arial"/>
                        <w:sz w:val="21"/>
                      </w:rPr>
                    </w:pPr>
                  </w:p>
                  <w:p w14:paraId="3A61BE83">
                    <w:pPr>
                      <w:spacing w:before="56" w:line="219" w:lineRule="auto"/>
                      <w:ind w:left="20"/>
                      <w:rPr>
                        <w:rFonts w:ascii="宋体" w:hAnsi="宋体" w:eastAsia="宋体" w:cs="宋体"/>
                        <w:sz w:val="17"/>
                        <w:szCs w:val="17"/>
                      </w:rPr>
                    </w:pPr>
                    <w:r>
                      <w:rPr>
                        <w:rFonts w:ascii="宋体" w:hAnsi="宋体" w:eastAsia="宋体" w:cs="宋体"/>
                        <w:color w:val="326293"/>
                        <w:spacing w:val="2"/>
                        <w:sz w:val="17"/>
                        <w:szCs w:val="17"/>
                      </w:rPr>
                      <w:t>后台管理模块</w:t>
                    </w:r>
                  </w:p>
                </w:txbxContent>
              </v:textbox>
            </v:shape>
            <v:shape id="_x0000_s1281" o:spid="_x0000_s1281" o:spt="202" type="#_x0000_t202" style="position:absolute;left:7139;top:3604;height:590;width:151;" filled="f" stroked="f" coordsize="21600,21600">
              <v:path/>
              <v:fill on="f" focussize="0,0"/>
              <v:stroke on="f"/>
              <v:imagedata o:title=""/>
              <o:lock v:ext="edit" aspectratio="f"/>
              <v:textbox inset="0mm,0mm,0mm,0mm" style="layout-flow:vertical-ideographic;">
                <w:txbxContent>
                  <w:p w14:paraId="022727DE">
                    <w:pPr>
                      <w:spacing w:before="19" w:line="201" w:lineRule="auto"/>
                      <w:ind w:left="20"/>
                      <w:rPr>
                        <w:rFonts w:ascii="宋体" w:hAnsi="宋体" w:eastAsia="宋体" w:cs="宋体"/>
                        <w:sz w:val="12"/>
                        <w:szCs w:val="12"/>
                      </w:rPr>
                    </w:pPr>
                    <w:r>
                      <w:rPr>
                        <w:rFonts w:ascii="宋体" w:hAnsi="宋体" w:eastAsia="宋体" w:cs="宋体"/>
                        <w:spacing w:val="17"/>
                        <w:sz w:val="12"/>
                        <w:szCs w:val="12"/>
                      </w:rPr>
                      <w:t>存储设备</w:t>
                    </w:r>
                  </w:p>
                </w:txbxContent>
              </v:textbox>
            </v:shape>
            <w10:wrap type="none"/>
            <w10:anchorlock/>
          </v:group>
        </w:pict>
      </w:r>
    </w:p>
    <w:p w14:paraId="5EF69C1D">
      <w:pPr>
        <w:pStyle w:val="2"/>
        <w:spacing w:before="117" w:line="219" w:lineRule="auto"/>
        <w:ind w:left="3120"/>
        <w:rPr>
          <w:sz w:val="17"/>
          <w:szCs w:val="17"/>
        </w:rPr>
      </w:pPr>
      <w:r>
        <w:rPr>
          <w:spacing w:val="8"/>
          <w:sz w:val="17"/>
          <w:szCs w:val="17"/>
        </w:rPr>
        <w:t>图4-2</w:t>
      </w:r>
      <w:r>
        <w:rPr>
          <w:spacing w:val="7"/>
          <w:sz w:val="17"/>
          <w:szCs w:val="17"/>
        </w:rPr>
        <w:t xml:space="preserve">  </w:t>
      </w:r>
      <w:r>
        <w:rPr>
          <w:spacing w:val="8"/>
          <w:sz w:val="17"/>
          <w:szCs w:val="17"/>
        </w:rPr>
        <w:t>数据中心模块构成</w:t>
      </w:r>
    </w:p>
    <w:p w14:paraId="18E87A5C">
      <w:pPr>
        <w:pStyle w:val="2"/>
        <w:spacing w:before="188" w:line="360" w:lineRule="auto"/>
        <w:ind w:right="266"/>
        <w:rPr>
          <w:sz w:val="17"/>
          <w:szCs w:val="17"/>
        </w:rPr>
      </w:pPr>
      <w:r>
        <w:rPr>
          <w:spacing w:val="32"/>
          <w:sz w:val="17"/>
          <w:szCs w:val="17"/>
        </w:rPr>
        <w:t>的三层网络架构，将复杂的网络设计分成几个层次，每个层次着重于某些特定的功能，这样就</w:t>
      </w:r>
      <w:r>
        <w:rPr>
          <w:spacing w:val="15"/>
          <w:sz w:val="17"/>
          <w:szCs w:val="17"/>
        </w:rPr>
        <w:t xml:space="preserve"> </w:t>
      </w:r>
      <w:r>
        <w:rPr>
          <w:spacing w:val="25"/>
          <w:sz w:val="17"/>
          <w:szCs w:val="17"/>
        </w:rPr>
        <w:t>能够使</w:t>
      </w:r>
      <w:r>
        <w:rPr>
          <w:spacing w:val="-45"/>
          <w:sz w:val="17"/>
          <w:szCs w:val="17"/>
        </w:rPr>
        <w:t xml:space="preserve"> </w:t>
      </w:r>
      <w:r>
        <w:rPr>
          <w:spacing w:val="25"/>
          <w:sz w:val="17"/>
          <w:szCs w:val="17"/>
        </w:rPr>
        <w:t>一</w:t>
      </w:r>
      <w:r>
        <w:rPr>
          <w:spacing w:val="-47"/>
          <w:sz w:val="17"/>
          <w:szCs w:val="17"/>
        </w:rPr>
        <w:t xml:space="preserve"> </w:t>
      </w:r>
      <w:r>
        <w:rPr>
          <w:spacing w:val="25"/>
          <w:sz w:val="17"/>
          <w:szCs w:val="17"/>
        </w:rPr>
        <w:t>个复杂的大问题变成许多简单的小问题。三层网络架构设计如图</w:t>
      </w:r>
      <w:r>
        <w:rPr>
          <w:spacing w:val="24"/>
          <w:sz w:val="17"/>
          <w:szCs w:val="17"/>
        </w:rPr>
        <w:t>4</w:t>
      </w:r>
      <w:r>
        <w:rPr>
          <w:spacing w:val="-49"/>
          <w:sz w:val="17"/>
          <w:szCs w:val="17"/>
        </w:rPr>
        <w:t xml:space="preserve"> </w:t>
      </w:r>
      <w:r>
        <w:rPr>
          <w:spacing w:val="24"/>
          <w:sz w:val="17"/>
          <w:szCs w:val="17"/>
        </w:rPr>
        <w:t>-</w:t>
      </w:r>
      <w:r>
        <w:rPr>
          <w:spacing w:val="-44"/>
          <w:sz w:val="17"/>
          <w:szCs w:val="17"/>
        </w:rPr>
        <w:t xml:space="preserve"> </w:t>
      </w:r>
      <w:r>
        <w:rPr>
          <w:spacing w:val="24"/>
          <w:sz w:val="17"/>
          <w:szCs w:val="17"/>
        </w:rPr>
        <w:t>3所示。</w:t>
      </w:r>
    </w:p>
    <w:p w14:paraId="49376686">
      <w:pPr>
        <w:pStyle w:val="2"/>
        <w:spacing w:line="3359" w:lineRule="exact"/>
        <w:ind w:firstLine="790"/>
      </w:pPr>
      <w:r>
        <w:rPr>
          <w:position w:val="-67"/>
        </w:rPr>
        <w:pict>
          <v:group id="_x0000_s1282" o:spid="_x0000_s1282" o:spt="203" style="height:168pt;width:335pt;" coordsize="6700,3360">
            <o:lock v:ext="edit"/>
            <v:shape id="_x0000_s1283" o:spid="_x0000_s1283" o:spt="75" type="#_x0000_t75" style="position:absolute;left:0;top:0;height:3220;width:6700;" filled="f" stroked="f" coordsize="21600,21600">
              <v:path/>
              <v:fill on="f" focussize="0,0"/>
              <v:stroke on="f"/>
              <v:imagedata r:id="rId100" o:title=""/>
              <o:lock v:ext="edit" aspectratio="t"/>
            </v:shape>
            <v:shape id="_x0000_s1284" o:spid="_x0000_s1284" o:spt="202" type="#_x0000_t202" style="position:absolute;left:-20;top:-20;height:3400;width:6740;" filled="f" stroked="f" coordsize="21600,21600">
              <v:path/>
              <v:fill on="f" focussize="0,0"/>
              <v:stroke on="f"/>
              <v:imagedata o:title=""/>
              <o:lock v:ext="edit" aspectratio="f"/>
              <v:textbox inset="0mm,0mm,0mm,0mm">
                <w:txbxContent>
                  <w:p w14:paraId="5FCFE063">
                    <w:pPr>
                      <w:spacing w:line="309" w:lineRule="auto"/>
                      <w:rPr>
                        <w:rFonts w:ascii="Arial"/>
                        <w:sz w:val="21"/>
                      </w:rPr>
                    </w:pPr>
                  </w:p>
                  <w:p w14:paraId="25C31949">
                    <w:pPr>
                      <w:spacing w:before="56" w:line="219" w:lineRule="auto"/>
                      <w:ind w:left="5649"/>
                      <w:rPr>
                        <w:rFonts w:ascii="宋体" w:hAnsi="宋体" w:eastAsia="宋体" w:cs="宋体"/>
                        <w:sz w:val="17"/>
                        <w:szCs w:val="17"/>
                      </w:rPr>
                    </w:pPr>
                    <w:r>
                      <w:rPr>
                        <w:rFonts w:ascii="宋体" w:hAnsi="宋体" w:eastAsia="宋体" w:cs="宋体"/>
                        <w:spacing w:val="-2"/>
                        <w:sz w:val="17"/>
                        <w:szCs w:val="17"/>
                      </w:rPr>
                      <w:t>核心层</w:t>
                    </w:r>
                  </w:p>
                  <w:p w14:paraId="6A5BA241">
                    <w:pPr>
                      <w:spacing w:line="245" w:lineRule="auto"/>
                      <w:rPr>
                        <w:rFonts w:ascii="Arial"/>
                        <w:sz w:val="21"/>
                      </w:rPr>
                    </w:pPr>
                  </w:p>
                  <w:p w14:paraId="1F310BD2">
                    <w:pPr>
                      <w:spacing w:line="245" w:lineRule="auto"/>
                      <w:rPr>
                        <w:rFonts w:ascii="Arial"/>
                        <w:sz w:val="21"/>
                      </w:rPr>
                    </w:pPr>
                  </w:p>
                  <w:p w14:paraId="073A8624">
                    <w:pPr>
                      <w:spacing w:before="55" w:line="219" w:lineRule="auto"/>
                      <w:ind w:left="5649"/>
                      <w:rPr>
                        <w:rFonts w:ascii="宋体" w:hAnsi="宋体" w:eastAsia="宋体" w:cs="宋体"/>
                        <w:sz w:val="17"/>
                        <w:szCs w:val="17"/>
                      </w:rPr>
                    </w:pPr>
                    <w:r>
                      <w:rPr>
                        <w:rFonts w:ascii="宋体" w:hAnsi="宋体" w:eastAsia="宋体" w:cs="宋体"/>
                        <w:spacing w:val="-2"/>
                        <w:sz w:val="17"/>
                        <w:szCs w:val="17"/>
                      </w:rPr>
                      <w:t>汇聚层</w:t>
                    </w:r>
                  </w:p>
                  <w:p w14:paraId="40ECF854">
                    <w:pPr>
                      <w:spacing w:line="248" w:lineRule="auto"/>
                      <w:rPr>
                        <w:rFonts w:ascii="Arial"/>
                        <w:sz w:val="21"/>
                      </w:rPr>
                    </w:pPr>
                  </w:p>
                  <w:p w14:paraId="16745D15">
                    <w:pPr>
                      <w:spacing w:line="249" w:lineRule="auto"/>
                      <w:rPr>
                        <w:rFonts w:ascii="Arial"/>
                        <w:sz w:val="21"/>
                      </w:rPr>
                    </w:pPr>
                  </w:p>
                  <w:p w14:paraId="296CF1EB">
                    <w:pPr>
                      <w:spacing w:line="249" w:lineRule="auto"/>
                      <w:rPr>
                        <w:rFonts w:ascii="Arial"/>
                        <w:sz w:val="21"/>
                      </w:rPr>
                    </w:pPr>
                  </w:p>
                  <w:p w14:paraId="423A1B2E">
                    <w:pPr>
                      <w:spacing w:before="56" w:line="221" w:lineRule="auto"/>
                      <w:ind w:left="5649"/>
                      <w:rPr>
                        <w:rFonts w:ascii="黑体" w:hAnsi="黑体" w:eastAsia="黑体" w:cs="黑体"/>
                        <w:sz w:val="17"/>
                        <w:szCs w:val="17"/>
                      </w:rPr>
                    </w:pPr>
                    <w:r>
                      <w:rPr>
                        <w:rFonts w:ascii="黑体" w:hAnsi="黑体" w:eastAsia="黑体" w:cs="黑体"/>
                        <w:spacing w:val="-2"/>
                        <w:sz w:val="17"/>
                        <w:szCs w:val="17"/>
                      </w:rPr>
                      <w:t>接入层</w:t>
                    </w:r>
                  </w:p>
                  <w:p w14:paraId="51C71682">
                    <w:pPr>
                      <w:rPr>
                        <w:rFonts w:ascii="Arial"/>
                        <w:sz w:val="21"/>
                      </w:rPr>
                    </w:pPr>
                  </w:p>
                  <w:p w14:paraId="10DBB4D2">
                    <w:pPr>
                      <w:rPr>
                        <w:rFonts w:ascii="Arial"/>
                        <w:sz w:val="21"/>
                      </w:rPr>
                    </w:pPr>
                  </w:p>
                  <w:p w14:paraId="00E783C4">
                    <w:pPr>
                      <w:spacing w:before="49" w:line="188" w:lineRule="auto"/>
                      <w:ind w:left="1209"/>
                      <w:rPr>
                        <w:rFonts w:ascii="Times New Roman" w:hAnsi="Times New Roman" w:eastAsia="Times New Roman" w:cs="Times New Roman"/>
                        <w:sz w:val="17"/>
                        <w:szCs w:val="17"/>
                      </w:rPr>
                    </w:pPr>
                    <w:r>
                      <w:rPr>
                        <w:rFonts w:ascii="Times New Roman" w:hAnsi="Times New Roman" w:eastAsia="Times New Roman" w:cs="Times New Roman"/>
                        <w:sz w:val="17"/>
                        <w:szCs w:val="17"/>
                      </w:rPr>
                      <w:t xml:space="preserve">POD0                                                 </w:t>
                    </w:r>
                    <w:r>
                      <w:rPr>
                        <w:rFonts w:ascii="Times New Roman" w:hAnsi="Times New Roman" w:eastAsia="Times New Roman" w:cs="Times New Roman"/>
                        <w:spacing w:val="-1"/>
                        <w:sz w:val="17"/>
                        <w:szCs w:val="17"/>
                      </w:rPr>
                      <w:t xml:space="preserve">        POD</w:t>
                    </w:r>
                    <w:r>
                      <w:rPr>
                        <w:rFonts w:ascii="Times New Roman" w:hAnsi="Times New Roman" w:eastAsia="Times New Roman" w:cs="Times New Roman"/>
                        <w:spacing w:val="20"/>
                        <w:sz w:val="17"/>
                        <w:szCs w:val="17"/>
                      </w:rPr>
                      <w:t xml:space="preserve"> </w:t>
                    </w:r>
                    <w:r>
                      <w:rPr>
                        <w:rFonts w:ascii="Times New Roman" w:hAnsi="Times New Roman" w:eastAsia="Times New Roman" w:cs="Times New Roman"/>
                        <w:spacing w:val="-1"/>
                        <w:sz w:val="17"/>
                        <w:szCs w:val="17"/>
                      </w:rPr>
                      <w:t>1</w:t>
                    </w:r>
                  </w:p>
                  <w:p w14:paraId="5370F366">
                    <w:pPr>
                      <w:spacing w:before="209" w:line="192" w:lineRule="auto"/>
                      <w:ind w:left="549"/>
                      <w:rPr>
                        <w:rFonts w:ascii="Times New Roman" w:hAnsi="Times New Roman" w:eastAsia="Times New Roman" w:cs="Times New Roman"/>
                        <w:sz w:val="17"/>
                        <w:szCs w:val="17"/>
                      </w:rPr>
                    </w:pPr>
                    <w:r>
                      <w:rPr>
                        <w:rFonts w:ascii="Times New Roman" w:hAnsi="Times New Roman" w:eastAsia="Times New Roman" w:cs="Times New Roman"/>
                        <w:color w:val="0035C7"/>
                        <w:spacing w:val="-4"/>
                        <w:sz w:val="17"/>
                        <w:szCs w:val="17"/>
                      </w:rPr>
                      <w:t xml:space="preserve">—       </w:t>
                    </w:r>
                    <w:r>
                      <w:rPr>
                        <w:rFonts w:ascii="Times New Roman" w:hAnsi="Times New Roman" w:eastAsia="Times New Roman" w:cs="Times New Roman"/>
                        <w:spacing w:val="-4"/>
                        <w:sz w:val="17"/>
                        <w:szCs w:val="17"/>
                      </w:rPr>
                      <w:t xml:space="preserve">10  Gbps               </w:t>
                    </w:r>
                    <w:r>
                      <w:rPr>
                        <w:rFonts w:ascii="Times New Roman" w:hAnsi="Times New Roman" w:eastAsia="Times New Roman" w:cs="Times New Roman"/>
                        <w:color w:val="2E86D4"/>
                        <w:spacing w:val="-4"/>
                        <w:sz w:val="17"/>
                        <w:szCs w:val="17"/>
                      </w:rPr>
                      <w:t xml:space="preserve">—       </w:t>
                    </w:r>
                    <w:r>
                      <w:rPr>
                        <w:rFonts w:ascii="Times New Roman" w:hAnsi="Times New Roman" w:eastAsia="Times New Roman" w:cs="Times New Roman"/>
                        <w:color w:val="2E86D4"/>
                        <w:spacing w:val="-5"/>
                        <w:sz w:val="17"/>
                        <w:szCs w:val="17"/>
                      </w:rPr>
                      <w:t xml:space="preserve"> </w:t>
                    </w:r>
                    <w:r>
                      <w:rPr>
                        <w:rFonts w:ascii="Times New Roman" w:hAnsi="Times New Roman" w:eastAsia="Times New Roman" w:cs="Times New Roman"/>
                        <w:spacing w:val="-5"/>
                        <w:sz w:val="17"/>
                        <w:szCs w:val="17"/>
                      </w:rPr>
                      <w:t>1</w:t>
                    </w:r>
                    <w:r>
                      <w:rPr>
                        <w:rFonts w:ascii="Times New Roman" w:hAnsi="Times New Roman" w:eastAsia="Times New Roman" w:cs="Times New Roman"/>
                        <w:spacing w:val="6"/>
                        <w:sz w:val="17"/>
                        <w:szCs w:val="17"/>
                      </w:rPr>
                      <w:t xml:space="preserve"> </w:t>
                    </w:r>
                    <w:r>
                      <w:rPr>
                        <w:rFonts w:ascii="Times New Roman" w:hAnsi="Times New Roman" w:eastAsia="Times New Roman" w:cs="Times New Roman"/>
                        <w:spacing w:val="-5"/>
                        <w:sz w:val="17"/>
                        <w:szCs w:val="17"/>
                      </w:rPr>
                      <w:t>Gbps</w:t>
                    </w:r>
                  </w:p>
                </w:txbxContent>
              </v:textbox>
            </v:shape>
            <w10:wrap type="none"/>
            <w10:anchorlock/>
          </v:group>
        </w:pict>
      </w:r>
    </w:p>
    <w:p w14:paraId="653F63E6">
      <w:pPr>
        <w:pStyle w:val="2"/>
        <w:spacing w:before="156" w:line="219" w:lineRule="auto"/>
        <w:ind w:left="2680"/>
        <w:rPr>
          <w:sz w:val="17"/>
          <w:szCs w:val="17"/>
        </w:rPr>
      </w:pPr>
      <w:r>
        <w:rPr>
          <w:spacing w:val="10"/>
          <w:sz w:val="17"/>
          <w:szCs w:val="17"/>
        </w:rPr>
        <w:t>图4-3</w:t>
      </w:r>
      <w:r>
        <w:rPr>
          <w:spacing w:val="70"/>
          <w:sz w:val="17"/>
          <w:szCs w:val="17"/>
        </w:rPr>
        <w:t xml:space="preserve"> </w:t>
      </w:r>
      <w:r>
        <w:rPr>
          <w:spacing w:val="10"/>
          <w:sz w:val="17"/>
          <w:szCs w:val="17"/>
        </w:rPr>
        <w:t>传统数据中心的三层网络架构</w:t>
      </w:r>
    </w:p>
    <w:p w14:paraId="1A10B5EB">
      <w:pPr>
        <w:spacing w:line="219" w:lineRule="auto"/>
        <w:rPr>
          <w:sz w:val="17"/>
          <w:szCs w:val="17"/>
        </w:rPr>
        <w:sectPr>
          <w:pgSz w:w="10290" w:h="13310"/>
          <w:pgMar w:top="400" w:right="604" w:bottom="400" w:left="1119" w:header="0" w:footer="0" w:gutter="0"/>
          <w:cols w:space="720" w:num="1"/>
        </w:sectPr>
      </w:pPr>
    </w:p>
    <w:p w14:paraId="22C5DBE9">
      <w:pPr>
        <w:pStyle w:val="2"/>
        <w:spacing w:before="47" w:line="219" w:lineRule="auto"/>
        <w:rPr>
          <w:sz w:val="19"/>
          <w:szCs w:val="19"/>
        </w:rPr>
      </w:pPr>
      <w:r>
        <w:rPr>
          <w:rFonts w:ascii="Times New Roman" w:hAnsi="Times New Roman" w:eastAsia="Times New Roman" w:cs="Times New Roman"/>
          <w:spacing w:val="3"/>
          <w:position w:val="-3"/>
          <w:sz w:val="22"/>
          <w:szCs w:val="22"/>
        </w:rPr>
        <w:t xml:space="preserve">126           </w:t>
      </w:r>
      <w:r>
        <w:rPr>
          <w:spacing w:val="3"/>
          <w:sz w:val="19"/>
          <w:szCs w:val="19"/>
        </w:rPr>
        <w:t>信息系统监理师教程(第2版)</w:t>
      </w:r>
    </w:p>
    <w:p w14:paraId="397D6055">
      <w:pPr>
        <w:spacing w:line="297" w:lineRule="auto"/>
        <w:rPr>
          <w:rFonts w:ascii="Arial"/>
          <w:sz w:val="21"/>
        </w:rPr>
      </w:pPr>
    </w:p>
    <w:p w14:paraId="08F654B3">
      <w:pPr>
        <w:pStyle w:val="2"/>
        <w:spacing w:before="61" w:line="282" w:lineRule="auto"/>
        <w:ind w:left="319" w:right="219" w:firstLine="410"/>
        <w:rPr>
          <w:sz w:val="19"/>
          <w:szCs w:val="19"/>
        </w:rPr>
      </w:pPr>
      <w:r>
        <w:rPr>
          <w:spacing w:val="21"/>
          <w:sz w:val="19"/>
          <w:szCs w:val="19"/>
        </w:rPr>
        <w:t>(1)核心层。核心层是整个数据中心网络的数据传输主干道，</w:t>
      </w:r>
      <w:r>
        <w:rPr>
          <w:spacing w:val="88"/>
          <w:sz w:val="19"/>
          <w:szCs w:val="19"/>
        </w:rPr>
        <w:t xml:space="preserve"> </w:t>
      </w:r>
      <w:r>
        <w:rPr>
          <w:spacing w:val="21"/>
          <w:sz w:val="19"/>
          <w:szCs w:val="19"/>
        </w:rPr>
        <w:t>一般由两台或若干台三</w:t>
      </w:r>
      <w:r>
        <w:rPr>
          <w:sz w:val="19"/>
          <w:szCs w:val="19"/>
        </w:rPr>
        <w:t xml:space="preserve"> </w:t>
      </w:r>
      <w:r>
        <w:rPr>
          <w:spacing w:val="24"/>
          <w:sz w:val="19"/>
          <w:szCs w:val="19"/>
        </w:rPr>
        <w:t>层路由交换机实现，为进出数据中心的数据</w:t>
      </w:r>
      <w:r>
        <w:rPr>
          <w:spacing w:val="23"/>
          <w:sz w:val="19"/>
          <w:szCs w:val="19"/>
        </w:rPr>
        <w:t>提供高速转发，为内部多个汇聚层节点提供连</w:t>
      </w:r>
      <w:r>
        <w:rPr>
          <w:sz w:val="19"/>
          <w:szCs w:val="19"/>
        </w:rPr>
        <w:t xml:space="preserve"> </w:t>
      </w:r>
      <w:r>
        <w:rPr>
          <w:spacing w:val="11"/>
          <w:sz w:val="19"/>
          <w:szCs w:val="19"/>
        </w:rPr>
        <w:t>接性。</w:t>
      </w:r>
    </w:p>
    <w:p w14:paraId="51D1EDF2">
      <w:pPr>
        <w:pStyle w:val="2"/>
        <w:spacing w:before="89" w:line="281" w:lineRule="auto"/>
        <w:ind w:left="319" w:firstLine="410"/>
        <w:rPr>
          <w:sz w:val="19"/>
          <w:szCs w:val="19"/>
        </w:rPr>
      </w:pPr>
      <w:r>
        <w:rPr>
          <w:spacing w:val="21"/>
          <w:sz w:val="19"/>
          <w:szCs w:val="19"/>
        </w:rPr>
        <w:t>(2)汇聚层。汇聚层连接网络的核心层和各</w:t>
      </w:r>
      <w:r>
        <w:rPr>
          <w:spacing w:val="20"/>
          <w:sz w:val="19"/>
          <w:szCs w:val="19"/>
        </w:rPr>
        <w:t>个接入层设备，在两层之间承担“媒介传输”</w:t>
      </w:r>
      <w:r>
        <w:rPr>
          <w:sz w:val="19"/>
          <w:szCs w:val="19"/>
        </w:rPr>
        <w:t xml:space="preserve"> </w:t>
      </w:r>
      <w:r>
        <w:rPr>
          <w:spacing w:val="23"/>
          <w:sz w:val="19"/>
          <w:szCs w:val="19"/>
        </w:rPr>
        <w:t>的作用，在接入层设备接入核心层之前先经过汇聚层进行数据处理，以减轻核心层设备的</w:t>
      </w:r>
      <w:r>
        <w:rPr>
          <w:spacing w:val="2"/>
          <w:sz w:val="19"/>
          <w:szCs w:val="19"/>
        </w:rPr>
        <w:t xml:space="preserve">   </w:t>
      </w:r>
      <w:r>
        <w:rPr>
          <w:spacing w:val="1"/>
          <w:sz w:val="19"/>
          <w:szCs w:val="19"/>
        </w:rPr>
        <w:t>负荷。</w:t>
      </w:r>
    </w:p>
    <w:p w14:paraId="1A065874">
      <w:pPr>
        <w:pStyle w:val="2"/>
        <w:spacing w:before="82" w:line="247" w:lineRule="auto"/>
        <w:ind w:left="319" w:right="209" w:firstLine="410"/>
        <w:rPr>
          <w:sz w:val="19"/>
          <w:szCs w:val="19"/>
        </w:rPr>
      </w:pPr>
      <w:r>
        <w:rPr>
          <w:spacing w:val="16"/>
          <w:sz w:val="19"/>
          <w:szCs w:val="19"/>
        </w:rPr>
        <w:t>(3)接入层。接入层负责接入各类资源和业务节点，</w:t>
      </w:r>
      <w:r>
        <w:rPr>
          <w:spacing w:val="81"/>
          <w:w w:val="101"/>
          <w:sz w:val="19"/>
          <w:szCs w:val="19"/>
        </w:rPr>
        <w:t xml:space="preserve"> </w:t>
      </w:r>
      <w:r>
        <w:rPr>
          <w:spacing w:val="16"/>
          <w:sz w:val="19"/>
          <w:szCs w:val="19"/>
        </w:rPr>
        <w:t>一般称为入网点或网络服务提供点</w:t>
      </w:r>
      <w:r>
        <w:rPr>
          <w:sz w:val="19"/>
          <w:szCs w:val="19"/>
        </w:rPr>
        <w:t xml:space="preserve"> </w:t>
      </w:r>
      <w:r>
        <w:rPr>
          <w:rFonts w:ascii="Times New Roman" w:hAnsi="Times New Roman" w:eastAsia="Times New Roman" w:cs="Times New Roman"/>
          <w:spacing w:val="-1"/>
          <w:sz w:val="19"/>
          <w:szCs w:val="19"/>
        </w:rPr>
        <w:t>(Point-of-Presence,PoP)</w:t>
      </w:r>
      <w:r>
        <w:rPr>
          <w:spacing w:val="-1"/>
          <w:sz w:val="19"/>
          <w:szCs w:val="19"/>
        </w:rPr>
        <w:t>。</w:t>
      </w:r>
    </w:p>
    <w:p w14:paraId="52A9CC15">
      <w:pPr>
        <w:pStyle w:val="2"/>
        <w:spacing w:before="143" w:line="295" w:lineRule="auto"/>
        <w:ind w:left="319" w:right="205" w:firstLine="410"/>
        <w:jc w:val="both"/>
        <w:rPr>
          <w:sz w:val="19"/>
          <w:szCs w:val="19"/>
        </w:rPr>
      </w:pPr>
      <w:r>
        <w:rPr>
          <w:spacing w:val="13"/>
          <w:sz w:val="19"/>
          <w:szCs w:val="19"/>
        </w:rPr>
        <w:t>传统的数据中心树形组网架构存在内部数据转发跳数多、扩展能力差、虚拟机迁移不方便</w:t>
      </w:r>
      <w:r>
        <w:rPr>
          <w:sz w:val="19"/>
          <w:szCs w:val="19"/>
        </w:rPr>
        <w:t xml:space="preserve"> </w:t>
      </w:r>
      <w:r>
        <w:rPr>
          <w:spacing w:val="11"/>
          <w:sz w:val="19"/>
          <w:szCs w:val="19"/>
        </w:rPr>
        <w:t>等缺点，现在流行的数据中心组网架构是二层的脊背—叶子</w:t>
      </w:r>
      <w:r>
        <w:rPr>
          <w:spacing w:val="-41"/>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Spine</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Leaf</w:t>
      </w:r>
      <w:r>
        <w:rPr>
          <w:rFonts w:ascii="Times New Roman" w:hAnsi="Times New Roman" w:eastAsia="Times New Roman" w:cs="Times New Roman"/>
          <w:spacing w:val="11"/>
          <w:sz w:val="19"/>
          <w:szCs w:val="19"/>
        </w:rPr>
        <w:t xml:space="preserve">)    </w:t>
      </w:r>
      <w:r>
        <w:rPr>
          <w:spacing w:val="11"/>
          <w:sz w:val="19"/>
          <w:szCs w:val="19"/>
        </w:rPr>
        <w:t>架构，内部数据转发</w:t>
      </w:r>
      <w:r>
        <w:rPr>
          <w:sz w:val="19"/>
          <w:szCs w:val="19"/>
        </w:rPr>
        <w:t xml:space="preserve"> </w:t>
      </w:r>
      <w:r>
        <w:rPr>
          <w:spacing w:val="6"/>
          <w:sz w:val="19"/>
          <w:szCs w:val="19"/>
        </w:rPr>
        <w:t>跳数少，更易于水平扩展。</w:t>
      </w:r>
      <w:r>
        <w:rPr>
          <w:spacing w:val="-36"/>
          <w:sz w:val="19"/>
          <w:szCs w:val="19"/>
        </w:rPr>
        <w:t xml:space="preserve"> </w:t>
      </w:r>
      <w:r>
        <w:rPr>
          <w:rFonts w:ascii="Times New Roman" w:hAnsi="Times New Roman" w:eastAsia="Times New Roman" w:cs="Times New Roman"/>
          <w:sz w:val="19"/>
          <w:szCs w:val="19"/>
        </w:rPr>
        <w:t>Spine</w:t>
      </w:r>
      <w:r>
        <w:rPr>
          <w:rFonts w:ascii="Times New Roman" w:hAnsi="Times New Roman" w:eastAsia="Times New Roman" w:cs="Times New Roman"/>
          <w:spacing w:val="6"/>
          <w:sz w:val="19"/>
          <w:szCs w:val="19"/>
        </w:rPr>
        <w:t xml:space="preserve">  </w:t>
      </w:r>
      <w:r>
        <w:rPr>
          <w:spacing w:val="6"/>
          <w:sz w:val="19"/>
          <w:szCs w:val="19"/>
        </w:rPr>
        <w:t>交换机相当于核心交换机，</w:t>
      </w:r>
      <w:r>
        <w:rPr>
          <w:spacing w:val="-14"/>
          <w:sz w:val="19"/>
          <w:szCs w:val="19"/>
        </w:rPr>
        <w:t xml:space="preserve"> </w:t>
      </w:r>
      <w:r>
        <w:rPr>
          <w:rFonts w:ascii="Times New Roman" w:hAnsi="Times New Roman" w:eastAsia="Times New Roman" w:cs="Times New Roman"/>
          <w:sz w:val="19"/>
          <w:szCs w:val="19"/>
        </w:rPr>
        <w:t>Leaf</w:t>
      </w:r>
      <w:r>
        <w:rPr>
          <w:rFonts w:ascii="Times New Roman" w:hAnsi="Times New Roman" w:eastAsia="Times New Roman" w:cs="Times New Roman"/>
          <w:spacing w:val="19"/>
          <w:sz w:val="19"/>
          <w:szCs w:val="19"/>
        </w:rPr>
        <w:t xml:space="preserve"> </w:t>
      </w:r>
      <w:r>
        <w:rPr>
          <w:spacing w:val="6"/>
          <w:sz w:val="19"/>
          <w:szCs w:val="19"/>
        </w:rPr>
        <w:t>交换机相当于</w:t>
      </w:r>
      <w:r>
        <w:rPr>
          <w:spacing w:val="5"/>
          <w:sz w:val="19"/>
          <w:szCs w:val="19"/>
        </w:rPr>
        <w:t>传统三层架构中</w:t>
      </w:r>
      <w:r>
        <w:rPr>
          <w:sz w:val="19"/>
          <w:szCs w:val="19"/>
        </w:rPr>
        <w:t xml:space="preserve"> </w:t>
      </w:r>
      <w:r>
        <w:rPr>
          <w:spacing w:val="16"/>
          <w:sz w:val="19"/>
          <w:szCs w:val="19"/>
        </w:rPr>
        <w:t>的接入交换机，直接接入各类物理服务器等</w:t>
      </w:r>
      <w:r>
        <w:rPr>
          <w:rFonts w:ascii="Times New Roman" w:hAnsi="Times New Roman" w:eastAsia="Times New Roman" w:cs="Times New Roman"/>
          <w:sz w:val="19"/>
          <w:szCs w:val="19"/>
        </w:rPr>
        <w:t>PoP</w:t>
      </w:r>
      <w:r>
        <w:rPr>
          <w:rFonts w:ascii="Times New Roman" w:hAnsi="Times New Roman" w:eastAsia="Times New Roman" w:cs="Times New Roman"/>
          <w:spacing w:val="40"/>
          <w:sz w:val="19"/>
          <w:szCs w:val="19"/>
        </w:rPr>
        <w:t xml:space="preserve"> </w:t>
      </w:r>
      <w:r>
        <w:rPr>
          <w:spacing w:val="16"/>
          <w:sz w:val="19"/>
          <w:szCs w:val="19"/>
        </w:rPr>
        <w:t>设备，每个</w:t>
      </w:r>
      <w:r>
        <w:rPr>
          <w:rFonts w:ascii="Times New Roman" w:hAnsi="Times New Roman" w:eastAsia="Times New Roman" w:cs="Times New Roman"/>
          <w:sz w:val="19"/>
          <w:szCs w:val="19"/>
        </w:rPr>
        <w:t>Leaf</w:t>
      </w:r>
      <w:r>
        <w:rPr>
          <w:rFonts w:ascii="Times New Roman" w:hAnsi="Times New Roman" w:eastAsia="Times New Roman" w:cs="Times New Roman"/>
          <w:spacing w:val="19"/>
          <w:w w:val="101"/>
          <w:sz w:val="19"/>
          <w:szCs w:val="19"/>
        </w:rPr>
        <w:t xml:space="preserve"> </w:t>
      </w:r>
      <w:r>
        <w:rPr>
          <w:spacing w:val="16"/>
          <w:sz w:val="19"/>
          <w:szCs w:val="19"/>
        </w:rPr>
        <w:t>交</w:t>
      </w:r>
      <w:r>
        <w:rPr>
          <w:spacing w:val="15"/>
          <w:sz w:val="19"/>
          <w:szCs w:val="19"/>
        </w:rPr>
        <w:t>换机与全部的</w:t>
      </w:r>
      <w:r>
        <w:rPr>
          <w:rFonts w:ascii="Times New Roman" w:hAnsi="Times New Roman" w:eastAsia="Times New Roman" w:cs="Times New Roman"/>
          <w:sz w:val="19"/>
          <w:szCs w:val="19"/>
        </w:rPr>
        <w:t>Spine</w:t>
      </w:r>
      <w:r>
        <w:rPr>
          <w:rFonts w:ascii="Times New Roman" w:hAnsi="Times New Roman" w:eastAsia="Times New Roman" w:cs="Times New Roman"/>
          <w:spacing w:val="42"/>
          <w:sz w:val="19"/>
          <w:szCs w:val="19"/>
        </w:rPr>
        <w:t xml:space="preserve"> </w:t>
      </w:r>
      <w:r>
        <w:rPr>
          <w:spacing w:val="15"/>
          <w:sz w:val="19"/>
          <w:szCs w:val="19"/>
        </w:rPr>
        <w:t>交换机</w:t>
      </w:r>
      <w:r>
        <w:rPr>
          <w:sz w:val="19"/>
          <w:szCs w:val="19"/>
        </w:rPr>
        <w:t xml:space="preserve"> </w:t>
      </w:r>
      <w:r>
        <w:rPr>
          <w:spacing w:val="16"/>
          <w:sz w:val="19"/>
          <w:szCs w:val="19"/>
        </w:rPr>
        <w:t>进行互连，同样地，每个</w:t>
      </w:r>
      <w:r>
        <w:rPr>
          <w:sz w:val="19"/>
          <w:szCs w:val="19"/>
        </w:rPr>
        <w:t>Spine</w:t>
      </w:r>
      <w:r>
        <w:rPr>
          <w:spacing w:val="16"/>
          <w:sz w:val="19"/>
          <w:szCs w:val="19"/>
        </w:rPr>
        <w:t>交换机也下连全部的</w:t>
      </w:r>
      <w:r>
        <w:rPr>
          <w:sz w:val="19"/>
          <w:szCs w:val="19"/>
        </w:rPr>
        <w:t>Leaf</w:t>
      </w:r>
      <w:r>
        <w:rPr>
          <w:spacing w:val="-29"/>
          <w:sz w:val="19"/>
          <w:szCs w:val="19"/>
        </w:rPr>
        <w:t xml:space="preserve"> </w:t>
      </w:r>
      <w:r>
        <w:rPr>
          <w:spacing w:val="16"/>
          <w:sz w:val="19"/>
          <w:szCs w:val="19"/>
        </w:rPr>
        <w:t>交换机，这样就组</w:t>
      </w:r>
      <w:r>
        <w:rPr>
          <w:spacing w:val="15"/>
          <w:sz w:val="19"/>
          <w:szCs w:val="19"/>
        </w:rPr>
        <w:t>成了数据中心内部</w:t>
      </w:r>
      <w:r>
        <w:rPr>
          <w:sz w:val="19"/>
          <w:szCs w:val="19"/>
        </w:rPr>
        <w:t xml:space="preserve"> </w:t>
      </w:r>
      <w:r>
        <w:rPr>
          <w:spacing w:val="9"/>
          <w:sz w:val="19"/>
          <w:szCs w:val="19"/>
        </w:rPr>
        <w:t>的全互连网络连接架构，如图4-4所示。</w:t>
      </w:r>
    </w:p>
    <w:p w14:paraId="008E5C1E">
      <w:pPr>
        <w:pStyle w:val="2"/>
        <w:spacing w:before="131" w:line="2780" w:lineRule="exact"/>
        <w:ind w:firstLine="849"/>
      </w:pPr>
      <w:r>
        <w:rPr>
          <w:position w:val="-55"/>
        </w:rPr>
        <w:pict>
          <v:group id="_x0000_s1285" o:spid="_x0000_s1285" o:spt="203" style="height:139pt;width:362pt;" coordsize="7240,2780">
            <o:lock v:ext="edit"/>
            <v:shape id="_x0000_s1286" o:spid="_x0000_s1286" o:spt="75" type="#_x0000_t75" style="position:absolute;left:0;top:0;height:2780;width:7240;" filled="f" stroked="f" coordsize="21600,21600">
              <v:path/>
              <v:fill on="f" focussize="0,0"/>
              <v:stroke on="f"/>
              <v:imagedata r:id="rId101" o:title=""/>
              <o:lock v:ext="edit" aspectratio="t"/>
            </v:shape>
            <v:shape id="_x0000_s1287" o:spid="_x0000_s1287" o:spt="202" type="#_x0000_t202" style="position:absolute;left:20;top:186;height:2493;width:7010;" filled="f" stroked="f" coordsize="21600,21600">
              <v:path/>
              <v:fill on="f" focussize="0,0"/>
              <v:stroke on="f"/>
              <v:imagedata o:title=""/>
              <o:lock v:ext="edit" aspectratio="f"/>
              <v:textbox inset="0mm,0mm,0mm,0mm">
                <w:txbxContent>
                  <w:p w14:paraId="2FCF47DC">
                    <w:pPr>
                      <w:spacing w:before="20" w:line="212" w:lineRule="auto"/>
                      <w:ind w:left="340"/>
                      <w:rPr>
                        <w:rFonts w:ascii="宋体" w:hAnsi="宋体" w:eastAsia="宋体" w:cs="宋体"/>
                        <w:sz w:val="19"/>
                        <w:szCs w:val="19"/>
                      </w:rPr>
                    </w:pPr>
                    <w:r>
                      <w:rPr>
                        <w:rFonts w:ascii="Times New Roman" w:hAnsi="Times New Roman" w:eastAsia="Times New Roman" w:cs="Times New Roman"/>
                        <w:spacing w:val="-7"/>
                        <w:sz w:val="19"/>
                        <w:szCs w:val="19"/>
                      </w:rPr>
                      <w:t>Spine</w:t>
                    </w:r>
                    <w:r>
                      <w:rPr>
                        <w:rFonts w:ascii="宋体" w:hAnsi="宋体" w:eastAsia="宋体" w:cs="宋体"/>
                        <w:spacing w:val="-7"/>
                        <w:sz w:val="19"/>
                        <w:szCs w:val="19"/>
                      </w:rPr>
                      <w:t>交换机</w:t>
                    </w:r>
                  </w:p>
                  <w:p w14:paraId="5C97C950">
                    <w:pPr>
                      <w:spacing w:before="22" w:line="79" w:lineRule="exact"/>
                      <w:ind w:left="2260"/>
                      <w:rPr>
                        <w:rFonts w:ascii="宋体" w:hAnsi="宋体" w:eastAsia="宋体" w:cs="宋体"/>
                        <w:sz w:val="5"/>
                        <w:szCs w:val="5"/>
                      </w:rPr>
                    </w:pPr>
                    <w:r>
                      <w:rPr>
                        <w:rFonts w:ascii="宋体" w:hAnsi="宋体" w:eastAsia="宋体" w:cs="宋体"/>
                        <w:color w:val="82BEC3"/>
                        <w:position w:val="1"/>
                        <w:sz w:val="5"/>
                        <w:szCs w:val="5"/>
                      </w:rPr>
                      <w:t>…</w:t>
                    </w:r>
                  </w:p>
                  <w:p w14:paraId="19DA91E3">
                    <w:pPr>
                      <w:spacing w:line="327" w:lineRule="auto"/>
                      <w:rPr>
                        <w:rFonts w:ascii="Arial"/>
                        <w:sz w:val="21"/>
                      </w:rPr>
                    </w:pPr>
                  </w:p>
                  <w:p w14:paraId="0709FF3B">
                    <w:pPr>
                      <w:spacing w:line="328" w:lineRule="auto"/>
                      <w:rPr>
                        <w:rFonts w:ascii="Arial"/>
                        <w:sz w:val="21"/>
                      </w:rPr>
                    </w:pPr>
                  </w:p>
                  <w:p w14:paraId="66F60175">
                    <w:pPr>
                      <w:spacing w:before="61" w:line="185" w:lineRule="auto"/>
                      <w:ind w:left="20"/>
                      <w:rPr>
                        <w:rFonts w:ascii="宋体" w:hAnsi="宋体" w:eastAsia="宋体" w:cs="宋体"/>
                        <w:sz w:val="19"/>
                        <w:szCs w:val="19"/>
                      </w:rPr>
                    </w:pPr>
                    <w:r>
                      <w:rPr>
                        <w:rFonts w:ascii="Times New Roman" w:hAnsi="Times New Roman" w:eastAsia="Times New Roman" w:cs="Times New Roman"/>
                        <w:sz w:val="19"/>
                        <w:szCs w:val="19"/>
                      </w:rPr>
                      <w:t>Leaf</w:t>
                    </w:r>
                    <w:r>
                      <w:rPr>
                        <w:rFonts w:ascii="宋体" w:hAnsi="宋体" w:eastAsia="宋体" w:cs="宋体"/>
                        <w:spacing w:val="1"/>
                        <w:sz w:val="19"/>
                        <w:szCs w:val="19"/>
                      </w:rPr>
                      <w:t>交换机</w:t>
                    </w:r>
                  </w:p>
                  <w:p w14:paraId="2EE7D734">
                    <w:pPr>
                      <w:spacing w:line="78" w:lineRule="exact"/>
                      <w:ind w:left="2849"/>
                      <w:rPr>
                        <w:rFonts w:ascii="宋体" w:hAnsi="宋体" w:eastAsia="宋体" w:cs="宋体"/>
                        <w:sz w:val="5"/>
                        <w:szCs w:val="5"/>
                      </w:rPr>
                    </w:pPr>
                    <w:r>
                      <w:rPr>
                        <w:rFonts w:ascii="宋体" w:hAnsi="宋体" w:eastAsia="宋体" w:cs="宋体"/>
                        <w:position w:val="1"/>
                        <w:sz w:val="5"/>
                        <w:szCs w:val="5"/>
                      </w:rPr>
                      <w:t>…</w:t>
                    </w:r>
                  </w:p>
                  <w:p w14:paraId="497BE487">
                    <w:pPr>
                      <w:spacing w:line="371" w:lineRule="auto"/>
                      <w:rPr>
                        <w:rFonts w:ascii="Arial"/>
                        <w:sz w:val="21"/>
                      </w:rPr>
                    </w:pPr>
                  </w:p>
                  <w:p w14:paraId="7385B30F">
                    <w:pPr>
                      <w:spacing w:before="72" w:line="206" w:lineRule="auto"/>
                      <w:ind w:left="1349"/>
                      <w:rPr>
                        <w:rFonts w:ascii="黑体" w:hAnsi="黑体" w:eastAsia="黑体" w:cs="黑体"/>
                        <w:sz w:val="19"/>
                        <w:szCs w:val="19"/>
                      </w:rPr>
                    </w:pPr>
                    <w:r>
                      <w:rPr>
                        <w:rFonts w:ascii="Times New Roman" w:hAnsi="Times New Roman" w:eastAsia="Times New Roman" w:cs="Times New Roman"/>
                        <w:color w:val="0A54E7"/>
                        <w:spacing w:val="-6"/>
                        <w:position w:val="-2"/>
                        <w:sz w:val="25"/>
                        <w:szCs w:val="25"/>
                      </w:rPr>
                      <w:t xml:space="preserve">l                   </w:t>
                    </w:r>
                    <w:r>
                      <w:rPr>
                        <w:rFonts w:ascii="Times New Roman" w:hAnsi="Times New Roman" w:eastAsia="Times New Roman" w:cs="Times New Roman"/>
                        <w:color w:val="0A54E7"/>
                        <w:spacing w:val="-7"/>
                        <w:position w:val="-2"/>
                        <w:sz w:val="25"/>
                        <w:szCs w:val="25"/>
                      </w:rPr>
                      <w:t xml:space="preserve">  </w:t>
                    </w:r>
                    <w:r>
                      <w:rPr>
                        <w:rFonts w:ascii="黑体" w:hAnsi="黑体" w:eastAsia="黑体" w:cs="黑体"/>
                        <w:color w:val="0D5AE0"/>
                        <w:spacing w:val="-7"/>
                        <w:sz w:val="19"/>
                        <w:szCs w:val="19"/>
                      </w:rPr>
                      <w:t>山</w:t>
                    </w:r>
                    <w:r>
                      <w:rPr>
                        <w:rFonts w:ascii="黑体" w:hAnsi="黑体" w:eastAsia="黑体" w:cs="黑体"/>
                        <w:color w:val="0D5AE0"/>
                        <w:spacing w:val="6"/>
                        <w:sz w:val="19"/>
                        <w:szCs w:val="19"/>
                      </w:rPr>
                      <w:t xml:space="preserve">           </w:t>
                    </w:r>
                    <w:r>
                      <w:rPr>
                        <w:rFonts w:ascii="黑体" w:hAnsi="黑体" w:eastAsia="黑体" w:cs="黑体"/>
                        <w:color w:val="0050F3"/>
                        <w:spacing w:val="-7"/>
                        <w:sz w:val="19"/>
                        <w:szCs w:val="19"/>
                      </w:rPr>
                      <w:t>山</w:t>
                    </w:r>
                    <w:r>
                      <w:rPr>
                        <w:rFonts w:ascii="黑体" w:hAnsi="黑体" w:eastAsia="黑体" w:cs="黑体"/>
                        <w:color w:val="0050F3"/>
                        <w:spacing w:val="5"/>
                        <w:sz w:val="19"/>
                        <w:szCs w:val="19"/>
                      </w:rPr>
                      <w:t xml:space="preserve">           </w:t>
                    </w:r>
                    <w:r>
                      <w:rPr>
                        <w:rFonts w:ascii="黑体" w:hAnsi="黑体" w:eastAsia="黑体" w:cs="黑体"/>
                        <w:color w:val="0756F4"/>
                        <w:spacing w:val="-7"/>
                        <w:sz w:val="19"/>
                        <w:szCs w:val="19"/>
                      </w:rPr>
                      <w:t>山</w:t>
                    </w:r>
                    <w:r>
                      <w:rPr>
                        <w:rFonts w:ascii="黑体" w:hAnsi="黑体" w:eastAsia="黑体" w:cs="黑体"/>
                        <w:color w:val="0756F4"/>
                        <w:spacing w:val="6"/>
                        <w:sz w:val="19"/>
                        <w:szCs w:val="19"/>
                      </w:rPr>
                      <w:t xml:space="preserve">            </w:t>
                    </w:r>
                    <w:r>
                      <w:rPr>
                        <w:rFonts w:ascii="黑体" w:hAnsi="黑体" w:eastAsia="黑体" w:cs="黑体"/>
                        <w:color w:val="0754C9"/>
                        <w:spacing w:val="-7"/>
                        <w:sz w:val="19"/>
                        <w:szCs w:val="19"/>
                      </w:rPr>
                      <w:t>山</w:t>
                    </w:r>
                  </w:p>
                  <w:p w14:paraId="599E2496">
                    <w:pPr>
                      <w:spacing w:before="52" w:line="69" w:lineRule="exact"/>
                      <w:ind w:firstLine="1409"/>
                    </w:pPr>
                    <w:r>
                      <w:rPr>
                        <w:position w:val="-1"/>
                      </w:rPr>
                      <w:drawing>
                        <wp:inline distT="0" distB="0" distL="0" distR="0">
                          <wp:extent cx="2723515" cy="4381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05"/>
                                  <a:stretch>
                                    <a:fillRect/>
                                  </a:stretch>
                                </pic:blipFill>
                                <pic:spPr>
                                  <a:xfrm>
                                    <a:off x="0" y="0"/>
                                    <a:ext cx="2724144" cy="44417"/>
                                  </a:xfrm>
                                  <a:prstGeom prst="rect">
                                    <a:avLst/>
                                  </a:prstGeom>
                                </pic:spPr>
                              </pic:pic>
                            </a:graphicData>
                          </a:graphic>
                        </wp:inline>
                      </w:drawing>
                    </w:r>
                  </w:p>
                  <w:p w14:paraId="55EBD86F">
                    <w:pPr>
                      <w:spacing w:before="91" w:line="240" w:lineRule="exact"/>
                      <w:ind w:firstLine="1419"/>
                    </w:pPr>
                    <w:r>
                      <w:rPr>
                        <w:position w:val="-4"/>
                      </w:rPr>
                      <w:drawing>
                        <wp:inline distT="0" distB="0" distL="0" distR="0">
                          <wp:extent cx="3536315" cy="15176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6"/>
                                  <a:stretch>
                                    <a:fillRect/>
                                  </a:stretch>
                                </pic:blipFill>
                                <pic:spPr>
                                  <a:xfrm>
                                    <a:off x="0" y="0"/>
                                    <a:ext cx="3536936" cy="152396"/>
                                  </a:xfrm>
                                  <a:prstGeom prst="rect">
                                    <a:avLst/>
                                  </a:prstGeom>
                                </pic:spPr>
                              </pic:pic>
                            </a:graphicData>
                          </a:graphic>
                        </wp:inline>
                      </w:drawing>
                    </w:r>
                  </w:p>
                </w:txbxContent>
              </v:textbox>
            </v:shape>
            <v:shape id="_x0000_s1288" o:spid="_x0000_s1288" o:spt="75" type="#_x0000_t75" style="position:absolute;left:3050;top:239;height:251;width:3241;" filled="f" stroked="f" coordsize="21600,21600">
              <v:path/>
              <v:fill on="f" focussize="0,0"/>
              <v:stroke on="f"/>
              <v:imagedata r:id="rId102" o:title=""/>
              <o:lock v:ext="edit" aspectratio="t"/>
            </v:shape>
            <v:shape id="_x0000_s1289" o:spid="_x0000_s1289" o:spt="75" type="#_x0000_t75" style="position:absolute;left:3750;top:1240;height:251;width:3240;" filled="f" stroked="f" coordsize="21600,21600">
              <v:path/>
              <v:fill on="f" focussize="0,0"/>
              <v:stroke on="f"/>
              <v:imagedata r:id="rId103" o:title=""/>
              <o:lock v:ext="edit" aspectratio="t"/>
            </v:shape>
            <v:shape id="_x0000_s1290" o:spid="_x0000_s1290" o:spt="75" type="#_x0000_t75" style="position:absolute;left:2489;top:1240;height:50;width:670;" filled="f" stroked="f" coordsize="21600,21600">
              <v:path/>
              <v:fill on="f" focussize="0,0"/>
              <v:stroke on="f"/>
              <v:imagedata r:id="rId104" o:title=""/>
              <o:lock v:ext="edit" aspectratio="t"/>
            </v:shape>
            <v:shape id="_x0000_s1291" o:spid="_x0000_s1291" o:spt="202" type="#_x0000_t202" style="position:absolute;left:1209;top:1427;height:90;width:375;" filled="f" stroked="f" coordsize="21600,21600">
              <v:path/>
              <v:fill on="f" focussize="0,0"/>
              <v:stroke on="f"/>
              <v:imagedata o:title=""/>
              <o:lock v:ext="edit" aspectratio="f"/>
              <v:textbox inset="0mm,0mm,0mm,0mm">
                <w:txbxContent>
                  <w:p w14:paraId="1B87D813">
                    <w:pPr>
                      <w:spacing w:before="20" w:line="78" w:lineRule="exact"/>
                      <w:ind w:left="20"/>
                      <w:rPr>
                        <w:rFonts w:ascii="宋体" w:hAnsi="宋体" w:eastAsia="宋体" w:cs="宋体"/>
                        <w:sz w:val="5"/>
                        <w:szCs w:val="5"/>
                      </w:rPr>
                    </w:pPr>
                    <w:r>
                      <w:rPr>
                        <w:rFonts w:ascii="宋体" w:hAnsi="宋体" w:eastAsia="宋体" w:cs="宋体"/>
                        <w:spacing w:val="-2"/>
                        <w:position w:val="1"/>
                        <w:sz w:val="5"/>
                        <w:szCs w:val="5"/>
                      </w:rPr>
                      <w:t>…      ………</w:t>
                    </w:r>
                  </w:p>
                </w:txbxContent>
              </v:textbox>
            </v:shape>
            <v:shape id="_x0000_s1292" o:spid="_x0000_s1292" o:spt="202" type="#_x0000_t202" style="position:absolute;left:1760;top:427;height:90;width:85;" filled="f" stroked="f" coordsize="21600,21600">
              <v:path/>
              <v:fill on="f" focussize="0,0"/>
              <v:stroke on="f"/>
              <v:imagedata o:title=""/>
              <o:lock v:ext="edit" aspectratio="f"/>
              <v:textbox inset="0mm,0mm,0mm,0mm">
                <w:txbxContent>
                  <w:p w14:paraId="2AD9BA6A">
                    <w:pPr>
                      <w:spacing w:before="20" w:line="78" w:lineRule="exact"/>
                      <w:ind w:left="20"/>
                      <w:rPr>
                        <w:rFonts w:ascii="宋体" w:hAnsi="宋体" w:eastAsia="宋体" w:cs="宋体"/>
                        <w:sz w:val="5"/>
                        <w:szCs w:val="5"/>
                      </w:rPr>
                    </w:pPr>
                    <w:r>
                      <w:rPr>
                        <w:rFonts w:ascii="宋体" w:hAnsi="宋体" w:eastAsia="宋体" w:cs="宋体"/>
                        <w:color w:val="82BEC3"/>
                        <w:position w:val="1"/>
                        <w:sz w:val="5"/>
                        <w:szCs w:val="5"/>
                      </w:rPr>
                      <w:t>…</w:t>
                    </w:r>
                  </w:p>
                </w:txbxContent>
              </v:textbox>
            </v:shape>
            <v:shape id="_x0000_s1293" o:spid="_x0000_s1293" o:spt="202" type="#_x0000_t202" style="position:absolute;left:1409;top:1217;height:90;width:85;" filled="f" stroked="f" coordsize="21600,21600">
              <v:path/>
              <v:fill on="f" focussize="0,0"/>
              <v:stroke on="f"/>
              <v:imagedata o:title=""/>
              <o:lock v:ext="edit" aspectratio="f"/>
              <v:textbox inset="0mm,0mm,0mm,0mm">
                <w:txbxContent>
                  <w:p w14:paraId="254A249D">
                    <w:pPr>
                      <w:spacing w:before="20" w:line="78" w:lineRule="exact"/>
                      <w:ind w:left="20"/>
                      <w:rPr>
                        <w:rFonts w:ascii="宋体" w:hAnsi="宋体" w:eastAsia="宋体" w:cs="宋体"/>
                        <w:sz w:val="5"/>
                        <w:szCs w:val="5"/>
                      </w:rPr>
                    </w:pPr>
                    <w:r>
                      <w:rPr>
                        <w:rFonts w:ascii="宋体" w:hAnsi="宋体" w:eastAsia="宋体" w:cs="宋体"/>
                        <w:position w:val="1"/>
                        <w:sz w:val="5"/>
                        <w:szCs w:val="5"/>
                      </w:rPr>
                      <w:t>…</w:t>
                    </w:r>
                  </w:p>
                </w:txbxContent>
              </v:textbox>
            </v:shape>
            <w10:wrap type="none"/>
            <w10:anchorlock/>
          </v:group>
        </w:pict>
      </w:r>
    </w:p>
    <w:p w14:paraId="650C5D98">
      <w:pPr>
        <w:pStyle w:val="2"/>
        <w:spacing w:before="47" w:line="212" w:lineRule="auto"/>
        <w:ind w:left="2849"/>
        <w:rPr>
          <w:sz w:val="19"/>
          <w:szCs w:val="19"/>
        </w:rPr>
      </w:pPr>
      <w:r>
        <w:rPr>
          <w:spacing w:val="-2"/>
          <w:sz w:val="19"/>
          <w:szCs w:val="19"/>
        </w:rPr>
        <w:t>图4-4</w:t>
      </w:r>
      <w:r>
        <w:rPr>
          <w:spacing w:val="75"/>
          <w:sz w:val="19"/>
          <w:szCs w:val="19"/>
        </w:rPr>
        <w:t xml:space="preserve"> </w:t>
      </w:r>
      <w:r>
        <w:rPr>
          <w:spacing w:val="-2"/>
          <w:sz w:val="19"/>
          <w:szCs w:val="19"/>
        </w:rPr>
        <w:t>数据中心二层</w:t>
      </w:r>
      <w:r>
        <w:rPr>
          <w:rFonts w:ascii="Times New Roman" w:hAnsi="Times New Roman" w:eastAsia="Times New Roman" w:cs="Times New Roman"/>
          <w:spacing w:val="-2"/>
          <w:sz w:val="19"/>
          <w:szCs w:val="19"/>
        </w:rPr>
        <w:t>Spine-Leaf</w:t>
      </w:r>
      <w:r>
        <w:rPr>
          <w:spacing w:val="-2"/>
          <w:sz w:val="19"/>
          <w:szCs w:val="19"/>
        </w:rPr>
        <w:t>组网架构</w:t>
      </w:r>
    </w:p>
    <w:p w14:paraId="6B038AD7">
      <w:pPr>
        <w:spacing w:line="296" w:lineRule="auto"/>
        <w:rPr>
          <w:rFonts w:ascii="Arial"/>
          <w:sz w:val="21"/>
        </w:rPr>
      </w:pPr>
    </w:p>
    <w:p w14:paraId="66AA1828">
      <w:pPr>
        <w:spacing w:line="297" w:lineRule="auto"/>
        <w:rPr>
          <w:rFonts w:ascii="Arial"/>
          <w:sz w:val="21"/>
        </w:rPr>
      </w:pPr>
    </w:p>
    <w:p w14:paraId="26BC6861">
      <w:pPr>
        <w:pStyle w:val="2"/>
        <w:spacing w:before="62" w:line="221" w:lineRule="auto"/>
        <w:ind w:left="322"/>
        <w:rPr>
          <w:rFonts w:ascii="黑体" w:hAnsi="黑体" w:eastAsia="黑体" w:cs="黑体"/>
          <w:sz w:val="19"/>
          <w:szCs w:val="19"/>
        </w:rPr>
      </w:pPr>
      <w:r>
        <w:rPr>
          <w:b/>
          <w:bCs/>
          <w:color w:val="0046B1"/>
          <w:spacing w:val="-9"/>
          <w:sz w:val="19"/>
          <w:szCs w:val="19"/>
        </w:rPr>
        <w:t>4.2</w:t>
      </w:r>
      <w:r>
        <w:rPr>
          <w:color w:val="0046B1"/>
          <w:spacing w:val="3"/>
          <w:sz w:val="19"/>
          <w:szCs w:val="19"/>
        </w:rPr>
        <w:t xml:space="preserve">    </w:t>
      </w:r>
      <w:r>
        <w:rPr>
          <w:rFonts w:ascii="黑体" w:hAnsi="黑体" w:eastAsia="黑体" w:cs="黑体"/>
          <w:b/>
          <w:bCs/>
          <w:color w:val="0046B1"/>
          <w:spacing w:val="-9"/>
          <w:sz w:val="19"/>
          <w:szCs w:val="19"/>
        </w:rPr>
        <w:t>云</w:t>
      </w:r>
      <w:r>
        <w:rPr>
          <w:rFonts w:ascii="黑体" w:hAnsi="黑体" w:eastAsia="黑体" w:cs="黑体"/>
          <w:color w:val="0046B1"/>
          <w:spacing w:val="33"/>
          <w:sz w:val="19"/>
          <w:szCs w:val="19"/>
        </w:rPr>
        <w:t xml:space="preserve"> </w:t>
      </w:r>
      <w:r>
        <w:rPr>
          <w:rFonts w:ascii="黑体" w:hAnsi="黑体" w:eastAsia="黑体" w:cs="黑体"/>
          <w:b/>
          <w:bCs/>
          <w:color w:val="0046B1"/>
          <w:spacing w:val="-9"/>
          <w:sz w:val="19"/>
          <w:szCs w:val="19"/>
        </w:rPr>
        <w:t>资</w:t>
      </w:r>
      <w:r>
        <w:rPr>
          <w:rFonts w:ascii="黑体" w:hAnsi="黑体" w:eastAsia="黑体" w:cs="黑体"/>
          <w:color w:val="0046B1"/>
          <w:spacing w:val="23"/>
          <w:sz w:val="19"/>
          <w:szCs w:val="19"/>
        </w:rPr>
        <w:t xml:space="preserve"> </w:t>
      </w:r>
      <w:r>
        <w:rPr>
          <w:rFonts w:ascii="黑体" w:hAnsi="黑体" w:eastAsia="黑体" w:cs="黑体"/>
          <w:b/>
          <w:bCs/>
          <w:color w:val="0046B1"/>
          <w:spacing w:val="-9"/>
          <w:sz w:val="19"/>
          <w:szCs w:val="19"/>
        </w:rPr>
        <w:t>源</w:t>
      </w:r>
      <w:r>
        <w:rPr>
          <w:rFonts w:ascii="黑体" w:hAnsi="黑体" w:eastAsia="黑体" w:cs="黑体"/>
          <w:color w:val="0046B1"/>
          <w:spacing w:val="27"/>
          <w:sz w:val="19"/>
          <w:szCs w:val="19"/>
        </w:rPr>
        <w:t xml:space="preserve"> </w:t>
      </w:r>
      <w:r>
        <w:rPr>
          <w:rFonts w:ascii="黑体" w:hAnsi="黑体" w:eastAsia="黑体" w:cs="黑体"/>
          <w:b/>
          <w:bCs/>
          <w:color w:val="0046B1"/>
          <w:spacing w:val="-9"/>
          <w:sz w:val="19"/>
          <w:szCs w:val="19"/>
        </w:rPr>
        <w:t>系</w:t>
      </w:r>
      <w:r>
        <w:rPr>
          <w:rFonts w:ascii="黑体" w:hAnsi="黑体" w:eastAsia="黑体" w:cs="黑体"/>
          <w:color w:val="0046B1"/>
          <w:spacing w:val="22"/>
          <w:sz w:val="19"/>
          <w:szCs w:val="19"/>
        </w:rPr>
        <w:t xml:space="preserve"> </w:t>
      </w:r>
      <w:r>
        <w:rPr>
          <w:rFonts w:ascii="黑体" w:hAnsi="黑体" w:eastAsia="黑体" w:cs="黑体"/>
          <w:b/>
          <w:bCs/>
          <w:color w:val="0046B1"/>
          <w:spacing w:val="-9"/>
          <w:sz w:val="19"/>
          <w:szCs w:val="19"/>
        </w:rPr>
        <w:t>统</w:t>
      </w:r>
    </w:p>
    <w:p w14:paraId="01257C32">
      <w:pPr>
        <w:pStyle w:val="2"/>
        <w:spacing w:before="278" w:line="294" w:lineRule="auto"/>
        <w:ind w:left="319" w:right="196" w:firstLine="410"/>
        <w:jc w:val="both"/>
        <w:rPr>
          <w:sz w:val="19"/>
          <w:szCs w:val="19"/>
        </w:rPr>
      </w:pPr>
      <w:r>
        <w:rPr>
          <w:spacing w:val="13"/>
          <w:sz w:val="19"/>
          <w:szCs w:val="19"/>
        </w:rPr>
        <w:t>云资源系统通过云计算，把基础设施、物理资源、虚拟资源、平台资源、应用及数据等资</w:t>
      </w:r>
      <w:r>
        <w:rPr>
          <w:spacing w:val="6"/>
          <w:sz w:val="19"/>
          <w:szCs w:val="19"/>
        </w:rPr>
        <w:t xml:space="preserve"> </w:t>
      </w:r>
      <w:r>
        <w:rPr>
          <w:spacing w:val="14"/>
          <w:sz w:val="19"/>
          <w:szCs w:val="19"/>
        </w:rPr>
        <w:t>源集合起来，作为服务资源池，以不同的服务模式，通过</w:t>
      </w:r>
      <w:r>
        <w:rPr>
          <w:spacing w:val="13"/>
          <w:sz w:val="19"/>
          <w:szCs w:val="19"/>
        </w:rPr>
        <w:t>网络提供给用户。用户仅需较少的代</w:t>
      </w:r>
      <w:r>
        <w:rPr>
          <w:sz w:val="19"/>
          <w:szCs w:val="19"/>
        </w:rPr>
        <w:t xml:space="preserve"> </w:t>
      </w:r>
      <w:r>
        <w:rPr>
          <w:spacing w:val="11"/>
          <w:sz w:val="19"/>
          <w:szCs w:val="19"/>
        </w:rPr>
        <w:t>价即可获得优质的</w:t>
      </w:r>
      <w:r>
        <w:rPr>
          <w:rFonts w:ascii="Times New Roman" w:hAnsi="Times New Roman" w:eastAsia="Times New Roman" w:cs="Times New Roman"/>
          <w:sz w:val="19"/>
          <w:szCs w:val="19"/>
        </w:rPr>
        <w:t>IT</w:t>
      </w:r>
      <w:r>
        <w:rPr>
          <w:rFonts w:ascii="Times New Roman" w:hAnsi="Times New Roman" w:eastAsia="Times New Roman" w:cs="Times New Roman"/>
          <w:spacing w:val="40"/>
          <w:w w:val="101"/>
          <w:sz w:val="19"/>
          <w:szCs w:val="19"/>
        </w:rPr>
        <w:t xml:space="preserve"> </w:t>
      </w:r>
      <w:r>
        <w:rPr>
          <w:spacing w:val="11"/>
          <w:sz w:val="19"/>
          <w:szCs w:val="19"/>
        </w:rPr>
        <w:t>资源和服务，避免了前期基础设施建设的大量投入，同时，用户只需投入</w:t>
      </w:r>
      <w:r>
        <w:rPr>
          <w:sz w:val="19"/>
          <w:szCs w:val="19"/>
        </w:rPr>
        <w:t xml:space="preserve"> </w:t>
      </w:r>
      <w:r>
        <w:rPr>
          <w:spacing w:val="9"/>
          <w:sz w:val="19"/>
          <w:szCs w:val="19"/>
        </w:rPr>
        <w:t>管理性工作，即可完成信息化的快速发展，</w:t>
      </w:r>
      <w:r>
        <w:rPr>
          <w:spacing w:val="8"/>
          <w:sz w:val="19"/>
          <w:szCs w:val="19"/>
        </w:rPr>
        <w:t>而且与服务供应商的交互较少。</w:t>
      </w:r>
    </w:p>
    <w:p w14:paraId="0CD758A5">
      <w:pPr>
        <w:pStyle w:val="2"/>
        <w:spacing w:before="187" w:line="219" w:lineRule="auto"/>
        <w:ind w:left="322"/>
        <w:rPr>
          <w:sz w:val="25"/>
          <w:szCs w:val="25"/>
        </w:rPr>
      </w:pPr>
      <w:r>
        <w:rPr>
          <w:b/>
          <w:bCs/>
          <w:color w:val="0055C5"/>
          <w:spacing w:val="-19"/>
          <w:sz w:val="25"/>
          <w:szCs w:val="25"/>
        </w:rPr>
        <w:t>4.2.1</w:t>
      </w:r>
      <w:r>
        <w:rPr>
          <w:color w:val="0055C5"/>
          <w:spacing w:val="105"/>
          <w:sz w:val="25"/>
          <w:szCs w:val="25"/>
        </w:rPr>
        <w:t xml:space="preserve"> </w:t>
      </w:r>
      <w:r>
        <w:rPr>
          <w:b/>
          <w:bCs/>
          <w:color w:val="0055C5"/>
          <w:spacing w:val="-19"/>
          <w:sz w:val="25"/>
          <w:szCs w:val="25"/>
        </w:rPr>
        <w:t>云计算参考架构</w:t>
      </w:r>
    </w:p>
    <w:p w14:paraId="0C69E58F">
      <w:pPr>
        <w:spacing w:before="241" w:line="222" w:lineRule="auto"/>
        <w:ind w:left="732"/>
        <w:rPr>
          <w:rFonts w:ascii="黑体" w:hAnsi="黑体" w:eastAsia="黑体" w:cs="黑体"/>
          <w:sz w:val="19"/>
          <w:szCs w:val="19"/>
        </w:rPr>
      </w:pPr>
      <w:r>
        <w:rPr>
          <w:rFonts w:ascii="黑体" w:hAnsi="黑体" w:eastAsia="黑体" w:cs="黑体"/>
          <w:b/>
          <w:bCs/>
          <w:color w:val="004DA5"/>
          <w:spacing w:val="8"/>
          <w:sz w:val="19"/>
          <w:szCs w:val="19"/>
        </w:rPr>
        <w:t>1.云计算功能架构</w:t>
      </w:r>
    </w:p>
    <w:p w14:paraId="4866127C">
      <w:pPr>
        <w:pStyle w:val="2"/>
        <w:spacing w:before="145" w:line="219" w:lineRule="auto"/>
        <w:ind w:left="729"/>
        <w:rPr>
          <w:sz w:val="19"/>
          <w:szCs w:val="19"/>
        </w:rPr>
      </w:pPr>
      <w:r>
        <w:rPr>
          <w:spacing w:val="11"/>
          <w:sz w:val="19"/>
          <w:szCs w:val="19"/>
        </w:rPr>
        <w:t>云计算功能架构分为服务和管理两大部分，如图4-5所示。</w:t>
      </w:r>
    </w:p>
    <w:p w14:paraId="428CF863">
      <w:pPr>
        <w:spacing w:line="219" w:lineRule="auto"/>
        <w:rPr>
          <w:sz w:val="19"/>
          <w:szCs w:val="19"/>
        </w:rPr>
        <w:sectPr>
          <w:pgSz w:w="10310" w:h="13400"/>
          <w:pgMar w:top="400" w:right="923" w:bottom="400" w:left="520" w:header="0" w:footer="0" w:gutter="0"/>
          <w:cols w:space="720" w:num="1"/>
        </w:sectPr>
      </w:pPr>
    </w:p>
    <w:p w14:paraId="27F60E91">
      <w:pPr>
        <w:pStyle w:val="2"/>
        <w:spacing w:before="54" w:line="221" w:lineRule="auto"/>
        <w:jc w:val="right"/>
        <w:rPr>
          <w:rFonts w:ascii="Times New Roman" w:hAnsi="Times New Roman" w:eastAsia="Times New Roman" w:cs="Times New Roman"/>
          <w:sz w:val="18"/>
          <w:szCs w:val="18"/>
        </w:rPr>
      </w:pPr>
      <w:r>
        <w:rPr>
          <w:b/>
          <w:bCs/>
          <w:spacing w:val="6"/>
          <w:sz w:val="18"/>
          <w:szCs w:val="18"/>
        </w:rPr>
        <w:t>第4章</w:t>
      </w:r>
      <w:r>
        <w:rPr>
          <w:spacing w:val="52"/>
          <w:sz w:val="18"/>
          <w:szCs w:val="18"/>
        </w:rPr>
        <w:t xml:space="preserve"> </w:t>
      </w:r>
      <w:r>
        <w:rPr>
          <w:b/>
          <w:bCs/>
          <w:spacing w:val="6"/>
          <w:sz w:val="18"/>
          <w:szCs w:val="18"/>
        </w:rPr>
        <w:t>信息资源系统</w:t>
      </w:r>
      <w:r>
        <w:rPr>
          <w:spacing w:val="14"/>
          <w:sz w:val="18"/>
          <w:szCs w:val="18"/>
        </w:rPr>
        <w:t xml:space="preserve">      </w:t>
      </w:r>
      <w:r>
        <w:rPr>
          <w:rFonts w:ascii="Times New Roman" w:hAnsi="Times New Roman" w:eastAsia="Times New Roman" w:cs="Times New Roman"/>
          <w:spacing w:val="6"/>
          <w:position w:val="-3"/>
          <w:sz w:val="18"/>
          <w:szCs w:val="18"/>
        </w:rPr>
        <w:t>127</w:t>
      </w:r>
    </w:p>
    <w:p w14:paraId="34FF0628">
      <w:pPr>
        <w:spacing w:line="281" w:lineRule="auto"/>
        <w:rPr>
          <w:rFonts w:ascii="Arial"/>
          <w:sz w:val="21"/>
        </w:rPr>
      </w:pPr>
    </w:p>
    <w:p w14:paraId="0E0DE267">
      <w:pPr>
        <w:spacing w:line="281" w:lineRule="auto"/>
        <w:rPr>
          <w:rFonts w:ascii="Arial"/>
          <w:sz w:val="21"/>
        </w:rPr>
      </w:pPr>
    </w:p>
    <w:p w14:paraId="0D9E5EA1">
      <w:pPr>
        <w:spacing w:before="52" w:line="188" w:lineRule="auto"/>
        <w:ind w:left="2840"/>
        <w:rPr>
          <w:rFonts w:ascii="Times New Roman" w:hAnsi="Times New Roman" w:eastAsia="Times New Roman" w:cs="Times New Roman"/>
          <w:sz w:val="18"/>
          <w:szCs w:val="18"/>
        </w:rPr>
      </w:pPr>
      <w:r>
        <w:pict>
          <v:shape id="_x0000_s1294" o:spid="_x0000_s1294" o:spt="202" type="#_x0000_t202" style="position:absolute;left:0pt;margin-left:338.6pt;margin-top:-3.35pt;height:12.7pt;width:35.8pt;z-index:251702272;mso-width-relative:page;mso-height-relative:page;" filled="f" stroked="f" coordsize="21600,21600">
            <v:path/>
            <v:fill on="f" focussize="0,0"/>
            <v:stroke on="f"/>
            <v:imagedata o:title=""/>
            <o:lock v:ext="edit" aspectratio="f"/>
            <v:textbox inset="0mm,0mm,0mm,0mm">
              <w:txbxContent>
                <w:p w14:paraId="64369EFE">
                  <w:pPr>
                    <w:pStyle w:val="2"/>
                    <w:spacing w:before="20" w:line="219" w:lineRule="auto"/>
                    <w:ind w:left="20"/>
                    <w:rPr>
                      <w:sz w:val="18"/>
                      <w:szCs w:val="18"/>
                    </w:rPr>
                  </w:pPr>
                  <w:bookmarkStart w:id="784" w:name="bookmark534"/>
                  <w:bookmarkEnd w:id="784"/>
                  <w:r>
                    <w:rPr>
                      <w:b/>
                      <w:bCs/>
                      <w:spacing w:val="-11"/>
                      <w:sz w:val="18"/>
                      <w:szCs w:val="18"/>
                    </w:rPr>
                    <w:t>云管理层</w:t>
                  </w:r>
                </w:p>
              </w:txbxContent>
            </v:textbox>
          </v:shape>
        </w:pict>
      </w:r>
      <w:r>
        <w:drawing>
          <wp:anchor distT="0" distB="0" distL="0" distR="0" simplePos="0" relativeHeight="251700224" behindDoc="1" locked="0" layoutInCell="1" allowOverlap="1">
            <wp:simplePos x="0" y="0"/>
            <wp:positionH relativeFrom="column">
              <wp:posOffset>183515</wp:posOffset>
            </wp:positionH>
            <wp:positionV relativeFrom="paragraph">
              <wp:posOffset>-114935</wp:posOffset>
            </wp:positionV>
            <wp:extent cx="3600450" cy="222250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07"/>
                    <a:stretch>
                      <a:fillRect/>
                    </a:stretch>
                  </pic:blipFill>
                  <pic:spPr>
                    <a:xfrm>
                      <a:off x="0" y="0"/>
                      <a:ext cx="3600447" cy="2222498"/>
                    </a:xfrm>
                    <a:prstGeom prst="rect">
                      <a:avLst/>
                    </a:prstGeom>
                  </pic:spPr>
                </pic:pic>
              </a:graphicData>
            </a:graphic>
          </wp:anchor>
        </w:drawing>
      </w:r>
      <w:r>
        <w:rPr>
          <w:rFonts w:ascii="Times New Roman" w:hAnsi="Times New Roman" w:eastAsia="Times New Roman" w:cs="Times New Roman"/>
          <w:spacing w:val="-3"/>
          <w:sz w:val="18"/>
          <w:szCs w:val="18"/>
        </w:rPr>
        <w:t>SaaS</w:t>
      </w:r>
    </w:p>
    <w:p w14:paraId="0ED08057">
      <w:pPr>
        <w:spacing w:line="314" w:lineRule="auto"/>
        <w:rPr>
          <w:rFonts w:ascii="Arial"/>
          <w:sz w:val="21"/>
        </w:rPr>
      </w:pPr>
    </w:p>
    <w:p w14:paraId="1A46E519">
      <w:pPr>
        <w:spacing w:before="51" w:line="193" w:lineRule="auto"/>
        <w:ind w:left="889"/>
        <w:rPr>
          <w:rFonts w:ascii="Times New Roman" w:hAnsi="Times New Roman" w:eastAsia="Times New Roman" w:cs="Times New Roman"/>
          <w:sz w:val="18"/>
          <w:szCs w:val="18"/>
        </w:rPr>
      </w:pPr>
      <w:r>
        <w:pict>
          <v:shape id="_x0000_s1295" o:spid="_x0000_s1295" o:spt="202" type="#_x0000_t202" style="position:absolute;left:0pt;margin-left:320pt;margin-top:-17.1pt;height:151.55pt;width:69.5pt;z-index:251701248;mso-width-relative:page;mso-height-relative:page;" filled="f" stroked="f" coordsize="21600,21600">
            <v:path/>
            <v:fill on="f" focussize="0,0"/>
            <v:stroke on="f"/>
            <v:imagedata o:title=""/>
            <o:lock v:ext="edit" aspectratio="f"/>
            <v:textbox inset="0mm,0mm,0mm,0mm">
              <w:txbxContent>
                <w:p w14:paraId="5B5EDD6F">
                  <w:pPr>
                    <w:spacing w:line="20" w:lineRule="exact"/>
                  </w:pPr>
                </w:p>
                <w:tbl>
                  <w:tblPr>
                    <w:tblStyle w:val="5"/>
                    <w:tblW w:w="1347" w:type="dxa"/>
                    <w:tblInd w:w="20" w:type="dxa"/>
                    <w:tblBorders>
                      <w:top w:val="single" w:color="0000FF" w:sz="2" w:space="0"/>
                      <w:left w:val="single" w:color="0000FF" w:sz="2" w:space="0"/>
                      <w:bottom w:val="single" w:color="0000FF" w:sz="2" w:space="0"/>
                      <w:right w:val="single" w:color="0000FF" w:sz="2" w:space="0"/>
                      <w:insideH w:val="single" w:color="0000FF" w:sz="2" w:space="0"/>
                      <w:insideV w:val="single" w:color="0000FF" w:sz="2" w:space="0"/>
                    </w:tblBorders>
                    <w:tblLayout w:type="fixed"/>
                    <w:tblCellMar>
                      <w:top w:w="0" w:type="dxa"/>
                      <w:left w:w="0" w:type="dxa"/>
                      <w:bottom w:w="0" w:type="dxa"/>
                      <w:right w:w="0" w:type="dxa"/>
                    </w:tblCellMar>
                  </w:tblPr>
                  <w:tblGrid>
                    <w:gridCol w:w="1347"/>
                  </w:tblGrid>
                  <w:tr w14:paraId="6650D057">
                    <w:tblPrEx>
                      <w:tblBorders>
                        <w:top w:val="single" w:color="0000FF" w:sz="2" w:space="0"/>
                        <w:left w:val="single" w:color="0000FF" w:sz="2" w:space="0"/>
                        <w:bottom w:val="single" w:color="0000FF" w:sz="2" w:space="0"/>
                        <w:right w:val="single" w:color="0000FF" w:sz="2" w:space="0"/>
                        <w:insideH w:val="single" w:color="0000FF" w:sz="2" w:space="0"/>
                        <w:insideV w:val="single" w:color="0000FF" w:sz="2" w:space="0"/>
                      </w:tblBorders>
                      <w:tblCellMar>
                        <w:top w:w="0" w:type="dxa"/>
                        <w:left w:w="0" w:type="dxa"/>
                        <w:bottom w:w="0" w:type="dxa"/>
                        <w:right w:w="0" w:type="dxa"/>
                      </w:tblCellMar>
                    </w:tblPrEx>
                    <w:trPr>
                      <w:trHeight w:val="285" w:hRule="atLeast"/>
                    </w:trPr>
                    <w:tc>
                      <w:tcPr>
                        <w:tcW w:w="1347" w:type="dxa"/>
                        <w:tcBorders>
                          <w:left w:val="nil"/>
                        </w:tcBorders>
                        <w:vAlign w:val="top"/>
                      </w:tcPr>
                      <w:p w14:paraId="72B55A4A">
                        <w:pPr>
                          <w:pStyle w:val="6"/>
                          <w:spacing w:before="39" w:line="219" w:lineRule="auto"/>
                          <w:ind w:left="372"/>
                          <w:rPr>
                            <w:sz w:val="18"/>
                            <w:szCs w:val="18"/>
                          </w:rPr>
                        </w:pPr>
                        <w:r>
                          <w:rPr>
                            <w:b/>
                            <w:bCs/>
                            <w:spacing w:val="-12"/>
                            <w:sz w:val="18"/>
                            <w:szCs w:val="18"/>
                          </w:rPr>
                          <w:t>用户管理</w:t>
                        </w:r>
                      </w:p>
                    </w:tc>
                  </w:tr>
                  <w:tr w14:paraId="35EAFC9E">
                    <w:tblPrEx>
                      <w:tblBorders>
                        <w:top w:val="single" w:color="0000FF" w:sz="2" w:space="0"/>
                        <w:left w:val="single" w:color="0000FF" w:sz="2" w:space="0"/>
                        <w:bottom w:val="single" w:color="0000FF" w:sz="2" w:space="0"/>
                        <w:right w:val="single" w:color="0000FF" w:sz="2" w:space="0"/>
                        <w:insideH w:val="single" w:color="0000FF" w:sz="2" w:space="0"/>
                        <w:insideV w:val="single" w:color="0000FF" w:sz="2" w:space="0"/>
                      </w:tblBorders>
                      <w:tblCellMar>
                        <w:top w:w="0" w:type="dxa"/>
                        <w:left w:w="0" w:type="dxa"/>
                        <w:bottom w:w="0" w:type="dxa"/>
                        <w:right w:w="0" w:type="dxa"/>
                      </w:tblCellMar>
                    </w:tblPrEx>
                    <w:trPr>
                      <w:trHeight w:val="2685" w:hRule="atLeast"/>
                    </w:trPr>
                    <w:tc>
                      <w:tcPr>
                        <w:tcW w:w="1347" w:type="dxa"/>
                        <w:tcBorders>
                          <w:left w:val="nil"/>
                          <w:bottom w:val="single" w:color="0000FF" w:sz="4" w:space="0"/>
                        </w:tcBorders>
                        <w:vAlign w:val="top"/>
                      </w:tcPr>
                      <w:p w14:paraId="493BF376">
                        <w:pPr>
                          <w:pStyle w:val="6"/>
                          <w:spacing w:before="100" w:line="220" w:lineRule="auto"/>
                          <w:ind w:left="372"/>
                          <w:rPr>
                            <w:sz w:val="18"/>
                            <w:szCs w:val="18"/>
                          </w:rPr>
                        </w:pPr>
                        <w:r>
                          <w:rPr>
                            <w:b/>
                            <w:bCs/>
                            <w:spacing w:val="-11"/>
                            <w:sz w:val="18"/>
                            <w:szCs w:val="18"/>
                          </w:rPr>
                          <w:t>监控系统</w:t>
                        </w:r>
                      </w:p>
                      <w:p w14:paraId="0D38A9F9">
                        <w:pPr>
                          <w:pStyle w:val="6"/>
                          <w:spacing w:before="94" w:line="332" w:lineRule="auto"/>
                          <w:ind w:left="370" w:right="296"/>
                          <w:jc w:val="both"/>
                          <w:rPr>
                            <w:sz w:val="18"/>
                            <w:szCs w:val="18"/>
                          </w:rPr>
                        </w:pPr>
                        <w:r>
                          <w:rPr>
                            <w:spacing w:val="-12"/>
                            <w:sz w:val="18"/>
                            <w:szCs w:val="18"/>
                          </w:rPr>
                          <w:t>计费管理</w:t>
                        </w:r>
                        <w:r>
                          <w:rPr>
                            <w:spacing w:val="2"/>
                            <w:sz w:val="18"/>
                            <w:szCs w:val="18"/>
                          </w:rPr>
                          <w:t xml:space="preserve"> </w:t>
                        </w:r>
                        <w:r>
                          <w:rPr>
                            <w:spacing w:val="-12"/>
                            <w:sz w:val="18"/>
                            <w:szCs w:val="18"/>
                          </w:rPr>
                          <w:t>安全管理</w:t>
                        </w:r>
                        <w:r>
                          <w:rPr>
                            <w:spacing w:val="2"/>
                            <w:sz w:val="18"/>
                            <w:szCs w:val="18"/>
                          </w:rPr>
                          <w:t xml:space="preserve"> </w:t>
                        </w:r>
                        <w:r>
                          <w:rPr>
                            <w:spacing w:val="-12"/>
                            <w:sz w:val="18"/>
                            <w:szCs w:val="18"/>
                          </w:rPr>
                          <w:t>服务管理</w:t>
                        </w:r>
                        <w:r>
                          <w:rPr>
                            <w:spacing w:val="2"/>
                            <w:sz w:val="18"/>
                            <w:szCs w:val="18"/>
                          </w:rPr>
                          <w:t xml:space="preserve"> </w:t>
                        </w:r>
                        <w:r>
                          <w:rPr>
                            <w:spacing w:val="-11"/>
                            <w:sz w:val="18"/>
                            <w:szCs w:val="18"/>
                          </w:rPr>
                          <w:t>资源系统</w:t>
                        </w:r>
                        <w:r>
                          <w:rPr>
                            <w:spacing w:val="1"/>
                            <w:sz w:val="18"/>
                            <w:szCs w:val="18"/>
                          </w:rPr>
                          <w:t xml:space="preserve"> </w:t>
                        </w:r>
                        <w:r>
                          <w:rPr>
                            <w:spacing w:val="-11"/>
                            <w:sz w:val="18"/>
                            <w:szCs w:val="18"/>
                          </w:rPr>
                          <w:t>容灾支持</w:t>
                        </w:r>
                        <w:r>
                          <w:rPr>
                            <w:sz w:val="18"/>
                            <w:szCs w:val="18"/>
                          </w:rPr>
                          <w:t xml:space="preserve"> </w:t>
                        </w:r>
                        <w:r>
                          <w:rPr>
                            <w:spacing w:val="-12"/>
                            <w:sz w:val="18"/>
                            <w:szCs w:val="18"/>
                          </w:rPr>
                          <w:t>运维管理</w:t>
                        </w:r>
                        <w:r>
                          <w:rPr>
                            <w:spacing w:val="2"/>
                            <w:sz w:val="18"/>
                            <w:szCs w:val="18"/>
                          </w:rPr>
                          <w:t xml:space="preserve"> </w:t>
                        </w:r>
                        <w:r>
                          <w:rPr>
                            <w:spacing w:val="-11"/>
                            <w:sz w:val="18"/>
                            <w:szCs w:val="18"/>
                          </w:rPr>
                          <w:t>用户支持</w:t>
                        </w:r>
                      </w:p>
                    </w:tc>
                  </w:tr>
                </w:tbl>
                <w:p w14:paraId="029195D2">
                  <w:pPr>
                    <w:rPr>
                      <w:rFonts w:ascii="Arial"/>
                      <w:sz w:val="21"/>
                    </w:rPr>
                  </w:pPr>
                </w:p>
              </w:txbxContent>
            </v:textbox>
          </v:shape>
        </w:pict>
      </w:r>
      <w:r>
        <w:rPr>
          <w:rFonts w:ascii="Times New Roman" w:hAnsi="Times New Roman" w:eastAsia="Times New Roman" w:cs="Times New Roman"/>
          <w:spacing w:val="-1"/>
          <w:sz w:val="18"/>
          <w:szCs w:val="18"/>
        </w:rPr>
        <w:t>HTML          JavaScript</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CSS</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5"/>
          <w:szCs w:val="15"/>
        </w:rPr>
        <w:t>Web</w:t>
      </w:r>
      <w:r>
        <w:rPr>
          <w:rFonts w:ascii="Times New Roman" w:hAnsi="Times New Roman" w:eastAsia="Times New Roman" w:cs="Times New Roman"/>
          <w:spacing w:val="11"/>
          <w:sz w:val="15"/>
          <w:szCs w:val="15"/>
        </w:rPr>
        <w:t xml:space="preserve">  </w:t>
      </w:r>
      <w:r>
        <w:rPr>
          <w:rFonts w:ascii="Times New Roman" w:hAnsi="Times New Roman" w:eastAsia="Times New Roman" w:cs="Times New Roman"/>
          <w:spacing w:val="-1"/>
          <w:sz w:val="15"/>
          <w:szCs w:val="15"/>
        </w:rPr>
        <w:t xml:space="preserve">App           </w:t>
      </w:r>
      <w:r>
        <w:rPr>
          <w:rFonts w:ascii="Times New Roman" w:hAnsi="Times New Roman" w:eastAsia="Times New Roman" w:cs="Times New Roman"/>
          <w:spacing w:val="-1"/>
          <w:sz w:val="18"/>
          <w:szCs w:val="18"/>
        </w:rPr>
        <w:t>CRM</w:t>
      </w:r>
    </w:p>
    <w:p w14:paraId="34E28C8C">
      <w:pPr>
        <w:spacing w:line="249" w:lineRule="auto"/>
        <w:rPr>
          <w:rFonts w:ascii="Arial"/>
          <w:sz w:val="21"/>
        </w:rPr>
      </w:pPr>
    </w:p>
    <w:p w14:paraId="435E916E">
      <w:pPr>
        <w:spacing w:line="249" w:lineRule="auto"/>
        <w:rPr>
          <w:rFonts w:ascii="Arial"/>
          <w:sz w:val="21"/>
        </w:rPr>
      </w:pPr>
    </w:p>
    <w:p w14:paraId="76F19B94">
      <w:pPr>
        <w:spacing w:before="52" w:line="188" w:lineRule="auto"/>
        <w:ind w:left="2840"/>
        <w:outlineLvl w:val="1"/>
        <w:rPr>
          <w:rFonts w:ascii="Times New Roman" w:hAnsi="Times New Roman" w:eastAsia="Times New Roman" w:cs="Times New Roman"/>
          <w:sz w:val="18"/>
          <w:szCs w:val="18"/>
        </w:rPr>
      </w:pPr>
      <w:bookmarkStart w:id="548" w:name="bookmark85"/>
      <w:bookmarkEnd w:id="548"/>
      <w:r>
        <w:rPr>
          <w:rFonts w:ascii="Times New Roman" w:hAnsi="Times New Roman" w:eastAsia="Times New Roman" w:cs="Times New Roman"/>
          <w:spacing w:val="-1"/>
          <w:sz w:val="18"/>
          <w:szCs w:val="18"/>
        </w:rPr>
        <w:t>PaaS</w:t>
      </w:r>
    </w:p>
    <w:p w14:paraId="100C114D">
      <w:pPr>
        <w:pStyle w:val="2"/>
        <w:spacing w:before="290" w:line="230" w:lineRule="auto"/>
        <w:ind w:left="820"/>
        <w:rPr>
          <w:sz w:val="18"/>
          <w:szCs w:val="18"/>
        </w:rPr>
      </w:pPr>
      <w:r>
        <w:rPr>
          <w:rFonts w:ascii="Times New Roman" w:hAnsi="Times New Roman" w:eastAsia="Times New Roman" w:cs="Times New Roman"/>
          <w:spacing w:val="-4"/>
          <w:sz w:val="18"/>
          <w:szCs w:val="18"/>
        </w:rPr>
        <w:t xml:space="preserve">REST         </w:t>
      </w:r>
      <w:r>
        <w:rPr>
          <w:spacing w:val="-4"/>
          <w:sz w:val="18"/>
          <w:szCs w:val="18"/>
        </w:rPr>
        <w:t xml:space="preserve">多租户    并行处理   </w:t>
      </w:r>
      <w:r>
        <w:rPr>
          <w:spacing w:val="-5"/>
          <w:sz w:val="18"/>
          <w:szCs w:val="18"/>
        </w:rPr>
        <w:t xml:space="preserve"> 应用服务器</w:t>
      </w:r>
      <w:r>
        <w:rPr>
          <w:spacing w:val="14"/>
          <w:sz w:val="18"/>
          <w:szCs w:val="18"/>
        </w:rPr>
        <w:t xml:space="preserve">   </w:t>
      </w:r>
      <w:r>
        <w:rPr>
          <w:spacing w:val="-5"/>
          <w:sz w:val="18"/>
          <w:szCs w:val="18"/>
        </w:rPr>
        <w:t>分布式缓存</w:t>
      </w:r>
    </w:p>
    <w:p w14:paraId="4B584F08">
      <w:pPr>
        <w:spacing w:line="448" w:lineRule="auto"/>
        <w:rPr>
          <w:rFonts w:ascii="Arial"/>
          <w:sz w:val="21"/>
        </w:rPr>
      </w:pPr>
    </w:p>
    <w:p w14:paraId="4B84779F">
      <w:pPr>
        <w:spacing w:before="52" w:line="188" w:lineRule="auto"/>
        <w:ind w:left="284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IaaS</w:t>
      </w:r>
    </w:p>
    <w:p w14:paraId="12045218">
      <w:pPr>
        <w:pStyle w:val="2"/>
        <w:spacing w:before="181" w:line="229" w:lineRule="auto"/>
        <w:ind w:left="800"/>
        <w:rPr>
          <w:rFonts w:ascii="Times New Roman" w:hAnsi="Times New Roman" w:eastAsia="Times New Roman" w:cs="Times New Roman"/>
          <w:sz w:val="18"/>
          <w:szCs w:val="18"/>
        </w:rPr>
      </w:pPr>
      <w:r>
        <w:rPr>
          <w:spacing w:val="-5"/>
          <w:sz w:val="18"/>
          <w:szCs w:val="18"/>
        </w:rPr>
        <w:t xml:space="preserve">系统虚拟化      </w:t>
      </w:r>
      <w:r>
        <w:rPr>
          <w:spacing w:val="-5"/>
          <w:position w:val="-1"/>
          <w:sz w:val="18"/>
          <w:szCs w:val="18"/>
        </w:rPr>
        <w:t>分布式存储</w:t>
      </w:r>
      <w:r>
        <w:rPr>
          <w:spacing w:val="10"/>
          <w:position w:val="-1"/>
          <w:sz w:val="18"/>
          <w:szCs w:val="18"/>
        </w:rPr>
        <w:t xml:space="preserve">    </w:t>
      </w:r>
      <w:r>
        <w:rPr>
          <w:spacing w:val="-5"/>
          <w:sz w:val="18"/>
          <w:szCs w:val="18"/>
        </w:rPr>
        <w:t xml:space="preserve">关系型数据库     </w:t>
      </w:r>
      <w:r>
        <w:rPr>
          <w:rFonts w:ascii="Times New Roman" w:hAnsi="Times New Roman" w:eastAsia="Times New Roman" w:cs="Times New Roman"/>
          <w:spacing w:val="-5"/>
          <w:position w:val="1"/>
          <w:sz w:val="18"/>
          <w:szCs w:val="18"/>
        </w:rPr>
        <w:t>NoS</w:t>
      </w:r>
      <w:r>
        <w:rPr>
          <w:rFonts w:ascii="Times New Roman" w:hAnsi="Times New Roman" w:eastAsia="Times New Roman" w:cs="Times New Roman"/>
          <w:spacing w:val="-6"/>
          <w:position w:val="1"/>
          <w:sz w:val="18"/>
          <w:szCs w:val="18"/>
        </w:rPr>
        <w:t>QL</w:t>
      </w:r>
    </w:p>
    <w:p w14:paraId="423AA569">
      <w:pPr>
        <w:spacing w:line="476" w:lineRule="auto"/>
        <w:rPr>
          <w:rFonts w:ascii="Arial"/>
          <w:sz w:val="21"/>
        </w:rPr>
      </w:pPr>
    </w:p>
    <w:p w14:paraId="27E7FED7">
      <w:pPr>
        <w:pStyle w:val="2"/>
        <w:spacing w:before="58" w:line="219" w:lineRule="auto"/>
        <w:ind w:left="3230"/>
        <w:rPr>
          <w:sz w:val="18"/>
          <w:szCs w:val="18"/>
        </w:rPr>
      </w:pPr>
      <w:r>
        <w:rPr>
          <w:sz w:val="18"/>
          <w:szCs w:val="18"/>
        </w:rPr>
        <w:t>图4-5</w:t>
      </w:r>
      <w:r>
        <w:rPr>
          <w:spacing w:val="68"/>
          <w:sz w:val="18"/>
          <w:szCs w:val="18"/>
        </w:rPr>
        <w:t xml:space="preserve"> </w:t>
      </w:r>
      <w:r>
        <w:rPr>
          <w:sz w:val="18"/>
          <w:szCs w:val="18"/>
        </w:rPr>
        <w:t>云计算功能架构</w:t>
      </w:r>
    </w:p>
    <w:p w14:paraId="790ACD14">
      <w:pPr>
        <w:pStyle w:val="2"/>
        <w:spacing w:before="216" w:line="293" w:lineRule="auto"/>
        <w:ind w:right="239" w:firstLine="399"/>
        <w:rPr>
          <w:sz w:val="18"/>
          <w:szCs w:val="18"/>
        </w:rPr>
      </w:pPr>
      <w:r>
        <w:rPr>
          <w:spacing w:val="26"/>
          <w:sz w:val="18"/>
          <w:szCs w:val="18"/>
        </w:rPr>
        <w:t>(1)在服务方面，主要向用户提供基于云的各种服务，共包含三种模式：</w:t>
      </w:r>
      <w:r>
        <w:rPr>
          <w:rFonts w:ascii="Times New Roman" w:hAnsi="Times New Roman" w:eastAsia="Times New Roman" w:cs="Times New Roman"/>
          <w:sz w:val="18"/>
          <w:szCs w:val="18"/>
        </w:rPr>
        <w:t>SaaS</w:t>
      </w:r>
      <w:r>
        <w:rPr>
          <w:rFonts w:ascii="Times New Roman" w:hAnsi="Times New Roman" w:eastAsia="Times New Roman" w:cs="Times New Roman"/>
          <w:spacing w:val="-25"/>
          <w:sz w:val="18"/>
          <w:szCs w:val="18"/>
        </w:rPr>
        <w:t xml:space="preserve"> </w:t>
      </w:r>
      <w:r>
        <w:rPr>
          <w:spacing w:val="26"/>
          <w:sz w:val="18"/>
          <w:szCs w:val="18"/>
        </w:rPr>
        <w:t>、</w:t>
      </w:r>
      <w:r>
        <w:rPr>
          <w:rFonts w:ascii="Times New Roman" w:hAnsi="Times New Roman" w:eastAsia="Times New Roman" w:cs="Times New Roman"/>
          <w:sz w:val="18"/>
          <w:szCs w:val="18"/>
        </w:rPr>
        <w:t>PaaS</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spacing w:val="25"/>
          <w:sz w:val="18"/>
          <w:szCs w:val="18"/>
        </w:rPr>
        <w:t xml:space="preserve"> </w:t>
      </w:r>
      <w:r>
        <w:rPr>
          <w:spacing w:val="25"/>
          <w:sz w:val="18"/>
          <w:szCs w:val="18"/>
        </w:rPr>
        <w:t>和</w:t>
      </w:r>
      <w:r>
        <w:rPr>
          <w:sz w:val="18"/>
          <w:szCs w:val="18"/>
        </w:rPr>
        <w:t xml:space="preserve">  </w:t>
      </w:r>
      <w:r>
        <w:rPr>
          <w:rFonts w:ascii="Times New Roman" w:hAnsi="Times New Roman" w:eastAsia="Times New Roman" w:cs="Times New Roman"/>
          <w:sz w:val="18"/>
          <w:szCs w:val="18"/>
        </w:rPr>
        <w:t>IaaS</w:t>
      </w:r>
      <w:r>
        <w:rPr>
          <w:rFonts w:ascii="Times New Roman" w:hAnsi="Times New Roman" w:eastAsia="Times New Roman" w:cs="Times New Roman"/>
          <w:spacing w:val="-12"/>
          <w:sz w:val="18"/>
          <w:szCs w:val="18"/>
        </w:rPr>
        <w:t xml:space="preserve"> </w:t>
      </w:r>
      <w:r>
        <w:rPr>
          <w:spacing w:val="16"/>
          <w:sz w:val="18"/>
          <w:szCs w:val="18"/>
        </w:rPr>
        <w:t>。</w:t>
      </w:r>
      <w:r>
        <w:rPr>
          <w:spacing w:val="-35"/>
          <w:sz w:val="18"/>
          <w:szCs w:val="18"/>
        </w:rPr>
        <w:t xml:space="preserve"> </w:t>
      </w:r>
      <w:r>
        <w:rPr>
          <w:spacing w:val="16"/>
          <w:sz w:val="18"/>
          <w:szCs w:val="18"/>
        </w:rPr>
        <w:t>其 中</w:t>
      </w:r>
      <w:r>
        <w:rPr>
          <w:spacing w:val="-11"/>
          <w:sz w:val="18"/>
          <w:szCs w:val="18"/>
        </w:rPr>
        <w:t xml:space="preserve"> </w:t>
      </w:r>
      <w:r>
        <w:rPr>
          <w:spacing w:val="16"/>
          <w:sz w:val="18"/>
          <w:szCs w:val="18"/>
        </w:rPr>
        <w:t>，</w:t>
      </w:r>
      <w:r>
        <w:rPr>
          <w:rFonts w:ascii="Times New Roman" w:hAnsi="Times New Roman" w:eastAsia="Times New Roman" w:cs="Times New Roman"/>
          <w:sz w:val="18"/>
          <w:szCs w:val="18"/>
        </w:rPr>
        <w:t>SaaS</w:t>
      </w:r>
      <w:r>
        <w:rPr>
          <w:rFonts w:ascii="Times New Roman" w:hAnsi="Times New Roman" w:eastAsia="Times New Roman" w:cs="Times New Roman"/>
          <w:spacing w:val="16"/>
          <w:sz w:val="18"/>
          <w:szCs w:val="18"/>
        </w:rPr>
        <w:t xml:space="preserve">  </w:t>
      </w:r>
      <w:r>
        <w:rPr>
          <w:spacing w:val="16"/>
          <w:sz w:val="18"/>
          <w:szCs w:val="18"/>
        </w:rPr>
        <w:t>层的作用是将应用主要基于</w:t>
      </w:r>
      <w:r>
        <w:rPr>
          <w:rFonts w:ascii="Times New Roman" w:hAnsi="Times New Roman" w:eastAsia="Times New Roman" w:cs="Times New Roman"/>
          <w:sz w:val="18"/>
          <w:szCs w:val="18"/>
        </w:rPr>
        <w:t>Web</w:t>
      </w:r>
      <w:r>
        <w:rPr>
          <w:rFonts w:ascii="Times New Roman" w:hAnsi="Times New Roman" w:eastAsia="Times New Roman" w:cs="Times New Roman"/>
          <w:spacing w:val="16"/>
          <w:sz w:val="18"/>
          <w:szCs w:val="18"/>
        </w:rPr>
        <w:t xml:space="preserve">  </w:t>
      </w:r>
      <w:r>
        <w:rPr>
          <w:spacing w:val="16"/>
          <w:sz w:val="18"/>
          <w:szCs w:val="18"/>
        </w:rPr>
        <w:t>的方式提供给用户；</w:t>
      </w:r>
      <w:r>
        <w:rPr>
          <w:rFonts w:ascii="Times New Roman" w:hAnsi="Times New Roman" w:eastAsia="Times New Roman" w:cs="Times New Roman"/>
          <w:sz w:val="18"/>
          <w:szCs w:val="18"/>
        </w:rPr>
        <w:t>PaaS</w:t>
      </w:r>
      <w:r>
        <w:rPr>
          <w:rFonts w:ascii="Times New Roman" w:hAnsi="Times New Roman" w:eastAsia="Times New Roman" w:cs="Times New Roman"/>
          <w:spacing w:val="16"/>
          <w:sz w:val="18"/>
          <w:szCs w:val="18"/>
        </w:rPr>
        <w:t xml:space="preserve">  </w:t>
      </w:r>
      <w:r>
        <w:rPr>
          <w:spacing w:val="16"/>
          <w:sz w:val="18"/>
          <w:szCs w:val="18"/>
        </w:rPr>
        <w:t>层的作用是将</w:t>
      </w:r>
      <w:r>
        <w:rPr>
          <w:spacing w:val="-42"/>
          <w:sz w:val="18"/>
          <w:szCs w:val="18"/>
        </w:rPr>
        <w:t xml:space="preserve"> </w:t>
      </w:r>
      <w:r>
        <w:rPr>
          <w:spacing w:val="16"/>
          <w:sz w:val="18"/>
          <w:szCs w:val="18"/>
        </w:rPr>
        <w:t>一</w:t>
      </w:r>
      <w:r>
        <w:rPr>
          <w:sz w:val="18"/>
          <w:szCs w:val="18"/>
        </w:rPr>
        <w:t xml:space="preserve"> </w:t>
      </w:r>
      <w:r>
        <w:rPr>
          <w:spacing w:val="23"/>
          <w:sz w:val="18"/>
          <w:szCs w:val="18"/>
        </w:rPr>
        <w:t>个应用的开发和部署平台作为服务提供给用户；</w:t>
      </w:r>
      <w:r>
        <w:rPr>
          <w:sz w:val="18"/>
          <w:szCs w:val="18"/>
        </w:rPr>
        <w:t>IaaS</w:t>
      </w:r>
      <w:r>
        <w:rPr>
          <w:spacing w:val="-13"/>
          <w:sz w:val="18"/>
          <w:szCs w:val="18"/>
        </w:rPr>
        <w:t xml:space="preserve"> </w:t>
      </w:r>
      <w:r>
        <w:rPr>
          <w:spacing w:val="23"/>
          <w:sz w:val="18"/>
          <w:szCs w:val="18"/>
        </w:rPr>
        <w:t>层的作用是将各种底层</w:t>
      </w:r>
      <w:r>
        <w:rPr>
          <w:spacing w:val="22"/>
          <w:sz w:val="18"/>
          <w:szCs w:val="18"/>
        </w:rPr>
        <w:t>的计算(如虚拟机)</w:t>
      </w:r>
      <w:r>
        <w:rPr>
          <w:sz w:val="18"/>
          <w:szCs w:val="18"/>
        </w:rPr>
        <w:t xml:space="preserve"> </w:t>
      </w:r>
      <w:r>
        <w:rPr>
          <w:spacing w:val="17"/>
          <w:sz w:val="18"/>
          <w:szCs w:val="18"/>
        </w:rPr>
        <w:t>和存储等资源作为服务提供给用户。</w:t>
      </w:r>
    </w:p>
    <w:p w14:paraId="79649815">
      <w:pPr>
        <w:pStyle w:val="2"/>
        <w:spacing w:before="117" w:line="274" w:lineRule="auto"/>
        <w:ind w:right="271" w:firstLine="399"/>
        <w:rPr>
          <w:sz w:val="18"/>
          <w:szCs w:val="18"/>
        </w:rPr>
      </w:pPr>
      <w:r>
        <w:rPr>
          <w:spacing w:val="25"/>
          <w:sz w:val="18"/>
          <w:szCs w:val="18"/>
        </w:rPr>
        <w:t>(2)在管理方面，主要提供云相关的管理功能，以确保整个云计算中心能够安全、稳定地</w:t>
      </w:r>
      <w:r>
        <w:rPr>
          <w:spacing w:val="6"/>
          <w:sz w:val="18"/>
          <w:szCs w:val="18"/>
        </w:rPr>
        <w:t xml:space="preserve"> </w:t>
      </w:r>
      <w:r>
        <w:rPr>
          <w:spacing w:val="17"/>
          <w:sz w:val="18"/>
          <w:szCs w:val="18"/>
        </w:rPr>
        <w:t>运行，并且能够被有效地管理。</w:t>
      </w:r>
    </w:p>
    <w:p w14:paraId="661E0C49">
      <w:pPr>
        <w:pStyle w:val="2"/>
        <w:spacing w:before="193" w:line="221" w:lineRule="auto"/>
        <w:ind w:left="402"/>
        <w:rPr>
          <w:rFonts w:ascii="黑体" w:hAnsi="黑体" w:eastAsia="黑体" w:cs="黑体"/>
          <w:sz w:val="18"/>
          <w:szCs w:val="18"/>
        </w:rPr>
      </w:pPr>
      <w:r>
        <w:rPr>
          <w:b/>
          <w:bCs/>
          <w:color w:val="0053D0"/>
          <w:spacing w:val="16"/>
          <w:sz w:val="18"/>
          <w:szCs w:val="18"/>
        </w:rPr>
        <w:t>2.</w:t>
      </w:r>
      <w:r>
        <w:rPr>
          <w:rFonts w:ascii="黑体" w:hAnsi="黑体" w:eastAsia="黑体" w:cs="黑体"/>
          <w:b/>
          <w:bCs/>
          <w:color w:val="0053D0"/>
          <w:spacing w:val="16"/>
          <w:sz w:val="18"/>
          <w:szCs w:val="18"/>
        </w:rPr>
        <w:t>云计算层次结构</w:t>
      </w:r>
    </w:p>
    <w:p w14:paraId="5AE98DFB">
      <w:pPr>
        <w:pStyle w:val="2"/>
        <w:spacing w:before="169" w:line="343" w:lineRule="auto"/>
        <w:ind w:left="399" w:right="1839"/>
        <w:rPr>
          <w:rFonts w:ascii="楷体" w:hAnsi="楷体" w:eastAsia="楷体" w:cs="楷体"/>
          <w:sz w:val="18"/>
          <w:szCs w:val="18"/>
        </w:rPr>
      </w:pPr>
      <w:r>
        <w:rPr>
          <w:spacing w:val="19"/>
          <w:sz w:val="18"/>
          <w:szCs w:val="18"/>
        </w:rPr>
        <w:t>云计算架构按照分层方式，包括显示层、中间层、基础设施层和管理层。</w:t>
      </w:r>
      <w:r>
        <w:rPr>
          <w:sz w:val="18"/>
          <w:szCs w:val="18"/>
        </w:rPr>
        <w:t xml:space="preserve"> </w:t>
      </w:r>
      <w:r>
        <w:rPr>
          <w:rFonts w:ascii="楷体" w:hAnsi="楷体" w:eastAsia="楷体" w:cs="楷体"/>
          <w:spacing w:val="-9"/>
          <w:sz w:val="18"/>
          <w:szCs w:val="18"/>
        </w:rPr>
        <w:t>1</w:t>
      </w:r>
      <w:r>
        <w:rPr>
          <w:rFonts w:ascii="楷体" w:hAnsi="楷体" w:eastAsia="楷体" w:cs="楷体"/>
          <w:spacing w:val="-38"/>
          <w:sz w:val="18"/>
          <w:szCs w:val="18"/>
        </w:rPr>
        <w:t xml:space="preserve"> </w:t>
      </w:r>
      <w:r>
        <w:rPr>
          <w:rFonts w:ascii="楷体" w:hAnsi="楷体" w:eastAsia="楷体" w:cs="楷体"/>
          <w:spacing w:val="-9"/>
          <w:sz w:val="18"/>
          <w:szCs w:val="18"/>
        </w:rPr>
        <w:t>)</w:t>
      </w:r>
      <w:r>
        <w:rPr>
          <w:rFonts w:ascii="楷体" w:hAnsi="楷体" w:eastAsia="楷体" w:cs="楷体"/>
          <w:spacing w:val="-29"/>
          <w:sz w:val="18"/>
          <w:szCs w:val="18"/>
        </w:rPr>
        <w:t xml:space="preserve"> </w:t>
      </w:r>
      <w:r>
        <w:rPr>
          <w:rFonts w:ascii="楷体" w:hAnsi="楷体" w:eastAsia="楷体" w:cs="楷体"/>
          <w:spacing w:val="-9"/>
          <w:sz w:val="18"/>
          <w:szCs w:val="18"/>
        </w:rPr>
        <w:t>显</w:t>
      </w:r>
      <w:r>
        <w:rPr>
          <w:rFonts w:ascii="楷体" w:hAnsi="楷体" w:eastAsia="楷体" w:cs="楷体"/>
          <w:spacing w:val="-33"/>
          <w:sz w:val="18"/>
          <w:szCs w:val="18"/>
        </w:rPr>
        <w:t xml:space="preserve"> </w:t>
      </w:r>
      <w:r>
        <w:rPr>
          <w:rFonts w:ascii="楷体" w:hAnsi="楷体" w:eastAsia="楷体" w:cs="楷体"/>
          <w:spacing w:val="-9"/>
          <w:sz w:val="18"/>
          <w:szCs w:val="18"/>
        </w:rPr>
        <w:t>示</w:t>
      </w:r>
      <w:r>
        <w:rPr>
          <w:rFonts w:ascii="楷体" w:hAnsi="楷体" w:eastAsia="楷体" w:cs="楷体"/>
          <w:spacing w:val="-42"/>
          <w:sz w:val="18"/>
          <w:szCs w:val="18"/>
        </w:rPr>
        <w:t xml:space="preserve"> </w:t>
      </w:r>
      <w:r>
        <w:rPr>
          <w:rFonts w:ascii="楷体" w:hAnsi="楷体" w:eastAsia="楷体" w:cs="楷体"/>
          <w:spacing w:val="-9"/>
          <w:sz w:val="18"/>
          <w:szCs w:val="18"/>
        </w:rPr>
        <w:t>层</w:t>
      </w:r>
    </w:p>
    <w:p w14:paraId="75353B0A">
      <w:pPr>
        <w:pStyle w:val="2"/>
        <w:spacing w:before="1" w:line="324" w:lineRule="auto"/>
        <w:ind w:right="261" w:firstLine="399"/>
        <w:rPr>
          <w:sz w:val="18"/>
          <w:szCs w:val="18"/>
        </w:rPr>
      </w:pPr>
      <w:r>
        <w:rPr>
          <w:spacing w:val="24"/>
          <w:sz w:val="18"/>
          <w:szCs w:val="18"/>
        </w:rPr>
        <w:t>云计算架构的显示层主要是以友好的界面展现用户所需的内容和服</w:t>
      </w:r>
      <w:r>
        <w:rPr>
          <w:spacing w:val="23"/>
          <w:sz w:val="18"/>
          <w:szCs w:val="18"/>
        </w:rPr>
        <w:t>务体验，并会用到中间</w:t>
      </w:r>
      <w:r>
        <w:rPr>
          <w:sz w:val="18"/>
          <w:szCs w:val="18"/>
        </w:rPr>
        <w:t xml:space="preserve"> </w:t>
      </w:r>
      <w:r>
        <w:rPr>
          <w:spacing w:val="15"/>
          <w:sz w:val="18"/>
          <w:szCs w:val="18"/>
        </w:rPr>
        <w:t>层提供的多种服务。</w:t>
      </w:r>
    </w:p>
    <w:p w14:paraId="447243AD">
      <w:pPr>
        <w:pStyle w:val="2"/>
        <w:spacing w:before="8" w:line="284" w:lineRule="auto"/>
        <w:ind w:left="679" w:right="289" w:hanging="280"/>
        <w:rPr>
          <w:sz w:val="18"/>
          <w:szCs w:val="18"/>
        </w:rPr>
      </w:pP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z w:val="18"/>
          <w:szCs w:val="18"/>
        </w:rPr>
        <w:t>JavaScript</w:t>
      </w:r>
      <w:r>
        <w:rPr>
          <w:rFonts w:ascii="Times New Roman" w:hAnsi="Times New Roman" w:eastAsia="Times New Roman" w:cs="Times New Roman"/>
          <w:spacing w:val="14"/>
          <w:sz w:val="18"/>
          <w:szCs w:val="18"/>
        </w:rPr>
        <w:t xml:space="preserve">:  </w:t>
      </w:r>
      <w:r>
        <w:rPr>
          <w:spacing w:val="14"/>
          <w:sz w:val="18"/>
          <w:szCs w:val="18"/>
        </w:rPr>
        <w:t>一</w:t>
      </w:r>
      <w:r>
        <w:rPr>
          <w:spacing w:val="-37"/>
          <w:sz w:val="18"/>
          <w:szCs w:val="18"/>
        </w:rPr>
        <w:t xml:space="preserve"> </w:t>
      </w:r>
      <w:r>
        <w:rPr>
          <w:spacing w:val="14"/>
          <w:sz w:val="18"/>
          <w:szCs w:val="18"/>
        </w:rPr>
        <w:t>种</w:t>
      </w:r>
      <w:r>
        <w:rPr>
          <w:spacing w:val="-34"/>
          <w:sz w:val="18"/>
          <w:szCs w:val="18"/>
        </w:rPr>
        <w:t xml:space="preserve"> </w:t>
      </w:r>
      <w:r>
        <w:rPr>
          <w:spacing w:val="14"/>
          <w:sz w:val="18"/>
          <w:szCs w:val="18"/>
        </w:rPr>
        <w:t>用</w:t>
      </w:r>
      <w:r>
        <w:rPr>
          <w:spacing w:val="-34"/>
          <w:sz w:val="18"/>
          <w:szCs w:val="18"/>
        </w:rPr>
        <w:t xml:space="preserve"> </w:t>
      </w:r>
      <w:r>
        <w:rPr>
          <w:spacing w:val="14"/>
          <w:sz w:val="18"/>
          <w:szCs w:val="18"/>
        </w:rPr>
        <w:t>于</w:t>
      </w:r>
      <w:r>
        <w:rPr>
          <w:rFonts w:ascii="Times New Roman" w:hAnsi="Times New Roman" w:eastAsia="Times New Roman" w:cs="Times New Roman"/>
          <w:sz w:val="18"/>
          <w:szCs w:val="18"/>
        </w:rPr>
        <w:t>Web</w:t>
      </w:r>
      <w:r>
        <w:rPr>
          <w:rFonts w:ascii="Times New Roman" w:hAnsi="Times New Roman" w:eastAsia="Times New Roman" w:cs="Times New Roman"/>
          <w:spacing w:val="14"/>
          <w:sz w:val="18"/>
          <w:szCs w:val="18"/>
        </w:rPr>
        <w:t xml:space="preserve">  </w:t>
      </w:r>
      <w:r>
        <w:rPr>
          <w:spacing w:val="14"/>
          <w:sz w:val="18"/>
          <w:szCs w:val="18"/>
        </w:rPr>
        <w:t>页面的动态语言，通过</w:t>
      </w:r>
      <w:r>
        <w:rPr>
          <w:rFonts w:ascii="Times New Roman" w:hAnsi="Times New Roman" w:eastAsia="Times New Roman" w:cs="Times New Roman"/>
          <w:sz w:val="18"/>
          <w:szCs w:val="18"/>
        </w:rPr>
        <w:t>JavaScript</w:t>
      </w:r>
      <w:r>
        <w:rPr>
          <w:rFonts w:ascii="Times New Roman" w:hAnsi="Times New Roman" w:eastAsia="Times New Roman" w:cs="Times New Roman"/>
          <w:spacing w:val="14"/>
          <w:sz w:val="18"/>
          <w:szCs w:val="18"/>
        </w:rPr>
        <w:t xml:space="preserve">,      </w:t>
      </w:r>
      <w:r>
        <w:rPr>
          <w:spacing w:val="13"/>
          <w:sz w:val="18"/>
          <w:szCs w:val="18"/>
        </w:rPr>
        <w:t>能够极大地丰富</w:t>
      </w:r>
      <w:r>
        <w:rPr>
          <w:rFonts w:ascii="Times New Roman" w:hAnsi="Times New Roman" w:eastAsia="Times New Roman" w:cs="Times New Roman"/>
          <w:sz w:val="18"/>
          <w:szCs w:val="18"/>
        </w:rPr>
        <w:t>Web</w:t>
      </w:r>
      <w:r>
        <w:rPr>
          <w:rFonts w:ascii="Times New Roman" w:hAnsi="Times New Roman" w:eastAsia="Times New Roman" w:cs="Times New Roman"/>
          <w:spacing w:val="38"/>
          <w:w w:val="101"/>
          <w:sz w:val="18"/>
          <w:szCs w:val="18"/>
        </w:rPr>
        <w:t xml:space="preserve"> </w:t>
      </w:r>
      <w:r>
        <w:rPr>
          <w:spacing w:val="13"/>
          <w:sz w:val="18"/>
          <w:szCs w:val="18"/>
        </w:rPr>
        <w:t>页</w:t>
      </w:r>
      <w:r>
        <w:rPr>
          <w:sz w:val="18"/>
          <w:szCs w:val="18"/>
        </w:rPr>
        <w:t xml:space="preserve"> </w:t>
      </w:r>
      <w:r>
        <w:rPr>
          <w:spacing w:val="-2"/>
          <w:sz w:val="18"/>
          <w:szCs w:val="18"/>
        </w:rPr>
        <w:t>面 的</w:t>
      </w:r>
      <w:r>
        <w:rPr>
          <w:spacing w:val="-21"/>
          <w:sz w:val="18"/>
          <w:szCs w:val="18"/>
        </w:rPr>
        <w:t xml:space="preserve"> </w:t>
      </w:r>
      <w:r>
        <w:rPr>
          <w:spacing w:val="-2"/>
          <w:sz w:val="18"/>
          <w:szCs w:val="18"/>
        </w:rPr>
        <w:t>功 能 ，</w:t>
      </w:r>
      <w:r>
        <w:rPr>
          <w:spacing w:val="-19"/>
          <w:sz w:val="18"/>
          <w:szCs w:val="18"/>
        </w:rPr>
        <w:t xml:space="preserve"> </w:t>
      </w:r>
      <w:r>
        <w:rPr>
          <w:spacing w:val="-2"/>
          <w:sz w:val="18"/>
          <w:szCs w:val="18"/>
        </w:rPr>
        <w:t>并</w:t>
      </w:r>
      <w:r>
        <w:rPr>
          <w:spacing w:val="-23"/>
          <w:sz w:val="18"/>
          <w:szCs w:val="18"/>
        </w:rPr>
        <w:t xml:space="preserve"> </w:t>
      </w:r>
      <w:r>
        <w:rPr>
          <w:spacing w:val="-2"/>
          <w:sz w:val="18"/>
          <w:szCs w:val="18"/>
        </w:rPr>
        <w:t>且</w:t>
      </w:r>
      <w:r>
        <w:rPr>
          <w:spacing w:val="-22"/>
          <w:sz w:val="18"/>
          <w:szCs w:val="18"/>
        </w:rPr>
        <w:t xml:space="preserve"> </w:t>
      </w:r>
      <w:r>
        <w:rPr>
          <w:spacing w:val="-2"/>
          <w:sz w:val="18"/>
          <w:szCs w:val="18"/>
        </w:rPr>
        <w:t>可 以</w:t>
      </w:r>
      <w:r>
        <w:rPr>
          <w:spacing w:val="-22"/>
          <w:sz w:val="18"/>
          <w:szCs w:val="18"/>
        </w:rPr>
        <w:t xml:space="preserve"> </w:t>
      </w:r>
      <w:r>
        <w:rPr>
          <w:spacing w:val="-2"/>
          <w:sz w:val="18"/>
          <w:szCs w:val="18"/>
        </w:rPr>
        <w:t>用</w:t>
      </w:r>
      <w:r>
        <w:rPr>
          <w:spacing w:val="-21"/>
          <w:sz w:val="18"/>
          <w:szCs w:val="18"/>
        </w:rPr>
        <w:t xml:space="preserve"> </w:t>
      </w:r>
      <w:r>
        <w:rPr>
          <w:spacing w:val="-2"/>
          <w:sz w:val="18"/>
          <w:szCs w:val="18"/>
        </w:rPr>
        <w:t>异</w:t>
      </w:r>
      <w:r>
        <w:rPr>
          <w:spacing w:val="-21"/>
          <w:sz w:val="18"/>
          <w:szCs w:val="18"/>
        </w:rPr>
        <w:t xml:space="preserve"> </w:t>
      </w:r>
      <w:r>
        <w:rPr>
          <w:spacing w:val="-2"/>
          <w:sz w:val="18"/>
          <w:szCs w:val="18"/>
        </w:rPr>
        <w:t>步</w:t>
      </w:r>
      <w:r>
        <w:rPr>
          <w:rFonts w:ascii="Times New Roman" w:hAnsi="Times New Roman" w:eastAsia="Times New Roman" w:cs="Times New Roman"/>
          <w:spacing w:val="-2"/>
          <w:sz w:val="18"/>
          <w:szCs w:val="18"/>
        </w:rPr>
        <w:t xml:space="preserve">JavaScript   </w:t>
      </w:r>
      <w:r>
        <w:rPr>
          <w:spacing w:val="-2"/>
          <w:sz w:val="18"/>
          <w:szCs w:val="18"/>
        </w:rPr>
        <w:t xml:space="preserve">和 </w:t>
      </w:r>
      <w:r>
        <w:rPr>
          <w:rFonts w:ascii="Times New Roman" w:hAnsi="Times New Roman" w:eastAsia="Times New Roman" w:cs="Times New Roman"/>
          <w:spacing w:val="-2"/>
          <w:sz w:val="18"/>
          <w:szCs w:val="18"/>
        </w:rPr>
        <w:t>XML(Asynchronous     Javascript     An</w:t>
      </w:r>
      <w:r>
        <w:rPr>
          <w:rFonts w:ascii="Times New Roman" w:hAnsi="Times New Roman" w:eastAsia="Times New Roman" w:cs="Times New Roman"/>
          <w:spacing w:val="-3"/>
          <w:sz w:val="18"/>
          <w:szCs w:val="18"/>
        </w:rPr>
        <w:t>d     XML,</w:t>
      </w:r>
      <w:r>
        <w:rPr>
          <w:rFonts w:ascii="Times New Roman" w:hAnsi="Times New Roman" w:eastAsia="Times New Roman" w:cs="Times New Roman"/>
          <w:sz w:val="18"/>
          <w:szCs w:val="18"/>
        </w:rPr>
        <w:t xml:space="preserve"> </w:t>
      </w:r>
      <w:r>
        <w:rPr>
          <w:sz w:val="18"/>
          <w:szCs w:val="18"/>
        </w:rPr>
        <w:t>AJAX</w:t>
      </w:r>
      <w:r>
        <w:rPr>
          <w:spacing w:val="17"/>
          <w:sz w:val="18"/>
          <w:szCs w:val="18"/>
        </w:rPr>
        <w:t>)</w:t>
      </w:r>
      <w:r>
        <w:rPr>
          <w:spacing w:val="35"/>
          <w:sz w:val="18"/>
          <w:szCs w:val="18"/>
        </w:rPr>
        <w:t xml:space="preserve">  </w:t>
      </w:r>
      <w:r>
        <w:rPr>
          <w:spacing w:val="17"/>
          <w:sz w:val="18"/>
          <w:szCs w:val="18"/>
        </w:rPr>
        <w:t>创建更具交互性的动态页面。</w:t>
      </w:r>
    </w:p>
    <w:p w14:paraId="39E71AA4">
      <w:pPr>
        <w:pStyle w:val="2"/>
        <w:spacing w:before="109" w:line="219" w:lineRule="auto"/>
        <w:ind w:left="399"/>
        <w:rPr>
          <w:sz w:val="18"/>
          <w:szCs w:val="18"/>
        </w:rPr>
      </w:pPr>
      <w:r>
        <w:rPr>
          <w:rFonts w:ascii="Times New Roman" w:hAnsi="Times New Roman" w:eastAsia="Times New Roman" w:cs="Times New Roman"/>
          <w:sz w:val="18"/>
          <w:szCs w:val="18"/>
        </w:rPr>
        <w:t xml:space="preserve">●      HTML:  </w:t>
      </w:r>
      <w:r>
        <w:rPr>
          <w:sz w:val="18"/>
          <w:szCs w:val="18"/>
        </w:rPr>
        <w:t>标</w:t>
      </w:r>
      <w:r>
        <w:rPr>
          <w:spacing w:val="-31"/>
          <w:sz w:val="18"/>
          <w:szCs w:val="18"/>
        </w:rPr>
        <w:t xml:space="preserve"> </w:t>
      </w:r>
      <w:r>
        <w:rPr>
          <w:sz w:val="18"/>
          <w:szCs w:val="18"/>
        </w:rPr>
        <w:t>准</w:t>
      </w:r>
      <w:r>
        <w:rPr>
          <w:spacing w:val="-17"/>
          <w:sz w:val="18"/>
          <w:szCs w:val="18"/>
        </w:rPr>
        <w:t xml:space="preserve"> </w:t>
      </w:r>
      <w:r>
        <w:rPr>
          <w:sz w:val="18"/>
          <w:szCs w:val="18"/>
        </w:rPr>
        <w:t>的</w:t>
      </w:r>
      <w:r>
        <w:rPr>
          <w:rFonts w:ascii="Times New Roman" w:hAnsi="Times New Roman" w:eastAsia="Times New Roman" w:cs="Times New Roman"/>
          <w:sz w:val="18"/>
          <w:szCs w:val="18"/>
        </w:rPr>
        <w:t>Web</w:t>
      </w:r>
      <w:r>
        <w:rPr>
          <w:rFonts w:ascii="Times New Roman" w:hAnsi="Times New Roman" w:eastAsia="Times New Roman" w:cs="Times New Roman"/>
          <w:spacing w:val="28"/>
          <w:sz w:val="18"/>
          <w:szCs w:val="18"/>
        </w:rPr>
        <w:t xml:space="preserve"> </w:t>
      </w:r>
      <w:r>
        <w:rPr>
          <w:sz w:val="18"/>
          <w:szCs w:val="18"/>
        </w:rPr>
        <w:t>页</w:t>
      </w:r>
      <w:r>
        <w:rPr>
          <w:spacing w:val="-37"/>
          <w:sz w:val="18"/>
          <w:szCs w:val="18"/>
        </w:rPr>
        <w:t xml:space="preserve"> </w:t>
      </w:r>
      <w:r>
        <w:rPr>
          <w:sz w:val="18"/>
          <w:szCs w:val="18"/>
        </w:rPr>
        <w:t>面</w:t>
      </w:r>
      <w:r>
        <w:rPr>
          <w:spacing w:val="-37"/>
          <w:sz w:val="18"/>
          <w:szCs w:val="18"/>
        </w:rPr>
        <w:t xml:space="preserve"> </w:t>
      </w:r>
      <w:r>
        <w:rPr>
          <w:sz w:val="18"/>
          <w:szCs w:val="18"/>
        </w:rPr>
        <w:t>技</w:t>
      </w:r>
      <w:r>
        <w:rPr>
          <w:spacing w:val="-36"/>
          <w:sz w:val="18"/>
          <w:szCs w:val="18"/>
        </w:rPr>
        <w:t xml:space="preserve"> </w:t>
      </w:r>
      <w:r>
        <w:rPr>
          <w:sz w:val="18"/>
          <w:szCs w:val="18"/>
        </w:rPr>
        <w:t>术</w:t>
      </w:r>
      <w:r>
        <w:rPr>
          <w:spacing w:val="-45"/>
          <w:sz w:val="18"/>
          <w:szCs w:val="18"/>
        </w:rPr>
        <w:t xml:space="preserve"> </w:t>
      </w:r>
      <w:r>
        <w:rPr>
          <w:sz w:val="18"/>
          <w:szCs w:val="18"/>
        </w:rPr>
        <w:t>，</w:t>
      </w:r>
      <w:r>
        <w:rPr>
          <w:rFonts w:ascii="Times New Roman" w:hAnsi="Times New Roman" w:eastAsia="Times New Roman" w:cs="Times New Roman"/>
          <w:spacing w:val="-1"/>
          <w:sz w:val="18"/>
          <w:szCs w:val="18"/>
        </w:rPr>
        <w:t>HTML4</w:t>
      </w:r>
      <w:r>
        <w:rPr>
          <w:rFonts w:ascii="Times New Roman" w:hAnsi="Times New Roman" w:eastAsia="Times New Roman" w:cs="Times New Roman"/>
          <w:spacing w:val="-25"/>
          <w:sz w:val="18"/>
          <w:szCs w:val="18"/>
        </w:rPr>
        <w:t xml:space="preserve"> </w:t>
      </w:r>
      <w:r>
        <w:rPr>
          <w:spacing w:val="-1"/>
          <w:sz w:val="18"/>
          <w:szCs w:val="18"/>
        </w:rPr>
        <w:t>、</w:t>
      </w:r>
      <w:r>
        <w:rPr>
          <w:rFonts w:ascii="Times New Roman" w:hAnsi="Times New Roman" w:eastAsia="Times New Roman" w:cs="Times New Roman"/>
          <w:spacing w:val="-1"/>
          <w:sz w:val="18"/>
          <w:szCs w:val="18"/>
        </w:rPr>
        <w:t xml:space="preserve">HTMLS     </w:t>
      </w:r>
      <w:r>
        <w:rPr>
          <w:spacing w:val="-1"/>
          <w:sz w:val="18"/>
          <w:szCs w:val="18"/>
        </w:rPr>
        <w:t>是其主要实现技术。</w:t>
      </w:r>
    </w:p>
    <w:p w14:paraId="554965E0">
      <w:pPr>
        <w:pStyle w:val="2"/>
        <w:spacing w:before="107" w:line="219" w:lineRule="auto"/>
        <w:ind w:left="399"/>
        <w:rPr>
          <w:sz w:val="18"/>
          <w:szCs w:val="18"/>
        </w:rPr>
      </w:pP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z w:val="18"/>
          <w:szCs w:val="18"/>
        </w:rPr>
        <w:t>CSS</w:t>
      </w:r>
      <w:r>
        <w:rPr>
          <w:rFonts w:ascii="Times New Roman" w:hAnsi="Times New Roman" w:eastAsia="Times New Roman" w:cs="Times New Roman"/>
          <w:spacing w:val="17"/>
          <w:sz w:val="18"/>
          <w:szCs w:val="18"/>
        </w:rPr>
        <w:t xml:space="preserve">:  </w:t>
      </w:r>
      <w:r>
        <w:rPr>
          <w:spacing w:val="17"/>
          <w:sz w:val="18"/>
          <w:szCs w:val="18"/>
        </w:rPr>
        <w:t>主要用于控制</w:t>
      </w:r>
      <w:r>
        <w:rPr>
          <w:rFonts w:ascii="Times New Roman" w:hAnsi="Times New Roman" w:eastAsia="Times New Roman" w:cs="Times New Roman"/>
          <w:sz w:val="18"/>
          <w:szCs w:val="18"/>
        </w:rPr>
        <w:t>Web</w:t>
      </w:r>
      <w:r>
        <w:rPr>
          <w:rFonts w:ascii="Times New Roman" w:hAnsi="Times New Roman" w:eastAsia="Times New Roman" w:cs="Times New Roman"/>
          <w:spacing w:val="38"/>
          <w:sz w:val="18"/>
          <w:szCs w:val="18"/>
        </w:rPr>
        <w:t xml:space="preserve"> </w:t>
      </w:r>
      <w:r>
        <w:rPr>
          <w:spacing w:val="17"/>
          <w:sz w:val="18"/>
          <w:szCs w:val="18"/>
        </w:rPr>
        <w:t>页面的外观，而且能使页面内容与</w:t>
      </w:r>
      <w:r>
        <w:rPr>
          <w:spacing w:val="16"/>
          <w:sz w:val="18"/>
          <w:szCs w:val="18"/>
        </w:rPr>
        <w:t>其表现形式之间进行分离。</w:t>
      </w:r>
    </w:p>
    <w:p w14:paraId="4E6D5F07">
      <w:pPr>
        <w:pStyle w:val="2"/>
        <w:spacing w:before="55" w:line="294" w:lineRule="auto"/>
        <w:ind w:left="679" w:right="272" w:hanging="280"/>
        <w:rPr>
          <w:sz w:val="18"/>
          <w:szCs w:val="18"/>
        </w:rPr>
      </w:pPr>
      <w:r>
        <w:rPr>
          <w:rFonts w:ascii="Times New Roman" w:hAnsi="Times New Roman" w:eastAsia="Times New Roman" w:cs="Times New Roman"/>
          <w:spacing w:val="-3"/>
          <w:sz w:val="18"/>
          <w:szCs w:val="18"/>
        </w:rPr>
        <w:t xml:space="preserve">●      Flash:  </w:t>
      </w:r>
      <w:r>
        <w:rPr>
          <w:spacing w:val="-3"/>
          <w:sz w:val="18"/>
          <w:szCs w:val="18"/>
        </w:rPr>
        <w:t>最</w:t>
      </w:r>
      <w:r>
        <w:rPr>
          <w:spacing w:val="-33"/>
          <w:sz w:val="18"/>
          <w:szCs w:val="18"/>
        </w:rPr>
        <w:t xml:space="preserve"> </w:t>
      </w:r>
      <w:r>
        <w:rPr>
          <w:spacing w:val="-3"/>
          <w:sz w:val="18"/>
          <w:szCs w:val="18"/>
        </w:rPr>
        <w:t>常</w:t>
      </w:r>
      <w:r>
        <w:rPr>
          <w:spacing w:val="-35"/>
          <w:sz w:val="18"/>
          <w:szCs w:val="18"/>
        </w:rPr>
        <w:t xml:space="preserve"> </w:t>
      </w:r>
      <w:r>
        <w:rPr>
          <w:spacing w:val="-3"/>
          <w:sz w:val="18"/>
          <w:szCs w:val="18"/>
        </w:rPr>
        <w:t>用</w:t>
      </w:r>
      <w:r>
        <w:rPr>
          <w:spacing w:val="-22"/>
          <w:sz w:val="18"/>
          <w:szCs w:val="18"/>
        </w:rPr>
        <w:t xml:space="preserve"> </w:t>
      </w:r>
      <w:r>
        <w:rPr>
          <w:spacing w:val="-3"/>
          <w:sz w:val="18"/>
          <w:szCs w:val="18"/>
        </w:rPr>
        <w:t>的</w:t>
      </w:r>
      <w:r>
        <w:rPr>
          <w:spacing w:val="-37"/>
          <w:sz w:val="18"/>
          <w:szCs w:val="18"/>
        </w:rPr>
        <w:t xml:space="preserve"> </w:t>
      </w:r>
      <w:r>
        <w:rPr>
          <w:spacing w:val="-3"/>
          <w:sz w:val="18"/>
          <w:szCs w:val="18"/>
        </w:rPr>
        <w:t>丰</w:t>
      </w:r>
      <w:r>
        <w:rPr>
          <w:spacing w:val="-27"/>
          <w:sz w:val="18"/>
          <w:szCs w:val="18"/>
        </w:rPr>
        <w:t xml:space="preserve"> </w:t>
      </w:r>
      <w:r>
        <w:rPr>
          <w:spacing w:val="-3"/>
          <w:sz w:val="18"/>
          <w:szCs w:val="18"/>
        </w:rPr>
        <w:t>富</w:t>
      </w:r>
      <w:r>
        <w:rPr>
          <w:spacing w:val="-34"/>
          <w:sz w:val="18"/>
          <w:szCs w:val="18"/>
        </w:rPr>
        <w:t xml:space="preserve"> </w:t>
      </w:r>
      <w:r>
        <w:rPr>
          <w:spacing w:val="-3"/>
          <w:sz w:val="18"/>
          <w:szCs w:val="18"/>
        </w:rPr>
        <w:t>互</w:t>
      </w:r>
      <w:r>
        <w:rPr>
          <w:spacing w:val="-36"/>
          <w:sz w:val="18"/>
          <w:szCs w:val="18"/>
        </w:rPr>
        <w:t xml:space="preserve"> </w:t>
      </w:r>
      <w:r>
        <w:rPr>
          <w:spacing w:val="-3"/>
          <w:sz w:val="18"/>
          <w:szCs w:val="18"/>
        </w:rPr>
        <w:t>联</w:t>
      </w:r>
      <w:r>
        <w:rPr>
          <w:spacing w:val="-23"/>
          <w:sz w:val="18"/>
          <w:szCs w:val="18"/>
        </w:rPr>
        <w:t xml:space="preserve"> </w:t>
      </w:r>
      <w:r>
        <w:rPr>
          <w:spacing w:val="-3"/>
          <w:sz w:val="18"/>
          <w:szCs w:val="18"/>
        </w:rPr>
        <w:t>网</w:t>
      </w:r>
      <w:r>
        <w:rPr>
          <w:spacing w:val="-37"/>
          <w:sz w:val="18"/>
          <w:szCs w:val="18"/>
        </w:rPr>
        <w:t xml:space="preserve"> </w:t>
      </w:r>
      <w:r>
        <w:rPr>
          <w:spacing w:val="-3"/>
          <w:sz w:val="18"/>
          <w:szCs w:val="18"/>
        </w:rPr>
        <w:t>应</w:t>
      </w:r>
      <w:r>
        <w:rPr>
          <w:spacing w:val="-36"/>
          <w:sz w:val="18"/>
          <w:szCs w:val="18"/>
        </w:rPr>
        <w:t xml:space="preserve"> </w:t>
      </w:r>
      <w:r>
        <w:rPr>
          <w:spacing w:val="-3"/>
          <w:sz w:val="18"/>
          <w:szCs w:val="18"/>
        </w:rPr>
        <w:t>用</w:t>
      </w:r>
      <w:r>
        <w:rPr>
          <w:spacing w:val="-41"/>
          <w:sz w:val="18"/>
          <w:szCs w:val="18"/>
        </w:rPr>
        <w:t xml:space="preserve"> </w:t>
      </w:r>
      <w:r>
        <w:rPr>
          <w:rFonts w:ascii="Times New Roman" w:hAnsi="Times New Roman" w:eastAsia="Times New Roman" w:cs="Times New Roman"/>
          <w:spacing w:val="-3"/>
          <w:sz w:val="18"/>
          <w:szCs w:val="18"/>
        </w:rPr>
        <w:t xml:space="preserve">(Rich      </w:t>
      </w:r>
      <w:r>
        <w:rPr>
          <w:rFonts w:ascii="Times New Roman" w:hAnsi="Times New Roman" w:eastAsia="Times New Roman" w:cs="Times New Roman"/>
          <w:spacing w:val="-4"/>
          <w:sz w:val="18"/>
          <w:szCs w:val="18"/>
        </w:rPr>
        <w:t xml:space="preserve">  Internet        Applications,RIA)</w:t>
      </w:r>
      <w:r>
        <w:rPr>
          <w:rFonts w:ascii="Times New Roman" w:hAnsi="Times New Roman" w:eastAsia="Times New Roman" w:cs="Times New Roman"/>
          <w:spacing w:val="27"/>
          <w:w w:val="101"/>
          <w:sz w:val="18"/>
          <w:szCs w:val="18"/>
        </w:rPr>
        <w:t xml:space="preserve"> </w:t>
      </w:r>
      <w:r>
        <w:rPr>
          <w:spacing w:val="-4"/>
          <w:sz w:val="18"/>
          <w:szCs w:val="18"/>
        </w:rPr>
        <w:t>技</w:t>
      </w:r>
      <w:r>
        <w:rPr>
          <w:spacing w:val="-34"/>
          <w:sz w:val="18"/>
          <w:szCs w:val="18"/>
        </w:rPr>
        <w:t xml:space="preserve"> </w:t>
      </w:r>
      <w:r>
        <w:rPr>
          <w:spacing w:val="-4"/>
          <w:sz w:val="18"/>
          <w:szCs w:val="18"/>
        </w:rPr>
        <w:t>术</w:t>
      </w:r>
      <w:r>
        <w:rPr>
          <w:spacing w:val="-21"/>
          <w:sz w:val="18"/>
          <w:szCs w:val="18"/>
        </w:rPr>
        <w:t xml:space="preserve"> </w:t>
      </w:r>
      <w:r>
        <w:rPr>
          <w:spacing w:val="-4"/>
          <w:sz w:val="18"/>
          <w:szCs w:val="18"/>
        </w:rPr>
        <w:t>，</w:t>
      </w:r>
      <w:r>
        <w:rPr>
          <w:spacing w:val="-29"/>
          <w:sz w:val="18"/>
          <w:szCs w:val="18"/>
        </w:rPr>
        <w:t xml:space="preserve"> </w:t>
      </w:r>
      <w:r>
        <w:rPr>
          <w:spacing w:val="-4"/>
          <w:sz w:val="18"/>
          <w:szCs w:val="18"/>
        </w:rPr>
        <w:t>能</w:t>
      </w:r>
      <w:r>
        <w:rPr>
          <w:spacing w:val="-36"/>
          <w:sz w:val="18"/>
          <w:szCs w:val="18"/>
        </w:rPr>
        <w:t xml:space="preserve"> </w:t>
      </w:r>
      <w:r>
        <w:rPr>
          <w:spacing w:val="-4"/>
          <w:sz w:val="18"/>
          <w:szCs w:val="18"/>
        </w:rPr>
        <w:t>够</w:t>
      </w:r>
      <w:r>
        <w:rPr>
          <w:spacing w:val="-35"/>
          <w:sz w:val="18"/>
          <w:szCs w:val="18"/>
        </w:rPr>
        <w:t xml:space="preserve"> </w:t>
      </w:r>
      <w:r>
        <w:rPr>
          <w:spacing w:val="-4"/>
          <w:sz w:val="18"/>
          <w:szCs w:val="18"/>
        </w:rPr>
        <w:t>提</w:t>
      </w:r>
      <w:r>
        <w:rPr>
          <w:spacing w:val="-36"/>
          <w:sz w:val="18"/>
          <w:szCs w:val="18"/>
        </w:rPr>
        <w:t xml:space="preserve"> </w:t>
      </w:r>
      <w:r>
        <w:rPr>
          <w:spacing w:val="-4"/>
          <w:sz w:val="18"/>
          <w:szCs w:val="18"/>
        </w:rPr>
        <w:t>供</w:t>
      </w:r>
      <w:r>
        <w:rPr>
          <w:sz w:val="18"/>
          <w:szCs w:val="18"/>
        </w:rPr>
        <w:t xml:space="preserve"> HTML</w:t>
      </w:r>
      <w:r>
        <w:rPr>
          <w:spacing w:val="1"/>
          <w:sz w:val="18"/>
          <w:szCs w:val="18"/>
        </w:rPr>
        <w:t xml:space="preserve">   </w:t>
      </w:r>
      <w:r>
        <w:rPr>
          <w:spacing w:val="21"/>
          <w:sz w:val="18"/>
          <w:szCs w:val="18"/>
        </w:rPr>
        <w:t>等技术所无法提供的基于</w:t>
      </w:r>
      <w:r>
        <w:rPr>
          <w:sz w:val="18"/>
          <w:szCs w:val="18"/>
        </w:rPr>
        <w:t>Web</w:t>
      </w:r>
      <w:r>
        <w:rPr>
          <w:spacing w:val="64"/>
          <w:sz w:val="18"/>
          <w:szCs w:val="18"/>
        </w:rPr>
        <w:t xml:space="preserve"> </w:t>
      </w:r>
      <w:r>
        <w:rPr>
          <w:spacing w:val="21"/>
          <w:sz w:val="18"/>
          <w:szCs w:val="18"/>
        </w:rPr>
        <w:t>的丰富的应用，而且在用户体验方面非常不错。</w:t>
      </w:r>
    </w:p>
    <w:p w14:paraId="2C56B13F">
      <w:pPr>
        <w:spacing w:before="185" w:line="225" w:lineRule="auto"/>
        <w:ind w:left="399"/>
        <w:rPr>
          <w:rFonts w:ascii="楷体" w:hAnsi="楷体" w:eastAsia="楷体" w:cs="楷体"/>
          <w:sz w:val="18"/>
          <w:szCs w:val="18"/>
        </w:rPr>
      </w:pPr>
      <w:r>
        <w:rPr>
          <w:rFonts w:ascii="楷体" w:hAnsi="楷体" w:eastAsia="楷体" w:cs="楷体"/>
          <w:spacing w:val="-13"/>
          <w:sz w:val="18"/>
          <w:szCs w:val="18"/>
        </w:rPr>
        <w:t>2</w:t>
      </w:r>
      <w:r>
        <w:rPr>
          <w:rFonts w:ascii="楷体" w:hAnsi="楷体" w:eastAsia="楷体" w:cs="楷体"/>
          <w:spacing w:val="-30"/>
          <w:sz w:val="18"/>
          <w:szCs w:val="18"/>
        </w:rPr>
        <w:t xml:space="preserve"> </w:t>
      </w:r>
      <w:r>
        <w:rPr>
          <w:rFonts w:ascii="楷体" w:hAnsi="楷体" w:eastAsia="楷体" w:cs="楷体"/>
          <w:spacing w:val="-13"/>
          <w:sz w:val="18"/>
          <w:szCs w:val="18"/>
        </w:rPr>
        <w:t>) 中</w:t>
      </w:r>
      <w:r>
        <w:rPr>
          <w:rFonts w:ascii="楷体" w:hAnsi="楷体" w:eastAsia="楷体" w:cs="楷体"/>
          <w:spacing w:val="-12"/>
          <w:sz w:val="18"/>
          <w:szCs w:val="18"/>
        </w:rPr>
        <w:t xml:space="preserve"> </w:t>
      </w:r>
      <w:r>
        <w:rPr>
          <w:rFonts w:ascii="楷体" w:hAnsi="楷体" w:eastAsia="楷体" w:cs="楷体"/>
          <w:spacing w:val="-13"/>
          <w:sz w:val="18"/>
          <w:szCs w:val="18"/>
        </w:rPr>
        <w:t>间</w:t>
      </w:r>
      <w:r>
        <w:rPr>
          <w:rFonts w:ascii="楷体" w:hAnsi="楷体" w:eastAsia="楷体" w:cs="楷体"/>
          <w:spacing w:val="-37"/>
          <w:sz w:val="18"/>
          <w:szCs w:val="18"/>
        </w:rPr>
        <w:t xml:space="preserve"> </w:t>
      </w:r>
      <w:r>
        <w:rPr>
          <w:rFonts w:ascii="楷体" w:hAnsi="楷体" w:eastAsia="楷体" w:cs="楷体"/>
          <w:spacing w:val="-13"/>
          <w:sz w:val="18"/>
          <w:szCs w:val="18"/>
        </w:rPr>
        <w:t>层</w:t>
      </w:r>
    </w:p>
    <w:p w14:paraId="5DA12FF7">
      <w:pPr>
        <w:pStyle w:val="2"/>
        <w:spacing w:before="61" w:line="316" w:lineRule="auto"/>
        <w:ind w:right="270" w:firstLine="399"/>
        <w:rPr>
          <w:sz w:val="18"/>
          <w:szCs w:val="18"/>
        </w:rPr>
      </w:pPr>
      <w:r>
        <w:rPr>
          <w:spacing w:val="23"/>
          <w:sz w:val="18"/>
          <w:szCs w:val="18"/>
        </w:rPr>
        <w:t>中间层是承上启下的，它在下面的基础设施层所提供资源的基础上提供了多种服务，例如</w:t>
      </w:r>
      <w:r>
        <w:rPr>
          <w:spacing w:val="5"/>
          <w:sz w:val="18"/>
          <w:szCs w:val="18"/>
        </w:rPr>
        <w:t xml:space="preserve"> </w:t>
      </w:r>
      <w:r>
        <w:rPr>
          <w:spacing w:val="15"/>
          <w:sz w:val="18"/>
          <w:szCs w:val="18"/>
        </w:rPr>
        <w:t>缓存服务和表述性状态传递</w:t>
      </w:r>
      <w:r>
        <w:rPr>
          <w:spacing w:val="-30"/>
          <w:sz w:val="18"/>
          <w:szCs w:val="18"/>
        </w:rPr>
        <w:t xml:space="preserve"> </w:t>
      </w:r>
      <w:r>
        <w:rPr>
          <w:rFonts w:ascii="Times New Roman" w:hAnsi="Times New Roman" w:eastAsia="Times New Roman" w:cs="Times New Roman"/>
          <w:spacing w:val="15"/>
          <w:sz w:val="18"/>
          <w:szCs w:val="18"/>
        </w:rPr>
        <w:t>(</w:t>
      </w:r>
      <w:r>
        <w:rPr>
          <w:rFonts w:ascii="Times New Roman" w:hAnsi="Times New Roman" w:eastAsia="Times New Roman" w:cs="Times New Roman"/>
          <w:sz w:val="18"/>
          <w:szCs w:val="18"/>
        </w:rPr>
        <w:t>Representational</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State</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Transfer</w:t>
      </w:r>
      <w:r>
        <w:rPr>
          <w:rFonts w:ascii="Times New Roman" w:hAnsi="Times New Roman" w:eastAsia="Times New Roman" w:cs="Times New Roman"/>
          <w:spacing w:val="15"/>
          <w:sz w:val="18"/>
          <w:szCs w:val="18"/>
        </w:rPr>
        <w:t>,</w:t>
      </w:r>
      <w:r>
        <w:rPr>
          <w:rFonts w:ascii="Times New Roman" w:hAnsi="Times New Roman" w:eastAsia="Times New Roman" w:cs="Times New Roman"/>
          <w:sz w:val="18"/>
          <w:szCs w:val="18"/>
        </w:rPr>
        <w:t>REST</w:t>
      </w:r>
      <w:r>
        <w:rPr>
          <w:rFonts w:ascii="Times New Roman" w:hAnsi="Times New Roman" w:eastAsia="Times New Roman" w:cs="Times New Roman"/>
          <w:spacing w:val="15"/>
          <w:sz w:val="18"/>
          <w:szCs w:val="18"/>
        </w:rPr>
        <w:t>)</w:t>
      </w:r>
      <w:r>
        <w:rPr>
          <w:rFonts w:ascii="Times New Roman" w:hAnsi="Times New Roman" w:eastAsia="Times New Roman" w:cs="Times New Roman"/>
          <w:spacing w:val="18"/>
          <w:w w:val="101"/>
          <w:sz w:val="18"/>
          <w:szCs w:val="18"/>
        </w:rPr>
        <w:t xml:space="preserve"> </w:t>
      </w:r>
      <w:r>
        <w:rPr>
          <w:spacing w:val="15"/>
          <w:sz w:val="18"/>
          <w:szCs w:val="18"/>
        </w:rPr>
        <w:t>服务等，而且这些服务既</w:t>
      </w:r>
      <w:r>
        <w:rPr>
          <w:sz w:val="18"/>
          <w:szCs w:val="18"/>
        </w:rPr>
        <w:t xml:space="preserve"> </w:t>
      </w:r>
      <w:r>
        <w:rPr>
          <w:spacing w:val="17"/>
          <w:sz w:val="18"/>
          <w:szCs w:val="18"/>
        </w:rPr>
        <w:t>可用于支撑显示层，也可以直接让用户调用。</w:t>
      </w:r>
    </w:p>
    <w:p w14:paraId="4D529AE1">
      <w:pPr>
        <w:spacing w:line="316" w:lineRule="auto"/>
        <w:rPr>
          <w:sz w:val="18"/>
          <w:szCs w:val="18"/>
        </w:rPr>
        <w:sectPr>
          <w:pgSz w:w="10290" w:h="13310"/>
          <w:pgMar w:top="400" w:right="571" w:bottom="400" w:left="1109" w:header="0" w:footer="0" w:gutter="0"/>
          <w:cols w:space="720" w:num="1"/>
        </w:sectPr>
      </w:pPr>
    </w:p>
    <w:p w14:paraId="27FCC2BA">
      <w:pPr>
        <w:pStyle w:val="2"/>
        <w:spacing w:before="77" w:line="219" w:lineRule="auto"/>
        <w:rPr>
          <w:sz w:val="19"/>
          <w:szCs w:val="19"/>
        </w:rPr>
      </w:pPr>
      <w:r>
        <w:rPr>
          <w:rFonts w:ascii="Times New Roman" w:hAnsi="Times New Roman" w:eastAsia="Times New Roman" w:cs="Times New Roman"/>
          <w:spacing w:val="3"/>
          <w:sz w:val="19"/>
          <w:szCs w:val="19"/>
        </w:rPr>
        <w:t xml:space="preserve">128              </w:t>
      </w:r>
      <w:r>
        <w:rPr>
          <w:spacing w:val="3"/>
          <w:sz w:val="19"/>
          <w:szCs w:val="19"/>
        </w:rPr>
        <w:t>信息系统监理师教程(第2版)</w:t>
      </w:r>
    </w:p>
    <w:p w14:paraId="1550B6F5">
      <w:pPr>
        <w:spacing w:line="310" w:lineRule="auto"/>
        <w:rPr>
          <w:rFonts w:ascii="Arial"/>
          <w:sz w:val="21"/>
        </w:rPr>
      </w:pPr>
    </w:p>
    <w:p w14:paraId="3B1E775E">
      <w:pPr>
        <w:pStyle w:val="2"/>
        <w:spacing w:before="62" w:line="279" w:lineRule="auto"/>
        <w:ind w:left="1019" w:right="20" w:hanging="280"/>
        <w:rPr>
          <w:sz w:val="19"/>
          <w:szCs w:val="19"/>
        </w:rPr>
      </w:pPr>
      <w:r>
        <w:rPr>
          <w:spacing w:val="13"/>
          <w:sz w:val="19"/>
          <w:szCs w:val="19"/>
        </w:rPr>
        <w:t>●多租户：就是能让一个单独的应用实例为多个组织服务，而且保持良好的隔离性和安全</w:t>
      </w:r>
      <w:r>
        <w:rPr>
          <w:spacing w:val="1"/>
          <w:sz w:val="19"/>
          <w:szCs w:val="19"/>
        </w:rPr>
        <w:t xml:space="preserve"> </w:t>
      </w:r>
      <w:r>
        <w:rPr>
          <w:spacing w:val="7"/>
          <w:sz w:val="19"/>
          <w:szCs w:val="19"/>
        </w:rPr>
        <w:t>性，通过这种技术能有效降低应用的购置和维护成本。</w:t>
      </w:r>
    </w:p>
    <w:p w14:paraId="78E10E64">
      <w:pPr>
        <w:pStyle w:val="2"/>
        <w:spacing w:before="84" w:line="276" w:lineRule="auto"/>
        <w:ind w:left="1019" w:right="22" w:hanging="280"/>
        <w:rPr>
          <w:sz w:val="19"/>
          <w:szCs w:val="19"/>
        </w:rPr>
      </w:pPr>
      <w:r>
        <w:rPr>
          <w:spacing w:val="13"/>
          <w:sz w:val="19"/>
          <w:szCs w:val="19"/>
        </w:rPr>
        <w:t>●分布式缓存：通过分布式缓存技术不仅能有效降低对后台服务器的压力，而且还能</w:t>
      </w:r>
      <w:r>
        <w:rPr>
          <w:spacing w:val="12"/>
          <w:sz w:val="19"/>
          <w:szCs w:val="19"/>
        </w:rPr>
        <w:t>加快</w:t>
      </w:r>
      <w:r>
        <w:rPr>
          <w:sz w:val="19"/>
          <w:szCs w:val="19"/>
        </w:rPr>
        <w:t xml:space="preserve"> </w:t>
      </w:r>
      <w:r>
        <w:rPr>
          <w:spacing w:val="5"/>
          <w:sz w:val="19"/>
          <w:szCs w:val="19"/>
        </w:rPr>
        <w:t>相应的反应速度。</w:t>
      </w:r>
    </w:p>
    <w:p w14:paraId="3451E13C">
      <w:pPr>
        <w:pStyle w:val="2"/>
        <w:spacing w:before="101" w:line="270" w:lineRule="auto"/>
        <w:ind w:left="1019" w:right="19" w:hanging="280"/>
        <w:rPr>
          <w:sz w:val="19"/>
          <w:szCs w:val="19"/>
        </w:rPr>
      </w:pPr>
      <w:r>
        <w:rPr>
          <w:spacing w:val="18"/>
          <w:sz w:val="19"/>
          <w:szCs w:val="19"/>
        </w:rPr>
        <w:t>●并行处理：为了处理海量的数据，需要利用庞大的计算资源集群进行规模巨大的并行</w:t>
      </w:r>
      <w:r>
        <w:rPr>
          <w:spacing w:val="14"/>
          <w:sz w:val="19"/>
          <w:szCs w:val="19"/>
        </w:rPr>
        <w:t xml:space="preserve"> </w:t>
      </w:r>
      <w:r>
        <w:rPr>
          <w:spacing w:val="5"/>
          <w:sz w:val="19"/>
          <w:szCs w:val="19"/>
        </w:rPr>
        <w:t>处理。</w:t>
      </w:r>
    </w:p>
    <w:p w14:paraId="416CA7E4">
      <w:pPr>
        <w:pStyle w:val="2"/>
        <w:spacing w:before="96" w:line="219" w:lineRule="auto"/>
        <w:ind w:left="739"/>
        <w:rPr>
          <w:sz w:val="19"/>
          <w:szCs w:val="19"/>
        </w:rPr>
      </w:pPr>
      <w:r>
        <w:rPr>
          <w:spacing w:val="11"/>
          <w:sz w:val="19"/>
          <w:szCs w:val="19"/>
        </w:rPr>
        <w:t>●应用服务器：在原有应用服务器的基础上为云计算做了一定程度的优化。</w:t>
      </w:r>
    </w:p>
    <w:p w14:paraId="3F6F50C1">
      <w:pPr>
        <w:pStyle w:val="2"/>
        <w:spacing w:before="85" w:line="274" w:lineRule="auto"/>
        <w:ind w:left="1019" w:right="56" w:hanging="280"/>
        <w:rPr>
          <w:sz w:val="19"/>
          <w:szCs w:val="19"/>
        </w:rPr>
      </w:pPr>
      <w:r>
        <w:rPr>
          <w:spacing w:val="12"/>
          <w:sz w:val="19"/>
          <w:szCs w:val="19"/>
        </w:rPr>
        <w:t>●</w:t>
      </w:r>
      <w:r>
        <w:rPr>
          <w:spacing w:val="37"/>
          <w:sz w:val="19"/>
          <w:szCs w:val="19"/>
        </w:rPr>
        <w:t xml:space="preserve">  </w:t>
      </w:r>
      <w:r>
        <w:rPr>
          <w:sz w:val="19"/>
          <w:szCs w:val="19"/>
        </w:rPr>
        <w:t>REST</w:t>
      </w:r>
      <w:r>
        <w:rPr>
          <w:spacing w:val="12"/>
          <w:sz w:val="19"/>
          <w:szCs w:val="19"/>
        </w:rPr>
        <w:t>:</w:t>
      </w:r>
      <w:r>
        <w:rPr>
          <w:spacing w:val="-42"/>
          <w:sz w:val="19"/>
          <w:szCs w:val="19"/>
        </w:rPr>
        <w:t xml:space="preserve"> </w:t>
      </w:r>
      <w:r>
        <w:rPr>
          <w:spacing w:val="12"/>
          <w:sz w:val="19"/>
          <w:szCs w:val="19"/>
        </w:rPr>
        <w:t>定义了一组体系架构原则，可以根据这些原则设计以系统资源为中心的</w:t>
      </w:r>
      <w:r>
        <w:rPr>
          <w:sz w:val="19"/>
          <w:szCs w:val="19"/>
        </w:rPr>
        <w:t>Web</w:t>
      </w:r>
      <w:r>
        <w:rPr>
          <w:spacing w:val="31"/>
          <w:sz w:val="19"/>
          <w:szCs w:val="19"/>
        </w:rPr>
        <w:t xml:space="preserve"> </w:t>
      </w:r>
      <w:r>
        <w:rPr>
          <w:spacing w:val="12"/>
          <w:sz w:val="19"/>
          <w:szCs w:val="19"/>
        </w:rPr>
        <w:t>服</w:t>
      </w:r>
      <w:r>
        <w:rPr>
          <w:sz w:val="19"/>
          <w:szCs w:val="19"/>
        </w:rPr>
        <w:t xml:space="preserve"> </w:t>
      </w:r>
      <w:r>
        <w:rPr>
          <w:spacing w:val="9"/>
          <w:sz w:val="19"/>
          <w:szCs w:val="19"/>
        </w:rPr>
        <w:t>务，包括使用不同语言编写的客户端如何通过</w:t>
      </w:r>
      <w:r>
        <w:rPr>
          <w:rFonts w:ascii="Times New Roman" w:hAnsi="Times New Roman" w:eastAsia="Times New Roman" w:cs="Times New Roman"/>
          <w:sz w:val="19"/>
          <w:szCs w:val="19"/>
        </w:rPr>
        <w:t>HTTP</w:t>
      </w:r>
      <w:r>
        <w:rPr>
          <w:rFonts w:ascii="Times New Roman" w:hAnsi="Times New Roman" w:eastAsia="Times New Roman" w:cs="Times New Roman"/>
          <w:spacing w:val="2"/>
          <w:sz w:val="19"/>
          <w:szCs w:val="19"/>
        </w:rPr>
        <w:t xml:space="preserve">  </w:t>
      </w:r>
      <w:r>
        <w:rPr>
          <w:spacing w:val="9"/>
          <w:sz w:val="19"/>
          <w:szCs w:val="19"/>
        </w:rPr>
        <w:t>处理和传输资源状态。</w:t>
      </w:r>
    </w:p>
    <w:p w14:paraId="027655E2">
      <w:pPr>
        <w:spacing w:before="191" w:line="232" w:lineRule="auto"/>
        <w:ind w:left="739"/>
        <w:rPr>
          <w:rFonts w:ascii="楷体" w:hAnsi="楷体" w:eastAsia="楷体" w:cs="楷体"/>
          <w:sz w:val="19"/>
          <w:szCs w:val="19"/>
        </w:rPr>
      </w:pPr>
      <w:r>
        <w:rPr>
          <w:rFonts w:ascii="楷体" w:hAnsi="楷体" w:eastAsia="楷体" w:cs="楷体"/>
          <w:spacing w:val="24"/>
          <w:sz w:val="19"/>
          <w:szCs w:val="19"/>
        </w:rPr>
        <w:t>3)基础设施层</w:t>
      </w:r>
    </w:p>
    <w:p w14:paraId="4F12B15B">
      <w:pPr>
        <w:pStyle w:val="2"/>
        <w:spacing w:before="76" w:line="219" w:lineRule="auto"/>
        <w:ind w:left="739"/>
        <w:rPr>
          <w:sz w:val="19"/>
          <w:szCs w:val="19"/>
        </w:rPr>
      </w:pPr>
      <w:r>
        <w:rPr>
          <w:spacing w:val="8"/>
          <w:sz w:val="19"/>
          <w:szCs w:val="19"/>
        </w:rPr>
        <w:t>基础设施层的作用是为上面的中间层或者用户准备其所需的计算和存储等资源。</w:t>
      </w:r>
    </w:p>
    <w:p w14:paraId="59B75DF8">
      <w:pPr>
        <w:pStyle w:val="2"/>
        <w:spacing w:before="72" w:line="287" w:lineRule="auto"/>
        <w:ind w:left="1019" w:right="16" w:hanging="280"/>
        <w:rPr>
          <w:sz w:val="19"/>
          <w:szCs w:val="19"/>
        </w:rPr>
      </w:pPr>
      <w:r>
        <w:rPr>
          <w:spacing w:val="15"/>
          <w:sz w:val="19"/>
          <w:szCs w:val="19"/>
        </w:rPr>
        <w:t xml:space="preserve">●虚拟化：可以理解为基础设施层的“多租户”,因为通过虚拟化技术，能够在一个物理 </w:t>
      </w:r>
      <w:r>
        <w:rPr>
          <w:spacing w:val="11"/>
          <w:sz w:val="19"/>
          <w:szCs w:val="19"/>
        </w:rPr>
        <w:t>服务器上生成多个虚拟机，并且能在这些虚拟机之间实现全面的隔离，这样不仅能降低</w:t>
      </w:r>
      <w:r>
        <w:rPr>
          <w:spacing w:val="3"/>
          <w:sz w:val="19"/>
          <w:szCs w:val="19"/>
        </w:rPr>
        <w:t xml:space="preserve"> </w:t>
      </w:r>
      <w:r>
        <w:rPr>
          <w:spacing w:val="7"/>
          <w:sz w:val="19"/>
          <w:szCs w:val="19"/>
        </w:rPr>
        <w:t>服务器的购置成本，而且还能降低服务器的运维成本。</w:t>
      </w:r>
    </w:p>
    <w:p w14:paraId="56929D0A">
      <w:pPr>
        <w:pStyle w:val="2"/>
        <w:spacing w:before="86" w:line="270" w:lineRule="auto"/>
        <w:ind w:left="1019" w:right="39" w:hanging="280"/>
        <w:rPr>
          <w:sz w:val="19"/>
          <w:szCs w:val="19"/>
        </w:rPr>
      </w:pPr>
      <w:r>
        <w:rPr>
          <w:spacing w:val="13"/>
          <w:sz w:val="19"/>
          <w:szCs w:val="19"/>
        </w:rPr>
        <w:t>●分布式存储：为了承载海量的数据，同时保证</w:t>
      </w:r>
      <w:r>
        <w:rPr>
          <w:spacing w:val="12"/>
          <w:sz w:val="19"/>
          <w:szCs w:val="19"/>
        </w:rPr>
        <w:t>这些数据的可管理性，就需要一整套分布</w:t>
      </w:r>
      <w:r>
        <w:rPr>
          <w:sz w:val="19"/>
          <w:szCs w:val="19"/>
        </w:rPr>
        <w:t xml:space="preserve"> </w:t>
      </w:r>
      <w:r>
        <w:rPr>
          <w:spacing w:val="3"/>
          <w:sz w:val="19"/>
          <w:szCs w:val="19"/>
        </w:rPr>
        <w:t>式的存储系统。</w:t>
      </w:r>
    </w:p>
    <w:p w14:paraId="207E2732">
      <w:pPr>
        <w:pStyle w:val="2"/>
        <w:spacing w:before="104" w:line="266" w:lineRule="auto"/>
        <w:ind w:left="1019" w:hanging="280"/>
        <w:rPr>
          <w:sz w:val="19"/>
          <w:szCs w:val="19"/>
        </w:rPr>
      </w:pPr>
      <w:r>
        <w:rPr>
          <w:spacing w:val="14"/>
          <w:sz w:val="19"/>
          <w:szCs w:val="19"/>
        </w:rPr>
        <w:t>●关系型数据库：基本是在原有关系型数据库的</w:t>
      </w:r>
      <w:r>
        <w:rPr>
          <w:spacing w:val="13"/>
          <w:sz w:val="19"/>
          <w:szCs w:val="19"/>
        </w:rPr>
        <w:t>基础上做了扩展和管理等方面的优化，使</w:t>
      </w:r>
      <w:r>
        <w:rPr>
          <w:sz w:val="19"/>
          <w:szCs w:val="19"/>
        </w:rPr>
        <w:t xml:space="preserve"> </w:t>
      </w:r>
      <w:r>
        <w:rPr>
          <w:spacing w:val="5"/>
          <w:sz w:val="19"/>
          <w:szCs w:val="19"/>
        </w:rPr>
        <w:t>其在云中更适应。</w:t>
      </w:r>
    </w:p>
    <w:p w14:paraId="41E8F0A1">
      <w:pPr>
        <w:pStyle w:val="2"/>
        <w:spacing w:before="78" w:line="277" w:lineRule="auto"/>
        <w:ind w:left="1019" w:right="15" w:hanging="280"/>
        <w:rPr>
          <w:sz w:val="19"/>
          <w:szCs w:val="19"/>
        </w:rPr>
      </w:pPr>
      <w:r>
        <w:rPr>
          <w:spacing w:val="8"/>
          <w:sz w:val="19"/>
          <w:szCs w:val="19"/>
        </w:rPr>
        <w:t>●</w:t>
      </w:r>
      <w:r>
        <w:rPr>
          <w:spacing w:val="2"/>
          <w:sz w:val="19"/>
          <w:szCs w:val="19"/>
        </w:rPr>
        <w:t xml:space="preserve">  </w:t>
      </w:r>
      <w:r>
        <w:rPr>
          <w:sz w:val="19"/>
          <w:szCs w:val="19"/>
        </w:rPr>
        <w:t>NoSQL</w:t>
      </w:r>
      <w:r>
        <w:rPr>
          <w:spacing w:val="8"/>
          <w:sz w:val="19"/>
          <w:szCs w:val="19"/>
        </w:rPr>
        <w:t>(</w:t>
      </w:r>
      <w:r>
        <w:rPr>
          <w:sz w:val="19"/>
          <w:szCs w:val="19"/>
        </w:rPr>
        <w:t>Not</w:t>
      </w:r>
      <w:r>
        <w:rPr>
          <w:spacing w:val="8"/>
          <w:sz w:val="19"/>
          <w:szCs w:val="19"/>
        </w:rPr>
        <w:t xml:space="preserve">  </w:t>
      </w:r>
      <w:r>
        <w:rPr>
          <w:sz w:val="19"/>
          <w:szCs w:val="19"/>
        </w:rPr>
        <w:t>only</w:t>
      </w:r>
      <w:r>
        <w:rPr>
          <w:spacing w:val="8"/>
          <w:sz w:val="19"/>
          <w:szCs w:val="19"/>
        </w:rPr>
        <w:t xml:space="preserve">  </w:t>
      </w:r>
      <w:r>
        <w:rPr>
          <w:sz w:val="19"/>
          <w:szCs w:val="19"/>
        </w:rPr>
        <w:t>SQL</w:t>
      </w:r>
      <w:r>
        <w:rPr>
          <w:spacing w:val="8"/>
          <w:sz w:val="19"/>
          <w:szCs w:val="19"/>
        </w:rPr>
        <w:t>):</w:t>
      </w:r>
      <w:r>
        <w:rPr>
          <w:spacing w:val="-52"/>
          <w:sz w:val="19"/>
          <w:szCs w:val="19"/>
        </w:rPr>
        <w:t xml:space="preserve"> </w:t>
      </w:r>
      <w:r>
        <w:rPr>
          <w:spacing w:val="8"/>
          <w:sz w:val="19"/>
          <w:szCs w:val="19"/>
        </w:rPr>
        <w:t>泛指非关系型的数据库，用以解决大规模数据集合多</w:t>
      </w:r>
      <w:r>
        <w:rPr>
          <w:spacing w:val="7"/>
          <w:sz w:val="19"/>
          <w:szCs w:val="19"/>
        </w:rPr>
        <w:t>重数据种</w:t>
      </w:r>
      <w:r>
        <w:rPr>
          <w:sz w:val="19"/>
          <w:szCs w:val="19"/>
        </w:rPr>
        <w:t xml:space="preserve"> </w:t>
      </w:r>
      <w:r>
        <w:rPr>
          <w:spacing w:val="7"/>
          <w:sz w:val="19"/>
          <w:szCs w:val="19"/>
        </w:rPr>
        <w:t>类带来的挑战，特别是大数据应用难题。</w:t>
      </w:r>
    </w:p>
    <w:p w14:paraId="1CFE4516">
      <w:pPr>
        <w:spacing w:before="170" w:line="223" w:lineRule="auto"/>
        <w:ind w:left="739"/>
        <w:rPr>
          <w:rFonts w:ascii="楷体" w:hAnsi="楷体" w:eastAsia="楷体" w:cs="楷体"/>
          <w:sz w:val="19"/>
          <w:szCs w:val="19"/>
        </w:rPr>
      </w:pPr>
      <w:r>
        <w:rPr>
          <w:rFonts w:ascii="楷体" w:hAnsi="楷体" w:eastAsia="楷体" w:cs="楷体"/>
          <w:spacing w:val="28"/>
          <w:sz w:val="19"/>
          <w:szCs w:val="19"/>
        </w:rPr>
        <w:t>4)管理层</w:t>
      </w:r>
    </w:p>
    <w:p w14:paraId="6378D478">
      <w:pPr>
        <w:pStyle w:val="2"/>
        <w:spacing w:before="94" w:line="219" w:lineRule="auto"/>
        <w:ind w:left="739"/>
        <w:rPr>
          <w:sz w:val="19"/>
          <w:szCs w:val="19"/>
        </w:rPr>
      </w:pPr>
      <w:r>
        <w:rPr>
          <w:spacing w:val="8"/>
          <w:sz w:val="19"/>
          <w:szCs w:val="19"/>
        </w:rPr>
        <w:t>管理层是为另外三层服务的，并给这三层提供管理和维护等方面的多种技术。</w:t>
      </w:r>
    </w:p>
    <w:p w14:paraId="2BDA489E">
      <w:pPr>
        <w:pStyle w:val="2"/>
        <w:spacing w:before="76" w:line="270" w:lineRule="auto"/>
        <w:ind w:left="1019" w:right="22" w:hanging="280"/>
        <w:rPr>
          <w:sz w:val="19"/>
          <w:szCs w:val="19"/>
        </w:rPr>
      </w:pPr>
      <w:r>
        <w:rPr>
          <w:spacing w:val="13"/>
          <w:sz w:val="19"/>
          <w:szCs w:val="19"/>
        </w:rPr>
        <w:t>●账号管理：通过良好的账号管理技术，能够在安全的条件下方便用户登录，并方便</w:t>
      </w:r>
      <w:r>
        <w:rPr>
          <w:spacing w:val="12"/>
          <w:sz w:val="19"/>
          <w:szCs w:val="19"/>
        </w:rPr>
        <w:t>管理</w:t>
      </w:r>
      <w:r>
        <w:rPr>
          <w:sz w:val="19"/>
          <w:szCs w:val="19"/>
        </w:rPr>
        <w:t xml:space="preserve"> </w:t>
      </w:r>
      <w:r>
        <w:rPr>
          <w:spacing w:val="5"/>
          <w:sz w:val="19"/>
          <w:szCs w:val="19"/>
        </w:rPr>
        <w:t>员对账号的管理。</w:t>
      </w:r>
    </w:p>
    <w:p w14:paraId="7954E999">
      <w:pPr>
        <w:pStyle w:val="2"/>
        <w:spacing w:before="93" w:line="271" w:lineRule="auto"/>
        <w:ind w:left="1019" w:right="19" w:hanging="280"/>
        <w:rPr>
          <w:sz w:val="19"/>
          <w:szCs w:val="19"/>
        </w:rPr>
      </w:pPr>
      <w:r>
        <w:rPr>
          <w:spacing w:val="11"/>
          <w:sz w:val="19"/>
          <w:szCs w:val="19"/>
        </w:rPr>
        <w:t xml:space="preserve">●  </w:t>
      </w:r>
      <w:r>
        <w:rPr>
          <w:sz w:val="19"/>
          <w:szCs w:val="19"/>
        </w:rPr>
        <w:t>SLA</w:t>
      </w:r>
      <w:r>
        <w:rPr>
          <w:spacing w:val="11"/>
          <w:sz w:val="19"/>
          <w:szCs w:val="19"/>
        </w:rPr>
        <w:t>监控：对各层运行的虚拟机、服务和应用等进行</w:t>
      </w:r>
      <w:r>
        <w:rPr>
          <w:spacing w:val="10"/>
          <w:sz w:val="19"/>
          <w:szCs w:val="19"/>
        </w:rPr>
        <w:t>性能方面的监控，以使它们都能在</w:t>
      </w:r>
      <w:r>
        <w:rPr>
          <w:sz w:val="19"/>
          <w:szCs w:val="19"/>
        </w:rPr>
        <w:t xml:space="preserve"> </w:t>
      </w:r>
      <w:r>
        <w:rPr>
          <w:spacing w:val="6"/>
          <w:sz w:val="19"/>
          <w:szCs w:val="19"/>
        </w:rPr>
        <w:t>满足预先设定的服务水平协议</w:t>
      </w:r>
      <w:r>
        <w:rPr>
          <w:spacing w:val="-26"/>
          <w:sz w:val="19"/>
          <w:szCs w:val="19"/>
        </w:rPr>
        <w:t xml:space="preserve"> </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Service</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Level</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Agreement</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SLA</w:t>
      </w:r>
      <w:r>
        <w:rPr>
          <w:rFonts w:ascii="Times New Roman" w:hAnsi="Times New Roman" w:eastAsia="Times New Roman" w:cs="Times New Roman"/>
          <w:spacing w:val="6"/>
          <w:sz w:val="19"/>
          <w:szCs w:val="19"/>
        </w:rPr>
        <w:t>)</w:t>
      </w:r>
      <w:r>
        <w:rPr>
          <w:rFonts w:ascii="Times New Roman" w:hAnsi="Times New Roman" w:eastAsia="Times New Roman" w:cs="Times New Roman"/>
          <w:spacing w:val="15"/>
          <w:sz w:val="19"/>
          <w:szCs w:val="19"/>
        </w:rPr>
        <w:t xml:space="preserve"> </w:t>
      </w:r>
      <w:r>
        <w:rPr>
          <w:spacing w:val="6"/>
          <w:sz w:val="19"/>
          <w:szCs w:val="19"/>
        </w:rPr>
        <w:t>的情况下运行。</w:t>
      </w:r>
    </w:p>
    <w:p w14:paraId="7F025561">
      <w:pPr>
        <w:pStyle w:val="2"/>
        <w:spacing w:before="103" w:line="219" w:lineRule="auto"/>
        <w:ind w:left="739"/>
        <w:rPr>
          <w:sz w:val="19"/>
          <w:szCs w:val="19"/>
        </w:rPr>
      </w:pPr>
      <w:r>
        <w:rPr>
          <w:spacing w:val="11"/>
          <w:sz w:val="19"/>
          <w:szCs w:val="19"/>
        </w:rPr>
        <w:t>●计费管理：也就是对每个用户所消耗的资源等进行统</w:t>
      </w:r>
      <w:r>
        <w:rPr>
          <w:spacing w:val="10"/>
          <w:sz w:val="19"/>
          <w:szCs w:val="19"/>
        </w:rPr>
        <w:t>计，以便准确地向用户收取费用。</w:t>
      </w:r>
    </w:p>
    <w:p w14:paraId="718A8FA3">
      <w:pPr>
        <w:pStyle w:val="2"/>
        <w:spacing w:before="84" w:line="266" w:lineRule="auto"/>
        <w:ind w:left="1019" w:right="22" w:hanging="280"/>
        <w:rPr>
          <w:sz w:val="19"/>
          <w:szCs w:val="19"/>
        </w:rPr>
      </w:pPr>
      <w:r>
        <w:rPr>
          <w:spacing w:val="16"/>
          <w:sz w:val="19"/>
          <w:szCs w:val="19"/>
        </w:rPr>
        <w:t>●安全管理：对数据、应用和账号等</w:t>
      </w:r>
      <w:r>
        <w:rPr>
          <w:sz w:val="19"/>
          <w:szCs w:val="19"/>
        </w:rPr>
        <w:t>IT</w:t>
      </w:r>
      <w:r>
        <w:rPr>
          <w:spacing w:val="16"/>
          <w:sz w:val="19"/>
          <w:szCs w:val="19"/>
        </w:rPr>
        <w:t xml:space="preserve"> 资源采取全面保护，使其免受</w:t>
      </w:r>
      <w:r>
        <w:rPr>
          <w:spacing w:val="15"/>
          <w:sz w:val="19"/>
          <w:szCs w:val="19"/>
        </w:rPr>
        <w:t>犯罪分子和恶意程</w:t>
      </w:r>
      <w:r>
        <w:rPr>
          <w:sz w:val="19"/>
          <w:szCs w:val="19"/>
        </w:rPr>
        <w:t xml:space="preserve"> </w:t>
      </w:r>
      <w:r>
        <w:rPr>
          <w:spacing w:val="8"/>
          <w:sz w:val="19"/>
          <w:szCs w:val="19"/>
        </w:rPr>
        <w:t>序的侵害。</w:t>
      </w:r>
    </w:p>
    <w:p w14:paraId="60B516EF">
      <w:pPr>
        <w:pStyle w:val="2"/>
        <w:spacing w:before="104" w:line="219" w:lineRule="auto"/>
        <w:ind w:left="739"/>
        <w:rPr>
          <w:sz w:val="19"/>
          <w:szCs w:val="19"/>
        </w:rPr>
      </w:pPr>
      <w:r>
        <w:rPr>
          <w:spacing w:val="10"/>
          <w:sz w:val="19"/>
          <w:szCs w:val="19"/>
        </w:rPr>
        <w:t>●负载均衡：通过将流量分发给一个应用或者服务的多个实例来应对突发情况。</w:t>
      </w:r>
    </w:p>
    <w:p w14:paraId="7125E6A1">
      <w:pPr>
        <w:pStyle w:val="2"/>
        <w:spacing w:before="93" w:line="219" w:lineRule="auto"/>
        <w:ind w:left="739"/>
        <w:rPr>
          <w:sz w:val="19"/>
          <w:szCs w:val="19"/>
        </w:rPr>
      </w:pPr>
      <w:r>
        <w:rPr>
          <w:spacing w:val="11"/>
          <w:sz w:val="19"/>
          <w:szCs w:val="19"/>
        </w:rPr>
        <w:t>●运维管理：主要是使运维操作尽可能专业和自动化，从而降低云计算中心的运维成本。</w:t>
      </w:r>
    </w:p>
    <w:p w14:paraId="0E92E15C">
      <w:pPr>
        <w:pStyle w:val="2"/>
        <w:spacing w:before="245" w:line="219" w:lineRule="auto"/>
        <w:ind w:left="339"/>
        <w:rPr>
          <w:sz w:val="25"/>
          <w:szCs w:val="25"/>
        </w:rPr>
      </w:pPr>
      <w:r>
        <w:rPr>
          <w:rFonts w:ascii="Times New Roman" w:hAnsi="Times New Roman" w:eastAsia="Times New Roman" w:cs="Times New Roman"/>
          <w:b/>
          <w:bCs/>
          <w:color w:val="0040D7"/>
          <w:spacing w:val="-6"/>
          <w:sz w:val="25"/>
          <w:szCs w:val="25"/>
        </w:rPr>
        <w:t xml:space="preserve">4.2.2   </w:t>
      </w:r>
      <w:r>
        <w:rPr>
          <w:b/>
          <w:bCs/>
          <w:color w:val="0040D7"/>
          <w:spacing w:val="-6"/>
          <w:sz w:val="25"/>
          <w:szCs w:val="25"/>
        </w:rPr>
        <w:t>云计算关键技术</w:t>
      </w:r>
    </w:p>
    <w:p w14:paraId="5577D95E">
      <w:pPr>
        <w:pStyle w:val="2"/>
        <w:spacing w:before="144" w:line="298" w:lineRule="auto"/>
        <w:ind w:left="339" w:right="15" w:firstLine="400"/>
        <w:rPr>
          <w:sz w:val="19"/>
          <w:szCs w:val="19"/>
        </w:rPr>
      </w:pPr>
      <w:r>
        <w:rPr>
          <w:spacing w:val="13"/>
          <w:sz w:val="19"/>
          <w:szCs w:val="19"/>
        </w:rPr>
        <w:t>云计算的实现采用分层架构，其中的关键技术包括虚拟化技术、分布式数据存储技术、资</w:t>
      </w:r>
      <w:r>
        <w:rPr>
          <w:spacing w:val="6"/>
          <w:sz w:val="19"/>
          <w:szCs w:val="19"/>
        </w:rPr>
        <w:t xml:space="preserve"> </w:t>
      </w:r>
      <w:r>
        <w:rPr>
          <w:spacing w:val="8"/>
          <w:sz w:val="19"/>
          <w:szCs w:val="19"/>
        </w:rPr>
        <w:t>源管理技术、云计算平台管理技术和多租户隔离技术等。</w:t>
      </w:r>
    </w:p>
    <w:p w14:paraId="4DE0A71C">
      <w:pPr>
        <w:spacing w:line="298" w:lineRule="auto"/>
        <w:rPr>
          <w:sz w:val="19"/>
          <w:szCs w:val="19"/>
        </w:rPr>
        <w:sectPr>
          <w:pgSz w:w="10310" w:h="13390"/>
          <w:pgMar w:top="400" w:right="1140" w:bottom="400" w:left="490" w:header="0" w:footer="0" w:gutter="0"/>
          <w:cols w:space="720" w:num="1"/>
        </w:sectPr>
      </w:pPr>
    </w:p>
    <w:p w14:paraId="3F18DBB6">
      <w:pPr>
        <w:pStyle w:val="2"/>
        <w:spacing w:before="66" w:line="206" w:lineRule="auto"/>
        <w:jc w:val="right"/>
        <w:rPr>
          <w:rFonts w:ascii="Times New Roman" w:hAnsi="Times New Roman" w:eastAsia="Times New Roman" w:cs="Times New Roman"/>
          <w:sz w:val="31"/>
          <w:szCs w:val="31"/>
        </w:rPr>
      </w:pPr>
      <w:r>
        <w:rPr>
          <w:spacing w:val="-1"/>
          <w:position w:val="1"/>
          <w:sz w:val="20"/>
          <w:szCs w:val="20"/>
        </w:rPr>
        <w:t>第4章 信息资源系统</w:t>
      </w:r>
      <w:r>
        <w:rPr>
          <w:spacing w:val="3"/>
          <w:position w:val="1"/>
          <w:sz w:val="20"/>
          <w:szCs w:val="20"/>
        </w:rPr>
        <w:t xml:space="preserve">      </w:t>
      </w:r>
      <w:r>
        <w:rPr>
          <w:rFonts w:ascii="Times New Roman" w:hAnsi="Times New Roman" w:eastAsia="Times New Roman" w:cs="Times New Roman"/>
          <w:spacing w:val="-49"/>
          <w:w w:val="99"/>
          <w:position w:val="-4"/>
          <w:sz w:val="31"/>
          <w:szCs w:val="31"/>
        </w:rPr>
        <w:t>1</w:t>
      </w:r>
      <w:r>
        <w:rPr>
          <w:rFonts w:ascii="Times New Roman" w:hAnsi="Times New Roman" w:eastAsia="Times New Roman" w:cs="Times New Roman"/>
          <w:spacing w:val="-48"/>
          <w:w w:val="99"/>
          <w:position w:val="-4"/>
          <w:sz w:val="31"/>
          <w:szCs w:val="31"/>
        </w:rPr>
        <w:t>2</w:t>
      </w:r>
      <w:r>
        <w:rPr>
          <w:rFonts w:ascii="Times New Roman" w:hAnsi="Times New Roman" w:eastAsia="Times New Roman" w:cs="Times New Roman"/>
          <w:spacing w:val="-14"/>
          <w:w w:val="99"/>
          <w:position w:val="-4"/>
          <w:sz w:val="31"/>
          <w:szCs w:val="31"/>
        </w:rPr>
        <w:t>9</w:t>
      </w:r>
    </w:p>
    <w:p w14:paraId="742066A7">
      <w:pPr>
        <w:spacing w:line="244" w:lineRule="auto"/>
        <w:rPr>
          <w:rFonts w:ascii="Arial"/>
          <w:sz w:val="21"/>
        </w:rPr>
      </w:pPr>
    </w:p>
    <w:p w14:paraId="38CA3534">
      <w:pPr>
        <w:pStyle w:val="2"/>
        <w:spacing w:before="65" w:line="222" w:lineRule="auto"/>
        <w:ind w:left="402"/>
        <w:rPr>
          <w:rFonts w:ascii="黑体" w:hAnsi="黑体" w:eastAsia="黑体" w:cs="黑体"/>
          <w:sz w:val="20"/>
          <w:szCs w:val="20"/>
        </w:rPr>
      </w:pPr>
      <w:r>
        <w:rPr>
          <w:b/>
          <w:bCs/>
          <w:color w:val="0043B9"/>
          <w:spacing w:val="-5"/>
          <w:sz w:val="20"/>
          <w:szCs w:val="20"/>
        </w:rPr>
        <w:t>1.</w:t>
      </w:r>
      <w:r>
        <w:rPr>
          <w:rFonts w:ascii="黑体" w:hAnsi="黑体" w:eastAsia="黑体" w:cs="黑体"/>
          <w:b/>
          <w:bCs/>
          <w:color w:val="0043B9"/>
          <w:spacing w:val="-5"/>
          <w:sz w:val="20"/>
          <w:szCs w:val="20"/>
        </w:rPr>
        <w:t>虚拟化技术</w:t>
      </w:r>
    </w:p>
    <w:p w14:paraId="64BB9337">
      <w:pPr>
        <w:pStyle w:val="2"/>
        <w:spacing w:before="123" w:line="281" w:lineRule="auto"/>
        <w:ind w:right="290" w:firstLine="399"/>
        <w:jc w:val="both"/>
        <w:rPr>
          <w:sz w:val="20"/>
          <w:szCs w:val="20"/>
        </w:rPr>
      </w:pPr>
      <w:r>
        <w:rPr>
          <w:spacing w:val="2"/>
          <w:sz w:val="20"/>
          <w:szCs w:val="20"/>
        </w:rPr>
        <w:t>虚拟化是云计算的核心技术之一，它为云计算服务提供基础架构层面的支撑，是信息通信</w:t>
      </w:r>
      <w:r>
        <w:rPr>
          <w:spacing w:val="5"/>
          <w:sz w:val="20"/>
          <w:szCs w:val="20"/>
        </w:rPr>
        <w:t xml:space="preserve">  </w:t>
      </w:r>
      <w:r>
        <w:rPr>
          <w:spacing w:val="6"/>
          <w:sz w:val="20"/>
          <w:szCs w:val="20"/>
        </w:rPr>
        <w:t>技术</w:t>
      </w:r>
      <w:r>
        <w:rPr>
          <w:spacing w:val="-38"/>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ICT</w:t>
      </w:r>
      <w:r>
        <w:rPr>
          <w:rFonts w:ascii="Times New Roman" w:hAnsi="Times New Roman" w:eastAsia="Times New Roman" w:cs="Times New Roman"/>
          <w:spacing w:val="6"/>
          <w:sz w:val="20"/>
          <w:szCs w:val="20"/>
        </w:rPr>
        <w:t xml:space="preserve">)   </w:t>
      </w:r>
      <w:r>
        <w:rPr>
          <w:spacing w:val="6"/>
          <w:sz w:val="20"/>
          <w:szCs w:val="20"/>
        </w:rPr>
        <w:t>服务快速走向云计算的最主要驱动力。虚拟化技术根据对象的不同可分成存储虚</w:t>
      </w:r>
      <w:r>
        <w:rPr>
          <w:sz w:val="20"/>
          <w:szCs w:val="20"/>
        </w:rPr>
        <w:t xml:space="preserve">  </w:t>
      </w:r>
      <w:r>
        <w:rPr>
          <w:spacing w:val="3"/>
          <w:sz w:val="20"/>
          <w:szCs w:val="20"/>
        </w:rPr>
        <w:t>拟化、计算虚拟化、网络虚拟化等。计算虚拟化又分为系统级虚拟化、应用级虚拟化</w:t>
      </w:r>
      <w:r>
        <w:rPr>
          <w:spacing w:val="2"/>
          <w:sz w:val="20"/>
          <w:szCs w:val="20"/>
        </w:rPr>
        <w:t>和桌面虚</w:t>
      </w:r>
      <w:r>
        <w:rPr>
          <w:sz w:val="20"/>
          <w:szCs w:val="20"/>
        </w:rPr>
        <w:t xml:space="preserve">  </w:t>
      </w:r>
      <w:r>
        <w:rPr>
          <w:spacing w:val="3"/>
          <w:sz w:val="20"/>
          <w:szCs w:val="20"/>
        </w:rPr>
        <w:t>拟化。从表现形式上看，虚拟化又分为两种应用模式，包括将单个资源划分成多个虚拟资源的</w:t>
      </w:r>
      <w:r>
        <w:rPr>
          <w:sz w:val="20"/>
          <w:szCs w:val="20"/>
        </w:rPr>
        <w:t xml:space="preserve">  裂分模式，以及将多个资源整合成一个虚拟资源的聚合模式。这两种模式的核心都是统一管理、</w:t>
      </w:r>
      <w:r>
        <w:rPr>
          <w:spacing w:val="8"/>
          <w:sz w:val="20"/>
          <w:szCs w:val="20"/>
        </w:rPr>
        <w:t xml:space="preserve"> </w:t>
      </w:r>
      <w:r>
        <w:rPr>
          <w:spacing w:val="-3"/>
          <w:sz w:val="20"/>
          <w:szCs w:val="20"/>
        </w:rPr>
        <w:t>动态分配资源、提高资源利用率。</w:t>
      </w:r>
    </w:p>
    <w:p w14:paraId="0E9D3CE8">
      <w:pPr>
        <w:pStyle w:val="2"/>
        <w:spacing w:before="169" w:line="222" w:lineRule="auto"/>
        <w:ind w:left="402"/>
        <w:rPr>
          <w:rFonts w:ascii="黑体" w:hAnsi="黑体" w:eastAsia="黑体" w:cs="黑体"/>
          <w:sz w:val="20"/>
          <w:szCs w:val="20"/>
        </w:rPr>
      </w:pPr>
      <w:r>
        <w:rPr>
          <w:b/>
          <w:bCs/>
          <w:color w:val="004ADF"/>
          <w:spacing w:val="-2"/>
          <w:sz w:val="20"/>
          <w:szCs w:val="20"/>
        </w:rPr>
        <w:t>2.</w:t>
      </w:r>
      <w:r>
        <w:rPr>
          <w:rFonts w:ascii="黑体" w:hAnsi="黑体" w:eastAsia="黑体" w:cs="黑体"/>
          <w:b/>
          <w:bCs/>
          <w:color w:val="004ADF"/>
          <w:spacing w:val="-2"/>
          <w:sz w:val="20"/>
          <w:szCs w:val="20"/>
        </w:rPr>
        <w:t>分布式数据存储技术</w:t>
      </w:r>
    </w:p>
    <w:p w14:paraId="56B470AB">
      <w:pPr>
        <w:pStyle w:val="2"/>
        <w:spacing w:before="132" w:line="289" w:lineRule="auto"/>
        <w:ind w:right="361" w:firstLine="399"/>
        <w:jc w:val="both"/>
        <w:rPr>
          <w:sz w:val="20"/>
          <w:szCs w:val="20"/>
        </w:rPr>
      </w:pPr>
      <w:r>
        <w:rPr>
          <w:spacing w:val="4"/>
          <w:sz w:val="20"/>
          <w:szCs w:val="20"/>
        </w:rPr>
        <w:t>通过将数据存储在不同的设备中，能实现动态负</w:t>
      </w:r>
      <w:r>
        <w:rPr>
          <w:spacing w:val="3"/>
          <w:sz w:val="20"/>
          <w:szCs w:val="20"/>
        </w:rPr>
        <w:t>载均衡、故障节点自动接管，具有高可靠</w:t>
      </w:r>
      <w:r>
        <w:rPr>
          <w:sz w:val="20"/>
          <w:szCs w:val="20"/>
        </w:rPr>
        <w:t xml:space="preserve"> </w:t>
      </w:r>
      <w:r>
        <w:rPr>
          <w:spacing w:val="3"/>
          <w:sz w:val="20"/>
          <w:szCs w:val="20"/>
        </w:rPr>
        <w:t>性、高可用性和高可扩展性。因为在多节点的并发执行环境中，各个节点的状态需要同步，并</w:t>
      </w:r>
      <w:r>
        <w:rPr>
          <w:spacing w:val="14"/>
          <w:sz w:val="20"/>
          <w:szCs w:val="20"/>
        </w:rPr>
        <w:t xml:space="preserve"> </w:t>
      </w:r>
      <w:r>
        <w:rPr>
          <w:spacing w:val="3"/>
          <w:sz w:val="20"/>
          <w:szCs w:val="20"/>
        </w:rPr>
        <w:t>且在单节点出现故障时，系统需要有效的机制来保证其他节点不受影响。这种模式不仅摆脱了</w:t>
      </w:r>
      <w:r>
        <w:rPr>
          <w:spacing w:val="12"/>
          <w:sz w:val="20"/>
          <w:szCs w:val="20"/>
        </w:rPr>
        <w:t xml:space="preserve"> </w:t>
      </w:r>
      <w:r>
        <w:rPr>
          <w:spacing w:val="-1"/>
          <w:sz w:val="20"/>
          <w:szCs w:val="20"/>
        </w:rPr>
        <w:t>硬件设备限制，同时扩展性更好，能够快速响应</w:t>
      </w:r>
      <w:r>
        <w:rPr>
          <w:spacing w:val="-2"/>
          <w:sz w:val="20"/>
          <w:szCs w:val="20"/>
        </w:rPr>
        <w:t>用户需求的变化。</w:t>
      </w:r>
    </w:p>
    <w:p w14:paraId="790EEF47">
      <w:pPr>
        <w:pStyle w:val="2"/>
        <w:spacing w:before="125" w:line="221" w:lineRule="auto"/>
        <w:ind w:left="402"/>
        <w:rPr>
          <w:rFonts w:ascii="黑体" w:hAnsi="黑体" w:eastAsia="黑体" w:cs="黑体"/>
          <w:sz w:val="20"/>
          <w:szCs w:val="20"/>
        </w:rPr>
      </w:pPr>
      <w:r>
        <w:rPr>
          <w:b/>
          <w:bCs/>
          <w:color w:val="0047D8"/>
          <w:spacing w:val="-5"/>
          <w:sz w:val="20"/>
          <w:szCs w:val="20"/>
        </w:rPr>
        <w:t>3.</w:t>
      </w:r>
      <w:r>
        <w:rPr>
          <w:rFonts w:ascii="黑体" w:hAnsi="黑体" w:eastAsia="黑体" w:cs="黑体"/>
          <w:b/>
          <w:bCs/>
          <w:color w:val="0047D8"/>
          <w:spacing w:val="-5"/>
          <w:sz w:val="20"/>
          <w:szCs w:val="20"/>
        </w:rPr>
        <w:t>资源管理技术</w:t>
      </w:r>
    </w:p>
    <w:p w14:paraId="31D58A4D">
      <w:pPr>
        <w:pStyle w:val="2"/>
        <w:spacing w:before="114" w:line="279" w:lineRule="auto"/>
        <w:ind w:right="290" w:firstLine="399"/>
        <w:jc w:val="both"/>
        <w:rPr>
          <w:sz w:val="20"/>
          <w:szCs w:val="20"/>
        </w:rPr>
      </w:pPr>
      <w:r>
        <w:rPr>
          <w:spacing w:val="-7"/>
          <w:sz w:val="20"/>
          <w:szCs w:val="20"/>
        </w:rPr>
        <w:t>云计算需要将分布式的海量资源进行池化，然后提供给用户使用，因此，云计算的关键技术还</w:t>
      </w:r>
      <w:r>
        <w:rPr>
          <w:spacing w:val="2"/>
          <w:sz w:val="20"/>
          <w:szCs w:val="20"/>
        </w:rPr>
        <w:t xml:space="preserve">  </w:t>
      </w:r>
      <w:r>
        <w:rPr>
          <w:spacing w:val="-6"/>
          <w:sz w:val="20"/>
          <w:szCs w:val="20"/>
        </w:rPr>
        <w:t>包括资源管理技术。资源管理技术主要包括两个方面：一</w:t>
      </w:r>
      <w:r>
        <w:rPr>
          <w:spacing w:val="-7"/>
          <w:sz w:val="20"/>
          <w:szCs w:val="20"/>
        </w:rPr>
        <w:t>是对海量资源的统一管理；二是对资源的</w:t>
      </w:r>
      <w:r>
        <w:rPr>
          <w:sz w:val="20"/>
          <w:szCs w:val="20"/>
        </w:rPr>
        <w:t xml:space="preserve">  </w:t>
      </w:r>
      <w:r>
        <w:rPr>
          <w:spacing w:val="-7"/>
          <w:sz w:val="20"/>
          <w:szCs w:val="20"/>
        </w:rPr>
        <w:t>弹性管理。在云计算环境下，主要通过基于概率预测的负载均衡技术、基于遗传算法的资源调度技</w:t>
      </w:r>
      <w:r>
        <w:rPr>
          <w:spacing w:val="9"/>
          <w:sz w:val="20"/>
          <w:szCs w:val="20"/>
        </w:rPr>
        <w:t xml:space="preserve">  </w:t>
      </w:r>
      <w:r>
        <w:rPr>
          <w:spacing w:val="-4"/>
          <w:sz w:val="20"/>
          <w:szCs w:val="20"/>
        </w:rPr>
        <w:t>术、双向竞拍资源竞价技术等，来有效地对动态、异</w:t>
      </w:r>
      <w:r>
        <w:rPr>
          <w:spacing w:val="-5"/>
          <w:sz w:val="20"/>
          <w:szCs w:val="20"/>
        </w:rPr>
        <w:t>构、分布以及自治等的云计算资源进行管理。</w:t>
      </w:r>
    </w:p>
    <w:p w14:paraId="6E1F8658">
      <w:pPr>
        <w:pStyle w:val="2"/>
        <w:spacing w:before="158" w:line="222" w:lineRule="auto"/>
        <w:ind w:left="402"/>
        <w:rPr>
          <w:rFonts w:ascii="黑体" w:hAnsi="黑体" w:eastAsia="黑体" w:cs="黑体"/>
          <w:sz w:val="20"/>
          <w:szCs w:val="20"/>
        </w:rPr>
      </w:pPr>
      <w:r>
        <w:rPr>
          <w:b/>
          <w:bCs/>
          <w:color w:val="003FBF"/>
          <w:spacing w:val="-2"/>
          <w:sz w:val="20"/>
          <w:szCs w:val="20"/>
        </w:rPr>
        <w:t>4.</w:t>
      </w:r>
      <w:r>
        <w:rPr>
          <w:rFonts w:ascii="黑体" w:hAnsi="黑体" w:eastAsia="黑体" w:cs="黑体"/>
          <w:b/>
          <w:bCs/>
          <w:color w:val="003FBF"/>
          <w:spacing w:val="-2"/>
          <w:sz w:val="20"/>
          <w:szCs w:val="20"/>
        </w:rPr>
        <w:t>云计算平台管理技术</w:t>
      </w:r>
    </w:p>
    <w:p w14:paraId="3BC608D5">
      <w:pPr>
        <w:pStyle w:val="2"/>
        <w:spacing w:before="121" w:line="280" w:lineRule="auto"/>
        <w:ind w:right="290" w:firstLine="399"/>
        <w:jc w:val="both"/>
        <w:rPr>
          <w:sz w:val="20"/>
          <w:szCs w:val="20"/>
        </w:rPr>
      </w:pPr>
      <w:r>
        <w:rPr>
          <w:spacing w:val="3"/>
          <w:sz w:val="20"/>
          <w:szCs w:val="20"/>
        </w:rPr>
        <w:t>云计算资源规模庞大，服务器数量众多并分布在不同地点，同时运行着大量应用，如何有</w:t>
      </w:r>
      <w:r>
        <w:rPr>
          <w:spacing w:val="1"/>
          <w:sz w:val="20"/>
          <w:szCs w:val="20"/>
        </w:rPr>
        <w:t xml:space="preserve">  </w:t>
      </w:r>
      <w:r>
        <w:rPr>
          <w:spacing w:val="3"/>
          <w:sz w:val="20"/>
          <w:szCs w:val="20"/>
        </w:rPr>
        <w:t>效管理这些服务器，保证整个系统提供不间断的服务，是一项巨大的挑战。云计算系统的平台</w:t>
      </w:r>
      <w:r>
        <w:rPr>
          <w:spacing w:val="7"/>
          <w:sz w:val="20"/>
          <w:szCs w:val="20"/>
        </w:rPr>
        <w:t xml:space="preserve"> </w:t>
      </w:r>
      <w:r>
        <w:rPr>
          <w:sz w:val="20"/>
          <w:szCs w:val="20"/>
        </w:rPr>
        <w:t>管理技术能够使大量的服务器协同工作，方便进行业务部署和开通，快速发现和恢复系统故障，</w:t>
      </w:r>
      <w:r>
        <w:rPr>
          <w:spacing w:val="9"/>
          <w:sz w:val="20"/>
          <w:szCs w:val="20"/>
        </w:rPr>
        <w:t xml:space="preserve"> </w:t>
      </w:r>
      <w:r>
        <w:rPr>
          <w:spacing w:val="-2"/>
          <w:sz w:val="20"/>
          <w:szCs w:val="20"/>
        </w:rPr>
        <w:t>通过自动化、智能化的手段实现大规模系统的可靠运营。</w:t>
      </w:r>
    </w:p>
    <w:p w14:paraId="528DBAEB">
      <w:pPr>
        <w:pStyle w:val="2"/>
        <w:spacing w:before="125" w:line="222" w:lineRule="auto"/>
        <w:ind w:left="402"/>
        <w:rPr>
          <w:rFonts w:ascii="黑体" w:hAnsi="黑体" w:eastAsia="黑体" w:cs="黑体"/>
          <w:sz w:val="20"/>
          <w:szCs w:val="20"/>
        </w:rPr>
      </w:pPr>
      <w:r>
        <w:rPr>
          <w:b/>
          <w:bCs/>
          <w:color w:val="003DCE"/>
          <w:spacing w:val="-2"/>
          <w:sz w:val="20"/>
          <w:szCs w:val="20"/>
        </w:rPr>
        <w:t>5.</w:t>
      </w:r>
      <w:r>
        <w:rPr>
          <w:rFonts w:ascii="黑体" w:hAnsi="黑体" w:eastAsia="黑体" w:cs="黑体"/>
          <w:b/>
          <w:bCs/>
          <w:color w:val="003DCE"/>
          <w:spacing w:val="-2"/>
          <w:sz w:val="20"/>
          <w:szCs w:val="20"/>
        </w:rPr>
        <w:t>多租户隔离技术</w:t>
      </w:r>
    </w:p>
    <w:p w14:paraId="0BF9845C">
      <w:pPr>
        <w:pStyle w:val="2"/>
        <w:spacing w:before="112" w:line="278" w:lineRule="auto"/>
        <w:ind w:right="290" w:firstLine="399"/>
        <w:rPr>
          <w:sz w:val="20"/>
          <w:szCs w:val="20"/>
        </w:rPr>
      </w:pPr>
      <w:r>
        <w:rPr>
          <w:spacing w:val="5"/>
          <w:sz w:val="20"/>
          <w:szCs w:val="20"/>
        </w:rPr>
        <w:t>与传统的软件运行与维护模式相比，云计算要求硬件资源与软件资源能够</w:t>
      </w:r>
      <w:r>
        <w:rPr>
          <w:spacing w:val="4"/>
          <w:sz w:val="20"/>
          <w:szCs w:val="20"/>
        </w:rPr>
        <w:t>更好地被共享，</w:t>
      </w:r>
      <w:r>
        <w:rPr>
          <w:sz w:val="20"/>
          <w:szCs w:val="20"/>
        </w:rPr>
        <w:t xml:space="preserve"> </w:t>
      </w:r>
      <w:r>
        <w:rPr>
          <w:spacing w:val="2"/>
          <w:sz w:val="20"/>
          <w:szCs w:val="20"/>
        </w:rPr>
        <w:t>具有良好的伸缩性，任何一个企业用户都能够按照自己的需求对</w:t>
      </w:r>
      <w:r>
        <w:rPr>
          <w:sz w:val="20"/>
          <w:szCs w:val="20"/>
        </w:rPr>
        <w:t>SaaS</w:t>
      </w:r>
      <w:r>
        <w:rPr>
          <w:spacing w:val="-32"/>
          <w:sz w:val="20"/>
          <w:szCs w:val="20"/>
        </w:rPr>
        <w:t xml:space="preserve"> </w:t>
      </w:r>
      <w:r>
        <w:rPr>
          <w:spacing w:val="1"/>
          <w:sz w:val="20"/>
          <w:szCs w:val="20"/>
        </w:rPr>
        <w:t>软件资源进行客户化配置</w:t>
      </w:r>
      <w:r>
        <w:rPr>
          <w:sz w:val="20"/>
          <w:szCs w:val="20"/>
        </w:rPr>
        <w:t xml:space="preserve"> 而不影响其他用户的使用。目前多租户隔离技术是云计算环境中能够满足上述需求的关键技术。</w:t>
      </w:r>
    </w:p>
    <w:p w14:paraId="6D355DF7">
      <w:pPr>
        <w:pStyle w:val="2"/>
        <w:spacing w:before="28" w:line="219" w:lineRule="auto"/>
        <w:ind w:left="399"/>
        <w:rPr>
          <w:sz w:val="20"/>
          <w:szCs w:val="20"/>
        </w:rPr>
      </w:pPr>
      <w:r>
        <w:rPr>
          <w:spacing w:val="-1"/>
          <w:sz w:val="20"/>
          <w:szCs w:val="20"/>
        </w:rPr>
        <w:t>多租户技术面临的技术难题包括数据隔离、客户化配置</w:t>
      </w:r>
      <w:r>
        <w:rPr>
          <w:spacing w:val="-2"/>
          <w:sz w:val="20"/>
          <w:szCs w:val="20"/>
        </w:rPr>
        <w:t>、架构扩展与性能定制。</w:t>
      </w:r>
    </w:p>
    <w:p w14:paraId="2A376934">
      <w:pPr>
        <w:pStyle w:val="2"/>
        <w:spacing w:before="63" w:line="273" w:lineRule="auto"/>
        <w:ind w:right="366" w:firstLine="399"/>
        <w:rPr>
          <w:sz w:val="20"/>
          <w:szCs w:val="20"/>
        </w:rPr>
      </w:pPr>
      <w:r>
        <w:rPr>
          <w:spacing w:val="5"/>
          <w:sz w:val="20"/>
          <w:szCs w:val="20"/>
        </w:rPr>
        <w:t>云计算提供了</w:t>
      </w:r>
      <w:r>
        <w:rPr>
          <w:rFonts w:ascii="Times New Roman" w:hAnsi="Times New Roman" w:eastAsia="Times New Roman" w:cs="Times New Roman"/>
          <w:sz w:val="20"/>
          <w:szCs w:val="20"/>
        </w:rPr>
        <w:t>IaaS</w:t>
      </w:r>
      <w:r>
        <w:rPr>
          <w:rFonts w:ascii="Times New Roman" w:hAnsi="Times New Roman" w:eastAsia="Times New Roman" w:cs="Times New Roman"/>
          <w:spacing w:val="-11"/>
          <w:sz w:val="20"/>
          <w:szCs w:val="20"/>
        </w:rPr>
        <w:t xml:space="preserve"> </w:t>
      </w:r>
      <w:r>
        <w:rPr>
          <w:spacing w:val="5"/>
          <w:sz w:val="20"/>
          <w:szCs w:val="20"/>
        </w:rPr>
        <w:t>、</w:t>
      </w:r>
      <w:r>
        <w:rPr>
          <w:rFonts w:ascii="Times New Roman" w:hAnsi="Times New Roman" w:eastAsia="Times New Roman" w:cs="Times New Roman"/>
          <w:sz w:val="20"/>
          <w:szCs w:val="20"/>
        </w:rPr>
        <w:t>PaaS</w:t>
      </w:r>
      <w:r>
        <w:rPr>
          <w:rFonts w:ascii="Times New Roman" w:hAnsi="Times New Roman" w:eastAsia="Times New Roman" w:cs="Times New Roman"/>
          <w:spacing w:val="5"/>
          <w:sz w:val="20"/>
          <w:szCs w:val="20"/>
        </w:rPr>
        <w:t xml:space="preserve"> </w:t>
      </w:r>
      <w:r>
        <w:rPr>
          <w:spacing w:val="5"/>
          <w:sz w:val="20"/>
          <w:szCs w:val="20"/>
        </w:rPr>
        <w:t>和</w:t>
      </w:r>
      <w:r>
        <w:rPr>
          <w:spacing w:val="-32"/>
          <w:sz w:val="20"/>
          <w:szCs w:val="20"/>
        </w:rPr>
        <w:t xml:space="preserve"> </w:t>
      </w:r>
      <w:r>
        <w:rPr>
          <w:rFonts w:ascii="Times New Roman" w:hAnsi="Times New Roman" w:eastAsia="Times New Roman" w:cs="Times New Roman"/>
          <w:sz w:val="20"/>
          <w:szCs w:val="20"/>
        </w:rPr>
        <w:t>SaaS</w:t>
      </w:r>
      <w:r>
        <w:rPr>
          <w:rFonts w:ascii="Times New Roman" w:hAnsi="Times New Roman" w:eastAsia="Times New Roman" w:cs="Times New Roman"/>
          <w:spacing w:val="5"/>
          <w:sz w:val="20"/>
          <w:szCs w:val="20"/>
        </w:rPr>
        <w:t xml:space="preserve"> </w:t>
      </w:r>
      <w:r>
        <w:rPr>
          <w:spacing w:val="5"/>
          <w:sz w:val="20"/>
          <w:szCs w:val="20"/>
        </w:rPr>
        <w:t>三种服务模式，而在具体的运营中，云服务提供商和用</w:t>
      </w:r>
      <w:r>
        <w:rPr>
          <w:sz w:val="20"/>
          <w:szCs w:val="20"/>
        </w:rPr>
        <w:t xml:space="preserve"> </w:t>
      </w:r>
      <w:r>
        <w:rPr>
          <w:spacing w:val="-1"/>
          <w:sz w:val="20"/>
          <w:szCs w:val="20"/>
        </w:rPr>
        <w:t>户共同分担安全责任，不同服务模式下二者的</w:t>
      </w:r>
      <w:r>
        <w:rPr>
          <w:spacing w:val="-2"/>
          <w:sz w:val="20"/>
          <w:szCs w:val="20"/>
        </w:rPr>
        <w:t>安全责任也不相同。</w:t>
      </w:r>
    </w:p>
    <w:p w14:paraId="2C758249">
      <w:pPr>
        <w:pStyle w:val="2"/>
        <w:spacing w:before="197" w:line="219" w:lineRule="auto"/>
        <w:ind w:left="2"/>
        <w:rPr>
          <w:sz w:val="25"/>
          <w:szCs w:val="25"/>
        </w:rPr>
      </w:pPr>
      <w:r>
        <w:rPr>
          <w:b/>
          <w:bCs/>
          <w:color w:val="0033C2"/>
          <w:spacing w:val="-17"/>
          <w:sz w:val="25"/>
          <w:szCs w:val="25"/>
        </w:rPr>
        <w:t>4.2.3</w:t>
      </w:r>
      <w:r>
        <w:rPr>
          <w:color w:val="0033C2"/>
          <w:spacing w:val="81"/>
          <w:sz w:val="25"/>
          <w:szCs w:val="25"/>
        </w:rPr>
        <w:t xml:space="preserve"> </w:t>
      </w:r>
      <w:r>
        <w:rPr>
          <w:b/>
          <w:bCs/>
          <w:color w:val="0033C2"/>
          <w:spacing w:val="-17"/>
          <w:sz w:val="25"/>
          <w:szCs w:val="25"/>
        </w:rPr>
        <w:t>云计算运营模式</w:t>
      </w:r>
    </w:p>
    <w:p w14:paraId="687676CC">
      <w:pPr>
        <w:pStyle w:val="2"/>
        <w:spacing w:before="250" w:line="221" w:lineRule="auto"/>
        <w:ind w:left="402"/>
        <w:rPr>
          <w:rFonts w:ascii="黑体" w:hAnsi="黑体" w:eastAsia="黑体" w:cs="黑体"/>
          <w:sz w:val="20"/>
          <w:szCs w:val="20"/>
        </w:rPr>
      </w:pPr>
      <w:r>
        <w:rPr>
          <w:b/>
          <w:bCs/>
          <w:color w:val="003BC6"/>
          <w:spacing w:val="-4"/>
          <w:sz w:val="20"/>
          <w:szCs w:val="20"/>
        </w:rPr>
        <w:t>1.</w:t>
      </w:r>
      <w:r>
        <w:rPr>
          <w:rFonts w:ascii="黑体" w:hAnsi="黑体" w:eastAsia="黑体" w:cs="黑体"/>
          <w:b/>
          <w:bCs/>
          <w:color w:val="003BC6"/>
          <w:spacing w:val="-4"/>
          <w:sz w:val="20"/>
          <w:szCs w:val="20"/>
        </w:rPr>
        <w:t>云计算服务角色</w:t>
      </w:r>
    </w:p>
    <w:p w14:paraId="2BC35E00">
      <w:pPr>
        <w:pStyle w:val="2"/>
        <w:spacing w:before="114" w:line="219" w:lineRule="auto"/>
        <w:ind w:left="399"/>
        <w:rPr>
          <w:sz w:val="20"/>
          <w:szCs w:val="20"/>
        </w:rPr>
      </w:pPr>
      <w:r>
        <w:rPr>
          <w:sz w:val="20"/>
          <w:szCs w:val="20"/>
        </w:rPr>
        <w:t>在</w:t>
      </w:r>
      <w:r>
        <w:rPr>
          <w:rFonts w:ascii="Times New Roman" w:hAnsi="Times New Roman" w:eastAsia="Times New Roman" w:cs="Times New Roman"/>
          <w:sz w:val="20"/>
          <w:szCs w:val="20"/>
        </w:rPr>
        <w:t>NIST</w:t>
      </w:r>
      <w:r>
        <w:rPr>
          <w:rFonts w:ascii="Times New Roman" w:hAnsi="Times New Roman" w:eastAsia="Times New Roman" w:cs="Times New Roman"/>
          <w:spacing w:val="15"/>
          <w:sz w:val="20"/>
          <w:szCs w:val="20"/>
        </w:rPr>
        <w:t xml:space="preserve"> </w:t>
      </w:r>
      <w:r>
        <w:rPr>
          <w:sz w:val="20"/>
          <w:szCs w:val="20"/>
        </w:rPr>
        <w:t>定义的通用云计算架构中，包括了五种云计算相关角色。</w:t>
      </w:r>
    </w:p>
    <w:p w14:paraId="7657DAF8">
      <w:pPr>
        <w:pStyle w:val="2"/>
        <w:spacing w:before="73" w:line="219" w:lineRule="auto"/>
        <w:ind w:left="399"/>
        <w:rPr>
          <w:sz w:val="20"/>
          <w:szCs w:val="20"/>
        </w:rPr>
      </w:pPr>
      <w:r>
        <w:rPr>
          <w:spacing w:val="15"/>
          <w:sz w:val="20"/>
          <w:szCs w:val="20"/>
        </w:rPr>
        <w:t>(1)云服务提供商：即提供云服务(云计算产</w:t>
      </w:r>
      <w:r>
        <w:rPr>
          <w:spacing w:val="14"/>
          <w:sz w:val="20"/>
          <w:szCs w:val="20"/>
        </w:rPr>
        <w:t>品)的厂商，例如提供</w:t>
      </w:r>
      <w:r>
        <w:rPr>
          <w:rFonts w:ascii="Times New Roman" w:hAnsi="Times New Roman" w:eastAsia="Times New Roman" w:cs="Times New Roman"/>
          <w:sz w:val="20"/>
          <w:szCs w:val="20"/>
        </w:rPr>
        <w:t>AWS</w:t>
      </w:r>
      <w:r>
        <w:rPr>
          <w:rFonts w:ascii="Times New Roman" w:hAnsi="Times New Roman" w:eastAsia="Times New Roman" w:cs="Times New Roman"/>
          <w:spacing w:val="14"/>
          <w:sz w:val="20"/>
          <w:szCs w:val="20"/>
        </w:rPr>
        <w:t xml:space="preserve"> </w:t>
      </w:r>
      <w:r>
        <w:rPr>
          <w:spacing w:val="14"/>
          <w:sz w:val="20"/>
          <w:szCs w:val="20"/>
        </w:rPr>
        <w:t>云服务的亚马</w:t>
      </w:r>
    </w:p>
    <w:p w14:paraId="5C478648">
      <w:pPr>
        <w:spacing w:line="219" w:lineRule="auto"/>
        <w:rPr>
          <w:sz w:val="20"/>
          <w:szCs w:val="20"/>
        </w:rPr>
        <w:sectPr>
          <w:pgSz w:w="10290" w:h="13310"/>
          <w:pgMar w:top="400" w:right="489" w:bottom="400" w:left="1100" w:header="0" w:footer="0" w:gutter="0"/>
          <w:cols w:space="720" w:num="1"/>
        </w:sectPr>
      </w:pPr>
    </w:p>
    <w:p w14:paraId="3511263A">
      <w:pPr>
        <w:pStyle w:val="2"/>
        <w:spacing w:before="67" w:line="219" w:lineRule="auto"/>
        <w:rPr>
          <w:sz w:val="19"/>
          <w:szCs w:val="19"/>
        </w:rPr>
      </w:pPr>
      <w:bookmarkStart w:id="549" w:name="bookmark535"/>
      <w:bookmarkEnd w:id="549"/>
      <w:r>
        <w:rPr>
          <w:rFonts w:ascii="Times New Roman" w:hAnsi="Times New Roman" w:eastAsia="Times New Roman" w:cs="Times New Roman"/>
          <w:spacing w:val="2"/>
          <w:position w:val="1"/>
          <w:sz w:val="19"/>
          <w:szCs w:val="19"/>
        </w:rPr>
        <w:t xml:space="preserve">130              </w:t>
      </w:r>
      <w:r>
        <w:rPr>
          <w:spacing w:val="2"/>
          <w:sz w:val="19"/>
          <w:szCs w:val="19"/>
        </w:rPr>
        <w:t>信息系统监理师教程(第2版)</w:t>
      </w:r>
    </w:p>
    <w:p w14:paraId="6108B070">
      <w:pPr>
        <w:spacing w:line="339" w:lineRule="auto"/>
        <w:rPr>
          <w:rFonts w:ascii="Arial"/>
          <w:sz w:val="21"/>
        </w:rPr>
      </w:pPr>
    </w:p>
    <w:p w14:paraId="28042C3F">
      <w:pPr>
        <w:pStyle w:val="2"/>
        <w:spacing w:before="62" w:line="219" w:lineRule="auto"/>
        <w:ind w:left="339"/>
        <w:rPr>
          <w:sz w:val="19"/>
          <w:szCs w:val="19"/>
        </w:rPr>
      </w:pPr>
      <w:r>
        <w:rPr>
          <w:spacing w:val="8"/>
          <w:sz w:val="19"/>
          <w:szCs w:val="19"/>
        </w:rPr>
        <w:t>逊、提供阿里云服务的阿里巴巴、提供华为云服务的华为等。</w:t>
      </w:r>
    </w:p>
    <w:p w14:paraId="1DA60D94">
      <w:pPr>
        <w:pStyle w:val="2"/>
        <w:spacing w:before="95" w:line="219" w:lineRule="auto"/>
        <w:ind w:left="739"/>
        <w:rPr>
          <w:sz w:val="19"/>
          <w:szCs w:val="19"/>
        </w:rPr>
      </w:pPr>
      <w:r>
        <w:rPr>
          <w:spacing w:val="11"/>
          <w:sz w:val="19"/>
          <w:szCs w:val="19"/>
        </w:rPr>
        <w:t>(2)云服务消费者：即租赁和使用云服务产品的组织和个人消费</w:t>
      </w:r>
      <w:r>
        <w:rPr>
          <w:spacing w:val="10"/>
          <w:sz w:val="19"/>
          <w:szCs w:val="19"/>
        </w:rPr>
        <w:t>者。</w:t>
      </w:r>
    </w:p>
    <w:p w14:paraId="44A46FBB">
      <w:pPr>
        <w:pStyle w:val="2"/>
        <w:spacing w:before="65" w:line="269" w:lineRule="auto"/>
        <w:ind w:left="339" w:right="58" w:firstLine="400"/>
        <w:rPr>
          <w:sz w:val="19"/>
          <w:szCs w:val="19"/>
        </w:rPr>
      </w:pPr>
      <w:r>
        <w:rPr>
          <w:spacing w:val="15"/>
          <w:sz w:val="19"/>
          <w:szCs w:val="19"/>
        </w:rPr>
        <w:t>(3)云服务代理商：即云服务产品的代理商。因为一个产品厂商很难靠自己去销售，所以</w:t>
      </w:r>
      <w:r>
        <w:rPr>
          <w:spacing w:val="11"/>
          <w:sz w:val="19"/>
          <w:szCs w:val="19"/>
        </w:rPr>
        <w:t xml:space="preserve"> </w:t>
      </w:r>
      <w:r>
        <w:rPr>
          <w:spacing w:val="8"/>
          <w:sz w:val="19"/>
          <w:szCs w:val="19"/>
        </w:rPr>
        <w:t>通常会寻找代理商，由代理商将产品销往全球。</w:t>
      </w:r>
    </w:p>
    <w:p w14:paraId="71880F4D">
      <w:pPr>
        <w:pStyle w:val="2"/>
        <w:spacing w:before="94" w:line="218" w:lineRule="auto"/>
        <w:jc w:val="right"/>
        <w:rPr>
          <w:sz w:val="19"/>
          <w:szCs w:val="19"/>
        </w:rPr>
      </w:pPr>
      <w:r>
        <w:rPr>
          <w:spacing w:val="12"/>
          <w:sz w:val="19"/>
          <w:szCs w:val="19"/>
        </w:rPr>
        <w:t>(4)云计算审计：即能够对云计算安全性、性能、操作进行独</w:t>
      </w:r>
      <w:r>
        <w:rPr>
          <w:spacing w:val="11"/>
          <w:sz w:val="19"/>
          <w:szCs w:val="19"/>
        </w:rPr>
        <w:t>立评估的第三方组织或个人。</w:t>
      </w:r>
    </w:p>
    <w:p w14:paraId="58E75695">
      <w:pPr>
        <w:pStyle w:val="2"/>
        <w:spacing w:before="75" w:line="281" w:lineRule="auto"/>
        <w:ind w:left="339" w:right="61" w:firstLine="400"/>
        <w:rPr>
          <w:sz w:val="19"/>
          <w:szCs w:val="19"/>
        </w:rPr>
      </w:pPr>
      <w:r>
        <w:rPr>
          <w:spacing w:val="15"/>
          <w:sz w:val="19"/>
          <w:szCs w:val="19"/>
        </w:rPr>
        <w:t>(5)云服务承运商：即提供云服务消费者到云服务产品之间连接的媒介，通常云服务消费</w:t>
      </w:r>
      <w:r>
        <w:rPr>
          <w:spacing w:val="5"/>
          <w:sz w:val="19"/>
          <w:szCs w:val="19"/>
        </w:rPr>
        <w:t xml:space="preserve"> </w:t>
      </w:r>
      <w:r>
        <w:rPr>
          <w:spacing w:val="15"/>
          <w:sz w:val="19"/>
          <w:szCs w:val="19"/>
        </w:rPr>
        <w:t>者是通过</w:t>
      </w:r>
      <w:r>
        <w:rPr>
          <w:rFonts w:ascii="Times New Roman" w:hAnsi="Times New Roman" w:eastAsia="Times New Roman" w:cs="Times New Roman"/>
          <w:sz w:val="19"/>
          <w:szCs w:val="19"/>
        </w:rPr>
        <w:t>Internet</w:t>
      </w:r>
      <w:r>
        <w:rPr>
          <w:rFonts w:ascii="Times New Roman" w:hAnsi="Times New Roman" w:eastAsia="Times New Roman" w:cs="Times New Roman"/>
          <w:spacing w:val="46"/>
          <w:w w:val="101"/>
          <w:sz w:val="19"/>
          <w:szCs w:val="19"/>
        </w:rPr>
        <w:t xml:space="preserve"> </w:t>
      </w:r>
      <w:r>
        <w:rPr>
          <w:spacing w:val="15"/>
          <w:sz w:val="19"/>
          <w:szCs w:val="19"/>
        </w:rPr>
        <w:t>访问使用云服务的，所以</w:t>
      </w:r>
      <w:r>
        <w:rPr>
          <w:rFonts w:ascii="Times New Roman" w:hAnsi="Times New Roman" w:eastAsia="Times New Roman" w:cs="Times New Roman"/>
          <w:sz w:val="19"/>
          <w:szCs w:val="19"/>
        </w:rPr>
        <w:t>Internet</w:t>
      </w:r>
      <w:r>
        <w:rPr>
          <w:rFonts w:ascii="Times New Roman" w:hAnsi="Times New Roman" w:eastAsia="Times New Roman" w:cs="Times New Roman"/>
          <w:spacing w:val="36"/>
          <w:w w:val="102"/>
          <w:sz w:val="19"/>
          <w:szCs w:val="19"/>
        </w:rPr>
        <w:t xml:space="preserve"> </w:t>
      </w:r>
      <w:r>
        <w:rPr>
          <w:spacing w:val="15"/>
          <w:sz w:val="19"/>
          <w:szCs w:val="19"/>
        </w:rPr>
        <w:t>服务提供商就是这里的云服</w:t>
      </w:r>
      <w:r>
        <w:rPr>
          <w:spacing w:val="14"/>
          <w:sz w:val="19"/>
          <w:szCs w:val="19"/>
        </w:rPr>
        <w:t>务承运商，例如</w:t>
      </w:r>
      <w:r>
        <w:rPr>
          <w:sz w:val="19"/>
          <w:szCs w:val="19"/>
        </w:rPr>
        <w:t xml:space="preserve"> </w:t>
      </w:r>
      <w:r>
        <w:rPr>
          <w:spacing w:val="7"/>
          <w:sz w:val="19"/>
          <w:szCs w:val="19"/>
        </w:rPr>
        <w:t>中国电信。</w:t>
      </w:r>
    </w:p>
    <w:p w14:paraId="77ABC05D">
      <w:pPr>
        <w:pStyle w:val="2"/>
        <w:spacing w:before="180" w:line="221" w:lineRule="auto"/>
        <w:ind w:left="742"/>
        <w:rPr>
          <w:rFonts w:ascii="黑体" w:hAnsi="黑体" w:eastAsia="黑体" w:cs="黑体"/>
          <w:sz w:val="19"/>
          <w:szCs w:val="19"/>
        </w:rPr>
      </w:pPr>
      <w:r>
        <w:rPr>
          <w:b/>
          <w:bCs/>
          <w:color w:val="00589C"/>
          <w:spacing w:val="8"/>
          <w:sz w:val="19"/>
          <w:szCs w:val="19"/>
        </w:rPr>
        <w:t>2.</w:t>
      </w:r>
      <w:r>
        <w:rPr>
          <w:rFonts w:ascii="黑体" w:hAnsi="黑体" w:eastAsia="黑体" w:cs="黑体"/>
          <w:b/>
          <w:bCs/>
          <w:color w:val="00589C"/>
          <w:spacing w:val="8"/>
          <w:sz w:val="19"/>
          <w:szCs w:val="19"/>
        </w:rPr>
        <w:t>云计算责任模型</w:t>
      </w:r>
    </w:p>
    <w:p w14:paraId="36C26162">
      <w:pPr>
        <w:pStyle w:val="2"/>
        <w:spacing w:before="155" w:line="293" w:lineRule="auto"/>
        <w:ind w:left="339" w:right="47" w:firstLine="400"/>
        <w:jc w:val="both"/>
        <w:rPr>
          <w:sz w:val="19"/>
          <w:szCs w:val="19"/>
        </w:rPr>
      </w:pPr>
      <w:r>
        <w:rPr>
          <w:spacing w:val="12"/>
          <w:sz w:val="19"/>
          <w:szCs w:val="19"/>
        </w:rPr>
        <w:t>安全责任划分是云计算场景下云服务提供者和云服务客户间的痛点，2019年发布的《云计</w:t>
      </w:r>
      <w:r>
        <w:rPr>
          <w:spacing w:val="14"/>
          <w:sz w:val="19"/>
          <w:szCs w:val="19"/>
        </w:rPr>
        <w:t xml:space="preserve"> </w:t>
      </w:r>
      <w:r>
        <w:rPr>
          <w:spacing w:val="12"/>
          <w:sz w:val="19"/>
          <w:szCs w:val="19"/>
        </w:rPr>
        <w:t>算安全责任共担模型》行业标准，规范了公有云</w:t>
      </w:r>
      <w:r>
        <w:rPr>
          <w:rFonts w:ascii="Times New Roman" w:hAnsi="Times New Roman" w:eastAsia="Times New Roman" w:cs="Times New Roman"/>
          <w:sz w:val="19"/>
          <w:szCs w:val="19"/>
        </w:rPr>
        <w:t>IaaS</w:t>
      </w:r>
      <w:r>
        <w:rPr>
          <w:rFonts w:ascii="Times New Roman" w:hAnsi="Times New Roman" w:eastAsia="Times New Roman" w:cs="Times New Roman"/>
          <w:spacing w:val="-27"/>
          <w:sz w:val="19"/>
          <w:szCs w:val="19"/>
        </w:rPr>
        <w:t xml:space="preserve"> </w:t>
      </w:r>
      <w:r>
        <w:rPr>
          <w:spacing w:val="12"/>
          <w:sz w:val="19"/>
          <w:szCs w:val="19"/>
        </w:rPr>
        <w:t>、</w:t>
      </w:r>
      <w:r>
        <w:rPr>
          <w:rFonts w:ascii="Times New Roman" w:hAnsi="Times New Roman" w:eastAsia="Times New Roman" w:cs="Times New Roman"/>
          <w:sz w:val="19"/>
          <w:szCs w:val="19"/>
        </w:rPr>
        <w:t>PaaS</w:t>
      </w:r>
      <w:r>
        <w:rPr>
          <w:rFonts w:ascii="Times New Roman" w:hAnsi="Times New Roman" w:eastAsia="Times New Roman" w:cs="Times New Roman"/>
          <w:spacing w:val="-27"/>
          <w:sz w:val="19"/>
          <w:szCs w:val="19"/>
        </w:rPr>
        <w:t xml:space="preserve"> </w:t>
      </w:r>
      <w:r>
        <w:rPr>
          <w:spacing w:val="12"/>
          <w:sz w:val="19"/>
          <w:szCs w:val="19"/>
        </w:rPr>
        <w:t>、</w:t>
      </w:r>
      <w:r>
        <w:rPr>
          <w:rFonts w:ascii="Times New Roman" w:hAnsi="Times New Roman" w:eastAsia="Times New Roman" w:cs="Times New Roman"/>
          <w:sz w:val="19"/>
          <w:szCs w:val="19"/>
        </w:rPr>
        <w:t>SaaS</w:t>
      </w:r>
      <w:r>
        <w:rPr>
          <w:rFonts w:ascii="Times New Roman" w:hAnsi="Times New Roman" w:eastAsia="Times New Roman" w:cs="Times New Roman"/>
          <w:spacing w:val="21"/>
          <w:w w:val="101"/>
          <w:sz w:val="19"/>
          <w:szCs w:val="19"/>
        </w:rPr>
        <w:t xml:space="preserve">  </w:t>
      </w:r>
      <w:r>
        <w:rPr>
          <w:spacing w:val="12"/>
          <w:sz w:val="19"/>
          <w:szCs w:val="19"/>
        </w:rPr>
        <w:t>模</w:t>
      </w:r>
      <w:r>
        <w:rPr>
          <w:spacing w:val="11"/>
          <w:sz w:val="19"/>
          <w:szCs w:val="19"/>
        </w:rPr>
        <w:t>式下云服务提供者和云服</w:t>
      </w:r>
      <w:r>
        <w:rPr>
          <w:sz w:val="19"/>
          <w:szCs w:val="19"/>
        </w:rPr>
        <w:t xml:space="preserve"> </w:t>
      </w:r>
      <w:r>
        <w:rPr>
          <w:spacing w:val="7"/>
          <w:sz w:val="19"/>
          <w:szCs w:val="19"/>
        </w:rPr>
        <w:t>务客户间的安全责任共担模型。</w:t>
      </w:r>
    </w:p>
    <w:p w14:paraId="2BED29EA">
      <w:pPr>
        <w:pStyle w:val="2"/>
        <w:spacing w:before="37" w:line="274" w:lineRule="auto"/>
        <w:ind w:left="339" w:right="60" w:firstLine="400"/>
        <w:rPr>
          <w:sz w:val="19"/>
          <w:szCs w:val="19"/>
        </w:rPr>
      </w:pPr>
      <w:r>
        <w:rPr>
          <w:spacing w:val="13"/>
          <w:sz w:val="19"/>
          <w:szCs w:val="19"/>
        </w:rPr>
        <w:t>(1)云服务责任承担能力评估。考察公有云服务提供者(至少提供</w:t>
      </w:r>
      <w:r>
        <w:rPr>
          <w:rFonts w:ascii="Times New Roman" w:hAnsi="Times New Roman" w:eastAsia="Times New Roman" w:cs="Times New Roman"/>
          <w:sz w:val="19"/>
          <w:szCs w:val="19"/>
        </w:rPr>
        <w:t>IaaS</w:t>
      </w:r>
      <w:r>
        <w:rPr>
          <w:rFonts w:ascii="Times New Roman" w:hAnsi="Times New Roman" w:eastAsia="Times New Roman" w:cs="Times New Roman"/>
          <w:spacing w:val="-27"/>
          <w:sz w:val="19"/>
          <w:szCs w:val="19"/>
        </w:rPr>
        <w:t xml:space="preserve"> </w:t>
      </w:r>
      <w:r>
        <w:rPr>
          <w:spacing w:val="13"/>
          <w:sz w:val="19"/>
          <w:szCs w:val="19"/>
        </w:rPr>
        <w:t>、</w:t>
      </w:r>
      <w:r>
        <w:rPr>
          <w:rFonts w:ascii="Times New Roman" w:hAnsi="Times New Roman" w:eastAsia="Times New Roman" w:cs="Times New Roman"/>
          <w:sz w:val="19"/>
          <w:szCs w:val="19"/>
        </w:rPr>
        <w:t>PaaS</w:t>
      </w:r>
      <w:r>
        <w:rPr>
          <w:rFonts w:ascii="Times New Roman" w:hAnsi="Times New Roman" w:eastAsia="Times New Roman" w:cs="Times New Roman"/>
          <w:spacing w:val="-27"/>
          <w:sz w:val="19"/>
          <w:szCs w:val="19"/>
        </w:rPr>
        <w:t xml:space="preserve"> </w:t>
      </w:r>
      <w:r>
        <w:rPr>
          <w:spacing w:val="13"/>
          <w:sz w:val="19"/>
          <w:szCs w:val="19"/>
        </w:rPr>
        <w:t>、</w:t>
      </w:r>
      <w:r>
        <w:rPr>
          <w:rFonts w:ascii="Times New Roman" w:hAnsi="Times New Roman" w:eastAsia="Times New Roman" w:cs="Times New Roman"/>
          <w:sz w:val="19"/>
          <w:szCs w:val="19"/>
        </w:rPr>
        <w:t>SaaS</w:t>
      </w:r>
      <w:r>
        <w:rPr>
          <w:rFonts w:ascii="Times New Roman" w:hAnsi="Times New Roman" w:eastAsia="Times New Roman" w:cs="Times New Roman"/>
          <w:spacing w:val="13"/>
          <w:sz w:val="19"/>
          <w:szCs w:val="19"/>
        </w:rPr>
        <w:t xml:space="preserve">   </w:t>
      </w:r>
      <w:r>
        <w:rPr>
          <w:spacing w:val="12"/>
          <w:sz w:val="19"/>
          <w:szCs w:val="19"/>
        </w:rPr>
        <w:t>中</w:t>
      </w:r>
      <w:r>
        <w:rPr>
          <w:spacing w:val="-12"/>
          <w:sz w:val="19"/>
          <w:szCs w:val="19"/>
        </w:rPr>
        <w:t xml:space="preserve"> </w:t>
      </w:r>
      <w:r>
        <w:rPr>
          <w:spacing w:val="12"/>
          <w:sz w:val="19"/>
          <w:szCs w:val="19"/>
        </w:rPr>
        <w:t>的</w:t>
      </w:r>
      <w:r>
        <w:rPr>
          <w:sz w:val="19"/>
          <w:szCs w:val="19"/>
        </w:rPr>
        <w:t xml:space="preserve"> </w:t>
      </w:r>
      <w:r>
        <w:rPr>
          <w:spacing w:val="15"/>
          <w:sz w:val="19"/>
          <w:szCs w:val="19"/>
        </w:rPr>
        <w:t>一类云服务)的安全责任承担情况，以及安全责任承担披露情况，即是否如实告知客户云服务</w:t>
      </w:r>
      <w:r>
        <w:rPr>
          <w:spacing w:val="7"/>
          <w:sz w:val="19"/>
          <w:szCs w:val="19"/>
        </w:rPr>
        <w:t xml:space="preserve"> 商承担的安全责任。</w:t>
      </w:r>
    </w:p>
    <w:p w14:paraId="557AD1D8">
      <w:pPr>
        <w:pStyle w:val="2"/>
        <w:spacing w:before="92" w:line="266" w:lineRule="auto"/>
        <w:ind w:left="339" w:right="64" w:firstLine="400"/>
        <w:rPr>
          <w:sz w:val="19"/>
          <w:szCs w:val="19"/>
        </w:rPr>
      </w:pPr>
      <w:r>
        <w:rPr>
          <w:spacing w:val="15"/>
          <w:sz w:val="19"/>
          <w:szCs w:val="19"/>
        </w:rPr>
        <w:t>(2)云服务安全使用能力评估。考察公有云服务客户(至少使用</w:t>
      </w:r>
      <w:r>
        <w:rPr>
          <w:rFonts w:ascii="Times New Roman" w:hAnsi="Times New Roman" w:eastAsia="Times New Roman" w:cs="Times New Roman"/>
          <w:sz w:val="19"/>
          <w:szCs w:val="19"/>
        </w:rPr>
        <w:t>IaaS</w:t>
      </w:r>
      <w:r>
        <w:rPr>
          <w:rFonts w:ascii="Times New Roman" w:hAnsi="Times New Roman" w:eastAsia="Times New Roman" w:cs="Times New Roman"/>
          <w:spacing w:val="-26"/>
          <w:sz w:val="19"/>
          <w:szCs w:val="19"/>
        </w:rPr>
        <w:t xml:space="preserve"> </w:t>
      </w:r>
      <w:r>
        <w:rPr>
          <w:spacing w:val="15"/>
          <w:sz w:val="19"/>
          <w:szCs w:val="19"/>
        </w:rPr>
        <w:t>、</w:t>
      </w:r>
      <w:r>
        <w:rPr>
          <w:rFonts w:ascii="Times New Roman" w:hAnsi="Times New Roman" w:eastAsia="Times New Roman" w:cs="Times New Roman"/>
          <w:sz w:val="19"/>
          <w:szCs w:val="19"/>
        </w:rPr>
        <w:t>PaaS</w:t>
      </w:r>
      <w:r>
        <w:rPr>
          <w:rFonts w:ascii="Times New Roman" w:hAnsi="Times New Roman" w:eastAsia="Times New Roman" w:cs="Times New Roman"/>
          <w:spacing w:val="-27"/>
          <w:sz w:val="19"/>
          <w:szCs w:val="19"/>
        </w:rPr>
        <w:t xml:space="preserve"> </w:t>
      </w:r>
      <w:r>
        <w:rPr>
          <w:spacing w:val="15"/>
          <w:sz w:val="19"/>
          <w:szCs w:val="19"/>
        </w:rPr>
        <w:t>、</w:t>
      </w:r>
      <w:r>
        <w:rPr>
          <w:rFonts w:ascii="Times New Roman" w:hAnsi="Times New Roman" w:eastAsia="Times New Roman" w:cs="Times New Roman"/>
          <w:sz w:val="19"/>
          <w:szCs w:val="19"/>
        </w:rPr>
        <w:t>SaaS</w:t>
      </w:r>
      <w:r>
        <w:rPr>
          <w:rFonts w:ascii="Times New Roman" w:hAnsi="Times New Roman" w:eastAsia="Times New Roman" w:cs="Times New Roman"/>
          <w:spacing w:val="2"/>
          <w:sz w:val="19"/>
          <w:szCs w:val="19"/>
        </w:rPr>
        <w:t xml:space="preserve">   </w:t>
      </w:r>
      <w:r>
        <w:rPr>
          <w:spacing w:val="15"/>
          <w:sz w:val="19"/>
          <w:szCs w:val="19"/>
        </w:rPr>
        <w:t>中</w:t>
      </w:r>
      <w:r>
        <w:rPr>
          <w:spacing w:val="14"/>
          <w:sz w:val="19"/>
          <w:szCs w:val="19"/>
        </w:rPr>
        <w:t>的</w:t>
      </w:r>
      <w:r>
        <w:rPr>
          <w:spacing w:val="-52"/>
          <w:sz w:val="19"/>
          <w:szCs w:val="19"/>
        </w:rPr>
        <w:t xml:space="preserve"> </w:t>
      </w:r>
      <w:r>
        <w:rPr>
          <w:spacing w:val="14"/>
          <w:sz w:val="19"/>
          <w:szCs w:val="19"/>
        </w:rPr>
        <w:t>一</w:t>
      </w:r>
      <w:r>
        <w:rPr>
          <w:sz w:val="19"/>
          <w:szCs w:val="19"/>
        </w:rPr>
        <w:t xml:space="preserve"> </w:t>
      </w:r>
      <w:r>
        <w:rPr>
          <w:spacing w:val="13"/>
          <w:sz w:val="19"/>
          <w:szCs w:val="19"/>
        </w:rPr>
        <w:t>种云服务)对所用云服务的安全使用能力。</w:t>
      </w:r>
    </w:p>
    <w:p w14:paraId="1A6F43FA">
      <w:pPr>
        <w:pStyle w:val="2"/>
        <w:spacing w:before="84" w:line="298" w:lineRule="auto"/>
        <w:ind w:left="339" w:right="62" w:firstLine="400"/>
        <w:rPr>
          <w:sz w:val="19"/>
          <w:szCs w:val="19"/>
        </w:rPr>
      </w:pPr>
      <w:r>
        <w:rPr>
          <w:spacing w:val="13"/>
          <w:sz w:val="19"/>
          <w:szCs w:val="19"/>
        </w:rPr>
        <w:t>在采购云服务的同时，需要注意和云服务提供商签署相关的协议，明确服务水平、安全责</w:t>
      </w:r>
      <w:r>
        <w:rPr>
          <w:spacing w:val="4"/>
          <w:sz w:val="19"/>
          <w:szCs w:val="19"/>
        </w:rPr>
        <w:t xml:space="preserve"> </w:t>
      </w:r>
      <w:r>
        <w:rPr>
          <w:spacing w:val="10"/>
          <w:sz w:val="19"/>
          <w:szCs w:val="19"/>
        </w:rPr>
        <w:t>任和义务等事项，如图4-6所示。</w:t>
      </w:r>
    </w:p>
    <w:p w14:paraId="5CCE6631">
      <w:pPr>
        <w:pStyle w:val="2"/>
        <w:spacing w:before="208" w:line="219" w:lineRule="auto"/>
        <w:ind w:left="6399"/>
        <w:rPr>
          <w:sz w:val="19"/>
          <w:szCs w:val="19"/>
        </w:rPr>
      </w:pPr>
      <w:r>
        <w:drawing>
          <wp:anchor distT="0" distB="0" distL="0" distR="0" simplePos="0" relativeHeight="251703296" behindDoc="1" locked="0" layoutInCell="1" allowOverlap="1">
            <wp:simplePos x="0" y="0"/>
            <wp:positionH relativeFrom="column">
              <wp:posOffset>824865</wp:posOffset>
            </wp:positionH>
            <wp:positionV relativeFrom="paragraph">
              <wp:posOffset>-6350</wp:posOffset>
            </wp:positionV>
            <wp:extent cx="4051300" cy="335280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08"/>
                    <a:stretch>
                      <a:fillRect/>
                    </a:stretch>
                  </pic:blipFill>
                  <pic:spPr>
                    <a:xfrm>
                      <a:off x="0" y="0"/>
                      <a:ext cx="4051256" cy="3352809"/>
                    </a:xfrm>
                    <a:prstGeom prst="rect">
                      <a:avLst/>
                    </a:prstGeom>
                  </pic:spPr>
                </pic:pic>
              </a:graphicData>
            </a:graphic>
          </wp:anchor>
        </w:drawing>
      </w:r>
      <w:r>
        <w:rPr>
          <w:spacing w:val="-14"/>
          <w:sz w:val="19"/>
          <w:szCs w:val="19"/>
        </w:rPr>
        <w:t>云服务客户</w:t>
      </w:r>
    </w:p>
    <w:p w14:paraId="1B00869F">
      <w:pPr>
        <w:pStyle w:val="2"/>
        <w:spacing w:before="254" w:line="219" w:lineRule="auto"/>
        <w:ind w:left="4139"/>
        <w:rPr>
          <w:sz w:val="19"/>
          <w:szCs w:val="19"/>
        </w:rPr>
      </w:pPr>
      <w:r>
        <mc:AlternateContent>
          <mc:Choice Requires="wps">
            <w:drawing>
              <wp:anchor distT="0" distB="0" distL="0" distR="0" simplePos="0" relativeHeight="251707392" behindDoc="0" locked="0" layoutInCell="1" allowOverlap="1">
                <wp:simplePos x="0" y="0"/>
                <wp:positionH relativeFrom="column">
                  <wp:posOffset>3824605</wp:posOffset>
                </wp:positionH>
                <wp:positionV relativeFrom="paragraph">
                  <wp:posOffset>241935</wp:posOffset>
                </wp:positionV>
                <wp:extent cx="236855" cy="165100"/>
                <wp:effectExtent l="0" t="0" r="0" b="0"/>
                <wp:wrapNone/>
                <wp:docPr id="124" name="TextBox 124"/>
                <wp:cNvGraphicFramePr/>
                <a:graphic xmlns:a="http://schemas.openxmlformats.org/drawingml/2006/main">
                  <a:graphicData uri="http://schemas.microsoft.com/office/word/2010/wordprocessingShape">
                    <wps:wsp>
                      <wps:cNvSpPr txBox="1"/>
                      <wps:spPr>
                        <a:xfrm rot="16200000">
                          <a:off x="3824803" y="241938"/>
                          <a:ext cx="236854"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CC2E63">
                            <w:pPr>
                              <w:pStyle w:val="2"/>
                              <w:spacing w:before="70" w:line="183" w:lineRule="auto"/>
                              <w:ind w:left="20"/>
                              <w:rPr>
                                <w:sz w:val="17"/>
                                <w:szCs w:val="17"/>
                              </w:rPr>
                            </w:pPr>
                            <w:r>
                              <w:rPr>
                                <w:spacing w:val="-2"/>
                                <w:sz w:val="17"/>
                                <w:szCs w:val="17"/>
                              </w:rPr>
                              <w:t>Saas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 o:spid="_x0000_s1026" o:spt="202" type="#_x0000_t202" style="position:absolute;left:0pt;margin-left:301.15pt;margin-top:19.05pt;height:13pt;width:18.65pt;rotation:-5898240f;z-index:251707392;mso-width-relative:page;mso-height-relative:page;" filled="f" stroked="f" coordsize="21600,21600" o:gfxdata="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SfCGTYAAAACQEAAA8A&#10;AAAAAAAAAQAgAAAAIgAAAGRycy9kb3ducmV2LnhtbFBLAQIUABQAAAAIAIdO4kDXq7LnUAIAAKQE&#10;AAAOAAAAAAAAAAEAIAAAACcBAABkcnMvZTJvRG9jLnhtbFBLBQYAAAAABgAGAFkBAADpBQAAAAA=&#10;">
                <v:fill on="f" focussize="0,0"/>
                <v:stroke on="f" weight="0pt" miterlimit="0" joinstyle="miter"/>
                <v:imagedata o:title=""/>
                <o:lock v:ext="edit" aspectratio="f"/>
                <v:textbox inset="0mm,0mm,0mm,0mm">
                  <w:txbxContent>
                    <w:p w14:paraId="1ECC2E63">
                      <w:pPr>
                        <w:pStyle w:val="2"/>
                        <w:spacing w:before="70" w:line="183" w:lineRule="auto"/>
                        <w:ind w:left="20"/>
                        <w:rPr>
                          <w:sz w:val="17"/>
                          <w:szCs w:val="17"/>
                        </w:rPr>
                      </w:pPr>
                      <w:r>
                        <w:rPr>
                          <w:spacing w:val="-2"/>
                          <w:sz w:val="17"/>
                          <w:szCs w:val="17"/>
                        </w:rPr>
                        <w:t>Saas</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column">
                  <wp:posOffset>4159885</wp:posOffset>
                </wp:positionH>
                <wp:positionV relativeFrom="paragraph">
                  <wp:posOffset>450215</wp:posOffset>
                </wp:positionV>
                <wp:extent cx="239395" cy="165100"/>
                <wp:effectExtent l="0" t="0" r="0" b="0"/>
                <wp:wrapNone/>
                <wp:docPr id="126" name="TextBox 126"/>
                <wp:cNvGraphicFramePr/>
                <a:graphic xmlns:a="http://schemas.openxmlformats.org/drawingml/2006/main">
                  <a:graphicData uri="http://schemas.microsoft.com/office/word/2010/wordprocessingShape">
                    <wps:wsp>
                      <wps:cNvSpPr txBox="1"/>
                      <wps:spPr>
                        <a:xfrm rot="16200000">
                          <a:off x="4160297" y="450463"/>
                          <a:ext cx="239395"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1A8C4FA">
                            <w:pPr>
                              <w:pStyle w:val="2"/>
                              <w:spacing w:before="70" w:line="183" w:lineRule="auto"/>
                              <w:ind w:left="20"/>
                              <w:rPr>
                                <w:sz w:val="17"/>
                                <w:szCs w:val="17"/>
                              </w:rPr>
                            </w:pPr>
                            <w:r>
                              <w:rPr>
                                <w:spacing w:val="-1"/>
                                <w:sz w:val="17"/>
                                <w:szCs w:val="17"/>
                              </w:rPr>
                              <w:t>PaaS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6" o:spid="_x0000_s1026" o:spt="202" type="#_x0000_t202" style="position:absolute;left:0pt;margin-left:327.55pt;margin-top:35.45pt;height:13pt;width:18.85pt;rotation:-5898240f;z-index:251706368;mso-width-relative:page;mso-height-relative:page;" filled="f" stroked="f" coordsize="21600,21600" o:gfxdata="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zfc9bYAAAACQEAAA8A&#10;AAAAAAAAAQAgAAAAIgAAAGRycy9kb3ducmV2LnhtbFBLAQIUABQAAAAIAIdO4kAGg8awUAIAAKQE&#10;AAAOAAAAAAAAAAEAIAAAACcBAABkcnMvZTJvRG9jLnhtbFBLBQYAAAAABgAGAFkBAADpBQAAAAA=&#10;">
                <v:fill on="f" focussize="0,0"/>
                <v:stroke on="f" weight="0pt" miterlimit="0" joinstyle="miter"/>
                <v:imagedata o:title=""/>
                <o:lock v:ext="edit" aspectratio="f"/>
                <v:textbox inset="0mm,0mm,0mm,0mm">
                  <w:txbxContent>
                    <w:p w14:paraId="71A8C4FA">
                      <w:pPr>
                        <w:pStyle w:val="2"/>
                        <w:spacing w:before="70" w:line="183" w:lineRule="auto"/>
                        <w:ind w:left="20"/>
                        <w:rPr>
                          <w:sz w:val="17"/>
                          <w:szCs w:val="17"/>
                        </w:rPr>
                      </w:pPr>
                      <w:r>
                        <w:rPr>
                          <w:spacing w:val="-1"/>
                          <w:sz w:val="17"/>
                          <w:szCs w:val="17"/>
                        </w:rPr>
                        <w:t>PaaS</w:t>
                      </w:r>
                    </w:p>
                  </w:txbxContent>
                </v:textbox>
              </v:shape>
            </w:pict>
          </mc:Fallback>
        </mc:AlternateContent>
      </w:r>
      <w:r>
        <w:rPr>
          <w:spacing w:val="-15"/>
          <w:sz w:val="19"/>
          <w:szCs w:val="19"/>
        </w:rPr>
        <w:t>用户数据层</w:t>
      </w:r>
    </w:p>
    <w:p w14:paraId="42E02B35">
      <w:pPr>
        <w:spacing w:before="273" w:line="221" w:lineRule="auto"/>
        <w:ind w:left="4259"/>
        <w:rPr>
          <w:rFonts w:ascii="黑体" w:hAnsi="黑体" w:eastAsia="黑体" w:cs="黑体"/>
          <w:sz w:val="19"/>
          <w:szCs w:val="19"/>
        </w:rPr>
      </w:pPr>
      <w:r>
        <w:rPr>
          <w:rFonts w:ascii="黑体" w:hAnsi="黑体" w:eastAsia="黑体" w:cs="黑体"/>
          <w:spacing w:val="-11"/>
          <w:sz w:val="19"/>
          <w:szCs w:val="19"/>
        </w:rPr>
        <w:t>服务层</w:t>
      </w:r>
    </w:p>
    <w:p w14:paraId="1D479D9F">
      <w:pPr>
        <w:spacing w:before="143" w:line="188" w:lineRule="auto"/>
        <w:ind w:left="4369"/>
        <w:rPr>
          <w:rFonts w:ascii="Times New Roman" w:hAnsi="Times New Roman" w:eastAsia="Times New Roman" w:cs="Times New Roman"/>
          <w:sz w:val="19"/>
          <w:szCs w:val="19"/>
        </w:rPr>
      </w:pPr>
      <w:r>
        <mc:AlternateContent>
          <mc:Choice Requires="wps">
            <w:drawing>
              <wp:anchor distT="0" distB="0" distL="0" distR="0" simplePos="0" relativeHeight="251709440" behindDoc="0" locked="0" layoutInCell="1" allowOverlap="1">
                <wp:simplePos x="0" y="0"/>
                <wp:positionH relativeFrom="column">
                  <wp:posOffset>4580255</wp:posOffset>
                </wp:positionH>
                <wp:positionV relativeFrom="paragraph">
                  <wp:posOffset>102235</wp:posOffset>
                </wp:positionV>
                <wp:extent cx="58420" cy="165100"/>
                <wp:effectExtent l="0" t="0" r="0" b="0"/>
                <wp:wrapNone/>
                <wp:docPr id="128" name="TextBox 128"/>
                <wp:cNvGraphicFramePr/>
                <a:graphic xmlns:a="http://schemas.openxmlformats.org/drawingml/2006/main">
                  <a:graphicData uri="http://schemas.microsoft.com/office/word/2010/wordprocessingShape">
                    <wps:wsp>
                      <wps:cNvSpPr txBox="1"/>
                      <wps:spPr>
                        <a:xfrm rot="16200000">
                          <a:off x="4580834" y="102345"/>
                          <a:ext cx="58419"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7AB5C6">
                            <w:pPr>
                              <w:pStyle w:val="2"/>
                              <w:spacing w:before="70" w:line="183" w:lineRule="auto"/>
                              <w:jc w:val="right"/>
                              <w:rPr>
                                <w:sz w:val="17"/>
                                <w:szCs w:val="17"/>
                              </w:rPr>
                            </w:pPr>
                            <w:r>
                              <w:rPr>
                                <w:spacing w:val="-3"/>
                                <w:w w:val="18"/>
                                <w:sz w:val="17"/>
                                <w:szCs w:val="17"/>
                              </w:rPr>
                              <w:t>IaaS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8" o:spid="_x0000_s1026" o:spt="202" type="#_x0000_t202" style="position:absolute;left:0pt;margin-left:360.65pt;margin-top:8.05pt;height:13pt;width:4.6pt;rotation:-5898240f;z-index:251709440;mso-width-relative:page;mso-height-relative:page;" filled="f" stroked="f" coordsize="21600,21600" o:gfxdata="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vtCSG2AAAAAkBAAAPAAAA&#10;AAAAAAEAIAAAACIAAABkcnMvZG93bnJldi54bWxQSwECFAAUAAAACACHTuJAkGDDsE4CAACjBAAA&#10;DgAAAAAAAAABACAAAAAnAQAAZHJzL2Uyb0RvYy54bWxQSwUGAAAAAAYABgBZAQAA5wUAAAAA&#10;">
                <v:fill on="f" focussize="0,0"/>
                <v:stroke on="f" weight="0pt" miterlimit="0" joinstyle="miter"/>
                <v:imagedata o:title=""/>
                <o:lock v:ext="edit" aspectratio="f"/>
                <v:textbox inset="0mm,0mm,0mm,0mm">
                  <w:txbxContent>
                    <w:p w14:paraId="707AB5C6">
                      <w:pPr>
                        <w:pStyle w:val="2"/>
                        <w:spacing w:before="70" w:line="183" w:lineRule="auto"/>
                        <w:jc w:val="right"/>
                        <w:rPr>
                          <w:sz w:val="17"/>
                          <w:szCs w:val="17"/>
                        </w:rPr>
                      </w:pPr>
                      <w:r>
                        <w:rPr>
                          <w:spacing w:val="-3"/>
                          <w:w w:val="18"/>
                          <w:sz w:val="17"/>
                          <w:szCs w:val="17"/>
                        </w:rPr>
                        <w:t>IaaS</w:t>
                      </w:r>
                    </w:p>
                  </w:txbxContent>
                </v:textbox>
              </v:shape>
            </w:pict>
          </mc:Fallback>
        </mc:AlternateContent>
      </w:r>
      <w:r>
        <w:rPr>
          <w:rFonts w:ascii="Times New Roman" w:hAnsi="Times New Roman" w:eastAsia="Times New Roman" w:cs="Times New Roman"/>
          <w:spacing w:val="-3"/>
          <w:sz w:val="19"/>
          <w:szCs w:val="19"/>
        </w:rPr>
        <w:t>SaaS</w:t>
      </w:r>
    </w:p>
    <w:p w14:paraId="7E451D48">
      <w:pPr>
        <w:spacing w:before="259" w:line="188" w:lineRule="auto"/>
        <w:ind w:left="413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PaaS</w:t>
      </w:r>
    </w:p>
    <w:p w14:paraId="591C9BAE">
      <w:pPr>
        <w:spacing w:line="302" w:lineRule="auto"/>
        <w:rPr>
          <w:rFonts w:ascii="Arial"/>
          <w:sz w:val="21"/>
        </w:rPr>
      </w:pPr>
    </w:p>
    <w:p w14:paraId="413987A5">
      <w:pPr>
        <w:spacing w:before="55" w:line="188" w:lineRule="auto"/>
        <w:ind w:left="387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IaaS</w:t>
      </w:r>
    </w:p>
    <w:p w14:paraId="611F69C1">
      <w:pPr>
        <w:spacing w:line="306" w:lineRule="auto"/>
        <w:rPr>
          <w:rFonts w:ascii="Arial"/>
          <w:sz w:val="21"/>
        </w:rPr>
      </w:pPr>
    </w:p>
    <w:p w14:paraId="1B300F75">
      <w:pPr>
        <w:pStyle w:val="2"/>
        <w:spacing w:before="62" w:line="219" w:lineRule="auto"/>
        <w:ind w:left="3879"/>
        <w:rPr>
          <w:sz w:val="19"/>
          <w:szCs w:val="19"/>
        </w:rPr>
      </w:pPr>
      <w:r>
        <mc:AlternateContent>
          <mc:Choice Requires="wps">
            <w:drawing>
              <wp:anchor distT="0" distB="0" distL="0" distR="0" simplePos="0" relativeHeight="251708416" behindDoc="0" locked="0" layoutInCell="1" allowOverlap="1">
                <wp:simplePos x="0" y="0"/>
                <wp:positionH relativeFrom="column">
                  <wp:posOffset>979805</wp:posOffset>
                </wp:positionH>
                <wp:positionV relativeFrom="paragraph">
                  <wp:posOffset>335280</wp:posOffset>
                </wp:positionV>
                <wp:extent cx="236855" cy="165100"/>
                <wp:effectExtent l="0" t="0" r="0" b="0"/>
                <wp:wrapNone/>
                <wp:docPr id="130" name="TextBox 130"/>
                <wp:cNvGraphicFramePr/>
                <a:graphic xmlns:a="http://schemas.openxmlformats.org/drawingml/2006/main">
                  <a:graphicData uri="http://schemas.microsoft.com/office/word/2010/wordprocessingShape">
                    <wps:wsp>
                      <wps:cNvSpPr txBox="1"/>
                      <wps:spPr>
                        <a:xfrm rot="16200000">
                          <a:off x="980001" y="335405"/>
                          <a:ext cx="236854"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FEA467">
                            <w:pPr>
                              <w:pStyle w:val="2"/>
                              <w:spacing w:before="70" w:line="183" w:lineRule="auto"/>
                              <w:ind w:left="20"/>
                              <w:outlineLvl w:val="1"/>
                              <w:rPr>
                                <w:sz w:val="17"/>
                                <w:szCs w:val="17"/>
                              </w:rPr>
                            </w:pPr>
                            <w:bookmarkStart w:id="785" w:name="bookmark86"/>
                            <w:bookmarkEnd w:id="785"/>
                            <w:r>
                              <w:rPr>
                                <w:spacing w:val="-2"/>
                                <w:sz w:val="17"/>
                                <w:szCs w:val="17"/>
                              </w:rPr>
                              <w:t>Saas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0" o:spid="_x0000_s1026" o:spt="202" type="#_x0000_t202" style="position:absolute;left:0pt;margin-left:77.15pt;margin-top:26.4pt;height:13pt;width:18.65pt;rotation:-5898240f;z-index:251708416;mso-width-relative:page;mso-height-relative:page;" filled="f" stroked="f" coordsize="21600,21600" o:gfxdata="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xS2L/XAAAACQEAAA8AAAAA&#10;AAAAAQAgAAAAIgAAAGRycy9kb3ducmV2LnhtbFBLAQIUABQAAAAIAIdO4kCEB63KTgIAAKMEAAAO&#10;AAAAAAAAAAEAIAAAACYBAABkcnMvZTJvRG9jLnhtbFBLBQYAAAAABgAGAFkBAADmBQAAAAA=&#10;">
                <v:fill on="f" focussize="0,0"/>
                <v:stroke on="f" weight="0pt" miterlimit="0" joinstyle="miter"/>
                <v:imagedata o:title=""/>
                <o:lock v:ext="edit" aspectratio="f"/>
                <v:textbox inset="0mm,0mm,0mm,0mm">
                  <w:txbxContent>
                    <w:p w14:paraId="11FEA467">
                      <w:pPr>
                        <w:pStyle w:val="2"/>
                        <w:spacing w:before="70" w:line="183" w:lineRule="auto"/>
                        <w:ind w:left="20"/>
                        <w:outlineLvl w:val="1"/>
                        <w:rPr>
                          <w:sz w:val="17"/>
                          <w:szCs w:val="17"/>
                        </w:rPr>
                      </w:pPr>
                      <w:bookmarkStart w:id="785" w:name="bookmark86"/>
                      <w:bookmarkEnd w:id="785"/>
                      <w:r>
                        <w:rPr>
                          <w:spacing w:val="-2"/>
                          <w:sz w:val="17"/>
                          <w:szCs w:val="17"/>
                        </w:rPr>
                        <w:t>Saas</w:t>
                      </w:r>
                    </w:p>
                  </w:txbxContent>
                </v:textbox>
              </v:shape>
            </w:pict>
          </mc:Fallback>
        </mc:AlternateContent>
      </w:r>
      <w:r>
        <mc:AlternateContent>
          <mc:Choice Requires="wps">
            <w:drawing>
              <wp:anchor distT="0" distB="0" distL="0" distR="0" simplePos="0" relativeHeight="251705344" behindDoc="0" locked="0" layoutInCell="1" allowOverlap="1">
                <wp:simplePos x="0" y="0"/>
                <wp:positionH relativeFrom="column">
                  <wp:posOffset>1308735</wp:posOffset>
                </wp:positionH>
                <wp:positionV relativeFrom="paragraph">
                  <wp:posOffset>334010</wp:posOffset>
                </wp:positionV>
                <wp:extent cx="239395" cy="165100"/>
                <wp:effectExtent l="0" t="0" r="0" b="0"/>
                <wp:wrapNone/>
                <wp:docPr id="132" name="TextBox 132"/>
                <wp:cNvGraphicFramePr/>
                <a:graphic xmlns:a="http://schemas.openxmlformats.org/drawingml/2006/main">
                  <a:graphicData uri="http://schemas.microsoft.com/office/word/2010/wordprocessingShape">
                    <wps:wsp>
                      <wps:cNvSpPr txBox="1"/>
                      <wps:spPr>
                        <a:xfrm rot="16200000">
                          <a:off x="1309145" y="334326"/>
                          <a:ext cx="239395"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2D642EA">
                            <w:pPr>
                              <w:pStyle w:val="2"/>
                              <w:spacing w:before="70" w:line="183" w:lineRule="auto"/>
                              <w:ind w:left="20"/>
                              <w:rPr>
                                <w:sz w:val="17"/>
                                <w:szCs w:val="17"/>
                              </w:rPr>
                            </w:pPr>
                            <w:r>
                              <w:rPr>
                                <w:spacing w:val="-1"/>
                                <w:sz w:val="17"/>
                                <w:szCs w:val="17"/>
                              </w:rPr>
                              <w:t>PaaS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 o:spid="_x0000_s1026" o:spt="202" type="#_x0000_t202" style="position:absolute;left:0pt;margin-left:103.05pt;margin-top:26.3pt;height:13pt;width:18.85pt;rotation:-5898240f;z-index:251705344;mso-width-relative:page;mso-height-relative:page;" filled="f" stroked="f" coordsize="21600,21600" o:gfxdata="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OB5GdgAAAAJAQAADwAA&#10;AAAAAAABACAAAAAiAAAAZHJzL2Rvd25yZXYueG1sUEsBAhQAFAAAAAgAh07iQLl4pThPAgAApAQA&#10;AA4AAAAAAAAAAQAgAAAAJwEAAGRycy9lMm9Eb2MueG1sUEsFBgAAAAAGAAYAWQEAAOgFAAAAAA==&#10;">
                <v:fill on="f" focussize="0,0"/>
                <v:stroke on="f" weight="0pt" miterlimit="0" joinstyle="miter"/>
                <v:imagedata o:title=""/>
                <o:lock v:ext="edit" aspectratio="f"/>
                <v:textbox inset="0mm,0mm,0mm,0mm">
                  <w:txbxContent>
                    <w:p w14:paraId="32D642EA">
                      <w:pPr>
                        <w:pStyle w:val="2"/>
                        <w:spacing w:before="70" w:line="183" w:lineRule="auto"/>
                        <w:ind w:left="20"/>
                        <w:rPr>
                          <w:sz w:val="17"/>
                          <w:szCs w:val="17"/>
                        </w:rPr>
                      </w:pPr>
                      <w:r>
                        <w:rPr>
                          <w:spacing w:val="-1"/>
                          <w:sz w:val="17"/>
                          <w:szCs w:val="17"/>
                        </w:rPr>
                        <w:t>PaaS</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column">
                  <wp:posOffset>1642745</wp:posOffset>
                </wp:positionH>
                <wp:positionV relativeFrom="paragraph">
                  <wp:posOffset>321310</wp:posOffset>
                </wp:positionV>
                <wp:extent cx="231140" cy="198120"/>
                <wp:effectExtent l="0" t="0" r="0" b="0"/>
                <wp:wrapNone/>
                <wp:docPr id="134" name="TextBox 134"/>
                <wp:cNvGraphicFramePr/>
                <a:graphic xmlns:a="http://schemas.openxmlformats.org/drawingml/2006/main">
                  <a:graphicData uri="http://schemas.microsoft.com/office/word/2010/wordprocessingShape">
                    <wps:wsp>
                      <wps:cNvSpPr txBox="1"/>
                      <wps:spPr>
                        <a:xfrm rot="16200000">
                          <a:off x="1642876" y="321858"/>
                          <a:ext cx="231140"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CC7C03">
                            <w:pPr>
                              <w:pStyle w:val="2"/>
                              <w:spacing w:before="70"/>
                              <w:ind w:left="20"/>
                              <w:rPr>
                                <w:sz w:val="17"/>
                                <w:szCs w:val="17"/>
                              </w:rPr>
                            </w:pPr>
                            <w:r>
                              <w:rPr>
                                <w:spacing w:val="-5"/>
                                <w:sz w:val="17"/>
                                <w:szCs w:val="17"/>
                              </w:rPr>
                              <w:t>laaS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4" o:spid="_x0000_s1026" o:spt="202" type="#_x0000_t202" style="position:absolute;left:0pt;margin-left:129.35pt;margin-top:25.3pt;height:15.6pt;width:18.2pt;rotation:-5898240f;z-index:251704320;mso-width-relative:page;mso-height-relative:page;" filled="f" stroked="f" coordsize="21600,21600" o:gfxdata="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LPJRTYAAAACQEAAA8A&#10;AAAAAAAAAQAgAAAAIgAAAGRycy9kb3ducmV2LnhtbFBLAQIUABQAAAAIAIdO4kDXvG6BUAIAAKQE&#10;AAAOAAAAAAAAAAEAIAAAACcBAABkcnMvZTJvRG9jLnhtbFBLBQYAAAAABgAGAFkBAADpBQAAAAA=&#10;">
                <v:fill on="f" focussize="0,0"/>
                <v:stroke on="f" weight="0pt" miterlimit="0" joinstyle="miter"/>
                <v:imagedata o:title=""/>
                <o:lock v:ext="edit" aspectratio="f"/>
                <v:textbox inset="0mm,0mm,0mm,0mm">
                  <w:txbxContent>
                    <w:p w14:paraId="1ECC7C03">
                      <w:pPr>
                        <w:pStyle w:val="2"/>
                        <w:spacing w:before="70"/>
                        <w:ind w:left="20"/>
                        <w:rPr>
                          <w:sz w:val="17"/>
                          <w:szCs w:val="17"/>
                        </w:rPr>
                      </w:pPr>
                      <w:r>
                        <w:rPr>
                          <w:spacing w:val="-5"/>
                          <w:sz w:val="17"/>
                          <w:szCs w:val="17"/>
                        </w:rPr>
                        <w:t>laaS</w:t>
                      </w:r>
                    </w:p>
                  </w:txbxContent>
                </v:textbox>
              </v:shape>
            </w:pict>
          </mc:Fallback>
        </mc:AlternateContent>
      </w:r>
      <w:r>
        <w:rPr>
          <w:spacing w:val="-17"/>
          <w:sz w:val="19"/>
          <w:szCs w:val="19"/>
        </w:rPr>
        <w:t>资源抽象和控制层</w:t>
      </w:r>
    </w:p>
    <w:p w14:paraId="67776EFD">
      <w:pPr>
        <w:pStyle w:val="2"/>
        <w:spacing w:before="255" w:line="219" w:lineRule="auto"/>
        <w:ind w:left="4099"/>
        <w:rPr>
          <w:sz w:val="19"/>
          <w:szCs w:val="19"/>
        </w:rPr>
      </w:pPr>
      <w:r>
        <w:rPr>
          <w:spacing w:val="-13"/>
          <w:sz w:val="19"/>
          <w:szCs w:val="19"/>
        </w:rPr>
        <w:t>物理资源层</w:t>
      </w:r>
    </w:p>
    <w:p w14:paraId="50B9A187">
      <w:pPr>
        <w:pStyle w:val="2"/>
        <w:spacing w:before="194" w:line="219" w:lineRule="auto"/>
        <w:ind w:left="4139"/>
        <w:rPr>
          <w:sz w:val="19"/>
          <w:szCs w:val="19"/>
        </w:rPr>
      </w:pPr>
      <w:r>
        <w:rPr>
          <w:spacing w:val="-12"/>
          <w:sz w:val="19"/>
          <w:szCs w:val="19"/>
        </w:rPr>
        <w:t>物理硬件</w:t>
      </w:r>
    </w:p>
    <w:p w14:paraId="1B7D49D0">
      <w:pPr>
        <w:pStyle w:val="2"/>
        <w:spacing w:before="166" w:line="221" w:lineRule="auto"/>
        <w:ind w:left="4139"/>
        <w:rPr>
          <w:sz w:val="19"/>
          <w:szCs w:val="19"/>
        </w:rPr>
      </w:pPr>
      <w:r>
        <w:rPr>
          <w:spacing w:val="-12"/>
          <w:sz w:val="19"/>
          <w:szCs w:val="19"/>
        </w:rPr>
        <w:t>基础设施</w:t>
      </w:r>
    </w:p>
    <w:p w14:paraId="0DC6F62D">
      <w:pPr>
        <w:spacing w:line="247" w:lineRule="auto"/>
        <w:rPr>
          <w:rFonts w:ascii="Arial"/>
          <w:sz w:val="21"/>
        </w:rPr>
      </w:pPr>
    </w:p>
    <w:p w14:paraId="7F738ED4">
      <w:pPr>
        <w:pStyle w:val="2"/>
        <w:spacing w:before="62" w:line="219" w:lineRule="auto"/>
        <w:ind w:left="1759"/>
        <w:rPr>
          <w:sz w:val="19"/>
          <w:szCs w:val="19"/>
        </w:rPr>
      </w:pPr>
      <w:r>
        <w:rPr>
          <w:spacing w:val="-16"/>
          <w:sz w:val="19"/>
          <w:szCs w:val="19"/>
        </w:rPr>
        <w:t>云服务提供者</w:t>
      </w:r>
    </w:p>
    <w:p w14:paraId="4F4FE808">
      <w:pPr>
        <w:pStyle w:val="2"/>
        <w:spacing w:before="196" w:line="219" w:lineRule="auto"/>
        <w:ind w:left="3090"/>
        <w:rPr>
          <w:sz w:val="19"/>
          <w:szCs w:val="19"/>
        </w:rPr>
      </w:pPr>
      <w:r>
        <w:rPr>
          <w:spacing w:val="-7"/>
          <w:sz w:val="19"/>
          <w:szCs w:val="19"/>
        </w:rPr>
        <w:t>图4-6</w:t>
      </w:r>
      <w:r>
        <w:rPr>
          <w:spacing w:val="67"/>
          <w:sz w:val="19"/>
          <w:szCs w:val="19"/>
        </w:rPr>
        <w:t xml:space="preserve"> </w:t>
      </w:r>
      <w:r>
        <w:rPr>
          <w:spacing w:val="-7"/>
          <w:sz w:val="19"/>
          <w:szCs w:val="19"/>
        </w:rPr>
        <w:t>云计算服务模式与责任关系</w:t>
      </w:r>
    </w:p>
    <w:p w14:paraId="0DCE451A">
      <w:pPr>
        <w:spacing w:line="219" w:lineRule="auto"/>
        <w:rPr>
          <w:sz w:val="19"/>
          <w:szCs w:val="19"/>
        </w:rPr>
        <w:sectPr>
          <w:pgSz w:w="10310" w:h="13380"/>
          <w:pgMar w:top="400" w:right="1074" w:bottom="400" w:left="510" w:header="0" w:footer="0" w:gutter="0"/>
          <w:cols w:space="720" w:num="1"/>
        </w:sectPr>
      </w:pPr>
    </w:p>
    <w:p w14:paraId="422076C2">
      <w:pPr>
        <w:pStyle w:val="2"/>
        <w:spacing w:before="96" w:line="219" w:lineRule="auto"/>
        <w:jc w:val="right"/>
        <w:rPr>
          <w:rFonts w:ascii="Times New Roman" w:hAnsi="Times New Roman" w:eastAsia="Times New Roman" w:cs="Times New Roman"/>
          <w:sz w:val="17"/>
          <w:szCs w:val="17"/>
        </w:rPr>
      </w:pPr>
      <w:r>
        <w:rPr>
          <w:spacing w:val="-3"/>
          <w:sz w:val="20"/>
          <w:szCs w:val="20"/>
        </w:rPr>
        <w:t>第4章 信息资源系统</w:t>
      </w:r>
      <w:r>
        <w:rPr>
          <w:spacing w:val="8"/>
          <w:sz w:val="20"/>
          <w:szCs w:val="20"/>
        </w:rPr>
        <w:t xml:space="preserve">      </w:t>
      </w:r>
      <w:r>
        <w:rPr>
          <w:rFonts w:ascii="Times New Roman" w:hAnsi="Times New Roman" w:eastAsia="Times New Roman" w:cs="Times New Roman"/>
          <w:spacing w:val="-3"/>
          <w:sz w:val="17"/>
          <w:szCs w:val="17"/>
        </w:rPr>
        <w:t>131</w:t>
      </w:r>
    </w:p>
    <w:p w14:paraId="12FAEA23">
      <w:pPr>
        <w:spacing w:line="285" w:lineRule="auto"/>
        <w:rPr>
          <w:rFonts w:ascii="Arial"/>
          <w:sz w:val="21"/>
        </w:rPr>
      </w:pPr>
    </w:p>
    <w:p w14:paraId="4F8465D3">
      <w:pPr>
        <w:pStyle w:val="2"/>
        <w:spacing w:before="65" w:line="287" w:lineRule="auto"/>
        <w:ind w:right="214" w:firstLine="410"/>
        <w:jc w:val="both"/>
        <w:rPr>
          <w:sz w:val="17"/>
          <w:szCs w:val="17"/>
        </w:rPr>
      </w:pPr>
      <w:r>
        <w:rPr>
          <w:spacing w:val="10"/>
          <w:sz w:val="20"/>
          <w:szCs w:val="20"/>
        </w:rPr>
        <w:t>云计算的基础设施、物理硬件、资源抽象和控制层都处于云服务提供者的完全控制下，</w:t>
      </w:r>
      <w:r>
        <w:rPr>
          <w:sz w:val="20"/>
          <w:szCs w:val="20"/>
        </w:rPr>
        <w:t xml:space="preserve"> </w:t>
      </w:r>
      <w:r>
        <w:rPr>
          <w:spacing w:val="9"/>
          <w:sz w:val="20"/>
          <w:szCs w:val="20"/>
        </w:rPr>
        <w:t>所有安全责任由云服务提供者承担。应用软件层、</w:t>
      </w:r>
      <w:r>
        <w:rPr>
          <w:spacing w:val="8"/>
          <w:sz w:val="20"/>
          <w:szCs w:val="20"/>
        </w:rPr>
        <w:t>软件平台层、虚拟化计算资源层的安全责</w:t>
      </w:r>
      <w:r>
        <w:rPr>
          <w:sz w:val="20"/>
          <w:szCs w:val="20"/>
        </w:rPr>
        <w:t xml:space="preserve"> </w:t>
      </w:r>
      <w:r>
        <w:rPr>
          <w:spacing w:val="8"/>
          <w:sz w:val="20"/>
          <w:szCs w:val="20"/>
        </w:rPr>
        <w:t>任则由双方共同承担，越靠近底层的云计算服务(即</w:t>
      </w:r>
      <w:r>
        <w:rPr>
          <w:rFonts w:ascii="Times New Roman" w:hAnsi="Times New Roman" w:eastAsia="Times New Roman" w:cs="Times New Roman"/>
          <w:sz w:val="20"/>
          <w:szCs w:val="20"/>
        </w:rPr>
        <w:t>IaaS</w:t>
      </w:r>
      <w:r>
        <w:rPr>
          <w:rFonts w:ascii="Times New Roman" w:hAnsi="Times New Roman" w:eastAsia="Times New Roman" w:cs="Times New Roman"/>
          <w:spacing w:val="8"/>
          <w:sz w:val="20"/>
          <w:szCs w:val="20"/>
        </w:rPr>
        <w:t xml:space="preserve">),    </w:t>
      </w:r>
      <w:r>
        <w:rPr>
          <w:spacing w:val="8"/>
          <w:sz w:val="20"/>
          <w:szCs w:val="20"/>
        </w:rPr>
        <w:t>客户的管理和安全责任越大；反</w:t>
      </w:r>
      <w:r>
        <w:rPr>
          <w:sz w:val="20"/>
          <w:szCs w:val="20"/>
        </w:rPr>
        <w:t xml:space="preserve"> </w:t>
      </w:r>
      <w:r>
        <w:rPr>
          <w:spacing w:val="4"/>
          <w:sz w:val="20"/>
          <w:szCs w:val="20"/>
        </w:rPr>
        <w:t>之，云服务提供者的管理和安全责任越大。在</w:t>
      </w:r>
      <w:r>
        <w:rPr>
          <w:rFonts w:ascii="Times New Roman" w:hAnsi="Times New Roman" w:eastAsia="Times New Roman" w:cs="Times New Roman"/>
          <w:sz w:val="20"/>
          <w:szCs w:val="20"/>
        </w:rPr>
        <w:t>Iaas</w:t>
      </w:r>
      <w:r>
        <w:rPr>
          <w:rFonts w:ascii="Times New Roman" w:hAnsi="Times New Roman" w:eastAsia="Times New Roman" w:cs="Times New Roman"/>
          <w:spacing w:val="4"/>
          <w:sz w:val="20"/>
          <w:szCs w:val="20"/>
        </w:rPr>
        <w:t xml:space="preserve">  </w:t>
      </w:r>
      <w:r>
        <w:rPr>
          <w:spacing w:val="3"/>
          <w:sz w:val="20"/>
          <w:szCs w:val="20"/>
        </w:rPr>
        <w:t>中，客户的责任是最大的，</w:t>
      </w:r>
      <w:r>
        <w:rPr>
          <w:spacing w:val="-40"/>
          <w:sz w:val="20"/>
          <w:szCs w:val="20"/>
        </w:rPr>
        <w:t xml:space="preserve"> </w:t>
      </w:r>
      <w:r>
        <w:rPr>
          <w:rFonts w:ascii="Times New Roman" w:hAnsi="Times New Roman" w:eastAsia="Times New Roman" w:cs="Times New Roman"/>
          <w:sz w:val="20"/>
          <w:szCs w:val="20"/>
        </w:rPr>
        <w:t>SaaS</w:t>
      </w:r>
      <w:r>
        <w:rPr>
          <w:rFonts w:ascii="Times New Roman" w:hAnsi="Times New Roman" w:eastAsia="Times New Roman" w:cs="Times New Roman"/>
          <w:spacing w:val="3"/>
          <w:sz w:val="20"/>
          <w:szCs w:val="20"/>
        </w:rPr>
        <w:t xml:space="preserve">  </w:t>
      </w:r>
      <w:r>
        <w:rPr>
          <w:spacing w:val="3"/>
          <w:sz w:val="20"/>
          <w:szCs w:val="20"/>
        </w:rPr>
        <w:t>中客户的</w:t>
      </w:r>
      <w:r>
        <w:rPr>
          <w:sz w:val="20"/>
          <w:szCs w:val="20"/>
        </w:rPr>
        <w:t xml:space="preserve"> </w:t>
      </w:r>
      <w:r>
        <w:rPr>
          <w:spacing w:val="12"/>
          <w:sz w:val="20"/>
          <w:szCs w:val="20"/>
        </w:rPr>
        <w:t>责任最小，</w:t>
      </w:r>
      <w:r>
        <w:rPr>
          <w:rFonts w:ascii="Times New Roman" w:hAnsi="Times New Roman" w:eastAsia="Times New Roman" w:cs="Times New Roman"/>
          <w:sz w:val="20"/>
          <w:szCs w:val="20"/>
        </w:rPr>
        <w:t>PaaS</w:t>
      </w:r>
      <w:r>
        <w:rPr>
          <w:rFonts w:ascii="Times New Roman" w:hAnsi="Times New Roman" w:eastAsia="Times New Roman" w:cs="Times New Roman"/>
          <w:spacing w:val="2"/>
          <w:sz w:val="20"/>
          <w:szCs w:val="20"/>
        </w:rPr>
        <w:t xml:space="preserve">  </w:t>
      </w:r>
      <w:r>
        <w:rPr>
          <w:spacing w:val="12"/>
          <w:sz w:val="20"/>
          <w:szCs w:val="20"/>
        </w:rPr>
        <w:t>中客户的责任介于</w:t>
      </w:r>
      <w:r>
        <w:rPr>
          <w:rFonts w:ascii="Times New Roman" w:hAnsi="Times New Roman" w:eastAsia="Times New Roman" w:cs="Times New Roman"/>
          <w:sz w:val="20"/>
          <w:szCs w:val="20"/>
        </w:rPr>
        <w:t>IaaS</w:t>
      </w:r>
      <w:r>
        <w:rPr>
          <w:rFonts w:ascii="Times New Roman" w:hAnsi="Times New Roman" w:eastAsia="Times New Roman" w:cs="Times New Roman"/>
          <w:spacing w:val="30"/>
          <w:w w:val="101"/>
          <w:sz w:val="20"/>
          <w:szCs w:val="20"/>
        </w:rPr>
        <w:t xml:space="preserve"> </w:t>
      </w:r>
      <w:r>
        <w:rPr>
          <w:spacing w:val="12"/>
          <w:sz w:val="20"/>
          <w:szCs w:val="20"/>
        </w:rPr>
        <w:t>和</w:t>
      </w:r>
      <w:r>
        <w:rPr>
          <w:spacing w:val="-32"/>
          <w:sz w:val="20"/>
          <w:szCs w:val="20"/>
        </w:rPr>
        <w:t xml:space="preserve"> </w:t>
      </w:r>
      <w:r>
        <w:rPr>
          <w:rFonts w:ascii="Times New Roman" w:hAnsi="Times New Roman" w:eastAsia="Times New Roman" w:cs="Times New Roman"/>
          <w:sz w:val="20"/>
          <w:szCs w:val="20"/>
        </w:rPr>
        <w:t>SaaS</w:t>
      </w:r>
      <w:r>
        <w:rPr>
          <w:rFonts w:ascii="Times New Roman" w:hAnsi="Times New Roman" w:eastAsia="Times New Roman" w:cs="Times New Roman"/>
          <w:spacing w:val="23"/>
          <w:w w:val="101"/>
          <w:sz w:val="20"/>
          <w:szCs w:val="20"/>
        </w:rPr>
        <w:t xml:space="preserve"> </w:t>
      </w:r>
      <w:r>
        <w:rPr>
          <w:spacing w:val="12"/>
          <w:sz w:val="20"/>
          <w:szCs w:val="20"/>
        </w:rPr>
        <w:t>之间。在</w:t>
      </w:r>
      <w:r>
        <w:rPr>
          <w:rFonts w:ascii="Times New Roman" w:hAnsi="Times New Roman" w:eastAsia="Times New Roman" w:cs="Times New Roman"/>
          <w:sz w:val="20"/>
          <w:szCs w:val="20"/>
        </w:rPr>
        <w:t>SaaS</w:t>
      </w:r>
      <w:r>
        <w:rPr>
          <w:rFonts w:ascii="Times New Roman" w:hAnsi="Times New Roman" w:eastAsia="Times New Roman" w:cs="Times New Roman"/>
          <w:spacing w:val="43"/>
          <w:sz w:val="20"/>
          <w:szCs w:val="20"/>
        </w:rPr>
        <w:t xml:space="preserve"> </w:t>
      </w:r>
      <w:r>
        <w:rPr>
          <w:spacing w:val="12"/>
          <w:sz w:val="20"/>
          <w:szCs w:val="20"/>
        </w:rPr>
        <w:t>模</w:t>
      </w:r>
      <w:r>
        <w:rPr>
          <w:spacing w:val="11"/>
          <w:sz w:val="20"/>
          <w:szCs w:val="20"/>
        </w:rPr>
        <w:t>式下，客户仅需承担自身</w:t>
      </w:r>
      <w:r>
        <w:rPr>
          <w:sz w:val="20"/>
          <w:szCs w:val="20"/>
        </w:rPr>
        <w:t xml:space="preserve"> </w:t>
      </w:r>
      <w:r>
        <w:rPr>
          <w:spacing w:val="6"/>
          <w:sz w:val="20"/>
          <w:szCs w:val="20"/>
        </w:rPr>
        <w:t>数据安全、客户端安全等相关责任，云服务提供者承担其他安全责任；在</w:t>
      </w:r>
      <w:r>
        <w:rPr>
          <w:rFonts w:ascii="Times New Roman" w:hAnsi="Times New Roman" w:eastAsia="Times New Roman" w:cs="Times New Roman"/>
          <w:sz w:val="20"/>
          <w:szCs w:val="20"/>
        </w:rPr>
        <w:t>PaaS</w:t>
      </w:r>
      <w:r>
        <w:rPr>
          <w:rFonts w:ascii="Times New Roman" w:hAnsi="Times New Roman" w:eastAsia="Times New Roman" w:cs="Times New Roman"/>
          <w:spacing w:val="39"/>
          <w:w w:val="101"/>
          <w:sz w:val="20"/>
          <w:szCs w:val="20"/>
        </w:rPr>
        <w:t xml:space="preserve"> </w:t>
      </w:r>
      <w:r>
        <w:rPr>
          <w:spacing w:val="6"/>
          <w:sz w:val="20"/>
          <w:szCs w:val="20"/>
        </w:rPr>
        <w:t>模式下，软件</w:t>
      </w:r>
      <w:r>
        <w:rPr>
          <w:sz w:val="20"/>
          <w:szCs w:val="20"/>
        </w:rPr>
        <w:t xml:space="preserve"> </w:t>
      </w:r>
      <w:r>
        <w:rPr>
          <w:spacing w:val="9"/>
          <w:sz w:val="20"/>
          <w:szCs w:val="20"/>
        </w:rPr>
        <w:t>平台层的安全责任由客户和云服务提供者分</w:t>
      </w:r>
      <w:r>
        <w:rPr>
          <w:spacing w:val="8"/>
          <w:sz w:val="20"/>
          <w:szCs w:val="20"/>
        </w:rPr>
        <w:t>担，客户负责自己开发和部署的应用及其运行环</w:t>
      </w:r>
      <w:r>
        <w:rPr>
          <w:sz w:val="20"/>
          <w:szCs w:val="20"/>
        </w:rPr>
        <w:t xml:space="preserve"> </w:t>
      </w:r>
      <w:r>
        <w:rPr>
          <w:spacing w:val="8"/>
          <w:sz w:val="20"/>
          <w:szCs w:val="20"/>
        </w:rPr>
        <w:t>境的安全，其他安全由云服务提供者负责；在</w:t>
      </w:r>
      <w:r>
        <w:rPr>
          <w:rFonts w:ascii="Times New Roman" w:hAnsi="Times New Roman" w:eastAsia="Times New Roman" w:cs="Times New Roman"/>
          <w:sz w:val="20"/>
          <w:szCs w:val="20"/>
        </w:rPr>
        <w:t>IaaS</w:t>
      </w:r>
      <w:r>
        <w:rPr>
          <w:rFonts w:ascii="Times New Roman" w:hAnsi="Times New Roman" w:eastAsia="Times New Roman" w:cs="Times New Roman"/>
          <w:spacing w:val="40"/>
          <w:sz w:val="20"/>
          <w:szCs w:val="20"/>
        </w:rPr>
        <w:t xml:space="preserve"> </w:t>
      </w:r>
      <w:r>
        <w:rPr>
          <w:spacing w:val="8"/>
          <w:sz w:val="20"/>
          <w:szCs w:val="20"/>
        </w:rPr>
        <w:t>模</w:t>
      </w:r>
      <w:r>
        <w:rPr>
          <w:spacing w:val="7"/>
          <w:sz w:val="20"/>
          <w:szCs w:val="20"/>
        </w:rPr>
        <w:t>式下，虚拟化计算资源层的安全责任由</w:t>
      </w:r>
      <w:r>
        <w:rPr>
          <w:sz w:val="20"/>
          <w:szCs w:val="20"/>
        </w:rPr>
        <w:t xml:space="preserve"> </w:t>
      </w:r>
      <w:r>
        <w:rPr>
          <w:spacing w:val="8"/>
          <w:sz w:val="20"/>
          <w:szCs w:val="20"/>
        </w:rPr>
        <w:t>客户和云服务提供者分担，客户负责自己部署的操作系统、运行环境和应用的安全，对这些</w:t>
      </w:r>
      <w:r>
        <w:rPr>
          <w:sz w:val="20"/>
          <w:szCs w:val="20"/>
        </w:rPr>
        <w:t xml:space="preserve"> </w:t>
      </w:r>
      <w:r>
        <w:rPr>
          <w:spacing w:val="8"/>
          <w:sz w:val="20"/>
          <w:szCs w:val="20"/>
        </w:rPr>
        <w:t>资源的操作、更新、配置安全和可靠性负责，云服务提</w:t>
      </w:r>
      <w:r>
        <w:rPr>
          <w:spacing w:val="7"/>
          <w:sz w:val="20"/>
          <w:szCs w:val="20"/>
        </w:rPr>
        <w:t>供者负责虚拟机监视器及底层资源的</w:t>
      </w:r>
      <w:r>
        <w:rPr>
          <w:sz w:val="20"/>
          <w:szCs w:val="20"/>
        </w:rPr>
        <w:t xml:space="preserve">  </w:t>
      </w:r>
      <w:r>
        <w:rPr>
          <w:spacing w:val="13"/>
          <w:sz w:val="17"/>
          <w:szCs w:val="17"/>
        </w:rPr>
        <w:t>安全</w:t>
      </w:r>
      <w:r>
        <w:rPr>
          <w:spacing w:val="-36"/>
          <w:sz w:val="17"/>
          <w:szCs w:val="17"/>
        </w:rPr>
        <w:t xml:space="preserve"> </w:t>
      </w:r>
      <w:r>
        <w:rPr>
          <w:spacing w:val="13"/>
          <w:sz w:val="17"/>
          <w:szCs w:val="17"/>
        </w:rPr>
        <w:t>。</w:t>
      </w:r>
    </w:p>
    <w:p w14:paraId="0683BEF6">
      <w:pPr>
        <w:pStyle w:val="2"/>
        <w:spacing w:before="116" w:line="278" w:lineRule="auto"/>
        <w:ind w:right="264" w:firstLine="410"/>
        <w:jc w:val="both"/>
        <w:rPr>
          <w:sz w:val="20"/>
          <w:szCs w:val="20"/>
        </w:rPr>
      </w:pPr>
      <w:r>
        <w:rPr>
          <w:spacing w:val="3"/>
          <w:sz w:val="20"/>
          <w:szCs w:val="20"/>
        </w:rPr>
        <w:t>云计算环境的安全性由云服务提供者和客户共同保障。在某些情况下</w:t>
      </w:r>
      <w:r>
        <w:rPr>
          <w:spacing w:val="2"/>
          <w:sz w:val="20"/>
          <w:szCs w:val="20"/>
        </w:rPr>
        <w:t>，云服务提供者还要</w:t>
      </w:r>
      <w:r>
        <w:rPr>
          <w:sz w:val="20"/>
          <w:szCs w:val="20"/>
        </w:rPr>
        <w:t xml:space="preserve"> </w:t>
      </w:r>
      <w:r>
        <w:rPr>
          <w:spacing w:val="3"/>
          <w:sz w:val="20"/>
          <w:szCs w:val="20"/>
        </w:rPr>
        <w:t>依靠其他组织提供计算资源和服务，其他组织也应承担安全责任。因此，云计算安全措施的实</w:t>
      </w:r>
      <w:r>
        <w:rPr>
          <w:spacing w:val="16"/>
          <w:sz w:val="20"/>
          <w:szCs w:val="20"/>
        </w:rPr>
        <w:t xml:space="preserve"> </w:t>
      </w:r>
      <w:r>
        <w:rPr>
          <w:spacing w:val="-1"/>
          <w:sz w:val="20"/>
          <w:szCs w:val="20"/>
        </w:rPr>
        <w:t>施主体有多个，各类主体的安全责任因不同的云计算服务模</w:t>
      </w:r>
      <w:r>
        <w:rPr>
          <w:spacing w:val="-2"/>
          <w:sz w:val="20"/>
          <w:szCs w:val="20"/>
        </w:rPr>
        <w:t>式而不同。</w:t>
      </w:r>
    </w:p>
    <w:p w14:paraId="5B01CA68">
      <w:pPr>
        <w:pStyle w:val="2"/>
        <w:spacing w:before="114" w:line="221" w:lineRule="auto"/>
        <w:ind w:left="412"/>
        <w:rPr>
          <w:rFonts w:ascii="黑体" w:hAnsi="黑体" w:eastAsia="黑体" w:cs="黑体"/>
          <w:sz w:val="20"/>
          <w:szCs w:val="20"/>
        </w:rPr>
      </w:pPr>
      <w:r>
        <w:rPr>
          <w:b/>
          <w:bCs/>
          <w:color w:val="0069E3"/>
          <w:spacing w:val="-5"/>
          <w:sz w:val="20"/>
          <w:szCs w:val="20"/>
        </w:rPr>
        <w:t>3.</w:t>
      </w:r>
      <w:r>
        <w:rPr>
          <w:rFonts w:ascii="黑体" w:hAnsi="黑体" w:eastAsia="黑体" w:cs="黑体"/>
          <w:b/>
          <w:bCs/>
          <w:color w:val="0069E3"/>
          <w:spacing w:val="-5"/>
          <w:sz w:val="20"/>
          <w:szCs w:val="20"/>
        </w:rPr>
        <w:t>云计算服务的交付</w:t>
      </w:r>
    </w:p>
    <w:p w14:paraId="0FAE4FF6">
      <w:pPr>
        <w:pStyle w:val="2"/>
        <w:spacing w:before="155" w:line="219" w:lineRule="auto"/>
        <w:ind w:left="410"/>
        <w:rPr>
          <w:sz w:val="20"/>
          <w:szCs w:val="20"/>
        </w:rPr>
      </w:pPr>
      <w:r>
        <w:rPr>
          <w:spacing w:val="-4"/>
          <w:sz w:val="20"/>
          <w:szCs w:val="20"/>
        </w:rPr>
        <w:t>云计算的服务交付主要包括六种模式：</w:t>
      </w:r>
    </w:p>
    <w:p w14:paraId="34913C29">
      <w:pPr>
        <w:pStyle w:val="2"/>
        <w:spacing w:before="72" w:line="262" w:lineRule="auto"/>
        <w:ind w:right="280" w:firstLine="410"/>
        <w:rPr>
          <w:sz w:val="20"/>
          <w:szCs w:val="20"/>
        </w:rPr>
      </w:pPr>
      <w:r>
        <w:rPr>
          <w:spacing w:val="5"/>
          <w:sz w:val="20"/>
          <w:szCs w:val="20"/>
        </w:rPr>
        <w:t>(1)模式一：组织所有，自行运营。这是一种典型的私有云模式，组织自建自用，基础资</w:t>
      </w:r>
      <w:r>
        <w:rPr>
          <w:spacing w:val="13"/>
          <w:sz w:val="20"/>
          <w:szCs w:val="20"/>
        </w:rPr>
        <w:t xml:space="preserve"> </w:t>
      </w:r>
      <w:r>
        <w:rPr>
          <w:spacing w:val="-2"/>
          <w:sz w:val="20"/>
          <w:szCs w:val="20"/>
        </w:rPr>
        <w:t>源在组织数据中心内部，运行维护也由组织自己承担。</w:t>
      </w:r>
    </w:p>
    <w:p w14:paraId="2935F98D">
      <w:pPr>
        <w:pStyle w:val="2"/>
        <w:spacing w:before="72" w:line="276" w:lineRule="auto"/>
        <w:ind w:right="283" w:firstLine="410"/>
        <w:rPr>
          <w:sz w:val="17"/>
          <w:szCs w:val="17"/>
        </w:rPr>
      </w:pPr>
      <w:r>
        <w:rPr>
          <w:spacing w:val="10"/>
          <w:sz w:val="20"/>
          <w:szCs w:val="20"/>
        </w:rPr>
        <w:t>(2)模式二：组织所有，运维外包。该模式也是私有云，但是组织只进行投资建设，而</w:t>
      </w:r>
      <w:r>
        <w:rPr>
          <w:spacing w:val="18"/>
          <w:sz w:val="20"/>
          <w:szCs w:val="20"/>
        </w:rPr>
        <w:t xml:space="preserve"> </w:t>
      </w:r>
      <w:r>
        <w:rPr>
          <w:spacing w:val="21"/>
          <w:sz w:val="20"/>
          <w:szCs w:val="20"/>
        </w:rPr>
        <w:t>云计算架构的运行维护外包给服务商(也可以是服务提供者),基础资源依然在组织数据</w:t>
      </w:r>
      <w:r>
        <w:rPr>
          <w:spacing w:val="2"/>
          <w:sz w:val="20"/>
          <w:szCs w:val="20"/>
        </w:rPr>
        <w:t xml:space="preserve"> </w:t>
      </w:r>
      <w:r>
        <w:rPr>
          <w:spacing w:val="-12"/>
          <w:sz w:val="17"/>
          <w:szCs w:val="17"/>
        </w:rPr>
        <w:t>中</w:t>
      </w:r>
      <w:r>
        <w:rPr>
          <w:spacing w:val="-17"/>
          <w:sz w:val="17"/>
          <w:szCs w:val="17"/>
        </w:rPr>
        <w:t xml:space="preserve"> </w:t>
      </w:r>
      <w:r>
        <w:rPr>
          <w:spacing w:val="-12"/>
          <w:sz w:val="17"/>
          <w:szCs w:val="17"/>
        </w:rPr>
        <w:t>心</w:t>
      </w:r>
      <w:r>
        <w:rPr>
          <w:spacing w:val="-29"/>
          <w:sz w:val="17"/>
          <w:szCs w:val="17"/>
        </w:rPr>
        <w:t xml:space="preserve"> </w:t>
      </w:r>
      <w:r>
        <w:rPr>
          <w:spacing w:val="-12"/>
          <w:sz w:val="17"/>
          <w:szCs w:val="17"/>
        </w:rPr>
        <w:t>。</w:t>
      </w:r>
    </w:p>
    <w:p w14:paraId="7BAF7550">
      <w:pPr>
        <w:pStyle w:val="2"/>
        <w:spacing w:before="59" w:line="257" w:lineRule="auto"/>
        <w:ind w:right="282" w:firstLine="410"/>
        <w:rPr>
          <w:sz w:val="20"/>
          <w:szCs w:val="20"/>
        </w:rPr>
      </w:pPr>
      <w:r>
        <w:rPr>
          <w:spacing w:val="5"/>
          <w:sz w:val="20"/>
          <w:szCs w:val="20"/>
        </w:rPr>
        <w:t>(3)模式三：组织所有，运维外包，外部运行。由组织投资建设私有云，但是云计算架构</w:t>
      </w:r>
      <w:r>
        <w:rPr>
          <w:spacing w:val="11"/>
          <w:sz w:val="20"/>
          <w:szCs w:val="20"/>
        </w:rPr>
        <w:t xml:space="preserve"> </w:t>
      </w:r>
      <w:r>
        <w:rPr>
          <w:spacing w:val="-1"/>
          <w:sz w:val="20"/>
          <w:szCs w:val="20"/>
        </w:rPr>
        <w:t>位于服务商的数据中心内，组织通过网络访问云资源。这是一种物理形体的托管型服务。</w:t>
      </w:r>
    </w:p>
    <w:p w14:paraId="20BA05F0">
      <w:pPr>
        <w:pStyle w:val="2"/>
        <w:spacing w:before="61" w:line="270" w:lineRule="auto"/>
        <w:ind w:right="288" w:firstLine="410"/>
        <w:rPr>
          <w:sz w:val="20"/>
          <w:szCs w:val="20"/>
        </w:rPr>
      </w:pPr>
      <w:r>
        <w:rPr>
          <w:spacing w:val="7"/>
          <w:sz w:val="20"/>
          <w:szCs w:val="20"/>
        </w:rPr>
        <w:t>(4)模式四：组织租赁，外部运行，资源独占。由服务提供者</w:t>
      </w:r>
      <w:r>
        <w:rPr>
          <w:spacing w:val="-34"/>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Service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Provider</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SP</w:t>
      </w:r>
      <w:r>
        <w:rPr>
          <w:rFonts w:ascii="Times New Roman" w:hAnsi="Times New Roman" w:eastAsia="Times New Roman" w:cs="Times New Roman"/>
          <w:spacing w:val="7"/>
          <w:sz w:val="20"/>
          <w:szCs w:val="20"/>
        </w:rPr>
        <w:t>)</w:t>
      </w:r>
      <w:r>
        <w:rPr>
          <w:rFonts w:ascii="Times New Roman" w:hAnsi="Times New Roman" w:eastAsia="Times New Roman" w:cs="Times New Roman"/>
          <w:spacing w:val="22"/>
          <w:w w:val="101"/>
          <w:sz w:val="20"/>
          <w:szCs w:val="20"/>
        </w:rPr>
        <w:t xml:space="preserve"> </w:t>
      </w:r>
      <w:r>
        <w:rPr>
          <w:spacing w:val="7"/>
          <w:sz w:val="20"/>
          <w:szCs w:val="20"/>
        </w:rPr>
        <w:t>构</w:t>
      </w:r>
      <w:r>
        <w:rPr>
          <w:sz w:val="20"/>
          <w:szCs w:val="20"/>
        </w:rPr>
        <w:t xml:space="preserve"> </w:t>
      </w:r>
      <w:r>
        <w:rPr>
          <w:spacing w:val="3"/>
          <w:sz w:val="20"/>
          <w:szCs w:val="20"/>
        </w:rPr>
        <w:t>建云计算基础资源，组织只租用基础资源形成自身业务的虚拟云计算，相关</w:t>
      </w:r>
      <w:r>
        <w:rPr>
          <w:spacing w:val="2"/>
          <w:sz w:val="20"/>
          <w:szCs w:val="20"/>
        </w:rPr>
        <w:t>物理资源完全由组</w:t>
      </w:r>
      <w:r>
        <w:rPr>
          <w:sz w:val="20"/>
          <w:szCs w:val="20"/>
        </w:rPr>
        <w:t xml:space="preserve"> </w:t>
      </w:r>
      <w:r>
        <w:rPr>
          <w:spacing w:val="3"/>
          <w:sz w:val="20"/>
          <w:szCs w:val="20"/>
        </w:rPr>
        <w:t>织独占使用。这是一种虚拟的托管型服务(数据托管)。</w:t>
      </w:r>
    </w:p>
    <w:p w14:paraId="5741A61C">
      <w:pPr>
        <w:pStyle w:val="2"/>
        <w:spacing w:before="55" w:line="263" w:lineRule="auto"/>
        <w:ind w:right="284" w:firstLine="410"/>
        <w:rPr>
          <w:sz w:val="20"/>
          <w:szCs w:val="20"/>
        </w:rPr>
      </w:pPr>
      <w:r>
        <w:rPr>
          <w:spacing w:val="3"/>
          <w:sz w:val="20"/>
          <w:szCs w:val="20"/>
        </w:rPr>
        <w:t>(5)模式五：组织租赁，外部运行，资源共享调度。由</w:t>
      </w:r>
      <w:r>
        <w:rPr>
          <w:rFonts w:ascii="Times New Roman" w:hAnsi="Times New Roman" w:eastAsia="Times New Roman" w:cs="Times New Roman"/>
          <w:sz w:val="20"/>
          <w:szCs w:val="20"/>
        </w:rPr>
        <w:t>SP</w:t>
      </w:r>
      <w:r>
        <w:rPr>
          <w:rFonts w:ascii="Times New Roman" w:hAnsi="Times New Roman" w:eastAsia="Times New Roman" w:cs="Times New Roman"/>
          <w:spacing w:val="20"/>
          <w:sz w:val="20"/>
          <w:szCs w:val="20"/>
        </w:rPr>
        <w:t xml:space="preserve"> </w:t>
      </w:r>
      <w:r>
        <w:rPr>
          <w:spacing w:val="3"/>
          <w:sz w:val="20"/>
          <w:szCs w:val="20"/>
        </w:rPr>
        <w:t>构建云计算基础资源，多个组织</w:t>
      </w:r>
      <w:r>
        <w:rPr>
          <w:sz w:val="20"/>
          <w:szCs w:val="20"/>
        </w:rPr>
        <w:t xml:space="preserve"> </w:t>
      </w:r>
      <w:r>
        <w:rPr>
          <w:spacing w:val="4"/>
          <w:sz w:val="20"/>
          <w:szCs w:val="20"/>
        </w:rPr>
        <w:t>同时租赁</w:t>
      </w:r>
      <w:r>
        <w:rPr>
          <w:rFonts w:ascii="Times New Roman" w:hAnsi="Times New Roman" w:eastAsia="Times New Roman" w:cs="Times New Roman"/>
          <w:sz w:val="20"/>
          <w:szCs w:val="20"/>
        </w:rPr>
        <w:t>SP</w:t>
      </w:r>
      <w:r>
        <w:rPr>
          <w:rFonts w:ascii="Times New Roman" w:hAnsi="Times New Roman" w:eastAsia="Times New Roman" w:cs="Times New Roman"/>
          <w:spacing w:val="4"/>
          <w:sz w:val="20"/>
          <w:szCs w:val="20"/>
        </w:rPr>
        <w:t xml:space="preserve"> </w:t>
      </w:r>
      <w:r>
        <w:rPr>
          <w:spacing w:val="4"/>
          <w:sz w:val="20"/>
          <w:szCs w:val="20"/>
        </w:rPr>
        <w:t>的云计算资源，资源的隔离与调度由</w:t>
      </w:r>
      <w:r>
        <w:rPr>
          <w:rFonts w:ascii="Times New Roman" w:hAnsi="Times New Roman" w:eastAsia="Times New Roman" w:cs="Times New Roman"/>
          <w:sz w:val="20"/>
          <w:szCs w:val="20"/>
        </w:rPr>
        <w:t>SP</w:t>
      </w:r>
      <w:r>
        <w:rPr>
          <w:rFonts w:ascii="Times New Roman" w:hAnsi="Times New Roman" w:eastAsia="Times New Roman" w:cs="Times New Roman"/>
          <w:spacing w:val="21"/>
          <w:sz w:val="20"/>
          <w:szCs w:val="20"/>
        </w:rPr>
        <w:t xml:space="preserve"> </w:t>
      </w:r>
      <w:r>
        <w:rPr>
          <w:spacing w:val="4"/>
          <w:sz w:val="20"/>
          <w:szCs w:val="20"/>
        </w:rPr>
        <w:t>管理，组织只关注自身业务，不同组</w:t>
      </w:r>
      <w:r>
        <w:rPr>
          <w:spacing w:val="3"/>
          <w:sz w:val="20"/>
          <w:szCs w:val="20"/>
        </w:rPr>
        <w:t>织在</w:t>
      </w:r>
      <w:r>
        <w:rPr>
          <w:sz w:val="20"/>
          <w:szCs w:val="20"/>
        </w:rPr>
        <w:t xml:space="preserve"> </w:t>
      </w:r>
      <w:r>
        <w:rPr>
          <w:spacing w:val="-2"/>
          <w:sz w:val="20"/>
          <w:szCs w:val="20"/>
        </w:rPr>
        <w:t>云架构内虚拟化隔离，形成一种共享的私有云模式。</w:t>
      </w:r>
    </w:p>
    <w:p w14:paraId="352C3215">
      <w:pPr>
        <w:pStyle w:val="2"/>
        <w:spacing w:before="82" w:line="246" w:lineRule="auto"/>
        <w:ind w:right="283" w:firstLine="410"/>
        <w:rPr>
          <w:sz w:val="20"/>
          <w:szCs w:val="20"/>
        </w:rPr>
      </w:pPr>
      <w:r>
        <w:rPr>
          <w:spacing w:val="6"/>
          <w:sz w:val="20"/>
          <w:szCs w:val="20"/>
        </w:rPr>
        <w:t>(6)模式六：公共云服务。由</w:t>
      </w:r>
      <w:r>
        <w:rPr>
          <w:rFonts w:ascii="Times New Roman" w:hAnsi="Times New Roman" w:eastAsia="Times New Roman" w:cs="Times New Roman"/>
          <w:sz w:val="20"/>
          <w:szCs w:val="20"/>
        </w:rPr>
        <w:t>SP</w:t>
      </w:r>
      <w:r>
        <w:rPr>
          <w:rFonts w:ascii="Times New Roman" w:hAnsi="Times New Roman" w:eastAsia="Times New Roman" w:cs="Times New Roman"/>
          <w:spacing w:val="21"/>
          <w:sz w:val="20"/>
          <w:szCs w:val="20"/>
        </w:rPr>
        <w:t xml:space="preserve"> </w:t>
      </w:r>
      <w:r>
        <w:rPr>
          <w:spacing w:val="6"/>
          <w:sz w:val="20"/>
          <w:szCs w:val="20"/>
        </w:rPr>
        <w:t>为组织或个人提供</w:t>
      </w:r>
      <w:r>
        <w:rPr>
          <w:spacing w:val="5"/>
          <w:sz w:val="20"/>
          <w:szCs w:val="20"/>
        </w:rPr>
        <w:t>面向互联网的公共服务(如邮箱、即时</w:t>
      </w:r>
      <w:r>
        <w:rPr>
          <w:sz w:val="20"/>
          <w:szCs w:val="20"/>
        </w:rPr>
        <w:t xml:space="preserve"> </w:t>
      </w:r>
      <w:r>
        <w:rPr>
          <w:spacing w:val="3"/>
          <w:sz w:val="20"/>
          <w:szCs w:val="20"/>
        </w:rPr>
        <w:t>通信、共享容灾等),云架构与公共网络连接，由</w:t>
      </w:r>
      <w:r>
        <w:rPr>
          <w:rFonts w:ascii="Times New Roman" w:hAnsi="Times New Roman" w:eastAsia="Times New Roman" w:cs="Times New Roman"/>
          <w:sz w:val="20"/>
          <w:szCs w:val="20"/>
        </w:rPr>
        <w:t>SP</w:t>
      </w:r>
      <w:r>
        <w:rPr>
          <w:rFonts w:ascii="Times New Roman" w:hAnsi="Times New Roman" w:eastAsia="Times New Roman" w:cs="Times New Roman"/>
          <w:spacing w:val="36"/>
          <w:sz w:val="20"/>
          <w:szCs w:val="20"/>
        </w:rPr>
        <w:t xml:space="preserve"> </w:t>
      </w:r>
      <w:r>
        <w:rPr>
          <w:spacing w:val="3"/>
          <w:sz w:val="20"/>
          <w:szCs w:val="20"/>
        </w:rPr>
        <w:t>保证不同组织与用户的数据安全。</w:t>
      </w:r>
    </w:p>
    <w:p w14:paraId="68FF0027">
      <w:pPr>
        <w:pStyle w:val="2"/>
        <w:spacing w:before="248" w:line="219" w:lineRule="auto"/>
        <w:ind w:left="2"/>
        <w:rPr>
          <w:sz w:val="25"/>
          <w:szCs w:val="25"/>
        </w:rPr>
      </w:pPr>
      <w:r>
        <w:rPr>
          <w:b/>
          <w:bCs/>
          <w:color w:val="005CD5"/>
          <w:spacing w:val="-18"/>
          <w:sz w:val="25"/>
          <w:szCs w:val="25"/>
        </w:rPr>
        <w:t>4.2.4</w:t>
      </w:r>
      <w:r>
        <w:rPr>
          <w:color w:val="005CD5"/>
          <w:spacing w:val="110"/>
          <w:sz w:val="25"/>
          <w:szCs w:val="25"/>
        </w:rPr>
        <w:t xml:space="preserve"> </w:t>
      </w:r>
      <w:r>
        <w:rPr>
          <w:b/>
          <w:bCs/>
          <w:color w:val="005CD5"/>
          <w:spacing w:val="-18"/>
          <w:sz w:val="25"/>
          <w:szCs w:val="25"/>
        </w:rPr>
        <w:t>云服务产品</w:t>
      </w:r>
    </w:p>
    <w:p w14:paraId="27C69ECF">
      <w:pPr>
        <w:pStyle w:val="2"/>
        <w:spacing w:before="250" w:line="221" w:lineRule="auto"/>
        <w:ind w:left="412"/>
        <w:rPr>
          <w:rFonts w:ascii="黑体" w:hAnsi="黑体" w:eastAsia="黑体" w:cs="黑体"/>
          <w:sz w:val="20"/>
          <w:szCs w:val="20"/>
        </w:rPr>
      </w:pPr>
      <w:r>
        <w:rPr>
          <w:b/>
          <w:bCs/>
          <w:color w:val="006FDE"/>
          <w:spacing w:val="-6"/>
          <w:sz w:val="20"/>
          <w:szCs w:val="20"/>
        </w:rPr>
        <w:t>1.</w:t>
      </w:r>
      <w:r>
        <w:rPr>
          <w:rFonts w:ascii="黑体" w:hAnsi="黑体" w:eastAsia="黑体" w:cs="黑体"/>
          <w:b/>
          <w:bCs/>
          <w:color w:val="006FDE"/>
          <w:spacing w:val="-6"/>
          <w:sz w:val="20"/>
          <w:szCs w:val="20"/>
        </w:rPr>
        <w:t>云服务器</w:t>
      </w:r>
    </w:p>
    <w:p w14:paraId="508E8E22">
      <w:pPr>
        <w:pStyle w:val="2"/>
        <w:spacing w:before="114" w:line="283" w:lineRule="auto"/>
        <w:ind w:right="195" w:firstLine="410"/>
        <w:rPr>
          <w:sz w:val="20"/>
          <w:szCs w:val="20"/>
        </w:rPr>
      </w:pPr>
      <w:r>
        <w:rPr>
          <w:spacing w:val="3"/>
          <w:sz w:val="20"/>
          <w:szCs w:val="20"/>
        </w:rPr>
        <w:t>云服务器是通过云提供的一种基础云计算服务。客户无须提前</w:t>
      </w:r>
      <w:r>
        <w:rPr>
          <w:spacing w:val="2"/>
          <w:sz w:val="20"/>
          <w:szCs w:val="20"/>
        </w:rPr>
        <w:t>采购硬件设备，而是根据业</w:t>
      </w:r>
      <w:r>
        <w:rPr>
          <w:sz w:val="20"/>
          <w:szCs w:val="20"/>
        </w:rPr>
        <w:t xml:space="preserve">  务需要，随时创建所需数量的云服务器。在使用过程中，随着业务的扩展，可以随时扩容磁盘、</w:t>
      </w:r>
    </w:p>
    <w:p w14:paraId="2C76547D">
      <w:pPr>
        <w:spacing w:line="283" w:lineRule="auto"/>
        <w:rPr>
          <w:sz w:val="20"/>
          <w:szCs w:val="20"/>
        </w:rPr>
        <w:sectPr>
          <w:pgSz w:w="10290" w:h="13310"/>
          <w:pgMar w:top="400" w:right="574" w:bottom="400" w:left="1109" w:header="0" w:footer="0" w:gutter="0"/>
          <w:cols w:space="720" w:num="1"/>
        </w:sectPr>
      </w:pPr>
    </w:p>
    <w:p w14:paraId="76C5E264">
      <w:pPr>
        <w:pStyle w:val="2"/>
        <w:spacing w:before="68" w:line="219" w:lineRule="auto"/>
        <w:rPr>
          <w:sz w:val="20"/>
          <w:szCs w:val="20"/>
        </w:rPr>
      </w:pPr>
      <w:r>
        <w:rPr>
          <w:rFonts w:ascii="Times New Roman" w:hAnsi="Times New Roman" w:eastAsia="Times New Roman" w:cs="Times New Roman"/>
          <w:spacing w:val="-4"/>
          <w:sz w:val="20"/>
          <w:szCs w:val="20"/>
        </w:rPr>
        <w:t>132</w:t>
      </w:r>
      <w:r>
        <w:rPr>
          <w:rFonts w:ascii="Times New Roman" w:hAnsi="Times New Roman" w:eastAsia="Times New Roman" w:cs="Times New Roman"/>
          <w:spacing w:val="2"/>
          <w:sz w:val="20"/>
          <w:szCs w:val="20"/>
        </w:rPr>
        <w:t xml:space="preserve">             </w:t>
      </w:r>
      <w:r>
        <w:rPr>
          <w:spacing w:val="-4"/>
          <w:sz w:val="20"/>
          <w:szCs w:val="20"/>
        </w:rPr>
        <w:t>信息系统监理师教程(第2版)</w:t>
      </w:r>
    </w:p>
    <w:p w14:paraId="0F9C2DE7">
      <w:pPr>
        <w:spacing w:line="315" w:lineRule="auto"/>
        <w:rPr>
          <w:rFonts w:ascii="Arial"/>
          <w:sz w:val="21"/>
        </w:rPr>
      </w:pPr>
    </w:p>
    <w:p w14:paraId="40101843">
      <w:pPr>
        <w:pStyle w:val="2"/>
        <w:spacing w:before="65" w:line="281" w:lineRule="auto"/>
        <w:ind w:left="740" w:right="2430" w:hanging="400"/>
        <w:rPr>
          <w:sz w:val="20"/>
          <w:szCs w:val="20"/>
        </w:rPr>
      </w:pPr>
      <w:r>
        <w:rPr>
          <w:spacing w:val="-2"/>
          <w:sz w:val="20"/>
          <w:szCs w:val="20"/>
        </w:rPr>
        <w:t>增加带宽。如果不再需要云服务器，也能随时释放资源，节省费用。</w:t>
      </w:r>
      <w:r>
        <w:rPr>
          <w:sz w:val="20"/>
          <w:szCs w:val="20"/>
        </w:rPr>
        <w:t xml:space="preserve"> </w:t>
      </w:r>
      <w:r>
        <w:rPr>
          <w:spacing w:val="-3"/>
          <w:sz w:val="20"/>
          <w:szCs w:val="20"/>
        </w:rPr>
        <w:t>云服务器具有高可用性、稳定性与安全性、弹性的特点。</w:t>
      </w:r>
    </w:p>
    <w:p w14:paraId="0FC05A5C">
      <w:pPr>
        <w:pStyle w:val="2"/>
        <w:spacing w:before="29" w:line="273" w:lineRule="auto"/>
        <w:ind w:left="340" w:right="44" w:firstLine="400"/>
        <w:rPr>
          <w:sz w:val="20"/>
          <w:szCs w:val="20"/>
        </w:rPr>
      </w:pPr>
      <w:r>
        <w:rPr>
          <w:spacing w:val="6"/>
          <w:sz w:val="20"/>
          <w:szCs w:val="20"/>
        </w:rPr>
        <w:t>(1)高可用性。公有云会使用更严格的</w:t>
      </w:r>
      <w:r>
        <w:rPr>
          <w:rFonts w:ascii="Times New Roman" w:hAnsi="Times New Roman" w:eastAsia="Times New Roman" w:cs="Times New Roman"/>
          <w:sz w:val="20"/>
          <w:szCs w:val="20"/>
        </w:rPr>
        <w:t>IDC</w:t>
      </w:r>
      <w:r>
        <w:rPr>
          <w:rFonts w:ascii="Times New Roman" w:hAnsi="Times New Roman" w:eastAsia="Times New Roman" w:cs="Times New Roman"/>
          <w:spacing w:val="6"/>
          <w:sz w:val="20"/>
          <w:szCs w:val="20"/>
        </w:rPr>
        <w:t xml:space="preserve"> </w:t>
      </w:r>
      <w:r>
        <w:rPr>
          <w:spacing w:val="6"/>
          <w:sz w:val="20"/>
          <w:szCs w:val="20"/>
        </w:rPr>
        <w:t>标准、服务器准入标</w:t>
      </w:r>
      <w:r>
        <w:rPr>
          <w:spacing w:val="5"/>
          <w:sz w:val="20"/>
          <w:szCs w:val="20"/>
        </w:rPr>
        <w:t>准以及运维标准，以保证</w:t>
      </w:r>
      <w:r>
        <w:rPr>
          <w:sz w:val="20"/>
          <w:szCs w:val="20"/>
        </w:rPr>
        <w:t xml:space="preserve"> </w:t>
      </w:r>
      <w:r>
        <w:rPr>
          <w:spacing w:val="3"/>
          <w:sz w:val="20"/>
          <w:szCs w:val="20"/>
        </w:rPr>
        <w:t>云计算整个基础框架的高可用性、数据的可靠性以及云服务器的高可用性。公有</w:t>
      </w:r>
      <w:r>
        <w:rPr>
          <w:spacing w:val="2"/>
          <w:sz w:val="20"/>
          <w:szCs w:val="20"/>
        </w:rPr>
        <w:t>云所提供的每</w:t>
      </w:r>
      <w:r>
        <w:rPr>
          <w:sz w:val="20"/>
          <w:szCs w:val="20"/>
        </w:rPr>
        <w:t xml:space="preserve"> </w:t>
      </w:r>
      <w:r>
        <w:rPr>
          <w:spacing w:val="3"/>
          <w:sz w:val="20"/>
          <w:szCs w:val="20"/>
        </w:rPr>
        <w:t>个地域都存在多可用区。当客户需要更高的可用性时，可以利用公有云的多可用区搭建自己的</w:t>
      </w:r>
      <w:r>
        <w:rPr>
          <w:spacing w:val="1"/>
          <w:sz w:val="20"/>
          <w:szCs w:val="20"/>
        </w:rPr>
        <w:t xml:space="preserve"> </w:t>
      </w:r>
      <w:r>
        <w:rPr>
          <w:spacing w:val="3"/>
          <w:sz w:val="20"/>
          <w:szCs w:val="20"/>
        </w:rPr>
        <w:t>主备服务或者双活服务。在云的整个框架下，这些服务可以非常平滑地进行切</w:t>
      </w:r>
      <w:r>
        <w:rPr>
          <w:spacing w:val="2"/>
          <w:sz w:val="20"/>
          <w:szCs w:val="20"/>
        </w:rPr>
        <w:t>换。无论是两地</w:t>
      </w:r>
      <w:r>
        <w:rPr>
          <w:sz w:val="20"/>
          <w:szCs w:val="20"/>
        </w:rPr>
        <w:t xml:space="preserve"> </w:t>
      </w:r>
      <w:r>
        <w:rPr>
          <w:spacing w:val="-1"/>
          <w:sz w:val="20"/>
          <w:szCs w:val="20"/>
        </w:rPr>
        <w:t>三中心，还是电子商务以及视频服务等，都可以找到对应的行业解</w:t>
      </w:r>
      <w:r>
        <w:rPr>
          <w:spacing w:val="-2"/>
          <w:sz w:val="20"/>
          <w:szCs w:val="20"/>
        </w:rPr>
        <w:t>决方案。</w:t>
      </w:r>
    </w:p>
    <w:p w14:paraId="1E4B1D29">
      <w:pPr>
        <w:pStyle w:val="2"/>
        <w:spacing w:before="119" w:line="273" w:lineRule="auto"/>
        <w:ind w:left="340" w:firstLine="400"/>
        <w:rPr>
          <w:sz w:val="20"/>
          <w:szCs w:val="20"/>
        </w:rPr>
      </w:pPr>
      <w:r>
        <w:rPr>
          <w:spacing w:val="5"/>
          <w:sz w:val="20"/>
          <w:szCs w:val="20"/>
        </w:rPr>
        <w:t>(2)稳定性与安全性。公有云专有网络也更加稳定和安全。稳定性：业务搭建在专有网络</w:t>
      </w:r>
      <w:r>
        <w:rPr>
          <w:spacing w:val="18"/>
          <w:sz w:val="20"/>
          <w:szCs w:val="20"/>
        </w:rPr>
        <w:t xml:space="preserve"> </w:t>
      </w:r>
      <w:r>
        <w:rPr>
          <w:spacing w:val="3"/>
          <w:sz w:val="20"/>
          <w:szCs w:val="20"/>
        </w:rPr>
        <w:t>上，而网络的基础设施会不断进化，使客户每天都拥有更新的网络架构及更新的网络</w:t>
      </w:r>
      <w:r>
        <w:rPr>
          <w:spacing w:val="2"/>
          <w:sz w:val="20"/>
          <w:szCs w:val="20"/>
        </w:rPr>
        <w:t>功能，使</w:t>
      </w:r>
      <w:r>
        <w:rPr>
          <w:sz w:val="20"/>
          <w:szCs w:val="20"/>
        </w:rPr>
        <w:t xml:space="preserve"> </w:t>
      </w:r>
      <w:r>
        <w:rPr>
          <w:spacing w:val="4"/>
          <w:sz w:val="20"/>
          <w:szCs w:val="20"/>
        </w:rPr>
        <w:t>业务永远保持稳定的状态。专有网络允许客户自由地分割、配置和管理自己的网络。安全性：</w:t>
      </w:r>
      <w:r>
        <w:rPr>
          <w:spacing w:val="5"/>
          <w:sz w:val="20"/>
          <w:szCs w:val="20"/>
        </w:rPr>
        <w:t xml:space="preserve"> </w:t>
      </w:r>
      <w:r>
        <w:rPr>
          <w:spacing w:val="3"/>
          <w:sz w:val="20"/>
          <w:szCs w:val="20"/>
        </w:rPr>
        <w:t>面对互联网上不断的攻击行为，专有网络具备流量隔离及攻击隔离的功能。业务搭建在专有网</w:t>
      </w:r>
      <w:r>
        <w:rPr>
          <w:spacing w:val="5"/>
          <w:sz w:val="20"/>
          <w:szCs w:val="20"/>
        </w:rPr>
        <w:t xml:space="preserve"> </w:t>
      </w:r>
      <w:r>
        <w:rPr>
          <w:spacing w:val="-2"/>
          <w:sz w:val="20"/>
          <w:szCs w:val="20"/>
        </w:rPr>
        <w:t>络上，专有网络会为业务筑起第一道防线。</w:t>
      </w:r>
    </w:p>
    <w:p w14:paraId="6EF5C6EB">
      <w:pPr>
        <w:pStyle w:val="2"/>
        <w:spacing w:before="83" w:line="219" w:lineRule="auto"/>
        <w:ind w:left="740"/>
        <w:rPr>
          <w:sz w:val="20"/>
          <w:szCs w:val="20"/>
        </w:rPr>
      </w:pPr>
      <w:r>
        <w:rPr>
          <w:spacing w:val="1"/>
          <w:sz w:val="20"/>
          <w:szCs w:val="20"/>
        </w:rPr>
        <w:t>(3)弹性。云计算最大的优势就在于弹性，包括计算弹性、存储弹性和网络弹性。</w:t>
      </w:r>
    </w:p>
    <w:p w14:paraId="2A693C25">
      <w:pPr>
        <w:pStyle w:val="2"/>
        <w:spacing w:before="103" w:line="254" w:lineRule="auto"/>
        <w:ind w:left="340" w:right="51" w:firstLine="400"/>
        <w:rPr>
          <w:sz w:val="20"/>
          <w:szCs w:val="20"/>
        </w:rPr>
      </w:pPr>
      <w:r>
        <w:rPr>
          <w:spacing w:val="3"/>
          <w:sz w:val="20"/>
          <w:szCs w:val="20"/>
        </w:rPr>
        <w:t>云服务器提供了丰富的块存储产品类型，包括基于分布式存储架构的弹性块存储产品和基</w:t>
      </w:r>
      <w:r>
        <w:rPr>
          <w:sz w:val="20"/>
          <w:szCs w:val="20"/>
        </w:rPr>
        <w:t xml:space="preserve"> </w:t>
      </w:r>
      <w:r>
        <w:rPr>
          <w:spacing w:val="-5"/>
          <w:sz w:val="20"/>
          <w:szCs w:val="20"/>
        </w:rPr>
        <w:t>于物理机本地硬盘的本地存储产品。</w:t>
      </w:r>
    </w:p>
    <w:p w14:paraId="786D1449">
      <w:pPr>
        <w:pStyle w:val="2"/>
        <w:spacing w:before="126" w:line="221" w:lineRule="auto"/>
        <w:ind w:left="742"/>
        <w:rPr>
          <w:rFonts w:ascii="黑体" w:hAnsi="黑体" w:eastAsia="黑体" w:cs="黑体"/>
          <w:sz w:val="20"/>
          <w:szCs w:val="20"/>
        </w:rPr>
      </w:pPr>
      <w:r>
        <w:rPr>
          <w:b/>
          <w:bCs/>
          <w:color w:val="004ED6"/>
          <w:sz w:val="20"/>
          <w:szCs w:val="20"/>
        </w:rPr>
        <w:t>2.</w:t>
      </w:r>
      <w:r>
        <w:rPr>
          <w:rFonts w:ascii="黑体" w:hAnsi="黑体" w:eastAsia="黑体" w:cs="黑体"/>
          <w:b/>
          <w:bCs/>
          <w:color w:val="004ED6"/>
          <w:sz w:val="20"/>
          <w:szCs w:val="20"/>
        </w:rPr>
        <w:t>存储类产品</w:t>
      </w:r>
    </w:p>
    <w:p w14:paraId="7942031C">
      <w:pPr>
        <w:spacing w:before="234" w:line="227" w:lineRule="auto"/>
        <w:ind w:left="740"/>
        <w:rPr>
          <w:rFonts w:ascii="楷体" w:hAnsi="楷体" w:eastAsia="楷体" w:cs="楷体"/>
          <w:sz w:val="20"/>
          <w:szCs w:val="20"/>
        </w:rPr>
      </w:pPr>
      <w:r>
        <w:rPr>
          <w:rFonts w:ascii="楷体" w:hAnsi="楷体" w:eastAsia="楷体" w:cs="楷体"/>
          <w:spacing w:val="18"/>
          <w:sz w:val="20"/>
          <w:szCs w:val="20"/>
        </w:rPr>
        <w:t>1)块存储</w:t>
      </w:r>
    </w:p>
    <w:p w14:paraId="36B54D68">
      <w:pPr>
        <w:pStyle w:val="2"/>
        <w:spacing w:before="85" w:line="265" w:lineRule="auto"/>
        <w:ind w:left="340" w:right="42" w:firstLine="400"/>
        <w:rPr>
          <w:sz w:val="20"/>
          <w:szCs w:val="20"/>
        </w:rPr>
      </w:pPr>
      <w:r>
        <w:rPr>
          <w:spacing w:val="3"/>
          <w:sz w:val="20"/>
          <w:szCs w:val="20"/>
        </w:rPr>
        <w:t>块存储为云服务器提供高效可靠的存储设备，它是一种高可用、高可靠、低成本、可定制</w:t>
      </w:r>
      <w:r>
        <w:rPr>
          <w:spacing w:val="9"/>
          <w:sz w:val="20"/>
          <w:szCs w:val="20"/>
        </w:rPr>
        <w:t xml:space="preserve"> </w:t>
      </w:r>
      <w:r>
        <w:rPr>
          <w:spacing w:val="3"/>
          <w:sz w:val="20"/>
          <w:szCs w:val="20"/>
        </w:rPr>
        <w:t>化的块存储设备，可以作为云服务器的独立可扩展硬盘使用。块存储提供数据块</w:t>
      </w:r>
      <w:r>
        <w:rPr>
          <w:spacing w:val="2"/>
          <w:sz w:val="20"/>
          <w:szCs w:val="20"/>
        </w:rPr>
        <w:t>级别的数据存</w:t>
      </w:r>
      <w:r>
        <w:rPr>
          <w:sz w:val="20"/>
          <w:szCs w:val="20"/>
        </w:rPr>
        <w:t xml:space="preserve"> </w:t>
      </w:r>
      <w:r>
        <w:rPr>
          <w:spacing w:val="-1"/>
          <w:sz w:val="20"/>
          <w:szCs w:val="20"/>
        </w:rPr>
        <w:t>储，为虚拟机</w:t>
      </w:r>
      <w:r>
        <w:rPr>
          <w:spacing w:val="-25"/>
          <w:sz w:val="20"/>
          <w:szCs w:val="20"/>
        </w:rPr>
        <w:t xml:space="preserve"> </w:t>
      </w:r>
      <w:r>
        <w:rPr>
          <w:rFonts w:ascii="Times New Roman" w:hAnsi="Times New Roman" w:eastAsia="Times New Roman" w:cs="Times New Roman"/>
          <w:spacing w:val="-1"/>
          <w:sz w:val="20"/>
          <w:szCs w:val="20"/>
        </w:rPr>
        <w:t xml:space="preserve">(Virtual      Machine,VM) </w:t>
      </w:r>
      <w:r>
        <w:rPr>
          <w:spacing w:val="-1"/>
          <w:sz w:val="20"/>
          <w:szCs w:val="20"/>
        </w:rPr>
        <w:t>提供数据可靠性保证。</w:t>
      </w:r>
    </w:p>
    <w:p w14:paraId="0F55B321">
      <w:pPr>
        <w:pStyle w:val="2"/>
        <w:spacing w:before="69" w:line="219" w:lineRule="auto"/>
        <w:ind w:left="740"/>
        <w:rPr>
          <w:sz w:val="20"/>
          <w:szCs w:val="20"/>
        </w:rPr>
      </w:pPr>
      <w:r>
        <w:rPr>
          <w:spacing w:val="-5"/>
          <w:sz w:val="20"/>
          <w:szCs w:val="20"/>
        </w:rPr>
        <w:t>块存储具有如下功能特点：</w:t>
      </w:r>
    </w:p>
    <w:p w14:paraId="3E521AD7">
      <w:pPr>
        <w:pStyle w:val="2"/>
        <w:spacing w:before="92" w:line="253" w:lineRule="auto"/>
        <w:ind w:left="1019" w:right="51" w:hanging="279"/>
        <w:rPr>
          <w:sz w:val="20"/>
          <w:szCs w:val="20"/>
        </w:rPr>
      </w:pPr>
      <w:r>
        <w:rPr>
          <w:spacing w:val="3"/>
          <w:sz w:val="20"/>
          <w:szCs w:val="20"/>
        </w:rPr>
        <w:t>●弹性可扩展。可以自由配置存储容量，按需扩容，以满足业务数据扩容需求，灵活应对</w:t>
      </w:r>
      <w:r>
        <w:rPr>
          <w:sz w:val="20"/>
          <w:szCs w:val="20"/>
        </w:rPr>
        <w:t xml:space="preserve"> </w:t>
      </w:r>
      <w:r>
        <w:rPr>
          <w:rFonts w:ascii="Times New Roman" w:hAnsi="Times New Roman" w:eastAsia="Times New Roman" w:cs="Times New Roman"/>
          <w:spacing w:val="-2"/>
          <w:sz w:val="20"/>
          <w:szCs w:val="20"/>
        </w:rPr>
        <w:t xml:space="preserve">TB/PB </w:t>
      </w:r>
      <w:r>
        <w:rPr>
          <w:spacing w:val="-2"/>
          <w:sz w:val="20"/>
          <w:szCs w:val="20"/>
        </w:rPr>
        <w:t>级数据的大数据处理场景。</w:t>
      </w:r>
    </w:p>
    <w:p w14:paraId="7A8FE10F">
      <w:pPr>
        <w:pStyle w:val="2"/>
        <w:spacing w:before="100" w:line="281" w:lineRule="auto"/>
        <w:ind w:left="1019" w:hanging="279"/>
        <w:rPr>
          <w:sz w:val="20"/>
          <w:szCs w:val="20"/>
        </w:rPr>
      </w:pPr>
      <w:r>
        <w:rPr>
          <w:spacing w:val="5"/>
          <w:sz w:val="20"/>
          <w:szCs w:val="20"/>
        </w:rPr>
        <w:t>●多存储类型。提供普通、高性能和固态硬盘(</w:t>
      </w:r>
      <w:r>
        <w:rPr>
          <w:sz w:val="20"/>
          <w:szCs w:val="20"/>
        </w:rPr>
        <w:t>Solid</w:t>
      </w:r>
      <w:r>
        <w:rPr>
          <w:spacing w:val="5"/>
          <w:sz w:val="20"/>
          <w:szCs w:val="20"/>
        </w:rPr>
        <w:t xml:space="preserve"> </w:t>
      </w:r>
      <w:r>
        <w:rPr>
          <w:sz w:val="20"/>
          <w:szCs w:val="20"/>
        </w:rPr>
        <w:t>State</w:t>
      </w:r>
      <w:r>
        <w:rPr>
          <w:spacing w:val="5"/>
          <w:sz w:val="20"/>
          <w:szCs w:val="20"/>
        </w:rPr>
        <w:t xml:space="preserve"> </w:t>
      </w:r>
      <w:r>
        <w:rPr>
          <w:sz w:val="20"/>
          <w:szCs w:val="20"/>
        </w:rPr>
        <w:t>Disk</w:t>
      </w:r>
      <w:r>
        <w:rPr>
          <w:spacing w:val="5"/>
          <w:sz w:val="20"/>
          <w:szCs w:val="20"/>
        </w:rPr>
        <w:t>/</w:t>
      </w:r>
      <w:r>
        <w:rPr>
          <w:sz w:val="20"/>
          <w:szCs w:val="20"/>
        </w:rPr>
        <w:t>Drive</w:t>
      </w:r>
      <w:r>
        <w:rPr>
          <w:spacing w:val="5"/>
          <w:sz w:val="20"/>
          <w:szCs w:val="20"/>
        </w:rPr>
        <w:t>,</w:t>
      </w:r>
      <w:r>
        <w:rPr>
          <w:sz w:val="20"/>
          <w:szCs w:val="20"/>
        </w:rPr>
        <w:t>SSD</w:t>
      </w:r>
      <w:r>
        <w:rPr>
          <w:spacing w:val="5"/>
          <w:sz w:val="20"/>
          <w:szCs w:val="20"/>
        </w:rPr>
        <w:t>)三种类型，</w:t>
      </w:r>
      <w:r>
        <w:rPr>
          <w:spacing w:val="14"/>
          <w:sz w:val="20"/>
          <w:szCs w:val="20"/>
        </w:rPr>
        <w:t xml:space="preserve"> </w:t>
      </w:r>
      <w:r>
        <w:rPr>
          <w:spacing w:val="6"/>
          <w:sz w:val="20"/>
          <w:szCs w:val="20"/>
        </w:rPr>
        <w:t>满足业务不同性能要求，其中</w:t>
      </w:r>
      <w:r>
        <w:rPr>
          <w:spacing w:val="-39"/>
          <w:sz w:val="20"/>
          <w:szCs w:val="20"/>
        </w:rPr>
        <w:t xml:space="preserve"> </w:t>
      </w:r>
      <w:r>
        <w:rPr>
          <w:rFonts w:ascii="Times New Roman" w:hAnsi="Times New Roman" w:eastAsia="Times New Roman" w:cs="Times New Roman"/>
          <w:sz w:val="20"/>
          <w:szCs w:val="20"/>
        </w:rPr>
        <w:t>SSD</w:t>
      </w:r>
      <w:r>
        <w:rPr>
          <w:rFonts w:ascii="Times New Roman" w:hAnsi="Times New Roman" w:eastAsia="Times New Roman" w:cs="Times New Roman"/>
          <w:spacing w:val="6"/>
          <w:sz w:val="20"/>
          <w:szCs w:val="20"/>
        </w:rPr>
        <w:t xml:space="preserve"> </w:t>
      </w:r>
      <w:r>
        <w:rPr>
          <w:spacing w:val="6"/>
          <w:sz w:val="20"/>
          <w:szCs w:val="20"/>
        </w:rPr>
        <w:t>块存储采用非易失性存储器</w:t>
      </w:r>
      <w:r>
        <w:rPr>
          <w:spacing w:val="-39"/>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Non</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Volatile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Memory  Express</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NVMe</w:t>
      </w:r>
      <w:r>
        <w:rPr>
          <w:rFonts w:ascii="Times New Roman" w:hAnsi="Times New Roman" w:eastAsia="Times New Roman" w:cs="Times New Roman"/>
          <w:spacing w:val="9"/>
          <w:sz w:val="20"/>
          <w:szCs w:val="20"/>
        </w:rPr>
        <w:t xml:space="preserve">)     </w:t>
      </w:r>
      <w:r>
        <w:rPr>
          <w:spacing w:val="9"/>
          <w:sz w:val="20"/>
          <w:szCs w:val="20"/>
        </w:rPr>
        <w:t>标准高性能</w:t>
      </w:r>
      <w:r>
        <w:rPr>
          <w:rFonts w:ascii="Times New Roman" w:hAnsi="Times New Roman" w:eastAsia="Times New Roman" w:cs="Times New Roman"/>
          <w:sz w:val="20"/>
          <w:szCs w:val="20"/>
        </w:rPr>
        <w:t>SSD</w:t>
      </w:r>
      <w:r>
        <w:rPr>
          <w:rFonts w:ascii="Times New Roman" w:hAnsi="Times New Roman" w:eastAsia="Times New Roman" w:cs="Times New Roman"/>
          <w:spacing w:val="9"/>
          <w:sz w:val="20"/>
          <w:szCs w:val="20"/>
        </w:rPr>
        <w:t xml:space="preserve">,   </w:t>
      </w:r>
      <w:r>
        <w:rPr>
          <w:spacing w:val="9"/>
          <w:sz w:val="20"/>
          <w:szCs w:val="20"/>
        </w:rPr>
        <w:t>单盘最大提供24000的每秒读写操作次数</w:t>
      </w:r>
      <w:r>
        <w:rPr>
          <w:spacing w:val="-54"/>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Input</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 xml:space="preserve">    Output</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z w:val="20"/>
          <w:szCs w:val="20"/>
        </w:rPr>
        <w:t>Operations</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z w:val="20"/>
          <w:szCs w:val="20"/>
        </w:rPr>
        <w:t>Per    Second,IOPS),260MB/s</w:t>
      </w:r>
      <w:r>
        <w:rPr>
          <w:sz w:val="20"/>
          <w:szCs w:val="20"/>
        </w:rPr>
        <w:t>的吞吐率，能够轻松支撑业务侧高吞吐</w:t>
      </w:r>
      <w:r>
        <w:rPr>
          <w:spacing w:val="1"/>
          <w:sz w:val="20"/>
          <w:szCs w:val="20"/>
        </w:rPr>
        <w:t xml:space="preserve"> </w:t>
      </w:r>
      <w:r>
        <w:rPr>
          <w:spacing w:val="6"/>
          <w:sz w:val="20"/>
          <w:szCs w:val="20"/>
        </w:rPr>
        <w:t>量</w:t>
      </w:r>
      <w:r>
        <w:rPr>
          <w:sz w:val="20"/>
          <w:szCs w:val="20"/>
        </w:rPr>
        <w:t>DB</w:t>
      </w:r>
      <w:r>
        <w:rPr>
          <w:spacing w:val="35"/>
          <w:sz w:val="20"/>
          <w:szCs w:val="20"/>
        </w:rPr>
        <w:t xml:space="preserve"> </w:t>
      </w:r>
      <w:r>
        <w:rPr>
          <w:spacing w:val="6"/>
          <w:sz w:val="20"/>
          <w:szCs w:val="20"/>
        </w:rPr>
        <w:t>访问。</w:t>
      </w:r>
    </w:p>
    <w:p w14:paraId="2AA08289">
      <w:pPr>
        <w:pStyle w:val="2"/>
        <w:spacing w:before="80" w:line="264" w:lineRule="auto"/>
        <w:ind w:left="1019" w:right="44" w:hanging="279"/>
        <w:rPr>
          <w:sz w:val="20"/>
          <w:szCs w:val="20"/>
        </w:rPr>
      </w:pPr>
      <w:r>
        <w:rPr>
          <w:spacing w:val="3"/>
          <w:sz w:val="20"/>
          <w:szCs w:val="20"/>
        </w:rPr>
        <w:t>●稳定可靠。在每个存储写入请求返回给用户之前，就已确保数据被成功写入跨机架的存</w:t>
      </w:r>
      <w:r>
        <w:rPr>
          <w:sz w:val="20"/>
          <w:szCs w:val="20"/>
        </w:rPr>
        <w:t xml:space="preserve"> </w:t>
      </w:r>
      <w:r>
        <w:rPr>
          <w:spacing w:val="1"/>
          <w:sz w:val="20"/>
          <w:szCs w:val="20"/>
        </w:rPr>
        <w:t>储节点中，能够保证任何一个副本发生故障时可快速进行数据迁移恢复，以保护客户的</w:t>
      </w:r>
      <w:r>
        <w:rPr>
          <w:spacing w:val="6"/>
          <w:sz w:val="20"/>
          <w:szCs w:val="20"/>
        </w:rPr>
        <w:t xml:space="preserve"> </w:t>
      </w:r>
      <w:r>
        <w:rPr>
          <w:spacing w:val="-3"/>
          <w:sz w:val="20"/>
          <w:szCs w:val="20"/>
        </w:rPr>
        <w:t>应用程序免受组件故障的威胁。</w:t>
      </w:r>
    </w:p>
    <w:p w14:paraId="2D2C3E9C">
      <w:pPr>
        <w:pStyle w:val="2"/>
        <w:spacing w:before="112" w:line="243" w:lineRule="auto"/>
        <w:ind w:left="1019" w:right="53" w:hanging="279"/>
        <w:rPr>
          <w:sz w:val="20"/>
          <w:szCs w:val="20"/>
        </w:rPr>
      </w:pPr>
      <w:r>
        <w:rPr>
          <w:spacing w:val="3"/>
          <w:sz w:val="20"/>
          <w:szCs w:val="20"/>
        </w:rPr>
        <w:t>●简单易用。通过简单的创建、挂载、删除等操作即可管理并使用块存储，节省人工管理</w:t>
      </w:r>
      <w:r>
        <w:rPr>
          <w:sz w:val="20"/>
          <w:szCs w:val="20"/>
        </w:rPr>
        <w:t xml:space="preserve"> </w:t>
      </w:r>
      <w:r>
        <w:rPr>
          <w:spacing w:val="-7"/>
          <w:sz w:val="20"/>
          <w:szCs w:val="20"/>
        </w:rPr>
        <w:t>部署成本。</w:t>
      </w:r>
    </w:p>
    <w:p w14:paraId="08ADC518">
      <w:pPr>
        <w:pStyle w:val="2"/>
        <w:spacing w:before="113" w:line="244" w:lineRule="auto"/>
        <w:ind w:left="1019" w:right="52" w:hanging="279"/>
        <w:rPr>
          <w:sz w:val="20"/>
          <w:szCs w:val="20"/>
        </w:rPr>
      </w:pPr>
      <w:r>
        <w:rPr>
          <w:spacing w:val="3"/>
          <w:sz w:val="20"/>
          <w:szCs w:val="20"/>
        </w:rPr>
        <w:t>●快照备份。客户可以通过拍摄存储块的时间点快照来备份数据，防止因篡改和误删导致</w:t>
      </w:r>
      <w:r>
        <w:rPr>
          <w:sz w:val="20"/>
          <w:szCs w:val="20"/>
        </w:rPr>
        <w:t xml:space="preserve"> </w:t>
      </w:r>
      <w:r>
        <w:rPr>
          <w:spacing w:val="-3"/>
          <w:sz w:val="20"/>
          <w:szCs w:val="20"/>
        </w:rPr>
        <w:t>的数据丢失，保证在业务故障时能够快速回退。</w:t>
      </w:r>
    </w:p>
    <w:p w14:paraId="02AC3AAB">
      <w:pPr>
        <w:spacing w:line="244" w:lineRule="auto"/>
        <w:rPr>
          <w:sz w:val="20"/>
          <w:szCs w:val="20"/>
        </w:rPr>
        <w:sectPr>
          <w:pgSz w:w="10300" w:h="13390"/>
          <w:pgMar w:top="400" w:right="1089" w:bottom="400" w:left="499" w:header="0" w:footer="0" w:gutter="0"/>
          <w:cols w:space="720" w:num="1"/>
        </w:sectPr>
      </w:pPr>
    </w:p>
    <w:p w14:paraId="06EC09A9">
      <w:pPr>
        <w:pStyle w:val="2"/>
        <w:jc w:val="right"/>
        <w:rPr>
          <w:rFonts w:ascii="Times New Roman" w:hAnsi="Times New Roman" w:eastAsia="Times New Roman" w:cs="Times New Roman"/>
          <w:sz w:val="19"/>
          <w:szCs w:val="19"/>
        </w:rPr>
      </w:pPr>
      <w:r>
        <w:rPr>
          <w:spacing w:val="4"/>
          <w:sz w:val="19"/>
          <w:szCs w:val="19"/>
        </w:rPr>
        <w:t>第4章</w:t>
      </w:r>
      <w:r>
        <w:rPr>
          <w:spacing w:val="29"/>
          <w:sz w:val="19"/>
          <w:szCs w:val="19"/>
        </w:rPr>
        <w:t xml:space="preserve"> </w:t>
      </w:r>
      <w:r>
        <w:rPr>
          <w:spacing w:val="4"/>
          <w:sz w:val="19"/>
          <w:szCs w:val="19"/>
        </w:rPr>
        <w:t xml:space="preserve">信息资源系统 </w:t>
      </w:r>
      <w:r>
        <w:rPr>
          <w:position w:val="-9"/>
          <w:sz w:val="19"/>
          <w:szCs w:val="19"/>
        </w:rPr>
        <w:drawing>
          <wp:inline distT="0" distB="0" distL="0" distR="0">
            <wp:extent cx="323215" cy="24130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09"/>
                    <a:stretch>
                      <a:fillRect/>
                    </a:stretch>
                  </pic:blipFill>
                  <pic:spPr>
                    <a:xfrm>
                      <a:off x="0" y="0"/>
                      <a:ext cx="323832" cy="241312"/>
                    </a:xfrm>
                    <a:prstGeom prst="rect">
                      <a:avLst/>
                    </a:prstGeom>
                  </pic:spPr>
                </pic:pic>
              </a:graphicData>
            </a:graphic>
          </wp:inline>
        </w:drawing>
      </w:r>
      <w:r>
        <w:rPr>
          <w:rFonts w:ascii="Times New Roman" w:hAnsi="Times New Roman" w:eastAsia="Times New Roman" w:cs="Times New Roman"/>
          <w:spacing w:val="4"/>
          <w:sz w:val="19"/>
          <w:szCs w:val="19"/>
        </w:rPr>
        <w:t>133</w:t>
      </w:r>
    </w:p>
    <w:p w14:paraId="4B711121">
      <w:pPr>
        <w:spacing w:line="284" w:lineRule="auto"/>
        <w:rPr>
          <w:rFonts w:ascii="Arial"/>
          <w:sz w:val="21"/>
        </w:rPr>
      </w:pPr>
    </w:p>
    <w:p w14:paraId="50FCAF89">
      <w:pPr>
        <w:pStyle w:val="2"/>
        <w:spacing w:before="62" w:line="219" w:lineRule="auto"/>
        <w:ind w:left="389"/>
        <w:rPr>
          <w:sz w:val="19"/>
          <w:szCs w:val="19"/>
        </w:rPr>
      </w:pPr>
      <w:r>
        <w:rPr>
          <w:spacing w:val="15"/>
          <w:sz w:val="19"/>
          <w:szCs w:val="19"/>
        </w:rPr>
        <w:t>●分类。块存储的分类如表4-1所示。</w:t>
      </w:r>
    </w:p>
    <w:p w14:paraId="62335682">
      <w:pPr>
        <w:spacing w:before="159" w:line="221" w:lineRule="auto"/>
        <w:ind w:left="3292"/>
        <w:rPr>
          <w:rFonts w:ascii="黑体" w:hAnsi="黑体" w:eastAsia="黑体" w:cs="黑体"/>
          <w:sz w:val="19"/>
          <w:szCs w:val="19"/>
        </w:rPr>
      </w:pPr>
      <w:bookmarkStart w:id="550" w:name="bookmark536"/>
      <w:bookmarkEnd w:id="550"/>
      <w:r>
        <w:rPr>
          <w:rFonts w:ascii="黑体" w:hAnsi="黑体" w:eastAsia="黑体" w:cs="黑体"/>
          <w:b/>
          <w:bCs/>
          <w:spacing w:val="-7"/>
          <w:sz w:val="19"/>
          <w:szCs w:val="19"/>
        </w:rPr>
        <w:t>表4-1</w:t>
      </w:r>
      <w:r>
        <w:rPr>
          <w:rFonts w:ascii="黑体" w:hAnsi="黑体" w:eastAsia="黑体" w:cs="黑体"/>
          <w:spacing w:val="-7"/>
          <w:sz w:val="19"/>
          <w:szCs w:val="19"/>
        </w:rPr>
        <w:t xml:space="preserve">  </w:t>
      </w:r>
      <w:r>
        <w:rPr>
          <w:rFonts w:ascii="黑体" w:hAnsi="黑体" w:eastAsia="黑体" w:cs="黑体"/>
          <w:b/>
          <w:bCs/>
          <w:spacing w:val="-7"/>
          <w:sz w:val="19"/>
          <w:szCs w:val="19"/>
        </w:rPr>
        <w:t>块存储的分类</w:t>
      </w:r>
    </w:p>
    <w:p w14:paraId="33FFB584">
      <w:pPr>
        <w:spacing w:line="124" w:lineRule="exact"/>
      </w:pPr>
    </w:p>
    <w:tbl>
      <w:tblPr>
        <w:tblStyle w:val="5"/>
        <w:tblW w:w="8319"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9"/>
        <w:gridCol w:w="2380"/>
        <w:gridCol w:w="2380"/>
        <w:gridCol w:w="2390"/>
      </w:tblGrid>
      <w:tr w14:paraId="0F8B4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1169" w:type="dxa"/>
            <w:vMerge w:val="restart"/>
            <w:tcBorders>
              <w:left w:val="nil"/>
              <w:bottom w:val="nil"/>
            </w:tcBorders>
            <w:vAlign w:val="top"/>
          </w:tcPr>
          <w:p w14:paraId="25476D61">
            <w:pPr>
              <w:spacing w:line="253" w:lineRule="auto"/>
              <w:rPr>
                <w:rFonts w:ascii="Arial"/>
                <w:sz w:val="21"/>
              </w:rPr>
            </w:pPr>
          </w:p>
          <w:p w14:paraId="4BBC1550">
            <w:pPr>
              <w:spacing w:line="253" w:lineRule="auto"/>
              <w:rPr>
                <w:rFonts w:ascii="Arial"/>
                <w:sz w:val="21"/>
              </w:rPr>
            </w:pPr>
          </w:p>
          <w:p w14:paraId="2F29E60E">
            <w:pPr>
              <w:spacing w:line="253" w:lineRule="auto"/>
              <w:rPr>
                <w:rFonts w:ascii="Arial"/>
                <w:sz w:val="21"/>
              </w:rPr>
            </w:pPr>
          </w:p>
          <w:p w14:paraId="6F7C22F0">
            <w:pPr>
              <w:spacing w:line="253" w:lineRule="auto"/>
              <w:rPr>
                <w:rFonts w:ascii="Arial"/>
                <w:sz w:val="21"/>
              </w:rPr>
            </w:pPr>
          </w:p>
          <w:p w14:paraId="3599DABB">
            <w:pPr>
              <w:pStyle w:val="6"/>
              <w:spacing w:before="61" w:line="219" w:lineRule="auto"/>
              <w:ind w:left="312"/>
            </w:pPr>
            <w:r>
              <w:rPr>
                <w:b/>
                <w:bCs/>
                <w:spacing w:val="-4"/>
              </w:rPr>
              <w:t>块存储</w:t>
            </w:r>
          </w:p>
        </w:tc>
        <w:tc>
          <w:tcPr>
            <w:tcW w:w="2380" w:type="dxa"/>
            <w:vMerge w:val="restart"/>
            <w:tcBorders>
              <w:bottom w:val="nil"/>
            </w:tcBorders>
            <w:vAlign w:val="top"/>
          </w:tcPr>
          <w:p w14:paraId="77E537BC">
            <w:pPr>
              <w:spacing w:line="357" w:lineRule="auto"/>
              <w:rPr>
                <w:rFonts w:ascii="Arial"/>
                <w:sz w:val="21"/>
              </w:rPr>
            </w:pPr>
          </w:p>
          <w:p w14:paraId="4EC228A5">
            <w:pPr>
              <w:spacing w:line="358" w:lineRule="auto"/>
              <w:rPr>
                <w:rFonts w:ascii="Arial"/>
                <w:sz w:val="21"/>
              </w:rPr>
            </w:pPr>
          </w:p>
          <w:p w14:paraId="34F2E209">
            <w:pPr>
              <w:pStyle w:val="6"/>
              <w:spacing w:before="62" w:line="219" w:lineRule="auto"/>
              <w:ind w:left="705"/>
            </w:pPr>
            <w:r>
              <w:rPr>
                <w:spacing w:val="-2"/>
              </w:rPr>
              <w:t>弹性块存储</w:t>
            </w:r>
          </w:p>
        </w:tc>
        <w:tc>
          <w:tcPr>
            <w:tcW w:w="2380" w:type="dxa"/>
            <w:vMerge w:val="restart"/>
            <w:tcBorders>
              <w:bottom w:val="nil"/>
            </w:tcBorders>
            <w:vAlign w:val="top"/>
          </w:tcPr>
          <w:p w14:paraId="39927EBA">
            <w:pPr>
              <w:pStyle w:val="6"/>
              <w:spacing w:before="252" w:line="219" w:lineRule="auto"/>
              <w:ind w:left="705"/>
            </w:pPr>
            <w:r>
              <w:rPr>
                <w:spacing w:val="-2"/>
              </w:rPr>
              <w:t>共享块存储</w:t>
            </w:r>
          </w:p>
        </w:tc>
        <w:tc>
          <w:tcPr>
            <w:tcW w:w="2390" w:type="dxa"/>
            <w:tcBorders>
              <w:right w:val="nil"/>
            </w:tcBorders>
            <w:vAlign w:val="top"/>
          </w:tcPr>
          <w:p w14:paraId="532C7A80">
            <w:pPr>
              <w:pStyle w:val="6"/>
              <w:spacing w:before="82" w:line="219" w:lineRule="auto"/>
              <w:ind w:left="755"/>
            </w:pPr>
            <w:r>
              <w:t>SSD</w:t>
            </w:r>
            <w:r>
              <w:rPr>
                <w:spacing w:val="4"/>
              </w:rPr>
              <w:t>块存储</w:t>
            </w:r>
          </w:p>
        </w:tc>
      </w:tr>
      <w:tr w14:paraId="29619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69" w:type="dxa"/>
            <w:vMerge w:val="continue"/>
            <w:tcBorders>
              <w:top w:val="nil"/>
              <w:left w:val="nil"/>
              <w:bottom w:val="nil"/>
            </w:tcBorders>
            <w:vAlign w:val="top"/>
          </w:tcPr>
          <w:p w14:paraId="26A746E4">
            <w:pPr>
              <w:rPr>
                <w:rFonts w:ascii="Arial"/>
                <w:sz w:val="21"/>
              </w:rPr>
            </w:pPr>
          </w:p>
        </w:tc>
        <w:tc>
          <w:tcPr>
            <w:tcW w:w="2380" w:type="dxa"/>
            <w:vMerge w:val="continue"/>
            <w:tcBorders>
              <w:top w:val="nil"/>
              <w:bottom w:val="nil"/>
            </w:tcBorders>
            <w:vAlign w:val="top"/>
          </w:tcPr>
          <w:p w14:paraId="20E5B825">
            <w:pPr>
              <w:rPr>
                <w:rFonts w:ascii="Arial"/>
                <w:sz w:val="21"/>
              </w:rPr>
            </w:pPr>
          </w:p>
        </w:tc>
        <w:tc>
          <w:tcPr>
            <w:tcW w:w="2380" w:type="dxa"/>
            <w:vMerge w:val="continue"/>
            <w:tcBorders>
              <w:top w:val="nil"/>
            </w:tcBorders>
            <w:vAlign w:val="top"/>
          </w:tcPr>
          <w:p w14:paraId="3FBC95A6">
            <w:pPr>
              <w:rPr>
                <w:rFonts w:ascii="Arial"/>
                <w:sz w:val="21"/>
              </w:rPr>
            </w:pPr>
          </w:p>
        </w:tc>
        <w:tc>
          <w:tcPr>
            <w:tcW w:w="2390" w:type="dxa"/>
            <w:tcBorders>
              <w:right w:val="nil"/>
            </w:tcBorders>
            <w:vAlign w:val="top"/>
          </w:tcPr>
          <w:p w14:paraId="288DD992">
            <w:pPr>
              <w:pStyle w:val="6"/>
              <w:spacing w:before="69" w:line="219" w:lineRule="auto"/>
              <w:ind w:left="716"/>
            </w:pPr>
            <w:r>
              <w:rPr>
                <w:spacing w:val="1"/>
              </w:rPr>
              <w:t>高效块存储</w:t>
            </w:r>
          </w:p>
        </w:tc>
      </w:tr>
      <w:tr w14:paraId="5F8FA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169" w:type="dxa"/>
            <w:vMerge w:val="continue"/>
            <w:tcBorders>
              <w:top w:val="nil"/>
              <w:left w:val="nil"/>
              <w:bottom w:val="nil"/>
            </w:tcBorders>
            <w:vAlign w:val="top"/>
          </w:tcPr>
          <w:p w14:paraId="4D673E0B">
            <w:pPr>
              <w:rPr>
                <w:rFonts w:ascii="Arial"/>
                <w:sz w:val="21"/>
              </w:rPr>
            </w:pPr>
          </w:p>
        </w:tc>
        <w:tc>
          <w:tcPr>
            <w:tcW w:w="2380" w:type="dxa"/>
            <w:vMerge w:val="continue"/>
            <w:tcBorders>
              <w:top w:val="nil"/>
              <w:bottom w:val="nil"/>
            </w:tcBorders>
            <w:vAlign w:val="top"/>
          </w:tcPr>
          <w:p w14:paraId="0101CF45">
            <w:pPr>
              <w:rPr>
                <w:rFonts w:ascii="Arial"/>
                <w:sz w:val="21"/>
              </w:rPr>
            </w:pPr>
          </w:p>
        </w:tc>
        <w:tc>
          <w:tcPr>
            <w:tcW w:w="2380" w:type="dxa"/>
            <w:vMerge w:val="restart"/>
            <w:tcBorders>
              <w:bottom w:val="nil"/>
            </w:tcBorders>
            <w:vAlign w:val="top"/>
          </w:tcPr>
          <w:p w14:paraId="7A058D27">
            <w:pPr>
              <w:spacing w:line="373" w:lineRule="auto"/>
              <w:rPr>
                <w:rFonts w:ascii="Arial"/>
                <w:sz w:val="21"/>
              </w:rPr>
            </w:pPr>
          </w:p>
          <w:p w14:paraId="39894BE4">
            <w:pPr>
              <w:pStyle w:val="6"/>
              <w:spacing w:before="62" w:line="227" w:lineRule="auto"/>
              <w:ind w:left="995"/>
            </w:pPr>
            <w:r>
              <w:rPr>
                <w:spacing w:val="4"/>
              </w:rPr>
              <w:t>云盘</w:t>
            </w:r>
          </w:p>
        </w:tc>
        <w:tc>
          <w:tcPr>
            <w:tcW w:w="2390" w:type="dxa"/>
            <w:tcBorders>
              <w:right w:val="nil"/>
            </w:tcBorders>
            <w:vAlign w:val="top"/>
          </w:tcPr>
          <w:p w14:paraId="1579941B">
            <w:pPr>
              <w:pStyle w:val="6"/>
              <w:spacing w:before="87" w:line="227" w:lineRule="auto"/>
              <w:ind w:left="855"/>
            </w:pPr>
            <w:r>
              <w:rPr>
                <w:spacing w:val="-2"/>
              </w:rPr>
              <w:t>SSD云盘</w:t>
            </w:r>
          </w:p>
        </w:tc>
      </w:tr>
      <w:tr w14:paraId="76470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169" w:type="dxa"/>
            <w:vMerge w:val="continue"/>
            <w:tcBorders>
              <w:top w:val="nil"/>
              <w:left w:val="nil"/>
              <w:bottom w:val="nil"/>
            </w:tcBorders>
            <w:vAlign w:val="top"/>
          </w:tcPr>
          <w:p w14:paraId="785FC7DB">
            <w:pPr>
              <w:rPr>
                <w:rFonts w:ascii="Arial"/>
                <w:sz w:val="21"/>
              </w:rPr>
            </w:pPr>
          </w:p>
        </w:tc>
        <w:tc>
          <w:tcPr>
            <w:tcW w:w="2380" w:type="dxa"/>
            <w:vMerge w:val="continue"/>
            <w:tcBorders>
              <w:top w:val="nil"/>
              <w:bottom w:val="nil"/>
            </w:tcBorders>
            <w:vAlign w:val="top"/>
          </w:tcPr>
          <w:p w14:paraId="3352D30D">
            <w:pPr>
              <w:rPr>
                <w:rFonts w:ascii="Arial"/>
                <w:sz w:val="21"/>
              </w:rPr>
            </w:pPr>
          </w:p>
        </w:tc>
        <w:tc>
          <w:tcPr>
            <w:tcW w:w="2380" w:type="dxa"/>
            <w:vMerge w:val="continue"/>
            <w:tcBorders>
              <w:top w:val="nil"/>
              <w:bottom w:val="nil"/>
            </w:tcBorders>
            <w:vAlign w:val="top"/>
          </w:tcPr>
          <w:p w14:paraId="585FFBEE">
            <w:pPr>
              <w:rPr>
                <w:rFonts w:ascii="Arial"/>
                <w:sz w:val="21"/>
              </w:rPr>
            </w:pPr>
          </w:p>
        </w:tc>
        <w:tc>
          <w:tcPr>
            <w:tcW w:w="2390" w:type="dxa"/>
            <w:tcBorders>
              <w:right w:val="nil"/>
            </w:tcBorders>
            <w:vAlign w:val="top"/>
          </w:tcPr>
          <w:p w14:paraId="0452813B">
            <w:pPr>
              <w:pStyle w:val="6"/>
              <w:spacing w:before="82" w:line="219" w:lineRule="auto"/>
              <w:ind w:left="805"/>
            </w:pPr>
            <w:r>
              <w:rPr>
                <w:spacing w:val="2"/>
              </w:rPr>
              <w:t>高效云盘</w:t>
            </w:r>
          </w:p>
        </w:tc>
      </w:tr>
      <w:tr w14:paraId="13767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169" w:type="dxa"/>
            <w:vMerge w:val="continue"/>
            <w:tcBorders>
              <w:top w:val="nil"/>
              <w:left w:val="nil"/>
              <w:bottom w:val="nil"/>
            </w:tcBorders>
            <w:vAlign w:val="top"/>
          </w:tcPr>
          <w:p w14:paraId="0E998F2C">
            <w:pPr>
              <w:rPr>
                <w:rFonts w:ascii="Arial"/>
                <w:sz w:val="21"/>
              </w:rPr>
            </w:pPr>
          </w:p>
        </w:tc>
        <w:tc>
          <w:tcPr>
            <w:tcW w:w="2380" w:type="dxa"/>
            <w:vMerge w:val="continue"/>
            <w:tcBorders>
              <w:top w:val="nil"/>
            </w:tcBorders>
            <w:vAlign w:val="top"/>
          </w:tcPr>
          <w:p w14:paraId="406E4B49">
            <w:pPr>
              <w:rPr>
                <w:rFonts w:ascii="Arial"/>
                <w:sz w:val="21"/>
              </w:rPr>
            </w:pPr>
          </w:p>
        </w:tc>
        <w:tc>
          <w:tcPr>
            <w:tcW w:w="2380" w:type="dxa"/>
            <w:vMerge w:val="continue"/>
            <w:tcBorders>
              <w:top w:val="nil"/>
            </w:tcBorders>
            <w:vAlign w:val="top"/>
          </w:tcPr>
          <w:p w14:paraId="2C7B5A3B">
            <w:pPr>
              <w:rPr>
                <w:rFonts w:ascii="Arial"/>
                <w:sz w:val="21"/>
              </w:rPr>
            </w:pPr>
          </w:p>
        </w:tc>
        <w:tc>
          <w:tcPr>
            <w:tcW w:w="2390" w:type="dxa"/>
            <w:tcBorders>
              <w:right w:val="nil"/>
            </w:tcBorders>
            <w:vAlign w:val="top"/>
          </w:tcPr>
          <w:p w14:paraId="5E789480">
            <w:pPr>
              <w:pStyle w:val="6"/>
              <w:spacing w:before="84" w:line="219" w:lineRule="auto"/>
              <w:ind w:left="805"/>
            </w:pPr>
            <w:r>
              <w:rPr>
                <w:spacing w:val="-2"/>
              </w:rPr>
              <w:t>普通云盘</w:t>
            </w:r>
          </w:p>
        </w:tc>
      </w:tr>
      <w:tr w14:paraId="45BF5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9" w:type="dxa"/>
            <w:vMerge w:val="continue"/>
            <w:tcBorders>
              <w:top w:val="nil"/>
              <w:left w:val="nil"/>
              <w:bottom w:val="nil"/>
            </w:tcBorders>
            <w:vAlign w:val="top"/>
          </w:tcPr>
          <w:p w14:paraId="5037AC91">
            <w:pPr>
              <w:rPr>
                <w:rFonts w:ascii="Arial"/>
                <w:sz w:val="21"/>
              </w:rPr>
            </w:pPr>
          </w:p>
        </w:tc>
        <w:tc>
          <w:tcPr>
            <w:tcW w:w="2380" w:type="dxa"/>
            <w:vMerge w:val="restart"/>
            <w:tcBorders>
              <w:bottom w:val="nil"/>
            </w:tcBorders>
            <w:vAlign w:val="top"/>
          </w:tcPr>
          <w:p w14:paraId="3257AD9D">
            <w:pPr>
              <w:pStyle w:val="6"/>
              <w:spacing w:before="205" w:line="219" w:lineRule="auto"/>
              <w:ind w:left="806"/>
            </w:pPr>
            <w:r>
              <w:rPr>
                <w:spacing w:val="-2"/>
              </w:rPr>
              <w:t>本地存储</w:t>
            </w:r>
          </w:p>
        </w:tc>
        <w:tc>
          <w:tcPr>
            <w:tcW w:w="2380" w:type="dxa"/>
            <w:vAlign w:val="top"/>
          </w:tcPr>
          <w:p w14:paraId="2C29C69A">
            <w:pPr>
              <w:pStyle w:val="6"/>
              <w:spacing w:before="55" w:line="217" w:lineRule="auto"/>
              <w:ind w:left="516"/>
            </w:pPr>
            <w:r>
              <w:rPr>
                <w:spacing w:val="-1"/>
              </w:rPr>
              <w:t>NVMe SSD本地盘</w:t>
            </w:r>
          </w:p>
        </w:tc>
        <w:tc>
          <w:tcPr>
            <w:tcW w:w="2390" w:type="dxa"/>
            <w:vMerge w:val="restart"/>
            <w:tcBorders>
              <w:bottom w:val="nil"/>
              <w:right w:val="nil"/>
            </w:tcBorders>
            <w:vAlign w:val="top"/>
          </w:tcPr>
          <w:p w14:paraId="4D05EE3C">
            <w:pPr>
              <w:pStyle w:val="6"/>
              <w:spacing w:before="297" w:line="147" w:lineRule="exact"/>
              <w:ind w:left="1095"/>
            </w:pPr>
            <w:r>
              <w:rPr>
                <w:position w:val="-4"/>
              </w:rPr>
              <w:t>一</w:t>
            </w:r>
          </w:p>
        </w:tc>
      </w:tr>
      <w:tr w14:paraId="20347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169" w:type="dxa"/>
            <w:vMerge w:val="continue"/>
            <w:tcBorders>
              <w:top w:val="nil"/>
              <w:left w:val="nil"/>
            </w:tcBorders>
            <w:vAlign w:val="top"/>
          </w:tcPr>
          <w:p w14:paraId="036F5402">
            <w:pPr>
              <w:rPr>
                <w:rFonts w:ascii="Arial"/>
                <w:sz w:val="21"/>
              </w:rPr>
            </w:pPr>
          </w:p>
        </w:tc>
        <w:tc>
          <w:tcPr>
            <w:tcW w:w="2380" w:type="dxa"/>
            <w:vMerge w:val="continue"/>
            <w:tcBorders>
              <w:top w:val="nil"/>
            </w:tcBorders>
            <w:vAlign w:val="top"/>
          </w:tcPr>
          <w:p w14:paraId="344D2C76">
            <w:pPr>
              <w:rPr>
                <w:rFonts w:ascii="Arial"/>
                <w:sz w:val="21"/>
              </w:rPr>
            </w:pPr>
          </w:p>
        </w:tc>
        <w:tc>
          <w:tcPr>
            <w:tcW w:w="2380" w:type="dxa"/>
            <w:vAlign w:val="top"/>
          </w:tcPr>
          <w:p w14:paraId="046A15E7">
            <w:pPr>
              <w:pStyle w:val="6"/>
              <w:spacing w:before="56" w:line="219" w:lineRule="auto"/>
              <w:ind w:left="516"/>
            </w:pPr>
            <w:r>
              <w:rPr>
                <w:spacing w:val="-1"/>
              </w:rPr>
              <w:t>SATA HDD本地盘</w:t>
            </w:r>
          </w:p>
        </w:tc>
        <w:tc>
          <w:tcPr>
            <w:tcW w:w="2390" w:type="dxa"/>
            <w:vMerge w:val="continue"/>
            <w:tcBorders>
              <w:top w:val="nil"/>
              <w:right w:val="nil"/>
            </w:tcBorders>
            <w:vAlign w:val="top"/>
          </w:tcPr>
          <w:p w14:paraId="47C7BF2B">
            <w:pPr>
              <w:rPr>
                <w:rFonts w:ascii="Arial"/>
                <w:sz w:val="21"/>
              </w:rPr>
            </w:pPr>
          </w:p>
        </w:tc>
      </w:tr>
    </w:tbl>
    <w:p w14:paraId="654B90F8">
      <w:pPr>
        <w:spacing w:before="160" w:line="225" w:lineRule="auto"/>
        <w:ind w:left="389"/>
        <w:rPr>
          <w:rFonts w:ascii="楷体" w:hAnsi="楷体" w:eastAsia="楷体" w:cs="楷体"/>
          <w:sz w:val="19"/>
          <w:szCs w:val="19"/>
        </w:rPr>
      </w:pPr>
      <w:r>
        <w:rPr>
          <w:rFonts w:ascii="楷体" w:hAnsi="楷体" w:eastAsia="楷体" w:cs="楷体"/>
          <w:spacing w:val="26"/>
          <w:sz w:val="19"/>
          <w:szCs w:val="19"/>
        </w:rPr>
        <w:t>2)对象存储</w:t>
      </w:r>
    </w:p>
    <w:p w14:paraId="525DF6C4">
      <w:pPr>
        <w:pStyle w:val="2"/>
        <w:spacing w:before="57" w:line="300" w:lineRule="auto"/>
        <w:ind w:right="304" w:firstLine="389"/>
        <w:rPr>
          <w:sz w:val="19"/>
          <w:szCs w:val="19"/>
        </w:rPr>
      </w:pPr>
      <w:r>
        <w:rPr>
          <w:spacing w:val="9"/>
          <w:sz w:val="19"/>
          <w:szCs w:val="19"/>
        </w:rPr>
        <w:t>对象存储服务</w:t>
      </w:r>
      <w:r>
        <w:rPr>
          <w:spacing w:val="-38"/>
          <w:sz w:val="19"/>
          <w:szCs w:val="19"/>
        </w:rPr>
        <w:t xml:space="preserve"> </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Object</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Storage</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Service</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OSS</w:t>
      </w:r>
      <w:r>
        <w:rPr>
          <w:rFonts w:ascii="Times New Roman" w:hAnsi="Times New Roman" w:eastAsia="Times New Roman" w:cs="Times New Roman"/>
          <w:spacing w:val="9"/>
          <w:sz w:val="19"/>
          <w:szCs w:val="19"/>
        </w:rPr>
        <w:t xml:space="preserve">) </w:t>
      </w:r>
      <w:r>
        <w:rPr>
          <w:spacing w:val="9"/>
          <w:sz w:val="19"/>
          <w:szCs w:val="19"/>
        </w:rPr>
        <w:t>是通过云提供的海量、安全、低成本、高可</w:t>
      </w:r>
      <w:r>
        <w:rPr>
          <w:sz w:val="19"/>
          <w:szCs w:val="19"/>
        </w:rPr>
        <w:t xml:space="preserve"> </w:t>
      </w:r>
      <w:r>
        <w:rPr>
          <w:spacing w:val="15"/>
          <w:sz w:val="19"/>
          <w:szCs w:val="19"/>
        </w:rPr>
        <w:t>靠的云存储服务。它具有与平台无关的</w:t>
      </w:r>
      <w:r>
        <w:rPr>
          <w:rFonts w:ascii="Times New Roman" w:hAnsi="Times New Roman" w:eastAsia="Times New Roman" w:cs="Times New Roman"/>
          <w:sz w:val="19"/>
          <w:szCs w:val="19"/>
        </w:rPr>
        <w:t>RESTful</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API</w:t>
      </w:r>
      <w:r>
        <w:rPr>
          <w:spacing w:val="15"/>
          <w:sz w:val="19"/>
          <w:szCs w:val="19"/>
        </w:rPr>
        <w:t>接口。可以在任何应用、任何时间、任何</w:t>
      </w:r>
      <w:r>
        <w:rPr>
          <w:spacing w:val="1"/>
          <w:sz w:val="19"/>
          <w:szCs w:val="19"/>
        </w:rPr>
        <w:t xml:space="preserve"> </w:t>
      </w:r>
      <w:r>
        <w:rPr>
          <w:spacing w:val="6"/>
          <w:sz w:val="19"/>
          <w:szCs w:val="19"/>
        </w:rPr>
        <w:t>地点存储和访问任意类型的数据。</w:t>
      </w:r>
      <w:r>
        <w:rPr>
          <w:spacing w:val="2"/>
          <w:sz w:val="19"/>
          <w:szCs w:val="19"/>
        </w:rPr>
        <w:t xml:space="preserve"> </w:t>
      </w:r>
      <w:r>
        <w:rPr>
          <w:rFonts w:ascii="Times New Roman" w:hAnsi="Times New Roman" w:eastAsia="Times New Roman" w:cs="Times New Roman"/>
          <w:sz w:val="19"/>
          <w:szCs w:val="19"/>
        </w:rPr>
        <w:t>OSS</w:t>
      </w:r>
      <w:r>
        <w:rPr>
          <w:rFonts w:ascii="Times New Roman" w:hAnsi="Times New Roman" w:eastAsia="Times New Roman" w:cs="Times New Roman"/>
          <w:spacing w:val="20"/>
          <w:w w:val="101"/>
          <w:sz w:val="19"/>
          <w:szCs w:val="19"/>
        </w:rPr>
        <w:t xml:space="preserve"> </w:t>
      </w:r>
      <w:r>
        <w:rPr>
          <w:spacing w:val="6"/>
          <w:sz w:val="19"/>
          <w:szCs w:val="19"/>
        </w:rPr>
        <w:t>适合各种开发企业及开发者使用。</w:t>
      </w:r>
    </w:p>
    <w:p w14:paraId="0EE05619">
      <w:pPr>
        <w:pStyle w:val="2"/>
        <w:spacing w:before="47" w:line="219" w:lineRule="auto"/>
        <w:ind w:left="389"/>
        <w:rPr>
          <w:sz w:val="19"/>
          <w:szCs w:val="19"/>
        </w:rPr>
      </w:pPr>
      <w:r>
        <w:rPr>
          <w:spacing w:val="5"/>
          <w:sz w:val="19"/>
          <w:szCs w:val="19"/>
        </w:rPr>
        <w:t>对象存储具有如下功能特点：</w:t>
      </w:r>
    </w:p>
    <w:p w14:paraId="4D339C0B">
      <w:pPr>
        <w:pStyle w:val="2"/>
        <w:spacing w:before="72" w:line="294" w:lineRule="auto"/>
        <w:ind w:left="659" w:right="217" w:hanging="270"/>
        <w:rPr>
          <w:sz w:val="19"/>
          <w:szCs w:val="19"/>
        </w:rPr>
      </w:pPr>
      <w:r>
        <w:rPr>
          <w:spacing w:val="30"/>
          <w:sz w:val="19"/>
          <w:szCs w:val="19"/>
        </w:rPr>
        <w:t>●</w:t>
      </w:r>
      <w:r>
        <w:rPr>
          <w:spacing w:val="-44"/>
          <w:sz w:val="19"/>
          <w:szCs w:val="19"/>
        </w:rPr>
        <w:t xml:space="preserve"> </w:t>
      </w:r>
      <w:r>
        <w:rPr>
          <w:spacing w:val="30"/>
          <w:sz w:val="19"/>
          <w:szCs w:val="19"/>
        </w:rPr>
        <w:t>访问灵活。提供标准的</w:t>
      </w:r>
      <w:r>
        <w:rPr>
          <w:sz w:val="19"/>
          <w:szCs w:val="19"/>
        </w:rPr>
        <w:t>RESTful</w:t>
      </w:r>
      <w:r>
        <w:rPr>
          <w:spacing w:val="8"/>
          <w:sz w:val="19"/>
          <w:szCs w:val="19"/>
        </w:rPr>
        <w:t xml:space="preserve">  </w:t>
      </w:r>
      <w:r>
        <w:rPr>
          <w:sz w:val="19"/>
          <w:szCs w:val="19"/>
        </w:rPr>
        <w:t>API</w:t>
      </w:r>
      <w:r>
        <w:rPr>
          <w:spacing w:val="30"/>
          <w:sz w:val="19"/>
          <w:szCs w:val="19"/>
        </w:rPr>
        <w:t>接口，通过丰富的软件开发工具包</w:t>
      </w:r>
      <w:r>
        <w:rPr>
          <w:spacing w:val="-34"/>
          <w:sz w:val="19"/>
          <w:szCs w:val="19"/>
        </w:rPr>
        <w:t xml:space="preserve"> </w:t>
      </w:r>
      <w:r>
        <w:rPr>
          <w:spacing w:val="30"/>
          <w:sz w:val="19"/>
          <w:szCs w:val="19"/>
        </w:rPr>
        <w:t>(</w:t>
      </w:r>
      <w:r>
        <w:rPr>
          <w:sz w:val="19"/>
          <w:szCs w:val="19"/>
        </w:rPr>
        <w:t xml:space="preserve">Software  </w:t>
      </w:r>
      <w:r>
        <w:rPr>
          <w:rFonts w:ascii="Times New Roman" w:hAnsi="Times New Roman" w:eastAsia="Times New Roman" w:cs="Times New Roman"/>
          <w:sz w:val="19"/>
          <w:szCs w:val="19"/>
        </w:rPr>
        <w:t>Development</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z w:val="19"/>
          <w:szCs w:val="19"/>
        </w:rPr>
        <w:t>Kit</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SDK</w:t>
      </w:r>
      <w:r>
        <w:rPr>
          <w:rFonts w:ascii="Times New Roman" w:hAnsi="Times New Roman" w:eastAsia="Times New Roman" w:cs="Times New Roman"/>
          <w:spacing w:val="13"/>
          <w:sz w:val="19"/>
          <w:szCs w:val="19"/>
        </w:rPr>
        <w:t>)</w:t>
      </w:r>
      <w:r>
        <w:rPr>
          <w:spacing w:val="13"/>
          <w:sz w:val="19"/>
          <w:szCs w:val="19"/>
        </w:rPr>
        <w:t>、客户端工具、控制台，像</w:t>
      </w:r>
      <w:r>
        <w:rPr>
          <w:spacing w:val="12"/>
          <w:sz w:val="19"/>
          <w:szCs w:val="19"/>
        </w:rPr>
        <w:t>使用文件一样方便地上传、下载、</w:t>
      </w:r>
      <w:r>
        <w:rPr>
          <w:sz w:val="19"/>
          <w:szCs w:val="19"/>
        </w:rPr>
        <w:t xml:space="preserve"> </w:t>
      </w:r>
      <w:r>
        <w:rPr>
          <w:spacing w:val="9"/>
          <w:sz w:val="19"/>
          <w:szCs w:val="19"/>
        </w:rPr>
        <w:t>检索、管理用于</w:t>
      </w:r>
      <w:r>
        <w:rPr>
          <w:rFonts w:ascii="Times New Roman" w:hAnsi="Times New Roman" w:eastAsia="Times New Roman" w:cs="Times New Roman"/>
          <w:sz w:val="19"/>
          <w:szCs w:val="19"/>
        </w:rPr>
        <w:t>Web</w:t>
      </w:r>
      <w:r>
        <w:rPr>
          <w:rFonts w:ascii="Times New Roman" w:hAnsi="Times New Roman" w:eastAsia="Times New Roman" w:cs="Times New Roman"/>
          <w:spacing w:val="38"/>
          <w:w w:val="101"/>
          <w:sz w:val="19"/>
          <w:szCs w:val="19"/>
        </w:rPr>
        <w:t xml:space="preserve"> </w:t>
      </w:r>
      <w:r>
        <w:rPr>
          <w:spacing w:val="9"/>
          <w:sz w:val="19"/>
          <w:szCs w:val="19"/>
        </w:rPr>
        <w:t>网站或者移动应用的海量数据。</w:t>
      </w:r>
    </w:p>
    <w:p w14:paraId="0AD7ACBD">
      <w:pPr>
        <w:pStyle w:val="2"/>
        <w:spacing w:before="95" w:line="260" w:lineRule="auto"/>
        <w:ind w:left="659" w:right="305" w:hanging="270"/>
        <w:rPr>
          <w:sz w:val="19"/>
          <w:szCs w:val="19"/>
        </w:rPr>
      </w:pPr>
      <w:r>
        <w:rPr>
          <w:spacing w:val="13"/>
          <w:sz w:val="19"/>
          <w:szCs w:val="19"/>
        </w:rPr>
        <w:t>●支持数据生命周期管理及流式写入和读取，支持边读边写，真正实现文件流式存储，视</w:t>
      </w:r>
      <w:r>
        <w:rPr>
          <w:sz w:val="19"/>
          <w:szCs w:val="19"/>
        </w:rPr>
        <w:t xml:space="preserve"> </w:t>
      </w:r>
      <w:r>
        <w:rPr>
          <w:spacing w:val="5"/>
          <w:sz w:val="19"/>
          <w:szCs w:val="19"/>
        </w:rPr>
        <w:t>频录像秒级回放。</w:t>
      </w:r>
    </w:p>
    <w:p w14:paraId="77309F39">
      <w:pPr>
        <w:pStyle w:val="2"/>
        <w:spacing w:before="85" w:line="274" w:lineRule="auto"/>
        <w:ind w:left="659" w:right="303" w:hanging="270"/>
        <w:rPr>
          <w:sz w:val="19"/>
          <w:szCs w:val="19"/>
        </w:rPr>
      </w:pPr>
      <w:r>
        <w:rPr>
          <w:spacing w:val="13"/>
          <w:sz w:val="19"/>
          <w:szCs w:val="19"/>
        </w:rPr>
        <w:t>●提供多维度、多层次的安全防护与访问控制，以及保障客户数据安全的灵活的鉴权、授</w:t>
      </w:r>
      <w:r>
        <w:rPr>
          <w:spacing w:val="1"/>
          <w:sz w:val="19"/>
          <w:szCs w:val="19"/>
        </w:rPr>
        <w:t xml:space="preserve"> </w:t>
      </w:r>
      <w:r>
        <w:rPr>
          <w:spacing w:val="6"/>
          <w:sz w:val="19"/>
          <w:szCs w:val="19"/>
        </w:rPr>
        <w:t>权机制。</w:t>
      </w:r>
    </w:p>
    <w:p w14:paraId="1988050C">
      <w:pPr>
        <w:pStyle w:val="2"/>
        <w:spacing w:before="71" w:line="273" w:lineRule="auto"/>
        <w:ind w:left="659" w:right="288" w:hanging="270"/>
        <w:rPr>
          <w:sz w:val="19"/>
          <w:szCs w:val="19"/>
        </w:rPr>
      </w:pPr>
      <w:r>
        <w:rPr>
          <w:spacing w:val="16"/>
          <w:sz w:val="19"/>
          <w:szCs w:val="19"/>
        </w:rPr>
        <w:t>●</w:t>
      </w:r>
      <w:r>
        <w:rPr>
          <w:spacing w:val="-39"/>
          <w:sz w:val="19"/>
          <w:szCs w:val="19"/>
        </w:rPr>
        <w:t xml:space="preserve"> </w:t>
      </w:r>
      <w:r>
        <w:rPr>
          <w:spacing w:val="16"/>
          <w:sz w:val="19"/>
          <w:szCs w:val="19"/>
        </w:rPr>
        <w:t>提供安全令牌服务(</w:t>
      </w:r>
      <w:r>
        <w:rPr>
          <w:sz w:val="19"/>
          <w:szCs w:val="19"/>
        </w:rPr>
        <w:t>Security</w:t>
      </w:r>
      <w:r>
        <w:rPr>
          <w:spacing w:val="56"/>
          <w:sz w:val="19"/>
          <w:szCs w:val="19"/>
        </w:rPr>
        <w:t xml:space="preserve"> </w:t>
      </w:r>
      <w:r>
        <w:rPr>
          <w:sz w:val="19"/>
          <w:szCs w:val="19"/>
        </w:rPr>
        <w:t>Token</w:t>
      </w:r>
      <w:r>
        <w:rPr>
          <w:spacing w:val="60"/>
          <w:sz w:val="19"/>
          <w:szCs w:val="19"/>
        </w:rPr>
        <w:t xml:space="preserve"> </w:t>
      </w:r>
      <w:r>
        <w:rPr>
          <w:sz w:val="19"/>
          <w:szCs w:val="19"/>
        </w:rPr>
        <w:t>Service</w:t>
      </w:r>
      <w:r>
        <w:rPr>
          <w:spacing w:val="16"/>
          <w:sz w:val="19"/>
          <w:szCs w:val="19"/>
        </w:rPr>
        <w:t>,</w:t>
      </w:r>
      <w:r>
        <w:rPr>
          <w:sz w:val="19"/>
          <w:szCs w:val="19"/>
        </w:rPr>
        <w:t>STS</w:t>
      </w:r>
      <w:r>
        <w:rPr>
          <w:spacing w:val="16"/>
          <w:sz w:val="19"/>
          <w:szCs w:val="19"/>
        </w:rPr>
        <w:t>)和</w:t>
      </w:r>
      <w:r>
        <w:rPr>
          <w:spacing w:val="-37"/>
          <w:sz w:val="19"/>
          <w:szCs w:val="19"/>
        </w:rPr>
        <w:t xml:space="preserve"> </w:t>
      </w:r>
      <w:r>
        <w:rPr>
          <w:sz w:val="19"/>
          <w:szCs w:val="19"/>
        </w:rPr>
        <w:t>URL</w:t>
      </w:r>
      <w:r>
        <w:rPr>
          <w:spacing w:val="83"/>
          <w:sz w:val="19"/>
          <w:szCs w:val="19"/>
        </w:rPr>
        <w:t xml:space="preserve"> </w:t>
      </w:r>
      <w:r>
        <w:rPr>
          <w:spacing w:val="16"/>
          <w:sz w:val="19"/>
          <w:szCs w:val="19"/>
        </w:rPr>
        <w:t>鉴权和授权机制，以及白名</w:t>
      </w:r>
      <w:r>
        <w:rPr>
          <w:sz w:val="19"/>
          <w:szCs w:val="19"/>
        </w:rPr>
        <w:t xml:space="preserve"> </w:t>
      </w:r>
      <w:r>
        <w:rPr>
          <w:spacing w:val="6"/>
          <w:sz w:val="19"/>
          <w:szCs w:val="19"/>
        </w:rPr>
        <w:t>单、防盗链、主子账号功能。</w:t>
      </w:r>
    </w:p>
    <w:p w14:paraId="1F268820">
      <w:pPr>
        <w:pStyle w:val="2"/>
        <w:spacing w:before="83" w:line="270" w:lineRule="auto"/>
        <w:ind w:left="659" w:right="424" w:hanging="270"/>
        <w:rPr>
          <w:sz w:val="19"/>
          <w:szCs w:val="19"/>
        </w:rPr>
      </w:pPr>
      <w:r>
        <w:rPr>
          <w:spacing w:val="13"/>
          <w:sz w:val="19"/>
          <w:szCs w:val="19"/>
        </w:rPr>
        <w:t>●提供跨区域复制功能实现数据异地容灾。强大的数据处理能力，协助客户对存储在</w:t>
      </w:r>
      <w:r>
        <w:rPr>
          <w:sz w:val="19"/>
          <w:szCs w:val="19"/>
        </w:rPr>
        <w:t>OSS</w:t>
      </w:r>
      <w:r>
        <w:rPr>
          <w:spacing w:val="1"/>
          <w:sz w:val="19"/>
          <w:szCs w:val="19"/>
        </w:rPr>
        <w:t xml:space="preserve"> </w:t>
      </w:r>
      <w:r>
        <w:rPr>
          <w:spacing w:val="5"/>
          <w:sz w:val="19"/>
          <w:szCs w:val="19"/>
        </w:rPr>
        <w:t>上的文件进行加工处理。</w:t>
      </w:r>
    </w:p>
    <w:p w14:paraId="09226357">
      <w:pPr>
        <w:pStyle w:val="2"/>
        <w:spacing w:before="78" w:line="272" w:lineRule="auto"/>
        <w:ind w:left="659" w:right="217" w:hanging="270"/>
        <w:rPr>
          <w:sz w:val="19"/>
          <w:szCs w:val="19"/>
        </w:rPr>
      </w:pPr>
      <w:r>
        <w:rPr>
          <w:sz w:val="19"/>
          <w:szCs w:val="19"/>
        </w:rPr>
        <w:t>●</w:t>
      </w:r>
      <w:r>
        <w:rPr>
          <w:spacing w:val="-41"/>
          <w:sz w:val="19"/>
          <w:szCs w:val="19"/>
        </w:rPr>
        <w:t xml:space="preserve"> </w:t>
      </w:r>
      <w:r>
        <w:rPr>
          <w:sz w:val="19"/>
          <w:szCs w:val="19"/>
        </w:rPr>
        <w:t>图片处理。支持jpg、png、bmp、g</w:t>
      </w:r>
      <w:r>
        <w:rPr>
          <w:spacing w:val="-1"/>
          <w:sz w:val="19"/>
          <w:szCs w:val="19"/>
        </w:rPr>
        <w:t>if、webp、tiff等多种图片格式的文件格式转换、缩略图、</w:t>
      </w:r>
      <w:r>
        <w:rPr>
          <w:sz w:val="19"/>
          <w:szCs w:val="19"/>
        </w:rPr>
        <w:t xml:space="preserve"> </w:t>
      </w:r>
      <w:r>
        <w:rPr>
          <w:spacing w:val="6"/>
          <w:sz w:val="19"/>
          <w:szCs w:val="19"/>
        </w:rPr>
        <w:t>剪裁、水印、缩放等多种操作。</w:t>
      </w:r>
    </w:p>
    <w:p w14:paraId="5F8025A3">
      <w:pPr>
        <w:pStyle w:val="2"/>
        <w:spacing w:before="76" w:line="270" w:lineRule="auto"/>
        <w:ind w:left="659" w:right="305" w:hanging="270"/>
        <w:rPr>
          <w:sz w:val="19"/>
          <w:szCs w:val="19"/>
        </w:rPr>
      </w:pPr>
      <w:r>
        <w:rPr>
          <w:spacing w:val="17"/>
          <w:sz w:val="19"/>
          <w:szCs w:val="19"/>
        </w:rPr>
        <w:t>●</w:t>
      </w:r>
      <w:r>
        <w:rPr>
          <w:spacing w:val="-54"/>
          <w:sz w:val="19"/>
          <w:szCs w:val="19"/>
        </w:rPr>
        <w:t xml:space="preserve"> </w:t>
      </w:r>
      <w:r>
        <w:rPr>
          <w:spacing w:val="17"/>
          <w:sz w:val="19"/>
          <w:szCs w:val="19"/>
        </w:rPr>
        <w:t>音视频转码基于</w:t>
      </w:r>
      <w:r>
        <w:rPr>
          <w:sz w:val="19"/>
          <w:szCs w:val="19"/>
        </w:rPr>
        <w:t>OSS</w:t>
      </w:r>
      <w:r>
        <w:rPr>
          <w:spacing w:val="57"/>
          <w:sz w:val="19"/>
          <w:szCs w:val="19"/>
        </w:rPr>
        <w:t xml:space="preserve"> </w:t>
      </w:r>
      <w:r>
        <w:rPr>
          <w:spacing w:val="17"/>
          <w:sz w:val="19"/>
          <w:szCs w:val="19"/>
        </w:rPr>
        <w:t>存储，提供高质量、高速并行音</w:t>
      </w:r>
      <w:r>
        <w:rPr>
          <w:spacing w:val="16"/>
          <w:sz w:val="19"/>
          <w:szCs w:val="19"/>
        </w:rPr>
        <w:t>视频转码能力，让客户的音视频</w:t>
      </w:r>
      <w:r>
        <w:rPr>
          <w:sz w:val="19"/>
          <w:szCs w:val="19"/>
        </w:rPr>
        <w:t xml:space="preserve"> </w:t>
      </w:r>
      <w:r>
        <w:rPr>
          <w:spacing w:val="6"/>
          <w:sz w:val="19"/>
          <w:szCs w:val="19"/>
        </w:rPr>
        <w:t>文件轻松应对各种终端设备。</w:t>
      </w:r>
    </w:p>
    <w:p w14:paraId="53B28057">
      <w:pPr>
        <w:pStyle w:val="2"/>
        <w:spacing w:before="74" w:line="280" w:lineRule="auto"/>
        <w:ind w:left="659" w:right="237" w:hanging="270"/>
        <w:rPr>
          <w:sz w:val="19"/>
          <w:szCs w:val="19"/>
        </w:rPr>
      </w:pPr>
      <w:r>
        <w:rPr>
          <w:spacing w:val="12"/>
          <w:sz w:val="19"/>
          <w:szCs w:val="19"/>
        </w:rPr>
        <w:t>●</w:t>
      </w:r>
      <w:r>
        <w:rPr>
          <w:spacing w:val="-20"/>
          <w:sz w:val="19"/>
          <w:szCs w:val="19"/>
        </w:rPr>
        <w:t xml:space="preserve"> </w:t>
      </w:r>
      <w:r>
        <w:rPr>
          <w:spacing w:val="12"/>
          <w:sz w:val="19"/>
          <w:szCs w:val="19"/>
        </w:rPr>
        <w:t>内容加速分发。</w:t>
      </w:r>
      <w:r>
        <w:rPr>
          <w:spacing w:val="-25"/>
          <w:sz w:val="19"/>
          <w:szCs w:val="19"/>
        </w:rPr>
        <w:t xml:space="preserve"> </w:t>
      </w:r>
      <w:r>
        <w:rPr>
          <w:sz w:val="19"/>
          <w:szCs w:val="19"/>
        </w:rPr>
        <w:t>OSS</w:t>
      </w:r>
      <w:r>
        <w:rPr>
          <w:spacing w:val="47"/>
          <w:sz w:val="19"/>
          <w:szCs w:val="19"/>
        </w:rPr>
        <w:t xml:space="preserve"> </w:t>
      </w:r>
      <w:r>
        <w:rPr>
          <w:spacing w:val="12"/>
          <w:sz w:val="19"/>
          <w:szCs w:val="19"/>
        </w:rPr>
        <w:t>作为源站，搭配</w:t>
      </w:r>
      <w:r>
        <w:rPr>
          <w:sz w:val="19"/>
          <w:szCs w:val="19"/>
        </w:rPr>
        <w:t xml:space="preserve">CDN  </w:t>
      </w:r>
      <w:r>
        <w:rPr>
          <w:spacing w:val="12"/>
          <w:sz w:val="19"/>
          <w:szCs w:val="19"/>
        </w:rPr>
        <w:t>进行加速分发，稳定、无回源带宽限制、性</w:t>
      </w:r>
      <w:r>
        <w:rPr>
          <w:spacing w:val="1"/>
          <w:sz w:val="19"/>
          <w:szCs w:val="19"/>
        </w:rPr>
        <w:t xml:space="preserve"> </w:t>
      </w:r>
      <w:r>
        <w:rPr>
          <w:spacing w:val="11"/>
          <w:sz w:val="19"/>
          <w:szCs w:val="19"/>
        </w:rPr>
        <w:t>价比高，</w:t>
      </w:r>
      <w:r>
        <w:rPr>
          <w:spacing w:val="-20"/>
          <w:sz w:val="19"/>
          <w:szCs w:val="19"/>
        </w:rPr>
        <w:t xml:space="preserve"> </w:t>
      </w:r>
      <w:r>
        <w:rPr>
          <w:spacing w:val="11"/>
          <w:sz w:val="19"/>
          <w:szCs w:val="19"/>
        </w:rPr>
        <w:t>一键配置。拥有不断丰富的行业解决方案产品包。适合安防行业，在线点播，</w:t>
      </w:r>
      <w:r>
        <w:rPr>
          <w:sz w:val="19"/>
          <w:szCs w:val="19"/>
        </w:rPr>
        <w:t xml:space="preserve"> </w:t>
      </w:r>
      <w:r>
        <w:rPr>
          <w:spacing w:val="6"/>
          <w:sz w:val="19"/>
          <w:szCs w:val="19"/>
        </w:rPr>
        <w:t>交互式传播，图片处理与存储等。</w:t>
      </w:r>
    </w:p>
    <w:p w14:paraId="295D0BF1">
      <w:pPr>
        <w:pStyle w:val="2"/>
        <w:spacing w:before="74" w:line="360" w:lineRule="auto"/>
        <w:ind w:right="282" w:firstLine="389"/>
        <w:rPr>
          <w:sz w:val="16"/>
          <w:szCs w:val="16"/>
        </w:rPr>
      </w:pPr>
      <w:r>
        <w:rPr>
          <w:spacing w:val="14"/>
          <w:sz w:val="19"/>
          <w:szCs w:val="19"/>
        </w:rPr>
        <w:t>对象存储的应用场景有：图片和音视频等应用的</w:t>
      </w:r>
      <w:r>
        <w:rPr>
          <w:spacing w:val="13"/>
          <w:sz w:val="19"/>
          <w:szCs w:val="19"/>
        </w:rPr>
        <w:t>海量存储、网页或移动应用的静态和动态</w:t>
      </w:r>
      <w:r>
        <w:rPr>
          <w:sz w:val="19"/>
          <w:szCs w:val="19"/>
        </w:rPr>
        <w:t xml:space="preserve"> </w:t>
      </w:r>
      <w:r>
        <w:rPr>
          <w:spacing w:val="-6"/>
          <w:sz w:val="16"/>
          <w:szCs w:val="16"/>
        </w:rPr>
        <w:t>分</w:t>
      </w:r>
      <w:r>
        <w:rPr>
          <w:spacing w:val="-16"/>
          <w:sz w:val="16"/>
          <w:szCs w:val="16"/>
        </w:rPr>
        <w:t xml:space="preserve"> </w:t>
      </w:r>
      <w:r>
        <w:rPr>
          <w:spacing w:val="-6"/>
          <w:sz w:val="16"/>
          <w:szCs w:val="16"/>
        </w:rPr>
        <w:t>离</w:t>
      </w:r>
      <w:r>
        <w:rPr>
          <w:spacing w:val="-24"/>
          <w:sz w:val="16"/>
          <w:szCs w:val="16"/>
        </w:rPr>
        <w:t xml:space="preserve"> </w:t>
      </w:r>
      <w:r>
        <w:rPr>
          <w:spacing w:val="-6"/>
          <w:sz w:val="16"/>
          <w:szCs w:val="16"/>
        </w:rPr>
        <w:t>。</w:t>
      </w:r>
    </w:p>
    <w:p w14:paraId="7D68F537">
      <w:pPr>
        <w:spacing w:line="360" w:lineRule="auto"/>
        <w:rPr>
          <w:sz w:val="16"/>
          <w:szCs w:val="16"/>
        </w:rPr>
        <w:sectPr>
          <w:pgSz w:w="10290" w:h="13320"/>
          <w:pgMar w:top="360" w:right="547" w:bottom="400" w:left="1130" w:header="0" w:footer="0" w:gutter="0"/>
          <w:cols w:space="720" w:num="1"/>
        </w:sectPr>
      </w:pPr>
    </w:p>
    <w:p w14:paraId="63D7573D">
      <w:pPr>
        <w:pStyle w:val="2"/>
        <w:spacing w:before="88" w:line="219" w:lineRule="auto"/>
        <w:rPr>
          <w:sz w:val="20"/>
          <w:szCs w:val="20"/>
        </w:rPr>
      </w:pPr>
      <w:r>
        <w:rPr>
          <w:rFonts w:ascii="Times New Roman" w:hAnsi="Times New Roman" w:eastAsia="Times New Roman" w:cs="Times New Roman"/>
          <w:spacing w:val="-4"/>
          <w:position w:val="-1"/>
          <w:sz w:val="20"/>
          <w:szCs w:val="20"/>
        </w:rPr>
        <w:t>134</w:t>
      </w:r>
      <w:r>
        <w:rPr>
          <w:rFonts w:ascii="Times New Roman" w:hAnsi="Times New Roman" w:eastAsia="Times New Roman" w:cs="Times New Roman"/>
          <w:spacing w:val="2"/>
          <w:position w:val="-1"/>
          <w:sz w:val="20"/>
          <w:szCs w:val="20"/>
        </w:rPr>
        <w:t xml:space="preserve">             </w:t>
      </w:r>
      <w:r>
        <w:rPr>
          <w:spacing w:val="-4"/>
          <w:sz w:val="20"/>
          <w:szCs w:val="20"/>
        </w:rPr>
        <w:t>信息系统监理师教程(第2版)</w:t>
      </w:r>
    </w:p>
    <w:p w14:paraId="19BC0071">
      <w:pPr>
        <w:spacing w:line="320" w:lineRule="auto"/>
        <w:rPr>
          <w:rFonts w:ascii="Arial"/>
          <w:sz w:val="21"/>
        </w:rPr>
      </w:pPr>
    </w:p>
    <w:p w14:paraId="719044F5">
      <w:pPr>
        <w:pStyle w:val="2"/>
        <w:spacing w:before="65" w:line="221" w:lineRule="auto"/>
        <w:ind w:left="732"/>
        <w:rPr>
          <w:rFonts w:ascii="黑体" w:hAnsi="黑体" w:eastAsia="黑体" w:cs="黑体"/>
          <w:sz w:val="20"/>
          <w:szCs w:val="20"/>
        </w:rPr>
      </w:pPr>
      <w:r>
        <w:rPr>
          <w:b/>
          <w:bCs/>
          <w:color w:val="0067CE"/>
          <w:spacing w:val="-3"/>
          <w:sz w:val="20"/>
          <w:szCs w:val="20"/>
        </w:rPr>
        <w:t>3.</w:t>
      </w:r>
      <w:r>
        <w:rPr>
          <w:rFonts w:ascii="黑体" w:hAnsi="黑体" w:eastAsia="黑体" w:cs="黑体"/>
          <w:b/>
          <w:bCs/>
          <w:color w:val="0067CE"/>
          <w:spacing w:val="-3"/>
          <w:sz w:val="20"/>
          <w:szCs w:val="20"/>
        </w:rPr>
        <w:t>网络类产品</w:t>
      </w:r>
    </w:p>
    <w:p w14:paraId="05DAF878">
      <w:pPr>
        <w:spacing w:before="242" w:line="225" w:lineRule="auto"/>
        <w:ind w:left="730"/>
        <w:rPr>
          <w:rFonts w:ascii="楷体" w:hAnsi="楷体" w:eastAsia="楷体" w:cs="楷体"/>
          <w:sz w:val="20"/>
          <w:szCs w:val="20"/>
        </w:rPr>
      </w:pPr>
      <w:r>
        <w:rPr>
          <w:rFonts w:ascii="楷体" w:hAnsi="楷体" w:eastAsia="楷体" w:cs="楷体"/>
          <w:spacing w:val="13"/>
          <w:sz w:val="20"/>
          <w:szCs w:val="20"/>
        </w:rPr>
        <w:t>1)专有网络</w:t>
      </w:r>
    </w:p>
    <w:p w14:paraId="76A178DD">
      <w:pPr>
        <w:pStyle w:val="2"/>
        <w:spacing w:before="55" w:line="292" w:lineRule="auto"/>
        <w:ind w:left="330" w:right="92" w:firstLine="400"/>
        <w:rPr>
          <w:sz w:val="20"/>
          <w:szCs w:val="20"/>
        </w:rPr>
      </w:pPr>
      <w:r>
        <w:rPr>
          <w:spacing w:val="1"/>
          <w:sz w:val="20"/>
          <w:szCs w:val="20"/>
        </w:rPr>
        <w:t>专有网络</w:t>
      </w:r>
      <w:r>
        <w:rPr>
          <w:spacing w:val="-50"/>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Virtual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Private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Cloud</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VPC</w:t>
      </w:r>
      <w:r>
        <w:rPr>
          <w:rFonts w:ascii="Times New Roman" w:hAnsi="Times New Roman" w:eastAsia="Times New Roman" w:cs="Times New Roman"/>
          <w:spacing w:val="1"/>
          <w:sz w:val="20"/>
          <w:szCs w:val="20"/>
        </w:rPr>
        <w:t xml:space="preserve">) </w:t>
      </w:r>
      <w:r>
        <w:rPr>
          <w:spacing w:val="1"/>
          <w:sz w:val="20"/>
          <w:szCs w:val="20"/>
        </w:rPr>
        <w:t>是基于云构建的一个隔离的网络环境，专有</w:t>
      </w:r>
      <w:r>
        <w:rPr>
          <w:sz w:val="20"/>
          <w:szCs w:val="20"/>
        </w:rPr>
        <w:t>网络之</w:t>
      </w:r>
      <w:r>
        <w:rPr>
          <w:spacing w:val="1"/>
          <w:sz w:val="20"/>
          <w:szCs w:val="20"/>
        </w:rPr>
        <w:t xml:space="preserve"> </w:t>
      </w:r>
      <w:r>
        <w:rPr>
          <w:spacing w:val="-2"/>
          <w:sz w:val="20"/>
          <w:szCs w:val="20"/>
        </w:rPr>
        <w:t>间逻辑上彻底隔离。客户能够在自己定义的虚拟网络中使用云资源。</w:t>
      </w:r>
    </w:p>
    <w:p w14:paraId="76315366">
      <w:pPr>
        <w:pStyle w:val="2"/>
        <w:spacing w:before="4" w:line="288" w:lineRule="auto"/>
        <w:ind w:left="330" w:right="76" w:firstLine="400"/>
        <w:rPr>
          <w:sz w:val="20"/>
          <w:szCs w:val="20"/>
        </w:rPr>
      </w:pPr>
      <w:r>
        <w:rPr>
          <w:spacing w:val="2"/>
          <w:sz w:val="20"/>
          <w:szCs w:val="20"/>
        </w:rPr>
        <w:t>专有网络的功能特点有：</w:t>
      </w:r>
      <w:r>
        <w:rPr>
          <w:sz w:val="20"/>
          <w:szCs w:val="20"/>
        </w:rPr>
        <w:t>VPC</w:t>
      </w:r>
      <w:r>
        <w:rPr>
          <w:spacing w:val="53"/>
          <w:sz w:val="20"/>
          <w:szCs w:val="20"/>
        </w:rPr>
        <w:t xml:space="preserve"> </w:t>
      </w:r>
      <w:r>
        <w:rPr>
          <w:spacing w:val="2"/>
          <w:sz w:val="20"/>
          <w:szCs w:val="20"/>
        </w:rPr>
        <w:t>是一个独立的虚拟化网络，可提</w:t>
      </w:r>
      <w:r>
        <w:rPr>
          <w:spacing w:val="1"/>
          <w:sz w:val="20"/>
          <w:szCs w:val="20"/>
        </w:rPr>
        <w:t>供独立的路由器和交换机组</w:t>
      </w:r>
      <w:r>
        <w:rPr>
          <w:sz w:val="20"/>
          <w:szCs w:val="20"/>
        </w:rPr>
        <w:t xml:space="preserve"> </w:t>
      </w:r>
      <w:r>
        <w:rPr>
          <w:spacing w:val="7"/>
          <w:sz w:val="20"/>
          <w:szCs w:val="20"/>
        </w:rPr>
        <w:t>件，包括私网</w:t>
      </w:r>
      <w:r>
        <w:rPr>
          <w:rFonts w:ascii="Times New Roman" w:hAnsi="Times New Roman" w:eastAsia="Times New Roman" w:cs="Times New Roman"/>
          <w:sz w:val="20"/>
          <w:szCs w:val="20"/>
        </w:rPr>
        <w:t>IP</w:t>
      </w:r>
      <w:r>
        <w:rPr>
          <w:rFonts w:ascii="Times New Roman" w:hAnsi="Times New Roman" w:eastAsia="Times New Roman" w:cs="Times New Roman"/>
          <w:spacing w:val="7"/>
          <w:sz w:val="20"/>
          <w:szCs w:val="20"/>
        </w:rPr>
        <w:t xml:space="preserve"> </w:t>
      </w:r>
      <w:r>
        <w:rPr>
          <w:spacing w:val="7"/>
          <w:sz w:val="20"/>
          <w:szCs w:val="20"/>
        </w:rPr>
        <w:t>地址范围、子网网段和路由配置等，不同的</w:t>
      </w:r>
      <w:r>
        <w:rPr>
          <w:rFonts w:ascii="Times New Roman" w:hAnsi="Times New Roman" w:eastAsia="Times New Roman" w:cs="Times New Roman"/>
          <w:sz w:val="20"/>
          <w:szCs w:val="20"/>
        </w:rPr>
        <w:t>VPC</w:t>
      </w:r>
      <w:r>
        <w:rPr>
          <w:rFonts w:ascii="Times New Roman" w:hAnsi="Times New Roman" w:eastAsia="Times New Roman" w:cs="Times New Roman"/>
          <w:spacing w:val="-7"/>
          <w:sz w:val="20"/>
          <w:szCs w:val="20"/>
        </w:rPr>
        <w:t xml:space="preserve"> </w:t>
      </w:r>
      <w:r>
        <w:rPr>
          <w:spacing w:val="7"/>
          <w:sz w:val="20"/>
          <w:szCs w:val="20"/>
        </w:rPr>
        <w:t>之间实现彻底</w:t>
      </w:r>
      <w:r>
        <w:rPr>
          <w:spacing w:val="6"/>
          <w:sz w:val="20"/>
          <w:szCs w:val="20"/>
        </w:rPr>
        <w:t>逻辑隔离。专</w:t>
      </w:r>
      <w:r>
        <w:rPr>
          <w:sz w:val="20"/>
          <w:szCs w:val="20"/>
        </w:rPr>
        <w:t xml:space="preserve"> </w:t>
      </w:r>
      <w:r>
        <w:rPr>
          <w:spacing w:val="6"/>
          <w:sz w:val="20"/>
          <w:szCs w:val="20"/>
        </w:rPr>
        <w:t>有网络的应用场景有：本地数据中心+云上业务的混合云模式</w:t>
      </w:r>
      <w:r>
        <w:rPr>
          <w:spacing w:val="5"/>
          <w:sz w:val="20"/>
          <w:szCs w:val="20"/>
        </w:rPr>
        <w:t>、多租户的安全隔离、主动访问</w:t>
      </w:r>
      <w:r>
        <w:rPr>
          <w:sz w:val="20"/>
          <w:szCs w:val="20"/>
        </w:rPr>
        <w:t xml:space="preserve"> </w:t>
      </w:r>
      <w:r>
        <w:rPr>
          <w:spacing w:val="-5"/>
          <w:sz w:val="20"/>
          <w:szCs w:val="20"/>
        </w:rPr>
        <w:t>公网的抓取类业务。</w:t>
      </w:r>
    </w:p>
    <w:p w14:paraId="62071DDE">
      <w:pPr>
        <w:spacing w:before="111" w:line="229" w:lineRule="auto"/>
        <w:ind w:left="730"/>
        <w:rPr>
          <w:rFonts w:ascii="楷体" w:hAnsi="楷体" w:eastAsia="楷体" w:cs="楷体"/>
          <w:sz w:val="20"/>
          <w:szCs w:val="20"/>
        </w:rPr>
      </w:pPr>
      <w:r>
        <w:rPr>
          <w:rFonts w:ascii="楷体" w:hAnsi="楷体" w:eastAsia="楷体" w:cs="楷体"/>
          <w:spacing w:val="18"/>
          <w:sz w:val="20"/>
          <w:szCs w:val="20"/>
        </w:rPr>
        <w:t>2)负载均衡</w:t>
      </w:r>
    </w:p>
    <w:p w14:paraId="10DE9DDA">
      <w:pPr>
        <w:pStyle w:val="2"/>
        <w:spacing w:before="37" w:line="302" w:lineRule="auto"/>
        <w:ind w:left="330" w:right="81" w:firstLine="400"/>
        <w:rPr>
          <w:sz w:val="20"/>
          <w:szCs w:val="20"/>
        </w:rPr>
      </w:pPr>
      <w:r>
        <w:rPr>
          <w:sz w:val="20"/>
          <w:szCs w:val="20"/>
        </w:rPr>
        <w:t>负载均衡</w:t>
      </w:r>
      <w:r>
        <w:rPr>
          <w:spacing w:val="-17"/>
          <w:sz w:val="20"/>
          <w:szCs w:val="20"/>
        </w:rPr>
        <w:t xml:space="preserve"> </w:t>
      </w:r>
      <w:r>
        <w:rPr>
          <w:rFonts w:ascii="Times New Roman" w:hAnsi="Times New Roman" w:eastAsia="Times New Roman" w:cs="Times New Roman"/>
          <w:sz w:val="20"/>
          <w:szCs w:val="20"/>
        </w:rPr>
        <w:t xml:space="preserve">(Server    Load    Balancer,SLB) </w:t>
      </w:r>
      <w:r>
        <w:rPr>
          <w:sz w:val="20"/>
          <w:szCs w:val="20"/>
        </w:rPr>
        <w:t xml:space="preserve">是对多台云服务器进行流量分发的均衡服务，可以 </w:t>
      </w:r>
      <w:r>
        <w:rPr>
          <w:spacing w:val="-1"/>
          <w:sz w:val="20"/>
          <w:szCs w:val="20"/>
        </w:rPr>
        <w:t>通过流量分发扩展应用系统对外的服务能力，通过消除单点故障提升应用系统的可用性。</w:t>
      </w:r>
    </w:p>
    <w:p w14:paraId="136028EC">
      <w:pPr>
        <w:pStyle w:val="2"/>
        <w:spacing w:before="18" w:line="219" w:lineRule="auto"/>
        <w:ind w:left="730"/>
        <w:rPr>
          <w:sz w:val="20"/>
          <w:szCs w:val="20"/>
        </w:rPr>
      </w:pPr>
      <w:r>
        <w:rPr>
          <w:spacing w:val="-6"/>
          <w:sz w:val="20"/>
          <w:szCs w:val="20"/>
        </w:rPr>
        <w:t>负载均衡的功能特点有：</w:t>
      </w:r>
    </w:p>
    <w:p w14:paraId="08ADA978">
      <w:pPr>
        <w:pStyle w:val="2"/>
        <w:spacing w:before="63" w:line="266" w:lineRule="auto"/>
        <w:ind w:left="1009" w:right="91" w:hanging="279"/>
        <w:rPr>
          <w:sz w:val="20"/>
          <w:szCs w:val="20"/>
        </w:rPr>
      </w:pPr>
      <w:r>
        <w:rPr>
          <w:spacing w:val="7"/>
          <w:sz w:val="20"/>
          <w:szCs w:val="20"/>
        </w:rPr>
        <w:t>●高可用。采用全冗余设计，无单点，支持同城容灾，搭配</w:t>
      </w:r>
      <w:r>
        <w:rPr>
          <w:sz w:val="20"/>
          <w:szCs w:val="20"/>
        </w:rPr>
        <w:t>DNS</w:t>
      </w:r>
      <w:r>
        <w:rPr>
          <w:spacing w:val="65"/>
          <w:sz w:val="20"/>
          <w:szCs w:val="20"/>
        </w:rPr>
        <w:t xml:space="preserve"> </w:t>
      </w:r>
      <w:r>
        <w:rPr>
          <w:spacing w:val="7"/>
          <w:sz w:val="20"/>
          <w:szCs w:val="20"/>
        </w:rPr>
        <w:t>可实现跨地域容灾，可</w:t>
      </w:r>
      <w:r>
        <w:rPr>
          <w:sz w:val="20"/>
          <w:szCs w:val="20"/>
        </w:rPr>
        <w:t xml:space="preserve"> </w:t>
      </w:r>
      <w:r>
        <w:rPr>
          <w:spacing w:val="-1"/>
          <w:sz w:val="20"/>
          <w:szCs w:val="20"/>
        </w:rPr>
        <w:t>用性高。根据应用负载进行弹性扩容，在流量波动情况下不中</w:t>
      </w:r>
      <w:r>
        <w:rPr>
          <w:spacing w:val="-2"/>
          <w:sz w:val="20"/>
          <w:szCs w:val="20"/>
        </w:rPr>
        <w:t>断对外服务。</w:t>
      </w:r>
    </w:p>
    <w:p w14:paraId="1DBAB7D6">
      <w:pPr>
        <w:pStyle w:val="2"/>
        <w:spacing w:before="82" w:line="219" w:lineRule="auto"/>
        <w:ind w:left="730"/>
        <w:rPr>
          <w:sz w:val="20"/>
          <w:szCs w:val="20"/>
        </w:rPr>
      </w:pPr>
      <w:r>
        <w:rPr>
          <w:spacing w:val="1"/>
          <w:sz w:val="20"/>
          <w:szCs w:val="20"/>
        </w:rPr>
        <w:t>●低成本。与传统硬件负载均衡系统的高投入相比成本低。</w:t>
      </w:r>
    </w:p>
    <w:p w14:paraId="2E68DF9E">
      <w:pPr>
        <w:pStyle w:val="2"/>
        <w:spacing w:before="94" w:line="274" w:lineRule="auto"/>
        <w:ind w:left="330" w:right="80" w:firstLine="400"/>
        <w:rPr>
          <w:sz w:val="20"/>
          <w:szCs w:val="20"/>
        </w:rPr>
      </w:pPr>
      <w:r>
        <w:rPr>
          <w:spacing w:val="6"/>
          <w:sz w:val="20"/>
          <w:szCs w:val="20"/>
        </w:rPr>
        <w:t>负载均衡的应用场景有：高访问量的业务、横向扩张系统、消除单点故障、</w:t>
      </w:r>
      <w:r>
        <w:rPr>
          <w:spacing w:val="5"/>
          <w:sz w:val="20"/>
          <w:szCs w:val="20"/>
        </w:rPr>
        <w:t>同城容灾(多</w:t>
      </w:r>
      <w:r>
        <w:rPr>
          <w:sz w:val="20"/>
          <w:szCs w:val="20"/>
        </w:rPr>
        <w:t xml:space="preserve"> </w:t>
      </w:r>
      <w:r>
        <w:rPr>
          <w:spacing w:val="-2"/>
          <w:sz w:val="20"/>
          <w:szCs w:val="20"/>
        </w:rPr>
        <w:t>可用区容灾)。</w:t>
      </w:r>
    </w:p>
    <w:p w14:paraId="3C0F2F82">
      <w:pPr>
        <w:spacing w:before="105" w:line="227" w:lineRule="auto"/>
        <w:ind w:left="730"/>
        <w:rPr>
          <w:rFonts w:ascii="Times New Roman" w:hAnsi="Times New Roman" w:eastAsia="Times New Roman" w:cs="Times New Roman"/>
          <w:sz w:val="20"/>
          <w:szCs w:val="20"/>
        </w:rPr>
      </w:pPr>
      <w:r>
        <w:rPr>
          <w:rFonts w:ascii="楷体" w:hAnsi="楷体" w:eastAsia="楷体" w:cs="楷体"/>
          <w:spacing w:val="20"/>
          <w:sz w:val="20"/>
          <w:szCs w:val="20"/>
        </w:rPr>
        <w:t>3)弹性公网</w:t>
      </w:r>
      <w:r>
        <w:rPr>
          <w:rFonts w:ascii="Times New Roman" w:hAnsi="Times New Roman" w:eastAsia="Times New Roman" w:cs="Times New Roman"/>
          <w:sz w:val="20"/>
          <w:szCs w:val="20"/>
        </w:rPr>
        <w:t>IP</w:t>
      </w:r>
    </w:p>
    <w:p w14:paraId="6028E7C6">
      <w:pPr>
        <w:pStyle w:val="2"/>
        <w:spacing w:before="53" w:line="288" w:lineRule="auto"/>
        <w:ind w:left="330" w:firstLine="400"/>
        <w:rPr>
          <w:sz w:val="20"/>
          <w:szCs w:val="20"/>
        </w:rPr>
      </w:pPr>
      <w:r>
        <w:rPr>
          <w:spacing w:val="2"/>
          <w:sz w:val="20"/>
          <w:szCs w:val="20"/>
        </w:rPr>
        <w:t>弹性公网</w:t>
      </w:r>
      <w:r>
        <w:rPr>
          <w:rFonts w:ascii="Times New Roman" w:hAnsi="Times New Roman" w:eastAsia="Times New Roman" w:cs="Times New Roman"/>
          <w:sz w:val="20"/>
          <w:szCs w:val="20"/>
        </w:rPr>
        <w:t>IP</w:t>
      </w:r>
      <w:r>
        <w:rPr>
          <w:rFonts w:ascii="Times New Roman" w:hAnsi="Times New Roman" w:eastAsia="Times New Roman" w:cs="Times New Roman"/>
          <w:spacing w:val="35"/>
          <w:sz w:val="20"/>
          <w:szCs w:val="20"/>
        </w:rPr>
        <w:t xml:space="preserve"> </w:t>
      </w:r>
      <w:r>
        <w:rPr>
          <w:spacing w:val="2"/>
          <w:sz w:val="20"/>
          <w:szCs w:val="20"/>
        </w:rPr>
        <w:t>地</w:t>
      </w:r>
      <w:r>
        <w:rPr>
          <w:spacing w:val="-45"/>
          <w:sz w:val="20"/>
          <w:szCs w:val="20"/>
        </w:rPr>
        <w:t xml:space="preserve"> </w:t>
      </w:r>
      <w:r>
        <w:rPr>
          <w:spacing w:val="2"/>
          <w:sz w:val="20"/>
          <w:szCs w:val="20"/>
        </w:rPr>
        <w:t>址</w:t>
      </w:r>
      <w:r>
        <w:rPr>
          <w:spacing w:val="-49"/>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Elastic</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Address</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EIP</w:t>
      </w:r>
      <w:r>
        <w:rPr>
          <w:rFonts w:ascii="Times New Roman" w:hAnsi="Times New Roman" w:eastAsia="Times New Roman" w:cs="Times New Roman"/>
          <w:spacing w:val="2"/>
          <w:sz w:val="20"/>
          <w:szCs w:val="20"/>
        </w:rPr>
        <w:t xml:space="preserve">) </w:t>
      </w:r>
      <w:r>
        <w:rPr>
          <w:spacing w:val="2"/>
          <w:sz w:val="20"/>
          <w:szCs w:val="20"/>
        </w:rPr>
        <w:t>是可以独立购买和持有的公网</w:t>
      </w:r>
      <w:r>
        <w:rPr>
          <w:rFonts w:ascii="Times New Roman" w:hAnsi="Times New Roman" w:eastAsia="Times New Roman" w:cs="Times New Roman"/>
          <w:sz w:val="20"/>
          <w:szCs w:val="20"/>
        </w:rPr>
        <w:t>IP</w:t>
      </w:r>
      <w:r>
        <w:rPr>
          <w:rFonts w:ascii="Times New Roman" w:hAnsi="Times New Roman" w:eastAsia="Times New Roman" w:cs="Times New Roman"/>
          <w:spacing w:val="17"/>
          <w:w w:val="101"/>
          <w:sz w:val="20"/>
          <w:szCs w:val="20"/>
        </w:rPr>
        <w:t xml:space="preserve"> </w:t>
      </w:r>
      <w:r>
        <w:rPr>
          <w:spacing w:val="2"/>
          <w:sz w:val="20"/>
          <w:szCs w:val="20"/>
        </w:rPr>
        <w:t>地址资源。目</w:t>
      </w:r>
      <w:r>
        <w:rPr>
          <w:sz w:val="20"/>
          <w:szCs w:val="20"/>
        </w:rPr>
        <w:t xml:space="preserve"> </w:t>
      </w:r>
      <w:r>
        <w:rPr>
          <w:spacing w:val="-1"/>
          <w:sz w:val="20"/>
          <w:szCs w:val="20"/>
        </w:rPr>
        <w:t>前，</w:t>
      </w:r>
      <w:r>
        <w:rPr>
          <w:rFonts w:ascii="Times New Roman" w:hAnsi="Times New Roman" w:eastAsia="Times New Roman" w:cs="Times New Roman"/>
          <w:spacing w:val="-1"/>
          <w:sz w:val="20"/>
          <w:szCs w:val="20"/>
        </w:rPr>
        <w:t>EIP</w:t>
      </w:r>
      <w:r>
        <w:rPr>
          <w:rFonts w:ascii="Times New Roman" w:hAnsi="Times New Roman" w:eastAsia="Times New Roman" w:cs="Times New Roman"/>
          <w:spacing w:val="28"/>
          <w:sz w:val="20"/>
          <w:szCs w:val="20"/>
        </w:rPr>
        <w:t xml:space="preserve"> </w:t>
      </w:r>
      <w:r>
        <w:rPr>
          <w:spacing w:val="-1"/>
          <w:sz w:val="20"/>
          <w:szCs w:val="20"/>
        </w:rPr>
        <w:t>可绑定到专有网络类型的云服务器实例、专有网络类型的私网</w:t>
      </w:r>
      <w:r>
        <w:rPr>
          <w:rFonts w:ascii="Times New Roman" w:hAnsi="Times New Roman" w:eastAsia="Times New Roman" w:cs="Times New Roman"/>
          <w:spacing w:val="-1"/>
          <w:sz w:val="20"/>
          <w:szCs w:val="20"/>
        </w:rPr>
        <w:t xml:space="preserve">SLB </w:t>
      </w:r>
      <w:r>
        <w:rPr>
          <w:spacing w:val="-1"/>
          <w:sz w:val="20"/>
          <w:szCs w:val="20"/>
        </w:rPr>
        <w:t>实例和</w:t>
      </w:r>
      <w:r>
        <w:rPr>
          <w:rFonts w:ascii="Times New Roman" w:hAnsi="Times New Roman" w:eastAsia="Times New Roman" w:cs="Times New Roman"/>
          <w:spacing w:val="-1"/>
          <w:sz w:val="20"/>
          <w:szCs w:val="20"/>
        </w:rPr>
        <w:t xml:space="preserve">NAT </w:t>
      </w:r>
      <w:r>
        <w:rPr>
          <w:spacing w:val="-1"/>
          <w:sz w:val="20"/>
          <w:szCs w:val="20"/>
        </w:rPr>
        <w:t>网关上。</w:t>
      </w:r>
      <w:r>
        <w:rPr>
          <w:sz w:val="20"/>
          <w:szCs w:val="20"/>
        </w:rPr>
        <w:t xml:space="preserve"> </w:t>
      </w:r>
      <w:r>
        <w:rPr>
          <w:spacing w:val="5"/>
          <w:sz w:val="20"/>
          <w:szCs w:val="20"/>
        </w:rPr>
        <w:t>弹性公网</w:t>
      </w:r>
      <w:r>
        <w:rPr>
          <w:rFonts w:ascii="Times New Roman" w:hAnsi="Times New Roman" w:eastAsia="Times New Roman" w:cs="Times New Roman"/>
          <w:sz w:val="20"/>
          <w:szCs w:val="20"/>
        </w:rPr>
        <w:t>IP</w:t>
      </w:r>
      <w:r>
        <w:rPr>
          <w:rFonts w:ascii="Times New Roman" w:hAnsi="Times New Roman" w:eastAsia="Times New Roman" w:cs="Times New Roman"/>
          <w:spacing w:val="23"/>
          <w:sz w:val="20"/>
          <w:szCs w:val="20"/>
        </w:rPr>
        <w:t xml:space="preserve"> </w:t>
      </w:r>
      <w:r>
        <w:rPr>
          <w:spacing w:val="5"/>
          <w:sz w:val="20"/>
          <w:szCs w:val="20"/>
        </w:rPr>
        <w:t>是一种网络地址转换</w:t>
      </w:r>
      <w:r>
        <w:rPr>
          <w:spacing w:val="-4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Network</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Address</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Translation</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NAT</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5"/>
          <w:sz w:val="20"/>
          <w:szCs w:val="20"/>
        </w:rPr>
        <w:t xml:space="preserve">, </w:t>
      </w:r>
      <w:r>
        <w:rPr>
          <w:spacing w:val="5"/>
          <w:sz w:val="20"/>
          <w:szCs w:val="20"/>
        </w:rPr>
        <w:t>它实际位于云的公</w:t>
      </w:r>
      <w:r>
        <w:rPr>
          <w:sz w:val="20"/>
          <w:szCs w:val="20"/>
        </w:rPr>
        <w:t xml:space="preserve">  </w:t>
      </w:r>
      <w:r>
        <w:rPr>
          <w:spacing w:val="2"/>
          <w:sz w:val="20"/>
          <w:szCs w:val="20"/>
        </w:rPr>
        <w:t>网网关上，通过</w:t>
      </w:r>
      <w:r>
        <w:rPr>
          <w:rFonts w:ascii="Times New Roman" w:hAnsi="Times New Roman" w:eastAsia="Times New Roman" w:cs="Times New Roman"/>
          <w:sz w:val="20"/>
          <w:szCs w:val="20"/>
        </w:rPr>
        <w:t>NAT</w:t>
      </w:r>
      <w:r>
        <w:rPr>
          <w:rFonts w:ascii="Times New Roman" w:hAnsi="Times New Roman" w:eastAsia="Times New Roman" w:cs="Times New Roman"/>
          <w:spacing w:val="-14"/>
          <w:sz w:val="20"/>
          <w:szCs w:val="20"/>
        </w:rPr>
        <w:t xml:space="preserve"> </w:t>
      </w:r>
      <w:r>
        <w:rPr>
          <w:spacing w:val="2"/>
          <w:sz w:val="20"/>
          <w:szCs w:val="20"/>
        </w:rPr>
        <w:t>方式映射到了被绑定的实例位于私网的网卡上。</w:t>
      </w:r>
      <w:r>
        <w:rPr>
          <w:spacing w:val="1"/>
          <w:sz w:val="20"/>
          <w:szCs w:val="20"/>
        </w:rPr>
        <w:t>因此，绑定了弹性公网</w:t>
      </w:r>
      <w:r>
        <w:rPr>
          <w:rFonts w:ascii="Times New Roman" w:hAnsi="Times New Roman" w:eastAsia="Times New Roman" w:cs="Times New Roman"/>
          <w:sz w:val="20"/>
          <w:szCs w:val="20"/>
        </w:rPr>
        <w:t xml:space="preserve">IP   </w:t>
      </w:r>
      <w:r>
        <w:rPr>
          <w:spacing w:val="7"/>
          <w:sz w:val="20"/>
          <w:szCs w:val="20"/>
        </w:rPr>
        <w:t>的专有网络实例可以直接使用这个</w:t>
      </w:r>
      <w:r>
        <w:rPr>
          <w:rFonts w:ascii="Times New Roman" w:hAnsi="Times New Roman" w:eastAsia="Times New Roman" w:cs="Times New Roman"/>
          <w:sz w:val="20"/>
          <w:szCs w:val="20"/>
        </w:rPr>
        <w:t>IP</w:t>
      </w:r>
      <w:r>
        <w:rPr>
          <w:rFonts w:ascii="Times New Roman" w:hAnsi="Times New Roman" w:eastAsia="Times New Roman" w:cs="Times New Roman"/>
          <w:spacing w:val="7"/>
          <w:sz w:val="20"/>
          <w:szCs w:val="20"/>
        </w:rPr>
        <w:t xml:space="preserve"> </w:t>
      </w:r>
      <w:r>
        <w:rPr>
          <w:spacing w:val="7"/>
          <w:sz w:val="20"/>
          <w:szCs w:val="20"/>
        </w:rPr>
        <w:t>进行公网通信，但是在实例的网卡上并不能看到这个</w:t>
      </w:r>
      <w:r>
        <w:rPr>
          <w:rFonts w:ascii="Times New Roman" w:hAnsi="Times New Roman" w:eastAsia="Times New Roman" w:cs="Times New Roman"/>
          <w:sz w:val="20"/>
          <w:szCs w:val="20"/>
        </w:rPr>
        <w:t>IP</w:t>
      </w:r>
      <w:r>
        <w:rPr>
          <w:rFonts w:ascii="Times New Roman" w:hAnsi="Times New Roman" w:eastAsia="Times New Roman" w:cs="Times New Roman"/>
          <w:spacing w:val="4"/>
          <w:sz w:val="20"/>
          <w:szCs w:val="20"/>
        </w:rPr>
        <w:t xml:space="preserve">   </w:t>
      </w:r>
      <w:r>
        <w:rPr>
          <w:sz w:val="20"/>
          <w:szCs w:val="20"/>
        </w:rPr>
        <w:t>地址。</w:t>
      </w:r>
    </w:p>
    <w:p w14:paraId="00631EE7">
      <w:pPr>
        <w:pStyle w:val="2"/>
        <w:spacing w:before="30" w:line="219" w:lineRule="auto"/>
        <w:ind w:left="730"/>
        <w:rPr>
          <w:sz w:val="20"/>
          <w:szCs w:val="20"/>
        </w:rPr>
      </w:pPr>
      <w:r>
        <w:rPr>
          <w:spacing w:val="-2"/>
          <w:sz w:val="20"/>
          <w:szCs w:val="20"/>
        </w:rPr>
        <w:t>弹性公网</w:t>
      </w:r>
      <w:r>
        <w:rPr>
          <w:rFonts w:ascii="Times New Roman" w:hAnsi="Times New Roman" w:eastAsia="Times New Roman" w:cs="Times New Roman"/>
          <w:spacing w:val="-2"/>
          <w:sz w:val="20"/>
          <w:szCs w:val="20"/>
        </w:rPr>
        <w:t>IP</w:t>
      </w:r>
      <w:r>
        <w:rPr>
          <w:rFonts w:ascii="Times New Roman" w:hAnsi="Times New Roman" w:eastAsia="Times New Roman" w:cs="Times New Roman"/>
          <w:spacing w:val="31"/>
          <w:sz w:val="20"/>
          <w:szCs w:val="20"/>
        </w:rPr>
        <w:t xml:space="preserve"> </w:t>
      </w:r>
      <w:r>
        <w:rPr>
          <w:spacing w:val="-2"/>
          <w:sz w:val="20"/>
          <w:szCs w:val="20"/>
        </w:rPr>
        <w:t>的功能特点有：</w:t>
      </w:r>
    </w:p>
    <w:p w14:paraId="01FD2DF2">
      <w:pPr>
        <w:pStyle w:val="2"/>
        <w:spacing w:before="74" w:line="220" w:lineRule="auto"/>
        <w:ind w:left="730"/>
        <w:rPr>
          <w:sz w:val="20"/>
          <w:szCs w:val="20"/>
        </w:rPr>
      </w:pPr>
      <w:r>
        <w:rPr>
          <w:spacing w:val="3"/>
          <w:sz w:val="20"/>
          <w:szCs w:val="20"/>
        </w:rPr>
        <w:t>●灵活独立的公网</w:t>
      </w:r>
      <w:r>
        <w:rPr>
          <w:sz w:val="20"/>
          <w:szCs w:val="20"/>
        </w:rPr>
        <w:t>IP</w:t>
      </w:r>
      <w:r>
        <w:rPr>
          <w:spacing w:val="-31"/>
          <w:sz w:val="20"/>
          <w:szCs w:val="20"/>
        </w:rPr>
        <w:t xml:space="preserve"> </w:t>
      </w:r>
      <w:r>
        <w:rPr>
          <w:spacing w:val="3"/>
          <w:sz w:val="20"/>
          <w:szCs w:val="20"/>
        </w:rPr>
        <w:t>资源；</w:t>
      </w:r>
    </w:p>
    <w:p w14:paraId="2C4B6D4A">
      <w:pPr>
        <w:pStyle w:val="2"/>
        <w:spacing w:before="92" w:line="220" w:lineRule="auto"/>
        <w:ind w:left="730"/>
        <w:rPr>
          <w:sz w:val="20"/>
          <w:szCs w:val="20"/>
        </w:rPr>
      </w:pPr>
      <w:r>
        <w:rPr>
          <w:spacing w:val="3"/>
          <w:sz w:val="20"/>
          <w:szCs w:val="20"/>
        </w:rPr>
        <w:t>●动态绑定和解绑；</w:t>
      </w:r>
    </w:p>
    <w:p w14:paraId="33A1B448">
      <w:pPr>
        <w:pStyle w:val="2"/>
        <w:spacing w:before="81" w:line="219" w:lineRule="auto"/>
        <w:ind w:left="730"/>
        <w:rPr>
          <w:sz w:val="20"/>
          <w:szCs w:val="20"/>
        </w:rPr>
      </w:pPr>
      <w:r>
        <w:rPr>
          <w:spacing w:val="4"/>
          <w:sz w:val="20"/>
          <w:szCs w:val="20"/>
        </w:rPr>
        <w:t>●按需购买和灵活管理。</w:t>
      </w:r>
    </w:p>
    <w:p w14:paraId="2708DD04">
      <w:pPr>
        <w:pStyle w:val="2"/>
        <w:spacing w:before="92" w:line="263" w:lineRule="auto"/>
        <w:ind w:left="330" w:right="70" w:firstLine="400"/>
        <w:rPr>
          <w:sz w:val="20"/>
          <w:szCs w:val="20"/>
        </w:rPr>
      </w:pPr>
      <w:r>
        <w:rPr>
          <w:spacing w:val="2"/>
          <w:sz w:val="20"/>
          <w:szCs w:val="20"/>
        </w:rPr>
        <w:t>弹性公网</w:t>
      </w:r>
      <w:r>
        <w:rPr>
          <w:rFonts w:ascii="Times New Roman" w:hAnsi="Times New Roman" w:eastAsia="Times New Roman" w:cs="Times New Roman"/>
          <w:sz w:val="20"/>
          <w:szCs w:val="20"/>
        </w:rPr>
        <w:t>IP</w:t>
      </w:r>
      <w:r>
        <w:rPr>
          <w:rFonts w:ascii="Times New Roman" w:hAnsi="Times New Roman" w:eastAsia="Times New Roman" w:cs="Times New Roman"/>
          <w:spacing w:val="34"/>
          <w:w w:val="101"/>
          <w:sz w:val="20"/>
          <w:szCs w:val="20"/>
        </w:rPr>
        <w:t xml:space="preserve"> </w:t>
      </w:r>
      <w:r>
        <w:rPr>
          <w:spacing w:val="2"/>
          <w:sz w:val="20"/>
          <w:szCs w:val="20"/>
        </w:rPr>
        <w:t>的应用场景有：业务系统高可靠的需求、带宽使用成本降低的需求、保证系统</w:t>
      </w:r>
      <w:r>
        <w:rPr>
          <w:sz w:val="20"/>
          <w:szCs w:val="20"/>
        </w:rPr>
        <w:t xml:space="preserve"> </w:t>
      </w:r>
      <w:r>
        <w:rPr>
          <w:spacing w:val="-2"/>
          <w:sz w:val="20"/>
          <w:szCs w:val="20"/>
        </w:rPr>
        <w:t>实时性的需求、游戏业务精确分区和游戏玩家多房间接入需求。</w:t>
      </w:r>
    </w:p>
    <w:p w14:paraId="1007423C">
      <w:pPr>
        <w:pStyle w:val="2"/>
        <w:spacing w:before="106" w:line="221" w:lineRule="auto"/>
        <w:ind w:left="732"/>
        <w:rPr>
          <w:rFonts w:ascii="黑体" w:hAnsi="黑体" w:eastAsia="黑体" w:cs="黑体"/>
          <w:sz w:val="20"/>
          <w:szCs w:val="20"/>
        </w:rPr>
      </w:pPr>
      <w:r>
        <w:rPr>
          <w:b/>
          <w:bCs/>
          <w:color w:val="0059C0"/>
          <w:spacing w:val="-1"/>
          <w:sz w:val="20"/>
          <w:szCs w:val="20"/>
        </w:rPr>
        <w:t>4.</w:t>
      </w:r>
      <w:r>
        <w:rPr>
          <w:rFonts w:ascii="黑体" w:hAnsi="黑体" w:eastAsia="黑体" w:cs="黑体"/>
          <w:b/>
          <w:bCs/>
          <w:color w:val="0059C0"/>
          <w:spacing w:val="-1"/>
          <w:sz w:val="20"/>
          <w:szCs w:val="20"/>
        </w:rPr>
        <w:t>数据库类产品</w:t>
      </w:r>
    </w:p>
    <w:p w14:paraId="2784A138">
      <w:pPr>
        <w:pStyle w:val="2"/>
        <w:spacing w:before="145" w:line="279" w:lineRule="auto"/>
        <w:ind w:left="330" w:firstLine="400"/>
        <w:jc w:val="both"/>
        <w:rPr>
          <w:sz w:val="20"/>
          <w:szCs w:val="20"/>
        </w:rPr>
      </w:pPr>
      <w:r>
        <w:rPr>
          <w:spacing w:val="3"/>
          <w:sz w:val="20"/>
          <w:szCs w:val="20"/>
        </w:rPr>
        <w:t>云关系型数据库是一种稳定可靠、可弹性伸缩的在线数据库服务。基于云分布式文件系统</w:t>
      </w:r>
      <w:r>
        <w:rPr>
          <w:sz w:val="20"/>
          <w:szCs w:val="20"/>
        </w:rPr>
        <w:t xml:space="preserve">  </w:t>
      </w:r>
      <w:r>
        <w:rPr>
          <w:spacing w:val="9"/>
          <w:sz w:val="20"/>
          <w:szCs w:val="20"/>
        </w:rPr>
        <w:t>和高性能存储，云关系型数据库支持</w:t>
      </w:r>
      <w:r>
        <w:rPr>
          <w:sz w:val="20"/>
          <w:szCs w:val="20"/>
        </w:rPr>
        <w:t>MySQL</w:t>
      </w:r>
      <w:r>
        <w:rPr>
          <w:spacing w:val="9"/>
          <w:sz w:val="20"/>
          <w:szCs w:val="20"/>
        </w:rPr>
        <w:t>、</w:t>
      </w:r>
      <w:r>
        <w:rPr>
          <w:sz w:val="20"/>
          <w:szCs w:val="20"/>
        </w:rPr>
        <w:t>SQL</w:t>
      </w:r>
      <w:r>
        <w:rPr>
          <w:spacing w:val="9"/>
          <w:sz w:val="20"/>
          <w:szCs w:val="20"/>
        </w:rPr>
        <w:t xml:space="preserve">  </w:t>
      </w:r>
      <w:r>
        <w:rPr>
          <w:sz w:val="20"/>
          <w:szCs w:val="20"/>
        </w:rPr>
        <w:t>Server</w:t>
      </w:r>
      <w:r>
        <w:rPr>
          <w:spacing w:val="9"/>
          <w:sz w:val="20"/>
          <w:szCs w:val="20"/>
        </w:rPr>
        <w:t>、</w:t>
      </w:r>
      <w:r>
        <w:rPr>
          <w:sz w:val="20"/>
          <w:szCs w:val="20"/>
        </w:rPr>
        <w:t>PostgreSQL</w:t>
      </w:r>
      <w:r>
        <w:rPr>
          <w:spacing w:val="9"/>
          <w:sz w:val="20"/>
          <w:szCs w:val="20"/>
        </w:rPr>
        <w:t>和</w:t>
      </w:r>
      <w:r>
        <w:rPr>
          <w:sz w:val="20"/>
          <w:szCs w:val="20"/>
        </w:rPr>
        <w:t>PPAS</w:t>
      </w:r>
      <w:r>
        <w:rPr>
          <w:spacing w:val="9"/>
          <w:sz w:val="20"/>
          <w:szCs w:val="20"/>
        </w:rPr>
        <w:t>(</w:t>
      </w:r>
      <w:r>
        <w:rPr>
          <w:sz w:val="20"/>
          <w:szCs w:val="20"/>
        </w:rPr>
        <w:t>Postgre</w:t>
      </w:r>
      <w:r>
        <w:rPr>
          <w:spacing w:val="45"/>
          <w:sz w:val="20"/>
          <w:szCs w:val="20"/>
        </w:rPr>
        <w:t xml:space="preserve"> </w:t>
      </w:r>
      <w:r>
        <w:rPr>
          <w:sz w:val="20"/>
          <w:szCs w:val="20"/>
        </w:rPr>
        <w:t xml:space="preserve">Plus </w:t>
      </w:r>
      <w:r>
        <w:rPr>
          <w:rFonts w:ascii="Times New Roman" w:hAnsi="Times New Roman" w:eastAsia="Times New Roman" w:cs="Times New Roman"/>
          <w:sz w:val="20"/>
          <w:szCs w:val="20"/>
        </w:rPr>
        <w:t>Advanced</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Server</w:t>
      </w:r>
      <w:r>
        <w:rPr>
          <w:rFonts w:ascii="Times New Roman" w:hAnsi="Times New Roman" w:eastAsia="Times New Roman" w:cs="Times New Roman"/>
          <w:spacing w:val="4"/>
          <w:sz w:val="20"/>
          <w:szCs w:val="20"/>
        </w:rPr>
        <w:t>,</w:t>
      </w:r>
      <w:r>
        <w:rPr>
          <w:rFonts w:ascii="Times New Roman" w:hAnsi="Times New Roman" w:eastAsia="Times New Roman" w:cs="Times New Roman"/>
          <w:spacing w:val="42"/>
          <w:w w:val="101"/>
          <w:sz w:val="20"/>
          <w:szCs w:val="20"/>
        </w:rPr>
        <w:t xml:space="preserve"> </w:t>
      </w:r>
      <w:r>
        <w:rPr>
          <w:spacing w:val="4"/>
          <w:sz w:val="20"/>
          <w:szCs w:val="20"/>
        </w:rPr>
        <w:t>一种高度兼容</w:t>
      </w:r>
      <w:r>
        <w:rPr>
          <w:rFonts w:ascii="Times New Roman" w:hAnsi="Times New Roman" w:eastAsia="Times New Roman" w:cs="Times New Roman"/>
          <w:sz w:val="20"/>
          <w:szCs w:val="20"/>
        </w:rPr>
        <w:t>Oracle</w:t>
      </w:r>
      <w:r>
        <w:rPr>
          <w:rFonts w:ascii="Times New Roman" w:hAnsi="Times New Roman" w:eastAsia="Times New Roman" w:cs="Times New Roman"/>
          <w:spacing w:val="14"/>
          <w:w w:val="101"/>
          <w:sz w:val="20"/>
          <w:szCs w:val="20"/>
        </w:rPr>
        <w:t xml:space="preserve"> </w:t>
      </w:r>
      <w:r>
        <w:rPr>
          <w:spacing w:val="4"/>
          <w:sz w:val="20"/>
          <w:szCs w:val="20"/>
        </w:rPr>
        <w:t>的数据库)引擎，并且提供了容灾、备份、恢复、监控、</w:t>
      </w:r>
      <w:r>
        <w:rPr>
          <w:sz w:val="20"/>
          <w:szCs w:val="20"/>
        </w:rPr>
        <w:t xml:space="preserve"> </w:t>
      </w:r>
      <w:r>
        <w:rPr>
          <w:spacing w:val="-3"/>
          <w:sz w:val="20"/>
          <w:szCs w:val="20"/>
        </w:rPr>
        <w:t>迁移等方面的全套解决方案。</w:t>
      </w:r>
    </w:p>
    <w:p w14:paraId="7E5CCBE3">
      <w:pPr>
        <w:spacing w:line="279" w:lineRule="auto"/>
        <w:rPr>
          <w:sz w:val="20"/>
          <w:szCs w:val="20"/>
        </w:rPr>
        <w:sectPr>
          <w:pgSz w:w="10300" w:h="13400"/>
          <w:pgMar w:top="400" w:right="1050" w:bottom="400" w:left="509" w:header="0" w:footer="0" w:gutter="0"/>
          <w:cols w:space="720" w:num="1"/>
        </w:sectPr>
      </w:pPr>
    </w:p>
    <w:p w14:paraId="67C8BF7F">
      <w:pPr>
        <w:pStyle w:val="2"/>
        <w:jc w:val="right"/>
        <w:rPr>
          <w:rFonts w:ascii="Times New Roman" w:hAnsi="Times New Roman" w:eastAsia="Times New Roman" w:cs="Times New Roman"/>
          <w:sz w:val="20"/>
          <w:szCs w:val="20"/>
        </w:rPr>
      </w:pPr>
      <w:r>
        <w:rPr>
          <w:spacing w:val="-4"/>
          <w:sz w:val="20"/>
          <w:szCs w:val="20"/>
        </w:rPr>
        <w:t>第4章 信息资源系统</w:t>
      </w:r>
      <w:r>
        <w:rPr>
          <w:spacing w:val="40"/>
          <w:sz w:val="20"/>
          <w:szCs w:val="20"/>
        </w:rPr>
        <w:t xml:space="preserve"> </w:t>
      </w:r>
      <w:r>
        <w:rPr>
          <w:position w:val="-12"/>
          <w:sz w:val="20"/>
          <w:szCs w:val="20"/>
        </w:rPr>
        <w:drawing>
          <wp:inline distT="0" distB="0" distL="0" distR="0">
            <wp:extent cx="285750" cy="24701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10"/>
                    <a:stretch>
                      <a:fillRect/>
                    </a:stretch>
                  </pic:blipFill>
                  <pic:spPr>
                    <a:xfrm>
                      <a:off x="0" y="0"/>
                      <a:ext cx="285803" cy="247639"/>
                    </a:xfrm>
                    <a:prstGeom prst="rect">
                      <a:avLst/>
                    </a:prstGeom>
                  </pic:spPr>
                </pic:pic>
              </a:graphicData>
            </a:graphic>
          </wp:inline>
        </w:drawing>
      </w:r>
      <w:r>
        <w:rPr>
          <w:rFonts w:ascii="Times New Roman" w:hAnsi="Times New Roman" w:eastAsia="Times New Roman" w:cs="Times New Roman"/>
          <w:color w:val="0088F1"/>
          <w:spacing w:val="-4"/>
          <w:position w:val="-2"/>
          <w:sz w:val="20"/>
          <w:szCs w:val="20"/>
        </w:rPr>
        <w:t xml:space="preserve">1  </w:t>
      </w:r>
      <w:r>
        <w:rPr>
          <w:rFonts w:ascii="Times New Roman" w:hAnsi="Times New Roman" w:eastAsia="Times New Roman" w:cs="Times New Roman"/>
          <w:spacing w:val="-4"/>
          <w:position w:val="-2"/>
          <w:sz w:val="20"/>
          <w:szCs w:val="20"/>
        </w:rPr>
        <w:t>35</w:t>
      </w:r>
    </w:p>
    <w:p w14:paraId="6CB640A2">
      <w:pPr>
        <w:spacing w:line="241" w:lineRule="auto"/>
        <w:rPr>
          <w:rFonts w:ascii="Arial"/>
          <w:sz w:val="21"/>
        </w:rPr>
      </w:pPr>
    </w:p>
    <w:p w14:paraId="67923F86">
      <w:pPr>
        <w:pStyle w:val="2"/>
        <w:spacing w:before="65" w:line="219" w:lineRule="auto"/>
        <w:ind w:left="399"/>
        <w:rPr>
          <w:sz w:val="20"/>
          <w:szCs w:val="20"/>
        </w:rPr>
      </w:pPr>
      <w:r>
        <w:rPr>
          <w:spacing w:val="-4"/>
          <w:sz w:val="20"/>
          <w:szCs w:val="20"/>
        </w:rPr>
        <w:t>云关系型数据库的功能特点有：</w:t>
      </w:r>
    </w:p>
    <w:p w14:paraId="72C8F6AD">
      <w:pPr>
        <w:pStyle w:val="2"/>
        <w:spacing w:before="72" w:line="219" w:lineRule="auto"/>
        <w:ind w:left="399"/>
        <w:rPr>
          <w:sz w:val="20"/>
          <w:szCs w:val="20"/>
        </w:rPr>
      </w:pPr>
      <w:r>
        <w:rPr>
          <w:spacing w:val="1"/>
          <w:sz w:val="20"/>
          <w:szCs w:val="20"/>
        </w:rPr>
        <w:t>●便宜易用。即开即用、按需升级、透明兼容、管理便捷。</w:t>
      </w:r>
    </w:p>
    <w:p w14:paraId="1618ED50">
      <w:pPr>
        <w:pStyle w:val="2"/>
        <w:spacing w:before="102" w:line="219" w:lineRule="auto"/>
        <w:ind w:left="399"/>
        <w:rPr>
          <w:sz w:val="20"/>
          <w:szCs w:val="20"/>
        </w:rPr>
      </w:pPr>
      <w:r>
        <w:rPr>
          <w:spacing w:val="-3"/>
          <w:sz w:val="20"/>
          <w:szCs w:val="20"/>
        </w:rPr>
        <w:t>●高性能。参数优化、</w:t>
      </w:r>
      <w:r>
        <w:rPr>
          <w:spacing w:val="-28"/>
          <w:sz w:val="20"/>
          <w:szCs w:val="20"/>
        </w:rPr>
        <w:t xml:space="preserve"> </w:t>
      </w:r>
      <w:r>
        <w:rPr>
          <w:spacing w:val="-3"/>
          <w:sz w:val="20"/>
          <w:szCs w:val="20"/>
        </w:rPr>
        <w:t>SQL</w:t>
      </w:r>
      <w:r>
        <w:rPr>
          <w:spacing w:val="48"/>
          <w:sz w:val="20"/>
          <w:szCs w:val="20"/>
        </w:rPr>
        <w:t xml:space="preserve"> </w:t>
      </w:r>
      <w:r>
        <w:rPr>
          <w:spacing w:val="-3"/>
          <w:sz w:val="20"/>
          <w:szCs w:val="20"/>
        </w:rPr>
        <w:t>优化建议、高端硬件投入。</w:t>
      </w:r>
    </w:p>
    <w:p w14:paraId="0AF5F7B9">
      <w:pPr>
        <w:pStyle w:val="2"/>
        <w:spacing w:before="73" w:line="219" w:lineRule="auto"/>
        <w:ind w:left="399"/>
        <w:rPr>
          <w:sz w:val="20"/>
          <w:szCs w:val="20"/>
        </w:rPr>
      </w:pPr>
      <w:r>
        <w:rPr>
          <w:spacing w:val="3"/>
          <w:sz w:val="20"/>
          <w:szCs w:val="20"/>
        </w:rPr>
        <w:t>●高安全性。防</w:t>
      </w:r>
      <w:r>
        <w:rPr>
          <w:sz w:val="20"/>
          <w:szCs w:val="20"/>
        </w:rPr>
        <w:t>DDoS</w:t>
      </w:r>
      <w:r>
        <w:rPr>
          <w:spacing w:val="73"/>
          <w:sz w:val="20"/>
          <w:szCs w:val="20"/>
        </w:rPr>
        <w:t xml:space="preserve"> </w:t>
      </w:r>
      <w:r>
        <w:rPr>
          <w:spacing w:val="3"/>
          <w:sz w:val="20"/>
          <w:szCs w:val="20"/>
        </w:rPr>
        <w:t>攻击、访问控制策略、系统安全。</w:t>
      </w:r>
    </w:p>
    <w:p w14:paraId="10546B6D">
      <w:pPr>
        <w:pStyle w:val="2"/>
        <w:spacing w:before="101" w:line="219" w:lineRule="auto"/>
        <w:ind w:left="399"/>
        <w:rPr>
          <w:sz w:val="20"/>
          <w:szCs w:val="20"/>
        </w:rPr>
      </w:pPr>
      <w:r>
        <w:rPr>
          <w:spacing w:val="1"/>
          <w:sz w:val="20"/>
          <w:szCs w:val="20"/>
        </w:rPr>
        <w:t>●高可靠性。双机热备、多副本冗余、数据备份、数据恢复。</w:t>
      </w:r>
    </w:p>
    <w:p w14:paraId="35654066">
      <w:pPr>
        <w:pStyle w:val="2"/>
        <w:spacing w:before="65" w:line="313" w:lineRule="auto"/>
        <w:ind w:right="340" w:firstLine="399"/>
        <w:rPr>
          <w:sz w:val="16"/>
          <w:szCs w:val="16"/>
        </w:rPr>
      </w:pPr>
      <w:r>
        <w:rPr>
          <w:spacing w:val="9"/>
          <w:sz w:val="20"/>
          <w:szCs w:val="20"/>
        </w:rPr>
        <w:t>云关系型数据库的应用场景有：异地容灾、数据多样化存储</w:t>
      </w:r>
      <w:r>
        <w:rPr>
          <w:spacing w:val="8"/>
          <w:sz w:val="20"/>
          <w:szCs w:val="20"/>
        </w:rPr>
        <w:t>、持久化缓存数据、大数据</w:t>
      </w:r>
      <w:r>
        <w:rPr>
          <w:sz w:val="20"/>
          <w:szCs w:val="20"/>
        </w:rPr>
        <w:t xml:space="preserve"> </w:t>
      </w:r>
      <w:r>
        <w:rPr>
          <w:spacing w:val="-6"/>
          <w:sz w:val="16"/>
          <w:szCs w:val="16"/>
        </w:rPr>
        <w:t>分</w:t>
      </w:r>
      <w:r>
        <w:rPr>
          <w:spacing w:val="-11"/>
          <w:sz w:val="16"/>
          <w:szCs w:val="16"/>
        </w:rPr>
        <w:t xml:space="preserve"> </w:t>
      </w:r>
      <w:r>
        <w:rPr>
          <w:spacing w:val="-6"/>
          <w:sz w:val="16"/>
          <w:szCs w:val="16"/>
        </w:rPr>
        <w:t>析</w:t>
      </w:r>
      <w:r>
        <w:rPr>
          <w:spacing w:val="-19"/>
          <w:sz w:val="16"/>
          <w:szCs w:val="16"/>
        </w:rPr>
        <w:t xml:space="preserve"> </w:t>
      </w:r>
      <w:r>
        <w:rPr>
          <w:spacing w:val="-6"/>
          <w:sz w:val="16"/>
          <w:szCs w:val="16"/>
        </w:rPr>
        <w:t>。</w:t>
      </w:r>
    </w:p>
    <w:p w14:paraId="5DD97D85">
      <w:pPr>
        <w:pStyle w:val="2"/>
        <w:spacing w:before="134" w:line="221" w:lineRule="auto"/>
        <w:ind w:left="402"/>
        <w:rPr>
          <w:rFonts w:ascii="黑体" w:hAnsi="黑体" w:eastAsia="黑体" w:cs="黑体"/>
          <w:sz w:val="20"/>
          <w:szCs w:val="20"/>
        </w:rPr>
      </w:pPr>
      <w:r>
        <w:rPr>
          <w:b/>
          <w:bCs/>
          <w:color w:val="0068C4"/>
          <w:sz w:val="20"/>
          <w:szCs w:val="20"/>
        </w:rPr>
        <w:t>5.</w:t>
      </w:r>
      <w:r>
        <w:rPr>
          <w:rFonts w:ascii="黑体" w:hAnsi="黑体" w:eastAsia="黑体" w:cs="黑体"/>
          <w:b/>
          <w:bCs/>
          <w:color w:val="0068C4"/>
          <w:sz w:val="20"/>
          <w:szCs w:val="20"/>
        </w:rPr>
        <w:t>安全类产品</w:t>
      </w:r>
    </w:p>
    <w:p w14:paraId="49012452">
      <w:pPr>
        <w:spacing w:before="183" w:line="212" w:lineRule="auto"/>
        <w:ind w:left="399"/>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1)DDoS</w:t>
      </w:r>
      <w:r>
        <w:rPr>
          <w:rFonts w:ascii="Times New Roman" w:hAnsi="Times New Roman" w:eastAsia="Times New Roman" w:cs="Times New Roman"/>
          <w:spacing w:val="12"/>
          <w:sz w:val="20"/>
          <w:szCs w:val="20"/>
        </w:rPr>
        <w:t xml:space="preserve">   </w:t>
      </w:r>
      <w:r>
        <w:rPr>
          <w:rFonts w:ascii="楷体" w:hAnsi="楷体" w:eastAsia="楷体" w:cs="楷体"/>
          <w:spacing w:val="-7"/>
          <w:sz w:val="20"/>
          <w:szCs w:val="20"/>
        </w:rPr>
        <w:t>高</w:t>
      </w:r>
      <w:r>
        <w:rPr>
          <w:rFonts w:ascii="楷体" w:hAnsi="楷体" w:eastAsia="楷体" w:cs="楷体"/>
          <w:spacing w:val="-29"/>
          <w:sz w:val="20"/>
          <w:szCs w:val="20"/>
        </w:rPr>
        <w:t xml:space="preserve"> </w:t>
      </w:r>
      <w:r>
        <w:rPr>
          <w:rFonts w:ascii="楷体" w:hAnsi="楷体" w:eastAsia="楷体" w:cs="楷体"/>
          <w:spacing w:val="-7"/>
          <w:sz w:val="20"/>
          <w:szCs w:val="20"/>
        </w:rPr>
        <w:t>防</w:t>
      </w:r>
      <w:r>
        <w:rPr>
          <w:rFonts w:ascii="Times New Roman" w:hAnsi="Times New Roman" w:eastAsia="Times New Roman" w:cs="Times New Roman"/>
          <w:spacing w:val="-7"/>
          <w:sz w:val="20"/>
          <w:szCs w:val="20"/>
        </w:rPr>
        <w:t>IP</w:t>
      </w:r>
    </w:p>
    <w:p w14:paraId="065303AE">
      <w:pPr>
        <w:pStyle w:val="2"/>
        <w:spacing w:before="122" w:line="297" w:lineRule="auto"/>
        <w:ind w:right="251" w:firstLine="399"/>
        <w:rPr>
          <w:sz w:val="16"/>
          <w:szCs w:val="16"/>
        </w:rPr>
      </w:pPr>
      <w:r>
        <w:rPr>
          <w:rFonts w:ascii="Times New Roman" w:hAnsi="Times New Roman" w:eastAsia="Times New Roman" w:cs="Times New Roman"/>
          <w:sz w:val="20"/>
          <w:szCs w:val="20"/>
        </w:rPr>
        <w:t>DDoS</w:t>
      </w:r>
      <w:r>
        <w:rPr>
          <w:rFonts w:ascii="Times New Roman" w:hAnsi="Times New Roman" w:eastAsia="Times New Roman" w:cs="Times New Roman"/>
          <w:spacing w:val="2"/>
          <w:sz w:val="20"/>
          <w:szCs w:val="20"/>
        </w:rPr>
        <w:t xml:space="preserve"> </w:t>
      </w:r>
      <w:r>
        <w:rPr>
          <w:spacing w:val="2"/>
          <w:sz w:val="20"/>
          <w:szCs w:val="20"/>
        </w:rPr>
        <w:t>高防</w:t>
      </w:r>
      <w:r>
        <w:rPr>
          <w:rFonts w:ascii="Times New Roman" w:hAnsi="Times New Roman" w:eastAsia="Times New Roman" w:cs="Times New Roman"/>
          <w:sz w:val="20"/>
          <w:szCs w:val="20"/>
        </w:rPr>
        <w:t>IP</w:t>
      </w:r>
      <w:r>
        <w:rPr>
          <w:rFonts w:ascii="Times New Roman" w:hAnsi="Times New Roman" w:eastAsia="Times New Roman" w:cs="Times New Roman"/>
          <w:spacing w:val="21"/>
          <w:sz w:val="20"/>
          <w:szCs w:val="20"/>
        </w:rPr>
        <w:t xml:space="preserve"> </w:t>
      </w:r>
      <w:r>
        <w:rPr>
          <w:spacing w:val="2"/>
          <w:sz w:val="20"/>
          <w:szCs w:val="20"/>
        </w:rPr>
        <w:t>是针对互联网服务器在遭受大流量的</w:t>
      </w:r>
      <w:r>
        <w:rPr>
          <w:rFonts w:ascii="Times New Roman" w:hAnsi="Times New Roman" w:eastAsia="Times New Roman" w:cs="Times New Roman"/>
          <w:sz w:val="20"/>
          <w:szCs w:val="20"/>
        </w:rPr>
        <w:t>DDoS</w:t>
      </w:r>
      <w:r>
        <w:rPr>
          <w:rFonts w:ascii="Times New Roman" w:hAnsi="Times New Roman" w:eastAsia="Times New Roman" w:cs="Times New Roman"/>
          <w:spacing w:val="2"/>
          <w:sz w:val="20"/>
          <w:szCs w:val="20"/>
        </w:rPr>
        <w:t xml:space="preserve"> </w:t>
      </w:r>
      <w:r>
        <w:rPr>
          <w:spacing w:val="2"/>
          <w:sz w:val="20"/>
          <w:szCs w:val="20"/>
        </w:rPr>
        <w:t>攻击后导致服务不可用的情况下，</w:t>
      </w:r>
      <w:r>
        <w:rPr>
          <w:sz w:val="20"/>
          <w:szCs w:val="20"/>
        </w:rPr>
        <w:t xml:space="preserve"> </w:t>
      </w:r>
      <w:r>
        <w:rPr>
          <w:spacing w:val="4"/>
          <w:sz w:val="20"/>
          <w:szCs w:val="20"/>
        </w:rPr>
        <w:t>推出的付费增值服务，用户可以通过配置高防</w:t>
      </w:r>
      <w:r>
        <w:rPr>
          <w:rFonts w:ascii="Times New Roman" w:hAnsi="Times New Roman" w:eastAsia="Times New Roman" w:cs="Times New Roman"/>
          <w:sz w:val="20"/>
          <w:szCs w:val="20"/>
        </w:rPr>
        <w:t>IP</w:t>
      </w:r>
      <w:r>
        <w:rPr>
          <w:rFonts w:ascii="Times New Roman" w:hAnsi="Times New Roman" w:eastAsia="Times New Roman" w:cs="Times New Roman"/>
          <w:spacing w:val="4"/>
          <w:sz w:val="20"/>
          <w:szCs w:val="20"/>
        </w:rPr>
        <w:t xml:space="preserve">,   </w:t>
      </w:r>
      <w:r>
        <w:rPr>
          <w:spacing w:val="4"/>
          <w:sz w:val="20"/>
          <w:szCs w:val="20"/>
        </w:rPr>
        <w:t>将攻击流量引流到高防</w:t>
      </w:r>
      <w:r>
        <w:rPr>
          <w:rFonts w:ascii="Times New Roman" w:hAnsi="Times New Roman" w:eastAsia="Times New Roman" w:cs="Times New Roman"/>
          <w:sz w:val="20"/>
          <w:szCs w:val="20"/>
        </w:rPr>
        <w:t>IP</w:t>
      </w:r>
      <w:r>
        <w:rPr>
          <w:rFonts w:ascii="Times New Roman" w:hAnsi="Times New Roman" w:eastAsia="Times New Roman" w:cs="Times New Roman"/>
          <w:spacing w:val="4"/>
          <w:sz w:val="20"/>
          <w:szCs w:val="20"/>
        </w:rPr>
        <w:t xml:space="preserve">,   </w:t>
      </w:r>
      <w:r>
        <w:rPr>
          <w:spacing w:val="4"/>
          <w:sz w:val="20"/>
          <w:szCs w:val="20"/>
        </w:rPr>
        <w:t>确保源</w:t>
      </w:r>
      <w:r>
        <w:rPr>
          <w:spacing w:val="3"/>
          <w:sz w:val="20"/>
          <w:szCs w:val="20"/>
        </w:rPr>
        <w:t>站的稳定</w:t>
      </w:r>
      <w:r>
        <w:rPr>
          <w:sz w:val="20"/>
          <w:szCs w:val="20"/>
        </w:rPr>
        <w:t xml:space="preserve">  </w:t>
      </w:r>
      <w:r>
        <w:rPr>
          <w:spacing w:val="-5"/>
          <w:sz w:val="16"/>
          <w:szCs w:val="16"/>
        </w:rPr>
        <w:t>可</w:t>
      </w:r>
      <w:r>
        <w:rPr>
          <w:spacing w:val="-13"/>
          <w:sz w:val="16"/>
          <w:szCs w:val="16"/>
        </w:rPr>
        <w:t xml:space="preserve"> </w:t>
      </w:r>
      <w:r>
        <w:rPr>
          <w:spacing w:val="-5"/>
          <w:sz w:val="16"/>
          <w:szCs w:val="16"/>
        </w:rPr>
        <w:t>靠</w:t>
      </w:r>
      <w:r>
        <w:rPr>
          <w:spacing w:val="-20"/>
          <w:sz w:val="16"/>
          <w:szCs w:val="16"/>
        </w:rPr>
        <w:t xml:space="preserve"> </w:t>
      </w:r>
      <w:r>
        <w:rPr>
          <w:spacing w:val="-5"/>
          <w:sz w:val="16"/>
          <w:szCs w:val="16"/>
        </w:rPr>
        <w:t>。</w:t>
      </w:r>
    </w:p>
    <w:p w14:paraId="741BB9F5">
      <w:pPr>
        <w:pStyle w:val="2"/>
        <w:spacing w:before="28" w:line="308" w:lineRule="auto"/>
        <w:ind w:right="271" w:firstLine="399"/>
        <w:jc w:val="both"/>
        <w:rPr>
          <w:sz w:val="16"/>
          <w:szCs w:val="16"/>
        </w:rPr>
      </w:pPr>
      <w:r>
        <w:rPr>
          <w:rFonts w:ascii="Times New Roman" w:hAnsi="Times New Roman" w:eastAsia="Times New Roman" w:cs="Times New Roman"/>
          <w:sz w:val="20"/>
          <w:szCs w:val="20"/>
        </w:rPr>
        <w:t>DDoS</w:t>
      </w:r>
      <w:r>
        <w:rPr>
          <w:rFonts w:ascii="Times New Roman" w:hAnsi="Times New Roman" w:eastAsia="Times New Roman" w:cs="Times New Roman"/>
          <w:spacing w:val="14"/>
          <w:sz w:val="20"/>
          <w:szCs w:val="20"/>
        </w:rPr>
        <w:t xml:space="preserve"> </w:t>
      </w:r>
      <w:r>
        <w:rPr>
          <w:spacing w:val="14"/>
          <w:sz w:val="20"/>
          <w:szCs w:val="20"/>
        </w:rPr>
        <w:t>高防</w:t>
      </w:r>
      <w:r>
        <w:rPr>
          <w:rFonts w:ascii="Times New Roman" w:hAnsi="Times New Roman" w:eastAsia="Times New Roman" w:cs="Times New Roman"/>
          <w:sz w:val="20"/>
          <w:szCs w:val="20"/>
        </w:rPr>
        <w:t>IP</w:t>
      </w:r>
      <w:r>
        <w:rPr>
          <w:rFonts w:ascii="Times New Roman" w:hAnsi="Times New Roman" w:eastAsia="Times New Roman" w:cs="Times New Roman"/>
          <w:spacing w:val="23"/>
          <w:sz w:val="20"/>
          <w:szCs w:val="20"/>
        </w:rPr>
        <w:t xml:space="preserve"> </w:t>
      </w:r>
      <w:r>
        <w:rPr>
          <w:spacing w:val="14"/>
          <w:sz w:val="20"/>
          <w:szCs w:val="20"/>
        </w:rPr>
        <w:t>的功能特点有：防护多种</w:t>
      </w:r>
      <w:r>
        <w:rPr>
          <w:rFonts w:ascii="Times New Roman" w:hAnsi="Times New Roman" w:eastAsia="Times New Roman" w:cs="Times New Roman"/>
          <w:sz w:val="20"/>
          <w:szCs w:val="20"/>
        </w:rPr>
        <w:t>DDoS</w:t>
      </w:r>
      <w:r>
        <w:rPr>
          <w:rFonts w:ascii="Times New Roman" w:hAnsi="Times New Roman" w:eastAsia="Times New Roman" w:cs="Times New Roman"/>
          <w:spacing w:val="14"/>
          <w:sz w:val="20"/>
          <w:szCs w:val="20"/>
        </w:rPr>
        <w:t xml:space="preserve"> </w:t>
      </w:r>
      <w:r>
        <w:rPr>
          <w:spacing w:val="14"/>
          <w:sz w:val="20"/>
          <w:szCs w:val="20"/>
        </w:rPr>
        <w:t>类型攻击、随时更换防护</w:t>
      </w:r>
      <w:r>
        <w:rPr>
          <w:rFonts w:ascii="Times New Roman" w:hAnsi="Times New Roman" w:eastAsia="Times New Roman" w:cs="Times New Roman"/>
          <w:sz w:val="20"/>
          <w:szCs w:val="20"/>
        </w:rPr>
        <w:t>IP</w:t>
      </w:r>
      <w:r>
        <w:rPr>
          <w:rFonts w:ascii="Times New Roman" w:hAnsi="Times New Roman" w:eastAsia="Times New Roman" w:cs="Times New Roman"/>
          <w:spacing w:val="-28"/>
          <w:sz w:val="20"/>
          <w:szCs w:val="20"/>
        </w:rPr>
        <w:t xml:space="preserve"> </w:t>
      </w:r>
      <w:r>
        <w:rPr>
          <w:spacing w:val="14"/>
          <w:sz w:val="20"/>
          <w:szCs w:val="20"/>
        </w:rPr>
        <w:t>、弹性防护、</w:t>
      </w:r>
      <w:r>
        <w:rPr>
          <w:sz w:val="20"/>
          <w:szCs w:val="20"/>
        </w:rPr>
        <w:t xml:space="preserve"> </w:t>
      </w:r>
      <w:r>
        <w:rPr>
          <w:spacing w:val="10"/>
          <w:sz w:val="20"/>
          <w:szCs w:val="20"/>
        </w:rPr>
        <w:t>精准防护报表、防护海量</w:t>
      </w:r>
      <w:r>
        <w:rPr>
          <w:rFonts w:ascii="Times New Roman" w:hAnsi="Times New Roman" w:eastAsia="Times New Roman" w:cs="Times New Roman"/>
          <w:sz w:val="20"/>
          <w:szCs w:val="20"/>
        </w:rPr>
        <w:t>DDoS</w:t>
      </w:r>
      <w:r>
        <w:rPr>
          <w:rFonts w:ascii="Times New Roman" w:hAnsi="Times New Roman" w:eastAsia="Times New Roman" w:cs="Times New Roman"/>
          <w:spacing w:val="10"/>
          <w:sz w:val="20"/>
          <w:szCs w:val="20"/>
        </w:rPr>
        <w:t xml:space="preserve"> </w:t>
      </w:r>
      <w:r>
        <w:rPr>
          <w:spacing w:val="10"/>
          <w:sz w:val="20"/>
          <w:szCs w:val="20"/>
        </w:rPr>
        <w:t>攻击、精准攻击防护、隐藏用户服务资源、高可靠性</w:t>
      </w:r>
      <w:r>
        <w:rPr>
          <w:spacing w:val="9"/>
          <w:sz w:val="20"/>
          <w:szCs w:val="20"/>
        </w:rPr>
        <w:t>和高可</w:t>
      </w:r>
      <w:r>
        <w:rPr>
          <w:sz w:val="20"/>
          <w:szCs w:val="20"/>
        </w:rPr>
        <w:t xml:space="preserve"> </w:t>
      </w:r>
      <w:r>
        <w:rPr>
          <w:spacing w:val="-6"/>
          <w:sz w:val="16"/>
          <w:szCs w:val="16"/>
        </w:rPr>
        <w:t>用</w:t>
      </w:r>
      <w:r>
        <w:rPr>
          <w:spacing w:val="-11"/>
          <w:sz w:val="16"/>
          <w:szCs w:val="16"/>
        </w:rPr>
        <w:t xml:space="preserve"> </w:t>
      </w:r>
      <w:r>
        <w:rPr>
          <w:spacing w:val="-6"/>
          <w:sz w:val="16"/>
          <w:szCs w:val="16"/>
        </w:rPr>
        <w:t>性</w:t>
      </w:r>
      <w:r>
        <w:rPr>
          <w:spacing w:val="-19"/>
          <w:sz w:val="16"/>
          <w:szCs w:val="16"/>
        </w:rPr>
        <w:t xml:space="preserve"> </w:t>
      </w:r>
      <w:r>
        <w:rPr>
          <w:spacing w:val="-6"/>
          <w:sz w:val="16"/>
          <w:szCs w:val="16"/>
        </w:rPr>
        <w:t>。</w:t>
      </w:r>
    </w:p>
    <w:p w14:paraId="1BD18A5E">
      <w:pPr>
        <w:pStyle w:val="2"/>
        <w:spacing w:before="28" w:line="297" w:lineRule="auto"/>
        <w:ind w:right="335" w:firstLine="399"/>
        <w:jc w:val="both"/>
        <w:rPr>
          <w:sz w:val="16"/>
          <w:szCs w:val="16"/>
        </w:rPr>
      </w:pPr>
      <w:r>
        <w:rPr>
          <w:rFonts w:ascii="Times New Roman" w:hAnsi="Times New Roman" w:eastAsia="Times New Roman" w:cs="Times New Roman"/>
          <w:sz w:val="20"/>
          <w:szCs w:val="20"/>
        </w:rPr>
        <w:t>DDoS</w:t>
      </w:r>
      <w:r>
        <w:rPr>
          <w:rFonts w:ascii="Times New Roman" w:hAnsi="Times New Roman" w:eastAsia="Times New Roman" w:cs="Times New Roman"/>
          <w:spacing w:val="36"/>
          <w:sz w:val="20"/>
          <w:szCs w:val="20"/>
        </w:rPr>
        <w:t xml:space="preserve"> </w:t>
      </w:r>
      <w:r>
        <w:rPr>
          <w:spacing w:val="10"/>
          <w:sz w:val="20"/>
          <w:szCs w:val="20"/>
        </w:rPr>
        <w:t>高</w:t>
      </w:r>
      <w:r>
        <w:rPr>
          <w:spacing w:val="-26"/>
          <w:sz w:val="20"/>
          <w:szCs w:val="20"/>
        </w:rPr>
        <w:t xml:space="preserve"> </w:t>
      </w:r>
      <w:r>
        <w:rPr>
          <w:spacing w:val="10"/>
          <w:sz w:val="20"/>
          <w:szCs w:val="20"/>
        </w:rPr>
        <w:t>防</w:t>
      </w:r>
      <w:r>
        <w:rPr>
          <w:rFonts w:ascii="Times New Roman" w:hAnsi="Times New Roman" w:eastAsia="Times New Roman" w:cs="Times New Roman"/>
          <w:sz w:val="20"/>
          <w:szCs w:val="20"/>
        </w:rPr>
        <w:t>IP</w:t>
      </w:r>
      <w:r>
        <w:rPr>
          <w:rFonts w:ascii="Times New Roman" w:hAnsi="Times New Roman" w:eastAsia="Times New Roman" w:cs="Times New Roman"/>
          <w:spacing w:val="38"/>
          <w:sz w:val="20"/>
          <w:szCs w:val="20"/>
        </w:rPr>
        <w:t xml:space="preserve"> </w:t>
      </w:r>
      <w:r>
        <w:rPr>
          <w:spacing w:val="10"/>
          <w:sz w:val="20"/>
          <w:szCs w:val="20"/>
        </w:rPr>
        <w:t>的应用场景有：</w:t>
      </w:r>
      <w:r>
        <w:rPr>
          <w:rFonts w:ascii="Times New Roman" w:hAnsi="Times New Roman" w:eastAsia="Times New Roman" w:cs="Times New Roman"/>
          <w:sz w:val="20"/>
          <w:szCs w:val="20"/>
        </w:rPr>
        <w:t>DDoS</w:t>
      </w:r>
      <w:r>
        <w:rPr>
          <w:rFonts w:ascii="Times New Roman" w:hAnsi="Times New Roman" w:eastAsia="Times New Roman" w:cs="Times New Roman"/>
          <w:spacing w:val="33"/>
          <w:w w:val="101"/>
          <w:sz w:val="20"/>
          <w:szCs w:val="20"/>
        </w:rPr>
        <w:t xml:space="preserve"> </w:t>
      </w:r>
      <w:r>
        <w:rPr>
          <w:spacing w:val="10"/>
          <w:sz w:val="20"/>
          <w:szCs w:val="20"/>
        </w:rPr>
        <w:t>高</w:t>
      </w:r>
      <w:r>
        <w:rPr>
          <w:spacing w:val="-16"/>
          <w:sz w:val="20"/>
          <w:szCs w:val="20"/>
        </w:rPr>
        <w:t xml:space="preserve"> </w:t>
      </w:r>
      <w:r>
        <w:rPr>
          <w:spacing w:val="10"/>
          <w:sz w:val="20"/>
          <w:szCs w:val="20"/>
        </w:rPr>
        <w:t>防</w:t>
      </w:r>
      <w:r>
        <w:rPr>
          <w:rFonts w:ascii="Times New Roman" w:hAnsi="Times New Roman" w:eastAsia="Times New Roman" w:cs="Times New Roman"/>
          <w:sz w:val="20"/>
          <w:szCs w:val="20"/>
        </w:rPr>
        <w:t>IP</w:t>
      </w:r>
      <w:r>
        <w:rPr>
          <w:rFonts w:ascii="Times New Roman" w:hAnsi="Times New Roman" w:eastAsia="Times New Roman" w:cs="Times New Roman"/>
          <w:spacing w:val="17"/>
          <w:w w:val="101"/>
          <w:sz w:val="20"/>
          <w:szCs w:val="20"/>
        </w:rPr>
        <w:t xml:space="preserve"> </w:t>
      </w:r>
      <w:r>
        <w:rPr>
          <w:spacing w:val="10"/>
          <w:sz w:val="20"/>
          <w:szCs w:val="20"/>
        </w:rPr>
        <w:t>可服务于云内及云外的所有客户，主要使</w:t>
      </w:r>
      <w:r>
        <w:rPr>
          <w:sz w:val="20"/>
          <w:szCs w:val="20"/>
        </w:rPr>
        <w:t xml:space="preserve"> </w:t>
      </w:r>
      <w:r>
        <w:rPr>
          <w:spacing w:val="13"/>
          <w:sz w:val="20"/>
          <w:szCs w:val="20"/>
        </w:rPr>
        <w:t>用场景包括金融、娱乐(游戏)、媒资、电商、政府等对用户业务体验的实时性要求较高的</w:t>
      </w:r>
      <w:r>
        <w:rPr>
          <w:spacing w:val="14"/>
          <w:sz w:val="20"/>
          <w:szCs w:val="20"/>
        </w:rPr>
        <w:t xml:space="preserve"> </w:t>
      </w:r>
      <w:r>
        <w:rPr>
          <w:spacing w:val="-5"/>
          <w:sz w:val="16"/>
          <w:szCs w:val="16"/>
        </w:rPr>
        <w:t>业</w:t>
      </w:r>
      <w:r>
        <w:rPr>
          <w:spacing w:val="-13"/>
          <w:sz w:val="16"/>
          <w:szCs w:val="16"/>
        </w:rPr>
        <w:t xml:space="preserve"> </w:t>
      </w:r>
      <w:r>
        <w:rPr>
          <w:spacing w:val="-5"/>
          <w:sz w:val="16"/>
          <w:szCs w:val="16"/>
        </w:rPr>
        <w:t>务</w:t>
      </w:r>
      <w:r>
        <w:rPr>
          <w:spacing w:val="-20"/>
          <w:sz w:val="16"/>
          <w:szCs w:val="16"/>
        </w:rPr>
        <w:t xml:space="preserve"> </w:t>
      </w:r>
      <w:r>
        <w:rPr>
          <w:spacing w:val="-5"/>
          <w:sz w:val="16"/>
          <w:szCs w:val="16"/>
        </w:rPr>
        <w:t>。</w:t>
      </w:r>
    </w:p>
    <w:p w14:paraId="7951A870">
      <w:pPr>
        <w:spacing w:before="86" w:line="212" w:lineRule="auto"/>
        <w:ind w:left="399"/>
        <w:rPr>
          <w:rFonts w:ascii="楷体" w:hAnsi="楷体" w:eastAsia="楷体" w:cs="楷体"/>
          <w:sz w:val="20"/>
          <w:szCs w:val="20"/>
        </w:rPr>
      </w:pPr>
      <w:r>
        <w:rPr>
          <w:rFonts w:ascii="Times New Roman" w:hAnsi="Times New Roman" w:eastAsia="Times New Roman" w:cs="Times New Roman"/>
          <w:sz w:val="20"/>
          <w:szCs w:val="20"/>
        </w:rPr>
        <w:t xml:space="preserve">2)Web   </w:t>
      </w:r>
      <w:r>
        <w:rPr>
          <w:rFonts w:ascii="楷体" w:hAnsi="楷体" w:eastAsia="楷体" w:cs="楷体"/>
          <w:sz w:val="20"/>
          <w:szCs w:val="20"/>
        </w:rPr>
        <w:t>应用防火墙</w:t>
      </w:r>
    </w:p>
    <w:p w14:paraId="7EB48DA1">
      <w:pPr>
        <w:pStyle w:val="2"/>
        <w:spacing w:before="90" w:line="290" w:lineRule="auto"/>
        <w:ind w:right="343" w:firstLine="399"/>
        <w:rPr>
          <w:sz w:val="16"/>
          <w:szCs w:val="16"/>
        </w:rPr>
      </w:pPr>
      <w:r>
        <w:rPr>
          <w:rFonts w:ascii="Times New Roman" w:hAnsi="Times New Roman" w:eastAsia="Times New Roman" w:cs="Times New Roman"/>
          <w:sz w:val="20"/>
          <w:szCs w:val="20"/>
        </w:rPr>
        <w:t>Web</w:t>
      </w:r>
      <w:r>
        <w:rPr>
          <w:spacing w:val="4"/>
          <w:sz w:val="20"/>
          <w:szCs w:val="20"/>
        </w:rPr>
        <w:t>应用防火墙</w:t>
      </w:r>
      <w:r>
        <w:rPr>
          <w:spacing w:val="-38"/>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Web</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Application</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Firewall</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WAF</w:t>
      </w:r>
      <w:r>
        <w:rPr>
          <w:rFonts w:ascii="Times New Roman" w:hAnsi="Times New Roman" w:eastAsia="Times New Roman" w:cs="Times New Roman"/>
          <w:spacing w:val="4"/>
          <w:sz w:val="20"/>
          <w:szCs w:val="20"/>
        </w:rPr>
        <w:t xml:space="preserve">) </w:t>
      </w:r>
      <w:r>
        <w:rPr>
          <w:spacing w:val="4"/>
          <w:sz w:val="20"/>
          <w:szCs w:val="20"/>
        </w:rPr>
        <w:t>基于云安全大数据能力，用于防御</w:t>
      </w:r>
      <w:r>
        <w:rPr>
          <w:rFonts w:ascii="Times New Roman" w:hAnsi="Times New Roman" w:eastAsia="Times New Roman" w:cs="Times New Roman"/>
          <w:sz w:val="20"/>
          <w:szCs w:val="20"/>
        </w:rPr>
        <w:t xml:space="preserve">SQL </w:t>
      </w:r>
      <w:r>
        <w:rPr>
          <w:spacing w:val="4"/>
          <w:sz w:val="20"/>
          <w:szCs w:val="20"/>
        </w:rPr>
        <w:t>注入、</w:t>
      </w:r>
      <w:r>
        <w:rPr>
          <w:rFonts w:ascii="Times New Roman" w:hAnsi="Times New Roman" w:eastAsia="Times New Roman" w:cs="Times New Roman"/>
          <w:sz w:val="20"/>
          <w:szCs w:val="20"/>
        </w:rPr>
        <w:t>XSS</w:t>
      </w:r>
      <w:r>
        <w:rPr>
          <w:rFonts w:ascii="Times New Roman" w:hAnsi="Times New Roman" w:eastAsia="Times New Roman" w:cs="Times New Roman"/>
          <w:spacing w:val="31"/>
          <w:sz w:val="20"/>
          <w:szCs w:val="20"/>
        </w:rPr>
        <w:t xml:space="preserve"> </w:t>
      </w:r>
      <w:r>
        <w:rPr>
          <w:spacing w:val="4"/>
          <w:sz w:val="20"/>
          <w:szCs w:val="20"/>
        </w:rPr>
        <w:t>跨站脚本、常见</w:t>
      </w:r>
      <w:r>
        <w:rPr>
          <w:rFonts w:ascii="Times New Roman" w:hAnsi="Times New Roman" w:eastAsia="Times New Roman" w:cs="Times New Roman"/>
          <w:sz w:val="20"/>
          <w:szCs w:val="20"/>
        </w:rPr>
        <w:t>Web</w:t>
      </w:r>
      <w:r>
        <w:rPr>
          <w:rFonts w:ascii="Times New Roman" w:hAnsi="Times New Roman" w:eastAsia="Times New Roman" w:cs="Times New Roman"/>
          <w:spacing w:val="4"/>
          <w:sz w:val="20"/>
          <w:szCs w:val="20"/>
        </w:rPr>
        <w:t xml:space="preserve"> </w:t>
      </w:r>
      <w:r>
        <w:rPr>
          <w:spacing w:val="4"/>
          <w:sz w:val="20"/>
          <w:szCs w:val="20"/>
        </w:rPr>
        <w:t>服务器插件漏洞、木马上传、非授权核心资源访问等</w:t>
      </w:r>
      <w:r>
        <w:rPr>
          <w:rFonts w:ascii="Times New Roman" w:hAnsi="Times New Roman" w:eastAsia="Times New Roman" w:cs="Times New Roman"/>
          <w:sz w:val="20"/>
          <w:szCs w:val="20"/>
        </w:rPr>
        <w:t xml:space="preserve">OWASP </w:t>
      </w:r>
      <w:r>
        <w:rPr>
          <w:spacing w:val="10"/>
          <w:sz w:val="20"/>
          <w:szCs w:val="20"/>
        </w:rPr>
        <w:t>常见攻击，并过滤海量恶意</w:t>
      </w:r>
      <w:r>
        <w:rPr>
          <w:rFonts w:ascii="Times New Roman" w:hAnsi="Times New Roman" w:eastAsia="Times New Roman" w:cs="Times New Roman"/>
          <w:sz w:val="20"/>
          <w:szCs w:val="20"/>
        </w:rPr>
        <w:t>CC</w:t>
      </w:r>
      <w:r>
        <w:rPr>
          <w:rFonts w:ascii="Times New Roman" w:hAnsi="Times New Roman" w:eastAsia="Times New Roman" w:cs="Times New Roman"/>
          <w:spacing w:val="30"/>
          <w:w w:val="101"/>
          <w:sz w:val="20"/>
          <w:szCs w:val="20"/>
        </w:rPr>
        <w:t xml:space="preserve"> </w:t>
      </w:r>
      <w:r>
        <w:rPr>
          <w:spacing w:val="10"/>
          <w:sz w:val="20"/>
          <w:szCs w:val="20"/>
        </w:rPr>
        <w:t>攻击，避免客户的网站资产数据泄露，保障网站的安全与可</w:t>
      </w:r>
      <w:r>
        <w:rPr>
          <w:sz w:val="20"/>
          <w:szCs w:val="20"/>
        </w:rPr>
        <w:t xml:space="preserve"> </w:t>
      </w:r>
      <w:r>
        <w:rPr>
          <w:spacing w:val="-6"/>
          <w:sz w:val="16"/>
          <w:szCs w:val="16"/>
        </w:rPr>
        <w:t>用</w:t>
      </w:r>
      <w:r>
        <w:rPr>
          <w:spacing w:val="-11"/>
          <w:sz w:val="16"/>
          <w:szCs w:val="16"/>
        </w:rPr>
        <w:t xml:space="preserve"> </w:t>
      </w:r>
      <w:r>
        <w:rPr>
          <w:spacing w:val="-6"/>
          <w:sz w:val="16"/>
          <w:szCs w:val="16"/>
        </w:rPr>
        <w:t>性</w:t>
      </w:r>
      <w:r>
        <w:rPr>
          <w:spacing w:val="-19"/>
          <w:sz w:val="16"/>
          <w:szCs w:val="16"/>
        </w:rPr>
        <w:t xml:space="preserve"> </w:t>
      </w:r>
      <w:r>
        <w:rPr>
          <w:spacing w:val="-6"/>
          <w:sz w:val="16"/>
          <w:szCs w:val="16"/>
        </w:rPr>
        <w:t>。</w:t>
      </w:r>
    </w:p>
    <w:p w14:paraId="39E475A4">
      <w:pPr>
        <w:pStyle w:val="2"/>
        <w:spacing w:before="48" w:line="293" w:lineRule="auto"/>
        <w:ind w:right="327" w:firstLine="399"/>
        <w:jc w:val="both"/>
        <w:rPr>
          <w:sz w:val="16"/>
          <w:szCs w:val="16"/>
        </w:rPr>
      </w:pPr>
      <w:r>
        <w:rPr>
          <w:rFonts w:ascii="Times New Roman" w:hAnsi="Times New Roman" w:eastAsia="Times New Roman" w:cs="Times New Roman"/>
          <w:sz w:val="20"/>
          <w:szCs w:val="20"/>
        </w:rPr>
        <w:t>WAF</w:t>
      </w:r>
      <w:r>
        <w:rPr>
          <w:spacing w:val="4"/>
          <w:sz w:val="20"/>
          <w:szCs w:val="20"/>
        </w:rPr>
        <w:t>的功能特点有：</w:t>
      </w:r>
      <w:r>
        <w:rPr>
          <w:rFonts w:ascii="Times New Roman" w:hAnsi="Times New Roman" w:eastAsia="Times New Roman" w:cs="Times New Roman"/>
          <w:sz w:val="20"/>
          <w:szCs w:val="20"/>
        </w:rPr>
        <w:t xml:space="preserve">WAF </w:t>
      </w:r>
      <w:r>
        <w:rPr>
          <w:spacing w:val="4"/>
          <w:sz w:val="20"/>
          <w:szCs w:val="20"/>
        </w:rPr>
        <w:t>可以帮助客户应对各类</w:t>
      </w:r>
      <w:r>
        <w:rPr>
          <w:rFonts w:ascii="Times New Roman" w:hAnsi="Times New Roman" w:eastAsia="Times New Roman" w:cs="Times New Roman"/>
          <w:sz w:val="20"/>
          <w:szCs w:val="20"/>
        </w:rPr>
        <w:t>Web</w:t>
      </w:r>
      <w:r>
        <w:rPr>
          <w:rFonts w:ascii="Times New Roman" w:hAnsi="Times New Roman" w:eastAsia="Times New Roman" w:cs="Times New Roman"/>
          <w:spacing w:val="16"/>
          <w:sz w:val="20"/>
          <w:szCs w:val="20"/>
        </w:rPr>
        <w:t xml:space="preserve"> </w:t>
      </w:r>
      <w:r>
        <w:rPr>
          <w:spacing w:val="4"/>
          <w:sz w:val="20"/>
          <w:szCs w:val="20"/>
        </w:rPr>
        <w:t>应用攻击，确保网站的</w:t>
      </w:r>
      <w:r>
        <w:rPr>
          <w:rFonts w:ascii="Times New Roman" w:hAnsi="Times New Roman" w:eastAsia="Times New Roman" w:cs="Times New Roman"/>
          <w:sz w:val="20"/>
          <w:szCs w:val="20"/>
        </w:rPr>
        <w:t>Web</w:t>
      </w:r>
      <w:r>
        <w:rPr>
          <w:rFonts w:ascii="Times New Roman" w:hAnsi="Times New Roman" w:eastAsia="Times New Roman" w:cs="Times New Roman"/>
          <w:spacing w:val="-15"/>
          <w:sz w:val="20"/>
          <w:szCs w:val="20"/>
        </w:rPr>
        <w:t xml:space="preserve"> </w:t>
      </w:r>
      <w:r>
        <w:rPr>
          <w:spacing w:val="4"/>
          <w:sz w:val="20"/>
          <w:szCs w:val="20"/>
        </w:rPr>
        <w:t>安全与</w:t>
      </w:r>
      <w:r>
        <w:rPr>
          <w:sz w:val="20"/>
          <w:szCs w:val="20"/>
        </w:rPr>
        <w:t xml:space="preserve"> </w:t>
      </w:r>
      <w:r>
        <w:rPr>
          <w:spacing w:val="5"/>
          <w:sz w:val="20"/>
          <w:szCs w:val="20"/>
        </w:rPr>
        <w:t>可用性，其可以提供常见</w:t>
      </w:r>
      <w:r>
        <w:rPr>
          <w:rFonts w:ascii="Times New Roman" w:hAnsi="Times New Roman" w:eastAsia="Times New Roman" w:cs="Times New Roman"/>
          <w:sz w:val="20"/>
          <w:szCs w:val="20"/>
        </w:rPr>
        <w:t>Web</w:t>
      </w:r>
      <w:r>
        <w:rPr>
          <w:rFonts w:ascii="Times New Roman" w:hAnsi="Times New Roman" w:eastAsia="Times New Roman" w:cs="Times New Roman"/>
          <w:spacing w:val="-7"/>
          <w:sz w:val="20"/>
          <w:szCs w:val="20"/>
        </w:rPr>
        <w:t xml:space="preserve"> </w:t>
      </w:r>
      <w:r>
        <w:rPr>
          <w:spacing w:val="5"/>
          <w:sz w:val="20"/>
          <w:szCs w:val="20"/>
        </w:rPr>
        <w:t>应用攻击防护、恶意</w:t>
      </w:r>
      <w:r>
        <w:rPr>
          <w:rFonts w:ascii="Times New Roman" w:hAnsi="Times New Roman" w:eastAsia="Times New Roman" w:cs="Times New Roman"/>
          <w:sz w:val="20"/>
          <w:szCs w:val="20"/>
        </w:rPr>
        <w:t>CC</w:t>
      </w:r>
      <w:r>
        <w:rPr>
          <w:rFonts w:ascii="Times New Roman" w:hAnsi="Times New Roman" w:eastAsia="Times New Roman" w:cs="Times New Roman"/>
          <w:spacing w:val="5"/>
          <w:sz w:val="20"/>
          <w:szCs w:val="20"/>
        </w:rPr>
        <w:t xml:space="preserve"> </w:t>
      </w:r>
      <w:r>
        <w:rPr>
          <w:spacing w:val="5"/>
          <w:sz w:val="20"/>
          <w:szCs w:val="20"/>
        </w:rPr>
        <w:t>攻击防护、精准访问控制、强大报表分</w:t>
      </w:r>
      <w:r>
        <w:rPr>
          <w:sz w:val="20"/>
          <w:szCs w:val="20"/>
        </w:rPr>
        <w:t xml:space="preserve"> </w:t>
      </w:r>
      <w:r>
        <w:rPr>
          <w:spacing w:val="3"/>
          <w:sz w:val="20"/>
          <w:szCs w:val="20"/>
        </w:rPr>
        <w:t>析、强大</w:t>
      </w:r>
      <w:r>
        <w:rPr>
          <w:rFonts w:ascii="Times New Roman" w:hAnsi="Times New Roman" w:eastAsia="Times New Roman" w:cs="Times New Roman"/>
          <w:sz w:val="20"/>
          <w:szCs w:val="20"/>
        </w:rPr>
        <w:t>Web</w:t>
      </w:r>
      <w:r>
        <w:rPr>
          <w:rFonts w:ascii="Times New Roman" w:hAnsi="Times New Roman" w:eastAsia="Times New Roman" w:cs="Times New Roman"/>
          <w:spacing w:val="3"/>
          <w:sz w:val="20"/>
          <w:szCs w:val="20"/>
        </w:rPr>
        <w:t xml:space="preserve"> </w:t>
      </w:r>
      <w:r>
        <w:rPr>
          <w:spacing w:val="3"/>
          <w:sz w:val="20"/>
          <w:szCs w:val="20"/>
        </w:rPr>
        <w:t>防御能力、网站专属防护、大数据安全能力、检测快、防护稳、高可</w:t>
      </w:r>
      <w:r>
        <w:rPr>
          <w:spacing w:val="2"/>
          <w:sz w:val="20"/>
          <w:szCs w:val="20"/>
        </w:rPr>
        <w:t>靠、高可用</w:t>
      </w:r>
      <w:r>
        <w:rPr>
          <w:sz w:val="20"/>
          <w:szCs w:val="20"/>
        </w:rPr>
        <w:t xml:space="preserve"> </w:t>
      </w:r>
      <w:r>
        <w:rPr>
          <w:spacing w:val="-9"/>
          <w:sz w:val="16"/>
          <w:szCs w:val="16"/>
        </w:rPr>
        <w:t>的</w:t>
      </w:r>
      <w:r>
        <w:rPr>
          <w:spacing w:val="-18"/>
          <w:sz w:val="16"/>
          <w:szCs w:val="16"/>
        </w:rPr>
        <w:t xml:space="preserve"> </w:t>
      </w:r>
      <w:r>
        <w:rPr>
          <w:spacing w:val="-9"/>
          <w:sz w:val="16"/>
          <w:szCs w:val="16"/>
        </w:rPr>
        <w:t>服</w:t>
      </w:r>
      <w:r>
        <w:rPr>
          <w:spacing w:val="-18"/>
          <w:sz w:val="16"/>
          <w:szCs w:val="16"/>
        </w:rPr>
        <w:t xml:space="preserve"> </w:t>
      </w:r>
      <w:r>
        <w:rPr>
          <w:spacing w:val="-9"/>
          <w:sz w:val="16"/>
          <w:szCs w:val="16"/>
        </w:rPr>
        <w:t>务</w:t>
      </w:r>
      <w:r>
        <w:rPr>
          <w:spacing w:val="-26"/>
          <w:sz w:val="16"/>
          <w:szCs w:val="16"/>
        </w:rPr>
        <w:t xml:space="preserve"> </w:t>
      </w:r>
      <w:r>
        <w:rPr>
          <w:spacing w:val="-9"/>
          <w:sz w:val="16"/>
          <w:szCs w:val="16"/>
        </w:rPr>
        <w:t>。</w:t>
      </w:r>
    </w:p>
    <w:p w14:paraId="5A1C426C">
      <w:pPr>
        <w:pStyle w:val="2"/>
        <w:spacing w:before="44" w:line="263" w:lineRule="auto"/>
        <w:ind w:right="343" w:firstLine="399"/>
        <w:rPr>
          <w:sz w:val="20"/>
          <w:szCs w:val="20"/>
        </w:rPr>
      </w:pPr>
      <w:r>
        <w:rPr>
          <w:rFonts w:ascii="Times New Roman" w:hAnsi="Times New Roman" w:eastAsia="Times New Roman" w:cs="Times New Roman"/>
          <w:sz w:val="20"/>
          <w:szCs w:val="20"/>
        </w:rPr>
        <w:t xml:space="preserve">WAF </w:t>
      </w:r>
      <w:r>
        <w:rPr>
          <w:sz w:val="20"/>
          <w:szCs w:val="20"/>
        </w:rPr>
        <w:t>的应用场景有：</w:t>
      </w:r>
      <w:r>
        <w:rPr>
          <w:rFonts w:ascii="Times New Roman" w:hAnsi="Times New Roman" w:eastAsia="Times New Roman" w:cs="Times New Roman"/>
          <w:sz w:val="20"/>
          <w:szCs w:val="20"/>
        </w:rPr>
        <w:t xml:space="preserve">Web </w:t>
      </w:r>
      <w:r>
        <w:rPr>
          <w:sz w:val="20"/>
          <w:szCs w:val="20"/>
        </w:rPr>
        <w:t>应用防火墙服务于云上及云外的所有客户，该服务主要应用于金</w:t>
      </w:r>
      <w:r>
        <w:rPr>
          <w:spacing w:val="5"/>
          <w:sz w:val="20"/>
          <w:szCs w:val="20"/>
        </w:rPr>
        <w:t xml:space="preserve"> </w:t>
      </w:r>
      <w:r>
        <w:rPr>
          <w:spacing w:val="1"/>
          <w:sz w:val="20"/>
          <w:szCs w:val="20"/>
        </w:rPr>
        <w:t>融、电商、02</w:t>
      </w:r>
      <w:r>
        <w:rPr>
          <w:rFonts w:ascii="Times New Roman" w:hAnsi="Times New Roman" w:eastAsia="Times New Roman" w:cs="Times New Roman"/>
          <w:spacing w:val="1"/>
          <w:sz w:val="20"/>
          <w:szCs w:val="20"/>
        </w:rPr>
        <w:t>O</w:t>
      </w:r>
      <w:r>
        <w:rPr>
          <w:rFonts w:ascii="Times New Roman" w:hAnsi="Times New Roman" w:eastAsia="Times New Roman" w:cs="Times New Roman"/>
          <w:spacing w:val="-22"/>
          <w:sz w:val="20"/>
          <w:szCs w:val="20"/>
        </w:rPr>
        <w:t xml:space="preserve"> </w:t>
      </w:r>
      <w:r>
        <w:rPr>
          <w:spacing w:val="1"/>
          <w:sz w:val="20"/>
          <w:szCs w:val="20"/>
        </w:rPr>
        <w:t>、互联网+、游戏、政府、保险等对安全要求较高的各类网站。</w:t>
      </w:r>
    </w:p>
    <w:p w14:paraId="17E81598">
      <w:pPr>
        <w:pStyle w:val="2"/>
        <w:spacing w:before="136" w:line="221" w:lineRule="auto"/>
        <w:ind w:left="402"/>
        <w:rPr>
          <w:rFonts w:ascii="黑体" w:hAnsi="黑体" w:eastAsia="黑体" w:cs="黑体"/>
          <w:sz w:val="20"/>
          <w:szCs w:val="20"/>
        </w:rPr>
      </w:pPr>
      <w:r>
        <w:rPr>
          <w:b/>
          <w:bCs/>
          <w:color w:val="006AC8"/>
          <w:spacing w:val="-1"/>
          <w:sz w:val="20"/>
          <w:szCs w:val="20"/>
        </w:rPr>
        <w:t>6.</w:t>
      </w:r>
      <w:r>
        <w:rPr>
          <w:rFonts w:ascii="黑体" w:hAnsi="黑体" w:eastAsia="黑体" w:cs="黑体"/>
          <w:b/>
          <w:bCs/>
          <w:color w:val="006AC8"/>
          <w:spacing w:val="-1"/>
          <w:sz w:val="20"/>
          <w:szCs w:val="20"/>
        </w:rPr>
        <w:t>管理工具类产品</w:t>
      </w:r>
    </w:p>
    <w:p w14:paraId="4F62024A">
      <w:pPr>
        <w:pStyle w:val="2"/>
        <w:spacing w:before="116" w:line="277" w:lineRule="auto"/>
        <w:ind w:right="334" w:firstLine="399"/>
        <w:jc w:val="both"/>
        <w:rPr>
          <w:sz w:val="20"/>
          <w:szCs w:val="20"/>
        </w:rPr>
      </w:pPr>
      <w:r>
        <w:rPr>
          <w:spacing w:val="3"/>
          <w:sz w:val="20"/>
          <w:szCs w:val="20"/>
        </w:rPr>
        <w:t>云监控是一项针对云资源和互联网应用进行监控的服务。云监控服务可用于收集</w:t>
      </w:r>
      <w:r>
        <w:rPr>
          <w:spacing w:val="2"/>
          <w:sz w:val="20"/>
          <w:szCs w:val="20"/>
        </w:rPr>
        <w:t>获取云资</w:t>
      </w:r>
      <w:r>
        <w:rPr>
          <w:sz w:val="20"/>
          <w:szCs w:val="20"/>
        </w:rPr>
        <w:t xml:space="preserve"> </w:t>
      </w:r>
      <w:r>
        <w:rPr>
          <w:spacing w:val="3"/>
          <w:sz w:val="20"/>
          <w:szCs w:val="20"/>
        </w:rPr>
        <w:t>源的监控指标，探测互联网服务可用性，以及针对指标设置警报。云监控为用户提供仪表盘驾</w:t>
      </w:r>
      <w:r>
        <w:rPr>
          <w:spacing w:val="12"/>
          <w:sz w:val="20"/>
          <w:szCs w:val="20"/>
        </w:rPr>
        <w:t xml:space="preserve"> </w:t>
      </w:r>
      <w:r>
        <w:rPr>
          <w:spacing w:val="-2"/>
          <w:sz w:val="20"/>
          <w:szCs w:val="20"/>
        </w:rPr>
        <w:t>驶舱、站点监控、云产品监控、自定义监控和报警服务。</w:t>
      </w:r>
    </w:p>
    <w:p w14:paraId="13C2220A">
      <w:pPr>
        <w:pStyle w:val="2"/>
        <w:spacing w:before="19" w:line="282" w:lineRule="auto"/>
        <w:ind w:right="271" w:firstLine="399"/>
        <w:rPr>
          <w:sz w:val="20"/>
          <w:szCs w:val="20"/>
        </w:rPr>
      </w:pPr>
      <w:r>
        <w:rPr>
          <w:spacing w:val="5"/>
          <w:sz w:val="20"/>
          <w:szCs w:val="20"/>
        </w:rPr>
        <w:t>管理类工具的应用场景有：云服务监控、系统监控、及时处理异常场景、及时扩容场景、</w:t>
      </w:r>
      <w:r>
        <w:rPr>
          <w:spacing w:val="4"/>
          <w:sz w:val="20"/>
          <w:szCs w:val="20"/>
        </w:rPr>
        <w:t xml:space="preserve"> </w:t>
      </w:r>
      <w:r>
        <w:rPr>
          <w:spacing w:val="-3"/>
          <w:sz w:val="20"/>
          <w:szCs w:val="20"/>
        </w:rPr>
        <w:t>站点监控、自定义监控等。</w:t>
      </w:r>
    </w:p>
    <w:p w14:paraId="7C8E1FCB">
      <w:pPr>
        <w:spacing w:line="282" w:lineRule="auto"/>
        <w:rPr>
          <w:sz w:val="20"/>
          <w:szCs w:val="20"/>
        </w:rPr>
        <w:sectPr>
          <w:pgSz w:w="10290" w:h="13310"/>
          <w:pgMar w:top="399" w:right="538" w:bottom="400" w:left="1080" w:header="0" w:footer="0" w:gutter="0"/>
          <w:cols w:space="720" w:num="1"/>
        </w:sectPr>
      </w:pPr>
    </w:p>
    <w:p w14:paraId="39E83AC9">
      <w:pPr>
        <w:pStyle w:val="2"/>
        <w:spacing w:before="117" w:line="199" w:lineRule="auto"/>
        <w:rPr>
          <w:sz w:val="19"/>
          <w:szCs w:val="19"/>
        </w:rPr>
      </w:pPr>
      <w:r>
        <w:rPr>
          <w:rFonts w:ascii="Times New Roman" w:hAnsi="Times New Roman" w:eastAsia="Times New Roman" w:cs="Times New Roman"/>
          <w:spacing w:val="-2"/>
          <w:position w:val="-5"/>
          <w:sz w:val="31"/>
          <w:szCs w:val="31"/>
        </w:rPr>
        <w:t>13</w:t>
      </w:r>
      <w:r>
        <w:rPr>
          <w:rFonts w:ascii="Times New Roman" w:hAnsi="Times New Roman" w:eastAsia="Times New Roman" w:cs="Times New Roman"/>
          <w:color w:val="00B2E9"/>
          <w:spacing w:val="-2"/>
          <w:position w:val="-5"/>
          <w:sz w:val="31"/>
          <w:szCs w:val="31"/>
        </w:rPr>
        <w:t xml:space="preserve">6        </w:t>
      </w:r>
      <w:r>
        <w:rPr>
          <w:spacing w:val="-2"/>
          <w:position w:val="1"/>
          <w:sz w:val="19"/>
          <w:szCs w:val="19"/>
        </w:rPr>
        <w:t>信息系统监理师教程(第2版)</w:t>
      </w:r>
    </w:p>
    <w:p w14:paraId="061367FA">
      <w:pPr>
        <w:pStyle w:val="2"/>
        <w:spacing w:before="301" w:line="218" w:lineRule="auto"/>
        <w:ind w:left="332"/>
        <w:rPr>
          <w:sz w:val="25"/>
          <w:szCs w:val="25"/>
        </w:rPr>
      </w:pPr>
      <w:r>
        <w:rPr>
          <w:b/>
          <w:bCs/>
          <w:color w:val="00A3EA"/>
          <w:spacing w:val="-18"/>
          <w:sz w:val="25"/>
          <w:szCs w:val="25"/>
        </w:rPr>
        <w:t>4.2.5</w:t>
      </w:r>
      <w:r>
        <w:rPr>
          <w:color w:val="00A3EA"/>
          <w:spacing w:val="86"/>
          <w:sz w:val="25"/>
          <w:szCs w:val="25"/>
        </w:rPr>
        <w:t xml:space="preserve"> </w:t>
      </w:r>
      <w:r>
        <w:rPr>
          <w:b/>
          <w:bCs/>
          <w:color w:val="00A3EA"/>
          <w:spacing w:val="-18"/>
          <w:sz w:val="25"/>
          <w:szCs w:val="25"/>
        </w:rPr>
        <w:t>云服务质量评估</w:t>
      </w:r>
    </w:p>
    <w:p w14:paraId="2F9CA9DC">
      <w:pPr>
        <w:pStyle w:val="2"/>
        <w:spacing w:before="208" w:line="219" w:lineRule="auto"/>
        <w:ind w:left="749"/>
        <w:rPr>
          <w:sz w:val="19"/>
          <w:szCs w:val="19"/>
        </w:rPr>
      </w:pPr>
      <w:r>
        <w:rPr>
          <w:spacing w:val="8"/>
          <w:sz w:val="19"/>
          <w:szCs w:val="19"/>
        </w:rPr>
        <w:t>云服务的质量包括各种功能性和非功能性的交付水平。</w:t>
      </w:r>
    </w:p>
    <w:p w14:paraId="29CA535D">
      <w:pPr>
        <w:pStyle w:val="2"/>
        <w:spacing w:before="150" w:line="221" w:lineRule="auto"/>
        <w:ind w:left="752"/>
        <w:rPr>
          <w:rFonts w:ascii="黑体" w:hAnsi="黑体" w:eastAsia="黑体" w:cs="黑体"/>
          <w:sz w:val="19"/>
          <w:szCs w:val="19"/>
        </w:rPr>
      </w:pPr>
      <w:r>
        <w:rPr>
          <w:b/>
          <w:bCs/>
          <w:color w:val="00A4E0"/>
          <w:spacing w:val="6"/>
          <w:sz w:val="19"/>
          <w:szCs w:val="19"/>
        </w:rPr>
        <w:t>1.</w:t>
      </w:r>
      <w:r>
        <w:rPr>
          <w:rFonts w:ascii="黑体" w:hAnsi="黑体" w:eastAsia="黑体" w:cs="黑体"/>
          <w:b/>
          <w:bCs/>
          <w:color w:val="00A4E0"/>
          <w:spacing w:val="6"/>
          <w:sz w:val="19"/>
          <w:szCs w:val="19"/>
        </w:rPr>
        <w:t>云主机服务质量评估</w:t>
      </w:r>
    </w:p>
    <w:p w14:paraId="43D2C1C4">
      <w:pPr>
        <w:pStyle w:val="2"/>
        <w:spacing w:before="185" w:line="218" w:lineRule="auto"/>
        <w:ind w:left="749"/>
        <w:rPr>
          <w:sz w:val="19"/>
          <w:szCs w:val="19"/>
        </w:rPr>
      </w:pPr>
      <w:r>
        <w:rPr>
          <w:spacing w:val="6"/>
          <w:sz w:val="19"/>
          <w:szCs w:val="19"/>
        </w:rPr>
        <w:t>云主机服务质量评估主要考察以下指标要求：</w:t>
      </w:r>
    </w:p>
    <w:p w14:paraId="55619588">
      <w:pPr>
        <w:pStyle w:val="2"/>
        <w:spacing w:before="65" w:line="270" w:lineRule="auto"/>
        <w:ind w:left="369" w:right="65" w:firstLine="379"/>
        <w:rPr>
          <w:sz w:val="19"/>
          <w:szCs w:val="19"/>
        </w:rPr>
      </w:pPr>
      <w:r>
        <w:rPr>
          <w:spacing w:val="14"/>
          <w:sz w:val="19"/>
          <w:szCs w:val="19"/>
        </w:rPr>
        <w:t>(1)通用处理能力，包括</w:t>
      </w:r>
      <w:r>
        <w:rPr>
          <w:rFonts w:ascii="Times New Roman" w:hAnsi="Times New Roman" w:eastAsia="Times New Roman" w:cs="Times New Roman"/>
          <w:sz w:val="19"/>
          <w:szCs w:val="19"/>
        </w:rPr>
        <w:t>CPU</w:t>
      </w:r>
      <w:r>
        <w:rPr>
          <w:rFonts w:ascii="Times New Roman" w:hAnsi="Times New Roman" w:eastAsia="Times New Roman" w:cs="Times New Roman"/>
          <w:spacing w:val="44"/>
          <w:w w:val="101"/>
          <w:sz w:val="19"/>
          <w:szCs w:val="19"/>
        </w:rPr>
        <w:t xml:space="preserve"> </w:t>
      </w:r>
      <w:r>
        <w:rPr>
          <w:spacing w:val="14"/>
          <w:sz w:val="19"/>
          <w:szCs w:val="19"/>
        </w:rPr>
        <w:t>运算处理能力、内存处理能力、硬盘处理能力、网络传输能</w:t>
      </w:r>
      <w:r>
        <w:rPr>
          <w:sz w:val="19"/>
          <w:szCs w:val="19"/>
        </w:rPr>
        <w:t xml:space="preserve"> </w:t>
      </w:r>
      <w:r>
        <w:rPr>
          <w:spacing w:val="5"/>
          <w:sz w:val="19"/>
          <w:szCs w:val="19"/>
        </w:rPr>
        <w:t>力、在线可用性、对弹性主机服务。</w:t>
      </w:r>
    </w:p>
    <w:p w14:paraId="229180E2">
      <w:pPr>
        <w:pStyle w:val="2"/>
        <w:spacing w:before="75" w:line="266" w:lineRule="auto"/>
        <w:ind w:left="369" w:firstLine="379"/>
        <w:rPr>
          <w:sz w:val="19"/>
          <w:szCs w:val="19"/>
        </w:rPr>
      </w:pPr>
      <w:r>
        <w:rPr>
          <w:spacing w:val="13"/>
          <w:sz w:val="19"/>
          <w:szCs w:val="19"/>
        </w:rPr>
        <w:t>(2)系统处理能力，即对不同典型应用组件的支持能力评估，包括</w:t>
      </w:r>
      <w:r>
        <w:rPr>
          <w:rFonts w:ascii="Times New Roman" w:hAnsi="Times New Roman" w:eastAsia="Times New Roman" w:cs="Times New Roman"/>
          <w:sz w:val="19"/>
          <w:szCs w:val="19"/>
        </w:rPr>
        <w:t>Web</w:t>
      </w:r>
      <w:r>
        <w:rPr>
          <w:rFonts w:ascii="Times New Roman" w:hAnsi="Times New Roman" w:eastAsia="Times New Roman" w:cs="Times New Roman"/>
          <w:spacing w:val="44"/>
          <w:w w:val="101"/>
          <w:sz w:val="19"/>
          <w:szCs w:val="19"/>
        </w:rPr>
        <w:t xml:space="preserve"> </w:t>
      </w:r>
      <w:r>
        <w:rPr>
          <w:spacing w:val="13"/>
          <w:sz w:val="19"/>
          <w:szCs w:val="19"/>
        </w:rPr>
        <w:t>网站、</w:t>
      </w:r>
      <w:r>
        <w:rPr>
          <w:rFonts w:ascii="Times New Roman" w:hAnsi="Times New Roman" w:eastAsia="Times New Roman" w:cs="Times New Roman"/>
          <w:spacing w:val="13"/>
          <w:sz w:val="19"/>
          <w:szCs w:val="19"/>
        </w:rPr>
        <w:t>J2</w:t>
      </w:r>
      <w:r>
        <w:rPr>
          <w:rFonts w:ascii="Times New Roman" w:hAnsi="Times New Roman" w:eastAsia="Times New Roman" w:cs="Times New Roman"/>
          <w:sz w:val="19"/>
          <w:szCs w:val="19"/>
        </w:rPr>
        <w:t>EE</w:t>
      </w:r>
      <w:r>
        <w:rPr>
          <w:rFonts w:ascii="Times New Roman" w:hAnsi="Times New Roman" w:eastAsia="Times New Roman" w:cs="Times New Roman"/>
          <w:spacing w:val="45"/>
          <w:w w:val="101"/>
          <w:sz w:val="19"/>
          <w:szCs w:val="19"/>
        </w:rPr>
        <w:t xml:space="preserve"> </w:t>
      </w:r>
      <w:r>
        <w:rPr>
          <w:spacing w:val="13"/>
          <w:sz w:val="19"/>
          <w:szCs w:val="19"/>
        </w:rPr>
        <w:t>应用、</w:t>
      </w:r>
      <w:r>
        <w:rPr>
          <w:sz w:val="19"/>
          <w:szCs w:val="19"/>
        </w:rPr>
        <w:t xml:space="preserve"> </w:t>
      </w:r>
      <w:r>
        <w:rPr>
          <w:spacing w:val="2"/>
          <w:sz w:val="19"/>
          <w:szCs w:val="19"/>
        </w:rPr>
        <w:t>关系数据库、</w:t>
      </w:r>
      <w:r>
        <w:rPr>
          <w:rFonts w:ascii="Times New Roman" w:hAnsi="Times New Roman" w:eastAsia="Times New Roman" w:cs="Times New Roman"/>
          <w:sz w:val="19"/>
          <w:szCs w:val="19"/>
        </w:rPr>
        <w:t>Hadoop</w:t>
      </w:r>
      <w:r>
        <w:rPr>
          <w:rFonts w:ascii="Times New Roman" w:hAnsi="Times New Roman" w:eastAsia="Times New Roman" w:cs="Times New Roman"/>
          <w:spacing w:val="-12"/>
          <w:sz w:val="19"/>
          <w:szCs w:val="19"/>
        </w:rPr>
        <w:t xml:space="preserve"> </w:t>
      </w:r>
      <w:r>
        <w:rPr>
          <w:spacing w:val="2"/>
          <w:sz w:val="19"/>
          <w:szCs w:val="19"/>
        </w:rPr>
        <w:t>、</w:t>
      </w:r>
      <w:r>
        <w:rPr>
          <w:spacing w:val="-32"/>
          <w:sz w:val="19"/>
          <w:szCs w:val="19"/>
        </w:rPr>
        <w:t xml:space="preserve"> </w:t>
      </w:r>
      <w:r>
        <w:rPr>
          <w:spacing w:val="2"/>
          <w:sz w:val="19"/>
          <w:szCs w:val="19"/>
        </w:rPr>
        <w:t>邮件系统和中间件等。</w:t>
      </w:r>
    </w:p>
    <w:p w14:paraId="01753227">
      <w:pPr>
        <w:pStyle w:val="2"/>
        <w:spacing w:before="91" w:line="271" w:lineRule="auto"/>
        <w:ind w:left="369" w:right="139" w:firstLine="379"/>
        <w:rPr>
          <w:sz w:val="19"/>
          <w:szCs w:val="19"/>
        </w:rPr>
      </w:pPr>
      <w:r>
        <w:rPr>
          <w:spacing w:val="15"/>
          <w:sz w:val="19"/>
          <w:szCs w:val="19"/>
        </w:rPr>
        <w:t>(3)行业应用承载能力，即对行业不同典型产品的承载能力评估，包括</w:t>
      </w:r>
      <w:r>
        <w:rPr>
          <w:rFonts w:ascii="Times New Roman" w:hAnsi="Times New Roman" w:eastAsia="Times New Roman" w:cs="Times New Roman"/>
          <w:sz w:val="19"/>
          <w:szCs w:val="19"/>
        </w:rPr>
        <w:t>ERP</w:t>
      </w:r>
      <w:r>
        <w:rPr>
          <w:rFonts w:ascii="Times New Roman" w:hAnsi="Times New Roman" w:eastAsia="Times New Roman" w:cs="Times New Roman"/>
          <w:spacing w:val="22"/>
          <w:w w:val="101"/>
          <w:sz w:val="19"/>
          <w:szCs w:val="19"/>
        </w:rPr>
        <w:t xml:space="preserve"> </w:t>
      </w:r>
      <w:r>
        <w:rPr>
          <w:spacing w:val="15"/>
          <w:sz w:val="19"/>
          <w:szCs w:val="19"/>
        </w:rPr>
        <w:t>产</w:t>
      </w:r>
      <w:r>
        <w:rPr>
          <w:spacing w:val="-22"/>
          <w:sz w:val="19"/>
          <w:szCs w:val="19"/>
        </w:rPr>
        <w:t xml:space="preserve"> </w:t>
      </w:r>
      <w:r>
        <w:rPr>
          <w:spacing w:val="15"/>
          <w:sz w:val="19"/>
          <w:szCs w:val="19"/>
        </w:rPr>
        <w:t>品</w:t>
      </w:r>
      <w:r>
        <w:rPr>
          <w:spacing w:val="-45"/>
          <w:sz w:val="19"/>
          <w:szCs w:val="19"/>
        </w:rPr>
        <w:t xml:space="preserve"> </w:t>
      </w:r>
      <w:r>
        <w:rPr>
          <w:spacing w:val="15"/>
          <w:sz w:val="19"/>
          <w:szCs w:val="19"/>
        </w:rPr>
        <w:t>、</w:t>
      </w:r>
      <w:r>
        <w:rPr>
          <w:rFonts w:ascii="Times New Roman" w:hAnsi="Times New Roman" w:eastAsia="Times New Roman" w:cs="Times New Roman"/>
          <w:sz w:val="19"/>
          <w:szCs w:val="19"/>
        </w:rPr>
        <w:t xml:space="preserve">CRM </w:t>
      </w:r>
      <w:r>
        <w:rPr>
          <w:spacing w:val="5"/>
          <w:sz w:val="19"/>
          <w:szCs w:val="19"/>
        </w:rPr>
        <w:t>产品和其他典型产品。</w:t>
      </w:r>
    </w:p>
    <w:p w14:paraId="268A8128">
      <w:pPr>
        <w:pStyle w:val="2"/>
        <w:spacing w:before="93" w:line="261" w:lineRule="auto"/>
        <w:ind w:left="369" w:firstLine="379"/>
        <w:rPr>
          <w:sz w:val="19"/>
          <w:szCs w:val="19"/>
        </w:rPr>
      </w:pPr>
      <w:r>
        <w:rPr>
          <w:spacing w:val="17"/>
          <w:sz w:val="19"/>
          <w:szCs w:val="19"/>
        </w:rPr>
        <w:t>(4)交付服务内容评估，包括界面交互服务、计费服务、技术支持服务、资料信息服</w:t>
      </w:r>
      <w:r>
        <w:rPr>
          <w:spacing w:val="16"/>
          <w:sz w:val="19"/>
          <w:szCs w:val="19"/>
        </w:rPr>
        <w:t>务、</w:t>
      </w:r>
      <w:r>
        <w:rPr>
          <w:sz w:val="19"/>
          <w:szCs w:val="19"/>
        </w:rPr>
        <w:t xml:space="preserve"> 其他服务。</w:t>
      </w:r>
    </w:p>
    <w:p w14:paraId="316EA288">
      <w:pPr>
        <w:pStyle w:val="2"/>
        <w:spacing w:before="160" w:line="221" w:lineRule="auto"/>
        <w:ind w:left="752"/>
        <w:rPr>
          <w:rFonts w:ascii="黑体" w:hAnsi="黑体" w:eastAsia="黑体" w:cs="黑体"/>
          <w:sz w:val="19"/>
          <w:szCs w:val="19"/>
        </w:rPr>
      </w:pPr>
      <w:r>
        <w:rPr>
          <w:b/>
          <w:bCs/>
          <w:color w:val="0095E0"/>
          <w:spacing w:val="6"/>
          <w:sz w:val="19"/>
          <w:szCs w:val="19"/>
        </w:rPr>
        <w:t>2.</w:t>
      </w:r>
      <w:r>
        <w:rPr>
          <w:rFonts w:ascii="黑体" w:hAnsi="黑体" w:eastAsia="黑体" w:cs="黑体"/>
          <w:b/>
          <w:bCs/>
          <w:color w:val="0095E0"/>
          <w:spacing w:val="6"/>
          <w:sz w:val="19"/>
          <w:szCs w:val="19"/>
        </w:rPr>
        <w:t>对象存储服务质量评估</w:t>
      </w:r>
    </w:p>
    <w:p w14:paraId="6635E958">
      <w:pPr>
        <w:pStyle w:val="2"/>
        <w:spacing w:before="165" w:line="218" w:lineRule="auto"/>
        <w:ind w:left="749"/>
        <w:rPr>
          <w:sz w:val="19"/>
          <w:szCs w:val="19"/>
        </w:rPr>
      </w:pPr>
      <w:r>
        <w:rPr>
          <w:spacing w:val="6"/>
          <w:sz w:val="19"/>
          <w:szCs w:val="19"/>
        </w:rPr>
        <w:t>对象存储服务质量评估主要考察以下性能指标要求：</w:t>
      </w:r>
    </w:p>
    <w:p w14:paraId="7F1404AD">
      <w:pPr>
        <w:pStyle w:val="2"/>
        <w:spacing w:before="87" w:line="219" w:lineRule="auto"/>
        <w:ind w:left="749"/>
        <w:rPr>
          <w:sz w:val="19"/>
          <w:szCs w:val="19"/>
        </w:rPr>
      </w:pPr>
      <w:r>
        <w:rPr>
          <w:spacing w:val="11"/>
          <w:sz w:val="19"/>
          <w:szCs w:val="19"/>
        </w:rPr>
        <w:t>(1)数据存储的持久性。具体包括：</w:t>
      </w:r>
    </w:p>
    <w:p w14:paraId="36126462">
      <w:pPr>
        <w:pStyle w:val="2"/>
        <w:spacing w:before="94" w:line="219" w:lineRule="auto"/>
        <w:ind w:left="749"/>
        <w:rPr>
          <w:sz w:val="19"/>
          <w:szCs w:val="19"/>
        </w:rPr>
      </w:pPr>
      <w:r>
        <w:rPr>
          <w:spacing w:val="13"/>
          <w:sz w:val="19"/>
          <w:szCs w:val="19"/>
        </w:rPr>
        <w:t>●用户数据应有本地副本，且有大于1份的数据副本；</w:t>
      </w:r>
    </w:p>
    <w:p w14:paraId="62BE86B6">
      <w:pPr>
        <w:pStyle w:val="2"/>
        <w:spacing w:before="94" w:line="219" w:lineRule="auto"/>
        <w:ind w:left="749"/>
        <w:rPr>
          <w:sz w:val="19"/>
          <w:szCs w:val="19"/>
        </w:rPr>
      </w:pPr>
      <w:r>
        <w:rPr>
          <w:spacing w:val="9"/>
          <w:sz w:val="19"/>
          <w:szCs w:val="19"/>
        </w:rPr>
        <w:t>●对象存储服务提供商具有跨机房或异地备份的能力。</w:t>
      </w:r>
    </w:p>
    <w:p w14:paraId="33D3A6A0">
      <w:pPr>
        <w:pStyle w:val="2"/>
        <w:spacing w:before="106" w:line="219" w:lineRule="auto"/>
        <w:ind w:left="749"/>
        <w:rPr>
          <w:sz w:val="19"/>
          <w:szCs w:val="19"/>
        </w:rPr>
      </w:pPr>
      <w:r>
        <w:rPr>
          <w:spacing w:val="11"/>
          <w:sz w:val="19"/>
          <w:szCs w:val="19"/>
        </w:rPr>
        <w:t>(2)数据可销毁性。具体包括：</w:t>
      </w:r>
    </w:p>
    <w:p w14:paraId="3D169E34">
      <w:pPr>
        <w:pStyle w:val="2"/>
        <w:spacing w:before="74" w:line="270" w:lineRule="auto"/>
        <w:ind w:left="1029" w:right="83" w:hanging="280"/>
        <w:rPr>
          <w:sz w:val="19"/>
          <w:szCs w:val="19"/>
        </w:rPr>
      </w:pPr>
      <w:r>
        <w:rPr>
          <w:spacing w:val="13"/>
          <w:sz w:val="19"/>
          <w:szCs w:val="19"/>
        </w:rPr>
        <w:t>●用户终止服务的时候，除非有特殊约定，对象存储服务提供商应该立即</w:t>
      </w:r>
      <w:r>
        <w:rPr>
          <w:spacing w:val="12"/>
          <w:sz w:val="19"/>
          <w:szCs w:val="19"/>
        </w:rPr>
        <w:t>将用户数据彻底</w:t>
      </w:r>
      <w:r>
        <w:rPr>
          <w:sz w:val="19"/>
          <w:szCs w:val="19"/>
        </w:rPr>
        <w:t xml:space="preserve"> </w:t>
      </w:r>
      <w:r>
        <w:rPr>
          <w:spacing w:val="4"/>
          <w:sz w:val="19"/>
          <w:szCs w:val="19"/>
        </w:rPr>
        <w:t>删除；</w:t>
      </w:r>
    </w:p>
    <w:p w14:paraId="735F517F">
      <w:pPr>
        <w:pStyle w:val="2"/>
        <w:spacing w:before="105" w:line="219" w:lineRule="auto"/>
        <w:ind w:left="749"/>
        <w:rPr>
          <w:sz w:val="19"/>
          <w:szCs w:val="19"/>
        </w:rPr>
      </w:pPr>
      <w:r>
        <w:rPr>
          <w:spacing w:val="10"/>
          <w:sz w:val="19"/>
          <w:szCs w:val="19"/>
        </w:rPr>
        <w:t>●服务过程中，如果用户提出数据删除要求，服务商应立即删除数据；</w:t>
      </w:r>
    </w:p>
    <w:p w14:paraId="17FEF149">
      <w:pPr>
        <w:pStyle w:val="2"/>
        <w:spacing w:before="103" w:line="219" w:lineRule="auto"/>
        <w:ind w:left="749"/>
        <w:rPr>
          <w:sz w:val="19"/>
          <w:szCs w:val="19"/>
        </w:rPr>
      </w:pPr>
      <w:r>
        <w:rPr>
          <w:spacing w:val="10"/>
          <w:sz w:val="19"/>
          <w:szCs w:val="19"/>
        </w:rPr>
        <w:t>●如果用户提出高级清零要求，对象存储服务提供商应提供相应的服务；</w:t>
      </w:r>
    </w:p>
    <w:p w14:paraId="3038B60F">
      <w:pPr>
        <w:pStyle w:val="2"/>
        <w:spacing w:before="95" w:line="219" w:lineRule="auto"/>
        <w:ind w:left="749"/>
        <w:rPr>
          <w:sz w:val="19"/>
          <w:szCs w:val="19"/>
        </w:rPr>
      </w:pPr>
      <w:r>
        <w:rPr>
          <w:spacing w:val="10"/>
          <w:sz w:val="19"/>
          <w:szCs w:val="19"/>
        </w:rPr>
        <w:t>●在存储设备报废时，服务提供商应使用消磁、损毁等方式进行处理。</w:t>
      </w:r>
    </w:p>
    <w:p w14:paraId="182A5359">
      <w:pPr>
        <w:pStyle w:val="2"/>
        <w:spacing w:before="86" w:line="270" w:lineRule="auto"/>
        <w:ind w:left="369" w:right="107" w:firstLine="379"/>
        <w:rPr>
          <w:sz w:val="19"/>
          <w:szCs w:val="19"/>
        </w:rPr>
      </w:pPr>
      <w:r>
        <w:rPr>
          <w:spacing w:val="14"/>
          <w:sz w:val="19"/>
          <w:szCs w:val="19"/>
        </w:rPr>
        <w:t>(3)数据可迁移性。在用户提出数据迁移需求时，对象存储服务提供商能够提供迁入和迁</w:t>
      </w:r>
      <w:r>
        <w:rPr>
          <w:spacing w:val="11"/>
          <w:sz w:val="19"/>
          <w:szCs w:val="19"/>
        </w:rPr>
        <w:t xml:space="preserve"> </w:t>
      </w:r>
      <w:r>
        <w:rPr>
          <w:spacing w:val="5"/>
          <w:sz w:val="19"/>
          <w:szCs w:val="19"/>
        </w:rPr>
        <w:t>出工具或迁入和迁出人工服务，具体包括：</w:t>
      </w:r>
    </w:p>
    <w:p w14:paraId="7ABED80A">
      <w:pPr>
        <w:pStyle w:val="2"/>
        <w:spacing w:before="90" w:line="267" w:lineRule="auto"/>
        <w:ind w:left="1029" w:right="276" w:hanging="280"/>
        <w:rPr>
          <w:sz w:val="19"/>
          <w:szCs w:val="19"/>
        </w:rPr>
      </w:pPr>
      <w:r>
        <w:rPr>
          <w:spacing w:val="6"/>
          <w:sz w:val="19"/>
          <w:szCs w:val="19"/>
        </w:rPr>
        <w:t>●对象存储服务提供商可提供管理工具、</w:t>
      </w:r>
      <w:r>
        <w:rPr>
          <w:spacing w:val="-22"/>
          <w:sz w:val="19"/>
          <w:szCs w:val="19"/>
        </w:rPr>
        <w:t xml:space="preserve"> </w:t>
      </w:r>
      <w:r>
        <w:rPr>
          <w:sz w:val="19"/>
          <w:szCs w:val="19"/>
        </w:rPr>
        <w:t>API</w:t>
      </w:r>
      <w:r>
        <w:rPr>
          <w:spacing w:val="6"/>
          <w:sz w:val="19"/>
          <w:szCs w:val="19"/>
        </w:rPr>
        <w:t>、</w:t>
      </w:r>
      <w:r>
        <w:rPr>
          <w:sz w:val="19"/>
          <w:szCs w:val="19"/>
        </w:rPr>
        <w:t>SDK</w:t>
      </w:r>
      <w:r>
        <w:rPr>
          <w:spacing w:val="6"/>
          <w:sz w:val="19"/>
          <w:szCs w:val="19"/>
        </w:rPr>
        <w:t>,</w:t>
      </w:r>
      <w:r>
        <w:rPr>
          <w:spacing w:val="33"/>
          <w:sz w:val="19"/>
          <w:szCs w:val="19"/>
        </w:rPr>
        <w:t xml:space="preserve">  </w:t>
      </w:r>
      <w:r>
        <w:rPr>
          <w:spacing w:val="6"/>
          <w:sz w:val="19"/>
          <w:szCs w:val="19"/>
        </w:rPr>
        <w:t>用户可以使用管理工具、</w:t>
      </w:r>
      <w:r>
        <w:rPr>
          <w:spacing w:val="-24"/>
          <w:sz w:val="19"/>
          <w:szCs w:val="19"/>
        </w:rPr>
        <w:t xml:space="preserve"> </w:t>
      </w:r>
      <w:r>
        <w:rPr>
          <w:sz w:val="19"/>
          <w:szCs w:val="19"/>
        </w:rPr>
        <w:t>API</w:t>
      </w:r>
      <w:r>
        <w:rPr>
          <w:spacing w:val="6"/>
          <w:sz w:val="19"/>
          <w:szCs w:val="19"/>
        </w:rPr>
        <w:t>、</w:t>
      </w:r>
      <w:r>
        <w:rPr>
          <w:sz w:val="19"/>
          <w:szCs w:val="19"/>
        </w:rPr>
        <w:t xml:space="preserve">SDK </w:t>
      </w:r>
      <w:r>
        <w:rPr>
          <w:spacing w:val="2"/>
          <w:sz w:val="19"/>
          <w:szCs w:val="19"/>
        </w:rPr>
        <w:t>完成数据迁移；</w:t>
      </w:r>
    </w:p>
    <w:p w14:paraId="10BC2127">
      <w:pPr>
        <w:pStyle w:val="2"/>
        <w:spacing w:before="73" w:line="219" w:lineRule="auto"/>
        <w:ind w:left="749"/>
        <w:rPr>
          <w:sz w:val="19"/>
          <w:szCs w:val="19"/>
        </w:rPr>
      </w:pPr>
      <w:r>
        <w:rPr>
          <w:spacing w:val="11"/>
          <w:sz w:val="19"/>
          <w:szCs w:val="19"/>
        </w:rPr>
        <w:t>●对象存储服务提供商也可提供数据迁入和迁出人工</w:t>
      </w:r>
      <w:r>
        <w:rPr>
          <w:spacing w:val="10"/>
          <w:sz w:val="19"/>
          <w:szCs w:val="19"/>
        </w:rPr>
        <w:t>服务，帮助用户完成数据迁移；</w:t>
      </w:r>
    </w:p>
    <w:p w14:paraId="20EF7168">
      <w:pPr>
        <w:pStyle w:val="2"/>
        <w:spacing w:before="105" w:line="219" w:lineRule="auto"/>
        <w:ind w:left="749"/>
        <w:rPr>
          <w:sz w:val="19"/>
          <w:szCs w:val="19"/>
        </w:rPr>
      </w:pPr>
      <w:r>
        <w:rPr>
          <w:spacing w:val="11"/>
          <w:sz w:val="19"/>
          <w:szCs w:val="19"/>
        </w:rPr>
        <w:t>●如果以代码可编程方式提供服务，还应包括对象有关</w:t>
      </w:r>
      <w:r>
        <w:rPr>
          <w:spacing w:val="10"/>
          <w:sz w:val="19"/>
          <w:szCs w:val="19"/>
        </w:rPr>
        <w:t>的代码的迁移。</w:t>
      </w:r>
    </w:p>
    <w:p w14:paraId="3F5344FE">
      <w:pPr>
        <w:pStyle w:val="2"/>
        <w:spacing w:before="96" w:line="219" w:lineRule="auto"/>
        <w:ind w:left="749"/>
        <w:rPr>
          <w:sz w:val="19"/>
          <w:szCs w:val="19"/>
        </w:rPr>
      </w:pPr>
      <w:r>
        <w:rPr>
          <w:spacing w:val="11"/>
          <w:sz w:val="19"/>
          <w:szCs w:val="19"/>
        </w:rPr>
        <w:t>(4)数据私密性。具体包括：</w:t>
      </w:r>
    </w:p>
    <w:p w14:paraId="78B3349B">
      <w:pPr>
        <w:pStyle w:val="2"/>
        <w:spacing w:before="73" w:line="219" w:lineRule="auto"/>
        <w:ind w:left="749"/>
        <w:rPr>
          <w:sz w:val="19"/>
          <w:szCs w:val="19"/>
        </w:rPr>
      </w:pPr>
      <w:r>
        <w:rPr>
          <w:spacing w:val="10"/>
          <w:sz w:val="19"/>
          <w:szCs w:val="19"/>
        </w:rPr>
        <w:t>●对象存储服务提供商应保证非公开对象外</w:t>
      </w:r>
      <w:r>
        <w:rPr>
          <w:spacing w:val="9"/>
          <w:sz w:val="19"/>
          <w:szCs w:val="19"/>
        </w:rPr>
        <w:t>部无法获取；</w:t>
      </w:r>
    </w:p>
    <w:p w14:paraId="5CF0C462">
      <w:pPr>
        <w:pStyle w:val="2"/>
        <w:spacing w:before="96" w:line="219" w:lineRule="auto"/>
        <w:ind w:left="749"/>
        <w:rPr>
          <w:sz w:val="19"/>
          <w:szCs w:val="19"/>
        </w:rPr>
      </w:pPr>
      <w:r>
        <w:rPr>
          <w:spacing w:val="10"/>
          <w:sz w:val="19"/>
          <w:szCs w:val="19"/>
        </w:rPr>
        <w:t>●保证不同用户之间的隔离，不能相互控制、篡改文件等；</w:t>
      </w:r>
    </w:p>
    <w:p w14:paraId="24A4F618">
      <w:pPr>
        <w:pStyle w:val="2"/>
        <w:spacing w:before="83" w:line="219" w:lineRule="auto"/>
        <w:ind w:left="749"/>
        <w:rPr>
          <w:sz w:val="19"/>
          <w:szCs w:val="19"/>
        </w:rPr>
      </w:pPr>
      <w:r>
        <w:rPr>
          <w:spacing w:val="10"/>
          <w:sz w:val="19"/>
          <w:szCs w:val="19"/>
        </w:rPr>
        <w:t>●用户授权的情况下，对象存储服务提供商才能获得数据；</w:t>
      </w:r>
    </w:p>
    <w:p w14:paraId="2A15ED77">
      <w:pPr>
        <w:pStyle w:val="2"/>
        <w:spacing w:before="95" w:line="219" w:lineRule="auto"/>
        <w:ind w:left="749"/>
        <w:rPr>
          <w:sz w:val="19"/>
          <w:szCs w:val="19"/>
        </w:rPr>
      </w:pPr>
      <w:r>
        <w:rPr>
          <w:spacing w:val="13"/>
          <w:sz w:val="19"/>
          <w:szCs w:val="19"/>
        </w:rPr>
        <w:t>●供应商应遵守我国保护用户信息/隐私的相关法律法规。</w:t>
      </w:r>
    </w:p>
    <w:p w14:paraId="5AEAE897">
      <w:pPr>
        <w:pStyle w:val="2"/>
        <w:spacing w:before="95" w:line="219" w:lineRule="auto"/>
        <w:ind w:left="749"/>
        <w:rPr>
          <w:sz w:val="19"/>
          <w:szCs w:val="19"/>
        </w:rPr>
      </w:pPr>
      <w:r>
        <w:rPr>
          <w:spacing w:val="20"/>
          <w:sz w:val="19"/>
          <w:szCs w:val="19"/>
        </w:rPr>
        <w:t>(5)数据知情权。为我国提供对象存储服务的数据中心(包括备份数据的数据中心)必须</w:t>
      </w:r>
    </w:p>
    <w:p w14:paraId="520EC3D2">
      <w:pPr>
        <w:spacing w:line="219" w:lineRule="auto"/>
        <w:rPr>
          <w:sz w:val="19"/>
          <w:szCs w:val="19"/>
        </w:rPr>
        <w:sectPr>
          <w:pgSz w:w="10300" w:h="13380"/>
          <w:pgMar w:top="400" w:right="1015" w:bottom="400" w:left="540" w:header="0" w:footer="0" w:gutter="0"/>
          <w:cols w:space="720" w:num="1"/>
        </w:sectPr>
      </w:pPr>
    </w:p>
    <w:p w14:paraId="51F9EAAC">
      <w:pPr>
        <w:pStyle w:val="2"/>
        <w:jc w:val="right"/>
        <w:rPr>
          <w:rFonts w:ascii="Times New Roman" w:hAnsi="Times New Roman" w:eastAsia="Times New Roman" w:cs="Times New Roman"/>
          <w:sz w:val="16"/>
          <w:szCs w:val="16"/>
        </w:rPr>
      </w:pPr>
      <w:r>
        <w:rPr>
          <w:spacing w:val="-2"/>
          <w:sz w:val="20"/>
          <w:szCs w:val="20"/>
        </w:rPr>
        <w:t>第4章 信息资源系统</w:t>
      </w:r>
      <w:r>
        <w:rPr>
          <w:spacing w:val="56"/>
          <w:sz w:val="20"/>
          <w:szCs w:val="20"/>
        </w:rPr>
        <w:t xml:space="preserve"> </w:t>
      </w:r>
      <w:r>
        <w:rPr>
          <w:position w:val="-11"/>
          <w:sz w:val="20"/>
          <w:szCs w:val="20"/>
        </w:rPr>
        <w:drawing>
          <wp:inline distT="0" distB="0" distL="0" distR="0">
            <wp:extent cx="316865" cy="24130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11"/>
                    <a:stretch>
                      <a:fillRect/>
                    </a:stretch>
                  </pic:blipFill>
                  <pic:spPr>
                    <a:xfrm>
                      <a:off x="0" y="0"/>
                      <a:ext cx="317494" cy="241312"/>
                    </a:xfrm>
                    <a:prstGeom prst="rect">
                      <a:avLst/>
                    </a:prstGeom>
                  </pic:spPr>
                </pic:pic>
              </a:graphicData>
            </a:graphic>
          </wp:inline>
        </w:drawing>
      </w:r>
      <w:r>
        <w:rPr>
          <w:rFonts w:ascii="Times New Roman" w:hAnsi="Times New Roman" w:eastAsia="Times New Roman" w:cs="Times New Roman"/>
          <w:spacing w:val="-2"/>
          <w:sz w:val="16"/>
          <w:szCs w:val="16"/>
        </w:rPr>
        <w:t>137</w:t>
      </w:r>
    </w:p>
    <w:p w14:paraId="6CF9068F">
      <w:pPr>
        <w:spacing w:line="251" w:lineRule="auto"/>
        <w:rPr>
          <w:rFonts w:ascii="Arial"/>
          <w:sz w:val="21"/>
        </w:rPr>
      </w:pPr>
    </w:p>
    <w:p w14:paraId="6B2E6F5A">
      <w:pPr>
        <w:pStyle w:val="2"/>
        <w:spacing w:before="65" w:line="219" w:lineRule="auto"/>
        <w:rPr>
          <w:sz w:val="20"/>
          <w:szCs w:val="20"/>
        </w:rPr>
      </w:pPr>
      <w:r>
        <w:rPr>
          <w:spacing w:val="-4"/>
          <w:sz w:val="20"/>
          <w:szCs w:val="20"/>
        </w:rPr>
        <w:t>在我国境内，并且达到以下要求：</w:t>
      </w:r>
    </w:p>
    <w:p w14:paraId="25E437CA">
      <w:pPr>
        <w:pStyle w:val="2"/>
        <w:spacing w:before="70" w:line="218" w:lineRule="auto"/>
        <w:ind w:left="400"/>
        <w:rPr>
          <w:sz w:val="20"/>
          <w:szCs w:val="20"/>
        </w:rPr>
      </w:pPr>
      <w:r>
        <w:rPr>
          <w:sz w:val="20"/>
          <w:szCs w:val="20"/>
        </w:rPr>
        <w:t>●对象存储服务提供商告知数据中心及备份数据中心的位置；</w:t>
      </w:r>
    </w:p>
    <w:p w14:paraId="7005B780">
      <w:pPr>
        <w:pStyle w:val="2"/>
        <w:spacing w:before="93" w:line="263" w:lineRule="auto"/>
        <w:ind w:left="670" w:right="299" w:hanging="270"/>
        <w:rPr>
          <w:sz w:val="20"/>
          <w:szCs w:val="20"/>
        </w:rPr>
      </w:pPr>
      <w:r>
        <w:rPr>
          <w:spacing w:val="8"/>
          <w:sz w:val="20"/>
          <w:szCs w:val="20"/>
        </w:rPr>
        <w:t>●对象存储服务提供商对用户数据进行的操作均需获得用户授权，向用户告知操作的细</w:t>
      </w:r>
      <w:r>
        <w:rPr>
          <w:spacing w:val="17"/>
          <w:sz w:val="20"/>
          <w:szCs w:val="20"/>
        </w:rPr>
        <w:t xml:space="preserve"> </w:t>
      </w:r>
      <w:r>
        <w:rPr>
          <w:spacing w:val="-3"/>
          <w:sz w:val="20"/>
          <w:szCs w:val="20"/>
        </w:rPr>
        <w:t>节，并进行日志留存；</w:t>
      </w:r>
    </w:p>
    <w:p w14:paraId="3573D367">
      <w:pPr>
        <w:pStyle w:val="2"/>
        <w:spacing w:before="81" w:line="289" w:lineRule="auto"/>
        <w:ind w:left="670" w:right="294" w:hanging="270"/>
        <w:rPr>
          <w:sz w:val="16"/>
          <w:szCs w:val="16"/>
        </w:rPr>
      </w:pPr>
      <w:r>
        <w:rPr>
          <w:spacing w:val="3"/>
          <w:sz w:val="20"/>
          <w:szCs w:val="20"/>
        </w:rPr>
        <w:t>●在任何情况下对象存储服务提供商不能将用户相关信息及数据转移至我国境外的国家和</w:t>
      </w:r>
      <w:r>
        <w:rPr>
          <w:spacing w:val="8"/>
          <w:sz w:val="20"/>
          <w:szCs w:val="20"/>
        </w:rPr>
        <w:t xml:space="preserve"> </w:t>
      </w:r>
      <w:r>
        <w:rPr>
          <w:spacing w:val="-8"/>
          <w:sz w:val="16"/>
          <w:szCs w:val="16"/>
        </w:rPr>
        <w:t>地 区</w:t>
      </w:r>
      <w:r>
        <w:rPr>
          <w:spacing w:val="-22"/>
          <w:sz w:val="16"/>
          <w:szCs w:val="16"/>
        </w:rPr>
        <w:t xml:space="preserve"> </w:t>
      </w:r>
      <w:r>
        <w:rPr>
          <w:spacing w:val="-8"/>
          <w:sz w:val="16"/>
          <w:szCs w:val="16"/>
        </w:rPr>
        <w:t>；</w:t>
      </w:r>
    </w:p>
    <w:p w14:paraId="7D8B7901">
      <w:pPr>
        <w:pStyle w:val="2"/>
        <w:spacing w:before="106" w:line="219" w:lineRule="auto"/>
        <w:ind w:left="400"/>
        <w:rPr>
          <w:sz w:val="20"/>
          <w:szCs w:val="20"/>
        </w:rPr>
      </w:pPr>
      <w:r>
        <w:rPr>
          <w:spacing w:val="1"/>
          <w:sz w:val="20"/>
          <w:szCs w:val="20"/>
        </w:rPr>
        <w:t>●提供对象存储服务的系统和平台相关的维护、管理、升级等操作均需在我国境内进行。</w:t>
      </w:r>
    </w:p>
    <w:p w14:paraId="0617827F">
      <w:pPr>
        <w:pStyle w:val="2"/>
        <w:spacing w:before="64" w:line="219" w:lineRule="auto"/>
        <w:ind w:left="400"/>
        <w:rPr>
          <w:sz w:val="20"/>
          <w:szCs w:val="20"/>
        </w:rPr>
      </w:pPr>
      <w:r>
        <w:rPr>
          <w:spacing w:val="2"/>
          <w:sz w:val="20"/>
          <w:szCs w:val="20"/>
        </w:rPr>
        <w:t>(6)服务可审查性。具体包括：</w:t>
      </w:r>
    </w:p>
    <w:p w14:paraId="68F96910">
      <w:pPr>
        <w:pStyle w:val="2"/>
        <w:spacing w:before="83" w:line="270" w:lineRule="auto"/>
        <w:ind w:left="670" w:right="251" w:hanging="270"/>
        <w:rPr>
          <w:sz w:val="20"/>
          <w:szCs w:val="20"/>
        </w:rPr>
      </w:pPr>
      <w:r>
        <w:rPr>
          <w:spacing w:val="3"/>
          <w:sz w:val="20"/>
          <w:szCs w:val="20"/>
        </w:rPr>
        <w:t>●对象存储服务提供商应依法配合国家监管机构、司法机构等政府部门的安全检查，符合</w:t>
      </w:r>
      <w:r>
        <w:rPr>
          <w:sz w:val="20"/>
          <w:szCs w:val="20"/>
        </w:rPr>
        <w:t xml:space="preserve"> </w:t>
      </w:r>
      <w:r>
        <w:rPr>
          <w:spacing w:val="3"/>
          <w:sz w:val="20"/>
          <w:szCs w:val="20"/>
        </w:rPr>
        <w:t>相关数据安全管理规定，应制定完备的安全和服务两</w:t>
      </w:r>
      <w:r>
        <w:rPr>
          <w:spacing w:val="2"/>
          <w:sz w:val="20"/>
          <w:szCs w:val="20"/>
        </w:rPr>
        <w:t>方面的运维管理制度和组织机制，</w:t>
      </w:r>
      <w:r>
        <w:rPr>
          <w:sz w:val="20"/>
          <w:szCs w:val="20"/>
        </w:rPr>
        <w:t xml:space="preserve"> </w:t>
      </w:r>
      <w:r>
        <w:rPr>
          <w:spacing w:val="-4"/>
          <w:sz w:val="20"/>
          <w:szCs w:val="20"/>
        </w:rPr>
        <w:t>并在运维管理系统中实现相应功能；</w:t>
      </w:r>
    </w:p>
    <w:p w14:paraId="7FBE7AD5">
      <w:pPr>
        <w:pStyle w:val="2"/>
        <w:spacing w:before="121" w:line="219" w:lineRule="auto"/>
        <w:ind w:left="400"/>
        <w:rPr>
          <w:sz w:val="20"/>
          <w:szCs w:val="20"/>
        </w:rPr>
      </w:pPr>
      <w:r>
        <w:rPr>
          <w:sz w:val="20"/>
          <w:szCs w:val="20"/>
        </w:rPr>
        <w:t>●对象存储服务提供商应接受由政府或用户指定的第三方机构的审查和监测；</w:t>
      </w:r>
    </w:p>
    <w:p w14:paraId="2F98A398">
      <w:pPr>
        <w:pStyle w:val="2"/>
        <w:spacing w:before="83" w:line="219" w:lineRule="auto"/>
        <w:ind w:left="400"/>
        <w:rPr>
          <w:sz w:val="20"/>
          <w:szCs w:val="20"/>
        </w:rPr>
      </w:pPr>
      <w:r>
        <w:rPr>
          <w:spacing w:val="1"/>
          <w:sz w:val="20"/>
          <w:szCs w:val="20"/>
        </w:rPr>
        <w:t>●实际功能与对象存储服务提供商宣称的功能一致，并应提供详尽的用户使用指南。</w:t>
      </w:r>
    </w:p>
    <w:p w14:paraId="3E517A01">
      <w:pPr>
        <w:pStyle w:val="2"/>
        <w:spacing w:before="93" w:line="219" w:lineRule="auto"/>
        <w:ind w:left="400"/>
        <w:rPr>
          <w:sz w:val="20"/>
          <w:szCs w:val="20"/>
        </w:rPr>
      </w:pPr>
      <w:r>
        <w:rPr>
          <w:spacing w:val="1"/>
          <w:sz w:val="20"/>
          <w:szCs w:val="20"/>
        </w:rPr>
        <w:t>(7)服务功能。实际功能与服务协议的功能一致，并提供以下文档：</w:t>
      </w:r>
    </w:p>
    <w:p w14:paraId="0E83419E">
      <w:pPr>
        <w:pStyle w:val="2"/>
        <w:spacing w:before="62" w:line="219" w:lineRule="auto"/>
        <w:ind w:left="400"/>
        <w:rPr>
          <w:sz w:val="20"/>
          <w:szCs w:val="20"/>
        </w:rPr>
      </w:pPr>
      <w:r>
        <w:rPr>
          <w:spacing w:val="2"/>
          <w:sz w:val="20"/>
          <w:szCs w:val="20"/>
        </w:rPr>
        <w:t>●提供用户使用指南；</w:t>
      </w:r>
    </w:p>
    <w:p w14:paraId="75230586">
      <w:pPr>
        <w:pStyle w:val="2"/>
        <w:spacing w:before="84" w:line="262" w:lineRule="auto"/>
        <w:ind w:left="670" w:right="295" w:hanging="270"/>
        <w:rPr>
          <w:sz w:val="20"/>
          <w:szCs w:val="20"/>
        </w:rPr>
      </w:pPr>
      <w:r>
        <w:rPr>
          <w:spacing w:val="3"/>
          <w:sz w:val="20"/>
          <w:szCs w:val="20"/>
        </w:rPr>
        <w:t>●提供与承诺相符的业务功能的材料，即云服务商应能提供用户有关使用其云服务产品的</w:t>
      </w:r>
      <w:r>
        <w:rPr>
          <w:spacing w:val="7"/>
          <w:sz w:val="20"/>
          <w:szCs w:val="20"/>
        </w:rPr>
        <w:t xml:space="preserve"> </w:t>
      </w:r>
      <w:r>
        <w:rPr>
          <w:spacing w:val="1"/>
          <w:sz w:val="20"/>
          <w:szCs w:val="20"/>
        </w:rPr>
        <w:t>操作指导/说明、安全参考框架等资料；</w:t>
      </w:r>
    </w:p>
    <w:p w14:paraId="6E069B41">
      <w:pPr>
        <w:pStyle w:val="2"/>
        <w:spacing w:before="82" w:line="287" w:lineRule="auto"/>
        <w:ind w:left="670" w:right="302" w:hanging="270"/>
        <w:rPr>
          <w:sz w:val="16"/>
          <w:szCs w:val="16"/>
        </w:rPr>
      </w:pPr>
      <w:r>
        <w:rPr>
          <w:spacing w:val="3"/>
          <w:sz w:val="20"/>
          <w:szCs w:val="20"/>
        </w:rPr>
        <w:t>●必须涵盖如下功能示范，即新增一条数据、修改一条数据、下载一条数据、删除一条数</w:t>
      </w:r>
      <w:r>
        <w:rPr>
          <w:sz w:val="20"/>
          <w:szCs w:val="20"/>
        </w:rPr>
        <w:t xml:space="preserve"> </w:t>
      </w:r>
      <w:r>
        <w:rPr>
          <w:spacing w:val="3"/>
          <w:sz w:val="20"/>
          <w:szCs w:val="20"/>
        </w:rPr>
        <w:t>据、查询一条数据，上述功能可以通过</w:t>
      </w:r>
      <w:r>
        <w:rPr>
          <w:rFonts w:ascii="Times New Roman" w:hAnsi="Times New Roman" w:eastAsia="Times New Roman" w:cs="Times New Roman"/>
          <w:sz w:val="20"/>
          <w:szCs w:val="20"/>
        </w:rPr>
        <w:t>API</w:t>
      </w:r>
      <w:r>
        <w:rPr>
          <w:rFonts w:ascii="Times New Roman" w:hAnsi="Times New Roman" w:eastAsia="Times New Roman" w:cs="Times New Roman"/>
          <w:spacing w:val="-28"/>
          <w:sz w:val="20"/>
          <w:szCs w:val="20"/>
        </w:rPr>
        <w:t xml:space="preserve"> </w:t>
      </w:r>
      <w:r>
        <w:rPr>
          <w:spacing w:val="3"/>
          <w:sz w:val="20"/>
          <w:szCs w:val="20"/>
        </w:rPr>
        <w:t>、页面、工具、代码等的任意</w:t>
      </w:r>
      <w:r>
        <w:rPr>
          <w:spacing w:val="2"/>
          <w:sz w:val="20"/>
          <w:szCs w:val="20"/>
        </w:rPr>
        <w:t>一种或几种方</w:t>
      </w:r>
      <w:r>
        <w:rPr>
          <w:sz w:val="20"/>
          <w:szCs w:val="20"/>
        </w:rPr>
        <w:t xml:space="preserve"> </w:t>
      </w:r>
      <w:r>
        <w:rPr>
          <w:spacing w:val="21"/>
          <w:sz w:val="16"/>
          <w:szCs w:val="16"/>
        </w:rPr>
        <w:t>式实现</w:t>
      </w:r>
      <w:r>
        <w:rPr>
          <w:spacing w:val="-32"/>
          <w:sz w:val="16"/>
          <w:szCs w:val="16"/>
        </w:rPr>
        <w:t xml:space="preserve"> </w:t>
      </w:r>
      <w:r>
        <w:rPr>
          <w:spacing w:val="21"/>
          <w:sz w:val="16"/>
          <w:szCs w:val="16"/>
        </w:rPr>
        <w:t>。</w:t>
      </w:r>
    </w:p>
    <w:p w14:paraId="1E5B7D1C">
      <w:pPr>
        <w:pStyle w:val="2"/>
        <w:spacing w:before="100" w:line="219" w:lineRule="auto"/>
        <w:ind w:left="400"/>
        <w:rPr>
          <w:sz w:val="20"/>
          <w:szCs w:val="20"/>
        </w:rPr>
      </w:pPr>
      <w:r>
        <w:rPr>
          <w:spacing w:val="2"/>
          <w:sz w:val="20"/>
          <w:szCs w:val="20"/>
        </w:rPr>
        <w:t>(8)服务可用性。具体包括：</w:t>
      </w:r>
    </w:p>
    <w:p w14:paraId="74DC635B">
      <w:pPr>
        <w:pStyle w:val="2"/>
        <w:spacing w:before="62" w:line="286" w:lineRule="auto"/>
        <w:ind w:left="670" w:right="302" w:hanging="270"/>
        <w:rPr>
          <w:sz w:val="16"/>
          <w:szCs w:val="16"/>
        </w:rPr>
      </w:pPr>
      <w:r>
        <w:rPr>
          <w:spacing w:val="8"/>
          <w:sz w:val="20"/>
          <w:szCs w:val="20"/>
        </w:rPr>
        <w:t>●服务资源调配能力：服务商应能按照服务协议中承诺的时间，完成用户需求的扩容或</w:t>
      </w:r>
      <w:r>
        <w:rPr>
          <w:spacing w:val="14"/>
          <w:sz w:val="20"/>
          <w:szCs w:val="20"/>
        </w:rPr>
        <w:t xml:space="preserve"> </w:t>
      </w:r>
      <w:r>
        <w:rPr>
          <w:spacing w:val="-5"/>
          <w:sz w:val="16"/>
          <w:szCs w:val="16"/>
        </w:rPr>
        <w:t>缩</w:t>
      </w:r>
      <w:r>
        <w:rPr>
          <w:spacing w:val="-16"/>
          <w:sz w:val="16"/>
          <w:szCs w:val="16"/>
        </w:rPr>
        <w:t xml:space="preserve"> </w:t>
      </w:r>
      <w:r>
        <w:rPr>
          <w:spacing w:val="-5"/>
          <w:sz w:val="16"/>
          <w:szCs w:val="16"/>
        </w:rPr>
        <w:t>减</w:t>
      </w:r>
      <w:r>
        <w:rPr>
          <w:spacing w:val="-23"/>
          <w:sz w:val="16"/>
          <w:szCs w:val="16"/>
        </w:rPr>
        <w:t xml:space="preserve"> </w:t>
      </w:r>
      <w:r>
        <w:rPr>
          <w:spacing w:val="-5"/>
          <w:sz w:val="16"/>
          <w:szCs w:val="16"/>
        </w:rPr>
        <w:t>；</w:t>
      </w:r>
    </w:p>
    <w:p w14:paraId="73D1E5E0">
      <w:pPr>
        <w:pStyle w:val="2"/>
        <w:spacing w:before="82" w:line="261" w:lineRule="auto"/>
        <w:ind w:left="670" w:right="230" w:hanging="270"/>
        <w:rPr>
          <w:sz w:val="20"/>
          <w:szCs w:val="20"/>
        </w:rPr>
      </w:pPr>
      <w:r>
        <w:rPr>
          <w:spacing w:val="5"/>
          <w:sz w:val="20"/>
          <w:szCs w:val="20"/>
        </w:rPr>
        <w:t>●故障恢复能力：对象存储服务提供商应具备完善的故障恢复机制，在服务</w:t>
      </w:r>
      <w:r>
        <w:rPr>
          <w:spacing w:val="4"/>
          <w:sz w:val="20"/>
          <w:szCs w:val="20"/>
        </w:rPr>
        <w:t>发生故障时，</w:t>
      </w:r>
      <w:r>
        <w:rPr>
          <w:sz w:val="20"/>
          <w:szCs w:val="20"/>
        </w:rPr>
        <w:t xml:space="preserve"> </w:t>
      </w:r>
      <w:r>
        <w:rPr>
          <w:spacing w:val="-2"/>
          <w:sz w:val="20"/>
          <w:szCs w:val="20"/>
        </w:rPr>
        <w:t>应能在承诺时间内恢复业务至正常水平，并提供完整的故障报</w:t>
      </w:r>
      <w:r>
        <w:rPr>
          <w:spacing w:val="-3"/>
          <w:sz w:val="20"/>
          <w:szCs w:val="20"/>
        </w:rPr>
        <w:t>告。</w:t>
      </w:r>
    </w:p>
    <w:p w14:paraId="06ACF435">
      <w:pPr>
        <w:pStyle w:val="2"/>
        <w:spacing w:before="244" w:line="219" w:lineRule="auto"/>
        <w:rPr>
          <w:sz w:val="24"/>
          <w:szCs w:val="24"/>
        </w:rPr>
      </w:pPr>
      <w:r>
        <w:rPr>
          <w:rFonts w:ascii="Times New Roman" w:hAnsi="Times New Roman" w:eastAsia="Times New Roman" w:cs="Times New Roman"/>
          <w:b/>
          <w:bCs/>
          <w:color w:val="0075DC"/>
          <w:spacing w:val="-3"/>
          <w:sz w:val="24"/>
          <w:szCs w:val="24"/>
        </w:rPr>
        <w:t>4.2.6</w:t>
      </w:r>
      <w:r>
        <w:rPr>
          <w:rFonts w:ascii="Times New Roman" w:hAnsi="Times New Roman" w:eastAsia="Times New Roman" w:cs="Times New Roman"/>
          <w:b/>
          <w:bCs/>
          <w:color w:val="0075DC"/>
          <w:spacing w:val="8"/>
          <w:sz w:val="24"/>
          <w:szCs w:val="24"/>
        </w:rPr>
        <w:t xml:space="preserve">    </w:t>
      </w:r>
      <w:r>
        <w:rPr>
          <w:rFonts w:ascii="Times New Roman" w:hAnsi="Times New Roman" w:eastAsia="Times New Roman" w:cs="Times New Roman"/>
          <w:b/>
          <w:bCs/>
          <w:color w:val="0075DC"/>
          <w:spacing w:val="-3"/>
          <w:sz w:val="24"/>
          <w:szCs w:val="24"/>
        </w:rPr>
        <w:t>IaaS</w:t>
      </w:r>
      <w:r>
        <w:rPr>
          <w:b/>
          <w:bCs/>
          <w:color w:val="0075DC"/>
          <w:spacing w:val="-3"/>
          <w:sz w:val="24"/>
          <w:szCs w:val="24"/>
        </w:rPr>
        <w:t>模式</w:t>
      </w:r>
    </w:p>
    <w:p w14:paraId="01B8840B">
      <w:pPr>
        <w:pStyle w:val="2"/>
        <w:spacing w:before="252" w:line="221" w:lineRule="auto"/>
        <w:ind w:left="402"/>
        <w:rPr>
          <w:rFonts w:ascii="黑体" w:hAnsi="黑体" w:eastAsia="黑体" w:cs="黑体"/>
          <w:sz w:val="20"/>
          <w:szCs w:val="20"/>
        </w:rPr>
      </w:pPr>
      <w:r>
        <w:rPr>
          <w:b/>
          <w:bCs/>
          <w:color w:val="007CDB"/>
          <w:spacing w:val="-7"/>
          <w:sz w:val="20"/>
          <w:szCs w:val="20"/>
        </w:rPr>
        <w:t>1.</w:t>
      </w:r>
      <w:r>
        <w:rPr>
          <w:rFonts w:ascii="黑体" w:hAnsi="黑体" w:eastAsia="黑体" w:cs="黑体"/>
          <w:b/>
          <w:bCs/>
          <w:color w:val="007CDB"/>
          <w:spacing w:val="-7"/>
          <w:sz w:val="20"/>
          <w:szCs w:val="20"/>
        </w:rPr>
        <w:t>资源抽象</w:t>
      </w:r>
    </w:p>
    <w:p w14:paraId="5942A05B">
      <w:pPr>
        <w:pStyle w:val="2"/>
        <w:spacing w:before="136" w:line="297" w:lineRule="auto"/>
        <w:ind w:right="302" w:firstLine="400"/>
        <w:jc w:val="both"/>
        <w:rPr>
          <w:sz w:val="16"/>
          <w:szCs w:val="16"/>
        </w:rPr>
      </w:pPr>
      <w:r>
        <w:rPr>
          <w:spacing w:val="3"/>
          <w:sz w:val="20"/>
          <w:szCs w:val="20"/>
        </w:rPr>
        <w:t>资源抽象主要是将下层的物理硬件资源统一进行抽象，抽象成和单个物理硬件无关的资源</w:t>
      </w:r>
      <w:r>
        <w:rPr>
          <w:sz w:val="20"/>
          <w:szCs w:val="20"/>
        </w:rPr>
        <w:t xml:space="preserve"> </w:t>
      </w:r>
      <w:r>
        <w:rPr>
          <w:spacing w:val="3"/>
          <w:sz w:val="20"/>
          <w:szCs w:val="20"/>
        </w:rPr>
        <w:t>集合，上层无须关心物理机器的型号，只需专注于具体的资源即可。资源抽象</w:t>
      </w:r>
      <w:r>
        <w:rPr>
          <w:spacing w:val="2"/>
          <w:sz w:val="20"/>
          <w:szCs w:val="20"/>
        </w:rPr>
        <w:t>层需要重点做好</w:t>
      </w:r>
      <w:r>
        <w:rPr>
          <w:sz w:val="20"/>
          <w:szCs w:val="20"/>
        </w:rPr>
        <w:t xml:space="preserve"> </w:t>
      </w:r>
      <w:r>
        <w:rPr>
          <w:spacing w:val="-5"/>
          <w:sz w:val="16"/>
          <w:szCs w:val="16"/>
        </w:rPr>
        <w:t>三</w:t>
      </w:r>
      <w:r>
        <w:rPr>
          <w:spacing w:val="-23"/>
          <w:sz w:val="16"/>
          <w:szCs w:val="16"/>
        </w:rPr>
        <w:t xml:space="preserve"> </w:t>
      </w:r>
      <w:r>
        <w:rPr>
          <w:spacing w:val="-5"/>
          <w:sz w:val="16"/>
          <w:szCs w:val="16"/>
        </w:rPr>
        <w:t>件</w:t>
      </w:r>
      <w:r>
        <w:rPr>
          <w:spacing w:val="-23"/>
          <w:sz w:val="16"/>
          <w:szCs w:val="16"/>
        </w:rPr>
        <w:t xml:space="preserve"> </w:t>
      </w:r>
      <w:r>
        <w:rPr>
          <w:spacing w:val="-5"/>
          <w:sz w:val="16"/>
          <w:szCs w:val="16"/>
        </w:rPr>
        <w:t>事</w:t>
      </w:r>
      <w:r>
        <w:rPr>
          <w:spacing w:val="-29"/>
          <w:sz w:val="16"/>
          <w:szCs w:val="16"/>
        </w:rPr>
        <w:t xml:space="preserve"> </w:t>
      </w:r>
      <w:r>
        <w:rPr>
          <w:spacing w:val="-5"/>
          <w:sz w:val="16"/>
          <w:szCs w:val="16"/>
        </w:rPr>
        <w:t>：</w:t>
      </w:r>
    </w:p>
    <w:p w14:paraId="522ACEFE">
      <w:pPr>
        <w:pStyle w:val="2"/>
        <w:spacing w:before="29" w:line="219" w:lineRule="auto"/>
        <w:ind w:left="400"/>
        <w:rPr>
          <w:sz w:val="20"/>
          <w:szCs w:val="20"/>
        </w:rPr>
      </w:pPr>
      <w:r>
        <w:rPr>
          <w:spacing w:val="3"/>
          <w:sz w:val="20"/>
          <w:szCs w:val="20"/>
        </w:rPr>
        <w:t>(1)收集和管理具体物理资源。</w:t>
      </w:r>
    </w:p>
    <w:p w14:paraId="0437D528">
      <w:pPr>
        <w:pStyle w:val="2"/>
        <w:spacing w:before="62" w:line="257" w:lineRule="auto"/>
        <w:ind w:right="231" w:firstLine="400"/>
        <w:rPr>
          <w:sz w:val="20"/>
          <w:szCs w:val="20"/>
        </w:rPr>
      </w:pPr>
      <w:r>
        <w:rPr>
          <w:spacing w:val="7"/>
          <w:sz w:val="20"/>
          <w:szCs w:val="20"/>
        </w:rPr>
        <w:t>(2)重新封装抽象的硬件资源属性，使之成为上层可以使用的一个实体，既可以是容器，</w:t>
      </w:r>
      <w:r>
        <w:rPr>
          <w:spacing w:val="8"/>
          <w:sz w:val="20"/>
          <w:szCs w:val="20"/>
        </w:rPr>
        <w:t xml:space="preserve"> </w:t>
      </w:r>
      <w:r>
        <w:rPr>
          <w:spacing w:val="-3"/>
          <w:sz w:val="20"/>
          <w:szCs w:val="20"/>
        </w:rPr>
        <w:t>也可以是虚拟机或者资源集合。</w:t>
      </w:r>
    </w:p>
    <w:p w14:paraId="16BD96F8">
      <w:pPr>
        <w:pStyle w:val="2"/>
        <w:spacing w:before="52" w:line="289" w:lineRule="auto"/>
        <w:ind w:right="298" w:firstLine="400"/>
        <w:rPr>
          <w:sz w:val="16"/>
          <w:szCs w:val="16"/>
        </w:rPr>
      </w:pPr>
      <w:r>
        <w:rPr>
          <w:spacing w:val="6"/>
          <w:sz w:val="20"/>
          <w:szCs w:val="20"/>
        </w:rPr>
        <w:t>(3)数据存储问题。业务需要在本机存储数据</w:t>
      </w:r>
      <w:r>
        <w:rPr>
          <w:spacing w:val="5"/>
          <w:sz w:val="20"/>
          <w:szCs w:val="20"/>
        </w:rPr>
        <w:t>，为了能够全局调度，需要解决三个场景下</w:t>
      </w:r>
      <w:r>
        <w:rPr>
          <w:sz w:val="20"/>
          <w:szCs w:val="20"/>
        </w:rPr>
        <w:t xml:space="preserve"> </w:t>
      </w:r>
      <w:r>
        <w:rPr>
          <w:spacing w:val="-11"/>
          <w:sz w:val="16"/>
          <w:szCs w:val="16"/>
        </w:rPr>
        <w:t>的 问</w:t>
      </w:r>
      <w:r>
        <w:rPr>
          <w:spacing w:val="-15"/>
          <w:sz w:val="16"/>
          <w:szCs w:val="16"/>
        </w:rPr>
        <w:t xml:space="preserve"> </w:t>
      </w:r>
      <w:r>
        <w:rPr>
          <w:spacing w:val="-11"/>
          <w:sz w:val="16"/>
          <w:szCs w:val="16"/>
        </w:rPr>
        <w:t>题</w:t>
      </w:r>
      <w:r>
        <w:rPr>
          <w:spacing w:val="-25"/>
          <w:sz w:val="16"/>
          <w:szCs w:val="16"/>
        </w:rPr>
        <w:t xml:space="preserve"> </w:t>
      </w:r>
      <w:r>
        <w:rPr>
          <w:spacing w:val="-11"/>
          <w:sz w:val="16"/>
          <w:szCs w:val="16"/>
        </w:rPr>
        <w:t>：</w:t>
      </w:r>
    </w:p>
    <w:p w14:paraId="4605470E">
      <w:pPr>
        <w:spacing w:line="289" w:lineRule="auto"/>
        <w:rPr>
          <w:sz w:val="16"/>
          <w:szCs w:val="16"/>
        </w:rPr>
        <w:sectPr>
          <w:pgSz w:w="10290" w:h="13320"/>
          <w:pgMar w:top="390" w:right="598" w:bottom="400" w:left="1069" w:header="0" w:footer="0" w:gutter="0"/>
          <w:cols w:space="720" w:num="1"/>
        </w:sectPr>
      </w:pPr>
    </w:p>
    <w:p w14:paraId="1727579C">
      <w:pPr>
        <w:pStyle w:val="2"/>
        <w:spacing w:before="88" w:line="219" w:lineRule="auto"/>
        <w:rPr>
          <w:sz w:val="20"/>
          <w:szCs w:val="20"/>
        </w:rPr>
      </w:pPr>
      <w:r>
        <w:rPr>
          <w:rFonts w:ascii="Times New Roman" w:hAnsi="Times New Roman" w:eastAsia="Times New Roman" w:cs="Times New Roman"/>
          <w:spacing w:val="-2"/>
          <w:sz w:val="17"/>
          <w:szCs w:val="17"/>
        </w:rPr>
        <w:t xml:space="preserve">138                 </w:t>
      </w:r>
      <w:r>
        <w:rPr>
          <w:spacing w:val="-2"/>
          <w:sz w:val="20"/>
          <w:szCs w:val="20"/>
        </w:rPr>
        <w:t>信息系统监理师教</w:t>
      </w:r>
      <w:r>
        <w:rPr>
          <w:spacing w:val="-3"/>
          <w:sz w:val="20"/>
          <w:szCs w:val="20"/>
        </w:rPr>
        <w:t>程(第2版)</w:t>
      </w:r>
    </w:p>
    <w:p w14:paraId="57B5AE14">
      <w:pPr>
        <w:spacing w:line="334" w:lineRule="auto"/>
        <w:rPr>
          <w:rFonts w:ascii="Arial"/>
          <w:sz w:val="21"/>
        </w:rPr>
      </w:pPr>
    </w:p>
    <w:p w14:paraId="3F74595F">
      <w:pPr>
        <w:pStyle w:val="2"/>
        <w:spacing w:before="65" w:line="219" w:lineRule="auto"/>
        <w:ind w:left="719"/>
        <w:rPr>
          <w:sz w:val="20"/>
          <w:szCs w:val="20"/>
        </w:rPr>
      </w:pPr>
      <w:r>
        <w:rPr>
          <w:spacing w:val="1"/>
          <w:sz w:val="20"/>
          <w:szCs w:val="20"/>
        </w:rPr>
        <w:t>●数据不需要永久本地存储，但是会实时写到本地的场景，如应</w:t>
      </w:r>
      <w:r>
        <w:rPr>
          <w:sz w:val="20"/>
          <w:szCs w:val="20"/>
        </w:rPr>
        <w:t>用的日志；</w:t>
      </w:r>
    </w:p>
    <w:p w14:paraId="0D42BF83">
      <w:pPr>
        <w:pStyle w:val="2"/>
        <w:spacing w:before="84" w:line="219" w:lineRule="auto"/>
        <w:ind w:left="719"/>
        <w:rPr>
          <w:sz w:val="20"/>
          <w:szCs w:val="20"/>
        </w:rPr>
      </w:pPr>
      <w:r>
        <w:rPr>
          <w:sz w:val="20"/>
          <w:szCs w:val="20"/>
        </w:rPr>
        <w:t>●需要永久存储的场景，如数据库数据；</w:t>
      </w:r>
    </w:p>
    <w:p w14:paraId="2A1ADF16">
      <w:pPr>
        <w:pStyle w:val="2"/>
        <w:spacing w:before="101" w:line="219" w:lineRule="auto"/>
        <w:ind w:left="719"/>
        <w:rPr>
          <w:sz w:val="20"/>
          <w:szCs w:val="20"/>
        </w:rPr>
      </w:pPr>
      <w:r>
        <w:rPr>
          <w:spacing w:val="1"/>
          <w:sz w:val="20"/>
          <w:szCs w:val="20"/>
        </w:rPr>
        <w:t>●分布式存储场景中，要做到存储与计算分</w:t>
      </w:r>
      <w:r>
        <w:rPr>
          <w:sz w:val="20"/>
          <w:szCs w:val="20"/>
        </w:rPr>
        <w:t>离。</w:t>
      </w:r>
    </w:p>
    <w:p w14:paraId="0202531A">
      <w:pPr>
        <w:pStyle w:val="2"/>
        <w:spacing w:before="169" w:line="221" w:lineRule="auto"/>
        <w:ind w:left="722"/>
        <w:rPr>
          <w:rFonts w:ascii="黑体" w:hAnsi="黑体" w:eastAsia="黑体" w:cs="黑体"/>
          <w:sz w:val="20"/>
          <w:szCs w:val="20"/>
        </w:rPr>
      </w:pPr>
      <w:r>
        <w:rPr>
          <w:b/>
          <w:bCs/>
          <w:color w:val="008ECB"/>
          <w:spacing w:val="-1"/>
          <w:sz w:val="20"/>
          <w:szCs w:val="20"/>
        </w:rPr>
        <w:t>2.</w:t>
      </w:r>
      <w:r>
        <w:rPr>
          <w:rFonts w:ascii="黑体" w:hAnsi="黑体" w:eastAsia="黑体" w:cs="黑体"/>
          <w:b/>
          <w:bCs/>
          <w:color w:val="008ECB"/>
          <w:spacing w:val="-1"/>
          <w:sz w:val="20"/>
          <w:szCs w:val="20"/>
        </w:rPr>
        <w:t>计算负载管理</w:t>
      </w:r>
    </w:p>
    <w:p w14:paraId="7ED12C23">
      <w:pPr>
        <w:pStyle w:val="2"/>
        <w:spacing w:before="143" w:line="282" w:lineRule="auto"/>
        <w:ind w:left="339" w:right="84" w:firstLine="380"/>
        <w:rPr>
          <w:sz w:val="20"/>
          <w:szCs w:val="20"/>
        </w:rPr>
      </w:pPr>
      <w:r>
        <w:rPr>
          <w:spacing w:val="2"/>
          <w:sz w:val="20"/>
          <w:szCs w:val="20"/>
        </w:rPr>
        <w:t>云计算主机是通过云计算技术将</w:t>
      </w:r>
      <w:r>
        <w:rPr>
          <w:sz w:val="20"/>
          <w:szCs w:val="20"/>
        </w:rPr>
        <w:t>IT</w:t>
      </w:r>
      <w:r>
        <w:rPr>
          <w:spacing w:val="-33"/>
          <w:sz w:val="20"/>
          <w:szCs w:val="20"/>
        </w:rPr>
        <w:t xml:space="preserve"> </w:t>
      </w:r>
      <w:r>
        <w:rPr>
          <w:spacing w:val="2"/>
          <w:sz w:val="20"/>
          <w:szCs w:val="20"/>
        </w:rPr>
        <w:t>设备的硬件、存储及网络等资源统一虚拟化为相应的资</w:t>
      </w:r>
      <w:r>
        <w:rPr>
          <w:sz w:val="20"/>
          <w:szCs w:val="20"/>
        </w:rPr>
        <w:t xml:space="preserve"> </w:t>
      </w:r>
      <w:r>
        <w:rPr>
          <w:spacing w:val="6"/>
          <w:sz w:val="20"/>
          <w:szCs w:val="20"/>
        </w:rPr>
        <w:t>源池，再从资源池分割成独立的虚拟主机(服务器)的产品。</w:t>
      </w:r>
    </w:p>
    <w:p w14:paraId="391AA8D8">
      <w:pPr>
        <w:pStyle w:val="2"/>
        <w:spacing w:before="30" w:line="219" w:lineRule="auto"/>
        <w:ind w:left="719"/>
        <w:rPr>
          <w:sz w:val="20"/>
          <w:szCs w:val="20"/>
        </w:rPr>
      </w:pPr>
      <w:r>
        <w:rPr>
          <w:spacing w:val="-2"/>
          <w:sz w:val="20"/>
          <w:szCs w:val="20"/>
        </w:rPr>
        <w:t>在进行服务器承载能力计算之前，需要明确以</w:t>
      </w:r>
      <w:r>
        <w:rPr>
          <w:spacing w:val="-3"/>
          <w:sz w:val="20"/>
          <w:szCs w:val="20"/>
        </w:rPr>
        <w:t>下指标：</w:t>
      </w:r>
    </w:p>
    <w:p w14:paraId="12A18C78">
      <w:pPr>
        <w:pStyle w:val="2"/>
        <w:spacing w:before="72" w:line="219" w:lineRule="auto"/>
        <w:ind w:left="719"/>
        <w:rPr>
          <w:sz w:val="20"/>
          <w:szCs w:val="20"/>
        </w:rPr>
      </w:pPr>
      <w:r>
        <w:rPr>
          <w:spacing w:val="3"/>
          <w:sz w:val="20"/>
          <w:szCs w:val="20"/>
        </w:rPr>
        <w:t>(1)虚拟化开销。采用虚拟技术之后，会带来额外的</w:t>
      </w:r>
      <w:r>
        <w:rPr>
          <w:rFonts w:ascii="Times New Roman" w:hAnsi="Times New Roman" w:eastAsia="Times New Roman" w:cs="Times New Roman"/>
          <w:sz w:val="20"/>
          <w:szCs w:val="20"/>
        </w:rPr>
        <w:t>CPU</w:t>
      </w:r>
      <w:r>
        <w:rPr>
          <w:rFonts w:ascii="Times New Roman" w:hAnsi="Times New Roman" w:eastAsia="Times New Roman" w:cs="Times New Roman"/>
          <w:spacing w:val="19"/>
          <w:sz w:val="20"/>
          <w:szCs w:val="20"/>
        </w:rPr>
        <w:t xml:space="preserve"> </w:t>
      </w:r>
      <w:r>
        <w:rPr>
          <w:spacing w:val="3"/>
          <w:sz w:val="20"/>
          <w:szCs w:val="20"/>
        </w:rPr>
        <w:t>和内存</w:t>
      </w:r>
      <w:r>
        <w:rPr>
          <w:spacing w:val="2"/>
          <w:sz w:val="20"/>
          <w:szCs w:val="20"/>
        </w:rPr>
        <w:t>开销，包括：</w:t>
      </w:r>
    </w:p>
    <w:p w14:paraId="2C74D5C1">
      <w:pPr>
        <w:pStyle w:val="2"/>
        <w:spacing w:before="82" w:line="219" w:lineRule="auto"/>
        <w:ind w:left="719"/>
        <w:rPr>
          <w:sz w:val="20"/>
          <w:szCs w:val="20"/>
        </w:rPr>
      </w:pPr>
      <w:r>
        <w:rPr>
          <w:spacing w:val="10"/>
          <w:sz w:val="20"/>
          <w:szCs w:val="20"/>
        </w:rPr>
        <w:t>●</w:t>
      </w:r>
      <w:r>
        <w:rPr>
          <w:spacing w:val="-45"/>
          <w:sz w:val="20"/>
          <w:szCs w:val="20"/>
        </w:rPr>
        <w:t xml:space="preserve"> </w:t>
      </w:r>
      <w:r>
        <w:rPr>
          <w:spacing w:val="10"/>
          <w:sz w:val="20"/>
          <w:szCs w:val="20"/>
        </w:rPr>
        <w:t>虚拟架构</w:t>
      </w:r>
      <w:r>
        <w:rPr>
          <w:sz w:val="20"/>
          <w:szCs w:val="20"/>
        </w:rPr>
        <w:t>CPU</w:t>
      </w:r>
      <w:r>
        <w:rPr>
          <w:spacing w:val="46"/>
          <w:sz w:val="20"/>
          <w:szCs w:val="20"/>
        </w:rPr>
        <w:t xml:space="preserve"> </w:t>
      </w:r>
      <w:r>
        <w:rPr>
          <w:spacing w:val="10"/>
          <w:sz w:val="20"/>
          <w:szCs w:val="20"/>
        </w:rPr>
        <w:t>开销：裸金属架构小于5%;</w:t>
      </w:r>
    </w:p>
    <w:p w14:paraId="68D75EA3">
      <w:pPr>
        <w:pStyle w:val="2"/>
        <w:spacing w:before="103" w:line="219" w:lineRule="auto"/>
        <w:ind w:left="719"/>
        <w:rPr>
          <w:sz w:val="20"/>
          <w:szCs w:val="20"/>
        </w:rPr>
      </w:pPr>
      <w:r>
        <w:rPr>
          <w:spacing w:val="6"/>
          <w:sz w:val="20"/>
          <w:szCs w:val="20"/>
        </w:rPr>
        <w:t>●虚拟架构内存开销：约占该服务器内存容量的2%。</w:t>
      </w:r>
    </w:p>
    <w:p w14:paraId="02BF1A1E">
      <w:pPr>
        <w:pStyle w:val="2"/>
        <w:spacing w:before="93" w:line="248" w:lineRule="auto"/>
        <w:ind w:left="339" w:right="84" w:firstLine="380"/>
        <w:rPr>
          <w:sz w:val="20"/>
          <w:szCs w:val="20"/>
        </w:rPr>
      </w:pPr>
      <w:r>
        <w:rPr>
          <w:spacing w:val="6"/>
          <w:sz w:val="20"/>
          <w:szCs w:val="20"/>
        </w:rPr>
        <w:t>(2)虚拟机调度开销。多个虚拟桌面共享服务器时还将带来虚拟机之间的调度开销，开销</w:t>
      </w:r>
      <w:r>
        <w:rPr>
          <w:spacing w:val="3"/>
          <w:sz w:val="20"/>
          <w:szCs w:val="20"/>
        </w:rPr>
        <w:t xml:space="preserve"> </w:t>
      </w:r>
      <w:r>
        <w:rPr>
          <w:spacing w:val="2"/>
          <w:sz w:val="20"/>
          <w:szCs w:val="20"/>
        </w:rPr>
        <w:t>会随着虚拟机数量的增加而增加，按中等密度计取，调度开销约占10%。</w:t>
      </w:r>
    </w:p>
    <w:p w14:paraId="01A88F26">
      <w:pPr>
        <w:pStyle w:val="2"/>
        <w:spacing w:before="73" w:line="257" w:lineRule="auto"/>
        <w:ind w:left="339" w:right="91" w:firstLine="380"/>
        <w:rPr>
          <w:sz w:val="20"/>
          <w:szCs w:val="20"/>
        </w:rPr>
      </w:pPr>
      <w:r>
        <w:rPr>
          <w:spacing w:val="13"/>
          <w:sz w:val="20"/>
          <w:szCs w:val="20"/>
        </w:rPr>
        <w:t>(3)服务器负荷率。为保证服务器的健康持续运行</w:t>
      </w:r>
      <w:r>
        <w:rPr>
          <w:spacing w:val="12"/>
          <w:sz w:val="20"/>
          <w:szCs w:val="20"/>
        </w:rPr>
        <w:t>，服务器</w:t>
      </w:r>
      <w:r>
        <w:rPr>
          <w:rFonts w:ascii="Times New Roman" w:hAnsi="Times New Roman" w:eastAsia="Times New Roman" w:cs="Times New Roman"/>
          <w:sz w:val="20"/>
          <w:szCs w:val="20"/>
        </w:rPr>
        <w:t>CPU</w:t>
      </w:r>
      <w:r>
        <w:rPr>
          <w:rFonts w:ascii="Times New Roman" w:hAnsi="Times New Roman" w:eastAsia="Times New Roman" w:cs="Times New Roman"/>
          <w:spacing w:val="18"/>
          <w:w w:val="101"/>
          <w:sz w:val="20"/>
          <w:szCs w:val="20"/>
        </w:rPr>
        <w:t xml:space="preserve"> </w:t>
      </w:r>
      <w:r>
        <w:rPr>
          <w:spacing w:val="12"/>
          <w:sz w:val="20"/>
          <w:szCs w:val="20"/>
        </w:rPr>
        <w:t>负荷率按80%考虑，服</w:t>
      </w:r>
      <w:r>
        <w:rPr>
          <w:sz w:val="20"/>
          <w:szCs w:val="20"/>
        </w:rPr>
        <w:t xml:space="preserve"> </w:t>
      </w:r>
      <w:r>
        <w:rPr>
          <w:spacing w:val="9"/>
          <w:sz w:val="20"/>
          <w:szCs w:val="20"/>
        </w:rPr>
        <w:t>务器内存负荷率按90%考虑。</w:t>
      </w:r>
    </w:p>
    <w:p w14:paraId="44B324C0">
      <w:pPr>
        <w:pStyle w:val="2"/>
        <w:spacing w:before="150" w:line="222" w:lineRule="auto"/>
        <w:ind w:left="722"/>
        <w:rPr>
          <w:rFonts w:ascii="黑体" w:hAnsi="黑体" w:eastAsia="黑体" w:cs="黑体"/>
          <w:sz w:val="20"/>
          <w:szCs w:val="20"/>
        </w:rPr>
      </w:pPr>
      <w:r>
        <w:rPr>
          <w:b/>
          <w:bCs/>
          <w:color w:val="0095D5"/>
          <w:spacing w:val="-1"/>
          <w:sz w:val="20"/>
          <w:szCs w:val="20"/>
        </w:rPr>
        <w:t>3.</w:t>
      </w:r>
      <w:r>
        <w:rPr>
          <w:rFonts w:ascii="黑体" w:hAnsi="黑体" w:eastAsia="黑体" w:cs="黑体"/>
          <w:b/>
          <w:bCs/>
          <w:color w:val="0095D5"/>
          <w:spacing w:val="-1"/>
          <w:sz w:val="20"/>
          <w:szCs w:val="20"/>
        </w:rPr>
        <w:t>数据存储管理</w:t>
      </w:r>
    </w:p>
    <w:p w14:paraId="5C8C2FB4">
      <w:pPr>
        <w:pStyle w:val="2"/>
        <w:spacing w:before="155" w:line="282" w:lineRule="auto"/>
        <w:ind w:left="339" w:right="69" w:firstLine="380"/>
        <w:jc w:val="both"/>
        <w:rPr>
          <w:sz w:val="20"/>
          <w:szCs w:val="20"/>
        </w:rPr>
      </w:pPr>
      <w:r>
        <w:rPr>
          <w:spacing w:val="4"/>
          <w:sz w:val="20"/>
          <w:szCs w:val="20"/>
        </w:rPr>
        <w:t>数据存储管理就是根据不同的应用环境，通过采取合理、安</w:t>
      </w:r>
      <w:r>
        <w:rPr>
          <w:spacing w:val="3"/>
          <w:sz w:val="20"/>
          <w:szCs w:val="20"/>
        </w:rPr>
        <w:t>全、有效的方式将数据保存到</w:t>
      </w:r>
      <w:r>
        <w:rPr>
          <w:sz w:val="20"/>
          <w:szCs w:val="20"/>
        </w:rPr>
        <w:t xml:space="preserve"> </w:t>
      </w:r>
      <w:r>
        <w:rPr>
          <w:spacing w:val="1"/>
          <w:sz w:val="20"/>
          <w:szCs w:val="20"/>
        </w:rPr>
        <w:t>某些介质上，并能保证有效地访问。总的来讲，它包含</w:t>
      </w:r>
      <w:r>
        <w:rPr>
          <w:sz w:val="20"/>
          <w:szCs w:val="20"/>
        </w:rPr>
        <w:t xml:space="preserve">两个方面的含义： 一方面，它是数据临 </w:t>
      </w:r>
      <w:r>
        <w:rPr>
          <w:spacing w:val="3"/>
          <w:sz w:val="20"/>
          <w:szCs w:val="20"/>
        </w:rPr>
        <w:t>时或长期驻留的物理媒介；另一方面，它是保证数据完整安全存放的方式或行为。数据存储是</w:t>
      </w:r>
      <w:r>
        <w:rPr>
          <w:spacing w:val="16"/>
          <w:sz w:val="20"/>
          <w:szCs w:val="20"/>
        </w:rPr>
        <w:t xml:space="preserve"> </w:t>
      </w:r>
      <w:r>
        <w:rPr>
          <w:spacing w:val="3"/>
          <w:sz w:val="20"/>
          <w:szCs w:val="20"/>
        </w:rPr>
        <w:t>数据流在加工过程中产生的临时文件或加工过程中需要查找的信息。数据以某种</w:t>
      </w:r>
      <w:r>
        <w:rPr>
          <w:spacing w:val="2"/>
          <w:sz w:val="20"/>
          <w:szCs w:val="20"/>
        </w:rPr>
        <w:t>格式记录在计</w:t>
      </w:r>
      <w:r>
        <w:rPr>
          <w:sz w:val="20"/>
          <w:szCs w:val="20"/>
        </w:rPr>
        <w:t xml:space="preserve"> </w:t>
      </w:r>
      <w:r>
        <w:rPr>
          <w:spacing w:val="3"/>
          <w:sz w:val="20"/>
          <w:szCs w:val="20"/>
        </w:rPr>
        <w:t>算机内部或外部存储媒介上。数据存储要命名，这种命名要反映信息特征的组成</w:t>
      </w:r>
      <w:r>
        <w:rPr>
          <w:spacing w:val="2"/>
          <w:sz w:val="20"/>
          <w:szCs w:val="20"/>
        </w:rPr>
        <w:t>含义。数据流</w:t>
      </w:r>
      <w:r>
        <w:rPr>
          <w:sz w:val="20"/>
          <w:szCs w:val="20"/>
        </w:rPr>
        <w:t xml:space="preserve"> </w:t>
      </w:r>
      <w:r>
        <w:rPr>
          <w:spacing w:val="3"/>
          <w:sz w:val="20"/>
          <w:szCs w:val="20"/>
        </w:rPr>
        <w:t>反映了系统中流动的数据，表现出动态数据的特征；数据存储反映系统中静止的数据，表现出</w:t>
      </w:r>
      <w:r>
        <w:rPr>
          <w:spacing w:val="10"/>
          <w:sz w:val="20"/>
          <w:szCs w:val="20"/>
        </w:rPr>
        <w:t xml:space="preserve"> </w:t>
      </w:r>
      <w:r>
        <w:rPr>
          <w:spacing w:val="-5"/>
          <w:sz w:val="20"/>
          <w:szCs w:val="20"/>
        </w:rPr>
        <w:t>静态数据的特征。</w:t>
      </w:r>
    </w:p>
    <w:p w14:paraId="19C1EC8D">
      <w:pPr>
        <w:pStyle w:val="2"/>
        <w:spacing w:before="155" w:line="221" w:lineRule="auto"/>
        <w:ind w:left="722"/>
        <w:rPr>
          <w:rFonts w:ascii="黑体" w:hAnsi="黑体" w:eastAsia="黑体" w:cs="黑体"/>
          <w:sz w:val="20"/>
          <w:szCs w:val="20"/>
        </w:rPr>
      </w:pPr>
      <w:r>
        <w:rPr>
          <w:b/>
          <w:bCs/>
          <w:color w:val="3FC2FB"/>
          <w:spacing w:val="1"/>
          <w:sz w:val="20"/>
          <w:szCs w:val="20"/>
        </w:rPr>
        <w:t>4.</w:t>
      </w:r>
      <w:r>
        <w:rPr>
          <w:rFonts w:ascii="黑体" w:hAnsi="黑体" w:eastAsia="黑体" w:cs="黑体"/>
          <w:b/>
          <w:bCs/>
          <w:color w:val="3FC2FB"/>
          <w:spacing w:val="1"/>
          <w:sz w:val="20"/>
          <w:szCs w:val="20"/>
        </w:rPr>
        <w:t>网络管理</w:t>
      </w:r>
    </w:p>
    <w:p w14:paraId="04096AAF">
      <w:pPr>
        <w:pStyle w:val="2"/>
        <w:spacing w:before="134" w:line="278" w:lineRule="auto"/>
        <w:ind w:left="339" w:right="19" w:firstLine="380"/>
        <w:jc w:val="both"/>
        <w:rPr>
          <w:sz w:val="20"/>
          <w:szCs w:val="20"/>
        </w:rPr>
      </w:pPr>
      <w:r>
        <w:rPr>
          <w:sz w:val="20"/>
          <w:szCs w:val="20"/>
        </w:rPr>
        <w:t>网络管理</w:t>
      </w:r>
      <w:r>
        <w:rPr>
          <w:spacing w:val="-12"/>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z w:val="20"/>
          <w:szCs w:val="20"/>
        </w:rPr>
        <w:t xml:space="preserve">Management) </w:t>
      </w:r>
      <w:r>
        <w:rPr>
          <w:sz w:val="20"/>
          <w:szCs w:val="20"/>
        </w:rPr>
        <w:t xml:space="preserve">的定义是监测、控制和记录网络资源的性能和使用情况， </w:t>
      </w:r>
      <w:r>
        <w:rPr>
          <w:spacing w:val="3"/>
          <w:sz w:val="20"/>
          <w:szCs w:val="20"/>
        </w:rPr>
        <w:t>以使网络有效运行。网络管理是指网络管理员通过网络管理程序对网络上的资源进行</w:t>
      </w:r>
      <w:r>
        <w:rPr>
          <w:spacing w:val="2"/>
          <w:sz w:val="20"/>
          <w:szCs w:val="20"/>
        </w:rPr>
        <w:t>集中化管</w:t>
      </w:r>
      <w:r>
        <w:rPr>
          <w:sz w:val="20"/>
          <w:szCs w:val="20"/>
        </w:rPr>
        <w:t xml:space="preserve"> 理的操作，包括配置管理、性能和记账管理、问题管理、操作管理和变化管</w:t>
      </w:r>
      <w:r>
        <w:rPr>
          <w:spacing w:val="-1"/>
          <w:sz w:val="20"/>
          <w:szCs w:val="20"/>
        </w:rPr>
        <w:t>理等。</w:t>
      </w:r>
      <w:r>
        <w:rPr>
          <w:spacing w:val="43"/>
          <w:sz w:val="20"/>
          <w:szCs w:val="20"/>
        </w:rPr>
        <w:t xml:space="preserve"> </w:t>
      </w:r>
      <w:r>
        <w:rPr>
          <w:spacing w:val="-1"/>
          <w:sz w:val="20"/>
          <w:szCs w:val="20"/>
        </w:rPr>
        <w:t>一台设备所</w:t>
      </w:r>
      <w:r>
        <w:rPr>
          <w:sz w:val="20"/>
          <w:szCs w:val="20"/>
        </w:rPr>
        <w:t xml:space="preserve"> </w:t>
      </w:r>
      <w:r>
        <w:rPr>
          <w:spacing w:val="3"/>
          <w:sz w:val="20"/>
          <w:szCs w:val="20"/>
        </w:rPr>
        <w:t>支持的管理程度反映了该设备的可管理性及可操作性。而交换机的管理功能是指</w:t>
      </w:r>
      <w:r>
        <w:rPr>
          <w:spacing w:val="2"/>
          <w:sz w:val="20"/>
          <w:szCs w:val="20"/>
        </w:rPr>
        <w:t>交换机如何控</w:t>
      </w:r>
      <w:r>
        <w:rPr>
          <w:sz w:val="20"/>
          <w:szCs w:val="20"/>
        </w:rPr>
        <w:t xml:space="preserve"> </w:t>
      </w:r>
      <w:r>
        <w:rPr>
          <w:spacing w:val="3"/>
          <w:sz w:val="20"/>
          <w:szCs w:val="20"/>
        </w:rPr>
        <w:t>制用户访问交换机，以及用户对交换机的可视程度如何。通常，交换机厂商都提供管理软件或</w:t>
      </w:r>
      <w:r>
        <w:rPr>
          <w:spacing w:val="15"/>
          <w:sz w:val="20"/>
          <w:szCs w:val="20"/>
        </w:rPr>
        <w:t xml:space="preserve"> </w:t>
      </w:r>
      <w:r>
        <w:rPr>
          <w:spacing w:val="2"/>
          <w:sz w:val="20"/>
          <w:szCs w:val="20"/>
        </w:rPr>
        <w:t>满足要求的第三方管理软件远程管理交换机。 一般的交换机满足</w:t>
      </w:r>
      <w:r>
        <w:rPr>
          <w:rFonts w:ascii="Times New Roman" w:hAnsi="Times New Roman" w:eastAsia="Times New Roman" w:cs="Times New Roman"/>
          <w:sz w:val="20"/>
          <w:szCs w:val="20"/>
        </w:rPr>
        <w:t>SNMP</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MIB</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MIB</w:t>
      </w:r>
      <w:r>
        <w:rPr>
          <w:rFonts w:ascii="Times New Roman" w:hAnsi="Times New Roman" w:eastAsia="Times New Roman" w:cs="Times New Roman"/>
          <w:spacing w:val="2"/>
          <w:sz w:val="20"/>
          <w:szCs w:val="20"/>
        </w:rPr>
        <w:t xml:space="preserve">   Ⅱ</w:t>
      </w:r>
      <w:r>
        <w:rPr>
          <w:rFonts w:ascii="Times New Roman" w:hAnsi="Times New Roman" w:eastAsia="Times New Roman" w:cs="Times New Roman"/>
          <w:spacing w:val="-3"/>
          <w:sz w:val="20"/>
          <w:szCs w:val="20"/>
        </w:rPr>
        <w:t xml:space="preserve"> </w:t>
      </w:r>
      <w:r>
        <w:rPr>
          <w:spacing w:val="2"/>
          <w:sz w:val="20"/>
          <w:szCs w:val="20"/>
        </w:rPr>
        <w:t>统计管理</w:t>
      </w:r>
      <w:r>
        <w:rPr>
          <w:sz w:val="20"/>
          <w:szCs w:val="20"/>
        </w:rPr>
        <w:t xml:space="preserve"> </w:t>
      </w:r>
      <w:r>
        <w:rPr>
          <w:spacing w:val="2"/>
          <w:sz w:val="20"/>
          <w:szCs w:val="20"/>
        </w:rPr>
        <w:t>功能，复杂一些的交换机会通过内置</w:t>
      </w:r>
      <w:r>
        <w:rPr>
          <w:rFonts w:ascii="Times New Roman" w:hAnsi="Times New Roman" w:eastAsia="Times New Roman" w:cs="Times New Roman"/>
          <w:sz w:val="20"/>
          <w:szCs w:val="20"/>
        </w:rPr>
        <w:t>RMON</w:t>
      </w:r>
      <w:r>
        <w:rPr>
          <w:rFonts w:ascii="Times New Roman" w:hAnsi="Times New Roman" w:eastAsia="Times New Roman" w:cs="Times New Roman"/>
          <w:spacing w:val="14"/>
          <w:w w:val="101"/>
          <w:sz w:val="20"/>
          <w:szCs w:val="20"/>
        </w:rPr>
        <w:t xml:space="preserve"> </w:t>
      </w:r>
      <w:r>
        <w:rPr>
          <w:spacing w:val="2"/>
          <w:sz w:val="20"/>
          <w:szCs w:val="20"/>
        </w:rPr>
        <w:t xml:space="preserve">组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mini</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RMON</w:t>
      </w:r>
      <w:r>
        <w:rPr>
          <w:rFonts w:ascii="Times New Roman" w:hAnsi="Times New Roman" w:eastAsia="Times New Roman" w:cs="Times New Roman"/>
          <w:spacing w:val="1"/>
          <w:sz w:val="20"/>
          <w:szCs w:val="20"/>
        </w:rPr>
        <w:t xml:space="preserve">)   </w:t>
      </w:r>
      <w:r>
        <w:rPr>
          <w:spacing w:val="1"/>
          <w:sz w:val="20"/>
          <w:szCs w:val="20"/>
        </w:rPr>
        <w:t>来支持</w:t>
      </w:r>
      <w:r>
        <w:rPr>
          <w:rFonts w:ascii="Times New Roman" w:hAnsi="Times New Roman" w:eastAsia="Times New Roman" w:cs="Times New Roman"/>
          <w:sz w:val="20"/>
          <w:szCs w:val="20"/>
        </w:rPr>
        <w:t>RMON</w:t>
      </w:r>
      <w:r>
        <w:rPr>
          <w:rFonts w:ascii="Times New Roman" w:hAnsi="Times New Roman" w:eastAsia="Times New Roman" w:cs="Times New Roman"/>
          <w:spacing w:val="13"/>
          <w:w w:val="101"/>
          <w:sz w:val="20"/>
          <w:szCs w:val="20"/>
        </w:rPr>
        <w:t xml:space="preserve"> </w:t>
      </w:r>
      <w:r>
        <w:rPr>
          <w:spacing w:val="1"/>
          <w:sz w:val="20"/>
          <w:szCs w:val="20"/>
        </w:rPr>
        <w:t>主动监视功能。</w:t>
      </w:r>
    </w:p>
    <w:p w14:paraId="538816A3">
      <w:pPr>
        <w:pStyle w:val="2"/>
        <w:spacing w:before="64" w:line="273" w:lineRule="auto"/>
        <w:ind w:left="339" w:right="111" w:firstLine="380"/>
        <w:rPr>
          <w:sz w:val="20"/>
          <w:szCs w:val="20"/>
        </w:rPr>
      </w:pPr>
      <w:r>
        <w:rPr>
          <w:spacing w:val="3"/>
          <w:sz w:val="20"/>
          <w:szCs w:val="20"/>
        </w:rPr>
        <w:t>考虑到未来网络有较大的扩展空间，同时需具备良好的电源和网络条件。为了保证满足弹</w:t>
      </w:r>
      <w:r>
        <w:rPr>
          <w:sz w:val="20"/>
          <w:szCs w:val="20"/>
        </w:rPr>
        <w:t xml:space="preserve"> </w:t>
      </w:r>
      <w:r>
        <w:rPr>
          <w:spacing w:val="-2"/>
          <w:sz w:val="20"/>
          <w:szCs w:val="20"/>
        </w:rPr>
        <w:t>性扩展的需求，云化网络系统在设计时需遵循</w:t>
      </w:r>
      <w:r>
        <w:rPr>
          <w:spacing w:val="-3"/>
          <w:sz w:val="20"/>
          <w:szCs w:val="20"/>
        </w:rPr>
        <w:t>下述原则：</w:t>
      </w:r>
    </w:p>
    <w:p w14:paraId="4C4BDE75">
      <w:pPr>
        <w:pStyle w:val="2"/>
        <w:spacing w:before="37" w:line="268" w:lineRule="auto"/>
        <w:ind w:left="1019" w:hanging="300"/>
        <w:rPr>
          <w:sz w:val="20"/>
          <w:szCs w:val="20"/>
        </w:rPr>
      </w:pPr>
      <w:r>
        <w:rPr>
          <w:spacing w:val="3"/>
          <w:sz w:val="20"/>
          <w:szCs w:val="20"/>
        </w:rPr>
        <w:t>●安全性、可靠性和容错性：由于云平台业务具有向外部用户、内部业务部门提供数据类</w:t>
      </w:r>
      <w:r>
        <w:rPr>
          <w:sz w:val="20"/>
          <w:szCs w:val="20"/>
        </w:rPr>
        <w:t xml:space="preserve">  </w:t>
      </w:r>
      <w:r>
        <w:rPr>
          <w:spacing w:val="3"/>
          <w:sz w:val="20"/>
          <w:szCs w:val="20"/>
        </w:rPr>
        <w:t>服务的性质，决定了其网络设计的首要原则就是，保证用户的设备或内容在一个安全、</w:t>
      </w:r>
      <w:r>
        <w:rPr>
          <w:spacing w:val="14"/>
          <w:sz w:val="20"/>
          <w:szCs w:val="20"/>
        </w:rPr>
        <w:t xml:space="preserve"> </w:t>
      </w:r>
      <w:r>
        <w:rPr>
          <w:spacing w:val="-1"/>
          <w:sz w:val="20"/>
          <w:szCs w:val="20"/>
        </w:rPr>
        <w:t>可靠的网络环境下进行信息安全可靠地传输和处理。</w:t>
      </w:r>
    </w:p>
    <w:p w14:paraId="0DDDBD59">
      <w:pPr>
        <w:spacing w:line="268" w:lineRule="auto"/>
        <w:rPr>
          <w:sz w:val="20"/>
          <w:szCs w:val="20"/>
        </w:rPr>
        <w:sectPr>
          <w:pgSz w:w="10310" w:h="13380"/>
          <w:pgMar w:top="400" w:right="1010" w:bottom="400" w:left="550" w:header="0" w:footer="0" w:gutter="0"/>
          <w:cols w:space="720" w:num="1"/>
        </w:sectPr>
      </w:pPr>
    </w:p>
    <w:p w14:paraId="28F62717">
      <w:pPr>
        <w:pStyle w:val="2"/>
        <w:spacing w:before="76" w:line="219" w:lineRule="auto"/>
        <w:jc w:val="right"/>
        <w:rPr>
          <w:rFonts w:ascii="Times New Roman" w:hAnsi="Times New Roman" w:eastAsia="Times New Roman" w:cs="Times New Roman"/>
          <w:sz w:val="19"/>
          <w:szCs w:val="19"/>
        </w:rPr>
      </w:pPr>
      <w:r>
        <w:rPr>
          <w:spacing w:val="13"/>
          <w:sz w:val="19"/>
          <w:szCs w:val="19"/>
        </w:rPr>
        <w:t>第4章信息资源系统</w:t>
      </w:r>
      <w:r>
        <w:rPr>
          <w:spacing w:val="7"/>
          <w:sz w:val="19"/>
          <w:szCs w:val="19"/>
        </w:rPr>
        <w:t xml:space="preserve">      </w:t>
      </w:r>
      <w:r>
        <w:rPr>
          <w:rFonts w:ascii="Times New Roman" w:hAnsi="Times New Roman" w:eastAsia="Times New Roman" w:cs="Times New Roman"/>
          <w:spacing w:val="13"/>
          <w:sz w:val="19"/>
          <w:szCs w:val="19"/>
        </w:rPr>
        <w:t>139</w:t>
      </w:r>
    </w:p>
    <w:p w14:paraId="35D49E2C">
      <w:pPr>
        <w:spacing w:line="311" w:lineRule="auto"/>
        <w:rPr>
          <w:rFonts w:ascii="Arial"/>
          <w:sz w:val="21"/>
        </w:rPr>
      </w:pPr>
    </w:p>
    <w:p w14:paraId="6A3BCA4A">
      <w:pPr>
        <w:pStyle w:val="2"/>
        <w:spacing w:before="62" w:line="287" w:lineRule="auto"/>
        <w:ind w:left="669" w:right="304" w:hanging="270"/>
        <w:rPr>
          <w:sz w:val="19"/>
          <w:szCs w:val="19"/>
        </w:rPr>
      </w:pPr>
      <w:r>
        <w:rPr>
          <w:spacing w:val="13"/>
          <w:sz w:val="19"/>
          <w:szCs w:val="19"/>
        </w:rPr>
        <w:t>●开放式、标准化：网络平台的目的在于互连不同制造厂商的设备</w:t>
      </w:r>
      <w:r>
        <w:rPr>
          <w:spacing w:val="12"/>
          <w:sz w:val="19"/>
          <w:szCs w:val="19"/>
        </w:rPr>
        <w:t>，实现计算机软、硬件</w:t>
      </w:r>
      <w:r>
        <w:rPr>
          <w:sz w:val="19"/>
          <w:szCs w:val="19"/>
        </w:rPr>
        <w:t xml:space="preserve"> </w:t>
      </w:r>
      <w:r>
        <w:rPr>
          <w:spacing w:val="10"/>
          <w:sz w:val="19"/>
          <w:szCs w:val="19"/>
        </w:rPr>
        <w:t>资源的数据交换。为此必须建立一个由开放式、标准化的网络系统组成的平台，来满足</w:t>
      </w:r>
      <w:r>
        <w:rPr>
          <w:spacing w:val="17"/>
          <w:sz w:val="19"/>
          <w:szCs w:val="19"/>
        </w:rPr>
        <w:t xml:space="preserve"> </w:t>
      </w:r>
      <w:r>
        <w:rPr>
          <w:spacing w:val="8"/>
          <w:sz w:val="19"/>
          <w:szCs w:val="19"/>
        </w:rPr>
        <w:t>当前可实现的应用要求，又能适应今后系统扩展的需要。</w:t>
      </w:r>
    </w:p>
    <w:p w14:paraId="30E7E2A0">
      <w:pPr>
        <w:pStyle w:val="2"/>
        <w:spacing w:before="82" w:line="275" w:lineRule="auto"/>
        <w:ind w:left="669" w:right="301" w:hanging="270"/>
        <w:rPr>
          <w:sz w:val="19"/>
          <w:szCs w:val="19"/>
        </w:rPr>
      </w:pPr>
      <w:r>
        <w:rPr>
          <w:spacing w:val="8"/>
          <w:sz w:val="19"/>
          <w:szCs w:val="19"/>
        </w:rPr>
        <w:t>●可扩展性：网络结构分层次设计，网络设备采用模块化、堆栈式</w:t>
      </w:r>
      <w:r>
        <w:rPr>
          <w:spacing w:val="7"/>
          <w:sz w:val="19"/>
          <w:szCs w:val="19"/>
        </w:rPr>
        <w:t>的系统结构，为今后随着</w:t>
      </w:r>
      <w:r>
        <w:rPr>
          <w:sz w:val="19"/>
          <w:szCs w:val="19"/>
        </w:rPr>
        <w:t xml:space="preserve"> </w:t>
      </w:r>
      <w:r>
        <w:rPr>
          <w:spacing w:val="9"/>
          <w:sz w:val="19"/>
          <w:szCs w:val="19"/>
        </w:rPr>
        <w:t>业务的发展完善、各种特色增值业务的部署，提供一个灵活方便的升级和扩充的途径。</w:t>
      </w:r>
    </w:p>
    <w:p w14:paraId="518BAA7F">
      <w:pPr>
        <w:pStyle w:val="2"/>
        <w:spacing w:before="85" w:line="281" w:lineRule="auto"/>
        <w:ind w:left="669" w:right="273" w:hanging="270"/>
        <w:rPr>
          <w:sz w:val="19"/>
          <w:szCs w:val="19"/>
        </w:rPr>
      </w:pPr>
      <w:r>
        <w:rPr>
          <w:spacing w:val="13"/>
          <w:sz w:val="19"/>
          <w:szCs w:val="19"/>
        </w:rPr>
        <w:t>●实用性、先进性、成熟性：通信和计算机技术的发展日新月异</w:t>
      </w:r>
      <w:r>
        <w:rPr>
          <w:spacing w:val="12"/>
          <w:sz w:val="19"/>
          <w:szCs w:val="19"/>
        </w:rPr>
        <w:t>。因此，方案不仅要能适</w:t>
      </w:r>
      <w:r>
        <w:rPr>
          <w:sz w:val="19"/>
          <w:szCs w:val="19"/>
        </w:rPr>
        <w:t xml:space="preserve"> </w:t>
      </w:r>
      <w:r>
        <w:rPr>
          <w:spacing w:val="12"/>
          <w:sz w:val="19"/>
          <w:szCs w:val="19"/>
        </w:rPr>
        <w:t>应新技术的发展要求，保证计算机网络的先进性，同时也要兼顾成熟</w:t>
      </w:r>
      <w:r>
        <w:rPr>
          <w:spacing w:val="11"/>
          <w:sz w:val="19"/>
          <w:szCs w:val="19"/>
        </w:rPr>
        <w:t>的网络技术和经济</w:t>
      </w:r>
      <w:r>
        <w:rPr>
          <w:sz w:val="19"/>
          <w:szCs w:val="19"/>
        </w:rPr>
        <w:t xml:space="preserve"> </w:t>
      </w:r>
      <w:r>
        <w:rPr>
          <w:spacing w:val="6"/>
          <w:sz w:val="19"/>
          <w:szCs w:val="19"/>
        </w:rPr>
        <w:t>实用性。</w:t>
      </w:r>
    </w:p>
    <w:p w14:paraId="1BFBD899">
      <w:pPr>
        <w:pStyle w:val="2"/>
        <w:spacing w:before="103" w:line="274" w:lineRule="auto"/>
        <w:ind w:left="669" w:right="305" w:hanging="270"/>
        <w:rPr>
          <w:sz w:val="19"/>
          <w:szCs w:val="19"/>
        </w:rPr>
      </w:pPr>
      <w:r>
        <w:rPr>
          <w:spacing w:val="13"/>
          <w:sz w:val="19"/>
          <w:szCs w:val="19"/>
        </w:rPr>
        <w:t>●大容量：云计算中心不但要提供高带宽和多业务，而且能随</w:t>
      </w:r>
      <w:r>
        <w:rPr>
          <w:spacing w:val="12"/>
          <w:sz w:val="19"/>
          <w:szCs w:val="19"/>
        </w:rPr>
        <w:t>时升级网络以满足将来的业</w:t>
      </w:r>
      <w:r>
        <w:rPr>
          <w:sz w:val="19"/>
          <w:szCs w:val="19"/>
        </w:rPr>
        <w:t xml:space="preserve"> </w:t>
      </w:r>
      <w:r>
        <w:rPr>
          <w:spacing w:val="9"/>
          <w:sz w:val="19"/>
          <w:szCs w:val="19"/>
        </w:rPr>
        <w:t>务需要，包括提供多种接入端口，满足不同带宽的专线接入业务等。</w:t>
      </w:r>
    </w:p>
    <w:p w14:paraId="74F87038">
      <w:pPr>
        <w:pStyle w:val="2"/>
        <w:spacing w:before="85" w:line="286" w:lineRule="auto"/>
        <w:ind w:left="669" w:right="305" w:hanging="270"/>
        <w:rPr>
          <w:sz w:val="19"/>
          <w:szCs w:val="19"/>
        </w:rPr>
      </w:pPr>
      <w:r>
        <w:rPr>
          <w:spacing w:val="15"/>
          <w:sz w:val="19"/>
          <w:szCs w:val="19"/>
        </w:rPr>
        <w:t>●可管理性：网络运维平台可以提供7×24小时不间断的网络监控、</w:t>
      </w:r>
      <w:r>
        <w:rPr>
          <w:spacing w:val="14"/>
          <w:sz w:val="19"/>
          <w:szCs w:val="19"/>
        </w:rPr>
        <w:t>技术服务与支持，标</w:t>
      </w:r>
      <w:r>
        <w:rPr>
          <w:sz w:val="19"/>
          <w:szCs w:val="19"/>
        </w:rPr>
        <w:t xml:space="preserve"> </w:t>
      </w:r>
      <w:r>
        <w:rPr>
          <w:spacing w:val="13"/>
          <w:sz w:val="19"/>
          <w:szCs w:val="19"/>
        </w:rPr>
        <w:t>准监控程序每隔5分钟会检测网络连接状况，出现问题立即告警并及时通知用户。控制</w:t>
      </w:r>
      <w:r>
        <w:rPr>
          <w:spacing w:val="6"/>
          <w:sz w:val="19"/>
          <w:szCs w:val="19"/>
        </w:rPr>
        <w:t xml:space="preserve"> </w:t>
      </w:r>
      <w:r>
        <w:rPr>
          <w:spacing w:val="8"/>
          <w:sz w:val="19"/>
          <w:szCs w:val="19"/>
        </w:rPr>
        <w:t>中心同时提供恒温、恒湿的机房环境，以及自</w:t>
      </w:r>
      <w:r>
        <w:rPr>
          <w:spacing w:val="7"/>
          <w:sz w:val="19"/>
          <w:szCs w:val="19"/>
        </w:rPr>
        <w:t>动防火告警等服务。</w:t>
      </w:r>
    </w:p>
    <w:p w14:paraId="6A9B7DFD">
      <w:pPr>
        <w:pStyle w:val="2"/>
        <w:spacing w:before="193" w:line="221" w:lineRule="auto"/>
        <w:ind w:left="402"/>
        <w:rPr>
          <w:rFonts w:ascii="黑体" w:hAnsi="黑体" w:eastAsia="黑体" w:cs="黑体"/>
          <w:sz w:val="19"/>
          <w:szCs w:val="19"/>
        </w:rPr>
      </w:pPr>
      <w:r>
        <w:rPr>
          <w:b/>
          <w:bCs/>
          <w:color w:val="1079C0"/>
          <w:spacing w:val="8"/>
          <w:sz w:val="19"/>
          <w:szCs w:val="19"/>
        </w:rPr>
        <w:t>5.</w:t>
      </w:r>
      <w:r>
        <w:rPr>
          <w:rFonts w:ascii="黑体" w:hAnsi="黑体" w:eastAsia="黑体" w:cs="黑体"/>
          <w:b/>
          <w:bCs/>
          <w:color w:val="1079C0"/>
          <w:spacing w:val="8"/>
          <w:sz w:val="19"/>
          <w:szCs w:val="19"/>
        </w:rPr>
        <w:t>安全服务</w:t>
      </w:r>
    </w:p>
    <w:p w14:paraId="26363F9D">
      <w:pPr>
        <w:pStyle w:val="2"/>
        <w:spacing w:before="135" w:line="293" w:lineRule="auto"/>
        <w:ind w:right="303" w:firstLine="399"/>
        <w:jc w:val="both"/>
        <w:rPr>
          <w:sz w:val="19"/>
          <w:szCs w:val="19"/>
        </w:rPr>
      </w:pPr>
      <w:r>
        <w:rPr>
          <w:spacing w:val="13"/>
          <w:sz w:val="19"/>
          <w:szCs w:val="19"/>
        </w:rPr>
        <w:t>加强网络信息系统的安全性，对抗安全攻击而采取的一系列措施称</w:t>
      </w:r>
      <w:r>
        <w:rPr>
          <w:spacing w:val="12"/>
          <w:sz w:val="19"/>
          <w:szCs w:val="19"/>
        </w:rPr>
        <w:t>为安全服务。安全服务</w:t>
      </w:r>
      <w:r>
        <w:rPr>
          <w:sz w:val="19"/>
          <w:szCs w:val="19"/>
        </w:rPr>
        <w:t xml:space="preserve"> </w:t>
      </w:r>
      <w:r>
        <w:rPr>
          <w:spacing w:val="13"/>
          <w:sz w:val="19"/>
          <w:szCs w:val="19"/>
        </w:rPr>
        <w:t>的主要内容包括安全机制、安全连接、安全协议和安全策略</w:t>
      </w:r>
      <w:r>
        <w:rPr>
          <w:spacing w:val="12"/>
          <w:sz w:val="19"/>
          <w:szCs w:val="19"/>
        </w:rPr>
        <w:t>等，它们能在一定程度上弥补和完</w:t>
      </w:r>
      <w:r>
        <w:rPr>
          <w:sz w:val="19"/>
          <w:szCs w:val="19"/>
        </w:rPr>
        <w:t xml:space="preserve"> </w:t>
      </w:r>
      <w:r>
        <w:rPr>
          <w:spacing w:val="7"/>
          <w:sz w:val="19"/>
          <w:szCs w:val="19"/>
        </w:rPr>
        <w:t>善现有操作系统和网络信息系统的安全漏洞。</w:t>
      </w:r>
    </w:p>
    <w:p w14:paraId="032AA724">
      <w:pPr>
        <w:pStyle w:val="2"/>
        <w:spacing w:before="37" w:line="219" w:lineRule="auto"/>
        <w:ind w:left="399"/>
        <w:rPr>
          <w:sz w:val="19"/>
          <w:szCs w:val="19"/>
        </w:rPr>
      </w:pPr>
      <w:r>
        <w:rPr>
          <w:spacing w:val="12"/>
          <w:sz w:val="19"/>
          <w:szCs w:val="19"/>
        </w:rPr>
        <w:t>(1)硬件安全要求：</w:t>
      </w:r>
    </w:p>
    <w:p w14:paraId="6CC48DDF">
      <w:pPr>
        <w:pStyle w:val="2"/>
        <w:spacing w:before="74" w:line="280" w:lineRule="auto"/>
        <w:ind w:left="669" w:right="297" w:hanging="270"/>
        <w:rPr>
          <w:sz w:val="19"/>
          <w:szCs w:val="19"/>
        </w:rPr>
      </w:pPr>
      <w:r>
        <w:rPr>
          <w:spacing w:val="13"/>
          <w:sz w:val="19"/>
          <w:szCs w:val="19"/>
        </w:rPr>
        <w:t>●系统使用的设备不能是已停产或即将停产的设备，软件应是定制开发后通过测试</w:t>
      </w:r>
      <w:r>
        <w:rPr>
          <w:spacing w:val="12"/>
          <w:sz w:val="19"/>
          <w:szCs w:val="19"/>
        </w:rPr>
        <w:t>验证的</w:t>
      </w:r>
      <w:r>
        <w:rPr>
          <w:sz w:val="19"/>
          <w:szCs w:val="19"/>
        </w:rPr>
        <w:t xml:space="preserve"> </w:t>
      </w:r>
      <w:r>
        <w:rPr>
          <w:spacing w:val="16"/>
          <w:sz w:val="19"/>
          <w:szCs w:val="19"/>
        </w:rPr>
        <w:t xml:space="preserve">软件的最新稳定版本，采用先进的技术，设备运行稳定、可靠，具有很好的可扩充能 </w:t>
      </w:r>
      <w:r>
        <w:rPr>
          <w:spacing w:val="4"/>
          <w:sz w:val="19"/>
          <w:szCs w:val="19"/>
        </w:rPr>
        <w:t>力，提供较强的处理能力；</w:t>
      </w:r>
    </w:p>
    <w:p w14:paraId="03A935C1">
      <w:pPr>
        <w:pStyle w:val="2"/>
        <w:spacing w:before="96" w:line="275" w:lineRule="auto"/>
        <w:ind w:left="669" w:right="305" w:hanging="270"/>
        <w:rPr>
          <w:sz w:val="19"/>
          <w:szCs w:val="19"/>
        </w:rPr>
      </w:pPr>
      <w:r>
        <w:rPr>
          <w:spacing w:val="16"/>
          <w:sz w:val="19"/>
          <w:szCs w:val="19"/>
        </w:rPr>
        <w:t>●</w:t>
      </w:r>
      <w:r>
        <w:rPr>
          <w:spacing w:val="-48"/>
          <w:sz w:val="19"/>
          <w:szCs w:val="19"/>
        </w:rPr>
        <w:t xml:space="preserve"> </w:t>
      </w:r>
      <w:r>
        <w:rPr>
          <w:spacing w:val="16"/>
          <w:sz w:val="19"/>
          <w:szCs w:val="19"/>
        </w:rPr>
        <w:t>数据存储采用</w:t>
      </w:r>
      <w:r>
        <w:rPr>
          <w:sz w:val="19"/>
          <w:szCs w:val="19"/>
        </w:rPr>
        <w:t>IPSAN</w:t>
      </w:r>
      <w:r>
        <w:rPr>
          <w:spacing w:val="78"/>
          <w:sz w:val="19"/>
          <w:szCs w:val="19"/>
        </w:rPr>
        <w:t xml:space="preserve"> </w:t>
      </w:r>
      <w:r>
        <w:rPr>
          <w:spacing w:val="16"/>
          <w:sz w:val="19"/>
          <w:szCs w:val="19"/>
        </w:rPr>
        <w:t>方式，配置物理热备盘，常用或重要的数</w:t>
      </w:r>
      <w:r>
        <w:rPr>
          <w:spacing w:val="15"/>
          <w:sz w:val="19"/>
          <w:szCs w:val="19"/>
        </w:rPr>
        <w:t>据采用</w:t>
      </w:r>
      <w:r>
        <w:rPr>
          <w:sz w:val="19"/>
          <w:szCs w:val="19"/>
        </w:rPr>
        <w:t>RAID</w:t>
      </w:r>
      <w:r>
        <w:rPr>
          <w:spacing w:val="39"/>
          <w:sz w:val="19"/>
          <w:szCs w:val="19"/>
        </w:rPr>
        <w:t xml:space="preserve">  </w:t>
      </w:r>
      <w:r>
        <w:rPr>
          <w:spacing w:val="15"/>
          <w:sz w:val="19"/>
          <w:szCs w:val="19"/>
        </w:rPr>
        <w:t>0+1方</w:t>
      </w:r>
      <w:r>
        <w:rPr>
          <w:spacing w:val="-37"/>
          <w:sz w:val="19"/>
          <w:szCs w:val="19"/>
        </w:rPr>
        <w:t xml:space="preserve"> </w:t>
      </w:r>
      <w:r>
        <w:rPr>
          <w:spacing w:val="15"/>
          <w:sz w:val="19"/>
          <w:szCs w:val="19"/>
        </w:rPr>
        <w:t>式</w:t>
      </w:r>
      <w:r>
        <w:rPr>
          <w:sz w:val="19"/>
          <w:szCs w:val="19"/>
        </w:rPr>
        <w:t xml:space="preserve"> </w:t>
      </w:r>
      <w:r>
        <w:rPr>
          <w:spacing w:val="-2"/>
          <w:sz w:val="19"/>
          <w:szCs w:val="19"/>
        </w:rPr>
        <w:t>存储；</w:t>
      </w:r>
    </w:p>
    <w:p w14:paraId="328EC032">
      <w:pPr>
        <w:pStyle w:val="2"/>
        <w:spacing w:before="93" w:line="219" w:lineRule="auto"/>
        <w:ind w:left="399"/>
        <w:rPr>
          <w:sz w:val="19"/>
          <w:szCs w:val="19"/>
        </w:rPr>
      </w:pPr>
      <w:r>
        <w:rPr>
          <w:spacing w:val="12"/>
          <w:sz w:val="19"/>
          <w:szCs w:val="19"/>
        </w:rPr>
        <w:t>●所有硬件产品应能够正常安装在机架/机柜中；</w:t>
      </w:r>
    </w:p>
    <w:p w14:paraId="0A576889">
      <w:pPr>
        <w:pStyle w:val="2"/>
        <w:spacing w:before="85" w:line="219" w:lineRule="auto"/>
        <w:ind w:left="399"/>
        <w:rPr>
          <w:sz w:val="19"/>
          <w:szCs w:val="19"/>
        </w:rPr>
      </w:pPr>
      <w:r>
        <w:rPr>
          <w:spacing w:val="12"/>
          <w:sz w:val="19"/>
          <w:szCs w:val="19"/>
        </w:rPr>
        <w:t>●高可靠性及低维护成本、较低的业务/应用开发成本；</w:t>
      </w:r>
    </w:p>
    <w:p w14:paraId="29DC392E">
      <w:pPr>
        <w:pStyle w:val="2"/>
        <w:spacing w:before="94" w:line="219" w:lineRule="auto"/>
        <w:ind w:left="399"/>
        <w:rPr>
          <w:sz w:val="19"/>
          <w:szCs w:val="19"/>
        </w:rPr>
      </w:pPr>
      <w:r>
        <w:rPr>
          <w:spacing w:val="10"/>
          <w:sz w:val="19"/>
          <w:szCs w:val="19"/>
        </w:rPr>
        <w:t>●提供及时的维护服务和全面的技术支持；</w:t>
      </w:r>
    </w:p>
    <w:p w14:paraId="6C7B3FB6">
      <w:pPr>
        <w:pStyle w:val="2"/>
        <w:spacing w:before="95" w:line="219" w:lineRule="auto"/>
        <w:ind w:left="399"/>
        <w:rPr>
          <w:sz w:val="19"/>
          <w:szCs w:val="19"/>
        </w:rPr>
      </w:pPr>
      <w:r>
        <w:rPr>
          <w:spacing w:val="10"/>
          <w:sz w:val="19"/>
          <w:szCs w:val="19"/>
        </w:rPr>
        <w:t>●硬件设备均应提供双电源、多电源配置。</w:t>
      </w:r>
    </w:p>
    <w:p w14:paraId="5A9DFEBE">
      <w:pPr>
        <w:pStyle w:val="2"/>
        <w:spacing w:before="76" w:line="265" w:lineRule="auto"/>
        <w:ind w:right="274" w:firstLine="399"/>
        <w:rPr>
          <w:sz w:val="19"/>
          <w:szCs w:val="19"/>
        </w:rPr>
      </w:pPr>
      <w:r>
        <w:rPr>
          <w:spacing w:val="16"/>
          <w:sz w:val="19"/>
          <w:szCs w:val="19"/>
        </w:rPr>
        <w:t>(2)云平台软件安全要求：包括虚拟机安全、数</w:t>
      </w:r>
      <w:r>
        <w:rPr>
          <w:spacing w:val="15"/>
          <w:sz w:val="19"/>
          <w:szCs w:val="19"/>
        </w:rPr>
        <w:t>据安全、访问安全、接口安全、系统安全</w:t>
      </w:r>
      <w:r>
        <w:rPr>
          <w:sz w:val="19"/>
          <w:szCs w:val="19"/>
        </w:rPr>
        <w:t xml:space="preserve"> </w:t>
      </w:r>
      <w:r>
        <w:rPr>
          <w:spacing w:val="4"/>
          <w:sz w:val="19"/>
          <w:szCs w:val="19"/>
        </w:rPr>
        <w:t>和信息安全。</w:t>
      </w:r>
    </w:p>
    <w:p w14:paraId="2443C6AB">
      <w:pPr>
        <w:pStyle w:val="2"/>
        <w:spacing w:before="84" w:line="219" w:lineRule="auto"/>
        <w:ind w:left="399"/>
        <w:rPr>
          <w:sz w:val="19"/>
          <w:szCs w:val="19"/>
        </w:rPr>
      </w:pPr>
      <w:r>
        <w:rPr>
          <w:spacing w:val="13"/>
          <w:sz w:val="19"/>
          <w:szCs w:val="19"/>
        </w:rPr>
        <w:t>(3)存储与备份安全：</w:t>
      </w:r>
    </w:p>
    <w:p w14:paraId="76591DF2">
      <w:pPr>
        <w:pStyle w:val="2"/>
        <w:spacing w:before="76" w:line="280" w:lineRule="auto"/>
        <w:ind w:left="669" w:right="274" w:hanging="270"/>
        <w:rPr>
          <w:sz w:val="19"/>
          <w:szCs w:val="19"/>
        </w:rPr>
      </w:pPr>
      <w:r>
        <w:rPr>
          <w:spacing w:val="13"/>
          <w:sz w:val="19"/>
          <w:szCs w:val="19"/>
        </w:rPr>
        <w:t>●存储安全：存储设备应具有极高的可靠性。系统应有良好的备份手</w:t>
      </w:r>
      <w:r>
        <w:rPr>
          <w:spacing w:val="12"/>
          <w:sz w:val="19"/>
          <w:szCs w:val="19"/>
        </w:rPr>
        <w:t>段。系统数据和业务</w:t>
      </w:r>
      <w:r>
        <w:rPr>
          <w:sz w:val="19"/>
          <w:szCs w:val="19"/>
        </w:rPr>
        <w:t xml:space="preserve"> </w:t>
      </w:r>
      <w:r>
        <w:rPr>
          <w:spacing w:val="12"/>
          <w:sz w:val="19"/>
          <w:szCs w:val="19"/>
        </w:rPr>
        <w:t>数据可联机备份、联机恢复，恢复的数据必须保持其完整性和一致</w:t>
      </w:r>
      <w:r>
        <w:rPr>
          <w:spacing w:val="11"/>
          <w:sz w:val="19"/>
          <w:szCs w:val="19"/>
        </w:rPr>
        <w:t>性。存储重要数据采</w:t>
      </w:r>
      <w:r>
        <w:rPr>
          <w:sz w:val="19"/>
          <w:szCs w:val="19"/>
        </w:rPr>
        <w:t xml:space="preserve"> 用</w:t>
      </w:r>
      <w:r>
        <w:rPr>
          <w:spacing w:val="-45"/>
          <w:sz w:val="19"/>
          <w:szCs w:val="19"/>
        </w:rPr>
        <w:t xml:space="preserve"> </w:t>
      </w:r>
      <w:r>
        <w:rPr>
          <w:rFonts w:ascii="Times New Roman" w:hAnsi="Times New Roman" w:eastAsia="Times New Roman" w:cs="Times New Roman"/>
          <w:sz w:val="19"/>
          <w:szCs w:val="19"/>
        </w:rPr>
        <w:t>RAID</w:t>
      </w:r>
      <w:r>
        <w:rPr>
          <w:rFonts w:ascii="Times New Roman" w:hAnsi="Times New Roman" w:eastAsia="Times New Roman" w:cs="Times New Roman"/>
          <w:spacing w:val="23"/>
          <w:w w:val="101"/>
          <w:sz w:val="19"/>
          <w:szCs w:val="19"/>
        </w:rPr>
        <w:t xml:space="preserve">  </w:t>
      </w:r>
      <w:r>
        <w:rPr>
          <w:rFonts w:ascii="Times New Roman" w:hAnsi="Times New Roman" w:eastAsia="Times New Roman" w:cs="Times New Roman"/>
          <w:sz w:val="19"/>
          <w:szCs w:val="19"/>
        </w:rPr>
        <w:t>0+1</w:t>
      </w:r>
      <w:r>
        <w:rPr>
          <w:sz w:val="19"/>
          <w:szCs w:val="19"/>
        </w:rPr>
        <w:t>存储。</w:t>
      </w:r>
    </w:p>
    <w:p w14:paraId="72940EB3">
      <w:pPr>
        <w:pStyle w:val="2"/>
        <w:spacing w:before="84" w:line="280" w:lineRule="auto"/>
        <w:ind w:left="669" w:right="297" w:hanging="270"/>
        <w:rPr>
          <w:sz w:val="19"/>
          <w:szCs w:val="19"/>
        </w:rPr>
      </w:pPr>
      <w:r>
        <w:rPr>
          <w:spacing w:val="13"/>
          <w:sz w:val="19"/>
          <w:szCs w:val="19"/>
        </w:rPr>
        <w:t>●备份安全：系统应提供安全可靠的联机数据备份功能，支持系</w:t>
      </w:r>
      <w:r>
        <w:rPr>
          <w:spacing w:val="12"/>
          <w:sz w:val="19"/>
          <w:szCs w:val="19"/>
        </w:rPr>
        <w:t>统的双机备份功能；卖方</w:t>
      </w:r>
      <w:r>
        <w:rPr>
          <w:sz w:val="19"/>
          <w:szCs w:val="19"/>
        </w:rPr>
        <w:t xml:space="preserve"> </w:t>
      </w:r>
      <w:r>
        <w:rPr>
          <w:spacing w:val="11"/>
          <w:sz w:val="19"/>
          <w:szCs w:val="19"/>
        </w:rPr>
        <w:t>应提供有关数据备份的详细说明，包括备份方式、备份周期、备份介质和相关软件的列</w:t>
      </w:r>
      <w:r>
        <w:rPr>
          <w:spacing w:val="6"/>
          <w:sz w:val="19"/>
          <w:szCs w:val="19"/>
        </w:rPr>
        <w:t xml:space="preserve"> </w:t>
      </w:r>
      <w:r>
        <w:rPr>
          <w:spacing w:val="9"/>
          <w:sz w:val="19"/>
          <w:szCs w:val="19"/>
        </w:rPr>
        <w:t>表，备份策略制定必须充分考虑出现异常时数据的恢</w:t>
      </w:r>
      <w:r>
        <w:rPr>
          <w:spacing w:val="8"/>
          <w:sz w:val="19"/>
          <w:szCs w:val="19"/>
        </w:rPr>
        <w:t>复。</w:t>
      </w:r>
    </w:p>
    <w:p w14:paraId="510A0909">
      <w:pPr>
        <w:spacing w:line="280" w:lineRule="auto"/>
        <w:rPr>
          <w:sz w:val="19"/>
          <w:szCs w:val="19"/>
        </w:rPr>
        <w:sectPr>
          <w:pgSz w:w="10290" w:h="13260"/>
          <w:pgMar w:top="400" w:right="587" w:bottom="400" w:left="1090" w:header="0" w:footer="0" w:gutter="0"/>
          <w:cols w:space="720" w:num="1"/>
        </w:sectPr>
      </w:pPr>
    </w:p>
    <w:p w14:paraId="7FD8824D">
      <w:pPr>
        <w:pStyle w:val="2"/>
        <w:spacing w:before="88" w:line="219" w:lineRule="auto"/>
        <w:rPr>
          <w:sz w:val="20"/>
          <w:szCs w:val="20"/>
        </w:rPr>
      </w:pPr>
      <w:r>
        <w:rPr>
          <w:rFonts w:ascii="Times New Roman" w:hAnsi="Times New Roman" w:eastAsia="Times New Roman" w:cs="Times New Roman"/>
          <w:b/>
          <w:bCs/>
          <w:spacing w:val="-2"/>
          <w:sz w:val="17"/>
          <w:szCs w:val="17"/>
        </w:rPr>
        <w:t xml:space="preserve">140                 </w:t>
      </w:r>
      <w:r>
        <w:rPr>
          <w:spacing w:val="-2"/>
          <w:sz w:val="20"/>
          <w:szCs w:val="20"/>
        </w:rPr>
        <w:t>信息系统监理师教程(第2版)</w:t>
      </w:r>
    </w:p>
    <w:p w14:paraId="7E0096CC">
      <w:pPr>
        <w:spacing w:line="323" w:lineRule="auto"/>
        <w:rPr>
          <w:rFonts w:ascii="Arial"/>
          <w:sz w:val="21"/>
        </w:rPr>
      </w:pPr>
    </w:p>
    <w:p w14:paraId="593D93A6">
      <w:pPr>
        <w:pStyle w:val="2"/>
        <w:spacing w:before="65" w:line="223" w:lineRule="auto"/>
        <w:ind w:left="742"/>
        <w:rPr>
          <w:rFonts w:ascii="黑体" w:hAnsi="黑体" w:eastAsia="黑体" w:cs="黑体"/>
          <w:sz w:val="20"/>
          <w:szCs w:val="20"/>
        </w:rPr>
      </w:pPr>
      <w:r>
        <w:rPr>
          <w:b/>
          <w:bCs/>
          <w:color w:val="009FEF"/>
          <w:spacing w:val="1"/>
          <w:sz w:val="20"/>
          <w:szCs w:val="20"/>
        </w:rPr>
        <w:t>6.</w:t>
      </w:r>
      <w:r>
        <w:rPr>
          <w:rFonts w:ascii="黑体" w:hAnsi="黑体" w:eastAsia="黑体" w:cs="黑体"/>
          <w:b/>
          <w:bCs/>
          <w:color w:val="009FEF"/>
          <w:spacing w:val="1"/>
          <w:sz w:val="20"/>
          <w:szCs w:val="20"/>
        </w:rPr>
        <w:t>计费</w:t>
      </w:r>
    </w:p>
    <w:p w14:paraId="43F29186">
      <w:pPr>
        <w:pStyle w:val="2"/>
        <w:spacing w:before="121" w:line="299" w:lineRule="auto"/>
        <w:ind w:left="349" w:firstLine="389"/>
        <w:jc w:val="both"/>
        <w:rPr>
          <w:sz w:val="17"/>
          <w:szCs w:val="17"/>
        </w:rPr>
      </w:pPr>
      <w:r>
        <w:rPr>
          <w:spacing w:val="7"/>
          <w:sz w:val="20"/>
          <w:szCs w:val="20"/>
        </w:rPr>
        <w:t>云服务计费平台，指通过精确可靠地采集</w:t>
      </w:r>
      <w:r>
        <w:rPr>
          <w:rFonts w:ascii="Times New Roman" w:hAnsi="Times New Roman" w:eastAsia="Times New Roman" w:cs="Times New Roman"/>
          <w:sz w:val="20"/>
          <w:szCs w:val="20"/>
        </w:rPr>
        <w:t>IaaS</w:t>
      </w:r>
      <w:r>
        <w:rPr>
          <w:rFonts w:ascii="Times New Roman" w:hAnsi="Times New Roman" w:eastAsia="Times New Roman" w:cs="Times New Roman"/>
          <w:spacing w:val="-28"/>
          <w:sz w:val="20"/>
          <w:szCs w:val="20"/>
        </w:rPr>
        <w:t xml:space="preserve"> </w:t>
      </w:r>
      <w:r>
        <w:rPr>
          <w:spacing w:val="7"/>
          <w:sz w:val="20"/>
          <w:szCs w:val="20"/>
        </w:rPr>
        <w:t>、</w:t>
      </w:r>
      <w:r>
        <w:rPr>
          <w:rFonts w:ascii="Times New Roman" w:hAnsi="Times New Roman" w:eastAsia="Times New Roman" w:cs="Times New Roman"/>
          <w:sz w:val="20"/>
          <w:szCs w:val="20"/>
        </w:rPr>
        <w:t xml:space="preserve">PaaS  </w:t>
      </w:r>
      <w:r>
        <w:rPr>
          <w:spacing w:val="7"/>
          <w:sz w:val="20"/>
          <w:szCs w:val="20"/>
        </w:rPr>
        <w:t>和</w:t>
      </w:r>
      <w:r>
        <w:rPr>
          <w:spacing w:val="-41"/>
          <w:sz w:val="20"/>
          <w:szCs w:val="20"/>
        </w:rPr>
        <w:t xml:space="preserve"> </w:t>
      </w:r>
      <w:r>
        <w:rPr>
          <w:rFonts w:ascii="Times New Roman" w:hAnsi="Times New Roman" w:eastAsia="Times New Roman" w:cs="Times New Roman"/>
          <w:sz w:val="20"/>
          <w:szCs w:val="20"/>
        </w:rPr>
        <w:t>SaaS</w:t>
      </w:r>
      <w:r>
        <w:rPr>
          <w:rFonts w:ascii="Times New Roman" w:hAnsi="Times New Roman" w:eastAsia="Times New Roman" w:cs="Times New Roman"/>
          <w:spacing w:val="7"/>
          <w:sz w:val="20"/>
          <w:szCs w:val="20"/>
        </w:rPr>
        <w:t xml:space="preserve"> </w:t>
      </w:r>
      <w:r>
        <w:rPr>
          <w:spacing w:val="7"/>
          <w:sz w:val="20"/>
          <w:szCs w:val="20"/>
        </w:rPr>
        <w:t>服务资</w:t>
      </w:r>
      <w:r>
        <w:rPr>
          <w:spacing w:val="6"/>
          <w:sz w:val="20"/>
          <w:szCs w:val="20"/>
        </w:rPr>
        <w:t>源的各种指标数据，</w:t>
      </w:r>
      <w:r>
        <w:rPr>
          <w:sz w:val="20"/>
          <w:szCs w:val="20"/>
        </w:rPr>
        <w:t xml:space="preserve"> </w:t>
      </w:r>
      <w:r>
        <w:rPr>
          <w:spacing w:val="4"/>
          <w:sz w:val="20"/>
          <w:szCs w:val="20"/>
        </w:rPr>
        <w:t>依据一定的计费算法来计算出所提供服务资源的费用，或者预测服务可能产生</w:t>
      </w:r>
      <w:r>
        <w:rPr>
          <w:spacing w:val="3"/>
          <w:sz w:val="20"/>
          <w:szCs w:val="20"/>
        </w:rPr>
        <w:t>的费用，并将这</w:t>
      </w:r>
      <w:r>
        <w:rPr>
          <w:sz w:val="20"/>
          <w:szCs w:val="20"/>
        </w:rPr>
        <w:t xml:space="preserve"> </w:t>
      </w:r>
      <w:r>
        <w:rPr>
          <w:spacing w:val="4"/>
          <w:sz w:val="20"/>
          <w:szCs w:val="20"/>
        </w:rPr>
        <w:t>些信息展示给用户和云服务的提供商的平台。同时，它还应结合第三方平台</w:t>
      </w:r>
      <w:r>
        <w:rPr>
          <w:spacing w:val="3"/>
          <w:sz w:val="20"/>
          <w:szCs w:val="20"/>
        </w:rPr>
        <w:t>，提供便捷的支付</w:t>
      </w:r>
      <w:r>
        <w:rPr>
          <w:sz w:val="20"/>
          <w:szCs w:val="20"/>
        </w:rPr>
        <w:t xml:space="preserve"> </w:t>
      </w:r>
      <w:r>
        <w:rPr>
          <w:spacing w:val="13"/>
          <w:sz w:val="17"/>
          <w:szCs w:val="17"/>
        </w:rPr>
        <w:t>手段</w:t>
      </w:r>
      <w:r>
        <w:rPr>
          <w:spacing w:val="-36"/>
          <w:sz w:val="17"/>
          <w:szCs w:val="17"/>
        </w:rPr>
        <w:t xml:space="preserve"> </w:t>
      </w:r>
      <w:r>
        <w:rPr>
          <w:spacing w:val="13"/>
          <w:sz w:val="17"/>
          <w:szCs w:val="17"/>
        </w:rPr>
        <w:t>。</w:t>
      </w:r>
    </w:p>
    <w:p w14:paraId="34DDA1C1">
      <w:pPr>
        <w:pStyle w:val="2"/>
        <w:spacing w:before="181" w:line="219" w:lineRule="auto"/>
        <w:ind w:left="349"/>
        <w:rPr>
          <w:sz w:val="25"/>
          <w:szCs w:val="25"/>
        </w:rPr>
      </w:pPr>
      <w:r>
        <w:rPr>
          <w:rFonts w:ascii="Times New Roman" w:hAnsi="Times New Roman" w:eastAsia="Times New Roman" w:cs="Times New Roman"/>
          <w:b/>
          <w:bCs/>
          <w:color w:val="1992D8"/>
          <w:spacing w:val="-2"/>
          <w:sz w:val="25"/>
          <w:szCs w:val="25"/>
        </w:rPr>
        <w:t>4.2.7</w:t>
      </w:r>
      <w:r>
        <w:rPr>
          <w:rFonts w:ascii="Times New Roman" w:hAnsi="Times New Roman" w:eastAsia="Times New Roman" w:cs="Times New Roman"/>
          <w:b/>
          <w:bCs/>
          <w:color w:val="1992D8"/>
          <w:spacing w:val="7"/>
          <w:sz w:val="25"/>
          <w:szCs w:val="25"/>
        </w:rPr>
        <w:t xml:space="preserve">   </w:t>
      </w:r>
      <w:r>
        <w:rPr>
          <w:rFonts w:ascii="Times New Roman" w:hAnsi="Times New Roman" w:eastAsia="Times New Roman" w:cs="Times New Roman"/>
          <w:b/>
          <w:bCs/>
          <w:color w:val="1992D8"/>
          <w:spacing w:val="-2"/>
          <w:sz w:val="25"/>
          <w:szCs w:val="25"/>
        </w:rPr>
        <w:t>PaaS</w:t>
      </w:r>
      <w:r>
        <w:rPr>
          <w:b/>
          <w:bCs/>
          <w:color w:val="1992D8"/>
          <w:spacing w:val="-2"/>
          <w:sz w:val="25"/>
          <w:szCs w:val="25"/>
        </w:rPr>
        <w:t>模式</w:t>
      </w:r>
    </w:p>
    <w:p w14:paraId="766DABD8">
      <w:pPr>
        <w:pStyle w:val="2"/>
        <w:spacing w:before="272" w:line="223" w:lineRule="auto"/>
        <w:ind w:left="742"/>
        <w:rPr>
          <w:rFonts w:ascii="黑体" w:hAnsi="黑体" w:eastAsia="黑体" w:cs="黑体"/>
          <w:sz w:val="20"/>
          <w:szCs w:val="20"/>
        </w:rPr>
      </w:pPr>
      <w:r>
        <w:rPr>
          <w:b/>
          <w:bCs/>
          <w:color w:val="0091DA"/>
          <w:spacing w:val="-2"/>
          <w:sz w:val="20"/>
          <w:szCs w:val="20"/>
        </w:rPr>
        <w:t>1.</w:t>
      </w:r>
      <w:r>
        <w:rPr>
          <w:rFonts w:ascii="黑体" w:hAnsi="黑体" w:eastAsia="黑体" w:cs="黑体"/>
          <w:b/>
          <w:bCs/>
          <w:color w:val="0091DA"/>
          <w:spacing w:val="-2"/>
          <w:sz w:val="20"/>
          <w:szCs w:val="20"/>
        </w:rPr>
        <w:t>中间件</w:t>
      </w:r>
    </w:p>
    <w:p w14:paraId="564B0590">
      <w:pPr>
        <w:pStyle w:val="2"/>
        <w:spacing w:before="128" w:line="278" w:lineRule="auto"/>
        <w:ind w:left="349" w:right="91" w:firstLine="389"/>
        <w:jc w:val="both"/>
        <w:rPr>
          <w:sz w:val="20"/>
          <w:szCs w:val="20"/>
        </w:rPr>
      </w:pPr>
      <w:r>
        <w:rPr>
          <w:spacing w:val="3"/>
          <w:sz w:val="20"/>
          <w:szCs w:val="20"/>
        </w:rPr>
        <w:t>中间件是一类连接软件和应用的计算机软件或服务，它通过网络进行交互。该技术所提供</w:t>
      </w:r>
      <w:r>
        <w:rPr>
          <w:sz w:val="20"/>
          <w:szCs w:val="20"/>
        </w:rPr>
        <w:t xml:space="preserve"> </w:t>
      </w:r>
      <w:r>
        <w:rPr>
          <w:spacing w:val="3"/>
          <w:sz w:val="20"/>
          <w:szCs w:val="20"/>
        </w:rPr>
        <w:t>的互操作性，推动了分布式体系架构的演进，该架构通常</w:t>
      </w:r>
      <w:r>
        <w:rPr>
          <w:spacing w:val="2"/>
          <w:sz w:val="20"/>
          <w:szCs w:val="20"/>
        </w:rPr>
        <w:t>用于支持并简化那些复杂的分布式应</w:t>
      </w:r>
      <w:r>
        <w:rPr>
          <w:sz w:val="20"/>
          <w:szCs w:val="20"/>
        </w:rPr>
        <w:t xml:space="preserve"> </w:t>
      </w:r>
      <w:r>
        <w:rPr>
          <w:spacing w:val="-1"/>
          <w:sz w:val="20"/>
          <w:szCs w:val="20"/>
        </w:rPr>
        <w:t>用程序，包括</w:t>
      </w:r>
      <w:r>
        <w:rPr>
          <w:rFonts w:ascii="Times New Roman" w:hAnsi="Times New Roman" w:eastAsia="Times New Roman" w:cs="Times New Roman"/>
          <w:spacing w:val="-1"/>
          <w:sz w:val="20"/>
          <w:szCs w:val="20"/>
        </w:rPr>
        <w:t>Web</w:t>
      </w:r>
      <w:r>
        <w:rPr>
          <w:rFonts w:ascii="Times New Roman" w:hAnsi="Times New Roman" w:eastAsia="Times New Roman" w:cs="Times New Roman"/>
          <w:spacing w:val="-8"/>
          <w:sz w:val="20"/>
          <w:szCs w:val="20"/>
        </w:rPr>
        <w:t xml:space="preserve"> </w:t>
      </w:r>
      <w:r>
        <w:rPr>
          <w:spacing w:val="-1"/>
          <w:sz w:val="20"/>
          <w:szCs w:val="20"/>
        </w:rPr>
        <w:t>服务器、事务监控器和消息队列软件。</w:t>
      </w:r>
    </w:p>
    <w:p w14:paraId="2A9DE2FC">
      <w:pPr>
        <w:spacing w:before="106" w:line="225" w:lineRule="auto"/>
        <w:ind w:left="739"/>
        <w:rPr>
          <w:rFonts w:ascii="楷体" w:hAnsi="楷体" w:eastAsia="楷体" w:cs="楷体"/>
          <w:sz w:val="20"/>
          <w:szCs w:val="20"/>
        </w:rPr>
      </w:pPr>
      <w:r>
        <w:rPr>
          <w:rFonts w:ascii="楷体" w:hAnsi="楷体" w:eastAsia="楷体" w:cs="楷体"/>
          <w:spacing w:val="9"/>
          <w:sz w:val="20"/>
          <w:szCs w:val="20"/>
        </w:rPr>
        <w:t>1)中间件的定义</w:t>
      </w:r>
    </w:p>
    <w:p w14:paraId="60EDA3F8">
      <w:pPr>
        <w:pStyle w:val="2"/>
        <w:spacing w:before="77" w:line="273" w:lineRule="auto"/>
        <w:ind w:left="349" w:right="112" w:firstLine="389"/>
        <w:rPr>
          <w:sz w:val="20"/>
          <w:szCs w:val="20"/>
        </w:rPr>
      </w:pPr>
      <w:r>
        <w:rPr>
          <w:spacing w:val="3"/>
          <w:sz w:val="20"/>
          <w:szCs w:val="20"/>
        </w:rPr>
        <w:t>中间件是一种独立的系统软件或服务程序，</w:t>
      </w:r>
      <w:r>
        <w:rPr>
          <w:spacing w:val="2"/>
          <w:sz w:val="20"/>
          <w:szCs w:val="20"/>
        </w:rPr>
        <w:t>分布式应用软件借助这种软件在不同的技术之</w:t>
      </w:r>
      <w:r>
        <w:rPr>
          <w:sz w:val="20"/>
          <w:szCs w:val="20"/>
        </w:rPr>
        <w:t xml:space="preserve"> </w:t>
      </w:r>
      <w:r>
        <w:rPr>
          <w:spacing w:val="-1"/>
          <w:sz w:val="20"/>
          <w:szCs w:val="20"/>
        </w:rPr>
        <w:t>间共享资源，中间件位于客户机服务器的操作系统</w:t>
      </w:r>
      <w:r>
        <w:rPr>
          <w:spacing w:val="-2"/>
          <w:sz w:val="20"/>
          <w:szCs w:val="20"/>
        </w:rPr>
        <w:t>之上，管理计算资源和网络通信。</w:t>
      </w:r>
    </w:p>
    <w:p w14:paraId="7C0D66C9">
      <w:pPr>
        <w:spacing w:before="108" w:line="225" w:lineRule="auto"/>
        <w:ind w:left="739"/>
        <w:rPr>
          <w:rFonts w:ascii="楷体" w:hAnsi="楷体" w:eastAsia="楷体" w:cs="楷体"/>
          <w:sz w:val="20"/>
          <w:szCs w:val="20"/>
        </w:rPr>
      </w:pPr>
      <w:r>
        <w:rPr>
          <w:rFonts w:ascii="楷体" w:hAnsi="楷体" w:eastAsia="楷体" w:cs="楷体"/>
          <w:spacing w:val="10"/>
          <w:sz w:val="20"/>
          <w:szCs w:val="20"/>
        </w:rPr>
        <w:t>2)中间件的基本功能</w:t>
      </w:r>
    </w:p>
    <w:p w14:paraId="1D2E02AA">
      <w:pPr>
        <w:pStyle w:val="2"/>
        <w:spacing w:before="58" w:line="281" w:lineRule="auto"/>
        <w:ind w:left="349" w:right="108" w:firstLine="389"/>
        <w:rPr>
          <w:sz w:val="20"/>
          <w:szCs w:val="20"/>
        </w:rPr>
      </w:pPr>
      <w:r>
        <w:rPr>
          <w:spacing w:val="3"/>
          <w:sz w:val="20"/>
          <w:szCs w:val="20"/>
        </w:rPr>
        <w:t>中间件是独立的系统级软件，连接操作系统层和应</w:t>
      </w:r>
      <w:r>
        <w:rPr>
          <w:spacing w:val="2"/>
          <w:sz w:val="20"/>
          <w:szCs w:val="20"/>
        </w:rPr>
        <w:t>用程序层，屏蔽具体操作的细节，为不</w:t>
      </w:r>
      <w:r>
        <w:rPr>
          <w:sz w:val="20"/>
          <w:szCs w:val="20"/>
        </w:rPr>
        <w:t xml:space="preserve"> </w:t>
      </w:r>
      <w:r>
        <w:rPr>
          <w:spacing w:val="-2"/>
          <w:sz w:val="20"/>
          <w:szCs w:val="20"/>
        </w:rPr>
        <w:t>同操作系统提供应用的接口标准化、协议统一化。中间件一般提供如下功能：</w:t>
      </w:r>
    </w:p>
    <w:p w14:paraId="05041346">
      <w:pPr>
        <w:pStyle w:val="2"/>
        <w:spacing w:before="30" w:line="258" w:lineRule="auto"/>
        <w:ind w:left="1029" w:right="86" w:hanging="290"/>
        <w:rPr>
          <w:sz w:val="20"/>
          <w:szCs w:val="20"/>
        </w:rPr>
      </w:pPr>
      <w:r>
        <w:rPr>
          <w:spacing w:val="3"/>
          <w:sz w:val="20"/>
          <w:szCs w:val="20"/>
        </w:rPr>
        <w:t>●通信支持：中间件为其所支持的应用软件提供平台化的运行环境，该环境屏蔽底层通信</w:t>
      </w:r>
      <w:r>
        <w:rPr>
          <w:spacing w:val="5"/>
          <w:sz w:val="20"/>
          <w:szCs w:val="20"/>
        </w:rPr>
        <w:t xml:space="preserve"> </w:t>
      </w:r>
      <w:r>
        <w:rPr>
          <w:spacing w:val="-3"/>
          <w:sz w:val="20"/>
          <w:szCs w:val="20"/>
        </w:rPr>
        <w:t>之间的接口差异，实现互操作。</w:t>
      </w:r>
    </w:p>
    <w:p w14:paraId="0A47B5B3">
      <w:pPr>
        <w:pStyle w:val="2"/>
        <w:spacing w:before="80" w:line="288" w:lineRule="auto"/>
        <w:ind w:left="1029" w:right="62" w:hanging="290"/>
        <w:rPr>
          <w:sz w:val="17"/>
          <w:szCs w:val="17"/>
        </w:rPr>
      </w:pPr>
      <w:r>
        <w:rPr>
          <w:spacing w:val="3"/>
          <w:sz w:val="20"/>
          <w:szCs w:val="20"/>
        </w:rPr>
        <w:t>●应用支持：中间件的目的是服务上层应用，提供应用层不同服务之间的互操作机制。它</w:t>
      </w:r>
      <w:r>
        <w:rPr>
          <w:spacing w:val="6"/>
          <w:sz w:val="20"/>
          <w:szCs w:val="20"/>
        </w:rPr>
        <w:t xml:space="preserve"> </w:t>
      </w:r>
      <w:r>
        <w:rPr>
          <w:sz w:val="20"/>
          <w:szCs w:val="20"/>
        </w:rPr>
        <w:t>为上层应用开发提供统一的平台和运行环境，并封装不同操作系统，向应用提供统一的</w:t>
      </w:r>
      <w:r>
        <w:rPr>
          <w:spacing w:val="14"/>
          <w:sz w:val="20"/>
          <w:szCs w:val="20"/>
        </w:rPr>
        <w:t xml:space="preserve"> </w:t>
      </w:r>
      <w:r>
        <w:rPr>
          <w:spacing w:val="6"/>
          <w:sz w:val="20"/>
          <w:szCs w:val="20"/>
        </w:rPr>
        <w:t>标准接口，使应用的开发和运行与操作系统无关，实现其独立性。中间件的松耦合结</w:t>
      </w:r>
      <w:r>
        <w:rPr>
          <w:spacing w:val="8"/>
          <w:sz w:val="20"/>
          <w:szCs w:val="20"/>
        </w:rPr>
        <w:t xml:space="preserve"> </w:t>
      </w:r>
      <w:r>
        <w:rPr>
          <w:spacing w:val="1"/>
          <w:sz w:val="20"/>
          <w:szCs w:val="20"/>
        </w:rPr>
        <w:t>构、标准的封装服务接口，有效的互操作机制，都能给应用结构化和开发方法提供有力</w:t>
      </w:r>
      <w:r>
        <w:rPr>
          <w:spacing w:val="18"/>
          <w:sz w:val="20"/>
          <w:szCs w:val="20"/>
        </w:rPr>
        <w:t xml:space="preserve"> </w:t>
      </w:r>
      <w:r>
        <w:rPr>
          <w:spacing w:val="16"/>
          <w:sz w:val="17"/>
          <w:szCs w:val="17"/>
        </w:rPr>
        <w:t>的支持</w:t>
      </w:r>
      <w:r>
        <w:rPr>
          <w:spacing w:val="-41"/>
          <w:sz w:val="17"/>
          <w:szCs w:val="17"/>
        </w:rPr>
        <w:t xml:space="preserve"> </w:t>
      </w:r>
      <w:r>
        <w:rPr>
          <w:spacing w:val="16"/>
          <w:sz w:val="17"/>
          <w:szCs w:val="17"/>
        </w:rPr>
        <w:t>。</w:t>
      </w:r>
    </w:p>
    <w:p w14:paraId="4E1A3EB2">
      <w:pPr>
        <w:pStyle w:val="2"/>
        <w:spacing w:before="98" w:line="270" w:lineRule="auto"/>
        <w:ind w:left="1029" w:right="89" w:hanging="290"/>
        <w:rPr>
          <w:sz w:val="20"/>
          <w:szCs w:val="20"/>
        </w:rPr>
      </w:pPr>
      <w:r>
        <w:rPr>
          <w:spacing w:val="3"/>
          <w:sz w:val="20"/>
          <w:szCs w:val="20"/>
        </w:rPr>
        <w:t>●公共服务：公共服务是对应用软件中的共性功能或约束的提取，将这些共性功能或约束</w:t>
      </w:r>
      <w:r>
        <w:rPr>
          <w:spacing w:val="2"/>
          <w:sz w:val="20"/>
          <w:szCs w:val="20"/>
        </w:rPr>
        <w:t xml:space="preserve"> </w:t>
      </w:r>
      <w:r>
        <w:rPr>
          <w:spacing w:val="1"/>
          <w:sz w:val="20"/>
          <w:szCs w:val="20"/>
        </w:rPr>
        <w:t>分类实现，作为公共服务提供给应用程序使用。通过提供标准、统</w:t>
      </w:r>
      <w:r>
        <w:rPr>
          <w:sz w:val="20"/>
          <w:szCs w:val="20"/>
        </w:rPr>
        <w:t xml:space="preserve">一的公共服务，可减 </w:t>
      </w:r>
      <w:r>
        <w:rPr>
          <w:spacing w:val="-1"/>
          <w:sz w:val="20"/>
          <w:szCs w:val="20"/>
        </w:rPr>
        <w:t>少上层应用的开发工作量，缩短应用的开发时间，并有助于提高应用软件的质</w:t>
      </w:r>
      <w:r>
        <w:rPr>
          <w:spacing w:val="-2"/>
          <w:sz w:val="20"/>
          <w:szCs w:val="20"/>
        </w:rPr>
        <w:t>量。</w:t>
      </w:r>
    </w:p>
    <w:p w14:paraId="349DD6CB">
      <w:pPr>
        <w:spacing w:before="141" w:line="225" w:lineRule="auto"/>
        <w:ind w:left="739"/>
        <w:rPr>
          <w:rFonts w:ascii="楷体" w:hAnsi="楷体" w:eastAsia="楷体" w:cs="楷体"/>
          <w:sz w:val="20"/>
          <w:szCs w:val="20"/>
        </w:rPr>
      </w:pPr>
      <w:r>
        <w:rPr>
          <w:rFonts w:ascii="楷体" w:hAnsi="楷体" w:eastAsia="楷体" w:cs="楷体"/>
          <w:spacing w:val="9"/>
          <w:sz w:val="20"/>
          <w:szCs w:val="20"/>
        </w:rPr>
        <w:t>3)中间件的分类</w:t>
      </w:r>
    </w:p>
    <w:p w14:paraId="3C83BED6">
      <w:pPr>
        <w:pStyle w:val="2"/>
        <w:spacing w:before="68" w:line="219" w:lineRule="auto"/>
        <w:ind w:left="739"/>
        <w:rPr>
          <w:sz w:val="20"/>
          <w:szCs w:val="20"/>
        </w:rPr>
      </w:pPr>
      <w:r>
        <w:rPr>
          <w:spacing w:val="-7"/>
          <w:sz w:val="20"/>
          <w:szCs w:val="20"/>
        </w:rPr>
        <w:t>中间件可分为以下几类：</w:t>
      </w:r>
    </w:p>
    <w:p w14:paraId="096F4C4A">
      <w:pPr>
        <w:pStyle w:val="2"/>
        <w:spacing w:before="74" w:line="270" w:lineRule="auto"/>
        <w:ind w:left="1029" w:right="92" w:hanging="290"/>
        <w:rPr>
          <w:sz w:val="20"/>
          <w:szCs w:val="20"/>
        </w:rPr>
      </w:pPr>
      <w:r>
        <w:rPr>
          <w:spacing w:val="8"/>
          <w:sz w:val="20"/>
          <w:szCs w:val="20"/>
        </w:rPr>
        <w:t>●事务式中间件：事务式中间件又称事务处理管理程序，是当前使用最广泛的中间件之</w:t>
      </w:r>
      <w:r>
        <w:rPr>
          <w:spacing w:val="12"/>
          <w:sz w:val="20"/>
          <w:szCs w:val="20"/>
        </w:rPr>
        <w:t xml:space="preserve"> </w:t>
      </w:r>
      <w:r>
        <w:rPr>
          <w:spacing w:val="1"/>
          <w:sz w:val="20"/>
          <w:szCs w:val="20"/>
        </w:rPr>
        <w:t>一，其主要功能是提供联机事务处理所需要</w:t>
      </w:r>
      <w:r>
        <w:rPr>
          <w:sz w:val="20"/>
          <w:szCs w:val="20"/>
        </w:rPr>
        <w:t xml:space="preserve">的通信、并发访问控制、事务控制、资源管 </w:t>
      </w:r>
      <w:r>
        <w:rPr>
          <w:spacing w:val="-2"/>
          <w:sz w:val="20"/>
          <w:szCs w:val="20"/>
        </w:rPr>
        <w:t>理、安全管理、负载平衡、故障恢复和其他必要的服务。</w:t>
      </w:r>
    </w:p>
    <w:p w14:paraId="513F4A93">
      <w:pPr>
        <w:pStyle w:val="2"/>
        <w:spacing w:before="71" w:line="270" w:lineRule="auto"/>
        <w:ind w:left="1029" w:right="72" w:hanging="290"/>
        <w:rPr>
          <w:sz w:val="20"/>
          <w:szCs w:val="20"/>
        </w:rPr>
      </w:pPr>
      <w:r>
        <w:rPr>
          <w:spacing w:val="3"/>
          <w:sz w:val="20"/>
          <w:szCs w:val="20"/>
        </w:rPr>
        <w:t>●过程式中间件：过程式中间件又称远程过程调用中间件。过程式中间件一般从逻辑上分</w:t>
      </w:r>
      <w:r>
        <w:rPr>
          <w:sz w:val="20"/>
          <w:szCs w:val="20"/>
        </w:rPr>
        <w:t xml:space="preserve"> </w:t>
      </w:r>
      <w:r>
        <w:rPr>
          <w:spacing w:val="1"/>
          <w:sz w:val="20"/>
          <w:szCs w:val="20"/>
        </w:rPr>
        <w:t>为两部分，即客户和服务器。客户和服务器是一个逻辑概念，既可以运行在同一计算机</w:t>
      </w:r>
      <w:r>
        <w:rPr>
          <w:spacing w:val="8"/>
          <w:sz w:val="20"/>
          <w:szCs w:val="20"/>
        </w:rPr>
        <w:t xml:space="preserve"> </w:t>
      </w:r>
      <w:r>
        <w:rPr>
          <w:spacing w:val="1"/>
          <w:sz w:val="20"/>
          <w:szCs w:val="20"/>
        </w:rPr>
        <w:t>上，也可以运行在不同的计算机上，甚至客户和服务器底层的操</w:t>
      </w:r>
      <w:r>
        <w:rPr>
          <w:sz w:val="20"/>
          <w:szCs w:val="20"/>
        </w:rPr>
        <w:t>作系统也可以不同。客</w:t>
      </w:r>
    </w:p>
    <w:p w14:paraId="6FFEEBE2">
      <w:pPr>
        <w:spacing w:line="270" w:lineRule="auto"/>
        <w:rPr>
          <w:sz w:val="20"/>
          <w:szCs w:val="20"/>
        </w:rPr>
        <w:sectPr>
          <w:pgSz w:w="10300" w:h="13330"/>
          <w:pgMar w:top="400" w:right="1009" w:bottom="400" w:left="540" w:header="0" w:footer="0" w:gutter="0"/>
          <w:cols w:space="720" w:num="1"/>
        </w:sectPr>
      </w:pPr>
    </w:p>
    <w:p w14:paraId="1675E314">
      <w:pPr>
        <w:pStyle w:val="2"/>
        <w:spacing w:before="47" w:line="219" w:lineRule="auto"/>
        <w:jc w:val="right"/>
        <w:rPr>
          <w:rFonts w:ascii="Times New Roman" w:hAnsi="Times New Roman" w:eastAsia="Times New Roman" w:cs="Times New Roman"/>
          <w:sz w:val="17"/>
          <w:szCs w:val="17"/>
        </w:rPr>
      </w:pPr>
      <w:bookmarkStart w:id="551" w:name="bookmark537"/>
      <w:bookmarkEnd w:id="551"/>
      <w:r>
        <w:rPr>
          <w:spacing w:val="-2"/>
          <w:sz w:val="20"/>
          <w:szCs w:val="20"/>
        </w:rPr>
        <w:t>第4章 信息资源系统</w:t>
      </w:r>
      <w:r>
        <w:rPr>
          <w:spacing w:val="8"/>
          <w:sz w:val="20"/>
          <w:szCs w:val="20"/>
        </w:rPr>
        <w:t xml:space="preserve">      </w:t>
      </w:r>
      <w:r>
        <w:rPr>
          <w:rFonts w:ascii="Times New Roman" w:hAnsi="Times New Roman" w:eastAsia="Times New Roman" w:cs="Times New Roman"/>
          <w:b/>
          <w:bCs/>
          <w:spacing w:val="-2"/>
          <w:sz w:val="17"/>
          <w:szCs w:val="17"/>
        </w:rPr>
        <w:t>141</w:t>
      </w:r>
    </w:p>
    <w:p w14:paraId="2B97C8A1">
      <w:pPr>
        <w:spacing w:line="295" w:lineRule="auto"/>
        <w:rPr>
          <w:rFonts w:ascii="Arial"/>
          <w:sz w:val="21"/>
        </w:rPr>
      </w:pPr>
    </w:p>
    <w:p w14:paraId="6B7DBF70">
      <w:pPr>
        <w:pStyle w:val="2"/>
        <w:spacing w:before="65" w:line="219" w:lineRule="auto"/>
        <w:ind w:left="670"/>
        <w:rPr>
          <w:sz w:val="20"/>
          <w:szCs w:val="20"/>
        </w:rPr>
      </w:pPr>
      <w:r>
        <w:rPr>
          <w:spacing w:val="-1"/>
          <w:sz w:val="20"/>
          <w:szCs w:val="20"/>
        </w:rPr>
        <w:t>户和服务器之间的通信可以使用同步通信，也可以采用线程</w:t>
      </w:r>
      <w:r>
        <w:rPr>
          <w:spacing w:val="-2"/>
          <w:sz w:val="20"/>
          <w:szCs w:val="20"/>
        </w:rPr>
        <w:t>式异步调用。</w:t>
      </w:r>
    </w:p>
    <w:p w14:paraId="22A68ED7">
      <w:pPr>
        <w:pStyle w:val="2"/>
        <w:spacing w:before="81" w:line="283" w:lineRule="auto"/>
        <w:ind w:left="670" w:right="284" w:hanging="270"/>
        <w:rPr>
          <w:sz w:val="20"/>
          <w:szCs w:val="20"/>
        </w:rPr>
      </w:pPr>
      <w:r>
        <w:rPr>
          <w:spacing w:val="8"/>
          <w:sz w:val="20"/>
          <w:szCs w:val="20"/>
        </w:rPr>
        <w:t>●面向消息的中间件：面向消息的中间件(简称“消</w:t>
      </w:r>
      <w:r>
        <w:rPr>
          <w:spacing w:val="7"/>
          <w:sz w:val="20"/>
          <w:szCs w:val="20"/>
        </w:rPr>
        <w:t>息中间件”)是一类以消息为载体进</w:t>
      </w:r>
      <w:r>
        <w:rPr>
          <w:sz w:val="20"/>
          <w:szCs w:val="20"/>
        </w:rPr>
        <w:t xml:space="preserve"> </w:t>
      </w:r>
      <w:r>
        <w:rPr>
          <w:spacing w:val="1"/>
          <w:sz w:val="20"/>
          <w:szCs w:val="20"/>
        </w:rPr>
        <w:t>行通信的中间件，利用高效可靠的消息机制来</w:t>
      </w:r>
      <w:r>
        <w:rPr>
          <w:sz w:val="20"/>
          <w:szCs w:val="20"/>
        </w:rPr>
        <w:t xml:space="preserve">实现不同应用间大量的数据交换。消息中 </w:t>
      </w:r>
      <w:r>
        <w:rPr>
          <w:spacing w:val="2"/>
          <w:sz w:val="20"/>
          <w:szCs w:val="20"/>
        </w:rPr>
        <w:t>间件的通信模型有两类，即消息队列和消息传</w:t>
      </w:r>
      <w:r>
        <w:rPr>
          <w:spacing w:val="1"/>
          <w:sz w:val="20"/>
          <w:szCs w:val="20"/>
        </w:rPr>
        <w:t>递。通过这两种通信模型，不同应用之间</w:t>
      </w:r>
      <w:r>
        <w:rPr>
          <w:sz w:val="20"/>
          <w:szCs w:val="20"/>
        </w:rPr>
        <w:t xml:space="preserve"> </w:t>
      </w:r>
      <w:r>
        <w:rPr>
          <w:spacing w:val="1"/>
          <w:sz w:val="20"/>
          <w:szCs w:val="20"/>
        </w:rPr>
        <w:t>的通信和网络的复杂性可实现脱离，摆脱对不同通信协议的依赖，可以在复杂的网络环</w:t>
      </w:r>
      <w:r>
        <w:rPr>
          <w:spacing w:val="10"/>
          <w:sz w:val="20"/>
          <w:szCs w:val="20"/>
        </w:rPr>
        <w:t xml:space="preserve"> </w:t>
      </w:r>
      <w:r>
        <w:rPr>
          <w:spacing w:val="1"/>
          <w:sz w:val="20"/>
          <w:szCs w:val="20"/>
        </w:rPr>
        <w:t>境中高可靠、高效率地实现安全的异步通信。消息中间件的非直接连接，支持多种通信</w:t>
      </w:r>
      <w:r>
        <w:rPr>
          <w:spacing w:val="14"/>
          <w:sz w:val="20"/>
          <w:szCs w:val="20"/>
        </w:rPr>
        <w:t xml:space="preserve"> </w:t>
      </w:r>
      <w:r>
        <w:rPr>
          <w:spacing w:val="-2"/>
          <w:sz w:val="20"/>
          <w:szCs w:val="20"/>
        </w:rPr>
        <w:t>规程，达到多个系统之间的数据共享和同步。消息中间件是一类常用的中间件。</w:t>
      </w:r>
    </w:p>
    <w:p w14:paraId="1AA945D9">
      <w:pPr>
        <w:pStyle w:val="2"/>
        <w:spacing w:before="120" w:line="283" w:lineRule="auto"/>
        <w:ind w:left="670" w:right="287" w:hanging="270"/>
        <w:rPr>
          <w:sz w:val="20"/>
          <w:szCs w:val="20"/>
        </w:rPr>
      </w:pPr>
      <w:r>
        <w:rPr>
          <w:spacing w:val="3"/>
          <w:sz w:val="20"/>
          <w:szCs w:val="20"/>
        </w:rPr>
        <w:t>●面向对象中间件：面向对象中间件又称分</w:t>
      </w:r>
      <w:r>
        <w:rPr>
          <w:spacing w:val="2"/>
          <w:sz w:val="20"/>
          <w:szCs w:val="20"/>
        </w:rPr>
        <w:t>布对象中间件，是分布式计算技术和面向对象</w:t>
      </w:r>
      <w:r>
        <w:rPr>
          <w:sz w:val="20"/>
          <w:szCs w:val="20"/>
        </w:rPr>
        <w:t xml:space="preserve"> </w:t>
      </w:r>
      <w:r>
        <w:rPr>
          <w:spacing w:val="1"/>
          <w:sz w:val="20"/>
          <w:szCs w:val="20"/>
        </w:rPr>
        <w:t>技术发展的结合，简称对象中间件。分布对象模型是面向对象模型在分布异构环境下的</w:t>
      </w:r>
      <w:r>
        <w:rPr>
          <w:spacing w:val="16"/>
          <w:sz w:val="20"/>
          <w:szCs w:val="20"/>
        </w:rPr>
        <w:t xml:space="preserve"> </w:t>
      </w:r>
      <w:r>
        <w:rPr>
          <w:sz w:val="20"/>
          <w:szCs w:val="20"/>
        </w:rPr>
        <w:t>自然拓广。面向对象中间件给应用层提供多种不同形式的通信服务，通过这些服务，上</w:t>
      </w:r>
      <w:r>
        <w:rPr>
          <w:spacing w:val="7"/>
          <w:sz w:val="20"/>
          <w:szCs w:val="20"/>
        </w:rPr>
        <w:t xml:space="preserve"> </w:t>
      </w:r>
      <w:r>
        <w:rPr>
          <w:spacing w:val="6"/>
          <w:sz w:val="20"/>
          <w:szCs w:val="20"/>
        </w:rPr>
        <w:t>层应用对事务处理、分布式数据访问、对象管理等的处理更简单易行。对象管理组织</w:t>
      </w:r>
      <w:r>
        <w:rPr>
          <w:spacing w:val="8"/>
          <w:sz w:val="20"/>
          <w:szCs w:val="20"/>
        </w:rPr>
        <w:t xml:space="preserve"> </w:t>
      </w:r>
      <w:r>
        <w:rPr>
          <w:spacing w:val="1"/>
          <w:sz w:val="20"/>
          <w:szCs w:val="20"/>
        </w:rPr>
        <w:t>(</w:t>
      </w:r>
      <w:r>
        <w:rPr>
          <w:sz w:val="20"/>
          <w:szCs w:val="20"/>
        </w:rPr>
        <w:t>Object</w:t>
      </w:r>
      <w:r>
        <w:rPr>
          <w:spacing w:val="1"/>
          <w:sz w:val="20"/>
          <w:szCs w:val="20"/>
        </w:rPr>
        <w:t xml:space="preserve">  </w:t>
      </w:r>
      <w:r>
        <w:rPr>
          <w:sz w:val="20"/>
          <w:szCs w:val="20"/>
        </w:rPr>
        <w:t>Management</w:t>
      </w:r>
      <w:r>
        <w:rPr>
          <w:spacing w:val="1"/>
          <w:sz w:val="20"/>
          <w:szCs w:val="20"/>
        </w:rPr>
        <w:t xml:space="preserve">   </w:t>
      </w:r>
      <w:r>
        <w:rPr>
          <w:sz w:val="20"/>
          <w:szCs w:val="20"/>
        </w:rPr>
        <w:t>Group</w:t>
      </w:r>
      <w:r>
        <w:rPr>
          <w:spacing w:val="1"/>
          <w:sz w:val="20"/>
          <w:szCs w:val="20"/>
        </w:rPr>
        <w:t>,</w:t>
      </w:r>
      <w:r>
        <w:rPr>
          <w:sz w:val="20"/>
          <w:szCs w:val="20"/>
        </w:rPr>
        <w:t>OMG</w:t>
      </w:r>
      <w:r>
        <w:rPr>
          <w:spacing w:val="1"/>
          <w:sz w:val="20"/>
          <w:szCs w:val="20"/>
        </w:rPr>
        <w:t>)是分布对象技术标准化方面的国际组织，它制定了</w:t>
      </w:r>
      <w:r>
        <w:rPr>
          <w:spacing w:val="15"/>
          <w:sz w:val="20"/>
          <w:szCs w:val="20"/>
        </w:rPr>
        <w:t xml:space="preserve"> </w:t>
      </w:r>
      <w:r>
        <w:rPr>
          <w:rFonts w:ascii="Times New Roman" w:hAnsi="Times New Roman" w:eastAsia="Times New Roman" w:cs="Times New Roman"/>
          <w:spacing w:val="-1"/>
          <w:sz w:val="20"/>
          <w:szCs w:val="20"/>
        </w:rPr>
        <w:t>CORBA</w:t>
      </w:r>
      <w:r>
        <w:rPr>
          <w:rFonts w:ascii="Times New Roman" w:hAnsi="Times New Roman" w:eastAsia="Times New Roman" w:cs="Times New Roman"/>
          <w:spacing w:val="-12"/>
          <w:sz w:val="20"/>
          <w:szCs w:val="20"/>
        </w:rPr>
        <w:t xml:space="preserve"> </w:t>
      </w:r>
      <w:r>
        <w:rPr>
          <w:spacing w:val="-1"/>
          <w:sz w:val="20"/>
          <w:szCs w:val="20"/>
        </w:rPr>
        <w:t>等标准。</w:t>
      </w:r>
    </w:p>
    <w:p w14:paraId="48A64176">
      <w:pPr>
        <w:pStyle w:val="2"/>
        <w:spacing w:before="111" w:line="286" w:lineRule="auto"/>
        <w:ind w:left="670" w:right="294" w:hanging="270"/>
        <w:rPr>
          <w:sz w:val="20"/>
          <w:szCs w:val="20"/>
        </w:rPr>
      </w:pPr>
      <w:r>
        <w:rPr>
          <w:sz w:val="20"/>
          <w:szCs w:val="20"/>
        </w:rPr>
        <w:t>●</w:t>
      </w:r>
      <w:r>
        <w:rPr>
          <w:spacing w:val="87"/>
          <w:sz w:val="20"/>
          <w:szCs w:val="20"/>
        </w:rPr>
        <w:t xml:space="preserve"> </w:t>
      </w:r>
      <w:r>
        <w:rPr>
          <w:sz w:val="20"/>
          <w:szCs w:val="20"/>
        </w:rPr>
        <w:t>Web应用服务器：Web</w:t>
      </w:r>
      <w:r>
        <w:rPr>
          <w:spacing w:val="31"/>
          <w:sz w:val="20"/>
          <w:szCs w:val="20"/>
        </w:rPr>
        <w:t xml:space="preserve"> </w:t>
      </w:r>
      <w:r>
        <w:rPr>
          <w:sz w:val="20"/>
          <w:szCs w:val="20"/>
        </w:rPr>
        <w:t>应用服务器是Web 服务器和应用服务器相结合的产物。应用服务 器中间件可以说是软件的基础设施，利用构件化技术将应用软件整合到一个确定的协同</w:t>
      </w:r>
      <w:r>
        <w:rPr>
          <w:spacing w:val="17"/>
          <w:sz w:val="20"/>
          <w:szCs w:val="20"/>
        </w:rPr>
        <w:t xml:space="preserve"> </w:t>
      </w:r>
      <w:r>
        <w:rPr>
          <w:spacing w:val="1"/>
          <w:sz w:val="20"/>
          <w:szCs w:val="20"/>
        </w:rPr>
        <w:t>工作环境中，并提供多种通信机制、事务处理能力及应用的开发管理</w:t>
      </w:r>
      <w:r>
        <w:rPr>
          <w:sz w:val="20"/>
          <w:szCs w:val="20"/>
        </w:rPr>
        <w:t>功能。由于直接支 持三层或多层应用系统的开发，应用服务器受到了广大用户的欢迎，是目前中间件市场</w:t>
      </w:r>
      <w:r>
        <w:rPr>
          <w:spacing w:val="11"/>
          <w:sz w:val="20"/>
          <w:szCs w:val="20"/>
        </w:rPr>
        <w:t xml:space="preserve"> </w:t>
      </w:r>
      <w:r>
        <w:rPr>
          <w:spacing w:val="-2"/>
          <w:sz w:val="20"/>
          <w:szCs w:val="20"/>
        </w:rPr>
        <w:t>上竞争的热点，</w:t>
      </w:r>
      <w:r>
        <w:rPr>
          <w:rFonts w:ascii="Times New Roman" w:hAnsi="Times New Roman" w:eastAsia="Times New Roman" w:cs="Times New Roman"/>
          <w:spacing w:val="-2"/>
          <w:sz w:val="20"/>
          <w:szCs w:val="20"/>
        </w:rPr>
        <w:t>J2EE</w:t>
      </w:r>
      <w:r>
        <w:rPr>
          <w:rFonts w:ascii="Times New Roman" w:hAnsi="Times New Roman" w:eastAsia="Times New Roman" w:cs="Times New Roman"/>
          <w:spacing w:val="13"/>
          <w:sz w:val="20"/>
          <w:szCs w:val="20"/>
        </w:rPr>
        <w:t xml:space="preserve"> </w:t>
      </w:r>
      <w:r>
        <w:rPr>
          <w:spacing w:val="-2"/>
          <w:sz w:val="20"/>
          <w:szCs w:val="20"/>
        </w:rPr>
        <w:t>架构是目前应用服务器</w:t>
      </w:r>
      <w:r>
        <w:rPr>
          <w:spacing w:val="-3"/>
          <w:sz w:val="20"/>
          <w:szCs w:val="20"/>
        </w:rPr>
        <w:t>方面的主流标准。</w:t>
      </w:r>
    </w:p>
    <w:p w14:paraId="569001C9">
      <w:pPr>
        <w:spacing w:before="160" w:line="225" w:lineRule="auto"/>
        <w:ind w:left="400"/>
        <w:rPr>
          <w:rFonts w:ascii="楷体" w:hAnsi="楷体" w:eastAsia="楷体" w:cs="楷体"/>
          <w:sz w:val="20"/>
          <w:szCs w:val="20"/>
        </w:rPr>
      </w:pPr>
      <w:r>
        <w:rPr>
          <w:rFonts w:ascii="楷体" w:hAnsi="楷体" w:eastAsia="楷体" w:cs="楷体"/>
          <w:spacing w:val="12"/>
          <w:sz w:val="20"/>
          <w:szCs w:val="20"/>
        </w:rPr>
        <w:t>4)中间件的应用</w:t>
      </w:r>
    </w:p>
    <w:p w14:paraId="11A68A15">
      <w:pPr>
        <w:pStyle w:val="2"/>
        <w:spacing w:before="57" w:line="282" w:lineRule="auto"/>
        <w:ind w:right="282" w:firstLine="400"/>
        <w:jc w:val="both"/>
        <w:rPr>
          <w:sz w:val="20"/>
          <w:szCs w:val="20"/>
        </w:rPr>
      </w:pPr>
      <w:r>
        <w:rPr>
          <w:spacing w:val="3"/>
          <w:sz w:val="20"/>
          <w:szCs w:val="20"/>
        </w:rPr>
        <w:t>关注中间件与电子商务的整合。互联网是电子商务发展的基础，让商户可以通过它把</w:t>
      </w:r>
      <w:r>
        <w:rPr>
          <w:spacing w:val="2"/>
          <w:sz w:val="20"/>
          <w:szCs w:val="20"/>
        </w:rPr>
        <w:t>商业</w:t>
      </w:r>
      <w:r>
        <w:rPr>
          <w:sz w:val="20"/>
          <w:szCs w:val="20"/>
        </w:rPr>
        <w:t xml:space="preserve"> </w:t>
      </w:r>
      <w:r>
        <w:rPr>
          <w:spacing w:val="4"/>
          <w:sz w:val="20"/>
          <w:szCs w:val="20"/>
        </w:rPr>
        <w:t>扩展到能到达的任意地点。这个过程中离不开大量的信息传输，而电子商务则使用</w:t>
      </w:r>
      <w:r>
        <w:rPr>
          <w:rFonts w:ascii="Times New Roman" w:hAnsi="Times New Roman" w:eastAsia="Times New Roman" w:cs="Times New Roman"/>
          <w:spacing w:val="4"/>
          <w:sz w:val="20"/>
          <w:szCs w:val="20"/>
        </w:rPr>
        <w:t>B/</w:t>
      </w:r>
      <w:r>
        <w:rPr>
          <w:rFonts w:ascii="Times New Roman" w:hAnsi="Times New Roman" w:eastAsia="Times New Roman" w:cs="Times New Roman"/>
          <w:spacing w:val="3"/>
          <w:sz w:val="20"/>
          <w:szCs w:val="20"/>
        </w:rPr>
        <w:t xml:space="preserve">S </w:t>
      </w:r>
      <w:r>
        <w:rPr>
          <w:spacing w:val="3"/>
          <w:sz w:val="20"/>
          <w:szCs w:val="20"/>
        </w:rPr>
        <w:t>技术来</w:t>
      </w:r>
      <w:r>
        <w:rPr>
          <w:sz w:val="20"/>
          <w:szCs w:val="20"/>
        </w:rPr>
        <w:t xml:space="preserve"> </w:t>
      </w:r>
      <w:r>
        <w:rPr>
          <w:spacing w:val="3"/>
          <w:sz w:val="20"/>
          <w:szCs w:val="20"/>
        </w:rPr>
        <w:t>达到大量数据处理的目的。中间件在</w:t>
      </w:r>
      <w:r>
        <w:rPr>
          <w:rFonts w:ascii="Times New Roman" w:hAnsi="Times New Roman" w:eastAsia="Times New Roman" w:cs="Times New Roman"/>
          <w:spacing w:val="3"/>
          <w:sz w:val="20"/>
          <w:szCs w:val="20"/>
        </w:rPr>
        <w:t>B/S</w:t>
      </w:r>
      <w:r>
        <w:rPr>
          <w:rFonts w:ascii="Times New Roman" w:hAnsi="Times New Roman" w:eastAsia="Times New Roman" w:cs="Times New Roman"/>
          <w:spacing w:val="16"/>
          <w:sz w:val="20"/>
          <w:szCs w:val="20"/>
        </w:rPr>
        <w:t xml:space="preserve"> </w:t>
      </w:r>
      <w:r>
        <w:rPr>
          <w:spacing w:val="3"/>
          <w:sz w:val="20"/>
          <w:szCs w:val="20"/>
        </w:rPr>
        <w:t>模式下起到了功能层的作用。当用户从</w:t>
      </w:r>
      <w:r>
        <w:rPr>
          <w:rFonts w:ascii="Times New Roman" w:hAnsi="Times New Roman" w:eastAsia="Times New Roman" w:cs="Times New Roman"/>
          <w:sz w:val="20"/>
          <w:szCs w:val="20"/>
        </w:rPr>
        <w:t>Web</w:t>
      </w:r>
      <w:r>
        <w:rPr>
          <w:rFonts w:ascii="Times New Roman" w:hAnsi="Times New Roman" w:eastAsia="Times New Roman" w:cs="Times New Roman"/>
          <w:spacing w:val="3"/>
          <w:sz w:val="20"/>
          <w:szCs w:val="20"/>
        </w:rPr>
        <w:t xml:space="preserve"> </w:t>
      </w:r>
      <w:r>
        <w:rPr>
          <w:spacing w:val="3"/>
          <w:sz w:val="20"/>
          <w:szCs w:val="20"/>
        </w:rPr>
        <w:t>界面向服</w:t>
      </w:r>
      <w:r>
        <w:rPr>
          <w:sz w:val="20"/>
          <w:szCs w:val="20"/>
        </w:rPr>
        <w:t xml:space="preserve"> </w:t>
      </w:r>
      <w:r>
        <w:rPr>
          <w:spacing w:val="3"/>
          <w:sz w:val="20"/>
          <w:szCs w:val="20"/>
        </w:rPr>
        <w:t>务器提交了数据请求或者应用请求时，功能层负责将这些请求分类为数据或应用</w:t>
      </w:r>
      <w:r>
        <w:rPr>
          <w:spacing w:val="2"/>
          <w:sz w:val="20"/>
          <w:szCs w:val="20"/>
        </w:rPr>
        <w:t>请求，再向数</w:t>
      </w:r>
      <w:r>
        <w:rPr>
          <w:sz w:val="20"/>
          <w:szCs w:val="20"/>
        </w:rPr>
        <w:t xml:space="preserve"> </w:t>
      </w:r>
      <w:r>
        <w:rPr>
          <w:spacing w:val="3"/>
          <w:sz w:val="20"/>
          <w:szCs w:val="20"/>
        </w:rPr>
        <w:t>据库发出数据交换申请。数据库对请求进行筛选处理之后，再将所需的数据通过功能层传递回</w:t>
      </w:r>
      <w:r>
        <w:rPr>
          <w:spacing w:val="7"/>
          <w:sz w:val="20"/>
          <w:szCs w:val="20"/>
        </w:rPr>
        <w:t xml:space="preserve"> </w:t>
      </w:r>
      <w:r>
        <w:rPr>
          <w:spacing w:val="-1"/>
          <w:sz w:val="20"/>
          <w:szCs w:val="20"/>
        </w:rPr>
        <w:t>用户端，如此处理，单一用户可以进行点对面的操作，无须通过其他软件进行数据转换。</w:t>
      </w:r>
    </w:p>
    <w:p w14:paraId="7F0AD4C6">
      <w:pPr>
        <w:pStyle w:val="2"/>
        <w:spacing w:before="134" w:line="221" w:lineRule="auto"/>
        <w:ind w:left="402"/>
        <w:rPr>
          <w:rFonts w:ascii="黑体" w:hAnsi="黑体" w:eastAsia="黑体" w:cs="黑体"/>
          <w:sz w:val="20"/>
          <w:szCs w:val="20"/>
        </w:rPr>
      </w:pPr>
      <w:r>
        <w:rPr>
          <w:b/>
          <w:bCs/>
          <w:color w:val="0079CB"/>
          <w:spacing w:val="-1"/>
          <w:sz w:val="20"/>
          <w:szCs w:val="20"/>
        </w:rPr>
        <w:t>2.</w:t>
      </w:r>
      <w:r>
        <w:rPr>
          <w:rFonts w:ascii="黑体" w:hAnsi="黑体" w:eastAsia="黑体" w:cs="黑体"/>
          <w:b/>
          <w:bCs/>
          <w:color w:val="0079CB"/>
          <w:spacing w:val="-1"/>
          <w:sz w:val="20"/>
          <w:szCs w:val="20"/>
        </w:rPr>
        <w:t>云数据库服务</w:t>
      </w:r>
    </w:p>
    <w:p w14:paraId="17A799E4">
      <w:pPr>
        <w:pStyle w:val="2"/>
        <w:spacing w:before="123" w:line="271" w:lineRule="auto"/>
        <w:ind w:right="203" w:firstLine="400"/>
        <w:jc w:val="both"/>
        <w:rPr>
          <w:sz w:val="20"/>
          <w:szCs w:val="20"/>
        </w:rPr>
      </w:pPr>
      <w:r>
        <w:rPr>
          <w:spacing w:val="3"/>
          <w:sz w:val="20"/>
          <w:szCs w:val="20"/>
        </w:rPr>
        <w:t>云数据库服务包括关系型云数据库服务和非关系型云数据库服务两种。其中关系型云数据</w:t>
      </w:r>
      <w:r>
        <w:rPr>
          <w:spacing w:val="2"/>
          <w:sz w:val="20"/>
          <w:szCs w:val="20"/>
        </w:rPr>
        <w:t xml:space="preserve">  </w:t>
      </w:r>
      <w:r>
        <w:rPr>
          <w:spacing w:val="3"/>
          <w:sz w:val="20"/>
          <w:szCs w:val="20"/>
        </w:rPr>
        <w:t>库服务是一种稳定可靠、可弹性伸缩的在线数据库服务，采用即开即用方式。关系型云数据库</w:t>
      </w:r>
      <w:r>
        <w:rPr>
          <w:sz w:val="20"/>
          <w:szCs w:val="20"/>
        </w:rPr>
        <w:t xml:space="preserve">  </w:t>
      </w:r>
      <w:r>
        <w:rPr>
          <w:spacing w:val="1"/>
          <w:sz w:val="20"/>
          <w:szCs w:val="20"/>
        </w:rPr>
        <w:t>服务在技术上兼容</w:t>
      </w:r>
      <w:r>
        <w:rPr>
          <w:rFonts w:ascii="Times New Roman" w:hAnsi="Times New Roman" w:eastAsia="Times New Roman" w:cs="Times New Roman"/>
          <w:sz w:val="20"/>
          <w:szCs w:val="20"/>
        </w:rPr>
        <w:t>MySQL</w:t>
      </w:r>
      <w:r>
        <w:rPr>
          <w:rFonts w:ascii="Times New Roman" w:hAnsi="Times New Roman" w:eastAsia="Times New Roman" w:cs="Times New Roman"/>
          <w:spacing w:val="-20"/>
          <w:sz w:val="20"/>
          <w:szCs w:val="20"/>
        </w:rPr>
        <w:t xml:space="preserve"> </w:t>
      </w:r>
      <w:r>
        <w:rPr>
          <w:spacing w:val="1"/>
          <w:sz w:val="20"/>
          <w:szCs w:val="20"/>
        </w:rPr>
        <w:t>、</w:t>
      </w:r>
      <w:r>
        <w:rPr>
          <w:rFonts w:ascii="Times New Roman" w:hAnsi="Times New Roman" w:eastAsia="Times New Roman" w:cs="Times New Roman"/>
          <w:sz w:val="20"/>
          <w:szCs w:val="20"/>
        </w:rPr>
        <w:t>SQL</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Server</w:t>
      </w:r>
      <w:r>
        <w:rPr>
          <w:spacing w:val="1"/>
          <w:sz w:val="20"/>
          <w:szCs w:val="20"/>
        </w:rPr>
        <w:t>等一种或多种关系型数据库应用调用方式，并提供数据</w:t>
      </w:r>
      <w:r>
        <w:rPr>
          <w:sz w:val="20"/>
          <w:szCs w:val="20"/>
        </w:rPr>
        <w:t xml:space="preserve">  库服务在线扩容、备份回滚、性能监测及分析功能。而非关系型云数据库服务能帮助用户全面、</w:t>
      </w:r>
      <w:r>
        <w:rPr>
          <w:spacing w:val="8"/>
          <w:sz w:val="20"/>
          <w:szCs w:val="20"/>
        </w:rPr>
        <w:t xml:space="preserve"> </w:t>
      </w:r>
      <w:r>
        <w:rPr>
          <w:spacing w:val="-1"/>
          <w:sz w:val="20"/>
          <w:szCs w:val="20"/>
        </w:rPr>
        <w:t>可靠、快速地构建对数据规模、并发访问、扩展能力和实时性要求都很高的应用服务。</w:t>
      </w:r>
    </w:p>
    <w:p w14:paraId="57A67E03">
      <w:pPr>
        <w:pStyle w:val="2"/>
        <w:spacing w:before="151" w:line="222" w:lineRule="auto"/>
        <w:ind w:left="402"/>
        <w:rPr>
          <w:rFonts w:ascii="黑体" w:hAnsi="黑体" w:eastAsia="黑体" w:cs="黑体"/>
          <w:sz w:val="20"/>
          <w:szCs w:val="20"/>
        </w:rPr>
      </w:pPr>
      <w:r>
        <w:rPr>
          <w:b/>
          <w:bCs/>
          <w:color w:val="0075C4"/>
          <w:sz w:val="20"/>
          <w:szCs w:val="20"/>
        </w:rPr>
        <w:t>3.</w:t>
      </w:r>
      <w:r>
        <w:rPr>
          <w:rFonts w:ascii="黑体" w:hAnsi="黑体" w:eastAsia="黑体" w:cs="黑体"/>
          <w:b/>
          <w:bCs/>
          <w:color w:val="0075C4"/>
          <w:sz w:val="20"/>
          <w:szCs w:val="20"/>
        </w:rPr>
        <w:t>数据中台</w:t>
      </w:r>
    </w:p>
    <w:p w14:paraId="16372C71">
      <w:pPr>
        <w:spacing w:before="218" w:line="223" w:lineRule="auto"/>
        <w:ind w:left="400"/>
        <w:rPr>
          <w:rFonts w:ascii="楷体" w:hAnsi="楷体" w:eastAsia="楷体" w:cs="楷体"/>
          <w:sz w:val="20"/>
          <w:szCs w:val="20"/>
        </w:rPr>
      </w:pPr>
      <w:r>
        <w:rPr>
          <w:rFonts w:ascii="楷体" w:hAnsi="楷体" w:eastAsia="楷体" w:cs="楷体"/>
          <w:spacing w:val="7"/>
          <w:sz w:val="20"/>
          <w:szCs w:val="20"/>
        </w:rPr>
        <w:t>1)数据中台产生背景</w:t>
      </w:r>
    </w:p>
    <w:p w14:paraId="427DF8E9">
      <w:pPr>
        <w:pStyle w:val="2"/>
        <w:spacing w:before="32" w:line="300" w:lineRule="auto"/>
        <w:ind w:right="281" w:firstLine="400"/>
        <w:rPr>
          <w:sz w:val="20"/>
          <w:szCs w:val="20"/>
        </w:rPr>
      </w:pPr>
      <w:r>
        <w:rPr>
          <w:spacing w:val="3"/>
          <w:sz w:val="20"/>
          <w:szCs w:val="20"/>
        </w:rPr>
        <w:t>数据中台是商业模式的产物，是从流程驱动转向数据驱动的结果。现在比较流行的数据中</w:t>
      </w:r>
      <w:r>
        <w:rPr>
          <w:spacing w:val="13"/>
          <w:sz w:val="20"/>
          <w:szCs w:val="20"/>
        </w:rPr>
        <w:t xml:space="preserve"> </w:t>
      </w:r>
      <w:r>
        <w:rPr>
          <w:spacing w:val="2"/>
          <w:sz w:val="20"/>
          <w:szCs w:val="20"/>
        </w:rPr>
        <w:t>台可以理解为</w:t>
      </w:r>
      <w:r>
        <w:rPr>
          <w:rFonts w:ascii="Times New Roman" w:hAnsi="Times New Roman" w:eastAsia="Times New Roman" w:cs="Times New Roman"/>
          <w:sz w:val="20"/>
          <w:szCs w:val="20"/>
        </w:rPr>
        <w:t>PaaS</w:t>
      </w:r>
      <w:r>
        <w:rPr>
          <w:rFonts w:ascii="Times New Roman" w:hAnsi="Times New Roman" w:eastAsia="Times New Roman" w:cs="Times New Roman"/>
          <w:spacing w:val="-11"/>
          <w:sz w:val="20"/>
          <w:szCs w:val="20"/>
        </w:rPr>
        <w:t xml:space="preserve"> </w:t>
      </w:r>
      <w:r>
        <w:rPr>
          <w:spacing w:val="2"/>
          <w:sz w:val="20"/>
          <w:szCs w:val="20"/>
        </w:rPr>
        <w:t>。随着大数据、人工智能新技术的发展，出现了像分布式计算、容器化、机</w:t>
      </w:r>
    </w:p>
    <w:p w14:paraId="7E0CDBB9">
      <w:pPr>
        <w:spacing w:line="300" w:lineRule="auto"/>
        <w:rPr>
          <w:sz w:val="20"/>
          <w:szCs w:val="20"/>
        </w:rPr>
        <w:sectPr>
          <w:pgSz w:w="10290" w:h="13320"/>
          <w:pgMar w:top="400" w:right="556" w:bottom="400" w:left="1119" w:header="0" w:footer="0" w:gutter="0"/>
          <w:cols w:space="720" w:num="1"/>
        </w:sectPr>
      </w:pPr>
    </w:p>
    <w:p w14:paraId="745121DF">
      <w:pPr>
        <w:pStyle w:val="2"/>
        <w:spacing w:before="78" w:line="219" w:lineRule="auto"/>
        <w:rPr>
          <w:sz w:val="20"/>
          <w:szCs w:val="20"/>
        </w:rPr>
      </w:pPr>
      <w:r>
        <w:rPr>
          <w:rFonts w:ascii="Times New Roman" w:hAnsi="Times New Roman" w:eastAsia="Times New Roman" w:cs="Times New Roman"/>
          <w:spacing w:val="-2"/>
          <w:sz w:val="17"/>
          <w:szCs w:val="17"/>
        </w:rPr>
        <w:t>142</w:t>
      </w:r>
      <w:r>
        <w:rPr>
          <w:rFonts w:ascii="Times New Roman" w:hAnsi="Times New Roman" w:eastAsia="Times New Roman" w:cs="Times New Roman"/>
          <w:spacing w:val="1"/>
          <w:sz w:val="17"/>
          <w:szCs w:val="17"/>
        </w:rPr>
        <w:t xml:space="preserve">                </w:t>
      </w:r>
      <w:r>
        <w:rPr>
          <w:spacing w:val="-2"/>
          <w:sz w:val="20"/>
          <w:szCs w:val="20"/>
        </w:rPr>
        <w:t>信息系统监理师教程(第2版)</w:t>
      </w:r>
    </w:p>
    <w:p w14:paraId="12C57A67">
      <w:pPr>
        <w:spacing w:line="313" w:lineRule="auto"/>
        <w:rPr>
          <w:rFonts w:ascii="Arial"/>
          <w:sz w:val="21"/>
        </w:rPr>
      </w:pPr>
    </w:p>
    <w:p w14:paraId="1067EFE5">
      <w:pPr>
        <w:pStyle w:val="2"/>
        <w:spacing w:before="65" w:line="301" w:lineRule="auto"/>
        <w:ind w:left="349" w:right="108"/>
        <w:rPr>
          <w:sz w:val="20"/>
          <w:szCs w:val="20"/>
        </w:rPr>
      </w:pPr>
      <w:r>
        <w:rPr>
          <w:spacing w:val="1"/>
          <w:sz w:val="20"/>
          <w:szCs w:val="20"/>
        </w:rPr>
        <w:t>器学习、人工智能等技术框架。这种变化使</w:t>
      </w:r>
      <w:r>
        <w:rPr>
          <w:rFonts w:ascii="Times New Roman" w:hAnsi="Times New Roman" w:eastAsia="Times New Roman" w:cs="Times New Roman"/>
          <w:sz w:val="20"/>
          <w:szCs w:val="20"/>
        </w:rPr>
        <w:t>PaaS</w:t>
      </w:r>
      <w:r>
        <w:rPr>
          <w:rFonts w:ascii="Times New Roman" w:hAnsi="Times New Roman" w:eastAsia="Times New Roman" w:cs="Times New Roman"/>
          <w:spacing w:val="14"/>
          <w:sz w:val="20"/>
          <w:szCs w:val="20"/>
        </w:rPr>
        <w:t xml:space="preserve"> </w:t>
      </w:r>
      <w:r>
        <w:rPr>
          <w:spacing w:val="1"/>
          <w:sz w:val="20"/>
          <w:szCs w:val="20"/>
        </w:rPr>
        <w:t>层开始以数据驱动</w:t>
      </w:r>
      <w:r>
        <w:rPr>
          <w:sz w:val="20"/>
          <w:szCs w:val="20"/>
        </w:rPr>
        <w:t xml:space="preserve">为核心，充分利用数据价值 </w:t>
      </w:r>
      <w:r>
        <w:rPr>
          <w:spacing w:val="-3"/>
          <w:sz w:val="20"/>
          <w:szCs w:val="20"/>
        </w:rPr>
        <w:t>提供服务应用，最终形成数据中台。</w:t>
      </w:r>
    </w:p>
    <w:p w14:paraId="3C25B2D3">
      <w:pPr>
        <w:spacing w:before="74" w:line="223" w:lineRule="auto"/>
        <w:ind w:left="749"/>
        <w:rPr>
          <w:rFonts w:ascii="楷体" w:hAnsi="楷体" w:eastAsia="楷体" w:cs="楷体"/>
          <w:sz w:val="20"/>
          <w:szCs w:val="20"/>
        </w:rPr>
      </w:pPr>
      <w:r>
        <w:rPr>
          <w:rFonts w:ascii="楷体" w:hAnsi="楷体" w:eastAsia="楷体" w:cs="楷体"/>
          <w:spacing w:val="12"/>
          <w:sz w:val="20"/>
          <w:szCs w:val="20"/>
        </w:rPr>
        <w:t>2)数据中台的作用</w:t>
      </w:r>
    </w:p>
    <w:p w14:paraId="56BD0B9C">
      <w:pPr>
        <w:pStyle w:val="2"/>
        <w:spacing w:before="72" w:line="281" w:lineRule="auto"/>
        <w:ind w:left="349" w:firstLine="400"/>
        <w:rPr>
          <w:sz w:val="20"/>
          <w:szCs w:val="20"/>
        </w:rPr>
      </w:pPr>
      <w:r>
        <w:rPr>
          <w:spacing w:val="3"/>
          <w:sz w:val="20"/>
          <w:szCs w:val="20"/>
        </w:rPr>
        <w:t>企业需要一个强大的中间层为高频多变的业务提供支撑，为不同受众用户提供多端访问渠</w:t>
      </w:r>
      <w:r>
        <w:rPr>
          <w:spacing w:val="12"/>
          <w:sz w:val="20"/>
          <w:szCs w:val="20"/>
        </w:rPr>
        <w:t xml:space="preserve"> </w:t>
      </w:r>
      <w:r>
        <w:rPr>
          <w:spacing w:val="3"/>
          <w:sz w:val="20"/>
          <w:szCs w:val="20"/>
        </w:rPr>
        <w:t xml:space="preserve">道。数据中台能够帮用户快速“找到”数据，明确数据在哪里。通过数据中台相关工具，用户 </w:t>
      </w:r>
      <w:r>
        <w:rPr>
          <w:sz w:val="20"/>
          <w:szCs w:val="20"/>
        </w:rPr>
        <w:t xml:space="preserve">可实现自动化抽取现在运行数据库的库表定义、字段属性和关联关系，实现快速数据位置定位； </w:t>
      </w:r>
      <w:r>
        <w:rPr>
          <w:spacing w:val="5"/>
          <w:sz w:val="20"/>
          <w:szCs w:val="20"/>
        </w:rPr>
        <w:t>分析数据使用频度和调用关系，挖掘数据血缘关系，构建网络图谱，实现数据</w:t>
      </w:r>
      <w:r>
        <w:rPr>
          <w:spacing w:val="4"/>
          <w:sz w:val="20"/>
          <w:szCs w:val="20"/>
        </w:rPr>
        <w:t>关系高维展示；</w:t>
      </w:r>
      <w:r>
        <w:rPr>
          <w:sz w:val="20"/>
          <w:szCs w:val="20"/>
        </w:rPr>
        <w:t xml:space="preserve"> </w:t>
      </w:r>
      <w:r>
        <w:rPr>
          <w:spacing w:val="-2"/>
          <w:sz w:val="20"/>
          <w:szCs w:val="20"/>
        </w:rPr>
        <w:t>分析系统搬迁上云，容灾备份和字段变更等。</w:t>
      </w:r>
    </w:p>
    <w:p w14:paraId="6C00B293">
      <w:pPr>
        <w:pStyle w:val="2"/>
        <w:spacing w:before="68" w:line="281" w:lineRule="auto"/>
        <w:ind w:left="349" w:right="91" w:firstLine="400"/>
        <w:rPr>
          <w:sz w:val="20"/>
          <w:szCs w:val="20"/>
        </w:rPr>
      </w:pPr>
      <w:r>
        <w:rPr>
          <w:spacing w:val="3"/>
          <w:sz w:val="20"/>
          <w:szCs w:val="20"/>
        </w:rPr>
        <w:t>数据中台能够帮助用户应用数据，发挥数据价值，以数据为驱动，</w:t>
      </w:r>
      <w:r>
        <w:rPr>
          <w:spacing w:val="2"/>
          <w:sz w:val="20"/>
          <w:szCs w:val="20"/>
        </w:rPr>
        <w:t>形成数据闭环，不断优</w:t>
      </w:r>
      <w:r>
        <w:rPr>
          <w:sz w:val="20"/>
          <w:szCs w:val="20"/>
        </w:rPr>
        <w:t xml:space="preserve"> </w:t>
      </w:r>
      <w:r>
        <w:rPr>
          <w:spacing w:val="-1"/>
          <w:sz w:val="20"/>
          <w:szCs w:val="20"/>
        </w:rPr>
        <w:t>化模型算法，动态调整模型，提高模型效率和准确度，更好地挖掘数</w:t>
      </w:r>
      <w:r>
        <w:rPr>
          <w:spacing w:val="-2"/>
          <w:sz w:val="20"/>
          <w:szCs w:val="20"/>
        </w:rPr>
        <w:t>据价值。</w:t>
      </w:r>
    </w:p>
    <w:p w14:paraId="62BD3ED0">
      <w:pPr>
        <w:spacing w:before="97" w:line="223" w:lineRule="auto"/>
        <w:ind w:left="749"/>
        <w:rPr>
          <w:rFonts w:ascii="楷体" w:hAnsi="楷体" w:eastAsia="楷体" w:cs="楷体"/>
          <w:sz w:val="20"/>
          <w:szCs w:val="20"/>
        </w:rPr>
      </w:pPr>
      <w:r>
        <w:rPr>
          <w:rFonts w:ascii="楷体" w:hAnsi="楷体" w:eastAsia="楷体" w:cs="楷体"/>
          <w:spacing w:val="10"/>
          <w:sz w:val="20"/>
          <w:szCs w:val="20"/>
        </w:rPr>
        <w:t>3)数据中台体系架构</w:t>
      </w:r>
    </w:p>
    <w:p w14:paraId="16706156">
      <w:pPr>
        <w:pStyle w:val="2"/>
        <w:spacing w:before="82" w:line="304" w:lineRule="auto"/>
        <w:ind w:left="349" w:right="90" w:firstLine="400"/>
        <w:rPr>
          <w:sz w:val="17"/>
          <w:szCs w:val="17"/>
        </w:rPr>
      </w:pPr>
      <w:r>
        <w:rPr>
          <w:spacing w:val="8"/>
          <w:sz w:val="20"/>
          <w:szCs w:val="20"/>
        </w:rPr>
        <w:t>广义的数据中台体系包括基础中台、技术中台、数据中台和业务中台，它们合称为“大</w:t>
      </w:r>
      <w:r>
        <w:rPr>
          <w:spacing w:val="4"/>
          <w:sz w:val="20"/>
          <w:szCs w:val="20"/>
        </w:rPr>
        <w:t xml:space="preserve"> </w:t>
      </w:r>
      <w:r>
        <w:rPr>
          <w:spacing w:val="-14"/>
          <w:sz w:val="17"/>
          <w:szCs w:val="17"/>
        </w:rPr>
        <w:t>中</w:t>
      </w:r>
      <w:r>
        <w:rPr>
          <w:spacing w:val="-16"/>
          <w:sz w:val="17"/>
          <w:szCs w:val="17"/>
        </w:rPr>
        <w:t xml:space="preserve"> </w:t>
      </w:r>
      <w:r>
        <w:rPr>
          <w:spacing w:val="-14"/>
          <w:sz w:val="17"/>
          <w:szCs w:val="17"/>
        </w:rPr>
        <w:t>台</w:t>
      </w:r>
      <w:r>
        <w:rPr>
          <w:spacing w:val="-24"/>
          <w:sz w:val="17"/>
          <w:szCs w:val="17"/>
        </w:rPr>
        <w:t xml:space="preserve"> </w:t>
      </w:r>
      <w:r>
        <w:rPr>
          <w:spacing w:val="-14"/>
          <w:sz w:val="17"/>
          <w:szCs w:val="17"/>
        </w:rPr>
        <w:t>"</w:t>
      </w:r>
      <w:r>
        <w:rPr>
          <w:spacing w:val="-36"/>
          <w:sz w:val="17"/>
          <w:szCs w:val="17"/>
        </w:rPr>
        <w:t xml:space="preserve"> </w:t>
      </w:r>
      <w:r>
        <w:rPr>
          <w:spacing w:val="-14"/>
          <w:sz w:val="17"/>
          <w:szCs w:val="17"/>
        </w:rPr>
        <w:t>。</w:t>
      </w:r>
    </w:p>
    <w:p w14:paraId="47D36763">
      <w:pPr>
        <w:pStyle w:val="2"/>
        <w:spacing w:before="22" w:line="276" w:lineRule="auto"/>
        <w:ind w:left="1029" w:right="90" w:hanging="280"/>
        <w:rPr>
          <w:sz w:val="20"/>
          <w:szCs w:val="20"/>
        </w:rPr>
      </w:pPr>
      <w:r>
        <w:rPr>
          <w:spacing w:val="7"/>
          <w:sz w:val="20"/>
          <w:szCs w:val="20"/>
        </w:rPr>
        <w:t>●基础中台：基础中台为大中台的底层基础支撑，也称为</w:t>
      </w:r>
      <w:r>
        <w:rPr>
          <w:sz w:val="20"/>
          <w:szCs w:val="20"/>
        </w:rPr>
        <w:t>PaaS</w:t>
      </w:r>
      <w:r>
        <w:rPr>
          <w:spacing w:val="-36"/>
          <w:sz w:val="20"/>
          <w:szCs w:val="20"/>
        </w:rPr>
        <w:t xml:space="preserve"> </w:t>
      </w:r>
      <w:r>
        <w:rPr>
          <w:spacing w:val="7"/>
          <w:sz w:val="20"/>
          <w:szCs w:val="20"/>
        </w:rPr>
        <w:t>容器</w:t>
      </w:r>
      <w:r>
        <w:rPr>
          <w:spacing w:val="6"/>
          <w:sz w:val="20"/>
          <w:szCs w:val="20"/>
        </w:rPr>
        <w:t>层，要求平台灵活高</w:t>
      </w:r>
      <w:r>
        <w:rPr>
          <w:sz w:val="20"/>
          <w:szCs w:val="20"/>
        </w:rPr>
        <w:t xml:space="preserve"> </w:t>
      </w:r>
      <w:r>
        <w:rPr>
          <w:spacing w:val="1"/>
          <w:sz w:val="20"/>
          <w:szCs w:val="20"/>
        </w:rPr>
        <w:t>效，这就意味着对容器集群管理与容器云平台的选择十分重要，</w:t>
      </w:r>
      <w:r>
        <w:rPr>
          <w:sz w:val="20"/>
          <w:szCs w:val="20"/>
        </w:rPr>
        <w:t xml:space="preserve">技术运用得是否到位直 </w:t>
      </w:r>
      <w:r>
        <w:rPr>
          <w:spacing w:val="-3"/>
          <w:sz w:val="20"/>
          <w:szCs w:val="20"/>
        </w:rPr>
        <w:t>接影响平台的开发效率和运维程度。</w:t>
      </w:r>
    </w:p>
    <w:p w14:paraId="7E4E70FC">
      <w:pPr>
        <w:pStyle w:val="2"/>
        <w:spacing w:before="80" w:line="286" w:lineRule="auto"/>
        <w:ind w:left="1029" w:right="88" w:hanging="280"/>
        <w:rPr>
          <w:sz w:val="20"/>
          <w:szCs w:val="20"/>
        </w:rPr>
      </w:pPr>
      <w:r>
        <w:rPr>
          <w:spacing w:val="3"/>
          <w:sz w:val="20"/>
          <w:szCs w:val="20"/>
        </w:rPr>
        <w:t>●技术中台：技术中台是随着平台化架构的发展所</w:t>
      </w:r>
      <w:r>
        <w:rPr>
          <w:spacing w:val="2"/>
          <w:sz w:val="20"/>
          <w:szCs w:val="20"/>
        </w:rPr>
        <w:t>演进的产物，从技术层面来讲，大中台</w:t>
      </w:r>
      <w:r>
        <w:rPr>
          <w:sz w:val="20"/>
          <w:szCs w:val="20"/>
        </w:rPr>
        <w:t xml:space="preserve"> </w:t>
      </w:r>
      <w:r>
        <w:rPr>
          <w:spacing w:val="1"/>
          <w:sz w:val="20"/>
          <w:szCs w:val="20"/>
        </w:rPr>
        <w:t>技术延续平台化架构的高聚合、松耦合、数据高可用、资源</w:t>
      </w:r>
      <w:r>
        <w:rPr>
          <w:sz w:val="20"/>
          <w:szCs w:val="20"/>
        </w:rPr>
        <w:t xml:space="preserve">易集成等特性，之后结合微 </w:t>
      </w:r>
      <w:r>
        <w:rPr>
          <w:spacing w:val="1"/>
          <w:sz w:val="20"/>
          <w:szCs w:val="20"/>
        </w:rPr>
        <w:t>服务方式，将企业核心业务下沉至基础设施中，基于前后端分离的</w:t>
      </w:r>
      <w:r>
        <w:rPr>
          <w:sz w:val="20"/>
          <w:szCs w:val="20"/>
        </w:rPr>
        <w:t xml:space="preserve">模式，为企业打造一 </w:t>
      </w:r>
      <w:r>
        <w:rPr>
          <w:spacing w:val="1"/>
          <w:sz w:val="20"/>
          <w:szCs w:val="20"/>
        </w:rPr>
        <w:t>个连接一切、集成一切的共享平台。技术中台架构的底层为应</w:t>
      </w:r>
      <w:r>
        <w:rPr>
          <w:sz w:val="20"/>
          <w:szCs w:val="20"/>
        </w:rPr>
        <w:t xml:space="preserve">用提供层，即企业信息化 </w:t>
      </w:r>
      <w:r>
        <w:rPr>
          <w:spacing w:val="5"/>
          <w:sz w:val="20"/>
          <w:szCs w:val="20"/>
        </w:rPr>
        <w:t>系统或伙伴客户相关信息化系统等；上层为</w:t>
      </w:r>
      <w:r>
        <w:rPr>
          <w:spacing w:val="4"/>
          <w:sz w:val="20"/>
          <w:szCs w:val="20"/>
        </w:rPr>
        <w:t>集成</w:t>
      </w:r>
      <w:r>
        <w:rPr>
          <w:rFonts w:ascii="Times New Roman" w:hAnsi="Times New Roman" w:eastAsia="Times New Roman" w:cs="Times New Roman"/>
          <w:sz w:val="20"/>
          <w:szCs w:val="20"/>
        </w:rPr>
        <w:t>PaaS</w:t>
      </w:r>
      <w:r>
        <w:rPr>
          <w:rFonts w:ascii="Times New Roman" w:hAnsi="Times New Roman" w:eastAsia="Times New Roman" w:cs="Times New Roman"/>
          <w:spacing w:val="4"/>
          <w:sz w:val="20"/>
          <w:szCs w:val="20"/>
        </w:rPr>
        <w:t xml:space="preserve"> </w:t>
      </w:r>
      <w:r>
        <w:rPr>
          <w:spacing w:val="4"/>
          <w:sz w:val="20"/>
          <w:szCs w:val="20"/>
        </w:rPr>
        <w:t>层，将服务总线、数据总线、身</w:t>
      </w:r>
      <w:r>
        <w:rPr>
          <w:sz w:val="20"/>
          <w:szCs w:val="20"/>
        </w:rPr>
        <w:t xml:space="preserve"> </w:t>
      </w:r>
      <w:r>
        <w:rPr>
          <w:spacing w:val="1"/>
          <w:sz w:val="20"/>
          <w:szCs w:val="20"/>
        </w:rPr>
        <w:t>份管理、门户平台等中间件产品和技术融入，作为技术支撑；数据层通</w:t>
      </w:r>
      <w:r>
        <w:rPr>
          <w:sz w:val="20"/>
          <w:szCs w:val="20"/>
        </w:rPr>
        <w:t>过数据中台，结 合主数据、大数据等技术，发挥数据治理、数据计算、配置分析</w:t>
      </w:r>
      <w:r>
        <w:rPr>
          <w:spacing w:val="-1"/>
          <w:sz w:val="20"/>
          <w:szCs w:val="20"/>
        </w:rPr>
        <w:t>的能力；服务中台层与</w:t>
      </w:r>
      <w:r>
        <w:rPr>
          <w:sz w:val="20"/>
          <w:szCs w:val="20"/>
        </w:rPr>
        <w:t xml:space="preserve"> </w:t>
      </w:r>
      <w:r>
        <w:rPr>
          <w:spacing w:val="-1"/>
          <w:sz w:val="20"/>
          <w:szCs w:val="20"/>
        </w:rPr>
        <w:t>共享服务层共同支持应用层中的行业业务，为用户提供个性</w:t>
      </w:r>
      <w:r>
        <w:rPr>
          <w:spacing w:val="-2"/>
          <w:sz w:val="20"/>
          <w:szCs w:val="20"/>
        </w:rPr>
        <w:t>化的服务。</w:t>
      </w:r>
    </w:p>
    <w:p w14:paraId="51555007">
      <w:pPr>
        <w:pStyle w:val="2"/>
        <w:spacing w:before="115" w:line="284" w:lineRule="auto"/>
        <w:ind w:left="1029" w:right="20" w:hanging="280"/>
        <w:rPr>
          <w:sz w:val="20"/>
          <w:szCs w:val="20"/>
        </w:rPr>
      </w:pPr>
      <w:r>
        <w:rPr>
          <w:spacing w:val="3"/>
          <w:sz w:val="20"/>
          <w:szCs w:val="20"/>
        </w:rPr>
        <w:t>●数据中台：数据中台部分用于进行数据管理，打造数字化运营能力</w:t>
      </w:r>
      <w:r>
        <w:rPr>
          <w:spacing w:val="2"/>
          <w:sz w:val="20"/>
          <w:szCs w:val="20"/>
        </w:rPr>
        <w:t>。数据中台中不仅包</w:t>
      </w:r>
      <w:r>
        <w:rPr>
          <w:sz w:val="20"/>
          <w:szCs w:val="20"/>
        </w:rPr>
        <w:t xml:space="preserve"> 括对业务数据的治理，还包括对海量数据的采集、存储、计算、配</w:t>
      </w:r>
      <w:r>
        <w:rPr>
          <w:spacing w:val="-1"/>
          <w:sz w:val="20"/>
          <w:szCs w:val="20"/>
        </w:rPr>
        <w:t>置、展现等一系列手</w:t>
      </w:r>
      <w:r>
        <w:rPr>
          <w:sz w:val="20"/>
          <w:szCs w:val="20"/>
        </w:rPr>
        <w:t xml:space="preserve">  </w:t>
      </w:r>
      <w:r>
        <w:rPr>
          <w:spacing w:val="1"/>
          <w:sz w:val="20"/>
          <w:szCs w:val="20"/>
        </w:rPr>
        <w:t>段。数据中台主要从系统、社交、网络等渠道采集结构化或半结构、</w:t>
      </w:r>
      <w:r>
        <w:rPr>
          <w:sz w:val="20"/>
          <w:szCs w:val="20"/>
        </w:rPr>
        <w:t xml:space="preserve">非结构化数据，按 </w:t>
      </w:r>
      <w:r>
        <w:rPr>
          <w:spacing w:val="3"/>
          <w:sz w:val="20"/>
          <w:szCs w:val="20"/>
        </w:rPr>
        <w:t>照所需的业态选择不同技术手段接入数据，之后将</w:t>
      </w:r>
      <w:r>
        <w:rPr>
          <w:spacing w:val="2"/>
          <w:sz w:val="20"/>
          <w:szCs w:val="20"/>
        </w:rPr>
        <w:t>数据存入相应的数据库中进行处理，</w:t>
      </w:r>
      <w:r>
        <w:rPr>
          <w:sz w:val="20"/>
          <w:szCs w:val="20"/>
        </w:rPr>
        <w:t xml:space="preserve"> </w:t>
      </w:r>
      <w:r>
        <w:rPr>
          <w:spacing w:val="1"/>
          <w:sz w:val="20"/>
          <w:szCs w:val="20"/>
        </w:rPr>
        <w:t>通过数据治理及数据清洗，保证所需数据的一致性、准确性和完</w:t>
      </w:r>
      <w:r>
        <w:rPr>
          <w:sz w:val="20"/>
          <w:szCs w:val="20"/>
        </w:rPr>
        <w:t xml:space="preserve">整性，之后将数据抽取 </w:t>
      </w:r>
      <w:r>
        <w:rPr>
          <w:spacing w:val="1"/>
          <w:sz w:val="20"/>
          <w:szCs w:val="20"/>
        </w:rPr>
        <w:t>或分发至计算平台中，通过不同的分析手段，根据业务板块、主题进行多维度</w:t>
      </w:r>
      <w:r>
        <w:rPr>
          <w:sz w:val="20"/>
          <w:szCs w:val="20"/>
        </w:rPr>
        <w:t xml:space="preserve">分析、加 </w:t>
      </w:r>
      <w:r>
        <w:rPr>
          <w:spacing w:val="-2"/>
          <w:sz w:val="20"/>
          <w:szCs w:val="20"/>
        </w:rPr>
        <w:t>工处理，之后得到有价值的数据，用于展现、辅助决策分析。</w:t>
      </w:r>
    </w:p>
    <w:p w14:paraId="6C8BC9BB">
      <w:pPr>
        <w:pStyle w:val="2"/>
        <w:spacing w:before="86" w:line="280" w:lineRule="auto"/>
        <w:ind w:left="1029" w:right="20" w:hanging="280"/>
        <w:rPr>
          <w:sz w:val="20"/>
          <w:szCs w:val="20"/>
        </w:rPr>
      </w:pPr>
      <w:r>
        <w:rPr>
          <w:spacing w:val="3"/>
          <w:sz w:val="20"/>
          <w:szCs w:val="20"/>
        </w:rPr>
        <w:t>●业务中台：技术中台从技术角度出发，数据中台从业务数据角度</w:t>
      </w:r>
      <w:r>
        <w:rPr>
          <w:spacing w:val="2"/>
          <w:sz w:val="20"/>
          <w:szCs w:val="20"/>
        </w:rPr>
        <w:t>出发，业务中台则从企</w:t>
      </w:r>
      <w:r>
        <w:rPr>
          <w:sz w:val="20"/>
          <w:szCs w:val="20"/>
        </w:rPr>
        <w:t xml:space="preserve"> </w:t>
      </w:r>
      <w:r>
        <w:rPr>
          <w:spacing w:val="3"/>
          <w:sz w:val="20"/>
          <w:szCs w:val="20"/>
        </w:rPr>
        <w:t>业全局角度出发，从整体战略、业务支撑、连接用户</w:t>
      </w:r>
      <w:r>
        <w:rPr>
          <w:spacing w:val="2"/>
          <w:sz w:val="20"/>
          <w:szCs w:val="20"/>
        </w:rPr>
        <w:t>、业务创新等方面进行统筹规划，</w:t>
      </w:r>
      <w:r>
        <w:rPr>
          <w:sz w:val="20"/>
          <w:szCs w:val="20"/>
        </w:rPr>
        <w:t xml:space="preserve"> </w:t>
      </w:r>
      <w:r>
        <w:rPr>
          <w:spacing w:val="6"/>
          <w:sz w:val="20"/>
          <w:szCs w:val="20"/>
        </w:rPr>
        <w:t>由基础中台、技术中台、数据中台联合支撑来建设业务中台。业务中</w:t>
      </w:r>
      <w:r>
        <w:rPr>
          <w:spacing w:val="5"/>
          <w:sz w:val="20"/>
          <w:szCs w:val="20"/>
        </w:rPr>
        <w:t>台底层是以</w:t>
      </w:r>
      <w:r>
        <w:rPr>
          <w:rFonts w:ascii="Times New Roman" w:hAnsi="Times New Roman" w:eastAsia="Times New Roman" w:cs="Times New Roman"/>
          <w:sz w:val="20"/>
          <w:szCs w:val="20"/>
        </w:rPr>
        <w:t xml:space="preserve">PaaS   </w:t>
      </w:r>
      <w:r>
        <w:rPr>
          <w:spacing w:val="1"/>
          <w:sz w:val="20"/>
          <w:szCs w:val="20"/>
        </w:rPr>
        <w:t>为核心的互联网中台作为支撑，通常将开源的、外采的、内研的信息化系统、平台等作</w:t>
      </w:r>
      <w:r>
        <w:rPr>
          <w:spacing w:val="14"/>
          <w:sz w:val="20"/>
          <w:szCs w:val="20"/>
        </w:rPr>
        <w:t xml:space="preserve"> </w:t>
      </w:r>
      <w:r>
        <w:rPr>
          <w:spacing w:val="7"/>
          <w:sz w:val="20"/>
          <w:szCs w:val="20"/>
        </w:rPr>
        <w:t>为基础的能力封装成核心技术层，通过系统整合、业务流程再造、数据治理分析等一</w:t>
      </w:r>
    </w:p>
    <w:p w14:paraId="2E0D18CB">
      <w:pPr>
        <w:spacing w:line="280" w:lineRule="auto"/>
        <w:rPr>
          <w:sz w:val="20"/>
          <w:szCs w:val="20"/>
        </w:rPr>
        <w:sectPr>
          <w:pgSz w:w="10310" w:h="13420"/>
          <w:pgMar w:top="400" w:right="1039" w:bottom="400" w:left="520" w:header="0" w:footer="0" w:gutter="0"/>
          <w:cols w:space="720" w:num="1"/>
        </w:sectPr>
      </w:pPr>
    </w:p>
    <w:p w14:paraId="5B885EFC">
      <w:pPr>
        <w:pStyle w:val="2"/>
        <w:spacing w:before="56" w:line="219" w:lineRule="auto"/>
        <w:jc w:val="right"/>
        <w:rPr>
          <w:rFonts w:ascii="Times New Roman" w:hAnsi="Times New Roman" w:eastAsia="Times New Roman" w:cs="Times New Roman"/>
          <w:sz w:val="19"/>
          <w:szCs w:val="19"/>
        </w:rPr>
      </w:pPr>
      <w:bookmarkStart w:id="552" w:name="bookmark89"/>
      <w:bookmarkEnd w:id="552"/>
      <w:r>
        <w:rPr>
          <w:spacing w:val="3"/>
          <w:sz w:val="19"/>
          <w:szCs w:val="19"/>
        </w:rPr>
        <w:t>第4章</w:t>
      </w:r>
      <w:r>
        <w:rPr>
          <w:spacing w:val="29"/>
          <w:sz w:val="19"/>
          <w:szCs w:val="19"/>
        </w:rPr>
        <w:t xml:space="preserve"> </w:t>
      </w:r>
      <w:r>
        <w:rPr>
          <w:spacing w:val="3"/>
          <w:sz w:val="19"/>
          <w:szCs w:val="19"/>
        </w:rPr>
        <w:t>信息资源系统</w:t>
      </w:r>
      <w:r>
        <w:rPr>
          <w:spacing w:val="10"/>
          <w:sz w:val="19"/>
          <w:szCs w:val="19"/>
        </w:rPr>
        <w:t xml:space="preserve">      </w:t>
      </w:r>
      <w:r>
        <w:rPr>
          <w:rFonts w:ascii="Times New Roman" w:hAnsi="Times New Roman" w:eastAsia="Times New Roman" w:cs="Times New Roman"/>
          <w:spacing w:val="3"/>
          <w:sz w:val="19"/>
          <w:szCs w:val="19"/>
        </w:rPr>
        <w:t>143</w:t>
      </w:r>
    </w:p>
    <w:p w14:paraId="27AEE35A">
      <w:pPr>
        <w:spacing w:line="310" w:lineRule="auto"/>
        <w:rPr>
          <w:rFonts w:ascii="Arial"/>
          <w:sz w:val="21"/>
        </w:rPr>
      </w:pPr>
    </w:p>
    <w:p w14:paraId="0FE89952">
      <w:pPr>
        <w:pStyle w:val="2"/>
        <w:spacing w:before="62" w:line="318" w:lineRule="auto"/>
        <w:ind w:left="739" w:right="303" w:hanging="9"/>
        <w:rPr>
          <w:sz w:val="19"/>
          <w:szCs w:val="19"/>
        </w:rPr>
      </w:pPr>
      <w:r>
        <w:rPr>
          <w:spacing w:val="11"/>
          <w:sz w:val="19"/>
          <w:szCs w:val="19"/>
        </w:rPr>
        <w:t>系列活动为企业的业务提供支撑，形成特有的业务层，通过连接</w:t>
      </w:r>
      <w:r>
        <w:rPr>
          <w:spacing w:val="10"/>
          <w:sz w:val="19"/>
          <w:szCs w:val="19"/>
        </w:rPr>
        <w:t>上下游伙伴、内外部客</w:t>
      </w:r>
      <w:r>
        <w:rPr>
          <w:sz w:val="19"/>
          <w:szCs w:val="19"/>
        </w:rPr>
        <w:t xml:space="preserve"> </w:t>
      </w:r>
      <w:r>
        <w:rPr>
          <w:spacing w:val="8"/>
          <w:sz w:val="19"/>
          <w:szCs w:val="19"/>
        </w:rPr>
        <w:t>户、设备资源系统，建立起平衡的生态环境，最终支撑起业务的发展与创新。</w:t>
      </w:r>
    </w:p>
    <w:p w14:paraId="2764AA61">
      <w:pPr>
        <w:pStyle w:val="2"/>
        <w:spacing w:before="84" w:line="222" w:lineRule="auto"/>
        <w:ind w:left="432"/>
        <w:rPr>
          <w:rFonts w:ascii="黑体" w:hAnsi="黑体" w:eastAsia="黑体" w:cs="黑体"/>
          <w:sz w:val="19"/>
          <w:szCs w:val="19"/>
        </w:rPr>
      </w:pPr>
      <w:bookmarkStart w:id="553" w:name="bookmark538"/>
      <w:bookmarkEnd w:id="553"/>
      <w:r>
        <w:rPr>
          <w:b/>
          <w:bCs/>
          <w:color w:val="0069D2"/>
          <w:spacing w:val="6"/>
          <w:sz w:val="19"/>
          <w:szCs w:val="19"/>
        </w:rPr>
        <w:t>4.</w:t>
      </w:r>
      <w:r>
        <w:rPr>
          <w:rFonts w:ascii="黑体" w:hAnsi="黑体" w:eastAsia="黑体" w:cs="黑体"/>
          <w:b/>
          <w:bCs/>
          <w:color w:val="0069D2"/>
          <w:spacing w:val="6"/>
          <w:sz w:val="19"/>
          <w:szCs w:val="19"/>
        </w:rPr>
        <w:t>容器</w:t>
      </w:r>
    </w:p>
    <w:p w14:paraId="54E658AC">
      <w:pPr>
        <w:pStyle w:val="2"/>
        <w:spacing w:before="144" w:line="295" w:lineRule="auto"/>
        <w:ind w:right="289" w:firstLine="430"/>
        <w:rPr>
          <w:sz w:val="19"/>
          <w:szCs w:val="19"/>
        </w:rPr>
      </w:pPr>
      <w:r>
        <w:rPr>
          <w:spacing w:val="6"/>
          <w:sz w:val="19"/>
          <w:szCs w:val="19"/>
        </w:rPr>
        <w:t>容器技术是云原生技术的底层基石，</w:t>
      </w:r>
      <w:r>
        <w:rPr>
          <w:spacing w:val="78"/>
          <w:sz w:val="19"/>
          <w:szCs w:val="19"/>
        </w:rPr>
        <w:t xml:space="preserve"> </w:t>
      </w:r>
      <w:r>
        <w:rPr>
          <w:spacing w:val="6"/>
          <w:sz w:val="19"/>
          <w:szCs w:val="19"/>
        </w:rPr>
        <w:t>一般说的“容器”都是</w:t>
      </w:r>
      <w:r>
        <w:rPr>
          <w:spacing w:val="-55"/>
          <w:sz w:val="19"/>
          <w:szCs w:val="19"/>
        </w:rPr>
        <w:t xml:space="preserve"> </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Linux</w:t>
      </w:r>
      <w:r>
        <w:rPr>
          <w:rFonts w:ascii="Times New Roman" w:hAnsi="Times New Roman" w:eastAsia="Times New Roman" w:cs="Times New Roman"/>
          <w:spacing w:val="16"/>
          <w:w w:val="102"/>
          <w:sz w:val="19"/>
          <w:szCs w:val="19"/>
        </w:rPr>
        <w:t xml:space="preserve">  </w:t>
      </w:r>
      <w:r>
        <w:rPr>
          <w:spacing w:val="6"/>
          <w:sz w:val="19"/>
          <w:szCs w:val="19"/>
        </w:rPr>
        <w:t>容器”。容器早期是用</w:t>
      </w:r>
      <w:r>
        <w:rPr>
          <w:sz w:val="19"/>
          <w:szCs w:val="19"/>
        </w:rPr>
        <w:t xml:space="preserve"> </w:t>
      </w:r>
      <w:r>
        <w:rPr>
          <w:spacing w:val="23"/>
          <w:sz w:val="19"/>
          <w:szCs w:val="19"/>
        </w:rPr>
        <w:t>来在</w:t>
      </w:r>
      <w:r>
        <w:rPr>
          <w:rFonts w:ascii="Times New Roman" w:hAnsi="Times New Roman" w:eastAsia="Times New Roman" w:cs="Times New Roman"/>
          <w:sz w:val="19"/>
          <w:szCs w:val="19"/>
        </w:rPr>
        <w:t>Chroot</w:t>
      </w:r>
      <w:r>
        <w:rPr>
          <w:rFonts w:ascii="Times New Roman" w:hAnsi="Times New Roman" w:eastAsia="Times New Roman" w:cs="Times New Roman"/>
          <w:spacing w:val="9"/>
          <w:sz w:val="19"/>
          <w:szCs w:val="19"/>
        </w:rPr>
        <w:t xml:space="preserve">  </w:t>
      </w:r>
      <w:r>
        <w:rPr>
          <w:spacing w:val="23"/>
          <w:sz w:val="19"/>
          <w:szCs w:val="19"/>
        </w:rPr>
        <w:t>环境(隔离</w:t>
      </w:r>
      <w:r>
        <w:rPr>
          <w:rFonts w:ascii="Times New Roman" w:hAnsi="Times New Roman" w:eastAsia="Times New Roman" w:cs="Times New Roman"/>
          <w:sz w:val="19"/>
          <w:szCs w:val="19"/>
        </w:rPr>
        <w:t>Mount</w:t>
      </w:r>
      <w:r>
        <w:rPr>
          <w:rFonts w:ascii="Times New Roman" w:hAnsi="Times New Roman" w:eastAsia="Times New Roman" w:cs="Times New Roman"/>
          <w:spacing w:val="23"/>
          <w:sz w:val="19"/>
          <w:szCs w:val="19"/>
        </w:rPr>
        <w:t xml:space="preserve">   </w:t>
      </w:r>
      <w:r>
        <w:rPr>
          <w:rFonts w:ascii="Times New Roman" w:hAnsi="Times New Roman" w:eastAsia="Times New Roman" w:cs="Times New Roman"/>
          <w:sz w:val="19"/>
          <w:szCs w:val="19"/>
        </w:rPr>
        <w:t>Namespace</w:t>
      </w:r>
      <w:r>
        <w:rPr>
          <w:spacing w:val="23"/>
          <w:sz w:val="19"/>
          <w:szCs w:val="19"/>
        </w:rPr>
        <w:t>的工具)中做进程隔离(使用</w:t>
      </w:r>
      <w:r>
        <w:rPr>
          <w:rFonts w:ascii="Times New Roman" w:hAnsi="Times New Roman" w:eastAsia="Times New Roman" w:cs="Times New Roman"/>
          <w:sz w:val="19"/>
          <w:szCs w:val="19"/>
        </w:rPr>
        <w:t>Namespace</w:t>
      </w:r>
      <w:r>
        <w:rPr>
          <w:rFonts w:ascii="Times New Roman" w:hAnsi="Times New Roman" w:eastAsia="Times New Roman" w:cs="Times New Roman"/>
          <w:spacing w:val="23"/>
          <w:sz w:val="19"/>
          <w:szCs w:val="19"/>
        </w:rPr>
        <w:t xml:space="preserve">  </w:t>
      </w:r>
      <w:r>
        <w:rPr>
          <w:spacing w:val="23"/>
          <w:sz w:val="19"/>
          <w:szCs w:val="19"/>
        </w:rPr>
        <w:t>和</w:t>
      </w:r>
      <w:r>
        <w:rPr>
          <w:spacing w:val="-26"/>
          <w:sz w:val="19"/>
          <w:szCs w:val="19"/>
        </w:rPr>
        <w:t xml:space="preserve"> </w:t>
      </w:r>
      <w:r>
        <w:rPr>
          <w:rFonts w:ascii="Times New Roman" w:hAnsi="Times New Roman" w:eastAsia="Times New Roman" w:cs="Times New Roman"/>
          <w:sz w:val="19"/>
          <w:szCs w:val="19"/>
        </w:rPr>
        <w:t>Cgroups</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 xml:space="preserve">    </w:t>
      </w:r>
      <w:r>
        <w:rPr>
          <w:spacing w:val="17"/>
          <w:sz w:val="19"/>
          <w:szCs w:val="19"/>
        </w:rPr>
        <w:t>的。而现在</w:t>
      </w:r>
      <w:r>
        <w:rPr>
          <w:rFonts w:ascii="Times New Roman" w:hAnsi="Times New Roman" w:eastAsia="Times New Roman" w:cs="Times New Roman"/>
          <w:sz w:val="19"/>
          <w:szCs w:val="19"/>
        </w:rPr>
        <w:t>Docker</w:t>
      </w:r>
      <w:r>
        <w:rPr>
          <w:rFonts w:ascii="Times New Roman" w:hAnsi="Times New Roman" w:eastAsia="Times New Roman" w:cs="Times New Roman"/>
          <w:spacing w:val="56"/>
          <w:sz w:val="19"/>
          <w:szCs w:val="19"/>
        </w:rPr>
        <w:t xml:space="preserve"> </w:t>
      </w:r>
      <w:r>
        <w:rPr>
          <w:spacing w:val="17"/>
          <w:sz w:val="19"/>
          <w:szCs w:val="19"/>
        </w:rPr>
        <w:t>所用的容器技术和当时并没有本质上的区别。容器的本质，就是一组受到</w:t>
      </w:r>
      <w:r>
        <w:rPr>
          <w:sz w:val="19"/>
          <w:szCs w:val="19"/>
        </w:rPr>
        <w:t xml:space="preserve"> </w:t>
      </w:r>
      <w:r>
        <w:rPr>
          <w:spacing w:val="19"/>
          <w:sz w:val="19"/>
          <w:szCs w:val="19"/>
        </w:rPr>
        <w:t>资源限制，彼此间相互隔离的进程。隔离所用到的技术都是由</w:t>
      </w:r>
      <w:r>
        <w:rPr>
          <w:rFonts w:ascii="Times New Roman" w:hAnsi="Times New Roman" w:eastAsia="Times New Roman" w:cs="Times New Roman"/>
          <w:sz w:val="19"/>
          <w:szCs w:val="19"/>
        </w:rPr>
        <w:t>Linux</w:t>
      </w:r>
      <w:r>
        <w:rPr>
          <w:rFonts w:ascii="Times New Roman" w:hAnsi="Times New Roman" w:eastAsia="Times New Roman" w:cs="Times New Roman"/>
          <w:spacing w:val="19"/>
          <w:sz w:val="19"/>
          <w:szCs w:val="19"/>
        </w:rPr>
        <w:t xml:space="preserve">  </w:t>
      </w:r>
      <w:r>
        <w:rPr>
          <w:spacing w:val="19"/>
          <w:sz w:val="19"/>
          <w:szCs w:val="19"/>
        </w:rPr>
        <w:t>内核本身提供的。其中</w:t>
      </w:r>
      <w:r>
        <w:rPr>
          <w:spacing w:val="9"/>
          <w:sz w:val="19"/>
          <w:szCs w:val="19"/>
        </w:rPr>
        <w:t xml:space="preserve"> </w:t>
      </w:r>
      <w:r>
        <w:rPr>
          <w:rFonts w:ascii="Times New Roman" w:hAnsi="Times New Roman" w:eastAsia="Times New Roman" w:cs="Times New Roman"/>
          <w:sz w:val="19"/>
          <w:szCs w:val="19"/>
        </w:rPr>
        <w:t>Namespace</w:t>
      </w:r>
      <w:r>
        <w:rPr>
          <w:rFonts w:ascii="Times New Roman" w:hAnsi="Times New Roman" w:eastAsia="Times New Roman" w:cs="Times New Roman"/>
          <w:spacing w:val="53"/>
          <w:sz w:val="19"/>
          <w:szCs w:val="19"/>
        </w:rPr>
        <w:t xml:space="preserve"> </w:t>
      </w:r>
      <w:r>
        <w:rPr>
          <w:spacing w:val="9"/>
          <w:sz w:val="19"/>
          <w:szCs w:val="19"/>
        </w:rPr>
        <w:t>用来做访问隔离，</w:t>
      </w:r>
      <w:r>
        <w:rPr>
          <w:spacing w:val="-15"/>
          <w:sz w:val="19"/>
          <w:szCs w:val="19"/>
        </w:rPr>
        <w:t xml:space="preserve"> </w:t>
      </w:r>
      <w:r>
        <w:rPr>
          <w:rFonts w:ascii="Times New Roman" w:hAnsi="Times New Roman" w:eastAsia="Times New Roman" w:cs="Times New Roman"/>
          <w:sz w:val="19"/>
          <w:szCs w:val="19"/>
        </w:rPr>
        <w:t>Cgroups</w:t>
      </w:r>
      <w:r>
        <w:rPr>
          <w:rFonts w:ascii="Times New Roman" w:hAnsi="Times New Roman" w:eastAsia="Times New Roman" w:cs="Times New Roman"/>
          <w:spacing w:val="45"/>
          <w:w w:val="101"/>
          <w:sz w:val="19"/>
          <w:szCs w:val="19"/>
        </w:rPr>
        <w:t xml:space="preserve"> </w:t>
      </w:r>
      <w:r>
        <w:rPr>
          <w:spacing w:val="9"/>
          <w:sz w:val="19"/>
          <w:szCs w:val="19"/>
        </w:rPr>
        <w:t>用来做资源限制。容器就是一种基于操作系统能力的隔离</w:t>
      </w:r>
      <w:r>
        <w:rPr>
          <w:sz w:val="19"/>
          <w:szCs w:val="19"/>
        </w:rPr>
        <w:t xml:space="preserve"> </w:t>
      </w:r>
      <w:r>
        <w:rPr>
          <w:spacing w:val="10"/>
          <w:sz w:val="19"/>
          <w:szCs w:val="19"/>
        </w:rPr>
        <w:t>技术。虚拟化技术和容器技术对比如图4-7所示。</w:t>
      </w:r>
    </w:p>
    <w:p w14:paraId="2C45CB1E">
      <w:pPr>
        <w:pStyle w:val="2"/>
        <w:spacing w:before="167" w:line="2773" w:lineRule="exact"/>
        <w:ind w:firstLine="660"/>
      </w:pPr>
      <w:r>
        <w:rPr>
          <w:position w:val="-55"/>
        </w:rPr>
        <w:pict>
          <v:group id="_x0000_s1296" o:spid="_x0000_s1296" o:spt="203" style="height:138.65pt;width:350.55pt;" coordsize="7010,2772">
            <o:lock v:ext="edit"/>
            <v:shape id="_x0000_s1297" o:spid="_x0000_s1297" o:spt="75" type="#_x0000_t75" style="position:absolute;left:0;top:12;height:2760;width:7010;" filled="f" stroked="f" coordsize="21600,21600">
              <v:path/>
              <v:fill on="f" focussize="0,0"/>
              <v:stroke on="f"/>
              <v:imagedata r:id="rId112" o:title=""/>
              <o:lock v:ext="edit" aspectratio="t"/>
            </v:shape>
            <v:shape id="_x0000_s1298" o:spid="_x0000_s1298" o:spt="202" type="#_x0000_t202" style="position:absolute;left:1290;top:-20;height:2620;width:5419;" filled="f" stroked="f" coordsize="21600,21600">
              <v:path/>
              <v:fill on="f" focussize="0,0"/>
              <v:stroke on="f"/>
              <v:imagedata o:title=""/>
              <o:lock v:ext="edit" aspectratio="f"/>
              <v:textbox inset="0mm,0mm,0mm,0mm">
                <w:txbxContent>
                  <w:p w14:paraId="1E819F08">
                    <w:pPr>
                      <w:spacing w:before="19" w:line="230" w:lineRule="auto"/>
                      <w:ind w:left="79"/>
                      <w:rPr>
                        <w:rFonts w:ascii="宋体" w:hAnsi="宋体" w:eastAsia="宋体" w:cs="宋体"/>
                        <w:sz w:val="19"/>
                        <w:szCs w:val="19"/>
                      </w:rPr>
                    </w:pPr>
                    <w:r>
                      <w:rPr>
                        <w:rFonts w:ascii="宋体" w:hAnsi="宋体" w:eastAsia="宋体" w:cs="宋体"/>
                        <w:spacing w:val="-8"/>
                        <w:sz w:val="19"/>
                        <w:szCs w:val="19"/>
                      </w:rPr>
                      <w:t>虚拟化                                      容器</w:t>
                    </w:r>
                  </w:p>
                  <w:p w14:paraId="05DFDBA3">
                    <w:pPr>
                      <w:spacing w:before="275" w:line="160" w:lineRule="auto"/>
                      <w:ind w:left="170"/>
                      <w:rPr>
                        <w:rFonts w:ascii="宋体" w:hAnsi="宋体" w:eastAsia="宋体" w:cs="宋体"/>
                        <w:sz w:val="19"/>
                        <w:szCs w:val="19"/>
                      </w:rPr>
                    </w:pPr>
                    <w:r>
                      <w:rPr>
                        <w:rFonts w:ascii="宋体" w:hAnsi="宋体" w:eastAsia="宋体" w:cs="宋体"/>
                        <w:spacing w:val="-2"/>
                        <w:sz w:val="19"/>
                        <w:szCs w:val="19"/>
                      </w:rPr>
                      <w:t>应用</w:t>
                    </w:r>
                  </w:p>
                  <w:p w14:paraId="3402576E">
                    <w:pPr>
                      <w:spacing w:line="196" w:lineRule="auto"/>
                      <w:ind w:left="2779"/>
                      <w:rPr>
                        <w:rFonts w:ascii="宋体" w:hAnsi="宋体" w:eastAsia="宋体" w:cs="宋体"/>
                        <w:sz w:val="19"/>
                        <w:szCs w:val="19"/>
                      </w:rPr>
                    </w:pPr>
                    <w:r>
                      <w:rPr>
                        <w:rFonts w:ascii="宋体" w:hAnsi="宋体" w:eastAsia="宋体" w:cs="宋体"/>
                        <w:spacing w:val="-2"/>
                        <w:sz w:val="19"/>
                        <w:szCs w:val="19"/>
                      </w:rPr>
                      <w:t>应用    应用</w:t>
                    </w:r>
                  </w:p>
                  <w:p w14:paraId="085DCC2F">
                    <w:pPr>
                      <w:spacing w:before="210" w:line="212" w:lineRule="auto"/>
                      <w:ind w:left="20" w:right="4720" w:firstLine="59"/>
                      <w:rPr>
                        <w:rFonts w:ascii="宋体" w:hAnsi="宋体" w:eastAsia="宋体" w:cs="宋体"/>
                        <w:sz w:val="19"/>
                        <w:szCs w:val="19"/>
                      </w:rPr>
                    </w:pPr>
                    <w:r>
                      <w:rPr>
                        <w:rFonts w:ascii="宋体" w:hAnsi="宋体" w:eastAsia="宋体" w:cs="宋体"/>
                        <w:spacing w:val="-14"/>
                        <w:w w:val="98"/>
                        <w:sz w:val="19"/>
                        <w:szCs w:val="19"/>
                      </w:rPr>
                      <w:t>虚拟机</w:t>
                    </w:r>
                    <w:r>
                      <w:rPr>
                        <w:rFonts w:ascii="宋体" w:hAnsi="宋体" w:eastAsia="宋体" w:cs="宋体"/>
                        <w:sz w:val="19"/>
                        <w:szCs w:val="19"/>
                      </w:rPr>
                      <w:t xml:space="preserve">  </w:t>
                    </w:r>
                    <w:r>
                      <w:rPr>
                        <w:rFonts w:ascii="宋体" w:hAnsi="宋体" w:eastAsia="宋体" w:cs="宋体"/>
                        <w:spacing w:val="-16"/>
                        <w:w w:val="97"/>
                        <w:sz w:val="19"/>
                        <w:szCs w:val="19"/>
                      </w:rPr>
                      <w:t>操作系统</w:t>
                    </w:r>
                  </w:p>
                  <w:p w14:paraId="4EA99011">
                    <w:pPr>
                      <w:spacing w:before="5" w:line="219" w:lineRule="auto"/>
                      <w:jc w:val="right"/>
                      <w:rPr>
                        <w:rFonts w:ascii="宋体" w:hAnsi="宋体" w:eastAsia="宋体" w:cs="宋体"/>
                        <w:sz w:val="19"/>
                        <w:szCs w:val="19"/>
                      </w:rPr>
                    </w:pPr>
                    <w:r>
                      <w:rPr>
                        <w:rFonts w:ascii="宋体" w:hAnsi="宋体" w:eastAsia="宋体" w:cs="宋体"/>
                        <w:spacing w:val="-16"/>
                        <w:w w:val="96"/>
                        <w:sz w:val="19"/>
                        <w:szCs w:val="19"/>
                      </w:rPr>
                      <w:t>支持文件运</w:t>
                    </w:r>
                    <w:r>
                      <w:rPr>
                        <w:rFonts w:ascii="宋体" w:hAnsi="宋体" w:eastAsia="宋体" w:cs="宋体"/>
                        <w:spacing w:val="-15"/>
                        <w:w w:val="96"/>
                        <w:sz w:val="19"/>
                        <w:szCs w:val="19"/>
                      </w:rPr>
                      <w:t>行</w:t>
                    </w:r>
                    <w:r>
                      <w:rPr>
                        <w:rFonts w:ascii="宋体" w:hAnsi="宋体" w:eastAsia="宋体" w:cs="宋体"/>
                        <w:spacing w:val="16"/>
                        <w:sz w:val="19"/>
                        <w:szCs w:val="19"/>
                      </w:rPr>
                      <w:t xml:space="preserve">     </w:t>
                    </w:r>
                    <w:r>
                      <w:rPr>
                        <w:rFonts w:ascii="宋体" w:hAnsi="宋体" w:eastAsia="宋体" w:cs="宋体"/>
                        <w:spacing w:val="-15"/>
                        <w:w w:val="96"/>
                        <w:sz w:val="19"/>
                        <w:szCs w:val="19"/>
                      </w:rPr>
                      <w:t>支持文件运</w:t>
                    </w:r>
                    <w:r>
                      <w:rPr>
                        <w:rFonts w:ascii="宋体" w:hAnsi="宋体" w:eastAsia="宋体" w:cs="宋体"/>
                        <w:spacing w:val="-10"/>
                        <w:w w:val="96"/>
                        <w:sz w:val="19"/>
                        <w:szCs w:val="19"/>
                      </w:rPr>
                      <w:t>行</w:t>
                    </w:r>
                  </w:p>
                  <w:p w14:paraId="295BEA06">
                    <w:pPr>
                      <w:spacing w:before="33" w:line="219" w:lineRule="auto"/>
                      <w:ind w:left="79"/>
                      <w:rPr>
                        <w:rFonts w:ascii="宋体" w:hAnsi="宋体" w:eastAsia="宋体" w:cs="宋体"/>
                        <w:sz w:val="19"/>
                        <w:szCs w:val="19"/>
                      </w:rPr>
                    </w:pPr>
                    <w:r>
                      <w:rPr>
                        <w:rFonts w:ascii="宋体" w:hAnsi="宋体" w:eastAsia="宋体" w:cs="宋体"/>
                        <w:spacing w:val="-12"/>
                        <w:sz w:val="19"/>
                        <w:szCs w:val="19"/>
                      </w:rPr>
                      <w:t>虚拟化</w:t>
                    </w:r>
                  </w:p>
                  <w:p w14:paraId="20FB32A7">
                    <w:pPr>
                      <w:spacing w:line="310" w:lineRule="auto"/>
                      <w:rPr>
                        <w:rFonts w:ascii="Arial"/>
                        <w:sz w:val="21"/>
                      </w:rPr>
                    </w:pPr>
                  </w:p>
                  <w:p w14:paraId="76EA67CA">
                    <w:pPr>
                      <w:spacing w:before="63" w:line="219" w:lineRule="auto"/>
                      <w:ind w:left="3510"/>
                      <w:rPr>
                        <w:rFonts w:ascii="宋体" w:hAnsi="宋体" w:eastAsia="宋体" w:cs="宋体"/>
                        <w:sz w:val="19"/>
                        <w:szCs w:val="19"/>
                      </w:rPr>
                    </w:pPr>
                    <w:r>
                      <w:rPr>
                        <w:rFonts w:ascii="宋体" w:hAnsi="宋体" w:eastAsia="宋体" w:cs="宋体"/>
                        <w:spacing w:val="-17"/>
                        <w:w w:val="99"/>
                        <w:sz w:val="19"/>
                        <w:szCs w:val="19"/>
                      </w:rPr>
                      <w:t>宿主机操作系统</w:t>
                    </w:r>
                  </w:p>
                </w:txbxContent>
              </v:textbox>
            </v:shape>
            <v:shape id="_x0000_s1299" o:spid="_x0000_s1299" o:spt="202" type="#_x0000_t202" style="position:absolute;left:2350;top:492;height:1039;width:739;" filled="f" stroked="f" coordsize="21600,21600">
              <v:path/>
              <v:fill on="f" focussize="0,0"/>
              <v:stroke on="f"/>
              <v:imagedata o:title=""/>
              <o:lock v:ext="edit" aspectratio="f"/>
              <v:textbox inset="0mm,0mm,0mm,0mm">
                <w:txbxContent>
                  <w:p w14:paraId="6808297B">
                    <w:pPr>
                      <w:spacing w:before="19" w:line="221" w:lineRule="auto"/>
                      <w:ind w:left="179"/>
                      <w:rPr>
                        <w:rFonts w:ascii="宋体" w:hAnsi="宋体" w:eastAsia="宋体" w:cs="宋体"/>
                        <w:sz w:val="19"/>
                        <w:szCs w:val="19"/>
                      </w:rPr>
                    </w:pPr>
                    <w:r>
                      <w:rPr>
                        <w:rFonts w:ascii="宋体" w:hAnsi="宋体" w:eastAsia="宋体" w:cs="宋体"/>
                        <w:spacing w:val="-2"/>
                        <w:sz w:val="19"/>
                        <w:szCs w:val="19"/>
                      </w:rPr>
                      <w:t>应用</w:t>
                    </w:r>
                  </w:p>
                  <w:p w14:paraId="74739680">
                    <w:pPr>
                      <w:spacing w:line="286" w:lineRule="auto"/>
                      <w:rPr>
                        <w:rFonts w:ascii="Arial"/>
                        <w:sz w:val="21"/>
                      </w:rPr>
                    </w:pPr>
                  </w:p>
                  <w:p w14:paraId="17B726FA">
                    <w:pPr>
                      <w:spacing w:before="62" w:line="222" w:lineRule="auto"/>
                      <w:ind w:left="20" w:right="20" w:firstLine="79"/>
                      <w:rPr>
                        <w:rFonts w:ascii="宋体" w:hAnsi="宋体" w:eastAsia="宋体" w:cs="宋体"/>
                        <w:sz w:val="19"/>
                        <w:szCs w:val="19"/>
                      </w:rPr>
                    </w:pPr>
                    <w:r>
                      <w:rPr>
                        <w:rFonts w:ascii="宋体" w:hAnsi="宋体" w:eastAsia="宋体" w:cs="宋体"/>
                        <w:spacing w:val="-15"/>
                        <w:sz w:val="19"/>
                        <w:szCs w:val="19"/>
                      </w:rPr>
                      <w:t>虚拟机</w:t>
                    </w:r>
                    <w:r>
                      <w:rPr>
                        <w:rFonts w:ascii="宋体" w:hAnsi="宋体" w:eastAsia="宋体" w:cs="宋体"/>
                        <w:sz w:val="19"/>
                        <w:szCs w:val="19"/>
                      </w:rPr>
                      <w:t xml:space="preserve">  </w:t>
                    </w:r>
                    <w:r>
                      <w:rPr>
                        <w:rFonts w:ascii="宋体" w:hAnsi="宋体" w:eastAsia="宋体" w:cs="宋体"/>
                        <w:spacing w:val="-16"/>
                        <w:sz w:val="19"/>
                        <w:szCs w:val="19"/>
                      </w:rPr>
                      <w:t>操作系统</w:t>
                    </w:r>
                  </w:p>
                </w:txbxContent>
              </v:textbox>
            </v:shape>
            <v:shape id="_x0000_s1300" o:spid="_x0000_s1300" o:spt="202" type="#_x0000_t202" style="position:absolute;left:200;top:522;height:989;width:739;" filled="f" stroked="f" coordsize="21600,21600">
              <v:path/>
              <v:fill on="f" focussize="0,0"/>
              <v:stroke on="f"/>
              <v:imagedata o:title=""/>
              <o:lock v:ext="edit" aspectratio="f"/>
              <v:textbox inset="0mm,0mm,0mm,0mm">
                <w:txbxContent>
                  <w:p w14:paraId="02014B83">
                    <w:pPr>
                      <w:spacing w:before="19" w:line="221" w:lineRule="auto"/>
                      <w:ind w:left="180"/>
                      <w:rPr>
                        <w:rFonts w:ascii="宋体" w:hAnsi="宋体" w:eastAsia="宋体" w:cs="宋体"/>
                        <w:sz w:val="19"/>
                        <w:szCs w:val="19"/>
                      </w:rPr>
                    </w:pPr>
                    <w:r>
                      <w:rPr>
                        <w:rFonts w:ascii="宋体" w:hAnsi="宋体" w:eastAsia="宋体" w:cs="宋体"/>
                        <w:spacing w:val="-2"/>
                        <w:sz w:val="19"/>
                        <w:szCs w:val="19"/>
                      </w:rPr>
                      <w:t>应用</w:t>
                    </w:r>
                  </w:p>
                  <w:p w14:paraId="237ED71A">
                    <w:pPr>
                      <w:spacing w:line="257" w:lineRule="auto"/>
                      <w:rPr>
                        <w:rFonts w:ascii="Arial"/>
                        <w:sz w:val="21"/>
                      </w:rPr>
                    </w:pPr>
                  </w:p>
                  <w:p w14:paraId="2D767401">
                    <w:pPr>
                      <w:spacing w:before="62" w:line="212" w:lineRule="auto"/>
                      <w:ind w:left="20" w:right="20" w:firstLine="70"/>
                      <w:rPr>
                        <w:rFonts w:ascii="宋体" w:hAnsi="宋体" w:eastAsia="宋体" w:cs="宋体"/>
                        <w:sz w:val="19"/>
                        <w:szCs w:val="19"/>
                      </w:rPr>
                    </w:pPr>
                    <w:r>
                      <w:rPr>
                        <w:rFonts w:ascii="宋体" w:hAnsi="宋体" w:eastAsia="宋体" w:cs="宋体"/>
                        <w:spacing w:val="-15"/>
                        <w:sz w:val="19"/>
                        <w:szCs w:val="19"/>
                      </w:rPr>
                      <w:t>虚拟机</w:t>
                    </w:r>
                    <w:r>
                      <w:rPr>
                        <w:rFonts w:ascii="宋体" w:hAnsi="宋体" w:eastAsia="宋体" w:cs="宋体"/>
                        <w:sz w:val="19"/>
                        <w:szCs w:val="19"/>
                      </w:rPr>
                      <w:t xml:space="preserve">  </w:t>
                    </w:r>
                    <w:r>
                      <w:rPr>
                        <w:rFonts w:ascii="宋体" w:hAnsi="宋体" w:eastAsia="宋体" w:cs="宋体"/>
                        <w:spacing w:val="-16"/>
                        <w:sz w:val="19"/>
                        <w:szCs w:val="19"/>
                      </w:rPr>
                      <w:t>操作系统</w:t>
                    </w:r>
                  </w:p>
                </w:txbxContent>
              </v:textbox>
            </v:shape>
            <v:shape id="_x0000_s1301" o:spid="_x0000_s1301" o:spt="202" type="#_x0000_t202" style="position:absolute;left:5611;top:544;height:402;width:1136;" filled="f" stroked="f" coordsize="21600,21600">
              <v:path/>
              <v:fill on="f" focussize="0,0"/>
              <v:stroke on="f"/>
              <v:imagedata o:title=""/>
              <o:lock v:ext="edit" aspectratio="f"/>
              <v:textbox inset="0mm,0mm,0mm,0mm" style="layout-flow:vertical-ideographic;">
                <w:txbxContent>
                  <w:p w14:paraId="751E3D71">
                    <w:pPr>
                      <w:spacing w:before="19" w:line="202" w:lineRule="auto"/>
                      <w:ind w:left="20"/>
                      <w:rPr>
                        <w:rFonts w:ascii="宋体" w:hAnsi="宋体" w:eastAsia="宋体" w:cs="宋体"/>
                        <w:sz w:val="16"/>
                        <w:szCs w:val="16"/>
                      </w:rPr>
                    </w:pPr>
                    <w:r>
                      <w:rPr>
                        <w:rFonts w:ascii="宋体" w:hAnsi="宋体" w:eastAsia="宋体" w:cs="宋体"/>
                        <w:color w:val="00A7E5"/>
                        <w:spacing w:val="21"/>
                        <w:sz w:val="16"/>
                        <w:szCs w:val="16"/>
                      </w:rPr>
                      <w:t>应用</w:t>
                    </w:r>
                  </w:p>
                  <w:p w14:paraId="324D5BF6">
                    <w:pPr>
                      <w:spacing w:line="248" w:lineRule="auto"/>
                      <w:rPr>
                        <w:rFonts w:ascii="Arial"/>
                        <w:sz w:val="21"/>
                      </w:rPr>
                    </w:pPr>
                  </w:p>
                  <w:p w14:paraId="35B6E48D">
                    <w:pPr>
                      <w:spacing w:before="54" w:line="202" w:lineRule="auto"/>
                      <w:ind w:left="20"/>
                      <w:rPr>
                        <w:rFonts w:ascii="宋体" w:hAnsi="宋体" w:eastAsia="宋体" w:cs="宋体"/>
                        <w:sz w:val="16"/>
                        <w:szCs w:val="16"/>
                      </w:rPr>
                    </w:pPr>
                    <w:r>
                      <w:rPr>
                        <w:rFonts w:ascii="宋体" w:hAnsi="宋体" w:eastAsia="宋体" w:cs="宋体"/>
                        <w:spacing w:val="21"/>
                        <w:sz w:val="16"/>
                        <w:szCs w:val="16"/>
                      </w:rPr>
                      <w:t>应用</w:t>
                    </w:r>
                  </w:p>
                  <w:p w14:paraId="32782336">
                    <w:pPr>
                      <w:spacing w:before="279" w:line="202" w:lineRule="auto"/>
                      <w:ind w:left="20"/>
                      <w:rPr>
                        <w:rFonts w:ascii="宋体" w:hAnsi="宋体" w:eastAsia="宋体" w:cs="宋体"/>
                        <w:sz w:val="16"/>
                        <w:szCs w:val="16"/>
                      </w:rPr>
                    </w:pPr>
                    <w:r>
                      <w:rPr>
                        <w:rFonts w:ascii="宋体" w:hAnsi="宋体" w:eastAsia="宋体" w:cs="宋体"/>
                        <w:spacing w:val="21"/>
                        <w:sz w:val="16"/>
                        <w:szCs w:val="16"/>
                      </w:rPr>
                      <w:t>应用</w:t>
                    </w:r>
                  </w:p>
                </w:txbxContent>
              </v:textbox>
            </v:shape>
            <v:shape id="_x0000_s1302" o:spid="_x0000_s1302" o:spt="202" type="#_x0000_t202" style="position:absolute;left:1020;top:2370;height:230;width:1239;" filled="f" stroked="f" coordsize="21600,21600">
              <v:path/>
              <v:fill on="f" focussize="0,0"/>
              <v:stroke on="f"/>
              <v:imagedata o:title=""/>
              <o:lock v:ext="edit" aspectratio="f"/>
              <v:textbox inset="0mm,0mm,0mm,0mm">
                <w:txbxContent>
                  <w:p w14:paraId="29B48ACB">
                    <w:pPr>
                      <w:spacing w:before="19" w:line="219" w:lineRule="auto"/>
                      <w:ind w:right="1"/>
                      <w:jc w:val="right"/>
                      <w:rPr>
                        <w:rFonts w:ascii="宋体" w:hAnsi="宋体" w:eastAsia="宋体" w:cs="宋体"/>
                        <w:sz w:val="19"/>
                        <w:szCs w:val="19"/>
                      </w:rPr>
                    </w:pPr>
                    <w:r>
                      <w:rPr>
                        <w:rFonts w:ascii="宋体" w:hAnsi="宋体" w:eastAsia="宋体" w:cs="宋体"/>
                        <w:spacing w:val="-18"/>
                        <w:sz w:val="19"/>
                        <w:szCs w:val="19"/>
                      </w:rPr>
                      <w:t>宿主机操作系</w:t>
                    </w:r>
                    <w:r>
                      <w:rPr>
                        <w:rFonts w:ascii="宋体" w:hAnsi="宋体" w:eastAsia="宋体" w:cs="宋体"/>
                        <w:spacing w:val="-11"/>
                        <w:sz w:val="19"/>
                        <w:szCs w:val="19"/>
                      </w:rPr>
                      <w:t>统</w:t>
                    </w:r>
                  </w:p>
                </w:txbxContent>
              </v:textbox>
            </v:shape>
            <w10:wrap type="none"/>
            <w10:anchorlock/>
          </v:group>
        </w:pict>
      </w:r>
    </w:p>
    <w:p w14:paraId="5E5D0ACA">
      <w:pPr>
        <w:pStyle w:val="2"/>
        <w:spacing w:before="76" w:line="219" w:lineRule="auto"/>
        <w:ind w:left="2610"/>
        <w:rPr>
          <w:sz w:val="19"/>
          <w:szCs w:val="19"/>
        </w:rPr>
      </w:pPr>
      <w:r>
        <w:rPr>
          <w:spacing w:val="-8"/>
          <w:sz w:val="19"/>
          <w:szCs w:val="19"/>
        </w:rPr>
        <w:t>图4-7</w:t>
      </w:r>
      <w:r>
        <w:rPr>
          <w:spacing w:val="78"/>
          <w:sz w:val="19"/>
          <w:szCs w:val="19"/>
        </w:rPr>
        <w:t xml:space="preserve"> </w:t>
      </w:r>
      <w:r>
        <w:rPr>
          <w:spacing w:val="-8"/>
          <w:sz w:val="19"/>
          <w:szCs w:val="19"/>
        </w:rPr>
        <w:t>虚拟化技术和容器技术的对比图</w:t>
      </w:r>
    </w:p>
    <w:p w14:paraId="3FA33B11">
      <w:pPr>
        <w:pStyle w:val="2"/>
        <w:spacing w:before="207" w:line="294" w:lineRule="auto"/>
        <w:ind w:right="297" w:firstLine="430"/>
        <w:jc w:val="both"/>
        <w:rPr>
          <w:sz w:val="19"/>
          <w:szCs w:val="19"/>
        </w:rPr>
      </w:pPr>
      <w:r>
        <w:rPr>
          <w:spacing w:val="13"/>
          <w:sz w:val="19"/>
          <w:szCs w:val="19"/>
        </w:rPr>
        <w:t>可以看出，容器是没有自己的操作系统的，直接共享宿主机的内核，也没有虚拟机监控器</w:t>
      </w:r>
      <w:r>
        <w:rPr>
          <w:spacing w:val="10"/>
          <w:sz w:val="19"/>
          <w:szCs w:val="19"/>
        </w:rPr>
        <w:t xml:space="preserve"> </w:t>
      </w:r>
      <w:r>
        <w:rPr>
          <w:spacing w:val="9"/>
          <w:sz w:val="19"/>
          <w:szCs w:val="19"/>
        </w:rPr>
        <w:t>这一层进行资源隔离和限制，所有对于容器进程的限制都是基于操作系统本身的能力来进行的，</w:t>
      </w:r>
      <w:r>
        <w:rPr>
          <w:spacing w:val="5"/>
          <w:sz w:val="19"/>
          <w:szCs w:val="19"/>
        </w:rPr>
        <w:t xml:space="preserve"> </w:t>
      </w:r>
      <w:r>
        <w:rPr>
          <w:spacing w:val="13"/>
          <w:sz w:val="19"/>
          <w:szCs w:val="19"/>
        </w:rPr>
        <w:t>由此容器获得了一个很大的优势，即轻量化，由于没有虚拟机监控器这一层，也没</w:t>
      </w:r>
      <w:r>
        <w:rPr>
          <w:spacing w:val="12"/>
          <w:sz w:val="19"/>
          <w:szCs w:val="19"/>
        </w:rPr>
        <w:t>有自己的操</w:t>
      </w:r>
      <w:r>
        <w:rPr>
          <w:sz w:val="19"/>
          <w:szCs w:val="19"/>
        </w:rPr>
        <w:t xml:space="preserve"> </w:t>
      </w:r>
      <w:r>
        <w:rPr>
          <w:spacing w:val="8"/>
          <w:sz w:val="19"/>
          <w:szCs w:val="19"/>
        </w:rPr>
        <w:t>作系统，自然占用资源很小，因此镜像文件占用空间也相应要比虚拟机小。</w:t>
      </w:r>
    </w:p>
    <w:p w14:paraId="7B27BB17">
      <w:pPr>
        <w:pStyle w:val="2"/>
        <w:spacing w:before="168" w:line="219" w:lineRule="auto"/>
        <w:rPr>
          <w:sz w:val="25"/>
          <w:szCs w:val="25"/>
        </w:rPr>
      </w:pPr>
      <w:r>
        <w:rPr>
          <w:rFonts w:ascii="Times New Roman" w:hAnsi="Times New Roman" w:eastAsia="Times New Roman" w:cs="Times New Roman"/>
          <w:b/>
          <w:bCs/>
          <w:color w:val="006CD9"/>
          <w:spacing w:val="-3"/>
          <w:sz w:val="25"/>
          <w:szCs w:val="25"/>
        </w:rPr>
        <w:t>4.2.8</w:t>
      </w:r>
      <w:r>
        <w:rPr>
          <w:rFonts w:ascii="Times New Roman" w:hAnsi="Times New Roman" w:eastAsia="Times New Roman" w:cs="Times New Roman"/>
          <w:b/>
          <w:bCs/>
          <w:color w:val="006CD9"/>
          <w:spacing w:val="14"/>
          <w:sz w:val="25"/>
          <w:szCs w:val="25"/>
        </w:rPr>
        <w:t xml:space="preserve">   </w:t>
      </w:r>
      <w:r>
        <w:rPr>
          <w:rFonts w:ascii="Times New Roman" w:hAnsi="Times New Roman" w:eastAsia="Times New Roman" w:cs="Times New Roman"/>
          <w:b/>
          <w:bCs/>
          <w:color w:val="006CD9"/>
          <w:spacing w:val="-3"/>
          <w:sz w:val="25"/>
          <w:szCs w:val="25"/>
        </w:rPr>
        <w:t>SaaS</w:t>
      </w:r>
      <w:r>
        <w:rPr>
          <w:b/>
          <w:bCs/>
          <w:color w:val="006CD9"/>
          <w:spacing w:val="-3"/>
          <w:sz w:val="25"/>
          <w:szCs w:val="25"/>
        </w:rPr>
        <w:t>模式</w:t>
      </w:r>
    </w:p>
    <w:p w14:paraId="4667EFF6">
      <w:pPr>
        <w:pStyle w:val="2"/>
        <w:spacing w:before="162" w:line="303" w:lineRule="auto"/>
        <w:ind w:right="303" w:firstLine="430"/>
        <w:jc w:val="both"/>
        <w:rPr>
          <w:sz w:val="19"/>
          <w:szCs w:val="19"/>
        </w:rPr>
      </w:pPr>
      <w:r>
        <w:rPr>
          <w:sz w:val="19"/>
          <w:szCs w:val="19"/>
        </w:rPr>
        <w:t>SaaS</w:t>
      </w:r>
      <w:r>
        <w:rPr>
          <w:spacing w:val="14"/>
          <w:sz w:val="19"/>
          <w:szCs w:val="19"/>
        </w:rPr>
        <w:t>, 简言之就是软件部署在云端，让用户通过互联网</w:t>
      </w:r>
      <w:r>
        <w:rPr>
          <w:spacing w:val="13"/>
          <w:sz w:val="19"/>
          <w:szCs w:val="19"/>
        </w:rPr>
        <w:t>来使用它，即云服务提供商把系统</w:t>
      </w:r>
      <w:r>
        <w:rPr>
          <w:sz w:val="19"/>
          <w:szCs w:val="19"/>
        </w:rPr>
        <w:t xml:space="preserve"> </w:t>
      </w:r>
      <w:r>
        <w:rPr>
          <w:spacing w:val="13"/>
          <w:sz w:val="19"/>
          <w:szCs w:val="19"/>
        </w:rPr>
        <w:t>的应用软件层作为服务出租出去，而消费者可以使用任何云终端设备接入计算</w:t>
      </w:r>
      <w:r>
        <w:rPr>
          <w:spacing w:val="12"/>
          <w:sz w:val="19"/>
          <w:szCs w:val="19"/>
        </w:rPr>
        <w:t>机网络，然后通</w:t>
      </w:r>
      <w:r>
        <w:rPr>
          <w:sz w:val="19"/>
          <w:szCs w:val="19"/>
        </w:rPr>
        <w:t xml:space="preserve"> </w:t>
      </w:r>
      <w:r>
        <w:rPr>
          <w:spacing w:val="7"/>
          <w:sz w:val="19"/>
          <w:szCs w:val="19"/>
        </w:rPr>
        <w:t>过网页浏览器或者编程接口使用云端的软件。</w:t>
      </w:r>
    </w:p>
    <w:p w14:paraId="38E03317">
      <w:pPr>
        <w:pStyle w:val="2"/>
        <w:spacing w:before="103" w:line="222" w:lineRule="auto"/>
        <w:ind w:left="432"/>
        <w:rPr>
          <w:rFonts w:ascii="黑体" w:hAnsi="黑体" w:eastAsia="黑体" w:cs="黑体"/>
          <w:sz w:val="19"/>
          <w:szCs w:val="19"/>
        </w:rPr>
      </w:pPr>
      <w:r>
        <w:rPr>
          <w:b/>
          <w:bCs/>
          <w:color w:val="3197E5"/>
          <w:spacing w:val="6"/>
          <w:sz w:val="19"/>
          <w:szCs w:val="19"/>
        </w:rPr>
        <w:t>1.</w:t>
      </w:r>
      <w:r>
        <w:rPr>
          <w:rFonts w:ascii="黑体" w:hAnsi="黑体" w:eastAsia="黑体" w:cs="黑体"/>
          <w:b/>
          <w:bCs/>
          <w:color w:val="3197E5"/>
          <w:spacing w:val="6"/>
          <w:sz w:val="19"/>
          <w:szCs w:val="19"/>
        </w:rPr>
        <w:t>特点</w:t>
      </w:r>
    </w:p>
    <w:p w14:paraId="530E7DC4">
      <w:pPr>
        <w:spacing w:before="206" w:line="212" w:lineRule="auto"/>
        <w:ind w:left="430"/>
        <w:rPr>
          <w:rFonts w:ascii="楷体" w:hAnsi="楷体" w:eastAsia="楷体" w:cs="楷体"/>
          <w:sz w:val="19"/>
          <w:szCs w:val="19"/>
        </w:rPr>
      </w:pPr>
      <w:r>
        <w:rPr>
          <w:rFonts w:ascii="Times New Roman" w:hAnsi="Times New Roman" w:eastAsia="Times New Roman" w:cs="Times New Roman"/>
          <w:b/>
          <w:bCs/>
          <w:spacing w:val="4"/>
          <w:sz w:val="19"/>
          <w:szCs w:val="19"/>
        </w:rPr>
        <w:t>1)</w:t>
      </w:r>
      <w:r>
        <w:rPr>
          <w:rFonts w:ascii="Times New Roman" w:hAnsi="Times New Roman" w:eastAsia="Times New Roman" w:cs="Times New Roman"/>
          <w:b/>
          <w:bCs/>
          <w:sz w:val="19"/>
          <w:szCs w:val="19"/>
        </w:rPr>
        <w:t>SaaS</w:t>
      </w:r>
      <w:r>
        <w:rPr>
          <w:rFonts w:ascii="Times New Roman" w:hAnsi="Times New Roman" w:eastAsia="Times New Roman" w:cs="Times New Roman"/>
          <w:b/>
          <w:bCs/>
          <w:spacing w:val="15"/>
          <w:sz w:val="19"/>
          <w:szCs w:val="19"/>
        </w:rPr>
        <w:t xml:space="preserve">   </w:t>
      </w:r>
      <w:r>
        <w:rPr>
          <w:rFonts w:ascii="楷体" w:hAnsi="楷体" w:eastAsia="楷体" w:cs="楷体"/>
          <w:b/>
          <w:bCs/>
          <w:spacing w:val="4"/>
          <w:sz w:val="19"/>
          <w:szCs w:val="19"/>
        </w:rPr>
        <w:t>的服务模式</w:t>
      </w:r>
    </w:p>
    <w:p w14:paraId="000E8EB3">
      <w:pPr>
        <w:pStyle w:val="2"/>
        <w:spacing w:before="70" w:line="295" w:lineRule="auto"/>
        <w:ind w:right="297" w:firstLine="430"/>
        <w:jc w:val="both"/>
        <w:rPr>
          <w:sz w:val="19"/>
          <w:szCs w:val="19"/>
        </w:rPr>
      </w:pPr>
      <w:r>
        <w:rPr>
          <w:rFonts w:ascii="Times New Roman" w:hAnsi="Times New Roman" w:eastAsia="Times New Roman" w:cs="Times New Roman"/>
          <w:sz w:val="19"/>
          <w:szCs w:val="19"/>
        </w:rPr>
        <w:t>SaaS</w:t>
      </w:r>
      <w:r>
        <w:rPr>
          <w:rFonts w:ascii="Times New Roman" w:hAnsi="Times New Roman" w:eastAsia="Times New Roman" w:cs="Times New Roman"/>
          <w:spacing w:val="32"/>
          <w:w w:val="101"/>
          <w:sz w:val="19"/>
          <w:szCs w:val="19"/>
        </w:rPr>
        <w:t xml:space="preserve"> </w:t>
      </w:r>
      <w:r>
        <w:rPr>
          <w:spacing w:val="12"/>
          <w:sz w:val="19"/>
          <w:szCs w:val="19"/>
        </w:rPr>
        <w:t>的种类与产品已经非常丰富，面向个人用户的服务包括：账务管理、文件管理、照片</w:t>
      </w:r>
      <w:r>
        <w:rPr>
          <w:sz w:val="19"/>
          <w:szCs w:val="19"/>
        </w:rPr>
        <w:t xml:space="preserve"> </w:t>
      </w:r>
      <w:r>
        <w:rPr>
          <w:spacing w:val="13"/>
          <w:sz w:val="19"/>
          <w:szCs w:val="19"/>
        </w:rPr>
        <w:t>管理、在线文档编辑、表制作、资源整合、日程表管理、联系人管理等；面向企</w:t>
      </w:r>
      <w:r>
        <w:rPr>
          <w:spacing w:val="12"/>
          <w:sz w:val="19"/>
          <w:szCs w:val="19"/>
        </w:rPr>
        <w:t>业用户的服务</w:t>
      </w:r>
      <w:r>
        <w:rPr>
          <w:sz w:val="19"/>
          <w:szCs w:val="19"/>
        </w:rPr>
        <w:t xml:space="preserve"> </w:t>
      </w:r>
      <w:r>
        <w:rPr>
          <w:spacing w:val="9"/>
          <w:sz w:val="19"/>
          <w:szCs w:val="19"/>
        </w:rPr>
        <w:t>包括：在线存储管理、网上会议、项目管理、</w:t>
      </w:r>
      <w:r>
        <w:rPr>
          <w:rFonts w:ascii="Times New Roman" w:hAnsi="Times New Roman" w:eastAsia="Times New Roman" w:cs="Times New Roman"/>
          <w:sz w:val="19"/>
          <w:szCs w:val="19"/>
        </w:rPr>
        <w:t>CRM</w:t>
      </w:r>
      <w:r>
        <w:rPr>
          <w:rFonts w:ascii="Times New Roman" w:hAnsi="Times New Roman" w:eastAsia="Times New Roman" w:cs="Times New Roman"/>
          <w:spacing w:val="-15"/>
          <w:sz w:val="19"/>
          <w:szCs w:val="19"/>
        </w:rPr>
        <w:t xml:space="preserve"> </w:t>
      </w:r>
      <w:r>
        <w:rPr>
          <w:spacing w:val="9"/>
          <w:sz w:val="19"/>
          <w:szCs w:val="19"/>
        </w:rPr>
        <w:t>、</w:t>
      </w:r>
      <w:r>
        <w:rPr>
          <w:rFonts w:ascii="Times New Roman" w:hAnsi="Times New Roman" w:eastAsia="Times New Roman" w:cs="Times New Roman"/>
          <w:sz w:val="19"/>
          <w:szCs w:val="19"/>
        </w:rPr>
        <w:t>ERP</w:t>
      </w:r>
      <w:r>
        <w:rPr>
          <w:rFonts w:ascii="Times New Roman" w:hAnsi="Times New Roman" w:eastAsia="Times New Roman" w:cs="Times New Roman"/>
          <w:spacing w:val="-27"/>
          <w:sz w:val="19"/>
          <w:szCs w:val="19"/>
        </w:rPr>
        <w:t xml:space="preserve"> </w:t>
      </w:r>
      <w:r>
        <w:rPr>
          <w:spacing w:val="9"/>
          <w:sz w:val="19"/>
          <w:szCs w:val="19"/>
        </w:rPr>
        <w:t>、 人力资源管理</w:t>
      </w:r>
      <w:r>
        <w:rPr>
          <w:spacing w:val="-32"/>
          <w:sz w:val="19"/>
          <w:szCs w:val="19"/>
        </w:rPr>
        <w:t xml:space="preserve"> </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HRM</w:t>
      </w:r>
      <w:r>
        <w:rPr>
          <w:rFonts w:ascii="Times New Roman" w:hAnsi="Times New Roman" w:eastAsia="Times New Roman" w:cs="Times New Roman"/>
          <w:spacing w:val="9"/>
          <w:sz w:val="19"/>
          <w:szCs w:val="19"/>
        </w:rPr>
        <w:t>)</w:t>
      </w:r>
      <w:r>
        <w:rPr>
          <w:rFonts w:ascii="Times New Roman" w:hAnsi="Times New Roman" w:eastAsia="Times New Roman" w:cs="Times New Roman"/>
          <w:spacing w:val="-26"/>
          <w:sz w:val="19"/>
          <w:szCs w:val="19"/>
        </w:rPr>
        <w:t xml:space="preserve"> </w:t>
      </w:r>
      <w:r>
        <w:rPr>
          <w:spacing w:val="9"/>
          <w:sz w:val="19"/>
          <w:szCs w:val="19"/>
        </w:rPr>
        <w:t>、</w:t>
      </w:r>
      <w:r>
        <w:rPr>
          <w:spacing w:val="63"/>
          <w:sz w:val="19"/>
          <w:szCs w:val="19"/>
        </w:rPr>
        <w:t xml:space="preserve"> </w:t>
      </w:r>
      <w:r>
        <w:rPr>
          <w:spacing w:val="9"/>
          <w:sz w:val="19"/>
          <w:szCs w:val="19"/>
        </w:rPr>
        <w:t>销售管理</w:t>
      </w:r>
      <w:r>
        <w:rPr>
          <w:sz w:val="19"/>
          <w:szCs w:val="19"/>
        </w:rPr>
        <w:t xml:space="preserve"> </w:t>
      </w:r>
      <w:r>
        <w:rPr>
          <w:spacing w:val="10"/>
          <w:sz w:val="19"/>
          <w:szCs w:val="19"/>
        </w:rPr>
        <w:t>(</w:t>
      </w:r>
      <w:r>
        <w:rPr>
          <w:sz w:val="19"/>
          <w:szCs w:val="19"/>
        </w:rPr>
        <w:t>STS</w:t>
      </w:r>
      <w:r>
        <w:rPr>
          <w:spacing w:val="10"/>
          <w:sz w:val="19"/>
          <w:szCs w:val="19"/>
        </w:rPr>
        <w:t>)、 协调办公系统(</w:t>
      </w:r>
      <w:r>
        <w:rPr>
          <w:sz w:val="19"/>
          <w:szCs w:val="19"/>
        </w:rPr>
        <w:t>EOA</w:t>
      </w:r>
      <w:r>
        <w:rPr>
          <w:spacing w:val="10"/>
          <w:sz w:val="19"/>
          <w:szCs w:val="19"/>
        </w:rPr>
        <w:t>)、  财务管理、在线广告管理，以及针对特定行业和领域的应用服</w:t>
      </w:r>
      <w:r>
        <w:rPr>
          <w:spacing w:val="11"/>
          <w:sz w:val="19"/>
          <w:szCs w:val="19"/>
        </w:rPr>
        <w:t xml:space="preserve"> </w:t>
      </w:r>
      <w:r>
        <w:rPr>
          <w:spacing w:val="1"/>
          <w:sz w:val="19"/>
          <w:szCs w:val="19"/>
        </w:rPr>
        <w:t>务等。</w:t>
      </w:r>
    </w:p>
    <w:p w14:paraId="1E936C13">
      <w:pPr>
        <w:spacing w:line="295" w:lineRule="auto"/>
        <w:rPr>
          <w:sz w:val="19"/>
          <w:szCs w:val="19"/>
        </w:rPr>
        <w:sectPr>
          <w:pgSz w:w="10290" w:h="13280"/>
          <w:pgMar w:top="400" w:right="557" w:bottom="400" w:left="1069" w:header="0" w:footer="0" w:gutter="0"/>
          <w:cols w:space="720" w:num="1"/>
        </w:sectPr>
      </w:pPr>
    </w:p>
    <w:p w14:paraId="492CC603">
      <w:pPr>
        <w:pStyle w:val="2"/>
        <w:spacing w:before="67" w:line="219" w:lineRule="auto"/>
        <w:rPr>
          <w:sz w:val="19"/>
          <w:szCs w:val="19"/>
        </w:rPr>
      </w:pPr>
      <w:r>
        <w:rPr>
          <w:rFonts w:ascii="Times New Roman" w:hAnsi="Times New Roman" w:eastAsia="Times New Roman" w:cs="Times New Roman"/>
          <w:spacing w:val="4"/>
          <w:sz w:val="19"/>
          <w:szCs w:val="19"/>
        </w:rPr>
        <w:t xml:space="preserve">144              </w:t>
      </w:r>
      <w:r>
        <w:rPr>
          <w:spacing w:val="4"/>
          <w:sz w:val="19"/>
          <w:szCs w:val="19"/>
        </w:rPr>
        <w:t>信息系统监理师教程(第2版)</w:t>
      </w:r>
    </w:p>
    <w:p w14:paraId="61A3DA1B">
      <w:pPr>
        <w:spacing w:line="301" w:lineRule="auto"/>
        <w:rPr>
          <w:rFonts w:ascii="Arial"/>
          <w:sz w:val="21"/>
        </w:rPr>
      </w:pPr>
    </w:p>
    <w:p w14:paraId="546C0019">
      <w:pPr>
        <w:pStyle w:val="2"/>
        <w:spacing w:before="62" w:line="304" w:lineRule="auto"/>
        <w:ind w:left="369" w:firstLine="400"/>
        <w:jc w:val="both"/>
        <w:rPr>
          <w:sz w:val="19"/>
          <w:szCs w:val="19"/>
        </w:rPr>
      </w:pPr>
      <w:r>
        <w:rPr>
          <w:spacing w:val="9"/>
          <w:sz w:val="19"/>
          <w:szCs w:val="19"/>
        </w:rPr>
        <w:t xml:space="preserve">与传统软件相比， </w:t>
      </w:r>
      <w:r>
        <w:rPr>
          <w:rFonts w:ascii="Times New Roman" w:hAnsi="Times New Roman" w:eastAsia="Times New Roman" w:cs="Times New Roman"/>
          <w:sz w:val="19"/>
          <w:szCs w:val="19"/>
        </w:rPr>
        <w:t>SaaS</w:t>
      </w:r>
      <w:r>
        <w:rPr>
          <w:rFonts w:ascii="Times New Roman" w:hAnsi="Times New Roman" w:eastAsia="Times New Roman" w:cs="Times New Roman"/>
          <w:spacing w:val="44"/>
          <w:w w:val="101"/>
          <w:sz w:val="19"/>
          <w:szCs w:val="19"/>
        </w:rPr>
        <w:t xml:space="preserve"> </w:t>
      </w:r>
      <w:r>
        <w:rPr>
          <w:spacing w:val="9"/>
          <w:sz w:val="19"/>
          <w:szCs w:val="19"/>
        </w:rPr>
        <w:t>依托于互联网，无论从技术角度还是商务角度都拥有与传统软件不</w:t>
      </w:r>
      <w:r>
        <w:rPr>
          <w:sz w:val="19"/>
          <w:szCs w:val="19"/>
        </w:rPr>
        <w:t xml:space="preserve"> </w:t>
      </w:r>
      <w:r>
        <w:rPr>
          <w:spacing w:val="12"/>
          <w:sz w:val="19"/>
          <w:szCs w:val="19"/>
        </w:rPr>
        <w:t>同的特性。在</w:t>
      </w:r>
      <w:r>
        <w:rPr>
          <w:sz w:val="19"/>
          <w:szCs w:val="19"/>
        </w:rPr>
        <w:t>SaaS</w:t>
      </w:r>
      <w:r>
        <w:rPr>
          <w:spacing w:val="12"/>
          <w:sz w:val="19"/>
          <w:szCs w:val="19"/>
        </w:rPr>
        <w:t xml:space="preserve"> 模式下，软件使用者无须购置额外的硬件设备、软件许可证</w:t>
      </w:r>
      <w:r>
        <w:rPr>
          <w:spacing w:val="11"/>
          <w:sz w:val="19"/>
          <w:szCs w:val="19"/>
        </w:rPr>
        <w:t>及安装和维护软</w:t>
      </w:r>
      <w:r>
        <w:rPr>
          <w:sz w:val="19"/>
          <w:szCs w:val="19"/>
        </w:rPr>
        <w:t xml:space="preserve"> </w:t>
      </w:r>
      <w:r>
        <w:rPr>
          <w:spacing w:val="14"/>
          <w:sz w:val="19"/>
          <w:szCs w:val="19"/>
        </w:rPr>
        <w:t>件系统，只要通过互联网浏览器就可以在任何时间、任何地点轻松地使用软</w:t>
      </w:r>
      <w:r>
        <w:rPr>
          <w:spacing w:val="13"/>
          <w:sz w:val="19"/>
          <w:szCs w:val="19"/>
        </w:rPr>
        <w:t>件，并按照使用量</w:t>
      </w:r>
      <w:r>
        <w:rPr>
          <w:sz w:val="19"/>
          <w:szCs w:val="19"/>
        </w:rPr>
        <w:t xml:space="preserve"> </w:t>
      </w:r>
      <w:r>
        <w:rPr>
          <w:spacing w:val="6"/>
          <w:sz w:val="19"/>
          <w:szCs w:val="19"/>
        </w:rPr>
        <w:t>定期支付使用费。</w:t>
      </w:r>
      <w:r>
        <w:rPr>
          <w:spacing w:val="-25"/>
          <w:sz w:val="19"/>
          <w:szCs w:val="19"/>
        </w:rPr>
        <w:t xml:space="preserve"> </w:t>
      </w:r>
      <w:r>
        <w:rPr>
          <w:sz w:val="19"/>
          <w:szCs w:val="19"/>
        </w:rPr>
        <w:t>SaaS</w:t>
      </w:r>
      <w:r>
        <w:rPr>
          <w:spacing w:val="6"/>
          <w:sz w:val="19"/>
          <w:szCs w:val="19"/>
        </w:rPr>
        <w:t xml:space="preserve"> 云层次架构图如图4-</w:t>
      </w:r>
      <w:r>
        <w:rPr>
          <w:spacing w:val="5"/>
          <w:sz w:val="19"/>
          <w:szCs w:val="19"/>
        </w:rPr>
        <w:t>8所示。</w:t>
      </w:r>
    </w:p>
    <w:p w14:paraId="63156386">
      <w:pPr>
        <w:pStyle w:val="2"/>
        <w:spacing w:before="49" w:line="4100" w:lineRule="exact"/>
        <w:ind w:firstLine="1979"/>
      </w:pPr>
      <w:r>
        <w:rPr>
          <w:position w:val="-82"/>
        </w:rPr>
        <w:pict>
          <v:group id="_x0000_s1303" o:spid="_x0000_s1303" o:spt="203" style="height:205.05pt;width:256.05pt;" coordsize="5120,4101">
            <o:lock v:ext="edit"/>
            <v:shape id="_x0000_s1304" o:spid="_x0000_s1304" o:spt="75" type="#_x0000_t75" style="position:absolute;left:0;top:0;height:4101;width:5120;" filled="f" stroked="f" coordsize="21600,21600">
              <v:path/>
              <v:fill on="f" focussize="0,0"/>
              <v:stroke on="f"/>
              <v:imagedata r:id="rId113" o:title=""/>
              <o:lock v:ext="edit" aspectratio="t"/>
            </v:shape>
            <v:shape id="_x0000_s1305" o:spid="_x0000_s1305" o:spt="202" type="#_x0000_t202" style="position:absolute;left:60;top:657;height:3290;width:5011;" filled="f" stroked="f" coordsize="21600,21600">
              <v:path/>
              <v:fill on="f" focussize="0,0"/>
              <v:stroke on="f"/>
              <v:imagedata o:title=""/>
              <o:lock v:ext="edit" aspectratio="f"/>
              <v:textbox inset="0mm,0mm,0mm,0mm">
                <w:txbxContent>
                  <w:p w14:paraId="26B1C2CE">
                    <w:pPr>
                      <w:spacing w:before="20" w:line="219" w:lineRule="auto"/>
                      <w:ind w:left="2010"/>
                      <w:rPr>
                        <w:rFonts w:ascii="宋体" w:hAnsi="宋体" w:eastAsia="宋体" w:cs="宋体"/>
                        <w:sz w:val="19"/>
                        <w:szCs w:val="19"/>
                      </w:rPr>
                    </w:pPr>
                    <w:r>
                      <w:rPr>
                        <w:rFonts w:ascii="宋体" w:hAnsi="宋体" w:eastAsia="宋体" w:cs="宋体"/>
                        <w:spacing w:val="-13"/>
                        <w:sz w:val="19"/>
                        <w:szCs w:val="19"/>
                      </w:rPr>
                      <w:t>数据信息</w:t>
                    </w:r>
                  </w:p>
                  <w:p w14:paraId="6CA3F5AE">
                    <w:pPr>
                      <w:spacing w:before="174" w:line="204" w:lineRule="auto"/>
                      <w:ind w:left="2010"/>
                      <w:rPr>
                        <w:rFonts w:ascii="宋体" w:hAnsi="宋体" w:eastAsia="宋体" w:cs="宋体"/>
                        <w:sz w:val="19"/>
                        <w:szCs w:val="19"/>
                      </w:rPr>
                    </w:pPr>
                    <w:r>
                      <w:rPr>
                        <w:rFonts w:ascii="宋体" w:hAnsi="宋体" w:eastAsia="宋体" w:cs="宋体"/>
                        <w:spacing w:val="-14"/>
                        <w:sz w:val="19"/>
                        <w:szCs w:val="19"/>
                      </w:rPr>
                      <w:t>应用软件</w:t>
                    </w:r>
                  </w:p>
                  <w:p w14:paraId="21505762">
                    <w:pPr>
                      <w:spacing w:before="1" w:line="169" w:lineRule="auto"/>
                      <w:jc w:val="right"/>
                      <w:rPr>
                        <w:rFonts w:ascii="宋体" w:hAnsi="宋体" w:eastAsia="宋体" w:cs="宋体"/>
                        <w:sz w:val="19"/>
                        <w:szCs w:val="19"/>
                      </w:rPr>
                    </w:pPr>
                    <w:r>
                      <w:rPr>
                        <w:rFonts w:ascii="宋体" w:hAnsi="宋体" w:eastAsia="宋体" w:cs="宋体"/>
                        <w:spacing w:val="-17"/>
                        <w:sz w:val="19"/>
                        <w:szCs w:val="19"/>
                      </w:rPr>
                      <w:t>平台软件</w:t>
                    </w:r>
                    <w:r>
                      <w:rPr>
                        <w:rFonts w:ascii="宋体" w:hAnsi="宋体" w:eastAsia="宋体" w:cs="宋体"/>
                        <w:spacing w:val="-12"/>
                        <w:sz w:val="19"/>
                        <w:szCs w:val="19"/>
                      </w:rPr>
                      <w:t>层</w:t>
                    </w:r>
                  </w:p>
                  <w:p w14:paraId="523241C2">
                    <w:pPr>
                      <w:spacing w:line="204" w:lineRule="auto"/>
                      <w:ind w:left="1790"/>
                      <w:rPr>
                        <w:rFonts w:ascii="宋体" w:hAnsi="宋体" w:eastAsia="宋体" w:cs="宋体"/>
                        <w:sz w:val="19"/>
                        <w:szCs w:val="19"/>
                      </w:rPr>
                    </w:pPr>
                    <w:r>
                      <w:rPr>
                        <w:rFonts w:ascii="宋体" w:hAnsi="宋体" w:eastAsia="宋体" w:cs="宋体"/>
                        <w:spacing w:val="-8"/>
                        <w:sz w:val="19"/>
                        <w:szCs w:val="19"/>
                      </w:rPr>
                      <w:t>中间件&amp;运行库</w:t>
                    </w:r>
                  </w:p>
                  <w:p w14:paraId="386C1E0D">
                    <w:pPr>
                      <w:spacing w:before="174" w:line="219" w:lineRule="auto"/>
                      <w:ind w:left="2089"/>
                      <w:rPr>
                        <w:rFonts w:ascii="宋体" w:hAnsi="宋体" w:eastAsia="宋体" w:cs="宋体"/>
                        <w:sz w:val="19"/>
                        <w:szCs w:val="19"/>
                      </w:rPr>
                    </w:pPr>
                    <w:r>
                      <w:rPr>
                        <w:rFonts w:ascii="宋体" w:hAnsi="宋体" w:eastAsia="宋体" w:cs="宋体"/>
                        <w:spacing w:val="-9"/>
                        <w:sz w:val="19"/>
                        <w:szCs w:val="19"/>
                      </w:rPr>
                      <w:t>数据库</w:t>
                    </w:r>
                  </w:p>
                  <w:p w14:paraId="39770E61">
                    <w:pPr>
                      <w:spacing w:before="164" w:line="170" w:lineRule="auto"/>
                      <w:ind w:left="2010"/>
                      <w:rPr>
                        <w:rFonts w:ascii="宋体" w:hAnsi="宋体" w:eastAsia="宋体" w:cs="宋体"/>
                        <w:sz w:val="19"/>
                        <w:szCs w:val="19"/>
                      </w:rPr>
                    </w:pPr>
                    <w:r>
                      <w:rPr>
                        <w:rFonts w:ascii="宋体" w:hAnsi="宋体" w:eastAsia="宋体" w:cs="宋体"/>
                        <w:spacing w:val="-14"/>
                        <w:sz w:val="19"/>
                        <w:szCs w:val="19"/>
                      </w:rPr>
                      <w:t>操作系统</w:t>
                    </w:r>
                  </w:p>
                  <w:p w14:paraId="5E6727E6">
                    <w:pPr>
                      <w:spacing w:before="1" w:line="198" w:lineRule="auto"/>
                      <w:ind w:left="20"/>
                      <w:rPr>
                        <w:rFonts w:ascii="宋体" w:hAnsi="宋体" w:eastAsia="宋体" w:cs="宋体"/>
                        <w:sz w:val="19"/>
                        <w:szCs w:val="19"/>
                      </w:rPr>
                    </w:pPr>
                    <w:r>
                      <w:rPr>
                        <w:rFonts w:ascii="宋体" w:hAnsi="宋体" w:eastAsia="宋体" w:cs="宋体"/>
                        <w:spacing w:val="-18"/>
                        <w:w w:val="96"/>
                        <w:sz w:val="19"/>
                        <w:szCs w:val="19"/>
                      </w:rPr>
                      <w:t>云端公司管理-</w:t>
                    </w:r>
                  </w:p>
                  <w:p w14:paraId="0DB97C7F">
                    <w:pPr>
                      <w:spacing w:line="219" w:lineRule="auto"/>
                      <w:ind w:left="1600"/>
                      <w:rPr>
                        <w:rFonts w:ascii="宋体" w:hAnsi="宋体" w:eastAsia="宋体" w:cs="宋体"/>
                        <w:sz w:val="19"/>
                        <w:szCs w:val="19"/>
                      </w:rPr>
                    </w:pPr>
                    <w:bookmarkStart w:id="786" w:name="bookmark539"/>
                    <w:bookmarkEnd w:id="786"/>
                    <w:r>
                      <w:rPr>
                        <w:rFonts w:ascii="宋体" w:hAnsi="宋体" w:eastAsia="宋体" w:cs="宋体"/>
                        <w:spacing w:val="-12"/>
                        <w:sz w:val="19"/>
                        <w:szCs w:val="19"/>
                      </w:rPr>
                      <w:t>服务器</w:t>
                    </w:r>
                    <w:r>
                      <w:rPr>
                        <w:rFonts w:ascii="宋体" w:hAnsi="宋体" w:eastAsia="宋体" w:cs="宋体"/>
                        <w:spacing w:val="1"/>
                        <w:sz w:val="19"/>
                        <w:szCs w:val="19"/>
                      </w:rPr>
                      <w:t xml:space="preserve">     </w:t>
                    </w:r>
                    <w:r>
                      <w:rPr>
                        <w:rFonts w:ascii="宋体" w:hAnsi="宋体" w:eastAsia="宋体" w:cs="宋体"/>
                        <w:spacing w:val="-12"/>
                        <w:sz w:val="19"/>
                        <w:szCs w:val="19"/>
                      </w:rPr>
                      <w:t>虚拟机</w:t>
                    </w:r>
                  </w:p>
                  <w:p w14:paraId="10C37C2A">
                    <w:pPr>
                      <w:spacing w:before="134" w:line="222" w:lineRule="auto"/>
                      <w:ind w:left="2089"/>
                      <w:rPr>
                        <w:rFonts w:ascii="黑体" w:hAnsi="黑体" w:eastAsia="黑体" w:cs="黑体"/>
                        <w:sz w:val="19"/>
                        <w:szCs w:val="19"/>
                      </w:rPr>
                    </w:pPr>
                    <w:r>
                      <w:rPr>
                        <w:rFonts w:ascii="黑体" w:hAnsi="黑体" w:eastAsia="黑体" w:cs="黑体"/>
                        <w:spacing w:val="-10"/>
                        <w:sz w:val="19"/>
                        <w:szCs w:val="19"/>
                      </w:rPr>
                      <w:t>磁盘柜</w:t>
                    </w:r>
                  </w:p>
                  <w:p w14:paraId="369396A4">
                    <w:pPr>
                      <w:spacing w:before="141" w:line="219" w:lineRule="auto"/>
                      <w:ind w:left="1930"/>
                      <w:rPr>
                        <w:rFonts w:ascii="宋体" w:hAnsi="宋体" w:eastAsia="宋体" w:cs="宋体"/>
                        <w:sz w:val="19"/>
                        <w:szCs w:val="19"/>
                      </w:rPr>
                    </w:pPr>
                    <w:r>
                      <w:rPr>
                        <w:rFonts w:ascii="宋体" w:hAnsi="宋体" w:eastAsia="宋体" w:cs="宋体"/>
                        <w:spacing w:val="-15"/>
                        <w:sz w:val="19"/>
                        <w:szCs w:val="19"/>
                      </w:rPr>
                      <w:t>计算机网络</w:t>
                    </w:r>
                  </w:p>
                  <w:p w14:paraId="73A19668">
                    <w:pPr>
                      <w:spacing w:before="165" w:line="219" w:lineRule="auto"/>
                      <w:ind w:left="1840"/>
                      <w:rPr>
                        <w:rFonts w:ascii="宋体" w:hAnsi="宋体" w:eastAsia="宋体" w:cs="宋体"/>
                        <w:sz w:val="19"/>
                        <w:szCs w:val="19"/>
                      </w:rPr>
                    </w:pPr>
                    <w:r>
                      <w:rPr>
                        <w:rFonts w:ascii="宋体" w:hAnsi="宋体" w:eastAsia="宋体" w:cs="宋体"/>
                        <w:spacing w:val="-15"/>
                        <w:w w:val="99"/>
                        <w:sz w:val="19"/>
                        <w:szCs w:val="19"/>
                      </w:rPr>
                      <w:t>机房基础设施</w:t>
                    </w:r>
                  </w:p>
                </w:txbxContent>
              </v:textbox>
            </v:shape>
            <v:shape id="_x0000_s1306" o:spid="_x0000_s1306" o:spt="202" type="#_x0000_t202" style="position:absolute;left:60;top:667;height:230;width:1066;" filled="f" stroked="f" coordsize="21600,21600">
              <v:path/>
              <v:fill on="f" focussize="0,0"/>
              <v:stroke on="f"/>
              <v:imagedata o:title=""/>
              <o:lock v:ext="edit" aspectratio="f"/>
              <v:textbox inset="0mm,0mm,0mm,0mm">
                <w:txbxContent>
                  <w:p w14:paraId="074C1E78">
                    <w:pPr>
                      <w:spacing w:before="20" w:line="219" w:lineRule="auto"/>
                      <w:ind w:right="1"/>
                      <w:jc w:val="right"/>
                      <w:rPr>
                        <w:rFonts w:ascii="宋体" w:hAnsi="宋体" w:eastAsia="宋体" w:cs="宋体"/>
                        <w:sz w:val="19"/>
                        <w:szCs w:val="19"/>
                      </w:rPr>
                    </w:pPr>
                    <w:r>
                      <w:rPr>
                        <w:rFonts w:ascii="宋体" w:hAnsi="宋体" w:eastAsia="宋体" w:cs="宋体"/>
                        <w:spacing w:val="-18"/>
                        <w:sz w:val="19"/>
                        <w:szCs w:val="19"/>
                      </w:rPr>
                      <w:t>租户自</w:t>
                    </w:r>
                    <w:r>
                      <w:rPr>
                        <w:rFonts w:ascii="宋体" w:hAnsi="宋体" w:eastAsia="宋体" w:cs="宋体"/>
                        <w:spacing w:val="-17"/>
                        <w:sz w:val="19"/>
                        <w:szCs w:val="19"/>
                      </w:rPr>
                      <w:t>己管</w:t>
                    </w:r>
                    <w:r>
                      <w:rPr>
                        <w:rFonts w:ascii="宋体" w:hAnsi="宋体" w:eastAsia="宋体" w:cs="宋体"/>
                        <w:spacing w:val="-8"/>
                        <w:sz w:val="19"/>
                        <w:szCs w:val="19"/>
                      </w:rPr>
                      <w:t>理</w:t>
                    </w:r>
                  </w:p>
                </w:txbxContent>
              </v:textbox>
            </v:shape>
            <v:shape id="_x0000_s1307" o:spid="_x0000_s1307" o:spt="202" type="#_x0000_t202" style="position:absolute;left:4180;top:527;height:230;width:890;" filled="f" stroked="f" coordsize="21600,21600">
              <v:path/>
              <v:fill on="f" focussize="0,0"/>
              <v:stroke on="f"/>
              <v:imagedata o:title=""/>
              <o:lock v:ext="edit" aspectratio="f"/>
              <v:textbox inset="0mm,0mm,0mm,0mm">
                <w:txbxContent>
                  <w:p w14:paraId="64AC307C">
                    <w:pPr>
                      <w:spacing w:before="20" w:line="219" w:lineRule="auto"/>
                      <w:jc w:val="right"/>
                      <w:rPr>
                        <w:rFonts w:ascii="宋体" w:hAnsi="宋体" w:eastAsia="宋体" w:cs="宋体"/>
                        <w:sz w:val="19"/>
                        <w:szCs w:val="19"/>
                      </w:rPr>
                    </w:pPr>
                    <w:r>
                      <w:rPr>
                        <w:rFonts w:ascii="宋体" w:hAnsi="宋体" w:eastAsia="宋体" w:cs="宋体"/>
                        <w:spacing w:val="-16"/>
                        <w:w w:val="99"/>
                        <w:sz w:val="19"/>
                        <w:szCs w:val="19"/>
                      </w:rPr>
                      <w:t>应用软</w:t>
                    </w:r>
                    <w:r>
                      <w:rPr>
                        <w:rFonts w:ascii="宋体" w:hAnsi="宋体" w:eastAsia="宋体" w:cs="宋体"/>
                        <w:spacing w:val="-15"/>
                        <w:w w:val="99"/>
                        <w:sz w:val="19"/>
                        <w:szCs w:val="19"/>
                      </w:rPr>
                      <w:t>件</w:t>
                    </w:r>
                    <w:r>
                      <w:rPr>
                        <w:rFonts w:ascii="宋体" w:hAnsi="宋体" w:eastAsia="宋体" w:cs="宋体"/>
                        <w:spacing w:val="-12"/>
                        <w:w w:val="99"/>
                        <w:sz w:val="19"/>
                        <w:szCs w:val="19"/>
                      </w:rPr>
                      <w:t>层</w:t>
                    </w:r>
                  </w:p>
                </w:txbxContent>
              </v:textbox>
            </v:shape>
            <v:shape id="_x0000_s1308" o:spid="_x0000_s1308" o:spt="202" type="#_x0000_t202" style="position:absolute;left:4180;top:2607;height:230;width:890;" filled="f" stroked="f" coordsize="21600,21600">
              <v:path/>
              <v:fill on="f" focussize="0,0"/>
              <v:stroke on="f"/>
              <v:imagedata o:title=""/>
              <o:lock v:ext="edit" aspectratio="f"/>
              <v:textbox inset="0mm,0mm,0mm,0mm">
                <w:txbxContent>
                  <w:p w14:paraId="5B889D2B">
                    <w:pPr>
                      <w:spacing w:before="20" w:line="219" w:lineRule="auto"/>
                      <w:jc w:val="right"/>
                      <w:rPr>
                        <w:rFonts w:ascii="宋体" w:hAnsi="宋体" w:eastAsia="宋体" w:cs="宋体"/>
                        <w:sz w:val="19"/>
                        <w:szCs w:val="19"/>
                      </w:rPr>
                    </w:pPr>
                    <w:r>
                      <w:rPr>
                        <w:rFonts w:ascii="宋体" w:hAnsi="宋体" w:eastAsia="宋体" w:cs="宋体"/>
                        <w:spacing w:val="-16"/>
                        <w:w w:val="99"/>
                        <w:sz w:val="19"/>
                        <w:szCs w:val="19"/>
                      </w:rPr>
                      <w:t>基础设</w:t>
                    </w:r>
                    <w:r>
                      <w:rPr>
                        <w:rFonts w:ascii="宋体" w:hAnsi="宋体" w:eastAsia="宋体" w:cs="宋体"/>
                        <w:spacing w:val="-15"/>
                        <w:w w:val="99"/>
                        <w:sz w:val="19"/>
                        <w:szCs w:val="19"/>
                      </w:rPr>
                      <w:t>施</w:t>
                    </w:r>
                    <w:r>
                      <w:rPr>
                        <w:rFonts w:ascii="宋体" w:hAnsi="宋体" w:eastAsia="宋体" w:cs="宋体"/>
                        <w:spacing w:val="-12"/>
                        <w:w w:val="99"/>
                        <w:sz w:val="19"/>
                        <w:szCs w:val="19"/>
                      </w:rPr>
                      <w:t>层</w:t>
                    </w:r>
                  </w:p>
                </w:txbxContent>
              </v:textbox>
            </v:shape>
            <w10:wrap type="none"/>
            <w10:anchorlock/>
          </v:group>
        </w:pict>
      </w:r>
    </w:p>
    <w:p w14:paraId="2AD9E49D">
      <w:pPr>
        <w:pStyle w:val="2"/>
        <w:spacing w:before="48" w:line="219" w:lineRule="auto"/>
        <w:ind w:left="3490"/>
        <w:rPr>
          <w:sz w:val="19"/>
          <w:szCs w:val="19"/>
        </w:rPr>
      </w:pPr>
      <w:r>
        <w:rPr>
          <w:spacing w:val="-3"/>
          <w:sz w:val="19"/>
          <w:szCs w:val="19"/>
        </w:rPr>
        <w:t>图4-8</w:t>
      </w:r>
      <w:r>
        <w:rPr>
          <w:spacing w:val="41"/>
          <w:sz w:val="19"/>
          <w:szCs w:val="19"/>
        </w:rPr>
        <w:t xml:space="preserve"> </w:t>
      </w:r>
      <w:r>
        <w:rPr>
          <w:rFonts w:ascii="Times New Roman" w:hAnsi="Times New Roman" w:eastAsia="Times New Roman" w:cs="Times New Roman"/>
          <w:spacing w:val="-3"/>
          <w:sz w:val="19"/>
          <w:szCs w:val="19"/>
        </w:rPr>
        <w:t xml:space="preserve">SaaS </w:t>
      </w:r>
      <w:r>
        <w:rPr>
          <w:spacing w:val="-3"/>
          <w:sz w:val="19"/>
          <w:szCs w:val="19"/>
        </w:rPr>
        <w:t>云层次架构图</w:t>
      </w:r>
    </w:p>
    <w:p w14:paraId="47B3E829">
      <w:pPr>
        <w:pStyle w:val="2"/>
        <w:spacing w:before="203" w:line="219" w:lineRule="auto"/>
        <w:ind w:left="770"/>
        <w:rPr>
          <w:sz w:val="19"/>
          <w:szCs w:val="19"/>
        </w:rPr>
      </w:pPr>
      <w:r>
        <w:rPr>
          <w:sz w:val="19"/>
          <w:szCs w:val="19"/>
        </w:rPr>
        <w:t>SaaS</w:t>
      </w:r>
      <w:r>
        <w:rPr>
          <w:spacing w:val="-28"/>
          <w:sz w:val="19"/>
          <w:szCs w:val="19"/>
        </w:rPr>
        <w:t xml:space="preserve"> </w:t>
      </w:r>
      <w:r>
        <w:rPr>
          <w:spacing w:val="6"/>
          <w:sz w:val="19"/>
          <w:szCs w:val="19"/>
        </w:rPr>
        <w:t>提供商这时有三种选择：</w:t>
      </w:r>
    </w:p>
    <w:p w14:paraId="0D647128">
      <w:pPr>
        <w:pStyle w:val="2"/>
        <w:spacing w:before="96" w:line="219" w:lineRule="auto"/>
        <w:ind w:left="770"/>
        <w:rPr>
          <w:sz w:val="19"/>
          <w:szCs w:val="19"/>
        </w:rPr>
      </w:pPr>
      <w:r>
        <w:rPr>
          <w:spacing w:val="9"/>
          <w:sz w:val="19"/>
          <w:szCs w:val="19"/>
        </w:rPr>
        <w:t>●</w:t>
      </w:r>
      <w:r>
        <w:rPr>
          <w:spacing w:val="-39"/>
          <w:sz w:val="19"/>
          <w:szCs w:val="19"/>
        </w:rPr>
        <w:t xml:space="preserve"> </w:t>
      </w:r>
      <w:r>
        <w:rPr>
          <w:spacing w:val="9"/>
          <w:sz w:val="19"/>
          <w:szCs w:val="19"/>
        </w:rPr>
        <w:t>租用别人的</w:t>
      </w:r>
      <w:r>
        <w:rPr>
          <w:sz w:val="19"/>
          <w:szCs w:val="19"/>
        </w:rPr>
        <w:t>IaaS</w:t>
      </w:r>
      <w:r>
        <w:rPr>
          <w:spacing w:val="-37"/>
          <w:sz w:val="19"/>
          <w:szCs w:val="19"/>
        </w:rPr>
        <w:t xml:space="preserve"> </w:t>
      </w:r>
      <w:r>
        <w:rPr>
          <w:spacing w:val="9"/>
          <w:sz w:val="19"/>
          <w:szCs w:val="19"/>
        </w:rPr>
        <w:t>云服务，自己再搭建和管理平台软件层和应用软件层。</w:t>
      </w:r>
    </w:p>
    <w:p w14:paraId="63DCE47E">
      <w:pPr>
        <w:pStyle w:val="2"/>
        <w:spacing w:before="95" w:line="219" w:lineRule="auto"/>
        <w:ind w:left="770"/>
        <w:rPr>
          <w:sz w:val="19"/>
          <w:szCs w:val="19"/>
        </w:rPr>
      </w:pPr>
      <w:r>
        <w:rPr>
          <w:spacing w:val="10"/>
          <w:sz w:val="19"/>
          <w:szCs w:val="19"/>
        </w:rPr>
        <w:t>●</w:t>
      </w:r>
      <w:r>
        <w:rPr>
          <w:spacing w:val="-54"/>
          <w:sz w:val="19"/>
          <w:szCs w:val="19"/>
        </w:rPr>
        <w:t xml:space="preserve"> </w:t>
      </w:r>
      <w:r>
        <w:rPr>
          <w:spacing w:val="10"/>
          <w:sz w:val="19"/>
          <w:szCs w:val="19"/>
        </w:rPr>
        <w:t>租用别人的</w:t>
      </w:r>
      <w:r>
        <w:rPr>
          <w:sz w:val="19"/>
          <w:szCs w:val="19"/>
        </w:rPr>
        <w:t>PaaS</w:t>
      </w:r>
      <w:r>
        <w:rPr>
          <w:spacing w:val="10"/>
          <w:sz w:val="19"/>
          <w:szCs w:val="19"/>
        </w:rPr>
        <w:t xml:space="preserve"> 云服务，自己再部署和管理应用软件</w:t>
      </w:r>
      <w:r>
        <w:rPr>
          <w:spacing w:val="9"/>
          <w:sz w:val="19"/>
          <w:szCs w:val="19"/>
        </w:rPr>
        <w:t>层。</w:t>
      </w:r>
    </w:p>
    <w:p w14:paraId="4DE3BDD8">
      <w:pPr>
        <w:pStyle w:val="2"/>
        <w:spacing w:before="94" w:line="219" w:lineRule="auto"/>
        <w:ind w:left="770"/>
        <w:rPr>
          <w:sz w:val="19"/>
          <w:szCs w:val="19"/>
        </w:rPr>
      </w:pPr>
      <w:r>
        <w:rPr>
          <w:spacing w:val="9"/>
          <w:sz w:val="19"/>
          <w:szCs w:val="19"/>
        </w:rPr>
        <w:t>●</w:t>
      </w:r>
      <w:r>
        <w:rPr>
          <w:spacing w:val="-35"/>
          <w:sz w:val="19"/>
          <w:szCs w:val="19"/>
        </w:rPr>
        <w:t xml:space="preserve"> </w:t>
      </w:r>
      <w:r>
        <w:rPr>
          <w:spacing w:val="9"/>
          <w:sz w:val="19"/>
          <w:szCs w:val="19"/>
        </w:rPr>
        <w:t>自己搭建和管理基础设施层、平台软件层和应用软件层。</w:t>
      </w:r>
    </w:p>
    <w:p w14:paraId="1114C6C7">
      <w:pPr>
        <w:pStyle w:val="2"/>
        <w:spacing w:before="73" w:line="318" w:lineRule="auto"/>
        <w:ind w:left="369" w:right="39" w:firstLine="400"/>
        <w:rPr>
          <w:sz w:val="19"/>
          <w:szCs w:val="19"/>
        </w:rPr>
      </w:pPr>
      <w:r>
        <w:rPr>
          <w:spacing w:val="8"/>
          <w:sz w:val="19"/>
          <w:szCs w:val="19"/>
        </w:rPr>
        <w:t>从云服务消费者的角度来看，</w:t>
      </w:r>
      <w:r>
        <w:rPr>
          <w:spacing w:val="-15"/>
          <w:sz w:val="19"/>
          <w:szCs w:val="19"/>
        </w:rPr>
        <w:t xml:space="preserve"> </w:t>
      </w:r>
      <w:r>
        <w:rPr>
          <w:rFonts w:ascii="Times New Roman" w:hAnsi="Times New Roman" w:eastAsia="Times New Roman" w:cs="Times New Roman"/>
          <w:sz w:val="19"/>
          <w:szCs w:val="19"/>
        </w:rPr>
        <w:t>SaaS</w:t>
      </w:r>
      <w:r>
        <w:rPr>
          <w:rFonts w:ascii="Times New Roman" w:hAnsi="Times New Roman" w:eastAsia="Times New Roman" w:cs="Times New Roman"/>
          <w:spacing w:val="35"/>
          <w:w w:val="101"/>
          <w:sz w:val="19"/>
          <w:szCs w:val="19"/>
        </w:rPr>
        <w:t xml:space="preserve"> </w:t>
      </w:r>
      <w:r>
        <w:rPr>
          <w:spacing w:val="8"/>
          <w:sz w:val="19"/>
          <w:szCs w:val="19"/>
        </w:rPr>
        <w:t>提供商负责</w:t>
      </w:r>
      <w:r>
        <w:rPr>
          <w:rFonts w:ascii="Times New Roman" w:hAnsi="Times New Roman" w:eastAsia="Times New Roman" w:cs="Times New Roman"/>
          <w:sz w:val="19"/>
          <w:szCs w:val="19"/>
        </w:rPr>
        <w:t>IT</w:t>
      </w:r>
      <w:r>
        <w:rPr>
          <w:rFonts w:ascii="Times New Roman" w:hAnsi="Times New Roman" w:eastAsia="Times New Roman" w:cs="Times New Roman"/>
          <w:spacing w:val="28"/>
          <w:sz w:val="19"/>
          <w:szCs w:val="19"/>
        </w:rPr>
        <w:t xml:space="preserve"> </w:t>
      </w:r>
      <w:r>
        <w:rPr>
          <w:spacing w:val="8"/>
          <w:sz w:val="19"/>
          <w:szCs w:val="19"/>
        </w:rPr>
        <w:t>系统的基础设施层、平</w:t>
      </w:r>
      <w:r>
        <w:rPr>
          <w:spacing w:val="7"/>
          <w:sz w:val="19"/>
          <w:szCs w:val="19"/>
        </w:rPr>
        <w:t>台软件层和应用软</w:t>
      </w:r>
      <w:r>
        <w:rPr>
          <w:sz w:val="19"/>
          <w:szCs w:val="19"/>
        </w:rPr>
        <w:t xml:space="preserve"> </w:t>
      </w:r>
      <w:r>
        <w:rPr>
          <w:spacing w:val="10"/>
          <w:sz w:val="19"/>
          <w:szCs w:val="19"/>
        </w:rPr>
        <w:t>件层，也就是整个</w:t>
      </w:r>
      <w:r>
        <w:rPr>
          <w:sz w:val="19"/>
          <w:szCs w:val="19"/>
        </w:rPr>
        <w:t>IT</w:t>
      </w:r>
      <w:r>
        <w:rPr>
          <w:spacing w:val="-27"/>
          <w:sz w:val="19"/>
          <w:szCs w:val="19"/>
        </w:rPr>
        <w:t xml:space="preserve"> </w:t>
      </w:r>
      <w:r>
        <w:rPr>
          <w:spacing w:val="10"/>
          <w:sz w:val="19"/>
          <w:szCs w:val="19"/>
        </w:rPr>
        <w:t>层，最后直接把应用软件出</w:t>
      </w:r>
      <w:r>
        <w:rPr>
          <w:spacing w:val="9"/>
          <w:sz w:val="19"/>
          <w:szCs w:val="19"/>
        </w:rPr>
        <w:t>租出去。</w:t>
      </w:r>
    </w:p>
    <w:p w14:paraId="75A76ED7">
      <w:pPr>
        <w:spacing w:before="67" w:line="227" w:lineRule="auto"/>
        <w:ind w:left="770"/>
        <w:rPr>
          <w:rFonts w:ascii="楷体" w:hAnsi="楷体" w:eastAsia="楷体" w:cs="楷体"/>
          <w:sz w:val="19"/>
          <w:szCs w:val="19"/>
        </w:rPr>
      </w:pPr>
      <w:r>
        <w:rPr>
          <w:rFonts w:ascii="楷体" w:hAnsi="楷体" w:eastAsia="楷体" w:cs="楷体"/>
          <w:spacing w:val="15"/>
          <w:sz w:val="19"/>
          <w:szCs w:val="19"/>
        </w:rPr>
        <w:t>2)适合做</w:t>
      </w:r>
      <w:r>
        <w:rPr>
          <w:rFonts w:ascii="楷体" w:hAnsi="楷体" w:eastAsia="楷体" w:cs="楷体"/>
          <w:spacing w:val="-43"/>
          <w:sz w:val="19"/>
          <w:szCs w:val="19"/>
        </w:rPr>
        <w:t xml:space="preserve"> </w:t>
      </w:r>
      <w:r>
        <w:rPr>
          <w:rFonts w:ascii="Times New Roman" w:hAnsi="Times New Roman" w:eastAsia="Times New Roman" w:cs="Times New Roman"/>
          <w:sz w:val="19"/>
          <w:szCs w:val="19"/>
        </w:rPr>
        <w:t>SaaS</w:t>
      </w:r>
      <w:r>
        <w:rPr>
          <w:rFonts w:ascii="Times New Roman" w:hAnsi="Times New Roman" w:eastAsia="Times New Roman" w:cs="Times New Roman"/>
          <w:spacing w:val="45"/>
          <w:sz w:val="19"/>
          <w:szCs w:val="19"/>
        </w:rPr>
        <w:t xml:space="preserve"> </w:t>
      </w:r>
      <w:r>
        <w:rPr>
          <w:rFonts w:ascii="楷体" w:hAnsi="楷体" w:eastAsia="楷体" w:cs="楷体"/>
          <w:spacing w:val="15"/>
          <w:sz w:val="19"/>
          <w:szCs w:val="19"/>
        </w:rPr>
        <w:t>应用软件的特点</w:t>
      </w:r>
    </w:p>
    <w:p w14:paraId="63A9B280">
      <w:pPr>
        <w:pStyle w:val="2"/>
        <w:spacing w:before="87" w:line="219" w:lineRule="auto"/>
        <w:ind w:left="770"/>
        <w:rPr>
          <w:sz w:val="19"/>
          <w:szCs w:val="19"/>
        </w:rPr>
      </w:pPr>
      <w:r>
        <w:rPr>
          <w:spacing w:val="8"/>
          <w:sz w:val="19"/>
          <w:szCs w:val="19"/>
        </w:rPr>
        <w:t>适合做</w:t>
      </w:r>
      <w:r>
        <w:rPr>
          <w:rFonts w:ascii="Times New Roman" w:hAnsi="Times New Roman" w:eastAsia="Times New Roman" w:cs="Times New Roman"/>
          <w:sz w:val="19"/>
          <w:szCs w:val="19"/>
        </w:rPr>
        <w:t>SaaS</w:t>
      </w:r>
      <w:r>
        <w:rPr>
          <w:rFonts w:ascii="Times New Roman" w:hAnsi="Times New Roman" w:eastAsia="Times New Roman" w:cs="Times New Roman"/>
          <w:spacing w:val="36"/>
          <w:sz w:val="19"/>
          <w:szCs w:val="19"/>
        </w:rPr>
        <w:t xml:space="preserve"> </w:t>
      </w:r>
      <w:r>
        <w:rPr>
          <w:spacing w:val="8"/>
          <w:sz w:val="19"/>
          <w:szCs w:val="19"/>
        </w:rPr>
        <w:t>应用软件的特点具体如下：</w:t>
      </w:r>
    </w:p>
    <w:p w14:paraId="4B22CC9C">
      <w:pPr>
        <w:pStyle w:val="2"/>
        <w:spacing w:before="82" w:line="266" w:lineRule="auto"/>
        <w:ind w:left="1049" w:right="324" w:hanging="279"/>
        <w:rPr>
          <w:sz w:val="19"/>
          <w:szCs w:val="19"/>
        </w:rPr>
      </w:pPr>
      <w:r>
        <w:rPr>
          <w:spacing w:val="12"/>
          <w:sz w:val="19"/>
          <w:szCs w:val="19"/>
        </w:rPr>
        <w:t>●复杂：软件庞大、安装复杂、使用复杂、运维复杂，单独购买</w:t>
      </w:r>
      <w:r>
        <w:rPr>
          <w:spacing w:val="11"/>
          <w:sz w:val="19"/>
          <w:szCs w:val="19"/>
        </w:rPr>
        <w:t>价格昂贵，如</w:t>
      </w:r>
      <w:r>
        <w:rPr>
          <w:sz w:val="19"/>
          <w:szCs w:val="19"/>
        </w:rPr>
        <w:t>ERP</w:t>
      </w:r>
      <w:r>
        <w:rPr>
          <w:spacing w:val="11"/>
          <w:sz w:val="19"/>
          <w:szCs w:val="19"/>
        </w:rPr>
        <w:t>、</w:t>
      </w:r>
      <w:r>
        <w:rPr>
          <w:sz w:val="19"/>
          <w:szCs w:val="19"/>
        </w:rPr>
        <w:t xml:space="preserve">CRM </w:t>
      </w:r>
      <w:r>
        <w:rPr>
          <w:spacing w:val="6"/>
          <w:sz w:val="19"/>
          <w:szCs w:val="19"/>
        </w:rPr>
        <w:t>系统及可靠性工程软件等。</w:t>
      </w:r>
    </w:p>
    <w:p w14:paraId="351572C5">
      <w:pPr>
        <w:pStyle w:val="2"/>
        <w:spacing w:before="72" w:line="296" w:lineRule="auto"/>
        <w:ind w:left="1049" w:right="6" w:hanging="279"/>
        <w:rPr>
          <w:sz w:val="19"/>
          <w:szCs w:val="19"/>
        </w:rPr>
      </w:pPr>
      <w:r>
        <w:rPr>
          <w:spacing w:val="15"/>
          <w:sz w:val="19"/>
          <w:szCs w:val="19"/>
        </w:rPr>
        <w:t>●</w:t>
      </w:r>
      <w:r>
        <w:rPr>
          <w:spacing w:val="-50"/>
          <w:sz w:val="19"/>
          <w:szCs w:val="19"/>
        </w:rPr>
        <w:t xml:space="preserve"> </w:t>
      </w:r>
      <w:r>
        <w:rPr>
          <w:spacing w:val="15"/>
          <w:sz w:val="19"/>
          <w:szCs w:val="19"/>
        </w:rPr>
        <w:t>高效的多用户支持(</w:t>
      </w:r>
      <w:r>
        <w:rPr>
          <w:sz w:val="19"/>
          <w:szCs w:val="19"/>
        </w:rPr>
        <w:t>Multi</w:t>
      </w:r>
      <w:r>
        <w:rPr>
          <w:spacing w:val="15"/>
          <w:sz w:val="19"/>
          <w:szCs w:val="19"/>
        </w:rPr>
        <w:t>-</w:t>
      </w:r>
      <w:r>
        <w:rPr>
          <w:sz w:val="19"/>
          <w:szCs w:val="19"/>
        </w:rPr>
        <w:t>Tenant</w:t>
      </w:r>
      <w:r>
        <w:rPr>
          <w:spacing w:val="15"/>
          <w:sz w:val="19"/>
          <w:szCs w:val="19"/>
        </w:rPr>
        <w:t>-</w:t>
      </w:r>
      <w:r>
        <w:rPr>
          <w:sz w:val="19"/>
          <w:szCs w:val="19"/>
        </w:rPr>
        <w:t>Efficient</w:t>
      </w:r>
      <w:r>
        <w:rPr>
          <w:spacing w:val="15"/>
          <w:sz w:val="19"/>
          <w:szCs w:val="19"/>
        </w:rPr>
        <w:t>)特性：当一个</w:t>
      </w:r>
      <w:r>
        <w:rPr>
          <w:spacing w:val="14"/>
          <w:sz w:val="19"/>
          <w:szCs w:val="19"/>
        </w:rPr>
        <w:t>用户试图通过某个基于</w:t>
      </w:r>
      <w:r>
        <w:rPr>
          <w:sz w:val="19"/>
          <w:szCs w:val="19"/>
        </w:rPr>
        <w:t xml:space="preserve">SaaS </w:t>
      </w:r>
      <w:r>
        <w:rPr>
          <w:spacing w:val="13"/>
          <w:sz w:val="19"/>
          <w:szCs w:val="19"/>
        </w:rPr>
        <w:t>模式的</w:t>
      </w:r>
      <w:r>
        <w:rPr>
          <w:rFonts w:ascii="Times New Roman" w:hAnsi="Times New Roman" w:eastAsia="Times New Roman" w:cs="Times New Roman"/>
          <w:sz w:val="19"/>
          <w:szCs w:val="19"/>
        </w:rPr>
        <w:t>CRM</w:t>
      </w:r>
      <w:r>
        <w:rPr>
          <w:rFonts w:ascii="Times New Roman" w:hAnsi="Times New Roman" w:eastAsia="Times New Roman" w:cs="Times New Roman"/>
          <w:spacing w:val="34"/>
          <w:w w:val="101"/>
          <w:sz w:val="19"/>
          <w:szCs w:val="19"/>
        </w:rPr>
        <w:t xml:space="preserve"> </w:t>
      </w:r>
      <w:r>
        <w:rPr>
          <w:spacing w:val="13"/>
          <w:sz w:val="19"/>
          <w:szCs w:val="19"/>
        </w:rPr>
        <w:t>来访问本公司的客户数据时，它所连接的这一基于</w:t>
      </w:r>
      <w:r>
        <w:rPr>
          <w:rFonts w:ascii="Times New Roman" w:hAnsi="Times New Roman" w:eastAsia="Times New Roman" w:cs="Times New Roman"/>
          <w:sz w:val="19"/>
          <w:szCs w:val="19"/>
        </w:rPr>
        <w:t>SaaS</w:t>
      </w:r>
      <w:r>
        <w:rPr>
          <w:rFonts w:ascii="Times New Roman" w:hAnsi="Times New Roman" w:eastAsia="Times New Roman" w:cs="Times New Roman"/>
          <w:spacing w:val="44"/>
          <w:w w:val="101"/>
          <w:sz w:val="19"/>
          <w:szCs w:val="19"/>
        </w:rPr>
        <w:t xml:space="preserve"> </w:t>
      </w:r>
      <w:r>
        <w:rPr>
          <w:spacing w:val="13"/>
          <w:sz w:val="19"/>
          <w:szCs w:val="19"/>
        </w:rPr>
        <w:t>模式的</w:t>
      </w:r>
      <w:r>
        <w:rPr>
          <w:rFonts w:ascii="Times New Roman" w:hAnsi="Times New Roman" w:eastAsia="Times New Roman" w:cs="Times New Roman"/>
          <w:sz w:val="19"/>
          <w:szCs w:val="19"/>
        </w:rPr>
        <w:t>CRM</w:t>
      </w:r>
      <w:r>
        <w:rPr>
          <w:rFonts w:ascii="Times New Roman" w:hAnsi="Times New Roman" w:eastAsia="Times New Roman" w:cs="Times New Roman"/>
          <w:spacing w:val="27"/>
          <w:w w:val="101"/>
          <w:sz w:val="19"/>
          <w:szCs w:val="19"/>
        </w:rPr>
        <w:t xml:space="preserve"> </w:t>
      </w:r>
      <w:r>
        <w:rPr>
          <w:spacing w:val="13"/>
          <w:sz w:val="19"/>
          <w:szCs w:val="19"/>
        </w:rPr>
        <w:t>应 用</w:t>
      </w:r>
      <w:r>
        <w:rPr>
          <w:sz w:val="19"/>
          <w:szCs w:val="19"/>
        </w:rPr>
        <w:t xml:space="preserve"> </w:t>
      </w:r>
      <w:r>
        <w:rPr>
          <w:spacing w:val="12"/>
          <w:sz w:val="19"/>
          <w:szCs w:val="19"/>
        </w:rPr>
        <w:t>可能正在同时被来自不同企业的成百上千个</w:t>
      </w:r>
      <w:r>
        <w:rPr>
          <w:spacing w:val="11"/>
          <w:sz w:val="19"/>
          <w:szCs w:val="19"/>
        </w:rPr>
        <w:t>终端用户所使用，此时所有用户完全不知道</w:t>
      </w:r>
      <w:r>
        <w:rPr>
          <w:sz w:val="19"/>
          <w:szCs w:val="19"/>
        </w:rPr>
        <w:t xml:space="preserve"> </w:t>
      </w:r>
      <w:r>
        <w:rPr>
          <w:spacing w:val="13"/>
          <w:sz w:val="19"/>
          <w:szCs w:val="19"/>
        </w:rPr>
        <w:t>其他并发用户访问的存在。这种在</w:t>
      </w:r>
      <w:r>
        <w:rPr>
          <w:sz w:val="19"/>
          <w:szCs w:val="19"/>
        </w:rPr>
        <w:t>SaaS</w:t>
      </w:r>
      <w:r>
        <w:rPr>
          <w:spacing w:val="13"/>
          <w:sz w:val="19"/>
          <w:szCs w:val="19"/>
        </w:rPr>
        <w:t xml:space="preserve"> 应用中极为常见</w:t>
      </w:r>
      <w:r>
        <w:rPr>
          <w:spacing w:val="12"/>
          <w:sz w:val="19"/>
          <w:szCs w:val="19"/>
        </w:rPr>
        <w:t>的场景就要求基于</w:t>
      </w:r>
      <w:r>
        <w:rPr>
          <w:sz w:val="19"/>
          <w:szCs w:val="19"/>
        </w:rPr>
        <w:t>SaaS</w:t>
      </w:r>
      <w:r>
        <w:rPr>
          <w:spacing w:val="12"/>
          <w:sz w:val="19"/>
          <w:szCs w:val="19"/>
        </w:rPr>
        <w:t xml:space="preserve"> 模式的</w:t>
      </w:r>
      <w:r>
        <w:rPr>
          <w:sz w:val="19"/>
          <w:szCs w:val="19"/>
        </w:rPr>
        <w:t xml:space="preserve"> </w:t>
      </w:r>
      <w:r>
        <w:rPr>
          <w:spacing w:val="17"/>
          <w:sz w:val="19"/>
          <w:szCs w:val="19"/>
        </w:rPr>
        <w:t>系统可以支持在多用户间最大程度共享资源的同时，严格区分和隔离属于不同客户的</w:t>
      </w:r>
      <w:r>
        <w:rPr>
          <w:spacing w:val="4"/>
          <w:sz w:val="19"/>
          <w:szCs w:val="19"/>
        </w:rPr>
        <w:t xml:space="preserve"> </w:t>
      </w:r>
      <w:r>
        <w:rPr>
          <w:spacing w:val="5"/>
          <w:sz w:val="19"/>
          <w:szCs w:val="19"/>
        </w:rPr>
        <w:t>数据。</w:t>
      </w:r>
    </w:p>
    <w:p w14:paraId="5802D98F">
      <w:pPr>
        <w:pStyle w:val="2"/>
        <w:spacing w:before="115" w:line="219" w:lineRule="auto"/>
        <w:ind w:right="21"/>
        <w:jc w:val="right"/>
        <w:rPr>
          <w:sz w:val="19"/>
          <w:szCs w:val="19"/>
        </w:rPr>
      </w:pPr>
      <w:r>
        <w:rPr>
          <w:spacing w:val="14"/>
          <w:sz w:val="19"/>
          <w:szCs w:val="19"/>
        </w:rPr>
        <w:t>●模块化结构：按功能划分成模块，租户需要</w:t>
      </w:r>
      <w:r>
        <w:rPr>
          <w:spacing w:val="13"/>
          <w:sz w:val="19"/>
          <w:szCs w:val="19"/>
        </w:rPr>
        <w:t>什么功能就租赁什么模块，也便于按模块计</w:t>
      </w:r>
    </w:p>
    <w:p w14:paraId="719F8C27">
      <w:pPr>
        <w:spacing w:line="219" w:lineRule="auto"/>
        <w:rPr>
          <w:sz w:val="19"/>
          <w:szCs w:val="19"/>
        </w:rPr>
        <w:sectPr>
          <w:pgSz w:w="10300" w:h="13350"/>
          <w:pgMar w:top="400" w:right="1090" w:bottom="400" w:left="479" w:header="0" w:footer="0" w:gutter="0"/>
          <w:cols w:space="720" w:num="1"/>
        </w:sectPr>
      </w:pPr>
    </w:p>
    <w:p w14:paraId="5163775D">
      <w:pPr>
        <w:pStyle w:val="2"/>
        <w:spacing w:before="56" w:line="219" w:lineRule="auto"/>
        <w:jc w:val="right"/>
        <w:rPr>
          <w:rFonts w:ascii="Times New Roman" w:hAnsi="Times New Roman" w:eastAsia="Times New Roman" w:cs="Times New Roman"/>
          <w:sz w:val="17"/>
          <w:szCs w:val="17"/>
        </w:rPr>
      </w:pPr>
      <w:bookmarkStart w:id="554" w:name="bookmark540"/>
      <w:bookmarkEnd w:id="554"/>
      <w:r>
        <w:rPr>
          <w:spacing w:val="-3"/>
          <w:sz w:val="20"/>
          <w:szCs w:val="20"/>
        </w:rPr>
        <w:t>第4章 信息资源系统</w:t>
      </w:r>
      <w:r>
        <w:rPr>
          <w:spacing w:val="6"/>
          <w:sz w:val="20"/>
          <w:szCs w:val="20"/>
        </w:rPr>
        <w:t xml:space="preserve">      </w:t>
      </w:r>
      <w:r>
        <w:rPr>
          <w:rFonts w:ascii="Times New Roman" w:hAnsi="Times New Roman" w:eastAsia="Times New Roman" w:cs="Times New Roman"/>
          <w:spacing w:val="-3"/>
          <w:sz w:val="17"/>
          <w:szCs w:val="17"/>
        </w:rPr>
        <w:t>145</w:t>
      </w:r>
    </w:p>
    <w:p w14:paraId="0628BC30">
      <w:pPr>
        <w:spacing w:line="305" w:lineRule="auto"/>
        <w:rPr>
          <w:rFonts w:ascii="Arial"/>
          <w:sz w:val="21"/>
        </w:rPr>
      </w:pPr>
    </w:p>
    <w:p w14:paraId="17674A5D">
      <w:pPr>
        <w:pStyle w:val="2"/>
        <w:spacing w:before="65" w:line="219" w:lineRule="auto"/>
        <w:ind w:left="280"/>
        <w:rPr>
          <w:sz w:val="20"/>
          <w:szCs w:val="20"/>
        </w:rPr>
      </w:pPr>
      <w:r>
        <w:rPr>
          <w:sz w:val="20"/>
          <w:szCs w:val="20"/>
        </w:rPr>
        <w:t>费，如</w:t>
      </w:r>
      <w:r>
        <w:rPr>
          <w:rFonts w:ascii="Times New Roman" w:hAnsi="Times New Roman" w:eastAsia="Times New Roman" w:cs="Times New Roman"/>
          <w:sz w:val="20"/>
          <w:szCs w:val="20"/>
        </w:rPr>
        <w:t>ERP</w:t>
      </w:r>
      <w:r>
        <w:rPr>
          <w:rFonts w:ascii="Times New Roman" w:hAnsi="Times New Roman" w:eastAsia="Times New Roman" w:cs="Times New Roman"/>
          <w:spacing w:val="17"/>
          <w:w w:val="101"/>
          <w:sz w:val="20"/>
          <w:szCs w:val="20"/>
        </w:rPr>
        <w:t xml:space="preserve"> </w:t>
      </w:r>
      <w:r>
        <w:rPr>
          <w:sz w:val="20"/>
          <w:szCs w:val="20"/>
        </w:rPr>
        <w:t>系统划分为订单、采购、库存、生产、财</w:t>
      </w:r>
      <w:r>
        <w:rPr>
          <w:spacing w:val="-1"/>
          <w:sz w:val="20"/>
          <w:szCs w:val="20"/>
        </w:rPr>
        <w:t>物等模块。</w:t>
      </w:r>
    </w:p>
    <w:p w14:paraId="13E29501">
      <w:pPr>
        <w:pStyle w:val="2"/>
        <w:spacing w:before="73" w:line="266" w:lineRule="auto"/>
        <w:ind w:left="280" w:right="295" w:hanging="280"/>
        <w:rPr>
          <w:sz w:val="20"/>
          <w:szCs w:val="20"/>
        </w:rPr>
      </w:pPr>
      <w:r>
        <w:rPr>
          <w:spacing w:val="3"/>
          <w:sz w:val="20"/>
          <w:szCs w:val="20"/>
        </w:rPr>
        <w:t>●多租户：适合多个企业中的多个用户同时操作，也就是说，使用同一个软件的租户之间</w:t>
      </w:r>
      <w:r>
        <w:rPr>
          <w:spacing w:val="1"/>
          <w:sz w:val="20"/>
          <w:szCs w:val="20"/>
        </w:rPr>
        <w:t xml:space="preserve"> </w:t>
      </w:r>
      <w:r>
        <w:rPr>
          <w:spacing w:val="-2"/>
          <w:sz w:val="20"/>
          <w:szCs w:val="20"/>
        </w:rPr>
        <w:t>互不干扰。租户一般指单位组织，一个租户包含多个用户。</w:t>
      </w:r>
    </w:p>
    <w:p w14:paraId="54E5BA39">
      <w:pPr>
        <w:pStyle w:val="2"/>
        <w:spacing w:before="83" w:line="219" w:lineRule="auto"/>
        <w:rPr>
          <w:sz w:val="20"/>
          <w:szCs w:val="20"/>
        </w:rPr>
      </w:pPr>
      <w:r>
        <w:rPr>
          <w:spacing w:val="1"/>
          <w:sz w:val="20"/>
          <w:szCs w:val="20"/>
        </w:rPr>
        <w:t>●多币种、多语言、多时区支持。</w:t>
      </w:r>
    </w:p>
    <w:p w14:paraId="4E9338AC">
      <w:pPr>
        <w:pStyle w:val="2"/>
        <w:spacing w:before="103" w:line="257" w:lineRule="auto"/>
        <w:ind w:left="280" w:right="286" w:hanging="280"/>
        <w:rPr>
          <w:sz w:val="20"/>
          <w:szCs w:val="20"/>
        </w:rPr>
      </w:pPr>
      <w:r>
        <w:rPr>
          <w:spacing w:val="8"/>
          <w:sz w:val="20"/>
          <w:szCs w:val="20"/>
        </w:rPr>
        <w:t>●非强交互性软件：如果网络延时过大，那么强交互性软件作</w:t>
      </w:r>
      <w:r>
        <w:rPr>
          <w:spacing w:val="7"/>
          <w:sz w:val="20"/>
          <w:szCs w:val="20"/>
        </w:rPr>
        <w:t>为</w:t>
      </w:r>
      <w:r>
        <w:rPr>
          <w:sz w:val="20"/>
          <w:szCs w:val="20"/>
        </w:rPr>
        <w:t>SaaS</w:t>
      </w:r>
      <w:r>
        <w:rPr>
          <w:spacing w:val="-52"/>
          <w:sz w:val="20"/>
          <w:szCs w:val="20"/>
        </w:rPr>
        <w:t xml:space="preserve"> </w:t>
      </w:r>
      <w:r>
        <w:rPr>
          <w:spacing w:val="7"/>
          <w:sz w:val="20"/>
          <w:szCs w:val="20"/>
        </w:rPr>
        <w:t>对外出租就不太合</w:t>
      </w:r>
      <w:r>
        <w:rPr>
          <w:sz w:val="20"/>
          <w:szCs w:val="20"/>
        </w:rPr>
        <w:t xml:space="preserve"> </w:t>
      </w:r>
      <w:r>
        <w:rPr>
          <w:spacing w:val="1"/>
          <w:sz w:val="20"/>
          <w:szCs w:val="20"/>
        </w:rPr>
        <w:t>适，会大大降低用户的体验度，除非改造成弱交互性软件或者批量输入/输出软件。</w:t>
      </w:r>
    </w:p>
    <w:p w14:paraId="3E0A70A9">
      <w:pPr>
        <w:pStyle w:val="2"/>
        <w:spacing w:before="179" w:line="221" w:lineRule="auto"/>
        <w:ind w:left="2"/>
        <w:rPr>
          <w:rFonts w:ascii="黑体" w:hAnsi="黑体" w:eastAsia="黑体" w:cs="黑体"/>
          <w:sz w:val="20"/>
          <w:szCs w:val="20"/>
        </w:rPr>
      </w:pPr>
      <w:r>
        <w:rPr>
          <w:b/>
          <w:bCs/>
          <w:color w:val="0079CA"/>
          <w:spacing w:val="-1"/>
          <w:sz w:val="20"/>
          <w:szCs w:val="20"/>
        </w:rPr>
        <w:t>2.</w:t>
      </w:r>
      <w:r>
        <w:rPr>
          <w:rFonts w:ascii="黑体" w:hAnsi="黑体" w:eastAsia="黑体" w:cs="黑体"/>
          <w:b/>
          <w:bCs/>
          <w:color w:val="0079CA"/>
          <w:spacing w:val="-1"/>
          <w:sz w:val="20"/>
          <w:szCs w:val="20"/>
        </w:rPr>
        <w:t>应用分类与优势</w:t>
      </w:r>
    </w:p>
    <w:p w14:paraId="18B96F5B">
      <w:pPr>
        <w:pStyle w:val="2"/>
        <w:spacing w:before="136" w:line="219" w:lineRule="auto"/>
        <w:rPr>
          <w:sz w:val="20"/>
          <w:szCs w:val="20"/>
        </w:rPr>
      </w:pPr>
      <w:r>
        <w:rPr>
          <w:spacing w:val="3"/>
          <w:sz w:val="20"/>
          <w:szCs w:val="20"/>
        </w:rPr>
        <w:t>(1)适合云化并以</w:t>
      </w:r>
      <w:r>
        <w:rPr>
          <w:rFonts w:ascii="Times New Roman" w:hAnsi="Times New Roman" w:eastAsia="Times New Roman" w:cs="Times New Roman"/>
          <w:sz w:val="20"/>
          <w:szCs w:val="20"/>
        </w:rPr>
        <w:t>SaaS</w:t>
      </w:r>
      <w:r>
        <w:rPr>
          <w:rFonts w:ascii="Times New Roman" w:hAnsi="Times New Roman" w:eastAsia="Times New Roman" w:cs="Times New Roman"/>
          <w:spacing w:val="3"/>
          <w:sz w:val="20"/>
          <w:szCs w:val="20"/>
        </w:rPr>
        <w:t xml:space="preserve"> </w:t>
      </w:r>
      <w:r>
        <w:rPr>
          <w:spacing w:val="3"/>
          <w:sz w:val="20"/>
          <w:szCs w:val="20"/>
        </w:rPr>
        <w:t>模式交付给用户的软件包括：</w:t>
      </w:r>
    </w:p>
    <w:p w14:paraId="555F31B4">
      <w:pPr>
        <w:pStyle w:val="2"/>
        <w:spacing w:before="70" w:line="272" w:lineRule="auto"/>
        <w:ind w:left="280" w:right="305" w:hanging="280"/>
        <w:rPr>
          <w:sz w:val="20"/>
          <w:szCs w:val="20"/>
        </w:rPr>
      </w:pPr>
      <w:r>
        <w:rPr>
          <w:spacing w:val="3"/>
          <w:sz w:val="20"/>
          <w:szCs w:val="20"/>
        </w:rPr>
        <w:t>●企事业单位的业务处理类软件：这类软件一般被单位组织用来处理</w:t>
      </w:r>
      <w:r>
        <w:rPr>
          <w:spacing w:val="2"/>
          <w:sz w:val="20"/>
          <w:szCs w:val="20"/>
        </w:rPr>
        <w:t>提供商、员工投资者</w:t>
      </w:r>
      <w:r>
        <w:rPr>
          <w:sz w:val="20"/>
          <w:szCs w:val="20"/>
        </w:rPr>
        <w:t xml:space="preserve"> </w:t>
      </w:r>
      <w:r>
        <w:rPr>
          <w:spacing w:val="-1"/>
          <w:sz w:val="20"/>
          <w:szCs w:val="20"/>
        </w:rPr>
        <w:t>和客户相关的业务，如开具发票、资金转账、库存管理及客户关</w:t>
      </w:r>
      <w:r>
        <w:rPr>
          <w:spacing w:val="-2"/>
          <w:sz w:val="20"/>
          <w:szCs w:val="20"/>
        </w:rPr>
        <w:t>系管理等。</w:t>
      </w:r>
    </w:p>
    <w:p w14:paraId="00D2AE26">
      <w:pPr>
        <w:pStyle w:val="2"/>
        <w:spacing w:before="62" w:line="276" w:lineRule="auto"/>
        <w:ind w:left="280" w:right="299" w:hanging="280"/>
        <w:rPr>
          <w:sz w:val="20"/>
          <w:szCs w:val="20"/>
        </w:rPr>
      </w:pPr>
      <w:r>
        <w:rPr>
          <w:spacing w:val="3"/>
          <w:sz w:val="20"/>
          <w:szCs w:val="20"/>
        </w:rPr>
        <w:t>●协同工作类软件：这类软件用于团队人员一起工作，团队成员可能都是单位组织</w:t>
      </w:r>
      <w:r>
        <w:rPr>
          <w:spacing w:val="2"/>
          <w:sz w:val="20"/>
          <w:szCs w:val="20"/>
        </w:rPr>
        <w:t>内部的</w:t>
      </w:r>
      <w:r>
        <w:rPr>
          <w:sz w:val="20"/>
          <w:szCs w:val="20"/>
        </w:rPr>
        <w:t xml:space="preserve"> </w:t>
      </w:r>
      <w:r>
        <w:rPr>
          <w:spacing w:val="1"/>
          <w:sz w:val="20"/>
          <w:szCs w:val="20"/>
        </w:rPr>
        <w:t>员工，也可能包含外部的人员，例如日历系统、邮件系统、屏幕分享工具、</w:t>
      </w:r>
      <w:r>
        <w:rPr>
          <w:sz w:val="20"/>
          <w:szCs w:val="20"/>
        </w:rPr>
        <w:t xml:space="preserve">协作文档创 </w:t>
      </w:r>
      <w:r>
        <w:rPr>
          <w:spacing w:val="-3"/>
          <w:sz w:val="20"/>
          <w:szCs w:val="20"/>
        </w:rPr>
        <w:t>作、会议管理及在线游戏。</w:t>
      </w:r>
    </w:p>
    <w:p w14:paraId="6A9C0574">
      <w:pPr>
        <w:pStyle w:val="2"/>
        <w:spacing w:before="73" w:line="276" w:lineRule="auto"/>
        <w:ind w:left="280" w:right="304" w:hanging="280"/>
        <w:rPr>
          <w:sz w:val="20"/>
          <w:szCs w:val="20"/>
        </w:rPr>
      </w:pPr>
      <w:r>
        <w:rPr>
          <w:spacing w:val="8"/>
          <w:sz w:val="20"/>
          <w:szCs w:val="20"/>
        </w:rPr>
        <w:t>●办公类软件：这类软件用于提高办公效率，如文字处理、制表、幻灯片编辑与播放工</w:t>
      </w:r>
      <w:r>
        <w:rPr>
          <w:spacing w:val="5"/>
          <w:sz w:val="20"/>
          <w:szCs w:val="20"/>
        </w:rPr>
        <w:t xml:space="preserve"> </w:t>
      </w:r>
      <w:r>
        <w:rPr>
          <w:spacing w:val="4"/>
          <w:sz w:val="20"/>
          <w:szCs w:val="20"/>
        </w:rPr>
        <w:t>具，以及数据库程序等。基于</w:t>
      </w:r>
      <w:r>
        <w:rPr>
          <w:rFonts w:ascii="Times New Roman" w:hAnsi="Times New Roman" w:eastAsia="Times New Roman" w:cs="Times New Roman"/>
          <w:sz w:val="20"/>
          <w:szCs w:val="20"/>
        </w:rPr>
        <w:t>SaaS</w:t>
      </w:r>
      <w:r>
        <w:rPr>
          <w:rFonts w:ascii="Times New Roman" w:hAnsi="Times New Roman" w:eastAsia="Times New Roman" w:cs="Times New Roman"/>
          <w:spacing w:val="37"/>
          <w:sz w:val="20"/>
          <w:szCs w:val="20"/>
        </w:rPr>
        <w:t xml:space="preserve"> </w:t>
      </w:r>
      <w:r>
        <w:rPr>
          <w:spacing w:val="4"/>
          <w:sz w:val="20"/>
          <w:szCs w:val="20"/>
        </w:rPr>
        <w:t>云服务的办公软件具备协同的特征，便于分享，这</w:t>
      </w:r>
      <w:r>
        <w:rPr>
          <w:sz w:val="20"/>
          <w:szCs w:val="20"/>
        </w:rPr>
        <w:t xml:space="preserve"> </w:t>
      </w:r>
      <w:r>
        <w:rPr>
          <w:spacing w:val="-3"/>
          <w:sz w:val="20"/>
          <w:szCs w:val="20"/>
        </w:rPr>
        <w:t>是传统的本地化办公软件所没有的。</w:t>
      </w:r>
    </w:p>
    <w:p w14:paraId="63435D16">
      <w:pPr>
        <w:pStyle w:val="2"/>
        <w:spacing w:before="85" w:line="276" w:lineRule="auto"/>
        <w:ind w:left="280" w:right="214" w:hanging="280"/>
        <w:rPr>
          <w:sz w:val="20"/>
          <w:szCs w:val="20"/>
        </w:rPr>
      </w:pPr>
      <w:r>
        <w:rPr>
          <w:spacing w:val="3"/>
          <w:sz w:val="20"/>
          <w:szCs w:val="20"/>
        </w:rPr>
        <w:t>●软件工具类：这类软件用来解决安全性或兼容性问题，以及在线</w:t>
      </w:r>
      <w:r>
        <w:rPr>
          <w:spacing w:val="2"/>
          <w:sz w:val="20"/>
          <w:szCs w:val="20"/>
        </w:rPr>
        <w:t>软件开发，如文档转换</w:t>
      </w:r>
      <w:r>
        <w:rPr>
          <w:sz w:val="20"/>
          <w:szCs w:val="20"/>
        </w:rPr>
        <w:t xml:space="preserve">  </w:t>
      </w:r>
      <w:r>
        <w:rPr>
          <w:spacing w:val="1"/>
          <w:sz w:val="20"/>
          <w:szCs w:val="20"/>
        </w:rPr>
        <w:t>工具、安全扫描和分析工具、合规性检查工具及线上网页开发等。随</w:t>
      </w:r>
      <w:r>
        <w:rPr>
          <w:sz w:val="20"/>
          <w:szCs w:val="20"/>
        </w:rPr>
        <w:t xml:space="preserve">着互联网进一步延  </w:t>
      </w:r>
      <w:r>
        <w:rPr>
          <w:spacing w:val="3"/>
          <w:sz w:val="20"/>
          <w:szCs w:val="20"/>
        </w:rPr>
        <w:t>伸到世界各地，带宽和网速进一步提升，以及云服务提供商通过近距离部署分支云端，</w:t>
      </w:r>
      <w:r>
        <w:rPr>
          <w:spacing w:val="5"/>
          <w:sz w:val="20"/>
          <w:szCs w:val="20"/>
        </w:rPr>
        <w:t xml:space="preserve"> </w:t>
      </w:r>
      <w:r>
        <w:rPr>
          <w:spacing w:val="-1"/>
          <w:sz w:val="20"/>
          <w:szCs w:val="20"/>
        </w:rPr>
        <w:t>从而进一步降低网络延时，可以预计，能够云化的软件</w:t>
      </w:r>
      <w:r>
        <w:rPr>
          <w:spacing w:val="-2"/>
          <w:sz w:val="20"/>
          <w:szCs w:val="20"/>
        </w:rPr>
        <w:t>种类将越来越多。</w:t>
      </w:r>
    </w:p>
    <w:p w14:paraId="432DB60A">
      <w:pPr>
        <w:pStyle w:val="2"/>
        <w:spacing w:before="80" w:line="212" w:lineRule="auto"/>
        <w:rPr>
          <w:sz w:val="20"/>
          <w:szCs w:val="20"/>
        </w:rPr>
      </w:pPr>
      <w:r>
        <w:rPr>
          <w:rFonts w:ascii="Times New Roman" w:hAnsi="Times New Roman" w:eastAsia="Times New Roman" w:cs="Times New Roman"/>
          <w:spacing w:val="-2"/>
          <w:sz w:val="20"/>
          <w:szCs w:val="20"/>
        </w:rPr>
        <w:t xml:space="preserve">(2)SaaS    </w:t>
      </w:r>
      <w:r>
        <w:rPr>
          <w:spacing w:val="-2"/>
          <w:sz w:val="20"/>
          <w:szCs w:val="20"/>
        </w:rPr>
        <w:t>模式具有的优势具体如下：</w:t>
      </w:r>
    </w:p>
    <w:p w14:paraId="0C75BED9">
      <w:pPr>
        <w:pStyle w:val="2"/>
        <w:spacing w:before="95" w:line="276" w:lineRule="auto"/>
        <w:ind w:left="280" w:right="303" w:hanging="280"/>
        <w:rPr>
          <w:sz w:val="20"/>
          <w:szCs w:val="20"/>
        </w:rPr>
      </w:pPr>
      <w:r>
        <w:rPr>
          <w:spacing w:val="6"/>
          <w:sz w:val="20"/>
          <w:szCs w:val="20"/>
        </w:rPr>
        <w:t>●云终端少量安装或不用安装软件：直接通过浏</w:t>
      </w:r>
      <w:r>
        <w:rPr>
          <w:spacing w:val="5"/>
          <w:sz w:val="20"/>
          <w:szCs w:val="20"/>
        </w:rPr>
        <w:t>览器访问云端</w:t>
      </w:r>
      <w:r>
        <w:rPr>
          <w:spacing w:val="-50"/>
          <w:sz w:val="20"/>
          <w:szCs w:val="20"/>
        </w:rPr>
        <w:t xml:space="preserve"> </w:t>
      </w:r>
      <w:r>
        <w:rPr>
          <w:sz w:val="20"/>
          <w:szCs w:val="20"/>
        </w:rPr>
        <w:t>SaaS</w:t>
      </w:r>
      <w:r>
        <w:rPr>
          <w:spacing w:val="-41"/>
          <w:sz w:val="20"/>
          <w:szCs w:val="20"/>
        </w:rPr>
        <w:t xml:space="preserve"> </w:t>
      </w:r>
      <w:r>
        <w:rPr>
          <w:spacing w:val="5"/>
          <w:sz w:val="20"/>
          <w:szCs w:val="20"/>
        </w:rPr>
        <w:t>软件，非常方便且具</w:t>
      </w:r>
      <w:r>
        <w:rPr>
          <w:sz w:val="20"/>
          <w:szCs w:val="20"/>
        </w:rPr>
        <w:t xml:space="preserve"> </w:t>
      </w:r>
      <w:r>
        <w:rPr>
          <w:spacing w:val="1"/>
          <w:sz w:val="20"/>
          <w:szCs w:val="20"/>
        </w:rPr>
        <w:t>备很好的交互体验，消费者使用的终端设备上无须额外安装客户端软</w:t>
      </w:r>
      <w:r>
        <w:rPr>
          <w:sz w:val="20"/>
          <w:szCs w:val="20"/>
        </w:rPr>
        <w:t xml:space="preserve">件。配置信息并不 </w:t>
      </w:r>
      <w:r>
        <w:rPr>
          <w:spacing w:val="1"/>
          <w:sz w:val="20"/>
          <w:szCs w:val="20"/>
        </w:rPr>
        <w:t>会存放在云终端里，所以不管用户何时何地使用何种终端操作云端</w:t>
      </w:r>
      <w:r>
        <w:rPr>
          <w:sz w:val="20"/>
          <w:szCs w:val="20"/>
        </w:rPr>
        <w:t xml:space="preserve">的软件，都能看到一 </w:t>
      </w:r>
      <w:r>
        <w:rPr>
          <w:spacing w:val="-1"/>
          <w:sz w:val="20"/>
          <w:szCs w:val="20"/>
        </w:rPr>
        <w:t>样的软件配置偏好和一致的业务数据，云终端</w:t>
      </w:r>
      <w:r>
        <w:rPr>
          <w:spacing w:val="-2"/>
          <w:sz w:val="20"/>
          <w:szCs w:val="20"/>
        </w:rPr>
        <w:t>成了无状态设备。</w:t>
      </w:r>
    </w:p>
    <w:p w14:paraId="40F6E36A">
      <w:pPr>
        <w:pStyle w:val="2"/>
        <w:spacing w:before="89" w:line="273" w:lineRule="auto"/>
        <w:ind w:left="280" w:right="284" w:hanging="280"/>
        <w:rPr>
          <w:sz w:val="20"/>
          <w:szCs w:val="20"/>
        </w:rPr>
      </w:pPr>
      <w:r>
        <w:rPr>
          <w:spacing w:val="3"/>
          <w:sz w:val="20"/>
          <w:szCs w:val="20"/>
        </w:rPr>
        <w:t>●有效使用软件许可证：软件许可证费用大幅度降低，因为用户只用一个许可证可以在不</w:t>
      </w:r>
      <w:r>
        <w:rPr>
          <w:spacing w:val="12"/>
          <w:sz w:val="20"/>
          <w:szCs w:val="20"/>
        </w:rPr>
        <w:t xml:space="preserve"> </w:t>
      </w:r>
      <w:r>
        <w:rPr>
          <w:spacing w:val="5"/>
          <w:sz w:val="20"/>
          <w:szCs w:val="20"/>
        </w:rPr>
        <w:t>同的时间登录不同的计算机，而在非</w:t>
      </w:r>
      <w:r>
        <w:rPr>
          <w:sz w:val="20"/>
          <w:szCs w:val="20"/>
        </w:rPr>
        <w:t>SaaS</w:t>
      </w:r>
      <w:r>
        <w:rPr>
          <w:spacing w:val="-42"/>
          <w:sz w:val="20"/>
          <w:szCs w:val="20"/>
        </w:rPr>
        <w:t xml:space="preserve"> </w:t>
      </w:r>
      <w:r>
        <w:rPr>
          <w:spacing w:val="5"/>
          <w:sz w:val="20"/>
          <w:szCs w:val="20"/>
        </w:rPr>
        <w:t>模式下，必须为不同的计算</w:t>
      </w:r>
      <w:r>
        <w:rPr>
          <w:spacing w:val="4"/>
          <w:sz w:val="20"/>
          <w:szCs w:val="20"/>
        </w:rPr>
        <w:t>机购买不同的许</w:t>
      </w:r>
      <w:r>
        <w:rPr>
          <w:sz w:val="20"/>
          <w:szCs w:val="20"/>
        </w:rPr>
        <w:t xml:space="preserve"> </w:t>
      </w:r>
      <w:r>
        <w:rPr>
          <w:spacing w:val="9"/>
          <w:sz w:val="20"/>
          <w:szCs w:val="20"/>
        </w:rPr>
        <w:t>可证(即使计算机没被使用),从而导致可能过度</w:t>
      </w:r>
      <w:r>
        <w:rPr>
          <w:spacing w:val="8"/>
          <w:sz w:val="20"/>
          <w:szCs w:val="20"/>
        </w:rPr>
        <w:t>配置许可证的现象。另外，专门为保</w:t>
      </w:r>
      <w:r>
        <w:rPr>
          <w:sz w:val="20"/>
          <w:szCs w:val="20"/>
        </w:rPr>
        <w:t xml:space="preserve"> </w:t>
      </w:r>
      <w:r>
        <w:rPr>
          <w:spacing w:val="6"/>
          <w:sz w:val="20"/>
          <w:szCs w:val="20"/>
        </w:rPr>
        <w:t>护软件产权而购置的证书管理服务器也不需</w:t>
      </w:r>
      <w:r>
        <w:rPr>
          <w:spacing w:val="5"/>
          <w:sz w:val="20"/>
          <w:szCs w:val="20"/>
        </w:rPr>
        <w:t>要了，因为在</w:t>
      </w:r>
      <w:r>
        <w:rPr>
          <w:rFonts w:ascii="Times New Roman" w:hAnsi="Times New Roman" w:eastAsia="Times New Roman" w:cs="Times New Roman"/>
          <w:sz w:val="20"/>
          <w:szCs w:val="20"/>
        </w:rPr>
        <w:t>SaaS</w:t>
      </w:r>
      <w:r>
        <w:rPr>
          <w:rFonts w:ascii="Times New Roman" w:hAnsi="Times New Roman" w:eastAsia="Times New Roman" w:cs="Times New Roman"/>
          <w:spacing w:val="5"/>
          <w:sz w:val="20"/>
          <w:szCs w:val="20"/>
        </w:rPr>
        <w:t xml:space="preserve"> </w:t>
      </w:r>
      <w:r>
        <w:rPr>
          <w:spacing w:val="5"/>
          <w:sz w:val="20"/>
          <w:szCs w:val="20"/>
        </w:rPr>
        <w:t>模式下，软件只运行在</w:t>
      </w:r>
      <w:r>
        <w:rPr>
          <w:sz w:val="20"/>
          <w:szCs w:val="20"/>
        </w:rPr>
        <w:t xml:space="preserve"> </w:t>
      </w:r>
      <w:r>
        <w:rPr>
          <w:spacing w:val="-1"/>
          <w:sz w:val="20"/>
          <w:szCs w:val="20"/>
        </w:rPr>
        <w:t>云端，软件开发公司只跟云服务提供商打交道并进</w:t>
      </w:r>
      <w:r>
        <w:rPr>
          <w:spacing w:val="-2"/>
          <w:sz w:val="20"/>
          <w:szCs w:val="20"/>
        </w:rPr>
        <w:t>行软件买卖结算即可。</w:t>
      </w:r>
    </w:p>
    <w:p w14:paraId="36D16273">
      <w:pPr>
        <w:pStyle w:val="2"/>
        <w:spacing w:before="95" w:line="280" w:lineRule="auto"/>
        <w:ind w:left="280" w:right="285" w:hanging="280"/>
        <w:rPr>
          <w:sz w:val="20"/>
          <w:szCs w:val="20"/>
        </w:rPr>
      </w:pPr>
      <w:r>
        <w:rPr>
          <w:spacing w:val="7"/>
          <w:sz w:val="20"/>
          <w:szCs w:val="20"/>
        </w:rPr>
        <w:t>●数据安全性得到提高：对于公共云和云端托管别处的</w:t>
      </w:r>
      <w:r>
        <w:rPr>
          <w:spacing w:val="6"/>
          <w:sz w:val="20"/>
          <w:szCs w:val="20"/>
        </w:rPr>
        <w:t>其他云来说，意味着</w:t>
      </w:r>
      <w:r>
        <w:rPr>
          <w:sz w:val="20"/>
          <w:szCs w:val="20"/>
        </w:rPr>
        <w:t>SaaS</w:t>
      </w:r>
      <w:r>
        <w:rPr>
          <w:spacing w:val="-31"/>
          <w:sz w:val="20"/>
          <w:szCs w:val="20"/>
        </w:rPr>
        <w:t xml:space="preserve"> </w:t>
      </w:r>
      <w:r>
        <w:rPr>
          <w:spacing w:val="6"/>
          <w:sz w:val="20"/>
          <w:szCs w:val="20"/>
        </w:rPr>
        <w:t>软件操</w:t>
      </w:r>
      <w:r>
        <w:rPr>
          <w:sz w:val="20"/>
          <w:szCs w:val="20"/>
        </w:rPr>
        <w:t xml:space="preserve"> </w:t>
      </w:r>
      <w:r>
        <w:rPr>
          <w:spacing w:val="1"/>
          <w:sz w:val="20"/>
          <w:szCs w:val="20"/>
        </w:rPr>
        <w:t>纵的数据信息存储在云端的服务器中，云服务提供商也许把数据打散并把多份数据副本</w:t>
      </w:r>
      <w:r>
        <w:rPr>
          <w:spacing w:val="10"/>
          <w:sz w:val="20"/>
          <w:szCs w:val="20"/>
        </w:rPr>
        <w:t xml:space="preserve"> </w:t>
      </w:r>
      <w:r>
        <w:rPr>
          <w:spacing w:val="1"/>
          <w:sz w:val="20"/>
          <w:szCs w:val="20"/>
        </w:rPr>
        <w:t>存储在多个服务器中，以便提高数据的完整性，但是从消费者的视角看，数据是被集中</w:t>
      </w:r>
      <w:r>
        <w:rPr>
          <w:spacing w:val="2"/>
          <w:sz w:val="20"/>
          <w:szCs w:val="20"/>
        </w:rPr>
        <w:t xml:space="preserve"> </w:t>
      </w:r>
      <w:r>
        <w:rPr>
          <w:spacing w:val="1"/>
          <w:sz w:val="20"/>
          <w:szCs w:val="20"/>
        </w:rPr>
        <w:t>存放和管理的。云服务提供商能提供专家管理团队和专业级的</w:t>
      </w:r>
      <w:r>
        <w:rPr>
          <w:sz w:val="20"/>
          <w:szCs w:val="20"/>
        </w:rPr>
        <w:t xml:space="preserve">管理技术和设备，如合规 </w:t>
      </w:r>
      <w:r>
        <w:rPr>
          <w:spacing w:val="-1"/>
          <w:sz w:val="20"/>
          <w:szCs w:val="20"/>
        </w:rPr>
        <w:t>性检查、安全扫描、异地备份和灾难恢复，甚至是建立跨城市双</w:t>
      </w:r>
      <w:r>
        <w:rPr>
          <w:spacing w:val="-2"/>
          <w:sz w:val="20"/>
          <w:szCs w:val="20"/>
        </w:rPr>
        <w:t>活数据中心。</w:t>
      </w:r>
    </w:p>
    <w:p w14:paraId="3532EA09">
      <w:pPr>
        <w:spacing w:line="280" w:lineRule="auto"/>
        <w:rPr>
          <w:sz w:val="20"/>
          <w:szCs w:val="20"/>
        </w:rPr>
        <w:sectPr>
          <w:pgSz w:w="10280" w:h="13320"/>
          <w:pgMar w:top="400" w:right="544" w:bottom="400" w:left="1520" w:header="0" w:footer="0" w:gutter="0"/>
          <w:cols w:space="720" w:num="1"/>
        </w:sectPr>
      </w:pPr>
    </w:p>
    <w:p w14:paraId="4877E66E">
      <w:pPr>
        <w:pStyle w:val="2"/>
        <w:spacing w:before="87" w:line="215" w:lineRule="auto"/>
        <w:rPr>
          <w:sz w:val="20"/>
          <w:szCs w:val="20"/>
        </w:rPr>
      </w:pPr>
      <w:r>
        <w:rPr>
          <w:rFonts w:ascii="Times New Roman" w:hAnsi="Times New Roman" w:eastAsia="Times New Roman" w:cs="Times New Roman"/>
          <w:b/>
          <w:bCs/>
          <w:position w:val="2"/>
          <w:sz w:val="20"/>
          <w:szCs w:val="20"/>
        </w:rPr>
        <w:t xml:space="preserve">146             </w:t>
      </w:r>
      <w:r>
        <w:rPr>
          <w:sz w:val="20"/>
          <w:szCs w:val="20"/>
        </w:rPr>
        <w:t>信息系统监</w:t>
      </w:r>
      <w:r>
        <w:rPr>
          <w:spacing w:val="-1"/>
          <w:sz w:val="20"/>
          <w:szCs w:val="20"/>
        </w:rPr>
        <w:t>理师教程(第2版)</w:t>
      </w:r>
    </w:p>
    <w:p w14:paraId="2A29B87B">
      <w:pPr>
        <w:spacing w:line="293" w:lineRule="auto"/>
        <w:rPr>
          <w:rFonts w:ascii="Arial"/>
          <w:sz w:val="21"/>
        </w:rPr>
      </w:pPr>
    </w:p>
    <w:p w14:paraId="1A337867">
      <w:pPr>
        <w:pStyle w:val="2"/>
        <w:spacing w:before="65" w:line="283" w:lineRule="auto"/>
        <w:ind w:left="1049" w:right="69" w:hanging="290"/>
        <w:rPr>
          <w:sz w:val="20"/>
          <w:szCs w:val="20"/>
        </w:rPr>
      </w:pPr>
      <w:r>
        <w:rPr>
          <w:spacing w:val="4"/>
          <w:sz w:val="20"/>
          <w:szCs w:val="20"/>
        </w:rPr>
        <w:t>●对于云端就在本地的私有云和社区云来说，好处类似于公共云，无处不</w:t>
      </w:r>
      <w:r>
        <w:rPr>
          <w:spacing w:val="3"/>
          <w:sz w:val="20"/>
          <w:szCs w:val="20"/>
        </w:rPr>
        <w:t>在的网络接入使</w:t>
      </w:r>
      <w:r>
        <w:rPr>
          <w:sz w:val="20"/>
          <w:szCs w:val="20"/>
        </w:rPr>
        <w:t xml:space="preserve"> </w:t>
      </w:r>
      <w:r>
        <w:rPr>
          <w:spacing w:val="2"/>
          <w:sz w:val="20"/>
          <w:szCs w:val="20"/>
        </w:rPr>
        <w:t>人们再也不用复制数据并随身携带，从而避免数</w:t>
      </w:r>
      <w:r>
        <w:rPr>
          <w:spacing w:val="1"/>
          <w:sz w:val="20"/>
          <w:szCs w:val="20"/>
        </w:rPr>
        <w:t>据介质丢失或者被盗。数据集中存放管</w:t>
      </w:r>
      <w:r>
        <w:rPr>
          <w:sz w:val="20"/>
          <w:szCs w:val="20"/>
        </w:rPr>
        <w:t xml:space="preserve"> </w:t>
      </w:r>
      <w:r>
        <w:rPr>
          <w:spacing w:val="-3"/>
          <w:sz w:val="20"/>
          <w:szCs w:val="20"/>
        </w:rPr>
        <w:t>理还有利于人们分享数据信息。</w:t>
      </w:r>
    </w:p>
    <w:p w14:paraId="0570CD71">
      <w:pPr>
        <w:pStyle w:val="2"/>
        <w:spacing w:before="81" w:line="277" w:lineRule="auto"/>
        <w:ind w:left="1049" w:right="69" w:hanging="290"/>
        <w:rPr>
          <w:sz w:val="20"/>
          <w:szCs w:val="20"/>
        </w:rPr>
      </w:pPr>
      <w:r>
        <w:rPr>
          <w:spacing w:val="6"/>
          <w:sz w:val="20"/>
          <w:szCs w:val="20"/>
        </w:rPr>
        <w:t>●有利于消费者摆脱</w:t>
      </w:r>
      <w:r>
        <w:rPr>
          <w:sz w:val="20"/>
          <w:szCs w:val="20"/>
        </w:rPr>
        <w:t>IT</w:t>
      </w:r>
      <w:r>
        <w:rPr>
          <w:spacing w:val="-32"/>
          <w:sz w:val="20"/>
          <w:szCs w:val="20"/>
        </w:rPr>
        <w:t xml:space="preserve"> </w:t>
      </w:r>
      <w:r>
        <w:rPr>
          <w:spacing w:val="6"/>
          <w:sz w:val="20"/>
          <w:szCs w:val="20"/>
        </w:rPr>
        <w:t>运维的技术“泥潭”而</w:t>
      </w:r>
      <w:r>
        <w:rPr>
          <w:spacing w:val="5"/>
          <w:sz w:val="20"/>
          <w:szCs w:val="20"/>
        </w:rPr>
        <w:t>专注于自己的核心业务：</w:t>
      </w:r>
      <w:r>
        <w:rPr>
          <w:sz w:val="20"/>
          <w:szCs w:val="20"/>
        </w:rPr>
        <w:t>SaaS</w:t>
      </w:r>
      <w:r>
        <w:rPr>
          <w:spacing w:val="-31"/>
          <w:sz w:val="20"/>
          <w:szCs w:val="20"/>
        </w:rPr>
        <w:t xml:space="preserve"> </w:t>
      </w:r>
      <w:r>
        <w:rPr>
          <w:spacing w:val="5"/>
          <w:sz w:val="20"/>
          <w:szCs w:val="20"/>
        </w:rPr>
        <w:t>云服务消费</w:t>
      </w:r>
      <w:r>
        <w:rPr>
          <w:sz w:val="20"/>
          <w:szCs w:val="20"/>
        </w:rPr>
        <w:t xml:space="preserve"> </w:t>
      </w:r>
      <w:r>
        <w:rPr>
          <w:spacing w:val="7"/>
          <w:sz w:val="20"/>
          <w:szCs w:val="20"/>
        </w:rPr>
        <w:t>者只要租赁软件即可，而无须担心底层(基础设施层、平台软件层和应</w:t>
      </w:r>
      <w:r>
        <w:rPr>
          <w:spacing w:val="6"/>
          <w:sz w:val="20"/>
          <w:szCs w:val="20"/>
        </w:rPr>
        <w:t>用软件层)的管</w:t>
      </w:r>
      <w:r>
        <w:rPr>
          <w:sz w:val="20"/>
          <w:szCs w:val="20"/>
        </w:rPr>
        <w:t xml:space="preserve"> </w:t>
      </w:r>
      <w:r>
        <w:rPr>
          <w:spacing w:val="-2"/>
          <w:sz w:val="20"/>
          <w:szCs w:val="20"/>
        </w:rPr>
        <w:t>理和运维。</w:t>
      </w:r>
    </w:p>
    <w:p w14:paraId="28CF123A">
      <w:pPr>
        <w:pStyle w:val="2"/>
        <w:spacing w:before="91" w:line="277" w:lineRule="auto"/>
        <w:ind w:left="1049" w:right="84" w:hanging="290"/>
        <w:rPr>
          <w:sz w:val="20"/>
          <w:szCs w:val="20"/>
        </w:rPr>
      </w:pPr>
      <w:r>
        <w:rPr>
          <w:spacing w:val="9"/>
          <w:sz w:val="20"/>
          <w:szCs w:val="20"/>
        </w:rPr>
        <w:t>●消费者能节约大量前期投资：消费者不用装修机房，不</w:t>
      </w:r>
      <w:r>
        <w:rPr>
          <w:spacing w:val="8"/>
          <w:sz w:val="20"/>
          <w:szCs w:val="20"/>
        </w:rPr>
        <w:t>用建设计算机网络，不用购买</w:t>
      </w:r>
      <w:r>
        <w:rPr>
          <w:sz w:val="20"/>
          <w:szCs w:val="20"/>
        </w:rPr>
        <w:t xml:space="preserve"> </w:t>
      </w:r>
      <w:r>
        <w:rPr>
          <w:spacing w:val="7"/>
          <w:sz w:val="20"/>
          <w:szCs w:val="20"/>
        </w:rPr>
        <w:t>服务器，也不用购买和安装各种操作系统和应用软</w:t>
      </w:r>
      <w:r>
        <w:rPr>
          <w:spacing w:val="6"/>
          <w:sz w:val="20"/>
          <w:szCs w:val="20"/>
        </w:rPr>
        <w:t>件，这样就能节省成百上千万元的</w:t>
      </w:r>
      <w:r>
        <w:rPr>
          <w:sz w:val="20"/>
          <w:szCs w:val="20"/>
        </w:rPr>
        <w:t xml:space="preserve"> </w:t>
      </w:r>
      <w:r>
        <w:rPr>
          <w:spacing w:val="-5"/>
          <w:sz w:val="20"/>
          <w:szCs w:val="20"/>
        </w:rPr>
        <w:t>资金。</w:t>
      </w:r>
    </w:p>
    <w:p w14:paraId="12E02B3E">
      <w:pPr>
        <w:pStyle w:val="2"/>
        <w:spacing w:before="69" w:line="291" w:lineRule="auto"/>
        <w:ind w:left="359" w:firstLine="400"/>
        <w:rPr>
          <w:sz w:val="20"/>
          <w:szCs w:val="20"/>
        </w:rPr>
      </w:pPr>
      <w:r>
        <w:rPr>
          <w:rFonts w:ascii="Times New Roman" w:hAnsi="Times New Roman" w:eastAsia="Times New Roman" w:cs="Times New Roman"/>
          <w:spacing w:val="-2"/>
          <w:sz w:val="20"/>
          <w:szCs w:val="20"/>
        </w:rPr>
        <w:t xml:space="preserve">SaaS </w:t>
      </w:r>
      <w:r>
        <w:rPr>
          <w:spacing w:val="-2"/>
          <w:sz w:val="20"/>
          <w:szCs w:val="20"/>
        </w:rPr>
        <w:t>云服务的实际应用包括：电子邮件和在线办公软件、计费开票软件</w:t>
      </w:r>
      <w:r>
        <w:rPr>
          <w:spacing w:val="-3"/>
          <w:sz w:val="20"/>
          <w:szCs w:val="20"/>
        </w:rPr>
        <w:t>、</w:t>
      </w:r>
      <w:r>
        <w:rPr>
          <w:rFonts w:ascii="Times New Roman" w:hAnsi="Times New Roman" w:eastAsia="Times New Roman" w:cs="Times New Roman"/>
          <w:spacing w:val="-3"/>
          <w:sz w:val="20"/>
          <w:szCs w:val="20"/>
        </w:rPr>
        <w:t>CRM</w:t>
      </w:r>
      <w:r>
        <w:rPr>
          <w:rFonts w:ascii="Times New Roman" w:hAnsi="Times New Roman" w:eastAsia="Times New Roman" w:cs="Times New Roman"/>
          <w:spacing w:val="-28"/>
          <w:sz w:val="20"/>
          <w:szCs w:val="20"/>
        </w:rPr>
        <w:t xml:space="preserve"> </w:t>
      </w:r>
      <w:r>
        <w:rPr>
          <w:spacing w:val="-3"/>
          <w:sz w:val="20"/>
          <w:szCs w:val="20"/>
        </w:rPr>
        <w:t>、协作工具、</w:t>
      </w:r>
      <w:r>
        <w:rPr>
          <w:sz w:val="20"/>
          <w:szCs w:val="20"/>
        </w:rPr>
        <w:t xml:space="preserve"> </w:t>
      </w:r>
      <w:r>
        <w:rPr>
          <w:rFonts w:ascii="Times New Roman" w:hAnsi="Times New Roman" w:eastAsia="Times New Roman" w:cs="Times New Roman"/>
          <w:spacing w:val="-4"/>
          <w:sz w:val="20"/>
          <w:szCs w:val="20"/>
        </w:rPr>
        <w:t>CMS</w:t>
      </w:r>
      <w:r>
        <w:rPr>
          <w:rFonts w:ascii="Times New Roman" w:hAnsi="Times New Roman" w:eastAsia="Times New Roman" w:cs="Times New Roman"/>
          <w:spacing w:val="-15"/>
          <w:sz w:val="20"/>
          <w:szCs w:val="20"/>
        </w:rPr>
        <w:t xml:space="preserve"> </w:t>
      </w:r>
      <w:r>
        <w:rPr>
          <w:spacing w:val="-4"/>
          <w:sz w:val="20"/>
          <w:szCs w:val="20"/>
        </w:rPr>
        <w:t>、财务软件、销售工具、</w:t>
      </w:r>
      <w:r>
        <w:rPr>
          <w:rFonts w:ascii="Times New Roman" w:hAnsi="Times New Roman" w:eastAsia="Times New Roman" w:cs="Times New Roman"/>
          <w:spacing w:val="-4"/>
          <w:sz w:val="20"/>
          <w:szCs w:val="20"/>
        </w:rPr>
        <w:t>ERP</w:t>
      </w:r>
      <w:r>
        <w:rPr>
          <w:rFonts w:ascii="Times New Roman" w:hAnsi="Times New Roman" w:eastAsia="Times New Roman" w:cs="Times New Roman"/>
          <w:spacing w:val="-28"/>
          <w:sz w:val="20"/>
          <w:szCs w:val="20"/>
        </w:rPr>
        <w:t xml:space="preserve"> </w:t>
      </w:r>
      <w:r>
        <w:rPr>
          <w:spacing w:val="-4"/>
          <w:sz w:val="20"/>
          <w:szCs w:val="20"/>
        </w:rPr>
        <w:t>、在线翻译等。</w:t>
      </w:r>
    </w:p>
    <w:p w14:paraId="515A66F6">
      <w:pPr>
        <w:pStyle w:val="2"/>
        <w:spacing w:before="178" w:line="219" w:lineRule="auto"/>
        <w:ind w:left="362"/>
        <w:rPr>
          <w:sz w:val="25"/>
          <w:szCs w:val="25"/>
        </w:rPr>
      </w:pPr>
      <w:r>
        <w:rPr>
          <w:b/>
          <w:bCs/>
          <w:color w:val="0084D1"/>
          <w:spacing w:val="-19"/>
          <w:sz w:val="25"/>
          <w:szCs w:val="25"/>
        </w:rPr>
        <w:t>4.2.9</w:t>
      </w:r>
      <w:r>
        <w:rPr>
          <w:color w:val="0084D1"/>
          <w:spacing w:val="70"/>
          <w:sz w:val="25"/>
          <w:szCs w:val="25"/>
        </w:rPr>
        <w:t xml:space="preserve"> </w:t>
      </w:r>
      <w:r>
        <w:rPr>
          <w:b/>
          <w:bCs/>
          <w:color w:val="0084D1"/>
          <w:spacing w:val="-19"/>
          <w:sz w:val="25"/>
          <w:szCs w:val="25"/>
        </w:rPr>
        <w:t>云数据中心</w:t>
      </w:r>
    </w:p>
    <w:p w14:paraId="1BD0AFF9">
      <w:pPr>
        <w:pStyle w:val="2"/>
        <w:spacing w:before="170" w:line="286" w:lineRule="auto"/>
        <w:ind w:left="359" w:right="68" w:firstLine="400"/>
        <w:jc w:val="both"/>
        <w:rPr>
          <w:sz w:val="20"/>
          <w:szCs w:val="20"/>
        </w:rPr>
      </w:pPr>
      <w:r>
        <w:rPr>
          <w:spacing w:val="14"/>
          <w:sz w:val="20"/>
          <w:szCs w:val="20"/>
        </w:rPr>
        <w:t>从计算机发明至今，数据中心的发展主要经过了四个阶段。从20世</w:t>
      </w:r>
      <w:r>
        <w:rPr>
          <w:spacing w:val="13"/>
          <w:sz w:val="20"/>
          <w:szCs w:val="20"/>
        </w:rPr>
        <w:t>纪60年代到20世纪</w:t>
      </w:r>
      <w:r>
        <w:rPr>
          <w:sz w:val="20"/>
          <w:szCs w:val="20"/>
        </w:rPr>
        <w:t xml:space="preserve"> </w:t>
      </w:r>
      <w:r>
        <w:rPr>
          <w:spacing w:val="3"/>
          <w:sz w:val="20"/>
          <w:szCs w:val="20"/>
        </w:rPr>
        <w:t>80年代后期为第一代数据中心，主要是用于科研和国防领域科学计算服务的大型计算机专用机</w:t>
      </w:r>
      <w:r>
        <w:rPr>
          <w:sz w:val="20"/>
          <w:szCs w:val="20"/>
        </w:rPr>
        <w:t xml:space="preserve"> </w:t>
      </w:r>
      <w:r>
        <w:rPr>
          <w:spacing w:val="3"/>
          <w:sz w:val="20"/>
          <w:szCs w:val="20"/>
        </w:rPr>
        <w:t>房；到1990年前后的机房为第二代数据中心，此时计算机设备进入塔式服务器和小型机房的时</w:t>
      </w:r>
      <w:r>
        <w:rPr>
          <w:spacing w:val="1"/>
          <w:sz w:val="20"/>
          <w:szCs w:val="20"/>
        </w:rPr>
        <w:t xml:space="preserve"> </w:t>
      </w:r>
      <w:r>
        <w:rPr>
          <w:spacing w:val="3"/>
          <w:sz w:val="20"/>
          <w:szCs w:val="20"/>
        </w:rPr>
        <w:t>代，并出现了专业分工的机房设备制造企业和机房工程实施服务企业；到2000年前后第一次出</w:t>
      </w:r>
      <w:r>
        <w:rPr>
          <w:spacing w:val="14"/>
          <w:sz w:val="20"/>
          <w:szCs w:val="20"/>
        </w:rPr>
        <w:t xml:space="preserve"> </w:t>
      </w:r>
      <w:r>
        <w:rPr>
          <w:spacing w:val="1"/>
          <w:sz w:val="20"/>
          <w:szCs w:val="20"/>
        </w:rPr>
        <w:t>现了真正意义上的“数据中心”,即以提供互联网数据处理、</w:t>
      </w:r>
      <w:r>
        <w:rPr>
          <w:sz w:val="20"/>
          <w:szCs w:val="20"/>
        </w:rPr>
        <w:t xml:space="preserve">存储、通信为服务模式的互联网数 </w:t>
      </w:r>
      <w:r>
        <w:rPr>
          <w:spacing w:val="3"/>
          <w:sz w:val="20"/>
          <w:szCs w:val="20"/>
        </w:rPr>
        <w:t>据中心，称为第三代数据中心；如今云计算的到来，正引领数据中心进入第四代发展阶段—一</w:t>
      </w:r>
      <w:r>
        <w:rPr>
          <w:spacing w:val="7"/>
          <w:sz w:val="20"/>
          <w:szCs w:val="20"/>
        </w:rPr>
        <w:t xml:space="preserve"> </w:t>
      </w:r>
      <w:r>
        <w:rPr>
          <w:spacing w:val="-5"/>
          <w:sz w:val="20"/>
          <w:szCs w:val="20"/>
        </w:rPr>
        <w:t>云数据中心时代。</w:t>
      </w:r>
    </w:p>
    <w:p w14:paraId="419863F7">
      <w:pPr>
        <w:pStyle w:val="2"/>
        <w:spacing w:before="121" w:line="221" w:lineRule="auto"/>
        <w:ind w:left="762"/>
        <w:rPr>
          <w:rFonts w:ascii="黑体" w:hAnsi="黑体" w:eastAsia="黑体" w:cs="黑体"/>
          <w:sz w:val="20"/>
          <w:szCs w:val="20"/>
        </w:rPr>
      </w:pPr>
      <w:r>
        <w:rPr>
          <w:b/>
          <w:bCs/>
          <w:color w:val="007EB5"/>
          <w:spacing w:val="-3"/>
          <w:sz w:val="20"/>
          <w:szCs w:val="20"/>
        </w:rPr>
        <w:t>1.</w:t>
      </w:r>
      <w:r>
        <w:rPr>
          <w:rFonts w:ascii="黑体" w:hAnsi="黑体" w:eastAsia="黑体" w:cs="黑体"/>
          <w:b/>
          <w:bCs/>
          <w:color w:val="007EB5"/>
          <w:spacing w:val="-3"/>
          <w:sz w:val="20"/>
          <w:szCs w:val="20"/>
        </w:rPr>
        <w:t>概念</w:t>
      </w:r>
    </w:p>
    <w:p w14:paraId="7FE5B861">
      <w:pPr>
        <w:pStyle w:val="2"/>
        <w:spacing w:before="152" w:line="283" w:lineRule="auto"/>
        <w:ind w:left="359" w:firstLine="400"/>
        <w:jc w:val="both"/>
        <w:rPr>
          <w:sz w:val="20"/>
          <w:szCs w:val="20"/>
        </w:rPr>
      </w:pPr>
      <w:r>
        <w:rPr>
          <w:spacing w:val="3"/>
          <w:sz w:val="20"/>
          <w:szCs w:val="20"/>
        </w:rPr>
        <w:t>云数据中心是云计算数据中心(</w:t>
      </w:r>
      <w:r>
        <w:rPr>
          <w:sz w:val="20"/>
          <w:szCs w:val="20"/>
        </w:rPr>
        <w:t>Cloud</w:t>
      </w:r>
      <w:r>
        <w:rPr>
          <w:spacing w:val="54"/>
          <w:sz w:val="20"/>
          <w:szCs w:val="20"/>
        </w:rPr>
        <w:t xml:space="preserve"> </w:t>
      </w:r>
      <w:r>
        <w:rPr>
          <w:sz w:val="20"/>
          <w:szCs w:val="20"/>
        </w:rPr>
        <w:t>Computing</w:t>
      </w:r>
      <w:r>
        <w:rPr>
          <w:spacing w:val="50"/>
          <w:sz w:val="20"/>
          <w:szCs w:val="20"/>
        </w:rPr>
        <w:t xml:space="preserve"> </w:t>
      </w:r>
      <w:r>
        <w:rPr>
          <w:sz w:val="20"/>
          <w:szCs w:val="20"/>
        </w:rPr>
        <w:t>Data</w:t>
      </w:r>
      <w:r>
        <w:rPr>
          <w:spacing w:val="51"/>
          <w:sz w:val="20"/>
          <w:szCs w:val="20"/>
        </w:rPr>
        <w:t xml:space="preserve"> </w:t>
      </w:r>
      <w:r>
        <w:rPr>
          <w:sz w:val="20"/>
          <w:szCs w:val="20"/>
        </w:rPr>
        <w:t>Center</w:t>
      </w:r>
      <w:r>
        <w:rPr>
          <w:spacing w:val="3"/>
          <w:sz w:val="20"/>
          <w:szCs w:val="20"/>
        </w:rPr>
        <w:t>,</w:t>
      </w:r>
      <w:r>
        <w:rPr>
          <w:sz w:val="20"/>
          <w:szCs w:val="20"/>
        </w:rPr>
        <w:t>CDC</w:t>
      </w:r>
      <w:r>
        <w:rPr>
          <w:spacing w:val="3"/>
          <w:sz w:val="20"/>
          <w:szCs w:val="20"/>
        </w:rPr>
        <w:t>)的简称，作为支撑云</w:t>
      </w:r>
      <w:r>
        <w:rPr>
          <w:sz w:val="20"/>
          <w:szCs w:val="20"/>
        </w:rPr>
        <w:t xml:space="preserve">  </w:t>
      </w:r>
      <w:r>
        <w:rPr>
          <w:spacing w:val="3"/>
          <w:sz w:val="20"/>
          <w:szCs w:val="20"/>
        </w:rPr>
        <w:t>服务的物理载体，处于云计算技术体系的核心地位。它以基于云计算技术架构为特征，以调度</w:t>
      </w:r>
      <w:r>
        <w:rPr>
          <w:spacing w:val="4"/>
          <w:sz w:val="20"/>
          <w:szCs w:val="20"/>
        </w:rPr>
        <w:t xml:space="preserve">  </w:t>
      </w:r>
      <w:r>
        <w:rPr>
          <w:spacing w:val="5"/>
          <w:sz w:val="20"/>
          <w:szCs w:val="20"/>
        </w:rPr>
        <w:t>技术及虚拟化技术等为手段，通过建立物理的、可伸缩</w:t>
      </w:r>
      <w:r>
        <w:rPr>
          <w:spacing w:val="4"/>
          <w:sz w:val="20"/>
          <w:szCs w:val="20"/>
        </w:rPr>
        <w:t>的、可调度的、模块化的计算资源池，</w:t>
      </w:r>
      <w:r>
        <w:rPr>
          <w:sz w:val="20"/>
          <w:szCs w:val="20"/>
        </w:rPr>
        <w:t xml:space="preserve"> </w:t>
      </w:r>
      <w:r>
        <w:rPr>
          <w:spacing w:val="1"/>
          <w:sz w:val="20"/>
          <w:szCs w:val="20"/>
        </w:rPr>
        <w:t>将</w:t>
      </w:r>
      <w:r>
        <w:rPr>
          <w:rFonts w:ascii="Times New Roman" w:hAnsi="Times New Roman" w:eastAsia="Times New Roman" w:cs="Times New Roman"/>
          <w:sz w:val="20"/>
          <w:szCs w:val="20"/>
        </w:rPr>
        <w:t>IT</w:t>
      </w:r>
      <w:r>
        <w:rPr>
          <w:rFonts w:ascii="Times New Roman" w:hAnsi="Times New Roman" w:eastAsia="Times New Roman" w:cs="Times New Roman"/>
          <w:spacing w:val="40"/>
          <w:w w:val="101"/>
          <w:sz w:val="20"/>
          <w:szCs w:val="20"/>
        </w:rPr>
        <w:t xml:space="preserve"> </w:t>
      </w:r>
      <w:r>
        <w:rPr>
          <w:spacing w:val="1"/>
          <w:sz w:val="20"/>
          <w:szCs w:val="20"/>
        </w:rPr>
        <w:t>系统和数据中心基础设施合二为一，以崭新的业务模式向用户提供高性能、低成本、弹性</w:t>
      </w:r>
      <w:r>
        <w:rPr>
          <w:sz w:val="20"/>
          <w:szCs w:val="20"/>
        </w:rPr>
        <w:t xml:space="preserve">  的持续计算能力、存储服务及网络服务。云计算数据中心包括计算资源、存储资源、电力资源、</w:t>
      </w:r>
      <w:r>
        <w:rPr>
          <w:spacing w:val="18"/>
          <w:sz w:val="20"/>
          <w:szCs w:val="20"/>
        </w:rPr>
        <w:t xml:space="preserve"> </w:t>
      </w:r>
      <w:r>
        <w:rPr>
          <w:spacing w:val="4"/>
          <w:sz w:val="20"/>
          <w:szCs w:val="20"/>
        </w:rPr>
        <w:t>交互能力，以及弹性、负载均衡及虚拟化资源部署方式，而</w:t>
      </w:r>
      <w:r>
        <w:rPr>
          <w:spacing w:val="3"/>
          <w:sz w:val="20"/>
          <w:szCs w:val="20"/>
        </w:rPr>
        <w:t>所有的计算、存储及网络资源都是</w:t>
      </w:r>
      <w:r>
        <w:rPr>
          <w:sz w:val="20"/>
          <w:szCs w:val="20"/>
        </w:rPr>
        <w:t xml:space="preserve"> </w:t>
      </w:r>
      <w:r>
        <w:rPr>
          <w:spacing w:val="1"/>
          <w:sz w:val="20"/>
          <w:szCs w:val="20"/>
        </w:rPr>
        <w:t>以服务的方式提供的。这种新型服务最大的好处在于合理</w:t>
      </w:r>
      <w:r>
        <w:rPr>
          <w:sz w:val="20"/>
          <w:szCs w:val="20"/>
        </w:rPr>
        <w:t>配置整个网络内的资源，提高</w:t>
      </w:r>
      <w:r>
        <w:rPr>
          <w:rFonts w:ascii="Times New Roman" w:hAnsi="Times New Roman" w:eastAsia="Times New Roman" w:cs="Times New Roman"/>
          <w:sz w:val="20"/>
          <w:szCs w:val="20"/>
        </w:rPr>
        <w:t xml:space="preserve">IT </w:t>
      </w:r>
      <w:r>
        <w:rPr>
          <w:sz w:val="20"/>
          <w:szCs w:val="20"/>
        </w:rPr>
        <w:t>系</w:t>
      </w:r>
      <w:r>
        <w:rPr>
          <w:spacing w:val="-36"/>
          <w:sz w:val="20"/>
          <w:szCs w:val="20"/>
        </w:rPr>
        <w:t xml:space="preserve"> </w:t>
      </w:r>
      <w:r>
        <w:rPr>
          <w:sz w:val="20"/>
          <w:szCs w:val="20"/>
        </w:rPr>
        <w:t xml:space="preserve">统  </w:t>
      </w:r>
      <w:r>
        <w:rPr>
          <w:spacing w:val="-1"/>
          <w:sz w:val="20"/>
          <w:szCs w:val="20"/>
        </w:rPr>
        <w:t>能力的利用率，降低成本、节能减排，真正实现</w:t>
      </w:r>
      <w:r>
        <w:rPr>
          <w:spacing w:val="-2"/>
          <w:sz w:val="20"/>
          <w:szCs w:val="20"/>
        </w:rPr>
        <w:t>数据中心的绿色、集约化。</w:t>
      </w:r>
    </w:p>
    <w:p w14:paraId="32778C40">
      <w:pPr>
        <w:pStyle w:val="2"/>
        <w:spacing w:before="1" w:line="300" w:lineRule="auto"/>
        <w:ind w:left="359" w:right="85" w:firstLine="400"/>
        <w:rPr>
          <w:sz w:val="20"/>
          <w:szCs w:val="20"/>
        </w:rPr>
      </w:pPr>
      <w:r>
        <w:rPr>
          <w:spacing w:val="3"/>
          <w:sz w:val="20"/>
          <w:szCs w:val="20"/>
        </w:rPr>
        <w:t>云数据中心不仅是一个机房设施和网络的概念，还是一个服务概念，它构成了网络基础资</w:t>
      </w:r>
      <w:r>
        <w:rPr>
          <w:spacing w:val="17"/>
          <w:sz w:val="20"/>
          <w:szCs w:val="20"/>
        </w:rPr>
        <w:t xml:space="preserve"> </w:t>
      </w:r>
      <w:r>
        <w:rPr>
          <w:spacing w:val="-1"/>
          <w:sz w:val="20"/>
          <w:szCs w:val="20"/>
        </w:rPr>
        <w:t>源的一部分，提供了一种高端的数据传输服务</w:t>
      </w:r>
      <w:r>
        <w:rPr>
          <w:spacing w:val="-2"/>
          <w:sz w:val="20"/>
          <w:szCs w:val="20"/>
        </w:rPr>
        <w:t>和高速接入服务。</w:t>
      </w:r>
    </w:p>
    <w:p w14:paraId="1E4C672A">
      <w:pPr>
        <w:pStyle w:val="2"/>
        <w:spacing w:before="87" w:line="222" w:lineRule="auto"/>
        <w:ind w:left="762"/>
        <w:rPr>
          <w:rFonts w:ascii="黑体" w:hAnsi="黑体" w:eastAsia="黑体" w:cs="黑体"/>
          <w:sz w:val="20"/>
          <w:szCs w:val="20"/>
        </w:rPr>
      </w:pPr>
      <w:r>
        <w:rPr>
          <w:b/>
          <w:bCs/>
          <w:color w:val="006FB9"/>
          <w:spacing w:val="2"/>
          <w:sz w:val="20"/>
          <w:szCs w:val="20"/>
        </w:rPr>
        <w:t>2.</w:t>
      </w:r>
      <w:r>
        <w:rPr>
          <w:rFonts w:ascii="黑体" w:hAnsi="黑体" w:eastAsia="黑体" w:cs="黑体"/>
          <w:b/>
          <w:bCs/>
          <w:color w:val="006FB9"/>
          <w:spacing w:val="2"/>
          <w:sz w:val="20"/>
          <w:szCs w:val="20"/>
        </w:rPr>
        <w:t>要素</w:t>
      </w:r>
    </w:p>
    <w:p w14:paraId="21DDB058">
      <w:pPr>
        <w:pStyle w:val="2"/>
        <w:spacing w:before="142" w:line="255" w:lineRule="auto"/>
        <w:ind w:left="359" w:right="86" w:firstLine="400"/>
        <w:rPr>
          <w:sz w:val="20"/>
          <w:szCs w:val="20"/>
        </w:rPr>
      </w:pPr>
      <w:r>
        <w:rPr>
          <w:spacing w:val="3"/>
          <w:sz w:val="20"/>
          <w:szCs w:val="20"/>
        </w:rPr>
        <w:t>云数据中心是传统数据中心适应市场需求的升级，也是数据中心演进的方向。云数据中心</w:t>
      </w:r>
      <w:r>
        <w:rPr>
          <w:spacing w:val="15"/>
          <w:sz w:val="20"/>
          <w:szCs w:val="20"/>
        </w:rPr>
        <w:t xml:space="preserve"> </w:t>
      </w:r>
      <w:r>
        <w:rPr>
          <w:spacing w:val="-2"/>
          <w:sz w:val="20"/>
          <w:szCs w:val="20"/>
        </w:rPr>
        <w:t>一般具有以下五大要素：</w:t>
      </w:r>
    </w:p>
    <w:p w14:paraId="4D78D2BF">
      <w:pPr>
        <w:pStyle w:val="2"/>
        <w:spacing w:before="58" w:line="219" w:lineRule="auto"/>
        <w:ind w:left="759"/>
        <w:rPr>
          <w:sz w:val="20"/>
          <w:szCs w:val="20"/>
        </w:rPr>
      </w:pPr>
      <w:r>
        <w:rPr>
          <w:spacing w:val="6"/>
          <w:sz w:val="20"/>
          <w:szCs w:val="20"/>
        </w:rPr>
        <w:t>(1)面向服务。云数据中心的整体结构都是以服务为导向的。通过将自身的物理资源进行</w:t>
      </w:r>
    </w:p>
    <w:p w14:paraId="68217677">
      <w:pPr>
        <w:spacing w:line="219" w:lineRule="auto"/>
        <w:rPr>
          <w:sz w:val="20"/>
          <w:szCs w:val="20"/>
        </w:rPr>
        <w:sectPr>
          <w:pgSz w:w="10310" w:h="13420"/>
          <w:pgMar w:top="400" w:right="1059" w:bottom="400" w:left="470" w:header="0" w:footer="0" w:gutter="0"/>
          <w:cols w:space="720" w:num="1"/>
        </w:sectPr>
      </w:pPr>
    </w:p>
    <w:p w14:paraId="17198767">
      <w:pPr>
        <w:pStyle w:val="2"/>
        <w:spacing w:before="67" w:line="220" w:lineRule="auto"/>
        <w:jc w:val="right"/>
        <w:rPr>
          <w:rFonts w:ascii="Times New Roman" w:hAnsi="Times New Roman" w:eastAsia="Times New Roman" w:cs="Times New Roman"/>
          <w:sz w:val="20"/>
          <w:szCs w:val="20"/>
        </w:rPr>
      </w:pPr>
      <w:r>
        <w:rPr>
          <w:spacing w:val="-3"/>
          <w:sz w:val="20"/>
          <w:szCs w:val="20"/>
        </w:rPr>
        <w:t>第4章 信息资源系统</w:t>
      </w:r>
      <w:r>
        <w:rPr>
          <w:spacing w:val="6"/>
          <w:sz w:val="20"/>
          <w:szCs w:val="20"/>
        </w:rPr>
        <w:t xml:space="preserve">     </w:t>
      </w:r>
      <w:r>
        <w:rPr>
          <w:rFonts w:ascii="Times New Roman" w:hAnsi="Times New Roman" w:eastAsia="Times New Roman" w:cs="Times New Roman"/>
          <w:spacing w:val="-3"/>
          <w:position w:val="-2"/>
          <w:sz w:val="20"/>
          <w:szCs w:val="20"/>
        </w:rPr>
        <w:t>147</w:t>
      </w:r>
    </w:p>
    <w:p w14:paraId="093D255A">
      <w:pPr>
        <w:spacing w:line="279" w:lineRule="auto"/>
        <w:rPr>
          <w:rFonts w:ascii="Arial"/>
          <w:sz w:val="21"/>
        </w:rPr>
      </w:pPr>
    </w:p>
    <w:p w14:paraId="234CBC0A">
      <w:pPr>
        <w:pStyle w:val="2"/>
        <w:spacing w:before="65" w:line="282" w:lineRule="auto"/>
        <w:ind w:right="234"/>
        <w:rPr>
          <w:sz w:val="20"/>
          <w:szCs w:val="20"/>
        </w:rPr>
      </w:pPr>
      <w:r>
        <w:rPr>
          <w:spacing w:val="3"/>
          <w:sz w:val="20"/>
          <w:szCs w:val="20"/>
        </w:rPr>
        <w:t>虚拟化和聚合，以松耦合的方式提供多种服务的综合承载。用户可</w:t>
      </w:r>
      <w:r>
        <w:rPr>
          <w:spacing w:val="2"/>
          <w:sz w:val="20"/>
          <w:szCs w:val="20"/>
        </w:rPr>
        <w:t>从服务目录中选择自己所需</w:t>
      </w:r>
      <w:r>
        <w:rPr>
          <w:sz w:val="20"/>
          <w:szCs w:val="20"/>
        </w:rPr>
        <w:t xml:space="preserve"> </w:t>
      </w:r>
      <w:r>
        <w:rPr>
          <w:spacing w:val="-2"/>
          <w:sz w:val="20"/>
          <w:szCs w:val="20"/>
        </w:rPr>
        <w:t>的各类资源，而云数据中心底层实现这些资源供给的方法对用户是完全透明的。</w:t>
      </w:r>
    </w:p>
    <w:p w14:paraId="268FEA85">
      <w:pPr>
        <w:pStyle w:val="2"/>
        <w:spacing w:before="37" w:line="270" w:lineRule="auto"/>
        <w:ind w:right="146" w:firstLine="390"/>
        <w:rPr>
          <w:sz w:val="20"/>
          <w:szCs w:val="20"/>
        </w:rPr>
      </w:pPr>
      <w:r>
        <w:rPr>
          <w:spacing w:val="6"/>
          <w:sz w:val="20"/>
          <w:szCs w:val="20"/>
        </w:rPr>
        <w:t>(2)资源池化。面向服务是云数据中心对外提</w:t>
      </w:r>
      <w:r>
        <w:rPr>
          <w:spacing w:val="5"/>
          <w:sz w:val="20"/>
          <w:szCs w:val="20"/>
        </w:rPr>
        <w:t>供服务的宗旨，而资源池化则是云数据中心</w:t>
      </w:r>
      <w:r>
        <w:rPr>
          <w:sz w:val="20"/>
          <w:szCs w:val="20"/>
        </w:rPr>
        <w:t xml:space="preserve">  </w:t>
      </w:r>
      <w:r>
        <w:rPr>
          <w:spacing w:val="2"/>
          <w:sz w:val="20"/>
          <w:szCs w:val="20"/>
        </w:rPr>
        <w:t>的实现途径。在云数据中心内部，各类</w:t>
      </w:r>
      <w:r>
        <w:rPr>
          <w:rFonts w:ascii="Times New Roman" w:hAnsi="Times New Roman" w:eastAsia="Times New Roman" w:cs="Times New Roman"/>
          <w:sz w:val="20"/>
          <w:szCs w:val="20"/>
        </w:rPr>
        <w:t>IT</w:t>
      </w:r>
      <w:r>
        <w:rPr>
          <w:rFonts w:ascii="Times New Roman" w:hAnsi="Times New Roman" w:eastAsia="Times New Roman" w:cs="Times New Roman"/>
          <w:spacing w:val="27"/>
          <w:sz w:val="20"/>
          <w:szCs w:val="20"/>
        </w:rPr>
        <w:t xml:space="preserve"> </w:t>
      </w:r>
      <w:r>
        <w:rPr>
          <w:spacing w:val="2"/>
          <w:sz w:val="20"/>
          <w:szCs w:val="20"/>
        </w:rPr>
        <w:t>资源和网</w:t>
      </w:r>
      <w:r>
        <w:rPr>
          <w:spacing w:val="1"/>
          <w:sz w:val="20"/>
          <w:szCs w:val="20"/>
        </w:rPr>
        <w:t>络资源一起构成了统一的资源池，以便对逻</w:t>
      </w:r>
      <w:r>
        <w:rPr>
          <w:sz w:val="20"/>
          <w:szCs w:val="20"/>
        </w:rPr>
        <w:t xml:space="preserve"> 辑资源和各类物理资源进行去耦合。对于用户而言，所面对的都是以逻辑形式统一存在的资源， </w:t>
      </w:r>
      <w:r>
        <w:rPr>
          <w:spacing w:val="-1"/>
          <w:sz w:val="20"/>
          <w:szCs w:val="20"/>
        </w:rPr>
        <w:t>用户只需要关注如何使用和操作这些资源，不必关心这些资源与哪些实际物理设备相关联。</w:t>
      </w:r>
    </w:p>
    <w:p w14:paraId="0A7B8158">
      <w:pPr>
        <w:pStyle w:val="2"/>
        <w:spacing w:before="72" w:line="270" w:lineRule="auto"/>
        <w:ind w:right="214" w:firstLine="390"/>
        <w:rPr>
          <w:sz w:val="20"/>
          <w:szCs w:val="20"/>
        </w:rPr>
      </w:pPr>
      <w:r>
        <w:rPr>
          <w:spacing w:val="5"/>
          <w:sz w:val="20"/>
          <w:szCs w:val="20"/>
        </w:rPr>
        <w:t>(3)高效智能。云数据中心主要基于虚拟化和分布式计算等技术。现代的集群设备成本较</w:t>
      </w:r>
      <w:r>
        <w:rPr>
          <w:spacing w:val="17"/>
          <w:sz w:val="20"/>
          <w:szCs w:val="20"/>
        </w:rPr>
        <w:t xml:space="preserve"> </w:t>
      </w:r>
      <w:r>
        <w:rPr>
          <w:spacing w:val="3"/>
          <w:sz w:val="20"/>
          <w:szCs w:val="20"/>
        </w:rPr>
        <w:t>低，利用这些低廉的硬件设备可以实现相对高效的信息承载、数据存储与处理。另外，云数据</w:t>
      </w:r>
      <w:r>
        <w:rPr>
          <w:spacing w:val="8"/>
          <w:sz w:val="20"/>
          <w:szCs w:val="20"/>
        </w:rPr>
        <w:t xml:space="preserve"> </w:t>
      </w:r>
      <w:r>
        <w:rPr>
          <w:spacing w:val="-1"/>
          <w:sz w:val="20"/>
          <w:szCs w:val="20"/>
        </w:rPr>
        <w:t>中心可以综合运用各种调度策略，达到负载均衡、资源部署与调度智能化的目的。</w:t>
      </w:r>
    </w:p>
    <w:p w14:paraId="14834E78">
      <w:pPr>
        <w:pStyle w:val="2"/>
        <w:spacing w:before="71" w:line="270" w:lineRule="auto"/>
        <w:ind w:right="235" w:firstLine="390"/>
        <w:rPr>
          <w:sz w:val="20"/>
          <w:szCs w:val="20"/>
        </w:rPr>
      </w:pPr>
      <w:r>
        <w:rPr>
          <w:spacing w:val="6"/>
          <w:sz w:val="20"/>
          <w:szCs w:val="20"/>
        </w:rPr>
        <w:t>(4)按需供给。通过资源池化将物理资源</w:t>
      </w:r>
      <w:r>
        <w:rPr>
          <w:spacing w:val="5"/>
          <w:sz w:val="20"/>
          <w:szCs w:val="20"/>
        </w:rPr>
        <w:t>转化为统一的逻辑资源后，云数据中心的底层架</w:t>
      </w:r>
      <w:r>
        <w:rPr>
          <w:sz w:val="20"/>
          <w:szCs w:val="20"/>
        </w:rPr>
        <w:t xml:space="preserve"> </w:t>
      </w:r>
      <w:r>
        <w:rPr>
          <w:spacing w:val="3"/>
          <w:sz w:val="20"/>
          <w:szCs w:val="20"/>
        </w:rPr>
        <w:t>构可以根据用户的实际需求对资源实现动态供给。另外</w:t>
      </w:r>
      <w:r>
        <w:rPr>
          <w:spacing w:val="2"/>
          <w:sz w:val="20"/>
          <w:szCs w:val="20"/>
        </w:rPr>
        <w:t>，云数据中心还可以根据实际的需求趋</w:t>
      </w:r>
      <w:r>
        <w:rPr>
          <w:sz w:val="20"/>
          <w:szCs w:val="20"/>
        </w:rPr>
        <w:t xml:space="preserve"> </w:t>
      </w:r>
      <w:r>
        <w:rPr>
          <w:spacing w:val="-1"/>
          <w:sz w:val="20"/>
          <w:szCs w:val="20"/>
        </w:rPr>
        <w:t>势，对底层的物理硬件设备进行智能的容量规划，从而保证在实际需求之前满</w:t>
      </w:r>
      <w:r>
        <w:rPr>
          <w:spacing w:val="-2"/>
          <w:sz w:val="20"/>
          <w:szCs w:val="20"/>
        </w:rPr>
        <w:t>足供给。</w:t>
      </w:r>
    </w:p>
    <w:p w14:paraId="5258D81E">
      <w:pPr>
        <w:pStyle w:val="2"/>
        <w:spacing w:before="62" w:line="262" w:lineRule="auto"/>
        <w:ind w:right="186" w:firstLine="390"/>
        <w:rPr>
          <w:sz w:val="20"/>
          <w:szCs w:val="20"/>
        </w:rPr>
      </w:pPr>
      <w:r>
        <w:rPr>
          <w:spacing w:val="5"/>
          <w:sz w:val="20"/>
          <w:szCs w:val="20"/>
        </w:rPr>
        <w:t>(5)低碳环保。云数据中心中通过虚拟化技术可以实现绿色节能的目标，综合运用各种基</w:t>
      </w:r>
      <w:r>
        <w:rPr>
          <w:spacing w:val="17"/>
          <w:sz w:val="20"/>
          <w:szCs w:val="20"/>
        </w:rPr>
        <w:t xml:space="preserve"> </w:t>
      </w:r>
      <w:r>
        <w:rPr>
          <w:spacing w:val="-1"/>
          <w:sz w:val="20"/>
          <w:szCs w:val="20"/>
        </w:rPr>
        <w:t>于能耗的调度策略，可以在满足需求的前提下有效降低云数据中心设备的投入和运营维护成本。</w:t>
      </w:r>
    </w:p>
    <w:p w14:paraId="68995A73">
      <w:pPr>
        <w:pStyle w:val="2"/>
        <w:spacing w:before="172" w:line="223" w:lineRule="auto"/>
        <w:ind w:left="392"/>
        <w:rPr>
          <w:rFonts w:ascii="黑体" w:hAnsi="黑体" w:eastAsia="黑体" w:cs="黑体"/>
          <w:sz w:val="20"/>
          <w:szCs w:val="20"/>
        </w:rPr>
      </w:pPr>
      <w:r>
        <w:rPr>
          <w:b/>
          <w:bCs/>
          <w:color w:val="2698DB"/>
          <w:spacing w:val="-2"/>
          <w:sz w:val="20"/>
          <w:szCs w:val="20"/>
        </w:rPr>
        <w:t>3.</w:t>
      </w:r>
      <w:r>
        <w:rPr>
          <w:rFonts w:ascii="黑体" w:hAnsi="黑体" w:eastAsia="黑体" w:cs="黑体"/>
          <w:b/>
          <w:bCs/>
          <w:color w:val="2698DB"/>
          <w:spacing w:val="-2"/>
          <w:sz w:val="20"/>
          <w:szCs w:val="20"/>
        </w:rPr>
        <w:t>总体架构</w:t>
      </w:r>
    </w:p>
    <w:p w14:paraId="39437FC3">
      <w:pPr>
        <w:pStyle w:val="2"/>
        <w:spacing w:before="123" w:line="282" w:lineRule="auto"/>
        <w:ind w:right="146" w:firstLine="390"/>
        <w:jc w:val="both"/>
        <w:rPr>
          <w:sz w:val="20"/>
          <w:szCs w:val="20"/>
        </w:rPr>
      </w:pPr>
      <w:r>
        <w:rPr>
          <w:spacing w:val="3"/>
          <w:sz w:val="20"/>
          <w:szCs w:val="20"/>
        </w:rPr>
        <w:t>云计算技术的发展推动着数据中心架构的变化，</w:t>
      </w:r>
      <w:r>
        <w:rPr>
          <w:spacing w:val="2"/>
          <w:sz w:val="20"/>
          <w:szCs w:val="20"/>
        </w:rPr>
        <w:t>云计算架构模式的引入，使数据中心的架</w:t>
      </w:r>
      <w:r>
        <w:rPr>
          <w:sz w:val="20"/>
          <w:szCs w:val="20"/>
        </w:rPr>
        <w:t xml:space="preserve">  </w:t>
      </w:r>
      <w:r>
        <w:rPr>
          <w:spacing w:val="5"/>
          <w:sz w:val="20"/>
          <w:szCs w:val="20"/>
        </w:rPr>
        <w:t>构更适应用户业务的快速变化，体现数据中心的敏捷性。通过引入云化技术，</w:t>
      </w:r>
      <w:r>
        <w:rPr>
          <w:spacing w:val="4"/>
          <w:sz w:val="20"/>
          <w:szCs w:val="20"/>
        </w:rPr>
        <w:t>对计算、存储、</w:t>
      </w:r>
      <w:r>
        <w:rPr>
          <w:sz w:val="20"/>
          <w:szCs w:val="20"/>
        </w:rPr>
        <w:t xml:space="preserve"> </w:t>
      </w:r>
      <w:r>
        <w:rPr>
          <w:spacing w:val="3"/>
          <w:sz w:val="20"/>
          <w:szCs w:val="20"/>
        </w:rPr>
        <w:t>网络等资源进行统一的管理，实现资源的共享，提高企业资源的利用率。在机房设计方面，引</w:t>
      </w:r>
      <w:r>
        <w:rPr>
          <w:spacing w:val="10"/>
          <w:sz w:val="20"/>
          <w:szCs w:val="20"/>
        </w:rPr>
        <w:t xml:space="preserve"> </w:t>
      </w:r>
      <w:r>
        <w:rPr>
          <w:spacing w:val="3"/>
          <w:sz w:val="20"/>
          <w:szCs w:val="20"/>
        </w:rPr>
        <w:t>入低碳环保理念，通过模块化机房、云主机自动管理技术等构建绿色机房。随着新理念、新技</w:t>
      </w:r>
      <w:r>
        <w:rPr>
          <w:spacing w:val="5"/>
          <w:sz w:val="20"/>
          <w:szCs w:val="20"/>
        </w:rPr>
        <w:t xml:space="preserve"> </w:t>
      </w:r>
      <w:r>
        <w:rPr>
          <w:spacing w:val="3"/>
          <w:sz w:val="20"/>
          <w:szCs w:val="20"/>
        </w:rPr>
        <w:t>术的引入，云数据中心架构随之出现。云数据中心总体架</w:t>
      </w:r>
      <w:r>
        <w:rPr>
          <w:spacing w:val="2"/>
          <w:sz w:val="20"/>
          <w:szCs w:val="20"/>
        </w:rPr>
        <w:t>构是数据中心构建的顶层设计，为数</w:t>
      </w:r>
      <w:r>
        <w:rPr>
          <w:sz w:val="20"/>
          <w:szCs w:val="20"/>
        </w:rPr>
        <w:t xml:space="preserve">  </w:t>
      </w:r>
      <w:r>
        <w:rPr>
          <w:spacing w:val="5"/>
          <w:sz w:val="20"/>
          <w:szCs w:val="20"/>
        </w:rPr>
        <w:t>据中心的建设提供重要支撑作用。云数据中心架构自下而上由数据中心机房层</w:t>
      </w:r>
      <w:r>
        <w:rPr>
          <w:spacing w:val="4"/>
          <w:sz w:val="20"/>
          <w:szCs w:val="20"/>
        </w:rPr>
        <w:t>、物理资源层、</w:t>
      </w:r>
      <w:r>
        <w:rPr>
          <w:sz w:val="20"/>
          <w:szCs w:val="20"/>
        </w:rPr>
        <w:t xml:space="preserve"> </w:t>
      </w:r>
      <w:r>
        <w:rPr>
          <w:spacing w:val="-2"/>
          <w:sz w:val="20"/>
          <w:szCs w:val="20"/>
        </w:rPr>
        <w:t>基础设施层、平台服务层、软件服务层、终端用户层六大部分构成。</w:t>
      </w:r>
    </w:p>
    <w:p w14:paraId="639BD551">
      <w:pPr>
        <w:pStyle w:val="2"/>
        <w:spacing w:before="38" w:line="264" w:lineRule="auto"/>
        <w:ind w:right="238" w:firstLine="390"/>
        <w:rPr>
          <w:sz w:val="20"/>
          <w:szCs w:val="20"/>
        </w:rPr>
      </w:pPr>
      <w:r>
        <w:rPr>
          <w:spacing w:val="5"/>
          <w:sz w:val="20"/>
          <w:szCs w:val="20"/>
        </w:rPr>
        <w:t>(1)数据中心机房层是数据中心的基础，为数据中心系统提供基础承载环境。数据中心机</w:t>
      </w:r>
      <w:r>
        <w:rPr>
          <w:spacing w:val="16"/>
          <w:sz w:val="20"/>
          <w:szCs w:val="20"/>
        </w:rPr>
        <w:t xml:space="preserve"> </w:t>
      </w:r>
      <w:r>
        <w:rPr>
          <w:spacing w:val="3"/>
          <w:sz w:val="20"/>
          <w:szCs w:val="20"/>
        </w:rPr>
        <w:t>房由机房布局、综合布线、机柜、电力系统、消防设施、</w:t>
      </w:r>
      <w:r>
        <w:rPr>
          <w:spacing w:val="2"/>
          <w:sz w:val="20"/>
          <w:szCs w:val="20"/>
        </w:rPr>
        <w:t>机房运维中心、制冷系统、监控门禁</w:t>
      </w:r>
      <w:r>
        <w:rPr>
          <w:sz w:val="20"/>
          <w:szCs w:val="20"/>
        </w:rPr>
        <w:t xml:space="preserve"> </w:t>
      </w:r>
      <w:r>
        <w:rPr>
          <w:spacing w:val="-6"/>
          <w:sz w:val="20"/>
          <w:szCs w:val="20"/>
        </w:rPr>
        <w:t>系统等组成。</w:t>
      </w:r>
    </w:p>
    <w:p w14:paraId="43878764">
      <w:pPr>
        <w:pStyle w:val="2"/>
        <w:spacing w:before="83" w:line="248" w:lineRule="auto"/>
        <w:ind w:right="237" w:firstLine="390"/>
        <w:rPr>
          <w:sz w:val="20"/>
          <w:szCs w:val="20"/>
        </w:rPr>
      </w:pPr>
      <w:r>
        <w:rPr>
          <w:spacing w:val="5"/>
          <w:sz w:val="20"/>
          <w:szCs w:val="20"/>
        </w:rPr>
        <w:t>(2)物理资源层是指为数据中心信息系统提供物理承载的各类资源，主要有服务器、网络</w:t>
      </w:r>
      <w:r>
        <w:rPr>
          <w:spacing w:val="18"/>
          <w:sz w:val="20"/>
          <w:szCs w:val="20"/>
        </w:rPr>
        <w:t xml:space="preserve"> </w:t>
      </w:r>
      <w:r>
        <w:rPr>
          <w:spacing w:val="-2"/>
          <w:sz w:val="20"/>
          <w:szCs w:val="20"/>
        </w:rPr>
        <w:t>设备、存储设备、安全设备、负载均衡设备等。</w:t>
      </w:r>
    </w:p>
    <w:p w14:paraId="54A57E1C">
      <w:pPr>
        <w:pStyle w:val="2"/>
        <w:spacing w:before="81" w:line="248" w:lineRule="auto"/>
        <w:ind w:right="238" w:firstLine="390"/>
        <w:rPr>
          <w:sz w:val="20"/>
          <w:szCs w:val="20"/>
        </w:rPr>
      </w:pPr>
      <w:r>
        <w:rPr>
          <w:spacing w:val="5"/>
          <w:sz w:val="20"/>
          <w:szCs w:val="20"/>
        </w:rPr>
        <w:t>(3)基础设施层通过云化技术对物理资源进行虚拟化，以云主机的形式为用户构建虚拟计</w:t>
      </w:r>
      <w:r>
        <w:rPr>
          <w:spacing w:val="17"/>
          <w:sz w:val="20"/>
          <w:szCs w:val="20"/>
        </w:rPr>
        <w:t xml:space="preserve"> </w:t>
      </w:r>
      <w:r>
        <w:rPr>
          <w:spacing w:val="-2"/>
          <w:sz w:val="20"/>
          <w:szCs w:val="20"/>
        </w:rPr>
        <w:t>算资源池、虚拟存储资源池、虚拟网络资源池。</w:t>
      </w:r>
    </w:p>
    <w:p w14:paraId="073391C3">
      <w:pPr>
        <w:pStyle w:val="2"/>
        <w:spacing w:before="83" w:line="248" w:lineRule="auto"/>
        <w:ind w:right="166" w:firstLine="390"/>
        <w:rPr>
          <w:sz w:val="20"/>
          <w:szCs w:val="20"/>
        </w:rPr>
      </w:pPr>
      <w:r>
        <w:rPr>
          <w:spacing w:val="7"/>
          <w:sz w:val="20"/>
          <w:szCs w:val="20"/>
        </w:rPr>
        <w:t>(4)平台服务层为用户提供开发平台、软件运行环境、管理平台等，支持应用软件开发，</w:t>
      </w:r>
      <w:r>
        <w:rPr>
          <w:spacing w:val="8"/>
          <w:sz w:val="20"/>
          <w:szCs w:val="20"/>
        </w:rPr>
        <w:t xml:space="preserve"> </w:t>
      </w:r>
      <w:r>
        <w:rPr>
          <w:spacing w:val="-2"/>
          <w:sz w:val="20"/>
          <w:szCs w:val="20"/>
        </w:rPr>
        <w:t>为开发用户提供编程语言、程序库、公用服务和工具链方面的支持。</w:t>
      </w:r>
    </w:p>
    <w:p w14:paraId="6B053E59">
      <w:pPr>
        <w:pStyle w:val="2"/>
        <w:spacing w:before="63" w:line="253" w:lineRule="auto"/>
        <w:ind w:right="238" w:firstLine="390"/>
        <w:rPr>
          <w:sz w:val="20"/>
          <w:szCs w:val="20"/>
        </w:rPr>
      </w:pPr>
      <w:r>
        <w:rPr>
          <w:spacing w:val="5"/>
          <w:sz w:val="20"/>
          <w:szCs w:val="20"/>
        </w:rPr>
        <w:t>(5)软件服务层为用户提供各种应用业务场景的服务，如电子商务网站、门户网站、社交</w:t>
      </w:r>
      <w:r>
        <w:rPr>
          <w:spacing w:val="17"/>
          <w:sz w:val="20"/>
          <w:szCs w:val="20"/>
        </w:rPr>
        <w:t xml:space="preserve"> </w:t>
      </w:r>
      <w:r>
        <w:rPr>
          <w:spacing w:val="-3"/>
          <w:sz w:val="20"/>
          <w:szCs w:val="20"/>
        </w:rPr>
        <w:t>网站、在线应用软件、移动互联网应用等。</w:t>
      </w:r>
    </w:p>
    <w:p w14:paraId="5876F207">
      <w:pPr>
        <w:pStyle w:val="2"/>
        <w:spacing w:before="62" w:line="264" w:lineRule="auto"/>
        <w:ind w:right="233" w:firstLine="390"/>
        <w:rPr>
          <w:sz w:val="20"/>
          <w:szCs w:val="20"/>
        </w:rPr>
      </w:pPr>
      <w:r>
        <w:rPr>
          <w:spacing w:val="8"/>
          <w:sz w:val="20"/>
          <w:szCs w:val="20"/>
        </w:rPr>
        <w:t>(6)终端用户层是指各类用户(软件开发人员、系统管理维护人员、应用用户、平台运营</w:t>
      </w:r>
      <w:r>
        <w:rPr>
          <w:spacing w:val="1"/>
          <w:sz w:val="20"/>
          <w:szCs w:val="20"/>
        </w:rPr>
        <w:t xml:space="preserve"> </w:t>
      </w:r>
      <w:r>
        <w:rPr>
          <w:spacing w:val="5"/>
          <w:sz w:val="20"/>
          <w:szCs w:val="20"/>
        </w:rPr>
        <w:t>商等)通过笔记本电脑、台式计算机、平板电脑、智能手机等接入终端，访问数据中心的软件</w:t>
      </w:r>
      <w:r>
        <w:rPr>
          <w:spacing w:val="2"/>
          <w:sz w:val="20"/>
          <w:szCs w:val="20"/>
        </w:rPr>
        <w:t xml:space="preserve"> </w:t>
      </w:r>
      <w:r>
        <w:rPr>
          <w:spacing w:val="-9"/>
          <w:sz w:val="20"/>
          <w:szCs w:val="20"/>
        </w:rPr>
        <w:t>服务。</w:t>
      </w:r>
    </w:p>
    <w:p w14:paraId="3761E18B">
      <w:pPr>
        <w:spacing w:line="264" w:lineRule="auto"/>
        <w:rPr>
          <w:sz w:val="20"/>
          <w:szCs w:val="20"/>
        </w:rPr>
        <w:sectPr>
          <w:pgSz w:w="10280" w:h="13290"/>
          <w:pgMar w:top="400" w:right="613" w:bottom="400" w:left="1120" w:header="0" w:footer="0" w:gutter="0"/>
          <w:cols w:space="720" w:num="1"/>
        </w:sectPr>
      </w:pPr>
    </w:p>
    <w:p w14:paraId="145FA3B6">
      <w:pPr>
        <w:pStyle w:val="2"/>
        <w:spacing w:before="88" w:line="219" w:lineRule="auto"/>
        <w:rPr>
          <w:sz w:val="20"/>
          <w:szCs w:val="20"/>
        </w:rPr>
      </w:pPr>
      <w:bookmarkStart w:id="555" w:name="bookmark541"/>
      <w:bookmarkEnd w:id="555"/>
      <w:r>
        <w:rPr>
          <w:rFonts w:ascii="Times New Roman" w:hAnsi="Times New Roman" w:eastAsia="Times New Roman" w:cs="Times New Roman"/>
          <w:b/>
          <w:bCs/>
          <w:spacing w:val="-2"/>
          <w:position w:val="1"/>
          <w:sz w:val="17"/>
          <w:szCs w:val="17"/>
        </w:rPr>
        <w:t xml:space="preserve">148                 </w:t>
      </w:r>
      <w:r>
        <w:rPr>
          <w:spacing w:val="-2"/>
          <w:sz w:val="20"/>
          <w:szCs w:val="20"/>
        </w:rPr>
        <w:t>信息系统监理师教程(第2版)</w:t>
      </w:r>
    </w:p>
    <w:p w14:paraId="682F9C25">
      <w:pPr>
        <w:spacing w:line="296" w:lineRule="auto"/>
        <w:rPr>
          <w:rFonts w:ascii="Arial"/>
          <w:sz w:val="21"/>
        </w:rPr>
      </w:pPr>
    </w:p>
    <w:p w14:paraId="2FAD3C80">
      <w:pPr>
        <w:pStyle w:val="2"/>
        <w:spacing w:before="65" w:line="290" w:lineRule="auto"/>
        <w:ind w:left="340" w:right="50" w:firstLine="390"/>
        <w:jc w:val="both"/>
        <w:rPr>
          <w:sz w:val="20"/>
          <w:szCs w:val="20"/>
        </w:rPr>
      </w:pPr>
      <w:r>
        <w:rPr>
          <w:spacing w:val="3"/>
          <w:sz w:val="20"/>
          <w:szCs w:val="20"/>
        </w:rPr>
        <w:t>数据中心各层向上提供支撑，数据中心机房层为物理资源层提供承载环境；物理资源层为</w:t>
      </w:r>
      <w:r>
        <w:rPr>
          <w:spacing w:val="2"/>
          <w:sz w:val="20"/>
          <w:szCs w:val="20"/>
        </w:rPr>
        <w:t xml:space="preserve"> </w:t>
      </w:r>
      <w:r>
        <w:rPr>
          <w:spacing w:val="3"/>
          <w:sz w:val="20"/>
          <w:szCs w:val="20"/>
        </w:rPr>
        <w:t>基础设施层提供基础资源，是虚拟计算资源、虚拟存储资源、虚拟网络资源的基础；平台服务</w:t>
      </w:r>
      <w:r>
        <w:rPr>
          <w:spacing w:val="5"/>
          <w:sz w:val="20"/>
          <w:szCs w:val="20"/>
        </w:rPr>
        <w:t xml:space="preserve"> </w:t>
      </w:r>
      <w:r>
        <w:rPr>
          <w:spacing w:val="4"/>
          <w:sz w:val="20"/>
          <w:szCs w:val="20"/>
        </w:rPr>
        <w:t>层以基础设施服务为基础，为开发用户提供开发支持能力</w:t>
      </w:r>
      <w:r>
        <w:rPr>
          <w:spacing w:val="3"/>
          <w:sz w:val="20"/>
          <w:szCs w:val="20"/>
        </w:rPr>
        <w:t>，为上层软件运行提供环境支持；软</w:t>
      </w:r>
      <w:r>
        <w:rPr>
          <w:sz w:val="20"/>
          <w:szCs w:val="20"/>
        </w:rPr>
        <w:t xml:space="preserve"> </w:t>
      </w:r>
      <w:r>
        <w:rPr>
          <w:spacing w:val="3"/>
          <w:sz w:val="20"/>
          <w:szCs w:val="20"/>
        </w:rPr>
        <w:t>件服务层为终端用户层提供各类服务，适应各类应用场景；终端用</w:t>
      </w:r>
      <w:r>
        <w:rPr>
          <w:spacing w:val="2"/>
          <w:sz w:val="20"/>
          <w:szCs w:val="20"/>
        </w:rPr>
        <w:t>户层通过各类终端接入数据</w:t>
      </w:r>
      <w:r>
        <w:rPr>
          <w:sz w:val="20"/>
          <w:szCs w:val="20"/>
        </w:rPr>
        <w:t xml:space="preserve"> </w:t>
      </w:r>
      <w:r>
        <w:rPr>
          <w:spacing w:val="-5"/>
          <w:sz w:val="20"/>
          <w:szCs w:val="20"/>
        </w:rPr>
        <w:t>中心，使用各类软件服务。</w:t>
      </w:r>
    </w:p>
    <w:p w14:paraId="66DB9118">
      <w:pPr>
        <w:pStyle w:val="2"/>
        <w:spacing w:before="116" w:line="222" w:lineRule="auto"/>
        <w:ind w:left="732"/>
        <w:rPr>
          <w:rFonts w:ascii="黑体" w:hAnsi="黑体" w:eastAsia="黑体" w:cs="黑体"/>
          <w:sz w:val="20"/>
          <w:szCs w:val="20"/>
        </w:rPr>
      </w:pPr>
      <w:r>
        <w:rPr>
          <w:b/>
          <w:bCs/>
          <w:color w:val="2FB7FC"/>
          <w:sz w:val="20"/>
          <w:szCs w:val="20"/>
        </w:rPr>
        <w:t>4.</w:t>
      </w:r>
      <w:r>
        <w:rPr>
          <w:rFonts w:ascii="黑体" w:hAnsi="黑体" w:eastAsia="黑体" w:cs="黑体"/>
          <w:b/>
          <w:bCs/>
          <w:color w:val="2FB7FC"/>
          <w:sz w:val="20"/>
          <w:szCs w:val="20"/>
        </w:rPr>
        <w:t>核心技术</w:t>
      </w:r>
    </w:p>
    <w:p w14:paraId="0FCF1A20">
      <w:pPr>
        <w:spacing w:before="239" w:line="224" w:lineRule="auto"/>
        <w:ind w:left="730"/>
        <w:rPr>
          <w:rFonts w:ascii="楷体" w:hAnsi="楷体" w:eastAsia="楷体" w:cs="楷体"/>
          <w:sz w:val="20"/>
          <w:szCs w:val="20"/>
        </w:rPr>
      </w:pPr>
      <w:r>
        <w:rPr>
          <w:rFonts w:ascii="楷体" w:hAnsi="楷体" w:eastAsia="楷体" w:cs="楷体"/>
          <w:spacing w:val="11"/>
          <w:sz w:val="20"/>
          <w:szCs w:val="20"/>
        </w:rPr>
        <w:t>1)网络架构设计</w:t>
      </w:r>
    </w:p>
    <w:p w14:paraId="05E8DCF4">
      <w:pPr>
        <w:pStyle w:val="2"/>
        <w:spacing w:before="67" w:line="290" w:lineRule="auto"/>
        <w:ind w:left="340" w:right="88" w:firstLine="390"/>
        <w:rPr>
          <w:sz w:val="17"/>
          <w:szCs w:val="17"/>
        </w:rPr>
      </w:pPr>
      <w:r>
        <w:rPr>
          <w:spacing w:val="7"/>
          <w:sz w:val="20"/>
          <w:szCs w:val="20"/>
        </w:rPr>
        <w:t>随着网络技术的发展，数据中心已经成为提</w:t>
      </w:r>
      <w:r>
        <w:rPr>
          <w:spacing w:val="6"/>
          <w:sz w:val="20"/>
          <w:szCs w:val="20"/>
        </w:rPr>
        <w:t>供</w:t>
      </w:r>
      <w:r>
        <w:rPr>
          <w:sz w:val="20"/>
          <w:szCs w:val="20"/>
        </w:rPr>
        <w:t>IT</w:t>
      </w:r>
      <w:r>
        <w:rPr>
          <w:spacing w:val="-21"/>
          <w:sz w:val="20"/>
          <w:szCs w:val="20"/>
        </w:rPr>
        <w:t xml:space="preserve"> </w:t>
      </w:r>
      <w:r>
        <w:rPr>
          <w:spacing w:val="6"/>
          <w:sz w:val="20"/>
          <w:szCs w:val="20"/>
        </w:rPr>
        <w:t>网络服务、分布式并行计算等的基础架</w:t>
      </w:r>
      <w:r>
        <w:rPr>
          <w:sz w:val="20"/>
          <w:szCs w:val="20"/>
        </w:rPr>
        <w:t xml:space="preserve"> </w:t>
      </w:r>
      <w:r>
        <w:rPr>
          <w:spacing w:val="3"/>
          <w:sz w:val="20"/>
          <w:szCs w:val="20"/>
        </w:rPr>
        <w:t>构，为加速现代社会信息化建设、加快社会进步发挥着举足</w:t>
      </w:r>
      <w:r>
        <w:rPr>
          <w:spacing w:val="2"/>
          <w:sz w:val="20"/>
          <w:szCs w:val="20"/>
        </w:rPr>
        <w:t>轻重的作用。云数据中心对于网络</w:t>
      </w:r>
      <w:r>
        <w:rPr>
          <w:sz w:val="20"/>
          <w:szCs w:val="20"/>
        </w:rPr>
        <w:t xml:space="preserve"> </w:t>
      </w:r>
      <w:r>
        <w:rPr>
          <w:spacing w:val="3"/>
          <w:sz w:val="20"/>
          <w:szCs w:val="20"/>
        </w:rPr>
        <w:t>有高带宽、低时延、高可靠性、高灵活性、低能耗的要求，</w:t>
      </w:r>
      <w:r>
        <w:rPr>
          <w:spacing w:val="2"/>
          <w:sz w:val="20"/>
          <w:szCs w:val="20"/>
        </w:rPr>
        <w:t>因此构建云数据中心网络需要具备</w:t>
      </w:r>
      <w:r>
        <w:rPr>
          <w:sz w:val="20"/>
          <w:szCs w:val="20"/>
        </w:rPr>
        <w:t xml:space="preserve"> </w:t>
      </w:r>
      <w:r>
        <w:rPr>
          <w:spacing w:val="18"/>
          <w:sz w:val="17"/>
          <w:szCs w:val="17"/>
        </w:rPr>
        <w:t>以下要素</w:t>
      </w:r>
      <w:r>
        <w:rPr>
          <w:spacing w:val="-42"/>
          <w:sz w:val="17"/>
          <w:szCs w:val="17"/>
        </w:rPr>
        <w:t xml:space="preserve"> </w:t>
      </w:r>
      <w:r>
        <w:rPr>
          <w:spacing w:val="18"/>
          <w:sz w:val="17"/>
          <w:szCs w:val="17"/>
        </w:rPr>
        <w:t>：</w:t>
      </w:r>
    </w:p>
    <w:p w14:paraId="28380FAE">
      <w:pPr>
        <w:pStyle w:val="2"/>
        <w:spacing w:before="42" w:line="262" w:lineRule="auto"/>
        <w:ind w:left="1029" w:right="86" w:hanging="299"/>
        <w:rPr>
          <w:sz w:val="20"/>
          <w:szCs w:val="20"/>
        </w:rPr>
      </w:pPr>
      <w:r>
        <w:rPr>
          <w:spacing w:val="7"/>
          <w:sz w:val="20"/>
          <w:szCs w:val="20"/>
        </w:rPr>
        <w:t>●</w:t>
      </w:r>
      <w:r>
        <w:rPr>
          <w:spacing w:val="-44"/>
          <w:sz w:val="20"/>
          <w:szCs w:val="20"/>
        </w:rPr>
        <w:t xml:space="preserve"> </w:t>
      </w:r>
      <w:r>
        <w:rPr>
          <w:spacing w:val="7"/>
          <w:sz w:val="20"/>
          <w:szCs w:val="20"/>
        </w:rPr>
        <w:t>良好的可扩展性。因为随着网络应用的不断发展，更多的服务器将会连接到数据中心</w:t>
      </w:r>
      <w:r>
        <w:rPr>
          <w:sz w:val="20"/>
          <w:szCs w:val="20"/>
        </w:rPr>
        <w:t xml:space="preserve"> </w:t>
      </w:r>
      <w:r>
        <w:rPr>
          <w:spacing w:val="-2"/>
          <w:sz w:val="20"/>
          <w:szCs w:val="20"/>
        </w:rPr>
        <w:t>中，这就要求数据中心拓扑具有容纳更多服务设备的</w:t>
      </w:r>
      <w:r>
        <w:rPr>
          <w:spacing w:val="-3"/>
          <w:sz w:val="20"/>
          <w:szCs w:val="20"/>
        </w:rPr>
        <w:t>能力。</w:t>
      </w:r>
    </w:p>
    <w:p w14:paraId="5450876D">
      <w:pPr>
        <w:pStyle w:val="2"/>
        <w:spacing w:before="81" w:line="270" w:lineRule="auto"/>
        <w:ind w:left="1029" w:right="72" w:hanging="299"/>
        <w:rPr>
          <w:sz w:val="20"/>
          <w:szCs w:val="20"/>
        </w:rPr>
      </w:pPr>
      <w:r>
        <w:rPr>
          <w:spacing w:val="3"/>
          <w:sz w:val="20"/>
          <w:szCs w:val="20"/>
        </w:rPr>
        <w:t>●多路径容错能力。为保证拓扑的容错性能，要求拓扑必须具有路径多样性，这样对于链</w:t>
      </w:r>
      <w:r>
        <w:rPr>
          <w:spacing w:val="1"/>
          <w:sz w:val="20"/>
          <w:szCs w:val="20"/>
        </w:rPr>
        <w:t xml:space="preserve"> 路或服务器故障等都有很好的容错效果，同时并行路径能够提供充裕带宽，当有过</w:t>
      </w:r>
      <w:r>
        <w:rPr>
          <w:sz w:val="20"/>
          <w:szCs w:val="20"/>
        </w:rPr>
        <w:t xml:space="preserve">量业 </w:t>
      </w:r>
      <w:r>
        <w:rPr>
          <w:spacing w:val="-2"/>
          <w:sz w:val="20"/>
          <w:szCs w:val="20"/>
        </w:rPr>
        <w:t>务需要传输服务时，网络能动态实现分流，满足数据传输需求。</w:t>
      </w:r>
    </w:p>
    <w:p w14:paraId="6FE96C7A">
      <w:pPr>
        <w:pStyle w:val="2"/>
        <w:spacing w:before="92" w:line="262" w:lineRule="auto"/>
        <w:ind w:left="1029" w:right="108" w:hanging="299"/>
        <w:rPr>
          <w:sz w:val="20"/>
          <w:szCs w:val="20"/>
        </w:rPr>
      </w:pPr>
      <w:r>
        <w:rPr>
          <w:spacing w:val="3"/>
          <w:sz w:val="20"/>
          <w:szCs w:val="20"/>
        </w:rPr>
        <w:t>●低时延。云数据中心为用户提供视频、在线商务</w:t>
      </w:r>
      <w:r>
        <w:rPr>
          <w:spacing w:val="2"/>
          <w:sz w:val="20"/>
          <w:szCs w:val="20"/>
        </w:rPr>
        <w:t>、高性能计算等服务时，用户对网络时</w:t>
      </w:r>
      <w:r>
        <w:rPr>
          <w:sz w:val="20"/>
          <w:szCs w:val="20"/>
        </w:rPr>
        <w:t xml:space="preserve"> </w:t>
      </w:r>
      <w:r>
        <w:rPr>
          <w:spacing w:val="-1"/>
          <w:sz w:val="20"/>
          <w:szCs w:val="20"/>
        </w:rPr>
        <w:t>延比较敏感，需要充分考虑网络的低时延特性要求，实现数据的高速</w:t>
      </w:r>
      <w:r>
        <w:rPr>
          <w:spacing w:val="-2"/>
          <w:sz w:val="20"/>
          <w:szCs w:val="20"/>
        </w:rPr>
        <w:t>率传输。</w:t>
      </w:r>
    </w:p>
    <w:p w14:paraId="5157B1E2">
      <w:pPr>
        <w:pStyle w:val="2"/>
        <w:spacing w:before="83" w:line="276" w:lineRule="auto"/>
        <w:ind w:left="1029" w:right="90" w:hanging="299"/>
        <w:rPr>
          <w:sz w:val="20"/>
          <w:szCs w:val="20"/>
        </w:rPr>
      </w:pPr>
      <w:r>
        <w:rPr>
          <w:spacing w:val="3"/>
          <w:sz w:val="20"/>
          <w:szCs w:val="20"/>
        </w:rPr>
        <w:t>●高带宽网络传输能力。数据中心各服务器之间的网络通信量很</w:t>
      </w:r>
      <w:r>
        <w:rPr>
          <w:spacing w:val="2"/>
          <w:sz w:val="20"/>
          <w:szCs w:val="20"/>
        </w:rPr>
        <w:t>大且很难预测，达到</w:t>
      </w:r>
      <w:r>
        <w:rPr>
          <w:sz w:val="20"/>
          <w:szCs w:val="20"/>
        </w:rPr>
        <w:t>TB</w:t>
      </w:r>
      <w:r>
        <w:rPr>
          <w:spacing w:val="2"/>
          <w:sz w:val="20"/>
          <w:szCs w:val="20"/>
        </w:rPr>
        <w:t>、</w:t>
      </w:r>
      <w:r>
        <w:rPr>
          <w:sz w:val="20"/>
          <w:szCs w:val="20"/>
        </w:rPr>
        <w:t xml:space="preserve"> </w:t>
      </w:r>
      <w:r>
        <w:rPr>
          <w:rFonts w:ascii="Times New Roman" w:hAnsi="Times New Roman" w:eastAsia="Times New Roman" w:cs="Times New Roman"/>
          <w:sz w:val="20"/>
          <w:szCs w:val="20"/>
        </w:rPr>
        <w:t>PB</w:t>
      </w:r>
      <w:r>
        <w:rPr>
          <w:rFonts w:ascii="Times New Roman" w:hAnsi="Times New Roman" w:eastAsia="Times New Roman" w:cs="Times New Roman"/>
          <w:spacing w:val="4"/>
          <w:sz w:val="20"/>
          <w:szCs w:val="20"/>
        </w:rPr>
        <w:t xml:space="preserve"> </w:t>
      </w:r>
      <w:r>
        <w:rPr>
          <w:spacing w:val="4"/>
          <w:sz w:val="20"/>
          <w:szCs w:val="20"/>
        </w:rPr>
        <w:t>级，乃至</w:t>
      </w:r>
      <w:r>
        <w:rPr>
          <w:rFonts w:ascii="Times New Roman" w:hAnsi="Times New Roman" w:eastAsia="Times New Roman" w:cs="Times New Roman"/>
          <w:sz w:val="20"/>
          <w:szCs w:val="20"/>
        </w:rPr>
        <w:t>EB</w:t>
      </w:r>
      <w:r>
        <w:rPr>
          <w:rFonts w:ascii="Times New Roman" w:hAnsi="Times New Roman" w:eastAsia="Times New Roman" w:cs="Times New Roman"/>
          <w:spacing w:val="-28"/>
          <w:sz w:val="20"/>
          <w:szCs w:val="20"/>
        </w:rPr>
        <w:t xml:space="preserve"> </w:t>
      </w:r>
      <w:r>
        <w:rPr>
          <w:spacing w:val="4"/>
          <w:sz w:val="20"/>
          <w:szCs w:val="20"/>
        </w:rPr>
        <w:t>、</w:t>
      </w:r>
      <w:r>
        <w:rPr>
          <w:rFonts w:ascii="Times New Roman" w:hAnsi="Times New Roman" w:eastAsia="Times New Roman" w:cs="Times New Roman"/>
          <w:sz w:val="20"/>
          <w:szCs w:val="20"/>
        </w:rPr>
        <w:t>ZB</w:t>
      </w:r>
      <w:r>
        <w:rPr>
          <w:rFonts w:ascii="Times New Roman" w:hAnsi="Times New Roman" w:eastAsia="Times New Roman" w:cs="Times New Roman"/>
          <w:spacing w:val="14"/>
          <w:sz w:val="20"/>
          <w:szCs w:val="20"/>
        </w:rPr>
        <w:t xml:space="preserve"> </w:t>
      </w:r>
      <w:r>
        <w:rPr>
          <w:spacing w:val="4"/>
          <w:sz w:val="20"/>
          <w:szCs w:val="20"/>
        </w:rPr>
        <w:t>级，这就要求拓扑结构能够保证很好的对分</w:t>
      </w:r>
      <w:r>
        <w:rPr>
          <w:spacing w:val="3"/>
          <w:sz w:val="20"/>
          <w:szCs w:val="20"/>
        </w:rPr>
        <w:t>带宽，实现更大吞吐</w:t>
      </w:r>
      <w:r>
        <w:rPr>
          <w:sz w:val="20"/>
          <w:szCs w:val="20"/>
        </w:rPr>
        <w:t xml:space="preserve"> </w:t>
      </w:r>
      <w:r>
        <w:rPr>
          <w:spacing w:val="-2"/>
          <w:sz w:val="20"/>
          <w:szCs w:val="20"/>
        </w:rPr>
        <w:t>量的数据通信，这样才能有效地保证高带宽的应用请求得到服务响应。</w:t>
      </w:r>
    </w:p>
    <w:p w14:paraId="4DD4D350">
      <w:pPr>
        <w:pStyle w:val="2"/>
        <w:spacing w:before="75" w:line="276" w:lineRule="auto"/>
        <w:ind w:left="1029" w:right="84" w:hanging="299"/>
        <w:rPr>
          <w:sz w:val="20"/>
          <w:szCs w:val="20"/>
        </w:rPr>
      </w:pPr>
      <w:r>
        <w:rPr>
          <w:spacing w:val="3"/>
          <w:sz w:val="20"/>
          <w:szCs w:val="20"/>
        </w:rPr>
        <w:t>●模块化设计。充分利用模块化设计的优点，实施设备</w:t>
      </w:r>
      <w:r>
        <w:rPr>
          <w:spacing w:val="2"/>
          <w:sz w:val="20"/>
          <w:szCs w:val="20"/>
        </w:rPr>
        <w:t>模块化添加、维护、替换等，降低</w:t>
      </w:r>
      <w:r>
        <w:rPr>
          <w:sz w:val="20"/>
          <w:szCs w:val="20"/>
        </w:rPr>
        <w:t xml:space="preserve"> </w:t>
      </w:r>
      <w:r>
        <w:rPr>
          <w:spacing w:val="1"/>
          <w:sz w:val="20"/>
          <w:szCs w:val="20"/>
        </w:rPr>
        <w:t>网络布局和扩展的复杂度。另外，充分考虑业务流量特</w:t>
      </w:r>
      <w:r>
        <w:rPr>
          <w:sz w:val="20"/>
          <w:szCs w:val="20"/>
        </w:rPr>
        <w:t xml:space="preserve">点及服务要求，保证通信频繁的 </w:t>
      </w:r>
      <w:r>
        <w:rPr>
          <w:spacing w:val="-1"/>
          <w:sz w:val="20"/>
          <w:szCs w:val="20"/>
        </w:rPr>
        <w:t>设备处在同一模块内，降低模块之间的通信量，便于优化网络性能，实现流</w:t>
      </w:r>
      <w:r>
        <w:rPr>
          <w:spacing w:val="-2"/>
          <w:sz w:val="20"/>
          <w:szCs w:val="20"/>
        </w:rPr>
        <w:t>量均衡。</w:t>
      </w:r>
    </w:p>
    <w:p w14:paraId="7603CB07">
      <w:pPr>
        <w:pStyle w:val="2"/>
        <w:spacing w:before="71" w:line="267" w:lineRule="auto"/>
        <w:ind w:left="1029" w:right="88" w:hanging="299"/>
        <w:rPr>
          <w:sz w:val="20"/>
          <w:szCs w:val="20"/>
        </w:rPr>
      </w:pPr>
      <w:r>
        <w:rPr>
          <w:spacing w:val="3"/>
          <w:sz w:val="20"/>
          <w:szCs w:val="20"/>
        </w:rPr>
        <w:t xml:space="preserve">●网络扁平化。随着融合网络的发展，网络扁平化要求构建网络的层数尽可能少，以利于 </w:t>
      </w:r>
      <w:r>
        <w:rPr>
          <w:spacing w:val="-3"/>
          <w:sz w:val="20"/>
          <w:szCs w:val="20"/>
        </w:rPr>
        <w:t>网络流量均衡，避免过载，方便管理。</w:t>
      </w:r>
    </w:p>
    <w:p w14:paraId="309F67D1">
      <w:pPr>
        <w:pStyle w:val="2"/>
        <w:spacing w:before="82" w:line="253" w:lineRule="auto"/>
        <w:ind w:left="1029" w:right="89" w:hanging="299"/>
        <w:rPr>
          <w:sz w:val="20"/>
          <w:szCs w:val="20"/>
        </w:rPr>
      </w:pPr>
      <w:r>
        <w:rPr>
          <w:spacing w:val="3"/>
          <w:sz w:val="20"/>
          <w:szCs w:val="20"/>
        </w:rPr>
        <w:t>●绿色节能。因云数据中心运营能耗开销甚大，合理的布局有利于数据中心散热，实现降</w:t>
      </w:r>
      <w:r>
        <w:rPr>
          <w:spacing w:val="2"/>
          <w:sz w:val="20"/>
          <w:szCs w:val="20"/>
        </w:rPr>
        <w:t xml:space="preserve"> </w:t>
      </w:r>
      <w:r>
        <w:rPr>
          <w:spacing w:val="-3"/>
          <w:sz w:val="20"/>
          <w:szCs w:val="20"/>
        </w:rPr>
        <w:t>低能耗开销、保护网络设备的目的。</w:t>
      </w:r>
    </w:p>
    <w:p w14:paraId="7F3FE7D4">
      <w:pPr>
        <w:spacing w:before="165" w:line="229" w:lineRule="auto"/>
        <w:ind w:left="730"/>
        <w:rPr>
          <w:rFonts w:ascii="楷体" w:hAnsi="楷体" w:eastAsia="楷体" w:cs="楷体"/>
          <w:sz w:val="20"/>
          <w:szCs w:val="20"/>
        </w:rPr>
      </w:pPr>
      <w:r>
        <w:rPr>
          <w:rFonts w:ascii="楷体" w:hAnsi="楷体" w:eastAsia="楷体" w:cs="楷体"/>
          <w:spacing w:val="13"/>
          <w:sz w:val="20"/>
          <w:szCs w:val="20"/>
        </w:rPr>
        <w:t>2)网络融合技术</w:t>
      </w:r>
    </w:p>
    <w:p w14:paraId="2EDEC273">
      <w:pPr>
        <w:pStyle w:val="2"/>
        <w:spacing w:before="50" w:line="277" w:lineRule="auto"/>
        <w:ind w:left="340" w:right="92" w:firstLine="390"/>
        <w:jc w:val="both"/>
        <w:rPr>
          <w:sz w:val="20"/>
          <w:szCs w:val="20"/>
        </w:rPr>
      </w:pPr>
      <w:r>
        <w:rPr>
          <w:spacing w:val="3"/>
          <w:sz w:val="20"/>
          <w:szCs w:val="20"/>
        </w:rPr>
        <w:t>以太网、存储网络及高性能计算网络融合是数据中心网络发展的趋势，通过融合可以实现</w:t>
      </w:r>
      <w:r>
        <w:rPr>
          <w:sz w:val="20"/>
          <w:szCs w:val="20"/>
        </w:rPr>
        <w:t xml:space="preserve"> </w:t>
      </w:r>
      <w:r>
        <w:rPr>
          <w:spacing w:val="3"/>
          <w:sz w:val="20"/>
          <w:szCs w:val="20"/>
        </w:rPr>
        <w:t>降低成本、降低管理复杂度、提高安全性等目的。现阶</w:t>
      </w:r>
      <w:r>
        <w:rPr>
          <w:spacing w:val="2"/>
          <w:sz w:val="20"/>
          <w:szCs w:val="20"/>
        </w:rPr>
        <w:t>段主要的网络融合技术有光纤以太网通</w:t>
      </w:r>
      <w:r>
        <w:rPr>
          <w:sz w:val="20"/>
          <w:szCs w:val="20"/>
        </w:rPr>
        <w:t xml:space="preserve"> </w:t>
      </w:r>
      <w:r>
        <w:rPr>
          <w:spacing w:val="-2"/>
          <w:sz w:val="20"/>
          <w:szCs w:val="20"/>
        </w:rPr>
        <w:t>道技术、数据中心桥接技术及多链接透明互连技术等。</w:t>
      </w:r>
    </w:p>
    <w:p w14:paraId="1704E4B4">
      <w:pPr>
        <w:spacing w:before="102" w:line="229" w:lineRule="auto"/>
        <w:ind w:left="730"/>
        <w:rPr>
          <w:rFonts w:ascii="楷体" w:hAnsi="楷体" w:eastAsia="楷体" w:cs="楷体"/>
          <w:sz w:val="20"/>
          <w:szCs w:val="20"/>
        </w:rPr>
      </w:pPr>
      <w:r>
        <w:rPr>
          <w:rFonts w:ascii="楷体" w:hAnsi="楷体" w:eastAsia="楷体" w:cs="楷体"/>
          <w:spacing w:val="13"/>
          <w:sz w:val="20"/>
          <w:szCs w:val="20"/>
        </w:rPr>
        <w:t>3)网络性能测试</w:t>
      </w:r>
    </w:p>
    <w:p w14:paraId="101909CD">
      <w:pPr>
        <w:pStyle w:val="2"/>
        <w:spacing w:before="78" w:line="264" w:lineRule="auto"/>
        <w:ind w:left="340" w:firstLine="390"/>
        <w:rPr>
          <w:sz w:val="20"/>
          <w:szCs w:val="20"/>
        </w:rPr>
      </w:pPr>
      <w:r>
        <w:rPr>
          <w:spacing w:val="3"/>
          <w:sz w:val="20"/>
          <w:szCs w:val="20"/>
        </w:rPr>
        <w:t xml:space="preserve">网络性能测试是通过测试工具对可用于系统设计、配置和维护的性能参数进行测试，然后  </w:t>
      </w:r>
      <w:r>
        <w:rPr>
          <w:spacing w:val="5"/>
          <w:sz w:val="20"/>
          <w:szCs w:val="20"/>
        </w:rPr>
        <w:t>得到的一组结果。它与用户的操作和终端性能无关，体现的是网络自身的特性。</w:t>
      </w:r>
      <w:r>
        <w:rPr>
          <w:spacing w:val="4"/>
          <w:sz w:val="20"/>
          <w:szCs w:val="20"/>
        </w:rPr>
        <w:t>在视频数据、</w:t>
      </w:r>
    </w:p>
    <w:p w14:paraId="104E07A8">
      <w:pPr>
        <w:spacing w:line="264" w:lineRule="auto"/>
        <w:rPr>
          <w:sz w:val="20"/>
          <w:szCs w:val="20"/>
        </w:rPr>
        <w:sectPr>
          <w:pgSz w:w="10300" w:h="13390"/>
          <w:pgMar w:top="400" w:right="1070" w:bottom="400" w:left="489" w:header="0" w:footer="0" w:gutter="0"/>
          <w:cols w:space="720" w:num="1"/>
        </w:sectPr>
      </w:pPr>
    </w:p>
    <w:p w14:paraId="2B018594">
      <w:pPr>
        <w:pStyle w:val="2"/>
        <w:spacing w:before="86" w:line="219" w:lineRule="auto"/>
        <w:jc w:val="right"/>
        <w:rPr>
          <w:rFonts w:ascii="Times New Roman" w:hAnsi="Times New Roman" w:eastAsia="Times New Roman" w:cs="Times New Roman"/>
          <w:sz w:val="19"/>
          <w:szCs w:val="19"/>
        </w:rPr>
      </w:pPr>
      <w:r>
        <w:rPr>
          <w:spacing w:val="3"/>
          <w:sz w:val="19"/>
          <w:szCs w:val="19"/>
        </w:rPr>
        <w:t>第4章</w:t>
      </w:r>
      <w:r>
        <w:rPr>
          <w:spacing w:val="39"/>
          <w:sz w:val="19"/>
          <w:szCs w:val="19"/>
        </w:rPr>
        <w:t xml:space="preserve"> </w:t>
      </w:r>
      <w:r>
        <w:rPr>
          <w:spacing w:val="3"/>
          <w:sz w:val="19"/>
          <w:szCs w:val="19"/>
        </w:rPr>
        <w:t>信息资源系统</w:t>
      </w:r>
      <w:r>
        <w:rPr>
          <w:spacing w:val="8"/>
          <w:sz w:val="19"/>
          <w:szCs w:val="19"/>
        </w:rPr>
        <w:t xml:space="preserve">      </w:t>
      </w:r>
      <w:r>
        <w:rPr>
          <w:rFonts w:ascii="Times New Roman" w:hAnsi="Times New Roman" w:eastAsia="Times New Roman" w:cs="Times New Roman"/>
          <w:spacing w:val="3"/>
          <w:position w:val="1"/>
          <w:sz w:val="19"/>
          <w:szCs w:val="19"/>
        </w:rPr>
        <w:t>149</w:t>
      </w:r>
    </w:p>
    <w:p w14:paraId="78DADB0D">
      <w:pPr>
        <w:spacing w:line="300" w:lineRule="auto"/>
        <w:rPr>
          <w:rFonts w:ascii="Arial"/>
          <w:sz w:val="21"/>
        </w:rPr>
      </w:pPr>
    </w:p>
    <w:p w14:paraId="65E4369F">
      <w:pPr>
        <w:pStyle w:val="2"/>
        <w:spacing w:before="62" w:line="302" w:lineRule="auto"/>
        <w:ind w:right="313"/>
        <w:jc w:val="both"/>
        <w:rPr>
          <w:sz w:val="19"/>
          <w:szCs w:val="19"/>
        </w:rPr>
      </w:pPr>
      <w:r>
        <w:rPr>
          <w:spacing w:val="13"/>
          <w:sz w:val="19"/>
          <w:szCs w:val="19"/>
        </w:rPr>
        <w:t>电子商务等应用场景中，因其数据业务占用带宽大且具有实时性，因此需要有效地</w:t>
      </w:r>
      <w:r>
        <w:rPr>
          <w:spacing w:val="12"/>
          <w:sz w:val="19"/>
          <w:szCs w:val="19"/>
        </w:rPr>
        <w:t>对网络进行</w:t>
      </w:r>
      <w:r>
        <w:rPr>
          <w:sz w:val="19"/>
          <w:szCs w:val="19"/>
        </w:rPr>
        <w:t xml:space="preserve"> </w:t>
      </w:r>
      <w:r>
        <w:rPr>
          <w:spacing w:val="13"/>
          <w:sz w:val="19"/>
          <w:szCs w:val="19"/>
        </w:rPr>
        <w:t>预测和使用控制手段来保证网络服务质量。网络性能测试可以分析网络承载的</w:t>
      </w:r>
      <w:r>
        <w:rPr>
          <w:spacing w:val="12"/>
          <w:sz w:val="19"/>
          <w:szCs w:val="19"/>
        </w:rPr>
        <w:t>关键业务，因此</w:t>
      </w:r>
      <w:r>
        <w:rPr>
          <w:sz w:val="19"/>
          <w:szCs w:val="19"/>
        </w:rPr>
        <w:t xml:space="preserve"> </w:t>
      </w:r>
      <w:r>
        <w:rPr>
          <w:spacing w:val="8"/>
          <w:sz w:val="19"/>
          <w:szCs w:val="19"/>
        </w:rPr>
        <w:t>可采用一定的测试方法来获取网络性能指标，最终确保用户应用服务体验质量。</w:t>
      </w:r>
    </w:p>
    <w:p w14:paraId="6265F210">
      <w:pPr>
        <w:pStyle w:val="2"/>
        <w:spacing w:before="18" w:line="307" w:lineRule="auto"/>
        <w:ind w:right="314" w:firstLine="409"/>
        <w:rPr>
          <w:sz w:val="19"/>
          <w:szCs w:val="19"/>
        </w:rPr>
      </w:pPr>
      <w:r>
        <w:rPr>
          <w:spacing w:val="18"/>
          <w:sz w:val="19"/>
          <w:szCs w:val="19"/>
        </w:rPr>
        <w:t>出于网络的体系结构和安全因素考虑，网络测试技术被广泛使用和研究。在不同层次上</w:t>
      </w:r>
      <w:r>
        <w:rPr>
          <w:spacing w:val="3"/>
          <w:sz w:val="19"/>
          <w:szCs w:val="19"/>
        </w:rPr>
        <w:t xml:space="preserve"> </w:t>
      </w:r>
      <w:r>
        <w:rPr>
          <w:spacing w:val="11"/>
          <w:sz w:val="19"/>
          <w:szCs w:val="19"/>
        </w:rPr>
        <w:t>(如网络层、传输层和应用层等)都各自对应着不同的测试指标：</w:t>
      </w:r>
    </w:p>
    <w:p w14:paraId="38648E06">
      <w:pPr>
        <w:pStyle w:val="2"/>
        <w:spacing w:before="9" w:line="219" w:lineRule="auto"/>
        <w:ind w:left="409"/>
        <w:rPr>
          <w:sz w:val="19"/>
          <w:szCs w:val="19"/>
        </w:rPr>
      </w:pPr>
      <w:r>
        <w:rPr>
          <w:spacing w:val="10"/>
          <w:sz w:val="19"/>
          <w:szCs w:val="19"/>
        </w:rPr>
        <w:t>●网络层测试指标主要有连通性、带宽、时延和丢包率；</w:t>
      </w:r>
    </w:p>
    <w:p w14:paraId="032E6852">
      <w:pPr>
        <w:pStyle w:val="2"/>
        <w:spacing w:before="93" w:line="219" w:lineRule="auto"/>
        <w:ind w:left="409"/>
        <w:rPr>
          <w:sz w:val="19"/>
          <w:szCs w:val="19"/>
        </w:rPr>
      </w:pPr>
      <w:r>
        <w:rPr>
          <w:spacing w:val="10"/>
          <w:sz w:val="19"/>
          <w:szCs w:val="19"/>
        </w:rPr>
        <w:t>●传输层测试指标主要有丢包率、吞吐量和连接数；</w:t>
      </w:r>
    </w:p>
    <w:p w14:paraId="64735842">
      <w:pPr>
        <w:pStyle w:val="2"/>
        <w:spacing w:before="105" w:line="219" w:lineRule="auto"/>
        <w:ind w:left="409"/>
        <w:rPr>
          <w:sz w:val="19"/>
          <w:szCs w:val="19"/>
        </w:rPr>
      </w:pPr>
      <w:r>
        <w:rPr>
          <w:spacing w:val="11"/>
          <w:sz w:val="19"/>
          <w:szCs w:val="19"/>
        </w:rPr>
        <w:t>●应用层测试指标主要有页面丢失率、应答延迟和吞吐</w:t>
      </w:r>
      <w:r>
        <w:rPr>
          <w:spacing w:val="10"/>
          <w:sz w:val="19"/>
          <w:szCs w:val="19"/>
        </w:rPr>
        <w:t>量。</w:t>
      </w:r>
    </w:p>
    <w:p w14:paraId="750084E8">
      <w:pPr>
        <w:pStyle w:val="2"/>
        <w:spacing w:before="107" w:line="297" w:lineRule="auto"/>
        <w:ind w:right="307" w:firstLine="409"/>
        <w:jc w:val="both"/>
        <w:rPr>
          <w:sz w:val="19"/>
          <w:szCs w:val="19"/>
        </w:rPr>
      </w:pPr>
      <w:r>
        <w:rPr>
          <w:spacing w:val="12"/>
          <w:sz w:val="19"/>
          <w:szCs w:val="19"/>
        </w:rPr>
        <w:t>网络性能测试一般是利用如</w:t>
      </w:r>
      <w:r>
        <w:rPr>
          <w:rFonts w:ascii="Times New Roman" w:hAnsi="Times New Roman" w:eastAsia="Times New Roman" w:cs="Times New Roman"/>
          <w:sz w:val="19"/>
          <w:szCs w:val="19"/>
        </w:rPr>
        <w:t>ICMP</w:t>
      </w:r>
      <w:r>
        <w:rPr>
          <w:rFonts w:ascii="Times New Roman" w:hAnsi="Times New Roman" w:eastAsia="Times New Roman" w:cs="Times New Roman"/>
          <w:spacing w:val="50"/>
          <w:sz w:val="19"/>
          <w:szCs w:val="19"/>
        </w:rPr>
        <w:t xml:space="preserve"> </w:t>
      </w:r>
      <w:r>
        <w:rPr>
          <w:spacing w:val="12"/>
          <w:sz w:val="19"/>
          <w:szCs w:val="19"/>
        </w:rPr>
        <w:t>和</w:t>
      </w:r>
      <w:r>
        <w:rPr>
          <w:spacing w:val="-37"/>
          <w:sz w:val="19"/>
          <w:szCs w:val="19"/>
        </w:rPr>
        <w:t xml:space="preserve"> </w:t>
      </w:r>
      <w:r>
        <w:rPr>
          <w:rFonts w:ascii="Times New Roman" w:hAnsi="Times New Roman" w:eastAsia="Times New Roman" w:cs="Times New Roman"/>
          <w:sz w:val="19"/>
          <w:szCs w:val="19"/>
        </w:rPr>
        <w:t>TCP</w:t>
      </w:r>
      <w:r>
        <w:rPr>
          <w:rFonts w:ascii="Times New Roman" w:hAnsi="Times New Roman" w:eastAsia="Times New Roman" w:cs="Times New Roman"/>
          <w:spacing w:val="30"/>
          <w:sz w:val="19"/>
          <w:szCs w:val="19"/>
        </w:rPr>
        <w:t xml:space="preserve"> </w:t>
      </w:r>
      <w:r>
        <w:rPr>
          <w:spacing w:val="12"/>
          <w:sz w:val="19"/>
          <w:szCs w:val="19"/>
        </w:rPr>
        <w:t>等网络协议开展测试，主要有主动测试、被动测</w:t>
      </w:r>
      <w:r>
        <w:rPr>
          <w:sz w:val="19"/>
          <w:szCs w:val="19"/>
        </w:rPr>
        <w:t xml:space="preserve"> </w:t>
      </w:r>
      <w:r>
        <w:rPr>
          <w:spacing w:val="13"/>
          <w:sz w:val="19"/>
          <w:szCs w:val="19"/>
        </w:rPr>
        <w:t>试及主、被动这两种测试相结合的测试方法。其中，主动测试只需要把测试工</w:t>
      </w:r>
      <w:r>
        <w:rPr>
          <w:spacing w:val="12"/>
          <w:sz w:val="19"/>
          <w:szCs w:val="19"/>
        </w:rPr>
        <w:t>具部署在测试源</w:t>
      </w:r>
      <w:r>
        <w:rPr>
          <w:sz w:val="19"/>
          <w:szCs w:val="19"/>
        </w:rPr>
        <w:t xml:space="preserve"> </w:t>
      </w:r>
      <w:r>
        <w:rPr>
          <w:spacing w:val="13"/>
          <w:sz w:val="19"/>
          <w:szCs w:val="19"/>
        </w:rPr>
        <w:t>端上，由监测者主动发送探测流去监测网络设备的运行情况，从网络的反馈中</w:t>
      </w:r>
      <w:r>
        <w:rPr>
          <w:spacing w:val="12"/>
          <w:sz w:val="19"/>
          <w:szCs w:val="19"/>
        </w:rPr>
        <w:t>观察分析探测流</w:t>
      </w:r>
      <w:r>
        <w:rPr>
          <w:sz w:val="19"/>
          <w:szCs w:val="19"/>
        </w:rPr>
        <w:t xml:space="preserve"> </w:t>
      </w:r>
      <w:r>
        <w:rPr>
          <w:spacing w:val="12"/>
          <w:sz w:val="19"/>
          <w:szCs w:val="19"/>
        </w:rPr>
        <w:t>的行为，来评估网络性能，得到需要的信息。被动测试是指在链路或路由器等设备上对网络进</w:t>
      </w:r>
      <w:r>
        <w:rPr>
          <w:spacing w:val="14"/>
          <w:sz w:val="19"/>
          <w:szCs w:val="19"/>
        </w:rPr>
        <w:t xml:space="preserve"> </w:t>
      </w:r>
      <w:r>
        <w:rPr>
          <w:spacing w:val="13"/>
          <w:sz w:val="19"/>
          <w:szCs w:val="19"/>
        </w:rPr>
        <w:t>行监测，为了解网络设备的运行情况，监测者需要被动地采集网络中现有的标志性数据。主动</w:t>
      </w:r>
      <w:r>
        <w:rPr>
          <w:sz w:val="19"/>
          <w:szCs w:val="19"/>
        </w:rPr>
        <w:t xml:space="preserve"> </w:t>
      </w:r>
      <w:r>
        <w:rPr>
          <w:spacing w:val="13"/>
          <w:sz w:val="19"/>
          <w:szCs w:val="19"/>
        </w:rPr>
        <w:t>测试比较适合对端到端的时延、丢包及时延变化等参数的测量，而被动测试则更适</w:t>
      </w:r>
      <w:r>
        <w:rPr>
          <w:spacing w:val="12"/>
          <w:sz w:val="19"/>
          <w:szCs w:val="19"/>
        </w:rPr>
        <w:t>用于对路径</w:t>
      </w:r>
      <w:r>
        <w:rPr>
          <w:sz w:val="19"/>
          <w:szCs w:val="19"/>
        </w:rPr>
        <w:t xml:space="preserve"> </w:t>
      </w:r>
      <w:r>
        <w:rPr>
          <w:spacing w:val="5"/>
          <w:sz w:val="19"/>
          <w:szCs w:val="19"/>
        </w:rPr>
        <w:t>吞吐量等流量参数的测试。</w:t>
      </w:r>
    </w:p>
    <w:p w14:paraId="66BAFB8F">
      <w:pPr>
        <w:spacing w:before="148" w:line="227" w:lineRule="auto"/>
        <w:ind w:left="409"/>
        <w:rPr>
          <w:rFonts w:ascii="楷体" w:hAnsi="楷体" w:eastAsia="楷体" w:cs="楷体"/>
          <w:sz w:val="19"/>
          <w:szCs w:val="19"/>
        </w:rPr>
      </w:pPr>
      <w:r>
        <w:rPr>
          <w:rFonts w:ascii="楷体" w:hAnsi="楷体" w:eastAsia="楷体" w:cs="楷体"/>
          <w:spacing w:val="22"/>
          <w:sz w:val="19"/>
          <w:szCs w:val="19"/>
        </w:rPr>
        <w:t>4)虚拟化技术</w:t>
      </w:r>
    </w:p>
    <w:p w14:paraId="259C44E3">
      <w:pPr>
        <w:pStyle w:val="2"/>
        <w:spacing w:before="66" w:line="288" w:lineRule="auto"/>
        <w:ind w:right="292" w:firstLine="409"/>
        <w:rPr>
          <w:sz w:val="19"/>
          <w:szCs w:val="19"/>
        </w:rPr>
      </w:pPr>
      <w:r>
        <w:rPr>
          <w:spacing w:val="23"/>
          <w:sz w:val="19"/>
          <w:szCs w:val="19"/>
        </w:rPr>
        <w:t>虚</w:t>
      </w:r>
      <w:r>
        <w:rPr>
          <w:spacing w:val="-29"/>
          <w:sz w:val="19"/>
          <w:szCs w:val="19"/>
        </w:rPr>
        <w:t xml:space="preserve"> </w:t>
      </w:r>
      <w:r>
        <w:rPr>
          <w:spacing w:val="23"/>
          <w:sz w:val="19"/>
          <w:szCs w:val="19"/>
        </w:rPr>
        <w:t>拟</w:t>
      </w:r>
      <w:r>
        <w:rPr>
          <w:spacing w:val="-39"/>
          <w:sz w:val="19"/>
          <w:szCs w:val="19"/>
        </w:rPr>
        <w:t xml:space="preserve"> </w:t>
      </w:r>
      <w:r>
        <w:rPr>
          <w:spacing w:val="23"/>
          <w:sz w:val="19"/>
          <w:szCs w:val="19"/>
        </w:rPr>
        <w:t>化</w:t>
      </w:r>
      <w:r>
        <w:rPr>
          <w:spacing w:val="-53"/>
          <w:sz w:val="19"/>
          <w:szCs w:val="19"/>
        </w:rPr>
        <w:t xml:space="preserve"> </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Virtualization</w:t>
      </w:r>
      <w:r>
        <w:rPr>
          <w:rFonts w:ascii="Times New Roman" w:hAnsi="Times New Roman" w:eastAsia="Times New Roman" w:cs="Times New Roman"/>
          <w:spacing w:val="23"/>
          <w:sz w:val="19"/>
          <w:szCs w:val="19"/>
        </w:rPr>
        <w:t xml:space="preserve">)    </w:t>
      </w:r>
      <w:r>
        <w:rPr>
          <w:spacing w:val="23"/>
          <w:sz w:val="19"/>
          <w:szCs w:val="19"/>
        </w:rPr>
        <w:t>技术最早出现在20世纪60年代的</w:t>
      </w:r>
      <w:r>
        <w:rPr>
          <w:rFonts w:ascii="Times New Roman" w:hAnsi="Times New Roman" w:eastAsia="Times New Roman" w:cs="Times New Roman"/>
          <w:sz w:val="19"/>
          <w:szCs w:val="19"/>
        </w:rPr>
        <w:t>IBM</w:t>
      </w:r>
      <w:r>
        <w:rPr>
          <w:rFonts w:ascii="Times New Roman" w:hAnsi="Times New Roman" w:eastAsia="Times New Roman" w:cs="Times New Roman"/>
          <w:spacing w:val="29"/>
          <w:sz w:val="19"/>
          <w:szCs w:val="19"/>
        </w:rPr>
        <w:t xml:space="preserve"> </w:t>
      </w:r>
      <w:r>
        <w:rPr>
          <w:spacing w:val="23"/>
          <w:sz w:val="19"/>
          <w:szCs w:val="19"/>
        </w:rPr>
        <w:t>大型机系统，在20世纪</w:t>
      </w:r>
      <w:r>
        <w:rPr>
          <w:sz w:val="19"/>
          <w:szCs w:val="19"/>
        </w:rPr>
        <w:t xml:space="preserve"> </w:t>
      </w:r>
      <w:r>
        <w:rPr>
          <w:spacing w:val="11"/>
          <w:sz w:val="19"/>
          <w:szCs w:val="19"/>
        </w:rPr>
        <w:t>70年代的</w:t>
      </w:r>
      <w:r>
        <w:rPr>
          <w:rFonts w:ascii="Times New Roman" w:hAnsi="Times New Roman" w:eastAsia="Times New Roman" w:cs="Times New Roman"/>
          <w:sz w:val="19"/>
          <w:szCs w:val="19"/>
        </w:rPr>
        <w:t>System</w:t>
      </w:r>
      <w:r>
        <w:rPr>
          <w:rFonts w:ascii="Times New Roman" w:hAnsi="Times New Roman" w:eastAsia="Times New Roman" w:cs="Times New Roman"/>
          <w:spacing w:val="20"/>
          <w:w w:val="101"/>
          <w:sz w:val="19"/>
          <w:szCs w:val="19"/>
        </w:rPr>
        <w:t xml:space="preserve">  </w:t>
      </w:r>
      <w:r>
        <w:rPr>
          <w:rFonts w:ascii="Times New Roman" w:hAnsi="Times New Roman" w:eastAsia="Times New Roman" w:cs="Times New Roman"/>
          <w:spacing w:val="11"/>
          <w:sz w:val="19"/>
          <w:szCs w:val="19"/>
        </w:rPr>
        <w:t>370</w:t>
      </w:r>
      <w:r>
        <w:rPr>
          <w:spacing w:val="11"/>
          <w:sz w:val="19"/>
          <w:szCs w:val="19"/>
        </w:rPr>
        <w:t>系列中逐渐流行起来。这些机器通过一种叫虚拟机监控器</w:t>
      </w:r>
      <w:r>
        <w:rPr>
          <w:spacing w:val="-53"/>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Virtual</w:t>
      </w:r>
      <w:r>
        <w:rPr>
          <w:rFonts w:ascii="Times New Roman" w:hAnsi="Times New Roman" w:eastAsia="Times New Roman" w:cs="Times New Roman"/>
          <w:spacing w:val="23"/>
          <w:sz w:val="19"/>
          <w:szCs w:val="19"/>
        </w:rPr>
        <w:t xml:space="preserve">  </w:t>
      </w:r>
      <w:r>
        <w:rPr>
          <w:rFonts w:ascii="Times New Roman" w:hAnsi="Times New Roman" w:eastAsia="Times New Roman" w:cs="Times New Roman"/>
          <w:sz w:val="19"/>
          <w:szCs w:val="19"/>
        </w:rPr>
        <w:t>Machine Monitor</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VMM</w:t>
      </w:r>
      <w:r>
        <w:rPr>
          <w:rFonts w:ascii="Times New Roman" w:hAnsi="Times New Roman" w:eastAsia="Times New Roman" w:cs="Times New Roman"/>
          <w:spacing w:val="7"/>
          <w:sz w:val="19"/>
          <w:szCs w:val="19"/>
        </w:rPr>
        <w:t xml:space="preserve">,    </w:t>
      </w:r>
      <w:r>
        <w:rPr>
          <w:spacing w:val="7"/>
          <w:sz w:val="19"/>
          <w:szCs w:val="19"/>
        </w:rPr>
        <w:t>又 称</w:t>
      </w:r>
      <w:r>
        <w:rPr>
          <w:rFonts w:ascii="Times New Roman" w:hAnsi="Times New Roman" w:eastAsia="Times New Roman" w:cs="Times New Roman"/>
          <w:sz w:val="19"/>
          <w:szCs w:val="19"/>
        </w:rPr>
        <w:t>Hypervisor</w:t>
      </w:r>
      <w:r>
        <w:rPr>
          <w:rFonts w:ascii="Times New Roman" w:hAnsi="Times New Roman" w:eastAsia="Times New Roman" w:cs="Times New Roman"/>
          <w:spacing w:val="7"/>
          <w:sz w:val="19"/>
          <w:szCs w:val="19"/>
        </w:rPr>
        <w:t>)</w:t>
      </w:r>
      <w:r>
        <w:rPr>
          <w:rFonts w:ascii="Times New Roman" w:hAnsi="Times New Roman" w:eastAsia="Times New Roman" w:cs="Times New Roman"/>
          <w:spacing w:val="5"/>
          <w:sz w:val="19"/>
          <w:szCs w:val="19"/>
        </w:rPr>
        <w:t xml:space="preserve">   </w:t>
      </w:r>
      <w:r>
        <w:rPr>
          <w:spacing w:val="7"/>
          <w:sz w:val="19"/>
          <w:szCs w:val="19"/>
        </w:rPr>
        <w:t>的程序在物理硬件之上生成许多可以运行独立操作系统软件的</w:t>
      </w:r>
      <w:r>
        <w:rPr>
          <w:spacing w:val="1"/>
          <w:sz w:val="19"/>
          <w:szCs w:val="19"/>
        </w:rPr>
        <w:t xml:space="preserve"> </w:t>
      </w:r>
      <w:r>
        <w:rPr>
          <w:spacing w:val="4"/>
          <w:sz w:val="19"/>
          <w:szCs w:val="19"/>
        </w:rPr>
        <w:t>虚拟机</w:t>
      </w:r>
      <w:r>
        <w:rPr>
          <w:spacing w:val="-42"/>
          <w:sz w:val="19"/>
          <w:szCs w:val="19"/>
        </w:rPr>
        <w:t xml:space="preserve"> </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Virtual</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Machine</w:t>
      </w:r>
      <w:r>
        <w:rPr>
          <w:rFonts w:ascii="Times New Roman" w:hAnsi="Times New Roman" w:eastAsia="Times New Roman" w:cs="Times New Roman"/>
          <w:spacing w:val="4"/>
          <w:sz w:val="19"/>
          <w:szCs w:val="19"/>
        </w:rPr>
        <w:t>,</w:t>
      </w:r>
      <w:r>
        <w:rPr>
          <w:rFonts w:ascii="Times New Roman" w:hAnsi="Times New Roman" w:eastAsia="Times New Roman" w:cs="Times New Roman"/>
          <w:sz w:val="19"/>
          <w:szCs w:val="19"/>
        </w:rPr>
        <w:t>VM</w:t>
      </w:r>
      <w:r>
        <w:rPr>
          <w:rFonts w:ascii="Times New Roman" w:hAnsi="Times New Roman" w:eastAsia="Times New Roman" w:cs="Times New Roman"/>
          <w:spacing w:val="4"/>
          <w:sz w:val="19"/>
          <w:szCs w:val="19"/>
        </w:rPr>
        <w:t>)</w:t>
      </w:r>
      <w:r>
        <w:rPr>
          <w:spacing w:val="4"/>
          <w:sz w:val="19"/>
          <w:szCs w:val="19"/>
        </w:rPr>
        <w:t>。虚拟化技术的本质在于对计算机系</w:t>
      </w:r>
      <w:r>
        <w:rPr>
          <w:spacing w:val="3"/>
          <w:sz w:val="19"/>
          <w:szCs w:val="19"/>
        </w:rPr>
        <w:t>统软硬件资源的划分和抽象。</w:t>
      </w:r>
    </w:p>
    <w:p w14:paraId="1AE49CF7">
      <w:pPr>
        <w:pStyle w:val="2"/>
        <w:spacing w:before="74" w:line="219" w:lineRule="auto"/>
        <w:ind w:left="409"/>
        <w:rPr>
          <w:sz w:val="19"/>
          <w:szCs w:val="19"/>
        </w:rPr>
      </w:pPr>
      <w:r>
        <w:rPr>
          <w:spacing w:val="13"/>
          <w:sz w:val="19"/>
          <w:szCs w:val="19"/>
        </w:rPr>
        <w:t>(1)虚拟化技术层次。</w:t>
      </w:r>
    </w:p>
    <w:p w14:paraId="1915CEA0">
      <w:pPr>
        <w:pStyle w:val="2"/>
        <w:spacing w:before="63" w:line="297" w:lineRule="auto"/>
        <w:ind w:right="227" w:firstLine="409"/>
        <w:rPr>
          <w:sz w:val="19"/>
          <w:szCs w:val="19"/>
        </w:rPr>
      </w:pPr>
      <w:r>
        <w:rPr>
          <w:spacing w:val="13"/>
          <w:sz w:val="19"/>
          <w:szCs w:val="19"/>
        </w:rPr>
        <w:t>计算机系统包括五个抽象层：硬件抽象层、指令集架构层、操作系统层、库函数层和应用</w:t>
      </w:r>
      <w:r>
        <w:rPr>
          <w:spacing w:val="5"/>
          <w:sz w:val="19"/>
          <w:szCs w:val="19"/>
        </w:rPr>
        <w:t xml:space="preserve"> </w:t>
      </w:r>
      <w:r>
        <w:rPr>
          <w:spacing w:val="13"/>
          <w:sz w:val="19"/>
          <w:szCs w:val="19"/>
        </w:rPr>
        <w:t>程序层。虚拟化可以在每个抽象层来实现。虚拟化平台是操作系统层虚拟化的实现。</w:t>
      </w:r>
      <w:r>
        <w:rPr>
          <w:spacing w:val="12"/>
          <w:sz w:val="19"/>
          <w:szCs w:val="19"/>
        </w:rPr>
        <w:t>在系统虚</w:t>
      </w:r>
      <w:r>
        <w:rPr>
          <w:sz w:val="19"/>
          <w:szCs w:val="19"/>
        </w:rPr>
        <w:t xml:space="preserve">  </w:t>
      </w:r>
      <w:r>
        <w:rPr>
          <w:spacing w:val="10"/>
          <w:sz w:val="19"/>
          <w:szCs w:val="19"/>
        </w:rPr>
        <w:t>拟化中，虚拟机是在一个硬件平台上模拟一个或者多个独立的和实际底层硬件相同的执行环境。</w:t>
      </w:r>
      <w:r>
        <w:rPr>
          <w:spacing w:val="4"/>
          <w:sz w:val="19"/>
          <w:szCs w:val="19"/>
        </w:rPr>
        <w:t xml:space="preserve"> </w:t>
      </w:r>
      <w:r>
        <w:rPr>
          <w:spacing w:val="8"/>
          <w:sz w:val="19"/>
          <w:szCs w:val="19"/>
        </w:rPr>
        <w:t>每个虚拟的执行环境里面可以运行不同的操作系统，即客户机操作系统</w:t>
      </w:r>
      <w:r>
        <w:rPr>
          <w:spacing w:val="-26"/>
          <w:sz w:val="19"/>
          <w:szCs w:val="19"/>
        </w:rPr>
        <w:t xml:space="preserve"> </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Guest</w:t>
      </w:r>
      <w:r>
        <w:rPr>
          <w:rFonts w:ascii="Times New Roman" w:hAnsi="Times New Roman" w:eastAsia="Times New Roman" w:cs="Times New Roman"/>
          <w:spacing w:val="14"/>
          <w:w w:val="101"/>
          <w:sz w:val="19"/>
          <w:szCs w:val="19"/>
        </w:rPr>
        <w:t xml:space="preserve">   </w:t>
      </w:r>
      <w:r>
        <w:rPr>
          <w:rFonts w:ascii="Times New Roman" w:hAnsi="Times New Roman" w:eastAsia="Times New Roman" w:cs="Times New Roman"/>
          <w:sz w:val="19"/>
          <w:szCs w:val="19"/>
        </w:rPr>
        <w:t>OS</w:t>
      </w:r>
      <w:r>
        <w:rPr>
          <w:rFonts w:ascii="Times New Roman" w:hAnsi="Times New Roman" w:eastAsia="Times New Roman" w:cs="Times New Roman"/>
          <w:spacing w:val="8"/>
          <w:sz w:val="19"/>
          <w:szCs w:val="19"/>
        </w:rPr>
        <w:t>)</w:t>
      </w:r>
      <w:r>
        <w:rPr>
          <w:rFonts w:ascii="Times New Roman" w:hAnsi="Times New Roman" w:eastAsia="Times New Roman" w:cs="Times New Roman"/>
          <w:spacing w:val="-21"/>
          <w:sz w:val="19"/>
          <w:szCs w:val="19"/>
        </w:rPr>
        <w:t xml:space="preserve"> </w:t>
      </w:r>
      <w:r>
        <w:rPr>
          <w:spacing w:val="8"/>
          <w:sz w:val="19"/>
          <w:szCs w:val="19"/>
        </w:rPr>
        <w:t>。</w:t>
      </w:r>
      <w:r>
        <w:rPr>
          <w:rFonts w:ascii="Times New Roman" w:hAnsi="Times New Roman" w:eastAsia="Times New Roman" w:cs="Times New Roman"/>
          <w:sz w:val="19"/>
          <w:szCs w:val="19"/>
        </w:rPr>
        <w:t>Guest</w:t>
      </w:r>
      <w:r>
        <w:rPr>
          <w:rFonts w:ascii="Times New Roman" w:hAnsi="Times New Roman" w:eastAsia="Times New Roman" w:cs="Times New Roman"/>
          <w:spacing w:val="14"/>
          <w:w w:val="101"/>
          <w:sz w:val="19"/>
          <w:szCs w:val="19"/>
        </w:rPr>
        <w:t xml:space="preserve">   </w:t>
      </w:r>
      <w:r>
        <w:rPr>
          <w:rFonts w:ascii="Times New Roman" w:hAnsi="Times New Roman" w:eastAsia="Times New Roman" w:cs="Times New Roman"/>
          <w:sz w:val="19"/>
          <w:szCs w:val="19"/>
        </w:rPr>
        <w:t xml:space="preserve">OS   </w:t>
      </w:r>
      <w:r>
        <w:rPr>
          <w:spacing w:val="10"/>
          <w:sz w:val="19"/>
          <w:szCs w:val="19"/>
        </w:rPr>
        <w:t>通过虚拟机监控器提供的抽象层来实现对物理资源的访问和</w:t>
      </w:r>
      <w:r>
        <w:rPr>
          <w:spacing w:val="9"/>
          <w:sz w:val="19"/>
          <w:szCs w:val="19"/>
        </w:rPr>
        <w:t>操作。目前存在各种各样的虚拟机，</w:t>
      </w:r>
      <w:r>
        <w:rPr>
          <w:sz w:val="19"/>
          <w:szCs w:val="19"/>
        </w:rPr>
        <w:t xml:space="preserve"> </w:t>
      </w:r>
      <w:r>
        <w:rPr>
          <w:spacing w:val="19"/>
          <w:sz w:val="19"/>
          <w:szCs w:val="19"/>
        </w:rPr>
        <w:t>但基本上所有虚拟机都基于“计算机硬件+虚拟机监</w:t>
      </w:r>
      <w:r>
        <w:rPr>
          <w:spacing w:val="18"/>
          <w:sz w:val="19"/>
          <w:szCs w:val="19"/>
        </w:rPr>
        <w:t>控器(</w:t>
      </w:r>
      <w:r>
        <w:rPr>
          <w:sz w:val="19"/>
          <w:szCs w:val="19"/>
        </w:rPr>
        <w:t>VMM</w:t>
      </w:r>
      <w:r>
        <w:rPr>
          <w:spacing w:val="18"/>
          <w:sz w:val="19"/>
          <w:szCs w:val="19"/>
        </w:rPr>
        <w:t>)+    客户机操作系统(</w:t>
      </w:r>
      <w:r>
        <w:rPr>
          <w:sz w:val="19"/>
          <w:szCs w:val="19"/>
        </w:rPr>
        <w:t>Guest  OS</w:t>
      </w:r>
      <w:r>
        <w:rPr>
          <w:spacing w:val="15"/>
          <w:sz w:val="19"/>
          <w:szCs w:val="19"/>
        </w:rPr>
        <w:t>)”</w:t>
      </w:r>
      <w:r>
        <w:rPr>
          <w:spacing w:val="-14"/>
          <w:sz w:val="19"/>
          <w:szCs w:val="19"/>
        </w:rPr>
        <w:t xml:space="preserve"> </w:t>
      </w:r>
      <w:r>
        <w:rPr>
          <w:spacing w:val="15"/>
          <w:sz w:val="19"/>
          <w:szCs w:val="19"/>
        </w:rPr>
        <w:t>的模型，如图4-9所示。虚拟机监控器是计算机硬件</w:t>
      </w:r>
      <w:r>
        <w:rPr>
          <w:spacing w:val="14"/>
          <w:sz w:val="19"/>
          <w:szCs w:val="19"/>
        </w:rPr>
        <w:t>和</w:t>
      </w:r>
      <w:r>
        <w:rPr>
          <w:spacing w:val="-51"/>
          <w:sz w:val="19"/>
          <w:szCs w:val="19"/>
        </w:rPr>
        <w:t xml:space="preserve"> </w:t>
      </w:r>
      <w:r>
        <w:rPr>
          <w:sz w:val="19"/>
          <w:szCs w:val="19"/>
        </w:rPr>
        <w:t>Guest</w:t>
      </w:r>
      <w:r>
        <w:rPr>
          <w:spacing w:val="73"/>
          <w:sz w:val="19"/>
          <w:szCs w:val="19"/>
        </w:rPr>
        <w:t xml:space="preserve"> </w:t>
      </w:r>
      <w:r>
        <w:rPr>
          <w:sz w:val="19"/>
          <w:szCs w:val="19"/>
        </w:rPr>
        <w:t>OS</w:t>
      </w:r>
      <w:r>
        <w:rPr>
          <w:spacing w:val="14"/>
          <w:sz w:val="19"/>
          <w:szCs w:val="19"/>
        </w:rPr>
        <w:t>之间的一个抽象层，它</w:t>
      </w:r>
    </w:p>
    <w:p w14:paraId="0F349209">
      <w:pPr>
        <w:spacing w:line="32" w:lineRule="exact"/>
      </w:pPr>
    </w:p>
    <w:p w14:paraId="1838C656">
      <w:pPr>
        <w:spacing w:line="32" w:lineRule="exact"/>
        <w:sectPr>
          <w:pgSz w:w="10290" w:h="13310"/>
          <w:pgMar w:top="400" w:right="567" w:bottom="400" w:left="1090" w:header="0" w:footer="0" w:gutter="0"/>
          <w:cols w:equalWidth="0" w:num="1">
            <w:col w:w="8633"/>
          </w:cols>
        </w:sectPr>
      </w:pPr>
    </w:p>
    <w:p w14:paraId="04B26AC2">
      <w:pPr>
        <w:pStyle w:val="2"/>
        <w:spacing w:before="6" w:line="297" w:lineRule="auto"/>
        <w:ind w:right="141"/>
        <w:jc w:val="both"/>
        <w:rPr>
          <w:sz w:val="19"/>
          <w:szCs w:val="19"/>
        </w:rPr>
      </w:pPr>
      <w:r>
        <w:rPr>
          <w:spacing w:val="14"/>
          <w:sz w:val="19"/>
          <w:szCs w:val="19"/>
        </w:rPr>
        <w:t>运行在最高特权级，负责将底层硬件资</w:t>
      </w:r>
      <w:r>
        <w:rPr>
          <w:spacing w:val="5"/>
          <w:sz w:val="19"/>
          <w:szCs w:val="19"/>
        </w:rPr>
        <w:t xml:space="preserve"> </w:t>
      </w:r>
      <w:r>
        <w:rPr>
          <w:spacing w:val="14"/>
          <w:sz w:val="19"/>
          <w:szCs w:val="19"/>
        </w:rPr>
        <w:t>源加以抽象，提供给上层运行的多个虚</w:t>
      </w:r>
      <w:r>
        <w:rPr>
          <w:spacing w:val="1"/>
          <w:sz w:val="19"/>
          <w:szCs w:val="19"/>
        </w:rPr>
        <w:t xml:space="preserve"> </w:t>
      </w:r>
      <w:r>
        <w:rPr>
          <w:spacing w:val="14"/>
          <w:sz w:val="19"/>
          <w:szCs w:val="19"/>
        </w:rPr>
        <w:t>拟机使用，并且为上层的虚拟机提供多</w:t>
      </w:r>
      <w:r>
        <w:rPr>
          <w:spacing w:val="8"/>
          <w:sz w:val="19"/>
          <w:szCs w:val="19"/>
        </w:rPr>
        <w:t xml:space="preserve"> </w:t>
      </w:r>
      <w:r>
        <w:rPr>
          <w:spacing w:val="14"/>
          <w:sz w:val="19"/>
          <w:szCs w:val="19"/>
        </w:rPr>
        <w:t>个隔离的执行环境，使得每个虚拟机都</w:t>
      </w:r>
      <w:r>
        <w:rPr>
          <w:sz w:val="19"/>
          <w:szCs w:val="19"/>
        </w:rPr>
        <w:t xml:space="preserve"> </w:t>
      </w:r>
      <w:r>
        <w:rPr>
          <w:spacing w:val="14"/>
          <w:sz w:val="19"/>
          <w:szCs w:val="19"/>
        </w:rPr>
        <w:t>以为自己在独占整个计算机资源。虚拟</w:t>
      </w:r>
      <w:r>
        <w:rPr>
          <w:spacing w:val="1"/>
          <w:sz w:val="19"/>
          <w:szCs w:val="19"/>
        </w:rPr>
        <w:t xml:space="preserve"> </w:t>
      </w:r>
      <w:r>
        <w:rPr>
          <w:spacing w:val="14"/>
          <w:sz w:val="19"/>
          <w:szCs w:val="19"/>
        </w:rPr>
        <w:t>机监控器可以将运行在不同物理机器上</w:t>
      </w:r>
      <w:r>
        <w:rPr>
          <w:sz w:val="19"/>
          <w:szCs w:val="19"/>
        </w:rPr>
        <w:t xml:space="preserve"> </w:t>
      </w:r>
      <w:r>
        <w:rPr>
          <w:spacing w:val="14"/>
          <w:sz w:val="19"/>
          <w:szCs w:val="19"/>
        </w:rPr>
        <w:t>的操作系统和应用程序合并到同一台物</w:t>
      </w:r>
      <w:r>
        <w:rPr>
          <w:sz w:val="19"/>
          <w:szCs w:val="19"/>
        </w:rPr>
        <w:t xml:space="preserve"> </w:t>
      </w:r>
      <w:r>
        <w:rPr>
          <w:spacing w:val="14"/>
          <w:sz w:val="19"/>
          <w:szCs w:val="19"/>
        </w:rPr>
        <w:t>理机器上运行，减少了管理成本和能源</w:t>
      </w:r>
    </w:p>
    <w:p w14:paraId="24CB4D52">
      <w:pPr>
        <w:spacing w:line="14" w:lineRule="auto"/>
        <w:rPr>
          <w:rFonts w:ascii="Arial"/>
          <w:sz w:val="2"/>
        </w:rPr>
      </w:pPr>
      <w:r>
        <w:rPr>
          <w:rFonts w:ascii="Arial" w:hAnsi="Arial" w:eastAsia="Arial" w:cs="Arial"/>
          <w:sz w:val="2"/>
          <w:szCs w:val="2"/>
        </w:rPr>
        <w:br w:type="column"/>
      </w:r>
    </w:p>
    <w:p w14:paraId="4DC30630">
      <w:pPr>
        <w:pStyle w:val="2"/>
        <w:spacing w:before="62" w:line="2380" w:lineRule="exact"/>
      </w:pPr>
      <w:r>
        <w:rPr>
          <w:position w:val="-47"/>
        </w:rPr>
        <w:pict>
          <v:group id="_x0000_s1309" o:spid="_x0000_s1309" o:spt="203" style="height:119pt;width:233.55pt;" coordsize="4671,2380">
            <o:lock v:ext="edit"/>
            <v:shape id="_x0000_s1310" o:spid="_x0000_s1310" o:spt="75" type="#_x0000_t75" style="position:absolute;left:0;top:0;height:2380;width:4671;" filled="f" stroked="f" coordsize="21600,21600">
              <v:path/>
              <v:fill on="f" focussize="0,0"/>
              <v:stroke on="f"/>
              <v:imagedata r:id="rId114" o:title=""/>
              <o:lock v:ext="edit" aspectratio="t"/>
            </v:shape>
            <v:shape id="_x0000_s1311" o:spid="_x0000_s1311" o:spt="202" type="#_x0000_t202" style="position:absolute;left:940;top:238;height:1931;width:2721;" filled="f" stroked="f" coordsize="21600,21600">
              <v:path/>
              <v:fill on="f" focussize="0,0"/>
              <v:stroke on="f"/>
              <v:imagedata o:title=""/>
              <o:lock v:ext="edit" aspectratio="f"/>
              <v:textbox inset="0mm,0mm,0mm,0mm">
                <w:txbxContent>
                  <w:p w14:paraId="422ADD5C">
                    <w:pPr>
                      <w:spacing w:before="19" w:line="473" w:lineRule="auto"/>
                      <w:ind w:left="680" w:right="1350"/>
                      <w:rPr>
                        <w:rFonts w:ascii="Times New Roman" w:hAnsi="Times New Roman" w:eastAsia="Times New Roman" w:cs="Times New Roman"/>
                        <w:sz w:val="19"/>
                        <w:szCs w:val="19"/>
                      </w:rPr>
                    </w:pPr>
                    <w:r>
                      <w:rPr>
                        <w:rFonts w:ascii="宋体" w:hAnsi="宋体" w:eastAsia="宋体" w:cs="宋体"/>
                        <w:spacing w:val="-14"/>
                        <w:w w:val="98"/>
                        <w:sz w:val="19"/>
                        <w:szCs w:val="19"/>
                      </w:rPr>
                      <w:t>应用程序</w:t>
                    </w:r>
                    <w:r>
                      <w:rPr>
                        <w:rFonts w:ascii="宋体" w:hAnsi="宋体" w:eastAsia="宋体" w:cs="宋体"/>
                        <w:sz w:val="19"/>
                        <w:szCs w:val="19"/>
                      </w:rPr>
                      <w:t xml:space="preserve"> </w:t>
                    </w:r>
                    <w:r>
                      <w:rPr>
                        <w:rFonts w:ascii="Times New Roman" w:hAnsi="Times New Roman" w:eastAsia="Times New Roman" w:cs="Times New Roman"/>
                        <w:spacing w:val="-7"/>
                        <w:sz w:val="19"/>
                        <w:szCs w:val="19"/>
                      </w:rPr>
                      <w:t>Guest</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pacing w:val="-7"/>
                        <w:sz w:val="19"/>
                        <w:szCs w:val="19"/>
                      </w:rPr>
                      <w:t>OS</w:t>
                    </w:r>
                  </w:p>
                  <w:p w14:paraId="26FC7522">
                    <w:pPr>
                      <w:spacing w:before="131" w:line="212" w:lineRule="auto"/>
                      <w:ind w:left="510"/>
                      <w:rPr>
                        <w:rFonts w:ascii="Times New Roman" w:hAnsi="Times New Roman" w:eastAsia="Times New Roman" w:cs="Times New Roman"/>
                        <w:sz w:val="19"/>
                        <w:szCs w:val="19"/>
                      </w:rPr>
                    </w:pPr>
                    <w:r>
                      <w:rPr>
                        <w:rFonts w:ascii="宋体" w:hAnsi="宋体" w:eastAsia="宋体" w:cs="宋体"/>
                        <w:spacing w:val="-10"/>
                        <w:w w:val="98"/>
                        <w:sz w:val="19"/>
                        <w:szCs w:val="19"/>
                      </w:rPr>
                      <w:t>虚拟机监控器</w:t>
                    </w:r>
                    <w:r>
                      <w:rPr>
                        <w:rFonts w:ascii="宋体" w:hAnsi="宋体" w:eastAsia="宋体" w:cs="宋体"/>
                        <w:spacing w:val="-40"/>
                        <w:sz w:val="19"/>
                        <w:szCs w:val="19"/>
                      </w:rPr>
                      <w:t xml:space="preserve"> </w:t>
                    </w:r>
                    <w:r>
                      <w:rPr>
                        <w:rFonts w:ascii="Times New Roman" w:hAnsi="Times New Roman" w:eastAsia="Times New Roman" w:cs="Times New Roman"/>
                        <w:spacing w:val="-10"/>
                        <w:w w:val="98"/>
                        <w:sz w:val="19"/>
                        <w:szCs w:val="19"/>
                      </w:rPr>
                      <w:t>(VMM)</w:t>
                    </w:r>
                  </w:p>
                  <w:p w14:paraId="341AE71D">
                    <w:pPr>
                      <w:spacing w:line="357" w:lineRule="auto"/>
                      <w:rPr>
                        <w:rFonts w:ascii="Arial"/>
                        <w:sz w:val="21"/>
                      </w:rPr>
                    </w:pPr>
                  </w:p>
                  <w:p w14:paraId="1F5D7116">
                    <w:pPr>
                      <w:spacing w:before="62" w:line="212" w:lineRule="auto"/>
                      <w:ind w:left="20"/>
                      <w:rPr>
                        <w:rFonts w:ascii="宋体" w:hAnsi="宋体" w:eastAsia="宋体" w:cs="宋体"/>
                        <w:sz w:val="19"/>
                        <w:szCs w:val="19"/>
                      </w:rPr>
                    </w:pPr>
                    <w:r>
                      <w:rPr>
                        <w:rFonts w:ascii="宋体" w:hAnsi="宋体" w:eastAsia="宋体" w:cs="宋体"/>
                        <w:spacing w:val="-10"/>
                        <w:sz w:val="19"/>
                        <w:szCs w:val="19"/>
                      </w:rPr>
                      <w:t>计算机硬件</w:t>
                    </w:r>
                    <w:r>
                      <w:rPr>
                        <w:rFonts w:ascii="宋体" w:hAnsi="宋体" w:eastAsia="宋体" w:cs="宋体"/>
                        <w:spacing w:val="-49"/>
                        <w:sz w:val="19"/>
                        <w:szCs w:val="19"/>
                      </w:rPr>
                      <w:t xml:space="preserve"> </w:t>
                    </w:r>
                    <w:r>
                      <w:rPr>
                        <w:rFonts w:ascii="Times New Roman" w:hAnsi="Times New Roman" w:eastAsia="Times New Roman" w:cs="Times New Roman"/>
                        <w:spacing w:val="-10"/>
                        <w:sz w:val="19"/>
                        <w:szCs w:val="19"/>
                      </w:rPr>
                      <w:t>(CPU</w:t>
                    </w:r>
                    <w:r>
                      <w:rPr>
                        <w:rFonts w:ascii="宋体" w:hAnsi="宋体" w:eastAsia="宋体" w:cs="宋体"/>
                        <w:spacing w:val="-10"/>
                        <w:sz w:val="19"/>
                        <w:szCs w:val="19"/>
                      </w:rPr>
                      <w:t>、内存、硬盘等)</w:t>
                    </w:r>
                  </w:p>
                </w:txbxContent>
              </v:textbox>
            </v:shape>
            <v:shape id="_x0000_s1312" o:spid="_x0000_s1312" o:spt="202" type="#_x0000_t202" style="position:absolute;left:3700;top:228;height:701;width:730;" filled="f" stroked="f" coordsize="21600,21600">
              <v:path/>
              <v:fill on="f" focussize="0,0"/>
              <v:stroke on="f"/>
              <v:imagedata o:title=""/>
              <o:lock v:ext="edit" aspectratio="f"/>
              <v:textbox inset="0mm,0mm,0mm,0mm">
                <w:txbxContent>
                  <w:p w14:paraId="40323355">
                    <w:pPr>
                      <w:spacing w:before="20" w:line="371" w:lineRule="auto"/>
                      <w:ind w:left="20" w:right="20"/>
                      <w:rPr>
                        <w:rFonts w:ascii="Times New Roman" w:hAnsi="Times New Roman" w:eastAsia="Times New Roman" w:cs="Times New Roman"/>
                        <w:sz w:val="19"/>
                        <w:szCs w:val="19"/>
                      </w:rPr>
                    </w:pPr>
                    <w:r>
                      <w:rPr>
                        <w:rFonts w:ascii="宋体" w:hAnsi="宋体" w:eastAsia="宋体" w:cs="宋体"/>
                        <w:spacing w:val="-14"/>
                        <w:w w:val="98"/>
                        <w:sz w:val="19"/>
                        <w:szCs w:val="19"/>
                      </w:rPr>
                      <w:t>应用程序</w:t>
                    </w:r>
                    <w:r>
                      <w:rPr>
                        <w:rFonts w:ascii="宋体" w:hAnsi="宋体" w:eastAsia="宋体" w:cs="宋体"/>
                        <w:sz w:val="19"/>
                        <w:szCs w:val="19"/>
                      </w:rPr>
                      <w:t xml:space="preserve"> </w:t>
                    </w:r>
                    <w:r>
                      <w:rPr>
                        <w:rFonts w:ascii="Times New Roman" w:hAnsi="Times New Roman" w:eastAsia="Times New Roman" w:cs="Times New Roman"/>
                        <w:spacing w:val="-7"/>
                        <w:sz w:val="19"/>
                        <w:szCs w:val="19"/>
                      </w:rPr>
                      <w:t>Guest</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pacing w:val="-7"/>
                        <w:sz w:val="19"/>
                        <w:szCs w:val="19"/>
                      </w:rPr>
                      <w:t>OS</w:t>
                    </w:r>
                  </w:p>
                </w:txbxContent>
              </v:textbox>
            </v:shape>
            <v:shape id="_x0000_s1313" o:spid="_x0000_s1313" o:spt="202" type="#_x0000_t202" style="position:absolute;left:270;top:238;height:701;width:720;" filled="f" stroked="f" coordsize="21600,21600">
              <v:path/>
              <v:fill on="f" focussize="0,0"/>
              <v:stroke on="f"/>
              <v:imagedata o:title=""/>
              <o:lock v:ext="edit" aspectratio="f"/>
              <v:textbox inset="0mm,0mm,0mm,0mm">
                <w:txbxContent>
                  <w:p w14:paraId="09F9DA06">
                    <w:pPr>
                      <w:spacing w:before="20" w:line="371" w:lineRule="auto"/>
                      <w:ind w:left="29" w:right="20" w:hanging="9"/>
                      <w:rPr>
                        <w:rFonts w:ascii="Times New Roman" w:hAnsi="Times New Roman" w:eastAsia="Times New Roman" w:cs="Times New Roman"/>
                        <w:sz w:val="19"/>
                        <w:szCs w:val="19"/>
                      </w:rPr>
                    </w:pPr>
                    <w:r>
                      <w:rPr>
                        <w:rFonts w:ascii="宋体" w:hAnsi="宋体" w:eastAsia="宋体" w:cs="宋体"/>
                        <w:spacing w:val="-14"/>
                        <w:w w:val="96"/>
                        <w:sz w:val="19"/>
                        <w:szCs w:val="19"/>
                      </w:rPr>
                      <w:t>应用程序</w:t>
                    </w:r>
                    <w:r>
                      <w:rPr>
                        <w:rFonts w:ascii="宋体" w:hAnsi="宋体" w:eastAsia="宋体" w:cs="宋体"/>
                        <w:spacing w:val="5"/>
                        <w:sz w:val="19"/>
                        <w:szCs w:val="19"/>
                      </w:rPr>
                      <w:t xml:space="preserve"> </w:t>
                    </w:r>
                    <w:r>
                      <w:rPr>
                        <w:rFonts w:ascii="Times New Roman" w:hAnsi="Times New Roman" w:eastAsia="Times New Roman" w:cs="Times New Roman"/>
                        <w:spacing w:val="-10"/>
                        <w:sz w:val="19"/>
                        <w:szCs w:val="19"/>
                      </w:rPr>
                      <w:t>Guest</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pacing w:val="-10"/>
                        <w:sz w:val="19"/>
                        <w:szCs w:val="19"/>
                      </w:rPr>
                      <w:t>OS</w:t>
                    </w:r>
                  </w:p>
                </w:txbxContent>
              </v:textbox>
            </v:shape>
            <v:shape id="_x0000_s1314" o:spid="_x0000_s1314" o:spt="75" type="#_x0000_t75" style="position:absolute;left:2840;top:569;height:50;width:360;" filled="f" stroked="f" coordsize="21600,21600">
              <v:path/>
              <v:fill on="f" focussize="0,0"/>
              <v:stroke on="f"/>
              <v:imagedata r:id="rId115" o:title=""/>
              <o:lock v:ext="edit" aspectratio="t"/>
            </v:shape>
            <w10:wrap type="none"/>
            <w10:anchorlock/>
          </v:group>
        </w:pict>
      </w:r>
    </w:p>
    <w:p w14:paraId="0AF88F87">
      <w:pPr>
        <w:pStyle w:val="2"/>
        <w:spacing w:before="87" w:line="184" w:lineRule="auto"/>
        <w:ind w:left="1320"/>
        <w:rPr>
          <w:sz w:val="19"/>
          <w:szCs w:val="19"/>
        </w:rPr>
      </w:pPr>
      <w:r>
        <w:rPr>
          <w:spacing w:val="-8"/>
          <w:sz w:val="19"/>
          <w:szCs w:val="19"/>
        </w:rPr>
        <w:t>图4-9</w:t>
      </w:r>
      <w:r>
        <w:rPr>
          <w:spacing w:val="95"/>
          <w:sz w:val="19"/>
          <w:szCs w:val="19"/>
        </w:rPr>
        <w:t xml:space="preserve"> </w:t>
      </w:r>
      <w:r>
        <w:rPr>
          <w:spacing w:val="-8"/>
          <w:sz w:val="19"/>
          <w:szCs w:val="19"/>
        </w:rPr>
        <w:t>虚拟机监控器模型</w:t>
      </w:r>
    </w:p>
    <w:p w14:paraId="0EF9D6F9">
      <w:pPr>
        <w:spacing w:line="184" w:lineRule="auto"/>
        <w:rPr>
          <w:sz w:val="19"/>
          <w:szCs w:val="19"/>
        </w:rPr>
        <w:sectPr>
          <w:type w:val="continuous"/>
          <w:pgSz w:w="10290" w:h="13310"/>
          <w:pgMar w:top="400" w:right="567" w:bottom="400" w:left="1090" w:header="0" w:footer="0" w:gutter="0"/>
          <w:cols w:equalWidth="0" w:num="2">
            <w:col w:w="3620" w:space="100"/>
            <w:col w:w="4913"/>
          </w:cols>
        </w:sectPr>
      </w:pPr>
    </w:p>
    <w:p w14:paraId="23CA9C26">
      <w:pPr>
        <w:pStyle w:val="2"/>
        <w:spacing w:before="20"/>
        <w:rPr>
          <w:sz w:val="17"/>
          <w:szCs w:val="17"/>
        </w:rPr>
      </w:pPr>
      <w:r>
        <w:rPr>
          <w:rFonts w:ascii="Times New Roman" w:hAnsi="Times New Roman" w:eastAsia="Times New Roman" w:cs="Times New Roman"/>
          <w:position w:val="-7"/>
          <w:sz w:val="17"/>
          <w:szCs w:val="17"/>
        </w:rPr>
        <w:drawing>
          <wp:inline distT="0" distB="0" distL="0" distR="0">
            <wp:extent cx="260350" cy="19621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16"/>
                    <a:stretch>
                      <a:fillRect/>
                    </a:stretch>
                  </pic:blipFill>
                  <pic:spPr>
                    <a:xfrm>
                      <a:off x="0" y="0"/>
                      <a:ext cx="260377" cy="196836"/>
                    </a:xfrm>
                    <a:prstGeom prst="rect">
                      <a:avLst/>
                    </a:prstGeom>
                  </pic:spPr>
                </pic:pic>
              </a:graphicData>
            </a:graphic>
          </wp:inline>
        </w:drawing>
      </w:r>
      <w:r>
        <w:rPr>
          <w:rFonts w:ascii="Times New Roman" w:hAnsi="Times New Roman" w:eastAsia="Times New Roman" w:cs="Times New Roman"/>
          <w:spacing w:val="18"/>
          <w:sz w:val="17"/>
          <w:szCs w:val="17"/>
        </w:rPr>
        <w:t xml:space="preserve"> </w:t>
      </w:r>
      <w:r>
        <w:rPr>
          <w:rFonts w:ascii="Times New Roman" w:hAnsi="Times New Roman" w:eastAsia="Times New Roman" w:cs="Times New Roman"/>
          <w:spacing w:val="13"/>
          <w:sz w:val="17"/>
          <w:szCs w:val="17"/>
        </w:rPr>
        <w:t xml:space="preserve">150               </w:t>
      </w:r>
      <w:r>
        <w:rPr>
          <w:spacing w:val="13"/>
          <w:sz w:val="17"/>
          <w:szCs w:val="17"/>
        </w:rPr>
        <w:t>信息系统监理</w:t>
      </w:r>
      <w:r>
        <w:rPr>
          <w:spacing w:val="12"/>
          <w:sz w:val="17"/>
          <w:szCs w:val="17"/>
        </w:rPr>
        <w:t>师教程(第2版)</w:t>
      </w:r>
    </w:p>
    <w:p w14:paraId="6AE6C48A">
      <w:pPr>
        <w:spacing w:line="339" w:lineRule="auto"/>
        <w:rPr>
          <w:rFonts w:ascii="Arial"/>
          <w:sz w:val="21"/>
        </w:rPr>
      </w:pPr>
    </w:p>
    <w:p w14:paraId="440C4FCA">
      <w:pPr>
        <w:pStyle w:val="2"/>
        <w:spacing w:before="55" w:line="219" w:lineRule="auto"/>
        <w:ind w:left="850"/>
        <w:rPr>
          <w:sz w:val="17"/>
          <w:szCs w:val="17"/>
        </w:rPr>
      </w:pPr>
      <w:r>
        <w:rPr>
          <w:spacing w:val="25"/>
          <w:sz w:val="17"/>
          <w:szCs w:val="17"/>
        </w:rPr>
        <w:t>损耗，并且便于系统的迁移。</w:t>
      </w:r>
    </w:p>
    <w:p w14:paraId="45DB932E">
      <w:pPr>
        <w:pStyle w:val="2"/>
        <w:spacing w:before="107" w:line="219" w:lineRule="auto"/>
        <w:ind w:left="1250"/>
        <w:rPr>
          <w:sz w:val="17"/>
          <w:szCs w:val="17"/>
        </w:rPr>
      </w:pPr>
      <w:r>
        <w:rPr>
          <w:spacing w:val="28"/>
          <w:sz w:val="17"/>
          <w:szCs w:val="17"/>
        </w:rPr>
        <w:t>(2)常用虚拟化技术包括：</w:t>
      </w:r>
    </w:p>
    <w:p w14:paraId="7D02328E">
      <w:pPr>
        <w:pStyle w:val="2"/>
        <w:spacing w:before="117" w:line="289" w:lineRule="auto"/>
        <w:ind w:left="1540" w:right="50" w:hanging="290"/>
        <w:rPr>
          <w:sz w:val="17"/>
          <w:szCs w:val="17"/>
        </w:rPr>
      </w:pPr>
      <w:r>
        <w:rPr>
          <w:spacing w:val="30"/>
          <w:sz w:val="17"/>
          <w:szCs w:val="17"/>
        </w:rPr>
        <w:t>●</w:t>
      </w:r>
      <w:r>
        <w:rPr>
          <w:spacing w:val="-30"/>
          <w:sz w:val="17"/>
          <w:szCs w:val="17"/>
        </w:rPr>
        <w:t xml:space="preserve"> </w:t>
      </w:r>
      <w:r>
        <w:rPr>
          <w:spacing w:val="30"/>
          <w:sz w:val="17"/>
          <w:szCs w:val="17"/>
        </w:rPr>
        <w:t>硬件仿真技术。该技术在宿主机操作系统上创建</w:t>
      </w:r>
      <w:r>
        <w:rPr>
          <w:spacing w:val="-39"/>
          <w:sz w:val="17"/>
          <w:szCs w:val="17"/>
        </w:rPr>
        <w:t xml:space="preserve"> </w:t>
      </w:r>
      <w:r>
        <w:rPr>
          <w:spacing w:val="30"/>
          <w:sz w:val="17"/>
          <w:szCs w:val="17"/>
        </w:rPr>
        <w:t>一</w:t>
      </w:r>
      <w:r>
        <w:rPr>
          <w:spacing w:val="-43"/>
          <w:sz w:val="17"/>
          <w:szCs w:val="17"/>
        </w:rPr>
        <w:t xml:space="preserve"> </w:t>
      </w:r>
      <w:r>
        <w:rPr>
          <w:spacing w:val="30"/>
          <w:sz w:val="17"/>
          <w:szCs w:val="17"/>
        </w:rPr>
        <w:t>个硬件虚拟机来仿真所想要的硬件，</w:t>
      </w:r>
      <w:r>
        <w:rPr>
          <w:sz w:val="17"/>
          <w:szCs w:val="17"/>
        </w:rPr>
        <w:t xml:space="preserve"> </w:t>
      </w:r>
      <w:r>
        <w:rPr>
          <w:spacing w:val="28"/>
          <w:sz w:val="17"/>
          <w:szCs w:val="17"/>
        </w:rPr>
        <w:t>包括客户机需要的</w:t>
      </w:r>
      <w:r>
        <w:rPr>
          <w:rFonts w:ascii="Times New Roman" w:hAnsi="Times New Roman" w:eastAsia="Times New Roman" w:cs="Times New Roman"/>
          <w:sz w:val="17"/>
          <w:szCs w:val="17"/>
        </w:rPr>
        <w:t>CPU</w:t>
      </w:r>
      <w:r>
        <w:rPr>
          <w:rFonts w:ascii="Times New Roman" w:hAnsi="Times New Roman" w:eastAsia="Times New Roman" w:cs="Times New Roman"/>
          <w:spacing w:val="22"/>
          <w:sz w:val="17"/>
          <w:szCs w:val="17"/>
        </w:rPr>
        <w:t xml:space="preserve">  </w:t>
      </w:r>
      <w:r>
        <w:rPr>
          <w:spacing w:val="28"/>
          <w:sz w:val="17"/>
          <w:szCs w:val="17"/>
        </w:rPr>
        <w:t>指令集和各种外设等。</w:t>
      </w:r>
    </w:p>
    <w:p w14:paraId="2B10C8F8">
      <w:pPr>
        <w:pStyle w:val="2"/>
        <w:spacing w:before="128" w:line="312" w:lineRule="auto"/>
        <w:ind w:left="1540" w:right="76" w:hanging="290"/>
        <w:rPr>
          <w:sz w:val="17"/>
          <w:szCs w:val="17"/>
        </w:rPr>
      </w:pPr>
      <w:r>
        <w:rPr>
          <w:spacing w:val="30"/>
          <w:sz w:val="17"/>
          <w:szCs w:val="17"/>
        </w:rPr>
        <w:t>●</w:t>
      </w:r>
      <w:r>
        <w:rPr>
          <w:spacing w:val="-44"/>
          <w:sz w:val="17"/>
          <w:szCs w:val="17"/>
        </w:rPr>
        <w:t xml:space="preserve"> </w:t>
      </w:r>
      <w:r>
        <w:rPr>
          <w:spacing w:val="30"/>
          <w:sz w:val="17"/>
          <w:szCs w:val="17"/>
        </w:rPr>
        <w:t>全虚拟化技术。该技术以软件模拟的方式呈现给虚拟机</w:t>
      </w:r>
      <w:r>
        <w:rPr>
          <w:spacing w:val="-41"/>
          <w:sz w:val="17"/>
          <w:szCs w:val="17"/>
        </w:rPr>
        <w:t xml:space="preserve"> </w:t>
      </w:r>
      <w:r>
        <w:rPr>
          <w:spacing w:val="30"/>
          <w:sz w:val="17"/>
          <w:szCs w:val="17"/>
        </w:rPr>
        <w:t>一</w:t>
      </w:r>
      <w:r>
        <w:rPr>
          <w:spacing w:val="-44"/>
          <w:sz w:val="17"/>
          <w:szCs w:val="17"/>
        </w:rPr>
        <w:t xml:space="preserve"> </w:t>
      </w:r>
      <w:r>
        <w:rPr>
          <w:spacing w:val="30"/>
          <w:sz w:val="17"/>
          <w:szCs w:val="17"/>
        </w:rPr>
        <w:t>个与真</w:t>
      </w:r>
      <w:r>
        <w:rPr>
          <w:spacing w:val="29"/>
          <w:sz w:val="17"/>
          <w:szCs w:val="17"/>
        </w:rPr>
        <w:t>实硬件完全相同的硬件</w:t>
      </w:r>
      <w:r>
        <w:rPr>
          <w:sz w:val="17"/>
          <w:szCs w:val="17"/>
        </w:rPr>
        <w:t xml:space="preserve"> </w:t>
      </w:r>
      <w:r>
        <w:rPr>
          <w:spacing w:val="31"/>
          <w:sz w:val="17"/>
          <w:szCs w:val="17"/>
        </w:rPr>
        <w:t>环境，使得原始硬件设计的操作系统或其他系统软件完全不做</w:t>
      </w:r>
      <w:r>
        <w:rPr>
          <w:spacing w:val="30"/>
          <w:sz w:val="17"/>
          <w:szCs w:val="17"/>
        </w:rPr>
        <w:t>任何修改就可以直接运行</w:t>
      </w:r>
      <w:r>
        <w:rPr>
          <w:sz w:val="17"/>
          <w:szCs w:val="17"/>
        </w:rPr>
        <w:t xml:space="preserve"> </w:t>
      </w:r>
      <w:r>
        <w:rPr>
          <w:spacing w:val="27"/>
          <w:sz w:val="17"/>
          <w:szCs w:val="17"/>
        </w:rPr>
        <w:t>在全虚拟化的虚拟机监控器上，兼容性好。</w:t>
      </w:r>
    </w:p>
    <w:p w14:paraId="3665680A">
      <w:pPr>
        <w:pStyle w:val="2"/>
        <w:spacing w:before="129" w:line="282" w:lineRule="auto"/>
        <w:ind w:left="1540" w:right="77" w:hanging="290"/>
        <w:rPr>
          <w:sz w:val="17"/>
          <w:szCs w:val="17"/>
        </w:rPr>
      </w:pPr>
      <w:r>
        <w:rPr>
          <w:spacing w:val="32"/>
          <w:sz w:val="17"/>
          <w:szCs w:val="17"/>
        </w:rPr>
        <w:t>●</w:t>
      </w:r>
      <w:r>
        <w:rPr>
          <w:spacing w:val="-41"/>
          <w:sz w:val="17"/>
          <w:szCs w:val="17"/>
        </w:rPr>
        <w:t xml:space="preserve"> </w:t>
      </w:r>
      <w:r>
        <w:rPr>
          <w:spacing w:val="32"/>
          <w:sz w:val="17"/>
          <w:szCs w:val="17"/>
        </w:rPr>
        <w:t>半虚拟化技术。又称为泛虚拟化技术、准虚拟化技术、协同虚拟化技术或</w:t>
      </w:r>
      <w:r>
        <w:rPr>
          <w:spacing w:val="31"/>
          <w:sz w:val="17"/>
          <w:szCs w:val="17"/>
        </w:rPr>
        <w:t>者超虚拟化技</w:t>
      </w:r>
      <w:r>
        <w:rPr>
          <w:sz w:val="17"/>
          <w:szCs w:val="17"/>
        </w:rPr>
        <w:t xml:space="preserve"> </w:t>
      </w:r>
      <w:r>
        <w:rPr>
          <w:spacing w:val="-4"/>
          <w:sz w:val="21"/>
          <w:szCs w:val="21"/>
        </w:rPr>
        <w:t>术，是指通过暴露给</w:t>
      </w:r>
      <w:r>
        <w:rPr>
          <w:rFonts w:ascii="Times New Roman" w:hAnsi="Times New Roman" w:eastAsia="Times New Roman" w:cs="Times New Roman"/>
          <w:spacing w:val="-4"/>
          <w:sz w:val="21"/>
          <w:szCs w:val="21"/>
        </w:rPr>
        <w:t xml:space="preserve">Guest OS </w:t>
      </w:r>
      <w:r>
        <w:rPr>
          <w:spacing w:val="-4"/>
          <w:sz w:val="21"/>
          <w:szCs w:val="21"/>
        </w:rPr>
        <w:t>一个修改过的硬件抽象，将硬件接口以软件的形式提供</w:t>
      </w:r>
      <w:r>
        <w:rPr>
          <w:sz w:val="21"/>
          <w:szCs w:val="21"/>
        </w:rPr>
        <w:t xml:space="preserve"> </w:t>
      </w:r>
      <w:r>
        <w:rPr>
          <w:spacing w:val="25"/>
          <w:sz w:val="17"/>
          <w:szCs w:val="17"/>
        </w:rPr>
        <w:t>给客户机操作系统。</w:t>
      </w:r>
    </w:p>
    <w:p w14:paraId="201C8410">
      <w:pPr>
        <w:pStyle w:val="2"/>
        <w:spacing w:before="101" w:line="272" w:lineRule="auto"/>
        <w:ind w:left="1540" w:right="76" w:hanging="290"/>
        <w:rPr>
          <w:sz w:val="17"/>
          <w:szCs w:val="17"/>
        </w:rPr>
      </w:pPr>
      <w:r>
        <w:rPr>
          <w:spacing w:val="1"/>
          <w:sz w:val="21"/>
          <w:szCs w:val="21"/>
        </w:rPr>
        <w:t>●硬件辅助虚拟化技术。它是指借助硬件(</w:t>
      </w:r>
      <w:r>
        <w:rPr>
          <w:sz w:val="21"/>
          <w:szCs w:val="21"/>
        </w:rPr>
        <w:t>CPU</w:t>
      </w:r>
      <w:r>
        <w:rPr>
          <w:spacing w:val="1"/>
          <w:sz w:val="21"/>
          <w:szCs w:val="21"/>
        </w:rPr>
        <w:t>、</w:t>
      </w:r>
      <w:r>
        <w:rPr>
          <w:spacing w:val="33"/>
          <w:sz w:val="21"/>
          <w:szCs w:val="21"/>
        </w:rPr>
        <w:t xml:space="preserve"> </w:t>
      </w:r>
      <w:r>
        <w:rPr>
          <w:spacing w:val="1"/>
          <w:sz w:val="21"/>
          <w:szCs w:val="21"/>
        </w:rPr>
        <w:t>芯片组及</w:t>
      </w:r>
      <w:r>
        <w:rPr>
          <w:sz w:val="21"/>
          <w:szCs w:val="21"/>
        </w:rPr>
        <w:t>IO</w:t>
      </w:r>
      <w:r>
        <w:rPr>
          <w:spacing w:val="-25"/>
          <w:sz w:val="21"/>
          <w:szCs w:val="21"/>
        </w:rPr>
        <w:t xml:space="preserve"> </w:t>
      </w:r>
      <w:r>
        <w:rPr>
          <w:spacing w:val="1"/>
          <w:sz w:val="21"/>
          <w:szCs w:val="21"/>
        </w:rPr>
        <w:t>设备等)的虚拟化支持来</w:t>
      </w:r>
      <w:r>
        <w:rPr>
          <w:sz w:val="21"/>
          <w:szCs w:val="21"/>
        </w:rPr>
        <w:t xml:space="preserve"> </w:t>
      </w:r>
      <w:r>
        <w:rPr>
          <w:spacing w:val="28"/>
          <w:sz w:val="17"/>
          <w:szCs w:val="17"/>
        </w:rPr>
        <w:t>实现高效的全虚拟化。这主要体现在以软件方式实现内存虚拟化和</w:t>
      </w:r>
      <w:r>
        <w:rPr>
          <w:rFonts w:ascii="Times New Roman" w:hAnsi="Times New Roman" w:eastAsia="Times New Roman" w:cs="Times New Roman"/>
          <w:sz w:val="17"/>
          <w:szCs w:val="17"/>
        </w:rPr>
        <w:t>IO</w:t>
      </w:r>
      <w:r>
        <w:rPr>
          <w:rFonts w:ascii="Times New Roman" w:hAnsi="Times New Roman" w:eastAsia="Times New Roman" w:cs="Times New Roman"/>
          <w:spacing w:val="28"/>
          <w:sz w:val="17"/>
          <w:szCs w:val="17"/>
        </w:rPr>
        <w:t xml:space="preserve"> </w:t>
      </w:r>
      <w:r>
        <w:rPr>
          <w:rFonts w:ascii="Times New Roman" w:hAnsi="Times New Roman" w:eastAsia="Times New Roman" w:cs="Times New Roman"/>
          <w:spacing w:val="27"/>
          <w:sz w:val="17"/>
          <w:szCs w:val="17"/>
        </w:rPr>
        <w:t xml:space="preserve"> </w:t>
      </w:r>
      <w:r>
        <w:rPr>
          <w:spacing w:val="27"/>
          <w:sz w:val="17"/>
          <w:szCs w:val="17"/>
        </w:rPr>
        <w:t>设备虚拟化。</w:t>
      </w:r>
    </w:p>
    <w:p w14:paraId="0838519D">
      <w:pPr>
        <w:spacing w:before="174" w:line="230" w:lineRule="auto"/>
        <w:ind w:left="1250"/>
        <w:rPr>
          <w:rFonts w:ascii="楷体" w:hAnsi="楷体" w:eastAsia="楷体" w:cs="楷体"/>
          <w:sz w:val="21"/>
          <w:szCs w:val="21"/>
        </w:rPr>
      </w:pPr>
      <w:r>
        <w:rPr>
          <w:rFonts w:ascii="楷体" w:hAnsi="楷体" w:eastAsia="楷体" w:cs="楷体"/>
          <w:spacing w:val="7"/>
          <w:sz w:val="21"/>
          <w:szCs w:val="21"/>
        </w:rPr>
        <w:t>5)安全技术</w:t>
      </w:r>
    </w:p>
    <w:p w14:paraId="050BAAB8">
      <w:pPr>
        <w:pStyle w:val="2"/>
        <w:spacing w:before="80" w:line="332" w:lineRule="auto"/>
        <w:ind w:left="850" w:firstLine="399"/>
        <w:jc w:val="both"/>
        <w:rPr>
          <w:sz w:val="17"/>
          <w:szCs w:val="17"/>
        </w:rPr>
      </w:pPr>
      <w:r>
        <w:rPr>
          <w:spacing w:val="29"/>
          <w:sz w:val="17"/>
          <w:szCs w:val="17"/>
        </w:rPr>
        <w:t>云计算数据中心安全体系包括安全管理和安全技术，并</w:t>
      </w:r>
      <w:r>
        <w:rPr>
          <w:spacing w:val="28"/>
          <w:sz w:val="17"/>
          <w:szCs w:val="17"/>
        </w:rPr>
        <w:t>贯穿于定级、备案、自评估、整改、</w:t>
      </w:r>
      <w:r>
        <w:rPr>
          <w:sz w:val="17"/>
          <w:szCs w:val="17"/>
        </w:rPr>
        <w:t xml:space="preserve"> </w:t>
      </w:r>
      <w:r>
        <w:rPr>
          <w:spacing w:val="32"/>
          <w:sz w:val="17"/>
          <w:szCs w:val="17"/>
        </w:rPr>
        <w:t>测评等安全域中，在安全过程的每</w:t>
      </w:r>
      <w:r>
        <w:rPr>
          <w:spacing w:val="-36"/>
          <w:sz w:val="17"/>
          <w:szCs w:val="17"/>
        </w:rPr>
        <w:t xml:space="preserve"> </w:t>
      </w:r>
      <w:r>
        <w:rPr>
          <w:spacing w:val="32"/>
          <w:sz w:val="17"/>
          <w:szCs w:val="17"/>
        </w:rPr>
        <w:t>一</w:t>
      </w:r>
      <w:r>
        <w:rPr>
          <w:spacing w:val="-43"/>
          <w:sz w:val="17"/>
          <w:szCs w:val="17"/>
        </w:rPr>
        <w:t xml:space="preserve"> </w:t>
      </w:r>
      <w:r>
        <w:rPr>
          <w:spacing w:val="32"/>
          <w:sz w:val="17"/>
          <w:szCs w:val="17"/>
        </w:rPr>
        <w:t>个环节中予以实施。安全管理包括管理制度、管理机构、</w:t>
      </w:r>
      <w:r>
        <w:rPr>
          <w:sz w:val="17"/>
          <w:szCs w:val="17"/>
        </w:rPr>
        <w:t xml:space="preserve"> </w:t>
      </w:r>
      <w:r>
        <w:rPr>
          <w:spacing w:val="33"/>
          <w:sz w:val="17"/>
          <w:szCs w:val="17"/>
        </w:rPr>
        <w:t>人员管理、系统建设、系统运维。安全技术需要有效应用在安全计算环境、安全区</w:t>
      </w:r>
      <w:r>
        <w:rPr>
          <w:spacing w:val="32"/>
          <w:sz w:val="17"/>
          <w:szCs w:val="17"/>
        </w:rPr>
        <w:t>域边界、安</w:t>
      </w:r>
      <w:r>
        <w:rPr>
          <w:sz w:val="17"/>
          <w:szCs w:val="17"/>
        </w:rPr>
        <w:t xml:space="preserve">  </w:t>
      </w:r>
      <w:r>
        <w:rPr>
          <w:spacing w:val="30"/>
          <w:sz w:val="17"/>
          <w:szCs w:val="17"/>
        </w:rPr>
        <w:t>全通信网络、安全管理中心的各个方面。同时，应当充分考虑各部分之间的动态关</w:t>
      </w:r>
      <w:r>
        <w:rPr>
          <w:spacing w:val="29"/>
          <w:sz w:val="17"/>
          <w:szCs w:val="17"/>
        </w:rPr>
        <w:t>系与依赖性。</w:t>
      </w:r>
      <w:r>
        <w:rPr>
          <w:sz w:val="17"/>
          <w:szCs w:val="17"/>
        </w:rPr>
        <w:t xml:space="preserve"> </w:t>
      </w:r>
      <w:r>
        <w:rPr>
          <w:spacing w:val="22"/>
          <w:sz w:val="17"/>
          <w:szCs w:val="17"/>
        </w:rPr>
        <w:t>云数据中心安全体系架构如图4</w:t>
      </w:r>
      <w:r>
        <w:rPr>
          <w:spacing w:val="-32"/>
          <w:sz w:val="17"/>
          <w:szCs w:val="17"/>
        </w:rPr>
        <w:t xml:space="preserve"> </w:t>
      </w:r>
      <w:r>
        <w:rPr>
          <w:spacing w:val="22"/>
          <w:sz w:val="17"/>
          <w:szCs w:val="17"/>
        </w:rPr>
        <w:t>-</w:t>
      </w:r>
      <w:r>
        <w:rPr>
          <w:spacing w:val="-35"/>
          <w:sz w:val="17"/>
          <w:szCs w:val="17"/>
        </w:rPr>
        <w:t xml:space="preserve"> </w:t>
      </w:r>
      <w:r>
        <w:rPr>
          <w:spacing w:val="22"/>
          <w:sz w:val="17"/>
          <w:szCs w:val="17"/>
        </w:rPr>
        <w:t>10所示。</w:t>
      </w:r>
    </w:p>
    <w:p w14:paraId="39F03FDC">
      <w:pPr>
        <w:pStyle w:val="2"/>
        <w:spacing w:before="78" w:line="4450" w:lineRule="exact"/>
        <w:ind w:firstLine="1069"/>
      </w:pPr>
      <w:r>
        <w:rPr>
          <w:position w:val="-89"/>
        </w:rPr>
        <w:pict>
          <v:group id="_x0000_s1315" o:spid="_x0000_s1315" o:spt="203" style="height:222.55pt;width:394.05pt;" coordsize="7880,4451">
            <o:lock v:ext="edit"/>
            <v:shape id="_x0000_s1316" o:spid="_x0000_s1316" o:spt="75" type="#_x0000_t75" style="position:absolute;left:0;top:0;height:4451;width:7880;" filled="f" stroked="f" coordsize="21600,21600">
              <v:path/>
              <v:fill on="f" focussize="0,0"/>
              <v:stroke on="f"/>
              <v:imagedata r:id="rId117" o:title=""/>
              <o:lock v:ext="edit" aspectratio="t"/>
            </v:shape>
            <v:shape id="_x0000_s1317" o:spid="_x0000_s1317" o:spt="202" type="#_x0000_t202" style="position:absolute;left:2000;top:145;height:4152;width:3157;" filled="f" stroked="f" coordsize="21600,21600">
              <v:path/>
              <v:fill on="f" focussize="0,0"/>
              <v:stroke on="f"/>
              <v:imagedata o:title=""/>
              <o:lock v:ext="edit" aspectratio="f"/>
              <v:textbox inset="0mm,0mm,0mm,0mm">
                <w:txbxContent>
                  <w:p w14:paraId="4D951AD6">
                    <w:pPr>
                      <w:spacing w:before="19" w:line="221" w:lineRule="auto"/>
                      <w:ind w:left="2490"/>
                      <w:rPr>
                        <w:rFonts w:ascii="黑体" w:hAnsi="黑体" w:eastAsia="黑体" w:cs="黑体"/>
                        <w:sz w:val="17"/>
                        <w:szCs w:val="17"/>
                      </w:rPr>
                    </w:pPr>
                    <w:r>
                      <w:rPr>
                        <w:rFonts w:ascii="黑体" w:hAnsi="黑体" w:eastAsia="黑体" w:cs="黑体"/>
                        <w:spacing w:val="-9"/>
                        <w:sz w:val="17"/>
                        <w:szCs w:val="17"/>
                      </w:rPr>
                      <w:t>定级</w:t>
                    </w:r>
                  </w:p>
                  <w:p w14:paraId="5007B8D4">
                    <w:pPr>
                      <w:spacing w:before="228" w:line="223" w:lineRule="auto"/>
                      <w:ind w:right="20"/>
                      <w:jc w:val="right"/>
                      <w:rPr>
                        <w:rFonts w:ascii="黑体" w:hAnsi="黑体" w:eastAsia="黑体" w:cs="黑体"/>
                        <w:sz w:val="17"/>
                        <w:szCs w:val="17"/>
                      </w:rPr>
                    </w:pPr>
                    <w:r>
                      <w:rPr>
                        <w:rFonts w:ascii="黑体" w:hAnsi="黑体" w:eastAsia="黑体" w:cs="黑体"/>
                        <w:color w:val="627A8E"/>
                        <w:spacing w:val="13"/>
                        <w:sz w:val="17"/>
                        <w:szCs w:val="17"/>
                      </w:rPr>
                      <w:t>备案</w:t>
                    </w:r>
                  </w:p>
                  <w:p w14:paraId="3ADA1A11">
                    <w:pPr>
                      <w:spacing w:line="297" w:lineRule="auto"/>
                      <w:rPr>
                        <w:rFonts w:ascii="Arial"/>
                        <w:sz w:val="21"/>
                      </w:rPr>
                    </w:pPr>
                  </w:p>
                  <w:p w14:paraId="4DE1D7E9">
                    <w:pPr>
                      <w:spacing w:before="55" w:line="219" w:lineRule="auto"/>
                      <w:ind w:left="1130"/>
                      <w:rPr>
                        <w:rFonts w:ascii="宋体" w:hAnsi="宋体" w:eastAsia="宋体" w:cs="宋体"/>
                        <w:sz w:val="17"/>
                        <w:szCs w:val="17"/>
                      </w:rPr>
                    </w:pPr>
                    <w:r>
                      <w:rPr>
                        <w:rFonts w:ascii="宋体" w:hAnsi="宋体" w:eastAsia="宋体" w:cs="宋体"/>
                        <w:spacing w:val="-2"/>
                        <w:sz w:val="17"/>
                        <w:szCs w:val="17"/>
                      </w:rPr>
                      <w:t>整改</w:t>
                    </w:r>
                  </w:p>
                  <w:p w14:paraId="0674BF71">
                    <w:pPr>
                      <w:spacing w:line="470" w:lineRule="auto"/>
                      <w:rPr>
                        <w:rFonts w:ascii="Arial"/>
                        <w:sz w:val="21"/>
                      </w:rPr>
                    </w:pPr>
                  </w:p>
                  <w:p w14:paraId="4FA5CCCD">
                    <w:pPr>
                      <w:spacing w:before="55" w:line="220" w:lineRule="auto"/>
                      <w:ind w:left="810"/>
                      <w:rPr>
                        <w:rFonts w:ascii="宋体" w:hAnsi="宋体" w:eastAsia="宋体" w:cs="宋体"/>
                        <w:sz w:val="17"/>
                        <w:szCs w:val="17"/>
                      </w:rPr>
                    </w:pPr>
                    <w:r>
                      <w:rPr>
                        <w:rFonts w:ascii="宋体" w:hAnsi="宋体" w:eastAsia="宋体" w:cs="宋体"/>
                        <w:spacing w:val="-12"/>
                        <w:sz w:val="17"/>
                        <w:szCs w:val="17"/>
                      </w:rPr>
                      <w:t>安全审计</w:t>
                    </w:r>
                  </w:p>
                  <w:p w14:paraId="1F1CDBE8">
                    <w:pPr>
                      <w:spacing w:line="290" w:lineRule="auto"/>
                      <w:rPr>
                        <w:rFonts w:ascii="Arial"/>
                        <w:sz w:val="21"/>
                      </w:rPr>
                    </w:pPr>
                  </w:p>
                  <w:p w14:paraId="2DB311C5">
                    <w:pPr>
                      <w:spacing w:before="56" w:line="158" w:lineRule="auto"/>
                      <w:ind w:left="810"/>
                      <w:rPr>
                        <w:rFonts w:ascii="宋体" w:hAnsi="宋体" w:eastAsia="宋体" w:cs="宋体"/>
                        <w:sz w:val="17"/>
                        <w:szCs w:val="17"/>
                      </w:rPr>
                    </w:pPr>
                    <w:r>
                      <w:rPr>
                        <w:rFonts w:ascii="宋体" w:hAnsi="宋体" w:eastAsia="宋体" w:cs="宋体"/>
                        <w:spacing w:val="-12"/>
                        <w:sz w:val="17"/>
                        <w:szCs w:val="17"/>
                      </w:rPr>
                      <w:t>安全审计</w:t>
                    </w:r>
                  </w:p>
                  <w:p w14:paraId="3B59C7D6">
                    <w:pPr>
                      <w:spacing w:line="195" w:lineRule="auto"/>
                      <w:ind w:left="20"/>
                      <w:rPr>
                        <w:rFonts w:ascii="宋体" w:hAnsi="宋体" w:eastAsia="宋体" w:cs="宋体"/>
                        <w:sz w:val="17"/>
                        <w:szCs w:val="17"/>
                      </w:rPr>
                    </w:pPr>
                    <w:r>
                      <w:rPr>
                        <w:rFonts w:ascii="宋体" w:hAnsi="宋体" w:eastAsia="宋体" w:cs="宋体"/>
                        <w:spacing w:val="-12"/>
                        <w:sz w:val="17"/>
                        <w:szCs w:val="17"/>
                      </w:rPr>
                      <w:t>包过滤</w:t>
                    </w:r>
                  </w:p>
                  <w:p w14:paraId="3C4301F1">
                    <w:pPr>
                      <w:spacing w:before="235" w:line="220" w:lineRule="auto"/>
                      <w:ind w:left="810"/>
                      <w:rPr>
                        <w:rFonts w:ascii="宋体" w:hAnsi="宋体" w:eastAsia="宋体" w:cs="宋体"/>
                        <w:sz w:val="17"/>
                        <w:szCs w:val="17"/>
                      </w:rPr>
                    </w:pPr>
                    <w:r>
                      <w:rPr>
                        <w:rFonts w:ascii="宋体" w:hAnsi="宋体" w:eastAsia="宋体" w:cs="宋体"/>
                        <w:spacing w:val="-12"/>
                        <w:sz w:val="17"/>
                        <w:szCs w:val="17"/>
                      </w:rPr>
                      <w:t>安全审计</w:t>
                    </w:r>
                  </w:p>
                  <w:p w14:paraId="1354ECA7">
                    <w:pPr>
                      <w:spacing w:line="289" w:lineRule="auto"/>
                      <w:rPr>
                        <w:rFonts w:ascii="Arial"/>
                        <w:sz w:val="21"/>
                      </w:rPr>
                    </w:pPr>
                  </w:p>
                  <w:p w14:paraId="0EDFCCBF">
                    <w:pPr>
                      <w:spacing w:before="56" w:line="219" w:lineRule="auto"/>
                      <w:ind w:left="810"/>
                      <w:rPr>
                        <w:rFonts w:ascii="宋体" w:hAnsi="宋体" w:eastAsia="宋体" w:cs="宋体"/>
                        <w:sz w:val="17"/>
                        <w:szCs w:val="17"/>
                      </w:rPr>
                    </w:pPr>
                    <w:r>
                      <w:rPr>
                        <w:rFonts w:ascii="宋体" w:hAnsi="宋体" w:eastAsia="宋体" w:cs="宋体"/>
                        <w:spacing w:val="-13"/>
                        <w:sz w:val="17"/>
                        <w:szCs w:val="17"/>
                      </w:rPr>
                      <w:t>审计管理</w:t>
                    </w:r>
                  </w:p>
                  <w:p w14:paraId="0CC92591">
                    <w:pPr>
                      <w:spacing w:line="301" w:lineRule="auto"/>
                      <w:rPr>
                        <w:rFonts w:ascii="Arial"/>
                        <w:sz w:val="21"/>
                      </w:rPr>
                    </w:pPr>
                  </w:p>
                  <w:p w14:paraId="46CBCC78">
                    <w:pPr>
                      <w:spacing w:before="56" w:line="220" w:lineRule="auto"/>
                      <w:ind w:left="810"/>
                      <w:rPr>
                        <w:rFonts w:ascii="宋体" w:hAnsi="宋体" w:eastAsia="宋体" w:cs="宋体"/>
                        <w:sz w:val="17"/>
                        <w:szCs w:val="17"/>
                      </w:rPr>
                    </w:pPr>
                    <w:r>
                      <w:rPr>
                        <w:rFonts w:ascii="宋体" w:hAnsi="宋体" w:eastAsia="宋体" w:cs="宋体"/>
                        <w:spacing w:val="-12"/>
                        <w:sz w:val="17"/>
                        <w:szCs w:val="17"/>
                      </w:rPr>
                      <w:t>安全审计</w:t>
                    </w:r>
                  </w:p>
                </w:txbxContent>
              </v:textbox>
            </v:shape>
            <v:shape id="_x0000_s1318" o:spid="_x0000_s1318" o:spt="202" type="#_x0000_t202" style="position:absolute;left:160;top:1768;height:2408;width:660;" filled="f" stroked="f" coordsize="21600,21600">
              <v:path/>
              <v:fill on="f" focussize="0,0"/>
              <v:stroke on="f"/>
              <v:imagedata o:title=""/>
              <o:lock v:ext="edit" aspectratio="f"/>
              <v:textbox inset="0mm,0mm,0mm,0mm">
                <w:txbxContent>
                  <w:p w14:paraId="24D58043">
                    <w:pPr>
                      <w:spacing w:before="19" w:line="218" w:lineRule="auto"/>
                      <w:ind w:left="139" w:right="43"/>
                      <w:rPr>
                        <w:rFonts w:ascii="宋体" w:hAnsi="宋体" w:eastAsia="宋体" w:cs="宋体"/>
                        <w:sz w:val="17"/>
                        <w:szCs w:val="17"/>
                      </w:rPr>
                    </w:pPr>
                    <w:r>
                      <w:rPr>
                        <w:rFonts w:ascii="宋体" w:hAnsi="宋体" w:eastAsia="宋体" w:cs="宋体"/>
                        <w:spacing w:val="-12"/>
                        <w:sz w:val="17"/>
                        <w:szCs w:val="17"/>
                      </w:rPr>
                      <w:t>安全计</w:t>
                    </w:r>
                    <w:r>
                      <w:rPr>
                        <w:rFonts w:ascii="宋体" w:hAnsi="宋体" w:eastAsia="宋体" w:cs="宋体"/>
                        <w:spacing w:val="1"/>
                        <w:sz w:val="17"/>
                        <w:szCs w:val="17"/>
                      </w:rPr>
                      <w:t xml:space="preserve"> </w:t>
                    </w:r>
                    <w:r>
                      <w:rPr>
                        <w:rFonts w:ascii="宋体" w:hAnsi="宋体" w:eastAsia="宋体" w:cs="宋体"/>
                        <w:spacing w:val="-12"/>
                        <w:sz w:val="17"/>
                        <w:szCs w:val="17"/>
                      </w:rPr>
                      <w:t>算环境</w:t>
                    </w:r>
                  </w:p>
                  <w:p w14:paraId="59F43A41">
                    <w:pPr>
                      <w:spacing w:before="169" w:line="218" w:lineRule="auto"/>
                      <w:ind w:left="139" w:right="20"/>
                      <w:rPr>
                        <w:rFonts w:ascii="宋体" w:hAnsi="宋体" w:eastAsia="宋体" w:cs="宋体"/>
                        <w:sz w:val="17"/>
                        <w:szCs w:val="17"/>
                      </w:rPr>
                    </w:pPr>
                    <w:r>
                      <w:rPr>
                        <w:rFonts w:ascii="宋体" w:hAnsi="宋体" w:eastAsia="宋体" w:cs="宋体"/>
                        <w:spacing w:val="-4"/>
                        <w:sz w:val="17"/>
                        <w:szCs w:val="17"/>
                      </w:rPr>
                      <w:t>安全区</w:t>
                    </w:r>
                    <w:r>
                      <w:rPr>
                        <w:rFonts w:ascii="宋体" w:hAnsi="宋体" w:eastAsia="宋体" w:cs="宋体"/>
                        <w:sz w:val="17"/>
                        <w:szCs w:val="17"/>
                      </w:rPr>
                      <w:t xml:space="preserve"> </w:t>
                    </w:r>
                    <w:r>
                      <w:rPr>
                        <w:rFonts w:ascii="宋体" w:hAnsi="宋体" w:eastAsia="宋体" w:cs="宋体"/>
                        <w:spacing w:val="-8"/>
                        <w:sz w:val="17"/>
                        <w:szCs w:val="17"/>
                      </w:rPr>
                      <w:t>域边界</w:t>
                    </w:r>
                  </w:p>
                  <w:p w14:paraId="578038E2">
                    <w:pPr>
                      <w:spacing w:before="147" w:line="207" w:lineRule="auto"/>
                      <w:ind w:left="139" w:right="42"/>
                      <w:rPr>
                        <w:rFonts w:ascii="宋体" w:hAnsi="宋体" w:eastAsia="宋体" w:cs="宋体"/>
                        <w:sz w:val="17"/>
                        <w:szCs w:val="17"/>
                      </w:rPr>
                    </w:pPr>
                    <w:r>
                      <w:rPr>
                        <w:rFonts w:ascii="宋体" w:hAnsi="宋体" w:eastAsia="宋体" w:cs="宋体"/>
                        <w:spacing w:val="-12"/>
                        <w:sz w:val="17"/>
                        <w:szCs w:val="17"/>
                      </w:rPr>
                      <w:t>安全通</w:t>
                    </w:r>
                    <w:r>
                      <w:rPr>
                        <w:rFonts w:ascii="宋体" w:hAnsi="宋体" w:eastAsia="宋体" w:cs="宋体"/>
                        <w:spacing w:val="1"/>
                        <w:sz w:val="17"/>
                        <w:szCs w:val="17"/>
                      </w:rPr>
                      <w:t xml:space="preserve"> </w:t>
                    </w:r>
                    <w:r>
                      <w:rPr>
                        <w:rFonts w:ascii="宋体" w:hAnsi="宋体" w:eastAsia="宋体" w:cs="宋体"/>
                        <w:spacing w:val="-11"/>
                        <w:sz w:val="17"/>
                        <w:szCs w:val="17"/>
                      </w:rPr>
                      <w:t>信网络</w:t>
                    </w:r>
                  </w:p>
                  <w:p w14:paraId="7D98EEF6">
                    <w:pPr>
                      <w:spacing w:before="147" w:line="214" w:lineRule="auto"/>
                      <w:ind w:left="139" w:right="39"/>
                      <w:rPr>
                        <w:rFonts w:ascii="宋体" w:hAnsi="宋体" w:eastAsia="宋体" w:cs="宋体"/>
                        <w:sz w:val="17"/>
                        <w:szCs w:val="17"/>
                      </w:rPr>
                    </w:pPr>
                    <w:r>
                      <w:rPr>
                        <w:rFonts w:ascii="宋体" w:hAnsi="宋体" w:eastAsia="宋体" w:cs="宋体"/>
                        <w:spacing w:val="-11"/>
                        <w:sz w:val="17"/>
                        <w:szCs w:val="17"/>
                      </w:rPr>
                      <w:t>安全管</w:t>
                    </w:r>
                    <w:r>
                      <w:rPr>
                        <w:rFonts w:ascii="宋体" w:hAnsi="宋体" w:eastAsia="宋体" w:cs="宋体"/>
                        <w:sz w:val="17"/>
                        <w:szCs w:val="17"/>
                      </w:rPr>
                      <w:t xml:space="preserve"> </w:t>
                    </w:r>
                    <w:r>
                      <w:rPr>
                        <w:rFonts w:ascii="宋体" w:hAnsi="宋体" w:eastAsia="宋体" w:cs="宋体"/>
                        <w:spacing w:val="-10"/>
                        <w:sz w:val="17"/>
                        <w:szCs w:val="17"/>
                      </w:rPr>
                      <w:t>理中心</w:t>
                    </w:r>
                  </w:p>
                  <w:p w14:paraId="5D96F66D">
                    <w:pPr>
                      <w:spacing w:before="156" w:line="219" w:lineRule="auto"/>
                      <w:ind w:left="20"/>
                      <w:rPr>
                        <w:rFonts w:ascii="宋体" w:hAnsi="宋体" w:eastAsia="宋体" w:cs="宋体"/>
                        <w:sz w:val="17"/>
                        <w:szCs w:val="17"/>
                      </w:rPr>
                    </w:pPr>
                    <w:r>
                      <w:rPr>
                        <w:rFonts w:ascii="宋体" w:hAnsi="宋体" w:eastAsia="宋体" w:cs="宋体"/>
                        <w:spacing w:val="-12"/>
                        <w:sz w:val="17"/>
                        <w:szCs w:val="17"/>
                      </w:rPr>
                      <w:t>安全技术</w:t>
                    </w:r>
                  </w:p>
                </w:txbxContent>
              </v:textbox>
            </v:shape>
            <v:shape id="_x0000_s1319" o:spid="_x0000_s1319" o:spt="202" type="#_x0000_t202" style="position:absolute;left:4470;top:1766;height:1511;width:681;" filled="f" stroked="f" coordsize="21600,21600">
              <v:path/>
              <v:fill on="f" focussize="0,0"/>
              <v:stroke on="f"/>
              <v:imagedata o:title=""/>
              <o:lock v:ext="edit" aspectratio="f"/>
              <v:textbox inset="0mm,0mm,0mm,0mm">
                <w:txbxContent>
                  <w:p w14:paraId="07AE16AE">
                    <w:pPr>
                      <w:spacing w:before="20" w:line="195" w:lineRule="auto"/>
                      <w:ind w:left="20"/>
                      <w:rPr>
                        <w:rFonts w:ascii="宋体" w:hAnsi="宋体" w:eastAsia="宋体" w:cs="宋体"/>
                        <w:sz w:val="17"/>
                        <w:szCs w:val="17"/>
                      </w:rPr>
                    </w:pPr>
                    <w:r>
                      <w:rPr>
                        <w:rFonts w:ascii="宋体" w:hAnsi="宋体" w:eastAsia="宋体" w:cs="宋体"/>
                        <w:color w:val="255270"/>
                        <w:spacing w:val="-10"/>
                        <w:sz w:val="17"/>
                        <w:szCs w:val="17"/>
                      </w:rPr>
                      <w:t>程序可信</w:t>
                    </w:r>
                  </w:p>
                  <w:p w14:paraId="3BA6CC14">
                    <w:pPr>
                      <w:spacing w:line="219" w:lineRule="auto"/>
                      <w:ind w:left="149"/>
                      <w:rPr>
                        <w:rFonts w:ascii="宋体" w:hAnsi="宋体" w:eastAsia="宋体" w:cs="宋体"/>
                        <w:sz w:val="17"/>
                        <w:szCs w:val="17"/>
                      </w:rPr>
                    </w:pPr>
                    <w:r>
                      <w:rPr>
                        <w:rFonts w:ascii="宋体" w:hAnsi="宋体" w:eastAsia="宋体" w:cs="宋体"/>
                        <w:spacing w:val="-2"/>
                        <w:sz w:val="17"/>
                        <w:szCs w:val="17"/>
                      </w:rPr>
                      <w:t>执行力</w:t>
                    </w:r>
                  </w:p>
                  <w:p w14:paraId="7AE19ABB">
                    <w:pPr>
                      <w:spacing w:before="178" w:line="218" w:lineRule="auto"/>
                      <w:ind w:left="20"/>
                      <w:rPr>
                        <w:rFonts w:ascii="宋体" w:hAnsi="宋体" w:eastAsia="宋体" w:cs="宋体"/>
                        <w:sz w:val="17"/>
                        <w:szCs w:val="17"/>
                      </w:rPr>
                    </w:pPr>
                    <w:r>
                      <w:rPr>
                        <w:rFonts w:ascii="宋体" w:hAnsi="宋体" w:eastAsia="宋体" w:cs="宋体"/>
                        <w:color w:val="14C8E4"/>
                        <w:spacing w:val="-10"/>
                        <w:sz w:val="17"/>
                        <w:szCs w:val="17"/>
                      </w:rPr>
                      <w:t>便捷完整</w:t>
                    </w:r>
                  </w:p>
                  <w:p w14:paraId="073FB06E">
                    <w:pPr>
                      <w:spacing w:line="220" w:lineRule="auto"/>
                      <w:ind w:right="17"/>
                      <w:jc w:val="right"/>
                      <w:rPr>
                        <w:rFonts w:ascii="宋体" w:hAnsi="宋体" w:eastAsia="宋体" w:cs="宋体"/>
                        <w:sz w:val="17"/>
                        <w:szCs w:val="17"/>
                      </w:rPr>
                    </w:pPr>
                    <w:r>
                      <w:rPr>
                        <w:rFonts w:ascii="宋体" w:hAnsi="宋体" w:eastAsia="宋体" w:cs="宋体"/>
                        <w:spacing w:val="-2"/>
                        <w:sz w:val="17"/>
                        <w:szCs w:val="17"/>
                      </w:rPr>
                      <w:t>性保护</w:t>
                    </w:r>
                  </w:p>
                  <w:p w14:paraId="69524D40">
                    <w:pPr>
                      <w:spacing w:before="136" w:line="218" w:lineRule="auto"/>
                      <w:ind w:left="20"/>
                      <w:rPr>
                        <w:rFonts w:ascii="宋体" w:hAnsi="宋体" w:eastAsia="宋体" w:cs="宋体"/>
                        <w:sz w:val="17"/>
                        <w:szCs w:val="17"/>
                      </w:rPr>
                    </w:pPr>
                    <w:r>
                      <w:rPr>
                        <w:rFonts w:ascii="宋体" w:hAnsi="宋体" w:eastAsia="宋体" w:cs="宋体"/>
                        <w:color w:val="28506C"/>
                        <w:spacing w:val="-10"/>
                        <w:sz w:val="17"/>
                        <w:szCs w:val="17"/>
                      </w:rPr>
                      <w:t>设备可信</w:t>
                    </w:r>
                  </w:p>
                  <w:p w14:paraId="52586271">
                    <w:pPr>
                      <w:spacing w:line="220" w:lineRule="auto"/>
                      <w:ind w:left="20"/>
                      <w:rPr>
                        <w:rFonts w:ascii="宋体" w:hAnsi="宋体" w:eastAsia="宋体" w:cs="宋体"/>
                        <w:sz w:val="17"/>
                        <w:szCs w:val="17"/>
                      </w:rPr>
                    </w:pPr>
                    <w:r>
                      <w:rPr>
                        <w:rFonts w:ascii="宋体" w:hAnsi="宋体" w:eastAsia="宋体" w:cs="宋体"/>
                        <w:color w:val="32B1E0"/>
                        <w:spacing w:val="-10"/>
                        <w:sz w:val="17"/>
                        <w:szCs w:val="17"/>
                      </w:rPr>
                      <w:t>接入保护</w:t>
                    </w:r>
                  </w:p>
                </w:txbxContent>
              </v:textbox>
            </v:shape>
            <v:shape id="_x0000_s1320" o:spid="_x0000_s1320" o:spt="202" type="#_x0000_t202" style="position:absolute;left:5380;top:1227;height:850;width:696;" filled="f" stroked="f" coordsize="21600,21600">
              <v:path/>
              <v:fill on="f" focussize="0,0"/>
              <v:stroke on="f"/>
              <v:imagedata o:title=""/>
              <o:lock v:ext="edit" aspectratio="f"/>
              <v:textbox inset="0mm,0mm,0mm,0mm">
                <w:txbxContent>
                  <w:p w14:paraId="5CC92BA1">
                    <w:pPr>
                      <w:spacing w:before="20" w:line="220" w:lineRule="auto"/>
                      <w:ind w:right="8"/>
                      <w:jc w:val="right"/>
                      <w:rPr>
                        <w:rFonts w:ascii="宋体" w:hAnsi="宋体" w:eastAsia="宋体" w:cs="宋体"/>
                        <w:sz w:val="17"/>
                        <w:szCs w:val="17"/>
                      </w:rPr>
                    </w:pPr>
                    <w:r>
                      <w:rPr>
                        <w:rFonts w:ascii="宋体" w:hAnsi="宋体" w:eastAsia="宋体" w:cs="宋体"/>
                        <w:spacing w:val="-8"/>
                        <w:sz w:val="17"/>
                        <w:szCs w:val="17"/>
                      </w:rPr>
                      <w:t>安全域</w:t>
                    </w:r>
                  </w:p>
                  <w:p w14:paraId="383A7213">
                    <w:pPr>
                      <w:spacing w:line="379" w:lineRule="auto"/>
                      <w:rPr>
                        <w:rFonts w:ascii="Arial"/>
                        <w:sz w:val="21"/>
                      </w:rPr>
                    </w:pPr>
                  </w:p>
                  <w:p w14:paraId="6F184D2A">
                    <w:pPr>
                      <w:spacing w:before="56" w:line="220" w:lineRule="auto"/>
                      <w:ind w:left="20"/>
                      <w:rPr>
                        <w:rFonts w:ascii="宋体" w:hAnsi="宋体" w:eastAsia="宋体" w:cs="宋体"/>
                        <w:sz w:val="17"/>
                        <w:szCs w:val="17"/>
                      </w:rPr>
                    </w:pPr>
                    <w:r>
                      <w:rPr>
                        <w:rFonts w:ascii="宋体" w:hAnsi="宋体" w:eastAsia="宋体" w:cs="宋体"/>
                        <w:spacing w:val="-8"/>
                        <w:sz w:val="17"/>
                        <w:szCs w:val="17"/>
                      </w:rPr>
                      <w:t>客体重用</w:t>
                    </w:r>
                  </w:p>
                </w:txbxContent>
              </v:textbox>
            </v:shape>
            <v:shape id="_x0000_s1321" o:spid="_x0000_s1321" o:spt="202" type="#_x0000_t202" style="position:absolute;left:1920;top:3536;height:830;width:669;" filled="f" stroked="f" coordsize="21600,21600">
              <v:path/>
              <v:fill on="f" focussize="0,0"/>
              <v:stroke on="f"/>
              <v:imagedata o:title=""/>
              <o:lock v:ext="edit" aspectratio="f"/>
              <v:textbox inset="0mm,0mm,0mm,0mm">
                <w:txbxContent>
                  <w:p w14:paraId="62142BC0">
                    <w:pPr>
                      <w:spacing w:before="20" w:line="219" w:lineRule="auto"/>
                      <w:ind w:left="20"/>
                      <w:rPr>
                        <w:rFonts w:ascii="宋体" w:hAnsi="宋体" w:eastAsia="宋体" w:cs="宋体"/>
                        <w:sz w:val="17"/>
                        <w:szCs w:val="17"/>
                      </w:rPr>
                    </w:pPr>
                    <w:r>
                      <w:rPr>
                        <w:rFonts w:ascii="宋体" w:hAnsi="宋体" w:eastAsia="宋体" w:cs="宋体"/>
                        <w:spacing w:val="-14"/>
                        <w:sz w:val="17"/>
                        <w:szCs w:val="17"/>
                      </w:rPr>
                      <w:t>安全管理</w:t>
                    </w:r>
                  </w:p>
                  <w:p w14:paraId="46749E11">
                    <w:pPr>
                      <w:spacing w:before="247" w:line="203" w:lineRule="auto"/>
                      <w:ind w:left="150" w:right="20" w:hanging="130"/>
                      <w:rPr>
                        <w:rFonts w:ascii="宋体" w:hAnsi="宋体" w:eastAsia="宋体" w:cs="宋体"/>
                        <w:sz w:val="17"/>
                        <w:szCs w:val="17"/>
                      </w:rPr>
                    </w:pPr>
                    <w:r>
                      <w:rPr>
                        <w:rFonts w:ascii="宋体" w:hAnsi="宋体" w:eastAsia="宋体" w:cs="宋体"/>
                        <w:spacing w:val="-13"/>
                        <w:sz w:val="17"/>
                        <w:szCs w:val="17"/>
                      </w:rPr>
                      <w:t>权限与访</w:t>
                    </w:r>
                    <w:r>
                      <w:rPr>
                        <w:rFonts w:ascii="宋体" w:hAnsi="宋体" w:eastAsia="宋体" w:cs="宋体"/>
                        <w:sz w:val="17"/>
                        <w:szCs w:val="17"/>
                      </w:rPr>
                      <w:t xml:space="preserve"> </w:t>
                    </w:r>
                    <w:r>
                      <w:rPr>
                        <w:rFonts w:ascii="宋体" w:hAnsi="宋体" w:eastAsia="宋体" w:cs="宋体"/>
                        <w:spacing w:val="-13"/>
                        <w:sz w:val="17"/>
                        <w:szCs w:val="17"/>
                      </w:rPr>
                      <w:t>问控制</w:t>
                    </w:r>
                  </w:p>
                </w:txbxContent>
              </v:textbox>
            </v:shape>
            <v:shape id="_x0000_s1322" o:spid="_x0000_s1322" o:spt="202" type="#_x0000_t202" style="position:absolute;left:1070;top:3546;height:820;width:675;" filled="f" stroked="f" coordsize="21600,21600">
              <v:path/>
              <v:fill on="f" focussize="0,0"/>
              <v:stroke on="f"/>
              <v:imagedata o:title=""/>
              <o:lock v:ext="edit" aspectratio="f"/>
              <v:textbox inset="0mm,0mm,0mm,0mm">
                <w:txbxContent>
                  <w:p w14:paraId="425BB500">
                    <w:pPr>
                      <w:spacing w:before="20" w:line="219" w:lineRule="auto"/>
                      <w:ind w:left="20"/>
                      <w:rPr>
                        <w:rFonts w:ascii="宋体" w:hAnsi="宋体" w:eastAsia="宋体" w:cs="宋体"/>
                        <w:sz w:val="17"/>
                        <w:szCs w:val="17"/>
                      </w:rPr>
                    </w:pPr>
                    <w:r>
                      <w:rPr>
                        <w:rFonts w:ascii="宋体" w:hAnsi="宋体" w:eastAsia="宋体" w:cs="宋体"/>
                        <w:spacing w:val="-9"/>
                        <w:sz w:val="17"/>
                        <w:szCs w:val="17"/>
                      </w:rPr>
                      <w:t>系统管理</w:t>
                    </w:r>
                  </w:p>
                  <w:p w14:paraId="51D26FAE">
                    <w:pPr>
                      <w:spacing w:before="238" w:line="185" w:lineRule="auto"/>
                      <w:ind w:left="20"/>
                      <w:rPr>
                        <w:rFonts w:ascii="宋体" w:hAnsi="宋体" w:eastAsia="宋体" w:cs="宋体"/>
                        <w:sz w:val="17"/>
                        <w:szCs w:val="17"/>
                      </w:rPr>
                    </w:pPr>
                    <w:r>
                      <w:rPr>
                        <w:rFonts w:ascii="宋体" w:hAnsi="宋体" w:eastAsia="宋体" w:cs="宋体"/>
                        <w:spacing w:val="-13"/>
                        <w:sz w:val="17"/>
                        <w:szCs w:val="17"/>
                      </w:rPr>
                      <w:t>身份管理</w:t>
                    </w:r>
                  </w:p>
                  <w:p w14:paraId="60C1D6CC">
                    <w:pPr>
                      <w:spacing w:line="220" w:lineRule="auto"/>
                      <w:ind w:left="110"/>
                      <w:rPr>
                        <w:rFonts w:ascii="宋体" w:hAnsi="宋体" w:eastAsia="宋体" w:cs="宋体"/>
                        <w:sz w:val="17"/>
                        <w:szCs w:val="17"/>
                      </w:rPr>
                    </w:pPr>
                    <w:r>
                      <w:rPr>
                        <w:rFonts w:ascii="宋体" w:hAnsi="宋体" w:eastAsia="宋体" w:cs="宋体"/>
                        <w:spacing w:val="-3"/>
                        <w:sz w:val="17"/>
                        <w:szCs w:val="17"/>
                      </w:rPr>
                      <w:t>与鉴别</w:t>
                    </w:r>
                  </w:p>
                </w:txbxContent>
              </v:textbox>
            </v:shape>
            <v:shape id="_x0000_s1323" o:spid="_x0000_s1323" o:spt="202" type="#_x0000_t202" style="position:absolute;left:1920;top:1827;height:720;width:674;" filled="f" stroked="f" coordsize="21600,21600">
              <v:path/>
              <v:fill on="f" focussize="0,0"/>
              <v:stroke on="f"/>
              <v:imagedata o:title=""/>
              <o:lock v:ext="edit" aspectratio="f"/>
              <v:textbox inset="0mm,0mm,0mm,0mm">
                <w:txbxContent>
                  <w:p w14:paraId="7DF31DFA">
                    <w:pPr>
                      <w:spacing w:before="20" w:line="220" w:lineRule="auto"/>
                      <w:ind w:left="20"/>
                      <w:rPr>
                        <w:rFonts w:ascii="宋体" w:hAnsi="宋体" w:eastAsia="宋体" w:cs="宋体"/>
                        <w:sz w:val="17"/>
                        <w:szCs w:val="17"/>
                      </w:rPr>
                    </w:pPr>
                    <w:r>
                      <w:rPr>
                        <w:rFonts w:ascii="宋体" w:hAnsi="宋体" w:eastAsia="宋体" w:cs="宋体"/>
                        <w:spacing w:val="-9"/>
                        <w:sz w:val="17"/>
                        <w:szCs w:val="17"/>
                      </w:rPr>
                      <w:t>访问控制</w:t>
                    </w:r>
                  </w:p>
                  <w:p w14:paraId="048D967F">
                    <w:pPr>
                      <w:spacing w:line="250" w:lineRule="auto"/>
                      <w:rPr>
                        <w:rFonts w:ascii="Arial"/>
                        <w:sz w:val="21"/>
                      </w:rPr>
                    </w:pPr>
                  </w:p>
                  <w:p w14:paraId="21932413">
                    <w:pPr>
                      <w:spacing w:before="55" w:line="219" w:lineRule="auto"/>
                      <w:ind w:left="20"/>
                      <w:rPr>
                        <w:rFonts w:ascii="宋体" w:hAnsi="宋体" w:eastAsia="宋体" w:cs="宋体"/>
                        <w:sz w:val="17"/>
                        <w:szCs w:val="17"/>
                      </w:rPr>
                    </w:pPr>
                    <w:r>
                      <w:rPr>
                        <w:rFonts w:ascii="宋体" w:hAnsi="宋体" w:eastAsia="宋体" w:cs="宋体"/>
                        <w:color w:val="3B6281"/>
                        <w:spacing w:val="-9"/>
                        <w:sz w:val="17"/>
                        <w:szCs w:val="17"/>
                      </w:rPr>
                      <w:t>访问控制</w:t>
                    </w:r>
                  </w:p>
                </w:txbxContent>
              </v:textbox>
            </v:shape>
            <v:shape id="_x0000_s1324" o:spid="_x0000_s1324" o:spt="202" type="#_x0000_t202" style="position:absolute;left:6480;top:1700;height:1014;width:439;" filled="f" stroked="f" coordsize="21600,21600">
              <v:path/>
              <v:fill on="f" focussize="0,0"/>
              <v:stroke on="f"/>
              <v:imagedata o:title=""/>
              <o:lock v:ext="edit" aspectratio="f"/>
              <v:textbox inset="0mm,0mm,0mm,0mm" style="layout-flow:vertical-ideographic;">
                <w:txbxContent>
                  <w:p w14:paraId="53F1E39F">
                    <w:pPr>
                      <w:spacing w:before="20" w:line="252" w:lineRule="auto"/>
                      <w:ind w:left="332" w:right="20" w:hanging="312"/>
                      <w:rPr>
                        <w:rFonts w:ascii="宋体" w:hAnsi="宋体" w:eastAsia="宋体" w:cs="宋体"/>
                        <w:sz w:val="16"/>
                        <w:szCs w:val="16"/>
                      </w:rPr>
                    </w:pPr>
                    <w:r>
                      <w:rPr>
                        <w:rFonts w:ascii="宋体" w:hAnsi="宋体" w:eastAsia="宋体" w:cs="宋体"/>
                        <w:spacing w:val="7"/>
                        <w:sz w:val="16"/>
                        <w:szCs w:val="16"/>
                      </w:rPr>
                      <w:t>人员管理</w:t>
                    </w:r>
                    <w:r>
                      <w:rPr>
                        <w:rFonts w:ascii="宋体" w:hAnsi="宋体" w:eastAsia="宋体" w:cs="宋体"/>
                        <w:sz w:val="16"/>
                        <w:szCs w:val="16"/>
                      </w:rPr>
                      <w:t xml:space="preserve">     </w:t>
                    </w:r>
                    <w:r>
                      <w:rPr>
                        <w:rFonts w:ascii="宋体" w:hAnsi="宋体" w:eastAsia="宋体" w:cs="宋体"/>
                        <w:spacing w:val="5"/>
                        <w:sz w:val="16"/>
                        <w:szCs w:val="16"/>
                      </w:rPr>
                      <w:t>管理机构</w:t>
                    </w:r>
                  </w:p>
                </w:txbxContent>
              </v:textbox>
            </v:shape>
            <v:shape id="_x0000_s1325" o:spid="_x0000_s1325" o:spt="202" type="#_x0000_t202" style="position:absolute;left:6998;top:1102;height:991;width:430;" filled="f" stroked="f" coordsize="21600,21600">
              <v:path/>
              <v:fill on="f" focussize="0,0"/>
              <v:stroke on="f"/>
              <v:imagedata o:title=""/>
              <o:lock v:ext="edit" aspectratio="f"/>
              <v:textbox inset="0mm,0mm,0mm,0mm" style="layout-flow:vertical-ideographic;">
                <w:txbxContent>
                  <w:p w14:paraId="0B46C58D">
                    <w:pPr>
                      <w:spacing w:before="19" w:line="249" w:lineRule="auto"/>
                      <w:ind w:left="310" w:right="20" w:hanging="290"/>
                      <w:rPr>
                        <w:rFonts w:ascii="宋体" w:hAnsi="宋体" w:eastAsia="宋体" w:cs="宋体"/>
                        <w:sz w:val="16"/>
                        <w:szCs w:val="16"/>
                      </w:rPr>
                    </w:pPr>
                    <w:r>
                      <w:rPr>
                        <w:rFonts w:ascii="宋体" w:hAnsi="宋体" w:eastAsia="宋体" w:cs="宋体"/>
                        <w:sz w:val="16"/>
                        <w:szCs w:val="16"/>
                      </w:rPr>
                      <w:t xml:space="preserve">系统运维     </w:t>
                    </w:r>
                    <w:r>
                      <w:rPr>
                        <w:rFonts w:ascii="宋体" w:hAnsi="宋体" w:eastAsia="宋体" w:cs="宋体"/>
                        <w:spacing w:val="5"/>
                        <w:sz w:val="16"/>
                        <w:szCs w:val="16"/>
                      </w:rPr>
                      <w:t>系统建设</w:t>
                    </w:r>
                  </w:p>
                </w:txbxContent>
              </v:textbox>
            </v:shape>
            <v:shape id="_x0000_s1326" o:spid="_x0000_s1326" o:spt="202" type="#_x0000_t202" style="position:absolute;left:4470;top:3976;height:410;width:666;" filled="f" stroked="f" coordsize="21600,21600">
              <v:path/>
              <v:fill on="f" focussize="0,0"/>
              <v:stroke on="f"/>
              <v:imagedata o:title=""/>
              <o:lock v:ext="edit" aspectratio="f"/>
              <v:textbox inset="0mm,0mm,0mm,0mm">
                <w:txbxContent>
                  <w:p w14:paraId="10CE523B">
                    <w:pPr>
                      <w:spacing w:before="20" w:line="218" w:lineRule="auto"/>
                      <w:ind w:left="20" w:right="20"/>
                      <w:rPr>
                        <w:rFonts w:ascii="宋体" w:hAnsi="宋体" w:eastAsia="宋体" w:cs="宋体"/>
                        <w:sz w:val="17"/>
                        <w:szCs w:val="17"/>
                      </w:rPr>
                    </w:pPr>
                    <w:r>
                      <w:rPr>
                        <w:rFonts w:ascii="宋体" w:hAnsi="宋体" w:eastAsia="宋体" w:cs="宋体"/>
                        <w:spacing w:val="-13"/>
                        <w:w w:val="99"/>
                        <w:sz w:val="17"/>
                        <w:szCs w:val="17"/>
                      </w:rPr>
                      <w:t>可信接入</w:t>
                    </w:r>
                    <w:r>
                      <w:rPr>
                        <w:rFonts w:ascii="宋体" w:hAnsi="宋体" w:eastAsia="宋体" w:cs="宋体"/>
                        <w:spacing w:val="4"/>
                        <w:sz w:val="17"/>
                        <w:szCs w:val="17"/>
                      </w:rPr>
                      <w:t xml:space="preserve"> </w:t>
                    </w:r>
                    <w:r>
                      <w:rPr>
                        <w:rFonts w:ascii="宋体" w:hAnsi="宋体" w:eastAsia="宋体" w:cs="宋体"/>
                        <w:spacing w:val="-14"/>
                        <w:sz w:val="17"/>
                        <w:szCs w:val="17"/>
                      </w:rPr>
                      <w:t>可信执行</w:t>
                    </w:r>
                  </w:p>
                </w:txbxContent>
              </v:textbox>
            </v:shape>
            <v:shape id="_x0000_s1327" o:spid="_x0000_s1327" o:spt="75" type="#_x0000_t75" style="position:absolute;left:3390;top:389;height:330;width:360;" filled="f" stroked="f" coordsize="21600,21600">
              <v:path/>
              <v:fill on="f" focussize="0,0"/>
              <v:stroke on="f"/>
              <v:imagedata r:id="rId118" o:title=""/>
              <o:lock v:ext="edit" aspectratio="t"/>
            </v:shape>
            <v:shape id="_x0000_s1328" o:spid="_x0000_s1328" o:spt="202" type="#_x0000_t202" style="position:absolute;left:1070;top:1866;height:210;width:684;" filled="f" stroked="f" coordsize="21600,21600">
              <v:path/>
              <v:fill on="f" focussize="0,0"/>
              <v:stroke on="f"/>
              <v:imagedata o:title=""/>
              <o:lock v:ext="edit" aspectratio="f"/>
              <v:textbox inset="0mm,0mm,0mm,0mm">
                <w:txbxContent>
                  <w:p w14:paraId="64B1BFC0">
                    <w:pPr>
                      <w:spacing w:before="20" w:line="219" w:lineRule="auto"/>
                      <w:ind w:left="20"/>
                      <w:rPr>
                        <w:rFonts w:ascii="宋体" w:hAnsi="宋体" w:eastAsia="宋体" w:cs="宋体"/>
                        <w:sz w:val="17"/>
                        <w:szCs w:val="17"/>
                      </w:rPr>
                    </w:pPr>
                    <w:r>
                      <w:rPr>
                        <w:rFonts w:ascii="宋体" w:hAnsi="宋体" w:eastAsia="宋体" w:cs="宋体"/>
                        <w:spacing w:val="-7"/>
                        <w:sz w:val="17"/>
                        <w:szCs w:val="17"/>
                      </w:rPr>
                      <w:t>身份鉴别</w:t>
                    </w:r>
                  </w:p>
                </w:txbxContent>
              </v:textbox>
            </v:shape>
            <v:shape id="_x0000_s1329" o:spid="_x0000_s1329" o:spt="202" type="#_x0000_t202" style="position:absolute;left:3690;top:4086;height:210;width:678;" filled="f" stroked="f" coordsize="21600,21600">
              <v:path/>
              <v:fill on="f" focussize="0,0"/>
              <v:stroke on="f"/>
              <v:imagedata o:title=""/>
              <o:lock v:ext="edit" aspectratio="f"/>
              <v:textbox inset="0mm,0mm,0mm,0mm">
                <w:txbxContent>
                  <w:p w14:paraId="675C3F62">
                    <w:pPr>
                      <w:spacing w:before="20" w:line="219" w:lineRule="auto"/>
                      <w:ind w:left="20"/>
                      <w:rPr>
                        <w:rFonts w:ascii="宋体" w:hAnsi="宋体" w:eastAsia="宋体" w:cs="宋体"/>
                        <w:sz w:val="17"/>
                        <w:szCs w:val="17"/>
                      </w:rPr>
                    </w:pPr>
                    <w:r>
                      <w:rPr>
                        <w:rFonts w:ascii="宋体" w:hAnsi="宋体" w:eastAsia="宋体" w:cs="宋体"/>
                        <w:spacing w:val="-8"/>
                        <w:sz w:val="17"/>
                        <w:szCs w:val="17"/>
                      </w:rPr>
                      <w:t>数据安全</w:t>
                    </w:r>
                  </w:p>
                </w:txbxContent>
              </v:textbox>
            </v:shape>
            <v:shape id="_x0000_s1330" o:spid="_x0000_s1330" o:spt="202" type="#_x0000_t202" style="position:absolute;left:5430;top:4087;height:210;width:659;" filled="f" stroked="f" coordsize="21600,21600">
              <v:path/>
              <v:fill on="f" focussize="0,0"/>
              <v:stroke on="f"/>
              <v:imagedata o:title=""/>
              <o:lock v:ext="edit" aspectratio="f"/>
              <v:textbox inset="0mm,0mm,0mm,0mm">
                <w:txbxContent>
                  <w:p w14:paraId="5E2B8DD0">
                    <w:pPr>
                      <w:spacing w:before="20" w:line="220" w:lineRule="auto"/>
                      <w:ind w:left="20"/>
                      <w:rPr>
                        <w:rFonts w:ascii="宋体" w:hAnsi="宋体" w:eastAsia="宋体" w:cs="宋体"/>
                        <w:sz w:val="17"/>
                        <w:szCs w:val="17"/>
                      </w:rPr>
                    </w:pPr>
                    <w:r>
                      <w:rPr>
                        <w:rFonts w:ascii="宋体" w:hAnsi="宋体" w:eastAsia="宋体" w:cs="宋体"/>
                        <w:spacing w:val="-12"/>
                        <w:sz w:val="17"/>
                        <w:szCs w:val="17"/>
                      </w:rPr>
                      <w:t>客体重用</w:t>
                    </w:r>
                  </w:p>
                </w:txbxContent>
              </v:textbox>
            </v:shape>
            <v:shape id="_x0000_s1331" o:spid="_x0000_s1331" o:spt="202" type="#_x0000_t202" style="position:absolute;left:3640;top:1846;height:210;width:658;" filled="f" stroked="f" coordsize="21600,21600">
              <v:path/>
              <v:fill on="f" focussize="0,0"/>
              <v:stroke on="f"/>
              <v:imagedata o:title=""/>
              <o:lock v:ext="edit" aspectratio="f"/>
              <v:textbox inset="0mm,0mm,0mm,0mm">
                <w:txbxContent>
                  <w:p w14:paraId="37FF8692">
                    <w:pPr>
                      <w:spacing w:before="20" w:line="219" w:lineRule="auto"/>
                      <w:ind w:left="20"/>
                      <w:rPr>
                        <w:rFonts w:ascii="宋体" w:hAnsi="宋体" w:eastAsia="宋体" w:cs="宋体"/>
                        <w:sz w:val="17"/>
                        <w:szCs w:val="17"/>
                      </w:rPr>
                    </w:pPr>
                    <w:r>
                      <w:rPr>
                        <w:rFonts w:ascii="宋体" w:hAnsi="宋体" w:eastAsia="宋体" w:cs="宋体"/>
                        <w:spacing w:val="-12"/>
                        <w:sz w:val="17"/>
                        <w:szCs w:val="17"/>
                      </w:rPr>
                      <w:t>数据安全</w:t>
                    </w:r>
                  </w:p>
                </w:txbxContent>
              </v:textbox>
            </v:shape>
            <v:shape id="_x0000_s1332" o:spid="_x0000_s1332" o:spt="202" type="#_x0000_t202" style="position:absolute;left:7180;top:2946;height:210;width:655;" filled="f" stroked="f" coordsize="21600,21600">
              <v:path/>
              <v:fill on="f" focussize="0,0"/>
              <v:stroke on="f"/>
              <v:imagedata o:title=""/>
              <o:lock v:ext="edit" aspectratio="f"/>
              <v:textbox inset="0mm,0mm,0mm,0mm">
                <w:txbxContent>
                  <w:p w14:paraId="07A4DABD">
                    <w:pPr>
                      <w:spacing w:before="20" w:line="219" w:lineRule="auto"/>
                      <w:ind w:left="20"/>
                      <w:rPr>
                        <w:rFonts w:ascii="宋体" w:hAnsi="宋体" w:eastAsia="宋体" w:cs="宋体"/>
                        <w:sz w:val="17"/>
                        <w:szCs w:val="17"/>
                      </w:rPr>
                    </w:pPr>
                    <w:r>
                      <w:rPr>
                        <w:rFonts w:ascii="宋体" w:hAnsi="宋体" w:eastAsia="宋体" w:cs="宋体"/>
                        <w:spacing w:val="-14"/>
                        <w:sz w:val="17"/>
                        <w:szCs w:val="17"/>
                      </w:rPr>
                      <w:t>安全管</w:t>
                    </w:r>
                    <w:r>
                      <w:rPr>
                        <w:rFonts w:ascii="宋体" w:hAnsi="宋体" w:eastAsia="宋体" w:cs="宋体"/>
                        <w:spacing w:val="-10"/>
                        <w:sz w:val="17"/>
                        <w:szCs w:val="17"/>
                      </w:rPr>
                      <w:t>理</w:t>
                    </w:r>
                  </w:p>
                </w:txbxContent>
              </v:textbox>
            </v:shape>
            <v:shape id="_x0000_s1333" o:spid="_x0000_s1333" o:spt="202" type="#_x0000_t202" style="position:absolute;left:3650;top:2976;height:210;width:648;" filled="f" stroked="f" coordsize="21600,21600">
              <v:path/>
              <v:fill on="f" focussize="0,0"/>
              <v:stroke on="f"/>
              <v:imagedata o:title=""/>
              <o:lock v:ext="edit" aspectratio="f"/>
              <v:textbox inset="0mm,0mm,0mm,0mm">
                <w:txbxContent>
                  <w:p w14:paraId="1421FC38">
                    <w:pPr>
                      <w:spacing w:before="20" w:line="219" w:lineRule="auto"/>
                      <w:ind w:right="1"/>
                      <w:jc w:val="right"/>
                      <w:rPr>
                        <w:rFonts w:ascii="宋体" w:hAnsi="宋体" w:eastAsia="宋体" w:cs="宋体"/>
                        <w:sz w:val="17"/>
                        <w:szCs w:val="17"/>
                      </w:rPr>
                    </w:pPr>
                    <w:r>
                      <w:rPr>
                        <w:rFonts w:ascii="宋体" w:hAnsi="宋体" w:eastAsia="宋体" w:cs="宋体"/>
                        <w:spacing w:val="-16"/>
                        <w:sz w:val="17"/>
                        <w:szCs w:val="17"/>
                      </w:rPr>
                      <w:t>数</w:t>
                    </w:r>
                    <w:r>
                      <w:rPr>
                        <w:rFonts w:ascii="宋体" w:hAnsi="宋体" w:eastAsia="宋体" w:cs="宋体"/>
                        <w:spacing w:val="-15"/>
                        <w:sz w:val="17"/>
                        <w:szCs w:val="17"/>
                      </w:rPr>
                      <w:t>据安</w:t>
                    </w:r>
                    <w:r>
                      <w:rPr>
                        <w:rFonts w:ascii="宋体" w:hAnsi="宋体" w:eastAsia="宋体" w:cs="宋体"/>
                        <w:spacing w:val="-10"/>
                        <w:sz w:val="17"/>
                        <w:szCs w:val="17"/>
                      </w:rPr>
                      <w:t>全</w:t>
                    </w:r>
                  </w:p>
                </w:txbxContent>
              </v:textbox>
            </v:shape>
            <v:shape id="_x0000_s1334" o:spid="_x0000_s1334" o:spt="202" type="#_x0000_t202" style="position:absolute;left:6220;top:2262;height:700;width:188;" filled="f" stroked="f" coordsize="21600,21600">
              <v:path/>
              <v:fill on="f" focussize="0,0"/>
              <v:stroke on="f"/>
              <v:imagedata o:title=""/>
              <o:lock v:ext="edit" aspectratio="f"/>
              <v:textbox inset="0mm,0mm,0mm,0mm" style="layout-flow:vertical-ideographic;">
                <w:txbxContent>
                  <w:p w14:paraId="1E59394A">
                    <w:pPr>
                      <w:spacing w:before="20" w:line="202" w:lineRule="auto"/>
                      <w:ind w:left="20"/>
                      <w:rPr>
                        <w:rFonts w:ascii="宋体" w:hAnsi="宋体" w:eastAsia="宋体" w:cs="宋体"/>
                        <w:sz w:val="16"/>
                        <w:szCs w:val="16"/>
                      </w:rPr>
                    </w:pPr>
                    <w:r>
                      <w:rPr>
                        <w:rFonts w:ascii="宋体" w:hAnsi="宋体" w:eastAsia="宋体" w:cs="宋体"/>
                        <w:spacing w:val="5"/>
                        <w:sz w:val="16"/>
                        <w:szCs w:val="16"/>
                      </w:rPr>
                      <w:t>管理制度</w:t>
                    </w:r>
                  </w:p>
                </w:txbxContent>
              </v:textbox>
            </v:shape>
            <v:shape id="_x0000_s1335" o:spid="_x0000_s1335" o:spt="202" type="#_x0000_t202" style="position:absolute;left:4000;top:1205;height:210;width:557;" filled="f" stroked="f" coordsize="21600,21600">
              <v:path/>
              <v:fill on="f" focussize="0,0"/>
              <v:stroke on="f"/>
              <v:imagedata o:title=""/>
              <o:lock v:ext="edit" aspectratio="f"/>
              <v:textbox inset="0mm,0mm,0mm,0mm">
                <w:txbxContent>
                  <w:p w14:paraId="31D84709">
                    <w:pPr>
                      <w:spacing w:before="19" w:line="218" w:lineRule="auto"/>
                      <w:ind w:left="20"/>
                      <w:rPr>
                        <w:rFonts w:ascii="宋体" w:hAnsi="宋体" w:eastAsia="宋体" w:cs="宋体"/>
                        <w:sz w:val="17"/>
                        <w:szCs w:val="17"/>
                      </w:rPr>
                    </w:pPr>
                    <w:r>
                      <w:rPr>
                        <w:rFonts w:ascii="宋体" w:hAnsi="宋体" w:eastAsia="宋体" w:cs="宋体"/>
                        <w:color w:val="76BEE8"/>
                        <w:spacing w:val="2"/>
                        <w:sz w:val="17"/>
                        <w:szCs w:val="17"/>
                      </w:rPr>
                      <w:t>百评估</w:t>
                    </w:r>
                  </w:p>
                </w:txbxContent>
              </v:textbox>
            </v:shape>
            <w10:wrap type="none"/>
            <w10:anchorlock/>
          </v:group>
        </w:pict>
      </w:r>
    </w:p>
    <w:p w14:paraId="0E1C9936">
      <w:pPr>
        <w:pStyle w:val="2"/>
        <w:spacing w:before="77" w:line="219" w:lineRule="auto"/>
        <w:ind w:left="3679"/>
        <w:rPr>
          <w:sz w:val="17"/>
          <w:szCs w:val="17"/>
        </w:rPr>
      </w:pPr>
      <w:r>
        <w:rPr>
          <w:spacing w:val="8"/>
          <w:sz w:val="17"/>
          <w:szCs w:val="17"/>
        </w:rPr>
        <w:t>图4-10  云数据中心安全体系架构</w:t>
      </w:r>
    </w:p>
    <w:p w14:paraId="4E11EE45">
      <w:pPr>
        <w:spacing w:before="286" w:line="224" w:lineRule="auto"/>
        <w:ind w:left="1250"/>
        <w:rPr>
          <w:rFonts w:ascii="楷体" w:hAnsi="楷体" w:eastAsia="楷体" w:cs="楷体"/>
          <w:sz w:val="17"/>
          <w:szCs w:val="17"/>
        </w:rPr>
      </w:pPr>
      <w:r>
        <w:rPr>
          <w:rFonts w:ascii="楷体" w:hAnsi="楷体" w:eastAsia="楷体" w:cs="楷体"/>
          <w:spacing w:val="-9"/>
          <w:sz w:val="17"/>
          <w:szCs w:val="17"/>
        </w:rPr>
        <w:t>6</w:t>
      </w:r>
      <w:r>
        <w:rPr>
          <w:rFonts w:ascii="楷体" w:hAnsi="楷体" w:eastAsia="楷体" w:cs="楷体"/>
          <w:spacing w:val="-32"/>
          <w:sz w:val="17"/>
          <w:szCs w:val="17"/>
        </w:rPr>
        <w:t xml:space="preserve"> </w:t>
      </w:r>
      <w:r>
        <w:rPr>
          <w:rFonts w:ascii="楷体" w:hAnsi="楷体" w:eastAsia="楷体" w:cs="楷体"/>
          <w:spacing w:val="-9"/>
          <w:sz w:val="17"/>
          <w:szCs w:val="17"/>
        </w:rPr>
        <w:t>)</w:t>
      </w:r>
      <w:r>
        <w:rPr>
          <w:rFonts w:ascii="楷体" w:hAnsi="楷体" w:eastAsia="楷体" w:cs="楷体"/>
          <w:spacing w:val="-19"/>
          <w:sz w:val="17"/>
          <w:szCs w:val="17"/>
        </w:rPr>
        <w:t xml:space="preserve"> </w:t>
      </w:r>
      <w:r>
        <w:rPr>
          <w:rFonts w:ascii="楷体" w:hAnsi="楷体" w:eastAsia="楷体" w:cs="楷体"/>
          <w:spacing w:val="-9"/>
          <w:sz w:val="17"/>
          <w:szCs w:val="17"/>
        </w:rPr>
        <w:t>节</w:t>
      </w:r>
      <w:r>
        <w:rPr>
          <w:rFonts w:ascii="楷体" w:hAnsi="楷体" w:eastAsia="楷体" w:cs="楷体"/>
          <w:spacing w:val="-15"/>
          <w:sz w:val="17"/>
          <w:szCs w:val="17"/>
        </w:rPr>
        <w:t xml:space="preserve"> </w:t>
      </w:r>
      <w:r>
        <w:rPr>
          <w:rFonts w:ascii="楷体" w:hAnsi="楷体" w:eastAsia="楷体" w:cs="楷体"/>
          <w:spacing w:val="-9"/>
          <w:sz w:val="17"/>
          <w:szCs w:val="17"/>
        </w:rPr>
        <w:t>能</w:t>
      </w:r>
      <w:r>
        <w:rPr>
          <w:rFonts w:ascii="楷体" w:hAnsi="楷体" w:eastAsia="楷体" w:cs="楷体"/>
          <w:spacing w:val="-28"/>
          <w:sz w:val="17"/>
          <w:szCs w:val="17"/>
        </w:rPr>
        <w:t xml:space="preserve"> </w:t>
      </w:r>
      <w:r>
        <w:rPr>
          <w:rFonts w:ascii="楷体" w:hAnsi="楷体" w:eastAsia="楷体" w:cs="楷体"/>
          <w:spacing w:val="-9"/>
          <w:sz w:val="17"/>
          <w:szCs w:val="17"/>
        </w:rPr>
        <w:t>技</w:t>
      </w:r>
      <w:r>
        <w:rPr>
          <w:rFonts w:ascii="楷体" w:hAnsi="楷体" w:eastAsia="楷体" w:cs="楷体"/>
          <w:spacing w:val="-27"/>
          <w:sz w:val="17"/>
          <w:szCs w:val="17"/>
        </w:rPr>
        <w:t xml:space="preserve"> </w:t>
      </w:r>
      <w:r>
        <w:rPr>
          <w:rFonts w:ascii="楷体" w:hAnsi="楷体" w:eastAsia="楷体" w:cs="楷体"/>
          <w:spacing w:val="-9"/>
          <w:sz w:val="17"/>
          <w:szCs w:val="17"/>
        </w:rPr>
        <w:t>术</w:t>
      </w:r>
    </w:p>
    <w:p w14:paraId="1030B3C5">
      <w:pPr>
        <w:pStyle w:val="2"/>
        <w:spacing w:before="115" w:line="219" w:lineRule="auto"/>
        <w:ind w:left="1250"/>
        <w:rPr>
          <w:sz w:val="17"/>
          <w:szCs w:val="17"/>
        </w:rPr>
      </w:pPr>
      <w:r>
        <w:rPr>
          <w:spacing w:val="31"/>
          <w:sz w:val="17"/>
          <w:szCs w:val="17"/>
        </w:rPr>
        <w:t>从企业角度出发，电能开销是云数据中心运营的重要成本之</w:t>
      </w:r>
      <w:r>
        <w:rPr>
          <w:spacing w:val="-41"/>
          <w:sz w:val="17"/>
          <w:szCs w:val="17"/>
        </w:rPr>
        <w:t xml:space="preserve"> </w:t>
      </w:r>
      <w:r>
        <w:rPr>
          <w:spacing w:val="31"/>
          <w:sz w:val="17"/>
          <w:szCs w:val="17"/>
        </w:rPr>
        <w:t>一</w:t>
      </w:r>
      <w:r>
        <w:rPr>
          <w:spacing w:val="-29"/>
          <w:sz w:val="17"/>
          <w:szCs w:val="17"/>
        </w:rPr>
        <w:t xml:space="preserve"> </w:t>
      </w:r>
      <w:r>
        <w:rPr>
          <w:spacing w:val="31"/>
          <w:sz w:val="17"/>
          <w:szCs w:val="17"/>
        </w:rPr>
        <w:t>；</w:t>
      </w:r>
      <w:r>
        <w:rPr>
          <w:spacing w:val="30"/>
          <w:sz w:val="17"/>
          <w:szCs w:val="17"/>
        </w:rPr>
        <w:t>从环境角度出发，保护环</w:t>
      </w:r>
    </w:p>
    <w:p w14:paraId="465DCFD0">
      <w:pPr>
        <w:spacing w:line="219" w:lineRule="auto"/>
        <w:rPr>
          <w:sz w:val="17"/>
          <w:szCs w:val="17"/>
        </w:rPr>
        <w:sectPr>
          <w:pgSz w:w="10300" w:h="13390"/>
          <w:pgMar w:top="400" w:right="1044" w:bottom="400" w:left="9" w:header="0" w:footer="0" w:gutter="0"/>
          <w:cols w:space="720" w:num="1"/>
        </w:sectPr>
      </w:pPr>
    </w:p>
    <w:p w14:paraId="241CA0E9">
      <w:pPr>
        <w:pStyle w:val="2"/>
        <w:spacing w:before="127" w:line="219" w:lineRule="auto"/>
        <w:jc w:val="right"/>
        <w:rPr>
          <w:rFonts w:ascii="Times New Roman" w:hAnsi="Times New Roman" w:eastAsia="Times New Roman" w:cs="Times New Roman"/>
          <w:sz w:val="17"/>
          <w:szCs w:val="17"/>
        </w:rPr>
      </w:pPr>
      <w:r>
        <w:rPr>
          <w:spacing w:val="-3"/>
          <w:sz w:val="20"/>
          <w:szCs w:val="20"/>
        </w:rPr>
        <w:t>第4章 信息资源系统</w:t>
      </w:r>
      <w:r>
        <w:rPr>
          <w:spacing w:val="8"/>
          <w:sz w:val="20"/>
          <w:szCs w:val="20"/>
        </w:rPr>
        <w:t xml:space="preserve">      </w:t>
      </w:r>
      <w:r>
        <w:rPr>
          <w:rFonts w:ascii="Times New Roman" w:hAnsi="Times New Roman" w:eastAsia="Times New Roman" w:cs="Times New Roman"/>
          <w:spacing w:val="-3"/>
          <w:sz w:val="17"/>
          <w:szCs w:val="17"/>
        </w:rPr>
        <w:t>151</w:t>
      </w:r>
    </w:p>
    <w:p w14:paraId="7D94E139">
      <w:pPr>
        <w:spacing w:line="285" w:lineRule="auto"/>
        <w:rPr>
          <w:rFonts w:ascii="Arial"/>
          <w:sz w:val="21"/>
        </w:rPr>
      </w:pPr>
    </w:p>
    <w:p w14:paraId="6702FCC9">
      <w:pPr>
        <w:pStyle w:val="2"/>
        <w:spacing w:before="65" w:line="282" w:lineRule="auto"/>
        <w:ind w:right="214"/>
        <w:jc w:val="both"/>
        <w:rPr>
          <w:sz w:val="20"/>
          <w:szCs w:val="20"/>
        </w:rPr>
      </w:pPr>
      <w:r>
        <w:rPr>
          <w:sz w:val="20"/>
          <w:szCs w:val="20"/>
        </w:rPr>
        <w:t>境、降低能源消耗也是每个企业应尽的社会责任。传统数据中心运行能</w:t>
      </w:r>
      <w:r>
        <w:rPr>
          <w:spacing w:val="-1"/>
          <w:sz w:val="20"/>
          <w:szCs w:val="20"/>
        </w:rPr>
        <w:t>耗及制冷能耗开销巨大，</w:t>
      </w:r>
      <w:r>
        <w:rPr>
          <w:sz w:val="20"/>
          <w:szCs w:val="20"/>
        </w:rPr>
        <w:t xml:space="preserve"> </w:t>
      </w:r>
      <w:r>
        <w:rPr>
          <w:spacing w:val="3"/>
          <w:sz w:val="20"/>
          <w:szCs w:val="20"/>
        </w:rPr>
        <w:t>由此带来了很大的经济负担，也不利于资源节约及环境保护，因此降低能耗也成</w:t>
      </w:r>
      <w:r>
        <w:rPr>
          <w:spacing w:val="2"/>
          <w:sz w:val="20"/>
          <w:szCs w:val="20"/>
        </w:rPr>
        <w:t>为设计建设新</w:t>
      </w:r>
      <w:r>
        <w:rPr>
          <w:sz w:val="20"/>
          <w:szCs w:val="20"/>
        </w:rPr>
        <w:t xml:space="preserve"> </w:t>
      </w:r>
      <w:r>
        <w:rPr>
          <w:spacing w:val="3"/>
          <w:sz w:val="20"/>
          <w:szCs w:val="20"/>
        </w:rPr>
        <w:t>一代数据中心的一个重要目标。在建设数据中心的地点选择上，大多数企业会考虑环境温度较</w:t>
      </w:r>
      <w:r>
        <w:rPr>
          <w:spacing w:val="14"/>
          <w:sz w:val="20"/>
          <w:szCs w:val="20"/>
        </w:rPr>
        <w:t xml:space="preserve"> </w:t>
      </w:r>
      <w:r>
        <w:rPr>
          <w:spacing w:val="3"/>
          <w:sz w:val="20"/>
          <w:szCs w:val="20"/>
        </w:rPr>
        <w:t>低的地点，从而利用当地适宜的气候和空气进行冷却。在供电方面，对新一代数据中心</w:t>
      </w:r>
      <w:r>
        <w:rPr>
          <w:spacing w:val="2"/>
          <w:sz w:val="20"/>
          <w:szCs w:val="20"/>
        </w:rPr>
        <w:t>的供电</w:t>
      </w:r>
      <w:r>
        <w:rPr>
          <w:sz w:val="20"/>
          <w:szCs w:val="20"/>
        </w:rPr>
        <w:t xml:space="preserve"> </w:t>
      </w:r>
      <w:r>
        <w:rPr>
          <w:spacing w:val="3"/>
          <w:sz w:val="20"/>
          <w:szCs w:val="20"/>
        </w:rPr>
        <w:t>可以采用风能、太阳能等清洁可再生能源，减少碳排放，应对全球气候变暖问题。同时，可以</w:t>
      </w:r>
      <w:r>
        <w:rPr>
          <w:spacing w:val="4"/>
          <w:sz w:val="20"/>
          <w:szCs w:val="20"/>
        </w:rPr>
        <w:t xml:space="preserve"> </w:t>
      </w:r>
      <w:r>
        <w:rPr>
          <w:spacing w:val="-1"/>
          <w:sz w:val="20"/>
          <w:szCs w:val="20"/>
        </w:rPr>
        <w:t>选择一些功耗较低，具有节能设计的硬件设施，也能有</w:t>
      </w:r>
      <w:r>
        <w:rPr>
          <w:spacing w:val="-2"/>
          <w:sz w:val="20"/>
          <w:szCs w:val="20"/>
        </w:rPr>
        <w:t>效降低能耗。</w:t>
      </w:r>
    </w:p>
    <w:p w14:paraId="55D934A9">
      <w:pPr>
        <w:pStyle w:val="2"/>
        <w:spacing w:before="42" w:line="281" w:lineRule="auto"/>
        <w:ind w:right="279" w:firstLine="410"/>
        <w:rPr>
          <w:sz w:val="20"/>
          <w:szCs w:val="20"/>
        </w:rPr>
      </w:pPr>
      <w:r>
        <w:rPr>
          <w:spacing w:val="6"/>
          <w:sz w:val="20"/>
          <w:szCs w:val="20"/>
        </w:rPr>
        <w:t>电能利用效率(</w:t>
      </w:r>
      <w:r>
        <w:rPr>
          <w:sz w:val="20"/>
          <w:szCs w:val="20"/>
        </w:rPr>
        <w:t>Power</w:t>
      </w:r>
      <w:r>
        <w:rPr>
          <w:spacing w:val="6"/>
          <w:sz w:val="20"/>
          <w:szCs w:val="20"/>
        </w:rPr>
        <w:t xml:space="preserve"> </w:t>
      </w:r>
      <w:r>
        <w:rPr>
          <w:sz w:val="20"/>
          <w:szCs w:val="20"/>
        </w:rPr>
        <w:t>Usage</w:t>
      </w:r>
      <w:r>
        <w:rPr>
          <w:spacing w:val="6"/>
          <w:sz w:val="20"/>
          <w:szCs w:val="20"/>
        </w:rPr>
        <w:t xml:space="preserve"> </w:t>
      </w:r>
      <w:r>
        <w:rPr>
          <w:sz w:val="20"/>
          <w:szCs w:val="20"/>
        </w:rPr>
        <w:t>Effectiveness</w:t>
      </w:r>
      <w:r>
        <w:rPr>
          <w:spacing w:val="6"/>
          <w:sz w:val="20"/>
          <w:szCs w:val="20"/>
        </w:rPr>
        <w:t>,</w:t>
      </w:r>
      <w:r>
        <w:rPr>
          <w:sz w:val="20"/>
          <w:szCs w:val="20"/>
        </w:rPr>
        <w:t>PUE</w:t>
      </w:r>
      <w:r>
        <w:rPr>
          <w:spacing w:val="6"/>
          <w:sz w:val="20"/>
          <w:szCs w:val="20"/>
        </w:rPr>
        <w:t>)</w:t>
      </w:r>
      <w:r>
        <w:rPr>
          <w:spacing w:val="-57"/>
          <w:sz w:val="20"/>
          <w:szCs w:val="20"/>
        </w:rPr>
        <w:t xml:space="preserve"> </w:t>
      </w:r>
      <w:r>
        <w:rPr>
          <w:spacing w:val="6"/>
          <w:sz w:val="20"/>
          <w:szCs w:val="20"/>
        </w:rPr>
        <w:t>是评价数据中心能源效率的指</w:t>
      </w:r>
      <w:r>
        <w:rPr>
          <w:spacing w:val="5"/>
          <w:sz w:val="20"/>
          <w:szCs w:val="20"/>
        </w:rPr>
        <w:t>标，是数</w:t>
      </w:r>
      <w:r>
        <w:rPr>
          <w:sz w:val="20"/>
          <w:szCs w:val="20"/>
        </w:rPr>
        <w:t xml:space="preserve"> </w:t>
      </w:r>
      <w:r>
        <w:rPr>
          <w:spacing w:val="5"/>
          <w:sz w:val="20"/>
          <w:szCs w:val="20"/>
        </w:rPr>
        <w:t>据中心消耗的所有能源与</w:t>
      </w:r>
      <w:r>
        <w:rPr>
          <w:sz w:val="20"/>
          <w:szCs w:val="20"/>
        </w:rPr>
        <w:t>IT</w:t>
      </w:r>
      <w:r>
        <w:rPr>
          <w:spacing w:val="-20"/>
          <w:sz w:val="20"/>
          <w:szCs w:val="20"/>
        </w:rPr>
        <w:t xml:space="preserve"> </w:t>
      </w:r>
      <w:r>
        <w:rPr>
          <w:spacing w:val="5"/>
          <w:sz w:val="20"/>
          <w:szCs w:val="20"/>
        </w:rPr>
        <w:t>负载使用的能源之比。</w:t>
      </w:r>
      <w:r>
        <w:rPr>
          <w:sz w:val="20"/>
          <w:szCs w:val="20"/>
        </w:rPr>
        <w:t>PUE</w:t>
      </w:r>
      <w:r>
        <w:rPr>
          <w:spacing w:val="54"/>
          <w:sz w:val="20"/>
          <w:szCs w:val="20"/>
        </w:rPr>
        <w:t xml:space="preserve"> </w:t>
      </w:r>
      <w:r>
        <w:rPr>
          <w:spacing w:val="5"/>
          <w:sz w:val="20"/>
          <w:szCs w:val="20"/>
        </w:rPr>
        <w:t>的值越接近于1,表示一个数据中心的</w:t>
      </w:r>
      <w:r>
        <w:rPr>
          <w:sz w:val="20"/>
          <w:szCs w:val="20"/>
        </w:rPr>
        <w:t xml:space="preserve"> </w:t>
      </w:r>
      <w:r>
        <w:rPr>
          <w:spacing w:val="1"/>
          <w:sz w:val="20"/>
          <w:szCs w:val="20"/>
        </w:rPr>
        <w:t>绿色化程度越高。在固定</w:t>
      </w:r>
      <w:r>
        <w:rPr>
          <w:rFonts w:ascii="Times New Roman" w:hAnsi="Times New Roman" w:eastAsia="Times New Roman" w:cs="Times New Roman"/>
          <w:sz w:val="20"/>
          <w:szCs w:val="20"/>
        </w:rPr>
        <w:t>IT</w:t>
      </w:r>
      <w:r>
        <w:rPr>
          <w:rFonts w:ascii="Times New Roman" w:hAnsi="Times New Roman" w:eastAsia="Times New Roman" w:cs="Times New Roman"/>
          <w:spacing w:val="37"/>
          <w:w w:val="101"/>
          <w:sz w:val="20"/>
          <w:szCs w:val="20"/>
        </w:rPr>
        <w:t xml:space="preserve"> </w:t>
      </w:r>
      <w:r>
        <w:rPr>
          <w:spacing w:val="1"/>
          <w:sz w:val="20"/>
          <w:szCs w:val="20"/>
        </w:rPr>
        <w:t>设备不变的条件下，其能耗主要由承载的业务负荷值决定。建立绿</w:t>
      </w:r>
      <w:r>
        <w:rPr>
          <w:sz w:val="20"/>
          <w:szCs w:val="20"/>
        </w:rPr>
        <w:t xml:space="preserve"> 色节能、低</w:t>
      </w:r>
      <w:r>
        <w:rPr>
          <w:rFonts w:ascii="Times New Roman" w:hAnsi="Times New Roman" w:eastAsia="Times New Roman" w:cs="Times New Roman"/>
          <w:sz w:val="20"/>
          <w:szCs w:val="20"/>
        </w:rPr>
        <w:t>PUE</w:t>
      </w:r>
      <w:r>
        <w:rPr>
          <w:rFonts w:ascii="Times New Roman" w:hAnsi="Times New Roman" w:eastAsia="Times New Roman" w:cs="Times New Roman"/>
          <w:spacing w:val="21"/>
          <w:w w:val="101"/>
          <w:sz w:val="20"/>
          <w:szCs w:val="20"/>
        </w:rPr>
        <w:t xml:space="preserve"> </w:t>
      </w:r>
      <w:r>
        <w:rPr>
          <w:sz w:val="20"/>
          <w:szCs w:val="20"/>
        </w:rPr>
        <w:t>的数据中心是提高能源利用效率、降低运营商能耗成本的根本解决途径。</w:t>
      </w:r>
    </w:p>
    <w:p w14:paraId="3469956D">
      <w:pPr>
        <w:pStyle w:val="2"/>
        <w:spacing w:before="28" w:line="219" w:lineRule="auto"/>
        <w:ind w:left="410"/>
        <w:rPr>
          <w:sz w:val="20"/>
          <w:szCs w:val="20"/>
        </w:rPr>
      </w:pPr>
      <w:r>
        <w:rPr>
          <w:rFonts w:ascii="Times New Roman" w:hAnsi="Times New Roman" w:eastAsia="Times New Roman" w:cs="Times New Roman"/>
          <w:sz w:val="20"/>
          <w:szCs w:val="20"/>
        </w:rPr>
        <w:t>PUE</w:t>
      </w:r>
      <w:r>
        <w:rPr>
          <w:rFonts w:ascii="Times New Roman" w:hAnsi="Times New Roman" w:eastAsia="Times New Roman" w:cs="Times New Roman"/>
          <w:spacing w:val="1"/>
          <w:sz w:val="20"/>
          <w:szCs w:val="20"/>
        </w:rPr>
        <w:t>=</w:t>
      </w:r>
      <w:r>
        <w:rPr>
          <w:spacing w:val="1"/>
          <w:sz w:val="20"/>
          <w:szCs w:val="20"/>
        </w:rPr>
        <w:t>数据中心的总用电量/</w:t>
      </w:r>
      <w:r>
        <w:rPr>
          <w:rFonts w:ascii="Times New Roman" w:hAnsi="Times New Roman" w:eastAsia="Times New Roman" w:cs="Times New Roman"/>
          <w:sz w:val="20"/>
          <w:szCs w:val="20"/>
        </w:rPr>
        <w:t>IT</w:t>
      </w:r>
      <w:r>
        <w:rPr>
          <w:rFonts w:ascii="Times New Roman" w:hAnsi="Times New Roman" w:eastAsia="Times New Roman" w:cs="Times New Roman"/>
          <w:spacing w:val="1"/>
          <w:sz w:val="20"/>
          <w:szCs w:val="20"/>
        </w:rPr>
        <w:t xml:space="preserve"> </w:t>
      </w:r>
      <w:r>
        <w:rPr>
          <w:spacing w:val="1"/>
          <w:sz w:val="20"/>
          <w:szCs w:val="20"/>
        </w:rPr>
        <w:t>设备的总用电量。</w:t>
      </w:r>
    </w:p>
    <w:p w14:paraId="4050BAAA">
      <w:pPr>
        <w:pStyle w:val="2"/>
        <w:spacing w:before="102" w:line="273" w:lineRule="auto"/>
        <w:ind w:right="260" w:firstLine="410"/>
        <w:rPr>
          <w:sz w:val="20"/>
          <w:szCs w:val="20"/>
        </w:rPr>
      </w:pPr>
      <w:r>
        <w:rPr>
          <w:spacing w:val="3"/>
          <w:sz w:val="20"/>
          <w:szCs w:val="20"/>
        </w:rPr>
        <w:t>在引进节能技术的同时，应该注意到数据中心机房是一个特殊的应用环境。机房因为通信</w:t>
      </w:r>
      <w:r>
        <w:rPr>
          <w:spacing w:val="16"/>
          <w:sz w:val="20"/>
          <w:szCs w:val="20"/>
        </w:rPr>
        <w:t xml:space="preserve"> </w:t>
      </w:r>
      <w:r>
        <w:rPr>
          <w:spacing w:val="-3"/>
          <w:sz w:val="20"/>
          <w:szCs w:val="20"/>
        </w:rPr>
        <w:t>设备的需求，必须保持恒温、恒湿及少尘的要求。</w:t>
      </w:r>
    </w:p>
    <w:p w14:paraId="5CF8FF80">
      <w:pPr>
        <w:pStyle w:val="2"/>
        <w:spacing w:before="114" w:line="222" w:lineRule="auto"/>
        <w:ind w:left="412"/>
        <w:rPr>
          <w:rFonts w:ascii="黑体" w:hAnsi="黑体" w:eastAsia="黑体" w:cs="黑体"/>
          <w:sz w:val="20"/>
          <w:szCs w:val="20"/>
        </w:rPr>
      </w:pPr>
      <w:r>
        <w:rPr>
          <w:b/>
          <w:bCs/>
          <w:color w:val="005FCC"/>
          <w:spacing w:val="1"/>
          <w:sz w:val="20"/>
          <w:szCs w:val="20"/>
        </w:rPr>
        <w:t>5.</w:t>
      </w:r>
      <w:r>
        <w:rPr>
          <w:rFonts w:ascii="黑体" w:hAnsi="黑体" w:eastAsia="黑体" w:cs="黑体"/>
          <w:b/>
          <w:bCs/>
          <w:color w:val="005FCC"/>
          <w:spacing w:val="1"/>
          <w:sz w:val="20"/>
          <w:szCs w:val="20"/>
        </w:rPr>
        <w:t>规划与建设</w:t>
      </w:r>
    </w:p>
    <w:p w14:paraId="6B91E1E5">
      <w:pPr>
        <w:spacing w:before="230" w:line="232" w:lineRule="auto"/>
        <w:ind w:left="410"/>
        <w:rPr>
          <w:rFonts w:ascii="楷体" w:hAnsi="楷体" w:eastAsia="楷体" w:cs="楷体"/>
          <w:sz w:val="20"/>
          <w:szCs w:val="20"/>
        </w:rPr>
      </w:pPr>
      <w:r>
        <w:rPr>
          <w:rFonts w:ascii="楷体" w:hAnsi="楷体" w:eastAsia="楷体" w:cs="楷体"/>
          <w:spacing w:val="14"/>
          <w:sz w:val="20"/>
          <w:szCs w:val="20"/>
        </w:rPr>
        <w:t>1)功能定位</w:t>
      </w:r>
    </w:p>
    <w:p w14:paraId="14A08314">
      <w:pPr>
        <w:pStyle w:val="2"/>
        <w:spacing w:before="51" w:line="283" w:lineRule="auto"/>
        <w:ind w:right="195" w:firstLine="410"/>
        <w:rPr>
          <w:sz w:val="20"/>
          <w:szCs w:val="20"/>
        </w:rPr>
      </w:pPr>
      <w:r>
        <w:rPr>
          <w:sz w:val="20"/>
          <w:szCs w:val="20"/>
        </w:rPr>
        <w:t>数据中心的规划由数据中心的性质、商业需求、规模、业务定位、扩展计划、可用性等</w:t>
      </w:r>
      <w:r>
        <w:rPr>
          <w:spacing w:val="-1"/>
          <w:sz w:val="20"/>
          <w:szCs w:val="20"/>
        </w:rPr>
        <w:t>级、</w:t>
      </w:r>
      <w:r>
        <w:rPr>
          <w:sz w:val="20"/>
          <w:szCs w:val="20"/>
        </w:rPr>
        <w:t xml:space="preserve"> </w:t>
      </w:r>
      <w:r>
        <w:rPr>
          <w:spacing w:val="3"/>
          <w:sz w:val="20"/>
          <w:szCs w:val="20"/>
        </w:rPr>
        <w:t>能源效率综合决定。数据中心根据使用的独立性划分为自用型数据中心与商业</w:t>
      </w:r>
      <w:r>
        <w:rPr>
          <w:spacing w:val="2"/>
          <w:sz w:val="20"/>
          <w:szCs w:val="20"/>
        </w:rPr>
        <w:t>化数据中心。根</w:t>
      </w:r>
      <w:r>
        <w:rPr>
          <w:sz w:val="20"/>
          <w:szCs w:val="20"/>
        </w:rPr>
        <w:t xml:space="preserve">  据企业不同的业务应用需求，数据中心的使用功能也不尽相同，主要有IT</w:t>
      </w:r>
      <w:r>
        <w:rPr>
          <w:spacing w:val="-41"/>
          <w:sz w:val="20"/>
          <w:szCs w:val="20"/>
        </w:rPr>
        <w:t xml:space="preserve"> </w:t>
      </w:r>
      <w:r>
        <w:rPr>
          <w:sz w:val="20"/>
          <w:szCs w:val="20"/>
        </w:rPr>
        <w:t>生产中心、IT</w:t>
      </w:r>
      <w:r>
        <w:rPr>
          <w:spacing w:val="-31"/>
          <w:sz w:val="20"/>
          <w:szCs w:val="20"/>
        </w:rPr>
        <w:t xml:space="preserve"> </w:t>
      </w:r>
      <w:r>
        <w:rPr>
          <w:spacing w:val="-1"/>
          <w:sz w:val="20"/>
          <w:szCs w:val="20"/>
        </w:rPr>
        <w:t>开发与</w:t>
      </w:r>
      <w:r>
        <w:rPr>
          <w:sz w:val="20"/>
          <w:szCs w:val="20"/>
        </w:rPr>
        <w:t xml:space="preserve">  测试中心、灾难备份中心。各类用途的数据中心还可以根据其用户类型、业务领域等进行细分，</w:t>
      </w:r>
      <w:r>
        <w:rPr>
          <w:spacing w:val="8"/>
          <w:sz w:val="20"/>
          <w:szCs w:val="20"/>
        </w:rPr>
        <w:t xml:space="preserve"> </w:t>
      </w:r>
      <w:r>
        <w:rPr>
          <w:spacing w:val="5"/>
          <w:sz w:val="20"/>
          <w:szCs w:val="20"/>
        </w:rPr>
        <w:t>如互联网数据中心、云计算数据中心、政务级数据中心等。</w:t>
      </w:r>
      <w:r>
        <w:rPr>
          <w:spacing w:val="-30"/>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 xml:space="preserve">   50174</w:t>
      </w:r>
      <w:r>
        <w:rPr>
          <w:spacing w:val="5"/>
          <w:sz w:val="20"/>
          <w:szCs w:val="20"/>
        </w:rPr>
        <w:t>《</w:t>
      </w:r>
      <w:r>
        <w:rPr>
          <w:spacing w:val="4"/>
          <w:sz w:val="20"/>
          <w:szCs w:val="20"/>
        </w:rPr>
        <w:t>数据中心设计规范》</w:t>
      </w:r>
      <w:r>
        <w:rPr>
          <w:sz w:val="20"/>
          <w:szCs w:val="20"/>
        </w:rPr>
        <w:t xml:space="preserve"> </w:t>
      </w:r>
      <w:r>
        <w:rPr>
          <w:spacing w:val="3"/>
          <w:sz w:val="20"/>
          <w:szCs w:val="20"/>
        </w:rPr>
        <w:t>分级的原则是从机房的使用性质、管理要求及重要</w:t>
      </w:r>
      <w:r>
        <w:rPr>
          <w:spacing w:val="2"/>
          <w:sz w:val="20"/>
          <w:szCs w:val="20"/>
        </w:rPr>
        <w:t>数据丢失或网络中断在经济或社会上造成的</w:t>
      </w:r>
      <w:r>
        <w:rPr>
          <w:sz w:val="20"/>
          <w:szCs w:val="20"/>
        </w:rPr>
        <w:t xml:space="preserve">  </w:t>
      </w:r>
      <w:r>
        <w:rPr>
          <w:spacing w:val="3"/>
          <w:sz w:val="20"/>
          <w:szCs w:val="20"/>
        </w:rPr>
        <w:t>损失或影响程度确定的，从高到低分为</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28"/>
          <w:sz w:val="20"/>
          <w:szCs w:val="20"/>
        </w:rPr>
        <w:t xml:space="preserve"> </w:t>
      </w:r>
      <w:r>
        <w:rPr>
          <w:spacing w:val="3"/>
          <w:sz w:val="20"/>
          <w:szCs w:val="20"/>
        </w:rPr>
        <w:t>、</w:t>
      </w:r>
      <w:r>
        <w:rPr>
          <w:rFonts w:ascii="Times New Roman" w:hAnsi="Times New Roman" w:eastAsia="Times New Roman" w:cs="Times New Roman"/>
          <w:spacing w:val="3"/>
          <w:sz w:val="20"/>
          <w:szCs w:val="20"/>
        </w:rPr>
        <w:t>B</w:t>
      </w:r>
      <w:r>
        <w:rPr>
          <w:rFonts w:ascii="Times New Roman" w:hAnsi="Times New Roman" w:eastAsia="Times New Roman" w:cs="Times New Roman"/>
          <w:spacing w:val="-29"/>
          <w:sz w:val="20"/>
          <w:szCs w:val="20"/>
        </w:rPr>
        <w:t xml:space="preserve"> </w:t>
      </w:r>
      <w:r>
        <w:rPr>
          <w:spacing w:val="3"/>
          <w:sz w:val="20"/>
          <w:szCs w:val="20"/>
        </w:rPr>
        <w:t>、</w:t>
      </w:r>
      <w:r>
        <w:rPr>
          <w:rFonts w:ascii="Times New Roman" w:hAnsi="Times New Roman" w:eastAsia="Times New Roman" w:cs="Times New Roman"/>
          <w:spacing w:val="3"/>
          <w:sz w:val="20"/>
          <w:szCs w:val="20"/>
        </w:rPr>
        <w:t xml:space="preserve">C </w:t>
      </w:r>
      <w:r>
        <w:rPr>
          <w:spacing w:val="3"/>
          <w:sz w:val="20"/>
          <w:szCs w:val="20"/>
        </w:rPr>
        <w:t>三级。国际分级标准</w:t>
      </w:r>
      <w:r>
        <w:rPr>
          <w:rFonts w:ascii="Times New Roman" w:hAnsi="Times New Roman" w:eastAsia="Times New Roman" w:cs="Times New Roman"/>
          <w:sz w:val="20"/>
          <w:szCs w:val="20"/>
        </w:rPr>
        <w:t>TIA</w:t>
      </w:r>
      <w:r>
        <w:rPr>
          <w:rFonts w:ascii="Times New Roman" w:hAnsi="Times New Roman" w:eastAsia="Times New Roman" w:cs="Times New Roman"/>
          <w:spacing w:val="2"/>
          <w:sz w:val="20"/>
          <w:szCs w:val="20"/>
        </w:rPr>
        <w:t>-942</w:t>
      </w:r>
      <w:r>
        <w:rPr>
          <w:spacing w:val="2"/>
          <w:sz w:val="20"/>
          <w:szCs w:val="20"/>
        </w:rPr>
        <w:t>《数据中心电信</w:t>
      </w:r>
      <w:r>
        <w:rPr>
          <w:sz w:val="20"/>
          <w:szCs w:val="20"/>
        </w:rPr>
        <w:t xml:space="preserve">  </w:t>
      </w:r>
      <w:r>
        <w:rPr>
          <w:spacing w:val="-2"/>
          <w:sz w:val="20"/>
          <w:szCs w:val="20"/>
        </w:rPr>
        <w:t>基础设施标准》的分级原则是可用性，从高到低分为</w:t>
      </w:r>
      <w:r>
        <w:rPr>
          <w:rFonts w:ascii="Times New Roman" w:hAnsi="Times New Roman" w:eastAsia="Times New Roman" w:cs="Times New Roman"/>
          <w:spacing w:val="-2"/>
          <w:sz w:val="20"/>
          <w:szCs w:val="20"/>
        </w:rPr>
        <w:t>T4</w:t>
      </w:r>
      <w:r>
        <w:rPr>
          <w:rFonts w:ascii="Times New Roman" w:hAnsi="Times New Roman" w:eastAsia="Times New Roman" w:cs="Times New Roman"/>
          <w:spacing w:val="-18"/>
          <w:sz w:val="20"/>
          <w:szCs w:val="20"/>
        </w:rPr>
        <w:t xml:space="preserve"> </w:t>
      </w:r>
      <w:r>
        <w:rPr>
          <w:spacing w:val="-2"/>
          <w:sz w:val="20"/>
          <w:szCs w:val="20"/>
        </w:rPr>
        <w:t>、</w:t>
      </w:r>
      <w:r>
        <w:rPr>
          <w:rFonts w:ascii="Times New Roman" w:hAnsi="Times New Roman" w:eastAsia="Times New Roman" w:cs="Times New Roman"/>
          <w:spacing w:val="-2"/>
          <w:sz w:val="20"/>
          <w:szCs w:val="20"/>
        </w:rPr>
        <w:t>T3</w:t>
      </w:r>
      <w:r>
        <w:rPr>
          <w:rFonts w:ascii="Times New Roman" w:hAnsi="Times New Roman" w:eastAsia="Times New Roman" w:cs="Times New Roman"/>
          <w:spacing w:val="-28"/>
          <w:sz w:val="20"/>
          <w:szCs w:val="20"/>
        </w:rPr>
        <w:t xml:space="preserve"> </w:t>
      </w:r>
      <w:r>
        <w:rPr>
          <w:spacing w:val="-2"/>
          <w:sz w:val="20"/>
          <w:szCs w:val="20"/>
        </w:rPr>
        <w:t>、</w:t>
      </w:r>
      <w:r>
        <w:rPr>
          <w:rFonts w:ascii="Times New Roman" w:hAnsi="Times New Roman" w:eastAsia="Times New Roman" w:cs="Times New Roman"/>
          <w:spacing w:val="-2"/>
          <w:sz w:val="20"/>
          <w:szCs w:val="20"/>
        </w:rPr>
        <w:t>T2</w:t>
      </w:r>
      <w:r>
        <w:rPr>
          <w:rFonts w:ascii="Times New Roman" w:hAnsi="Times New Roman" w:eastAsia="Times New Roman" w:cs="Times New Roman"/>
          <w:spacing w:val="-28"/>
          <w:sz w:val="20"/>
          <w:szCs w:val="20"/>
        </w:rPr>
        <w:t xml:space="preserve"> </w:t>
      </w:r>
      <w:r>
        <w:rPr>
          <w:spacing w:val="-2"/>
          <w:sz w:val="20"/>
          <w:szCs w:val="20"/>
        </w:rPr>
        <w:t>、</w:t>
      </w:r>
      <w:r>
        <w:rPr>
          <w:rFonts w:ascii="Times New Roman" w:hAnsi="Times New Roman" w:eastAsia="Times New Roman" w:cs="Times New Roman"/>
          <w:spacing w:val="-2"/>
          <w:sz w:val="20"/>
          <w:szCs w:val="20"/>
        </w:rPr>
        <w:t>T1</w:t>
      </w:r>
      <w:r>
        <w:rPr>
          <w:rFonts w:ascii="Times New Roman" w:hAnsi="Times New Roman" w:eastAsia="Times New Roman" w:cs="Times New Roman"/>
          <w:spacing w:val="18"/>
          <w:sz w:val="20"/>
          <w:szCs w:val="20"/>
        </w:rPr>
        <w:t xml:space="preserve"> </w:t>
      </w:r>
      <w:r>
        <w:rPr>
          <w:spacing w:val="-2"/>
          <w:sz w:val="20"/>
          <w:szCs w:val="20"/>
        </w:rPr>
        <w:t>四级。</w:t>
      </w:r>
    </w:p>
    <w:p w14:paraId="54ED575B">
      <w:pPr>
        <w:pStyle w:val="2"/>
        <w:spacing w:before="49" w:line="219" w:lineRule="auto"/>
        <w:ind w:left="410"/>
        <w:rPr>
          <w:sz w:val="20"/>
          <w:szCs w:val="20"/>
        </w:rPr>
      </w:pPr>
      <w:r>
        <w:rPr>
          <w:spacing w:val="-3"/>
          <w:sz w:val="20"/>
          <w:szCs w:val="20"/>
        </w:rPr>
        <w:t>各类型的数据中心呈现出以下发展特点：</w:t>
      </w:r>
    </w:p>
    <w:p w14:paraId="15C1113E">
      <w:pPr>
        <w:pStyle w:val="2"/>
        <w:spacing w:before="78" w:line="277" w:lineRule="auto"/>
        <w:ind w:left="680" w:right="245" w:hanging="270"/>
        <w:rPr>
          <w:sz w:val="20"/>
          <w:szCs w:val="20"/>
        </w:rPr>
      </w:pPr>
      <w:r>
        <w:rPr>
          <w:spacing w:val="3"/>
          <w:sz w:val="20"/>
          <w:szCs w:val="20"/>
        </w:rPr>
        <w:t>●城市数据中心向实时性和弹性化发展。从大数据防疫、智慧城市治</w:t>
      </w:r>
      <w:r>
        <w:rPr>
          <w:spacing w:val="2"/>
          <w:sz w:val="20"/>
          <w:szCs w:val="20"/>
        </w:rPr>
        <w:t>理到居民信息消费等</w:t>
      </w:r>
      <w:r>
        <w:rPr>
          <w:sz w:val="20"/>
          <w:szCs w:val="20"/>
        </w:rPr>
        <w:t xml:space="preserve"> </w:t>
      </w:r>
      <w:r>
        <w:rPr>
          <w:spacing w:val="1"/>
          <w:sz w:val="20"/>
          <w:szCs w:val="20"/>
        </w:rPr>
        <w:t>都需要数据中心提供底层算力支撑，面对突</w:t>
      </w:r>
      <w:r>
        <w:rPr>
          <w:sz w:val="20"/>
          <w:szCs w:val="20"/>
        </w:rPr>
        <w:t xml:space="preserve">如其来的巨大流量，城市数据中心如果不能 </w:t>
      </w:r>
      <w:r>
        <w:rPr>
          <w:spacing w:val="5"/>
          <w:sz w:val="20"/>
          <w:szCs w:val="20"/>
        </w:rPr>
        <w:t>提前准备计算资源进行弹性扩容，显然会力</w:t>
      </w:r>
      <w:r>
        <w:rPr>
          <w:spacing w:val="4"/>
          <w:sz w:val="20"/>
          <w:szCs w:val="20"/>
        </w:rPr>
        <w:t>不从心。随着我国城镇化进程的加速和5</w:t>
      </w:r>
      <w:r>
        <w:rPr>
          <w:rFonts w:ascii="Times New Roman" w:hAnsi="Times New Roman" w:eastAsia="Times New Roman" w:cs="Times New Roman"/>
          <w:spacing w:val="4"/>
          <w:sz w:val="20"/>
          <w:szCs w:val="20"/>
        </w:rPr>
        <w:t>G</w:t>
      </w:r>
      <w:r>
        <w:rPr>
          <w:rFonts w:ascii="Times New Roman" w:hAnsi="Times New Roman" w:eastAsia="Times New Roman" w:cs="Times New Roman"/>
          <w:sz w:val="20"/>
          <w:szCs w:val="20"/>
        </w:rPr>
        <w:t xml:space="preserve">  </w:t>
      </w:r>
      <w:r>
        <w:rPr>
          <w:spacing w:val="6"/>
          <w:sz w:val="20"/>
          <w:szCs w:val="20"/>
        </w:rPr>
        <w:t>商用的落地，未来对时延要求更为敏感的</w:t>
      </w:r>
      <w:r>
        <w:rPr>
          <w:rFonts w:ascii="Times New Roman" w:hAnsi="Times New Roman" w:eastAsia="Times New Roman" w:cs="Times New Roman"/>
          <w:sz w:val="20"/>
          <w:szCs w:val="20"/>
        </w:rPr>
        <w:t>VR</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AR</w:t>
      </w:r>
      <w:r>
        <w:rPr>
          <w:spacing w:val="6"/>
          <w:sz w:val="20"/>
          <w:szCs w:val="20"/>
        </w:rPr>
        <w:t>、移动医疗、远程教育等场景将会得</w:t>
      </w:r>
      <w:r>
        <w:rPr>
          <w:spacing w:val="15"/>
          <w:sz w:val="20"/>
          <w:szCs w:val="20"/>
        </w:rPr>
        <w:t xml:space="preserve"> </w:t>
      </w:r>
      <w:r>
        <w:rPr>
          <w:spacing w:val="1"/>
          <w:sz w:val="20"/>
          <w:szCs w:val="20"/>
        </w:rPr>
        <w:t>到更加广泛的推广应用，需要贴近用户聚集区域部署数据</w:t>
      </w:r>
      <w:r>
        <w:rPr>
          <w:sz w:val="20"/>
          <w:szCs w:val="20"/>
        </w:rPr>
        <w:t xml:space="preserve">中心，以保证系统的稳定性和 </w:t>
      </w:r>
      <w:r>
        <w:rPr>
          <w:spacing w:val="2"/>
          <w:sz w:val="20"/>
          <w:szCs w:val="20"/>
        </w:rPr>
        <w:t xml:space="preserve">数据的实时性。此外，城市数据中心需要充分考虑大范围自然灾害等不可控因素影响， </w:t>
      </w:r>
      <w:r>
        <w:rPr>
          <w:spacing w:val="-1"/>
          <w:sz w:val="20"/>
          <w:szCs w:val="20"/>
        </w:rPr>
        <w:t>也应该考虑城市数据中心的异地灾备，保障数据的安全性</w:t>
      </w:r>
      <w:r>
        <w:rPr>
          <w:spacing w:val="-2"/>
          <w:sz w:val="20"/>
          <w:szCs w:val="20"/>
        </w:rPr>
        <w:t>和业务的连续性。</w:t>
      </w:r>
    </w:p>
    <w:p w14:paraId="59F58DDB">
      <w:pPr>
        <w:pStyle w:val="2"/>
        <w:spacing w:before="115" w:line="280" w:lineRule="auto"/>
        <w:ind w:left="680" w:right="282" w:hanging="270"/>
        <w:rPr>
          <w:sz w:val="20"/>
          <w:szCs w:val="20"/>
        </w:rPr>
      </w:pPr>
      <w:r>
        <w:rPr>
          <w:spacing w:val="5"/>
          <w:sz w:val="20"/>
          <w:szCs w:val="20"/>
        </w:rPr>
        <w:t>●边缘数据中心实现计算能力下沉。随着5G、</w:t>
      </w:r>
      <w:r>
        <w:rPr>
          <w:sz w:val="20"/>
          <w:szCs w:val="20"/>
        </w:rPr>
        <w:t>AI</w:t>
      </w:r>
      <w:r>
        <w:rPr>
          <w:spacing w:val="5"/>
          <w:sz w:val="20"/>
          <w:szCs w:val="20"/>
        </w:rPr>
        <w:t xml:space="preserve"> 和工业互联网的发展，很多业务场景需</w:t>
      </w:r>
      <w:r>
        <w:rPr>
          <w:spacing w:val="16"/>
          <w:sz w:val="20"/>
          <w:szCs w:val="20"/>
        </w:rPr>
        <w:t xml:space="preserve"> </w:t>
      </w:r>
      <w:r>
        <w:rPr>
          <w:spacing w:val="4"/>
          <w:sz w:val="20"/>
          <w:szCs w:val="20"/>
        </w:rPr>
        <w:t>要超低的网络时延和海量、异构、多样性的数据接入</w:t>
      </w:r>
      <w:r>
        <w:rPr>
          <w:spacing w:val="3"/>
          <w:sz w:val="20"/>
          <w:szCs w:val="20"/>
        </w:rPr>
        <w:t>，“云计算+边缘计算”的新型数</w:t>
      </w:r>
      <w:r>
        <w:rPr>
          <w:sz w:val="20"/>
          <w:szCs w:val="20"/>
        </w:rPr>
        <w:t xml:space="preserve"> </w:t>
      </w:r>
      <w:r>
        <w:rPr>
          <w:spacing w:val="1"/>
          <w:sz w:val="20"/>
          <w:szCs w:val="20"/>
        </w:rPr>
        <w:t>据处理模式使云端数据处理能力下沉，未来大多数的数据需要边缘计算处理，对边缘数</w:t>
      </w:r>
      <w:r>
        <w:rPr>
          <w:sz w:val="20"/>
          <w:szCs w:val="20"/>
        </w:rPr>
        <w:t xml:space="preserve"> </w:t>
      </w:r>
      <w:r>
        <w:rPr>
          <w:spacing w:val="1"/>
          <w:sz w:val="20"/>
          <w:szCs w:val="20"/>
        </w:rPr>
        <w:t>据中心的需求将迅猛增长。同时，边缘计算与处于中心位置的云计算之间的算力协同成</w:t>
      </w:r>
      <w:r>
        <w:rPr>
          <w:sz w:val="20"/>
          <w:szCs w:val="20"/>
        </w:rPr>
        <w:t xml:space="preserve"> </w:t>
      </w:r>
      <w:r>
        <w:rPr>
          <w:spacing w:val="1"/>
          <w:sz w:val="20"/>
          <w:szCs w:val="20"/>
        </w:rPr>
        <w:t>为新的技术难题，需要在边缘计算、云计算及网络之间实现云网协同、云边协同和</w:t>
      </w:r>
      <w:r>
        <w:rPr>
          <w:sz w:val="20"/>
          <w:szCs w:val="20"/>
        </w:rPr>
        <w:t>边边</w:t>
      </w:r>
    </w:p>
    <w:p w14:paraId="706492B3">
      <w:pPr>
        <w:spacing w:line="280" w:lineRule="auto"/>
        <w:rPr>
          <w:sz w:val="20"/>
          <w:szCs w:val="20"/>
        </w:rPr>
        <w:sectPr>
          <w:pgSz w:w="10290" w:h="13280"/>
          <w:pgMar w:top="400" w:right="574" w:bottom="400" w:left="1109" w:header="0" w:footer="0" w:gutter="0"/>
          <w:cols w:space="720" w:num="1"/>
        </w:sectPr>
      </w:pPr>
    </w:p>
    <w:p w14:paraId="3C89D2FF">
      <w:pPr>
        <w:pStyle w:val="2"/>
        <w:spacing w:before="118" w:line="219" w:lineRule="auto"/>
        <w:rPr>
          <w:sz w:val="20"/>
          <w:szCs w:val="20"/>
        </w:rPr>
      </w:pPr>
      <w:r>
        <w:rPr>
          <w:rFonts w:ascii="Times New Roman" w:hAnsi="Times New Roman" w:eastAsia="Times New Roman" w:cs="Times New Roman"/>
          <w:spacing w:val="-1"/>
          <w:sz w:val="16"/>
          <w:szCs w:val="16"/>
        </w:rPr>
        <w:t xml:space="preserve">152                  </w:t>
      </w:r>
      <w:r>
        <w:rPr>
          <w:spacing w:val="-1"/>
          <w:sz w:val="20"/>
          <w:szCs w:val="20"/>
        </w:rPr>
        <w:t>信息系统监理师教程(第2版)</w:t>
      </w:r>
    </w:p>
    <w:p w14:paraId="462C09EA">
      <w:pPr>
        <w:spacing w:line="304" w:lineRule="auto"/>
        <w:rPr>
          <w:rFonts w:ascii="Arial"/>
          <w:sz w:val="21"/>
        </w:rPr>
      </w:pPr>
    </w:p>
    <w:p w14:paraId="2BF3ED07">
      <w:pPr>
        <w:pStyle w:val="2"/>
        <w:spacing w:before="65" w:line="219" w:lineRule="auto"/>
        <w:ind w:left="1070"/>
        <w:rPr>
          <w:sz w:val="20"/>
          <w:szCs w:val="20"/>
        </w:rPr>
      </w:pPr>
      <w:r>
        <w:rPr>
          <w:spacing w:val="-4"/>
          <w:sz w:val="20"/>
          <w:szCs w:val="20"/>
        </w:rPr>
        <w:t>协同，才能实现资源利用的最优化。</w:t>
      </w:r>
    </w:p>
    <w:p w14:paraId="7D0B4DE2">
      <w:pPr>
        <w:pStyle w:val="2"/>
        <w:spacing w:before="81" w:line="283" w:lineRule="auto"/>
        <w:ind w:left="1070" w:right="71" w:hanging="280"/>
        <w:rPr>
          <w:sz w:val="20"/>
          <w:szCs w:val="20"/>
        </w:rPr>
      </w:pPr>
      <w:r>
        <w:rPr>
          <w:spacing w:val="3"/>
          <w:sz w:val="20"/>
          <w:szCs w:val="20"/>
        </w:rPr>
        <w:t>●数据中心和网络建设协同布局。构建基于云、网</w:t>
      </w:r>
      <w:r>
        <w:rPr>
          <w:spacing w:val="2"/>
          <w:sz w:val="20"/>
          <w:szCs w:val="20"/>
        </w:rPr>
        <w:t>、边、端深度融合的算力网络，满足在</w:t>
      </w:r>
      <w:r>
        <w:rPr>
          <w:sz w:val="20"/>
          <w:szCs w:val="20"/>
        </w:rPr>
        <w:t xml:space="preserve"> 云、网、边、端之间按需分配和灵活调度计算资源、存储资源等需求。实施网络扁平化</w:t>
      </w:r>
      <w:r>
        <w:rPr>
          <w:spacing w:val="17"/>
          <w:sz w:val="20"/>
          <w:szCs w:val="20"/>
        </w:rPr>
        <w:t xml:space="preserve"> </w:t>
      </w:r>
      <w:r>
        <w:rPr>
          <w:spacing w:val="1"/>
          <w:sz w:val="20"/>
          <w:szCs w:val="20"/>
        </w:rPr>
        <w:t>改造，推动大型数据中心聚集区升级建设互联网骨干核心节点或互联网交换中心。</w:t>
      </w:r>
      <w:r>
        <w:rPr>
          <w:sz w:val="20"/>
          <w:szCs w:val="20"/>
        </w:rPr>
        <w:t xml:space="preserve">推进 </w:t>
      </w:r>
      <w:r>
        <w:rPr>
          <w:spacing w:val="1"/>
          <w:sz w:val="20"/>
          <w:szCs w:val="20"/>
        </w:rPr>
        <w:t>数据中心之间建设超高速、低时延、高可靠的数据中心直联网络，满足数据中心跨地域</w:t>
      </w:r>
      <w:r>
        <w:rPr>
          <w:sz w:val="20"/>
          <w:szCs w:val="20"/>
        </w:rPr>
        <w:t xml:space="preserve"> 资源调度和互访需求。根据业务场景、时延、安全、容量等要求，在基站到核心网络节</w:t>
      </w:r>
      <w:r>
        <w:rPr>
          <w:spacing w:val="18"/>
          <w:sz w:val="20"/>
          <w:szCs w:val="20"/>
        </w:rPr>
        <w:t xml:space="preserve"> </w:t>
      </w:r>
      <w:r>
        <w:rPr>
          <w:spacing w:val="-1"/>
          <w:sz w:val="20"/>
          <w:szCs w:val="20"/>
        </w:rPr>
        <w:t>点之间的不同位置上合理部署边缘计算，形成多</w:t>
      </w:r>
      <w:r>
        <w:rPr>
          <w:spacing w:val="-2"/>
          <w:sz w:val="20"/>
          <w:szCs w:val="20"/>
        </w:rPr>
        <w:t>级协同的边缘计算网络架构。</w:t>
      </w:r>
    </w:p>
    <w:p w14:paraId="57344F83">
      <w:pPr>
        <w:pStyle w:val="2"/>
        <w:spacing w:before="101" w:line="298" w:lineRule="auto"/>
        <w:ind w:left="1070" w:hanging="280"/>
        <w:rPr>
          <w:sz w:val="16"/>
          <w:szCs w:val="16"/>
        </w:rPr>
      </w:pPr>
      <w:r>
        <w:rPr>
          <w:spacing w:val="3"/>
          <w:sz w:val="20"/>
          <w:szCs w:val="20"/>
        </w:rPr>
        <w:t>●试点探索建设国际化数据中心。面对全球广</w:t>
      </w:r>
      <w:r>
        <w:rPr>
          <w:spacing w:val="2"/>
          <w:sz w:val="20"/>
          <w:szCs w:val="20"/>
        </w:rPr>
        <w:t>阔的市场前景，在自贸区、“一带一路”沿</w:t>
      </w:r>
      <w:r>
        <w:rPr>
          <w:sz w:val="20"/>
          <w:szCs w:val="20"/>
        </w:rPr>
        <w:t xml:space="preserve">  </w:t>
      </w:r>
      <w:r>
        <w:rPr>
          <w:spacing w:val="1"/>
          <w:sz w:val="20"/>
          <w:szCs w:val="20"/>
        </w:rPr>
        <w:t>线地区等对外开放前沿地区试点探索国际化数据中心，面向亚太及全球市场</w:t>
      </w:r>
      <w:r>
        <w:rPr>
          <w:sz w:val="20"/>
          <w:szCs w:val="20"/>
        </w:rPr>
        <w:t xml:space="preserve">，探索利用 </w:t>
      </w:r>
      <w:r>
        <w:rPr>
          <w:spacing w:val="3"/>
          <w:sz w:val="20"/>
          <w:szCs w:val="20"/>
        </w:rPr>
        <w:t>更优路由、更低时延、更低成本服务国际用户。数据中心企业加强云计算、</w:t>
      </w:r>
      <w:r>
        <w:rPr>
          <w:spacing w:val="2"/>
          <w:sz w:val="20"/>
          <w:szCs w:val="20"/>
        </w:rPr>
        <w:t>人工智能、</w:t>
      </w:r>
      <w:r>
        <w:rPr>
          <w:sz w:val="20"/>
          <w:szCs w:val="20"/>
        </w:rPr>
        <w:t xml:space="preserve"> </w:t>
      </w:r>
      <w:r>
        <w:rPr>
          <w:spacing w:val="1"/>
          <w:sz w:val="20"/>
          <w:szCs w:val="20"/>
        </w:rPr>
        <w:t>区块链等能力建设，丰富服务种类，提高国际竞</w:t>
      </w:r>
      <w:r>
        <w:rPr>
          <w:sz w:val="20"/>
          <w:szCs w:val="20"/>
        </w:rPr>
        <w:t xml:space="preserve">争能力，创新商业模式，积极拓展海外  </w:t>
      </w:r>
      <w:r>
        <w:rPr>
          <w:spacing w:val="-6"/>
          <w:sz w:val="16"/>
          <w:szCs w:val="16"/>
        </w:rPr>
        <w:t>市</w:t>
      </w:r>
      <w:r>
        <w:rPr>
          <w:spacing w:val="-22"/>
          <w:sz w:val="16"/>
          <w:szCs w:val="16"/>
        </w:rPr>
        <w:t xml:space="preserve"> </w:t>
      </w:r>
      <w:r>
        <w:rPr>
          <w:spacing w:val="-6"/>
          <w:sz w:val="16"/>
          <w:szCs w:val="16"/>
        </w:rPr>
        <w:t>场</w:t>
      </w:r>
      <w:r>
        <w:rPr>
          <w:spacing w:val="-28"/>
          <w:sz w:val="16"/>
          <w:szCs w:val="16"/>
        </w:rPr>
        <w:t xml:space="preserve"> </w:t>
      </w:r>
      <w:r>
        <w:rPr>
          <w:spacing w:val="-6"/>
          <w:sz w:val="16"/>
          <w:szCs w:val="16"/>
        </w:rPr>
        <w:t>。</w:t>
      </w:r>
    </w:p>
    <w:p w14:paraId="5418B9EB">
      <w:pPr>
        <w:spacing w:before="174" w:line="230" w:lineRule="auto"/>
        <w:ind w:left="790"/>
        <w:rPr>
          <w:rFonts w:ascii="楷体" w:hAnsi="楷体" w:eastAsia="楷体" w:cs="楷体"/>
          <w:sz w:val="20"/>
          <w:szCs w:val="20"/>
        </w:rPr>
      </w:pPr>
      <w:r>
        <w:rPr>
          <w:rFonts w:ascii="楷体" w:hAnsi="楷体" w:eastAsia="楷体" w:cs="楷体"/>
          <w:spacing w:val="10"/>
          <w:sz w:val="20"/>
          <w:szCs w:val="20"/>
        </w:rPr>
        <w:t>2)建设项目分类</w:t>
      </w:r>
    </w:p>
    <w:p w14:paraId="03EC2A11">
      <w:pPr>
        <w:pStyle w:val="2"/>
        <w:spacing w:before="58" w:line="277" w:lineRule="auto"/>
        <w:ind w:left="400" w:right="16" w:firstLine="389"/>
        <w:jc w:val="both"/>
        <w:rPr>
          <w:sz w:val="20"/>
          <w:szCs w:val="20"/>
        </w:rPr>
      </w:pPr>
      <w:r>
        <w:rPr>
          <w:spacing w:val="3"/>
          <w:sz w:val="20"/>
          <w:szCs w:val="20"/>
        </w:rPr>
        <w:t>云计算数据中心的建设应在遵循安全适用的</w:t>
      </w:r>
      <w:r>
        <w:rPr>
          <w:spacing w:val="2"/>
          <w:sz w:val="20"/>
          <w:szCs w:val="20"/>
        </w:rPr>
        <w:t>基础上，以合理控制投资、降低成本、提高投</w:t>
      </w:r>
      <w:r>
        <w:rPr>
          <w:sz w:val="20"/>
          <w:szCs w:val="20"/>
        </w:rPr>
        <w:t xml:space="preserve"> </w:t>
      </w:r>
      <w:r>
        <w:rPr>
          <w:spacing w:val="-1"/>
          <w:sz w:val="20"/>
          <w:szCs w:val="20"/>
        </w:rPr>
        <w:t>入产出比为指导原则。建设项目分类主要包括建筑工程、机房空调与配电工程、供电系统工程、</w:t>
      </w:r>
      <w:r>
        <w:rPr>
          <w:spacing w:val="5"/>
          <w:sz w:val="20"/>
          <w:szCs w:val="20"/>
        </w:rPr>
        <w:t xml:space="preserve"> </w:t>
      </w:r>
      <w:r>
        <w:rPr>
          <w:spacing w:val="-4"/>
          <w:sz w:val="20"/>
          <w:szCs w:val="20"/>
        </w:rPr>
        <w:t>机房工艺工程等方面。</w:t>
      </w:r>
    </w:p>
    <w:p w14:paraId="25AA7BE1">
      <w:pPr>
        <w:pStyle w:val="2"/>
        <w:spacing w:before="20" w:line="276" w:lineRule="auto"/>
        <w:ind w:left="1070" w:right="90" w:hanging="280"/>
        <w:rPr>
          <w:sz w:val="20"/>
          <w:szCs w:val="20"/>
        </w:rPr>
      </w:pPr>
      <w:r>
        <w:rPr>
          <w:spacing w:val="3"/>
          <w:sz w:val="20"/>
          <w:szCs w:val="20"/>
        </w:rPr>
        <w:t>●建筑工程：主要包括机房楼和动力中心工程</w:t>
      </w:r>
      <w:r>
        <w:rPr>
          <w:spacing w:val="2"/>
          <w:sz w:val="20"/>
          <w:szCs w:val="20"/>
        </w:rPr>
        <w:t>，包括土建工程、外立面装饰工程、室内装</w:t>
      </w:r>
      <w:r>
        <w:rPr>
          <w:sz w:val="20"/>
          <w:szCs w:val="20"/>
        </w:rPr>
        <w:t xml:space="preserve"> 饰工程、动力照明及防雷接地工程、火灾自动报警系统、给水排水及水消防工程、气体</w:t>
      </w:r>
      <w:r>
        <w:rPr>
          <w:spacing w:val="17"/>
          <w:sz w:val="20"/>
          <w:szCs w:val="20"/>
        </w:rPr>
        <w:t xml:space="preserve"> </w:t>
      </w:r>
      <w:r>
        <w:rPr>
          <w:spacing w:val="-1"/>
          <w:sz w:val="20"/>
          <w:szCs w:val="20"/>
        </w:rPr>
        <w:t>消防工程、通风及防排烟工程、辅助用房空调工程、智能化系统、</w:t>
      </w:r>
      <w:r>
        <w:rPr>
          <w:spacing w:val="-2"/>
          <w:sz w:val="20"/>
          <w:szCs w:val="20"/>
        </w:rPr>
        <w:t>电梯工程等。</w:t>
      </w:r>
    </w:p>
    <w:p w14:paraId="683FA563">
      <w:pPr>
        <w:pStyle w:val="2"/>
        <w:spacing w:before="92" w:line="253" w:lineRule="auto"/>
        <w:ind w:left="1070" w:hanging="280"/>
        <w:rPr>
          <w:sz w:val="20"/>
          <w:szCs w:val="20"/>
        </w:rPr>
      </w:pPr>
      <w:r>
        <w:rPr>
          <w:spacing w:val="10"/>
          <w:sz w:val="20"/>
          <w:szCs w:val="20"/>
        </w:rPr>
        <w:t>●机房空调与配电工程：主要包括机房防静电架空地板(含保温工程)、机房空调工</w:t>
      </w:r>
      <w:r>
        <w:rPr>
          <w:spacing w:val="9"/>
          <w:sz w:val="20"/>
          <w:szCs w:val="20"/>
        </w:rPr>
        <w:t>程、</w:t>
      </w:r>
      <w:r>
        <w:rPr>
          <w:sz w:val="20"/>
          <w:szCs w:val="20"/>
        </w:rPr>
        <w:t xml:space="preserve"> </w:t>
      </w:r>
      <w:r>
        <w:rPr>
          <w:spacing w:val="-3"/>
          <w:sz w:val="20"/>
          <w:szCs w:val="20"/>
        </w:rPr>
        <w:t>空调配电工程、空调自控系统等。</w:t>
      </w:r>
    </w:p>
    <w:p w14:paraId="70AAED2C">
      <w:pPr>
        <w:pStyle w:val="2"/>
        <w:spacing w:before="82" w:line="262" w:lineRule="auto"/>
        <w:ind w:left="1070" w:right="91" w:hanging="280"/>
        <w:rPr>
          <w:sz w:val="20"/>
          <w:szCs w:val="20"/>
        </w:rPr>
      </w:pPr>
      <w:r>
        <w:rPr>
          <w:spacing w:val="-1"/>
          <w:sz w:val="20"/>
          <w:szCs w:val="20"/>
        </w:rPr>
        <w:t>●供电系统工程：主要包括列头配电工程、</w:t>
      </w:r>
      <w:r>
        <w:rPr>
          <w:spacing w:val="-26"/>
          <w:sz w:val="20"/>
          <w:szCs w:val="20"/>
        </w:rPr>
        <w:t xml:space="preserve"> </w:t>
      </w:r>
      <w:r>
        <w:rPr>
          <w:spacing w:val="-1"/>
          <w:sz w:val="20"/>
          <w:szCs w:val="20"/>
        </w:rPr>
        <w:t>UPS</w:t>
      </w:r>
      <w:r>
        <w:rPr>
          <w:spacing w:val="63"/>
          <w:sz w:val="20"/>
          <w:szCs w:val="20"/>
        </w:rPr>
        <w:t xml:space="preserve"> </w:t>
      </w:r>
      <w:r>
        <w:rPr>
          <w:spacing w:val="-1"/>
          <w:sz w:val="20"/>
          <w:szCs w:val="20"/>
        </w:rPr>
        <w:t>电源工程、变配电工程、油机工程、监控</w:t>
      </w:r>
      <w:r>
        <w:rPr>
          <w:sz w:val="20"/>
          <w:szCs w:val="20"/>
        </w:rPr>
        <w:t xml:space="preserve"> </w:t>
      </w:r>
      <w:r>
        <w:rPr>
          <w:spacing w:val="-3"/>
          <w:sz w:val="20"/>
          <w:szCs w:val="20"/>
        </w:rPr>
        <w:t>系统及外市电引入、变电站工程等。</w:t>
      </w:r>
    </w:p>
    <w:p w14:paraId="1B907626">
      <w:pPr>
        <w:pStyle w:val="2"/>
        <w:spacing w:before="72" w:line="270" w:lineRule="auto"/>
        <w:ind w:left="1070" w:right="91" w:hanging="280"/>
        <w:rPr>
          <w:sz w:val="20"/>
          <w:szCs w:val="20"/>
        </w:rPr>
      </w:pPr>
      <w:r>
        <w:rPr>
          <w:spacing w:val="3"/>
          <w:sz w:val="20"/>
          <w:szCs w:val="20"/>
        </w:rPr>
        <w:t>●机房工艺工程：主要包括数据中心机房内</w:t>
      </w:r>
      <w:r>
        <w:rPr>
          <w:spacing w:val="2"/>
          <w:sz w:val="20"/>
          <w:szCs w:val="20"/>
        </w:rPr>
        <w:t>的服务器机柜、走线架、尾纤槽、列头柜至服</w:t>
      </w:r>
      <w:r>
        <w:rPr>
          <w:sz w:val="20"/>
          <w:szCs w:val="20"/>
        </w:rPr>
        <w:t xml:space="preserve"> 务器机柜的电力电缆及服务器机柜接地电缆、主配线区至各数据机房水平配线区的综合</w:t>
      </w:r>
      <w:r>
        <w:rPr>
          <w:spacing w:val="17"/>
          <w:sz w:val="20"/>
          <w:szCs w:val="20"/>
        </w:rPr>
        <w:t xml:space="preserve"> </w:t>
      </w:r>
      <w:r>
        <w:rPr>
          <w:spacing w:val="-4"/>
          <w:sz w:val="20"/>
          <w:szCs w:val="20"/>
        </w:rPr>
        <w:t>布线及相关安装工程等。</w:t>
      </w:r>
    </w:p>
    <w:p w14:paraId="0476EA01">
      <w:pPr>
        <w:spacing w:before="182" w:line="226" w:lineRule="auto"/>
        <w:ind w:left="790"/>
        <w:rPr>
          <w:rFonts w:ascii="楷体" w:hAnsi="楷体" w:eastAsia="楷体" w:cs="楷体"/>
          <w:sz w:val="20"/>
          <w:szCs w:val="20"/>
        </w:rPr>
      </w:pPr>
      <w:r>
        <w:rPr>
          <w:rFonts w:ascii="楷体" w:hAnsi="楷体" w:eastAsia="楷体" w:cs="楷体"/>
          <w:spacing w:val="14"/>
          <w:sz w:val="20"/>
          <w:szCs w:val="20"/>
        </w:rPr>
        <w:t>3)建设布局</w:t>
      </w:r>
    </w:p>
    <w:p w14:paraId="07702E09">
      <w:pPr>
        <w:pStyle w:val="2"/>
        <w:spacing w:before="67" w:line="219" w:lineRule="auto"/>
        <w:ind w:left="790"/>
        <w:rPr>
          <w:sz w:val="20"/>
          <w:szCs w:val="20"/>
        </w:rPr>
      </w:pPr>
      <w:r>
        <w:rPr>
          <w:spacing w:val="2"/>
          <w:sz w:val="20"/>
          <w:szCs w:val="20"/>
        </w:rPr>
        <w:t>(1)数据中心的选址要求具体如下：</w:t>
      </w:r>
    </w:p>
    <w:p w14:paraId="1CAB872C">
      <w:pPr>
        <w:pStyle w:val="2"/>
        <w:spacing w:before="73" w:line="219" w:lineRule="auto"/>
        <w:ind w:left="790"/>
        <w:rPr>
          <w:sz w:val="20"/>
          <w:szCs w:val="20"/>
        </w:rPr>
      </w:pPr>
      <w:r>
        <w:rPr>
          <w:spacing w:val="1"/>
          <w:sz w:val="20"/>
          <w:szCs w:val="20"/>
        </w:rPr>
        <w:t>●数据中心总体规划应符合国家、上级主管</w:t>
      </w:r>
      <w:r>
        <w:rPr>
          <w:sz w:val="20"/>
          <w:szCs w:val="20"/>
        </w:rPr>
        <w:t>部门、城市规划等部门的总体规划要求。</w:t>
      </w:r>
    </w:p>
    <w:p w14:paraId="233971F4">
      <w:pPr>
        <w:pStyle w:val="2"/>
        <w:spacing w:before="81" w:line="219" w:lineRule="auto"/>
        <w:ind w:left="790"/>
        <w:rPr>
          <w:sz w:val="20"/>
          <w:szCs w:val="20"/>
        </w:rPr>
      </w:pPr>
      <w:r>
        <w:rPr>
          <w:spacing w:val="1"/>
          <w:sz w:val="20"/>
          <w:szCs w:val="20"/>
        </w:rPr>
        <w:t>●电力供给充足且稳定可靠，通信快速畅通，交通便捷。</w:t>
      </w:r>
    </w:p>
    <w:p w14:paraId="48D64B9A">
      <w:pPr>
        <w:pStyle w:val="2"/>
        <w:spacing w:before="73" w:line="219" w:lineRule="auto"/>
        <w:ind w:left="790"/>
        <w:rPr>
          <w:sz w:val="20"/>
          <w:szCs w:val="20"/>
        </w:rPr>
      </w:pPr>
      <w:r>
        <w:rPr>
          <w:spacing w:val="1"/>
          <w:sz w:val="20"/>
          <w:szCs w:val="20"/>
        </w:rPr>
        <w:t>●采用水蒸发冷却方式制冷的数据中心，水源应充足。</w:t>
      </w:r>
    </w:p>
    <w:p w14:paraId="2DAE926F">
      <w:pPr>
        <w:pStyle w:val="2"/>
        <w:spacing w:before="84" w:line="220" w:lineRule="auto"/>
        <w:ind w:left="790"/>
        <w:rPr>
          <w:sz w:val="20"/>
          <w:szCs w:val="20"/>
        </w:rPr>
      </w:pPr>
      <w:r>
        <w:rPr>
          <w:sz w:val="20"/>
          <w:szCs w:val="20"/>
        </w:rPr>
        <w:t>●自然环境应清洁，环境温度应有利于节约能源。</w:t>
      </w:r>
    </w:p>
    <w:p w14:paraId="68B2ACCC">
      <w:pPr>
        <w:pStyle w:val="2"/>
        <w:spacing w:before="100" w:line="218" w:lineRule="auto"/>
        <w:ind w:left="790"/>
        <w:rPr>
          <w:sz w:val="20"/>
          <w:szCs w:val="20"/>
        </w:rPr>
      </w:pPr>
      <w:r>
        <w:rPr>
          <w:spacing w:val="1"/>
          <w:sz w:val="20"/>
          <w:szCs w:val="20"/>
        </w:rPr>
        <w:t>●应远离产生粉尘、油烟、有害气体及生产或贮存具有腐蚀性、易燃、易爆物品的场所。</w:t>
      </w:r>
    </w:p>
    <w:p w14:paraId="3C5C0B40">
      <w:pPr>
        <w:pStyle w:val="2"/>
        <w:spacing w:before="65" w:line="252" w:lineRule="auto"/>
        <w:ind w:left="1070" w:right="70" w:hanging="280"/>
        <w:rPr>
          <w:sz w:val="20"/>
          <w:szCs w:val="20"/>
        </w:rPr>
      </w:pPr>
      <w:r>
        <w:rPr>
          <w:spacing w:val="-2"/>
          <w:sz w:val="20"/>
          <w:szCs w:val="20"/>
        </w:rPr>
        <w:t>●应远离水灾、火灾及地震等自然灾害隐患区域，应避开低洼、潮湿、落雷频率高、盐</w:t>
      </w:r>
      <w:r>
        <w:rPr>
          <w:spacing w:val="-3"/>
          <w:sz w:val="20"/>
          <w:szCs w:val="20"/>
        </w:rPr>
        <w:t>害重</w:t>
      </w:r>
      <w:r>
        <w:rPr>
          <w:sz w:val="20"/>
          <w:szCs w:val="20"/>
        </w:rPr>
        <w:t xml:space="preserve"> </w:t>
      </w:r>
      <w:r>
        <w:rPr>
          <w:spacing w:val="-4"/>
          <w:sz w:val="20"/>
          <w:szCs w:val="20"/>
        </w:rPr>
        <w:t>和地震频繁的地方，避免设在矿山“采空区”及杂填土、淤泥、</w:t>
      </w:r>
      <w:r>
        <w:rPr>
          <w:spacing w:val="-5"/>
          <w:sz w:val="20"/>
          <w:szCs w:val="20"/>
        </w:rPr>
        <w:t>流沙层、地层断裂地区。</w:t>
      </w:r>
    </w:p>
    <w:p w14:paraId="08397C20">
      <w:pPr>
        <w:spacing w:line="252" w:lineRule="auto"/>
        <w:rPr>
          <w:sz w:val="20"/>
          <w:szCs w:val="20"/>
        </w:rPr>
        <w:sectPr>
          <w:pgSz w:w="10300" w:h="13340"/>
          <w:pgMar w:top="400" w:right="1019" w:bottom="400" w:left="499" w:header="0" w:footer="0" w:gutter="0"/>
          <w:cols w:space="720" w:num="1"/>
        </w:sectPr>
      </w:pPr>
    </w:p>
    <w:p w14:paraId="5FAB5B8D">
      <w:pPr>
        <w:pStyle w:val="2"/>
        <w:spacing w:before="116" w:line="219" w:lineRule="auto"/>
        <w:jc w:val="right"/>
        <w:rPr>
          <w:rFonts w:ascii="Times New Roman" w:hAnsi="Times New Roman" w:eastAsia="Times New Roman" w:cs="Times New Roman"/>
          <w:sz w:val="17"/>
          <w:szCs w:val="17"/>
        </w:rPr>
      </w:pPr>
      <w:bookmarkStart w:id="556" w:name="bookmark542"/>
      <w:bookmarkEnd w:id="556"/>
      <w:r>
        <w:rPr>
          <w:spacing w:val="-3"/>
          <w:sz w:val="20"/>
          <w:szCs w:val="20"/>
        </w:rPr>
        <w:t>第4章 信息资源系统</w:t>
      </w:r>
      <w:r>
        <w:rPr>
          <w:spacing w:val="6"/>
          <w:sz w:val="20"/>
          <w:szCs w:val="20"/>
        </w:rPr>
        <w:t xml:space="preserve">      </w:t>
      </w:r>
      <w:r>
        <w:rPr>
          <w:rFonts w:ascii="Times New Roman" w:hAnsi="Times New Roman" w:eastAsia="Times New Roman" w:cs="Times New Roman"/>
          <w:spacing w:val="-3"/>
          <w:sz w:val="17"/>
          <w:szCs w:val="17"/>
        </w:rPr>
        <w:t>153</w:t>
      </w:r>
    </w:p>
    <w:p w14:paraId="13CA57E1">
      <w:pPr>
        <w:spacing w:line="276" w:lineRule="auto"/>
        <w:rPr>
          <w:rFonts w:ascii="Arial"/>
          <w:sz w:val="21"/>
        </w:rPr>
      </w:pPr>
    </w:p>
    <w:p w14:paraId="03CF9938">
      <w:pPr>
        <w:pStyle w:val="2"/>
        <w:spacing w:before="65" w:line="219" w:lineRule="auto"/>
        <w:ind w:left="399"/>
        <w:rPr>
          <w:sz w:val="20"/>
          <w:szCs w:val="20"/>
        </w:rPr>
      </w:pPr>
      <w:r>
        <w:rPr>
          <w:spacing w:val="3"/>
          <w:sz w:val="20"/>
          <w:szCs w:val="20"/>
        </w:rPr>
        <w:t>●应尽量远离无线电干扰源、电波发射塔等强磁干扰，远离强振</w:t>
      </w:r>
      <w:r>
        <w:rPr>
          <w:spacing w:val="2"/>
          <w:sz w:val="20"/>
          <w:szCs w:val="20"/>
        </w:rPr>
        <w:t>动源和强噪声源。当无法</w:t>
      </w:r>
    </w:p>
    <w:p w14:paraId="31BFDAD4">
      <w:pPr>
        <w:pStyle w:val="2"/>
        <w:spacing w:before="92" w:line="283" w:lineRule="auto"/>
        <w:ind w:left="399" w:right="970" w:firstLine="280"/>
        <w:rPr>
          <w:sz w:val="20"/>
          <w:szCs w:val="20"/>
        </w:rPr>
      </w:pPr>
      <w:r>
        <w:rPr>
          <w:spacing w:val="-1"/>
          <w:sz w:val="20"/>
          <w:szCs w:val="20"/>
        </w:rPr>
        <w:t>避开强电磁场干扰或为保障计算机系统信息安全，需采取有效的电磁屏蔽措</w:t>
      </w:r>
      <w:r>
        <w:rPr>
          <w:spacing w:val="-2"/>
          <w:sz w:val="20"/>
          <w:szCs w:val="20"/>
        </w:rPr>
        <w:t>施。</w:t>
      </w:r>
      <w:r>
        <w:rPr>
          <w:sz w:val="20"/>
          <w:szCs w:val="20"/>
        </w:rPr>
        <w:t xml:space="preserve"> </w:t>
      </w:r>
      <w:r>
        <w:rPr>
          <w:spacing w:val="-3"/>
          <w:sz w:val="20"/>
          <w:szCs w:val="20"/>
        </w:rPr>
        <w:t>●A</w:t>
      </w:r>
      <w:r>
        <w:rPr>
          <w:spacing w:val="55"/>
          <w:sz w:val="20"/>
          <w:szCs w:val="20"/>
        </w:rPr>
        <w:t xml:space="preserve"> </w:t>
      </w:r>
      <w:r>
        <w:rPr>
          <w:spacing w:val="-3"/>
          <w:sz w:val="20"/>
          <w:szCs w:val="20"/>
        </w:rPr>
        <w:t>级数据中心不宜建在公共停车库的正上方。</w:t>
      </w:r>
    </w:p>
    <w:p w14:paraId="0C5BCA70">
      <w:pPr>
        <w:pStyle w:val="2"/>
        <w:spacing w:before="38" w:line="219" w:lineRule="auto"/>
        <w:ind w:left="399"/>
        <w:rPr>
          <w:sz w:val="20"/>
          <w:szCs w:val="20"/>
        </w:rPr>
      </w:pPr>
      <w:r>
        <w:rPr>
          <w:sz w:val="20"/>
          <w:szCs w:val="20"/>
        </w:rPr>
        <w:t>●大中型数据中心不宜建在住宅小区和商业区内。</w:t>
      </w:r>
    </w:p>
    <w:p w14:paraId="0B9340D5">
      <w:pPr>
        <w:pStyle w:val="2"/>
        <w:spacing w:before="80" w:line="271" w:lineRule="auto"/>
        <w:ind w:left="679" w:right="215" w:hanging="280"/>
        <w:rPr>
          <w:sz w:val="20"/>
          <w:szCs w:val="20"/>
        </w:rPr>
      </w:pPr>
      <w:r>
        <w:rPr>
          <w:spacing w:val="5"/>
          <w:sz w:val="20"/>
          <w:szCs w:val="20"/>
        </w:rPr>
        <w:t>●设置在建筑物内局部区域的数据中心，在确定主机房的位置时，应对安全、设备运输、</w:t>
      </w:r>
      <w:r>
        <w:rPr>
          <w:spacing w:val="3"/>
          <w:sz w:val="20"/>
          <w:szCs w:val="20"/>
        </w:rPr>
        <w:t xml:space="preserve"> </w:t>
      </w:r>
      <w:r>
        <w:rPr>
          <w:spacing w:val="1"/>
          <w:sz w:val="20"/>
          <w:szCs w:val="20"/>
        </w:rPr>
        <w:t>管线敷设、雷电感应、结构荷载、水患及空调系统室外设备的安装位置等问题进行综合</w:t>
      </w:r>
      <w:r>
        <w:rPr>
          <w:spacing w:val="9"/>
          <w:sz w:val="20"/>
          <w:szCs w:val="20"/>
        </w:rPr>
        <w:t xml:space="preserve"> </w:t>
      </w:r>
      <w:r>
        <w:rPr>
          <w:spacing w:val="-5"/>
          <w:sz w:val="20"/>
          <w:szCs w:val="20"/>
        </w:rPr>
        <w:t>分析和经济比较。</w:t>
      </w:r>
    </w:p>
    <w:p w14:paraId="445A465E">
      <w:pPr>
        <w:pStyle w:val="2"/>
        <w:spacing w:before="90" w:line="219" w:lineRule="auto"/>
        <w:ind w:left="399"/>
        <w:rPr>
          <w:sz w:val="20"/>
          <w:szCs w:val="20"/>
        </w:rPr>
      </w:pPr>
      <w:r>
        <w:rPr>
          <w:spacing w:val="4"/>
          <w:sz w:val="20"/>
          <w:szCs w:val="20"/>
        </w:rPr>
        <w:t>(2)数据中心的空间平面布局。</w:t>
      </w:r>
    </w:p>
    <w:p w14:paraId="0EA223F7">
      <w:pPr>
        <w:pStyle w:val="2"/>
        <w:spacing w:before="91" w:line="282" w:lineRule="auto"/>
        <w:ind w:right="215" w:firstLine="399"/>
        <w:rPr>
          <w:sz w:val="20"/>
          <w:szCs w:val="20"/>
        </w:rPr>
      </w:pPr>
      <w:r>
        <w:rPr>
          <w:spacing w:val="3"/>
          <w:sz w:val="20"/>
          <w:szCs w:val="20"/>
        </w:rPr>
        <w:t>数据中心建设是一个综合的工程，应该针对所选数据中心建筑物的状况，进行数据中心的</w:t>
      </w:r>
      <w:r>
        <w:rPr>
          <w:spacing w:val="17"/>
          <w:sz w:val="20"/>
          <w:szCs w:val="20"/>
        </w:rPr>
        <w:t xml:space="preserve"> </w:t>
      </w:r>
      <w:r>
        <w:rPr>
          <w:spacing w:val="3"/>
          <w:sz w:val="20"/>
          <w:szCs w:val="20"/>
        </w:rPr>
        <w:t>功能区的划分，合理布局。云数据中心由机房区、辅助区、支持区、行政管理区与总控中心区</w:t>
      </w:r>
      <w:r>
        <w:rPr>
          <w:spacing w:val="13"/>
          <w:sz w:val="20"/>
          <w:szCs w:val="20"/>
        </w:rPr>
        <w:t xml:space="preserve"> </w:t>
      </w:r>
      <w:r>
        <w:rPr>
          <w:spacing w:val="3"/>
          <w:sz w:val="20"/>
          <w:szCs w:val="20"/>
        </w:rPr>
        <w:t>等功能区组成。其中，辅助区、行政管理区及支持区中的柴油发电机室和冷水主机房，在布局</w:t>
      </w:r>
      <w:r>
        <w:rPr>
          <w:spacing w:val="13"/>
          <w:sz w:val="20"/>
          <w:szCs w:val="20"/>
        </w:rPr>
        <w:t xml:space="preserve"> </w:t>
      </w:r>
      <w:r>
        <w:rPr>
          <w:spacing w:val="3"/>
          <w:sz w:val="20"/>
          <w:szCs w:val="20"/>
        </w:rPr>
        <w:t>上需作为一个共享基础设施模块加以整体考虑；而机房区则可结合支持区中</w:t>
      </w:r>
      <w:r>
        <w:rPr>
          <w:spacing w:val="2"/>
          <w:sz w:val="20"/>
          <w:szCs w:val="20"/>
        </w:rPr>
        <w:t>的变配电室、电力</w:t>
      </w:r>
      <w:r>
        <w:rPr>
          <w:sz w:val="20"/>
          <w:szCs w:val="20"/>
        </w:rPr>
        <w:t xml:space="preserve">  </w:t>
      </w:r>
      <w:r>
        <w:rPr>
          <w:spacing w:val="5"/>
          <w:sz w:val="20"/>
          <w:szCs w:val="20"/>
        </w:rPr>
        <w:t>室、电池室、末端空调机房、消防设施用房，设计成一个个规模大小合适、高</w:t>
      </w:r>
      <w:r>
        <w:rPr>
          <w:spacing w:val="4"/>
          <w:sz w:val="20"/>
          <w:szCs w:val="20"/>
        </w:rPr>
        <w:t>内聚、低耦合、</w:t>
      </w:r>
      <w:r>
        <w:rPr>
          <w:sz w:val="20"/>
          <w:szCs w:val="20"/>
        </w:rPr>
        <w:t xml:space="preserve"> </w:t>
      </w:r>
      <w:r>
        <w:rPr>
          <w:spacing w:val="-3"/>
          <w:sz w:val="20"/>
          <w:szCs w:val="20"/>
        </w:rPr>
        <w:t>可复制、标准化的基本单元模块。</w:t>
      </w:r>
    </w:p>
    <w:p w14:paraId="047E1F55">
      <w:pPr>
        <w:pStyle w:val="2"/>
        <w:spacing w:before="39" w:line="219" w:lineRule="auto"/>
        <w:ind w:left="399"/>
        <w:rPr>
          <w:sz w:val="20"/>
          <w:szCs w:val="20"/>
        </w:rPr>
      </w:pPr>
      <w:r>
        <w:rPr>
          <w:spacing w:val="2"/>
          <w:sz w:val="20"/>
          <w:szCs w:val="20"/>
        </w:rPr>
        <w:t>(3)数据中心的功能单元布局的总体原则。</w:t>
      </w:r>
    </w:p>
    <w:p w14:paraId="19C98A28">
      <w:pPr>
        <w:pStyle w:val="2"/>
        <w:spacing w:before="84" w:line="263" w:lineRule="auto"/>
        <w:ind w:right="306" w:firstLine="399"/>
        <w:rPr>
          <w:sz w:val="20"/>
          <w:szCs w:val="20"/>
        </w:rPr>
      </w:pPr>
      <w:r>
        <w:rPr>
          <w:spacing w:val="3"/>
          <w:sz w:val="20"/>
          <w:szCs w:val="20"/>
        </w:rPr>
        <w:t>为顺应发展趋势，同时尽可能避免因空间布局不当而引发的种种问</w:t>
      </w:r>
      <w:r>
        <w:rPr>
          <w:spacing w:val="2"/>
          <w:sz w:val="20"/>
          <w:szCs w:val="20"/>
        </w:rPr>
        <w:t>题，数据中心各功能单</w:t>
      </w:r>
      <w:r>
        <w:rPr>
          <w:sz w:val="20"/>
          <w:szCs w:val="20"/>
        </w:rPr>
        <w:t xml:space="preserve"> </w:t>
      </w:r>
      <w:r>
        <w:rPr>
          <w:spacing w:val="-4"/>
          <w:sz w:val="20"/>
          <w:szCs w:val="20"/>
        </w:rPr>
        <w:t>元在布局设计上应遵循如下主要原则：</w:t>
      </w:r>
    </w:p>
    <w:p w14:paraId="642064D4">
      <w:pPr>
        <w:pStyle w:val="2"/>
        <w:spacing w:before="38" w:line="262" w:lineRule="auto"/>
        <w:ind w:left="679" w:right="298" w:hanging="280"/>
        <w:rPr>
          <w:sz w:val="20"/>
          <w:szCs w:val="20"/>
        </w:rPr>
      </w:pPr>
      <w:r>
        <w:rPr>
          <w:spacing w:val="3"/>
          <w:sz w:val="20"/>
          <w:szCs w:val="20"/>
        </w:rPr>
        <w:t>●整体性原则。数据中心整体布局应在最初规划阶段进行统一考虑，统筹初期建设规</w:t>
      </w:r>
      <w:r>
        <w:rPr>
          <w:spacing w:val="2"/>
          <w:sz w:val="20"/>
          <w:szCs w:val="20"/>
        </w:rPr>
        <w:t>模与</w:t>
      </w:r>
      <w:r>
        <w:rPr>
          <w:sz w:val="20"/>
          <w:szCs w:val="20"/>
        </w:rPr>
        <w:t xml:space="preserve"> </w:t>
      </w:r>
      <w:r>
        <w:rPr>
          <w:spacing w:val="-1"/>
          <w:sz w:val="20"/>
          <w:szCs w:val="20"/>
        </w:rPr>
        <w:t>远期发展规划协调一致。对于同类建筑体内的各基本单元模块应具有较强的通用性。</w:t>
      </w:r>
    </w:p>
    <w:p w14:paraId="3A17F05F">
      <w:pPr>
        <w:pStyle w:val="2"/>
        <w:spacing w:before="75" w:line="261" w:lineRule="auto"/>
        <w:ind w:left="679" w:right="305" w:hanging="280"/>
        <w:rPr>
          <w:sz w:val="20"/>
          <w:szCs w:val="20"/>
        </w:rPr>
      </w:pPr>
      <w:r>
        <w:rPr>
          <w:spacing w:val="3"/>
          <w:sz w:val="20"/>
          <w:szCs w:val="20"/>
        </w:rPr>
        <w:t>●安全性原则。应从建筑安全性、区域逻辑管理安全性、运行管理安</w:t>
      </w:r>
      <w:r>
        <w:rPr>
          <w:spacing w:val="2"/>
          <w:sz w:val="20"/>
          <w:szCs w:val="20"/>
        </w:rPr>
        <w:t>全性、配套基础设施</w:t>
      </w:r>
      <w:r>
        <w:rPr>
          <w:sz w:val="20"/>
          <w:szCs w:val="20"/>
        </w:rPr>
        <w:t xml:space="preserve"> </w:t>
      </w:r>
      <w:r>
        <w:rPr>
          <w:spacing w:val="-2"/>
          <w:sz w:val="20"/>
          <w:szCs w:val="20"/>
        </w:rPr>
        <w:t>安全性等不同维度进行空间布局的总体规划。</w:t>
      </w:r>
    </w:p>
    <w:p w14:paraId="4293C8DB">
      <w:pPr>
        <w:pStyle w:val="2"/>
        <w:spacing w:before="72" w:line="270" w:lineRule="auto"/>
        <w:ind w:left="679" w:right="304" w:hanging="280"/>
        <w:rPr>
          <w:sz w:val="20"/>
          <w:szCs w:val="20"/>
        </w:rPr>
      </w:pPr>
      <w:r>
        <w:rPr>
          <w:spacing w:val="3"/>
          <w:sz w:val="20"/>
          <w:szCs w:val="20"/>
        </w:rPr>
        <w:t>●模块化原则。数据中心各功能单元应遵循模块化设计理念，其核</w:t>
      </w:r>
      <w:r>
        <w:rPr>
          <w:spacing w:val="2"/>
          <w:sz w:val="20"/>
          <w:szCs w:val="20"/>
        </w:rPr>
        <w:t>心思想是将数据中心分</w:t>
      </w:r>
      <w:r>
        <w:rPr>
          <w:sz w:val="20"/>
          <w:szCs w:val="20"/>
        </w:rPr>
        <w:t xml:space="preserve"> </w:t>
      </w:r>
      <w:r>
        <w:rPr>
          <w:spacing w:val="1"/>
          <w:sz w:val="20"/>
          <w:szCs w:val="20"/>
        </w:rPr>
        <w:t>解成多个相对独立的标准化模块，以达到简化设计、按需扩容的目</w:t>
      </w:r>
      <w:r>
        <w:rPr>
          <w:sz w:val="20"/>
          <w:szCs w:val="20"/>
        </w:rPr>
        <w:t xml:space="preserve">的。每个模块相对独 </w:t>
      </w:r>
      <w:r>
        <w:rPr>
          <w:spacing w:val="-1"/>
          <w:sz w:val="20"/>
          <w:szCs w:val="20"/>
        </w:rPr>
        <w:t>立，其他模块的部署与改造不会影响现有模块内设备的运行，即符合低耦合特性。</w:t>
      </w:r>
    </w:p>
    <w:p w14:paraId="0F46CFB5">
      <w:pPr>
        <w:pStyle w:val="2"/>
        <w:spacing w:before="86" w:line="276" w:lineRule="auto"/>
        <w:ind w:left="679" w:right="235" w:hanging="280"/>
        <w:rPr>
          <w:sz w:val="20"/>
          <w:szCs w:val="20"/>
        </w:rPr>
      </w:pPr>
      <w:r>
        <w:rPr>
          <w:spacing w:val="3"/>
          <w:sz w:val="20"/>
          <w:szCs w:val="20"/>
        </w:rPr>
        <w:t>●灵活性及可扩展性原则。单元模块力求标准化，应易于扩展，将来能</w:t>
      </w:r>
      <w:r>
        <w:rPr>
          <w:spacing w:val="2"/>
          <w:sz w:val="20"/>
          <w:szCs w:val="20"/>
        </w:rPr>
        <w:t>方便平滑地对原有</w:t>
      </w:r>
      <w:r>
        <w:rPr>
          <w:sz w:val="20"/>
          <w:szCs w:val="20"/>
        </w:rPr>
        <w:t xml:space="preserve"> </w:t>
      </w:r>
      <w:r>
        <w:rPr>
          <w:spacing w:val="1"/>
          <w:sz w:val="20"/>
          <w:szCs w:val="20"/>
        </w:rPr>
        <w:t>模块进行升级和更新。在平面设计上，数据中心内隔墙应具有一定</w:t>
      </w:r>
      <w:r>
        <w:rPr>
          <w:sz w:val="20"/>
          <w:szCs w:val="20"/>
        </w:rPr>
        <w:t xml:space="preserve">的可变性。布局可按 </w:t>
      </w:r>
      <w:r>
        <w:rPr>
          <w:spacing w:val="3"/>
          <w:sz w:val="20"/>
          <w:szCs w:val="20"/>
        </w:rPr>
        <w:t>中、远期发展的趋势，适当预留设备扩展和变化的</w:t>
      </w:r>
      <w:r>
        <w:rPr>
          <w:spacing w:val="2"/>
          <w:sz w:val="20"/>
          <w:szCs w:val="20"/>
        </w:rPr>
        <w:t>空间，从而为未来的发展奠定基础。</w:t>
      </w:r>
      <w:r>
        <w:rPr>
          <w:sz w:val="20"/>
          <w:szCs w:val="20"/>
        </w:rPr>
        <w:t xml:space="preserve"> </w:t>
      </w:r>
      <w:r>
        <w:rPr>
          <w:spacing w:val="4"/>
          <w:sz w:val="20"/>
          <w:szCs w:val="20"/>
        </w:rPr>
        <w:t>总体上，至少能满足未来5～10年内业务变化对数据中心资源的无缝增长需求。</w:t>
      </w:r>
    </w:p>
    <w:p w14:paraId="20A1336F">
      <w:pPr>
        <w:pStyle w:val="2"/>
        <w:spacing w:before="83" w:line="220" w:lineRule="auto"/>
        <w:ind w:left="399"/>
        <w:rPr>
          <w:sz w:val="20"/>
          <w:szCs w:val="20"/>
        </w:rPr>
      </w:pPr>
      <w:r>
        <w:rPr>
          <w:spacing w:val="1"/>
          <w:sz w:val="20"/>
          <w:szCs w:val="20"/>
        </w:rPr>
        <w:t>●可维护性原则。具体包括：</w:t>
      </w:r>
    </w:p>
    <w:p w14:paraId="5EBE9676">
      <w:pPr>
        <w:spacing w:before="73" w:line="220" w:lineRule="auto"/>
        <w:ind w:left="740"/>
        <w:rPr>
          <w:rFonts w:ascii="楷体" w:hAnsi="楷体" w:eastAsia="楷体" w:cs="楷体"/>
          <w:sz w:val="20"/>
          <w:szCs w:val="20"/>
        </w:rPr>
      </w:pPr>
      <w:r>
        <w:rPr>
          <w:rFonts w:ascii="楷体" w:hAnsi="楷体" w:eastAsia="楷体" w:cs="楷体"/>
          <w:spacing w:val="3"/>
          <w:sz w:val="20"/>
          <w:szCs w:val="20"/>
        </w:rPr>
        <w:t>◇各功能单元内的设备排列间距合理，留有维护所需的操作空间。</w:t>
      </w:r>
    </w:p>
    <w:p w14:paraId="652F2793">
      <w:pPr>
        <w:spacing w:before="61" w:line="312" w:lineRule="auto"/>
        <w:ind w:left="1070" w:right="314" w:hanging="330"/>
        <w:rPr>
          <w:rFonts w:ascii="楷体" w:hAnsi="楷体" w:eastAsia="楷体" w:cs="楷体"/>
          <w:sz w:val="17"/>
          <w:szCs w:val="17"/>
        </w:rPr>
      </w:pPr>
      <w:r>
        <w:rPr>
          <w:rFonts w:ascii="楷体" w:hAnsi="楷体" w:eastAsia="楷体" w:cs="楷体"/>
          <w:spacing w:val="12"/>
          <w:sz w:val="20"/>
          <w:szCs w:val="20"/>
        </w:rPr>
        <w:t>个</w:t>
      </w:r>
      <w:r>
        <w:rPr>
          <w:rFonts w:ascii="楷体" w:hAnsi="楷体" w:eastAsia="楷体" w:cs="楷体"/>
          <w:spacing w:val="42"/>
          <w:sz w:val="20"/>
          <w:szCs w:val="20"/>
        </w:rPr>
        <w:t xml:space="preserve"> </w:t>
      </w:r>
      <w:r>
        <w:rPr>
          <w:rFonts w:ascii="楷体" w:hAnsi="楷体" w:eastAsia="楷体" w:cs="楷体"/>
          <w:spacing w:val="12"/>
          <w:sz w:val="20"/>
          <w:szCs w:val="20"/>
        </w:rPr>
        <w:t>充分考虑设备搬运、替换所需的通道，要人货分离，并考虑大型设备搬</w:t>
      </w:r>
      <w:r>
        <w:rPr>
          <w:rFonts w:ascii="楷体" w:hAnsi="楷体" w:eastAsia="楷体" w:cs="楷体"/>
          <w:spacing w:val="11"/>
          <w:sz w:val="20"/>
          <w:szCs w:val="20"/>
        </w:rPr>
        <w:t>运的便</w:t>
      </w:r>
      <w:r>
        <w:rPr>
          <w:rFonts w:ascii="楷体" w:hAnsi="楷体" w:eastAsia="楷体" w:cs="楷体"/>
          <w:sz w:val="20"/>
          <w:szCs w:val="20"/>
        </w:rPr>
        <w:t xml:space="preserve"> </w:t>
      </w:r>
      <w:r>
        <w:rPr>
          <w:rFonts w:ascii="楷体" w:hAnsi="楷体" w:eastAsia="楷体" w:cs="楷体"/>
          <w:spacing w:val="-7"/>
          <w:sz w:val="17"/>
          <w:szCs w:val="17"/>
        </w:rPr>
        <w:t>利</w:t>
      </w:r>
      <w:r>
        <w:rPr>
          <w:rFonts w:ascii="楷体" w:hAnsi="楷体" w:eastAsia="楷体" w:cs="楷体"/>
          <w:spacing w:val="-17"/>
          <w:sz w:val="17"/>
          <w:szCs w:val="17"/>
        </w:rPr>
        <w:t xml:space="preserve"> </w:t>
      </w:r>
      <w:r>
        <w:rPr>
          <w:rFonts w:ascii="楷体" w:hAnsi="楷体" w:eastAsia="楷体" w:cs="楷体"/>
          <w:spacing w:val="-7"/>
          <w:sz w:val="17"/>
          <w:szCs w:val="17"/>
        </w:rPr>
        <w:t>性</w:t>
      </w:r>
      <w:r>
        <w:rPr>
          <w:rFonts w:ascii="楷体" w:hAnsi="楷体" w:eastAsia="楷体" w:cs="楷体"/>
          <w:spacing w:val="-27"/>
          <w:sz w:val="17"/>
          <w:szCs w:val="17"/>
        </w:rPr>
        <w:t xml:space="preserve"> </w:t>
      </w:r>
      <w:r>
        <w:rPr>
          <w:rFonts w:ascii="楷体" w:hAnsi="楷体" w:eastAsia="楷体" w:cs="楷体"/>
          <w:spacing w:val="-7"/>
          <w:sz w:val="17"/>
          <w:szCs w:val="17"/>
        </w:rPr>
        <w:t>。</w:t>
      </w:r>
    </w:p>
    <w:p w14:paraId="593075F1">
      <w:pPr>
        <w:pStyle w:val="2"/>
        <w:spacing w:before="4" w:line="220" w:lineRule="auto"/>
        <w:ind w:left="399"/>
        <w:rPr>
          <w:sz w:val="20"/>
          <w:szCs w:val="20"/>
        </w:rPr>
      </w:pPr>
      <w:r>
        <w:rPr>
          <w:spacing w:val="2"/>
          <w:sz w:val="20"/>
          <w:szCs w:val="20"/>
        </w:rPr>
        <w:t>●经济性原则。具体包括：</w:t>
      </w:r>
    </w:p>
    <w:p w14:paraId="34E144D0">
      <w:pPr>
        <w:spacing w:before="73" w:line="220" w:lineRule="auto"/>
        <w:ind w:left="740"/>
        <w:rPr>
          <w:rFonts w:ascii="楷体" w:hAnsi="楷体" w:eastAsia="楷体" w:cs="楷体"/>
          <w:sz w:val="20"/>
          <w:szCs w:val="20"/>
        </w:rPr>
      </w:pPr>
      <w:r>
        <w:rPr>
          <w:rFonts w:ascii="楷体" w:hAnsi="楷体" w:eastAsia="楷体" w:cs="楷体"/>
          <w:spacing w:val="2"/>
          <w:sz w:val="20"/>
          <w:szCs w:val="20"/>
        </w:rPr>
        <w:t>◇各功能单元内的设备排布尽可能紧凑，以使建筑面积得以充分利用。</w:t>
      </w:r>
    </w:p>
    <w:p w14:paraId="33FAC1CD">
      <w:pPr>
        <w:spacing w:before="72" w:line="302" w:lineRule="auto"/>
        <w:ind w:left="1070" w:right="286"/>
        <w:rPr>
          <w:rFonts w:ascii="楷体" w:hAnsi="楷体" w:eastAsia="楷体" w:cs="楷体"/>
          <w:sz w:val="17"/>
          <w:szCs w:val="17"/>
        </w:rPr>
      </w:pPr>
      <w:r>
        <w:rPr>
          <w:rFonts w:ascii="楷体" w:hAnsi="楷体" w:eastAsia="楷体" w:cs="楷体"/>
          <w:spacing w:val="2"/>
          <w:sz w:val="20"/>
          <w:szCs w:val="20"/>
        </w:rPr>
        <w:t>各功能单元之间的相对位置尽可能合理，使得需</w:t>
      </w:r>
      <w:r>
        <w:rPr>
          <w:rFonts w:ascii="楷体" w:hAnsi="楷体" w:eastAsia="楷体" w:cs="楷体"/>
          <w:spacing w:val="1"/>
          <w:sz w:val="20"/>
          <w:szCs w:val="20"/>
        </w:rPr>
        <w:t>连通的管线距离缩短，减少投资与</w:t>
      </w:r>
      <w:r>
        <w:rPr>
          <w:rFonts w:ascii="楷体" w:hAnsi="楷体" w:eastAsia="楷体" w:cs="楷体"/>
          <w:sz w:val="20"/>
          <w:szCs w:val="20"/>
        </w:rPr>
        <w:t xml:space="preserve"> </w:t>
      </w:r>
      <w:r>
        <w:rPr>
          <w:rFonts w:ascii="楷体" w:hAnsi="楷体" w:eastAsia="楷体" w:cs="楷体"/>
          <w:spacing w:val="-5"/>
          <w:sz w:val="17"/>
          <w:szCs w:val="17"/>
        </w:rPr>
        <w:t>损</w:t>
      </w:r>
      <w:r>
        <w:rPr>
          <w:rFonts w:ascii="楷体" w:hAnsi="楷体" w:eastAsia="楷体" w:cs="楷体"/>
          <w:spacing w:val="-22"/>
          <w:sz w:val="17"/>
          <w:szCs w:val="17"/>
        </w:rPr>
        <w:t xml:space="preserve"> </w:t>
      </w:r>
      <w:r>
        <w:rPr>
          <w:rFonts w:ascii="楷体" w:hAnsi="楷体" w:eastAsia="楷体" w:cs="楷体"/>
          <w:spacing w:val="-5"/>
          <w:sz w:val="17"/>
          <w:szCs w:val="17"/>
        </w:rPr>
        <w:t>耗</w:t>
      </w:r>
      <w:r>
        <w:rPr>
          <w:rFonts w:ascii="楷体" w:hAnsi="楷体" w:eastAsia="楷体" w:cs="楷体"/>
          <w:spacing w:val="-28"/>
          <w:sz w:val="17"/>
          <w:szCs w:val="17"/>
        </w:rPr>
        <w:t xml:space="preserve"> </w:t>
      </w:r>
      <w:r>
        <w:rPr>
          <w:rFonts w:ascii="楷体" w:hAnsi="楷体" w:eastAsia="楷体" w:cs="楷体"/>
          <w:spacing w:val="-5"/>
          <w:sz w:val="17"/>
          <w:szCs w:val="17"/>
        </w:rPr>
        <w:t>。</w:t>
      </w:r>
    </w:p>
    <w:p w14:paraId="691B33E4">
      <w:pPr>
        <w:spacing w:line="302" w:lineRule="auto"/>
        <w:rPr>
          <w:rFonts w:ascii="楷体" w:hAnsi="楷体" w:eastAsia="楷体" w:cs="楷体"/>
          <w:sz w:val="17"/>
          <w:szCs w:val="17"/>
        </w:rPr>
        <w:sectPr>
          <w:pgSz w:w="10290" w:h="13260"/>
          <w:pgMar w:top="400" w:right="564" w:bottom="400" w:left="1109" w:header="0" w:footer="0" w:gutter="0"/>
          <w:cols w:space="720" w:num="1"/>
        </w:sectPr>
      </w:pPr>
    </w:p>
    <w:p w14:paraId="3AABDD77">
      <w:pPr>
        <w:pStyle w:val="2"/>
        <w:spacing w:before="98" w:line="219" w:lineRule="auto"/>
        <w:rPr>
          <w:sz w:val="20"/>
          <w:szCs w:val="20"/>
        </w:rPr>
      </w:pPr>
      <w:r>
        <w:rPr>
          <w:rFonts w:ascii="Times New Roman" w:hAnsi="Times New Roman" w:eastAsia="Times New Roman" w:cs="Times New Roman"/>
          <w:position w:val="-5"/>
          <w:sz w:val="20"/>
          <w:szCs w:val="20"/>
        </w:rPr>
        <w:t xml:space="preserve">154             </w:t>
      </w:r>
      <w:r>
        <w:rPr>
          <w:sz w:val="20"/>
          <w:szCs w:val="20"/>
        </w:rPr>
        <w:t>信息系统监</w:t>
      </w:r>
      <w:r>
        <w:rPr>
          <w:spacing w:val="-1"/>
          <w:sz w:val="20"/>
          <w:szCs w:val="20"/>
        </w:rPr>
        <w:t>理师教程(第2版)</w:t>
      </w:r>
    </w:p>
    <w:p w14:paraId="7995F354">
      <w:pPr>
        <w:spacing w:line="252" w:lineRule="auto"/>
        <w:rPr>
          <w:rFonts w:ascii="Arial"/>
          <w:sz w:val="21"/>
        </w:rPr>
      </w:pPr>
    </w:p>
    <w:p w14:paraId="07ACC519">
      <w:pPr>
        <w:spacing w:before="65" w:line="267" w:lineRule="auto"/>
        <w:ind w:left="1460" w:right="85" w:hanging="330"/>
        <w:rPr>
          <w:rFonts w:ascii="楷体" w:hAnsi="楷体" w:eastAsia="楷体" w:cs="楷体"/>
          <w:sz w:val="20"/>
          <w:szCs w:val="20"/>
        </w:rPr>
      </w:pPr>
      <w:r>
        <w:rPr>
          <w:rFonts w:ascii="楷体" w:hAnsi="楷体" w:eastAsia="楷体" w:cs="楷体"/>
          <w:spacing w:val="10"/>
          <w:sz w:val="20"/>
          <w:szCs w:val="20"/>
        </w:rPr>
        <w:t>◇各基本单元模块的容量规划尽可能匹配，使得数据中心能运行在高效率、低</w:t>
      </w:r>
      <w:r>
        <w:rPr>
          <w:rFonts w:ascii="Times New Roman" w:hAnsi="Times New Roman" w:eastAsia="Times New Roman" w:cs="Times New Roman"/>
          <w:sz w:val="20"/>
          <w:szCs w:val="20"/>
        </w:rPr>
        <w:t>PUE</w:t>
      </w:r>
      <w:r>
        <w:rPr>
          <w:rFonts w:ascii="Times New Roman" w:hAnsi="Times New Roman" w:eastAsia="Times New Roman" w:cs="Times New Roman"/>
          <w:spacing w:val="15"/>
          <w:sz w:val="20"/>
          <w:szCs w:val="20"/>
        </w:rPr>
        <w:t xml:space="preserve"> </w:t>
      </w:r>
      <w:r>
        <w:rPr>
          <w:rFonts w:ascii="楷体" w:hAnsi="楷体" w:eastAsia="楷体" w:cs="楷体"/>
          <w:spacing w:val="-4"/>
          <w:sz w:val="20"/>
          <w:szCs w:val="20"/>
        </w:rPr>
        <w:t>的工况下，减少运营成本。</w:t>
      </w:r>
    </w:p>
    <w:p w14:paraId="404206F2">
      <w:pPr>
        <w:pStyle w:val="2"/>
        <w:spacing w:before="78" w:line="219" w:lineRule="auto"/>
        <w:ind w:left="770"/>
        <w:rPr>
          <w:sz w:val="20"/>
          <w:szCs w:val="20"/>
        </w:rPr>
      </w:pPr>
      <w:r>
        <w:rPr>
          <w:spacing w:val="1"/>
          <w:sz w:val="20"/>
          <w:szCs w:val="20"/>
        </w:rPr>
        <w:t>(4)数据中心的各功能单元之间的布局建议具体如下：</w:t>
      </w:r>
    </w:p>
    <w:p w14:paraId="319CE31F">
      <w:pPr>
        <w:pStyle w:val="2"/>
        <w:spacing w:before="62" w:line="276" w:lineRule="auto"/>
        <w:ind w:left="1050" w:right="49" w:hanging="280"/>
        <w:rPr>
          <w:sz w:val="20"/>
          <w:szCs w:val="20"/>
        </w:rPr>
      </w:pPr>
      <w:r>
        <w:rPr>
          <w:spacing w:val="3"/>
          <w:sz w:val="20"/>
          <w:szCs w:val="20"/>
        </w:rPr>
        <w:t>●数据中心的共享基础设施模块，由于所涉及的设备体积大、承重要</w:t>
      </w:r>
      <w:r>
        <w:rPr>
          <w:spacing w:val="2"/>
          <w:sz w:val="20"/>
          <w:szCs w:val="20"/>
        </w:rPr>
        <w:t>求高，柴油发电机室</w:t>
      </w:r>
      <w:r>
        <w:rPr>
          <w:sz w:val="20"/>
          <w:szCs w:val="20"/>
        </w:rPr>
        <w:t xml:space="preserve"> </w:t>
      </w:r>
      <w:r>
        <w:rPr>
          <w:spacing w:val="1"/>
          <w:sz w:val="20"/>
          <w:szCs w:val="20"/>
        </w:rPr>
        <w:t>和冷水主机房一般设置于底层，且靠近外墙。两者之间应避免相邻，建议布局于建筑物</w:t>
      </w:r>
      <w:r>
        <w:rPr>
          <w:spacing w:val="10"/>
          <w:sz w:val="20"/>
          <w:szCs w:val="20"/>
        </w:rPr>
        <w:t xml:space="preserve"> </w:t>
      </w:r>
      <w:r>
        <w:rPr>
          <w:spacing w:val="-2"/>
          <w:sz w:val="20"/>
          <w:szCs w:val="20"/>
        </w:rPr>
        <w:t>的两侧，中间可考虑设置网管监控室及其他辅助或行政管理用房作为缓冲隔离。</w:t>
      </w:r>
    </w:p>
    <w:p w14:paraId="4139C64D">
      <w:pPr>
        <w:pStyle w:val="2"/>
        <w:spacing w:before="82" w:line="283" w:lineRule="auto"/>
        <w:ind w:left="1050" w:hanging="280"/>
        <w:rPr>
          <w:sz w:val="20"/>
          <w:szCs w:val="20"/>
        </w:rPr>
      </w:pPr>
      <w:r>
        <w:rPr>
          <w:spacing w:val="8"/>
          <w:sz w:val="20"/>
          <w:szCs w:val="20"/>
        </w:rPr>
        <w:t>●在数据中心运行大脑——总控中心区(网管监控室)的布局上，应关注几个细节：</w:t>
      </w:r>
      <w:r>
        <w:rPr>
          <w:spacing w:val="7"/>
          <w:sz w:val="20"/>
          <w:szCs w:val="20"/>
        </w:rPr>
        <w:t>出于</w:t>
      </w:r>
      <w:r>
        <w:rPr>
          <w:sz w:val="20"/>
          <w:szCs w:val="20"/>
        </w:rPr>
        <w:t xml:space="preserve"> </w:t>
      </w:r>
      <w:r>
        <w:rPr>
          <w:spacing w:val="3"/>
          <w:sz w:val="20"/>
          <w:szCs w:val="20"/>
        </w:rPr>
        <w:t>以人为本的考虑，网管监控室建议靠近建筑外墙一</w:t>
      </w:r>
      <w:r>
        <w:rPr>
          <w:spacing w:val="2"/>
          <w:sz w:val="20"/>
          <w:szCs w:val="20"/>
        </w:rPr>
        <w:t>侧，可以实现自然通风和自然采光；</w:t>
      </w:r>
      <w:r>
        <w:rPr>
          <w:sz w:val="20"/>
          <w:szCs w:val="20"/>
        </w:rPr>
        <w:t xml:space="preserve"> </w:t>
      </w:r>
      <w:r>
        <w:rPr>
          <w:spacing w:val="1"/>
          <w:sz w:val="20"/>
          <w:szCs w:val="20"/>
        </w:rPr>
        <w:t>由于网管监控室人员出入较频繁，建议设置在靠近人流线路起</w:t>
      </w:r>
      <w:r>
        <w:rPr>
          <w:sz w:val="20"/>
          <w:szCs w:val="20"/>
        </w:rPr>
        <w:t xml:space="preserve">点的区域，不宜设在物流 </w:t>
      </w:r>
      <w:r>
        <w:rPr>
          <w:spacing w:val="1"/>
          <w:sz w:val="20"/>
          <w:szCs w:val="20"/>
        </w:rPr>
        <w:t>起点的区域；网管监控室与主机房或其他核心基础设施区域之间应能设置物理</w:t>
      </w:r>
      <w:r>
        <w:rPr>
          <w:sz w:val="20"/>
          <w:szCs w:val="20"/>
        </w:rPr>
        <w:t xml:space="preserve">或逻辑隔 </w:t>
      </w:r>
      <w:r>
        <w:rPr>
          <w:spacing w:val="1"/>
          <w:sz w:val="20"/>
          <w:szCs w:val="20"/>
        </w:rPr>
        <w:t>离装置，譬如门禁系统，以保证主机房或核心基础设施的安</w:t>
      </w:r>
      <w:r>
        <w:rPr>
          <w:sz w:val="20"/>
          <w:szCs w:val="20"/>
        </w:rPr>
        <w:t xml:space="preserve">全。同样，客户用房与主机 </w:t>
      </w:r>
      <w:r>
        <w:rPr>
          <w:spacing w:val="-3"/>
          <w:sz w:val="20"/>
          <w:szCs w:val="20"/>
        </w:rPr>
        <w:t>房或其他核心基础设施区域之间也要做到安全隔离。</w:t>
      </w:r>
    </w:p>
    <w:p w14:paraId="06A905D8">
      <w:pPr>
        <w:pStyle w:val="2"/>
        <w:spacing w:before="99" w:line="283" w:lineRule="auto"/>
        <w:ind w:left="1050" w:right="64" w:hanging="280"/>
        <w:rPr>
          <w:sz w:val="20"/>
          <w:szCs w:val="20"/>
        </w:rPr>
      </w:pPr>
      <w:r>
        <w:rPr>
          <w:spacing w:val="3"/>
          <w:sz w:val="20"/>
          <w:szCs w:val="20"/>
        </w:rPr>
        <w:t>●除共享基础设施模块外，应结合变压器容量及相互之间的对应关</w:t>
      </w:r>
      <w:r>
        <w:rPr>
          <w:spacing w:val="2"/>
          <w:sz w:val="20"/>
          <w:szCs w:val="20"/>
        </w:rPr>
        <w:t>系，将包括主机房、变</w:t>
      </w:r>
      <w:r>
        <w:rPr>
          <w:sz w:val="20"/>
          <w:szCs w:val="20"/>
        </w:rPr>
        <w:t xml:space="preserve"> </w:t>
      </w:r>
      <w:r>
        <w:rPr>
          <w:spacing w:val="1"/>
          <w:sz w:val="20"/>
          <w:szCs w:val="20"/>
        </w:rPr>
        <w:t>配电室、电力室、电池室、末端空调机房、消防设施用房在内</w:t>
      </w:r>
      <w:r>
        <w:rPr>
          <w:sz w:val="20"/>
          <w:szCs w:val="20"/>
        </w:rPr>
        <w:t xml:space="preserve">的多个功能单元作为一个 </w:t>
      </w:r>
      <w:r>
        <w:rPr>
          <w:spacing w:val="1"/>
          <w:sz w:val="20"/>
          <w:szCs w:val="20"/>
        </w:rPr>
        <w:t>基本单元模块加以统一考虑。具体可结合数据中心所在建筑楼层</w:t>
      </w:r>
      <w:r>
        <w:rPr>
          <w:sz w:val="20"/>
          <w:szCs w:val="20"/>
        </w:rPr>
        <w:t xml:space="preserve">数及单层面积，在水平 </w:t>
      </w:r>
      <w:r>
        <w:rPr>
          <w:spacing w:val="1"/>
          <w:sz w:val="20"/>
          <w:szCs w:val="20"/>
        </w:rPr>
        <w:t>和垂直两个方向上进行布局。如果建筑物形态较为狭长，可考虑先做水平切分</w:t>
      </w:r>
      <w:r>
        <w:rPr>
          <w:sz w:val="20"/>
          <w:szCs w:val="20"/>
        </w:rPr>
        <w:t xml:space="preserve">，然后利 </w:t>
      </w:r>
      <w:r>
        <w:rPr>
          <w:spacing w:val="1"/>
          <w:sz w:val="20"/>
          <w:szCs w:val="20"/>
        </w:rPr>
        <w:t>用垂直空间来跨楼层部署基本单元模块，以避免电源走线过长的</w:t>
      </w:r>
      <w:r>
        <w:rPr>
          <w:sz w:val="20"/>
          <w:szCs w:val="20"/>
        </w:rPr>
        <w:t xml:space="preserve">问题。同时，变配电室 </w:t>
      </w:r>
      <w:r>
        <w:rPr>
          <w:spacing w:val="-1"/>
          <w:sz w:val="20"/>
          <w:szCs w:val="20"/>
        </w:rPr>
        <w:t>的位置应尽可能靠近电力室与柴油发电机室，一般在</w:t>
      </w:r>
      <w:r>
        <w:rPr>
          <w:spacing w:val="-2"/>
          <w:sz w:val="20"/>
          <w:szCs w:val="20"/>
        </w:rPr>
        <w:t>水平或垂直方向紧邻电力室为宜。</w:t>
      </w:r>
    </w:p>
    <w:p w14:paraId="76AF116E">
      <w:pPr>
        <w:pStyle w:val="2"/>
        <w:spacing w:before="94" w:line="276" w:lineRule="auto"/>
        <w:ind w:left="1050" w:right="61" w:hanging="280"/>
        <w:rPr>
          <w:sz w:val="20"/>
          <w:szCs w:val="20"/>
        </w:rPr>
      </w:pPr>
      <w:r>
        <w:rPr>
          <w:spacing w:val="3"/>
          <w:sz w:val="20"/>
          <w:szCs w:val="20"/>
        </w:rPr>
        <w:t>●出于安全考虑，互为冗余备份的功能单元不应相邻布置。垂直方向上应尽可能规划布局</w:t>
      </w:r>
      <w:r>
        <w:rPr>
          <w:sz w:val="20"/>
          <w:szCs w:val="20"/>
        </w:rPr>
        <w:t xml:space="preserve"> </w:t>
      </w:r>
      <w:r>
        <w:rPr>
          <w:spacing w:val="6"/>
          <w:sz w:val="20"/>
          <w:szCs w:val="20"/>
        </w:rPr>
        <w:t>相同功能的单元。主机房、变配电室、电力室、电池室不应布置在用水区域的直接下</w:t>
      </w:r>
      <w:r>
        <w:rPr>
          <w:spacing w:val="10"/>
          <w:sz w:val="20"/>
          <w:szCs w:val="20"/>
        </w:rPr>
        <w:t xml:space="preserve"> </w:t>
      </w:r>
      <w:r>
        <w:rPr>
          <w:spacing w:val="-5"/>
          <w:sz w:val="20"/>
          <w:szCs w:val="20"/>
        </w:rPr>
        <w:t>方，以防水患。</w:t>
      </w:r>
    </w:p>
    <w:p w14:paraId="1D85EE5A">
      <w:pPr>
        <w:pStyle w:val="2"/>
        <w:spacing w:before="93" w:line="252" w:lineRule="auto"/>
        <w:ind w:left="1050" w:right="69" w:hanging="280"/>
        <w:rPr>
          <w:sz w:val="20"/>
          <w:szCs w:val="20"/>
        </w:rPr>
      </w:pPr>
      <w:r>
        <w:rPr>
          <w:spacing w:val="3"/>
          <w:sz w:val="20"/>
          <w:szCs w:val="20"/>
        </w:rPr>
        <w:t>●在数据中心内，人流区域与物流区域应界限分明，以减少相互间功能</w:t>
      </w:r>
      <w:r>
        <w:rPr>
          <w:spacing w:val="2"/>
          <w:sz w:val="20"/>
          <w:szCs w:val="20"/>
        </w:rPr>
        <w:t>性使用冲突。使物</w:t>
      </w:r>
      <w:r>
        <w:rPr>
          <w:sz w:val="20"/>
          <w:szCs w:val="20"/>
        </w:rPr>
        <w:t xml:space="preserve"> </w:t>
      </w:r>
      <w:r>
        <w:rPr>
          <w:spacing w:val="-2"/>
          <w:sz w:val="20"/>
          <w:szCs w:val="20"/>
        </w:rPr>
        <w:t>流通道位于数据中心非重点区域，减少对其他功能区域的干扰。</w:t>
      </w:r>
    </w:p>
    <w:p w14:paraId="0D252562">
      <w:pPr>
        <w:pStyle w:val="2"/>
        <w:spacing w:before="83" w:line="219" w:lineRule="auto"/>
        <w:ind w:left="770"/>
        <w:rPr>
          <w:sz w:val="20"/>
          <w:szCs w:val="20"/>
        </w:rPr>
      </w:pPr>
      <w:r>
        <w:rPr>
          <w:spacing w:val="1"/>
          <w:sz w:val="20"/>
          <w:szCs w:val="20"/>
        </w:rPr>
        <w:t>(5)数据中心的各功能单元内部的布局建议具体如下：</w:t>
      </w:r>
    </w:p>
    <w:p w14:paraId="07EFA9CE">
      <w:pPr>
        <w:pStyle w:val="2"/>
        <w:spacing w:before="84" w:line="252" w:lineRule="auto"/>
        <w:ind w:left="1050" w:right="70" w:hanging="280"/>
        <w:rPr>
          <w:sz w:val="20"/>
          <w:szCs w:val="20"/>
        </w:rPr>
      </w:pPr>
      <w:r>
        <w:rPr>
          <w:spacing w:val="3"/>
          <w:sz w:val="20"/>
          <w:szCs w:val="20"/>
        </w:rPr>
        <w:t>●主机房单元。机架排布所形成的冷热通道与机房两侧末端空调的</w:t>
      </w:r>
      <w:r>
        <w:rPr>
          <w:spacing w:val="2"/>
          <w:sz w:val="20"/>
          <w:szCs w:val="20"/>
        </w:rPr>
        <w:t>出风方向保持水平。针</w:t>
      </w:r>
      <w:r>
        <w:rPr>
          <w:sz w:val="20"/>
          <w:szCs w:val="20"/>
        </w:rPr>
        <w:t xml:space="preserve"> </w:t>
      </w:r>
      <w:r>
        <w:rPr>
          <w:spacing w:val="-1"/>
          <w:sz w:val="20"/>
          <w:szCs w:val="20"/>
        </w:rPr>
        <w:t>对那些需求不明确且后期变动可能性较大的机房，可采用列头柜集中靠墙布放方式。</w:t>
      </w:r>
    </w:p>
    <w:p w14:paraId="162426C7">
      <w:pPr>
        <w:pStyle w:val="2"/>
        <w:spacing w:before="83" w:line="280" w:lineRule="auto"/>
        <w:ind w:left="1050" w:right="68" w:hanging="280"/>
        <w:rPr>
          <w:sz w:val="20"/>
          <w:szCs w:val="20"/>
        </w:rPr>
      </w:pPr>
      <w:r>
        <w:rPr>
          <w:spacing w:val="3"/>
          <w:sz w:val="20"/>
          <w:szCs w:val="20"/>
        </w:rPr>
        <w:t>●供配电单元。供配电单元主要包括变配电室、电力室、电池室</w:t>
      </w:r>
      <w:r>
        <w:rPr>
          <w:spacing w:val="2"/>
          <w:sz w:val="20"/>
          <w:szCs w:val="20"/>
        </w:rPr>
        <w:t>三个功能区。视情况可考</w:t>
      </w:r>
      <w:r>
        <w:rPr>
          <w:sz w:val="20"/>
          <w:szCs w:val="20"/>
        </w:rPr>
        <w:t xml:space="preserve"> </w:t>
      </w:r>
      <w:r>
        <w:rPr>
          <w:spacing w:val="1"/>
          <w:sz w:val="20"/>
          <w:szCs w:val="20"/>
        </w:rPr>
        <w:t>虑将变配电室与电力室合设，不做物理分隔，以减少配套面积和消防</w:t>
      </w:r>
      <w:r>
        <w:rPr>
          <w:sz w:val="20"/>
          <w:szCs w:val="20"/>
        </w:rPr>
        <w:t xml:space="preserve">保护区数量。出于 </w:t>
      </w:r>
      <w:r>
        <w:rPr>
          <w:spacing w:val="1"/>
          <w:sz w:val="20"/>
          <w:szCs w:val="20"/>
        </w:rPr>
        <w:t>安全考虑，不建议将电力室和电池室合设。单元内设备排布所形成的</w:t>
      </w:r>
      <w:r>
        <w:rPr>
          <w:sz w:val="20"/>
          <w:szCs w:val="20"/>
        </w:rPr>
        <w:t xml:space="preserve">通道与两侧末端空 </w:t>
      </w:r>
      <w:r>
        <w:rPr>
          <w:spacing w:val="1"/>
          <w:sz w:val="20"/>
          <w:szCs w:val="20"/>
        </w:rPr>
        <w:t>调的出风方向保持水平。若将互为冗余备份的设备放置在同一</w:t>
      </w:r>
      <w:r>
        <w:rPr>
          <w:sz w:val="20"/>
          <w:szCs w:val="20"/>
        </w:rPr>
        <w:t xml:space="preserve">物理空间内，则在布局上 </w:t>
      </w:r>
      <w:r>
        <w:rPr>
          <w:spacing w:val="-2"/>
          <w:sz w:val="20"/>
          <w:szCs w:val="20"/>
        </w:rPr>
        <w:t>应尽可能将其远离，避免发生故障时相互影响、干扰。</w:t>
      </w:r>
    </w:p>
    <w:p w14:paraId="734D60AC">
      <w:pPr>
        <w:pStyle w:val="2"/>
        <w:spacing w:before="74" w:line="262" w:lineRule="auto"/>
        <w:ind w:left="1050" w:right="71" w:hanging="280"/>
        <w:rPr>
          <w:sz w:val="20"/>
          <w:szCs w:val="20"/>
        </w:rPr>
      </w:pPr>
      <w:r>
        <w:rPr>
          <w:spacing w:val="3"/>
          <w:sz w:val="20"/>
          <w:szCs w:val="20"/>
        </w:rPr>
        <w:t>●末端空调单元。在不影响维护及日后更新改造的前提下，各末</w:t>
      </w:r>
      <w:r>
        <w:rPr>
          <w:spacing w:val="2"/>
          <w:sz w:val="20"/>
          <w:szCs w:val="20"/>
        </w:rPr>
        <w:t>端空调之间的距离建议适</w:t>
      </w:r>
      <w:r>
        <w:rPr>
          <w:sz w:val="20"/>
          <w:szCs w:val="20"/>
        </w:rPr>
        <w:t xml:space="preserve"> </w:t>
      </w:r>
      <w:r>
        <w:rPr>
          <w:spacing w:val="-2"/>
          <w:sz w:val="20"/>
          <w:szCs w:val="20"/>
        </w:rPr>
        <w:t>当紧凑，最好能在靠中间位置留出后续设备扩容所需的安装空间。</w:t>
      </w:r>
    </w:p>
    <w:p w14:paraId="3611B6EF">
      <w:pPr>
        <w:pStyle w:val="2"/>
        <w:spacing w:before="231" w:line="219" w:lineRule="auto"/>
        <w:ind w:left="363"/>
        <w:rPr>
          <w:sz w:val="25"/>
          <w:szCs w:val="25"/>
        </w:rPr>
      </w:pPr>
      <w:r>
        <w:rPr>
          <w:b/>
          <w:bCs/>
          <w:color w:val="0065CA"/>
          <w:spacing w:val="-17"/>
          <w:sz w:val="25"/>
          <w:szCs w:val="25"/>
        </w:rPr>
        <w:t>4.2.10</w:t>
      </w:r>
      <w:r>
        <w:rPr>
          <w:color w:val="0065CA"/>
          <w:spacing w:val="102"/>
          <w:sz w:val="25"/>
          <w:szCs w:val="25"/>
        </w:rPr>
        <w:t xml:space="preserve"> </w:t>
      </w:r>
      <w:r>
        <w:rPr>
          <w:b/>
          <w:bCs/>
          <w:color w:val="0065CA"/>
          <w:spacing w:val="-17"/>
          <w:sz w:val="25"/>
          <w:szCs w:val="25"/>
        </w:rPr>
        <w:t>新基建背景下的数据中心产业发展</w:t>
      </w:r>
    </w:p>
    <w:p w14:paraId="79780282">
      <w:pPr>
        <w:pStyle w:val="2"/>
        <w:spacing w:before="164" w:line="219" w:lineRule="auto"/>
        <w:ind w:left="770"/>
        <w:rPr>
          <w:sz w:val="20"/>
          <w:szCs w:val="20"/>
        </w:rPr>
      </w:pPr>
      <w:r>
        <w:rPr>
          <w:spacing w:val="6"/>
          <w:sz w:val="20"/>
          <w:szCs w:val="20"/>
        </w:rPr>
        <w:t>新型基础设施建设致力于科技端的基础设施建设，主要包括5</w:t>
      </w:r>
      <w:r>
        <w:rPr>
          <w:rFonts w:ascii="Times New Roman" w:hAnsi="Times New Roman" w:eastAsia="Times New Roman" w:cs="Times New Roman"/>
          <w:spacing w:val="6"/>
          <w:sz w:val="20"/>
          <w:szCs w:val="20"/>
        </w:rPr>
        <w:t>G</w:t>
      </w:r>
      <w:r>
        <w:rPr>
          <w:rFonts w:ascii="Times New Roman" w:hAnsi="Times New Roman" w:eastAsia="Times New Roman" w:cs="Times New Roman"/>
          <w:spacing w:val="-1"/>
          <w:sz w:val="20"/>
          <w:szCs w:val="20"/>
        </w:rPr>
        <w:t xml:space="preserve"> </w:t>
      </w:r>
      <w:r>
        <w:rPr>
          <w:spacing w:val="6"/>
          <w:sz w:val="20"/>
          <w:szCs w:val="20"/>
        </w:rPr>
        <w:t>基站建设、特高压、城际</w:t>
      </w:r>
    </w:p>
    <w:p w14:paraId="15D6C2AB">
      <w:pPr>
        <w:spacing w:line="219" w:lineRule="auto"/>
        <w:rPr>
          <w:sz w:val="20"/>
          <w:szCs w:val="20"/>
        </w:rPr>
        <w:sectPr>
          <w:pgSz w:w="10300" w:h="13320"/>
          <w:pgMar w:top="400" w:right="1040" w:bottom="400" w:left="509" w:header="0" w:footer="0" w:gutter="0"/>
          <w:cols w:space="720" w:num="1"/>
        </w:sectPr>
      </w:pPr>
    </w:p>
    <w:p w14:paraId="4EA118AC">
      <w:pPr>
        <w:pStyle w:val="2"/>
        <w:spacing w:before="116" w:line="219" w:lineRule="auto"/>
        <w:jc w:val="right"/>
        <w:rPr>
          <w:rFonts w:ascii="Times New Roman" w:hAnsi="Times New Roman" w:eastAsia="Times New Roman" w:cs="Times New Roman"/>
          <w:sz w:val="17"/>
          <w:szCs w:val="17"/>
        </w:rPr>
      </w:pPr>
      <w:r>
        <w:rPr>
          <w:spacing w:val="-3"/>
          <w:sz w:val="20"/>
          <w:szCs w:val="20"/>
        </w:rPr>
        <w:t>第4章 信息资源系统</w:t>
      </w:r>
      <w:r>
        <w:rPr>
          <w:spacing w:val="11"/>
          <w:sz w:val="20"/>
          <w:szCs w:val="20"/>
        </w:rPr>
        <w:t xml:space="preserve">      </w:t>
      </w:r>
      <w:r>
        <w:rPr>
          <w:rFonts w:ascii="Times New Roman" w:hAnsi="Times New Roman" w:eastAsia="Times New Roman" w:cs="Times New Roman"/>
          <w:spacing w:val="-3"/>
          <w:sz w:val="17"/>
          <w:szCs w:val="17"/>
        </w:rPr>
        <w:t>155</w:t>
      </w:r>
    </w:p>
    <w:p w14:paraId="390978F7">
      <w:pPr>
        <w:spacing w:line="286" w:lineRule="auto"/>
        <w:rPr>
          <w:rFonts w:ascii="Arial"/>
          <w:sz w:val="21"/>
        </w:rPr>
      </w:pPr>
    </w:p>
    <w:p w14:paraId="121D699A">
      <w:pPr>
        <w:pStyle w:val="2"/>
        <w:spacing w:before="65" w:line="281" w:lineRule="auto"/>
        <w:ind w:right="214"/>
        <w:jc w:val="both"/>
        <w:rPr>
          <w:sz w:val="20"/>
          <w:szCs w:val="20"/>
        </w:rPr>
      </w:pPr>
      <w:r>
        <w:rPr>
          <w:sz w:val="20"/>
          <w:szCs w:val="20"/>
        </w:rPr>
        <w:t>高速铁路和城市轨道交通、新能源汽车充电桩、大数据中心、人工智能、工业互联网七大领域，</w:t>
      </w:r>
      <w:r>
        <w:rPr>
          <w:spacing w:val="9"/>
          <w:sz w:val="20"/>
          <w:szCs w:val="20"/>
        </w:rPr>
        <w:t xml:space="preserve"> </w:t>
      </w:r>
      <w:r>
        <w:rPr>
          <w:spacing w:val="3"/>
          <w:sz w:val="20"/>
          <w:szCs w:val="20"/>
        </w:rPr>
        <w:t>涉及诸多产业链，是以新发展为理念，以技术创新为驱动，以信息网络为基础，面向高质量发</w:t>
      </w:r>
      <w:r>
        <w:rPr>
          <w:spacing w:val="14"/>
          <w:sz w:val="20"/>
          <w:szCs w:val="20"/>
        </w:rPr>
        <w:t xml:space="preserve"> </w:t>
      </w:r>
      <w:r>
        <w:rPr>
          <w:spacing w:val="3"/>
          <w:sz w:val="20"/>
          <w:szCs w:val="20"/>
        </w:rPr>
        <w:t>展需要，提供数字转型、智能升级、融合创新等服务的基础设施体系。与传统基</w:t>
      </w:r>
      <w:r>
        <w:rPr>
          <w:spacing w:val="2"/>
          <w:sz w:val="20"/>
          <w:szCs w:val="20"/>
        </w:rPr>
        <w:t>建相比，新基</w:t>
      </w:r>
      <w:r>
        <w:rPr>
          <w:sz w:val="20"/>
          <w:szCs w:val="20"/>
        </w:rPr>
        <w:t xml:space="preserve">  </w:t>
      </w:r>
      <w:r>
        <w:rPr>
          <w:spacing w:val="3"/>
          <w:sz w:val="20"/>
          <w:szCs w:val="20"/>
        </w:rPr>
        <w:t>建更加侧重于突出产业转型升级的新方向，无论是人工智能还是物联网，都体现出加快推</w:t>
      </w:r>
      <w:r>
        <w:rPr>
          <w:spacing w:val="2"/>
          <w:sz w:val="20"/>
          <w:szCs w:val="20"/>
        </w:rPr>
        <w:t>进产</w:t>
      </w:r>
      <w:r>
        <w:rPr>
          <w:sz w:val="20"/>
          <w:szCs w:val="20"/>
        </w:rPr>
        <w:t xml:space="preserve">  </w:t>
      </w:r>
      <w:r>
        <w:rPr>
          <w:spacing w:val="-3"/>
          <w:sz w:val="20"/>
          <w:szCs w:val="20"/>
        </w:rPr>
        <w:t>业高端化发展的大趋势。</w:t>
      </w:r>
    </w:p>
    <w:p w14:paraId="5AA720BA">
      <w:pPr>
        <w:pStyle w:val="2"/>
        <w:spacing w:before="56" w:line="281" w:lineRule="auto"/>
        <w:ind w:right="299" w:firstLine="410"/>
        <w:jc w:val="both"/>
        <w:rPr>
          <w:sz w:val="20"/>
          <w:szCs w:val="20"/>
        </w:rPr>
      </w:pPr>
      <w:r>
        <w:rPr>
          <w:spacing w:val="3"/>
          <w:sz w:val="20"/>
          <w:szCs w:val="20"/>
        </w:rPr>
        <w:t>新基建对数据中心提出新要求，大型数据中心对海量数据处理能力和</w:t>
      </w:r>
      <w:r>
        <w:rPr>
          <w:spacing w:val="2"/>
          <w:sz w:val="20"/>
          <w:szCs w:val="20"/>
        </w:rPr>
        <w:t>能耗水平提出更高要</w:t>
      </w:r>
      <w:r>
        <w:rPr>
          <w:sz w:val="20"/>
          <w:szCs w:val="20"/>
        </w:rPr>
        <w:t xml:space="preserve"> </w:t>
      </w:r>
      <w:r>
        <w:rPr>
          <w:spacing w:val="3"/>
          <w:sz w:val="20"/>
          <w:szCs w:val="20"/>
        </w:rPr>
        <w:t>求。海量数据将推动数据中心向超大规模发展。与此同时，数据中心对于电力、土地等资源的</w:t>
      </w:r>
      <w:r>
        <w:rPr>
          <w:spacing w:val="1"/>
          <w:sz w:val="20"/>
          <w:szCs w:val="20"/>
        </w:rPr>
        <w:t xml:space="preserve"> </w:t>
      </w:r>
      <w:r>
        <w:rPr>
          <w:spacing w:val="3"/>
          <w:sz w:val="20"/>
          <w:szCs w:val="20"/>
        </w:rPr>
        <w:t>消耗也将日益增长，大型和超大型数据中心需在更大地域范围内进行选址，进一步</w:t>
      </w:r>
      <w:r>
        <w:rPr>
          <w:spacing w:val="2"/>
          <w:sz w:val="20"/>
          <w:szCs w:val="20"/>
        </w:rPr>
        <w:t>降低综合成</w:t>
      </w:r>
      <w:r>
        <w:rPr>
          <w:sz w:val="20"/>
          <w:szCs w:val="20"/>
        </w:rPr>
        <w:t xml:space="preserve"> </w:t>
      </w:r>
      <w:r>
        <w:rPr>
          <w:spacing w:val="3"/>
          <w:sz w:val="20"/>
          <w:szCs w:val="20"/>
        </w:rPr>
        <w:t>本和能耗水平。为保障用户数据访问和数据中心互连，需要配合大型数据中心</w:t>
      </w:r>
      <w:r>
        <w:rPr>
          <w:spacing w:val="2"/>
          <w:sz w:val="20"/>
          <w:szCs w:val="20"/>
        </w:rPr>
        <w:t>布局来优化骨干</w:t>
      </w:r>
      <w:r>
        <w:rPr>
          <w:sz w:val="20"/>
          <w:szCs w:val="20"/>
        </w:rPr>
        <w:t xml:space="preserve"> </w:t>
      </w:r>
      <w:r>
        <w:rPr>
          <w:spacing w:val="-1"/>
          <w:sz w:val="20"/>
          <w:szCs w:val="20"/>
        </w:rPr>
        <w:t>网络组织架构，推进互联网技术升级，满足数据中心互连对网络资</w:t>
      </w:r>
      <w:r>
        <w:rPr>
          <w:spacing w:val="-2"/>
          <w:sz w:val="20"/>
          <w:szCs w:val="20"/>
        </w:rPr>
        <w:t>源的弹性需求和性能要求。</w:t>
      </w:r>
    </w:p>
    <w:p w14:paraId="2D29FA7D">
      <w:pPr>
        <w:pStyle w:val="2"/>
        <w:spacing w:before="51" w:line="282" w:lineRule="auto"/>
        <w:ind w:right="234" w:firstLine="410"/>
        <w:jc w:val="both"/>
        <w:rPr>
          <w:sz w:val="20"/>
          <w:szCs w:val="20"/>
        </w:rPr>
      </w:pPr>
      <w:r>
        <w:rPr>
          <w:spacing w:val="3"/>
          <w:sz w:val="20"/>
          <w:szCs w:val="20"/>
        </w:rPr>
        <w:t>近年来，多地纷纷投资建设数据中心，但这些数据中心大多各自为政、</w:t>
      </w:r>
      <w:r>
        <w:rPr>
          <w:spacing w:val="2"/>
          <w:sz w:val="20"/>
          <w:szCs w:val="20"/>
        </w:rPr>
        <w:t>相互分离，缺乏一</w:t>
      </w:r>
      <w:r>
        <w:rPr>
          <w:sz w:val="20"/>
          <w:szCs w:val="20"/>
        </w:rPr>
        <w:t xml:space="preserve"> </w:t>
      </w:r>
      <w:r>
        <w:rPr>
          <w:spacing w:val="3"/>
          <w:sz w:val="20"/>
          <w:szCs w:val="20"/>
        </w:rPr>
        <w:t>体化的战略规划，容易造成烟囱效应和重复浪费。在新基建的背景下，数据中心建设</w:t>
      </w:r>
      <w:r>
        <w:rPr>
          <w:spacing w:val="2"/>
          <w:sz w:val="20"/>
          <w:szCs w:val="20"/>
        </w:rPr>
        <w:t>应当加强</w:t>
      </w:r>
      <w:r>
        <w:rPr>
          <w:sz w:val="20"/>
          <w:szCs w:val="20"/>
        </w:rPr>
        <w:t xml:space="preserve"> </w:t>
      </w:r>
      <w:r>
        <w:rPr>
          <w:spacing w:val="3"/>
          <w:sz w:val="20"/>
          <w:szCs w:val="20"/>
        </w:rPr>
        <w:t>统筹协调，立足国家战略层面，从全局角度进行顶层设计，为数据中心全国统筹</w:t>
      </w:r>
      <w:r>
        <w:rPr>
          <w:spacing w:val="2"/>
          <w:sz w:val="20"/>
          <w:szCs w:val="20"/>
        </w:rPr>
        <w:t>布局提供战略</w:t>
      </w:r>
      <w:r>
        <w:rPr>
          <w:sz w:val="20"/>
          <w:szCs w:val="20"/>
        </w:rPr>
        <w:t xml:space="preserve"> 性、方向性指引。同时，数据中心发展规划也要与网络建设、数据灾备</w:t>
      </w:r>
      <w:r>
        <w:rPr>
          <w:spacing w:val="-1"/>
          <w:sz w:val="20"/>
          <w:szCs w:val="20"/>
        </w:rPr>
        <w:t>等统筹考虑、协同布局，</w:t>
      </w:r>
      <w:r>
        <w:rPr>
          <w:sz w:val="20"/>
          <w:szCs w:val="20"/>
        </w:rPr>
        <w:t xml:space="preserve"> </w:t>
      </w:r>
      <w:r>
        <w:rPr>
          <w:spacing w:val="3"/>
          <w:sz w:val="20"/>
          <w:szCs w:val="20"/>
        </w:rPr>
        <w:t>实现全国数据中心优化布局。各地因地制宜，差异化规划布局数据中心。新基建浪潮下</w:t>
      </w:r>
      <w:r>
        <w:rPr>
          <w:spacing w:val="2"/>
          <w:sz w:val="20"/>
          <w:szCs w:val="20"/>
        </w:rPr>
        <w:t>，数据</w:t>
      </w:r>
      <w:r>
        <w:rPr>
          <w:sz w:val="20"/>
          <w:szCs w:val="20"/>
        </w:rPr>
        <w:t xml:space="preserve"> </w:t>
      </w:r>
      <w:r>
        <w:rPr>
          <w:spacing w:val="3"/>
          <w:sz w:val="20"/>
          <w:szCs w:val="20"/>
        </w:rPr>
        <w:t>中心的建设不能简单重复传统基建的方式方法，各地需因地制宜</w:t>
      </w:r>
      <w:r>
        <w:rPr>
          <w:spacing w:val="2"/>
          <w:sz w:val="20"/>
          <w:szCs w:val="20"/>
        </w:rPr>
        <w:t>，找准自身定位，开展数据中</w:t>
      </w:r>
      <w:r>
        <w:rPr>
          <w:sz w:val="20"/>
          <w:szCs w:val="20"/>
        </w:rPr>
        <w:t xml:space="preserve"> </w:t>
      </w:r>
      <w:r>
        <w:rPr>
          <w:spacing w:val="-5"/>
          <w:sz w:val="20"/>
          <w:szCs w:val="20"/>
        </w:rPr>
        <w:t>心规划布局。具体原则包括：</w:t>
      </w:r>
    </w:p>
    <w:p w14:paraId="672218CC">
      <w:pPr>
        <w:pStyle w:val="2"/>
        <w:spacing w:before="98" w:line="264" w:lineRule="auto"/>
        <w:ind w:right="263" w:firstLine="410"/>
        <w:rPr>
          <w:sz w:val="20"/>
          <w:szCs w:val="20"/>
        </w:rPr>
      </w:pPr>
      <w:r>
        <w:rPr>
          <w:spacing w:val="6"/>
          <w:sz w:val="20"/>
          <w:szCs w:val="20"/>
        </w:rPr>
        <w:t>(1)对于仍存在较大需求缺口的北、上、广、深等热点城市，综</w:t>
      </w:r>
      <w:r>
        <w:rPr>
          <w:spacing w:val="5"/>
          <w:sz w:val="20"/>
          <w:szCs w:val="20"/>
        </w:rPr>
        <w:t>合考虑数据中心对计算能</w:t>
      </w:r>
      <w:r>
        <w:rPr>
          <w:sz w:val="20"/>
          <w:szCs w:val="20"/>
        </w:rPr>
        <w:t xml:space="preserve"> </w:t>
      </w:r>
      <w:r>
        <w:rPr>
          <w:spacing w:val="3"/>
          <w:sz w:val="20"/>
          <w:szCs w:val="20"/>
        </w:rPr>
        <w:t>力提升效率和降低能耗之间的平衡，支持建设支撑5G、人工智能、工业互联网等新技术发</w:t>
      </w:r>
      <w:r>
        <w:rPr>
          <w:spacing w:val="2"/>
          <w:sz w:val="20"/>
          <w:szCs w:val="20"/>
        </w:rPr>
        <w:t>展的</w:t>
      </w:r>
      <w:r>
        <w:rPr>
          <w:sz w:val="20"/>
          <w:szCs w:val="20"/>
        </w:rPr>
        <w:t xml:space="preserve"> </w:t>
      </w:r>
      <w:r>
        <w:rPr>
          <w:spacing w:val="-1"/>
          <w:sz w:val="20"/>
          <w:szCs w:val="20"/>
        </w:rPr>
        <w:t>数据中心，保证城市基本计算需求，或在区域一体化的概念下，在周边统筹考虑数据中心建设。</w:t>
      </w:r>
    </w:p>
    <w:p w14:paraId="565B8481">
      <w:pPr>
        <w:pStyle w:val="2"/>
        <w:spacing w:before="65" w:line="247" w:lineRule="auto"/>
        <w:ind w:right="235" w:firstLine="410"/>
        <w:rPr>
          <w:sz w:val="20"/>
          <w:szCs w:val="20"/>
        </w:rPr>
      </w:pPr>
      <w:r>
        <w:rPr>
          <w:spacing w:val="7"/>
          <w:sz w:val="20"/>
          <w:szCs w:val="20"/>
        </w:rPr>
        <w:t>(2)对于各区域的中心城市，时延敏感、以实时应用为主的业务可选择在用户聚集地</w:t>
      </w:r>
      <w:r>
        <w:rPr>
          <w:spacing w:val="6"/>
          <w:sz w:val="20"/>
          <w:szCs w:val="20"/>
        </w:rPr>
        <w:t>区，</w:t>
      </w:r>
      <w:r>
        <w:rPr>
          <w:sz w:val="20"/>
          <w:szCs w:val="20"/>
        </w:rPr>
        <w:t xml:space="preserve"> </w:t>
      </w:r>
      <w:r>
        <w:rPr>
          <w:spacing w:val="-3"/>
          <w:sz w:val="20"/>
          <w:szCs w:val="20"/>
        </w:rPr>
        <w:t>依据市场需求灵活部署大中型数据中心。</w:t>
      </w:r>
    </w:p>
    <w:p w14:paraId="39BD65A3">
      <w:pPr>
        <w:pStyle w:val="2"/>
        <w:spacing w:before="93" w:line="244" w:lineRule="auto"/>
        <w:ind w:right="297" w:firstLine="410"/>
        <w:rPr>
          <w:sz w:val="20"/>
          <w:szCs w:val="20"/>
        </w:rPr>
      </w:pPr>
      <w:r>
        <w:rPr>
          <w:spacing w:val="5"/>
          <w:sz w:val="20"/>
          <w:szCs w:val="20"/>
        </w:rPr>
        <w:t>(3)对于中西部能源富集地区，可利用自身能源充足、气候适宜的优势建设承接东部地区</w:t>
      </w:r>
      <w:r>
        <w:rPr>
          <w:spacing w:val="16"/>
          <w:sz w:val="20"/>
          <w:szCs w:val="20"/>
        </w:rPr>
        <w:t xml:space="preserve"> </w:t>
      </w:r>
      <w:r>
        <w:rPr>
          <w:spacing w:val="-1"/>
          <w:sz w:val="20"/>
          <w:szCs w:val="20"/>
        </w:rPr>
        <w:t>对时延敏感不高且具有海量数据处理能力的大型、超大</w:t>
      </w:r>
      <w:r>
        <w:rPr>
          <w:spacing w:val="-2"/>
          <w:sz w:val="20"/>
          <w:szCs w:val="20"/>
        </w:rPr>
        <w:t>型数据中心。</w:t>
      </w:r>
    </w:p>
    <w:p w14:paraId="4A9D540B">
      <w:pPr>
        <w:pStyle w:val="2"/>
        <w:spacing w:before="91" w:line="244" w:lineRule="auto"/>
        <w:ind w:right="304" w:firstLine="410"/>
        <w:rPr>
          <w:sz w:val="20"/>
          <w:szCs w:val="20"/>
        </w:rPr>
      </w:pPr>
      <w:r>
        <w:rPr>
          <w:spacing w:val="5"/>
          <w:sz w:val="20"/>
          <w:szCs w:val="20"/>
        </w:rPr>
        <w:t>(4)对于部分对时延极为敏感的业务，如</w:t>
      </w:r>
      <w:r>
        <w:rPr>
          <w:rFonts w:ascii="Times New Roman" w:hAnsi="Times New Roman" w:eastAsia="Times New Roman" w:cs="Times New Roman"/>
          <w:sz w:val="20"/>
          <w:szCs w:val="20"/>
        </w:rPr>
        <w:t>VR</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AR</w:t>
      </w:r>
      <w:r>
        <w:rPr>
          <w:spacing w:val="5"/>
          <w:sz w:val="20"/>
          <w:szCs w:val="20"/>
        </w:rPr>
        <w:t>、车联网等，需要最大限度贴近用户部署</w:t>
      </w:r>
      <w:r>
        <w:rPr>
          <w:spacing w:val="8"/>
          <w:sz w:val="20"/>
          <w:szCs w:val="20"/>
        </w:rPr>
        <w:t xml:space="preserve"> </w:t>
      </w:r>
      <w:r>
        <w:rPr>
          <w:spacing w:val="-3"/>
          <w:sz w:val="20"/>
          <w:szCs w:val="20"/>
        </w:rPr>
        <w:t>边缘数据中心，满足用户的需求。</w:t>
      </w:r>
    </w:p>
    <w:p w14:paraId="68863EA4">
      <w:pPr>
        <w:spacing w:line="244" w:lineRule="auto"/>
        <w:rPr>
          <w:sz w:val="20"/>
          <w:szCs w:val="20"/>
        </w:rPr>
        <w:sectPr>
          <w:pgSz w:w="10290" w:h="13310"/>
          <w:pgMar w:top="400" w:right="544" w:bottom="400" w:left="1119" w:header="0" w:footer="0" w:gutter="0"/>
          <w:cols w:space="720" w:num="1"/>
        </w:sectPr>
      </w:pPr>
    </w:p>
    <w:p w14:paraId="3317AEA1">
      <w:pPr>
        <w:spacing w:line="271" w:lineRule="auto"/>
        <w:rPr>
          <w:rFonts w:ascii="Arial"/>
          <w:sz w:val="21"/>
        </w:rPr>
      </w:pPr>
    </w:p>
    <w:p w14:paraId="2FE7885E">
      <w:pPr>
        <w:spacing w:line="272" w:lineRule="auto"/>
        <w:rPr>
          <w:rFonts w:ascii="Arial"/>
          <w:sz w:val="21"/>
        </w:rPr>
      </w:pPr>
    </w:p>
    <w:p w14:paraId="7C0323AC">
      <w:pPr>
        <w:spacing w:line="272" w:lineRule="auto"/>
        <w:rPr>
          <w:rFonts w:ascii="Arial"/>
          <w:sz w:val="21"/>
        </w:rPr>
      </w:pPr>
    </w:p>
    <w:p w14:paraId="2B08E6A2">
      <w:pPr>
        <w:spacing w:before="130" w:line="238" w:lineRule="auto"/>
        <w:ind w:left="2175"/>
        <w:rPr>
          <w:sz w:val="40"/>
          <w:szCs w:val="40"/>
        </w:rPr>
      </w:pPr>
      <w:r>
        <w:rPr>
          <w:rFonts w:ascii="黑体" w:hAnsi="黑体" w:eastAsia="黑体" w:cs="黑体"/>
          <w:b/>
          <w:bCs/>
          <w:color w:val="0068DF"/>
          <w:spacing w:val="12"/>
          <w:sz w:val="40"/>
          <w:szCs w:val="40"/>
        </w:rPr>
        <w:t>第5章</w:t>
      </w:r>
      <w:r>
        <w:rPr>
          <w:rFonts w:ascii="黑体" w:hAnsi="黑体" w:eastAsia="黑体" w:cs="黑体"/>
          <w:color w:val="0068DF"/>
          <w:spacing w:val="12"/>
          <w:sz w:val="40"/>
          <w:szCs w:val="40"/>
        </w:rPr>
        <w:t xml:space="preserve">  </w:t>
      </w:r>
      <w:r>
        <w:rPr>
          <w:rFonts w:ascii="黑体" w:hAnsi="黑体" w:eastAsia="黑体" w:cs="黑体"/>
          <w:b/>
          <w:bCs/>
          <w:color w:val="0068DF"/>
          <w:spacing w:val="12"/>
          <w:sz w:val="40"/>
          <w:szCs w:val="40"/>
        </w:rPr>
        <w:t>信息应用系统</w:t>
      </w:r>
      <w:r>
        <w:rPr>
          <w:rFonts w:ascii="黑体" w:hAnsi="黑体" w:eastAsia="黑体" w:cs="黑体"/>
          <w:color w:val="0068DF"/>
          <w:spacing w:val="32"/>
          <w:sz w:val="40"/>
          <w:szCs w:val="40"/>
        </w:rPr>
        <w:t xml:space="preserve">     </w:t>
      </w:r>
      <w:r>
        <w:rPr>
          <w:position w:val="-3"/>
          <w:sz w:val="40"/>
          <w:szCs w:val="40"/>
        </w:rPr>
        <w:drawing>
          <wp:inline distT="0" distB="0" distL="0" distR="0">
            <wp:extent cx="641350" cy="2660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19"/>
                    <a:stretch>
                      <a:fillRect/>
                    </a:stretch>
                  </pic:blipFill>
                  <pic:spPr>
                    <a:xfrm>
                      <a:off x="0" y="0"/>
                      <a:ext cx="641361" cy="266672"/>
                    </a:xfrm>
                    <a:prstGeom prst="rect">
                      <a:avLst/>
                    </a:prstGeom>
                  </pic:spPr>
                </pic:pic>
              </a:graphicData>
            </a:graphic>
          </wp:inline>
        </w:drawing>
      </w:r>
    </w:p>
    <w:p w14:paraId="6EE7B421">
      <w:pPr>
        <w:spacing w:line="340" w:lineRule="auto"/>
        <w:rPr>
          <w:rFonts w:ascii="Arial"/>
          <w:sz w:val="21"/>
        </w:rPr>
      </w:pPr>
    </w:p>
    <w:p w14:paraId="4D96EB74">
      <w:pPr>
        <w:spacing w:line="341" w:lineRule="auto"/>
        <w:rPr>
          <w:rFonts w:ascii="Arial"/>
          <w:sz w:val="21"/>
        </w:rPr>
      </w:pPr>
    </w:p>
    <w:p w14:paraId="0BD13EFA">
      <w:pPr>
        <w:pStyle w:val="2"/>
        <w:spacing w:before="65" w:line="287" w:lineRule="auto"/>
        <w:ind w:right="85" w:firstLine="399"/>
        <w:jc w:val="both"/>
        <w:rPr>
          <w:sz w:val="20"/>
          <w:szCs w:val="20"/>
        </w:rPr>
      </w:pPr>
      <w:r>
        <w:rPr>
          <w:spacing w:val="3"/>
          <w:sz w:val="20"/>
          <w:szCs w:val="20"/>
        </w:rPr>
        <w:t>信息应用系统是以信息技术为主要手段建立的各类业务处理、管理的应用系统，例如电子</w:t>
      </w:r>
      <w:r>
        <w:rPr>
          <w:spacing w:val="1"/>
          <w:sz w:val="20"/>
          <w:szCs w:val="20"/>
        </w:rPr>
        <w:t xml:space="preserve"> </w:t>
      </w:r>
      <w:r>
        <w:rPr>
          <w:spacing w:val="3"/>
          <w:sz w:val="20"/>
          <w:szCs w:val="20"/>
        </w:rPr>
        <w:t>政务系统、城市综合管理信息系统、企业信息化管理、集团财务系统、知识管理系统等，是信</w:t>
      </w:r>
      <w:r>
        <w:rPr>
          <w:sz w:val="20"/>
          <w:szCs w:val="20"/>
        </w:rPr>
        <w:t xml:space="preserve"> </w:t>
      </w:r>
      <w:r>
        <w:rPr>
          <w:spacing w:val="-1"/>
          <w:sz w:val="20"/>
          <w:szCs w:val="20"/>
        </w:rPr>
        <w:t>息处理系统、管理信息系统和办公自动化系统的叠加，其系统建设的</w:t>
      </w:r>
      <w:r>
        <w:rPr>
          <w:spacing w:val="-2"/>
          <w:sz w:val="20"/>
          <w:szCs w:val="20"/>
        </w:rPr>
        <w:t>核心是应用软件。</w:t>
      </w:r>
    </w:p>
    <w:p w14:paraId="1305FAC3">
      <w:pPr>
        <w:pStyle w:val="2"/>
        <w:spacing w:before="47" w:line="283" w:lineRule="auto"/>
        <w:ind w:right="82" w:firstLine="399"/>
        <w:rPr>
          <w:sz w:val="20"/>
          <w:szCs w:val="20"/>
        </w:rPr>
      </w:pPr>
      <w:r>
        <w:rPr>
          <w:spacing w:val="3"/>
          <w:sz w:val="20"/>
          <w:szCs w:val="20"/>
        </w:rPr>
        <w:t>本章重点介绍信息应用系统的分类和各类典型信息应用系统的特点，帮助监理人员奠定相</w:t>
      </w:r>
      <w:r>
        <w:rPr>
          <w:spacing w:val="8"/>
          <w:sz w:val="20"/>
          <w:szCs w:val="20"/>
        </w:rPr>
        <w:t xml:space="preserve"> </w:t>
      </w:r>
      <w:r>
        <w:rPr>
          <w:spacing w:val="-5"/>
          <w:sz w:val="20"/>
          <w:szCs w:val="20"/>
        </w:rPr>
        <w:t>关技术理论基础。</w:t>
      </w:r>
    </w:p>
    <w:p w14:paraId="14869E30">
      <w:pPr>
        <w:spacing w:line="272" w:lineRule="auto"/>
        <w:rPr>
          <w:rFonts w:ascii="Arial"/>
          <w:sz w:val="21"/>
        </w:rPr>
      </w:pPr>
    </w:p>
    <w:p w14:paraId="6A75607B">
      <w:pPr>
        <w:pStyle w:val="2"/>
        <w:spacing w:before="91" w:line="221" w:lineRule="auto"/>
        <w:ind w:left="3"/>
        <w:rPr>
          <w:rFonts w:ascii="黑体" w:hAnsi="黑体" w:eastAsia="黑体" w:cs="黑体"/>
          <w:sz w:val="28"/>
          <w:szCs w:val="28"/>
        </w:rPr>
      </w:pPr>
      <w:r>
        <w:rPr>
          <w:b/>
          <w:bCs/>
          <w:color w:val="0077D2"/>
          <w:spacing w:val="-8"/>
          <w:sz w:val="28"/>
          <w:szCs w:val="28"/>
        </w:rPr>
        <w:t>5.1</w:t>
      </w:r>
      <w:r>
        <w:rPr>
          <w:color w:val="0077D2"/>
          <w:spacing w:val="-8"/>
          <w:sz w:val="28"/>
          <w:szCs w:val="28"/>
        </w:rPr>
        <w:t xml:space="preserve">  </w:t>
      </w:r>
      <w:r>
        <w:rPr>
          <w:rFonts w:ascii="黑体" w:hAnsi="黑体" w:eastAsia="黑体" w:cs="黑体"/>
          <w:b/>
          <w:bCs/>
          <w:color w:val="0077D2"/>
          <w:spacing w:val="-8"/>
          <w:sz w:val="28"/>
          <w:szCs w:val="28"/>
        </w:rPr>
        <w:t>信息应用系统的分类</w:t>
      </w:r>
    </w:p>
    <w:p w14:paraId="37F2F52D">
      <w:pPr>
        <w:pStyle w:val="2"/>
        <w:spacing w:before="275" w:line="280" w:lineRule="auto"/>
        <w:ind w:firstLine="399"/>
        <w:jc w:val="both"/>
        <w:rPr>
          <w:sz w:val="20"/>
          <w:szCs w:val="20"/>
        </w:rPr>
      </w:pPr>
      <w:r>
        <w:rPr>
          <w:spacing w:val="3"/>
          <w:sz w:val="20"/>
          <w:szCs w:val="20"/>
        </w:rPr>
        <w:t>现在的商业组织中最常见的信息应用系统是为电子商务和移动商务、交易处理、管理信息  和决策支持而设计的系统。而有些组织还会使用特殊的信息应用系统，例如虚拟现</w:t>
      </w:r>
      <w:r>
        <w:rPr>
          <w:spacing w:val="2"/>
          <w:sz w:val="20"/>
          <w:szCs w:val="20"/>
        </w:rPr>
        <w:t>实。从系统</w:t>
      </w:r>
      <w:r>
        <w:rPr>
          <w:sz w:val="20"/>
          <w:szCs w:val="20"/>
        </w:rPr>
        <w:t xml:space="preserve">  </w:t>
      </w:r>
      <w:r>
        <w:rPr>
          <w:spacing w:val="5"/>
          <w:sz w:val="20"/>
          <w:szCs w:val="20"/>
        </w:rPr>
        <w:t>建设角度来看，这些系统通常集成在一个大的统一系统中。信息应用系统分为业务信息系统、</w:t>
      </w:r>
      <w:r>
        <w:rPr>
          <w:spacing w:val="3"/>
          <w:sz w:val="20"/>
          <w:szCs w:val="20"/>
        </w:rPr>
        <w:t xml:space="preserve"> </w:t>
      </w:r>
      <w:r>
        <w:rPr>
          <w:spacing w:val="-2"/>
          <w:sz w:val="20"/>
          <w:szCs w:val="20"/>
        </w:rPr>
        <w:t>管理信息系统与决策支持系统、专用信息系统。</w:t>
      </w:r>
    </w:p>
    <w:p w14:paraId="33BF6B80">
      <w:pPr>
        <w:pStyle w:val="2"/>
        <w:spacing w:before="114" w:line="221" w:lineRule="auto"/>
        <w:ind w:left="402"/>
        <w:rPr>
          <w:rFonts w:ascii="黑体" w:hAnsi="黑体" w:eastAsia="黑体" w:cs="黑体"/>
          <w:sz w:val="20"/>
          <w:szCs w:val="20"/>
        </w:rPr>
      </w:pPr>
      <w:r>
        <w:rPr>
          <w:b/>
          <w:bCs/>
          <w:color w:val="0079CA"/>
          <w:spacing w:val="-1"/>
          <w:sz w:val="20"/>
          <w:szCs w:val="20"/>
        </w:rPr>
        <w:t>1.</w:t>
      </w:r>
      <w:r>
        <w:rPr>
          <w:rFonts w:ascii="黑体" w:hAnsi="黑体" w:eastAsia="黑体" w:cs="黑体"/>
          <w:b/>
          <w:bCs/>
          <w:color w:val="0079CA"/>
          <w:spacing w:val="-1"/>
          <w:sz w:val="20"/>
          <w:szCs w:val="20"/>
        </w:rPr>
        <w:t>业务信息系统</w:t>
      </w:r>
    </w:p>
    <w:p w14:paraId="070924F6">
      <w:pPr>
        <w:pStyle w:val="2"/>
        <w:spacing w:before="135" w:line="287" w:lineRule="auto"/>
        <w:ind w:right="88" w:firstLine="399"/>
        <w:jc w:val="both"/>
        <w:rPr>
          <w:sz w:val="20"/>
          <w:szCs w:val="20"/>
        </w:rPr>
      </w:pPr>
      <w:r>
        <w:rPr>
          <w:spacing w:val="3"/>
          <w:sz w:val="20"/>
          <w:szCs w:val="20"/>
        </w:rPr>
        <w:t>随着企业业务需求的增长和技术条件的发展，人们逐步将计算机应用于企业局部业务的管 理，例如财会管理、销售管理、物资管理和生产管理等，即计算机应用发展到对企</w:t>
      </w:r>
      <w:r>
        <w:rPr>
          <w:spacing w:val="2"/>
          <w:sz w:val="20"/>
          <w:szCs w:val="20"/>
        </w:rPr>
        <w:t>业的局部事</w:t>
      </w:r>
      <w:r>
        <w:rPr>
          <w:sz w:val="20"/>
          <w:szCs w:val="20"/>
        </w:rPr>
        <w:t xml:space="preserve"> </w:t>
      </w:r>
      <w:r>
        <w:rPr>
          <w:spacing w:val="5"/>
          <w:sz w:val="20"/>
          <w:szCs w:val="20"/>
        </w:rPr>
        <w:t>务的管理，形成了所谓的事务处理系统</w:t>
      </w:r>
      <w:r>
        <w:rPr>
          <w:spacing w:val="-4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Transaction</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Processing</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TPS</w:t>
      </w:r>
      <w:r>
        <w:rPr>
          <w:rFonts w:ascii="Times New Roman" w:hAnsi="Times New Roman" w:eastAsia="Times New Roman" w:cs="Times New Roman"/>
          <w:spacing w:val="4"/>
          <w:sz w:val="20"/>
          <w:szCs w:val="20"/>
        </w:rPr>
        <w:t>),</w:t>
      </w:r>
      <w:r>
        <w:rPr>
          <w:rFonts w:ascii="Times New Roman" w:hAnsi="Times New Roman" w:eastAsia="Times New Roman" w:cs="Times New Roman"/>
          <w:spacing w:val="19"/>
          <w:w w:val="101"/>
          <w:sz w:val="20"/>
          <w:szCs w:val="20"/>
        </w:rPr>
        <w:t xml:space="preserve"> </w:t>
      </w:r>
      <w:r>
        <w:rPr>
          <w:spacing w:val="4"/>
          <w:sz w:val="20"/>
          <w:szCs w:val="20"/>
        </w:rPr>
        <w:t>但它并未形成</w:t>
      </w:r>
      <w:r>
        <w:rPr>
          <w:sz w:val="20"/>
          <w:szCs w:val="20"/>
        </w:rPr>
        <w:t xml:space="preserve"> </w:t>
      </w:r>
      <w:r>
        <w:rPr>
          <w:spacing w:val="-3"/>
          <w:sz w:val="20"/>
          <w:szCs w:val="20"/>
        </w:rPr>
        <w:t>对企业全局的、整体的管理。</w:t>
      </w:r>
    </w:p>
    <w:p w14:paraId="452ECDCE">
      <w:pPr>
        <w:pStyle w:val="2"/>
        <w:spacing w:before="12" w:line="293" w:lineRule="auto"/>
        <w:ind w:right="84" w:firstLine="399"/>
        <w:jc w:val="both"/>
        <w:rPr>
          <w:sz w:val="17"/>
          <w:szCs w:val="17"/>
        </w:rPr>
      </w:pPr>
      <w:r>
        <w:rPr>
          <w:spacing w:val="5"/>
          <w:sz w:val="20"/>
          <w:szCs w:val="20"/>
        </w:rPr>
        <w:t>企业资源规划</w:t>
      </w:r>
      <w:r>
        <w:rPr>
          <w:spacing w:val="-31"/>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ERP</w:t>
      </w:r>
      <w:r>
        <w:rPr>
          <w:rFonts w:ascii="Times New Roman" w:hAnsi="Times New Roman" w:eastAsia="Times New Roman" w:cs="Times New Roman"/>
          <w:spacing w:val="5"/>
          <w:sz w:val="20"/>
          <w:szCs w:val="20"/>
        </w:rPr>
        <w:t xml:space="preserve">)   </w:t>
      </w:r>
      <w:r>
        <w:rPr>
          <w:spacing w:val="5"/>
          <w:sz w:val="20"/>
          <w:szCs w:val="20"/>
        </w:rPr>
        <w:t>是企业在生产制造过程普遍使用的一种信息应用系统。企业的所有</w:t>
      </w:r>
      <w:r>
        <w:rPr>
          <w:sz w:val="20"/>
          <w:szCs w:val="20"/>
        </w:rPr>
        <w:t xml:space="preserve"> </w:t>
      </w:r>
      <w:r>
        <w:rPr>
          <w:spacing w:val="3"/>
          <w:sz w:val="20"/>
          <w:szCs w:val="20"/>
        </w:rPr>
        <w:t>资源包括三大流：物流、资金流和信息流。</w:t>
      </w:r>
      <w:r>
        <w:rPr>
          <w:rFonts w:ascii="Times New Roman" w:hAnsi="Times New Roman" w:eastAsia="Times New Roman" w:cs="Times New Roman"/>
          <w:sz w:val="20"/>
          <w:szCs w:val="20"/>
        </w:rPr>
        <w:t>ERP</w:t>
      </w:r>
      <w:r>
        <w:rPr>
          <w:rFonts w:ascii="Times New Roman" w:hAnsi="Times New Roman" w:eastAsia="Times New Roman" w:cs="Times New Roman"/>
          <w:spacing w:val="3"/>
          <w:sz w:val="20"/>
          <w:szCs w:val="20"/>
        </w:rPr>
        <w:t xml:space="preserve"> </w:t>
      </w:r>
      <w:r>
        <w:rPr>
          <w:spacing w:val="3"/>
          <w:sz w:val="20"/>
          <w:szCs w:val="20"/>
        </w:rPr>
        <w:t>是对这三种资源</w:t>
      </w:r>
      <w:r>
        <w:rPr>
          <w:spacing w:val="2"/>
          <w:sz w:val="20"/>
          <w:szCs w:val="20"/>
        </w:rPr>
        <w:t>进行全面集成管理的管理信息</w:t>
      </w:r>
      <w:r>
        <w:rPr>
          <w:sz w:val="20"/>
          <w:szCs w:val="20"/>
        </w:rPr>
        <w:t xml:space="preserve"> </w:t>
      </w:r>
      <w:r>
        <w:rPr>
          <w:spacing w:val="2"/>
          <w:sz w:val="20"/>
          <w:szCs w:val="20"/>
        </w:rPr>
        <w:t>系统。概括地说，</w:t>
      </w:r>
      <w:r>
        <w:rPr>
          <w:rFonts w:ascii="Times New Roman" w:hAnsi="Times New Roman" w:eastAsia="Times New Roman" w:cs="Times New Roman"/>
          <w:sz w:val="20"/>
          <w:szCs w:val="20"/>
        </w:rPr>
        <w:t>ERP</w:t>
      </w:r>
      <w:r>
        <w:rPr>
          <w:rFonts w:ascii="Times New Roman" w:hAnsi="Times New Roman" w:eastAsia="Times New Roman" w:cs="Times New Roman"/>
          <w:spacing w:val="28"/>
          <w:sz w:val="20"/>
          <w:szCs w:val="20"/>
        </w:rPr>
        <w:t xml:space="preserve"> </w:t>
      </w:r>
      <w:r>
        <w:rPr>
          <w:spacing w:val="2"/>
          <w:sz w:val="20"/>
          <w:szCs w:val="20"/>
        </w:rPr>
        <w:t>是建立在信息技术基础上，利用现代企业的先进管理思想，</w:t>
      </w:r>
      <w:r>
        <w:rPr>
          <w:spacing w:val="1"/>
          <w:sz w:val="20"/>
          <w:szCs w:val="20"/>
        </w:rPr>
        <w:t>全面地集成</w:t>
      </w:r>
      <w:r>
        <w:rPr>
          <w:sz w:val="20"/>
          <w:szCs w:val="20"/>
        </w:rPr>
        <w:t xml:space="preserve"> </w:t>
      </w:r>
      <w:r>
        <w:rPr>
          <w:spacing w:val="2"/>
          <w:sz w:val="20"/>
          <w:szCs w:val="20"/>
        </w:rPr>
        <w:t xml:space="preserve">了企业的所有资源信息，并为企业提供决策、计划、控制与经营业绩评估的全方位和系统化的 </w:t>
      </w:r>
      <w:r>
        <w:rPr>
          <w:spacing w:val="18"/>
          <w:sz w:val="17"/>
          <w:szCs w:val="17"/>
        </w:rPr>
        <w:t>管理平台。</w:t>
      </w:r>
    </w:p>
    <w:p w14:paraId="1BB8797A">
      <w:pPr>
        <w:pStyle w:val="2"/>
        <w:spacing w:before="11" w:line="285" w:lineRule="auto"/>
        <w:ind w:right="70" w:firstLine="399"/>
        <w:rPr>
          <w:sz w:val="20"/>
          <w:szCs w:val="20"/>
        </w:rPr>
      </w:pPr>
      <w:r>
        <w:rPr>
          <w:spacing w:val="-4"/>
          <w:sz w:val="20"/>
          <w:szCs w:val="20"/>
        </w:rPr>
        <w:t>电</w:t>
      </w:r>
      <w:r>
        <w:rPr>
          <w:spacing w:val="-39"/>
          <w:sz w:val="20"/>
          <w:szCs w:val="20"/>
        </w:rPr>
        <w:t xml:space="preserve"> </w:t>
      </w:r>
      <w:r>
        <w:rPr>
          <w:spacing w:val="-4"/>
          <w:sz w:val="20"/>
          <w:szCs w:val="20"/>
        </w:rPr>
        <w:t>子</w:t>
      </w:r>
      <w:r>
        <w:rPr>
          <w:spacing w:val="-36"/>
          <w:sz w:val="20"/>
          <w:szCs w:val="20"/>
        </w:rPr>
        <w:t xml:space="preserve"> </w:t>
      </w:r>
      <w:r>
        <w:rPr>
          <w:spacing w:val="-4"/>
          <w:sz w:val="20"/>
          <w:szCs w:val="20"/>
        </w:rPr>
        <w:t>商</w:t>
      </w:r>
      <w:r>
        <w:rPr>
          <w:spacing w:val="-39"/>
          <w:sz w:val="20"/>
          <w:szCs w:val="20"/>
        </w:rPr>
        <w:t xml:space="preserve"> </w:t>
      </w:r>
      <w:r>
        <w:rPr>
          <w:spacing w:val="-4"/>
          <w:sz w:val="20"/>
          <w:szCs w:val="20"/>
        </w:rPr>
        <w:t>务</w:t>
      </w:r>
      <w:r>
        <w:rPr>
          <w:spacing w:val="-37"/>
          <w:sz w:val="20"/>
          <w:szCs w:val="20"/>
        </w:rPr>
        <w:t xml:space="preserve"> </w:t>
      </w:r>
      <w:r>
        <w:rPr>
          <w:spacing w:val="-4"/>
          <w:sz w:val="20"/>
          <w:szCs w:val="20"/>
        </w:rPr>
        <w:t>是</w:t>
      </w:r>
      <w:r>
        <w:rPr>
          <w:spacing w:val="-34"/>
          <w:sz w:val="20"/>
          <w:szCs w:val="20"/>
        </w:rPr>
        <w:t xml:space="preserve"> </w:t>
      </w:r>
      <w:r>
        <w:rPr>
          <w:spacing w:val="-4"/>
          <w:sz w:val="20"/>
          <w:szCs w:val="20"/>
        </w:rPr>
        <w:t>公</w:t>
      </w:r>
      <w:r>
        <w:rPr>
          <w:spacing w:val="-32"/>
          <w:sz w:val="20"/>
          <w:szCs w:val="20"/>
        </w:rPr>
        <w:t xml:space="preserve"> </w:t>
      </w:r>
      <w:r>
        <w:rPr>
          <w:spacing w:val="-4"/>
          <w:sz w:val="20"/>
          <w:szCs w:val="20"/>
        </w:rPr>
        <w:t>司</w:t>
      </w:r>
      <w:r>
        <w:rPr>
          <w:spacing w:val="-36"/>
          <w:sz w:val="20"/>
          <w:szCs w:val="20"/>
        </w:rPr>
        <w:t xml:space="preserve"> </w:t>
      </w:r>
      <w:r>
        <w:rPr>
          <w:spacing w:val="-4"/>
          <w:sz w:val="20"/>
          <w:szCs w:val="20"/>
        </w:rPr>
        <w:t>与</w:t>
      </w:r>
      <w:r>
        <w:rPr>
          <w:spacing w:val="-34"/>
          <w:sz w:val="20"/>
          <w:szCs w:val="20"/>
        </w:rPr>
        <w:t xml:space="preserve"> </w:t>
      </w:r>
      <w:r>
        <w:rPr>
          <w:spacing w:val="-4"/>
          <w:sz w:val="20"/>
          <w:szCs w:val="20"/>
        </w:rPr>
        <w:t>公</w:t>
      </w:r>
      <w:r>
        <w:rPr>
          <w:spacing w:val="-33"/>
          <w:sz w:val="20"/>
          <w:szCs w:val="20"/>
        </w:rPr>
        <w:t xml:space="preserve"> </w:t>
      </w:r>
      <w:r>
        <w:rPr>
          <w:spacing w:val="-4"/>
          <w:sz w:val="20"/>
          <w:szCs w:val="20"/>
        </w:rPr>
        <w:t>司</w:t>
      </w:r>
      <w:r>
        <w:rPr>
          <w:spacing w:val="-47"/>
          <w:sz w:val="20"/>
          <w:szCs w:val="20"/>
        </w:rPr>
        <w:t xml:space="preserve"> </w:t>
      </w:r>
      <w:r>
        <w:rPr>
          <w:rFonts w:ascii="Times New Roman" w:hAnsi="Times New Roman" w:eastAsia="Times New Roman" w:cs="Times New Roman"/>
          <w:spacing w:val="-4"/>
          <w:sz w:val="20"/>
          <w:szCs w:val="20"/>
        </w:rPr>
        <w:t>(Business-to-Business,B2B)</w:t>
      </w:r>
      <w:r>
        <w:rPr>
          <w:rFonts w:ascii="Times New Roman" w:hAnsi="Times New Roman" w:eastAsia="Times New Roman" w:cs="Times New Roman"/>
          <w:spacing w:val="-28"/>
          <w:sz w:val="20"/>
          <w:szCs w:val="20"/>
        </w:rPr>
        <w:t xml:space="preserve"> </w:t>
      </w:r>
      <w:r>
        <w:rPr>
          <w:spacing w:val="-4"/>
          <w:sz w:val="20"/>
          <w:szCs w:val="20"/>
        </w:rPr>
        <w:t>、</w:t>
      </w:r>
      <w:r>
        <w:rPr>
          <w:spacing w:val="-5"/>
          <w:sz w:val="20"/>
          <w:szCs w:val="20"/>
        </w:rPr>
        <w:t xml:space="preserve">   公</w:t>
      </w:r>
      <w:r>
        <w:rPr>
          <w:spacing w:val="-26"/>
          <w:sz w:val="20"/>
          <w:szCs w:val="20"/>
        </w:rPr>
        <w:t xml:space="preserve"> </w:t>
      </w:r>
      <w:r>
        <w:rPr>
          <w:spacing w:val="-5"/>
          <w:sz w:val="20"/>
          <w:szCs w:val="20"/>
        </w:rPr>
        <w:t>司</w:t>
      </w:r>
      <w:r>
        <w:rPr>
          <w:spacing w:val="-29"/>
          <w:sz w:val="20"/>
          <w:szCs w:val="20"/>
        </w:rPr>
        <w:t xml:space="preserve"> </w:t>
      </w:r>
      <w:r>
        <w:rPr>
          <w:spacing w:val="-5"/>
          <w:sz w:val="20"/>
          <w:szCs w:val="20"/>
        </w:rPr>
        <w:t>与</w:t>
      </w:r>
      <w:r>
        <w:rPr>
          <w:spacing w:val="-30"/>
          <w:sz w:val="20"/>
          <w:szCs w:val="20"/>
        </w:rPr>
        <w:t xml:space="preserve"> </w:t>
      </w:r>
      <w:r>
        <w:rPr>
          <w:spacing w:val="-5"/>
          <w:sz w:val="20"/>
          <w:szCs w:val="20"/>
        </w:rPr>
        <w:t>消</w:t>
      </w:r>
      <w:r>
        <w:rPr>
          <w:spacing w:val="-22"/>
          <w:sz w:val="20"/>
          <w:szCs w:val="20"/>
        </w:rPr>
        <w:t xml:space="preserve"> </w:t>
      </w:r>
      <w:r>
        <w:rPr>
          <w:spacing w:val="-5"/>
          <w:sz w:val="20"/>
          <w:szCs w:val="20"/>
        </w:rPr>
        <w:t>费</w:t>
      </w:r>
      <w:r>
        <w:rPr>
          <w:spacing w:val="-32"/>
          <w:sz w:val="20"/>
          <w:szCs w:val="20"/>
        </w:rPr>
        <w:t xml:space="preserve"> </w:t>
      </w:r>
      <w:r>
        <w:rPr>
          <w:spacing w:val="-5"/>
          <w:sz w:val="20"/>
          <w:szCs w:val="20"/>
        </w:rPr>
        <w:t>者</w:t>
      </w:r>
      <w:r>
        <w:rPr>
          <w:spacing w:val="-50"/>
          <w:sz w:val="20"/>
          <w:szCs w:val="20"/>
        </w:rPr>
        <w:t xml:space="preserve"> </w:t>
      </w:r>
      <w:r>
        <w:rPr>
          <w:rFonts w:ascii="Times New Roman" w:hAnsi="Times New Roman" w:eastAsia="Times New Roman" w:cs="Times New Roman"/>
          <w:spacing w:val="-5"/>
          <w:sz w:val="20"/>
          <w:szCs w:val="20"/>
        </w:rPr>
        <w:t>(Business-to-</w:t>
      </w:r>
      <w:r>
        <w:rPr>
          <w:rFonts w:ascii="Times New Roman" w:hAnsi="Times New Roman" w:eastAsia="Times New Roman" w:cs="Times New Roman"/>
          <w:sz w:val="20"/>
          <w:szCs w:val="20"/>
        </w:rPr>
        <w:t xml:space="preserve">   </w:t>
      </w:r>
      <w:r>
        <w:rPr>
          <w:sz w:val="20"/>
          <w:szCs w:val="20"/>
        </w:rPr>
        <w:t>Consumer</w:t>
      </w:r>
      <w:r>
        <w:rPr>
          <w:spacing w:val="2"/>
          <w:sz w:val="20"/>
          <w:szCs w:val="20"/>
        </w:rPr>
        <w:t>,B2C)、  消费者与消费者(</w:t>
      </w:r>
      <w:r>
        <w:rPr>
          <w:sz w:val="20"/>
          <w:szCs w:val="20"/>
        </w:rPr>
        <w:t>Consumer</w:t>
      </w:r>
      <w:r>
        <w:rPr>
          <w:spacing w:val="2"/>
          <w:sz w:val="20"/>
          <w:szCs w:val="20"/>
        </w:rPr>
        <w:t>-</w:t>
      </w:r>
      <w:r>
        <w:rPr>
          <w:sz w:val="20"/>
          <w:szCs w:val="20"/>
        </w:rPr>
        <w:t>to</w:t>
      </w:r>
      <w:r>
        <w:rPr>
          <w:spacing w:val="2"/>
          <w:sz w:val="20"/>
          <w:szCs w:val="20"/>
        </w:rPr>
        <w:t>-</w:t>
      </w:r>
      <w:r>
        <w:rPr>
          <w:sz w:val="20"/>
          <w:szCs w:val="20"/>
        </w:rPr>
        <w:t>Consumer</w:t>
      </w:r>
      <w:r>
        <w:rPr>
          <w:spacing w:val="2"/>
          <w:sz w:val="20"/>
          <w:szCs w:val="20"/>
        </w:rPr>
        <w:t>,C2C)、</w:t>
      </w:r>
      <w:r>
        <w:rPr>
          <w:spacing w:val="68"/>
          <w:sz w:val="20"/>
          <w:szCs w:val="20"/>
        </w:rPr>
        <w:t xml:space="preserve"> </w:t>
      </w:r>
      <w:r>
        <w:rPr>
          <w:spacing w:val="2"/>
          <w:sz w:val="20"/>
          <w:szCs w:val="20"/>
        </w:rPr>
        <w:t>企业与公共部门及消费者</w:t>
      </w:r>
      <w:r>
        <w:rPr>
          <w:sz w:val="20"/>
          <w:szCs w:val="20"/>
        </w:rPr>
        <w:t xml:space="preserve"> </w:t>
      </w:r>
      <w:r>
        <w:rPr>
          <w:spacing w:val="3"/>
          <w:sz w:val="20"/>
          <w:szCs w:val="20"/>
        </w:rPr>
        <w:t>与公共部门之间利用信息系统和互联网进行的任何商业交易。此外，电子商务</w:t>
      </w:r>
      <w:r>
        <w:rPr>
          <w:spacing w:val="2"/>
          <w:sz w:val="20"/>
          <w:szCs w:val="20"/>
        </w:rPr>
        <w:t>还包括客户、供</w:t>
      </w:r>
      <w:r>
        <w:rPr>
          <w:sz w:val="20"/>
          <w:szCs w:val="20"/>
        </w:rPr>
        <w:t xml:space="preserve"> </w:t>
      </w:r>
      <w:r>
        <w:rPr>
          <w:spacing w:val="3"/>
          <w:sz w:val="20"/>
          <w:szCs w:val="20"/>
        </w:rPr>
        <w:t>应商、战略合作伙伴及利益相关者之间的合作。移动商务是使用移动设备、无线设备下订单和</w:t>
      </w:r>
      <w:r>
        <w:rPr>
          <w:spacing w:val="2"/>
          <w:sz w:val="20"/>
          <w:szCs w:val="20"/>
        </w:rPr>
        <w:t xml:space="preserve"> </w:t>
      </w:r>
      <w:r>
        <w:rPr>
          <w:spacing w:val="-4"/>
          <w:sz w:val="20"/>
          <w:szCs w:val="20"/>
        </w:rPr>
        <w:t>开展业务，移动商务依赖于无线通信。</w:t>
      </w:r>
    </w:p>
    <w:p w14:paraId="43E5B69D">
      <w:pPr>
        <w:pStyle w:val="2"/>
        <w:spacing w:before="106" w:line="221" w:lineRule="auto"/>
        <w:ind w:left="402"/>
        <w:rPr>
          <w:rFonts w:ascii="黑体" w:hAnsi="黑体" w:eastAsia="黑体" w:cs="黑体"/>
          <w:sz w:val="20"/>
          <w:szCs w:val="20"/>
        </w:rPr>
      </w:pPr>
      <w:r>
        <w:rPr>
          <w:b/>
          <w:bCs/>
          <w:color w:val="0773D2"/>
          <w:spacing w:val="-2"/>
          <w:sz w:val="20"/>
          <w:szCs w:val="20"/>
        </w:rPr>
        <w:t>2.</w:t>
      </w:r>
      <w:r>
        <w:rPr>
          <w:rFonts w:ascii="黑体" w:hAnsi="黑体" w:eastAsia="黑体" w:cs="黑体"/>
          <w:b/>
          <w:bCs/>
          <w:color w:val="0773D2"/>
          <w:spacing w:val="-2"/>
          <w:sz w:val="20"/>
          <w:szCs w:val="20"/>
        </w:rPr>
        <w:t>管理信息系统与决策支持系统</w:t>
      </w:r>
    </w:p>
    <w:p w14:paraId="6BA5C6E8">
      <w:pPr>
        <w:pStyle w:val="2"/>
        <w:spacing w:before="132" w:line="275" w:lineRule="auto"/>
        <w:ind w:right="19" w:firstLine="399"/>
        <w:jc w:val="both"/>
        <w:rPr>
          <w:sz w:val="20"/>
          <w:szCs w:val="20"/>
        </w:rPr>
      </w:pPr>
      <w:r>
        <w:rPr>
          <w:spacing w:val="8"/>
          <w:sz w:val="20"/>
          <w:szCs w:val="20"/>
        </w:rPr>
        <w:t>管理信息系统</w:t>
      </w:r>
      <w:r>
        <w:rPr>
          <w:spacing w:val="-30"/>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Management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Information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MIS</w:t>
      </w:r>
      <w:r>
        <w:rPr>
          <w:rFonts w:ascii="Times New Roman" w:hAnsi="Times New Roman" w:eastAsia="Times New Roman" w:cs="Times New Roman"/>
          <w:spacing w:val="8"/>
          <w:sz w:val="20"/>
          <w:szCs w:val="20"/>
        </w:rPr>
        <w:t xml:space="preserve">) </w:t>
      </w:r>
      <w:r>
        <w:rPr>
          <w:spacing w:val="8"/>
          <w:sz w:val="20"/>
          <w:szCs w:val="20"/>
        </w:rPr>
        <w:t>最早出现在20世纪80年代初，是</w:t>
      </w:r>
      <w:r>
        <w:rPr>
          <w:sz w:val="20"/>
          <w:szCs w:val="20"/>
        </w:rPr>
        <w:t xml:space="preserve"> 用系统思想建立起来的，以电子计算机为基本信息处理手段，以现代通</w:t>
      </w:r>
      <w:r>
        <w:rPr>
          <w:spacing w:val="-1"/>
          <w:sz w:val="20"/>
          <w:szCs w:val="20"/>
        </w:rPr>
        <w:t>信设备为基本传输工具，</w:t>
      </w:r>
      <w:r>
        <w:rPr>
          <w:sz w:val="20"/>
          <w:szCs w:val="20"/>
        </w:rPr>
        <w:t xml:space="preserve"> </w:t>
      </w:r>
      <w:r>
        <w:rPr>
          <w:spacing w:val="3"/>
          <w:sz w:val="20"/>
          <w:szCs w:val="20"/>
        </w:rPr>
        <w:t>且能为管理决策提供信息服务的人机系统。也就是说，管理信息系统是一个由人和计算机等组</w:t>
      </w:r>
    </w:p>
    <w:p w14:paraId="65ABE02C">
      <w:pPr>
        <w:spacing w:line="275" w:lineRule="auto"/>
        <w:rPr>
          <w:sz w:val="20"/>
          <w:szCs w:val="20"/>
        </w:rPr>
        <w:sectPr>
          <w:pgSz w:w="10300" w:h="13400"/>
          <w:pgMar w:top="400" w:right="1030" w:bottom="400" w:left="860" w:header="0" w:footer="0" w:gutter="0"/>
          <w:cols w:space="720" w:num="1"/>
        </w:sectPr>
      </w:pPr>
    </w:p>
    <w:p w14:paraId="1494786F">
      <w:pPr>
        <w:pStyle w:val="2"/>
        <w:spacing w:before="86" w:line="219" w:lineRule="auto"/>
        <w:jc w:val="right"/>
        <w:rPr>
          <w:rFonts w:ascii="Times New Roman" w:hAnsi="Times New Roman" w:eastAsia="Times New Roman" w:cs="Times New Roman"/>
          <w:sz w:val="20"/>
          <w:szCs w:val="20"/>
        </w:rPr>
      </w:pPr>
      <w:r>
        <w:rPr>
          <w:spacing w:val="-3"/>
          <w:sz w:val="20"/>
          <w:szCs w:val="20"/>
        </w:rPr>
        <w:t>第5章 信息应用系统</w:t>
      </w:r>
      <w:r>
        <w:rPr>
          <w:spacing w:val="4"/>
          <w:sz w:val="20"/>
          <w:szCs w:val="20"/>
        </w:rPr>
        <w:t xml:space="preserve">      </w:t>
      </w:r>
      <w:r>
        <w:rPr>
          <w:rFonts w:ascii="Times New Roman" w:hAnsi="Times New Roman" w:eastAsia="Times New Roman" w:cs="Times New Roman"/>
          <w:spacing w:val="-3"/>
          <w:position w:val="1"/>
          <w:sz w:val="20"/>
          <w:szCs w:val="20"/>
        </w:rPr>
        <w:t>157</w:t>
      </w:r>
    </w:p>
    <w:p w14:paraId="7C43E379">
      <w:pPr>
        <w:spacing w:line="286" w:lineRule="auto"/>
        <w:rPr>
          <w:rFonts w:ascii="Arial"/>
          <w:sz w:val="21"/>
        </w:rPr>
      </w:pPr>
    </w:p>
    <w:p w14:paraId="16FB8451">
      <w:pPr>
        <w:pStyle w:val="2"/>
        <w:spacing w:before="65" w:line="288" w:lineRule="auto"/>
        <w:ind w:right="315"/>
        <w:jc w:val="both"/>
        <w:rPr>
          <w:sz w:val="20"/>
          <w:szCs w:val="20"/>
        </w:rPr>
      </w:pPr>
      <w:r>
        <w:rPr>
          <w:spacing w:val="3"/>
          <w:sz w:val="20"/>
          <w:szCs w:val="20"/>
        </w:rPr>
        <w:t>成的，能进行管理信息的收集、传输、存储、加工、维护和使用的系统。在管理信息</w:t>
      </w:r>
      <w:r>
        <w:rPr>
          <w:spacing w:val="2"/>
          <w:sz w:val="20"/>
          <w:szCs w:val="20"/>
        </w:rPr>
        <w:t>系统发展</w:t>
      </w:r>
      <w:r>
        <w:rPr>
          <w:sz w:val="20"/>
          <w:szCs w:val="20"/>
        </w:rPr>
        <w:t xml:space="preserve"> </w:t>
      </w:r>
      <w:r>
        <w:rPr>
          <w:spacing w:val="3"/>
          <w:sz w:val="20"/>
          <w:szCs w:val="20"/>
        </w:rPr>
        <w:t>过程中，形成了对企业全局性的、整体性的计算</w:t>
      </w:r>
      <w:r>
        <w:rPr>
          <w:spacing w:val="2"/>
          <w:sz w:val="20"/>
          <w:szCs w:val="20"/>
        </w:rPr>
        <w:t>机应用。</w:t>
      </w:r>
      <w:r>
        <w:rPr>
          <w:rFonts w:ascii="Times New Roman" w:hAnsi="Times New Roman" w:eastAsia="Times New Roman" w:cs="Times New Roman"/>
          <w:sz w:val="20"/>
          <w:szCs w:val="20"/>
        </w:rPr>
        <w:t>MIS</w:t>
      </w:r>
      <w:r>
        <w:rPr>
          <w:rFonts w:ascii="Times New Roman" w:hAnsi="Times New Roman" w:eastAsia="Times New Roman" w:cs="Times New Roman"/>
          <w:spacing w:val="2"/>
          <w:sz w:val="20"/>
          <w:szCs w:val="20"/>
        </w:rPr>
        <w:t xml:space="preserve"> </w:t>
      </w:r>
      <w:r>
        <w:rPr>
          <w:spacing w:val="2"/>
          <w:sz w:val="20"/>
          <w:szCs w:val="20"/>
        </w:rPr>
        <w:t>强调以企业管理系统为背景，以</w:t>
      </w:r>
      <w:r>
        <w:rPr>
          <w:sz w:val="20"/>
          <w:szCs w:val="20"/>
        </w:rPr>
        <w:t xml:space="preserve"> </w:t>
      </w:r>
      <w:r>
        <w:rPr>
          <w:spacing w:val="3"/>
          <w:sz w:val="20"/>
          <w:szCs w:val="20"/>
        </w:rPr>
        <w:t>基层业务系统为基础，强调企业各业务系统间的信息联系，以完成企业总体任务为目</w:t>
      </w:r>
      <w:r>
        <w:rPr>
          <w:spacing w:val="2"/>
          <w:sz w:val="20"/>
          <w:szCs w:val="20"/>
        </w:rPr>
        <w:t>标，它能</w:t>
      </w:r>
      <w:r>
        <w:rPr>
          <w:sz w:val="20"/>
          <w:szCs w:val="20"/>
        </w:rPr>
        <w:t xml:space="preserve"> </w:t>
      </w:r>
      <w:r>
        <w:rPr>
          <w:spacing w:val="-1"/>
          <w:sz w:val="20"/>
          <w:szCs w:val="20"/>
        </w:rPr>
        <w:t>为企业各级领导提供从事管理需要的信息，但其收集信息的范围更多地侧重于企业内部。</w:t>
      </w:r>
    </w:p>
    <w:p w14:paraId="4C2ABA6B">
      <w:pPr>
        <w:pStyle w:val="2"/>
        <w:spacing w:before="5" w:line="284" w:lineRule="auto"/>
        <w:ind w:right="246" w:firstLine="409"/>
        <w:jc w:val="both"/>
        <w:rPr>
          <w:sz w:val="20"/>
          <w:szCs w:val="20"/>
        </w:rPr>
      </w:pPr>
      <w:r>
        <w:rPr>
          <w:spacing w:val="3"/>
          <w:sz w:val="20"/>
          <w:szCs w:val="20"/>
        </w:rPr>
        <w:t>决策支持系统</w:t>
      </w:r>
      <w:r>
        <w:rPr>
          <w:spacing w:val="-32"/>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Decision</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Support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DSS</w:t>
      </w:r>
      <w:r>
        <w:rPr>
          <w:rFonts w:ascii="Times New Roman" w:hAnsi="Times New Roman" w:eastAsia="Times New Roman" w:cs="Times New Roman"/>
          <w:spacing w:val="3"/>
          <w:sz w:val="20"/>
          <w:szCs w:val="20"/>
        </w:rPr>
        <w:t xml:space="preserve">) </w:t>
      </w:r>
      <w:r>
        <w:rPr>
          <w:spacing w:val="3"/>
          <w:sz w:val="20"/>
          <w:szCs w:val="20"/>
        </w:rPr>
        <w:t>是管理信息系统应用概念的深化，是在管</w:t>
      </w:r>
      <w:r>
        <w:rPr>
          <w:sz w:val="20"/>
          <w:szCs w:val="20"/>
        </w:rPr>
        <w:t xml:space="preserve"> </w:t>
      </w:r>
      <w:r>
        <w:rPr>
          <w:spacing w:val="3"/>
          <w:sz w:val="20"/>
          <w:szCs w:val="20"/>
        </w:rPr>
        <w:t>理信息的基础上发展起来的系统。</w:t>
      </w:r>
      <w:r>
        <w:rPr>
          <w:rFonts w:ascii="Times New Roman" w:hAnsi="Times New Roman" w:eastAsia="Times New Roman" w:cs="Times New Roman"/>
          <w:sz w:val="20"/>
          <w:szCs w:val="20"/>
        </w:rPr>
        <w:t>DSS</w:t>
      </w:r>
      <w:r>
        <w:rPr>
          <w:rFonts w:ascii="Times New Roman" w:hAnsi="Times New Roman" w:eastAsia="Times New Roman" w:cs="Times New Roman"/>
          <w:spacing w:val="17"/>
          <w:w w:val="101"/>
          <w:sz w:val="20"/>
          <w:szCs w:val="20"/>
        </w:rPr>
        <w:t xml:space="preserve"> </w:t>
      </w:r>
      <w:r>
        <w:rPr>
          <w:spacing w:val="3"/>
          <w:sz w:val="20"/>
          <w:szCs w:val="20"/>
        </w:rPr>
        <w:t>是能帮助决</w:t>
      </w:r>
      <w:r>
        <w:rPr>
          <w:spacing w:val="2"/>
          <w:sz w:val="20"/>
          <w:szCs w:val="20"/>
        </w:rPr>
        <w:t>策者利用数据和模型去解决半结构化决策问</w:t>
      </w:r>
      <w:r>
        <w:rPr>
          <w:sz w:val="20"/>
          <w:szCs w:val="20"/>
        </w:rPr>
        <w:t xml:space="preserve"> </w:t>
      </w:r>
      <w:r>
        <w:rPr>
          <w:spacing w:val="3"/>
          <w:sz w:val="20"/>
          <w:szCs w:val="20"/>
        </w:rPr>
        <w:t>题和非结构化决策问题的交互式系统，是服务于高层决策的管理信息系统，按功能可分为专用</w:t>
      </w:r>
      <w:r>
        <w:rPr>
          <w:spacing w:val="9"/>
          <w:sz w:val="20"/>
          <w:szCs w:val="20"/>
        </w:rPr>
        <w:t xml:space="preserve"> </w:t>
      </w:r>
      <w:r>
        <w:rPr>
          <w:rFonts w:ascii="Times New Roman" w:hAnsi="Times New Roman" w:eastAsia="Times New Roman" w:cs="Times New Roman"/>
          <w:sz w:val="20"/>
          <w:szCs w:val="20"/>
        </w:rPr>
        <w:t>DSS</w:t>
      </w:r>
      <w:r>
        <w:rPr>
          <w:rFonts w:ascii="Times New Roman" w:hAnsi="Times New Roman" w:eastAsia="Times New Roman" w:cs="Times New Roman"/>
          <w:spacing w:val="-28"/>
          <w:sz w:val="20"/>
          <w:szCs w:val="20"/>
        </w:rPr>
        <w:t xml:space="preserve"> </w:t>
      </w:r>
      <w:r>
        <w:rPr>
          <w:spacing w:val="4"/>
          <w:sz w:val="20"/>
          <w:szCs w:val="20"/>
        </w:rPr>
        <w:t>、</w:t>
      </w:r>
      <w:r>
        <w:rPr>
          <w:rFonts w:ascii="Times New Roman" w:hAnsi="Times New Roman" w:eastAsia="Times New Roman" w:cs="Times New Roman"/>
          <w:sz w:val="20"/>
          <w:szCs w:val="20"/>
        </w:rPr>
        <w:t>DSS</w:t>
      </w:r>
      <w:r>
        <w:rPr>
          <w:rFonts w:ascii="Times New Roman" w:hAnsi="Times New Roman" w:eastAsia="Times New Roman" w:cs="Times New Roman"/>
          <w:spacing w:val="4"/>
          <w:sz w:val="20"/>
          <w:szCs w:val="20"/>
        </w:rPr>
        <w:t xml:space="preserve"> </w:t>
      </w:r>
      <w:r>
        <w:rPr>
          <w:spacing w:val="4"/>
          <w:sz w:val="20"/>
          <w:szCs w:val="20"/>
        </w:rPr>
        <w:t>工具和</w:t>
      </w:r>
      <w:r>
        <w:rPr>
          <w:rFonts w:ascii="Times New Roman" w:hAnsi="Times New Roman" w:eastAsia="Times New Roman" w:cs="Times New Roman"/>
          <w:sz w:val="20"/>
          <w:szCs w:val="20"/>
        </w:rPr>
        <w:t>DSS</w:t>
      </w:r>
      <w:r>
        <w:rPr>
          <w:rFonts w:ascii="Times New Roman" w:hAnsi="Times New Roman" w:eastAsia="Times New Roman" w:cs="Times New Roman"/>
          <w:spacing w:val="16"/>
          <w:w w:val="101"/>
          <w:sz w:val="20"/>
          <w:szCs w:val="20"/>
        </w:rPr>
        <w:t xml:space="preserve"> </w:t>
      </w:r>
      <w:r>
        <w:rPr>
          <w:spacing w:val="4"/>
          <w:sz w:val="20"/>
          <w:szCs w:val="20"/>
        </w:rPr>
        <w:t>生成器。专用</w:t>
      </w:r>
      <w:r>
        <w:rPr>
          <w:rFonts w:ascii="Times New Roman" w:hAnsi="Times New Roman" w:eastAsia="Times New Roman" w:cs="Times New Roman"/>
          <w:sz w:val="20"/>
          <w:szCs w:val="20"/>
        </w:rPr>
        <w:t>DSS</w:t>
      </w:r>
      <w:r>
        <w:rPr>
          <w:rFonts w:ascii="Times New Roman" w:hAnsi="Times New Roman" w:eastAsia="Times New Roman" w:cs="Times New Roman"/>
          <w:spacing w:val="4"/>
          <w:sz w:val="20"/>
          <w:szCs w:val="20"/>
        </w:rPr>
        <w:t xml:space="preserve"> </w:t>
      </w:r>
      <w:r>
        <w:rPr>
          <w:spacing w:val="4"/>
          <w:sz w:val="20"/>
          <w:szCs w:val="20"/>
        </w:rPr>
        <w:t>是为解决某一领域</w:t>
      </w:r>
      <w:r>
        <w:rPr>
          <w:spacing w:val="3"/>
          <w:sz w:val="20"/>
          <w:szCs w:val="20"/>
        </w:rPr>
        <w:t>问题的</w:t>
      </w:r>
      <w:r>
        <w:rPr>
          <w:rFonts w:ascii="Times New Roman" w:hAnsi="Times New Roman" w:eastAsia="Times New Roman" w:cs="Times New Roman"/>
          <w:sz w:val="20"/>
          <w:szCs w:val="20"/>
        </w:rPr>
        <w:t>DSS</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DSS</w:t>
      </w:r>
      <w:r>
        <w:rPr>
          <w:rFonts w:ascii="Times New Roman" w:hAnsi="Times New Roman" w:eastAsia="Times New Roman" w:cs="Times New Roman"/>
          <w:spacing w:val="3"/>
          <w:sz w:val="20"/>
          <w:szCs w:val="20"/>
        </w:rPr>
        <w:t xml:space="preserve">   </w:t>
      </w:r>
      <w:r>
        <w:rPr>
          <w:spacing w:val="3"/>
          <w:sz w:val="20"/>
          <w:szCs w:val="20"/>
        </w:rPr>
        <w:t>工具是指某种语</w:t>
      </w:r>
      <w:r>
        <w:rPr>
          <w:sz w:val="20"/>
          <w:szCs w:val="20"/>
        </w:rPr>
        <w:t xml:space="preserve"> </w:t>
      </w:r>
      <w:r>
        <w:rPr>
          <w:spacing w:val="-1"/>
          <w:sz w:val="20"/>
          <w:szCs w:val="20"/>
        </w:rPr>
        <w:t>言、某种操作系统、某种数据库系统；DSS</w:t>
      </w:r>
      <w:r>
        <w:rPr>
          <w:spacing w:val="44"/>
          <w:sz w:val="20"/>
          <w:szCs w:val="20"/>
        </w:rPr>
        <w:t xml:space="preserve"> </w:t>
      </w:r>
      <w:r>
        <w:rPr>
          <w:spacing w:val="-1"/>
          <w:sz w:val="20"/>
          <w:szCs w:val="20"/>
        </w:rPr>
        <w:t>生成器是通用决策支持系统。一般</w:t>
      </w:r>
      <w:r>
        <w:rPr>
          <w:spacing w:val="-2"/>
          <w:sz w:val="20"/>
          <w:szCs w:val="20"/>
        </w:rPr>
        <w:t>DSS 包括数据库、</w:t>
      </w:r>
      <w:r>
        <w:rPr>
          <w:sz w:val="20"/>
          <w:szCs w:val="20"/>
        </w:rPr>
        <w:t xml:space="preserve"> </w:t>
      </w:r>
      <w:r>
        <w:rPr>
          <w:spacing w:val="-2"/>
          <w:sz w:val="20"/>
          <w:szCs w:val="20"/>
        </w:rPr>
        <w:t>模型库、方法库、知识库和会话部件。</w:t>
      </w:r>
    </w:p>
    <w:p w14:paraId="06163B82">
      <w:pPr>
        <w:pStyle w:val="2"/>
        <w:spacing w:before="147" w:line="221" w:lineRule="auto"/>
        <w:ind w:left="412"/>
        <w:rPr>
          <w:rFonts w:ascii="黑体" w:hAnsi="黑体" w:eastAsia="黑体" w:cs="黑体"/>
          <w:sz w:val="20"/>
          <w:szCs w:val="20"/>
        </w:rPr>
      </w:pPr>
      <w:r>
        <w:rPr>
          <w:b/>
          <w:bCs/>
          <w:color w:val="0062E3"/>
          <w:spacing w:val="-1"/>
          <w:sz w:val="20"/>
          <w:szCs w:val="20"/>
        </w:rPr>
        <w:t>3.</w:t>
      </w:r>
      <w:r>
        <w:rPr>
          <w:rFonts w:ascii="黑体" w:hAnsi="黑体" w:eastAsia="黑体" w:cs="黑体"/>
          <w:b/>
          <w:bCs/>
          <w:color w:val="0062E3"/>
          <w:spacing w:val="-1"/>
          <w:sz w:val="20"/>
          <w:szCs w:val="20"/>
        </w:rPr>
        <w:t>专用信息系统</w:t>
      </w:r>
    </w:p>
    <w:p w14:paraId="31D4F850">
      <w:pPr>
        <w:pStyle w:val="2"/>
        <w:spacing w:before="154" w:line="219" w:lineRule="auto"/>
        <w:ind w:left="409"/>
        <w:rPr>
          <w:sz w:val="20"/>
          <w:szCs w:val="20"/>
        </w:rPr>
      </w:pPr>
      <w:r>
        <w:rPr>
          <w:spacing w:val="-4"/>
          <w:sz w:val="20"/>
          <w:szCs w:val="20"/>
        </w:rPr>
        <w:t>典型的专用信息系统主要有以下几种：</w:t>
      </w:r>
    </w:p>
    <w:p w14:paraId="1BDC7FB1">
      <w:pPr>
        <w:pStyle w:val="2"/>
        <w:spacing w:before="70" w:line="259" w:lineRule="auto"/>
        <w:ind w:right="226" w:firstLine="409"/>
        <w:rPr>
          <w:sz w:val="20"/>
          <w:szCs w:val="20"/>
        </w:rPr>
      </w:pPr>
      <w:r>
        <w:rPr>
          <w:spacing w:val="7"/>
          <w:sz w:val="20"/>
          <w:szCs w:val="20"/>
        </w:rPr>
        <w:t>(1)知识管理系统</w:t>
      </w:r>
      <w:r>
        <w:rPr>
          <w:spacing w:val="-49"/>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Knowledge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KSM</w:t>
      </w:r>
      <w:r>
        <w:rPr>
          <w:rFonts w:ascii="Times New Roman" w:hAnsi="Times New Roman" w:eastAsia="Times New Roman" w:cs="Times New Roman"/>
          <w:spacing w:val="7"/>
          <w:sz w:val="20"/>
          <w:szCs w:val="20"/>
        </w:rPr>
        <w:t>)</w:t>
      </w:r>
      <w:r>
        <w:rPr>
          <w:spacing w:val="7"/>
          <w:sz w:val="20"/>
          <w:szCs w:val="20"/>
        </w:rPr>
        <w:t>。</w:t>
      </w:r>
      <w:r>
        <w:rPr>
          <w:spacing w:val="6"/>
          <w:sz w:val="20"/>
          <w:szCs w:val="20"/>
        </w:rPr>
        <w:t>它是用于存储和检索知识、</w:t>
      </w:r>
      <w:r>
        <w:rPr>
          <w:sz w:val="20"/>
          <w:szCs w:val="20"/>
        </w:rPr>
        <w:t xml:space="preserve"> </w:t>
      </w:r>
      <w:r>
        <w:rPr>
          <w:spacing w:val="-2"/>
          <w:sz w:val="20"/>
          <w:szCs w:val="20"/>
        </w:rPr>
        <w:t>改进协作、定位知识源、获取和使用知识的系统。</w:t>
      </w:r>
    </w:p>
    <w:p w14:paraId="12C9DC7D">
      <w:pPr>
        <w:pStyle w:val="2"/>
        <w:spacing w:before="71" w:line="278" w:lineRule="auto"/>
        <w:ind w:right="310" w:firstLine="409"/>
        <w:rPr>
          <w:sz w:val="20"/>
          <w:szCs w:val="20"/>
        </w:rPr>
      </w:pPr>
      <w:r>
        <w:rPr>
          <w:spacing w:val="2"/>
          <w:sz w:val="20"/>
          <w:szCs w:val="20"/>
        </w:rPr>
        <w:t>(2)专家系统</w:t>
      </w:r>
      <w:r>
        <w:rPr>
          <w:spacing w:val="-50"/>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Expert</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ES</w:t>
      </w:r>
      <w:r>
        <w:rPr>
          <w:rFonts w:ascii="Times New Roman" w:hAnsi="Times New Roman" w:eastAsia="Times New Roman" w:cs="Times New Roman"/>
          <w:spacing w:val="2"/>
          <w:sz w:val="20"/>
          <w:szCs w:val="20"/>
        </w:rPr>
        <w:t>)</w:t>
      </w:r>
      <w:r>
        <w:rPr>
          <w:spacing w:val="2"/>
          <w:sz w:val="20"/>
          <w:szCs w:val="20"/>
        </w:rPr>
        <w:t>。它是一个智能计算机</w:t>
      </w:r>
      <w:r>
        <w:rPr>
          <w:spacing w:val="1"/>
          <w:sz w:val="20"/>
          <w:szCs w:val="20"/>
        </w:rPr>
        <w:t>程序系统，其内部含有某个领域</w:t>
      </w:r>
      <w:r>
        <w:rPr>
          <w:sz w:val="20"/>
          <w:szCs w:val="20"/>
        </w:rPr>
        <w:t xml:space="preserve"> </w:t>
      </w:r>
      <w:r>
        <w:rPr>
          <w:spacing w:val="3"/>
          <w:sz w:val="20"/>
          <w:szCs w:val="20"/>
        </w:rPr>
        <w:t>具有专家水平的大量知识与经验，能够利用人类专家的知识和解决问题的方法来处理该领域的</w:t>
      </w:r>
      <w:r>
        <w:rPr>
          <w:spacing w:val="1"/>
          <w:sz w:val="20"/>
          <w:szCs w:val="20"/>
        </w:rPr>
        <w:t xml:space="preserve"> </w:t>
      </w:r>
      <w:r>
        <w:rPr>
          <w:spacing w:val="3"/>
          <w:sz w:val="20"/>
          <w:szCs w:val="20"/>
        </w:rPr>
        <w:t>问题。也就是说，专家系统是一个具有大量的专门知识与经验的程序系统，它应</w:t>
      </w:r>
      <w:r>
        <w:rPr>
          <w:spacing w:val="2"/>
          <w:sz w:val="20"/>
          <w:szCs w:val="20"/>
        </w:rPr>
        <w:t>用人工智能技</w:t>
      </w:r>
      <w:r>
        <w:rPr>
          <w:sz w:val="20"/>
          <w:szCs w:val="20"/>
        </w:rPr>
        <w:t xml:space="preserve"> </w:t>
      </w:r>
      <w:r>
        <w:rPr>
          <w:spacing w:val="3"/>
          <w:sz w:val="20"/>
          <w:szCs w:val="20"/>
        </w:rPr>
        <w:t>术和计算机技术，根据某领域一个或多个专家提供的知识和经验，进行推理和判</w:t>
      </w:r>
      <w:r>
        <w:rPr>
          <w:spacing w:val="2"/>
          <w:sz w:val="20"/>
          <w:szCs w:val="20"/>
        </w:rPr>
        <w:t>断，模拟人类</w:t>
      </w:r>
      <w:r>
        <w:rPr>
          <w:sz w:val="20"/>
          <w:szCs w:val="20"/>
        </w:rPr>
        <w:t xml:space="preserve"> </w:t>
      </w:r>
      <w:r>
        <w:rPr>
          <w:spacing w:val="3"/>
          <w:sz w:val="20"/>
          <w:szCs w:val="20"/>
        </w:rPr>
        <w:t>专家的决策过程，以便解决那些需要人类专家处理的复杂问题。简而言之，专家</w:t>
      </w:r>
      <w:r>
        <w:rPr>
          <w:spacing w:val="2"/>
          <w:sz w:val="20"/>
          <w:szCs w:val="20"/>
        </w:rPr>
        <w:t>系统是一种模</w:t>
      </w:r>
      <w:r>
        <w:rPr>
          <w:sz w:val="20"/>
          <w:szCs w:val="20"/>
        </w:rPr>
        <w:t xml:space="preserve"> </w:t>
      </w:r>
      <w:r>
        <w:rPr>
          <w:spacing w:val="-2"/>
          <w:sz w:val="20"/>
          <w:szCs w:val="20"/>
        </w:rPr>
        <w:t>拟人类专家解决领域问题的计算机程序系统。</w:t>
      </w:r>
    </w:p>
    <w:p w14:paraId="5AA2653C">
      <w:pPr>
        <w:pStyle w:val="2"/>
        <w:spacing w:before="52" w:line="271" w:lineRule="auto"/>
        <w:ind w:right="315" w:firstLine="409"/>
        <w:rPr>
          <w:sz w:val="20"/>
          <w:szCs w:val="20"/>
        </w:rPr>
      </w:pPr>
      <w:r>
        <w:rPr>
          <w:spacing w:val="1"/>
          <w:sz w:val="20"/>
          <w:szCs w:val="20"/>
        </w:rPr>
        <w:t>(3)虚拟现实系统</w:t>
      </w:r>
      <w:r>
        <w:rPr>
          <w:spacing w:val="-30"/>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Virtual    Reality</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VRS</w:t>
      </w:r>
      <w:r>
        <w:rPr>
          <w:rFonts w:ascii="Times New Roman" w:hAnsi="Times New Roman" w:eastAsia="Times New Roman" w:cs="Times New Roman"/>
          <w:spacing w:val="1"/>
          <w:sz w:val="20"/>
          <w:szCs w:val="20"/>
        </w:rPr>
        <w:t>)</w:t>
      </w:r>
      <w:r>
        <w:rPr>
          <w:spacing w:val="1"/>
          <w:sz w:val="20"/>
          <w:szCs w:val="20"/>
        </w:rPr>
        <w:t>。它使一个或多个用户能够在计算机模拟</w:t>
      </w:r>
      <w:r>
        <w:rPr>
          <w:sz w:val="20"/>
          <w:szCs w:val="20"/>
        </w:rPr>
        <w:t xml:space="preserve"> </w:t>
      </w:r>
      <w:r>
        <w:rPr>
          <w:spacing w:val="3"/>
          <w:sz w:val="20"/>
          <w:szCs w:val="20"/>
        </w:rPr>
        <w:t>环境中移动和反应。虚拟现实模拟需要特殊的接口设备，将模拟世界的景象、声</w:t>
      </w:r>
      <w:r>
        <w:rPr>
          <w:spacing w:val="2"/>
          <w:sz w:val="20"/>
          <w:szCs w:val="20"/>
        </w:rPr>
        <w:t>音和感觉传送</w:t>
      </w:r>
      <w:r>
        <w:rPr>
          <w:sz w:val="20"/>
          <w:szCs w:val="20"/>
        </w:rPr>
        <w:t xml:space="preserve"> </w:t>
      </w:r>
      <w:r>
        <w:rPr>
          <w:spacing w:val="-8"/>
          <w:sz w:val="20"/>
          <w:szCs w:val="20"/>
        </w:rPr>
        <w:t>给用户。</w:t>
      </w:r>
    </w:p>
    <w:p w14:paraId="3CB175A9">
      <w:pPr>
        <w:pStyle w:val="2"/>
        <w:spacing w:before="59" w:line="275" w:lineRule="auto"/>
        <w:ind w:right="314" w:firstLine="409"/>
        <w:rPr>
          <w:sz w:val="20"/>
          <w:szCs w:val="20"/>
        </w:rPr>
      </w:pPr>
      <w:r>
        <w:rPr>
          <w:spacing w:val="8"/>
          <w:sz w:val="20"/>
          <w:szCs w:val="20"/>
        </w:rPr>
        <w:t>(4)办公自动化</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Office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Automation</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OA</w:t>
      </w:r>
      <w:r>
        <w:rPr>
          <w:rFonts w:ascii="Times New Roman" w:hAnsi="Times New Roman" w:eastAsia="Times New Roman" w:cs="Times New Roman"/>
          <w:spacing w:val="8"/>
          <w:sz w:val="20"/>
          <w:szCs w:val="20"/>
        </w:rPr>
        <w:t xml:space="preserve">) </w:t>
      </w:r>
      <w:r>
        <w:rPr>
          <w:spacing w:val="8"/>
          <w:sz w:val="20"/>
          <w:szCs w:val="20"/>
        </w:rPr>
        <w:t>系统。它是一个人机结合的综合性的办公事务</w:t>
      </w:r>
      <w:r>
        <w:rPr>
          <w:spacing w:val="16"/>
          <w:sz w:val="20"/>
          <w:szCs w:val="20"/>
        </w:rPr>
        <w:t xml:space="preserve"> </w:t>
      </w:r>
      <w:r>
        <w:rPr>
          <w:spacing w:val="3"/>
          <w:sz w:val="20"/>
          <w:szCs w:val="20"/>
        </w:rPr>
        <w:t>管理系统，或称办公事务处理系统。该系统将当代各种先进技术和设备，包括计</w:t>
      </w:r>
      <w:r>
        <w:rPr>
          <w:spacing w:val="2"/>
          <w:sz w:val="20"/>
          <w:szCs w:val="20"/>
        </w:rPr>
        <w:t>算机、文字处</w:t>
      </w:r>
      <w:r>
        <w:rPr>
          <w:sz w:val="20"/>
          <w:szCs w:val="20"/>
        </w:rPr>
        <w:t xml:space="preserve"> </w:t>
      </w:r>
      <w:r>
        <w:rPr>
          <w:spacing w:val="8"/>
          <w:sz w:val="20"/>
          <w:szCs w:val="20"/>
        </w:rPr>
        <w:t>理机、声音图形(图像)识别、数值计算、光学、微电子学、通信和管理科</w:t>
      </w:r>
      <w:r>
        <w:rPr>
          <w:spacing w:val="7"/>
          <w:sz w:val="20"/>
          <w:szCs w:val="20"/>
        </w:rPr>
        <w:t>学等，应用于办公</w:t>
      </w:r>
      <w:r>
        <w:rPr>
          <w:sz w:val="20"/>
          <w:szCs w:val="20"/>
        </w:rPr>
        <w:t xml:space="preserve"> </w:t>
      </w:r>
      <w:r>
        <w:rPr>
          <w:spacing w:val="3"/>
          <w:sz w:val="20"/>
          <w:szCs w:val="20"/>
        </w:rPr>
        <w:t>室的办公活动中，使办公活动实现科学化、自动化，以改善工作环境、最大限度地</w:t>
      </w:r>
      <w:r>
        <w:rPr>
          <w:spacing w:val="2"/>
          <w:sz w:val="20"/>
          <w:szCs w:val="20"/>
        </w:rPr>
        <w:t>提高办公事</w:t>
      </w:r>
      <w:r>
        <w:rPr>
          <w:sz w:val="20"/>
          <w:szCs w:val="20"/>
        </w:rPr>
        <w:t xml:space="preserve"> </w:t>
      </w:r>
      <w:r>
        <w:rPr>
          <w:spacing w:val="-4"/>
          <w:sz w:val="20"/>
          <w:szCs w:val="20"/>
        </w:rPr>
        <w:t>务工作质量和工作效率。</w:t>
      </w:r>
    </w:p>
    <w:p w14:paraId="785E6EFC">
      <w:pPr>
        <w:pStyle w:val="2"/>
        <w:spacing w:before="70" w:line="270" w:lineRule="auto"/>
        <w:ind w:right="299" w:firstLine="409"/>
        <w:jc w:val="both"/>
        <w:rPr>
          <w:sz w:val="20"/>
          <w:szCs w:val="20"/>
        </w:rPr>
      </w:pPr>
      <w:r>
        <w:rPr>
          <w:spacing w:val="3"/>
          <w:sz w:val="20"/>
          <w:szCs w:val="20"/>
        </w:rPr>
        <w:t>信息应用系统之间的关系并不是取代关系，而是互相促进、共同发展的关系。在一个企业</w:t>
      </w:r>
      <w:r>
        <w:rPr>
          <w:spacing w:val="8"/>
          <w:sz w:val="20"/>
          <w:szCs w:val="20"/>
        </w:rPr>
        <w:t xml:space="preserve"> </w:t>
      </w:r>
      <w:r>
        <w:rPr>
          <w:spacing w:val="3"/>
          <w:sz w:val="20"/>
          <w:szCs w:val="20"/>
        </w:rPr>
        <w:t>里，多种系统可能同时存在，也可能只有其中的一种或多种。更高级的是几种</w:t>
      </w:r>
      <w:r>
        <w:rPr>
          <w:spacing w:val="2"/>
          <w:sz w:val="20"/>
          <w:szCs w:val="20"/>
        </w:rPr>
        <w:t>信息应用系统互</w:t>
      </w:r>
      <w:r>
        <w:rPr>
          <w:sz w:val="20"/>
          <w:szCs w:val="20"/>
        </w:rPr>
        <w:t xml:space="preserve"> 相融合为一体。</w:t>
      </w:r>
    </w:p>
    <w:p w14:paraId="1E66A077">
      <w:pPr>
        <w:spacing w:line="295" w:lineRule="auto"/>
        <w:rPr>
          <w:rFonts w:ascii="Arial"/>
          <w:sz w:val="21"/>
        </w:rPr>
      </w:pPr>
    </w:p>
    <w:p w14:paraId="53CC879B">
      <w:pPr>
        <w:pStyle w:val="2"/>
        <w:spacing w:before="95" w:line="221" w:lineRule="auto"/>
        <w:ind w:left="3"/>
        <w:rPr>
          <w:rFonts w:ascii="黑体" w:hAnsi="黑体" w:eastAsia="黑体" w:cs="黑体"/>
          <w:sz w:val="29"/>
          <w:szCs w:val="29"/>
        </w:rPr>
      </w:pPr>
      <w:r>
        <w:rPr>
          <w:b/>
          <w:bCs/>
          <w:color w:val="0048DB"/>
          <w:spacing w:val="-13"/>
          <w:sz w:val="29"/>
          <w:szCs w:val="29"/>
        </w:rPr>
        <w:t>5.2</w:t>
      </w:r>
      <w:r>
        <w:rPr>
          <w:color w:val="0048DB"/>
          <w:spacing w:val="118"/>
          <w:sz w:val="29"/>
          <w:szCs w:val="29"/>
        </w:rPr>
        <w:t xml:space="preserve"> </w:t>
      </w:r>
      <w:r>
        <w:rPr>
          <w:rFonts w:ascii="黑体" w:hAnsi="黑体" w:eastAsia="黑体" w:cs="黑体"/>
          <w:b/>
          <w:bCs/>
          <w:color w:val="0048DB"/>
          <w:spacing w:val="-13"/>
          <w:sz w:val="29"/>
          <w:szCs w:val="29"/>
        </w:rPr>
        <w:t>典型信息应用系统</w:t>
      </w:r>
    </w:p>
    <w:p w14:paraId="371DB1A1">
      <w:pPr>
        <w:pStyle w:val="2"/>
        <w:spacing w:before="236" w:line="219" w:lineRule="auto"/>
        <w:ind w:left="409"/>
        <w:rPr>
          <w:sz w:val="20"/>
          <w:szCs w:val="20"/>
        </w:rPr>
      </w:pPr>
      <w:r>
        <w:rPr>
          <w:spacing w:val="-1"/>
          <w:sz w:val="20"/>
          <w:szCs w:val="20"/>
        </w:rPr>
        <w:t>典型信息应用系统包括业务信息系统、管理信息系统与决策支持系统、专用信息</w:t>
      </w:r>
      <w:r>
        <w:rPr>
          <w:spacing w:val="-2"/>
          <w:sz w:val="20"/>
          <w:szCs w:val="20"/>
        </w:rPr>
        <w:t>系统。</w:t>
      </w:r>
    </w:p>
    <w:p w14:paraId="3C2845FF">
      <w:pPr>
        <w:spacing w:line="219" w:lineRule="auto"/>
        <w:rPr>
          <w:sz w:val="20"/>
          <w:szCs w:val="20"/>
        </w:rPr>
        <w:sectPr>
          <w:pgSz w:w="10290" w:h="13320"/>
          <w:pgMar w:top="400" w:right="503" w:bottom="400" w:left="1150" w:header="0" w:footer="0" w:gutter="0"/>
          <w:cols w:space="720" w:num="1"/>
        </w:sectPr>
      </w:pPr>
    </w:p>
    <w:p w14:paraId="420EB560">
      <w:pPr>
        <w:pStyle w:val="2"/>
        <w:spacing w:before="87" w:line="219" w:lineRule="auto"/>
        <w:rPr>
          <w:sz w:val="19"/>
          <w:szCs w:val="19"/>
        </w:rPr>
      </w:pPr>
      <w:r>
        <w:rPr>
          <w:rFonts w:ascii="Times New Roman" w:hAnsi="Times New Roman" w:eastAsia="Times New Roman" w:cs="Times New Roman"/>
          <w:spacing w:val="2"/>
          <w:sz w:val="19"/>
          <w:szCs w:val="19"/>
        </w:rPr>
        <w:t xml:space="preserve">158              </w:t>
      </w:r>
      <w:r>
        <w:rPr>
          <w:spacing w:val="2"/>
          <w:sz w:val="19"/>
          <w:szCs w:val="19"/>
        </w:rPr>
        <w:t>信息系统监理师教程(第2版)</w:t>
      </w:r>
    </w:p>
    <w:p w14:paraId="147C5442">
      <w:pPr>
        <w:spacing w:line="287" w:lineRule="auto"/>
        <w:rPr>
          <w:rFonts w:ascii="Arial"/>
          <w:sz w:val="21"/>
        </w:rPr>
      </w:pPr>
    </w:p>
    <w:p w14:paraId="13A6AF8D">
      <w:pPr>
        <w:pStyle w:val="2"/>
        <w:spacing w:before="85" w:line="219" w:lineRule="auto"/>
        <w:ind w:left="322"/>
        <w:rPr>
          <w:sz w:val="26"/>
          <w:szCs w:val="26"/>
        </w:rPr>
      </w:pPr>
      <w:r>
        <w:rPr>
          <w:b/>
          <w:bCs/>
          <w:color w:val="0067CE"/>
          <w:spacing w:val="-24"/>
          <w:sz w:val="26"/>
          <w:szCs w:val="26"/>
        </w:rPr>
        <w:t>5.2.1</w:t>
      </w:r>
      <w:r>
        <w:rPr>
          <w:color w:val="0067CE"/>
          <w:spacing w:val="72"/>
          <w:sz w:val="26"/>
          <w:szCs w:val="26"/>
        </w:rPr>
        <w:t xml:space="preserve"> </w:t>
      </w:r>
      <w:r>
        <w:rPr>
          <w:b/>
          <w:bCs/>
          <w:color w:val="0067CE"/>
          <w:spacing w:val="-24"/>
          <w:sz w:val="26"/>
          <w:szCs w:val="26"/>
        </w:rPr>
        <w:t>业务信息系统</w:t>
      </w:r>
    </w:p>
    <w:p w14:paraId="082E06FC">
      <w:pPr>
        <w:spacing w:before="287" w:line="221" w:lineRule="auto"/>
        <w:ind w:left="752"/>
        <w:rPr>
          <w:rFonts w:ascii="黑体" w:hAnsi="黑体" w:eastAsia="黑体" w:cs="黑体"/>
          <w:sz w:val="19"/>
          <w:szCs w:val="19"/>
        </w:rPr>
      </w:pPr>
      <w:r>
        <w:rPr>
          <w:rFonts w:ascii="黑体" w:hAnsi="黑体" w:eastAsia="黑体" w:cs="黑体"/>
          <w:b/>
          <w:bCs/>
          <w:color w:val="006ECF"/>
          <w:spacing w:val="5"/>
          <w:sz w:val="19"/>
          <w:szCs w:val="19"/>
        </w:rPr>
        <w:t>1.事务处理系统</w:t>
      </w:r>
    </w:p>
    <w:p w14:paraId="2846F303">
      <w:pPr>
        <w:pStyle w:val="2"/>
        <w:spacing w:before="126" w:line="309" w:lineRule="auto"/>
        <w:ind w:left="320" w:right="6" w:firstLine="430"/>
        <w:jc w:val="both"/>
        <w:rPr>
          <w:sz w:val="19"/>
          <w:szCs w:val="19"/>
        </w:rPr>
      </w:pPr>
      <w:r>
        <w:rPr>
          <w:spacing w:val="19"/>
          <w:sz w:val="19"/>
          <w:szCs w:val="19"/>
        </w:rPr>
        <w:t>事务处理系统</w:t>
      </w:r>
      <w:r>
        <w:rPr>
          <w:spacing w:val="-48"/>
          <w:sz w:val="19"/>
          <w:szCs w:val="19"/>
        </w:rPr>
        <w:t xml:space="preserve"> </w:t>
      </w:r>
      <w:r>
        <w:rPr>
          <w:rFonts w:ascii="Times New Roman" w:hAnsi="Times New Roman" w:eastAsia="Times New Roman" w:cs="Times New Roman"/>
          <w:spacing w:val="19"/>
          <w:sz w:val="19"/>
          <w:szCs w:val="19"/>
        </w:rPr>
        <w:t>(</w:t>
      </w:r>
      <w:r>
        <w:rPr>
          <w:rFonts w:ascii="Times New Roman" w:hAnsi="Times New Roman" w:eastAsia="Times New Roman" w:cs="Times New Roman"/>
          <w:sz w:val="19"/>
          <w:szCs w:val="19"/>
        </w:rPr>
        <w:t>TPS</w:t>
      </w:r>
      <w:r>
        <w:rPr>
          <w:rFonts w:ascii="Times New Roman" w:hAnsi="Times New Roman" w:eastAsia="Times New Roman" w:cs="Times New Roman"/>
          <w:spacing w:val="19"/>
          <w:sz w:val="19"/>
          <w:szCs w:val="19"/>
        </w:rPr>
        <w:t xml:space="preserve">)    </w:t>
      </w:r>
      <w:r>
        <w:rPr>
          <w:spacing w:val="19"/>
          <w:sz w:val="19"/>
          <w:szCs w:val="19"/>
        </w:rPr>
        <w:t>是计算机在管理方面早期应用的最初级形式的信息应用系统。自</w:t>
      </w:r>
      <w:r>
        <w:rPr>
          <w:sz w:val="19"/>
          <w:szCs w:val="19"/>
        </w:rPr>
        <w:t xml:space="preserve"> </w:t>
      </w:r>
      <w:r>
        <w:rPr>
          <w:spacing w:val="16"/>
          <w:sz w:val="19"/>
          <w:szCs w:val="19"/>
        </w:rPr>
        <w:t>1946年世界上第一台电子计算机诞生之后，</w:t>
      </w:r>
      <w:r>
        <w:rPr>
          <w:sz w:val="19"/>
          <w:szCs w:val="19"/>
        </w:rPr>
        <w:t>TPS</w:t>
      </w:r>
      <w:r>
        <w:rPr>
          <w:spacing w:val="16"/>
          <w:sz w:val="19"/>
          <w:szCs w:val="19"/>
        </w:rPr>
        <w:t xml:space="preserve"> 就开始获得广泛的应用，20世纪50—60年代</w:t>
      </w:r>
      <w:r>
        <w:rPr>
          <w:spacing w:val="14"/>
          <w:sz w:val="19"/>
          <w:szCs w:val="19"/>
        </w:rPr>
        <w:t xml:space="preserve"> </w:t>
      </w:r>
      <w:r>
        <w:rPr>
          <w:spacing w:val="13"/>
          <w:sz w:val="19"/>
          <w:szCs w:val="19"/>
        </w:rPr>
        <w:t>出现了</w:t>
      </w:r>
      <w:r>
        <w:rPr>
          <w:rFonts w:ascii="Times New Roman" w:hAnsi="Times New Roman" w:eastAsia="Times New Roman" w:cs="Times New Roman"/>
          <w:sz w:val="19"/>
          <w:szCs w:val="19"/>
        </w:rPr>
        <w:t>TPS</w:t>
      </w:r>
      <w:r>
        <w:rPr>
          <w:rFonts w:ascii="Times New Roman" w:hAnsi="Times New Roman" w:eastAsia="Times New Roman" w:cs="Times New Roman"/>
          <w:spacing w:val="31"/>
          <w:sz w:val="19"/>
          <w:szCs w:val="19"/>
        </w:rPr>
        <w:t xml:space="preserve"> </w:t>
      </w:r>
      <w:r>
        <w:rPr>
          <w:spacing w:val="13"/>
          <w:sz w:val="19"/>
          <w:szCs w:val="19"/>
        </w:rPr>
        <w:t>的应用高潮，随着信息技术及相关学科的发展，</w:t>
      </w:r>
      <w:r>
        <w:rPr>
          <w:rFonts w:ascii="Times New Roman" w:hAnsi="Times New Roman" w:eastAsia="Times New Roman" w:cs="Times New Roman"/>
          <w:sz w:val="19"/>
          <w:szCs w:val="19"/>
        </w:rPr>
        <w:t>TPS</w:t>
      </w:r>
      <w:r>
        <w:rPr>
          <w:rFonts w:ascii="Times New Roman" w:hAnsi="Times New Roman" w:eastAsia="Times New Roman" w:cs="Times New Roman"/>
          <w:spacing w:val="41"/>
          <w:sz w:val="19"/>
          <w:szCs w:val="19"/>
        </w:rPr>
        <w:t xml:space="preserve"> </w:t>
      </w:r>
      <w:r>
        <w:rPr>
          <w:spacing w:val="12"/>
          <w:sz w:val="19"/>
          <w:szCs w:val="19"/>
        </w:rPr>
        <w:t>的功能越来越强大，应用的范</w:t>
      </w:r>
      <w:r>
        <w:rPr>
          <w:sz w:val="19"/>
          <w:szCs w:val="19"/>
        </w:rPr>
        <w:t xml:space="preserve"> </w:t>
      </w:r>
      <w:r>
        <w:rPr>
          <w:spacing w:val="10"/>
          <w:sz w:val="19"/>
          <w:szCs w:val="19"/>
        </w:rPr>
        <w:t>围也越来越广。可以说，在当今各行业各领域的管理系统中，几乎都有</w:t>
      </w:r>
      <w:r>
        <w:rPr>
          <w:rFonts w:ascii="Times New Roman" w:hAnsi="Times New Roman" w:eastAsia="Times New Roman" w:cs="Times New Roman"/>
          <w:sz w:val="19"/>
          <w:szCs w:val="19"/>
        </w:rPr>
        <w:t>TPS</w:t>
      </w:r>
      <w:r>
        <w:rPr>
          <w:rFonts w:ascii="Times New Roman" w:hAnsi="Times New Roman" w:eastAsia="Times New Roman" w:cs="Times New Roman"/>
          <w:spacing w:val="31"/>
          <w:sz w:val="19"/>
          <w:szCs w:val="19"/>
        </w:rPr>
        <w:t xml:space="preserve"> </w:t>
      </w:r>
      <w:r>
        <w:rPr>
          <w:spacing w:val="10"/>
          <w:sz w:val="19"/>
          <w:szCs w:val="19"/>
        </w:rPr>
        <w:t>的存</w:t>
      </w:r>
      <w:r>
        <w:rPr>
          <w:spacing w:val="9"/>
          <w:sz w:val="19"/>
          <w:szCs w:val="19"/>
        </w:rPr>
        <w:t>在。</w:t>
      </w:r>
    </w:p>
    <w:p w14:paraId="40C872F9">
      <w:pPr>
        <w:spacing w:before="77" w:line="212" w:lineRule="auto"/>
        <w:ind w:left="750"/>
        <w:rPr>
          <w:rFonts w:ascii="楷体" w:hAnsi="楷体" w:eastAsia="楷体" w:cs="楷体"/>
          <w:sz w:val="19"/>
          <w:szCs w:val="19"/>
        </w:rPr>
      </w:pPr>
      <w:r>
        <w:rPr>
          <w:rFonts w:ascii="Times New Roman" w:hAnsi="Times New Roman" w:eastAsia="Times New Roman" w:cs="Times New Roman"/>
          <w:spacing w:val="2"/>
          <w:sz w:val="19"/>
          <w:szCs w:val="19"/>
        </w:rPr>
        <w:t>1)</w:t>
      </w:r>
      <w:r>
        <w:rPr>
          <w:rFonts w:ascii="Times New Roman" w:hAnsi="Times New Roman" w:eastAsia="Times New Roman" w:cs="Times New Roman"/>
          <w:sz w:val="19"/>
          <w:szCs w:val="19"/>
        </w:rPr>
        <w:t>TPS</w:t>
      </w:r>
      <w:r>
        <w:rPr>
          <w:rFonts w:ascii="Times New Roman" w:hAnsi="Times New Roman" w:eastAsia="Times New Roman" w:cs="Times New Roman"/>
          <w:spacing w:val="4"/>
          <w:sz w:val="19"/>
          <w:szCs w:val="19"/>
        </w:rPr>
        <w:t xml:space="preserve">    </w:t>
      </w:r>
      <w:r>
        <w:rPr>
          <w:rFonts w:ascii="楷体" w:hAnsi="楷体" w:eastAsia="楷体" w:cs="楷体"/>
          <w:spacing w:val="2"/>
          <w:sz w:val="19"/>
          <w:szCs w:val="19"/>
        </w:rPr>
        <w:t>的功能</w:t>
      </w:r>
    </w:p>
    <w:p w14:paraId="5013A597">
      <w:pPr>
        <w:pStyle w:val="2"/>
        <w:spacing w:before="103" w:line="302" w:lineRule="auto"/>
        <w:ind w:left="320" w:right="19" w:firstLine="430"/>
        <w:rPr>
          <w:sz w:val="19"/>
          <w:szCs w:val="19"/>
        </w:rPr>
      </w:pPr>
      <w:r>
        <w:rPr>
          <w:spacing w:val="12"/>
          <w:sz w:val="19"/>
          <w:szCs w:val="19"/>
        </w:rPr>
        <w:t>由于</w:t>
      </w:r>
      <w:r>
        <w:rPr>
          <w:rFonts w:ascii="Times New Roman" w:hAnsi="Times New Roman" w:eastAsia="Times New Roman" w:cs="Times New Roman"/>
          <w:sz w:val="19"/>
          <w:szCs w:val="19"/>
        </w:rPr>
        <w:t>TPS</w:t>
      </w:r>
      <w:r>
        <w:rPr>
          <w:rFonts w:ascii="Times New Roman" w:hAnsi="Times New Roman" w:eastAsia="Times New Roman" w:cs="Times New Roman"/>
          <w:spacing w:val="49"/>
          <w:w w:val="101"/>
          <w:sz w:val="19"/>
          <w:szCs w:val="19"/>
        </w:rPr>
        <w:t xml:space="preserve"> </w:t>
      </w:r>
      <w:r>
        <w:rPr>
          <w:spacing w:val="12"/>
          <w:sz w:val="19"/>
          <w:szCs w:val="19"/>
        </w:rPr>
        <w:t>的主要功能就是对企业管理中日常事务所发生的数据进行输入、处理和输出。因</w:t>
      </w:r>
      <w:r>
        <w:rPr>
          <w:sz w:val="19"/>
          <w:szCs w:val="19"/>
        </w:rPr>
        <w:t xml:space="preserve"> </w:t>
      </w:r>
      <w:r>
        <w:rPr>
          <w:spacing w:val="14"/>
          <w:sz w:val="19"/>
          <w:szCs w:val="19"/>
        </w:rPr>
        <w:t>此，如图5-</w:t>
      </w:r>
      <w:r>
        <w:rPr>
          <w:spacing w:val="-49"/>
          <w:sz w:val="19"/>
          <w:szCs w:val="19"/>
        </w:rPr>
        <w:t xml:space="preserve"> </w:t>
      </w:r>
      <w:r>
        <w:rPr>
          <w:spacing w:val="14"/>
          <w:sz w:val="19"/>
          <w:szCs w:val="19"/>
        </w:rPr>
        <w:t>1所示，</w:t>
      </w:r>
      <w:r>
        <w:rPr>
          <w:rFonts w:ascii="Times New Roman" w:hAnsi="Times New Roman" w:eastAsia="Times New Roman" w:cs="Times New Roman"/>
          <w:sz w:val="19"/>
          <w:szCs w:val="19"/>
        </w:rPr>
        <w:t>TPS</w:t>
      </w:r>
      <w:r>
        <w:rPr>
          <w:rFonts w:ascii="Times New Roman" w:hAnsi="Times New Roman" w:eastAsia="Times New Roman" w:cs="Times New Roman"/>
          <w:spacing w:val="31"/>
          <w:w w:val="101"/>
          <w:sz w:val="19"/>
          <w:szCs w:val="19"/>
        </w:rPr>
        <w:t xml:space="preserve"> </w:t>
      </w:r>
      <w:r>
        <w:rPr>
          <w:spacing w:val="14"/>
          <w:sz w:val="19"/>
          <w:szCs w:val="19"/>
        </w:rPr>
        <w:t>的数据处理周期由以下五个阶段构成：数据输入、数据</w:t>
      </w:r>
      <w:r>
        <w:rPr>
          <w:spacing w:val="13"/>
          <w:sz w:val="19"/>
          <w:szCs w:val="19"/>
        </w:rPr>
        <w:t>处理、数据库</w:t>
      </w:r>
      <w:r>
        <w:rPr>
          <w:sz w:val="19"/>
          <w:szCs w:val="19"/>
        </w:rPr>
        <w:t xml:space="preserve"> </w:t>
      </w:r>
      <w:r>
        <w:rPr>
          <w:spacing w:val="6"/>
          <w:sz w:val="19"/>
          <w:szCs w:val="19"/>
        </w:rPr>
        <w:t>的维护、文件报表的生成和查询处理。</w:t>
      </w:r>
    </w:p>
    <w:p w14:paraId="17D4902F">
      <w:pPr>
        <w:spacing w:line="344" w:lineRule="auto"/>
        <w:rPr>
          <w:rFonts w:ascii="Arial"/>
          <w:sz w:val="21"/>
        </w:rPr>
      </w:pPr>
    </w:p>
    <w:p w14:paraId="268945AE">
      <w:pPr>
        <w:pStyle w:val="2"/>
        <w:spacing w:before="62" w:line="208" w:lineRule="auto"/>
        <w:ind w:left="6339" w:right="1690" w:hanging="250"/>
        <w:rPr>
          <w:sz w:val="19"/>
          <w:szCs w:val="19"/>
        </w:rPr>
      </w:pPr>
      <w:r>
        <w:pict>
          <v:shape id="_x0000_s1336" o:spid="_x0000_s1336" o:spt="202" type="#_x0000_t202" style="position:absolute;left:0pt;margin-left:176pt;margin-top:7.05pt;height:25.5pt;width:36.35pt;z-index:251711488;mso-width-relative:page;mso-height-relative:page;" filled="f" stroked="f" coordsize="21600,21600">
            <v:path/>
            <v:fill on="f" focussize="0,0"/>
            <v:stroke on="f"/>
            <v:imagedata o:title=""/>
            <o:lock v:ext="edit" aspectratio="f"/>
            <v:textbox inset="0mm,0mm,0mm,0mm">
              <w:txbxContent>
                <w:p w14:paraId="50C3D591">
                  <w:pPr>
                    <w:pStyle w:val="2"/>
                    <w:spacing w:before="20" w:line="228" w:lineRule="auto"/>
                    <w:ind w:left="80" w:right="20" w:hanging="60"/>
                    <w:rPr>
                      <w:sz w:val="19"/>
                      <w:szCs w:val="19"/>
                    </w:rPr>
                  </w:pPr>
                  <w:r>
                    <w:rPr>
                      <w:spacing w:val="-14"/>
                      <w:w w:val="97"/>
                      <w:sz w:val="19"/>
                      <w:szCs w:val="19"/>
                    </w:rPr>
                    <w:t>数据处理</w:t>
                  </w:r>
                  <w:r>
                    <w:rPr>
                      <w:spacing w:val="3"/>
                      <w:sz w:val="19"/>
                      <w:szCs w:val="19"/>
                    </w:rPr>
                    <w:t xml:space="preserve"> </w:t>
                  </w:r>
                  <w:r>
                    <w:rPr>
                      <w:spacing w:val="-37"/>
                      <w:sz w:val="19"/>
                      <w:szCs w:val="19"/>
                    </w:rPr>
                    <w:t>·</w:t>
                  </w:r>
                  <w:r>
                    <w:rPr>
                      <w:spacing w:val="-36"/>
                      <w:sz w:val="19"/>
                      <w:szCs w:val="19"/>
                    </w:rPr>
                    <w:t>批处</w:t>
                  </w:r>
                  <w:r>
                    <w:rPr>
                      <w:spacing w:val="-27"/>
                      <w:sz w:val="19"/>
                      <w:szCs w:val="19"/>
                    </w:rPr>
                    <w:t>理</w:t>
                  </w:r>
                </w:p>
              </w:txbxContent>
            </v:textbox>
          </v:shape>
        </w:pict>
      </w:r>
      <w:r>
        <w:pict>
          <v:shape id="_x0000_s1337" o:spid="_x0000_s1337" o:spt="202" type="#_x0000_t202" style="position:absolute;left:0pt;margin-left:104pt;margin-top:9.55pt;height:23.8pt;width:21.1pt;z-index:251712512;mso-width-relative:page;mso-height-relative:page;" filled="f" stroked="f" coordsize="21600,21600">
            <v:path/>
            <v:fill on="f" focussize="0,0"/>
            <v:stroke on="f"/>
            <v:imagedata o:title=""/>
            <o:lock v:ext="edit" aspectratio="f"/>
            <v:textbox inset="0mm,0mm,0mm,0mm">
              <w:txbxContent>
                <w:p w14:paraId="6CE5E0A7">
                  <w:pPr>
                    <w:pStyle w:val="2"/>
                    <w:spacing w:before="19" w:line="212" w:lineRule="auto"/>
                    <w:ind w:left="20" w:right="20" w:firstLine="9"/>
                    <w:rPr>
                      <w:sz w:val="19"/>
                      <w:szCs w:val="19"/>
                    </w:rPr>
                  </w:pPr>
                  <w:r>
                    <w:rPr>
                      <w:spacing w:val="-5"/>
                      <w:sz w:val="19"/>
                      <w:szCs w:val="19"/>
                    </w:rPr>
                    <w:t>数据</w:t>
                  </w:r>
                  <w:r>
                    <w:rPr>
                      <w:sz w:val="19"/>
                      <w:szCs w:val="19"/>
                    </w:rPr>
                    <w:t xml:space="preserve"> </w:t>
                  </w:r>
                  <w:r>
                    <w:rPr>
                      <w:spacing w:val="-2"/>
                      <w:sz w:val="19"/>
                      <w:szCs w:val="19"/>
                    </w:rPr>
                    <w:t>输入</w:t>
                  </w:r>
                </w:p>
              </w:txbxContent>
            </v:textbox>
          </v:shape>
        </w:pict>
      </w:r>
      <w:r>
        <w:drawing>
          <wp:anchor distT="0" distB="0" distL="0" distR="0" simplePos="0" relativeHeight="251710464" behindDoc="1" locked="0" layoutInCell="1" allowOverlap="1">
            <wp:simplePos x="0" y="0"/>
            <wp:positionH relativeFrom="column">
              <wp:posOffset>977900</wp:posOffset>
            </wp:positionH>
            <wp:positionV relativeFrom="paragraph">
              <wp:posOffset>-187325</wp:posOffset>
            </wp:positionV>
            <wp:extent cx="3740150" cy="179705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20"/>
                    <a:stretch>
                      <a:fillRect/>
                    </a:stretch>
                  </pic:blipFill>
                  <pic:spPr>
                    <a:xfrm>
                      <a:off x="0" y="0"/>
                      <a:ext cx="3740119" cy="1797015"/>
                    </a:xfrm>
                    <a:prstGeom prst="rect">
                      <a:avLst/>
                    </a:prstGeom>
                  </pic:spPr>
                </pic:pic>
              </a:graphicData>
            </a:graphic>
          </wp:anchor>
        </w:drawing>
      </w:r>
      <w:r>
        <w:rPr>
          <w:spacing w:val="-13"/>
          <w:sz w:val="19"/>
          <w:szCs w:val="19"/>
        </w:rPr>
        <w:t>文件、报表</w:t>
      </w:r>
      <w:r>
        <w:rPr>
          <w:spacing w:val="2"/>
          <w:sz w:val="19"/>
          <w:szCs w:val="19"/>
        </w:rPr>
        <w:t xml:space="preserve"> </w:t>
      </w:r>
      <w:r>
        <w:rPr>
          <w:spacing w:val="-3"/>
          <w:sz w:val="19"/>
          <w:szCs w:val="19"/>
        </w:rPr>
        <w:t>生成</w:t>
      </w:r>
    </w:p>
    <w:p w14:paraId="2A61468D">
      <w:pPr>
        <w:pStyle w:val="2"/>
        <w:spacing w:before="140" w:line="219" w:lineRule="auto"/>
        <w:ind w:left="3590"/>
        <w:rPr>
          <w:sz w:val="19"/>
          <w:szCs w:val="19"/>
        </w:rPr>
      </w:pPr>
      <w:r>
        <w:rPr>
          <w:spacing w:val="-24"/>
          <w:sz w:val="19"/>
          <w:szCs w:val="19"/>
        </w:rPr>
        <w:t>·联机实时处理</w:t>
      </w:r>
    </w:p>
    <w:p w14:paraId="2A2CA80B">
      <w:pPr>
        <w:spacing w:line="285" w:lineRule="auto"/>
        <w:rPr>
          <w:rFonts w:ascii="Arial"/>
          <w:sz w:val="21"/>
        </w:rPr>
      </w:pPr>
    </w:p>
    <w:p w14:paraId="05867A50">
      <w:pPr>
        <w:spacing w:line="286" w:lineRule="auto"/>
        <w:rPr>
          <w:rFonts w:ascii="Arial"/>
          <w:sz w:val="21"/>
        </w:rPr>
      </w:pPr>
    </w:p>
    <w:p w14:paraId="52FC8ED1">
      <w:pPr>
        <w:pStyle w:val="2"/>
        <w:spacing w:before="62" w:line="221" w:lineRule="auto"/>
        <w:ind w:left="6230"/>
        <w:rPr>
          <w:sz w:val="19"/>
          <w:szCs w:val="19"/>
        </w:rPr>
      </w:pPr>
      <w:r>
        <w:rPr>
          <w:spacing w:val="-14"/>
          <w:sz w:val="19"/>
          <w:szCs w:val="19"/>
        </w:rPr>
        <w:t>查询处理</w:t>
      </w:r>
    </w:p>
    <w:p w14:paraId="797ADBD3">
      <w:pPr>
        <w:pStyle w:val="2"/>
        <w:spacing w:before="72" w:line="219" w:lineRule="auto"/>
        <w:ind w:left="3700"/>
        <w:rPr>
          <w:sz w:val="19"/>
          <w:szCs w:val="19"/>
        </w:rPr>
      </w:pPr>
      <w:r>
        <w:rPr>
          <w:spacing w:val="-14"/>
          <w:sz w:val="19"/>
          <w:szCs w:val="19"/>
        </w:rPr>
        <w:t>数据库维护</w:t>
      </w:r>
    </w:p>
    <w:p w14:paraId="6DDBE681">
      <w:pPr>
        <w:spacing w:line="265" w:lineRule="auto"/>
        <w:rPr>
          <w:rFonts w:ascii="Arial"/>
          <w:sz w:val="21"/>
        </w:rPr>
      </w:pPr>
    </w:p>
    <w:p w14:paraId="4409F3E4">
      <w:pPr>
        <w:spacing w:line="265" w:lineRule="auto"/>
        <w:rPr>
          <w:rFonts w:ascii="Arial"/>
          <w:sz w:val="21"/>
        </w:rPr>
      </w:pPr>
    </w:p>
    <w:p w14:paraId="67211C9B">
      <w:pPr>
        <w:pStyle w:val="2"/>
        <w:spacing w:before="62" w:line="220" w:lineRule="auto"/>
        <w:ind w:left="3760"/>
        <w:rPr>
          <w:sz w:val="19"/>
          <w:szCs w:val="19"/>
        </w:rPr>
      </w:pPr>
      <w:r>
        <w:rPr>
          <w:spacing w:val="-2"/>
          <w:sz w:val="19"/>
          <w:szCs w:val="19"/>
        </w:rPr>
        <w:t>图5-1</w:t>
      </w:r>
      <w:r>
        <w:rPr>
          <w:spacing w:val="58"/>
          <w:sz w:val="19"/>
          <w:szCs w:val="19"/>
        </w:rPr>
        <w:t xml:space="preserve"> </w:t>
      </w:r>
      <w:r>
        <w:rPr>
          <w:rFonts w:ascii="Times New Roman" w:hAnsi="Times New Roman" w:eastAsia="Times New Roman" w:cs="Times New Roman"/>
          <w:spacing w:val="-2"/>
          <w:sz w:val="19"/>
          <w:szCs w:val="19"/>
        </w:rPr>
        <w:t>TPS</w:t>
      </w:r>
      <w:r>
        <w:rPr>
          <w:spacing w:val="-2"/>
          <w:sz w:val="19"/>
          <w:szCs w:val="19"/>
        </w:rPr>
        <w:t>的构成</w:t>
      </w:r>
    </w:p>
    <w:p w14:paraId="363927D3">
      <w:pPr>
        <w:pStyle w:val="2"/>
        <w:spacing w:before="193" w:line="219" w:lineRule="auto"/>
        <w:ind w:left="750"/>
        <w:rPr>
          <w:sz w:val="19"/>
          <w:szCs w:val="19"/>
        </w:rPr>
      </w:pPr>
      <w:r>
        <w:rPr>
          <w:spacing w:val="15"/>
          <w:sz w:val="19"/>
          <w:szCs w:val="19"/>
        </w:rPr>
        <w:t>(1)数据输入。</w:t>
      </w:r>
    </w:p>
    <w:p w14:paraId="786C7957">
      <w:pPr>
        <w:pStyle w:val="2"/>
        <w:spacing w:before="95" w:line="301" w:lineRule="auto"/>
        <w:ind w:left="320" w:firstLine="430"/>
        <w:rPr>
          <w:sz w:val="19"/>
          <w:szCs w:val="19"/>
        </w:rPr>
      </w:pPr>
      <w:r>
        <w:rPr>
          <w:spacing w:val="13"/>
          <w:sz w:val="19"/>
          <w:szCs w:val="19"/>
        </w:rPr>
        <w:t>数据输入是</w:t>
      </w:r>
      <w:r>
        <w:rPr>
          <w:rFonts w:ascii="Times New Roman" w:hAnsi="Times New Roman" w:eastAsia="Times New Roman" w:cs="Times New Roman"/>
          <w:sz w:val="19"/>
          <w:szCs w:val="19"/>
        </w:rPr>
        <w:t>TPS</w:t>
      </w:r>
      <w:r>
        <w:rPr>
          <w:rFonts w:ascii="Times New Roman" w:hAnsi="Times New Roman" w:eastAsia="Times New Roman" w:cs="Times New Roman"/>
          <w:spacing w:val="31"/>
          <w:w w:val="101"/>
          <w:sz w:val="19"/>
          <w:szCs w:val="19"/>
        </w:rPr>
        <w:t xml:space="preserve"> </w:t>
      </w:r>
      <w:r>
        <w:rPr>
          <w:spacing w:val="13"/>
          <w:sz w:val="19"/>
          <w:szCs w:val="19"/>
        </w:rPr>
        <w:t>工作过程的第一个阶段，该阶段主要解决如何将企业经营活动中产生的大</w:t>
      </w:r>
      <w:r>
        <w:rPr>
          <w:sz w:val="19"/>
          <w:szCs w:val="19"/>
        </w:rPr>
        <w:t xml:space="preserve"> </w:t>
      </w:r>
      <w:r>
        <w:rPr>
          <w:spacing w:val="13"/>
          <w:sz w:val="19"/>
          <w:szCs w:val="19"/>
        </w:rPr>
        <w:t>量原始数据准确、迅速地输入到计算机系统中并存储起来，这是信息系统进行</w:t>
      </w:r>
      <w:r>
        <w:rPr>
          <w:spacing w:val="12"/>
          <w:sz w:val="19"/>
          <w:szCs w:val="19"/>
        </w:rPr>
        <w:t>信息处理的“瓶</w:t>
      </w:r>
      <w:r>
        <w:rPr>
          <w:sz w:val="19"/>
          <w:szCs w:val="19"/>
        </w:rPr>
        <w:t xml:space="preserve"> </w:t>
      </w:r>
      <w:r>
        <w:rPr>
          <w:spacing w:val="6"/>
          <w:sz w:val="19"/>
          <w:szCs w:val="19"/>
        </w:rPr>
        <w:t>颈”。因此，数据的输入方式和进度是这个阶段的关键问题。</w:t>
      </w:r>
    </w:p>
    <w:p w14:paraId="1ED3C4D5">
      <w:pPr>
        <w:pStyle w:val="2"/>
        <w:spacing w:before="5" w:line="295" w:lineRule="auto"/>
        <w:ind w:left="320" w:right="26" w:firstLine="430"/>
        <w:rPr>
          <w:sz w:val="19"/>
          <w:szCs w:val="19"/>
        </w:rPr>
      </w:pPr>
      <w:r>
        <w:rPr>
          <w:spacing w:val="14"/>
          <w:sz w:val="19"/>
          <w:szCs w:val="19"/>
        </w:rPr>
        <w:t>常见的数据输入方式有三种，即人工、自动及二者结合。若用人工输入数</w:t>
      </w:r>
      <w:r>
        <w:rPr>
          <w:spacing w:val="13"/>
          <w:sz w:val="19"/>
          <w:szCs w:val="19"/>
        </w:rPr>
        <w:t>据，在运行</w:t>
      </w:r>
      <w:r>
        <w:rPr>
          <w:rFonts w:ascii="Times New Roman" w:hAnsi="Times New Roman" w:eastAsia="Times New Roman" w:cs="Times New Roman"/>
          <w:sz w:val="19"/>
          <w:szCs w:val="19"/>
        </w:rPr>
        <w:t xml:space="preserve">TPS </w:t>
      </w:r>
      <w:r>
        <w:rPr>
          <w:spacing w:val="13"/>
          <w:sz w:val="19"/>
          <w:szCs w:val="19"/>
        </w:rPr>
        <w:t>中的数据输入模块时，屏幕上就会显示出与原始数据凭证相似格式的画面，而后由作</w:t>
      </w:r>
      <w:r>
        <w:rPr>
          <w:spacing w:val="12"/>
          <w:sz w:val="19"/>
          <w:szCs w:val="19"/>
        </w:rPr>
        <w:t>业层的管</w:t>
      </w:r>
      <w:r>
        <w:rPr>
          <w:sz w:val="19"/>
          <w:szCs w:val="19"/>
        </w:rPr>
        <w:t xml:space="preserve"> </w:t>
      </w:r>
      <w:r>
        <w:rPr>
          <w:spacing w:val="16"/>
          <w:sz w:val="19"/>
          <w:szCs w:val="19"/>
        </w:rPr>
        <w:t>理人员通过键盘等输入装置进行数据输入，输入的数据</w:t>
      </w:r>
      <w:r>
        <w:rPr>
          <w:spacing w:val="15"/>
          <w:sz w:val="19"/>
          <w:szCs w:val="19"/>
        </w:rPr>
        <w:t>以</w:t>
      </w:r>
      <w:r>
        <w:rPr>
          <w:rFonts w:ascii="Times New Roman" w:hAnsi="Times New Roman" w:eastAsia="Times New Roman" w:cs="Times New Roman"/>
          <w:sz w:val="19"/>
          <w:szCs w:val="19"/>
        </w:rPr>
        <w:t>TPS</w:t>
      </w:r>
      <w:r>
        <w:rPr>
          <w:rFonts w:ascii="Times New Roman" w:hAnsi="Times New Roman" w:eastAsia="Times New Roman" w:cs="Times New Roman"/>
          <w:spacing w:val="21"/>
          <w:sz w:val="19"/>
          <w:szCs w:val="19"/>
        </w:rPr>
        <w:t xml:space="preserve"> </w:t>
      </w:r>
      <w:r>
        <w:rPr>
          <w:spacing w:val="15"/>
          <w:sz w:val="19"/>
          <w:szCs w:val="19"/>
        </w:rPr>
        <w:t>预先确定好的格式(即数据库结</w:t>
      </w:r>
      <w:r>
        <w:rPr>
          <w:sz w:val="19"/>
          <w:szCs w:val="19"/>
        </w:rPr>
        <w:t xml:space="preserve"> </w:t>
      </w:r>
      <w:r>
        <w:rPr>
          <w:spacing w:val="16"/>
          <w:sz w:val="19"/>
          <w:szCs w:val="19"/>
        </w:rPr>
        <w:t>构)存储，或由</w:t>
      </w:r>
      <w:r>
        <w:rPr>
          <w:rFonts w:ascii="Times New Roman" w:hAnsi="Times New Roman" w:eastAsia="Times New Roman" w:cs="Times New Roman"/>
          <w:sz w:val="19"/>
          <w:szCs w:val="19"/>
        </w:rPr>
        <w:t>TPS</w:t>
      </w:r>
      <w:r>
        <w:rPr>
          <w:rFonts w:ascii="Times New Roman" w:hAnsi="Times New Roman" w:eastAsia="Times New Roman" w:cs="Times New Roman"/>
          <w:spacing w:val="21"/>
          <w:sz w:val="19"/>
          <w:szCs w:val="19"/>
        </w:rPr>
        <w:t xml:space="preserve"> </w:t>
      </w:r>
      <w:r>
        <w:rPr>
          <w:spacing w:val="16"/>
          <w:sz w:val="19"/>
          <w:szCs w:val="19"/>
        </w:rPr>
        <w:t>直接使用。这种传统的数据输入方式的缺</w:t>
      </w:r>
      <w:r>
        <w:rPr>
          <w:spacing w:val="15"/>
          <w:sz w:val="19"/>
          <w:szCs w:val="19"/>
        </w:rPr>
        <w:t>点是显而易见的，费时费力，需</w:t>
      </w:r>
      <w:r>
        <w:rPr>
          <w:sz w:val="19"/>
          <w:szCs w:val="19"/>
        </w:rPr>
        <w:t xml:space="preserve"> </w:t>
      </w:r>
      <w:r>
        <w:rPr>
          <w:spacing w:val="7"/>
          <w:sz w:val="19"/>
          <w:szCs w:val="19"/>
        </w:rPr>
        <w:t>要大量存储空间，而且极易出错。</w:t>
      </w:r>
    </w:p>
    <w:p w14:paraId="2CAA9363">
      <w:pPr>
        <w:pStyle w:val="2"/>
        <w:spacing w:before="25" w:line="293" w:lineRule="auto"/>
        <w:ind w:left="320" w:firstLine="430"/>
        <w:jc w:val="both"/>
        <w:rPr>
          <w:sz w:val="19"/>
          <w:szCs w:val="19"/>
        </w:rPr>
      </w:pPr>
      <w:r>
        <w:rPr>
          <w:spacing w:val="12"/>
          <w:sz w:val="19"/>
          <w:szCs w:val="19"/>
        </w:rPr>
        <w:t>随着计算机及相关技术的迅速发展，原始数据的输入也朝着自动化方向发展，只要将自动</w:t>
      </w:r>
      <w:r>
        <w:rPr>
          <w:spacing w:val="13"/>
          <w:sz w:val="19"/>
          <w:szCs w:val="19"/>
        </w:rPr>
        <w:t xml:space="preserve"> 化数据录入装置与远程</w:t>
      </w:r>
      <w:r>
        <w:rPr>
          <w:rFonts w:ascii="Times New Roman" w:hAnsi="Times New Roman" w:eastAsia="Times New Roman" w:cs="Times New Roman"/>
          <w:sz w:val="19"/>
          <w:szCs w:val="19"/>
        </w:rPr>
        <w:t>TPS</w:t>
      </w:r>
      <w:r>
        <w:rPr>
          <w:rFonts w:ascii="Times New Roman" w:hAnsi="Times New Roman" w:eastAsia="Times New Roman" w:cs="Times New Roman"/>
          <w:spacing w:val="55"/>
          <w:sz w:val="19"/>
          <w:szCs w:val="19"/>
        </w:rPr>
        <w:t xml:space="preserve"> </w:t>
      </w:r>
      <w:r>
        <w:rPr>
          <w:spacing w:val="13"/>
          <w:sz w:val="19"/>
          <w:szCs w:val="19"/>
        </w:rPr>
        <w:t>的计算机系统连接起来，就可以实现原始数据的自动化或半自动化</w:t>
      </w:r>
      <w:r>
        <w:rPr>
          <w:sz w:val="19"/>
          <w:szCs w:val="19"/>
        </w:rPr>
        <w:t xml:space="preserve"> </w:t>
      </w:r>
      <w:r>
        <w:rPr>
          <w:spacing w:val="7"/>
          <w:sz w:val="19"/>
          <w:szCs w:val="19"/>
        </w:rPr>
        <w:t>输入。常见的自动化输入装置有：</w:t>
      </w:r>
    </w:p>
    <w:p w14:paraId="26468FB0">
      <w:pPr>
        <w:pStyle w:val="2"/>
        <w:spacing w:before="28" w:line="219" w:lineRule="auto"/>
        <w:ind w:left="750"/>
        <w:rPr>
          <w:sz w:val="19"/>
          <w:szCs w:val="19"/>
        </w:rPr>
      </w:pPr>
      <w:r>
        <w:rPr>
          <w:spacing w:val="5"/>
          <w:sz w:val="19"/>
          <w:szCs w:val="19"/>
        </w:rPr>
        <w:t xml:space="preserve">●  </w:t>
      </w:r>
      <w:r>
        <w:rPr>
          <w:sz w:val="19"/>
          <w:szCs w:val="19"/>
        </w:rPr>
        <w:t>POS</w:t>
      </w:r>
      <w:r>
        <w:rPr>
          <w:spacing w:val="-57"/>
          <w:sz w:val="19"/>
          <w:szCs w:val="19"/>
        </w:rPr>
        <w:t xml:space="preserve"> </w:t>
      </w:r>
      <w:r>
        <w:rPr>
          <w:spacing w:val="5"/>
          <w:sz w:val="19"/>
          <w:szCs w:val="19"/>
        </w:rPr>
        <w:t>终端，获取条码或磁卡中的信息；</w:t>
      </w:r>
    </w:p>
    <w:p w14:paraId="36C443C3">
      <w:pPr>
        <w:pStyle w:val="2"/>
        <w:spacing w:before="92" w:line="216" w:lineRule="auto"/>
        <w:ind w:left="750"/>
        <w:rPr>
          <w:sz w:val="19"/>
          <w:szCs w:val="19"/>
        </w:rPr>
      </w:pPr>
      <w:r>
        <w:rPr>
          <w:spacing w:val="-1"/>
          <w:sz w:val="19"/>
          <w:szCs w:val="19"/>
        </w:rPr>
        <w:t>●</w:t>
      </w:r>
      <w:r>
        <w:rPr>
          <w:spacing w:val="-31"/>
          <w:sz w:val="19"/>
          <w:szCs w:val="19"/>
        </w:rPr>
        <w:t xml:space="preserve"> </w:t>
      </w:r>
      <w:r>
        <w:rPr>
          <w:spacing w:val="-1"/>
          <w:sz w:val="19"/>
          <w:szCs w:val="19"/>
        </w:rPr>
        <w:t>光</w:t>
      </w:r>
      <w:r>
        <w:rPr>
          <w:spacing w:val="-41"/>
          <w:sz w:val="19"/>
          <w:szCs w:val="19"/>
        </w:rPr>
        <w:t xml:space="preserve"> </w:t>
      </w:r>
      <w:r>
        <w:rPr>
          <w:spacing w:val="-1"/>
          <w:sz w:val="19"/>
          <w:szCs w:val="19"/>
        </w:rPr>
        <w:t>读</w:t>
      </w:r>
      <w:r>
        <w:rPr>
          <w:spacing w:val="-41"/>
          <w:sz w:val="19"/>
          <w:szCs w:val="19"/>
        </w:rPr>
        <w:t xml:space="preserve"> </w:t>
      </w:r>
      <w:r>
        <w:rPr>
          <w:spacing w:val="-1"/>
          <w:sz w:val="19"/>
          <w:szCs w:val="19"/>
        </w:rPr>
        <w:t>机OCR,</w:t>
      </w:r>
      <w:r>
        <w:rPr>
          <w:spacing w:val="33"/>
          <w:sz w:val="19"/>
          <w:szCs w:val="19"/>
        </w:rPr>
        <w:t xml:space="preserve">  </w:t>
      </w:r>
      <w:r>
        <w:rPr>
          <w:spacing w:val="-1"/>
          <w:sz w:val="19"/>
          <w:szCs w:val="19"/>
        </w:rPr>
        <w:t>阅读条码信息；</w:t>
      </w:r>
    </w:p>
    <w:p w14:paraId="5519705D">
      <w:pPr>
        <w:pStyle w:val="2"/>
        <w:spacing w:before="97" w:line="216" w:lineRule="auto"/>
        <w:ind w:left="750"/>
        <w:rPr>
          <w:sz w:val="19"/>
          <w:szCs w:val="19"/>
        </w:rPr>
      </w:pPr>
      <w:r>
        <w:rPr>
          <w:spacing w:val="1"/>
          <w:sz w:val="19"/>
          <w:szCs w:val="19"/>
        </w:rPr>
        <w:t>●</w:t>
      </w:r>
      <w:r>
        <w:rPr>
          <w:spacing w:val="25"/>
          <w:sz w:val="19"/>
          <w:szCs w:val="19"/>
        </w:rPr>
        <w:t xml:space="preserve">   </w:t>
      </w:r>
      <w:r>
        <w:rPr>
          <w:sz w:val="19"/>
          <w:szCs w:val="19"/>
        </w:rPr>
        <w:t>ATM</w:t>
      </w:r>
      <w:r>
        <w:rPr>
          <w:spacing w:val="1"/>
          <w:sz w:val="19"/>
          <w:szCs w:val="19"/>
        </w:rPr>
        <w:t>,接收各种信用卡信息；</w:t>
      </w:r>
    </w:p>
    <w:p w14:paraId="0F236EEC">
      <w:pPr>
        <w:spacing w:line="216" w:lineRule="auto"/>
        <w:rPr>
          <w:sz w:val="19"/>
          <w:szCs w:val="19"/>
        </w:rPr>
        <w:sectPr>
          <w:pgSz w:w="10300" w:h="13400"/>
          <w:pgMar w:top="400" w:right="1141" w:bottom="400" w:left="489" w:header="0" w:footer="0" w:gutter="0"/>
          <w:cols w:space="720" w:num="1"/>
        </w:sectPr>
      </w:pPr>
    </w:p>
    <w:p w14:paraId="6ECB3790">
      <w:pPr>
        <w:pStyle w:val="2"/>
        <w:jc w:val="right"/>
        <w:rPr>
          <w:rFonts w:ascii="Times New Roman" w:hAnsi="Times New Roman" w:eastAsia="Times New Roman" w:cs="Times New Roman"/>
          <w:sz w:val="20"/>
          <w:szCs w:val="20"/>
        </w:rPr>
      </w:pPr>
      <w:r>
        <w:rPr>
          <w:spacing w:val="5"/>
          <w:sz w:val="20"/>
          <w:szCs w:val="20"/>
        </w:rPr>
        <w:t xml:space="preserve">第5章信息应用系统 </w:t>
      </w:r>
      <w:r>
        <w:rPr>
          <w:position w:val="-13"/>
          <w:sz w:val="20"/>
          <w:szCs w:val="20"/>
        </w:rPr>
        <w:drawing>
          <wp:inline distT="0" distB="0" distL="0" distR="0">
            <wp:extent cx="336550" cy="2540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21"/>
                    <a:stretch>
                      <a:fillRect/>
                    </a:stretch>
                  </pic:blipFill>
                  <pic:spPr>
                    <a:xfrm>
                      <a:off x="0" y="0"/>
                      <a:ext cx="336574" cy="254000"/>
                    </a:xfrm>
                    <a:prstGeom prst="rect">
                      <a:avLst/>
                    </a:prstGeom>
                  </pic:spPr>
                </pic:pic>
              </a:graphicData>
            </a:graphic>
          </wp:inline>
        </w:drawing>
      </w:r>
      <w:r>
        <w:rPr>
          <w:rFonts w:ascii="Times New Roman" w:hAnsi="Times New Roman" w:eastAsia="Times New Roman" w:cs="Times New Roman"/>
          <w:spacing w:val="5"/>
          <w:sz w:val="20"/>
          <w:szCs w:val="20"/>
        </w:rPr>
        <w:t>159</w:t>
      </w:r>
    </w:p>
    <w:p w14:paraId="64797C14">
      <w:pPr>
        <w:spacing w:line="251" w:lineRule="auto"/>
        <w:rPr>
          <w:rFonts w:ascii="Arial"/>
          <w:sz w:val="21"/>
        </w:rPr>
      </w:pPr>
    </w:p>
    <w:p w14:paraId="1221C98D">
      <w:pPr>
        <w:pStyle w:val="2"/>
        <w:spacing w:before="65" w:line="219" w:lineRule="auto"/>
        <w:ind w:left="380"/>
        <w:rPr>
          <w:sz w:val="20"/>
          <w:szCs w:val="20"/>
        </w:rPr>
      </w:pPr>
      <w:r>
        <w:rPr>
          <w:spacing w:val="1"/>
          <w:sz w:val="20"/>
          <w:szCs w:val="20"/>
        </w:rPr>
        <w:t>●扫描仪，输入图像信息；</w:t>
      </w:r>
    </w:p>
    <w:p w14:paraId="56B5CA10">
      <w:pPr>
        <w:pStyle w:val="2"/>
        <w:spacing w:before="82" w:line="219" w:lineRule="auto"/>
        <w:ind w:left="380"/>
        <w:rPr>
          <w:sz w:val="20"/>
          <w:szCs w:val="20"/>
        </w:rPr>
      </w:pPr>
      <w:r>
        <w:rPr>
          <w:spacing w:val="1"/>
          <w:sz w:val="20"/>
          <w:szCs w:val="20"/>
        </w:rPr>
        <w:t>●语音识别系统，输入声音信息；</w:t>
      </w:r>
    </w:p>
    <w:p w14:paraId="432E36A2">
      <w:pPr>
        <w:pStyle w:val="2"/>
        <w:spacing w:before="82" w:line="219" w:lineRule="auto"/>
        <w:ind w:left="380"/>
        <w:rPr>
          <w:sz w:val="20"/>
          <w:szCs w:val="20"/>
        </w:rPr>
      </w:pPr>
      <w:r>
        <w:rPr>
          <w:spacing w:val="2"/>
          <w:sz w:val="20"/>
          <w:szCs w:val="20"/>
        </w:rPr>
        <w:t>●触摸屏，直接接收用户输入的信息。</w:t>
      </w:r>
    </w:p>
    <w:p w14:paraId="27EFE556">
      <w:pPr>
        <w:pStyle w:val="2"/>
        <w:spacing w:before="83" w:line="219" w:lineRule="auto"/>
        <w:ind w:left="380"/>
        <w:rPr>
          <w:sz w:val="20"/>
          <w:szCs w:val="20"/>
        </w:rPr>
      </w:pPr>
      <w:r>
        <w:rPr>
          <w:spacing w:val="10"/>
          <w:sz w:val="20"/>
          <w:szCs w:val="20"/>
        </w:rPr>
        <w:t>(2)数据处理。</w:t>
      </w:r>
    </w:p>
    <w:p w14:paraId="1D987D33">
      <w:pPr>
        <w:pStyle w:val="2"/>
        <w:spacing w:before="81" w:line="219" w:lineRule="auto"/>
        <w:ind w:left="380"/>
        <w:rPr>
          <w:sz w:val="20"/>
          <w:szCs w:val="20"/>
        </w:rPr>
      </w:pPr>
      <w:r>
        <w:rPr>
          <w:rFonts w:ascii="Times New Roman" w:hAnsi="Times New Roman" w:eastAsia="Times New Roman" w:cs="Times New Roman"/>
          <w:spacing w:val="-1"/>
          <w:sz w:val="20"/>
          <w:szCs w:val="20"/>
        </w:rPr>
        <w:t xml:space="preserve">TPS </w:t>
      </w:r>
      <w:r>
        <w:rPr>
          <w:spacing w:val="-1"/>
          <w:sz w:val="20"/>
          <w:szCs w:val="20"/>
        </w:rPr>
        <w:t>常见的数据处理方式有两种：一种是批处理</w:t>
      </w:r>
      <w:r>
        <w:rPr>
          <w:spacing w:val="-2"/>
          <w:sz w:val="20"/>
          <w:szCs w:val="20"/>
        </w:rPr>
        <w:t>方式；另一种是联机事务处理方式。</w:t>
      </w:r>
    </w:p>
    <w:p w14:paraId="321BF9B2">
      <w:pPr>
        <w:pStyle w:val="2"/>
        <w:spacing w:before="97" w:line="214" w:lineRule="auto"/>
        <w:ind w:left="380"/>
        <w:rPr>
          <w:sz w:val="20"/>
          <w:szCs w:val="20"/>
        </w:rPr>
      </w:pPr>
      <w:r>
        <w:rPr>
          <w:spacing w:val="-3"/>
          <w:sz w:val="20"/>
          <w:szCs w:val="20"/>
        </w:rPr>
        <w:t>●</w:t>
      </w:r>
      <w:r>
        <w:rPr>
          <w:spacing w:val="-47"/>
          <w:sz w:val="20"/>
          <w:szCs w:val="20"/>
        </w:rPr>
        <w:t xml:space="preserve"> </w:t>
      </w:r>
      <w:r>
        <w:rPr>
          <w:spacing w:val="-3"/>
          <w:sz w:val="20"/>
          <w:szCs w:val="20"/>
        </w:rPr>
        <w:t>批处理(Batch Processing)。</w:t>
      </w:r>
    </w:p>
    <w:p w14:paraId="06777DB4">
      <w:pPr>
        <w:pStyle w:val="2"/>
        <w:spacing w:before="65" w:line="219" w:lineRule="auto"/>
        <w:ind w:left="380"/>
        <w:rPr>
          <w:sz w:val="20"/>
          <w:szCs w:val="20"/>
        </w:rPr>
      </w:pPr>
      <w:r>
        <w:rPr>
          <w:spacing w:val="2"/>
          <w:sz w:val="20"/>
          <w:szCs w:val="20"/>
        </w:rPr>
        <w:t>这种方式是将事务数据积累到一段时间后进行定期处理(如每日、每周、每月等)。</w:t>
      </w:r>
    </w:p>
    <w:p w14:paraId="3ED56C47">
      <w:pPr>
        <w:pStyle w:val="2"/>
        <w:spacing w:before="82" w:line="289" w:lineRule="auto"/>
        <w:ind w:right="276" w:firstLine="380"/>
        <w:rPr>
          <w:sz w:val="20"/>
          <w:szCs w:val="20"/>
        </w:rPr>
      </w:pPr>
      <w:r>
        <w:rPr>
          <w:spacing w:val="-1"/>
          <w:sz w:val="20"/>
          <w:szCs w:val="20"/>
        </w:rPr>
        <w:t>批处理方式的优点是：当有大量的事务数据需要处理时，使用批处理是一种较经济的方式，</w:t>
      </w:r>
      <w:r>
        <w:rPr>
          <w:spacing w:val="18"/>
          <w:sz w:val="20"/>
          <w:szCs w:val="20"/>
        </w:rPr>
        <w:t xml:space="preserve"> </w:t>
      </w:r>
      <w:r>
        <w:rPr>
          <w:spacing w:val="3"/>
          <w:sz w:val="20"/>
          <w:szCs w:val="20"/>
        </w:rPr>
        <w:t>因为它可以缩减因频繁修改数据库所需的费用。这种方式适合于在事务发生时无</w:t>
      </w:r>
      <w:r>
        <w:rPr>
          <w:spacing w:val="2"/>
          <w:sz w:val="20"/>
          <w:szCs w:val="20"/>
        </w:rPr>
        <w:t>须即时修改数</w:t>
      </w:r>
      <w:r>
        <w:rPr>
          <w:sz w:val="20"/>
          <w:szCs w:val="20"/>
        </w:rPr>
        <w:t xml:space="preserve"> </w:t>
      </w:r>
      <w:r>
        <w:rPr>
          <w:spacing w:val="3"/>
          <w:sz w:val="20"/>
          <w:szCs w:val="20"/>
        </w:rPr>
        <w:t>据库以及只需定期产生文件、报表的应用。例如，在每周发放工资的情况下，员工的考</w:t>
      </w:r>
      <w:r>
        <w:rPr>
          <w:spacing w:val="2"/>
          <w:sz w:val="20"/>
          <w:szCs w:val="20"/>
        </w:rPr>
        <w:t>勤数据</w:t>
      </w:r>
      <w:r>
        <w:rPr>
          <w:sz w:val="20"/>
          <w:szCs w:val="20"/>
        </w:rPr>
        <w:t xml:space="preserve"> </w:t>
      </w:r>
      <w:r>
        <w:rPr>
          <w:spacing w:val="-1"/>
          <w:sz w:val="20"/>
          <w:szCs w:val="20"/>
        </w:rPr>
        <w:t>及其他有关的工资数据就可以在收集成批后每周处理一次。</w:t>
      </w:r>
    </w:p>
    <w:p w14:paraId="609C6674">
      <w:pPr>
        <w:pStyle w:val="2"/>
        <w:spacing w:before="19" w:line="292" w:lineRule="auto"/>
        <w:ind w:right="310" w:firstLine="380"/>
        <w:rPr>
          <w:sz w:val="20"/>
          <w:szCs w:val="20"/>
        </w:rPr>
      </w:pPr>
      <w:r>
        <w:rPr>
          <w:spacing w:val="4"/>
          <w:sz w:val="20"/>
          <w:szCs w:val="20"/>
        </w:rPr>
        <w:t>批处理方式的缺点是：在定期事务处理的间隔期，主文件易过</w:t>
      </w:r>
      <w:r>
        <w:rPr>
          <w:spacing w:val="3"/>
          <w:sz w:val="20"/>
          <w:szCs w:val="20"/>
        </w:rPr>
        <w:t>时，而且也无法满足实时的</w:t>
      </w:r>
      <w:r>
        <w:rPr>
          <w:sz w:val="20"/>
          <w:szCs w:val="20"/>
        </w:rPr>
        <w:t xml:space="preserve"> </w:t>
      </w:r>
      <w:r>
        <w:rPr>
          <w:spacing w:val="-7"/>
          <w:sz w:val="20"/>
          <w:szCs w:val="20"/>
        </w:rPr>
        <w:t>查询需求。</w:t>
      </w:r>
    </w:p>
    <w:p w14:paraId="7BEBBBF1">
      <w:pPr>
        <w:pStyle w:val="2"/>
        <w:spacing w:before="20" w:line="214" w:lineRule="auto"/>
        <w:ind w:left="380"/>
        <w:rPr>
          <w:sz w:val="20"/>
          <w:szCs w:val="20"/>
        </w:rPr>
      </w:pPr>
      <w:r>
        <w:rPr>
          <w:sz w:val="20"/>
          <w:szCs w:val="20"/>
        </w:rPr>
        <w:t>●联机事务处理(OnLine Transaction Processing,OLT</w:t>
      </w:r>
      <w:r>
        <w:rPr>
          <w:spacing w:val="-1"/>
          <w:sz w:val="20"/>
          <w:szCs w:val="20"/>
        </w:rPr>
        <w:t>P)。</w:t>
      </w:r>
    </w:p>
    <w:p w14:paraId="5A35D288">
      <w:pPr>
        <w:pStyle w:val="2"/>
        <w:spacing w:before="62" w:line="281" w:lineRule="auto"/>
        <w:ind w:right="315" w:firstLine="380"/>
        <w:rPr>
          <w:sz w:val="20"/>
          <w:szCs w:val="20"/>
        </w:rPr>
      </w:pPr>
      <w:r>
        <w:rPr>
          <w:spacing w:val="3"/>
          <w:sz w:val="20"/>
          <w:szCs w:val="20"/>
        </w:rPr>
        <w:t>这种方式又称为实时处理，即能对所发生的事务数据进行立即处理，并将处理结果提供给</w:t>
      </w:r>
      <w:r>
        <w:rPr>
          <w:sz w:val="20"/>
          <w:szCs w:val="20"/>
        </w:rPr>
        <w:t xml:space="preserve"> </w:t>
      </w:r>
      <w:r>
        <w:rPr>
          <w:spacing w:val="3"/>
          <w:sz w:val="20"/>
          <w:szCs w:val="20"/>
        </w:rPr>
        <w:t>终端用户。事务数据一旦产生，则无须积累成批，也无须经过分类，就直接从</w:t>
      </w:r>
      <w:r>
        <w:rPr>
          <w:spacing w:val="2"/>
          <w:sz w:val="20"/>
          <w:szCs w:val="20"/>
        </w:rPr>
        <w:t>联机的终端上输</w:t>
      </w:r>
      <w:r>
        <w:rPr>
          <w:sz w:val="20"/>
          <w:szCs w:val="20"/>
        </w:rPr>
        <w:t xml:space="preserve"> </w:t>
      </w:r>
      <w:r>
        <w:rPr>
          <w:spacing w:val="3"/>
          <w:sz w:val="20"/>
          <w:szCs w:val="20"/>
        </w:rPr>
        <w:t>入到计算机系统中并进行处理。因此，这些事务数据总是联机存储在存取文件中，有</w:t>
      </w:r>
      <w:r>
        <w:rPr>
          <w:spacing w:val="2"/>
          <w:sz w:val="20"/>
          <w:szCs w:val="20"/>
        </w:rPr>
        <w:t>关文件及</w:t>
      </w:r>
      <w:r>
        <w:rPr>
          <w:sz w:val="20"/>
          <w:szCs w:val="20"/>
        </w:rPr>
        <w:t xml:space="preserve"> </w:t>
      </w:r>
      <w:r>
        <w:rPr>
          <w:spacing w:val="-1"/>
          <w:sz w:val="20"/>
          <w:szCs w:val="20"/>
        </w:rPr>
        <w:t>数据库也立刻得到更新，并能即时响应终端用户的查询需求。</w:t>
      </w:r>
      <w:r>
        <w:rPr>
          <w:rFonts w:ascii="Times New Roman" w:hAnsi="Times New Roman" w:eastAsia="Times New Roman" w:cs="Times New Roman"/>
          <w:spacing w:val="-1"/>
          <w:sz w:val="20"/>
          <w:szCs w:val="20"/>
        </w:rPr>
        <w:t xml:space="preserve">OLTP </w:t>
      </w:r>
      <w:r>
        <w:rPr>
          <w:spacing w:val="-1"/>
          <w:sz w:val="20"/>
          <w:szCs w:val="20"/>
        </w:rPr>
        <w:t>方式主要依赖网络来实现事</w:t>
      </w:r>
      <w:r>
        <w:rPr>
          <w:spacing w:val="12"/>
          <w:sz w:val="20"/>
          <w:szCs w:val="20"/>
        </w:rPr>
        <w:t xml:space="preserve"> </w:t>
      </w:r>
      <w:r>
        <w:rPr>
          <w:spacing w:val="-2"/>
          <w:sz w:val="20"/>
          <w:szCs w:val="20"/>
        </w:rPr>
        <w:t>务终端、工作站和其他计算机系统之间的通信。</w:t>
      </w:r>
    </w:p>
    <w:p w14:paraId="19BFC8A9">
      <w:pPr>
        <w:pStyle w:val="2"/>
        <w:spacing w:before="50" w:line="277" w:lineRule="auto"/>
        <w:ind w:right="315" w:firstLine="380"/>
        <w:rPr>
          <w:sz w:val="20"/>
          <w:szCs w:val="20"/>
        </w:rPr>
      </w:pPr>
      <w:r>
        <w:rPr>
          <w:spacing w:val="4"/>
          <w:sz w:val="20"/>
          <w:szCs w:val="20"/>
        </w:rPr>
        <w:t>某些实时处理是不能被中断的，如证券的股票</w:t>
      </w:r>
      <w:r>
        <w:rPr>
          <w:spacing w:val="3"/>
          <w:sz w:val="20"/>
          <w:szCs w:val="20"/>
        </w:rPr>
        <w:t>交易、航空公司的客户订单等。为保证在硬</w:t>
      </w:r>
      <w:r>
        <w:rPr>
          <w:sz w:val="20"/>
          <w:szCs w:val="20"/>
        </w:rPr>
        <w:t xml:space="preserve"> </w:t>
      </w:r>
      <w:r>
        <w:rPr>
          <w:spacing w:val="3"/>
          <w:sz w:val="20"/>
          <w:szCs w:val="20"/>
        </w:rPr>
        <w:t>件系统运行出现故障时这些实时处理仍能继续进行，通常要在</w:t>
      </w:r>
      <w:r>
        <w:rPr>
          <w:rFonts w:ascii="Times New Roman" w:hAnsi="Times New Roman" w:eastAsia="Times New Roman" w:cs="Times New Roman"/>
          <w:sz w:val="20"/>
          <w:szCs w:val="20"/>
        </w:rPr>
        <w:t>TPS</w:t>
      </w:r>
      <w:r>
        <w:rPr>
          <w:rFonts w:ascii="Times New Roman" w:hAnsi="Times New Roman" w:eastAsia="Times New Roman" w:cs="Times New Roman"/>
          <w:spacing w:val="3"/>
          <w:sz w:val="20"/>
          <w:szCs w:val="20"/>
        </w:rPr>
        <w:t xml:space="preserve"> </w:t>
      </w:r>
      <w:r>
        <w:rPr>
          <w:spacing w:val="3"/>
          <w:sz w:val="20"/>
          <w:szCs w:val="20"/>
        </w:rPr>
        <w:t>中采用有关的容错处理。常</w:t>
      </w:r>
      <w:r>
        <w:rPr>
          <w:spacing w:val="5"/>
          <w:sz w:val="20"/>
          <w:szCs w:val="20"/>
        </w:rPr>
        <w:t xml:space="preserve"> </w:t>
      </w:r>
      <w:r>
        <w:rPr>
          <w:sz w:val="20"/>
          <w:szCs w:val="20"/>
        </w:rPr>
        <w:t>用的容错技术有双</w:t>
      </w:r>
      <w:r>
        <w:rPr>
          <w:rFonts w:ascii="Times New Roman" w:hAnsi="Times New Roman" w:eastAsia="Times New Roman" w:cs="Times New Roman"/>
          <w:sz w:val="20"/>
          <w:szCs w:val="20"/>
        </w:rPr>
        <w:t>CPU</w:t>
      </w:r>
      <w:r>
        <w:rPr>
          <w:rFonts w:ascii="Times New Roman" w:hAnsi="Times New Roman" w:eastAsia="Times New Roman" w:cs="Times New Roman"/>
          <w:spacing w:val="19"/>
          <w:sz w:val="20"/>
          <w:szCs w:val="20"/>
        </w:rPr>
        <w:t xml:space="preserve"> </w:t>
      </w:r>
      <w:r>
        <w:rPr>
          <w:sz w:val="20"/>
          <w:szCs w:val="20"/>
        </w:rPr>
        <w:t>的计算机、后备机、</w:t>
      </w:r>
      <w:r>
        <w:rPr>
          <w:spacing w:val="-1"/>
          <w:sz w:val="20"/>
          <w:szCs w:val="20"/>
        </w:rPr>
        <w:t>保存冗余数据等。</w:t>
      </w:r>
    </w:p>
    <w:p w14:paraId="2F37C292">
      <w:pPr>
        <w:pStyle w:val="2"/>
        <w:spacing w:before="38" w:line="272" w:lineRule="auto"/>
        <w:ind w:right="310" w:firstLine="380"/>
        <w:rPr>
          <w:sz w:val="20"/>
          <w:szCs w:val="20"/>
        </w:rPr>
      </w:pPr>
      <w:r>
        <w:rPr>
          <w:rFonts w:ascii="Times New Roman" w:hAnsi="Times New Roman" w:eastAsia="Times New Roman" w:cs="Times New Roman"/>
          <w:sz w:val="20"/>
          <w:szCs w:val="20"/>
        </w:rPr>
        <w:t>OLTP</w:t>
      </w:r>
      <w:r>
        <w:rPr>
          <w:rFonts w:ascii="Times New Roman" w:hAnsi="Times New Roman" w:eastAsia="Times New Roman" w:cs="Times New Roman"/>
          <w:spacing w:val="-13"/>
          <w:sz w:val="20"/>
          <w:szCs w:val="20"/>
        </w:rPr>
        <w:t xml:space="preserve"> </w:t>
      </w:r>
      <w:r>
        <w:rPr>
          <w:sz w:val="20"/>
          <w:szCs w:val="20"/>
        </w:rPr>
        <w:t xml:space="preserve">方式的优点是，当事务数据产生时能即时更新有关的文件和数据库，并能立刻响应终 </w:t>
      </w:r>
      <w:r>
        <w:rPr>
          <w:spacing w:val="3"/>
          <w:sz w:val="20"/>
          <w:szCs w:val="20"/>
        </w:rPr>
        <w:t>端用户的查询请求。其缺点是成本高，由于是对数据库进行联机直接存取，为</w:t>
      </w:r>
      <w:r>
        <w:rPr>
          <w:spacing w:val="2"/>
          <w:sz w:val="20"/>
          <w:szCs w:val="20"/>
        </w:rPr>
        <w:t>防止数据被非法</w:t>
      </w:r>
      <w:r>
        <w:rPr>
          <w:sz w:val="20"/>
          <w:szCs w:val="20"/>
        </w:rPr>
        <w:t xml:space="preserve"> </w:t>
      </w:r>
      <w:r>
        <w:rPr>
          <w:spacing w:val="3"/>
          <w:sz w:val="20"/>
          <w:szCs w:val="20"/>
        </w:rPr>
        <w:t>存取或被偶然破坏，需要有一定的授权机制。同时，为保证实时处理不被中断，要采用有关的</w:t>
      </w:r>
      <w:r>
        <w:rPr>
          <w:spacing w:val="1"/>
          <w:sz w:val="20"/>
          <w:szCs w:val="20"/>
        </w:rPr>
        <w:t xml:space="preserve"> </w:t>
      </w:r>
      <w:r>
        <w:rPr>
          <w:spacing w:val="3"/>
          <w:sz w:val="20"/>
          <w:szCs w:val="20"/>
        </w:rPr>
        <w:t>容错技术，这也需要额外的开支。但是，在某些情况下，以费用换取速度、效</w:t>
      </w:r>
      <w:r>
        <w:rPr>
          <w:spacing w:val="2"/>
          <w:sz w:val="20"/>
          <w:szCs w:val="20"/>
        </w:rPr>
        <w:t>率和更优质的服</w:t>
      </w:r>
      <w:r>
        <w:rPr>
          <w:sz w:val="20"/>
          <w:szCs w:val="20"/>
        </w:rPr>
        <w:t xml:space="preserve"> </w:t>
      </w:r>
      <w:r>
        <w:rPr>
          <w:spacing w:val="-6"/>
          <w:sz w:val="20"/>
          <w:szCs w:val="20"/>
        </w:rPr>
        <w:t>务是值得的。</w:t>
      </w:r>
    </w:p>
    <w:p w14:paraId="48E3778D">
      <w:pPr>
        <w:pStyle w:val="2"/>
        <w:spacing w:before="69" w:line="219" w:lineRule="auto"/>
        <w:ind w:left="380"/>
        <w:rPr>
          <w:sz w:val="20"/>
          <w:szCs w:val="20"/>
        </w:rPr>
      </w:pPr>
      <w:r>
        <w:rPr>
          <w:spacing w:val="7"/>
          <w:sz w:val="20"/>
          <w:szCs w:val="20"/>
        </w:rPr>
        <w:t>(3)数据库的维护。</w:t>
      </w:r>
    </w:p>
    <w:p w14:paraId="5371D1DA">
      <w:pPr>
        <w:pStyle w:val="2"/>
        <w:spacing w:before="61" w:line="280" w:lineRule="auto"/>
        <w:ind w:right="296" w:firstLine="380"/>
        <w:rPr>
          <w:sz w:val="20"/>
          <w:szCs w:val="20"/>
        </w:rPr>
      </w:pPr>
      <w:r>
        <w:rPr>
          <w:spacing w:val="4"/>
          <w:sz w:val="20"/>
          <w:szCs w:val="20"/>
        </w:rPr>
        <w:t>一个组织的数据库通过</w:t>
      </w:r>
      <w:r>
        <w:rPr>
          <w:rFonts w:ascii="Times New Roman" w:hAnsi="Times New Roman" w:eastAsia="Times New Roman" w:cs="Times New Roman"/>
          <w:sz w:val="20"/>
          <w:szCs w:val="20"/>
        </w:rPr>
        <w:t>TPS</w:t>
      </w:r>
      <w:r>
        <w:rPr>
          <w:rFonts w:ascii="Times New Roman" w:hAnsi="Times New Roman" w:eastAsia="Times New Roman" w:cs="Times New Roman"/>
          <w:spacing w:val="4"/>
          <w:sz w:val="20"/>
          <w:szCs w:val="20"/>
        </w:rPr>
        <w:t xml:space="preserve"> </w:t>
      </w:r>
      <w:r>
        <w:rPr>
          <w:spacing w:val="4"/>
          <w:sz w:val="20"/>
          <w:szCs w:val="20"/>
        </w:rPr>
        <w:t>来更新，以确保数据库中的数据能及时、</w:t>
      </w:r>
      <w:r>
        <w:rPr>
          <w:spacing w:val="3"/>
          <w:sz w:val="20"/>
          <w:szCs w:val="20"/>
        </w:rPr>
        <w:t>正确地反映当前最新</w:t>
      </w:r>
      <w:r>
        <w:rPr>
          <w:sz w:val="20"/>
          <w:szCs w:val="20"/>
        </w:rPr>
        <w:t xml:space="preserve"> </w:t>
      </w:r>
      <w:r>
        <w:rPr>
          <w:spacing w:val="4"/>
          <w:sz w:val="20"/>
          <w:szCs w:val="20"/>
        </w:rPr>
        <w:t>的经营状况，因此数据库维护是</w:t>
      </w:r>
      <w:r>
        <w:rPr>
          <w:rFonts w:ascii="Times New Roman" w:hAnsi="Times New Roman" w:eastAsia="Times New Roman" w:cs="Times New Roman"/>
          <w:sz w:val="20"/>
          <w:szCs w:val="20"/>
        </w:rPr>
        <w:t>TPS</w:t>
      </w:r>
      <w:r>
        <w:rPr>
          <w:rFonts w:ascii="Times New Roman" w:hAnsi="Times New Roman" w:eastAsia="Times New Roman" w:cs="Times New Roman"/>
          <w:spacing w:val="4"/>
          <w:sz w:val="20"/>
          <w:szCs w:val="20"/>
        </w:rPr>
        <w:t xml:space="preserve"> </w:t>
      </w:r>
      <w:r>
        <w:rPr>
          <w:spacing w:val="4"/>
          <w:sz w:val="20"/>
          <w:szCs w:val="20"/>
        </w:rPr>
        <w:t>的一项主要功能。这</w:t>
      </w:r>
      <w:r>
        <w:rPr>
          <w:spacing w:val="3"/>
          <w:sz w:val="20"/>
          <w:szCs w:val="20"/>
        </w:rPr>
        <w:t>些数据库是一个企业的数据资源，能</w:t>
      </w:r>
      <w:r>
        <w:rPr>
          <w:sz w:val="20"/>
          <w:szCs w:val="20"/>
        </w:rPr>
        <w:t xml:space="preserve"> </w:t>
      </w:r>
      <w:r>
        <w:rPr>
          <w:spacing w:val="3"/>
          <w:sz w:val="20"/>
          <w:szCs w:val="20"/>
        </w:rPr>
        <w:t>为支持中、高层管理人员决策的管理信息系统、决策支持系统和专家系统等提供有用的基础信</w:t>
      </w:r>
      <w:r>
        <w:rPr>
          <w:sz w:val="20"/>
          <w:szCs w:val="20"/>
        </w:rPr>
        <w:t xml:space="preserve"> </w:t>
      </w:r>
      <w:r>
        <w:rPr>
          <w:spacing w:val="-2"/>
          <w:sz w:val="20"/>
          <w:szCs w:val="20"/>
        </w:rPr>
        <w:t>息。对数据库的访问形式分为四种：检索、修改、存入和删除。</w:t>
      </w:r>
    </w:p>
    <w:p w14:paraId="46A3877D">
      <w:pPr>
        <w:pStyle w:val="2"/>
        <w:spacing w:before="29" w:line="219" w:lineRule="auto"/>
        <w:ind w:left="380"/>
        <w:rPr>
          <w:sz w:val="20"/>
          <w:szCs w:val="20"/>
        </w:rPr>
      </w:pPr>
      <w:r>
        <w:rPr>
          <w:spacing w:val="7"/>
          <w:sz w:val="20"/>
          <w:szCs w:val="20"/>
        </w:rPr>
        <w:t>(4)文件报表的产生。</w:t>
      </w:r>
    </w:p>
    <w:p w14:paraId="5730B7BF">
      <w:pPr>
        <w:pStyle w:val="2"/>
        <w:spacing w:before="81" w:line="219" w:lineRule="auto"/>
        <w:ind w:left="380"/>
        <w:rPr>
          <w:sz w:val="20"/>
          <w:szCs w:val="20"/>
        </w:rPr>
      </w:pPr>
      <w:r>
        <w:rPr>
          <w:rFonts w:ascii="Times New Roman" w:hAnsi="Times New Roman" w:eastAsia="Times New Roman" w:cs="Times New Roman"/>
          <w:spacing w:val="-1"/>
          <w:sz w:val="20"/>
          <w:szCs w:val="20"/>
        </w:rPr>
        <w:t xml:space="preserve">TPS </w:t>
      </w:r>
      <w:r>
        <w:rPr>
          <w:spacing w:val="-1"/>
          <w:sz w:val="20"/>
          <w:szCs w:val="20"/>
        </w:rPr>
        <w:t>的输出就是为终端用户提供所需的有关文件和报表。</w:t>
      </w:r>
    </w:p>
    <w:p w14:paraId="1D67D94A">
      <w:pPr>
        <w:pStyle w:val="2"/>
        <w:spacing w:before="44" w:line="286" w:lineRule="auto"/>
        <w:ind w:right="226" w:firstLine="380"/>
        <w:rPr>
          <w:sz w:val="20"/>
          <w:szCs w:val="20"/>
        </w:rPr>
      </w:pPr>
      <w:r>
        <w:rPr>
          <w:sz w:val="20"/>
          <w:szCs w:val="20"/>
        </w:rPr>
        <w:t>TPS</w:t>
      </w:r>
      <w:r>
        <w:rPr>
          <w:spacing w:val="4"/>
          <w:sz w:val="20"/>
          <w:szCs w:val="20"/>
        </w:rPr>
        <w:t xml:space="preserve"> 还产生一些其他类型的报表，用于记录和监控某段时间内业务发生</w:t>
      </w:r>
      <w:r>
        <w:rPr>
          <w:spacing w:val="3"/>
          <w:sz w:val="20"/>
          <w:szCs w:val="20"/>
        </w:rPr>
        <w:t>或处理的结果，它</w:t>
      </w:r>
      <w:r>
        <w:rPr>
          <w:sz w:val="20"/>
          <w:szCs w:val="20"/>
        </w:rPr>
        <w:t xml:space="preserve">  </w:t>
      </w:r>
      <w:r>
        <w:rPr>
          <w:spacing w:val="10"/>
          <w:sz w:val="20"/>
          <w:szCs w:val="20"/>
        </w:rPr>
        <w:t>们并不是因管理的需要而特别编制的，例如流水账(即业务日志)等。因此</w:t>
      </w:r>
      <w:r>
        <w:rPr>
          <w:rFonts w:ascii="Times New Roman" w:hAnsi="Times New Roman" w:eastAsia="Times New Roman" w:cs="Times New Roman"/>
          <w:sz w:val="20"/>
          <w:szCs w:val="20"/>
        </w:rPr>
        <w:t>TPS</w:t>
      </w:r>
      <w:r>
        <w:rPr>
          <w:rFonts w:ascii="Times New Roman" w:hAnsi="Times New Roman" w:eastAsia="Times New Roman" w:cs="Times New Roman"/>
          <w:spacing w:val="10"/>
          <w:sz w:val="20"/>
          <w:szCs w:val="20"/>
        </w:rPr>
        <w:t xml:space="preserve"> </w:t>
      </w:r>
      <w:r>
        <w:rPr>
          <w:spacing w:val="10"/>
          <w:sz w:val="20"/>
          <w:szCs w:val="20"/>
        </w:rPr>
        <w:t>产生的文件、</w:t>
      </w:r>
      <w:r>
        <w:rPr>
          <w:spacing w:val="14"/>
          <w:sz w:val="20"/>
          <w:szCs w:val="20"/>
        </w:rPr>
        <w:t xml:space="preserve"> </w:t>
      </w:r>
      <w:r>
        <w:rPr>
          <w:spacing w:val="3"/>
          <w:sz w:val="20"/>
          <w:szCs w:val="20"/>
        </w:rPr>
        <w:t>报表是原始数据经简单地分类、汇总之后形成的，几乎未经任何分析和概括，无法为中、高层</w:t>
      </w:r>
    </w:p>
    <w:p w14:paraId="38842D68">
      <w:pPr>
        <w:spacing w:line="286" w:lineRule="auto"/>
        <w:rPr>
          <w:sz w:val="20"/>
          <w:szCs w:val="20"/>
        </w:rPr>
        <w:sectPr>
          <w:pgSz w:w="10290" w:h="13320"/>
          <w:pgMar w:top="370" w:right="553" w:bottom="400" w:left="1100" w:header="0" w:footer="0" w:gutter="0"/>
          <w:cols w:space="720" w:num="1"/>
        </w:sectPr>
      </w:pPr>
    </w:p>
    <w:p w14:paraId="0D280CEF">
      <w:pPr>
        <w:pStyle w:val="2"/>
        <w:spacing w:before="87" w:line="219" w:lineRule="auto"/>
        <w:rPr>
          <w:sz w:val="18"/>
          <w:szCs w:val="18"/>
        </w:rPr>
      </w:pPr>
      <w:r>
        <w:rPr>
          <w:rFonts w:ascii="Times New Roman" w:hAnsi="Times New Roman" w:eastAsia="Times New Roman" w:cs="Times New Roman"/>
          <w:spacing w:val="9"/>
          <w:position w:val="1"/>
          <w:sz w:val="18"/>
          <w:szCs w:val="18"/>
        </w:rPr>
        <w:t>160</w:t>
      </w:r>
      <w:r>
        <w:rPr>
          <w:rFonts w:ascii="Times New Roman" w:hAnsi="Times New Roman" w:eastAsia="Times New Roman" w:cs="Times New Roman"/>
          <w:spacing w:val="3"/>
          <w:position w:val="1"/>
          <w:sz w:val="18"/>
          <w:szCs w:val="18"/>
        </w:rPr>
        <w:t xml:space="preserve">               </w:t>
      </w:r>
      <w:r>
        <w:rPr>
          <w:spacing w:val="9"/>
          <w:sz w:val="18"/>
          <w:szCs w:val="18"/>
        </w:rPr>
        <w:t>信息系统监理师教程(第2版)</w:t>
      </w:r>
    </w:p>
    <w:p w14:paraId="49637A3E">
      <w:pPr>
        <w:spacing w:line="344" w:lineRule="auto"/>
        <w:rPr>
          <w:rFonts w:ascii="Arial"/>
          <w:sz w:val="21"/>
        </w:rPr>
      </w:pPr>
    </w:p>
    <w:p w14:paraId="4B30EA37">
      <w:pPr>
        <w:pStyle w:val="2"/>
        <w:spacing w:before="59" w:line="219" w:lineRule="auto"/>
        <w:ind w:left="349"/>
        <w:rPr>
          <w:sz w:val="18"/>
          <w:szCs w:val="18"/>
        </w:rPr>
      </w:pPr>
      <w:r>
        <w:rPr>
          <w:spacing w:val="15"/>
          <w:sz w:val="18"/>
          <w:szCs w:val="18"/>
        </w:rPr>
        <w:t>管理人员的决策提供直接支持。</w:t>
      </w:r>
    </w:p>
    <w:p w14:paraId="47A3EE74">
      <w:pPr>
        <w:pStyle w:val="2"/>
        <w:spacing w:before="118" w:line="221" w:lineRule="auto"/>
        <w:ind w:left="749"/>
        <w:rPr>
          <w:sz w:val="18"/>
          <w:szCs w:val="18"/>
        </w:rPr>
      </w:pPr>
      <w:r>
        <w:rPr>
          <w:spacing w:val="22"/>
          <w:sz w:val="18"/>
          <w:szCs w:val="18"/>
        </w:rPr>
        <w:t>(5)查询处理。</w:t>
      </w:r>
    </w:p>
    <w:p w14:paraId="65CE1308">
      <w:pPr>
        <w:pStyle w:val="2"/>
        <w:spacing w:before="81" w:line="322" w:lineRule="auto"/>
        <w:ind w:left="349" w:firstLine="399"/>
        <w:rPr>
          <w:sz w:val="18"/>
          <w:szCs w:val="18"/>
        </w:rPr>
      </w:pPr>
      <w:r>
        <w:rPr>
          <w:rFonts w:ascii="Times New Roman" w:hAnsi="Times New Roman" w:eastAsia="Times New Roman" w:cs="Times New Roman"/>
          <w:sz w:val="18"/>
          <w:szCs w:val="18"/>
        </w:rPr>
        <w:t>TPS</w:t>
      </w:r>
      <w:r>
        <w:rPr>
          <w:rFonts w:ascii="Times New Roman" w:hAnsi="Times New Roman" w:eastAsia="Times New Roman" w:cs="Times New Roman"/>
          <w:spacing w:val="23"/>
          <w:sz w:val="18"/>
          <w:szCs w:val="18"/>
        </w:rPr>
        <w:t xml:space="preserve"> </w:t>
      </w:r>
      <w:r>
        <w:rPr>
          <w:spacing w:val="24"/>
          <w:sz w:val="18"/>
          <w:szCs w:val="18"/>
        </w:rPr>
        <w:t>支持终端用户的批次查询或联机实时查询，典型的查询方式是用户通过屏幕显示获得</w:t>
      </w:r>
      <w:r>
        <w:rPr>
          <w:sz w:val="18"/>
          <w:szCs w:val="18"/>
        </w:rPr>
        <w:t xml:space="preserve"> </w:t>
      </w:r>
      <w:r>
        <w:rPr>
          <w:spacing w:val="23"/>
          <w:sz w:val="18"/>
          <w:szCs w:val="18"/>
        </w:rPr>
        <w:t>查询结果，例如，销售人员可查询客户的合同情况，读者可查询图书馆的借书情况等。这种查</w:t>
      </w:r>
      <w:r>
        <w:rPr>
          <w:spacing w:val="5"/>
          <w:sz w:val="18"/>
          <w:szCs w:val="18"/>
        </w:rPr>
        <w:t xml:space="preserve"> </w:t>
      </w:r>
      <w:r>
        <w:rPr>
          <w:spacing w:val="23"/>
          <w:sz w:val="18"/>
          <w:szCs w:val="18"/>
        </w:rPr>
        <w:t>询实际上是对数据库进行有条件的检索，因此，为保证数据的安全性和保密性，必须对不同级</w:t>
      </w:r>
      <w:r>
        <w:rPr>
          <w:spacing w:val="7"/>
          <w:sz w:val="18"/>
          <w:szCs w:val="18"/>
        </w:rPr>
        <w:t xml:space="preserve"> </w:t>
      </w:r>
      <w:r>
        <w:rPr>
          <w:spacing w:val="15"/>
          <w:sz w:val="18"/>
          <w:szCs w:val="18"/>
        </w:rPr>
        <w:t>别的用户授予不同的访问权限。</w:t>
      </w:r>
    </w:p>
    <w:p w14:paraId="7EA8EBF1">
      <w:pPr>
        <w:spacing w:before="85" w:line="212" w:lineRule="auto"/>
        <w:ind w:left="749"/>
        <w:rPr>
          <w:rFonts w:ascii="楷体" w:hAnsi="楷体" w:eastAsia="楷体" w:cs="楷体"/>
          <w:sz w:val="18"/>
          <w:szCs w:val="18"/>
        </w:rPr>
      </w:pPr>
      <w:bookmarkStart w:id="557" w:name="bookmark543"/>
      <w:bookmarkEnd w:id="557"/>
      <w:r>
        <w:rPr>
          <w:rFonts w:ascii="Times New Roman" w:hAnsi="Times New Roman" w:eastAsia="Times New Roman" w:cs="Times New Roman"/>
          <w:spacing w:val="10"/>
          <w:sz w:val="18"/>
          <w:szCs w:val="18"/>
        </w:rPr>
        <w:t>2)</w:t>
      </w:r>
      <w:r>
        <w:rPr>
          <w:rFonts w:ascii="Times New Roman" w:hAnsi="Times New Roman" w:eastAsia="Times New Roman" w:cs="Times New Roman"/>
          <w:sz w:val="18"/>
          <w:szCs w:val="18"/>
        </w:rPr>
        <w:t>TPS</w:t>
      </w:r>
      <w:r>
        <w:rPr>
          <w:rFonts w:ascii="Times New Roman" w:hAnsi="Times New Roman" w:eastAsia="Times New Roman" w:cs="Times New Roman"/>
          <w:spacing w:val="10"/>
          <w:sz w:val="18"/>
          <w:szCs w:val="18"/>
        </w:rPr>
        <w:t xml:space="preserve">    </w:t>
      </w:r>
      <w:r>
        <w:rPr>
          <w:rFonts w:ascii="楷体" w:hAnsi="楷体" w:eastAsia="楷体" w:cs="楷体"/>
          <w:spacing w:val="10"/>
          <w:sz w:val="18"/>
          <w:szCs w:val="18"/>
        </w:rPr>
        <w:t>的特点</w:t>
      </w:r>
    </w:p>
    <w:p w14:paraId="4A6E7116">
      <w:pPr>
        <w:pStyle w:val="2"/>
        <w:spacing w:before="92" w:line="324" w:lineRule="auto"/>
        <w:ind w:left="349" w:right="3" w:firstLine="399"/>
        <w:rPr>
          <w:sz w:val="18"/>
          <w:szCs w:val="18"/>
        </w:rPr>
      </w:pPr>
      <w:r>
        <w:rPr>
          <w:rFonts w:ascii="Times New Roman" w:hAnsi="Times New Roman" w:eastAsia="Times New Roman" w:cs="Times New Roman"/>
          <w:sz w:val="18"/>
          <w:szCs w:val="18"/>
        </w:rPr>
        <w:t>TPS</w:t>
      </w:r>
      <w:r>
        <w:rPr>
          <w:rFonts w:ascii="Times New Roman" w:hAnsi="Times New Roman" w:eastAsia="Times New Roman" w:cs="Times New Roman"/>
          <w:spacing w:val="43"/>
          <w:sz w:val="18"/>
          <w:szCs w:val="18"/>
        </w:rPr>
        <w:t xml:space="preserve"> </w:t>
      </w:r>
      <w:r>
        <w:rPr>
          <w:spacing w:val="28"/>
          <w:sz w:val="18"/>
          <w:szCs w:val="18"/>
        </w:rPr>
        <w:t>是信息应用系统发展的最初级形式，但这并不意味着</w:t>
      </w:r>
      <w:r>
        <w:rPr>
          <w:rFonts w:ascii="Times New Roman" w:hAnsi="Times New Roman" w:eastAsia="Times New Roman" w:cs="Times New Roman"/>
          <w:sz w:val="18"/>
          <w:szCs w:val="18"/>
        </w:rPr>
        <w:t>TPS</w:t>
      </w:r>
      <w:r>
        <w:rPr>
          <w:rFonts w:ascii="Times New Roman" w:hAnsi="Times New Roman" w:eastAsia="Times New Roman" w:cs="Times New Roman"/>
          <w:spacing w:val="28"/>
          <w:sz w:val="18"/>
          <w:szCs w:val="18"/>
        </w:rPr>
        <w:t xml:space="preserve">  </w:t>
      </w:r>
      <w:r>
        <w:rPr>
          <w:spacing w:val="28"/>
          <w:sz w:val="18"/>
          <w:szCs w:val="18"/>
        </w:rPr>
        <w:t>不重要或者不需要。实际</w:t>
      </w:r>
      <w:r>
        <w:rPr>
          <w:sz w:val="18"/>
          <w:szCs w:val="18"/>
        </w:rPr>
        <w:t xml:space="preserve"> </w:t>
      </w:r>
      <w:r>
        <w:rPr>
          <w:spacing w:val="21"/>
          <w:sz w:val="18"/>
          <w:szCs w:val="18"/>
        </w:rPr>
        <w:t>上</w:t>
      </w:r>
      <w:r>
        <w:rPr>
          <w:spacing w:val="-17"/>
          <w:sz w:val="18"/>
          <w:szCs w:val="18"/>
        </w:rPr>
        <w:t xml:space="preserve"> </w:t>
      </w:r>
      <w:r>
        <w:rPr>
          <w:spacing w:val="21"/>
          <w:sz w:val="18"/>
          <w:szCs w:val="18"/>
        </w:rPr>
        <w:t>，</w:t>
      </w:r>
      <w:r>
        <w:rPr>
          <w:sz w:val="18"/>
          <w:szCs w:val="18"/>
        </w:rPr>
        <w:t>TPS</w:t>
      </w:r>
      <w:r>
        <w:rPr>
          <w:spacing w:val="54"/>
          <w:w w:val="101"/>
          <w:sz w:val="18"/>
          <w:szCs w:val="18"/>
        </w:rPr>
        <w:t xml:space="preserve"> </w:t>
      </w:r>
      <w:r>
        <w:rPr>
          <w:spacing w:val="21"/>
          <w:sz w:val="18"/>
          <w:szCs w:val="18"/>
        </w:rPr>
        <w:t>是其他类型信息应用系统的信息产生器，企业在推进全面信息化的过程中往往是从开</w:t>
      </w:r>
      <w:r>
        <w:rPr>
          <w:sz w:val="18"/>
          <w:szCs w:val="18"/>
        </w:rPr>
        <w:t xml:space="preserve"> </w:t>
      </w:r>
      <w:r>
        <w:rPr>
          <w:spacing w:val="25"/>
          <w:sz w:val="18"/>
          <w:szCs w:val="18"/>
        </w:rPr>
        <w:t>发</w:t>
      </w:r>
      <w:r>
        <w:rPr>
          <w:spacing w:val="-46"/>
          <w:sz w:val="18"/>
          <w:szCs w:val="18"/>
        </w:rPr>
        <w:t xml:space="preserve"> </w:t>
      </w:r>
      <w:r>
        <w:rPr>
          <w:rFonts w:ascii="Times New Roman" w:hAnsi="Times New Roman" w:eastAsia="Times New Roman" w:cs="Times New Roman"/>
          <w:sz w:val="18"/>
          <w:szCs w:val="18"/>
        </w:rPr>
        <w:t>TPS</w:t>
      </w:r>
      <w:r>
        <w:rPr>
          <w:rFonts w:ascii="Times New Roman" w:hAnsi="Times New Roman" w:eastAsia="Times New Roman" w:cs="Times New Roman"/>
          <w:spacing w:val="2"/>
          <w:sz w:val="18"/>
          <w:szCs w:val="18"/>
        </w:rPr>
        <w:t xml:space="preserve">  </w:t>
      </w:r>
      <w:r>
        <w:rPr>
          <w:spacing w:val="25"/>
          <w:sz w:val="18"/>
          <w:szCs w:val="18"/>
        </w:rPr>
        <w:t>入手的。由于</w:t>
      </w:r>
      <w:r>
        <w:rPr>
          <w:rFonts w:ascii="Times New Roman" w:hAnsi="Times New Roman" w:eastAsia="Times New Roman" w:cs="Times New Roman"/>
          <w:sz w:val="18"/>
          <w:szCs w:val="18"/>
        </w:rPr>
        <w:t>TPS</w:t>
      </w:r>
      <w:r>
        <w:rPr>
          <w:rFonts w:ascii="Times New Roman" w:hAnsi="Times New Roman" w:eastAsia="Times New Roman" w:cs="Times New Roman"/>
          <w:spacing w:val="3"/>
          <w:sz w:val="18"/>
          <w:szCs w:val="18"/>
        </w:rPr>
        <w:t xml:space="preserve">  </w:t>
      </w:r>
      <w:r>
        <w:rPr>
          <w:spacing w:val="25"/>
          <w:sz w:val="18"/>
          <w:szCs w:val="18"/>
        </w:rPr>
        <w:t>支持的是企业的日常业务管理，</w:t>
      </w:r>
      <w:r>
        <w:rPr>
          <w:spacing w:val="-39"/>
          <w:sz w:val="18"/>
          <w:szCs w:val="18"/>
        </w:rPr>
        <w:t xml:space="preserve"> </w:t>
      </w:r>
      <w:r>
        <w:rPr>
          <w:rFonts w:ascii="Times New Roman" w:hAnsi="Times New Roman" w:eastAsia="Times New Roman" w:cs="Times New Roman"/>
          <w:sz w:val="18"/>
          <w:szCs w:val="18"/>
        </w:rPr>
        <w:t>TPS</w:t>
      </w:r>
      <w:r>
        <w:rPr>
          <w:rFonts w:ascii="Times New Roman" w:hAnsi="Times New Roman" w:eastAsia="Times New Roman" w:cs="Times New Roman"/>
          <w:spacing w:val="2"/>
          <w:sz w:val="18"/>
          <w:szCs w:val="18"/>
        </w:rPr>
        <w:t xml:space="preserve">  </w:t>
      </w:r>
      <w:r>
        <w:rPr>
          <w:spacing w:val="25"/>
          <w:sz w:val="18"/>
          <w:szCs w:val="18"/>
        </w:rPr>
        <w:t>一</w:t>
      </w:r>
      <w:r>
        <w:rPr>
          <w:spacing w:val="-44"/>
          <w:sz w:val="18"/>
          <w:szCs w:val="18"/>
        </w:rPr>
        <w:t xml:space="preserve"> </w:t>
      </w:r>
      <w:r>
        <w:rPr>
          <w:spacing w:val="25"/>
          <w:sz w:val="18"/>
          <w:szCs w:val="18"/>
        </w:rPr>
        <w:t>旦出现故障，就有可能导致</w:t>
      </w:r>
      <w:r>
        <w:rPr>
          <w:sz w:val="18"/>
          <w:szCs w:val="18"/>
        </w:rPr>
        <w:t xml:space="preserve"> </w:t>
      </w:r>
      <w:r>
        <w:rPr>
          <w:spacing w:val="25"/>
          <w:sz w:val="18"/>
          <w:szCs w:val="18"/>
        </w:rPr>
        <w:t>企业的正常运作发生紊乱，例如航空公司的订票系统、银行的存取款/转账系统、企业的物料</w:t>
      </w:r>
      <w:r>
        <w:rPr>
          <w:spacing w:val="10"/>
          <w:sz w:val="18"/>
          <w:szCs w:val="18"/>
        </w:rPr>
        <w:t xml:space="preserve"> </w:t>
      </w:r>
      <w:r>
        <w:rPr>
          <w:spacing w:val="23"/>
          <w:sz w:val="18"/>
          <w:szCs w:val="18"/>
        </w:rPr>
        <w:t>进出库系统等。同时，许多</w:t>
      </w:r>
      <w:r>
        <w:rPr>
          <w:rFonts w:ascii="Times New Roman" w:hAnsi="Times New Roman" w:eastAsia="Times New Roman" w:cs="Times New Roman"/>
          <w:sz w:val="18"/>
          <w:szCs w:val="18"/>
        </w:rPr>
        <w:t>TPS</w:t>
      </w:r>
      <w:r>
        <w:rPr>
          <w:rFonts w:ascii="Times New Roman" w:hAnsi="Times New Roman" w:eastAsia="Times New Roman" w:cs="Times New Roman"/>
          <w:spacing w:val="4"/>
          <w:sz w:val="18"/>
          <w:szCs w:val="18"/>
        </w:rPr>
        <w:t xml:space="preserve">  </w:t>
      </w:r>
      <w:r>
        <w:rPr>
          <w:spacing w:val="23"/>
          <w:sz w:val="18"/>
          <w:szCs w:val="18"/>
        </w:rPr>
        <w:t>处于企业系统的边界，它是将企业与外部环境联系起来的“桥</w:t>
      </w:r>
      <w:r>
        <w:rPr>
          <w:sz w:val="18"/>
          <w:szCs w:val="18"/>
        </w:rPr>
        <w:t xml:space="preserve"> </w:t>
      </w:r>
      <w:r>
        <w:rPr>
          <w:spacing w:val="16"/>
          <w:sz w:val="18"/>
          <w:szCs w:val="18"/>
        </w:rPr>
        <w:t>梁”。因此，</w:t>
      </w:r>
      <w:r>
        <w:rPr>
          <w:rFonts w:ascii="Times New Roman" w:hAnsi="Times New Roman" w:eastAsia="Times New Roman" w:cs="Times New Roman"/>
          <w:sz w:val="18"/>
          <w:szCs w:val="18"/>
        </w:rPr>
        <w:t>TPS</w:t>
      </w:r>
      <w:r>
        <w:rPr>
          <w:rFonts w:ascii="Times New Roman" w:hAnsi="Times New Roman" w:eastAsia="Times New Roman" w:cs="Times New Roman"/>
          <w:spacing w:val="16"/>
          <w:sz w:val="18"/>
          <w:szCs w:val="18"/>
        </w:rPr>
        <w:t xml:space="preserve">  </w:t>
      </w:r>
      <w:r>
        <w:rPr>
          <w:spacing w:val="16"/>
          <w:sz w:val="18"/>
          <w:szCs w:val="18"/>
        </w:rPr>
        <w:t>性能的好坏将直接影响组织的整体形象，是提</w:t>
      </w:r>
      <w:r>
        <w:rPr>
          <w:spacing w:val="15"/>
          <w:sz w:val="18"/>
          <w:szCs w:val="18"/>
        </w:rPr>
        <w:t>高企业市场竞争力的重要因素。</w:t>
      </w:r>
    </w:p>
    <w:p w14:paraId="4496FA79">
      <w:pPr>
        <w:pStyle w:val="2"/>
        <w:spacing w:before="7" w:line="321" w:lineRule="auto"/>
        <w:ind w:left="349" w:right="2" w:firstLine="399"/>
        <w:rPr>
          <w:sz w:val="18"/>
          <w:szCs w:val="18"/>
        </w:rPr>
      </w:pPr>
      <w:r>
        <w:rPr>
          <w:spacing w:val="20"/>
          <w:sz w:val="18"/>
          <w:szCs w:val="18"/>
        </w:rPr>
        <w:t>由</w:t>
      </w:r>
      <w:r>
        <w:rPr>
          <w:spacing w:val="1"/>
          <w:sz w:val="18"/>
          <w:szCs w:val="18"/>
        </w:rPr>
        <w:t xml:space="preserve"> </w:t>
      </w:r>
      <w:r>
        <w:rPr>
          <w:spacing w:val="20"/>
          <w:sz w:val="18"/>
          <w:szCs w:val="18"/>
        </w:rPr>
        <w:t>于</w:t>
      </w:r>
      <w:r>
        <w:rPr>
          <w:rFonts w:ascii="Times New Roman" w:hAnsi="Times New Roman" w:eastAsia="Times New Roman" w:cs="Times New Roman"/>
          <w:sz w:val="18"/>
          <w:szCs w:val="18"/>
        </w:rPr>
        <w:t>TPS</w:t>
      </w:r>
      <w:r>
        <w:rPr>
          <w:rFonts w:ascii="Times New Roman" w:hAnsi="Times New Roman" w:eastAsia="Times New Roman" w:cs="Times New Roman"/>
          <w:spacing w:val="2"/>
          <w:sz w:val="18"/>
          <w:szCs w:val="18"/>
        </w:rPr>
        <w:t xml:space="preserve">  </w:t>
      </w:r>
      <w:r>
        <w:rPr>
          <w:spacing w:val="20"/>
          <w:sz w:val="18"/>
          <w:szCs w:val="18"/>
        </w:rPr>
        <w:t>面对的是结构化程度很高的管理问题，因此可以采用结构化生命周期法来进行开</w:t>
      </w:r>
      <w:r>
        <w:rPr>
          <w:spacing w:val="1"/>
          <w:sz w:val="18"/>
          <w:szCs w:val="18"/>
        </w:rPr>
        <w:t xml:space="preserve"> </w:t>
      </w:r>
      <w:r>
        <w:rPr>
          <w:spacing w:val="23"/>
          <w:sz w:val="18"/>
          <w:szCs w:val="18"/>
        </w:rPr>
        <w:t>发。而且同行业事务处理存在相似性，使得越来越多的</w:t>
      </w:r>
      <w:r>
        <w:rPr>
          <w:sz w:val="18"/>
          <w:szCs w:val="18"/>
        </w:rPr>
        <w:t>TPS</w:t>
      </w:r>
      <w:r>
        <w:rPr>
          <w:spacing w:val="55"/>
          <w:sz w:val="18"/>
          <w:szCs w:val="18"/>
        </w:rPr>
        <w:t xml:space="preserve"> </w:t>
      </w:r>
      <w:r>
        <w:rPr>
          <w:spacing w:val="23"/>
          <w:sz w:val="18"/>
          <w:szCs w:val="18"/>
        </w:rPr>
        <w:t>都已商品化。所以，许</w:t>
      </w:r>
      <w:r>
        <w:rPr>
          <w:spacing w:val="22"/>
          <w:sz w:val="18"/>
          <w:szCs w:val="18"/>
        </w:rPr>
        <w:t>多企业可直</w:t>
      </w:r>
      <w:r>
        <w:rPr>
          <w:sz w:val="18"/>
          <w:szCs w:val="18"/>
        </w:rPr>
        <w:t xml:space="preserve"> </w:t>
      </w:r>
      <w:r>
        <w:rPr>
          <w:spacing w:val="24"/>
          <w:sz w:val="18"/>
          <w:szCs w:val="18"/>
        </w:rPr>
        <w:t>接购买现成的</w:t>
      </w:r>
      <w:r>
        <w:rPr>
          <w:rFonts w:ascii="Times New Roman" w:hAnsi="Times New Roman" w:eastAsia="Times New Roman" w:cs="Times New Roman"/>
          <w:sz w:val="18"/>
          <w:szCs w:val="18"/>
        </w:rPr>
        <w:t>TPS</w:t>
      </w:r>
      <w:r>
        <w:rPr>
          <w:rFonts w:ascii="Times New Roman" w:hAnsi="Times New Roman" w:eastAsia="Times New Roman" w:cs="Times New Roman"/>
          <w:spacing w:val="24"/>
          <w:sz w:val="18"/>
          <w:szCs w:val="18"/>
        </w:rPr>
        <w:t>,</w:t>
      </w:r>
      <w:r>
        <w:rPr>
          <w:rFonts w:ascii="Times New Roman" w:hAnsi="Times New Roman" w:eastAsia="Times New Roman" w:cs="Times New Roman"/>
          <w:spacing w:val="5"/>
          <w:sz w:val="18"/>
          <w:szCs w:val="18"/>
        </w:rPr>
        <w:t xml:space="preserve">    </w:t>
      </w:r>
      <w:r>
        <w:rPr>
          <w:spacing w:val="24"/>
          <w:sz w:val="18"/>
          <w:szCs w:val="18"/>
        </w:rPr>
        <w:t>只需要再进行一些简单的二次开发，就能投入使用，避免了低</w:t>
      </w:r>
      <w:r>
        <w:rPr>
          <w:spacing w:val="23"/>
          <w:sz w:val="18"/>
          <w:szCs w:val="18"/>
        </w:rPr>
        <w:t>水平的重复</w:t>
      </w:r>
      <w:r>
        <w:rPr>
          <w:spacing w:val="1"/>
          <w:sz w:val="18"/>
          <w:szCs w:val="18"/>
        </w:rPr>
        <w:t xml:space="preserve"> </w:t>
      </w:r>
      <w:r>
        <w:rPr>
          <w:spacing w:val="13"/>
          <w:sz w:val="18"/>
          <w:szCs w:val="18"/>
        </w:rPr>
        <w:t>开发工作。</w:t>
      </w:r>
    </w:p>
    <w:p w14:paraId="130B2ACB">
      <w:pPr>
        <w:pStyle w:val="2"/>
        <w:spacing w:before="113" w:line="221" w:lineRule="auto"/>
        <w:ind w:left="752"/>
        <w:rPr>
          <w:rFonts w:ascii="黑体" w:hAnsi="黑体" w:eastAsia="黑体" w:cs="黑体"/>
          <w:sz w:val="18"/>
          <w:szCs w:val="18"/>
        </w:rPr>
      </w:pPr>
      <w:r>
        <w:rPr>
          <w:b/>
          <w:bCs/>
          <w:color w:val="138DEA"/>
          <w:spacing w:val="18"/>
          <w:sz w:val="18"/>
          <w:szCs w:val="18"/>
        </w:rPr>
        <w:t>2.</w:t>
      </w:r>
      <w:r>
        <w:rPr>
          <w:rFonts w:ascii="黑体" w:hAnsi="黑体" w:eastAsia="黑体" w:cs="黑体"/>
          <w:b/>
          <w:bCs/>
          <w:color w:val="138DEA"/>
          <w:spacing w:val="18"/>
          <w:sz w:val="18"/>
          <w:szCs w:val="18"/>
        </w:rPr>
        <w:t>企业资源规划</w:t>
      </w:r>
    </w:p>
    <w:p w14:paraId="5411E5C8">
      <w:pPr>
        <w:pStyle w:val="2"/>
        <w:spacing w:before="128" w:line="326" w:lineRule="auto"/>
        <w:ind w:left="349" w:right="2" w:firstLine="399"/>
        <w:jc w:val="both"/>
        <w:rPr>
          <w:sz w:val="18"/>
          <w:szCs w:val="18"/>
        </w:rPr>
      </w:pPr>
      <w:r>
        <w:rPr>
          <w:rFonts w:ascii="Times New Roman" w:hAnsi="Times New Roman" w:eastAsia="Times New Roman" w:cs="Times New Roman"/>
          <w:sz w:val="18"/>
          <w:szCs w:val="18"/>
        </w:rPr>
        <w:t>ERP</w:t>
      </w:r>
      <w:r>
        <w:rPr>
          <w:rFonts w:ascii="Times New Roman" w:hAnsi="Times New Roman" w:eastAsia="Times New Roman" w:cs="Times New Roman"/>
          <w:spacing w:val="47"/>
          <w:w w:val="101"/>
          <w:sz w:val="18"/>
          <w:szCs w:val="18"/>
        </w:rPr>
        <w:t xml:space="preserve"> </w:t>
      </w:r>
      <w:r>
        <w:rPr>
          <w:spacing w:val="11"/>
          <w:sz w:val="18"/>
          <w:szCs w:val="18"/>
        </w:rPr>
        <w:t>是企业制造资源规划</w:t>
      </w:r>
      <w:r>
        <w:rPr>
          <w:spacing w:val="-33"/>
          <w:sz w:val="18"/>
          <w:szCs w:val="18"/>
        </w:rPr>
        <w:t xml:space="preserve"> </w:t>
      </w:r>
      <w:r>
        <w:rPr>
          <w:rFonts w:ascii="Times New Roman" w:hAnsi="Times New Roman" w:eastAsia="Times New Roman" w:cs="Times New Roman"/>
          <w:spacing w:val="11"/>
          <w:sz w:val="18"/>
          <w:szCs w:val="18"/>
        </w:rPr>
        <w:t>(</w:t>
      </w:r>
      <w:r>
        <w:rPr>
          <w:rFonts w:ascii="Times New Roman" w:hAnsi="Times New Roman" w:eastAsia="Times New Roman" w:cs="Times New Roman"/>
          <w:sz w:val="18"/>
          <w:szCs w:val="18"/>
        </w:rPr>
        <w:t>Manufacturing</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z w:val="18"/>
          <w:szCs w:val="18"/>
        </w:rPr>
        <w:t>Resource</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z w:val="18"/>
          <w:szCs w:val="18"/>
        </w:rPr>
        <w:t>Planning</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z w:val="18"/>
          <w:szCs w:val="18"/>
        </w:rPr>
        <w:t>I</w:t>
      </w:r>
      <w:r>
        <w:rPr>
          <w:rFonts w:ascii="Times New Roman" w:hAnsi="Times New Roman" w:eastAsia="Times New Roman" w:cs="Times New Roman"/>
          <w:spacing w:val="11"/>
          <w:sz w:val="18"/>
          <w:szCs w:val="18"/>
        </w:rPr>
        <w:t>Ⅱ,</w:t>
      </w:r>
      <w:r>
        <w:rPr>
          <w:rFonts w:ascii="Times New Roman" w:hAnsi="Times New Roman" w:eastAsia="Times New Roman" w:cs="Times New Roman"/>
          <w:sz w:val="18"/>
          <w:szCs w:val="18"/>
        </w:rPr>
        <w:t>MRPI</w:t>
      </w:r>
      <w:r>
        <w:rPr>
          <w:rFonts w:ascii="Times New Roman" w:hAnsi="Times New Roman" w:eastAsia="Times New Roman" w:cs="Times New Roman"/>
          <w:spacing w:val="11"/>
          <w:sz w:val="18"/>
          <w:szCs w:val="18"/>
        </w:rPr>
        <w:t>Ⅱ)</w:t>
      </w:r>
      <w:r>
        <w:rPr>
          <w:rFonts w:ascii="Times New Roman" w:hAnsi="Times New Roman" w:eastAsia="Times New Roman" w:cs="Times New Roman"/>
          <w:spacing w:val="27"/>
          <w:w w:val="101"/>
          <w:sz w:val="18"/>
          <w:szCs w:val="18"/>
        </w:rPr>
        <w:t xml:space="preserve"> </w:t>
      </w:r>
      <w:r>
        <w:rPr>
          <w:spacing w:val="11"/>
          <w:sz w:val="18"/>
          <w:szCs w:val="18"/>
        </w:rPr>
        <w:t>的下</w:t>
      </w:r>
      <w:r>
        <w:rPr>
          <w:spacing w:val="-44"/>
          <w:sz w:val="18"/>
          <w:szCs w:val="18"/>
        </w:rPr>
        <w:t xml:space="preserve"> </w:t>
      </w:r>
      <w:r>
        <w:rPr>
          <w:spacing w:val="11"/>
          <w:sz w:val="18"/>
          <w:szCs w:val="18"/>
        </w:rPr>
        <w:t>一</w:t>
      </w:r>
      <w:r>
        <w:rPr>
          <w:spacing w:val="-47"/>
          <w:sz w:val="18"/>
          <w:szCs w:val="18"/>
        </w:rPr>
        <w:t xml:space="preserve"> </w:t>
      </w:r>
      <w:r>
        <w:rPr>
          <w:spacing w:val="11"/>
          <w:sz w:val="18"/>
          <w:szCs w:val="18"/>
        </w:rPr>
        <w:t>代制造业</w:t>
      </w:r>
      <w:r>
        <w:rPr>
          <w:sz w:val="18"/>
          <w:szCs w:val="18"/>
        </w:rPr>
        <w:t xml:space="preserve"> </w:t>
      </w:r>
      <w:r>
        <w:rPr>
          <w:spacing w:val="21"/>
          <w:sz w:val="18"/>
          <w:szCs w:val="18"/>
        </w:rPr>
        <w:t>系统和资源计划系统软件。除了</w:t>
      </w:r>
      <w:r>
        <w:rPr>
          <w:sz w:val="18"/>
          <w:szCs w:val="18"/>
        </w:rPr>
        <w:t>MRP</w:t>
      </w:r>
      <w:r>
        <w:rPr>
          <w:spacing w:val="21"/>
          <w:sz w:val="18"/>
          <w:szCs w:val="18"/>
        </w:rPr>
        <w:t>Ⅱ  已有的生产资源计划、制造、财务、销售、采购</w:t>
      </w:r>
      <w:r>
        <w:rPr>
          <w:spacing w:val="20"/>
          <w:sz w:val="18"/>
          <w:szCs w:val="18"/>
        </w:rPr>
        <w:t>等功能</w:t>
      </w:r>
      <w:r>
        <w:rPr>
          <w:sz w:val="18"/>
          <w:szCs w:val="18"/>
        </w:rPr>
        <w:t xml:space="preserve"> </w:t>
      </w:r>
      <w:r>
        <w:rPr>
          <w:spacing w:val="23"/>
          <w:sz w:val="18"/>
          <w:szCs w:val="18"/>
        </w:rPr>
        <w:t>外，还有质量管理，实验室管理，业务流程管理，产品数据管理，存货、分销与运输管理，人</w:t>
      </w:r>
      <w:r>
        <w:rPr>
          <w:spacing w:val="3"/>
          <w:sz w:val="18"/>
          <w:szCs w:val="18"/>
        </w:rPr>
        <w:t xml:space="preserve"> </w:t>
      </w:r>
      <w:r>
        <w:rPr>
          <w:spacing w:val="15"/>
          <w:sz w:val="18"/>
          <w:szCs w:val="18"/>
        </w:rPr>
        <w:t>力资源管理和定期报告系统。</w:t>
      </w:r>
    </w:p>
    <w:p w14:paraId="72291828">
      <w:pPr>
        <w:pStyle w:val="2"/>
        <w:spacing w:before="30" w:line="220" w:lineRule="auto"/>
        <w:ind w:left="749"/>
        <w:rPr>
          <w:sz w:val="18"/>
          <w:szCs w:val="18"/>
        </w:rPr>
      </w:pPr>
      <w:r>
        <w:rPr>
          <w:rFonts w:ascii="Times New Roman" w:hAnsi="Times New Roman" w:eastAsia="Times New Roman" w:cs="Times New Roman"/>
          <w:sz w:val="18"/>
          <w:szCs w:val="18"/>
        </w:rPr>
        <w:t>ERP</w:t>
      </w:r>
      <w:r>
        <w:rPr>
          <w:rFonts w:ascii="Times New Roman" w:hAnsi="Times New Roman" w:eastAsia="Times New Roman" w:cs="Times New Roman"/>
          <w:spacing w:val="33"/>
          <w:sz w:val="18"/>
          <w:szCs w:val="18"/>
        </w:rPr>
        <w:t xml:space="preserve"> </w:t>
      </w:r>
      <w:r>
        <w:rPr>
          <w:spacing w:val="18"/>
          <w:sz w:val="18"/>
          <w:szCs w:val="18"/>
        </w:rPr>
        <w:t>的结构原理如图5-</w:t>
      </w:r>
      <w:r>
        <w:rPr>
          <w:spacing w:val="-54"/>
          <w:sz w:val="18"/>
          <w:szCs w:val="18"/>
        </w:rPr>
        <w:t xml:space="preserve"> </w:t>
      </w:r>
      <w:r>
        <w:rPr>
          <w:spacing w:val="18"/>
          <w:sz w:val="18"/>
          <w:szCs w:val="18"/>
        </w:rPr>
        <w:t>2所示。</w:t>
      </w:r>
    </w:p>
    <w:p w14:paraId="011ACC83">
      <w:pPr>
        <w:pStyle w:val="2"/>
        <w:spacing w:before="118" w:line="3470" w:lineRule="exact"/>
        <w:ind w:firstLine="889"/>
      </w:pPr>
      <w:r>
        <w:rPr>
          <w:position w:val="-69"/>
        </w:rPr>
        <w:pict>
          <v:group id="_x0000_s1338" o:spid="_x0000_s1338" o:spt="203" style="height:173.55pt;width:362.05pt;" coordsize="7240,3471">
            <o:lock v:ext="edit"/>
            <v:shape id="_x0000_s1339" o:spid="_x0000_s1339" o:spt="75" type="#_x0000_t75" style="position:absolute;left:0;top:0;height:3471;width:7240;" filled="f" stroked="f" coordsize="21600,21600">
              <v:path/>
              <v:fill on="f" focussize="0,0"/>
              <v:stroke on="f"/>
              <v:imagedata r:id="rId122" o:title=""/>
              <o:lock v:ext="edit" aspectratio="t"/>
            </v:shape>
            <v:shape id="_x0000_s1340" o:spid="_x0000_s1340" o:spt="202" type="#_x0000_t202" style="position:absolute;left:-20;top:-20;height:3511;width:7280;" filled="f" stroked="f" coordsize="21600,21600">
              <v:path/>
              <v:fill on="f" focussize="0,0"/>
              <v:stroke on="f"/>
              <v:imagedata o:title=""/>
              <o:lock v:ext="edit" aspectratio="f"/>
              <v:textbox inset="0mm,0mm,0mm,0mm">
                <w:txbxContent>
                  <w:p w14:paraId="10862101">
                    <w:pPr>
                      <w:spacing w:before="157" w:line="229" w:lineRule="auto"/>
                      <w:ind w:left="360"/>
                      <w:rPr>
                        <w:rFonts w:ascii="宋体" w:hAnsi="宋体" w:eastAsia="宋体" w:cs="宋体"/>
                        <w:sz w:val="18"/>
                        <w:szCs w:val="18"/>
                      </w:rPr>
                    </w:pPr>
                    <w:r>
                      <w:rPr>
                        <w:rFonts w:ascii="宋体" w:hAnsi="宋体" w:eastAsia="宋体" w:cs="宋体"/>
                        <w:spacing w:val="-3"/>
                        <w:sz w:val="18"/>
                        <w:szCs w:val="18"/>
                      </w:rPr>
                      <w:t>综合信息        财务管理</w:t>
                    </w:r>
                    <w:r>
                      <w:rPr>
                        <w:rFonts w:ascii="宋体" w:hAnsi="宋体" w:eastAsia="宋体" w:cs="宋体"/>
                        <w:spacing w:val="3"/>
                        <w:sz w:val="18"/>
                        <w:szCs w:val="18"/>
                      </w:rPr>
                      <w:t xml:space="preserve">        </w:t>
                    </w:r>
                    <w:r>
                      <w:rPr>
                        <w:rFonts w:ascii="宋体" w:hAnsi="宋体" w:eastAsia="宋体" w:cs="宋体"/>
                        <w:spacing w:val="-3"/>
                        <w:sz w:val="18"/>
                        <w:szCs w:val="18"/>
                      </w:rPr>
                      <w:t xml:space="preserve">成本管理 </w:t>
                    </w:r>
                    <w:r>
                      <w:rPr>
                        <w:rFonts w:ascii="宋体" w:hAnsi="宋体" w:eastAsia="宋体" w:cs="宋体"/>
                        <w:spacing w:val="-4"/>
                        <w:sz w:val="18"/>
                        <w:szCs w:val="18"/>
                      </w:rPr>
                      <w:t xml:space="preserve">        基本数据        分销资源管理</w:t>
                    </w:r>
                  </w:p>
                  <w:p w14:paraId="4B59EC86">
                    <w:pPr>
                      <w:spacing w:line="292" w:lineRule="auto"/>
                      <w:rPr>
                        <w:rFonts w:ascii="Arial"/>
                        <w:sz w:val="21"/>
                      </w:rPr>
                    </w:pPr>
                  </w:p>
                  <w:p w14:paraId="5B51C7FF">
                    <w:pPr>
                      <w:spacing w:line="293" w:lineRule="auto"/>
                      <w:rPr>
                        <w:rFonts w:ascii="Arial"/>
                        <w:sz w:val="21"/>
                      </w:rPr>
                    </w:pPr>
                  </w:p>
                  <w:p w14:paraId="173F5401">
                    <w:pPr>
                      <w:spacing w:before="58" w:line="219" w:lineRule="auto"/>
                      <w:ind w:left="360"/>
                      <w:rPr>
                        <w:rFonts w:ascii="宋体" w:hAnsi="宋体" w:eastAsia="宋体" w:cs="宋体"/>
                        <w:sz w:val="18"/>
                        <w:szCs w:val="18"/>
                      </w:rPr>
                    </w:pPr>
                    <w:r>
                      <w:rPr>
                        <w:rFonts w:ascii="宋体" w:hAnsi="宋体" w:eastAsia="宋体" w:cs="宋体"/>
                        <w:spacing w:val="-7"/>
                        <w:sz w:val="18"/>
                        <w:szCs w:val="18"/>
                      </w:rPr>
                      <w:t>经营管理</w:t>
                    </w:r>
                  </w:p>
                  <w:p w14:paraId="415CA6E7">
                    <w:pPr>
                      <w:spacing w:before="195" w:line="230" w:lineRule="auto"/>
                      <w:ind w:left="360"/>
                      <w:rPr>
                        <w:rFonts w:ascii="宋体" w:hAnsi="宋体" w:eastAsia="宋体" w:cs="宋体"/>
                        <w:sz w:val="18"/>
                        <w:szCs w:val="18"/>
                      </w:rPr>
                    </w:pPr>
                    <w:r>
                      <w:rPr>
                        <w:rFonts w:ascii="宋体" w:hAnsi="宋体" w:eastAsia="宋体" w:cs="宋体"/>
                        <w:spacing w:val="-5"/>
                        <w:sz w:val="18"/>
                        <w:szCs w:val="18"/>
                      </w:rPr>
                      <w:t>生产预测              主生产计划        厂级</w:t>
                    </w:r>
                    <w:r>
                      <w:rPr>
                        <w:rFonts w:ascii="宋体" w:hAnsi="宋体" w:eastAsia="宋体" w:cs="宋体"/>
                        <w:spacing w:val="-6"/>
                        <w:sz w:val="18"/>
                        <w:szCs w:val="18"/>
                      </w:rPr>
                      <w:t>生产计划</w:t>
                    </w:r>
                    <w:r>
                      <w:rPr>
                        <w:rFonts w:ascii="宋体" w:hAnsi="宋体" w:eastAsia="宋体" w:cs="宋体"/>
                        <w:spacing w:val="5"/>
                        <w:sz w:val="18"/>
                        <w:szCs w:val="18"/>
                      </w:rPr>
                      <w:t xml:space="preserve">       </w:t>
                    </w:r>
                    <w:r>
                      <w:rPr>
                        <w:rFonts w:ascii="宋体" w:hAnsi="宋体" w:eastAsia="宋体" w:cs="宋体"/>
                        <w:spacing w:val="-6"/>
                        <w:sz w:val="18"/>
                        <w:szCs w:val="18"/>
                      </w:rPr>
                      <w:t>车间生产计划</w:t>
                    </w:r>
                  </w:p>
                  <w:p w14:paraId="15857A7D">
                    <w:pPr>
                      <w:spacing w:before="176" w:line="219" w:lineRule="auto"/>
                      <w:ind w:left="360"/>
                      <w:rPr>
                        <w:rFonts w:ascii="宋体" w:hAnsi="宋体" w:eastAsia="宋体" w:cs="宋体"/>
                        <w:sz w:val="18"/>
                        <w:szCs w:val="18"/>
                      </w:rPr>
                    </w:pPr>
                    <w:r>
                      <w:rPr>
                        <w:rFonts w:ascii="宋体" w:hAnsi="宋体" w:eastAsia="宋体" w:cs="宋体"/>
                        <w:spacing w:val="-7"/>
                        <w:sz w:val="18"/>
                        <w:szCs w:val="18"/>
                      </w:rPr>
                      <w:t>销售管理</w:t>
                    </w:r>
                  </w:p>
                  <w:p w14:paraId="6D88A6AE">
                    <w:pPr>
                      <w:spacing w:line="255" w:lineRule="auto"/>
                      <w:rPr>
                        <w:rFonts w:ascii="Arial"/>
                        <w:sz w:val="21"/>
                      </w:rPr>
                    </w:pPr>
                  </w:p>
                  <w:p w14:paraId="6618F388">
                    <w:pPr>
                      <w:spacing w:before="59" w:line="229" w:lineRule="auto"/>
                      <w:ind w:left="1490"/>
                      <w:rPr>
                        <w:rFonts w:ascii="宋体" w:hAnsi="宋体" w:eastAsia="宋体" w:cs="宋体"/>
                        <w:sz w:val="18"/>
                        <w:szCs w:val="18"/>
                      </w:rPr>
                    </w:pPr>
                    <w:r>
                      <w:rPr>
                        <w:rFonts w:ascii="宋体" w:hAnsi="宋体" w:eastAsia="宋体" w:cs="宋体"/>
                        <w:spacing w:val="-8"/>
                        <w:sz w:val="18"/>
                        <w:szCs w:val="18"/>
                      </w:rPr>
                      <w:t>采购管理</w:t>
                    </w:r>
                    <w:r>
                      <w:rPr>
                        <w:rFonts w:ascii="宋体" w:hAnsi="宋体" w:eastAsia="宋体" w:cs="宋体"/>
                        <w:spacing w:val="6"/>
                        <w:sz w:val="18"/>
                        <w:szCs w:val="18"/>
                      </w:rPr>
                      <w:t xml:space="preserve">        </w:t>
                    </w:r>
                    <w:r>
                      <w:rPr>
                        <w:rFonts w:ascii="宋体" w:hAnsi="宋体" w:eastAsia="宋体" w:cs="宋体"/>
                        <w:spacing w:val="-8"/>
                        <w:sz w:val="18"/>
                        <w:szCs w:val="18"/>
                      </w:rPr>
                      <w:t>设备管理</w:t>
                    </w:r>
                    <w:r>
                      <w:rPr>
                        <w:rFonts w:ascii="宋体" w:hAnsi="宋体" w:eastAsia="宋体" w:cs="宋体"/>
                        <w:spacing w:val="4"/>
                        <w:sz w:val="18"/>
                        <w:szCs w:val="18"/>
                      </w:rPr>
                      <w:t xml:space="preserve">        </w:t>
                    </w:r>
                    <w:r>
                      <w:rPr>
                        <w:rFonts w:ascii="宋体" w:hAnsi="宋体" w:eastAsia="宋体" w:cs="宋体"/>
                        <w:spacing w:val="-8"/>
                        <w:sz w:val="18"/>
                        <w:szCs w:val="18"/>
                      </w:rPr>
                      <w:t>工具管理</w:t>
                    </w:r>
                    <w:r>
                      <w:rPr>
                        <w:rFonts w:ascii="宋体" w:hAnsi="宋体" w:eastAsia="宋体" w:cs="宋体"/>
                        <w:spacing w:val="6"/>
                        <w:sz w:val="18"/>
                        <w:szCs w:val="18"/>
                      </w:rPr>
                      <w:t xml:space="preserve">        </w:t>
                    </w:r>
                    <w:r>
                      <w:rPr>
                        <w:rFonts w:ascii="宋体" w:hAnsi="宋体" w:eastAsia="宋体" w:cs="宋体"/>
                        <w:spacing w:val="-8"/>
                        <w:sz w:val="18"/>
                        <w:szCs w:val="18"/>
                      </w:rPr>
                      <w:t>人事管理</w:t>
                    </w:r>
                  </w:p>
                  <w:p w14:paraId="22D9AC73">
                    <w:pPr>
                      <w:spacing w:line="252" w:lineRule="auto"/>
                      <w:rPr>
                        <w:rFonts w:ascii="Arial"/>
                        <w:sz w:val="21"/>
                      </w:rPr>
                    </w:pPr>
                  </w:p>
                  <w:p w14:paraId="299E8B2A">
                    <w:pPr>
                      <w:spacing w:line="252" w:lineRule="auto"/>
                      <w:rPr>
                        <w:rFonts w:ascii="Arial"/>
                        <w:sz w:val="21"/>
                      </w:rPr>
                    </w:pPr>
                  </w:p>
                  <w:p w14:paraId="5C06D9EA">
                    <w:pPr>
                      <w:spacing w:before="59" w:line="230" w:lineRule="auto"/>
                      <w:ind w:left="200"/>
                      <w:rPr>
                        <w:rFonts w:ascii="宋体" w:hAnsi="宋体" w:eastAsia="宋体" w:cs="宋体"/>
                        <w:sz w:val="18"/>
                        <w:szCs w:val="18"/>
                      </w:rPr>
                    </w:pPr>
                    <w:r>
                      <w:rPr>
                        <w:rFonts w:ascii="宋体" w:hAnsi="宋体" w:eastAsia="宋体" w:cs="宋体"/>
                        <w:spacing w:val="-6"/>
                        <w:sz w:val="18"/>
                        <w:szCs w:val="18"/>
                      </w:rPr>
                      <w:t>客户关系管理</w:t>
                    </w:r>
                    <w:r>
                      <w:rPr>
                        <w:rFonts w:ascii="宋体" w:hAnsi="宋体" w:eastAsia="宋体" w:cs="宋体"/>
                        <w:spacing w:val="10"/>
                        <w:sz w:val="18"/>
                        <w:szCs w:val="18"/>
                      </w:rPr>
                      <w:t xml:space="preserve">     </w:t>
                    </w:r>
                    <w:r>
                      <w:rPr>
                        <w:rFonts w:ascii="宋体" w:hAnsi="宋体" w:eastAsia="宋体" w:cs="宋体"/>
                        <w:spacing w:val="-6"/>
                        <w:sz w:val="18"/>
                        <w:szCs w:val="18"/>
                      </w:rPr>
                      <w:t>供应链管理</w:t>
                    </w:r>
                    <w:r>
                      <w:rPr>
                        <w:rFonts w:ascii="宋体" w:hAnsi="宋体" w:eastAsia="宋体" w:cs="宋体"/>
                        <w:spacing w:val="6"/>
                        <w:sz w:val="18"/>
                        <w:szCs w:val="18"/>
                      </w:rPr>
                      <w:t xml:space="preserve">       </w:t>
                    </w:r>
                    <w:r>
                      <w:rPr>
                        <w:rFonts w:ascii="宋体" w:hAnsi="宋体" w:eastAsia="宋体" w:cs="宋体"/>
                        <w:spacing w:val="-6"/>
                        <w:sz w:val="18"/>
                        <w:szCs w:val="18"/>
                      </w:rPr>
                      <w:t xml:space="preserve">生产管理         </w:t>
                    </w:r>
                    <w:r>
                      <w:rPr>
                        <w:rFonts w:ascii="宋体" w:hAnsi="宋体" w:eastAsia="宋体" w:cs="宋体"/>
                        <w:spacing w:val="-6"/>
                        <w:position w:val="-1"/>
                        <w:sz w:val="18"/>
                        <w:szCs w:val="18"/>
                      </w:rPr>
                      <w:t xml:space="preserve">质量管理          </w:t>
                    </w:r>
                    <w:r>
                      <w:rPr>
                        <w:rFonts w:ascii="宋体" w:hAnsi="宋体" w:eastAsia="宋体" w:cs="宋体"/>
                        <w:spacing w:val="-6"/>
                        <w:sz w:val="18"/>
                        <w:szCs w:val="18"/>
                      </w:rPr>
                      <w:t>库存管理</w:t>
                    </w:r>
                  </w:p>
                </w:txbxContent>
              </v:textbox>
            </v:shape>
            <w10:wrap type="none"/>
            <w10:anchorlock/>
          </v:group>
        </w:pict>
      </w:r>
    </w:p>
    <w:p w14:paraId="60FCD946">
      <w:pPr>
        <w:pStyle w:val="2"/>
        <w:spacing w:before="48" w:line="220" w:lineRule="auto"/>
        <w:ind w:left="3559"/>
        <w:rPr>
          <w:sz w:val="18"/>
          <w:szCs w:val="18"/>
        </w:rPr>
      </w:pPr>
      <w:r>
        <w:rPr>
          <w:spacing w:val="7"/>
          <w:sz w:val="18"/>
          <w:szCs w:val="18"/>
        </w:rPr>
        <w:t>图5-2</w:t>
      </w:r>
      <w:r>
        <w:rPr>
          <w:spacing w:val="29"/>
          <w:sz w:val="18"/>
          <w:szCs w:val="18"/>
        </w:rPr>
        <w:t xml:space="preserve"> </w:t>
      </w:r>
      <w:r>
        <w:rPr>
          <w:rFonts w:ascii="Times New Roman" w:hAnsi="Times New Roman" w:eastAsia="Times New Roman" w:cs="Times New Roman"/>
          <w:sz w:val="18"/>
          <w:szCs w:val="18"/>
        </w:rPr>
        <w:t>ERP</w:t>
      </w:r>
      <w:r>
        <w:rPr>
          <w:rFonts w:ascii="Times New Roman" w:hAnsi="Times New Roman" w:eastAsia="Times New Roman" w:cs="Times New Roman"/>
          <w:spacing w:val="7"/>
          <w:sz w:val="18"/>
          <w:szCs w:val="18"/>
        </w:rPr>
        <w:t xml:space="preserve"> </w:t>
      </w:r>
      <w:r>
        <w:rPr>
          <w:spacing w:val="7"/>
          <w:sz w:val="18"/>
          <w:szCs w:val="18"/>
        </w:rPr>
        <w:t>结构原理图</w:t>
      </w:r>
    </w:p>
    <w:p w14:paraId="1E109835">
      <w:pPr>
        <w:spacing w:line="220" w:lineRule="auto"/>
        <w:rPr>
          <w:sz w:val="18"/>
          <w:szCs w:val="18"/>
        </w:rPr>
        <w:sectPr>
          <w:pgSz w:w="10300" w:h="13400"/>
          <w:pgMar w:top="400" w:right="1088" w:bottom="400" w:left="530" w:header="0" w:footer="0" w:gutter="0"/>
          <w:cols w:space="720" w:num="1"/>
        </w:sectPr>
      </w:pPr>
    </w:p>
    <w:p w14:paraId="3B23FA38">
      <w:pPr>
        <w:pStyle w:val="2"/>
        <w:spacing w:before="86" w:line="219" w:lineRule="auto"/>
        <w:jc w:val="right"/>
        <w:rPr>
          <w:rFonts w:ascii="Times New Roman" w:hAnsi="Times New Roman" w:eastAsia="Times New Roman" w:cs="Times New Roman"/>
          <w:sz w:val="15"/>
          <w:szCs w:val="15"/>
        </w:rPr>
      </w:pPr>
      <w:bookmarkStart w:id="558" w:name="bookmark544"/>
      <w:bookmarkEnd w:id="558"/>
      <w:r>
        <w:rPr>
          <w:spacing w:val="-2"/>
          <w:sz w:val="20"/>
          <w:szCs w:val="20"/>
        </w:rPr>
        <w:t>第5章 信息应用系统</w:t>
      </w:r>
      <w:r>
        <w:rPr>
          <w:spacing w:val="6"/>
          <w:sz w:val="20"/>
          <w:szCs w:val="20"/>
        </w:rPr>
        <w:t xml:space="preserve">      </w:t>
      </w:r>
      <w:r>
        <w:rPr>
          <w:rFonts w:ascii="Times New Roman" w:hAnsi="Times New Roman" w:eastAsia="Times New Roman" w:cs="Times New Roman"/>
          <w:spacing w:val="-2"/>
          <w:sz w:val="15"/>
          <w:szCs w:val="15"/>
        </w:rPr>
        <w:t>161</w:t>
      </w:r>
    </w:p>
    <w:p w14:paraId="6D6663A6">
      <w:pPr>
        <w:spacing w:line="295" w:lineRule="auto"/>
        <w:rPr>
          <w:rFonts w:ascii="Arial"/>
          <w:sz w:val="21"/>
        </w:rPr>
      </w:pPr>
    </w:p>
    <w:p w14:paraId="61C66BAD">
      <w:pPr>
        <w:pStyle w:val="2"/>
        <w:spacing w:before="65" w:line="219" w:lineRule="auto"/>
        <w:ind w:left="430"/>
        <w:rPr>
          <w:sz w:val="20"/>
          <w:szCs w:val="20"/>
        </w:rPr>
      </w:pPr>
      <w:r>
        <w:rPr>
          <w:rFonts w:ascii="Times New Roman" w:hAnsi="Times New Roman" w:eastAsia="Times New Roman" w:cs="Times New Roman"/>
          <w:spacing w:val="-3"/>
          <w:sz w:val="20"/>
          <w:szCs w:val="20"/>
        </w:rPr>
        <w:t>ERP</w:t>
      </w:r>
      <w:r>
        <w:rPr>
          <w:rFonts w:ascii="Times New Roman" w:hAnsi="Times New Roman" w:eastAsia="Times New Roman" w:cs="Times New Roman"/>
          <w:spacing w:val="6"/>
          <w:sz w:val="20"/>
          <w:szCs w:val="20"/>
        </w:rPr>
        <w:t xml:space="preserve"> </w:t>
      </w:r>
      <w:r>
        <w:rPr>
          <w:spacing w:val="-3"/>
          <w:sz w:val="20"/>
          <w:szCs w:val="20"/>
        </w:rPr>
        <w:t>为企业提供的功能是多层面和全方位的，主要包括：</w:t>
      </w:r>
    </w:p>
    <w:p w14:paraId="73C7FF48">
      <w:pPr>
        <w:pStyle w:val="2"/>
        <w:spacing w:before="80" w:line="277" w:lineRule="auto"/>
        <w:ind w:right="260" w:firstLine="430"/>
        <w:rPr>
          <w:sz w:val="20"/>
          <w:szCs w:val="20"/>
        </w:rPr>
      </w:pPr>
      <w:r>
        <w:rPr>
          <w:sz w:val="20"/>
          <w:szCs w:val="20"/>
        </w:rPr>
        <w:t>(1)支持决策的功能。</w:t>
      </w:r>
      <w:r>
        <w:rPr>
          <w:spacing w:val="-40"/>
          <w:sz w:val="20"/>
          <w:szCs w:val="20"/>
        </w:rPr>
        <w:t xml:space="preserve"> </w:t>
      </w:r>
      <w:r>
        <w:rPr>
          <w:rFonts w:ascii="Times New Roman" w:hAnsi="Times New Roman" w:eastAsia="Times New Roman" w:cs="Times New Roman"/>
          <w:sz w:val="20"/>
          <w:szCs w:val="20"/>
        </w:rPr>
        <w:t>ERP</w:t>
      </w:r>
      <w:r>
        <w:rPr>
          <w:rFonts w:ascii="Times New Roman" w:hAnsi="Times New Roman" w:eastAsia="Times New Roman" w:cs="Times New Roman"/>
          <w:spacing w:val="18"/>
          <w:w w:val="101"/>
          <w:sz w:val="20"/>
          <w:szCs w:val="20"/>
        </w:rPr>
        <w:t xml:space="preserve"> </w:t>
      </w:r>
      <w:r>
        <w:rPr>
          <w:sz w:val="20"/>
          <w:szCs w:val="20"/>
        </w:rPr>
        <w:t>在</w:t>
      </w:r>
      <w:r>
        <w:rPr>
          <w:spacing w:val="-53"/>
          <w:sz w:val="20"/>
          <w:szCs w:val="20"/>
        </w:rPr>
        <w:t xml:space="preserve"> </w:t>
      </w:r>
      <w:r>
        <w:rPr>
          <w:rFonts w:ascii="Times New Roman" w:hAnsi="Times New Roman" w:eastAsia="Times New Roman" w:cs="Times New Roman"/>
          <w:sz w:val="20"/>
          <w:szCs w:val="20"/>
        </w:rPr>
        <w:t>MRPⅡ</w:t>
      </w:r>
      <w:r>
        <w:rPr>
          <w:rFonts w:ascii="Times New Roman" w:hAnsi="Times New Roman" w:eastAsia="Times New Roman" w:cs="Times New Roman"/>
          <w:spacing w:val="16"/>
          <w:sz w:val="20"/>
          <w:szCs w:val="20"/>
        </w:rPr>
        <w:t xml:space="preserve">  </w:t>
      </w:r>
      <w:r>
        <w:rPr>
          <w:sz w:val="20"/>
          <w:szCs w:val="20"/>
        </w:rPr>
        <w:t xml:space="preserve">的基础上扩展了管理范围，给出了新的结构，将企业 </w:t>
      </w:r>
      <w:r>
        <w:rPr>
          <w:spacing w:val="3"/>
          <w:sz w:val="20"/>
          <w:szCs w:val="20"/>
        </w:rPr>
        <w:t>内部业务流程划分成几个相互协同作业的支持子系统，如财务、市场营销、生产制造、质量控</w:t>
      </w:r>
      <w:r>
        <w:rPr>
          <w:spacing w:val="4"/>
          <w:sz w:val="20"/>
          <w:szCs w:val="20"/>
        </w:rPr>
        <w:t xml:space="preserve"> </w:t>
      </w:r>
      <w:r>
        <w:rPr>
          <w:spacing w:val="3"/>
          <w:sz w:val="20"/>
          <w:szCs w:val="20"/>
        </w:rPr>
        <w:t>制、服务维护和工程技术等，并在功能上增加了质量控制、运输、分销、售后服务与维护，以</w:t>
      </w:r>
      <w:r>
        <w:rPr>
          <w:spacing w:val="13"/>
          <w:sz w:val="20"/>
          <w:szCs w:val="20"/>
        </w:rPr>
        <w:t xml:space="preserve"> </w:t>
      </w:r>
      <w:r>
        <w:rPr>
          <w:spacing w:val="3"/>
          <w:sz w:val="20"/>
          <w:szCs w:val="20"/>
        </w:rPr>
        <w:t>及市场开发、人事管理等功能，把企业的制造系统、营销系统、财务系统等都紧密地结合在一</w:t>
      </w:r>
      <w:r>
        <w:rPr>
          <w:spacing w:val="6"/>
          <w:sz w:val="20"/>
          <w:szCs w:val="20"/>
        </w:rPr>
        <w:t xml:space="preserve"> </w:t>
      </w:r>
      <w:r>
        <w:rPr>
          <w:spacing w:val="1"/>
          <w:sz w:val="20"/>
          <w:szCs w:val="20"/>
        </w:rPr>
        <w:t>起，可以实现全球范围内的多工厂、多地点的跨国经营运作。因此，</w:t>
      </w:r>
      <w:r>
        <w:rPr>
          <w:spacing w:val="-22"/>
          <w:sz w:val="20"/>
          <w:szCs w:val="20"/>
        </w:rPr>
        <w:t xml:space="preserve"> </w:t>
      </w:r>
      <w:r>
        <w:rPr>
          <w:rFonts w:ascii="Times New Roman" w:hAnsi="Times New Roman" w:eastAsia="Times New Roman" w:cs="Times New Roman"/>
          <w:sz w:val="20"/>
          <w:szCs w:val="20"/>
        </w:rPr>
        <w:t>ERP</w:t>
      </w:r>
      <w:r>
        <w:rPr>
          <w:rFonts w:ascii="Times New Roman" w:hAnsi="Times New Roman" w:eastAsia="Times New Roman" w:cs="Times New Roman"/>
          <w:spacing w:val="18"/>
          <w:w w:val="101"/>
          <w:sz w:val="20"/>
          <w:szCs w:val="20"/>
        </w:rPr>
        <w:t xml:space="preserve"> </w:t>
      </w:r>
      <w:r>
        <w:rPr>
          <w:spacing w:val="1"/>
          <w:sz w:val="20"/>
          <w:szCs w:val="20"/>
        </w:rPr>
        <w:t>能够不断地收到来自</w:t>
      </w:r>
      <w:r>
        <w:rPr>
          <w:sz w:val="20"/>
          <w:szCs w:val="20"/>
        </w:rPr>
        <w:t xml:space="preserve"> </w:t>
      </w:r>
      <w:r>
        <w:rPr>
          <w:spacing w:val="3"/>
          <w:sz w:val="20"/>
          <w:szCs w:val="20"/>
        </w:rPr>
        <w:t xml:space="preserve">各个业务过程的运作信息，并且提供了对质量控制、市场变化、客户满意度、经营绩效等关键 </w:t>
      </w:r>
      <w:r>
        <w:rPr>
          <w:spacing w:val="-2"/>
          <w:sz w:val="20"/>
          <w:szCs w:val="20"/>
        </w:rPr>
        <w:t>问题的实时分析，从而有力地支持企业的各个层面</w:t>
      </w:r>
      <w:r>
        <w:rPr>
          <w:spacing w:val="-3"/>
          <w:sz w:val="20"/>
          <w:szCs w:val="20"/>
        </w:rPr>
        <w:t>上的决策。</w:t>
      </w:r>
    </w:p>
    <w:p w14:paraId="0EFDC932">
      <w:pPr>
        <w:pStyle w:val="2"/>
        <w:spacing w:before="113" w:line="273" w:lineRule="auto"/>
        <w:ind w:right="256" w:firstLine="430"/>
        <w:rPr>
          <w:sz w:val="20"/>
          <w:szCs w:val="20"/>
        </w:rPr>
      </w:pPr>
      <w:r>
        <w:rPr>
          <w:spacing w:val="14"/>
          <w:sz w:val="20"/>
          <w:szCs w:val="20"/>
        </w:rPr>
        <w:t>(2)为处于不同行业的企业提供有针对性的</w:t>
      </w:r>
      <w:r>
        <w:rPr>
          <w:sz w:val="20"/>
          <w:szCs w:val="20"/>
        </w:rPr>
        <w:t>IT</w:t>
      </w:r>
      <w:r>
        <w:rPr>
          <w:spacing w:val="-28"/>
          <w:sz w:val="20"/>
          <w:szCs w:val="20"/>
        </w:rPr>
        <w:t xml:space="preserve"> </w:t>
      </w:r>
      <w:r>
        <w:rPr>
          <w:spacing w:val="14"/>
          <w:sz w:val="20"/>
          <w:szCs w:val="20"/>
        </w:rPr>
        <w:t>解决方案。</w:t>
      </w:r>
      <w:r>
        <w:rPr>
          <w:sz w:val="20"/>
          <w:szCs w:val="20"/>
        </w:rPr>
        <w:t>ERP</w:t>
      </w:r>
      <w:r>
        <w:rPr>
          <w:spacing w:val="14"/>
          <w:sz w:val="20"/>
          <w:szCs w:val="20"/>
        </w:rPr>
        <w:t xml:space="preserve"> 打破了</w:t>
      </w:r>
      <w:r>
        <w:rPr>
          <w:sz w:val="20"/>
          <w:szCs w:val="20"/>
        </w:rPr>
        <w:t>MRPI</w:t>
      </w:r>
      <w:r>
        <w:rPr>
          <w:spacing w:val="14"/>
          <w:sz w:val="20"/>
          <w:szCs w:val="20"/>
        </w:rPr>
        <w:t>Ⅱ</w:t>
      </w:r>
      <w:r>
        <w:rPr>
          <w:spacing w:val="-19"/>
          <w:sz w:val="20"/>
          <w:szCs w:val="20"/>
        </w:rPr>
        <w:t xml:space="preserve"> </w:t>
      </w:r>
      <w:r>
        <w:rPr>
          <w:spacing w:val="14"/>
          <w:sz w:val="20"/>
          <w:szCs w:val="20"/>
        </w:rPr>
        <w:t>只局限在</w:t>
      </w:r>
      <w:r>
        <w:rPr>
          <w:sz w:val="20"/>
          <w:szCs w:val="20"/>
        </w:rPr>
        <w:t xml:space="preserve"> </w:t>
      </w:r>
      <w:r>
        <w:rPr>
          <w:spacing w:val="8"/>
          <w:sz w:val="20"/>
          <w:szCs w:val="20"/>
        </w:rPr>
        <w:t xml:space="preserve">传统制造业的格局，把应用扩展到其他行业，并逐渐形成了针对某种行业的解决方案。有些 </w:t>
      </w:r>
      <w:r>
        <w:rPr>
          <w:sz w:val="20"/>
          <w:szCs w:val="20"/>
        </w:rPr>
        <w:t>ERP</w:t>
      </w:r>
      <w:r>
        <w:rPr>
          <w:spacing w:val="9"/>
          <w:sz w:val="20"/>
          <w:szCs w:val="20"/>
        </w:rPr>
        <w:t xml:space="preserve"> 供应商除了传统的制造业解决方案外，还推出了商业与零售业、金融业、能源、公共事</w:t>
      </w:r>
      <w:r>
        <w:rPr>
          <w:spacing w:val="7"/>
          <w:sz w:val="20"/>
          <w:szCs w:val="20"/>
        </w:rPr>
        <w:t xml:space="preserve"> </w:t>
      </w:r>
      <w:r>
        <w:rPr>
          <w:spacing w:val="3"/>
          <w:sz w:val="20"/>
          <w:szCs w:val="20"/>
        </w:rPr>
        <w:t xml:space="preserve">业、工程与建筑业等行业的解决方案，以财务、人事、后勤等功能为核心，加入每一行业特殊 </w:t>
      </w:r>
      <w:r>
        <w:rPr>
          <w:spacing w:val="-2"/>
          <w:sz w:val="20"/>
          <w:szCs w:val="20"/>
        </w:rPr>
        <w:t>的需求。</w:t>
      </w:r>
    </w:p>
    <w:p w14:paraId="64118E1A">
      <w:pPr>
        <w:pStyle w:val="2"/>
        <w:spacing w:before="108" w:line="278" w:lineRule="auto"/>
        <w:ind w:right="251" w:firstLine="430"/>
        <w:rPr>
          <w:sz w:val="20"/>
          <w:szCs w:val="20"/>
        </w:rPr>
      </w:pPr>
      <w:r>
        <w:rPr>
          <w:spacing w:val="6"/>
          <w:sz w:val="20"/>
          <w:szCs w:val="20"/>
        </w:rPr>
        <w:t>(3)从企业内部的供应链发展为全行业和跨行业的供应链。当前企业只有联</w:t>
      </w:r>
      <w:r>
        <w:rPr>
          <w:spacing w:val="5"/>
          <w:sz w:val="20"/>
          <w:szCs w:val="20"/>
        </w:rPr>
        <w:t>合该行业中的</w:t>
      </w:r>
      <w:r>
        <w:rPr>
          <w:sz w:val="20"/>
          <w:szCs w:val="20"/>
        </w:rPr>
        <w:t xml:space="preserve"> </w:t>
      </w:r>
      <w:r>
        <w:rPr>
          <w:spacing w:val="3"/>
          <w:sz w:val="20"/>
          <w:szCs w:val="20"/>
        </w:rPr>
        <w:t>其他上下游企业，建立一条业务关系紧密、经济利益相连的供应链，实现优势互补，才能适应</w:t>
      </w:r>
      <w:r>
        <w:rPr>
          <w:spacing w:val="4"/>
          <w:sz w:val="20"/>
          <w:szCs w:val="20"/>
        </w:rPr>
        <w:t xml:space="preserve"> </w:t>
      </w:r>
      <w:r>
        <w:rPr>
          <w:spacing w:val="3"/>
          <w:sz w:val="20"/>
          <w:szCs w:val="20"/>
        </w:rPr>
        <w:t>社会化大生产的竞争环境，共同增强市场竞争实力。因此，供应链的概念就由狭义的企业内部</w:t>
      </w:r>
      <w:r>
        <w:rPr>
          <w:spacing w:val="6"/>
          <w:sz w:val="20"/>
          <w:szCs w:val="20"/>
        </w:rPr>
        <w:t xml:space="preserve"> </w:t>
      </w:r>
      <w:r>
        <w:rPr>
          <w:spacing w:val="1"/>
          <w:sz w:val="20"/>
          <w:szCs w:val="20"/>
        </w:rPr>
        <w:t>业务流程扩展为广义的全行业供应链及跨行业的供应链，</w:t>
      </w:r>
      <w:r>
        <w:rPr>
          <w:spacing w:val="-38"/>
          <w:sz w:val="20"/>
          <w:szCs w:val="20"/>
        </w:rPr>
        <w:t xml:space="preserve"> </w:t>
      </w:r>
      <w:r>
        <w:rPr>
          <w:rFonts w:ascii="Times New Roman" w:hAnsi="Times New Roman" w:eastAsia="Times New Roman" w:cs="Times New Roman"/>
          <w:sz w:val="20"/>
          <w:szCs w:val="20"/>
        </w:rPr>
        <w:t>ERP</w:t>
      </w:r>
      <w:r>
        <w:rPr>
          <w:rFonts w:ascii="Times New Roman" w:hAnsi="Times New Roman" w:eastAsia="Times New Roman" w:cs="Times New Roman"/>
          <w:spacing w:val="28"/>
          <w:w w:val="101"/>
          <w:sz w:val="20"/>
          <w:szCs w:val="20"/>
        </w:rPr>
        <w:t xml:space="preserve"> </w:t>
      </w:r>
      <w:r>
        <w:rPr>
          <w:spacing w:val="1"/>
          <w:sz w:val="20"/>
          <w:szCs w:val="20"/>
        </w:rPr>
        <w:t>的管理范围亦相应地由企业的内</w:t>
      </w:r>
      <w:r>
        <w:rPr>
          <w:sz w:val="20"/>
          <w:szCs w:val="20"/>
        </w:rPr>
        <w:t xml:space="preserve"> </w:t>
      </w:r>
      <w:r>
        <w:rPr>
          <w:spacing w:val="3"/>
          <w:sz w:val="20"/>
          <w:szCs w:val="20"/>
        </w:rPr>
        <w:t>部拓展到整个行业的原材料供应、生产加工、配送环节、流通环节及最终消费者。在整个行业</w:t>
      </w:r>
      <w:r>
        <w:rPr>
          <w:spacing w:val="2"/>
          <w:sz w:val="20"/>
          <w:szCs w:val="20"/>
        </w:rPr>
        <w:t xml:space="preserve"> 中建立一个环环相扣的供应链，使多个企业能在一个整体的</w:t>
      </w:r>
      <w:r>
        <w:rPr>
          <w:rFonts w:ascii="Times New Roman" w:hAnsi="Times New Roman" w:eastAsia="Times New Roman" w:cs="Times New Roman"/>
          <w:sz w:val="20"/>
          <w:szCs w:val="20"/>
        </w:rPr>
        <w:t>ERP</w:t>
      </w:r>
      <w:r>
        <w:rPr>
          <w:rFonts w:ascii="Times New Roman" w:hAnsi="Times New Roman" w:eastAsia="Times New Roman" w:cs="Times New Roman"/>
          <w:spacing w:val="32"/>
          <w:sz w:val="20"/>
          <w:szCs w:val="20"/>
        </w:rPr>
        <w:t xml:space="preserve"> </w:t>
      </w:r>
      <w:r>
        <w:rPr>
          <w:spacing w:val="2"/>
          <w:sz w:val="20"/>
          <w:szCs w:val="20"/>
        </w:rPr>
        <w:t>管理下实现协作经营和协调运</w:t>
      </w:r>
      <w:r>
        <w:rPr>
          <w:sz w:val="20"/>
          <w:szCs w:val="20"/>
        </w:rPr>
        <w:t xml:space="preserve"> </w:t>
      </w:r>
      <w:r>
        <w:rPr>
          <w:spacing w:val="3"/>
          <w:sz w:val="20"/>
          <w:szCs w:val="20"/>
        </w:rPr>
        <w:t>作。把这些企业的分散计划纳入整个供应链的计划中，从而大大增强该供应链在大市场环境中</w:t>
      </w:r>
      <w:r>
        <w:rPr>
          <w:spacing w:val="17"/>
          <w:sz w:val="20"/>
          <w:szCs w:val="20"/>
        </w:rPr>
        <w:t xml:space="preserve"> </w:t>
      </w:r>
      <w:r>
        <w:rPr>
          <w:spacing w:val="-1"/>
          <w:sz w:val="20"/>
          <w:szCs w:val="20"/>
        </w:rPr>
        <w:t>的整体优势，同时也使每家企业之间均可实现以最小的个别成本和</w:t>
      </w:r>
      <w:r>
        <w:rPr>
          <w:spacing w:val="-2"/>
          <w:sz w:val="20"/>
          <w:szCs w:val="20"/>
        </w:rPr>
        <w:t>转换成本来获得成本优势。</w:t>
      </w:r>
    </w:p>
    <w:p w14:paraId="345BA296">
      <w:pPr>
        <w:pStyle w:val="2"/>
        <w:spacing w:before="252" w:line="219" w:lineRule="auto"/>
        <w:ind w:left="2"/>
        <w:rPr>
          <w:sz w:val="25"/>
          <w:szCs w:val="25"/>
        </w:rPr>
      </w:pPr>
      <w:r>
        <w:rPr>
          <w:b/>
          <w:bCs/>
          <w:color w:val="0056D9"/>
          <w:spacing w:val="-16"/>
          <w:sz w:val="25"/>
          <w:szCs w:val="25"/>
        </w:rPr>
        <w:t>5.2.2</w:t>
      </w:r>
      <w:r>
        <w:rPr>
          <w:color w:val="0056D9"/>
          <w:spacing w:val="92"/>
          <w:sz w:val="25"/>
          <w:szCs w:val="25"/>
        </w:rPr>
        <w:t xml:space="preserve"> </w:t>
      </w:r>
      <w:r>
        <w:rPr>
          <w:b/>
          <w:bCs/>
          <w:color w:val="0056D9"/>
          <w:spacing w:val="-16"/>
          <w:sz w:val="25"/>
          <w:szCs w:val="25"/>
        </w:rPr>
        <w:t>管理信息系统与决策支持系统</w:t>
      </w:r>
    </w:p>
    <w:p w14:paraId="5C85C577">
      <w:pPr>
        <w:pStyle w:val="2"/>
        <w:spacing w:before="251" w:line="221" w:lineRule="auto"/>
        <w:ind w:left="432"/>
        <w:rPr>
          <w:rFonts w:ascii="黑体" w:hAnsi="黑体" w:eastAsia="黑体" w:cs="黑体"/>
          <w:sz w:val="20"/>
          <w:szCs w:val="20"/>
        </w:rPr>
      </w:pPr>
      <w:r>
        <w:rPr>
          <w:b/>
          <w:bCs/>
          <w:color w:val="005ECB"/>
          <w:spacing w:val="-1"/>
          <w:sz w:val="20"/>
          <w:szCs w:val="20"/>
        </w:rPr>
        <w:t>1.</w:t>
      </w:r>
      <w:r>
        <w:rPr>
          <w:rFonts w:ascii="黑体" w:hAnsi="黑体" w:eastAsia="黑体" w:cs="黑体"/>
          <w:b/>
          <w:bCs/>
          <w:color w:val="005ECB"/>
          <w:spacing w:val="-1"/>
          <w:sz w:val="20"/>
          <w:szCs w:val="20"/>
        </w:rPr>
        <w:t>管理信息系统</w:t>
      </w:r>
    </w:p>
    <w:p w14:paraId="54FA1816">
      <w:pPr>
        <w:pStyle w:val="2"/>
        <w:spacing w:before="112" w:line="276" w:lineRule="auto"/>
        <w:ind w:right="217" w:firstLine="430"/>
        <w:jc w:val="both"/>
        <w:rPr>
          <w:sz w:val="20"/>
          <w:szCs w:val="20"/>
        </w:rPr>
      </w:pPr>
      <w:r>
        <w:rPr>
          <w:spacing w:val="6"/>
          <w:sz w:val="20"/>
          <w:szCs w:val="20"/>
        </w:rPr>
        <w:t>管理信息系统</w:t>
      </w:r>
      <w:r>
        <w:rPr>
          <w:spacing w:val="-50"/>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MIS</w:t>
      </w:r>
      <w:r>
        <w:rPr>
          <w:rFonts w:ascii="Times New Roman" w:hAnsi="Times New Roman" w:eastAsia="Times New Roman" w:cs="Times New Roman"/>
          <w:spacing w:val="6"/>
          <w:sz w:val="20"/>
          <w:szCs w:val="20"/>
        </w:rPr>
        <w:t xml:space="preserve">)   </w:t>
      </w:r>
      <w:r>
        <w:rPr>
          <w:spacing w:val="6"/>
          <w:sz w:val="20"/>
          <w:szCs w:val="20"/>
        </w:rPr>
        <w:t>是由事务处理系统发展</w:t>
      </w:r>
      <w:r>
        <w:rPr>
          <w:spacing w:val="5"/>
          <w:sz w:val="20"/>
          <w:szCs w:val="20"/>
        </w:rPr>
        <w:t>而成的，是在</w:t>
      </w:r>
      <w:r>
        <w:rPr>
          <w:rFonts w:ascii="Times New Roman" w:hAnsi="Times New Roman" w:eastAsia="Times New Roman" w:cs="Times New Roman"/>
          <w:sz w:val="20"/>
          <w:szCs w:val="20"/>
        </w:rPr>
        <w:t>TPS</w:t>
      </w:r>
      <w:r>
        <w:rPr>
          <w:rFonts w:ascii="Times New Roman" w:hAnsi="Times New Roman" w:eastAsia="Times New Roman" w:cs="Times New Roman"/>
          <w:spacing w:val="32"/>
          <w:sz w:val="20"/>
          <w:szCs w:val="20"/>
        </w:rPr>
        <w:t xml:space="preserve"> </w:t>
      </w:r>
      <w:r>
        <w:rPr>
          <w:spacing w:val="5"/>
          <w:sz w:val="20"/>
          <w:szCs w:val="20"/>
        </w:rPr>
        <w:t>的基础上引进大量管理方</w:t>
      </w:r>
      <w:r>
        <w:rPr>
          <w:sz w:val="20"/>
          <w:szCs w:val="20"/>
        </w:rPr>
        <w:t xml:space="preserve"> </w:t>
      </w:r>
      <w:r>
        <w:rPr>
          <w:spacing w:val="3"/>
          <w:sz w:val="20"/>
          <w:szCs w:val="20"/>
        </w:rPr>
        <w:t>法对企业整体信息进行处理，并利用信息进行预测、控制、计划、辅助企业全面管理的信息系</w:t>
      </w:r>
      <w:r>
        <w:rPr>
          <w:spacing w:val="14"/>
          <w:sz w:val="20"/>
          <w:szCs w:val="20"/>
        </w:rPr>
        <w:t xml:space="preserve"> </w:t>
      </w:r>
      <w:r>
        <w:rPr>
          <w:spacing w:val="3"/>
          <w:sz w:val="20"/>
          <w:szCs w:val="20"/>
        </w:rPr>
        <w:t>统。从</w:t>
      </w:r>
      <w:r>
        <w:rPr>
          <w:rFonts w:ascii="Times New Roman" w:hAnsi="Times New Roman" w:eastAsia="Times New Roman" w:cs="Times New Roman"/>
          <w:sz w:val="20"/>
          <w:szCs w:val="20"/>
        </w:rPr>
        <w:t>MIS</w:t>
      </w:r>
      <w:r>
        <w:rPr>
          <w:rFonts w:ascii="Times New Roman" w:hAnsi="Times New Roman" w:eastAsia="Times New Roman" w:cs="Times New Roman"/>
          <w:spacing w:val="18"/>
          <w:sz w:val="20"/>
          <w:szCs w:val="20"/>
        </w:rPr>
        <w:t xml:space="preserve"> </w:t>
      </w:r>
      <w:r>
        <w:rPr>
          <w:spacing w:val="3"/>
          <w:sz w:val="20"/>
          <w:szCs w:val="20"/>
        </w:rPr>
        <w:t>应用的历史和现状来看，</w:t>
      </w:r>
      <w:r>
        <w:rPr>
          <w:rFonts w:ascii="Times New Roman" w:hAnsi="Times New Roman" w:eastAsia="Times New Roman" w:cs="Times New Roman"/>
          <w:sz w:val="20"/>
          <w:szCs w:val="20"/>
        </w:rPr>
        <w:t>MIS</w:t>
      </w:r>
      <w:r>
        <w:rPr>
          <w:rFonts w:ascii="Times New Roman" w:hAnsi="Times New Roman" w:eastAsia="Times New Roman" w:cs="Times New Roman"/>
          <w:spacing w:val="3"/>
          <w:sz w:val="20"/>
          <w:szCs w:val="20"/>
        </w:rPr>
        <w:t xml:space="preserve"> </w:t>
      </w:r>
      <w:r>
        <w:rPr>
          <w:spacing w:val="3"/>
          <w:sz w:val="20"/>
          <w:szCs w:val="20"/>
        </w:rPr>
        <w:t>是一个高度集成</w:t>
      </w:r>
      <w:r>
        <w:rPr>
          <w:spacing w:val="2"/>
          <w:sz w:val="20"/>
          <w:szCs w:val="20"/>
        </w:rPr>
        <w:t>化的人机信息系统，它是企业信息应</w:t>
      </w:r>
      <w:r>
        <w:rPr>
          <w:sz w:val="20"/>
          <w:szCs w:val="20"/>
        </w:rPr>
        <w:t xml:space="preserve"> </w:t>
      </w:r>
      <w:r>
        <w:rPr>
          <w:spacing w:val="4"/>
          <w:sz w:val="20"/>
          <w:szCs w:val="20"/>
        </w:rPr>
        <w:t>用系统中职能明确、体系结构较为稳定、处理技术成熟、应用也最为成功的分支。管理信息系</w:t>
      </w:r>
      <w:r>
        <w:rPr>
          <w:spacing w:val="3"/>
          <w:sz w:val="20"/>
          <w:szCs w:val="20"/>
        </w:rPr>
        <w:t xml:space="preserve"> </w:t>
      </w:r>
      <w:r>
        <w:rPr>
          <w:spacing w:val="5"/>
          <w:sz w:val="20"/>
          <w:szCs w:val="20"/>
        </w:rPr>
        <w:t>统中包含各种模型和方法，数据共享能力更大，能够提供分析、计划和辅助决策</w:t>
      </w:r>
      <w:r>
        <w:rPr>
          <w:spacing w:val="4"/>
          <w:sz w:val="20"/>
          <w:szCs w:val="20"/>
        </w:rPr>
        <w:t>功能的系统，</w:t>
      </w:r>
      <w:r>
        <w:rPr>
          <w:sz w:val="20"/>
          <w:szCs w:val="20"/>
        </w:rPr>
        <w:t xml:space="preserve"> </w:t>
      </w:r>
      <w:r>
        <w:rPr>
          <w:spacing w:val="-3"/>
          <w:sz w:val="20"/>
          <w:szCs w:val="20"/>
        </w:rPr>
        <w:t>并具有改进企业组织的效能。</w:t>
      </w:r>
    </w:p>
    <w:p w14:paraId="5426C6C4">
      <w:pPr>
        <w:spacing w:line="149" w:lineRule="exact"/>
      </w:pPr>
    </w:p>
    <w:p w14:paraId="176A2649">
      <w:pPr>
        <w:spacing w:line="149" w:lineRule="exact"/>
        <w:sectPr>
          <w:pgSz w:w="10290" w:h="13320"/>
          <w:pgMar w:top="400" w:right="572" w:bottom="400" w:left="1100" w:header="0" w:footer="0" w:gutter="0"/>
          <w:cols w:equalWidth="0" w:num="1">
            <w:col w:w="8618"/>
          </w:cols>
        </w:sectPr>
      </w:pPr>
    </w:p>
    <w:p w14:paraId="5E5D8AE4">
      <w:pPr>
        <w:pStyle w:val="2"/>
        <w:spacing w:line="230" w:lineRule="auto"/>
        <w:ind w:left="432"/>
        <w:rPr>
          <w:rFonts w:ascii="楷体" w:hAnsi="楷体" w:eastAsia="楷体" w:cs="楷体"/>
          <w:sz w:val="20"/>
          <w:szCs w:val="20"/>
        </w:rPr>
      </w:pPr>
      <w:r>
        <w:rPr>
          <w:b/>
          <w:bCs/>
          <w:spacing w:val="-4"/>
          <w:sz w:val="20"/>
          <w:szCs w:val="20"/>
        </w:rPr>
        <w:t>1)MIS</w:t>
      </w:r>
      <w:r>
        <w:rPr>
          <w:spacing w:val="-4"/>
          <w:sz w:val="20"/>
          <w:szCs w:val="20"/>
        </w:rPr>
        <w:t xml:space="preserve">  </w:t>
      </w:r>
      <w:r>
        <w:rPr>
          <w:rFonts w:ascii="楷体" w:hAnsi="楷体" w:eastAsia="楷体" w:cs="楷体"/>
          <w:b/>
          <w:bCs/>
          <w:spacing w:val="-4"/>
          <w:sz w:val="20"/>
          <w:szCs w:val="20"/>
        </w:rPr>
        <w:t>的概念</w:t>
      </w:r>
    </w:p>
    <w:p w14:paraId="600F1993">
      <w:pPr>
        <w:pStyle w:val="2"/>
        <w:spacing w:before="38" w:line="280" w:lineRule="auto"/>
        <w:ind w:right="60" w:firstLine="430"/>
        <w:jc w:val="both"/>
        <w:rPr>
          <w:sz w:val="20"/>
          <w:szCs w:val="20"/>
        </w:rPr>
      </w:pPr>
      <w:r>
        <w:rPr>
          <w:spacing w:val="8"/>
          <w:sz w:val="20"/>
          <w:szCs w:val="20"/>
        </w:rPr>
        <w:t>从管理信息系统的概念出发，</w:t>
      </w:r>
      <w:r>
        <w:rPr>
          <w:spacing w:val="4"/>
          <w:sz w:val="20"/>
          <w:szCs w:val="20"/>
        </w:rPr>
        <w:t xml:space="preserve"> 管理信息系统由四大部件组成，即</w:t>
      </w:r>
      <w:r>
        <w:rPr>
          <w:sz w:val="20"/>
          <w:szCs w:val="20"/>
        </w:rPr>
        <w:t xml:space="preserve"> </w:t>
      </w:r>
      <w:r>
        <w:rPr>
          <w:spacing w:val="3"/>
          <w:sz w:val="20"/>
          <w:szCs w:val="20"/>
        </w:rPr>
        <w:t>信息源、信息处理器、信息用户和</w:t>
      </w:r>
      <w:r>
        <w:rPr>
          <w:spacing w:val="5"/>
          <w:sz w:val="20"/>
          <w:szCs w:val="20"/>
        </w:rPr>
        <w:t xml:space="preserve">  </w:t>
      </w:r>
      <w:r>
        <w:rPr>
          <w:spacing w:val="2"/>
          <w:sz w:val="20"/>
          <w:szCs w:val="20"/>
        </w:rPr>
        <w:t>信息管理者，如图5-3所示。</w:t>
      </w:r>
    </w:p>
    <w:p w14:paraId="09C67CB0">
      <w:pPr>
        <w:pStyle w:val="2"/>
        <w:spacing w:before="29" w:line="184" w:lineRule="auto"/>
        <w:ind w:left="430"/>
        <w:rPr>
          <w:sz w:val="20"/>
          <w:szCs w:val="20"/>
        </w:rPr>
      </w:pPr>
      <w:r>
        <w:rPr>
          <w:spacing w:val="5"/>
          <w:sz w:val="20"/>
          <w:szCs w:val="20"/>
        </w:rPr>
        <w:t>根据各部件之间的联系可分为</w:t>
      </w:r>
    </w:p>
    <w:p w14:paraId="3A6351C6">
      <w:pPr>
        <w:spacing w:line="14" w:lineRule="auto"/>
        <w:rPr>
          <w:rFonts w:ascii="Arial"/>
          <w:sz w:val="2"/>
        </w:rPr>
      </w:pPr>
      <w:r>
        <w:rPr>
          <w:rFonts w:ascii="Arial" w:hAnsi="Arial" w:eastAsia="Arial" w:cs="Arial"/>
          <w:sz w:val="2"/>
          <w:szCs w:val="2"/>
        </w:rPr>
        <w:br w:type="column"/>
      </w:r>
    </w:p>
    <w:p w14:paraId="053293F8">
      <w:pPr>
        <w:pStyle w:val="2"/>
        <w:spacing w:before="190" w:line="1280" w:lineRule="exact"/>
      </w:pPr>
      <w:r>
        <w:rPr>
          <w:position w:val="-25"/>
        </w:rPr>
        <w:pict>
          <v:group id="_x0000_s1341" o:spid="_x0000_s1341" o:spt="203" style="height:64pt;width:256.5pt;" coordsize="5130,1280">
            <o:lock v:ext="edit"/>
            <v:shape id="_x0000_s1342" o:spid="_x0000_s1342" o:spt="75" type="#_x0000_t75" style="position:absolute;left:0;top:0;height:1280;width:5130;" filled="f" stroked="f" coordsize="21600,21600">
              <v:path/>
              <v:fill on="f" focussize="0,0"/>
              <v:stroke on="f"/>
              <v:imagedata r:id="rId123" o:title=""/>
              <o:lock v:ext="edit" aspectratio="t"/>
            </v:shape>
            <v:shape id="_x0000_s1343" o:spid="_x0000_s1343" o:spt="202" type="#_x0000_t202" style="position:absolute;left:2129;top:97;height:1040;width:2865;" filled="f" stroked="f" coordsize="21600,21600">
              <v:path/>
              <v:fill on="f" focussize="0,0"/>
              <v:stroke on="f"/>
              <v:imagedata o:title=""/>
              <o:lock v:ext="edit" aspectratio="f"/>
              <v:textbox inset="0mm,0mm,0mm,0mm">
                <w:txbxContent>
                  <w:p w14:paraId="2F5A233A">
                    <w:pPr>
                      <w:spacing w:before="20" w:line="219" w:lineRule="auto"/>
                      <w:ind w:left="20"/>
                      <w:rPr>
                        <w:rFonts w:ascii="宋体" w:hAnsi="宋体" w:eastAsia="宋体" w:cs="宋体"/>
                        <w:sz w:val="20"/>
                        <w:szCs w:val="20"/>
                      </w:rPr>
                    </w:pPr>
                    <w:r>
                      <w:rPr>
                        <w:rFonts w:ascii="宋体" w:hAnsi="宋体" w:eastAsia="宋体" w:cs="宋体"/>
                        <w:spacing w:val="-19"/>
                        <w:w w:val="98"/>
                        <w:sz w:val="20"/>
                        <w:szCs w:val="20"/>
                      </w:rPr>
                      <w:t>信息管理者</w:t>
                    </w:r>
                  </w:p>
                  <w:p w14:paraId="53AB3BD8">
                    <w:pPr>
                      <w:spacing w:line="247" w:lineRule="auto"/>
                      <w:rPr>
                        <w:rFonts w:ascii="Arial"/>
                        <w:sz w:val="21"/>
                      </w:rPr>
                    </w:pPr>
                  </w:p>
                  <w:p w14:paraId="3839E566">
                    <w:pPr>
                      <w:spacing w:line="247" w:lineRule="auto"/>
                      <w:rPr>
                        <w:rFonts w:ascii="Arial"/>
                        <w:sz w:val="21"/>
                      </w:rPr>
                    </w:pPr>
                  </w:p>
                  <w:p w14:paraId="3DF6FBEB">
                    <w:pPr>
                      <w:spacing w:before="65" w:line="219" w:lineRule="auto"/>
                      <w:jc w:val="right"/>
                      <w:rPr>
                        <w:rFonts w:ascii="宋体" w:hAnsi="宋体" w:eastAsia="宋体" w:cs="宋体"/>
                        <w:sz w:val="20"/>
                        <w:szCs w:val="20"/>
                      </w:rPr>
                    </w:pPr>
                    <w:r>
                      <w:rPr>
                        <w:rFonts w:ascii="宋体" w:hAnsi="宋体" w:eastAsia="宋体" w:cs="宋体"/>
                        <w:spacing w:val="-18"/>
                        <w:w w:val="95"/>
                        <w:sz w:val="20"/>
                        <w:szCs w:val="20"/>
                      </w:rPr>
                      <w:t>信息处理器</w:t>
                    </w:r>
                    <w:r>
                      <w:rPr>
                        <w:rFonts w:ascii="宋体" w:hAnsi="宋体" w:eastAsia="宋体" w:cs="宋体"/>
                        <w:spacing w:val="6"/>
                        <w:sz w:val="20"/>
                        <w:szCs w:val="20"/>
                      </w:rPr>
                      <w:t xml:space="preserve">            </w:t>
                    </w:r>
                    <w:r>
                      <w:rPr>
                        <w:rFonts w:ascii="宋体" w:hAnsi="宋体" w:eastAsia="宋体" w:cs="宋体"/>
                        <w:spacing w:val="-18"/>
                        <w:w w:val="95"/>
                        <w:sz w:val="20"/>
                        <w:szCs w:val="20"/>
                      </w:rPr>
                      <w:t>信息用户</w:t>
                    </w:r>
                  </w:p>
                </w:txbxContent>
              </v:textbox>
            </v:shape>
            <v:shape id="_x0000_s1344" o:spid="_x0000_s1344" o:spt="202" type="#_x0000_t202" style="position:absolute;left:259;top:897;height:240;width:567;" filled="f" stroked="f" coordsize="21600,21600">
              <v:path/>
              <v:fill on="f" focussize="0,0"/>
              <v:stroke on="f"/>
              <v:imagedata o:title=""/>
              <o:lock v:ext="edit" aspectratio="f"/>
              <v:textbox inset="0mm,0mm,0mm,0mm">
                <w:txbxContent>
                  <w:p w14:paraId="0AFC8E22">
                    <w:pPr>
                      <w:spacing w:before="20" w:line="219" w:lineRule="auto"/>
                      <w:jc w:val="right"/>
                      <w:rPr>
                        <w:rFonts w:ascii="宋体" w:hAnsi="宋体" w:eastAsia="宋体" w:cs="宋体"/>
                        <w:sz w:val="20"/>
                        <w:szCs w:val="20"/>
                      </w:rPr>
                    </w:pPr>
                    <w:r>
                      <w:rPr>
                        <w:rFonts w:ascii="宋体" w:hAnsi="宋体" w:eastAsia="宋体" w:cs="宋体"/>
                        <w:spacing w:val="-23"/>
                        <w:w w:val="96"/>
                        <w:sz w:val="20"/>
                        <w:szCs w:val="20"/>
                      </w:rPr>
                      <w:t>信</w:t>
                    </w:r>
                    <w:r>
                      <w:rPr>
                        <w:rFonts w:ascii="宋体" w:hAnsi="宋体" w:eastAsia="宋体" w:cs="宋体"/>
                        <w:spacing w:val="-22"/>
                        <w:w w:val="96"/>
                        <w:sz w:val="20"/>
                        <w:szCs w:val="20"/>
                      </w:rPr>
                      <w:t>息</w:t>
                    </w:r>
                    <w:r>
                      <w:rPr>
                        <w:rFonts w:ascii="宋体" w:hAnsi="宋体" w:eastAsia="宋体" w:cs="宋体"/>
                        <w:spacing w:val="-9"/>
                        <w:w w:val="96"/>
                        <w:sz w:val="20"/>
                        <w:szCs w:val="20"/>
                      </w:rPr>
                      <w:t>源</w:t>
                    </w:r>
                  </w:p>
                </w:txbxContent>
              </v:textbox>
            </v:shape>
            <w10:wrap type="none"/>
            <w10:anchorlock/>
          </v:group>
        </w:pict>
      </w:r>
    </w:p>
    <w:p w14:paraId="09F4D76A">
      <w:pPr>
        <w:pStyle w:val="2"/>
        <w:spacing w:before="28" w:line="212" w:lineRule="auto"/>
        <w:ind w:left="1289"/>
        <w:rPr>
          <w:sz w:val="20"/>
          <w:szCs w:val="20"/>
        </w:rPr>
      </w:pPr>
      <w:r>
        <w:rPr>
          <w:spacing w:val="-14"/>
          <w:sz w:val="20"/>
          <w:szCs w:val="20"/>
        </w:rPr>
        <w:t>图5-3</w:t>
      </w:r>
      <w:r>
        <w:rPr>
          <w:spacing w:val="59"/>
          <w:sz w:val="20"/>
          <w:szCs w:val="20"/>
        </w:rPr>
        <w:t xml:space="preserve"> </w:t>
      </w:r>
      <w:r>
        <w:rPr>
          <w:spacing w:val="-14"/>
          <w:sz w:val="20"/>
          <w:szCs w:val="20"/>
        </w:rPr>
        <w:t>管理信息系统的总体结构</w:t>
      </w:r>
    </w:p>
    <w:p w14:paraId="4AE21994">
      <w:pPr>
        <w:spacing w:line="212" w:lineRule="auto"/>
        <w:rPr>
          <w:sz w:val="20"/>
          <w:szCs w:val="20"/>
        </w:rPr>
        <w:sectPr>
          <w:type w:val="continuous"/>
          <w:pgSz w:w="10290" w:h="13320"/>
          <w:pgMar w:top="400" w:right="572" w:bottom="400" w:left="1100" w:header="0" w:footer="0" w:gutter="0"/>
          <w:cols w:equalWidth="0" w:num="2">
            <w:col w:w="3201" w:space="100"/>
            <w:col w:w="5318"/>
          </w:cols>
        </w:sectPr>
      </w:pPr>
    </w:p>
    <w:p w14:paraId="25CC806E">
      <w:pPr>
        <w:pStyle w:val="2"/>
        <w:spacing w:before="116" w:line="219" w:lineRule="auto"/>
        <w:rPr>
          <w:sz w:val="18"/>
          <w:szCs w:val="18"/>
        </w:rPr>
      </w:pPr>
      <w:bookmarkStart w:id="559" w:name="bookmark545"/>
      <w:bookmarkEnd w:id="559"/>
      <w:r>
        <w:rPr>
          <w:rFonts w:ascii="Times New Roman" w:hAnsi="Times New Roman" w:eastAsia="Times New Roman" w:cs="Times New Roman"/>
          <w:spacing w:val="9"/>
          <w:position w:val="-2"/>
          <w:sz w:val="18"/>
          <w:szCs w:val="18"/>
        </w:rPr>
        <w:t>162</w:t>
      </w:r>
      <w:r>
        <w:rPr>
          <w:rFonts w:ascii="Times New Roman" w:hAnsi="Times New Roman" w:eastAsia="Times New Roman" w:cs="Times New Roman"/>
          <w:spacing w:val="2"/>
          <w:position w:val="-2"/>
          <w:sz w:val="18"/>
          <w:szCs w:val="18"/>
        </w:rPr>
        <w:t xml:space="preserve">               </w:t>
      </w:r>
      <w:r>
        <w:rPr>
          <w:spacing w:val="9"/>
          <w:sz w:val="18"/>
          <w:szCs w:val="18"/>
        </w:rPr>
        <w:t>信息系统监理师教程(第2版)</w:t>
      </w:r>
    </w:p>
    <w:p w14:paraId="2F1CFE95">
      <w:pPr>
        <w:spacing w:line="299" w:lineRule="auto"/>
        <w:rPr>
          <w:rFonts w:ascii="Arial"/>
          <w:sz w:val="21"/>
        </w:rPr>
      </w:pPr>
    </w:p>
    <w:p w14:paraId="73D3A1F4">
      <w:pPr>
        <w:pStyle w:val="2"/>
        <w:spacing w:before="58" w:line="332" w:lineRule="auto"/>
        <w:ind w:left="329" w:right="70"/>
        <w:jc w:val="both"/>
        <w:rPr>
          <w:sz w:val="18"/>
          <w:szCs w:val="18"/>
        </w:rPr>
      </w:pPr>
      <w:r>
        <w:rPr>
          <w:spacing w:val="23"/>
          <w:sz w:val="18"/>
          <w:szCs w:val="18"/>
        </w:rPr>
        <w:t>开环结构和闭环结构。开环结构是在执行一个决策的过程中不收集外部信息，不根据信息情况</w:t>
      </w:r>
      <w:r>
        <w:rPr>
          <w:spacing w:val="3"/>
          <w:sz w:val="18"/>
          <w:szCs w:val="18"/>
        </w:rPr>
        <w:t xml:space="preserve"> </w:t>
      </w:r>
      <w:r>
        <w:rPr>
          <w:spacing w:val="23"/>
          <w:sz w:val="18"/>
          <w:szCs w:val="18"/>
        </w:rPr>
        <w:t>改变决策，直至产生本次决策的结果，事后的评价只供以后的决策作参考。闭环结构是在决策</w:t>
      </w:r>
      <w:r>
        <w:rPr>
          <w:spacing w:val="3"/>
          <w:sz w:val="18"/>
          <w:szCs w:val="18"/>
        </w:rPr>
        <w:t xml:space="preserve"> </w:t>
      </w:r>
      <w:r>
        <w:rPr>
          <w:spacing w:val="23"/>
          <w:sz w:val="18"/>
          <w:szCs w:val="18"/>
        </w:rPr>
        <w:t>过程中不断收集信息，不断发送给决策者，不断调整决策，事实上最后执行的决策已不是当初</w:t>
      </w:r>
      <w:r>
        <w:rPr>
          <w:spacing w:val="5"/>
          <w:sz w:val="18"/>
          <w:szCs w:val="18"/>
        </w:rPr>
        <w:t xml:space="preserve"> </w:t>
      </w:r>
      <w:r>
        <w:rPr>
          <w:spacing w:val="18"/>
          <w:sz w:val="18"/>
          <w:szCs w:val="18"/>
        </w:rPr>
        <w:t>设想的决策。开环结构与闭环结构如图5-4所示。</w:t>
      </w:r>
    </w:p>
    <w:p w14:paraId="3D910677">
      <w:pPr>
        <w:spacing w:line="251" w:lineRule="auto"/>
        <w:rPr>
          <w:rFonts w:ascii="Arial"/>
          <w:sz w:val="21"/>
        </w:rPr>
      </w:pPr>
    </w:p>
    <w:p w14:paraId="1710E436">
      <w:pPr>
        <w:spacing w:line="251" w:lineRule="auto"/>
        <w:rPr>
          <w:rFonts w:ascii="Arial"/>
          <w:sz w:val="21"/>
        </w:rPr>
      </w:pPr>
    </w:p>
    <w:p w14:paraId="2E0F228B">
      <w:pPr>
        <w:spacing w:line="251" w:lineRule="auto"/>
        <w:rPr>
          <w:rFonts w:ascii="Arial"/>
          <w:sz w:val="21"/>
        </w:rPr>
      </w:pPr>
      <w:r>
        <w:pict>
          <v:shape id="_x0000_s1345" o:spid="_x0000_s1345" o:spt="202" type="#_x0000_t202" style="position:absolute;left:0pt;margin-left:356.75pt;margin-top:9.95pt;height:20.35pt;width:10.95pt;z-index:251719680;mso-width-relative:page;mso-height-relative:page;" filled="f" stroked="f" coordsize="21600,21600">
            <v:path/>
            <v:fill on="f" focussize="0,0"/>
            <v:stroke on="f"/>
            <v:imagedata o:title=""/>
            <o:lock v:ext="edit" aspectratio="f"/>
            <v:textbox inset="0mm,0mm,0mm,0mm" style="layout-flow:vertical-ideographic;">
              <w:txbxContent>
                <w:p w14:paraId="2B79971C">
                  <w:pPr>
                    <w:pStyle w:val="2"/>
                    <w:spacing w:before="20" w:line="200" w:lineRule="auto"/>
                    <w:ind w:left="20"/>
                    <w:rPr>
                      <w:sz w:val="16"/>
                      <w:szCs w:val="16"/>
                    </w:rPr>
                  </w:pPr>
                  <w:r>
                    <w:rPr>
                      <w:spacing w:val="23"/>
                      <w:sz w:val="16"/>
                      <w:szCs w:val="16"/>
                    </w:rPr>
                    <w:t>评价</w:t>
                  </w:r>
                </w:p>
              </w:txbxContent>
            </v:textbox>
          </v:shape>
        </w:pict>
      </w:r>
      <w:r>
        <w:pict>
          <v:shape id="_x0000_s1346" o:spid="_x0000_s1346" o:spt="202" type="#_x0000_t202" style="position:absolute;left:0pt;margin-left:322.1pt;margin-top:10.3pt;height:20.6pt;width:10.7pt;z-index:251724800;mso-width-relative:page;mso-height-relative:page;" filled="f" stroked="f" coordsize="21600,21600">
            <v:path/>
            <v:fill on="f" focussize="0,0"/>
            <v:stroke on="f"/>
            <v:imagedata o:title=""/>
            <o:lock v:ext="edit" aspectratio="f"/>
            <v:textbox inset="0mm,0mm,0mm,0mm" style="layout-flow:vertical-ideographic;">
              <w:txbxContent>
                <w:p w14:paraId="7571E955">
                  <w:pPr>
                    <w:pStyle w:val="2"/>
                    <w:spacing w:before="20" w:line="194" w:lineRule="auto"/>
                    <w:ind w:left="20"/>
                    <w:rPr>
                      <w:sz w:val="16"/>
                      <w:szCs w:val="16"/>
                    </w:rPr>
                  </w:pPr>
                  <w:r>
                    <w:rPr>
                      <w:sz w:val="16"/>
                      <w:szCs w:val="16"/>
                    </w:rPr>
                    <w:t>结</w:t>
                  </w:r>
                  <w:r>
                    <w:rPr>
                      <w:spacing w:val="-29"/>
                      <w:sz w:val="16"/>
                      <w:szCs w:val="16"/>
                    </w:rPr>
                    <w:t xml:space="preserve"> </w:t>
                  </w:r>
                  <w:r>
                    <w:rPr>
                      <w:sz w:val="16"/>
                      <w:szCs w:val="16"/>
                    </w:rPr>
                    <w:t>果</w:t>
                  </w:r>
                </w:p>
              </w:txbxContent>
            </v:textbox>
          </v:shape>
        </w:pict>
      </w:r>
      <w:r>
        <w:pict>
          <v:shape id="_x0000_s1347" o:spid="_x0000_s1347" o:spt="202" type="#_x0000_t202" style="position:absolute;left:0pt;margin-left:288.95pt;margin-top:10.2pt;height:20.7pt;width:10.9pt;z-index:251720704;mso-width-relative:page;mso-height-relative:page;" filled="f" stroked="f" coordsize="21600,21600">
            <v:path/>
            <v:fill on="f" focussize="0,0"/>
            <v:stroke on="f"/>
            <v:imagedata o:title=""/>
            <o:lock v:ext="edit" aspectratio="f"/>
            <v:textbox inset="0mm,0mm,0mm,0mm" style="layout-flow:vertical-ideographic;">
              <w:txbxContent>
                <w:p w14:paraId="1FBDEA0E">
                  <w:pPr>
                    <w:pStyle w:val="2"/>
                    <w:spacing w:before="19" w:line="199" w:lineRule="auto"/>
                    <w:ind w:left="20"/>
                    <w:rPr>
                      <w:sz w:val="16"/>
                      <w:szCs w:val="16"/>
                    </w:rPr>
                  </w:pPr>
                  <w:r>
                    <w:rPr>
                      <w:sz w:val="16"/>
                      <w:szCs w:val="16"/>
                    </w:rPr>
                    <w:t>行</w:t>
                  </w:r>
                  <w:r>
                    <w:rPr>
                      <w:spacing w:val="-27"/>
                      <w:sz w:val="16"/>
                      <w:szCs w:val="16"/>
                    </w:rPr>
                    <w:t xml:space="preserve"> </w:t>
                  </w:r>
                  <w:r>
                    <w:rPr>
                      <w:sz w:val="16"/>
                      <w:szCs w:val="16"/>
                    </w:rPr>
                    <w:t>动</w:t>
                  </w:r>
                </w:p>
              </w:txbxContent>
            </v:textbox>
          </v:shape>
        </w:pict>
      </w:r>
      <w:r>
        <w:pict>
          <v:shape id="_x0000_s1348" o:spid="_x0000_s1348" o:spt="202" type="#_x0000_t202" style="position:absolute;left:0pt;margin-left:254.75pt;margin-top:10.25pt;height:22.65pt;width:10.9pt;z-index:251718656;mso-width-relative:page;mso-height-relative:page;" filled="f" stroked="f" coordsize="21600,21600">
            <v:path/>
            <v:fill on="f" focussize="0,0"/>
            <v:stroke on="f"/>
            <v:imagedata o:title=""/>
            <o:lock v:ext="edit" aspectratio="f"/>
            <v:textbox inset="0mm,0mm,0mm,0mm" style="layout-flow:vertical-ideographic;">
              <w:txbxContent>
                <w:p w14:paraId="30D6DEFB">
                  <w:pPr>
                    <w:pStyle w:val="2"/>
                    <w:spacing w:before="20" w:line="199" w:lineRule="auto"/>
                    <w:ind w:left="20"/>
                    <w:rPr>
                      <w:sz w:val="16"/>
                      <w:szCs w:val="16"/>
                    </w:rPr>
                  </w:pPr>
                  <w:r>
                    <w:rPr>
                      <w:sz w:val="16"/>
                      <w:szCs w:val="16"/>
                    </w:rPr>
                    <w:t>决</w:t>
                  </w:r>
                  <w:r>
                    <w:rPr>
                      <w:spacing w:val="12"/>
                      <w:sz w:val="16"/>
                      <w:szCs w:val="16"/>
                    </w:rPr>
                    <w:t xml:space="preserve"> </w:t>
                  </w:r>
                  <w:r>
                    <w:rPr>
                      <w:sz w:val="16"/>
                      <w:szCs w:val="16"/>
                    </w:rPr>
                    <w:t>策</w:t>
                  </w:r>
                </w:p>
              </w:txbxContent>
            </v:textbox>
          </v:shape>
        </w:pict>
      </w:r>
      <w:r>
        <w:pict>
          <v:shape id="_x0000_s1349" o:spid="_x0000_s1349" o:spt="202" type="#_x0000_t202" style="position:absolute;left:0pt;margin-left:210.25pt;margin-top:10.3pt;height:20.6pt;width:10.9pt;z-index:251721728;mso-width-relative:page;mso-height-relative:page;" filled="f" stroked="f" coordsize="21600,21600">
            <v:path/>
            <v:fill on="f" focussize="0,0"/>
            <v:stroke on="f"/>
            <v:imagedata o:title=""/>
            <o:lock v:ext="edit" aspectratio="f"/>
            <v:textbox inset="0mm,0mm,0mm,0mm" style="layout-flow:vertical-ideographic;">
              <w:txbxContent>
                <w:p w14:paraId="7C882449">
                  <w:pPr>
                    <w:pStyle w:val="2"/>
                    <w:spacing w:before="20" w:line="199" w:lineRule="auto"/>
                    <w:ind w:left="20"/>
                    <w:rPr>
                      <w:sz w:val="16"/>
                      <w:szCs w:val="16"/>
                    </w:rPr>
                  </w:pPr>
                  <w:r>
                    <w:rPr>
                      <w:sz w:val="16"/>
                      <w:szCs w:val="16"/>
                    </w:rPr>
                    <w:t>交</w:t>
                  </w:r>
                  <w:r>
                    <w:rPr>
                      <w:spacing w:val="-29"/>
                      <w:sz w:val="16"/>
                      <w:szCs w:val="16"/>
                    </w:rPr>
                    <w:t xml:space="preserve"> </w:t>
                  </w:r>
                  <w:r>
                    <w:rPr>
                      <w:sz w:val="16"/>
                      <w:szCs w:val="16"/>
                    </w:rPr>
                    <w:t>换</w:t>
                  </w:r>
                </w:p>
              </w:txbxContent>
            </v:textbox>
          </v:shape>
        </w:pict>
      </w:r>
      <w:r>
        <w:pict>
          <v:shape id="_x0000_s1350" o:spid="_x0000_s1350" o:spt="202" type="#_x0000_t202" style="position:absolute;left:0pt;margin-left:137.85pt;margin-top:10.55pt;height:19.85pt;width:11.05pt;z-index:251723776;mso-width-relative:page;mso-height-relative:page;" filled="f" stroked="f" coordsize="21600,21600">
            <v:path/>
            <v:fill on="f" focussize="0,0"/>
            <v:stroke on="f"/>
            <v:imagedata o:title=""/>
            <o:lock v:ext="edit" aspectratio="f"/>
            <v:textbox inset="0mm,0mm,0mm,0mm" style="layout-flow:vertical-ideographic;">
              <w:txbxContent>
                <w:p w14:paraId="102242F3">
                  <w:pPr>
                    <w:pStyle w:val="2"/>
                    <w:spacing w:before="20" w:line="202" w:lineRule="auto"/>
                    <w:ind w:left="20"/>
                    <w:rPr>
                      <w:sz w:val="16"/>
                      <w:szCs w:val="16"/>
                    </w:rPr>
                  </w:pPr>
                  <w:r>
                    <w:rPr>
                      <w:spacing w:val="18"/>
                      <w:sz w:val="16"/>
                      <w:szCs w:val="16"/>
                    </w:rPr>
                    <w:t>记录</w:t>
                  </w:r>
                </w:p>
              </w:txbxContent>
            </v:textbox>
          </v:shape>
        </w:pict>
      </w:r>
      <w:r>
        <w:pict>
          <v:shape id="_x0000_s1351" o:spid="_x0000_s1351" o:spt="202" type="#_x0000_t202" style="position:absolute;left:0pt;margin-left:102pt;margin-top:9.95pt;height:20.4pt;width:10.8pt;z-index:251722752;mso-width-relative:page;mso-height-relative:page;" filled="f" stroked="f" coordsize="21600,21600">
            <v:path/>
            <v:fill on="f" focussize="0,0"/>
            <v:stroke on="f"/>
            <v:imagedata o:title=""/>
            <o:lock v:ext="edit" aspectratio="f"/>
            <v:textbox inset="0mm,0mm,0mm,0mm" style="layout-flow:vertical-ideographic;">
              <w:txbxContent>
                <w:p w14:paraId="2AFDFEB0">
                  <w:pPr>
                    <w:pStyle w:val="2"/>
                    <w:spacing w:before="20" w:line="196" w:lineRule="auto"/>
                    <w:ind w:left="20"/>
                    <w:rPr>
                      <w:sz w:val="16"/>
                      <w:szCs w:val="16"/>
                    </w:rPr>
                  </w:pPr>
                  <w:r>
                    <w:rPr>
                      <w:spacing w:val="23"/>
                      <w:sz w:val="16"/>
                      <w:szCs w:val="16"/>
                    </w:rPr>
                    <w:t>识别</w:t>
                  </w:r>
                </w:p>
              </w:txbxContent>
            </v:textbox>
          </v:shape>
        </w:pict>
      </w:r>
    </w:p>
    <w:p w14:paraId="7DE35A74">
      <w:pPr>
        <w:pStyle w:val="2"/>
        <w:spacing w:before="58" w:line="219" w:lineRule="auto"/>
        <w:ind w:left="909"/>
        <w:rPr>
          <w:sz w:val="18"/>
          <w:szCs w:val="18"/>
        </w:rPr>
      </w:pPr>
      <w:r>
        <w:drawing>
          <wp:anchor distT="0" distB="0" distL="0" distR="0" simplePos="0" relativeHeight="251713536" behindDoc="1" locked="0" layoutInCell="1" allowOverlap="1">
            <wp:simplePos x="0" y="0"/>
            <wp:positionH relativeFrom="column">
              <wp:posOffset>399415</wp:posOffset>
            </wp:positionH>
            <wp:positionV relativeFrom="paragraph">
              <wp:posOffset>-474980</wp:posOffset>
            </wp:positionV>
            <wp:extent cx="4895850" cy="154305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24"/>
                    <a:stretch>
                      <a:fillRect/>
                    </a:stretch>
                  </pic:blipFill>
                  <pic:spPr>
                    <a:xfrm>
                      <a:off x="0" y="0"/>
                      <a:ext cx="4895865" cy="1543106"/>
                    </a:xfrm>
                    <a:prstGeom prst="rect">
                      <a:avLst/>
                    </a:prstGeom>
                  </pic:spPr>
                </pic:pic>
              </a:graphicData>
            </a:graphic>
          </wp:anchor>
        </w:drawing>
      </w:r>
      <w:r>
        <w:rPr>
          <w:spacing w:val="-2"/>
          <w:sz w:val="18"/>
          <w:szCs w:val="18"/>
        </w:rPr>
        <w:t>事件1</w:t>
      </w:r>
    </w:p>
    <w:p w14:paraId="53310D81">
      <w:pPr>
        <w:spacing w:line="252" w:lineRule="auto"/>
        <w:rPr>
          <w:rFonts w:ascii="Arial"/>
          <w:sz w:val="21"/>
        </w:rPr>
      </w:pPr>
    </w:p>
    <w:p w14:paraId="1775F180">
      <w:pPr>
        <w:spacing w:line="252" w:lineRule="auto"/>
        <w:rPr>
          <w:rFonts w:ascii="Arial"/>
          <w:sz w:val="21"/>
        </w:rPr>
      </w:pPr>
    </w:p>
    <w:p w14:paraId="26F29996">
      <w:pPr>
        <w:pStyle w:val="2"/>
        <w:spacing w:before="59" w:line="219" w:lineRule="auto"/>
        <w:ind w:left="3439"/>
        <w:rPr>
          <w:sz w:val="18"/>
          <w:szCs w:val="18"/>
        </w:rPr>
      </w:pPr>
      <w:r>
        <w:rPr>
          <w:spacing w:val="-2"/>
          <w:sz w:val="18"/>
          <w:szCs w:val="18"/>
        </w:rPr>
        <w:t>存储</w:t>
      </w:r>
    </w:p>
    <w:p w14:paraId="4087A8B0">
      <w:pPr>
        <w:spacing w:line="266" w:lineRule="auto"/>
        <w:rPr>
          <w:rFonts w:ascii="Arial"/>
          <w:sz w:val="21"/>
        </w:rPr>
      </w:pPr>
    </w:p>
    <w:p w14:paraId="0B34A380">
      <w:pPr>
        <w:pStyle w:val="2"/>
        <w:spacing w:before="59" w:line="219" w:lineRule="auto"/>
        <w:ind w:left="1219"/>
        <w:rPr>
          <w:sz w:val="18"/>
          <w:szCs w:val="18"/>
        </w:rPr>
      </w:pPr>
      <w:r>
        <w:rPr>
          <w:spacing w:val="-2"/>
          <w:sz w:val="18"/>
          <w:szCs w:val="18"/>
        </w:rPr>
        <w:t>事件2</w:t>
      </w:r>
    </w:p>
    <w:p w14:paraId="014D48C1">
      <w:pPr>
        <w:pStyle w:val="2"/>
        <w:spacing w:before="177" w:line="220" w:lineRule="auto"/>
        <w:ind w:left="3389"/>
        <w:rPr>
          <w:sz w:val="18"/>
          <w:szCs w:val="18"/>
        </w:rPr>
      </w:pPr>
      <w:r>
        <w:rPr>
          <w:spacing w:val="-1"/>
          <w:sz w:val="18"/>
          <w:szCs w:val="18"/>
        </w:rPr>
        <w:t>图5-4</w:t>
      </w:r>
      <w:r>
        <w:rPr>
          <w:spacing w:val="85"/>
          <w:sz w:val="18"/>
          <w:szCs w:val="18"/>
        </w:rPr>
        <w:t xml:space="preserve"> </w:t>
      </w:r>
      <w:r>
        <w:rPr>
          <w:spacing w:val="-1"/>
          <w:sz w:val="18"/>
          <w:szCs w:val="18"/>
        </w:rPr>
        <w:t>开环结构与闭环结构</w:t>
      </w:r>
    </w:p>
    <w:p w14:paraId="1EAE644A">
      <w:pPr>
        <w:spacing w:line="71" w:lineRule="exact"/>
      </w:pPr>
    </w:p>
    <w:p w14:paraId="52865ADD">
      <w:pPr>
        <w:spacing w:line="71" w:lineRule="exact"/>
        <w:sectPr>
          <w:pgSz w:w="10310" w:h="13400"/>
          <w:pgMar w:top="400" w:right="1039" w:bottom="400" w:left="540" w:header="0" w:footer="0" w:gutter="0"/>
          <w:cols w:equalWidth="0" w:num="1">
            <w:col w:w="8730"/>
          </w:cols>
        </w:sectPr>
      </w:pPr>
    </w:p>
    <w:p w14:paraId="2965DB97">
      <w:pPr>
        <w:pStyle w:val="2"/>
        <w:spacing w:before="115" w:line="323" w:lineRule="auto"/>
        <w:ind w:left="329" w:right="162" w:firstLine="420"/>
        <w:jc w:val="both"/>
        <w:rPr>
          <w:sz w:val="18"/>
          <w:szCs w:val="18"/>
        </w:rPr>
      </w:pPr>
      <w:r>
        <w:rPr>
          <w:spacing w:val="31"/>
          <w:sz w:val="18"/>
          <w:szCs w:val="18"/>
        </w:rPr>
        <w:t>计算机实时处理的系统均属于闭环系</w:t>
      </w:r>
      <w:r>
        <w:rPr>
          <w:spacing w:val="9"/>
          <w:sz w:val="18"/>
          <w:szCs w:val="18"/>
        </w:rPr>
        <w:t xml:space="preserve"> </w:t>
      </w:r>
      <w:r>
        <w:rPr>
          <w:spacing w:val="27"/>
          <w:sz w:val="18"/>
          <w:szCs w:val="18"/>
        </w:rPr>
        <w:t>统，而批处理系统</w:t>
      </w:r>
      <w:r>
        <w:rPr>
          <w:spacing w:val="-41"/>
          <w:sz w:val="18"/>
          <w:szCs w:val="18"/>
        </w:rPr>
        <w:t xml:space="preserve"> </w:t>
      </w:r>
      <w:r>
        <w:rPr>
          <w:spacing w:val="27"/>
          <w:sz w:val="18"/>
          <w:szCs w:val="18"/>
        </w:rPr>
        <w:t>一</w:t>
      </w:r>
      <w:r>
        <w:rPr>
          <w:spacing w:val="-49"/>
          <w:sz w:val="18"/>
          <w:szCs w:val="18"/>
        </w:rPr>
        <w:t xml:space="preserve"> </w:t>
      </w:r>
      <w:r>
        <w:rPr>
          <w:spacing w:val="27"/>
          <w:sz w:val="18"/>
          <w:szCs w:val="18"/>
        </w:rPr>
        <w:t>般属于开环系统。其</w:t>
      </w:r>
      <w:r>
        <w:rPr>
          <w:sz w:val="18"/>
          <w:szCs w:val="18"/>
        </w:rPr>
        <w:t xml:space="preserve"> </w:t>
      </w:r>
      <w:r>
        <w:rPr>
          <w:spacing w:val="19"/>
          <w:sz w:val="18"/>
          <w:szCs w:val="18"/>
        </w:rPr>
        <w:t>次，根据处理的内容及决策的层次来看，可</w:t>
      </w:r>
      <w:r>
        <w:rPr>
          <w:spacing w:val="15"/>
          <w:sz w:val="18"/>
          <w:szCs w:val="18"/>
        </w:rPr>
        <w:t xml:space="preserve"> </w:t>
      </w:r>
      <w:r>
        <w:rPr>
          <w:spacing w:val="26"/>
          <w:sz w:val="18"/>
          <w:szCs w:val="18"/>
        </w:rPr>
        <w:t>以把管理信息系统看成</w:t>
      </w:r>
      <w:r>
        <w:rPr>
          <w:spacing w:val="-40"/>
          <w:sz w:val="18"/>
          <w:szCs w:val="18"/>
        </w:rPr>
        <w:t xml:space="preserve"> </w:t>
      </w:r>
      <w:r>
        <w:rPr>
          <w:spacing w:val="26"/>
          <w:sz w:val="18"/>
          <w:szCs w:val="18"/>
        </w:rPr>
        <w:t>一</w:t>
      </w:r>
      <w:r>
        <w:rPr>
          <w:spacing w:val="-49"/>
          <w:sz w:val="18"/>
          <w:szCs w:val="18"/>
        </w:rPr>
        <w:t xml:space="preserve"> </w:t>
      </w:r>
      <w:r>
        <w:rPr>
          <w:spacing w:val="26"/>
          <w:sz w:val="18"/>
          <w:szCs w:val="18"/>
        </w:rPr>
        <w:t>个金字塔式的结</w:t>
      </w:r>
      <w:r>
        <w:rPr>
          <w:sz w:val="18"/>
          <w:szCs w:val="18"/>
        </w:rPr>
        <w:t xml:space="preserve"> </w:t>
      </w:r>
      <w:r>
        <w:rPr>
          <w:spacing w:val="19"/>
          <w:sz w:val="18"/>
          <w:szCs w:val="18"/>
        </w:rPr>
        <w:t>构，如图5-5所示。</w:t>
      </w:r>
    </w:p>
    <w:p w14:paraId="29E7F0C9">
      <w:pPr>
        <w:spacing w:before="84" w:line="212" w:lineRule="auto"/>
        <w:ind w:left="739"/>
        <w:rPr>
          <w:rFonts w:ascii="楷体" w:hAnsi="楷体" w:eastAsia="楷体" w:cs="楷体"/>
          <w:sz w:val="18"/>
          <w:szCs w:val="18"/>
        </w:rPr>
      </w:pPr>
      <w:r>
        <w:rPr>
          <w:rFonts w:ascii="Times New Roman" w:hAnsi="Times New Roman" w:eastAsia="Times New Roman" w:cs="Times New Roman"/>
          <w:spacing w:val="-5"/>
          <w:sz w:val="18"/>
          <w:szCs w:val="18"/>
        </w:rPr>
        <w:t>2)MIS</w:t>
      </w:r>
      <w:r>
        <w:rPr>
          <w:rFonts w:ascii="Times New Roman" w:hAnsi="Times New Roman" w:eastAsia="Times New Roman" w:cs="Times New Roman"/>
          <w:spacing w:val="4"/>
          <w:sz w:val="18"/>
          <w:szCs w:val="18"/>
        </w:rPr>
        <w:t xml:space="preserve">     </w:t>
      </w:r>
      <w:r>
        <w:rPr>
          <w:rFonts w:ascii="楷体" w:hAnsi="楷体" w:eastAsia="楷体" w:cs="楷体"/>
          <w:spacing w:val="-5"/>
          <w:sz w:val="18"/>
          <w:szCs w:val="18"/>
        </w:rPr>
        <w:t>的</w:t>
      </w:r>
      <w:r>
        <w:rPr>
          <w:rFonts w:ascii="楷体" w:hAnsi="楷体" w:eastAsia="楷体" w:cs="楷体"/>
          <w:spacing w:val="-30"/>
          <w:sz w:val="18"/>
          <w:szCs w:val="18"/>
        </w:rPr>
        <w:t xml:space="preserve"> </w:t>
      </w:r>
      <w:r>
        <w:rPr>
          <w:rFonts w:ascii="楷体" w:hAnsi="楷体" w:eastAsia="楷体" w:cs="楷体"/>
          <w:spacing w:val="-5"/>
          <w:sz w:val="18"/>
          <w:szCs w:val="18"/>
        </w:rPr>
        <w:t>组</w:t>
      </w:r>
      <w:r>
        <w:rPr>
          <w:rFonts w:ascii="楷体" w:hAnsi="楷体" w:eastAsia="楷体" w:cs="楷体"/>
          <w:spacing w:val="-38"/>
          <w:sz w:val="18"/>
          <w:szCs w:val="18"/>
        </w:rPr>
        <w:t xml:space="preserve"> </w:t>
      </w:r>
      <w:r>
        <w:rPr>
          <w:rFonts w:ascii="楷体" w:hAnsi="楷体" w:eastAsia="楷体" w:cs="楷体"/>
          <w:spacing w:val="-5"/>
          <w:sz w:val="18"/>
          <w:szCs w:val="18"/>
        </w:rPr>
        <w:t>成</w:t>
      </w:r>
    </w:p>
    <w:p w14:paraId="7EEF6F83">
      <w:pPr>
        <w:pStyle w:val="2"/>
        <w:spacing w:before="94" w:line="338" w:lineRule="auto"/>
        <w:ind w:left="329" w:right="131" w:firstLine="420"/>
        <w:rPr>
          <w:sz w:val="18"/>
          <w:szCs w:val="18"/>
        </w:rPr>
      </w:pPr>
      <w:r>
        <w:rPr>
          <w:spacing w:val="24"/>
          <w:sz w:val="18"/>
          <w:szCs w:val="18"/>
        </w:rPr>
        <w:t>一</w:t>
      </w:r>
      <w:r>
        <w:rPr>
          <w:spacing w:val="-41"/>
          <w:sz w:val="18"/>
          <w:szCs w:val="18"/>
        </w:rPr>
        <w:t xml:space="preserve"> </w:t>
      </w:r>
      <w:r>
        <w:rPr>
          <w:spacing w:val="24"/>
          <w:sz w:val="18"/>
          <w:szCs w:val="18"/>
        </w:rPr>
        <w:t>个管理信息系统可以用功能/层次矩</w:t>
      </w:r>
      <w:r>
        <w:rPr>
          <w:sz w:val="18"/>
          <w:szCs w:val="18"/>
        </w:rPr>
        <w:t xml:space="preserve"> </w:t>
      </w:r>
      <w:r>
        <w:rPr>
          <w:spacing w:val="19"/>
          <w:sz w:val="18"/>
          <w:szCs w:val="18"/>
        </w:rPr>
        <w:t>阵表示，如图5-6所示。</w:t>
      </w:r>
    </w:p>
    <w:p w14:paraId="31EE7668">
      <w:pPr>
        <w:spacing w:line="14" w:lineRule="auto"/>
        <w:rPr>
          <w:rFonts w:ascii="Arial"/>
          <w:sz w:val="2"/>
        </w:rPr>
      </w:pPr>
      <w:r>
        <w:rPr>
          <w:rFonts w:ascii="Arial" w:hAnsi="Arial" w:eastAsia="Arial" w:cs="Arial"/>
          <w:sz w:val="2"/>
          <w:szCs w:val="2"/>
        </w:rPr>
        <w:br w:type="column"/>
      </w:r>
    </w:p>
    <w:p w14:paraId="5BA91A7A">
      <w:pPr>
        <w:spacing w:line="312" w:lineRule="auto"/>
        <w:rPr>
          <w:rFonts w:ascii="Arial"/>
          <w:sz w:val="21"/>
        </w:rPr>
      </w:pPr>
    </w:p>
    <w:p w14:paraId="7EDC1F0A">
      <w:pPr>
        <w:pStyle w:val="2"/>
        <w:spacing w:before="59" w:line="220" w:lineRule="auto"/>
        <w:ind w:left="1219"/>
        <w:rPr>
          <w:sz w:val="18"/>
          <w:szCs w:val="18"/>
        </w:rPr>
      </w:pPr>
      <w:r>
        <w:drawing>
          <wp:anchor distT="0" distB="0" distL="0" distR="0" simplePos="0" relativeHeight="251714560" behindDoc="1" locked="0" layoutInCell="1" allowOverlap="1">
            <wp:simplePos x="0" y="0"/>
            <wp:positionH relativeFrom="column">
              <wp:posOffset>0</wp:posOffset>
            </wp:positionH>
            <wp:positionV relativeFrom="paragraph">
              <wp:posOffset>-177165</wp:posOffset>
            </wp:positionV>
            <wp:extent cx="2743200" cy="154305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25"/>
                    <a:stretch>
                      <a:fillRect/>
                    </a:stretch>
                  </pic:blipFill>
                  <pic:spPr>
                    <a:xfrm>
                      <a:off x="0" y="0"/>
                      <a:ext cx="2743195" cy="1543107"/>
                    </a:xfrm>
                    <a:prstGeom prst="rect">
                      <a:avLst/>
                    </a:prstGeom>
                  </pic:spPr>
                </pic:pic>
              </a:graphicData>
            </a:graphic>
          </wp:anchor>
        </w:drawing>
      </w:r>
      <w:r>
        <w:rPr>
          <w:spacing w:val="-7"/>
          <w:sz w:val="18"/>
          <w:szCs w:val="18"/>
        </w:rPr>
        <w:t>战略计划</w:t>
      </w:r>
    </w:p>
    <w:p w14:paraId="7EC204BF">
      <w:pPr>
        <w:spacing w:line="264" w:lineRule="auto"/>
        <w:rPr>
          <w:rFonts w:ascii="Arial"/>
          <w:sz w:val="21"/>
        </w:rPr>
      </w:pPr>
      <w:r>
        <w:pict>
          <v:shape id="_x0000_s1352" o:spid="_x0000_s1352" o:spt="202" type="#_x0000_t202" style="position:absolute;left:0pt;margin-left:121.2pt;margin-top:13pt;height:20.05pt;width:10.9pt;z-index:251725824;mso-width-relative:page;mso-height-relative:page;" filled="f" stroked="f" coordsize="21600,21600">
            <v:path/>
            <v:fill on="f" focussize="0,0"/>
            <v:stroke on="f"/>
            <v:imagedata o:title=""/>
            <o:lock v:ext="edit" aspectratio="f"/>
            <v:textbox inset="0mm,0mm,0mm,0mm" style="layout-flow:vertical-ideographic;">
              <w:txbxContent>
                <w:p w14:paraId="19CB6985">
                  <w:pPr>
                    <w:pStyle w:val="2"/>
                    <w:spacing w:before="20" w:line="199" w:lineRule="auto"/>
                    <w:ind w:left="20"/>
                    <w:rPr>
                      <w:sz w:val="16"/>
                      <w:szCs w:val="16"/>
                    </w:rPr>
                  </w:pPr>
                  <w:r>
                    <w:rPr>
                      <w:spacing w:val="20"/>
                      <w:sz w:val="16"/>
                      <w:szCs w:val="16"/>
                    </w:rPr>
                    <w:t>生产</w:t>
                  </w:r>
                </w:p>
              </w:txbxContent>
            </v:textbox>
          </v:shape>
        </w:pict>
      </w:r>
      <w:r>
        <w:drawing>
          <wp:anchor distT="0" distB="0" distL="0" distR="0" simplePos="0" relativeHeight="251715584" behindDoc="1" locked="0" layoutInCell="1" allowOverlap="1">
            <wp:simplePos x="0" y="0"/>
            <wp:positionH relativeFrom="column">
              <wp:posOffset>1035050</wp:posOffset>
            </wp:positionH>
            <wp:positionV relativeFrom="paragraph">
              <wp:posOffset>137795</wp:posOffset>
            </wp:positionV>
            <wp:extent cx="444500" cy="61595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26"/>
                    <a:stretch>
                      <a:fillRect/>
                    </a:stretch>
                  </pic:blipFill>
                  <pic:spPr>
                    <a:xfrm>
                      <a:off x="0" y="0"/>
                      <a:ext cx="444465" cy="615966"/>
                    </a:xfrm>
                    <a:prstGeom prst="rect">
                      <a:avLst/>
                    </a:prstGeom>
                  </pic:spPr>
                </pic:pic>
              </a:graphicData>
            </a:graphic>
          </wp:anchor>
        </w:drawing>
      </w:r>
      <w:r>
        <w:drawing>
          <wp:anchor distT="0" distB="0" distL="0" distR="0" simplePos="0" relativeHeight="251716608" behindDoc="0" locked="0" layoutInCell="1" allowOverlap="1">
            <wp:simplePos x="0" y="0"/>
            <wp:positionH relativeFrom="column">
              <wp:posOffset>1720215</wp:posOffset>
            </wp:positionH>
            <wp:positionV relativeFrom="paragraph">
              <wp:posOffset>144145</wp:posOffset>
            </wp:positionV>
            <wp:extent cx="317500" cy="61595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27"/>
                    <a:stretch>
                      <a:fillRect/>
                    </a:stretch>
                  </pic:blipFill>
                  <pic:spPr>
                    <a:xfrm>
                      <a:off x="0" y="0"/>
                      <a:ext cx="317456" cy="615966"/>
                    </a:xfrm>
                    <a:prstGeom prst="rect">
                      <a:avLst/>
                    </a:prstGeom>
                  </pic:spPr>
                </pic:pic>
              </a:graphicData>
            </a:graphic>
          </wp:anchor>
        </w:drawing>
      </w:r>
    </w:p>
    <w:p w14:paraId="106CA52A">
      <w:pPr>
        <w:pStyle w:val="2"/>
        <w:spacing w:before="59" w:line="219" w:lineRule="auto"/>
        <w:ind w:left="929"/>
        <w:rPr>
          <w:sz w:val="18"/>
          <w:szCs w:val="18"/>
        </w:rPr>
      </w:pPr>
      <w:r>
        <w:rPr>
          <w:spacing w:val="-3"/>
          <w:sz w:val="18"/>
          <w:szCs w:val="18"/>
        </w:rPr>
        <w:t>管理控制</w:t>
      </w:r>
    </w:p>
    <w:p w14:paraId="67B52948">
      <w:pPr>
        <w:pStyle w:val="2"/>
        <w:spacing w:before="267" w:line="220" w:lineRule="auto"/>
        <w:ind w:left="659"/>
        <w:rPr>
          <w:sz w:val="18"/>
          <w:szCs w:val="18"/>
        </w:rPr>
      </w:pPr>
      <w:r>
        <w:pict>
          <v:shape id="_x0000_s1353" o:spid="_x0000_s1353" o:spt="202" type="#_x0000_t202" style="position:absolute;left:0pt;margin-left:158.95pt;margin-top:3.5pt;height:17.5pt;width:14.5pt;z-index:251717632;mso-width-relative:page;mso-height-relative:page;" filled="f" stroked="f" coordsize="21600,21600">
            <v:path/>
            <v:fill on="f" focussize="0,0"/>
            <v:stroke on="f"/>
            <v:imagedata o:title=""/>
            <o:lock v:ext="edit" aspectratio="f"/>
            <v:textbox inset="0mm,0mm,0mm,0mm">
              <w:txbxContent>
                <w:p w14:paraId="3FE5EB68">
                  <w:pPr>
                    <w:pStyle w:val="2"/>
                    <w:spacing w:before="20" w:line="220" w:lineRule="auto"/>
                    <w:ind w:left="20"/>
                    <w:rPr>
                      <w:sz w:val="26"/>
                      <w:szCs w:val="26"/>
                    </w:rPr>
                  </w:pPr>
                  <w:r>
                    <w:rPr>
                      <w:color w:val="0D7CD2"/>
                      <w:sz w:val="26"/>
                      <w:szCs w:val="26"/>
                    </w:rPr>
                    <w:t>他</w:t>
                  </w:r>
                </w:p>
              </w:txbxContent>
            </v:textbox>
          </v:shape>
        </w:pict>
      </w:r>
      <w:r>
        <w:rPr>
          <w:spacing w:val="-2"/>
          <w:sz w:val="18"/>
          <w:szCs w:val="18"/>
        </w:rPr>
        <w:t>运行控制</w:t>
      </w:r>
    </w:p>
    <w:p w14:paraId="3C6426FC">
      <w:pPr>
        <w:spacing w:line="334" w:lineRule="auto"/>
        <w:rPr>
          <w:rFonts w:ascii="Arial"/>
          <w:sz w:val="21"/>
        </w:rPr>
      </w:pPr>
    </w:p>
    <w:p w14:paraId="7E6DF271">
      <w:pPr>
        <w:pStyle w:val="2"/>
        <w:spacing w:before="59" w:line="219" w:lineRule="auto"/>
        <w:ind w:left="339"/>
        <w:rPr>
          <w:sz w:val="18"/>
          <w:szCs w:val="18"/>
        </w:rPr>
      </w:pPr>
      <w:r>
        <w:rPr>
          <w:spacing w:val="-2"/>
          <w:sz w:val="18"/>
          <w:szCs w:val="18"/>
        </w:rPr>
        <w:t>业务处理</w:t>
      </w:r>
    </w:p>
    <w:p w14:paraId="32FB8C87">
      <w:pPr>
        <w:spacing w:line="276" w:lineRule="auto"/>
        <w:rPr>
          <w:rFonts w:ascii="Arial"/>
          <w:sz w:val="21"/>
        </w:rPr>
      </w:pPr>
    </w:p>
    <w:p w14:paraId="7F40CF3D">
      <w:pPr>
        <w:pStyle w:val="2"/>
        <w:spacing w:before="59" w:line="184" w:lineRule="auto"/>
        <w:ind w:left="759"/>
        <w:rPr>
          <w:sz w:val="18"/>
          <w:szCs w:val="18"/>
        </w:rPr>
      </w:pPr>
      <w:r>
        <w:rPr>
          <w:spacing w:val="2"/>
          <w:sz w:val="18"/>
          <w:szCs w:val="18"/>
        </w:rPr>
        <w:t>图5-5</w:t>
      </w:r>
      <w:r>
        <w:rPr>
          <w:spacing w:val="78"/>
          <w:w w:val="101"/>
          <w:sz w:val="18"/>
          <w:szCs w:val="18"/>
        </w:rPr>
        <w:t xml:space="preserve"> </w:t>
      </w:r>
      <w:r>
        <w:rPr>
          <w:spacing w:val="2"/>
          <w:sz w:val="18"/>
          <w:szCs w:val="18"/>
        </w:rPr>
        <w:t>管理信息系统的金字塔结构</w:t>
      </w:r>
    </w:p>
    <w:p w14:paraId="67BC2D73">
      <w:pPr>
        <w:spacing w:line="184" w:lineRule="auto"/>
        <w:rPr>
          <w:sz w:val="18"/>
          <w:szCs w:val="18"/>
        </w:rPr>
        <w:sectPr>
          <w:type w:val="continuous"/>
          <w:pgSz w:w="10310" w:h="13400"/>
          <w:pgMar w:top="400" w:right="1039" w:bottom="400" w:left="540" w:header="0" w:footer="0" w:gutter="0"/>
          <w:cols w:equalWidth="0" w:num="2">
            <w:col w:w="4310" w:space="100"/>
            <w:col w:w="4320"/>
          </w:cols>
        </w:sectPr>
      </w:pPr>
    </w:p>
    <w:p w14:paraId="3D00BE42">
      <w:pPr>
        <w:pStyle w:val="2"/>
        <w:spacing w:before="113" w:line="3390" w:lineRule="exact"/>
        <w:ind w:firstLine="689"/>
      </w:pPr>
      <w:r>
        <w:rPr>
          <w:position w:val="-67"/>
        </w:rPr>
        <w:pict>
          <v:group id="_x0000_s1354" o:spid="_x0000_s1354" o:spt="203" style="height:169.5pt;width:380.05pt;" coordsize="7600,3390">
            <o:lock v:ext="edit"/>
            <v:shape id="_x0000_s1355" o:spid="_x0000_s1355" o:spt="75" type="#_x0000_t75" style="position:absolute;left:0;top:0;height:3390;width:7600;" filled="f" stroked="f" coordsize="21600,21600">
              <v:path/>
              <v:fill on="f" focussize="0,0"/>
              <v:stroke on="f"/>
              <v:imagedata r:id="rId128" o:title=""/>
              <o:lock v:ext="edit" aspectratio="t"/>
            </v:shape>
            <v:shape id="_x0000_s1356" o:spid="_x0000_s1356" o:spt="202" type="#_x0000_t202" style="position:absolute;left:40;top:77;height:2920;width:6749;" filled="f" stroked="f" coordsize="21600,21600">
              <v:path/>
              <v:fill on="f" focussize="0,0"/>
              <v:stroke on="f"/>
              <v:imagedata o:title=""/>
              <o:lock v:ext="edit" aspectratio="f"/>
              <v:textbox inset="0mm,0mm,0mm,0mm">
                <w:txbxContent>
                  <w:p w14:paraId="5E245C52">
                    <w:pPr>
                      <w:spacing w:line="20" w:lineRule="exact"/>
                    </w:pPr>
                  </w:p>
                  <w:tbl>
                    <w:tblPr>
                      <w:tblStyle w:val="5"/>
                      <w:tblW w:w="6708"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24"/>
                      <w:gridCol w:w="761"/>
                      <w:gridCol w:w="806"/>
                      <w:gridCol w:w="763"/>
                      <w:gridCol w:w="868"/>
                      <w:gridCol w:w="809"/>
                      <w:gridCol w:w="577"/>
                    </w:tblGrid>
                    <w:tr w14:paraId="12A837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5" w:hRule="atLeast"/>
                      </w:trPr>
                      <w:tc>
                        <w:tcPr>
                          <w:tcW w:w="2124" w:type="dxa"/>
                          <w:vAlign w:val="top"/>
                        </w:tcPr>
                        <w:p w14:paraId="364B78A4">
                          <w:pPr>
                            <w:spacing w:before="2" w:line="211" w:lineRule="auto"/>
                            <w:ind w:left="1490" w:right="281"/>
                            <w:rPr>
                              <w:rFonts w:ascii="宋体" w:hAnsi="宋体" w:eastAsia="宋体" w:cs="宋体"/>
                              <w:sz w:val="18"/>
                              <w:szCs w:val="18"/>
                            </w:rPr>
                          </w:pPr>
                          <w:r>
                            <w:rPr>
                              <w:rFonts w:ascii="宋体" w:hAnsi="宋体" w:eastAsia="宋体" w:cs="宋体"/>
                              <w:spacing w:val="-4"/>
                              <w:sz w:val="18"/>
                              <w:szCs w:val="18"/>
                            </w:rPr>
                            <w:t>销售</w:t>
                          </w:r>
                          <w:r>
                            <w:rPr>
                              <w:rFonts w:ascii="宋体" w:hAnsi="宋体" w:eastAsia="宋体" w:cs="宋体"/>
                              <w:sz w:val="18"/>
                              <w:szCs w:val="18"/>
                            </w:rPr>
                            <w:t xml:space="preserve"> </w:t>
                          </w:r>
                          <w:r>
                            <w:rPr>
                              <w:rFonts w:ascii="宋体" w:hAnsi="宋体" w:eastAsia="宋体" w:cs="宋体"/>
                              <w:spacing w:val="-6"/>
                              <w:sz w:val="18"/>
                              <w:szCs w:val="18"/>
                            </w:rPr>
                            <w:t>市场</w:t>
                          </w:r>
                        </w:p>
                      </w:tc>
                      <w:tc>
                        <w:tcPr>
                          <w:tcW w:w="761" w:type="dxa"/>
                          <w:vAlign w:val="top"/>
                        </w:tcPr>
                        <w:p w14:paraId="1E64DBD7">
                          <w:pPr>
                            <w:spacing w:before="15" w:line="360" w:lineRule="exact"/>
                            <w:ind w:left="282"/>
                            <w:rPr>
                              <w:rFonts w:ascii="宋体" w:hAnsi="宋体" w:eastAsia="宋体" w:cs="宋体"/>
                              <w:sz w:val="16"/>
                              <w:szCs w:val="16"/>
                            </w:rPr>
                          </w:pPr>
                          <w:r>
                            <w:rPr>
                              <w:rFonts w:ascii="宋体" w:hAnsi="宋体" w:eastAsia="宋体" w:cs="宋体"/>
                              <w:spacing w:val="-7"/>
                              <w:position w:val="5"/>
                              <w:sz w:val="16"/>
                              <w:szCs w:val="16"/>
                            </w:rPr>
                            <w:t>生产</w:t>
                          </w:r>
                        </w:p>
                      </w:tc>
                      <w:tc>
                        <w:tcPr>
                          <w:tcW w:w="806" w:type="dxa"/>
                          <w:vAlign w:val="top"/>
                        </w:tcPr>
                        <w:p w14:paraId="1EA9D698">
                          <w:pPr>
                            <w:spacing w:before="11" w:line="364" w:lineRule="exact"/>
                            <w:ind w:left="332"/>
                            <w:rPr>
                              <w:rFonts w:ascii="宋体" w:hAnsi="宋体" w:eastAsia="宋体" w:cs="宋体"/>
                              <w:sz w:val="16"/>
                              <w:szCs w:val="16"/>
                            </w:rPr>
                          </w:pPr>
                          <w:r>
                            <w:rPr>
                              <w:rFonts w:ascii="宋体" w:hAnsi="宋体" w:eastAsia="宋体" w:cs="宋体"/>
                              <w:spacing w:val="-9"/>
                              <w:position w:val="5"/>
                              <w:sz w:val="16"/>
                              <w:szCs w:val="16"/>
                            </w:rPr>
                            <w:t>后勤</w:t>
                          </w:r>
                        </w:p>
                      </w:tc>
                      <w:tc>
                        <w:tcPr>
                          <w:tcW w:w="763" w:type="dxa"/>
                          <w:vAlign w:val="top"/>
                        </w:tcPr>
                        <w:p w14:paraId="267715DE">
                          <w:pPr>
                            <w:spacing w:before="23" w:line="363" w:lineRule="exact"/>
                            <w:ind w:left="330"/>
                            <w:rPr>
                              <w:rFonts w:ascii="宋体" w:hAnsi="宋体" w:eastAsia="宋体" w:cs="宋体"/>
                              <w:sz w:val="16"/>
                              <w:szCs w:val="16"/>
                            </w:rPr>
                          </w:pPr>
                          <w:r>
                            <w:rPr>
                              <w:rFonts w:ascii="宋体" w:hAnsi="宋体" w:eastAsia="宋体" w:cs="宋体"/>
                              <w:spacing w:val="-7"/>
                              <w:position w:val="5"/>
                              <w:sz w:val="16"/>
                              <w:szCs w:val="16"/>
                            </w:rPr>
                            <w:t>人事</w:t>
                          </w:r>
                        </w:p>
                      </w:tc>
                      <w:tc>
                        <w:tcPr>
                          <w:tcW w:w="868" w:type="dxa"/>
                          <w:vAlign w:val="top"/>
                        </w:tcPr>
                        <w:p w14:paraId="4533F32A">
                          <w:pPr>
                            <w:spacing w:before="1" w:line="221" w:lineRule="auto"/>
                            <w:ind w:left="286" w:right="228"/>
                            <w:rPr>
                              <w:rFonts w:ascii="宋体" w:hAnsi="宋体" w:eastAsia="宋体" w:cs="宋体"/>
                              <w:sz w:val="18"/>
                              <w:szCs w:val="18"/>
                            </w:rPr>
                          </w:pPr>
                          <w:r>
                            <w:rPr>
                              <w:rFonts w:ascii="宋体" w:hAnsi="宋体" w:eastAsia="宋体" w:cs="宋体"/>
                              <w:spacing w:val="-4"/>
                              <w:sz w:val="18"/>
                              <w:szCs w:val="18"/>
                            </w:rPr>
                            <w:t>财务</w:t>
                          </w:r>
                          <w:r>
                            <w:rPr>
                              <w:rFonts w:ascii="宋体" w:hAnsi="宋体" w:eastAsia="宋体" w:cs="宋体"/>
                              <w:sz w:val="18"/>
                              <w:szCs w:val="18"/>
                            </w:rPr>
                            <w:t xml:space="preserve"> </w:t>
                          </w:r>
                          <w:r>
                            <w:rPr>
                              <w:rFonts w:ascii="宋体" w:hAnsi="宋体" w:eastAsia="宋体" w:cs="宋体"/>
                              <w:spacing w:val="-4"/>
                              <w:sz w:val="18"/>
                              <w:szCs w:val="18"/>
                            </w:rPr>
                            <w:t>会计</w:t>
                          </w:r>
                        </w:p>
                      </w:tc>
                      <w:tc>
                        <w:tcPr>
                          <w:tcW w:w="809" w:type="dxa"/>
                          <w:vAlign w:val="top"/>
                        </w:tcPr>
                        <w:p w14:paraId="18319A60">
                          <w:pPr>
                            <w:spacing w:before="10" w:line="211" w:lineRule="auto"/>
                            <w:ind w:left="227" w:right="228"/>
                            <w:rPr>
                              <w:rFonts w:ascii="宋体" w:hAnsi="宋体" w:eastAsia="宋体" w:cs="宋体"/>
                              <w:sz w:val="18"/>
                              <w:szCs w:val="18"/>
                            </w:rPr>
                          </w:pPr>
                          <w:r>
                            <w:rPr>
                              <w:rFonts w:ascii="宋体" w:hAnsi="宋体" w:eastAsia="宋体" w:cs="宋体"/>
                              <w:spacing w:val="-4"/>
                              <w:sz w:val="18"/>
                              <w:szCs w:val="18"/>
                            </w:rPr>
                            <w:t>信息</w:t>
                          </w:r>
                          <w:r>
                            <w:rPr>
                              <w:rFonts w:ascii="宋体" w:hAnsi="宋体" w:eastAsia="宋体" w:cs="宋体"/>
                              <w:sz w:val="18"/>
                              <w:szCs w:val="18"/>
                            </w:rPr>
                            <w:t xml:space="preserve"> </w:t>
                          </w:r>
                          <w:r>
                            <w:rPr>
                              <w:rFonts w:ascii="宋体" w:hAnsi="宋体" w:eastAsia="宋体" w:cs="宋体"/>
                              <w:spacing w:val="-6"/>
                              <w:sz w:val="18"/>
                              <w:szCs w:val="18"/>
                            </w:rPr>
                            <w:t>处理</w:t>
                          </w:r>
                        </w:p>
                      </w:tc>
                      <w:tc>
                        <w:tcPr>
                          <w:tcW w:w="577" w:type="dxa"/>
                          <w:vAlign w:val="top"/>
                        </w:tcPr>
                        <w:p w14:paraId="3A1126AB">
                          <w:pPr>
                            <w:spacing w:line="222" w:lineRule="auto"/>
                            <w:ind w:left="229"/>
                            <w:rPr>
                              <w:rFonts w:ascii="宋体" w:hAnsi="宋体" w:eastAsia="宋体" w:cs="宋体"/>
                              <w:sz w:val="18"/>
                              <w:szCs w:val="18"/>
                            </w:rPr>
                          </w:pPr>
                          <w:r>
                            <w:rPr>
                              <w:rFonts w:ascii="宋体" w:hAnsi="宋体" w:eastAsia="宋体" w:cs="宋体"/>
                              <w:spacing w:val="-7"/>
                              <w:sz w:val="18"/>
                              <w:szCs w:val="18"/>
                            </w:rPr>
                            <w:t>高层</w:t>
                          </w:r>
                          <w:r>
                            <w:rPr>
                              <w:rFonts w:ascii="宋体" w:hAnsi="宋体" w:eastAsia="宋体" w:cs="宋体"/>
                              <w:sz w:val="18"/>
                              <w:szCs w:val="18"/>
                            </w:rPr>
                            <w:t xml:space="preserve"> </w:t>
                          </w:r>
                          <w:r>
                            <w:rPr>
                              <w:rFonts w:ascii="宋体" w:hAnsi="宋体" w:eastAsia="宋体" w:cs="宋体"/>
                              <w:spacing w:val="-7"/>
                              <w:sz w:val="18"/>
                              <w:szCs w:val="18"/>
                            </w:rPr>
                            <w:t>管理</w:t>
                          </w:r>
                        </w:p>
                      </w:tc>
                    </w:tr>
                    <w:tr w14:paraId="472798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04" w:hRule="atLeast"/>
                      </w:trPr>
                      <w:tc>
                        <w:tcPr>
                          <w:tcW w:w="2124" w:type="dxa"/>
                          <w:vAlign w:val="top"/>
                        </w:tcPr>
                        <w:p w14:paraId="62BC5FC3">
                          <w:pPr>
                            <w:spacing w:before="175" w:line="220" w:lineRule="auto"/>
                            <w:rPr>
                              <w:rFonts w:ascii="宋体" w:hAnsi="宋体" w:eastAsia="宋体" w:cs="宋体"/>
                              <w:sz w:val="18"/>
                              <w:szCs w:val="18"/>
                            </w:rPr>
                          </w:pPr>
                          <w:r>
                            <w:rPr>
                              <w:rFonts w:ascii="宋体" w:hAnsi="宋体" w:eastAsia="宋体" w:cs="宋体"/>
                              <w:spacing w:val="-3"/>
                              <w:sz w:val="18"/>
                              <w:szCs w:val="18"/>
                            </w:rPr>
                            <w:t>战略计划</w:t>
                          </w:r>
                        </w:p>
                        <w:p w14:paraId="70438239">
                          <w:pPr>
                            <w:spacing w:line="374" w:lineRule="auto"/>
                            <w:rPr>
                              <w:rFonts w:ascii="Arial"/>
                              <w:sz w:val="21"/>
                            </w:rPr>
                          </w:pPr>
                        </w:p>
                        <w:p w14:paraId="2B7A5E12">
                          <w:pPr>
                            <w:spacing w:before="58" w:line="219" w:lineRule="auto"/>
                            <w:rPr>
                              <w:rFonts w:ascii="宋体" w:hAnsi="宋体" w:eastAsia="宋体" w:cs="宋体"/>
                              <w:sz w:val="18"/>
                              <w:szCs w:val="18"/>
                            </w:rPr>
                          </w:pPr>
                          <w:r>
                            <w:rPr>
                              <w:rFonts w:ascii="宋体" w:hAnsi="宋体" w:eastAsia="宋体" w:cs="宋体"/>
                              <w:spacing w:val="-3"/>
                              <w:sz w:val="18"/>
                              <w:szCs w:val="18"/>
                            </w:rPr>
                            <w:t>管理控制</w:t>
                          </w:r>
                        </w:p>
                        <w:p w14:paraId="3EE94CF6">
                          <w:pPr>
                            <w:spacing w:line="386" w:lineRule="auto"/>
                            <w:rPr>
                              <w:rFonts w:ascii="Arial"/>
                              <w:sz w:val="21"/>
                            </w:rPr>
                          </w:pPr>
                        </w:p>
                        <w:p w14:paraId="0AE8CB28">
                          <w:pPr>
                            <w:spacing w:before="58" w:line="220" w:lineRule="auto"/>
                            <w:rPr>
                              <w:rFonts w:ascii="宋体" w:hAnsi="宋体" w:eastAsia="宋体" w:cs="宋体"/>
                              <w:sz w:val="18"/>
                              <w:szCs w:val="18"/>
                            </w:rPr>
                          </w:pPr>
                          <w:r>
                            <w:rPr>
                              <w:rFonts w:ascii="宋体" w:hAnsi="宋体" w:eastAsia="宋体" w:cs="宋体"/>
                              <w:spacing w:val="-2"/>
                              <w:sz w:val="18"/>
                              <w:szCs w:val="18"/>
                            </w:rPr>
                            <w:t>运行控制</w:t>
                          </w:r>
                        </w:p>
                        <w:p w14:paraId="3AACF09C">
                          <w:pPr>
                            <w:spacing w:line="364" w:lineRule="auto"/>
                            <w:rPr>
                              <w:rFonts w:ascii="Arial"/>
                              <w:sz w:val="21"/>
                            </w:rPr>
                          </w:pPr>
                        </w:p>
                        <w:p w14:paraId="59E85C03">
                          <w:pPr>
                            <w:spacing w:before="58" w:line="173" w:lineRule="auto"/>
                            <w:rPr>
                              <w:rFonts w:ascii="宋体" w:hAnsi="宋体" w:eastAsia="宋体" w:cs="宋体"/>
                              <w:sz w:val="18"/>
                              <w:szCs w:val="18"/>
                            </w:rPr>
                          </w:pPr>
                          <w:r>
                            <w:rPr>
                              <w:rFonts w:ascii="宋体" w:hAnsi="宋体" w:eastAsia="宋体" w:cs="宋体"/>
                              <w:spacing w:val="-7"/>
                              <w:sz w:val="18"/>
                              <w:szCs w:val="18"/>
                            </w:rPr>
                            <w:t>业务处理</w:t>
                          </w:r>
                        </w:p>
                      </w:tc>
                      <w:tc>
                        <w:tcPr>
                          <w:tcW w:w="761" w:type="dxa"/>
                          <w:vAlign w:val="top"/>
                        </w:tcPr>
                        <w:p w14:paraId="190B5D00">
                          <w:pPr>
                            <w:rPr>
                              <w:rFonts w:ascii="Arial"/>
                              <w:sz w:val="21"/>
                            </w:rPr>
                          </w:pPr>
                        </w:p>
                      </w:tc>
                      <w:tc>
                        <w:tcPr>
                          <w:tcW w:w="806" w:type="dxa"/>
                          <w:vAlign w:val="top"/>
                        </w:tcPr>
                        <w:p w14:paraId="52DE847F">
                          <w:pPr>
                            <w:rPr>
                              <w:rFonts w:ascii="Arial"/>
                              <w:sz w:val="21"/>
                            </w:rPr>
                          </w:pPr>
                        </w:p>
                      </w:tc>
                      <w:tc>
                        <w:tcPr>
                          <w:tcW w:w="763" w:type="dxa"/>
                          <w:vAlign w:val="top"/>
                        </w:tcPr>
                        <w:p w14:paraId="5071734B">
                          <w:pPr>
                            <w:rPr>
                              <w:rFonts w:ascii="Arial"/>
                              <w:sz w:val="21"/>
                            </w:rPr>
                          </w:pPr>
                        </w:p>
                      </w:tc>
                      <w:tc>
                        <w:tcPr>
                          <w:tcW w:w="868" w:type="dxa"/>
                          <w:vAlign w:val="top"/>
                        </w:tcPr>
                        <w:p w14:paraId="57AFBC9E">
                          <w:pPr>
                            <w:rPr>
                              <w:rFonts w:ascii="Arial"/>
                              <w:sz w:val="21"/>
                            </w:rPr>
                          </w:pPr>
                        </w:p>
                      </w:tc>
                      <w:tc>
                        <w:tcPr>
                          <w:tcW w:w="809" w:type="dxa"/>
                          <w:vAlign w:val="top"/>
                        </w:tcPr>
                        <w:p w14:paraId="38C38703">
                          <w:pPr>
                            <w:rPr>
                              <w:rFonts w:ascii="Arial"/>
                              <w:sz w:val="21"/>
                            </w:rPr>
                          </w:pPr>
                        </w:p>
                      </w:tc>
                      <w:tc>
                        <w:tcPr>
                          <w:tcW w:w="577" w:type="dxa"/>
                          <w:vAlign w:val="top"/>
                        </w:tcPr>
                        <w:p w14:paraId="5E057B2A">
                          <w:pPr>
                            <w:rPr>
                              <w:rFonts w:ascii="Arial"/>
                              <w:sz w:val="21"/>
                            </w:rPr>
                          </w:pPr>
                        </w:p>
                      </w:tc>
                    </w:tr>
                  </w:tbl>
                  <w:p w14:paraId="20595786">
                    <w:pPr>
                      <w:rPr>
                        <w:rFonts w:ascii="Arial"/>
                        <w:sz w:val="21"/>
                      </w:rPr>
                    </w:pPr>
                  </w:p>
                </w:txbxContent>
              </v:textbox>
            </v:shape>
            <w10:wrap type="none"/>
            <w10:anchorlock/>
          </v:group>
        </w:pict>
      </w:r>
    </w:p>
    <w:p w14:paraId="213665A7">
      <w:pPr>
        <w:pStyle w:val="2"/>
        <w:spacing w:before="67" w:line="219" w:lineRule="auto"/>
        <w:ind w:left="2950"/>
        <w:rPr>
          <w:sz w:val="18"/>
          <w:szCs w:val="18"/>
        </w:rPr>
      </w:pPr>
      <w:r>
        <w:rPr>
          <w:spacing w:val="3"/>
          <w:sz w:val="18"/>
          <w:szCs w:val="18"/>
        </w:rPr>
        <w:t>图5-6</w:t>
      </w:r>
      <w:r>
        <w:rPr>
          <w:spacing w:val="82"/>
          <w:sz w:val="18"/>
          <w:szCs w:val="18"/>
        </w:rPr>
        <w:t xml:space="preserve"> </w:t>
      </w:r>
      <w:r>
        <w:rPr>
          <w:spacing w:val="3"/>
          <w:sz w:val="18"/>
          <w:szCs w:val="18"/>
        </w:rPr>
        <w:t>管理信息系统的功能/层次矩阵</w:t>
      </w:r>
    </w:p>
    <w:p w14:paraId="5E364ED3">
      <w:pPr>
        <w:pStyle w:val="2"/>
        <w:spacing w:before="176" w:line="267" w:lineRule="auto"/>
        <w:ind w:left="329" w:right="51" w:firstLine="420"/>
        <w:rPr>
          <w:sz w:val="18"/>
          <w:szCs w:val="18"/>
        </w:rPr>
      </w:pPr>
      <w:r>
        <w:rPr>
          <w:spacing w:val="23"/>
          <w:sz w:val="18"/>
          <w:szCs w:val="18"/>
        </w:rPr>
        <w:t>上图每一列表示一种管理功能，这种管理功能没有标准的分法，因组织不同而异。上图每</w:t>
      </w:r>
      <w:r>
        <w:rPr>
          <w:spacing w:val="10"/>
          <w:sz w:val="18"/>
          <w:szCs w:val="18"/>
        </w:rPr>
        <w:t xml:space="preserve"> </w:t>
      </w:r>
      <w:r>
        <w:rPr>
          <w:spacing w:val="19"/>
          <w:sz w:val="18"/>
          <w:szCs w:val="18"/>
        </w:rPr>
        <w:t>一行表示一个管理层次，行列交叉表示每一种功</w:t>
      </w:r>
      <w:r>
        <w:rPr>
          <w:spacing w:val="18"/>
          <w:sz w:val="18"/>
          <w:szCs w:val="18"/>
        </w:rPr>
        <w:t>能子系统。</w:t>
      </w:r>
    </w:p>
    <w:p w14:paraId="3B509C10">
      <w:pPr>
        <w:spacing w:line="267" w:lineRule="auto"/>
        <w:rPr>
          <w:sz w:val="18"/>
          <w:szCs w:val="18"/>
        </w:rPr>
        <w:sectPr>
          <w:type w:val="continuous"/>
          <w:pgSz w:w="10310" w:h="13400"/>
          <w:pgMar w:top="400" w:right="1039" w:bottom="400" w:left="540" w:header="0" w:footer="0" w:gutter="0"/>
          <w:cols w:equalWidth="0" w:num="1">
            <w:col w:w="8730"/>
          </w:cols>
        </w:sectPr>
      </w:pPr>
    </w:p>
    <w:p w14:paraId="1542AC42">
      <w:pPr>
        <w:pStyle w:val="2"/>
        <w:jc w:val="right"/>
        <w:rPr>
          <w:rFonts w:ascii="Times New Roman" w:hAnsi="Times New Roman" w:eastAsia="Times New Roman" w:cs="Times New Roman"/>
          <w:sz w:val="19"/>
          <w:szCs w:val="19"/>
        </w:rPr>
      </w:pPr>
      <w:bookmarkStart w:id="560" w:name="bookmark546"/>
      <w:bookmarkEnd w:id="560"/>
      <w:r>
        <w:rPr>
          <w:spacing w:val="4"/>
          <w:sz w:val="19"/>
          <w:szCs w:val="19"/>
        </w:rPr>
        <w:t>第5章</w:t>
      </w:r>
      <w:r>
        <w:rPr>
          <w:spacing w:val="39"/>
          <w:sz w:val="19"/>
          <w:szCs w:val="19"/>
        </w:rPr>
        <w:t xml:space="preserve"> </w:t>
      </w:r>
      <w:r>
        <w:rPr>
          <w:spacing w:val="4"/>
          <w:sz w:val="19"/>
          <w:szCs w:val="19"/>
        </w:rPr>
        <w:t xml:space="preserve">信息应用系统 </w:t>
      </w:r>
      <w:r>
        <w:rPr>
          <w:position w:val="-12"/>
          <w:sz w:val="19"/>
          <w:szCs w:val="19"/>
        </w:rPr>
        <w:drawing>
          <wp:inline distT="0" distB="0" distL="0" distR="0">
            <wp:extent cx="323215" cy="24765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29"/>
                    <a:stretch>
                      <a:fillRect/>
                    </a:stretch>
                  </pic:blipFill>
                  <pic:spPr>
                    <a:xfrm>
                      <a:off x="0" y="0"/>
                      <a:ext cx="323832" cy="247689"/>
                    </a:xfrm>
                    <a:prstGeom prst="rect">
                      <a:avLst/>
                    </a:prstGeom>
                  </pic:spPr>
                </pic:pic>
              </a:graphicData>
            </a:graphic>
          </wp:inline>
        </w:drawing>
      </w:r>
      <w:r>
        <w:rPr>
          <w:rFonts w:ascii="Times New Roman" w:hAnsi="Times New Roman" w:eastAsia="Times New Roman" w:cs="Times New Roman"/>
          <w:spacing w:val="4"/>
          <w:sz w:val="19"/>
          <w:szCs w:val="19"/>
        </w:rPr>
        <w:t>163</w:t>
      </w:r>
    </w:p>
    <w:p w14:paraId="0E09F93F">
      <w:pPr>
        <w:spacing w:line="244" w:lineRule="auto"/>
        <w:rPr>
          <w:rFonts w:ascii="Arial"/>
          <w:sz w:val="21"/>
        </w:rPr>
      </w:pPr>
    </w:p>
    <w:p w14:paraId="0A10722D">
      <w:pPr>
        <w:pStyle w:val="2"/>
        <w:spacing w:before="62" w:line="219" w:lineRule="auto"/>
        <w:ind w:left="399"/>
        <w:rPr>
          <w:sz w:val="19"/>
          <w:szCs w:val="19"/>
        </w:rPr>
      </w:pPr>
      <w:r>
        <w:rPr>
          <w:spacing w:val="10"/>
          <w:sz w:val="19"/>
          <w:szCs w:val="19"/>
        </w:rPr>
        <w:t>对应上图的管理信息系统，其软件结构如图5-7所示。</w:t>
      </w:r>
    </w:p>
    <w:p w14:paraId="5D4ABF50">
      <w:pPr>
        <w:pStyle w:val="2"/>
        <w:spacing w:before="116" w:line="3660" w:lineRule="exact"/>
        <w:ind w:firstLine="559"/>
      </w:pPr>
      <w:r>
        <w:rPr>
          <w:position w:val="-73"/>
        </w:rPr>
        <w:pict>
          <v:group id="_x0000_s1357" o:spid="_x0000_s1357" o:spt="203" style="height:183pt;width:364pt;" coordsize="7280,3660">
            <o:lock v:ext="edit"/>
            <v:shape id="_x0000_s1358" o:spid="_x0000_s1358" o:spt="75" type="#_x0000_t75" style="position:absolute;left:0;top:0;height:3660;width:7280;" filled="f" stroked="f" coordsize="21600,21600">
              <v:path/>
              <v:fill on="f" focussize="0,0"/>
              <v:stroke on="f"/>
              <v:imagedata r:id="rId130" o:title=""/>
              <o:lock v:ext="edit" aspectratio="t"/>
            </v:shape>
            <v:shape id="_x0000_s1359" o:spid="_x0000_s1359" o:spt="202" type="#_x0000_t202" style="position:absolute;left:120;top:97;height:3510;width:6082;" filled="f" stroked="f" coordsize="21600,21600">
              <v:path/>
              <v:fill on="f" focussize="0,0"/>
              <v:stroke on="f"/>
              <v:imagedata o:title=""/>
              <o:lock v:ext="edit" aspectratio="f"/>
              <v:textbox inset="0mm,0mm,0mm,0mm">
                <w:txbxContent>
                  <w:p w14:paraId="126F81BB">
                    <w:pPr>
                      <w:spacing w:before="19" w:line="206" w:lineRule="auto"/>
                      <w:ind w:left="20"/>
                      <w:rPr>
                        <w:rFonts w:ascii="宋体" w:hAnsi="宋体" w:eastAsia="宋体" w:cs="宋体"/>
                        <w:sz w:val="19"/>
                        <w:szCs w:val="19"/>
                      </w:rPr>
                    </w:pPr>
                    <w:r>
                      <w:rPr>
                        <w:rFonts w:ascii="宋体" w:hAnsi="宋体" w:eastAsia="宋体" w:cs="宋体"/>
                        <w:spacing w:val="-5"/>
                        <w:sz w:val="19"/>
                        <w:szCs w:val="19"/>
                      </w:rPr>
                      <w:t>应用软件</w:t>
                    </w:r>
                  </w:p>
                  <w:p w14:paraId="20C4D141">
                    <w:pPr>
                      <w:spacing w:before="2" w:line="247" w:lineRule="auto"/>
                      <w:ind w:left="20" w:right="5377" w:firstLine="179"/>
                      <w:rPr>
                        <w:rFonts w:ascii="宋体" w:hAnsi="宋体" w:eastAsia="宋体" w:cs="宋体"/>
                        <w:sz w:val="19"/>
                        <w:szCs w:val="19"/>
                      </w:rPr>
                    </w:pPr>
                    <w:r>
                      <w:rPr>
                        <w:rFonts w:ascii="宋体" w:hAnsi="宋体" w:eastAsia="宋体" w:cs="宋体"/>
                        <w:spacing w:val="-5"/>
                        <w:sz w:val="19"/>
                        <w:szCs w:val="19"/>
                      </w:rPr>
                      <w:t>用于</w:t>
                    </w:r>
                    <w:r>
                      <w:rPr>
                        <w:rFonts w:ascii="宋体" w:hAnsi="宋体" w:eastAsia="宋体" w:cs="宋体"/>
                        <w:sz w:val="19"/>
                        <w:szCs w:val="19"/>
                      </w:rPr>
                      <w:t xml:space="preserve">  </w:t>
                    </w:r>
                    <w:r>
                      <w:rPr>
                        <w:rFonts w:ascii="宋体" w:hAnsi="宋体" w:eastAsia="宋体" w:cs="宋体"/>
                        <w:spacing w:val="-15"/>
                        <w:w w:val="97"/>
                        <w:sz w:val="19"/>
                        <w:szCs w:val="19"/>
                      </w:rPr>
                      <w:t>战略计划</w:t>
                    </w:r>
                    <w:r>
                      <w:rPr>
                        <w:rFonts w:ascii="宋体" w:hAnsi="宋体" w:eastAsia="宋体" w:cs="宋体"/>
                        <w:spacing w:val="4"/>
                        <w:sz w:val="19"/>
                        <w:szCs w:val="19"/>
                      </w:rPr>
                      <w:t xml:space="preserve"> </w:t>
                    </w:r>
                    <w:r>
                      <w:rPr>
                        <w:rFonts w:ascii="宋体" w:hAnsi="宋体" w:eastAsia="宋体" w:cs="宋体"/>
                        <w:spacing w:val="-15"/>
                        <w:w w:val="98"/>
                        <w:sz w:val="19"/>
                        <w:szCs w:val="19"/>
                      </w:rPr>
                      <w:t>管理控制</w:t>
                    </w:r>
                  </w:p>
                  <w:p w14:paraId="3E657F6F">
                    <w:pPr>
                      <w:spacing w:line="290" w:lineRule="auto"/>
                      <w:rPr>
                        <w:rFonts w:ascii="Arial"/>
                        <w:sz w:val="21"/>
                      </w:rPr>
                    </w:pPr>
                  </w:p>
                  <w:p w14:paraId="442E3180">
                    <w:pPr>
                      <w:spacing w:before="62" w:line="220" w:lineRule="auto"/>
                      <w:ind w:left="20"/>
                      <w:rPr>
                        <w:rFonts w:ascii="宋体" w:hAnsi="宋体" w:eastAsia="宋体" w:cs="宋体"/>
                        <w:sz w:val="19"/>
                        <w:szCs w:val="19"/>
                      </w:rPr>
                    </w:pPr>
                    <w:r>
                      <w:rPr>
                        <w:rFonts w:ascii="宋体" w:hAnsi="宋体" w:eastAsia="宋体" w:cs="宋体"/>
                        <w:spacing w:val="-15"/>
                        <w:sz w:val="19"/>
                        <w:szCs w:val="19"/>
                      </w:rPr>
                      <w:t>运行控制</w:t>
                    </w:r>
                  </w:p>
                  <w:p w14:paraId="262510C6">
                    <w:pPr>
                      <w:spacing w:before="64" w:line="209" w:lineRule="auto"/>
                      <w:ind w:left="5689" w:right="20"/>
                      <w:jc w:val="both"/>
                      <w:rPr>
                        <w:rFonts w:ascii="宋体" w:hAnsi="宋体" w:eastAsia="宋体" w:cs="宋体"/>
                        <w:sz w:val="19"/>
                        <w:szCs w:val="19"/>
                      </w:rPr>
                    </w:pPr>
                    <w:r>
                      <w:rPr>
                        <w:rFonts w:ascii="宋体" w:hAnsi="宋体" w:eastAsia="宋体" w:cs="宋体"/>
                        <w:spacing w:val="-7"/>
                        <w:sz w:val="19"/>
                        <w:szCs w:val="19"/>
                      </w:rPr>
                      <w:t>公用</w:t>
                    </w:r>
                    <w:r>
                      <w:rPr>
                        <w:rFonts w:ascii="宋体" w:hAnsi="宋体" w:eastAsia="宋体" w:cs="宋体"/>
                        <w:sz w:val="19"/>
                        <w:szCs w:val="19"/>
                      </w:rPr>
                      <w:t xml:space="preserve"> </w:t>
                    </w:r>
                    <w:r>
                      <w:rPr>
                        <w:rFonts w:ascii="宋体" w:hAnsi="宋体" w:eastAsia="宋体" w:cs="宋体"/>
                        <w:spacing w:val="-4"/>
                        <w:sz w:val="19"/>
                        <w:szCs w:val="19"/>
                      </w:rPr>
                      <w:t>应用</w:t>
                    </w:r>
                    <w:r>
                      <w:rPr>
                        <w:rFonts w:ascii="宋体" w:hAnsi="宋体" w:eastAsia="宋体" w:cs="宋体"/>
                        <w:sz w:val="19"/>
                        <w:szCs w:val="19"/>
                      </w:rPr>
                      <w:t xml:space="preserve"> </w:t>
                    </w:r>
                    <w:r>
                      <w:rPr>
                        <w:rFonts w:ascii="宋体" w:hAnsi="宋体" w:eastAsia="宋体" w:cs="宋体"/>
                        <w:spacing w:val="-8"/>
                        <w:sz w:val="19"/>
                        <w:szCs w:val="19"/>
                      </w:rPr>
                      <w:t>程序</w:t>
                    </w:r>
                  </w:p>
                  <w:p w14:paraId="66ED0AFA">
                    <w:pPr>
                      <w:spacing w:line="309" w:lineRule="auto"/>
                      <w:rPr>
                        <w:rFonts w:ascii="Arial"/>
                        <w:sz w:val="21"/>
                      </w:rPr>
                    </w:pPr>
                  </w:p>
                  <w:p w14:paraId="17F7C9B9">
                    <w:pPr>
                      <w:spacing w:before="62" w:line="219" w:lineRule="auto"/>
                      <w:ind w:left="20"/>
                      <w:rPr>
                        <w:rFonts w:ascii="宋体" w:hAnsi="宋体" w:eastAsia="宋体" w:cs="宋体"/>
                        <w:sz w:val="19"/>
                        <w:szCs w:val="19"/>
                      </w:rPr>
                    </w:pPr>
                    <w:r>
                      <w:rPr>
                        <w:rFonts w:ascii="宋体" w:hAnsi="宋体" w:eastAsia="宋体" w:cs="宋体"/>
                        <w:spacing w:val="-16"/>
                        <w:sz w:val="19"/>
                        <w:szCs w:val="19"/>
                      </w:rPr>
                      <w:t>专用文件</w:t>
                    </w:r>
                  </w:p>
                  <w:p w14:paraId="066905D9">
                    <w:pPr>
                      <w:spacing w:before="193" w:line="217" w:lineRule="auto"/>
                      <w:ind w:left="198" w:right="5382" w:hanging="179"/>
                      <w:rPr>
                        <w:rFonts w:ascii="宋体" w:hAnsi="宋体" w:eastAsia="宋体" w:cs="宋体"/>
                        <w:sz w:val="19"/>
                        <w:szCs w:val="19"/>
                      </w:rPr>
                    </w:pPr>
                    <w:r>
                      <w:rPr>
                        <w:rFonts w:ascii="宋体" w:hAnsi="宋体" w:eastAsia="宋体" w:cs="宋体"/>
                        <w:spacing w:val="-16"/>
                        <w:w w:val="97"/>
                        <w:sz w:val="19"/>
                        <w:szCs w:val="19"/>
                      </w:rPr>
                      <w:t>公用数据</w:t>
                    </w:r>
                    <w:r>
                      <w:rPr>
                        <w:rFonts w:ascii="宋体" w:hAnsi="宋体" w:eastAsia="宋体" w:cs="宋体"/>
                        <w:spacing w:val="5"/>
                        <w:sz w:val="19"/>
                        <w:szCs w:val="19"/>
                      </w:rPr>
                      <w:t xml:space="preserve"> </w:t>
                    </w:r>
                    <w:r>
                      <w:rPr>
                        <w:rFonts w:ascii="宋体" w:hAnsi="宋体" w:eastAsia="宋体" w:cs="宋体"/>
                        <w:spacing w:val="-9"/>
                        <w:sz w:val="19"/>
                        <w:szCs w:val="19"/>
                      </w:rPr>
                      <w:t>文件</w:t>
                    </w:r>
                  </w:p>
                </w:txbxContent>
              </v:textbox>
            </v:shape>
            <v:shape id="_x0000_s1360" o:spid="_x0000_s1360" o:spt="202" type="#_x0000_t202" style="position:absolute;left:6599;top:1237;height:691;width:569;" filled="f" stroked="f" coordsize="21600,21600">
              <v:path/>
              <v:fill on="f" focussize="0,0"/>
              <v:stroke on="f"/>
              <v:imagedata o:title=""/>
              <o:lock v:ext="edit" aspectratio="f"/>
              <v:textbox inset="0mm,0mm,0mm,0mm">
                <w:txbxContent>
                  <w:p w14:paraId="462AAEB2">
                    <w:pPr>
                      <w:spacing w:before="20" w:line="223" w:lineRule="auto"/>
                      <w:ind w:left="20" w:right="20" w:firstLine="80"/>
                      <w:rPr>
                        <w:rFonts w:ascii="宋体" w:hAnsi="宋体" w:eastAsia="宋体" w:cs="宋体"/>
                        <w:sz w:val="19"/>
                        <w:szCs w:val="19"/>
                      </w:rPr>
                    </w:pPr>
                    <w:r>
                      <w:rPr>
                        <w:rFonts w:ascii="黑体" w:hAnsi="黑体" w:eastAsia="黑体" w:cs="黑体"/>
                        <w:spacing w:val="-16"/>
                        <w:sz w:val="19"/>
                        <w:szCs w:val="19"/>
                      </w:rPr>
                      <w:t>数据</w:t>
                    </w:r>
                    <w:r>
                      <w:rPr>
                        <w:rFonts w:ascii="黑体" w:hAnsi="黑体" w:eastAsia="黑体" w:cs="黑体"/>
                        <w:sz w:val="19"/>
                        <w:szCs w:val="19"/>
                      </w:rPr>
                      <w:t xml:space="preserve">  </w:t>
                    </w:r>
                    <w:r>
                      <w:rPr>
                        <w:rFonts w:ascii="宋体" w:hAnsi="宋体" w:eastAsia="宋体" w:cs="宋体"/>
                        <w:spacing w:val="24"/>
                        <w:sz w:val="19"/>
                        <w:szCs w:val="19"/>
                      </w:rPr>
                      <w:t>库管</w:t>
                    </w:r>
                    <w:r>
                      <w:rPr>
                        <w:rFonts w:ascii="宋体" w:hAnsi="宋体" w:eastAsia="宋体" w:cs="宋体"/>
                        <w:sz w:val="19"/>
                        <w:szCs w:val="19"/>
                      </w:rPr>
                      <w:t xml:space="preserve">  </w:t>
                    </w:r>
                    <w:r>
                      <w:rPr>
                        <w:rFonts w:ascii="宋体" w:hAnsi="宋体" w:eastAsia="宋体" w:cs="宋体"/>
                        <w:spacing w:val="-14"/>
                        <w:sz w:val="19"/>
                        <w:szCs w:val="19"/>
                      </w:rPr>
                      <w:t>理系</w:t>
                    </w:r>
                    <w:r>
                      <w:rPr>
                        <w:rFonts w:ascii="宋体" w:hAnsi="宋体" w:eastAsia="宋体" w:cs="宋体"/>
                        <w:color w:val="0076DF"/>
                        <w:spacing w:val="-14"/>
                        <w:sz w:val="19"/>
                        <w:szCs w:val="19"/>
                      </w:rPr>
                      <w:t>统</w:t>
                    </w:r>
                  </w:p>
                </w:txbxContent>
              </v:textbox>
            </v:shape>
            <v:shape id="_x0000_s1361" o:spid="_x0000_s1361" o:spt="202" type="#_x0000_t202" style="position:absolute;left:3650;top:97;height:460;width:422;" filled="f" stroked="f" coordsize="21600,21600">
              <v:path/>
              <v:fill on="f" focussize="0,0"/>
              <v:stroke on="f"/>
              <v:imagedata o:title=""/>
              <o:lock v:ext="edit" aspectratio="f"/>
              <v:textbox inset="0mm,0mm,0mm,0mm">
                <w:txbxContent>
                  <w:p w14:paraId="1864DBB9">
                    <w:pPr>
                      <w:spacing w:before="19" w:line="221" w:lineRule="auto"/>
                      <w:ind w:left="20" w:right="20" w:firstLine="9"/>
                      <w:rPr>
                        <w:rFonts w:ascii="宋体" w:hAnsi="宋体" w:eastAsia="宋体" w:cs="宋体"/>
                        <w:sz w:val="19"/>
                        <w:szCs w:val="19"/>
                      </w:rPr>
                    </w:pPr>
                    <w:r>
                      <w:rPr>
                        <w:rFonts w:ascii="宋体" w:hAnsi="宋体" w:eastAsia="宋体" w:cs="宋体"/>
                        <w:spacing w:val="-5"/>
                        <w:sz w:val="19"/>
                        <w:szCs w:val="19"/>
                      </w:rPr>
                      <w:t>财务</w:t>
                    </w:r>
                    <w:r>
                      <w:rPr>
                        <w:rFonts w:ascii="宋体" w:hAnsi="宋体" w:eastAsia="宋体" w:cs="宋体"/>
                        <w:sz w:val="19"/>
                        <w:szCs w:val="19"/>
                      </w:rPr>
                      <w:t xml:space="preserve"> </w:t>
                    </w:r>
                    <w:r>
                      <w:rPr>
                        <w:rFonts w:ascii="宋体" w:hAnsi="宋体" w:eastAsia="宋体" w:cs="宋体"/>
                        <w:spacing w:val="-2"/>
                        <w:sz w:val="19"/>
                        <w:szCs w:val="19"/>
                      </w:rPr>
                      <w:t>会计</w:t>
                    </w:r>
                  </w:p>
                </w:txbxContent>
              </v:textbox>
            </v:shape>
            <v:shape id="_x0000_s1362" o:spid="_x0000_s1362" o:spt="202" type="#_x0000_t202" style="position:absolute;left:956;top:97;height:450;width:425;" filled="f" stroked="f" coordsize="21600,21600">
              <v:path/>
              <v:fill on="f" focussize="0,0"/>
              <v:stroke on="f"/>
              <v:imagedata o:title=""/>
              <o:lock v:ext="edit" aspectratio="f"/>
              <v:textbox inset="0mm,0mm,0mm,0mm">
                <w:txbxContent>
                  <w:p w14:paraId="1A4D28B0">
                    <w:pPr>
                      <w:spacing w:before="19" w:line="217" w:lineRule="auto"/>
                      <w:ind w:left="63" w:right="20" w:hanging="43"/>
                      <w:rPr>
                        <w:rFonts w:ascii="宋体" w:hAnsi="宋体" w:eastAsia="宋体" w:cs="宋体"/>
                        <w:sz w:val="19"/>
                        <w:szCs w:val="19"/>
                      </w:rPr>
                    </w:pPr>
                    <w:r>
                      <w:rPr>
                        <w:rFonts w:ascii="宋体" w:hAnsi="宋体" w:eastAsia="宋体" w:cs="宋体"/>
                        <w:spacing w:val="-9"/>
                        <w:sz w:val="19"/>
                        <w:szCs w:val="19"/>
                      </w:rPr>
                      <w:t>销售</w:t>
                    </w:r>
                    <w:r>
                      <w:rPr>
                        <w:rFonts w:ascii="宋体" w:hAnsi="宋体" w:eastAsia="宋体" w:cs="宋体"/>
                        <w:sz w:val="19"/>
                        <w:szCs w:val="19"/>
                      </w:rPr>
                      <w:t xml:space="preserve"> </w:t>
                    </w:r>
                    <w:r>
                      <w:rPr>
                        <w:rFonts w:ascii="宋体" w:hAnsi="宋体" w:eastAsia="宋体" w:cs="宋体"/>
                        <w:spacing w:val="-17"/>
                        <w:w w:val="98"/>
                        <w:sz w:val="19"/>
                        <w:szCs w:val="19"/>
                      </w:rPr>
                      <w:t>市场</w:t>
                    </w:r>
                  </w:p>
                </w:txbxContent>
              </v:textbox>
            </v:shape>
            <v:shape id="_x0000_s1363" o:spid="_x0000_s1363" o:spt="202" type="#_x0000_t202" style="position:absolute;left:4320;top:107;height:435;width:422;" filled="f" stroked="f" coordsize="21600,21600">
              <v:path/>
              <v:fill on="f" focussize="0,0"/>
              <v:stroke on="f"/>
              <v:imagedata o:title=""/>
              <o:lock v:ext="edit" aspectratio="f"/>
              <v:textbox inset="0mm,0mm,0mm,0mm">
                <w:txbxContent>
                  <w:p w14:paraId="0E7A6F5F">
                    <w:pPr>
                      <w:spacing w:before="20" w:line="211" w:lineRule="auto"/>
                      <w:ind w:left="20" w:right="20" w:firstLine="9"/>
                      <w:rPr>
                        <w:rFonts w:ascii="宋体" w:hAnsi="宋体" w:eastAsia="宋体" w:cs="宋体"/>
                        <w:sz w:val="19"/>
                        <w:szCs w:val="19"/>
                      </w:rPr>
                    </w:pPr>
                    <w:r>
                      <w:rPr>
                        <w:rFonts w:ascii="宋体" w:hAnsi="宋体" w:eastAsia="宋体" w:cs="宋体"/>
                        <w:spacing w:val="-4"/>
                        <w:sz w:val="19"/>
                        <w:szCs w:val="19"/>
                      </w:rPr>
                      <w:t>信息</w:t>
                    </w:r>
                    <w:r>
                      <w:rPr>
                        <w:rFonts w:ascii="宋体" w:hAnsi="宋体" w:eastAsia="宋体" w:cs="宋体"/>
                        <w:sz w:val="19"/>
                        <w:szCs w:val="19"/>
                      </w:rPr>
                      <w:t xml:space="preserve"> </w:t>
                    </w:r>
                    <w:r>
                      <w:rPr>
                        <w:rFonts w:ascii="宋体" w:hAnsi="宋体" w:eastAsia="宋体" w:cs="宋体"/>
                        <w:spacing w:val="-3"/>
                        <w:sz w:val="19"/>
                        <w:szCs w:val="19"/>
                      </w:rPr>
                      <w:t>处理</w:t>
                    </w:r>
                  </w:p>
                </w:txbxContent>
              </v:textbox>
            </v:shape>
            <v:shape id="_x0000_s1364" o:spid="_x0000_s1364" o:spt="202" type="#_x0000_t202" style="position:absolute;left:4999;top:117;height:440;width:407;" filled="f" stroked="f" coordsize="21600,21600">
              <v:path/>
              <v:fill on="f" focussize="0,0"/>
              <v:stroke on="f"/>
              <v:imagedata o:title=""/>
              <o:lock v:ext="edit" aspectratio="f"/>
              <v:textbox inset="0mm,0mm,0mm,0mm">
                <w:txbxContent>
                  <w:p w14:paraId="56CBEBA2">
                    <w:pPr>
                      <w:spacing w:before="19" w:line="212" w:lineRule="auto"/>
                      <w:ind w:left="30" w:right="20" w:hanging="10"/>
                      <w:rPr>
                        <w:rFonts w:ascii="宋体" w:hAnsi="宋体" w:eastAsia="宋体" w:cs="宋体"/>
                        <w:sz w:val="19"/>
                        <w:szCs w:val="19"/>
                      </w:rPr>
                    </w:pPr>
                    <w:r>
                      <w:rPr>
                        <w:rFonts w:ascii="宋体" w:hAnsi="宋体" w:eastAsia="宋体" w:cs="宋体"/>
                        <w:spacing w:val="-7"/>
                        <w:sz w:val="19"/>
                        <w:szCs w:val="19"/>
                      </w:rPr>
                      <w:t>高层</w:t>
                    </w:r>
                    <w:r>
                      <w:rPr>
                        <w:rFonts w:ascii="宋体" w:hAnsi="宋体" w:eastAsia="宋体" w:cs="宋体"/>
                        <w:sz w:val="19"/>
                        <w:szCs w:val="19"/>
                      </w:rPr>
                      <w:t xml:space="preserve"> </w:t>
                    </w:r>
                    <w:r>
                      <w:rPr>
                        <w:rFonts w:ascii="宋体" w:hAnsi="宋体" w:eastAsia="宋体" w:cs="宋体"/>
                        <w:spacing w:val="-16"/>
                        <w:w w:val="96"/>
                        <w:sz w:val="19"/>
                        <w:szCs w:val="19"/>
                      </w:rPr>
                      <w:t>管理</w:t>
                    </w:r>
                  </w:p>
                </w:txbxContent>
              </v:textbox>
            </v:shape>
            <v:shape id="_x0000_s1365" o:spid="_x0000_s1365" o:spt="202" type="#_x0000_t202" style="position:absolute;left:6070;top:48;height:230;width:730;" filled="f" stroked="f" coordsize="21600,21600">
              <v:path/>
              <v:fill on="f" focussize="0,0"/>
              <v:stroke on="f"/>
              <v:imagedata o:title=""/>
              <o:lock v:ext="edit" aspectratio="f"/>
              <v:textbox inset="0mm,0mm,0mm,0mm">
                <w:txbxContent>
                  <w:p w14:paraId="7C42B04C">
                    <w:pPr>
                      <w:spacing w:before="20" w:line="220" w:lineRule="auto"/>
                      <w:ind w:right="2"/>
                      <w:jc w:val="right"/>
                      <w:rPr>
                        <w:rFonts w:ascii="宋体" w:hAnsi="宋体" w:eastAsia="宋体" w:cs="宋体"/>
                        <w:sz w:val="19"/>
                        <w:szCs w:val="19"/>
                      </w:rPr>
                    </w:pPr>
                    <w:r>
                      <w:rPr>
                        <w:rFonts w:ascii="宋体" w:hAnsi="宋体" w:eastAsia="宋体" w:cs="宋体"/>
                        <w:spacing w:val="-14"/>
                        <w:sz w:val="19"/>
                        <w:szCs w:val="19"/>
                      </w:rPr>
                      <w:t>公用程序</w:t>
                    </w:r>
                  </w:p>
                </w:txbxContent>
              </v:textbox>
            </v:shape>
            <v:shape id="_x0000_s1366" o:spid="_x0000_s1366" o:spt="202" type="#_x0000_t202" style="position:absolute;left:120;top:2127;height:230;width:715;" filled="f" stroked="f" coordsize="21600,21600">
              <v:path/>
              <v:fill on="f" focussize="0,0"/>
              <v:stroke on="f"/>
              <v:imagedata o:title=""/>
              <o:lock v:ext="edit" aspectratio="f"/>
              <v:textbox inset="0mm,0mm,0mm,0mm">
                <w:txbxContent>
                  <w:p w14:paraId="1489AF5D">
                    <w:pPr>
                      <w:spacing w:before="20" w:line="219" w:lineRule="auto"/>
                      <w:jc w:val="right"/>
                      <w:rPr>
                        <w:rFonts w:ascii="宋体" w:hAnsi="宋体" w:eastAsia="宋体" w:cs="宋体"/>
                        <w:sz w:val="19"/>
                        <w:szCs w:val="19"/>
                      </w:rPr>
                    </w:pPr>
                    <w:r>
                      <w:rPr>
                        <w:rFonts w:ascii="宋体" w:hAnsi="宋体" w:eastAsia="宋体" w:cs="宋体"/>
                        <w:spacing w:val="-17"/>
                        <w:w w:val="96"/>
                        <w:sz w:val="19"/>
                        <w:szCs w:val="19"/>
                      </w:rPr>
                      <w:t>业</w:t>
                    </w:r>
                    <w:r>
                      <w:rPr>
                        <w:rFonts w:ascii="宋体" w:hAnsi="宋体" w:eastAsia="宋体" w:cs="宋体"/>
                        <w:spacing w:val="-16"/>
                        <w:w w:val="96"/>
                        <w:sz w:val="19"/>
                        <w:szCs w:val="19"/>
                      </w:rPr>
                      <w:t>务处</w:t>
                    </w:r>
                    <w:r>
                      <w:rPr>
                        <w:rFonts w:ascii="宋体" w:hAnsi="宋体" w:eastAsia="宋体" w:cs="宋体"/>
                        <w:spacing w:val="-7"/>
                        <w:w w:val="96"/>
                        <w:sz w:val="19"/>
                        <w:szCs w:val="19"/>
                      </w:rPr>
                      <w:t>理</w:t>
                    </w:r>
                  </w:p>
                </w:txbxContent>
              </v:textbox>
            </v:shape>
            <v:shape id="_x0000_s1367" o:spid="_x0000_s1367" o:spt="202" type="#_x0000_t202" style="position:absolute;left:5700;top:947;height:230;width:604;" filled="f" stroked="f" coordsize="21600,21600">
              <v:path/>
              <v:fill on="f" focussize="0,0"/>
              <v:stroke on="f"/>
              <v:imagedata o:title=""/>
              <o:lock v:ext="edit" aspectratio="f"/>
              <v:textbox inset="0mm,0mm,0mm,0mm">
                <w:txbxContent>
                  <w:p w14:paraId="648122F5">
                    <w:pPr>
                      <w:spacing w:before="20" w:line="219" w:lineRule="auto"/>
                      <w:ind w:left="20"/>
                      <w:rPr>
                        <w:rFonts w:ascii="宋体" w:hAnsi="宋体" w:eastAsia="宋体" w:cs="宋体"/>
                        <w:sz w:val="19"/>
                        <w:szCs w:val="19"/>
                      </w:rPr>
                    </w:pPr>
                    <w:r>
                      <w:rPr>
                        <w:rFonts w:ascii="宋体" w:hAnsi="宋体" w:eastAsia="宋体" w:cs="宋体"/>
                        <w:spacing w:val="-2"/>
                        <w:sz w:val="19"/>
                        <w:szCs w:val="19"/>
                      </w:rPr>
                      <w:t>模型库</w:t>
                    </w:r>
                  </w:p>
                </w:txbxContent>
              </v:textbox>
            </v:shape>
            <v:shape id="_x0000_s1368" o:spid="_x0000_s1368" o:spt="202" type="#_x0000_t202" style="position:absolute;left:3091;top:140;height:414;width:187;" filled="f" stroked="f" coordsize="21600,21600">
              <v:path/>
              <v:fill on="f" focussize="0,0"/>
              <v:stroke on="f"/>
              <v:imagedata o:title=""/>
              <o:lock v:ext="edit" aspectratio="f"/>
              <v:textbox inset="0mm,0mm,0mm,0mm" style="layout-flow:vertical-ideographic;">
                <w:txbxContent>
                  <w:p w14:paraId="49E229C4">
                    <w:pPr>
                      <w:spacing w:before="19" w:line="201" w:lineRule="auto"/>
                      <w:ind w:left="20"/>
                      <w:rPr>
                        <w:rFonts w:ascii="宋体" w:hAnsi="宋体" w:eastAsia="宋体" w:cs="宋体"/>
                        <w:sz w:val="16"/>
                        <w:szCs w:val="16"/>
                      </w:rPr>
                    </w:pPr>
                    <w:r>
                      <w:rPr>
                        <w:rFonts w:ascii="宋体" w:hAnsi="宋体" w:eastAsia="宋体" w:cs="宋体"/>
                        <w:sz w:val="16"/>
                        <w:szCs w:val="16"/>
                      </w:rPr>
                      <w:t>人</w:t>
                    </w:r>
                    <w:r>
                      <w:rPr>
                        <w:rFonts w:ascii="宋体" w:hAnsi="宋体" w:eastAsia="宋体" w:cs="宋体"/>
                        <w:spacing w:val="-27"/>
                        <w:sz w:val="16"/>
                        <w:szCs w:val="16"/>
                      </w:rPr>
                      <w:t xml:space="preserve"> </w:t>
                    </w:r>
                    <w:r>
                      <w:rPr>
                        <w:rFonts w:ascii="宋体" w:hAnsi="宋体" w:eastAsia="宋体" w:cs="宋体"/>
                        <w:sz w:val="16"/>
                        <w:szCs w:val="16"/>
                      </w:rPr>
                      <w:t>事</w:t>
                    </w:r>
                  </w:p>
                </w:txbxContent>
              </v:textbox>
            </v:shape>
            <v:shape id="_x0000_s1369" o:spid="_x0000_s1369" o:spt="202" type="#_x0000_t202" style="position:absolute;left:1741;top:132;height:400;width:187;" filled="f" stroked="f" coordsize="21600,21600">
              <v:path/>
              <v:fill on="f" focussize="0,0"/>
              <v:stroke on="f"/>
              <v:imagedata o:title=""/>
              <o:lock v:ext="edit" aspectratio="f"/>
              <v:textbox inset="0mm,0mm,0mm,0mm" style="layout-flow:vertical-ideographic;">
                <w:txbxContent>
                  <w:p w14:paraId="3A5CAADA">
                    <w:pPr>
                      <w:spacing w:before="20" w:line="199" w:lineRule="auto"/>
                      <w:ind w:left="20"/>
                      <w:rPr>
                        <w:rFonts w:ascii="宋体" w:hAnsi="宋体" w:eastAsia="宋体" w:cs="宋体"/>
                        <w:sz w:val="16"/>
                        <w:szCs w:val="16"/>
                      </w:rPr>
                    </w:pPr>
                    <w:r>
                      <w:rPr>
                        <w:rFonts w:ascii="宋体" w:hAnsi="宋体" w:eastAsia="宋体" w:cs="宋体"/>
                        <w:spacing w:val="20"/>
                        <w:sz w:val="16"/>
                        <w:szCs w:val="16"/>
                      </w:rPr>
                      <w:t>生产</w:t>
                    </w:r>
                  </w:p>
                </w:txbxContent>
              </v:textbox>
            </v:shape>
            <v:shape id="_x0000_s1370" o:spid="_x0000_s1370" o:spt="202" type="#_x0000_t202" style="position:absolute;left:2412;top:128;height:404;width:183;" filled="f" stroked="f" coordsize="21600,21600">
              <v:path/>
              <v:fill on="f" focussize="0,0"/>
              <v:stroke on="f"/>
              <v:imagedata o:title=""/>
              <o:lock v:ext="edit" aspectratio="f"/>
              <v:textbox inset="0mm,0mm,0mm,0mm" style="layout-flow:vertical-ideographic;">
                <w:txbxContent>
                  <w:p w14:paraId="3501CD4E">
                    <w:pPr>
                      <w:spacing w:before="19" w:line="196" w:lineRule="auto"/>
                      <w:ind w:left="20"/>
                      <w:rPr>
                        <w:rFonts w:ascii="宋体" w:hAnsi="宋体" w:eastAsia="宋体" w:cs="宋体"/>
                        <w:sz w:val="16"/>
                        <w:szCs w:val="16"/>
                      </w:rPr>
                    </w:pPr>
                    <w:r>
                      <w:rPr>
                        <w:rFonts w:ascii="宋体" w:hAnsi="宋体" w:eastAsia="宋体" w:cs="宋体"/>
                        <w:spacing w:val="21"/>
                        <w:sz w:val="16"/>
                        <w:szCs w:val="16"/>
                      </w:rPr>
                      <w:t>后勤</w:t>
                    </w:r>
                  </w:p>
                </w:txbxContent>
              </v:textbox>
            </v:shape>
            <w10:wrap type="none"/>
            <w10:anchorlock/>
          </v:group>
        </w:pict>
      </w:r>
    </w:p>
    <w:p w14:paraId="2FB815E8">
      <w:pPr>
        <w:pStyle w:val="2"/>
        <w:spacing w:before="57" w:line="219" w:lineRule="auto"/>
        <w:ind w:left="2869"/>
        <w:rPr>
          <w:sz w:val="19"/>
          <w:szCs w:val="19"/>
        </w:rPr>
      </w:pPr>
      <w:r>
        <w:rPr>
          <w:spacing w:val="-8"/>
          <w:sz w:val="19"/>
          <w:szCs w:val="19"/>
        </w:rPr>
        <w:t>图5-7  管理信息系统的软件结构</w:t>
      </w:r>
    </w:p>
    <w:p w14:paraId="1DE1C134">
      <w:pPr>
        <w:spacing w:before="300" w:line="221" w:lineRule="auto"/>
        <w:ind w:left="402"/>
        <w:rPr>
          <w:rFonts w:ascii="黑体" w:hAnsi="黑体" w:eastAsia="黑体" w:cs="黑体"/>
          <w:sz w:val="19"/>
          <w:szCs w:val="19"/>
        </w:rPr>
      </w:pPr>
      <w:r>
        <w:rPr>
          <w:rFonts w:ascii="黑体" w:hAnsi="黑体" w:eastAsia="黑体" w:cs="黑体"/>
          <w:b/>
          <w:bCs/>
          <w:color w:val="0059C0"/>
          <w:spacing w:val="7"/>
          <w:sz w:val="19"/>
          <w:szCs w:val="19"/>
        </w:rPr>
        <w:t>2.决策支持系统</w:t>
      </w:r>
    </w:p>
    <w:p w14:paraId="5103F7CF">
      <w:pPr>
        <w:pStyle w:val="2"/>
        <w:spacing w:before="134" w:line="307" w:lineRule="auto"/>
        <w:ind w:right="324" w:firstLine="399"/>
        <w:rPr>
          <w:sz w:val="19"/>
          <w:szCs w:val="19"/>
        </w:rPr>
      </w:pPr>
      <w:r>
        <w:rPr>
          <w:spacing w:val="16"/>
          <w:sz w:val="19"/>
          <w:szCs w:val="19"/>
        </w:rPr>
        <w:t>20世纪70年代中期首次提出了决策支持系统(</w:t>
      </w:r>
      <w:r>
        <w:rPr>
          <w:sz w:val="19"/>
          <w:szCs w:val="19"/>
        </w:rPr>
        <w:t>DSS</w:t>
      </w:r>
      <w:r>
        <w:rPr>
          <w:spacing w:val="16"/>
          <w:sz w:val="19"/>
          <w:szCs w:val="19"/>
        </w:rPr>
        <w:t>),</w:t>
      </w:r>
      <w:r>
        <w:rPr>
          <w:spacing w:val="40"/>
          <w:sz w:val="19"/>
          <w:szCs w:val="19"/>
        </w:rPr>
        <w:t xml:space="preserve">  </w:t>
      </w:r>
      <w:r>
        <w:rPr>
          <w:spacing w:val="16"/>
          <w:sz w:val="19"/>
          <w:szCs w:val="19"/>
        </w:rPr>
        <w:t>标志着利用计算</w:t>
      </w:r>
      <w:r>
        <w:rPr>
          <w:spacing w:val="15"/>
          <w:sz w:val="19"/>
          <w:szCs w:val="19"/>
        </w:rPr>
        <w:t>机与信息支持决策</w:t>
      </w:r>
      <w:r>
        <w:rPr>
          <w:spacing w:val="1"/>
          <w:sz w:val="19"/>
          <w:szCs w:val="19"/>
        </w:rPr>
        <w:t xml:space="preserve"> </w:t>
      </w:r>
      <w:r>
        <w:rPr>
          <w:spacing w:val="8"/>
          <w:sz w:val="19"/>
          <w:szCs w:val="19"/>
        </w:rPr>
        <w:t>的研究与应用进入了一个新的阶段，并形成了决策支</w:t>
      </w:r>
      <w:r>
        <w:rPr>
          <w:spacing w:val="7"/>
          <w:sz w:val="19"/>
          <w:szCs w:val="19"/>
        </w:rPr>
        <w:t>持系统新学科。</w:t>
      </w:r>
    </w:p>
    <w:p w14:paraId="6E65FCD6">
      <w:pPr>
        <w:pStyle w:val="2"/>
        <w:spacing w:before="6" w:line="297" w:lineRule="auto"/>
        <w:ind w:right="237" w:firstLine="399"/>
        <w:rPr>
          <w:sz w:val="19"/>
          <w:szCs w:val="19"/>
        </w:rPr>
      </w:pPr>
      <w:r>
        <w:rPr>
          <w:spacing w:val="15"/>
          <w:sz w:val="19"/>
          <w:szCs w:val="19"/>
        </w:rPr>
        <w:t>20世纪70年代末期，</w:t>
      </w:r>
      <w:r>
        <w:rPr>
          <w:spacing w:val="-34"/>
          <w:sz w:val="19"/>
          <w:szCs w:val="19"/>
        </w:rPr>
        <w:t xml:space="preserve"> </w:t>
      </w:r>
      <w:r>
        <w:rPr>
          <w:rFonts w:ascii="Times New Roman" w:hAnsi="Times New Roman" w:eastAsia="Times New Roman" w:cs="Times New Roman"/>
          <w:sz w:val="19"/>
          <w:szCs w:val="19"/>
        </w:rPr>
        <w:t>DSS</w:t>
      </w:r>
      <w:r>
        <w:rPr>
          <w:rFonts w:ascii="Times New Roman" w:hAnsi="Times New Roman" w:eastAsia="Times New Roman" w:cs="Times New Roman"/>
          <w:spacing w:val="37"/>
          <w:w w:val="101"/>
          <w:sz w:val="19"/>
          <w:szCs w:val="19"/>
        </w:rPr>
        <w:t xml:space="preserve"> </w:t>
      </w:r>
      <w:r>
        <w:rPr>
          <w:spacing w:val="15"/>
          <w:sz w:val="19"/>
          <w:szCs w:val="19"/>
        </w:rPr>
        <w:t>大多由模型库、数据库及人机交互系统三个部件组成。20世纪</w:t>
      </w:r>
      <w:r>
        <w:rPr>
          <w:sz w:val="19"/>
          <w:szCs w:val="19"/>
        </w:rPr>
        <w:t xml:space="preserve">  </w:t>
      </w:r>
      <w:r>
        <w:rPr>
          <w:spacing w:val="17"/>
          <w:sz w:val="19"/>
          <w:szCs w:val="19"/>
        </w:rPr>
        <w:t>80年代初，</w:t>
      </w:r>
      <w:r>
        <w:rPr>
          <w:spacing w:val="-32"/>
          <w:sz w:val="19"/>
          <w:szCs w:val="19"/>
        </w:rPr>
        <w:t xml:space="preserve"> </w:t>
      </w:r>
      <w:r>
        <w:rPr>
          <w:rFonts w:ascii="Times New Roman" w:hAnsi="Times New Roman" w:eastAsia="Times New Roman" w:cs="Times New Roman"/>
          <w:sz w:val="19"/>
          <w:szCs w:val="19"/>
        </w:rPr>
        <w:t>DSS</w:t>
      </w:r>
      <w:r>
        <w:rPr>
          <w:rFonts w:ascii="Times New Roman" w:hAnsi="Times New Roman" w:eastAsia="Times New Roman" w:cs="Times New Roman"/>
          <w:spacing w:val="28"/>
          <w:sz w:val="19"/>
          <w:szCs w:val="19"/>
        </w:rPr>
        <w:t xml:space="preserve"> </w:t>
      </w:r>
      <w:r>
        <w:rPr>
          <w:spacing w:val="17"/>
          <w:sz w:val="19"/>
          <w:szCs w:val="19"/>
        </w:rPr>
        <w:t>增加了知识库与方法库，构成了三库系统或四库系统。20世纪80年代后期，</w:t>
      </w:r>
      <w:r>
        <w:rPr>
          <w:sz w:val="19"/>
          <w:szCs w:val="19"/>
        </w:rPr>
        <w:t xml:space="preserve"> </w:t>
      </w:r>
      <w:r>
        <w:rPr>
          <w:spacing w:val="10"/>
          <w:sz w:val="19"/>
          <w:szCs w:val="19"/>
        </w:rPr>
        <w:t>人工智能技术与</w:t>
      </w:r>
      <w:r>
        <w:rPr>
          <w:rFonts w:ascii="Times New Roman" w:hAnsi="Times New Roman" w:eastAsia="Times New Roman" w:cs="Times New Roman"/>
          <w:sz w:val="19"/>
          <w:szCs w:val="19"/>
        </w:rPr>
        <w:t>DSS</w:t>
      </w:r>
      <w:r>
        <w:rPr>
          <w:rFonts w:ascii="Times New Roman" w:hAnsi="Times New Roman" w:eastAsia="Times New Roman" w:cs="Times New Roman"/>
          <w:spacing w:val="51"/>
          <w:sz w:val="19"/>
          <w:szCs w:val="19"/>
        </w:rPr>
        <w:t xml:space="preserve"> </w:t>
      </w:r>
      <w:r>
        <w:rPr>
          <w:spacing w:val="10"/>
          <w:sz w:val="19"/>
          <w:szCs w:val="19"/>
        </w:rPr>
        <w:t>相结合，充分利用两者的优点，形成了智能决策支持系统，提高了</w:t>
      </w:r>
      <w:r>
        <w:rPr>
          <w:rFonts w:ascii="Times New Roman" w:hAnsi="Times New Roman" w:eastAsia="Times New Roman" w:cs="Times New Roman"/>
          <w:sz w:val="19"/>
          <w:szCs w:val="19"/>
        </w:rPr>
        <w:t>DSS</w:t>
      </w:r>
      <w:r>
        <w:rPr>
          <w:rFonts w:ascii="Times New Roman" w:hAnsi="Times New Roman" w:eastAsia="Times New Roman" w:cs="Times New Roman"/>
          <w:spacing w:val="27"/>
          <w:w w:val="101"/>
          <w:sz w:val="19"/>
          <w:szCs w:val="19"/>
        </w:rPr>
        <w:t xml:space="preserve"> </w:t>
      </w:r>
      <w:r>
        <w:rPr>
          <w:spacing w:val="10"/>
          <w:sz w:val="19"/>
          <w:szCs w:val="19"/>
        </w:rPr>
        <w:t>支</w:t>
      </w:r>
      <w:r>
        <w:rPr>
          <w:sz w:val="19"/>
          <w:szCs w:val="19"/>
        </w:rPr>
        <w:t xml:space="preserve">  </w:t>
      </w:r>
      <w:r>
        <w:rPr>
          <w:spacing w:val="10"/>
          <w:sz w:val="19"/>
          <w:szCs w:val="19"/>
        </w:rPr>
        <w:t>持非结构化决策问题的能力。近年来，</w:t>
      </w:r>
      <w:r>
        <w:rPr>
          <w:spacing w:val="-3"/>
          <w:sz w:val="19"/>
          <w:szCs w:val="19"/>
        </w:rPr>
        <w:t xml:space="preserve"> </w:t>
      </w:r>
      <w:r>
        <w:rPr>
          <w:sz w:val="19"/>
          <w:szCs w:val="19"/>
        </w:rPr>
        <w:t>DSS</w:t>
      </w:r>
      <w:r>
        <w:rPr>
          <w:spacing w:val="44"/>
          <w:sz w:val="19"/>
          <w:szCs w:val="19"/>
        </w:rPr>
        <w:t xml:space="preserve"> </w:t>
      </w:r>
      <w:r>
        <w:rPr>
          <w:spacing w:val="10"/>
          <w:sz w:val="19"/>
          <w:szCs w:val="19"/>
        </w:rPr>
        <w:t>与计算机网络技术结合，构成了新型的能供异地决</w:t>
      </w:r>
      <w:r>
        <w:rPr>
          <w:sz w:val="19"/>
          <w:szCs w:val="19"/>
        </w:rPr>
        <w:t xml:space="preserve">  </w:t>
      </w:r>
      <w:r>
        <w:rPr>
          <w:spacing w:val="13"/>
          <w:sz w:val="19"/>
          <w:szCs w:val="19"/>
        </w:rPr>
        <w:t>策者共同参与决策的群体决策支持系统。群体决策支持系统利用便捷的网络通</w:t>
      </w:r>
      <w:r>
        <w:rPr>
          <w:spacing w:val="12"/>
          <w:sz w:val="19"/>
          <w:szCs w:val="19"/>
        </w:rPr>
        <w:t>信技术在多位决</w:t>
      </w:r>
      <w:r>
        <w:rPr>
          <w:sz w:val="19"/>
          <w:szCs w:val="19"/>
        </w:rPr>
        <w:t xml:space="preserve">  </w:t>
      </w:r>
      <w:r>
        <w:rPr>
          <w:spacing w:val="15"/>
          <w:sz w:val="19"/>
          <w:szCs w:val="19"/>
        </w:rPr>
        <w:t>策者之间沟通信息，提供良好的协商与综合决策环境，以支持需要集体做出决定的重要决</w:t>
      </w:r>
      <w:r>
        <w:rPr>
          <w:spacing w:val="14"/>
          <w:sz w:val="19"/>
          <w:szCs w:val="19"/>
        </w:rPr>
        <w:t>策。</w:t>
      </w:r>
      <w:r>
        <w:rPr>
          <w:sz w:val="19"/>
          <w:szCs w:val="19"/>
        </w:rPr>
        <w:t xml:space="preserve"> </w:t>
      </w:r>
      <w:r>
        <w:rPr>
          <w:spacing w:val="13"/>
          <w:sz w:val="19"/>
          <w:szCs w:val="19"/>
        </w:rPr>
        <w:t>在此基础上，为支持范围更广的群体，又将分布式数据库、模型库与知识库等</w:t>
      </w:r>
      <w:r>
        <w:rPr>
          <w:spacing w:val="12"/>
          <w:sz w:val="19"/>
          <w:szCs w:val="19"/>
        </w:rPr>
        <w:t>决策资源有机地</w:t>
      </w:r>
      <w:r>
        <w:rPr>
          <w:sz w:val="19"/>
          <w:szCs w:val="19"/>
        </w:rPr>
        <w:t xml:space="preserve">  </w:t>
      </w:r>
      <w:r>
        <w:rPr>
          <w:spacing w:val="7"/>
          <w:sz w:val="19"/>
          <w:szCs w:val="19"/>
        </w:rPr>
        <w:t>集成起来，构建分布式决策支持系统。</w:t>
      </w:r>
    </w:p>
    <w:p w14:paraId="226B1050">
      <w:pPr>
        <w:pStyle w:val="2"/>
        <w:spacing w:before="39" w:line="292" w:lineRule="auto"/>
        <w:ind w:right="302" w:firstLine="399"/>
        <w:rPr>
          <w:sz w:val="19"/>
          <w:szCs w:val="19"/>
        </w:rPr>
      </w:pPr>
      <w:r>
        <w:rPr>
          <w:rFonts w:ascii="Times New Roman" w:hAnsi="Times New Roman" w:eastAsia="Times New Roman" w:cs="Times New Roman"/>
          <w:sz w:val="19"/>
          <w:szCs w:val="19"/>
        </w:rPr>
        <w:t>DSS</w:t>
      </w:r>
      <w:r>
        <w:rPr>
          <w:rFonts w:ascii="Times New Roman" w:hAnsi="Times New Roman" w:eastAsia="Times New Roman" w:cs="Times New Roman"/>
          <w:spacing w:val="32"/>
          <w:sz w:val="19"/>
          <w:szCs w:val="19"/>
        </w:rPr>
        <w:t xml:space="preserve"> </w:t>
      </w:r>
      <w:r>
        <w:rPr>
          <w:spacing w:val="13"/>
          <w:sz w:val="19"/>
          <w:szCs w:val="19"/>
        </w:rPr>
        <w:t>的发展与信息技术、管理科学、人工智能及运筹学等科学技术的发展密切相关。随着</w:t>
      </w:r>
      <w:r>
        <w:rPr>
          <w:sz w:val="19"/>
          <w:szCs w:val="19"/>
        </w:rPr>
        <w:t xml:space="preserve"> </w:t>
      </w:r>
      <w:r>
        <w:rPr>
          <w:rFonts w:ascii="Times New Roman" w:hAnsi="Times New Roman" w:eastAsia="Times New Roman" w:cs="Times New Roman"/>
          <w:sz w:val="19"/>
          <w:szCs w:val="19"/>
        </w:rPr>
        <w:t>DSS</w:t>
      </w:r>
      <w:r>
        <w:rPr>
          <w:rFonts w:ascii="Times New Roman" w:hAnsi="Times New Roman" w:eastAsia="Times New Roman" w:cs="Times New Roman"/>
          <w:spacing w:val="28"/>
          <w:sz w:val="19"/>
          <w:szCs w:val="19"/>
        </w:rPr>
        <w:t xml:space="preserve"> </w:t>
      </w:r>
      <w:r>
        <w:rPr>
          <w:spacing w:val="9"/>
          <w:sz w:val="19"/>
          <w:szCs w:val="19"/>
        </w:rPr>
        <w:t>研究与应用范围的扩大和层次的提高，以及新技术、新方法的不断推出</w:t>
      </w:r>
      <w:r>
        <w:rPr>
          <w:spacing w:val="8"/>
          <w:sz w:val="19"/>
          <w:szCs w:val="19"/>
        </w:rPr>
        <w:t>与引入，</w:t>
      </w:r>
      <w:r>
        <w:rPr>
          <w:spacing w:val="-26"/>
          <w:sz w:val="19"/>
          <w:szCs w:val="19"/>
        </w:rPr>
        <w:t xml:space="preserve"> </w:t>
      </w:r>
      <w:r>
        <w:rPr>
          <w:rFonts w:ascii="Times New Roman" w:hAnsi="Times New Roman" w:eastAsia="Times New Roman" w:cs="Times New Roman"/>
          <w:sz w:val="19"/>
          <w:szCs w:val="19"/>
        </w:rPr>
        <w:t>DSS</w:t>
      </w:r>
      <w:r>
        <w:rPr>
          <w:rFonts w:ascii="Times New Roman" w:hAnsi="Times New Roman" w:eastAsia="Times New Roman" w:cs="Times New Roman"/>
          <w:spacing w:val="38"/>
          <w:sz w:val="19"/>
          <w:szCs w:val="19"/>
        </w:rPr>
        <w:t xml:space="preserve"> </w:t>
      </w:r>
      <w:r>
        <w:rPr>
          <w:spacing w:val="8"/>
          <w:sz w:val="19"/>
          <w:szCs w:val="19"/>
        </w:rPr>
        <w:t>会</w:t>
      </w:r>
      <w:r>
        <w:rPr>
          <w:spacing w:val="-43"/>
          <w:sz w:val="19"/>
          <w:szCs w:val="19"/>
        </w:rPr>
        <w:t xml:space="preserve"> </w:t>
      </w:r>
      <w:r>
        <w:rPr>
          <w:spacing w:val="8"/>
          <w:sz w:val="19"/>
          <w:szCs w:val="19"/>
        </w:rPr>
        <w:t>逐</w:t>
      </w:r>
      <w:r>
        <w:rPr>
          <w:sz w:val="19"/>
          <w:szCs w:val="19"/>
        </w:rPr>
        <w:t xml:space="preserve"> </w:t>
      </w:r>
      <w:r>
        <w:rPr>
          <w:spacing w:val="6"/>
          <w:sz w:val="19"/>
          <w:szCs w:val="19"/>
        </w:rPr>
        <w:t>步走向成熟，其实用性与有效性会进一步提高。</w:t>
      </w:r>
    </w:p>
    <w:p w14:paraId="099B7FD2">
      <w:pPr>
        <w:spacing w:before="77" w:line="212" w:lineRule="auto"/>
        <w:ind w:left="399"/>
        <w:rPr>
          <w:rFonts w:ascii="楷体" w:hAnsi="楷体" w:eastAsia="楷体" w:cs="楷体"/>
          <w:sz w:val="19"/>
          <w:szCs w:val="19"/>
        </w:rPr>
      </w:pPr>
      <w:r>
        <w:rPr>
          <w:rFonts w:ascii="Times New Roman" w:hAnsi="Times New Roman" w:eastAsia="Times New Roman" w:cs="Times New Roman"/>
          <w:spacing w:val="1"/>
          <w:sz w:val="19"/>
          <w:szCs w:val="19"/>
        </w:rPr>
        <w:t>1)</w:t>
      </w:r>
      <w:r>
        <w:rPr>
          <w:rFonts w:ascii="Times New Roman" w:hAnsi="Times New Roman" w:eastAsia="Times New Roman" w:cs="Times New Roman"/>
          <w:sz w:val="19"/>
          <w:szCs w:val="19"/>
        </w:rPr>
        <w:t>DSS</w:t>
      </w:r>
      <w:r>
        <w:rPr>
          <w:rFonts w:ascii="Times New Roman" w:hAnsi="Times New Roman" w:eastAsia="Times New Roman" w:cs="Times New Roman"/>
          <w:spacing w:val="6"/>
          <w:sz w:val="19"/>
          <w:szCs w:val="19"/>
        </w:rPr>
        <w:t xml:space="preserve">    </w:t>
      </w:r>
      <w:r>
        <w:rPr>
          <w:rFonts w:ascii="楷体" w:hAnsi="楷体" w:eastAsia="楷体" w:cs="楷体"/>
          <w:spacing w:val="1"/>
          <w:sz w:val="19"/>
          <w:szCs w:val="19"/>
        </w:rPr>
        <w:t>的定义</w:t>
      </w:r>
    </w:p>
    <w:p w14:paraId="35509DC7">
      <w:pPr>
        <w:pStyle w:val="2"/>
        <w:spacing w:before="93" w:line="316" w:lineRule="auto"/>
        <w:ind w:right="317" w:firstLine="399"/>
        <w:rPr>
          <w:sz w:val="19"/>
          <w:szCs w:val="19"/>
        </w:rPr>
      </w:pPr>
      <w:r>
        <w:rPr>
          <w:spacing w:val="11"/>
          <w:sz w:val="19"/>
          <w:szCs w:val="19"/>
        </w:rPr>
        <w:t>对</w:t>
      </w:r>
      <w:r>
        <w:rPr>
          <w:spacing w:val="-42"/>
          <w:sz w:val="19"/>
          <w:szCs w:val="19"/>
        </w:rPr>
        <w:t xml:space="preserve"> </w:t>
      </w:r>
      <w:r>
        <w:rPr>
          <w:rFonts w:ascii="Times New Roman" w:hAnsi="Times New Roman" w:eastAsia="Times New Roman" w:cs="Times New Roman"/>
          <w:sz w:val="19"/>
          <w:szCs w:val="19"/>
        </w:rPr>
        <w:t>DSS</w:t>
      </w:r>
      <w:r>
        <w:rPr>
          <w:rFonts w:ascii="Times New Roman" w:hAnsi="Times New Roman" w:eastAsia="Times New Roman" w:cs="Times New Roman"/>
          <w:spacing w:val="37"/>
          <w:w w:val="102"/>
          <w:sz w:val="19"/>
          <w:szCs w:val="19"/>
        </w:rPr>
        <w:t xml:space="preserve"> </w:t>
      </w:r>
      <w:r>
        <w:rPr>
          <w:spacing w:val="11"/>
          <w:sz w:val="19"/>
          <w:szCs w:val="19"/>
        </w:rPr>
        <w:t>的定义始终存在着不同的观点，但都基本一致认为其定义必须建立在对象所具有的</w:t>
      </w:r>
      <w:r>
        <w:rPr>
          <w:sz w:val="19"/>
          <w:szCs w:val="19"/>
        </w:rPr>
        <w:t xml:space="preserve"> </w:t>
      </w:r>
      <w:r>
        <w:rPr>
          <w:spacing w:val="5"/>
          <w:sz w:val="19"/>
          <w:szCs w:val="19"/>
        </w:rPr>
        <w:t>特征之上。</w:t>
      </w:r>
    </w:p>
    <w:p w14:paraId="3D5B91DF">
      <w:pPr>
        <w:pStyle w:val="2"/>
        <w:spacing w:before="1" w:line="277" w:lineRule="auto"/>
        <w:ind w:right="324" w:firstLine="399"/>
        <w:rPr>
          <w:sz w:val="19"/>
          <w:szCs w:val="19"/>
        </w:rPr>
      </w:pPr>
      <w:r>
        <w:rPr>
          <w:spacing w:val="12"/>
          <w:sz w:val="19"/>
          <w:szCs w:val="19"/>
        </w:rPr>
        <w:t>定义一：</w:t>
      </w:r>
      <w:r>
        <w:rPr>
          <w:rFonts w:ascii="Times New Roman" w:hAnsi="Times New Roman" w:eastAsia="Times New Roman" w:cs="Times New Roman"/>
          <w:sz w:val="19"/>
          <w:szCs w:val="19"/>
        </w:rPr>
        <w:t>DSS</w:t>
      </w:r>
      <w:r>
        <w:rPr>
          <w:rFonts w:ascii="Times New Roman" w:hAnsi="Times New Roman" w:eastAsia="Times New Roman" w:cs="Times New Roman"/>
          <w:spacing w:val="47"/>
          <w:sz w:val="19"/>
          <w:szCs w:val="19"/>
        </w:rPr>
        <w:t xml:space="preserve"> </w:t>
      </w:r>
      <w:r>
        <w:rPr>
          <w:spacing w:val="12"/>
          <w:sz w:val="19"/>
          <w:szCs w:val="19"/>
        </w:rPr>
        <w:t>是一个由语言系统、知识系统和问题处理系统三个互相关联的部分组成的基</w:t>
      </w:r>
      <w:r>
        <w:rPr>
          <w:sz w:val="19"/>
          <w:szCs w:val="19"/>
        </w:rPr>
        <w:t xml:space="preserve"> </w:t>
      </w:r>
      <w:r>
        <w:rPr>
          <w:spacing w:val="4"/>
          <w:sz w:val="19"/>
          <w:szCs w:val="19"/>
        </w:rPr>
        <w:t>于计算机的系统。</w:t>
      </w:r>
      <w:r>
        <w:rPr>
          <w:rFonts w:ascii="Times New Roman" w:hAnsi="Times New Roman" w:eastAsia="Times New Roman" w:cs="Times New Roman"/>
          <w:sz w:val="19"/>
          <w:szCs w:val="19"/>
        </w:rPr>
        <w:t>DSS</w:t>
      </w:r>
      <w:r>
        <w:rPr>
          <w:rFonts w:ascii="Times New Roman" w:hAnsi="Times New Roman" w:eastAsia="Times New Roman" w:cs="Times New Roman"/>
          <w:spacing w:val="40"/>
          <w:sz w:val="19"/>
          <w:szCs w:val="19"/>
        </w:rPr>
        <w:t xml:space="preserve"> </w:t>
      </w:r>
      <w:r>
        <w:rPr>
          <w:spacing w:val="4"/>
          <w:sz w:val="19"/>
          <w:szCs w:val="19"/>
        </w:rPr>
        <w:t>应具有的特征包括：</w:t>
      </w:r>
    </w:p>
    <w:p w14:paraId="46643259">
      <w:pPr>
        <w:pStyle w:val="2"/>
        <w:spacing w:before="39" w:line="219" w:lineRule="auto"/>
        <w:ind w:left="399"/>
        <w:rPr>
          <w:sz w:val="19"/>
          <w:szCs w:val="19"/>
        </w:rPr>
      </w:pPr>
      <w:r>
        <w:rPr>
          <w:spacing w:val="10"/>
          <w:sz w:val="19"/>
          <w:szCs w:val="19"/>
        </w:rPr>
        <w:t>●</w:t>
      </w:r>
      <w:r>
        <w:rPr>
          <w:spacing w:val="-55"/>
          <w:sz w:val="19"/>
          <w:szCs w:val="19"/>
        </w:rPr>
        <w:t xml:space="preserve"> </w:t>
      </w:r>
      <w:r>
        <w:rPr>
          <w:spacing w:val="10"/>
          <w:sz w:val="19"/>
          <w:szCs w:val="19"/>
        </w:rPr>
        <w:t>数据和模型是</w:t>
      </w:r>
      <w:r>
        <w:rPr>
          <w:sz w:val="19"/>
          <w:szCs w:val="19"/>
        </w:rPr>
        <w:t>DSS</w:t>
      </w:r>
      <w:r>
        <w:rPr>
          <w:spacing w:val="53"/>
          <w:w w:val="101"/>
          <w:sz w:val="19"/>
          <w:szCs w:val="19"/>
        </w:rPr>
        <w:t xml:space="preserve"> </w:t>
      </w:r>
      <w:r>
        <w:rPr>
          <w:spacing w:val="10"/>
          <w:sz w:val="19"/>
          <w:szCs w:val="19"/>
        </w:rPr>
        <w:t>的主要资源；</w:t>
      </w:r>
    </w:p>
    <w:p w14:paraId="69415C80">
      <w:pPr>
        <w:pStyle w:val="2"/>
        <w:spacing w:before="85" w:line="219" w:lineRule="auto"/>
        <w:ind w:left="399"/>
        <w:rPr>
          <w:sz w:val="19"/>
          <w:szCs w:val="19"/>
        </w:rPr>
      </w:pPr>
      <w:r>
        <w:rPr>
          <w:spacing w:val="7"/>
          <w:sz w:val="19"/>
          <w:szCs w:val="19"/>
        </w:rPr>
        <w:t>●</w:t>
      </w:r>
      <w:r>
        <w:rPr>
          <w:spacing w:val="11"/>
          <w:sz w:val="19"/>
          <w:szCs w:val="19"/>
        </w:rPr>
        <w:t xml:space="preserve">  </w:t>
      </w:r>
      <w:r>
        <w:rPr>
          <w:sz w:val="19"/>
          <w:szCs w:val="19"/>
        </w:rPr>
        <w:t>DSS</w:t>
      </w:r>
      <w:r>
        <w:rPr>
          <w:spacing w:val="7"/>
          <w:sz w:val="19"/>
          <w:szCs w:val="19"/>
        </w:rPr>
        <w:t>用来支援用户做决策而不是代替用户做决策；</w:t>
      </w:r>
    </w:p>
    <w:p w14:paraId="01B7C636">
      <w:pPr>
        <w:pStyle w:val="2"/>
        <w:spacing w:before="84" w:line="219" w:lineRule="auto"/>
        <w:ind w:left="399"/>
        <w:rPr>
          <w:sz w:val="19"/>
          <w:szCs w:val="19"/>
        </w:rPr>
      </w:pPr>
      <w:r>
        <w:rPr>
          <w:spacing w:val="5"/>
          <w:sz w:val="19"/>
          <w:szCs w:val="19"/>
        </w:rPr>
        <w:t>●</w:t>
      </w:r>
      <w:r>
        <w:rPr>
          <w:spacing w:val="7"/>
          <w:sz w:val="19"/>
          <w:szCs w:val="19"/>
        </w:rPr>
        <w:t xml:space="preserve">  </w:t>
      </w:r>
      <w:r>
        <w:rPr>
          <w:sz w:val="19"/>
          <w:szCs w:val="19"/>
        </w:rPr>
        <w:t>DSS</w:t>
      </w:r>
      <w:r>
        <w:rPr>
          <w:spacing w:val="-55"/>
          <w:sz w:val="19"/>
          <w:szCs w:val="19"/>
        </w:rPr>
        <w:t xml:space="preserve"> </w:t>
      </w:r>
      <w:r>
        <w:rPr>
          <w:spacing w:val="5"/>
          <w:sz w:val="19"/>
          <w:szCs w:val="19"/>
        </w:rPr>
        <w:t>主要用于解决半结构化及非结构化问题；</w:t>
      </w:r>
    </w:p>
    <w:p w14:paraId="71C9B8DF">
      <w:pPr>
        <w:spacing w:line="219" w:lineRule="auto"/>
        <w:rPr>
          <w:sz w:val="19"/>
          <w:szCs w:val="19"/>
        </w:rPr>
        <w:sectPr>
          <w:pgSz w:w="10290" w:h="13290"/>
          <w:pgMar w:top="379" w:right="547" w:bottom="400" w:left="1100" w:header="0" w:footer="0" w:gutter="0"/>
          <w:cols w:space="720" w:num="1"/>
        </w:sectPr>
      </w:pPr>
    </w:p>
    <w:p w14:paraId="66CFA549">
      <w:pPr>
        <w:pStyle w:val="2"/>
        <w:spacing w:before="97" w:line="219" w:lineRule="auto"/>
        <w:rPr>
          <w:sz w:val="19"/>
          <w:szCs w:val="19"/>
        </w:rPr>
      </w:pPr>
      <w:bookmarkStart w:id="561" w:name="bookmark547"/>
      <w:bookmarkEnd w:id="561"/>
      <w:r>
        <w:rPr>
          <w:rFonts w:ascii="Times New Roman" w:hAnsi="Times New Roman" w:eastAsia="Times New Roman" w:cs="Times New Roman"/>
          <w:spacing w:val="4"/>
          <w:sz w:val="19"/>
          <w:szCs w:val="19"/>
        </w:rPr>
        <w:t>164</w:t>
      </w:r>
      <w:r>
        <w:rPr>
          <w:rFonts w:ascii="Times New Roman" w:hAnsi="Times New Roman" w:eastAsia="Times New Roman" w:cs="Times New Roman"/>
          <w:spacing w:val="1"/>
          <w:sz w:val="19"/>
          <w:szCs w:val="19"/>
        </w:rPr>
        <w:t xml:space="preserve">              </w:t>
      </w:r>
      <w:r>
        <w:rPr>
          <w:spacing w:val="4"/>
          <w:sz w:val="19"/>
          <w:szCs w:val="19"/>
        </w:rPr>
        <w:t>信息系统监理师教程(第2版)</w:t>
      </w:r>
    </w:p>
    <w:p w14:paraId="159639D0">
      <w:pPr>
        <w:spacing w:line="330" w:lineRule="auto"/>
        <w:rPr>
          <w:rFonts w:ascii="Arial"/>
          <w:sz w:val="21"/>
        </w:rPr>
      </w:pPr>
    </w:p>
    <w:p w14:paraId="29A03B0B">
      <w:pPr>
        <w:pStyle w:val="2"/>
        <w:spacing w:before="62" w:line="219" w:lineRule="auto"/>
        <w:ind w:left="749"/>
        <w:rPr>
          <w:sz w:val="19"/>
          <w:szCs w:val="19"/>
        </w:rPr>
      </w:pPr>
      <w:r>
        <w:rPr>
          <w:spacing w:val="8"/>
          <w:sz w:val="19"/>
          <w:szCs w:val="19"/>
        </w:rPr>
        <w:t>●</w:t>
      </w:r>
      <w:r>
        <w:rPr>
          <w:spacing w:val="10"/>
          <w:sz w:val="19"/>
          <w:szCs w:val="19"/>
        </w:rPr>
        <w:t xml:space="preserve">  </w:t>
      </w:r>
      <w:r>
        <w:rPr>
          <w:sz w:val="19"/>
          <w:szCs w:val="19"/>
        </w:rPr>
        <w:t>DSS</w:t>
      </w:r>
      <w:r>
        <w:rPr>
          <w:spacing w:val="8"/>
          <w:sz w:val="19"/>
          <w:szCs w:val="19"/>
        </w:rPr>
        <w:t>的作用在于提高决策的有效性，而不是提高决策的效率。</w:t>
      </w:r>
    </w:p>
    <w:p w14:paraId="6D2BA5A9">
      <w:pPr>
        <w:pStyle w:val="2"/>
        <w:spacing w:before="85" w:line="304" w:lineRule="auto"/>
        <w:ind w:left="340" w:right="39" w:firstLine="409"/>
        <w:jc w:val="both"/>
        <w:rPr>
          <w:sz w:val="19"/>
          <w:szCs w:val="19"/>
        </w:rPr>
      </w:pPr>
      <w:r>
        <w:rPr>
          <w:spacing w:val="13"/>
          <w:sz w:val="19"/>
          <w:szCs w:val="19"/>
        </w:rPr>
        <w:t>定义二：</w:t>
      </w:r>
      <w:r>
        <w:rPr>
          <w:rFonts w:ascii="Times New Roman" w:hAnsi="Times New Roman" w:eastAsia="Times New Roman" w:cs="Times New Roman"/>
          <w:sz w:val="19"/>
          <w:szCs w:val="19"/>
        </w:rPr>
        <w:t>DSS</w:t>
      </w:r>
      <w:r>
        <w:rPr>
          <w:rFonts w:ascii="Times New Roman" w:hAnsi="Times New Roman" w:eastAsia="Times New Roman" w:cs="Times New Roman"/>
          <w:spacing w:val="47"/>
          <w:w w:val="101"/>
          <w:sz w:val="19"/>
          <w:szCs w:val="19"/>
        </w:rPr>
        <w:t xml:space="preserve"> </w:t>
      </w:r>
      <w:r>
        <w:rPr>
          <w:spacing w:val="13"/>
          <w:sz w:val="19"/>
          <w:szCs w:val="19"/>
        </w:rPr>
        <w:t>应当是一个交互式的、灵活的、适应性</w:t>
      </w:r>
      <w:r>
        <w:rPr>
          <w:spacing w:val="12"/>
          <w:sz w:val="19"/>
          <w:szCs w:val="19"/>
        </w:rPr>
        <w:t>强的基于计算机的信息系统，能够为</w:t>
      </w:r>
      <w:r>
        <w:rPr>
          <w:sz w:val="19"/>
          <w:szCs w:val="19"/>
        </w:rPr>
        <w:t xml:space="preserve"> </w:t>
      </w:r>
      <w:r>
        <w:rPr>
          <w:spacing w:val="11"/>
          <w:sz w:val="19"/>
          <w:szCs w:val="19"/>
        </w:rPr>
        <w:t>解决非结构化管理问题提供支持，以改善决策的质量</w:t>
      </w:r>
      <w:r>
        <w:rPr>
          <w:spacing w:val="10"/>
          <w:sz w:val="19"/>
          <w:szCs w:val="19"/>
        </w:rPr>
        <w:t>。</w:t>
      </w:r>
      <w:r>
        <w:rPr>
          <w:spacing w:val="-25"/>
          <w:sz w:val="19"/>
          <w:szCs w:val="19"/>
        </w:rPr>
        <w:t xml:space="preserve"> </w:t>
      </w:r>
      <w:r>
        <w:rPr>
          <w:rFonts w:ascii="Times New Roman" w:hAnsi="Times New Roman" w:eastAsia="Times New Roman" w:cs="Times New Roman"/>
          <w:sz w:val="19"/>
          <w:szCs w:val="19"/>
        </w:rPr>
        <w:t>DSS</w:t>
      </w:r>
      <w:r>
        <w:rPr>
          <w:rFonts w:ascii="Times New Roman" w:hAnsi="Times New Roman" w:eastAsia="Times New Roman" w:cs="Times New Roman"/>
          <w:spacing w:val="38"/>
          <w:sz w:val="19"/>
          <w:szCs w:val="19"/>
        </w:rPr>
        <w:t xml:space="preserve"> </w:t>
      </w:r>
      <w:r>
        <w:rPr>
          <w:spacing w:val="10"/>
          <w:sz w:val="19"/>
          <w:szCs w:val="19"/>
        </w:rPr>
        <w:t>使用数据，提供容易使用的用户界</w:t>
      </w:r>
      <w:r>
        <w:rPr>
          <w:sz w:val="19"/>
          <w:szCs w:val="19"/>
        </w:rPr>
        <w:t xml:space="preserve"> </w:t>
      </w:r>
      <w:r>
        <w:rPr>
          <w:spacing w:val="12"/>
          <w:sz w:val="19"/>
          <w:szCs w:val="19"/>
        </w:rPr>
        <w:t>面，并可以体现决策者的意图。</w:t>
      </w:r>
      <w:r>
        <w:rPr>
          <w:spacing w:val="-25"/>
          <w:sz w:val="19"/>
          <w:szCs w:val="19"/>
        </w:rPr>
        <w:t xml:space="preserve"> </w:t>
      </w:r>
      <w:r>
        <w:rPr>
          <w:rFonts w:ascii="Times New Roman" w:hAnsi="Times New Roman" w:eastAsia="Times New Roman" w:cs="Times New Roman"/>
          <w:sz w:val="19"/>
          <w:szCs w:val="19"/>
        </w:rPr>
        <w:t>DSS</w:t>
      </w:r>
      <w:r>
        <w:rPr>
          <w:rFonts w:ascii="Times New Roman" w:hAnsi="Times New Roman" w:eastAsia="Times New Roman" w:cs="Times New Roman"/>
          <w:spacing w:val="37"/>
          <w:w w:val="101"/>
          <w:sz w:val="19"/>
          <w:szCs w:val="19"/>
        </w:rPr>
        <w:t xml:space="preserve"> </w:t>
      </w:r>
      <w:r>
        <w:rPr>
          <w:spacing w:val="12"/>
          <w:sz w:val="19"/>
          <w:szCs w:val="19"/>
        </w:rPr>
        <w:t>可以提供即时创建的模型，支持整个决</w:t>
      </w:r>
      <w:r>
        <w:rPr>
          <w:spacing w:val="11"/>
          <w:sz w:val="19"/>
          <w:szCs w:val="19"/>
        </w:rPr>
        <w:t>策过程中的活动，</w:t>
      </w:r>
      <w:r>
        <w:rPr>
          <w:sz w:val="19"/>
          <w:szCs w:val="19"/>
        </w:rPr>
        <w:t xml:space="preserve"> 并可能包括知识成分。 </w:t>
      </w:r>
      <w:r>
        <w:rPr>
          <w:rFonts w:ascii="Times New Roman" w:hAnsi="Times New Roman" w:eastAsia="Times New Roman" w:cs="Times New Roman"/>
          <w:sz w:val="19"/>
          <w:szCs w:val="19"/>
        </w:rPr>
        <w:t>DSS</w:t>
      </w:r>
      <w:r>
        <w:rPr>
          <w:rFonts w:ascii="Times New Roman" w:hAnsi="Times New Roman" w:eastAsia="Times New Roman" w:cs="Times New Roman"/>
          <w:spacing w:val="32"/>
          <w:w w:val="101"/>
          <w:sz w:val="19"/>
          <w:szCs w:val="19"/>
        </w:rPr>
        <w:t xml:space="preserve"> </w:t>
      </w:r>
      <w:r>
        <w:rPr>
          <w:sz w:val="19"/>
          <w:szCs w:val="19"/>
        </w:rPr>
        <w:t>应具有的特征包括：</w:t>
      </w:r>
    </w:p>
    <w:p w14:paraId="2BFE79D2">
      <w:pPr>
        <w:pStyle w:val="2"/>
        <w:spacing w:before="47" w:line="219" w:lineRule="auto"/>
        <w:ind w:left="749"/>
        <w:rPr>
          <w:sz w:val="19"/>
          <w:szCs w:val="19"/>
        </w:rPr>
      </w:pPr>
      <w:r>
        <w:rPr>
          <w:spacing w:val="10"/>
          <w:sz w:val="19"/>
          <w:szCs w:val="19"/>
        </w:rPr>
        <w:t>●主要针对上层管理人员经常面临的结构化程度不高、说明不够充分的问题；</w:t>
      </w:r>
    </w:p>
    <w:p w14:paraId="3CFA1464">
      <w:pPr>
        <w:pStyle w:val="2"/>
        <w:spacing w:before="94" w:line="219" w:lineRule="auto"/>
        <w:ind w:left="749"/>
        <w:rPr>
          <w:sz w:val="19"/>
          <w:szCs w:val="19"/>
        </w:rPr>
      </w:pPr>
      <w:r>
        <w:rPr>
          <w:spacing w:val="10"/>
          <w:sz w:val="19"/>
          <w:szCs w:val="19"/>
        </w:rPr>
        <w:t>●界面友好，容易被非计算机人员所接受；</w:t>
      </w:r>
    </w:p>
    <w:p w14:paraId="316DB854">
      <w:pPr>
        <w:pStyle w:val="2"/>
        <w:spacing w:before="94" w:line="219" w:lineRule="auto"/>
        <w:ind w:left="749"/>
        <w:rPr>
          <w:sz w:val="19"/>
          <w:szCs w:val="19"/>
        </w:rPr>
      </w:pPr>
      <w:r>
        <w:rPr>
          <w:spacing w:val="10"/>
          <w:sz w:val="19"/>
          <w:szCs w:val="19"/>
        </w:rPr>
        <w:t>●将模型、分析技术与传统的数据存取与检索技</w:t>
      </w:r>
      <w:r>
        <w:rPr>
          <w:spacing w:val="9"/>
          <w:sz w:val="19"/>
          <w:szCs w:val="19"/>
        </w:rPr>
        <w:t>术结合起来；</w:t>
      </w:r>
    </w:p>
    <w:p w14:paraId="0EB41E9A">
      <w:pPr>
        <w:pStyle w:val="2"/>
        <w:spacing w:before="106" w:line="219" w:lineRule="auto"/>
        <w:ind w:left="749"/>
        <w:rPr>
          <w:sz w:val="19"/>
          <w:szCs w:val="19"/>
        </w:rPr>
      </w:pPr>
      <w:r>
        <w:rPr>
          <w:spacing w:val="10"/>
          <w:sz w:val="19"/>
          <w:szCs w:val="19"/>
        </w:rPr>
        <w:t>●具有对环境及决策方法改变的灵活性与适应性；</w:t>
      </w:r>
    </w:p>
    <w:p w14:paraId="1F9000F4">
      <w:pPr>
        <w:pStyle w:val="2"/>
        <w:spacing w:before="95" w:line="219" w:lineRule="auto"/>
        <w:ind w:left="749"/>
        <w:rPr>
          <w:sz w:val="19"/>
          <w:szCs w:val="19"/>
        </w:rPr>
      </w:pPr>
      <w:r>
        <w:rPr>
          <w:spacing w:val="11"/>
          <w:sz w:val="19"/>
          <w:szCs w:val="19"/>
        </w:rPr>
        <w:t>●支持但不是代替高层决策者进行决策；</w:t>
      </w:r>
    </w:p>
    <w:p w14:paraId="046B397E">
      <w:pPr>
        <w:pStyle w:val="2"/>
        <w:spacing w:before="103" w:line="219" w:lineRule="auto"/>
        <w:ind w:left="749"/>
        <w:rPr>
          <w:sz w:val="19"/>
          <w:szCs w:val="19"/>
        </w:rPr>
      </w:pPr>
      <w:r>
        <w:rPr>
          <w:spacing w:val="10"/>
          <w:sz w:val="19"/>
          <w:szCs w:val="19"/>
        </w:rPr>
        <w:t>●充分利用先进信息技术快速传递和处理信息。</w:t>
      </w:r>
    </w:p>
    <w:p w14:paraId="04A0294A">
      <w:pPr>
        <w:spacing w:before="164" w:line="212" w:lineRule="auto"/>
        <w:ind w:left="749"/>
        <w:rPr>
          <w:rFonts w:ascii="楷体" w:hAnsi="楷体" w:eastAsia="楷体" w:cs="楷体"/>
          <w:sz w:val="19"/>
          <w:szCs w:val="19"/>
        </w:rPr>
      </w:pPr>
      <w:r>
        <w:rPr>
          <w:rFonts w:ascii="Times New Roman" w:hAnsi="Times New Roman" w:eastAsia="Times New Roman" w:cs="Times New Roman"/>
          <w:spacing w:val="7"/>
          <w:sz w:val="19"/>
          <w:szCs w:val="19"/>
        </w:rPr>
        <w:t>2)</w:t>
      </w:r>
      <w:r>
        <w:rPr>
          <w:rFonts w:ascii="Times New Roman" w:hAnsi="Times New Roman" w:eastAsia="Times New Roman" w:cs="Times New Roman"/>
          <w:sz w:val="19"/>
          <w:szCs w:val="19"/>
        </w:rPr>
        <w:t>DSS</w:t>
      </w:r>
      <w:r>
        <w:rPr>
          <w:rFonts w:ascii="Times New Roman" w:hAnsi="Times New Roman" w:eastAsia="Times New Roman" w:cs="Times New Roman"/>
          <w:spacing w:val="8"/>
          <w:sz w:val="19"/>
          <w:szCs w:val="19"/>
        </w:rPr>
        <w:t xml:space="preserve">    </w:t>
      </w:r>
      <w:r>
        <w:rPr>
          <w:rFonts w:ascii="楷体" w:hAnsi="楷体" w:eastAsia="楷体" w:cs="楷体"/>
          <w:spacing w:val="7"/>
          <w:sz w:val="19"/>
          <w:szCs w:val="19"/>
        </w:rPr>
        <w:t>的模式和结构</w:t>
      </w:r>
    </w:p>
    <w:p w14:paraId="56E50919">
      <w:pPr>
        <w:pStyle w:val="2"/>
        <w:spacing w:before="82" w:line="307" w:lineRule="auto"/>
        <w:ind w:left="340" w:right="85" w:firstLine="409"/>
        <w:rPr>
          <w:sz w:val="19"/>
          <w:szCs w:val="19"/>
        </w:rPr>
      </w:pPr>
      <w:r>
        <w:rPr>
          <w:rFonts w:ascii="Times New Roman" w:hAnsi="Times New Roman" w:eastAsia="Times New Roman" w:cs="Times New Roman"/>
          <w:sz w:val="19"/>
          <w:szCs w:val="19"/>
        </w:rPr>
        <w:t>DSS</w:t>
      </w:r>
      <w:r>
        <w:rPr>
          <w:rFonts w:ascii="Times New Roman" w:hAnsi="Times New Roman" w:eastAsia="Times New Roman" w:cs="Times New Roman"/>
          <w:spacing w:val="32"/>
          <w:w w:val="101"/>
          <w:sz w:val="19"/>
          <w:szCs w:val="19"/>
        </w:rPr>
        <w:t xml:space="preserve"> </w:t>
      </w:r>
      <w:r>
        <w:rPr>
          <w:spacing w:val="12"/>
          <w:sz w:val="19"/>
          <w:szCs w:val="19"/>
        </w:rPr>
        <w:t>由若干部件按一定的结构组成，部件不同或结构不同会构成功能略有差异的</w:t>
      </w:r>
      <w:r>
        <w:rPr>
          <w:rFonts w:ascii="Times New Roman" w:hAnsi="Times New Roman" w:eastAsia="Times New Roman" w:cs="Times New Roman"/>
          <w:sz w:val="19"/>
          <w:szCs w:val="19"/>
        </w:rPr>
        <w:t>DSS</w:t>
      </w:r>
      <w:r>
        <w:rPr>
          <w:rFonts w:ascii="Times New Roman" w:hAnsi="Times New Roman" w:eastAsia="Times New Roman" w:cs="Times New Roman"/>
          <w:spacing w:val="12"/>
          <w:sz w:val="19"/>
          <w:szCs w:val="19"/>
        </w:rPr>
        <w:t xml:space="preserve">,   </w:t>
      </w:r>
      <w:r>
        <w:rPr>
          <w:spacing w:val="12"/>
          <w:sz w:val="19"/>
          <w:szCs w:val="19"/>
        </w:rPr>
        <w:t>但</w:t>
      </w:r>
      <w:r>
        <w:rPr>
          <w:sz w:val="19"/>
          <w:szCs w:val="19"/>
        </w:rPr>
        <w:t xml:space="preserve"> </w:t>
      </w:r>
      <w:r>
        <w:rPr>
          <w:spacing w:val="13"/>
          <w:sz w:val="19"/>
          <w:szCs w:val="19"/>
        </w:rPr>
        <w:t>各</w:t>
      </w:r>
      <w:r>
        <w:rPr>
          <w:spacing w:val="-29"/>
          <w:sz w:val="19"/>
          <w:szCs w:val="19"/>
        </w:rPr>
        <w:t xml:space="preserve"> </w:t>
      </w:r>
      <w:r>
        <w:rPr>
          <w:spacing w:val="13"/>
          <w:sz w:val="19"/>
          <w:szCs w:val="19"/>
        </w:rPr>
        <w:t>种</w:t>
      </w:r>
      <w:r>
        <w:rPr>
          <w:rFonts w:ascii="Times New Roman" w:hAnsi="Times New Roman" w:eastAsia="Times New Roman" w:cs="Times New Roman"/>
          <w:sz w:val="19"/>
          <w:szCs w:val="19"/>
        </w:rPr>
        <w:t>DSS</w:t>
      </w:r>
      <w:r>
        <w:rPr>
          <w:rFonts w:ascii="Times New Roman" w:hAnsi="Times New Roman" w:eastAsia="Times New Roman" w:cs="Times New Roman"/>
          <w:spacing w:val="47"/>
          <w:w w:val="101"/>
          <w:sz w:val="19"/>
          <w:szCs w:val="19"/>
        </w:rPr>
        <w:t xml:space="preserve"> </w:t>
      </w:r>
      <w:r>
        <w:rPr>
          <w:spacing w:val="13"/>
          <w:sz w:val="19"/>
          <w:szCs w:val="19"/>
        </w:rPr>
        <w:t>的结构都建立在某种基本模式之上。</w:t>
      </w:r>
      <w:r>
        <w:rPr>
          <w:spacing w:val="-35"/>
          <w:sz w:val="19"/>
          <w:szCs w:val="19"/>
        </w:rPr>
        <w:t xml:space="preserve"> </w:t>
      </w:r>
      <w:r>
        <w:rPr>
          <w:rFonts w:ascii="Times New Roman" w:hAnsi="Times New Roman" w:eastAsia="Times New Roman" w:cs="Times New Roman"/>
          <w:sz w:val="19"/>
          <w:szCs w:val="19"/>
        </w:rPr>
        <w:t>DSS</w:t>
      </w:r>
      <w:r>
        <w:rPr>
          <w:rFonts w:ascii="Times New Roman" w:hAnsi="Times New Roman" w:eastAsia="Times New Roman" w:cs="Times New Roman"/>
          <w:spacing w:val="37"/>
          <w:w w:val="101"/>
          <w:sz w:val="19"/>
          <w:szCs w:val="19"/>
        </w:rPr>
        <w:t xml:space="preserve"> </w:t>
      </w:r>
      <w:r>
        <w:rPr>
          <w:spacing w:val="13"/>
          <w:sz w:val="19"/>
          <w:szCs w:val="19"/>
        </w:rPr>
        <w:t>的基本模式反映</w:t>
      </w:r>
      <w:r>
        <w:rPr>
          <w:rFonts w:ascii="Times New Roman" w:hAnsi="Times New Roman" w:eastAsia="Times New Roman" w:cs="Times New Roman"/>
          <w:sz w:val="19"/>
          <w:szCs w:val="19"/>
        </w:rPr>
        <w:t>DSS</w:t>
      </w:r>
      <w:r>
        <w:rPr>
          <w:rFonts w:ascii="Times New Roman" w:hAnsi="Times New Roman" w:eastAsia="Times New Roman" w:cs="Times New Roman"/>
          <w:spacing w:val="27"/>
          <w:w w:val="101"/>
          <w:sz w:val="19"/>
          <w:szCs w:val="19"/>
        </w:rPr>
        <w:t xml:space="preserve"> </w:t>
      </w:r>
      <w:r>
        <w:rPr>
          <w:spacing w:val="13"/>
          <w:sz w:val="19"/>
          <w:szCs w:val="19"/>
        </w:rPr>
        <w:t>的形式及其与“真实</w:t>
      </w:r>
      <w:r>
        <w:rPr>
          <w:sz w:val="19"/>
          <w:szCs w:val="19"/>
        </w:rPr>
        <w:t xml:space="preserve"> </w:t>
      </w:r>
      <w:r>
        <w:rPr>
          <w:spacing w:val="10"/>
          <w:sz w:val="19"/>
          <w:szCs w:val="19"/>
        </w:rPr>
        <w:t>系统”、人和外部环境的关系，如图5-8所示。其中管理者处于核心地位，运</w:t>
      </w:r>
      <w:r>
        <w:rPr>
          <w:spacing w:val="9"/>
          <w:sz w:val="19"/>
          <w:szCs w:val="19"/>
        </w:rPr>
        <w:t>用自己的知识和经</w:t>
      </w:r>
      <w:r>
        <w:rPr>
          <w:sz w:val="19"/>
          <w:szCs w:val="19"/>
        </w:rPr>
        <w:t xml:space="preserve"> </w:t>
      </w:r>
      <w:r>
        <w:rPr>
          <w:spacing w:val="8"/>
          <w:sz w:val="19"/>
          <w:szCs w:val="19"/>
        </w:rPr>
        <w:t>验，结合决策支持系统提供的支持，对其管理的“真实系统”进行决策。</w:t>
      </w:r>
    </w:p>
    <w:p w14:paraId="099F9412">
      <w:pPr>
        <w:pStyle w:val="2"/>
        <w:spacing w:before="40" w:line="2860" w:lineRule="exact"/>
        <w:ind w:firstLine="1329"/>
      </w:pPr>
      <w:r>
        <w:rPr>
          <w:position w:val="-57"/>
        </w:rPr>
        <w:pict>
          <v:group id="_x0000_s1371" o:spid="_x0000_s1371" o:spt="203" style="height:143pt;width:318.55pt;" coordsize="6370,2860">
            <o:lock v:ext="edit"/>
            <v:shape id="_x0000_s1372" o:spid="_x0000_s1372" o:spt="75" type="#_x0000_t75" style="position:absolute;left:0;top:0;height:2860;width:6370;" filled="f" stroked="f" coordsize="21600,21600">
              <v:path/>
              <v:fill on="f" focussize="0,0"/>
              <v:stroke on="f"/>
              <v:imagedata r:id="rId131" o:title=""/>
              <o:lock v:ext="edit" aspectratio="t"/>
            </v:shape>
            <v:shape id="_x0000_s1373" o:spid="_x0000_s1373" o:spt="202" type="#_x0000_t202" style="position:absolute;left:1090;top:128;height:2600;width:5038;" filled="f" stroked="f" coordsize="21600,21600">
              <v:path/>
              <v:fill on="f" focussize="0,0"/>
              <v:stroke on="f"/>
              <v:imagedata o:title=""/>
              <o:lock v:ext="edit" aspectratio="f"/>
              <v:textbox inset="0mm,0mm,0mm,0mm">
                <w:txbxContent>
                  <w:p w14:paraId="2F0E089F">
                    <w:pPr>
                      <w:spacing w:before="20" w:line="184" w:lineRule="auto"/>
                      <w:ind w:left="3330"/>
                      <w:rPr>
                        <w:rFonts w:ascii="宋体" w:hAnsi="宋体" w:eastAsia="宋体" w:cs="宋体"/>
                        <w:sz w:val="19"/>
                        <w:szCs w:val="19"/>
                      </w:rPr>
                    </w:pPr>
                    <w:r>
                      <w:rPr>
                        <w:rFonts w:ascii="宋体" w:hAnsi="宋体" w:eastAsia="宋体" w:cs="宋体"/>
                        <w:spacing w:val="-11"/>
                        <w:sz w:val="19"/>
                        <w:szCs w:val="19"/>
                      </w:rPr>
                      <w:t>协助人员</w:t>
                    </w:r>
                  </w:p>
                  <w:p w14:paraId="717133A5">
                    <w:pPr>
                      <w:spacing w:line="219" w:lineRule="auto"/>
                      <w:ind w:left="990"/>
                      <w:rPr>
                        <w:rFonts w:ascii="宋体" w:hAnsi="宋体" w:eastAsia="宋体" w:cs="宋体"/>
                        <w:sz w:val="19"/>
                        <w:szCs w:val="19"/>
                      </w:rPr>
                    </w:pPr>
                    <w:r>
                      <w:rPr>
                        <w:rFonts w:ascii="宋体" w:hAnsi="宋体" w:eastAsia="宋体" w:cs="宋体"/>
                        <w:spacing w:val="-12"/>
                        <w:sz w:val="19"/>
                        <w:szCs w:val="19"/>
                      </w:rPr>
                      <w:t>管理者</w:t>
                    </w:r>
                  </w:p>
                  <w:p w14:paraId="179F605A">
                    <w:pPr>
                      <w:spacing w:before="103" w:line="222" w:lineRule="auto"/>
                      <w:ind w:left="2760"/>
                      <w:rPr>
                        <w:rFonts w:ascii="宋体" w:hAnsi="宋体" w:eastAsia="宋体" w:cs="宋体"/>
                        <w:sz w:val="19"/>
                        <w:szCs w:val="19"/>
                      </w:rPr>
                    </w:pPr>
                    <w:r>
                      <w:rPr>
                        <w:rFonts w:ascii="宋体" w:hAnsi="宋体" w:eastAsia="宋体" w:cs="宋体"/>
                        <w:spacing w:val="-4"/>
                        <w:sz w:val="19"/>
                        <w:szCs w:val="19"/>
                      </w:rPr>
                      <w:t>操作</w:t>
                    </w:r>
                    <w:r>
                      <w:rPr>
                        <w:rFonts w:ascii="宋体" w:hAnsi="宋体" w:eastAsia="宋体" w:cs="宋体"/>
                        <w:spacing w:val="6"/>
                        <w:sz w:val="19"/>
                        <w:szCs w:val="19"/>
                      </w:rPr>
                      <w:t xml:space="preserve">           </w:t>
                    </w:r>
                    <w:r>
                      <w:rPr>
                        <w:rFonts w:ascii="宋体" w:hAnsi="宋体" w:eastAsia="宋体" w:cs="宋体"/>
                        <w:spacing w:val="-4"/>
                        <w:sz w:val="19"/>
                        <w:szCs w:val="19"/>
                      </w:rPr>
                      <w:t>响应</w:t>
                    </w:r>
                  </w:p>
                  <w:p w14:paraId="6BDA8372">
                    <w:pPr>
                      <w:spacing w:before="61" w:line="217" w:lineRule="auto"/>
                      <w:ind w:left="59" w:right="4027" w:hanging="39"/>
                      <w:rPr>
                        <w:rFonts w:ascii="宋体" w:hAnsi="宋体" w:eastAsia="宋体" w:cs="宋体"/>
                        <w:sz w:val="19"/>
                        <w:szCs w:val="19"/>
                      </w:rPr>
                    </w:pPr>
                    <w:r>
                      <w:rPr>
                        <w:rFonts w:ascii="宋体" w:hAnsi="宋体" w:eastAsia="宋体" w:cs="宋体"/>
                        <w:color w:val="0072CA"/>
                        <w:spacing w:val="-19"/>
                        <w:w w:val="96"/>
                        <w:sz w:val="19"/>
                        <w:szCs w:val="19"/>
                      </w:rPr>
                      <w:t>与</w:t>
                    </w:r>
                    <w:r>
                      <w:rPr>
                        <w:rFonts w:ascii="宋体" w:hAnsi="宋体" w:eastAsia="宋体" w:cs="宋体"/>
                        <w:spacing w:val="-19"/>
                        <w:w w:val="96"/>
                        <w:sz w:val="19"/>
                        <w:szCs w:val="19"/>
                      </w:rPr>
                      <w:t>个人的行</w:t>
                    </w:r>
                    <w:r>
                      <w:rPr>
                        <w:rFonts w:ascii="宋体" w:hAnsi="宋体" w:eastAsia="宋体" w:cs="宋体"/>
                        <w:color w:val="0072CA"/>
                        <w:spacing w:val="-19"/>
                        <w:w w:val="96"/>
                        <w:sz w:val="19"/>
                        <w:szCs w:val="19"/>
                      </w:rPr>
                      <w:t>为</w:t>
                    </w:r>
                    <w:r>
                      <w:rPr>
                        <w:rFonts w:ascii="宋体" w:hAnsi="宋体" w:eastAsia="宋体" w:cs="宋体"/>
                        <w:color w:val="0072CA"/>
                        <w:spacing w:val="8"/>
                        <w:sz w:val="19"/>
                        <w:szCs w:val="19"/>
                      </w:rPr>
                      <w:t xml:space="preserve"> </w:t>
                    </w:r>
                    <w:r>
                      <w:rPr>
                        <w:rFonts w:ascii="宋体" w:hAnsi="宋体" w:eastAsia="宋体" w:cs="宋体"/>
                        <w:spacing w:val="-18"/>
                        <w:sz w:val="19"/>
                        <w:szCs w:val="19"/>
                      </w:rPr>
                      <w:t>有关的信息</w:t>
                    </w:r>
                  </w:p>
                  <w:p w14:paraId="38E291C0">
                    <w:pPr>
                      <w:spacing w:line="261" w:lineRule="auto"/>
                      <w:rPr>
                        <w:rFonts w:ascii="Arial"/>
                        <w:sz w:val="21"/>
                      </w:rPr>
                    </w:pPr>
                  </w:p>
                  <w:p w14:paraId="33D61DE3">
                    <w:pPr>
                      <w:spacing w:before="62" w:line="220" w:lineRule="auto"/>
                      <w:ind w:left="3239"/>
                      <w:rPr>
                        <w:rFonts w:ascii="宋体" w:hAnsi="宋体" w:eastAsia="宋体" w:cs="宋体"/>
                        <w:sz w:val="19"/>
                        <w:szCs w:val="19"/>
                      </w:rPr>
                    </w:pPr>
                    <w:r>
                      <w:rPr>
                        <w:rFonts w:ascii="宋体" w:hAnsi="宋体" w:eastAsia="宋体" w:cs="宋体"/>
                        <w:spacing w:val="-15"/>
                        <w:sz w:val="19"/>
                        <w:szCs w:val="19"/>
                      </w:rPr>
                      <w:t>对话子系统</w:t>
                    </w:r>
                  </w:p>
                  <w:p w14:paraId="0650AC7D">
                    <w:pPr>
                      <w:spacing w:before="203" w:line="203" w:lineRule="auto"/>
                      <w:ind w:left="430"/>
                      <w:rPr>
                        <w:rFonts w:ascii="黑体" w:hAnsi="黑体" w:eastAsia="黑体" w:cs="黑体"/>
                        <w:sz w:val="19"/>
                        <w:szCs w:val="19"/>
                      </w:rPr>
                    </w:pPr>
                    <w:r>
                      <w:rPr>
                        <w:rFonts w:ascii="Arial" w:hAnsi="Arial" w:eastAsia="Arial" w:cs="Arial"/>
                        <w:spacing w:val="-7"/>
                        <w:sz w:val="19"/>
                        <w:szCs w:val="19"/>
                      </w:rPr>
                      <w:t>MIS</w:t>
                    </w:r>
                    <w:r>
                      <w:rPr>
                        <w:rFonts w:ascii="黑体" w:hAnsi="黑体" w:eastAsia="黑体" w:cs="黑体"/>
                        <w:spacing w:val="-7"/>
                        <w:sz w:val="19"/>
                        <w:szCs w:val="19"/>
                      </w:rPr>
                      <w:t>信息</w:t>
                    </w:r>
                  </w:p>
                  <w:p w14:paraId="4AF6EDE3">
                    <w:pPr>
                      <w:spacing w:line="165" w:lineRule="auto"/>
                      <w:jc w:val="right"/>
                      <w:rPr>
                        <w:rFonts w:ascii="宋体" w:hAnsi="宋体" w:eastAsia="宋体" w:cs="宋体"/>
                        <w:sz w:val="19"/>
                        <w:szCs w:val="19"/>
                      </w:rPr>
                    </w:pPr>
                    <w:r>
                      <w:rPr>
                        <w:rFonts w:ascii="宋体" w:hAnsi="宋体" w:eastAsia="宋体" w:cs="宋体"/>
                        <w:spacing w:val="-19"/>
                        <w:w w:val="99"/>
                        <w:sz w:val="19"/>
                        <w:szCs w:val="19"/>
                      </w:rPr>
                      <w:t>数据库子系统</w:t>
                    </w:r>
                    <w:r>
                      <w:rPr>
                        <w:rFonts w:ascii="宋体" w:hAnsi="宋体" w:eastAsia="宋体" w:cs="宋体"/>
                        <w:spacing w:val="8"/>
                        <w:sz w:val="19"/>
                        <w:szCs w:val="19"/>
                      </w:rPr>
                      <w:t xml:space="preserve">     </w:t>
                    </w:r>
                    <w:r>
                      <w:rPr>
                        <w:rFonts w:ascii="宋体" w:hAnsi="宋体" w:eastAsia="宋体" w:cs="宋体"/>
                        <w:spacing w:val="-19"/>
                        <w:w w:val="99"/>
                        <w:sz w:val="19"/>
                        <w:szCs w:val="19"/>
                      </w:rPr>
                      <w:t>模型库</w:t>
                    </w:r>
                    <w:r>
                      <w:rPr>
                        <w:rFonts w:ascii="宋体" w:hAnsi="宋体" w:eastAsia="宋体" w:cs="宋体"/>
                        <w:spacing w:val="-18"/>
                        <w:w w:val="99"/>
                        <w:sz w:val="19"/>
                        <w:szCs w:val="19"/>
                      </w:rPr>
                      <w:t>子系</w:t>
                    </w:r>
                    <w:r>
                      <w:rPr>
                        <w:rFonts w:ascii="宋体" w:hAnsi="宋体" w:eastAsia="宋体" w:cs="宋体"/>
                        <w:spacing w:val="-9"/>
                        <w:w w:val="99"/>
                        <w:sz w:val="19"/>
                        <w:szCs w:val="19"/>
                      </w:rPr>
                      <w:t>统</w:t>
                    </w:r>
                  </w:p>
                  <w:p w14:paraId="6DED27B9">
                    <w:pPr>
                      <w:spacing w:line="200" w:lineRule="auto"/>
                      <w:ind w:left="450"/>
                      <w:rPr>
                        <w:rFonts w:ascii="宋体" w:hAnsi="宋体" w:eastAsia="宋体" w:cs="宋体"/>
                        <w:sz w:val="19"/>
                        <w:szCs w:val="19"/>
                      </w:rPr>
                    </w:pPr>
                    <w:r>
                      <w:rPr>
                        <w:rFonts w:ascii="宋体" w:hAnsi="宋体" w:eastAsia="宋体" w:cs="宋体"/>
                        <w:spacing w:val="-11"/>
                        <w:sz w:val="19"/>
                        <w:szCs w:val="19"/>
                      </w:rPr>
                      <w:t>外部信息</w:t>
                    </w:r>
                  </w:p>
                </w:txbxContent>
              </v:textbox>
            </v:shape>
            <v:shape id="_x0000_s1374" o:spid="_x0000_s1374" o:spt="202" type="#_x0000_t202" style="position:absolute;left:1129;top:107;height:653;width:407;" filled="f" stroked="f" coordsize="21600,21600">
              <v:path/>
              <v:fill on="f" focussize="0,0"/>
              <v:stroke on="f"/>
              <v:imagedata o:title=""/>
              <o:lock v:ext="edit" aspectratio="f"/>
              <v:textbox inset="0mm,0mm,0mm,0mm">
                <w:txbxContent>
                  <w:p w14:paraId="4FF6139A">
                    <w:pPr>
                      <w:spacing w:before="20" w:line="219" w:lineRule="auto"/>
                      <w:ind w:left="20"/>
                      <w:rPr>
                        <w:rFonts w:ascii="宋体" w:hAnsi="宋体" w:eastAsia="宋体" w:cs="宋体"/>
                        <w:sz w:val="19"/>
                        <w:szCs w:val="19"/>
                      </w:rPr>
                    </w:pPr>
                    <w:r>
                      <w:rPr>
                        <w:rFonts w:ascii="宋体" w:hAnsi="宋体" w:eastAsia="宋体" w:cs="宋体"/>
                        <w:spacing w:val="-4"/>
                        <w:sz w:val="19"/>
                        <w:szCs w:val="19"/>
                      </w:rPr>
                      <w:t>决策</w:t>
                    </w:r>
                  </w:p>
                  <w:p w14:paraId="03F4CF28">
                    <w:pPr>
                      <w:spacing w:before="197" w:line="221" w:lineRule="auto"/>
                      <w:ind w:left="20"/>
                      <w:rPr>
                        <w:rFonts w:ascii="宋体" w:hAnsi="宋体" w:eastAsia="宋体" w:cs="宋体"/>
                        <w:sz w:val="19"/>
                        <w:szCs w:val="19"/>
                      </w:rPr>
                    </w:pPr>
                    <w:r>
                      <w:rPr>
                        <w:rFonts w:ascii="宋体" w:hAnsi="宋体" w:eastAsia="宋体" w:cs="宋体"/>
                        <w:spacing w:val="-8"/>
                        <w:sz w:val="19"/>
                        <w:szCs w:val="19"/>
                      </w:rPr>
                      <w:t>问题</w:t>
                    </w:r>
                  </w:p>
                </w:txbxContent>
              </v:textbox>
            </v:shape>
            <v:shape id="_x0000_s1375" o:spid="_x0000_s1375" o:spt="202" type="#_x0000_t202" style="position:absolute;left:1070;top:1697;height:230;width:720;" filled="f" stroked="f" coordsize="21600,21600">
              <v:path/>
              <v:fill on="f" focussize="0,0"/>
              <v:stroke on="f"/>
              <v:imagedata o:title=""/>
              <o:lock v:ext="edit" aspectratio="f"/>
              <v:textbox inset="0mm,0mm,0mm,0mm">
                <w:txbxContent>
                  <w:p w14:paraId="63922E28">
                    <w:pPr>
                      <w:spacing w:before="20" w:line="219" w:lineRule="auto"/>
                      <w:jc w:val="right"/>
                      <w:rPr>
                        <w:rFonts w:ascii="宋体" w:hAnsi="宋体" w:eastAsia="宋体" w:cs="宋体"/>
                        <w:sz w:val="19"/>
                        <w:szCs w:val="19"/>
                      </w:rPr>
                    </w:pPr>
                    <w:r>
                      <w:rPr>
                        <w:rFonts w:ascii="宋体" w:hAnsi="宋体" w:eastAsia="宋体" w:cs="宋体"/>
                        <w:spacing w:val="-16"/>
                        <w:sz w:val="19"/>
                        <w:szCs w:val="19"/>
                      </w:rPr>
                      <w:t>处理数</w:t>
                    </w:r>
                    <w:r>
                      <w:rPr>
                        <w:rFonts w:ascii="宋体" w:hAnsi="宋体" w:eastAsia="宋体" w:cs="宋体"/>
                        <w:spacing w:val="-12"/>
                        <w:sz w:val="19"/>
                        <w:szCs w:val="19"/>
                      </w:rPr>
                      <w:t>据</w:t>
                    </w:r>
                  </w:p>
                </w:txbxContent>
              </v:textbox>
            </v:shape>
            <v:shape id="_x0000_s1376" o:spid="_x0000_s1376" o:spt="202" type="#_x0000_t202" style="position:absolute;left:273;top:652;height:751;width:185;" filled="f" stroked="f" coordsize="21600,21600">
              <v:path/>
              <v:fill on="f" focussize="0,0"/>
              <v:stroke on="f"/>
              <v:imagedata o:title=""/>
              <o:lock v:ext="edit" aspectratio="f"/>
              <v:textbox inset="0mm,0mm,0mm,0mm" style="layout-flow:vertical-ideographic;">
                <w:txbxContent>
                  <w:p w14:paraId="47F5F19C">
                    <w:pPr>
                      <w:spacing w:before="19" w:line="198" w:lineRule="auto"/>
                      <w:ind w:left="20"/>
                      <w:rPr>
                        <w:rFonts w:ascii="宋体" w:hAnsi="宋体" w:eastAsia="宋体" w:cs="宋体"/>
                        <w:sz w:val="16"/>
                        <w:szCs w:val="16"/>
                      </w:rPr>
                    </w:pPr>
                    <w:r>
                      <w:rPr>
                        <w:rFonts w:ascii="宋体" w:hAnsi="宋体" w:eastAsia="宋体" w:cs="宋体"/>
                        <w:spacing w:val="17"/>
                        <w:sz w:val="16"/>
                        <w:szCs w:val="16"/>
                      </w:rPr>
                      <w:t>真实系统</w:t>
                    </w:r>
                  </w:p>
                </w:txbxContent>
              </v:textbox>
            </v:shape>
            <v:shape id="_x0000_s1377" o:spid="_x0000_s1377" o:spt="202" type="#_x0000_t202" style="position:absolute;left:170;top:2507;height:230;width:407;" filled="f" stroked="f" coordsize="21600,21600">
              <v:path/>
              <v:fill on="f" focussize="0,0"/>
              <v:stroke on="f"/>
              <v:imagedata o:title=""/>
              <o:lock v:ext="edit" aspectratio="f"/>
              <v:textbox inset="0mm,0mm,0mm,0mm">
                <w:txbxContent>
                  <w:p w14:paraId="6F0E4842">
                    <w:pPr>
                      <w:spacing w:before="20" w:line="219" w:lineRule="auto"/>
                      <w:ind w:left="20"/>
                      <w:rPr>
                        <w:rFonts w:ascii="宋体" w:hAnsi="宋体" w:eastAsia="宋体" w:cs="宋体"/>
                        <w:sz w:val="19"/>
                        <w:szCs w:val="19"/>
                      </w:rPr>
                    </w:pPr>
                    <w:r>
                      <w:rPr>
                        <w:rFonts w:ascii="宋体" w:hAnsi="宋体" w:eastAsia="宋体" w:cs="宋体"/>
                        <w:spacing w:val="-4"/>
                        <w:sz w:val="19"/>
                        <w:szCs w:val="19"/>
                      </w:rPr>
                      <w:t>决策</w:t>
                    </w:r>
                  </w:p>
                </w:txbxContent>
              </v:textbox>
            </v:shape>
            <w10:wrap type="none"/>
            <w10:anchorlock/>
          </v:group>
        </w:pict>
      </w:r>
    </w:p>
    <w:p w14:paraId="208A12E9">
      <w:pPr>
        <w:pStyle w:val="2"/>
        <w:spacing w:before="57" w:line="219" w:lineRule="auto"/>
        <w:ind w:left="3300"/>
        <w:rPr>
          <w:sz w:val="19"/>
          <w:szCs w:val="19"/>
        </w:rPr>
      </w:pPr>
      <w:r>
        <w:rPr>
          <w:spacing w:val="-4"/>
          <w:sz w:val="19"/>
          <w:szCs w:val="19"/>
        </w:rPr>
        <w:t>图5-8</w:t>
      </w:r>
      <w:r>
        <w:rPr>
          <w:spacing w:val="37"/>
          <w:sz w:val="19"/>
          <w:szCs w:val="19"/>
        </w:rPr>
        <w:t xml:space="preserve"> </w:t>
      </w:r>
      <w:r>
        <w:rPr>
          <w:rFonts w:ascii="Times New Roman" w:hAnsi="Times New Roman" w:eastAsia="Times New Roman" w:cs="Times New Roman"/>
          <w:spacing w:val="-4"/>
          <w:sz w:val="19"/>
          <w:szCs w:val="19"/>
        </w:rPr>
        <w:t xml:space="preserve">DSS </w:t>
      </w:r>
      <w:r>
        <w:rPr>
          <w:spacing w:val="-4"/>
          <w:sz w:val="19"/>
          <w:szCs w:val="19"/>
        </w:rPr>
        <w:t>的基本模式和结构</w:t>
      </w:r>
    </w:p>
    <w:p w14:paraId="6D7CF496">
      <w:pPr>
        <w:pStyle w:val="2"/>
        <w:spacing w:before="192" w:line="296" w:lineRule="auto"/>
        <w:ind w:left="340" w:firstLine="409"/>
        <w:jc w:val="both"/>
        <w:rPr>
          <w:sz w:val="19"/>
          <w:szCs w:val="19"/>
        </w:rPr>
      </w:pPr>
      <w:r>
        <w:rPr>
          <w:spacing w:val="17"/>
          <w:sz w:val="19"/>
          <w:szCs w:val="19"/>
        </w:rPr>
        <w:t>具有不同功能特色的</w:t>
      </w:r>
      <w:r>
        <w:rPr>
          <w:sz w:val="19"/>
          <w:szCs w:val="19"/>
        </w:rPr>
        <w:t>DSS</w:t>
      </w:r>
      <w:r>
        <w:rPr>
          <w:spacing w:val="17"/>
          <w:sz w:val="19"/>
          <w:szCs w:val="19"/>
        </w:rPr>
        <w:t>,</w:t>
      </w:r>
      <w:r>
        <w:rPr>
          <w:spacing w:val="7"/>
          <w:sz w:val="19"/>
          <w:szCs w:val="19"/>
        </w:rPr>
        <w:t xml:space="preserve">  </w:t>
      </w:r>
      <w:r>
        <w:rPr>
          <w:spacing w:val="17"/>
          <w:sz w:val="19"/>
          <w:szCs w:val="19"/>
        </w:rPr>
        <w:t>其系统结构也不相同</w:t>
      </w:r>
      <w:r>
        <w:rPr>
          <w:spacing w:val="16"/>
          <w:sz w:val="19"/>
          <w:szCs w:val="19"/>
        </w:rPr>
        <w:t>。</w:t>
      </w:r>
      <w:r>
        <w:rPr>
          <w:spacing w:val="-15"/>
          <w:sz w:val="19"/>
          <w:szCs w:val="19"/>
        </w:rPr>
        <w:t xml:space="preserve"> </w:t>
      </w:r>
      <w:r>
        <w:rPr>
          <w:sz w:val="19"/>
          <w:szCs w:val="19"/>
        </w:rPr>
        <w:t>DSS</w:t>
      </w:r>
      <w:r>
        <w:rPr>
          <w:spacing w:val="44"/>
          <w:sz w:val="19"/>
          <w:szCs w:val="19"/>
        </w:rPr>
        <w:t xml:space="preserve"> </w:t>
      </w:r>
      <w:r>
        <w:rPr>
          <w:spacing w:val="16"/>
          <w:sz w:val="19"/>
          <w:szCs w:val="19"/>
        </w:rPr>
        <w:t>的两种基本结构形式是两库结构</w:t>
      </w:r>
      <w:r>
        <w:rPr>
          <w:sz w:val="19"/>
          <w:szCs w:val="19"/>
        </w:rPr>
        <w:t xml:space="preserve">  </w:t>
      </w:r>
      <w:r>
        <w:rPr>
          <w:spacing w:val="15"/>
          <w:sz w:val="19"/>
          <w:szCs w:val="19"/>
        </w:rPr>
        <w:t>和基于知识的结构，实际运用中的</w:t>
      </w:r>
      <w:r>
        <w:rPr>
          <w:sz w:val="19"/>
          <w:szCs w:val="19"/>
        </w:rPr>
        <w:t>DSS</w:t>
      </w:r>
      <w:r>
        <w:rPr>
          <w:spacing w:val="38"/>
          <w:sz w:val="19"/>
          <w:szCs w:val="19"/>
        </w:rPr>
        <w:t xml:space="preserve"> </w:t>
      </w:r>
      <w:r>
        <w:rPr>
          <w:spacing w:val="15"/>
          <w:sz w:val="19"/>
          <w:szCs w:val="19"/>
        </w:rPr>
        <w:t>由这两种基本结构通过分解或增加某些部件演变而来。</w:t>
      </w:r>
      <w:r>
        <w:rPr>
          <w:sz w:val="19"/>
          <w:szCs w:val="19"/>
        </w:rPr>
        <w:t xml:space="preserve"> </w:t>
      </w:r>
      <w:r>
        <w:rPr>
          <w:spacing w:val="17"/>
          <w:sz w:val="19"/>
          <w:szCs w:val="19"/>
        </w:rPr>
        <w:t>两库结构是由数据库子系统、模型库子系统和对话子系统形成的三角形分布的结构(如图5-8</w:t>
      </w:r>
      <w:r>
        <w:rPr>
          <w:spacing w:val="8"/>
          <w:sz w:val="19"/>
          <w:szCs w:val="19"/>
        </w:rPr>
        <w:t xml:space="preserve">  </w:t>
      </w:r>
      <w:r>
        <w:rPr>
          <w:spacing w:val="12"/>
          <w:sz w:val="19"/>
          <w:szCs w:val="19"/>
        </w:rPr>
        <w:t>所示)。</w:t>
      </w:r>
    </w:p>
    <w:p w14:paraId="7F293AD4">
      <w:pPr>
        <w:spacing w:before="93" w:line="212" w:lineRule="auto"/>
        <w:ind w:left="749"/>
        <w:rPr>
          <w:rFonts w:ascii="楷体" w:hAnsi="楷体" w:eastAsia="楷体" w:cs="楷体"/>
          <w:sz w:val="19"/>
          <w:szCs w:val="19"/>
        </w:rPr>
      </w:pPr>
      <w:r>
        <w:rPr>
          <w:rFonts w:ascii="Times New Roman" w:hAnsi="Times New Roman" w:eastAsia="Times New Roman" w:cs="Times New Roman"/>
          <w:spacing w:val="5"/>
          <w:sz w:val="19"/>
          <w:szCs w:val="19"/>
        </w:rPr>
        <w:t>3)</w:t>
      </w:r>
      <w:r>
        <w:rPr>
          <w:rFonts w:ascii="Times New Roman" w:hAnsi="Times New Roman" w:eastAsia="Times New Roman" w:cs="Times New Roman"/>
          <w:sz w:val="19"/>
          <w:szCs w:val="19"/>
        </w:rPr>
        <w:t>DSS</w:t>
      </w:r>
      <w:r>
        <w:rPr>
          <w:rFonts w:ascii="Times New Roman" w:hAnsi="Times New Roman" w:eastAsia="Times New Roman" w:cs="Times New Roman"/>
          <w:spacing w:val="8"/>
          <w:sz w:val="19"/>
          <w:szCs w:val="19"/>
        </w:rPr>
        <w:t xml:space="preserve">    </w:t>
      </w:r>
      <w:r>
        <w:rPr>
          <w:rFonts w:ascii="楷体" w:hAnsi="楷体" w:eastAsia="楷体" w:cs="楷体"/>
          <w:spacing w:val="5"/>
          <w:sz w:val="19"/>
          <w:szCs w:val="19"/>
        </w:rPr>
        <w:t>的特点</w:t>
      </w:r>
    </w:p>
    <w:p w14:paraId="1F94DAB6">
      <w:pPr>
        <w:pStyle w:val="2"/>
        <w:spacing w:before="102" w:line="219" w:lineRule="auto"/>
        <w:ind w:left="749"/>
        <w:rPr>
          <w:sz w:val="19"/>
          <w:szCs w:val="19"/>
        </w:rPr>
      </w:pPr>
      <w:r>
        <w:rPr>
          <w:spacing w:val="8"/>
          <w:sz w:val="19"/>
          <w:szCs w:val="19"/>
        </w:rPr>
        <w:t>决策支持系统具有不同于其他计算机信息系统的</w:t>
      </w:r>
      <w:r>
        <w:rPr>
          <w:spacing w:val="7"/>
          <w:sz w:val="19"/>
          <w:szCs w:val="19"/>
        </w:rPr>
        <w:t>特点，具体如下：</w:t>
      </w:r>
    </w:p>
    <w:p w14:paraId="45B28047">
      <w:pPr>
        <w:pStyle w:val="2"/>
        <w:spacing w:before="76" w:line="275" w:lineRule="auto"/>
        <w:ind w:left="1029" w:hanging="280"/>
        <w:rPr>
          <w:sz w:val="19"/>
          <w:szCs w:val="19"/>
        </w:rPr>
      </w:pPr>
      <w:r>
        <w:rPr>
          <w:spacing w:val="15"/>
          <w:sz w:val="19"/>
          <w:szCs w:val="19"/>
        </w:rPr>
        <w:t>●决策支持系统面向决策者，系统在开发中遵循的需求和操作是设计系统的依据和原则。</w:t>
      </w:r>
      <w:r>
        <w:rPr>
          <w:spacing w:val="8"/>
          <w:sz w:val="19"/>
          <w:szCs w:val="19"/>
        </w:rPr>
        <w:t xml:space="preserve"> 系统的收集、存储和输出的一切信息都是为决策者服务的。</w:t>
      </w:r>
    </w:p>
    <w:p w14:paraId="079889E8">
      <w:pPr>
        <w:pStyle w:val="2"/>
        <w:spacing w:before="93" w:line="219" w:lineRule="auto"/>
        <w:ind w:left="749"/>
        <w:rPr>
          <w:sz w:val="19"/>
          <w:szCs w:val="19"/>
        </w:rPr>
      </w:pPr>
      <w:r>
        <w:rPr>
          <w:spacing w:val="13"/>
          <w:sz w:val="19"/>
          <w:szCs w:val="19"/>
        </w:rPr>
        <w:t>●决策支持系统支持对半结构化问题的决策。半结构化问题的复杂性致使传统的计算机信</w:t>
      </w:r>
    </w:p>
    <w:p w14:paraId="10341B55">
      <w:pPr>
        <w:spacing w:line="219" w:lineRule="auto"/>
        <w:rPr>
          <w:sz w:val="19"/>
          <w:szCs w:val="19"/>
        </w:rPr>
        <w:sectPr>
          <w:pgSz w:w="10300" w:h="13380"/>
          <w:pgMar w:top="400" w:right="1005" w:bottom="400" w:left="540" w:header="0" w:footer="0" w:gutter="0"/>
          <w:cols w:space="720" w:num="1"/>
        </w:sectPr>
      </w:pPr>
    </w:p>
    <w:p w14:paraId="0F60AC19">
      <w:pPr>
        <w:pStyle w:val="2"/>
        <w:spacing w:before="67" w:line="219" w:lineRule="auto"/>
        <w:jc w:val="right"/>
        <w:rPr>
          <w:rFonts w:ascii="Times New Roman" w:hAnsi="Times New Roman" w:eastAsia="Times New Roman" w:cs="Times New Roman"/>
          <w:sz w:val="17"/>
          <w:szCs w:val="17"/>
        </w:rPr>
      </w:pPr>
      <w:r>
        <w:rPr>
          <w:spacing w:val="-3"/>
          <w:sz w:val="20"/>
          <w:szCs w:val="20"/>
        </w:rPr>
        <w:t>第5章 信息应用系统</w:t>
      </w:r>
      <w:r>
        <w:rPr>
          <w:spacing w:val="8"/>
          <w:sz w:val="20"/>
          <w:szCs w:val="20"/>
        </w:rPr>
        <w:t xml:space="preserve">      </w:t>
      </w:r>
      <w:r>
        <w:rPr>
          <w:rFonts w:ascii="Times New Roman" w:hAnsi="Times New Roman" w:eastAsia="Times New Roman" w:cs="Times New Roman"/>
          <w:spacing w:val="-3"/>
          <w:sz w:val="17"/>
          <w:szCs w:val="17"/>
        </w:rPr>
        <w:t>165</w:t>
      </w:r>
    </w:p>
    <w:p w14:paraId="27DAB8C0">
      <w:pPr>
        <w:spacing w:line="287" w:lineRule="auto"/>
        <w:rPr>
          <w:rFonts w:ascii="Arial"/>
          <w:sz w:val="21"/>
        </w:rPr>
      </w:pPr>
    </w:p>
    <w:p w14:paraId="71E90F37">
      <w:pPr>
        <w:pStyle w:val="2"/>
        <w:spacing w:before="65" w:line="291" w:lineRule="auto"/>
        <w:ind w:left="689" w:right="292"/>
        <w:rPr>
          <w:sz w:val="20"/>
          <w:szCs w:val="20"/>
        </w:rPr>
      </w:pPr>
      <w:r>
        <w:rPr>
          <w:spacing w:val="1"/>
          <w:sz w:val="20"/>
          <w:szCs w:val="20"/>
        </w:rPr>
        <w:t>息系统，如电子数据处理系统、管理信息系统都难以解决，而决策支持</w:t>
      </w:r>
      <w:r>
        <w:rPr>
          <w:sz w:val="20"/>
          <w:szCs w:val="20"/>
        </w:rPr>
        <w:t xml:space="preserve">系统则可以辅助 </w:t>
      </w:r>
      <w:r>
        <w:rPr>
          <w:spacing w:val="-3"/>
          <w:sz w:val="20"/>
          <w:szCs w:val="20"/>
        </w:rPr>
        <w:t>决策者对决策信息过程和方案进行较系统且全面的分析。</w:t>
      </w:r>
    </w:p>
    <w:p w14:paraId="58C5A6D7">
      <w:pPr>
        <w:pStyle w:val="2"/>
        <w:spacing w:before="17" w:line="276" w:lineRule="auto"/>
        <w:ind w:left="688" w:right="294" w:hanging="289"/>
        <w:rPr>
          <w:sz w:val="20"/>
          <w:szCs w:val="20"/>
        </w:rPr>
      </w:pPr>
      <w:r>
        <w:rPr>
          <w:spacing w:val="3"/>
          <w:sz w:val="20"/>
          <w:szCs w:val="20"/>
        </w:rPr>
        <w:t>●决策支持系统的作用是辅助决策者、支持决策者。由于决策过程的复杂性和人在决策过</w:t>
      </w:r>
      <w:r>
        <w:rPr>
          <w:sz w:val="20"/>
          <w:szCs w:val="20"/>
        </w:rPr>
        <w:t xml:space="preserve"> </w:t>
      </w:r>
      <w:r>
        <w:rPr>
          <w:spacing w:val="1"/>
          <w:sz w:val="20"/>
          <w:szCs w:val="20"/>
        </w:rPr>
        <w:t>程中的重要作用，系统不可能取代人而做出决策。在整个决策过程</w:t>
      </w:r>
      <w:r>
        <w:rPr>
          <w:sz w:val="20"/>
          <w:szCs w:val="20"/>
        </w:rPr>
        <w:t xml:space="preserve">中，系统不可能也不 </w:t>
      </w:r>
      <w:r>
        <w:rPr>
          <w:spacing w:val="-2"/>
          <w:sz w:val="20"/>
          <w:szCs w:val="20"/>
        </w:rPr>
        <w:t>应该提供答案，也不应该强加给决策者预先规定的决策顺序。</w:t>
      </w:r>
    </w:p>
    <w:p w14:paraId="02AAE380">
      <w:pPr>
        <w:pStyle w:val="2"/>
        <w:spacing w:before="84" w:line="276" w:lineRule="auto"/>
        <w:ind w:left="688" w:right="290" w:hanging="289"/>
        <w:rPr>
          <w:sz w:val="20"/>
          <w:szCs w:val="20"/>
        </w:rPr>
      </w:pPr>
      <w:r>
        <w:rPr>
          <w:spacing w:val="8"/>
          <w:sz w:val="20"/>
          <w:szCs w:val="20"/>
        </w:rPr>
        <w:t>●决策支持系统体现决策过程的动态性。用户或用户通过模型，根据决策层次、决策环</w:t>
      </w:r>
      <w:r>
        <w:rPr>
          <w:spacing w:val="15"/>
          <w:sz w:val="20"/>
          <w:szCs w:val="20"/>
        </w:rPr>
        <w:t xml:space="preserve"> </w:t>
      </w:r>
      <w:r>
        <w:rPr>
          <w:spacing w:val="1"/>
          <w:sz w:val="20"/>
          <w:szCs w:val="20"/>
        </w:rPr>
        <w:t>境、问题理解、知识积累等多方面变化的情况来动态地确定问题的解答，并</w:t>
      </w:r>
      <w:r>
        <w:rPr>
          <w:sz w:val="20"/>
          <w:szCs w:val="20"/>
        </w:rPr>
        <w:t xml:space="preserve">在决策的动 </w:t>
      </w:r>
      <w:r>
        <w:rPr>
          <w:spacing w:val="-3"/>
          <w:sz w:val="20"/>
          <w:szCs w:val="20"/>
        </w:rPr>
        <w:t>态运行过程中完善和调整系统。</w:t>
      </w:r>
    </w:p>
    <w:p w14:paraId="33D1ECFF">
      <w:pPr>
        <w:pStyle w:val="2"/>
        <w:spacing w:before="90" w:line="283" w:lineRule="auto"/>
        <w:ind w:left="688" w:right="291" w:hanging="289"/>
        <w:rPr>
          <w:sz w:val="17"/>
          <w:szCs w:val="17"/>
        </w:rPr>
      </w:pPr>
      <w:r>
        <w:rPr>
          <w:spacing w:val="8"/>
          <w:sz w:val="20"/>
          <w:szCs w:val="20"/>
        </w:rPr>
        <w:t>●决策支持系统提倡交互式处理。通过人机对话的方式将决策人的经验、观念和判断纳</w:t>
      </w:r>
      <w:r>
        <w:rPr>
          <w:spacing w:val="18"/>
          <w:sz w:val="20"/>
          <w:szCs w:val="20"/>
        </w:rPr>
        <w:t xml:space="preserve"> </w:t>
      </w:r>
      <w:r>
        <w:rPr>
          <w:spacing w:val="12"/>
          <w:sz w:val="20"/>
          <w:szCs w:val="20"/>
        </w:rPr>
        <w:t>入系统，进而将人们主观的、经验的判断与客观的信息反映相结合，最</w:t>
      </w:r>
      <w:r>
        <w:rPr>
          <w:spacing w:val="11"/>
          <w:sz w:val="20"/>
          <w:szCs w:val="20"/>
        </w:rPr>
        <w:t>后确定决策</w:t>
      </w:r>
      <w:r>
        <w:rPr>
          <w:sz w:val="20"/>
          <w:szCs w:val="20"/>
        </w:rPr>
        <w:t xml:space="preserve"> </w:t>
      </w:r>
      <w:r>
        <w:rPr>
          <w:spacing w:val="13"/>
          <w:sz w:val="17"/>
          <w:szCs w:val="17"/>
        </w:rPr>
        <w:t>方案</w:t>
      </w:r>
      <w:r>
        <w:rPr>
          <w:spacing w:val="-36"/>
          <w:sz w:val="17"/>
          <w:szCs w:val="17"/>
        </w:rPr>
        <w:t xml:space="preserve"> </w:t>
      </w:r>
      <w:r>
        <w:rPr>
          <w:spacing w:val="13"/>
          <w:sz w:val="17"/>
          <w:szCs w:val="17"/>
        </w:rPr>
        <w:t>。</w:t>
      </w:r>
    </w:p>
    <w:p w14:paraId="37A28A0A">
      <w:pPr>
        <w:spacing w:before="156" w:line="212" w:lineRule="auto"/>
        <w:ind w:left="399"/>
        <w:rPr>
          <w:rFonts w:ascii="楷体" w:hAnsi="楷体" w:eastAsia="楷体" w:cs="楷体"/>
          <w:sz w:val="20"/>
          <w:szCs w:val="20"/>
        </w:rPr>
      </w:pPr>
      <w:r>
        <w:rPr>
          <w:rFonts w:ascii="Times New Roman" w:hAnsi="Times New Roman" w:eastAsia="Times New Roman" w:cs="Times New Roman"/>
          <w:spacing w:val="1"/>
          <w:sz w:val="20"/>
          <w:szCs w:val="20"/>
        </w:rPr>
        <w:t>4)</w:t>
      </w:r>
      <w:r>
        <w:rPr>
          <w:rFonts w:ascii="Times New Roman" w:hAnsi="Times New Roman" w:eastAsia="Times New Roman" w:cs="Times New Roman"/>
          <w:sz w:val="20"/>
          <w:szCs w:val="20"/>
        </w:rPr>
        <w:t>DSS</w:t>
      </w:r>
      <w:r>
        <w:rPr>
          <w:rFonts w:ascii="Times New Roman" w:hAnsi="Times New Roman" w:eastAsia="Times New Roman" w:cs="Times New Roman"/>
          <w:spacing w:val="14"/>
          <w:sz w:val="20"/>
          <w:szCs w:val="20"/>
        </w:rPr>
        <w:t xml:space="preserve">   </w:t>
      </w:r>
      <w:r>
        <w:rPr>
          <w:rFonts w:ascii="楷体" w:hAnsi="楷体" w:eastAsia="楷体" w:cs="楷体"/>
          <w:spacing w:val="1"/>
          <w:sz w:val="20"/>
          <w:szCs w:val="20"/>
        </w:rPr>
        <w:t>的组成</w:t>
      </w:r>
    </w:p>
    <w:p w14:paraId="56AAB5CF">
      <w:pPr>
        <w:pStyle w:val="2"/>
        <w:spacing w:before="103" w:line="219" w:lineRule="auto"/>
        <w:ind w:left="399"/>
        <w:rPr>
          <w:sz w:val="20"/>
          <w:szCs w:val="20"/>
        </w:rPr>
      </w:pPr>
      <w:r>
        <w:rPr>
          <w:spacing w:val="4"/>
          <w:sz w:val="20"/>
          <w:szCs w:val="20"/>
        </w:rPr>
        <w:t>(1)数据的重组和确认。</w:t>
      </w:r>
    </w:p>
    <w:p w14:paraId="0CD5E025">
      <w:pPr>
        <w:pStyle w:val="2"/>
        <w:spacing w:before="93" w:line="277" w:lineRule="auto"/>
        <w:ind w:right="274" w:firstLine="399"/>
        <w:rPr>
          <w:sz w:val="20"/>
          <w:szCs w:val="20"/>
        </w:rPr>
      </w:pPr>
      <w:r>
        <w:rPr>
          <w:spacing w:val="4"/>
          <w:sz w:val="20"/>
          <w:szCs w:val="20"/>
        </w:rPr>
        <w:t>与决策支持系统相关的数据库的问题是，获得</w:t>
      </w:r>
      <w:r>
        <w:rPr>
          <w:spacing w:val="3"/>
          <w:sz w:val="20"/>
          <w:szCs w:val="20"/>
        </w:rPr>
        <w:t>正确的数据并且可用理想的形式操作这些数</w:t>
      </w:r>
      <w:r>
        <w:rPr>
          <w:sz w:val="20"/>
          <w:szCs w:val="20"/>
        </w:rPr>
        <w:t xml:space="preserve"> </w:t>
      </w:r>
      <w:r>
        <w:rPr>
          <w:spacing w:val="3"/>
          <w:sz w:val="20"/>
          <w:szCs w:val="20"/>
        </w:rPr>
        <w:t>据。有时这是非常困难的，因为从事务处理系统收集的数据必须经过重组和确认才能对决策支</w:t>
      </w:r>
      <w:r>
        <w:rPr>
          <w:spacing w:val="16"/>
          <w:sz w:val="20"/>
          <w:szCs w:val="20"/>
        </w:rPr>
        <w:t xml:space="preserve"> </w:t>
      </w:r>
      <w:r>
        <w:rPr>
          <w:spacing w:val="-2"/>
          <w:sz w:val="20"/>
          <w:szCs w:val="20"/>
        </w:rPr>
        <w:t>持有效。这个问题可以通过数据仓库的概念解决。</w:t>
      </w:r>
    </w:p>
    <w:p w14:paraId="7A6E6B35">
      <w:pPr>
        <w:pStyle w:val="2"/>
        <w:spacing w:before="39" w:line="219" w:lineRule="auto"/>
        <w:ind w:left="399"/>
        <w:rPr>
          <w:sz w:val="20"/>
          <w:szCs w:val="20"/>
        </w:rPr>
      </w:pPr>
      <w:r>
        <w:rPr>
          <w:spacing w:val="5"/>
          <w:sz w:val="20"/>
          <w:szCs w:val="20"/>
        </w:rPr>
        <w:t>(2)数据字典的建立。</w:t>
      </w:r>
    </w:p>
    <w:p w14:paraId="730B88EB">
      <w:pPr>
        <w:pStyle w:val="2"/>
        <w:spacing w:before="82" w:line="279" w:lineRule="auto"/>
        <w:ind w:right="274" w:firstLine="399"/>
        <w:rPr>
          <w:sz w:val="20"/>
          <w:szCs w:val="20"/>
        </w:rPr>
      </w:pPr>
      <w:r>
        <w:rPr>
          <w:spacing w:val="4"/>
          <w:sz w:val="20"/>
          <w:szCs w:val="20"/>
        </w:rPr>
        <w:t>大多数支持商业信息系统的数据库并不能满足管理</w:t>
      </w:r>
      <w:r>
        <w:rPr>
          <w:spacing w:val="3"/>
          <w:sz w:val="20"/>
          <w:szCs w:val="20"/>
        </w:rPr>
        <w:t>者决策支持的需要。现存数据库的问题</w:t>
      </w:r>
      <w:r>
        <w:rPr>
          <w:sz w:val="20"/>
          <w:szCs w:val="20"/>
        </w:rPr>
        <w:t xml:space="preserve"> </w:t>
      </w:r>
      <w:r>
        <w:rPr>
          <w:spacing w:val="3"/>
          <w:sz w:val="20"/>
          <w:szCs w:val="20"/>
        </w:rPr>
        <w:t>是，数据以特定的格式存储，同一个数据在不同系统中的表示不同。最重要的是，管</w:t>
      </w:r>
      <w:r>
        <w:rPr>
          <w:spacing w:val="2"/>
          <w:sz w:val="20"/>
          <w:szCs w:val="20"/>
        </w:rPr>
        <w:t>理者不能</w:t>
      </w:r>
      <w:r>
        <w:rPr>
          <w:sz w:val="20"/>
          <w:szCs w:val="20"/>
        </w:rPr>
        <w:t xml:space="preserve"> </w:t>
      </w:r>
      <w:r>
        <w:rPr>
          <w:spacing w:val="3"/>
          <w:sz w:val="20"/>
          <w:szCs w:val="20"/>
        </w:rPr>
        <w:t>得到他们需要的日常问题的答案。例如，去年同期的某一产品的特殊促销手段的</w:t>
      </w:r>
      <w:r>
        <w:rPr>
          <w:spacing w:val="2"/>
          <w:sz w:val="20"/>
          <w:szCs w:val="20"/>
        </w:rPr>
        <w:t>影响，将对今</w:t>
      </w:r>
      <w:r>
        <w:rPr>
          <w:sz w:val="20"/>
          <w:szCs w:val="20"/>
        </w:rPr>
        <w:t xml:space="preserve"> </w:t>
      </w:r>
      <w:r>
        <w:rPr>
          <w:spacing w:val="-3"/>
          <w:sz w:val="20"/>
          <w:szCs w:val="20"/>
        </w:rPr>
        <w:t>年产品的定价产生什么样的影响。</w:t>
      </w:r>
    </w:p>
    <w:p w14:paraId="6CA6924B">
      <w:pPr>
        <w:pStyle w:val="2"/>
        <w:spacing w:before="32" w:line="268" w:lineRule="auto"/>
        <w:ind w:right="294" w:firstLine="399"/>
        <w:jc w:val="both"/>
        <w:rPr>
          <w:sz w:val="20"/>
          <w:szCs w:val="20"/>
        </w:rPr>
      </w:pPr>
      <w:r>
        <w:rPr>
          <w:spacing w:val="3"/>
          <w:sz w:val="20"/>
          <w:szCs w:val="20"/>
        </w:rPr>
        <w:t>大多数现存作业层的数据库没有按有利于分析类型和查询应用的方式组织。起初，公司通</w:t>
      </w:r>
      <w:r>
        <w:rPr>
          <w:sz w:val="20"/>
          <w:szCs w:val="20"/>
        </w:rPr>
        <w:t xml:space="preserve"> </w:t>
      </w:r>
      <w:r>
        <w:rPr>
          <w:spacing w:val="3"/>
          <w:sz w:val="20"/>
          <w:szCs w:val="20"/>
        </w:rPr>
        <w:t>过产生一些从查询得到的固定的数据析取来解决这样的问题。但这种方法使析取的数</w:t>
      </w:r>
      <w:r>
        <w:rPr>
          <w:spacing w:val="2"/>
          <w:sz w:val="20"/>
          <w:szCs w:val="20"/>
        </w:rPr>
        <w:t>据固定在</w:t>
      </w:r>
      <w:r>
        <w:rPr>
          <w:sz w:val="20"/>
          <w:szCs w:val="20"/>
        </w:rPr>
        <w:t xml:space="preserve"> </w:t>
      </w:r>
      <w:r>
        <w:rPr>
          <w:spacing w:val="-2"/>
          <w:sz w:val="20"/>
          <w:szCs w:val="20"/>
        </w:rPr>
        <w:t>一个时间点上，并随时间的推移很快就不适用了。</w:t>
      </w:r>
    </w:p>
    <w:p w14:paraId="7FA08536">
      <w:pPr>
        <w:pStyle w:val="2"/>
        <w:spacing w:before="59" w:line="268" w:lineRule="auto"/>
        <w:ind w:right="294" w:firstLine="399"/>
        <w:jc w:val="both"/>
        <w:rPr>
          <w:sz w:val="20"/>
          <w:szCs w:val="20"/>
        </w:rPr>
      </w:pPr>
      <w:r>
        <w:rPr>
          <w:spacing w:val="3"/>
          <w:sz w:val="20"/>
          <w:szCs w:val="20"/>
        </w:rPr>
        <w:t>数据仓库是一个与作业层系统分离存在的数据库。通过对数据仓库的存取，管理者可以做</w:t>
      </w:r>
      <w:r>
        <w:rPr>
          <w:spacing w:val="2"/>
          <w:sz w:val="20"/>
          <w:szCs w:val="20"/>
        </w:rPr>
        <w:t xml:space="preserve"> </w:t>
      </w:r>
      <w:r>
        <w:rPr>
          <w:spacing w:val="3"/>
          <w:sz w:val="20"/>
          <w:szCs w:val="20"/>
        </w:rPr>
        <w:t>出以事实为根据的决策来解决许多业务问题。例如，什么定价策略最有效，什么样</w:t>
      </w:r>
      <w:r>
        <w:rPr>
          <w:spacing w:val="2"/>
          <w:sz w:val="20"/>
          <w:szCs w:val="20"/>
        </w:rPr>
        <w:t>的客户能带</w:t>
      </w:r>
      <w:r>
        <w:rPr>
          <w:sz w:val="20"/>
          <w:szCs w:val="20"/>
        </w:rPr>
        <w:t xml:space="preserve"> </w:t>
      </w:r>
      <w:r>
        <w:rPr>
          <w:spacing w:val="-2"/>
          <w:sz w:val="20"/>
          <w:szCs w:val="20"/>
        </w:rPr>
        <w:t>来更多的利润，什么样的产品有最大利润。</w:t>
      </w:r>
    </w:p>
    <w:p w14:paraId="2E23C105">
      <w:pPr>
        <w:pStyle w:val="2"/>
        <w:spacing w:before="50" w:line="270" w:lineRule="auto"/>
        <w:ind w:right="292" w:firstLine="399"/>
        <w:rPr>
          <w:sz w:val="20"/>
          <w:szCs w:val="20"/>
        </w:rPr>
      </w:pPr>
      <w:r>
        <w:rPr>
          <w:spacing w:val="-1"/>
          <w:sz w:val="20"/>
          <w:szCs w:val="20"/>
        </w:rPr>
        <w:t>生成数据仓库的过程十分直接。首先，数据被“提炼”出来，确认它们是有意义的、</w:t>
      </w:r>
      <w:r>
        <w:rPr>
          <w:spacing w:val="55"/>
          <w:sz w:val="20"/>
          <w:szCs w:val="20"/>
        </w:rPr>
        <w:t xml:space="preserve"> </w:t>
      </w:r>
      <w:r>
        <w:rPr>
          <w:spacing w:val="-1"/>
          <w:sz w:val="20"/>
          <w:szCs w:val="20"/>
        </w:rPr>
        <w:t>一致</w:t>
      </w:r>
      <w:r>
        <w:rPr>
          <w:sz w:val="20"/>
          <w:szCs w:val="20"/>
        </w:rPr>
        <w:t xml:space="preserve"> </w:t>
      </w:r>
      <w:r>
        <w:rPr>
          <w:spacing w:val="3"/>
          <w:sz w:val="20"/>
          <w:szCs w:val="20"/>
        </w:rPr>
        <w:t>的和准确的，然后载入关系表中以便支持分析及查询应用。通常数据必须从多个生产系统</w:t>
      </w:r>
      <w:r>
        <w:rPr>
          <w:spacing w:val="2"/>
          <w:sz w:val="20"/>
          <w:szCs w:val="20"/>
        </w:rPr>
        <w:t>和外</w:t>
      </w:r>
      <w:r>
        <w:rPr>
          <w:sz w:val="20"/>
          <w:szCs w:val="20"/>
        </w:rPr>
        <w:t xml:space="preserve"> </w:t>
      </w:r>
      <w:r>
        <w:rPr>
          <w:spacing w:val="3"/>
          <w:sz w:val="20"/>
          <w:szCs w:val="20"/>
        </w:rPr>
        <w:t>部来源获得，这是一个困难的过程，包括识别相应数据、数据混合、提炼数据阶段以</w:t>
      </w:r>
      <w:r>
        <w:rPr>
          <w:spacing w:val="2"/>
          <w:sz w:val="20"/>
          <w:szCs w:val="20"/>
        </w:rPr>
        <w:t>保证其有</w:t>
      </w:r>
      <w:r>
        <w:rPr>
          <w:sz w:val="20"/>
          <w:szCs w:val="20"/>
        </w:rPr>
        <w:t xml:space="preserve"> </w:t>
      </w:r>
      <w:r>
        <w:rPr>
          <w:spacing w:val="-2"/>
          <w:sz w:val="20"/>
          <w:szCs w:val="20"/>
        </w:rPr>
        <w:t>效性。最后数据需要与建立的逻辑数据模型相一致。</w:t>
      </w:r>
    </w:p>
    <w:p w14:paraId="5E8307BE">
      <w:pPr>
        <w:pStyle w:val="2"/>
        <w:spacing w:before="59" w:line="219" w:lineRule="auto"/>
        <w:ind w:left="399"/>
        <w:rPr>
          <w:sz w:val="20"/>
          <w:szCs w:val="20"/>
        </w:rPr>
      </w:pPr>
      <w:r>
        <w:rPr>
          <w:spacing w:val="4"/>
          <w:sz w:val="20"/>
          <w:szCs w:val="20"/>
        </w:rPr>
        <w:t>(3)数据挖掘和智能体。</w:t>
      </w:r>
    </w:p>
    <w:p w14:paraId="7C77FD00">
      <w:pPr>
        <w:pStyle w:val="2"/>
        <w:spacing w:before="53" w:line="279" w:lineRule="auto"/>
        <w:ind w:right="225" w:firstLine="399"/>
        <w:rPr>
          <w:sz w:val="20"/>
          <w:szCs w:val="20"/>
        </w:rPr>
      </w:pPr>
      <w:r>
        <w:rPr>
          <w:spacing w:val="5"/>
          <w:sz w:val="20"/>
          <w:szCs w:val="20"/>
        </w:rPr>
        <w:t>一旦建成数据仓库，管理者们需要运用工具进行数据存取和查询，这个过</w:t>
      </w:r>
      <w:r>
        <w:rPr>
          <w:spacing w:val="4"/>
          <w:sz w:val="20"/>
          <w:szCs w:val="20"/>
        </w:rPr>
        <w:t>程为数据挖掘，</w:t>
      </w:r>
      <w:r>
        <w:rPr>
          <w:sz w:val="20"/>
          <w:szCs w:val="20"/>
        </w:rPr>
        <w:t xml:space="preserve"> </w:t>
      </w:r>
      <w:r>
        <w:rPr>
          <w:spacing w:val="3"/>
          <w:sz w:val="20"/>
          <w:szCs w:val="20"/>
        </w:rPr>
        <w:t>使用的工具称为智能体。智能体是管理者用来在关系数据库中搜寻相应数据的</w:t>
      </w:r>
      <w:r>
        <w:rPr>
          <w:spacing w:val="2"/>
          <w:sz w:val="20"/>
          <w:szCs w:val="20"/>
        </w:rPr>
        <w:t>软件，用来做趋</w:t>
      </w:r>
      <w:r>
        <w:rPr>
          <w:sz w:val="20"/>
          <w:szCs w:val="20"/>
        </w:rPr>
        <w:t xml:space="preserve"> </w:t>
      </w:r>
      <w:r>
        <w:rPr>
          <w:spacing w:val="3"/>
          <w:sz w:val="20"/>
          <w:szCs w:val="20"/>
        </w:rPr>
        <w:t>势分析、异常情况识别和结果跟踪。数据挖掘工具同时也被用来识别数据的模</w:t>
      </w:r>
      <w:r>
        <w:rPr>
          <w:spacing w:val="2"/>
          <w:sz w:val="20"/>
          <w:szCs w:val="20"/>
        </w:rPr>
        <w:t>式，从模式中得</w:t>
      </w:r>
      <w:r>
        <w:rPr>
          <w:sz w:val="20"/>
          <w:szCs w:val="20"/>
        </w:rPr>
        <w:t xml:space="preserve"> </w:t>
      </w:r>
      <w:r>
        <w:rPr>
          <w:spacing w:val="-1"/>
          <w:sz w:val="20"/>
          <w:szCs w:val="20"/>
        </w:rPr>
        <w:t>出规则，并且利用另外的数据检验来精练这些</w:t>
      </w:r>
      <w:r>
        <w:rPr>
          <w:spacing w:val="-2"/>
          <w:sz w:val="20"/>
          <w:szCs w:val="20"/>
        </w:rPr>
        <w:t>规则。数据挖掘的结果类型包括：</w:t>
      </w:r>
    </w:p>
    <w:p w14:paraId="0D6D12C7">
      <w:pPr>
        <w:spacing w:line="279" w:lineRule="auto"/>
        <w:rPr>
          <w:sz w:val="20"/>
          <w:szCs w:val="20"/>
        </w:rPr>
        <w:sectPr>
          <w:pgSz w:w="10290" w:h="13310"/>
          <w:pgMar w:top="400" w:right="594" w:bottom="400" w:left="1080" w:header="0" w:footer="0" w:gutter="0"/>
          <w:cols w:space="720" w:num="1"/>
        </w:sectPr>
      </w:pPr>
    </w:p>
    <w:p w14:paraId="2CC71716">
      <w:pPr>
        <w:pStyle w:val="2"/>
        <w:spacing w:before="88" w:line="219" w:lineRule="auto"/>
        <w:rPr>
          <w:sz w:val="20"/>
          <w:szCs w:val="20"/>
        </w:rPr>
      </w:pPr>
      <w:bookmarkStart w:id="562" w:name="bookmark548"/>
      <w:bookmarkEnd w:id="562"/>
      <w:r>
        <w:rPr>
          <w:rFonts w:ascii="Times New Roman" w:hAnsi="Times New Roman" w:eastAsia="Times New Roman" w:cs="Times New Roman"/>
          <w:spacing w:val="-1"/>
          <w:sz w:val="17"/>
          <w:szCs w:val="17"/>
        </w:rPr>
        <w:t xml:space="preserve">166                 </w:t>
      </w:r>
      <w:r>
        <w:rPr>
          <w:spacing w:val="-1"/>
          <w:sz w:val="20"/>
          <w:szCs w:val="20"/>
        </w:rPr>
        <w:t>信息系统监理师教程(第2版)</w:t>
      </w:r>
    </w:p>
    <w:p w14:paraId="18EF80D3">
      <w:pPr>
        <w:spacing w:line="295" w:lineRule="auto"/>
        <w:rPr>
          <w:rFonts w:ascii="Arial"/>
          <w:sz w:val="21"/>
        </w:rPr>
      </w:pPr>
    </w:p>
    <w:p w14:paraId="7A994970">
      <w:pPr>
        <w:pStyle w:val="2"/>
        <w:spacing w:before="65" w:line="276" w:lineRule="auto"/>
        <w:ind w:left="1069" w:right="51" w:hanging="300"/>
        <w:rPr>
          <w:sz w:val="20"/>
          <w:szCs w:val="20"/>
        </w:rPr>
      </w:pPr>
      <w:r>
        <w:rPr>
          <w:spacing w:val="3"/>
          <w:sz w:val="20"/>
          <w:szCs w:val="20"/>
        </w:rPr>
        <w:t>●联合。把各个事件联系在一起的过程。例如，将学生们经常同时选修的两门课程联系起</w:t>
      </w:r>
      <w:r>
        <w:rPr>
          <w:sz w:val="20"/>
          <w:szCs w:val="20"/>
        </w:rPr>
        <w:t xml:space="preserve"> </w:t>
      </w:r>
      <w:r>
        <w:rPr>
          <w:spacing w:val="-2"/>
          <w:sz w:val="20"/>
          <w:szCs w:val="20"/>
        </w:rPr>
        <w:t>来，以便这两门课程不被安排在同一时间。</w:t>
      </w:r>
    </w:p>
    <w:p w14:paraId="6B585E9A">
      <w:pPr>
        <w:pStyle w:val="2"/>
        <w:spacing w:before="72" w:line="219" w:lineRule="auto"/>
        <w:ind w:left="769"/>
        <w:rPr>
          <w:sz w:val="20"/>
          <w:szCs w:val="20"/>
        </w:rPr>
      </w:pPr>
      <w:r>
        <w:rPr>
          <w:spacing w:val="1"/>
          <w:sz w:val="20"/>
          <w:szCs w:val="20"/>
        </w:rPr>
        <w:t>●定序。识别模式的过程。例如，识别学生</w:t>
      </w:r>
      <w:r>
        <w:rPr>
          <w:sz w:val="20"/>
          <w:szCs w:val="20"/>
        </w:rPr>
        <w:t>们多个学期课程的次序。</w:t>
      </w:r>
    </w:p>
    <w:p w14:paraId="35A71156">
      <w:pPr>
        <w:pStyle w:val="2"/>
        <w:spacing w:before="82" w:line="266" w:lineRule="auto"/>
        <w:ind w:left="1069" w:right="15" w:hanging="300"/>
        <w:rPr>
          <w:sz w:val="20"/>
          <w:szCs w:val="20"/>
        </w:rPr>
      </w:pPr>
      <w:r>
        <w:rPr>
          <w:spacing w:val="9"/>
          <w:sz w:val="20"/>
          <w:szCs w:val="20"/>
        </w:rPr>
        <w:t>●分类。根据模式组织数据的过程。例如，以学生完成学业的时间(4年以</w:t>
      </w:r>
      <w:r>
        <w:rPr>
          <w:spacing w:val="8"/>
          <w:sz w:val="20"/>
          <w:szCs w:val="20"/>
        </w:rPr>
        <w:t>内、4年以上)</w:t>
      </w:r>
      <w:r>
        <w:rPr>
          <w:sz w:val="20"/>
          <w:szCs w:val="20"/>
        </w:rPr>
        <w:t xml:space="preserve"> </w:t>
      </w:r>
      <w:r>
        <w:rPr>
          <w:spacing w:val="-4"/>
          <w:sz w:val="20"/>
          <w:szCs w:val="20"/>
        </w:rPr>
        <w:t>为标准分成几个小组。</w:t>
      </w:r>
    </w:p>
    <w:p w14:paraId="66B23288">
      <w:pPr>
        <w:pStyle w:val="2"/>
        <w:spacing w:before="72" w:line="267" w:lineRule="auto"/>
        <w:ind w:left="1069" w:right="49" w:hanging="300"/>
        <w:rPr>
          <w:sz w:val="20"/>
          <w:szCs w:val="20"/>
        </w:rPr>
      </w:pPr>
      <w:r>
        <w:rPr>
          <w:spacing w:val="3"/>
          <w:sz w:val="20"/>
          <w:szCs w:val="20"/>
        </w:rPr>
        <w:t>●聚类。推导特定小组与其他小组相区分的判断规则的过程。例如，通过兴趣、年龄、工</w:t>
      </w:r>
      <w:r>
        <w:rPr>
          <w:spacing w:val="2"/>
          <w:sz w:val="20"/>
          <w:szCs w:val="20"/>
        </w:rPr>
        <w:t xml:space="preserve"> </w:t>
      </w:r>
      <w:r>
        <w:rPr>
          <w:spacing w:val="-4"/>
          <w:sz w:val="20"/>
          <w:szCs w:val="20"/>
        </w:rPr>
        <w:t>作经验来划分学生。</w:t>
      </w:r>
    </w:p>
    <w:p w14:paraId="34C1D131">
      <w:pPr>
        <w:pStyle w:val="2"/>
        <w:spacing w:before="81" w:line="287" w:lineRule="auto"/>
        <w:ind w:left="369" w:right="47" w:firstLine="399"/>
        <w:rPr>
          <w:sz w:val="20"/>
          <w:szCs w:val="20"/>
        </w:rPr>
      </w:pPr>
      <w:r>
        <w:rPr>
          <w:spacing w:val="3"/>
          <w:sz w:val="20"/>
          <w:szCs w:val="20"/>
        </w:rPr>
        <w:t>数据仓库的主要优点是向管理者提供所需要的数据和用来分析这些数据的工具。数据仓库</w:t>
      </w:r>
      <w:r>
        <w:rPr>
          <w:spacing w:val="4"/>
          <w:sz w:val="20"/>
          <w:szCs w:val="20"/>
        </w:rPr>
        <w:t xml:space="preserve"> </w:t>
      </w:r>
      <w:r>
        <w:rPr>
          <w:spacing w:val="3"/>
          <w:sz w:val="20"/>
          <w:szCs w:val="20"/>
        </w:rPr>
        <w:t>的概念使信息系统专业人员从日常定制报告的编程中解脱出来，给决策者提供</w:t>
      </w:r>
      <w:r>
        <w:rPr>
          <w:spacing w:val="2"/>
          <w:sz w:val="20"/>
          <w:szCs w:val="20"/>
        </w:rPr>
        <w:t>真正的决策支持</w:t>
      </w:r>
      <w:r>
        <w:rPr>
          <w:sz w:val="20"/>
          <w:szCs w:val="20"/>
        </w:rPr>
        <w:t xml:space="preserve"> </w:t>
      </w:r>
      <w:r>
        <w:rPr>
          <w:spacing w:val="-2"/>
          <w:sz w:val="20"/>
          <w:szCs w:val="20"/>
        </w:rPr>
        <w:t>工具。此外，许多数据仓库工具还配有图形用户界面，以便用户使用。</w:t>
      </w:r>
    </w:p>
    <w:p w14:paraId="21A017BD">
      <w:pPr>
        <w:pStyle w:val="2"/>
        <w:spacing w:before="29" w:line="219" w:lineRule="auto"/>
        <w:ind w:left="769"/>
        <w:rPr>
          <w:sz w:val="20"/>
          <w:szCs w:val="20"/>
        </w:rPr>
      </w:pPr>
      <w:r>
        <w:rPr>
          <w:spacing w:val="10"/>
          <w:sz w:val="20"/>
          <w:szCs w:val="20"/>
        </w:rPr>
        <w:t>(4)模型建立。</w:t>
      </w:r>
    </w:p>
    <w:p w14:paraId="03D33269">
      <w:pPr>
        <w:pStyle w:val="2"/>
        <w:spacing w:before="72" w:line="287" w:lineRule="auto"/>
        <w:ind w:left="369" w:right="44" w:firstLine="399"/>
        <w:rPr>
          <w:sz w:val="20"/>
          <w:szCs w:val="20"/>
        </w:rPr>
      </w:pPr>
      <w:r>
        <w:rPr>
          <w:spacing w:val="3"/>
          <w:sz w:val="20"/>
          <w:szCs w:val="20"/>
        </w:rPr>
        <w:t>模型管理的目的是帮助决策者理解与选择有关的现象。例如，在一场广告竞争中，能够知</w:t>
      </w:r>
      <w:r>
        <w:rPr>
          <w:spacing w:val="7"/>
          <w:sz w:val="20"/>
          <w:szCs w:val="20"/>
        </w:rPr>
        <w:t xml:space="preserve"> </w:t>
      </w:r>
      <w:r>
        <w:rPr>
          <w:spacing w:val="3"/>
          <w:sz w:val="20"/>
          <w:szCs w:val="20"/>
        </w:rPr>
        <w:t>道一种产品对年轻未婚的职业人员或年轻已婚的蓝领工人是否具有吸引力是有益的</w:t>
      </w:r>
      <w:r>
        <w:rPr>
          <w:spacing w:val="2"/>
          <w:sz w:val="20"/>
          <w:szCs w:val="20"/>
        </w:rPr>
        <w:t>。大量业务</w:t>
      </w:r>
      <w:r>
        <w:rPr>
          <w:sz w:val="20"/>
          <w:szCs w:val="20"/>
        </w:rPr>
        <w:t xml:space="preserve"> </w:t>
      </w:r>
      <w:r>
        <w:rPr>
          <w:spacing w:val="-2"/>
          <w:sz w:val="20"/>
          <w:szCs w:val="20"/>
        </w:rPr>
        <w:t>问题需要分析可选的方案设计，模型是建立分析框架的一种有力的工具。</w:t>
      </w:r>
    </w:p>
    <w:p w14:paraId="562169F2">
      <w:pPr>
        <w:pStyle w:val="2"/>
        <w:spacing w:before="16" w:line="280" w:lineRule="auto"/>
        <w:ind w:left="369" w:firstLine="399"/>
        <w:rPr>
          <w:sz w:val="20"/>
          <w:szCs w:val="20"/>
        </w:rPr>
      </w:pPr>
      <w:r>
        <w:rPr>
          <w:spacing w:val="4"/>
          <w:sz w:val="20"/>
          <w:szCs w:val="20"/>
        </w:rPr>
        <w:t>每种模型都有不同的应用范围，例如，统计模</w:t>
      </w:r>
      <w:r>
        <w:rPr>
          <w:spacing w:val="3"/>
          <w:sz w:val="20"/>
          <w:szCs w:val="20"/>
        </w:rPr>
        <w:t>型包括回归分析、方差和指数平滑，会计模</w:t>
      </w:r>
      <w:r>
        <w:rPr>
          <w:sz w:val="20"/>
          <w:szCs w:val="20"/>
        </w:rPr>
        <w:t xml:space="preserve"> </w:t>
      </w:r>
      <w:r>
        <w:rPr>
          <w:spacing w:val="3"/>
          <w:sz w:val="20"/>
          <w:szCs w:val="20"/>
        </w:rPr>
        <w:t>型包括折旧、纳税计划和成本分析，人事管理模型包括环境模拟、角色练习，市场</w:t>
      </w:r>
      <w:r>
        <w:rPr>
          <w:spacing w:val="2"/>
          <w:sz w:val="20"/>
          <w:szCs w:val="20"/>
        </w:rPr>
        <w:t>营销模型包</w:t>
      </w:r>
      <w:r>
        <w:rPr>
          <w:sz w:val="20"/>
          <w:szCs w:val="20"/>
        </w:rPr>
        <w:t xml:space="preserve"> </w:t>
      </w:r>
      <w:r>
        <w:rPr>
          <w:spacing w:val="-1"/>
          <w:sz w:val="20"/>
          <w:szCs w:val="20"/>
        </w:rPr>
        <w:t>括广告策略分析、消费者选择倾向及消费者行为转变分析。建立一个决策支持系统的难点在于，</w:t>
      </w:r>
      <w:r>
        <w:rPr>
          <w:spacing w:val="10"/>
          <w:sz w:val="20"/>
          <w:szCs w:val="20"/>
        </w:rPr>
        <w:t xml:space="preserve"> </w:t>
      </w:r>
      <w:r>
        <w:rPr>
          <w:spacing w:val="-1"/>
          <w:sz w:val="20"/>
          <w:szCs w:val="20"/>
        </w:rPr>
        <w:t>必须清楚系统应包括什么样的模型，如何使这些模</w:t>
      </w:r>
      <w:r>
        <w:rPr>
          <w:spacing w:val="-2"/>
          <w:sz w:val="20"/>
          <w:szCs w:val="20"/>
        </w:rPr>
        <w:t>型对决策者有意义。</w:t>
      </w:r>
    </w:p>
    <w:p w14:paraId="1B60A6D3">
      <w:pPr>
        <w:pStyle w:val="2"/>
        <w:spacing w:before="38" w:line="286" w:lineRule="auto"/>
        <w:ind w:left="369" w:right="46" w:firstLine="399"/>
        <w:rPr>
          <w:sz w:val="20"/>
          <w:szCs w:val="20"/>
        </w:rPr>
      </w:pPr>
      <w:r>
        <w:rPr>
          <w:spacing w:val="3"/>
          <w:sz w:val="20"/>
          <w:szCs w:val="20"/>
        </w:rPr>
        <w:t>模型也有不同的特点，有一些是经验的，有一些是客观的。经验模型包括判断和专家的意</w:t>
      </w:r>
      <w:r>
        <w:rPr>
          <w:spacing w:val="4"/>
          <w:sz w:val="20"/>
          <w:szCs w:val="20"/>
        </w:rPr>
        <w:t xml:space="preserve"> </w:t>
      </w:r>
      <w:r>
        <w:rPr>
          <w:spacing w:val="3"/>
          <w:sz w:val="20"/>
          <w:szCs w:val="20"/>
        </w:rPr>
        <w:t>见，例如，一个内科医生使用一个经验模型去诊断心脏的状况；客观模型意味</w:t>
      </w:r>
      <w:r>
        <w:rPr>
          <w:spacing w:val="2"/>
          <w:sz w:val="20"/>
          <w:szCs w:val="20"/>
        </w:rPr>
        <w:t>着数据分析独立</w:t>
      </w:r>
      <w:r>
        <w:rPr>
          <w:sz w:val="20"/>
          <w:szCs w:val="20"/>
        </w:rPr>
        <w:t xml:space="preserve"> </w:t>
      </w:r>
      <w:r>
        <w:rPr>
          <w:spacing w:val="-1"/>
          <w:sz w:val="20"/>
          <w:szCs w:val="20"/>
        </w:rPr>
        <w:t>于决策者的经验。建立模型的方法有枚举法、算法</w:t>
      </w:r>
      <w:r>
        <w:rPr>
          <w:spacing w:val="-2"/>
          <w:sz w:val="20"/>
          <w:szCs w:val="20"/>
        </w:rPr>
        <w:t>、启发式和模拟法。</w:t>
      </w:r>
    </w:p>
    <w:p w14:paraId="2DB25A0D">
      <w:pPr>
        <w:pStyle w:val="2"/>
        <w:spacing w:before="190" w:line="219" w:lineRule="auto"/>
        <w:ind w:left="372"/>
        <w:rPr>
          <w:sz w:val="25"/>
          <w:szCs w:val="25"/>
        </w:rPr>
      </w:pPr>
      <w:r>
        <w:rPr>
          <w:b/>
          <w:bCs/>
          <w:color w:val="005FCC"/>
          <w:spacing w:val="-17"/>
          <w:sz w:val="25"/>
          <w:szCs w:val="25"/>
        </w:rPr>
        <w:t>5.2.3</w:t>
      </w:r>
      <w:r>
        <w:rPr>
          <w:color w:val="005FCC"/>
          <w:spacing w:val="68"/>
          <w:sz w:val="25"/>
          <w:szCs w:val="25"/>
        </w:rPr>
        <w:t xml:space="preserve"> </w:t>
      </w:r>
      <w:r>
        <w:rPr>
          <w:b/>
          <w:bCs/>
          <w:color w:val="005FCC"/>
          <w:spacing w:val="-17"/>
          <w:sz w:val="25"/>
          <w:szCs w:val="25"/>
        </w:rPr>
        <w:t>专用信息系统</w:t>
      </w:r>
    </w:p>
    <w:p w14:paraId="7DB0F2A9">
      <w:pPr>
        <w:pStyle w:val="2"/>
        <w:spacing w:before="250" w:line="221" w:lineRule="auto"/>
        <w:ind w:left="772"/>
        <w:rPr>
          <w:rFonts w:ascii="黑体" w:hAnsi="黑体" w:eastAsia="黑体" w:cs="黑体"/>
          <w:sz w:val="20"/>
          <w:szCs w:val="20"/>
        </w:rPr>
      </w:pPr>
      <w:r>
        <w:rPr>
          <w:b/>
          <w:bCs/>
          <w:color w:val="0060C1"/>
          <w:spacing w:val="-1"/>
          <w:sz w:val="20"/>
          <w:szCs w:val="20"/>
        </w:rPr>
        <w:t>1.</w:t>
      </w:r>
      <w:r>
        <w:rPr>
          <w:rFonts w:ascii="黑体" w:hAnsi="黑体" w:eastAsia="黑体" w:cs="黑体"/>
          <w:b/>
          <w:bCs/>
          <w:color w:val="0060C1"/>
          <w:spacing w:val="-1"/>
          <w:sz w:val="20"/>
          <w:szCs w:val="20"/>
        </w:rPr>
        <w:t>知识管理系统</w:t>
      </w:r>
    </w:p>
    <w:p w14:paraId="27583236">
      <w:pPr>
        <w:pStyle w:val="2"/>
        <w:spacing w:before="122" w:line="295" w:lineRule="auto"/>
        <w:ind w:left="369" w:right="44" w:firstLine="399"/>
        <w:jc w:val="both"/>
        <w:rPr>
          <w:sz w:val="17"/>
          <w:szCs w:val="17"/>
        </w:rPr>
      </w:pPr>
      <w:r>
        <w:rPr>
          <w:spacing w:val="3"/>
          <w:sz w:val="20"/>
          <w:szCs w:val="20"/>
        </w:rPr>
        <w:t>知识管理系统</w:t>
      </w:r>
      <w:r>
        <w:rPr>
          <w:spacing w:val="-46"/>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KSM</w:t>
      </w:r>
      <w:r>
        <w:rPr>
          <w:rFonts w:ascii="Times New Roman" w:hAnsi="Times New Roman" w:eastAsia="Times New Roman" w:cs="Times New Roman"/>
          <w:spacing w:val="3"/>
          <w:sz w:val="20"/>
          <w:szCs w:val="20"/>
        </w:rPr>
        <w:t>)</w:t>
      </w:r>
      <w:r>
        <w:rPr>
          <w:rFonts w:ascii="Times New Roman" w:hAnsi="Times New Roman" w:eastAsia="Times New Roman" w:cs="Times New Roman"/>
          <w:spacing w:val="14"/>
          <w:sz w:val="20"/>
          <w:szCs w:val="20"/>
        </w:rPr>
        <w:t xml:space="preserve">   </w:t>
      </w:r>
      <w:r>
        <w:rPr>
          <w:spacing w:val="3"/>
          <w:sz w:val="20"/>
          <w:szCs w:val="20"/>
        </w:rPr>
        <w:t>是将人员、流程、软件、数据库和设备组织在一起的集合，用于创</w:t>
      </w:r>
      <w:r>
        <w:rPr>
          <w:sz w:val="20"/>
          <w:szCs w:val="20"/>
        </w:rPr>
        <w:t xml:space="preserve"> 建、存储、共享和使用组织的知识和经验。一个有效的</w:t>
      </w:r>
      <w:r>
        <w:rPr>
          <w:rFonts w:ascii="Times New Roman" w:hAnsi="Times New Roman" w:eastAsia="Times New Roman" w:cs="Times New Roman"/>
          <w:sz w:val="20"/>
          <w:szCs w:val="20"/>
        </w:rPr>
        <w:t>KSM</w:t>
      </w:r>
      <w:r>
        <w:rPr>
          <w:rFonts w:ascii="Times New Roman" w:hAnsi="Times New Roman" w:eastAsia="Times New Roman" w:cs="Times New Roman"/>
          <w:spacing w:val="33"/>
          <w:sz w:val="20"/>
          <w:szCs w:val="20"/>
        </w:rPr>
        <w:t xml:space="preserve"> </w:t>
      </w:r>
      <w:r>
        <w:rPr>
          <w:sz w:val="20"/>
          <w:szCs w:val="20"/>
        </w:rPr>
        <w:t xml:space="preserve">能使一个组织更好地利用它所收集 </w:t>
      </w:r>
      <w:r>
        <w:rPr>
          <w:spacing w:val="3"/>
          <w:sz w:val="20"/>
          <w:szCs w:val="20"/>
        </w:rPr>
        <w:t>的知识，避免资源浪费、提高客户满意度，提高组织在市场中的竞争力，并提高其规划过程的</w:t>
      </w:r>
      <w:r>
        <w:rPr>
          <w:spacing w:val="1"/>
          <w:sz w:val="20"/>
          <w:szCs w:val="20"/>
        </w:rPr>
        <w:t xml:space="preserve"> </w:t>
      </w:r>
      <w:r>
        <w:rPr>
          <w:spacing w:val="19"/>
          <w:sz w:val="17"/>
          <w:szCs w:val="17"/>
        </w:rPr>
        <w:t>成功率</w:t>
      </w:r>
      <w:r>
        <w:rPr>
          <w:spacing w:val="-43"/>
          <w:sz w:val="17"/>
          <w:szCs w:val="17"/>
        </w:rPr>
        <w:t xml:space="preserve"> </w:t>
      </w:r>
      <w:r>
        <w:rPr>
          <w:spacing w:val="19"/>
          <w:sz w:val="17"/>
          <w:szCs w:val="17"/>
        </w:rPr>
        <w:t>。</w:t>
      </w:r>
    </w:p>
    <w:p w14:paraId="37020F17">
      <w:pPr>
        <w:pStyle w:val="2"/>
        <w:spacing w:before="33" w:line="268" w:lineRule="auto"/>
        <w:ind w:left="369" w:firstLine="399"/>
        <w:jc w:val="both"/>
        <w:rPr>
          <w:sz w:val="20"/>
          <w:szCs w:val="20"/>
        </w:rPr>
      </w:pPr>
      <w:r>
        <w:rPr>
          <w:spacing w:val="3"/>
          <w:sz w:val="20"/>
          <w:szCs w:val="20"/>
        </w:rPr>
        <w:t>获取、存储、共享和使用知识是任何知识管理的关键。知识被创建后，它通常存储在包含</w:t>
      </w:r>
      <w:r>
        <w:rPr>
          <w:spacing w:val="1"/>
          <w:sz w:val="20"/>
          <w:szCs w:val="20"/>
        </w:rPr>
        <w:t xml:space="preserve"> </w:t>
      </w:r>
      <w:r>
        <w:rPr>
          <w:spacing w:val="5"/>
          <w:sz w:val="20"/>
          <w:szCs w:val="20"/>
        </w:rPr>
        <w:t>文档、报告、文件和数据库的知识库(</w:t>
      </w:r>
      <w:r>
        <w:rPr>
          <w:sz w:val="20"/>
          <w:szCs w:val="20"/>
        </w:rPr>
        <w:t>Knowledge</w:t>
      </w:r>
      <w:r>
        <w:rPr>
          <w:spacing w:val="5"/>
          <w:sz w:val="20"/>
          <w:szCs w:val="20"/>
        </w:rPr>
        <w:t xml:space="preserve"> </w:t>
      </w:r>
      <w:r>
        <w:rPr>
          <w:sz w:val="20"/>
          <w:szCs w:val="20"/>
        </w:rPr>
        <w:t>Repository</w:t>
      </w:r>
      <w:r>
        <w:rPr>
          <w:spacing w:val="5"/>
          <w:sz w:val="20"/>
          <w:szCs w:val="20"/>
        </w:rPr>
        <w:t>)中。知识库可以位于组织内部，</w:t>
      </w:r>
      <w:r>
        <w:rPr>
          <w:spacing w:val="3"/>
          <w:sz w:val="20"/>
          <w:szCs w:val="20"/>
        </w:rPr>
        <w:t xml:space="preserve"> </w:t>
      </w:r>
      <w:r>
        <w:rPr>
          <w:spacing w:val="-4"/>
          <w:sz w:val="20"/>
          <w:szCs w:val="20"/>
        </w:rPr>
        <w:t>也可以位于组织外部。</w:t>
      </w:r>
    </w:p>
    <w:p w14:paraId="6376A5B6">
      <w:pPr>
        <w:pStyle w:val="2"/>
        <w:spacing w:before="46" w:line="272" w:lineRule="auto"/>
        <w:ind w:left="369" w:firstLine="399"/>
        <w:jc w:val="both"/>
        <w:rPr>
          <w:sz w:val="20"/>
          <w:szCs w:val="20"/>
        </w:rPr>
      </w:pPr>
      <w:r>
        <w:rPr>
          <w:spacing w:val="3"/>
          <w:sz w:val="20"/>
          <w:szCs w:val="20"/>
        </w:rPr>
        <w:t>某些类型的软件可以存储和共享文档和报表中包含的知识。传统的数据库、数据仓库和数</w:t>
      </w:r>
      <w:r>
        <w:rPr>
          <w:sz w:val="20"/>
          <w:szCs w:val="20"/>
        </w:rPr>
        <w:t xml:space="preserve"> </w:t>
      </w:r>
      <w:r>
        <w:rPr>
          <w:spacing w:val="3"/>
          <w:sz w:val="20"/>
          <w:szCs w:val="20"/>
        </w:rPr>
        <w:t>据集市通常可用于存储组织的知识。专家系统中的专门知识库也可以用于存放知识。由</w:t>
      </w:r>
      <w:r>
        <w:rPr>
          <w:spacing w:val="2"/>
          <w:sz w:val="20"/>
          <w:szCs w:val="20"/>
        </w:rPr>
        <w:t>于知识</w:t>
      </w:r>
      <w:r>
        <w:rPr>
          <w:sz w:val="20"/>
          <w:szCs w:val="20"/>
        </w:rPr>
        <w:t xml:space="preserve"> </w:t>
      </w:r>
      <w:r>
        <w:rPr>
          <w:spacing w:val="-1"/>
          <w:sz w:val="20"/>
          <w:szCs w:val="20"/>
        </w:rPr>
        <w:t>工作者经常在小组或团队中工作，所以他们可以使用协作工作软件和小组支持系统来共享知识，</w:t>
      </w:r>
      <w:r>
        <w:rPr>
          <w:spacing w:val="10"/>
          <w:sz w:val="20"/>
          <w:szCs w:val="20"/>
        </w:rPr>
        <w:t xml:space="preserve"> </w:t>
      </w:r>
      <w:r>
        <w:rPr>
          <w:spacing w:val="-1"/>
          <w:sz w:val="20"/>
          <w:szCs w:val="20"/>
        </w:rPr>
        <w:t>例如会议软件和协作工具。同时，许多组织利用专利、版权、商业秘密、互联网防火墙等措施，</w:t>
      </w:r>
      <w:r>
        <w:rPr>
          <w:spacing w:val="10"/>
          <w:sz w:val="20"/>
          <w:szCs w:val="20"/>
        </w:rPr>
        <w:t xml:space="preserve"> </w:t>
      </w:r>
      <w:r>
        <w:rPr>
          <w:spacing w:val="-4"/>
          <w:sz w:val="20"/>
          <w:szCs w:val="20"/>
        </w:rPr>
        <w:t>防止知识被非授权或非法获取。</w:t>
      </w:r>
    </w:p>
    <w:p w14:paraId="4C95459B">
      <w:pPr>
        <w:spacing w:line="272" w:lineRule="auto"/>
        <w:rPr>
          <w:sz w:val="20"/>
          <w:szCs w:val="20"/>
        </w:rPr>
        <w:sectPr>
          <w:pgSz w:w="10300" w:h="13390"/>
          <w:pgMar w:top="400" w:right="1040" w:bottom="400" w:left="520" w:header="0" w:footer="0" w:gutter="0"/>
          <w:cols w:space="720" w:num="1"/>
        </w:sectPr>
      </w:pPr>
    </w:p>
    <w:p w14:paraId="6F0BCA47">
      <w:pPr>
        <w:pStyle w:val="2"/>
        <w:spacing w:before="96" w:line="219" w:lineRule="auto"/>
        <w:jc w:val="right"/>
        <w:rPr>
          <w:rFonts w:ascii="Times New Roman" w:hAnsi="Times New Roman" w:eastAsia="Times New Roman" w:cs="Times New Roman"/>
          <w:sz w:val="19"/>
          <w:szCs w:val="19"/>
        </w:rPr>
      </w:pPr>
      <w:r>
        <w:rPr>
          <w:spacing w:val="2"/>
          <w:sz w:val="19"/>
          <w:szCs w:val="19"/>
        </w:rPr>
        <w:t>第5章</w:t>
      </w:r>
      <w:r>
        <w:rPr>
          <w:spacing w:val="31"/>
          <w:sz w:val="19"/>
          <w:szCs w:val="19"/>
        </w:rPr>
        <w:t xml:space="preserve"> </w:t>
      </w:r>
      <w:r>
        <w:rPr>
          <w:spacing w:val="2"/>
          <w:sz w:val="19"/>
          <w:szCs w:val="19"/>
        </w:rPr>
        <w:t>信息应用系统</w:t>
      </w:r>
      <w:r>
        <w:rPr>
          <w:spacing w:val="10"/>
          <w:sz w:val="19"/>
          <w:szCs w:val="19"/>
        </w:rPr>
        <w:t xml:space="preserve">      </w:t>
      </w:r>
      <w:r>
        <w:rPr>
          <w:rFonts w:ascii="Times New Roman" w:hAnsi="Times New Roman" w:eastAsia="Times New Roman" w:cs="Times New Roman"/>
          <w:spacing w:val="2"/>
          <w:sz w:val="19"/>
          <w:szCs w:val="19"/>
        </w:rPr>
        <w:t>167</w:t>
      </w:r>
    </w:p>
    <w:p w14:paraId="3CEE342D">
      <w:pPr>
        <w:spacing w:line="327" w:lineRule="auto"/>
        <w:rPr>
          <w:rFonts w:ascii="Arial"/>
          <w:sz w:val="21"/>
        </w:rPr>
      </w:pPr>
    </w:p>
    <w:p w14:paraId="20778F44">
      <w:pPr>
        <w:pStyle w:val="2"/>
        <w:spacing w:before="62" w:line="221" w:lineRule="auto"/>
        <w:ind w:left="402"/>
        <w:rPr>
          <w:rFonts w:ascii="黑体" w:hAnsi="黑体" w:eastAsia="黑体" w:cs="黑体"/>
          <w:sz w:val="19"/>
          <w:szCs w:val="19"/>
        </w:rPr>
      </w:pPr>
      <w:bookmarkStart w:id="563" w:name="bookmark549"/>
      <w:bookmarkEnd w:id="563"/>
      <w:r>
        <w:rPr>
          <w:b/>
          <w:bCs/>
          <w:color w:val="005EBC"/>
          <w:spacing w:val="8"/>
          <w:sz w:val="19"/>
          <w:szCs w:val="19"/>
        </w:rPr>
        <w:t>2.</w:t>
      </w:r>
      <w:r>
        <w:rPr>
          <w:rFonts w:ascii="黑体" w:hAnsi="黑体" w:eastAsia="黑体" w:cs="黑体"/>
          <w:b/>
          <w:bCs/>
          <w:color w:val="005EBC"/>
          <w:spacing w:val="8"/>
          <w:sz w:val="19"/>
          <w:szCs w:val="19"/>
        </w:rPr>
        <w:t>专家系统</w:t>
      </w:r>
    </w:p>
    <w:p w14:paraId="6FFDEF0C">
      <w:pPr>
        <w:spacing w:before="222" w:line="223" w:lineRule="auto"/>
        <w:ind w:left="400"/>
        <w:rPr>
          <w:rFonts w:ascii="楷体" w:hAnsi="楷体" w:eastAsia="楷体" w:cs="楷体"/>
          <w:sz w:val="19"/>
          <w:szCs w:val="19"/>
        </w:rPr>
      </w:pPr>
      <w:r>
        <w:rPr>
          <w:rFonts w:ascii="楷体" w:hAnsi="楷体" w:eastAsia="楷体" w:cs="楷体"/>
          <w:spacing w:val="15"/>
          <w:sz w:val="19"/>
          <w:szCs w:val="19"/>
        </w:rPr>
        <w:t>1)专家系统的概念</w:t>
      </w:r>
    </w:p>
    <w:p w14:paraId="74C942C7">
      <w:pPr>
        <w:pStyle w:val="2"/>
        <w:spacing w:before="75" w:line="308" w:lineRule="auto"/>
        <w:ind w:right="292" w:firstLine="400"/>
        <w:rPr>
          <w:sz w:val="19"/>
          <w:szCs w:val="19"/>
        </w:rPr>
      </w:pPr>
      <w:r>
        <w:rPr>
          <w:spacing w:val="14"/>
          <w:sz w:val="19"/>
          <w:szCs w:val="19"/>
        </w:rPr>
        <w:t>基于知识的专家系统简称专家系统</w:t>
      </w:r>
      <w:r>
        <w:rPr>
          <w:spacing w:val="-44"/>
          <w:sz w:val="19"/>
          <w:szCs w:val="19"/>
        </w:rPr>
        <w:t xml:space="preserve"> </w:t>
      </w:r>
      <w:r>
        <w:rPr>
          <w:rFonts w:ascii="Times New Roman" w:hAnsi="Times New Roman" w:eastAsia="Times New Roman" w:cs="Times New Roman"/>
          <w:spacing w:val="14"/>
          <w:sz w:val="19"/>
          <w:szCs w:val="19"/>
        </w:rPr>
        <w:t>(</w:t>
      </w:r>
      <w:r>
        <w:rPr>
          <w:rFonts w:ascii="Times New Roman" w:hAnsi="Times New Roman" w:eastAsia="Times New Roman" w:cs="Times New Roman"/>
          <w:sz w:val="19"/>
          <w:szCs w:val="19"/>
        </w:rPr>
        <w:t>ES</w:t>
      </w:r>
      <w:r>
        <w:rPr>
          <w:rFonts w:ascii="Times New Roman" w:hAnsi="Times New Roman" w:eastAsia="Times New Roman" w:cs="Times New Roman"/>
          <w:spacing w:val="14"/>
          <w:sz w:val="19"/>
          <w:szCs w:val="19"/>
        </w:rPr>
        <w:t xml:space="preserve">),     </w:t>
      </w:r>
      <w:r>
        <w:rPr>
          <w:spacing w:val="14"/>
          <w:sz w:val="19"/>
          <w:szCs w:val="19"/>
        </w:rPr>
        <w:t>它是人工智能的一个重要分</w:t>
      </w:r>
      <w:r>
        <w:rPr>
          <w:spacing w:val="13"/>
          <w:sz w:val="19"/>
          <w:szCs w:val="19"/>
        </w:rPr>
        <w:t>支。专家系统的能</w:t>
      </w:r>
      <w:r>
        <w:rPr>
          <w:sz w:val="19"/>
          <w:szCs w:val="19"/>
        </w:rPr>
        <w:t xml:space="preserve"> </w:t>
      </w:r>
      <w:r>
        <w:rPr>
          <w:spacing w:val="13"/>
          <w:sz w:val="19"/>
          <w:szCs w:val="19"/>
        </w:rPr>
        <w:t>力来自它所拥有的专家知识，知识的表示及推理的</w:t>
      </w:r>
      <w:r>
        <w:rPr>
          <w:spacing w:val="12"/>
          <w:sz w:val="19"/>
          <w:szCs w:val="19"/>
        </w:rPr>
        <w:t>方法则提供了应用的机理。因此这种基于知</w:t>
      </w:r>
      <w:r>
        <w:rPr>
          <w:sz w:val="19"/>
          <w:szCs w:val="19"/>
        </w:rPr>
        <w:t xml:space="preserve"> </w:t>
      </w:r>
      <w:r>
        <w:rPr>
          <w:spacing w:val="8"/>
          <w:sz w:val="19"/>
          <w:szCs w:val="19"/>
        </w:rPr>
        <w:t>识的系统设计是以知识库和推理机为中心展开的，即结构</w:t>
      </w:r>
      <w:r>
        <w:rPr>
          <w:spacing w:val="7"/>
          <w:sz w:val="19"/>
          <w:szCs w:val="19"/>
        </w:rPr>
        <w:t>为：</w:t>
      </w:r>
    </w:p>
    <w:p w14:paraId="7A5DE94B">
      <w:pPr>
        <w:pStyle w:val="2"/>
        <w:spacing w:before="20" w:line="221" w:lineRule="auto"/>
        <w:ind w:left="3359"/>
        <w:rPr>
          <w:sz w:val="19"/>
          <w:szCs w:val="19"/>
        </w:rPr>
      </w:pPr>
      <w:r>
        <w:rPr>
          <w:spacing w:val="34"/>
          <w:sz w:val="19"/>
          <w:szCs w:val="19"/>
        </w:rPr>
        <w:t>知识+推理=系统</w:t>
      </w:r>
    </w:p>
    <w:p w14:paraId="5AD407D8">
      <w:pPr>
        <w:pStyle w:val="2"/>
        <w:spacing w:before="80" w:line="219" w:lineRule="auto"/>
        <w:ind w:left="400"/>
        <w:rPr>
          <w:sz w:val="19"/>
          <w:szCs w:val="19"/>
        </w:rPr>
      </w:pPr>
      <w:r>
        <w:rPr>
          <w:spacing w:val="3"/>
          <w:sz w:val="19"/>
          <w:szCs w:val="19"/>
        </w:rPr>
        <w:t>而传统的软件的结构是：</w:t>
      </w:r>
    </w:p>
    <w:p w14:paraId="00CE780E">
      <w:pPr>
        <w:pStyle w:val="2"/>
        <w:spacing w:before="105" w:line="219" w:lineRule="auto"/>
        <w:ind w:left="3170"/>
        <w:rPr>
          <w:sz w:val="19"/>
          <w:szCs w:val="19"/>
        </w:rPr>
      </w:pPr>
      <w:r>
        <w:rPr>
          <w:spacing w:val="29"/>
          <w:sz w:val="19"/>
          <w:szCs w:val="19"/>
        </w:rPr>
        <w:t>数据结构+算法=程序</w:t>
      </w:r>
    </w:p>
    <w:p w14:paraId="1B66CFEB">
      <w:pPr>
        <w:pStyle w:val="2"/>
        <w:spacing w:before="94" w:line="278" w:lineRule="auto"/>
        <w:ind w:right="321" w:firstLine="400"/>
        <w:rPr>
          <w:sz w:val="19"/>
          <w:szCs w:val="19"/>
        </w:rPr>
      </w:pPr>
      <w:r>
        <w:rPr>
          <w:spacing w:val="13"/>
          <w:sz w:val="19"/>
          <w:szCs w:val="19"/>
        </w:rPr>
        <w:t>专家系统是一种智能的计算机程序，该程序使用知</w:t>
      </w:r>
      <w:r>
        <w:rPr>
          <w:spacing w:val="12"/>
          <w:sz w:val="19"/>
          <w:szCs w:val="19"/>
        </w:rPr>
        <w:t>识与推理过程，求解那些需要资深专家</w:t>
      </w:r>
      <w:r>
        <w:rPr>
          <w:sz w:val="19"/>
          <w:szCs w:val="19"/>
        </w:rPr>
        <w:t xml:space="preserve"> </w:t>
      </w:r>
      <w:r>
        <w:rPr>
          <w:spacing w:val="6"/>
          <w:sz w:val="19"/>
          <w:szCs w:val="19"/>
        </w:rPr>
        <w:t>的专门知识才能解决的高难度问题。</w:t>
      </w:r>
    </w:p>
    <w:p w14:paraId="16CD8CF3">
      <w:pPr>
        <w:pStyle w:val="2"/>
        <w:spacing w:before="57" w:line="279" w:lineRule="auto"/>
        <w:ind w:right="310" w:firstLine="400"/>
        <w:rPr>
          <w:sz w:val="19"/>
          <w:szCs w:val="19"/>
        </w:rPr>
      </w:pPr>
      <w:r>
        <w:rPr>
          <w:spacing w:val="13"/>
          <w:sz w:val="19"/>
          <w:szCs w:val="19"/>
        </w:rPr>
        <w:t>由此定义可以看出，专家系统既不同于传统的应用程序，也不同于其他类型</w:t>
      </w:r>
      <w:r>
        <w:rPr>
          <w:spacing w:val="12"/>
          <w:sz w:val="19"/>
          <w:szCs w:val="19"/>
        </w:rPr>
        <w:t>的人工智能问</w:t>
      </w:r>
      <w:r>
        <w:rPr>
          <w:sz w:val="19"/>
          <w:szCs w:val="19"/>
        </w:rPr>
        <w:t xml:space="preserve"> </w:t>
      </w:r>
      <w:r>
        <w:rPr>
          <w:spacing w:val="6"/>
          <w:sz w:val="19"/>
          <w:szCs w:val="19"/>
        </w:rPr>
        <w:t>题求解程序。不同点主要表现在以下五个方面：</w:t>
      </w:r>
    </w:p>
    <w:p w14:paraId="08989D5A">
      <w:pPr>
        <w:pStyle w:val="2"/>
        <w:spacing w:before="37" w:line="287" w:lineRule="auto"/>
        <w:ind w:left="670" w:right="317" w:hanging="270"/>
        <w:rPr>
          <w:sz w:val="19"/>
          <w:szCs w:val="19"/>
        </w:rPr>
      </w:pPr>
      <w:r>
        <w:rPr>
          <w:spacing w:val="18"/>
          <w:sz w:val="19"/>
          <w:szCs w:val="19"/>
        </w:rPr>
        <w:t>●专家系统属于人工智能范畴，其求解的问题不是传统程序求解的结构化</w:t>
      </w:r>
      <w:r>
        <w:rPr>
          <w:spacing w:val="17"/>
          <w:sz w:val="19"/>
          <w:szCs w:val="19"/>
        </w:rPr>
        <w:t>问题，而是半</w:t>
      </w:r>
      <w:r>
        <w:rPr>
          <w:sz w:val="19"/>
          <w:szCs w:val="19"/>
        </w:rPr>
        <w:t xml:space="preserve"> </w:t>
      </w:r>
      <w:r>
        <w:rPr>
          <w:spacing w:val="16"/>
          <w:sz w:val="19"/>
          <w:szCs w:val="19"/>
        </w:rPr>
        <w:t>结构化或非结构化问题，需要应用启发法或弱方法来解决，它不同于传统应用程序的</w:t>
      </w:r>
      <w:r>
        <w:rPr>
          <w:spacing w:val="12"/>
          <w:sz w:val="19"/>
          <w:szCs w:val="19"/>
        </w:rPr>
        <w:t xml:space="preserve"> </w:t>
      </w:r>
      <w:r>
        <w:rPr>
          <w:spacing w:val="1"/>
          <w:sz w:val="19"/>
          <w:szCs w:val="19"/>
        </w:rPr>
        <w:t>算法。</w:t>
      </w:r>
    </w:p>
    <w:p w14:paraId="2539A515">
      <w:pPr>
        <w:pStyle w:val="2"/>
        <w:spacing w:before="92" w:line="287" w:lineRule="auto"/>
        <w:ind w:left="670" w:right="293" w:hanging="270"/>
        <w:rPr>
          <w:sz w:val="19"/>
          <w:szCs w:val="19"/>
        </w:rPr>
      </w:pPr>
      <w:r>
        <w:rPr>
          <w:spacing w:val="13"/>
          <w:sz w:val="19"/>
          <w:szCs w:val="19"/>
        </w:rPr>
        <w:t>●传统应用程序通过建立数学模型去模拟问题领域，而专家系统模拟的是人类专家在问题</w:t>
      </w:r>
      <w:r>
        <w:rPr>
          <w:spacing w:val="11"/>
          <w:sz w:val="19"/>
          <w:szCs w:val="19"/>
        </w:rPr>
        <w:t xml:space="preserve"> 领域的推理，而不是模拟问题领域本身。从模拟对象的不同，足可以区分出专</w:t>
      </w:r>
      <w:r>
        <w:rPr>
          <w:spacing w:val="10"/>
          <w:sz w:val="19"/>
          <w:szCs w:val="19"/>
        </w:rPr>
        <w:t>家系统与</w:t>
      </w:r>
      <w:r>
        <w:rPr>
          <w:sz w:val="19"/>
          <w:szCs w:val="19"/>
        </w:rPr>
        <w:t xml:space="preserve"> </w:t>
      </w:r>
      <w:r>
        <w:rPr>
          <w:spacing w:val="5"/>
          <w:sz w:val="19"/>
          <w:szCs w:val="19"/>
        </w:rPr>
        <w:t>传统的应用程序。</w:t>
      </w:r>
    </w:p>
    <w:p w14:paraId="4831FD64">
      <w:pPr>
        <w:pStyle w:val="2"/>
        <w:spacing w:before="86" w:line="288" w:lineRule="auto"/>
        <w:ind w:left="670" w:right="316" w:hanging="270"/>
        <w:rPr>
          <w:sz w:val="19"/>
          <w:szCs w:val="19"/>
        </w:rPr>
      </w:pPr>
      <w:r>
        <w:rPr>
          <w:spacing w:val="13"/>
          <w:sz w:val="19"/>
          <w:szCs w:val="19"/>
        </w:rPr>
        <w:t>●专家系统由三个要素组成：描述问题状态的综合数</w:t>
      </w:r>
      <w:r>
        <w:rPr>
          <w:spacing w:val="12"/>
          <w:sz w:val="19"/>
          <w:szCs w:val="19"/>
        </w:rPr>
        <w:t>据库、存放启发式经验知识的知识库</w:t>
      </w:r>
      <w:r>
        <w:rPr>
          <w:sz w:val="19"/>
          <w:szCs w:val="19"/>
        </w:rPr>
        <w:t xml:space="preserve"> </w:t>
      </w:r>
      <w:r>
        <w:rPr>
          <w:spacing w:val="11"/>
          <w:sz w:val="19"/>
          <w:szCs w:val="19"/>
        </w:rPr>
        <w:t>和对知识库的知识进行推理的推理机。三要素分别对应数据级、知识</w:t>
      </w:r>
      <w:r>
        <w:rPr>
          <w:spacing w:val="10"/>
          <w:sz w:val="19"/>
          <w:szCs w:val="19"/>
        </w:rPr>
        <w:t>库级和控制级三级</w:t>
      </w:r>
      <w:r>
        <w:rPr>
          <w:sz w:val="19"/>
          <w:szCs w:val="19"/>
        </w:rPr>
        <w:t xml:space="preserve"> </w:t>
      </w:r>
      <w:r>
        <w:rPr>
          <w:spacing w:val="11"/>
          <w:sz w:val="19"/>
          <w:szCs w:val="19"/>
        </w:rPr>
        <w:t>知识。而传统应用程序只有数据和程序两级结构，将描述算法的过程性计算信息</w:t>
      </w:r>
      <w:r>
        <w:rPr>
          <w:spacing w:val="10"/>
          <w:sz w:val="19"/>
          <w:szCs w:val="19"/>
        </w:rPr>
        <w:t>与控制</w:t>
      </w:r>
      <w:r>
        <w:rPr>
          <w:sz w:val="19"/>
          <w:szCs w:val="19"/>
        </w:rPr>
        <w:t xml:space="preserve"> </w:t>
      </w:r>
      <w:r>
        <w:rPr>
          <w:spacing w:val="9"/>
          <w:sz w:val="19"/>
          <w:szCs w:val="19"/>
        </w:rPr>
        <w:t>性判断信息合而为一地编码在程序中，缺乏专家系统的灵活性。</w:t>
      </w:r>
    </w:p>
    <w:p w14:paraId="4A7C9181">
      <w:pPr>
        <w:pStyle w:val="2"/>
        <w:spacing w:before="94" w:line="287" w:lineRule="auto"/>
        <w:ind w:left="670" w:right="324" w:hanging="270"/>
        <w:rPr>
          <w:sz w:val="19"/>
          <w:szCs w:val="19"/>
        </w:rPr>
      </w:pPr>
      <w:r>
        <w:rPr>
          <w:spacing w:val="18"/>
          <w:sz w:val="19"/>
          <w:szCs w:val="19"/>
        </w:rPr>
        <w:t>●专家系统处理的问题属于现实世界中必须具备人类专家</w:t>
      </w:r>
      <w:r>
        <w:rPr>
          <w:spacing w:val="17"/>
          <w:sz w:val="19"/>
          <w:szCs w:val="19"/>
        </w:rPr>
        <w:t>的大量专门知识才能解决的问</w:t>
      </w:r>
      <w:r>
        <w:rPr>
          <w:sz w:val="19"/>
          <w:szCs w:val="19"/>
        </w:rPr>
        <w:t xml:space="preserve"> </w:t>
      </w:r>
      <w:r>
        <w:rPr>
          <w:spacing w:val="11"/>
          <w:sz w:val="19"/>
          <w:szCs w:val="19"/>
        </w:rPr>
        <w:t>题，它必须可靠地工作，并在合理的时间内对求解的问题给出</w:t>
      </w:r>
      <w:r>
        <w:rPr>
          <w:spacing w:val="10"/>
          <w:sz w:val="19"/>
          <w:szCs w:val="19"/>
        </w:rPr>
        <w:t>可用的解答。所以它面对</w:t>
      </w:r>
      <w:r>
        <w:rPr>
          <w:sz w:val="19"/>
          <w:szCs w:val="19"/>
        </w:rPr>
        <w:t xml:space="preserve"> </w:t>
      </w:r>
      <w:r>
        <w:rPr>
          <w:spacing w:val="7"/>
          <w:sz w:val="19"/>
          <w:szCs w:val="19"/>
        </w:rPr>
        <w:t>的往往是实际的问题，而不是纯学术的问题。</w:t>
      </w:r>
    </w:p>
    <w:p w14:paraId="3C809EA2">
      <w:pPr>
        <w:pStyle w:val="2"/>
        <w:spacing w:before="96" w:line="281" w:lineRule="auto"/>
        <w:ind w:left="670" w:right="237" w:hanging="270"/>
        <w:rPr>
          <w:sz w:val="19"/>
          <w:szCs w:val="19"/>
        </w:rPr>
      </w:pPr>
      <w:r>
        <w:rPr>
          <w:spacing w:val="15"/>
          <w:sz w:val="19"/>
          <w:szCs w:val="19"/>
        </w:rPr>
        <w:t>●从求解手段来看，专家系统的高性能是通过将问题领域局限在</w:t>
      </w:r>
      <w:r>
        <w:rPr>
          <w:spacing w:val="14"/>
          <w:sz w:val="19"/>
          <w:szCs w:val="19"/>
        </w:rPr>
        <w:t>相对狭窄的特定领域内，</w:t>
      </w:r>
      <w:r>
        <w:rPr>
          <w:sz w:val="19"/>
          <w:szCs w:val="19"/>
        </w:rPr>
        <w:t xml:space="preserve"> </w:t>
      </w:r>
      <w:r>
        <w:rPr>
          <w:spacing w:val="11"/>
          <w:sz w:val="19"/>
          <w:szCs w:val="19"/>
        </w:rPr>
        <w:t>它更强调该领域中人类专家的专门知识的应用。专家系统所拥</w:t>
      </w:r>
      <w:r>
        <w:rPr>
          <w:spacing w:val="10"/>
          <w:sz w:val="19"/>
          <w:szCs w:val="19"/>
        </w:rPr>
        <w:t>有的这种启发式知识的数</w:t>
      </w:r>
      <w:r>
        <w:rPr>
          <w:sz w:val="19"/>
          <w:szCs w:val="19"/>
        </w:rPr>
        <w:t xml:space="preserve">  </w:t>
      </w:r>
      <w:r>
        <w:rPr>
          <w:spacing w:val="11"/>
          <w:sz w:val="19"/>
          <w:szCs w:val="19"/>
        </w:rPr>
        <w:t>量和质量，将决定专家系统的性能和效率。从这个角度讲，专家系统的问题求解的通用</w:t>
      </w:r>
      <w:r>
        <w:rPr>
          <w:spacing w:val="4"/>
          <w:sz w:val="19"/>
          <w:szCs w:val="19"/>
        </w:rPr>
        <w:t xml:space="preserve"> </w:t>
      </w:r>
      <w:r>
        <w:rPr>
          <w:spacing w:val="2"/>
          <w:sz w:val="19"/>
          <w:szCs w:val="19"/>
        </w:rPr>
        <w:t>性是较差的。</w:t>
      </w:r>
    </w:p>
    <w:p w14:paraId="3C154956">
      <w:pPr>
        <w:pStyle w:val="2"/>
        <w:spacing w:before="90" w:line="295" w:lineRule="auto"/>
        <w:ind w:right="237" w:firstLine="400"/>
        <w:jc w:val="both"/>
        <w:rPr>
          <w:sz w:val="19"/>
          <w:szCs w:val="19"/>
        </w:rPr>
      </w:pPr>
      <w:r>
        <w:rPr>
          <w:spacing w:val="13"/>
          <w:sz w:val="19"/>
          <w:szCs w:val="19"/>
        </w:rPr>
        <w:t>总之，专家系统是使用某个领域内实际专家所</w:t>
      </w:r>
      <w:r>
        <w:rPr>
          <w:spacing w:val="12"/>
          <w:sz w:val="19"/>
          <w:szCs w:val="19"/>
        </w:rPr>
        <w:t>拥有的领域知识来求解问题，而不是用那些</w:t>
      </w:r>
      <w:r>
        <w:rPr>
          <w:sz w:val="19"/>
          <w:szCs w:val="19"/>
        </w:rPr>
        <w:t xml:space="preserve">  </w:t>
      </w:r>
      <w:r>
        <w:rPr>
          <w:spacing w:val="13"/>
          <w:sz w:val="19"/>
          <w:szCs w:val="19"/>
        </w:rPr>
        <w:t>从数学或计算机科学中导出的与领域关系不大</w:t>
      </w:r>
      <w:r>
        <w:rPr>
          <w:spacing w:val="12"/>
          <w:sz w:val="19"/>
          <w:szCs w:val="19"/>
        </w:rPr>
        <w:t>的方法来解决问题。所以专家系统适合于完成那</w:t>
      </w:r>
      <w:r>
        <w:rPr>
          <w:sz w:val="19"/>
          <w:szCs w:val="19"/>
        </w:rPr>
        <w:t xml:space="preserve">  </w:t>
      </w:r>
      <w:r>
        <w:rPr>
          <w:spacing w:val="10"/>
          <w:sz w:val="19"/>
          <w:szCs w:val="19"/>
        </w:rPr>
        <w:t>些没有公认的理论和方法、信息不完整、人类专家短缺或</w:t>
      </w:r>
      <w:r>
        <w:rPr>
          <w:spacing w:val="9"/>
          <w:sz w:val="19"/>
          <w:szCs w:val="19"/>
        </w:rPr>
        <w:t>专门知识相对昂贵的工作，诸如规划、</w:t>
      </w:r>
      <w:r>
        <w:rPr>
          <w:sz w:val="19"/>
          <w:szCs w:val="19"/>
        </w:rPr>
        <w:t xml:space="preserve"> </w:t>
      </w:r>
      <w:r>
        <w:rPr>
          <w:spacing w:val="7"/>
          <w:sz w:val="19"/>
          <w:szCs w:val="19"/>
        </w:rPr>
        <w:t>设计及决策制定、医疗诊断、质量监控等。</w:t>
      </w:r>
    </w:p>
    <w:p w14:paraId="357288F9">
      <w:pPr>
        <w:spacing w:before="113" w:line="223" w:lineRule="auto"/>
        <w:ind w:left="400"/>
        <w:rPr>
          <w:rFonts w:ascii="楷体" w:hAnsi="楷体" w:eastAsia="楷体" w:cs="楷体"/>
          <w:sz w:val="19"/>
          <w:szCs w:val="19"/>
        </w:rPr>
      </w:pPr>
      <w:r>
        <w:rPr>
          <w:rFonts w:ascii="楷体" w:hAnsi="楷体" w:eastAsia="楷体" w:cs="楷体"/>
          <w:spacing w:val="20"/>
          <w:sz w:val="19"/>
          <w:szCs w:val="19"/>
        </w:rPr>
        <w:t>2)专家系统的特点</w:t>
      </w:r>
    </w:p>
    <w:p w14:paraId="28E26D87">
      <w:pPr>
        <w:pStyle w:val="2"/>
        <w:spacing w:before="73" w:line="219" w:lineRule="auto"/>
        <w:ind w:left="400"/>
        <w:rPr>
          <w:sz w:val="19"/>
          <w:szCs w:val="19"/>
        </w:rPr>
      </w:pPr>
      <w:r>
        <w:rPr>
          <w:spacing w:val="10"/>
          <w:sz w:val="19"/>
          <w:szCs w:val="19"/>
        </w:rPr>
        <w:t>专家系统与一般的计算机系统相比有着特殊的设置，二者的相异之处如表5-1所示。</w:t>
      </w:r>
    </w:p>
    <w:p w14:paraId="6AC1F878">
      <w:pPr>
        <w:spacing w:line="219" w:lineRule="auto"/>
        <w:rPr>
          <w:sz w:val="19"/>
          <w:szCs w:val="19"/>
        </w:rPr>
        <w:sectPr>
          <w:pgSz w:w="10290" w:h="13320"/>
          <w:pgMar w:top="400" w:right="547" w:bottom="400" w:left="1119" w:header="0" w:footer="0" w:gutter="0"/>
          <w:cols w:space="720" w:num="1"/>
        </w:sectPr>
      </w:pPr>
    </w:p>
    <w:p w14:paraId="59148B95">
      <w:pPr>
        <w:pStyle w:val="2"/>
        <w:rPr>
          <w:sz w:val="19"/>
          <w:szCs w:val="19"/>
        </w:rPr>
      </w:pPr>
      <w:r>
        <w:rPr>
          <w:rFonts w:ascii="Times New Roman" w:hAnsi="Times New Roman" w:eastAsia="Times New Roman" w:cs="Times New Roman"/>
          <w:b/>
          <w:bCs/>
          <w:spacing w:val="4"/>
          <w:position w:val="-4"/>
          <w:sz w:val="19"/>
          <w:szCs w:val="19"/>
        </w:rPr>
        <w:t>168</w:t>
      </w:r>
      <w:r>
        <w:rPr>
          <w:rFonts w:ascii="Times New Roman" w:hAnsi="Times New Roman" w:eastAsia="Times New Roman" w:cs="Times New Roman"/>
          <w:b/>
          <w:bCs/>
          <w:spacing w:val="55"/>
          <w:position w:val="-4"/>
          <w:sz w:val="19"/>
          <w:szCs w:val="19"/>
        </w:rPr>
        <w:t xml:space="preserve"> </w:t>
      </w:r>
      <w:r>
        <w:rPr>
          <w:position w:val="-11"/>
          <w:sz w:val="19"/>
          <w:szCs w:val="19"/>
        </w:rPr>
        <w:drawing>
          <wp:inline distT="0" distB="0" distL="0" distR="0">
            <wp:extent cx="285750" cy="24130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32"/>
                    <a:stretch>
                      <a:fillRect/>
                    </a:stretch>
                  </pic:blipFill>
                  <pic:spPr>
                    <a:xfrm>
                      <a:off x="0" y="0"/>
                      <a:ext cx="285754" cy="241314"/>
                    </a:xfrm>
                    <a:prstGeom prst="rect">
                      <a:avLst/>
                    </a:prstGeom>
                  </pic:spPr>
                </pic:pic>
              </a:graphicData>
            </a:graphic>
          </wp:inline>
        </w:drawing>
      </w:r>
      <w:r>
        <w:rPr>
          <w:rFonts w:ascii="Times New Roman" w:hAnsi="Times New Roman" w:eastAsia="Times New Roman" w:cs="Times New Roman"/>
          <w:b/>
          <w:bCs/>
          <w:spacing w:val="2"/>
          <w:position w:val="-4"/>
          <w:sz w:val="19"/>
          <w:szCs w:val="19"/>
        </w:rPr>
        <w:t xml:space="preserve">   </w:t>
      </w:r>
      <w:r>
        <w:rPr>
          <w:spacing w:val="4"/>
          <w:sz w:val="19"/>
          <w:szCs w:val="19"/>
        </w:rPr>
        <w:t>信息系统监理师教程(第2版)</w:t>
      </w:r>
    </w:p>
    <w:p w14:paraId="4F1F8CF0">
      <w:pPr>
        <w:spacing w:line="260" w:lineRule="auto"/>
        <w:rPr>
          <w:rFonts w:ascii="Arial"/>
          <w:sz w:val="21"/>
        </w:rPr>
      </w:pPr>
    </w:p>
    <w:p w14:paraId="371BF7F1">
      <w:pPr>
        <w:spacing w:before="61" w:line="221" w:lineRule="auto"/>
        <w:ind w:left="2852"/>
        <w:rPr>
          <w:rFonts w:ascii="黑体" w:hAnsi="黑体" w:eastAsia="黑体" w:cs="黑体"/>
          <w:sz w:val="19"/>
          <w:szCs w:val="19"/>
        </w:rPr>
      </w:pPr>
      <w:bookmarkStart w:id="564" w:name="bookmark550"/>
      <w:bookmarkEnd w:id="564"/>
      <w:r>
        <w:rPr>
          <w:rFonts w:ascii="黑体" w:hAnsi="黑体" w:eastAsia="黑体" w:cs="黑体"/>
          <w:b/>
          <w:bCs/>
          <w:spacing w:val="-10"/>
          <w:sz w:val="19"/>
          <w:szCs w:val="19"/>
        </w:rPr>
        <w:t>表5-1</w:t>
      </w:r>
      <w:r>
        <w:rPr>
          <w:rFonts w:ascii="黑体" w:hAnsi="黑体" w:eastAsia="黑体" w:cs="黑体"/>
          <w:spacing w:val="-10"/>
          <w:sz w:val="19"/>
          <w:szCs w:val="19"/>
        </w:rPr>
        <w:t xml:space="preserve">  </w:t>
      </w:r>
      <w:r>
        <w:rPr>
          <w:rFonts w:ascii="黑体" w:hAnsi="黑体" w:eastAsia="黑体" w:cs="黑体"/>
          <w:b/>
          <w:bCs/>
          <w:spacing w:val="-10"/>
          <w:sz w:val="19"/>
          <w:szCs w:val="19"/>
        </w:rPr>
        <w:t>专家系统与一般计算机系统的比较</w:t>
      </w:r>
    </w:p>
    <w:p w14:paraId="28FE3DD4">
      <w:pPr>
        <w:spacing w:line="114" w:lineRule="exact"/>
      </w:pPr>
    </w:p>
    <w:tbl>
      <w:tblPr>
        <w:tblStyle w:val="5"/>
        <w:tblW w:w="8319"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0"/>
        <w:gridCol w:w="4389"/>
        <w:gridCol w:w="2440"/>
      </w:tblGrid>
      <w:tr w14:paraId="3372A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1490" w:type="dxa"/>
            <w:tcBorders>
              <w:left w:val="nil"/>
            </w:tcBorders>
            <w:vAlign w:val="top"/>
          </w:tcPr>
          <w:p w14:paraId="144D1A2B">
            <w:pPr>
              <w:pStyle w:val="6"/>
              <w:spacing w:before="51" w:line="221" w:lineRule="auto"/>
              <w:ind w:left="552"/>
            </w:pPr>
            <w:r>
              <w:rPr>
                <w:b/>
                <w:bCs/>
                <w:spacing w:val="-5"/>
              </w:rPr>
              <w:t>系统</w:t>
            </w:r>
          </w:p>
        </w:tc>
        <w:tc>
          <w:tcPr>
            <w:tcW w:w="4389" w:type="dxa"/>
            <w:vAlign w:val="top"/>
          </w:tcPr>
          <w:p w14:paraId="5E79FEA7">
            <w:pPr>
              <w:pStyle w:val="6"/>
              <w:spacing w:before="50" w:line="220" w:lineRule="auto"/>
              <w:ind w:left="1847"/>
            </w:pPr>
            <w:r>
              <w:rPr>
                <w:b/>
                <w:bCs/>
                <w:spacing w:val="-4"/>
              </w:rPr>
              <w:t>专家系统</w:t>
            </w:r>
          </w:p>
        </w:tc>
        <w:tc>
          <w:tcPr>
            <w:tcW w:w="2440" w:type="dxa"/>
            <w:tcBorders>
              <w:right w:val="nil"/>
            </w:tcBorders>
            <w:vAlign w:val="top"/>
          </w:tcPr>
          <w:p w14:paraId="49878681">
            <w:pPr>
              <w:pStyle w:val="6"/>
              <w:spacing w:before="48" w:line="219" w:lineRule="auto"/>
              <w:ind w:left="588"/>
            </w:pPr>
            <w:r>
              <w:rPr>
                <w:b/>
                <w:bCs/>
                <w:spacing w:val="-4"/>
              </w:rPr>
              <w:t>一般计算机系统</w:t>
            </w:r>
          </w:p>
        </w:tc>
      </w:tr>
      <w:tr w14:paraId="3A19E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490" w:type="dxa"/>
            <w:tcBorders>
              <w:left w:val="nil"/>
            </w:tcBorders>
            <w:vAlign w:val="top"/>
          </w:tcPr>
          <w:p w14:paraId="1BA4B578">
            <w:pPr>
              <w:pStyle w:val="6"/>
              <w:spacing w:before="60" w:line="220" w:lineRule="auto"/>
              <w:ind w:left="549"/>
            </w:pPr>
            <w:r>
              <w:rPr>
                <w:spacing w:val="4"/>
              </w:rPr>
              <w:t>功能</w:t>
            </w:r>
          </w:p>
        </w:tc>
        <w:tc>
          <w:tcPr>
            <w:tcW w:w="4389" w:type="dxa"/>
            <w:vAlign w:val="top"/>
          </w:tcPr>
          <w:p w14:paraId="018F558C">
            <w:pPr>
              <w:pStyle w:val="6"/>
              <w:spacing w:before="59" w:line="219" w:lineRule="auto"/>
              <w:ind w:left="54"/>
            </w:pPr>
            <w:r>
              <w:rPr>
                <w:spacing w:val="-1"/>
              </w:rPr>
              <w:t>解决问题、解释结果、进行判断和决策</w:t>
            </w:r>
          </w:p>
        </w:tc>
        <w:tc>
          <w:tcPr>
            <w:tcW w:w="2440" w:type="dxa"/>
            <w:tcBorders>
              <w:right w:val="nil"/>
            </w:tcBorders>
            <w:vAlign w:val="top"/>
          </w:tcPr>
          <w:p w14:paraId="27F21E60">
            <w:pPr>
              <w:pStyle w:val="6"/>
              <w:spacing w:before="59" w:line="219" w:lineRule="auto"/>
              <w:ind w:left="35"/>
            </w:pPr>
            <w:r>
              <w:rPr>
                <w:spacing w:val="-2"/>
              </w:rPr>
              <w:t>解决问题</w:t>
            </w:r>
          </w:p>
        </w:tc>
      </w:tr>
      <w:tr w14:paraId="37E97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490" w:type="dxa"/>
            <w:tcBorders>
              <w:left w:val="nil"/>
            </w:tcBorders>
            <w:vAlign w:val="top"/>
          </w:tcPr>
          <w:p w14:paraId="153E3719">
            <w:pPr>
              <w:pStyle w:val="6"/>
              <w:spacing w:before="52" w:line="219" w:lineRule="auto"/>
              <w:ind w:left="359"/>
            </w:pPr>
            <w:r>
              <w:rPr>
                <w:spacing w:val="4"/>
              </w:rPr>
              <w:t>处理能力</w:t>
            </w:r>
          </w:p>
        </w:tc>
        <w:tc>
          <w:tcPr>
            <w:tcW w:w="4389" w:type="dxa"/>
            <w:vAlign w:val="top"/>
          </w:tcPr>
          <w:p w14:paraId="29F91128">
            <w:pPr>
              <w:pStyle w:val="6"/>
              <w:spacing w:before="52" w:line="219" w:lineRule="auto"/>
              <w:ind w:left="54"/>
            </w:pPr>
            <w:r>
              <w:rPr>
                <w:spacing w:val="1"/>
              </w:rPr>
              <w:t>处理数字与符号</w:t>
            </w:r>
          </w:p>
        </w:tc>
        <w:tc>
          <w:tcPr>
            <w:tcW w:w="2440" w:type="dxa"/>
            <w:tcBorders>
              <w:right w:val="nil"/>
            </w:tcBorders>
            <w:vAlign w:val="top"/>
          </w:tcPr>
          <w:p w14:paraId="5F09175E">
            <w:pPr>
              <w:pStyle w:val="6"/>
              <w:spacing w:before="52" w:line="219" w:lineRule="auto"/>
              <w:ind w:left="35"/>
            </w:pPr>
            <w:r>
              <w:rPr>
                <w:spacing w:val="2"/>
              </w:rPr>
              <w:t>处理数字</w:t>
            </w:r>
          </w:p>
        </w:tc>
      </w:tr>
      <w:tr w14:paraId="5A278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1" w:hRule="atLeast"/>
        </w:trPr>
        <w:tc>
          <w:tcPr>
            <w:tcW w:w="1490" w:type="dxa"/>
            <w:tcBorders>
              <w:left w:val="nil"/>
            </w:tcBorders>
            <w:vAlign w:val="top"/>
          </w:tcPr>
          <w:p w14:paraId="4EFC3D0D">
            <w:pPr>
              <w:pStyle w:val="6"/>
              <w:spacing w:before="194" w:line="219" w:lineRule="auto"/>
              <w:ind w:left="169"/>
            </w:pPr>
            <w:r>
              <w:rPr>
                <w:spacing w:val="-2"/>
              </w:rPr>
              <w:t>处理问题种类</w:t>
            </w:r>
          </w:p>
        </w:tc>
        <w:tc>
          <w:tcPr>
            <w:tcW w:w="4389" w:type="dxa"/>
            <w:vAlign w:val="top"/>
          </w:tcPr>
          <w:p w14:paraId="452F5414">
            <w:pPr>
              <w:pStyle w:val="6"/>
              <w:spacing w:before="64" w:line="241" w:lineRule="auto"/>
              <w:ind w:left="54"/>
            </w:pPr>
            <w:r>
              <w:rPr>
                <w:spacing w:val="-2"/>
              </w:rPr>
              <w:t>多数属于准结构性或非结构性，可处理不确定性的知</w:t>
            </w:r>
            <w:r>
              <w:t xml:space="preserve"> </w:t>
            </w:r>
            <w:r>
              <w:rPr>
                <w:spacing w:val="-3"/>
              </w:rPr>
              <w:t>识，用于特定领域</w:t>
            </w:r>
          </w:p>
        </w:tc>
        <w:tc>
          <w:tcPr>
            <w:tcW w:w="2440" w:type="dxa"/>
            <w:tcBorders>
              <w:right w:val="nil"/>
            </w:tcBorders>
            <w:vAlign w:val="top"/>
          </w:tcPr>
          <w:p w14:paraId="16045970">
            <w:pPr>
              <w:pStyle w:val="6"/>
              <w:spacing w:before="75" w:line="236" w:lineRule="auto"/>
              <w:ind w:left="35" w:right="76" w:firstLine="30"/>
            </w:pPr>
            <w:r>
              <w:rPr>
                <w:spacing w:val="1"/>
              </w:rPr>
              <w:t>多数属于结构性，处理确定</w:t>
            </w:r>
            <w:r>
              <w:t xml:space="preserve"> </w:t>
            </w:r>
            <w:r>
              <w:rPr>
                <w:spacing w:val="3"/>
              </w:rPr>
              <w:t>的知识</w:t>
            </w:r>
          </w:p>
        </w:tc>
      </w:tr>
    </w:tbl>
    <w:p w14:paraId="146149CD">
      <w:pPr>
        <w:pStyle w:val="2"/>
        <w:spacing w:before="232" w:line="317" w:lineRule="auto"/>
        <w:ind w:left="359" w:right="29" w:firstLine="410"/>
        <w:rPr>
          <w:sz w:val="19"/>
          <w:szCs w:val="19"/>
        </w:rPr>
      </w:pPr>
      <w:r>
        <w:rPr>
          <w:spacing w:val="13"/>
          <w:sz w:val="19"/>
          <w:szCs w:val="19"/>
        </w:rPr>
        <w:t>目前，专家系统和人工智能所关注的是，把数据和信息转换为可使用知识的能力，</w:t>
      </w:r>
      <w:r>
        <w:rPr>
          <w:spacing w:val="12"/>
          <w:sz w:val="19"/>
          <w:szCs w:val="19"/>
        </w:rPr>
        <w:t>吸取和</w:t>
      </w:r>
      <w:r>
        <w:rPr>
          <w:sz w:val="19"/>
          <w:szCs w:val="19"/>
        </w:rPr>
        <w:t xml:space="preserve"> </w:t>
      </w:r>
      <w:r>
        <w:rPr>
          <w:spacing w:val="8"/>
          <w:sz w:val="19"/>
          <w:szCs w:val="19"/>
        </w:rPr>
        <w:t>分享专家意见，并且把知识管理成一种至关重要的竞争资源。</w:t>
      </w:r>
    </w:p>
    <w:p w14:paraId="2F4812DC">
      <w:pPr>
        <w:spacing w:before="82" w:line="223" w:lineRule="auto"/>
        <w:ind w:left="770"/>
        <w:rPr>
          <w:rFonts w:ascii="楷体" w:hAnsi="楷体" w:eastAsia="楷体" w:cs="楷体"/>
          <w:sz w:val="19"/>
          <w:szCs w:val="19"/>
        </w:rPr>
      </w:pPr>
      <w:r>
        <w:rPr>
          <w:rFonts w:ascii="楷体" w:hAnsi="楷体" w:eastAsia="楷体" w:cs="楷体"/>
          <w:spacing w:val="20"/>
          <w:sz w:val="19"/>
          <w:szCs w:val="19"/>
        </w:rPr>
        <w:t>3)专家系统的组成</w:t>
      </w:r>
    </w:p>
    <w:p w14:paraId="3EABFAB0">
      <w:pPr>
        <w:pStyle w:val="2"/>
        <w:spacing w:before="65" w:line="326" w:lineRule="auto"/>
        <w:ind w:left="359" w:right="48" w:firstLine="410"/>
        <w:rPr>
          <w:sz w:val="19"/>
          <w:szCs w:val="19"/>
        </w:rPr>
      </w:pPr>
      <w:r>
        <w:rPr>
          <w:spacing w:val="12"/>
          <w:sz w:val="19"/>
          <w:szCs w:val="19"/>
        </w:rPr>
        <w:t>由于专家系统的应用领域不同，求解问题的类型不同，专家系统的结构也略有差别。但总</w:t>
      </w:r>
      <w:r>
        <w:rPr>
          <w:spacing w:val="17"/>
          <w:sz w:val="19"/>
          <w:szCs w:val="19"/>
        </w:rPr>
        <w:t xml:space="preserve"> </w:t>
      </w:r>
      <w:r>
        <w:rPr>
          <w:spacing w:val="10"/>
          <w:sz w:val="19"/>
          <w:szCs w:val="19"/>
        </w:rPr>
        <w:t>的来说，专家系统的核心部分基本相同，其</w:t>
      </w:r>
      <w:r>
        <w:rPr>
          <w:spacing w:val="9"/>
          <w:sz w:val="19"/>
          <w:szCs w:val="19"/>
        </w:rPr>
        <w:t>一般结构如图5-9所示。</w:t>
      </w:r>
    </w:p>
    <w:p w14:paraId="1D6DCA8B">
      <w:pPr>
        <w:pStyle w:val="2"/>
        <w:spacing w:before="1" w:line="2520" w:lineRule="exact"/>
        <w:ind w:firstLine="1830"/>
      </w:pPr>
      <w:r>
        <w:rPr>
          <w:position w:val="-50"/>
        </w:rPr>
        <w:pict>
          <v:group id="_x0000_s1378" o:spid="_x0000_s1378" o:spt="203" style="height:126.05pt;width:268.55pt;" coordsize="5370,2521">
            <o:lock v:ext="edit"/>
            <v:shape id="_x0000_s1379" o:spid="_x0000_s1379" o:spt="75" type="#_x0000_t75" style="position:absolute;left:0;top:0;height:2521;width:5370;" filled="f" stroked="f" coordsize="21600,21600">
              <v:path/>
              <v:fill on="f" focussize="0,0"/>
              <v:stroke on="f"/>
              <v:imagedata r:id="rId133" o:title=""/>
              <o:lock v:ext="edit" aspectratio="t"/>
            </v:shape>
            <v:shape id="_x0000_s1380" o:spid="_x0000_s1380" o:spt="202" type="#_x0000_t202" style="position:absolute;left:1890;top:38;height:2360;width:2791;" filled="f" stroked="f" coordsize="21600,21600">
              <v:path/>
              <v:fill on="f" focussize="0,0"/>
              <v:stroke on="f"/>
              <v:imagedata o:title=""/>
              <o:lock v:ext="edit" aspectratio="f"/>
              <v:textbox inset="0mm,0mm,0mm,0mm">
                <w:txbxContent>
                  <w:p w14:paraId="16D5BB88">
                    <w:pPr>
                      <w:spacing w:before="20" w:line="220" w:lineRule="auto"/>
                      <w:ind w:left="1846"/>
                      <w:rPr>
                        <w:rFonts w:ascii="宋体" w:hAnsi="宋体" w:eastAsia="宋体" w:cs="宋体"/>
                        <w:sz w:val="19"/>
                        <w:szCs w:val="19"/>
                      </w:rPr>
                    </w:pPr>
                    <w:r>
                      <w:rPr>
                        <w:rFonts w:ascii="宋体" w:hAnsi="宋体" w:eastAsia="宋体" w:cs="宋体"/>
                        <w:i/>
                        <w:iCs/>
                        <w:spacing w:val="-2"/>
                        <w:sz w:val="19"/>
                        <w:szCs w:val="19"/>
                      </w:rPr>
                      <w:t>用户</w:t>
                    </w:r>
                  </w:p>
                  <w:p w14:paraId="08A70BC5">
                    <w:pPr>
                      <w:spacing w:line="447" w:lineRule="auto"/>
                      <w:rPr>
                        <w:rFonts w:ascii="Arial"/>
                        <w:sz w:val="21"/>
                      </w:rPr>
                    </w:pPr>
                  </w:p>
                  <w:p w14:paraId="2503D2F7">
                    <w:pPr>
                      <w:spacing w:before="61" w:line="219" w:lineRule="auto"/>
                      <w:ind w:left="1700"/>
                      <w:rPr>
                        <w:rFonts w:ascii="宋体" w:hAnsi="宋体" w:eastAsia="宋体" w:cs="宋体"/>
                        <w:sz w:val="19"/>
                        <w:szCs w:val="19"/>
                      </w:rPr>
                    </w:pPr>
                    <w:r>
                      <w:rPr>
                        <w:rFonts w:ascii="宋体" w:hAnsi="宋体" w:eastAsia="宋体" w:cs="宋体"/>
                        <w:spacing w:val="-14"/>
                        <w:sz w:val="19"/>
                        <w:szCs w:val="19"/>
                      </w:rPr>
                      <w:t>人一机接口</w:t>
                    </w:r>
                  </w:p>
                  <w:p w14:paraId="5D530828">
                    <w:pPr>
                      <w:spacing w:before="146" w:line="221" w:lineRule="auto"/>
                      <w:ind w:right="15"/>
                      <w:jc w:val="right"/>
                      <w:rPr>
                        <w:rFonts w:ascii="宋体" w:hAnsi="宋体" w:eastAsia="宋体" w:cs="宋体"/>
                        <w:sz w:val="19"/>
                        <w:szCs w:val="19"/>
                      </w:rPr>
                    </w:pPr>
                    <w:r>
                      <w:rPr>
                        <w:rFonts w:ascii="宋体" w:hAnsi="宋体" w:eastAsia="宋体" w:cs="宋体"/>
                        <w:spacing w:val="-5"/>
                        <w:sz w:val="19"/>
                        <w:szCs w:val="19"/>
                      </w:rPr>
                      <w:t>咨询</w:t>
                    </w:r>
                    <w:r>
                      <w:rPr>
                        <w:rFonts w:ascii="宋体" w:hAnsi="宋体" w:eastAsia="宋体" w:cs="宋体"/>
                        <w:spacing w:val="9"/>
                        <w:sz w:val="19"/>
                        <w:szCs w:val="19"/>
                      </w:rPr>
                      <w:t xml:space="preserve">       </w:t>
                    </w:r>
                    <w:r>
                      <w:rPr>
                        <w:rFonts w:ascii="宋体" w:hAnsi="宋体" w:eastAsia="宋体" w:cs="宋体"/>
                        <w:spacing w:val="-5"/>
                        <w:sz w:val="19"/>
                        <w:szCs w:val="19"/>
                      </w:rPr>
                      <w:t>建议</w:t>
                    </w:r>
                  </w:p>
                  <w:p w14:paraId="0BE0862A">
                    <w:pPr>
                      <w:spacing w:line="277" w:lineRule="auto"/>
                      <w:rPr>
                        <w:rFonts w:ascii="Arial"/>
                        <w:sz w:val="21"/>
                      </w:rPr>
                    </w:pPr>
                  </w:p>
                  <w:p w14:paraId="651A2C0C">
                    <w:pPr>
                      <w:spacing w:before="62" w:line="219" w:lineRule="auto"/>
                      <w:ind w:left="1779"/>
                      <w:rPr>
                        <w:rFonts w:ascii="宋体" w:hAnsi="宋体" w:eastAsia="宋体" w:cs="宋体"/>
                        <w:sz w:val="19"/>
                        <w:szCs w:val="19"/>
                      </w:rPr>
                    </w:pPr>
                    <w:r>
                      <w:rPr>
                        <w:rFonts w:ascii="宋体" w:hAnsi="宋体" w:eastAsia="宋体" w:cs="宋体"/>
                        <w:spacing w:val="-10"/>
                        <w:sz w:val="19"/>
                        <w:szCs w:val="19"/>
                      </w:rPr>
                      <w:t>推理机</w:t>
                    </w:r>
                  </w:p>
                  <w:p w14:paraId="635BFC04">
                    <w:pPr>
                      <w:spacing w:before="226" w:line="220" w:lineRule="auto"/>
                      <w:ind w:left="20"/>
                      <w:rPr>
                        <w:rFonts w:ascii="宋体" w:hAnsi="宋体" w:eastAsia="宋体" w:cs="宋体"/>
                        <w:sz w:val="19"/>
                        <w:szCs w:val="19"/>
                      </w:rPr>
                    </w:pPr>
                    <w:r>
                      <w:rPr>
                        <w:rFonts w:ascii="宋体" w:hAnsi="宋体" w:eastAsia="宋体" w:cs="宋体"/>
                        <w:spacing w:val="-16"/>
                        <w:sz w:val="19"/>
                        <w:szCs w:val="19"/>
                      </w:rPr>
                      <w:t>(专家系统核心)</w:t>
                    </w:r>
                  </w:p>
                </w:txbxContent>
              </v:textbox>
            </v:shape>
            <v:shape id="_x0000_s1381" o:spid="_x0000_s1381" o:spt="202" type="#_x0000_t202" style="position:absolute;left:760;top:48;height:939;width:739;" filled="f" stroked="f" coordsize="21600,21600">
              <v:path/>
              <v:fill on="f" focussize="0,0"/>
              <v:stroke on="f"/>
              <v:imagedata o:title=""/>
              <o:lock v:ext="edit" aspectratio="f"/>
              <v:textbox inset="0mm,0mm,0mm,0mm">
                <w:txbxContent>
                  <w:p w14:paraId="0BF1F15A">
                    <w:pPr>
                      <w:spacing w:before="20" w:line="220" w:lineRule="auto"/>
                      <w:ind w:left="179"/>
                      <w:rPr>
                        <w:rFonts w:ascii="宋体" w:hAnsi="宋体" w:eastAsia="宋体" w:cs="宋体"/>
                        <w:sz w:val="19"/>
                        <w:szCs w:val="19"/>
                      </w:rPr>
                    </w:pPr>
                    <w:r>
                      <w:rPr>
                        <w:rFonts w:ascii="宋体" w:hAnsi="宋体" w:eastAsia="宋体" w:cs="宋体"/>
                        <w:spacing w:val="-8"/>
                        <w:sz w:val="19"/>
                        <w:szCs w:val="19"/>
                      </w:rPr>
                      <w:t>专家</w:t>
                    </w:r>
                  </w:p>
                  <w:p w14:paraId="77BA6C83">
                    <w:pPr>
                      <w:spacing w:line="418" w:lineRule="auto"/>
                      <w:rPr>
                        <w:rFonts w:ascii="Arial"/>
                        <w:sz w:val="21"/>
                      </w:rPr>
                    </w:pPr>
                  </w:p>
                  <w:p w14:paraId="73F01ADE">
                    <w:pPr>
                      <w:spacing w:before="62" w:line="219" w:lineRule="auto"/>
                      <w:ind w:left="20"/>
                      <w:rPr>
                        <w:rFonts w:ascii="宋体" w:hAnsi="宋体" w:eastAsia="宋体" w:cs="宋体"/>
                        <w:sz w:val="19"/>
                        <w:szCs w:val="19"/>
                      </w:rPr>
                    </w:pPr>
                    <w:r>
                      <w:rPr>
                        <w:rFonts w:ascii="宋体" w:hAnsi="宋体" w:eastAsia="宋体" w:cs="宋体"/>
                        <w:spacing w:val="-12"/>
                        <w:sz w:val="19"/>
                        <w:szCs w:val="19"/>
                      </w:rPr>
                      <w:t>知识获取</w:t>
                    </w:r>
                  </w:p>
                </w:txbxContent>
              </v:textbox>
            </v:shape>
            <v:shape id="_x0000_s1382" o:spid="_x0000_s1382" o:spt="202" type="#_x0000_t202" style="position:absolute;left:830;top:1727;height:230;width:572;" filled="f" stroked="f" coordsize="21600,21600">
              <v:path/>
              <v:fill on="f" focussize="0,0"/>
              <v:stroke on="f"/>
              <v:imagedata o:title=""/>
              <o:lock v:ext="edit" aspectratio="f"/>
              <v:textbox inset="0mm,0mm,0mm,0mm">
                <w:txbxContent>
                  <w:p w14:paraId="607E911A">
                    <w:pPr>
                      <w:spacing w:before="20" w:line="219" w:lineRule="auto"/>
                      <w:ind w:left="20"/>
                      <w:rPr>
                        <w:rFonts w:ascii="宋体" w:hAnsi="宋体" w:eastAsia="宋体" w:cs="宋体"/>
                        <w:sz w:val="19"/>
                        <w:szCs w:val="19"/>
                      </w:rPr>
                    </w:pPr>
                    <w:r>
                      <w:rPr>
                        <w:rFonts w:ascii="宋体" w:hAnsi="宋体" w:eastAsia="宋体" w:cs="宋体"/>
                        <w:spacing w:val="-9"/>
                        <w:sz w:val="19"/>
                        <w:szCs w:val="19"/>
                      </w:rPr>
                      <w:t>知识库</w:t>
                    </w:r>
                  </w:p>
                </w:txbxContent>
              </v:textbox>
            </v:shape>
            <w10:wrap type="none"/>
            <w10:anchorlock/>
          </v:group>
        </w:pict>
      </w:r>
    </w:p>
    <w:p w14:paraId="2465B525">
      <w:pPr>
        <w:pStyle w:val="2"/>
        <w:spacing w:before="69" w:line="220" w:lineRule="auto"/>
        <w:ind w:left="3420"/>
        <w:rPr>
          <w:sz w:val="19"/>
          <w:szCs w:val="19"/>
        </w:rPr>
      </w:pPr>
      <w:r>
        <w:rPr>
          <w:spacing w:val="-9"/>
          <w:sz w:val="19"/>
          <w:szCs w:val="19"/>
        </w:rPr>
        <w:t>图5-9</w:t>
      </w:r>
      <w:r>
        <w:rPr>
          <w:spacing w:val="86"/>
          <w:sz w:val="19"/>
          <w:szCs w:val="19"/>
        </w:rPr>
        <w:t xml:space="preserve"> </w:t>
      </w:r>
      <w:r>
        <w:rPr>
          <w:spacing w:val="-9"/>
          <w:sz w:val="19"/>
          <w:szCs w:val="19"/>
        </w:rPr>
        <w:t>专家系统的一般结构</w:t>
      </w:r>
    </w:p>
    <w:p w14:paraId="330DEE00">
      <w:pPr>
        <w:pStyle w:val="2"/>
        <w:spacing w:before="182" w:line="311" w:lineRule="auto"/>
        <w:ind w:left="359" w:right="36" w:firstLine="410"/>
        <w:rPr>
          <w:sz w:val="19"/>
          <w:szCs w:val="19"/>
        </w:rPr>
      </w:pPr>
      <w:r>
        <w:rPr>
          <w:spacing w:val="13"/>
          <w:sz w:val="19"/>
          <w:szCs w:val="19"/>
        </w:rPr>
        <w:t>专家系统的结构与系统的适用性和有效性密切相关，选择什么样的</w:t>
      </w:r>
      <w:r>
        <w:rPr>
          <w:spacing w:val="12"/>
          <w:sz w:val="19"/>
          <w:szCs w:val="19"/>
        </w:rPr>
        <w:t>系统结构，要根据系统</w:t>
      </w:r>
      <w:r>
        <w:rPr>
          <w:sz w:val="19"/>
          <w:szCs w:val="19"/>
        </w:rPr>
        <w:t xml:space="preserve"> </w:t>
      </w:r>
      <w:r>
        <w:rPr>
          <w:spacing w:val="6"/>
          <w:sz w:val="19"/>
          <w:szCs w:val="19"/>
        </w:rPr>
        <w:t>的应用环境和所执行任务的特点而定。</w:t>
      </w:r>
    </w:p>
    <w:p w14:paraId="7E57BEB6">
      <w:pPr>
        <w:pStyle w:val="2"/>
        <w:spacing w:before="1" w:line="219" w:lineRule="auto"/>
        <w:ind w:left="770"/>
        <w:rPr>
          <w:sz w:val="19"/>
          <w:szCs w:val="19"/>
        </w:rPr>
      </w:pPr>
      <w:r>
        <w:rPr>
          <w:spacing w:val="18"/>
          <w:sz w:val="19"/>
          <w:szCs w:val="19"/>
        </w:rPr>
        <w:t>(1)知识库。</w:t>
      </w:r>
    </w:p>
    <w:p w14:paraId="72131EF6">
      <w:pPr>
        <w:pStyle w:val="2"/>
        <w:spacing w:before="74" w:line="296" w:lineRule="auto"/>
        <w:ind w:left="359" w:firstLine="410"/>
        <w:rPr>
          <w:sz w:val="19"/>
          <w:szCs w:val="19"/>
        </w:rPr>
      </w:pPr>
      <w:r>
        <w:rPr>
          <w:spacing w:val="9"/>
          <w:sz w:val="19"/>
          <w:szCs w:val="19"/>
        </w:rPr>
        <w:t>专家系统的知识库用来存放系统求解实际问题的领域知识。</w:t>
      </w:r>
      <w:r>
        <w:rPr>
          <w:spacing w:val="51"/>
          <w:sz w:val="19"/>
          <w:szCs w:val="19"/>
        </w:rPr>
        <w:t xml:space="preserve"> </w:t>
      </w:r>
      <w:r>
        <w:rPr>
          <w:spacing w:val="9"/>
          <w:sz w:val="19"/>
          <w:szCs w:val="19"/>
        </w:rPr>
        <w:t>一般来说，知识库中的知识可</w:t>
      </w:r>
      <w:r>
        <w:rPr>
          <w:sz w:val="19"/>
          <w:szCs w:val="19"/>
        </w:rPr>
        <w:t xml:space="preserve"> </w:t>
      </w:r>
      <w:r>
        <w:rPr>
          <w:spacing w:val="13"/>
          <w:sz w:val="19"/>
          <w:szCs w:val="19"/>
        </w:rPr>
        <w:t>分成两类：事实性知识和启发性知识。这些知识可以从书籍中或亲身实践中获得。事实通</w:t>
      </w:r>
      <w:r>
        <w:rPr>
          <w:spacing w:val="12"/>
          <w:sz w:val="19"/>
          <w:szCs w:val="19"/>
        </w:rPr>
        <w:t>常指</w:t>
      </w:r>
      <w:r>
        <w:rPr>
          <w:sz w:val="19"/>
          <w:szCs w:val="19"/>
        </w:rPr>
        <w:t xml:space="preserve"> </w:t>
      </w:r>
      <w:r>
        <w:rPr>
          <w:spacing w:val="13"/>
          <w:sz w:val="19"/>
          <w:szCs w:val="19"/>
        </w:rPr>
        <w:t>的是公共定义的或已经发生的具体事件。事实性知识尽管相对容易获得，但在求解问</w:t>
      </w:r>
      <w:r>
        <w:rPr>
          <w:spacing w:val="12"/>
          <w:sz w:val="19"/>
          <w:szCs w:val="19"/>
        </w:rPr>
        <w:t>题时是不</w:t>
      </w:r>
      <w:r>
        <w:rPr>
          <w:sz w:val="19"/>
          <w:szCs w:val="19"/>
        </w:rPr>
        <w:t xml:space="preserve"> </w:t>
      </w:r>
      <w:r>
        <w:rPr>
          <w:spacing w:val="5"/>
          <w:sz w:val="19"/>
          <w:szCs w:val="19"/>
        </w:rPr>
        <w:t>可或缺的。启发性知识是领域专家在长期的工作中获得的经验总结，</w:t>
      </w:r>
      <w:r>
        <w:rPr>
          <w:spacing w:val="69"/>
          <w:sz w:val="19"/>
          <w:szCs w:val="19"/>
        </w:rPr>
        <w:t xml:space="preserve"> </w:t>
      </w:r>
      <w:r>
        <w:rPr>
          <w:spacing w:val="5"/>
          <w:sz w:val="19"/>
          <w:szCs w:val="19"/>
        </w:rPr>
        <w:t>一般条理性差，较难理解，</w:t>
      </w:r>
      <w:r>
        <w:rPr>
          <w:sz w:val="19"/>
          <w:szCs w:val="19"/>
        </w:rPr>
        <w:t xml:space="preserve"> </w:t>
      </w:r>
      <w:r>
        <w:rPr>
          <w:spacing w:val="9"/>
          <w:sz w:val="19"/>
          <w:szCs w:val="19"/>
        </w:rPr>
        <w:t>且适用范围窄，但对求解问题却十分有效，它使专家</w:t>
      </w:r>
      <w:r>
        <w:rPr>
          <w:spacing w:val="8"/>
          <w:sz w:val="19"/>
          <w:szCs w:val="19"/>
        </w:rPr>
        <w:t>系统的决策在领域中具有专家的水平。</w:t>
      </w:r>
    </w:p>
    <w:p w14:paraId="7E84CCEF">
      <w:pPr>
        <w:pStyle w:val="2"/>
        <w:spacing w:before="35" w:line="295" w:lineRule="auto"/>
        <w:ind w:left="359" w:right="29" w:firstLine="410"/>
        <w:rPr>
          <w:sz w:val="19"/>
          <w:szCs w:val="19"/>
        </w:rPr>
      </w:pPr>
      <w:r>
        <w:rPr>
          <w:spacing w:val="13"/>
          <w:sz w:val="19"/>
          <w:szCs w:val="19"/>
        </w:rPr>
        <w:t>知识库中的知识主要供推理机求解问题时使用。知识库要具有知识存储、检索、排</w:t>
      </w:r>
      <w:r>
        <w:rPr>
          <w:spacing w:val="12"/>
          <w:sz w:val="19"/>
          <w:szCs w:val="19"/>
        </w:rPr>
        <w:t>序、增</w:t>
      </w:r>
      <w:r>
        <w:rPr>
          <w:sz w:val="19"/>
          <w:szCs w:val="19"/>
        </w:rPr>
        <w:t xml:space="preserve"> </w:t>
      </w:r>
      <w:r>
        <w:rPr>
          <w:spacing w:val="13"/>
          <w:sz w:val="19"/>
          <w:szCs w:val="19"/>
        </w:rPr>
        <w:t>删改等管理功能。知识的表示方法和组织结构是设计知识库时必须考虑的问</w:t>
      </w:r>
      <w:r>
        <w:rPr>
          <w:spacing w:val="12"/>
          <w:sz w:val="19"/>
          <w:szCs w:val="19"/>
        </w:rPr>
        <w:t>题。知识表示方法</w:t>
      </w:r>
      <w:r>
        <w:rPr>
          <w:sz w:val="19"/>
          <w:szCs w:val="19"/>
        </w:rPr>
        <w:t xml:space="preserve"> </w:t>
      </w:r>
      <w:r>
        <w:rPr>
          <w:spacing w:val="13"/>
          <w:sz w:val="19"/>
          <w:szCs w:val="19"/>
        </w:rPr>
        <w:t>要尽量简洁、准确地表达领域专家的知识。知识的组织结构要增强知识的模块性</w:t>
      </w:r>
      <w:r>
        <w:rPr>
          <w:spacing w:val="12"/>
          <w:sz w:val="19"/>
          <w:szCs w:val="19"/>
        </w:rPr>
        <w:t>和独立性，便</w:t>
      </w:r>
      <w:r>
        <w:rPr>
          <w:sz w:val="19"/>
          <w:szCs w:val="19"/>
        </w:rPr>
        <w:t xml:space="preserve"> </w:t>
      </w:r>
      <w:r>
        <w:rPr>
          <w:spacing w:val="5"/>
          <w:sz w:val="19"/>
          <w:szCs w:val="19"/>
        </w:rPr>
        <w:t>于知识库的管理和维护。</w:t>
      </w:r>
    </w:p>
    <w:p w14:paraId="7E8F1964">
      <w:pPr>
        <w:pStyle w:val="2"/>
        <w:spacing w:before="38" w:line="219" w:lineRule="auto"/>
        <w:ind w:left="770"/>
        <w:rPr>
          <w:sz w:val="19"/>
          <w:szCs w:val="19"/>
        </w:rPr>
      </w:pPr>
      <w:r>
        <w:rPr>
          <w:spacing w:val="15"/>
          <w:sz w:val="19"/>
          <w:szCs w:val="19"/>
        </w:rPr>
        <w:t>(2)综合数据库。</w:t>
      </w:r>
    </w:p>
    <w:p w14:paraId="086BB647">
      <w:pPr>
        <w:pStyle w:val="2"/>
        <w:spacing w:before="65" w:line="307" w:lineRule="auto"/>
        <w:ind w:left="359" w:right="24" w:firstLine="410"/>
        <w:rPr>
          <w:sz w:val="19"/>
          <w:szCs w:val="19"/>
        </w:rPr>
      </w:pPr>
      <w:r>
        <w:rPr>
          <w:spacing w:val="13"/>
          <w:sz w:val="19"/>
          <w:szCs w:val="19"/>
        </w:rPr>
        <w:t>综合数据库是专家系统在执行与推理过程中用以存放所需要和产</w:t>
      </w:r>
      <w:r>
        <w:rPr>
          <w:spacing w:val="12"/>
          <w:sz w:val="19"/>
          <w:szCs w:val="19"/>
        </w:rPr>
        <w:t>生的各种信息的工作存储</w:t>
      </w:r>
      <w:r>
        <w:rPr>
          <w:sz w:val="19"/>
          <w:szCs w:val="19"/>
        </w:rPr>
        <w:t xml:space="preserve"> </w:t>
      </w:r>
      <w:r>
        <w:rPr>
          <w:spacing w:val="13"/>
          <w:sz w:val="19"/>
          <w:szCs w:val="19"/>
        </w:rPr>
        <w:t>器，通常包括欲解决问题的初始状态描述、中间结果、求解过程的记录、用户对系统提问的回</w:t>
      </w:r>
    </w:p>
    <w:p w14:paraId="526F5D57">
      <w:pPr>
        <w:spacing w:line="307" w:lineRule="auto"/>
        <w:rPr>
          <w:sz w:val="19"/>
          <w:szCs w:val="19"/>
        </w:rPr>
        <w:sectPr>
          <w:pgSz w:w="10300" w:h="13400"/>
          <w:pgMar w:top="399" w:right="1094" w:bottom="400" w:left="489" w:header="0" w:footer="0" w:gutter="0"/>
          <w:cols w:space="720" w:num="1"/>
        </w:sectPr>
      </w:pPr>
    </w:p>
    <w:p w14:paraId="1806C886">
      <w:pPr>
        <w:pStyle w:val="2"/>
        <w:spacing w:before="66" w:line="219" w:lineRule="auto"/>
        <w:jc w:val="right"/>
        <w:rPr>
          <w:rFonts w:ascii="Times New Roman" w:hAnsi="Times New Roman" w:eastAsia="Times New Roman" w:cs="Times New Roman"/>
          <w:sz w:val="16"/>
          <w:szCs w:val="16"/>
        </w:rPr>
      </w:pPr>
      <w:r>
        <w:rPr>
          <w:spacing w:val="-3"/>
          <w:sz w:val="20"/>
          <w:szCs w:val="20"/>
        </w:rPr>
        <w:t>第5章 信息应用系统</w:t>
      </w:r>
      <w:r>
        <w:rPr>
          <w:spacing w:val="6"/>
          <w:sz w:val="20"/>
          <w:szCs w:val="20"/>
        </w:rPr>
        <w:t xml:space="preserve">      </w:t>
      </w:r>
      <w:r>
        <w:rPr>
          <w:rFonts w:ascii="Times New Roman" w:hAnsi="Times New Roman" w:eastAsia="Times New Roman" w:cs="Times New Roman"/>
          <w:spacing w:val="-3"/>
          <w:sz w:val="16"/>
          <w:szCs w:val="16"/>
        </w:rPr>
        <w:t>169</w:t>
      </w:r>
    </w:p>
    <w:p w14:paraId="6472597F">
      <w:pPr>
        <w:spacing w:line="294" w:lineRule="auto"/>
        <w:rPr>
          <w:rFonts w:ascii="Arial"/>
          <w:sz w:val="21"/>
        </w:rPr>
      </w:pPr>
    </w:p>
    <w:p w14:paraId="2ED4E756">
      <w:pPr>
        <w:pStyle w:val="2"/>
        <w:spacing w:before="65" w:line="281" w:lineRule="auto"/>
        <w:ind w:right="221"/>
        <w:jc w:val="both"/>
        <w:rPr>
          <w:sz w:val="20"/>
          <w:szCs w:val="20"/>
        </w:rPr>
      </w:pPr>
      <w:r>
        <w:rPr>
          <w:spacing w:val="3"/>
          <w:sz w:val="20"/>
          <w:szCs w:val="20"/>
        </w:rPr>
        <w:t>答等信息，因此，综合数据库又叫动态知识库，其内容在系统运行过程中是不断</w:t>
      </w:r>
      <w:r>
        <w:rPr>
          <w:spacing w:val="2"/>
          <w:sz w:val="20"/>
          <w:szCs w:val="20"/>
        </w:rPr>
        <w:t>变化的。相应</w:t>
      </w:r>
      <w:r>
        <w:rPr>
          <w:sz w:val="20"/>
          <w:szCs w:val="20"/>
        </w:rPr>
        <w:t xml:space="preserve"> </w:t>
      </w:r>
      <w:r>
        <w:rPr>
          <w:spacing w:val="3"/>
          <w:sz w:val="20"/>
          <w:szCs w:val="20"/>
        </w:rPr>
        <w:t>地，把专家系统的知识库称为静态知识库，因为它在一次推理中其内容是保持不</w:t>
      </w:r>
      <w:r>
        <w:rPr>
          <w:spacing w:val="2"/>
          <w:sz w:val="20"/>
          <w:szCs w:val="20"/>
        </w:rPr>
        <w:t>变的，只有领</w:t>
      </w:r>
      <w:r>
        <w:rPr>
          <w:sz w:val="20"/>
          <w:szCs w:val="20"/>
        </w:rPr>
        <w:t xml:space="preserve"> </w:t>
      </w:r>
      <w:r>
        <w:rPr>
          <w:spacing w:val="4"/>
          <w:sz w:val="20"/>
          <w:szCs w:val="20"/>
        </w:rPr>
        <w:t xml:space="preserve">域专家或知识工程师通过知识获取模块或系统通过自学习功能才能改变它的内容。可以认为， </w:t>
      </w:r>
      <w:r>
        <w:rPr>
          <w:spacing w:val="1"/>
          <w:sz w:val="20"/>
          <w:szCs w:val="20"/>
        </w:rPr>
        <w:t>综合数据库和知识库一起才构成专家系统的完</w:t>
      </w:r>
      <w:r>
        <w:rPr>
          <w:sz w:val="20"/>
          <w:szCs w:val="20"/>
        </w:rPr>
        <w:t xml:space="preserve">整知识库。在设计专家系统时， 一般使综合数据 </w:t>
      </w:r>
      <w:r>
        <w:rPr>
          <w:spacing w:val="-1"/>
          <w:sz w:val="20"/>
          <w:szCs w:val="20"/>
        </w:rPr>
        <w:t>库的数据表示与组织和知识库的知识表示与组织相一致。这样可以方便推理机的推理。</w:t>
      </w:r>
    </w:p>
    <w:p w14:paraId="2240F2C0">
      <w:pPr>
        <w:pStyle w:val="2"/>
        <w:spacing w:before="69" w:line="219" w:lineRule="auto"/>
        <w:ind w:left="409"/>
        <w:rPr>
          <w:sz w:val="20"/>
          <w:szCs w:val="20"/>
        </w:rPr>
      </w:pPr>
      <w:r>
        <w:rPr>
          <w:spacing w:val="8"/>
          <w:sz w:val="20"/>
          <w:szCs w:val="20"/>
        </w:rPr>
        <w:t>(3)推理机。</w:t>
      </w:r>
    </w:p>
    <w:p w14:paraId="3C101A9D">
      <w:pPr>
        <w:pStyle w:val="2"/>
        <w:spacing w:before="71" w:line="278" w:lineRule="auto"/>
        <w:ind w:right="201" w:firstLine="409"/>
        <w:rPr>
          <w:sz w:val="20"/>
          <w:szCs w:val="20"/>
        </w:rPr>
      </w:pPr>
      <w:r>
        <w:rPr>
          <w:spacing w:val="5"/>
          <w:sz w:val="20"/>
          <w:szCs w:val="20"/>
        </w:rPr>
        <w:t>推理机和知识库一起构成专家系统的核心。甚至有</w:t>
      </w:r>
      <w:r>
        <w:rPr>
          <w:spacing w:val="4"/>
          <w:sz w:val="20"/>
          <w:szCs w:val="20"/>
        </w:rPr>
        <w:t>人认为专家系统等于知识库加推理机。</w:t>
      </w:r>
      <w:r>
        <w:rPr>
          <w:sz w:val="20"/>
          <w:szCs w:val="20"/>
        </w:rPr>
        <w:t xml:space="preserve"> </w:t>
      </w:r>
      <w:r>
        <w:rPr>
          <w:spacing w:val="3"/>
          <w:sz w:val="20"/>
          <w:szCs w:val="20"/>
        </w:rPr>
        <w:t>推理机也被称为控制结构或规则解释器，通常包括推理机制和控制策略，是一组用</w:t>
      </w:r>
      <w:r>
        <w:rPr>
          <w:spacing w:val="2"/>
          <w:sz w:val="20"/>
          <w:szCs w:val="20"/>
        </w:rPr>
        <w:t>来控制系统</w:t>
      </w:r>
      <w:r>
        <w:rPr>
          <w:sz w:val="20"/>
          <w:szCs w:val="20"/>
        </w:rPr>
        <w:t xml:space="preserve"> </w:t>
      </w:r>
      <w:r>
        <w:rPr>
          <w:spacing w:val="-2"/>
          <w:sz w:val="20"/>
          <w:szCs w:val="20"/>
        </w:rPr>
        <w:t>的运行、执行各种任务、根据知识库进行各种搜索和推理的程序模块。</w:t>
      </w:r>
    </w:p>
    <w:p w14:paraId="43DED010">
      <w:pPr>
        <w:pStyle w:val="2"/>
        <w:spacing w:before="50" w:line="282" w:lineRule="auto"/>
        <w:ind w:right="221" w:firstLine="409"/>
        <w:rPr>
          <w:sz w:val="20"/>
          <w:szCs w:val="20"/>
        </w:rPr>
      </w:pPr>
      <w:r>
        <w:rPr>
          <w:spacing w:val="3"/>
          <w:sz w:val="20"/>
          <w:szCs w:val="20"/>
        </w:rPr>
        <w:t>专家系统中常用的推理方式有三种：正向推理或前向推理、反向推</w:t>
      </w:r>
      <w:r>
        <w:rPr>
          <w:spacing w:val="2"/>
          <w:sz w:val="20"/>
          <w:szCs w:val="20"/>
        </w:rPr>
        <w:t>理或逆向推理、双向推</w:t>
      </w:r>
      <w:r>
        <w:rPr>
          <w:sz w:val="20"/>
          <w:szCs w:val="20"/>
        </w:rPr>
        <w:t xml:space="preserve"> </w:t>
      </w:r>
      <w:r>
        <w:rPr>
          <w:spacing w:val="3"/>
          <w:sz w:val="20"/>
          <w:szCs w:val="20"/>
        </w:rPr>
        <w:t>理或混合推理。正向推理又称数据驱动策略，即从条件出发推出结论。反向推理又称目标驱动</w:t>
      </w:r>
      <w:r>
        <w:rPr>
          <w:sz w:val="20"/>
          <w:szCs w:val="20"/>
        </w:rPr>
        <w:t xml:space="preserve"> </w:t>
      </w:r>
      <w:r>
        <w:rPr>
          <w:spacing w:val="-1"/>
          <w:sz w:val="20"/>
          <w:szCs w:val="20"/>
        </w:rPr>
        <w:t>策略，即先假设结论正确，再去验证条件是否满足，若诸条件都满足，则证明结论正确；否则，</w:t>
      </w:r>
      <w:r>
        <w:rPr>
          <w:spacing w:val="10"/>
          <w:sz w:val="20"/>
          <w:szCs w:val="20"/>
        </w:rPr>
        <w:t xml:space="preserve"> </w:t>
      </w:r>
      <w:r>
        <w:rPr>
          <w:spacing w:val="3"/>
          <w:sz w:val="20"/>
          <w:szCs w:val="20"/>
        </w:rPr>
        <w:t>再由另一个假设去推断结论。正向推理适用于目标解空间很大的问题。反向推理适用于解空间</w:t>
      </w:r>
      <w:r>
        <w:rPr>
          <w:spacing w:val="5"/>
          <w:sz w:val="20"/>
          <w:szCs w:val="20"/>
        </w:rPr>
        <w:t xml:space="preserve"> </w:t>
      </w:r>
      <w:r>
        <w:rPr>
          <w:spacing w:val="3"/>
          <w:sz w:val="20"/>
          <w:szCs w:val="20"/>
        </w:rPr>
        <w:t>较小的问题。双向推理是正向推理和反向推理同时进行，以期在某一时刻使正</w:t>
      </w:r>
      <w:r>
        <w:rPr>
          <w:spacing w:val="2"/>
          <w:sz w:val="20"/>
          <w:szCs w:val="20"/>
        </w:rPr>
        <w:t>、反向推理过程</w:t>
      </w:r>
      <w:r>
        <w:rPr>
          <w:sz w:val="20"/>
          <w:szCs w:val="20"/>
        </w:rPr>
        <w:t xml:space="preserve"> </w:t>
      </w:r>
      <w:r>
        <w:rPr>
          <w:spacing w:val="3"/>
          <w:sz w:val="20"/>
          <w:szCs w:val="20"/>
        </w:rPr>
        <w:t>达到某种一致状态而获得问题的解。在双向推理中，常常用正向推理来确定各种假设证</w:t>
      </w:r>
      <w:r>
        <w:rPr>
          <w:spacing w:val="2"/>
          <w:sz w:val="20"/>
          <w:szCs w:val="20"/>
        </w:rPr>
        <w:t>实的先</w:t>
      </w:r>
      <w:r>
        <w:rPr>
          <w:sz w:val="20"/>
          <w:szCs w:val="20"/>
        </w:rPr>
        <w:t xml:space="preserve"> </w:t>
      </w:r>
      <w:r>
        <w:rPr>
          <w:spacing w:val="-2"/>
          <w:sz w:val="20"/>
          <w:szCs w:val="20"/>
        </w:rPr>
        <w:t>后次序，一旦确定后，又用反向推理验证假设是否成立。</w:t>
      </w:r>
    </w:p>
    <w:p w14:paraId="092DBF45">
      <w:pPr>
        <w:pStyle w:val="2"/>
        <w:spacing w:before="59" w:line="287" w:lineRule="auto"/>
        <w:ind w:right="269" w:firstLine="409"/>
        <w:rPr>
          <w:sz w:val="20"/>
          <w:szCs w:val="20"/>
        </w:rPr>
      </w:pPr>
      <w:r>
        <w:rPr>
          <w:spacing w:val="3"/>
          <w:sz w:val="20"/>
          <w:szCs w:val="20"/>
        </w:rPr>
        <w:t>推理机的构成与实现依赖于领域问题的性质和知识表示方法及组织结</w:t>
      </w:r>
      <w:r>
        <w:rPr>
          <w:spacing w:val="2"/>
          <w:sz w:val="20"/>
          <w:szCs w:val="20"/>
        </w:rPr>
        <w:t>构。在设计专家系统</w:t>
      </w:r>
      <w:r>
        <w:rPr>
          <w:sz w:val="20"/>
          <w:szCs w:val="20"/>
        </w:rPr>
        <w:t xml:space="preserve"> </w:t>
      </w:r>
      <w:r>
        <w:rPr>
          <w:spacing w:val="3"/>
          <w:sz w:val="20"/>
          <w:szCs w:val="20"/>
        </w:rPr>
        <w:t>时，一般使知识库和推理机相分离，即求解问题的知识与使用知识的程序相分离，以保证</w:t>
      </w:r>
      <w:r>
        <w:rPr>
          <w:spacing w:val="2"/>
          <w:sz w:val="20"/>
          <w:szCs w:val="20"/>
        </w:rPr>
        <w:t>专家</w:t>
      </w:r>
      <w:r>
        <w:rPr>
          <w:sz w:val="20"/>
          <w:szCs w:val="20"/>
        </w:rPr>
        <w:t xml:space="preserve"> </w:t>
      </w:r>
      <w:r>
        <w:rPr>
          <w:spacing w:val="-3"/>
          <w:sz w:val="20"/>
          <w:szCs w:val="20"/>
        </w:rPr>
        <w:t>系统的模块性、灵活性和可维护性。</w:t>
      </w:r>
    </w:p>
    <w:p w14:paraId="1FAA4953">
      <w:pPr>
        <w:pStyle w:val="2"/>
        <w:spacing w:before="9" w:line="219" w:lineRule="auto"/>
        <w:ind w:left="409"/>
        <w:rPr>
          <w:sz w:val="20"/>
          <w:szCs w:val="20"/>
        </w:rPr>
      </w:pPr>
      <w:r>
        <w:rPr>
          <w:spacing w:val="7"/>
          <w:sz w:val="20"/>
          <w:szCs w:val="20"/>
        </w:rPr>
        <w:t>(4)知识获取。</w:t>
      </w:r>
    </w:p>
    <w:p w14:paraId="65695193">
      <w:pPr>
        <w:pStyle w:val="2"/>
        <w:spacing w:before="89" w:line="273" w:lineRule="auto"/>
        <w:ind w:right="264" w:firstLine="409"/>
        <w:rPr>
          <w:sz w:val="20"/>
          <w:szCs w:val="20"/>
        </w:rPr>
      </w:pPr>
      <w:r>
        <w:rPr>
          <w:spacing w:val="2"/>
          <w:sz w:val="20"/>
          <w:szCs w:val="20"/>
        </w:rPr>
        <w:t>知识获取模块主要有两方面功能：</w:t>
      </w:r>
      <w:r>
        <w:rPr>
          <w:spacing w:val="-50"/>
          <w:sz w:val="20"/>
          <w:szCs w:val="20"/>
        </w:rPr>
        <w:t xml:space="preserve"> </w:t>
      </w:r>
      <w:r>
        <w:rPr>
          <w:spacing w:val="2"/>
          <w:sz w:val="20"/>
          <w:szCs w:val="20"/>
        </w:rPr>
        <w:t>一是知识的编辑和求精；</w:t>
      </w:r>
      <w:r>
        <w:rPr>
          <w:spacing w:val="1"/>
          <w:sz w:val="20"/>
          <w:szCs w:val="20"/>
        </w:rPr>
        <w:t>二是知识自学习。两者相辅相</w:t>
      </w:r>
      <w:r>
        <w:rPr>
          <w:sz w:val="20"/>
          <w:szCs w:val="20"/>
        </w:rPr>
        <w:t xml:space="preserve"> </w:t>
      </w:r>
      <w:r>
        <w:rPr>
          <w:spacing w:val="3"/>
          <w:sz w:val="20"/>
          <w:szCs w:val="20"/>
        </w:rPr>
        <w:t>成，负责管理知识库中的知识，根据需要添加、修改或删除知识以及由此产生的</w:t>
      </w:r>
      <w:r>
        <w:rPr>
          <w:spacing w:val="2"/>
          <w:sz w:val="20"/>
          <w:szCs w:val="20"/>
        </w:rPr>
        <w:t>一些必要的改</w:t>
      </w:r>
      <w:r>
        <w:rPr>
          <w:sz w:val="20"/>
          <w:szCs w:val="20"/>
        </w:rPr>
        <w:t xml:space="preserve"> </w:t>
      </w:r>
      <w:r>
        <w:rPr>
          <w:spacing w:val="3"/>
          <w:sz w:val="20"/>
          <w:szCs w:val="20"/>
        </w:rPr>
        <w:t>动，维护知识库的一致性和完整性。知识的编辑与求精，可使领域专家的经验或书本上</w:t>
      </w:r>
      <w:r>
        <w:rPr>
          <w:spacing w:val="2"/>
          <w:sz w:val="20"/>
          <w:szCs w:val="20"/>
        </w:rPr>
        <w:t>的知识</w:t>
      </w:r>
      <w:r>
        <w:rPr>
          <w:sz w:val="20"/>
          <w:szCs w:val="20"/>
        </w:rPr>
        <w:t xml:space="preserve"> </w:t>
      </w:r>
      <w:r>
        <w:rPr>
          <w:spacing w:val="3"/>
          <w:sz w:val="20"/>
          <w:szCs w:val="20"/>
        </w:rPr>
        <w:t>转化为系统所需的内部形式，作为新知识移入知识库，同时也可以使领域专家方便地修</w:t>
      </w:r>
      <w:r>
        <w:rPr>
          <w:spacing w:val="2"/>
          <w:sz w:val="20"/>
          <w:szCs w:val="20"/>
        </w:rPr>
        <w:t>改知识</w:t>
      </w:r>
      <w:r>
        <w:rPr>
          <w:sz w:val="20"/>
          <w:szCs w:val="20"/>
        </w:rPr>
        <w:t xml:space="preserve"> </w:t>
      </w:r>
      <w:r>
        <w:rPr>
          <w:spacing w:val="3"/>
          <w:sz w:val="20"/>
          <w:szCs w:val="20"/>
        </w:rPr>
        <w:t>库。自学习功能可以根据系统运行过程中积累的经验自动地修改和补充知识库的知</w:t>
      </w:r>
      <w:r>
        <w:rPr>
          <w:spacing w:val="2"/>
          <w:sz w:val="20"/>
          <w:szCs w:val="20"/>
        </w:rPr>
        <w:t>识，发现求</w:t>
      </w:r>
      <w:r>
        <w:rPr>
          <w:sz w:val="20"/>
          <w:szCs w:val="20"/>
        </w:rPr>
        <w:t xml:space="preserve"> </w:t>
      </w:r>
      <w:r>
        <w:rPr>
          <w:spacing w:val="-2"/>
          <w:sz w:val="20"/>
          <w:szCs w:val="20"/>
        </w:rPr>
        <w:t>解问题的规律，提高系统的性能和处理效率。</w:t>
      </w:r>
    </w:p>
    <w:p w14:paraId="478830FA">
      <w:pPr>
        <w:pStyle w:val="2"/>
        <w:spacing w:before="69" w:line="219" w:lineRule="auto"/>
        <w:ind w:left="409"/>
        <w:rPr>
          <w:sz w:val="20"/>
          <w:szCs w:val="20"/>
        </w:rPr>
      </w:pPr>
      <w:r>
        <w:rPr>
          <w:spacing w:val="7"/>
          <w:sz w:val="20"/>
          <w:szCs w:val="20"/>
        </w:rPr>
        <w:t>(5)解释程序。</w:t>
      </w:r>
    </w:p>
    <w:p w14:paraId="18121BE9">
      <w:pPr>
        <w:pStyle w:val="2"/>
        <w:spacing w:before="73" w:line="273" w:lineRule="auto"/>
        <w:ind w:right="228" w:firstLine="409"/>
        <w:rPr>
          <w:sz w:val="20"/>
          <w:szCs w:val="20"/>
        </w:rPr>
      </w:pPr>
      <w:r>
        <w:rPr>
          <w:spacing w:val="3"/>
          <w:sz w:val="20"/>
          <w:szCs w:val="20"/>
        </w:rPr>
        <w:t>解释程序是面向用户服务的，负责解答用户提出的各种问题。这</w:t>
      </w:r>
      <w:r>
        <w:rPr>
          <w:spacing w:val="2"/>
          <w:sz w:val="20"/>
          <w:szCs w:val="20"/>
        </w:rPr>
        <w:t>些问题既可以是和系统运</w:t>
      </w:r>
      <w:r>
        <w:rPr>
          <w:sz w:val="20"/>
          <w:szCs w:val="20"/>
        </w:rPr>
        <w:t xml:space="preserve"> </w:t>
      </w:r>
      <w:r>
        <w:rPr>
          <w:spacing w:val="3"/>
          <w:sz w:val="20"/>
          <w:szCs w:val="20"/>
        </w:rPr>
        <w:t>行过程有关的，也可以是关于系统性能和行为的。当用户得到一个问题的答案时，可以通过向</w:t>
      </w:r>
      <w:r>
        <w:rPr>
          <w:spacing w:val="7"/>
          <w:sz w:val="20"/>
          <w:szCs w:val="20"/>
        </w:rPr>
        <w:t xml:space="preserve"> </w:t>
      </w:r>
      <w:r>
        <w:rPr>
          <w:spacing w:val="-1"/>
          <w:sz w:val="20"/>
          <w:szCs w:val="20"/>
        </w:rPr>
        <w:t>专家系统提问的方式，验证推理结果的合理性或正确性，了解专家系统对问题求解过程的细节。</w:t>
      </w:r>
      <w:r>
        <w:rPr>
          <w:spacing w:val="3"/>
          <w:sz w:val="20"/>
          <w:szCs w:val="20"/>
        </w:rPr>
        <w:t xml:space="preserve"> 这时，通过解释程序，专家系统可以针对性地以一种用户易于理解的形式对用</w:t>
      </w:r>
      <w:r>
        <w:rPr>
          <w:spacing w:val="2"/>
          <w:sz w:val="20"/>
          <w:szCs w:val="20"/>
        </w:rPr>
        <w:t>户的问题进行解</w:t>
      </w:r>
      <w:r>
        <w:rPr>
          <w:sz w:val="20"/>
          <w:szCs w:val="20"/>
        </w:rPr>
        <w:t xml:space="preserve"> </w:t>
      </w:r>
      <w:r>
        <w:rPr>
          <w:spacing w:val="3"/>
          <w:sz w:val="20"/>
          <w:szCs w:val="20"/>
        </w:rPr>
        <w:t>释，回答推导结论的步骤、每个步骤的根据、所用的各种数据和知识等。目前，解释程序的实</w:t>
      </w:r>
      <w:r>
        <w:rPr>
          <w:spacing w:val="16"/>
          <w:sz w:val="20"/>
          <w:szCs w:val="20"/>
        </w:rPr>
        <w:t xml:space="preserve"> </w:t>
      </w:r>
      <w:r>
        <w:rPr>
          <w:spacing w:val="1"/>
          <w:sz w:val="20"/>
          <w:szCs w:val="20"/>
        </w:rPr>
        <w:t>现方法大多是在推理过程中，把每步推理所</w:t>
      </w:r>
      <w:r>
        <w:rPr>
          <w:sz w:val="20"/>
          <w:szCs w:val="20"/>
        </w:rPr>
        <w:t xml:space="preserve">用的数据和知识按推理的顺序连接起来， 一旦需要 </w:t>
      </w:r>
      <w:r>
        <w:rPr>
          <w:spacing w:val="-1"/>
          <w:sz w:val="20"/>
          <w:szCs w:val="20"/>
        </w:rPr>
        <w:t>解释时，就把这个推理链一步一步地显示给用户，以此作为对用户提问的回答。</w:t>
      </w:r>
    </w:p>
    <w:p w14:paraId="75CFA462">
      <w:pPr>
        <w:pStyle w:val="2"/>
        <w:spacing w:before="88" w:line="219" w:lineRule="auto"/>
        <w:ind w:left="409"/>
        <w:rPr>
          <w:sz w:val="20"/>
          <w:szCs w:val="20"/>
        </w:rPr>
      </w:pPr>
      <w:r>
        <w:rPr>
          <w:spacing w:val="7"/>
          <w:sz w:val="20"/>
          <w:szCs w:val="20"/>
        </w:rPr>
        <w:t>(6)人机接口。</w:t>
      </w:r>
    </w:p>
    <w:p w14:paraId="5F6CB374">
      <w:pPr>
        <w:pStyle w:val="2"/>
        <w:spacing w:before="53" w:line="291" w:lineRule="auto"/>
        <w:ind w:right="272" w:firstLine="409"/>
        <w:rPr>
          <w:sz w:val="20"/>
          <w:szCs w:val="20"/>
        </w:rPr>
      </w:pPr>
      <w:r>
        <w:rPr>
          <w:spacing w:val="3"/>
          <w:sz w:val="20"/>
          <w:szCs w:val="20"/>
        </w:rPr>
        <w:t>人机接口通常包括两部分：一部分是专家系统与用户的接口；另一</w:t>
      </w:r>
      <w:r>
        <w:rPr>
          <w:spacing w:val="2"/>
          <w:sz w:val="20"/>
          <w:szCs w:val="20"/>
        </w:rPr>
        <w:t>部分是专家系统与领域</w:t>
      </w:r>
      <w:r>
        <w:rPr>
          <w:sz w:val="20"/>
          <w:szCs w:val="20"/>
        </w:rPr>
        <w:t xml:space="preserve"> </w:t>
      </w:r>
      <w:r>
        <w:rPr>
          <w:spacing w:val="3"/>
          <w:sz w:val="20"/>
          <w:szCs w:val="20"/>
        </w:rPr>
        <w:t>专家和知识工程师的接口。与用户的接口可直接处理用户的操作命令和提出的问</w:t>
      </w:r>
      <w:r>
        <w:rPr>
          <w:spacing w:val="2"/>
          <w:sz w:val="20"/>
          <w:szCs w:val="20"/>
        </w:rPr>
        <w:t>题，通过对命</w:t>
      </w:r>
    </w:p>
    <w:p w14:paraId="77E7A6A2">
      <w:pPr>
        <w:spacing w:line="291" w:lineRule="auto"/>
        <w:rPr>
          <w:sz w:val="20"/>
          <w:szCs w:val="20"/>
        </w:rPr>
        <w:sectPr>
          <w:pgSz w:w="10280" w:h="13320"/>
          <w:pgMar w:top="400" w:right="598" w:bottom="400" w:left="1089" w:header="0" w:footer="0" w:gutter="0"/>
          <w:cols w:space="720" w:num="1"/>
        </w:sectPr>
      </w:pPr>
    </w:p>
    <w:p w14:paraId="7AD4B03E">
      <w:pPr>
        <w:pStyle w:val="2"/>
        <w:spacing w:before="97" w:line="219" w:lineRule="auto"/>
        <w:rPr>
          <w:sz w:val="19"/>
          <w:szCs w:val="19"/>
        </w:rPr>
      </w:pPr>
      <w:r>
        <w:rPr>
          <w:rFonts w:ascii="Times New Roman" w:hAnsi="Times New Roman" w:eastAsia="Times New Roman" w:cs="Times New Roman"/>
          <w:spacing w:val="2"/>
          <w:position w:val="1"/>
          <w:sz w:val="19"/>
          <w:szCs w:val="19"/>
        </w:rPr>
        <w:t xml:space="preserve">170              </w:t>
      </w:r>
      <w:r>
        <w:rPr>
          <w:spacing w:val="2"/>
          <w:sz w:val="19"/>
          <w:szCs w:val="19"/>
        </w:rPr>
        <w:t>信息系统监理师教程(第2版)</w:t>
      </w:r>
    </w:p>
    <w:p w14:paraId="1B7815B6">
      <w:pPr>
        <w:spacing w:line="321" w:lineRule="auto"/>
        <w:rPr>
          <w:rFonts w:ascii="Arial"/>
          <w:sz w:val="21"/>
        </w:rPr>
      </w:pPr>
    </w:p>
    <w:p w14:paraId="685F006F">
      <w:pPr>
        <w:pStyle w:val="2"/>
        <w:spacing w:before="62" w:line="304" w:lineRule="auto"/>
        <w:ind w:left="340" w:right="60"/>
        <w:jc w:val="both"/>
        <w:rPr>
          <w:sz w:val="19"/>
          <w:szCs w:val="19"/>
        </w:rPr>
      </w:pPr>
      <w:r>
        <w:rPr>
          <w:spacing w:val="13"/>
          <w:sz w:val="19"/>
          <w:szCs w:val="19"/>
        </w:rPr>
        <w:t>令的解释和对问题的分析，将结果传送到推理机、综合数据</w:t>
      </w:r>
      <w:r>
        <w:rPr>
          <w:spacing w:val="12"/>
          <w:sz w:val="19"/>
          <w:szCs w:val="19"/>
        </w:rPr>
        <w:t>库和知识库，以启动系统的问题求</w:t>
      </w:r>
      <w:r>
        <w:rPr>
          <w:sz w:val="19"/>
          <w:szCs w:val="19"/>
        </w:rPr>
        <w:t xml:space="preserve"> </w:t>
      </w:r>
      <w:r>
        <w:rPr>
          <w:spacing w:val="13"/>
          <w:sz w:val="19"/>
          <w:szCs w:val="19"/>
        </w:rPr>
        <w:t>解过程，同时也将系统对用户的提问以及对问题求解过程的跟踪解释传递给用户，使用户对专</w:t>
      </w:r>
      <w:r>
        <w:rPr>
          <w:spacing w:val="6"/>
          <w:sz w:val="19"/>
          <w:szCs w:val="19"/>
        </w:rPr>
        <w:t xml:space="preserve"> </w:t>
      </w:r>
      <w:r>
        <w:rPr>
          <w:spacing w:val="13"/>
          <w:sz w:val="19"/>
          <w:szCs w:val="19"/>
        </w:rPr>
        <w:t>家系统的执行动态有所了解。与领域专家和知识工程师的接口可接受领域专家或知识工程师的</w:t>
      </w:r>
      <w:r>
        <w:rPr>
          <w:spacing w:val="10"/>
          <w:sz w:val="19"/>
          <w:szCs w:val="19"/>
        </w:rPr>
        <w:t xml:space="preserve"> </w:t>
      </w:r>
      <w:r>
        <w:rPr>
          <w:spacing w:val="9"/>
          <w:sz w:val="19"/>
          <w:szCs w:val="19"/>
        </w:rPr>
        <w:t>知识，使领域专家或知识工程师了解系统的性能，并进一步改善和提高系统求解问</w:t>
      </w:r>
      <w:r>
        <w:rPr>
          <w:spacing w:val="8"/>
          <w:sz w:val="19"/>
          <w:szCs w:val="19"/>
        </w:rPr>
        <w:t>题的能力。</w:t>
      </w:r>
    </w:p>
    <w:p w14:paraId="33B55577">
      <w:pPr>
        <w:pStyle w:val="2"/>
        <w:spacing w:before="26" w:line="304" w:lineRule="auto"/>
        <w:ind w:left="340" w:firstLine="379"/>
        <w:jc w:val="both"/>
        <w:rPr>
          <w:sz w:val="19"/>
          <w:szCs w:val="19"/>
        </w:rPr>
      </w:pPr>
      <w:r>
        <w:rPr>
          <w:spacing w:val="12"/>
          <w:sz w:val="19"/>
          <w:szCs w:val="19"/>
        </w:rPr>
        <w:t>不论是哪种接口，都要包括输入和输出，完成系统的内部表示形式和外部表示形式(用户、</w:t>
      </w:r>
      <w:r>
        <w:rPr>
          <w:spacing w:val="9"/>
          <w:sz w:val="19"/>
          <w:szCs w:val="19"/>
        </w:rPr>
        <w:t xml:space="preserve"> </w:t>
      </w:r>
      <w:r>
        <w:rPr>
          <w:spacing w:val="17"/>
          <w:sz w:val="19"/>
          <w:szCs w:val="19"/>
        </w:rPr>
        <w:t>领域专家和知识工程师易于理解和接受的形式)的相互转换。随着自然语言理解、语音识别、</w:t>
      </w:r>
      <w:r>
        <w:rPr>
          <w:spacing w:val="2"/>
          <w:sz w:val="19"/>
          <w:szCs w:val="19"/>
        </w:rPr>
        <w:t xml:space="preserve"> </w:t>
      </w:r>
      <w:r>
        <w:rPr>
          <w:spacing w:val="10"/>
          <w:sz w:val="19"/>
          <w:szCs w:val="19"/>
        </w:rPr>
        <w:t>图像处理、文字识别等技术的不断完善和逐步成熟，专家系统将会更多地采用包</w:t>
      </w:r>
      <w:r>
        <w:rPr>
          <w:spacing w:val="9"/>
          <w:sz w:val="19"/>
          <w:szCs w:val="19"/>
        </w:rPr>
        <w:t>含图、文、声、</w:t>
      </w:r>
      <w:r>
        <w:rPr>
          <w:sz w:val="19"/>
          <w:szCs w:val="19"/>
        </w:rPr>
        <w:t xml:space="preserve"> </w:t>
      </w:r>
      <w:r>
        <w:rPr>
          <w:spacing w:val="5"/>
          <w:sz w:val="19"/>
          <w:szCs w:val="19"/>
        </w:rPr>
        <w:t>像的多媒体接口。</w:t>
      </w:r>
    </w:p>
    <w:p w14:paraId="14C1A1C3">
      <w:pPr>
        <w:pStyle w:val="2"/>
        <w:spacing w:before="18" w:line="307" w:lineRule="auto"/>
        <w:ind w:left="340" w:right="88" w:firstLine="379"/>
        <w:rPr>
          <w:sz w:val="19"/>
          <w:szCs w:val="19"/>
        </w:rPr>
      </w:pPr>
      <w:r>
        <w:rPr>
          <w:spacing w:val="13"/>
          <w:sz w:val="19"/>
          <w:szCs w:val="19"/>
        </w:rPr>
        <w:t>一般的专家系统通过推理机与知识库和综合数据库的交互作用来求解领域问题。这种求解</w:t>
      </w:r>
      <w:r>
        <w:rPr>
          <w:spacing w:val="8"/>
          <w:sz w:val="19"/>
          <w:szCs w:val="19"/>
        </w:rPr>
        <w:t xml:space="preserve"> </w:t>
      </w:r>
      <w:r>
        <w:rPr>
          <w:spacing w:val="5"/>
          <w:sz w:val="19"/>
          <w:szCs w:val="19"/>
        </w:rPr>
        <w:t>过程有如下几个步骤：</w:t>
      </w:r>
    </w:p>
    <w:p w14:paraId="6ABA410A">
      <w:pPr>
        <w:pStyle w:val="2"/>
        <w:spacing w:before="19" w:line="219" w:lineRule="auto"/>
        <w:ind w:left="719"/>
        <w:rPr>
          <w:sz w:val="19"/>
          <w:szCs w:val="19"/>
        </w:rPr>
      </w:pPr>
      <w:r>
        <w:rPr>
          <w:spacing w:val="11"/>
          <w:sz w:val="19"/>
          <w:szCs w:val="19"/>
        </w:rPr>
        <w:t>●根据用户的问题对知识库进行搜索，寻找有关的知识。</w:t>
      </w:r>
    </w:p>
    <w:p w14:paraId="372580CC">
      <w:pPr>
        <w:pStyle w:val="2"/>
        <w:spacing w:before="105" w:line="264" w:lineRule="auto"/>
        <w:ind w:left="948" w:right="82" w:hanging="229"/>
        <w:rPr>
          <w:sz w:val="19"/>
          <w:szCs w:val="19"/>
        </w:rPr>
      </w:pPr>
      <w:r>
        <w:rPr>
          <w:spacing w:val="13"/>
          <w:sz w:val="19"/>
          <w:szCs w:val="19"/>
        </w:rPr>
        <w:t>●根据有关的知识和系统的控制策略形成解决问题的途径，即知识操作算子序列，从而构</w:t>
      </w:r>
      <w:r>
        <w:rPr>
          <w:spacing w:val="14"/>
          <w:sz w:val="19"/>
          <w:szCs w:val="19"/>
        </w:rPr>
        <w:t xml:space="preserve"> </w:t>
      </w:r>
      <w:r>
        <w:rPr>
          <w:spacing w:val="5"/>
          <w:sz w:val="19"/>
          <w:szCs w:val="19"/>
        </w:rPr>
        <w:t>成一个假设集合。</w:t>
      </w:r>
    </w:p>
    <w:p w14:paraId="53656A77">
      <w:pPr>
        <w:pStyle w:val="2"/>
        <w:spacing w:before="95" w:line="219" w:lineRule="auto"/>
        <w:ind w:left="719"/>
        <w:rPr>
          <w:sz w:val="19"/>
          <w:szCs w:val="19"/>
        </w:rPr>
      </w:pPr>
      <w:r>
        <w:rPr>
          <w:spacing w:val="11"/>
          <w:sz w:val="19"/>
          <w:szCs w:val="19"/>
        </w:rPr>
        <w:t>●对解决问题的一组可能假设方案进行排序，并挑选</w:t>
      </w:r>
      <w:r>
        <w:rPr>
          <w:spacing w:val="10"/>
          <w:sz w:val="19"/>
          <w:szCs w:val="19"/>
        </w:rPr>
        <w:t>其中在某些准则下最优的假设方案。</w:t>
      </w:r>
    </w:p>
    <w:p w14:paraId="36CDF043">
      <w:pPr>
        <w:pStyle w:val="2"/>
        <w:spacing w:before="96" w:line="219" w:lineRule="auto"/>
        <w:ind w:left="719"/>
        <w:rPr>
          <w:sz w:val="19"/>
          <w:szCs w:val="19"/>
        </w:rPr>
      </w:pPr>
      <w:r>
        <w:rPr>
          <w:spacing w:val="11"/>
          <w:sz w:val="19"/>
          <w:szCs w:val="19"/>
        </w:rPr>
        <w:t>●根据挑选的解决方案去求解具体问题。</w:t>
      </w:r>
    </w:p>
    <w:p w14:paraId="3BCE60F4">
      <w:pPr>
        <w:pStyle w:val="2"/>
        <w:spacing w:before="94" w:line="277" w:lineRule="auto"/>
        <w:ind w:left="948" w:right="108" w:hanging="229"/>
        <w:rPr>
          <w:sz w:val="19"/>
          <w:szCs w:val="19"/>
        </w:rPr>
      </w:pPr>
      <w:r>
        <w:rPr>
          <w:spacing w:val="13"/>
          <w:sz w:val="19"/>
          <w:szCs w:val="19"/>
        </w:rPr>
        <w:t>●如果该方案不能真正解决问题，则追溯到假设方案序列中的</w:t>
      </w:r>
      <w:r>
        <w:rPr>
          <w:spacing w:val="12"/>
          <w:sz w:val="19"/>
          <w:szCs w:val="19"/>
        </w:rPr>
        <w:t>下一个假设方案，重复求解</w:t>
      </w:r>
      <w:r>
        <w:rPr>
          <w:sz w:val="19"/>
          <w:szCs w:val="19"/>
        </w:rPr>
        <w:t xml:space="preserve"> </w:t>
      </w:r>
      <w:r>
        <w:rPr>
          <w:spacing w:val="1"/>
          <w:sz w:val="19"/>
          <w:szCs w:val="19"/>
        </w:rPr>
        <w:t>问题。</w:t>
      </w:r>
    </w:p>
    <w:p w14:paraId="0CA081BC">
      <w:pPr>
        <w:pStyle w:val="2"/>
        <w:spacing w:before="98" w:line="262" w:lineRule="auto"/>
        <w:ind w:left="948" w:right="86" w:hanging="229"/>
        <w:rPr>
          <w:sz w:val="19"/>
          <w:szCs w:val="19"/>
        </w:rPr>
      </w:pPr>
      <w:r>
        <w:rPr>
          <w:spacing w:val="13"/>
          <w:sz w:val="19"/>
          <w:szCs w:val="19"/>
        </w:rPr>
        <w:t>●上述过程循环进行，直至问题已经解决或者所有的求解方案都不能解决问题而宣告“本</w:t>
      </w:r>
      <w:r>
        <w:rPr>
          <w:spacing w:val="10"/>
          <w:sz w:val="19"/>
          <w:szCs w:val="19"/>
        </w:rPr>
        <w:t xml:space="preserve"> </w:t>
      </w:r>
      <w:r>
        <w:rPr>
          <w:spacing w:val="4"/>
          <w:sz w:val="19"/>
          <w:szCs w:val="19"/>
        </w:rPr>
        <w:t>系统该问题无解”为止。</w:t>
      </w:r>
    </w:p>
    <w:p w14:paraId="604A2F8D">
      <w:pPr>
        <w:pStyle w:val="2"/>
        <w:spacing w:before="199" w:line="221" w:lineRule="auto"/>
        <w:ind w:left="722"/>
        <w:rPr>
          <w:rFonts w:ascii="黑体" w:hAnsi="黑体" w:eastAsia="黑体" w:cs="黑体"/>
          <w:sz w:val="19"/>
          <w:szCs w:val="19"/>
        </w:rPr>
      </w:pPr>
      <w:bookmarkStart w:id="565" w:name="bookmark551"/>
      <w:bookmarkEnd w:id="565"/>
      <w:r>
        <w:rPr>
          <w:b/>
          <w:bCs/>
          <w:color w:val="0075C3"/>
          <w:spacing w:val="6"/>
          <w:sz w:val="19"/>
          <w:szCs w:val="19"/>
        </w:rPr>
        <w:t>3.</w:t>
      </w:r>
      <w:r>
        <w:rPr>
          <w:rFonts w:ascii="黑体" w:hAnsi="黑体" w:eastAsia="黑体" w:cs="黑体"/>
          <w:b/>
          <w:bCs/>
          <w:color w:val="0075C3"/>
          <w:spacing w:val="6"/>
          <w:sz w:val="19"/>
          <w:szCs w:val="19"/>
        </w:rPr>
        <w:t>虚拟现实系统</w:t>
      </w:r>
    </w:p>
    <w:p w14:paraId="238EBCD0">
      <w:pPr>
        <w:pStyle w:val="2"/>
        <w:spacing w:before="114" w:line="300" w:lineRule="auto"/>
        <w:ind w:left="340" w:right="79" w:firstLine="379"/>
        <w:jc w:val="both"/>
        <w:rPr>
          <w:sz w:val="19"/>
          <w:szCs w:val="19"/>
        </w:rPr>
      </w:pPr>
      <w:r>
        <w:rPr>
          <w:spacing w:val="13"/>
          <w:sz w:val="19"/>
          <w:szCs w:val="19"/>
        </w:rPr>
        <w:t>虚拟现实系统</w:t>
      </w:r>
      <w:r>
        <w:rPr>
          <w:spacing w:val="-34"/>
          <w:sz w:val="19"/>
          <w:szCs w:val="19"/>
        </w:rPr>
        <w:t xml:space="preserve"> </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VRS</w:t>
      </w:r>
      <w:r>
        <w:rPr>
          <w:rFonts w:ascii="Times New Roman" w:hAnsi="Times New Roman" w:eastAsia="Times New Roman" w:cs="Times New Roman"/>
          <w:spacing w:val="13"/>
          <w:sz w:val="19"/>
          <w:szCs w:val="19"/>
        </w:rPr>
        <w:t xml:space="preserve">)    </w:t>
      </w:r>
      <w:r>
        <w:rPr>
          <w:spacing w:val="13"/>
          <w:sz w:val="19"/>
          <w:szCs w:val="19"/>
        </w:rPr>
        <w:t>使一个或多个用</w:t>
      </w:r>
      <w:r>
        <w:rPr>
          <w:spacing w:val="12"/>
          <w:sz w:val="19"/>
          <w:szCs w:val="19"/>
        </w:rPr>
        <w:t>户能够在计算机模拟环境中移动和反应。虚拟现实</w:t>
      </w:r>
      <w:r>
        <w:rPr>
          <w:sz w:val="19"/>
          <w:szCs w:val="19"/>
        </w:rPr>
        <w:t xml:space="preserve"> </w:t>
      </w:r>
      <w:r>
        <w:rPr>
          <w:spacing w:val="13"/>
          <w:sz w:val="19"/>
          <w:szCs w:val="19"/>
        </w:rPr>
        <w:t>模拟需要特殊的接口设备，将模拟世界的景象、声音和感</w:t>
      </w:r>
      <w:r>
        <w:rPr>
          <w:spacing w:val="12"/>
          <w:sz w:val="19"/>
          <w:szCs w:val="19"/>
        </w:rPr>
        <w:t>觉传送给用户。这些设备还可以将参</w:t>
      </w:r>
      <w:r>
        <w:rPr>
          <w:sz w:val="19"/>
          <w:szCs w:val="19"/>
        </w:rPr>
        <w:t xml:space="preserve"> </w:t>
      </w:r>
      <w:r>
        <w:rPr>
          <w:spacing w:val="13"/>
          <w:sz w:val="19"/>
          <w:szCs w:val="19"/>
        </w:rPr>
        <w:t>与者的语音和动作记录一并发送到仿真程序中，使用户能够像感知和操作</w:t>
      </w:r>
      <w:r>
        <w:rPr>
          <w:spacing w:val="12"/>
          <w:sz w:val="19"/>
          <w:szCs w:val="19"/>
        </w:rPr>
        <w:t>真实对象一样感知和</w:t>
      </w:r>
      <w:r>
        <w:rPr>
          <w:sz w:val="19"/>
          <w:szCs w:val="19"/>
        </w:rPr>
        <w:t xml:space="preserve"> </w:t>
      </w:r>
      <w:r>
        <w:rPr>
          <w:spacing w:val="13"/>
          <w:sz w:val="19"/>
          <w:szCs w:val="19"/>
        </w:rPr>
        <w:t>操作虚拟对象。这种自然的互动方式给参与者一种沉浸</w:t>
      </w:r>
      <w:r>
        <w:rPr>
          <w:spacing w:val="12"/>
          <w:sz w:val="19"/>
          <w:szCs w:val="19"/>
        </w:rPr>
        <w:t>在模拟世界中的感觉。例如，汽车制造</w:t>
      </w:r>
      <w:r>
        <w:rPr>
          <w:sz w:val="19"/>
          <w:szCs w:val="19"/>
        </w:rPr>
        <w:t xml:space="preserve"> </w:t>
      </w:r>
      <w:r>
        <w:rPr>
          <w:spacing w:val="7"/>
          <w:sz w:val="19"/>
          <w:szCs w:val="19"/>
        </w:rPr>
        <w:t>商可以使用虚拟现实来帮助其模拟和设计工厂。</w:t>
      </w:r>
    </w:p>
    <w:p w14:paraId="7CDE52D4">
      <w:pPr>
        <w:pStyle w:val="2"/>
        <w:spacing w:before="49" w:line="302" w:lineRule="auto"/>
        <w:ind w:left="340" w:right="86" w:firstLine="379"/>
        <w:jc w:val="both"/>
        <w:rPr>
          <w:sz w:val="19"/>
          <w:szCs w:val="19"/>
        </w:rPr>
      </w:pPr>
      <w:r>
        <w:rPr>
          <w:spacing w:val="13"/>
          <w:sz w:val="19"/>
          <w:szCs w:val="19"/>
        </w:rPr>
        <w:t>现在已经有成千上万的虚拟现实应用，随着硬件和软件成本的下降以</w:t>
      </w:r>
      <w:r>
        <w:rPr>
          <w:spacing w:val="12"/>
          <w:sz w:val="19"/>
          <w:szCs w:val="19"/>
        </w:rPr>
        <w:t>及人们对虚拟现实潜</w:t>
      </w:r>
      <w:r>
        <w:rPr>
          <w:sz w:val="19"/>
          <w:szCs w:val="19"/>
        </w:rPr>
        <w:t xml:space="preserve"> </w:t>
      </w:r>
      <w:r>
        <w:rPr>
          <w:spacing w:val="13"/>
          <w:sz w:val="19"/>
          <w:szCs w:val="19"/>
        </w:rPr>
        <w:t>力的开发，更多的虚拟现实应用正在开发中。虚拟现实正</w:t>
      </w:r>
      <w:r>
        <w:rPr>
          <w:spacing w:val="12"/>
          <w:sz w:val="19"/>
          <w:szCs w:val="19"/>
        </w:rPr>
        <w:t>在医学、教育培训、商业和娱乐等领</w:t>
      </w:r>
      <w:r>
        <w:rPr>
          <w:sz w:val="19"/>
          <w:szCs w:val="19"/>
        </w:rPr>
        <w:t xml:space="preserve"> </w:t>
      </w:r>
      <w:r>
        <w:rPr>
          <w:spacing w:val="4"/>
          <w:sz w:val="19"/>
          <w:szCs w:val="19"/>
        </w:rPr>
        <w:t>域得到应用。</w:t>
      </w:r>
    </w:p>
    <w:p w14:paraId="71BC07DB">
      <w:pPr>
        <w:pStyle w:val="2"/>
        <w:spacing w:before="103" w:line="221" w:lineRule="auto"/>
        <w:ind w:left="722"/>
        <w:rPr>
          <w:rFonts w:ascii="黑体" w:hAnsi="黑体" w:eastAsia="黑体" w:cs="黑体"/>
          <w:sz w:val="19"/>
          <w:szCs w:val="19"/>
        </w:rPr>
      </w:pPr>
      <w:r>
        <w:rPr>
          <w:b/>
          <w:bCs/>
          <w:color w:val="0B72C2"/>
          <w:spacing w:val="7"/>
          <w:sz w:val="19"/>
          <w:szCs w:val="19"/>
        </w:rPr>
        <w:t>4.</w:t>
      </w:r>
      <w:r>
        <w:rPr>
          <w:rFonts w:ascii="黑体" w:hAnsi="黑体" w:eastAsia="黑体" w:cs="黑体"/>
          <w:b/>
          <w:bCs/>
          <w:color w:val="0B72C2"/>
          <w:spacing w:val="7"/>
          <w:sz w:val="19"/>
          <w:szCs w:val="19"/>
        </w:rPr>
        <w:t>办公自动化系统</w:t>
      </w:r>
    </w:p>
    <w:p w14:paraId="672DCD94">
      <w:pPr>
        <w:spacing w:before="212" w:line="223" w:lineRule="auto"/>
        <w:ind w:left="719"/>
        <w:rPr>
          <w:rFonts w:ascii="楷体" w:hAnsi="楷体" w:eastAsia="楷体" w:cs="楷体"/>
          <w:sz w:val="19"/>
          <w:szCs w:val="19"/>
        </w:rPr>
      </w:pPr>
      <w:r>
        <w:rPr>
          <w:rFonts w:ascii="楷体" w:hAnsi="楷体" w:eastAsia="楷体" w:cs="楷体"/>
          <w:spacing w:val="15"/>
          <w:sz w:val="19"/>
          <w:szCs w:val="19"/>
        </w:rPr>
        <w:t>1)办公自动化系统的概念</w:t>
      </w:r>
    </w:p>
    <w:p w14:paraId="4F932A91">
      <w:pPr>
        <w:pStyle w:val="2"/>
        <w:spacing w:before="74" w:line="295" w:lineRule="auto"/>
        <w:ind w:left="340" w:firstLine="379"/>
        <w:rPr>
          <w:sz w:val="19"/>
          <w:szCs w:val="19"/>
        </w:rPr>
      </w:pPr>
      <w:r>
        <w:rPr>
          <w:spacing w:val="17"/>
          <w:sz w:val="19"/>
          <w:szCs w:val="19"/>
        </w:rPr>
        <w:t>办公自动化就是办公信息处理手段的自动化。从20世纪50年代电子打字机的出现，到20</w:t>
      </w:r>
      <w:r>
        <w:rPr>
          <w:spacing w:val="5"/>
          <w:sz w:val="19"/>
          <w:szCs w:val="19"/>
        </w:rPr>
        <w:t xml:space="preserve">  </w:t>
      </w:r>
      <w:r>
        <w:rPr>
          <w:spacing w:val="20"/>
          <w:sz w:val="19"/>
          <w:szCs w:val="19"/>
        </w:rPr>
        <w:t>世纪70年代文字处理机的出现，直至20世</w:t>
      </w:r>
      <w:r>
        <w:rPr>
          <w:spacing w:val="19"/>
          <w:sz w:val="19"/>
          <w:szCs w:val="19"/>
        </w:rPr>
        <w:t>纪80年代迅速发展起来的办公自动化</w:t>
      </w:r>
      <w:r>
        <w:rPr>
          <w:spacing w:val="-53"/>
          <w:sz w:val="19"/>
          <w:szCs w:val="19"/>
        </w:rPr>
        <w:t xml:space="preserve"> </w:t>
      </w:r>
      <w:r>
        <w:rPr>
          <w:rFonts w:ascii="Times New Roman" w:hAnsi="Times New Roman" w:eastAsia="Times New Roman" w:cs="Times New Roman"/>
          <w:spacing w:val="19"/>
          <w:sz w:val="19"/>
          <w:szCs w:val="19"/>
        </w:rPr>
        <w:t>(</w:t>
      </w:r>
      <w:r>
        <w:rPr>
          <w:rFonts w:ascii="Times New Roman" w:hAnsi="Times New Roman" w:eastAsia="Times New Roman" w:cs="Times New Roman"/>
          <w:sz w:val="19"/>
          <w:szCs w:val="19"/>
        </w:rPr>
        <w:t>OA</w:t>
      </w:r>
      <w:r>
        <w:rPr>
          <w:rFonts w:ascii="Times New Roman" w:hAnsi="Times New Roman" w:eastAsia="Times New Roman" w:cs="Times New Roman"/>
          <w:spacing w:val="19"/>
          <w:sz w:val="19"/>
          <w:szCs w:val="19"/>
        </w:rPr>
        <w:t xml:space="preserve">),     </w:t>
      </w:r>
      <w:r>
        <w:rPr>
          <w:spacing w:val="19"/>
          <w:sz w:val="19"/>
          <w:szCs w:val="19"/>
        </w:rPr>
        <w:t>表</w:t>
      </w:r>
      <w:r>
        <w:rPr>
          <w:sz w:val="19"/>
          <w:szCs w:val="19"/>
        </w:rPr>
        <w:t xml:space="preserve">  </w:t>
      </w:r>
      <w:r>
        <w:rPr>
          <w:spacing w:val="9"/>
          <w:sz w:val="19"/>
          <w:szCs w:val="19"/>
        </w:rPr>
        <w:t>明办公自动化的发展历史虽短，但是办公手段却发生了翻天覆地的变化，经历了从低级到高级、</w:t>
      </w:r>
      <w:r>
        <w:rPr>
          <w:spacing w:val="15"/>
          <w:sz w:val="19"/>
          <w:szCs w:val="19"/>
        </w:rPr>
        <w:t xml:space="preserve"> 从简单到复杂、从单功能到多功能的发展过程，并逐步向系统化、综</w:t>
      </w:r>
      <w:r>
        <w:rPr>
          <w:spacing w:val="14"/>
          <w:sz w:val="19"/>
          <w:szCs w:val="19"/>
        </w:rPr>
        <w:t>合化、数字化、标准化、</w:t>
      </w:r>
      <w:r>
        <w:rPr>
          <w:sz w:val="19"/>
          <w:szCs w:val="19"/>
        </w:rPr>
        <w:t xml:space="preserve"> </w:t>
      </w:r>
      <w:r>
        <w:rPr>
          <w:spacing w:val="10"/>
          <w:sz w:val="19"/>
          <w:szCs w:val="19"/>
        </w:rPr>
        <w:t>智能化、网络化方向发展。与业务处理系统和管理信息系统等以数据处理的信息</w:t>
      </w:r>
      <w:r>
        <w:rPr>
          <w:spacing w:val="9"/>
          <w:sz w:val="19"/>
          <w:szCs w:val="19"/>
        </w:rPr>
        <w:t>系统有所不同，</w:t>
      </w:r>
    </w:p>
    <w:p w14:paraId="34B12C66">
      <w:pPr>
        <w:spacing w:line="295" w:lineRule="auto"/>
        <w:rPr>
          <w:sz w:val="19"/>
          <w:szCs w:val="19"/>
        </w:rPr>
        <w:sectPr>
          <w:pgSz w:w="10300" w:h="13400"/>
          <w:pgMar w:top="400" w:right="1044" w:bottom="400" w:left="520" w:header="0" w:footer="0" w:gutter="0"/>
          <w:cols w:space="720" w:num="1"/>
        </w:sectPr>
      </w:pPr>
    </w:p>
    <w:p w14:paraId="3836DD54">
      <w:pPr>
        <w:pStyle w:val="2"/>
        <w:spacing w:before="96" w:line="219" w:lineRule="auto"/>
        <w:jc w:val="right"/>
        <w:rPr>
          <w:rFonts w:ascii="Times New Roman" w:hAnsi="Times New Roman" w:eastAsia="Times New Roman" w:cs="Times New Roman"/>
          <w:sz w:val="20"/>
          <w:szCs w:val="20"/>
        </w:rPr>
      </w:pPr>
      <w:r>
        <w:rPr>
          <w:spacing w:val="-3"/>
          <w:sz w:val="20"/>
          <w:szCs w:val="20"/>
        </w:rPr>
        <w:t>第5章 信息应用系统</w:t>
      </w:r>
      <w:r>
        <w:rPr>
          <w:spacing w:val="5"/>
          <w:sz w:val="20"/>
          <w:szCs w:val="20"/>
        </w:rPr>
        <w:t xml:space="preserve">      </w:t>
      </w:r>
      <w:r>
        <w:rPr>
          <w:rFonts w:ascii="Times New Roman" w:hAnsi="Times New Roman" w:eastAsia="Times New Roman" w:cs="Times New Roman"/>
          <w:spacing w:val="-3"/>
          <w:position w:val="1"/>
          <w:sz w:val="20"/>
          <w:szCs w:val="20"/>
        </w:rPr>
        <w:t>171</w:t>
      </w:r>
    </w:p>
    <w:p w14:paraId="1DC45E25">
      <w:pPr>
        <w:spacing w:line="297" w:lineRule="auto"/>
        <w:rPr>
          <w:rFonts w:ascii="Arial"/>
          <w:sz w:val="21"/>
        </w:rPr>
      </w:pPr>
    </w:p>
    <w:p w14:paraId="1E73846A">
      <w:pPr>
        <w:pStyle w:val="2"/>
        <w:spacing w:before="65" w:line="219" w:lineRule="auto"/>
        <w:rPr>
          <w:sz w:val="20"/>
          <w:szCs w:val="20"/>
        </w:rPr>
      </w:pPr>
      <w:r>
        <w:rPr>
          <w:rFonts w:ascii="Times New Roman" w:hAnsi="Times New Roman" w:eastAsia="Times New Roman" w:cs="Times New Roman"/>
          <w:spacing w:val="-1"/>
          <w:sz w:val="20"/>
          <w:szCs w:val="20"/>
        </w:rPr>
        <w:t>OA</w:t>
      </w:r>
      <w:r>
        <w:rPr>
          <w:rFonts w:ascii="Times New Roman" w:hAnsi="Times New Roman" w:eastAsia="Times New Roman" w:cs="Times New Roman"/>
          <w:spacing w:val="-5"/>
          <w:sz w:val="20"/>
          <w:szCs w:val="20"/>
        </w:rPr>
        <w:t xml:space="preserve"> </w:t>
      </w:r>
      <w:r>
        <w:rPr>
          <w:spacing w:val="-1"/>
          <w:sz w:val="20"/>
          <w:szCs w:val="20"/>
        </w:rPr>
        <w:t>要解决的是包括数据、文字、声音、图像等信息的一体化处理问题。</w:t>
      </w:r>
    </w:p>
    <w:p w14:paraId="3B693A82">
      <w:pPr>
        <w:pStyle w:val="2"/>
        <w:spacing w:before="70" w:line="281" w:lineRule="auto"/>
        <w:ind w:right="315" w:firstLine="460"/>
        <w:jc w:val="both"/>
        <w:rPr>
          <w:sz w:val="20"/>
          <w:szCs w:val="20"/>
        </w:rPr>
      </w:pPr>
      <w:r>
        <w:rPr>
          <w:spacing w:val="2"/>
          <w:sz w:val="20"/>
          <w:szCs w:val="20"/>
        </w:rPr>
        <w:t>目前，对办公自动化这一概念还没有一个公认的定义。从本质上讲，办公自动化就是以先</w:t>
      </w:r>
      <w:r>
        <w:rPr>
          <w:spacing w:val="1"/>
          <w:sz w:val="20"/>
          <w:szCs w:val="20"/>
        </w:rPr>
        <w:t xml:space="preserve"> </w:t>
      </w:r>
      <w:r>
        <w:rPr>
          <w:spacing w:val="3"/>
          <w:sz w:val="20"/>
          <w:szCs w:val="20"/>
        </w:rPr>
        <w:t>进的科学技术为基础，利用有关办公自动化设备协助办公人员管理各项办公信息，主要利用资</w:t>
      </w:r>
      <w:r>
        <w:rPr>
          <w:sz w:val="20"/>
          <w:szCs w:val="20"/>
        </w:rPr>
        <w:t xml:space="preserve"> </w:t>
      </w:r>
      <w:r>
        <w:rPr>
          <w:spacing w:val="3"/>
          <w:sz w:val="20"/>
          <w:szCs w:val="20"/>
        </w:rPr>
        <w:t>源以提高办公效率和办公质量。它是一个集文字、数据、语言、图像为一体</w:t>
      </w:r>
      <w:r>
        <w:rPr>
          <w:spacing w:val="2"/>
          <w:sz w:val="20"/>
          <w:szCs w:val="20"/>
        </w:rPr>
        <w:t>的综合性、跨学科</w:t>
      </w:r>
      <w:r>
        <w:rPr>
          <w:sz w:val="20"/>
          <w:szCs w:val="20"/>
        </w:rPr>
        <w:t xml:space="preserve"> </w:t>
      </w:r>
      <w:r>
        <w:rPr>
          <w:spacing w:val="3"/>
          <w:sz w:val="20"/>
          <w:szCs w:val="20"/>
        </w:rPr>
        <w:t xml:space="preserve">的人机信息处理系统，计算机技术、通信技术、系统科学和行为科学是它的四大支柱。其中以 </w:t>
      </w:r>
      <w:r>
        <w:rPr>
          <w:spacing w:val="-1"/>
          <w:sz w:val="20"/>
          <w:szCs w:val="20"/>
        </w:rPr>
        <w:t>行为科学为主导，以系统科学为理论基础，结合运用计算机技术和通信技术。</w:t>
      </w:r>
    </w:p>
    <w:p w14:paraId="31B1D225">
      <w:pPr>
        <w:spacing w:before="145" w:line="223" w:lineRule="auto"/>
        <w:ind w:left="410"/>
        <w:rPr>
          <w:rFonts w:ascii="楷体" w:hAnsi="楷体" w:eastAsia="楷体" w:cs="楷体"/>
          <w:sz w:val="20"/>
          <w:szCs w:val="20"/>
        </w:rPr>
      </w:pPr>
      <w:r>
        <w:rPr>
          <w:rFonts w:ascii="楷体" w:hAnsi="楷体" w:eastAsia="楷体" w:cs="楷体"/>
          <w:spacing w:val="8"/>
          <w:sz w:val="20"/>
          <w:szCs w:val="20"/>
        </w:rPr>
        <w:t>2)办公自动化系统的功能</w:t>
      </w:r>
    </w:p>
    <w:p w14:paraId="5E712311">
      <w:pPr>
        <w:pStyle w:val="2"/>
        <w:spacing w:before="63" w:line="290" w:lineRule="auto"/>
        <w:ind w:right="337" w:firstLine="410"/>
        <w:rPr>
          <w:sz w:val="20"/>
          <w:szCs w:val="20"/>
        </w:rPr>
      </w:pPr>
      <w:r>
        <w:rPr>
          <w:rFonts w:ascii="Times New Roman" w:hAnsi="Times New Roman" w:eastAsia="Times New Roman" w:cs="Times New Roman"/>
          <w:sz w:val="20"/>
          <w:szCs w:val="20"/>
        </w:rPr>
        <w:t>OA</w:t>
      </w:r>
      <w:r>
        <w:rPr>
          <w:rFonts w:ascii="Times New Roman" w:hAnsi="Times New Roman" w:eastAsia="Times New Roman" w:cs="Times New Roman"/>
          <w:spacing w:val="4"/>
          <w:sz w:val="20"/>
          <w:szCs w:val="20"/>
        </w:rPr>
        <w:t xml:space="preserve"> </w:t>
      </w:r>
      <w:r>
        <w:rPr>
          <w:spacing w:val="4"/>
          <w:sz w:val="20"/>
          <w:szCs w:val="20"/>
        </w:rPr>
        <w:t>的功能就是要能完成办公信息处理各个环节的任务，准确并及时地为有关单位人员提</w:t>
      </w:r>
      <w:r>
        <w:rPr>
          <w:spacing w:val="16"/>
          <w:sz w:val="20"/>
          <w:szCs w:val="20"/>
        </w:rPr>
        <w:t xml:space="preserve"> </w:t>
      </w:r>
      <w:r>
        <w:rPr>
          <w:spacing w:val="-1"/>
          <w:sz w:val="20"/>
          <w:szCs w:val="20"/>
        </w:rPr>
        <w:t>供信息服务，改善办公环境，提高办公效率。从业务性质来看，</w:t>
      </w:r>
      <w:r>
        <w:rPr>
          <w:rFonts w:ascii="Times New Roman" w:hAnsi="Times New Roman" w:eastAsia="Times New Roman" w:cs="Times New Roman"/>
          <w:spacing w:val="-1"/>
          <w:sz w:val="20"/>
          <w:szCs w:val="20"/>
        </w:rPr>
        <w:t>OA</w:t>
      </w:r>
      <w:r>
        <w:rPr>
          <w:rFonts w:ascii="Times New Roman" w:hAnsi="Times New Roman" w:eastAsia="Times New Roman" w:cs="Times New Roman"/>
          <w:spacing w:val="18"/>
          <w:sz w:val="20"/>
          <w:szCs w:val="20"/>
        </w:rPr>
        <w:t xml:space="preserve"> </w:t>
      </w:r>
      <w:r>
        <w:rPr>
          <w:spacing w:val="-1"/>
          <w:sz w:val="20"/>
          <w:szCs w:val="20"/>
        </w:rPr>
        <w:t>的主要功能如下。</w:t>
      </w:r>
    </w:p>
    <w:p w14:paraId="2DFBFB12">
      <w:pPr>
        <w:pStyle w:val="2"/>
        <w:spacing w:before="11" w:line="219" w:lineRule="auto"/>
        <w:ind w:left="410"/>
        <w:rPr>
          <w:sz w:val="20"/>
          <w:szCs w:val="20"/>
        </w:rPr>
      </w:pPr>
      <w:r>
        <w:rPr>
          <w:spacing w:val="7"/>
          <w:sz w:val="20"/>
          <w:szCs w:val="20"/>
        </w:rPr>
        <w:t>(1)事务处理。</w:t>
      </w:r>
    </w:p>
    <w:p w14:paraId="3DBA51AB">
      <w:pPr>
        <w:pStyle w:val="2"/>
        <w:spacing w:before="71" w:line="281" w:lineRule="auto"/>
        <w:ind w:right="332" w:firstLine="410"/>
        <w:rPr>
          <w:sz w:val="20"/>
          <w:szCs w:val="20"/>
        </w:rPr>
      </w:pPr>
      <w:r>
        <w:rPr>
          <w:spacing w:val="3"/>
          <w:sz w:val="20"/>
          <w:szCs w:val="20"/>
        </w:rPr>
        <w:t>企业中各个办公部门都有大量烦琐的工作，例如发送通知、草拟文件</w:t>
      </w:r>
      <w:r>
        <w:rPr>
          <w:spacing w:val="2"/>
          <w:sz w:val="20"/>
          <w:szCs w:val="20"/>
        </w:rPr>
        <w:t>、打印文字、数据汇</w:t>
      </w:r>
      <w:r>
        <w:rPr>
          <w:sz w:val="20"/>
          <w:szCs w:val="20"/>
        </w:rPr>
        <w:t xml:space="preserve"> </w:t>
      </w:r>
      <w:r>
        <w:rPr>
          <w:spacing w:val="2"/>
          <w:sz w:val="20"/>
          <w:szCs w:val="20"/>
        </w:rPr>
        <w:t>总、报表合成、日程安排和会议组织等，</w:t>
      </w:r>
      <w:r>
        <w:rPr>
          <w:spacing w:val="-43"/>
          <w:sz w:val="20"/>
          <w:szCs w:val="20"/>
        </w:rPr>
        <w:t xml:space="preserve"> </w:t>
      </w:r>
      <w:r>
        <w:rPr>
          <w:spacing w:val="2"/>
          <w:sz w:val="20"/>
          <w:szCs w:val="20"/>
        </w:rPr>
        <w:t>一</w:t>
      </w:r>
      <w:r>
        <w:rPr>
          <w:spacing w:val="1"/>
          <w:sz w:val="20"/>
          <w:szCs w:val="20"/>
        </w:rPr>
        <w:t>般由企业内的文案工作者来完成。实行办公自动化</w:t>
      </w:r>
      <w:r>
        <w:rPr>
          <w:sz w:val="20"/>
          <w:szCs w:val="20"/>
        </w:rPr>
        <w:t xml:space="preserve"> </w:t>
      </w:r>
      <w:r>
        <w:rPr>
          <w:spacing w:val="3"/>
          <w:sz w:val="20"/>
          <w:szCs w:val="20"/>
        </w:rPr>
        <w:t>系统可以把这类大量、繁杂、反复性强的事务交由有关的设备及相应的软件来完</w:t>
      </w:r>
      <w:r>
        <w:rPr>
          <w:spacing w:val="2"/>
          <w:sz w:val="20"/>
          <w:szCs w:val="20"/>
        </w:rPr>
        <w:t>成，以达到提</w:t>
      </w:r>
      <w:r>
        <w:rPr>
          <w:sz w:val="20"/>
          <w:szCs w:val="20"/>
        </w:rPr>
        <w:t xml:space="preserve"> </w:t>
      </w:r>
      <w:r>
        <w:rPr>
          <w:spacing w:val="3"/>
          <w:sz w:val="20"/>
          <w:szCs w:val="20"/>
        </w:rPr>
        <w:t>高工作效率、减轻工作负担和节省人力的目的。这种办公自动化系统称为事务型办公系统，它</w:t>
      </w:r>
      <w:r>
        <w:rPr>
          <w:sz w:val="20"/>
          <w:szCs w:val="20"/>
        </w:rPr>
        <w:t xml:space="preserve"> </w:t>
      </w:r>
      <w:r>
        <w:rPr>
          <w:spacing w:val="-1"/>
          <w:sz w:val="20"/>
          <w:szCs w:val="20"/>
        </w:rPr>
        <w:t>又可分为两种，即单机处理系统和可以支持一个机构内的各办公室的多机处理系统。</w:t>
      </w:r>
    </w:p>
    <w:p w14:paraId="222D9F2E">
      <w:pPr>
        <w:pStyle w:val="2"/>
        <w:spacing w:before="59" w:line="219" w:lineRule="auto"/>
        <w:ind w:left="410"/>
        <w:rPr>
          <w:sz w:val="20"/>
          <w:szCs w:val="20"/>
        </w:rPr>
      </w:pPr>
      <w:r>
        <w:rPr>
          <w:spacing w:val="-4"/>
          <w:sz w:val="20"/>
          <w:szCs w:val="20"/>
        </w:rPr>
        <w:t>单机处理系统主要完成以下任务：</w:t>
      </w:r>
    </w:p>
    <w:p w14:paraId="0D7C2803">
      <w:pPr>
        <w:pStyle w:val="2"/>
        <w:spacing w:before="83" w:line="257" w:lineRule="auto"/>
        <w:ind w:left="680" w:right="338" w:hanging="270"/>
        <w:rPr>
          <w:sz w:val="20"/>
          <w:szCs w:val="20"/>
        </w:rPr>
      </w:pPr>
      <w:r>
        <w:rPr>
          <w:spacing w:val="3"/>
          <w:sz w:val="20"/>
          <w:szCs w:val="20"/>
        </w:rPr>
        <w:t>●文字处理。完成各类文件、报告、通知等书面材料的起草、修</w:t>
      </w:r>
      <w:r>
        <w:rPr>
          <w:spacing w:val="2"/>
          <w:sz w:val="20"/>
          <w:szCs w:val="20"/>
        </w:rPr>
        <w:t>改、编辑及存储，并能通</w:t>
      </w:r>
      <w:r>
        <w:rPr>
          <w:sz w:val="20"/>
          <w:szCs w:val="20"/>
        </w:rPr>
        <w:t xml:space="preserve"> </w:t>
      </w:r>
      <w:r>
        <w:rPr>
          <w:spacing w:val="5"/>
          <w:sz w:val="20"/>
          <w:szCs w:val="20"/>
        </w:rPr>
        <w:t>过相应的输出设备(如打印机、轻印刷设备等)输出符合需求、排版精美的书面文本。</w:t>
      </w:r>
    </w:p>
    <w:p w14:paraId="2252CA23">
      <w:pPr>
        <w:pStyle w:val="2"/>
        <w:spacing w:before="95" w:line="251" w:lineRule="auto"/>
        <w:ind w:left="680" w:right="317" w:hanging="270"/>
        <w:rPr>
          <w:sz w:val="20"/>
          <w:szCs w:val="20"/>
        </w:rPr>
      </w:pPr>
      <w:r>
        <w:rPr>
          <w:spacing w:val="7"/>
          <w:sz w:val="20"/>
          <w:szCs w:val="20"/>
        </w:rPr>
        <w:t>●</w:t>
      </w:r>
      <w:r>
        <w:rPr>
          <w:spacing w:val="-39"/>
          <w:sz w:val="20"/>
          <w:szCs w:val="20"/>
        </w:rPr>
        <w:t xml:space="preserve"> </w:t>
      </w:r>
      <w:r>
        <w:rPr>
          <w:spacing w:val="7"/>
          <w:sz w:val="20"/>
          <w:szCs w:val="20"/>
        </w:rPr>
        <w:t>日程安排。为各级办公人员或某一部门安排活动日程和工作计划，具有自动提醒、提</w:t>
      </w:r>
      <w:r>
        <w:rPr>
          <w:sz w:val="20"/>
          <w:szCs w:val="20"/>
        </w:rPr>
        <w:t xml:space="preserve"> </w:t>
      </w:r>
      <w:r>
        <w:rPr>
          <w:spacing w:val="-2"/>
          <w:sz w:val="20"/>
          <w:szCs w:val="20"/>
        </w:rPr>
        <w:t>示、警告等能力。</w:t>
      </w:r>
    </w:p>
    <w:p w14:paraId="1BF991E8">
      <w:pPr>
        <w:pStyle w:val="2"/>
        <w:spacing w:before="94" w:line="257" w:lineRule="auto"/>
        <w:ind w:left="680" w:right="337" w:hanging="270"/>
        <w:rPr>
          <w:sz w:val="20"/>
          <w:szCs w:val="20"/>
        </w:rPr>
      </w:pPr>
      <w:r>
        <w:rPr>
          <w:spacing w:val="3"/>
          <w:sz w:val="20"/>
          <w:szCs w:val="20"/>
        </w:rPr>
        <w:t>●文档管理。能对各类文件档案资料收发登记，处理领导批示，检</w:t>
      </w:r>
      <w:r>
        <w:rPr>
          <w:spacing w:val="2"/>
          <w:sz w:val="20"/>
          <w:szCs w:val="20"/>
        </w:rPr>
        <w:t>阅登记，分类存储，建</w:t>
      </w:r>
      <w:r>
        <w:rPr>
          <w:sz w:val="20"/>
          <w:szCs w:val="20"/>
        </w:rPr>
        <w:t xml:space="preserve"> </w:t>
      </w:r>
      <w:r>
        <w:rPr>
          <w:spacing w:val="-1"/>
          <w:sz w:val="20"/>
          <w:szCs w:val="20"/>
        </w:rPr>
        <w:t>立目录、主题词等索引，方便查询，并有行文追踪的随机查询和自动提示的功能。</w:t>
      </w:r>
    </w:p>
    <w:p w14:paraId="4271C378">
      <w:pPr>
        <w:pStyle w:val="2"/>
        <w:spacing w:before="85" w:line="257" w:lineRule="auto"/>
        <w:ind w:left="680" w:right="331" w:hanging="270"/>
        <w:rPr>
          <w:sz w:val="20"/>
          <w:szCs w:val="20"/>
        </w:rPr>
      </w:pPr>
      <w:r>
        <w:rPr>
          <w:spacing w:val="8"/>
          <w:sz w:val="20"/>
          <w:szCs w:val="20"/>
        </w:rPr>
        <w:t>●电子报表。能对各种数据进行报表格式处理，并对各种报表格式的数据进行输入、加</w:t>
      </w:r>
      <w:r>
        <w:rPr>
          <w:spacing w:val="10"/>
          <w:sz w:val="20"/>
          <w:szCs w:val="20"/>
        </w:rPr>
        <w:t xml:space="preserve"> </w:t>
      </w:r>
      <w:r>
        <w:rPr>
          <w:spacing w:val="-5"/>
          <w:sz w:val="20"/>
          <w:szCs w:val="20"/>
        </w:rPr>
        <w:t>工、计算及输出。</w:t>
      </w:r>
    </w:p>
    <w:p w14:paraId="4C9A4006">
      <w:pPr>
        <w:pStyle w:val="2"/>
        <w:spacing w:before="62" w:line="270" w:lineRule="auto"/>
        <w:ind w:left="680" w:right="334" w:hanging="270"/>
        <w:rPr>
          <w:sz w:val="20"/>
          <w:szCs w:val="20"/>
        </w:rPr>
      </w:pPr>
      <w:r>
        <w:rPr>
          <w:spacing w:val="5"/>
          <w:sz w:val="20"/>
          <w:szCs w:val="20"/>
        </w:rPr>
        <w:t>●数据处理。能对各种办公数据(包括人事、工资、财务、房屋、基建、车辆和各种办公</w:t>
      </w:r>
      <w:r>
        <w:rPr>
          <w:spacing w:val="16"/>
          <w:sz w:val="20"/>
          <w:szCs w:val="20"/>
        </w:rPr>
        <w:t xml:space="preserve"> </w:t>
      </w:r>
      <w:r>
        <w:rPr>
          <w:spacing w:val="4"/>
          <w:sz w:val="20"/>
          <w:szCs w:val="20"/>
        </w:rPr>
        <w:t>用品等)进行数据采集、计算和存储，主要是利用数据</w:t>
      </w:r>
      <w:r>
        <w:rPr>
          <w:spacing w:val="3"/>
          <w:sz w:val="20"/>
          <w:szCs w:val="20"/>
        </w:rPr>
        <w:t>库管理系统来构造小型办公事务</w:t>
      </w:r>
      <w:r>
        <w:rPr>
          <w:sz w:val="20"/>
          <w:szCs w:val="20"/>
        </w:rPr>
        <w:t xml:space="preserve"> </w:t>
      </w:r>
      <w:r>
        <w:rPr>
          <w:spacing w:val="-6"/>
          <w:sz w:val="20"/>
          <w:szCs w:val="20"/>
        </w:rPr>
        <w:t>处理数据库。</w:t>
      </w:r>
    </w:p>
    <w:p w14:paraId="0F117F47">
      <w:pPr>
        <w:pStyle w:val="2"/>
        <w:spacing w:before="92" w:line="219" w:lineRule="auto"/>
        <w:ind w:left="410"/>
        <w:rPr>
          <w:sz w:val="20"/>
          <w:szCs w:val="20"/>
        </w:rPr>
      </w:pPr>
      <w:r>
        <w:rPr>
          <w:spacing w:val="-2"/>
          <w:sz w:val="20"/>
          <w:szCs w:val="20"/>
        </w:rPr>
        <w:t>多机处理系统具有通信功能，实现信息共享</w:t>
      </w:r>
      <w:r>
        <w:rPr>
          <w:spacing w:val="-3"/>
          <w:sz w:val="20"/>
          <w:szCs w:val="20"/>
        </w:rPr>
        <w:t>，其主要功能有：</w:t>
      </w:r>
    </w:p>
    <w:p w14:paraId="5EC0A5B4">
      <w:pPr>
        <w:pStyle w:val="2"/>
        <w:spacing w:before="82" w:line="219" w:lineRule="auto"/>
        <w:ind w:left="410"/>
        <w:rPr>
          <w:sz w:val="20"/>
          <w:szCs w:val="20"/>
        </w:rPr>
      </w:pPr>
      <w:r>
        <w:rPr>
          <w:spacing w:val="1"/>
          <w:sz w:val="20"/>
          <w:szCs w:val="20"/>
        </w:rPr>
        <w:t>●电子会议。包括会议日程安排、资料查问、发言记录、会议纪要等。</w:t>
      </w:r>
    </w:p>
    <w:p w14:paraId="73BCF6CE">
      <w:pPr>
        <w:pStyle w:val="2"/>
        <w:spacing w:before="74" w:line="252" w:lineRule="auto"/>
        <w:ind w:left="680" w:right="246" w:hanging="270"/>
        <w:rPr>
          <w:sz w:val="20"/>
          <w:szCs w:val="20"/>
        </w:rPr>
      </w:pPr>
      <w:r>
        <w:rPr>
          <w:spacing w:val="5"/>
          <w:sz w:val="20"/>
          <w:szCs w:val="20"/>
        </w:rPr>
        <w:t>●电子邮件。利用计算机及其网络系统对各种公文、信函、报表和资料进行编辑、加工、</w:t>
      </w:r>
      <w:r>
        <w:rPr>
          <w:spacing w:val="3"/>
          <w:sz w:val="20"/>
          <w:szCs w:val="20"/>
        </w:rPr>
        <w:t xml:space="preserve"> </w:t>
      </w:r>
      <w:r>
        <w:rPr>
          <w:spacing w:val="-1"/>
          <w:sz w:val="20"/>
          <w:szCs w:val="20"/>
        </w:rPr>
        <w:t>收发、存储及传递，实现无纸办公。</w:t>
      </w:r>
    </w:p>
    <w:p w14:paraId="3D91BA30">
      <w:pPr>
        <w:pStyle w:val="2"/>
        <w:spacing w:before="73" w:line="267" w:lineRule="auto"/>
        <w:ind w:left="680" w:right="332" w:hanging="270"/>
        <w:rPr>
          <w:sz w:val="20"/>
          <w:szCs w:val="20"/>
        </w:rPr>
      </w:pPr>
      <w:r>
        <w:rPr>
          <w:spacing w:val="8"/>
          <w:sz w:val="20"/>
          <w:szCs w:val="20"/>
        </w:rPr>
        <w:t xml:space="preserve">●语音处理。利用电子设备对语音进行识别、合成、存储并传输，如电话会议、语音信 </w:t>
      </w:r>
      <w:r>
        <w:rPr>
          <w:spacing w:val="-3"/>
          <w:sz w:val="20"/>
          <w:szCs w:val="20"/>
        </w:rPr>
        <w:t>箱等。</w:t>
      </w:r>
    </w:p>
    <w:p w14:paraId="5A0CF772">
      <w:pPr>
        <w:pStyle w:val="2"/>
        <w:spacing w:before="51" w:line="262" w:lineRule="auto"/>
        <w:ind w:left="680" w:right="330" w:hanging="270"/>
        <w:rPr>
          <w:sz w:val="20"/>
          <w:szCs w:val="20"/>
        </w:rPr>
      </w:pPr>
      <w:r>
        <w:rPr>
          <w:spacing w:val="13"/>
          <w:sz w:val="20"/>
          <w:szCs w:val="20"/>
        </w:rPr>
        <w:t>●图形图像处理。对办公事务中的图形(静态)、图像(动态)进行输入、加工、传输和</w:t>
      </w:r>
      <w:r>
        <w:rPr>
          <w:spacing w:val="8"/>
          <w:sz w:val="20"/>
          <w:szCs w:val="20"/>
        </w:rPr>
        <w:t xml:space="preserve"> </w:t>
      </w:r>
      <w:r>
        <w:rPr>
          <w:spacing w:val="-2"/>
          <w:sz w:val="20"/>
          <w:szCs w:val="20"/>
        </w:rPr>
        <w:t>输出，如电视会议、图形扫描、文字传真等。</w:t>
      </w:r>
    </w:p>
    <w:p w14:paraId="3C686B3D">
      <w:pPr>
        <w:pStyle w:val="2"/>
        <w:spacing w:before="83" w:line="219" w:lineRule="auto"/>
        <w:ind w:left="410"/>
        <w:rPr>
          <w:sz w:val="20"/>
          <w:szCs w:val="20"/>
        </w:rPr>
      </w:pPr>
      <w:r>
        <w:rPr>
          <w:spacing w:val="3"/>
          <w:sz w:val="20"/>
          <w:szCs w:val="20"/>
        </w:rPr>
        <w:t>●联机情报检索。对国内、国际上的大型综合情报资料数据库进行联机检索，以获得所需</w:t>
      </w:r>
    </w:p>
    <w:p w14:paraId="31988315">
      <w:pPr>
        <w:spacing w:line="219" w:lineRule="auto"/>
        <w:rPr>
          <w:sz w:val="20"/>
          <w:szCs w:val="20"/>
        </w:rPr>
        <w:sectPr>
          <w:pgSz w:w="10290" w:h="13310"/>
          <w:pgMar w:top="400" w:right="523" w:bottom="400" w:left="1109" w:header="0" w:footer="0" w:gutter="0"/>
          <w:cols w:space="720" w:num="1"/>
        </w:sectPr>
      </w:pPr>
    </w:p>
    <w:p w14:paraId="3F9EDEC4">
      <w:pPr>
        <w:pStyle w:val="2"/>
        <w:spacing w:before="78" w:line="219" w:lineRule="auto"/>
        <w:rPr>
          <w:sz w:val="20"/>
          <w:szCs w:val="20"/>
        </w:rPr>
      </w:pPr>
      <w:bookmarkStart w:id="566" w:name="bookmark552"/>
      <w:bookmarkEnd w:id="566"/>
      <w:r>
        <w:rPr>
          <w:rFonts w:ascii="Times New Roman" w:hAnsi="Times New Roman" w:eastAsia="Times New Roman" w:cs="Times New Roman"/>
          <w:spacing w:val="-2"/>
          <w:sz w:val="17"/>
          <w:szCs w:val="17"/>
        </w:rPr>
        <w:t xml:space="preserve">172                 </w:t>
      </w:r>
      <w:r>
        <w:rPr>
          <w:spacing w:val="-2"/>
          <w:sz w:val="20"/>
          <w:szCs w:val="20"/>
        </w:rPr>
        <w:t>信息系统监理师教</w:t>
      </w:r>
      <w:r>
        <w:rPr>
          <w:spacing w:val="-3"/>
          <w:sz w:val="20"/>
          <w:szCs w:val="20"/>
        </w:rPr>
        <w:t>程(第2版)</w:t>
      </w:r>
    </w:p>
    <w:p w14:paraId="2D17ACB0">
      <w:pPr>
        <w:spacing w:line="325" w:lineRule="auto"/>
        <w:rPr>
          <w:rFonts w:ascii="Arial"/>
          <w:sz w:val="21"/>
        </w:rPr>
      </w:pPr>
    </w:p>
    <w:p w14:paraId="6E4728E0">
      <w:pPr>
        <w:pStyle w:val="2"/>
        <w:spacing w:before="65" w:line="219" w:lineRule="auto"/>
        <w:ind w:left="1030"/>
        <w:rPr>
          <w:sz w:val="20"/>
          <w:szCs w:val="20"/>
        </w:rPr>
      </w:pPr>
      <w:r>
        <w:rPr>
          <w:spacing w:val="-5"/>
          <w:sz w:val="20"/>
          <w:szCs w:val="20"/>
        </w:rPr>
        <w:t>相关领域的信息。</w:t>
      </w:r>
    </w:p>
    <w:p w14:paraId="2D171F60">
      <w:pPr>
        <w:pStyle w:val="2"/>
        <w:spacing w:before="82" w:line="219" w:lineRule="auto"/>
        <w:ind w:left="750"/>
        <w:rPr>
          <w:sz w:val="20"/>
          <w:szCs w:val="20"/>
        </w:rPr>
      </w:pPr>
      <w:r>
        <w:rPr>
          <w:spacing w:val="7"/>
          <w:sz w:val="20"/>
          <w:szCs w:val="20"/>
        </w:rPr>
        <w:t>(2)信息管理。</w:t>
      </w:r>
    </w:p>
    <w:p w14:paraId="79C8CBA5">
      <w:pPr>
        <w:pStyle w:val="2"/>
        <w:spacing w:before="90" w:line="281" w:lineRule="auto"/>
        <w:ind w:left="340" w:firstLine="410"/>
        <w:rPr>
          <w:sz w:val="20"/>
          <w:szCs w:val="20"/>
        </w:rPr>
      </w:pPr>
      <w:r>
        <w:rPr>
          <w:spacing w:val="5"/>
          <w:sz w:val="20"/>
          <w:szCs w:val="20"/>
        </w:rPr>
        <w:t>对信息流的控制管理是每个办公部门最本质的工作，主要包括信息的收集、加工、传递、</w:t>
      </w:r>
      <w:r>
        <w:rPr>
          <w:spacing w:val="4"/>
          <w:sz w:val="20"/>
          <w:szCs w:val="20"/>
        </w:rPr>
        <w:t xml:space="preserve"> </w:t>
      </w:r>
      <w:r>
        <w:rPr>
          <w:spacing w:val="1"/>
          <w:sz w:val="20"/>
          <w:szCs w:val="20"/>
        </w:rPr>
        <w:t>交流、存取、提供、分析、判断、应用和反馈</w:t>
      </w:r>
      <w:r>
        <w:rPr>
          <w:sz w:val="20"/>
          <w:szCs w:val="20"/>
        </w:rPr>
        <w:t xml:space="preserve">。那些办公人员的综合性工作， 一般由企业中层  </w:t>
      </w:r>
      <w:r>
        <w:rPr>
          <w:spacing w:val="3"/>
          <w:sz w:val="20"/>
          <w:szCs w:val="20"/>
        </w:rPr>
        <w:t>管理人员完成。支持这类办公活动的办公自动化系统可称为管理型办公系统，它能将事</w:t>
      </w:r>
      <w:r>
        <w:rPr>
          <w:spacing w:val="2"/>
          <w:sz w:val="20"/>
          <w:szCs w:val="20"/>
        </w:rPr>
        <w:t>务型办</w:t>
      </w:r>
      <w:r>
        <w:rPr>
          <w:sz w:val="20"/>
          <w:szCs w:val="20"/>
        </w:rPr>
        <w:t xml:space="preserve">  </w:t>
      </w:r>
      <w:r>
        <w:rPr>
          <w:spacing w:val="3"/>
          <w:sz w:val="20"/>
          <w:szCs w:val="20"/>
        </w:rPr>
        <w:t>公系统中各项孤立的事务处理通过信息交换和共享资源联系起来，获得准确、快</w:t>
      </w:r>
      <w:r>
        <w:rPr>
          <w:spacing w:val="2"/>
          <w:sz w:val="20"/>
          <w:szCs w:val="20"/>
        </w:rPr>
        <w:t>捷、及时、优</w:t>
      </w:r>
      <w:r>
        <w:rPr>
          <w:sz w:val="20"/>
          <w:szCs w:val="20"/>
        </w:rPr>
        <w:t xml:space="preserve">  </w:t>
      </w:r>
      <w:r>
        <w:rPr>
          <w:spacing w:val="-1"/>
          <w:sz w:val="20"/>
          <w:szCs w:val="20"/>
        </w:rPr>
        <w:t>质的功效。管理型办公系统是一种分布式的处理系统，具有计算机通信和网络功能。</w:t>
      </w:r>
    </w:p>
    <w:p w14:paraId="6D6C862C">
      <w:pPr>
        <w:pStyle w:val="2"/>
        <w:spacing w:before="70" w:line="219" w:lineRule="auto"/>
        <w:ind w:left="750"/>
        <w:rPr>
          <w:sz w:val="20"/>
          <w:szCs w:val="20"/>
        </w:rPr>
      </w:pPr>
      <w:r>
        <w:rPr>
          <w:spacing w:val="7"/>
          <w:sz w:val="20"/>
          <w:szCs w:val="20"/>
        </w:rPr>
        <w:t>(3)辅助决策。</w:t>
      </w:r>
    </w:p>
    <w:p w14:paraId="4A718F09">
      <w:pPr>
        <w:pStyle w:val="2"/>
        <w:spacing w:before="83" w:line="279" w:lineRule="auto"/>
        <w:ind w:left="340" w:right="20" w:firstLine="410"/>
        <w:rPr>
          <w:sz w:val="20"/>
          <w:szCs w:val="20"/>
        </w:rPr>
      </w:pPr>
      <w:r>
        <w:rPr>
          <w:spacing w:val="1"/>
          <w:sz w:val="20"/>
          <w:szCs w:val="20"/>
        </w:rPr>
        <w:t>决策是根据预定目标做出的行动决定，它是办公活动的重要组</w:t>
      </w:r>
      <w:r>
        <w:rPr>
          <w:sz w:val="20"/>
          <w:szCs w:val="20"/>
        </w:rPr>
        <w:t xml:space="preserve">成部分， 一般由企业高层领 </w:t>
      </w:r>
      <w:r>
        <w:rPr>
          <w:spacing w:val="2"/>
          <w:sz w:val="20"/>
          <w:szCs w:val="20"/>
        </w:rPr>
        <w:t>导人及其“智囊团”(即专业人员)来完成。担任辅助决策的办公自动化系统可称为决策型办公</w:t>
      </w:r>
      <w:r>
        <w:rPr>
          <w:spacing w:val="8"/>
          <w:sz w:val="20"/>
          <w:szCs w:val="20"/>
        </w:rPr>
        <w:t xml:space="preserve">  </w:t>
      </w:r>
      <w:r>
        <w:rPr>
          <w:sz w:val="20"/>
          <w:szCs w:val="20"/>
        </w:rPr>
        <w:t>系统，以经理型办公系统提供的大量信息作为决策工作的基础，建立起</w:t>
      </w:r>
      <w:r>
        <w:rPr>
          <w:spacing w:val="-1"/>
          <w:sz w:val="20"/>
          <w:szCs w:val="20"/>
        </w:rPr>
        <w:t>能综合分析、预测发展、</w:t>
      </w:r>
      <w:r>
        <w:rPr>
          <w:sz w:val="20"/>
          <w:szCs w:val="20"/>
        </w:rPr>
        <w:t xml:space="preserve"> </w:t>
      </w:r>
      <w:r>
        <w:rPr>
          <w:spacing w:val="-1"/>
          <w:sz w:val="20"/>
          <w:szCs w:val="20"/>
        </w:rPr>
        <w:t>判断利弊的计算机可运行的决策模型，根据原始数据信息，自动做出比较符合实际的决策方案。</w:t>
      </w:r>
    </w:p>
    <w:p w14:paraId="2BBB4973">
      <w:pPr>
        <w:spacing w:before="116" w:line="223" w:lineRule="auto"/>
        <w:ind w:left="750"/>
        <w:rPr>
          <w:rFonts w:ascii="楷体" w:hAnsi="楷体" w:eastAsia="楷体" w:cs="楷体"/>
          <w:sz w:val="20"/>
          <w:szCs w:val="20"/>
        </w:rPr>
      </w:pPr>
      <w:r>
        <w:rPr>
          <w:rFonts w:ascii="楷体" w:hAnsi="楷体" w:eastAsia="楷体" w:cs="楷体"/>
          <w:spacing w:val="6"/>
          <w:sz w:val="20"/>
          <w:szCs w:val="20"/>
        </w:rPr>
        <w:t>3)办公自动化系统的组成</w:t>
      </w:r>
    </w:p>
    <w:p w14:paraId="494A79F2">
      <w:pPr>
        <w:pStyle w:val="2"/>
        <w:spacing w:before="73" w:line="219" w:lineRule="auto"/>
        <w:ind w:left="750"/>
        <w:rPr>
          <w:sz w:val="20"/>
          <w:szCs w:val="20"/>
        </w:rPr>
      </w:pPr>
      <w:r>
        <w:rPr>
          <w:spacing w:val="-3"/>
          <w:sz w:val="20"/>
          <w:szCs w:val="20"/>
        </w:rPr>
        <w:t>办公自动化系统是现代企业办公的一类信息系统，OA</w:t>
      </w:r>
      <w:r>
        <w:rPr>
          <w:spacing w:val="104"/>
          <w:sz w:val="20"/>
          <w:szCs w:val="20"/>
        </w:rPr>
        <w:t xml:space="preserve"> </w:t>
      </w:r>
      <w:r>
        <w:rPr>
          <w:spacing w:val="-3"/>
          <w:sz w:val="20"/>
          <w:szCs w:val="20"/>
        </w:rPr>
        <w:t>的组成包括以下四部分。</w:t>
      </w:r>
    </w:p>
    <w:p w14:paraId="61BBEC70">
      <w:pPr>
        <w:pStyle w:val="2"/>
        <w:spacing w:before="82" w:line="219" w:lineRule="auto"/>
        <w:ind w:left="750"/>
        <w:rPr>
          <w:sz w:val="20"/>
          <w:szCs w:val="20"/>
        </w:rPr>
      </w:pPr>
      <w:r>
        <w:rPr>
          <w:spacing w:val="5"/>
          <w:sz w:val="20"/>
          <w:szCs w:val="20"/>
        </w:rPr>
        <w:t>(1)计算机设备。</w:t>
      </w:r>
    </w:p>
    <w:p w14:paraId="3D5D04E0">
      <w:pPr>
        <w:pStyle w:val="2"/>
        <w:spacing w:before="82" w:line="283" w:lineRule="auto"/>
        <w:ind w:left="340" w:right="20" w:firstLine="410"/>
        <w:rPr>
          <w:sz w:val="20"/>
          <w:szCs w:val="20"/>
        </w:rPr>
      </w:pPr>
      <w:r>
        <w:rPr>
          <w:sz w:val="20"/>
          <w:szCs w:val="20"/>
        </w:rPr>
        <w:t>计算机设备包括主机系统、终端设备及外部</w:t>
      </w:r>
      <w:r>
        <w:rPr>
          <w:spacing w:val="-1"/>
          <w:sz w:val="20"/>
          <w:szCs w:val="20"/>
        </w:rPr>
        <w:t>设备。办公自动化系统通常是一个局域网系统，</w:t>
      </w:r>
      <w:r>
        <w:rPr>
          <w:sz w:val="20"/>
          <w:szCs w:val="20"/>
        </w:rPr>
        <w:t xml:space="preserve"> </w:t>
      </w:r>
      <w:r>
        <w:rPr>
          <w:spacing w:val="3"/>
          <w:sz w:val="20"/>
          <w:szCs w:val="20"/>
        </w:rPr>
        <w:t>它由主机系统连接各种终端以及远地工作站、远程终端。因此，主机系统至少要</w:t>
      </w:r>
      <w:r>
        <w:rPr>
          <w:spacing w:val="2"/>
          <w:sz w:val="20"/>
          <w:szCs w:val="20"/>
        </w:rPr>
        <w:t>由超级微机来</w:t>
      </w:r>
      <w:r>
        <w:rPr>
          <w:sz w:val="20"/>
          <w:szCs w:val="20"/>
        </w:rPr>
        <w:t xml:space="preserve"> </w:t>
      </w:r>
      <w:r>
        <w:rPr>
          <w:spacing w:val="3"/>
          <w:sz w:val="20"/>
          <w:szCs w:val="20"/>
        </w:rPr>
        <w:t>担任，它必须具备高速的处理器、大容量的存储设备、各种高低档的外部设备。终端设</w:t>
      </w:r>
      <w:r>
        <w:rPr>
          <w:spacing w:val="2"/>
          <w:sz w:val="20"/>
          <w:szCs w:val="20"/>
        </w:rPr>
        <w:t>备是安</w:t>
      </w:r>
      <w:r>
        <w:rPr>
          <w:sz w:val="20"/>
          <w:szCs w:val="20"/>
        </w:rPr>
        <w:t xml:space="preserve"> </w:t>
      </w:r>
      <w:r>
        <w:rPr>
          <w:spacing w:val="2"/>
          <w:sz w:val="20"/>
          <w:szCs w:val="20"/>
        </w:rPr>
        <w:t>置在各办公室内供工作人员使用的，</w:t>
      </w:r>
      <w:r>
        <w:rPr>
          <w:spacing w:val="-46"/>
          <w:sz w:val="20"/>
          <w:szCs w:val="20"/>
        </w:rPr>
        <w:t xml:space="preserve"> </w:t>
      </w:r>
      <w:r>
        <w:rPr>
          <w:spacing w:val="2"/>
          <w:sz w:val="20"/>
          <w:szCs w:val="20"/>
        </w:rPr>
        <w:t>一般情况下</w:t>
      </w:r>
      <w:r>
        <w:rPr>
          <w:spacing w:val="1"/>
          <w:sz w:val="20"/>
          <w:szCs w:val="20"/>
        </w:rPr>
        <w:t>系统都会为用户提供一个用户界面，如菜单式</w:t>
      </w:r>
      <w:r>
        <w:rPr>
          <w:sz w:val="20"/>
          <w:szCs w:val="20"/>
        </w:rPr>
        <w:t xml:space="preserve"> </w:t>
      </w:r>
      <w:r>
        <w:rPr>
          <w:spacing w:val="3"/>
          <w:sz w:val="20"/>
          <w:szCs w:val="20"/>
        </w:rPr>
        <w:t>提示，以方便用户使用。外部设备包括输入设备、输出设备。在办公自动化系统</w:t>
      </w:r>
      <w:r>
        <w:rPr>
          <w:spacing w:val="2"/>
          <w:sz w:val="20"/>
          <w:szCs w:val="20"/>
        </w:rPr>
        <w:t>中使用的输入</w:t>
      </w:r>
      <w:r>
        <w:rPr>
          <w:sz w:val="20"/>
          <w:szCs w:val="20"/>
        </w:rPr>
        <w:t xml:space="preserve"> </w:t>
      </w:r>
      <w:r>
        <w:rPr>
          <w:spacing w:val="3"/>
          <w:sz w:val="20"/>
          <w:szCs w:val="20"/>
        </w:rPr>
        <w:t>设备除了常用的键盘输入以外，经常使用的还有语音输入、手写输入、图像输入等形式。输出</w:t>
      </w:r>
      <w:r>
        <w:rPr>
          <w:spacing w:val="10"/>
          <w:sz w:val="20"/>
          <w:szCs w:val="20"/>
        </w:rPr>
        <w:t xml:space="preserve"> </w:t>
      </w:r>
      <w:r>
        <w:rPr>
          <w:spacing w:val="3"/>
          <w:sz w:val="20"/>
          <w:szCs w:val="20"/>
        </w:rPr>
        <w:t>设备有各种类型的打印机，如针式打印机、喷墨打印机、激光打印机等，可以输出各</w:t>
      </w:r>
      <w:r>
        <w:rPr>
          <w:spacing w:val="2"/>
          <w:sz w:val="20"/>
          <w:szCs w:val="20"/>
        </w:rPr>
        <w:t>类印制要</w:t>
      </w:r>
      <w:r>
        <w:rPr>
          <w:sz w:val="20"/>
          <w:szCs w:val="20"/>
        </w:rPr>
        <w:t xml:space="preserve"> </w:t>
      </w:r>
      <w:r>
        <w:rPr>
          <w:spacing w:val="-4"/>
          <w:sz w:val="20"/>
          <w:szCs w:val="20"/>
        </w:rPr>
        <w:t>求较高的公文和报表。</w:t>
      </w:r>
    </w:p>
    <w:p w14:paraId="546A050C">
      <w:pPr>
        <w:pStyle w:val="2"/>
        <w:spacing w:before="49" w:line="219" w:lineRule="auto"/>
        <w:ind w:left="750"/>
        <w:rPr>
          <w:sz w:val="20"/>
          <w:szCs w:val="20"/>
        </w:rPr>
      </w:pPr>
      <w:r>
        <w:rPr>
          <w:spacing w:val="7"/>
          <w:sz w:val="20"/>
          <w:szCs w:val="20"/>
        </w:rPr>
        <w:t>(2)办公设备。</w:t>
      </w:r>
    </w:p>
    <w:p w14:paraId="075F471E">
      <w:pPr>
        <w:pStyle w:val="2"/>
        <w:spacing w:before="72" w:line="291" w:lineRule="auto"/>
        <w:ind w:left="340" w:right="77" w:firstLine="410"/>
        <w:rPr>
          <w:sz w:val="20"/>
          <w:szCs w:val="20"/>
        </w:rPr>
      </w:pPr>
      <w:r>
        <w:rPr>
          <w:spacing w:val="3"/>
          <w:sz w:val="20"/>
          <w:szCs w:val="20"/>
        </w:rPr>
        <w:t>办公设备包括电话机、传真机、电传机、复印机和轻印刷设备，以及各种大容量存储介质</w:t>
      </w:r>
      <w:r>
        <w:rPr>
          <w:spacing w:val="4"/>
          <w:sz w:val="20"/>
          <w:szCs w:val="20"/>
        </w:rPr>
        <w:t xml:space="preserve"> </w:t>
      </w:r>
      <w:r>
        <w:rPr>
          <w:spacing w:val="7"/>
          <w:sz w:val="20"/>
          <w:szCs w:val="20"/>
        </w:rPr>
        <w:t>(例如光盘、缩微胶片等)和电子会议支持设备(例如闭路电视、投影仪等)等。</w:t>
      </w:r>
    </w:p>
    <w:p w14:paraId="7171725B">
      <w:pPr>
        <w:pStyle w:val="2"/>
        <w:spacing w:line="219" w:lineRule="auto"/>
        <w:ind w:left="750"/>
        <w:rPr>
          <w:sz w:val="20"/>
          <w:szCs w:val="20"/>
        </w:rPr>
      </w:pPr>
      <w:r>
        <w:rPr>
          <w:spacing w:val="4"/>
          <w:sz w:val="20"/>
          <w:szCs w:val="20"/>
        </w:rPr>
        <w:t>(3)数据通信及网络设备。</w:t>
      </w:r>
    </w:p>
    <w:p w14:paraId="4BB4D9EA">
      <w:pPr>
        <w:pStyle w:val="2"/>
        <w:spacing w:before="72" w:line="219" w:lineRule="auto"/>
        <w:ind w:left="750"/>
        <w:rPr>
          <w:sz w:val="20"/>
          <w:szCs w:val="20"/>
        </w:rPr>
      </w:pPr>
      <w:r>
        <w:rPr>
          <w:spacing w:val="-2"/>
          <w:sz w:val="20"/>
          <w:szCs w:val="20"/>
        </w:rPr>
        <w:t>数据通信及网络设备应能连接各远程结点，便于快速处理数据，及时上传下达。</w:t>
      </w:r>
    </w:p>
    <w:p w14:paraId="2F88E9B6">
      <w:pPr>
        <w:pStyle w:val="2"/>
        <w:spacing w:before="84" w:line="219" w:lineRule="auto"/>
        <w:ind w:left="750"/>
        <w:rPr>
          <w:sz w:val="20"/>
          <w:szCs w:val="20"/>
        </w:rPr>
      </w:pPr>
      <w:r>
        <w:rPr>
          <w:spacing w:val="7"/>
          <w:sz w:val="20"/>
          <w:szCs w:val="20"/>
        </w:rPr>
        <w:t>(4)软件系统。</w:t>
      </w:r>
    </w:p>
    <w:p w14:paraId="62687B60">
      <w:pPr>
        <w:pStyle w:val="2"/>
        <w:spacing w:before="50" w:line="281" w:lineRule="auto"/>
        <w:ind w:left="340" w:right="39" w:firstLine="410"/>
        <w:rPr>
          <w:sz w:val="20"/>
          <w:szCs w:val="20"/>
        </w:rPr>
      </w:pPr>
      <w:r>
        <w:rPr>
          <w:spacing w:val="-1"/>
          <w:sz w:val="20"/>
          <w:szCs w:val="20"/>
        </w:rPr>
        <w:t>软件系统体现了办公自动化的全部功能，可分为以下三大类：系统软件，如操作系统软件、</w:t>
      </w:r>
      <w:r>
        <w:rPr>
          <w:sz w:val="20"/>
          <w:szCs w:val="20"/>
        </w:rPr>
        <w:t xml:space="preserve"> </w:t>
      </w:r>
      <w:r>
        <w:rPr>
          <w:spacing w:val="3"/>
          <w:sz w:val="20"/>
          <w:szCs w:val="20"/>
        </w:rPr>
        <w:t>网络系统软件等，提供应用软件运行的系统支持；专用软件，根据实际应用，利用</w:t>
      </w:r>
      <w:r>
        <w:rPr>
          <w:spacing w:val="2"/>
          <w:sz w:val="20"/>
          <w:szCs w:val="20"/>
        </w:rPr>
        <w:t>一定的系统</w:t>
      </w:r>
      <w:r>
        <w:rPr>
          <w:sz w:val="20"/>
          <w:szCs w:val="20"/>
        </w:rPr>
        <w:t xml:space="preserve"> </w:t>
      </w:r>
      <w:r>
        <w:rPr>
          <w:spacing w:val="3"/>
          <w:sz w:val="20"/>
          <w:szCs w:val="20"/>
        </w:rPr>
        <w:t>开发方法和开发工具进行各项办公信息、事务处理和管理的专用程序；支持软件，</w:t>
      </w:r>
      <w:r>
        <w:rPr>
          <w:spacing w:val="2"/>
          <w:sz w:val="20"/>
          <w:szCs w:val="20"/>
        </w:rPr>
        <w:t>辅助专用软</w:t>
      </w:r>
      <w:r>
        <w:rPr>
          <w:sz w:val="20"/>
          <w:szCs w:val="20"/>
        </w:rPr>
        <w:t xml:space="preserve"> </w:t>
      </w:r>
      <w:r>
        <w:rPr>
          <w:spacing w:val="3"/>
          <w:sz w:val="20"/>
          <w:szCs w:val="20"/>
        </w:rPr>
        <w:t>件完成相应的管理工作，如文字处理软件、数据库管理系统、电子邮件支持软件</w:t>
      </w:r>
      <w:r>
        <w:rPr>
          <w:spacing w:val="2"/>
          <w:sz w:val="20"/>
          <w:szCs w:val="20"/>
        </w:rPr>
        <w:t>、图形图像处</w:t>
      </w:r>
      <w:r>
        <w:rPr>
          <w:sz w:val="20"/>
          <w:szCs w:val="20"/>
        </w:rPr>
        <w:t xml:space="preserve"> </w:t>
      </w:r>
      <w:r>
        <w:rPr>
          <w:spacing w:val="-1"/>
          <w:sz w:val="20"/>
          <w:szCs w:val="20"/>
        </w:rPr>
        <w:t>理软件等。这几类软件与系统软件一般都是通</w:t>
      </w:r>
      <w:r>
        <w:rPr>
          <w:spacing w:val="-2"/>
          <w:sz w:val="20"/>
          <w:szCs w:val="20"/>
        </w:rPr>
        <w:t>过购买而直接使用。</w:t>
      </w:r>
    </w:p>
    <w:p w14:paraId="5F2B5DFF">
      <w:pPr>
        <w:spacing w:line="281" w:lineRule="auto"/>
        <w:rPr>
          <w:sz w:val="20"/>
          <w:szCs w:val="20"/>
        </w:rPr>
        <w:sectPr>
          <w:pgSz w:w="10300" w:h="13390"/>
          <w:pgMar w:top="400" w:right="1049" w:bottom="400" w:left="499" w:header="0" w:footer="0" w:gutter="0"/>
          <w:cols w:space="720" w:num="1"/>
        </w:sectPr>
      </w:pPr>
    </w:p>
    <w:p w14:paraId="22B7A833">
      <w:pPr>
        <w:spacing w:line="248" w:lineRule="auto"/>
        <w:rPr>
          <w:rFonts w:ascii="Arial"/>
          <w:sz w:val="21"/>
        </w:rPr>
      </w:pPr>
    </w:p>
    <w:p w14:paraId="69A557C5">
      <w:pPr>
        <w:spacing w:line="249" w:lineRule="auto"/>
        <w:rPr>
          <w:rFonts w:ascii="Arial"/>
          <w:sz w:val="21"/>
        </w:rPr>
      </w:pPr>
    </w:p>
    <w:p w14:paraId="4C22A4B8">
      <w:pPr>
        <w:spacing w:line="249" w:lineRule="auto"/>
        <w:rPr>
          <w:rFonts w:ascii="Arial"/>
          <w:sz w:val="21"/>
        </w:rPr>
      </w:pPr>
    </w:p>
    <w:p w14:paraId="38843C53">
      <w:pPr>
        <w:spacing w:before="130" w:line="230" w:lineRule="auto"/>
        <w:ind w:left="9"/>
        <w:rPr>
          <w:rFonts w:ascii="黑体" w:hAnsi="黑体" w:eastAsia="黑体" w:cs="黑体"/>
          <w:sz w:val="40"/>
          <w:szCs w:val="40"/>
        </w:rPr>
      </w:pPr>
      <w:bookmarkStart w:id="567" w:name="bookmark553"/>
      <w:bookmarkEnd w:id="567"/>
      <w:r>
        <w:rPr>
          <w:rFonts w:ascii="黑体" w:hAnsi="黑体" w:eastAsia="黑体" w:cs="黑体"/>
          <w:color w:val="006BE6"/>
          <w:position w:val="-4"/>
          <w:sz w:val="40"/>
          <w:szCs w:val="40"/>
        </w:rPr>
        <w:drawing>
          <wp:inline distT="0" distB="0" distL="0" distR="0">
            <wp:extent cx="628650" cy="2597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34"/>
                    <a:stretch>
                      <a:fillRect/>
                    </a:stretch>
                  </pic:blipFill>
                  <pic:spPr>
                    <a:xfrm>
                      <a:off x="0" y="0"/>
                      <a:ext cx="628692" cy="260320"/>
                    </a:xfrm>
                    <a:prstGeom prst="rect">
                      <a:avLst/>
                    </a:prstGeom>
                  </pic:spPr>
                </pic:pic>
              </a:graphicData>
            </a:graphic>
          </wp:inline>
        </w:drawing>
      </w:r>
      <w:r>
        <w:rPr>
          <w:rFonts w:ascii="黑体" w:hAnsi="黑体" w:eastAsia="黑体" w:cs="黑体"/>
          <w:color w:val="006BE6"/>
          <w:spacing w:val="1"/>
          <w:sz w:val="40"/>
          <w:szCs w:val="40"/>
        </w:rPr>
        <w:t xml:space="preserve">        </w:t>
      </w:r>
      <w:r>
        <w:rPr>
          <w:rFonts w:ascii="黑体" w:hAnsi="黑体" w:eastAsia="黑体" w:cs="黑体"/>
          <w:b/>
          <w:bCs/>
          <w:color w:val="006BE6"/>
          <w:spacing w:val="-11"/>
          <w:sz w:val="40"/>
          <w:szCs w:val="40"/>
        </w:rPr>
        <w:t>第</w:t>
      </w:r>
      <w:r>
        <w:rPr>
          <w:rFonts w:ascii="黑体" w:hAnsi="黑体" w:eastAsia="黑体" w:cs="黑体"/>
          <w:color w:val="006BE6"/>
          <w:spacing w:val="-88"/>
          <w:sz w:val="40"/>
          <w:szCs w:val="40"/>
        </w:rPr>
        <w:t xml:space="preserve"> </w:t>
      </w:r>
      <w:r>
        <w:rPr>
          <w:rFonts w:ascii="黑体" w:hAnsi="黑体" w:eastAsia="黑体" w:cs="黑体"/>
          <w:b/>
          <w:bCs/>
          <w:color w:val="006BE6"/>
          <w:spacing w:val="-11"/>
          <w:sz w:val="40"/>
          <w:szCs w:val="40"/>
        </w:rPr>
        <w:t>6</w:t>
      </w:r>
      <w:r>
        <w:rPr>
          <w:rFonts w:ascii="黑体" w:hAnsi="黑体" w:eastAsia="黑体" w:cs="黑体"/>
          <w:color w:val="006BE6"/>
          <w:spacing w:val="-88"/>
          <w:sz w:val="40"/>
          <w:szCs w:val="40"/>
        </w:rPr>
        <w:t xml:space="preserve"> </w:t>
      </w:r>
      <w:r>
        <w:rPr>
          <w:rFonts w:ascii="黑体" w:hAnsi="黑体" w:eastAsia="黑体" w:cs="黑体"/>
          <w:b/>
          <w:bCs/>
          <w:color w:val="006BE6"/>
          <w:spacing w:val="-11"/>
          <w:sz w:val="40"/>
          <w:szCs w:val="40"/>
        </w:rPr>
        <w:t>章</w:t>
      </w:r>
      <w:r>
        <w:rPr>
          <w:rFonts w:ascii="黑体" w:hAnsi="黑体" w:eastAsia="黑体" w:cs="黑体"/>
          <w:color w:val="006BE6"/>
          <w:spacing w:val="-11"/>
          <w:sz w:val="40"/>
          <w:szCs w:val="40"/>
        </w:rPr>
        <w:t xml:space="preserve">  </w:t>
      </w:r>
      <w:r>
        <w:rPr>
          <w:rFonts w:ascii="黑体" w:hAnsi="黑体" w:eastAsia="黑体" w:cs="黑体"/>
          <w:b/>
          <w:bCs/>
          <w:color w:val="006BE6"/>
          <w:spacing w:val="-11"/>
          <w:sz w:val="40"/>
          <w:szCs w:val="40"/>
        </w:rPr>
        <w:t>信息安全</w:t>
      </w:r>
    </w:p>
    <w:p w14:paraId="59EB037F">
      <w:pPr>
        <w:spacing w:line="345" w:lineRule="auto"/>
        <w:rPr>
          <w:rFonts w:ascii="Arial"/>
          <w:sz w:val="21"/>
        </w:rPr>
      </w:pPr>
    </w:p>
    <w:p w14:paraId="306A8600">
      <w:pPr>
        <w:spacing w:line="345" w:lineRule="auto"/>
        <w:rPr>
          <w:rFonts w:ascii="Arial"/>
          <w:sz w:val="21"/>
        </w:rPr>
      </w:pPr>
    </w:p>
    <w:p w14:paraId="11027F60">
      <w:pPr>
        <w:pStyle w:val="2"/>
        <w:spacing w:before="65" w:line="290" w:lineRule="auto"/>
        <w:ind w:right="71" w:firstLine="390"/>
        <w:jc w:val="both"/>
        <w:rPr>
          <w:sz w:val="16"/>
          <w:szCs w:val="16"/>
        </w:rPr>
      </w:pPr>
      <w:r>
        <w:rPr>
          <w:spacing w:val="3"/>
          <w:sz w:val="20"/>
          <w:szCs w:val="20"/>
        </w:rPr>
        <w:t>信息技术和信息产业以前所未有之势，渗透到各行各业和社会生活</w:t>
      </w:r>
      <w:r>
        <w:rPr>
          <w:spacing w:val="2"/>
          <w:sz w:val="20"/>
          <w:szCs w:val="20"/>
        </w:rPr>
        <w:t>当中，正在逐渐改变人</w:t>
      </w:r>
      <w:r>
        <w:rPr>
          <w:sz w:val="20"/>
          <w:szCs w:val="20"/>
        </w:rPr>
        <w:t xml:space="preserve"> </w:t>
      </w:r>
      <w:r>
        <w:rPr>
          <w:spacing w:val="3"/>
          <w:sz w:val="20"/>
          <w:szCs w:val="20"/>
        </w:rPr>
        <w:t>们的生产和生活方式，推动着社会的进步。但是，随着各类</w:t>
      </w:r>
      <w:r>
        <w:rPr>
          <w:spacing w:val="2"/>
          <w:sz w:val="20"/>
          <w:szCs w:val="20"/>
        </w:rPr>
        <w:t>应用系统的广泛使用，以及信息网</w:t>
      </w:r>
      <w:r>
        <w:rPr>
          <w:sz w:val="20"/>
          <w:szCs w:val="20"/>
        </w:rPr>
        <w:t xml:space="preserve"> </w:t>
      </w:r>
      <w:r>
        <w:rPr>
          <w:spacing w:val="3"/>
          <w:sz w:val="20"/>
          <w:szCs w:val="20"/>
        </w:rPr>
        <w:t>络的不断扩展，口令入侵、木马入侵、非法监听、</w:t>
      </w:r>
      <w:r>
        <w:rPr>
          <w:spacing w:val="2"/>
          <w:sz w:val="20"/>
          <w:szCs w:val="20"/>
        </w:rPr>
        <w:t>网络钓鱼、拒绝服务等攻击充斥网络，信息</w:t>
      </w:r>
      <w:r>
        <w:rPr>
          <w:sz w:val="20"/>
          <w:szCs w:val="20"/>
        </w:rPr>
        <w:t xml:space="preserve"> </w:t>
      </w:r>
      <w:r>
        <w:rPr>
          <w:spacing w:val="8"/>
          <w:sz w:val="20"/>
          <w:szCs w:val="20"/>
        </w:rPr>
        <w:t>网络的安全问题日益严峻。信息安全不仅关系个人用户的利益，还是影响社会经济发展</w:t>
      </w:r>
      <w:r>
        <w:rPr>
          <w:spacing w:val="7"/>
          <w:sz w:val="20"/>
          <w:szCs w:val="20"/>
        </w:rPr>
        <w:t>、政</w:t>
      </w:r>
      <w:r>
        <w:rPr>
          <w:sz w:val="20"/>
          <w:szCs w:val="20"/>
        </w:rPr>
        <w:t xml:space="preserve"> </w:t>
      </w:r>
      <w:r>
        <w:rPr>
          <w:spacing w:val="8"/>
          <w:sz w:val="20"/>
          <w:szCs w:val="20"/>
        </w:rPr>
        <w:t>治稳定和国家安全的战略性问题。因此，信息安全问题</w:t>
      </w:r>
      <w:r>
        <w:rPr>
          <w:spacing w:val="7"/>
          <w:sz w:val="20"/>
          <w:szCs w:val="20"/>
        </w:rPr>
        <w:t>已经成为国内外专家学者广泛关注的</w:t>
      </w:r>
      <w:r>
        <w:rPr>
          <w:sz w:val="20"/>
          <w:szCs w:val="20"/>
        </w:rPr>
        <w:t xml:space="preserve"> </w:t>
      </w:r>
      <w:r>
        <w:rPr>
          <w:spacing w:val="-4"/>
          <w:sz w:val="16"/>
          <w:szCs w:val="16"/>
        </w:rPr>
        <w:t>课</w:t>
      </w:r>
      <w:r>
        <w:rPr>
          <w:spacing w:val="-15"/>
          <w:sz w:val="16"/>
          <w:szCs w:val="16"/>
        </w:rPr>
        <w:t xml:space="preserve"> </w:t>
      </w:r>
      <w:r>
        <w:rPr>
          <w:spacing w:val="-4"/>
          <w:sz w:val="16"/>
          <w:szCs w:val="16"/>
        </w:rPr>
        <w:t>题</w:t>
      </w:r>
      <w:r>
        <w:rPr>
          <w:spacing w:val="-21"/>
          <w:sz w:val="16"/>
          <w:szCs w:val="16"/>
        </w:rPr>
        <w:t xml:space="preserve"> </w:t>
      </w:r>
      <w:r>
        <w:rPr>
          <w:spacing w:val="-4"/>
          <w:sz w:val="16"/>
          <w:szCs w:val="16"/>
        </w:rPr>
        <w:t>。</w:t>
      </w:r>
    </w:p>
    <w:p w14:paraId="3E7B786C">
      <w:pPr>
        <w:spacing w:line="313" w:lineRule="auto"/>
        <w:rPr>
          <w:rFonts w:ascii="Arial"/>
          <w:sz w:val="21"/>
        </w:rPr>
      </w:pPr>
    </w:p>
    <w:p w14:paraId="5974D9FF">
      <w:pPr>
        <w:pStyle w:val="2"/>
        <w:spacing w:before="91" w:line="222" w:lineRule="auto"/>
        <w:ind w:left="3"/>
        <w:outlineLvl w:val="0"/>
        <w:rPr>
          <w:rFonts w:ascii="黑体" w:hAnsi="黑体" w:eastAsia="黑体" w:cs="黑体"/>
          <w:sz w:val="28"/>
          <w:szCs w:val="28"/>
        </w:rPr>
      </w:pPr>
      <w:bookmarkStart w:id="568" w:name="bookmark108"/>
      <w:bookmarkEnd w:id="568"/>
      <w:r>
        <w:rPr>
          <w:b/>
          <w:bCs/>
          <w:color w:val="006CD8"/>
          <w:spacing w:val="-6"/>
          <w:sz w:val="28"/>
          <w:szCs w:val="28"/>
        </w:rPr>
        <w:t>6.1</w:t>
      </w:r>
      <w:r>
        <w:rPr>
          <w:color w:val="006CD8"/>
          <w:spacing w:val="-6"/>
          <w:sz w:val="28"/>
          <w:szCs w:val="28"/>
        </w:rPr>
        <w:t xml:space="preserve">  </w:t>
      </w:r>
      <w:r>
        <w:rPr>
          <w:rFonts w:ascii="黑体" w:hAnsi="黑体" w:eastAsia="黑体" w:cs="黑体"/>
          <w:b/>
          <w:bCs/>
          <w:color w:val="006CD8"/>
          <w:spacing w:val="-6"/>
          <w:sz w:val="28"/>
          <w:szCs w:val="28"/>
        </w:rPr>
        <w:t>信息安全的定义及属性</w:t>
      </w:r>
    </w:p>
    <w:p w14:paraId="07E6C587">
      <w:pPr>
        <w:pStyle w:val="2"/>
        <w:spacing w:before="272" w:line="277" w:lineRule="auto"/>
        <w:ind w:firstLine="390"/>
        <w:jc w:val="both"/>
        <w:rPr>
          <w:sz w:val="20"/>
          <w:szCs w:val="20"/>
        </w:rPr>
      </w:pPr>
      <w:r>
        <w:rPr>
          <w:spacing w:val="8"/>
          <w:sz w:val="20"/>
          <w:szCs w:val="20"/>
        </w:rPr>
        <w:t>在</w:t>
      </w:r>
      <w:r>
        <w:rPr>
          <w:rFonts w:ascii="Times New Roman" w:hAnsi="Times New Roman" w:eastAsia="Times New Roman" w:cs="Times New Roman"/>
          <w:sz w:val="20"/>
          <w:szCs w:val="20"/>
        </w:rPr>
        <w:t>ISO</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IEC</w:t>
      </w:r>
      <w:r>
        <w:rPr>
          <w:rFonts w:ascii="Times New Roman" w:hAnsi="Times New Roman" w:eastAsia="Times New Roman" w:cs="Times New Roman"/>
          <w:spacing w:val="8"/>
          <w:sz w:val="20"/>
          <w:szCs w:val="20"/>
        </w:rPr>
        <w:t xml:space="preserve">  27001</w:t>
      </w:r>
      <w:r>
        <w:rPr>
          <w:spacing w:val="8"/>
          <w:sz w:val="20"/>
          <w:szCs w:val="20"/>
        </w:rPr>
        <w:t>信息安全管理体系中，</w:t>
      </w:r>
      <w:r>
        <w:rPr>
          <w:spacing w:val="7"/>
          <w:sz w:val="20"/>
          <w:szCs w:val="20"/>
        </w:rPr>
        <w:t>将信息安全定义为保护信息的保密性、完整性、</w:t>
      </w:r>
      <w:r>
        <w:rPr>
          <w:sz w:val="20"/>
          <w:szCs w:val="20"/>
        </w:rPr>
        <w:t xml:space="preserve"> </w:t>
      </w:r>
      <w:r>
        <w:rPr>
          <w:spacing w:val="2"/>
          <w:sz w:val="20"/>
          <w:szCs w:val="20"/>
        </w:rPr>
        <w:t>可用性及其他属性，即为数据处理系统建立和采用的技术、管理上的安全保护，为的是保护计</w:t>
      </w:r>
      <w:r>
        <w:rPr>
          <w:spacing w:val="7"/>
          <w:sz w:val="20"/>
          <w:szCs w:val="20"/>
        </w:rPr>
        <w:t xml:space="preserve">  </w:t>
      </w:r>
      <w:r>
        <w:rPr>
          <w:spacing w:val="-2"/>
          <w:sz w:val="20"/>
          <w:szCs w:val="20"/>
        </w:rPr>
        <w:t>算机硬件、软件、数据不因偶然和恶意的原因而遭到破坏、更改和泄露。</w:t>
      </w:r>
    </w:p>
    <w:p w14:paraId="7AB36015">
      <w:pPr>
        <w:pStyle w:val="2"/>
        <w:spacing w:before="49" w:line="219" w:lineRule="auto"/>
        <w:ind w:left="390"/>
        <w:rPr>
          <w:sz w:val="20"/>
          <w:szCs w:val="20"/>
        </w:rPr>
      </w:pPr>
      <w:r>
        <w:rPr>
          <w:spacing w:val="-3"/>
          <w:sz w:val="20"/>
          <w:szCs w:val="20"/>
        </w:rPr>
        <w:t>信息安全的基本属性包括以下五个方面：</w:t>
      </w:r>
    </w:p>
    <w:p w14:paraId="761B1961">
      <w:pPr>
        <w:pStyle w:val="2"/>
        <w:spacing w:before="84" w:line="219" w:lineRule="auto"/>
        <w:ind w:left="390"/>
        <w:rPr>
          <w:sz w:val="20"/>
          <w:szCs w:val="20"/>
        </w:rPr>
      </w:pPr>
      <w:r>
        <w:rPr>
          <w:spacing w:val="2"/>
          <w:sz w:val="20"/>
          <w:szCs w:val="20"/>
        </w:rPr>
        <w:t>(1)保密性，即保证信息为授权者享用而不泄露给未经授权者。</w:t>
      </w:r>
    </w:p>
    <w:p w14:paraId="77572378">
      <w:pPr>
        <w:pStyle w:val="2"/>
        <w:spacing w:before="72" w:line="253" w:lineRule="auto"/>
        <w:ind w:right="71" w:firstLine="390"/>
        <w:rPr>
          <w:sz w:val="20"/>
          <w:szCs w:val="20"/>
        </w:rPr>
      </w:pPr>
      <w:r>
        <w:rPr>
          <w:spacing w:val="6"/>
          <w:sz w:val="20"/>
          <w:szCs w:val="20"/>
        </w:rPr>
        <w:t>(2)完整性，即保证信息从真实的发信者传送到真实的收信</w:t>
      </w:r>
      <w:r>
        <w:rPr>
          <w:spacing w:val="5"/>
          <w:sz w:val="20"/>
          <w:szCs w:val="20"/>
        </w:rPr>
        <w:t>者手中，传送过程中没有被非</w:t>
      </w:r>
      <w:r>
        <w:rPr>
          <w:sz w:val="20"/>
          <w:szCs w:val="20"/>
        </w:rPr>
        <w:t xml:space="preserve"> </w:t>
      </w:r>
      <w:r>
        <w:rPr>
          <w:spacing w:val="-3"/>
          <w:sz w:val="20"/>
          <w:szCs w:val="20"/>
        </w:rPr>
        <w:t>法用户添加、删除、替换等。</w:t>
      </w:r>
    </w:p>
    <w:p w14:paraId="2F37BA2C">
      <w:pPr>
        <w:pStyle w:val="2"/>
        <w:spacing w:before="52" w:line="257" w:lineRule="auto"/>
        <w:ind w:right="91" w:firstLine="390"/>
        <w:rPr>
          <w:sz w:val="20"/>
          <w:szCs w:val="20"/>
        </w:rPr>
      </w:pPr>
      <w:r>
        <w:rPr>
          <w:spacing w:val="5"/>
          <w:sz w:val="20"/>
          <w:szCs w:val="20"/>
        </w:rPr>
        <w:t>(3)可用性，即保证信息和信息系统随时为授权者提供服务，保证合法用户对信息和资源</w:t>
      </w:r>
      <w:r>
        <w:rPr>
          <w:spacing w:val="7"/>
          <w:sz w:val="20"/>
          <w:szCs w:val="20"/>
        </w:rPr>
        <w:t xml:space="preserve"> </w:t>
      </w:r>
      <w:r>
        <w:rPr>
          <w:spacing w:val="-4"/>
          <w:sz w:val="20"/>
          <w:szCs w:val="20"/>
        </w:rPr>
        <w:t>的使用不会被不合理地拒绝。</w:t>
      </w:r>
    </w:p>
    <w:p w14:paraId="3C3AF403">
      <w:pPr>
        <w:pStyle w:val="2"/>
        <w:spacing w:before="83" w:line="248" w:lineRule="auto"/>
        <w:ind w:right="83" w:firstLine="390"/>
        <w:rPr>
          <w:sz w:val="20"/>
          <w:szCs w:val="20"/>
        </w:rPr>
      </w:pPr>
      <w:r>
        <w:rPr>
          <w:spacing w:val="5"/>
          <w:sz w:val="20"/>
          <w:szCs w:val="20"/>
        </w:rPr>
        <w:t>(4)可控性，即出于国家和机构的利益和社会管理的需要，保证管理者能够对信息实施必</w:t>
      </w:r>
      <w:r>
        <w:rPr>
          <w:spacing w:val="15"/>
          <w:sz w:val="20"/>
          <w:szCs w:val="20"/>
        </w:rPr>
        <w:t xml:space="preserve"> </w:t>
      </w:r>
      <w:r>
        <w:rPr>
          <w:spacing w:val="-3"/>
          <w:sz w:val="20"/>
          <w:szCs w:val="20"/>
        </w:rPr>
        <w:t>要的控制管理，以对抗社会犯罪和外敌侵犯。</w:t>
      </w:r>
    </w:p>
    <w:p w14:paraId="15FFAF9B">
      <w:pPr>
        <w:pStyle w:val="2"/>
        <w:spacing w:before="62" w:line="258" w:lineRule="auto"/>
        <w:ind w:firstLine="390"/>
        <w:rPr>
          <w:sz w:val="20"/>
          <w:szCs w:val="20"/>
        </w:rPr>
      </w:pPr>
      <w:r>
        <w:rPr>
          <w:spacing w:val="8"/>
          <w:sz w:val="20"/>
          <w:szCs w:val="20"/>
        </w:rPr>
        <w:t>(5)不可否认性，即人们要为自己的信息</w:t>
      </w:r>
      <w:r>
        <w:rPr>
          <w:spacing w:val="7"/>
          <w:sz w:val="20"/>
          <w:szCs w:val="20"/>
        </w:rPr>
        <w:t>行为负责，提供保证社会依法管理需要的公证、</w:t>
      </w:r>
      <w:r>
        <w:rPr>
          <w:sz w:val="20"/>
          <w:szCs w:val="20"/>
        </w:rPr>
        <w:t xml:space="preserve"> </w:t>
      </w:r>
      <w:r>
        <w:rPr>
          <w:spacing w:val="-5"/>
          <w:sz w:val="20"/>
          <w:szCs w:val="20"/>
        </w:rPr>
        <w:t>仲裁信息证据。</w:t>
      </w:r>
    </w:p>
    <w:p w14:paraId="05822324">
      <w:pPr>
        <w:pStyle w:val="2"/>
        <w:spacing w:before="73" w:line="268" w:lineRule="auto"/>
        <w:ind w:right="68" w:firstLine="390"/>
        <w:jc w:val="both"/>
        <w:rPr>
          <w:sz w:val="20"/>
          <w:szCs w:val="20"/>
        </w:rPr>
      </w:pPr>
      <w:r>
        <w:rPr>
          <w:spacing w:val="3"/>
          <w:sz w:val="20"/>
          <w:szCs w:val="20"/>
        </w:rPr>
        <w:t>信息安全的重要性是任何一个国家、政府、部门、行业都必须十分重视的问题，是一个不</w:t>
      </w:r>
      <w:r>
        <w:rPr>
          <w:spacing w:val="13"/>
          <w:sz w:val="20"/>
          <w:szCs w:val="20"/>
        </w:rPr>
        <w:t xml:space="preserve"> </w:t>
      </w:r>
      <w:r>
        <w:rPr>
          <w:spacing w:val="2"/>
          <w:sz w:val="20"/>
          <w:szCs w:val="20"/>
        </w:rPr>
        <w:t>容忽视的国家战略安全问题。对于政府、金融、电信和科研机构等来讲，信息安全的重要性毋</w:t>
      </w:r>
      <w:r>
        <w:rPr>
          <w:spacing w:val="18"/>
          <w:sz w:val="20"/>
          <w:szCs w:val="20"/>
        </w:rPr>
        <w:t xml:space="preserve"> </w:t>
      </w:r>
      <w:r>
        <w:rPr>
          <w:spacing w:val="-1"/>
          <w:sz w:val="20"/>
          <w:szCs w:val="20"/>
        </w:rPr>
        <w:t>庸置疑，但对于不同的部门、行业来讲，对信息安全的要求和重点策略还是有差异的。</w:t>
      </w:r>
    </w:p>
    <w:p w14:paraId="58FC9B18">
      <w:pPr>
        <w:spacing w:line="312" w:lineRule="auto"/>
        <w:rPr>
          <w:rFonts w:ascii="Arial"/>
          <w:sz w:val="21"/>
        </w:rPr>
      </w:pPr>
    </w:p>
    <w:p w14:paraId="6519984E">
      <w:pPr>
        <w:pStyle w:val="2"/>
        <w:spacing w:before="92" w:line="221" w:lineRule="auto"/>
        <w:ind w:left="3"/>
        <w:rPr>
          <w:rFonts w:ascii="黑体" w:hAnsi="黑体" w:eastAsia="黑体" w:cs="黑体"/>
          <w:sz w:val="28"/>
          <w:szCs w:val="28"/>
        </w:rPr>
      </w:pPr>
      <w:r>
        <w:rPr>
          <w:b/>
          <w:bCs/>
          <w:color w:val="005EDB"/>
          <w:spacing w:val="-8"/>
          <w:sz w:val="28"/>
          <w:szCs w:val="28"/>
        </w:rPr>
        <w:t>6.2</w:t>
      </w:r>
      <w:r>
        <w:rPr>
          <w:color w:val="005EDB"/>
          <w:spacing w:val="140"/>
          <w:sz w:val="28"/>
          <w:szCs w:val="28"/>
        </w:rPr>
        <w:t xml:space="preserve"> </w:t>
      </w:r>
      <w:r>
        <w:rPr>
          <w:rFonts w:ascii="黑体" w:hAnsi="黑体" w:eastAsia="黑体" w:cs="黑体"/>
          <w:b/>
          <w:bCs/>
          <w:color w:val="005EDB"/>
          <w:spacing w:val="-8"/>
          <w:sz w:val="28"/>
          <w:szCs w:val="28"/>
        </w:rPr>
        <w:t>信息安全的发展历程</w:t>
      </w:r>
    </w:p>
    <w:p w14:paraId="2C3E2A7F">
      <w:pPr>
        <w:pStyle w:val="2"/>
        <w:spacing w:before="228" w:line="291" w:lineRule="auto"/>
        <w:ind w:right="86" w:firstLine="390"/>
        <w:rPr>
          <w:sz w:val="20"/>
          <w:szCs w:val="20"/>
        </w:rPr>
      </w:pPr>
      <w:r>
        <w:rPr>
          <w:spacing w:val="3"/>
          <w:sz w:val="20"/>
          <w:szCs w:val="20"/>
        </w:rPr>
        <w:t>信息安全的发展与信息技术的发展和用户的需求密不可分。信息安全的发展大</w:t>
      </w:r>
      <w:r>
        <w:rPr>
          <w:spacing w:val="2"/>
          <w:sz w:val="20"/>
          <w:szCs w:val="20"/>
        </w:rPr>
        <w:t>致分为通信</w:t>
      </w:r>
      <w:r>
        <w:rPr>
          <w:sz w:val="20"/>
          <w:szCs w:val="20"/>
        </w:rPr>
        <w:t xml:space="preserve"> </w:t>
      </w:r>
      <w:r>
        <w:rPr>
          <w:spacing w:val="-3"/>
          <w:sz w:val="20"/>
          <w:szCs w:val="20"/>
        </w:rPr>
        <w:t>保密、信息安全和信息安全保障三个阶段。</w:t>
      </w:r>
    </w:p>
    <w:p w14:paraId="4A9EBEE0">
      <w:pPr>
        <w:pStyle w:val="2"/>
        <w:spacing w:before="74" w:line="221" w:lineRule="auto"/>
        <w:ind w:left="392"/>
        <w:rPr>
          <w:rFonts w:ascii="黑体" w:hAnsi="黑体" w:eastAsia="黑体" w:cs="黑体"/>
          <w:sz w:val="20"/>
          <w:szCs w:val="20"/>
        </w:rPr>
      </w:pPr>
      <w:r>
        <w:rPr>
          <w:b/>
          <w:bCs/>
          <w:color w:val="0059BF"/>
          <w:spacing w:val="-6"/>
          <w:sz w:val="20"/>
          <w:szCs w:val="20"/>
        </w:rPr>
        <w:t>1.</w:t>
      </w:r>
      <w:r>
        <w:rPr>
          <w:rFonts w:ascii="黑体" w:hAnsi="黑体" w:eastAsia="黑体" w:cs="黑体"/>
          <w:b/>
          <w:bCs/>
          <w:color w:val="0059BF"/>
          <w:spacing w:val="-6"/>
          <w:sz w:val="20"/>
          <w:szCs w:val="20"/>
        </w:rPr>
        <w:t>通信保密阶段</w:t>
      </w:r>
    </w:p>
    <w:p w14:paraId="710250F4">
      <w:pPr>
        <w:pStyle w:val="2"/>
        <w:spacing w:before="134" w:line="219" w:lineRule="auto"/>
        <w:ind w:left="390"/>
        <w:rPr>
          <w:sz w:val="20"/>
          <w:szCs w:val="20"/>
        </w:rPr>
      </w:pPr>
      <w:r>
        <w:rPr>
          <w:spacing w:val="8"/>
          <w:sz w:val="20"/>
          <w:szCs w:val="20"/>
        </w:rPr>
        <w:t>20世纪90年代以前，通信技术还不发达，面对电话、电报、传真</w:t>
      </w:r>
      <w:r>
        <w:rPr>
          <w:spacing w:val="7"/>
          <w:sz w:val="20"/>
          <w:szCs w:val="20"/>
        </w:rPr>
        <w:t>等信息交换中存在的安</w:t>
      </w:r>
    </w:p>
    <w:p w14:paraId="374EDCF4">
      <w:pPr>
        <w:spacing w:line="219" w:lineRule="auto"/>
        <w:rPr>
          <w:sz w:val="20"/>
          <w:szCs w:val="20"/>
        </w:rPr>
        <w:sectPr>
          <w:pgSz w:w="10280" w:h="13280"/>
          <w:pgMar w:top="400" w:right="729" w:bottom="400" w:left="1159" w:header="0" w:footer="0" w:gutter="0"/>
          <w:cols w:space="720" w:num="1"/>
        </w:sectPr>
      </w:pPr>
    </w:p>
    <w:p w14:paraId="3685F3FD">
      <w:pPr>
        <w:pStyle w:val="2"/>
        <w:spacing w:before="68" w:line="219" w:lineRule="auto"/>
        <w:rPr>
          <w:sz w:val="20"/>
          <w:szCs w:val="20"/>
        </w:rPr>
      </w:pPr>
      <w:bookmarkStart w:id="569" w:name="bookmark554"/>
      <w:bookmarkEnd w:id="569"/>
      <w:r>
        <w:rPr>
          <w:rFonts w:ascii="Times New Roman" w:hAnsi="Times New Roman" w:eastAsia="Times New Roman" w:cs="Times New Roman"/>
          <w:spacing w:val="-4"/>
          <w:sz w:val="17"/>
          <w:szCs w:val="17"/>
        </w:rPr>
        <w:t>174</w:t>
      </w:r>
      <w:r>
        <w:rPr>
          <w:rFonts w:ascii="Times New Roman" w:hAnsi="Times New Roman" w:eastAsia="Times New Roman" w:cs="Times New Roman"/>
          <w:spacing w:val="2"/>
          <w:sz w:val="17"/>
          <w:szCs w:val="17"/>
        </w:rPr>
        <w:t xml:space="preserve">                </w:t>
      </w:r>
      <w:r>
        <w:rPr>
          <w:spacing w:val="-4"/>
          <w:sz w:val="20"/>
          <w:szCs w:val="20"/>
        </w:rPr>
        <w:t>信息系统监理师教程(第2版)</w:t>
      </w:r>
    </w:p>
    <w:p w14:paraId="2CE2DAB9">
      <w:pPr>
        <w:spacing w:line="284" w:lineRule="auto"/>
        <w:rPr>
          <w:rFonts w:ascii="Arial"/>
          <w:sz w:val="21"/>
        </w:rPr>
      </w:pPr>
    </w:p>
    <w:p w14:paraId="131EB56C">
      <w:pPr>
        <w:pStyle w:val="2"/>
        <w:spacing w:before="65" w:line="287" w:lineRule="auto"/>
        <w:ind w:left="339" w:right="69"/>
        <w:jc w:val="both"/>
        <w:rPr>
          <w:sz w:val="20"/>
          <w:szCs w:val="20"/>
        </w:rPr>
      </w:pPr>
      <w:r>
        <w:rPr>
          <w:spacing w:val="3"/>
          <w:sz w:val="20"/>
          <w:szCs w:val="20"/>
        </w:rPr>
        <w:t>全问题，人们强调的是信息的保密性。这一阶段对信息安全理论和技术的研究也只侧重于密码</w:t>
      </w:r>
      <w:r>
        <w:rPr>
          <w:spacing w:val="6"/>
          <w:sz w:val="20"/>
          <w:szCs w:val="20"/>
        </w:rPr>
        <w:t xml:space="preserve"> </w:t>
      </w:r>
      <w:r>
        <w:rPr>
          <w:spacing w:val="3"/>
          <w:sz w:val="20"/>
          <w:szCs w:val="20"/>
        </w:rPr>
        <w:t>技术，可以称为通信保密安全，主要目的是保障传递的信息安全，防止信源、信宿以外的对象</w:t>
      </w:r>
      <w:r>
        <w:rPr>
          <w:spacing w:val="5"/>
          <w:sz w:val="20"/>
          <w:szCs w:val="20"/>
        </w:rPr>
        <w:t xml:space="preserve"> </w:t>
      </w:r>
      <w:r>
        <w:rPr>
          <w:spacing w:val="-1"/>
          <w:sz w:val="20"/>
          <w:szCs w:val="20"/>
        </w:rPr>
        <w:t>查看信息。其保密性也仅表现在信息只能为授权者使用，而不泄露给未经授权者的特性。</w:t>
      </w:r>
    </w:p>
    <w:p w14:paraId="388DB3AA">
      <w:pPr>
        <w:pStyle w:val="2"/>
        <w:spacing w:before="125" w:line="222" w:lineRule="auto"/>
        <w:ind w:left="742"/>
        <w:rPr>
          <w:rFonts w:ascii="黑体" w:hAnsi="黑体" w:eastAsia="黑体" w:cs="黑体"/>
          <w:sz w:val="20"/>
          <w:szCs w:val="20"/>
        </w:rPr>
      </w:pPr>
      <w:r>
        <w:rPr>
          <w:b/>
          <w:bCs/>
          <w:color w:val="0085D3"/>
          <w:sz w:val="20"/>
          <w:szCs w:val="20"/>
        </w:rPr>
        <w:t>2.</w:t>
      </w:r>
      <w:r>
        <w:rPr>
          <w:rFonts w:ascii="黑体" w:hAnsi="黑体" w:eastAsia="黑体" w:cs="黑体"/>
          <w:b/>
          <w:bCs/>
          <w:color w:val="0085D3"/>
          <w:sz w:val="20"/>
          <w:szCs w:val="20"/>
        </w:rPr>
        <w:t>信息安全阶段</w:t>
      </w:r>
    </w:p>
    <w:p w14:paraId="4D587D3B">
      <w:pPr>
        <w:pStyle w:val="2"/>
        <w:spacing w:before="140" w:line="283" w:lineRule="auto"/>
        <w:ind w:left="339" w:right="51" w:firstLine="400"/>
        <w:jc w:val="both"/>
        <w:rPr>
          <w:sz w:val="20"/>
          <w:szCs w:val="20"/>
        </w:rPr>
      </w:pPr>
      <w:r>
        <w:rPr>
          <w:spacing w:val="9"/>
          <w:sz w:val="20"/>
          <w:szCs w:val="20"/>
        </w:rPr>
        <w:t>20世纪90年代以后，半导体和集成电路技术的飞速发展推</w:t>
      </w:r>
      <w:r>
        <w:rPr>
          <w:spacing w:val="8"/>
          <w:sz w:val="20"/>
          <w:szCs w:val="20"/>
        </w:rPr>
        <w:t>动了计算机软硬件的发展，计</w:t>
      </w:r>
      <w:r>
        <w:rPr>
          <w:sz w:val="20"/>
          <w:szCs w:val="20"/>
        </w:rPr>
        <w:t xml:space="preserve"> </w:t>
      </w:r>
      <w:r>
        <w:rPr>
          <w:spacing w:val="3"/>
          <w:sz w:val="20"/>
          <w:szCs w:val="20"/>
        </w:rPr>
        <w:t>算机和网络技术的应用进入了实用化和规模化阶段。这一阶段计算机病毒出现并广泛传播，非</w:t>
      </w:r>
      <w:r>
        <w:rPr>
          <w:spacing w:val="5"/>
          <w:sz w:val="20"/>
          <w:szCs w:val="20"/>
        </w:rPr>
        <w:t xml:space="preserve"> </w:t>
      </w:r>
      <w:r>
        <w:rPr>
          <w:spacing w:val="3"/>
          <w:sz w:val="20"/>
          <w:szCs w:val="20"/>
        </w:rPr>
        <w:t>法拷贝软件的现象也相当普遍。随着网络技术的发展和应用，计算机病毒、蠕虫和木马等恶意</w:t>
      </w:r>
      <w:r>
        <w:rPr>
          <w:spacing w:val="9"/>
          <w:sz w:val="20"/>
          <w:szCs w:val="20"/>
        </w:rPr>
        <w:t xml:space="preserve"> </w:t>
      </w:r>
      <w:r>
        <w:rPr>
          <w:spacing w:val="3"/>
          <w:sz w:val="20"/>
          <w:szCs w:val="20"/>
        </w:rPr>
        <w:t>代码通过网络传播，造成了更大范围的危害。于是，防范计算机病毒等恶意代码、阻止非法拷</w:t>
      </w:r>
      <w:r>
        <w:rPr>
          <w:spacing w:val="5"/>
          <w:sz w:val="20"/>
          <w:szCs w:val="20"/>
        </w:rPr>
        <w:t xml:space="preserve"> </w:t>
      </w:r>
      <w:r>
        <w:rPr>
          <w:spacing w:val="3"/>
          <w:sz w:val="20"/>
          <w:szCs w:val="20"/>
        </w:rPr>
        <w:t>贝软件、保障网络安全成为社会对信息安全的迫切需要。除</w:t>
      </w:r>
      <w:r>
        <w:rPr>
          <w:spacing w:val="2"/>
          <w:sz w:val="20"/>
          <w:szCs w:val="20"/>
        </w:rPr>
        <w:t>了通信保密之外，计算机操作系统</w:t>
      </w:r>
      <w:r>
        <w:rPr>
          <w:sz w:val="20"/>
          <w:szCs w:val="20"/>
        </w:rPr>
        <w:t xml:space="preserve"> </w:t>
      </w:r>
      <w:r>
        <w:rPr>
          <w:spacing w:val="3"/>
          <w:sz w:val="20"/>
          <w:szCs w:val="20"/>
        </w:rPr>
        <w:t>安全、分布式系统安全和网络系统安全的重要性和紧迫性逐渐凸显出来。为了解决这些信息安</w:t>
      </w:r>
      <w:r>
        <w:rPr>
          <w:spacing w:val="8"/>
          <w:sz w:val="20"/>
          <w:szCs w:val="20"/>
        </w:rPr>
        <w:t xml:space="preserve"> </w:t>
      </w:r>
      <w:r>
        <w:rPr>
          <w:spacing w:val="3"/>
          <w:sz w:val="20"/>
          <w:szCs w:val="20"/>
        </w:rPr>
        <w:t>全问题，出现了计算机安全、软件保护等信息安全新内容和新技术，同时出现了防火墙、入侵</w:t>
      </w:r>
      <w:r>
        <w:rPr>
          <w:spacing w:val="6"/>
          <w:sz w:val="20"/>
          <w:szCs w:val="20"/>
        </w:rPr>
        <w:t xml:space="preserve"> </w:t>
      </w:r>
      <w:r>
        <w:rPr>
          <w:spacing w:val="-1"/>
          <w:sz w:val="20"/>
          <w:szCs w:val="20"/>
        </w:rPr>
        <w:t>检测、漏洞扫描及</w:t>
      </w:r>
      <w:r>
        <w:rPr>
          <w:rFonts w:ascii="Times New Roman" w:hAnsi="Times New Roman" w:eastAsia="Times New Roman" w:cs="Times New Roman"/>
          <w:spacing w:val="-1"/>
          <w:sz w:val="20"/>
          <w:szCs w:val="20"/>
        </w:rPr>
        <w:t>VPN</w:t>
      </w:r>
      <w:r>
        <w:rPr>
          <w:rFonts w:ascii="Times New Roman" w:hAnsi="Times New Roman" w:eastAsia="Times New Roman" w:cs="Times New Roman"/>
          <w:spacing w:val="31"/>
          <w:w w:val="101"/>
          <w:sz w:val="20"/>
          <w:szCs w:val="20"/>
        </w:rPr>
        <w:t xml:space="preserve"> </w:t>
      </w:r>
      <w:r>
        <w:rPr>
          <w:spacing w:val="-1"/>
          <w:sz w:val="20"/>
          <w:szCs w:val="20"/>
        </w:rPr>
        <w:t>网络安全技术等。</w:t>
      </w:r>
    </w:p>
    <w:p w14:paraId="4905A419">
      <w:pPr>
        <w:pStyle w:val="2"/>
        <w:spacing w:before="156" w:line="222" w:lineRule="auto"/>
        <w:ind w:left="742"/>
        <w:rPr>
          <w:rFonts w:ascii="黑体" w:hAnsi="黑体" w:eastAsia="黑体" w:cs="黑体"/>
          <w:sz w:val="20"/>
          <w:szCs w:val="20"/>
        </w:rPr>
      </w:pPr>
      <w:r>
        <w:rPr>
          <w:b/>
          <w:bCs/>
          <w:color w:val="0076C5"/>
          <w:spacing w:val="-1"/>
          <w:sz w:val="20"/>
          <w:szCs w:val="20"/>
        </w:rPr>
        <w:t>3.</w:t>
      </w:r>
      <w:r>
        <w:rPr>
          <w:rFonts w:ascii="黑体" w:hAnsi="黑体" w:eastAsia="黑体" w:cs="黑体"/>
          <w:b/>
          <w:bCs/>
          <w:color w:val="0076C5"/>
          <w:spacing w:val="-1"/>
          <w:sz w:val="20"/>
          <w:szCs w:val="20"/>
        </w:rPr>
        <w:t>信息安全保障阶段</w:t>
      </w:r>
    </w:p>
    <w:p w14:paraId="5F97DF12">
      <w:pPr>
        <w:pStyle w:val="2"/>
        <w:spacing w:before="121" w:line="281" w:lineRule="auto"/>
        <w:ind w:left="339" w:firstLine="400"/>
        <w:jc w:val="both"/>
        <w:rPr>
          <w:sz w:val="20"/>
          <w:szCs w:val="20"/>
        </w:rPr>
      </w:pPr>
      <w:r>
        <w:rPr>
          <w:spacing w:val="3"/>
          <w:sz w:val="20"/>
          <w:szCs w:val="20"/>
        </w:rPr>
        <w:t>互联网、信息高速公路的出现和应用，构成了人类生存的信息环境，即网络空间。人类社</w:t>
      </w:r>
      <w:r>
        <w:rPr>
          <w:spacing w:val="10"/>
          <w:sz w:val="20"/>
          <w:szCs w:val="20"/>
        </w:rPr>
        <w:t xml:space="preserve"> </w:t>
      </w:r>
      <w:r>
        <w:rPr>
          <w:spacing w:val="3"/>
          <w:sz w:val="20"/>
          <w:szCs w:val="20"/>
        </w:rPr>
        <w:t>会进入信息化时代。在信息化时代，信息科学技术和产业空前繁荣，社会的信息化程度大大提</w:t>
      </w:r>
      <w:r>
        <w:rPr>
          <w:spacing w:val="5"/>
          <w:sz w:val="20"/>
          <w:szCs w:val="20"/>
        </w:rPr>
        <w:t xml:space="preserve"> </w:t>
      </w:r>
      <w:r>
        <w:rPr>
          <w:spacing w:val="3"/>
          <w:sz w:val="20"/>
          <w:szCs w:val="20"/>
        </w:rPr>
        <w:t>高。电子商务、电子政务、云计算、物联网、大数据处理等大型应用信息系统相继出现并广泛</w:t>
      </w:r>
      <w:r>
        <w:rPr>
          <w:spacing w:val="5"/>
          <w:sz w:val="20"/>
          <w:szCs w:val="20"/>
        </w:rPr>
        <w:t xml:space="preserve"> 应用。这些都对信息安全提出了更新、更高的要求。信息安全不再局限于对信息</w:t>
      </w:r>
      <w:r>
        <w:rPr>
          <w:spacing w:val="4"/>
          <w:sz w:val="20"/>
          <w:szCs w:val="20"/>
        </w:rPr>
        <w:t>的静态保护，</w:t>
      </w:r>
      <w:r>
        <w:rPr>
          <w:sz w:val="20"/>
          <w:szCs w:val="20"/>
        </w:rPr>
        <w:t xml:space="preserve"> </w:t>
      </w:r>
      <w:r>
        <w:rPr>
          <w:spacing w:val="-2"/>
          <w:sz w:val="20"/>
          <w:szCs w:val="20"/>
        </w:rPr>
        <w:t>而需要对整个信息和信息系统进行保护，对可能的信息安全攻击适时进行防御。</w:t>
      </w:r>
    </w:p>
    <w:p w14:paraId="72D194A2">
      <w:pPr>
        <w:spacing w:line="398" w:lineRule="auto"/>
        <w:rPr>
          <w:rFonts w:ascii="Arial"/>
          <w:sz w:val="21"/>
        </w:rPr>
      </w:pPr>
    </w:p>
    <w:p w14:paraId="17FE880F">
      <w:pPr>
        <w:pStyle w:val="2"/>
        <w:spacing w:before="66" w:line="222" w:lineRule="auto"/>
        <w:ind w:left="342"/>
        <w:rPr>
          <w:rFonts w:ascii="黑体" w:hAnsi="黑体" w:eastAsia="黑体" w:cs="黑体"/>
          <w:sz w:val="20"/>
          <w:szCs w:val="20"/>
        </w:rPr>
      </w:pPr>
      <w:r>
        <w:rPr>
          <w:b/>
          <w:bCs/>
          <w:color w:val="0076DE"/>
          <w:spacing w:val="-7"/>
          <w:sz w:val="20"/>
          <w:szCs w:val="20"/>
        </w:rPr>
        <w:t>6.3</w:t>
      </w:r>
      <w:r>
        <w:rPr>
          <w:color w:val="0076DE"/>
          <w:spacing w:val="23"/>
          <w:sz w:val="20"/>
          <w:szCs w:val="20"/>
        </w:rPr>
        <w:t xml:space="preserve">   </w:t>
      </w:r>
      <w:r>
        <w:rPr>
          <w:rFonts w:ascii="黑体" w:hAnsi="黑体" w:eastAsia="黑体" w:cs="黑体"/>
          <w:b/>
          <w:bCs/>
          <w:color w:val="0076DE"/>
          <w:spacing w:val="-7"/>
          <w:sz w:val="20"/>
          <w:szCs w:val="20"/>
        </w:rPr>
        <w:t>信</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息</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安</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全</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的</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主</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要</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技</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术</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和</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措</w:t>
      </w:r>
      <w:r>
        <w:rPr>
          <w:rFonts w:ascii="黑体" w:hAnsi="黑体" w:eastAsia="黑体" w:cs="黑体"/>
          <w:color w:val="0076DE"/>
          <w:spacing w:val="-7"/>
          <w:sz w:val="20"/>
          <w:szCs w:val="20"/>
        </w:rPr>
        <w:t xml:space="preserve"> </w:t>
      </w:r>
      <w:r>
        <w:rPr>
          <w:rFonts w:ascii="黑体" w:hAnsi="黑体" w:eastAsia="黑体" w:cs="黑体"/>
          <w:b/>
          <w:bCs/>
          <w:color w:val="0076DE"/>
          <w:spacing w:val="-7"/>
          <w:sz w:val="20"/>
          <w:szCs w:val="20"/>
        </w:rPr>
        <w:t>施</w:t>
      </w:r>
    </w:p>
    <w:p w14:paraId="6952DCB7">
      <w:pPr>
        <w:pStyle w:val="2"/>
        <w:spacing w:before="282" w:line="282" w:lineRule="auto"/>
        <w:ind w:left="339" w:right="69" w:firstLine="400"/>
        <w:rPr>
          <w:sz w:val="20"/>
          <w:szCs w:val="20"/>
        </w:rPr>
      </w:pPr>
      <w:r>
        <w:rPr>
          <w:spacing w:val="3"/>
          <w:sz w:val="20"/>
          <w:szCs w:val="20"/>
        </w:rPr>
        <w:t>信息安全的主要技术和措施包括身份认证、访问控制、入侵检测系统、防火墙、网闸、防</w:t>
      </w:r>
      <w:r>
        <w:rPr>
          <w:spacing w:val="13"/>
          <w:sz w:val="20"/>
          <w:szCs w:val="20"/>
        </w:rPr>
        <w:t xml:space="preserve"> </w:t>
      </w:r>
      <w:r>
        <w:rPr>
          <w:spacing w:val="-3"/>
          <w:sz w:val="20"/>
          <w:szCs w:val="20"/>
        </w:rPr>
        <w:t>病毒、数据加密技术等。</w:t>
      </w:r>
    </w:p>
    <w:p w14:paraId="759FF60A">
      <w:pPr>
        <w:pStyle w:val="2"/>
        <w:spacing w:before="168" w:line="219" w:lineRule="auto"/>
        <w:ind w:left="342"/>
        <w:rPr>
          <w:sz w:val="26"/>
          <w:szCs w:val="26"/>
        </w:rPr>
      </w:pPr>
      <w:r>
        <w:rPr>
          <w:b/>
          <w:bCs/>
          <w:color w:val="007FD4"/>
          <w:spacing w:val="-25"/>
          <w:sz w:val="26"/>
          <w:szCs w:val="26"/>
        </w:rPr>
        <w:t>6.3.1</w:t>
      </w:r>
      <w:r>
        <w:rPr>
          <w:color w:val="007FD4"/>
          <w:spacing w:val="86"/>
          <w:sz w:val="26"/>
          <w:szCs w:val="26"/>
        </w:rPr>
        <w:t xml:space="preserve"> </w:t>
      </w:r>
      <w:r>
        <w:rPr>
          <w:b/>
          <w:bCs/>
          <w:color w:val="007FD4"/>
          <w:spacing w:val="-25"/>
          <w:sz w:val="26"/>
          <w:szCs w:val="26"/>
        </w:rPr>
        <w:t>身份认证</w:t>
      </w:r>
    </w:p>
    <w:p w14:paraId="7B21AE98">
      <w:pPr>
        <w:pStyle w:val="2"/>
        <w:spacing w:before="163" w:line="272" w:lineRule="auto"/>
        <w:ind w:left="339" w:right="69" w:firstLine="400"/>
        <w:rPr>
          <w:sz w:val="20"/>
          <w:szCs w:val="20"/>
        </w:rPr>
      </w:pPr>
      <w:r>
        <w:rPr>
          <w:spacing w:val="3"/>
          <w:sz w:val="20"/>
          <w:szCs w:val="20"/>
        </w:rPr>
        <w:t>身份认证是在计算机网络中确认操作者身份的过程。身份认证可以分为用户与主机间的认</w:t>
      </w:r>
      <w:r>
        <w:rPr>
          <w:spacing w:val="12"/>
          <w:sz w:val="20"/>
          <w:szCs w:val="20"/>
        </w:rPr>
        <w:t xml:space="preserve"> </w:t>
      </w:r>
      <w:r>
        <w:rPr>
          <w:spacing w:val="-3"/>
          <w:sz w:val="20"/>
          <w:szCs w:val="20"/>
        </w:rPr>
        <w:t>证和主机与主机之间的认证，常见的认证措施如下：</w:t>
      </w:r>
    </w:p>
    <w:p w14:paraId="19532C4A">
      <w:pPr>
        <w:pStyle w:val="2"/>
        <w:spacing w:before="9" w:line="274" w:lineRule="auto"/>
        <w:ind w:left="339" w:right="68" w:firstLine="400"/>
        <w:rPr>
          <w:sz w:val="20"/>
          <w:szCs w:val="20"/>
        </w:rPr>
      </w:pPr>
      <w:r>
        <w:rPr>
          <w:spacing w:val="31"/>
          <w:sz w:val="20"/>
          <w:szCs w:val="20"/>
        </w:rPr>
        <w:t>(1)虚拟身份电子标识。虚拟身份电子标识</w:t>
      </w:r>
      <w:r>
        <w:rPr>
          <w:rFonts w:ascii="Times New Roman" w:hAnsi="Times New Roman" w:eastAsia="Times New Roman" w:cs="Times New Roman"/>
          <w:spacing w:val="31"/>
          <w:sz w:val="20"/>
          <w:szCs w:val="20"/>
        </w:rPr>
        <w:t>(</w:t>
      </w:r>
      <w:r>
        <w:rPr>
          <w:rFonts w:ascii="Times New Roman" w:hAnsi="Times New Roman" w:eastAsia="Times New Roman" w:cs="Times New Roman"/>
          <w:sz w:val="20"/>
          <w:szCs w:val="20"/>
        </w:rPr>
        <w:t>Virtual</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Identity</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Identification</w:t>
      </w:r>
      <w:r>
        <w:rPr>
          <w:rFonts w:ascii="Times New Roman" w:hAnsi="Times New Roman" w:eastAsia="Times New Roman" w:cs="Times New Roman"/>
          <w:spacing w:val="31"/>
          <w:sz w:val="20"/>
          <w:szCs w:val="20"/>
        </w:rPr>
        <w:t>,</w:t>
      </w:r>
      <w:r>
        <w:rPr>
          <w:rFonts w:ascii="Times New Roman" w:hAnsi="Times New Roman" w:eastAsia="Times New Roman" w:cs="Times New Roman"/>
          <w:sz w:val="20"/>
          <w:szCs w:val="20"/>
        </w:rPr>
        <w:t xml:space="preserve"> VIEID</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 xml:space="preserve">    </w:t>
      </w:r>
      <w:r>
        <w:rPr>
          <w:spacing w:val="2"/>
          <w:sz w:val="20"/>
          <w:szCs w:val="20"/>
        </w:rPr>
        <w:t>俗称网络身份证，是网民在网络上的身份</w:t>
      </w:r>
      <w:r>
        <w:rPr>
          <w:spacing w:val="1"/>
          <w:sz w:val="20"/>
          <w:szCs w:val="20"/>
        </w:rPr>
        <w:t>标识，具有唯一性。</w:t>
      </w:r>
      <w:r>
        <w:rPr>
          <w:rFonts w:ascii="Times New Roman" w:hAnsi="Times New Roman" w:eastAsia="Times New Roman" w:cs="Times New Roman"/>
          <w:sz w:val="20"/>
          <w:szCs w:val="20"/>
        </w:rPr>
        <w:t>VIEID</w:t>
      </w:r>
      <w:r>
        <w:rPr>
          <w:rFonts w:ascii="Times New Roman" w:hAnsi="Times New Roman" w:eastAsia="Times New Roman" w:cs="Times New Roman"/>
          <w:spacing w:val="19"/>
          <w:w w:val="101"/>
          <w:sz w:val="20"/>
          <w:szCs w:val="20"/>
        </w:rPr>
        <w:t xml:space="preserve"> </w:t>
      </w:r>
      <w:r>
        <w:rPr>
          <w:spacing w:val="1"/>
          <w:sz w:val="20"/>
          <w:szCs w:val="20"/>
        </w:rPr>
        <w:t>是一段含有标识</w:t>
      </w:r>
      <w:r>
        <w:rPr>
          <w:sz w:val="20"/>
          <w:szCs w:val="20"/>
        </w:rPr>
        <w:t xml:space="preserve"> </w:t>
      </w:r>
      <w:r>
        <w:rPr>
          <w:spacing w:val="3"/>
          <w:sz w:val="20"/>
          <w:szCs w:val="20"/>
        </w:rPr>
        <w:t>持有者身份信息并经过信息安全系统内的身份认证中心审核签发的电子数据，只要在网络环境</w:t>
      </w:r>
      <w:r>
        <w:rPr>
          <w:spacing w:val="5"/>
          <w:sz w:val="20"/>
          <w:szCs w:val="20"/>
        </w:rPr>
        <w:t xml:space="preserve"> </w:t>
      </w:r>
      <w:r>
        <w:rPr>
          <w:spacing w:val="-2"/>
          <w:sz w:val="20"/>
          <w:szCs w:val="20"/>
        </w:rPr>
        <w:t>中有需要识别用户身份、进行信息交换和传输的地方，都可以用电子标识保障安全。</w:t>
      </w:r>
    </w:p>
    <w:p w14:paraId="0242BA80">
      <w:pPr>
        <w:pStyle w:val="2"/>
        <w:spacing w:before="64" w:line="252" w:lineRule="auto"/>
        <w:ind w:left="339" w:firstLine="400"/>
        <w:rPr>
          <w:sz w:val="20"/>
          <w:szCs w:val="20"/>
        </w:rPr>
      </w:pPr>
      <w:r>
        <w:rPr>
          <w:spacing w:val="8"/>
          <w:sz w:val="20"/>
          <w:szCs w:val="20"/>
        </w:rPr>
        <w:t>(2)静态密码。用户的密码通常都是由用</w:t>
      </w:r>
      <w:r>
        <w:rPr>
          <w:spacing w:val="7"/>
          <w:sz w:val="20"/>
          <w:szCs w:val="20"/>
        </w:rPr>
        <w:t>户自己设定的。在网络登录时输入正确的密码，</w:t>
      </w:r>
      <w:r>
        <w:rPr>
          <w:sz w:val="20"/>
          <w:szCs w:val="20"/>
        </w:rPr>
        <w:t xml:space="preserve"> </w:t>
      </w:r>
      <w:r>
        <w:rPr>
          <w:spacing w:val="-3"/>
          <w:sz w:val="20"/>
          <w:szCs w:val="20"/>
        </w:rPr>
        <w:t>计算机就认为操作者是合法用户。</w:t>
      </w:r>
    </w:p>
    <w:p w14:paraId="6CC80A7C">
      <w:pPr>
        <w:pStyle w:val="2"/>
        <w:spacing w:before="73" w:line="258" w:lineRule="auto"/>
        <w:ind w:left="339" w:right="69" w:firstLine="400"/>
        <w:rPr>
          <w:sz w:val="20"/>
          <w:szCs w:val="20"/>
        </w:rPr>
      </w:pPr>
      <w:r>
        <w:rPr>
          <w:spacing w:val="6"/>
          <w:sz w:val="20"/>
          <w:szCs w:val="20"/>
        </w:rPr>
        <w:t>(3)智能卡。一种内置集成电路的芯片，芯片中存有与用户身份</w:t>
      </w:r>
      <w:r>
        <w:rPr>
          <w:spacing w:val="5"/>
          <w:sz w:val="20"/>
          <w:szCs w:val="20"/>
        </w:rPr>
        <w:t>相关的数据，智能卡由专</w:t>
      </w:r>
      <w:r>
        <w:rPr>
          <w:sz w:val="20"/>
          <w:szCs w:val="20"/>
        </w:rPr>
        <w:t xml:space="preserve"> </w:t>
      </w:r>
      <w:r>
        <w:rPr>
          <w:spacing w:val="3"/>
          <w:sz w:val="20"/>
          <w:szCs w:val="20"/>
        </w:rPr>
        <w:t>门的厂商通过专门的设备生产，是不可复制的硬件。智能卡由合法用户随身携带，登录时必须</w:t>
      </w:r>
      <w:r>
        <w:rPr>
          <w:spacing w:val="6"/>
          <w:sz w:val="20"/>
          <w:szCs w:val="20"/>
        </w:rPr>
        <w:t xml:space="preserve"> </w:t>
      </w:r>
      <w:r>
        <w:rPr>
          <w:spacing w:val="-1"/>
          <w:sz w:val="20"/>
          <w:szCs w:val="20"/>
        </w:rPr>
        <w:t>将智能卡插入专用的读卡器读取其中的信息，以验证</w:t>
      </w:r>
      <w:r>
        <w:rPr>
          <w:spacing w:val="-2"/>
          <w:sz w:val="20"/>
          <w:szCs w:val="20"/>
        </w:rPr>
        <w:t>用户的身份。</w:t>
      </w:r>
    </w:p>
    <w:p w14:paraId="40238773">
      <w:pPr>
        <w:spacing w:line="258" w:lineRule="auto"/>
        <w:rPr>
          <w:sz w:val="20"/>
          <w:szCs w:val="20"/>
        </w:rPr>
        <w:sectPr>
          <w:pgSz w:w="10310" w:h="13330"/>
          <w:pgMar w:top="400" w:right="1069" w:bottom="400" w:left="500" w:header="0" w:footer="0" w:gutter="0"/>
          <w:cols w:space="720" w:num="1"/>
        </w:sectPr>
      </w:pPr>
    </w:p>
    <w:p w14:paraId="35213AA1">
      <w:pPr>
        <w:pStyle w:val="2"/>
        <w:spacing w:before="77" w:line="219" w:lineRule="auto"/>
        <w:jc w:val="right"/>
        <w:rPr>
          <w:rFonts w:ascii="Times New Roman" w:hAnsi="Times New Roman" w:eastAsia="Times New Roman" w:cs="Times New Roman"/>
          <w:sz w:val="17"/>
          <w:szCs w:val="17"/>
        </w:rPr>
      </w:pPr>
      <w:bookmarkStart w:id="570" w:name="bookmark555"/>
      <w:bookmarkEnd w:id="570"/>
      <w:r>
        <w:rPr>
          <w:spacing w:val="-1"/>
          <w:sz w:val="20"/>
          <w:szCs w:val="20"/>
        </w:rPr>
        <w:t>第6章</w:t>
      </w:r>
      <w:r>
        <w:rPr>
          <w:spacing w:val="28"/>
          <w:sz w:val="20"/>
          <w:szCs w:val="20"/>
        </w:rPr>
        <w:t xml:space="preserve"> </w:t>
      </w:r>
      <w:r>
        <w:rPr>
          <w:spacing w:val="-1"/>
          <w:sz w:val="20"/>
          <w:szCs w:val="20"/>
        </w:rPr>
        <w:t>信息安全</w:t>
      </w:r>
      <w:r>
        <w:rPr>
          <w:spacing w:val="5"/>
          <w:sz w:val="20"/>
          <w:szCs w:val="20"/>
        </w:rPr>
        <w:t xml:space="preserve">      </w:t>
      </w:r>
      <w:r>
        <w:rPr>
          <w:rFonts w:ascii="Times New Roman" w:hAnsi="Times New Roman" w:eastAsia="Times New Roman" w:cs="Times New Roman"/>
          <w:spacing w:val="-1"/>
          <w:sz w:val="17"/>
          <w:szCs w:val="17"/>
        </w:rPr>
        <w:t>175</w:t>
      </w:r>
    </w:p>
    <w:p w14:paraId="3579689B">
      <w:pPr>
        <w:spacing w:line="276" w:lineRule="auto"/>
        <w:rPr>
          <w:rFonts w:ascii="Arial"/>
          <w:sz w:val="21"/>
        </w:rPr>
      </w:pPr>
    </w:p>
    <w:p w14:paraId="6C2AE74F">
      <w:pPr>
        <w:pStyle w:val="2"/>
        <w:spacing w:before="65" w:line="270" w:lineRule="auto"/>
        <w:ind w:right="215" w:firstLine="410"/>
        <w:rPr>
          <w:sz w:val="20"/>
          <w:szCs w:val="20"/>
        </w:rPr>
      </w:pPr>
      <w:r>
        <w:rPr>
          <w:spacing w:val="11"/>
          <w:sz w:val="20"/>
          <w:szCs w:val="20"/>
        </w:rPr>
        <w:t>(4)短信密码。短信密码以手机短信形式请求</w:t>
      </w:r>
      <w:r>
        <w:rPr>
          <w:spacing w:val="10"/>
          <w:sz w:val="20"/>
          <w:szCs w:val="20"/>
        </w:rPr>
        <w:t>包含4位或6位或一定位数随机数的动态密</w:t>
      </w:r>
      <w:r>
        <w:rPr>
          <w:sz w:val="20"/>
          <w:szCs w:val="20"/>
        </w:rPr>
        <w:t xml:space="preserve">  </w:t>
      </w:r>
      <w:r>
        <w:rPr>
          <w:spacing w:val="3"/>
          <w:sz w:val="20"/>
          <w:szCs w:val="20"/>
        </w:rPr>
        <w:t>码，身份认证系统以短信形式发送随机的密码到客户的手机上。客户在登录或者交易认证时输</w:t>
      </w:r>
      <w:r>
        <w:rPr>
          <w:spacing w:val="1"/>
          <w:sz w:val="20"/>
          <w:szCs w:val="20"/>
        </w:rPr>
        <w:t xml:space="preserve">  </w:t>
      </w:r>
      <w:r>
        <w:rPr>
          <w:spacing w:val="11"/>
          <w:sz w:val="20"/>
          <w:szCs w:val="20"/>
        </w:rPr>
        <w:t>入此动态密码，从而确保系统身份认证的安全性。它利用</w:t>
      </w:r>
      <w:r>
        <w:rPr>
          <w:rFonts w:ascii="Times New Roman" w:hAnsi="Times New Roman" w:eastAsia="Times New Roman" w:cs="Times New Roman"/>
          <w:sz w:val="20"/>
          <w:szCs w:val="20"/>
        </w:rPr>
        <w:t>what</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z w:val="20"/>
          <w:szCs w:val="20"/>
        </w:rPr>
        <w:t>you</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z w:val="20"/>
          <w:szCs w:val="20"/>
        </w:rPr>
        <w:t>have</w:t>
      </w:r>
      <w:r>
        <w:rPr>
          <w:spacing w:val="11"/>
          <w:sz w:val="20"/>
          <w:szCs w:val="20"/>
        </w:rPr>
        <w:t>(你拥有什么)方法，</w:t>
      </w:r>
      <w:r>
        <w:rPr>
          <w:sz w:val="20"/>
          <w:szCs w:val="20"/>
        </w:rPr>
        <w:t xml:space="preserve"> </w:t>
      </w:r>
      <w:r>
        <w:rPr>
          <w:spacing w:val="-1"/>
          <w:sz w:val="20"/>
          <w:szCs w:val="20"/>
        </w:rPr>
        <w:t>也是日常生活中经常用到的认证方法之一。</w:t>
      </w:r>
    </w:p>
    <w:p w14:paraId="7E2470C4">
      <w:pPr>
        <w:pStyle w:val="2"/>
        <w:spacing w:before="76" w:line="275" w:lineRule="auto"/>
        <w:ind w:right="305" w:firstLine="410"/>
        <w:rPr>
          <w:sz w:val="20"/>
          <w:szCs w:val="20"/>
        </w:rPr>
      </w:pPr>
      <w:r>
        <w:rPr>
          <w:spacing w:val="4"/>
          <w:sz w:val="20"/>
          <w:szCs w:val="20"/>
        </w:rPr>
        <w:t>(5)动态口令。目前比较常用且是安全性较高的身份认证方式，也是利用</w:t>
      </w:r>
      <w:r>
        <w:rPr>
          <w:rFonts w:ascii="Times New Roman" w:hAnsi="Times New Roman" w:eastAsia="Times New Roman" w:cs="Times New Roman"/>
          <w:sz w:val="20"/>
          <w:szCs w:val="20"/>
        </w:rPr>
        <w:t>what</w:t>
      </w:r>
      <w:r>
        <w:rPr>
          <w:rFonts w:ascii="Times New Roman" w:hAnsi="Times New Roman" w:eastAsia="Times New Roman" w:cs="Times New Roman"/>
          <w:spacing w:val="51"/>
          <w:sz w:val="20"/>
          <w:szCs w:val="20"/>
        </w:rPr>
        <w:t xml:space="preserve"> </w:t>
      </w:r>
      <w:r>
        <w:rPr>
          <w:rFonts w:ascii="Times New Roman" w:hAnsi="Times New Roman" w:eastAsia="Times New Roman" w:cs="Times New Roman"/>
          <w:sz w:val="20"/>
          <w:szCs w:val="20"/>
        </w:rPr>
        <w:t>you</w:t>
      </w:r>
      <w:r>
        <w:rPr>
          <w:rFonts w:ascii="Times New Roman" w:hAnsi="Times New Roman" w:eastAsia="Times New Roman" w:cs="Times New Roman"/>
          <w:spacing w:val="47"/>
          <w:sz w:val="20"/>
          <w:szCs w:val="20"/>
        </w:rPr>
        <w:t xml:space="preserve"> </w:t>
      </w:r>
      <w:r>
        <w:rPr>
          <w:rFonts w:ascii="Times New Roman" w:hAnsi="Times New Roman" w:eastAsia="Times New Roman" w:cs="Times New Roman"/>
          <w:sz w:val="20"/>
          <w:szCs w:val="20"/>
        </w:rPr>
        <w:t>have</w:t>
      </w:r>
      <w:r>
        <w:rPr>
          <w:spacing w:val="4"/>
          <w:sz w:val="20"/>
          <w:szCs w:val="20"/>
        </w:rPr>
        <w:t>方</w:t>
      </w:r>
      <w:r>
        <w:rPr>
          <w:sz w:val="20"/>
          <w:szCs w:val="20"/>
        </w:rPr>
        <w:t xml:space="preserve"> </w:t>
      </w:r>
      <w:r>
        <w:rPr>
          <w:spacing w:val="3"/>
          <w:sz w:val="20"/>
          <w:szCs w:val="20"/>
        </w:rPr>
        <w:t>法，是一种动态密码。动态口令牌是客户手持用来生成动态密码的终端，大多是基于时间同步</w:t>
      </w:r>
      <w:r>
        <w:rPr>
          <w:spacing w:val="5"/>
          <w:sz w:val="20"/>
          <w:szCs w:val="20"/>
        </w:rPr>
        <w:t xml:space="preserve"> </w:t>
      </w:r>
      <w:r>
        <w:rPr>
          <w:spacing w:val="10"/>
          <w:sz w:val="20"/>
          <w:szCs w:val="20"/>
        </w:rPr>
        <w:t>方式的，在固定时间(如每60秒)变换一次动态口令，口令一次有效，它产生6位动态数字进</w:t>
      </w:r>
      <w:r>
        <w:rPr>
          <w:spacing w:val="6"/>
          <w:sz w:val="20"/>
          <w:szCs w:val="20"/>
        </w:rPr>
        <w:t xml:space="preserve"> </w:t>
      </w:r>
      <w:r>
        <w:rPr>
          <w:spacing w:val="-4"/>
          <w:sz w:val="20"/>
          <w:szCs w:val="20"/>
        </w:rPr>
        <w:t>行一次一密的方式认证。</w:t>
      </w:r>
    </w:p>
    <w:p w14:paraId="4B7F7F05">
      <w:pPr>
        <w:pStyle w:val="2"/>
        <w:spacing w:before="68" w:line="274" w:lineRule="auto"/>
        <w:ind w:right="215" w:firstLine="410"/>
        <w:rPr>
          <w:sz w:val="20"/>
          <w:szCs w:val="20"/>
        </w:rPr>
      </w:pPr>
      <w:r>
        <w:rPr>
          <w:rFonts w:ascii="Times New Roman" w:hAnsi="Times New Roman" w:eastAsia="Times New Roman" w:cs="Times New Roman"/>
          <w:spacing w:val="1"/>
          <w:sz w:val="20"/>
          <w:szCs w:val="20"/>
        </w:rPr>
        <w:t>(6)</w:t>
      </w:r>
      <w:r>
        <w:rPr>
          <w:rFonts w:ascii="Times New Roman" w:hAnsi="Times New Roman" w:eastAsia="Times New Roman" w:cs="Times New Roman"/>
          <w:sz w:val="20"/>
          <w:szCs w:val="20"/>
        </w:rPr>
        <w:t>USB</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Key</w:t>
      </w:r>
      <w:r>
        <w:rPr>
          <w:spacing w:val="1"/>
          <w:sz w:val="20"/>
          <w:szCs w:val="20"/>
        </w:rPr>
        <w:t>。基</w:t>
      </w:r>
      <w:r>
        <w:rPr>
          <w:spacing w:val="-24"/>
          <w:sz w:val="20"/>
          <w:szCs w:val="20"/>
        </w:rPr>
        <w:t xml:space="preserve"> </w:t>
      </w:r>
      <w:r>
        <w:rPr>
          <w:spacing w:val="1"/>
          <w:sz w:val="20"/>
          <w:szCs w:val="20"/>
        </w:rPr>
        <w:t>于</w:t>
      </w:r>
      <w:r>
        <w:rPr>
          <w:rFonts w:ascii="Times New Roman" w:hAnsi="Times New Roman" w:eastAsia="Times New Roman" w:cs="Times New Roman"/>
          <w:sz w:val="20"/>
          <w:szCs w:val="20"/>
        </w:rPr>
        <w:t>USB</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Key</w:t>
      </w:r>
      <w:r>
        <w:rPr>
          <w:spacing w:val="1"/>
          <w:sz w:val="20"/>
          <w:szCs w:val="20"/>
        </w:rPr>
        <w:t>的身份认证方式是当前一种方便、安全的身份认证技术。它</w:t>
      </w:r>
      <w:r>
        <w:rPr>
          <w:sz w:val="20"/>
          <w:szCs w:val="20"/>
        </w:rPr>
        <w:t xml:space="preserve"> 采用软硬件相结合、一次一密的强双因子认证模式，很好地解决了安全性与易用性之间的矛盾。</w:t>
      </w:r>
      <w:r>
        <w:rPr>
          <w:spacing w:val="18"/>
          <w:sz w:val="20"/>
          <w:szCs w:val="20"/>
        </w:rPr>
        <w:t xml:space="preserve"> </w:t>
      </w:r>
      <w:r>
        <w:rPr>
          <w:rFonts w:ascii="Times New Roman" w:hAnsi="Times New Roman" w:eastAsia="Times New Roman" w:cs="Times New Roman"/>
          <w:sz w:val="20"/>
          <w:szCs w:val="20"/>
        </w:rPr>
        <w:t>USB</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z w:val="20"/>
          <w:szCs w:val="20"/>
        </w:rPr>
        <w:t>Key</w:t>
      </w:r>
      <w:r>
        <w:rPr>
          <w:spacing w:val="2"/>
          <w:sz w:val="20"/>
          <w:szCs w:val="20"/>
        </w:rPr>
        <w:t>是一种</w:t>
      </w:r>
      <w:r>
        <w:rPr>
          <w:rFonts w:ascii="Times New Roman" w:hAnsi="Times New Roman" w:eastAsia="Times New Roman" w:cs="Times New Roman"/>
          <w:sz w:val="20"/>
          <w:szCs w:val="20"/>
        </w:rPr>
        <w:t>USB</w:t>
      </w:r>
      <w:r>
        <w:rPr>
          <w:rFonts w:ascii="Times New Roman" w:hAnsi="Times New Roman" w:eastAsia="Times New Roman" w:cs="Times New Roman"/>
          <w:spacing w:val="2"/>
          <w:sz w:val="20"/>
          <w:szCs w:val="20"/>
        </w:rPr>
        <w:t xml:space="preserve"> </w:t>
      </w:r>
      <w:r>
        <w:rPr>
          <w:spacing w:val="2"/>
          <w:sz w:val="20"/>
          <w:szCs w:val="20"/>
        </w:rPr>
        <w:t>接口的硬件设备，内置单片机或智能</w:t>
      </w:r>
      <w:r>
        <w:rPr>
          <w:spacing w:val="1"/>
          <w:sz w:val="20"/>
          <w:szCs w:val="20"/>
        </w:rPr>
        <w:t>卡芯片，可以存储用户的密钥或数字</w:t>
      </w:r>
      <w:r>
        <w:rPr>
          <w:sz w:val="20"/>
          <w:szCs w:val="20"/>
        </w:rPr>
        <w:t xml:space="preserve">  </w:t>
      </w:r>
      <w:r>
        <w:rPr>
          <w:spacing w:val="6"/>
          <w:sz w:val="20"/>
          <w:szCs w:val="20"/>
        </w:rPr>
        <w:t>证书，利用</w:t>
      </w:r>
      <w:r>
        <w:rPr>
          <w:rFonts w:ascii="Times New Roman" w:hAnsi="Times New Roman" w:eastAsia="Times New Roman" w:cs="Times New Roman"/>
          <w:sz w:val="20"/>
          <w:szCs w:val="20"/>
        </w:rPr>
        <w:t>USB</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Key</w:t>
      </w:r>
      <w:r>
        <w:rPr>
          <w:rFonts w:ascii="Times New Roman" w:hAnsi="Times New Roman" w:eastAsia="Times New Roman" w:cs="Times New Roman"/>
          <w:spacing w:val="6"/>
          <w:sz w:val="20"/>
          <w:szCs w:val="20"/>
        </w:rPr>
        <w:t xml:space="preserve"> </w:t>
      </w:r>
      <w:r>
        <w:rPr>
          <w:spacing w:val="6"/>
          <w:sz w:val="20"/>
          <w:szCs w:val="20"/>
        </w:rPr>
        <w:t>内置的密码算法实现对用户身份的认证。基于</w:t>
      </w:r>
      <w:r>
        <w:rPr>
          <w:rFonts w:ascii="Times New Roman" w:hAnsi="Times New Roman" w:eastAsia="Times New Roman" w:cs="Times New Roman"/>
          <w:sz w:val="20"/>
          <w:szCs w:val="20"/>
        </w:rPr>
        <w:t>USB</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Key</w:t>
      </w:r>
      <w:r>
        <w:rPr>
          <w:spacing w:val="6"/>
          <w:sz w:val="20"/>
          <w:szCs w:val="20"/>
        </w:rPr>
        <w:t>身份认证系统主  要有两种应用模式：</w:t>
      </w:r>
      <w:r>
        <w:rPr>
          <w:spacing w:val="-23"/>
          <w:sz w:val="20"/>
          <w:szCs w:val="20"/>
        </w:rPr>
        <w:t xml:space="preserve"> </w:t>
      </w:r>
      <w:r>
        <w:rPr>
          <w:spacing w:val="6"/>
          <w:sz w:val="20"/>
          <w:szCs w:val="20"/>
        </w:rPr>
        <w:t>一种是基于冲击/响应(挑战/应答)的认证模式，另一种是基于公钥基础</w:t>
      </w:r>
      <w:r>
        <w:rPr>
          <w:sz w:val="20"/>
          <w:szCs w:val="20"/>
        </w:rPr>
        <w:t xml:space="preserve">  设施</w:t>
      </w:r>
      <w:r>
        <w:rPr>
          <w:spacing w:val="-49"/>
          <w:sz w:val="20"/>
          <w:szCs w:val="20"/>
        </w:rPr>
        <w:t xml:space="preserve"> </w:t>
      </w:r>
      <w:r>
        <w:rPr>
          <w:rFonts w:ascii="Times New Roman" w:hAnsi="Times New Roman" w:eastAsia="Times New Roman" w:cs="Times New Roman"/>
          <w:sz w:val="20"/>
          <w:szCs w:val="20"/>
        </w:rPr>
        <w:t>(Public</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Key</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 xml:space="preserve">Infrastructure,PKI) </w:t>
      </w:r>
      <w:r>
        <w:rPr>
          <w:sz w:val="20"/>
          <w:szCs w:val="20"/>
        </w:rPr>
        <w:t>体系的认证模式，比较多地运用在电子</w:t>
      </w:r>
      <w:r>
        <w:rPr>
          <w:spacing w:val="-1"/>
          <w:sz w:val="20"/>
          <w:szCs w:val="20"/>
        </w:rPr>
        <w:t>政务、网上银行。</w:t>
      </w:r>
    </w:p>
    <w:p w14:paraId="2B1EA6E7">
      <w:pPr>
        <w:pStyle w:val="2"/>
        <w:spacing w:before="80" w:line="285" w:lineRule="auto"/>
        <w:ind w:right="215" w:firstLine="410"/>
        <w:jc w:val="both"/>
        <w:rPr>
          <w:sz w:val="20"/>
          <w:szCs w:val="20"/>
        </w:rPr>
      </w:pPr>
      <w:r>
        <w:rPr>
          <w:spacing w:val="2"/>
          <w:sz w:val="20"/>
          <w:szCs w:val="20"/>
        </w:rPr>
        <w:t>公钥基础设施</w:t>
      </w:r>
      <w:r>
        <w:rPr>
          <w:spacing w:val="-49"/>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PKI</w:t>
      </w:r>
      <w:r>
        <w:rPr>
          <w:rFonts w:ascii="Times New Roman" w:hAnsi="Times New Roman" w:eastAsia="Times New Roman" w:cs="Times New Roman"/>
          <w:spacing w:val="2"/>
          <w:sz w:val="20"/>
          <w:szCs w:val="20"/>
        </w:rPr>
        <w:t xml:space="preserve">)   </w:t>
      </w:r>
      <w:r>
        <w:rPr>
          <w:spacing w:val="2"/>
          <w:sz w:val="20"/>
          <w:szCs w:val="20"/>
        </w:rPr>
        <w:t>是一个包括硬件、软件、人</w:t>
      </w:r>
      <w:r>
        <w:rPr>
          <w:spacing w:val="1"/>
          <w:sz w:val="20"/>
          <w:szCs w:val="20"/>
        </w:rPr>
        <w:t>员、策略和规程的集合，用来实现基于公</w:t>
      </w:r>
      <w:r>
        <w:rPr>
          <w:sz w:val="20"/>
          <w:szCs w:val="20"/>
        </w:rPr>
        <w:t xml:space="preserve">  钥密码体制的密钥和证书的产生、管理、存储、分发和撤销等功能。</w:t>
      </w:r>
      <w:r>
        <w:rPr>
          <w:rFonts w:ascii="Times New Roman" w:hAnsi="Times New Roman" w:eastAsia="Times New Roman" w:cs="Times New Roman"/>
          <w:sz w:val="20"/>
          <w:szCs w:val="20"/>
        </w:rPr>
        <w:t>PKI</w:t>
      </w:r>
      <w:r>
        <w:rPr>
          <w:rFonts w:ascii="Times New Roman" w:hAnsi="Times New Roman" w:eastAsia="Times New Roman" w:cs="Times New Roman"/>
          <w:spacing w:val="46"/>
          <w:w w:val="101"/>
          <w:sz w:val="20"/>
          <w:szCs w:val="20"/>
        </w:rPr>
        <w:t xml:space="preserve"> </w:t>
      </w:r>
      <w:r>
        <w:rPr>
          <w:sz w:val="20"/>
          <w:szCs w:val="20"/>
        </w:rPr>
        <w:t xml:space="preserve">体系是计算机软硬件、 </w:t>
      </w:r>
      <w:r>
        <w:rPr>
          <w:spacing w:val="3"/>
          <w:sz w:val="20"/>
          <w:szCs w:val="20"/>
        </w:rPr>
        <w:t>权威机构及应用系统的结合。它为实施电子商务、电子政务、办公自动化等提供了基本的安全</w:t>
      </w:r>
      <w:r>
        <w:rPr>
          <w:spacing w:val="2"/>
          <w:sz w:val="20"/>
          <w:szCs w:val="20"/>
        </w:rPr>
        <w:t xml:space="preserve">  </w:t>
      </w:r>
      <w:r>
        <w:rPr>
          <w:spacing w:val="-1"/>
          <w:sz w:val="20"/>
          <w:szCs w:val="20"/>
        </w:rPr>
        <w:t>服务，从而使那些彼此不认识或距离很远的用户能通过信任链安全</w:t>
      </w:r>
      <w:r>
        <w:rPr>
          <w:spacing w:val="-2"/>
          <w:sz w:val="20"/>
          <w:szCs w:val="20"/>
        </w:rPr>
        <w:t>地交流。</w:t>
      </w:r>
    </w:p>
    <w:p w14:paraId="4A13B264">
      <w:pPr>
        <w:pStyle w:val="2"/>
        <w:spacing w:before="4" w:line="284" w:lineRule="auto"/>
        <w:ind w:right="271" w:firstLine="410"/>
        <w:rPr>
          <w:sz w:val="17"/>
          <w:szCs w:val="17"/>
        </w:rPr>
      </w:pPr>
      <w:r>
        <w:rPr>
          <w:spacing w:val="8"/>
          <w:sz w:val="20"/>
          <w:szCs w:val="20"/>
        </w:rPr>
        <w:t>(7)生物识别。运用</w:t>
      </w:r>
      <w:r>
        <w:rPr>
          <w:rFonts w:ascii="Times New Roman" w:hAnsi="Times New Roman" w:eastAsia="Times New Roman" w:cs="Times New Roman"/>
          <w:sz w:val="20"/>
          <w:szCs w:val="20"/>
        </w:rPr>
        <w:t>who</w:t>
      </w:r>
      <w:r>
        <w:rPr>
          <w:rFonts w:ascii="Times New Roman" w:hAnsi="Times New Roman" w:eastAsia="Times New Roman" w:cs="Times New Roman"/>
          <w:spacing w:val="58"/>
          <w:w w:val="101"/>
          <w:sz w:val="20"/>
          <w:szCs w:val="20"/>
        </w:rPr>
        <w:t xml:space="preserve"> </w:t>
      </w:r>
      <w:r>
        <w:rPr>
          <w:rFonts w:ascii="Times New Roman" w:hAnsi="Times New Roman" w:eastAsia="Times New Roman" w:cs="Times New Roman"/>
          <w:sz w:val="20"/>
          <w:szCs w:val="20"/>
        </w:rPr>
        <w:t>you  are</w:t>
      </w:r>
      <w:r>
        <w:rPr>
          <w:rFonts w:ascii="Times New Roman" w:hAnsi="Times New Roman" w:eastAsia="Times New Roman" w:cs="Times New Roman"/>
          <w:spacing w:val="8"/>
          <w:sz w:val="20"/>
          <w:szCs w:val="20"/>
        </w:rPr>
        <w:t xml:space="preserve"> </w:t>
      </w:r>
      <w:r>
        <w:rPr>
          <w:spacing w:val="8"/>
          <w:sz w:val="20"/>
          <w:szCs w:val="20"/>
        </w:rPr>
        <w:t>(你是谁)方法，通过可测量的身体或行为等生物特征进</w:t>
      </w:r>
      <w:r>
        <w:rPr>
          <w:spacing w:val="1"/>
          <w:sz w:val="20"/>
          <w:szCs w:val="20"/>
        </w:rPr>
        <w:t xml:space="preserve"> </w:t>
      </w:r>
      <w:r>
        <w:rPr>
          <w:spacing w:val="3"/>
          <w:sz w:val="20"/>
          <w:szCs w:val="20"/>
        </w:rPr>
        <w:t>行身份认证的一种技术。生物特征是指唯一的、可以测量或可以自动识别和验证的生理特征或</w:t>
      </w:r>
      <w:r>
        <w:rPr>
          <w:spacing w:val="4"/>
          <w:sz w:val="20"/>
          <w:szCs w:val="20"/>
        </w:rPr>
        <w:t xml:space="preserve"> </w:t>
      </w:r>
      <w:r>
        <w:rPr>
          <w:spacing w:val="9"/>
          <w:sz w:val="20"/>
          <w:szCs w:val="20"/>
        </w:rPr>
        <w:t>行为方式。生物特征分为身体特征(人脸识别)和行为特征</w:t>
      </w:r>
      <w:r>
        <w:rPr>
          <w:spacing w:val="8"/>
          <w:sz w:val="20"/>
          <w:szCs w:val="20"/>
        </w:rPr>
        <w:t>(左右转转头、眨眨眼、张张嘴等)</w:t>
      </w:r>
      <w:r>
        <w:rPr>
          <w:sz w:val="20"/>
          <w:szCs w:val="20"/>
        </w:rPr>
        <w:t xml:space="preserve"> </w:t>
      </w:r>
      <w:r>
        <w:rPr>
          <w:spacing w:val="13"/>
          <w:sz w:val="17"/>
          <w:szCs w:val="17"/>
        </w:rPr>
        <w:t>两类</w:t>
      </w:r>
      <w:r>
        <w:rPr>
          <w:spacing w:val="-36"/>
          <w:sz w:val="17"/>
          <w:szCs w:val="17"/>
        </w:rPr>
        <w:t xml:space="preserve"> </w:t>
      </w:r>
      <w:r>
        <w:rPr>
          <w:spacing w:val="13"/>
          <w:sz w:val="17"/>
          <w:szCs w:val="17"/>
        </w:rPr>
        <w:t>。</w:t>
      </w:r>
    </w:p>
    <w:p w14:paraId="7EAADF74">
      <w:pPr>
        <w:pStyle w:val="2"/>
        <w:spacing w:before="90" w:line="252" w:lineRule="auto"/>
        <w:ind w:right="305" w:firstLine="410"/>
        <w:rPr>
          <w:sz w:val="20"/>
          <w:szCs w:val="20"/>
        </w:rPr>
      </w:pPr>
      <w:r>
        <w:rPr>
          <w:spacing w:val="5"/>
          <w:sz w:val="20"/>
          <w:szCs w:val="20"/>
        </w:rPr>
        <w:t>(8)双因素认证。就是将两种认证方法结合起来，进一步加强认证的安全性。目前使用最</w:t>
      </w:r>
      <w:r>
        <w:rPr>
          <w:spacing w:val="18"/>
          <w:sz w:val="20"/>
          <w:szCs w:val="20"/>
        </w:rPr>
        <w:t xml:space="preserve"> </w:t>
      </w:r>
      <w:r>
        <w:rPr>
          <w:spacing w:val="1"/>
          <w:sz w:val="20"/>
          <w:szCs w:val="20"/>
        </w:rPr>
        <w:t>为广泛的双因素有：动态口令牌+静态密码、</w:t>
      </w:r>
      <w:r>
        <w:rPr>
          <w:spacing w:val="-40"/>
          <w:sz w:val="20"/>
          <w:szCs w:val="20"/>
        </w:rPr>
        <w:t xml:space="preserve"> </w:t>
      </w:r>
      <w:r>
        <w:rPr>
          <w:rFonts w:ascii="Times New Roman" w:hAnsi="Times New Roman" w:eastAsia="Times New Roman" w:cs="Times New Roman"/>
          <w:sz w:val="20"/>
          <w:szCs w:val="20"/>
        </w:rPr>
        <w:t>USB</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Key</w:t>
      </w:r>
      <w:r>
        <w:rPr>
          <w:rFonts w:ascii="Times New Roman" w:hAnsi="Times New Roman" w:eastAsia="Times New Roman" w:cs="Times New Roman"/>
          <w:spacing w:val="1"/>
          <w:sz w:val="20"/>
          <w:szCs w:val="20"/>
        </w:rPr>
        <w:t>+</w:t>
      </w:r>
      <w:r>
        <w:rPr>
          <w:spacing w:val="1"/>
          <w:sz w:val="20"/>
          <w:szCs w:val="20"/>
        </w:rPr>
        <w:t>静态密码、二层静态密</w:t>
      </w:r>
      <w:r>
        <w:rPr>
          <w:sz w:val="20"/>
          <w:szCs w:val="20"/>
        </w:rPr>
        <w:t>码等。</w:t>
      </w:r>
    </w:p>
    <w:p w14:paraId="1A5EF5F0">
      <w:pPr>
        <w:pStyle w:val="2"/>
        <w:spacing w:before="49" w:line="259" w:lineRule="auto"/>
        <w:ind w:right="278" w:firstLine="410"/>
        <w:rPr>
          <w:sz w:val="20"/>
          <w:szCs w:val="20"/>
        </w:rPr>
      </w:pPr>
      <w:r>
        <w:rPr>
          <w:rFonts w:ascii="Times New Roman" w:hAnsi="Times New Roman" w:eastAsia="Times New Roman" w:cs="Times New Roman"/>
          <w:spacing w:val="4"/>
          <w:sz w:val="20"/>
          <w:szCs w:val="20"/>
        </w:rPr>
        <w:t>(9)</w:t>
      </w:r>
      <w:r>
        <w:rPr>
          <w:rFonts w:ascii="Times New Roman" w:hAnsi="Times New Roman" w:eastAsia="Times New Roman" w:cs="Times New Roman"/>
          <w:sz w:val="20"/>
          <w:szCs w:val="20"/>
        </w:rPr>
        <w:t>Infogo</w:t>
      </w:r>
      <w:r>
        <w:rPr>
          <w:rFonts w:ascii="Times New Roman" w:hAnsi="Times New Roman" w:eastAsia="Times New Roman" w:cs="Times New Roman"/>
          <w:spacing w:val="4"/>
          <w:sz w:val="20"/>
          <w:szCs w:val="20"/>
        </w:rPr>
        <w:t xml:space="preserve">    </w:t>
      </w:r>
      <w:r>
        <w:rPr>
          <w:spacing w:val="4"/>
          <w:sz w:val="20"/>
          <w:szCs w:val="20"/>
        </w:rPr>
        <w:t>认证。网络安全准入设备的制造商，与国内专业网络安全准入实验室联合研制</w:t>
      </w:r>
      <w:r>
        <w:rPr>
          <w:spacing w:val="15"/>
          <w:sz w:val="20"/>
          <w:szCs w:val="20"/>
        </w:rPr>
        <w:t xml:space="preserve"> </w:t>
      </w:r>
      <w:r>
        <w:rPr>
          <w:spacing w:val="-1"/>
          <w:sz w:val="20"/>
          <w:szCs w:val="20"/>
        </w:rPr>
        <w:t>并获得准入认证后，向信息安全市场推出的一</w:t>
      </w:r>
      <w:r>
        <w:rPr>
          <w:spacing w:val="-2"/>
          <w:sz w:val="20"/>
          <w:szCs w:val="20"/>
        </w:rPr>
        <w:t>种安全身份认证技术。</w:t>
      </w:r>
    </w:p>
    <w:p w14:paraId="72FD433F">
      <w:pPr>
        <w:pStyle w:val="2"/>
        <w:spacing w:before="63" w:line="269" w:lineRule="auto"/>
        <w:ind w:right="215" w:firstLine="410"/>
        <w:rPr>
          <w:sz w:val="20"/>
          <w:szCs w:val="20"/>
        </w:rPr>
      </w:pPr>
      <w:r>
        <w:rPr>
          <w:spacing w:val="3"/>
          <w:sz w:val="20"/>
          <w:szCs w:val="20"/>
        </w:rPr>
        <w:t>(10)虹膜认证。虹膜是瞳孔周围的环状颜色组织，具有丰富而各不相同的纹理图案，构成</w:t>
      </w:r>
      <w:r>
        <w:rPr>
          <w:spacing w:val="15"/>
          <w:sz w:val="20"/>
          <w:szCs w:val="20"/>
        </w:rPr>
        <w:t xml:space="preserve"> </w:t>
      </w:r>
      <w:r>
        <w:rPr>
          <w:spacing w:val="3"/>
          <w:sz w:val="20"/>
          <w:szCs w:val="20"/>
        </w:rPr>
        <w:t>了虹膜识别的基础。虹膜识别技术是通过一种近似红外线的光线对虹膜图案进行扫描成像，并</w:t>
      </w:r>
      <w:r>
        <w:rPr>
          <w:spacing w:val="2"/>
          <w:sz w:val="20"/>
          <w:szCs w:val="20"/>
        </w:rPr>
        <w:t xml:space="preserve">  </w:t>
      </w:r>
      <w:r>
        <w:rPr>
          <w:sz w:val="20"/>
          <w:szCs w:val="20"/>
        </w:rPr>
        <w:t>通过图案像素的异或操作来判定相似程度。与现有大量指纹鉴别产品相比，虹膜鉴别在可靠性、</w:t>
      </w:r>
      <w:r>
        <w:rPr>
          <w:spacing w:val="18"/>
          <w:sz w:val="20"/>
          <w:szCs w:val="20"/>
        </w:rPr>
        <w:t xml:space="preserve"> </w:t>
      </w:r>
      <w:r>
        <w:rPr>
          <w:spacing w:val="3"/>
          <w:sz w:val="20"/>
          <w:szCs w:val="20"/>
        </w:rPr>
        <w:t>安全性(指纹易仿造)、稳定精度等方面仍具有巨大的</w:t>
      </w:r>
      <w:r>
        <w:rPr>
          <w:spacing w:val="2"/>
          <w:sz w:val="20"/>
          <w:szCs w:val="20"/>
        </w:rPr>
        <w:t>优势。</w:t>
      </w:r>
    </w:p>
    <w:p w14:paraId="017630BC">
      <w:pPr>
        <w:pStyle w:val="2"/>
        <w:spacing w:before="243" w:line="220" w:lineRule="auto"/>
        <w:ind w:left="2"/>
        <w:rPr>
          <w:sz w:val="26"/>
          <w:szCs w:val="26"/>
        </w:rPr>
      </w:pPr>
      <w:r>
        <w:rPr>
          <w:b/>
          <w:bCs/>
          <w:color w:val="0058CC"/>
          <w:spacing w:val="-23"/>
          <w:sz w:val="26"/>
          <w:szCs w:val="26"/>
        </w:rPr>
        <w:t>6.3.2</w:t>
      </w:r>
      <w:r>
        <w:rPr>
          <w:color w:val="0058CC"/>
          <w:spacing w:val="-23"/>
          <w:sz w:val="26"/>
          <w:szCs w:val="26"/>
        </w:rPr>
        <w:t xml:space="preserve">  </w:t>
      </w:r>
      <w:r>
        <w:rPr>
          <w:b/>
          <w:bCs/>
          <w:color w:val="0058CC"/>
          <w:spacing w:val="-23"/>
          <w:sz w:val="26"/>
          <w:szCs w:val="26"/>
        </w:rPr>
        <w:t>访问控制</w:t>
      </w:r>
    </w:p>
    <w:p w14:paraId="5E7A3C5C">
      <w:pPr>
        <w:pStyle w:val="2"/>
        <w:spacing w:before="119" w:line="280" w:lineRule="auto"/>
        <w:ind w:right="286" w:firstLine="410"/>
        <w:jc w:val="both"/>
        <w:rPr>
          <w:sz w:val="20"/>
          <w:szCs w:val="20"/>
        </w:rPr>
      </w:pPr>
      <w:r>
        <w:rPr>
          <w:spacing w:val="4"/>
          <w:sz w:val="20"/>
          <w:szCs w:val="20"/>
        </w:rPr>
        <w:t>访问控制技术，指防止对任何资源进行未授</w:t>
      </w:r>
      <w:r>
        <w:rPr>
          <w:spacing w:val="3"/>
          <w:sz w:val="20"/>
          <w:szCs w:val="20"/>
        </w:rPr>
        <w:t>权的访问，从而使计算机系统在合法的范围内</w:t>
      </w:r>
      <w:r>
        <w:rPr>
          <w:sz w:val="20"/>
          <w:szCs w:val="20"/>
        </w:rPr>
        <w:t xml:space="preserve"> </w:t>
      </w:r>
      <w:r>
        <w:rPr>
          <w:spacing w:val="3"/>
          <w:sz w:val="20"/>
          <w:szCs w:val="20"/>
        </w:rPr>
        <w:t>使用。通过用户身份及其所归属的某项定义组来限制用户对某些信息项的访问，或限制对某些</w:t>
      </w:r>
      <w:r>
        <w:rPr>
          <w:spacing w:val="5"/>
          <w:sz w:val="20"/>
          <w:szCs w:val="20"/>
        </w:rPr>
        <w:t xml:space="preserve"> </w:t>
      </w:r>
      <w:r>
        <w:rPr>
          <w:spacing w:val="4"/>
          <w:sz w:val="20"/>
          <w:szCs w:val="20"/>
        </w:rPr>
        <w:t>控制功能的使用的一种技术，如</w:t>
      </w:r>
      <w:r>
        <w:rPr>
          <w:rFonts w:ascii="Times New Roman" w:hAnsi="Times New Roman" w:eastAsia="Times New Roman" w:cs="Times New Roman"/>
          <w:sz w:val="20"/>
          <w:szCs w:val="20"/>
        </w:rPr>
        <w:t>UniNAC</w:t>
      </w:r>
      <w:r>
        <w:rPr>
          <w:rFonts w:ascii="Times New Roman" w:hAnsi="Times New Roman" w:eastAsia="Times New Roman" w:cs="Times New Roman"/>
          <w:spacing w:val="27"/>
          <w:sz w:val="20"/>
          <w:szCs w:val="20"/>
        </w:rPr>
        <w:t xml:space="preserve"> </w:t>
      </w:r>
      <w:r>
        <w:rPr>
          <w:spacing w:val="4"/>
          <w:sz w:val="20"/>
          <w:szCs w:val="20"/>
        </w:rPr>
        <w:t>网络准入控制系统的原理就是基于此技术的。访问控</w:t>
      </w:r>
      <w:r>
        <w:rPr>
          <w:sz w:val="20"/>
          <w:szCs w:val="20"/>
        </w:rPr>
        <w:t xml:space="preserve"> </w:t>
      </w:r>
      <w:r>
        <w:rPr>
          <w:spacing w:val="-1"/>
          <w:sz w:val="20"/>
          <w:szCs w:val="20"/>
        </w:rPr>
        <w:t>制通常用于系统管理员控制用户对服务器、目录、文件等网络资</w:t>
      </w:r>
      <w:r>
        <w:rPr>
          <w:spacing w:val="-2"/>
          <w:sz w:val="20"/>
          <w:szCs w:val="20"/>
        </w:rPr>
        <w:t>源的访问。</w:t>
      </w:r>
    </w:p>
    <w:p w14:paraId="6C8A4BAF">
      <w:pPr>
        <w:pStyle w:val="2"/>
        <w:spacing w:before="29" w:line="219" w:lineRule="auto"/>
        <w:ind w:left="410"/>
        <w:rPr>
          <w:sz w:val="20"/>
          <w:szCs w:val="20"/>
        </w:rPr>
      </w:pPr>
      <w:r>
        <w:rPr>
          <w:spacing w:val="3"/>
          <w:sz w:val="20"/>
          <w:szCs w:val="20"/>
        </w:rPr>
        <w:t>通过身份认证，能够确认用户的身份，而对用户的操作和访问行为的把控就需要授权和审</w:t>
      </w:r>
    </w:p>
    <w:p w14:paraId="4FDCBBA1">
      <w:pPr>
        <w:spacing w:line="219" w:lineRule="auto"/>
        <w:rPr>
          <w:sz w:val="20"/>
          <w:szCs w:val="20"/>
        </w:rPr>
        <w:sectPr>
          <w:pgSz w:w="10290" w:h="13260"/>
          <w:pgMar w:top="400" w:right="604" w:bottom="400" w:left="1049" w:header="0" w:footer="0" w:gutter="0"/>
          <w:cols w:space="720" w:num="1"/>
        </w:sectPr>
      </w:pPr>
    </w:p>
    <w:p w14:paraId="0D94CB85">
      <w:pPr>
        <w:pStyle w:val="2"/>
        <w:spacing w:before="87" w:line="219" w:lineRule="auto"/>
        <w:rPr>
          <w:sz w:val="19"/>
          <w:szCs w:val="19"/>
        </w:rPr>
      </w:pPr>
      <w:r>
        <w:rPr>
          <w:rFonts w:ascii="Times New Roman" w:hAnsi="Times New Roman" w:eastAsia="Times New Roman" w:cs="Times New Roman"/>
          <w:spacing w:val="3"/>
          <w:sz w:val="19"/>
          <w:szCs w:val="19"/>
        </w:rPr>
        <w:t xml:space="preserve">176              </w:t>
      </w:r>
      <w:r>
        <w:rPr>
          <w:spacing w:val="3"/>
          <w:sz w:val="19"/>
          <w:szCs w:val="19"/>
        </w:rPr>
        <w:t>信息系统监理师教程(第2版)</w:t>
      </w:r>
    </w:p>
    <w:p w14:paraId="1E814BC1">
      <w:pPr>
        <w:spacing w:line="331" w:lineRule="auto"/>
        <w:rPr>
          <w:rFonts w:ascii="Arial"/>
          <w:sz w:val="21"/>
        </w:rPr>
      </w:pPr>
    </w:p>
    <w:p w14:paraId="252810FE">
      <w:pPr>
        <w:pStyle w:val="2"/>
        <w:spacing w:before="62" w:line="220" w:lineRule="auto"/>
        <w:ind w:left="359"/>
        <w:rPr>
          <w:sz w:val="19"/>
          <w:szCs w:val="19"/>
        </w:rPr>
      </w:pPr>
      <w:r>
        <w:rPr>
          <w:spacing w:val="3"/>
          <w:sz w:val="19"/>
          <w:szCs w:val="19"/>
        </w:rPr>
        <w:t>计发挥作用了。</w:t>
      </w:r>
    </w:p>
    <w:p w14:paraId="70755872">
      <w:pPr>
        <w:pStyle w:val="2"/>
        <w:spacing w:before="81" w:line="298" w:lineRule="auto"/>
        <w:ind w:left="359" w:firstLine="399"/>
        <w:rPr>
          <w:sz w:val="19"/>
          <w:szCs w:val="19"/>
        </w:rPr>
      </w:pPr>
      <w:r>
        <w:rPr>
          <w:spacing w:val="6"/>
          <w:sz w:val="19"/>
          <w:szCs w:val="19"/>
        </w:rPr>
        <w:t>通俗地讲就是，用户是主体，文件是客体，读取文件操作是请求，</w:t>
      </w:r>
      <w:r>
        <w:rPr>
          <w:spacing w:val="68"/>
          <w:w w:val="101"/>
          <w:sz w:val="19"/>
          <w:szCs w:val="19"/>
        </w:rPr>
        <w:t xml:space="preserve"> </w:t>
      </w:r>
      <w:r>
        <w:rPr>
          <w:spacing w:val="6"/>
          <w:sz w:val="19"/>
          <w:szCs w:val="19"/>
        </w:rPr>
        <w:t>一个主体请求一个客体，</w:t>
      </w:r>
      <w:r>
        <w:rPr>
          <w:sz w:val="19"/>
          <w:szCs w:val="19"/>
        </w:rPr>
        <w:t xml:space="preserve"> </w:t>
      </w:r>
      <w:r>
        <w:rPr>
          <w:spacing w:val="6"/>
          <w:sz w:val="19"/>
          <w:szCs w:val="19"/>
        </w:rPr>
        <w:t>这个请求的授权由访问控制来完成。</w:t>
      </w:r>
    </w:p>
    <w:p w14:paraId="2A10C085">
      <w:pPr>
        <w:pStyle w:val="2"/>
        <w:spacing w:before="17" w:line="288" w:lineRule="auto"/>
        <w:ind w:left="359" w:right="85" w:firstLine="399"/>
        <w:rPr>
          <w:sz w:val="19"/>
          <w:szCs w:val="19"/>
        </w:rPr>
      </w:pPr>
      <w:r>
        <w:rPr>
          <w:spacing w:val="13"/>
          <w:sz w:val="19"/>
          <w:szCs w:val="19"/>
        </w:rPr>
        <w:t>主体：请求的发起者。主体可以是用户，也可以是进程、应用、设备等任何发起访问请求</w:t>
      </w:r>
      <w:r>
        <w:rPr>
          <w:spacing w:val="1"/>
          <w:sz w:val="19"/>
          <w:szCs w:val="19"/>
        </w:rPr>
        <w:t xml:space="preserve"> </w:t>
      </w:r>
      <w:r>
        <w:rPr>
          <w:spacing w:val="3"/>
          <w:sz w:val="19"/>
          <w:szCs w:val="19"/>
        </w:rPr>
        <w:t>的来源。</w:t>
      </w:r>
    </w:p>
    <w:p w14:paraId="1EA4477E">
      <w:pPr>
        <w:pStyle w:val="2"/>
        <w:spacing w:before="48" w:line="277" w:lineRule="auto"/>
        <w:ind w:left="359" w:right="65" w:firstLine="399"/>
        <w:rPr>
          <w:sz w:val="19"/>
          <w:szCs w:val="19"/>
        </w:rPr>
      </w:pPr>
      <w:r>
        <w:rPr>
          <w:spacing w:val="9"/>
          <w:sz w:val="19"/>
          <w:szCs w:val="19"/>
        </w:rPr>
        <w:t>客体：请求的接收方，</w:t>
      </w:r>
      <w:r>
        <w:rPr>
          <w:spacing w:val="82"/>
          <w:sz w:val="19"/>
          <w:szCs w:val="19"/>
        </w:rPr>
        <w:t xml:space="preserve"> </w:t>
      </w:r>
      <w:r>
        <w:rPr>
          <w:spacing w:val="9"/>
          <w:sz w:val="19"/>
          <w:szCs w:val="19"/>
        </w:rPr>
        <w:t>一般是某种资源。例如某个文件、数据库，也可以是进程、设备等</w:t>
      </w:r>
      <w:r>
        <w:rPr>
          <w:sz w:val="19"/>
          <w:szCs w:val="19"/>
        </w:rPr>
        <w:t xml:space="preserve"> </w:t>
      </w:r>
      <w:r>
        <w:rPr>
          <w:spacing w:val="5"/>
          <w:sz w:val="19"/>
          <w:szCs w:val="19"/>
        </w:rPr>
        <w:t>接受指令的实体。</w:t>
      </w:r>
    </w:p>
    <w:p w14:paraId="1FF31193">
      <w:pPr>
        <w:pStyle w:val="2"/>
        <w:spacing w:before="38" w:line="298" w:lineRule="auto"/>
        <w:ind w:left="359" w:right="85" w:firstLine="399"/>
        <w:rPr>
          <w:sz w:val="19"/>
          <w:szCs w:val="19"/>
        </w:rPr>
      </w:pPr>
      <w:r>
        <w:rPr>
          <w:spacing w:val="9"/>
          <w:sz w:val="19"/>
          <w:szCs w:val="19"/>
        </w:rPr>
        <w:t>请求：主体对客体进行的操作。</w:t>
      </w:r>
      <w:r>
        <w:rPr>
          <w:spacing w:val="62"/>
          <w:sz w:val="19"/>
          <w:szCs w:val="19"/>
        </w:rPr>
        <w:t xml:space="preserve"> </w:t>
      </w:r>
      <w:r>
        <w:rPr>
          <w:spacing w:val="9"/>
          <w:sz w:val="19"/>
          <w:szCs w:val="19"/>
        </w:rPr>
        <w:t>一般是读、写和执行，也可以进一步细分为删除、追加等</w:t>
      </w:r>
      <w:r>
        <w:rPr>
          <w:sz w:val="19"/>
          <w:szCs w:val="19"/>
        </w:rPr>
        <w:t xml:space="preserve"> </w:t>
      </w:r>
      <w:r>
        <w:rPr>
          <w:spacing w:val="5"/>
          <w:sz w:val="19"/>
          <w:szCs w:val="19"/>
        </w:rPr>
        <w:t>粒度更细的操作。</w:t>
      </w:r>
    </w:p>
    <w:p w14:paraId="174ED335">
      <w:pPr>
        <w:pStyle w:val="2"/>
        <w:spacing w:before="16" w:line="288" w:lineRule="auto"/>
        <w:ind w:left="359" w:right="78" w:firstLine="399"/>
        <w:rPr>
          <w:sz w:val="19"/>
          <w:szCs w:val="19"/>
        </w:rPr>
      </w:pPr>
      <w:r>
        <w:rPr>
          <w:spacing w:val="13"/>
          <w:sz w:val="19"/>
          <w:szCs w:val="19"/>
        </w:rPr>
        <w:t>访问机制是否对请求进行授权，决定着这个操作能否顺利执行下去。所以，了解访问机制</w:t>
      </w:r>
      <w:r>
        <w:rPr>
          <w:spacing w:val="8"/>
          <w:sz w:val="19"/>
          <w:szCs w:val="19"/>
        </w:rPr>
        <w:t xml:space="preserve"> </w:t>
      </w:r>
      <w:r>
        <w:rPr>
          <w:spacing w:val="6"/>
          <w:sz w:val="19"/>
          <w:szCs w:val="19"/>
        </w:rPr>
        <w:t>的规则至关重要。常见的访问控制机制有以下四种：</w:t>
      </w:r>
    </w:p>
    <w:p w14:paraId="3894F61B">
      <w:pPr>
        <w:pStyle w:val="2"/>
        <w:spacing w:before="24" w:line="273" w:lineRule="auto"/>
        <w:ind w:left="969" w:right="78" w:hanging="210"/>
        <w:rPr>
          <w:sz w:val="19"/>
          <w:szCs w:val="19"/>
        </w:rPr>
      </w:pPr>
      <w:r>
        <w:rPr>
          <w:spacing w:val="10"/>
          <w:sz w:val="19"/>
          <w:szCs w:val="19"/>
        </w:rPr>
        <w:t>●</w:t>
      </w:r>
      <w:r>
        <w:rPr>
          <w:spacing w:val="-4"/>
          <w:sz w:val="19"/>
          <w:szCs w:val="19"/>
        </w:rPr>
        <w:t xml:space="preserve"> </w:t>
      </w:r>
      <w:r>
        <w:rPr>
          <w:spacing w:val="10"/>
          <w:sz w:val="19"/>
          <w:szCs w:val="19"/>
        </w:rPr>
        <w:t>自主访问控制</w:t>
      </w:r>
      <w:r>
        <w:rPr>
          <w:spacing w:val="-42"/>
          <w:sz w:val="19"/>
          <w:szCs w:val="19"/>
        </w:rPr>
        <w:t xml:space="preserve"> </w:t>
      </w:r>
      <w:r>
        <w:rPr>
          <w:spacing w:val="10"/>
          <w:sz w:val="19"/>
          <w:szCs w:val="19"/>
        </w:rPr>
        <w:t>(</w:t>
      </w:r>
      <w:r>
        <w:rPr>
          <w:sz w:val="19"/>
          <w:szCs w:val="19"/>
        </w:rPr>
        <w:t>Discretionary</w:t>
      </w:r>
      <w:r>
        <w:rPr>
          <w:spacing w:val="58"/>
          <w:sz w:val="19"/>
          <w:szCs w:val="19"/>
        </w:rPr>
        <w:t xml:space="preserve"> </w:t>
      </w:r>
      <w:r>
        <w:rPr>
          <w:sz w:val="19"/>
          <w:szCs w:val="19"/>
        </w:rPr>
        <w:t>Access</w:t>
      </w:r>
      <w:r>
        <w:rPr>
          <w:spacing w:val="63"/>
          <w:sz w:val="19"/>
          <w:szCs w:val="19"/>
        </w:rPr>
        <w:t xml:space="preserve"> </w:t>
      </w:r>
      <w:r>
        <w:rPr>
          <w:sz w:val="19"/>
          <w:szCs w:val="19"/>
        </w:rPr>
        <w:t>Control</w:t>
      </w:r>
      <w:r>
        <w:rPr>
          <w:spacing w:val="10"/>
          <w:sz w:val="19"/>
          <w:szCs w:val="19"/>
        </w:rPr>
        <w:t>,</w:t>
      </w:r>
      <w:r>
        <w:rPr>
          <w:sz w:val="19"/>
          <w:szCs w:val="19"/>
        </w:rPr>
        <w:t>DAC</w:t>
      </w:r>
      <w:r>
        <w:rPr>
          <w:spacing w:val="10"/>
          <w:sz w:val="19"/>
          <w:szCs w:val="19"/>
        </w:rPr>
        <w:t>)。让客体的所有者来定义访问控制</w:t>
      </w:r>
      <w:r>
        <w:rPr>
          <w:sz w:val="19"/>
          <w:szCs w:val="19"/>
        </w:rPr>
        <w:t xml:space="preserve"> </w:t>
      </w:r>
      <w:r>
        <w:rPr>
          <w:spacing w:val="5"/>
          <w:sz w:val="19"/>
          <w:szCs w:val="19"/>
        </w:rPr>
        <w:t>规则。</w:t>
      </w:r>
    </w:p>
    <w:p w14:paraId="37E21E18">
      <w:pPr>
        <w:pStyle w:val="2"/>
        <w:spacing w:before="100" w:line="256" w:lineRule="auto"/>
        <w:ind w:left="969" w:right="71" w:hanging="210"/>
        <w:rPr>
          <w:sz w:val="19"/>
          <w:szCs w:val="19"/>
        </w:rPr>
      </w:pPr>
      <w:r>
        <w:rPr>
          <w:spacing w:val="9"/>
          <w:sz w:val="19"/>
          <w:szCs w:val="19"/>
        </w:rPr>
        <w:t>●</w:t>
      </w:r>
      <w:r>
        <w:rPr>
          <w:spacing w:val="-62"/>
          <w:sz w:val="19"/>
          <w:szCs w:val="19"/>
        </w:rPr>
        <w:t xml:space="preserve"> </w:t>
      </w:r>
      <w:r>
        <w:rPr>
          <w:spacing w:val="9"/>
          <w:sz w:val="19"/>
          <w:szCs w:val="19"/>
        </w:rPr>
        <w:t>基于角色的访问控制</w:t>
      </w:r>
      <w:r>
        <w:rPr>
          <w:spacing w:val="-42"/>
          <w:sz w:val="19"/>
          <w:szCs w:val="19"/>
        </w:rPr>
        <w:t xml:space="preserve"> </w:t>
      </w:r>
      <w:r>
        <w:rPr>
          <w:spacing w:val="9"/>
          <w:sz w:val="19"/>
          <w:szCs w:val="19"/>
        </w:rPr>
        <w:t>(</w:t>
      </w:r>
      <w:r>
        <w:rPr>
          <w:sz w:val="19"/>
          <w:szCs w:val="19"/>
        </w:rPr>
        <w:t>Role</w:t>
      </w:r>
      <w:r>
        <w:rPr>
          <w:spacing w:val="9"/>
          <w:sz w:val="19"/>
          <w:szCs w:val="19"/>
        </w:rPr>
        <w:t>-</w:t>
      </w:r>
      <w:r>
        <w:rPr>
          <w:sz w:val="19"/>
          <w:szCs w:val="19"/>
        </w:rPr>
        <w:t>Based</w:t>
      </w:r>
      <w:r>
        <w:rPr>
          <w:spacing w:val="1"/>
          <w:sz w:val="19"/>
          <w:szCs w:val="19"/>
        </w:rPr>
        <w:t xml:space="preserve">  </w:t>
      </w:r>
      <w:r>
        <w:rPr>
          <w:sz w:val="19"/>
          <w:szCs w:val="19"/>
        </w:rPr>
        <w:t>Access</w:t>
      </w:r>
      <w:r>
        <w:rPr>
          <w:spacing w:val="9"/>
          <w:sz w:val="19"/>
          <w:szCs w:val="19"/>
        </w:rPr>
        <w:t xml:space="preserve">  </w:t>
      </w:r>
      <w:r>
        <w:rPr>
          <w:sz w:val="19"/>
          <w:szCs w:val="19"/>
        </w:rPr>
        <w:t>Control</w:t>
      </w:r>
      <w:r>
        <w:rPr>
          <w:spacing w:val="9"/>
          <w:sz w:val="19"/>
          <w:szCs w:val="19"/>
        </w:rPr>
        <w:t>,</w:t>
      </w:r>
      <w:r>
        <w:rPr>
          <w:sz w:val="19"/>
          <w:szCs w:val="19"/>
        </w:rPr>
        <w:t>Role</w:t>
      </w:r>
      <w:r>
        <w:rPr>
          <w:spacing w:val="9"/>
          <w:sz w:val="19"/>
          <w:szCs w:val="19"/>
        </w:rPr>
        <w:t>-</w:t>
      </w:r>
      <w:r>
        <w:rPr>
          <w:sz w:val="19"/>
          <w:szCs w:val="19"/>
        </w:rPr>
        <w:t>BAC</w:t>
      </w:r>
      <w:r>
        <w:rPr>
          <w:spacing w:val="9"/>
          <w:sz w:val="19"/>
          <w:szCs w:val="19"/>
        </w:rPr>
        <w:t>)。将</w:t>
      </w:r>
      <w:r>
        <w:rPr>
          <w:spacing w:val="8"/>
          <w:sz w:val="19"/>
          <w:szCs w:val="19"/>
        </w:rPr>
        <w:t>主体划分为不同的角</w:t>
      </w:r>
      <w:r>
        <w:rPr>
          <w:spacing w:val="1"/>
          <w:sz w:val="19"/>
          <w:szCs w:val="19"/>
        </w:rPr>
        <w:t xml:space="preserve"> </w:t>
      </w:r>
      <w:r>
        <w:rPr>
          <w:spacing w:val="7"/>
          <w:sz w:val="19"/>
          <w:szCs w:val="19"/>
        </w:rPr>
        <w:t>色，然后对每个角色的权限进行定义。</w:t>
      </w:r>
    </w:p>
    <w:p w14:paraId="451CEE26">
      <w:pPr>
        <w:pStyle w:val="2"/>
        <w:spacing w:before="102" w:line="267" w:lineRule="auto"/>
        <w:ind w:left="969" w:hanging="210"/>
        <w:rPr>
          <w:sz w:val="19"/>
          <w:szCs w:val="19"/>
        </w:rPr>
      </w:pPr>
      <w:r>
        <w:rPr>
          <w:spacing w:val="8"/>
          <w:sz w:val="19"/>
          <w:szCs w:val="19"/>
        </w:rPr>
        <w:t>●基于规则的访问控制</w:t>
      </w:r>
      <w:r>
        <w:rPr>
          <w:spacing w:val="-38"/>
          <w:sz w:val="19"/>
          <w:szCs w:val="19"/>
        </w:rPr>
        <w:t xml:space="preserve"> </w:t>
      </w:r>
      <w:r>
        <w:rPr>
          <w:spacing w:val="8"/>
          <w:sz w:val="19"/>
          <w:szCs w:val="19"/>
        </w:rPr>
        <w:t>(</w:t>
      </w:r>
      <w:r>
        <w:rPr>
          <w:sz w:val="19"/>
          <w:szCs w:val="19"/>
        </w:rPr>
        <w:t>Rule</w:t>
      </w:r>
      <w:r>
        <w:rPr>
          <w:spacing w:val="8"/>
          <w:sz w:val="19"/>
          <w:szCs w:val="19"/>
        </w:rPr>
        <w:t>-</w:t>
      </w:r>
      <w:r>
        <w:rPr>
          <w:sz w:val="19"/>
          <w:szCs w:val="19"/>
        </w:rPr>
        <w:t>Based</w:t>
      </w:r>
      <w:r>
        <w:rPr>
          <w:spacing w:val="63"/>
          <w:sz w:val="19"/>
          <w:szCs w:val="19"/>
        </w:rPr>
        <w:t xml:space="preserve"> </w:t>
      </w:r>
      <w:r>
        <w:rPr>
          <w:sz w:val="19"/>
          <w:szCs w:val="19"/>
        </w:rPr>
        <w:t>Access</w:t>
      </w:r>
      <w:r>
        <w:rPr>
          <w:spacing w:val="68"/>
          <w:sz w:val="19"/>
          <w:szCs w:val="19"/>
        </w:rPr>
        <w:t xml:space="preserve"> </w:t>
      </w:r>
      <w:r>
        <w:rPr>
          <w:sz w:val="19"/>
          <w:szCs w:val="19"/>
        </w:rPr>
        <w:t>Control</w:t>
      </w:r>
      <w:r>
        <w:rPr>
          <w:spacing w:val="8"/>
          <w:sz w:val="19"/>
          <w:szCs w:val="19"/>
        </w:rPr>
        <w:t>,</w:t>
      </w:r>
      <w:r>
        <w:rPr>
          <w:sz w:val="19"/>
          <w:szCs w:val="19"/>
        </w:rPr>
        <w:t>Rule</w:t>
      </w:r>
      <w:r>
        <w:rPr>
          <w:spacing w:val="8"/>
          <w:sz w:val="19"/>
          <w:szCs w:val="19"/>
        </w:rPr>
        <w:t>-</w:t>
      </w:r>
      <w:r>
        <w:rPr>
          <w:sz w:val="19"/>
          <w:szCs w:val="19"/>
        </w:rPr>
        <w:t>BAC</w:t>
      </w:r>
      <w:r>
        <w:rPr>
          <w:spacing w:val="8"/>
          <w:sz w:val="19"/>
          <w:szCs w:val="19"/>
        </w:rPr>
        <w:t>)。制定某种规则，将主体、</w:t>
      </w:r>
      <w:r>
        <w:rPr>
          <w:sz w:val="19"/>
          <w:szCs w:val="19"/>
        </w:rPr>
        <w:t xml:space="preserve"> </w:t>
      </w:r>
      <w:r>
        <w:rPr>
          <w:spacing w:val="7"/>
          <w:sz w:val="19"/>
          <w:szCs w:val="19"/>
        </w:rPr>
        <w:t>请求和客体的信息结合起来进行判定。</w:t>
      </w:r>
    </w:p>
    <w:p w14:paraId="29FC0561">
      <w:pPr>
        <w:pStyle w:val="2"/>
        <w:spacing w:before="82" w:line="272" w:lineRule="auto"/>
        <w:ind w:left="969" w:right="78" w:hanging="210"/>
        <w:rPr>
          <w:sz w:val="19"/>
          <w:szCs w:val="19"/>
        </w:rPr>
      </w:pPr>
      <w:r>
        <w:rPr>
          <w:spacing w:val="15"/>
          <w:sz w:val="19"/>
          <w:szCs w:val="19"/>
        </w:rPr>
        <w:t>●</w:t>
      </w:r>
      <w:r>
        <w:rPr>
          <w:spacing w:val="-39"/>
          <w:sz w:val="19"/>
          <w:szCs w:val="19"/>
        </w:rPr>
        <w:t xml:space="preserve"> </w:t>
      </w:r>
      <w:r>
        <w:rPr>
          <w:spacing w:val="15"/>
          <w:sz w:val="19"/>
          <w:szCs w:val="19"/>
        </w:rPr>
        <w:t>强制访问控制(</w:t>
      </w:r>
      <w:r>
        <w:rPr>
          <w:rFonts w:ascii="Times New Roman" w:hAnsi="Times New Roman" w:eastAsia="Times New Roman" w:cs="Times New Roman"/>
          <w:sz w:val="19"/>
          <w:szCs w:val="19"/>
        </w:rPr>
        <w:t>Mandatory</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Access</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Co</w:t>
      </w:r>
      <w:r>
        <w:rPr>
          <w:sz w:val="19"/>
          <w:szCs w:val="19"/>
        </w:rPr>
        <w:t>ntrol</w:t>
      </w:r>
      <w:r>
        <w:rPr>
          <w:spacing w:val="15"/>
          <w:sz w:val="19"/>
          <w:szCs w:val="19"/>
        </w:rPr>
        <w:t>,</w:t>
      </w:r>
      <w:r>
        <w:rPr>
          <w:sz w:val="19"/>
          <w:szCs w:val="19"/>
        </w:rPr>
        <w:t>MAC</w:t>
      </w:r>
      <w:r>
        <w:rPr>
          <w:spacing w:val="15"/>
          <w:sz w:val="19"/>
          <w:szCs w:val="19"/>
        </w:rPr>
        <w:t>)。  一种基于安全级别标签的访问控制</w:t>
      </w:r>
      <w:r>
        <w:rPr>
          <w:sz w:val="19"/>
          <w:szCs w:val="19"/>
        </w:rPr>
        <w:t xml:space="preserve"> </w:t>
      </w:r>
      <w:r>
        <w:rPr>
          <w:spacing w:val="5"/>
          <w:sz w:val="19"/>
          <w:szCs w:val="19"/>
        </w:rPr>
        <w:t>策略。</w:t>
      </w:r>
    </w:p>
    <w:p w14:paraId="29151238">
      <w:pPr>
        <w:pStyle w:val="2"/>
        <w:spacing w:before="232" w:line="219" w:lineRule="auto"/>
        <w:ind w:left="362"/>
        <w:rPr>
          <w:sz w:val="26"/>
          <w:szCs w:val="26"/>
        </w:rPr>
      </w:pPr>
      <w:bookmarkStart w:id="571" w:name="bookmark556"/>
      <w:bookmarkEnd w:id="571"/>
      <w:r>
        <w:rPr>
          <w:b/>
          <w:bCs/>
          <w:color w:val="005CD6"/>
          <w:spacing w:val="-25"/>
          <w:sz w:val="26"/>
          <w:szCs w:val="26"/>
        </w:rPr>
        <w:t>6.3.3</w:t>
      </w:r>
      <w:r>
        <w:rPr>
          <w:color w:val="005CD6"/>
          <w:spacing w:val="-25"/>
          <w:sz w:val="26"/>
          <w:szCs w:val="26"/>
        </w:rPr>
        <w:t xml:space="preserve"> </w:t>
      </w:r>
      <w:r>
        <w:rPr>
          <w:b/>
          <w:bCs/>
          <w:color w:val="005CD6"/>
          <w:spacing w:val="-25"/>
          <w:sz w:val="26"/>
          <w:szCs w:val="26"/>
        </w:rPr>
        <w:t>入侵检测系统</w:t>
      </w:r>
    </w:p>
    <w:p w14:paraId="7079B766">
      <w:pPr>
        <w:pStyle w:val="2"/>
        <w:spacing w:before="181" w:line="294" w:lineRule="auto"/>
        <w:ind w:left="359" w:right="83" w:firstLine="399"/>
        <w:jc w:val="both"/>
        <w:rPr>
          <w:sz w:val="19"/>
          <w:szCs w:val="19"/>
        </w:rPr>
      </w:pPr>
      <w:r>
        <w:rPr>
          <w:spacing w:val="13"/>
          <w:sz w:val="19"/>
          <w:szCs w:val="19"/>
        </w:rPr>
        <w:t>入侵检测系统是依照一定的安全策略，通过软硬件对网络、系统的运行状况进行监视，尽</w:t>
      </w:r>
      <w:r>
        <w:rPr>
          <w:spacing w:val="3"/>
          <w:sz w:val="19"/>
          <w:szCs w:val="19"/>
        </w:rPr>
        <w:t xml:space="preserve"> </w:t>
      </w:r>
      <w:r>
        <w:rPr>
          <w:spacing w:val="17"/>
          <w:sz w:val="19"/>
          <w:szCs w:val="19"/>
        </w:rPr>
        <w:t>可能发现各种攻击企图、攻击行为或攻击结果，以保证网络系统资源的机密性、完整性和可</w:t>
      </w:r>
      <w:r>
        <w:rPr>
          <w:spacing w:val="16"/>
          <w:sz w:val="19"/>
          <w:szCs w:val="19"/>
        </w:rPr>
        <w:t xml:space="preserve"> </w:t>
      </w:r>
      <w:r>
        <w:rPr>
          <w:spacing w:val="4"/>
          <w:sz w:val="19"/>
          <w:szCs w:val="19"/>
        </w:rPr>
        <w:t>用性。</w:t>
      </w:r>
    </w:p>
    <w:p w14:paraId="3E7EFEF1">
      <w:pPr>
        <w:pStyle w:val="2"/>
        <w:spacing w:before="23" w:line="296" w:lineRule="auto"/>
        <w:ind w:left="359" w:right="19" w:firstLine="399"/>
        <w:jc w:val="both"/>
        <w:rPr>
          <w:sz w:val="19"/>
          <w:szCs w:val="19"/>
        </w:rPr>
      </w:pPr>
      <w:r>
        <w:rPr>
          <w:spacing w:val="13"/>
          <w:sz w:val="19"/>
          <w:szCs w:val="19"/>
        </w:rPr>
        <w:t>入侵检测可以分为实时入侵检测和事后入侵检测两种。实时入侵检测在网络连接过程中进</w:t>
      </w:r>
      <w:r>
        <w:rPr>
          <w:sz w:val="19"/>
          <w:szCs w:val="19"/>
        </w:rPr>
        <w:t xml:space="preserve"> </w:t>
      </w:r>
      <w:r>
        <w:rPr>
          <w:spacing w:val="13"/>
          <w:sz w:val="19"/>
          <w:szCs w:val="19"/>
        </w:rPr>
        <w:t>行，系统根据用户的历史行为模型、存储在计算机中的专家知识及神经网络模型对用户当前的</w:t>
      </w:r>
      <w:r>
        <w:rPr>
          <w:spacing w:val="1"/>
          <w:sz w:val="19"/>
          <w:szCs w:val="19"/>
        </w:rPr>
        <w:t xml:space="preserve"> </w:t>
      </w:r>
      <w:r>
        <w:rPr>
          <w:spacing w:val="8"/>
          <w:sz w:val="19"/>
          <w:szCs w:val="19"/>
        </w:rPr>
        <w:t>操作进行判断，</w:t>
      </w:r>
      <w:r>
        <w:rPr>
          <w:spacing w:val="-16"/>
          <w:sz w:val="19"/>
          <w:szCs w:val="19"/>
        </w:rPr>
        <w:t xml:space="preserve"> </w:t>
      </w:r>
      <w:r>
        <w:rPr>
          <w:spacing w:val="8"/>
          <w:sz w:val="19"/>
          <w:szCs w:val="19"/>
        </w:rPr>
        <w:t>一旦发现入侵迹象立即断开入侵者与主机的连接，并收</w:t>
      </w:r>
      <w:r>
        <w:rPr>
          <w:spacing w:val="7"/>
          <w:sz w:val="19"/>
          <w:szCs w:val="19"/>
        </w:rPr>
        <w:t>集证据和实施数据恢复。</w:t>
      </w:r>
      <w:r>
        <w:rPr>
          <w:sz w:val="19"/>
          <w:szCs w:val="19"/>
        </w:rPr>
        <w:t xml:space="preserve"> </w:t>
      </w:r>
      <w:r>
        <w:rPr>
          <w:spacing w:val="13"/>
          <w:sz w:val="19"/>
          <w:szCs w:val="19"/>
        </w:rPr>
        <w:t xml:space="preserve">这个检测过程是不断循环进行的。而事后入侵检测则是由具有网络安全专业知识的网络管理人 </w:t>
      </w:r>
      <w:r>
        <w:rPr>
          <w:spacing w:val="9"/>
          <w:sz w:val="19"/>
          <w:szCs w:val="19"/>
        </w:rPr>
        <w:t>员定期或不定期进行的，不具有实时性，因</w:t>
      </w:r>
      <w:r>
        <w:rPr>
          <w:spacing w:val="8"/>
          <w:sz w:val="19"/>
          <w:szCs w:val="19"/>
        </w:rPr>
        <w:t>此防御入侵的能力不如实时入侵检测系统。</w:t>
      </w:r>
    </w:p>
    <w:p w14:paraId="22F82289">
      <w:pPr>
        <w:pStyle w:val="2"/>
        <w:spacing w:before="28" w:line="278" w:lineRule="auto"/>
        <w:ind w:left="359" w:right="95" w:firstLine="399"/>
        <w:rPr>
          <w:sz w:val="19"/>
          <w:szCs w:val="19"/>
        </w:rPr>
      </w:pPr>
      <w:r>
        <w:rPr>
          <w:spacing w:val="13"/>
          <w:sz w:val="19"/>
          <w:szCs w:val="19"/>
        </w:rPr>
        <w:t>入侵检测系统是国家信息安全的重要建设内容之一，已经纳入信息安</w:t>
      </w:r>
      <w:r>
        <w:rPr>
          <w:spacing w:val="12"/>
          <w:sz w:val="19"/>
          <w:szCs w:val="19"/>
        </w:rPr>
        <w:t>全等级保护和安全测</w:t>
      </w:r>
      <w:r>
        <w:rPr>
          <w:sz w:val="19"/>
          <w:szCs w:val="19"/>
        </w:rPr>
        <w:t xml:space="preserve"> 评的范畴。</w:t>
      </w:r>
    </w:p>
    <w:p w14:paraId="2A8D8727">
      <w:pPr>
        <w:pStyle w:val="2"/>
        <w:spacing w:before="167" w:line="219" w:lineRule="auto"/>
        <w:ind w:left="362"/>
        <w:rPr>
          <w:sz w:val="26"/>
          <w:szCs w:val="26"/>
        </w:rPr>
      </w:pPr>
      <w:r>
        <w:rPr>
          <w:b/>
          <w:bCs/>
          <w:color w:val="0065DA"/>
          <w:spacing w:val="-25"/>
          <w:sz w:val="26"/>
          <w:szCs w:val="26"/>
        </w:rPr>
        <w:t>6.3.4</w:t>
      </w:r>
      <w:r>
        <w:rPr>
          <w:color w:val="0065DA"/>
          <w:spacing w:val="70"/>
          <w:sz w:val="26"/>
          <w:szCs w:val="26"/>
        </w:rPr>
        <w:t xml:space="preserve"> </w:t>
      </w:r>
      <w:r>
        <w:rPr>
          <w:b/>
          <w:bCs/>
          <w:color w:val="0065DA"/>
          <w:spacing w:val="-25"/>
          <w:sz w:val="26"/>
          <w:szCs w:val="26"/>
        </w:rPr>
        <w:t>防火墙</w:t>
      </w:r>
    </w:p>
    <w:p w14:paraId="425CAB9B">
      <w:pPr>
        <w:pStyle w:val="2"/>
        <w:spacing w:before="182" w:line="282" w:lineRule="auto"/>
        <w:ind w:left="359" w:right="65" w:firstLine="399"/>
        <w:jc w:val="both"/>
        <w:rPr>
          <w:sz w:val="19"/>
          <w:szCs w:val="19"/>
        </w:rPr>
      </w:pPr>
      <w:r>
        <w:rPr>
          <w:spacing w:val="14"/>
          <w:sz w:val="19"/>
          <w:szCs w:val="19"/>
        </w:rPr>
        <w:t>防火墙，又称防护墙、火墙，其功能主要是及时</w:t>
      </w:r>
      <w:r>
        <w:rPr>
          <w:spacing w:val="13"/>
          <w:sz w:val="19"/>
          <w:szCs w:val="19"/>
        </w:rPr>
        <w:t>发现并处理计算机网络运行时潜在的安全</w:t>
      </w:r>
      <w:r>
        <w:rPr>
          <w:sz w:val="19"/>
          <w:szCs w:val="19"/>
        </w:rPr>
        <w:t xml:space="preserve"> </w:t>
      </w:r>
      <w:r>
        <w:rPr>
          <w:spacing w:val="13"/>
          <w:sz w:val="19"/>
          <w:szCs w:val="19"/>
        </w:rPr>
        <w:t>风险、数据传输风险等问题，同时可以对计算机网络安全中的各项操作进行记录与检测，以确</w:t>
      </w:r>
      <w:r>
        <w:rPr>
          <w:spacing w:val="1"/>
          <w:sz w:val="19"/>
          <w:szCs w:val="19"/>
        </w:rPr>
        <w:t xml:space="preserve"> </w:t>
      </w:r>
      <w:r>
        <w:rPr>
          <w:spacing w:val="5"/>
          <w:sz w:val="19"/>
          <w:szCs w:val="19"/>
        </w:rPr>
        <w:t>保计算机网络正常运行。</w:t>
      </w:r>
    </w:p>
    <w:p w14:paraId="0C362F22">
      <w:pPr>
        <w:pStyle w:val="2"/>
        <w:spacing w:before="49" w:line="219" w:lineRule="auto"/>
        <w:ind w:left="759"/>
        <w:rPr>
          <w:sz w:val="19"/>
          <w:szCs w:val="19"/>
        </w:rPr>
      </w:pPr>
      <w:r>
        <w:rPr>
          <w:spacing w:val="13"/>
          <w:sz w:val="19"/>
          <w:szCs w:val="19"/>
        </w:rPr>
        <w:t>目前的防火墙已经是一个由软件和硬件设备组合而成的，在内部网和外部网之间、专用网</w:t>
      </w:r>
    </w:p>
    <w:p w14:paraId="47E750FD">
      <w:pPr>
        <w:spacing w:line="219" w:lineRule="auto"/>
        <w:rPr>
          <w:sz w:val="19"/>
          <w:szCs w:val="19"/>
        </w:rPr>
        <w:sectPr>
          <w:pgSz w:w="10300" w:h="13310"/>
          <w:pgMar w:top="400" w:right="984" w:bottom="400" w:left="550" w:header="0" w:footer="0" w:gutter="0"/>
          <w:cols w:space="720" w:num="1"/>
        </w:sectPr>
      </w:pPr>
    </w:p>
    <w:p w14:paraId="76A94BE7">
      <w:pPr>
        <w:pStyle w:val="2"/>
        <w:spacing w:before="86" w:line="219" w:lineRule="auto"/>
        <w:jc w:val="right"/>
        <w:rPr>
          <w:rFonts w:ascii="Times New Roman" w:hAnsi="Times New Roman" w:eastAsia="Times New Roman" w:cs="Times New Roman"/>
          <w:sz w:val="20"/>
          <w:szCs w:val="20"/>
        </w:rPr>
      </w:pPr>
      <w:r>
        <w:rPr>
          <w:spacing w:val="-1"/>
          <w:sz w:val="20"/>
          <w:szCs w:val="20"/>
        </w:rPr>
        <w:t>第6章</w:t>
      </w:r>
      <w:r>
        <w:rPr>
          <w:spacing w:val="25"/>
          <w:sz w:val="20"/>
          <w:szCs w:val="20"/>
        </w:rPr>
        <w:t xml:space="preserve"> </w:t>
      </w:r>
      <w:r>
        <w:rPr>
          <w:spacing w:val="-1"/>
          <w:sz w:val="20"/>
          <w:szCs w:val="20"/>
        </w:rPr>
        <w:t>信息安全</w:t>
      </w:r>
      <w:r>
        <w:rPr>
          <w:spacing w:val="3"/>
          <w:sz w:val="20"/>
          <w:szCs w:val="20"/>
        </w:rPr>
        <w:t xml:space="preserve">      </w:t>
      </w:r>
      <w:r>
        <w:rPr>
          <w:rFonts w:ascii="Times New Roman" w:hAnsi="Times New Roman" w:eastAsia="Times New Roman" w:cs="Times New Roman"/>
          <w:spacing w:val="-1"/>
          <w:sz w:val="20"/>
          <w:szCs w:val="20"/>
        </w:rPr>
        <w:t>177</w:t>
      </w:r>
    </w:p>
    <w:p w14:paraId="7FD81879">
      <w:pPr>
        <w:spacing w:line="294" w:lineRule="auto"/>
        <w:rPr>
          <w:rFonts w:ascii="Arial"/>
          <w:sz w:val="21"/>
        </w:rPr>
      </w:pPr>
    </w:p>
    <w:p w14:paraId="772D9E35">
      <w:pPr>
        <w:pStyle w:val="2"/>
        <w:spacing w:before="65" w:line="280" w:lineRule="auto"/>
        <w:ind w:right="347"/>
        <w:jc w:val="both"/>
        <w:rPr>
          <w:sz w:val="20"/>
          <w:szCs w:val="20"/>
        </w:rPr>
      </w:pPr>
      <w:r>
        <w:rPr>
          <w:spacing w:val="3"/>
          <w:sz w:val="20"/>
          <w:szCs w:val="20"/>
        </w:rPr>
        <w:t>与公共网之间的界面上构造的保护屏障，是一种获取安全性</w:t>
      </w:r>
      <w:r>
        <w:rPr>
          <w:spacing w:val="2"/>
          <w:sz w:val="20"/>
          <w:szCs w:val="20"/>
        </w:rPr>
        <w:t>方法的形象说法。防火墙位于计算</w:t>
      </w:r>
      <w:r>
        <w:rPr>
          <w:sz w:val="20"/>
          <w:szCs w:val="20"/>
        </w:rPr>
        <w:t xml:space="preserve"> </w:t>
      </w:r>
      <w:r>
        <w:rPr>
          <w:spacing w:val="3"/>
          <w:sz w:val="20"/>
          <w:szCs w:val="20"/>
        </w:rPr>
        <w:t>机和它所连接的网络之间，计算机流入、流出的所有网络</w:t>
      </w:r>
      <w:r>
        <w:rPr>
          <w:spacing w:val="2"/>
          <w:sz w:val="20"/>
          <w:szCs w:val="20"/>
        </w:rPr>
        <w:t>通信和数据包均需要经过它。防火墙</w:t>
      </w:r>
      <w:r>
        <w:rPr>
          <w:sz w:val="20"/>
          <w:szCs w:val="20"/>
        </w:rPr>
        <w:t xml:space="preserve"> </w:t>
      </w:r>
      <w:r>
        <w:rPr>
          <w:spacing w:val="-3"/>
          <w:sz w:val="20"/>
          <w:szCs w:val="20"/>
        </w:rPr>
        <w:t>在Internet与</w:t>
      </w:r>
      <w:r>
        <w:rPr>
          <w:spacing w:val="-43"/>
          <w:sz w:val="20"/>
          <w:szCs w:val="20"/>
        </w:rPr>
        <w:t xml:space="preserve"> </w:t>
      </w:r>
      <w:r>
        <w:rPr>
          <w:spacing w:val="-3"/>
          <w:sz w:val="20"/>
          <w:szCs w:val="20"/>
        </w:rPr>
        <w:t>Intranet之间建立起一个安全网关，从而保护内部网免受非法用户的侵入。防火墙</w:t>
      </w:r>
      <w:r>
        <w:rPr>
          <w:sz w:val="20"/>
          <w:szCs w:val="20"/>
        </w:rPr>
        <w:t xml:space="preserve"> </w:t>
      </w:r>
      <w:r>
        <w:rPr>
          <w:spacing w:val="-2"/>
          <w:sz w:val="20"/>
          <w:szCs w:val="20"/>
        </w:rPr>
        <w:t>主要由服务访问规则、验证工具、包过滤和应用网关四个部分组成。</w:t>
      </w:r>
    </w:p>
    <w:p w14:paraId="06533081">
      <w:pPr>
        <w:pStyle w:val="2"/>
        <w:spacing w:before="134" w:line="221" w:lineRule="auto"/>
        <w:ind w:left="412"/>
        <w:rPr>
          <w:rFonts w:ascii="黑体" w:hAnsi="黑体" w:eastAsia="黑体" w:cs="黑体"/>
          <w:sz w:val="20"/>
          <w:szCs w:val="20"/>
        </w:rPr>
      </w:pPr>
      <w:bookmarkStart w:id="572" w:name="bookmark557"/>
      <w:bookmarkEnd w:id="572"/>
      <w:r>
        <w:rPr>
          <w:b/>
          <w:bCs/>
          <w:color w:val="0060CF"/>
          <w:spacing w:val="-4"/>
          <w:sz w:val="20"/>
          <w:szCs w:val="20"/>
        </w:rPr>
        <w:t>1.</w:t>
      </w:r>
      <w:r>
        <w:rPr>
          <w:rFonts w:ascii="黑体" w:hAnsi="黑体" w:eastAsia="黑体" w:cs="黑体"/>
          <w:b/>
          <w:bCs/>
          <w:color w:val="0060CF"/>
          <w:spacing w:val="-4"/>
          <w:sz w:val="20"/>
          <w:szCs w:val="20"/>
        </w:rPr>
        <w:t>防火墙的分类</w:t>
      </w:r>
    </w:p>
    <w:p w14:paraId="0BBBEABD">
      <w:pPr>
        <w:pStyle w:val="2"/>
        <w:spacing w:before="154" w:line="273" w:lineRule="auto"/>
        <w:ind w:right="345" w:firstLine="409"/>
        <w:rPr>
          <w:sz w:val="20"/>
          <w:szCs w:val="20"/>
        </w:rPr>
      </w:pPr>
      <w:r>
        <w:rPr>
          <w:spacing w:val="3"/>
          <w:sz w:val="20"/>
          <w:szCs w:val="20"/>
        </w:rPr>
        <w:t>通常情况下，防火墙分为四类：基于路由器的防</w:t>
      </w:r>
      <w:r>
        <w:rPr>
          <w:spacing w:val="2"/>
          <w:sz w:val="20"/>
          <w:szCs w:val="20"/>
        </w:rPr>
        <w:t>火墙、用户化的防火墙工具组件、建立在</w:t>
      </w:r>
      <w:r>
        <w:rPr>
          <w:sz w:val="20"/>
          <w:szCs w:val="20"/>
        </w:rPr>
        <w:t xml:space="preserve"> </w:t>
      </w:r>
      <w:r>
        <w:rPr>
          <w:spacing w:val="-2"/>
          <w:sz w:val="20"/>
          <w:szCs w:val="20"/>
        </w:rPr>
        <w:t>通用操作系统上的防火墙、具有安全操作系统的防火墙。</w:t>
      </w:r>
    </w:p>
    <w:p w14:paraId="50E4CF4E">
      <w:pPr>
        <w:pStyle w:val="2"/>
        <w:spacing w:before="38" w:line="219" w:lineRule="auto"/>
        <w:ind w:left="409"/>
        <w:rPr>
          <w:sz w:val="20"/>
          <w:szCs w:val="20"/>
        </w:rPr>
      </w:pPr>
      <w:r>
        <w:rPr>
          <w:spacing w:val="1"/>
          <w:sz w:val="20"/>
          <w:szCs w:val="20"/>
        </w:rPr>
        <w:t>按照结构划分，防火墙可以分为：代理主机结构、路由器+过滤器结构。</w:t>
      </w:r>
    </w:p>
    <w:p w14:paraId="6918B584">
      <w:pPr>
        <w:pStyle w:val="2"/>
        <w:spacing w:before="84" w:line="278" w:lineRule="auto"/>
        <w:ind w:right="345" w:firstLine="409"/>
        <w:rPr>
          <w:sz w:val="20"/>
          <w:szCs w:val="20"/>
        </w:rPr>
      </w:pPr>
      <w:r>
        <w:rPr>
          <w:spacing w:val="3"/>
          <w:sz w:val="20"/>
          <w:szCs w:val="20"/>
        </w:rPr>
        <w:t>按照原理划分，防火墙可以分为：特殊设计的硬件</w:t>
      </w:r>
      <w:r>
        <w:rPr>
          <w:spacing w:val="2"/>
          <w:sz w:val="20"/>
          <w:szCs w:val="20"/>
        </w:rPr>
        <w:t>防火墙、数据包过滤型防火墙、电路层</w:t>
      </w:r>
      <w:r>
        <w:rPr>
          <w:sz w:val="20"/>
          <w:szCs w:val="20"/>
        </w:rPr>
        <w:t xml:space="preserve"> </w:t>
      </w:r>
      <w:r>
        <w:rPr>
          <w:spacing w:val="3"/>
          <w:sz w:val="20"/>
          <w:szCs w:val="20"/>
        </w:rPr>
        <w:t>网关和应用级网关。安全性能高的防火墙系统都是组合</w:t>
      </w:r>
      <w:r>
        <w:rPr>
          <w:spacing w:val="2"/>
          <w:sz w:val="20"/>
          <w:szCs w:val="20"/>
        </w:rPr>
        <w:t>运用多种类型的防火墙，构筑多道防火</w:t>
      </w:r>
      <w:r>
        <w:rPr>
          <w:sz w:val="20"/>
          <w:szCs w:val="20"/>
        </w:rPr>
        <w:t xml:space="preserve"> </w:t>
      </w:r>
      <w:r>
        <w:rPr>
          <w:spacing w:val="-9"/>
          <w:sz w:val="20"/>
          <w:szCs w:val="20"/>
        </w:rPr>
        <w:t>墙组成的“防御工事”。</w:t>
      </w:r>
    </w:p>
    <w:p w14:paraId="52F655D3">
      <w:pPr>
        <w:pStyle w:val="2"/>
        <w:spacing w:before="45" w:line="272" w:lineRule="auto"/>
        <w:ind w:right="313" w:firstLine="409"/>
        <w:jc w:val="both"/>
        <w:rPr>
          <w:sz w:val="20"/>
          <w:szCs w:val="20"/>
        </w:rPr>
      </w:pPr>
      <w:r>
        <w:rPr>
          <w:sz w:val="20"/>
          <w:szCs w:val="20"/>
        </w:rPr>
        <w:t>防火墙应用的主要技术指标是吞吐量和报文转发率，</w:t>
      </w:r>
      <w:r>
        <w:rPr>
          <w:spacing w:val="64"/>
          <w:sz w:val="20"/>
          <w:szCs w:val="20"/>
        </w:rPr>
        <w:t xml:space="preserve"> </w:t>
      </w:r>
      <w:r>
        <w:rPr>
          <w:sz w:val="20"/>
          <w:szCs w:val="20"/>
        </w:rPr>
        <w:t>一般采用全双工吞吐量</w:t>
      </w:r>
      <w:r>
        <w:rPr>
          <w:spacing w:val="-58"/>
          <w:sz w:val="20"/>
          <w:szCs w:val="20"/>
        </w:rPr>
        <w:t xml:space="preserve"> </w:t>
      </w:r>
      <w:r>
        <w:rPr>
          <w:rFonts w:ascii="Times New Roman" w:hAnsi="Times New Roman" w:eastAsia="Times New Roman" w:cs="Times New Roman"/>
          <w:sz w:val="20"/>
          <w:szCs w:val="20"/>
        </w:rPr>
        <w:t>(Full</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z w:val="20"/>
          <w:szCs w:val="20"/>
        </w:rPr>
        <w:t>Duplex Throughput</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FDT</w:t>
      </w:r>
      <w:r>
        <w:rPr>
          <w:rFonts w:ascii="Times New Roman" w:hAnsi="Times New Roman" w:eastAsia="Times New Roman" w:cs="Times New Roman"/>
          <w:spacing w:val="6"/>
          <w:sz w:val="20"/>
          <w:szCs w:val="20"/>
        </w:rPr>
        <w:t xml:space="preserve">)     </w:t>
      </w:r>
      <w:r>
        <w:rPr>
          <w:spacing w:val="6"/>
          <w:sz w:val="20"/>
          <w:szCs w:val="20"/>
        </w:rPr>
        <w:t>来衡量，</w:t>
      </w:r>
      <w:r>
        <w:rPr>
          <w:rFonts w:ascii="Times New Roman" w:hAnsi="Times New Roman" w:eastAsia="Times New Roman" w:cs="Times New Roman"/>
          <w:sz w:val="20"/>
          <w:szCs w:val="20"/>
        </w:rPr>
        <w:t>FDT</w:t>
      </w:r>
      <w:r>
        <w:rPr>
          <w:rFonts w:ascii="Times New Roman" w:hAnsi="Times New Roman" w:eastAsia="Times New Roman" w:cs="Times New Roman"/>
          <w:spacing w:val="15"/>
          <w:w w:val="101"/>
          <w:sz w:val="20"/>
          <w:szCs w:val="20"/>
        </w:rPr>
        <w:t xml:space="preserve"> </w:t>
      </w:r>
      <w:r>
        <w:rPr>
          <w:spacing w:val="6"/>
          <w:sz w:val="20"/>
          <w:szCs w:val="20"/>
        </w:rPr>
        <w:t>是指64字节数据包</w:t>
      </w:r>
      <w:r>
        <w:rPr>
          <w:spacing w:val="5"/>
          <w:sz w:val="20"/>
          <w:szCs w:val="20"/>
        </w:rPr>
        <w:t>的全双工吞吐量，该指标既包括吞吐量指</w:t>
      </w:r>
      <w:r>
        <w:rPr>
          <w:sz w:val="20"/>
          <w:szCs w:val="20"/>
        </w:rPr>
        <w:t xml:space="preserve"> </w:t>
      </w:r>
      <w:r>
        <w:rPr>
          <w:spacing w:val="-3"/>
          <w:sz w:val="20"/>
          <w:szCs w:val="20"/>
        </w:rPr>
        <w:t>标，也涵盖了报文转发率指标。</w:t>
      </w:r>
    </w:p>
    <w:p w14:paraId="1148B74B">
      <w:pPr>
        <w:pStyle w:val="2"/>
        <w:spacing w:before="143" w:line="221" w:lineRule="auto"/>
        <w:ind w:left="412"/>
        <w:rPr>
          <w:rFonts w:ascii="黑体" w:hAnsi="黑体" w:eastAsia="黑体" w:cs="黑体"/>
          <w:sz w:val="20"/>
          <w:szCs w:val="20"/>
        </w:rPr>
      </w:pPr>
      <w:r>
        <w:rPr>
          <w:b/>
          <w:bCs/>
          <w:color w:val="005ECB"/>
          <w:spacing w:val="-2"/>
          <w:sz w:val="20"/>
          <w:szCs w:val="20"/>
        </w:rPr>
        <w:t>2.</w:t>
      </w:r>
      <w:r>
        <w:rPr>
          <w:rFonts w:ascii="黑体" w:hAnsi="黑体" w:eastAsia="黑体" w:cs="黑体"/>
          <w:b/>
          <w:bCs/>
          <w:color w:val="005ECB"/>
          <w:spacing w:val="-2"/>
          <w:sz w:val="20"/>
          <w:szCs w:val="20"/>
        </w:rPr>
        <w:t>防火墙的基本特性</w:t>
      </w:r>
    </w:p>
    <w:p w14:paraId="35A82BB0">
      <w:pPr>
        <w:pStyle w:val="2"/>
        <w:spacing w:before="145" w:line="219" w:lineRule="auto"/>
        <w:ind w:left="409"/>
        <w:rPr>
          <w:sz w:val="20"/>
          <w:szCs w:val="20"/>
        </w:rPr>
      </w:pPr>
      <w:r>
        <w:rPr>
          <w:spacing w:val="-4"/>
          <w:sz w:val="20"/>
          <w:szCs w:val="20"/>
        </w:rPr>
        <w:t>防火墙具有以下特性：</w:t>
      </w:r>
    </w:p>
    <w:p w14:paraId="7E3029BD">
      <w:pPr>
        <w:pStyle w:val="2"/>
        <w:spacing w:before="94" w:line="257" w:lineRule="auto"/>
        <w:ind w:right="256" w:firstLine="409"/>
        <w:rPr>
          <w:sz w:val="20"/>
          <w:szCs w:val="20"/>
        </w:rPr>
      </w:pPr>
      <w:r>
        <w:rPr>
          <w:spacing w:val="5"/>
          <w:sz w:val="20"/>
          <w:szCs w:val="20"/>
        </w:rPr>
        <w:t>(1)内部网络和外部网络之间的所有网络数据流都必须经过防火墙。这是防火墙所处</w:t>
      </w:r>
      <w:r>
        <w:rPr>
          <w:spacing w:val="4"/>
          <w:sz w:val="20"/>
          <w:szCs w:val="20"/>
        </w:rPr>
        <w:t>网络</w:t>
      </w:r>
      <w:r>
        <w:rPr>
          <w:sz w:val="20"/>
          <w:szCs w:val="20"/>
        </w:rPr>
        <w:t xml:space="preserve">  </w:t>
      </w:r>
      <w:r>
        <w:rPr>
          <w:spacing w:val="5"/>
          <w:sz w:val="20"/>
          <w:szCs w:val="20"/>
        </w:rPr>
        <w:t>位置的特性，同时也是一个前提。因为只有当防火墙是内、外部网络之间通信</w:t>
      </w:r>
      <w:r>
        <w:rPr>
          <w:spacing w:val="4"/>
          <w:sz w:val="20"/>
          <w:szCs w:val="20"/>
        </w:rPr>
        <w:t>的唯一通道时，</w:t>
      </w:r>
      <w:r>
        <w:rPr>
          <w:sz w:val="20"/>
          <w:szCs w:val="20"/>
        </w:rPr>
        <w:t xml:space="preserve"> </w:t>
      </w:r>
      <w:r>
        <w:rPr>
          <w:spacing w:val="-2"/>
          <w:sz w:val="20"/>
          <w:szCs w:val="20"/>
        </w:rPr>
        <w:t>才能够全面、有效地保护组织内部网络不受侵害。</w:t>
      </w:r>
    </w:p>
    <w:p w14:paraId="6D6E4C40">
      <w:pPr>
        <w:pStyle w:val="2"/>
        <w:spacing w:before="83" w:line="253" w:lineRule="auto"/>
        <w:ind w:right="336" w:firstLine="409"/>
        <w:rPr>
          <w:sz w:val="20"/>
          <w:szCs w:val="20"/>
        </w:rPr>
      </w:pPr>
      <w:r>
        <w:rPr>
          <w:spacing w:val="5"/>
          <w:sz w:val="20"/>
          <w:szCs w:val="20"/>
        </w:rPr>
        <w:t>(2)只有符合安全策略的数据流才能通过防火墙。这是防火墙最基本的功能，能够确保网</w:t>
      </w:r>
      <w:r>
        <w:rPr>
          <w:spacing w:val="8"/>
          <w:sz w:val="20"/>
          <w:szCs w:val="20"/>
        </w:rPr>
        <w:t xml:space="preserve"> </w:t>
      </w:r>
      <w:r>
        <w:rPr>
          <w:spacing w:val="-1"/>
          <w:sz w:val="20"/>
          <w:szCs w:val="20"/>
        </w:rPr>
        <w:t>络流量的合法性，并在此前提下将网络的流量快速地从一条链路转发到另外的链路上。</w:t>
      </w:r>
    </w:p>
    <w:p w14:paraId="464874C5">
      <w:pPr>
        <w:pStyle w:val="2"/>
        <w:spacing w:before="73" w:line="269" w:lineRule="auto"/>
        <w:ind w:right="256" w:firstLine="409"/>
        <w:rPr>
          <w:sz w:val="20"/>
          <w:szCs w:val="20"/>
        </w:rPr>
      </w:pPr>
      <w:r>
        <w:rPr>
          <w:spacing w:val="5"/>
          <w:sz w:val="20"/>
          <w:szCs w:val="20"/>
        </w:rPr>
        <w:t>(3)防火墙自身应具有非常强的抗攻击免疫力。这是防火墙担当组织内部网络安全防</w:t>
      </w:r>
      <w:r>
        <w:rPr>
          <w:spacing w:val="4"/>
          <w:sz w:val="20"/>
          <w:szCs w:val="20"/>
        </w:rPr>
        <w:t>护重</w:t>
      </w:r>
      <w:r>
        <w:rPr>
          <w:sz w:val="20"/>
          <w:szCs w:val="20"/>
        </w:rPr>
        <w:t xml:space="preserve">  任的先决条件。防火墙处于网络边缘，就像一个边界卫士一样，每时每刻都要面对黑客的入侵， </w:t>
      </w:r>
      <w:r>
        <w:rPr>
          <w:spacing w:val="3"/>
          <w:sz w:val="20"/>
          <w:szCs w:val="20"/>
        </w:rPr>
        <w:t>这就要求防火墙自身具有非常强的抗击入侵本领。防火墙操作系统是关键，只有自身具有完整</w:t>
      </w:r>
      <w:r>
        <w:rPr>
          <w:spacing w:val="16"/>
          <w:sz w:val="20"/>
          <w:szCs w:val="20"/>
        </w:rPr>
        <w:t xml:space="preserve"> </w:t>
      </w:r>
      <w:r>
        <w:rPr>
          <w:spacing w:val="-2"/>
          <w:sz w:val="20"/>
          <w:szCs w:val="20"/>
        </w:rPr>
        <w:t>信任关系的操作系统才可以谈论系统的安全性。</w:t>
      </w:r>
    </w:p>
    <w:p w14:paraId="069E7653">
      <w:pPr>
        <w:pStyle w:val="2"/>
        <w:spacing w:before="83" w:line="243" w:lineRule="auto"/>
        <w:ind w:right="276" w:firstLine="409"/>
        <w:rPr>
          <w:sz w:val="20"/>
          <w:szCs w:val="20"/>
        </w:rPr>
      </w:pPr>
      <w:r>
        <w:rPr>
          <w:spacing w:val="2"/>
          <w:sz w:val="20"/>
          <w:szCs w:val="20"/>
        </w:rPr>
        <w:t>(4)应用层防火墙具备更细致的防护能力。传统防火墙由于不</w:t>
      </w:r>
      <w:r>
        <w:rPr>
          <w:spacing w:val="1"/>
          <w:sz w:val="20"/>
          <w:szCs w:val="20"/>
        </w:rPr>
        <w:t>具备区分端口和应用的能力，</w:t>
      </w:r>
      <w:r>
        <w:rPr>
          <w:sz w:val="20"/>
          <w:szCs w:val="20"/>
        </w:rPr>
        <w:t xml:space="preserve"> </w:t>
      </w:r>
      <w:r>
        <w:rPr>
          <w:spacing w:val="-2"/>
          <w:sz w:val="20"/>
          <w:szCs w:val="20"/>
        </w:rPr>
        <w:t>以至于只能防御传统的攻击，面对来自应用层的攻击可能毫无办法。</w:t>
      </w:r>
    </w:p>
    <w:p w14:paraId="76779F5B">
      <w:pPr>
        <w:pStyle w:val="2"/>
        <w:spacing w:before="65" w:line="254" w:lineRule="auto"/>
        <w:ind w:right="347" w:firstLine="409"/>
        <w:rPr>
          <w:sz w:val="20"/>
          <w:szCs w:val="20"/>
        </w:rPr>
      </w:pPr>
      <w:r>
        <w:rPr>
          <w:spacing w:val="2"/>
          <w:sz w:val="20"/>
          <w:szCs w:val="20"/>
        </w:rPr>
        <w:t>(5)数据库防火墙具有针对数据库恶意攻击的阻断能力。采用虚拟补丁技术、</w:t>
      </w:r>
      <w:r>
        <w:rPr>
          <w:spacing w:val="-20"/>
          <w:sz w:val="20"/>
          <w:szCs w:val="20"/>
        </w:rPr>
        <w:t xml:space="preserve"> </w:t>
      </w:r>
      <w:r>
        <w:rPr>
          <w:rFonts w:ascii="Times New Roman" w:hAnsi="Times New Roman" w:eastAsia="Times New Roman" w:cs="Times New Roman"/>
          <w:sz w:val="20"/>
          <w:szCs w:val="20"/>
        </w:rPr>
        <w:t>SQL</w:t>
      </w:r>
      <w:r>
        <w:rPr>
          <w:rFonts w:ascii="Times New Roman" w:hAnsi="Times New Roman" w:eastAsia="Times New Roman" w:cs="Times New Roman"/>
          <w:spacing w:val="15"/>
          <w:w w:val="101"/>
          <w:sz w:val="20"/>
          <w:szCs w:val="20"/>
        </w:rPr>
        <w:t xml:space="preserve"> </w:t>
      </w:r>
      <w:r>
        <w:rPr>
          <w:spacing w:val="2"/>
          <w:sz w:val="20"/>
          <w:szCs w:val="20"/>
        </w:rPr>
        <w:t>注</w:t>
      </w:r>
      <w:r>
        <w:rPr>
          <w:spacing w:val="1"/>
          <w:sz w:val="20"/>
          <w:szCs w:val="20"/>
        </w:rPr>
        <w:t>入禁</w:t>
      </w:r>
      <w:r>
        <w:rPr>
          <w:sz w:val="20"/>
          <w:szCs w:val="20"/>
        </w:rPr>
        <w:t xml:space="preserve"> </w:t>
      </w:r>
      <w:r>
        <w:rPr>
          <w:spacing w:val="-2"/>
          <w:sz w:val="20"/>
          <w:szCs w:val="20"/>
        </w:rPr>
        <w:t>止技术、</w:t>
      </w:r>
      <w:r>
        <w:rPr>
          <w:rFonts w:ascii="Times New Roman" w:hAnsi="Times New Roman" w:eastAsia="Times New Roman" w:cs="Times New Roman"/>
          <w:spacing w:val="-2"/>
          <w:sz w:val="20"/>
          <w:szCs w:val="20"/>
        </w:rPr>
        <w:t>SQL</w:t>
      </w:r>
      <w:r>
        <w:rPr>
          <w:rFonts w:ascii="Times New Roman" w:hAnsi="Times New Roman" w:eastAsia="Times New Roman" w:cs="Times New Roman"/>
          <w:spacing w:val="51"/>
          <w:w w:val="101"/>
          <w:sz w:val="20"/>
          <w:szCs w:val="20"/>
        </w:rPr>
        <w:t xml:space="preserve"> </w:t>
      </w:r>
      <w:r>
        <w:rPr>
          <w:spacing w:val="-2"/>
          <w:sz w:val="20"/>
          <w:szCs w:val="20"/>
        </w:rPr>
        <w:t>黑名单技术等关键技术应用，为数据库提供安全、可靠的防护。</w:t>
      </w:r>
    </w:p>
    <w:p w14:paraId="7E66D53A">
      <w:pPr>
        <w:pStyle w:val="2"/>
        <w:spacing w:before="271" w:line="222" w:lineRule="auto"/>
        <w:ind w:left="2"/>
        <w:rPr>
          <w:sz w:val="24"/>
          <w:szCs w:val="24"/>
        </w:rPr>
      </w:pPr>
      <w:r>
        <w:rPr>
          <w:b/>
          <w:bCs/>
          <w:color w:val="0049DC"/>
          <w:spacing w:val="-15"/>
          <w:sz w:val="24"/>
          <w:szCs w:val="24"/>
        </w:rPr>
        <w:t>6.3.5</w:t>
      </w:r>
      <w:r>
        <w:rPr>
          <w:color w:val="0049DC"/>
          <w:spacing w:val="-15"/>
          <w:sz w:val="24"/>
          <w:szCs w:val="24"/>
        </w:rPr>
        <w:t xml:space="preserve">  </w:t>
      </w:r>
      <w:r>
        <w:rPr>
          <w:b/>
          <w:bCs/>
          <w:color w:val="0049DC"/>
          <w:spacing w:val="-15"/>
          <w:sz w:val="24"/>
          <w:szCs w:val="24"/>
        </w:rPr>
        <w:t>网闸</w:t>
      </w:r>
    </w:p>
    <w:p w14:paraId="4F24AEE6">
      <w:pPr>
        <w:pStyle w:val="2"/>
        <w:spacing w:before="151" w:line="271" w:lineRule="auto"/>
        <w:ind w:right="256" w:firstLine="409"/>
        <w:jc w:val="both"/>
        <w:rPr>
          <w:sz w:val="20"/>
          <w:szCs w:val="20"/>
        </w:rPr>
      </w:pPr>
      <w:r>
        <w:rPr>
          <w:spacing w:val="3"/>
          <w:sz w:val="20"/>
          <w:szCs w:val="20"/>
        </w:rPr>
        <w:t>网闸是使用带有多种控制功能的固态开关读写介质、连接两个独立主机系统的信息安全设</w:t>
      </w:r>
      <w:r>
        <w:rPr>
          <w:spacing w:val="11"/>
          <w:sz w:val="20"/>
          <w:szCs w:val="20"/>
        </w:rPr>
        <w:t xml:space="preserve"> </w:t>
      </w:r>
      <w:r>
        <w:rPr>
          <w:spacing w:val="3"/>
          <w:sz w:val="20"/>
          <w:szCs w:val="20"/>
        </w:rPr>
        <w:t>备。由于两个独立的主机系统通过网闸进行隔离，使系</w:t>
      </w:r>
      <w:r>
        <w:rPr>
          <w:spacing w:val="2"/>
          <w:sz w:val="20"/>
          <w:szCs w:val="20"/>
        </w:rPr>
        <w:t>统间不存在通信的物理连接、逻辑连接</w:t>
      </w:r>
      <w:r>
        <w:rPr>
          <w:sz w:val="20"/>
          <w:szCs w:val="20"/>
        </w:rPr>
        <w:t xml:space="preserve">  </w:t>
      </w:r>
      <w:r>
        <w:rPr>
          <w:spacing w:val="5"/>
          <w:sz w:val="20"/>
          <w:szCs w:val="20"/>
        </w:rPr>
        <w:t>及信息传输协议，不存在依据协议进行的信息交换，只有以数据文件形式进行的</w:t>
      </w:r>
      <w:r>
        <w:rPr>
          <w:spacing w:val="4"/>
          <w:sz w:val="20"/>
          <w:szCs w:val="20"/>
        </w:rPr>
        <w:t>无协议摆渡。</w:t>
      </w:r>
      <w:r>
        <w:rPr>
          <w:sz w:val="20"/>
          <w:szCs w:val="20"/>
        </w:rPr>
        <w:t xml:space="preserve"> </w:t>
      </w:r>
      <w:r>
        <w:rPr>
          <w:spacing w:val="3"/>
          <w:sz w:val="20"/>
          <w:szCs w:val="20"/>
        </w:rPr>
        <w:t>因此，网闸从逻辑上隔离、阻断了互联网、工作外网等对工作内网具有潜在攻击可</w:t>
      </w:r>
      <w:r>
        <w:rPr>
          <w:spacing w:val="2"/>
          <w:sz w:val="20"/>
          <w:szCs w:val="20"/>
        </w:rPr>
        <w:t>能的一切网</w:t>
      </w:r>
      <w:r>
        <w:rPr>
          <w:sz w:val="20"/>
          <w:szCs w:val="20"/>
        </w:rPr>
        <w:t xml:space="preserve">  络连接，使外部攻击者无法直接入侵、攻击或破坏内网</w:t>
      </w:r>
      <w:r>
        <w:rPr>
          <w:spacing w:val="-1"/>
          <w:sz w:val="20"/>
          <w:szCs w:val="20"/>
        </w:rPr>
        <w:t>，保障了内部主机的安全。</w:t>
      </w:r>
    </w:p>
    <w:p w14:paraId="4D537170">
      <w:pPr>
        <w:spacing w:line="271" w:lineRule="auto"/>
        <w:rPr>
          <w:sz w:val="20"/>
          <w:szCs w:val="20"/>
        </w:rPr>
        <w:sectPr>
          <w:pgSz w:w="10280" w:h="13320"/>
          <w:pgMar w:top="400" w:right="543" w:bottom="400" w:left="1080" w:header="0" w:footer="0" w:gutter="0"/>
          <w:cols w:space="720" w:num="1"/>
        </w:sectPr>
      </w:pPr>
    </w:p>
    <w:p w14:paraId="50643093">
      <w:pPr>
        <w:pStyle w:val="2"/>
        <w:spacing w:before="98" w:line="219" w:lineRule="auto"/>
        <w:rPr>
          <w:sz w:val="20"/>
          <w:szCs w:val="20"/>
        </w:rPr>
      </w:pPr>
      <w:r>
        <w:rPr>
          <w:rFonts w:ascii="Times New Roman" w:hAnsi="Times New Roman" w:eastAsia="Times New Roman" w:cs="Times New Roman"/>
          <w:spacing w:val="-3"/>
          <w:position w:val="1"/>
          <w:sz w:val="20"/>
          <w:szCs w:val="20"/>
        </w:rPr>
        <w:t xml:space="preserve">178              </w:t>
      </w:r>
      <w:r>
        <w:rPr>
          <w:spacing w:val="-3"/>
          <w:sz w:val="20"/>
          <w:szCs w:val="20"/>
        </w:rPr>
        <w:t>信息系统监理师教程(第2版)</w:t>
      </w:r>
    </w:p>
    <w:p w14:paraId="65D6E33E">
      <w:pPr>
        <w:spacing w:line="322" w:lineRule="auto"/>
        <w:rPr>
          <w:rFonts w:ascii="Arial"/>
          <w:sz w:val="21"/>
        </w:rPr>
      </w:pPr>
    </w:p>
    <w:p w14:paraId="624175F0">
      <w:pPr>
        <w:pStyle w:val="2"/>
        <w:spacing w:before="65" w:line="222" w:lineRule="auto"/>
        <w:ind w:left="752"/>
        <w:rPr>
          <w:rFonts w:ascii="黑体" w:hAnsi="黑体" w:eastAsia="黑体" w:cs="黑体"/>
          <w:sz w:val="20"/>
          <w:szCs w:val="20"/>
        </w:rPr>
      </w:pPr>
      <w:r>
        <w:rPr>
          <w:b/>
          <w:bCs/>
          <w:color w:val="007AD9"/>
          <w:spacing w:val="-2"/>
          <w:sz w:val="20"/>
          <w:szCs w:val="20"/>
        </w:rPr>
        <w:t>1.</w:t>
      </w:r>
      <w:r>
        <w:rPr>
          <w:rFonts w:ascii="黑体" w:hAnsi="黑体" w:eastAsia="黑体" w:cs="黑体"/>
          <w:b/>
          <w:bCs/>
          <w:color w:val="007AD9"/>
          <w:spacing w:val="-2"/>
          <w:sz w:val="20"/>
          <w:szCs w:val="20"/>
        </w:rPr>
        <w:t>网闸技术</w:t>
      </w:r>
    </w:p>
    <w:p w14:paraId="5ED30110">
      <w:pPr>
        <w:pStyle w:val="2"/>
        <w:spacing w:before="164" w:line="279" w:lineRule="auto"/>
        <w:ind w:left="359" w:firstLine="389"/>
        <w:jc w:val="both"/>
        <w:rPr>
          <w:sz w:val="20"/>
          <w:szCs w:val="20"/>
        </w:rPr>
      </w:pPr>
      <w:r>
        <w:rPr>
          <w:spacing w:val="3"/>
          <w:sz w:val="20"/>
          <w:szCs w:val="20"/>
        </w:rPr>
        <w:t>网闸技术也称网络隔离技术，由两套各自独立的系统分别连接安全和非安全的网络，两套</w:t>
      </w:r>
      <w:r>
        <w:rPr>
          <w:spacing w:val="1"/>
          <w:sz w:val="20"/>
          <w:szCs w:val="20"/>
        </w:rPr>
        <w:t xml:space="preserve">  </w:t>
      </w:r>
      <w:r>
        <w:rPr>
          <w:spacing w:val="3"/>
          <w:sz w:val="20"/>
          <w:szCs w:val="20"/>
        </w:rPr>
        <w:t>系统之间通过网闸进行信息摆渡，保证两套系统之间没有直接的物理通路。在通</w:t>
      </w:r>
      <w:r>
        <w:rPr>
          <w:spacing w:val="2"/>
          <w:sz w:val="20"/>
          <w:szCs w:val="20"/>
        </w:rPr>
        <w:t>信过程中，当</w:t>
      </w:r>
      <w:r>
        <w:rPr>
          <w:sz w:val="20"/>
          <w:szCs w:val="20"/>
        </w:rPr>
        <w:t xml:space="preserve">  </w:t>
      </w:r>
      <w:r>
        <w:rPr>
          <w:spacing w:val="3"/>
          <w:sz w:val="20"/>
          <w:szCs w:val="20"/>
        </w:rPr>
        <w:t>存储介质与安全的网络连通时，断开与非安全网络的连接；当与</w:t>
      </w:r>
      <w:r>
        <w:rPr>
          <w:spacing w:val="2"/>
          <w:sz w:val="20"/>
          <w:szCs w:val="20"/>
        </w:rPr>
        <w:t>非安全网络连通时，断开与安</w:t>
      </w:r>
      <w:r>
        <w:rPr>
          <w:sz w:val="20"/>
          <w:szCs w:val="20"/>
        </w:rPr>
        <w:t xml:space="preserve">  全网络的连接；通过分时使用两套系统中的数据通路进行数据交换，以达到隔离与交换的目的。</w:t>
      </w:r>
    </w:p>
    <w:p w14:paraId="72EBAB97">
      <w:pPr>
        <w:pStyle w:val="2"/>
        <w:spacing w:before="28" w:line="272" w:lineRule="auto"/>
        <w:ind w:left="748" w:right="37" w:hanging="389"/>
        <w:rPr>
          <w:sz w:val="20"/>
          <w:szCs w:val="20"/>
        </w:rPr>
      </w:pPr>
      <w:r>
        <w:rPr>
          <w:spacing w:val="-1"/>
          <w:sz w:val="20"/>
          <w:szCs w:val="20"/>
        </w:rPr>
        <w:t>此外，在数据交换过程中，需要同时进行防病毒、防恶意代码等信息过滤，以保证信息的安全。</w:t>
      </w:r>
      <w:r>
        <w:rPr>
          <w:spacing w:val="3"/>
          <w:sz w:val="20"/>
          <w:szCs w:val="20"/>
        </w:rPr>
        <w:t xml:space="preserve"> </w:t>
      </w:r>
      <w:r>
        <w:rPr>
          <w:spacing w:val="-3"/>
          <w:sz w:val="20"/>
          <w:szCs w:val="20"/>
        </w:rPr>
        <w:t>网络隔离技术的产品和方案主要有以下几种。</w:t>
      </w:r>
    </w:p>
    <w:p w14:paraId="03AACBBB">
      <w:pPr>
        <w:spacing w:before="141" w:line="228" w:lineRule="auto"/>
        <w:ind w:left="749"/>
        <w:rPr>
          <w:rFonts w:ascii="楷体" w:hAnsi="楷体" w:eastAsia="楷体" w:cs="楷体"/>
          <w:sz w:val="20"/>
          <w:szCs w:val="20"/>
        </w:rPr>
      </w:pPr>
      <w:r>
        <w:rPr>
          <w:rFonts w:ascii="楷体" w:hAnsi="楷体" w:eastAsia="楷体" w:cs="楷体"/>
          <w:spacing w:val="10"/>
          <w:sz w:val="20"/>
          <w:szCs w:val="20"/>
        </w:rPr>
        <w:t>1)独立网络方案</w:t>
      </w:r>
    </w:p>
    <w:p w14:paraId="353928E6">
      <w:pPr>
        <w:pStyle w:val="2"/>
        <w:spacing w:before="63" w:line="295" w:lineRule="auto"/>
        <w:ind w:left="359" w:right="71" w:firstLine="389"/>
        <w:rPr>
          <w:sz w:val="20"/>
          <w:szCs w:val="20"/>
        </w:rPr>
      </w:pPr>
      <w:r>
        <w:rPr>
          <w:sz w:val="20"/>
          <w:szCs w:val="20"/>
        </w:rPr>
        <w:t>根据保密需求的不同，将信息存放在两个独立的网络中。 一个是内部网络，用于存储、处</w:t>
      </w:r>
      <w:r>
        <w:rPr>
          <w:spacing w:val="17"/>
          <w:sz w:val="20"/>
          <w:szCs w:val="20"/>
        </w:rPr>
        <w:t xml:space="preserve"> </w:t>
      </w:r>
      <w:r>
        <w:rPr>
          <w:spacing w:val="3"/>
          <w:sz w:val="20"/>
          <w:szCs w:val="20"/>
        </w:rPr>
        <w:t>理、传输涉密信息；另一个是外部网络，与互联网相连。内部网络和外部网络物理断开。两个</w:t>
      </w:r>
      <w:r>
        <w:rPr>
          <w:spacing w:val="4"/>
          <w:sz w:val="20"/>
          <w:szCs w:val="20"/>
        </w:rPr>
        <w:t xml:space="preserve"> </w:t>
      </w:r>
      <w:r>
        <w:rPr>
          <w:spacing w:val="5"/>
          <w:sz w:val="20"/>
          <w:szCs w:val="20"/>
        </w:rPr>
        <w:t>网络之间如果有数据交换需要，则采用人工操作</w:t>
      </w:r>
      <w:r>
        <w:rPr>
          <w:spacing w:val="4"/>
          <w:sz w:val="20"/>
          <w:szCs w:val="20"/>
        </w:rPr>
        <w:t>(例如通过软盘、磁带等)的方式。</w:t>
      </w:r>
    </w:p>
    <w:p w14:paraId="18EBC580">
      <w:pPr>
        <w:spacing w:before="81" w:line="227" w:lineRule="auto"/>
        <w:ind w:left="749"/>
        <w:rPr>
          <w:rFonts w:ascii="楷体" w:hAnsi="楷体" w:eastAsia="楷体" w:cs="楷体"/>
          <w:sz w:val="20"/>
          <w:szCs w:val="20"/>
        </w:rPr>
      </w:pPr>
      <w:r>
        <w:rPr>
          <w:rFonts w:ascii="楷体" w:hAnsi="楷体" w:eastAsia="楷体" w:cs="楷体"/>
          <w:spacing w:val="11"/>
          <w:sz w:val="20"/>
          <w:szCs w:val="20"/>
        </w:rPr>
        <w:t>2)终端级解决方案</w:t>
      </w:r>
    </w:p>
    <w:p w14:paraId="25024A9F">
      <w:pPr>
        <w:pStyle w:val="2"/>
        <w:spacing w:before="73" w:line="263" w:lineRule="auto"/>
        <w:ind w:left="359" w:right="50" w:firstLine="389"/>
        <w:rPr>
          <w:sz w:val="20"/>
          <w:szCs w:val="20"/>
        </w:rPr>
      </w:pPr>
      <w:r>
        <w:rPr>
          <w:spacing w:val="4"/>
          <w:sz w:val="20"/>
          <w:szCs w:val="20"/>
        </w:rPr>
        <w:t>用户使用一台客户端设备排他性选择连接内部网络和外部网络。终端级解决方案主要分为</w:t>
      </w:r>
      <w:r>
        <w:rPr>
          <w:spacing w:val="3"/>
          <w:sz w:val="20"/>
          <w:szCs w:val="20"/>
        </w:rPr>
        <w:t xml:space="preserve"> </w:t>
      </w:r>
      <w:r>
        <w:rPr>
          <w:spacing w:val="-7"/>
          <w:sz w:val="20"/>
          <w:szCs w:val="20"/>
        </w:rPr>
        <w:t>以下几类：</w:t>
      </w:r>
    </w:p>
    <w:p w14:paraId="4E8CDFDC">
      <w:pPr>
        <w:pStyle w:val="2"/>
        <w:spacing w:before="40" w:line="257" w:lineRule="auto"/>
        <w:ind w:left="359" w:right="91" w:firstLine="389"/>
        <w:rPr>
          <w:sz w:val="20"/>
          <w:szCs w:val="20"/>
        </w:rPr>
      </w:pPr>
      <w:r>
        <w:rPr>
          <w:spacing w:val="5"/>
          <w:sz w:val="20"/>
          <w:szCs w:val="20"/>
        </w:rPr>
        <w:t>(1)双主板，双硬盘型。通过设置两套独立计算机的设备实现，使用时通过客户端开关分</w:t>
      </w:r>
      <w:r>
        <w:rPr>
          <w:spacing w:val="17"/>
          <w:sz w:val="20"/>
          <w:szCs w:val="20"/>
        </w:rPr>
        <w:t xml:space="preserve"> </w:t>
      </w:r>
      <w:r>
        <w:rPr>
          <w:spacing w:val="-4"/>
          <w:sz w:val="20"/>
          <w:szCs w:val="20"/>
        </w:rPr>
        <w:t>别选择两套计算机系统。</w:t>
      </w:r>
    </w:p>
    <w:p w14:paraId="2D5D618F">
      <w:pPr>
        <w:pStyle w:val="2"/>
        <w:spacing w:before="82" w:line="271" w:lineRule="auto"/>
        <w:ind w:left="359" w:right="84" w:firstLine="389"/>
        <w:rPr>
          <w:sz w:val="20"/>
          <w:szCs w:val="20"/>
        </w:rPr>
      </w:pPr>
      <w:r>
        <w:rPr>
          <w:spacing w:val="4"/>
          <w:sz w:val="20"/>
          <w:szCs w:val="20"/>
        </w:rPr>
        <w:t>(2)单主板，双硬盘型。客户端通过增加一块隔离卡、</w:t>
      </w:r>
      <w:r>
        <w:rPr>
          <w:spacing w:val="-36"/>
          <w:sz w:val="20"/>
          <w:szCs w:val="20"/>
        </w:rPr>
        <w:t xml:space="preserve"> </w:t>
      </w:r>
      <w:r>
        <w:rPr>
          <w:spacing w:val="4"/>
          <w:sz w:val="20"/>
          <w:szCs w:val="20"/>
        </w:rPr>
        <w:t>一块硬盘，将硬盘接口通过添加的</w:t>
      </w:r>
      <w:r>
        <w:rPr>
          <w:sz w:val="20"/>
          <w:szCs w:val="20"/>
        </w:rPr>
        <w:t xml:space="preserve"> </w:t>
      </w:r>
      <w:r>
        <w:rPr>
          <w:spacing w:val="3"/>
          <w:sz w:val="20"/>
          <w:szCs w:val="20"/>
        </w:rPr>
        <w:t>隔离卡转接到主板，网卡也通过该卡引出两个网络接口。通过该</w:t>
      </w:r>
      <w:r>
        <w:rPr>
          <w:spacing w:val="2"/>
          <w:sz w:val="20"/>
          <w:szCs w:val="20"/>
        </w:rPr>
        <w:t>卡控制客户端存储设备，同时</w:t>
      </w:r>
      <w:r>
        <w:rPr>
          <w:sz w:val="20"/>
          <w:szCs w:val="20"/>
        </w:rPr>
        <w:t xml:space="preserve"> </w:t>
      </w:r>
      <w:r>
        <w:rPr>
          <w:spacing w:val="-2"/>
          <w:sz w:val="20"/>
          <w:szCs w:val="20"/>
        </w:rPr>
        <w:t>选择相应的网络接口，达到网络隔离的效果。</w:t>
      </w:r>
    </w:p>
    <w:p w14:paraId="55BFF410">
      <w:pPr>
        <w:pStyle w:val="2"/>
        <w:spacing w:before="61" w:line="264" w:lineRule="auto"/>
        <w:ind w:left="359" w:right="80" w:firstLine="389"/>
        <w:rPr>
          <w:sz w:val="20"/>
          <w:szCs w:val="20"/>
        </w:rPr>
      </w:pPr>
      <w:r>
        <w:rPr>
          <w:spacing w:val="6"/>
          <w:sz w:val="20"/>
          <w:szCs w:val="20"/>
        </w:rPr>
        <w:t>(3)单主板，单硬盘型。客户端需要增加一块隔离卡，存储器</w:t>
      </w:r>
      <w:r>
        <w:rPr>
          <w:spacing w:val="5"/>
          <w:sz w:val="20"/>
          <w:szCs w:val="20"/>
        </w:rPr>
        <w:t>通过隔离卡连接到主板，网</w:t>
      </w:r>
      <w:r>
        <w:rPr>
          <w:sz w:val="20"/>
          <w:szCs w:val="20"/>
        </w:rPr>
        <w:t xml:space="preserve"> </w:t>
      </w:r>
      <w:r>
        <w:rPr>
          <w:spacing w:val="3"/>
          <w:sz w:val="20"/>
          <w:szCs w:val="20"/>
        </w:rPr>
        <w:t>卡也通过隔离卡引出两个网络接口。对硬盘上划分安全区、</w:t>
      </w:r>
      <w:r>
        <w:rPr>
          <w:spacing w:val="2"/>
          <w:sz w:val="20"/>
          <w:szCs w:val="20"/>
        </w:rPr>
        <w:t>非安全区，通过隔离卡控制客户端</w:t>
      </w:r>
      <w:r>
        <w:rPr>
          <w:sz w:val="20"/>
          <w:szCs w:val="20"/>
        </w:rPr>
        <w:t xml:space="preserve"> </w:t>
      </w:r>
      <w:r>
        <w:rPr>
          <w:spacing w:val="-1"/>
          <w:sz w:val="20"/>
          <w:szCs w:val="20"/>
        </w:rPr>
        <w:t>存储设备分时使用安全区和非安全区，同时对相应的网络接口进行选择，以实施网络隔离。</w:t>
      </w:r>
    </w:p>
    <w:p w14:paraId="499BD25D">
      <w:pPr>
        <w:pStyle w:val="2"/>
        <w:spacing w:before="92" w:line="273" w:lineRule="auto"/>
        <w:ind w:left="359" w:right="89" w:firstLine="389"/>
        <w:rPr>
          <w:sz w:val="20"/>
          <w:szCs w:val="20"/>
        </w:rPr>
      </w:pPr>
      <w:r>
        <w:rPr>
          <w:spacing w:val="3"/>
          <w:sz w:val="20"/>
          <w:szCs w:val="20"/>
        </w:rPr>
        <w:t>网闸实现了内外网的逻辑隔离，在技术特征上主要表现为网络模型各层的断开，实现了物</w:t>
      </w:r>
      <w:r>
        <w:rPr>
          <w:spacing w:val="2"/>
          <w:sz w:val="20"/>
          <w:szCs w:val="20"/>
        </w:rPr>
        <w:t xml:space="preserve"> </w:t>
      </w:r>
      <w:r>
        <w:rPr>
          <w:spacing w:val="-3"/>
          <w:sz w:val="20"/>
          <w:szCs w:val="20"/>
        </w:rPr>
        <w:t>理层断开、链路层断开、</w:t>
      </w:r>
      <w:r>
        <w:rPr>
          <w:rFonts w:ascii="Times New Roman" w:hAnsi="Times New Roman" w:eastAsia="Times New Roman" w:cs="Times New Roman"/>
          <w:spacing w:val="-3"/>
          <w:sz w:val="20"/>
          <w:szCs w:val="20"/>
        </w:rPr>
        <w:t>TCP/IP</w:t>
      </w:r>
      <w:r>
        <w:rPr>
          <w:rFonts w:ascii="Times New Roman" w:hAnsi="Times New Roman" w:eastAsia="Times New Roman" w:cs="Times New Roman"/>
          <w:spacing w:val="21"/>
          <w:sz w:val="20"/>
          <w:szCs w:val="20"/>
        </w:rPr>
        <w:t xml:space="preserve"> </w:t>
      </w:r>
      <w:r>
        <w:rPr>
          <w:spacing w:val="-3"/>
          <w:sz w:val="20"/>
          <w:szCs w:val="20"/>
        </w:rPr>
        <w:t>协议隔离和应用协议隔离。</w:t>
      </w:r>
    </w:p>
    <w:p w14:paraId="23C359EE">
      <w:pPr>
        <w:pStyle w:val="2"/>
        <w:spacing w:before="107" w:line="223" w:lineRule="auto"/>
        <w:ind w:left="752"/>
        <w:rPr>
          <w:rFonts w:ascii="黑体" w:hAnsi="黑体" w:eastAsia="黑体" w:cs="黑体"/>
          <w:sz w:val="20"/>
          <w:szCs w:val="20"/>
        </w:rPr>
      </w:pPr>
      <w:r>
        <w:rPr>
          <w:b/>
          <w:bCs/>
          <w:color w:val="0083DB"/>
          <w:spacing w:val="-2"/>
          <w:sz w:val="20"/>
          <w:szCs w:val="20"/>
        </w:rPr>
        <w:t>2.</w:t>
      </w:r>
      <w:r>
        <w:rPr>
          <w:rFonts w:ascii="黑体" w:hAnsi="黑体" w:eastAsia="黑体" w:cs="黑体"/>
          <w:b/>
          <w:bCs/>
          <w:color w:val="0083DB"/>
          <w:spacing w:val="-2"/>
          <w:sz w:val="20"/>
          <w:szCs w:val="20"/>
        </w:rPr>
        <w:t>网闸应用的具体部署</w:t>
      </w:r>
    </w:p>
    <w:p w14:paraId="28B74732">
      <w:pPr>
        <w:spacing w:before="231" w:line="227" w:lineRule="auto"/>
        <w:ind w:left="749"/>
        <w:rPr>
          <w:rFonts w:ascii="楷体" w:hAnsi="楷体" w:eastAsia="楷体" w:cs="楷体"/>
          <w:sz w:val="20"/>
          <w:szCs w:val="20"/>
        </w:rPr>
      </w:pPr>
      <w:r>
        <w:rPr>
          <w:rFonts w:ascii="楷体" w:hAnsi="楷体" w:eastAsia="楷体" w:cs="楷体"/>
          <w:spacing w:val="7"/>
          <w:sz w:val="20"/>
          <w:szCs w:val="20"/>
        </w:rPr>
        <w:t>1)涉密网与非涉密网之间</w:t>
      </w:r>
    </w:p>
    <w:p w14:paraId="7EA5BB92">
      <w:pPr>
        <w:pStyle w:val="2"/>
        <w:spacing w:before="52" w:line="283" w:lineRule="auto"/>
        <w:ind w:left="359" w:right="79" w:firstLine="389"/>
        <w:rPr>
          <w:sz w:val="20"/>
          <w:szCs w:val="20"/>
        </w:rPr>
      </w:pPr>
      <w:r>
        <w:rPr>
          <w:spacing w:val="3"/>
          <w:sz w:val="20"/>
          <w:szCs w:val="20"/>
        </w:rPr>
        <w:t>有些政府办公网络涉及敏感信息，当其与外部非涉密网连接的时候，可以用物理隔离网闸</w:t>
      </w:r>
      <w:r>
        <w:rPr>
          <w:spacing w:val="12"/>
          <w:sz w:val="20"/>
          <w:szCs w:val="20"/>
        </w:rPr>
        <w:t xml:space="preserve"> </w:t>
      </w:r>
      <w:r>
        <w:rPr>
          <w:spacing w:val="-5"/>
          <w:sz w:val="20"/>
          <w:szCs w:val="20"/>
        </w:rPr>
        <w:t>将两者隔开。</w:t>
      </w:r>
    </w:p>
    <w:p w14:paraId="2084BE4D">
      <w:pPr>
        <w:spacing w:before="96" w:line="225" w:lineRule="auto"/>
        <w:ind w:left="749"/>
        <w:rPr>
          <w:rFonts w:ascii="楷体" w:hAnsi="楷体" w:eastAsia="楷体" w:cs="楷体"/>
          <w:sz w:val="20"/>
          <w:szCs w:val="20"/>
        </w:rPr>
      </w:pPr>
      <w:r>
        <w:rPr>
          <w:rFonts w:ascii="楷体" w:hAnsi="楷体" w:eastAsia="楷体" w:cs="楷体"/>
          <w:spacing w:val="12"/>
          <w:sz w:val="20"/>
          <w:szCs w:val="20"/>
        </w:rPr>
        <w:t>2)局域网与互联网之间(内网与外网之间)</w:t>
      </w:r>
    </w:p>
    <w:p w14:paraId="12C6C125">
      <w:pPr>
        <w:pStyle w:val="2"/>
        <w:spacing w:before="68" w:line="264" w:lineRule="auto"/>
        <w:ind w:left="359" w:right="91" w:firstLine="389"/>
        <w:rPr>
          <w:sz w:val="20"/>
          <w:szCs w:val="20"/>
        </w:rPr>
      </w:pPr>
      <w:r>
        <w:rPr>
          <w:spacing w:val="3"/>
          <w:sz w:val="20"/>
          <w:szCs w:val="20"/>
        </w:rPr>
        <w:t>有些局域网络，特别是政府办公网络，涉及政府敏感信息，有时需要与互联网在物理上断</w:t>
      </w:r>
      <w:r>
        <w:rPr>
          <w:sz w:val="20"/>
          <w:szCs w:val="20"/>
        </w:rPr>
        <w:t xml:space="preserve"> </w:t>
      </w:r>
      <w:r>
        <w:rPr>
          <w:spacing w:val="-2"/>
          <w:sz w:val="20"/>
          <w:szCs w:val="20"/>
        </w:rPr>
        <w:t>开，物理隔离网闸是一个常用的办法。</w:t>
      </w:r>
    </w:p>
    <w:p w14:paraId="061532C0">
      <w:pPr>
        <w:spacing w:before="106" w:line="225" w:lineRule="auto"/>
        <w:ind w:left="749"/>
        <w:rPr>
          <w:rFonts w:ascii="楷体" w:hAnsi="楷体" w:eastAsia="楷体" w:cs="楷体"/>
          <w:sz w:val="20"/>
          <w:szCs w:val="20"/>
        </w:rPr>
      </w:pPr>
      <w:r>
        <w:rPr>
          <w:rFonts w:ascii="楷体" w:hAnsi="楷体" w:eastAsia="楷体" w:cs="楷体"/>
          <w:spacing w:val="11"/>
          <w:sz w:val="20"/>
          <w:szCs w:val="20"/>
        </w:rPr>
        <w:t>3)办公网与业务网之间</w:t>
      </w:r>
    </w:p>
    <w:p w14:paraId="37220E9A">
      <w:pPr>
        <w:pStyle w:val="2"/>
        <w:spacing w:before="60" w:line="277" w:lineRule="auto"/>
        <w:ind w:left="359" w:firstLine="389"/>
        <w:rPr>
          <w:sz w:val="20"/>
          <w:szCs w:val="20"/>
        </w:rPr>
      </w:pPr>
      <w:r>
        <w:rPr>
          <w:spacing w:val="3"/>
          <w:sz w:val="20"/>
          <w:szCs w:val="20"/>
        </w:rPr>
        <w:t>由于办公网络与业务网络的信息敏感程度不同，例如，银行办公网络和银行业务网络就是</w:t>
      </w:r>
      <w:r>
        <w:rPr>
          <w:sz w:val="20"/>
          <w:szCs w:val="20"/>
        </w:rPr>
        <w:t xml:space="preserve">  典型的信息敏感程度不同的网络。为了提高工作效率，办公网络有时需要与业务网络交换信息。 </w:t>
      </w:r>
      <w:r>
        <w:rPr>
          <w:spacing w:val="4"/>
          <w:sz w:val="20"/>
          <w:szCs w:val="20"/>
        </w:rPr>
        <w:t>为保障业务网络的安全，比较好的办法就是在办公网与业</w:t>
      </w:r>
      <w:r>
        <w:rPr>
          <w:spacing w:val="3"/>
          <w:sz w:val="20"/>
          <w:szCs w:val="20"/>
        </w:rPr>
        <w:t>务网之间使用物理隔离网闸，实现两</w:t>
      </w:r>
    </w:p>
    <w:p w14:paraId="5AE072BC">
      <w:pPr>
        <w:spacing w:line="277" w:lineRule="auto"/>
        <w:rPr>
          <w:sz w:val="20"/>
          <w:szCs w:val="20"/>
        </w:rPr>
        <w:sectPr>
          <w:pgSz w:w="10320" w:h="13400"/>
          <w:pgMar w:top="400" w:right="1039" w:bottom="400" w:left="520" w:header="0" w:footer="0" w:gutter="0"/>
          <w:cols w:space="720" w:num="1"/>
        </w:sectPr>
      </w:pPr>
    </w:p>
    <w:p w14:paraId="1CCC0F8A">
      <w:pPr>
        <w:pStyle w:val="2"/>
        <w:spacing w:before="76" w:line="219" w:lineRule="auto"/>
        <w:jc w:val="right"/>
        <w:rPr>
          <w:rFonts w:ascii="Times New Roman" w:hAnsi="Times New Roman" w:eastAsia="Times New Roman" w:cs="Times New Roman"/>
          <w:sz w:val="19"/>
          <w:szCs w:val="19"/>
        </w:rPr>
      </w:pPr>
      <w:r>
        <w:rPr>
          <w:spacing w:val="5"/>
          <w:sz w:val="19"/>
          <w:szCs w:val="19"/>
        </w:rPr>
        <w:t>第6章</w:t>
      </w:r>
      <w:r>
        <w:rPr>
          <w:spacing w:val="45"/>
          <w:sz w:val="19"/>
          <w:szCs w:val="19"/>
        </w:rPr>
        <w:t xml:space="preserve"> </w:t>
      </w:r>
      <w:r>
        <w:rPr>
          <w:spacing w:val="5"/>
          <w:sz w:val="19"/>
          <w:szCs w:val="19"/>
        </w:rPr>
        <w:t>信息安全</w:t>
      </w:r>
      <w:r>
        <w:rPr>
          <w:spacing w:val="8"/>
          <w:sz w:val="19"/>
          <w:szCs w:val="19"/>
        </w:rPr>
        <w:t xml:space="preserve">      </w:t>
      </w:r>
      <w:r>
        <w:rPr>
          <w:rFonts w:ascii="Times New Roman" w:hAnsi="Times New Roman" w:eastAsia="Times New Roman" w:cs="Times New Roman"/>
          <w:spacing w:val="5"/>
          <w:sz w:val="19"/>
          <w:szCs w:val="19"/>
        </w:rPr>
        <w:t>179</w:t>
      </w:r>
    </w:p>
    <w:p w14:paraId="60EC265E">
      <w:pPr>
        <w:spacing w:line="312" w:lineRule="auto"/>
        <w:rPr>
          <w:rFonts w:ascii="Arial"/>
          <w:sz w:val="21"/>
        </w:rPr>
      </w:pPr>
    </w:p>
    <w:p w14:paraId="494E63D5">
      <w:pPr>
        <w:pStyle w:val="2"/>
        <w:spacing w:before="61" w:line="219" w:lineRule="auto"/>
        <w:ind w:left="27"/>
        <w:rPr>
          <w:sz w:val="19"/>
          <w:szCs w:val="19"/>
        </w:rPr>
      </w:pPr>
      <w:r>
        <w:rPr>
          <w:spacing w:val="5"/>
          <w:sz w:val="19"/>
          <w:szCs w:val="19"/>
        </w:rPr>
        <w:t>类网络的物理隔离。</w:t>
      </w:r>
    </w:p>
    <w:p w14:paraId="395D9199">
      <w:pPr>
        <w:spacing w:before="172" w:line="225" w:lineRule="auto"/>
        <w:ind w:left="417"/>
        <w:rPr>
          <w:rFonts w:ascii="楷体" w:hAnsi="楷体" w:eastAsia="楷体" w:cs="楷体"/>
          <w:sz w:val="19"/>
          <w:szCs w:val="19"/>
        </w:rPr>
      </w:pPr>
      <w:r>
        <w:rPr>
          <w:rFonts w:ascii="楷体" w:hAnsi="楷体" w:eastAsia="楷体" w:cs="楷体"/>
          <w:spacing w:val="16"/>
          <w:sz w:val="19"/>
          <w:szCs w:val="19"/>
        </w:rPr>
        <w:t>4)电子政务的内网与专网之间</w:t>
      </w:r>
    </w:p>
    <w:p w14:paraId="40F3189B">
      <w:pPr>
        <w:pStyle w:val="2"/>
        <w:spacing w:before="98" w:line="288" w:lineRule="auto"/>
        <w:ind w:left="27" w:right="313" w:firstLine="389"/>
        <w:rPr>
          <w:sz w:val="19"/>
          <w:szCs w:val="19"/>
        </w:rPr>
      </w:pPr>
      <w:r>
        <w:rPr>
          <w:spacing w:val="13"/>
          <w:sz w:val="19"/>
          <w:szCs w:val="19"/>
        </w:rPr>
        <w:t>在电子政务系统建设中，要求政府内网与外网之间逻辑隔离，在政府</w:t>
      </w:r>
      <w:r>
        <w:rPr>
          <w:spacing w:val="12"/>
          <w:sz w:val="19"/>
          <w:szCs w:val="19"/>
        </w:rPr>
        <w:t>专网与内网之间用物</w:t>
      </w:r>
      <w:r>
        <w:rPr>
          <w:sz w:val="19"/>
          <w:szCs w:val="19"/>
        </w:rPr>
        <w:t xml:space="preserve"> </w:t>
      </w:r>
      <w:r>
        <w:rPr>
          <w:spacing w:val="7"/>
          <w:sz w:val="19"/>
          <w:szCs w:val="19"/>
        </w:rPr>
        <w:t>理隔离。常用的方法是采用物理隔离网闸来实现。</w:t>
      </w:r>
    </w:p>
    <w:p w14:paraId="2BE09EFD">
      <w:pPr>
        <w:spacing w:before="107" w:line="225" w:lineRule="auto"/>
        <w:ind w:left="417"/>
        <w:rPr>
          <w:rFonts w:ascii="楷体" w:hAnsi="楷体" w:eastAsia="楷体" w:cs="楷体"/>
          <w:sz w:val="19"/>
          <w:szCs w:val="19"/>
        </w:rPr>
      </w:pPr>
      <w:r>
        <w:rPr>
          <w:rFonts w:ascii="楷体" w:hAnsi="楷体" w:eastAsia="楷体" w:cs="楷体"/>
          <w:spacing w:val="17"/>
          <w:sz w:val="19"/>
          <w:szCs w:val="19"/>
        </w:rPr>
        <w:t>5)业务网与互联网之间</w:t>
      </w:r>
    </w:p>
    <w:p w14:paraId="1F36CEFA">
      <w:pPr>
        <w:pStyle w:val="2"/>
        <w:spacing w:before="101" w:line="278" w:lineRule="auto"/>
        <w:ind w:left="27" w:right="316" w:firstLine="389"/>
        <w:rPr>
          <w:sz w:val="19"/>
          <w:szCs w:val="19"/>
        </w:rPr>
      </w:pPr>
      <w:r>
        <w:rPr>
          <w:spacing w:val="9"/>
          <w:sz w:val="19"/>
          <w:szCs w:val="19"/>
        </w:rPr>
        <w:t>电子商务网络一边连接着业务网络服务器，</w:t>
      </w:r>
      <w:r>
        <w:rPr>
          <w:spacing w:val="67"/>
          <w:sz w:val="19"/>
          <w:szCs w:val="19"/>
        </w:rPr>
        <w:t xml:space="preserve"> </w:t>
      </w:r>
      <w:r>
        <w:rPr>
          <w:spacing w:val="9"/>
          <w:sz w:val="19"/>
          <w:szCs w:val="19"/>
        </w:rPr>
        <w:t>一边</w:t>
      </w:r>
      <w:r>
        <w:rPr>
          <w:spacing w:val="8"/>
          <w:sz w:val="19"/>
          <w:szCs w:val="19"/>
        </w:rPr>
        <w:t>通过互联网连接着广大用户。为了保障业</w:t>
      </w:r>
      <w:r>
        <w:rPr>
          <w:sz w:val="19"/>
          <w:szCs w:val="19"/>
        </w:rPr>
        <w:t xml:space="preserve"> </w:t>
      </w:r>
      <w:r>
        <w:rPr>
          <w:spacing w:val="8"/>
          <w:sz w:val="19"/>
          <w:szCs w:val="19"/>
        </w:rPr>
        <w:t>务网络服务器的安全，在业务网络与互联网之间</w:t>
      </w:r>
      <w:r>
        <w:rPr>
          <w:spacing w:val="7"/>
          <w:sz w:val="19"/>
          <w:szCs w:val="19"/>
        </w:rPr>
        <w:t>应实现物理隔离。</w:t>
      </w:r>
    </w:p>
    <w:p w14:paraId="71FC6087">
      <w:pPr>
        <w:pStyle w:val="2"/>
        <w:spacing w:before="197" w:line="219" w:lineRule="auto"/>
        <w:rPr>
          <w:sz w:val="26"/>
          <w:szCs w:val="26"/>
        </w:rPr>
      </w:pPr>
      <w:bookmarkStart w:id="573" w:name="bookmark558"/>
      <w:bookmarkEnd w:id="573"/>
      <w:r>
        <w:rPr>
          <w:b/>
          <w:bCs/>
          <w:color w:val="0068D1"/>
          <w:spacing w:val="-25"/>
          <w:sz w:val="26"/>
          <w:szCs w:val="26"/>
        </w:rPr>
        <w:t>6.3.6</w:t>
      </w:r>
      <w:r>
        <w:rPr>
          <w:color w:val="0068D1"/>
          <w:spacing w:val="80"/>
          <w:sz w:val="26"/>
          <w:szCs w:val="26"/>
        </w:rPr>
        <w:t xml:space="preserve"> </w:t>
      </w:r>
      <w:r>
        <w:rPr>
          <w:b/>
          <w:bCs/>
          <w:color w:val="0068D1"/>
          <w:spacing w:val="-25"/>
          <w:sz w:val="26"/>
          <w:szCs w:val="26"/>
        </w:rPr>
        <w:t>防病毒</w:t>
      </w:r>
    </w:p>
    <w:p w14:paraId="19463F54">
      <w:pPr>
        <w:pStyle w:val="2"/>
        <w:spacing w:before="258" w:line="221" w:lineRule="auto"/>
        <w:ind w:left="419"/>
        <w:rPr>
          <w:rFonts w:ascii="黑体" w:hAnsi="黑体" w:eastAsia="黑体" w:cs="黑体"/>
          <w:sz w:val="19"/>
          <w:szCs w:val="19"/>
        </w:rPr>
      </w:pPr>
      <w:r>
        <w:rPr>
          <w:b/>
          <w:bCs/>
          <w:color w:val="006DCD"/>
          <w:spacing w:val="8"/>
          <w:sz w:val="19"/>
          <w:szCs w:val="19"/>
        </w:rPr>
        <w:t>1.</w:t>
      </w:r>
      <w:r>
        <w:rPr>
          <w:rFonts w:ascii="黑体" w:hAnsi="黑体" w:eastAsia="黑体" w:cs="黑体"/>
          <w:b/>
          <w:bCs/>
          <w:color w:val="006DCD"/>
          <w:spacing w:val="8"/>
          <w:sz w:val="19"/>
          <w:szCs w:val="19"/>
        </w:rPr>
        <w:t>防病毒分析</w:t>
      </w:r>
    </w:p>
    <w:p w14:paraId="01F8E84D">
      <w:pPr>
        <w:pStyle w:val="2"/>
        <w:spacing w:before="157" w:line="302" w:lineRule="auto"/>
        <w:ind w:left="27" w:right="305" w:firstLine="389"/>
        <w:jc w:val="both"/>
        <w:rPr>
          <w:sz w:val="19"/>
          <w:szCs w:val="19"/>
        </w:rPr>
      </w:pPr>
      <w:r>
        <w:rPr>
          <w:spacing w:val="13"/>
          <w:sz w:val="19"/>
          <w:szCs w:val="19"/>
        </w:rPr>
        <w:t>防病毒指用户主动防范计算机等电子设备不受病毒入侵，从而避免</w:t>
      </w:r>
      <w:r>
        <w:rPr>
          <w:spacing w:val="12"/>
          <w:sz w:val="19"/>
          <w:szCs w:val="19"/>
        </w:rPr>
        <w:t>出现用户资料泄密、设</w:t>
      </w:r>
      <w:r>
        <w:rPr>
          <w:sz w:val="19"/>
          <w:szCs w:val="19"/>
        </w:rPr>
        <w:t xml:space="preserve"> </w:t>
      </w:r>
      <w:r>
        <w:rPr>
          <w:spacing w:val="13"/>
          <w:sz w:val="19"/>
          <w:szCs w:val="19"/>
        </w:rPr>
        <w:t>备程序被破坏等情况。病毒潜伏在电子设备中，即使还</w:t>
      </w:r>
      <w:r>
        <w:rPr>
          <w:spacing w:val="12"/>
          <w:sz w:val="19"/>
          <w:szCs w:val="19"/>
        </w:rPr>
        <w:t>没有开始发作也总会留下一些“蛛丝马</w:t>
      </w:r>
      <w:r>
        <w:rPr>
          <w:sz w:val="19"/>
          <w:szCs w:val="19"/>
        </w:rPr>
        <w:t xml:space="preserve"> </w:t>
      </w:r>
      <w:r>
        <w:rPr>
          <w:spacing w:val="-2"/>
          <w:sz w:val="19"/>
          <w:szCs w:val="19"/>
        </w:rPr>
        <w:t>迹”。常见的中毒现象包括：</w:t>
      </w:r>
    </w:p>
    <w:p w14:paraId="641187DE">
      <w:pPr>
        <w:pStyle w:val="2"/>
        <w:spacing w:before="26" w:line="219" w:lineRule="auto"/>
        <w:ind w:left="417"/>
        <w:rPr>
          <w:sz w:val="19"/>
          <w:szCs w:val="19"/>
        </w:rPr>
      </w:pPr>
      <w:r>
        <w:rPr>
          <w:spacing w:val="10"/>
          <w:sz w:val="19"/>
          <w:szCs w:val="19"/>
        </w:rPr>
        <w:t>●计算机系统经常无故死机；</w:t>
      </w:r>
    </w:p>
    <w:p w14:paraId="6B3D72FA">
      <w:pPr>
        <w:pStyle w:val="2"/>
        <w:spacing w:before="95" w:line="219" w:lineRule="auto"/>
        <w:ind w:left="417"/>
        <w:rPr>
          <w:sz w:val="19"/>
          <w:szCs w:val="19"/>
        </w:rPr>
      </w:pPr>
      <w:r>
        <w:rPr>
          <w:spacing w:val="10"/>
          <w:sz w:val="19"/>
          <w:szCs w:val="19"/>
        </w:rPr>
        <w:t>●计算机系统的运行速度明显减慢；</w:t>
      </w:r>
    </w:p>
    <w:p w14:paraId="53C5245E">
      <w:pPr>
        <w:pStyle w:val="2"/>
        <w:spacing w:before="96" w:line="219" w:lineRule="auto"/>
        <w:ind w:left="417"/>
        <w:rPr>
          <w:sz w:val="19"/>
          <w:szCs w:val="19"/>
        </w:rPr>
      </w:pPr>
      <w:r>
        <w:rPr>
          <w:spacing w:val="10"/>
          <w:sz w:val="19"/>
          <w:szCs w:val="19"/>
        </w:rPr>
        <w:t>●系统出现异常的重新启动现象；</w:t>
      </w:r>
    </w:p>
    <w:p w14:paraId="3E30E2DA">
      <w:pPr>
        <w:pStyle w:val="2"/>
        <w:spacing w:before="103" w:line="219" w:lineRule="auto"/>
        <w:ind w:left="417"/>
        <w:rPr>
          <w:sz w:val="19"/>
          <w:szCs w:val="19"/>
        </w:rPr>
      </w:pPr>
      <w:r>
        <w:rPr>
          <w:spacing w:val="10"/>
          <w:sz w:val="19"/>
          <w:szCs w:val="19"/>
        </w:rPr>
        <w:t>●磁盘坏簇莫名其妙地增多，它是病毒为了隐藏自己伪造的假象；</w:t>
      </w:r>
    </w:p>
    <w:p w14:paraId="28F843D8">
      <w:pPr>
        <w:pStyle w:val="2"/>
        <w:spacing w:before="94" w:line="219" w:lineRule="auto"/>
        <w:ind w:left="417"/>
        <w:rPr>
          <w:sz w:val="19"/>
          <w:szCs w:val="19"/>
        </w:rPr>
      </w:pPr>
      <w:r>
        <w:rPr>
          <w:spacing w:val="10"/>
          <w:sz w:val="19"/>
          <w:szCs w:val="19"/>
        </w:rPr>
        <w:t>●操作系统无故频繁地报警或虚假报警；</w:t>
      </w:r>
    </w:p>
    <w:p w14:paraId="536CDB7E">
      <w:pPr>
        <w:pStyle w:val="2"/>
        <w:spacing w:before="106" w:line="219" w:lineRule="auto"/>
        <w:ind w:left="417"/>
        <w:rPr>
          <w:sz w:val="19"/>
          <w:szCs w:val="19"/>
        </w:rPr>
      </w:pPr>
      <w:r>
        <w:rPr>
          <w:spacing w:val="10"/>
          <w:sz w:val="19"/>
          <w:szCs w:val="19"/>
        </w:rPr>
        <w:t>●丢失文件或文件被破坏；</w:t>
      </w:r>
    </w:p>
    <w:p w14:paraId="49A4C610">
      <w:pPr>
        <w:pStyle w:val="2"/>
        <w:spacing w:before="95" w:line="219" w:lineRule="auto"/>
        <w:ind w:left="417"/>
        <w:rPr>
          <w:sz w:val="19"/>
          <w:szCs w:val="19"/>
        </w:rPr>
      </w:pPr>
      <w:r>
        <w:rPr>
          <w:spacing w:val="9"/>
          <w:sz w:val="19"/>
          <w:szCs w:val="19"/>
        </w:rPr>
        <w:t>●系统中的文件时间、日期、大小发生了变化；</w:t>
      </w:r>
    </w:p>
    <w:p w14:paraId="7E9C7250">
      <w:pPr>
        <w:pStyle w:val="2"/>
        <w:spacing w:before="85" w:line="219" w:lineRule="auto"/>
        <w:ind w:left="417"/>
        <w:rPr>
          <w:sz w:val="19"/>
          <w:szCs w:val="19"/>
        </w:rPr>
      </w:pPr>
      <w:r>
        <w:rPr>
          <w:spacing w:val="9"/>
          <w:sz w:val="19"/>
          <w:szCs w:val="19"/>
        </w:rPr>
        <w:t>●磁盘出现特殊标签或系统无法正常引导磁盘；</w:t>
      </w:r>
    </w:p>
    <w:p w14:paraId="65FC983F">
      <w:pPr>
        <w:pStyle w:val="2"/>
        <w:spacing w:before="95" w:line="221" w:lineRule="auto"/>
        <w:ind w:left="417"/>
        <w:rPr>
          <w:sz w:val="19"/>
          <w:szCs w:val="19"/>
        </w:rPr>
      </w:pPr>
      <w:r>
        <w:rPr>
          <w:spacing w:val="13"/>
          <w:sz w:val="19"/>
          <w:szCs w:val="19"/>
        </w:rPr>
        <w:t>●磁盘空间迅速减少；</w:t>
      </w:r>
    </w:p>
    <w:p w14:paraId="3E208332">
      <w:pPr>
        <w:pStyle w:val="2"/>
        <w:spacing w:before="90" w:line="219" w:lineRule="auto"/>
        <w:ind w:left="417"/>
        <w:rPr>
          <w:sz w:val="19"/>
          <w:szCs w:val="19"/>
        </w:rPr>
      </w:pPr>
      <w:r>
        <w:rPr>
          <w:spacing w:val="12"/>
          <w:sz w:val="19"/>
          <w:szCs w:val="19"/>
        </w:rPr>
        <w:t>●屏幕上出现异常显示；</w:t>
      </w:r>
    </w:p>
    <w:p w14:paraId="010785F2">
      <w:pPr>
        <w:pStyle w:val="2"/>
        <w:spacing w:before="106" w:line="219" w:lineRule="auto"/>
        <w:ind w:left="417"/>
        <w:rPr>
          <w:sz w:val="19"/>
          <w:szCs w:val="19"/>
        </w:rPr>
      </w:pPr>
      <w:r>
        <w:rPr>
          <w:spacing w:val="10"/>
          <w:sz w:val="19"/>
          <w:szCs w:val="19"/>
        </w:rPr>
        <w:t>●部分文档自动加了密码，限制阅读和修改；</w:t>
      </w:r>
    </w:p>
    <w:p w14:paraId="4E0AFDCB">
      <w:pPr>
        <w:pStyle w:val="2"/>
        <w:spacing w:before="94" w:line="219" w:lineRule="auto"/>
        <w:ind w:left="417"/>
        <w:rPr>
          <w:sz w:val="19"/>
          <w:szCs w:val="19"/>
        </w:rPr>
      </w:pPr>
      <w:r>
        <w:rPr>
          <w:spacing w:val="10"/>
          <w:sz w:val="19"/>
          <w:szCs w:val="19"/>
        </w:rPr>
        <w:t>●以前能正常运行的应用程序运行时经常发生死机或者</w:t>
      </w:r>
      <w:r>
        <w:rPr>
          <w:spacing w:val="9"/>
          <w:sz w:val="19"/>
          <w:szCs w:val="19"/>
        </w:rPr>
        <w:t>出现非法错误；</w:t>
      </w:r>
    </w:p>
    <w:p w14:paraId="4A85EB7D">
      <w:pPr>
        <w:pStyle w:val="2"/>
        <w:spacing w:before="96" w:line="219" w:lineRule="auto"/>
        <w:ind w:left="417"/>
        <w:rPr>
          <w:sz w:val="19"/>
          <w:szCs w:val="19"/>
        </w:rPr>
      </w:pPr>
      <w:r>
        <w:rPr>
          <w:spacing w:val="7"/>
          <w:sz w:val="19"/>
          <w:szCs w:val="19"/>
        </w:rPr>
        <w:t>●</w:t>
      </w:r>
      <w:r>
        <w:rPr>
          <w:spacing w:val="-38"/>
          <w:sz w:val="19"/>
          <w:szCs w:val="19"/>
        </w:rPr>
        <w:t xml:space="preserve"> </w:t>
      </w:r>
      <w:r>
        <w:rPr>
          <w:spacing w:val="7"/>
          <w:sz w:val="19"/>
          <w:szCs w:val="19"/>
        </w:rPr>
        <w:t>自动发送电子邮件等。</w:t>
      </w:r>
    </w:p>
    <w:p w14:paraId="6425A246">
      <w:pPr>
        <w:pStyle w:val="2"/>
        <w:spacing w:before="190" w:line="221" w:lineRule="auto"/>
        <w:ind w:left="419"/>
        <w:rPr>
          <w:rFonts w:ascii="黑体" w:hAnsi="黑体" w:eastAsia="黑体" w:cs="黑体"/>
          <w:sz w:val="19"/>
          <w:szCs w:val="19"/>
        </w:rPr>
      </w:pPr>
      <w:r>
        <w:rPr>
          <w:b/>
          <w:bCs/>
          <w:color w:val="0066CD"/>
          <w:spacing w:val="8"/>
          <w:sz w:val="19"/>
          <w:szCs w:val="19"/>
        </w:rPr>
        <w:t>2.</w:t>
      </w:r>
      <w:r>
        <w:rPr>
          <w:rFonts w:ascii="黑体" w:hAnsi="黑体" w:eastAsia="黑体" w:cs="黑体"/>
          <w:b/>
          <w:bCs/>
          <w:color w:val="0066CD"/>
          <w:spacing w:val="8"/>
          <w:sz w:val="19"/>
          <w:szCs w:val="19"/>
        </w:rPr>
        <w:t>防病毒策略</w:t>
      </w:r>
    </w:p>
    <w:p w14:paraId="5474E1FF">
      <w:pPr>
        <w:pStyle w:val="2"/>
        <w:spacing w:before="136" w:line="288" w:lineRule="auto"/>
        <w:ind w:left="417" w:right="2267"/>
        <w:rPr>
          <w:sz w:val="19"/>
          <w:szCs w:val="19"/>
        </w:rPr>
      </w:pPr>
      <w:r>
        <w:rPr>
          <w:spacing w:val="8"/>
          <w:sz w:val="19"/>
          <w:szCs w:val="19"/>
        </w:rPr>
        <w:t>在分析了病毒侵害的原因后，就需要有的放矢地设计病毒防护策略。</w:t>
      </w:r>
      <w:r>
        <w:rPr>
          <w:spacing w:val="14"/>
          <w:sz w:val="19"/>
          <w:szCs w:val="19"/>
        </w:rPr>
        <w:t xml:space="preserve"> </w:t>
      </w:r>
      <w:r>
        <w:rPr>
          <w:spacing w:val="5"/>
          <w:sz w:val="19"/>
          <w:szCs w:val="19"/>
        </w:rPr>
        <w:t>病毒防护策略准则包括：</w:t>
      </w:r>
    </w:p>
    <w:p w14:paraId="4ADD3F3B">
      <w:pPr>
        <w:pStyle w:val="2"/>
        <w:spacing w:before="27" w:line="219" w:lineRule="auto"/>
        <w:ind w:left="417"/>
        <w:rPr>
          <w:sz w:val="19"/>
          <w:szCs w:val="19"/>
        </w:rPr>
      </w:pPr>
      <w:r>
        <w:rPr>
          <w:spacing w:val="16"/>
          <w:sz w:val="19"/>
          <w:szCs w:val="19"/>
        </w:rPr>
        <w:t>(1)拒绝访问能力。来历不明的入侵软件(尤其是通过网络传输的软件)不得进入系</w:t>
      </w:r>
      <w:r>
        <w:rPr>
          <w:spacing w:val="15"/>
          <w:sz w:val="19"/>
          <w:szCs w:val="19"/>
        </w:rPr>
        <w:t>统。</w:t>
      </w:r>
    </w:p>
    <w:p w14:paraId="46EED551">
      <w:pPr>
        <w:pStyle w:val="2"/>
        <w:spacing w:before="65" w:line="260" w:lineRule="auto"/>
        <w:ind w:left="27" w:right="308" w:firstLine="389"/>
        <w:rPr>
          <w:sz w:val="19"/>
          <w:szCs w:val="19"/>
        </w:rPr>
      </w:pPr>
      <w:r>
        <w:rPr>
          <w:spacing w:val="15"/>
          <w:sz w:val="19"/>
          <w:szCs w:val="19"/>
        </w:rPr>
        <w:t>(2)病毒检测能力。应当认识到，病毒总是有可能进入系统的，系统中应设置检测病</w:t>
      </w:r>
      <w:r>
        <w:rPr>
          <w:spacing w:val="14"/>
          <w:sz w:val="19"/>
          <w:szCs w:val="19"/>
        </w:rPr>
        <w:t>毒的</w:t>
      </w:r>
      <w:r>
        <w:rPr>
          <w:sz w:val="19"/>
          <w:szCs w:val="19"/>
        </w:rPr>
        <w:t xml:space="preserve"> </w:t>
      </w:r>
      <w:r>
        <w:rPr>
          <w:spacing w:val="8"/>
          <w:sz w:val="19"/>
          <w:szCs w:val="19"/>
        </w:rPr>
        <w:t>机制。除了检测已知病毒外，能否检测未知病毒是一个重要的指标。</w:t>
      </w:r>
    </w:p>
    <w:p w14:paraId="6BF924E0">
      <w:pPr>
        <w:pStyle w:val="2"/>
        <w:spacing w:before="74" w:line="265" w:lineRule="auto"/>
        <w:ind w:left="27" w:right="314" w:firstLine="389"/>
        <w:rPr>
          <w:sz w:val="19"/>
          <w:szCs w:val="19"/>
        </w:rPr>
      </w:pPr>
      <w:r>
        <w:rPr>
          <w:spacing w:val="11"/>
          <w:sz w:val="19"/>
          <w:szCs w:val="19"/>
        </w:rPr>
        <w:t>(3)控制病毒传播的能力。应当认识到，没有一种方法能检测出所有病毒。</w:t>
      </w:r>
      <w:r>
        <w:rPr>
          <w:spacing w:val="57"/>
          <w:sz w:val="19"/>
          <w:szCs w:val="19"/>
        </w:rPr>
        <w:t xml:space="preserve"> </w:t>
      </w:r>
      <w:r>
        <w:rPr>
          <w:spacing w:val="11"/>
          <w:sz w:val="19"/>
          <w:szCs w:val="19"/>
        </w:rPr>
        <w:t>一旦病毒进入</w:t>
      </w:r>
      <w:r>
        <w:rPr>
          <w:sz w:val="19"/>
          <w:szCs w:val="19"/>
        </w:rPr>
        <w:t xml:space="preserve"> </w:t>
      </w:r>
      <w:r>
        <w:rPr>
          <w:spacing w:val="9"/>
          <w:sz w:val="19"/>
          <w:szCs w:val="19"/>
        </w:rPr>
        <w:t>系统，不应让病毒在系统中到处传播，系统一</w:t>
      </w:r>
      <w:r>
        <w:rPr>
          <w:spacing w:val="8"/>
          <w:sz w:val="19"/>
          <w:szCs w:val="19"/>
        </w:rPr>
        <w:t>定要有控制病毒传播的能力。</w:t>
      </w:r>
    </w:p>
    <w:p w14:paraId="319E5198">
      <w:pPr>
        <w:pStyle w:val="2"/>
        <w:spacing w:before="75" w:line="219" w:lineRule="auto"/>
        <w:ind w:left="417"/>
        <w:rPr>
          <w:sz w:val="19"/>
          <w:szCs w:val="19"/>
        </w:rPr>
      </w:pPr>
      <w:r>
        <w:rPr>
          <w:spacing w:val="15"/>
          <w:sz w:val="19"/>
          <w:szCs w:val="19"/>
        </w:rPr>
        <w:t>(4)清除能力。如果病毒突破了系统的防护，即使它的传播受到了控制，也</w:t>
      </w:r>
      <w:r>
        <w:rPr>
          <w:spacing w:val="14"/>
          <w:sz w:val="19"/>
          <w:szCs w:val="19"/>
        </w:rPr>
        <w:t>要有相应的措</w:t>
      </w:r>
    </w:p>
    <w:p w14:paraId="4D6E8EA0">
      <w:pPr>
        <w:spacing w:line="219" w:lineRule="auto"/>
        <w:rPr>
          <w:sz w:val="19"/>
          <w:szCs w:val="19"/>
        </w:rPr>
        <w:sectPr>
          <w:pgSz w:w="10290" w:h="13320"/>
          <w:pgMar w:top="400" w:right="587" w:bottom="400" w:left="1062" w:header="0" w:footer="0" w:gutter="0"/>
          <w:cols w:space="720" w:num="1"/>
        </w:sectPr>
      </w:pPr>
    </w:p>
    <w:p w14:paraId="77F5CDD9">
      <w:pPr>
        <w:pStyle w:val="2"/>
        <w:spacing w:before="78" w:line="219" w:lineRule="auto"/>
        <w:rPr>
          <w:sz w:val="20"/>
          <w:szCs w:val="20"/>
        </w:rPr>
      </w:pPr>
      <w:r>
        <w:rPr>
          <w:rFonts w:ascii="Times New Roman" w:hAnsi="Times New Roman" w:eastAsia="Times New Roman" w:cs="Times New Roman"/>
          <w:spacing w:val="-2"/>
          <w:position w:val="1"/>
          <w:sz w:val="17"/>
          <w:szCs w:val="17"/>
        </w:rPr>
        <w:t xml:space="preserve">180                 </w:t>
      </w:r>
      <w:r>
        <w:rPr>
          <w:spacing w:val="-2"/>
          <w:sz w:val="20"/>
          <w:szCs w:val="20"/>
        </w:rPr>
        <w:t>信息系统监理师教</w:t>
      </w:r>
      <w:r>
        <w:rPr>
          <w:spacing w:val="-3"/>
          <w:sz w:val="20"/>
          <w:szCs w:val="20"/>
        </w:rPr>
        <w:t>程(第2版)</w:t>
      </w:r>
    </w:p>
    <w:p w14:paraId="66FECABB">
      <w:pPr>
        <w:spacing w:line="297" w:lineRule="auto"/>
        <w:rPr>
          <w:rFonts w:ascii="Arial"/>
          <w:sz w:val="21"/>
        </w:rPr>
      </w:pPr>
    </w:p>
    <w:p w14:paraId="3425320C">
      <w:pPr>
        <w:pStyle w:val="2"/>
        <w:spacing w:before="65" w:line="286" w:lineRule="auto"/>
        <w:ind w:left="359" w:right="68"/>
        <w:jc w:val="both"/>
        <w:rPr>
          <w:sz w:val="20"/>
          <w:szCs w:val="20"/>
        </w:rPr>
      </w:pPr>
      <w:r>
        <w:rPr>
          <w:spacing w:val="3"/>
          <w:sz w:val="20"/>
          <w:szCs w:val="20"/>
        </w:rPr>
        <w:t>施将它清除掉。对于已知病毒，可以使用专用杀毒软件；对于未知病毒，在发现后使用软件工</w:t>
      </w:r>
      <w:r>
        <w:rPr>
          <w:spacing w:val="16"/>
          <w:sz w:val="20"/>
          <w:szCs w:val="20"/>
        </w:rPr>
        <w:t xml:space="preserve"> </w:t>
      </w:r>
      <w:r>
        <w:rPr>
          <w:spacing w:val="3"/>
          <w:sz w:val="20"/>
          <w:szCs w:val="20"/>
        </w:rPr>
        <w:t>具对它进行分析，尽快编写出消杀软件。当然，如果有后备文件，也可以使用它直接覆盖受感</w:t>
      </w:r>
      <w:r>
        <w:rPr>
          <w:spacing w:val="15"/>
          <w:sz w:val="20"/>
          <w:szCs w:val="20"/>
        </w:rPr>
        <w:t xml:space="preserve"> </w:t>
      </w:r>
      <w:r>
        <w:rPr>
          <w:spacing w:val="-3"/>
          <w:sz w:val="20"/>
          <w:szCs w:val="20"/>
        </w:rPr>
        <w:t>染文件，但一定要查清楚病毒的来源。</w:t>
      </w:r>
    </w:p>
    <w:p w14:paraId="49E6BDAB">
      <w:pPr>
        <w:pStyle w:val="2"/>
        <w:spacing w:before="48" w:line="253" w:lineRule="auto"/>
        <w:ind w:left="359" w:right="71" w:firstLine="399"/>
        <w:rPr>
          <w:sz w:val="20"/>
          <w:szCs w:val="20"/>
        </w:rPr>
      </w:pPr>
      <w:r>
        <w:rPr>
          <w:spacing w:val="6"/>
          <w:sz w:val="20"/>
          <w:szCs w:val="20"/>
        </w:rPr>
        <w:t>(5)恢复能力。有可能在消除病毒以前，病毒就破坏了系统中的数据，系统应提供</w:t>
      </w:r>
      <w:r>
        <w:rPr>
          <w:spacing w:val="5"/>
          <w:sz w:val="20"/>
          <w:szCs w:val="20"/>
        </w:rPr>
        <w:t>一种高</w:t>
      </w:r>
      <w:r>
        <w:rPr>
          <w:sz w:val="20"/>
          <w:szCs w:val="20"/>
        </w:rPr>
        <w:t xml:space="preserve"> </w:t>
      </w:r>
      <w:r>
        <w:rPr>
          <w:spacing w:val="-4"/>
          <w:sz w:val="20"/>
          <w:szCs w:val="20"/>
        </w:rPr>
        <w:t>效的方法来恢复这些数据。</w:t>
      </w:r>
    </w:p>
    <w:p w14:paraId="7AF41993">
      <w:pPr>
        <w:pStyle w:val="2"/>
        <w:spacing w:before="71" w:line="267" w:lineRule="auto"/>
        <w:ind w:left="359" w:right="90" w:firstLine="399"/>
        <w:rPr>
          <w:sz w:val="20"/>
          <w:szCs w:val="20"/>
        </w:rPr>
      </w:pPr>
      <w:r>
        <w:rPr>
          <w:spacing w:val="5"/>
          <w:sz w:val="20"/>
          <w:szCs w:val="20"/>
        </w:rPr>
        <w:t>(6)替代操作。系统应该提供一种替代操作方案。在恢复系统时可用替代系统工作，问题</w:t>
      </w:r>
      <w:r>
        <w:rPr>
          <w:spacing w:val="18"/>
          <w:sz w:val="20"/>
          <w:szCs w:val="20"/>
        </w:rPr>
        <w:t xml:space="preserve"> </w:t>
      </w:r>
      <w:r>
        <w:rPr>
          <w:spacing w:val="-2"/>
          <w:sz w:val="20"/>
          <w:szCs w:val="20"/>
        </w:rPr>
        <w:t>解决后再换回来。这一准则对于某些关键的系统应用是必须得到保证的。</w:t>
      </w:r>
    </w:p>
    <w:p w14:paraId="51A03C3D">
      <w:pPr>
        <w:pStyle w:val="2"/>
        <w:spacing w:before="231" w:line="219" w:lineRule="auto"/>
        <w:ind w:left="362"/>
        <w:rPr>
          <w:sz w:val="25"/>
          <w:szCs w:val="25"/>
        </w:rPr>
      </w:pPr>
      <w:r>
        <w:rPr>
          <w:b/>
          <w:bCs/>
          <w:color w:val="0061D0"/>
          <w:spacing w:val="-21"/>
          <w:sz w:val="25"/>
          <w:szCs w:val="25"/>
        </w:rPr>
        <w:t>6.3.7</w:t>
      </w:r>
      <w:r>
        <w:rPr>
          <w:color w:val="0061D0"/>
          <w:spacing w:val="105"/>
          <w:sz w:val="25"/>
          <w:szCs w:val="25"/>
        </w:rPr>
        <w:t xml:space="preserve"> </w:t>
      </w:r>
      <w:r>
        <w:rPr>
          <w:b/>
          <w:bCs/>
          <w:color w:val="0061D0"/>
          <w:spacing w:val="-21"/>
          <w:sz w:val="25"/>
          <w:szCs w:val="25"/>
        </w:rPr>
        <w:t>数据加密技术</w:t>
      </w:r>
    </w:p>
    <w:p w14:paraId="14D47244">
      <w:pPr>
        <w:pStyle w:val="2"/>
        <w:spacing w:before="161" w:line="284" w:lineRule="auto"/>
        <w:ind w:left="359" w:right="87" w:firstLine="399"/>
        <w:jc w:val="both"/>
        <w:rPr>
          <w:sz w:val="20"/>
          <w:szCs w:val="20"/>
        </w:rPr>
      </w:pPr>
      <w:r>
        <w:rPr>
          <w:spacing w:val="6"/>
          <w:sz w:val="20"/>
          <w:szCs w:val="20"/>
        </w:rPr>
        <w:t>数据加密</w:t>
      </w:r>
      <w:r>
        <w:rPr>
          <w:spacing w:val="-34"/>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Data</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Encryption</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2"/>
          <w:sz w:val="20"/>
          <w:szCs w:val="20"/>
        </w:rPr>
        <w:t xml:space="preserve"> </w:t>
      </w:r>
      <w:r>
        <w:rPr>
          <w:spacing w:val="6"/>
          <w:sz w:val="20"/>
          <w:szCs w:val="20"/>
        </w:rPr>
        <w:t>技术是指将一个信息(或称明文，</w:t>
      </w:r>
      <w:r>
        <w:rPr>
          <w:spacing w:val="-40"/>
          <w:sz w:val="20"/>
          <w:szCs w:val="20"/>
        </w:rPr>
        <w:t xml:space="preserve"> </w:t>
      </w:r>
      <w:r>
        <w:rPr>
          <w:rFonts w:ascii="Times New Roman" w:hAnsi="Times New Roman" w:eastAsia="Times New Roman" w:cs="Times New Roman"/>
          <w:sz w:val="20"/>
          <w:szCs w:val="20"/>
        </w:rPr>
        <w:t>Plain</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Text</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1"/>
          <w:w w:val="101"/>
          <w:sz w:val="20"/>
          <w:szCs w:val="20"/>
        </w:rPr>
        <w:t xml:space="preserve"> </w:t>
      </w:r>
      <w:r>
        <w:rPr>
          <w:spacing w:val="6"/>
          <w:sz w:val="20"/>
          <w:szCs w:val="20"/>
        </w:rPr>
        <w:t>经过加密钥匙</w:t>
      </w:r>
      <w:r>
        <w:rPr>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Encryption</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Key</w:t>
      </w:r>
      <w:r>
        <w:rPr>
          <w:rFonts w:ascii="Times New Roman" w:hAnsi="Times New Roman" w:eastAsia="Times New Roman" w:cs="Times New Roman"/>
          <w:spacing w:val="4"/>
          <w:sz w:val="20"/>
          <w:szCs w:val="20"/>
        </w:rPr>
        <w:t xml:space="preserve">) </w:t>
      </w:r>
      <w:r>
        <w:rPr>
          <w:spacing w:val="4"/>
          <w:sz w:val="20"/>
          <w:szCs w:val="20"/>
        </w:rPr>
        <w:t>及加密函数转换，变成无意义的密文</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Cipher</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Text</w:t>
      </w:r>
      <w:r>
        <w:rPr>
          <w:rFonts w:ascii="Times New Roman" w:hAnsi="Times New Roman" w:eastAsia="Times New Roman" w:cs="Times New Roman"/>
          <w:spacing w:val="3"/>
          <w:sz w:val="20"/>
          <w:szCs w:val="20"/>
        </w:rPr>
        <w:t>),</w:t>
      </w:r>
      <w:r>
        <w:rPr>
          <w:rFonts w:ascii="Times New Roman" w:hAnsi="Times New Roman" w:eastAsia="Times New Roman" w:cs="Times New Roman"/>
          <w:spacing w:val="20"/>
          <w:sz w:val="20"/>
          <w:szCs w:val="20"/>
        </w:rPr>
        <w:t xml:space="preserve"> </w:t>
      </w:r>
      <w:r>
        <w:rPr>
          <w:spacing w:val="3"/>
          <w:sz w:val="20"/>
          <w:szCs w:val="20"/>
        </w:rPr>
        <w:t>而接收方则将此密文经</w:t>
      </w:r>
      <w:r>
        <w:rPr>
          <w:sz w:val="20"/>
          <w:szCs w:val="20"/>
        </w:rPr>
        <w:t xml:space="preserve"> </w:t>
      </w:r>
      <w:r>
        <w:rPr>
          <w:spacing w:val="2"/>
          <w:sz w:val="20"/>
          <w:szCs w:val="20"/>
        </w:rPr>
        <w:t>过解密函数、解密钥匙</w:t>
      </w:r>
      <w:r>
        <w:rPr>
          <w:spacing w:val="-49"/>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Decryption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Key</w:t>
      </w:r>
      <w:r>
        <w:rPr>
          <w:rFonts w:ascii="Times New Roman" w:hAnsi="Times New Roman" w:eastAsia="Times New Roman" w:cs="Times New Roman"/>
          <w:spacing w:val="2"/>
          <w:sz w:val="20"/>
          <w:szCs w:val="20"/>
        </w:rPr>
        <w:t xml:space="preserve">) </w:t>
      </w:r>
      <w:r>
        <w:rPr>
          <w:spacing w:val="2"/>
          <w:sz w:val="20"/>
          <w:szCs w:val="20"/>
        </w:rPr>
        <w:t>还原成明文。数</w:t>
      </w:r>
      <w:r>
        <w:rPr>
          <w:spacing w:val="1"/>
          <w:sz w:val="20"/>
          <w:szCs w:val="20"/>
        </w:rPr>
        <w:t>据加密技术只有在指定的用户或网络</w:t>
      </w:r>
      <w:r>
        <w:rPr>
          <w:sz w:val="20"/>
          <w:szCs w:val="20"/>
        </w:rPr>
        <w:t xml:space="preserve"> </w:t>
      </w:r>
      <w:r>
        <w:rPr>
          <w:spacing w:val="3"/>
          <w:sz w:val="20"/>
          <w:szCs w:val="20"/>
        </w:rPr>
        <w:t>下，才能解除密码而获得原来的数据，这就需要给数据发送方和接收方以一些特殊的信息</w:t>
      </w:r>
      <w:r>
        <w:rPr>
          <w:spacing w:val="2"/>
          <w:sz w:val="20"/>
          <w:szCs w:val="20"/>
        </w:rPr>
        <w:t>用于</w:t>
      </w:r>
      <w:r>
        <w:rPr>
          <w:sz w:val="20"/>
          <w:szCs w:val="20"/>
        </w:rPr>
        <w:t xml:space="preserve"> </w:t>
      </w:r>
      <w:r>
        <w:rPr>
          <w:spacing w:val="3"/>
          <w:sz w:val="20"/>
          <w:szCs w:val="20"/>
        </w:rPr>
        <w:t>加解密，即所谓的密钥。密钥的值是从大量的随机数中选取的。需要强调的是，数</w:t>
      </w:r>
      <w:r>
        <w:rPr>
          <w:spacing w:val="2"/>
          <w:sz w:val="20"/>
          <w:szCs w:val="20"/>
        </w:rPr>
        <w:t>据加密技术</w:t>
      </w:r>
      <w:r>
        <w:rPr>
          <w:sz w:val="20"/>
          <w:szCs w:val="20"/>
        </w:rPr>
        <w:t xml:space="preserve"> </w:t>
      </w:r>
      <w:r>
        <w:rPr>
          <w:spacing w:val="10"/>
          <w:sz w:val="20"/>
          <w:szCs w:val="20"/>
        </w:rPr>
        <w:t>的首要目的是隐藏信息(数据)的含义，并不是隐藏信息(数据)的存在。</w:t>
      </w:r>
    </w:p>
    <w:p w14:paraId="5857E509">
      <w:pPr>
        <w:pStyle w:val="2"/>
        <w:spacing w:before="67" w:line="219" w:lineRule="auto"/>
        <w:ind w:left="759"/>
        <w:rPr>
          <w:sz w:val="20"/>
          <w:szCs w:val="20"/>
        </w:rPr>
      </w:pPr>
      <w:r>
        <w:rPr>
          <w:spacing w:val="-2"/>
          <w:sz w:val="20"/>
          <w:szCs w:val="20"/>
        </w:rPr>
        <w:t>数据加密技术按加密算法分为专用密钥和公开密钥两种。</w:t>
      </w:r>
    </w:p>
    <w:p w14:paraId="74394C67">
      <w:pPr>
        <w:spacing w:before="140" w:line="225" w:lineRule="auto"/>
        <w:ind w:left="759"/>
        <w:rPr>
          <w:rFonts w:ascii="楷体" w:hAnsi="楷体" w:eastAsia="楷体" w:cs="楷体"/>
          <w:sz w:val="20"/>
          <w:szCs w:val="20"/>
        </w:rPr>
      </w:pPr>
      <w:r>
        <w:rPr>
          <w:rFonts w:ascii="楷体" w:hAnsi="楷体" w:eastAsia="楷体" w:cs="楷体"/>
          <w:spacing w:val="18"/>
          <w:sz w:val="20"/>
          <w:szCs w:val="20"/>
        </w:rPr>
        <w:t>1)专用密钥</w:t>
      </w:r>
    </w:p>
    <w:p w14:paraId="52936765">
      <w:pPr>
        <w:pStyle w:val="2"/>
        <w:spacing w:before="68" w:line="283" w:lineRule="auto"/>
        <w:ind w:left="359" w:right="71" w:firstLine="399"/>
        <w:rPr>
          <w:sz w:val="20"/>
          <w:szCs w:val="20"/>
        </w:rPr>
      </w:pPr>
      <w:r>
        <w:rPr>
          <w:spacing w:val="3"/>
          <w:sz w:val="20"/>
          <w:szCs w:val="20"/>
        </w:rPr>
        <w:t>专用密钥又称为对称密钥或单密钥，加密和解密时使用同</w:t>
      </w:r>
      <w:r>
        <w:rPr>
          <w:spacing w:val="2"/>
          <w:sz w:val="20"/>
          <w:szCs w:val="20"/>
        </w:rPr>
        <w:t>一个密钥，即同一个算法。例如</w:t>
      </w:r>
      <w:r>
        <w:rPr>
          <w:sz w:val="20"/>
          <w:szCs w:val="20"/>
        </w:rPr>
        <w:t xml:space="preserve"> </w:t>
      </w:r>
      <w:r>
        <w:rPr>
          <w:spacing w:val="3"/>
          <w:sz w:val="20"/>
          <w:szCs w:val="20"/>
        </w:rPr>
        <w:t>对称加密算法</w:t>
      </w:r>
      <w:r>
        <w:rPr>
          <w:rFonts w:ascii="Times New Roman" w:hAnsi="Times New Roman" w:eastAsia="Times New Roman" w:cs="Times New Roman"/>
          <w:sz w:val="20"/>
          <w:szCs w:val="20"/>
        </w:rPr>
        <w:t>DES</w:t>
      </w:r>
      <w:r>
        <w:rPr>
          <w:rFonts w:ascii="Times New Roman" w:hAnsi="Times New Roman" w:eastAsia="Times New Roman" w:cs="Times New Roman"/>
          <w:spacing w:val="3"/>
          <w:sz w:val="20"/>
          <w:szCs w:val="20"/>
        </w:rPr>
        <w:t xml:space="preserve"> </w:t>
      </w:r>
      <w:r>
        <w:rPr>
          <w:spacing w:val="3"/>
          <w:sz w:val="20"/>
          <w:szCs w:val="20"/>
        </w:rPr>
        <w:t>和麻省理工学院</w:t>
      </w:r>
      <w:r>
        <w:rPr>
          <w:spacing w:val="-46"/>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Massachusetts</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Institute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Technology</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MIT</w:t>
      </w:r>
      <w:r>
        <w:rPr>
          <w:rFonts w:ascii="Times New Roman" w:hAnsi="Times New Roman" w:eastAsia="Times New Roman" w:cs="Times New Roman"/>
          <w:spacing w:val="3"/>
          <w:sz w:val="20"/>
          <w:szCs w:val="20"/>
        </w:rPr>
        <w:t xml:space="preserve">) </w:t>
      </w:r>
      <w:r>
        <w:rPr>
          <w:spacing w:val="3"/>
          <w:sz w:val="20"/>
          <w:szCs w:val="20"/>
        </w:rPr>
        <w:t>的</w:t>
      </w:r>
      <w:r>
        <w:rPr>
          <w:spacing w:val="-46"/>
          <w:sz w:val="20"/>
          <w:szCs w:val="20"/>
        </w:rPr>
        <w:t xml:space="preserve"> </w:t>
      </w:r>
      <w:r>
        <w:rPr>
          <w:rFonts w:ascii="Times New Roman" w:hAnsi="Times New Roman" w:eastAsia="Times New Roman" w:cs="Times New Roman"/>
          <w:sz w:val="20"/>
          <w:szCs w:val="20"/>
        </w:rPr>
        <w:t>MIT</w:t>
      </w:r>
      <w:r>
        <w:rPr>
          <w:rFonts w:ascii="Times New Roman" w:hAnsi="Times New Roman" w:eastAsia="Times New Roman" w:cs="Times New Roman"/>
          <w:spacing w:val="17"/>
          <w:w w:val="101"/>
          <w:sz w:val="20"/>
          <w:szCs w:val="20"/>
        </w:rPr>
        <w:t xml:space="preserve"> </w:t>
      </w:r>
      <w:r>
        <w:rPr>
          <w:spacing w:val="3"/>
          <w:sz w:val="20"/>
          <w:szCs w:val="20"/>
        </w:rPr>
        <w:t>许可证</w:t>
      </w:r>
      <w:r>
        <w:rPr>
          <w:sz w:val="20"/>
          <w:szCs w:val="20"/>
        </w:rPr>
        <w:t xml:space="preserve"> </w:t>
      </w:r>
      <w:r>
        <w:rPr>
          <w:spacing w:val="1"/>
          <w:sz w:val="20"/>
          <w:szCs w:val="20"/>
        </w:rPr>
        <w:t>中的</w:t>
      </w:r>
      <w:r>
        <w:rPr>
          <w:rFonts w:ascii="Times New Roman" w:hAnsi="Times New Roman" w:eastAsia="Times New Roman" w:cs="Times New Roman"/>
          <w:sz w:val="20"/>
          <w:szCs w:val="20"/>
        </w:rPr>
        <w:t>Kerberos</w:t>
      </w:r>
      <w:r>
        <w:rPr>
          <w:rFonts w:ascii="Times New Roman" w:hAnsi="Times New Roman" w:eastAsia="Times New Roman" w:cs="Times New Roman"/>
          <w:spacing w:val="1"/>
          <w:sz w:val="20"/>
          <w:szCs w:val="20"/>
        </w:rPr>
        <w:t xml:space="preserve"> </w:t>
      </w:r>
      <w:r>
        <w:rPr>
          <w:spacing w:val="1"/>
          <w:sz w:val="20"/>
          <w:szCs w:val="20"/>
        </w:rPr>
        <w:t>算法。</w:t>
      </w:r>
    </w:p>
    <w:p w14:paraId="2CE06A15">
      <w:pPr>
        <w:pStyle w:val="2"/>
        <w:spacing w:before="32" w:line="279" w:lineRule="auto"/>
        <w:ind w:left="359" w:right="87" w:firstLine="399"/>
        <w:jc w:val="both"/>
        <w:rPr>
          <w:sz w:val="20"/>
          <w:szCs w:val="20"/>
        </w:rPr>
      </w:pPr>
      <w:r>
        <w:rPr>
          <w:spacing w:val="3"/>
          <w:sz w:val="20"/>
          <w:szCs w:val="20"/>
        </w:rPr>
        <w:t>单密钥是最简单的方式，通信双方必须交换彼此的密钥，当需要给对方发信息时，用自己</w:t>
      </w:r>
      <w:r>
        <w:rPr>
          <w:spacing w:val="2"/>
          <w:sz w:val="20"/>
          <w:szCs w:val="20"/>
        </w:rPr>
        <w:t xml:space="preserve"> </w:t>
      </w:r>
      <w:r>
        <w:rPr>
          <w:spacing w:val="3"/>
          <w:sz w:val="20"/>
          <w:szCs w:val="20"/>
        </w:rPr>
        <w:t>的加密密钥进行加密，而在接收方收到数据后，用对方所给的密钥进行解密。当一</w:t>
      </w:r>
      <w:r>
        <w:rPr>
          <w:spacing w:val="2"/>
          <w:sz w:val="20"/>
          <w:szCs w:val="20"/>
        </w:rPr>
        <w:t>个文本需要</w:t>
      </w:r>
      <w:r>
        <w:rPr>
          <w:sz w:val="20"/>
          <w:szCs w:val="20"/>
        </w:rPr>
        <w:t xml:space="preserve"> </w:t>
      </w:r>
      <w:r>
        <w:rPr>
          <w:spacing w:val="3"/>
          <w:sz w:val="20"/>
          <w:szCs w:val="20"/>
        </w:rPr>
        <w:t>加密传送时，该文本用密钥加密构成密文，密文在信道上传送，收到密文后用同一个密钥</w:t>
      </w:r>
      <w:r>
        <w:rPr>
          <w:spacing w:val="2"/>
          <w:sz w:val="20"/>
          <w:szCs w:val="20"/>
        </w:rPr>
        <w:t>将密</w:t>
      </w:r>
      <w:r>
        <w:rPr>
          <w:sz w:val="20"/>
          <w:szCs w:val="20"/>
        </w:rPr>
        <w:t xml:space="preserve"> </w:t>
      </w:r>
      <w:r>
        <w:rPr>
          <w:spacing w:val="-3"/>
          <w:sz w:val="20"/>
          <w:szCs w:val="20"/>
        </w:rPr>
        <w:t>文解出来，形成普通文本供阅读。</w:t>
      </w:r>
    </w:p>
    <w:p w14:paraId="0DFAAF61">
      <w:pPr>
        <w:pStyle w:val="2"/>
        <w:spacing w:before="51" w:line="279" w:lineRule="auto"/>
        <w:ind w:left="359" w:right="80" w:firstLine="399"/>
        <w:jc w:val="both"/>
        <w:rPr>
          <w:sz w:val="20"/>
          <w:szCs w:val="20"/>
        </w:rPr>
      </w:pPr>
      <w:r>
        <w:rPr>
          <w:spacing w:val="2"/>
          <w:sz w:val="20"/>
          <w:szCs w:val="20"/>
        </w:rPr>
        <w:t>在对称密钥中，密钥的管理极为重要，</w:t>
      </w:r>
      <w:r>
        <w:rPr>
          <w:spacing w:val="-35"/>
          <w:sz w:val="20"/>
          <w:szCs w:val="20"/>
        </w:rPr>
        <w:t xml:space="preserve"> </w:t>
      </w:r>
      <w:r>
        <w:rPr>
          <w:spacing w:val="2"/>
          <w:sz w:val="20"/>
          <w:szCs w:val="20"/>
        </w:rPr>
        <w:t>一旦密钥丢失，</w:t>
      </w:r>
      <w:r>
        <w:rPr>
          <w:spacing w:val="1"/>
          <w:sz w:val="20"/>
          <w:szCs w:val="20"/>
        </w:rPr>
        <w:t>密文将无密可保。这种方式在与多</w:t>
      </w:r>
      <w:r>
        <w:rPr>
          <w:sz w:val="20"/>
          <w:szCs w:val="20"/>
        </w:rPr>
        <w:t xml:space="preserve"> </w:t>
      </w:r>
      <w:r>
        <w:rPr>
          <w:spacing w:val="3"/>
          <w:sz w:val="20"/>
          <w:szCs w:val="20"/>
        </w:rPr>
        <w:t>方通信时因为需要保存很多密钥而变得很复杂，而且密钥本身的安全也是一个问题。对称密钥</w:t>
      </w:r>
      <w:r>
        <w:rPr>
          <w:spacing w:val="1"/>
          <w:sz w:val="20"/>
          <w:szCs w:val="20"/>
        </w:rPr>
        <w:t xml:space="preserve"> </w:t>
      </w:r>
      <w:r>
        <w:rPr>
          <w:spacing w:val="-2"/>
          <w:sz w:val="20"/>
          <w:szCs w:val="20"/>
        </w:rPr>
        <w:t>是最古老的加密方法，“密电码”采用的就是对称密钥。由于对称密钥运算量小、速度快、安全</w:t>
      </w:r>
      <w:r>
        <w:rPr>
          <w:spacing w:val="2"/>
          <w:sz w:val="20"/>
          <w:szCs w:val="20"/>
        </w:rPr>
        <w:t xml:space="preserve"> </w:t>
      </w:r>
      <w:r>
        <w:rPr>
          <w:spacing w:val="-3"/>
          <w:sz w:val="20"/>
          <w:szCs w:val="20"/>
        </w:rPr>
        <w:t>强度高，因而目前仍被广泛采用。</w:t>
      </w:r>
    </w:p>
    <w:p w14:paraId="660BF24A">
      <w:pPr>
        <w:spacing w:before="123" w:line="230" w:lineRule="auto"/>
        <w:ind w:left="759"/>
        <w:rPr>
          <w:rFonts w:ascii="楷体" w:hAnsi="楷体" w:eastAsia="楷体" w:cs="楷体"/>
          <w:sz w:val="20"/>
          <w:szCs w:val="20"/>
        </w:rPr>
      </w:pPr>
      <w:r>
        <w:rPr>
          <w:rFonts w:ascii="楷体" w:hAnsi="楷体" w:eastAsia="楷体" w:cs="楷体"/>
          <w:spacing w:val="18"/>
          <w:sz w:val="20"/>
          <w:szCs w:val="20"/>
        </w:rPr>
        <w:t>2)公开密钥</w:t>
      </w:r>
    </w:p>
    <w:p w14:paraId="0D0D43AC">
      <w:pPr>
        <w:pStyle w:val="2"/>
        <w:spacing w:before="46" w:line="280" w:lineRule="auto"/>
        <w:ind w:left="359" w:right="93" w:firstLine="399"/>
        <w:rPr>
          <w:sz w:val="20"/>
          <w:szCs w:val="20"/>
        </w:rPr>
      </w:pPr>
      <w:r>
        <w:rPr>
          <w:spacing w:val="2"/>
          <w:sz w:val="20"/>
          <w:szCs w:val="20"/>
        </w:rPr>
        <w:t>公开密钥又称为非对称密钥，加密和解密时使用不同的密钥，即不同的算法，虽然两者之</w:t>
      </w:r>
      <w:r>
        <w:rPr>
          <w:spacing w:val="18"/>
          <w:sz w:val="20"/>
          <w:szCs w:val="20"/>
        </w:rPr>
        <w:t xml:space="preserve"> </w:t>
      </w:r>
      <w:r>
        <w:rPr>
          <w:spacing w:val="3"/>
          <w:sz w:val="20"/>
          <w:szCs w:val="20"/>
        </w:rPr>
        <w:t>间存在一定的关系，但不可能轻易地从一个推导出另一个。有一个公用的加</w:t>
      </w:r>
      <w:r>
        <w:rPr>
          <w:spacing w:val="2"/>
          <w:sz w:val="20"/>
          <w:szCs w:val="20"/>
        </w:rPr>
        <w:t>密密钥，有多个解</w:t>
      </w:r>
      <w:r>
        <w:rPr>
          <w:sz w:val="20"/>
          <w:szCs w:val="20"/>
        </w:rPr>
        <w:t xml:space="preserve"> </w:t>
      </w:r>
      <w:r>
        <w:rPr>
          <w:spacing w:val="9"/>
          <w:sz w:val="20"/>
          <w:szCs w:val="20"/>
        </w:rPr>
        <w:t>密密钥，如</w:t>
      </w:r>
      <w:r>
        <w:rPr>
          <w:rFonts w:ascii="Times New Roman" w:hAnsi="Times New Roman" w:eastAsia="Times New Roman" w:cs="Times New Roman"/>
          <w:sz w:val="20"/>
          <w:szCs w:val="20"/>
        </w:rPr>
        <w:t>RSA</w:t>
      </w:r>
      <w:r>
        <w:rPr>
          <w:rFonts w:ascii="Times New Roman" w:hAnsi="Times New Roman" w:eastAsia="Times New Roman" w:cs="Times New Roman"/>
          <w:spacing w:val="9"/>
          <w:sz w:val="20"/>
          <w:szCs w:val="20"/>
        </w:rPr>
        <w:t xml:space="preserve"> </w:t>
      </w:r>
      <w:r>
        <w:rPr>
          <w:spacing w:val="9"/>
          <w:sz w:val="20"/>
          <w:szCs w:val="20"/>
        </w:rPr>
        <w:t>算法(非对称加密算法，是1977年由麻省理工学院的三人共同开发的，故用</w:t>
      </w:r>
      <w:r>
        <w:rPr>
          <w:spacing w:val="5"/>
          <w:sz w:val="20"/>
          <w:szCs w:val="20"/>
        </w:rPr>
        <w:t xml:space="preserve"> </w:t>
      </w:r>
      <w:r>
        <w:rPr>
          <w:spacing w:val="-1"/>
          <w:sz w:val="20"/>
          <w:szCs w:val="20"/>
        </w:rPr>
        <w:t>其姓氏开头字母组合命名)。</w:t>
      </w:r>
    </w:p>
    <w:p w14:paraId="3002BA41">
      <w:pPr>
        <w:pStyle w:val="2"/>
        <w:spacing w:before="39" w:line="268" w:lineRule="auto"/>
        <w:ind w:left="359" w:firstLine="399"/>
        <w:jc w:val="both"/>
        <w:rPr>
          <w:sz w:val="20"/>
          <w:szCs w:val="20"/>
        </w:rPr>
      </w:pPr>
      <w:r>
        <w:rPr>
          <w:spacing w:val="9"/>
          <w:sz w:val="20"/>
          <w:szCs w:val="20"/>
        </w:rPr>
        <w:t>非对称密钥由于两个密钥(加密密钥和解密密钥)各不相同，因而可以将一个密钥公开，</w:t>
      </w:r>
      <w:r>
        <w:rPr>
          <w:spacing w:val="17"/>
          <w:sz w:val="20"/>
          <w:szCs w:val="20"/>
        </w:rPr>
        <w:t xml:space="preserve"> </w:t>
      </w:r>
      <w:r>
        <w:rPr>
          <w:spacing w:val="-1"/>
          <w:sz w:val="20"/>
          <w:szCs w:val="20"/>
        </w:rPr>
        <w:t>而将另一个密钥保密，同样可以起到加密的作用。在这种编码过程中，</w:t>
      </w:r>
      <w:r>
        <w:rPr>
          <w:spacing w:val="-46"/>
          <w:sz w:val="20"/>
          <w:szCs w:val="20"/>
        </w:rPr>
        <w:t xml:space="preserve"> </w:t>
      </w:r>
      <w:r>
        <w:rPr>
          <w:spacing w:val="-1"/>
          <w:sz w:val="20"/>
          <w:szCs w:val="20"/>
        </w:rPr>
        <w:t>一个密钥用来加</w:t>
      </w:r>
      <w:r>
        <w:rPr>
          <w:spacing w:val="-2"/>
          <w:sz w:val="20"/>
          <w:szCs w:val="20"/>
        </w:rPr>
        <w:t>密消息，</w:t>
      </w:r>
      <w:r>
        <w:rPr>
          <w:sz w:val="20"/>
          <w:szCs w:val="20"/>
        </w:rPr>
        <w:t xml:space="preserve"> </w:t>
      </w:r>
      <w:r>
        <w:rPr>
          <w:spacing w:val="-3"/>
          <w:sz w:val="20"/>
          <w:szCs w:val="20"/>
        </w:rPr>
        <w:t>而另一个密钥用来解密消息。</w:t>
      </w:r>
    </w:p>
    <w:p w14:paraId="3EA4165F">
      <w:pPr>
        <w:spacing w:line="268" w:lineRule="auto"/>
        <w:rPr>
          <w:sz w:val="20"/>
          <w:szCs w:val="20"/>
        </w:rPr>
        <w:sectPr>
          <w:pgSz w:w="10300" w:h="13410"/>
          <w:pgMar w:top="400" w:right="1010" w:bottom="400" w:left="520" w:header="0" w:footer="0" w:gutter="0"/>
          <w:cols w:space="720" w:num="1"/>
        </w:sectPr>
      </w:pPr>
    </w:p>
    <w:p w14:paraId="7C551ED7">
      <w:pPr>
        <w:pStyle w:val="2"/>
        <w:spacing w:before="56" w:line="219" w:lineRule="auto"/>
        <w:jc w:val="right"/>
        <w:rPr>
          <w:rFonts w:ascii="Times New Roman" w:hAnsi="Times New Roman" w:eastAsia="Times New Roman" w:cs="Times New Roman"/>
          <w:sz w:val="20"/>
          <w:szCs w:val="20"/>
        </w:rPr>
      </w:pPr>
      <w:r>
        <w:rPr>
          <w:sz w:val="20"/>
          <w:szCs w:val="20"/>
        </w:rPr>
        <w:t>第6章</w:t>
      </w:r>
      <w:r>
        <w:rPr>
          <w:spacing w:val="24"/>
          <w:sz w:val="20"/>
          <w:szCs w:val="20"/>
        </w:rPr>
        <w:t xml:space="preserve"> </w:t>
      </w:r>
      <w:r>
        <w:rPr>
          <w:sz w:val="20"/>
          <w:szCs w:val="20"/>
        </w:rPr>
        <w:t>信息安全</w:t>
      </w:r>
      <w:r>
        <w:rPr>
          <w:spacing w:val="6"/>
          <w:sz w:val="20"/>
          <w:szCs w:val="20"/>
        </w:rPr>
        <w:t xml:space="preserve">      </w:t>
      </w:r>
      <w:r>
        <w:rPr>
          <w:rFonts w:ascii="Times New Roman" w:hAnsi="Times New Roman" w:eastAsia="Times New Roman" w:cs="Times New Roman"/>
          <w:sz w:val="20"/>
          <w:szCs w:val="20"/>
        </w:rPr>
        <w:t>181</w:t>
      </w:r>
    </w:p>
    <w:p w14:paraId="254F9673">
      <w:pPr>
        <w:spacing w:line="292" w:lineRule="auto"/>
        <w:rPr>
          <w:rFonts w:ascii="Arial"/>
          <w:sz w:val="21"/>
        </w:rPr>
      </w:pPr>
    </w:p>
    <w:p w14:paraId="7CD3BAA9">
      <w:pPr>
        <w:spacing w:before="65" w:line="223" w:lineRule="auto"/>
        <w:ind w:left="430"/>
        <w:rPr>
          <w:rFonts w:ascii="楷体" w:hAnsi="楷体" w:eastAsia="楷体" w:cs="楷体"/>
          <w:sz w:val="20"/>
          <w:szCs w:val="20"/>
        </w:rPr>
      </w:pPr>
      <w:bookmarkStart w:id="574" w:name="bookmark559"/>
      <w:bookmarkEnd w:id="574"/>
      <w:r>
        <w:rPr>
          <w:rFonts w:ascii="楷体" w:hAnsi="楷体" w:eastAsia="楷体" w:cs="楷体"/>
          <w:spacing w:val="15"/>
          <w:sz w:val="20"/>
          <w:szCs w:val="20"/>
        </w:rPr>
        <w:t>3)数字签名</w:t>
      </w:r>
    </w:p>
    <w:p w14:paraId="37C4EF9D">
      <w:pPr>
        <w:pStyle w:val="2"/>
        <w:spacing w:before="71" w:line="287" w:lineRule="auto"/>
        <w:ind w:right="341" w:firstLine="430"/>
        <w:rPr>
          <w:sz w:val="20"/>
          <w:szCs w:val="20"/>
        </w:rPr>
      </w:pPr>
      <w:r>
        <w:rPr>
          <w:spacing w:val="3"/>
          <w:sz w:val="20"/>
          <w:szCs w:val="20"/>
        </w:rPr>
        <w:t>公开密钥的加密机制虽提供了良好的保密性，但难以鉴别发</w:t>
      </w:r>
      <w:r>
        <w:rPr>
          <w:spacing w:val="2"/>
          <w:sz w:val="20"/>
          <w:szCs w:val="20"/>
        </w:rPr>
        <w:t>送者，即任何得到公开密钥的</w:t>
      </w:r>
      <w:r>
        <w:rPr>
          <w:sz w:val="20"/>
          <w:szCs w:val="20"/>
        </w:rPr>
        <w:t xml:space="preserve"> </w:t>
      </w:r>
      <w:r>
        <w:rPr>
          <w:spacing w:val="3"/>
          <w:sz w:val="20"/>
          <w:szCs w:val="20"/>
        </w:rPr>
        <w:t>人都可以生成和发送报文。数字签名机制提供了一种鉴别方法，以解决伪造、抵赖、冒充和篡</w:t>
      </w:r>
      <w:r>
        <w:rPr>
          <w:spacing w:val="5"/>
          <w:sz w:val="20"/>
          <w:szCs w:val="20"/>
        </w:rPr>
        <w:t xml:space="preserve"> </w:t>
      </w:r>
      <w:r>
        <w:rPr>
          <w:spacing w:val="-8"/>
          <w:sz w:val="20"/>
          <w:szCs w:val="20"/>
        </w:rPr>
        <w:t>改等问题。</w:t>
      </w:r>
    </w:p>
    <w:p w14:paraId="525B7337">
      <w:pPr>
        <w:pStyle w:val="2"/>
        <w:spacing w:before="16" w:line="281" w:lineRule="auto"/>
        <w:ind w:right="332" w:firstLine="430"/>
        <w:jc w:val="both"/>
        <w:rPr>
          <w:sz w:val="20"/>
          <w:szCs w:val="20"/>
        </w:rPr>
      </w:pPr>
      <w:r>
        <w:rPr>
          <w:spacing w:val="8"/>
          <w:sz w:val="20"/>
          <w:szCs w:val="20"/>
        </w:rPr>
        <w:t>数字签名(又称公钥数字签名、电子签章)是一种类似写</w:t>
      </w:r>
      <w:r>
        <w:rPr>
          <w:spacing w:val="7"/>
          <w:sz w:val="20"/>
          <w:szCs w:val="20"/>
        </w:rPr>
        <w:t>在纸上的普通的物理签名，但是</w:t>
      </w:r>
      <w:r>
        <w:rPr>
          <w:sz w:val="20"/>
          <w:szCs w:val="20"/>
        </w:rPr>
        <w:t xml:space="preserve"> </w:t>
      </w:r>
      <w:r>
        <w:rPr>
          <w:spacing w:val="1"/>
          <w:sz w:val="20"/>
          <w:szCs w:val="20"/>
        </w:rPr>
        <w:t>使用了公钥加密领域的技术实现的，用于鉴别数字信息的方</w:t>
      </w:r>
      <w:r>
        <w:rPr>
          <w:sz w:val="20"/>
          <w:szCs w:val="20"/>
        </w:rPr>
        <w:t xml:space="preserve">法。 一套数字签名通常定义两种互 </w:t>
      </w:r>
      <w:r>
        <w:rPr>
          <w:spacing w:val="4"/>
          <w:sz w:val="20"/>
          <w:szCs w:val="20"/>
        </w:rPr>
        <w:t>补的运算，一个用于签名，另一个用于验证。</w:t>
      </w:r>
      <w:r>
        <w:rPr>
          <w:spacing w:val="3"/>
          <w:sz w:val="20"/>
          <w:szCs w:val="20"/>
        </w:rPr>
        <w:t>数字签名不是指把签名扫描成数字图像，或者用</w:t>
      </w:r>
      <w:r>
        <w:rPr>
          <w:sz w:val="20"/>
          <w:szCs w:val="20"/>
        </w:rPr>
        <w:t xml:space="preserve"> </w:t>
      </w:r>
      <w:r>
        <w:rPr>
          <w:spacing w:val="3"/>
          <w:sz w:val="20"/>
          <w:szCs w:val="20"/>
        </w:rPr>
        <w:t>触摸板获取的签名，更不是个人的落款。经过数字签名的文件，其完整性是很容易验证的，而</w:t>
      </w:r>
      <w:r>
        <w:rPr>
          <w:spacing w:val="5"/>
          <w:sz w:val="20"/>
          <w:szCs w:val="20"/>
        </w:rPr>
        <w:t xml:space="preserve"> </w:t>
      </w:r>
      <w:r>
        <w:rPr>
          <w:spacing w:val="-1"/>
          <w:sz w:val="20"/>
          <w:szCs w:val="20"/>
        </w:rPr>
        <w:t>且具有不可抵赖性，不需要骑缝章、骑缝签名，也不需要笔迹专家</w:t>
      </w:r>
      <w:r>
        <w:rPr>
          <w:spacing w:val="-2"/>
          <w:sz w:val="20"/>
          <w:szCs w:val="20"/>
        </w:rPr>
        <w:t>来验证。</w:t>
      </w:r>
    </w:p>
    <w:p w14:paraId="515F84D1">
      <w:pPr>
        <w:pStyle w:val="2"/>
        <w:spacing w:before="36" w:line="294" w:lineRule="auto"/>
        <w:ind w:right="338" w:firstLine="430"/>
        <w:jc w:val="both"/>
        <w:rPr>
          <w:sz w:val="20"/>
          <w:szCs w:val="20"/>
        </w:rPr>
      </w:pPr>
      <w:r>
        <w:rPr>
          <w:spacing w:val="7"/>
          <w:sz w:val="20"/>
          <w:szCs w:val="20"/>
        </w:rPr>
        <w:t>数字签名一般采用非对称加密技术(例如</w:t>
      </w:r>
      <w:r>
        <w:rPr>
          <w:rFonts w:ascii="Times New Roman" w:hAnsi="Times New Roman" w:eastAsia="Times New Roman" w:cs="Times New Roman"/>
          <w:sz w:val="20"/>
          <w:szCs w:val="20"/>
        </w:rPr>
        <w:t>RSA</w:t>
      </w:r>
      <w:r>
        <w:rPr>
          <w:rFonts w:ascii="Times New Roman" w:hAnsi="Times New Roman" w:eastAsia="Times New Roman" w:cs="Times New Roman"/>
          <w:spacing w:val="7"/>
          <w:sz w:val="20"/>
          <w:szCs w:val="20"/>
        </w:rPr>
        <w:t xml:space="preserve">),    </w:t>
      </w:r>
      <w:r>
        <w:rPr>
          <w:spacing w:val="7"/>
          <w:sz w:val="20"/>
          <w:szCs w:val="20"/>
        </w:rPr>
        <w:t xml:space="preserve">通过对整个明文进行某种变换，得到一 </w:t>
      </w:r>
      <w:r>
        <w:rPr>
          <w:spacing w:val="3"/>
          <w:sz w:val="20"/>
          <w:szCs w:val="20"/>
        </w:rPr>
        <w:t>个值，作为核实签名、确认身份的技术手段之一。接收者使用发送者的公开密钥对</w:t>
      </w:r>
      <w:r>
        <w:rPr>
          <w:spacing w:val="2"/>
          <w:sz w:val="20"/>
          <w:szCs w:val="20"/>
        </w:rPr>
        <w:t>签名进行解</w:t>
      </w:r>
      <w:r>
        <w:rPr>
          <w:sz w:val="20"/>
          <w:szCs w:val="20"/>
        </w:rPr>
        <w:t xml:space="preserve"> </w:t>
      </w:r>
      <w:r>
        <w:rPr>
          <w:spacing w:val="3"/>
          <w:sz w:val="20"/>
          <w:szCs w:val="20"/>
        </w:rPr>
        <w:t>密运算，如其结果为明文，则签名有效，证明对方的身份是真实的。当然，签名也可以采用多</w:t>
      </w:r>
      <w:r>
        <w:rPr>
          <w:spacing w:val="14"/>
          <w:sz w:val="20"/>
          <w:szCs w:val="20"/>
        </w:rPr>
        <w:t xml:space="preserve"> </w:t>
      </w:r>
      <w:r>
        <w:rPr>
          <w:spacing w:val="-1"/>
          <w:sz w:val="20"/>
          <w:szCs w:val="20"/>
        </w:rPr>
        <w:t>种方式，例如将签名附在明文之后。数字签名普遍用于银行、电子</w:t>
      </w:r>
      <w:r>
        <w:rPr>
          <w:spacing w:val="-2"/>
          <w:sz w:val="20"/>
          <w:szCs w:val="20"/>
        </w:rPr>
        <w:t>贸易等。</w:t>
      </w:r>
    </w:p>
    <w:p w14:paraId="24CA832A">
      <w:pPr>
        <w:pStyle w:val="2"/>
        <w:spacing w:before="19" w:line="287" w:lineRule="auto"/>
        <w:ind w:right="329" w:firstLine="430"/>
        <w:jc w:val="both"/>
        <w:rPr>
          <w:sz w:val="20"/>
          <w:szCs w:val="20"/>
        </w:rPr>
      </w:pPr>
      <w:r>
        <w:rPr>
          <w:spacing w:val="3"/>
          <w:sz w:val="20"/>
          <w:szCs w:val="20"/>
        </w:rPr>
        <w:t>数字签名不同于手写签字：数字签名随文本的变化而变化，手写签字反映某个人的个</w:t>
      </w:r>
      <w:r>
        <w:rPr>
          <w:spacing w:val="2"/>
          <w:sz w:val="20"/>
          <w:szCs w:val="20"/>
        </w:rPr>
        <w:t>性特</w:t>
      </w:r>
      <w:r>
        <w:rPr>
          <w:sz w:val="20"/>
          <w:szCs w:val="20"/>
        </w:rPr>
        <w:t xml:space="preserve"> </w:t>
      </w:r>
      <w:r>
        <w:rPr>
          <w:spacing w:val="3"/>
          <w:sz w:val="20"/>
          <w:szCs w:val="20"/>
        </w:rPr>
        <w:t>征，是不变的；数字签名与文本信息是不可分割的，而手写签字是附加在文本之后的，与文本</w:t>
      </w:r>
      <w:r>
        <w:rPr>
          <w:spacing w:val="5"/>
          <w:sz w:val="20"/>
          <w:szCs w:val="20"/>
        </w:rPr>
        <w:t xml:space="preserve"> </w:t>
      </w:r>
      <w:r>
        <w:rPr>
          <w:spacing w:val="-5"/>
          <w:sz w:val="20"/>
          <w:szCs w:val="20"/>
        </w:rPr>
        <w:t>信息是分离的。</w:t>
      </w:r>
    </w:p>
    <w:p w14:paraId="4E082858">
      <w:pPr>
        <w:pStyle w:val="2"/>
        <w:spacing w:before="7" w:line="301" w:lineRule="auto"/>
        <w:ind w:right="343" w:firstLine="430"/>
        <w:rPr>
          <w:sz w:val="20"/>
          <w:szCs w:val="20"/>
        </w:rPr>
      </w:pPr>
      <w:r>
        <w:rPr>
          <w:spacing w:val="3"/>
          <w:sz w:val="20"/>
          <w:szCs w:val="20"/>
        </w:rPr>
        <w:t>密码技术是网络安全最有效的技术之一。一个加密网络</w:t>
      </w:r>
      <w:r>
        <w:rPr>
          <w:spacing w:val="2"/>
          <w:sz w:val="20"/>
          <w:szCs w:val="20"/>
        </w:rPr>
        <w:t>不但可以防止非授权用户搭线窃听</w:t>
      </w:r>
      <w:r>
        <w:rPr>
          <w:sz w:val="20"/>
          <w:szCs w:val="20"/>
        </w:rPr>
        <w:t xml:space="preserve"> </w:t>
      </w:r>
      <w:r>
        <w:rPr>
          <w:spacing w:val="-1"/>
          <w:sz w:val="20"/>
          <w:szCs w:val="20"/>
        </w:rPr>
        <w:t>和入网，而且也是对付恶意软件的有效方法之一。</w:t>
      </w:r>
    </w:p>
    <w:p w14:paraId="09104780">
      <w:pPr>
        <w:spacing w:line="357" w:lineRule="auto"/>
        <w:rPr>
          <w:rFonts w:ascii="Arial"/>
          <w:sz w:val="21"/>
        </w:rPr>
      </w:pPr>
    </w:p>
    <w:p w14:paraId="1986E188">
      <w:pPr>
        <w:pStyle w:val="2"/>
        <w:spacing w:before="65" w:line="221" w:lineRule="auto"/>
        <w:ind w:left="2"/>
        <w:rPr>
          <w:rFonts w:ascii="黑体" w:hAnsi="黑体" w:eastAsia="黑体" w:cs="黑体"/>
          <w:sz w:val="20"/>
          <w:szCs w:val="20"/>
        </w:rPr>
      </w:pPr>
      <w:r>
        <w:rPr>
          <w:b/>
          <w:bCs/>
          <w:color w:val="0058CC"/>
          <w:spacing w:val="-7"/>
          <w:sz w:val="20"/>
          <w:szCs w:val="20"/>
        </w:rPr>
        <w:t>6.4</w:t>
      </w:r>
      <w:r>
        <w:rPr>
          <w:color w:val="0058CC"/>
          <w:spacing w:val="26"/>
          <w:sz w:val="20"/>
          <w:szCs w:val="20"/>
        </w:rPr>
        <w:t xml:space="preserve">   </w:t>
      </w:r>
      <w:r>
        <w:rPr>
          <w:rFonts w:ascii="黑体" w:hAnsi="黑体" w:eastAsia="黑体" w:cs="黑体"/>
          <w:b/>
          <w:bCs/>
          <w:color w:val="0058CC"/>
          <w:spacing w:val="-7"/>
          <w:sz w:val="20"/>
          <w:szCs w:val="20"/>
        </w:rPr>
        <w:t>网</w:t>
      </w:r>
      <w:r>
        <w:rPr>
          <w:rFonts w:ascii="黑体" w:hAnsi="黑体" w:eastAsia="黑体" w:cs="黑体"/>
          <w:color w:val="0058CC"/>
          <w:spacing w:val="-7"/>
          <w:sz w:val="20"/>
          <w:szCs w:val="20"/>
        </w:rPr>
        <w:t xml:space="preserve"> </w:t>
      </w:r>
      <w:r>
        <w:rPr>
          <w:rFonts w:ascii="黑体" w:hAnsi="黑体" w:eastAsia="黑体" w:cs="黑体"/>
          <w:b/>
          <w:bCs/>
          <w:color w:val="0058CC"/>
          <w:spacing w:val="-7"/>
          <w:sz w:val="20"/>
          <w:szCs w:val="20"/>
        </w:rPr>
        <w:t>络</w:t>
      </w:r>
      <w:r>
        <w:rPr>
          <w:rFonts w:ascii="黑体" w:hAnsi="黑体" w:eastAsia="黑体" w:cs="黑体"/>
          <w:color w:val="0058CC"/>
          <w:spacing w:val="-7"/>
          <w:sz w:val="20"/>
          <w:szCs w:val="20"/>
        </w:rPr>
        <w:t xml:space="preserve"> </w:t>
      </w:r>
      <w:r>
        <w:rPr>
          <w:rFonts w:ascii="黑体" w:hAnsi="黑体" w:eastAsia="黑体" w:cs="黑体"/>
          <w:b/>
          <w:bCs/>
          <w:color w:val="0058CC"/>
          <w:spacing w:val="-7"/>
          <w:sz w:val="20"/>
          <w:szCs w:val="20"/>
        </w:rPr>
        <w:t>安</w:t>
      </w:r>
      <w:r>
        <w:rPr>
          <w:rFonts w:ascii="黑体" w:hAnsi="黑体" w:eastAsia="黑体" w:cs="黑体"/>
          <w:color w:val="0058CC"/>
          <w:spacing w:val="2"/>
          <w:sz w:val="20"/>
          <w:szCs w:val="20"/>
        </w:rPr>
        <w:t xml:space="preserve"> </w:t>
      </w:r>
      <w:r>
        <w:rPr>
          <w:rFonts w:ascii="黑体" w:hAnsi="黑体" w:eastAsia="黑体" w:cs="黑体"/>
          <w:b/>
          <w:bCs/>
          <w:color w:val="0058CC"/>
          <w:spacing w:val="-7"/>
          <w:sz w:val="20"/>
          <w:szCs w:val="20"/>
        </w:rPr>
        <w:t>全</w:t>
      </w:r>
      <w:r>
        <w:rPr>
          <w:rFonts w:ascii="黑体" w:hAnsi="黑体" w:eastAsia="黑体" w:cs="黑体"/>
          <w:color w:val="0058CC"/>
          <w:spacing w:val="-7"/>
          <w:sz w:val="20"/>
          <w:szCs w:val="20"/>
        </w:rPr>
        <w:t xml:space="preserve"> </w:t>
      </w:r>
      <w:r>
        <w:rPr>
          <w:rFonts w:ascii="黑体" w:hAnsi="黑体" w:eastAsia="黑体" w:cs="黑体"/>
          <w:b/>
          <w:bCs/>
          <w:color w:val="0058CC"/>
          <w:spacing w:val="-7"/>
          <w:sz w:val="20"/>
          <w:szCs w:val="20"/>
        </w:rPr>
        <w:t>等</w:t>
      </w:r>
      <w:r>
        <w:rPr>
          <w:rFonts w:ascii="黑体" w:hAnsi="黑体" w:eastAsia="黑体" w:cs="黑体"/>
          <w:color w:val="0058CC"/>
          <w:spacing w:val="2"/>
          <w:sz w:val="20"/>
          <w:szCs w:val="20"/>
        </w:rPr>
        <w:t xml:space="preserve"> </w:t>
      </w:r>
      <w:r>
        <w:rPr>
          <w:rFonts w:ascii="黑体" w:hAnsi="黑体" w:eastAsia="黑体" w:cs="黑体"/>
          <w:b/>
          <w:bCs/>
          <w:color w:val="0058CC"/>
          <w:spacing w:val="-7"/>
          <w:sz w:val="20"/>
          <w:szCs w:val="20"/>
        </w:rPr>
        <w:t>级</w:t>
      </w:r>
      <w:r>
        <w:rPr>
          <w:rFonts w:ascii="黑体" w:hAnsi="黑体" w:eastAsia="黑体" w:cs="黑体"/>
          <w:color w:val="0058CC"/>
          <w:spacing w:val="-2"/>
          <w:sz w:val="20"/>
          <w:szCs w:val="20"/>
        </w:rPr>
        <w:t xml:space="preserve"> </w:t>
      </w:r>
      <w:r>
        <w:rPr>
          <w:rFonts w:ascii="黑体" w:hAnsi="黑体" w:eastAsia="黑体" w:cs="黑体"/>
          <w:b/>
          <w:bCs/>
          <w:color w:val="0058CC"/>
          <w:spacing w:val="-7"/>
          <w:sz w:val="20"/>
          <w:szCs w:val="20"/>
        </w:rPr>
        <w:t>保</w:t>
      </w:r>
      <w:r>
        <w:rPr>
          <w:rFonts w:ascii="黑体" w:hAnsi="黑体" w:eastAsia="黑体" w:cs="黑体"/>
          <w:color w:val="0058CC"/>
          <w:spacing w:val="1"/>
          <w:sz w:val="20"/>
          <w:szCs w:val="20"/>
        </w:rPr>
        <w:t xml:space="preserve"> </w:t>
      </w:r>
      <w:r>
        <w:rPr>
          <w:rFonts w:ascii="黑体" w:hAnsi="黑体" w:eastAsia="黑体" w:cs="黑体"/>
          <w:b/>
          <w:bCs/>
          <w:color w:val="0058CC"/>
          <w:spacing w:val="-7"/>
          <w:sz w:val="20"/>
          <w:szCs w:val="20"/>
        </w:rPr>
        <w:t>护</w:t>
      </w:r>
    </w:p>
    <w:p w14:paraId="10F38BE9">
      <w:pPr>
        <w:pStyle w:val="2"/>
        <w:spacing w:before="275" w:line="281" w:lineRule="auto"/>
        <w:ind w:right="345" w:firstLine="430"/>
        <w:jc w:val="both"/>
        <w:rPr>
          <w:sz w:val="20"/>
          <w:szCs w:val="20"/>
        </w:rPr>
      </w:pPr>
      <w:r>
        <w:rPr>
          <w:spacing w:val="3"/>
          <w:sz w:val="20"/>
          <w:szCs w:val="20"/>
        </w:rPr>
        <w:t>随着互联网的飞速发展和广泛应用，国家机关、社</w:t>
      </w:r>
      <w:r>
        <w:rPr>
          <w:spacing w:val="2"/>
          <w:sz w:val="20"/>
          <w:szCs w:val="20"/>
        </w:rPr>
        <w:t>会、企事业机构、团体和民众都面临着</w:t>
      </w:r>
      <w:r>
        <w:rPr>
          <w:sz w:val="20"/>
          <w:szCs w:val="20"/>
        </w:rPr>
        <w:t xml:space="preserve"> </w:t>
      </w:r>
      <w:r>
        <w:rPr>
          <w:spacing w:val="-2"/>
          <w:sz w:val="20"/>
          <w:szCs w:val="20"/>
        </w:rPr>
        <w:t>网络时代下互联网环境、信息交互等带来的信息安全防范不到位的威胁，“没有网络安全就没有</w:t>
      </w:r>
      <w:r>
        <w:rPr>
          <w:spacing w:val="13"/>
          <w:sz w:val="20"/>
          <w:szCs w:val="20"/>
        </w:rPr>
        <w:t xml:space="preserve"> </w:t>
      </w:r>
      <w:r>
        <w:rPr>
          <w:spacing w:val="-6"/>
          <w:sz w:val="20"/>
          <w:szCs w:val="20"/>
        </w:rPr>
        <w:t>国家安全”。《中华人民共和国网络安全法</w:t>
      </w:r>
      <w:r>
        <w:rPr>
          <w:spacing w:val="-7"/>
          <w:sz w:val="20"/>
          <w:szCs w:val="20"/>
        </w:rPr>
        <w:t>》《中华人民共和国密码法》《中华人民共和国保守国</w:t>
      </w:r>
      <w:r>
        <w:rPr>
          <w:sz w:val="20"/>
          <w:szCs w:val="20"/>
        </w:rPr>
        <w:t xml:space="preserve"> </w:t>
      </w:r>
      <w:r>
        <w:rPr>
          <w:spacing w:val="3"/>
          <w:sz w:val="20"/>
          <w:szCs w:val="20"/>
        </w:rPr>
        <w:t>家秘密法(修订)》等法律法规颁布执行，为承载</w:t>
      </w:r>
      <w:r>
        <w:rPr>
          <w:spacing w:val="2"/>
          <w:sz w:val="20"/>
          <w:szCs w:val="20"/>
        </w:rPr>
        <w:t>影响国计民生的重要网络信息系统的安全提供</w:t>
      </w:r>
      <w:r>
        <w:rPr>
          <w:sz w:val="20"/>
          <w:szCs w:val="20"/>
        </w:rPr>
        <w:t xml:space="preserve"> </w:t>
      </w:r>
      <w:r>
        <w:rPr>
          <w:spacing w:val="-8"/>
          <w:sz w:val="20"/>
          <w:szCs w:val="20"/>
        </w:rPr>
        <w:t>了法律保障。</w:t>
      </w:r>
    </w:p>
    <w:p w14:paraId="2380975C">
      <w:pPr>
        <w:pStyle w:val="2"/>
        <w:spacing w:before="177" w:line="219" w:lineRule="auto"/>
        <w:ind w:left="2"/>
        <w:rPr>
          <w:sz w:val="25"/>
          <w:szCs w:val="25"/>
        </w:rPr>
      </w:pPr>
      <w:r>
        <w:rPr>
          <w:b/>
          <w:bCs/>
          <w:color w:val="005FDD"/>
          <w:spacing w:val="-16"/>
          <w:sz w:val="25"/>
          <w:szCs w:val="25"/>
        </w:rPr>
        <w:t>6.4.1</w:t>
      </w:r>
      <w:r>
        <w:rPr>
          <w:color w:val="005FDD"/>
          <w:spacing w:val="-16"/>
          <w:sz w:val="25"/>
          <w:szCs w:val="25"/>
        </w:rPr>
        <w:t xml:space="preserve">  </w:t>
      </w:r>
      <w:r>
        <w:rPr>
          <w:b/>
          <w:bCs/>
          <w:color w:val="005FDD"/>
          <w:spacing w:val="-16"/>
          <w:sz w:val="25"/>
          <w:szCs w:val="25"/>
        </w:rPr>
        <w:t>网络安全等级保护定级基础</w:t>
      </w:r>
    </w:p>
    <w:p w14:paraId="0650A9B7">
      <w:pPr>
        <w:pStyle w:val="2"/>
        <w:spacing w:before="173" w:line="266" w:lineRule="auto"/>
        <w:ind w:right="320" w:firstLine="430"/>
        <w:rPr>
          <w:sz w:val="20"/>
          <w:szCs w:val="20"/>
        </w:rPr>
      </w:pPr>
      <w:r>
        <w:rPr>
          <w:spacing w:val="1"/>
          <w:sz w:val="20"/>
          <w:szCs w:val="20"/>
        </w:rPr>
        <w:t>等级保护(简称“等保”),目前指网络安全等级保护</w:t>
      </w:r>
      <w:r>
        <w:rPr>
          <w:sz w:val="20"/>
          <w:szCs w:val="20"/>
        </w:rPr>
        <w:t xml:space="preserve">。《中华人民共和国网络安全法》明确 </w:t>
      </w:r>
      <w:r>
        <w:rPr>
          <w:spacing w:val="-2"/>
          <w:sz w:val="20"/>
          <w:szCs w:val="20"/>
        </w:rPr>
        <w:t>规定，我国实行网络安全等级保护制度。</w:t>
      </w:r>
    </w:p>
    <w:p w14:paraId="1AC58AB3">
      <w:pPr>
        <w:pStyle w:val="2"/>
        <w:spacing w:before="121" w:line="221" w:lineRule="auto"/>
        <w:ind w:left="432"/>
        <w:rPr>
          <w:rFonts w:ascii="黑体" w:hAnsi="黑体" w:eastAsia="黑体" w:cs="黑体"/>
          <w:sz w:val="20"/>
          <w:szCs w:val="20"/>
        </w:rPr>
      </w:pPr>
      <w:r>
        <w:rPr>
          <w:b/>
          <w:bCs/>
          <w:color w:val="005ECA"/>
          <w:spacing w:val="-6"/>
          <w:sz w:val="20"/>
          <w:szCs w:val="20"/>
        </w:rPr>
        <w:t>1.</w:t>
      </w:r>
      <w:r>
        <w:rPr>
          <w:rFonts w:ascii="黑体" w:hAnsi="黑体" w:eastAsia="黑体" w:cs="黑体"/>
          <w:b/>
          <w:bCs/>
          <w:color w:val="005ECA"/>
          <w:spacing w:val="-6"/>
          <w:sz w:val="20"/>
          <w:szCs w:val="20"/>
        </w:rPr>
        <w:t>等保发展历程</w:t>
      </w:r>
    </w:p>
    <w:p w14:paraId="7F5DE747">
      <w:pPr>
        <w:pStyle w:val="2"/>
        <w:spacing w:before="136" w:line="219" w:lineRule="auto"/>
        <w:ind w:left="430"/>
        <w:rPr>
          <w:sz w:val="20"/>
          <w:szCs w:val="20"/>
        </w:rPr>
      </w:pPr>
      <w:r>
        <w:rPr>
          <w:spacing w:val="2"/>
          <w:sz w:val="20"/>
          <w:szCs w:val="20"/>
        </w:rPr>
        <w:t>截至目前，等保经历了两个发展历程，即等保1.0和等保2.0两个典型阶段。</w:t>
      </w:r>
    </w:p>
    <w:p w14:paraId="0E957B78">
      <w:pPr>
        <w:spacing w:before="150" w:line="226" w:lineRule="auto"/>
        <w:ind w:left="430"/>
        <w:rPr>
          <w:rFonts w:ascii="楷体" w:hAnsi="楷体" w:eastAsia="楷体" w:cs="楷体"/>
          <w:sz w:val="20"/>
          <w:szCs w:val="20"/>
        </w:rPr>
      </w:pPr>
      <w:r>
        <w:rPr>
          <w:rFonts w:ascii="楷体" w:hAnsi="楷体" w:eastAsia="楷体" w:cs="楷体"/>
          <w:spacing w:val="12"/>
          <w:sz w:val="20"/>
          <w:szCs w:val="20"/>
        </w:rPr>
        <w:t>1)等保1.0</w:t>
      </w:r>
    </w:p>
    <w:p w14:paraId="348C716F">
      <w:pPr>
        <w:pStyle w:val="2"/>
        <w:spacing w:before="45" w:line="278" w:lineRule="auto"/>
        <w:ind w:right="256" w:firstLine="430"/>
        <w:rPr>
          <w:sz w:val="20"/>
          <w:szCs w:val="20"/>
        </w:rPr>
      </w:pPr>
      <w:r>
        <w:rPr>
          <w:spacing w:val="5"/>
          <w:sz w:val="20"/>
          <w:szCs w:val="20"/>
        </w:rPr>
        <w:t>等保1.0的主要标准是：</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/T  22239</w:t>
      </w:r>
      <w:r>
        <w:rPr>
          <w:spacing w:val="5"/>
          <w:sz w:val="20"/>
          <w:szCs w:val="20"/>
        </w:rPr>
        <w:t>《信息安全技术信息系统安全等级保护基本要求》、</w:t>
      </w:r>
      <w:r>
        <w:rPr>
          <w:spacing w:val="13"/>
          <w:sz w:val="20"/>
          <w:szCs w:val="20"/>
        </w:rPr>
        <w:t xml:space="preserve"> </w:t>
      </w:r>
      <w:r>
        <w:rPr>
          <w:sz w:val="20"/>
          <w:szCs w:val="20"/>
        </w:rPr>
        <w:t>GB</w:t>
      </w:r>
      <w:r>
        <w:rPr>
          <w:spacing w:val="4"/>
          <w:sz w:val="20"/>
          <w:szCs w:val="20"/>
        </w:rPr>
        <w:t>/T</w:t>
      </w:r>
      <w:r>
        <w:rPr>
          <w:spacing w:val="69"/>
          <w:sz w:val="20"/>
          <w:szCs w:val="20"/>
        </w:rPr>
        <w:t xml:space="preserve"> </w:t>
      </w:r>
      <w:r>
        <w:rPr>
          <w:spacing w:val="4"/>
          <w:sz w:val="20"/>
          <w:szCs w:val="20"/>
        </w:rPr>
        <w:t>25070《信息安全技术信息系统等级保护安全设计要求》和</w:t>
      </w:r>
      <w:r>
        <w:rPr>
          <w:sz w:val="20"/>
          <w:szCs w:val="20"/>
        </w:rPr>
        <w:t>GB</w:t>
      </w:r>
      <w:r>
        <w:rPr>
          <w:spacing w:val="4"/>
          <w:sz w:val="20"/>
          <w:szCs w:val="20"/>
        </w:rPr>
        <w:t>/T</w:t>
      </w:r>
      <w:r>
        <w:rPr>
          <w:spacing w:val="66"/>
          <w:sz w:val="20"/>
          <w:szCs w:val="20"/>
        </w:rPr>
        <w:t xml:space="preserve"> </w:t>
      </w:r>
      <w:r>
        <w:rPr>
          <w:spacing w:val="4"/>
          <w:sz w:val="20"/>
          <w:szCs w:val="20"/>
        </w:rPr>
        <w:t>28448《信息安全技术</w:t>
      </w:r>
      <w:r>
        <w:rPr>
          <w:sz w:val="20"/>
          <w:szCs w:val="20"/>
        </w:rPr>
        <w:t xml:space="preserve">  </w:t>
      </w:r>
      <w:r>
        <w:rPr>
          <w:spacing w:val="-7"/>
          <w:sz w:val="20"/>
          <w:szCs w:val="20"/>
        </w:rPr>
        <w:t>信息系统安全等级保护测评要求》。</w:t>
      </w:r>
    </w:p>
    <w:p w14:paraId="7F2FE0A8">
      <w:pPr>
        <w:spacing w:line="278" w:lineRule="auto"/>
        <w:rPr>
          <w:sz w:val="20"/>
          <w:szCs w:val="20"/>
        </w:rPr>
        <w:sectPr>
          <w:pgSz w:w="10290" w:h="13320"/>
          <w:pgMar w:top="400" w:right="573" w:bottom="400" w:left="1040" w:header="0" w:footer="0" w:gutter="0"/>
          <w:cols w:space="720" w:num="1"/>
        </w:sectPr>
      </w:pPr>
    </w:p>
    <w:p w14:paraId="2042E844">
      <w:pPr>
        <w:pStyle w:val="2"/>
        <w:spacing w:before="58" w:line="219" w:lineRule="auto"/>
        <w:rPr>
          <w:sz w:val="20"/>
          <w:szCs w:val="20"/>
        </w:rPr>
      </w:pPr>
      <w:bookmarkStart w:id="575" w:name="bookmark560"/>
      <w:bookmarkEnd w:id="575"/>
      <w:r>
        <w:rPr>
          <w:rFonts w:ascii="Times New Roman" w:hAnsi="Times New Roman" w:eastAsia="Times New Roman" w:cs="Times New Roman"/>
          <w:spacing w:val="-2"/>
          <w:position w:val="-1"/>
          <w:sz w:val="20"/>
          <w:szCs w:val="20"/>
        </w:rPr>
        <w:t>182</w:t>
      </w:r>
      <w:r>
        <w:rPr>
          <w:rFonts w:ascii="Times New Roman" w:hAnsi="Times New Roman" w:eastAsia="Times New Roman" w:cs="Times New Roman"/>
          <w:spacing w:val="2"/>
          <w:position w:val="-1"/>
          <w:sz w:val="20"/>
          <w:szCs w:val="20"/>
        </w:rPr>
        <w:t xml:space="preserve">             </w:t>
      </w:r>
      <w:r>
        <w:rPr>
          <w:spacing w:val="-2"/>
          <w:sz w:val="20"/>
          <w:szCs w:val="20"/>
        </w:rPr>
        <w:t>信息系统监理师教程(第2版)</w:t>
      </w:r>
    </w:p>
    <w:p w14:paraId="1E07DD1E">
      <w:pPr>
        <w:spacing w:line="323" w:lineRule="auto"/>
        <w:rPr>
          <w:rFonts w:ascii="Arial"/>
          <w:sz w:val="21"/>
        </w:rPr>
      </w:pPr>
    </w:p>
    <w:p w14:paraId="5983671A">
      <w:pPr>
        <w:spacing w:before="65" w:line="226" w:lineRule="auto"/>
        <w:ind w:left="759"/>
        <w:rPr>
          <w:rFonts w:ascii="楷体" w:hAnsi="楷体" w:eastAsia="楷体" w:cs="楷体"/>
          <w:sz w:val="20"/>
          <w:szCs w:val="20"/>
        </w:rPr>
      </w:pPr>
      <w:r>
        <w:rPr>
          <w:rFonts w:ascii="楷体" w:hAnsi="楷体" w:eastAsia="楷体" w:cs="楷体"/>
          <w:spacing w:val="16"/>
          <w:sz w:val="20"/>
          <w:szCs w:val="20"/>
        </w:rPr>
        <w:t>2)等保2.0</w:t>
      </w:r>
    </w:p>
    <w:p w14:paraId="25A36251">
      <w:pPr>
        <w:pStyle w:val="2"/>
        <w:spacing w:before="75" w:line="219" w:lineRule="auto"/>
        <w:ind w:left="759"/>
        <w:rPr>
          <w:sz w:val="20"/>
          <w:szCs w:val="20"/>
        </w:rPr>
      </w:pPr>
      <w:r>
        <w:rPr>
          <w:spacing w:val="11"/>
          <w:sz w:val="20"/>
          <w:szCs w:val="20"/>
        </w:rPr>
        <w:t>2019年5月13日，国家市场监督管理总局、国家标准化管</w:t>
      </w:r>
      <w:r>
        <w:rPr>
          <w:spacing w:val="10"/>
          <w:sz w:val="20"/>
          <w:szCs w:val="20"/>
        </w:rPr>
        <w:t>理委员会发布了三个网络安全</w:t>
      </w:r>
    </w:p>
    <w:p w14:paraId="1E71556F">
      <w:pPr>
        <w:pStyle w:val="2"/>
        <w:spacing w:before="84" w:line="284" w:lineRule="auto"/>
        <w:ind w:left="359" w:right="60"/>
        <w:jc w:val="both"/>
        <w:rPr>
          <w:sz w:val="20"/>
          <w:szCs w:val="20"/>
        </w:rPr>
      </w:pPr>
      <w:r>
        <w:rPr>
          <w:spacing w:val="-3"/>
          <w:sz w:val="20"/>
          <w:szCs w:val="20"/>
        </w:rPr>
        <w:t>领域的国家标准，即</w:t>
      </w:r>
      <w:r>
        <w:rPr>
          <w:rFonts w:ascii="Times New Roman" w:hAnsi="Times New Roman" w:eastAsia="Times New Roman" w:cs="Times New Roman"/>
          <w:spacing w:val="-3"/>
          <w:sz w:val="20"/>
          <w:szCs w:val="20"/>
        </w:rPr>
        <w:t>GB/T</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3"/>
          <w:sz w:val="20"/>
          <w:szCs w:val="20"/>
        </w:rPr>
        <w:t>22239</w:t>
      </w:r>
      <w:r>
        <w:rPr>
          <w:spacing w:val="-3"/>
          <w:sz w:val="20"/>
          <w:szCs w:val="20"/>
        </w:rPr>
        <w:t>《信息安全技术网络安全等级保护基本要求》</w:t>
      </w:r>
      <w:r>
        <w:rPr>
          <w:spacing w:val="-4"/>
          <w:sz w:val="20"/>
          <w:szCs w:val="20"/>
        </w:rPr>
        <w:t>、</w:t>
      </w:r>
      <w:r>
        <w:rPr>
          <w:rFonts w:ascii="Times New Roman" w:hAnsi="Times New Roman" w:eastAsia="Times New Roman" w:cs="Times New Roman"/>
          <w:spacing w:val="-4"/>
          <w:sz w:val="20"/>
          <w:szCs w:val="20"/>
        </w:rPr>
        <w:t>GB/T</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4"/>
          <w:sz w:val="20"/>
          <w:szCs w:val="20"/>
        </w:rPr>
        <w:t>25070</w:t>
      </w:r>
      <w:r>
        <w:rPr>
          <w:spacing w:val="-4"/>
          <w:sz w:val="20"/>
          <w:szCs w:val="20"/>
        </w:rPr>
        <w:t>《信</w:t>
      </w:r>
      <w:r>
        <w:rPr>
          <w:sz w:val="20"/>
          <w:szCs w:val="20"/>
        </w:rPr>
        <w:t xml:space="preserve"> </w:t>
      </w:r>
      <w:r>
        <w:rPr>
          <w:spacing w:val="6"/>
          <w:sz w:val="20"/>
          <w:szCs w:val="20"/>
        </w:rPr>
        <w:t>息安全技术网络安全等级保护安全设计技术要求》和</w:t>
      </w:r>
      <w:r>
        <w:rPr>
          <w:rFonts w:ascii="Times New Roman" w:hAnsi="Times New Roman" w:eastAsia="Times New Roman" w:cs="Times New Roman"/>
          <w:sz w:val="20"/>
          <w:szCs w:val="20"/>
        </w:rPr>
        <w:t>GB</w:t>
      </w:r>
      <w:r>
        <w:rPr>
          <w:rFonts w:ascii="Times New Roman" w:hAnsi="Times New Roman" w:eastAsia="Times New Roman" w:cs="Times New Roman"/>
          <w:spacing w:val="6"/>
          <w:sz w:val="20"/>
          <w:szCs w:val="20"/>
        </w:rPr>
        <w:t>/T  28448</w:t>
      </w:r>
      <w:r>
        <w:rPr>
          <w:spacing w:val="6"/>
          <w:sz w:val="20"/>
          <w:szCs w:val="20"/>
        </w:rPr>
        <w:t>《信息安全技术网络安全等</w:t>
      </w:r>
      <w:r>
        <w:rPr>
          <w:spacing w:val="18"/>
          <w:sz w:val="20"/>
          <w:szCs w:val="20"/>
        </w:rPr>
        <w:t xml:space="preserve"> </w:t>
      </w:r>
      <w:r>
        <w:rPr>
          <w:spacing w:val="9"/>
          <w:sz w:val="20"/>
          <w:szCs w:val="20"/>
        </w:rPr>
        <w:t>级保护测评要求》,于2019年12月1日起实施，标志着我国</w:t>
      </w:r>
      <w:r>
        <w:rPr>
          <w:spacing w:val="8"/>
          <w:sz w:val="20"/>
          <w:szCs w:val="20"/>
        </w:rPr>
        <w:t>进入等保2.0时代。</w:t>
      </w:r>
    </w:p>
    <w:p w14:paraId="0E2754B1">
      <w:pPr>
        <w:pStyle w:val="2"/>
        <w:spacing w:before="132" w:line="221" w:lineRule="auto"/>
        <w:ind w:left="762"/>
        <w:rPr>
          <w:rFonts w:ascii="黑体" w:hAnsi="黑体" w:eastAsia="黑体" w:cs="黑体"/>
          <w:sz w:val="20"/>
          <w:szCs w:val="20"/>
        </w:rPr>
      </w:pPr>
      <w:r>
        <w:rPr>
          <w:b/>
          <w:bCs/>
          <w:color w:val="0079E4"/>
          <w:spacing w:val="1"/>
          <w:sz w:val="20"/>
          <w:szCs w:val="20"/>
        </w:rPr>
        <w:t>2.</w:t>
      </w:r>
      <w:r>
        <w:rPr>
          <w:rFonts w:ascii="黑体" w:hAnsi="黑体" w:eastAsia="黑体" w:cs="黑体"/>
          <w:b/>
          <w:bCs/>
          <w:color w:val="0079E4"/>
          <w:spacing w:val="1"/>
          <w:sz w:val="20"/>
          <w:szCs w:val="20"/>
        </w:rPr>
        <w:t>等保分级</w:t>
      </w:r>
    </w:p>
    <w:p w14:paraId="4A8D9AA4">
      <w:pPr>
        <w:pStyle w:val="2"/>
        <w:spacing w:before="123" w:line="287" w:lineRule="auto"/>
        <w:ind w:left="359" w:firstLine="399"/>
        <w:jc w:val="both"/>
        <w:rPr>
          <w:sz w:val="20"/>
          <w:szCs w:val="20"/>
        </w:rPr>
      </w:pPr>
      <w:r>
        <w:rPr>
          <w:spacing w:val="5"/>
          <w:sz w:val="20"/>
          <w:szCs w:val="20"/>
        </w:rPr>
        <w:t>根据等级保护对象在国家安全、经济建设、社会生</w:t>
      </w:r>
      <w:r>
        <w:rPr>
          <w:spacing w:val="4"/>
          <w:sz w:val="20"/>
          <w:szCs w:val="20"/>
        </w:rPr>
        <w:t>活中的重要程度，以及一旦遭到破坏、</w:t>
      </w:r>
      <w:r>
        <w:rPr>
          <w:sz w:val="20"/>
          <w:szCs w:val="20"/>
        </w:rPr>
        <w:t xml:space="preserve"> 丧失功能或者数据被篡改、泄露、丢失、损毁后，对国家安全、社会秩序、公共利益以及公民、 </w:t>
      </w:r>
      <w:r>
        <w:rPr>
          <w:spacing w:val="-1"/>
          <w:sz w:val="20"/>
          <w:szCs w:val="20"/>
        </w:rPr>
        <w:t>法人和其他组织的合法权益的侵害程度等因素，等级保护对象</w:t>
      </w:r>
      <w:r>
        <w:rPr>
          <w:spacing w:val="-2"/>
          <w:sz w:val="20"/>
          <w:szCs w:val="20"/>
        </w:rPr>
        <w:t>的安全保护等级分为以下五级：</w:t>
      </w:r>
    </w:p>
    <w:p w14:paraId="7BAC4C7B">
      <w:pPr>
        <w:pStyle w:val="2"/>
        <w:spacing w:before="18" w:line="262" w:lineRule="auto"/>
        <w:ind w:left="359" w:right="88" w:firstLine="399"/>
        <w:rPr>
          <w:sz w:val="20"/>
          <w:szCs w:val="20"/>
        </w:rPr>
      </w:pPr>
      <w:r>
        <w:rPr>
          <w:spacing w:val="5"/>
          <w:sz w:val="20"/>
          <w:szCs w:val="20"/>
        </w:rPr>
        <w:t>(1)第一级，自主保护级。指等级保护对象受到破坏后，会对相关公民、法人和其他组织</w:t>
      </w:r>
      <w:r>
        <w:rPr>
          <w:spacing w:val="10"/>
          <w:sz w:val="20"/>
          <w:szCs w:val="20"/>
        </w:rPr>
        <w:t xml:space="preserve"> </w:t>
      </w:r>
      <w:r>
        <w:rPr>
          <w:spacing w:val="-2"/>
          <w:sz w:val="20"/>
          <w:szCs w:val="20"/>
        </w:rPr>
        <w:t>的合法权益造成损害，但不危害国家安全、社会秩序和公共利益。</w:t>
      </w:r>
    </w:p>
    <w:p w14:paraId="1BFFF55F">
      <w:pPr>
        <w:pStyle w:val="2"/>
        <w:spacing w:before="62" w:line="271" w:lineRule="auto"/>
        <w:ind w:left="359" w:right="79" w:firstLine="399"/>
        <w:rPr>
          <w:sz w:val="20"/>
          <w:szCs w:val="20"/>
        </w:rPr>
      </w:pPr>
      <w:r>
        <w:rPr>
          <w:spacing w:val="5"/>
          <w:sz w:val="20"/>
          <w:szCs w:val="20"/>
        </w:rPr>
        <w:t>(2)第二级，指导保护级。指等级保护对象受到破坏后，会对相关公民、法人和其他组织</w:t>
      </w:r>
      <w:r>
        <w:rPr>
          <w:spacing w:val="10"/>
          <w:sz w:val="20"/>
          <w:szCs w:val="20"/>
        </w:rPr>
        <w:t xml:space="preserve"> </w:t>
      </w:r>
      <w:r>
        <w:rPr>
          <w:spacing w:val="3"/>
          <w:sz w:val="20"/>
          <w:szCs w:val="20"/>
        </w:rPr>
        <w:t>的合法权益造成严重损害或特别严重损害，或者对社会秩序和公共利益造成危害，但</w:t>
      </w:r>
      <w:r>
        <w:rPr>
          <w:spacing w:val="2"/>
          <w:sz w:val="20"/>
          <w:szCs w:val="20"/>
        </w:rPr>
        <w:t>不危害国</w:t>
      </w:r>
      <w:r>
        <w:rPr>
          <w:sz w:val="20"/>
          <w:szCs w:val="20"/>
        </w:rPr>
        <w:t xml:space="preserve"> </w:t>
      </w:r>
      <w:r>
        <w:rPr>
          <w:spacing w:val="-2"/>
          <w:sz w:val="20"/>
          <w:szCs w:val="20"/>
        </w:rPr>
        <w:t>家安全。</w:t>
      </w:r>
    </w:p>
    <w:p w14:paraId="3B74E6BC">
      <w:pPr>
        <w:pStyle w:val="2"/>
        <w:spacing w:before="71" w:line="258" w:lineRule="auto"/>
        <w:ind w:left="359" w:right="91" w:firstLine="399"/>
        <w:rPr>
          <w:sz w:val="20"/>
          <w:szCs w:val="20"/>
        </w:rPr>
      </w:pPr>
      <w:r>
        <w:rPr>
          <w:spacing w:val="5"/>
          <w:sz w:val="20"/>
          <w:szCs w:val="20"/>
        </w:rPr>
        <w:t>(3)第三级，监督保护级。指等级保护对象受到破坏后，会对社会秩序和公共利益造成严</w:t>
      </w:r>
      <w:r>
        <w:rPr>
          <w:spacing w:val="7"/>
          <w:sz w:val="20"/>
          <w:szCs w:val="20"/>
        </w:rPr>
        <w:t xml:space="preserve"> </w:t>
      </w:r>
      <w:r>
        <w:rPr>
          <w:spacing w:val="-3"/>
          <w:sz w:val="20"/>
          <w:szCs w:val="20"/>
        </w:rPr>
        <w:t>重危害，或者对国家安全造成危害。</w:t>
      </w:r>
    </w:p>
    <w:p w14:paraId="24AFCC6A">
      <w:pPr>
        <w:pStyle w:val="2"/>
        <w:spacing w:before="71" w:line="258" w:lineRule="auto"/>
        <w:ind w:left="359" w:right="92" w:firstLine="399"/>
        <w:rPr>
          <w:sz w:val="20"/>
          <w:szCs w:val="20"/>
        </w:rPr>
      </w:pPr>
      <w:r>
        <w:rPr>
          <w:spacing w:val="5"/>
          <w:sz w:val="20"/>
          <w:szCs w:val="20"/>
        </w:rPr>
        <w:t>(4)第四级，强制保护级。指等级保护对象受到破坏后，会对社会秩序和公共利益造成特</w:t>
      </w:r>
      <w:r>
        <w:rPr>
          <w:spacing w:val="6"/>
          <w:sz w:val="20"/>
          <w:szCs w:val="20"/>
        </w:rPr>
        <w:t xml:space="preserve"> </w:t>
      </w:r>
      <w:r>
        <w:rPr>
          <w:spacing w:val="-2"/>
          <w:sz w:val="20"/>
          <w:szCs w:val="20"/>
        </w:rPr>
        <w:t>别严重危害，或者对国家安全造成严重危害。</w:t>
      </w:r>
    </w:p>
    <w:p w14:paraId="358063B0">
      <w:pPr>
        <w:pStyle w:val="2"/>
        <w:spacing w:before="80" w:line="219" w:lineRule="auto"/>
        <w:ind w:left="759"/>
        <w:rPr>
          <w:sz w:val="20"/>
          <w:szCs w:val="20"/>
        </w:rPr>
      </w:pPr>
      <w:r>
        <w:rPr>
          <w:spacing w:val="1"/>
          <w:sz w:val="20"/>
          <w:szCs w:val="20"/>
        </w:rPr>
        <w:t>(5)第五级，专控保护级。指等级保护对象受到破坏后，会对国家安全造成特别严重危害。</w:t>
      </w:r>
    </w:p>
    <w:p w14:paraId="207AB9E7">
      <w:pPr>
        <w:pStyle w:val="2"/>
        <w:spacing w:before="161" w:line="222" w:lineRule="auto"/>
        <w:ind w:left="762"/>
        <w:rPr>
          <w:rFonts w:ascii="黑体" w:hAnsi="黑体" w:eastAsia="黑体" w:cs="黑体"/>
          <w:sz w:val="20"/>
          <w:szCs w:val="20"/>
        </w:rPr>
      </w:pPr>
      <w:r>
        <w:rPr>
          <w:b/>
          <w:bCs/>
          <w:color w:val="0069C6"/>
          <w:spacing w:val="7"/>
          <w:sz w:val="20"/>
          <w:szCs w:val="20"/>
        </w:rPr>
        <w:t>3.</w:t>
      </w:r>
      <w:r>
        <w:rPr>
          <w:rFonts w:ascii="黑体" w:hAnsi="黑体" w:eastAsia="黑体" w:cs="黑体"/>
          <w:b/>
          <w:bCs/>
          <w:color w:val="0069C6"/>
          <w:spacing w:val="7"/>
          <w:sz w:val="20"/>
          <w:szCs w:val="20"/>
        </w:rPr>
        <w:t>等保1.0与等保2.0的主要差异</w:t>
      </w:r>
    </w:p>
    <w:p w14:paraId="3C726364">
      <w:pPr>
        <w:pStyle w:val="2"/>
        <w:spacing w:before="142" w:line="219" w:lineRule="auto"/>
        <w:ind w:left="759"/>
        <w:rPr>
          <w:sz w:val="20"/>
          <w:szCs w:val="20"/>
        </w:rPr>
      </w:pPr>
      <w:r>
        <w:rPr>
          <w:spacing w:val="2"/>
          <w:sz w:val="20"/>
          <w:szCs w:val="20"/>
        </w:rPr>
        <w:t>等保1.0与等保2.0的差异主要体现在：</w:t>
      </w:r>
    </w:p>
    <w:p w14:paraId="00E08339">
      <w:pPr>
        <w:pStyle w:val="2"/>
        <w:spacing w:before="103" w:line="219" w:lineRule="auto"/>
        <w:ind w:left="759"/>
        <w:rPr>
          <w:sz w:val="20"/>
          <w:szCs w:val="20"/>
        </w:rPr>
      </w:pPr>
      <w:r>
        <w:rPr>
          <w:spacing w:val="-8"/>
          <w:sz w:val="20"/>
          <w:szCs w:val="20"/>
        </w:rPr>
        <w:t>●保护对象和名称有调整，等保1.0为信息系统安全等级保护，等保2.0为网络</w:t>
      </w:r>
      <w:r>
        <w:rPr>
          <w:spacing w:val="-9"/>
          <w:sz w:val="20"/>
          <w:szCs w:val="20"/>
        </w:rPr>
        <w:t>安全等级保护；</w:t>
      </w:r>
    </w:p>
    <w:p w14:paraId="1220A302">
      <w:pPr>
        <w:pStyle w:val="2"/>
        <w:spacing w:before="63" w:line="219" w:lineRule="auto"/>
        <w:ind w:left="759"/>
        <w:rPr>
          <w:sz w:val="20"/>
          <w:szCs w:val="20"/>
        </w:rPr>
      </w:pPr>
      <w:r>
        <w:rPr>
          <w:spacing w:val="5"/>
          <w:sz w:val="20"/>
          <w:szCs w:val="20"/>
        </w:rPr>
        <w:t>●等保2.0的保护对象较等保1.0扩大了保护范围；</w:t>
      </w:r>
    </w:p>
    <w:p w14:paraId="41ECDEDC">
      <w:pPr>
        <w:pStyle w:val="2"/>
        <w:spacing w:before="90" w:line="216" w:lineRule="auto"/>
        <w:ind w:left="759"/>
        <w:rPr>
          <w:sz w:val="20"/>
          <w:szCs w:val="20"/>
        </w:rPr>
      </w:pPr>
      <w:r>
        <w:rPr>
          <w:spacing w:val="5"/>
          <w:sz w:val="20"/>
          <w:szCs w:val="20"/>
        </w:rPr>
        <w:t>●相比等保1.0,等保2.0进一步加强了等级保护基本要求；</w:t>
      </w:r>
    </w:p>
    <w:p w14:paraId="3E00B139">
      <w:pPr>
        <w:pStyle w:val="2"/>
        <w:spacing w:before="99" w:line="257" w:lineRule="auto"/>
        <w:ind w:left="759" w:right="2260"/>
        <w:rPr>
          <w:sz w:val="20"/>
          <w:szCs w:val="20"/>
        </w:rPr>
      </w:pPr>
      <w:r>
        <w:rPr>
          <w:spacing w:val="4"/>
          <w:sz w:val="20"/>
          <w:szCs w:val="20"/>
        </w:rPr>
        <w:t>●等保2.0对等保1.0的保护内容进行了适当扩容、完善和调整。</w:t>
      </w:r>
      <w:r>
        <w:rPr>
          <w:spacing w:val="14"/>
          <w:sz w:val="20"/>
          <w:szCs w:val="20"/>
        </w:rPr>
        <w:t xml:space="preserve"> </w:t>
      </w:r>
      <w:r>
        <w:rPr>
          <w:spacing w:val="1"/>
          <w:sz w:val="20"/>
          <w:szCs w:val="20"/>
        </w:rPr>
        <w:t>两者的具体差异如表6-1所示。</w:t>
      </w:r>
    </w:p>
    <w:p w14:paraId="757125D8">
      <w:pPr>
        <w:spacing w:before="140" w:line="222" w:lineRule="auto"/>
        <w:ind w:left="2972"/>
        <w:rPr>
          <w:rFonts w:ascii="黑体" w:hAnsi="黑体" w:eastAsia="黑体" w:cs="黑体"/>
          <w:sz w:val="20"/>
          <w:szCs w:val="20"/>
        </w:rPr>
      </w:pPr>
      <w:r>
        <w:rPr>
          <w:rFonts w:ascii="黑体" w:hAnsi="黑体" w:eastAsia="黑体" w:cs="黑体"/>
          <w:b/>
          <w:bCs/>
          <w:spacing w:val="-9"/>
          <w:sz w:val="20"/>
          <w:szCs w:val="20"/>
        </w:rPr>
        <w:t>表6-1</w:t>
      </w:r>
      <w:r>
        <w:rPr>
          <w:rFonts w:ascii="黑体" w:hAnsi="黑体" w:eastAsia="黑体" w:cs="黑体"/>
          <w:spacing w:val="72"/>
          <w:sz w:val="20"/>
          <w:szCs w:val="20"/>
        </w:rPr>
        <w:t xml:space="preserve"> </w:t>
      </w:r>
      <w:r>
        <w:rPr>
          <w:rFonts w:ascii="黑体" w:hAnsi="黑体" w:eastAsia="黑体" w:cs="黑体"/>
          <w:b/>
          <w:bCs/>
          <w:spacing w:val="-9"/>
          <w:sz w:val="20"/>
          <w:szCs w:val="20"/>
        </w:rPr>
        <w:t>等保1.0与等保2.0的主要差异</w:t>
      </w:r>
    </w:p>
    <w:p w14:paraId="68A5E638">
      <w:pPr>
        <w:spacing w:line="119" w:lineRule="exact"/>
      </w:pPr>
    </w:p>
    <w:tbl>
      <w:tblPr>
        <w:tblStyle w:val="5"/>
        <w:tblW w:w="8333" w:type="dxa"/>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0"/>
        <w:gridCol w:w="1180"/>
        <w:gridCol w:w="2120"/>
        <w:gridCol w:w="4303"/>
      </w:tblGrid>
      <w:tr w14:paraId="4CCC9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730" w:type="dxa"/>
            <w:tcBorders>
              <w:left w:val="nil"/>
            </w:tcBorders>
            <w:vAlign w:val="top"/>
          </w:tcPr>
          <w:p w14:paraId="61E15115">
            <w:pPr>
              <w:pStyle w:val="6"/>
              <w:spacing w:before="71" w:line="221" w:lineRule="auto"/>
              <w:ind w:left="172"/>
            </w:pPr>
            <w:r>
              <w:rPr>
                <w:b/>
                <w:bCs/>
                <w:spacing w:val="-4"/>
              </w:rPr>
              <w:t>序号</w:t>
            </w:r>
          </w:p>
        </w:tc>
        <w:tc>
          <w:tcPr>
            <w:tcW w:w="1180" w:type="dxa"/>
            <w:vAlign w:val="top"/>
          </w:tcPr>
          <w:p w14:paraId="6571C6D5">
            <w:pPr>
              <w:pStyle w:val="6"/>
              <w:spacing w:before="70" w:line="220" w:lineRule="auto"/>
              <w:ind w:left="297"/>
            </w:pPr>
            <w:r>
              <w:rPr>
                <w:b/>
                <w:bCs/>
              </w:rPr>
              <w:t>比较项</w:t>
            </w:r>
          </w:p>
        </w:tc>
        <w:tc>
          <w:tcPr>
            <w:tcW w:w="2120" w:type="dxa"/>
            <w:vAlign w:val="top"/>
          </w:tcPr>
          <w:p w14:paraId="09A21704">
            <w:pPr>
              <w:pStyle w:val="6"/>
              <w:spacing w:before="70" w:line="219" w:lineRule="auto"/>
              <w:ind w:left="717"/>
            </w:pPr>
            <w:r>
              <w:rPr>
                <w:b/>
                <w:bCs/>
                <w:spacing w:val="-4"/>
              </w:rPr>
              <w:t>等保1.0</w:t>
            </w:r>
          </w:p>
        </w:tc>
        <w:tc>
          <w:tcPr>
            <w:tcW w:w="4303" w:type="dxa"/>
            <w:tcBorders>
              <w:right w:val="nil"/>
            </w:tcBorders>
            <w:vAlign w:val="top"/>
          </w:tcPr>
          <w:p w14:paraId="27E4A2A9">
            <w:pPr>
              <w:pStyle w:val="6"/>
              <w:spacing w:before="70" w:line="219" w:lineRule="auto"/>
              <w:ind w:left="1807"/>
            </w:pPr>
            <w:r>
              <w:rPr>
                <w:b/>
                <w:bCs/>
                <w:spacing w:val="-4"/>
              </w:rPr>
              <w:t>等保2.0</w:t>
            </w:r>
          </w:p>
        </w:tc>
      </w:tr>
      <w:tr w14:paraId="7A346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730" w:type="dxa"/>
            <w:tcBorders>
              <w:left w:val="nil"/>
            </w:tcBorders>
            <w:vAlign w:val="top"/>
          </w:tcPr>
          <w:p w14:paraId="18FE44F3">
            <w:pPr>
              <w:pStyle w:val="6"/>
              <w:spacing w:before="126" w:line="184" w:lineRule="auto"/>
              <w:ind w:left="310"/>
            </w:pPr>
            <w:r>
              <w:t>1</w:t>
            </w:r>
          </w:p>
        </w:tc>
        <w:tc>
          <w:tcPr>
            <w:tcW w:w="1180" w:type="dxa"/>
            <w:vAlign w:val="top"/>
          </w:tcPr>
          <w:p w14:paraId="074EE215">
            <w:pPr>
              <w:pStyle w:val="6"/>
              <w:spacing w:before="81" w:line="221" w:lineRule="auto"/>
              <w:ind w:left="395"/>
            </w:pPr>
            <w:r>
              <w:rPr>
                <w:spacing w:val="-3"/>
              </w:rPr>
              <w:t>名称</w:t>
            </w:r>
          </w:p>
        </w:tc>
        <w:tc>
          <w:tcPr>
            <w:tcW w:w="2120" w:type="dxa"/>
            <w:vAlign w:val="top"/>
          </w:tcPr>
          <w:p w14:paraId="2B3D236A">
            <w:pPr>
              <w:pStyle w:val="6"/>
              <w:spacing w:before="78" w:line="219" w:lineRule="auto"/>
              <w:ind w:left="105"/>
            </w:pPr>
            <w:r>
              <w:rPr>
                <w:spacing w:val="1"/>
              </w:rPr>
              <w:t>信息系统安全等级保护</w:t>
            </w:r>
          </w:p>
        </w:tc>
        <w:tc>
          <w:tcPr>
            <w:tcW w:w="4303" w:type="dxa"/>
            <w:tcBorders>
              <w:right w:val="nil"/>
            </w:tcBorders>
            <w:vAlign w:val="top"/>
          </w:tcPr>
          <w:p w14:paraId="7489764C">
            <w:pPr>
              <w:pStyle w:val="6"/>
              <w:spacing w:before="78" w:line="219" w:lineRule="auto"/>
              <w:ind w:left="25"/>
            </w:pPr>
            <w:r>
              <w:rPr>
                <w:spacing w:val="1"/>
              </w:rPr>
              <w:t>网络安全等级保护</w:t>
            </w:r>
          </w:p>
        </w:tc>
      </w:tr>
      <w:tr w14:paraId="391A4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730" w:type="dxa"/>
            <w:tcBorders>
              <w:left w:val="nil"/>
            </w:tcBorders>
            <w:vAlign w:val="top"/>
          </w:tcPr>
          <w:p w14:paraId="47BC60F6">
            <w:pPr>
              <w:pStyle w:val="6"/>
              <w:spacing w:before="229" w:line="183" w:lineRule="auto"/>
              <w:ind w:left="310"/>
            </w:pPr>
            <w:r>
              <w:t>2</w:t>
            </w:r>
          </w:p>
        </w:tc>
        <w:tc>
          <w:tcPr>
            <w:tcW w:w="1180" w:type="dxa"/>
            <w:vAlign w:val="top"/>
          </w:tcPr>
          <w:p w14:paraId="7FEA89E2">
            <w:pPr>
              <w:pStyle w:val="6"/>
              <w:spacing w:before="181" w:line="219" w:lineRule="auto"/>
              <w:ind w:left="395"/>
            </w:pPr>
            <w:r>
              <w:rPr>
                <w:spacing w:val="-2"/>
              </w:rPr>
              <w:t>对象</w:t>
            </w:r>
          </w:p>
        </w:tc>
        <w:tc>
          <w:tcPr>
            <w:tcW w:w="2120" w:type="dxa"/>
            <w:vAlign w:val="top"/>
          </w:tcPr>
          <w:p w14:paraId="364EBE54">
            <w:pPr>
              <w:pStyle w:val="6"/>
              <w:spacing w:before="181" w:line="219" w:lineRule="auto"/>
              <w:ind w:left="675"/>
            </w:pPr>
            <w:r>
              <w:rPr>
                <w:spacing w:val="-2"/>
              </w:rPr>
              <w:t>信息系统</w:t>
            </w:r>
          </w:p>
        </w:tc>
        <w:tc>
          <w:tcPr>
            <w:tcW w:w="4303" w:type="dxa"/>
            <w:tcBorders>
              <w:right w:val="nil"/>
            </w:tcBorders>
            <w:vAlign w:val="top"/>
          </w:tcPr>
          <w:p w14:paraId="3A37CA78">
            <w:pPr>
              <w:pStyle w:val="6"/>
              <w:spacing w:before="60" w:line="232" w:lineRule="auto"/>
              <w:ind w:left="25" w:right="55" w:firstLine="19"/>
            </w:pPr>
            <w:r>
              <w:t>基础信息网络、云计算平台/系统、大数据平台/系</w:t>
            </w:r>
            <w:r>
              <w:rPr>
                <w:spacing w:val="16"/>
              </w:rPr>
              <w:t xml:space="preserve"> </w:t>
            </w:r>
            <w:r>
              <w:t>统、物联网、工业控制系统、移动互联网系统等</w:t>
            </w:r>
          </w:p>
        </w:tc>
      </w:tr>
      <w:tr w14:paraId="48174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730" w:type="dxa"/>
            <w:vMerge w:val="restart"/>
            <w:tcBorders>
              <w:left w:val="nil"/>
              <w:bottom w:val="nil"/>
            </w:tcBorders>
            <w:vAlign w:val="top"/>
          </w:tcPr>
          <w:p w14:paraId="2B51745F">
            <w:pPr>
              <w:spacing w:line="477" w:lineRule="auto"/>
              <w:rPr>
                <w:rFonts w:ascii="Arial"/>
                <w:sz w:val="21"/>
              </w:rPr>
            </w:pPr>
          </w:p>
          <w:p w14:paraId="5D58380D">
            <w:pPr>
              <w:pStyle w:val="6"/>
              <w:spacing w:before="62" w:line="183" w:lineRule="auto"/>
              <w:ind w:left="310"/>
            </w:pPr>
            <w:r>
              <w:t>3</w:t>
            </w:r>
          </w:p>
        </w:tc>
        <w:tc>
          <w:tcPr>
            <w:tcW w:w="1180" w:type="dxa"/>
            <w:vMerge w:val="restart"/>
            <w:tcBorders>
              <w:bottom w:val="nil"/>
            </w:tcBorders>
            <w:vAlign w:val="top"/>
          </w:tcPr>
          <w:p w14:paraId="7635B35C">
            <w:pPr>
              <w:spacing w:line="427" w:lineRule="auto"/>
              <w:rPr>
                <w:rFonts w:ascii="Arial"/>
                <w:sz w:val="21"/>
              </w:rPr>
            </w:pPr>
          </w:p>
          <w:p w14:paraId="49CE339B">
            <w:pPr>
              <w:pStyle w:val="6"/>
              <w:spacing w:before="62" w:line="219" w:lineRule="auto"/>
              <w:ind w:left="204"/>
            </w:pPr>
            <w:r>
              <w:rPr>
                <w:spacing w:val="-2"/>
              </w:rPr>
              <w:t>基本要求</w:t>
            </w:r>
          </w:p>
        </w:tc>
        <w:tc>
          <w:tcPr>
            <w:tcW w:w="2120" w:type="dxa"/>
            <w:vMerge w:val="restart"/>
            <w:tcBorders>
              <w:bottom w:val="nil"/>
            </w:tcBorders>
            <w:vAlign w:val="top"/>
          </w:tcPr>
          <w:p w14:paraId="4DAA50E7">
            <w:pPr>
              <w:spacing w:line="429" w:lineRule="auto"/>
              <w:rPr>
                <w:rFonts w:ascii="Arial"/>
                <w:sz w:val="21"/>
              </w:rPr>
            </w:pPr>
          </w:p>
          <w:p w14:paraId="72DAFB6D">
            <w:pPr>
              <w:pStyle w:val="6"/>
              <w:spacing w:before="62" w:line="221" w:lineRule="auto"/>
              <w:ind w:left="675"/>
            </w:pPr>
            <w:r>
              <w:rPr>
                <w:spacing w:val="2"/>
              </w:rPr>
              <w:t>安全要求</w:t>
            </w:r>
          </w:p>
        </w:tc>
        <w:tc>
          <w:tcPr>
            <w:tcW w:w="4303" w:type="dxa"/>
            <w:tcBorders>
              <w:right w:val="nil"/>
            </w:tcBorders>
            <w:vAlign w:val="top"/>
          </w:tcPr>
          <w:p w14:paraId="408D1CF4">
            <w:pPr>
              <w:pStyle w:val="6"/>
              <w:spacing w:before="73" w:line="221" w:lineRule="auto"/>
              <w:ind w:left="25"/>
            </w:pPr>
            <w:r>
              <w:rPr>
                <w:spacing w:val="2"/>
              </w:rPr>
              <w:t>安全要求</w:t>
            </w:r>
          </w:p>
        </w:tc>
      </w:tr>
      <w:tr w14:paraId="39A45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1" w:hRule="atLeast"/>
        </w:trPr>
        <w:tc>
          <w:tcPr>
            <w:tcW w:w="730" w:type="dxa"/>
            <w:vMerge w:val="continue"/>
            <w:tcBorders>
              <w:top w:val="nil"/>
              <w:left w:val="nil"/>
            </w:tcBorders>
            <w:vAlign w:val="top"/>
          </w:tcPr>
          <w:p w14:paraId="33609AA9">
            <w:pPr>
              <w:rPr>
                <w:rFonts w:ascii="Arial"/>
                <w:sz w:val="21"/>
              </w:rPr>
            </w:pPr>
          </w:p>
        </w:tc>
        <w:tc>
          <w:tcPr>
            <w:tcW w:w="1180" w:type="dxa"/>
            <w:vMerge w:val="continue"/>
            <w:tcBorders>
              <w:top w:val="nil"/>
            </w:tcBorders>
            <w:vAlign w:val="top"/>
          </w:tcPr>
          <w:p w14:paraId="5D200D87">
            <w:pPr>
              <w:rPr>
                <w:rFonts w:ascii="Arial"/>
                <w:sz w:val="21"/>
              </w:rPr>
            </w:pPr>
          </w:p>
        </w:tc>
        <w:tc>
          <w:tcPr>
            <w:tcW w:w="2120" w:type="dxa"/>
            <w:vMerge w:val="continue"/>
            <w:tcBorders>
              <w:top w:val="nil"/>
            </w:tcBorders>
            <w:vAlign w:val="top"/>
          </w:tcPr>
          <w:p w14:paraId="745E0D94">
            <w:pPr>
              <w:rPr>
                <w:rFonts w:ascii="Arial"/>
                <w:sz w:val="21"/>
              </w:rPr>
            </w:pPr>
          </w:p>
        </w:tc>
        <w:tc>
          <w:tcPr>
            <w:tcW w:w="4303" w:type="dxa"/>
            <w:tcBorders>
              <w:right w:val="nil"/>
            </w:tcBorders>
            <w:vAlign w:val="top"/>
          </w:tcPr>
          <w:p w14:paraId="7DF4E493">
            <w:pPr>
              <w:pStyle w:val="6"/>
              <w:spacing w:before="73" w:line="242" w:lineRule="auto"/>
              <w:ind w:left="25" w:firstLine="9"/>
              <w:jc w:val="both"/>
            </w:pPr>
            <w:r>
              <w:rPr>
                <w:spacing w:val="-5"/>
              </w:rPr>
              <w:t>新型应用安全扩展要求：云计算安全扩展要求、物联</w:t>
            </w:r>
            <w:r>
              <w:rPr>
                <w:spacing w:val="1"/>
              </w:rPr>
              <w:t xml:space="preserve"> </w:t>
            </w:r>
            <w:r>
              <w:rPr>
                <w:spacing w:val="-5"/>
              </w:rPr>
              <w:t>网安全扩展要求、工业控制系统安全扩展要求、移动</w:t>
            </w:r>
            <w:r>
              <w:rPr>
                <w:spacing w:val="16"/>
              </w:rPr>
              <w:t xml:space="preserve"> </w:t>
            </w:r>
            <w:r>
              <w:rPr>
                <w:spacing w:val="-2"/>
              </w:rPr>
              <w:t>互联安全扩展要求</w:t>
            </w:r>
          </w:p>
        </w:tc>
      </w:tr>
    </w:tbl>
    <w:p w14:paraId="4FEDA13C">
      <w:pPr>
        <w:rPr>
          <w:rFonts w:ascii="Arial"/>
          <w:sz w:val="21"/>
        </w:rPr>
      </w:pPr>
    </w:p>
    <w:p w14:paraId="25A64BD0">
      <w:pPr>
        <w:rPr>
          <w:rFonts w:ascii="Arial" w:hAnsi="Arial" w:eastAsia="Arial" w:cs="Arial"/>
          <w:sz w:val="21"/>
          <w:szCs w:val="21"/>
        </w:rPr>
        <w:sectPr>
          <w:pgSz w:w="10300" w:h="13410"/>
          <w:pgMar w:top="400" w:right="999" w:bottom="400" w:left="540" w:header="0" w:footer="0" w:gutter="0"/>
          <w:cols w:space="720" w:num="1"/>
        </w:sectPr>
      </w:pPr>
    </w:p>
    <w:p w14:paraId="52B876B5">
      <w:pPr>
        <w:pStyle w:val="2"/>
        <w:jc w:val="right"/>
        <w:rPr>
          <w:rFonts w:ascii="Times New Roman" w:hAnsi="Times New Roman" w:eastAsia="Times New Roman" w:cs="Times New Roman"/>
          <w:sz w:val="17"/>
          <w:szCs w:val="17"/>
        </w:rPr>
      </w:pPr>
      <w:r>
        <w:rPr>
          <w:spacing w:val="1"/>
          <w:sz w:val="20"/>
          <w:szCs w:val="20"/>
        </w:rPr>
        <w:t>第6章</w:t>
      </w:r>
      <w:r>
        <w:rPr>
          <w:spacing w:val="28"/>
          <w:sz w:val="20"/>
          <w:szCs w:val="20"/>
        </w:rPr>
        <w:t xml:space="preserve"> </w:t>
      </w:r>
      <w:r>
        <w:rPr>
          <w:spacing w:val="1"/>
          <w:sz w:val="20"/>
          <w:szCs w:val="20"/>
        </w:rPr>
        <w:t xml:space="preserve">信息安全 </w:t>
      </w:r>
      <w:r>
        <w:rPr>
          <w:position w:val="-10"/>
          <w:sz w:val="20"/>
          <w:szCs w:val="20"/>
        </w:rPr>
        <w:drawing>
          <wp:inline distT="0" distB="0" distL="0" distR="0">
            <wp:extent cx="323215" cy="23495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35"/>
                    <a:stretch>
                      <a:fillRect/>
                    </a:stretch>
                  </pic:blipFill>
                  <pic:spPr>
                    <a:xfrm>
                      <a:off x="0" y="0"/>
                      <a:ext cx="323832" cy="234953"/>
                    </a:xfrm>
                    <a:prstGeom prst="rect">
                      <a:avLst/>
                    </a:prstGeom>
                  </pic:spPr>
                </pic:pic>
              </a:graphicData>
            </a:graphic>
          </wp:inline>
        </w:drawing>
      </w:r>
      <w:r>
        <w:rPr>
          <w:rFonts w:ascii="Times New Roman" w:hAnsi="Times New Roman" w:eastAsia="Times New Roman" w:cs="Times New Roman"/>
          <w:spacing w:val="1"/>
          <w:sz w:val="17"/>
          <w:szCs w:val="17"/>
        </w:rPr>
        <w:t>183</w:t>
      </w:r>
    </w:p>
    <w:p w14:paraId="70C857B4">
      <w:pPr>
        <w:spacing w:line="267" w:lineRule="auto"/>
        <w:rPr>
          <w:rFonts w:ascii="Arial"/>
          <w:sz w:val="21"/>
        </w:rPr>
      </w:pPr>
    </w:p>
    <w:p w14:paraId="1B1B6F3C">
      <w:pPr>
        <w:pStyle w:val="2"/>
        <w:spacing w:before="59" w:line="220" w:lineRule="auto"/>
        <w:ind w:left="7810"/>
        <w:rPr>
          <w:sz w:val="18"/>
          <w:szCs w:val="18"/>
        </w:rPr>
      </w:pPr>
      <w:r>
        <w:rPr>
          <w:spacing w:val="9"/>
          <w:sz w:val="18"/>
          <w:szCs w:val="18"/>
        </w:rPr>
        <w:t>(续表)</w:t>
      </w:r>
    </w:p>
    <w:p w14:paraId="3DD6590D">
      <w:pPr>
        <w:spacing w:line="72" w:lineRule="exact"/>
      </w:pPr>
    </w:p>
    <w:tbl>
      <w:tblPr>
        <w:tblStyle w:val="5"/>
        <w:tblW w:w="831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0"/>
        <w:gridCol w:w="1169"/>
        <w:gridCol w:w="2130"/>
        <w:gridCol w:w="4300"/>
      </w:tblGrid>
      <w:tr w14:paraId="06F50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720" w:type="dxa"/>
            <w:tcBorders>
              <w:left w:val="nil"/>
            </w:tcBorders>
            <w:vAlign w:val="top"/>
          </w:tcPr>
          <w:p w14:paraId="03C6D4AE">
            <w:pPr>
              <w:pStyle w:val="6"/>
              <w:spacing w:before="80" w:line="221" w:lineRule="auto"/>
              <w:ind w:left="182"/>
              <w:rPr>
                <w:sz w:val="18"/>
                <w:szCs w:val="18"/>
              </w:rPr>
            </w:pPr>
            <w:r>
              <w:rPr>
                <w:b/>
                <w:bCs/>
                <w:spacing w:val="-4"/>
                <w:sz w:val="18"/>
                <w:szCs w:val="18"/>
              </w:rPr>
              <w:t>序号</w:t>
            </w:r>
          </w:p>
        </w:tc>
        <w:tc>
          <w:tcPr>
            <w:tcW w:w="1169" w:type="dxa"/>
            <w:vAlign w:val="top"/>
          </w:tcPr>
          <w:p w14:paraId="79DFEEAD">
            <w:pPr>
              <w:pStyle w:val="6"/>
              <w:spacing w:before="80" w:line="220" w:lineRule="auto"/>
              <w:ind w:left="307"/>
              <w:rPr>
                <w:sz w:val="18"/>
                <w:szCs w:val="18"/>
              </w:rPr>
            </w:pPr>
            <w:r>
              <w:rPr>
                <w:b/>
                <w:bCs/>
                <w:sz w:val="18"/>
                <w:szCs w:val="18"/>
              </w:rPr>
              <w:t>比较项</w:t>
            </w:r>
          </w:p>
        </w:tc>
        <w:tc>
          <w:tcPr>
            <w:tcW w:w="2130" w:type="dxa"/>
            <w:vAlign w:val="top"/>
          </w:tcPr>
          <w:p w14:paraId="449DE034">
            <w:pPr>
              <w:pStyle w:val="6"/>
              <w:spacing w:before="79" w:line="219" w:lineRule="auto"/>
              <w:ind w:left="748"/>
              <w:rPr>
                <w:sz w:val="18"/>
                <w:szCs w:val="18"/>
              </w:rPr>
            </w:pPr>
            <w:r>
              <w:rPr>
                <w:b/>
                <w:bCs/>
                <w:spacing w:val="-4"/>
                <w:sz w:val="18"/>
                <w:szCs w:val="18"/>
              </w:rPr>
              <w:t>等保1.0</w:t>
            </w:r>
          </w:p>
        </w:tc>
        <w:tc>
          <w:tcPr>
            <w:tcW w:w="4300" w:type="dxa"/>
            <w:tcBorders>
              <w:right w:val="nil"/>
            </w:tcBorders>
            <w:vAlign w:val="top"/>
          </w:tcPr>
          <w:p w14:paraId="2E5FA08E">
            <w:pPr>
              <w:pStyle w:val="6"/>
              <w:spacing w:before="79" w:line="219" w:lineRule="auto"/>
              <w:ind w:left="1808"/>
              <w:rPr>
                <w:sz w:val="18"/>
                <w:szCs w:val="18"/>
              </w:rPr>
            </w:pPr>
            <w:r>
              <w:rPr>
                <w:b/>
                <w:bCs/>
                <w:spacing w:val="-4"/>
                <w:sz w:val="18"/>
                <w:szCs w:val="18"/>
              </w:rPr>
              <w:t>等保2.0</w:t>
            </w:r>
          </w:p>
        </w:tc>
      </w:tr>
      <w:tr w14:paraId="37A65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720" w:type="dxa"/>
            <w:vMerge w:val="restart"/>
            <w:tcBorders>
              <w:left w:val="nil"/>
              <w:bottom w:val="nil"/>
            </w:tcBorders>
            <w:vAlign w:val="top"/>
          </w:tcPr>
          <w:p w14:paraId="56FD1704">
            <w:pPr>
              <w:spacing w:line="246" w:lineRule="auto"/>
              <w:rPr>
                <w:rFonts w:ascii="Arial"/>
                <w:sz w:val="21"/>
              </w:rPr>
            </w:pPr>
          </w:p>
          <w:p w14:paraId="796C80F0">
            <w:pPr>
              <w:spacing w:line="246" w:lineRule="auto"/>
              <w:rPr>
                <w:rFonts w:ascii="Arial"/>
                <w:sz w:val="21"/>
              </w:rPr>
            </w:pPr>
          </w:p>
          <w:p w14:paraId="680AD90A">
            <w:pPr>
              <w:spacing w:line="246" w:lineRule="auto"/>
              <w:rPr>
                <w:rFonts w:ascii="Arial"/>
                <w:sz w:val="21"/>
              </w:rPr>
            </w:pPr>
          </w:p>
          <w:p w14:paraId="23B37202">
            <w:pPr>
              <w:spacing w:line="246" w:lineRule="auto"/>
              <w:rPr>
                <w:rFonts w:ascii="Arial"/>
                <w:sz w:val="21"/>
              </w:rPr>
            </w:pPr>
          </w:p>
          <w:p w14:paraId="0AD2DEF7">
            <w:pPr>
              <w:spacing w:line="246" w:lineRule="auto"/>
              <w:rPr>
                <w:rFonts w:ascii="Arial"/>
                <w:sz w:val="21"/>
              </w:rPr>
            </w:pPr>
          </w:p>
          <w:p w14:paraId="6D10F0A2">
            <w:pPr>
              <w:spacing w:line="247" w:lineRule="auto"/>
              <w:rPr>
                <w:rFonts w:ascii="Arial"/>
                <w:sz w:val="21"/>
              </w:rPr>
            </w:pPr>
          </w:p>
          <w:p w14:paraId="43385499">
            <w:pPr>
              <w:spacing w:line="247" w:lineRule="auto"/>
              <w:rPr>
                <w:rFonts w:ascii="Arial"/>
                <w:sz w:val="21"/>
              </w:rPr>
            </w:pPr>
          </w:p>
          <w:p w14:paraId="6B2461B2">
            <w:pPr>
              <w:pStyle w:val="6"/>
              <w:spacing w:before="59" w:line="183" w:lineRule="auto"/>
              <w:ind w:left="309"/>
              <w:rPr>
                <w:sz w:val="18"/>
                <w:szCs w:val="18"/>
              </w:rPr>
            </w:pPr>
            <w:r>
              <w:rPr>
                <w:sz w:val="18"/>
                <w:szCs w:val="18"/>
              </w:rPr>
              <w:t>4</w:t>
            </w:r>
          </w:p>
        </w:tc>
        <w:tc>
          <w:tcPr>
            <w:tcW w:w="1169" w:type="dxa"/>
            <w:vMerge w:val="restart"/>
            <w:tcBorders>
              <w:bottom w:val="nil"/>
            </w:tcBorders>
            <w:vAlign w:val="top"/>
          </w:tcPr>
          <w:p w14:paraId="4A5C74A6">
            <w:pPr>
              <w:spacing w:line="279" w:lineRule="auto"/>
              <w:rPr>
                <w:rFonts w:ascii="Arial"/>
                <w:sz w:val="21"/>
              </w:rPr>
            </w:pPr>
          </w:p>
          <w:p w14:paraId="1E90235C">
            <w:pPr>
              <w:spacing w:line="279" w:lineRule="auto"/>
              <w:rPr>
                <w:rFonts w:ascii="Arial"/>
                <w:sz w:val="21"/>
              </w:rPr>
            </w:pPr>
          </w:p>
          <w:p w14:paraId="17E069F1">
            <w:pPr>
              <w:spacing w:line="280" w:lineRule="auto"/>
              <w:rPr>
                <w:rFonts w:ascii="Arial"/>
                <w:sz w:val="21"/>
              </w:rPr>
            </w:pPr>
          </w:p>
          <w:p w14:paraId="77D92F94">
            <w:pPr>
              <w:spacing w:line="280" w:lineRule="auto"/>
              <w:rPr>
                <w:rFonts w:ascii="Arial"/>
                <w:sz w:val="21"/>
              </w:rPr>
            </w:pPr>
          </w:p>
          <w:p w14:paraId="35D4052A">
            <w:pPr>
              <w:spacing w:line="280" w:lineRule="auto"/>
              <w:rPr>
                <w:rFonts w:ascii="Arial"/>
                <w:sz w:val="21"/>
              </w:rPr>
            </w:pPr>
          </w:p>
          <w:p w14:paraId="44758B67">
            <w:pPr>
              <w:spacing w:line="280" w:lineRule="auto"/>
              <w:rPr>
                <w:rFonts w:ascii="Arial"/>
                <w:sz w:val="21"/>
              </w:rPr>
            </w:pPr>
          </w:p>
          <w:p w14:paraId="5A69F5F9">
            <w:pPr>
              <w:pStyle w:val="6"/>
              <w:spacing w:before="59" w:line="219" w:lineRule="auto"/>
              <w:ind w:left="394"/>
              <w:rPr>
                <w:sz w:val="18"/>
                <w:szCs w:val="18"/>
              </w:rPr>
            </w:pPr>
            <w:r>
              <w:rPr>
                <w:spacing w:val="4"/>
                <w:sz w:val="18"/>
                <w:szCs w:val="18"/>
              </w:rPr>
              <w:t>内容</w:t>
            </w:r>
          </w:p>
        </w:tc>
        <w:tc>
          <w:tcPr>
            <w:tcW w:w="2130" w:type="dxa"/>
            <w:vAlign w:val="top"/>
          </w:tcPr>
          <w:p w14:paraId="13FF06CB">
            <w:pPr>
              <w:pStyle w:val="6"/>
              <w:spacing w:before="88" w:line="221" w:lineRule="auto"/>
              <w:ind w:left="695"/>
              <w:rPr>
                <w:sz w:val="18"/>
                <w:szCs w:val="18"/>
              </w:rPr>
            </w:pPr>
            <w:r>
              <w:rPr>
                <w:spacing w:val="-2"/>
                <w:sz w:val="18"/>
                <w:szCs w:val="18"/>
              </w:rPr>
              <w:t>物理安全</w:t>
            </w:r>
          </w:p>
        </w:tc>
        <w:tc>
          <w:tcPr>
            <w:tcW w:w="4300" w:type="dxa"/>
            <w:tcBorders>
              <w:right w:val="nil"/>
            </w:tcBorders>
            <w:vAlign w:val="top"/>
          </w:tcPr>
          <w:p w14:paraId="1E1641A8">
            <w:pPr>
              <w:pStyle w:val="6"/>
              <w:spacing w:before="88" w:line="220" w:lineRule="auto"/>
              <w:ind w:left="46"/>
              <w:rPr>
                <w:sz w:val="18"/>
                <w:szCs w:val="18"/>
              </w:rPr>
            </w:pPr>
            <w:r>
              <w:rPr>
                <w:spacing w:val="-2"/>
                <w:sz w:val="18"/>
                <w:szCs w:val="18"/>
              </w:rPr>
              <w:t>安全物理环境</w:t>
            </w:r>
          </w:p>
        </w:tc>
      </w:tr>
      <w:tr w14:paraId="1A22A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20" w:type="dxa"/>
            <w:vMerge w:val="continue"/>
            <w:tcBorders>
              <w:top w:val="nil"/>
              <w:left w:val="nil"/>
              <w:bottom w:val="nil"/>
            </w:tcBorders>
            <w:vAlign w:val="top"/>
          </w:tcPr>
          <w:p w14:paraId="5ED23055">
            <w:pPr>
              <w:rPr>
                <w:rFonts w:ascii="Arial"/>
                <w:sz w:val="21"/>
              </w:rPr>
            </w:pPr>
          </w:p>
        </w:tc>
        <w:tc>
          <w:tcPr>
            <w:tcW w:w="1169" w:type="dxa"/>
            <w:vMerge w:val="continue"/>
            <w:tcBorders>
              <w:top w:val="nil"/>
              <w:bottom w:val="nil"/>
            </w:tcBorders>
            <w:vAlign w:val="top"/>
          </w:tcPr>
          <w:p w14:paraId="4E0779B8">
            <w:pPr>
              <w:rPr>
                <w:rFonts w:ascii="Arial"/>
                <w:sz w:val="21"/>
              </w:rPr>
            </w:pPr>
          </w:p>
        </w:tc>
        <w:tc>
          <w:tcPr>
            <w:tcW w:w="2130" w:type="dxa"/>
            <w:vAlign w:val="top"/>
          </w:tcPr>
          <w:p w14:paraId="6EB397F6">
            <w:pPr>
              <w:pStyle w:val="6"/>
              <w:spacing w:before="89" w:line="221" w:lineRule="auto"/>
              <w:ind w:left="695"/>
              <w:rPr>
                <w:sz w:val="18"/>
                <w:szCs w:val="18"/>
              </w:rPr>
            </w:pPr>
            <w:r>
              <w:rPr>
                <w:spacing w:val="2"/>
                <w:sz w:val="18"/>
                <w:szCs w:val="18"/>
              </w:rPr>
              <w:t>网络安全</w:t>
            </w:r>
          </w:p>
        </w:tc>
        <w:tc>
          <w:tcPr>
            <w:tcW w:w="4300" w:type="dxa"/>
            <w:tcBorders>
              <w:right w:val="nil"/>
            </w:tcBorders>
            <w:vAlign w:val="top"/>
          </w:tcPr>
          <w:p w14:paraId="204EE365">
            <w:pPr>
              <w:pStyle w:val="6"/>
              <w:spacing w:before="88" w:line="219" w:lineRule="auto"/>
              <w:ind w:left="46"/>
              <w:rPr>
                <w:sz w:val="18"/>
                <w:szCs w:val="18"/>
              </w:rPr>
            </w:pPr>
            <w:r>
              <w:rPr>
                <w:spacing w:val="-2"/>
                <w:sz w:val="18"/>
                <w:szCs w:val="18"/>
              </w:rPr>
              <w:t>安全通信网络</w:t>
            </w:r>
          </w:p>
        </w:tc>
      </w:tr>
      <w:tr w14:paraId="29C23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20" w:type="dxa"/>
            <w:vMerge w:val="continue"/>
            <w:tcBorders>
              <w:top w:val="nil"/>
              <w:left w:val="nil"/>
              <w:bottom w:val="nil"/>
            </w:tcBorders>
            <w:vAlign w:val="top"/>
          </w:tcPr>
          <w:p w14:paraId="137267AF">
            <w:pPr>
              <w:rPr>
                <w:rFonts w:ascii="Arial"/>
                <w:sz w:val="21"/>
              </w:rPr>
            </w:pPr>
          </w:p>
        </w:tc>
        <w:tc>
          <w:tcPr>
            <w:tcW w:w="1169" w:type="dxa"/>
            <w:vMerge w:val="continue"/>
            <w:tcBorders>
              <w:top w:val="nil"/>
              <w:bottom w:val="nil"/>
            </w:tcBorders>
            <w:vAlign w:val="top"/>
          </w:tcPr>
          <w:p w14:paraId="1608762B">
            <w:pPr>
              <w:rPr>
                <w:rFonts w:ascii="Arial"/>
                <w:sz w:val="21"/>
              </w:rPr>
            </w:pPr>
          </w:p>
        </w:tc>
        <w:tc>
          <w:tcPr>
            <w:tcW w:w="2130" w:type="dxa"/>
            <w:vAlign w:val="top"/>
          </w:tcPr>
          <w:p w14:paraId="2435E443">
            <w:pPr>
              <w:pStyle w:val="6"/>
              <w:spacing w:before="88" w:line="219" w:lineRule="auto"/>
              <w:ind w:left="695"/>
              <w:rPr>
                <w:sz w:val="18"/>
                <w:szCs w:val="18"/>
              </w:rPr>
            </w:pPr>
            <w:r>
              <w:rPr>
                <w:spacing w:val="-2"/>
                <w:sz w:val="18"/>
                <w:szCs w:val="18"/>
              </w:rPr>
              <w:t>主机安全</w:t>
            </w:r>
          </w:p>
        </w:tc>
        <w:tc>
          <w:tcPr>
            <w:tcW w:w="4300" w:type="dxa"/>
            <w:tcBorders>
              <w:right w:val="nil"/>
            </w:tcBorders>
            <w:vAlign w:val="top"/>
          </w:tcPr>
          <w:p w14:paraId="7741D862">
            <w:pPr>
              <w:pStyle w:val="6"/>
              <w:spacing w:before="89" w:line="220" w:lineRule="auto"/>
              <w:ind w:left="46"/>
              <w:rPr>
                <w:sz w:val="18"/>
                <w:szCs w:val="18"/>
              </w:rPr>
            </w:pPr>
            <w:r>
              <w:rPr>
                <w:spacing w:val="-2"/>
                <w:sz w:val="18"/>
                <w:szCs w:val="18"/>
              </w:rPr>
              <w:t>安全区域边界</w:t>
            </w:r>
          </w:p>
        </w:tc>
      </w:tr>
      <w:tr w14:paraId="28AF8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20" w:type="dxa"/>
            <w:vMerge w:val="continue"/>
            <w:tcBorders>
              <w:top w:val="nil"/>
              <w:left w:val="nil"/>
              <w:bottom w:val="nil"/>
            </w:tcBorders>
            <w:vAlign w:val="top"/>
          </w:tcPr>
          <w:p w14:paraId="34EB35F0">
            <w:pPr>
              <w:rPr>
                <w:rFonts w:ascii="Arial"/>
                <w:sz w:val="21"/>
              </w:rPr>
            </w:pPr>
          </w:p>
        </w:tc>
        <w:tc>
          <w:tcPr>
            <w:tcW w:w="1169" w:type="dxa"/>
            <w:vMerge w:val="continue"/>
            <w:tcBorders>
              <w:top w:val="nil"/>
              <w:bottom w:val="nil"/>
            </w:tcBorders>
            <w:vAlign w:val="top"/>
          </w:tcPr>
          <w:p w14:paraId="6456A7BB">
            <w:pPr>
              <w:rPr>
                <w:rFonts w:ascii="Arial"/>
                <w:sz w:val="21"/>
              </w:rPr>
            </w:pPr>
          </w:p>
        </w:tc>
        <w:tc>
          <w:tcPr>
            <w:tcW w:w="2130" w:type="dxa"/>
            <w:vAlign w:val="top"/>
          </w:tcPr>
          <w:p w14:paraId="1DD2F525">
            <w:pPr>
              <w:pStyle w:val="6"/>
              <w:spacing w:before="90" w:line="219" w:lineRule="auto"/>
              <w:ind w:left="205"/>
              <w:rPr>
                <w:sz w:val="18"/>
                <w:szCs w:val="18"/>
              </w:rPr>
            </w:pPr>
            <w:r>
              <w:rPr>
                <w:spacing w:val="-1"/>
                <w:sz w:val="18"/>
                <w:szCs w:val="18"/>
              </w:rPr>
              <w:t>数据安全及备份/恢复</w:t>
            </w:r>
          </w:p>
        </w:tc>
        <w:tc>
          <w:tcPr>
            <w:tcW w:w="4300" w:type="dxa"/>
            <w:tcBorders>
              <w:right w:val="nil"/>
            </w:tcBorders>
            <w:vAlign w:val="top"/>
          </w:tcPr>
          <w:p w14:paraId="5F0BECD3">
            <w:pPr>
              <w:pStyle w:val="6"/>
              <w:spacing w:before="90" w:line="219" w:lineRule="auto"/>
              <w:ind w:left="46"/>
              <w:rPr>
                <w:sz w:val="18"/>
                <w:szCs w:val="18"/>
              </w:rPr>
            </w:pPr>
            <w:r>
              <w:rPr>
                <w:spacing w:val="-2"/>
                <w:sz w:val="18"/>
                <w:szCs w:val="18"/>
              </w:rPr>
              <w:t>安全计算环境</w:t>
            </w:r>
          </w:p>
        </w:tc>
      </w:tr>
      <w:tr w14:paraId="596FD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20" w:type="dxa"/>
            <w:vMerge w:val="continue"/>
            <w:tcBorders>
              <w:top w:val="nil"/>
              <w:left w:val="nil"/>
              <w:bottom w:val="nil"/>
            </w:tcBorders>
            <w:vAlign w:val="top"/>
          </w:tcPr>
          <w:p w14:paraId="6354D1C9">
            <w:pPr>
              <w:rPr>
                <w:rFonts w:ascii="Arial"/>
                <w:sz w:val="21"/>
              </w:rPr>
            </w:pPr>
          </w:p>
        </w:tc>
        <w:tc>
          <w:tcPr>
            <w:tcW w:w="1169" w:type="dxa"/>
            <w:vMerge w:val="continue"/>
            <w:tcBorders>
              <w:top w:val="nil"/>
              <w:bottom w:val="nil"/>
            </w:tcBorders>
            <w:vAlign w:val="top"/>
          </w:tcPr>
          <w:p w14:paraId="20B2FBAD">
            <w:pPr>
              <w:rPr>
                <w:rFonts w:ascii="Arial"/>
                <w:sz w:val="21"/>
              </w:rPr>
            </w:pPr>
          </w:p>
        </w:tc>
        <w:tc>
          <w:tcPr>
            <w:tcW w:w="2130" w:type="dxa"/>
            <w:vAlign w:val="top"/>
          </w:tcPr>
          <w:p w14:paraId="0CB64385">
            <w:pPr>
              <w:pStyle w:val="6"/>
              <w:spacing w:before="92" w:line="221" w:lineRule="auto"/>
              <w:ind w:left="695"/>
              <w:rPr>
                <w:sz w:val="18"/>
                <w:szCs w:val="18"/>
              </w:rPr>
            </w:pPr>
            <w:r>
              <w:rPr>
                <w:spacing w:val="-2"/>
                <w:sz w:val="18"/>
                <w:szCs w:val="18"/>
              </w:rPr>
              <w:t>应用安全</w:t>
            </w:r>
          </w:p>
        </w:tc>
        <w:tc>
          <w:tcPr>
            <w:tcW w:w="4300" w:type="dxa"/>
            <w:tcBorders>
              <w:right w:val="nil"/>
            </w:tcBorders>
            <w:vAlign w:val="top"/>
          </w:tcPr>
          <w:p w14:paraId="2AF49E71">
            <w:pPr>
              <w:pStyle w:val="6"/>
              <w:spacing w:before="91" w:line="219" w:lineRule="auto"/>
              <w:ind w:left="46"/>
              <w:rPr>
                <w:sz w:val="18"/>
                <w:szCs w:val="18"/>
              </w:rPr>
            </w:pPr>
            <w:r>
              <w:rPr>
                <w:spacing w:val="1"/>
                <w:sz w:val="18"/>
                <w:szCs w:val="18"/>
              </w:rPr>
              <w:t>安全管理中心</w:t>
            </w:r>
          </w:p>
        </w:tc>
      </w:tr>
      <w:tr w14:paraId="0F87A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720" w:type="dxa"/>
            <w:vMerge w:val="continue"/>
            <w:tcBorders>
              <w:top w:val="nil"/>
              <w:left w:val="nil"/>
              <w:bottom w:val="nil"/>
            </w:tcBorders>
            <w:vAlign w:val="top"/>
          </w:tcPr>
          <w:p w14:paraId="365090DB">
            <w:pPr>
              <w:rPr>
                <w:rFonts w:ascii="Arial"/>
                <w:sz w:val="21"/>
              </w:rPr>
            </w:pPr>
          </w:p>
        </w:tc>
        <w:tc>
          <w:tcPr>
            <w:tcW w:w="1169" w:type="dxa"/>
            <w:vMerge w:val="continue"/>
            <w:tcBorders>
              <w:top w:val="nil"/>
              <w:bottom w:val="nil"/>
            </w:tcBorders>
            <w:vAlign w:val="top"/>
          </w:tcPr>
          <w:p w14:paraId="15F8BCE1">
            <w:pPr>
              <w:rPr>
                <w:rFonts w:ascii="Arial"/>
                <w:sz w:val="21"/>
              </w:rPr>
            </w:pPr>
          </w:p>
        </w:tc>
        <w:tc>
          <w:tcPr>
            <w:tcW w:w="2130" w:type="dxa"/>
            <w:vAlign w:val="top"/>
          </w:tcPr>
          <w:p w14:paraId="68508E9E">
            <w:pPr>
              <w:pStyle w:val="6"/>
              <w:spacing w:before="92" w:line="219" w:lineRule="auto"/>
              <w:ind w:left="516"/>
              <w:rPr>
                <w:sz w:val="18"/>
                <w:szCs w:val="18"/>
              </w:rPr>
            </w:pPr>
            <w:r>
              <w:rPr>
                <w:spacing w:val="1"/>
                <w:sz w:val="18"/>
                <w:szCs w:val="18"/>
              </w:rPr>
              <w:t>安全管理制度</w:t>
            </w:r>
          </w:p>
        </w:tc>
        <w:tc>
          <w:tcPr>
            <w:tcW w:w="4300" w:type="dxa"/>
            <w:tcBorders>
              <w:right w:val="nil"/>
            </w:tcBorders>
            <w:vAlign w:val="top"/>
          </w:tcPr>
          <w:p w14:paraId="225B2A51">
            <w:pPr>
              <w:pStyle w:val="6"/>
              <w:spacing w:before="92" w:line="219" w:lineRule="auto"/>
              <w:ind w:left="46"/>
              <w:rPr>
                <w:sz w:val="18"/>
                <w:szCs w:val="18"/>
              </w:rPr>
            </w:pPr>
            <w:r>
              <w:rPr>
                <w:spacing w:val="1"/>
                <w:sz w:val="18"/>
                <w:szCs w:val="18"/>
              </w:rPr>
              <w:t>安全管理制度</w:t>
            </w:r>
          </w:p>
        </w:tc>
      </w:tr>
      <w:tr w14:paraId="4DFA5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20" w:type="dxa"/>
            <w:vMerge w:val="continue"/>
            <w:tcBorders>
              <w:top w:val="nil"/>
              <w:left w:val="nil"/>
              <w:bottom w:val="nil"/>
            </w:tcBorders>
            <w:vAlign w:val="top"/>
          </w:tcPr>
          <w:p w14:paraId="1D9ABC75">
            <w:pPr>
              <w:rPr>
                <w:rFonts w:ascii="Arial"/>
                <w:sz w:val="21"/>
              </w:rPr>
            </w:pPr>
          </w:p>
        </w:tc>
        <w:tc>
          <w:tcPr>
            <w:tcW w:w="1169" w:type="dxa"/>
            <w:vMerge w:val="continue"/>
            <w:tcBorders>
              <w:top w:val="nil"/>
              <w:bottom w:val="nil"/>
            </w:tcBorders>
            <w:vAlign w:val="top"/>
          </w:tcPr>
          <w:p w14:paraId="2D8DA3A6">
            <w:pPr>
              <w:rPr>
                <w:rFonts w:ascii="Arial"/>
                <w:sz w:val="21"/>
              </w:rPr>
            </w:pPr>
          </w:p>
        </w:tc>
        <w:tc>
          <w:tcPr>
            <w:tcW w:w="2130" w:type="dxa"/>
            <w:vAlign w:val="top"/>
          </w:tcPr>
          <w:p w14:paraId="6D10F2DA">
            <w:pPr>
              <w:pStyle w:val="6"/>
              <w:spacing w:before="92" w:line="219" w:lineRule="auto"/>
              <w:ind w:left="516"/>
              <w:rPr>
                <w:sz w:val="18"/>
                <w:szCs w:val="18"/>
              </w:rPr>
            </w:pPr>
            <w:r>
              <w:rPr>
                <w:spacing w:val="1"/>
                <w:sz w:val="18"/>
                <w:szCs w:val="18"/>
              </w:rPr>
              <w:t>安全管理机构</w:t>
            </w:r>
          </w:p>
        </w:tc>
        <w:tc>
          <w:tcPr>
            <w:tcW w:w="4300" w:type="dxa"/>
            <w:tcBorders>
              <w:right w:val="nil"/>
            </w:tcBorders>
            <w:vAlign w:val="top"/>
          </w:tcPr>
          <w:p w14:paraId="0BBEFB1E">
            <w:pPr>
              <w:pStyle w:val="6"/>
              <w:spacing w:before="92" w:line="219" w:lineRule="auto"/>
              <w:ind w:left="46"/>
              <w:rPr>
                <w:sz w:val="18"/>
                <w:szCs w:val="18"/>
              </w:rPr>
            </w:pPr>
            <w:r>
              <w:rPr>
                <w:spacing w:val="1"/>
                <w:sz w:val="18"/>
                <w:szCs w:val="18"/>
              </w:rPr>
              <w:t>安全管理机构</w:t>
            </w:r>
          </w:p>
        </w:tc>
      </w:tr>
      <w:tr w14:paraId="7AF0A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20" w:type="dxa"/>
            <w:vMerge w:val="continue"/>
            <w:tcBorders>
              <w:top w:val="nil"/>
              <w:left w:val="nil"/>
              <w:bottom w:val="nil"/>
            </w:tcBorders>
            <w:vAlign w:val="top"/>
          </w:tcPr>
          <w:p w14:paraId="4B3D8F15">
            <w:pPr>
              <w:rPr>
                <w:rFonts w:ascii="Arial"/>
                <w:sz w:val="21"/>
              </w:rPr>
            </w:pPr>
          </w:p>
        </w:tc>
        <w:tc>
          <w:tcPr>
            <w:tcW w:w="1169" w:type="dxa"/>
            <w:vMerge w:val="continue"/>
            <w:tcBorders>
              <w:top w:val="nil"/>
              <w:bottom w:val="nil"/>
            </w:tcBorders>
            <w:vAlign w:val="top"/>
          </w:tcPr>
          <w:p w14:paraId="45E8E4E7">
            <w:pPr>
              <w:rPr>
                <w:rFonts w:ascii="Arial"/>
                <w:sz w:val="21"/>
              </w:rPr>
            </w:pPr>
          </w:p>
        </w:tc>
        <w:tc>
          <w:tcPr>
            <w:tcW w:w="2130" w:type="dxa"/>
            <w:vAlign w:val="top"/>
          </w:tcPr>
          <w:p w14:paraId="2E57A524">
            <w:pPr>
              <w:pStyle w:val="6"/>
              <w:spacing w:before="94" w:line="219" w:lineRule="auto"/>
              <w:ind w:left="516"/>
              <w:rPr>
                <w:sz w:val="18"/>
                <w:szCs w:val="18"/>
              </w:rPr>
            </w:pPr>
            <w:r>
              <w:rPr>
                <w:spacing w:val="-2"/>
                <w:sz w:val="18"/>
                <w:szCs w:val="18"/>
              </w:rPr>
              <w:t>人员安全管理</w:t>
            </w:r>
          </w:p>
        </w:tc>
        <w:tc>
          <w:tcPr>
            <w:tcW w:w="4300" w:type="dxa"/>
            <w:tcBorders>
              <w:right w:val="nil"/>
            </w:tcBorders>
            <w:vAlign w:val="top"/>
          </w:tcPr>
          <w:p w14:paraId="1F42216E">
            <w:pPr>
              <w:pStyle w:val="6"/>
              <w:spacing w:before="94" w:line="219" w:lineRule="auto"/>
              <w:ind w:left="46"/>
              <w:rPr>
                <w:sz w:val="18"/>
                <w:szCs w:val="18"/>
              </w:rPr>
            </w:pPr>
            <w:r>
              <w:rPr>
                <w:spacing w:val="4"/>
                <w:sz w:val="18"/>
                <w:szCs w:val="18"/>
              </w:rPr>
              <w:t>安全管理人员</w:t>
            </w:r>
          </w:p>
        </w:tc>
      </w:tr>
      <w:tr w14:paraId="5B14B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20" w:type="dxa"/>
            <w:vMerge w:val="continue"/>
            <w:tcBorders>
              <w:top w:val="nil"/>
              <w:left w:val="nil"/>
              <w:bottom w:val="nil"/>
            </w:tcBorders>
            <w:vAlign w:val="top"/>
          </w:tcPr>
          <w:p w14:paraId="4523E7CA">
            <w:pPr>
              <w:rPr>
                <w:rFonts w:ascii="Arial"/>
                <w:sz w:val="21"/>
              </w:rPr>
            </w:pPr>
          </w:p>
        </w:tc>
        <w:tc>
          <w:tcPr>
            <w:tcW w:w="1169" w:type="dxa"/>
            <w:vMerge w:val="continue"/>
            <w:tcBorders>
              <w:top w:val="nil"/>
              <w:bottom w:val="nil"/>
            </w:tcBorders>
            <w:vAlign w:val="top"/>
          </w:tcPr>
          <w:p w14:paraId="6024096D">
            <w:pPr>
              <w:rPr>
                <w:rFonts w:ascii="Arial"/>
                <w:sz w:val="21"/>
              </w:rPr>
            </w:pPr>
          </w:p>
        </w:tc>
        <w:tc>
          <w:tcPr>
            <w:tcW w:w="2130" w:type="dxa"/>
            <w:vAlign w:val="top"/>
          </w:tcPr>
          <w:p w14:paraId="5ED10A6C">
            <w:pPr>
              <w:pStyle w:val="6"/>
              <w:spacing w:before="95" w:line="219" w:lineRule="auto"/>
              <w:ind w:left="516"/>
              <w:rPr>
                <w:sz w:val="18"/>
                <w:szCs w:val="18"/>
              </w:rPr>
            </w:pPr>
            <w:r>
              <w:rPr>
                <w:spacing w:val="-2"/>
                <w:sz w:val="18"/>
                <w:szCs w:val="18"/>
              </w:rPr>
              <w:t>系统建设管理</w:t>
            </w:r>
          </w:p>
        </w:tc>
        <w:tc>
          <w:tcPr>
            <w:tcW w:w="4300" w:type="dxa"/>
            <w:tcBorders>
              <w:right w:val="nil"/>
            </w:tcBorders>
            <w:vAlign w:val="top"/>
          </w:tcPr>
          <w:p w14:paraId="3F37E668">
            <w:pPr>
              <w:pStyle w:val="6"/>
              <w:spacing w:before="95" w:line="219" w:lineRule="auto"/>
              <w:ind w:left="46"/>
              <w:rPr>
                <w:sz w:val="18"/>
                <w:szCs w:val="18"/>
              </w:rPr>
            </w:pPr>
            <w:r>
              <w:rPr>
                <w:spacing w:val="-2"/>
                <w:sz w:val="18"/>
                <w:szCs w:val="18"/>
              </w:rPr>
              <w:t>安全建设管理</w:t>
            </w:r>
          </w:p>
        </w:tc>
      </w:tr>
      <w:tr w14:paraId="364E0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720" w:type="dxa"/>
            <w:vMerge w:val="continue"/>
            <w:tcBorders>
              <w:top w:val="nil"/>
              <w:left w:val="nil"/>
            </w:tcBorders>
            <w:vAlign w:val="top"/>
          </w:tcPr>
          <w:p w14:paraId="293E64F3">
            <w:pPr>
              <w:rPr>
                <w:rFonts w:ascii="Arial"/>
                <w:sz w:val="21"/>
              </w:rPr>
            </w:pPr>
          </w:p>
        </w:tc>
        <w:tc>
          <w:tcPr>
            <w:tcW w:w="1169" w:type="dxa"/>
            <w:vMerge w:val="continue"/>
            <w:tcBorders>
              <w:top w:val="nil"/>
            </w:tcBorders>
            <w:vAlign w:val="top"/>
          </w:tcPr>
          <w:p w14:paraId="67C61248">
            <w:pPr>
              <w:rPr>
                <w:rFonts w:ascii="Arial"/>
                <w:sz w:val="21"/>
              </w:rPr>
            </w:pPr>
          </w:p>
        </w:tc>
        <w:tc>
          <w:tcPr>
            <w:tcW w:w="2130" w:type="dxa"/>
            <w:vAlign w:val="top"/>
          </w:tcPr>
          <w:p w14:paraId="67AA7771">
            <w:pPr>
              <w:pStyle w:val="6"/>
              <w:spacing w:before="96" w:line="219" w:lineRule="auto"/>
              <w:ind w:left="516"/>
              <w:rPr>
                <w:sz w:val="18"/>
                <w:szCs w:val="18"/>
              </w:rPr>
            </w:pPr>
            <w:r>
              <w:rPr>
                <w:spacing w:val="-2"/>
                <w:sz w:val="18"/>
                <w:szCs w:val="18"/>
              </w:rPr>
              <w:t>系统运维管理</w:t>
            </w:r>
          </w:p>
        </w:tc>
        <w:tc>
          <w:tcPr>
            <w:tcW w:w="4300" w:type="dxa"/>
            <w:tcBorders>
              <w:right w:val="nil"/>
            </w:tcBorders>
            <w:vAlign w:val="top"/>
          </w:tcPr>
          <w:p w14:paraId="18847876">
            <w:pPr>
              <w:pStyle w:val="6"/>
              <w:spacing w:before="96" w:line="219" w:lineRule="auto"/>
              <w:ind w:left="46"/>
              <w:rPr>
                <w:sz w:val="18"/>
                <w:szCs w:val="18"/>
              </w:rPr>
            </w:pPr>
            <w:r>
              <w:rPr>
                <w:spacing w:val="-2"/>
                <w:sz w:val="18"/>
                <w:szCs w:val="18"/>
              </w:rPr>
              <w:t>安全运维管理</w:t>
            </w:r>
          </w:p>
        </w:tc>
      </w:tr>
    </w:tbl>
    <w:p w14:paraId="5BA540D8">
      <w:pPr>
        <w:pStyle w:val="2"/>
        <w:spacing w:before="219" w:line="285" w:lineRule="auto"/>
        <w:ind w:right="295" w:firstLine="399"/>
        <w:rPr>
          <w:sz w:val="20"/>
          <w:szCs w:val="20"/>
        </w:rPr>
      </w:pPr>
      <w:r>
        <w:rPr>
          <w:spacing w:val="5"/>
          <w:sz w:val="20"/>
          <w:szCs w:val="20"/>
        </w:rPr>
        <w:t>相较等保1.0,等保2.0在保护范围、法律效力、参考标准、定级流程、备案流程、保护重</w:t>
      </w:r>
      <w:r>
        <w:rPr>
          <w:spacing w:val="8"/>
          <w:sz w:val="20"/>
          <w:szCs w:val="20"/>
        </w:rPr>
        <w:t xml:space="preserve"> </w:t>
      </w:r>
      <w:r>
        <w:rPr>
          <w:spacing w:val="-2"/>
          <w:sz w:val="20"/>
          <w:szCs w:val="20"/>
        </w:rPr>
        <w:t>点、保护思路等方面都发生了较大的变化，具体体现为</w:t>
      </w:r>
      <w:r>
        <w:rPr>
          <w:spacing w:val="-3"/>
          <w:sz w:val="20"/>
          <w:szCs w:val="20"/>
        </w:rPr>
        <w:t>以下五点：</w:t>
      </w:r>
    </w:p>
    <w:p w14:paraId="3CF8CBD5">
      <w:pPr>
        <w:pStyle w:val="2"/>
        <w:spacing w:before="15" w:line="253" w:lineRule="auto"/>
        <w:ind w:right="297" w:firstLine="399"/>
        <w:rPr>
          <w:sz w:val="20"/>
          <w:szCs w:val="20"/>
        </w:rPr>
      </w:pPr>
      <w:r>
        <w:rPr>
          <w:spacing w:val="3"/>
          <w:sz w:val="20"/>
          <w:szCs w:val="20"/>
        </w:rPr>
        <w:t>(1)等保2.0以《中华人民共和国网络安全法》《中华人民共和国保</w:t>
      </w:r>
      <w:r>
        <w:rPr>
          <w:spacing w:val="2"/>
          <w:sz w:val="20"/>
          <w:szCs w:val="20"/>
        </w:rPr>
        <w:t>守国家秘密法》等法律</w:t>
      </w:r>
      <w:r>
        <w:rPr>
          <w:sz w:val="20"/>
          <w:szCs w:val="20"/>
        </w:rPr>
        <w:t xml:space="preserve"> </w:t>
      </w:r>
      <w:r>
        <w:rPr>
          <w:spacing w:val="-3"/>
          <w:sz w:val="20"/>
          <w:szCs w:val="20"/>
        </w:rPr>
        <w:t>为顶层设计，法律效力更强。</w:t>
      </w:r>
    </w:p>
    <w:p w14:paraId="475FFB9A">
      <w:pPr>
        <w:pStyle w:val="2"/>
        <w:spacing w:before="91" w:line="247" w:lineRule="auto"/>
        <w:ind w:right="295" w:firstLine="399"/>
        <w:rPr>
          <w:sz w:val="20"/>
          <w:szCs w:val="20"/>
        </w:rPr>
      </w:pPr>
      <w:r>
        <w:rPr>
          <w:spacing w:val="8"/>
          <w:sz w:val="20"/>
          <w:szCs w:val="20"/>
        </w:rPr>
        <w:t>(2)等保2.0在等保1.0的标准体系上进行了修订，并增加了</w:t>
      </w:r>
      <w:r>
        <w:rPr>
          <w:rFonts w:ascii="Times New Roman" w:hAnsi="Times New Roman" w:eastAsia="Times New Roman" w:cs="Times New Roman"/>
          <w:sz w:val="20"/>
          <w:szCs w:val="20"/>
        </w:rPr>
        <w:t>GB</w:t>
      </w:r>
      <w:r>
        <w:rPr>
          <w:rFonts w:ascii="Times New Roman" w:hAnsi="Times New Roman" w:eastAsia="Times New Roman" w:cs="Times New Roman"/>
          <w:spacing w:val="8"/>
          <w:sz w:val="20"/>
          <w:szCs w:val="20"/>
        </w:rPr>
        <w:t>/T  36627</w:t>
      </w:r>
      <w:r>
        <w:rPr>
          <w:spacing w:val="8"/>
          <w:sz w:val="20"/>
          <w:szCs w:val="20"/>
        </w:rPr>
        <w:t>《</w:t>
      </w:r>
      <w:r>
        <w:rPr>
          <w:spacing w:val="7"/>
          <w:sz w:val="20"/>
          <w:szCs w:val="20"/>
        </w:rPr>
        <w:t>信息安全技术</w:t>
      </w:r>
      <w:r>
        <w:rPr>
          <w:sz w:val="20"/>
          <w:szCs w:val="20"/>
        </w:rPr>
        <w:t xml:space="preserve"> </w:t>
      </w:r>
      <w:r>
        <w:rPr>
          <w:spacing w:val="-2"/>
          <w:sz w:val="20"/>
          <w:szCs w:val="20"/>
        </w:rPr>
        <w:t>网络安全等级保护测试评估技术指南》等新的技术标</w:t>
      </w:r>
      <w:r>
        <w:rPr>
          <w:spacing w:val="-3"/>
          <w:sz w:val="20"/>
          <w:szCs w:val="20"/>
        </w:rPr>
        <w:t>准。</w:t>
      </w:r>
    </w:p>
    <w:p w14:paraId="47188EDE">
      <w:pPr>
        <w:pStyle w:val="2"/>
        <w:spacing w:before="65" w:line="262" w:lineRule="auto"/>
        <w:ind w:right="297" w:firstLine="399"/>
        <w:rPr>
          <w:sz w:val="20"/>
          <w:szCs w:val="20"/>
        </w:rPr>
      </w:pPr>
      <w:r>
        <w:rPr>
          <w:spacing w:val="8"/>
          <w:sz w:val="20"/>
          <w:szCs w:val="20"/>
        </w:rPr>
        <w:t>(3)在定级原则方面，等保2.0将原有的“自主定级、自主保</w:t>
      </w:r>
      <w:r>
        <w:rPr>
          <w:spacing w:val="7"/>
          <w:sz w:val="20"/>
          <w:szCs w:val="20"/>
        </w:rPr>
        <w:t>护”原则变成了国家行政机</w:t>
      </w:r>
      <w:r>
        <w:rPr>
          <w:sz w:val="20"/>
          <w:szCs w:val="20"/>
        </w:rPr>
        <w:t xml:space="preserve"> </w:t>
      </w:r>
      <w:r>
        <w:rPr>
          <w:spacing w:val="-2"/>
          <w:sz w:val="20"/>
          <w:szCs w:val="20"/>
        </w:rPr>
        <w:t>关持续监督的“明确等级、增强保护、常态监督”方式。</w:t>
      </w:r>
    </w:p>
    <w:p w14:paraId="774B375D">
      <w:pPr>
        <w:pStyle w:val="2"/>
        <w:spacing w:before="73" w:line="219" w:lineRule="auto"/>
        <w:ind w:left="399"/>
        <w:rPr>
          <w:sz w:val="20"/>
          <w:szCs w:val="20"/>
        </w:rPr>
      </w:pPr>
      <w:r>
        <w:rPr>
          <w:spacing w:val="2"/>
          <w:sz w:val="20"/>
          <w:szCs w:val="20"/>
        </w:rPr>
        <w:t>(4)对关键信息基础设施提出了“定级原则上不低于三</w:t>
      </w:r>
      <w:r>
        <w:rPr>
          <w:spacing w:val="1"/>
          <w:sz w:val="20"/>
          <w:szCs w:val="20"/>
        </w:rPr>
        <w:t>级”的指导意见。</w:t>
      </w:r>
    </w:p>
    <w:p w14:paraId="58A80972">
      <w:pPr>
        <w:pStyle w:val="2"/>
        <w:spacing w:before="72" w:line="258" w:lineRule="auto"/>
        <w:ind w:right="288" w:firstLine="399"/>
        <w:rPr>
          <w:sz w:val="20"/>
          <w:szCs w:val="20"/>
        </w:rPr>
      </w:pPr>
      <w:r>
        <w:rPr>
          <w:spacing w:val="8"/>
          <w:sz w:val="20"/>
          <w:szCs w:val="20"/>
        </w:rPr>
        <w:t>(5)在备案流程方面，等保2.0明确了定级流程，包括确定定级对象</w:t>
      </w:r>
      <w:r>
        <w:rPr>
          <w:spacing w:val="7"/>
          <w:sz w:val="20"/>
          <w:szCs w:val="20"/>
        </w:rPr>
        <w:t>、初步确定等级、专</w:t>
      </w:r>
      <w:r>
        <w:rPr>
          <w:sz w:val="20"/>
          <w:szCs w:val="20"/>
        </w:rPr>
        <w:t xml:space="preserve"> </w:t>
      </w:r>
      <w:r>
        <w:rPr>
          <w:spacing w:val="5"/>
          <w:sz w:val="20"/>
          <w:szCs w:val="20"/>
        </w:rPr>
        <w:t>家评审、主管部门审核、公安机关备案审查，弥补了等保1.0时代只能按照定级要素进行级别</w:t>
      </w:r>
      <w:r>
        <w:rPr>
          <w:spacing w:val="15"/>
          <w:sz w:val="20"/>
          <w:szCs w:val="20"/>
        </w:rPr>
        <w:t xml:space="preserve"> </w:t>
      </w:r>
      <w:r>
        <w:rPr>
          <w:spacing w:val="-4"/>
          <w:sz w:val="20"/>
          <w:szCs w:val="20"/>
        </w:rPr>
        <w:t>识别、没有严格流程等方面的不足。</w:t>
      </w:r>
    </w:p>
    <w:p w14:paraId="7D4590C9">
      <w:pPr>
        <w:pStyle w:val="2"/>
        <w:spacing w:before="71" w:line="281" w:lineRule="auto"/>
        <w:ind w:right="314" w:firstLine="399"/>
        <w:rPr>
          <w:sz w:val="20"/>
          <w:szCs w:val="20"/>
        </w:rPr>
      </w:pPr>
      <w:r>
        <w:rPr>
          <w:spacing w:val="6"/>
          <w:sz w:val="20"/>
          <w:szCs w:val="20"/>
        </w:rPr>
        <w:t>依据</w:t>
      </w:r>
      <w:r>
        <w:rPr>
          <w:rFonts w:ascii="Times New Roman" w:hAnsi="Times New Roman" w:eastAsia="Times New Roman" w:cs="Times New Roman"/>
          <w:sz w:val="20"/>
          <w:szCs w:val="20"/>
        </w:rPr>
        <w:t>GB</w:t>
      </w:r>
      <w:r>
        <w:rPr>
          <w:rFonts w:ascii="Times New Roman" w:hAnsi="Times New Roman" w:eastAsia="Times New Roman" w:cs="Times New Roman"/>
          <w:spacing w:val="6"/>
          <w:sz w:val="20"/>
          <w:szCs w:val="20"/>
        </w:rPr>
        <w:t>/T  25058</w:t>
      </w:r>
      <w:r>
        <w:rPr>
          <w:spacing w:val="6"/>
          <w:sz w:val="20"/>
          <w:szCs w:val="20"/>
        </w:rPr>
        <w:t>《信息安全技术网络安全等级保护实施指南》等技</w:t>
      </w:r>
      <w:r>
        <w:rPr>
          <w:spacing w:val="5"/>
          <w:sz w:val="20"/>
          <w:szCs w:val="20"/>
        </w:rPr>
        <w:t>术规范，等级保护整</w:t>
      </w:r>
      <w:r>
        <w:rPr>
          <w:sz w:val="20"/>
          <w:szCs w:val="20"/>
        </w:rPr>
        <w:t xml:space="preserve"> </w:t>
      </w:r>
      <w:r>
        <w:rPr>
          <w:spacing w:val="-1"/>
          <w:sz w:val="20"/>
          <w:szCs w:val="20"/>
        </w:rPr>
        <w:t>体流程包括：系统定级、专家评审、网安备案、系统测评、系统整改、复测、出具报告等。</w:t>
      </w:r>
    </w:p>
    <w:p w14:paraId="27FED6ED">
      <w:pPr>
        <w:pStyle w:val="2"/>
        <w:spacing w:before="159" w:line="219" w:lineRule="auto"/>
        <w:ind w:left="2"/>
        <w:rPr>
          <w:sz w:val="25"/>
          <w:szCs w:val="25"/>
        </w:rPr>
      </w:pPr>
      <w:r>
        <w:rPr>
          <w:b/>
          <w:bCs/>
          <w:color w:val="0071E3"/>
          <w:spacing w:val="-18"/>
          <w:sz w:val="25"/>
          <w:szCs w:val="25"/>
        </w:rPr>
        <w:t>6.4.2</w:t>
      </w:r>
      <w:r>
        <w:rPr>
          <w:color w:val="0071E3"/>
          <w:spacing w:val="-18"/>
          <w:sz w:val="25"/>
          <w:szCs w:val="25"/>
        </w:rPr>
        <w:t xml:space="preserve">  </w:t>
      </w:r>
      <w:r>
        <w:rPr>
          <w:b/>
          <w:bCs/>
          <w:color w:val="0071E3"/>
          <w:spacing w:val="-18"/>
          <w:sz w:val="25"/>
          <w:szCs w:val="25"/>
        </w:rPr>
        <w:t>网络安全等级保护基本要求</w:t>
      </w:r>
    </w:p>
    <w:p w14:paraId="538116E4">
      <w:pPr>
        <w:pStyle w:val="2"/>
        <w:spacing w:before="252" w:line="221" w:lineRule="auto"/>
        <w:ind w:left="402"/>
        <w:rPr>
          <w:rFonts w:ascii="黑体" w:hAnsi="黑体" w:eastAsia="黑体" w:cs="黑体"/>
          <w:sz w:val="20"/>
          <w:szCs w:val="20"/>
        </w:rPr>
      </w:pPr>
      <w:r>
        <w:rPr>
          <w:b/>
          <w:bCs/>
          <w:color w:val="0064C9"/>
          <w:spacing w:val="-4"/>
          <w:sz w:val="20"/>
          <w:szCs w:val="20"/>
        </w:rPr>
        <w:t>1.</w:t>
      </w:r>
      <w:r>
        <w:rPr>
          <w:rFonts w:ascii="黑体" w:hAnsi="黑体" w:eastAsia="黑体" w:cs="黑体"/>
          <w:b/>
          <w:bCs/>
          <w:color w:val="0064C9"/>
          <w:spacing w:val="-4"/>
          <w:sz w:val="20"/>
          <w:szCs w:val="20"/>
        </w:rPr>
        <w:t>信息系统安全等级保护的定级要素</w:t>
      </w:r>
    </w:p>
    <w:p w14:paraId="07A28A94">
      <w:pPr>
        <w:pStyle w:val="2"/>
        <w:spacing w:before="154" w:line="264" w:lineRule="auto"/>
        <w:ind w:right="289" w:firstLine="399"/>
        <w:rPr>
          <w:sz w:val="20"/>
          <w:szCs w:val="20"/>
        </w:rPr>
      </w:pPr>
      <w:r>
        <w:rPr>
          <w:spacing w:val="3"/>
          <w:sz w:val="20"/>
          <w:szCs w:val="20"/>
        </w:rPr>
        <w:t>信息系统安全等级保护就是在等级保护对象受到信息安全攻击的破坏时，使其遭受侵害的</w:t>
      </w:r>
      <w:r>
        <w:rPr>
          <w:spacing w:val="7"/>
          <w:sz w:val="20"/>
          <w:szCs w:val="20"/>
        </w:rPr>
        <w:t xml:space="preserve"> </w:t>
      </w:r>
      <w:r>
        <w:rPr>
          <w:spacing w:val="-2"/>
          <w:sz w:val="20"/>
          <w:szCs w:val="20"/>
        </w:rPr>
        <w:t>程度、范围可以得到控制，或避免其遭受侵害。</w:t>
      </w:r>
    </w:p>
    <w:p w14:paraId="44693125">
      <w:pPr>
        <w:pStyle w:val="2"/>
        <w:spacing w:before="30" w:line="219" w:lineRule="auto"/>
        <w:ind w:left="399"/>
        <w:rPr>
          <w:sz w:val="20"/>
          <w:szCs w:val="20"/>
        </w:rPr>
      </w:pPr>
      <w:r>
        <w:rPr>
          <w:spacing w:val="-1"/>
          <w:sz w:val="20"/>
          <w:szCs w:val="20"/>
        </w:rPr>
        <w:t>等级保护对象的定级要素包括：受侵害的客体、</w:t>
      </w:r>
      <w:r>
        <w:rPr>
          <w:spacing w:val="-2"/>
          <w:sz w:val="20"/>
          <w:szCs w:val="20"/>
        </w:rPr>
        <w:t>对客体的侵害程度。</w:t>
      </w:r>
    </w:p>
    <w:p w14:paraId="5946E44A">
      <w:pPr>
        <w:pStyle w:val="2"/>
        <w:spacing w:before="72" w:line="219" w:lineRule="auto"/>
        <w:ind w:left="399"/>
        <w:rPr>
          <w:sz w:val="20"/>
          <w:szCs w:val="20"/>
        </w:rPr>
      </w:pPr>
      <w:r>
        <w:rPr>
          <w:spacing w:val="1"/>
          <w:sz w:val="20"/>
          <w:szCs w:val="20"/>
        </w:rPr>
        <w:t>(1)等级保护对象受到破坏时所侵害的客体包括：</w:t>
      </w:r>
    </w:p>
    <w:p w14:paraId="25C47136">
      <w:pPr>
        <w:spacing w:line="219" w:lineRule="auto"/>
        <w:rPr>
          <w:sz w:val="20"/>
          <w:szCs w:val="20"/>
        </w:rPr>
        <w:sectPr>
          <w:pgSz w:w="10290" w:h="13300"/>
          <w:pgMar w:top="389" w:right="574" w:bottom="400" w:left="1100" w:header="0" w:footer="0" w:gutter="0"/>
          <w:cols w:space="720" w:num="1"/>
        </w:sectPr>
      </w:pPr>
    </w:p>
    <w:p w14:paraId="6811706D">
      <w:pPr>
        <w:pStyle w:val="2"/>
        <w:spacing w:before="77" w:line="219" w:lineRule="auto"/>
        <w:rPr>
          <w:sz w:val="19"/>
          <w:szCs w:val="19"/>
        </w:rPr>
      </w:pPr>
      <w:bookmarkStart w:id="576" w:name="bookmark561"/>
      <w:bookmarkEnd w:id="576"/>
      <w:r>
        <w:rPr>
          <w:rFonts w:ascii="Times New Roman" w:hAnsi="Times New Roman" w:eastAsia="Times New Roman" w:cs="Times New Roman"/>
          <w:spacing w:val="3"/>
          <w:position w:val="-1"/>
          <w:sz w:val="19"/>
          <w:szCs w:val="19"/>
        </w:rPr>
        <w:t xml:space="preserve">184              </w:t>
      </w:r>
      <w:r>
        <w:rPr>
          <w:spacing w:val="3"/>
          <w:sz w:val="19"/>
          <w:szCs w:val="19"/>
        </w:rPr>
        <w:t>信息系统监理师教程(第2版)</w:t>
      </w:r>
    </w:p>
    <w:p w14:paraId="5C8D5F78">
      <w:pPr>
        <w:spacing w:line="350" w:lineRule="auto"/>
        <w:rPr>
          <w:rFonts w:ascii="Arial"/>
          <w:sz w:val="21"/>
        </w:rPr>
      </w:pPr>
    </w:p>
    <w:p w14:paraId="43A84D38">
      <w:pPr>
        <w:pStyle w:val="2"/>
        <w:spacing w:before="62" w:line="219" w:lineRule="auto"/>
        <w:ind w:left="760"/>
        <w:rPr>
          <w:sz w:val="19"/>
          <w:szCs w:val="19"/>
        </w:rPr>
      </w:pPr>
      <w:r>
        <w:rPr>
          <w:spacing w:val="9"/>
          <w:sz w:val="19"/>
          <w:szCs w:val="19"/>
        </w:rPr>
        <w:t>●公民、法人和其他组织的合法权益；</w:t>
      </w:r>
    </w:p>
    <w:p w14:paraId="0D736202">
      <w:pPr>
        <w:pStyle w:val="2"/>
        <w:spacing w:before="103" w:line="219" w:lineRule="auto"/>
        <w:ind w:left="760"/>
        <w:rPr>
          <w:sz w:val="19"/>
          <w:szCs w:val="19"/>
        </w:rPr>
      </w:pPr>
      <w:r>
        <w:rPr>
          <w:spacing w:val="11"/>
          <w:sz w:val="19"/>
          <w:szCs w:val="19"/>
        </w:rPr>
        <w:t>●社会秩序、公共利益；</w:t>
      </w:r>
    </w:p>
    <w:p w14:paraId="1F603EA7">
      <w:pPr>
        <w:pStyle w:val="2"/>
        <w:spacing w:before="96" w:line="220" w:lineRule="auto"/>
        <w:ind w:left="760"/>
        <w:rPr>
          <w:sz w:val="19"/>
          <w:szCs w:val="19"/>
        </w:rPr>
      </w:pPr>
      <w:r>
        <w:rPr>
          <w:spacing w:val="7"/>
          <w:sz w:val="19"/>
          <w:szCs w:val="19"/>
        </w:rPr>
        <w:t>●</w:t>
      </w:r>
      <w:r>
        <w:rPr>
          <w:spacing w:val="-33"/>
          <w:sz w:val="19"/>
          <w:szCs w:val="19"/>
        </w:rPr>
        <w:t xml:space="preserve"> </w:t>
      </w:r>
      <w:r>
        <w:rPr>
          <w:spacing w:val="7"/>
          <w:sz w:val="19"/>
          <w:szCs w:val="19"/>
        </w:rPr>
        <w:t>国家安全。</w:t>
      </w:r>
    </w:p>
    <w:p w14:paraId="228AC0E4">
      <w:pPr>
        <w:pStyle w:val="2"/>
        <w:spacing w:before="93" w:line="220" w:lineRule="auto"/>
        <w:ind w:left="760"/>
        <w:rPr>
          <w:sz w:val="19"/>
          <w:szCs w:val="19"/>
        </w:rPr>
      </w:pPr>
      <w:r>
        <w:rPr>
          <w:spacing w:val="12"/>
          <w:sz w:val="19"/>
          <w:szCs w:val="19"/>
        </w:rPr>
        <w:t>(2)对客体造成侵害的程度。</w:t>
      </w:r>
    </w:p>
    <w:p w14:paraId="61E5E34A">
      <w:pPr>
        <w:pStyle w:val="2"/>
        <w:spacing w:before="64" w:line="312" w:lineRule="auto"/>
        <w:ind w:left="359" w:right="63" w:firstLine="400"/>
        <w:jc w:val="both"/>
        <w:rPr>
          <w:sz w:val="19"/>
          <w:szCs w:val="19"/>
        </w:rPr>
      </w:pPr>
      <w:r>
        <w:rPr>
          <w:spacing w:val="13"/>
          <w:sz w:val="19"/>
          <w:szCs w:val="19"/>
        </w:rPr>
        <w:t>对客体的侵害程度由客观方面的不同外在表现综合决定。由于对客体的侵害是通过对等级</w:t>
      </w:r>
      <w:r>
        <w:rPr>
          <w:spacing w:val="3"/>
          <w:sz w:val="19"/>
          <w:szCs w:val="19"/>
        </w:rPr>
        <w:t xml:space="preserve"> </w:t>
      </w:r>
      <w:r>
        <w:rPr>
          <w:spacing w:val="13"/>
          <w:sz w:val="19"/>
          <w:szCs w:val="19"/>
        </w:rPr>
        <w:t>保护对象的破坏实现的，因此，对客体的侵害外在表现为对等级保护对象的破</w:t>
      </w:r>
      <w:r>
        <w:rPr>
          <w:spacing w:val="12"/>
          <w:sz w:val="19"/>
          <w:szCs w:val="19"/>
        </w:rPr>
        <w:t>坏，通过危害方</w:t>
      </w:r>
      <w:r>
        <w:rPr>
          <w:sz w:val="19"/>
          <w:szCs w:val="19"/>
        </w:rPr>
        <w:t xml:space="preserve"> </w:t>
      </w:r>
      <w:r>
        <w:rPr>
          <w:spacing w:val="7"/>
          <w:sz w:val="19"/>
          <w:szCs w:val="19"/>
        </w:rPr>
        <w:t>式、危害后果和危害程度加以描述。</w:t>
      </w:r>
    </w:p>
    <w:p w14:paraId="153753A7">
      <w:pPr>
        <w:pStyle w:val="2"/>
        <w:spacing w:before="6" w:line="307" w:lineRule="auto"/>
        <w:ind w:left="359" w:firstLine="400"/>
        <w:rPr>
          <w:sz w:val="19"/>
          <w:szCs w:val="19"/>
        </w:rPr>
      </w:pPr>
      <w:r>
        <w:rPr>
          <w:spacing w:val="15"/>
          <w:sz w:val="19"/>
          <w:szCs w:val="19"/>
        </w:rPr>
        <w:t>等级保护对象受到破坏后对客体造成侵害的程度归结为：造成一</w:t>
      </w:r>
      <w:r>
        <w:rPr>
          <w:spacing w:val="14"/>
          <w:sz w:val="19"/>
          <w:szCs w:val="19"/>
        </w:rPr>
        <w:t>般损害、造成严重损害、</w:t>
      </w:r>
      <w:r>
        <w:rPr>
          <w:sz w:val="19"/>
          <w:szCs w:val="19"/>
        </w:rPr>
        <w:t xml:space="preserve"> </w:t>
      </w:r>
      <w:r>
        <w:rPr>
          <w:spacing w:val="5"/>
          <w:sz w:val="19"/>
          <w:szCs w:val="19"/>
        </w:rPr>
        <w:t>造成特别严重损害。</w:t>
      </w:r>
    </w:p>
    <w:p w14:paraId="25BD7DAD">
      <w:pPr>
        <w:pStyle w:val="2"/>
        <w:spacing w:before="94" w:line="221" w:lineRule="auto"/>
        <w:ind w:left="762"/>
        <w:rPr>
          <w:rFonts w:ascii="黑体" w:hAnsi="黑体" w:eastAsia="黑体" w:cs="黑体"/>
          <w:sz w:val="19"/>
          <w:szCs w:val="19"/>
        </w:rPr>
      </w:pPr>
      <w:r>
        <w:rPr>
          <w:b/>
          <w:bCs/>
          <w:color w:val="008ADA"/>
          <w:spacing w:val="6"/>
          <w:sz w:val="19"/>
          <w:szCs w:val="19"/>
        </w:rPr>
        <w:t>2.</w:t>
      </w:r>
      <w:r>
        <w:rPr>
          <w:rFonts w:ascii="黑体" w:hAnsi="黑体" w:eastAsia="黑体" w:cs="黑体"/>
          <w:b/>
          <w:bCs/>
          <w:color w:val="008ADA"/>
          <w:spacing w:val="6"/>
          <w:sz w:val="19"/>
          <w:szCs w:val="19"/>
        </w:rPr>
        <w:t>定级要素与等级的关系</w:t>
      </w:r>
    </w:p>
    <w:p w14:paraId="7CEB2A96">
      <w:pPr>
        <w:pStyle w:val="2"/>
        <w:spacing w:before="155" w:line="303" w:lineRule="auto"/>
        <w:ind w:left="359" w:right="54" w:firstLine="400"/>
        <w:jc w:val="both"/>
        <w:rPr>
          <w:sz w:val="19"/>
          <w:szCs w:val="19"/>
        </w:rPr>
      </w:pPr>
      <w:r>
        <w:rPr>
          <w:spacing w:val="19"/>
          <w:sz w:val="19"/>
          <w:szCs w:val="19"/>
        </w:rPr>
        <w:t>区分了受侵害的客体，确定了等级保护对象受到破坏后对</w:t>
      </w:r>
      <w:r>
        <w:rPr>
          <w:spacing w:val="18"/>
          <w:sz w:val="19"/>
          <w:szCs w:val="19"/>
        </w:rPr>
        <w:t>客体造成侵害的程度，也就明</w:t>
      </w:r>
      <w:r>
        <w:rPr>
          <w:sz w:val="19"/>
          <w:szCs w:val="19"/>
        </w:rPr>
        <w:t xml:space="preserve"> </w:t>
      </w:r>
      <w:r>
        <w:rPr>
          <w:spacing w:val="20"/>
          <w:sz w:val="19"/>
          <w:szCs w:val="19"/>
        </w:rPr>
        <w:t>确了其与信息系统安全保护等级的关系。定级要素与信息系统安全保护等级的关系</w:t>
      </w:r>
      <w:r>
        <w:rPr>
          <w:spacing w:val="19"/>
          <w:sz w:val="19"/>
          <w:szCs w:val="19"/>
        </w:rPr>
        <w:t>如表6-2</w:t>
      </w:r>
      <w:r>
        <w:rPr>
          <w:sz w:val="19"/>
          <w:szCs w:val="19"/>
        </w:rPr>
        <w:t xml:space="preserve"> </w:t>
      </w:r>
      <w:r>
        <w:rPr>
          <w:spacing w:val="5"/>
          <w:sz w:val="19"/>
          <w:szCs w:val="19"/>
        </w:rPr>
        <w:t>所示。</w:t>
      </w:r>
    </w:p>
    <w:p w14:paraId="4FC9D558">
      <w:pPr>
        <w:spacing w:before="72" w:line="221" w:lineRule="auto"/>
        <w:ind w:left="2952"/>
        <w:rPr>
          <w:rFonts w:ascii="黑体" w:hAnsi="黑体" w:eastAsia="黑体" w:cs="黑体"/>
          <w:sz w:val="19"/>
          <w:szCs w:val="19"/>
        </w:rPr>
      </w:pPr>
      <w:r>
        <w:rPr>
          <w:rFonts w:ascii="黑体" w:hAnsi="黑体" w:eastAsia="黑体" w:cs="黑体"/>
          <w:b/>
          <w:bCs/>
          <w:spacing w:val="-10"/>
          <w:sz w:val="19"/>
          <w:szCs w:val="19"/>
        </w:rPr>
        <w:t>表6-2</w:t>
      </w:r>
      <w:r>
        <w:rPr>
          <w:rFonts w:ascii="黑体" w:hAnsi="黑体" w:eastAsia="黑体" w:cs="黑体"/>
          <w:spacing w:val="-10"/>
          <w:sz w:val="19"/>
          <w:szCs w:val="19"/>
        </w:rPr>
        <w:t xml:space="preserve">  </w:t>
      </w:r>
      <w:r>
        <w:rPr>
          <w:rFonts w:ascii="黑体" w:hAnsi="黑体" w:eastAsia="黑体" w:cs="黑体"/>
          <w:b/>
          <w:bCs/>
          <w:spacing w:val="-10"/>
          <w:sz w:val="19"/>
          <w:szCs w:val="19"/>
        </w:rPr>
        <w:t>定级要素与安全保护等级的关系</w:t>
      </w:r>
    </w:p>
    <w:p w14:paraId="16C96FB6">
      <w:pPr>
        <w:spacing w:line="134" w:lineRule="exact"/>
      </w:pPr>
    </w:p>
    <w:tbl>
      <w:tblPr>
        <w:tblStyle w:val="5"/>
        <w:tblW w:w="8309"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9"/>
        <w:gridCol w:w="1910"/>
        <w:gridCol w:w="1450"/>
        <w:gridCol w:w="1670"/>
      </w:tblGrid>
      <w:tr w14:paraId="20ED3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3279" w:type="dxa"/>
            <w:vMerge w:val="restart"/>
            <w:tcBorders>
              <w:left w:val="nil"/>
              <w:bottom w:val="nil"/>
            </w:tcBorders>
            <w:vAlign w:val="top"/>
          </w:tcPr>
          <w:p w14:paraId="51D10371">
            <w:pPr>
              <w:pStyle w:val="6"/>
              <w:spacing w:before="249" w:line="219" w:lineRule="auto"/>
              <w:ind w:left="382"/>
              <w:rPr>
                <w:sz w:val="18"/>
                <w:szCs w:val="18"/>
              </w:rPr>
            </w:pPr>
            <w:r>
              <w:rPr>
                <w:b/>
                <w:bCs/>
                <w:spacing w:val="-3"/>
                <w:sz w:val="18"/>
                <w:szCs w:val="18"/>
              </w:rPr>
              <w:t>信息安全被破坏时受侵害的客体</w:t>
            </w:r>
          </w:p>
        </w:tc>
        <w:tc>
          <w:tcPr>
            <w:tcW w:w="5030" w:type="dxa"/>
            <w:gridSpan w:val="3"/>
            <w:tcBorders>
              <w:right w:val="nil"/>
            </w:tcBorders>
            <w:vAlign w:val="top"/>
          </w:tcPr>
          <w:p w14:paraId="5D2E4639">
            <w:pPr>
              <w:pStyle w:val="6"/>
              <w:spacing w:before="80" w:line="220" w:lineRule="auto"/>
              <w:ind w:left="1618"/>
              <w:rPr>
                <w:sz w:val="18"/>
                <w:szCs w:val="18"/>
              </w:rPr>
            </w:pPr>
            <w:r>
              <w:rPr>
                <w:b/>
                <w:bCs/>
                <w:spacing w:val="-3"/>
                <w:sz w:val="18"/>
                <w:szCs w:val="18"/>
              </w:rPr>
              <w:t>对相应客体的侵害程度</w:t>
            </w:r>
          </w:p>
        </w:tc>
      </w:tr>
      <w:tr w14:paraId="5E08F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3279" w:type="dxa"/>
            <w:vMerge w:val="continue"/>
            <w:tcBorders>
              <w:top w:val="nil"/>
              <w:left w:val="nil"/>
            </w:tcBorders>
            <w:vAlign w:val="top"/>
          </w:tcPr>
          <w:p w14:paraId="235251C8">
            <w:pPr>
              <w:rPr>
                <w:rFonts w:ascii="Arial"/>
                <w:sz w:val="21"/>
              </w:rPr>
            </w:pPr>
          </w:p>
        </w:tc>
        <w:tc>
          <w:tcPr>
            <w:tcW w:w="1910" w:type="dxa"/>
            <w:vAlign w:val="top"/>
          </w:tcPr>
          <w:p w14:paraId="299AD4E4">
            <w:pPr>
              <w:pStyle w:val="6"/>
              <w:spacing w:before="77" w:line="220" w:lineRule="auto"/>
              <w:ind w:left="588"/>
              <w:rPr>
                <w:sz w:val="18"/>
                <w:szCs w:val="18"/>
              </w:rPr>
            </w:pPr>
            <w:r>
              <w:rPr>
                <w:b/>
                <w:bCs/>
                <w:spacing w:val="-5"/>
                <w:sz w:val="18"/>
                <w:szCs w:val="18"/>
              </w:rPr>
              <w:t>一般损害</w:t>
            </w:r>
          </w:p>
        </w:tc>
        <w:tc>
          <w:tcPr>
            <w:tcW w:w="1450" w:type="dxa"/>
            <w:vAlign w:val="top"/>
          </w:tcPr>
          <w:p w14:paraId="278F2424">
            <w:pPr>
              <w:pStyle w:val="6"/>
              <w:spacing w:before="77" w:line="220" w:lineRule="auto"/>
              <w:ind w:left="358"/>
              <w:rPr>
                <w:sz w:val="18"/>
                <w:szCs w:val="18"/>
              </w:rPr>
            </w:pPr>
            <w:r>
              <w:rPr>
                <w:b/>
                <w:bCs/>
                <w:spacing w:val="-4"/>
                <w:sz w:val="18"/>
                <w:szCs w:val="18"/>
              </w:rPr>
              <w:t>严重损害</w:t>
            </w:r>
          </w:p>
        </w:tc>
        <w:tc>
          <w:tcPr>
            <w:tcW w:w="1670" w:type="dxa"/>
            <w:tcBorders>
              <w:right w:val="nil"/>
            </w:tcBorders>
            <w:vAlign w:val="top"/>
          </w:tcPr>
          <w:p w14:paraId="43E918B0">
            <w:pPr>
              <w:pStyle w:val="6"/>
              <w:spacing w:before="77" w:line="219" w:lineRule="auto"/>
              <w:ind w:left="288"/>
              <w:rPr>
                <w:sz w:val="18"/>
                <w:szCs w:val="18"/>
              </w:rPr>
            </w:pPr>
            <w:r>
              <w:rPr>
                <w:b/>
                <w:bCs/>
                <w:spacing w:val="-3"/>
                <w:sz w:val="18"/>
                <w:szCs w:val="18"/>
              </w:rPr>
              <w:t>特别严重损害</w:t>
            </w:r>
          </w:p>
        </w:tc>
      </w:tr>
      <w:tr w14:paraId="0B4D6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3279" w:type="dxa"/>
            <w:tcBorders>
              <w:left w:val="nil"/>
            </w:tcBorders>
            <w:vAlign w:val="top"/>
          </w:tcPr>
          <w:p w14:paraId="7BC07D8B">
            <w:pPr>
              <w:pStyle w:val="6"/>
              <w:spacing w:before="81" w:line="219" w:lineRule="auto"/>
              <w:ind w:left="289"/>
              <w:rPr>
                <w:sz w:val="18"/>
                <w:szCs w:val="18"/>
              </w:rPr>
            </w:pPr>
            <w:r>
              <w:rPr>
                <w:sz w:val="18"/>
                <w:szCs w:val="18"/>
              </w:rPr>
              <w:t>公民、法人和其他组织的合法权益</w:t>
            </w:r>
          </w:p>
        </w:tc>
        <w:tc>
          <w:tcPr>
            <w:tcW w:w="1910" w:type="dxa"/>
            <w:vAlign w:val="top"/>
          </w:tcPr>
          <w:p w14:paraId="6C074F49">
            <w:pPr>
              <w:pStyle w:val="6"/>
              <w:spacing w:before="81" w:line="219" w:lineRule="auto"/>
              <w:ind w:left="675"/>
              <w:rPr>
                <w:sz w:val="18"/>
                <w:szCs w:val="18"/>
              </w:rPr>
            </w:pPr>
            <w:r>
              <w:rPr>
                <w:spacing w:val="-3"/>
                <w:sz w:val="18"/>
                <w:szCs w:val="18"/>
              </w:rPr>
              <w:t>第一级</w:t>
            </w:r>
          </w:p>
        </w:tc>
        <w:tc>
          <w:tcPr>
            <w:tcW w:w="1450" w:type="dxa"/>
            <w:vAlign w:val="top"/>
          </w:tcPr>
          <w:p w14:paraId="0754D897">
            <w:pPr>
              <w:pStyle w:val="6"/>
              <w:spacing w:before="81" w:line="219" w:lineRule="auto"/>
              <w:ind w:left="445"/>
              <w:rPr>
                <w:sz w:val="18"/>
                <w:szCs w:val="18"/>
              </w:rPr>
            </w:pPr>
            <w:r>
              <w:rPr>
                <w:spacing w:val="-2"/>
                <w:sz w:val="18"/>
                <w:szCs w:val="18"/>
              </w:rPr>
              <w:t>第二级</w:t>
            </w:r>
          </w:p>
        </w:tc>
        <w:tc>
          <w:tcPr>
            <w:tcW w:w="1670" w:type="dxa"/>
            <w:tcBorders>
              <w:right w:val="nil"/>
            </w:tcBorders>
            <w:vAlign w:val="top"/>
          </w:tcPr>
          <w:p w14:paraId="139A4B01">
            <w:pPr>
              <w:pStyle w:val="6"/>
              <w:spacing w:before="81" w:line="219" w:lineRule="auto"/>
              <w:ind w:left="556"/>
              <w:rPr>
                <w:sz w:val="18"/>
                <w:szCs w:val="18"/>
              </w:rPr>
            </w:pPr>
            <w:r>
              <w:rPr>
                <w:spacing w:val="-2"/>
                <w:sz w:val="18"/>
                <w:szCs w:val="18"/>
              </w:rPr>
              <w:t>第二级</w:t>
            </w:r>
          </w:p>
        </w:tc>
      </w:tr>
      <w:tr w14:paraId="4F664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3279" w:type="dxa"/>
            <w:tcBorders>
              <w:left w:val="nil"/>
            </w:tcBorders>
            <w:vAlign w:val="top"/>
          </w:tcPr>
          <w:p w14:paraId="6F1A996E">
            <w:pPr>
              <w:pStyle w:val="6"/>
              <w:spacing w:before="82" w:line="219" w:lineRule="auto"/>
              <w:ind w:left="829"/>
              <w:rPr>
                <w:sz w:val="18"/>
                <w:szCs w:val="18"/>
              </w:rPr>
            </w:pPr>
            <w:r>
              <w:rPr>
                <w:spacing w:val="-1"/>
                <w:sz w:val="18"/>
                <w:szCs w:val="18"/>
              </w:rPr>
              <w:t>社会秩序、公共利益</w:t>
            </w:r>
          </w:p>
        </w:tc>
        <w:tc>
          <w:tcPr>
            <w:tcW w:w="1910" w:type="dxa"/>
            <w:vAlign w:val="top"/>
          </w:tcPr>
          <w:p w14:paraId="1C396193">
            <w:pPr>
              <w:pStyle w:val="6"/>
              <w:spacing w:before="83" w:line="219" w:lineRule="auto"/>
              <w:ind w:left="675"/>
              <w:rPr>
                <w:sz w:val="18"/>
                <w:szCs w:val="18"/>
              </w:rPr>
            </w:pPr>
            <w:r>
              <w:rPr>
                <w:spacing w:val="-2"/>
                <w:sz w:val="18"/>
                <w:szCs w:val="18"/>
              </w:rPr>
              <w:t>第二级</w:t>
            </w:r>
          </w:p>
        </w:tc>
        <w:tc>
          <w:tcPr>
            <w:tcW w:w="1450" w:type="dxa"/>
            <w:vAlign w:val="top"/>
          </w:tcPr>
          <w:p w14:paraId="5E393B1C">
            <w:pPr>
              <w:pStyle w:val="6"/>
              <w:spacing w:before="83" w:line="219" w:lineRule="auto"/>
              <w:ind w:left="445"/>
              <w:rPr>
                <w:sz w:val="18"/>
                <w:szCs w:val="18"/>
              </w:rPr>
            </w:pPr>
            <w:r>
              <w:rPr>
                <w:spacing w:val="-2"/>
                <w:sz w:val="18"/>
                <w:szCs w:val="18"/>
              </w:rPr>
              <w:t>第三级</w:t>
            </w:r>
          </w:p>
        </w:tc>
        <w:tc>
          <w:tcPr>
            <w:tcW w:w="1670" w:type="dxa"/>
            <w:tcBorders>
              <w:right w:val="nil"/>
            </w:tcBorders>
            <w:vAlign w:val="top"/>
          </w:tcPr>
          <w:p w14:paraId="399CA7FD">
            <w:pPr>
              <w:pStyle w:val="6"/>
              <w:spacing w:before="83" w:line="219" w:lineRule="auto"/>
              <w:ind w:left="556"/>
              <w:rPr>
                <w:sz w:val="18"/>
                <w:szCs w:val="18"/>
              </w:rPr>
            </w:pPr>
            <w:r>
              <w:rPr>
                <w:spacing w:val="-2"/>
                <w:sz w:val="18"/>
                <w:szCs w:val="18"/>
              </w:rPr>
              <w:t>第四级</w:t>
            </w:r>
          </w:p>
        </w:tc>
      </w:tr>
      <w:tr w14:paraId="58B8D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3279" w:type="dxa"/>
            <w:tcBorders>
              <w:left w:val="nil"/>
            </w:tcBorders>
            <w:vAlign w:val="top"/>
          </w:tcPr>
          <w:p w14:paraId="7715505B">
            <w:pPr>
              <w:pStyle w:val="6"/>
              <w:spacing w:before="86" w:line="220" w:lineRule="auto"/>
              <w:ind w:left="1279"/>
              <w:rPr>
                <w:sz w:val="18"/>
                <w:szCs w:val="18"/>
              </w:rPr>
            </w:pPr>
            <w:r>
              <w:rPr>
                <w:spacing w:val="2"/>
                <w:sz w:val="18"/>
                <w:szCs w:val="18"/>
              </w:rPr>
              <w:t>国家安全</w:t>
            </w:r>
          </w:p>
        </w:tc>
        <w:tc>
          <w:tcPr>
            <w:tcW w:w="1910" w:type="dxa"/>
            <w:vAlign w:val="top"/>
          </w:tcPr>
          <w:p w14:paraId="14160BC7">
            <w:pPr>
              <w:pStyle w:val="6"/>
              <w:spacing w:before="85" w:line="219" w:lineRule="auto"/>
              <w:ind w:left="675"/>
              <w:rPr>
                <w:sz w:val="18"/>
                <w:szCs w:val="18"/>
              </w:rPr>
            </w:pPr>
            <w:r>
              <w:rPr>
                <w:spacing w:val="-2"/>
                <w:sz w:val="18"/>
                <w:szCs w:val="18"/>
              </w:rPr>
              <w:t>第三级</w:t>
            </w:r>
          </w:p>
        </w:tc>
        <w:tc>
          <w:tcPr>
            <w:tcW w:w="1450" w:type="dxa"/>
            <w:vAlign w:val="top"/>
          </w:tcPr>
          <w:p w14:paraId="14BF09DA">
            <w:pPr>
              <w:pStyle w:val="6"/>
              <w:spacing w:before="85" w:line="219" w:lineRule="auto"/>
              <w:ind w:left="445"/>
              <w:rPr>
                <w:sz w:val="18"/>
                <w:szCs w:val="18"/>
              </w:rPr>
            </w:pPr>
            <w:r>
              <w:rPr>
                <w:spacing w:val="-2"/>
                <w:sz w:val="18"/>
                <w:szCs w:val="18"/>
              </w:rPr>
              <w:t>第四级</w:t>
            </w:r>
          </w:p>
        </w:tc>
        <w:tc>
          <w:tcPr>
            <w:tcW w:w="1670" w:type="dxa"/>
            <w:tcBorders>
              <w:right w:val="nil"/>
            </w:tcBorders>
            <w:vAlign w:val="top"/>
          </w:tcPr>
          <w:p w14:paraId="7222A349">
            <w:pPr>
              <w:pStyle w:val="6"/>
              <w:spacing w:before="85" w:line="219" w:lineRule="auto"/>
              <w:ind w:left="556"/>
              <w:rPr>
                <w:sz w:val="18"/>
                <w:szCs w:val="18"/>
              </w:rPr>
            </w:pPr>
            <w:r>
              <w:rPr>
                <w:spacing w:val="-2"/>
                <w:sz w:val="18"/>
                <w:szCs w:val="18"/>
              </w:rPr>
              <w:t>第五级</w:t>
            </w:r>
          </w:p>
        </w:tc>
      </w:tr>
    </w:tbl>
    <w:p w14:paraId="25864B05">
      <w:pPr>
        <w:spacing w:line="158" w:lineRule="exact"/>
        <w:rPr>
          <w:rFonts w:ascii="Arial"/>
          <w:sz w:val="13"/>
        </w:rPr>
      </w:pPr>
    </w:p>
    <w:p w14:paraId="4C644AB8">
      <w:pPr>
        <w:spacing w:line="158" w:lineRule="exact"/>
        <w:rPr>
          <w:rFonts w:ascii="Arial" w:hAnsi="Arial" w:eastAsia="Arial" w:cs="Arial"/>
          <w:sz w:val="13"/>
          <w:szCs w:val="13"/>
        </w:rPr>
        <w:sectPr>
          <w:pgSz w:w="10300" w:h="13390"/>
          <w:pgMar w:top="400" w:right="1064" w:bottom="400" w:left="489" w:header="0" w:footer="0" w:gutter="0"/>
          <w:cols w:equalWidth="0" w:num="1">
            <w:col w:w="8746"/>
          </w:cols>
        </w:sectPr>
      </w:pPr>
    </w:p>
    <w:p w14:paraId="5D633A8C">
      <w:pPr>
        <w:pStyle w:val="2"/>
        <w:spacing w:before="1" w:line="220" w:lineRule="auto"/>
        <w:ind w:left="762"/>
        <w:rPr>
          <w:rFonts w:ascii="黑体" w:hAnsi="黑体" w:eastAsia="黑体" w:cs="黑体"/>
          <w:sz w:val="19"/>
          <w:szCs w:val="19"/>
        </w:rPr>
      </w:pPr>
      <w:r>
        <w:rPr>
          <w:b/>
          <w:bCs/>
          <w:color w:val="0088D8"/>
          <w:spacing w:val="6"/>
          <w:sz w:val="19"/>
          <w:szCs w:val="19"/>
        </w:rPr>
        <w:t>3.</w:t>
      </w:r>
      <w:r>
        <w:rPr>
          <w:rFonts w:ascii="黑体" w:hAnsi="黑体" w:eastAsia="黑体" w:cs="黑体"/>
          <w:b/>
          <w:bCs/>
          <w:color w:val="0088D8"/>
          <w:spacing w:val="6"/>
          <w:sz w:val="19"/>
          <w:szCs w:val="19"/>
        </w:rPr>
        <w:t>信息系统定级的一般程序</w:t>
      </w:r>
    </w:p>
    <w:p w14:paraId="361BA180">
      <w:pPr>
        <w:pStyle w:val="2"/>
        <w:spacing w:before="167" w:line="219" w:lineRule="auto"/>
        <w:ind w:left="760"/>
        <w:rPr>
          <w:sz w:val="19"/>
          <w:szCs w:val="19"/>
        </w:rPr>
      </w:pPr>
      <w:r>
        <w:rPr>
          <w:spacing w:val="10"/>
          <w:sz w:val="19"/>
          <w:szCs w:val="19"/>
        </w:rPr>
        <w:t>确定信息系统安全保护等级的一般流程如图6-1所示。</w:t>
      </w:r>
    </w:p>
    <w:p w14:paraId="0F4C17C0">
      <w:pPr>
        <w:pStyle w:val="2"/>
        <w:spacing w:before="85" w:line="261" w:lineRule="auto"/>
        <w:ind w:left="359" w:right="179" w:firstLine="400"/>
        <w:rPr>
          <w:sz w:val="19"/>
          <w:szCs w:val="19"/>
        </w:rPr>
      </w:pPr>
      <w:r>
        <w:rPr>
          <w:spacing w:val="13"/>
          <w:sz w:val="19"/>
          <w:szCs w:val="19"/>
        </w:rPr>
        <w:t xml:space="preserve">(1)确定作为定级对象的信息系统及信息系统安全受到破坏 </w:t>
      </w:r>
      <w:r>
        <w:rPr>
          <w:spacing w:val="1"/>
          <w:sz w:val="19"/>
          <w:szCs w:val="19"/>
        </w:rPr>
        <w:t>时所侵害的客体；</w:t>
      </w:r>
    </w:p>
    <w:p w14:paraId="0E75D6FE">
      <w:pPr>
        <w:pStyle w:val="2"/>
        <w:spacing w:before="93" w:line="255" w:lineRule="auto"/>
        <w:ind w:left="359" w:right="160" w:firstLine="400"/>
        <w:rPr>
          <w:sz w:val="19"/>
          <w:szCs w:val="19"/>
        </w:rPr>
      </w:pPr>
      <w:r>
        <w:rPr>
          <w:spacing w:val="14"/>
          <w:sz w:val="19"/>
          <w:szCs w:val="19"/>
        </w:rPr>
        <w:t>(2)根据不同的受侵害客体，分析确定遭受破坏对客体的侵</w:t>
      </w:r>
      <w:r>
        <w:rPr>
          <w:spacing w:val="5"/>
          <w:sz w:val="19"/>
          <w:szCs w:val="19"/>
        </w:rPr>
        <w:t xml:space="preserve"> </w:t>
      </w:r>
      <w:r>
        <w:rPr>
          <w:spacing w:val="6"/>
          <w:sz w:val="19"/>
          <w:szCs w:val="19"/>
        </w:rPr>
        <w:t>害程度，并完成初步定级，提出信息系统安全定级方案；</w:t>
      </w:r>
    </w:p>
    <w:p w14:paraId="7B1BEE05">
      <w:pPr>
        <w:pStyle w:val="2"/>
        <w:spacing w:before="95" w:line="265" w:lineRule="auto"/>
        <w:ind w:left="359" w:right="167" w:firstLine="400"/>
        <w:rPr>
          <w:sz w:val="19"/>
          <w:szCs w:val="19"/>
        </w:rPr>
      </w:pPr>
      <w:r>
        <w:rPr>
          <w:spacing w:val="14"/>
          <w:sz w:val="19"/>
          <w:szCs w:val="19"/>
        </w:rPr>
        <w:t>(3)组织专家对信息系统安全保护初步等级进行评审，</w:t>
      </w:r>
      <w:r>
        <w:rPr>
          <w:spacing w:val="13"/>
          <w:sz w:val="19"/>
          <w:szCs w:val="19"/>
        </w:rPr>
        <w:t>并出</w:t>
      </w:r>
      <w:r>
        <w:rPr>
          <w:sz w:val="19"/>
          <w:szCs w:val="19"/>
        </w:rPr>
        <w:t xml:space="preserve"> 具专家意见；</w:t>
      </w:r>
    </w:p>
    <w:p w14:paraId="2D2421F2">
      <w:pPr>
        <w:pStyle w:val="2"/>
        <w:spacing w:before="54" w:line="265" w:lineRule="auto"/>
        <w:ind w:left="359" w:right="181" w:firstLine="400"/>
        <w:rPr>
          <w:sz w:val="19"/>
          <w:szCs w:val="19"/>
        </w:rPr>
      </w:pPr>
      <w:r>
        <w:rPr>
          <w:spacing w:val="13"/>
          <w:sz w:val="19"/>
          <w:szCs w:val="19"/>
        </w:rPr>
        <w:t>(4)将信息系统安全定级方案、专家评审意见报送国家有关</w:t>
      </w:r>
      <w:r>
        <w:rPr>
          <w:spacing w:val="11"/>
          <w:sz w:val="19"/>
          <w:szCs w:val="19"/>
        </w:rPr>
        <w:t xml:space="preserve"> </w:t>
      </w:r>
      <w:r>
        <w:rPr>
          <w:spacing w:val="6"/>
          <w:sz w:val="19"/>
          <w:szCs w:val="19"/>
        </w:rPr>
        <w:t>信息系统安全等级保护部门，申报定级，完成备案审核；</w:t>
      </w:r>
    </w:p>
    <w:p w14:paraId="5F05C172">
      <w:pPr>
        <w:pStyle w:val="2"/>
        <w:spacing w:before="74" w:line="266" w:lineRule="auto"/>
        <w:ind w:left="359" w:right="181" w:firstLine="400"/>
        <w:rPr>
          <w:sz w:val="19"/>
          <w:szCs w:val="19"/>
        </w:rPr>
      </w:pPr>
      <w:r>
        <w:rPr>
          <w:spacing w:val="13"/>
          <w:sz w:val="19"/>
          <w:szCs w:val="19"/>
        </w:rPr>
        <w:t>(5)国家有关信息系统安全等级保护部门批复信息系统安全</w:t>
      </w:r>
      <w:r>
        <w:rPr>
          <w:spacing w:val="11"/>
          <w:sz w:val="19"/>
          <w:szCs w:val="19"/>
        </w:rPr>
        <w:t xml:space="preserve"> </w:t>
      </w:r>
      <w:r>
        <w:rPr>
          <w:spacing w:val="5"/>
          <w:sz w:val="19"/>
          <w:szCs w:val="19"/>
        </w:rPr>
        <w:t>定级。</w:t>
      </w:r>
    </w:p>
    <w:p w14:paraId="76D2D0D8">
      <w:pPr>
        <w:pStyle w:val="2"/>
        <w:spacing w:before="74" w:line="262" w:lineRule="auto"/>
        <w:ind w:left="359" w:right="175" w:firstLine="400"/>
        <w:jc w:val="both"/>
        <w:rPr>
          <w:sz w:val="19"/>
          <w:szCs w:val="19"/>
        </w:rPr>
      </w:pPr>
      <w:r>
        <w:rPr>
          <w:spacing w:val="5"/>
          <w:sz w:val="19"/>
          <w:szCs w:val="19"/>
        </w:rPr>
        <w:t>有关信息系统安全定级的具体方法，可参照</w:t>
      </w:r>
      <w:r>
        <w:rPr>
          <w:sz w:val="19"/>
          <w:szCs w:val="19"/>
        </w:rPr>
        <w:t>GB</w:t>
      </w:r>
      <w:r>
        <w:rPr>
          <w:spacing w:val="5"/>
          <w:sz w:val="19"/>
          <w:szCs w:val="19"/>
        </w:rPr>
        <w:t>/T</w:t>
      </w:r>
      <w:r>
        <w:rPr>
          <w:spacing w:val="91"/>
          <w:sz w:val="19"/>
          <w:szCs w:val="19"/>
        </w:rPr>
        <w:t xml:space="preserve"> </w:t>
      </w:r>
      <w:r>
        <w:rPr>
          <w:spacing w:val="5"/>
          <w:sz w:val="19"/>
          <w:szCs w:val="19"/>
        </w:rPr>
        <w:t>22240《信</w:t>
      </w:r>
      <w:r>
        <w:rPr>
          <w:sz w:val="19"/>
          <w:szCs w:val="19"/>
        </w:rPr>
        <w:t xml:space="preserve"> </w:t>
      </w:r>
      <w:r>
        <w:rPr>
          <w:spacing w:val="12"/>
          <w:sz w:val="19"/>
          <w:szCs w:val="19"/>
        </w:rPr>
        <w:t>息安全技术网络安全等级保护定级指南》和</w:t>
      </w:r>
      <w:r>
        <w:rPr>
          <w:rFonts w:ascii="Times New Roman" w:hAnsi="Times New Roman" w:eastAsia="Times New Roman" w:cs="Times New Roman"/>
          <w:sz w:val="19"/>
          <w:szCs w:val="19"/>
        </w:rPr>
        <w:t>GB</w:t>
      </w:r>
      <w:r>
        <w:rPr>
          <w:rFonts w:ascii="Times New Roman" w:hAnsi="Times New Roman" w:eastAsia="Times New Roman" w:cs="Times New Roman"/>
          <w:spacing w:val="12"/>
          <w:sz w:val="19"/>
          <w:szCs w:val="19"/>
        </w:rPr>
        <w:t>/T   25058</w:t>
      </w:r>
      <w:r>
        <w:rPr>
          <w:spacing w:val="12"/>
          <w:sz w:val="19"/>
          <w:szCs w:val="19"/>
        </w:rPr>
        <w:t>《</w:t>
      </w:r>
      <w:r>
        <w:rPr>
          <w:spacing w:val="11"/>
          <w:sz w:val="19"/>
          <w:szCs w:val="19"/>
        </w:rPr>
        <w:t>信息</w:t>
      </w:r>
      <w:r>
        <w:rPr>
          <w:sz w:val="19"/>
          <w:szCs w:val="19"/>
        </w:rPr>
        <w:t xml:space="preserve"> </w:t>
      </w:r>
      <w:r>
        <w:rPr>
          <w:spacing w:val="9"/>
          <w:sz w:val="19"/>
          <w:szCs w:val="19"/>
        </w:rPr>
        <w:t>安全技术网络安全等级保护实施指南》。</w:t>
      </w:r>
    </w:p>
    <w:p w14:paraId="0C4BE737">
      <w:pPr>
        <w:spacing w:line="14" w:lineRule="auto"/>
        <w:rPr>
          <w:rFonts w:ascii="Arial"/>
          <w:sz w:val="2"/>
        </w:rPr>
      </w:pPr>
      <w:r>
        <w:rPr>
          <w:rFonts w:ascii="Arial" w:hAnsi="Arial" w:eastAsia="Arial" w:cs="Arial"/>
          <w:sz w:val="2"/>
          <w:szCs w:val="2"/>
        </w:rPr>
        <w:br w:type="column"/>
      </w:r>
    </w:p>
    <w:p w14:paraId="59FF7265">
      <w:pPr>
        <w:spacing w:line="293" w:lineRule="auto"/>
        <w:rPr>
          <w:rFonts w:ascii="Arial"/>
          <w:sz w:val="21"/>
        </w:rPr>
      </w:pPr>
    </w:p>
    <w:p w14:paraId="2815A252">
      <w:pPr>
        <w:pStyle w:val="2"/>
        <w:spacing w:before="1" w:line="3399" w:lineRule="exact"/>
      </w:pPr>
      <w:r>
        <w:rPr>
          <w:position w:val="-67"/>
        </w:rPr>
        <w:pict>
          <v:group id="_x0000_s1383" o:spid="_x0000_s1383" o:spt="203" style="height:170pt;width:124.55pt;" coordsize="2491,3400">
            <o:lock v:ext="edit"/>
            <v:shape id="_x0000_s1384" o:spid="_x0000_s1384" o:spt="75" type="#_x0000_t75" style="position:absolute;left:0;top:0;height:3400;width:2491;" filled="f" stroked="f" coordsize="21600,21600">
              <v:path/>
              <v:fill on="f" focussize="0,0"/>
              <v:stroke on="f"/>
              <v:imagedata r:id="rId136" o:title=""/>
              <o:lock v:ext="edit" aspectratio="t"/>
            </v:shape>
            <v:shape id="_x0000_s1385" o:spid="_x0000_s1385" o:spt="202" type="#_x0000_t202" style="position:absolute;left:-20;top:-20;height:3440;width:2531;" filled="f" stroked="f" coordsize="21600,21600">
              <v:path/>
              <v:fill on="f" focussize="0,0"/>
              <v:stroke on="f"/>
              <v:imagedata o:title=""/>
              <o:lock v:ext="edit" aspectratio="f"/>
              <v:textbox inset="0mm,0mm,0mm,0mm">
                <w:txbxContent>
                  <w:p w14:paraId="51378FF4">
                    <w:pPr>
                      <w:spacing w:before="198" w:line="219" w:lineRule="auto"/>
                      <w:ind w:left="719"/>
                      <w:rPr>
                        <w:rFonts w:ascii="宋体" w:hAnsi="宋体" w:eastAsia="宋体" w:cs="宋体"/>
                        <w:sz w:val="19"/>
                        <w:szCs w:val="19"/>
                      </w:rPr>
                    </w:pPr>
                    <w:r>
                      <w:rPr>
                        <w:rFonts w:ascii="宋体" w:hAnsi="宋体" w:eastAsia="宋体" w:cs="宋体"/>
                        <w:spacing w:val="-15"/>
                        <w:sz w:val="19"/>
                        <w:szCs w:val="19"/>
                      </w:rPr>
                      <w:t>确定等级对象</w:t>
                    </w:r>
                  </w:p>
                  <w:p w14:paraId="4E0FB427">
                    <w:pPr>
                      <w:spacing w:line="430" w:lineRule="auto"/>
                      <w:rPr>
                        <w:rFonts w:ascii="Arial"/>
                        <w:sz w:val="21"/>
                      </w:rPr>
                    </w:pPr>
                  </w:p>
                  <w:p w14:paraId="0EA4301C">
                    <w:pPr>
                      <w:spacing w:before="61" w:line="219" w:lineRule="auto"/>
                      <w:ind w:left="719"/>
                      <w:rPr>
                        <w:rFonts w:ascii="宋体" w:hAnsi="宋体" w:eastAsia="宋体" w:cs="宋体"/>
                        <w:sz w:val="19"/>
                        <w:szCs w:val="19"/>
                      </w:rPr>
                    </w:pPr>
                    <w:r>
                      <w:rPr>
                        <w:rFonts w:ascii="宋体" w:hAnsi="宋体" w:eastAsia="宋体" w:cs="宋体"/>
                        <w:spacing w:val="-14"/>
                        <w:sz w:val="19"/>
                        <w:szCs w:val="19"/>
                      </w:rPr>
                      <w:t>初步确定等级</w:t>
                    </w:r>
                  </w:p>
                  <w:p w14:paraId="596CD8CF">
                    <w:pPr>
                      <w:spacing w:line="450" w:lineRule="auto"/>
                      <w:rPr>
                        <w:rFonts w:ascii="Arial"/>
                        <w:sz w:val="21"/>
                      </w:rPr>
                    </w:pPr>
                  </w:p>
                  <w:p w14:paraId="2CA70C34">
                    <w:pPr>
                      <w:spacing w:before="62" w:line="220" w:lineRule="auto"/>
                      <w:ind w:left="920"/>
                      <w:rPr>
                        <w:rFonts w:ascii="宋体" w:hAnsi="宋体" w:eastAsia="宋体" w:cs="宋体"/>
                        <w:sz w:val="19"/>
                        <w:szCs w:val="19"/>
                      </w:rPr>
                    </w:pPr>
                    <w:r>
                      <w:rPr>
                        <w:rFonts w:ascii="宋体" w:hAnsi="宋体" w:eastAsia="宋体" w:cs="宋体"/>
                        <w:spacing w:val="-9"/>
                        <w:sz w:val="19"/>
                        <w:szCs w:val="19"/>
                      </w:rPr>
                      <w:t>专家评审</w:t>
                    </w:r>
                  </w:p>
                  <w:p w14:paraId="7979EF11">
                    <w:pPr>
                      <w:spacing w:line="428" w:lineRule="auto"/>
                      <w:rPr>
                        <w:rFonts w:ascii="Arial"/>
                        <w:sz w:val="21"/>
                      </w:rPr>
                    </w:pPr>
                  </w:p>
                  <w:p w14:paraId="3FD19353">
                    <w:pPr>
                      <w:spacing w:before="62" w:line="219" w:lineRule="auto"/>
                      <w:ind w:left="719"/>
                      <w:rPr>
                        <w:rFonts w:ascii="宋体" w:hAnsi="宋体" w:eastAsia="宋体" w:cs="宋体"/>
                        <w:sz w:val="19"/>
                        <w:szCs w:val="19"/>
                      </w:rPr>
                    </w:pPr>
                    <w:r>
                      <w:rPr>
                        <w:rFonts w:ascii="宋体" w:hAnsi="宋体" w:eastAsia="宋体" w:cs="宋体"/>
                        <w:spacing w:val="-15"/>
                        <w:sz w:val="19"/>
                        <w:szCs w:val="19"/>
                      </w:rPr>
                      <w:t>主管部门核准</w:t>
                    </w:r>
                  </w:p>
                  <w:p w14:paraId="07232CD3">
                    <w:pPr>
                      <w:spacing w:line="430" w:lineRule="auto"/>
                      <w:rPr>
                        <w:rFonts w:ascii="Arial"/>
                        <w:sz w:val="21"/>
                      </w:rPr>
                    </w:pPr>
                  </w:p>
                  <w:p w14:paraId="561CBCE1">
                    <w:pPr>
                      <w:spacing w:before="62" w:line="220" w:lineRule="auto"/>
                      <w:ind w:left="680"/>
                      <w:rPr>
                        <w:rFonts w:ascii="宋体" w:hAnsi="宋体" w:eastAsia="宋体" w:cs="宋体"/>
                        <w:sz w:val="19"/>
                        <w:szCs w:val="19"/>
                      </w:rPr>
                    </w:pPr>
                    <w:r>
                      <w:rPr>
                        <w:rFonts w:ascii="宋体" w:hAnsi="宋体" w:eastAsia="宋体" w:cs="宋体"/>
                        <w:spacing w:val="-17"/>
                        <w:sz w:val="19"/>
                        <w:szCs w:val="19"/>
                      </w:rPr>
                      <w:t>备案审核、批复</w:t>
                    </w:r>
                  </w:p>
                </w:txbxContent>
              </v:textbox>
            </v:shape>
            <w10:wrap type="none"/>
            <w10:anchorlock/>
          </v:group>
        </w:pict>
      </w:r>
    </w:p>
    <w:p w14:paraId="19ED7D69">
      <w:pPr>
        <w:pStyle w:val="2"/>
        <w:spacing w:before="79" w:line="279" w:lineRule="auto"/>
        <w:ind w:left="698" w:right="85" w:hanging="579"/>
        <w:rPr>
          <w:sz w:val="19"/>
          <w:szCs w:val="19"/>
        </w:rPr>
      </w:pPr>
      <w:r>
        <w:rPr>
          <w:spacing w:val="-5"/>
          <w:sz w:val="19"/>
          <w:szCs w:val="19"/>
        </w:rPr>
        <w:t>图6-1</w:t>
      </w:r>
      <w:r>
        <w:rPr>
          <w:spacing w:val="74"/>
          <w:sz w:val="19"/>
          <w:szCs w:val="19"/>
        </w:rPr>
        <w:t xml:space="preserve"> </w:t>
      </w:r>
      <w:r>
        <w:rPr>
          <w:spacing w:val="-5"/>
          <w:sz w:val="19"/>
          <w:szCs w:val="19"/>
        </w:rPr>
        <w:t>等级保护对象定级工</w:t>
      </w:r>
      <w:r>
        <w:rPr>
          <w:sz w:val="19"/>
          <w:szCs w:val="19"/>
        </w:rPr>
        <w:t xml:space="preserve"> </w:t>
      </w:r>
      <w:r>
        <w:rPr>
          <w:spacing w:val="-7"/>
          <w:sz w:val="19"/>
          <w:szCs w:val="19"/>
        </w:rPr>
        <w:t>作的一般流程</w:t>
      </w:r>
    </w:p>
    <w:p w14:paraId="79CDCFB1">
      <w:pPr>
        <w:spacing w:line="279" w:lineRule="auto"/>
        <w:rPr>
          <w:sz w:val="19"/>
          <w:szCs w:val="19"/>
        </w:rPr>
        <w:sectPr>
          <w:type w:val="continuous"/>
          <w:pgSz w:w="10300" w:h="13390"/>
          <w:pgMar w:top="400" w:right="1064" w:bottom="400" w:left="489" w:header="0" w:footer="0" w:gutter="0"/>
          <w:cols w:equalWidth="0" w:num="2">
            <w:col w:w="6151" w:space="100"/>
            <w:col w:w="2496"/>
          </w:cols>
        </w:sectPr>
      </w:pPr>
    </w:p>
    <w:p w14:paraId="21CEAE30">
      <w:pPr>
        <w:pStyle w:val="2"/>
        <w:spacing w:before="67" w:line="219" w:lineRule="auto"/>
        <w:jc w:val="right"/>
        <w:rPr>
          <w:rFonts w:ascii="Times New Roman" w:hAnsi="Times New Roman" w:eastAsia="Times New Roman" w:cs="Times New Roman"/>
          <w:sz w:val="16"/>
          <w:szCs w:val="16"/>
        </w:rPr>
      </w:pPr>
      <w:r>
        <w:rPr>
          <w:spacing w:val="-1"/>
          <w:sz w:val="20"/>
          <w:szCs w:val="20"/>
        </w:rPr>
        <w:t>第6章</w:t>
      </w:r>
      <w:r>
        <w:rPr>
          <w:spacing w:val="19"/>
          <w:sz w:val="20"/>
          <w:szCs w:val="20"/>
        </w:rPr>
        <w:t xml:space="preserve"> </w:t>
      </w:r>
      <w:r>
        <w:rPr>
          <w:spacing w:val="-1"/>
          <w:sz w:val="20"/>
          <w:szCs w:val="20"/>
        </w:rPr>
        <w:t>信息安全</w:t>
      </w:r>
      <w:r>
        <w:rPr>
          <w:spacing w:val="8"/>
          <w:sz w:val="20"/>
          <w:szCs w:val="20"/>
        </w:rPr>
        <w:t xml:space="preserve">      </w:t>
      </w:r>
      <w:r>
        <w:rPr>
          <w:rFonts w:ascii="Times New Roman" w:hAnsi="Times New Roman" w:eastAsia="Times New Roman" w:cs="Times New Roman"/>
          <w:spacing w:val="-1"/>
          <w:sz w:val="16"/>
          <w:szCs w:val="16"/>
        </w:rPr>
        <w:t>185</w:t>
      </w:r>
    </w:p>
    <w:p w14:paraId="6B2CD9C4">
      <w:pPr>
        <w:spacing w:line="279" w:lineRule="auto"/>
        <w:rPr>
          <w:rFonts w:ascii="Arial"/>
          <w:sz w:val="21"/>
        </w:rPr>
      </w:pPr>
    </w:p>
    <w:p w14:paraId="26CD4271">
      <w:pPr>
        <w:pStyle w:val="2"/>
        <w:spacing w:before="81" w:line="219" w:lineRule="auto"/>
        <w:ind w:left="2"/>
        <w:rPr>
          <w:sz w:val="25"/>
          <w:szCs w:val="25"/>
        </w:rPr>
      </w:pPr>
      <w:bookmarkStart w:id="577" w:name="bookmark562"/>
      <w:bookmarkEnd w:id="577"/>
      <w:r>
        <w:rPr>
          <w:b/>
          <w:bCs/>
          <w:color w:val="0073D8"/>
          <w:spacing w:val="-17"/>
          <w:sz w:val="25"/>
          <w:szCs w:val="25"/>
        </w:rPr>
        <w:t>6.4.3</w:t>
      </w:r>
      <w:r>
        <w:rPr>
          <w:color w:val="0073D8"/>
          <w:spacing w:val="-17"/>
          <w:sz w:val="25"/>
          <w:szCs w:val="25"/>
        </w:rPr>
        <w:t xml:space="preserve">  </w:t>
      </w:r>
      <w:r>
        <w:rPr>
          <w:b/>
          <w:bCs/>
          <w:color w:val="0073D8"/>
          <w:spacing w:val="-17"/>
          <w:sz w:val="25"/>
          <w:szCs w:val="25"/>
        </w:rPr>
        <w:t>网络安全等级保护测评要求</w:t>
      </w:r>
    </w:p>
    <w:p w14:paraId="6792C8E6">
      <w:pPr>
        <w:pStyle w:val="2"/>
        <w:spacing w:before="172" w:line="286" w:lineRule="auto"/>
        <w:ind w:right="292" w:firstLine="410"/>
        <w:jc w:val="both"/>
        <w:rPr>
          <w:sz w:val="20"/>
          <w:szCs w:val="20"/>
        </w:rPr>
      </w:pPr>
      <w:r>
        <w:rPr>
          <w:spacing w:val="3"/>
          <w:sz w:val="20"/>
          <w:szCs w:val="20"/>
        </w:rPr>
        <w:t>网络安全等级保护测评(简称“等保测评”)是</w:t>
      </w:r>
      <w:r>
        <w:rPr>
          <w:spacing w:val="2"/>
          <w:sz w:val="20"/>
          <w:szCs w:val="20"/>
        </w:rPr>
        <w:t>经公安部认证的具有资质的测评机构，依据</w:t>
      </w:r>
      <w:r>
        <w:rPr>
          <w:sz w:val="20"/>
          <w:szCs w:val="20"/>
        </w:rPr>
        <w:t xml:space="preserve"> </w:t>
      </w:r>
      <w:r>
        <w:rPr>
          <w:spacing w:val="3"/>
          <w:sz w:val="20"/>
          <w:szCs w:val="20"/>
        </w:rPr>
        <w:t>国家信息安全等级保护规范规定，受有关单位委托，按照有关管理规范和技术标</w:t>
      </w:r>
      <w:r>
        <w:rPr>
          <w:spacing w:val="2"/>
          <w:sz w:val="20"/>
          <w:szCs w:val="20"/>
        </w:rPr>
        <w:t>准，对信息系</w:t>
      </w:r>
      <w:r>
        <w:rPr>
          <w:sz w:val="20"/>
          <w:szCs w:val="20"/>
        </w:rPr>
        <w:t xml:space="preserve"> </w:t>
      </w:r>
      <w:r>
        <w:rPr>
          <w:spacing w:val="-3"/>
          <w:sz w:val="20"/>
          <w:szCs w:val="20"/>
        </w:rPr>
        <w:t>统安全等级保护状况进行检测评估的活动。</w:t>
      </w:r>
    </w:p>
    <w:p w14:paraId="3FE3D8F2">
      <w:pPr>
        <w:pStyle w:val="2"/>
        <w:spacing w:before="9" w:line="294" w:lineRule="auto"/>
        <w:ind w:right="300" w:firstLine="410"/>
        <w:rPr>
          <w:sz w:val="20"/>
          <w:szCs w:val="20"/>
        </w:rPr>
      </w:pPr>
      <w:r>
        <w:rPr>
          <w:spacing w:val="5"/>
          <w:sz w:val="20"/>
          <w:szCs w:val="20"/>
        </w:rPr>
        <w:t>等级保护第三级(简称“等保三级”),即监督保护级，是当下信息系统建设过程中比较常</w:t>
      </w:r>
      <w:r>
        <w:rPr>
          <w:sz w:val="20"/>
          <w:szCs w:val="20"/>
        </w:rPr>
        <w:t xml:space="preserve"> </w:t>
      </w:r>
      <w:r>
        <w:rPr>
          <w:spacing w:val="-4"/>
          <w:sz w:val="20"/>
          <w:szCs w:val="20"/>
        </w:rPr>
        <w:t>见的等级保护定级级别。</w:t>
      </w:r>
    </w:p>
    <w:p w14:paraId="2435C724">
      <w:pPr>
        <w:pStyle w:val="2"/>
        <w:spacing w:before="4" w:line="290" w:lineRule="auto"/>
        <w:ind w:right="291" w:firstLine="410"/>
        <w:jc w:val="both"/>
        <w:rPr>
          <w:sz w:val="16"/>
          <w:szCs w:val="16"/>
        </w:rPr>
      </w:pPr>
      <w:r>
        <w:rPr>
          <w:spacing w:val="2"/>
          <w:sz w:val="20"/>
          <w:szCs w:val="20"/>
        </w:rPr>
        <w:t>由于该等级的信息系统受到破坏后，会对社会秩序和公共利益造成严重损害，或者对国家</w:t>
      </w:r>
      <w:r>
        <w:rPr>
          <w:spacing w:val="3"/>
          <w:sz w:val="20"/>
          <w:szCs w:val="20"/>
        </w:rPr>
        <w:t xml:space="preserve"> </w:t>
      </w:r>
      <w:r>
        <w:rPr>
          <w:spacing w:val="8"/>
          <w:sz w:val="20"/>
          <w:szCs w:val="20"/>
        </w:rPr>
        <w:t>安全造成损害，危害程度影响较大。又由于该等级的信息系统</w:t>
      </w:r>
      <w:r>
        <w:rPr>
          <w:spacing w:val="7"/>
          <w:sz w:val="20"/>
          <w:szCs w:val="20"/>
        </w:rPr>
        <w:t>适用范围较广，如地市级以上</w:t>
      </w:r>
      <w:r>
        <w:rPr>
          <w:sz w:val="20"/>
          <w:szCs w:val="20"/>
        </w:rPr>
        <w:t xml:space="preserve"> </w:t>
      </w:r>
      <w:r>
        <w:rPr>
          <w:spacing w:val="8"/>
          <w:sz w:val="20"/>
          <w:szCs w:val="20"/>
        </w:rPr>
        <w:t>国家机关、企业、事业单位内部重要的信息系统，涉及工作秘密、商</w:t>
      </w:r>
      <w:r>
        <w:rPr>
          <w:spacing w:val="7"/>
          <w:sz w:val="20"/>
          <w:szCs w:val="20"/>
        </w:rPr>
        <w:t>业秘密、敏感信息的办</w:t>
      </w:r>
      <w:r>
        <w:rPr>
          <w:sz w:val="20"/>
          <w:szCs w:val="20"/>
        </w:rPr>
        <w:t xml:space="preserve"> </w:t>
      </w:r>
      <w:r>
        <w:rPr>
          <w:spacing w:val="8"/>
          <w:sz w:val="20"/>
          <w:szCs w:val="20"/>
        </w:rPr>
        <w:t>公系统和管理系统，跨省或全国联网运行的用于生产、调度、</w:t>
      </w:r>
      <w:r>
        <w:rPr>
          <w:spacing w:val="7"/>
          <w:sz w:val="20"/>
          <w:szCs w:val="20"/>
        </w:rPr>
        <w:t>管理、指挥、作业、控制等方</w:t>
      </w:r>
      <w:r>
        <w:rPr>
          <w:sz w:val="20"/>
          <w:szCs w:val="20"/>
        </w:rPr>
        <w:t xml:space="preserve"> </w:t>
      </w:r>
      <w:r>
        <w:rPr>
          <w:spacing w:val="13"/>
          <w:sz w:val="20"/>
          <w:szCs w:val="20"/>
        </w:rPr>
        <w:t>面的重要信息系统以及这类系统在省、地市的分支系统，中央各部委、省(区、市)门</w:t>
      </w:r>
      <w:r>
        <w:rPr>
          <w:spacing w:val="12"/>
          <w:sz w:val="20"/>
          <w:szCs w:val="20"/>
        </w:rPr>
        <w:t>户网</w:t>
      </w:r>
      <w:r>
        <w:rPr>
          <w:sz w:val="20"/>
          <w:szCs w:val="20"/>
        </w:rPr>
        <w:t xml:space="preserve"> </w:t>
      </w:r>
      <w:r>
        <w:rPr>
          <w:spacing w:val="3"/>
          <w:sz w:val="20"/>
          <w:szCs w:val="20"/>
        </w:rPr>
        <w:t>站和重要网站，跨省连接的网络系统等，都属于等保三级。因此以</w:t>
      </w:r>
      <w:r>
        <w:rPr>
          <w:spacing w:val="2"/>
          <w:sz w:val="20"/>
          <w:szCs w:val="20"/>
        </w:rPr>
        <w:t>下内容多以等保三级为例予</w:t>
      </w:r>
      <w:r>
        <w:rPr>
          <w:sz w:val="20"/>
          <w:szCs w:val="20"/>
        </w:rPr>
        <w:t xml:space="preserve"> </w:t>
      </w:r>
      <w:r>
        <w:rPr>
          <w:spacing w:val="-10"/>
          <w:sz w:val="16"/>
          <w:szCs w:val="16"/>
        </w:rPr>
        <w:t>以</w:t>
      </w:r>
      <w:r>
        <w:rPr>
          <w:spacing w:val="-20"/>
          <w:sz w:val="16"/>
          <w:szCs w:val="16"/>
        </w:rPr>
        <w:t xml:space="preserve"> </w:t>
      </w:r>
      <w:r>
        <w:rPr>
          <w:spacing w:val="-10"/>
          <w:sz w:val="16"/>
          <w:szCs w:val="16"/>
        </w:rPr>
        <w:t>论</w:t>
      </w:r>
      <w:r>
        <w:rPr>
          <w:spacing w:val="-21"/>
          <w:sz w:val="16"/>
          <w:szCs w:val="16"/>
        </w:rPr>
        <w:t xml:space="preserve"> </w:t>
      </w:r>
      <w:r>
        <w:rPr>
          <w:spacing w:val="-10"/>
          <w:sz w:val="16"/>
          <w:szCs w:val="16"/>
        </w:rPr>
        <w:t>述</w:t>
      </w:r>
      <w:r>
        <w:rPr>
          <w:spacing w:val="-27"/>
          <w:sz w:val="16"/>
          <w:szCs w:val="16"/>
        </w:rPr>
        <w:t xml:space="preserve"> </w:t>
      </w:r>
      <w:r>
        <w:rPr>
          <w:spacing w:val="-10"/>
          <w:sz w:val="16"/>
          <w:szCs w:val="16"/>
        </w:rPr>
        <w:t>。</w:t>
      </w:r>
    </w:p>
    <w:p w14:paraId="50B16E8D">
      <w:pPr>
        <w:pStyle w:val="2"/>
        <w:spacing w:before="161" w:line="222" w:lineRule="auto"/>
        <w:ind w:left="412"/>
        <w:rPr>
          <w:rFonts w:ascii="黑体" w:hAnsi="黑体" w:eastAsia="黑体" w:cs="黑体"/>
          <w:sz w:val="20"/>
          <w:szCs w:val="20"/>
        </w:rPr>
      </w:pPr>
      <w:r>
        <w:rPr>
          <w:b/>
          <w:bCs/>
          <w:color w:val="0066C0"/>
          <w:spacing w:val="-5"/>
          <w:sz w:val="20"/>
          <w:szCs w:val="20"/>
        </w:rPr>
        <w:t>1.</w:t>
      </w:r>
      <w:r>
        <w:rPr>
          <w:rFonts w:ascii="黑体" w:hAnsi="黑体" w:eastAsia="黑体" w:cs="黑体"/>
          <w:b/>
          <w:bCs/>
          <w:color w:val="0066C0"/>
          <w:spacing w:val="-5"/>
          <w:sz w:val="20"/>
          <w:szCs w:val="20"/>
        </w:rPr>
        <w:t>等保测评的主要内容</w:t>
      </w:r>
    </w:p>
    <w:p w14:paraId="30E4937F">
      <w:pPr>
        <w:pStyle w:val="2"/>
        <w:spacing w:before="154" w:line="219" w:lineRule="auto"/>
        <w:ind w:left="410"/>
        <w:rPr>
          <w:sz w:val="20"/>
          <w:szCs w:val="20"/>
        </w:rPr>
      </w:pPr>
      <w:r>
        <w:rPr>
          <w:spacing w:val="-5"/>
          <w:sz w:val="20"/>
          <w:szCs w:val="20"/>
        </w:rPr>
        <w:t>等保测评的主要内容包括：</w:t>
      </w:r>
    </w:p>
    <w:p w14:paraId="52FB9272">
      <w:pPr>
        <w:pStyle w:val="2"/>
        <w:spacing w:before="83" w:line="252" w:lineRule="auto"/>
        <w:ind w:right="269" w:firstLine="410"/>
        <w:rPr>
          <w:sz w:val="20"/>
          <w:szCs w:val="20"/>
        </w:rPr>
      </w:pPr>
      <w:r>
        <w:rPr>
          <w:spacing w:val="6"/>
          <w:sz w:val="20"/>
          <w:szCs w:val="20"/>
        </w:rPr>
        <w:t>(1)物理安全。包括物理位置的选择、物理访问控制和防盗、防火</w:t>
      </w:r>
      <w:r>
        <w:rPr>
          <w:spacing w:val="5"/>
          <w:sz w:val="20"/>
          <w:szCs w:val="20"/>
        </w:rPr>
        <w:t>、防水、防雷、温湿度</w:t>
      </w:r>
      <w:r>
        <w:rPr>
          <w:sz w:val="20"/>
          <w:szCs w:val="20"/>
        </w:rPr>
        <w:t xml:space="preserve"> </w:t>
      </w:r>
      <w:r>
        <w:rPr>
          <w:spacing w:val="-2"/>
          <w:sz w:val="20"/>
          <w:szCs w:val="20"/>
        </w:rPr>
        <w:t>控制、电力供应、防静电和电磁防护。</w:t>
      </w:r>
    </w:p>
    <w:p w14:paraId="203A2C64">
      <w:pPr>
        <w:pStyle w:val="2"/>
        <w:spacing w:before="84" w:line="248" w:lineRule="auto"/>
        <w:ind w:right="211" w:firstLine="410"/>
        <w:rPr>
          <w:sz w:val="20"/>
          <w:szCs w:val="20"/>
        </w:rPr>
      </w:pPr>
      <w:r>
        <w:rPr>
          <w:spacing w:val="7"/>
          <w:sz w:val="20"/>
          <w:szCs w:val="20"/>
        </w:rPr>
        <w:t>(2)网络安全。包括结构安全、安全审计、访问控制、边界完整性检查、恶意代码防范、</w:t>
      </w:r>
      <w:r>
        <w:rPr>
          <w:spacing w:val="8"/>
          <w:sz w:val="20"/>
          <w:szCs w:val="20"/>
        </w:rPr>
        <w:t xml:space="preserve"> </w:t>
      </w:r>
      <w:r>
        <w:rPr>
          <w:spacing w:val="-3"/>
          <w:sz w:val="20"/>
          <w:szCs w:val="20"/>
        </w:rPr>
        <w:t>入侵防范和网络设备防护等。</w:t>
      </w:r>
    </w:p>
    <w:p w14:paraId="7BFF88E9">
      <w:pPr>
        <w:pStyle w:val="2"/>
        <w:spacing w:before="60" w:line="278" w:lineRule="auto"/>
        <w:ind w:right="211" w:firstLine="410"/>
        <w:jc w:val="both"/>
        <w:rPr>
          <w:sz w:val="20"/>
          <w:szCs w:val="20"/>
        </w:rPr>
      </w:pPr>
      <w:r>
        <w:rPr>
          <w:spacing w:val="3"/>
          <w:sz w:val="20"/>
          <w:szCs w:val="20"/>
        </w:rPr>
        <w:t>等保三级要求的主要增强点包括：结构安全扩展到对重要网段采取可</w:t>
      </w:r>
      <w:r>
        <w:rPr>
          <w:spacing w:val="2"/>
          <w:sz w:val="20"/>
          <w:szCs w:val="20"/>
        </w:rPr>
        <w:t>靠的技术隔离，在网</w:t>
      </w:r>
      <w:r>
        <w:rPr>
          <w:sz w:val="20"/>
          <w:szCs w:val="20"/>
        </w:rPr>
        <w:t xml:space="preserve"> </w:t>
      </w:r>
      <w:r>
        <w:rPr>
          <w:spacing w:val="5"/>
          <w:sz w:val="20"/>
          <w:szCs w:val="20"/>
        </w:rPr>
        <w:t>络边界增加对恶意代码的检测和清除；安全审计要增强审计数据分析和保护，</w:t>
      </w:r>
      <w:r>
        <w:rPr>
          <w:spacing w:val="4"/>
          <w:sz w:val="20"/>
          <w:szCs w:val="20"/>
        </w:rPr>
        <w:t>生成审计报表；</w:t>
      </w:r>
      <w:r>
        <w:rPr>
          <w:sz w:val="20"/>
          <w:szCs w:val="20"/>
        </w:rPr>
        <w:t xml:space="preserve"> </w:t>
      </w:r>
      <w:r>
        <w:rPr>
          <w:spacing w:val="-2"/>
          <w:sz w:val="20"/>
          <w:szCs w:val="20"/>
        </w:rPr>
        <w:t>访问控制扩展到对进出网络的信息内容过滤。</w:t>
      </w:r>
    </w:p>
    <w:p w14:paraId="7627ECCD">
      <w:pPr>
        <w:pStyle w:val="2"/>
        <w:spacing w:before="28" w:line="328" w:lineRule="auto"/>
        <w:ind w:right="302" w:firstLine="410"/>
        <w:rPr>
          <w:sz w:val="16"/>
          <w:szCs w:val="16"/>
        </w:rPr>
      </w:pPr>
      <w:r>
        <w:rPr>
          <w:spacing w:val="5"/>
          <w:sz w:val="20"/>
          <w:szCs w:val="20"/>
        </w:rPr>
        <w:t>(3)主机安全。包括身份鉴别、访问控制、安全审计、入侵防范、恶意代码防范和</w:t>
      </w:r>
      <w:r>
        <w:rPr>
          <w:spacing w:val="4"/>
          <w:sz w:val="20"/>
          <w:szCs w:val="20"/>
        </w:rPr>
        <w:t>资源控</w:t>
      </w:r>
      <w:r>
        <w:rPr>
          <w:sz w:val="20"/>
          <w:szCs w:val="20"/>
        </w:rPr>
        <w:t xml:space="preserve"> </w:t>
      </w:r>
      <w:r>
        <w:rPr>
          <w:spacing w:val="-5"/>
          <w:sz w:val="16"/>
          <w:szCs w:val="16"/>
        </w:rPr>
        <w:t>制</w:t>
      </w:r>
      <w:r>
        <w:rPr>
          <w:spacing w:val="-18"/>
          <w:sz w:val="16"/>
          <w:szCs w:val="16"/>
        </w:rPr>
        <w:t xml:space="preserve"> </w:t>
      </w:r>
      <w:r>
        <w:rPr>
          <w:spacing w:val="-5"/>
          <w:sz w:val="16"/>
          <w:szCs w:val="16"/>
        </w:rPr>
        <w:t>等</w:t>
      </w:r>
      <w:r>
        <w:rPr>
          <w:spacing w:val="-25"/>
          <w:sz w:val="16"/>
          <w:szCs w:val="16"/>
        </w:rPr>
        <w:t xml:space="preserve"> </w:t>
      </w:r>
      <w:r>
        <w:rPr>
          <w:spacing w:val="-5"/>
          <w:sz w:val="16"/>
          <w:szCs w:val="16"/>
        </w:rPr>
        <w:t>。</w:t>
      </w:r>
    </w:p>
    <w:p w14:paraId="33E3365A">
      <w:pPr>
        <w:pStyle w:val="2"/>
        <w:spacing w:before="1" w:line="218" w:lineRule="auto"/>
        <w:ind w:left="410"/>
        <w:rPr>
          <w:sz w:val="20"/>
          <w:szCs w:val="20"/>
        </w:rPr>
      </w:pPr>
      <w:r>
        <w:rPr>
          <w:spacing w:val="-2"/>
          <w:sz w:val="20"/>
          <w:szCs w:val="20"/>
        </w:rPr>
        <w:t>等保三级要求的主要增强点包括：身份鉴别要求对管理用户采用组合鉴别技术。</w:t>
      </w:r>
    </w:p>
    <w:p w14:paraId="73AD4AD3">
      <w:pPr>
        <w:pStyle w:val="2"/>
        <w:spacing w:before="54" w:line="286" w:lineRule="auto"/>
        <w:ind w:right="231" w:firstLine="410"/>
        <w:rPr>
          <w:sz w:val="20"/>
          <w:szCs w:val="20"/>
        </w:rPr>
      </w:pPr>
      <w:r>
        <w:rPr>
          <w:spacing w:val="2"/>
          <w:sz w:val="20"/>
          <w:szCs w:val="20"/>
        </w:rPr>
        <w:t>(4)应用安全。包括身份鉴别、访问控制、安全审计、通信</w:t>
      </w:r>
      <w:r>
        <w:rPr>
          <w:spacing w:val="1"/>
          <w:sz w:val="20"/>
          <w:szCs w:val="20"/>
        </w:rPr>
        <w:t>完整性、通信保密性、抗抵赖、</w:t>
      </w:r>
      <w:r>
        <w:rPr>
          <w:sz w:val="20"/>
          <w:szCs w:val="20"/>
        </w:rPr>
        <w:t xml:space="preserve"> </w:t>
      </w:r>
      <w:r>
        <w:rPr>
          <w:spacing w:val="-4"/>
          <w:sz w:val="20"/>
          <w:szCs w:val="20"/>
        </w:rPr>
        <w:t>软件容错和资源控制等。</w:t>
      </w:r>
    </w:p>
    <w:p w14:paraId="48643714">
      <w:pPr>
        <w:pStyle w:val="2"/>
        <w:spacing w:before="2" w:line="290" w:lineRule="auto"/>
        <w:ind w:right="301" w:firstLine="410"/>
        <w:rPr>
          <w:sz w:val="20"/>
          <w:szCs w:val="20"/>
        </w:rPr>
      </w:pPr>
      <w:r>
        <w:rPr>
          <w:spacing w:val="3"/>
          <w:sz w:val="20"/>
          <w:szCs w:val="20"/>
        </w:rPr>
        <w:t>等保三级要求的主要增强点包括：身份鉴别要</w:t>
      </w:r>
      <w:r>
        <w:rPr>
          <w:spacing w:val="2"/>
          <w:sz w:val="20"/>
          <w:szCs w:val="20"/>
        </w:rPr>
        <w:t>求组合鉴别技术；访问控制和安全审计基本</w:t>
      </w:r>
      <w:r>
        <w:rPr>
          <w:sz w:val="20"/>
          <w:szCs w:val="20"/>
        </w:rPr>
        <w:t xml:space="preserve"> </w:t>
      </w:r>
      <w:r>
        <w:rPr>
          <w:spacing w:val="-1"/>
          <w:sz w:val="20"/>
          <w:szCs w:val="20"/>
        </w:rPr>
        <w:t>同主机安全的增强要求；要求对通信过程中的整个报文或会话过程进行加密。</w:t>
      </w:r>
    </w:p>
    <w:p w14:paraId="6C12F8CC">
      <w:pPr>
        <w:pStyle w:val="2"/>
        <w:spacing w:line="219" w:lineRule="auto"/>
        <w:ind w:left="410"/>
        <w:rPr>
          <w:sz w:val="20"/>
          <w:szCs w:val="20"/>
        </w:rPr>
      </w:pPr>
      <w:r>
        <w:rPr>
          <w:spacing w:val="2"/>
          <w:sz w:val="20"/>
          <w:szCs w:val="20"/>
        </w:rPr>
        <w:t>(5)数据安全。包括数据完整性和保密性、数据的备份和恢复。</w:t>
      </w:r>
    </w:p>
    <w:p w14:paraId="1C0742CA">
      <w:pPr>
        <w:pStyle w:val="2"/>
        <w:spacing w:before="52" w:line="277" w:lineRule="auto"/>
        <w:ind w:right="273" w:firstLine="410"/>
        <w:rPr>
          <w:sz w:val="20"/>
          <w:szCs w:val="20"/>
        </w:rPr>
      </w:pPr>
      <w:r>
        <w:rPr>
          <w:spacing w:val="3"/>
          <w:sz w:val="20"/>
          <w:szCs w:val="20"/>
        </w:rPr>
        <w:t>等保三级要求的主要增强点包括：对系统管理数据、鉴别信息和重要业务数据在存储过程</w:t>
      </w:r>
      <w:r>
        <w:rPr>
          <w:spacing w:val="9"/>
          <w:sz w:val="20"/>
          <w:szCs w:val="20"/>
        </w:rPr>
        <w:t xml:space="preserve"> </w:t>
      </w:r>
      <w:r>
        <w:rPr>
          <w:spacing w:val="3"/>
          <w:sz w:val="20"/>
          <w:szCs w:val="20"/>
        </w:rPr>
        <w:t>和传输过程中的完整性进行检测和恢复，采用加密或其他有效措施实现以</w:t>
      </w:r>
      <w:r>
        <w:rPr>
          <w:spacing w:val="2"/>
          <w:sz w:val="20"/>
          <w:szCs w:val="20"/>
        </w:rPr>
        <w:t>上数据传输和存储的</w:t>
      </w:r>
      <w:r>
        <w:rPr>
          <w:sz w:val="20"/>
          <w:szCs w:val="20"/>
        </w:rPr>
        <w:t xml:space="preserve"> </w:t>
      </w:r>
      <w:r>
        <w:rPr>
          <w:spacing w:val="-3"/>
          <w:sz w:val="20"/>
          <w:szCs w:val="20"/>
        </w:rPr>
        <w:t>保密性；提供异地数据备份等。</w:t>
      </w:r>
    </w:p>
    <w:p w14:paraId="79837844">
      <w:pPr>
        <w:pStyle w:val="2"/>
        <w:spacing w:before="116" w:line="222" w:lineRule="auto"/>
        <w:ind w:left="412"/>
        <w:rPr>
          <w:rFonts w:ascii="黑体" w:hAnsi="黑体" w:eastAsia="黑体" w:cs="黑体"/>
          <w:sz w:val="20"/>
          <w:szCs w:val="20"/>
        </w:rPr>
      </w:pPr>
      <w:r>
        <w:rPr>
          <w:b/>
          <w:bCs/>
          <w:color w:val="0A85E3"/>
          <w:spacing w:val="-4"/>
          <w:sz w:val="20"/>
          <w:szCs w:val="20"/>
        </w:rPr>
        <w:t>2.</w:t>
      </w:r>
      <w:r>
        <w:rPr>
          <w:rFonts w:ascii="黑体" w:hAnsi="黑体" w:eastAsia="黑体" w:cs="黑体"/>
          <w:b/>
          <w:bCs/>
          <w:color w:val="0A85E3"/>
          <w:spacing w:val="-4"/>
          <w:sz w:val="20"/>
          <w:szCs w:val="20"/>
        </w:rPr>
        <w:t>测评实施和实施要点</w:t>
      </w:r>
    </w:p>
    <w:p w14:paraId="5233E703">
      <w:pPr>
        <w:pStyle w:val="2"/>
        <w:spacing w:before="153" w:line="219" w:lineRule="auto"/>
        <w:ind w:left="410"/>
        <w:rPr>
          <w:sz w:val="20"/>
          <w:szCs w:val="20"/>
        </w:rPr>
      </w:pPr>
      <w:r>
        <w:rPr>
          <w:spacing w:val="3"/>
          <w:sz w:val="20"/>
          <w:szCs w:val="20"/>
        </w:rPr>
        <w:t>在实施测评过程中，对于每一项测评内容，根据技术标准的约定都要设置若干测评项，每</w:t>
      </w:r>
    </w:p>
    <w:p w14:paraId="1A9ECD42">
      <w:pPr>
        <w:spacing w:line="219" w:lineRule="auto"/>
        <w:rPr>
          <w:sz w:val="20"/>
          <w:szCs w:val="20"/>
        </w:rPr>
        <w:sectPr>
          <w:pgSz w:w="10280" w:h="13310"/>
          <w:pgMar w:top="400" w:right="568" w:bottom="400" w:left="1099" w:header="0" w:footer="0" w:gutter="0"/>
          <w:cols w:space="720" w:num="1"/>
        </w:sectPr>
      </w:pPr>
    </w:p>
    <w:p w14:paraId="311EE7C8">
      <w:pPr>
        <w:pStyle w:val="2"/>
        <w:spacing w:before="87" w:line="219" w:lineRule="auto"/>
        <w:rPr>
          <w:sz w:val="19"/>
          <w:szCs w:val="19"/>
        </w:rPr>
      </w:pPr>
      <w:r>
        <w:rPr>
          <w:rFonts w:ascii="Times New Roman" w:hAnsi="Times New Roman" w:eastAsia="Times New Roman" w:cs="Times New Roman"/>
          <w:spacing w:val="3"/>
          <w:position w:val="-2"/>
          <w:sz w:val="19"/>
          <w:szCs w:val="19"/>
        </w:rPr>
        <w:t xml:space="preserve">186              </w:t>
      </w:r>
      <w:r>
        <w:rPr>
          <w:spacing w:val="3"/>
          <w:sz w:val="19"/>
          <w:szCs w:val="19"/>
        </w:rPr>
        <w:t>信息系统监理师教程(第2版)</w:t>
      </w:r>
    </w:p>
    <w:p w14:paraId="7D4A6BFC">
      <w:pPr>
        <w:spacing w:line="323" w:lineRule="auto"/>
        <w:rPr>
          <w:rFonts w:ascii="Arial"/>
          <w:sz w:val="21"/>
        </w:rPr>
      </w:pPr>
    </w:p>
    <w:p w14:paraId="04FEB886">
      <w:pPr>
        <w:pStyle w:val="2"/>
        <w:spacing w:before="62" w:line="300" w:lineRule="auto"/>
        <w:ind w:left="359" w:right="47"/>
        <w:rPr>
          <w:sz w:val="19"/>
          <w:szCs w:val="19"/>
        </w:rPr>
      </w:pPr>
      <w:r>
        <w:rPr>
          <w:spacing w:val="13"/>
          <w:sz w:val="19"/>
          <w:szCs w:val="19"/>
        </w:rPr>
        <w:t xml:space="preserve">一个测评项都有针对性的测评对象、测评方法，并根据测评结果给出分数，并在测评报告中给 </w:t>
      </w:r>
      <w:r>
        <w:rPr>
          <w:spacing w:val="6"/>
          <w:sz w:val="19"/>
          <w:szCs w:val="19"/>
        </w:rPr>
        <w:t>出总分。</w:t>
      </w:r>
    </w:p>
    <w:p w14:paraId="3ABCC74A">
      <w:pPr>
        <w:pStyle w:val="2"/>
        <w:spacing w:before="24" w:line="219" w:lineRule="auto"/>
        <w:ind w:left="770"/>
        <w:rPr>
          <w:sz w:val="19"/>
          <w:szCs w:val="19"/>
        </w:rPr>
      </w:pPr>
      <w:r>
        <w:rPr>
          <w:spacing w:val="5"/>
          <w:sz w:val="19"/>
          <w:szCs w:val="19"/>
        </w:rPr>
        <w:t>等保测评的实施要点包括：</w:t>
      </w:r>
    </w:p>
    <w:p w14:paraId="42709AB0">
      <w:pPr>
        <w:pStyle w:val="2"/>
        <w:spacing w:before="105" w:line="220" w:lineRule="auto"/>
        <w:ind w:left="770"/>
        <w:rPr>
          <w:sz w:val="19"/>
          <w:szCs w:val="19"/>
        </w:rPr>
      </w:pPr>
      <w:r>
        <w:rPr>
          <w:spacing w:val="11"/>
          <w:sz w:val="19"/>
          <w:szCs w:val="19"/>
        </w:rPr>
        <w:t>(1)需要注意的关键环节，具体如下：</w:t>
      </w:r>
    </w:p>
    <w:p w14:paraId="214A5135">
      <w:pPr>
        <w:pStyle w:val="2"/>
        <w:spacing w:before="72" w:line="270" w:lineRule="auto"/>
        <w:ind w:left="1049" w:right="61" w:hanging="279"/>
        <w:rPr>
          <w:sz w:val="19"/>
          <w:szCs w:val="19"/>
        </w:rPr>
      </w:pPr>
      <w:r>
        <w:rPr>
          <w:spacing w:val="13"/>
          <w:sz w:val="19"/>
          <w:szCs w:val="19"/>
        </w:rPr>
        <w:t>●等保定级后，第二级以上系统需要到属地公安机关办理备案手续，公安机关</w:t>
      </w:r>
      <w:r>
        <w:rPr>
          <w:spacing w:val="12"/>
          <w:sz w:val="19"/>
          <w:szCs w:val="19"/>
        </w:rPr>
        <w:t>审核合格后</w:t>
      </w:r>
      <w:r>
        <w:rPr>
          <w:sz w:val="19"/>
          <w:szCs w:val="19"/>
        </w:rPr>
        <w:t xml:space="preserve"> </w:t>
      </w:r>
      <w:r>
        <w:rPr>
          <w:spacing w:val="2"/>
          <w:sz w:val="19"/>
          <w:szCs w:val="19"/>
        </w:rPr>
        <w:t>颁发备案证明；</w:t>
      </w:r>
    </w:p>
    <w:p w14:paraId="5865A7ED">
      <w:pPr>
        <w:pStyle w:val="2"/>
        <w:spacing w:before="104" w:line="219" w:lineRule="auto"/>
        <w:ind w:left="770"/>
        <w:rPr>
          <w:sz w:val="19"/>
          <w:szCs w:val="19"/>
        </w:rPr>
      </w:pPr>
      <w:r>
        <w:rPr>
          <w:spacing w:val="10"/>
          <w:sz w:val="19"/>
          <w:szCs w:val="19"/>
        </w:rPr>
        <w:t>●各单位、各部门根据系统等级，按照国家标准进行信息系统安全建设的整改工作；</w:t>
      </w:r>
    </w:p>
    <w:p w14:paraId="5FFF32CC">
      <w:pPr>
        <w:pStyle w:val="2"/>
        <w:spacing w:before="93" w:line="219" w:lineRule="auto"/>
        <w:ind w:left="770"/>
        <w:rPr>
          <w:sz w:val="19"/>
          <w:szCs w:val="19"/>
        </w:rPr>
      </w:pPr>
      <w:r>
        <w:rPr>
          <w:spacing w:val="11"/>
          <w:sz w:val="19"/>
          <w:szCs w:val="19"/>
        </w:rPr>
        <w:t>●聘请测评机构进行等级测评；</w:t>
      </w:r>
    </w:p>
    <w:p w14:paraId="56201357">
      <w:pPr>
        <w:pStyle w:val="2"/>
        <w:spacing w:before="105" w:line="219" w:lineRule="auto"/>
        <w:ind w:left="770"/>
        <w:rPr>
          <w:sz w:val="19"/>
          <w:szCs w:val="19"/>
        </w:rPr>
      </w:pPr>
      <w:r>
        <w:rPr>
          <w:spacing w:val="12"/>
          <w:sz w:val="19"/>
          <w:szCs w:val="19"/>
        </w:rPr>
        <w:t>●公安机关定期开展监督、检查、指导。</w:t>
      </w:r>
    </w:p>
    <w:p w14:paraId="1189C954">
      <w:pPr>
        <w:pStyle w:val="2"/>
        <w:spacing w:before="105" w:line="274" w:lineRule="auto"/>
        <w:ind w:left="359" w:right="64" w:firstLine="410"/>
        <w:rPr>
          <w:sz w:val="19"/>
          <w:szCs w:val="19"/>
        </w:rPr>
      </w:pPr>
      <w:r>
        <w:rPr>
          <w:spacing w:val="15"/>
          <w:sz w:val="19"/>
          <w:szCs w:val="19"/>
        </w:rPr>
        <w:t>(2)目前必须进行等保定级并开展测评的行业主要有：国土资源、交通</w:t>
      </w:r>
      <w:r>
        <w:rPr>
          <w:spacing w:val="14"/>
          <w:sz w:val="19"/>
          <w:szCs w:val="19"/>
        </w:rPr>
        <w:t>、海关、铁路、税</w:t>
      </w:r>
      <w:r>
        <w:rPr>
          <w:sz w:val="19"/>
          <w:szCs w:val="19"/>
        </w:rPr>
        <w:t xml:space="preserve"> </w:t>
      </w:r>
      <w:r>
        <w:rPr>
          <w:spacing w:val="13"/>
          <w:sz w:val="19"/>
          <w:szCs w:val="19"/>
        </w:rPr>
        <w:t>务、广电、征信、烟草、教育、档案、卫生、网约车、金融行业、网络借贷、电力行业</w:t>
      </w:r>
      <w:r>
        <w:rPr>
          <w:spacing w:val="12"/>
          <w:sz w:val="19"/>
          <w:szCs w:val="19"/>
        </w:rPr>
        <w:t>、智慧</w:t>
      </w:r>
      <w:r>
        <w:rPr>
          <w:sz w:val="19"/>
          <w:szCs w:val="19"/>
        </w:rPr>
        <w:t xml:space="preserve"> </w:t>
      </w:r>
      <w:r>
        <w:rPr>
          <w:spacing w:val="6"/>
          <w:sz w:val="19"/>
          <w:szCs w:val="19"/>
        </w:rPr>
        <w:t>城市、电子政务等。</w:t>
      </w:r>
    </w:p>
    <w:p w14:paraId="055B10B5">
      <w:pPr>
        <w:pStyle w:val="2"/>
        <w:spacing w:before="95" w:line="219" w:lineRule="auto"/>
        <w:ind w:left="770"/>
        <w:rPr>
          <w:sz w:val="19"/>
          <w:szCs w:val="19"/>
        </w:rPr>
      </w:pPr>
      <w:r>
        <w:rPr>
          <w:spacing w:val="10"/>
          <w:sz w:val="19"/>
          <w:szCs w:val="19"/>
        </w:rPr>
        <w:t>(3)等级保护工作的流程和要求具体如下：</w:t>
      </w:r>
    </w:p>
    <w:p w14:paraId="1A62805D">
      <w:pPr>
        <w:pStyle w:val="2"/>
        <w:spacing w:before="94" w:line="264" w:lineRule="auto"/>
        <w:ind w:left="1049" w:hanging="279"/>
        <w:rPr>
          <w:sz w:val="19"/>
          <w:szCs w:val="19"/>
        </w:rPr>
      </w:pPr>
      <w:r>
        <w:rPr>
          <w:spacing w:val="14"/>
          <w:sz w:val="19"/>
          <w:szCs w:val="19"/>
        </w:rPr>
        <w:t>●等级保护整体流程包括系统定级、专家评审、网安备案、系统测评、系统整改、复测、</w:t>
      </w:r>
      <w:r>
        <w:rPr>
          <w:spacing w:val="18"/>
          <w:sz w:val="19"/>
          <w:szCs w:val="19"/>
        </w:rPr>
        <w:t xml:space="preserve"> </w:t>
      </w:r>
      <w:r>
        <w:rPr>
          <w:sz w:val="19"/>
          <w:szCs w:val="19"/>
        </w:rPr>
        <w:t>出具报告等；</w:t>
      </w:r>
    </w:p>
    <w:p w14:paraId="5CC22B18">
      <w:pPr>
        <w:pStyle w:val="2"/>
        <w:spacing w:before="105" w:line="218" w:lineRule="auto"/>
        <w:ind w:left="770"/>
        <w:rPr>
          <w:sz w:val="19"/>
          <w:szCs w:val="19"/>
        </w:rPr>
      </w:pPr>
      <w:r>
        <w:rPr>
          <w:spacing w:val="10"/>
          <w:sz w:val="19"/>
          <w:szCs w:val="19"/>
        </w:rPr>
        <w:t>●时间周期安排，涵盖备案、整改和出具报告的时间，完整工作周期一般为三个月；</w:t>
      </w:r>
    </w:p>
    <w:p w14:paraId="377E694D">
      <w:pPr>
        <w:pStyle w:val="2"/>
        <w:spacing w:before="98" w:line="219" w:lineRule="auto"/>
        <w:ind w:left="770"/>
        <w:rPr>
          <w:sz w:val="19"/>
          <w:szCs w:val="19"/>
        </w:rPr>
      </w:pPr>
      <w:r>
        <w:rPr>
          <w:spacing w:val="9"/>
          <w:sz w:val="19"/>
          <w:szCs w:val="19"/>
        </w:rPr>
        <w:t>●</w:t>
      </w:r>
      <w:r>
        <w:rPr>
          <w:spacing w:val="-63"/>
          <w:sz w:val="19"/>
          <w:szCs w:val="19"/>
        </w:rPr>
        <w:t xml:space="preserve"> </w:t>
      </w:r>
      <w:r>
        <w:rPr>
          <w:spacing w:val="9"/>
          <w:sz w:val="19"/>
          <w:szCs w:val="19"/>
        </w:rPr>
        <w:t>整理内部资料；</w:t>
      </w:r>
    </w:p>
    <w:p w14:paraId="183CF1A7">
      <w:pPr>
        <w:pStyle w:val="2"/>
        <w:spacing w:before="104" w:line="219" w:lineRule="auto"/>
        <w:ind w:left="770"/>
        <w:rPr>
          <w:sz w:val="19"/>
          <w:szCs w:val="19"/>
        </w:rPr>
      </w:pPr>
      <w:r>
        <w:rPr>
          <w:spacing w:val="11"/>
          <w:sz w:val="19"/>
          <w:szCs w:val="19"/>
        </w:rPr>
        <w:t>●按照测评要求，开展对环境和设备的符合性自查及整</w:t>
      </w:r>
      <w:r>
        <w:rPr>
          <w:spacing w:val="10"/>
          <w:sz w:val="19"/>
          <w:szCs w:val="19"/>
        </w:rPr>
        <w:t>改。</w:t>
      </w:r>
    </w:p>
    <w:p w14:paraId="1711D491">
      <w:pPr>
        <w:spacing w:line="325" w:lineRule="auto"/>
        <w:rPr>
          <w:rFonts w:ascii="Arial"/>
          <w:sz w:val="21"/>
        </w:rPr>
      </w:pPr>
    </w:p>
    <w:p w14:paraId="1100E63E">
      <w:pPr>
        <w:pStyle w:val="2"/>
        <w:spacing w:before="95" w:line="221" w:lineRule="auto"/>
        <w:ind w:left="363"/>
        <w:rPr>
          <w:rFonts w:ascii="黑体" w:hAnsi="黑体" w:eastAsia="黑体" w:cs="黑体"/>
          <w:sz w:val="29"/>
          <w:szCs w:val="29"/>
        </w:rPr>
      </w:pPr>
      <w:r>
        <w:rPr>
          <w:b/>
          <w:bCs/>
          <w:color w:val="049AE5"/>
          <w:spacing w:val="-15"/>
          <w:sz w:val="29"/>
          <w:szCs w:val="29"/>
        </w:rPr>
        <w:t>6.5</w:t>
      </w:r>
      <w:r>
        <w:rPr>
          <w:color w:val="049AE5"/>
          <w:spacing w:val="137"/>
          <w:sz w:val="29"/>
          <w:szCs w:val="29"/>
        </w:rPr>
        <w:t xml:space="preserve"> </w:t>
      </w:r>
      <w:r>
        <w:rPr>
          <w:rFonts w:ascii="黑体" w:hAnsi="黑体" w:eastAsia="黑体" w:cs="黑体"/>
          <w:b/>
          <w:bCs/>
          <w:color w:val="049AE5"/>
          <w:spacing w:val="-15"/>
          <w:sz w:val="29"/>
          <w:szCs w:val="29"/>
        </w:rPr>
        <w:t>信息安全风险评估概述</w:t>
      </w:r>
    </w:p>
    <w:p w14:paraId="49332263">
      <w:pPr>
        <w:pStyle w:val="2"/>
        <w:spacing w:before="273" w:line="303" w:lineRule="auto"/>
        <w:ind w:left="359" w:right="57" w:firstLine="410"/>
        <w:jc w:val="both"/>
        <w:rPr>
          <w:sz w:val="19"/>
          <w:szCs w:val="19"/>
        </w:rPr>
      </w:pPr>
      <w:r>
        <w:rPr>
          <w:spacing w:val="13"/>
          <w:sz w:val="19"/>
          <w:szCs w:val="19"/>
        </w:rPr>
        <w:t>信息安全风险评估是参照国家有关部门制定的风险评估标准和管理规范，对信息</w:t>
      </w:r>
      <w:r>
        <w:rPr>
          <w:spacing w:val="12"/>
          <w:sz w:val="19"/>
          <w:szCs w:val="19"/>
        </w:rPr>
        <w:t>系统的资</w:t>
      </w:r>
      <w:r>
        <w:rPr>
          <w:sz w:val="19"/>
          <w:szCs w:val="19"/>
        </w:rPr>
        <w:t xml:space="preserve"> </w:t>
      </w:r>
      <w:r>
        <w:rPr>
          <w:spacing w:val="13"/>
          <w:sz w:val="19"/>
          <w:szCs w:val="19"/>
        </w:rPr>
        <w:t>产价值、潜在威胁、薄弱环节、已采取的防护措施等进行分析，判断安全事件发生的概率，以</w:t>
      </w:r>
      <w:r>
        <w:rPr>
          <w:spacing w:val="3"/>
          <w:sz w:val="19"/>
          <w:szCs w:val="19"/>
        </w:rPr>
        <w:t xml:space="preserve"> </w:t>
      </w:r>
      <w:r>
        <w:rPr>
          <w:spacing w:val="7"/>
          <w:sz w:val="19"/>
          <w:szCs w:val="19"/>
        </w:rPr>
        <w:t>及可能造成的损失，提出风险管理措施的过程。</w:t>
      </w:r>
    </w:p>
    <w:p w14:paraId="1303F8AC">
      <w:pPr>
        <w:pStyle w:val="2"/>
        <w:spacing w:before="6" w:line="297" w:lineRule="auto"/>
        <w:ind w:left="359" w:right="67" w:firstLine="410"/>
        <w:rPr>
          <w:sz w:val="19"/>
          <w:szCs w:val="19"/>
        </w:rPr>
      </w:pPr>
      <w:r>
        <w:rPr>
          <w:spacing w:val="9"/>
          <w:sz w:val="19"/>
          <w:szCs w:val="19"/>
        </w:rPr>
        <w:t>信息安全风险评估的技术标准主要有：</w:t>
      </w:r>
      <w:r>
        <w:rPr>
          <w:rFonts w:ascii="Times New Roman" w:hAnsi="Times New Roman" w:eastAsia="Times New Roman" w:cs="Times New Roman"/>
          <w:sz w:val="19"/>
          <w:szCs w:val="19"/>
        </w:rPr>
        <w:t>GB</w:t>
      </w:r>
      <w:r>
        <w:rPr>
          <w:rFonts w:ascii="Times New Roman" w:hAnsi="Times New Roman" w:eastAsia="Times New Roman" w:cs="Times New Roman"/>
          <w:spacing w:val="9"/>
          <w:sz w:val="19"/>
          <w:szCs w:val="19"/>
        </w:rPr>
        <w:t>/T   28449</w:t>
      </w:r>
      <w:r>
        <w:rPr>
          <w:spacing w:val="9"/>
          <w:sz w:val="19"/>
          <w:szCs w:val="19"/>
        </w:rPr>
        <w:t>《信息安全技术网络安全等级保护测评</w:t>
      </w:r>
      <w:r>
        <w:rPr>
          <w:sz w:val="19"/>
          <w:szCs w:val="19"/>
        </w:rPr>
        <w:t xml:space="preserve"> </w:t>
      </w:r>
      <w:r>
        <w:rPr>
          <w:spacing w:val="7"/>
          <w:sz w:val="19"/>
          <w:szCs w:val="19"/>
        </w:rPr>
        <w:t>过程指南》和</w:t>
      </w:r>
      <w:r>
        <w:rPr>
          <w:rFonts w:ascii="Times New Roman" w:hAnsi="Times New Roman" w:eastAsia="Times New Roman" w:cs="Times New Roman"/>
          <w:sz w:val="19"/>
          <w:szCs w:val="19"/>
        </w:rPr>
        <w:t>GB</w:t>
      </w:r>
      <w:r>
        <w:rPr>
          <w:rFonts w:ascii="Times New Roman" w:hAnsi="Times New Roman" w:eastAsia="Times New Roman" w:cs="Times New Roman"/>
          <w:spacing w:val="7"/>
          <w:sz w:val="19"/>
          <w:szCs w:val="19"/>
        </w:rPr>
        <w:t>/T</w:t>
      </w:r>
      <w:r>
        <w:rPr>
          <w:rFonts w:ascii="Times New Roman" w:hAnsi="Times New Roman" w:eastAsia="Times New Roman" w:cs="Times New Roman"/>
          <w:spacing w:val="23"/>
          <w:w w:val="101"/>
          <w:sz w:val="19"/>
          <w:szCs w:val="19"/>
        </w:rPr>
        <w:t xml:space="preserve">  </w:t>
      </w:r>
      <w:r>
        <w:rPr>
          <w:rFonts w:ascii="Times New Roman" w:hAnsi="Times New Roman" w:eastAsia="Times New Roman" w:cs="Times New Roman"/>
          <w:spacing w:val="7"/>
          <w:sz w:val="19"/>
          <w:szCs w:val="19"/>
        </w:rPr>
        <w:t>20984</w:t>
      </w:r>
      <w:r>
        <w:rPr>
          <w:spacing w:val="7"/>
          <w:sz w:val="19"/>
          <w:szCs w:val="19"/>
        </w:rPr>
        <w:t>《信息安全技术信息安全风险评估方法》。</w:t>
      </w:r>
    </w:p>
    <w:p w14:paraId="0F00321E">
      <w:pPr>
        <w:pStyle w:val="2"/>
        <w:spacing w:before="167" w:line="218" w:lineRule="auto"/>
        <w:ind w:left="362"/>
        <w:rPr>
          <w:sz w:val="25"/>
          <w:szCs w:val="25"/>
        </w:rPr>
      </w:pPr>
      <w:r>
        <w:rPr>
          <w:b/>
          <w:bCs/>
          <w:color w:val="0095E1"/>
          <w:spacing w:val="-18"/>
          <w:sz w:val="25"/>
          <w:szCs w:val="25"/>
        </w:rPr>
        <w:t>6.5.1</w:t>
      </w:r>
      <w:r>
        <w:rPr>
          <w:color w:val="0095E1"/>
          <w:spacing w:val="102"/>
          <w:sz w:val="25"/>
          <w:szCs w:val="25"/>
        </w:rPr>
        <w:t xml:space="preserve"> </w:t>
      </w:r>
      <w:r>
        <w:rPr>
          <w:b/>
          <w:bCs/>
          <w:color w:val="0095E1"/>
          <w:spacing w:val="-18"/>
          <w:sz w:val="25"/>
          <w:szCs w:val="25"/>
        </w:rPr>
        <w:t>信息安全风险评估的重要性</w:t>
      </w:r>
    </w:p>
    <w:p w14:paraId="5D1761ED">
      <w:pPr>
        <w:pStyle w:val="2"/>
        <w:spacing w:before="176" w:line="288" w:lineRule="auto"/>
        <w:ind w:left="359" w:right="19" w:firstLine="410"/>
        <w:jc w:val="both"/>
        <w:rPr>
          <w:sz w:val="19"/>
          <w:szCs w:val="19"/>
        </w:rPr>
      </w:pPr>
      <w:r>
        <w:rPr>
          <w:spacing w:val="12"/>
          <w:sz w:val="19"/>
          <w:szCs w:val="19"/>
        </w:rPr>
        <w:t>风险评估不是一个新概念，早在21世纪初期，金融行业、电子商务等许多领域应用信息技</w:t>
      </w:r>
      <w:r>
        <w:rPr>
          <w:spacing w:val="17"/>
          <w:sz w:val="19"/>
          <w:szCs w:val="19"/>
        </w:rPr>
        <w:t xml:space="preserve"> </w:t>
      </w:r>
      <w:r>
        <w:rPr>
          <w:spacing w:val="13"/>
          <w:sz w:val="19"/>
          <w:szCs w:val="19"/>
        </w:rPr>
        <w:t>术解决业务问题时，就已经有了对信息安全的风险分析、判断及风险评估需求的具体</w:t>
      </w:r>
      <w:r>
        <w:rPr>
          <w:spacing w:val="12"/>
          <w:sz w:val="19"/>
          <w:szCs w:val="19"/>
        </w:rPr>
        <w:t>实践。随</w:t>
      </w:r>
      <w:r>
        <w:rPr>
          <w:sz w:val="19"/>
          <w:szCs w:val="19"/>
        </w:rPr>
        <w:t xml:space="preserve"> </w:t>
      </w:r>
      <w:r>
        <w:rPr>
          <w:spacing w:val="13"/>
          <w:sz w:val="19"/>
          <w:szCs w:val="19"/>
        </w:rPr>
        <w:t>着国家对信息安全风险评估研究的快速进展，具体评估方法也在不断推陈出新、得</w:t>
      </w:r>
      <w:r>
        <w:rPr>
          <w:spacing w:val="12"/>
          <w:sz w:val="19"/>
          <w:szCs w:val="19"/>
        </w:rPr>
        <w:t>到改进完善</w:t>
      </w:r>
      <w:r>
        <w:rPr>
          <w:sz w:val="19"/>
          <w:szCs w:val="19"/>
        </w:rPr>
        <w:t xml:space="preserve"> </w:t>
      </w:r>
      <w:r>
        <w:rPr>
          <w:spacing w:val="9"/>
          <w:sz w:val="19"/>
          <w:szCs w:val="19"/>
        </w:rPr>
        <w:t>并进入标准化。风险评估也从早期简单的漏洞扫描、人工审计、性能测试等类型的纯技术操作，</w:t>
      </w:r>
      <w:r>
        <w:rPr>
          <w:spacing w:val="6"/>
          <w:sz w:val="19"/>
          <w:szCs w:val="19"/>
        </w:rPr>
        <w:t xml:space="preserve"> </w:t>
      </w:r>
      <w:r>
        <w:rPr>
          <w:sz w:val="19"/>
          <w:szCs w:val="19"/>
        </w:rPr>
        <w:t>逐渐过渡到普遍采用</w:t>
      </w:r>
      <w:r>
        <w:rPr>
          <w:rFonts w:ascii="Times New Roman" w:hAnsi="Times New Roman" w:eastAsia="Times New Roman" w:cs="Times New Roman"/>
          <w:sz w:val="19"/>
          <w:szCs w:val="19"/>
        </w:rPr>
        <w:t>BS7799</w:t>
      </w:r>
      <w:r>
        <w:rPr>
          <w:rFonts w:ascii="Times New Roman" w:hAnsi="Times New Roman" w:eastAsia="Times New Roman" w:cs="Times New Roman"/>
          <w:spacing w:val="-27"/>
          <w:sz w:val="19"/>
          <w:szCs w:val="19"/>
        </w:rPr>
        <w:t xml:space="preserve"> </w:t>
      </w:r>
      <w:r>
        <w:rPr>
          <w:sz w:val="19"/>
          <w:szCs w:val="19"/>
        </w:rPr>
        <w:t>、</w:t>
      </w:r>
      <w:r>
        <w:rPr>
          <w:rFonts w:ascii="Times New Roman" w:hAnsi="Times New Roman" w:eastAsia="Times New Roman" w:cs="Times New Roman"/>
          <w:sz w:val="19"/>
          <w:szCs w:val="19"/>
        </w:rPr>
        <w:t>OCTAVE</w:t>
      </w:r>
      <w:r>
        <w:rPr>
          <w:rFonts w:ascii="Times New Roman" w:hAnsi="Times New Roman" w:eastAsia="Times New Roman" w:cs="Times New Roman"/>
          <w:spacing w:val="-26"/>
          <w:sz w:val="19"/>
          <w:szCs w:val="19"/>
        </w:rPr>
        <w:t xml:space="preserve"> </w:t>
      </w:r>
      <w:r>
        <w:rPr>
          <w:sz w:val="19"/>
          <w:szCs w:val="19"/>
        </w:rPr>
        <w:t>、</w:t>
      </w:r>
      <w:r>
        <w:rPr>
          <w:rFonts w:ascii="Times New Roman" w:hAnsi="Times New Roman" w:eastAsia="Times New Roman" w:cs="Times New Roman"/>
          <w:sz w:val="19"/>
          <w:szCs w:val="19"/>
        </w:rPr>
        <w:t>NIST    SP800-26</w:t>
      </w:r>
      <w:r>
        <w:rPr>
          <w:rFonts w:ascii="Times New Roman" w:hAnsi="Times New Roman" w:eastAsia="Times New Roman" w:cs="Times New Roman"/>
          <w:spacing w:val="-27"/>
          <w:sz w:val="19"/>
          <w:szCs w:val="19"/>
        </w:rPr>
        <w:t xml:space="preserve"> </w:t>
      </w:r>
      <w:r>
        <w:rPr>
          <w:sz w:val="19"/>
          <w:szCs w:val="19"/>
        </w:rPr>
        <w:t>、</w:t>
      </w:r>
      <w:r>
        <w:rPr>
          <w:rFonts w:ascii="Times New Roman" w:hAnsi="Times New Roman" w:eastAsia="Times New Roman" w:cs="Times New Roman"/>
          <w:sz w:val="19"/>
          <w:szCs w:val="19"/>
        </w:rPr>
        <w:t>NIST     SP800-30</w:t>
      </w:r>
      <w:r>
        <w:rPr>
          <w:rFonts w:ascii="Times New Roman" w:hAnsi="Times New Roman" w:eastAsia="Times New Roman" w:cs="Times New Roman"/>
          <w:spacing w:val="-27"/>
          <w:sz w:val="19"/>
          <w:szCs w:val="19"/>
        </w:rPr>
        <w:t xml:space="preserve"> </w:t>
      </w:r>
      <w:r>
        <w:rPr>
          <w:sz w:val="19"/>
          <w:szCs w:val="19"/>
        </w:rPr>
        <w:t>、</w:t>
      </w:r>
      <w:r>
        <w:rPr>
          <w:rFonts w:ascii="Times New Roman" w:hAnsi="Times New Roman" w:eastAsia="Times New Roman" w:cs="Times New Roman"/>
          <w:sz w:val="19"/>
          <w:szCs w:val="19"/>
        </w:rPr>
        <w:t>AS/NZS43</w:t>
      </w:r>
      <w:r>
        <w:rPr>
          <w:rFonts w:ascii="Times New Roman" w:hAnsi="Times New Roman" w:eastAsia="Times New Roman" w:cs="Times New Roman"/>
          <w:spacing w:val="-1"/>
          <w:sz w:val="19"/>
          <w:szCs w:val="19"/>
        </w:rPr>
        <w:t>60</w:t>
      </w:r>
      <w:r>
        <w:rPr>
          <w:rFonts w:ascii="Times New Roman" w:hAnsi="Times New Roman" w:eastAsia="Times New Roman" w:cs="Times New Roman"/>
          <w:spacing w:val="-27"/>
          <w:sz w:val="19"/>
          <w:szCs w:val="19"/>
        </w:rPr>
        <w:t xml:space="preserve"> </w:t>
      </w:r>
      <w:r>
        <w:rPr>
          <w:spacing w:val="-1"/>
          <w:sz w:val="19"/>
          <w:szCs w:val="19"/>
        </w:rPr>
        <w:t>、</w:t>
      </w:r>
      <w:r>
        <w:rPr>
          <w:rFonts w:ascii="Times New Roman" w:hAnsi="Times New Roman" w:eastAsia="Times New Roman" w:cs="Times New Roman"/>
          <w:spacing w:val="-1"/>
          <w:sz w:val="19"/>
          <w:szCs w:val="19"/>
        </w:rPr>
        <w:t>SSE-</w:t>
      </w:r>
      <w:r>
        <w:rPr>
          <w:rFonts w:ascii="Times New Roman" w:hAnsi="Times New Roman" w:eastAsia="Times New Roman" w:cs="Times New Roman"/>
          <w:sz w:val="19"/>
          <w:szCs w:val="19"/>
        </w:rPr>
        <w:t xml:space="preserve">  CMM</w:t>
      </w:r>
      <w:r>
        <w:rPr>
          <w:rFonts w:ascii="Times New Roman" w:hAnsi="Times New Roman" w:eastAsia="Times New Roman" w:cs="Times New Roman"/>
          <w:spacing w:val="15"/>
          <w:sz w:val="19"/>
          <w:szCs w:val="19"/>
        </w:rPr>
        <w:t xml:space="preserve"> </w:t>
      </w:r>
      <w:r>
        <w:rPr>
          <w:spacing w:val="15"/>
          <w:sz w:val="19"/>
          <w:szCs w:val="19"/>
        </w:rPr>
        <w:t>等方法进行检测、分析，并寻求信息安全风险漏洞，在一定程度上充分体现以资产为出</w:t>
      </w:r>
      <w:r>
        <w:rPr>
          <w:spacing w:val="14"/>
          <w:sz w:val="19"/>
          <w:szCs w:val="19"/>
        </w:rPr>
        <w:t xml:space="preserve"> </w:t>
      </w:r>
      <w:r>
        <w:rPr>
          <w:spacing w:val="13"/>
          <w:sz w:val="19"/>
          <w:szCs w:val="19"/>
        </w:rPr>
        <w:t>发点、以威胁为触发、以技术/管理/运行等方面存在</w:t>
      </w:r>
      <w:r>
        <w:rPr>
          <w:spacing w:val="12"/>
          <w:sz w:val="19"/>
          <w:szCs w:val="19"/>
        </w:rPr>
        <w:t>的脆弱性为诱因，适当地开展信息安全风</w:t>
      </w:r>
      <w:r>
        <w:rPr>
          <w:sz w:val="19"/>
          <w:szCs w:val="19"/>
        </w:rPr>
        <w:t xml:space="preserve"> </w:t>
      </w:r>
      <w:r>
        <w:rPr>
          <w:spacing w:val="6"/>
          <w:sz w:val="19"/>
          <w:szCs w:val="19"/>
        </w:rPr>
        <w:t>险评估综合方法及操作模型。</w:t>
      </w:r>
    </w:p>
    <w:p w14:paraId="5895EF51">
      <w:pPr>
        <w:pStyle w:val="2"/>
        <w:spacing w:before="99" w:line="218" w:lineRule="auto"/>
        <w:ind w:left="770"/>
        <w:rPr>
          <w:sz w:val="19"/>
          <w:szCs w:val="19"/>
        </w:rPr>
      </w:pPr>
      <w:r>
        <w:rPr>
          <w:spacing w:val="7"/>
          <w:sz w:val="19"/>
          <w:szCs w:val="19"/>
        </w:rPr>
        <w:t>信息安全风险评估的重要性主要体现在以下两个方面：</w:t>
      </w:r>
    </w:p>
    <w:p w14:paraId="5F6C80CA">
      <w:pPr>
        <w:spacing w:line="218" w:lineRule="auto"/>
        <w:rPr>
          <w:sz w:val="19"/>
          <w:szCs w:val="19"/>
        </w:rPr>
        <w:sectPr>
          <w:pgSz w:w="10300" w:h="13390"/>
          <w:pgMar w:top="400" w:right="1084" w:bottom="400" w:left="469" w:header="0" w:footer="0" w:gutter="0"/>
          <w:cols w:space="720" w:num="1"/>
        </w:sectPr>
      </w:pPr>
    </w:p>
    <w:p w14:paraId="5305A729">
      <w:pPr>
        <w:pStyle w:val="2"/>
        <w:spacing w:before="86" w:line="219" w:lineRule="auto"/>
        <w:jc w:val="right"/>
        <w:rPr>
          <w:rFonts w:ascii="Times New Roman" w:hAnsi="Times New Roman" w:eastAsia="Times New Roman" w:cs="Times New Roman"/>
          <w:sz w:val="16"/>
          <w:szCs w:val="16"/>
        </w:rPr>
      </w:pPr>
      <w:bookmarkStart w:id="578" w:name="bookmark563"/>
      <w:bookmarkEnd w:id="578"/>
      <w:r>
        <w:rPr>
          <w:spacing w:val="-1"/>
          <w:sz w:val="20"/>
          <w:szCs w:val="20"/>
        </w:rPr>
        <w:t>第6章</w:t>
      </w:r>
      <w:r>
        <w:rPr>
          <w:spacing w:val="29"/>
          <w:sz w:val="20"/>
          <w:szCs w:val="20"/>
        </w:rPr>
        <w:t xml:space="preserve"> </w:t>
      </w:r>
      <w:r>
        <w:rPr>
          <w:spacing w:val="-1"/>
          <w:sz w:val="20"/>
          <w:szCs w:val="20"/>
        </w:rPr>
        <w:t>信息安全</w:t>
      </w:r>
      <w:r>
        <w:rPr>
          <w:spacing w:val="3"/>
          <w:sz w:val="20"/>
          <w:szCs w:val="20"/>
        </w:rPr>
        <w:t xml:space="preserve">      </w:t>
      </w:r>
      <w:r>
        <w:rPr>
          <w:rFonts w:ascii="Times New Roman" w:hAnsi="Times New Roman" w:eastAsia="Times New Roman" w:cs="Times New Roman"/>
          <w:spacing w:val="-1"/>
          <w:sz w:val="16"/>
          <w:szCs w:val="16"/>
        </w:rPr>
        <w:t>187</w:t>
      </w:r>
    </w:p>
    <w:p w14:paraId="6DBAD67D">
      <w:pPr>
        <w:spacing w:line="305" w:lineRule="auto"/>
        <w:rPr>
          <w:rFonts w:ascii="Arial"/>
          <w:sz w:val="21"/>
        </w:rPr>
      </w:pPr>
    </w:p>
    <w:p w14:paraId="29DBBE0B">
      <w:pPr>
        <w:pStyle w:val="2"/>
        <w:spacing w:before="65" w:line="273" w:lineRule="auto"/>
        <w:ind w:right="272" w:firstLine="399"/>
        <w:rPr>
          <w:sz w:val="16"/>
          <w:szCs w:val="16"/>
        </w:rPr>
      </w:pPr>
      <w:r>
        <w:rPr>
          <w:spacing w:val="5"/>
          <w:sz w:val="20"/>
          <w:szCs w:val="20"/>
        </w:rPr>
        <w:t>(1)在信息系统应用过程中，信息安全风险评估必须满足业务不断增长而带来的安全实际</w:t>
      </w:r>
      <w:r>
        <w:rPr>
          <w:spacing w:val="17"/>
          <w:sz w:val="20"/>
          <w:szCs w:val="20"/>
        </w:rPr>
        <w:t xml:space="preserve"> </w:t>
      </w:r>
      <w:r>
        <w:rPr>
          <w:spacing w:val="-5"/>
          <w:sz w:val="16"/>
          <w:szCs w:val="16"/>
        </w:rPr>
        <w:t>要</w:t>
      </w:r>
      <w:r>
        <w:rPr>
          <w:spacing w:val="-11"/>
          <w:sz w:val="16"/>
          <w:szCs w:val="16"/>
        </w:rPr>
        <w:t xml:space="preserve"> </w:t>
      </w:r>
      <w:r>
        <w:rPr>
          <w:spacing w:val="-5"/>
          <w:sz w:val="16"/>
          <w:szCs w:val="16"/>
        </w:rPr>
        <w:t>求</w:t>
      </w:r>
      <w:r>
        <w:rPr>
          <w:spacing w:val="-18"/>
          <w:sz w:val="16"/>
          <w:szCs w:val="16"/>
        </w:rPr>
        <w:t xml:space="preserve"> </w:t>
      </w:r>
      <w:r>
        <w:rPr>
          <w:spacing w:val="-5"/>
          <w:sz w:val="16"/>
          <w:szCs w:val="16"/>
        </w:rPr>
        <w:t>；</w:t>
      </w:r>
    </w:p>
    <w:p w14:paraId="77BEF679">
      <w:pPr>
        <w:pStyle w:val="2"/>
        <w:spacing w:before="87" w:line="218" w:lineRule="auto"/>
        <w:ind w:left="399"/>
        <w:rPr>
          <w:sz w:val="20"/>
          <w:szCs w:val="20"/>
        </w:rPr>
      </w:pPr>
      <w:r>
        <w:rPr>
          <w:spacing w:val="2"/>
          <w:sz w:val="20"/>
          <w:szCs w:val="20"/>
        </w:rPr>
        <w:t>(2)信息安全风险评估必须响应国家法律法规</w:t>
      </w:r>
      <w:r>
        <w:rPr>
          <w:spacing w:val="1"/>
          <w:sz w:val="20"/>
          <w:szCs w:val="20"/>
        </w:rPr>
        <w:t>的政策性要求。</w:t>
      </w:r>
    </w:p>
    <w:p w14:paraId="4B0F9C99">
      <w:pPr>
        <w:pStyle w:val="2"/>
        <w:spacing w:before="290" w:line="221" w:lineRule="auto"/>
        <w:ind w:left="2"/>
        <w:rPr>
          <w:rFonts w:ascii="黑体" w:hAnsi="黑体" w:eastAsia="黑体" w:cs="黑体"/>
          <w:sz w:val="20"/>
          <w:szCs w:val="20"/>
        </w:rPr>
      </w:pPr>
      <w:r>
        <w:rPr>
          <w:b/>
          <w:bCs/>
          <w:color w:val="0071D4"/>
          <w:spacing w:val="26"/>
          <w:sz w:val="20"/>
          <w:szCs w:val="20"/>
        </w:rPr>
        <w:t>6.5.2</w:t>
      </w:r>
      <w:r>
        <w:rPr>
          <w:color w:val="0071D4"/>
          <w:spacing w:val="22"/>
          <w:sz w:val="20"/>
          <w:szCs w:val="20"/>
        </w:rPr>
        <w:t xml:space="preserve">  </w:t>
      </w:r>
      <w:r>
        <w:rPr>
          <w:rFonts w:ascii="黑体" w:hAnsi="黑体" w:eastAsia="黑体" w:cs="黑体"/>
          <w:b/>
          <w:bCs/>
          <w:color w:val="0071D4"/>
          <w:spacing w:val="26"/>
          <w:sz w:val="20"/>
          <w:szCs w:val="20"/>
        </w:rPr>
        <w:t>信息安全常见风险点危害分析</w:t>
      </w:r>
    </w:p>
    <w:p w14:paraId="2BF883F6">
      <w:pPr>
        <w:pStyle w:val="2"/>
        <w:spacing w:before="195" w:line="277" w:lineRule="auto"/>
        <w:ind w:right="270" w:firstLine="399"/>
        <w:jc w:val="both"/>
        <w:rPr>
          <w:sz w:val="20"/>
          <w:szCs w:val="20"/>
        </w:rPr>
      </w:pPr>
      <w:r>
        <w:rPr>
          <w:rFonts w:ascii="Times New Roman" w:hAnsi="Times New Roman" w:eastAsia="Times New Roman" w:cs="Times New Roman"/>
          <w:sz w:val="20"/>
          <w:szCs w:val="20"/>
        </w:rPr>
        <w:t>T/ISEAA 001</w:t>
      </w:r>
      <w:r>
        <w:rPr>
          <w:sz w:val="20"/>
          <w:szCs w:val="20"/>
        </w:rPr>
        <w:t>《网络安全等级保护测评高风险判定指引》整理出了大多数工程经常涉及的等</w:t>
      </w:r>
      <w:r>
        <w:rPr>
          <w:spacing w:val="2"/>
          <w:sz w:val="20"/>
          <w:szCs w:val="20"/>
        </w:rPr>
        <w:t xml:space="preserve"> </w:t>
      </w:r>
      <w:r>
        <w:rPr>
          <w:spacing w:val="3"/>
          <w:sz w:val="20"/>
          <w:szCs w:val="20"/>
        </w:rPr>
        <w:t>保三级、等保二级所需产品和要求，业主单位、承建单位、监理单位有关人员可通过</w:t>
      </w:r>
      <w:r>
        <w:rPr>
          <w:spacing w:val="2"/>
          <w:sz w:val="20"/>
          <w:szCs w:val="20"/>
        </w:rPr>
        <w:t>分析开展</w:t>
      </w:r>
      <w:r>
        <w:rPr>
          <w:sz w:val="20"/>
          <w:szCs w:val="20"/>
        </w:rPr>
        <w:t xml:space="preserve"> </w:t>
      </w:r>
      <w:r>
        <w:rPr>
          <w:spacing w:val="-4"/>
          <w:sz w:val="20"/>
          <w:szCs w:val="20"/>
        </w:rPr>
        <w:t>自查，为信息安全风险分析提供参考与帮助。</w:t>
      </w:r>
    </w:p>
    <w:p w14:paraId="1549D7EF">
      <w:pPr>
        <w:pStyle w:val="2"/>
        <w:spacing w:before="29" w:line="292" w:lineRule="auto"/>
        <w:ind w:right="263" w:firstLine="399"/>
        <w:rPr>
          <w:sz w:val="20"/>
          <w:szCs w:val="20"/>
        </w:rPr>
      </w:pPr>
      <w:r>
        <w:rPr>
          <w:spacing w:val="3"/>
          <w:sz w:val="20"/>
          <w:szCs w:val="20"/>
        </w:rPr>
        <w:t>从技术措施角度，信息安全常见的风险点可以分为安全物理环境、安全通信网络、安全区</w:t>
      </w:r>
      <w:r>
        <w:rPr>
          <w:spacing w:val="9"/>
          <w:sz w:val="20"/>
          <w:szCs w:val="20"/>
        </w:rPr>
        <w:t xml:space="preserve"> </w:t>
      </w:r>
      <w:r>
        <w:rPr>
          <w:spacing w:val="5"/>
          <w:sz w:val="20"/>
          <w:szCs w:val="20"/>
        </w:rPr>
        <w:t>域划分、安全计算环境(包括网络硬件设备、应用系统)和数据</w:t>
      </w:r>
      <w:r>
        <w:rPr>
          <w:spacing w:val="4"/>
          <w:sz w:val="20"/>
          <w:szCs w:val="20"/>
        </w:rPr>
        <w:t>安全六个分项。</w:t>
      </w:r>
    </w:p>
    <w:p w14:paraId="43434B85">
      <w:pPr>
        <w:pStyle w:val="2"/>
        <w:spacing w:before="18" w:line="277" w:lineRule="auto"/>
        <w:ind w:right="221" w:firstLine="399"/>
        <w:rPr>
          <w:sz w:val="20"/>
          <w:szCs w:val="20"/>
        </w:rPr>
      </w:pPr>
      <w:r>
        <w:rPr>
          <w:spacing w:val="4"/>
          <w:sz w:val="20"/>
          <w:szCs w:val="20"/>
        </w:rPr>
        <w:t>从管理措施角度，信息安全常见的风险点可以分</w:t>
      </w:r>
      <w:r>
        <w:rPr>
          <w:spacing w:val="3"/>
          <w:sz w:val="20"/>
          <w:szCs w:val="20"/>
        </w:rPr>
        <w:t>为安全管理中心、安全管理制度及机构设</w:t>
      </w:r>
      <w:r>
        <w:rPr>
          <w:sz w:val="20"/>
          <w:szCs w:val="20"/>
        </w:rPr>
        <w:t xml:space="preserve"> </w:t>
      </w:r>
      <w:r>
        <w:rPr>
          <w:spacing w:val="-1"/>
          <w:sz w:val="20"/>
          <w:szCs w:val="20"/>
        </w:rPr>
        <w:t>置、安全管理人员、安全建设管理和安全运维管理五个分项。再针对各个分项的风险点检测项，</w:t>
      </w:r>
      <w:r>
        <w:rPr>
          <w:spacing w:val="10"/>
          <w:sz w:val="20"/>
          <w:szCs w:val="20"/>
        </w:rPr>
        <w:t xml:space="preserve"> </w:t>
      </w:r>
      <w:r>
        <w:rPr>
          <w:spacing w:val="-2"/>
          <w:sz w:val="20"/>
          <w:szCs w:val="20"/>
        </w:rPr>
        <w:t>以及每一个检测项对应的等保三级要求或等保二级要求进行分析，研究对策。</w:t>
      </w:r>
    </w:p>
    <w:p w14:paraId="1E29659D">
      <w:pPr>
        <w:pStyle w:val="2"/>
        <w:spacing w:before="19" w:line="287" w:lineRule="auto"/>
        <w:ind w:right="271" w:firstLine="399"/>
        <w:rPr>
          <w:sz w:val="20"/>
          <w:szCs w:val="20"/>
        </w:rPr>
      </w:pPr>
      <w:r>
        <w:rPr>
          <w:spacing w:val="3"/>
          <w:sz w:val="20"/>
          <w:szCs w:val="20"/>
        </w:rPr>
        <w:t>通过自查，可以比较直观地了解和掌握工程建设实践过程中，信息系统与等保三级、</w:t>
      </w:r>
      <w:r>
        <w:rPr>
          <w:spacing w:val="2"/>
          <w:sz w:val="20"/>
          <w:szCs w:val="20"/>
        </w:rPr>
        <w:t>等保</w:t>
      </w:r>
      <w:r>
        <w:rPr>
          <w:sz w:val="20"/>
          <w:szCs w:val="20"/>
        </w:rPr>
        <w:t xml:space="preserve"> </w:t>
      </w:r>
      <w:r>
        <w:rPr>
          <w:spacing w:val="3"/>
          <w:sz w:val="20"/>
          <w:szCs w:val="20"/>
        </w:rPr>
        <w:t>二级对应的要求，以及建设实际所存在的差距，并针对差异做出相应的信息安全规划</w:t>
      </w:r>
      <w:r>
        <w:rPr>
          <w:spacing w:val="2"/>
          <w:sz w:val="20"/>
          <w:szCs w:val="20"/>
        </w:rPr>
        <w:t>和部署实</w:t>
      </w:r>
      <w:r>
        <w:rPr>
          <w:sz w:val="20"/>
          <w:szCs w:val="20"/>
        </w:rPr>
        <w:t xml:space="preserve"> </w:t>
      </w:r>
      <w:r>
        <w:rPr>
          <w:spacing w:val="-1"/>
          <w:sz w:val="20"/>
          <w:szCs w:val="20"/>
        </w:rPr>
        <w:t>施，再针对不符合项开展必要的补充、完善等整改工作，加强信息系统安</w:t>
      </w:r>
      <w:r>
        <w:rPr>
          <w:spacing w:val="-2"/>
          <w:sz w:val="20"/>
          <w:szCs w:val="20"/>
        </w:rPr>
        <w:t>全。</w:t>
      </w:r>
    </w:p>
    <w:p w14:paraId="69402BDB">
      <w:pPr>
        <w:spacing w:line="280" w:lineRule="auto"/>
        <w:rPr>
          <w:rFonts w:ascii="Arial"/>
          <w:sz w:val="21"/>
        </w:rPr>
      </w:pPr>
    </w:p>
    <w:p w14:paraId="5FD43F66">
      <w:pPr>
        <w:pStyle w:val="2"/>
        <w:spacing w:before="94" w:line="221" w:lineRule="auto"/>
        <w:ind w:left="3"/>
        <w:rPr>
          <w:rFonts w:ascii="黑体" w:hAnsi="黑体" w:eastAsia="黑体" w:cs="黑体"/>
          <w:sz w:val="29"/>
          <w:szCs w:val="29"/>
        </w:rPr>
      </w:pPr>
      <w:r>
        <w:rPr>
          <w:b/>
          <w:bCs/>
          <w:color w:val="0074DA"/>
          <w:spacing w:val="-14"/>
          <w:sz w:val="29"/>
          <w:szCs w:val="29"/>
        </w:rPr>
        <w:t>6.6</w:t>
      </w:r>
      <w:r>
        <w:rPr>
          <w:color w:val="0074DA"/>
          <w:spacing w:val="134"/>
          <w:sz w:val="29"/>
          <w:szCs w:val="29"/>
        </w:rPr>
        <w:t xml:space="preserve"> </w:t>
      </w:r>
      <w:r>
        <w:rPr>
          <w:rFonts w:ascii="黑体" w:hAnsi="黑体" w:eastAsia="黑体" w:cs="黑体"/>
          <w:b/>
          <w:bCs/>
          <w:color w:val="0074DA"/>
          <w:spacing w:val="-14"/>
          <w:sz w:val="29"/>
          <w:szCs w:val="29"/>
        </w:rPr>
        <w:t>关键信息基础设施保护</w:t>
      </w:r>
    </w:p>
    <w:p w14:paraId="49243498">
      <w:pPr>
        <w:pStyle w:val="2"/>
        <w:spacing w:before="265" w:line="264" w:lineRule="auto"/>
        <w:ind w:right="270" w:firstLine="399"/>
        <w:rPr>
          <w:sz w:val="20"/>
          <w:szCs w:val="20"/>
        </w:rPr>
      </w:pPr>
      <w:r>
        <w:rPr>
          <w:spacing w:val="3"/>
          <w:sz w:val="20"/>
          <w:szCs w:val="20"/>
        </w:rPr>
        <w:t>关键信息基础设施保护是确保国家安全、经济发展和社会稳定的重要措施，用于保障重要</w:t>
      </w:r>
      <w:r>
        <w:rPr>
          <w:spacing w:val="2"/>
          <w:sz w:val="20"/>
          <w:szCs w:val="20"/>
        </w:rPr>
        <w:t xml:space="preserve"> </w:t>
      </w:r>
      <w:r>
        <w:rPr>
          <w:spacing w:val="-2"/>
          <w:sz w:val="20"/>
          <w:szCs w:val="20"/>
        </w:rPr>
        <w:t>网络系统、数据资源和关键服务稳定运行，以抵御外部攻击和应对内部风险。</w:t>
      </w:r>
    </w:p>
    <w:p w14:paraId="62AE445F">
      <w:pPr>
        <w:pStyle w:val="2"/>
        <w:spacing w:before="124" w:line="221" w:lineRule="auto"/>
        <w:ind w:left="402"/>
        <w:rPr>
          <w:rFonts w:ascii="黑体" w:hAnsi="黑体" w:eastAsia="黑体" w:cs="黑体"/>
          <w:sz w:val="20"/>
          <w:szCs w:val="20"/>
        </w:rPr>
      </w:pPr>
      <w:r>
        <w:rPr>
          <w:b/>
          <w:bCs/>
          <w:color w:val="0065BF"/>
          <w:spacing w:val="-4"/>
          <w:sz w:val="20"/>
          <w:szCs w:val="20"/>
        </w:rPr>
        <w:t>1.</w:t>
      </w:r>
      <w:r>
        <w:rPr>
          <w:rFonts w:ascii="黑体" w:hAnsi="黑体" w:eastAsia="黑体" w:cs="黑体"/>
          <w:b/>
          <w:bCs/>
          <w:color w:val="0065BF"/>
          <w:spacing w:val="-4"/>
          <w:sz w:val="20"/>
          <w:szCs w:val="20"/>
        </w:rPr>
        <w:t>关键信息基础设施保护的基本概念及依据</w:t>
      </w:r>
    </w:p>
    <w:p w14:paraId="378234CD">
      <w:pPr>
        <w:pStyle w:val="2"/>
        <w:spacing w:before="144" w:line="219" w:lineRule="auto"/>
        <w:ind w:left="399"/>
        <w:rPr>
          <w:sz w:val="20"/>
          <w:szCs w:val="20"/>
        </w:rPr>
      </w:pPr>
      <w:r>
        <w:rPr>
          <w:spacing w:val="-4"/>
          <w:sz w:val="20"/>
          <w:szCs w:val="20"/>
        </w:rPr>
        <w:t>关键信息基础设施保护的法律依据是《中华人民共和国网络安全法》。</w:t>
      </w:r>
    </w:p>
    <w:p w14:paraId="72D95347">
      <w:pPr>
        <w:pStyle w:val="2"/>
        <w:spacing w:before="74" w:line="219" w:lineRule="auto"/>
        <w:ind w:left="399"/>
        <w:rPr>
          <w:sz w:val="20"/>
          <w:szCs w:val="20"/>
        </w:rPr>
      </w:pPr>
      <w:r>
        <w:rPr>
          <w:spacing w:val="-3"/>
          <w:sz w:val="20"/>
          <w:szCs w:val="20"/>
        </w:rPr>
        <w:t>(1)《中华人民共和国网络安全法》有关规定。</w:t>
      </w:r>
    </w:p>
    <w:p w14:paraId="15D52A98">
      <w:pPr>
        <w:pStyle w:val="2"/>
        <w:spacing w:before="71" w:line="272" w:lineRule="auto"/>
        <w:ind w:right="181" w:firstLine="399"/>
        <w:rPr>
          <w:sz w:val="20"/>
          <w:szCs w:val="20"/>
        </w:rPr>
      </w:pPr>
      <w:r>
        <w:rPr>
          <w:spacing w:val="5"/>
          <w:sz w:val="20"/>
          <w:szCs w:val="20"/>
        </w:rPr>
        <w:t>第三十一条</w:t>
      </w:r>
      <w:r>
        <w:rPr>
          <w:spacing w:val="9"/>
          <w:sz w:val="20"/>
          <w:szCs w:val="20"/>
        </w:rPr>
        <w:t xml:space="preserve">  </w:t>
      </w:r>
      <w:r>
        <w:rPr>
          <w:spacing w:val="5"/>
          <w:sz w:val="20"/>
          <w:szCs w:val="20"/>
        </w:rPr>
        <w:t>国家对提供公共通信、广播电视传输等服务的基础信息网络，能源、交通、</w:t>
      </w:r>
      <w:r>
        <w:rPr>
          <w:sz w:val="20"/>
          <w:szCs w:val="20"/>
        </w:rPr>
        <w:t xml:space="preserve"> </w:t>
      </w:r>
      <w:r>
        <w:rPr>
          <w:spacing w:val="3"/>
          <w:sz w:val="20"/>
          <w:szCs w:val="20"/>
        </w:rPr>
        <w:t>水利、金融等重要行业和供电、供水、供气、医疗卫生、社会保障等公共服务领域的重要信息</w:t>
      </w:r>
      <w:r>
        <w:rPr>
          <w:sz w:val="20"/>
          <w:szCs w:val="20"/>
        </w:rPr>
        <w:t xml:space="preserve">  </w:t>
      </w:r>
      <w:r>
        <w:rPr>
          <w:spacing w:val="3"/>
          <w:sz w:val="20"/>
          <w:szCs w:val="20"/>
        </w:rPr>
        <w:t>系统，军事网络，设区的市级以上国家机关等政务网络，用户数量众多的网络服务提</w:t>
      </w:r>
      <w:r>
        <w:rPr>
          <w:spacing w:val="2"/>
          <w:sz w:val="20"/>
          <w:szCs w:val="20"/>
        </w:rPr>
        <w:t>供者所有</w:t>
      </w:r>
      <w:r>
        <w:rPr>
          <w:sz w:val="20"/>
          <w:szCs w:val="20"/>
        </w:rPr>
        <w:t xml:space="preserve">  </w:t>
      </w:r>
      <w:r>
        <w:rPr>
          <w:spacing w:val="5"/>
          <w:sz w:val="20"/>
          <w:szCs w:val="20"/>
        </w:rPr>
        <w:t>或者管理的网络和系统(以下称关键信息基础设施),实行重点保护。关键信息基础设施安全保</w:t>
      </w:r>
      <w:r>
        <w:rPr>
          <w:spacing w:val="2"/>
          <w:sz w:val="20"/>
          <w:szCs w:val="20"/>
        </w:rPr>
        <w:t xml:space="preserve">  </w:t>
      </w:r>
      <w:r>
        <w:rPr>
          <w:spacing w:val="-4"/>
          <w:sz w:val="20"/>
          <w:szCs w:val="20"/>
        </w:rPr>
        <w:t>护办法由国务院制定。</w:t>
      </w:r>
    </w:p>
    <w:p w14:paraId="7826AECB">
      <w:pPr>
        <w:pStyle w:val="2"/>
        <w:spacing w:before="69" w:line="219" w:lineRule="auto"/>
        <w:ind w:left="399"/>
        <w:rPr>
          <w:sz w:val="20"/>
          <w:szCs w:val="20"/>
        </w:rPr>
      </w:pPr>
      <w:r>
        <w:rPr>
          <w:spacing w:val="-2"/>
          <w:sz w:val="20"/>
          <w:szCs w:val="20"/>
        </w:rPr>
        <w:t>(2)《关键信息基础设施安全保护条例》有关规定。</w:t>
      </w:r>
    </w:p>
    <w:p w14:paraId="5F762D46">
      <w:pPr>
        <w:pStyle w:val="2"/>
        <w:spacing w:before="51" w:line="293" w:lineRule="auto"/>
        <w:ind w:right="181" w:firstLine="399"/>
        <w:rPr>
          <w:sz w:val="16"/>
          <w:szCs w:val="16"/>
        </w:rPr>
      </w:pPr>
      <w:r>
        <w:rPr>
          <w:spacing w:val="8"/>
          <w:sz w:val="20"/>
          <w:szCs w:val="20"/>
        </w:rPr>
        <w:t>第二条 本条例所称关键信息基础设施，是指公共通信和信息服务、能源、交通</w:t>
      </w:r>
      <w:r>
        <w:rPr>
          <w:spacing w:val="7"/>
          <w:sz w:val="20"/>
          <w:szCs w:val="20"/>
        </w:rPr>
        <w:t>、水利、</w:t>
      </w:r>
      <w:r>
        <w:rPr>
          <w:sz w:val="20"/>
          <w:szCs w:val="20"/>
        </w:rPr>
        <w:t xml:space="preserve"> </w:t>
      </w:r>
      <w:r>
        <w:rPr>
          <w:spacing w:val="3"/>
          <w:sz w:val="20"/>
          <w:szCs w:val="20"/>
        </w:rPr>
        <w:t>金融、公共服务、电子政务、国防科技工业等重要行业和领域的，以及其他一旦遭到破坏、丧</w:t>
      </w:r>
      <w:r>
        <w:rPr>
          <w:spacing w:val="13"/>
          <w:sz w:val="20"/>
          <w:szCs w:val="20"/>
        </w:rPr>
        <w:t xml:space="preserve"> </w:t>
      </w:r>
      <w:r>
        <w:rPr>
          <w:spacing w:val="4"/>
          <w:sz w:val="20"/>
          <w:szCs w:val="20"/>
        </w:rPr>
        <w:t>失功能或者数据泄露，可能严重危害国家安全、国计民</w:t>
      </w:r>
      <w:r>
        <w:rPr>
          <w:spacing w:val="3"/>
          <w:sz w:val="20"/>
          <w:szCs w:val="20"/>
        </w:rPr>
        <w:t>生、公共利益的重要网络设施、信息系</w:t>
      </w:r>
      <w:r>
        <w:rPr>
          <w:sz w:val="20"/>
          <w:szCs w:val="20"/>
        </w:rPr>
        <w:t xml:space="preserve"> </w:t>
      </w:r>
      <w:r>
        <w:rPr>
          <w:spacing w:val="-6"/>
          <w:sz w:val="16"/>
          <w:szCs w:val="16"/>
        </w:rPr>
        <w:t>统</w:t>
      </w:r>
      <w:r>
        <w:rPr>
          <w:spacing w:val="-16"/>
          <w:sz w:val="16"/>
          <w:szCs w:val="16"/>
        </w:rPr>
        <w:t xml:space="preserve"> </w:t>
      </w:r>
      <w:r>
        <w:rPr>
          <w:spacing w:val="-6"/>
          <w:sz w:val="16"/>
          <w:szCs w:val="16"/>
        </w:rPr>
        <w:t>等</w:t>
      </w:r>
      <w:r>
        <w:rPr>
          <w:spacing w:val="-24"/>
          <w:sz w:val="16"/>
          <w:szCs w:val="16"/>
        </w:rPr>
        <w:t xml:space="preserve"> </w:t>
      </w:r>
      <w:r>
        <w:rPr>
          <w:spacing w:val="-6"/>
          <w:sz w:val="16"/>
          <w:szCs w:val="16"/>
        </w:rPr>
        <w:t>。</w:t>
      </w:r>
    </w:p>
    <w:p w14:paraId="0978E3FA">
      <w:pPr>
        <w:pStyle w:val="2"/>
        <w:spacing w:before="35" w:line="219" w:lineRule="auto"/>
        <w:ind w:left="399"/>
        <w:rPr>
          <w:sz w:val="20"/>
          <w:szCs w:val="20"/>
        </w:rPr>
      </w:pPr>
      <w:r>
        <w:rPr>
          <w:spacing w:val="-2"/>
          <w:sz w:val="20"/>
          <w:szCs w:val="20"/>
        </w:rPr>
        <w:t>(3)《网络安全审查办法》有关规定。</w:t>
      </w:r>
    </w:p>
    <w:p w14:paraId="1D75FE20">
      <w:pPr>
        <w:pStyle w:val="2"/>
        <w:spacing w:before="72" w:line="219" w:lineRule="auto"/>
        <w:ind w:left="399"/>
        <w:rPr>
          <w:sz w:val="20"/>
          <w:szCs w:val="20"/>
        </w:rPr>
      </w:pPr>
      <w:r>
        <w:rPr>
          <w:spacing w:val="6"/>
          <w:sz w:val="20"/>
          <w:szCs w:val="20"/>
        </w:rPr>
        <w:t>第一条 为了确保关键信息基础设施供应链安全，保障网</w:t>
      </w:r>
      <w:r>
        <w:rPr>
          <w:spacing w:val="5"/>
          <w:sz w:val="20"/>
          <w:szCs w:val="20"/>
        </w:rPr>
        <w:t>络安全和数据安全，维护国家安</w:t>
      </w:r>
    </w:p>
    <w:p w14:paraId="456499C3">
      <w:pPr>
        <w:spacing w:line="219" w:lineRule="auto"/>
        <w:rPr>
          <w:sz w:val="20"/>
          <w:szCs w:val="20"/>
        </w:rPr>
        <w:sectPr>
          <w:pgSz w:w="10280" w:h="13320"/>
          <w:pgMar w:top="400" w:right="578" w:bottom="400" w:left="1110" w:header="0" w:footer="0" w:gutter="0"/>
          <w:cols w:space="720" w:num="1"/>
        </w:sectPr>
      </w:pPr>
    </w:p>
    <w:p w14:paraId="48D8C265">
      <w:pPr>
        <w:pStyle w:val="2"/>
        <w:spacing w:before="88" w:line="219" w:lineRule="auto"/>
        <w:rPr>
          <w:sz w:val="20"/>
          <w:szCs w:val="20"/>
        </w:rPr>
      </w:pPr>
      <w:bookmarkStart w:id="579" w:name="bookmark564"/>
      <w:bookmarkEnd w:id="579"/>
      <w:r>
        <w:rPr>
          <w:rFonts w:ascii="Times New Roman" w:hAnsi="Times New Roman" w:eastAsia="Times New Roman" w:cs="Times New Roman"/>
          <w:b/>
          <w:bCs/>
          <w:spacing w:val="-3"/>
          <w:position w:val="1"/>
          <w:sz w:val="17"/>
          <w:szCs w:val="17"/>
        </w:rPr>
        <w:t xml:space="preserve">188                 </w:t>
      </w:r>
      <w:r>
        <w:rPr>
          <w:spacing w:val="-3"/>
          <w:sz w:val="20"/>
          <w:szCs w:val="20"/>
        </w:rPr>
        <w:t>信息系统监理师教程(第2版)</w:t>
      </w:r>
    </w:p>
    <w:p w14:paraId="03E152D7">
      <w:pPr>
        <w:spacing w:line="295" w:lineRule="auto"/>
        <w:rPr>
          <w:rFonts w:ascii="Arial"/>
          <w:sz w:val="21"/>
        </w:rPr>
      </w:pPr>
    </w:p>
    <w:p w14:paraId="52F1B6A3">
      <w:pPr>
        <w:pStyle w:val="2"/>
        <w:spacing w:before="65" w:line="287" w:lineRule="auto"/>
        <w:ind w:left="320" w:right="88"/>
        <w:rPr>
          <w:sz w:val="20"/>
          <w:szCs w:val="20"/>
        </w:rPr>
      </w:pPr>
      <w:r>
        <w:rPr>
          <w:spacing w:val="-2"/>
          <w:sz w:val="20"/>
          <w:szCs w:val="20"/>
        </w:rPr>
        <w:t>全，根据《中华人民共和国国家安全法》《中华人民共和国</w:t>
      </w:r>
      <w:r>
        <w:rPr>
          <w:spacing w:val="-3"/>
          <w:sz w:val="20"/>
          <w:szCs w:val="20"/>
        </w:rPr>
        <w:t>网络安全法》《中华人民共和国数据</w:t>
      </w:r>
      <w:r>
        <w:rPr>
          <w:sz w:val="20"/>
          <w:szCs w:val="20"/>
        </w:rPr>
        <w:t xml:space="preserve"> </w:t>
      </w:r>
      <w:r>
        <w:rPr>
          <w:spacing w:val="-5"/>
          <w:sz w:val="20"/>
          <w:szCs w:val="20"/>
        </w:rPr>
        <w:t>安全法》《关键信息基础设施安全保护条例》,制定本办法。</w:t>
      </w:r>
    </w:p>
    <w:p w14:paraId="3901F975">
      <w:pPr>
        <w:pStyle w:val="2"/>
        <w:spacing w:before="16" w:line="282" w:lineRule="auto"/>
        <w:ind w:left="320" w:right="72" w:firstLine="420"/>
        <w:rPr>
          <w:sz w:val="20"/>
          <w:szCs w:val="20"/>
        </w:rPr>
      </w:pPr>
      <w:r>
        <w:rPr>
          <w:spacing w:val="5"/>
          <w:sz w:val="20"/>
          <w:szCs w:val="20"/>
        </w:rPr>
        <w:t>第二条 关键信息基础设施运营者采购网络产品和服务，网络平台运营者开展数据处理活</w:t>
      </w:r>
      <w:r>
        <w:rPr>
          <w:spacing w:val="2"/>
          <w:sz w:val="20"/>
          <w:szCs w:val="20"/>
        </w:rPr>
        <w:t xml:space="preserve"> </w:t>
      </w:r>
      <w:r>
        <w:rPr>
          <w:spacing w:val="-1"/>
          <w:sz w:val="20"/>
          <w:szCs w:val="20"/>
        </w:rPr>
        <w:t>动，影响或者可能影响国家安全的，应当按照本办法进行网</w:t>
      </w:r>
      <w:r>
        <w:rPr>
          <w:spacing w:val="-2"/>
          <w:sz w:val="20"/>
          <w:szCs w:val="20"/>
        </w:rPr>
        <w:t>络安全审查。</w:t>
      </w:r>
    </w:p>
    <w:p w14:paraId="7A3691B4">
      <w:pPr>
        <w:pStyle w:val="2"/>
        <w:spacing w:before="30" w:line="219" w:lineRule="auto"/>
        <w:ind w:left="740"/>
        <w:rPr>
          <w:sz w:val="20"/>
          <w:szCs w:val="20"/>
        </w:rPr>
      </w:pPr>
      <w:r>
        <w:rPr>
          <w:spacing w:val="-1"/>
          <w:sz w:val="20"/>
          <w:szCs w:val="20"/>
        </w:rPr>
        <w:t>前款规定的关键信息基础设施运营者、网络平台运</w:t>
      </w:r>
      <w:r>
        <w:rPr>
          <w:spacing w:val="-2"/>
          <w:sz w:val="20"/>
          <w:szCs w:val="20"/>
        </w:rPr>
        <w:t>营者统称为当事人。</w:t>
      </w:r>
    </w:p>
    <w:p w14:paraId="38FC985D">
      <w:pPr>
        <w:pStyle w:val="2"/>
        <w:spacing w:before="71" w:line="287" w:lineRule="auto"/>
        <w:ind w:left="320" w:right="58" w:firstLine="420"/>
        <w:rPr>
          <w:sz w:val="20"/>
          <w:szCs w:val="20"/>
        </w:rPr>
      </w:pPr>
      <w:r>
        <w:rPr>
          <w:spacing w:val="3"/>
          <w:sz w:val="20"/>
          <w:szCs w:val="20"/>
        </w:rPr>
        <w:t>第三条</w:t>
      </w:r>
      <w:r>
        <w:rPr>
          <w:spacing w:val="97"/>
          <w:sz w:val="20"/>
          <w:szCs w:val="20"/>
        </w:rPr>
        <w:t xml:space="preserve"> </w:t>
      </w:r>
      <w:r>
        <w:rPr>
          <w:spacing w:val="3"/>
          <w:sz w:val="20"/>
          <w:szCs w:val="20"/>
        </w:rPr>
        <w:t>网络安全审查坚持防范网络安全风险与促进先进技术应用相结合、过程公正透明</w:t>
      </w:r>
      <w:r>
        <w:rPr>
          <w:sz w:val="20"/>
          <w:szCs w:val="20"/>
        </w:rPr>
        <w:t xml:space="preserve"> </w:t>
      </w:r>
      <w:r>
        <w:rPr>
          <w:spacing w:val="3"/>
          <w:sz w:val="20"/>
          <w:szCs w:val="20"/>
        </w:rPr>
        <w:t>与知识产权保护相结合、事前审查与持续监管相结合、企业承诺与社会监督相</w:t>
      </w:r>
      <w:r>
        <w:rPr>
          <w:spacing w:val="2"/>
          <w:sz w:val="20"/>
          <w:szCs w:val="20"/>
        </w:rPr>
        <w:t>结合的原则，从</w:t>
      </w:r>
      <w:r>
        <w:rPr>
          <w:sz w:val="20"/>
          <w:szCs w:val="20"/>
        </w:rPr>
        <w:t xml:space="preserve"> </w:t>
      </w:r>
      <w:r>
        <w:rPr>
          <w:spacing w:val="-1"/>
          <w:sz w:val="20"/>
          <w:szCs w:val="20"/>
        </w:rPr>
        <w:t>产品和服务以及数据处理活动安全性、可能带来的国家安全风险等方面进行审查。</w:t>
      </w:r>
    </w:p>
    <w:p w14:paraId="0DFA8D86">
      <w:pPr>
        <w:pStyle w:val="2"/>
        <w:spacing w:before="36" w:line="281" w:lineRule="auto"/>
        <w:ind w:left="320" w:right="51" w:firstLine="420"/>
        <w:rPr>
          <w:sz w:val="20"/>
          <w:szCs w:val="20"/>
        </w:rPr>
      </w:pPr>
      <w:r>
        <w:rPr>
          <w:spacing w:val="6"/>
          <w:sz w:val="20"/>
          <w:szCs w:val="20"/>
        </w:rPr>
        <w:t>第四条 在中央网络安全和信息化委员会领导下，</w:t>
      </w:r>
      <w:r>
        <w:rPr>
          <w:spacing w:val="5"/>
          <w:sz w:val="20"/>
          <w:szCs w:val="20"/>
        </w:rPr>
        <w:t>国家互联网信息办公室会同中华人民共</w:t>
      </w:r>
      <w:r>
        <w:rPr>
          <w:sz w:val="20"/>
          <w:szCs w:val="20"/>
        </w:rPr>
        <w:t xml:space="preserve"> </w:t>
      </w:r>
      <w:r>
        <w:rPr>
          <w:spacing w:val="3"/>
          <w:sz w:val="20"/>
          <w:szCs w:val="20"/>
        </w:rPr>
        <w:t>和国国家发展和改革委员会、中华人民共和国工业和信息化部、中华人民共和国</w:t>
      </w:r>
      <w:r>
        <w:rPr>
          <w:spacing w:val="2"/>
          <w:sz w:val="20"/>
          <w:szCs w:val="20"/>
        </w:rPr>
        <w:t>公安部、中华</w:t>
      </w:r>
      <w:r>
        <w:rPr>
          <w:sz w:val="20"/>
          <w:szCs w:val="20"/>
        </w:rPr>
        <w:t xml:space="preserve"> </w:t>
      </w:r>
      <w:r>
        <w:rPr>
          <w:spacing w:val="3"/>
          <w:sz w:val="20"/>
          <w:szCs w:val="20"/>
        </w:rPr>
        <w:t>人民共和国国家安全部、中华人民共和国财政部、中华人民共和国商务部、中国人民银行、国</w:t>
      </w:r>
      <w:r>
        <w:rPr>
          <w:spacing w:val="6"/>
          <w:sz w:val="20"/>
          <w:szCs w:val="20"/>
        </w:rPr>
        <w:t xml:space="preserve"> </w:t>
      </w:r>
      <w:r>
        <w:rPr>
          <w:spacing w:val="3"/>
          <w:sz w:val="20"/>
          <w:szCs w:val="20"/>
        </w:rPr>
        <w:t>家市场监督管理总局、国家广播电视总局、中国证券监督管理委员会、国家保密局、</w:t>
      </w:r>
      <w:r>
        <w:rPr>
          <w:spacing w:val="2"/>
          <w:sz w:val="20"/>
          <w:szCs w:val="20"/>
        </w:rPr>
        <w:t>国家密码</w:t>
      </w:r>
      <w:r>
        <w:rPr>
          <w:sz w:val="20"/>
          <w:szCs w:val="20"/>
        </w:rPr>
        <w:t xml:space="preserve"> </w:t>
      </w:r>
      <w:r>
        <w:rPr>
          <w:spacing w:val="-3"/>
          <w:sz w:val="20"/>
          <w:szCs w:val="20"/>
        </w:rPr>
        <w:t>管理局建立国家网络安全审查工作机制。</w:t>
      </w:r>
    </w:p>
    <w:p w14:paraId="20C42FEE">
      <w:pPr>
        <w:pStyle w:val="2"/>
        <w:spacing w:before="136" w:line="221" w:lineRule="auto"/>
        <w:ind w:left="742"/>
        <w:rPr>
          <w:rFonts w:ascii="黑体" w:hAnsi="黑体" w:eastAsia="黑体" w:cs="黑体"/>
          <w:sz w:val="20"/>
          <w:szCs w:val="20"/>
        </w:rPr>
      </w:pPr>
      <w:r>
        <w:rPr>
          <w:b/>
          <w:bCs/>
          <w:color w:val="007DBC"/>
          <w:spacing w:val="-4"/>
          <w:sz w:val="20"/>
          <w:szCs w:val="20"/>
        </w:rPr>
        <w:t>2.</w:t>
      </w:r>
      <w:r>
        <w:rPr>
          <w:rFonts w:ascii="黑体" w:hAnsi="黑体" w:eastAsia="黑体" w:cs="黑体"/>
          <w:b/>
          <w:bCs/>
          <w:color w:val="007DBC"/>
          <w:spacing w:val="-4"/>
          <w:sz w:val="20"/>
          <w:szCs w:val="20"/>
        </w:rPr>
        <w:t>关键信息基础设施保护内容</w:t>
      </w:r>
    </w:p>
    <w:p w14:paraId="699F2E9B">
      <w:pPr>
        <w:pStyle w:val="2"/>
        <w:spacing w:before="134" w:line="290" w:lineRule="auto"/>
        <w:ind w:left="320" w:firstLine="320"/>
        <w:jc w:val="both"/>
        <w:rPr>
          <w:sz w:val="17"/>
          <w:szCs w:val="17"/>
        </w:rPr>
      </w:pPr>
      <w:r>
        <w:rPr>
          <w:spacing w:val="2"/>
          <w:sz w:val="20"/>
          <w:szCs w:val="20"/>
        </w:rPr>
        <w:t>《关键信息基础设施安全保护条例》第五条规定：国家对关键信息</w:t>
      </w:r>
      <w:r>
        <w:rPr>
          <w:spacing w:val="1"/>
          <w:sz w:val="20"/>
          <w:szCs w:val="20"/>
        </w:rPr>
        <w:t>基础设施实行重点保护，</w:t>
      </w:r>
      <w:r>
        <w:rPr>
          <w:sz w:val="20"/>
          <w:szCs w:val="20"/>
        </w:rPr>
        <w:t xml:space="preserve"> </w:t>
      </w:r>
      <w:r>
        <w:rPr>
          <w:spacing w:val="3"/>
          <w:sz w:val="20"/>
          <w:szCs w:val="20"/>
        </w:rPr>
        <w:t>采取措施，监测、防御、处置来源于中华人民共和国境内外的网络安全风险和</w:t>
      </w:r>
      <w:r>
        <w:rPr>
          <w:spacing w:val="2"/>
          <w:sz w:val="20"/>
          <w:szCs w:val="20"/>
        </w:rPr>
        <w:t>威胁，保护关键</w:t>
      </w:r>
      <w:r>
        <w:rPr>
          <w:sz w:val="20"/>
          <w:szCs w:val="20"/>
        </w:rPr>
        <w:t xml:space="preserve"> </w:t>
      </w:r>
      <w:r>
        <w:rPr>
          <w:spacing w:val="3"/>
          <w:sz w:val="20"/>
          <w:szCs w:val="20"/>
        </w:rPr>
        <w:t>信息基础设施免受攻击、侵入、干扰和破坏，依法惩治危害关键信息基础设施安全的</w:t>
      </w:r>
      <w:r>
        <w:rPr>
          <w:spacing w:val="2"/>
          <w:sz w:val="20"/>
          <w:szCs w:val="20"/>
        </w:rPr>
        <w:t>违法犯罪</w:t>
      </w:r>
      <w:r>
        <w:rPr>
          <w:sz w:val="20"/>
          <w:szCs w:val="20"/>
        </w:rPr>
        <w:t xml:space="preserve"> </w:t>
      </w:r>
      <w:r>
        <w:rPr>
          <w:spacing w:val="-6"/>
          <w:sz w:val="17"/>
          <w:szCs w:val="17"/>
        </w:rPr>
        <w:t>活</w:t>
      </w:r>
      <w:r>
        <w:rPr>
          <w:spacing w:val="-23"/>
          <w:sz w:val="17"/>
          <w:szCs w:val="17"/>
        </w:rPr>
        <w:t xml:space="preserve"> </w:t>
      </w:r>
      <w:r>
        <w:rPr>
          <w:spacing w:val="-6"/>
          <w:sz w:val="17"/>
          <w:szCs w:val="17"/>
        </w:rPr>
        <w:t>动</w:t>
      </w:r>
      <w:r>
        <w:rPr>
          <w:spacing w:val="-31"/>
          <w:sz w:val="17"/>
          <w:szCs w:val="17"/>
        </w:rPr>
        <w:t xml:space="preserve"> </w:t>
      </w:r>
      <w:r>
        <w:rPr>
          <w:spacing w:val="-6"/>
          <w:sz w:val="17"/>
          <w:szCs w:val="17"/>
        </w:rPr>
        <w:t>。</w:t>
      </w:r>
    </w:p>
    <w:p w14:paraId="7A0BCD7E">
      <w:pPr>
        <w:spacing w:line="315" w:lineRule="auto"/>
        <w:rPr>
          <w:rFonts w:ascii="Arial"/>
          <w:sz w:val="21"/>
        </w:rPr>
      </w:pPr>
    </w:p>
    <w:p w14:paraId="13495F73">
      <w:pPr>
        <w:pStyle w:val="2"/>
        <w:spacing w:before="92" w:line="221" w:lineRule="auto"/>
        <w:ind w:left="324"/>
        <w:rPr>
          <w:rFonts w:ascii="黑体" w:hAnsi="黑体" w:eastAsia="黑体" w:cs="黑体"/>
          <w:sz w:val="28"/>
          <w:szCs w:val="28"/>
        </w:rPr>
      </w:pPr>
      <w:r>
        <w:rPr>
          <w:b/>
          <w:bCs/>
          <w:color w:val="007ED2"/>
          <w:spacing w:val="-5"/>
          <w:sz w:val="28"/>
          <w:szCs w:val="28"/>
        </w:rPr>
        <w:t>6.7</w:t>
      </w:r>
      <w:r>
        <w:rPr>
          <w:color w:val="007ED2"/>
          <w:spacing w:val="128"/>
          <w:sz w:val="28"/>
          <w:szCs w:val="28"/>
        </w:rPr>
        <w:t xml:space="preserve"> </w:t>
      </w:r>
      <w:r>
        <w:rPr>
          <w:rFonts w:ascii="黑体" w:hAnsi="黑体" w:eastAsia="黑体" w:cs="黑体"/>
          <w:b/>
          <w:bCs/>
          <w:color w:val="007ED2"/>
          <w:spacing w:val="-5"/>
          <w:sz w:val="28"/>
          <w:szCs w:val="28"/>
        </w:rPr>
        <w:t>数据安全的主要策略及方法</w:t>
      </w:r>
    </w:p>
    <w:p w14:paraId="63B2A7C0">
      <w:pPr>
        <w:pStyle w:val="2"/>
        <w:spacing w:before="277" w:line="264" w:lineRule="auto"/>
        <w:ind w:left="320" w:right="53" w:firstLine="420"/>
        <w:rPr>
          <w:sz w:val="20"/>
          <w:szCs w:val="20"/>
        </w:rPr>
      </w:pPr>
      <w:r>
        <w:rPr>
          <w:spacing w:val="3"/>
          <w:sz w:val="20"/>
          <w:szCs w:val="20"/>
        </w:rPr>
        <w:t>数据安全是指通过采取必要措施，确保数据处于有效保护和合法利用的状态，以及具</w:t>
      </w:r>
      <w:r>
        <w:rPr>
          <w:spacing w:val="2"/>
          <w:sz w:val="20"/>
          <w:szCs w:val="20"/>
        </w:rPr>
        <w:t>备保</w:t>
      </w:r>
      <w:r>
        <w:rPr>
          <w:sz w:val="20"/>
          <w:szCs w:val="20"/>
        </w:rPr>
        <w:t xml:space="preserve"> </w:t>
      </w:r>
      <w:r>
        <w:rPr>
          <w:spacing w:val="-3"/>
          <w:sz w:val="20"/>
          <w:szCs w:val="20"/>
        </w:rPr>
        <w:t>障持续安全状态的能力。数据安全有两方面含义：</w:t>
      </w:r>
    </w:p>
    <w:p w14:paraId="46A27087">
      <w:pPr>
        <w:pStyle w:val="2"/>
        <w:spacing w:before="59" w:line="248" w:lineRule="auto"/>
        <w:ind w:left="320" w:right="51" w:firstLine="420"/>
        <w:rPr>
          <w:sz w:val="20"/>
          <w:szCs w:val="20"/>
        </w:rPr>
      </w:pPr>
      <w:r>
        <w:rPr>
          <w:spacing w:val="5"/>
          <w:sz w:val="20"/>
          <w:szCs w:val="20"/>
        </w:rPr>
        <w:t>(1)数据本身的安全，主要是指采用现代密码算法对数据进行主动保护，如数据保密、数</w:t>
      </w:r>
      <w:r>
        <w:rPr>
          <w:spacing w:val="17"/>
          <w:sz w:val="20"/>
          <w:szCs w:val="20"/>
        </w:rPr>
        <w:t xml:space="preserve"> </w:t>
      </w:r>
      <w:r>
        <w:rPr>
          <w:spacing w:val="-4"/>
          <w:sz w:val="20"/>
          <w:szCs w:val="20"/>
        </w:rPr>
        <w:t>据完整性、双向强身份认证等；</w:t>
      </w:r>
    </w:p>
    <w:p w14:paraId="3DBE56AB">
      <w:pPr>
        <w:pStyle w:val="2"/>
        <w:spacing w:before="72" w:line="270" w:lineRule="auto"/>
        <w:ind w:left="320" w:right="65" w:firstLine="420"/>
        <w:rPr>
          <w:sz w:val="20"/>
          <w:szCs w:val="20"/>
        </w:rPr>
      </w:pPr>
      <w:r>
        <w:rPr>
          <w:spacing w:val="5"/>
          <w:sz w:val="20"/>
          <w:szCs w:val="20"/>
        </w:rPr>
        <w:t>(2)数据防护的安全，主要是采用现代信息存储手段对数据进行主动防护，如通过</w:t>
      </w:r>
      <w:r>
        <w:rPr>
          <w:spacing w:val="4"/>
          <w:sz w:val="20"/>
          <w:szCs w:val="20"/>
        </w:rPr>
        <w:t>磁盘阵</w:t>
      </w:r>
      <w:r>
        <w:rPr>
          <w:sz w:val="20"/>
          <w:szCs w:val="20"/>
        </w:rPr>
        <w:t xml:space="preserve"> </w:t>
      </w:r>
      <w:r>
        <w:rPr>
          <w:spacing w:val="3"/>
          <w:sz w:val="20"/>
          <w:szCs w:val="20"/>
        </w:rPr>
        <w:t>列、数据备份、异地容灾等手段保证数据的安全，数据安全是一种主动的保护措施。数据本身</w:t>
      </w:r>
      <w:r>
        <w:rPr>
          <w:spacing w:val="1"/>
          <w:sz w:val="20"/>
          <w:szCs w:val="20"/>
        </w:rPr>
        <w:t xml:space="preserve"> </w:t>
      </w:r>
      <w:r>
        <w:rPr>
          <w:spacing w:val="-1"/>
          <w:sz w:val="20"/>
          <w:szCs w:val="20"/>
        </w:rPr>
        <w:t>的安全必须基于可靠的加密算法与安全体系，主要有对称算法与公开密钥密码体系两种。</w:t>
      </w:r>
    </w:p>
    <w:p w14:paraId="174B8BF5">
      <w:pPr>
        <w:pStyle w:val="2"/>
        <w:spacing w:before="54" w:line="277" w:lineRule="auto"/>
        <w:ind w:left="320" w:right="70" w:firstLine="420"/>
        <w:jc w:val="both"/>
        <w:rPr>
          <w:sz w:val="20"/>
          <w:szCs w:val="20"/>
        </w:rPr>
      </w:pPr>
      <w:r>
        <w:rPr>
          <w:spacing w:val="3"/>
          <w:sz w:val="20"/>
          <w:szCs w:val="20"/>
        </w:rPr>
        <w:t>数据处理的安全是指如何有效地防止数据在</w:t>
      </w:r>
      <w:r>
        <w:rPr>
          <w:spacing w:val="2"/>
          <w:sz w:val="20"/>
          <w:szCs w:val="20"/>
        </w:rPr>
        <w:t>录入、处理、统计或打印中由于硬件故障、断</w:t>
      </w:r>
      <w:r>
        <w:rPr>
          <w:sz w:val="20"/>
          <w:szCs w:val="20"/>
        </w:rPr>
        <w:t xml:space="preserve"> </w:t>
      </w:r>
      <w:r>
        <w:rPr>
          <w:spacing w:val="3"/>
          <w:sz w:val="20"/>
          <w:szCs w:val="20"/>
        </w:rPr>
        <w:t>电、死机、人为的误操作、程序缺陷、病毒或黑客等造成的数据库损坏或数据丢失</w:t>
      </w:r>
      <w:r>
        <w:rPr>
          <w:spacing w:val="2"/>
          <w:sz w:val="20"/>
          <w:szCs w:val="20"/>
        </w:rPr>
        <w:t>现象，某些</w:t>
      </w:r>
      <w:r>
        <w:rPr>
          <w:sz w:val="20"/>
          <w:szCs w:val="20"/>
        </w:rPr>
        <w:t xml:space="preserve"> </w:t>
      </w:r>
      <w:r>
        <w:rPr>
          <w:spacing w:val="-1"/>
          <w:sz w:val="20"/>
          <w:szCs w:val="20"/>
        </w:rPr>
        <w:t>敏感或保密的数据可能被不具备资格的人员或操作员阅读，从而造成数据泄密等后果。</w:t>
      </w:r>
    </w:p>
    <w:p w14:paraId="2F9DA54B">
      <w:pPr>
        <w:pStyle w:val="2"/>
        <w:spacing w:before="39" w:line="279" w:lineRule="auto"/>
        <w:ind w:left="320" w:firstLine="420"/>
        <w:jc w:val="both"/>
        <w:rPr>
          <w:sz w:val="20"/>
          <w:szCs w:val="20"/>
        </w:rPr>
      </w:pPr>
      <w:r>
        <w:rPr>
          <w:spacing w:val="1"/>
          <w:sz w:val="20"/>
          <w:szCs w:val="20"/>
        </w:rPr>
        <w:t>数据存储的安全是指数据库在系统运行之外的可读性，</w:t>
      </w:r>
      <w:r>
        <w:rPr>
          <w:spacing w:val="-49"/>
          <w:sz w:val="20"/>
          <w:szCs w:val="20"/>
        </w:rPr>
        <w:t xml:space="preserve"> </w:t>
      </w:r>
      <w:r>
        <w:rPr>
          <w:spacing w:val="1"/>
          <w:sz w:val="20"/>
          <w:szCs w:val="20"/>
        </w:rPr>
        <w:t>一个标准的</w:t>
      </w:r>
      <w:r>
        <w:rPr>
          <w:rFonts w:ascii="Times New Roman" w:hAnsi="Times New Roman" w:eastAsia="Times New Roman" w:cs="Times New Roman"/>
          <w:sz w:val="20"/>
          <w:szCs w:val="20"/>
        </w:rPr>
        <w:t>Access</w:t>
      </w:r>
      <w:r>
        <w:rPr>
          <w:rFonts w:ascii="Times New Roman" w:hAnsi="Times New Roman" w:eastAsia="Times New Roman" w:cs="Times New Roman"/>
          <w:spacing w:val="16"/>
          <w:w w:val="101"/>
          <w:sz w:val="20"/>
          <w:szCs w:val="20"/>
        </w:rPr>
        <w:t xml:space="preserve"> </w:t>
      </w:r>
      <w:r>
        <w:rPr>
          <w:spacing w:val="1"/>
          <w:sz w:val="20"/>
          <w:szCs w:val="20"/>
        </w:rPr>
        <w:t>数据库，稍微懂</w:t>
      </w:r>
      <w:r>
        <w:rPr>
          <w:sz w:val="20"/>
          <w:szCs w:val="20"/>
        </w:rPr>
        <w:t xml:space="preserve"> </w:t>
      </w:r>
      <w:r>
        <w:rPr>
          <w:spacing w:val="1"/>
          <w:sz w:val="20"/>
          <w:szCs w:val="20"/>
        </w:rPr>
        <w:t>得一些基本方法的计算机人员都可以打开阅读或修改。 一旦数据库被盗，即使没有原</w:t>
      </w:r>
      <w:r>
        <w:rPr>
          <w:sz w:val="20"/>
          <w:szCs w:val="20"/>
        </w:rPr>
        <w:t xml:space="preserve">来的系统 </w:t>
      </w:r>
      <w:r>
        <w:rPr>
          <w:spacing w:val="3"/>
          <w:sz w:val="20"/>
          <w:szCs w:val="20"/>
        </w:rPr>
        <w:t>程序，照样可以另外编写程序对盗取的数据库进行查看或修改。从这个角度说，不加密</w:t>
      </w:r>
      <w:r>
        <w:rPr>
          <w:spacing w:val="2"/>
          <w:sz w:val="20"/>
          <w:szCs w:val="20"/>
        </w:rPr>
        <w:t>的数据</w:t>
      </w:r>
      <w:r>
        <w:rPr>
          <w:sz w:val="20"/>
          <w:szCs w:val="20"/>
        </w:rPr>
        <w:t xml:space="preserve"> 库是不安全的，容易造成商业泄密。这就涉及计算机网络通信的保密、</w:t>
      </w:r>
      <w:r>
        <w:rPr>
          <w:spacing w:val="-1"/>
          <w:sz w:val="20"/>
          <w:szCs w:val="20"/>
        </w:rPr>
        <w:t>安全及软件保护等问题。</w:t>
      </w:r>
    </w:p>
    <w:p w14:paraId="3A33ED7B">
      <w:pPr>
        <w:spacing w:line="279" w:lineRule="auto"/>
        <w:rPr>
          <w:sz w:val="20"/>
          <w:szCs w:val="20"/>
        </w:rPr>
        <w:sectPr>
          <w:pgSz w:w="10300" w:h="13400"/>
          <w:pgMar w:top="400" w:right="1099" w:bottom="400" w:left="489" w:header="0" w:footer="0" w:gutter="0"/>
          <w:cols w:space="720" w:num="1"/>
        </w:sectPr>
      </w:pPr>
    </w:p>
    <w:p w14:paraId="6B2DBC57">
      <w:pPr>
        <w:pStyle w:val="2"/>
        <w:jc w:val="right"/>
        <w:rPr>
          <w:rFonts w:ascii="Times New Roman" w:hAnsi="Times New Roman" w:eastAsia="Times New Roman" w:cs="Times New Roman"/>
          <w:sz w:val="17"/>
          <w:szCs w:val="17"/>
        </w:rPr>
      </w:pPr>
      <w:r>
        <w:rPr>
          <w:spacing w:val="1"/>
          <w:sz w:val="20"/>
          <w:szCs w:val="20"/>
        </w:rPr>
        <w:t>第6章</w:t>
      </w:r>
      <w:r>
        <w:rPr>
          <w:spacing w:val="28"/>
          <w:sz w:val="20"/>
          <w:szCs w:val="20"/>
        </w:rPr>
        <w:t xml:space="preserve"> </w:t>
      </w:r>
      <w:r>
        <w:rPr>
          <w:spacing w:val="1"/>
          <w:sz w:val="20"/>
          <w:szCs w:val="20"/>
        </w:rPr>
        <w:t>信息安全</w:t>
      </w:r>
      <w:r>
        <w:rPr>
          <w:spacing w:val="41"/>
          <w:sz w:val="20"/>
          <w:szCs w:val="20"/>
        </w:rPr>
        <w:t xml:space="preserve"> </w:t>
      </w:r>
      <w:r>
        <w:rPr>
          <w:position w:val="-10"/>
          <w:sz w:val="20"/>
          <w:szCs w:val="20"/>
        </w:rPr>
        <w:drawing>
          <wp:inline distT="0" distB="0" distL="0" distR="0">
            <wp:extent cx="304165" cy="24066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37"/>
                    <a:stretch>
                      <a:fillRect/>
                    </a:stretch>
                  </pic:blipFill>
                  <pic:spPr>
                    <a:xfrm>
                      <a:off x="0" y="0"/>
                      <a:ext cx="304782" cy="241240"/>
                    </a:xfrm>
                    <a:prstGeom prst="rect">
                      <a:avLst/>
                    </a:prstGeom>
                  </pic:spPr>
                </pic:pic>
              </a:graphicData>
            </a:graphic>
          </wp:inline>
        </w:drawing>
      </w:r>
      <w:r>
        <w:rPr>
          <w:rFonts w:ascii="Times New Roman" w:hAnsi="Times New Roman" w:eastAsia="Times New Roman" w:cs="Times New Roman"/>
          <w:spacing w:val="1"/>
          <w:sz w:val="17"/>
          <w:szCs w:val="17"/>
        </w:rPr>
        <w:t>189</w:t>
      </w:r>
    </w:p>
    <w:p w14:paraId="36485D98">
      <w:pPr>
        <w:spacing w:line="254" w:lineRule="auto"/>
        <w:rPr>
          <w:rFonts w:ascii="Arial"/>
          <w:sz w:val="21"/>
        </w:rPr>
      </w:pPr>
    </w:p>
    <w:p w14:paraId="6E687421">
      <w:pPr>
        <w:pStyle w:val="2"/>
        <w:spacing w:before="81" w:line="219" w:lineRule="auto"/>
        <w:ind w:left="2"/>
        <w:rPr>
          <w:sz w:val="25"/>
          <w:szCs w:val="25"/>
        </w:rPr>
      </w:pPr>
      <w:r>
        <w:rPr>
          <w:b/>
          <w:bCs/>
          <w:color w:val="007CCF"/>
          <w:spacing w:val="-17"/>
          <w:sz w:val="25"/>
          <w:szCs w:val="25"/>
        </w:rPr>
        <w:t>6.7.1</w:t>
      </w:r>
      <w:r>
        <w:rPr>
          <w:color w:val="007CCF"/>
          <w:spacing w:val="101"/>
          <w:sz w:val="25"/>
          <w:szCs w:val="25"/>
        </w:rPr>
        <w:t xml:space="preserve"> </w:t>
      </w:r>
      <w:r>
        <w:rPr>
          <w:b/>
          <w:bCs/>
          <w:color w:val="007CCF"/>
          <w:spacing w:val="-17"/>
          <w:sz w:val="25"/>
          <w:szCs w:val="25"/>
        </w:rPr>
        <w:t>数据安全技术的发展要求</w:t>
      </w:r>
    </w:p>
    <w:p w14:paraId="33C6E44B">
      <w:pPr>
        <w:pStyle w:val="2"/>
        <w:spacing w:before="164" w:line="219" w:lineRule="auto"/>
        <w:ind w:left="399"/>
        <w:rPr>
          <w:sz w:val="20"/>
          <w:szCs w:val="20"/>
        </w:rPr>
      </w:pPr>
      <w:r>
        <w:rPr>
          <w:spacing w:val="-6"/>
          <w:sz w:val="20"/>
          <w:szCs w:val="20"/>
        </w:rPr>
        <w:t>数据安全技术的发展要求为：</w:t>
      </w:r>
    </w:p>
    <w:p w14:paraId="02F84D77">
      <w:pPr>
        <w:pStyle w:val="2"/>
        <w:spacing w:before="92" w:line="248" w:lineRule="auto"/>
        <w:ind w:right="286" w:firstLine="399"/>
        <w:rPr>
          <w:sz w:val="20"/>
          <w:szCs w:val="20"/>
        </w:rPr>
      </w:pPr>
      <w:r>
        <w:rPr>
          <w:spacing w:val="6"/>
          <w:sz w:val="20"/>
          <w:szCs w:val="20"/>
        </w:rPr>
        <w:t>(1)必须适应新形势、新需求的需要。从信息安全合规性建</w:t>
      </w:r>
      <w:r>
        <w:rPr>
          <w:spacing w:val="5"/>
          <w:sz w:val="20"/>
          <w:szCs w:val="20"/>
        </w:rPr>
        <w:t>设、实施与应用角度来看，数</w:t>
      </w:r>
      <w:r>
        <w:rPr>
          <w:sz w:val="20"/>
          <w:szCs w:val="20"/>
        </w:rPr>
        <w:t xml:space="preserve"> </w:t>
      </w:r>
      <w:r>
        <w:rPr>
          <w:spacing w:val="-3"/>
          <w:sz w:val="20"/>
          <w:szCs w:val="20"/>
        </w:rPr>
        <w:t>据安全技术迎来发展新趋势。具体表现为：</w:t>
      </w:r>
    </w:p>
    <w:p w14:paraId="7AA1D446">
      <w:pPr>
        <w:pStyle w:val="2"/>
        <w:spacing w:before="72" w:line="262" w:lineRule="auto"/>
        <w:ind w:left="699" w:right="284" w:hanging="300"/>
        <w:rPr>
          <w:sz w:val="20"/>
          <w:szCs w:val="20"/>
        </w:rPr>
      </w:pPr>
      <w:r>
        <w:rPr>
          <w:spacing w:val="3"/>
          <w:sz w:val="20"/>
          <w:szCs w:val="20"/>
        </w:rPr>
        <w:t>●数据安全技术正逐步获得国家政策重视以及用户认可，从顶层规划到配套法律法规的不</w:t>
      </w:r>
      <w:r>
        <w:rPr>
          <w:spacing w:val="12"/>
          <w:sz w:val="20"/>
          <w:szCs w:val="20"/>
        </w:rPr>
        <w:t xml:space="preserve"> </w:t>
      </w:r>
      <w:r>
        <w:rPr>
          <w:spacing w:val="-4"/>
          <w:sz w:val="20"/>
          <w:szCs w:val="20"/>
        </w:rPr>
        <w:t>断加码，企业层面越发重视加密技术应用；</w:t>
      </w:r>
    </w:p>
    <w:p w14:paraId="065BDEEC">
      <w:pPr>
        <w:pStyle w:val="2"/>
        <w:spacing w:before="103" w:line="257" w:lineRule="auto"/>
        <w:ind w:left="699" w:right="285" w:hanging="300"/>
        <w:rPr>
          <w:sz w:val="20"/>
          <w:szCs w:val="20"/>
        </w:rPr>
      </w:pPr>
      <w:r>
        <w:rPr>
          <w:spacing w:val="3"/>
          <w:sz w:val="20"/>
          <w:szCs w:val="20"/>
        </w:rPr>
        <w:t>●数据安全技术与业务的结合越来越紧密，业务应用层正成为数据安全建设的重点，将成</w:t>
      </w:r>
      <w:r>
        <w:rPr>
          <w:spacing w:val="11"/>
          <w:sz w:val="20"/>
          <w:szCs w:val="20"/>
        </w:rPr>
        <w:t xml:space="preserve"> </w:t>
      </w:r>
      <w:r>
        <w:rPr>
          <w:spacing w:val="-2"/>
          <w:sz w:val="20"/>
          <w:szCs w:val="20"/>
        </w:rPr>
        <w:t>为解决企业在平衡合规压力、改造复杂业务和信息系统方面困境的关键所在；</w:t>
      </w:r>
    </w:p>
    <w:p w14:paraId="54B4A7F2">
      <w:pPr>
        <w:pStyle w:val="2"/>
        <w:spacing w:before="91" w:line="270" w:lineRule="auto"/>
        <w:ind w:left="699" w:right="274" w:hanging="300"/>
        <w:rPr>
          <w:sz w:val="20"/>
          <w:szCs w:val="20"/>
        </w:rPr>
      </w:pPr>
      <w:r>
        <w:rPr>
          <w:spacing w:val="4"/>
          <w:sz w:val="20"/>
          <w:szCs w:val="20"/>
        </w:rPr>
        <w:t>●数据安全技术应用扩展到各领域行业，密码技术</w:t>
      </w:r>
      <w:r>
        <w:rPr>
          <w:spacing w:val="3"/>
          <w:sz w:val="20"/>
          <w:szCs w:val="20"/>
        </w:rPr>
        <w:t>的行业及场景适用性进一步延伸。如国</w:t>
      </w:r>
      <w:r>
        <w:rPr>
          <w:sz w:val="20"/>
          <w:szCs w:val="20"/>
        </w:rPr>
        <w:t xml:space="preserve"> </w:t>
      </w:r>
      <w:r>
        <w:rPr>
          <w:spacing w:val="4"/>
          <w:sz w:val="20"/>
          <w:szCs w:val="20"/>
        </w:rPr>
        <w:t>家标准</w:t>
      </w:r>
      <w:r>
        <w:rPr>
          <w:rFonts w:ascii="Times New Roman" w:hAnsi="Times New Roman" w:eastAsia="Times New Roman" w:cs="Times New Roman"/>
          <w:sz w:val="20"/>
          <w:szCs w:val="20"/>
        </w:rPr>
        <w:t>GB</w:t>
      </w:r>
      <w:r>
        <w:rPr>
          <w:rFonts w:ascii="Times New Roman" w:hAnsi="Times New Roman" w:eastAsia="Times New Roman" w:cs="Times New Roman"/>
          <w:spacing w:val="4"/>
          <w:sz w:val="20"/>
          <w:szCs w:val="20"/>
        </w:rPr>
        <w:t>/T  39786</w:t>
      </w:r>
      <w:r>
        <w:rPr>
          <w:spacing w:val="4"/>
          <w:sz w:val="20"/>
          <w:szCs w:val="20"/>
        </w:rPr>
        <w:t>《信息安全技术信息系统密码应用基本要求》的发布，替代了行业</w:t>
      </w:r>
      <w:r>
        <w:rPr>
          <w:spacing w:val="6"/>
          <w:sz w:val="20"/>
          <w:szCs w:val="20"/>
        </w:rPr>
        <w:t xml:space="preserve"> </w:t>
      </w:r>
      <w:r>
        <w:rPr>
          <w:spacing w:val="-5"/>
          <w:sz w:val="20"/>
          <w:szCs w:val="20"/>
        </w:rPr>
        <w:t>标准</w:t>
      </w:r>
      <w:r>
        <w:rPr>
          <w:rFonts w:ascii="Times New Roman" w:hAnsi="Times New Roman" w:eastAsia="Times New Roman" w:cs="Times New Roman"/>
          <w:spacing w:val="-5"/>
          <w:sz w:val="20"/>
          <w:szCs w:val="20"/>
        </w:rPr>
        <w:t>GM/T</w:t>
      </w:r>
      <w:r>
        <w:rPr>
          <w:rFonts w:ascii="Times New Roman" w:hAnsi="Times New Roman" w:eastAsia="Times New Roman" w:cs="Times New Roman"/>
          <w:spacing w:val="51"/>
          <w:sz w:val="20"/>
          <w:szCs w:val="20"/>
        </w:rPr>
        <w:t xml:space="preserve"> </w:t>
      </w:r>
      <w:r>
        <w:rPr>
          <w:rFonts w:ascii="Times New Roman" w:hAnsi="Times New Roman" w:eastAsia="Times New Roman" w:cs="Times New Roman"/>
          <w:spacing w:val="-5"/>
          <w:sz w:val="20"/>
          <w:szCs w:val="20"/>
        </w:rPr>
        <w:t>0054</w:t>
      </w:r>
      <w:r>
        <w:rPr>
          <w:spacing w:val="-5"/>
          <w:sz w:val="20"/>
          <w:szCs w:val="20"/>
        </w:rPr>
        <w:t>《信息系统密码应用基本要求》。</w:t>
      </w:r>
    </w:p>
    <w:p w14:paraId="5C2CD093">
      <w:pPr>
        <w:pStyle w:val="2"/>
        <w:spacing w:before="94" w:line="219" w:lineRule="auto"/>
        <w:ind w:left="399"/>
        <w:rPr>
          <w:sz w:val="20"/>
          <w:szCs w:val="20"/>
        </w:rPr>
      </w:pPr>
      <w:r>
        <w:rPr>
          <w:spacing w:val="3"/>
          <w:sz w:val="20"/>
          <w:szCs w:val="20"/>
        </w:rPr>
        <w:t>(2)必须适应国家有关法律法规要求。</w:t>
      </w:r>
    </w:p>
    <w:p w14:paraId="4199395E">
      <w:pPr>
        <w:pStyle w:val="2"/>
        <w:spacing w:before="231" w:line="219" w:lineRule="auto"/>
        <w:ind w:left="2"/>
        <w:rPr>
          <w:sz w:val="25"/>
          <w:szCs w:val="25"/>
        </w:rPr>
      </w:pPr>
      <w:r>
        <w:rPr>
          <w:b/>
          <w:bCs/>
          <w:color w:val="0084DD"/>
          <w:spacing w:val="-18"/>
          <w:sz w:val="25"/>
          <w:szCs w:val="25"/>
        </w:rPr>
        <w:t>6.7.2</w:t>
      </w:r>
      <w:r>
        <w:rPr>
          <w:color w:val="0084DD"/>
          <w:spacing w:val="104"/>
          <w:sz w:val="25"/>
          <w:szCs w:val="25"/>
        </w:rPr>
        <w:t xml:space="preserve"> </w:t>
      </w:r>
      <w:r>
        <w:rPr>
          <w:b/>
          <w:bCs/>
          <w:color w:val="0084DD"/>
          <w:spacing w:val="-18"/>
          <w:sz w:val="25"/>
          <w:szCs w:val="25"/>
        </w:rPr>
        <w:t>数据安全的特点</w:t>
      </w:r>
    </w:p>
    <w:p w14:paraId="06B49CF9">
      <w:pPr>
        <w:pStyle w:val="2"/>
        <w:spacing w:before="184" w:line="219" w:lineRule="auto"/>
        <w:ind w:left="399"/>
        <w:rPr>
          <w:sz w:val="20"/>
          <w:szCs w:val="20"/>
        </w:rPr>
      </w:pPr>
      <w:r>
        <w:rPr>
          <w:spacing w:val="-2"/>
          <w:sz w:val="20"/>
          <w:szCs w:val="20"/>
        </w:rPr>
        <w:t>数据安全的三项基本特点是：机密性、完整性和可用性。</w:t>
      </w:r>
    </w:p>
    <w:p w14:paraId="2E0E8890">
      <w:pPr>
        <w:pStyle w:val="2"/>
        <w:spacing w:before="149" w:line="221" w:lineRule="auto"/>
        <w:ind w:left="402"/>
        <w:rPr>
          <w:rFonts w:ascii="黑体" w:hAnsi="黑体" w:eastAsia="黑体" w:cs="黑体"/>
          <w:sz w:val="20"/>
          <w:szCs w:val="20"/>
        </w:rPr>
      </w:pPr>
      <w:r>
        <w:rPr>
          <w:b/>
          <w:bCs/>
          <w:color w:val="007CC4"/>
          <w:spacing w:val="-1"/>
          <w:sz w:val="20"/>
          <w:szCs w:val="20"/>
        </w:rPr>
        <w:t>1.</w:t>
      </w:r>
      <w:r>
        <w:rPr>
          <w:rFonts w:ascii="黑体" w:hAnsi="黑体" w:eastAsia="黑体" w:cs="黑体"/>
          <w:b/>
          <w:bCs/>
          <w:color w:val="007CC4"/>
          <w:spacing w:val="-1"/>
          <w:sz w:val="20"/>
          <w:szCs w:val="20"/>
        </w:rPr>
        <w:t>机密性</w:t>
      </w:r>
    </w:p>
    <w:p w14:paraId="298FB243">
      <w:pPr>
        <w:pStyle w:val="2"/>
        <w:spacing w:before="174" w:line="219" w:lineRule="auto"/>
        <w:ind w:left="399"/>
        <w:rPr>
          <w:sz w:val="20"/>
          <w:szCs w:val="20"/>
        </w:rPr>
      </w:pPr>
      <w:r>
        <w:rPr>
          <w:spacing w:val="-1"/>
          <w:sz w:val="20"/>
          <w:szCs w:val="20"/>
        </w:rPr>
        <w:t>机密性又称保密性，是指个人或团体的信息不为其他不应获</w:t>
      </w:r>
      <w:r>
        <w:rPr>
          <w:spacing w:val="-2"/>
          <w:sz w:val="20"/>
          <w:szCs w:val="20"/>
        </w:rPr>
        <w:t>得者获得。</w:t>
      </w:r>
    </w:p>
    <w:p w14:paraId="45FFB6DD">
      <w:pPr>
        <w:pStyle w:val="2"/>
        <w:spacing w:before="83" w:line="264" w:lineRule="auto"/>
        <w:ind w:right="282" w:firstLine="399"/>
        <w:rPr>
          <w:sz w:val="20"/>
          <w:szCs w:val="20"/>
        </w:rPr>
      </w:pPr>
      <w:r>
        <w:rPr>
          <w:spacing w:val="3"/>
          <w:sz w:val="20"/>
          <w:szCs w:val="20"/>
        </w:rPr>
        <w:t>许多软件包括邮件软件、网络浏览器等，都有保密性相关设定，用以维护用户资讯的保密</w:t>
      </w:r>
      <w:r>
        <w:rPr>
          <w:spacing w:val="14"/>
          <w:sz w:val="20"/>
          <w:szCs w:val="20"/>
        </w:rPr>
        <w:t xml:space="preserve"> </w:t>
      </w:r>
      <w:r>
        <w:rPr>
          <w:spacing w:val="-2"/>
          <w:sz w:val="20"/>
          <w:szCs w:val="20"/>
        </w:rPr>
        <w:t>性。间谍档案或黑客也有可能导致保密性的问题。</w:t>
      </w:r>
    </w:p>
    <w:p w14:paraId="2760BEED">
      <w:pPr>
        <w:pStyle w:val="2"/>
        <w:spacing w:before="125" w:line="221" w:lineRule="auto"/>
        <w:ind w:left="402"/>
        <w:rPr>
          <w:rFonts w:ascii="黑体" w:hAnsi="黑体" w:eastAsia="黑体" w:cs="黑体"/>
          <w:sz w:val="20"/>
          <w:szCs w:val="20"/>
        </w:rPr>
      </w:pPr>
      <w:r>
        <w:rPr>
          <w:b/>
          <w:bCs/>
          <w:color w:val="0070D3"/>
          <w:sz w:val="20"/>
          <w:szCs w:val="20"/>
        </w:rPr>
        <w:t>2.</w:t>
      </w:r>
      <w:r>
        <w:rPr>
          <w:rFonts w:ascii="黑体" w:hAnsi="黑体" w:eastAsia="黑体" w:cs="黑体"/>
          <w:b/>
          <w:bCs/>
          <w:color w:val="0070D3"/>
          <w:sz w:val="20"/>
          <w:szCs w:val="20"/>
        </w:rPr>
        <w:t>完整性</w:t>
      </w:r>
    </w:p>
    <w:p w14:paraId="455DFE49">
      <w:pPr>
        <w:pStyle w:val="2"/>
        <w:spacing w:before="145" w:line="264" w:lineRule="auto"/>
        <w:ind w:right="285" w:firstLine="399"/>
        <w:rPr>
          <w:sz w:val="20"/>
          <w:szCs w:val="20"/>
        </w:rPr>
      </w:pPr>
      <w:r>
        <w:rPr>
          <w:spacing w:val="3"/>
          <w:sz w:val="20"/>
          <w:szCs w:val="20"/>
        </w:rPr>
        <w:t>数据完整性是指在传输、存储信息或数据的过程中，确保信息或数据不被未授权地篡改或</w:t>
      </w:r>
      <w:r>
        <w:rPr>
          <w:spacing w:val="11"/>
          <w:sz w:val="20"/>
          <w:szCs w:val="20"/>
        </w:rPr>
        <w:t xml:space="preserve"> </w:t>
      </w:r>
      <w:r>
        <w:rPr>
          <w:spacing w:val="-3"/>
          <w:sz w:val="20"/>
          <w:szCs w:val="20"/>
        </w:rPr>
        <w:t>在篡改后能够被迅速发现。</w:t>
      </w:r>
    </w:p>
    <w:p w14:paraId="6F6C18BA">
      <w:pPr>
        <w:pStyle w:val="2"/>
        <w:spacing w:before="49" w:line="270" w:lineRule="auto"/>
        <w:ind w:right="266" w:firstLine="399"/>
        <w:jc w:val="both"/>
        <w:rPr>
          <w:sz w:val="20"/>
          <w:szCs w:val="20"/>
        </w:rPr>
      </w:pPr>
      <w:r>
        <w:rPr>
          <w:spacing w:val="2"/>
          <w:sz w:val="20"/>
          <w:szCs w:val="20"/>
        </w:rPr>
        <w:t>在信息安全领域，完整性和保密性的边界经常混淆。以普通</w:t>
      </w:r>
      <w:r>
        <w:rPr>
          <w:sz w:val="20"/>
          <w:szCs w:val="20"/>
        </w:rPr>
        <w:t>RSA</w:t>
      </w:r>
      <w:r>
        <w:rPr>
          <w:spacing w:val="58"/>
          <w:sz w:val="20"/>
          <w:szCs w:val="20"/>
        </w:rPr>
        <w:t xml:space="preserve"> </w:t>
      </w:r>
      <w:r>
        <w:rPr>
          <w:spacing w:val="2"/>
          <w:sz w:val="20"/>
          <w:szCs w:val="20"/>
        </w:rPr>
        <w:t>对数值信息加密为例，黑</w:t>
      </w:r>
      <w:r>
        <w:rPr>
          <w:sz w:val="20"/>
          <w:szCs w:val="20"/>
        </w:rPr>
        <w:t xml:space="preserve"> </w:t>
      </w:r>
      <w:r>
        <w:rPr>
          <w:spacing w:val="4"/>
          <w:sz w:val="20"/>
          <w:szCs w:val="20"/>
        </w:rPr>
        <w:t>客或恶意用户在没有获得密钥破解密文的情况下，可以</w:t>
      </w:r>
      <w:r>
        <w:rPr>
          <w:spacing w:val="3"/>
          <w:sz w:val="20"/>
          <w:szCs w:val="20"/>
        </w:rPr>
        <w:t>通过对密文进行线性运算，相应改变数</w:t>
      </w:r>
      <w:r>
        <w:rPr>
          <w:sz w:val="20"/>
          <w:szCs w:val="20"/>
        </w:rPr>
        <w:t xml:space="preserve"> </w:t>
      </w:r>
      <w:r>
        <w:rPr>
          <w:spacing w:val="7"/>
          <w:sz w:val="20"/>
          <w:szCs w:val="20"/>
        </w:rPr>
        <w:t>值信息的值。例如交易金额为</w:t>
      </w:r>
      <w:r>
        <w:rPr>
          <w:rFonts w:ascii="Times New Roman" w:hAnsi="Times New Roman" w:eastAsia="Times New Roman" w:cs="Times New Roman"/>
          <w:spacing w:val="7"/>
          <w:sz w:val="20"/>
          <w:szCs w:val="20"/>
        </w:rPr>
        <w:t xml:space="preserve">X </w:t>
      </w:r>
      <w:r>
        <w:rPr>
          <w:spacing w:val="7"/>
          <w:sz w:val="20"/>
          <w:szCs w:val="20"/>
        </w:rPr>
        <w:t>元，通过对密文乘2,可以使交易金额成为2</w:t>
      </w:r>
      <w:r>
        <w:rPr>
          <w:rFonts w:ascii="Times New Roman" w:hAnsi="Times New Roman" w:eastAsia="Times New Roman" w:cs="Times New Roman"/>
          <w:spacing w:val="7"/>
          <w:sz w:val="20"/>
          <w:szCs w:val="20"/>
        </w:rPr>
        <w:t>X</w:t>
      </w:r>
      <w:r>
        <w:rPr>
          <w:spacing w:val="7"/>
          <w:sz w:val="20"/>
          <w:szCs w:val="20"/>
        </w:rPr>
        <w:t>。为解决以上问</w:t>
      </w:r>
      <w:r>
        <w:rPr>
          <w:spacing w:val="2"/>
          <w:sz w:val="20"/>
          <w:szCs w:val="20"/>
        </w:rPr>
        <w:t xml:space="preserve"> </w:t>
      </w:r>
      <w:r>
        <w:rPr>
          <w:spacing w:val="-2"/>
          <w:sz w:val="20"/>
          <w:szCs w:val="20"/>
        </w:rPr>
        <w:t>题，通常使用数字签名或散列函数对密文进行保护。</w:t>
      </w:r>
    </w:p>
    <w:p w14:paraId="24D31A7A">
      <w:pPr>
        <w:pStyle w:val="2"/>
        <w:spacing w:before="125" w:line="222" w:lineRule="auto"/>
        <w:ind w:left="402"/>
        <w:rPr>
          <w:rFonts w:ascii="黑体" w:hAnsi="黑体" w:eastAsia="黑体" w:cs="黑体"/>
          <w:sz w:val="20"/>
          <w:szCs w:val="20"/>
        </w:rPr>
      </w:pPr>
      <w:r>
        <w:rPr>
          <w:b/>
          <w:bCs/>
          <w:color w:val="1C8CD7"/>
          <w:spacing w:val="3"/>
          <w:sz w:val="20"/>
          <w:szCs w:val="20"/>
        </w:rPr>
        <w:t>3.</w:t>
      </w:r>
      <w:r>
        <w:rPr>
          <w:rFonts w:ascii="黑体" w:hAnsi="黑体" w:eastAsia="黑体" w:cs="黑体"/>
          <w:b/>
          <w:bCs/>
          <w:color w:val="1C8CD7"/>
          <w:spacing w:val="3"/>
          <w:sz w:val="20"/>
          <w:szCs w:val="20"/>
        </w:rPr>
        <w:t>可用性</w:t>
      </w:r>
    </w:p>
    <w:p w14:paraId="1D292198">
      <w:pPr>
        <w:pStyle w:val="2"/>
        <w:spacing w:before="153" w:line="277" w:lineRule="auto"/>
        <w:ind w:right="278" w:firstLine="399"/>
        <w:jc w:val="both"/>
        <w:rPr>
          <w:sz w:val="20"/>
          <w:szCs w:val="20"/>
        </w:rPr>
      </w:pPr>
      <w:r>
        <w:rPr>
          <w:spacing w:val="3"/>
          <w:sz w:val="20"/>
          <w:szCs w:val="20"/>
        </w:rPr>
        <w:t>数据可用性是一种以使用者为中心的设计概念，其设计的重点在于让产品的设计能够符合</w:t>
      </w:r>
      <w:r>
        <w:rPr>
          <w:spacing w:val="10"/>
          <w:sz w:val="20"/>
          <w:szCs w:val="20"/>
        </w:rPr>
        <w:t xml:space="preserve"> </w:t>
      </w:r>
      <w:r>
        <w:rPr>
          <w:spacing w:val="3"/>
          <w:sz w:val="20"/>
          <w:szCs w:val="20"/>
        </w:rPr>
        <w:t>使用者的习惯与需求。以互联网网站为例，设计人员希望让使用者在浏览过程中不会产生压力</w:t>
      </w:r>
      <w:r>
        <w:rPr>
          <w:spacing w:val="13"/>
          <w:sz w:val="20"/>
          <w:szCs w:val="20"/>
        </w:rPr>
        <w:t xml:space="preserve"> </w:t>
      </w:r>
      <w:r>
        <w:rPr>
          <w:spacing w:val="-1"/>
          <w:sz w:val="20"/>
          <w:szCs w:val="20"/>
        </w:rPr>
        <w:t>或感到挫折，并让使用者在使用网站功能时，能够用最少的努力发挥最大</w:t>
      </w:r>
      <w:r>
        <w:rPr>
          <w:spacing w:val="-2"/>
          <w:sz w:val="20"/>
          <w:szCs w:val="20"/>
        </w:rPr>
        <w:t>的效能。</w:t>
      </w:r>
    </w:p>
    <w:p w14:paraId="2D9F1FDD">
      <w:pPr>
        <w:pStyle w:val="2"/>
        <w:spacing w:before="1" w:line="277" w:lineRule="auto"/>
        <w:ind w:right="214" w:firstLine="399"/>
        <w:jc w:val="both"/>
        <w:rPr>
          <w:sz w:val="20"/>
          <w:szCs w:val="20"/>
        </w:rPr>
      </w:pPr>
      <w:r>
        <w:rPr>
          <w:spacing w:val="1"/>
          <w:sz w:val="20"/>
          <w:szCs w:val="20"/>
        </w:rPr>
        <w:t xml:space="preserve">人们对信息安全的认识经历了三个比较显著的发展阶段： </w:t>
      </w:r>
      <w:r>
        <w:rPr>
          <w:sz w:val="20"/>
          <w:szCs w:val="20"/>
        </w:rPr>
        <w:t xml:space="preserve">一是数据安全初级阶段，强调保 </w:t>
      </w:r>
      <w:r>
        <w:rPr>
          <w:spacing w:val="5"/>
          <w:sz w:val="20"/>
          <w:szCs w:val="20"/>
        </w:rPr>
        <w:t>密通信，实现数据传输加解密；二是网络信息安全时代，强调网络环境；三是信</w:t>
      </w:r>
      <w:r>
        <w:rPr>
          <w:spacing w:val="4"/>
          <w:sz w:val="20"/>
          <w:szCs w:val="20"/>
        </w:rPr>
        <w:t>息保障时代，</w:t>
      </w:r>
      <w:r>
        <w:rPr>
          <w:sz w:val="20"/>
          <w:szCs w:val="20"/>
        </w:rPr>
        <w:t xml:space="preserve"> </w:t>
      </w:r>
      <w:r>
        <w:rPr>
          <w:spacing w:val="-1"/>
          <w:sz w:val="20"/>
          <w:szCs w:val="20"/>
        </w:rPr>
        <w:t>强调不能被动地保护，需要实现“保护一检测一反应—恢复”四个环节的多重安全保</w:t>
      </w:r>
      <w:r>
        <w:rPr>
          <w:spacing w:val="-2"/>
          <w:sz w:val="20"/>
          <w:szCs w:val="20"/>
        </w:rPr>
        <w:t>障。</w:t>
      </w:r>
    </w:p>
    <w:p w14:paraId="042CE3B3">
      <w:pPr>
        <w:spacing w:line="277" w:lineRule="auto"/>
        <w:rPr>
          <w:sz w:val="20"/>
          <w:szCs w:val="20"/>
        </w:rPr>
        <w:sectPr>
          <w:pgSz w:w="10280" w:h="13330"/>
          <w:pgMar w:top="370" w:right="534" w:bottom="400" w:left="1129" w:header="0" w:footer="0" w:gutter="0"/>
          <w:cols w:space="720" w:num="1"/>
        </w:sectPr>
      </w:pPr>
    </w:p>
    <w:p w14:paraId="56B6ADDD">
      <w:pPr>
        <w:pStyle w:val="2"/>
        <w:spacing w:before="58" w:line="219" w:lineRule="auto"/>
        <w:rPr>
          <w:sz w:val="20"/>
          <w:szCs w:val="20"/>
        </w:rPr>
      </w:pPr>
      <w:r>
        <w:rPr>
          <w:rFonts w:ascii="Times New Roman" w:hAnsi="Times New Roman" w:eastAsia="Times New Roman" w:cs="Times New Roman"/>
          <w:spacing w:val="-1"/>
          <w:sz w:val="20"/>
          <w:szCs w:val="20"/>
        </w:rPr>
        <w:t xml:space="preserve">190             </w:t>
      </w:r>
      <w:r>
        <w:rPr>
          <w:spacing w:val="-1"/>
          <w:sz w:val="20"/>
          <w:szCs w:val="20"/>
        </w:rPr>
        <w:t>信息系统监理师教程(第2版)</w:t>
      </w:r>
    </w:p>
    <w:p w14:paraId="305F9D47">
      <w:pPr>
        <w:spacing w:line="308" w:lineRule="auto"/>
        <w:rPr>
          <w:rFonts w:ascii="Arial"/>
          <w:sz w:val="21"/>
        </w:rPr>
      </w:pPr>
    </w:p>
    <w:p w14:paraId="29559C8A">
      <w:pPr>
        <w:pStyle w:val="2"/>
        <w:spacing w:before="81" w:line="219" w:lineRule="auto"/>
        <w:ind w:left="322"/>
        <w:rPr>
          <w:sz w:val="25"/>
          <w:szCs w:val="25"/>
        </w:rPr>
      </w:pPr>
      <w:bookmarkStart w:id="580" w:name="bookmark565"/>
      <w:bookmarkEnd w:id="580"/>
      <w:r>
        <w:rPr>
          <w:b/>
          <w:bCs/>
          <w:color w:val="0071D5"/>
          <w:spacing w:val="-16"/>
          <w:sz w:val="25"/>
          <w:szCs w:val="25"/>
        </w:rPr>
        <w:t>6.7.3</w:t>
      </w:r>
      <w:r>
        <w:rPr>
          <w:color w:val="0071D5"/>
          <w:spacing w:val="-16"/>
          <w:sz w:val="25"/>
          <w:szCs w:val="25"/>
        </w:rPr>
        <w:t xml:space="preserve">  </w:t>
      </w:r>
      <w:r>
        <w:rPr>
          <w:b/>
          <w:bCs/>
          <w:color w:val="0071D5"/>
          <w:spacing w:val="-16"/>
          <w:sz w:val="25"/>
          <w:szCs w:val="25"/>
        </w:rPr>
        <w:t>数据安全主要防护技术</w:t>
      </w:r>
    </w:p>
    <w:p w14:paraId="54335BCB">
      <w:pPr>
        <w:pStyle w:val="2"/>
        <w:spacing w:before="270" w:line="222" w:lineRule="auto"/>
        <w:ind w:left="732"/>
        <w:rPr>
          <w:rFonts w:ascii="黑体" w:hAnsi="黑体" w:eastAsia="黑体" w:cs="黑体"/>
          <w:sz w:val="20"/>
          <w:szCs w:val="20"/>
        </w:rPr>
      </w:pPr>
      <w:r>
        <w:rPr>
          <w:b/>
          <w:bCs/>
          <w:color w:val="0082D9"/>
          <w:spacing w:val="-4"/>
          <w:sz w:val="20"/>
          <w:szCs w:val="20"/>
        </w:rPr>
        <w:t>1.</w:t>
      </w:r>
      <w:r>
        <w:rPr>
          <w:rFonts w:ascii="黑体" w:hAnsi="黑体" w:eastAsia="黑体" w:cs="黑体"/>
          <w:b/>
          <w:bCs/>
          <w:color w:val="0082D9"/>
          <w:spacing w:val="-4"/>
          <w:sz w:val="20"/>
          <w:szCs w:val="20"/>
        </w:rPr>
        <w:t>数据安全风险分析</w:t>
      </w:r>
    </w:p>
    <w:p w14:paraId="244078A3">
      <w:pPr>
        <w:pStyle w:val="2"/>
        <w:spacing w:before="152" w:line="219" w:lineRule="auto"/>
        <w:ind w:left="729"/>
        <w:rPr>
          <w:sz w:val="20"/>
          <w:szCs w:val="20"/>
        </w:rPr>
      </w:pPr>
      <w:r>
        <w:rPr>
          <w:spacing w:val="-2"/>
          <w:sz w:val="20"/>
          <w:szCs w:val="20"/>
        </w:rPr>
        <w:t>威胁数据安全的因素有很多，主要有以下几种常见情</w:t>
      </w:r>
      <w:r>
        <w:rPr>
          <w:spacing w:val="-3"/>
          <w:sz w:val="20"/>
          <w:szCs w:val="20"/>
        </w:rPr>
        <w:t>形：</w:t>
      </w:r>
    </w:p>
    <w:p w14:paraId="6F029808">
      <w:pPr>
        <w:pStyle w:val="2"/>
        <w:spacing w:before="63" w:line="266" w:lineRule="auto"/>
        <w:ind w:left="319" w:right="30" w:firstLine="410"/>
        <w:rPr>
          <w:sz w:val="20"/>
          <w:szCs w:val="20"/>
        </w:rPr>
      </w:pPr>
      <w:r>
        <w:rPr>
          <w:spacing w:val="5"/>
          <w:sz w:val="20"/>
          <w:szCs w:val="20"/>
        </w:rPr>
        <w:t>(1)硬盘驱动器损坏。</w:t>
      </w:r>
      <w:r>
        <w:rPr>
          <w:spacing w:val="-55"/>
          <w:sz w:val="20"/>
          <w:szCs w:val="20"/>
        </w:rPr>
        <w:t xml:space="preserve"> </w:t>
      </w:r>
      <w:r>
        <w:rPr>
          <w:spacing w:val="5"/>
          <w:sz w:val="20"/>
          <w:szCs w:val="20"/>
        </w:rPr>
        <w:t>一个硬盘驱动器的物理损</w:t>
      </w:r>
      <w:r>
        <w:rPr>
          <w:spacing w:val="4"/>
          <w:sz w:val="20"/>
          <w:szCs w:val="20"/>
        </w:rPr>
        <w:t>坏意味着数据丢失。设备的运行损耗、存</w:t>
      </w:r>
      <w:r>
        <w:rPr>
          <w:sz w:val="20"/>
          <w:szCs w:val="20"/>
        </w:rPr>
        <w:t xml:space="preserve"> </w:t>
      </w:r>
      <w:r>
        <w:rPr>
          <w:spacing w:val="-1"/>
          <w:sz w:val="20"/>
          <w:szCs w:val="20"/>
        </w:rPr>
        <w:t>储介质失效、运行环境以及人为的破坏等，都能对硬盘驱动器设备造成影</w:t>
      </w:r>
      <w:r>
        <w:rPr>
          <w:spacing w:val="-2"/>
          <w:sz w:val="20"/>
          <w:szCs w:val="20"/>
        </w:rPr>
        <w:t>响。</w:t>
      </w:r>
    </w:p>
    <w:p w14:paraId="08AC3954">
      <w:pPr>
        <w:pStyle w:val="2"/>
        <w:spacing w:before="74" w:line="252" w:lineRule="auto"/>
        <w:ind w:left="319" w:right="29" w:firstLine="410"/>
        <w:rPr>
          <w:sz w:val="20"/>
          <w:szCs w:val="20"/>
        </w:rPr>
      </w:pPr>
      <w:r>
        <w:rPr>
          <w:spacing w:val="6"/>
          <w:sz w:val="20"/>
          <w:szCs w:val="20"/>
        </w:rPr>
        <w:t>(2)人为错误。由于操作失误，使用者可能会误删除系统的重</w:t>
      </w:r>
      <w:r>
        <w:rPr>
          <w:spacing w:val="5"/>
          <w:sz w:val="20"/>
          <w:szCs w:val="20"/>
        </w:rPr>
        <w:t>要文件，或者修改影响系统</w:t>
      </w:r>
      <w:r>
        <w:rPr>
          <w:sz w:val="20"/>
          <w:szCs w:val="20"/>
        </w:rPr>
        <w:t xml:space="preserve"> </w:t>
      </w:r>
      <w:r>
        <w:rPr>
          <w:spacing w:val="-1"/>
          <w:sz w:val="20"/>
          <w:szCs w:val="20"/>
        </w:rPr>
        <w:t>运行的参数，以及没有按照规定要求或操作</w:t>
      </w:r>
      <w:r>
        <w:rPr>
          <w:spacing w:val="-2"/>
          <w:sz w:val="20"/>
          <w:szCs w:val="20"/>
        </w:rPr>
        <w:t>不当导致系统宕机。</w:t>
      </w:r>
    </w:p>
    <w:p w14:paraId="366D90B6">
      <w:pPr>
        <w:pStyle w:val="2"/>
        <w:spacing w:before="74" w:line="262" w:lineRule="auto"/>
        <w:ind w:left="319" w:right="58" w:firstLine="410"/>
        <w:rPr>
          <w:sz w:val="20"/>
          <w:szCs w:val="20"/>
        </w:rPr>
      </w:pPr>
      <w:r>
        <w:rPr>
          <w:spacing w:val="5"/>
          <w:sz w:val="20"/>
          <w:szCs w:val="20"/>
        </w:rPr>
        <w:t>(3)黑客攻击。入侵者通过网络远程入侵系统，造成黑客攻击的原因很多，如系统技术防</w:t>
      </w:r>
      <w:r>
        <w:rPr>
          <w:sz w:val="20"/>
          <w:szCs w:val="20"/>
        </w:rPr>
        <w:t xml:space="preserve"> </w:t>
      </w:r>
      <w:r>
        <w:rPr>
          <w:spacing w:val="-2"/>
          <w:sz w:val="20"/>
          <w:szCs w:val="20"/>
        </w:rPr>
        <w:t>范不到位、存在安全漏洞、管理措施不力等。</w:t>
      </w:r>
    </w:p>
    <w:p w14:paraId="00C19C4C">
      <w:pPr>
        <w:pStyle w:val="2"/>
        <w:spacing w:before="71" w:line="257" w:lineRule="auto"/>
        <w:ind w:left="319" w:right="60" w:firstLine="410"/>
        <w:rPr>
          <w:sz w:val="20"/>
          <w:szCs w:val="20"/>
        </w:rPr>
      </w:pPr>
      <w:r>
        <w:rPr>
          <w:spacing w:val="5"/>
          <w:sz w:val="20"/>
          <w:szCs w:val="20"/>
        </w:rPr>
        <w:t>(4)病毒侵害。因感染计算机病毒而破坏计算机系统、造成重大损失的事件屡屡发</w:t>
      </w:r>
      <w:r>
        <w:rPr>
          <w:spacing w:val="4"/>
          <w:sz w:val="20"/>
          <w:szCs w:val="20"/>
        </w:rPr>
        <w:t>生。计</w:t>
      </w:r>
      <w:r>
        <w:rPr>
          <w:sz w:val="20"/>
          <w:szCs w:val="20"/>
        </w:rPr>
        <w:t xml:space="preserve"> </w:t>
      </w:r>
      <w:r>
        <w:rPr>
          <w:spacing w:val="-2"/>
          <w:sz w:val="20"/>
          <w:szCs w:val="20"/>
        </w:rPr>
        <w:t>算机病毒的复制能力强，感染性强，特别是在网络环境下，传播速度</w:t>
      </w:r>
      <w:r>
        <w:rPr>
          <w:spacing w:val="-3"/>
          <w:sz w:val="20"/>
          <w:szCs w:val="20"/>
        </w:rPr>
        <w:t>更快。</w:t>
      </w:r>
    </w:p>
    <w:p w14:paraId="0EBDB514">
      <w:pPr>
        <w:pStyle w:val="2"/>
        <w:spacing w:before="83" w:line="219" w:lineRule="auto"/>
        <w:ind w:left="729"/>
        <w:rPr>
          <w:sz w:val="20"/>
          <w:szCs w:val="20"/>
        </w:rPr>
      </w:pPr>
      <w:r>
        <w:rPr>
          <w:spacing w:val="1"/>
          <w:sz w:val="20"/>
          <w:szCs w:val="20"/>
        </w:rPr>
        <w:t>(5)信息窃取。从计算机上复制、删除信息或干脆把计算机偷走。</w:t>
      </w:r>
    </w:p>
    <w:p w14:paraId="64CBAB29">
      <w:pPr>
        <w:pStyle w:val="2"/>
        <w:spacing w:before="75" w:line="220" w:lineRule="auto"/>
        <w:ind w:left="729"/>
        <w:rPr>
          <w:sz w:val="20"/>
          <w:szCs w:val="20"/>
        </w:rPr>
      </w:pPr>
      <w:r>
        <w:rPr>
          <w:spacing w:val="7"/>
          <w:sz w:val="20"/>
          <w:szCs w:val="20"/>
        </w:rPr>
        <w:t>(6)自然灾害。</w:t>
      </w:r>
    </w:p>
    <w:p w14:paraId="3A911C54">
      <w:pPr>
        <w:pStyle w:val="2"/>
        <w:spacing w:before="80" w:line="249" w:lineRule="auto"/>
        <w:ind w:left="319" w:right="27" w:firstLine="410"/>
        <w:rPr>
          <w:sz w:val="20"/>
          <w:szCs w:val="20"/>
        </w:rPr>
      </w:pPr>
      <w:r>
        <w:rPr>
          <w:spacing w:val="6"/>
          <w:sz w:val="20"/>
          <w:szCs w:val="20"/>
        </w:rPr>
        <w:t>(7)电源故障。电源供给系统故障，例如一个瞬间过载功率会使硬</w:t>
      </w:r>
      <w:r>
        <w:rPr>
          <w:spacing w:val="5"/>
          <w:sz w:val="20"/>
          <w:szCs w:val="20"/>
        </w:rPr>
        <w:t>盘或存储设备上的数据</w:t>
      </w:r>
      <w:r>
        <w:rPr>
          <w:sz w:val="20"/>
          <w:szCs w:val="20"/>
        </w:rPr>
        <w:t xml:space="preserve"> 遭到破坏。</w:t>
      </w:r>
    </w:p>
    <w:p w14:paraId="0B855B2D">
      <w:pPr>
        <w:pStyle w:val="2"/>
        <w:spacing w:before="80" w:line="219" w:lineRule="auto"/>
        <w:ind w:left="729"/>
        <w:rPr>
          <w:sz w:val="20"/>
          <w:szCs w:val="20"/>
        </w:rPr>
      </w:pPr>
      <w:r>
        <w:rPr>
          <w:spacing w:val="1"/>
          <w:sz w:val="20"/>
          <w:szCs w:val="20"/>
        </w:rPr>
        <w:t>(8)电磁干扰。重要的数据接触到有磁性的物质，可能造成计算机数据被破坏。</w:t>
      </w:r>
    </w:p>
    <w:p w14:paraId="506AA2AE">
      <w:pPr>
        <w:pStyle w:val="2"/>
        <w:spacing w:before="179" w:line="221" w:lineRule="auto"/>
        <w:ind w:left="732"/>
        <w:rPr>
          <w:rFonts w:ascii="黑体" w:hAnsi="黑体" w:eastAsia="黑体" w:cs="黑体"/>
          <w:sz w:val="20"/>
          <w:szCs w:val="20"/>
        </w:rPr>
      </w:pPr>
      <w:r>
        <w:rPr>
          <w:b/>
          <w:bCs/>
          <w:color w:val="0078BE"/>
          <w:spacing w:val="-1"/>
          <w:sz w:val="20"/>
          <w:szCs w:val="20"/>
        </w:rPr>
        <w:t>2.</w:t>
      </w:r>
      <w:r>
        <w:rPr>
          <w:rFonts w:ascii="黑体" w:hAnsi="黑体" w:eastAsia="黑体" w:cs="黑体"/>
          <w:b/>
          <w:bCs/>
          <w:color w:val="0078BE"/>
          <w:spacing w:val="-1"/>
          <w:sz w:val="20"/>
          <w:szCs w:val="20"/>
        </w:rPr>
        <w:t>主要防护技术</w:t>
      </w:r>
    </w:p>
    <w:p w14:paraId="55702681">
      <w:pPr>
        <w:pStyle w:val="2"/>
        <w:spacing w:before="145" w:line="263" w:lineRule="auto"/>
        <w:ind w:left="319" w:right="20" w:firstLine="410"/>
        <w:rPr>
          <w:sz w:val="20"/>
          <w:szCs w:val="20"/>
        </w:rPr>
      </w:pPr>
      <w:r>
        <w:rPr>
          <w:spacing w:val="-1"/>
          <w:sz w:val="20"/>
          <w:szCs w:val="20"/>
        </w:rPr>
        <w:t>计算机存储的信息越来越多、越来越重要，为防止计算机中的数据意外丢失，</w:t>
      </w:r>
      <w:r>
        <w:rPr>
          <w:spacing w:val="76"/>
          <w:sz w:val="20"/>
          <w:szCs w:val="20"/>
        </w:rPr>
        <w:t xml:space="preserve"> </w:t>
      </w:r>
      <w:r>
        <w:rPr>
          <w:spacing w:val="-1"/>
          <w:sz w:val="20"/>
          <w:szCs w:val="20"/>
        </w:rPr>
        <w:t>一般都用多</w:t>
      </w:r>
      <w:r>
        <w:rPr>
          <w:sz w:val="20"/>
          <w:szCs w:val="20"/>
        </w:rPr>
        <w:t xml:space="preserve"> </w:t>
      </w:r>
      <w:r>
        <w:rPr>
          <w:spacing w:val="-2"/>
          <w:sz w:val="20"/>
          <w:szCs w:val="20"/>
        </w:rPr>
        <w:t>种安全防护技术或手段来确保数据安全，常用的数据防护机制包括：</w:t>
      </w:r>
    </w:p>
    <w:p w14:paraId="159B1A9E">
      <w:pPr>
        <w:pStyle w:val="2"/>
        <w:spacing w:before="42" w:line="264" w:lineRule="auto"/>
        <w:ind w:left="319" w:right="60" w:firstLine="410"/>
        <w:rPr>
          <w:sz w:val="20"/>
          <w:szCs w:val="20"/>
        </w:rPr>
      </w:pPr>
      <w:r>
        <w:rPr>
          <w:spacing w:val="5"/>
          <w:sz w:val="20"/>
          <w:szCs w:val="20"/>
        </w:rPr>
        <w:t>(1)磁盘阵列。磁盘阵列是指把多个类型、容量、接口甚至品牌一致的专用磁盘或</w:t>
      </w:r>
      <w:r>
        <w:rPr>
          <w:spacing w:val="4"/>
          <w:sz w:val="20"/>
          <w:szCs w:val="20"/>
        </w:rPr>
        <w:t>普通硬</w:t>
      </w:r>
      <w:r>
        <w:rPr>
          <w:sz w:val="20"/>
          <w:szCs w:val="20"/>
        </w:rPr>
        <w:t xml:space="preserve"> </w:t>
      </w:r>
      <w:r>
        <w:rPr>
          <w:spacing w:val="3"/>
          <w:sz w:val="20"/>
          <w:szCs w:val="20"/>
        </w:rPr>
        <w:t>盘连成一个阵列，使其以更快的速度、准确、安全的方式</w:t>
      </w:r>
      <w:r>
        <w:rPr>
          <w:spacing w:val="2"/>
          <w:sz w:val="20"/>
          <w:szCs w:val="20"/>
        </w:rPr>
        <w:t>读写磁盘数据，从而提升数据读取速</w:t>
      </w:r>
      <w:r>
        <w:rPr>
          <w:sz w:val="20"/>
          <w:szCs w:val="20"/>
        </w:rPr>
        <w:t xml:space="preserve"> </w:t>
      </w:r>
      <w:r>
        <w:rPr>
          <w:spacing w:val="-3"/>
          <w:sz w:val="20"/>
          <w:szCs w:val="20"/>
        </w:rPr>
        <w:t>度和安全性的一种手段。</w:t>
      </w:r>
    </w:p>
    <w:p w14:paraId="6B669FA7">
      <w:pPr>
        <w:pStyle w:val="2"/>
        <w:spacing w:before="91" w:line="219" w:lineRule="auto"/>
        <w:ind w:right="19"/>
        <w:jc w:val="right"/>
        <w:rPr>
          <w:sz w:val="20"/>
          <w:szCs w:val="20"/>
        </w:rPr>
      </w:pPr>
      <w:r>
        <w:rPr>
          <w:spacing w:val="1"/>
          <w:sz w:val="20"/>
          <w:szCs w:val="20"/>
        </w:rPr>
        <w:t>(2)数据备份。备份管理包括备份的可计划性、自动化操作、历史记录的保存或日志</w:t>
      </w:r>
      <w:r>
        <w:rPr>
          <w:sz w:val="20"/>
          <w:szCs w:val="20"/>
        </w:rPr>
        <w:t>记录。</w:t>
      </w:r>
    </w:p>
    <w:p w14:paraId="37778DB2">
      <w:pPr>
        <w:pStyle w:val="2"/>
        <w:spacing w:before="71" w:line="270" w:lineRule="auto"/>
        <w:ind w:left="319" w:right="60" w:firstLine="410"/>
        <w:rPr>
          <w:sz w:val="20"/>
          <w:szCs w:val="20"/>
        </w:rPr>
      </w:pPr>
      <w:r>
        <w:rPr>
          <w:spacing w:val="5"/>
          <w:sz w:val="20"/>
          <w:szCs w:val="20"/>
        </w:rPr>
        <w:t>(3)双机容错。双机容错的目的在于保证系统数据和服务的在线性，即当某一系统</w:t>
      </w:r>
      <w:r>
        <w:rPr>
          <w:spacing w:val="4"/>
          <w:sz w:val="20"/>
          <w:szCs w:val="20"/>
        </w:rPr>
        <w:t>发生故</w:t>
      </w:r>
      <w:r>
        <w:rPr>
          <w:sz w:val="20"/>
          <w:szCs w:val="20"/>
        </w:rPr>
        <w:t xml:space="preserve"> </w:t>
      </w:r>
      <w:r>
        <w:rPr>
          <w:spacing w:val="3"/>
          <w:sz w:val="20"/>
          <w:szCs w:val="20"/>
        </w:rPr>
        <w:t>障时，仍然能够正常地向网络系统提供数据和服务，使系</w:t>
      </w:r>
      <w:r>
        <w:rPr>
          <w:spacing w:val="2"/>
          <w:sz w:val="20"/>
          <w:szCs w:val="20"/>
        </w:rPr>
        <w:t>统不至于停顿。双机容错是为了保证</w:t>
      </w:r>
      <w:r>
        <w:rPr>
          <w:sz w:val="20"/>
          <w:szCs w:val="20"/>
        </w:rPr>
        <w:t xml:space="preserve"> </w:t>
      </w:r>
      <w:r>
        <w:rPr>
          <w:spacing w:val="-5"/>
          <w:sz w:val="20"/>
          <w:szCs w:val="20"/>
        </w:rPr>
        <w:t>数据不丢失和系统不停机。</w:t>
      </w:r>
    </w:p>
    <w:p w14:paraId="3E0F13EA">
      <w:pPr>
        <w:pStyle w:val="2"/>
        <w:spacing w:before="43" w:line="270" w:lineRule="auto"/>
        <w:ind w:left="319" w:right="58" w:firstLine="410"/>
        <w:rPr>
          <w:sz w:val="20"/>
          <w:szCs w:val="20"/>
        </w:rPr>
      </w:pPr>
      <w:r>
        <w:rPr>
          <w:spacing w:val="6"/>
          <w:sz w:val="20"/>
          <w:szCs w:val="20"/>
        </w:rPr>
        <w:t>(4)网络附加存储</w:t>
      </w:r>
      <w:r>
        <w:rPr>
          <w:spacing w:val="-47"/>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NAS</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2"/>
          <w:sz w:val="20"/>
          <w:szCs w:val="20"/>
        </w:rPr>
        <w:t xml:space="preserve"> </w:t>
      </w:r>
      <w:r>
        <w:rPr>
          <w:spacing w:val="6"/>
          <w:sz w:val="20"/>
          <w:szCs w:val="20"/>
        </w:rPr>
        <w:t>。</w:t>
      </w:r>
      <w:r>
        <w:rPr>
          <w:rFonts w:ascii="Times New Roman" w:hAnsi="Times New Roman" w:eastAsia="Times New Roman" w:cs="Times New Roman"/>
          <w:sz w:val="20"/>
          <w:szCs w:val="20"/>
        </w:rPr>
        <w:t>NAS</w:t>
      </w:r>
      <w:r>
        <w:rPr>
          <w:rFonts w:ascii="Times New Roman" w:hAnsi="Times New Roman" w:eastAsia="Times New Roman" w:cs="Times New Roman"/>
          <w:spacing w:val="6"/>
          <w:sz w:val="20"/>
          <w:szCs w:val="20"/>
        </w:rPr>
        <w:t xml:space="preserve">   </w:t>
      </w:r>
      <w:r>
        <w:rPr>
          <w:spacing w:val="6"/>
          <w:sz w:val="20"/>
          <w:szCs w:val="20"/>
        </w:rPr>
        <w:t>解决方案通常配置为作为文件服务的设备，由工作站或</w:t>
      </w:r>
      <w:r>
        <w:rPr>
          <w:sz w:val="20"/>
          <w:szCs w:val="20"/>
        </w:rPr>
        <w:t xml:space="preserve"> </w:t>
      </w:r>
      <w:r>
        <w:rPr>
          <w:spacing w:val="5"/>
          <w:sz w:val="20"/>
          <w:szCs w:val="20"/>
        </w:rPr>
        <w:t>服务器通过网络协议和应用程序来进行文件访</w:t>
      </w:r>
      <w:r>
        <w:rPr>
          <w:spacing w:val="4"/>
          <w:sz w:val="20"/>
          <w:szCs w:val="20"/>
        </w:rPr>
        <w:t>问，大多数</w:t>
      </w:r>
      <w:r>
        <w:rPr>
          <w:rFonts w:ascii="Times New Roman" w:hAnsi="Times New Roman" w:eastAsia="Times New Roman" w:cs="Times New Roman"/>
          <w:sz w:val="20"/>
          <w:szCs w:val="20"/>
        </w:rPr>
        <w:t>NAS</w:t>
      </w:r>
      <w:r>
        <w:rPr>
          <w:rFonts w:ascii="Times New Roman" w:hAnsi="Times New Roman" w:eastAsia="Times New Roman" w:cs="Times New Roman"/>
          <w:spacing w:val="17"/>
          <w:w w:val="101"/>
          <w:sz w:val="20"/>
          <w:szCs w:val="20"/>
        </w:rPr>
        <w:t xml:space="preserve"> </w:t>
      </w:r>
      <w:r>
        <w:rPr>
          <w:spacing w:val="4"/>
          <w:sz w:val="20"/>
          <w:szCs w:val="20"/>
        </w:rPr>
        <w:t>链接在工作站客户机和</w:t>
      </w:r>
      <w:r>
        <w:rPr>
          <w:rFonts w:ascii="Times New Roman" w:hAnsi="Times New Roman" w:eastAsia="Times New Roman" w:cs="Times New Roman"/>
          <w:sz w:val="20"/>
          <w:szCs w:val="20"/>
        </w:rPr>
        <w:t>NAS</w:t>
      </w:r>
      <w:r>
        <w:rPr>
          <w:rFonts w:ascii="Times New Roman" w:hAnsi="Times New Roman" w:eastAsia="Times New Roman" w:cs="Times New Roman"/>
          <w:spacing w:val="27"/>
          <w:w w:val="101"/>
          <w:sz w:val="20"/>
          <w:szCs w:val="20"/>
        </w:rPr>
        <w:t xml:space="preserve"> </w:t>
      </w:r>
      <w:r>
        <w:rPr>
          <w:spacing w:val="4"/>
          <w:sz w:val="20"/>
          <w:szCs w:val="20"/>
        </w:rPr>
        <w:t>文</w:t>
      </w:r>
      <w:r>
        <w:rPr>
          <w:sz w:val="20"/>
          <w:szCs w:val="20"/>
        </w:rPr>
        <w:t xml:space="preserve"> </w:t>
      </w:r>
      <w:r>
        <w:rPr>
          <w:spacing w:val="-1"/>
          <w:sz w:val="20"/>
          <w:szCs w:val="20"/>
        </w:rPr>
        <w:t>件共享设备之间进行。这些链接依赖于企业的网络基础设施来正</w:t>
      </w:r>
      <w:r>
        <w:rPr>
          <w:spacing w:val="-2"/>
          <w:sz w:val="20"/>
          <w:szCs w:val="20"/>
        </w:rPr>
        <w:t>常运行。</w:t>
      </w:r>
    </w:p>
    <w:p w14:paraId="45FA7328">
      <w:pPr>
        <w:pStyle w:val="2"/>
        <w:spacing w:before="73" w:line="263" w:lineRule="auto"/>
        <w:ind w:left="319" w:right="50" w:firstLine="410"/>
        <w:rPr>
          <w:sz w:val="20"/>
          <w:szCs w:val="20"/>
        </w:rPr>
      </w:pPr>
      <w:r>
        <w:rPr>
          <w:spacing w:val="5"/>
          <w:sz w:val="20"/>
          <w:szCs w:val="20"/>
        </w:rPr>
        <w:t>(5)数据迁移。由在线存储设备和离线存储设备共同构成一个协调工作的存储系统，该系</w:t>
      </w:r>
      <w:r>
        <w:rPr>
          <w:spacing w:val="7"/>
          <w:sz w:val="20"/>
          <w:szCs w:val="20"/>
        </w:rPr>
        <w:t xml:space="preserve"> </w:t>
      </w:r>
      <w:r>
        <w:rPr>
          <w:spacing w:val="3"/>
          <w:sz w:val="20"/>
          <w:szCs w:val="20"/>
        </w:rPr>
        <w:t>统在在线存储和离线存储设备间动态地管理数据，使得访问频率</w:t>
      </w:r>
      <w:r>
        <w:rPr>
          <w:spacing w:val="2"/>
          <w:sz w:val="20"/>
          <w:szCs w:val="20"/>
        </w:rPr>
        <w:t>高的数据存放于性能较高的在</w:t>
      </w:r>
      <w:r>
        <w:rPr>
          <w:sz w:val="20"/>
          <w:szCs w:val="20"/>
        </w:rPr>
        <w:t xml:space="preserve"> </w:t>
      </w:r>
      <w:r>
        <w:rPr>
          <w:spacing w:val="-1"/>
          <w:sz w:val="20"/>
          <w:szCs w:val="20"/>
        </w:rPr>
        <w:t>线存储设备中，而访问频率低的数据存放于较为廉价的离</w:t>
      </w:r>
      <w:r>
        <w:rPr>
          <w:spacing w:val="-2"/>
          <w:sz w:val="20"/>
          <w:szCs w:val="20"/>
        </w:rPr>
        <w:t>线存储设备中。</w:t>
      </w:r>
    </w:p>
    <w:p w14:paraId="3B0174DD">
      <w:pPr>
        <w:pStyle w:val="2"/>
        <w:spacing w:before="65" w:line="264" w:lineRule="auto"/>
        <w:ind w:left="319" w:firstLine="410"/>
        <w:rPr>
          <w:sz w:val="20"/>
          <w:szCs w:val="20"/>
        </w:rPr>
      </w:pPr>
      <w:r>
        <w:rPr>
          <w:spacing w:val="5"/>
          <w:sz w:val="20"/>
          <w:szCs w:val="20"/>
        </w:rPr>
        <w:t>(6)异地容灾。一种以异地实时备份为基础的高效、可靠的远程数据存储工作模式。在主</w:t>
      </w:r>
      <w:r>
        <w:rPr>
          <w:sz w:val="20"/>
          <w:szCs w:val="20"/>
        </w:rPr>
        <w:t xml:space="preserve"> </w:t>
      </w:r>
      <w:r>
        <w:rPr>
          <w:spacing w:val="3"/>
          <w:sz w:val="20"/>
          <w:szCs w:val="20"/>
        </w:rPr>
        <w:t>数据中心基础上配备一个同城异地或外埠异地的备份数据中心，利用数据备份机制实现数据实</w:t>
      </w:r>
      <w:r>
        <w:rPr>
          <w:spacing w:val="16"/>
          <w:sz w:val="20"/>
          <w:szCs w:val="20"/>
        </w:rPr>
        <w:t xml:space="preserve"> </w:t>
      </w:r>
      <w:r>
        <w:rPr>
          <w:spacing w:val="4"/>
          <w:sz w:val="20"/>
          <w:szCs w:val="20"/>
        </w:rPr>
        <w:t>时的存储保护，一旦主数据中心出现故障或遭遇水患、火灾、地震等灾难时，主数据中心瘫痪</w:t>
      </w:r>
    </w:p>
    <w:p w14:paraId="17D59DA8">
      <w:pPr>
        <w:spacing w:line="264" w:lineRule="auto"/>
        <w:rPr>
          <w:sz w:val="20"/>
          <w:szCs w:val="20"/>
        </w:rPr>
        <w:sectPr>
          <w:pgSz w:w="10310" w:h="13410"/>
          <w:pgMar w:top="400" w:right="1120" w:bottom="400" w:left="500" w:header="0" w:footer="0" w:gutter="0"/>
          <w:cols w:space="720" w:num="1"/>
        </w:sectPr>
      </w:pPr>
    </w:p>
    <w:p w14:paraId="4EF9216D">
      <w:pPr>
        <w:pStyle w:val="2"/>
        <w:jc w:val="right"/>
        <w:rPr>
          <w:sz w:val="16"/>
          <w:szCs w:val="16"/>
        </w:rPr>
      </w:pPr>
      <w:bookmarkStart w:id="581" w:name="bookmark566"/>
      <w:bookmarkEnd w:id="581"/>
      <w:r>
        <w:rPr>
          <w:spacing w:val="-1"/>
          <w:sz w:val="20"/>
          <w:szCs w:val="20"/>
        </w:rPr>
        <w:t>第6章</w:t>
      </w:r>
      <w:r>
        <w:rPr>
          <w:spacing w:val="29"/>
          <w:sz w:val="20"/>
          <w:szCs w:val="20"/>
        </w:rPr>
        <w:t xml:space="preserve"> </w:t>
      </w:r>
      <w:r>
        <w:rPr>
          <w:spacing w:val="-1"/>
          <w:sz w:val="20"/>
          <w:szCs w:val="20"/>
        </w:rPr>
        <w:t>信息安全</w:t>
      </w:r>
      <w:r>
        <w:rPr>
          <w:spacing w:val="6"/>
          <w:sz w:val="20"/>
          <w:szCs w:val="20"/>
        </w:rPr>
        <w:t xml:space="preserve">      </w:t>
      </w:r>
      <w:r>
        <w:rPr>
          <w:rFonts w:ascii="Times New Roman" w:hAnsi="Times New Roman" w:eastAsia="Times New Roman" w:cs="Times New Roman"/>
          <w:spacing w:val="-1"/>
          <w:sz w:val="16"/>
          <w:szCs w:val="16"/>
        </w:rPr>
        <w:t>191</w:t>
      </w:r>
      <w:r>
        <w:rPr>
          <w:rFonts w:ascii="Times New Roman" w:hAnsi="Times New Roman" w:eastAsia="Times New Roman" w:cs="Times New Roman"/>
          <w:spacing w:val="7"/>
          <w:sz w:val="16"/>
          <w:szCs w:val="16"/>
        </w:rPr>
        <w:t xml:space="preserve">   </w:t>
      </w:r>
      <w:r>
        <w:rPr>
          <w:position w:val="-8"/>
          <w:sz w:val="16"/>
          <w:szCs w:val="16"/>
        </w:rPr>
        <w:drawing>
          <wp:inline distT="0" distB="0" distL="0" distR="0">
            <wp:extent cx="298450" cy="19685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38"/>
                    <a:stretch>
                      <a:fillRect/>
                    </a:stretch>
                  </pic:blipFill>
                  <pic:spPr>
                    <a:xfrm>
                      <a:off x="0" y="0"/>
                      <a:ext cx="298479" cy="196861"/>
                    </a:xfrm>
                    <a:prstGeom prst="rect">
                      <a:avLst/>
                    </a:prstGeom>
                  </pic:spPr>
                </pic:pic>
              </a:graphicData>
            </a:graphic>
          </wp:inline>
        </w:drawing>
      </w:r>
    </w:p>
    <w:p w14:paraId="0B856D23">
      <w:pPr>
        <w:spacing w:line="280" w:lineRule="auto"/>
        <w:rPr>
          <w:rFonts w:ascii="Arial"/>
          <w:sz w:val="21"/>
        </w:rPr>
      </w:pPr>
    </w:p>
    <w:p w14:paraId="1AE596FE">
      <w:pPr>
        <w:pStyle w:val="2"/>
        <w:spacing w:before="65" w:line="219" w:lineRule="auto"/>
        <w:rPr>
          <w:sz w:val="20"/>
          <w:szCs w:val="20"/>
        </w:rPr>
      </w:pPr>
      <w:r>
        <w:rPr>
          <w:spacing w:val="-2"/>
          <w:sz w:val="20"/>
          <w:szCs w:val="20"/>
        </w:rPr>
        <w:t>了，备份数据中心立即接管主数据中心，继续为系统运行提供数据存储、数据支撑等服务。</w:t>
      </w:r>
    </w:p>
    <w:p w14:paraId="4AC6676F">
      <w:pPr>
        <w:pStyle w:val="2"/>
        <w:spacing w:before="60" w:line="285" w:lineRule="auto"/>
        <w:ind w:right="800" w:firstLine="400"/>
        <w:jc w:val="both"/>
        <w:rPr>
          <w:sz w:val="20"/>
          <w:szCs w:val="20"/>
        </w:rPr>
      </w:pPr>
      <w:r>
        <w:rPr>
          <w:spacing w:val="9"/>
          <w:sz w:val="20"/>
          <w:szCs w:val="20"/>
        </w:rPr>
        <w:t>(7)存储区域网络</w:t>
      </w:r>
      <w:r>
        <w:rPr>
          <w:spacing w:val="-39"/>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SAN</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3"/>
          <w:sz w:val="20"/>
          <w:szCs w:val="20"/>
        </w:rPr>
        <w:t xml:space="preserve"> </w:t>
      </w:r>
      <w:r>
        <w:rPr>
          <w:spacing w:val="9"/>
          <w:sz w:val="20"/>
          <w:szCs w:val="20"/>
        </w:rPr>
        <w:t>。</w:t>
      </w:r>
      <w:r>
        <w:rPr>
          <w:rFonts w:ascii="Times New Roman" w:hAnsi="Times New Roman" w:eastAsia="Times New Roman" w:cs="Times New Roman"/>
          <w:sz w:val="20"/>
          <w:szCs w:val="20"/>
        </w:rPr>
        <w:t>SAN</w:t>
      </w:r>
      <w:r>
        <w:rPr>
          <w:rFonts w:ascii="Times New Roman" w:hAnsi="Times New Roman" w:eastAsia="Times New Roman" w:cs="Times New Roman"/>
          <w:spacing w:val="1"/>
          <w:sz w:val="20"/>
          <w:szCs w:val="20"/>
        </w:rPr>
        <w:t xml:space="preserve">   </w:t>
      </w:r>
      <w:r>
        <w:rPr>
          <w:spacing w:val="9"/>
          <w:sz w:val="20"/>
          <w:szCs w:val="20"/>
        </w:rPr>
        <w:t>允许服务器在共享存储装置的同时仍能高速传送数</w:t>
      </w:r>
      <w:r>
        <w:rPr>
          <w:spacing w:val="8"/>
          <w:sz w:val="20"/>
          <w:szCs w:val="20"/>
        </w:rPr>
        <w:t>据。</w:t>
      </w:r>
      <w:r>
        <w:rPr>
          <w:spacing w:val="2"/>
          <w:sz w:val="20"/>
          <w:szCs w:val="20"/>
        </w:rPr>
        <w:t xml:space="preserve"> </w:t>
      </w:r>
      <w:r>
        <w:rPr>
          <w:spacing w:val="3"/>
          <w:sz w:val="20"/>
          <w:szCs w:val="20"/>
        </w:rPr>
        <w:t>这一方案具有带宽高、可用性高、容错能力强的优点，而且它可以</w:t>
      </w:r>
      <w:r>
        <w:rPr>
          <w:spacing w:val="2"/>
          <w:sz w:val="20"/>
          <w:szCs w:val="20"/>
        </w:rPr>
        <w:t>轻松升级，容易管理，有助</w:t>
      </w:r>
      <w:r>
        <w:rPr>
          <w:sz w:val="20"/>
          <w:szCs w:val="20"/>
        </w:rPr>
        <w:t xml:space="preserve">  </w:t>
      </w:r>
      <w:r>
        <w:rPr>
          <w:spacing w:val="1"/>
          <w:sz w:val="20"/>
          <w:szCs w:val="20"/>
        </w:rPr>
        <w:t>于改善整个系统的总体成本状况。</w:t>
      </w:r>
      <w:r>
        <w:rPr>
          <w:rFonts w:ascii="Times New Roman" w:hAnsi="Times New Roman" w:eastAsia="Times New Roman" w:cs="Times New Roman"/>
          <w:sz w:val="20"/>
          <w:szCs w:val="20"/>
        </w:rPr>
        <w:t>SAN</w:t>
      </w:r>
      <w:r>
        <w:rPr>
          <w:rFonts w:ascii="Times New Roman" w:hAnsi="Times New Roman" w:eastAsia="Times New Roman" w:cs="Times New Roman"/>
          <w:spacing w:val="33"/>
          <w:sz w:val="20"/>
          <w:szCs w:val="20"/>
        </w:rPr>
        <w:t xml:space="preserve"> </w:t>
      </w:r>
      <w:r>
        <w:rPr>
          <w:spacing w:val="1"/>
          <w:sz w:val="20"/>
          <w:szCs w:val="20"/>
        </w:rPr>
        <w:t>支持磁盘镜像技术、</w:t>
      </w:r>
      <w:r>
        <w:rPr>
          <w:sz w:val="20"/>
          <w:szCs w:val="20"/>
        </w:rPr>
        <w:t xml:space="preserve">备份与恢复、档案数据的存档和检  </w:t>
      </w:r>
      <w:r>
        <w:rPr>
          <w:spacing w:val="1"/>
          <w:sz w:val="20"/>
          <w:szCs w:val="20"/>
        </w:rPr>
        <w:t>索、存储设备间的数据迁移以及网络中不同服务器间的数据共享等功能。典型的</w:t>
      </w:r>
      <w:r>
        <w:rPr>
          <w:rFonts w:ascii="Times New Roman" w:hAnsi="Times New Roman" w:eastAsia="Times New Roman" w:cs="Times New Roman"/>
          <w:sz w:val="20"/>
          <w:szCs w:val="20"/>
        </w:rPr>
        <w:t>SAN</w:t>
      </w:r>
      <w:r>
        <w:rPr>
          <w:rFonts w:ascii="Times New Roman" w:hAnsi="Times New Roman" w:eastAsia="Times New Roman" w:cs="Times New Roman"/>
          <w:spacing w:val="1"/>
          <w:sz w:val="20"/>
          <w:szCs w:val="20"/>
        </w:rPr>
        <w:t xml:space="preserve"> </w:t>
      </w:r>
      <w:r>
        <w:rPr>
          <w:spacing w:val="1"/>
          <w:sz w:val="20"/>
          <w:szCs w:val="20"/>
        </w:rPr>
        <w:t>是一个机</w:t>
      </w:r>
      <w:r>
        <w:rPr>
          <w:spacing w:val="8"/>
          <w:sz w:val="20"/>
          <w:szCs w:val="20"/>
        </w:rPr>
        <w:t xml:space="preserve">  </w:t>
      </w:r>
      <w:r>
        <w:rPr>
          <w:spacing w:val="-3"/>
          <w:sz w:val="20"/>
          <w:szCs w:val="20"/>
        </w:rPr>
        <w:t>构的整个计算机网络资源的重要部分。</w:t>
      </w:r>
    </w:p>
    <w:p w14:paraId="4E0528B8">
      <w:pPr>
        <w:spacing w:line="285" w:lineRule="auto"/>
        <w:rPr>
          <w:sz w:val="20"/>
          <w:szCs w:val="20"/>
        </w:rPr>
        <w:sectPr>
          <w:pgSz w:w="10290" w:h="13260"/>
          <w:pgMar w:top="389" w:right="19" w:bottom="400" w:left="1069" w:header="0" w:footer="0" w:gutter="0"/>
          <w:cols w:space="720" w:num="1"/>
        </w:sectPr>
      </w:pPr>
    </w:p>
    <w:p w14:paraId="1477BAD9">
      <w:pPr>
        <w:spacing w:line="267" w:lineRule="auto"/>
        <w:rPr>
          <w:rFonts w:ascii="Arial"/>
          <w:sz w:val="21"/>
        </w:rPr>
      </w:pPr>
    </w:p>
    <w:p w14:paraId="639D63E7">
      <w:pPr>
        <w:spacing w:line="268" w:lineRule="auto"/>
        <w:rPr>
          <w:rFonts w:ascii="Arial"/>
          <w:sz w:val="21"/>
        </w:rPr>
      </w:pPr>
    </w:p>
    <w:p w14:paraId="79EC8CD4">
      <w:pPr>
        <w:spacing w:line="268" w:lineRule="auto"/>
        <w:rPr>
          <w:rFonts w:ascii="Arial"/>
          <w:sz w:val="21"/>
        </w:rPr>
      </w:pPr>
    </w:p>
    <w:p w14:paraId="3DD354C4">
      <w:pPr>
        <w:spacing w:before="130" w:line="222" w:lineRule="auto"/>
        <w:ind w:left="2595"/>
        <w:rPr>
          <w:rFonts w:ascii="黑体" w:hAnsi="黑体" w:eastAsia="黑体" w:cs="黑体"/>
          <w:sz w:val="40"/>
          <w:szCs w:val="40"/>
        </w:rPr>
      </w:pPr>
      <w:r>
        <w:rPr>
          <w:rFonts w:ascii="黑体" w:hAnsi="黑体" w:eastAsia="黑体" w:cs="黑体"/>
          <w:b/>
          <w:bCs/>
          <w:color w:val="0087E2"/>
          <w:spacing w:val="-11"/>
          <w:sz w:val="40"/>
          <w:szCs w:val="40"/>
        </w:rPr>
        <w:t>第</w:t>
      </w:r>
      <w:r>
        <w:rPr>
          <w:rFonts w:ascii="黑体" w:hAnsi="黑体" w:eastAsia="黑体" w:cs="黑体"/>
          <w:color w:val="0087E2"/>
          <w:spacing w:val="-88"/>
          <w:sz w:val="40"/>
          <w:szCs w:val="40"/>
        </w:rPr>
        <w:t xml:space="preserve"> </w:t>
      </w:r>
      <w:r>
        <w:rPr>
          <w:rFonts w:ascii="黑体" w:hAnsi="黑体" w:eastAsia="黑体" w:cs="黑体"/>
          <w:b/>
          <w:bCs/>
          <w:color w:val="0087E2"/>
          <w:spacing w:val="-11"/>
          <w:sz w:val="40"/>
          <w:szCs w:val="40"/>
        </w:rPr>
        <w:t>7</w:t>
      </w:r>
      <w:r>
        <w:rPr>
          <w:rFonts w:ascii="黑体" w:hAnsi="黑体" w:eastAsia="黑体" w:cs="黑体"/>
          <w:color w:val="0087E2"/>
          <w:spacing w:val="-88"/>
          <w:sz w:val="40"/>
          <w:szCs w:val="40"/>
        </w:rPr>
        <w:t xml:space="preserve"> </w:t>
      </w:r>
      <w:r>
        <w:rPr>
          <w:rFonts w:ascii="黑体" w:hAnsi="黑体" w:eastAsia="黑体" w:cs="黑体"/>
          <w:b/>
          <w:bCs/>
          <w:color w:val="0087E2"/>
          <w:spacing w:val="-11"/>
          <w:sz w:val="40"/>
          <w:szCs w:val="40"/>
        </w:rPr>
        <w:t>章</w:t>
      </w:r>
      <w:r>
        <w:rPr>
          <w:rFonts w:ascii="黑体" w:hAnsi="黑体" w:eastAsia="黑体" w:cs="黑体"/>
          <w:color w:val="0087E2"/>
          <w:spacing w:val="-11"/>
          <w:sz w:val="40"/>
          <w:szCs w:val="40"/>
        </w:rPr>
        <w:t xml:space="preserve">  </w:t>
      </w:r>
      <w:r>
        <w:rPr>
          <w:rFonts w:ascii="黑体" w:hAnsi="黑体" w:eastAsia="黑体" w:cs="黑体"/>
          <w:b/>
          <w:bCs/>
          <w:color w:val="0087E2"/>
          <w:spacing w:val="-11"/>
          <w:sz w:val="40"/>
          <w:szCs w:val="40"/>
        </w:rPr>
        <w:t>运行维护</w:t>
      </w:r>
    </w:p>
    <w:p w14:paraId="5C9AE210">
      <w:pPr>
        <w:spacing w:line="339" w:lineRule="auto"/>
        <w:rPr>
          <w:rFonts w:ascii="Arial"/>
          <w:sz w:val="21"/>
        </w:rPr>
      </w:pPr>
    </w:p>
    <w:p w14:paraId="6633606F">
      <w:pPr>
        <w:spacing w:line="339" w:lineRule="auto"/>
        <w:rPr>
          <w:rFonts w:ascii="Arial"/>
          <w:sz w:val="21"/>
        </w:rPr>
      </w:pPr>
    </w:p>
    <w:p w14:paraId="06889C41">
      <w:pPr>
        <w:pStyle w:val="2"/>
        <w:spacing w:before="65" w:line="280" w:lineRule="auto"/>
        <w:ind w:right="83" w:firstLine="410"/>
        <w:jc w:val="both"/>
        <w:rPr>
          <w:sz w:val="20"/>
          <w:szCs w:val="20"/>
        </w:rPr>
      </w:pPr>
      <w:r>
        <w:rPr>
          <w:spacing w:val="3"/>
          <w:sz w:val="20"/>
          <w:szCs w:val="20"/>
        </w:rPr>
        <w:t>信息系统的核心价值在于使用。在信息系统工程建设项目交付后，其成为支撑业主单位相</w:t>
      </w:r>
      <w:r>
        <w:rPr>
          <w:spacing w:val="8"/>
          <w:sz w:val="20"/>
          <w:szCs w:val="20"/>
        </w:rPr>
        <w:t xml:space="preserve"> </w:t>
      </w:r>
      <w:r>
        <w:rPr>
          <w:spacing w:val="3"/>
          <w:sz w:val="20"/>
          <w:szCs w:val="20"/>
        </w:rPr>
        <w:t>关业务正常运行的核心及支柱，因此信息系统工程的运行维护工作对业务连续性尤为重要。随</w:t>
      </w:r>
      <w:r>
        <w:rPr>
          <w:spacing w:val="7"/>
          <w:sz w:val="20"/>
          <w:szCs w:val="20"/>
        </w:rPr>
        <w:t xml:space="preserve"> </w:t>
      </w:r>
      <w:r>
        <w:rPr>
          <w:spacing w:val="6"/>
          <w:sz w:val="20"/>
          <w:szCs w:val="20"/>
        </w:rPr>
        <w:t>着以云计算、大数据、物联网、人工智能等为代表的新技术迅速</w:t>
      </w:r>
      <w:r>
        <w:rPr>
          <w:spacing w:val="5"/>
          <w:sz w:val="20"/>
          <w:szCs w:val="20"/>
        </w:rPr>
        <w:t>发展，信息系统运行维护(简</w:t>
      </w:r>
      <w:r>
        <w:rPr>
          <w:sz w:val="20"/>
          <w:szCs w:val="20"/>
        </w:rPr>
        <w:t xml:space="preserve"> </w:t>
      </w:r>
      <w:r>
        <w:rPr>
          <w:spacing w:val="-2"/>
          <w:sz w:val="20"/>
          <w:szCs w:val="20"/>
        </w:rPr>
        <w:t>称“运维”)领域的相关技术也在不断更新。</w:t>
      </w:r>
    </w:p>
    <w:p w14:paraId="63D4B2EB">
      <w:pPr>
        <w:pStyle w:val="2"/>
        <w:spacing w:before="36" w:line="285" w:lineRule="auto"/>
        <w:ind w:right="72" w:firstLine="410"/>
        <w:jc w:val="both"/>
        <w:rPr>
          <w:sz w:val="20"/>
          <w:szCs w:val="20"/>
        </w:rPr>
      </w:pPr>
      <w:r>
        <w:rPr>
          <w:spacing w:val="2"/>
          <w:sz w:val="20"/>
          <w:szCs w:val="20"/>
        </w:rPr>
        <w:t>我国信息技术服务标准</w:t>
      </w:r>
      <w:r>
        <w:rPr>
          <w:spacing w:val="-23"/>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Information</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Technology</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Service</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Standards</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ITSS</w:t>
      </w:r>
      <w:r>
        <w:rPr>
          <w:rFonts w:ascii="Times New Roman" w:hAnsi="Times New Roman" w:eastAsia="Times New Roman" w:cs="Times New Roman"/>
          <w:spacing w:val="2"/>
          <w:sz w:val="20"/>
          <w:szCs w:val="20"/>
        </w:rPr>
        <w:t xml:space="preserve">) </w:t>
      </w:r>
      <w:r>
        <w:rPr>
          <w:spacing w:val="2"/>
          <w:sz w:val="20"/>
          <w:szCs w:val="20"/>
        </w:rPr>
        <w:t>系列的建立，明</w:t>
      </w:r>
      <w:r>
        <w:rPr>
          <w:sz w:val="20"/>
          <w:szCs w:val="20"/>
        </w:rPr>
        <w:t xml:space="preserve"> </w:t>
      </w:r>
      <w:r>
        <w:rPr>
          <w:spacing w:val="4"/>
          <w:sz w:val="20"/>
          <w:szCs w:val="20"/>
        </w:rPr>
        <w:t>确了信息技术服务分类、运行维护工作涉及的关键要</w:t>
      </w:r>
      <w:r>
        <w:rPr>
          <w:spacing w:val="3"/>
          <w:sz w:val="20"/>
          <w:szCs w:val="20"/>
        </w:rPr>
        <w:t>素、质量评价指标体系等。运维服务人员</w:t>
      </w:r>
      <w:r>
        <w:rPr>
          <w:sz w:val="20"/>
          <w:szCs w:val="20"/>
        </w:rPr>
        <w:t xml:space="preserve"> </w:t>
      </w:r>
      <w:r>
        <w:rPr>
          <w:spacing w:val="3"/>
          <w:sz w:val="20"/>
          <w:szCs w:val="20"/>
        </w:rPr>
        <w:t>可以通过运维服务级别协议熟悉运维服务项目的交付内容及应急响应要点，达到提升运维服务</w:t>
      </w:r>
      <w:r>
        <w:rPr>
          <w:spacing w:val="5"/>
          <w:sz w:val="20"/>
          <w:szCs w:val="20"/>
        </w:rPr>
        <w:t xml:space="preserve"> </w:t>
      </w:r>
      <w:r>
        <w:rPr>
          <w:spacing w:val="3"/>
          <w:sz w:val="20"/>
          <w:szCs w:val="20"/>
        </w:rPr>
        <w:t>质量的目标。运维服务团队可以在服务能力、运维项目过程交付、应急响应等各方面提升整体</w:t>
      </w:r>
      <w:r>
        <w:rPr>
          <w:spacing w:val="5"/>
          <w:sz w:val="20"/>
          <w:szCs w:val="20"/>
        </w:rPr>
        <w:t xml:space="preserve"> </w:t>
      </w:r>
      <w:r>
        <w:rPr>
          <w:spacing w:val="-2"/>
          <w:sz w:val="20"/>
          <w:szCs w:val="20"/>
        </w:rPr>
        <w:t>规范化管理能力，提升运维服务团队的工作效率和服务质量。</w:t>
      </w:r>
    </w:p>
    <w:p w14:paraId="35B714A3">
      <w:pPr>
        <w:spacing w:line="323" w:lineRule="auto"/>
        <w:rPr>
          <w:rFonts w:ascii="Arial"/>
          <w:sz w:val="21"/>
        </w:rPr>
      </w:pPr>
    </w:p>
    <w:p w14:paraId="50AFD461">
      <w:pPr>
        <w:pStyle w:val="2"/>
        <w:spacing w:before="82" w:line="219" w:lineRule="auto"/>
        <w:ind w:left="3"/>
        <w:rPr>
          <w:sz w:val="25"/>
          <w:szCs w:val="25"/>
        </w:rPr>
      </w:pPr>
      <w:r>
        <w:rPr>
          <w:b/>
          <w:bCs/>
          <w:color w:val="0088D8"/>
          <w:spacing w:val="11"/>
          <w:sz w:val="25"/>
          <w:szCs w:val="25"/>
        </w:rPr>
        <w:t>7.1</w:t>
      </w:r>
      <w:r>
        <w:rPr>
          <w:color w:val="0088D8"/>
          <w:spacing w:val="32"/>
          <w:sz w:val="25"/>
          <w:szCs w:val="25"/>
        </w:rPr>
        <w:t xml:space="preserve">  </w:t>
      </w:r>
      <w:r>
        <w:rPr>
          <w:b/>
          <w:bCs/>
          <w:color w:val="0088D8"/>
          <w:spacing w:val="11"/>
          <w:sz w:val="25"/>
          <w:szCs w:val="25"/>
        </w:rPr>
        <w:t>运行维护概述</w:t>
      </w:r>
    </w:p>
    <w:p w14:paraId="5047D5F3">
      <w:pPr>
        <w:pStyle w:val="2"/>
        <w:spacing w:before="274" w:line="273" w:lineRule="auto"/>
        <w:ind w:right="88" w:firstLine="410"/>
        <w:rPr>
          <w:sz w:val="20"/>
          <w:szCs w:val="20"/>
        </w:rPr>
      </w:pPr>
      <w:r>
        <w:rPr>
          <w:spacing w:val="3"/>
          <w:sz w:val="20"/>
          <w:szCs w:val="20"/>
        </w:rPr>
        <w:t xml:space="preserve">本节阐释信息系统运行维护的基本概念，同时展望其演进轨迹，介绍运行维护当前实践及 </w:t>
      </w:r>
      <w:r>
        <w:rPr>
          <w:spacing w:val="-4"/>
          <w:sz w:val="20"/>
          <w:szCs w:val="20"/>
        </w:rPr>
        <w:t>其潜在发展的概览。</w:t>
      </w:r>
    </w:p>
    <w:p w14:paraId="039A0BC0">
      <w:pPr>
        <w:pStyle w:val="2"/>
        <w:spacing w:before="195" w:line="219" w:lineRule="auto"/>
        <w:ind w:left="2"/>
        <w:rPr>
          <w:sz w:val="25"/>
          <w:szCs w:val="25"/>
        </w:rPr>
      </w:pPr>
      <w:r>
        <w:rPr>
          <w:b/>
          <w:bCs/>
          <w:color w:val="0078C9"/>
          <w:spacing w:val="-20"/>
          <w:sz w:val="25"/>
          <w:szCs w:val="25"/>
        </w:rPr>
        <w:t>7.1.1</w:t>
      </w:r>
      <w:r>
        <w:rPr>
          <w:color w:val="0078C9"/>
          <w:spacing w:val="98"/>
          <w:sz w:val="25"/>
          <w:szCs w:val="25"/>
        </w:rPr>
        <w:t xml:space="preserve"> </w:t>
      </w:r>
      <w:r>
        <w:rPr>
          <w:b/>
          <w:bCs/>
          <w:color w:val="0078C9"/>
          <w:spacing w:val="-20"/>
          <w:sz w:val="25"/>
          <w:szCs w:val="25"/>
        </w:rPr>
        <w:t>基本概念</w:t>
      </w:r>
    </w:p>
    <w:p w14:paraId="3CC11125">
      <w:pPr>
        <w:pStyle w:val="2"/>
        <w:spacing w:before="166" w:line="273" w:lineRule="auto"/>
        <w:ind w:right="87" w:firstLine="410"/>
        <w:rPr>
          <w:sz w:val="20"/>
          <w:szCs w:val="20"/>
        </w:rPr>
      </w:pPr>
      <w:r>
        <w:rPr>
          <w:spacing w:val="3"/>
          <w:sz w:val="20"/>
          <w:szCs w:val="20"/>
        </w:rPr>
        <w:t>信息系统运维是指新建或升级改造类信息系统工程实施完成后的系统在完成其试运行周期</w:t>
      </w:r>
      <w:r>
        <w:rPr>
          <w:spacing w:val="4"/>
          <w:sz w:val="20"/>
          <w:szCs w:val="20"/>
        </w:rPr>
        <w:t xml:space="preserve"> </w:t>
      </w:r>
      <w:r>
        <w:rPr>
          <w:spacing w:val="-2"/>
          <w:sz w:val="20"/>
          <w:szCs w:val="20"/>
        </w:rPr>
        <w:t>后，正式进入生产环境交付使用阶段的维护和保养工作。</w:t>
      </w:r>
    </w:p>
    <w:p w14:paraId="48D3BDE6">
      <w:pPr>
        <w:pStyle w:val="2"/>
        <w:spacing w:before="38" w:line="263" w:lineRule="auto"/>
        <w:ind w:right="90" w:firstLine="410"/>
        <w:rPr>
          <w:sz w:val="20"/>
          <w:szCs w:val="20"/>
        </w:rPr>
      </w:pPr>
      <w:r>
        <w:rPr>
          <w:spacing w:val="3"/>
          <w:sz w:val="20"/>
          <w:szCs w:val="20"/>
        </w:rPr>
        <w:t>运行维护服务是指采用信息技术手段及方法，依据信息系统业主单位提出的服务需求，为</w:t>
      </w:r>
      <w:r>
        <w:rPr>
          <w:spacing w:val="1"/>
          <w:sz w:val="20"/>
          <w:szCs w:val="20"/>
        </w:rPr>
        <w:t xml:space="preserve"> </w:t>
      </w:r>
      <w:r>
        <w:rPr>
          <w:spacing w:val="-2"/>
          <w:sz w:val="20"/>
          <w:szCs w:val="20"/>
        </w:rPr>
        <w:t>其在使用信息系统过程中提出的各类需求提供的综合服务。</w:t>
      </w:r>
    </w:p>
    <w:p w14:paraId="3F516EE1">
      <w:pPr>
        <w:pStyle w:val="2"/>
        <w:spacing w:before="30" w:line="276" w:lineRule="auto"/>
        <w:ind w:right="92" w:firstLine="410"/>
        <w:rPr>
          <w:sz w:val="20"/>
          <w:szCs w:val="20"/>
        </w:rPr>
      </w:pPr>
      <w:r>
        <w:rPr>
          <w:spacing w:val="3"/>
          <w:sz w:val="20"/>
          <w:szCs w:val="20"/>
        </w:rPr>
        <w:t>运行维护服务对象(简称“服务对象”)是指信息系统工程建设项目交付的内容，</w:t>
      </w:r>
      <w:r>
        <w:rPr>
          <w:spacing w:val="2"/>
          <w:sz w:val="20"/>
          <w:szCs w:val="20"/>
        </w:rPr>
        <w:t>主要包括</w:t>
      </w:r>
      <w:r>
        <w:rPr>
          <w:sz w:val="20"/>
          <w:szCs w:val="20"/>
        </w:rPr>
        <w:t xml:space="preserve"> </w:t>
      </w:r>
      <w:r>
        <w:rPr>
          <w:spacing w:val="-1"/>
          <w:sz w:val="20"/>
          <w:szCs w:val="20"/>
        </w:rPr>
        <w:t>机房基础设施、物理资源、虚拟资源、平台资源、</w:t>
      </w:r>
      <w:r>
        <w:rPr>
          <w:spacing w:val="-2"/>
          <w:sz w:val="20"/>
          <w:szCs w:val="20"/>
        </w:rPr>
        <w:t>应用和数据等。</w:t>
      </w:r>
    </w:p>
    <w:p w14:paraId="3B792D4B">
      <w:pPr>
        <w:pStyle w:val="2"/>
        <w:spacing w:line="293" w:lineRule="auto"/>
        <w:ind w:right="93" w:firstLine="410"/>
        <w:rPr>
          <w:sz w:val="20"/>
          <w:szCs w:val="20"/>
        </w:rPr>
      </w:pPr>
      <w:r>
        <w:rPr>
          <w:spacing w:val="5"/>
          <w:sz w:val="20"/>
          <w:szCs w:val="20"/>
        </w:rPr>
        <w:t>运行维护服务级别协议(简称“服务级别协议”或</w:t>
      </w:r>
      <w:r>
        <w:rPr>
          <w:spacing w:val="-5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SLA</w:t>
      </w:r>
      <w:r>
        <w:rPr>
          <w:rFonts w:ascii="Times New Roman" w:hAnsi="Times New Roman" w:eastAsia="Times New Roman" w:cs="Times New Roman"/>
          <w:spacing w:val="5"/>
          <w:sz w:val="20"/>
          <w:szCs w:val="20"/>
        </w:rPr>
        <w:t xml:space="preserve">”)   </w:t>
      </w:r>
      <w:r>
        <w:rPr>
          <w:spacing w:val="5"/>
          <w:sz w:val="20"/>
          <w:szCs w:val="20"/>
        </w:rPr>
        <w:t>是指业主单位与运维服务</w:t>
      </w:r>
      <w:r>
        <w:rPr>
          <w:spacing w:val="4"/>
          <w:sz w:val="20"/>
          <w:szCs w:val="20"/>
        </w:rPr>
        <w:t>提供</w:t>
      </w:r>
      <w:r>
        <w:rPr>
          <w:sz w:val="20"/>
          <w:szCs w:val="20"/>
        </w:rPr>
        <w:t xml:space="preserve"> </w:t>
      </w:r>
      <w:r>
        <w:rPr>
          <w:spacing w:val="-2"/>
          <w:sz w:val="20"/>
          <w:szCs w:val="20"/>
        </w:rPr>
        <w:t>方之间为约定运维服务内容和各项服务指标所签署的文件。</w:t>
      </w:r>
    </w:p>
    <w:p w14:paraId="679C9797">
      <w:pPr>
        <w:pStyle w:val="2"/>
        <w:spacing w:before="28" w:line="267" w:lineRule="auto"/>
        <w:ind w:right="78" w:firstLine="410"/>
        <w:rPr>
          <w:sz w:val="20"/>
          <w:szCs w:val="20"/>
        </w:rPr>
      </w:pPr>
      <w:r>
        <w:rPr>
          <w:spacing w:val="3"/>
          <w:sz w:val="20"/>
          <w:szCs w:val="20"/>
        </w:rPr>
        <w:t>运行维护服务交付是指在签署的服务级别协议中，运维服务提供方承诺在服务有效期内向</w:t>
      </w:r>
      <w:r>
        <w:rPr>
          <w:spacing w:val="13"/>
          <w:sz w:val="20"/>
          <w:szCs w:val="20"/>
        </w:rPr>
        <w:t xml:space="preserve"> </w:t>
      </w:r>
      <w:r>
        <w:rPr>
          <w:spacing w:val="3"/>
          <w:sz w:val="20"/>
          <w:szCs w:val="20"/>
        </w:rPr>
        <w:t>业主单位提供的运行维护服务内容。运维服务交付的内容通常包括例行操作、响应支持、优化</w:t>
      </w:r>
      <w:r>
        <w:rPr>
          <w:spacing w:val="5"/>
          <w:sz w:val="20"/>
          <w:szCs w:val="20"/>
        </w:rPr>
        <w:t xml:space="preserve"> </w:t>
      </w:r>
      <w:r>
        <w:rPr>
          <w:spacing w:val="-5"/>
          <w:sz w:val="20"/>
          <w:szCs w:val="20"/>
        </w:rPr>
        <w:t>改善、调研评估等。</w:t>
      </w:r>
    </w:p>
    <w:p w14:paraId="331621B3">
      <w:pPr>
        <w:pStyle w:val="2"/>
        <w:spacing w:before="61" w:line="254" w:lineRule="auto"/>
        <w:ind w:firstLine="410"/>
        <w:rPr>
          <w:sz w:val="20"/>
          <w:szCs w:val="20"/>
        </w:rPr>
      </w:pPr>
      <w:r>
        <w:rPr>
          <w:spacing w:val="5"/>
          <w:sz w:val="20"/>
          <w:szCs w:val="20"/>
        </w:rPr>
        <w:t>运行维护监理是指运维服务提供方受业主单位委托，依据国家有关法律法规、标准规范、</w:t>
      </w:r>
      <w:r>
        <w:rPr>
          <w:spacing w:val="14"/>
          <w:sz w:val="20"/>
          <w:szCs w:val="20"/>
        </w:rPr>
        <w:t xml:space="preserve"> </w:t>
      </w:r>
      <w:r>
        <w:rPr>
          <w:spacing w:val="-2"/>
          <w:sz w:val="20"/>
          <w:szCs w:val="20"/>
        </w:rPr>
        <w:t>监理合同，对运维服务团队提供的运行维护服务实施监督管理。</w:t>
      </w:r>
    </w:p>
    <w:p w14:paraId="4B60BC9D">
      <w:pPr>
        <w:pStyle w:val="2"/>
        <w:spacing w:before="200" w:line="220" w:lineRule="auto"/>
        <w:ind w:left="2"/>
        <w:rPr>
          <w:sz w:val="25"/>
          <w:szCs w:val="25"/>
        </w:rPr>
      </w:pPr>
      <w:r>
        <w:rPr>
          <w:b/>
          <w:bCs/>
          <w:color w:val="0087E1"/>
          <w:spacing w:val="-17"/>
          <w:sz w:val="25"/>
          <w:szCs w:val="25"/>
        </w:rPr>
        <w:t>7.1.2</w:t>
      </w:r>
      <w:r>
        <w:rPr>
          <w:color w:val="0087E1"/>
          <w:spacing w:val="89"/>
          <w:sz w:val="25"/>
          <w:szCs w:val="25"/>
        </w:rPr>
        <w:t xml:space="preserve"> </w:t>
      </w:r>
      <w:r>
        <w:rPr>
          <w:b/>
          <w:bCs/>
          <w:color w:val="0087E1"/>
          <w:spacing w:val="-17"/>
          <w:sz w:val="25"/>
          <w:szCs w:val="25"/>
        </w:rPr>
        <w:t>运行维护的发展历程</w:t>
      </w:r>
    </w:p>
    <w:p w14:paraId="6358154D">
      <w:pPr>
        <w:pStyle w:val="2"/>
        <w:spacing w:before="171" w:line="219" w:lineRule="auto"/>
        <w:ind w:left="410"/>
        <w:rPr>
          <w:sz w:val="20"/>
          <w:szCs w:val="20"/>
        </w:rPr>
      </w:pPr>
      <w:r>
        <w:rPr>
          <w:spacing w:val="8"/>
          <w:sz w:val="20"/>
          <w:szCs w:val="20"/>
        </w:rPr>
        <w:t>纵观国内外信息系统建设的发展，经历了从无到有、从单机到网络、从单一的业务办公</w:t>
      </w:r>
    </w:p>
    <w:p w14:paraId="1B83048E">
      <w:pPr>
        <w:spacing w:line="219" w:lineRule="auto"/>
        <w:rPr>
          <w:sz w:val="20"/>
          <w:szCs w:val="20"/>
        </w:rPr>
        <w:sectPr>
          <w:pgSz w:w="10310" w:h="13320"/>
          <w:pgMar w:top="400" w:right="1019" w:bottom="400" w:left="869" w:header="0" w:footer="0" w:gutter="0"/>
          <w:cols w:space="720" w:num="1"/>
        </w:sectPr>
      </w:pPr>
    </w:p>
    <w:p w14:paraId="49AAE952">
      <w:pPr>
        <w:pStyle w:val="2"/>
        <w:spacing w:before="86" w:line="219" w:lineRule="auto"/>
        <w:jc w:val="right"/>
        <w:rPr>
          <w:rFonts w:ascii="Times New Roman" w:hAnsi="Times New Roman" w:eastAsia="Times New Roman" w:cs="Times New Roman"/>
          <w:sz w:val="17"/>
          <w:szCs w:val="17"/>
        </w:rPr>
      </w:pPr>
      <w:bookmarkStart w:id="582" w:name="bookmark567"/>
      <w:bookmarkEnd w:id="582"/>
      <w:r>
        <w:rPr>
          <w:spacing w:val="1"/>
          <w:sz w:val="20"/>
          <w:szCs w:val="20"/>
        </w:rPr>
        <w:t>第7章</w:t>
      </w:r>
      <w:r>
        <w:rPr>
          <w:spacing w:val="33"/>
          <w:sz w:val="20"/>
          <w:szCs w:val="20"/>
        </w:rPr>
        <w:t xml:space="preserve"> </w:t>
      </w:r>
      <w:r>
        <w:rPr>
          <w:spacing w:val="1"/>
          <w:sz w:val="20"/>
          <w:szCs w:val="20"/>
        </w:rPr>
        <w:t xml:space="preserve">运行维护      </w:t>
      </w:r>
      <w:r>
        <w:rPr>
          <w:rFonts w:ascii="Times New Roman" w:hAnsi="Times New Roman" w:eastAsia="Times New Roman" w:cs="Times New Roman"/>
          <w:spacing w:val="1"/>
          <w:sz w:val="17"/>
          <w:szCs w:val="17"/>
        </w:rPr>
        <w:t>193</w:t>
      </w:r>
    </w:p>
    <w:p w14:paraId="279AF96F">
      <w:pPr>
        <w:spacing w:line="286" w:lineRule="auto"/>
        <w:rPr>
          <w:rFonts w:ascii="Arial"/>
          <w:sz w:val="21"/>
        </w:rPr>
      </w:pPr>
    </w:p>
    <w:p w14:paraId="22342B6F">
      <w:pPr>
        <w:pStyle w:val="2"/>
        <w:spacing w:before="65" w:line="282" w:lineRule="auto"/>
        <w:ind w:right="259"/>
        <w:jc w:val="both"/>
        <w:rPr>
          <w:sz w:val="20"/>
          <w:szCs w:val="20"/>
        </w:rPr>
      </w:pPr>
      <w:r>
        <w:rPr>
          <w:spacing w:val="3"/>
          <w:sz w:val="20"/>
          <w:szCs w:val="20"/>
        </w:rPr>
        <w:t>系统到综合性管理信息系统的发展历程。在这个过程中</w:t>
      </w:r>
      <w:r>
        <w:rPr>
          <w:spacing w:val="2"/>
          <w:sz w:val="20"/>
          <w:szCs w:val="20"/>
        </w:rPr>
        <w:t>，信息系统的运维工作也随之经历了从</w:t>
      </w:r>
      <w:r>
        <w:rPr>
          <w:sz w:val="20"/>
          <w:szCs w:val="20"/>
        </w:rPr>
        <w:t xml:space="preserve"> </w:t>
      </w:r>
      <w:r>
        <w:rPr>
          <w:spacing w:val="5"/>
          <w:sz w:val="20"/>
          <w:szCs w:val="20"/>
        </w:rPr>
        <w:t>单一化的网络管理</w:t>
      </w:r>
      <w:r>
        <w:rPr>
          <w:spacing w:val="-37"/>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Network</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NSM</w:t>
      </w:r>
      <w:r>
        <w:rPr>
          <w:rFonts w:ascii="Times New Roman" w:hAnsi="Times New Roman" w:eastAsia="Times New Roman" w:cs="Times New Roman"/>
          <w:spacing w:val="5"/>
          <w:sz w:val="20"/>
          <w:szCs w:val="20"/>
        </w:rPr>
        <w:t>),</w:t>
      </w:r>
      <w:r>
        <w:rPr>
          <w:spacing w:val="5"/>
          <w:sz w:val="20"/>
          <w:szCs w:val="20"/>
        </w:rPr>
        <w:t>到一体化的运行维护</w:t>
      </w:r>
      <w:r>
        <w:rPr>
          <w:spacing w:val="4"/>
          <w:sz w:val="20"/>
          <w:szCs w:val="20"/>
        </w:rPr>
        <w:t>服务管理</w:t>
      </w:r>
      <w:r>
        <w:rPr>
          <w:spacing w:val="-47"/>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IT   Service</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ITSM</w:t>
      </w:r>
      <w:r>
        <w:rPr>
          <w:rFonts w:ascii="Times New Roman" w:hAnsi="Times New Roman" w:eastAsia="Times New Roman" w:cs="Times New Roman"/>
          <w:spacing w:val="10"/>
          <w:sz w:val="20"/>
          <w:szCs w:val="20"/>
        </w:rPr>
        <w:t>),</w:t>
      </w:r>
      <w:r>
        <w:rPr>
          <w:spacing w:val="10"/>
          <w:sz w:val="20"/>
          <w:szCs w:val="20"/>
        </w:rPr>
        <w:t>再到以业务支撑为核心的业务服务运维管</w:t>
      </w:r>
      <w:r>
        <w:rPr>
          <w:spacing w:val="9"/>
          <w:sz w:val="20"/>
          <w:szCs w:val="20"/>
        </w:rPr>
        <w:t>理</w:t>
      </w:r>
      <w:r>
        <w:rPr>
          <w:spacing w:val="-47"/>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Business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 xml:space="preserve">Service </w:t>
      </w:r>
      <w:r>
        <w:rPr>
          <w:spacing w:val="-1"/>
          <w:sz w:val="20"/>
          <w:szCs w:val="20"/>
        </w:rPr>
        <w:t>Management,BSM)</w:t>
      </w:r>
      <w:r>
        <w:rPr>
          <w:spacing w:val="21"/>
          <w:sz w:val="20"/>
          <w:szCs w:val="20"/>
        </w:rPr>
        <w:t xml:space="preserve">   </w:t>
      </w:r>
      <w:r>
        <w:rPr>
          <w:spacing w:val="-1"/>
          <w:sz w:val="20"/>
          <w:szCs w:val="20"/>
        </w:rPr>
        <w:t>这三个循序渐进的阶段。</w:t>
      </w:r>
    </w:p>
    <w:p w14:paraId="11B10825">
      <w:pPr>
        <w:pStyle w:val="2"/>
        <w:spacing w:before="144" w:line="221" w:lineRule="auto"/>
        <w:ind w:left="402"/>
        <w:rPr>
          <w:rFonts w:ascii="黑体" w:hAnsi="黑体" w:eastAsia="黑体" w:cs="黑体"/>
          <w:sz w:val="20"/>
          <w:szCs w:val="20"/>
        </w:rPr>
      </w:pPr>
      <w:r>
        <w:rPr>
          <w:b/>
          <w:bCs/>
          <w:color w:val="0077D3"/>
          <w:sz w:val="20"/>
          <w:szCs w:val="20"/>
        </w:rPr>
        <w:t>1.</w:t>
      </w:r>
      <w:r>
        <w:rPr>
          <w:rFonts w:ascii="黑体" w:hAnsi="黑体" w:eastAsia="黑体" w:cs="黑体"/>
          <w:b/>
          <w:bCs/>
          <w:color w:val="0077D3"/>
          <w:sz w:val="20"/>
          <w:szCs w:val="20"/>
        </w:rPr>
        <w:t>基于</w:t>
      </w:r>
      <w:r>
        <w:rPr>
          <w:b/>
          <w:bCs/>
          <w:color w:val="0077D3"/>
          <w:sz w:val="20"/>
          <w:szCs w:val="20"/>
        </w:rPr>
        <w:t>NSM</w:t>
      </w:r>
      <w:r>
        <w:rPr>
          <w:color w:val="0077D3"/>
          <w:spacing w:val="1"/>
          <w:sz w:val="20"/>
          <w:szCs w:val="20"/>
        </w:rPr>
        <w:t xml:space="preserve">  </w:t>
      </w:r>
      <w:r>
        <w:rPr>
          <w:rFonts w:ascii="黑体" w:hAnsi="黑体" w:eastAsia="黑体" w:cs="黑体"/>
          <w:b/>
          <w:bCs/>
          <w:color w:val="0077D3"/>
          <w:sz w:val="20"/>
          <w:szCs w:val="20"/>
        </w:rPr>
        <w:t>的基础运维阶段</w:t>
      </w:r>
    </w:p>
    <w:p w14:paraId="58DCCD3B">
      <w:pPr>
        <w:pStyle w:val="2"/>
        <w:spacing w:before="124" w:line="281" w:lineRule="auto"/>
        <w:ind w:right="205" w:firstLine="399"/>
        <w:jc w:val="both"/>
        <w:rPr>
          <w:sz w:val="20"/>
          <w:szCs w:val="20"/>
        </w:rPr>
      </w:pPr>
      <w:r>
        <w:rPr>
          <w:spacing w:val="3"/>
          <w:sz w:val="20"/>
          <w:szCs w:val="20"/>
        </w:rPr>
        <w:t>在信息系统运维工作发展的早期，运维工作主要表现为针对信息系统基础架构的管理，以</w:t>
      </w:r>
      <w:r>
        <w:rPr>
          <w:sz w:val="20"/>
          <w:szCs w:val="20"/>
        </w:rPr>
        <w:t xml:space="preserve">  </w:t>
      </w:r>
      <w:r>
        <w:rPr>
          <w:spacing w:val="5"/>
          <w:sz w:val="20"/>
          <w:szCs w:val="20"/>
        </w:rPr>
        <w:t>及以信息系统设备为核心的基础设施管理两大任务。任何信息系统基础架构都</w:t>
      </w:r>
      <w:r>
        <w:rPr>
          <w:spacing w:val="4"/>
          <w:sz w:val="20"/>
          <w:szCs w:val="20"/>
        </w:rPr>
        <w:t>有其建设周期，</w:t>
      </w:r>
      <w:r>
        <w:rPr>
          <w:sz w:val="20"/>
          <w:szCs w:val="20"/>
        </w:rPr>
        <w:t xml:space="preserve"> </w:t>
      </w:r>
      <w:r>
        <w:rPr>
          <w:spacing w:val="3"/>
          <w:sz w:val="20"/>
          <w:szCs w:val="20"/>
        </w:rPr>
        <w:t>随着信息技术的不断进步和信息系统建设需求的变化，建设完成的信息系统设施也存在更新换</w:t>
      </w:r>
      <w:r>
        <w:rPr>
          <w:spacing w:val="4"/>
          <w:sz w:val="20"/>
          <w:szCs w:val="20"/>
        </w:rPr>
        <w:t xml:space="preserve"> </w:t>
      </w:r>
      <w:r>
        <w:rPr>
          <w:spacing w:val="3"/>
          <w:sz w:val="20"/>
          <w:szCs w:val="20"/>
        </w:rPr>
        <w:t xml:space="preserve">代、升级改造的过程。因此上述两个核心任务应当是并行融合的关系，它们是实现信息系统服 </w:t>
      </w:r>
      <w:r>
        <w:rPr>
          <w:spacing w:val="-1"/>
          <w:sz w:val="20"/>
          <w:szCs w:val="20"/>
        </w:rPr>
        <w:t>务管理以及</w:t>
      </w:r>
      <w:r>
        <w:rPr>
          <w:rFonts w:ascii="Times New Roman" w:hAnsi="Times New Roman" w:eastAsia="Times New Roman" w:cs="Times New Roman"/>
          <w:spacing w:val="-1"/>
          <w:sz w:val="20"/>
          <w:szCs w:val="20"/>
        </w:rPr>
        <w:t>ITSM</w:t>
      </w:r>
      <w:r>
        <w:rPr>
          <w:rFonts w:ascii="Times New Roman" w:hAnsi="Times New Roman" w:eastAsia="Times New Roman" w:cs="Times New Roman"/>
          <w:spacing w:val="44"/>
          <w:sz w:val="20"/>
          <w:szCs w:val="20"/>
        </w:rPr>
        <w:t xml:space="preserve"> </w:t>
      </w:r>
      <w:r>
        <w:rPr>
          <w:spacing w:val="-1"/>
          <w:sz w:val="20"/>
          <w:szCs w:val="20"/>
        </w:rPr>
        <w:t>和</w:t>
      </w:r>
      <w:r>
        <w:rPr>
          <w:spacing w:val="-52"/>
          <w:sz w:val="20"/>
          <w:szCs w:val="20"/>
        </w:rPr>
        <w:t xml:space="preserve"> </w:t>
      </w:r>
      <w:r>
        <w:rPr>
          <w:rFonts w:ascii="Times New Roman" w:hAnsi="Times New Roman" w:eastAsia="Times New Roman" w:cs="Times New Roman"/>
          <w:spacing w:val="-1"/>
          <w:sz w:val="20"/>
          <w:szCs w:val="20"/>
        </w:rPr>
        <w:t xml:space="preserve">BSM </w:t>
      </w:r>
      <w:r>
        <w:rPr>
          <w:spacing w:val="-1"/>
          <w:sz w:val="20"/>
          <w:szCs w:val="20"/>
        </w:rPr>
        <w:t>的基础，是发展阶段中不可跨越的起始点。</w:t>
      </w:r>
    </w:p>
    <w:p w14:paraId="3FF9246B">
      <w:pPr>
        <w:pStyle w:val="2"/>
        <w:spacing w:before="75" w:line="283" w:lineRule="auto"/>
        <w:ind w:right="204" w:firstLine="399"/>
        <w:jc w:val="both"/>
        <w:rPr>
          <w:sz w:val="20"/>
          <w:szCs w:val="20"/>
        </w:rPr>
      </w:pPr>
      <w:r>
        <w:rPr>
          <w:spacing w:val="5"/>
          <w:sz w:val="20"/>
          <w:szCs w:val="20"/>
        </w:rPr>
        <w:t>信息系统运行涉及的基础软件和基础硬件是业务的基础支撑环境，主要包括网络、链路、</w:t>
      </w:r>
      <w:r>
        <w:rPr>
          <w:spacing w:val="4"/>
          <w:sz w:val="20"/>
          <w:szCs w:val="20"/>
        </w:rPr>
        <w:t xml:space="preserve"> </w:t>
      </w:r>
      <w:r>
        <w:rPr>
          <w:spacing w:val="3"/>
          <w:sz w:val="20"/>
          <w:szCs w:val="20"/>
        </w:rPr>
        <w:t>路由器、服务器、数据库等。为保障硬件环境稳定、网络运行通畅、系统可用，最大程度地减</w:t>
      </w:r>
      <w:r>
        <w:rPr>
          <w:spacing w:val="5"/>
          <w:sz w:val="20"/>
          <w:szCs w:val="20"/>
        </w:rPr>
        <w:t xml:space="preserve"> </w:t>
      </w:r>
      <w:r>
        <w:rPr>
          <w:spacing w:val="3"/>
          <w:sz w:val="20"/>
          <w:szCs w:val="20"/>
        </w:rPr>
        <w:t>少各类故障的发生，避免业务因基础支撑环境变化而造成被动影响，需要对信息系统的基础支</w:t>
      </w:r>
      <w:r>
        <w:rPr>
          <w:spacing w:val="6"/>
          <w:sz w:val="20"/>
          <w:szCs w:val="20"/>
        </w:rPr>
        <w:t xml:space="preserve"> </w:t>
      </w:r>
      <w:r>
        <w:rPr>
          <w:spacing w:val="3"/>
          <w:sz w:val="20"/>
          <w:szCs w:val="20"/>
        </w:rPr>
        <w:t>撑环境进行全面管理。通过网络实现对所有监控数据的采集、分析，获得系统及基础环境运行</w:t>
      </w:r>
      <w:r>
        <w:rPr>
          <w:spacing w:val="5"/>
          <w:sz w:val="20"/>
          <w:szCs w:val="20"/>
        </w:rPr>
        <w:t xml:space="preserve"> </w:t>
      </w:r>
      <w:r>
        <w:rPr>
          <w:spacing w:val="3"/>
          <w:sz w:val="20"/>
          <w:szCs w:val="20"/>
        </w:rPr>
        <w:t>状态的信息，通过对动态信息的监控，保障在故障发生的第一时间或发生之前定位故障的原因</w:t>
      </w:r>
      <w:r>
        <w:rPr>
          <w:spacing w:val="16"/>
          <w:sz w:val="20"/>
          <w:szCs w:val="20"/>
        </w:rPr>
        <w:t xml:space="preserve"> </w:t>
      </w:r>
      <w:r>
        <w:rPr>
          <w:spacing w:val="3"/>
          <w:sz w:val="20"/>
          <w:szCs w:val="20"/>
        </w:rPr>
        <w:t>及趋势并及时发出报警信息，采取主动的故障防御措施，从而提高信息系统运行环境的健康程</w:t>
      </w:r>
      <w:r>
        <w:rPr>
          <w:spacing w:val="2"/>
          <w:sz w:val="20"/>
          <w:szCs w:val="20"/>
        </w:rPr>
        <w:t xml:space="preserve"> 度，同时利用基于</w:t>
      </w:r>
      <w:r>
        <w:rPr>
          <w:spacing w:val="-40"/>
          <w:sz w:val="20"/>
          <w:szCs w:val="20"/>
        </w:rPr>
        <w:t xml:space="preserve"> </w:t>
      </w:r>
      <w:r>
        <w:rPr>
          <w:rFonts w:ascii="Times New Roman" w:hAnsi="Times New Roman" w:eastAsia="Times New Roman" w:cs="Times New Roman"/>
          <w:sz w:val="20"/>
          <w:szCs w:val="20"/>
        </w:rPr>
        <w:t>SNMP</w:t>
      </w:r>
      <w:r>
        <w:rPr>
          <w:rFonts w:ascii="Times New Roman" w:hAnsi="Times New Roman" w:eastAsia="Times New Roman" w:cs="Times New Roman"/>
          <w:spacing w:val="2"/>
          <w:sz w:val="20"/>
          <w:szCs w:val="20"/>
        </w:rPr>
        <w:t xml:space="preserve"> </w:t>
      </w:r>
      <w:r>
        <w:rPr>
          <w:spacing w:val="2"/>
          <w:sz w:val="20"/>
          <w:szCs w:val="20"/>
        </w:rPr>
        <w:t>协议的相关技术实现对信息系统基础设施的远程管理操作，降低信息</w:t>
      </w:r>
      <w:r>
        <w:rPr>
          <w:sz w:val="20"/>
          <w:szCs w:val="20"/>
        </w:rPr>
        <w:t xml:space="preserve"> </w:t>
      </w:r>
      <w:r>
        <w:rPr>
          <w:spacing w:val="-3"/>
          <w:sz w:val="20"/>
          <w:szCs w:val="20"/>
        </w:rPr>
        <w:t>系统管理的成本并提高效率。</w:t>
      </w:r>
    </w:p>
    <w:p w14:paraId="690C780C">
      <w:pPr>
        <w:pStyle w:val="2"/>
        <w:spacing w:before="148" w:line="222" w:lineRule="auto"/>
        <w:ind w:left="402"/>
        <w:rPr>
          <w:rFonts w:ascii="黑体" w:hAnsi="黑体" w:eastAsia="黑体" w:cs="黑体"/>
          <w:sz w:val="20"/>
          <w:szCs w:val="20"/>
        </w:rPr>
      </w:pPr>
      <w:r>
        <w:rPr>
          <w:b/>
          <w:bCs/>
          <w:color w:val="007CDC"/>
          <w:spacing w:val="1"/>
          <w:sz w:val="20"/>
          <w:szCs w:val="20"/>
        </w:rPr>
        <w:t>2.</w:t>
      </w:r>
      <w:r>
        <w:rPr>
          <w:rFonts w:ascii="黑体" w:hAnsi="黑体" w:eastAsia="黑体" w:cs="黑体"/>
          <w:b/>
          <w:bCs/>
          <w:color w:val="007CDC"/>
          <w:spacing w:val="1"/>
          <w:sz w:val="20"/>
          <w:szCs w:val="20"/>
        </w:rPr>
        <w:t>基于</w:t>
      </w:r>
      <w:r>
        <w:rPr>
          <w:b/>
          <w:bCs/>
          <w:color w:val="007CDC"/>
          <w:sz w:val="20"/>
          <w:szCs w:val="20"/>
        </w:rPr>
        <w:t>ITSM</w:t>
      </w:r>
      <w:r>
        <w:rPr>
          <w:color w:val="007CDC"/>
          <w:spacing w:val="49"/>
          <w:sz w:val="20"/>
          <w:szCs w:val="20"/>
        </w:rPr>
        <w:t xml:space="preserve"> </w:t>
      </w:r>
      <w:r>
        <w:rPr>
          <w:rFonts w:ascii="黑体" w:hAnsi="黑体" w:eastAsia="黑体" w:cs="黑体"/>
          <w:b/>
          <w:bCs/>
          <w:color w:val="007CDC"/>
          <w:spacing w:val="1"/>
          <w:sz w:val="20"/>
          <w:szCs w:val="20"/>
        </w:rPr>
        <w:t>的集中运维阶段</w:t>
      </w:r>
    </w:p>
    <w:p w14:paraId="665B94FC">
      <w:pPr>
        <w:pStyle w:val="2"/>
        <w:spacing w:before="135" w:line="274" w:lineRule="auto"/>
        <w:ind w:right="185" w:firstLine="399"/>
        <w:jc w:val="both"/>
        <w:rPr>
          <w:sz w:val="20"/>
          <w:szCs w:val="20"/>
        </w:rPr>
      </w:pPr>
      <w:r>
        <w:rPr>
          <w:spacing w:val="6"/>
          <w:sz w:val="20"/>
          <w:szCs w:val="20"/>
        </w:rPr>
        <w:t>在实现了基于</w:t>
      </w:r>
      <w:r>
        <w:rPr>
          <w:rFonts w:ascii="Times New Roman" w:hAnsi="Times New Roman" w:eastAsia="Times New Roman" w:cs="Times New Roman"/>
          <w:sz w:val="20"/>
          <w:szCs w:val="20"/>
        </w:rPr>
        <w:t>NSM</w:t>
      </w:r>
      <w:r>
        <w:rPr>
          <w:rFonts w:ascii="Times New Roman" w:hAnsi="Times New Roman" w:eastAsia="Times New Roman" w:cs="Times New Roman"/>
          <w:spacing w:val="33"/>
          <w:sz w:val="20"/>
          <w:szCs w:val="20"/>
        </w:rPr>
        <w:t xml:space="preserve"> </w:t>
      </w:r>
      <w:r>
        <w:rPr>
          <w:spacing w:val="6"/>
          <w:sz w:val="20"/>
          <w:szCs w:val="20"/>
        </w:rPr>
        <w:t>的基础设施运维后，信息系统基础设施的环境数据得到全面监控，信</w:t>
      </w:r>
      <w:r>
        <w:rPr>
          <w:sz w:val="20"/>
          <w:szCs w:val="20"/>
        </w:rPr>
        <w:t xml:space="preserve">  </w:t>
      </w:r>
      <w:r>
        <w:rPr>
          <w:spacing w:val="3"/>
          <w:sz w:val="20"/>
          <w:szCs w:val="20"/>
        </w:rPr>
        <w:t>息系统基础软硬件的稳定性、连续性有了明显提升，但用户在信息系统运行过程中仍会遇到各</w:t>
      </w:r>
      <w:r>
        <w:rPr>
          <w:spacing w:val="2"/>
          <w:sz w:val="20"/>
          <w:szCs w:val="20"/>
        </w:rPr>
        <w:t xml:space="preserve">  </w:t>
      </w:r>
      <w:r>
        <w:rPr>
          <w:sz w:val="20"/>
          <w:szCs w:val="20"/>
        </w:rPr>
        <w:t>种各样的问题，由于各信息系统及基础设施的运维是相互独立的，相应的运维管理制度、流程、</w:t>
      </w:r>
      <w:r>
        <w:rPr>
          <w:spacing w:val="18"/>
          <w:sz w:val="20"/>
          <w:szCs w:val="20"/>
        </w:rPr>
        <w:t xml:space="preserve"> </w:t>
      </w:r>
      <w:r>
        <w:rPr>
          <w:spacing w:val="3"/>
          <w:sz w:val="20"/>
          <w:szCs w:val="20"/>
        </w:rPr>
        <w:t>工具及方法也是相对独立的，各运维团队不得不对用户的网络设备、服务器、信息系统等进行</w:t>
      </w:r>
      <w:r>
        <w:rPr>
          <w:spacing w:val="2"/>
          <w:sz w:val="20"/>
          <w:szCs w:val="20"/>
        </w:rPr>
        <w:t xml:space="preserve">  </w:t>
      </w:r>
      <w:r>
        <w:rPr>
          <w:spacing w:val="3"/>
          <w:sz w:val="20"/>
          <w:szCs w:val="20"/>
        </w:rPr>
        <w:t>逐一排查，运维工作效率低下，在这个过程中也容易出现互相推诿的现象，造成更大的资源浪</w:t>
      </w:r>
      <w:r>
        <w:rPr>
          <w:spacing w:val="2"/>
          <w:sz w:val="20"/>
          <w:szCs w:val="20"/>
        </w:rPr>
        <w:t xml:space="preserve">  </w:t>
      </w:r>
      <w:r>
        <w:rPr>
          <w:spacing w:val="3"/>
          <w:sz w:val="20"/>
          <w:szCs w:val="20"/>
        </w:rPr>
        <w:t>费。调查表明，管理原因造成的问题远远多于基础设施和技术本身的问题，运维团队长时间承</w:t>
      </w:r>
      <w:r>
        <w:rPr>
          <w:spacing w:val="2"/>
          <w:sz w:val="20"/>
          <w:szCs w:val="20"/>
        </w:rPr>
        <w:t xml:space="preserve">  </w:t>
      </w:r>
      <w:r>
        <w:rPr>
          <w:spacing w:val="3"/>
          <w:sz w:val="20"/>
          <w:szCs w:val="20"/>
        </w:rPr>
        <w:t>担着“救火队”的角色。随着我国信息化进程的加快，业主单位对信息系统的依赖程度也逐渐</w:t>
      </w:r>
      <w:r>
        <w:rPr>
          <w:spacing w:val="2"/>
          <w:sz w:val="20"/>
          <w:szCs w:val="20"/>
        </w:rPr>
        <w:t xml:space="preserve">  </w:t>
      </w:r>
      <w:r>
        <w:rPr>
          <w:spacing w:val="-1"/>
          <w:sz w:val="20"/>
          <w:szCs w:val="20"/>
        </w:rPr>
        <w:t>提升，对信息系统运维也提出了更高的要求。</w:t>
      </w:r>
      <w:r>
        <w:rPr>
          <w:rFonts w:ascii="Times New Roman" w:hAnsi="Times New Roman" w:eastAsia="Times New Roman" w:cs="Times New Roman"/>
          <w:spacing w:val="-1"/>
          <w:sz w:val="20"/>
          <w:szCs w:val="20"/>
        </w:rPr>
        <w:t>ITSM</w:t>
      </w:r>
      <w:r>
        <w:rPr>
          <w:rFonts w:ascii="Times New Roman" w:hAnsi="Times New Roman" w:eastAsia="Times New Roman" w:cs="Times New Roman"/>
          <w:spacing w:val="27"/>
          <w:sz w:val="20"/>
          <w:szCs w:val="20"/>
        </w:rPr>
        <w:t xml:space="preserve"> </w:t>
      </w:r>
      <w:r>
        <w:rPr>
          <w:spacing w:val="-1"/>
          <w:sz w:val="20"/>
          <w:szCs w:val="20"/>
        </w:rPr>
        <w:t>作为一种新的信息化运维理念开始普及</w:t>
      </w:r>
      <w:r>
        <w:rPr>
          <w:spacing w:val="-2"/>
          <w:sz w:val="20"/>
          <w:szCs w:val="20"/>
        </w:rPr>
        <w:t>，其</w:t>
      </w:r>
      <w:r>
        <w:rPr>
          <w:sz w:val="20"/>
          <w:szCs w:val="20"/>
        </w:rPr>
        <w:t xml:space="preserve">  </w:t>
      </w:r>
      <w:r>
        <w:rPr>
          <w:spacing w:val="4"/>
          <w:sz w:val="20"/>
          <w:szCs w:val="20"/>
        </w:rPr>
        <w:t>最大的变革在于使信息系统运维工作不再仅仅依赖信息</w:t>
      </w:r>
      <w:r>
        <w:rPr>
          <w:spacing w:val="3"/>
          <w:sz w:val="20"/>
          <w:szCs w:val="20"/>
        </w:rPr>
        <w:t>技术，而是对整个流程进行梳理，并形</w:t>
      </w:r>
      <w:r>
        <w:rPr>
          <w:sz w:val="20"/>
          <w:szCs w:val="20"/>
        </w:rPr>
        <w:t xml:space="preserve"> </w:t>
      </w:r>
      <w:r>
        <w:rPr>
          <w:spacing w:val="-3"/>
          <w:sz w:val="20"/>
          <w:szCs w:val="20"/>
        </w:rPr>
        <w:t>成规范化的运维管理标准和制度。</w:t>
      </w:r>
    </w:p>
    <w:p w14:paraId="19F83C46">
      <w:pPr>
        <w:pStyle w:val="2"/>
        <w:spacing w:before="101" w:line="282" w:lineRule="auto"/>
        <w:ind w:right="185" w:firstLine="399"/>
        <w:jc w:val="both"/>
        <w:rPr>
          <w:sz w:val="20"/>
          <w:szCs w:val="20"/>
        </w:rPr>
      </w:pPr>
      <w:r>
        <w:rPr>
          <w:rFonts w:ascii="Times New Roman" w:hAnsi="Times New Roman" w:eastAsia="Times New Roman" w:cs="Times New Roman"/>
          <w:sz w:val="20"/>
          <w:szCs w:val="20"/>
        </w:rPr>
        <w:t xml:space="preserve">ITSM </w:t>
      </w:r>
      <w:r>
        <w:rPr>
          <w:sz w:val="20"/>
          <w:szCs w:val="20"/>
        </w:rPr>
        <w:t>主要强调以最终用户为核心，以流程为导</w:t>
      </w:r>
      <w:r>
        <w:rPr>
          <w:spacing w:val="-1"/>
          <w:sz w:val="20"/>
          <w:szCs w:val="20"/>
        </w:rPr>
        <w:t>向，提供高质量、低成本、高效的信息技术</w:t>
      </w:r>
      <w:r>
        <w:rPr>
          <w:sz w:val="20"/>
          <w:szCs w:val="20"/>
        </w:rPr>
        <w:t xml:space="preserve">  </w:t>
      </w:r>
      <w:r>
        <w:rPr>
          <w:spacing w:val="3"/>
          <w:sz w:val="20"/>
          <w:szCs w:val="20"/>
        </w:rPr>
        <w:t>服务。在信息系统建设期，信息化服务管理需要针对组织业务和客户的真实、可用的需求，对</w:t>
      </w:r>
      <w:r>
        <w:rPr>
          <w:spacing w:val="2"/>
          <w:sz w:val="20"/>
          <w:szCs w:val="20"/>
        </w:rPr>
        <w:t xml:space="preserve">  </w:t>
      </w:r>
      <w:r>
        <w:rPr>
          <w:spacing w:val="3"/>
          <w:sz w:val="20"/>
          <w:szCs w:val="20"/>
        </w:rPr>
        <w:t>信息系统基础架构配置进行合理的安排与设计，避免盲目地投资和重复建设信息系统；在信息</w:t>
      </w:r>
      <w:r>
        <w:rPr>
          <w:spacing w:val="5"/>
          <w:sz w:val="20"/>
          <w:szCs w:val="20"/>
        </w:rPr>
        <w:t xml:space="preserve">  </w:t>
      </w:r>
      <w:r>
        <w:rPr>
          <w:spacing w:val="2"/>
          <w:sz w:val="20"/>
          <w:szCs w:val="20"/>
        </w:rPr>
        <w:t>系统运维期，</w:t>
      </w:r>
      <w:r>
        <w:rPr>
          <w:rFonts w:ascii="Times New Roman" w:hAnsi="Times New Roman" w:eastAsia="Times New Roman" w:cs="Times New Roman"/>
          <w:sz w:val="20"/>
          <w:szCs w:val="20"/>
        </w:rPr>
        <w:t>ITSM</w:t>
      </w:r>
      <w:r>
        <w:rPr>
          <w:rFonts w:ascii="Times New Roman" w:hAnsi="Times New Roman" w:eastAsia="Times New Roman" w:cs="Times New Roman"/>
          <w:spacing w:val="28"/>
          <w:sz w:val="20"/>
          <w:szCs w:val="20"/>
        </w:rPr>
        <w:t xml:space="preserve"> </w:t>
      </w:r>
      <w:r>
        <w:rPr>
          <w:spacing w:val="2"/>
          <w:sz w:val="20"/>
          <w:szCs w:val="20"/>
        </w:rPr>
        <w:t>不同于传统的以系统功能为中心的信息系</w:t>
      </w:r>
      <w:r>
        <w:rPr>
          <w:spacing w:val="1"/>
          <w:sz w:val="20"/>
          <w:szCs w:val="20"/>
        </w:rPr>
        <w:t>统管理方式，而是以流程为重点，</w:t>
      </w:r>
      <w:r>
        <w:rPr>
          <w:sz w:val="20"/>
          <w:szCs w:val="20"/>
        </w:rPr>
        <w:t xml:space="preserve"> </w:t>
      </w:r>
      <w:r>
        <w:rPr>
          <w:spacing w:val="3"/>
          <w:sz w:val="20"/>
          <w:szCs w:val="20"/>
        </w:rPr>
        <w:t>从复杂的信息系统管理活动中梳理出那些核心流程，例如事故管理、问题管理和配置管理，将</w:t>
      </w:r>
      <w:r>
        <w:rPr>
          <w:spacing w:val="2"/>
          <w:sz w:val="20"/>
          <w:szCs w:val="20"/>
        </w:rPr>
        <w:t xml:space="preserve">  </w:t>
      </w:r>
      <w:r>
        <w:rPr>
          <w:sz w:val="20"/>
          <w:szCs w:val="20"/>
        </w:rPr>
        <w:t>流程进行规范化、标准化，明确各运维流程的目的和范围、相关人员的责任和权利、运维步骤、</w:t>
      </w:r>
      <w:r>
        <w:rPr>
          <w:spacing w:val="18"/>
          <w:sz w:val="20"/>
          <w:szCs w:val="20"/>
        </w:rPr>
        <w:t xml:space="preserve"> </w:t>
      </w:r>
      <w:r>
        <w:rPr>
          <w:spacing w:val="-1"/>
          <w:sz w:val="20"/>
          <w:szCs w:val="20"/>
        </w:rPr>
        <w:t>关键成功因素和绩效指标，以及各个流程之间的关系等。</w:t>
      </w:r>
      <w:r>
        <w:rPr>
          <w:rFonts w:ascii="Times New Roman" w:hAnsi="Times New Roman" w:eastAsia="Times New Roman" w:cs="Times New Roman"/>
          <w:spacing w:val="-1"/>
          <w:sz w:val="20"/>
          <w:szCs w:val="20"/>
        </w:rPr>
        <w:t>ITSM</w:t>
      </w:r>
      <w:r>
        <w:rPr>
          <w:rFonts w:ascii="Times New Roman" w:hAnsi="Times New Roman" w:eastAsia="Times New Roman" w:cs="Times New Roman"/>
          <w:spacing w:val="42"/>
          <w:w w:val="101"/>
          <w:sz w:val="20"/>
          <w:szCs w:val="20"/>
        </w:rPr>
        <w:t xml:space="preserve"> </w:t>
      </w:r>
      <w:r>
        <w:rPr>
          <w:spacing w:val="-1"/>
          <w:sz w:val="20"/>
          <w:szCs w:val="20"/>
        </w:rPr>
        <w:t>的目标是将组织的信息系统运维</w:t>
      </w:r>
    </w:p>
    <w:p w14:paraId="3CC6E20B">
      <w:pPr>
        <w:spacing w:line="282" w:lineRule="auto"/>
        <w:rPr>
          <w:sz w:val="20"/>
          <w:szCs w:val="20"/>
        </w:rPr>
        <w:sectPr>
          <w:pgSz w:w="10280" w:h="13310"/>
          <w:pgMar w:top="400" w:right="604" w:bottom="400" w:left="1070" w:header="0" w:footer="0" w:gutter="0"/>
          <w:cols w:space="720" w:num="1"/>
        </w:sectPr>
      </w:pPr>
    </w:p>
    <w:p w14:paraId="442F8EE9">
      <w:pPr>
        <w:pStyle w:val="2"/>
        <w:spacing w:before="88" w:line="219" w:lineRule="auto"/>
        <w:rPr>
          <w:sz w:val="20"/>
          <w:szCs w:val="20"/>
        </w:rPr>
      </w:pPr>
      <w:r>
        <w:rPr>
          <w:rFonts w:ascii="Times New Roman" w:hAnsi="Times New Roman" w:eastAsia="Times New Roman" w:cs="Times New Roman"/>
          <w:spacing w:val="-1"/>
          <w:sz w:val="16"/>
          <w:szCs w:val="16"/>
        </w:rPr>
        <w:t xml:space="preserve">194                  </w:t>
      </w:r>
      <w:r>
        <w:rPr>
          <w:spacing w:val="-1"/>
          <w:sz w:val="20"/>
          <w:szCs w:val="20"/>
        </w:rPr>
        <w:t>信息</w:t>
      </w:r>
      <w:r>
        <w:rPr>
          <w:spacing w:val="-2"/>
          <w:sz w:val="20"/>
          <w:szCs w:val="20"/>
        </w:rPr>
        <w:t>系统监理师教程(第2版)</w:t>
      </w:r>
    </w:p>
    <w:p w14:paraId="6D035554">
      <w:pPr>
        <w:spacing w:line="303" w:lineRule="auto"/>
        <w:rPr>
          <w:rFonts w:ascii="Arial"/>
          <w:sz w:val="21"/>
        </w:rPr>
      </w:pPr>
    </w:p>
    <w:p w14:paraId="5425CC55">
      <w:pPr>
        <w:pStyle w:val="2"/>
        <w:spacing w:before="65" w:line="301" w:lineRule="auto"/>
        <w:ind w:left="319" w:right="131"/>
        <w:rPr>
          <w:sz w:val="20"/>
          <w:szCs w:val="20"/>
        </w:rPr>
      </w:pPr>
      <w:r>
        <w:rPr>
          <w:spacing w:val="2"/>
          <w:sz w:val="20"/>
          <w:szCs w:val="20"/>
        </w:rPr>
        <w:t>工作从成本中心转化为服务中心和效益中心，使业主单位的业务所产生的价值与信息化成本投</w:t>
      </w:r>
      <w:r>
        <w:rPr>
          <w:spacing w:val="15"/>
          <w:sz w:val="20"/>
          <w:szCs w:val="20"/>
        </w:rPr>
        <w:t xml:space="preserve"> </w:t>
      </w:r>
      <w:r>
        <w:rPr>
          <w:spacing w:val="-2"/>
          <w:sz w:val="20"/>
          <w:szCs w:val="20"/>
        </w:rPr>
        <w:t>入比逐步提高，同时降低信息系统运营的成本。</w:t>
      </w:r>
    </w:p>
    <w:p w14:paraId="1361B115">
      <w:pPr>
        <w:spacing w:before="85" w:line="221" w:lineRule="auto"/>
        <w:ind w:left="739"/>
        <w:rPr>
          <w:rFonts w:ascii="黑体" w:hAnsi="黑体" w:eastAsia="黑体" w:cs="黑体"/>
          <w:sz w:val="20"/>
          <w:szCs w:val="20"/>
        </w:rPr>
      </w:pPr>
      <w:bookmarkStart w:id="583" w:name="bookmark568"/>
      <w:bookmarkEnd w:id="583"/>
      <w:r>
        <w:rPr>
          <w:rFonts w:ascii="Arial" w:hAnsi="Arial" w:eastAsia="Arial" w:cs="Arial"/>
          <w:b/>
          <w:bCs/>
          <w:color w:val="009CE0"/>
          <w:spacing w:val="-3"/>
          <w:sz w:val="20"/>
          <w:szCs w:val="20"/>
        </w:rPr>
        <w:t>3.</w:t>
      </w:r>
      <w:r>
        <w:rPr>
          <w:rFonts w:ascii="Arial" w:hAnsi="Arial" w:eastAsia="Arial" w:cs="Arial"/>
          <w:b/>
          <w:bCs/>
          <w:color w:val="009CE0"/>
          <w:spacing w:val="-21"/>
          <w:sz w:val="20"/>
          <w:szCs w:val="20"/>
        </w:rPr>
        <w:t xml:space="preserve"> </w:t>
      </w:r>
      <w:r>
        <w:rPr>
          <w:rFonts w:ascii="黑体" w:hAnsi="黑体" w:eastAsia="黑体" w:cs="黑体"/>
          <w:b/>
          <w:bCs/>
          <w:color w:val="009CE0"/>
          <w:spacing w:val="-3"/>
          <w:sz w:val="20"/>
          <w:szCs w:val="20"/>
        </w:rPr>
        <w:t>基</w:t>
      </w:r>
      <w:r>
        <w:rPr>
          <w:rFonts w:ascii="黑体" w:hAnsi="黑体" w:eastAsia="黑体" w:cs="黑体"/>
          <w:color w:val="009CE0"/>
          <w:spacing w:val="-37"/>
          <w:sz w:val="20"/>
          <w:szCs w:val="20"/>
        </w:rPr>
        <w:t xml:space="preserve"> </w:t>
      </w:r>
      <w:r>
        <w:rPr>
          <w:rFonts w:ascii="黑体" w:hAnsi="黑体" w:eastAsia="黑体" w:cs="黑体"/>
          <w:b/>
          <w:bCs/>
          <w:color w:val="009CE0"/>
          <w:spacing w:val="-3"/>
          <w:sz w:val="20"/>
          <w:szCs w:val="20"/>
        </w:rPr>
        <w:t>于</w:t>
      </w:r>
      <w:r>
        <w:rPr>
          <w:rFonts w:ascii="Arial" w:hAnsi="Arial" w:eastAsia="Arial" w:cs="Arial"/>
          <w:b/>
          <w:bCs/>
          <w:color w:val="009CE0"/>
          <w:spacing w:val="-3"/>
          <w:sz w:val="20"/>
          <w:szCs w:val="20"/>
        </w:rPr>
        <w:t xml:space="preserve">BSM </w:t>
      </w:r>
      <w:r>
        <w:rPr>
          <w:rFonts w:ascii="黑体" w:hAnsi="黑体" w:eastAsia="黑体" w:cs="黑体"/>
          <w:b/>
          <w:bCs/>
          <w:color w:val="009CE0"/>
          <w:spacing w:val="-3"/>
          <w:sz w:val="20"/>
          <w:szCs w:val="20"/>
        </w:rPr>
        <w:t>的业务导向集中运维阶段</w:t>
      </w:r>
    </w:p>
    <w:p w14:paraId="28B99FCA">
      <w:pPr>
        <w:pStyle w:val="2"/>
        <w:spacing w:before="133" w:line="289" w:lineRule="auto"/>
        <w:ind w:left="319" w:right="90" w:firstLine="420"/>
        <w:jc w:val="both"/>
        <w:rPr>
          <w:sz w:val="20"/>
          <w:szCs w:val="20"/>
        </w:rPr>
      </w:pPr>
      <w:r>
        <w:rPr>
          <w:spacing w:val="7"/>
          <w:sz w:val="20"/>
          <w:szCs w:val="20"/>
        </w:rPr>
        <w:t>经过</w:t>
      </w:r>
      <w:r>
        <w:rPr>
          <w:rFonts w:ascii="Times New Roman" w:hAnsi="Times New Roman" w:eastAsia="Times New Roman" w:cs="Times New Roman"/>
          <w:sz w:val="20"/>
          <w:szCs w:val="20"/>
        </w:rPr>
        <w:t>ITSM</w:t>
      </w:r>
      <w:r>
        <w:rPr>
          <w:rFonts w:ascii="Times New Roman" w:hAnsi="Times New Roman" w:eastAsia="Times New Roman" w:cs="Times New Roman"/>
          <w:spacing w:val="18"/>
          <w:sz w:val="20"/>
          <w:szCs w:val="20"/>
        </w:rPr>
        <w:t xml:space="preserve"> </w:t>
      </w:r>
      <w:r>
        <w:rPr>
          <w:spacing w:val="7"/>
          <w:sz w:val="20"/>
          <w:szCs w:val="20"/>
        </w:rPr>
        <w:t>阶段，组织实现了规范化、流程化的信息</w:t>
      </w:r>
      <w:r>
        <w:rPr>
          <w:spacing w:val="6"/>
          <w:sz w:val="20"/>
          <w:szCs w:val="20"/>
        </w:rPr>
        <w:t>系统运维，但</w:t>
      </w:r>
      <w:r>
        <w:rPr>
          <w:rFonts w:ascii="Times New Roman" w:hAnsi="Times New Roman" w:eastAsia="Times New Roman" w:cs="Times New Roman"/>
          <w:sz w:val="20"/>
          <w:szCs w:val="20"/>
        </w:rPr>
        <w:t>ITSM</w:t>
      </w:r>
      <w:r>
        <w:rPr>
          <w:rFonts w:ascii="Times New Roman" w:hAnsi="Times New Roman" w:eastAsia="Times New Roman" w:cs="Times New Roman"/>
          <w:spacing w:val="27"/>
          <w:w w:val="101"/>
          <w:sz w:val="20"/>
          <w:szCs w:val="20"/>
        </w:rPr>
        <w:t xml:space="preserve"> </w:t>
      </w:r>
      <w:r>
        <w:rPr>
          <w:spacing w:val="6"/>
          <w:sz w:val="20"/>
          <w:szCs w:val="20"/>
        </w:rPr>
        <w:t>阶段的管理仍然</w:t>
      </w:r>
      <w:r>
        <w:rPr>
          <w:sz w:val="20"/>
          <w:szCs w:val="20"/>
        </w:rPr>
        <w:t xml:space="preserve"> </w:t>
      </w:r>
      <w:r>
        <w:rPr>
          <w:spacing w:val="3"/>
          <w:sz w:val="20"/>
          <w:szCs w:val="20"/>
        </w:rPr>
        <w:t>是以业务信息化为对象，针对业务提出的需求进行被动式调整，随着运维服务管理流</w:t>
      </w:r>
      <w:r>
        <w:rPr>
          <w:spacing w:val="2"/>
          <w:sz w:val="20"/>
          <w:szCs w:val="20"/>
        </w:rPr>
        <w:t>程的逐步</w:t>
      </w:r>
      <w:r>
        <w:rPr>
          <w:sz w:val="20"/>
          <w:szCs w:val="20"/>
        </w:rPr>
        <w:t xml:space="preserve"> </w:t>
      </w:r>
      <w:r>
        <w:rPr>
          <w:spacing w:val="3"/>
          <w:sz w:val="20"/>
          <w:szCs w:val="20"/>
        </w:rPr>
        <w:t>捋顺，业主单位越来越关注信息化服务对业务带来的影响及整体业务情况，越</w:t>
      </w:r>
      <w:r>
        <w:rPr>
          <w:spacing w:val="2"/>
          <w:sz w:val="20"/>
          <w:szCs w:val="20"/>
        </w:rPr>
        <w:t>来越注重运维服</w:t>
      </w:r>
      <w:r>
        <w:rPr>
          <w:sz w:val="20"/>
          <w:szCs w:val="20"/>
        </w:rPr>
        <w:t xml:space="preserve"> 务团队从业务目标出发来优化运维服务质量，也就是进入了信息化与业务融合的</w:t>
      </w:r>
      <w:r>
        <w:rPr>
          <w:rFonts w:ascii="Times New Roman" w:hAnsi="Times New Roman" w:eastAsia="Times New Roman" w:cs="Times New Roman"/>
          <w:sz w:val="20"/>
          <w:szCs w:val="20"/>
        </w:rPr>
        <w:t xml:space="preserve">BSM </w:t>
      </w:r>
      <w:r>
        <w:rPr>
          <w:sz w:val="20"/>
          <w:szCs w:val="20"/>
        </w:rPr>
        <w:t>阶段。</w:t>
      </w:r>
    </w:p>
    <w:p w14:paraId="6FC18A48">
      <w:pPr>
        <w:pStyle w:val="2"/>
        <w:spacing w:before="17" w:line="283" w:lineRule="auto"/>
        <w:ind w:left="319" w:right="110" w:firstLine="420"/>
        <w:jc w:val="both"/>
        <w:rPr>
          <w:sz w:val="20"/>
          <w:szCs w:val="20"/>
        </w:rPr>
      </w:pPr>
      <w:r>
        <w:rPr>
          <w:rFonts w:ascii="Times New Roman" w:hAnsi="Times New Roman" w:eastAsia="Times New Roman" w:cs="Times New Roman"/>
          <w:sz w:val="20"/>
          <w:szCs w:val="20"/>
        </w:rPr>
        <w:t>BSM</w:t>
      </w:r>
      <w:r>
        <w:rPr>
          <w:spacing w:val="2"/>
          <w:sz w:val="20"/>
          <w:szCs w:val="20"/>
        </w:rPr>
        <w:t>实现了业主单位信息系统运维到运维服务团队业务的映射过程，业务目标和成果的达</w:t>
      </w:r>
      <w:r>
        <w:rPr>
          <w:sz w:val="20"/>
          <w:szCs w:val="20"/>
        </w:rPr>
        <w:t xml:space="preserve"> </w:t>
      </w:r>
      <w:r>
        <w:rPr>
          <w:spacing w:val="3"/>
          <w:sz w:val="20"/>
          <w:szCs w:val="20"/>
        </w:rPr>
        <w:t>成依赖于实现关键业务流程的自动化工具，这些自动化工具出现故障或性能问题</w:t>
      </w:r>
      <w:r>
        <w:rPr>
          <w:spacing w:val="2"/>
          <w:sz w:val="20"/>
          <w:szCs w:val="20"/>
        </w:rPr>
        <w:t>可能会导致严</w:t>
      </w:r>
      <w:r>
        <w:rPr>
          <w:sz w:val="20"/>
          <w:szCs w:val="20"/>
        </w:rPr>
        <w:t xml:space="preserve"> </w:t>
      </w:r>
      <w:r>
        <w:rPr>
          <w:spacing w:val="3"/>
          <w:sz w:val="20"/>
          <w:szCs w:val="20"/>
        </w:rPr>
        <w:t>重的业务影响，而信息系统的性能还与许多外部因素有关，例如网络组件、服务器</w:t>
      </w:r>
      <w:r>
        <w:rPr>
          <w:spacing w:val="2"/>
          <w:sz w:val="20"/>
          <w:szCs w:val="20"/>
        </w:rPr>
        <w:t>、操作系统</w:t>
      </w:r>
      <w:r>
        <w:rPr>
          <w:sz w:val="20"/>
          <w:szCs w:val="20"/>
        </w:rPr>
        <w:t xml:space="preserve"> </w:t>
      </w:r>
      <w:r>
        <w:rPr>
          <w:spacing w:val="3"/>
          <w:sz w:val="20"/>
          <w:szCs w:val="20"/>
        </w:rPr>
        <w:t>和其他基础设施等。要完成运维工作，首先需要进行业务的梳理，确定服务对</w:t>
      </w:r>
      <w:r>
        <w:rPr>
          <w:spacing w:val="2"/>
          <w:sz w:val="20"/>
          <w:szCs w:val="20"/>
        </w:rPr>
        <w:t>象，包括每项业</w:t>
      </w:r>
      <w:r>
        <w:rPr>
          <w:sz w:val="20"/>
          <w:szCs w:val="20"/>
        </w:rPr>
        <w:t xml:space="preserve"> </w:t>
      </w:r>
      <w:r>
        <w:rPr>
          <w:spacing w:val="3"/>
          <w:sz w:val="20"/>
          <w:szCs w:val="20"/>
        </w:rPr>
        <w:t>务涉及的所有资源、过程、状态、绩效指标、成本和收益等；然后对服务对象</w:t>
      </w:r>
      <w:r>
        <w:rPr>
          <w:spacing w:val="2"/>
          <w:sz w:val="20"/>
          <w:szCs w:val="20"/>
        </w:rPr>
        <w:t>的各项性能指标</w:t>
      </w:r>
      <w:r>
        <w:rPr>
          <w:sz w:val="20"/>
          <w:szCs w:val="20"/>
        </w:rPr>
        <w:t xml:space="preserve"> </w:t>
      </w:r>
      <w:r>
        <w:rPr>
          <w:spacing w:val="3"/>
          <w:sz w:val="20"/>
          <w:szCs w:val="20"/>
        </w:rPr>
        <w:t>进行定义，并确定如何获取各项性能指标；将各项指标进行关联对应，分析服务对象</w:t>
      </w:r>
      <w:r>
        <w:rPr>
          <w:spacing w:val="2"/>
          <w:sz w:val="20"/>
          <w:szCs w:val="20"/>
        </w:rPr>
        <w:t>产生问题</w:t>
      </w:r>
      <w:r>
        <w:rPr>
          <w:sz w:val="20"/>
          <w:szCs w:val="20"/>
        </w:rPr>
        <w:t xml:space="preserve"> </w:t>
      </w:r>
      <w:r>
        <w:rPr>
          <w:spacing w:val="3"/>
          <w:sz w:val="20"/>
          <w:szCs w:val="20"/>
        </w:rPr>
        <w:t>时会影响到哪些业务，及如何对业务产生影响；最后，完成资源到业务关联的分</w:t>
      </w:r>
      <w:r>
        <w:rPr>
          <w:spacing w:val="2"/>
          <w:sz w:val="20"/>
          <w:szCs w:val="20"/>
        </w:rPr>
        <w:t>析，对运维服</w:t>
      </w:r>
      <w:r>
        <w:rPr>
          <w:sz w:val="20"/>
          <w:szCs w:val="20"/>
        </w:rPr>
        <w:t xml:space="preserve"> </w:t>
      </w:r>
      <w:r>
        <w:rPr>
          <w:spacing w:val="-3"/>
          <w:sz w:val="20"/>
          <w:szCs w:val="20"/>
        </w:rPr>
        <w:t>务所涉及业务需要的信息化资源进行重现，按需最优化分配。</w:t>
      </w:r>
    </w:p>
    <w:p w14:paraId="29C480C6">
      <w:pPr>
        <w:pStyle w:val="2"/>
        <w:spacing w:before="89" w:line="219" w:lineRule="auto"/>
        <w:ind w:left="739"/>
        <w:rPr>
          <w:sz w:val="20"/>
          <w:szCs w:val="20"/>
        </w:rPr>
      </w:pPr>
      <w:r>
        <w:rPr>
          <w:spacing w:val="-2"/>
          <w:sz w:val="20"/>
          <w:szCs w:val="20"/>
        </w:rPr>
        <w:t>由此可见，</w:t>
      </w:r>
      <w:r>
        <w:rPr>
          <w:rFonts w:ascii="Times New Roman" w:hAnsi="Times New Roman" w:eastAsia="Times New Roman" w:cs="Times New Roman"/>
          <w:spacing w:val="-2"/>
          <w:sz w:val="20"/>
          <w:szCs w:val="20"/>
        </w:rPr>
        <w:t>BSM</w:t>
      </w:r>
      <w:r>
        <w:rPr>
          <w:rFonts w:ascii="Times New Roman" w:hAnsi="Times New Roman" w:eastAsia="Times New Roman" w:cs="Times New Roman"/>
          <w:spacing w:val="23"/>
          <w:w w:val="101"/>
          <w:sz w:val="20"/>
          <w:szCs w:val="20"/>
        </w:rPr>
        <w:t xml:space="preserve"> </w:t>
      </w:r>
      <w:r>
        <w:rPr>
          <w:spacing w:val="-2"/>
          <w:sz w:val="20"/>
          <w:szCs w:val="20"/>
        </w:rPr>
        <w:t>的核心主要体现为三个方面，即业务、资源配置及两者之间的关系：</w:t>
      </w:r>
    </w:p>
    <w:p w14:paraId="498EC398">
      <w:pPr>
        <w:pStyle w:val="2"/>
        <w:spacing w:before="73" w:line="219" w:lineRule="auto"/>
        <w:ind w:left="739"/>
        <w:rPr>
          <w:sz w:val="20"/>
          <w:szCs w:val="20"/>
        </w:rPr>
      </w:pPr>
      <w:r>
        <w:rPr>
          <w:spacing w:val="1"/>
          <w:sz w:val="20"/>
          <w:szCs w:val="20"/>
        </w:rPr>
        <w:t>(1)业务蓝图展现运维服务团队业务的构成情况；</w:t>
      </w:r>
    </w:p>
    <w:p w14:paraId="66245952">
      <w:pPr>
        <w:pStyle w:val="2"/>
        <w:spacing w:before="83" w:line="219" w:lineRule="auto"/>
        <w:ind w:left="739"/>
        <w:rPr>
          <w:sz w:val="20"/>
          <w:szCs w:val="20"/>
        </w:rPr>
      </w:pPr>
      <w:r>
        <w:rPr>
          <w:spacing w:val="2"/>
          <w:sz w:val="20"/>
          <w:szCs w:val="20"/>
        </w:rPr>
        <w:t>(2)资源配置蓝图展现一个运维服务团队及所有对象构成关系</w:t>
      </w:r>
      <w:r>
        <w:rPr>
          <w:spacing w:val="1"/>
          <w:sz w:val="20"/>
          <w:szCs w:val="20"/>
        </w:rPr>
        <w:t>全景；</w:t>
      </w:r>
    </w:p>
    <w:p w14:paraId="1B493AAC">
      <w:pPr>
        <w:pStyle w:val="2"/>
        <w:spacing w:before="71" w:line="253" w:lineRule="auto"/>
        <w:ind w:left="319" w:right="20" w:firstLine="420"/>
        <w:rPr>
          <w:sz w:val="20"/>
          <w:szCs w:val="20"/>
        </w:rPr>
      </w:pPr>
      <w:r>
        <w:rPr>
          <w:spacing w:val="7"/>
          <w:sz w:val="20"/>
          <w:szCs w:val="20"/>
        </w:rPr>
        <w:t>(3)最终将业务蓝图与资源配置蓝图进行整合，可以动态展现当前信息系统的运行情况，</w:t>
      </w:r>
      <w:r>
        <w:rPr>
          <w:spacing w:val="8"/>
          <w:sz w:val="20"/>
          <w:szCs w:val="20"/>
        </w:rPr>
        <w:t xml:space="preserve"> </w:t>
      </w:r>
      <w:r>
        <w:rPr>
          <w:spacing w:val="-2"/>
          <w:sz w:val="20"/>
          <w:szCs w:val="20"/>
        </w:rPr>
        <w:t>并动态体现出其对业务支撑的相关运维要素及各类资源</w:t>
      </w:r>
      <w:r>
        <w:rPr>
          <w:spacing w:val="-3"/>
          <w:sz w:val="20"/>
          <w:szCs w:val="20"/>
        </w:rPr>
        <w:t>的情况和能力。</w:t>
      </w:r>
    </w:p>
    <w:p w14:paraId="3211C1CF">
      <w:pPr>
        <w:pStyle w:val="2"/>
        <w:spacing w:before="59" w:line="289" w:lineRule="auto"/>
        <w:ind w:left="319" w:right="20" w:firstLine="420"/>
        <w:jc w:val="both"/>
        <w:rPr>
          <w:sz w:val="16"/>
          <w:szCs w:val="16"/>
        </w:rPr>
      </w:pPr>
      <w:r>
        <w:rPr>
          <w:rFonts w:ascii="Times New Roman" w:hAnsi="Times New Roman" w:eastAsia="Times New Roman" w:cs="Times New Roman"/>
          <w:sz w:val="20"/>
          <w:szCs w:val="20"/>
        </w:rPr>
        <w:t>BSM</w:t>
      </w:r>
      <w:r>
        <w:rPr>
          <w:rFonts w:ascii="Times New Roman" w:hAnsi="Times New Roman" w:eastAsia="Times New Roman" w:cs="Times New Roman"/>
          <w:spacing w:val="-5"/>
          <w:sz w:val="20"/>
          <w:szCs w:val="20"/>
        </w:rPr>
        <w:t xml:space="preserve"> </w:t>
      </w:r>
      <w:r>
        <w:rPr>
          <w:spacing w:val="1"/>
          <w:sz w:val="20"/>
          <w:szCs w:val="20"/>
        </w:rPr>
        <w:t>相关的软件或平台是智能运维服务的实践。业主单位的用户可以将因业务变化产生的</w:t>
      </w:r>
      <w:r>
        <w:rPr>
          <w:sz w:val="20"/>
          <w:szCs w:val="20"/>
        </w:rPr>
        <w:t xml:space="preserve">  </w:t>
      </w:r>
      <w:r>
        <w:rPr>
          <w:spacing w:val="1"/>
          <w:sz w:val="20"/>
          <w:szCs w:val="20"/>
        </w:rPr>
        <w:t>请求提交给运维服务团队，通过</w:t>
      </w:r>
      <w:r>
        <w:rPr>
          <w:rFonts w:ascii="Times New Roman" w:hAnsi="Times New Roman" w:eastAsia="Times New Roman" w:cs="Times New Roman"/>
          <w:sz w:val="20"/>
          <w:szCs w:val="20"/>
        </w:rPr>
        <w:t>BSM</w:t>
      </w:r>
      <w:r>
        <w:rPr>
          <w:rFonts w:ascii="Times New Roman" w:hAnsi="Times New Roman" w:eastAsia="Times New Roman" w:cs="Times New Roman"/>
          <w:spacing w:val="1"/>
          <w:sz w:val="20"/>
          <w:szCs w:val="20"/>
        </w:rPr>
        <w:t xml:space="preserve"> </w:t>
      </w:r>
      <w:r>
        <w:rPr>
          <w:spacing w:val="1"/>
          <w:sz w:val="20"/>
          <w:szCs w:val="20"/>
        </w:rPr>
        <w:t>技术可以对相应的基础设施做出动态的改变和配置，而且</w:t>
      </w:r>
      <w:r>
        <w:rPr>
          <w:spacing w:val="2"/>
          <w:sz w:val="20"/>
          <w:szCs w:val="20"/>
        </w:rPr>
        <w:t xml:space="preserve">  </w:t>
      </w:r>
      <w:r>
        <w:rPr>
          <w:spacing w:val="3"/>
          <w:sz w:val="20"/>
          <w:szCs w:val="20"/>
        </w:rPr>
        <w:t>能对系统性能进行建模，实时对系统性能进行跟踪和监控，动态地调整基础设施</w:t>
      </w:r>
      <w:r>
        <w:rPr>
          <w:spacing w:val="2"/>
          <w:sz w:val="20"/>
          <w:szCs w:val="20"/>
        </w:rPr>
        <w:t>等资源以适应</w:t>
      </w:r>
      <w:r>
        <w:rPr>
          <w:sz w:val="20"/>
          <w:szCs w:val="20"/>
        </w:rPr>
        <w:t xml:space="preserve">  </w:t>
      </w:r>
      <w:r>
        <w:rPr>
          <w:spacing w:val="6"/>
          <w:sz w:val="20"/>
          <w:szCs w:val="20"/>
        </w:rPr>
        <w:t>业务的变化。到目前为止，我国大多数业主单位及运</w:t>
      </w:r>
      <w:r>
        <w:rPr>
          <w:spacing w:val="5"/>
          <w:sz w:val="20"/>
          <w:szCs w:val="20"/>
        </w:rPr>
        <w:t>维服务团队的管理层次仍然停留在</w:t>
      </w:r>
      <w:r>
        <w:rPr>
          <w:rFonts w:ascii="Times New Roman" w:hAnsi="Times New Roman" w:eastAsia="Times New Roman" w:cs="Times New Roman"/>
          <w:sz w:val="20"/>
          <w:szCs w:val="20"/>
        </w:rPr>
        <w:t xml:space="preserve">ITSM   </w:t>
      </w:r>
      <w:r>
        <w:rPr>
          <w:spacing w:val="4"/>
          <w:sz w:val="20"/>
          <w:szCs w:val="20"/>
        </w:rPr>
        <w:t>初级阶段，甚至是</w:t>
      </w:r>
      <w:r>
        <w:rPr>
          <w:rFonts w:ascii="Times New Roman" w:hAnsi="Times New Roman" w:eastAsia="Times New Roman" w:cs="Times New Roman"/>
          <w:sz w:val="20"/>
          <w:szCs w:val="20"/>
        </w:rPr>
        <w:t>NSM</w:t>
      </w:r>
      <w:r>
        <w:rPr>
          <w:rFonts w:ascii="Times New Roman" w:hAnsi="Times New Roman" w:eastAsia="Times New Roman" w:cs="Times New Roman"/>
          <w:spacing w:val="21"/>
          <w:w w:val="101"/>
          <w:sz w:val="20"/>
          <w:szCs w:val="20"/>
        </w:rPr>
        <w:t xml:space="preserve"> </w:t>
      </w:r>
      <w:r>
        <w:rPr>
          <w:spacing w:val="4"/>
          <w:sz w:val="20"/>
          <w:szCs w:val="20"/>
        </w:rPr>
        <w:t>阶段，如果以这样的运维架构实施</w:t>
      </w:r>
      <w:r>
        <w:rPr>
          <w:rFonts w:ascii="Times New Roman" w:hAnsi="Times New Roman" w:eastAsia="Times New Roman" w:cs="Times New Roman"/>
          <w:sz w:val="20"/>
          <w:szCs w:val="20"/>
        </w:rPr>
        <w:t>BSM</w:t>
      </w:r>
      <w:r>
        <w:rPr>
          <w:rFonts w:ascii="Times New Roman" w:hAnsi="Times New Roman" w:eastAsia="Times New Roman" w:cs="Times New Roman"/>
          <w:spacing w:val="4"/>
          <w:sz w:val="20"/>
          <w:szCs w:val="20"/>
        </w:rPr>
        <w:t xml:space="preserve"> </w:t>
      </w:r>
      <w:r>
        <w:rPr>
          <w:spacing w:val="4"/>
          <w:sz w:val="20"/>
          <w:szCs w:val="20"/>
        </w:rPr>
        <w:t>技术，不仅无法实现信息化与</w:t>
      </w:r>
      <w:r>
        <w:rPr>
          <w:sz w:val="20"/>
          <w:szCs w:val="20"/>
        </w:rPr>
        <w:t xml:space="preserve">  </w:t>
      </w:r>
      <w:r>
        <w:rPr>
          <w:spacing w:val="2"/>
          <w:sz w:val="20"/>
          <w:szCs w:val="20"/>
        </w:rPr>
        <w:t>业务的有效结合，还会导致业务混乱。从传统的信息化运维服务向</w:t>
      </w:r>
      <w:r>
        <w:rPr>
          <w:rFonts w:ascii="Times New Roman" w:hAnsi="Times New Roman" w:eastAsia="Times New Roman" w:cs="Times New Roman"/>
          <w:sz w:val="20"/>
          <w:szCs w:val="20"/>
        </w:rPr>
        <w:t>BSM</w:t>
      </w:r>
      <w:r>
        <w:rPr>
          <w:rFonts w:ascii="Times New Roman" w:hAnsi="Times New Roman" w:eastAsia="Times New Roman" w:cs="Times New Roman"/>
          <w:spacing w:val="2"/>
          <w:sz w:val="20"/>
          <w:szCs w:val="20"/>
        </w:rPr>
        <w:t xml:space="preserve"> </w:t>
      </w:r>
      <w:r>
        <w:rPr>
          <w:spacing w:val="2"/>
          <w:sz w:val="20"/>
          <w:szCs w:val="20"/>
        </w:rPr>
        <w:t>发</w:t>
      </w:r>
      <w:r>
        <w:rPr>
          <w:spacing w:val="1"/>
          <w:sz w:val="20"/>
          <w:szCs w:val="20"/>
        </w:rPr>
        <w:t>展的过程，也是信息</w:t>
      </w:r>
      <w:r>
        <w:rPr>
          <w:sz w:val="20"/>
          <w:szCs w:val="20"/>
        </w:rPr>
        <w:t xml:space="preserve"> 化运维与组织业务相互匹配、相互磨合、相互融合的过程，许多技术和管理细节需要持续改进、</w:t>
      </w:r>
      <w:r>
        <w:rPr>
          <w:spacing w:val="8"/>
          <w:sz w:val="20"/>
          <w:szCs w:val="20"/>
        </w:rPr>
        <w:t xml:space="preserve"> </w:t>
      </w:r>
      <w:r>
        <w:rPr>
          <w:spacing w:val="-5"/>
          <w:sz w:val="16"/>
          <w:szCs w:val="16"/>
        </w:rPr>
        <w:t>优</w:t>
      </w:r>
      <w:r>
        <w:rPr>
          <w:spacing w:val="-13"/>
          <w:sz w:val="16"/>
          <w:szCs w:val="16"/>
        </w:rPr>
        <w:t xml:space="preserve"> </w:t>
      </w:r>
      <w:r>
        <w:rPr>
          <w:spacing w:val="-5"/>
          <w:sz w:val="16"/>
          <w:szCs w:val="16"/>
        </w:rPr>
        <w:t>化</w:t>
      </w:r>
      <w:r>
        <w:rPr>
          <w:spacing w:val="-20"/>
          <w:sz w:val="16"/>
          <w:szCs w:val="16"/>
        </w:rPr>
        <w:t xml:space="preserve"> </w:t>
      </w:r>
      <w:r>
        <w:rPr>
          <w:spacing w:val="-5"/>
          <w:sz w:val="16"/>
          <w:szCs w:val="16"/>
        </w:rPr>
        <w:t>。</w:t>
      </w:r>
    </w:p>
    <w:p w14:paraId="41E72DF5">
      <w:pPr>
        <w:pStyle w:val="2"/>
        <w:spacing w:before="241" w:line="219" w:lineRule="auto"/>
        <w:ind w:left="322"/>
        <w:rPr>
          <w:sz w:val="25"/>
          <w:szCs w:val="25"/>
        </w:rPr>
      </w:pPr>
      <w:r>
        <w:rPr>
          <w:b/>
          <w:bCs/>
          <w:color w:val="0084D1"/>
          <w:spacing w:val="-16"/>
          <w:sz w:val="25"/>
          <w:szCs w:val="25"/>
        </w:rPr>
        <w:t>7.1.3</w:t>
      </w:r>
      <w:r>
        <w:rPr>
          <w:color w:val="0084D1"/>
          <w:spacing w:val="69"/>
          <w:sz w:val="25"/>
          <w:szCs w:val="25"/>
        </w:rPr>
        <w:t xml:space="preserve"> </w:t>
      </w:r>
      <w:r>
        <w:rPr>
          <w:b/>
          <w:bCs/>
          <w:color w:val="0084D1"/>
          <w:spacing w:val="-16"/>
          <w:sz w:val="25"/>
          <w:szCs w:val="25"/>
        </w:rPr>
        <w:t>运行维护服务发展趋势</w:t>
      </w:r>
    </w:p>
    <w:p w14:paraId="7DBFD926">
      <w:pPr>
        <w:pStyle w:val="2"/>
        <w:spacing w:before="230" w:line="221" w:lineRule="auto"/>
        <w:ind w:left="742"/>
        <w:rPr>
          <w:rFonts w:ascii="黑体" w:hAnsi="黑体" w:eastAsia="黑体" w:cs="黑体"/>
          <w:sz w:val="20"/>
          <w:szCs w:val="20"/>
        </w:rPr>
      </w:pPr>
      <w:r>
        <w:rPr>
          <w:b/>
          <w:bCs/>
          <w:color w:val="0081CD"/>
          <w:spacing w:val="-4"/>
          <w:sz w:val="20"/>
          <w:szCs w:val="20"/>
        </w:rPr>
        <w:t>1.</w:t>
      </w:r>
      <w:r>
        <w:rPr>
          <w:rFonts w:ascii="黑体" w:hAnsi="黑体" w:eastAsia="黑体" w:cs="黑体"/>
          <w:b/>
          <w:bCs/>
          <w:color w:val="0081CD"/>
          <w:spacing w:val="-4"/>
          <w:sz w:val="20"/>
          <w:szCs w:val="20"/>
        </w:rPr>
        <w:t>新技术不断涌现</w:t>
      </w:r>
    </w:p>
    <w:p w14:paraId="6ACCD305">
      <w:pPr>
        <w:pStyle w:val="2"/>
        <w:spacing w:before="132" w:line="280" w:lineRule="auto"/>
        <w:ind w:left="319" w:firstLine="420"/>
        <w:jc w:val="both"/>
        <w:rPr>
          <w:sz w:val="20"/>
          <w:szCs w:val="20"/>
        </w:rPr>
      </w:pPr>
      <w:r>
        <w:rPr>
          <w:spacing w:val="8"/>
          <w:sz w:val="20"/>
          <w:szCs w:val="20"/>
        </w:rPr>
        <w:t>随着基础设施运维技术、节能技术、新能源技术、网络技术、存储技术</w:t>
      </w:r>
      <w:r>
        <w:rPr>
          <w:spacing w:val="7"/>
          <w:sz w:val="20"/>
          <w:szCs w:val="20"/>
        </w:rPr>
        <w:t>、虚拟技术、数</w:t>
      </w:r>
      <w:r>
        <w:rPr>
          <w:sz w:val="20"/>
          <w:szCs w:val="20"/>
        </w:rPr>
        <w:t xml:space="preserve">  </w:t>
      </w:r>
      <w:r>
        <w:rPr>
          <w:spacing w:val="13"/>
          <w:sz w:val="20"/>
          <w:szCs w:val="20"/>
        </w:rPr>
        <w:t>据库技术、分布式计算技术、云计算技术、大数据技术、人工智能技术、开发运维一体化</w:t>
      </w:r>
      <w:r>
        <w:rPr>
          <w:spacing w:val="5"/>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DevOps</w:t>
      </w:r>
      <w:r>
        <w:rPr>
          <w:rFonts w:ascii="Times New Roman" w:hAnsi="Times New Roman" w:eastAsia="Times New Roman" w:cs="Times New Roman"/>
          <w:spacing w:val="8"/>
          <w:sz w:val="20"/>
          <w:szCs w:val="20"/>
        </w:rPr>
        <w:t xml:space="preserve">)   </w:t>
      </w:r>
      <w:r>
        <w:rPr>
          <w:spacing w:val="8"/>
          <w:sz w:val="20"/>
          <w:szCs w:val="20"/>
        </w:rPr>
        <w:t>技术、物联网技术等新一代信息技术在5</w:t>
      </w:r>
      <w:r>
        <w:rPr>
          <w:rFonts w:ascii="Times New Roman" w:hAnsi="Times New Roman" w:eastAsia="Times New Roman" w:cs="Times New Roman"/>
          <w:spacing w:val="8"/>
          <w:sz w:val="20"/>
          <w:szCs w:val="20"/>
        </w:rPr>
        <w:t>G</w:t>
      </w:r>
      <w:r>
        <w:rPr>
          <w:rFonts w:ascii="Times New Roman" w:hAnsi="Times New Roman" w:eastAsia="Times New Roman" w:cs="Times New Roman"/>
          <w:spacing w:val="-28"/>
          <w:sz w:val="20"/>
          <w:szCs w:val="20"/>
        </w:rPr>
        <w:t xml:space="preserve"> </w:t>
      </w:r>
      <w:r>
        <w:rPr>
          <w:spacing w:val="8"/>
          <w:sz w:val="20"/>
          <w:szCs w:val="20"/>
        </w:rPr>
        <w:t>、云</w:t>
      </w:r>
      <w:r>
        <w:rPr>
          <w:spacing w:val="7"/>
          <w:sz w:val="20"/>
          <w:szCs w:val="20"/>
        </w:rPr>
        <w:t>计算、区块链、人工智能、数字孪</w:t>
      </w:r>
      <w:r>
        <w:rPr>
          <w:sz w:val="20"/>
          <w:szCs w:val="20"/>
        </w:rPr>
        <w:t xml:space="preserve">  </w:t>
      </w:r>
      <w:r>
        <w:rPr>
          <w:spacing w:val="6"/>
          <w:sz w:val="20"/>
          <w:szCs w:val="20"/>
        </w:rPr>
        <w:t>生、北斗通信等场景的应用，为运维服务提供了新的实</w:t>
      </w:r>
      <w:r>
        <w:rPr>
          <w:spacing w:val="5"/>
          <w:sz w:val="20"/>
          <w:szCs w:val="20"/>
        </w:rPr>
        <w:t>现手段，促使数据服务、区块链服务、</w:t>
      </w:r>
      <w:r>
        <w:rPr>
          <w:sz w:val="20"/>
          <w:szCs w:val="20"/>
        </w:rPr>
        <w:t xml:space="preserve"> </w:t>
      </w:r>
      <w:r>
        <w:rPr>
          <w:spacing w:val="4"/>
          <w:sz w:val="20"/>
          <w:szCs w:val="20"/>
        </w:rPr>
        <w:t>数字内容处理服务、数字化转型服务等新兴信息技术服务不</w:t>
      </w:r>
      <w:r>
        <w:rPr>
          <w:spacing w:val="3"/>
          <w:sz w:val="20"/>
          <w:szCs w:val="20"/>
        </w:rPr>
        <w:t>断涌现，服务模式也由传统的人月</w:t>
      </w:r>
    </w:p>
    <w:p w14:paraId="7EBFE2AC">
      <w:pPr>
        <w:spacing w:line="280" w:lineRule="auto"/>
        <w:rPr>
          <w:sz w:val="20"/>
          <w:szCs w:val="20"/>
        </w:rPr>
        <w:sectPr>
          <w:pgSz w:w="10310" w:h="13390"/>
          <w:pgMar w:top="400" w:right="1019" w:bottom="400" w:left="540" w:header="0" w:footer="0" w:gutter="0"/>
          <w:cols w:space="720" w:num="1"/>
        </w:sectPr>
      </w:pPr>
    </w:p>
    <w:p w14:paraId="305035B5">
      <w:pPr>
        <w:pStyle w:val="2"/>
        <w:jc w:val="right"/>
        <w:rPr>
          <w:rFonts w:ascii="Times New Roman" w:hAnsi="Times New Roman" w:eastAsia="Times New Roman" w:cs="Times New Roman"/>
          <w:sz w:val="19"/>
          <w:szCs w:val="19"/>
        </w:rPr>
      </w:pPr>
      <w:r>
        <w:rPr>
          <w:spacing w:val="7"/>
          <w:sz w:val="19"/>
          <w:szCs w:val="19"/>
        </w:rPr>
        <w:t>第7章</w:t>
      </w:r>
      <w:r>
        <w:rPr>
          <w:spacing w:val="44"/>
          <w:w w:val="101"/>
          <w:sz w:val="19"/>
          <w:szCs w:val="19"/>
        </w:rPr>
        <w:t xml:space="preserve"> </w:t>
      </w:r>
      <w:r>
        <w:rPr>
          <w:spacing w:val="7"/>
          <w:sz w:val="19"/>
          <w:szCs w:val="19"/>
        </w:rPr>
        <w:t xml:space="preserve">运行维护 </w:t>
      </w:r>
      <w:r>
        <w:rPr>
          <w:position w:val="-11"/>
          <w:sz w:val="19"/>
          <w:szCs w:val="19"/>
        </w:rPr>
        <w:drawing>
          <wp:inline distT="0" distB="0" distL="0" distR="0">
            <wp:extent cx="316865" cy="23431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39"/>
                    <a:stretch>
                      <a:fillRect/>
                    </a:stretch>
                  </pic:blipFill>
                  <pic:spPr>
                    <a:xfrm>
                      <a:off x="0" y="0"/>
                      <a:ext cx="317494" cy="234938"/>
                    </a:xfrm>
                    <a:prstGeom prst="rect">
                      <a:avLst/>
                    </a:prstGeom>
                  </pic:spPr>
                </pic:pic>
              </a:graphicData>
            </a:graphic>
          </wp:inline>
        </w:drawing>
      </w:r>
      <w:r>
        <w:rPr>
          <w:rFonts w:ascii="Times New Roman" w:hAnsi="Times New Roman" w:eastAsia="Times New Roman" w:cs="Times New Roman"/>
          <w:spacing w:val="7"/>
          <w:sz w:val="19"/>
          <w:szCs w:val="19"/>
        </w:rPr>
        <w:t>195</w:t>
      </w:r>
    </w:p>
    <w:p w14:paraId="232F174C">
      <w:pPr>
        <w:spacing w:line="273" w:lineRule="auto"/>
        <w:rPr>
          <w:rFonts w:ascii="Arial"/>
          <w:sz w:val="21"/>
        </w:rPr>
      </w:pPr>
    </w:p>
    <w:p w14:paraId="3AF1059C">
      <w:pPr>
        <w:pStyle w:val="2"/>
        <w:spacing w:before="62" w:line="288" w:lineRule="auto"/>
        <w:ind w:right="304"/>
        <w:rPr>
          <w:sz w:val="19"/>
          <w:szCs w:val="19"/>
        </w:rPr>
      </w:pPr>
      <w:r>
        <w:rPr>
          <w:spacing w:val="13"/>
          <w:sz w:val="19"/>
          <w:szCs w:val="19"/>
        </w:rPr>
        <w:t>方式、项目方式扩展到云订阅、远程服务等方式。创新技术的不断涌现使运维</w:t>
      </w:r>
      <w:r>
        <w:rPr>
          <w:spacing w:val="12"/>
          <w:sz w:val="19"/>
          <w:szCs w:val="19"/>
        </w:rPr>
        <w:t>服务走向多元化</w:t>
      </w:r>
      <w:r>
        <w:rPr>
          <w:sz w:val="19"/>
          <w:szCs w:val="19"/>
        </w:rPr>
        <w:t xml:space="preserve"> </w:t>
      </w:r>
      <w:r>
        <w:rPr>
          <w:spacing w:val="1"/>
          <w:sz w:val="19"/>
          <w:szCs w:val="19"/>
        </w:rPr>
        <w:t>模式。</w:t>
      </w:r>
    </w:p>
    <w:p w14:paraId="5F48999F">
      <w:pPr>
        <w:pStyle w:val="2"/>
        <w:spacing w:before="113" w:line="221" w:lineRule="auto"/>
        <w:ind w:left="402"/>
        <w:rPr>
          <w:rFonts w:ascii="黑体" w:hAnsi="黑体" w:eastAsia="黑体" w:cs="黑体"/>
          <w:sz w:val="19"/>
          <w:szCs w:val="19"/>
        </w:rPr>
      </w:pPr>
      <w:r>
        <w:rPr>
          <w:b/>
          <w:bCs/>
          <w:color w:val="007ED3"/>
          <w:spacing w:val="7"/>
          <w:sz w:val="19"/>
          <w:szCs w:val="19"/>
        </w:rPr>
        <w:t>2.</w:t>
      </w:r>
      <w:r>
        <w:rPr>
          <w:rFonts w:ascii="黑体" w:hAnsi="黑体" w:eastAsia="黑体" w:cs="黑体"/>
          <w:b/>
          <w:bCs/>
          <w:color w:val="007ED3"/>
          <w:spacing w:val="7"/>
          <w:sz w:val="19"/>
          <w:szCs w:val="19"/>
        </w:rPr>
        <w:t>运维服务模式转型升级</w:t>
      </w:r>
    </w:p>
    <w:p w14:paraId="4BC60605">
      <w:pPr>
        <w:pStyle w:val="2"/>
        <w:spacing w:before="145" w:line="296" w:lineRule="auto"/>
        <w:ind w:right="218" w:firstLine="400"/>
        <w:jc w:val="both"/>
        <w:rPr>
          <w:sz w:val="19"/>
          <w:szCs w:val="19"/>
        </w:rPr>
      </w:pPr>
      <w:r>
        <w:rPr>
          <w:spacing w:val="14"/>
          <w:sz w:val="19"/>
          <w:szCs w:val="19"/>
        </w:rPr>
        <w:t>传统的运维服务，由基于人员、流程、资源和技</w:t>
      </w:r>
      <w:r>
        <w:rPr>
          <w:spacing w:val="13"/>
          <w:sz w:val="19"/>
          <w:szCs w:val="19"/>
        </w:rPr>
        <w:t>术的传统运维模式向基于知识、数据、算</w:t>
      </w:r>
      <w:r>
        <w:rPr>
          <w:sz w:val="19"/>
          <w:szCs w:val="19"/>
        </w:rPr>
        <w:t xml:space="preserve"> </w:t>
      </w:r>
      <w:r>
        <w:rPr>
          <w:spacing w:val="13"/>
          <w:sz w:val="19"/>
          <w:szCs w:val="19"/>
        </w:rPr>
        <w:t>法、算力的智能运维模式转变。随着人工智能、大数据、云计算等技术的飞速发</w:t>
      </w:r>
      <w:r>
        <w:rPr>
          <w:spacing w:val="12"/>
          <w:sz w:val="19"/>
          <w:szCs w:val="19"/>
        </w:rPr>
        <w:t>展，运维服务</w:t>
      </w:r>
      <w:r>
        <w:rPr>
          <w:sz w:val="19"/>
          <w:szCs w:val="19"/>
        </w:rPr>
        <w:t xml:space="preserve">  </w:t>
      </w:r>
      <w:r>
        <w:rPr>
          <w:spacing w:val="13"/>
          <w:sz w:val="19"/>
          <w:szCs w:val="19"/>
        </w:rPr>
        <w:t xml:space="preserve">面临信息系统技术架构日趋复杂、运维对象规模快速增长、告警信息海量涌现、业务需求快速 </w:t>
      </w:r>
      <w:r>
        <w:rPr>
          <w:spacing w:val="15"/>
          <w:sz w:val="19"/>
          <w:szCs w:val="19"/>
        </w:rPr>
        <w:t>迭代等困难，智能运维应运而生。智能运维是人工智能在运行维护领域的应用，更关注知</w:t>
      </w:r>
      <w:r>
        <w:rPr>
          <w:spacing w:val="14"/>
          <w:sz w:val="19"/>
          <w:szCs w:val="19"/>
        </w:rPr>
        <w:t>识、</w:t>
      </w:r>
      <w:r>
        <w:rPr>
          <w:sz w:val="19"/>
          <w:szCs w:val="19"/>
        </w:rPr>
        <w:t xml:space="preserve"> </w:t>
      </w:r>
      <w:r>
        <w:rPr>
          <w:spacing w:val="13"/>
          <w:sz w:val="19"/>
          <w:szCs w:val="19"/>
        </w:rPr>
        <w:t xml:space="preserve">数据、算法、算力的应用，具备能感知、会描述、自学习、会诊断、可决策、自执行、自适应 </w:t>
      </w:r>
      <w:r>
        <w:rPr>
          <w:spacing w:val="9"/>
          <w:sz w:val="19"/>
          <w:szCs w:val="19"/>
        </w:rPr>
        <w:t>等特征，是“数据驱动的运维”,极大地降低了运维成本，提高了运维效率。</w:t>
      </w:r>
    </w:p>
    <w:p w14:paraId="73EF72B1">
      <w:pPr>
        <w:pStyle w:val="2"/>
        <w:spacing w:before="149" w:line="221" w:lineRule="auto"/>
        <w:ind w:left="402"/>
        <w:rPr>
          <w:rFonts w:ascii="黑体" w:hAnsi="黑体" w:eastAsia="黑体" w:cs="黑体"/>
          <w:sz w:val="19"/>
          <w:szCs w:val="19"/>
        </w:rPr>
      </w:pPr>
      <w:r>
        <w:rPr>
          <w:b/>
          <w:bCs/>
          <w:color w:val="0080D6"/>
          <w:spacing w:val="7"/>
          <w:sz w:val="19"/>
          <w:szCs w:val="19"/>
        </w:rPr>
        <w:t>3.</w:t>
      </w:r>
      <w:r>
        <w:rPr>
          <w:rFonts w:ascii="黑体" w:hAnsi="黑体" w:eastAsia="黑体" w:cs="黑体"/>
          <w:b/>
          <w:bCs/>
          <w:color w:val="0080D6"/>
          <w:spacing w:val="7"/>
          <w:sz w:val="19"/>
          <w:szCs w:val="19"/>
        </w:rPr>
        <w:t>自主创新能力进一步加强</w:t>
      </w:r>
    </w:p>
    <w:p w14:paraId="47B5FF44">
      <w:pPr>
        <w:pStyle w:val="2"/>
        <w:spacing w:before="165" w:line="295" w:lineRule="auto"/>
        <w:ind w:right="217" w:firstLine="400"/>
        <w:jc w:val="both"/>
        <w:rPr>
          <w:sz w:val="19"/>
          <w:szCs w:val="19"/>
        </w:rPr>
      </w:pPr>
      <w:r>
        <w:rPr>
          <w:spacing w:val="10"/>
          <w:sz w:val="19"/>
          <w:szCs w:val="19"/>
        </w:rPr>
        <w:t>在国家政策的支持下，构建自主可控的运维服务产业生态，基于自主研发芯片、操作系统、</w:t>
      </w:r>
      <w:r>
        <w:rPr>
          <w:spacing w:val="3"/>
          <w:sz w:val="19"/>
          <w:szCs w:val="19"/>
        </w:rPr>
        <w:t xml:space="preserve"> </w:t>
      </w:r>
      <w:r>
        <w:rPr>
          <w:spacing w:val="14"/>
          <w:sz w:val="19"/>
          <w:szCs w:val="19"/>
        </w:rPr>
        <w:t>中间件和应用软件进行研发的运维服务工具、监控工具、专业工具等，通过对软硬件的重构，</w:t>
      </w:r>
      <w:r>
        <w:rPr>
          <w:sz w:val="19"/>
          <w:szCs w:val="19"/>
        </w:rPr>
        <w:t xml:space="preserve"> </w:t>
      </w:r>
      <w:r>
        <w:rPr>
          <w:spacing w:val="13"/>
          <w:sz w:val="19"/>
          <w:szCs w:val="19"/>
        </w:rPr>
        <w:t>自主创新实现从软硬件到云的全面升级，从单一到重点领域的突破，进而实现信息技术应用创</w:t>
      </w:r>
      <w:r>
        <w:rPr>
          <w:sz w:val="19"/>
          <w:szCs w:val="19"/>
        </w:rPr>
        <w:t xml:space="preserve">  </w:t>
      </w:r>
      <w:r>
        <w:rPr>
          <w:spacing w:val="9"/>
          <w:sz w:val="19"/>
          <w:szCs w:val="19"/>
        </w:rPr>
        <w:t>新技术的跃升和融合发展，最终达到提升运维</w:t>
      </w:r>
      <w:r>
        <w:rPr>
          <w:spacing w:val="8"/>
          <w:sz w:val="19"/>
          <w:szCs w:val="19"/>
        </w:rPr>
        <w:t>服务质量的目的。</w:t>
      </w:r>
    </w:p>
    <w:p w14:paraId="1CE9ECE9">
      <w:pPr>
        <w:spacing w:line="398" w:lineRule="auto"/>
        <w:rPr>
          <w:rFonts w:ascii="Arial"/>
          <w:sz w:val="21"/>
        </w:rPr>
      </w:pPr>
    </w:p>
    <w:p w14:paraId="493A4C4B">
      <w:pPr>
        <w:pStyle w:val="2"/>
        <w:spacing w:before="62" w:line="221" w:lineRule="auto"/>
        <w:ind w:left="2"/>
        <w:rPr>
          <w:rFonts w:ascii="黑体" w:hAnsi="黑体" w:eastAsia="黑体" w:cs="黑体"/>
          <w:sz w:val="19"/>
          <w:szCs w:val="19"/>
        </w:rPr>
      </w:pPr>
      <w:r>
        <w:rPr>
          <w:b/>
          <w:bCs/>
          <w:color w:val="0079D6"/>
          <w:spacing w:val="-8"/>
          <w:sz w:val="19"/>
          <w:szCs w:val="19"/>
        </w:rPr>
        <w:t>7.2</w:t>
      </w:r>
      <w:r>
        <w:rPr>
          <w:color w:val="0079D6"/>
          <w:spacing w:val="-8"/>
          <w:sz w:val="19"/>
          <w:szCs w:val="19"/>
        </w:rPr>
        <w:t xml:space="preserve">    </w:t>
      </w:r>
      <w:r>
        <w:rPr>
          <w:rFonts w:ascii="黑体" w:hAnsi="黑体" w:eastAsia="黑体" w:cs="黑体"/>
          <w:b/>
          <w:bCs/>
          <w:color w:val="0079D6"/>
          <w:spacing w:val="-8"/>
          <w:sz w:val="19"/>
          <w:szCs w:val="19"/>
        </w:rPr>
        <w:t>运</w:t>
      </w:r>
      <w:r>
        <w:rPr>
          <w:rFonts w:ascii="黑体" w:hAnsi="黑体" w:eastAsia="黑体" w:cs="黑体"/>
          <w:color w:val="0079D6"/>
          <w:spacing w:val="27"/>
          <w:sz w:val="19"/>
          <w:szCs w:val="19"/>
        </w:rPr>
        <w:t xml:space="preserve"> </w:t>
      </w:r>
      <w:r>
        <w:rPr>
          <w:rFonts w:ascii="黑体" w:hAnsi="黑体" w:eastAsia="黑体" w:cs="黑体"/>
          <w:b/>
          <w:bCs/>
          <w:color w:val="0079D6"/>
          <w:spacing w:val="-8"/>
          <w:sz w:val="19"/>
          <w:szCs w:val="19"/>
        </w:rPr>
        <w:t>行</w:t>
      </w:r>
      <w:r>
        <w:rPr>
          <w:rFonts w:ascii="黑体" w:hAnsi="黑体" w:eastAsia="黑体" w:cs="黑体"/>
          <w:color w:val="0079D6"/>
          <w:spacing w:val="15"/>
          <w:sz w:val="19"/>
          <w:szCs w:val="19"/>
        </w:rPr>
        <w:t xml:space="preserve"> </w:t>
      </w:r>
      <w:r>
        <w:rPr>
          <w:rFonts w:ascii="黑体" w:hAnsi="黑体" w:eastAsia="黑体" w:cs="黑体"/>
          <w:b/>
          <w:bCs/>
          <w:color w:val="0079D6"/>
          <w:spacing w:val="-8"/>
          <w:sz w:val="19"/>
          <w:szCs w:val="19"/>
        </w:rPr>
        <w:t>维</w:t>
      </w:r>
      <w:r>
        <w:rPr>
          <w:rFonts w:ascii="黑体" w:hAnsi="黑体" w:eastAsia="黑体" w:cs="黑体"/>
          <w:color w:val="0079D6"/>
          <w:spacing w:val="18"/>
          <w:sz w:val="19"/>
          <w:szCs w:val="19"/>
        </w:rPr>
        <w:t xml:space="preserve"> </w:t>
      </w:r>
      <w:r>
        <w:rPr>
          <w:rFonts w:ascii="黑体" w:hAnsi="黑体" w:eastAsia="黑体" w:cs="黑体"/>
          <w:b/>
          <w:bCs/>
          <w:color w:val="0079D6"/>
          <w:spacing w:val="-8"/>
          <w:sz w:val="19"/>
          <w:szCs w:val="19"/>
        </w:rPr>
        <w:t>护</w:t>
      </w:r>
      <w:r>
        <w:rPr>
          <w:rFonts w:ascii="黑体" w:hAnsi="黑体" w:eastAsia="黑体" w:cs="黑体"/>
          <w:color w:val="0079D6"/>
          <w:spacing w:val="16"/>
          <w:sz w:val="19"/>
          <w:szCs w:val="19"/>
        </w:rPr>
        <w:t xml:space="preserve"> </w:t>
      </w:r>
      <w:r>
        <w:rPr>
          <w:rFonts w:ascii="黑体" w:hAnsi="黑体" w:eastAsia="黑体" w:cs="黑体"/>
          <w:b/>
          <w:bCs/>
          <w:color w:val="0079D6"/>
          <w:spacing w:val="-8"/>
          <w:sz w:val="19"/>
          <w:szCs w:val="19"/>
        </w:rPr>
        <w:t>服</w:t>
      </w:r>
      <w:r>
        <w:rPr>
          <w:rFonts w:ascii="黑体" w:hAnsi="黑体" w:eastAsia="黑体" w:cs="黑体"/>
          <w:color w:val="0079D6"/>
          <w:spacing w:val="20"/>
          <w:sz w:val="19"/>
          <w:szCs w:val="19"/>
        </w:rPr>
        <w:t xml:space="preserve"> </w:t>
      </w:r>
      <w:r>
        <w:rPr>
          <w:rFonts w:ascii="黑体" w:hAnsi="黑体" w:eastAsia="黑体" w:cs="黑体"/>
          <w:b/>
          <w:bCs/>
          <w:color w:val="0079D6"/>
          <w:spacing w:val="-8"/>
          <w:sz w:val="19"/>
          <w:szCs w:val="19"/>
        </w:rPr>
        <w:t>务</w:t>
      </w:r>
      <w:r>
        <w:rPr>
          <w:rFonts w:ascii="黑体" w:hAnsi="黑体" w:eastAsia="黑体" w:cs="黑体"/>
          <w:color w:val="0079D6"/>
          <w:spacing w:val="23"/>
          <w:sz w:val="19"/>
          <w:szCs w:val="19"/>
        </w:rPr>
        <w:t xml:space="preserve"> </w:t>
      </w:r>
      <w:r>
        <w:rPr>
          <w:rFonts w:ascii="黑体" w:hAnsi="黑体" w:eastAsia="黑体" w:cs="黑体"/>
          <w:b/>
          <w:bCs/>
          <w:color w:val="0079D6"/>
          <w:spacing w:val="-8"/>
          <w:sz w:val="19"/>
          <w:szCs w:val="19"/>
        </w:rPr>
        <w:t>能</w:t>
      </w:r>
      <w:r>
        <w:rPr>
          <w:rFonts w:ascii="黑体" w:hAnsi="黑体" w:eastAsia="黑体" w:cs="黑体"/>
          <w:color w:val="0079D6"/>
          <w:spacing w:val="22"/>
          <w:sz w:val="19"/>
          <w:szCs w:val="19"/>
        </w:rPr>
        <w:t xml:space="preserve"> </w:t>
      </w:r>
      <w:r>
        <w:rPr>
          <w:rFonts w:ascii="黑体" w:hAnsi="黑体" w:eastAsia="黑体" w:cs="黑体"/>
          <w:b/>
          <w:bCs/>
          <w:color w:val="0079D6"/>
          <w:spacing w:val="-8"/>
          <w:sz w:val="19"/>
          <w:szCs w:val="19"/>
        </w:rPr>
        <w:t>力</w:t>
      </w:r>
    </w:p>
    <w:p w14:paraId="64DA39FB">
      <w:pPr>
        <w:pStyle w:val="2"/>
        <w:spacing w:before="297" w:line="298" w:lineRule="auto"/>
        <w:ind w:right="297" w:firstLine="400"/>
        <w:rPr>
          <w:sz w:val="19"/>
          <w:szCs w:val="19"/>
        </w:rPr>
      </w:pPr>
      <w:r>
        <w:rPr>
          <w:spacing w:val="13"/>
          <w:sz w:val="19"/>
          <w:szCs w:val="19"/>
        </w:rPr>
        <w:t>为确保提供的运行维护服务符合与业主单位约定的质量，运维服务团队应具备提供服务的</w:t>
      </w:r>
      <w:r>
        <w:rPr>
          <w:spacing w:val="6"/>
          <w:sz w:val="19"/>
          <w:szCs w:val="19"/>
        </w:rPr>
        <w:t xml:space="preserve"> </w:t>
      </w:r>
      <w:r>
        <w:rPr>
          <w:spacing w:val="2"/>
          <w:sz w:val="19"/>
          <w:szCs w:val="19"/>
        </w:rPr>
        <w:t>条件和能力。</w:t>
      </w:r>
    </w:p>
    <w:p w14:paraId="37E8AE28">
      <w:pPr>
        <w:pStyle w:val="2"/>
        <w:spacing w:before="176" w:line="219" w:lineRule="auto"/>
        <w:ind w:left="2"/>
        <w:rPr>
          <w:sz w:val="25"/>
          <w:szCs w:val="25"/>
        </w:rPr>
      </w:pPr>
      <w:r>
        <w:rPr>
          <w:b/>
          <w:bCs/>
          <w:color w:val="007EE0"/>
          <w:spacing w:val="-17"/>
          <w:sz w:val="25"/>
          <w:szCs w:val="25"/>
        </w:rPr>
        <w:t>7.2.1</w:t>
      </w:r>
      <w:r>
        <w:rPr>
          <w:color w:val="007EE0"/>
          <w:spacing w:val="83"/>
          <w:sz w:val="25"/>
          <w:szCs w:val="25"/>
        </w:rPr>
        <w:t xml:space="preserve"> </w:t>
      </w:r>
      <w:r>
        <w:rPr>
          <w:b/>
          <w:bCs/>
          <w:color w:val="007EE0"/>
          <w:spacing w:val="-17"/>
          <w:sz w:val="25"/>
          <w:szCs w:val="25"/>
        </w:rPr>
        <w:t>运行维护服务能力模型</w:t>
      </w:r>
    </w:p>
    <w:p w14:paraId="7482D9D9">
      <w:pPr>
        <w:spacing w:line="66" w:lineRule="exact"/>
      </w:pPr>
    </w:p>
    <w:p w14:paraId="48FD9932">
      <w:pPr>
        <w:spacing w:line="66" w:lineRule="exact"/>
        <w:sectPr>
          <w:pgSz w:w="10290" w:h="13280"/>
          <w:pgMar w:top="369" w:right="607" w:bottom="400" w:left="1059" w:header="0" w:footer="0" w:gutter="0"/>
          <w:cols w:equalWidth="0" w:num="1">
            <w:col w:w="8623"/>
          </w:cols>
        </w:sectPr>
      </w:pPr>
    </w:p>
    <w:p w14:paraId="417579A8">
      <w:pPr>
        <w:pStyle w:val="2"/>
        <w:spacing w:before="97" w:line="286" w:lineRule="auto"/>
        <w:ind w:right="131" w:firstLine="400"/>
        <w:rPr>
          <w:sz w:val="19"/>
          <w:szCs w:val="19"/>
        </w:rPr>
      </w:pPr>
      <w:r>
        <w:rPr>
          <w:spacing w:val="10"/>
          <w:sz w:val="19"/>
          <w:szCs w:val="19"/>
        </w:rPr>
        <w:t>按照</w:t>
      </w:r>
      <w:r>
        <w:rPr>
          <w:rFonts w:ascii="Times New Roman" w:hAnsi="Times New Roman" w:eastAsia="Times New Roman" w:cs="Times New Roman"/>
          <w:sz w:val="19"/>
          <w:szCs w:val="19"/>
        </w:rPr>
        <w:t>ITSS</w:t>
      </w:r>
      <w:r>
        <w:rPr>
          <w:rFonts w:ascii="Times New Roman" w:hAnsi="Times New Roman" w:eastAsia="Times New Roman" w:cs="Times New Roman"/>
          <w:spacing w:val="59"/>
          <w:sz w:val="19"/>
          <w:szCs w:val="19"/>
        </w:rPr>
        <w:t xml:space="preserve"> </w:t>
      </w:r>
      <w:r>
        <w:rPr>
          <w:spacing w:val="10"/>
          <w:sz w:val="19"/>
          <w:szCs w:val="19"/>
        </w:rPr>
        <w:t>体系要求，可以从人员、技术、过程、资源四个维</w:t>
      </w:r>
      <w:r>
        <w:rPr>
          <w:sz w:val="19"/>
          <w:szCs w:val="19"/>
        </w:rPr>
        <w:t xml:space="preserve"> </w:t>
      </w:r>
      <w:r>
        <w:rPr>
          <w:spacing w:val="10"/>
          <w:sz w:val="19"/>
          <w:szCs w:val="19"/>
        </w:rPr>
        <w:t>度评价运维服务团队的能力，如图7-1所示。</w:t>
      </w:r>
    </w:p>
    <w:p w14:paraId="2CDFE2D1">
      <w:pPr>
        <w:pStyle w:val="2"/>
        <w:spacing w:before="21" w:line="297" w:lineRule="auto"/>
        <w:ind w:right="45" w:firstLine="400"/>
        <w:rPr>
          <w:sz w:val="19"/>
          <w:szCs w:val="19"/>
        </w:rPr>
      </w:pPr>
      <w:r>
        <w:rPr>
          <w:spacing w:val="14"/>
          <w:sz w:val="19"/>
          <w:szCs w:val="19"/>
        </w:rPr>
        <w:t>运行维护服务能力模型中提出了运行维护服务</w:t>
      </w:r>
      <w:r>
        <w:rPr>
          <w:spacing w:val="13"/>
          <w:sz w:val="19"/>
          <w:szCs w:val="19"/>
        </w:rPr>
        <w:t>能力的四个关</w:t>
      </w:r>
      <w:r>
        <w:rPr>
          <w:sz w:val="19"/>
          <w:szCs w:val="19"/>
        </w:rPr>
        <w:t xml:space="preserve">  </w:t>
      </w:r>
      <w:r>
        <w:rPr>
          <w:spacing w:val="13"/>
          <w:sz w:val="19"/>
          <w:szCs w:val="19"/>
        </w:rPr>
        <w:t>键要素：人员、技术、过程、资源，每个要素通过关键指标反映</w:t>
      </w:r>
      <w:r>
        <w:rPr>
          <w:spacing w:val="6"/>
          <w:sz w:val="19"/>
          <w:szCs w:val="19"/>
        </w:rPr>
        <w:t xml:space="preserve">  </w:t>
      </w:r>
      <w:r>
        <w:rPr>
          <w:spacing w:val="9"/>
          <w:sz w:val="19"/>
          <w:szCs w:val="19"/>
        </w:rPr>
        <w:t>运维服务团队应具备的能力。运维服务团队可以有效地利用资源，</w:t>
      </w:r>
      <w:r>
        <w:rPr>
          <w:spacing w:val="13"/>
          <w:sz w:val="19"/>
          <w:szCs w:val="19"/>
        </w:rPr>
        <w:t xml:space="preserve"> 运用适当的技术手段，通过规定的运维服务过程为业主单位提供</w:t>
      </w:r>
      <w:r>
        <w:rPr>
          <w:spacing w:val="5"/>
          <w:sz w:val="19"/>
          <w:szCs w:val="19"/>
        </w:rPr>
        <w:t xml:space="preserve">  </w:t>
      </w:r>
      <w:r>
        <w:rPr>
          <w:spacing w:val="14"/>
          <w:sz w:val="19"/>
          <w:szCs w:val="19"/>
        </w:rPr>
        <w:t>运行维护服务工作，在运维执行过程中采取有效的管理手段，促</w:t>
      </w:r>
      <w:r>
        <w:rPr>
          <w:spacing w:val="15"/>
          <w:sz w:val="19"/>
          <w:szCs w:val="19"/>
        </w:rPr>
        <w:t xml:space="preserve"> </w:t>
      </w:r>
      <w:r>
        <w:rPr>
          <w:spacing w:val="7"/>
          <w:sz w:val="19"/>
          <w:szCs w:val="19"/>
        </w:rPr>
        <w:t>使运行维护团队达成既定的运维工作目标。</w:t>
      </w:r>
    </w:p>
    <w:p w14:paraId="646969A2">
      <w:pPr>
        <w:pStyle w:val="2"/>
        <w:spacing w:before="134" w:line="207" w:lineRule="auto"/>
        <w:ind w:left="402"/>
        <w:rPr>
          <w:rFonts w:ascii="黑体" w:hAnsi="黑体" w:eastAsia="黑体" w:cs="黑体"/>
          <w:sz w:val="19"/>
          <w:szCs w:val="19"/>
        </w:rPr>
      </w:pPr>
      <w:r>
        <w:rPr>
          <w:b/>
          <w:bCs/>
          <w:color w:val="0078C8"/>
          <w:spacing w:val="-4"/>
          <w:sz w:val="19"/>
          <w:szCs w:val="19"/>
        </w:rPr>
        <w:t>1.</w:t>
      </w:r>
      <w:r>
        <w:rPr>
          <w:rFonts w:ascii="黑体" w:hAnsi="黑体" w:eastAsia="黑体" w:cs="黑体"/>
          <w:b/>
          <w:bCs/>
          <w:color w:val="0078C8"/>
          <w:spacing w:val="-4"/>
          <w:sz w:val="19"/>
          <w:szCs w:val="19"/>
        </w:rPr>
        <w:t>策</w:t>
      </w:r>
      <w:r>
        <w:rPr>
          <w:rFonts w:ascii="黑体" w:hAnsi="黑体" w:eastAsia="黑体" w:cs="黑体"/>
          <w:color w:val="0078C8"/>
          <w:spacing w:val="-40"/>
          <w:sz w:val="19"/>
          <w:szCs w:val="19"/>
        </w:rPr>
        <w:t xml:space="preserve"> </w:t>
      </w:r>
      <w:r>
        <w:rPr>
          <w:rFonts w:ascii="黑体" w:hAnsi="黑体" w:eastAsia="黑体" w:cs="黑体"/>
          <w:b/>
          <w:bCs/>
          <w:color w:val="0078C8"/>
          <w:spacing w:val="-4"/>
          <w:sz w:val="19"/>
          <w:szCs w:val="19"/>
        </w:rPr>
        <w:t>划</w:t>
      </w:r>
    </w:p>
    <w:p w14:paraId="4CFE05CA">
      <w:pPr>
        <w:spacing w:line="14" w:lineRule="auto"/>
        <w:rPr>
          <w:rFonts w:ascii="Arial"/>
          <w:sz w:val="2"/>
        </w:rPr>
      </w:pPr>
      <w:r>
        <w:rPr>
          <w:rFonts w:ascii="Arial" w:hAnsi="Arial" w:eastAsia="Arial" w:cs="Arial"/>
          <w:sz w:val="2"/>
          <w:szCs w:val="2"/>
        </w:rPr>
        <w:br w:type="column"/>
      </w:r>
    </w:p>
    <w:p w14:paraId="3DCC3B2D">
      <w:pPr>
        <w:pStyle w:val="2"/>
        <w:spacing w:line="2299" w:lineRule="exact"/>
      </w:pPr>
      <w:r>
        <w:rPr>
          <w:position w:val="-45"/>
        </w:rPr>
        <w:pict>
          <v:group id="_x0000_s1386" o:spid="_x0000_s1386" o:spt="203" style="height:115.05pt;width:124pt;" coordsize="2480,2301">
            <o:lock v:ext="edit"/>
            <v:shape id="_x0000_s1387" o:spid="_x0000_s1387" o:spt="75" type="#_x0000_t75" style="position:absolute;left:0;top:0;height:2301;width:2480;" filled="f" stroked="f" coordsize="21600,21600">
              <v:path/>
              <v:fill on="f" focussize="0,0"/>
              <v:stroke on="f"/>
              <v:imagedata r:id="rId140" o:title=""/>
              <o:lock v:ext="edit" aspectratio="t"/>
            </v:shape>
            <v:shape id="_x0000_s1388" o:spid="_x0000_s1388" o:spt="202" type="#_x0000_t202" style="position:absolute;left:640;top:18;height:2290;width:1195;" filled="f" stroked="f" coordsize="21600,21600">
              <v:path/>
              <v:fill on="f" focussize="0,0"/>
              <v:stroke on="f"/>
              <v:imagedata o:title=""/>
              <o:lock v:ext="edit" aspectratio="f"/>
              <v:textbox inset="0mm,0mm,0mm,0mm">
                <w:txbxContent>
                  <w:p w14:paraId="08BE6320">
                    <w:pPr>
                      <w:spacing w:before="20" w:line="220" w:lineRule="auto"/>
                      <w:ind w:left="450"/>
                      <w:rPr>
                        <w:rFonts w:ascii="宋体" w:hAnsi="宋体" w:eastAsia="宋体" w:cs="宋体"/>
                        <w:sz w:val="19"/>
                        <w:szCs w:val="19"/>
                      </w:rPr>
                    </w:pPr>
                    <w:r>
                      <w:rPr>
                        <w:rFonts w:ascii="宋体" w:hAnsi="宋体" w:eastAsia="宋体" w:cs="宋体"/>
                        <w:spacing w:val="7"/>
                        <w:sz w:val="19"/>
                        <w:szCs w:val="19"/>
                      </w:rPr>
                      <w:t>策划</w:t>
                    </w:r>
                  </w:p>
                  <w:p w14:paraId="7BFEFA95">
                    <w:pPr>
                      <w:spacing w:line="348" w:lineRule="auto"/>
                      <w:rPr>
                        <w:rFonts w:ascii="Arial"/>
                        <w:sz w:val="21"/>
                      </w:rPr>
                    </w:pPr>
                  </w:p>
                  <w:p w14:paraId="2501D4F7">
                    <w:pPr>
                      <w:spacing w:before="62" w:line="221" w:lineRule="auto"/>
                      <w:ind w:left="20"/>
                      <w:rPr>
                        <w:rFonts w:ascii="宋体" w:hAnsi="宋体" w:eastAsia="宋体" w:cs="宋体"/>
                        <w:sz w:val="19"/>
                        <w:szCs w:val="19"/>
                      </w:rPr>
                    </w:pPr>
                    <w:r>
                      <w:rPr>
                        <w:rFonts w:ascii="宋体" w:hAnsi="宋体" w:eastAsia="宋体" w:cs="宋体"/>
                        <w:spacing w:val="-4"/>
                        <w:sz w:val="19"/>
                        <w:szCs w:val="19"/>
                      </w:rPr>
                      <w:t>人员</w:t>
                    </w:r>
                    <w:r>
                      <w:rPr>
                        <w:rFonts w:ascii="宋体" w:hAnsi="宋体" w:eastAsia="宋体" w:cs="宋体"/>
                        <w:spacing w:val="7"/>
                        <w:sz w:val="19"/>
                        <w:szCs w:val="19"/>
                      </w:rPr>
                      <w:t xml:space="preserve">    </w:t>
                    </w:r>
                    <w:r>
                      <w:rPr>
                        <w:rFonts w:ascii="宋体" w:hAnsi="宋体" w:eastAsia="宋体" w:cs="宋体"/>
                        <w:spacing w:val="-4"/>
                        <w:sz w:val="19"/>
                        <w:szCs w:val="19"/>
                      </w:rPr>
                      <w:t>技术</w:t>
                    </w:r>
                  </w:p>
                  <w:p w14:paraId="578AB33B">
                    <w:pPr>
                      <w:spacing w:before="153" w:line="220" w:lineRule="auto"/>
                      <w:ind w:left="270"/>
                      <w:rPr>
                        <w:rFonts w:ascii="宋体" w:hAnsi="宋体" w:eastAsia="宋体" w:cs="宋体"/>
                        <w:sz w:val="19"/>
                        <w:szCs w:val="19"/>
                      </w:rPr>
                    </w:pPr>
                    <w:r>
                      <w:rPr>
                        <w:rFonts w:ascii="宋体" w:hAnsi="宋体" w:eastAsia="宋体" w:cs="宋体"/>
                        <w:spacing w:val="-12"/>
                        <w:sz w:val="19"/>
                        <w:szCs w:val="19"/>
                      </w:rPr>
                      <w:t>关键指标</w:t>
                    </w:r>
                  </w:p>
                  <w:p w14:paraId="77CBA178">
                    <w:pPr>
                      <w:spacing w:before="173" w:line="221" w:lineRule="auto"/>
                      <w:ind w:left="20"/>
                      <w:rPr>
                        <w:rFonts w:ascii="宋体" w:hAnsi="宋体" w:eastAsia="宋体" w:cs="宋体"/>
                        <w:sz w:val="19"/>
                        <w:szCs w:val="19"/>
                      </w:rPr>
                    </w:pPr>
                    <w:r>
                      <w:rPr>
                        <w:rFonts w:ascii="宋体" w:hAnsi="宋体" w:eastAsia="宋体" w:cs="宋体"/>
                        <w:spacing w:val="-4"/>
                        <w:position w:val="1"/>
                        <w:sz w:val="19"/>
                        <w:szCs w:val="19"/>
                      </w:rPr>
                      <w:t>过程</w:t>
                    </w:r>
                    <w:r>
                      <w:rPr>
                        <w:rFonts w:ascii="宋体" w:hAnsi="宋体" w:eastAsia="宋体" w:cs="宋体"/>
                        <w:spacing w:val="9"/>
                        <w:position w:val="1"/>
                        <w:sz w:val="19"/>
                        <w:szCs w:val="19"/>
                      </w:rPr>
                      <w:t xml:space="preserve">    </w:t>
                    </w:r>
                    <w:r>
                      <w:rPr>
                        <w:rFonts w:ascii="宋体" w:hAnsi="宋体" w:eastAsia="宋体" w:cs="宋体"/>
                        <w:spacing w:val="-4"/>
                        <w:position w:val="-1"/>
                        <w:sz w:val="19"/>
                        <w:szCs w:val="19"/>
                      </w:rPr>
                      <w:t>资源</w:t>
                    </w:r>
                  </w:p>
                  <w:p w14:paraId="19792DF4">
                    <w:pPr>
                      <w:spacing w:line="327" w:lineRule="auto"/>
                      <w:rPr>
                        <w:rFonts w:ascii="Arial"/>
                        <w:sz w:val="21"/>
                      </w:rPr>
                    </w:pPr>
                  </w:p>
                  <w:p w14:paraId="5B23A15F">
                    <w:pPr>
                      <w:spacing w:before="62" w:line="219" w:lineRule="auto"/>
                      <w:ind w:left="429"/>
                      <w:rPr>
                        <w:rFonts w:ascii="宋体" w:hAnsi="宋体" w:eastAsia="宋体" w:cs="宋体"/>
                        <w:sz w:val="19"/>
                        <w:szCs w:val="19"/>
                      </w:rPr>
                    </w:pPr>
                    <w:r>
                      <w:rPr>
                        <w:rFonts w:ascii="宋体" w:hAnsi="宋体" w:eastAsia="宋体" w:cs="宋体"/>
                        <w:spacing w:val="-4"/>
                        <w:sz w:val="19"/>
                        <w:szCs w:val="19"/>
                      </w:rPr>
                      <w:t>检</w:t>
                    </w:r>
                    <w:r>
                      <w:rPr>
                        <w:rFonts w:ascii="宋体" w:hAnsi="宋体" w:eastAsia="宋体" w:cs="宋体"/>
                        <w:spacing w:val="11"/>
                        <w:sz w:val="19"/>
                        <w:szCs w:val="19"/>
                      </w:rPr>
                      <w:t xml:space="preserve"> </w:t>
                    </w:r>
                    <w:r>
                      <w:rPr>
                        <w:rFonts w:ascii="宋体" w:hAnsi="宋体" w:eastAsia="宋体" w:cs="宋体"/>
                        <w:spacing w:val="-4"/>
                        <w:sz w:val="19"/>
                        <w:szCs w:val="19"/>
                      </w:rPr>
                      <w:t>查</w:t>
                    </w:r>
                  </w:p>
                </w:txbxContent>
              </v:textbox>
            </v:shape>
            <v:shape id="_x0000_s1389" o:spid="_x0000_s1389" o:spt="202" type="#_x0000_t202" style="position:absolute;left:2225;top:992;height:444;width:197;" filled="f" stroked="f" coordsize="21600,21600">
              <v:path/>
              <v:fill on="f" focussize="0,0"/>
              <v:stroke on="f"/>
              <v:imagedata o:title=""/>
              <o:lock v:ext="edit" aspectratio="f"/>
              <v:textbox inset="0mm,0mm,0mm,0mm" style="layout-flow:vertical-ideographic;">
                <w:txbxContent>
                  <w:p w14:paraId="2754F1A6">
                    <w:pPr>
                      <w:spacing w:before="19" w:line="201" w:lineRule="auto"/>
                      <w:ind w:left="20"/>
                      <w:rPr>
                        <w:rFonts w:ascii="宋体" w:hAnsi="宋体" w:eastAsia="宋体" w:cs="宋体"/>
                        <w:sz w:val="17"/>
                        <w:szCs w:val="17"/>
                      </w:rPr>
                    </w:pPr>
                    <w:r>
                      <w:rPr>
                        <w:rFonts w:ascii="宋体" w:hAnsi="宋体" w:eastAsia="宋体" w:cs="宋体"/>
                        <w:sz w:val="17"/>
                        <w:szCs w:val="17"/>
                      </w:rPr>
                      <w:t>实</w:t>
                    </w:r>
                    <w:r>
                      <w:rPr>
                        <w:rFonts w:ascii="宋体" w:hAnsi="宋体" w:eastAsia="宋体" w:cs="宋体"/>
                        <w:spacing w:val="-22"/>
                        <w:sz w:val="17"/>
                        <w:szCs w:val="17"/>
                      </w:rPr>
                      <w:t xml:space="preserve"> </w:t>
                    </w:r>
                    <w:r>
                      <w:rPr>
                        <w:rFonts w:ascii="宋体" w:hAnsi="宋体" w:eastAsia="宋体" w:cs="宋体"/>
                        <w:sz w:val="17"/>
                        <w:szCs w:val="17"/>
                      </w:rPr>
                      <w:t>施</w:t>
                    </w:r>
                  </w:p>
                </w:txbxContent>
              </v:textbox>
            </v:shape>
            <v:shape id="_x0000_s1390" o:spid="_x0000_s1390" o:spt="202" type="#_x0000_t202" style="position:absolute;left:60;top:929;height:380;width:198;" filled="f" stroked="f" coordsize="21600,21600">
              <v:path/>
              <v:fill on="f" focussize="0,0"/>
              <v:stroke on="f"/>
              <v:imagedata o:title=""/>
              <o:lock v:ext="edit" aspectratio="f"/>
              <v:textbox inset="0mm,0mm,0mm,0mm" style="layout-flow:vertical-ideographic;">
                <w:txbxContent>
                  <w:p w14:paraId="1E279577">
                    <w:pPr>
                      <w:spacing w:before="20" w:line="202" w:lineRule="auto"/>
                      <w:ind w:left="20"/>
                      <w:rPr>
                        <w:rFonts w:ascii="宋体" w:hAnsi="宋体" w:eastAsia="宋体" w:cs="宋体"/>
                        <w:sz w:val="17"/>
                        <w:szCs w:val="17"/>
                      </w:rPr>
                    </w:pPr>
                    <w:r>
                      <w:rPr>
                        <w:rFonts w:ascii="宋体" w:hAnsi="宋体" w:eastAsia="宋体" w:cs="宋体"/>
                        <w:sz w:val="17"/>
                        <w:szCs w:val="17"/>
                      </w:rPr>
                      <w:t>改进</w:t>
                    </w:r>
                  </w:p>
                </w:txbxContent>
              </v:textbox>
            </v:shape>
            <w10:wrap type="none"/>
            <w10:anchorlock/>
          </v:group>
        </w:pict>
      </w:r>
    </w:p>
    <w:p w14:paraId="6B281CC6">
      <w:pPr>
        <w:pStyle w:val="2"/>
        <w:spacing w:before="128" w:line="219" w:lineRule="auto"/>
        <w:ind w:left="119"/>
        <w:rPr>
          <w:sz w:val="19"/>
          <w:szCs w:val="19"/>
        </w:rPr>
      </w:pPr>
      <w:r>
        <w:rPr>
          <w:spacing w:val="-6"/>
          <w:sz w:val="19"/>
          <w:szCs w:val="19"/>
        </w:rPr>
        <w:t>图7-1</w:t>
      </w:r>
      <w:r>
        <w:rPr>
          <w:spacing w:val="72"/>
          <w:sz w:val="19"/>
          <w:szCs w:val="19"/>
        </w:rPr>
        <w:t xml:space="preserve"> </w:t>
      </w:r>
      <w:r>
        <w:rPr>
          <w:spacing w:val="-6"/>
          <w:sz w:val="19"/>
          <w:szCs w:val="19"/>
        </w:rPr>
        <w:t>运行维护服务能力模</w:t>
      </w:r>
    </w:p>
    <w:p w14:paraId="09A102CD">
      <w:pPr>
        <w:pStyle w:val="2"/>
        <w:spacing w:before="44" w:line="184" w:lineRule="auto"/>
        <w:ind w:left="660"/>
        <w:rPr>
          <w:sz w:val="19"/>
          <w:szCs w:val="19"/>
        </w:rPr>
      </w:pPr>
      <w:r>
        <w:rPr>
          <w:spacing w:val="5"/>
          <w:sz w:val="19"/>
          <w:szCs w:val="19"/>
        </w:rPr>
        <w:t>型(关键要素)</w:t>
      </w:r>
    </w:p>
    <w:p w14:paraId="14FD4077">
      <w:pPr>
        <w:spacing w:line="184" w:lineRule="auto"/>
        <w:rPr>
          <w:sz w:val="19"/>
          <w:szCs w:val="19"/>
        </w:rPr>
        <w:sectPr>
          <w:type w:val="continuous"/>
          <w:pgSz w:w="10290" w:h="13280"/>
          <w:pgMar w:top="369" w:right="607" w:bottom="400" w:left="1059" w:header="0" w:footer="0" w:gutter="0"/>
          <w:cols w:equalWidth="0" w:num="2">
            <w:col w:w="5831" w:space="100"/>
            <w:col w:w="2693"/>
          </w:cols>
        </w:sectPr>
      </w:pPr>
    </w:p>
    <w:p w14:paraId="44A109E1">
      <w:pPr>
        <w:pStyle w:val="2"/>
        <w:spacing w:before="130" w:line="301" w:lineRule="auto"/>
        <w:ind w:right="257" w:firstLine="400"/>
        <w:rPr>
          <w:sz w:val="19"/>
          <w:szCs w:val="19"/>
        </w:rPr>
      </w:pPr>
      <w:r>
        <w:rPr>
          <w:spacing w:val="9"/>
          <w:sz w:val="19"/>
          <w:szCs w:val="19"/>
        </w:rPr>
        <w:t>在招标阶段，按照业主单位的服务需求、关键技术标准、行业相关标准和服务标准等要求，</w:t>
      </w:r>
      <w:r>
        <w:rPr>
          <w:spacing w:val="4"/>
          <w:sz w:val="19"/>
          <w:szCs w:val="19"/>
        </w:rPr>
        <w:t xml:space="preserve"> </w:t>
      </w:r>
      <w:r>
        <w:rPr>
          <w:spacing w:val="9"/>
          <w:sz w:val="19"/>
          <w:szCs w:val="19"/>
        </w:rPr>
        <w:t>确定运维服务提供方，在签订运行维护服务合同时应明确的合同及</w:t>
      </w:r>
      <w:r>
        <w:rPr>
          <w:rFonts w:ascii="Times New Roman" w:hAnsi="Times New Roman" w:eastAsia="Times New Roman" w:cs="Times New Roman"/>
          <w:sz w:val="19"/>
          <w:szCs w:val="19"/>
        </w:rPr>
        <w:t>SLA</w:t>
      </w:r>
      <w:r>
        <w:rPr>
          <w:rFonts w:ascii="Times New Roman" w:hAnsi="Times New Roman" w:eastAsia="Times New Roman" w:cs="Times New Roman"/>
          <w:spacing w:val="36"/>
          <w:w w:val="101"/>
          <w:sz w:val="19"/>
          <w:szCs w:val="19"/>
        </w:rPr>
        <w:t xml:space="preserve"> </w:t>
      </w:r>
      <w:r>
        <w:rPr>
          <w:spacing w:val="8"/>
          <w:sz w:val="19"/>
          <w:szCs w:val="19"/>
        </w:rPr>
        <w:t>要点如下：</w:t>
      </w:r>
    </w:p>
    <w:p w14:paraId="653727E8">
      <w:pPr>
        <w:pStyle w:val="2"/>
        <w:spacing w:before="2" w:line="258" w:lineRule="auto"/>
        <w:ind w:right="298" w:firstLine="400"/>
        <w:rPr>
          <w:sz w:val="19"/>
          <w:szCs w:val="19"/>
        </w:rPr>
      </w:pPr>
      <w:r>
        <w:rPr>
          <w:spacing w:val="23"/>
          <w:sz w:val="19"/>
          <w:szCs w:val="19"/>
        </w:rPr>
        <w:t>(1)运行维护合同条款包含运行维护服务期限、服务范围、服务内容、服务</w:t>
      </w:r>
      <w:r>
        <w:rPr>
          <w:spacing w:val="22"/>
          <w:sz w:val="19"/>
          <w:szCs w:val="19"/>
        </w:rPr>
        <w:t>级别(例如</w:t>
      </w:r>
      <w:r>
        <w:rPr>
          <w:sz w:val="19"/>
          <w:szCs w:val="19"/>
        </w:rPr>
        <w:t xml:space="preserve"> </w:t>
      </w:r>
      <w:r>
        <w:rPr>
          <w:rFonts w:ascii="Times New Roman" w:hAnsi="Times New Roman" w:eastAsia="Times New Roman" w:cs="Times New Roman"/>
          <w:sz w:val="19"/>
          <w:szCs w:val="19"/>
        </w:rPr>
        <w:t>SLA</w:t>
      </w:r>
      <w:r>
        <w:rPr>
          <w:rFonts w:ascii="Times New Roman" w:hAnsi="Times New Roman" w:eastAsia="Times New Roman" w:cs="Times New Roman"/>
          <w:spacing w:val="-27"/>
          <w:sz w:val="19"/>
          <w:szCs w:val="19"/>
        </w:rPr>
        <w:t xml:space="preserve"> </w:t>
      </w:r>
      <w:r>
        <w:rPr>
          <w:spacing w:val="10"/>
          <w:sz w:val="19"/>
          <w:szCs w:val="19"/>
        </w:rPr>
        <w:t>、人员投入、运行维护评估、付款节点、服务变更控制及奖惩条款等)。</w:t>
      </w:r>
    </w:p>
    <w:p w14:paraId="025A124A">
      <w:pPr>
        <w:pStyle w:val="2"/>
        <w:spacing w:before="87" w:line="184" w:lineRule="auto"/>
        <w:ind w:left="400"/>
        <w:rPr>
          <w:sz w:val="19"/>
          <w:szCs w:val="19"/>
        </w:rPr>
      </w:pPr>
      <w:r>
        <w:rPr>
          <w:spacing w:val="12"/>
          <w:sz w:val="19"/>
          <w:szCs w:val="19"/>
        </w:rPr>
        <w:t>(2)服务目录定义的完整性、文件的规范性、考核</w:t>
      </w:r>
      <w:r>
        <w:rPr>
          <w:spacing w:val="11"/>
          <w:sz w:val="19"/>
          <w:szCs w:val="19"/>
        </w:rPr>
        <w:t>评估机制的有效性和完整性。</w:t>
      </w:r>
    </w:p>
    <w:p w14:paraId="3C1D6C87">
      <w:pPr>
        <w:spacing w:line="184" w:lineRule="auto"/>
        <w:rPr>
          <w:sz w:val="19"/>
          <w:szCs w:val="19"/>
        </w:rPr>
        <w:sectPr>
          <w:type w:val="continuous"/>
          <w:pgSz w:w="10290" w:h="13280"/>
          <w:pgMar w:top="369" w:right="607" w:bottom="400" w:left="1059" w:header="0" w:footer="0" w:gutter="0"/>
          <w:cols w:equalWidth="0" w:num="1">
            <w:col w:w="8623"/>
          </w:cols>
        </w:sectPr>
      </w:pPr>
    </w:p>
    <w:p w14:paraId="5B6813B2">
      <w:pPr>
        <w:pStyle w:val="2"/>
        <w:spacing w:before="87" w:line="219" w:lineRule="auto"/>
        <w:rPr>
          <w:sz w:val="19"/>
          <w:szCs w:val="19"/>
        </w:rPr>
      </w:pPr>
      <w:r>
        <w:rPr>
          <w:rFonts w:ascii="Times New Roman" w:hAnsi="Times New Roman" w:eastAsia="Times New Roman" w:cs="Times New Roman"/>
          <w:spacing w:val="3"/>
          <w:sz w:val="19"/>
          <w:szCs w:val="19"/>
        </w:rPr>
        <w:t xml:space="preserve">196              </w:t>
      </w:r>
      <w:r>
        <w:rPr>
          <w:spacing w:val="3"/>
          <w:sz w:val="19"/>
          <w:szCs w:val="19"/>
        </w:rPr>
        <w:t>信息系统监理师教程(第2版)</w:t>
      </w:r>
    </w:p>
    <w:p w14:paraId="4B0EAB7C">
      <w:pPr>
        <w:spacing w:line="309" w:lineRule="auto"/>
        <w:rPr>
          <w:rFonts w:ascii="Arial"/>
          <w:sz w:val="21"/>
        </w:rPr>
      </w:pPr>
    </w:p>
    <w:p w14:paraId="675B59E9">
      <w:pPr>
        <w:pStyle w:val="2"/>
        <w:spacing w:before="62" w:line="219" w:lineRule="auto"/>
        <w:ind w:left="759"/>
        <w:rPr>
          <w:sz w:val="19"/>
          <w:szCs w:val="19"/>
        </w:rPr>
      </w:pPr>
      <w:r>
        <w:rPr>
          <w:spacing w:val="12"/>
          <w:sz w:val="19"/>
          <w:szCs w:val="19"/>
        </w:rPr>
        <w:t>(3)在运行维护合同中应明确要求运维服务提供方接受</w:t>
      </w:r>
      <w:r>
        <w:rPr>
          <w:spacing w:val="11"/>
          <w:sz w:val="19"/>
          <w:szCs w:val="19"/>
        </w:rPr>
        <w:t>监理单位的监理。</w:t>
      </w:r>
    </w:p>
    <w:p w14:paraId="0F5C24C5">
      <w:pPr>
        <w:pStyle w:val="2"/>
        <w:spacing w:before="86" w:line="301" w:lineRule="auto"/>
        <w:ind w:left="369" w:firstLine="389"/>
        <w:jc w:val="both"/>
        <w:rPr>
          <w:sz w:val="19"/>
          <w:szCs w:val="19"/>
        </w:rPr>
      </w:pPr>
      <w:r>
        <w:rPr>
          <w:spacing w:val="14"/>
          <w:sz w:val="19"/>
          <w:szCs w:val="19"/>
        </w:rPr>
        <w:t>在运维服务合同签订后，运维工作启动前，</w:t>
      </w:r>
      <w:r>
        <w:rPr>
          <w:spacing w:val="13"/>
          <w:sz w:val="19"/>
          <w:szCs w:val="19"/>
        </w:rPr>
        <w:t>运维服务提供方对运维团队的服务能力和关键</w:t>
      </w:r>
      <w:r>
        <w:rPr>
          <w:sz w:val="19"/>
          <w:szCs w:val="19"/>
        </w:rPr>
        <w:t xml:space="preserve"> </w:t>
      </w:r>
      <w:r>
        <w:rPr>
          <w:spacing w:val="10"/>
          <w:sz w:val="19"/>
          <w:szCs w:val="19"/>
        </w:rPr>
        <w:t>指标进行策划，并制定相应的运行维护服务方案，服务方案应关注服务内容的完整</w:t>
      </w:r>
      <w:r>
        <w:rPr>
          <w:spacing w:val="9"/>
          <w:sz w:val="19"/>
          <w:szCs w:val="19"/>
        </w:rPr>
        <w:t>性、合理性、</w:t>
      </w:r>
      <w:r>
        <w:rPr>
          <w:sz w:val="19"/>
          <w:szCs w:val="19"/>
        </w:rPr>
        <w:t xml:space="preserve"> </w:t>
      </w:r>
      <w:r>
        <w:rPr>
          <w:spacing w:val="9"/>
          <w:sz w:val="19"/>
          <w:szCs w:val="19"/>
        </w:rPr>
        <w:t>适宜性等方面，保证运维服务团队能够顺利执行运行维护服务工作。服务方案中包括的内容有：</w:t>
      </w:r>
    </w:p>
    <w:p w14:paraId="07F23AC2">
      <w:pPr>
        <w:pStyle w:val="2"/>
        <w:spacing w:before="1" w:line="269" w:lineRule="auto"/>
        <w:ind w:left="369" w:right="89" w:firstLine="389"/>
        <w:rPr>
          <w:sz w:val="19"/>
          <w:szCs w:val="19"/>
        </w:rPr>
      </w:pPr>
      <w:r>
        <w:rPr>
          <w:spacing w:val="15"/>
          <w:sz w:val="19"/>
          <w:szCs w:val="19"/>
        </w:rPr>
        <w:t>(1)根据业务需求和管理要求，结合新技术、新模式等要求，策划运行维护服务对象的内</w:t>
      </w:r>
      <w:r>
        <w:rPr>
          <w:sz w:val="19"/>
          <w:szCs w:val="19"/>
        </w:rPr>
        <w:t xml:space="preserve"> </w:t>
      </w:r>
      <w:r>
        <w:rPr>
          <w:spacing w:val="6"/>
          <w:sz w:val="19"/>
          <w:szCs w:val="19"/>
        </w:rPr>
        <w:t>容与要求，并形成项目级运维服务目录。</w:t>
      </w:r>
    </w:p>
    <w:p w14:paraId="0EFE78C1">
      <w:pPr>
        <w:pStyle w:val="2"/>
        <w:spacing w:before="105" w:line="219" w:lineRule="auto"/>
        <w:ind w:left="759"/>
        <w:rPr>
          <w:sz w:val="19"/>
          <w:szCs w:val="19"/>
        </w:rPr>
      </w:pPr>
      <w:r>
        <w:rPr>
          <w:spacing w:val="11"/>
          <w:sz w:val="19"/>
          <w:szCs w:val="19"/>
        </w:rPr>
        <w:t>(2)确定参与运维项目的相关方，建立项目管理制度，以支持服务目录的实现。</w:t>
      </w:r>
    </w:p>
    <w:p w14:paraId="64EC4701">
      <w:pPr>
        <w:pStyle w:val="2"/>
        <w:spacing w:before="64" w:line="275" w:lineRule="auto"/>
        <w:ind w:left="369" w:right="107" w:firstLine="389"/>
        <w:rPr>
          <w:sz w:val="19"/>
          <w:szCs w:val="19"/>
        </w:rPr>
      </w:pPr>
      <w:r>
        <w:rPr>
          <w:spacing w:val="15"/>
          <w:sz w:val="19"/>
          <w:szCs w:val="19"/>
        </w:rPr>
        <w:t>(3)运维服务团队识别出影响运维服务的相关因</w:t>
      </w:r>
      <w:r>
        <w:rPr>
          <w:spacing w:val="14"/>
          <w:sz w:val="19"/>
          <w:szCs w:val="19"/>
        </w:rPr>
        <w:t>素，并依据项目级运维服务目录开展运维</w:t>
      </w:r>
      <w:r>
        <w:rPr>
          <w:sz w:val="19"/>
          <w:szCs w:val="19"/>
        </w:rPr>
        <w:t xml:space="preserve"> </w:t>
      </w:r>
      <w:r>
        <w:rPr>
          <w:spacing w:val="5"/>
          <w:sz w:val="19"/>
          <w:szCs w:val="19"/>
        </w:rPr>
        <w:t>服务工作。</w:t>
      </w:r>
    </w:p>
    <w:p w14:paraId="7CE1BE4D">
      <w:pPr>
        <w:pStyle w:val="2"/>
        <w:spacing w:before="95" w:line="255" w:lineRule="auto"/>
        <w:ind w:left="369" w:right="80" w:firstLine="389"/>
        <w:rPr>
          <w:sz w:val="19"/>
          <w:szCs w:val="19"/>
        </w:rPr>
      </w:pPr>
      <w:r>
        <w:rPr>
          <w:spacing w:val="15"/>
          <w:sz w:val="19"/>
          <w:szCs w:val="19"/>
        </w:rPr>
        <w:t>(4)结合服务场景，对人员、技术、过程和资源进行策划，并保留运维项目交付过程中的</w:t>
      </w:r>
      <w:r>
        <w:rPr>
          <w:spacing w:val="8"/>
          <w:sz w:val="19"/>
          <w:szCs w:val="19"/>
        </w:rPr>
        <w:t xml:space="preserve"> </w:t>
      </w:r>
      <w:r>
        <w:rPr>
          <w:spacing w:val="6"/>
          <w:sz w:val="19"/>
          <w:szCs w:val="19"/>
        </w:rPr>
        <w:t>工作内容等相关记录性文件。具体包括以下内容：</w:t>
      </w:r>
    </w:p>
    <w:p w14:paraId="0BB118FA">
      <w:pPr>
        <w:pStyle w:val="2"/>
        <w:spacing w:before="83" w:line="269" w:lineRule="auto"/>
        <w:ind w:left="1069" w:right="80" w:hanging="310"/>
        <w:rPr>
          <w:sz w:val="19"/>
          <w:szCs w:val="19"/>
        </w:rPr>
      </w:pPr>
      <w:r>
        <w:rPr>
          <w:spacing w:val="13"/>
          <w:sz w:val="19"/>
          <w:szCs w:val="19"/>
        </w:rPr>
        <w:t>●针对业主单位人员和运维服务提供人员，策划项目人员的岗位及岗位职责，并对人员的</w:t>
      </w:r>
      <w:r>
        <w:rPr>
          <w:spacing w:val="7"/>
          <w:sz w:val="19"/>
          <w:szCs w:val="19"/>
        </w:rPr>
        <w:t xml:space="preserve"> </w:t>
      </w:r>
      <w:r>
        <w:rPr>
          <w:spacing w:val="6"/>
          <w:sz w:val="19"/>
          <w:szCs w:val="19"/>
        </w:rPr>
        <w:t>储备、培训、绩效考核、能力评价等进行管理。</w:t>
      </w:r>
    </w:p>
    <w:p w14:paraId="52DDE2EF">
      <w:pPr>
        <w:pStyle w:val="2"/>
        <w:spacing w:before="108" w:line="260" w:lineRule="auto"/>
        <w:ind w:left="1069" w:right="87" w:hanging="310"/>
        <w:rPr>
          <w:sz w:val="19"/>
          <w:szCs w:val="19"/>
        </w:rPr>
      </w:pPr>
      <w:r>
        <w:rPr>
          <w:spacing w:val="13"/>
          <w:sz w:val="19"/>
          <w:szCs w:val="19"/>
        </w:rPr>
        <w:t>●识别现有技术与服务需求间的差距，确定技术管理目标，规划技术研发与成果应用等方</w:t>
      </w:r>
      <w:r>
        <w:rPr>
          <w:sz w:val="19"/>
          <w:szCs w:val="19"/>
        </w:rPr>
        <w:t xml:space="preserve"> </w:t>
      </w:r>
      <w:r>
        <w:rPr>
          <w:spacing w:val="5"/>
          <w:sz w:val="19"/>
          <w:szCs w:val="19"/>
        </w:rPr>
        <w:t>面的技术实现方案。</w:t>
      </w:r>
    </w:p>
    <w:p w14:paraId="5458FFA4">
      <w:pPr>
        <w:pStyle w:val="2"/>
        <w:spacing w:before="105" w:line="260" w:lineRule="auto"/>
        <w:ind w:left="1069" w:hanging="310"/>
        <w:rPr>
          <w:sz w:val="19"/>
          <w:szCs w:val="19"/>
        </w:rPr>
      </w:pPr>
      <w:r>
        <w:rPr>
          <w:spacing w:val="15"/>
          <w:sz w:val="19"/>
          <w:szCs w:val="19"/>
        </w:rPr>
        <w:t>●识别并建立运维过程，设计过程框架，确定过程之间的关系，策划各过程的能力要求、</w:t>
      </w:r>
      <w:r>
        <w:rPr>
          <w:spacing w:val="9"/>
          <w:sz w:val="19"/>
          <w:szCs w:val="19"/>
        </w:rPr>
        <w:t xml:space="preserve"> </w:t>
      </w:r>
      <w:r>
        <w:rPr>
          <w:spacing w:val="5"/>
          <w:sz w:val="19"/>
          <w:szCs w:val="19"/>
        </w:rPr>
        <w:t>过程的执行保障等。</w:t>
      </w:r>
    </w:p>
    <w:p w14:paraId="6B3DAF6C">
      <w:pPr>
        <w:pStyle w:val="2"/>
        <w:spacing w:before="92" w:line="271" w:lineRule="auto"/>
        <w:ind w:left="1069" w:right="87" w:hanging="310"/>
        <w:rPr>
          <w:sz w:val="19"/>
          <w:szCs w:val="19"/>
        </w:rPr>
      </w:pPr>
      <w:r>
        <w:rPr>
          <w:spacing w:val="13"/>
          <w:sz w:val="19"/>
          <w:szCs w:val="19"/>
        </w:rPr>
        <w:t>●综合评估现有资源及需求，确定运行维护工具、服务台、备件库、最终软件库、服务数</w:t>
      </w:r>
      <w:r>
        <w:rPr>
          <w:sz w:val="19"/>
          <w:szCs w:val="19"/>
        </w:rPr>
        <w:t xml:space="preserve"> </w:t>
      </w:r>
      <w:r>
        <w:rPr>
          <w:spacing w:val="6"/>
          <w:sz w:val="19"/>
          <w:szCs w:val="19"/>
        </w:rPr>
        <w:t>据、服务知识等资源的配备方案。</w:t>
      </w:r>
    </w:p>
    <w:p w14:paraId="6AC91068">
      <w:pPr>
        <w:pStyle w:val="2"/>
        <w:spacing w:before="113" w:line="218" w:lineRule="auto"/>
        <w:ind w:left="759"/>
        <w:rPr>
          <w:sz w:val="19"/>
          <w:szCs w:val="19"/>
        </w:rPr>
      </w:pPr>
      <w:r>
        <w:rPr>
          <w:spacing w:val="10"/>
          <w:sz w:val="19"/>
          <w:szCs w:val="19"/>
        </w:rPr>
        <w:t>(5)建立相适应的能力指标体系，包括指标、度量方法、数据来源，以及评价方法等。</w:t>
      </w:r>
    </w:p>
    <w:p w14:paraId="5CA25116">
      <w:pPr>
        <w:pStyle w:val="2"/>
        <w:spacing w:before="77" w:line="219" w:lineRule="auto"/>
        <w:ind w:left="759"/>
        <w:rPr>
          <w:sz w:val="19"/>
          <w:szCs w:val="19"/>
        </w:rPr>
      </w:pPr>
      <w:r>
        <w:rPr>
          <w:spacing w:val="11"/>
          <w:sz w:val="19"/>
          <w:szCs w:val="19"/>
        </w:rPr>
        <w:t>(6)确定质量目标，对管理、审核并改进服务质量进行策划，形成服务质量管理计划。</w:t>
      </w:r>
    </w:p>
    <w:p w14:paraId="53EF1AE6">
      <w:pPr>
        <w:pStyle w:val="2"/>
        <w:spacing w:before="95" w:line="219" w:lineRule="auto"/>
        <w:ind w:left="759"/>
        <w:rPr>
          <w:sz w:val="19"/>
          <w:szCs w:val="19"/>
        </w:rPr>
      </w:pPr>
      <w:r>
        <w:rPr>
          <w:spacing w:val="11"/>
          <w:sz w:val="19"/>
          <w:szCs w:val="19"/>
        </w:rPr>
        <w:t>(7)对策划结果的适宜性、合规性等方面进行评审，必要时进行修订。</w:t>
      </w:r>
    </w:p>
    <w:p w14:paraId="0F4ABDF9">
      <w:pPr>
        <w:pStyle w:val="2"/>
        <w:spacing w:before="160" w:line="222" w:lineRule="auto"/>
        <w:ind w:left="762"/>
        <w:rPr>
          <w:rFonts w:ascii="黑体" w:hAnsi="黑体" w:eastAsia="黑体" w:cs="黑体"/>
          <w:sz w:val="19"/>
          <w:szCs w:val="19"/>
        </w:rPr>
      </w:pPr>
      <w:r>
        <w:rPr>
          <w:b/>
          <w:bCs/>
          <w:color w:val="0076C6"/>
          <w:spacing w:val="-3"/>
          <w:sz w:val="19"/>
          <w:szCs w:val="19"/>
        </w:rPr>
        <w:t>2.</w:t>
      </w:r>
      <w:r>
        <w:rPr>
          <w:rFonts w:ascii="黑体" w:hAnsi="黑体" w:eastAsia="黑体" w:cs="黑体"/>
          <w:b/>
          <w:bCs/>
          <w:color w:val="0076C6"/>
          <w:spacing w:val="-3"/>
          <w:sz w:val="19"/>
          <w:szCs w:val="19"/>
        </w:rPr>
        <w:t>实</w:t>
      </w:r>
      <w:r>
        <w:rPr>
          <w:rFonts w:ascii="黑体" w:hAnsi="黑体" w:eastAsia="黑体" w:cs="黑体"/>
          <w:color w:val="0076C6"/>
          <w:spacing w:val="-33"/>
          <w:sz w:val="19"/>
          <w:szCs w:val="19"/>
        </w:rPr>
        <w:t xml:space="preserve"> </w:t>
      </w:r>
      <w:r>
        <w:rPr>
          <w:rFonts w:ascii="黑体" w:hAnsi="黑体" w:eastAsia="黑体" w:cs="黑体"/>
          <w:b/>
          <w:bCs/>
          <w:color w:val="0076C6"/>
          <w:spacing w:val="-3"/>
          <w:sz w:val="19"/>
          <w:szCs w:val="19"/>
        </w:rPr>
        <w:t>施</w:t>
      </w:r>
    </w:p>
    <w:p w14:paraId="04C396DC">
      <w:pPr>
        <w:pStyle w:val="2"/>
        <w:spacing w:before="165" w:line="219" w:lineRule="auto"/>
        <w:ind w:left="759"/>
        <w:rPr>
          <w:sz w:val="19"/>
          <w:szCs w:val="19"/>
        </w:rPr>
      </w:pPr>
      <w:r>
        <w:rPr>
          <w:spacing w:val="9"/>
          <w:sz w:val="19"/>
          <w:szCs w:val="19"/>
        </w:rPr>
        <w:t>运维服务提供方按照审核通过的运行维护服</w:t>
      </w:r>
      <w:r>
        <w:rPr>
          <w:spacing w:val="8"/>
          <w:sz w:val="19"/>
          <w:szCs w:val="19"/>
        </w:rPr>
        <w:t>务方案开展如下运行维护工作：</w:t>
      </w:r>
    </w:p>
    <w:p w14:paraId="1F1FE865">
      <w:pPr>
        <w:pStyle w:val="2"/>
        <w:spacing w:before="76" w:line="219" w:lineRule="auto"/>
        <w:ind w:left="759"/>
        <w:rPr>
          <w:sz w:val="19"/>
          <w:szCs w:val="19"/>
        </w:rPr>
      </w:pPr>
      <w:r>
        <w:rPr>
          <w:spacing w:val="10"/>
          <w:sz w:val="19"/>
          <w:szCs w:val="19"/>
        </w:rPr>
        <w:t>(1)制定与运行维护服务方案相适应的实施计划；</w:t>
      </w:r>
    </w:p>
    <w:p w14:paraId="677FE283">
      <w:pPr>
        <w:pStyle w:val="2"/>
        <w:spacing w:before="93" w:line="219" w:lineRule="auto"/>
        <w:ind w:left="759"/>
        <w:rPr>
          <w:sz w:val="19"/>
          <w:szCs w:val="19"/>
        </w:rPr>
      </w:pPr>
      <w:r>
        <w:rPr>
          <w:spacing w:val="10"/>
          <w:sz w:val="19"/>
          <w:szCs w:val="19"/>
        </w:rPr>
        <w:t>(2)建立运维项目相关方内外部的沟通协调机制；</w:t>
      </w:r>
    </w:p>
    <w:p w14:paraId="3DCF058E">
      <w:pPr>
        <w:pStyle w:val="2"/>
        <w:spacing w:before="94" w:line="218" w:lineRule="auto"/>
        <w:ind w:left="759"/>
        <w:rPr>
          <w:sz w:val="19"/>
          <w:szCs w:val="19"/>
        </w:rPr>
      </w:pPr>
      <w:r>
        <w:rPr>
          <w:spacing w:val="11"/>
          <w:sz w:val="19"/>
          <w:szCs w:val="19"/>
        </w:rPr>
        <w:t>(3)对运维服务过程进行管理，保证实施计划的执行可追溯、服务结果可计量或可评</w:t>
      </w:r>
      <w:r>
        <w:rPr>
          <w:spacing w:val="10"/>
          <w:sz w:val="19"/>
          <w:szCs w:val="19"/>
        </w:rPr>
        <w:t>价；</w:t>
      </w:r>
    </w:p>
    <w:p w14:paraId="7A2A672E">
      <w:pPr>
        <w:pStyle w:val="2"/>
        <w:spacing w:before="98" w:line="219" w:lineRule="auto"/>
        <w:ind w:left="759"/>
        <w:rPr>
          <w:sz w:val="19"/>
          <w:szCs w:val="19"/>
        </w:rPr>
      </w:pPr>
      <w:r>
        <w:rPr>
          <w:spacing w:val="10"/>
          <w:sz w:val="19"/>
          <w:szCs w:val="19"/>
        </w:rPr>
        <w:t>(4)提交满足质量要求的运维服务过程交付物；</w:t>
      </w:r>
    </w:p>
    <w:p w14:paraId="6EED805A">
      <w:pPr>
        <w:pStyle w:val="2"/>
        <w:spacing w:before="64" w:line="219" w:lineRule="auto"/>
        <w:ind w:left="759"/>
        <w:rPr>
          <w:sz w:val="19"/>
          <w:szCs w:val="19"/>
        </w:rPr>
      </w:pPr>
      <w:r>
        <w:rPr>
          <w:spacing w:val="11"/>
          <w:sz w:val="19"/>
          <w:szCs w:val="19"/>
        </w:rPr>
        <w:t>(5)形成必要的过程记录文件，并对记录文件进行管理。</w:t>
      </w:r>
    </w:p>
    <w:p w14:paraId="36FA20BD">
      <w:pPr>
        <w:pStyle w:val="2"/>
        <w:spacing w:before="172" w:line="223" w:lineRule="auto"/>
        <w:ind w:left="762"/>
        <w:rPr>
          <w:rFonts w:ascii="黑体" w:hAnsi="黑体" w:eastAsia="黑体" w:cs="黑体"/>
          <w:sz w:val="19"/>
          <w:szCs w:val="19"/>
        </w:rPr>
      </w:pPr>
      <w:r>
        <w:rPr>
          <w:b/>
          <w:bCs/>
          <w:color w:val="0080D6"/>
          <w:sz w:val="19"/>
          <w:szCs w:val="19"/>
        </w:rPr>
        <w:t>3.</w:t>
      </w:r>
      <w:r>
        <w:rPr>
          <w:color w:val="0080D6"/>
          <w:spacing w:val="-52"/>
          <w:sz w:val="19"/>
          <w:szCs w:val="19"/>
        </w:rPr>
        <w:t xml:space="preserve"> </w:t>
      </w:r>
      <w:r>
        <w:rPr>
          <w:rFonts w:ascii="黑体" w:hAnsi="黑体" w:eastAsia="黑体" w:cs="黑体"/>
          <w:b/>
          <w:bCs/>
          <w:color w:val="0080D6"/>
          <w:sz w:val="19"/>
          <w:szCs w:val="19"/>
        </w:rPr>
        <w:t>检查</w:t>
      </w:r>
    </w:p>
    <w:p w14:paraId="6396E0D4">
      <w:pPr>
        <w:pStyle w:val="2"/>
        <w:spacing w:before="154" w:line="268" w:lineRule="auto"/>
        <w:ind w:left="369" w:firstLine="389"/>
        <w:rPr>
          <w:sz w:val="19"/>
          <w:szCs w:val="19"/>
        </w:rPr>
      </w:pPr>
      <w:r>
        <w:rPr>
          <w:spacing w:val="10"/>
          <w:sz w:val="19"/>
          <w:szCs w:val="19"/>
        </w:rPr>
        <w:t>业主对运行维护服务的过程和实施结果进行监控和评审，保证运行维护服务质量满足要求。</w:t>
      </w:r>
      <w:r>
        <w:rPr>
          <w:spacing w:val="3"/>
          <w:sz w:val="19"/>
          <w:szCs w:val="19"/>
        </w:rPr>
        <w:t xml:space="preserve"> </w:t>
      </w:r>
      <w:r>
        <w:rPr>
          <w:spacing w:val="5"/>
          <w:sz w:val="19"/>
          <w:szCs w:val="19"/>
        </w:rPr>
        <w:t>具体包括以下内容：</w:t>
      </w:r>
    </w:p>
    <w:p w14:paraId="433DA768">
      <w:pPr>
        <w:pStyle w:val="2"/>
        <w:spacing w:before="45" w:line="266" w:lineRule="auto"/>
        <w:ind w:left="369" w:right="86" w:firstLine="389"/>
        <w:rPr>
          <w:sz w:val="19"/>
          <w:szCs w:val="19"/>
        </w:rPr>
      </w:pPr>
      <w:r>
        <w:rPr>
          <w:spacing w:val="15"/>
          <w:sz w:val="19"/>
          <w:szCs w:val="19"/>
        </w:rPr>
        <w:t>(1)对服务绩效及能力水平进行评价，包含服务能力实施情况、各项指标达成情况、服务</w:t>
      </w:r>
      <w:r>
        <w:rPr>
          <w:spacing w:val="3"/>
          <w:sz w:val="19"/>
          <w:szCs w:val="19"/>
        </w:rPr>
        <w:t xml:space="preserve"> </w:t>
      </w:r>
      <w:r>
        <w:rPr>
          <w:spacing w:val="6"/>
          <w:sz w:val="19"/>
          <w:szCs w:val="19"/>
        </w:rPr>
        <w:t>级别协议达成情况、业主单位满意度等；</w:t>
      </w:r>
    </w:p>
    <w:p w14:paraId="02D0EA90">
      <w:pPr>
        <w:pStyle w:val="2"/>
        <w:spacing w:before="83" w:line="218" w:lineRule="auto"/>
        <w:ind w:left="759"/>
        <w:rPr>
          <w:sz w:val="19"/>
          <w:szCs w:val="19"/>
        </w:rPr>
      </w:pPr>
      <w:r>
        <w:rPr>
          <w:spacing w:val="16"/>
          <w:sz w:val="19"/>
          <w:szCs w:val="19"/>
        </w:rPr>
        <w:t>(2)参考法律法规及标准体系中适用的评价指标，如运行维护服</w:t>
      </w:r>
      <w:r>
        <w:rPr>
          <w:spacing w:val="15"/>
          <w:sz w:val="19"/>
          <w:szCs w:val="19"/>
        </w:rPr>
        <w:t>务的安全性、可靠性、响</w:t>
      </w:r>
    </w:p>
    <w:p w14:paraId="564589FA">
      <w:pPr>
        <w:spacing w:line="218" w:lineRule="auto"/>
        <w:rPr>
          <w:sz w:val="19"/>
          <w:szCs w:val="19"/>
        </w:rPr>
        <w:sectPr>
          <w:pgSz w:w="10300" w:h="13330"/>
          <w:pgMar w:top="400" w:right="984" w:bottom="400" w:left="550" w:header="0" w:footer="0" w:gutter="0"/>
          <w:cols w:space="720" w:num="1"/>
        </w:sectPr>
      </w:pPr>
    </w:p>
    <w:p w14:paraId="763C73B6">
      <w:pPr>
        <w:pStyle w:val="2"/>
        <w:jc w:val="right"/>
        <w:rPr>
          <w:rFonts w:ascii="Times New Roman" w:hAnsi="Times New Roman" w:eastAsia="Times New Roman" w:cs="Times New Roman"/>
          <w:sz w:val="19"/>
          <w:szCs w:val="19"/>
        </w:rPr>
      </w:pPr>
      <w:r>
        <w:rPr>
          <w:spacing w:val="5"/>
          <w:sz w:val="19"/>
          <w:szCs w:val="19"/>
        </w:rPr>
        <w:t>第7章</w:t>
      </w:r>
      <w:r>
        <w:rPr>
          <w:spacing w:val="46"/>
          <w:sz w:val="19"/>
          <w:szCs w:val="19"/>
        </w:rPr>
        <w:t xml:space="preserve"> </w:t>
      </w:r>
      <w:r>
        <w:rPr>
          <w:spacing w:val="5"/>
          <w:sz w:val="19"/>
          <w:szCs w:val="19"/>
        </w:rPr>
        <w:t xml:space="preserve">运行维护 </w:t>
      </w:r>
      <w:r>
        <w:rPr>
          <w:position w:val="-12"/>
          <w:sz w:val="19"/>
          <w:szCs w:val="19"/>
        </w:rPr>
        <w:drawing>
          <wp:inline distT="0" distB="0" distL="0" distR="0">
            <wp:extent cx="323850" cy="24701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41"/>
                    <a:stretch>
                      <a:fillRect/>
                    </a:stretch>
                  </pic:blipFill>
                  <pic:spPr>
                    <a:xfrm>
                      <a:off x="0" y="0"/>
                      <a:ext cx="323909" cy="247639"/>
                    </a:xfrm>
                    <a:prstGeom prst="rect">
                      <a:avLst/>
                    </a:prstGeom>
                  </pic:spPr>
                </pic:pic>
              </a:graphicData>
            </a:graphic>
          </wp:inline>
        </w:drawing>
      </w:r>
      <w:r>
        <w:rPr>
          <w:rFonts w:ascii="Times New Roman" w:hAnsi="Times New Roman" w:eastAsia="Times New Roman" w:cs="Times New Roman"/>
          <w:spacing w:val="5"/>
          <w:sz w:val="19"/>
          <w:szCs w:val="19"/>
        </w:rPr>
        <w:t>197</w:t>
      </w:r>
    </w:p>
    <w:p w14:paraId="6B7D00CE">
      <w:pPr>
        <w:spacing w:line="244" w:lineRule="auto"/>
        <w:rPr>
          <w:rFonts w:ascii="Arial"/>
          <w:sz w:val="21"/>
        </w:rPr>
      </w:pPr>
    </w:p>
    <w:p w14:paraId="75D42769">
      <w:pPr>
        <w:pStyle w:val="2"/>
        <w:spacing w:before="62" w:line="316" w:lineRule="auto"/>
        <w:ind w:right="227"/>
        <w:rPr>
          <w:sz w:val="19"/>
          <w:szCs w:val="19"/>
        </w:rPr>
      </w:pPr>
      <w:r>
        <w:rPr>
          <w:spacing w:val="10"/>
          <w:sz w:val="19"/>
          <w:szCs w:val="19"/>
        </w:rPr>
        <w:t>应性、有形性等指标，以识别运维过程中的薄弱环节和潜在问题，以及与预期目标之间的差距，</w:t>
      </w:r>
      <w:r>
        <w:rPr>
          <w:spacing w:val="3"/>
          <w:sz w:val="19"/>
          <w:szCs w:val="19"/>
        </w:rPr>
        <w:t xml:space="preserve"> </w:t>
      </w:r>
      <w:r>
        <w:rPr>
          <w:spacing w:val="9"/>
          <w:sz w:val="19"/>
          <w:szCs w:val="19"/>
        </w:rPr>
        <w:t>制定服务改进跟踪表以促进运维服务质量的持续</w:t>
      </w:r>
      <w:r>
        <w:rPr>
          <w:spacing w:val="8"/>
          <w:sz w:val="19"/>
          <w:szCs w:val="19"/>
        </w:rPr>
        <w:t>提升。</w:t>
      </w:r>
    </w:p>
    <w:p w14:paraId="1E0C80A6">
      <w:pPr>
        <w:pStyle w:val="2"/>
        <w:spacing w:before="75" w:line="222" w:lineRule="auto"/>
        <w:ind w:left="412"/>
        <w:rPr>
          <w:rFonts w:ascii="黑体" w:hAnsi="黑体" w:eastAsia="黑体" w:cs="黑体"/>
          <w:sz w:val="19"/>
          <w:szCs w:val="19"/>
        </w:rPr>
      </w:pPr>
      <w:r>
        <w:rPr>
          <w:b/>
          <w:bCs/>
          <w:color w:val="0072B5"/>
          <w:spacing w:val="-3"/>
          <w:sz w:val="19"/>
          <w:szCs w:val="19"/>
        </w:rPr>
        <w:t>4.</w:t>
      </w:r>
      <w:r>
        <w:rPr>
          <w:rFonts w:ascii="黑体" w:hAnsi="黑体" w:eastAsia="黑体" w:cs="黑体"/>
          <w:b/>
          <w:bCs/>
          <w:color w:val="0072B5"/>
          <w:spacing w:val="-3"/>
          <w:sz w:val="19"/>
          <w:szCs w:val="19"/>
        </w:rPr>
        <w:t>改</w:t>
      </w:r>
      <w:r>
        <w:rPr>
          <w:rFonts w:ascii="黑体" w:hAnsi="黑体" w:eastAsia="黑体" w:cs="黑体"/>
          <w:color w:val="0072B5"/>
          <w:spacing w:val="-34"/>
          <w:sz w:val="19"/>
          <w:szCs w:val="19"/>
        </w:rPr>
        <w:t xml:space="preserve"> </w:t>
      </w:r>
      <w:r>
        <w:rPr>
          <w:rFonts w:ascii="黑体" w:hAnsi="黑体" w:eastAsia="黑体" w:cs="黑体"/>
          <w:b/>
          <w:bCs/>
          <w:color w:val="0072B5"/>
          <w:spacing w:val="-3"/>
          <w:sz w:val="19"/>
          <w:szCs w:val="19"/>
        </w:rPr>
        <w:t>进</w:t>
      </w:r>
    </w:p>
    <w:p w14:paraId="42869C8A">
      <w:pPr>
        <w:pStyle w:val="2"/>
        <w:spacing w:before="154" w:line="296" w:lineRule="auto"/>
        <w:ind w:right="227" w:firstLine="410"/>
        <w:jc w:val="both"/>
        <w:rPr>
          <w:sz w:val="19"/>
          <w:szCs w:val="19"/>
        </w:rPr>
      </w:pPr>
      <w:r>
        <w:rPr>
          <w:spacing w:val="9"/>
          <w:sz w:val="19"/>
          <w:szCs w:val="19"/>
        </w:rPr>
        <w:t>针对运行维护服务过程中发现的不足之处，运维服务提供方应建立运维服务持续改进机制，</w:t>
      </w:r>
      <w:r>
        <w:rPr>
          <w:spacing w:val="13"/>
          <w:sz w:val="19"/>
          <w:szCs w:val="19"/>
        </w:rPr>
        <w:t xml:space="preserve"> </w:t>
      </w:r>
      <w:r>
        <w:rPr>
          <w:spacing w:val="15"/>
          <w:sz w:val="19"/>
          <w:szCs w:val="19"/>
        </w:rPr>
        <w:t>对业主单位不满意的情况、服务级别协议中要求了但运维团队未达成的指标进行调查、总结、</w:t>
      </w:r>
      <w:r>
        <w:rPr>
          <w:sz w:val="19"/>
          <w:szCs w:val="19"/>
        </w:rPr>
        <w:t xml:space="preserve"> </w:t>
      </w:r>
      <w:r>
        <w:rPr>
          <w:spacing w:val="13"/>
          <w:sz w:val="19"/>
          <w:szCs w:val="19"/>
        </w:rPr>
        <w:t>分析，根据汇总的分析结果确定运维服务的改进措施及服务能力改进工作计划，并按照服务改 进计划自行跟进运维服务交付过程，形成服务改进跟踪表，纳入运维服务项目绩效考核统计的</w:t>
      </w:r>
      <w:r>
        <w:rPr>
          <w:sz w:val="19"/>
          <w:szCs w:val="19"/>
        </w:rPr>
        <w:t xml:space="preserve">  </w:t>
      </w:r>
      <w:r>
        <w:rPr>
          <w:spacing w:val="3"/>
          <w:sz w:val="19"/>
          <w:szCs w:val="19"/>
        </w:rPr>
        <w:t>指标数据。</w:t>
      </w:r>
    </w:p>
    <w:p w14:paraId="338736F8">
      <w:pPr>
        <w:pStyle w:val="2"/>
        <w:spacing w:before="216" w:line="219" w:lineRule="auto"/>
        <w:ind w:left="2"/>
        <w:rPr>
          <w:sz w:val="25"/>
          <w:szCs w:val="25"/>
        </w:rPr>
      </w:pPr>
      <w:r>
        <w:rPr>
          <w:b/>
          <w:bCs/>
          <w:color w:val="0285DD"/>
          <w:spacing w:val="-17"/>
          <w:sz w:val="25"/>
          <w:szCs w:val="25"/>
        </w:rPr>
        <w:t>7.2.2</w:t>
      </w:r>
      <w:r>
        <w:rPr>
          <w:color w:val="0285DD"/>
          <w:spacing w:val="75"/>
          <w:sz w:val="25"/>
          <w:szCs w:val="25"/>
        </w:rPr>
        <w:t xml:space="preserve"> </w:t>
      </w:r>
      <w:r>
        <w:rPr>
          <w:b/>
          <w:bCs/>
          <w:color w:val="0285DD"/>
          <w:spacing w:val="-17"/>
          <w:sz w:val="25"/>
          <w:szCs w:val="25"/>
        </w:rPr>
        <w:t>运维服务级别管理</w:t>
      </w:r>
    </w:p>
    <w:p w14:paraId="5B070243">
      <w:pPr>
        <w:pStyle w:val="2"/>
        <w:spacing w:before="260" w:line="221" w:lineRule="auto"/>
        <w:ind w:left="412"/>
        <w:rPr>
          <w:rFonts w:ascii="黑体" w:hAnsi="黑体" w:eastAsia="黑体" w:cs="黑体"/>
          <w:sz w:val="19"/>
          <w:szCs w:val="19"/>
        </w:rPr>
      </w:pPr>
      <w:r>
        <w:rPr>
          <w:b/>
          <w:bCs/>
          <w:color w:val="006BB3"/>
          <w:spacing w:val="6"/>
          <w:sz w:val="19"/>
          <w:szCs w:val="19"/>
        </w:rPr>
        <w:t>1.</w:t>
      </w:r>
      <w:r>
        <w:rPr>
          <w:rFonts w:ascii="黑体" w:hAnsi="黑体" w:eastAsia="黑体" w:cs="黑体"/>
          <w:b/>
          <w:bCs/>
          <w:color w:val="006BB3"/>
          <w:spacing w:val="6"/>
          <w:sz w:val="19"/>
          <w:szCs w:val="19"/>
        </w:rPr>
        <w:t>运维服务目录</w:t>
      </w:r>
    </w:p>
    <w:p w14:paraId="50FC5B68">
      <w:pPr>
        <w:pStyle w:val="2"/>
        <w:spacing w:before="176" w:line="280" w:lineRule="auto"/>
        <w:ind w:right="294" w:firstLine="410"/>
        <w:rPr>
          <w:sz w:val="19"/>
          <w:szCs w:val="19"/>
        </w:rPr>
      </w:pPr>
      <w:r>
        <w:rPr>
          <w:spacing w:val="13"/>
          <w:sz w:val="19"/>
          <w:szCs w:val="19"/>
        </w:rPr>
        <w:t>运维服务提供方应首先识别和分析业主单位的运行维护服务需求，形成项目级的运维服务</w:t>
      </w:r>
      <w:r>
        <w:rPr>
          <w:spacing w:val="10"/>
          <w:sz w:val="19"/>
          <w:szCs w:val="19"/>
        </w:rPr>
        <w:t xml:space="preserve"> </w:t>
      </w:r>
      <w:r>
        <w:rPr>
          <w:spacing w:val="4"/>
          <w:sz w:val="19"/>
          <w:szCs w:val="19"/>
        </w:rPr>
        <w:t>目录，具体要求如下：</w:t>
      </w:r>
    </w:p>
    <w:p w14:paraId="3811C864">
      <w:pPr>
        <w:pStyle w:val="2"/>
        <w:spacing w:before="35" w:line="271" w:lineRule="auto"/>
        <w:ind w:right="307" w:firstLine="410"/>
        <w:rPr>
          <w:sz w:val="19"/>
          <w:szCs w:val="19"/>
        </w:rPr>
      </w:pPr>
      <w:r>
        <w:rPr>
          <w:spacing w:val="16"/>
          <w:sz w:val="19"/>
          <w:szCs w:val="19"/>
        </w:rPr>
        <w:t>(1)项目级运维服务目录的结构设计可参考</w:t>
      </w:r>
      <w:r>
        <w:rPr>
          <w:rFonts w:ascii="Times New Roman" w:hAnsi="Times New Roman" w:eastAsia="Times New Roman" w:cs="Times New Roman"/>
          <w:sz w:val="19"/>
          <w:szCs w:val="19"/>
        </w:rPr>
        <w:t>GB</w:t>
      </w:r>
      <w:r>
        <w:rPr>
          <w:rFonts w:ascii="Times New Roman" w:hAnsi="Times New Roman" w:eastAsia="Times New Roman" w:cs="Times New Roman"/>
          <w:spacing w:val="16"/>
          <w:sz w:val="19"/>
          <w:szCs w:val="19"/>
        </w:rPr>
        <w:t>/T   292</w:t>
      </w:r>
      <w:r>
        <w:rPr>
          <w:rFonts w:ascii="Times New Roman" w:hAnsi="Times New Roman" w:eastAsia="Times New Roman" w:cs="Times New Roman"/>
          <w:spacing w:val="15"/>
          <w:sz w:val="19"/>
          <w:szCs w:val="19"/>
        </w:rPr>
        <w:t>64</w:t>
      </w:r>
      <w:r>
        <w:rPr>
          <w:spacing w:val="15"/>
          <w:sz w:val="19"/>
          <w:szCs w:val="19"/>
        </w:rPr>
        <w:t>《信息技术服务分类与代码》的</w:t>
      </w:r>
      <w:r>
        <w:rPr>
          <w:sz w:val="19"/>
          <w:szCs w:val="19"/>
        </w:rPr>
        <w:t xml:space="preserve"> </w:t>
      </w:r>
      <w:r>
        <w:rPr>
          <w:spacing w:val="-2"/>
          <w:sz w:val="19"/>
          <w:szCs w:val="19"/>
        </w:rPr>
        <w:t>要求；</w:t>
      </w:r>
    </w:p>
    <w:p w14:paraId="15150E18">
      <w:pPr>
        <w:pStyle w:val="2"/>
        <w:spacing w:before="92" w:line="219" w:lineRule="auto"/>
        <w:ind w:left="410"/>
        <w:rPr>
          <w:sz w:val="19"/>
          <w:szCs w:val="19"/>
        </w:rPr>
      </w:pPr>
      <w:r>
        <w:rPr>
          <w:spacing w:val="11"/>
          <w:sz w:val="19"/>
          <w:szCs w:val="19"/>
        </w:rPr>
        <w:t>(2)梳理运维服务项目的服务对象，确定服务内容以及相关方；</w:t>
      </w:r>
    </w:p>
    <w:p w14:paraId="4E847914">
      <w:pPr>
        <w:pStyle w:val="2"/>
        <w:spacing w:before="64" w:line="270" w:lineRule="auto"/>
        <w:ind w:right="313" w:firstLine="410"/>
        <w:rPr>
          <w:sz w:val="19"/>
          <w:szCs w:val="19"/>
        </w:rPr>
      </w:pPr>
      <w:r>
        <w:rPr>
          <w:spacing w:val="15"/>
          <w:sz w:val="19"/>
          <w:szCs w:val="19"/>
        </w:rPr>
        <w:t>(3)运维服务提供方应对运维服务项目级服务目录的变更进行管控，当内</w:t>
      </w:r>
      <w:r>
        <w:rPr>
          <w:spacing w:val="14"/>
          <w:sz w:val="19"/>
          <w:szCs w:val="19"/>
        </w:rPr>
        <w:t>、外部环境发生</w:t>
      </w:r>
      <w:r>
        <w:rPr>
          <w:sz w:val="19"/>
          <w:szCs w:val="19"/>
        </w:rPr>
        <w:t xml:space="preserve"> </w:t>
      </w:r>
      <w:r>
        <w:rPr>
          <w:spacing w:val="6"/>
          <w:sz w:val="19"/>
          <w:szCs w:val="19"/>
        </w:rPr>
        <w:t>重大变化时，应该对服务目录进行修订；</w:t>
      </w:r>
    </w:p>
    <w:p w14:paraId="272C07EF">
      <w:pPr>
        <w:pStyle w:val="2"/>
        <w:spacing w:before="95" w:line="219" w:lineRule="auto"/>
        <w:ind w:left="410"/>
        <w:rPr>
          <w:sz w:val="19"/>
          <w:szCs w:val="19"/>
        </w:rPr>
      </w:pPr>
      <w:r>
        <w:rPr>
          <w:spacing w:val="11"/>
          <w:sz w:val="19"/>
          <w:szCs w:val="19"/>
        </w:rPr>
        <w:t>(4)组织项目相关方对修订后的服务目录进行评审，确保满足运维需求。</w:t>
      </w:r>
    </w:p>
    <w:p w14:paraId="5FF2B7A3">
      <w:pPr>
        <w:pStyle w:val="2"/>
        <w:spacing w:before="160" w:line="221" w:lineRule="auto"/>
        <w:ind w:left="412"/>
        <w:rPr>
          <w:rFonts w:ascii="黑体" w:hAnsi="黑体" w:eastAsia="黑体" w:cs="黑体"/>
          <w:sz w:val="19"/>
          <w:szCs w:val="19"/>
        </w:rPr>
      </w:pPr>
      <w:r>
        <w:rPr>
          <w:b/>
          <w:bCs/>
          <w:color w:val="0085DF"/>
          <w:spacing w:val="5"/>
          <w:sz w:val="19"/>
          <w:szCs w:val="19"/>
        </w:rPr>
        <w:t>2.</w:t>
      </w:r>
      <w:r>
        <w:rPr>
          <w:rFonts w:ascii="黑体" w:hAnsi="黑体" w:eastAsia="黑体" w:cs="黑体"/>
          <w:b/>
          <w:bCs/>
          <w:color w:val="0085DF"/>
          <w:spacing w:val="5"/>
          <w:sz w:val="19"/>
          <w:szCs w:val="19"/>
        </w:rPr>
        <w:t>运维服务对象</w:t>
      </w:r>
    </w:p>
    <w:p w14:paraId="01BFA5BC">
      <w:pPr>
        <w:pStyle w:val="2"/>
        <w:spacing w:before="155" w:line="288" w:lineRule="auto"/>
        <w:ind w:right="316" w:firstLine="410"/>
        <w:rPr>
          <w:sz w:val="19"/>
          <w:szCs w:val="19"/>
        </w:rPr>
      </w:pPr>
      <w:r>
        <w:rPr>
          <w:spacing w:val="13"/>
          <w:sz w:val="19"/>
          <w:szCs w:val="19"/>
        </w:rPr>
        <w:t>运行维护的服务对象是信息系统工程建设项目交付的内容，主</w:t>
      </w:r>
      <w:r>
        <w:rPr>
          <w:spacing w:val="12"/>
          <w:sz w:val="19"/>
          <w:szCs w:val="19"/>
        </w:rPr>
        <w:t>要包括机房基础设施、物理</w:t>
      </w:r>
      <w:r>
        <w:rPr>
          <w:sz w:val="19"/>
          <w:szCs w:val="19"/>
        </w:rPr>
        <w:t xml:space="preserve"> </w:t>
      </w:r>
      <w:r>
        <w:rPr>
          <w:spacing w:val="7"/>
          <w:sz w:val="19"/>
          <w:szCs w:val="19"/>
        </w:rPr>
        <w:t>资源、虚拟资源、平台资源、应用和数据等。</w:t>
      </w:r>
    </w:p>
    <w:p w14:paraId="64DD9AC0">
      <w:pPr>
        <w:pStyle w:val="2"/>
        <w:spacing w:before="28" w:line="285" w:lineRule="auto"/>
        <w:ind w:right="227" w:firstLine="410"/>
        <w:rPr>
          <w:sz w:val="19"/>
          <w:szCs w:val="19"/>
        </w:rPr>
      </w:pPr>
      <w:r>
        <w:rPr>
          <w:spacing w:val="15"/>
          <w:sz w:val="19"/>
          <w:szCs w:val="19"/>
        </w:rPr>
        <w:t>(1)机房基础设施：主要是指机房基础环境、安防系统、电气系统、精</w:t>
      </w:r>
      <w:r>
        <w:rPr>
          <w:spacing w:val="14"/>
          <w:sz w:val="19"/>
          <w:szCs w:val="19"/>
        </w:rPr>
        <w:t>密空调系统、环境</w:t>
      </w:r>
      <w:r>
        <w:rPr>
          <w:sz w:val="19"/>
          <w:szCs w:val="19"/>
        </w:rPr>
        <w:t xml:space="preserve">  </w:t>
      </w:r>
      <w:r>
        <w:rPr>
          <w:spacing w:val="15"/>
          <w:sz w:val="19"/>
          <w:szCs w:val="19"/>
        </w:rPr>
        <w:t>检测系统、消防系统，如高低压供配电系统、电源系统、照明系统、防雷与接地、空调系统、</w:t>
      </w:r>
      <w:r>
        <w:rPr>
          <w:sz w:val="19"/>
          <w:szCs w:val="19"/>
        </w:rPr>
        <w:t xml:space="preserve"> </w:t>
      </w:r>
      <w:r>
        <w:rPr>
          <w:spacing w:val="13"/>
          <w:sz w:val="19"/>
          <w:szCs w:val="19"/>
        </w:rPr>
        <w:t>火灾自动报警系统、消防供水设施及消火栓系统、自动灭火系统、防烟排烟系统</w:t>
      </w:r>
      <w:r>
        <w:rPr>
          <w:spacing w:val="12"/>
          <w:sz w:val="19"/>
          <w:szCs w:val="19"/>
        </w:rPr>
        <w:t>、防火分隔设</w:t>
      </w:r>
      <w:r>
        <w:rPr>
          <w:sz w:val="19"/>
          <w:szCs w:val="19"/>
        </w:rPr>
        <w:t xml:space="preserve">  </w:t>
      </w:r>
      <w:r>
        <w:rPr>
          <w:spacing w:val="13"/>
          <w:sz w:val="19"/>
          <w:szCs w:val="19"/>
        </w:rPr>
        <w:t>施、应急照明与疏散指示系统、应急广播系统、环境和设备监控系统、安全防范系</w:t>
      </w:r>
      <w:r>
        <w:rPr>
          <w:spacing w:val="12"/>
          <w:sz w:val="19"/>
          <w:szCs w:val="19"/>
        </w:rPr>
        <w:t>统、综合布</w:t>
      </w:r>
      <w:r>
        <w:rPr>
          <w:sz w:val="19"/>
          <w:szCs w:val="19"/>
        </w:rPr>
        <w:t xml:space="preserve">  </w:t>
      </w:r>
      <w:r>
        <w:rPr>
          <w:spacing w:val="2"/>
          <w:sz w:val="19"/>
          <w:szCs w:val="19"/>
        </w:rPr>
        <w:t>缆系统等。</w:t>
      </w:r>
    </w:p>
    <w:p w14:paraId="711EDFCD">
      <w:pPr>
        <w:pStyle w:val="2"/>
        <w:spacing w:before="63" w:line="281" w:lineRule="auto"/>
        <w:ind w:right="247" w:firstLine="410"/>
        <w:rPr>
          <w:sz w:val="19"/>
          <w:szCs w:val="19"/>
        </w:rPr>
      </w:pPr>
      <w:r>
        <w:rPr>
          <w:spacing w:val="11"/>
          <w:sz w:val="19"/>
          <w:szCs w:val="19"/>
        </w:rPr>
        <w:t>(2)物理资源：主要是指网络、服务器、存储、终端、外设等硬件，如网络线路、路由器、</w:t>
      </w:r>
      <w:r>
        <w:rPr>
          <w:spacing w:val="18"/>
          <w:sz w:val="19"/>
          <w:szCs w:val="19"/>
        </w:rPr>
        <w:t xml:space="preserve"> </w:t>
      </w:r>
      <w:r>
        <w:rPr>
          <w:spacing w:val="13"/>
          <w:sz w:val="19"/>
          <w:szCs w:val="19"/>
        </w:rPr>
        <w:t>交换机、防火墙、入侵检测、负载均衡、语音以及通信传输设备、通用计算服务器</w:t>
      </w:r>
      <w:r>
        <w:rPr>
          <w:spacing w:val="12"/>
          <w:sz w:val="19"/>
          <w:szCs w:val="19"/>
        </w:rPr>
        <w:t>、人工智能</w:t>
      </w:r>
      <w:r>
        <w:rPr>
          <w:sz w:val="19"/>
          <w:szCs w:val="19"/>
        </w:rPr>
        <w:t xml:space="preserve"> </w:t>
      </w:r>
      <w:r>
        <w:rPr>
          <w:spacing w:val="13"/>
          <w:sz w:val="19"/>
          <w:szCs w:val="19"/>
        </w:rPr>
        <w:t>服务器、小型机、大型机、磁盘阵列、磁带库、光盘库、台式计算终端、移动计</w:t>
      </w:r>
      <w:r>
        <w:rPr>
          <w:spacing w:val="12"/>
          <w:sz w:val="19"/>
          <w:szCs w:val="19"/>
        </w:rPr>
        <w:t>算终端、输入</w:t>
      </w:r>
      <w:r>
        <w:rPr>
          <w:sz w:val="19"/>
          <w:szCs w:val="19"/>
        </w:rPr>
        <w:t xml:space="preserve"> </w:t>
      </w:r>
      <w:r>
        <w:rPr>
          <w:spacing w:val="8"/>
          <w:sz w:val="19"/>
          <w:szCs w:val="19"/>
        </w:rPr>
        <w:t>输出设备、移动存储设备、通信设备等。</w:t>
      </w:r>
    </w:p>
    <w:p w14:paraId="0BE63AE0">
      <w:pPr>
        <w:pStyle w:val="2"/>
        <w:spacing w:before="73" w:line="265" w:lineRule="auto"/>
        <w:ind w:right="227" w:firstLine="410"/>
        <w:rPr>
          <w:sz w:val="19"/>
          <w:szCs w:val="19"/>
        </w:rPr>
      </w:pPr>
      <w:r>
        <w:rPr>
          <w:spacing w:val="12"/>
          <w:sz w:val="19"/>
          <w:szCs w:val="19"/>
        </w:rPr>
        <w:t>(3)虚拟资源：主要是指网络资源、计算资源、存储资源等，如虚拟网络设备、虚</w:t>
      </w:r>
      <w:r>
        <w:rPr>
          <w:spacing w:val="11"/>
          <w:sz w:val="19"/>
          <w:szCs w:val="19"/>
        </w:rPr>
        <w:t>拟链路、</w:t>
      </w:r>
      <w:r>
        <w:rPr>
          <w:sz w:val="19"/>
          <w:szCs w:val="19"/>
        </w:rPr>
        <w:t xml:space="preserve"> </w:t>
      </w:r>
      <w:r>
        <w:rPr>
          <w:spacing w:val="9"/>
          <w:sz w:val="19"/>
          <w:szCs w:val="19"/>
        </w:rPr>
        <w:t>虚拟机网络、虚拟机、虚拟机宿主机、虚拟存储卷、存储控制器、存储链路等。</w:t>
      </w:r>
    </w:p>
    <w:p w14:paraId="2473CF43">
      <w:pPr>
        <w:pStyle w:val="2"/>
        <w:spacing w:before="86" w:line="219" w:lineRule="auto"/>
        <w:ind w:left="410"/>
        <w:rPr>
          <w:sz w:val="19"/>
          <w:szCs w:val="19"/>
        </w:rPr>
      </w:pPr>
      <w:r>
        <w:rPr>
          <w:spacing w:val="11"/>
          <w:sz w:val="19"/>
          <w:szCs w:val="19"/>
        </w:rPr>
        <w:t>(4)平台资源：主要是指支撑应用系统运行的基础软件，如操作系统、数据库、中间件等。</w:t>
      </w:r>
    </w:p>
    <w:p w14:paraId="657F11A7">
      <w:pPr>
        <w:pStyle w:val="2"/>
        <w:spacing w:before="85" w:line="219" w:lineRule="auto"/>
        <w:ind w:left="410"/>
        <w:rPr>
          <w:sz w:val="19"/>
          <w:szCs w:val="19"/>
        </w:rPr>
      </w:pPr>
      <w:r>
        <w:rPr>
          <w:spacing w:val="22"/>
          <w:sz w:val="19"/>
          <w:szCs w:val="19"/>
        </w:rPr>
        <w:t>(5)应用：主要是指面向各类应用的软件系统，或者应用于运维服</w:t>
      </w:r>
      <w:r>
        <w:rPr>
          <w:spacing w:val="21"/>
          <w:sz w:val="19"/>
          <w:szCs w:val="19"/>
        </w:rPr>
        <w:t>务管理的工具软件，</w:t>
      </w:r>
    </w:p>
    <w:p w14:paraId="194888F9">
      <w:pPr>
        <w:spacing w:line="219" w:lineRule="auto"/>
        <w:rPr>
          <w:sz w:val="19"/>
          <w:szCs w:val="19"/>
        </w:rPr>
        <w:sectPr>
          <w:pgSz w:w="10280" w:h="13310"/>
          <w:pgMar w:top="350" w:right="587" w:bottom="400" w:left="1059" w:header="0" w:footer="0" w:gutter="0"/>
          <w:cols w:space="720" w:num="1"/>
        </w:sectPr>
      </w:pPr>
    </w:p>
    <w:p w14:paraId="1E2738EC">
      <w:pPr>
        <w:pStyle w:val="2"/>
        <w:spacing w:before="57" w:line="219" w:lineRule="auto"/>
        <w:rPr>
          <w:sz w:val="19"/>
          <w:szCs w:val="19"/>
        </w:rPr>
      </w:pPr>
      <w:r>
        <w:rPr>
          <w:rFonts w:ascii="Times New Roman" w:hAnsi="Times New Roman" w:eastAsia="Times New Roman" w:cs="Times New Roman"/>
          <w:spacing w:val="2"/>
          <w:position w:val="-1"/>
          <w:sz w:val="19"/>
          <w:szCs w:val="19"/>
        </w:rPr>
        <w:t xml:space="preserve">198              </w:t>
      </w:r>
      <w:r>
        <w:rPr>
          <w:spacing w:val="2"/>
          <w:sz w:val="19"/>
          <w:szCs w:val="19"/>
        </w:rPr>
        <w:t>信息系统监理师教程(第2版)</w:t>
      </w:r>
    </w:p>
    <w:p w14:paraId="082B350E">
      <w:pPr>
        <w:spacing w:line="331" w:lineRule="auto"/>
        <w:rPr>
          <w:rFonts w:ascii="Arial"/>
          <w:sz w:val="21"/>
        </w:rPr>
      </w:pPr>
    </w:p>
    <w:p w14:paraId="0B38E141">
      <w:pPr>
        <w:pStyle w:val="2"/>
        <w:spacing w:before="61" w:line="337" w:lineRule="auto"/>
        <w:ind w:left="330" w:right="105"/>
        <w:rPr>
          <w:sz w:val="16"/>
          <w:szCs w:val="16"/>
        </w:rPr>
      </w:pPr>
      <w:r>
        <w:rPr>
          <w:spacing w:val="18"/>
          <w:sz w:val="19"/>
          <w:szCs w:val="19"/>
        </w:rPr>
        <w:t>如财务软件、人力资源管理软件、办公自动化软件、监控软件</w:t>
      </w:r>
      <w:r>
        <w:rPr>
          <w:spacing w:val="17"/>
          <w:sz w:val="19"/>
          <w:szCs w:val="19"/>
        </w:rPr>
        <w:t>、流程管理软件、安全分析软</w:t>
      </w:r>
      <w:r>
        <w:rPr>
          <w:sz w:val="19"/>
          <w:szCs w:val="19"/>
        </w:rPr>
        <w:t xml:space="preserve"> </w:t>
      </w:r>
      <w:r>
        <w:rPr>
          <w:spacing w:val="-5"/>
          <w:sz w:val="16"/>
          <w:szCs w:val="16"/>
        </w:rPr>
        <w:t>件</w:t>
      </w:r>
      <w:r>
        <w:rPr>
          <w:spacing w:val="-23"/>
          <w:sz w:val="16"/>
          <w:szCs w:val="16"/>
        </w:rPr>
        <w:t xml:space="preserve"> </w:t>
      </w:r>
      <w:r>
        <w:rPr>
          <w:spacing w:val="-5"/>
          <w:sz w:val="16"/>
          <w:szCs w:val="16"/>
        </w:rPr>
        <w:t>等</w:t>
      </w:r>
      <w:r>
        <w:rPr>
          <w:spacing w:val="-30"/>
          <w:sz w:val="16"/>
          <w:szCs w:val="16"/>
        </w:rPr>
        <w:t xml:space="preserve"> </w:t>
      </w:r>
      <w:r>
        <w:rPr>
          <w:spacing w:val="-5"/>
          <w:sz w:val="16"/>
          <w:szCs w:val="16"/>
        </w:rPr>
        <w:t>。</w:t>
      </w:r>
    </w:p>
    <w:p w14:paraId="6C0CBA3A">
      <w:pPr>
        <w:pStyle w:val="2"/>
        <w:spacing w:before="1" w:line="302" w:lineRule="auto"/>
        <w:ind w:left="330" w:firstLine="419"/>
        <w:jc w:val="both"/>
        <w:rPr>
          <w:sz w:val="19"/>
          <w:szCs w:val="19"/>
        </w:rPr>
      </w:pPr>
      <w:r>
        <w:rPr>
          <w:spacing w:val="17"/>
          <w:sz w:val="19"/>
          <w:szCs w:val="19"/>
        </w:rPr>
        <w:t>(6)数据：主要是指业务数据、运维数据、安全数据等，如业务数据包括信息系统采</w:t>
      </w:r>
      <w:r>
        <w:rPr>
          <w:spacing w:val="16"/>
          <w:sz w:val="19"/>
          <w:szCs w:val="19"/>
        </w:rPr>
        <w:t>集、</w:t>
      </w:r>
      <w:r>
        <w:rPr>
          <w:sz w:val="19"/>
          <w:szCs w:val="19"/>
        </w:rPr>
        <w:t xml:space="preserve"> </w:t>
      </w:r>
      <w:r>
        <w:rPr>
          <w:spacing w:val="13"/>
          <w:sz w:val="19"/>
          <w:szCs w:val="19"/>
        </w:rPr>
        <w:t>分析并存储的各种信息载体等，运维数据包括运行维护过程</w:t>
      </w:r>
      <w:r>
        <w:rPr>
          <w:spacing w:val="12"/>
          <w:sz w:val="19"/>
          <w:szCs w:val="19"/>
        </w:rPr>
        <w:t>中产生的各类运维信息，运行状态</w:t>
      </w:r>
      <w:r>
        <w:rPr>
          <w:sz w:val="19"/>
          <w:szCs w:val="19"/>
        </w:rPr>
        <w:t xml:space="preserve">  </w:t>
      </w:r>
      <w:r>
        <w:rPr>
          <w:spacing w:val="8"/>
          <w:sz w:val="19"/>
          <w:szCs w:val="19"/>
        </w:rPr>
        <w:t>日志、故障处理文档等信息，安全数据包括在业务运行和运维过程中与安全相关的数据。</w:t>
      </w:r>
    </w:p>
    <w:p w14:paraId="4DEAC9EA">
      <w:pPr>
        <w:pStyle w:val="2"/>
        <w:spacing w:before="122" w:line="221" w:lineRule="auto"/>
        <w:ind w:left="752"/>
        <w:rPr>
          <w:rFonts w:ascii="黑体" w:hAnsi="黑体" w:eastAsia="黑体" w:cs="黑体"/>
          <w:sz w:val="19"/>
          <w:szCs w:val="19"/>
        </w:rPr>
      </w:pPr>
      <w:r>
        <w:rPr>
          <w:b/>
          <w:bCs/>
          <w:color w:val="098AD5"/>
          <w:spacing w:val="7"/>
          <w:sz w:val="19"/>
          <w:szCs w:val="19"/>
        </w:rPr>
        <w:t>3.</w:t>
      </w:r>
      <w:r>
        <w:rPr>
          <w:rFonts w:ascii="黑体" w:hAnsi="黑体" w:eastAsia="黑体" w:cs="黑体"/>
          <w:b/>
          <w:bCs/>
          <w:color w:val="098AD5"/>
          <w:spacing w:val="7"/>
          <w:sz w:val="19"/>
          <w:szCs w:val="19"/>
        </w:rPr>
        <w:t>运维服务内容</w:t>
      </w:r>
    </w:p>
    <w:p w14:paraId="276D646F">
      <w:pPr>
        <w:pStyle w:val="2"/>
        <w:spacing w:before="135" w:line="309" w:lineRule="auto"/>
        <w:ind w:left="330" w:right="85" w:firstLine="419"/>
        <w:rPr>
          <w:sz w:val="19"/>
          <w:szCs w:val="19"/>
        </w:rPr>
      </w:pPr>
      <w:r>
        <w:rPr>
          <w:spacing w:val="13"/>
          <w:sz w:val="19"/>
          <w:szCs w:val="19"/>
        </w:rPr>
        <w:t>运行维护服务根据其工作目标、工作内容、交付结果分为四大类，包</w:t>
      </w:r>
      <w:r>
        <w:rPr>
          <w:spacing w:val="12"/>
          <w:sz w:val="19"/>
          <w:szCs w:val="19"/>
        </w:rPr>
        <w:t>括调研评估、例行操</w:t>
      </w:r>
      <w:r>
        <w:rPr>
          <w:sz w:val="19"/>
          <w:szCs w:val="19"/>
        </w:rPr>
        <w:t xml:space="preserve"> </w:t>
      </w:r>
      <w:r>
        <w:rPr>
          <w:spacing w:val="6"/>
          <w:sz w:val="19"/>
          <w:szCs w:val="19"/>
        </w:rPr>
        <w:t>作、响应支持和优化改善。</w:t>
      </w:r>
    </w:p>
    <w:p w14:paraId="64AFB602">
      <w:pPr>
        <w:pStyle w:val="2"/>
        <w:spacing w:before="4" w:line="218" w:lineRule="auto"/>
        <w:ind w:left="749"/>
        <w:rPr>
          <w:sz w:val="19"/>
          <w:szCs w:val="19"/>
        </w:rPr>
      </w:pPr>
      <w:r>
        <w:rPr>
          <w:spacing w:val="11"/>
          <w:sz w:val="19"/>
          <w:szCs w:val="19"/>
        </w:rPr>
        <w:t>(1)调研评估。对运行维护对象的运行状</w:t>
      </w:r>
      <w:r>
        <w:rPr>
          <w:spacing w:val="10"/>
          <w:sz w:val="19"/>
          <w:szCs w:val="19"/>
        </w:rPr>
        <w:t>况进行分析和评估，并提出方案建议。</w:t>
      </w:r>
    </w:p>
    <w:p w14:paraId="2DC0E738">
      <w:pPr>
        <w:pStyle w:val="2"/>
        <w:spacing w:before="98" w:line="219" w:lineRule="auto"/>
        <w:ind w:left="749"/>
        <w:rPr>
          <w:sz w:val="19"/>
          <w:szCs w:val="19"/>
        </w:rPr>
      </w:pPr>
      <w:r>
        <w:rPr>
          <w:spacing w:val="10"/>
          <w:sz w:val="19"/>
          <w:szCs w:val="19"/>
        </w:rPr>
        <w:t>(2)例行操作。具体包括：</w:t>
      </w:r>
    </w:p>
    <w:p w14:paraId="3C7F4A5B">
      <w:pPr>
        <w:pStyle w:val="2"/>
        <w:spacing w:before="83" w:line="269" w:lineRule="auto"/>
        <w:ind w:left="1009" w:right="86" w:hanging="260"/>
        <w:rPr>
          <w:sz w:val="19"/>
          <w:szCs w:val="19"/>
        </w:rPr>
      </w:pPr>
      <w:r>
        <w:rPr>
          <w:spacing w:val="13"/>
          <w:sz w:val="19"/>
          <w:szCs w:val="19"/>
        </w:rPr>
        <w:t>●监控。对运行维护对象的动态指标、静态指标、运行状况和发展</w:t>
      </w:r>
      <w:r>
        <w:rPr>
          <w:spacing w:val="12"/>
          <w:sz w:val="19"/>
          <w:szCs w:val="19"/>
        </w:rPr>
        <w:t>趋势等进行记录、分析</w:t>
      </w:r>
      <w:r>
        <w:rPr>
          <w:sz w:val="19"/>
          <w:szCs w:val="19"/>
        </w:rPr>
        <w:t xml:space="preserve"> </w:t>
      </w:r>
      <w:r>
        <w:rPr>
          <w:spacing w:val="8"/>
          <w:sz w:val="19"/>
          <w:szCs w:val="19"/>
        </w:rPr>
        <w:t>和告警。</w:t>
      </w:r>
    </w:p>
    <w:p w14:paraId="08C34B99">
      <w:pPr>
        <w:pStyle w:val="2"/>
        <w:spacing w:before="116" w:line="261" w:lineRule="auto"/>
        <w:ind w:left="1009" w:right="19" w:hanging="260"/>
        <w:rPr>
          <w:sz w:val="19"/>
          <w:szCs w:val="19"/>
        </w:rPr>
      </w:pPr>
      <w:r>
        <w:rPr>
          <w:spacing w:val="14"/>
          <w:sz w:val="19"/>
          <w:szCs w:val="19"/>
        </w:rPr>
        <w:t>●预防性检查。对监控记录、运行条件和运行状况进行检查和趋势分析，发现其脆弱性，</w:t>
      </w:r>
      <w:r>
        <w:rPr>
          <w:spacing w:val="17"/>
          <w:sz w:val="19"/>
          <w:szCs w:val="19"/>
        </w:rPr>
        <w:t xml:space="preserve"> </w:t>
      </w:r>
      <w:r>
        <w:rPr>
          <w:spacing w:val="2"/>
          <w:sz w:val="19"/>
          <w:szCs w:val="19"/>
        </w:rPr>
        <w:t>以消除或改进。</w:t>
      </w:r>
    </w:p>
    <w:p w14:paraId="67827582">
      <w:pPr>
        <w:pStyle w:val="2"/>
        <w:spacing w:before="94" w:line="270" w:lineRule="auto"/>
        <w:ind w:left="1009" w:right="86" w:hanging="260"/>
        <w:rPr>
          <w:sz w:val="19"/>
          <w:szCs w:val="19"/>
        </w:rPr>
      </w:pPr>
      <w:r>
        <w:rPr>
          <w:spacing w:val="13"/>
          <w:sz w:val="19"/>
          <w:szCs w:val="19"/>
        </w:rPr>
        <w:t>●常规作业。对运行维护对象进行的日常维护，包括定期维护、配</w:t>
      </w:r>
      <w:r>
        <w:rPr>
          <w:spacing w:val="12"/>
          <w:sz w:val="19"/>
          <w:szCs w:val="19"/>
        </w:rPr>
        <w:t>置备份、数据备份、数</w:t>
      </w:r>
      <w:r>
        <w:rPr>
          <w:sz w:val="19"/>
          <w:szCs w:val="19"/>
        </w:rPr>
        <w:t xml:space="preserve"> </w:t>
      </w:r>
      <w:r>
        <w:rPr>
          <w:spacing w:val="6"/>
          <w:sz w:val="19"/>
          <w:szCs w:val="19"/>
        </w:rPr>
        <w:t>据恢复、定期重启等活动。</w:t>
      </w:r>
    </w:p>
    <w:p w14:paraId="016BED65">
      <w:pPr>
        <w:pStyle w:val="2"/>
        <w:spacing w:before="95" w:line="219" w:lineRule="auto"/>
        <w:ind w:left="749"/>
        <w:rPr>
          <w:sz w:val="19"/>
          <w:szCs w:val="19"/>
        </w:rPr>
      </w:pPr>
      <w:r>
        <w:rPr>
          <w:spacing w:val="10"/>
          <w:sz w:val="19"/>
          <w:szCs w:val="19"/>
        </w:rPr>
        <w:t>(3)响应支持。具体包括：</w:t>
      </w:r>
    </w:p>
    <w:p w14:paraId="7FC42E91">
      <w:pPr>
        <w:pStyle w:val="2"/>
        <w:spacing w:before="84" w:line="275" w:lineRule="auto"/>
        <w:ind w:left="1009" w:right="87" w:hanging="260"/>
        <w:rPr>
          <w:sz w:val="19"/>
          <w:szCs w:val="19"/>
        </w:rPr>
      </w:pPr>
      <w:r>
        <w:rPr>
          <w:spacing w:val="13"/>
          <w:sz w:val="19"/>
          <w:szCs w:val="19"/>
        </w:rPr>
        <w:t>●事件驱动响应。由于外部事件、系统事件或安全事件，导致运</w:t>
      </w:r>
      <w:r>
        <w:rPr>
          <w:spacing w:val="12"/>
          <w:sz w:val="19"/>
          <w:szCs w:val="19"/>
        </w:rPr>
        <w:t>行维护对象整体或部分性</w:t>
      </w:r>
      <w:r>
        <w:rPr>
          <w:sz w:val="19"/>
          <w:szCs w:val="19"/>
        </w:rPr>
        <w:t xml:space="preserve"> </w:t>
      </w:r>
      <w:r>
        <w:rPr>
          <w:spacing w:val="9"/>
          <w:sz w:val="19"/>
          <w:szCs w:val="19"/>
        </w:rPr>
        <w:t>能下降、功能丧失，而触发的将运行维护对象恢复到正常状</w:t>
      </w:r>
      <w:r>
        <w:rPr>
          <w:spacing w:val="8"/>
          <w:sz w:val="19"/>
          <w:szCs w:val="19"/>
        </w:rPr>
        <w:t>态的活动。</w:t>
      </w:r>
    </w:p>
    <w:p w14:paraId="54F57574">
      <w:pPr>
        <w:pStyle w:val="2"/>
        <w:spacing w:before="104" w:line="280" w:lineRule="auto"/>
        <w:ind w:left="1009" w:right="85" w:hanging="260"/>
        <w:rPr>
          <w:sz w:val="19"/>
          <w:szCs w:val="19"/>
        </w:rPr>
      </w:pPr>
      <w:r>
        <w:rPr>
          <w:spacing w:val="13"/>
          <w:sz w:val="19"/>
          <w:szCs w:val="19"/>
        </w:rPr>
        <w:t>●服务请求响应。由于业主单位提出各类服务请求，引发的需要针对</w:t>
      </w:r>
      <w:r>
        <w:rPr>
          <w:spacing w:val="12"/>
          <w:sz w:val="19"/>
          <w:szCs w:val="19"/>
        </w:rPr>
        <w:t>运行维护对象、服务</w:t>
      </w:r>
      <w:r>
        <w:rPr>
          <w:sz w:val="19"/>
          <w:szCs w:val="19"/>
        </w:rPr>
        <w:t xml:space="preserve"> </w:t>
      </w:r>
      <w:r>
        <w:rPr>
          <w:spacing w:val="11"/>
          <w:sz w:val="19"/>
          <w:szCs w:val="19"/>
        </w:rPr>
        <w:t>级别做出调整或修改的响应型服务。可能涉及服务级别、服务范围、技术资源、运维服</w:t>
      </w:r>
      <w:r>
        <w:rPr>
          <w:spacing w:val="8"/>
          <w:sz w:val="19"/>
          <w:szCs w:val="19"/>
        </w:rPr>
        <w:t xml:space="preserve"> </w:t>
      </w:r>
      <w:r>
        <w:rPr>
          <w:spacing w:val="5"/>
          <w:sz w:val="19"/>
          <w:szCs w:val="19"/>
        </w:rPr>
        <w:t>务提供方式等的变更。</w:t>
      </w:r>
    </w:p>
    <w:p w14:paraId="0C243416">
      <w:pPr>
        <w:pStyle w:val="2"/>
        <w:spacing w:before="104" w:line="265" w:lineRule="auto"/>
        <w:ind w:left="1009" w:right="86" w:hanging="260"/>
        <w:rPr>
          <w:sz w:val="19"/>
          <w:szCs w:val="19"/>
        </w:rPr>
      </w:pPr>
      <w:r>
        <w:rPr>
          <w:spacing w:val="17"/>
          <w:sz w:val="19"/>
          <w:szCs w:val="19"/>
        </w:rPr>
        <w:t>●</w:t>
      </w:r>
      <w:r>
        <w:rPr>
          <w:spacing w:val="-61"/>
          <w:sz w:val="19"/>
          <w:szCs w:val="19"/>
        </w:rPr>
        <w:t xml:space="preserve"> </w:t>
      </w:r>
      <w:r>
        <w:rPr>
          <w:spacing w:val="17"/>
          <w:sz w:val="19"/>
          <w:szCs w:val="19"/>
        </w:rPr>
        <w:t>应急响应。依据</w:t>
      </w:r>
      <w:r>
        <w:rPr>
          <w:sz w:val="19"/>
          <w:szCs w:val="19"/>
        </w:rPr>
        <w:t>GB</w:t>
      </w:r>
      <w:r>
        <w:rPr>
          <w:spacing w:val="17"/>
          <w:sz w:val="19"/>
          <w:szCs w:val="19"/>
        </w:rPr>
        <w:t>/T</w:t>
      </w:r>
      <w:r>
        <w:rPr>
          <w:spacing w:val="64"/>
          <w:sz w:val="19"/>
          <w:szCs w:val="19"/>
        </w:rPr>
        <w:t xml:space="preserve"> </w:t>
      </w:r>
      <w:r>
        <w:rPr>
          <w:spacing w:val="17"/>
          <w:sz w:val="19"/>
          <w:szCs w:val="19"/>
        </w:rPr>
        <w:t>28827.3《信息技术服务运行维护</w:t>
      </w:r>
      <w:r>
        <w:rPr>
          <w:spacing w:val="16"/>
          <w:sz w:val="19"/>
          <w:szCs w:val="19"/>
        </w:rPr>
        <w:t>第3部分：应急响应规范》规</w:t>
      </w:r>
      <w:r>
        <w:rPr>
          <w:sz w:val="19"/>
          <w:szCs w:val="19"/>
        </w:rPr>
        <w:t xml:space="preserve"> </w:t>
      </w:r>
      <w:r>
        <w:rPr>
          <w:spacing w:val="11"/>
          <w:sz w:val="19"/>
          <w:szCs w:val="19"/>
        </w:rPr>
        <w:t>定的应急响应服务，执行运行维护服务应急操作流程</w:t>
      </w:r>
      <w:r>
        <w:rPr>
          <w:spacing w:val="-19"/>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Emergency</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Operating</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Procedure</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1"/>
          <w:sz w:val="19"/>
          <w:szCs w:val="19"/>
        </w:rPr>
        <w:t>EOP)</w:t>
      </w:r>
      <w:r>
        <w:rPr>
          <w:spacing w:val="-1"/>
          <w:sz w:val="19"/>
          <w:szCs w:val="19"/>
        </w:rPr>
        <w:t>。</w:t>
      </w:r>
    </w:p>
    <w:p w14:paraId="0C95DE75">
      <w:pPr>
        <w:pStyle w:val="2"/>
        <w:spacing w:before="144" w:line="219" w:lineRule="auto"/>
        <w:ind w:left="749"/>
        <w:rPr>
          <w:sz w:val="19"/>
          <w:szCs w:val="19"/>
        </w:rPr>
      </w:pPr>
      <w:r>
        <w:rPr>
          <w:spacing w:val="10"/>
          <w:sz w:val="19"/>
          <w:szCs w:val="19"/>
        </w:rPr>
        <w:t>(4)优化改善。具体包括：</w:t>
      </w:r>
    </w:p>
    <w:p w14:paraId="1E489EF6">
      <w:pPr>
        <w:pStyle w:val="2"/>
        <w:spacing w:before="104" w:line="219" w:lineRule="auto"/>
        <w:ind w:left="749"/>
        <w:rPr>
          <w:sz w:val="19"/>
          <w:szCs w:val="19"/>
        </w:rPr>
      </w:pPr>
      <w:r>
        <w:rPr>
          <w:spacing w:val="11"/>
          <w:sz w:val="19"/>
          <w:szCs w:val="19"/>
        </w:rPr>
        <w:t>●适应性改进。为保持运行维护对象在新环境中可持续运行而实施的优化改进。</w:t>
      </w:r>
    </w:p>
    <w:p w14:paraId="61DC7C04">
      <w:pPr>
        <w:pStyle w:val="2"/>
        <w:spacing w:before="84" w:line="219" w:lineRule="auto"/>
        <w:ind w:left="749"/>
        <w:rPr>
          <w:sz w:val="19"/>
          <w:szCs w:val="19"/>
        </w:rPr>
      </w:pPr>
      <w:r>
        <w:rPr>
          <w:spacing w:val="11"/>
          <w:sz w:val="19"/>
          <w:szCs w:val="19"/>
        </w:rPr>
        <w:t>●增强性改进。采取改进措施，增强数据中心的安全性、可用性和可靠性。</w:t>
      </w:r>
    </w:p>
    <w:p w14:paraId="52D5168A">
      <w:pPr>
        <w:pStyle w:val="2"/>
        <w:spacing w:before="96" w:line="219" w:lineRule="auto"/>
        <w:ind w:left="749"/>
        <w:rPr>
          <w:sz w:val="19"/>
          <w:szCs w:val="19"/>
        </w:rPr>
      </w:pPr>
      <w:r>
        <w:rPr>
          <w:spacing w:val="10"/>
          <w:sz w:val="19"/>
          <w:szCs w:val="19"/>
        </w:rPr>
        <w:t>●预防性改进。检测和纠正运行维护对象运行过程中潜在的问题或缺陷。</w:t>
      </w:r>
    </w:p>
    <w:p w14:paraId="7636887B">
      <w:pPr>
        <w:pStyle w:val="2"/>
        <w:spacing w:before="235" w:line="221" w:lineRule="auto"/>
        <w:ind w:left="332"/>
        <w:rPr>
          <w:sz w:val="26"/>
          <w:szCs w:val="26"/>
        </w:rPr>
      </w:pPr>
      <w:r>
        <w:rPr>
          <w:b/>
          <w:bCs/>
          <w:color w:val="1493DD"/>
          <w:spacing w:val="-27"/>
          <w:sz w:val="26"/>
          <w:szCs w:val="26"/>
        </w:rPr>
        <w:t>7.2.3</w:t>
      </w:r>
      <w:r>
        <w:rPr>
          <w:color w:val="1493DD"/>
          <w:spacing w:val="77"/>
          <w:sz w:val="26"/>
          <w:szCs w:val="26"/>
        </w:rPr>
        <w:t xml:space="preserve"> </w:t>
      </w:r>
      <w:r>
        <w:rPr>
          <w:b/>
          <w:bCs/>
          <w:color w:val="1493DD"/>
          <w:spacing w:val="-27"/>
          <w:sz w:val="26"/>
          <w:szCs w:val="26"/>
        </w:rPr>
        <w:t>人员</w:t>
      </w:r>
    </w:p>
    <w:p w14:paraId="603C2E30">
      <w:pPr>
        <w:pStyle w:val="2"/>
        <w:spacing w:before="255" w:line="222" w:lineRule="auto"/>
        <w:ind w:left="752"/>
        <w:rPr>
          <w:rFonts w:ascii="黑体" w:hAnsi="黑体" w:eastAsia="黑体" w:cs="黑体"/>
          <w:sz w:val="19"/>
          <w:szCs w:val="19"/>
        </w:rPr>
      </w:pPr>
      <w:r>
        <w:rPr>
          <w:b/>
          <w:bCs/>
          <w:color w:val="0081D7"/>
          <w:spacing w:val="5"/>
          <w:sz w:val="19"/>
          <w:szCs w:val="19"/>
        </w:rPr>
        <w:t>1.</w:t>
      </w:r>
      <w:r>
        <w:rPr>
          <w:rFonts w:ascii="黑体" w:hAnsi="黑体" w:eastAsia="黑体" w:cs="黑体"/>
          <w:b/>
          <w:bCs/>
          <w:color w:val="0081D7"/>
          <w:spacing w:val="5"/>
          <w:sz w:val="19"/>
          <w:szCs w:val="19"/>
        </w:rPr>
        <w:t>组织架构</w:t>
      </w:r>
    </w:p>
    <w:p w14:paraId="589D28A7">
      <w:pPr>
        <w:pStyle w:val="2"/>
        <w:spacing w:before="145" w:line="283" w:lineRule="auto"/>
        <w:ind w:left="330" w:right="65" w:firstLine="419"/>
        <w:jc w:val="both"/>
        <w:rPr>
          <w:sz w:val="19"/>
          <w:szCs w:val="19"/>
        </w:rPr>
      </w:pPr>
      <w:r>
        <w:rPr>
          <w:spacing w:val="13"/>
          <w:sz w:val="19"/>
          <w:szCs w:val="19"/>
        </w:rPr>
        <w:t>为了保障信息系统运维工作的正常运转，应对突发事件、应急事件的解决和处理，以及重</w:t>
      </w:r>
      <w:r>
        <w:rPr>
          <w:spacing w:val="11"/>
          <w:sz w:val="19"/>
          <w:szCs w:val="19"/>
        </w:rPr>
        <w:t xml:space="preserve"> </w:t>
      </w:r>
      <w:r>
        <w:rPr>
          <w:spacing w:val="13"/>
          <w:sz w:val="19"/>
          <w:szCs w:val="19"/>
        </w:rPr>
        <w:t>大事项的决策，确保一体化运维工作的顺利实施，确保相关资源的协调和调度，运维服务提供</w:t>
      </w:r>
      <w:r>
        <w:rPr>
          <w:spacing w:val="2"/>
          <w:sz w:val="19"/>
          <w:szCs w:val="19"/>
        </w:rPr>
        <w:t xml:space="preserve"> </w:t>
      </w:r>
      <w:r>
        <w:rPr>
          <w:spacing w:val="6"/>
          <w:sz w:val="19"/>
          <w:szCs w:val="19"/>
        </w:rPr>
        <w:t>方应该制定合理的组织架构。</w:t>
      </w:r>
    </w:p>
    <w:p w14:paraId="21A55260">
      <w:pPr>
        <w:spacing w:line="283" w:lineRule="auto"/>
        <w:rPr>
          <w:sz w:val="19"/>
          <w:szCs w:val="19"/>
        </w:rPr>
        <w:sectPr>
          <w:pgSz w:w="10300" w:h="13380"/>
          <w:pgMar w:top="400" w:right="1005" w:bottom="400" w:left="550" w:header="0" w:footer="0" w:gutter="0"/>
          <w:cols w:space="720" w:num="1"/>
        </w:sectPr>
      </w:pPr>
    </w:p>
    <w:p w14:paraId="3E51BD18">
      <w:pPr>
        <w:pStyle w:val="2"/>
        <w:spacing w:before="57" w:line="219" w:lineRule="auto"/>
        <w:ind w:left="6290"/>
        <w:rPr>
          <w:sz w:val="20"/>
          <w:szCs w:val="20"/>
        </w:rPr>
      </w:pPr>
      <w:r>
        <w:rPr>
          <w:spacing w:val="4"/>
          <w:sz w:val="20"/>
          <w:szCs w:val="20"/>
        </w:rPr>
        <w:t>第7章</w:t>
      </w:r>
      <w:r>
        <w:rPr>
          <w:spacing w:val="25"/>
          <w:sz w:val="20"/>
          <w:szCs w:val="20"/>
        </w:rPr>
        <w:t xml:space="preserve"> </w:t>
      </w:r>
      <w:r>
        <w:rPr>
          <w:spacing w:val="4"/>
          <w:sz w:val="20"/>
          <w:szCs w:val="20"/>
        </w:rPr>
        <w:t>运行维护</w:t>
      </w:r>
    </w:p>
    <w:p w14:paraId="27FAF77E">
      <w:pPr>
        <w:spacing w:line="14" w:lineRule="auto"/>
        <w:rPr>
          <w:rFonts w:ascii="Arial"/>
          <w:sz w:val="2"/>
        </w:rPr>
      </w:pPr>
      <w:r>
        <w:rPr>
          <w:rFonts w:ascii="Arial" w:hAnsi="Arial" w:eastAsia="Arial" w:cs="Arial"/>
          <w:sz w:val="2"/>
          <w:szCs w:val="2"/>
        </w:rPr>
        <w:br w:type="column"/>
      </w:r>
    </w:p>
    <w:p w14:paraId="4F258B07">
      <w:pPr>
        <w:spacing w:before="179" w:line="172" w:lineRule="auto"/>
        <w:ind w:left="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199</w:t>
      </w:r>
    </w:p>
    <w:p w14:paraId="59C2D0B4">
      <w:pPr>
        <w:spacing w:line="172" w:lineRule="auto"/>
        <w:rPr>
          <w:rFonts w:ascii="Times New Roman" w:hAnsi="Times New Roman" w:eastAsia="Times New Roman" w:cs="Times New Roman"/>
          <w:sz w:val="20"/>
          <w:szCs w:val="20"/>
        </w:rPr>
        <w:sectPr>
          <w:pgSz w:w="10290" w:h="13300"/>
          <w:pgMar w:top="389" w:right="189" w:bottom="400" w:left="1059" w:header="0" w:footer="0" w:gutter="0"/>
          <w:cols w:equalWidth="0" w:num="2">
            <w:col w:w="8320" w:space="0"/>
            <w:col w:w="720"/>
          </w:cols>
        </w:sectPr>
      </w:pPr>
    </w:p>
    <w:p w14:paraId="59ADEB6C">
      <w:pPr>
        <w:spacing w:line="246" w:lineRule="auto"/>
        <w:rPr>
          <w:rFonts w:ascii="Arial"/>
          <w:sz w:val="21"/>
        </w:rPr>
      </w:pPr>
      <w:r>
        <w:pict>
          <v:group id="_x0000_s1391" o:spid="_x0000_s1391" o:spt="203" style="position:absolute;left:0pt;margin-left:392.5pt;margin-top:-17.25pt;height:17.3pt;width:23.5pt;z-index:251726848;mso-width-relative:page;mso-height-relative:page;" coordsize="470,345">
            <o:lock v:ext="edit"/>
            <v:shape id="_x0000_s1392" o:spid="_x0000_s1392" o:spt="75" type="#_x0000_t75" style="position:absolute;left:0;top:0;height:320;width:470;" filled="f" stroked="f" coordsize="21600,21600">
              <v:path/>
              <v:fill on="f" focussize="0,0"/>
              <v:stroke on="f"/>
              <v:imagedata r:id="rId142" o:title=""/>
              <o:lock v:ext="edit" aspectratio="t"/>
            </v:shape>
            <v:shape id="_x0000_s1393" o:spid="_x0000_s1393" o:spt="202" type="#_x0000_t202" style="position:absolute;left:-20;top:-20;height:445;width:510;" filled="f" stroked="f" coordsize="21600,21600">
              <v:path/>
              <v:fill on="f" focussize="0,0"/>
              <v:stroke on="f"/>
              <v:imagedata o:title=""/>
              <o:lock v:ext="edit" aspectratio="f"/>
              <v:textbox inset="0mm,0mm,0mm,0mm">
                <w:txbxContent>
                  <w:p w14:paraId="2BC934AD">
                    <w:pPr>
                      <w:pStyle w:val="2"/>
                      <w:spacing w:before="165" w:line="239" w:lineRule="auto"/>
                      <w:ind w:left="199"/>
                      <w:rPr>
                        <w:sz w:val="20"/>
                        <w:szCs w:val="20"/>
                      </w:rPr>
                    </w:pPr>
                    <w:r>
                      <w:rPr>
                        <w:color w:val="00B3EA"/>
                        <w:sz w:val="20"/>
                        <w:szCs w:val="20"/>
                      </w:rPr>
                      <w:t>■</w:t>
                    </w:r>
                  </w:p>
                </w:txbxContent>
              </v:textbox>
            </v:shape>
          </v:group>
        </w:pict>
      </w:r>
    </w:p>
    <w:p w14:paraId="7D4283FF">
      <w:pPr>
        <w:pStyle w:val="2"/>
        <w:spacing w:before="65" w:line="220" w:lineRule="auto"/>
        <w:ind w:left="389"/>
        <w:rPr>
          <w:sz w:val="20"/>
          <w:szCs w:val="20"/>
        </w:rPr>
      </w:pPr>
      <w:r>
        <w:rPr>
          <w:spacing w:val="2"/>
          <w:sz w:val="20"/>
          <w:szCs w:val="20"/>
        </w:rPr>
        <w:t>(1)识别职能的设置与调整需求：</w:t>
      </w:r>
    </w:p>
    <w:p w14:paraId="1E5DC922">
      <w:pPr>
        <w:pStyle w:val="2"/>
        <w:spacing w:before="80" w:line="282" w:lineRule="auto"/>
        <w:ind w:left="668" w:right="730" w:hanging="279"/>
        <w:rPr>
          <w:sz w:val="16"/>
          <w:szCs w:val="16"/>
        </w:rPr>
      </w:pPr>
      <w:r>
        <w:rPr>
          <w:spacing w:val="14"/>
          <w:sz w:val="20"/>
          <w:szCs w:val="20"/>
        </w:rPr>
        <w:t>●结合信息系统的运维规划、服务需求，定期对项目的组织结构设置、岗位设置进行</w:t>
      </w:r>
      <w:r>
        <w:rPr>
          <w:spacing w:val="1"/>
          <w:sz w:val="20"/>
          <w:szCs w:val="20"/>
        </w:rPr>
        <w:t xml:space="preserve"> </w:t>
      </w:r>
      <w:r>
        <w:rPr>
          <w:spacing w:val="-6"/>
          <w:sz w:val="16"/>
          <w:szCs w:val="16"/>
        </w:rPr>
        <w:t>分</w:t>
      </w:r>
      <w:r>
        <w:rPr>
          <w:spacing w:val="-9"/>
          <w:sz w:val="16"/>
          <w:szCs w:val="16"/>
        </w:rPr>
        <w:t xml:space="preserve"> </w:t>
      </w:r>
      <w:r>
        <w:rPr>
          <w:spacing w:val="-6"/>
          <w:sz w:val="16"/>
          <w:szCs w:val="16"/>
        </w:rPr>
        <w:t>析</w:t>
      </w:r>
      <w:r>
        <w:rPr>
          <w:spacing w:val="-17"/>
          <w:sz w:val="16"/>
          <w:szCs w:val="16"/>
        </w:rPr>
        <w:t xml:space="preserve"> </w:t>
      </w:r>
      <w:r>
        <w:rPr>
          <w:spacing w:val="-6"/>
          <w:sz w:val="16"/>
          <w:szCs w:val="16"/>
        </w:rPr>
        <w:t>；</w:t>
      </w:r>
    </w:p>
    <w:p w14:paraId="03ED596C">
      <w:pPr>
        <w:pStyle w:val="2"/>
        <w:spacing w:before="99" w:line="267" w:lineRule="auto"/>
        <w:ind w:left="668" w:right="728" w:hanging="279"/>
        <w:rPr>
          <w:sz w:val="20"/>
          <w:szCs w:val="20"/>
        </w:rPr>
      </w:pPr>
      <w:r>
        <w:rPr>
          <w:spacing w:val="3"/>
          <w:sz w:val="20"/>
          <w:szCs w:val="20"/>
        </w:rPr>
        <w:t xml:space="preserve">●识别职能设置及调整需求，成立运维保障部门，包括运维保障领导小组、运维保障调度 </w:t>
      </w:r>
      <w:r>
        <w:rPr>
          <w:spacing w:val="-3"/>
          <w:sz w:val="20"/>
          <w:szCs w:val="20"/>
        </w:rPr>
        <w:t>组、运维保障技术组、运维保障专家组等；</w:t>
      </w:r>
    </w:p>
    <w:p w14:paraId="19E4C3E2">
      <w:pPr>
        <w:pStyle w:val="2"/>
        <w:spacing w:before="82" w:line="219" w:lineRule="auto"/>
        <w:ind w:left="389"/>
        <w:rPr>
          <w:sz w:val="20"/>
          <w:szCs w:val="20"/>
        </w:rPr>
      </w:pPr>
      <w:r>
        <w:rPr>
          <w:spacing w:val="1"/>
          <w:sz w:val="20"/>
          <w:szCs w:val="20"/>
        </w:rPr>
        <w:t>●如有调整，对调整后的组织结构和岗位实施效果进行回顾，并进行必要的改进。</w:t>
      </w:r>
    </w:p>
    <w:p w14:paraId="7820C36A">
      <w:pPr>
        <w:pStyle w:val="2"/>
        <w:spacing w:before="84" w:line="267" w:lineRule="auto"/>
        <w:ind w:right="731" w:firstLine="389"/>
        <w:rPr>
          <w:sz w:val="20"/>
          <w:szCs w:val="20"/>
        </w:rPr>
      </w:pPr>
      <w:r>
        <w:rPr>
          <w:spacing w:val="7"/>
          <w:sz w:val="20"/>
          <w:szCs w:val="20"/>
        </w:rPr>
        <w:t>(2)制定职能设计方案并落实，保证职能设置的完整性(覆盖适用的能力，没有已知的遗</w:t>
      </w:r>
      <w:r>
        <w:rPr>
          <w:spacing w:val="6"/>
          <w:sz w:val="20"/>
          <w:szCs w:val="20"/>
        </w:rPr>
        <w:t xml:space="preserve"> </w:t>
      </w:r>
      <w:r>
        <w:rPr>
          <w:spacing w:val="7"/>
          <w:sz w:val="20"/>
          <w:szCs w:val="20"/>
        </w:rPr>
        <w:t>漏)、合理性(满足职责分离和职责不重叠的要求)、稳定性(确保职能的调整对业务的负面影</w:t>
      </w:r>
      <w:r>
        <w:rPr>
          <w:spacing w:val="13"/>
          <w:sz w:val="20"/>
          <w:szCs w:val="20"/>
        </w:rPr>
        <w:t xml:space="preserve"> </w:t>
      </w:r>
      <w:r>
        <w:rPr>
          <w:spacing w:val="2"/>
          <w:sz w:val="20"/>
          <w:szCs w:val="20"/>
        </w:rPr>
        <w:t>响可控):</w:t>
      </w:r>
    </w:p>
    <w:p w14:paraId="3624695F">
      <w:pPr>
        <w:pStyle w:val="2"/>
        <w:spacing w:before="91" w:line="219" w:lineRule="auto"/>
        <w:ind w:left="389"/>
        <w:rPr>
          <w:sz w:val="20"/>
          <w:szCs w:val="20"/>
        </w:rPr>
      </w:pPr>
      <w:r>
        <w:rPr>
          <w:spacing w:val="1"/>
          <w:sz w:val="20"/>
          <w:szCs w:val="20"/>
        </w:rPr>
        <w:t>●结合分析结果制定职能设计方案，划分或调整职能结构框架和</w:t>
      </w:r>
      <w:r>
        <w:rPr>
          <w:sz w:val="20"/>
          <w:szCs w:val="20"/>
        </w:rPr>
        <w:t>汇报关系；</w:t>
      </w:r>
    </w:p>
    <w:p w14:paraId="3C696F72">
      <w:pPr>
        <w:pStyle w:val="2"/>
        <w:spacing w:before="63" w:line="271" w:lineRule="auto"/>
        <w:ind w:left="668" w:right="731" w:hanging="279"/>
        <w:rPr>
          <w:sz w:val="20"/>
          <w:szCs w:val="20"/>
        </w:rPr>
      </w:pPr>
      <w:r>
        <w:rPr>
          <w:spacing w:val="3"/>
          <w:sz w:val="20"/>
          <w:szCs w:val="20"/>
        </w:rPr>
        <w:t>●梳理必要的工作活动，落实常态化运营要求，应根据职能设计方案建立或调整职能，配</w:t>
      </w:r>
      <w:r>
        <w:rPr>
          <w:sz w:val="20"/>
          <w:szCs w:val="20"/>
        </w:rPr>
        <w:t xml:space="preserve"> </w:t>
      </w:r>
      <w:r>
        <w:rPr>
          <w:spacing w:val="-2"/>
          <w:sz w:val="20"/>
          <w:szCs w:val="20"/>
        </w:rPr>
        <w:t>置组织资源，并进行必要的培训和辅导。</w:t>
      </w:r>
    </w:p>
    <w:p w14:paraId="34786003">
      <w:pPr>
        <w:pStyle w:val="2"/>
        <w:spacing w:before="91" w:line="219" w:lineRule="auto"/>
        <w:ind w:left="389"/>
        <w:rPr>
          <w:sz w:val="20"/>
          <w:szCs w:val="20"/>
        </w:rPr>
      </w:pPr>
      <w:r>
        <w:rPr>
          <w:spacing w:val="1"/>
          <w:sz w:val="20"/>
          <w:szCs w:val="20"/>
        </w:rPr>
        <w:t>(3)职责不清或需要协同处置的，运维服务提供方要同步制定和落实协同方案：</w:t>
      </w:r>
    </w:p>
    <w:p w14:paraId="08CE3C7E">
      <w:pPr>
        <w:pStyle w:val="2"/>
        <w:spacing w:before="63" w:line="219" w:lineRule="auto"/>
        <w:ind w:left="389"/>
        <w:rPr>
          <w:sz w:val="20"/>
          <w:szCs w:val="20"/>
        </w:rPr>
      </w:pPr>
      <w:r>
        <w:rPr>
          <w:spacing w:val="1"/>
          <w:sz w:val="20"/>
          <w:szCs w:val="20"/>
        </w:rPr>
        <w:t>●确定处置原则和方式，明确协同决策机制；</w:t>
      </w:r>
    </w:p>
    <w:p w14:paraId="75123C04">
      <w:pPr>
        <w:pStyle w:val="2"/>
        <w:spacing w:before="94" w:line="219" w:lineRule="auto"/>
        <w:ind w:left="389"/>
        <w:rPr>
          <w:sz w:val="20"/>
          <w:szCs w:val="20"/>
        </w:rPr>
      </w:pPr>
      <w:r>
        <w:rPr>
          <w:spacing w:val="1"/>
          <w:sz w:val="20"/>
          <w:szCs w:val="20"/>
        </w:rPr>
        <w:t>●制定协同各方认可的处置方案并落实。</w:t>
      </w:r>
    </w:p>
    <w:p w14:paraId="7495E443">
      <w:pPr>
        <w:pStyle w:val="2"/>
        <w:spacing w:before="178" w:line="221" w:lineRule="auto"/>
        <w:ind w:left="392"/>
        <w:rPr>
          <w:rFonts w:ascii="黑体" w:hAnsi="黑体" w:eastAsia="黑体" w:cs="黑体"/>
          <w:sz w:val="20"/>
          <w:szCs w:val="20"/>
        </w:rPr>
      </w:pPr>
      <w:r>
        <w:rPr>
          <w:b/>
          <w:bCs/>
          <w:color w:val="016DCC"/>
          <w:spacing w:val="-7"/>
          <w:sz w:val="20"/>
          <w:szCs w:val="20"/>
        </w:rPr>
        <w:t>2.</w:t>
      </w:r>
      <w:r>
        <w:rPr>
          <w:color w:val="016DCC"/>
          <w:spacing w:val="-57"/>
          <w:sz w:val="20"/>
          <w:szCs w:val="20"/>
        </w:rPr>
        <w:t xml:space="preserve"> </w:t>
      </w:r>
      <w:r>
        <w:rPr>
          <w:rFonts w:ascii="黑体" w:hAnsi="黑体" w:eastAsia="黑体" w:cs="黑体"/>
          <w:b/>
          <w:bCs/>
          <w:color w:val="016DCC"/>
          <w:spacing w:val="-7"/>
          <w:sz w:val="20"/>
          <w:szCs w:val="20"/>
        </w:rPr>
        <w:t>岗位职责</w:t>
      </w:r>
    </w:p>
    <w:p w14:paraId="692A2D12">
      <w:pPr>
        <w:pStyle w:val="2"/>
        <w:spacing w:before="137" w:line="280" w:lineRule="auto"/>
        <w:ind w:right="729" w:firstLine="389"/>
        <w:jc w:val="both"/>
        <w:rPr>
          <w:sz w:val="20"/>
          <w:szCs w:val="20"/>
        </w:rPr>
      </w:pPr>
      <w:r>
        <w:rPr>
          <w:spacing w:val="3"/>
          <w:sz w:val="20"/>
          <w:szCs w:val="20"/>
        </w:rPr>
        <w:t>为保证运行维护服务工作的顺利开展，运维工作一般由专职</w:t>
      </w:r>
      <w:r>
        <w:rPr>
          <w:spacing w:val="2"/>
          <w:sz w:val="20"/>
          <w:szCs w:val="20"/>
        </w:rPr>
        <w:t>的运维服务团队负责，每个角</w:t>
      </w:r>
      <w:r>
        <w:rPr>
          <w:sz w:val="20"/>
          <w:szCs w:val="20"/>
        </w:rPr>
        <w:t xml:space="preserve"> </w:t>
      </w:r>
      <w:r>
        <w:rPr>
          <w:spacing w:val="3"/>
          <w:sz w:val="20"/>
          <w:szCs w:val="20"/>
        </w:rPr>
        <w:t>色有明确的分工和职责定义，规定各岗位在知识、技能、经验</w:t>
      </w:r>
      <w:r>
        <w:rPr>
          <w:spacing w:val="2"/>
          <w:sz w:val="20"/>
          <w:szCs w:val="20"/>
        </w:rPr>
        <w:t>等方面需达到的要求。明确运行</w:t>
      </w:r>
      <w:r>
        <w:rPr>
          <w:sz w:val="20"/>
          <w:szCs w:val="20"/>
        </w:rPr>
        <w:t xml:space="preserve"> </w:t>
      </w:r>
      <w:r>
        <w:rPr>
          <w:spacing w:val="3"/>
          <w:sz w:val="20"/>
          <w:szCs w:val="20"/>
        </w:rPr>
        <w:t>维护服务对运维团队各岗位的安全要求。识别出运维团队</w:t>
      </w:r>
      <w:r>
        <w:rPr>
          <w:spacing w:val="2"/>
          <w:sz w:val="20"/>
          <w:szCs w:val="20"/>
        </w:rPr>
        <w:t>中的关键岗位，并针对关键岗位建立</w:t>
      </w:r>
      <w:r>
        <w:rPr>
          <w:sz w:val="20"/>
          <w:szCs w:val="20"/>
        </w:rPr>
        <w:t xml:space="preserve"> </w:t>
      </w:r>
      <w:r>
        <w:rPr>
          <w:spacing w:val="2"/>
          <w:sz w:val="20"/>
          <w:szCs w:val="20"/>
        </w:rPr>
        <w:t>人员备份机制。对运维服务人员的岗位进行等</w:t>
      </w:r>
      <w:r>
        <w:rPr>
          <w:spacing w:val="1"/>
          <w:sz w:val="20"/>
          <w:szCs w:val="20"/>
        </w:rPr>
        <w:t>级划分，等级划分可参考</w:t>
      </w:r>
      <w:r>
        <w:rPr>
          <w:rFonts w:ascii="Times New Roman" w:hAnsi="Times New Roman" w:eastAsia="Times New Roman" w:cs="Times New Roman"/>
          <w:sz w:val="20"/>
          <w:szCs w:val="20"/>
        </w:rPr>
        <w:t>GB</w:t>
      </w:r>
      <w:r>
        <w:rPr>
          <w:rFonts w:ascii="Times New Roman" w:hAnsi="Times New Roman" w:eastAsia="Times New Roman" w:cs="Times New Roman"/>
          <w:spacing w:val="1"/>
          <w:sz w:val="20"/>
          <w:szCs w:val="20"/>
        </w:rPr>
        <w:t>/T</w:t>
      </w:r>
      <w:r>
        <w:rPr>
          <w:rFonts w:ascii="Times New Roman" w:hAnsi="Times New Roman" w:eastAsia="Times New Roman" w:cs="Times New Roman"/>
          <w:spacing w:val="39"/>
          <w:w w:val="101"/>
          <w:sz w:val="20"/>
          <w:szCs w:val="20"/>
        </w:rPr>
        <w:t xml:space="preserve"> </w:t>
      </w:r>
      <w:r>
        <w:rPr>
          <w:rFonts w:ascii="Times New Roman" w:hAnsi="Times New Roman" w:eastAsia="Times New Roman" w:cs="Times New Roman"/>
          <w:spacing w:val="1"/>
          <w:sz w:val="20"/>
          <w:szCs w:val="20"/>
        </w:rPr>
        <w:t>37696</w:t>
      </w:r>
      <w:r>
        <w:rPr>
          <w:spacing w:val="1"/>
          <w:sz w:val="20"/>
          <w:szCs w:val="20"/>
        </w:rPr>
        <w:t>《信息技术</w:t>
      </w:r>
      <w:r>
        <w:rPr>
          <w:sz w:val="20"/>
          <w:szCs w:val="20"/>
        </w:rPr>
        <w:t xml:space="preserve"> </w:t>
      </w:r>
      <w:r>
        <w:rPr>
          <w:spacing w:val="-1"/>
          <w:sz w:val="20"/>
          <w:szCs w:val="20"/>
        </w:rPr>
        <w:t>服务从业人员能力评价要求》。</w:t>
      </w:r>
    </w:p>
    <w:p w14:paraId="694CE339">
      <w:pPr>
        <w:pStyle w:val="2"/>
        <w:spacing w:before="51" w:line="219" w:lineRule="auto"/>
        <w:ind w:left="389"/>
        <w:rPr>
          <w:sz w:val="20"/>
          <w:szCs w:val="20"/>
        </w:rPr>
      </w:pPr>
      <w:r>
        <w:rPr>
          <w:spacing w:val="-1"/>
          <w:sz w:val="20"/>
          <w:szCs w:val="20"/>
        </w:rPr>
        <w:t>运维服务提供方的运维团队岗位设置一般包括管理岗、技术岗、操作岗等岗</w:t>
      </w:r>
      <w:r>
        <w:rPr>
          <w:spacing w:val="-2"/>
          <w:sz w:val="20"/>
          <w:szCs w:val="20"/>
        </w:rPr>
        <w:t>位。</w:t>
      </w:r>
    </w:p>
    <w:p w14:paraId="3F539FC6">
      <w:pPr>
        <w:pStyle w:val="2"/>
        <w:spacing w:before="64" w:line="219" w:lineRule="auto"/>
        <w:ind w:left="389"/>
        <w:rPr>
          <w:sz w:val="20"/>
          <w:szCs w:val="20"/>
        </w:rPr>
      </w:pPr>
      <w:r>
        <w:rPr>
          <w:spacing w:val="5"/>
          <w:sz w:val="20"/>
          <w:szCs w:val="20"/>
        </w:rPr>
        <w:t>(1)管理岗的岗位职责如下：</w:t>
      </w:r>
    </w:p>
    <w:p w14:paraId="3D2401D7">
      <w:pPr>
        <w:pStyle w:val="2"/>
        <w:spacing w:before="73" w:line="219" w:lineRule="auto"/>
        <w:ind w:left="389"/>
        <w:rPr>
          <w:sz w:val="20"/>
          <w:szCs w:val="20"/>
        </w:rPr>
      </w:pPr>
      <w:r>
        <w:rPr>
          <w:spacing w:val="1"/>
          <w:sz w:val="20"/>
          <w:szCs w:val="20"/>
        </w:rPr>
        <w:t>●负责管理运行维护项目的服务及相关管理</w:t>
      </w:r>
      <w:r>
        <w:rPr>
          <w:sz w:val="20"/>
          <w:szCs w:val="20"/>
        </w:rPr>
        <w:t>工作；</w:t>
      </w:r>
    </w:p>
    <w:p w14:paraId="22497D8F">
      <w:pPr>
        <w:pStyle w:val="2"/>
        <w:spacing w:before="91" w:line="219" w:lineRule="auto"/>
        <w:ind w:left="389"/>
        <w:rPr>
          <w:sz w:val="20"/>
          <w:szCs w:val="20"/>
        </w:rPr>
      </w:pPr>
      <w:r>
        <w:rPr>
          <w:sz w:val="20"/>
          <w:szCs w:val="20"/>
        </w:rPr>
        <w:t>●负责与相关方建立顺畅的沟通渠道，并准确地将运维需求传递给运维团队；</w:t>
      </w:r>
    </w:p>
    <w:p w14:paraId="0AEE585D">
      <w:pPr>
        <w:pStyle w:val="2"/>
        <w:spacing w:before="84" w:line="257" w:lineRule="auto"/>
        <w:ind w:left="668" w:right="670" w:hanging="279"/>
        <w:rPr>
          <w:sz w:val="20"/>
          <w:szCs w:val="20"/>
        </w:rPr>
      </w:pPr>
      <w:r>
        <w:rPr>
          <w:spacing w:val="5"/>
          <w:sz w:val="20"/>
          <w:szCs w:val="20"/>
        </w:rPr>
        <w:t>●负责规划、检查运行维护服务的各个过程，对运行</w:t>
      </w:r>
      <w:r>
        <w:rPr>
          <w:spacing w:val="4"/>
          <w:sz w:val="20"/>
          <w:szCs w:val="20"/>
        </w:rPr>
        <w:t>维护服务能力的策划、实施、检查、</w:t>
      </w:r>
      <w:r>
        <w:rPr>
          <w:sz w:val="20"/>
          <w:szCs w:val="20"/>
        </w:rPr>
        <w:t xml:space="preserve"> </w:t>
      </w:r>
      <w:r>
        <w:rPr>
          <w:spacing w:val="-2"/>
          <w:sz w:val="20"/>
          <w:szCs w:val="20"/>
        </w:rPr>
        <w:t>改进的范围、执行过程、信息安全和成果等负责。</w:t>
      </w:r>
    </w:p>
    <w:p w14:paraId="7356E215">
      <w:pPr>
        <w:pStyle w:val="2"/>
        <w:spacing w:before="73" w:line="219" w:lineRule="auto"/>
        <w:ind w:left="389"/>
        <w:rPr>
          <w:sz w:val="20"/>
          <w:szCs w:val="20"/>
        </w:rPr>
      </w:pPr>
      <w:r>
        <w:rPr>
          <w:spacing w:val="3"/>
          <w:sz w:val="20"/>
          <w:szCs w:val="20"/>
        </w:rPr>
        <w:t>(2)技术岗的岗位职责如下：</w:t>
      </w:r>
    </w:p>
    <w:p w14:paraId="140E9AD6">
      <w:pPr>
        <w:pStyle w:val="2"/>
        <w:spacing w:before="73" w:line="219" w:lineRule="auto"/>
        <w:ind w:left="389"/>
        <w:rPr>
          <w:sz w:val="20"/>
          <w:szCs w:val="20"/>
        </w:rPr>
      </w:pPr>
      <w:r>
        <w:rPr>
          <w:sz w:val="20"/>
          <w:szCs w:val="20"/>
        </w:rPr>
        <w:t>●在运行维护服务中负责技术支持工作，如运维服务对象相关的技术、信息安全技术等；</w:t>
      </w:r>
    </w:p>
    <w:p w14:paraId="3501541E">
      <w:pPr>
        <w:pStyle w:val="2"/>
        <w:spacing w:before="82" w:line="253" w:lineRule="auto"/>
        <w:ind w:left="668" w:right="731" w:hanging="279"/>
        <w:rPr>
          <w:sz w:val="20"/>
          <w:szCs w:val="20"/>
        </w:rPr>
      </w:pPr>
      <w:r>
        <w:rPr>
          <w:spacing w:val="3"/>
          <w:sz w:val="20"/>
          <w:szCs w:val="20"/>
        </w:rPr>
        <w:t>●对运行维护服务过程中接受的请求、发生的事件和问题做出响应，保障信息安全并对处</w:t>
      </w:r>
      <w:r>
        <w:rPr>
          <w:sz w:val="20"/>
          <w:szCs w:val="20"/>
        </w:rPr>
        <w:t xml:space="preserve"> </w:t>
      </w:r>
      <w:r>
        <w:rPr>
          <w:spacing w:val="-3"/>
          <w:sz w:val="20"/>
          <w:szCs w:val="20"/>
        </w:rPr>
        <w:t>理结果负责；</w:t>
      </w:r>
    </w:p>
    <w:p w14:paraId="4FFBC999">
      <w:pPr>
        <w:pStyle w:val="2"/>
        <w:spacing w:before="83" w:line="219" w:lineRule="auto"/>
        <w:ind w:left="389"/>
        <w:rPr>
          <w:sz w:val="20"/>
          <w:szCs w:val="20"/>
        </w:rPr>
      </w:pPr>
      <w:r>
        <w:rPr>
          <w:sz w:val="20"/>
          <w:szCs w:val="20"/>
        </w:rPr>
        <w:t>●必要时负责与技术研发、成果应用、预防风险等能力要素相关的技术实现。</w:t>
      </w:r>
    </w:p>
    <w:p w14:paraId="59FC26AD">
      <w:pPr>
        <w:pStyle w:val="2"/>
        <w:spacing w:before="82" w:line="219" w:lineRule="auto"/>
        <w:ind w:left="389"/>
        <w:rPr>
          <w:sz w:val="20"/>
          <w:szCs w:val="20"/>
        </w:rPr>
      </w:pPr>
      <w:r>
        <w:rPr>
          <w:spacing w:val="3"/>
          <w:sz w:val="20"/>
          <w:szCs w:val="20"/>
        </w:rPr>
        <w:t>(3)操作岗的岗位职责如下：</w:t>
      </w:r>
    </w:p>
    <w:p w14:paraId="147A3940">
      <w:pPr>
        <w:pStyle w:val="2"/>
        <w:spacing w:before="63" w:line="219" w:lineRule="auto"/>
        <w:ind w:left="389"/>
        <w:rPr>
          <w:sz w:val="20"/>
          <w:szCs w:val="20"/>
        </w:rPr>
      </w:pPr>
      <w:r>
        <w:rPr>
          <w:spacing w:val="1"/>
          <w:sz w:val="20"/>
          <w:szCs w:val="20"/>
        </w:rPr>
        <w:t>●在运行维护服务中负责日常操作的实施；</w:t>
      </w:r>
    </w:p>
    <w:p w14:paraId="3E39B80B">
      <w:pPr>
        <w:pStyle w:val="2"/>
        <w:spacing w:before="93" w:line="184" w:lineRule="auto"/>
        <w:ind w:left="389"/>
        <w:rPr>
          <w:sz w:val="20"/>
          <w:szCs w:val="20"/>
        </w:rPr>
      </w:pPr>
      <w:r>
        <w:rPr>
          <w:spacing w:val="1"/>
          <w:sz w:val="20"/>
          <w:szCs w:val="20"/>
        </w:rPr>
        <w:t>●根据规范和手册等，执行运行维护服务全过程，并对其执行结</w:t>
      </w:r>
      <w:r>
        <w:rPr>
          <w:sz w:val="20"/>
          <w:szCs w:val="20"/>
        </w:rPr>
        <w:t>果负责。</w:t>
      </w:r>
    </w:p>
    <w:p w14:paraId="4C3767C9">
      <w:pPr>
        <w:spacing w:line="184" w:lineRule="auto"/>
        <w:rPr>
          <w:sz w:val="20"/>
          <w:szCs w:val="20"/>
        </w:rPr>
        <w:sectPr>
          <w:type w:val="continuous"/>
          <w:pgSz w:w="10290" w:h="13300"/>
          <w:pgMar w:top="389" w:right="189" w:bottom="400" w:left="1059" w:header="0" w:footer="0" w:gutter="0"/>
          <w:cols w:equalWidth="0" w:num="1">
            <w:col w:w="9041"/>
          </w:cols>
        </w:sectPr>
      </w:pPr>
    </w:p>
    <w:p w14:paraId="266DA3E5">
      <w:pPr>
        <w:pStyle w:val="2"/>
        <w:spacing w:before="57" w:line="219" w:lineRule="auto"/>
        <w:rPr>
          <w:sz w:val="19"/>
          <w:szCs w:val="19"/>
        </w:rPr>
      </w:pPr>
      <w:r>
        <w:rPr>
          <w:rFonts w:ascii="Times New Roman" w:hAnsi="Times New Roman" w:eastAsia="Times New Roman" w:cs="Times New Roman"/>
          <w:spacing w:val="4"/>
          <w:position w:val="-5"/>
          <w:sz w:val="19"/>
          <w:szCs w:val="19"/>
        </w:rPr>
        <w:t>200</w:t>
      </w:r>
      <w:r>
        <w:rPr>
          <w:rFonts w:ascii="Times New Roman" w:hAnsi="Times New Roman" w:eastAsia="Times New Roman" w:cs="Times New Roman"/>
          <w:spacing w:val="1"/>
          <w:position w:val="-5"/>
          <w:sz w:val="19"/>
          <w:szCs w:val="19"/>
        </w:rPr>
        <w:t xml:space="preserve">              </w:t>
      </w:r>
      <w:r>
        <w:rPr>
          <w:spacing w:val="4"/>
          <w:sz w:val="19"/>
          <w:szCs w:val="19"/>
        </w:rPr>
        <w:t>信息系统监理师教程(第2版)</w:t>
      </w:r>
    </w:p>
    <w:p w14:paraId="06B330E0">
      <w:pPr>
        <w:spacing w:line="320" w:lineRule="auto"/>
        <w:rPr>
          <w:rFonts w:ascii="Arial"/>
          <w:sz w:val="21"/>
        </w:rPr>
      </w:pPr>
    </w:p>
    <w:p w14:paraId="17A8A6EF">
      <w:pPr>
        <w:spacing w:before="62" w:line="221" w:lineRule="auto"/>
        <w:ind w:left="742"/>
        <w:rPr>
          <w:rFonts w:ascii="黑体" w:hAnsi="黑体" w:eastAsia="黑体" w:cs="黑体"/>
          <w:sz w:val="19"/>
          <w:szCs w:val="19"/>
        </w:rPr>
      </w:pPr>
      <w:bookmarkStart w:id="584" w:name="bookmark569"/>
      <w:bookmarkEnd w:id="584"/>
      <w:r>
        <w:rPr>
          <w:rFonts w:ascii="黑体" w:hAnsi="黑体" w:eastAsia="黑体" w:cs="黑体"/>
          <w:b/>
          <w:bCs/>
          <w:color w:val="0069BA"/>
          <w:spacing w:val="6"/>
          <w:sz w:val="19"/>
          <w:szCs w:val="19"/>
        </w:rPr>
        <w:t>3.人员储备</w:t>
      </w:r>
    </w:p>
    <w:p w14:paraId="4199C1EB">
      <w:pPr>
        <w:pStyle w:val="2"/>
        <w:spacing w:before="126" w:line="316" w:lineRule="auto"/>
        <w:ind w:left="340" w:right="87" w:firstLine="399"/>
        <w:rPr>
          <w:sz w:val="19"/>
          <w:szCs w:val="19"/>
        </w:rPr>
      </w:pPr>
      <w:r>
        <w:rPr>
          <w:spacing w:val="12"/>
          <w:sz w:val="19"/>
          <w:szCs w:val="19"/>
        </w:rPr>
        <w:t>为了保证有足够的运维人员，以满足当前和未来的运行维护服务需求，运维团队在运维服</w:t>
      </w:r>
      <w:r>
        <w:rPr>
          <w:spacing w:val="8"/>
          <w:sz w:val="19"/>
          <w:szCs w:val="19"/>
        </w:rPr>
        <w:t xml:space="preserve"> 务项目启动前，需要建立起与运维服务相关的人员储备计划和机制。具体如下：</w:t>
      </w:r>
    </w:p>
    <w:p w14:paraId="764FB73D">
      <w:pPr>
        <w:pStyle w:val="2"/>
        <w:spacing w:line="269" w:lineRule="auto"/>
        <w:ind w:left="340" w:firstLine="399"/>
        <w:rPr>
          <w:sz w:val="19"/>
          <w:szCs w:val="19"/>
        </w:rPr>
      </w:pPr>
      <w:r>
        <w:rPr>
          <w:spacing w:val="17"/>
          <w:sz w:val="19"/>
          <w:szCs w:val="19"/>
        </w:rPr>
        <w:t>(1)根据信息系统运维业务发展的需要和</w:t>
      </w:r>
      <w:r>
        <w:rPr>
          <w:spacing w:val="16"/>
          <w:sz w:val="19"/>
          <w:szCs w:val="19"/>
        </w:rPr>
        <w:t>岗位聘用要求，确定运维服务人员储备的需求、</w:t>
      </w:r>
      <w:r>
        <w:rPr>
          <w:sz w:val="19"/>
          <w:szCs w:val="19"/>
        </w:rPr>
        <w:t xml:space="preserve"> 时间与机制；</w:t>
      </w:r>
    </w:p>
    <w:p w14:paraId="01FBADBB">
      <w:pPr>
        <w:pStyle w:val="2"/>
        <w:spacing w:before="84" w:line="267" w:lineRule="auto"/>
        <w:ind w:left="340" w:right="67" w:firstLine="399"/>
        <w:rPr>
          <w:sz w:val="19"/>
          <w:szCs w:val="19"/>
        </w:rPr>
      </w:pPr>
      <w:r>
        <w:rPr>
          <w:spacing w:val="15"/>
          <w:sz w:val="19"/>
          <w:szCs w:val="19"/>
        </w:rPr>
        <w:t>(2)根据储备需求和运维服务人员现状，选拔符合要求的运维人员，</w:t>
      </w:r>
      <w:r>
        <w:rPr>
          <w:spacing w:val="14"/>
          <w:sz w:val="19"/>
          <w:szCs w:val="19"/>
        </w:rPr>
        <w:t>或制定招聘计划招聘</w:t>
      </w:r>
      <w:r>
        <w:rPr>
          <w:sz w:val="19"/>
          <w:szCs w:val="19"/>
        </w:rPr>
        <w:t xml:space="preserve"> </w:t>
      </w:r>
      <w:r>
        <w:rPr>
          <w:spacing w:val="1"/>
          <w:sz w:val="19"/>
          <w:szCs w:val="19"/>
        </w:rPr>
        <w:t>人员。</w:t>
      </w:r>
    </w:p>
    <w:p w14:paraId="03E48D0F">
      <w:pPr>
        <w:spacing w:before="188" w:line="221" w:lineRule="auto"/>
        <w:ind w:left="742"/>
        <w:rPr>
          <w:rFonts w:ascii="黑体" w:hAnsi="黑体" w:eastAsia="黑体" w:cs="黑体"/>
          <w:sz w:val="19"/>
          <w:szCs w:val="19"/>
        </w:rPr>
      </w:pPr>
      <w:r>
        <w:rPr>
          <w:rFonts w:ascii="黑体" w:hAnsi="黑体" w:eastAsia="黑体" w:cs="黑体"/>
          <w:b/>
          <w:bCs/>
          <w:color w:val="006BC9"/>
          <w:spacing w:val="8"/>
          <w:sz w:val="19"/>
          <w:szCs w:val="19"/>
        </w:rPr>
        <w:t>4.人员培训</w:t>
      </w:r>
    </w:p>
    <w:p w14:paraId="4A84BADD">
      <w:pPr>
        <w:pStyle w:val="2"/>
        <w:spacing w:before="155" w:line="288" w:lineRule="auto"/>
        <w:ind w:left="340" w:right="67" w:firstLine="399"/>
        <w:rPr>
          <w:sz w:val="19"/>
          <w:szCs w:val="19"/>
        </w:rPr>
      </w:pPr>
      <w:r>
        <w:rPr>
          <w:spacing w:val="13"/>
          <w:sz w:val="19"/>
          <w:szCs w:val="19"/>
        </w:rPr>
        <w:t>运维服务提供方根据运维服务需求，建立与运行维护服务相关的</w:t>
      </w:r>
      <w:r>
        <w:rPr>
          <w:spacing w:val="12"/>
          <w:sz w:val="19"/>
          <w:szCs w:val="19"/>
        </w:rPr>
        <w:t>培训计划，在制订培训计</w:t>
      </w:r>
      <w:r>
        <w:rPr>
          <w:sz w:val="19"/>
          <w:szCs w:val="19"/>
        </w:rPr>
        <w:t xml:space="preserve"> </w:t>
      </w:r>
      <w:r>
        <w:rPr>
          <w:spacing w:val="7"/>
          <w:sz w:val="19"/>
          <w:szCs w:val="19"/>
        </w:rPr>
        <w:t>划时应识别培训要求，并提供及时和有效的培训。具体如下：</w:t>
      </w:r>
    </w:p>
    <w:p w14:paraId="1B2949AB">
      <w:pPr>
        <w:pStyle w:val="2"/>
        <w:spacing w:before="38" w:line="219" w:lineRule="auto"/>
        <w:ind w:left="739"/>
        <w:rPr>
          <w:sz w:val="19"/>
          <w:szCs w:val="19"/>
        </w:rPr>
      </w:pPr>
      <w:r>
        <w:rPr>
          <w:spacing w:val="11"/>
          <w:sz w:val="19"/>
          <w:szCs w:val="19"/>
        </w:rPr>
        <w:t>(1)建立与运维服务对象和服务内容相关</w:t>
      </w:r>
      <w:r>
        <w:rPr>
          <w:spacing w:val="10"/>
          <w:sz w:val="19"/>
          <w:szCs w:val="19"/>
        </w:rPr>
        <w:t>的培训与考核机制；</w:t>
      </w:r>
    </w:p>
    <w:p w14:paraId="7A7B33F1">
      <w:pPr>
        <w:pStyle w:val="2"/>
        <w:spacing w:before="85" w:line="219" w:lineRule="auto"/>
        <w:ind w:left="739"/>
        <w:rPr>
          <w:sz w:val="19"/>
          <w:szCs w:val="19"/>
        </w:rPr>
      </w:pPr>
      <w:r>
        <w:rPr>
          <w:spacing w:val="10"/>
          <w:sz w:val="19"/>
          <w:szCs w:val="19"/>
        </w:rPr>
        <w:t>(2)通过分析运维服务相关方人员的岗位职责要求和人员技术能力现状，确定培训需求；</w:t>
      </w:r>
    </w:p>
    <w:p w14:paraId="4C359DAB">
      <w:pPr>
        <w:pStyle w:val="2"/>
        <w:spacing w:before="105" w:line="219" w:lineRule="auto"/>
        <w:ind w:left="739"/>
        <w:rPr>
          <w:sz w:val="19"/>
          <w:szCs w:val="19"/>
        </w:rPr>
      </w:pPr>
      <w:r>
        <w:rPr>
          <w:spacing w:val="10"/>
          <w:sz w:val="19"/>
          <w:szCs w:val="19"/>
        </w:rPr>
        <w:t>(3)按运维项目的服务对象、服务内容，结合培训需求，制订培训计划；</w:t>
      </w:r>
    </w:p>
    <w:p w14:paraId="3BAEF506">
      <w:pPr>
        <w:pStyle w:val="2"/>
        <w:spacing w:before="73" w:line="218" w:lineRule="auto"/>
        <w:ind w:left="739"/>
        <w:rPr>
          <w:sz w:val="19"/>
          <w:szCs w:val="19"/>
        </w:rPr>
      </w:pPr>
      <w:r>
        <w:rPr>
          <w:spacing w:val="10"/>
          <w:sz w:val="19"/>
          <w:szCs w:val="19"/>
        </w:rPr>
        <w:t>(4)按照培训计划执行培训，并对培训效果进行评价，评价方式包括考核、调查和验证等。</w:t>
      </w:r>
    </w:p>
    <w:p w14:paraId="40FE05EE">
      <w:pPr>
        <w:pStyle w:val="2"/>
        <w:spacing w:before="193" w:line="221" w:lineRule="auto"/>
        <w:ind w:left="742"/>
        <w:rPr>
          <w:rFonts w:ascii="黑体" w:hAnsi="黑体" w:eastAsia="黑体" w:cs="黑体"/>
          <w:sz w:val="19"/>
          <w:szCs w:val="19"/>
        </w:rPr>
      </w:pPr>
      <w:r>
        <w:rPr>
          <w:b/>
          <w:bCs/>
          <w:color w:val="0088E3"/>
          <w:spacing w:val="6"/>
          <w:sz w:val="19"/>
          <w:szCs w:val="19"/>
        </w:rPr>
        <w:t>5.</w:t>
      </w:r>
      <w:r>
        <w:rPr>
          <w:rFonts w:ascii="黑体" w:hAnsi="黑体" w:eastAsia="黑体" w:cs="黑体"/>
          <w:b/>
          <w:bCs/>
          <w:color w:val="0088E3"/>
          <w:spacing w:val="6"/>
          <w:sz w:val="19"/>
          <w:szCs w:val="19"/>
        </w:rPr>
        <w:t>绩效考核</w:t>
      </w:r>
    </w:p>
    <w:p w14:paraId="2DBE0725">
      <w:pPr>
        <w:pStyle w:val="2"/>
        <w:spacing w:before="126" w:line="309" w:lineRule="auto"/>
        <w:ind w:left="340" w:firstLine="399"/>
        <w:rPr>
          <w:sz w:val="19"/>
          <w:szCs w:val="19"/>
        </w:rPr>
      </w:pPr>
      <w:r>
        <w:rPr>
          <w:spacing w:val="14"/>
          <w:sz w:val="19"/>
          <w:szCs w:val="19"/>
        </w:rPr>
        <w:t>运维服务提供方需要建立与运行维护服务相关的绩效考核体系或机制，并有效组织实施。</w:t>
      </w:r>
      <w:r>
        <w:rPr>
          <w:spacing w:val="17"/>
          <w:sz w:val="19"/>
          <w:szCs w:val="19"/>
        </w:rPr>
        <w:t xml:space="preserve"> </w:t>
      </w:r>
      <w:r>
        <w:rPr>
          <w:sz w:val="19"/>
          <w:szCs w:val="19"/>
        </w:rPr>
        <w:t>具体如下：</w:t>
      </w:r>
    </w:p>
    <w:p w14:paraId="004E24D4">
      <w:pPr>
        <w:pStyle w:val="2"/>
        <w:spacing w:before="3" w:line="219" w:lineRule="auto"/>
        <w:ind w:left="739"/>
        <w:rPr>
          <w:sz w:val="19"/>
          <w:szCs w:val="19"/>
        </w:rPr>
      </w:pPr>
      <w:r>
        <w:rPr>
          <w:spacing w:val="10"/>
          <w:sz w:val="19"/>
          <w:szCs w:val="19"/>
        </w:rPr>
        <w:t>(1)建立与运维服务相关的绩效考核体系或机制；</w:t>
      </w:r>
    </w:p>
    <w:p w14:paraId="5B8132C3">
      <w:pPr>
        <w:pStyle w:val="2"/>
        <w:spacing w:before="74" w:line="271" w:lineRule="auto"/>
        <w:ind w:left="340" w:right="87" w:firstLine="399"/>
        <w:rPr>
          <w:sz w:val="19"/>
          <w:szCs w:val="19"/>
        </w:rPr>
      </w:pPr>
      <w:r>
        <w:rPr>
          <w:spacing w:val="14"/>
          <w:sz w:val="19"/>
          <w:szCs w:val="19"/>
        </w:rPr>
        <w:t>(2)应结合绩效管理，根据岗位履职情况对人员使用进行评价，并明确奖惩规则，评价方</w:t>
      </w:r>
      <w:r>
        <w:rPr>
          <w:spacing w:val="11"/>
          <w:sz w:val="19"/>
          <w:szCs w:val="19"/>
        </w:rPr>
        <w:t xml:space="preserve"> </w:t>
      </w:r>
      <w:r>
        <w:rPr>
          <w:spacing w:val="5"/>
          <w:sz w:val="19"/>
          <w:szCs w:val="19"/>
        </w:rPr>
        <w:t>式宜包括考核、沟通和调查。</w:t>
      </w:r>
    </w:p>
    <w:p w14:paraId="4B3B9859">
      <w:pPr>
        <w:pStyle w:val="2"/>
        <w:spacing w:before="244" w:line="219" w:lineRule="auto"/>
        <w:ind w:left="342"/>
        <w:rPr>
          <w:sz w:val="26"/>
          <w:szCs w:val="26"/>
        </w:rPr>
      </w:pPr>
      <w:r>
        <w:rPr>
          <w:b/>
          <w:bCs/>
          <w:color w:val="007EEE"/>
          <w:spacing w:val="-28"/>
          <w:sz w:val="26"/>
          <w:szCs w:val="26"/>
        </w:rPr>
        <w:t>7.2.4</w:t>
      </w:r>
      <w:r>
        <w:rPr>
          <w:color w:val="007EEE"/>
          <w:spacing w:val="81"/>
          <w:sz w:val="26"/>
          <w:szCs w:val="26"/>
        </w:rPr>
        <w:t xml:space="preserve"> </w:t>
      </w:r>
      <w:r>
        <w:rPr>
          <w:b/>
          <w:bCs/>
          <w:color w:val="007EEE"/>
          <w:spacing w:val="-28"/>
          <w:sz w:val="26"/>
          <w:szCs w:val="26"/>
        </w:rPr>
        <w:t>技术</w:t>
      </w:r>
    </w:p>
    <w:p w14:paraId="1C5124B3">
      <w:pPr>
        <w:pStyle w:val="2"/>
        <w:spacing w:before="152" w:line="301" w:lineRule="auto"/>
        <w:ind w:left="340" w:right="86" w:firstLine="399"/>
        <w:jc w:val="both"/>
        <w:rPr>
          <w:sz w:val="19"/>
          <w:szCs w:val="19"/>
        </w:rPr>
      </w:pPr>
      <w:r>
        <w:rPr>
          <w:spacing w:val="12"/>
          <w:sz w:val="19"/>
          <w:szCs w:val="19"/>
        </w:rPr>
        <w:t>运维团队根据运行维护服务能力策划要求，开展技术研发和技术成果应用等活动，保证技</w:t>
      </w:r>
      <w:r>
        <w:rPr>
          <w:spacing w:val="9"/>
          <w:sz w:val="19"/>
          <w:szCs w:val="19"/>
        </w:rPr>
        <w:t xml:space="preserve"> </w:t>
      </w:r>
      <w:r>
        <w:rPr>
          <w:spacing w:val="12"/>
          <w:sz w:val="19"/>
          <w:szCs w:val="19"/>
        </w:rPr>
        <w:t>术能力可以满足业主单位不同服务场景下的服务要求，包括运维服务能力长期发展的需求调研</w:t>
      </w:r>
      <w:r>
        <w:rPr>
          <w:spacing w:val="5"/>
          <w:sz w:val="19"/>
          <w:szCs w:val="19"/>
        </w:rPr>
        <w:t xml:space="preserve"> </w:t>
      </w:r>
      <w:r>
        <w:rPr>
          <w:spacing w:val="6"/>
          <w:sz w:val="19"/>
          <w:szCs w:val="19"/>
        </w:rPr>
        <w:t>与分析、技术管理、预期目标等，实现其服务价值。</w:t>
      </w:r>
    </w:p>
    <w:p w14:paraId="1080636D">
      <w:pPr>
        <w:pStyle w:val="2"/>
        <w:spacing w:before="9" w:line="293" w:lineRule="auto"/>
        <w:ind w:left="340" w:right="84" w:firstLine="399"/>
        <w:jc w:val="both"/>
        <w:rPr>
          <w:sz w:val="19"/>
          <w:szCs w:val="19"/>
        </w:rPr>
      </w:pPr>
      <w:r>
        <w:rPr>
          <w:spacing w:val="12"/>
          <w:sz w:val="19"/>
          <w:szCs w:val="19"/>
        </w:rPr>
        <w:t>运维服务提供方根据运行维护服务能力策划要求，实施技术管理活动，确保运维服务提供</w:t>
      </w:r>
      <w:r>
        <w:rPr>
          <w:spacing w:val="7"/>
          <w:sz w:val="19"/>
          <w:szCs w:val="19"/>
        </w:rPr>
        <w:t xml:space="preserve"> </w:t>
      </w:r>
      <w:r>
        <w:rPr>
          <w:spacing w:val="12"/>
          <w:sz w:val="19"/>
          <w:szCs w:val="19"/>
        </w:rPr>
        <w:t>方具备预防风险、发现问题、解决问题和优化创新的技术能力。项目相关负责人要针对以下工</w:t>
      </w:r>
      <w:r>
        <w:rPr>
          <w:spacing w:val="7"/>
          <w:sz w:val="19"/>
          <w:szCs w:val="19"/>
        </w:rPr>
        <w:t xml:space="preserve"> </w:t>
      </w:r>
      <w:r>
        <w:rPr>
          <w:sz w:val="19"/>
          <w:szCs w:val="19"/>
        </w:rPr>
        <w:t>作进行管理：</w:t>
      </w:r>
    </w:p>
    <w:p w14:paraId="747C8C61">
      <w:pPr>
        <w:pStyle w:val="2"/>
        <w:spacing w:before="37" w:line="219" w:lineRule="auto"/>
        <w:ind w:left="739"/>
        <w:rPr>
          <w:sz w:val="19"/>
          <w:szCs w:val="19"/>
        </w:rPr>
      </w:pPr>
      <w:r>
        <w:rPr>
          <w:spacing w:val="10"/>
          <w:sz w:val="19"/>
          <w:szCs w:val="19"/>
        </w:rPr>
        <w:t>(1)根据不同的服务场景，确定技术研发范围；</w:t>
      </w:r>
    </w:p>
    <w:p w14:paraId="4940B274">
      <w:pPr>
        <w:pStyle w:val="2"/>
        <w:spacing w:before="73" w:line="261" w:lineRule="auto"/>
        <w:ind w:left="340" w:right="82" w:firstLine="399"/>
        <w:rPr>
          <w:sz w:val="19"/>
          <w:szCs w:val="19"/>
        </w:rPr>
      </w:pPr>
      <w:r>
        <w:rPr>
          <w:spacing w:val="14"/>
          <w:sz w:val="19"/>
          <w:szCs w:val="19"/>
        </w:rPr>
        <w:t>(2)根据运维项目的服务对象及内容，选择适合的技术研发方式，包括自研、外采及合作</w:t>
      </w:r>
      <w:r>
        <w:rPr>
          <w:spacing w:val="16"/>
          <w:sz w:val="19"/>
          <w:szCs w:val="19"/>
        </w:rPr>
        <w:t xml:space="preserve"> </w:t>
      </w:r>
      <w:r>
        <w:rPr>
          <w:spacing w:val="1"/>
          <w:sz w:val="19"/>
          <w:szCs w:val="19"/>
        </w:rPr>
        <w:t>研发等；</w:t>
      </w:r>
    </w:p>
    <w:p w14:paraId="09AD8D39">
      <w:pPr>
        <w:pStyle w:val="2"/>
        <w:spacing w:before="95" w:line="219" w:lineRule="auto"/>
        <w:ind w:left="739"/>
        <w:rPr>
          <w:sz w:val="19"/>
          <w:szCs w:val="19"/>
        </w:rPr>
      </w:pPr>
      <w:r>
        <w:rPr>
          <w:spacing w:val="10"/>
          <w:sz w:val="19"/>
          <w:szCs w:val="19"/>
        </w:rPr>
        <w:t>(3)根据运维服务策划的要求，分配技术研发资金，管理预算使用情况；</w:t>
      </w:r>
    </w:p>
    <w:p w14:paraId="6A3E9EEC">
      <w:pPr>
        <w:pStyle w:val="2"/>
        <w:spacing w:before="74" w:line="219" w:lineRule="auto"/>
        <w:ind w:left="739"/>
        <w:rPr>
          <w:sz w:val="19"/>
          <w:szCs w:val="19"/>
        </w:rPr>
      </w:pPr>
      <w:r>
        <w:rPr>
          <w:spacing w:val="11"/>
          <w:sz w:val="19"/>
          <w:szCs w:val="19"/>
        </w:rPr>
        <w:t>(4)为运维项目配备必要的技术研发环境和研发队伍；</w:t>
      </w:r>
    </w:p>
    <w:p w14:paraId="19E663D5">
      <w:pPr>
        <w:pStyle w:val="2"/>
        <w:spacing w:before="83" w:line="218" w:lineRule="auto"/>
        <w:ind w:left="739"/>
        <w:rPr>
          <w:sz w:val="19"/>
          <w:szCs w:val="19"/>
        </w:rPr>
      </w:pPr>
      <w:r>
        <w:rPr>
          <w:spacing w:val="10"/>
          <w:sz w:val="19"/>
          <w:szCs w:val="19"/>
        </w:rPr>
        <w:t>(5)对技术研发风险进行识别和评估，并采取有效的控制措施；</w:t>
      </w:r>
    </w:p>
    <w:p w14:paraId="7CE43EDE">
      <w:pPr>
        <w:pStyle w:val="2"/>
        <w:spacing w:before="88" w:line="219" w:lineRule="auto"/>
        <w:ind w:left="739"/>
        <w:rPr>
          <w:sz w:val="19"/>
          <w:szCs w:val="19"/>
        </w:rPr>
      </w:pPr>
      <w:r>
        <w:rPr>
          <w:spacing w:val="10"/>
          <w:sz w:val="19"/>
          <w:szCs w:val="19"/>
        </w:rPr>
        <w:t>(6)对技术研发活动进行有效管理，并监控技术研发活动的执行情况；</w:t>
      </w:r>
    </w:p>
    <w:p w14:paraId="31B8E49F">
      <w:pPr>
        <w:pStyle w:val="2"/>
        <w:spacing w:before="72" w:line="218" w:lineRule="auto"/>
        <w:ind w:left="739"/>
        <w:rPr>
          <w:sz w:val="19"/>
          <w:szCs w:val="19"/>
        </w:rPr>
      </w:pPr>
      <w:r>
        <w:rPr>
          <w:spacing w:val="11"/>
          <w:sz w:val="19"/>
          <w:szCs w:val="19"/>
        </w:rPr>
        <w:t>(7)对运维服务团队的技术研发成果进行</w:t>
      </w:r>
      <w:r>
        <w:rPr>
          <w:spacing w:val="10"/>
          <w:sz w:val="19"/>
          <w:szCs w:val="19"/>
        </w:rPr>
        <w:t>综合评价。</w:t>
      </w:r>
    </w:p>
    <w:p w14:paraId="0A2AAB30">
      <w:pPr>
        <w:spacing w:line="218" w:lineRule="auto"/>
        <w:rPr>
          <w:sz w:val="19"/>
          <w:szCs w:val="19"/>
        </w:rPr>
        <w:sectPr>
          <w:pgSz w:w="10300" w:h="13380"/>
          <w:pgMar w:top="400" w:right="1064" w:bottom="400" w:left="520" w:header="0" w:footer="0" w:gutter="0"/>
          <w:cols w:space="720" w:num="1"/>
        </w:sectPr>
      </w:pPr>
    </w:p>
    <w:p w14:paraId="4B224AAC">
      <w:pPr>
        <w:pStyle w:val="2"/>
        <w:jc w:val="right"/>
        <w:rPr>
          <w:rFonts w:ascii="Times New Roman" w:hAnsi="Times New Roman" w:eastAsia="Times New Roman" w:cs="Times New Roman"/>
          <w:sz w:val="20"/>
          <w:szCs w:val="20"/>
        </w:rPr>
      </w:pPr>
      <w:r>
        <w:rPr>
          <w:sz w:val="20"/>
          <w:szCs w:val="20"/>
        </w:rPr>
        <w:t>第7章</w:t>
      </w:r>
      <w:r>
        <w:rPr>
          <w:spacing w:val="31"/>
          <w:sz w:val="20"/>
          <w:szCs w:val="20"/>
        </w:rPr>
        <w:t xml:space="preserve"> </w:t>
      </w:r>
      <w:r>
        <w:rPr>
          <w:sz w:val="20"/>
          <w:szCs w:val="20"/>
        </w:rPr>
        <w:t xml:space="preserve">运行维护 </w:t>
      </w:r>
      <w:r>
        <w:rPr>
          <w:position w:val="-14"/>
          <w:sz w:val="20"/>
          <w:szCs w:val="20"/>
        </w:rPr>
        <w:drawing>
          <wp:inline distT="0" distB="0" distL="0" distR="0">
            <wp:extent cx="298450" cy="26035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43"/>
                    <a:stretch>
                      <a:fillRect/>
                    </a:stretch>
                  </pic:blipFill>
                  <pic:spPr>
                    <a:xfrm>
                      <a:off x="0" y="0"/>
                      <a:ext cx="298451" cy="260374"/>
                    </a:xfrm>
                    <a:prstGeom prst="rect">
                      <a:avLst/>
                    </a:prstGeom>
                  </pic:spPr>
                </pic:pic>
              </a:graphicData>
            </a:graphic>
          </wp:inline>
        </w:drawing>
      </w:r>
      <w:r>
        <w:rPr>
          <w:rFonts w:ascii="Times New Roman" w:hAnsi="Times New Roman" w:eastAsia="Times New Roman" w:cs="Times New Roman"/>
          <w:color w:val="0078F1"/>
          <w:position w:val="-4"/>
          <w:sz w:val="20"/>
          <w:szCs w:val="20"/>
        </w:rPr>
        <w:t xml:space="preserve">2 </w:t>
      </w:r>
      <w:r>
        <w:rPr>
          <w:rFonts w:ascii="Times New Roman" w:hAnsi="Times New Roman" w:eastAsia="Times New Roman" w:cs="Times New Roman"/>
          <w:position w:val="-4"/>
          <w:sz w:val="20"/>
          <w:szCs w:val="20"/>
        </w:rPr>
        <w:t>01</w:t>
      </w:r>
    </w:p>
    <w:p w14:paraId="5F84CC34">
      <w:pPr>
        <w:pStyle w:val="2"/>
        <w:spacing w:before="288" w:line="221" w:lineRule="auto"/>
        <w:ind w:left="2"/>
        <w:rPr>
          <w:sz w:val="26"/>
          <w:szCs w:val="26"/>
        </w:rPr>
      </w:pPr>
      <w:bookmarkStart w:id="585" w:name="bookmark570"/>
      <w:bookmarkEnd w:id="585"/>
      <w:r>
        <w:rPr>
          <w:b/>
          <w:bCs/>
          <w:color w:val="0074E8"/>
          <w:spacing w:val="-25"/>
          <w:sz w:val="26"/>
          <w:szCs w:val="26"/>
        </w:rPr>
        <w:t>7.2.5</w:t>
      </w:r>
      <w:r>
        <w:rPr>
          <w:color w:val="0074E8"/>
          <w:spacing w:val="64"/>
          <w:sz w:val="26"/>
          <w:szCs w:val="26"/>
        </w:rPr>
        <w:t xml:space="preserve"> </w:t>
      </w:r>
      <w:r>
        <w:rPr>
          <w:b/>
          <w:bCs/>
          <w:color w:val="0074E8"/>
          <w:spacing w:val="-25"/>
          <w:sz w:val="26"/>
          <w:szCs w:val="26"/>
        </w:rPr>
        <w:t>资源</w:t>
      </w:r>
    </w:p>
    <w:p w14:paraId="1AF6E11E">
      <w:pPr>
        <w:pStyle w:val="2"/>
        <w:spacing w:before="246" w:line="223" w:lineRule="auto"/>
        <w:ind w:left="412"/>
        <w:rPr>
          <w:rFonts w:ascii="黑体" w:hAnsi="黑体" w:eastAsia="黑体" w:cs="黑体"/>
          <w:sz w:val="20"/>
          <w:szCs w:val="20"/>
        </w:rPr>
      </w:pPr>
      <w:r>
        <w:rPr>
          <w:b/>
          <w:bCs/>
          <w:color w:val="0073D9"/>
          <w:spacing w:val="-2"/>
          <w:sz w:val="20"/>
          <w:szCs w:val="20"/>
        </w:rPr>
        <w:t>1.</w:t>
      </w:r>
      <w:r>
        <w:rPr>
          <w:rFonts w:ascii="黑体" w:hAnsi="黑体" w:eastAsia="黑体" w:cs="黑体"/>
          <w:b/>
          <w:bCs/>
          <w:color w:val="0073D9"/>
          <w:spacing w:val="-2"/>
          <w:sz w:val="20"/>
          <w:szCs w:val="20"/>
        </w:rPr>
        <w:t>运维工具</w:t>
      </w:r>
    </w:p>
    <w:p w14:paraId="66D9CAD4">
      <w:pPr>
        <w:pStyle w:val="2"/>
        <w:spacing w:before="151" w:line="282" w:lineRule="auto"/>
        <w:ind w:right="243" w:firstLine="409"/>
        <w:jc w:val="both"/>
        <w:rPr>
          <w:sz w:val="20"/>
          <w:szCs w:val="20"/>
        </w:rPr>
      </w:pPr>
      <w:r>
        <w:rPr>
          <w:spacing w:val="3"/>
          <w:sz w:val="20"/>
          <w:szCs w:val="20"/>
        </w:rPr>
        <w:t>为了满足与业主单位约定的运行维护服务需求，运维服务提供方需要根据不同的服务场景</w:t>
      </w:r>
      <w:r>
        <w:rPr>
          <w:spacing w:val="12"/>
          <w:sz w:val="20"/>
          <w:szCs w:val="20"/>
        </w:rPr>
        <w:t xml:space="preserve"> </w:t>
      </w:r>
      <w:r>
        <w:rPr>
          <w:spacing w:val="4"/>
          <w:sz w:val="20"/>
          <w:szCs w:val="20"/>
        </w:rPr>
        <w:t>使用具体的运维工具开展日常运行维护工作。运行</w:t>
      </w:r>
      <w:r>
        <w:rPr>
          <w:spacing w:val="3"/>
          <w:sz w:val="20"/>
          <w:szCs w:val="20"/>
        </w:rPr>
        <w:t>维护工具可分为过程管理工具、监控工具和</w:t>
      </w:r>
      <w:r>
        <w:rPr>
          <w:sz w:val="20"/>
          <w:szCs w:val="20"/>
        </w:rPr>
        <w:t xml:space="preserve"> </w:t>
      </w:r>
      <w:r>
        <w:rPr>
          <w:spacing w:val="5"/>
          <w:sz w:val="20"/>
          <w:szCs w:val="20"/>
        </w:rPr>
        <w:t>专用工具，其功能覆盖运维服务流程管理、系统及硬件环境运行状态的监控、信息安全防护、</w:t>
      </w:r>
      <w:r>
        <w:rPr>
          <w:spacing w:val="3"/>
          <w:sz w:val="20"/>
          <w:szCs w:val="20"/>
        </w:rPr>
        <w:t xml:space="preserve"> 计算资源调度、自动化维护操作、服务数据分析、服务知识提炼、服务可视化等。运维工具作</w:t>
      </w:r>
      <w:r>
        <w:rPr>
          <w:sz w:val="20"/>
          <w:szCs w:val="20"/>
        </w:rPr>
        <w:t xml:space="preserve">  </w:t>
      </w:r>
      <w:r>
        <w:rPr>
          <w:spacing w:val="2"/>
          <w:sz w:val="20"/>
          <w:szCs w:val="20"/>
        </w:rPr>
        <w:t>为运维工作不可或缺的部分，其好坏直接影响运维人员的服务能力和服务效率。通过制定运行</w:t>
      </w:r>
      <w:r>
        <w:rPr>
          <w:spacing w:val="8"/>
          <w:sz w:val="20"/>
          <w:szCs w:val="20"/>
        </w:rPr>
        <w:t xml:space="preserve">  </w:t>
      </w:r>
      <w:r>
        <w:rPr>
          <w:sz w:val="20"/>
          <w:szCs w:val="20"/>
        </w:rPr>
        <w:t>维护工具的管理制度，管理各类运维工具的选择与使用，并定期评估运行维护工具的应用效</w:t>
      </w:r>
      <w:r>
        <w:rPr>
          <w:spacing w:val="-1"/>
          <w:sz w:val="20"/>
          <w:szCs w:val="20"/>
        </w:rPr>
        <w:t>果，</w:t>
      </w:r>
      <w:r>
        <w:rPr>
          <w:sz w:val="20"/>
          <w:szCs w:val="20"/>
        </w:rPr>
        <w:t xml:space="preserve"> </w:t>
      </w:r>
      <w:r>
        <w:rPr>
          <w:spacing w:val="-2"/>
          <w:sz w:val="20"/>
          <w:szCs w:val="20"/>
        </w:rPr>
        <w:t>用以进行运行维护工具的优化改进。需要考虑的要素</w:t>
      </w:r>
      <w:r>
        <w:rPr>
          <w:spacing w:val="-3"/>
          <w:sz w:val="20"/>
          <w:szCs w:val="20"/>
        </w:rPr>
        <w:t>包含：</w:t>
      </w:r>
    </w:p>
    <w:p w14:paraId="44DE6EBE">
      <w:pPr>
        <w:pStyle w:val="2"/>
        <w:spacing w:before="60" w:line="219" w:lineRule="auto"/>
        <w:ind w:left="409"/>
        <w:rPr>
          <w:sz w:val="20"/>
          <w:szCs w:val="20"/>
        </w:rPr>
      </w:pPr>
      <w:r>
        <w:rPr>
          <w:spacing w:val="1"/>
          <w:sz w:val="20"/>
          <w:szCs w:val="20"/>
        </w:rPr>
        <w:t>(1)运维服务流程管理工具。具体功能为：</w:t>
      </w:r>
    </w:p>
    <w:p w14:paraId="6104F814">
      <w:pPr>
        <w:pStyle w:val="2"/>
        <w:spacing w:before="82" w:line="219" w:lineRule="auto"/>
        <w:ind w:left="409"/>
        <w:rPr>
          <w:sz w:val="20"/>
          <w:szCs w:val="20"/>
        </w:rPr>
      </w:pPr>
      <w:r>
        <w:rPr>
          <w:sz w:val="20"/>
          <w:szCs w:val="20"/>
        </w:rPr>
        <w:t>●根据不同层级用户的权限进行分别设置；</w:t>
      </w:r>
    </w:p>
    <w:p w14:paraId="0FF50B61">
      <w:pPr>
        <w:pStyle w:val="2"/>
        <w:spacing w:before="93" w:line="219" w:lineRule="auto"/>
        <w:ind w:left="409"/>
        <w:rPr>
          <w:sz w:val="20"/>
          <w:szCs w:val="20"/>
        </w:rPr>
      </w:pPr>
      <w:r>
        <w:rPr>
          <w:sz w:val="20"/>
          <w:szCs w:val="20"/>
        </w:rPr>
        <w:t>●按照运维服务合同约定的服务级别协议管理运行维护服务的交付过程；</w:t>
      </w:r>
    </w:p>
    <w:p w14:paraId="200F8EA2">
      <w:pPr>
        <w:pStyle w:val="2"/>
        <w:spacing w:before="81" w:line="218" w:lineRule="auto"/>
        <w:ind w:left="409"/>
        <w:rPr>
          <w:sz w:val="20"/>
          <w:szCs w:val="20"/>
        </w:rPr>
      </w:pPr>
      <w:r>
        <w:rPr>
          <w:sz w:val="20"/>
          <w:szCs w:val="20"/>
        </w:rPr>
        <w:t>●运维服务流程管理的内容包括日常运行维护管理、记录、测量、监督和评估等；</w:t>
      </w:r>
    </w:p>
    <w:p w14:paraId="4FB4017E">
      <w:pPr>
        <w:pStyle w:val="2"/>
        <w:spacing w:before="86" w:line="261" w:lineRule="auto"/>
        <w:ind w:left="689" w:right="319" w:hanging="280"/>
        <w:rPr>
          <w:sz w:val="20"/>
          <w:szCs w:val="20"/>
        </w:rPr>
      </w:pPr>
      <w:r>
        <w:rPr>
          <w:spacing w:val="3"/>
          <w:sz w:val="20"/>
          <w:szCs w:val="20"/>
        </w:rPr>
        <w:t>●运维服务团队使用的功能包括值班管理、服务巡检管理、服务请求管理、事件管理、问</w:t>
      </w:r>
      <w:r>
        <w:rPr>
          <w:spacing w:val="5"/>
          <w:sz w:val="20"/>
          <w:szCs w:val="20"/>
        </w:rPr>
        <w:t xml:space="preserve"> </w:t>
      </w:r>
      <w:r>
        <w:rPr>
          <w:spacing w:val="-3"/>
          <w:sz w:val="20"/>
          <w:szCs w:val="20"/>
        </w:rPr>
        <w:t>题管理、配置管理、变更管理和发布管理等内容；</w:t>
      </w:r>
    </w:p>
    <w:p w14:paraId="7B149041">
      <w:pPr>
        <w:pStyle w:val="2"/>
        <w:spacing w:before="92" w:line="257" w:lineRule="auto"/>
        <w:ind w:left="689" w:right="327" w:hanging="280"/>
        <w:rPr>
          <w:sz w:val="20"/>
          <w:szCs w:val="20"/>
        </w:rPr>
      </w:pPr>
      <w:r>
        <w:rPr>
          <w:spacing w:val="8"/>
          <w:sz w:val="20"/>
          <w:szCs w:val="20"/>
        </w:rPr>
        <w:t>●能够针对服务结果和过程进行统计分析和报告，能够</w:t>
      </w:r>
      <w:r>
        <w:rPr>
          <w:spacing w:val="7"/>
          <w:sz w:val="20"/>
          <w:szCs w:val="20"/>
        </w:rPr>
        <w:t>实现对</w:t>
      </w:r>
      <w:r>
        <w:rPr>
          <w:sz w:val="20"/>
          <w:szCs w:val="20"/>
        </w:rPr>
        <w:t>SLA</w:t>
      </w:r>
      <w:r>
        <w:rPr>
          <w:spacing w:val="38"/>
          <w:sz w:val="20"/>
          <w:szCs w:val="20"/>
        </w:rPr>
        <w:t xml:space="preserve"> </w:t>
      </w:r>
      <w:r>
        <w:rPr>
          <w:spacing w:val="7"/>
          <w:sz w:val="20"/>
          <w:szCs w:val="20"/>
        </w:rPr>
        <w:t>完成情况及达成率的</w:t>
      </w:r>
      <w:r>
        <w:rPr>
          <w:sz w:val="20"/>
          <w:szCs w:val="20"/>
        </w:rPr>
        <w:t xml:space="preserve"> </w:t>
      </w:r>
      <w:r>
        <w:rPr>
          <w:spacing w:val="-2"/>
          <w:sz w:val="20"/>
          <w:szCs w:val="20"/>
        </w:rPr>
        <w:t>考评分析，例如对事件分布、解决率、及时率等进行评估分析；</w:t>
      </w:r>
    </w:p>
    <w:p w14:paraId="486FAD82">
      <w:pPr>
        <w:pStyle w:val="2"/>
        <w:spacing w:before="93" w:line="218" w:lineRule="auto"/>
        <w:ind w:left="409"/>
        <w:rPr>
          <w:sz w:val="20"/>
          <w:szCs w:val="20"/>
        </w:rPr>
      </w:pPr>
      <w:r>
        <w:rPr>
          <w:spacing w:val="1"/>
          <w:sz w:val="20"/>
          <w:szCs w:val="20"/>
        </w:rPr>
        <w:t>●定期对运维流程管理工作的使用效果进行自评估，保存自评估报告。</w:t>
      </w:r>
    </w:p>
    <w:p w14:paraId="5173A4D8">
      <w:pPr>
        <w:pStyle w:val="2"/>
        <w:spacing w:before="77" w:line="220" w:lineRule="auto"/>
        <w:ind w:left="409"/>
        <w:rPr>
          <w:sz w:val="20"/>
          <w:szCs w:val="20"/>
        </w:rPr>
      </w:pPr>
      <w:r>
        <w:rPr>
          <w:spacing w:val="1"/>
          <w:sz w:val="20"/>
          <w:szCs w:val="20"/>
        </w:rPr>
        <w:t>(2)运维监控工具。具体功能为：</w:t>
      </w:r>
    </w:p>
    <w:p w14:paraId="19C8D2DF">
      <w:pPr>
        <w:pStyle w:val="2"/>
        <w:spacing w:before="69" w:line="219" w:lineRule="auto"/>
        <w:ind w:left="409"/>
        <w:rPr>
          <w:sz w:val="20"/>
          <w:szCs w:val="20"/>
        </w:rPr>
      </w:pPr>
      <w:r>
        <w:rPr>
          <w:sz w:val="20"/>
          <w:szCs w:val="20"/>
        </w:rPr>
        <w:t>●能够采集机房基础设施、物理资源、虚拟资源、平台资源、应用和数据等监控数</w:t>
      </w:r>
      <w:r>
        <w:rPr>
          <w:spacing w:val="-1"/>
          <w:sz w:val="20"/>
          <w:szCs w:val="20"/>
        </w:rPr>
        <w:t>据；</w:t>
      </w:r>
    </w:p>
    <w:p w14:paraId="65C29E15">
      <w:pPr>
        <w:pStyle w:val="2"/>
        <w:spacing w:before="75" w:line="261" w:lineRule="auto"/>
        <w:ind w:left="689" w:right="334" w:hanging="280"/>
        <w:rPr>
          <w:sz w:val="20"/>
          <w:szCs w:val="20"/>
        </w:rPr>
      </w:pPr>
      <w:r>
        <w:rPr>
          <w:spacing w:val="3"/>
          <w:sz w:val="20"/>
          <w:szCs w:val="20"/>
        </w:rPr>
        <w:t>●能够对各种技术路线的物理资源的状态进行监控，如服务器、存</w:t>
      </w:r>
      <w:r>
        <w:rPr>
          <w:spacing w:val="2"/>
          <w:sz w:val="20"/>
          <w:szCs w:val="20"/>
        </w:rPr>
        <w:t>储、网络和安全等硬件</w:t>
      </w:r>
      <w:r>
        <w:rPr>
          <w:sz w:val="20"/>
          <w:szCs w:val="20"/>
        </w:rPr>
        <w:t xml:space="preserve"> </w:t>
      </w:r>
      <w:r>
        <w:rPr>
          <w:spacing w:val="-6"/>
          <w:sz w:val="20"/>
          <w:szCs w:val="20"/>
        </w:rPr>
        <w:t>设备及其附带软件；</w:t>
      </w:r>
    </w:p>
    <w:p w14:paraId="617E594D">
      <w:pPr>
        <w:pStyle w:val="2"/>
        <w:spacing w:before="74" w:line="262" w:lineRule="auto"/>
        <w:ind w:left="689" w:right="262" w:hanging="280"/>
        <w:rPr>
          <w:sz w:val="20"/>
          <w:szCs w:val="20"/>
        </w:rPr>
      </w:pPr>
      <w:r>
        <w:rPr>
          <w:spacing w:val="5"/>
          <w:sz w:val="20"/>
          <w:szCs w:val="20"/>
        </w:rPr>
        <w:t>●能够对平台资源涉及的软件运行状态及健康度进行</w:t>
      </w:r>
      <w:r>
        <w:rPr>
          <w:spacing w:val="4"/>
          <w:sz w:val="20"/>
          <w:szCs w:val="20"/>
        </w:rPr>
        <w:t>监控，包括但不限于系统运行情况、</w:t>
      </w:r>
      <w:r>
        <w:rPr>
          <w:sz w:val="20"/>
          <w:szCs w:val="20"/>
        </w:rPr>
        <w:t xml:space="preserve"> </w:t>
      </w:r>
      <w:r>
        <w:rPr>
          <w:spacing w:val="-4"/>
          <w:sz w:val="20"/>
          <w:szCs w:val="20"/>
        </w:rPr>
        <w:t>资源占用及运行情况，以及性能状况的监控；</w:t>
      </w:r>
    </w:p>
    <w:p w14:paraId="1FDA6400">
      <w:pPr>
        <w:pStyle w:val="2"/>
        <w:spacing w:before="93" w:line="251" w:lineRule="auto"/>
        <w:ind w:left="689" w:right="332" w:hanging="280"/>
        <w:rPr>
          <w:sz w:val="20"/>
          <w:szCs w:val="20"/>
        </w:rPr>
      </w:pPr>
      <w:r>
        <w:rPr>
          <w:spacing w:val="3"/>
          <w:sz w:val="20"/>
          <w:szCs w:val="20"/>
        </w:rPr>
        <w:t>●通过监控系统收集全部应用的监控状态信息，实现异常监控信息的初</w:t>
      </w:r>
      <w:r>
        <w:rPr>
          <w:spacing w:val="2"/>
          <w:sz w:val="20"/>
          <w:szCs w:val="20"/>
        </w:rPr>
        <w:t>步分析，能够智能</w:t>
      </w:r>
      <w:r>
        <w:rPr>
          <w:sz w:val="20"/>
          <w:szCs w:val="20"/>
        </w:rPr>
        <w:t xml:space="preserve"> </w:t>
      </w:r>
      <w:r>
        <w:rPr>
          <w:spacing w:val="-3"/>
          <w:sz w:val="20"/>
          <w:szCs w:val="20"/>
        </w:rPr>
        <w:t>告警并定位故障点，支持故障溯源和关联分析；</w:t>
      </w:r>
    </w:p>
    <w:p w14:paraId="7928F464">
      <w:pPr>
        <w:pStyle w:val="2"/>
        <w:spacing w:before="65" w:line="262" w:lineRule="auto"/>
        <w:ind w:left="689" w:right="332" w:hanging="280"/>
        <w:rPr>
          <w:sz w:val="20"/>
          <w:szCs w:val="20"/>
        </w:rPr>
      </w:pPr>
      <w:r>
        <w:rPr>
          <w:spacing w:val="6"/>
          <w:sz w:val="20"/>
          <w:szCs w:val="20"/>
        </w:rPr>
        <w:t>●宜采用自动化运维工具定期对</w:t>
      </w:r>
      <w:r>
        <w:rPr>
          <w:sz w:val="20"/>
          <w:szCs w:val="20"/>
        </w:rPr>
        <w:t>IT</w:t>
      </w:r>
      <w:r>
        <w:rPr>
          <w:spacing w:val="-13"/>
          <w:sz w:val="20"/>
          <w:szCs w:val="20"/>
        </w:rPr>
        <w:t xml:space="preserve"> </w:t>
      </w:r>
      <w:r>
        <w:rPr>
          <w:spacing w:val="6"/>
          <w:sz w:val="20"/>
          <w:szCs w:val="20"/>
        </w:rPr>
        <w:t>设备硬件和应用系统进行作业，例如系统补丁的同步</w:t>
      </w:r>
      <w:r>
        <w:rPr>
          <w:sz w:val="20"/>
          <w:szCs w:val="20"/>
        </w:rPr>
        <w:t xml:space="preserve"> </w:t>
      </w:r>
      <w:r>
        <w:rPr>
          <w:spacing w:val="-3"/>
          <w:sz w:val="20"/>
          <w:szCs w:val="20"/>
        </w:rPr>
        <w:t>分发与升级、数据备份、病毒查杀和自助巡检等工作；</w:t>
      </w:r>
    </w:p>
    <w:p w14:paraId="65C9E11E">
      <w:pPr>
        <w:pStyle w:val="2"/>
        <w:spacing w:before="72" w:line="262" w:lineRule="auto"/>
        <w:ind w:left="689" w:right="334" w:hanging="280"/>
        <w:rPr>
          <w:sz w:val="20"/>
          <w:szCs w:val="20"/>
        </w:rPr>
      </w:pPr>
      <w:r>
        <w:rPr>
          <w:spacing w:val="3"/>
          <w:sz w:val="20"/>
          <w:szCs w:val="20"/>
        </w:rPr>
        <w:t>●应制定监控数据采集、传输、共享和交换的标准规范或通用协议</w:t>
      </w:r>
      <w:r>
        <w:rPr>
          <w:spacing w:val="2"/>
          <w:sz w:val="20"/>
          <w:szCs w:val="20"/>
        </w:rPr>
        <w:t>，以实现信息系统运维</w:t>
      </w:r>
      <w:r>
        <w:rPr>
          <w:sz w:val="20"/>
          <w:szCs w:val="20"/>
        </w:rPr>
        <w:t xml:space="preserve"> </w:t>
      </w:r>
      <w:r>
        <w:rPr>
          <w:spacing w:val="-5"/>
          <w:sz w:val="20"/>
          <w:szCs w:val="20"/>
        </w:rPr>
        <w:t>可扩展、易集成。</w:t>
      </w:r>
    </w:p>
    <w:p w14:paraId="1951D6E1">
      <w:pPr>
        <w:pStyle w:val="2"/>
        <w:spacing w:before="84" w:line="220" w:lineRule="auto"/>
        <w:ind w:left="409"/>
        <w:rPr>
          <w:sz w:val="20"/>
          <w:szCs w:val="20"/>
        </w:rPr>
      </w:pPr>
      <w:r>
        <w:rPr>
          <w:spacing w:val="2"/>
          <w:sz w:val="20"/>
          <w:szCs w:val="20"/>
        </w:rPr>
        <w:t>(3)专用工具。具体功能为：</w:t>
      </w:r>
    </w:p>
    <w:p w14:paraId="59D98772">
      <w:pPr>
        <w:pStyle w:val="2"/>
        <w:spacing w:before="61" w:line="219" w:lineRule="auto"/>
        <w:ind w:left="409"/>
        <w:rPr>
          <w:sz w:val="20"/>
          <w:szCs w:val="20"/>
        </w:rPr>
      </w:pPr>
      <w:r>
        <w:rPr>
          <w:spacing w:val="1"/>
          <w:sz w:val="20"/>
          <w:szCs w:val="20"/>
        </w:rPr>
        <w:t>●根据运行维护的服务需求选择专用工具，实现工具技术指标的</w:t>
      </w:r>
      <w:r>
        <w:rPr>
          <w:sz w:val="20"/>
          <w:szCs w:val="20"/>
        </w:rPr>
        <w:t>规范化、标准化；</w:t>
      </w:r>
    </w:p>
    <w:p w14:paraId="7517FC82">
      <w:pPr>
        <w:pStyle w:val="2"/>
        <w:spacing w:before="83" w:line="219" w:lineRule="auto"/>
        <w:ind w:left="409"/>
        <w:rPr>
          <w:sz w:val="20"/>
          <w:szCs w:val="20"/>
        </w:rPr>
      </w:pPr>
      <w:r>
        <w:rPr>
          <w:spacing w:val="1"/>
          <w:sz w:val="20"/>
          <w:szCs w:val="20"/>
        </w:rPr>
        <w:t>●通过统一的运维服务工作流程来管理信息系统生产环境中的各</w:t>
      </w:r>
      <w:r>
        <w:rPr>
          <w:sz w:val="20"/>
          <w:szCs w:val="20"/>
        </w:rPr>
        <w:t>个组成部分；</w:t>
      </w:r>
    </w:p>
    <w:p w14:paraId="59C5CA89">
      <w:pPr>
        <w:pStyle w:val="2"/>
        <w:spacing w:before="92" w:line="219" w:lineRule="auto"/>
        <w:ind w:left="409"/>
        <w:rPr>
          <w:sz w:val="20"/>
          <w:szCs w:val="20"/>
        </w:rPr>
      </w:pPr>
      <w:r>
        <w:rPr>
          <w:spacing w:val="1"/>
          <w:sz w:val="20"/>
          <w:szCs w:val="20"/>
        </w:rPr>
        <w:t>●通过各种工具提高运维工作效率和质量，必要时，可通过二次开发实现工具间的集成；</w:t>
      </w:r>
    </w:p>
    <w:p w14:paraId="14C3E823">
      <w:pPr>
        <w:pStyle w:val="2"/>
        <w:spacing w:before="51" w:line="263" w:lineRule="auto"/>
        <w:ind w:left="689" w:right="335" w:hanging="280"/>
        <w:rPr>
          <w:sz w:val="20"/>
          <w:szCs w:val="20"/>
        </w:rPr>
      </w:pPr>
      <w:r>
        <w:rPr>
          <w:spacing w:val="3"/>
          <w:sz w:val="20"/>
          <w:szCs w:val="20"/>
        </w:rPr>
        <w:t>●量化运维管理过程中的各项运行数据，为运维管理部门和领导</w:t>
      </w:r>
      <w:r>
        <w:rPr>
          <w:spacing w:val="2"/>
          <w:sz w:val="20"/>
          <w:szCs w:val="20"/>
        </w:rPr>
        <w:t>评估运维质量和效率提供</w:t>
      </w:r>
      <w:r>
        <w:rPr>
          <w:sz w:val="20"/>
          <w:szCs w:val="20"/>
        </w:rPr>
        <w:t xml:space="preserve"> </w:t>
      </w:r>
      <w:r>
        <w:rPr>
          <w:spacing w:val="-1"/>
          <w:sz w:val="20"/>
          <w:szCs w:val="20"/>
        </w:rPr>
        <w:t>支撑数据。</w:t>
      </w:r>
    </w:p>
    <w:p w14:paraId="5674AE3F">
      <w:pPr>
        <w:spacing w:line="263" w:lineRule="auto"/>
        <w:rPr>
          <w:sz w:val="20"/>
          <w:szCs w:val="20"/>
        </w:rPr>
        <w:sectPr>
          <w:pgSz w:w="10280" w:h="13300"/>
          <w:pgMar w:top="370" w:right="557" w:bottom="400" w:left="1070" w:header="0" w:footer="0" w:gutter="0"/>
          <w:cols w:space="720" w:num="1"/>
        </w:sectPr>
      </w:pPr>
    </w:p>
    <w:p w14:paraId="70C507C1">
      <w:pPr>
        <w:pStyle w:val="2"/>
        <w:spacing w:before="57" w:line="219" w:lineRule="auto"/>
        <w:rPr>
          <w:sz w:val="19"/>
          <w:szCs w:val="19"/>
        </w:rPr>
      </w:pPr>
      <w:r>
        <w:rPr>
          <w:rFonts w:ascii="Times New Roman" w:hAnsi="Times New Roman" w:eastAsia="Times New Roman" w:cs="Times New Roman"/>
          <w:spacing w:val="4"/>
          <w:sz w:val="19"/>
          <w:szCs w:val="19"/>
        </w:rPr>
        <w:t>202</w:t>
      </w:r>
      <w:r>
        <w:rPr>
          <w:rFonts w:ascii="Times New Roman" w:hAnsi="Times New Roman" w:eastAsia="Times New Roman" w:cs="Times New Roman"/>
          <w:spacing w:val="1"/>
          <w:sz w:val="19"/>
          <w:szCs w:val="19"/>
        </w:rPr>
        <w:t xml:space="preserve">              </w:t>
      </w:r>
      <w:r>
        <w:rPr>
          <w:spacing w:val="4"/>
          <w:sz w:val="19"/>
          <w:szCs w:val="19"/>
        </w:rPr>
        <w:t>信息系统监理师教程(第2版)</w:t>
      </w:r>
    </w:p>
    <w:p w14:paraId="086D4B76">
      <w:pPr>
        <w:spacing w:line="338" w:lineRule="auto"/>
        <w:rPr>
          <w:rFonts w:ascii="Arial"/>
          <w:sz w:val="21"/>
        </w:rPr>
      </w:pPr>
    </w:p>
    <w:p w14:paraId="5CE1F1AA">
      <w:pPr>
        <w:pStyle w:val="2"/>
        <w:spacing w:before="62" w:line="223" w:lineRule="auto"/>
        <w:ind w:left="742"/>
        <w:rPr>
          <w:rFonts w:ascii="黑体" w:hAnsi="黑体" w:eastAsia="黑体" w:cs="黑体"/>
          <w:sz w:val="19"/>
          <w:szCs w:val="19"/>
        </w:rPr>
      </w:pPr>
      <w:bookmarkStart w:id="586" w:name="bookmark571"/>
      <w:bookmarkEnd w:id="586"/>
      <w:r>
        <w:rPr>
          <w:b/>
          <w:bCs/>
          <w:color w:val="006EDD"/>
          <w:spacing w:val="6"/>
          <w:sz w:val="19"/>
          <w:szCs w:val="19"/>
        </w:rPr>
        <w:t>2.</w:t>
      </w:r>
      <w:r>
        <w:rPr>
          <w:rFonts w:ascii="黑体" w:hAnsi="黑体" w:eastAsia="黑体" w:cs="黑体"/>
          <w:b/>
          <w:bCs/>
          <w:color w:val="006EDD"/>
          <w:spacing w:val="6"/>
          <w:sz w:val="19"/>
          <w:szCs w:val="19"/>
        </w:rPr>
        <w:t>备品备件</w:t>
      </w:r>
    </w:p>
    <w:p w14:paraId="5DA53E25">
      <w:pPr>
        <w:pStyle w:val="2"/>
        <w:spacing w:before="141" w:line="302" w:lineRule="auto"/>
        <w:ind w:left="349" w:right="6" w:firstLine="390"/>
        <w:jc w:val="both"/>
        <w:rPr>
          <w:sz w:val="19"/>
          <w:szCs w:val="19"/>
        </w:rPr>
      </w:pPr>
      <w:r>
        <w:rPr>
          <w:spacing w:val="12"/>
          <w:sz w:val="19"/>
          <w:szCs w:val="19"/>
        </w:rPr>
        <w:t>为了实现有效管理运行维护服务活动所需的备件资源，按照</w:t>
      </w:r>
      <w:r>
        <w:rPr>
          <w:rFonts w:ascii="Times New Roman" w:hAnsi="Times New Roman" w:eastAsia="Times New Roman" w:cs="Times New Roman"/>
          <w:sz w:val="19"/>
          <w:szCs w:val="19"/>
        </w:rPr>
        <w:t>SLA</w:t>
      </w:r>
      <w:r>
        <w:rPr>
          <w:rFonts w:ascii="Times New Roman" w:hAnsi="Times New Roman" w:eastAsia="Times New Roman" w:cs="Times New Roman"/>
          <w:spacing w:val="47"/>
          <w:w w:val="101"/>
          <w:sz w:val="19"/>
          <w:szCs w:val="19"/>
        </w:rPr>
        <w:t xml:space="preserve"> </w:t>
      </w:r>
      <w:r>
        <w:rPr>
          <w:spacing w:val="12"/>
          <w:sz w:val="19"/>
          <w:szCs w:val="19"/>
        </w:rPr>
        <w:t>要求为所运行维护的设备</w:t>
      </w:r>
      <w:r>
        <w:rPr>
          <w:sz w:val="19"/>
          <w:szCs w:val="19"/>
        </w:rPr>
        <w:t xml:space="preserve"> </w:t>
      </w:r>
      <w:r>
        <w:rPr>
          <w:spacing w:val="13"/>
          <w:sz w:val="19"/>
          <w:szCs w:val="19"/>
        </w:rPr>
        <w:t>或系统及时提供备件，运维服务团队需要建立备件库，保证设备或系统的正常运</w:t>
      </w:r>
      <w:r>
        <w:rPr>
          <w:spacing w:val="12"/>
          <w:sz w:val="19"/>
          <w:szCs w:val="19"/>
        </w:rPr>
        <w:t>行。具体要求</w:t>
      </w:r>
      <w:r>
        <w:rPr>
          <w:sz w:val="19"/>
          <w:szCs w:val="19"/>
        </w:rPr>
        <w:t xml:space="preserve"> </w:t>
      </w:r>
      <w:r>
        <w:rPr>
          <w:spacing w:val="5"/>
          <w:sz w:val="19"/>
          <w:szCs w:val="19"/>
        </w:rPr>
        <w:t>应包含以下几个方面：</w:t>
      </w:r>
    </w:p>
    <w:p w14:paraId="3285D280">
      <w:pPr>
        <w:pStyle w:val="2"/>
        <w:spacing w:before="18" w:line="275" w:lineRule="auto"/>
        <w:ind w:left="1039" w:hanging="300"/>
        <w:rPr>
          <w:sz w:val="19"/>
          <w:szCs w:val="19"/>
        </w:rPr>
      </w:pPr>
      <w:r>
        <w:rPr>
          <w:spacing w:val="13"/>
          <w:sz w:val="19"/>
          <w:szCs w:val="19"/>
        </w:rPr>
        <w:t>●制定备件库管理规范，包括备件响应方式和级别定义、备品备件的数量和类型、类别与</w:t>
      </w:r>
      <w:r>
        <w:rPr>
          <w:spacing w:val="17"/>
          <w:sz w:val="19"/>
          <w:szCs w:val="19"/>
        </w:rPr>
        <w:t xml:space="preserve"> </w:t>
      </w:r>
      <w:r>
        <w:rPr>
          <w:spacing w:val="9"/>
          <w:sz w:val="19"/>
          <w:szCs w:val="19"/>
        </w:rPr>
        <w:t>编码、存放环境，以上内容均能够满足</w:t>
      </w:r>
      <w:r>
        <w:rPr>
          <w:rFonts w:ascii="Times New Roman" w:hAnsi="Times New Roman" w:eastAsia="Times New Roman" w:cs="Times New Roman"/>
          <w:sz w:val="19"/>
          <w:szCs w:val="19"/>
        </w:rPr>
        <w:t>SLA</w:t>
      </w:r>
      <w:r>
        <w:rPr>
          <w:rFonts w:ascii="Times New Roman" w:hAnsi="Times New Roman" w:eastAsia="Times New Roman" w:cs="Times New Roman"/>
          <w:spacing w:val="53"/>
          <w:w w:val="101"/>
          <w:sz w:val="19"/>
          <w:szCs w:val="19"/>
        </w:rPr>
        <w:t xml:space="preserve"> </w:t>
      </w:r>
      <w:r>
        <w:rPr>
          <w:spacing w:val="9"/>
          <w:sz w:val="19"/>
          <w:szCs w:val="19"/>
        </w:rPr>
        <w:t>所要求的备件支持。</w:t>
      </w:r>
    </w:p>
    <w:p w14:paraId="74227968">
      <w:pPr>
        <w:pStyle w:val="2"/>
        <w:spacing w:before="103" w:line="219" w:lineRule="auto"/>
        <w:ind w:left="739"/>
        <w:rPr>
          <w:sz w:val="19"/>
          <w:szCs w:val="19"/>
        </w:rPr>
      </w:pPr>
      <w:r>
        <w:rPr>
          <w:spacing w:val="11"/>
          <w:sz w:val="19"/>
          <w:szCs w:val="19"/>
        </w:rPr>
        <w:t>●制订备件采购计划或方案，包括采购流程、库存策略、紧急采购预案等。</w:t>
      </w:r>
    </w:p>
    <w:p w14:paraId="10EC0F28">
      <w:pPr>
        <w:pStyle w:val="2"/>
        <w:spacing w:before="105" w:line="264" w:lineRule="auto"/>
        <w:ind w:left="1039" w:right="6" w:hanging="300"/>
        <w:rPr>
          <w:sz w:val="19"/>
          <w:szCs w:val="19"/>
        </w:rPr>
      </w:pPr>
      <w:r>
        <w:rPr>
          <w:spacing w:val="19"/>
          <w:sz w:val="19"/>
          <w:szCs w:val="19"/>
        </w:rPr>
        <w:t>●制定出入库制度，包括送货、验收、入库、出库等</w:t>
      </w:r>
      <w:r>
        <w:rPr>
          <w:spacing w:val="18"/>
          <w:sz w:val="19"/>
          <w:szCs w:val="19"/>
        </w:rPr>
        <w:t>的流程并实施，做好日常管理的记</w:t>
      </w:r>
      <w:r>
        <w:rPr>
          <w:sz w:val="19"/>
          <w:szCs w:val="19"/>
        </w:rPr>
        <w:t xml:space="preserve"> </w:t>
      </w:r>
      <w:r>
        <w:rPr>
          <w:spacing w:val="5"/>
          <w:sz w:val="19"/>
          <w:szCs w:val="19"/>
        </w:rPr>
        <w:t>录，并定期形成报告。</w:t>
      </w:r>
    </w:p>
    <w:p w14:paraId="53AF057A">
      <w:pPr>
        <w:pStyle w:val="2"/>
        <w:spacing w:before="96" w:line="269" w:lineRule="auto"/>
        <w:ind w:left="1039" w:right="27" w:hanging="300"/>
        <w:rPr>
          <w:sz w:val="19"/>
          <w:szCs w:val="19"/>
        </w:rPr>
      </w:pPr>
      <w:r>
        <w:rPr>
          <w:spacing w:val="13"/>
          <w:sz w:val="19"/>
          <w:szCs w:val="19"/>
        </w:rPr>
        <w:t>●制定备件的检测、报废制度，并按照制度定期对备件状态进行检</w:t>
      </w:r>
      <w:r>
        <w:rPr>
          <w:spacing w:val="12"/>
          <w:sz w:val="19"/>
          <w:szCs w:val="19"/>
        </w:rPr>
        <w:t>测，对国家强制规定检</w:t>
      </w:r>
      <w:r>
        <w:rPr>
          <w:sz w:val="19"/>
          <w:szCs w:val="19"/>
        </w:rPr>
        <w:t xml:space="preserve"> </w:t>
      </w:r>
      <w:r>
        <w:rPr>
          <w:spacing w:val="6"/>
          <w:sz w:val="19"/>
          <w:szCs w:val="19"/>
        </w:rPr>
        <w:t>定的设备须有专业机构的检测报告。</w:t>
      </w:r>
    </w:p>
    <w:p w14:paraId="0458D25B">
      <w:pPr>
        <w:pStyle w:val="2"/>
        <w:spacing w:before="203" w:line="221" w:lineRule="auto"/>
        <w:ind w:left="742"/>
        <w:rPr>
          <w:rFonts w:ascii="黑体" w:hAnsi="黑体" w:eastAsia="黑体" w:cs="黑体"/>
          <w:sz w:val="19"/>
          <w:szCs w:val="19"/>
        </w:rPr>
      </w:pPr>
      <w:r>
        <w:rPr>
          <w:b/>
          <w:bCs/>
          <w:color w:val="0068D0"/>
          <w:spacing w:val="11"/>
          <w:sz w:val="19"/>
          <w:szCs w:val="19"/>
        </w:rPr>
        <w:t>3.</w:t>
      </w:r>
      <w:r>
        <w:rPr>
          <w:rFonts w:ascii="黑体" w:hAnsi="黑体" w:eastAsia="黑体" w:cs="黑体"/>
          <w:b/>
          <w:bCs/>
          <w:color w:val="0068D0"/>
          <w:spacing w:val="11"/>
          <w:sz w:val="19"/>
          <w:szCs w:val="19"/>
        </w:rPr>
        <w:t>服务台</w:t>
      </w:r>
    </w:p>
    <w:p w14:paraId="101C603A">
      <w:pPr>
        <w:pStyle w:val="2"/>
        <w:spacing w:before="138" w:line="304" w:lineRule="auto"/>
        <w:ind w:left="349" w:right="7" w:firstLine="390"/>
        <w:jc w:val="both"/>
        <w:rPr>
          <w:sz w:val="19"/>
          <w:szCs w:val="19"/>
        </w:rPr>
      </w:pPr>
      <w:r>
        <w:rPr>
          <w:spacing w:val="13"/>
          <w:sz w:val="19"/>
          <w:szCs w:val="19"/>
        </w:rPr>
        <w:t>服务台负责在各时间段，提供给用户或服务人员利用电话、邮箱</w:t>
      </w:r>
      <w:r>
        <w:rPr>
          <w:spacing w:val="12"/>
          <w:sz w:val="19"/>
          <w:szCs w:val="19"/>
        </w:rPr>
        <w:t>、即时通信、网络或其他</w:t>
      </w:r>
      <w:r>
        <w:rPr>
          <w:sz w:val="19"/>
          <w:szCs w:val="19"/>
        </w:rPr>
        <w:t xml:space="preserve"> </w:t>
      </w:r>
      <w:r>
        <w:rPr>
          <w:spacing w:val="13"/>
          <w:sz w:val="19"/>
          <w:szCs w:val="19"/>
        </w:rPr>
        <w:t>自动化手段，针对发生的事件、用户请求、变更等</w:t>
      </w:r>
      <w:r>
        <w:rPr>
          <w:spacing w:val="12"/>
          <w:sz w:val="19"/>
          <w:szCs w:val="19"/>
        </w:rPr>
        <w:t>进行交流的途径。服务台是运维服务团队的</w:t>
      </w:r>
      <w:r>
        <w:rPr>
          <w:sz w:val="19"/>
          <w:szCs w:val="19"/>
        </w:rPr>
        <w:t xml:space="preserve"> </w:t>
      </w:r>
      <w:r>
        <w:rPr>
          <w:spacing w:val="13"/>
          <w:sz w:val="19"/>
          <w:szCs w:val="19"/>
        </w:rPr>
        <w:t>重要组成部分，为用户和服务人员提供联络手段的同时，使用专门的工具进行记</w:t>
      </w:r>
      <w:r>
        <w:rPr>
          <w:spacing w:val="12"/>
          <w:sz w:val="19"/>
          <w:szCs w:val="19"/>
        </w:rPr>
        <w:t>录并管理相关</w:t>
      </w:r>
      <w:r>
        <w:rPr>
          <w:sz w:val="19"/>
          <w:szCs w:val="19"/>
        </w:rPr>
        <w:t xml:space="preserve"> </w:t>
      </w:r>
      <w:r>
        <w:rPr>
          <w:spacing w:val="-1"/>
          <w:sz w:val="19"/>
          <w:szCs w:val="19"/>
        </w:rPr>
        <w:t>内容。具体包括：</w:t>
      </w:r>
    </w:p>
    <w:p w14:paraId="6C49D039">
      <w:pPr>
        <w:pStyle w:val="2"/>
        <w:spacing w:before="18" w:line="219" w:lineRule="auto"/>
        <w:ind w:left="739"/>
        <w:rPr>
          <w:sz w:val="19"/>
          <w:szCs w:val="19"/>
        </w:rPr>
      </w:pPr>
      <w:r>
        <w:rPr>
          <w:spacing w:val="10"/>
          <w:sz w:val="19"/>
          <w:szCs w:val="19"/>
        </w:rPr>
        <w:t>●制定服务台的职能说明、服务台管理制度、培训体系、操作手册等。</w:t>
      </w:r>
    </w:p>
    <w:p w14:paraId="440FBDF1">
      <w:pPr>
        <w:pStyle w:val="2"/>
        <w:spacing w:before="94" w:line="219" w:lineRule="auto"/>
        <w:ind w:left="739"/>
        <w:rPr>
          <w:sz w:val="19"/>
          <w:szCs w:val="19"/>
        </w:rPr>
      </w:pPr>
      <w:r>
        <w:rPr>
          <w:spacing w:val="10"/>
          <w:sz w:val="19"/>
          <w:szCs w:val="19"/>
        </w:rPr>
        <w:t>●根据服务台的知识、技能和经验要求，设立服务台培训课程。</w:t>
      </w:r>
    </w:p>
    <w:p w14:paraId="4A5DA467">
      <w:pPr>
        <w:pStyle w:val="2"/>
        <w:spacing w:before="103" w:line="218" w:lineRule="auto"/>
        <w:ind w:left="739"/>
        <w:rPr>
          <w:sz w:val="19"/>
          <w:szCs w:val="19"/>
        </w:rPr>
      </w:pPr>
      <w:r>
        <w:rPr>
          <w:spacing w:val="11"/>
          <w:sz w:val="19"/>
          <w:szCs w:val="19"/>
        </w:rPr>
        <w:t>●根据绩效考核办法，定期对服务台进行绩效考核，分析考核的评价结果。</w:t>
      </w:r>
    </w:p>
    <w:p w14:paraId="14B12FB2">
      <w:pPr>
        <w:pStyle w:val="2"/>
        <w:spacing w:before="97" w:line="219" w:lineRule="auto"/>
        <w:ind w:left="739"/>
        <w:rPr>
          <w:sz w:val="19"/>
          <w:szCs w:val="19"/>
        </w:rPr>
      </w:pPr>
      <w:r>
        <w:rPr>
          <w:spacing w:val="10"/>
          <w:sz w:val="19"/>
          <w:szCs w:val="19"/>
        </w:rPr>
        <w:t>●根据服务请求的需要，规范服务请求的操作规程、跟踪和反馈方法。</w:t>
      </w:r>
    </w:p>
    <w:p w14:paraId="452E5260">
      <w:pPr>
        <w:pStyle w:val="2"/>
        <w:spacing w:before="95" w:line="270" w:lineRule="auto"/>
        <w:ind w:left="1039" w:right="7" w:hanging="300"/>
        <w:rPr>
          <w:sz w:val="19"/>
          <w:szCs w:val="19"/>
        </w:rPr>
      </w:pPr>
      <w:r>
        <w:rPr>
          <w:spacing w:val="13"/>
          <w:sz w:val="19"/>
          <w:szCs w:val="19"/>
        </w:rPr>
        <w:t>●服务台的日常工作纳入过程管理工具支撑范围，集成服务台管理与服务交付流程、事件</w:t>
      </w:r>
      <w:r>
        <w:rPr>
          <w:spacing w:val="10"/>
          <w:sz w:val="19"/>
          <w:szCs w:val="19"/>
        </w:rPr>
        <w:t xml:space="preserve"> </w:t>
      </w:r>
      <w:r>
        <w:rPr>
          <w:spacing w:val="6"/>
          <w:sz w:val="19"/>
          <w:szCs w:val="19"/>
        </w:rPr>
        <w:t>管理流程、服务级别管理流程等。</w:t>
      </w:r>
    </w:p>
    <w:p w14:paraId="56E58919">
      <w:pPr>
        <w:pStyle w:val="2"/>
        <w:spacing w:before="94" w:line="275" w:lineRule="auto"/>
        <w:ind w:left="1039" w:right="5" w:hanging="300"/>
        <w:rPr>
          <w:sz w:val="19"/>
          <w:szCs w:val="19"/>
        </w:rPr>
      </w:pPr>
      <w:r>
        <w:rPr>
          <w:spacing w:val="10"/>
          <w:sz w:val="19"/>
          <w:szCs w:val="19"/>
        </w:rPr>
        <w:t>●服务台对服务交付发挥支撑作用，如事件的接</w:t>
      </w:r>
      <w:r>
        <w:rPr>
          <w:spacing w:val="9"/>
          <w:sz w:val="19"/>
          <w:szCs w:val="19"/>
        </w:rPr>
        <w:t>受和处理、</w:t>
      </w:r>
      <w:r>
        <w:rPr>
          <w:spacing w:val="52"/>
          <w:sz w:val="19"/>
          <w:szCs w:val="19"/>
        </w:rPr>
        <w:t xml:space="preserve"> </w:t>
      </w:r>
      <w:r>
        <w:rPr>
          <w:spacing w:val="9"/>
          <w:sz w:val="19"/>
          <w:szCs w:val="19"/>
        </w:rPr>
        <w:t>一线支持、服务交付的调度管</w:t>
      </w:r>
      <w:r>
        <w:rPr>
          <w:sz w:val="19"/>
          <w:szCs w:val="19"/>
        </w:rPr>
        <w:t xml:space="preserve"> </w:t>
      </w:r>
      <w:r>
        <w:rPr>
          <w:spacing w:val="5"/>
          <w:sz w:val="19"/>
          <w:szCs w:val="19"/>
        </w:rPr>
        <w:t>理等。</w:t>
      </w:r>
    </w:p>
    <w:p w14:paraId="2B870485">
      <w:pPr>
        <w:pStyle w:val="2"/>
        <w:spacing w:before="84" w:line="270" w:lineRule="auto"/>
        <w:ind w:left="1039" w:right="8" w:hanging="300"/>
        <w:rPr>
          <w:sz w:val="19"/>
          <w:szCs w:val="19"/>
        </w:rPr>
      </w:pPr>
      <w:r>
        <w:rPr>
          <w:spacing w:val="23"/>
          <w:sz w:val="19"/>
          <w:szCs w:val="19"/>
        </w:rPr>
        <w:t>●</w:t>
      </w:r>
      <w:r>
        <w:rPr>
          <w:spacing w:val="-50"/>
          <w:sz w:val="19"/>
          <w:szCs w:val="19"/>
        </w:rPr>
        <w:t xml:space="preserve"> </w:t>
      </w:r>
      <w:r>
        <w:rPr>
          <w:spacing w:val="23"/>
          <w:sz w:val="19"/>
          <w:szCs w:val="19"/>
        </w:rPr>
        <w:t>服务台能够从知识库中获得必要的技术支持，如发现问题的手段、常见问题处理方</w:t>
      </w:r>
      <w:r>
        <w:rPr>
          <w:sz w:val="19"/>
          <w:szCs w:val="19"/>
        </w:rPr>
        <w:t xml:space="preserve"> </w:t>
      </w:r>
      <w:r>
        <w:rPr>
          <w:spacing w:val="5"/>
          <w:sz w:val="19"/>
          <w:szCs w:val="19"/>
        </w:rPr>
        <w:t>法等。</w:t>
      </w:r>
    </w:p>
    <w:p w14:paraId="568B39FB">
      <w:pPr>
        <w:pStyle w:val="2"/>
        <w:spacing w:before="94" w:line="264" w:lineRule="auto"/>
        <w:ind w:left="1039" w:right="6" w:hanging="300"/>
        <w:rPr>
          <w:sz w:val="19"/>
          <w:szCs w:val="19"/>
        </w:rPr>
      </w:pPr>
      <w:r>
        <w:rPr>
          <w:spacing w:val="13"/>
          <w:sz w:val="19"/>
          <w:szCs w:val="19"/>
        </w:rPr>
        <w:t>●定期评估服务台的设立和运行情况并持续改进，并可根据运维工作需要，量化衡量服务</w:t>
      </w:r>
      <w:r>
        <w:rPr>
          <w:spacing w:val="10"/>
          <w:sz w:val="19"/>
          <w:szCs w:val="19"/>
        </w:rPr>
        <w:t xml:space="preserve"> </w:t>
      </w:r>
      <w:r>
        <w:rPr>
          <w:spacing w:val="6"/>
          <w:sz w:val="19"/>
          <w:szCs w:val="19"/>
        </w:rPr>
        <w:t>台的资源整合和过程促进的价值。</w:t>
      </w:r>
    </w:p>
    <w:p w14:paraId="6CA2E66F">
      <w:pPr>
        <w:pStyle w:val="2"/>
        <w:spacing w:before="105" w:line="261" w:lineRule="auto"/>
        <w:ind w:left="1039" w:right="3" w:hanging="300"/>
        <w:rPr>
          <w:sz w:val="19"/>
          <w:szCs w:val="19"/>
        </w:rPr>
      </w:pPr>
      <w:r>
        <w:rPr>
          <w:spacing w:val="19"/>
          <w:sz w:val="19"/>
          <w:szCs w:val="19"/>
        </w:rPr>
        <w:t>●对运维服务需方的行为进行分析，分析内容至少包括行为</w:t>
      </w:r>
      <w:r>
        <w:rPr>
          <w:spacing w:val="18"/>
          <w:sz w:val="19"/>
          <w:szCs w:val="19"/>
        </w:rPr>
        <w:t>习惯、知识技能域和潜在需</w:t>
      </w:r>
      <w:r>
        <w:rPr>
          <w:sz w:val="19"/>
          <w:szCs w:val="19"/>
        </w:rPr>
        <w:t xml:space="preserve"> </w:t>
      </w:r>
      <w:r>
        <w:rPr>
          <w:spacing w:val="5"/>
          <w:sz w:val="19"/>
          <w:szCs w:val="19"/>
        </w:rPr>
        <w:t>求等。</w:t>
      </w:r>
    </w:p>
    <w:p w14:paraId="607F6899">
      <w:pPr>
        <w:pStyle w:val="2"/>
        <w:spacing w:before="85" w:line="265" w:lineRule="auto"/>
        <w:ind w:left="1039" w:right="7" w:hanging="300"/>
        <w:rPr>
          <w:sz w:val="19"/>
          <w:szCs w:val="19"/>
        </w:rPr>
      </w:pPr>
      <w:r>
        <w:rPr>
          <w:spacing w:val="13"/>
          <w:sz w:val="19"/>
          <w:szCs w:val="19"/>
        </w:rPr>
        <w:t>●及时有效跟踪运维服务交付的状态信息，实现对运维服务的高效管理及运维活动关联分</w:t>
      </w:r>
      <w:r>
        <w:rPr>
          <w:spacing w:val="10"/>
          <w:sz w:val="19"/>
          <w:szCs w:val="19"/>
        </w:rPr>
        <w:t xml:space="preserve"> </w:t>
      </w:r>
      <w:r>
        <w:rPr>
          <w:spacing w:val="5"/>
          <w:sz w:val="19"/>
          <w:szCs w:val="19"/>
        </w:rPr>
        <w:t>析、决策支持和优化。</w:t>
      </w:r>
    </w:p>
    <w:p w14:paraId="7CB188BF">
      <w:pPr>
        <w:pStyle w:val="2"/>
        <w:spacing w:before="192" w:line="222" w:lineRule="auto"/>
        <w:ind w:left="722"/>
        <w:rPr>
          <w:rFonts w:ascii="黑体" w:hAnsi="黑体" w:eastAsia="黑体" w:cs="黑体"/>
          <w:sz w:val="19"/>
          <w:szCs w:val="19"/>
        </w:rPr>
      </w:pPr>
      <w:r>
        <w:rPr>
          <w:b/>
          <w:bCs/>
          <w:color w:val="0072D6"/>
          <w:spacing w:val="9"/>
          <w:sz w:val="19"/>
          <w:szCs w:val="19"/>
        </w:rPr>
        <w:t>4.</w:t>
      </w:r>
      <w:r>
        <w:rPr>
          <w:rFonts w:ascii="黑体" w:hAnsi="黑体" w:eastAsia="黑体" w:cs="黑体"/>
          <w:b/>
          <w:bCs/>
          <w:color w:val="0072D6"/>
          <w:spacing w:val="9"/>
          <w:sz w:val="19"/>
          <w:szCs w:val="19"/>
        </w:rPr>
        <w:t>知识库</w:t>
      </w:r>
    </w:p>
    <w:p w14:paraId="2BE2AC0D">
      <w:pPr>
        <w:pStyle w:val="2"/>
        <w:spacing w:before="134" w:line="278" w:lineRule="auto"/>
        <w:ind w:left="349" w:right="6" w:firstLine="390"/>
        <w:rPr>
          <w:sz w:val="19"/>
          <w:szCs w:val="19"/>
        </w:rPr>
      </w:pPr>
      <w:r>
        <w:rPr>
          <w:spacing w:val="13"/>
          <w:sz w:val="19"/>
          <w:szCs w:val="19"/>
        </w:rPr>
        <w:t>运维服务团队应对运行维护工作相关的经验进行积累，形成可在运维团队内共享、可重复</w:t>
      </w:r>
      <w:r>
        <w:rPr>
          <w:spacing w:val="11"/>
          <w:sz w:val="19"/>
          <w:szCs w:val="19"/>
        </w:rPr>
        <w:t xml:space="preserve"> </w:t>
      </w:r>
      <w:r>
        <w:rPr>
          <w:spacing w:val="5"/>
          <w:sz w:val="19"/>
          <w:szCs w:val="19"/>
        </w:rPr>
        <w:t>使用的知识和信息，具体内容包括：</w:t>
      </w:r>
    </w:p>
    <w:p w14:paraId="23DC8E90">
      <w:pPr>
        <w:spacing w:line="278" w:lineRule="auto"/>
        <w:rPr>
          <w:sz w:val="19"/>
          <w:szCs w:val="19"/>
        </w:rPr>
        <w:sectPr>
          <w:pgSz w:w="10310" w:h="13390"/>
          <w:pgMar w:top="400" w:right="1114" w:bottom="400" w:left="520" w:header="0" w:footer="0" w:gutter="0"/>
          <w:cols w:space="720" w:num="1"/>
        </w:sectPr>
      </w:pPr>
    </w:p>
    <w:p w14:paraId="7F5F82DE">
      <w:pPr>
        <w:pStyle w:val="2"/>
        <w:spacing w:before="20"/>
        <w:jc w:val="right"/>
        <w:rPr>
          <w:rFonts w:ascii="Times New Roman" w:hAnsi="Times New Roman" w:eastAsia="Times New Roman" w:cs="Times New Roman"/>
          <w:sz w:val="25"/>
          <w:szCs w:val="25"/>
        </w:rPr>
      </w:pPr>
      <w:r>
        <w:rPr>
          <w:spacing w:val="4"/>
          <w:position w:val="1"/>
          <w:sz w:val="19"/>
          <w:szCs w:val="19"/>
        </w:rPr>
        <w:t>第7章</w:t>
      </w:r>
      <w:r>
        <w:rPr>
          <w:spacing w:val="44"/>
          <w:w w:val="101"/>
          <w:position w:val="1"/>
          <w:sz w:val="19"/>
          <w:szCs w:val="19"/>
        </w:rPr>
        <w:t xml:space="preserve"> </w:t>
      </w:r>
      <w:r>
        <w:rPr>
          <w:spacing w:val="4"/>
          <w:position w:val="1"/>
          <w:sz w:val="19"/>
          <w:szCs w:val="19"/>
        </w:rPr>
        <w:t xml:space="preserve">运行维护 </w:t>
      </w:r>
      <w:r>
        <w:rPr>
          <w:position w:val="-9"/>
          <w:sz w:val="19"/>
          <w:szCs w:val="19"/>
        </w:rPr>
        <w:drawing>
          <wp:inline distT="0" distB="0" distL="0" distR="0">
            <wp:extent cx="336550" cy="24701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44"/>
                    <a:stretch>
                      <a:fillRect/>
                    </a:stretch>
                  </pic:blipFill>
                  <pic:spPr>
                    <a:xfrm>
                      <a:off x="0" y="0"/>
                      <a:ext cx="336574" cy="247622"/>
                    </a:xfrm>
                    <a:prstGeom prst="rect">
                      <a:avLst/>
                    </a:prstGeom>
                  </pic:spPr>
                </pic:pic>
              </a:graphicData>
            </a:graphic>
          </wp:inline>
        </w:drawing>
      </w:r>
      <w:r>
        <w:rPr>
          <w:rFonts w:ascii="Times New Roman" w:hAnsi="Times New Roman" w:eastAsia="Times New Roman" w:cs="Times New Roman"/>
          <w:spacing w:val="4"/>
          <w:position w:val="-4"/>
          <w:sz w:val="25"/>
          <w:szCs w:val="25"/>
        </w:rPr>
        <w:t>203</w:t>
      </w:r>
    </w:p>
    <w:p w14:paraId="5A4C352E">
      <w:pPr>
        <w:spacing w:line="249" w:lineRule="auto"/>
        <w:rPr>
          <w:rFonts w:ascii="Arial"/>
          <w:sz w:val="21"/>
        </w:rPr>
      </w:pPr>
    </w:p>
    <w:p w14:paraId="48FA3A14">
      <w:pPr>
        <w:pStyle w:val="2"/>
        <w:spacing w:before="62" w:line="275" w:lineRule="auto"/>
        <w:ind w:left="669" w:right="394" w:hanging="270"/>
        <w:rPr>
          <w:sz w:val="19"/>
          <w:szCs w:val="19"/>
        </w:rPr>
      </w:pPr>
      <w:r>
        <w:rPr>
          <w:spacing w:val="13"/>
          <w:sz w:val="19"/>
          <w:szCs w:val="19"/>
        </w:rPr>
        <w:t>●识别主要岗位和主要业务流程的知识技能需求，知识库内容包括针对已知错误和</w:t>
      </w:r>
      <w:r>
        <w:rPr>
          <w:spacing w:val="12"/>
          <w:sz w:val="19"/>
          <w:szCs w:val="19"/>
        </w:rPr>
        <w:t>问题的</w:t>
      </w:r>
      <w:r>
        <w:rPr>
          <w:sz w:val="19"/>
          <w:szCs w:val="19"/>
        </w:rPr>
        <w:t xml:space="preserve"> </w:t>
      </w:r>
      <w:r>
        <w:rPr>
          <w:spacing w:val="7"/>
          <w:sz w:val="19"/>
          <w:szCs w:val="19"/>
        </w:rPr>
        <w:t>描述、分析和解决方法等。</w:t>
      </w:r>
    </w:p>
    <w:p w14:paraId="543D74AE">
      <w:pPr>
        <w:pStyle w:val="2"/>
        <w:spacing w:before="93" w:line="219" w:lineRule="auto"/>
        <w:ind w:left="399"/>
        <w:rPr>
          <w:sz w:val="19"/>
          <w:szCs w:val="19"/>
        </w:rPr>
      </w:pPr>
      <w:r>
        <w:rPr>
          <w:spacing w:val="11"/>
          <w:sz w:val="19"/>
          <w:szCs w:val="19"/>
        </w:rPr>
        <w:t>●制定知识管理策略，包括知识来源、类别、共享范</w:t>
      </w:r>
      <w:r>
        <w:rPr>
          <w:spacing w:val="10"/>
          <w:sz w:val="19"/>
          <w:szCs w:val="19"/>
        </w:rPr>
        <w:t>围、更新升级、传播方式等。</w:t>
      </w:r>
    </w:p>
    <w:p w14:paraId="312F3F29">
      <w:pPr>
        <w:pStyle w:val="2"/>
        <w:spacing w:before="94" w:line="272" w:lineRule="auto"/>
        <w:ind w:left="669" w:right="401" w:hanging="270"/>
        <w:rPr>
          <w:sz w:val="19"/>
          <w:szCs w:val="19"/>
        </w:rPr>
      </w:pPr>
      <w:r>
        <w:rPr>
          <w:spacing w:val="13"/>
          <w:sz w:val="19"/>
          <w:szCs w:val="19"/>
        </w:rPr>
        <w:t>●制定知识管理和使用制度，对知识库进行生命周期管理，知识管</w:t>
      </w:r>
      <w:r>
        <w:rPr>
          <w:spacing w:val="12"/>
          <w:sz w:val="19"/>
          <w:szCs w:val="19"/>
        </w:rPr>
        <w:t>理的角色应落实到具体</w:t>
      </w:r>
      <w:r>
        <w:rPr>
          <w:sz w:val="19"/>
          <w:szCs w:val="19"/>
        </w:rPr>
        <w:t xml:space="preserve"> </w:t>
      </w:r>
      <w:r>
        <w:rPr>
          <w:spacing w:val="1"/>
          <w:sz w:val="19"/>
          <w:szCs w:val="19"/>
        </w:rPr>
        <w:t>人员。</w:t>
      </w:r>
    </w:p>
    <w:p w14:paraId="3CDDE0E4">
      <w:pPr>
        <w:pStyle w:val="2"/>
        <w:spacing w:before="90" w:line="276" w:lineRule="auto"/>
        <w:ind w:left="669" w:right="399" w:hanging="270"/>
        <w:rPr>
          <w:sz w:val="19"/>
          <w:szCs w:val="19"/>
        </w:rPr>
      </w:pPr>
      <w:r>
        <w:rPr>
          <w:spacing w:val="18"/>
          <w:sz w:val="19"/>
          <w:szCs w:val="19"/>
        </w:rPr>
        <w:t>●根据项目的具体情况，选择适宜的工具对知识库进行管理，支撑运维服务团队的日常</w:t>
      </w:r>
      <w:r>
        <w:rPr>
          <w:spacing w:val="5"/>
          <w:sz w:val="19"/>
          <w:szCs w:val="19"/>
        </w:rPr>
        <w:t xml:space="preserve"> </w:t>
      </w:r>
      <w:r>
        <w:rPr>
          <w:spacing w:val="1"/>
          <w:sz w:val="19"/>
          <w:szCs w:val="19"/>
        </w:rPr>
        <w:t>工作。</w:t>
      </w:r>
    </w:p>
    <w:p w14:paraId="6FA0A0EE">
      <w:pPr>
        <w:pStyle w:val="2"/>
        <w:spacing w:before="82" w:line="270" w:lineRule="auto"/>
        <w:ind w:left="669" w:right="381" w:hanging="270"/>
        <w:rPr>
          <w:sz w:val="19"/>
          <w:szCs w:val="19"/>
        </w:rPr>
      </w:pPr>
      <w:r>
        <w:rPr>
          <w:spacing w:val="13"/>
          <w:sz w:val="19"/>
          <w:szCs w:val="19"/>
        </w:rPr>
        <w:t>●对知识库的使用情况和知识库内容的适宜性、有效性等进行分析，并保留相关统计分析</w:t>
      </w:r>
      <w:r>
        <w:rPr>
          <w:spacing w:val="10"/>
          <w:sz w:val="19"/>
          <w:szCs w:val="19"/>
        </w:rPr>
        <w:t xml:space="preserve"> </w:t>
      </w:r>
      <w:r>
        <w:rPr>
          <w:spacing w:val="4"/>
          <w:sz w:val="19"/>
          <w:szCs w:val="19"/>
        </w:rPr>
        <w:t>等管理记录。</w:t>
      </w:r>
    </w:p>
    <w:p w14:paraId="34B9D778">
      <w:pPr>
        <w:spacing w:line="465" w:lineRule="auto"/>
        <w:rPr>
          <w:rFonts w:ascii="Arial"/>
          <w:sz w:val="21"/>
        </w:rPr>
      </w:pPr>
    </w:p>
    <w:p w14:paraId="7C316CE0">
      <w:pPr>
        <w:pStyle w:val="2"/>
        <w:spacing w:before="62" w:line="221" w:lineRule="auto"/>
        <w:ind w:left="2"/>
        <w:rPr>
          <w:rFonts w:ascii="黑体" w:hAnsi="黑体" w:eastAsia="黑体" w:cs="黑体"/>
          <w:sz w:val="19"/>
          <w:szCs w:val="19"/>
        </w:rPr>
      </w:pPr>
      <w:r>
        <w:rPr>
          <w:b/>
          <w:bCs/>
          <w:color w:val="0055D5"/>
          <w:spacing w:val="-8"/>
          <w:sz w:val="19"/>
          <w:szCs w:val="19"/>
        </w:rPr>
        <w:t>7.3</w:t>
      </w:r>
      <w:r>
        <w:rPr>
          <w:color w:val="0055D5"/>
          <w:spacing w:val="6"/>
          <w:sz w:val="19"/>
          <w:szCs w:val="19"/>
        </w:rPr>
        <w:t xml:space="preserve">    </w:t>
      </w:r>
      <w:r>
        <w:rPr>
          <w:rFonts w:ascii="黑体" w:hAnsi="黑体" w:eastAsia="黑体" w:cs="黑体"/>
          <w:b/>
          <w:bCs/>
          <w:color w:val="0055D5"/>
          <w:spacing w:val="-8"/>
          <w:sz w:val="19"/>
          <w:szCs w:val="19"/>
        </w:rPr>
        <w:t>运</w:t>
      </w:r>
      <w:r>
        <w:rPr>
          <w:rFonts w:ascii="黑体" w:hAnsi="黑体" w:eastAsia="黑体" w:cs="黑体"/>
          <w:color w:val="0055D5"/>
          <w:spacing w:val="-8"/>
          <w:sz w:val="19"/>
          <w:szCs w:val="19"/>
        </w:rPr>
        <w:t xml:space="preserve"> </w:t>
      </w:r>
      <w:r>
        <w:rPr>
          <w:rFonts w:ascii="黑体" w:hAnsi="黑体" w:eastAsia="黑体" w:cs="黑体"/>
          <w:b/>
          <w:bCs/>
          <w:color w:val="0055D5"/>
          <w:spacing w:val="-8"/>
          <w:sz w:val="19"/>
          <w:szCs w:val="19"/>
        </w:rPr>
        <w:t>行</w:t>
      </w:r>
      <w:r>
        <w:rPr>
          <w:rFonts w:ascii="黑体" w:hAnsi="黑体" w:eastAsia="黑体" w:cs="黑体"/>
          <w:color w:val="0055D5"/>
          <w:spacing w:val="13"/>
          <w:sz w:val="19"/>
          <w:szCs w:val="19"/>
        </w:rPr>
        <w:t xml:space="preserve"> </w:t>
      </w:r>
      <w:r>
        <w:rPr>
          <w:rFonts w:ascii="黑体" w:hAnsi="黑体" w:eastAsia="黑体" w:cs="黑体"/>
          <w:b/>
          <w:bCs/>
          <w:color w:val="0055D5"/>
          <w:spacing w:val="-8"/>
          <w:sz w:val="19"/>
          <w:szCs w:val="19"/>
        </w:rPr>
        <w:t>维</w:t>
      </w:r>
      <w:r>
        <w:rPr>
          <w:rFonts w:ascii="黑体" w:hAnsi="黑体" w:eastAsia="黑体" w:cs="黑体"/>
          <w:color w:val="0055D5"/>
          <w:spacing w:val="14"/>
          <w:sz w:val="19"/>
          <w:szCs w:val="19"/>
        </w:rPr>
        <w:t xml:space="preserve"> </w:t>
      </w:r>
      <w:r>
        <w:rPr>
          <w:rFonts w:ascii="黑体" w:hAnsi="黑体" w:eastAsia="黑体" w:cs="黑体"/>
          <w:b/>
          <w:bCs/>
          <w:color w:val="0055D5"/>
          <w:spacing w:val="-8"/>
          <w:sz w:val="19"/>
          <w:szCs w:val="19"/>
        </w:rPr>
        <w:t>护</w:t>
      </w:r>
      <w:r>
        <w:rPr>
          <w:rFonts w:ascii="黑体" w:hAnsi="黑体" w:eastAsia="黑体" w:cs="黑体"/>
          <w:color w:val="0055D5"/>
          <w:spacing w:val="11"/>
          <w:sz w:val="19"/>
          <w:szCs w:val="19"/>
        </w:rPr>
        <w:t xml:space="preserve"> </w:t>
      </w:r>
      <w:r>
        <w:rPr>
          <w:rFonts w:ascii="黑体" w:hAnsi="黑体" w:eastAsia="黑体" w:cs="黑体"/>
          <w:b/>
          <w:bCs/>
          <w:color w:val="0055D5"/>
          <w:spacing w:val="-8"/>
          <w:sz w:val="19"/>
          <w:szCs w:val="19"/>
        </w:rPr>
        <w:t>服</w:t>
      </w:r>
      <w:r>
        <w:rPr>
          <w:rFonts w:ascii="黑体" w:hAnsi="黑体" w:eastAsia="黑体" w:cs="黑体"/>
          <w:color w:val="0055D5"/>
          <w:spacing w:val="16"/>
          <w:sz w:val="19"/>
          <w:szCs w:val="19"/>
        </w:rPr>
        <w:t xml:space="preserve"> </w:t>
      </w:r>
      <w:r>
        <w:rPr>
          <w:rFonts w:ascii="黑体" w:hAnsi="黑体" w:eastAsia="黑体" w:cs="黑体"/>
          <w:b/>
          <w:bCs/>
          <w:color w:val="0055D5"/>
          <w:spacing w:val="-8"/>
          <w:sz w:val="19"/>
          <w:szCs w:val="19"/>
        </w:rPr>
        <w:t>务</w:t>
      </w:r>
      <w:r>
        <w:rPr>
          <w:rFonts w:ascii="黑体" w:hAnsi="黑体" w:eastAsia="黑体" w:cs="黑体"/>
          <w:color w:val="0055D5"/>
          <w:spacing w:val="16"/>
          <w:sz w:val="19"/>
          <w:szCs w:val="19"/>
        </w:rPr>
        <w:t xml:space="preserve"> </w:t>
      </w:r>
      <w:r>
        <w:rPr>
          <w:rFonts w:ascii="黑体" w:hAnsi="黑体" w:eastAsia="黑体" w:cs="黑体"/>
          <w:b/>
          <w:bCs/>
          <w:color w:val="0055D5"/>
          <w:spacing w:val="-8"/>
          <w:sz w:val="19"/>
          <w:szCs w:val="19"/>
        </w:rPr>
        <w:t>交</w:t>
      </w:r>
      <w:r>
        <w:rPr>
          <w:rFonts w:ascii="黑体" w:hAnsi="黑体" w:eastAsia="黑体" w:cs="黑体"/>
          <w:color w:val="0055D5"/>
          <w:spacing w:val="14"/>
          <w:sz w:val="19"/>
          <w:szCs w:val="19"/>
        </w:rPr>
        <w:t xml:space="preserve"> </w:t>
      </w:r>
      <w:r>
        <w:rPr>
          <w:rFonts w:ascii="黑体" w:hAnsi="黑体" w:eastAsia="黑体" w:cs="黑体"/>
          <w:b/>
          <w:bCs/>
          <w:color w:val="0055D5"/>
          <w:spacing w:val="-8"/>
          <w:sz w:val="19"/>
          <w:szCs w:val="19"/>
        </w:rPr>
        <w:t>付</w:t>
      </w:r>
      <w:r>
        <w:rPr>
          <w:rFonts w:ascii="黑体" w:hAnsi="黑体" w:eastAsia="黑体" w:cs="黑体"/>
          <w:color w:val="0055D5"/>
          <w:spacing w:val="13"/>
          <w:sz w:val="19"/>
          <w:szCs w:val="19"/>
        </w:rPr>
        <w:t xml:space="preserve"> </w:t>
      </w:r>
      <w:r>
        <w:rPr>
          <w:rFonts w:ascii="黑体" w:hAnsi="黑体" w:eastAsia="黑体" w:cs="黑体"/>
          <w:b/>
          <w:bCs/>
          <w:color w:val="0055D5"/>
          <w:spacing w:val="-8"/>
          <w:sz w:val="19"/>
          <w:szCs w:val="19"/>
        </w:rPr>
        <w:t>过</w:t>
      </w:r>
      <w:r>
        <w:rPr>
          <w:rFonts w:ascii="黑体" w:hAnsi="黑体" w:eastAsia="黑体" w:cs="黑体"/>
          <w:color w:val="0055D5"/>
          <w:spacing w:val="11"/>
          <w:sz w:val="19"/>
          <w:szCs w:val="19"/>
        </w:rPr>
        <w:t xml:space="preserve"> </w:t>
      </w:r>
      <w:r>
        <w:rPr>
          <w:rFonts w:ascii="黑体" w:hAnsi="黑体" w:eastAsia="黑体" w:cs="黑体"/>
          <w:b/>
          <w:bCs/>
          <w:color w:val="0055D5"/>
          <w:spacing w:val="-8"/>
          <w:sz w:val="19"/>
          <w:szCs w:val="19"/>
        </w:rPr>
        <w:t>程</w:t>
      </w:r>
    </w:p>
    <w:p w14:paraId="2D642A40">
      <w:pPr>
        <w:pStyle w:val="2"/>
        <w:spacing w:before="296" w:line="298" w:lineRule="auto"/>
        <w:ind w:right="400" w:firstLine="399"/>
        <w:rPr>
          <w:sz w:val="19"/>
          <w:szCs w:val="19"/>
        </w:rPr>
      </w:pPr>
      <w:r>
        <w:rPr>
          <w:spacing w:val="13"/>
          <w:sz w:val="19"/>
          <w:szCs w:val="19"/>
        </w:rPr>
        <w:t>运行维护服务交付过程包括运维服务需求识别、运维服务交付内容</w:t>
      </w:r>
      <w:r>
        <w:rPr>
          <w:spacing w:val="12"/>
          <w:sz w:val="19"/>
          <w:szCs w:val="19"/>
        </w:rPr>
        <w:t>、运维服务交付方式等</w:t>
      </w:r>
      <w:r>
        <w:rPr>
          <w:sz w:val="19"/>
          <w:szCs w:val="19"/>
        </w:rPr>
        <w:t xml:space="preserve"> </w:t>
      </w:r>
      <w:r>
        <w:rPr>
          <w:spacing w:val="1"/>
          <w:sz w:val="19"/>
          <w:szCs w:val="19"/>
        </w:rPr>
        <w:t>内容。</w:t>
      </w:r>
    </w:p>
    <w:p w14:paraId="4B053217">
      <w:pPr>
        <w:pStyle w:val="2"/>
        <w:spacing w:before="167" w:line="219" w:lineRule="auto"/>
        <w:ind w:left="2"/>
        <w:rPr>
          <w:sz w:val="25"/>
          <w:szCs w:val="25"/>
        </w:rPr>
      </w:pPr>
      <w:r>
        <w:rPr>
          <w:b/>
          <w:bCs/>
          <w:color w:val="0066EC"/>
          <w:spacing w:val="-16"/>
          <w:sz w:val="25"/>
          <w:szCs w:val="25"/>
        </w:rPr>
        <w:t>7.3.1</w:t>
      </w:r>
      <w:r>
        <w:rPr>
          <w:color w:val="0066EC"/>
          <w:spacing w:val="52"/>
          <w:sz w:val="25"/>
          <w:szCs w:val="25"/>
        </w:rPr>
        <w:t xml:space="preserve"> </w:t>
      </w:r>
      <w:r>
        <w:rPr>
          <w:b/>
          <w:bCs/>
          <w:color w:val="0066EC"/>
          <w:spacing w:val="-16"/>
          <w:sz w:val="25"/>
          <w:szCs w:val="25"/>
        </w:rPr>
        <w:t>运维服务需求识别</w:t>
      </w:r>
    </w:p>
    <w:p w14:paraId="2ADBE5B1">
      <w:pPr>
        <w:pStyle w:val="2"/>
        <w:spacing w:before="195" w:line="219" w:lineRule="auto"/>
        <w:ind w:left="399"/>
        <w:rPr>
          <w:sz w:val="19"/>
          <w:szCs w:val="19"/>
        </w:rPr>
      </w:pPr>
      <w:r>
        <w:rPr>
          <w:spacing w:val="8"/>
          <w:sz w:val="19"/>
          <w:szCs w:val="19"/>
        </w:rPr>
        <w:t>运行维护服务根据其工作目标、工作内容、交付结果</w:t>
      </w:r>
      <w:r>
        <w:rPr>
          <w:spacing w:val="7"/>
          <w:sz w:val="19"/>
          <w:szCs w:val="19"/>
        </w:rPr>
        <w:t>可分为四大类：</w:t>
      </w:r>
    </w:p>
    <w:p w14:paraId="0F720A2C">
      <w:pPr>
        <w:pStyle w:val="2"/>
        <w:spacing w:before="74" w:line="265" w:lineRule="auto"/>
        <w:ind w:right="395" w:firstLine="399"/>
        <w:rPr>
          <w:sz w:val="19"/>
          <w:szCs w:val="19"/>
        </w:rPr>
      </w:pPr>
      <w:r>
        <w:rPr>
          <w:spacing w:val="15"/>
          <w:sz w:val="19"/>
          <w:szCs w:val="19"/>
        </w:rPr>
        <w:t>(1)例行操作服务：是指运维服务提供方提供的预定的例行服务，为了及时获得运</w:t>
      </w:r>
      <w:r>
        <w:rPr>
          <w:spacing w:val="14"/>
          <w:sz w:val="19"/>
          <w:szCs w:val="19"/>
        </w:rPr>
        <w:t>行维护</w:t>
      </w:r>
      <w:r>
        <w:rPr>
          <w:sz w:val="19"/>
          <w:szCs w:val="19"/>
        </w:rPr>
        <w:t xml:space="preserve"> </w:t>
      </w:r>
      <w:r>
        <w:rPr>
          <w:spacing w:val="7"/>
          <w:sz w:val="19"/>
          <w:szCs w:val="19"/>
        </w:rPr>
        <w:t>服务对象状态，发现并处理潜在的故障隐患。</w:t>
      </w:r>
    </w:p>
    <w:p w14:paraId="177DBA0A">
      <w:pPr>
        <w:pStyle w:val="2"/>
        <w:spacing w:before="93" w:line="256" w:lineRule="auto"/>
        <w:ind w:right="432" w:firstLine="399"/>
        <w:rPr>
          <w:sz w:val="19"/>
          <w:szCs w:val="19"/>
        </w:rPr>
      </w:pPr>
      <w:r>
        <w:rPr>
          <w:spacing w:val="13"/>
          <w:sz w:val="19"/>
          <w:szCs w:val="19"/>
        </w:rPr>
        <w:t>(2)响应支持服务：是指运维服务提供方接到业主单位服务请求或故障</w:t>
      </w:r>
      <w:r>
        <w:rPr>
          <w:spacing w:val="12"/>
          <w:sz w:val="19"/>
          <w:szCs w:val="19"/>
        </w:rPr>
        <w:t>申告后，在</w:t>
      </w:r>
      <w:r>
        <w:rPr>
          <w:rFonts w:ascii="Times New Roman" w:hAnsi="Times New Roman" w:eastAsia="Times New Roman" w:cs="Times New Roman"/>
          <w:sz w:val="19"/>
          <w:szCs w:val="19"/>
        </w:rPr>
        <w:t>SLA</w:t>
      </w:r>
      <w:r>
        <w:rPr>
          <w:rFonts w:ascii="Times New Roman" w:hAnsi="Times New Roman" w:eastAsia="Times New Roman" w:cs="Times New Roman"/>
          <w:spacing w:val="46"/>
          <w:w w:val="101"/>
          <w:sz w:val="19"/>
          <w:szCs w:val="19"/>
        </w:rPr>
        <w:t xml:space="preserve"> </w:t>
      </w:r>
      <w:r>
        <w:rPr>
          <w:spacing w:val="12"/>
          <w:sz w:val="19"/>
          <w:szCs w:val="19"/>
        </w:rPr>
        <w:t>的</w:t>
      </w:r>
      <w:r>
        <w:rPr>
          <w:sz w:val="19"/>
          <w:szCs w:val="19"/>
        </w:rPr>
        <w:t xml:space="preserve"> </w:t>
      </w:r>
      <w:r>
        <w:rPr>
          <w:spacing w:val="8"/>
          <w:sz w:val="19"/>
          <w:szCs w:val="19"/>
        </w:rPr>
        <w:t>承诺内尽快降低和消除对业主单位业务的影响而执行的服务。</w:t>
      </w:r>
    </w:p>
    <w:p w14:paraId="7944D8CE">
      <w:pPr>
        <w:pStyle w:val="2"/>
        <w:spacing w:before="75" w:line="265" w:lineRule="auto"/>
        <w:ind w:right="402" w:firstLine="399"/>
        <w:rPr>
          <w:sz w:val="19"/>
          <w:szCs w:val="19"/>
        </w:rPr>
      </w:pPr>
      <w:r>
        <w:rPr>
          <w:spacing w:val="15"/>
          <w:sz w:val="19"/>
          <w:szCs w:val="19"/>
        </w:rPr>
        <w:t>(3)优化改善服务：是指运维服务提供方为适应业主单位业务要求，</w:t>
      </w:r>
      <w:r>
        <w:rPr>
          <w:spacing w:val="14"/>
          <w:sz w:val="19"/>
          <w:szCs w:val="19"/>
        </w:rPr>
        <w:t>通过提供调优改进服</w:t>
      </w:r>
      <w:r>
        <w:rPr>
          <w:sz w:val="19"/>
          <w:szCs w:val="19"/>
        </w:rPr>
        <w:t xml:space="preserve"> </w:t>
      </w:r>
      <w:r>
        <w:rPr>
          <w:spacing w:val="7"/>
          <w:sz w:val="19"/>
          <w:szCs w:val="19"/>
        </w:rPr>
        <w:t>务，达到提高运行维护服务对象性能或管理能力的目的。</w:t>
      </w:r>
    </w:p>
    <w:p w14:paraId="37DBF56A">
      <w:pPr>
        <w:pStyle w:val="2"/>
        <w:spacing w:before="73" w:line="264" w:lineRule="auto"/>
        <w:ind w:right="401" w:firstLine="399"/>
        <w:rPr>
          <w:sz w:val="19"/>
          <w:szCs w:val="19"/>
        </w:rPr>
      </w:pPr>
      <w:r>
        <w:rPr>
          <w:spacing w:val="15"/>
          <w:sz w:val="19"/>
          <w:szCs w:val="19"/>
        </w:rPr>
        <w:t>(4)调研评估服务：是指运维服务提供方结合业主单位业务需求，通过</w:t>
      </w:r>
      <w:r>
        <w:rPr>
          <w:spacing w:val="14"/>
          <w:sz w:val="19"/>
          <w:szCs w:val="19"/>
        </w:rPr>
        <w:t>对运行维护服务对</w:t>
      </w:r>
      <w:r>
        <w:rPr>
          <w:sz w:val="19"/>
          <w:szCs w:val="19"/>
        </w:rPr>
        <w:t xml:space="preserve"> </w:t>
      </w:r>
      <w:r>
        <w:rPr>
          <w:spacing w:val="7"/>
          <w:sz w:val="19"/>
          <w:szCs w:val="19"/>
        </w:rPr>
        <w:t>象的调研和分析，提出咨询建议或评估方案。</w:t>
      </w:r>
    </w:p>
    <w:p w14:paraId="3E5F8BD9">
      <w:pPr>
        <w:pStyle w:val="2"/>
        <w:spacing w:before="247" w:line="219" w:lineRule="auto"/>
        <w:ind w:left="2"/>
        <w:rPr>
          <w:sz w:val="25"/>
          <w:szCs w:val="25"/>
        </w:rPr>
      </w:pPr>
      <w:r>
        <w:rPr>
          <w:b/>
          <w:bCs/>
          <w:color w:val="0057DC"/>
          <w:spacing w:val="-17"/>
          <w:sz w:val="25"/>
          <w:szCs w:val="25"/>
        </w:rPr>
        <w:t>7.3.2</w:t>
      </w:r>
      <w:r>
        <w:rPr>
          <w:color w:val="0057DC"/>
          <w:spacing w:val="58"/>
          <w:sz w:val="25"/>
          <w:szCs w:val="25"/>
        </w:rPr>
        <w:t xml:space="preserve"> </w:t>
      </w:r>
      <w:r>
        <w:rPr>
          <w:b/>
          <w:bCs/>
          <w:color w:val="0057DC"/>
          <w:spacing w:val="-17"/>
          <w:sz w:val="25"/>
          <w:szCs w:val="25"/>
        </w:rPr>
        <w:t>运维服务交付内容</w:t>
      </w:r>
    </w:p>
    <w:p w14:paraId="3C829901">
      <w:pPr>
        <w:pStyle w:val="2"/>
        <w:spacing w:before="240" w:line="222" w:lineRule="auto"/>
        <w:ind w:left="402"/>
        <w:rPr>
          <w:rFonts w:ascii="黑体" w:hAnsi="黑体" w:eastAsia="黑体" w:cs="黑体"/>
          <w:sz w:val="19"/>
          <w:szCs w:val="19"/>
        </w:rPr>
      </w:pPr>
      <w:r>
        <w:rPr>
          <w:b/>
          <w:bCs/>
          <w:color w:val="006AC8"/>
          <w:spacing w:val="5"/>
          <w:sz w:val="19"/>
          <w:szCs w:val="19"/>
        </w:rPr>
        <w:t>1.</w:t>
      </w:r>
      <w:r>
        <w:rPr>
          <w:rFonts w:ascii="黑体" w:hAnsi="黑体" w:eastAsia="黑体" w:cs="黑体"/>
          <w:b/>
          <w:bCs/>
          <w:color w:val="006AC8"/>
          <w:spacing w:val="5"/>
          <w:sz w:val="19"/>
          <w:szCs w:val="19"/>
        </w:rPr>
        <w:t>调研评估</w:t>
      </w:r>
    </w:p>
    <w:p w14:paraId="35AE536F">
      <w:pPr>
        <w:pStyle w:val="2"/>
        <w:spacing w:before="135" w:line="298" w:lineRule="auto"/>
        <w:ind w:right="314" w:firstLine="399"/>
        <w:rPr>
          <w:sz w:val="19"/>
          <w:szCs w:val="19"/>
        </w:rPr>
      </w:pPr>
      <w:r>
        <w:rPr>
          <w:spacing w:val="15"/>
          <w:sz w:val="19"/>
          <w:szCs w:val="19"/>
        </w:rPr>
        <w:t>运维服务提供方通过对信息系统的运行现状和未来预期进行调研、分析，根据业务需</w:t>
      </w:r>
      <w:r>
        <w:rPr>
          <w:spacing w:val="14"/>
          <w:sz w:val="19"/>
          <w:szCs w:val="19"/>
        </w:rPr>
        <w:t>求，</w:t>
      </w:r>
      <w:r>
        <w:rPr>
          <w:sz w:val="19"/>
          <w:szCs w:val="19"/>
        </w:rPr>
        <w:t xml:space="preserve"> </w:t>
      </w:r>
      <w:r>
        <w:rPr>
          <w:spacing w:val="7"/>
          <w:sz w:val="19"/>
          <w:szCs w:val="19"/>
        </w:rPr>
        <w:t>提出运维服务方案。运维服务方案的主要内容如下：</w:t>
      </w:r>
    </w:p>
    <w:p w14:paraId="194B1102">
      <w:pPr>
        <w:pStyle w:val="2"/>
        <w:spacing w:before="16" w:line="218" w:lineRule="auto"/>
        <w:ind w:left="399"/>
        <w:rPr>
          <w:sz w:val="19"/>
          <w:szCs w:val="19"/>
        </w:rPr>
      </w:pPr>
      <w:r>
        <w:rPr>
          <w:spacing w:val="10"/>
          <w:sz w:val="19"/>
          <w:szCs w:val="19"/>
        </w:rPr>
        <w:t>(1)需求的调研、评估和服务方案的制定；</w:t>
      </w:r>
    </w:p>
    <w:p w14:paraId="1BFDEB2B">
      <w:pPr>
        <w:pStyle w:val="2"/>
        <w:spacing w:before="86" w:line="219" w:lineRule="auto"/>
        <w:ind w:left="399"/>
        <w:rPr>
          <w:sz w:val="19"/>
          <w:szCs w:val="19"/>
        </w:rPr>
      </w:pPr>
      <w:r>
        <w:rPr>
          <w:spacing w:val="11"/>
          <w:sz w:val="19"/>
          <w:szCs w:val="19"/>
        </w:rPr>
        <w:t>(2)系统版本管理方案的制定；</w:t>
      </w:r>
    </w:p>
    <w:p w14:paraId="5C5E2A74">
      <w:pPr>
        <w:pStyle w:val="2"/>
        <w:spacing w:before="74" w:line="218" w:lineRule="auto"/>
        <w:ind w:left="399"/>
        <w:rPr>
          <w:sz w:val="19"/>
          <w:szCs w:val="19"/>
        </w:rPr>
      </w:pPr>
      <w:r>
        <w:rPr>
          <w:spacing w:val="11"/>
          <w:sz w:val="19"/>
          <w:szCs w:val="19"/>
        </w:rPr>
        <w:t>(3)需求变更方案的制定与评估；</w:t>
      </w:r>
    </w:p>
    <w:p w14:paraId="0A6ED0DC">
      <w:pPr>
        <w:pStyle w:val="2"/>
        <w:spacing w:before="95" w:line="218" w:lineRule="auto"/>
        <w:ind w:left="399"/>
        <w:rPr>
          <w:sz w:val="19"/>
          <w:szCs w:val="19"/>
        </w:rPr>
      </w:pPr>
      <w:r>
        <w:rPr>
          <w:spacing w:val="11"/>
          <w:sz w:val="19"/>
          <w:szCs w:val="19"/>
        </w:rPr>
        <w:t>(4)软件升级方案的制定与评估；</w:t>
      </w:r>
    </w:p>
    <w:p w14:paraId="1C5F1288">
      <w:pPr>
        <w:pStyle w:val="2"/>
        <w:spacing w:before="76" w:line="218" w:lineRule="auto"/>
        <w:ind w:left="399"/>
        <w:rPr>
          <w:sz w:val="19"/>
          <w:szCs w:val="19"/>
        </w:rPr>
      </w:pPr>
      <w:r>
        <w:rPr>
          <w:spacing w:val="11"/>
          <w:sz w:val="19"/>
          <w:szCs w:val="19"/>
        </w:rPr>
        <w:t>(5)系统优化方案的制定与评估；</w:t>
      </w:r>
    </w:p>
    <w:p w14:paraId="590EAC9B">
      <w:pPr>
        <w:pStyle w:val="2"/>
        <w:spacing w:before="76" w:line="218" w:lineRule="auto"/>
        <w:ind w:left="399"/>
        <w:rPr>
          <w:sz w:val="19"/>
          <w:szCs w:val="19"/>
        </w:rPr>
      </w:pPr>
      <w:r>
        <w:rPr>
          <w:spacing w:val="12"/>
          <w:sz w:val="19"/>
          <w:szCs w:val="19"/>
        </w:rPr>
        <w:t>(6)重大配置变更评估和方案的制定；</w:t>
      </w:r>
    </w:p>
    <w:p w14:paraId="12DD79A4">
      <w:pPr>
        <w:spacing w:line="218" w:lineRule="auto"/>
        <w:rPr>
          <w:sz w:val="19"/>
          <w:szCs w:val="19"/>
        </w:rPr>
        <w:sectPr>
          <w:pgSz w:w="10290" w:h="13300"/>
          <w:pgMar w:top="400" w:right="490" w:bottom="400" w:left="1090" w:header="0" w:footer="0" w:gutter="0"/>
          <w:cols w:space="720" w:num="1"/>
        </w:sectPr>
      </w:pPr>
    </w:p>
    <w:p w14:paraId="56F34CCC">
      <w:pPr>
        <w:pStyle w:val="2"/>
        <w:spacing w:before="108" w:line="213" w:lineRule="auto"/>
        <w:rPr>
          <w:sz w:val="20"/>
          <w:szCs w:val="20"/>
        </w:rPr>
      </w:pPr>
      <w:r>
        <w:rPr>
          <w:rFonts w:ascii="Times New Roman" w:hAnsi="Times New Roman" w:eastAsia="Times New Roman" w:cs="Times New Roman"/>
          <w:b/>
          <w:bCs/>
          <w:spacing w:val="-8"/>
          <w:position w:val="-6"/>
          <w:sz w:val="32"/>
          <w:szCs w:val="32"/>
        </w:rPr>
        <w:t>204</w:t>
      </w:r>
      <w:r>
        <w:rPr>
          <w:rFonts w:ascii="Times New Roman" w:hAnsi="Times New Roman" w:eastAsia="Times New Roman" w:cs="Times New Roman"/>
          <w:b/>
          <w:bCs/>
          <w:spacing w:val="4"/>
          <w:position w:val="-6"/>
          <w:sz w:val="32"/>
          <w:szCs w:val="32"/>
        </w:rPr>
        <w:t xml:space="preserve">       </w:t>
      </w:r>
      <w:r>
        <w:rPr>
          <w:spacing w:val="-8"/>
          <w:position w:val="1"/>
          <w:sz w:val="20"/>
          <w:szCs w:val="20"/>
        </w:rPr>
        <w:t>信息系统监理师教程(第2版)</w:t>
      </w:r>
    </w:p>
    <w:p w14:paraId="3B8A6A81">
      <w:pPr>
        <w:pStyle w:val="2"/>
        <w:spacing w:before="281" w:line="218" w:lineRule="auto"/>
        <w:ind w:left="760"/>
        <w:rPr>
          <w:sz w:val="20"/>
          <w:szCs w:val="20"/>
        </w:rPr>
      </w:pPr>
      <w:r>
        <w:rPr>
          <w:spacing w:val="1"/>
          <w:sz w:val="20"/>
          <w:szCs w:val="20"/>
        </w:rPr>
        <w:t>(7)系统迁移需求的调研、评估和方案的制定。</w:t>
      </w:r>
    </w:p>
    <w:p w14:paraId="6B4A253A">
      <w:pPr>
        <w:pStyle w:val="2"/>
        <w:spacing w:before="181" w:line="222" w:lineRule="auto"/>
        <w:ind w:left="762"/>
        <w:rPr>
          <w:rFonts w:ascii="黑体" w:hAnsi="黑体" w:eastAsia="黑体" w:cs="黑体"/>
          <w:sz w:val="20"/>
          <w:szCs w:val="20"/>
        </w:rPr>
      </w:pPr>
      <w:bookmarkStart w:id="587" w:name="bookmark572"/>
      <w:bookmarkEnd w:id="587"/>
      <w:r>
        <w:rPr>
          <w:b/>
          <w:bCs/>
          <w:color w:val="0079C0"/>
          <w:spacing w:val="-2"/>
          <w:sz w:val="20"/>
          <w:szCs w:val="20"/>
        </w:rPr>
        <w:t>2.</w:t>
      </w:r>
      <w:r>
        <w:rPr>
          <w:rFonts w:ascii="黑体" w:hAnsi="黑体" w:eastAsia="黑体" w:cs="黑体"/>
          <w:b/>
          <w:bCs/>
          <w:color w:val="0079C0"/>
          <w:spacing w:val="-2"/>
          <w:sz w:val="20"/>
          <w:szCs w:val="20"/>
        </w:rPr>
        <w:t>例行操作</w:t>
      </w:r>
    </w:p>
    <w:p w14:paraId="44383B39">
      <w:pPr>
        <w:pStyle w:val="2"/>
        <w:spacing w:before="112" w:line="300" w:lineRule="auto"/>
        <w:ind w:left="350" w:right="91" w:firstLine="409"/>
        <w:rPr>
          <w:sz w:val="20"/>
          <w:szCs w:val="20"/>
        </w:rPr>
      </w:pPr>
      <w:r>
        <w:rPr>
          <w:spacing w:val="3"/>
          <w:sz w:val="20"/>
          <w:szCs w:val="20"/>
        </w:rPr>
        <w:t>按照约定的触发条件或预先规定的常态服务</w:t>
      </w:r>
      <w:r>
        <w:rPr>
          <w:spacing w:val="2"/>
          <w:sz w:val="20"/>
          <w:szCs w:val="20"/>
        </w:rPr>
        <w:t>，运维服务提供方对信息系统的例行操作一般</w:t>
      </w:r>
      <w:r>
        <w:rPr>
          <w:sz w:val="20"/>
          <w:szCs w:val="20"/>
        </w:rPr>
        <w:t xml:space="preserve"> </w:t>
      </w:r>
      <w:r>
        <w:rPr>
          <w:spacing w:val="-4"/>
          <w:sz w:val="20"/>
          <w:szCs w:val="20"/>
        </w:rPr>
        <w:t>分为监控、预防性检查和常规作业。</w:t>
      </w:r>
    </w:p>
    <w:p w14:paraId="65AA3952">
      <w:pPr>
        <w:pStyle w:val="2"/>
        <w:spacing w:before="2" w:line="260" w:lineRule="auto"/>
        <w:ind w:left="350" w:right="92" w:firstLine="409"/>
        <w:rPr>
          <w:sz w:val="20"/>
          <w:szCs w:val="20"/>
        </w:rPr>
      </w:pPr>
      <w:r>
        <w:rPr>
          <w:spacing w:val="5"/>
          <w:sz w:val="20"/>
          <w:szCs w:val="20"/>
        </w:rPr>
        <w:t>(1)监控。采用各类工具和技术，对系统的功能、性能和稳定性等运行状况和发展</w:t>
      </w:r>
      <w:r>
        <w:rPr>
          <w:spacing w:val="4"/>
          <w:sz w:val="20"/>
          <w:szCs w:val="20"/>
        </w:rPr>
        <w:t>趋势进</w:t>
      </w:r>
      <w:r>
        <w:rPr>
          <w:sz w:val="20"/>
          <w:szCs w:val="20"/>
        </w:rPr>
        <w:t xml:space="preserve"> </w:t>
      </w:r>
      <w:r>
        <w:rPr>
          <w:spacing w:val="-4"/>
          <w:sz w:val="20"/>
          <w:szCs w:val="20"/>
        </w:rPr>
        <w:t>行记录、分析和告警。</w:t>
      </w:r>
    </w:p>
    <w:p w14:paraId="4017EF14">
      <w:pPr>
        <w:pStyle w:val="2"/>
        <w:spacing w:before="75" w:line="219" w:lineRule="auto"/>
        <w:ind w:left="760"/>
        <w:rPr>
          <w:sz w:val="20"/>
          <w:szCs w:val="20"/>
        </w:rPr>
      </w:pPr>
      <w:r>
        <w:rPr>
          <w:spacing w:val="1"/>
          <w:sz w:val="20"/>
          <w:szCs w:val="20"/>
        </w:rPr>
        <w:t>(2)预防性检查。包括功能检查、性能检查和安全性检查等。</w:t>
      </w:r>
    </w:p>
    <w:p w14:paraId="64CC8CD7">
      <w:pPr>
        <w:pStyle w:val="2"/>
        <w:spacing w:before="73" w:line="281" w:lineRule="auto"/>
        <w:ind w:left="350" w:right="69" w:firstLine="409"/>
        <w:rPr>
          <w:sz w:val="17"/>
          <w:szCs w:val="17"/>
        </w:rPr>
      </w:pPr>
      <w:r>
        <w:rPr>
          <w:spacing w:val="6"/>
          <w:sz w:val="20"/>
          <w:szCs w:val="20"/>
        </w:rPr>
        <w:t>(3)常规作业。定期对基础环境、硬件、</w:t>
      </w:r>
      <w:r>
        <w:rPr>
          <w:spacing w:val="5"/>
          <w:sz w:val="20"/>
          <w:szCs w:val="20"/>
        </w:rPr>
        <w:t>软件、服务安全和健康状况等进行定期巡检，具</w:t>
      </w:r>
      <w:r>
        <w:rPr>
          <w:sz w:val="20"/>
          <w:szCs w:val="20"/>
        </w:rPr>
        <w:t xml:space="preserve"> </w:t>
      </w:r>
      <w:r>
        <w:rPr>
          <w:spacing w:val="16"/>
          <w:sz w:val="17"/>
          <w:szCs w:val="17"/>
        </w:rPr>
        <w:t>体包括：</w:t>
      </w:r>
    </w:p>
    <w:p w14:paraId="39F28B44">
      <w:pPr>
        <w:pStyle w:val="2"/>
        <w:spacing w:before="77" w:line="219" w:lineRule="auto"/>
        <w:ind w:left="760"/>
        <w:rPr>
          <w:sz w:val="20"/>
          <w:szCs w:val="20"/>
        </w:rPr>
      </w:pPr>
      <w:r>
        <w:rPr>
          <w:sz w:val="20"/>
          <w:szCs w:val="20"/>
        </w:rPr>
        <w:t>●对网络及其他硬件设备的运行状态进行检查；</w:t>
      </w:r>
    </w:p>
    <w:p w14:paraId="79B9833E">
      <w:pPr>
        <w:pStyle w:val="2"/>
        <w:spacing w:before="93" w:line="219" w:lineRule="auto"/>
        <w:ind w:left="760"/>
        <w:rPr>
          <w:sz w:val="20"/>
          <w:szCs w:val="20"/>
        </w:rPr>
      </w:pPr>
      <w:r>
        <w:rPr>
          <w:spacing w:val="-2"/>
          <w:sz w:val="20"/>
          <w:szCs w:val="20"/>
        </w:rPr>
        <w:t>●对系统磁盘状态、</w:t>
      </w:r>
      <w:r>
        <w:rPr>
          <w:spacing w:val="-27"/>
          <w:sz w:val="20"/>
          <w:szCs w:val="20"/>
        </w:rPr>
        <w:t xml:space="preserve"> </w:t>
      </w:r>
      <w:r>
        <w:rPr>
          <w:spacing w:val="-2"/>
          <w:sz w:val="20"/>
          <w:szCs w:val="20"/>
        </w:rPr>
        <w:t>CPU</w:t>
      </w:r>
      <w:r>
        <w:rPr>
          <w:spacing w:val="47"/>
          <w:sz w:val="20"/>
          <w:szCs w:val="20"/>
        </w:rPr>
        <w:t xml:space="preserve"> </w:t>
      </w:r>
      <w:r>
        <w:rPr>
          <w:spacing w:val="-2"/>
          <w:sz w:val="20"/>
          <w:szCs w:val="20"/>
        </w:rPr>
        <w:t>状态、进程、内存的使用情况进行巡检；</w:t>
      </w:r>
    </w:p>
    <w:p w14:paraId="3EA0419F">
      <w:pPr>
        <w:pStyle w:val="2"/>
        <w:spacing w:before="82" w:line="219" w:lineRule="auto"/>
        <w:ind w:left="760"/>
        <w:rPr>
          <w:sz w:val="20"/>
          <w:szCs w:val="20"/>
        </w:rPr>
      </w:pPr>
      <w:r>
        <w:rPr>
          <w:spacing w:val="1"/>
          <w:sz w:val="20"/>
          <w:szCs w:val="20"/>
        </w:rPr>
        <w:t>●对各项服务及服务器运行状态进行检查；</w:t>
      </w:r>
    </w:p>
    <w:p w14:paraId="7DE5E8E3">
      <w:pPr>
        <w:pStyle w:val="2"/>
        <w:spacing w:before="83" w:line="219" w:lineRule="auto"/>
        <w:ind w:left="760"/>
        <w:rPr>
          <w:sz w:val="20"/>
          <w:szCs w:val="20"/>
        </w:rPr>
      </w:pPr>
      <w:r>
        <w:rPr>
          <w:spacing w:val="3"/>
          <w:sz w:val="20"/>
          <w:szCs w:val="20"/>
        </w:rPr>
        <w:t>●对组件进行自查；</w:t>
      </w:r>
    </w:p>
    <w:p w14:paraId="7CA8154C">
      <w:pPr>
        <w:pStyle w:val="2"/>
        <w:spacing w:before="83" w:line="219" w:lineRule="auto"/>
        <w:ind w:left="760"/>
        <w:rPr>
          <w:sz w:val="20"/>
          <w:szCs w:val="20"/>
        </w:rPr>
      </w:pPr>
      <w:r>
        <w:rPr>
          <w:spacing w:val="1"/>
          <w:sz w:val="20"/>
          <w:szCs w:val="20"/>
        </w:rPr>
        <w:t>●通过相关运维工具的功能页面检查服务是</w:t>
      </w:r>
      <w:r>
        <w:rPr>
          <w:sz w:val="20"/>
          <w:szCs w:val="20"/>
        </w:rPr>
        <w:t>否正常；</w:t>
      </w:r>
    </w:p>
    <w:p w14:paraId="735C8B6F">
      <w:pPr>
        <w:pStyle w:val="2"/>
        <w:spacing w:before="93" w:line="219" w:lineRule="auto"/>
        <w:ind w:left="760"/>
        <w:rPr>
          <w:sz w:val="20"/>
          <w:szCs w:val="20"/>
        </w:rPr>
      </w:pPr>
      <w:r>
        <w:rPr>
          <w:sz w:val="20"/>
          <w:szCs w:val="20"/>
        </w:rPr>
        <w:t>●对系统操作行为进行记录备案，定期检查系统调用访问日志；</w:t>
      </w:r>
    </w:p>
    <w:p w14:paraId="22AEBA27">
      <w:pPr>
        <w:pStyle w:val="2"/>
        <w:spacing w:before="92" w:line="219" w:lineRule="auto"/>
        <w:ind w:left="760"/>
        <w:rPr>
          <w:sz w:val="20"/>
          <w:szCs w:val="20"/>
        </w:rPr>
      </w:pPr>
      <w:r>
        <w:rPr>
          <w:spacing w:val="1"/>
          <w:sz w:val="20"/>
          <w:szCs w:val="20"/>
        </w:rPr>
        <w:t>●检查服务运行健康情况，包括服务</w:t>
      </w:r>
      <w:r>
        <w:rPr>
          <w:sz w:val="20"/>
          <w:szCs w:val="20"/>
        </w:rPr>
        <w:t>URL</w:t>
      </w:r>
      <w:r>
        <w:rPr>
          <w:spacing w:val="86"/>
          <w:sz w:val="20"/>
          <w:szCs w:val="20"/>
        </w:rPr>
        <w:t xml:space="preserve"> </w:t>
      </w:r>
      <w:r>
        <w:rPr>
          <w:spacing w:val="1"/>
          <w:sz w:val="20"/>
          <w:szCs w:val="20"/>
        </w:rPr>
        <w:t>是否可以正常访问、服务是否正常运行；</w:t>
      </w:r>
    </w:p>
    <w:p w14:paraId="67C7A086">
      <w:pPr>
        <w:pStyle w:val="2"/>
        <w:spacing w:before="84" w:line="220" w:lineRule="auto"/>
        <w:ind w:left="760"/>
        <w:rPr>
          <w:sz w:val="20"/>
          <w:szCs w:val="20"/>
        </w:rPr>
      </w:pPr>
      <w:r>
        <w:rPr>
          <w:spacing w:val="1"/>
          <w:sz w:val="20"/>
          <w:szCs w:val="20"/>
        </w:rPr>
        <w:t>●定期对系统接口进行测试与自查；</w:t>
      </w:r>
    </w:p>
    <w:p w14:paraId="3295C5C7">
      <w:pPr>
        <w:pStyle w:val="2"/>
        <w:spacing w:before="81" w:line="219" w:lineRule="auto"/>
        <w:ind w:left="760"/>
        <w:rPr>
          <w:sz w:val="20"/>
          <w:szCs w:val="20"/>
        </w:rPr>
      </w:pPr>
      <w:r>
        <w:rPr>
          <w:spacing w:val="3"/>
          <w:sz w:val="20"/>
          <w:szCs w:val="20"/>
        </w:rPr>
        <w:t>●定期对软件系统进行自查。</w:t>
      </w:r>
    </w:p>
    <w:p w14:paraId="5501A909">
      <w:pPr>
        <w:pStyle w:val="2"/>
        <w:spacing w:before="180" w:line="222" w:lineRule="auto"/>
        <w:ind w:left="762"/>
        <w:rPr>
          <w:rFonts w:ascii="黑体" w:hAnsi="黑体" w:eastAsia="黑体" w:cs="黑体"/>
          <w:sz w:val="20"/>
          <w:szCs w:val="20"/>
        </w:rPr>
      </w:pPr>
      <w:r>
        <w:rPr>
          <w:b/>
          <w:bCs/>
          <w:color w:val="0073D9"/>
          <w:spacing w:val="-2"/>
          <w:sz w:val="20"/>
          <w:szCs w:val="20"/>
        </w:rPr>
        <w:t>3.</w:t>
      </w:r>
      <w:r>
        <w:rPr>
          <w:rFonts w:ascii="黑体" w:hAnsi="黑体" w:eastAsia="黑体" w:cs="黑体"/>
          <w:b/>
          <w:bCs/>
          <w:color w:val="0073D9"/>
          <w:spacing w:val="-2"/>
          <w:sz w:val="20"/>
          <w:szCs w:val="20"/>
        </w:rPr>
        <w:t>响应支持</w:t>
      </w:r>
    </w:p>
    <w:p w14:paraId="14EF9E61">
      <w:pPr>
        <w:pStyle w:val="2"/>
        <w:spacing w:before="140" w:line="278" w:lineRule="auto"/>
        <w:ind w:left="350" w:firstLine="409"/>
        <w:jc w:val="both"/>
        <w:rPr>
          <w:sz w:val="20"/>
          <w:szCs w:val="20"/>
        </w:rPr>
      </w:pPr>
      <w:r>
        <w:rPr>
          <w:spacing w:val="3"/>
          <w:sz w:val="20"/>
          <w:szCs w:val="20"/>
        </w:rPr>
        <w:t>根据运维的需要或服务相关方的请求，运维服</w:t>
      </w:r>
      <w:r>
        <w:rPr>
          <w:spacing w:val="2"/>
          <w:sz w:val="20"/>
          <w:szCs w:val="20"/>
        </w:rPr>
        <w:t>务提供方对信息系统的响应支持工作一般包</w:t>
      </w:r>
      <w:r>
        <w:rPr>
          <w:sz w:val="20"/>
          <w:szCs w:val="20"/>
        </w:rPr>
        <w:t xml:space="preserve">  </w:t>
      </w:r>
      <w:r>
        <w:rPr>
          <w:spacing w:val="5"/>
          <w:sz w:val="20"/>
          <w:szCs w:val="20"/>
        </w:rPr>
        <w:t>括：应用级启停、系统级启停、用户注册、权限配置、更新驱动、用户口令重</w:t>
      </w:r>
      <w:r>
        <w:rPr>
          <w:spacing w:val="4"/>
          <w:sz w:val="20"/>
          <w:szCs w:val="20"/>
        </w:rPr>
        <w:t>置、参数调整、</w:t>
      </w:r>
      <w:r>
        <w:rPr>
          <w:sz w:val="20"/>
          <w:szCs w:val="20"/>
        </w:rPr>
        <w:t xml:space="preserve"> </w:t>
      </w:r>
      <w:r>
        <w:rPr>
          <w:spacing w:val="-4"/>
          <w:sz w:val="20"/>
          <w:szCs w:val="20"/>
        </w:rPr>
        <w:t>系统配置、故障处理。</w:t>
      </w:r>
    </w:p>
    <w:p w14:paraId="1AE7B8A8">
      <w:pPr>
        <w:pStyle w:val="2"/>
        <w:spacing w:before="134" w:line="222" w:lineRule="auto"/>
        <w:ind w:left="762"/>
        <w:rPr>
          <w:rFonts w:ascii="黑体" w:hAnsi="黑体" w:eastAsia="黑体" w:cs="黑体"/>
          <w:sz w:val="20"/>
          <w:szCs w:val="20"/>
        </w:rPr>
      </w:pPr>
      <w:r>
        <w:rPr>
          <w:b/>
          <w:bCs/>
          <w:color w:val="0781DE"/>
          <w:spacing w:val="-2"/>
          <w:sz w:val="20"/>
          <w:szCs w:val="20"/>
        </w:rPr>
        <w:t>4.</w:t>
      </w:r>
      <w:r>
        <w:rPr>
          <w:rFonts w:ascii="黑体" w:hAnsi="黑体" w:eastAsia="黑体" w:cs="黑体"/>
          <w:b/>
          <w:bCs/>
          <w:color w:val="0781DE"/>
          <w:spacing w:val="-2"/>
          <w:sz w:val="20"/>
          <w:szCs w:val="20"/>
        </w:rPr>
        <w:t>优化改善</w:t>
      </w:r>
    </w:p>
    <w:p w14:paraId="1CFBC563">
      <w:pPr>
        <w:pStyle w:val="2"/>
        <w:spacing w:before="143" w:line="219" w:lineRule="auto"/>
        <w:ind w:left="760"/>
        <w:rPr>
          <w:sz w:val="20"/>
          <w:szCs w:val="20"/>
        </w:rPr>
      </w:pPr>
      <w:r>
        <w:rPr>
          <w:spacing w:val="-3"/>
          <w:sz w:val="20"/>
          <w:szCs w:val="20"/>
        </w:rPr>
        <w:t>运维服务提供方对信息系统的优化改善工作包括：</w:t>
      </w:r>
    </w:p>
    <w:p w14:paraId="4779C686">
      <w:pPr>
        <w:pStyle w:val="2"/>
        <w:spacing w:before="74" w:line="219" w:lineRule="auto"/>
        <w:ind w:left="760"/>
        <w:rPr>
          <w:sz w:val="20"/>
          <w:szCs w:val="20"/>
        </w:rPr>
      </w:pPr>
      <w:r>
        <w:rPr>
          <w:spacing w:val="1"/>
          <w:sz w:val="20"/>
          <w:szCs w:val="20"/>
        </w:rPr>
        <w:t>(1)对操作系统、数据库、应用服务器中间件等的集成性优化；</w:t>
      </w:r>
    </w:p>
    <w:p w14:paraId="562FFE66">
      <w:pPr>
        <w:pStyle w:val="2"/>
        <w:spacing w:before="73" w:line="219" w:lineRule="auto"/>
        <w:ind w:left="760"/>
        <w:rPr>
          <w:sz w:val="20"/>
          <w:szCs w:val="20"/>
        </w:rPr>
      </w:pPr>
      <w:r>
        <w:rPr>
          <w:spacing w:val="1"/>
          <w:sz w:val="20"/>
          <w:szCs w:val="20"/>
        </w:rPr>
        <w:t>(2)优化系统参数、配置文件，更新系统错误或性能更新包；</w:t>
      </w:r>
    </w:p>
    <w:p w14:paraId="279B2B7F">
      <w:pPr>
        <w:pStyle w:val="2"/>
        <w:spacing w:before="73" w:line="220" w:lineRule="auto"/>
        <w:ind w:left="760"/>
        <w:rPr>
          <w:sz w:val="20"/>
          <w:szCs w:val="20"/>
        </w:rPr>
      </w:pPr>
      <w:r>
        <w:rPr>
          <w:spacing w:val="1"/>
          <w:sz w:val="20"/>
          <w:szCs w:val="20"/>
        </w:rPr>
        <w:t>(3)对现有系统进行功能更新，应用系统升级；</w:t>
      </w:r>
    </w:p>
    <w:p w14:paraId="10B79EC2">
      <w:pPr>
        <w:pStyle w:val="2"/>
        <w:spacing w:before="71" w:line="219" w:lineRule="auto"/>
        <w:ind w:left="760"/>
        <w:rPr>
          <w:sz w:val="20"/>
          <w:szCs w:val="20"/>
        </w:rPr>
      </w:pPr>
      <w:r>
        <w:rPr>
          <w:spacing w:val="1"/>
          <w:sz w:val="20"/>
          <w:szCs w:val="20"/>
        </w:rPr>
        <w:t>(4)对客户端错误或已知漏洞进行修复；</w:t>
      </w:r>
    </w:p>
    <w:p w14:paraId="5BEEE13D">
      <w:pPr>
        <w:pStyle w:val="2"/>
        <w:spacing w:before="63" w:line="219" w:lineRule="auto"/>
        <w:ind w:left="760"/>
        <w:rPr>
          <w:sz w:val="20"/>
          <w:szCs w:val="20"/>
        </w:rPr>
      </w:pPr>
      <w:r>
        <w:rPr>
          <w:spacing w:val="2"/>
          <w:sz w:val="20"/>
          <w:szCs w:val="20"/>
        </w:rPr>
        <w:t>(5)对性能和可靠性进行优化改善；</w:t>
      </w:r>
    </w:p>
    <w:p w14:paraId="314FC466">
      <w:pPr>
        <w:pStyle w:val="2"/>
        <w:spacing w:before="72" w:line="219" w:lineRule="auto"/>
        <w:ind w:left="760"/>
        <w:rPr>
          <w:sz w:val="20"/>
          <w:szCs w:val="20"/>
        </w:rPr>
      </w:pPr>
      <w:r>
        <w:rPr>
          <w:spacing w:val="2"/>
          <w:sz w:val="20"/>
          <w:szCs w:val="20"/>
        </w:rPr>
        <w:t>(6)对业务逻辑、符合度的优化改善；</w:t>
      </w:r>
    </w:p>
    <w:p w14:paraId="1353F35D">
      <w:pPr>
        <w:pStyle w:val="2"/>
        <w:spacing w:before="73" w:line="219" w:lineRule="auto"/>
        <w:ind w:left="760"/>
        <w:rPr>
          <w:sz w:val="20"/>
          <w:szCs w:val="20"/>
        </w:rPr>
      </w:pPr>
      <w:r>
        <w:rPr>
          <w:spacing w:val="1"/>
          <w:sz w:val="20"/>
          <w:szCs w:val="20"/>
        </w:rPr>
        <w:t>(7)对应用服务能力进行优化，如对应用进程数、应用线程数</w:t>
      </w:r>
      <w:r>
        <w:rPr>
          <w:sz w:val="20"/>
          <w:szCs w:val="20"/>
        </w:rPr>
        <w:t>的优化；</w:t>
      </w:r>
    </w:p>
    <w:p w14:paraId="38951EC0">
      <w:pPr>
        <w:pStyle w:val="2"/>
        <w:spacing w:before="74" w:line="220" w:lineRule="auto"/>
        <w:ind w:left="760"/>
        <w:rPr>
          <w:sz w:val="20"/>
          <w:szCs w:val="20"/>
        </w:rPr>
      </w:pPr>
      <w:r>
        <w:rPr>
          <w:spacing w:val="2"/>
          <w:sz w:val="20"/>
          <w:szCs w:val="20"/>
        </w:rPr>
        <w:t>(8)应用日志级别及日志空间的调整。</w:t>
      </w:r>
    </w:p>
    <w:p w14:paraId="3A8DA21B">
      <w:pPr>
        <w:pStyle w:val="2"/>
        <w:spacing w:before="209" w:line="219" w:lineRule="auto"/>
        <w:ind w:left="352"/>
        <w:rPr>
          <w:sz w:val="25"/>
          <w:szCs w:val="25"/>
        </w:rPr>
      </w:pPr>
      <w:r>
        <w:rPr>
          <w:b/>
          <w:bCs/>
          <w:color w:val="0071E2"/>
          <w:spacing w:val="-18"/>
          <w:sz w:val="25"/>
          <w:szCs w:val="25"/>
        </w:rPr>
        <w:t>7.3.3</w:t>
      </w:r>
      <w:r>
        <w:rPr>
          <w:color w:val="0071E2"/>
          <w:spacing w:val="79"/>
          <w:sz w:val="25"/>
          <w:szCs w:val="25"/>
        </w:rPr>
        <w:t xml:space="preserve"> </w:t>
      </w:r>
      <w:r>
        <w:rPr>
          <w:b/>
          <w:bCs/>
          <w:color w:val="0071E2"/>
          <w:spacing w:val="-18"/>
          <w:sz w:val="25"/>
          <w:szCs w:val="25"/>
        </w:rPr>
        <w:t>运维服务交付方式</w:t>
      </w:r>
    </w:p>
    <w:p w14:paraId="546D3504">
      <w:pPr>
        <w:pStyle w:val="2"/>
        <w:spacing w:before="174" w:line="219" w:lineRule="auto"/>
        <w:ind w:right="25"/>
        <w:jc w:val="right"/>
        <w:rPr>
          <w:sz w:val="20"/>
          <w:szCs w:val="20"/>
        </w:rPr>
      </w:pPr>
      <w:r>
        <w:rPr>
          <w:spacing w:val="-1"/>
          <w:sz w:val="20"/>
          <w:szCs w:val="20"/>
        </w:rPr>
        <w:t>运维服务提供方可以根据运维服务内容选择现场交付或远程交付的方式开展运行维护工作。</w:t>
      </w:r>
    </w:p>
    <w:p w14:paraId="01CF927A">
      <w:pPr>
        <w:spacing w:line="219" w:lineRule="auto"/>
        <w:rPr>
          <w:sz w:val="20"/>
          <w:szCs w:val="20"/>
        </w:rPr>
        <w:sectPr>
          <w:pgSz w:w="10300" w:h="13380"/>
          <w:pgMar w:top="400" w:right="1039" w:bottom="400" w:left="509" w:header="0" w:footer="0" w:gutter="0"/>
          <w:cols w:space="720" w:num="1"/>
        </w:sectPr>
      </w:pPr>
    </w:p>
    <w:p w14:paraId="7A76DA79">
      <w:pPr>
        <w:pStyle w:val="2"/>
        <w:jc w:val="right"/>
        <w:rPr>
          <w:rFonts w:ascii="Times New Roman" w:hAnsi="Times New Roman" w:eastAsia="Times New Roman" w:cs="Times New Roman"/>
          <w:sz w:val="20"/>
          <w:szCs w:val="20"/>
        </w:rPr>
      </w:pPr>
      <w:r>
        <w:rPr>
          <w:spacing w:val="2"/>
          <w:sz w:val="20"/>
          <w:szCs w:val="20"/>
        </w:rPr>
        <w:t>第7章</w:t>
      </w:r>
      <w:r>
        <w:rPr>
          <w:spacing w:val="32"/>
          <w:sz w:val="20"/>
          <w:szCs w:val="20"/>
        </w:rPr>
        <w:t xml:space="preserve"> </w:t>
      </w:r>
      <w:r>
        <w:rPr>
          <w:spacing w:val="2"/>
          <w:sz w:val="20"/>
          <w:szCs w:val="20"/>
        </w:rPr>
        <w:t xml:space="preserve">运行维护 </w:t>
      </w:r>
      <w:r>
        <w:rPr>
          <w:position w:val="-10"/>
          <w:sz w:val="20"/>
          <w:szCs w:val="20"/>
        </w:rPr>
        <w:drawing>
          <wp:inline distT="0" distB="0" distL="0" distR="0">
            <wp:extent cx="304800" cy="24130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45"/>
                    <a:stretch>
                      <a:fillRect/>
                    </a:stretch>
                  </pic:blipFill>
                  <pic:spPr>
                    <a:xfrm>
                      <a:off x="0" y="0"/>
                      <a:ext cx="304817" cy="241300"/>
                    </a:xfrm>
                    <a:prstGeom prst="rect">
                      <a:avLst/>
                    </a:prstGeom>
                  </pic:spPr>
                </pic:pic>
              </a:graphicData>
            </a:graphic>
          </wp:inline>
        </w:drawing>
      </w:r>
      <w:r>
        <w:rPr>
          <w:rFonts w:ascii="Times New Roman" w:hAnsi="Times New Roman" w:eastAsia="Times New Roman" w:cs="Times New Roman"/>
          <w:spacing w:val="2"/>
          <w:position w:val="-4"/>
          <w:sz w:val="20"/>
          <w:szCs w:val="20"/>
        </w:rPr>
        <w:t>205</w:t>
      </w:r>
    </w:p>
    <w:p w14:paraId="655152F7">
      <w:pPr>
        <w:spacing w:line="257" w:lineRule="auto"/>
        <w:rPr>
          <w:rFonts w:ascii="Arial"/>
          <w:sz w:val="21"/>
        </w:rPr>
      </w:pPr>
    </w:p>
    <w:p w14:paraId="45007146">
      <w:pPr>
        <w:pStyle w:val="2"/>
        <w:spacing w:before="65" w:line="222" w:lineRule="auto"/>
        <w:ind w:left="2"/>
        <w:rPr>
          <w:rFonts w:ascii="黑体" w:hAnsi="黑体" w:eastAsia="黑体" w:cs="黑体"/>
          <w:sz w:val="20"/>
          <w:szCs w:val="20"/>
        </w:rPr>
      </w:pPr>
      <w:bookmarkStart w:id="588" w:name="bookmark573"/>
      <w:bookmarkEnd w:id="588"/>
      <w:r>
        <w:rPr>
          <w:b/>
          <w:bCs/>
          <w:color w:val="005CA4"/>
          <w:spacing w:val="-2"/>
          <w:sz w:val="20"/>
          <w:szCs w:val="20"/>
        </w:rPr>
        <w:t>1.</w:t>
      </w:r>
      <w:r>
        <w:rPr>
          <w:rFonts w:ascii="黑体" w:hAnsi="黑体" w:eastAsia="黑体" w:cs="黑体"/>
          <w:b/>
          <w:bCs/>
          <w:color w:val="005CA4"/>
          <w:spacing w:val="-2"/>
          <w:sz w:val="20"/>
          <w:szCs w:val="20"/>
        </w:rPr>
        <w:t>现场交付</w:t>
      </w:r>
    </w:p>
    <w:p w14:paraId="70B25B31">
      <w:pPr>
        <w:pStyle w:val="2"/>
        <w:spacing w:before="152" w:line="219" w:lineRule="auto"/>
        <w:rPr>
          <w:sz w:val="20"/>
          <w:szCs w:val="20"/>
        </w:rPr>
      </w:pPr>
      <w:r>
        <w:rPr>
          <w:spacing w:val="-3"/>
          <w:sz w:val="20"/>
          <w:szCs w:val="20"/>
        </w:rPr>
        <w:t>在实施现场交付的过程中，运维服务提供方需要做好以下工作：</w:t>
      </w:r>
    </w:p>
    <w:p w14:paraId="4AF62636">
      <w:pPr>
        <w:pStyle w:val="2"/>
        <w:spacing w:before="74" w:line="220" w:lineRule="auto"/>
        <w:rPr>
          <w:sz w:val="20"/>
          <w:szCs w:val="20"/>
        </w:rPr>
      </w:pPr>
      <w:r>
        <w:rPr>
          <w:spacing w:val="2"/>
          <w:sz w:val="20"/>
          <w:szCs w:val="20"/>
        </w:rPr>
        <w:t>(1)在到达业主单位现场前的工作包括：</w:t>
      </w:r>
    </w:p>
    <w:p w14:paraId="653C7A7D">
      <w:pPr>
        <w:pStyle w:val="2"/>
        <w:spacing w:before="70" w:line="287" w:lineRule="auto"/>
        <w:ind w:left="308" w:right="337" w:hanging="309"/>
        <w:rPr>
          <w:sz w:val="16"/>
          <w:szCs w:val="16"/>
        </w:rPr>
      </w:pPr>
      <w:r>
        <w:rPr>
          <w:spacing w:val="14"/>
          <w:sz w:val="20"/>
          <w:szCs w:val="20"/>
        </w:rPr>
        <w:t>●了解现场交付的内容、到达时间要求、之前的支持情况</w:t>
      </w:r>
      <w:r>
        <w:rPr>
          <w:spacing w:val="13"/>
          <w:sz w:val="20"/>
          <w:szCs w:val="20"/>
        </w:rPr>
        <w:t>及遗留问题，并与业主单位</w:t>
      </w:r>
      <w:r>
        <w:rPr>
          <w:sz w:val="20"/>
          <w:szCs w:val="20"/>
        </w:rPr>
        <w:t xml:space="preserve"> </w:t>
      </w:r>
      <w:r>
        <w:rPr>
          <w:spacing w:val="-5"/>
          <w:sz w:val="16"/>
          <w:szCs w:val="16"/>
        </w:rPr>
        <w:t>确</w:t>
      </w:r>
      <w:r>
        <w:rPr>
          <w:spacing w:val="-16"/>
          <w:sz w:val="16"/>
          <w:szCs w:val="16"/>
        </w:rPr>
        <w:t xml:space="preserve"> </w:t>
      </w:r>
      <w:r>
        <w:rPr>
          <w:spacing w:val="-5"/>
          <w:sz w:val="16"/>
          <w:szCs w:val="16"/>
        </w:rPr>
        <w:t>认</w:t>
      </w:r>
      <w:r>
        <w:rPr>
          <w:spacing w:val="-23"/>
          <w:sz w:val="16"/>
          <w:szCs w:val="16"/>
        </w:rPr>
        <w:t xml:space="preserve"> </w:t>
      </w:r>
      <w:r>
        <w:rPr>
          <w:spacing w:val="-5"/>
          <w:sz w:val="16"/>
          <w:szCs w:val="16"/>
        </w:rPr>
        <w:t>；</w:t>
      </w:r>
    </w:p>
    <w:p w14:paraId="7A68D6BE">
      <w:pPr>
        <w:pStyle w:val="2"/>
        <w:spacing w:before="111" w:line="219" w:lineRule="auto"/>
        <w:rPr>
          <w:sz w:val="20"/>
          <w:szCs w:val="20"/>
        </w:rPr>
      </w:pPr>
      <w:r>
        <w:rPr>
          <w:sz w:val="20"/>
          <w:szCs w:val="20"/>
        </w:rPr>
        <w:t>●对复杂或存在风险的工作做好预案，经审核后实施；</w:t>
      </w:r>
    </w:p>
    <w:p w14:paraId="6739E863">
      <w:pPr>
        <w:pStyle w:val="2"/>
        <w:spacing w:before="73" w:line="220" w:lineRule="auto"/>
        <w:rPr>
          <w:sz w:val="20"/>
          <w:szCs w:val="20"/>
        </w:rPr>
      </w:pPr>
      <w:r>
        <w:rPr>
          <w:spacing w:val="2"/>
          <w:sz w:val="20"/>
          <w:szCs w:val="20"/>
        </w:rPr>
        <w:t>●准备必要的资料和工具；</w:t>
      </w:r>
    </w:p>
    <w:p w14:paraId="1E7F7A64">
      <w:pPr>
        <w:pStyle w:val="2"/>
        <w:spacing w:before="91" w:line="219" w:lineRule="auto"/>
        <w:rPr>
          <w:sz w:val="20"/>
          <w:szCs w:val="20"/>
        </w:rPr>
      </w:pPr>
      <w:r>
        <w:rPr>
          <w:spacing w:val="2"/>
          <w:sz w:val="20"/>
          <w:szCs w:val="20"/>
        </w:rPr>
        <w:t>●根据安全要求，做好准备工作。</w:t>
      </w:r>
    </w:p>
    <w:p w14:paraId="29A9A31F">
      <w:pPr>
        <w:pStyle w:val="2"/>
        <w:spacing w:before="93" w:line="220" w:lineRule="auto"/>
        <w:rPr>
          <w:sz w:val="20"/>
          <w:szCs w:val="20"/>
        </w:rPr>
      </w:pPr>
      <w:r>
        <w:rPr>
          <w:spacing w:val="2"/>
          <w:sz w:val="20"/>
          <w:szCs w:val="20"/>
        </w:rPr>
        <w:t>(2)在到达业主单位现场后的工作包括：</w:t>
      </w:r>
    </w:p>
    <w:p w14:paraId="6B6414A5">
      <w:pPr>
        <w:pStyle w:val="2"/>
        <w:spacing w:before="71" w:line="219" w:lineRule="auto"/>
        <w:rPr>
          <w:sz w:val="20"/>
          <w:szCs w:val="20"/>
        </w:rPr>
      </w:pPr>
      <w:r>
        <w:rPr>
          <w:spacing w:val="1"/>
          <w:sz w:val="20"/>
          <w:szCs w:val="20"/>
        </w:rPr>
        <w:t>●及时通知业主单位并确认到达现场时间；</w:t>
      </w:r>
    </w:p>
    <w:p w14:paraId="4FB66099">
      <w:pPr>
        <w:pStyle w:val="2"/>
        <w:spacing w:before="93" w:line="219" w:lineRule="auto"/>
        <w:rPr>
          <w:sz w:val="20"/>
          <w:szCs w:val="20"/>
        </w:rPr>
      </w:pPr>
      <w:r>
        <w:rPr>
          <w:sz w:val="20"/>
          <w:szCs w:val="20"/>
        </w:rPr>
        <w:t>●与业主单位确认服务内容、操作流程和可能的风险后实施；</w:t>
      </w:r>
    </w:p>
    <w:p w14:paraId="67D527BE">
      <w:pPr>
        <w:pStyle w:val="2"/>
        <w:spacing w:before="93" w:line="219" w:lineRule="auto"/>
        <w:rPr>
          <w:sz w:val="20"/>
          <w:szCs w:val="20"/>
        </w:rPr>
      </w:pPr>
      <w:r>
        <w:rPr>
          <w:sz w:val="20"/>
          <w:szCs w:val="20"/>
        </w:rPr>
        <w:t>●严格遵守业主单位现场的管理制度；</w:t>
      </w:r>
    </w:p>
    <w:p w14:paraId="5F80E8F5">
      <w:pPr>
        <w:pStyle w:val="2"/>
        <w:spacing w:before="81" w:line="219" w:lineRule="auto"/>
        <w:rPr>
          <w:sz w:val="20"/>
          <w:szCs w:val="20"/>
        </w:rPr>
      </w:pPr>
      <w:r>
        <w:rPr>
          <w:sz w:val="20"/>
          <w:szCs w:val="20"/>
        </w:rPr>
        <w:t>●根据安全要求提供现场交付服务，并做好相关服务记</w:t>
      </w:r>
      <w:r>
        <w:rPr>
          <w:spacing w:val="-1"/>
          <w:sz w:val="20"/>
          <w:szCs w:val="20"/>
        </w:rPr>
        <w:t>录；</w:t>
      </w:r>
    </w:p>
    <w:p w14:paraId="7B919A6E">
      <w:pPr>
        <w:pStyle w:val="2"/>
        <w:spacing w:before="84" w:line="219" w:lineRule="auto"/>
        <w:rPr>
          <w:sz w:val="20"/>
          <w:szCs w:val="20"/>
        </w:rPr>
      </w:pPr>
      <w:r>
        <w:rPr>
          <w:spacing w:val="1"/>
          <w:sz w:val="20"/>
          <w:szCs w:val="20"/>
        </w:rPr>
        <w:t>●完成确认的工作内容；</w:t>
      </w:r>
    </w:p>
    <w:p w14:paraId="34B19C16">
      <w:pPr>
        <w:pStyle w:val="2"/>
        <w:spacing w:before="83" w:line="219" w:lineRule="auto"/>
        <w:rPr>
          <w:sz w:val="20"/>
          <w:szCs w:val="20"/>
        </w:rPr>
      </w:pPr>
      <w:r>
        <w:rPr>
          <w:spacing w:val="1"/>
          <w:sz w:val="20"/>
          <w:szCs w:val="20"/>
        </w:rPr>
        <w:t>●遇到无法解决的问题或业主单位提出额外要求时，通知上级，得到授权后再做处理。</w:t>
      </w:r>
    </w:p>
    <w:p w14:paraId="51356C65">
      <w:pPr>
        <w:pStyle w:val="2"/>
        <w:spacing w:before="93" w:line="220" w:lineRule="auto"/>
        <w:rPr>
          <w:sz w:val="20"/>
          <w:szCs w:val="20"/>
        </w:rPr>
      </w:pPr>
      <w:r>
        <w:rPr>
          <w:spacing w:val="2"/>
          <w:sz w:val="20"/>
          <w:szCs w:val="20"/>
        </w:rPr>
        <w:t>(3)在离开业主单位现场前的工作包括：</w:t>
      </w:r>
    </w:p>
    <w:p w14:paraId="04D75DB8">
      <w:pPr>
        <w:pStyle w:val="2"/>
        <w:spacing w:before="71" w:line="219" w:lineRule="auto"/>
        <w:rPr>
          <w:sz w:val="20"/>
          <w:szCs w:val="20"/>
        </w:rPr>
      </w:pPr>
      <w:r>
        <w:rPr>
          <w:sz w:val="20"/>
          <w:szCs w:val="20"/>
        </w:rPr>
        <w:t>●与业主单位确认工作完成情况，必要时签署服务单；</w:t>
      </w:r>
    </w:p>
    <w:p w14:paraId="0FEF6BD0">
      <w:pPr>
        <w:pStyle w:val="2"/>
        <w:spacing w:before="93" w:line="219" w:lineRule="auto"/>
        <w:rPr>
          <w:sz w:val="20"/>
          <w:szCs w:val="20"/>
        </w:rPr>
      </w:pPr>
      <w:r>
        <w:rPr>
          <w:sz w:val="20"/>
          <w:szCs w:val="20"/>
        </w:rPr>
        <w:t>●就遗留问题的处理建议和业主单位达成共识；</w:t>
      </w:r>
    </w:p>
    <w:p w14:paraId="7139B696">
      <w:pPr>
        <w:pStyle w:val="2"/>
        <w:spacing w:before="93" w:line="219" w:lineRule="auto"/>
        <w:rPr>
          <w:sz w:val="20"/>
          <w:szCs w:val="20"/>
        </w:rPr>
      </w:pPr>
      <w:r>
        <w:rPr>
          <w:sz w:val="20"/>
          <w:szCs w:val="20"/>
        </w:rPr>
        <w:t>●根据业主单位要求恢复服务现场原状并保持整洁；</w:t>
      </w:r>
    </w:p>
    <w:p w14:paraId="4939CD13">
      <w:pPr>
        <w:pStyle w:val="2"/>
        <w:spacing w:before="71" w:line="219" w:lineRule="auto"/>
        <w:rPr>
          <w:sz w:val="20"/>
          <w:szCs w:val="20"/>
        </w:rPr>
      </w:pPr>
      <w:r>
        <w:rPr>
          <w:sz w:val="20"/>
          <w:szCs w:val="20"/>
        </w:rPr>
        <w:t>●做必要的安全检查，如清除本次服务临时账号等；</w:t>
      </w:r>
    </w:p>
    <w:p w14:paraId="00875F09">
      <w:pPr>
        <w:pStyle w:val="2"/>
        <w:spacing w:before="84" w:line="219" w:lineRule="auto"/>
        <w:rPr>
          <w:sz w:val="20"/>
          <w:szCs w:val="20"/>
        </w:rPr>
      </w:pPr>
      <w:r>
        <w:rPr>
          <w:spacing w:val="2"/>
          <w:sz w:val="20"/>
          <w:szCs w:val="20"/>
        </w:rPr>
        <w:t>●获得业主单位的离场许可。</w:t>
      </w:r>
    </w:p>
    <w:p w14:paraId="3C78B3CC">
      <w:pPr>
        <w:pStyle w:val="2"/>
        <w:spacing w:before="84" w:line="220" w:lineRule="auto"/>
        <w:rPr>
          <w:sz w:val="20"/>
          <w:szCs w:val="20"/>
        </w:rPr>
      </w:pPr>
      <w:r>
        <w:rPr>
          <w:spacing w:val="2"/>
          <w:sz w:val="20"/>
          <w:szCs w:val="20"/>
        </w:rPr>
        <w:t>(4)在离开业主单位现场后的工作包括：</w:t>
      </w:r>
    </w:p>
    <w:p w14:paraId="586F4B88">
      <w:pPr>
        <w:pStyle w:val="2"/>
        <w:spacing w:before="71" w:line="219" w:lineRule="auto"/>
        <w:rPr>
          <w:sz w:val="20"/>
          <w:szCs w:val="20"/>
        </w:rPr>
      </w:pPr>
      <w:r>
        <w:rPr>
          <w:spacing w:val="3"/>
          <w:sz w:val="20"/>
          <w:szCs w:val="20"/>
        </w:rPr>
        <w:t>●调查客户满意度；</w:t>
      </w:r>
    </w:p>
    <w:p w14:paraId="4A426B37">
      <w:pPr>
        <w:pStyle w:val="2"/>
        <w:spacing w:before="83" w:line="219" w:lineRule="auto"/>
        <w:rPr>
          <w:sz w:val="20"/>
          <w:szCs w:val="20"/>
        </w:rPr>
      </w:pPr>
      <w:r>
        <w:rPr>
          <w:spacing w:val="2"/>
          <w:sz w:val="20"/>
          <w:szCs w:val="20"/>
        </w:rPr>
        <w:t>●更新服务记录；</w:t>
      </w:r>
    </w:p>
    <w:p w14:paraId="4A35BCB6">
      <w:pPr>
        <w:pStyle w:val="2"/>
        <w:spacing w:before="82" w:line="219" w:lineRule="auto"/>
        <w:rPr>
          <w:sz w:val="20"/>
          <w:szCs w:val="20"/>
        </w:rPr>
      </w:pPr>
      <w:r>
        <w:rPr>
          <w:spacing w:val="1"/>
          <w:sz w:val="20"/>
          <w:szCs w:val="20"/>
        </w:rPr>
        <w:t>●就遗留问题寻找解决方案，跟踪解决。</w:t>
      </w:r>
    </w:p>
    <w:p w14:paraId="38C00E57">
      <w:pPr>
        <w:pStyle w:val="2"/>
        <w:spacing w:before="169" w:line="222" w:lineRule="auto"/>
        <w:ind w:left="2"/>
        <w:rPr>
          <w:rFonts w:ascii="黑体" w:hAnsi="黑体" w:eastAsia="黑体" w:cs="黑体"/>
          <w:sz w:val="20"/>
          <w:szCs w:val="20"/>
        </w:rPr>
      </w:pPr>
      <w:r>
        <w:rPr>
          <w:b/>
          <w:bCs/>
          <w:color w:val="005AB4"/>
          <w:spacing w:val="2"/>
          <w:sz w:val="20"/>
          <w:szCs w:val="20"/>
        </w:rPr>
        <w:t>2.</w:t>
      </w:r>
      <w:r>
        <w:rPr>
          <w:rFonts w:ascii="黑体" w:hAnsi="黑体" w:eastAsia="黑体" w:cs="黑体"/>
          <w:b/>
          <w:bCs/>
          <w:color w:val="005AB4"/>
          <w:spacing w:val="2"/>
          <w:sz w:val="20"/>
          <w:szCs w:val="20"/>
        </w:rPr>
        <w:t>远程交付</w:t>
      </w:r>
    </w:p>
    <w:p w14:paraId="39F65FBE">
      <w:pPr>
        <w:pStyle w:val="2"/>
        <w:spacing w:before="142" w:line="219" w:lineRule="auto"/>
        <w:rPr>
          <w:sz w:val="20"/>
          <w:szCs w:val="20"/>
        </w:rPr>
      </w:pPr>
      <w:r>
        <w:rPr>
          <w:spacing w:val="-3"/>
          <w:sz w:val="20"/>
          <w:szCs w:val="20"/>
        </w:rPr>
        <w:t>在实施远程交付的过程中，运维服务提供方需要做好以下工作：</w:t>
      </w:r>
    </w:p>
    <w:p w14:paraId="4FE03754">
      <w:pPr>
        <w:pStyle w:val="2"/>
        <w:spacing w:before="63" w:line="219" w:lineRule="auto"/>
        <w:rPr>
          <w:sz w:val="20"/>
          <w:szCs w:val="20"/>
        </w:rPr>
      </w:pPr>
      <w:r>
        <w:rPr>
          <w:spacing w:val="2"/>
          <w:sz w:val="20"/>
          <w:szCs w:val="20"/>
        </w:rPr>
        <w:t>(1)在提供远程交付前的工作包括：</w:t>
      </w:r>
    </w:p>
    <w:p w14:paraId="7D3793C8">
      <w:pPr>
        <w:pStyle w:val="2"/>
        <w:spacing w:before="54" w:line="282" w:lineRule="auto"/>
        <w:ind w:left="288" w:right="337" w:hanging="289"/>
        <w:rPr>
          <w:sz w:val="16"/>
          <w:szCs w:val="16"/>
        </w:rPr>
      </w:pPr>
      <w:r>
        <w:rPr>
          <w:spacing w:val="3"/>
          <w:sz w:val="20"/>
          <w:szCs w:val="20"/>
        </w:rPr>
        <w:t>●了解需要远程交付的内容、支持时间要求、之前的支持情况及</w:t>
      </w:r>
      <w:r>
        <w:rPr>
          <w:spacing w:val="2"/>
          <w:sz w:val="20"/>
          <w:szCs w:val="20"/>
        </w:rPr>
        <w:t>遗留问题，并与业主单位</w:t>
      </w:r>
      <w:r>
        <w:rPr>
          <w:sz w:val="20"/>
          <w:szCs w:val="20"/>
        </w:rPr>
        <w:t xml:space="preserve"> </w:t>
      </w:r>
      <w:r>
        <w:rPr>
          <w:spacing w:val="-5"/>
          <w:sz w:val="16"/>
          <w:szCs w:val="16"/>
        </w:rPr>
        <w:t>确</w:t>
      </w:r>
      <w:r>
        <w:rPr>
          <w:spacing w:val="-6"/>
          <w:sz w:val="16"/>
          <w:szCs w:val="16"/>
        </w:rPr>
        <w:t xml:space="preserve"> </w:t>
      </w:r>
      <w:r>
        <w:rPr>
          <w:spacing w:val="-5"/>
          <w:sz w:val="16"/>
          <w:szCs w:val="16"/>
        </w:rPr>
        <w:t>认</w:t>
      </w:r>
      <w:r>
        <w:rPr>
          <w:spacing w:val="-13"/>
          <w:sz w:val="16"/>
          <w:szCs w:val="16"/>
        </w:rPr>
        <w:t xml:space="preserve"> </w:t>
      </w:r>
      <w:r>
        <w:rPr>
          <w:spacing w:val="-5"/>
          <w:sz w:val="16"/>
          <w:szCs w:val="16"/>
        </w:rPr>
        <w:t>；</w:t>
      </w:r>
    </w:p>
    <w:p w14:paraId="397A6524">
      <w:pPr>
        <w:pStyle w:val="2"/>
        <w:spacing w:before="99" w:line="219" w:lineRule="auto"/>
        <w:rPr>
          <w:sz w:val="20"/>
          <w:szCs w:val="20"/>
        </w:rPr>
      </w:pPr>
      <w:r>
        <w:rPr>
          <w:spacing w:val="1"/>
          <w:sz w:val="20"/>
          <w:szCs w:val="20"/>
        </w:rPr>
        <w:t>●对复杂或存在风险的工作做好预案，经供需双方审核后实施；</w:t>
      </w:r>
    </w:p>
    <w:p w14:paraId="2B0AF8D7">
      <w:pPr>
        <w:pStyle w:val="2"/>
        <w:spacing w:before="74" w:line="219" w:lineRule="auto"/>
        <w:rPr>
          <w:sz w:val="20"/>
          <w:szCs w:val="20"/>
        </w:rPr>
      </w:pPr>
      <w:r>
        <w:rPr>
          <w:spacing w:val="2"/>
          <w:sz w:val="20"/>
          <w:szCs w:val="20"/>
        </w:rPr>
        <w:t>●确保远程交付所需的工作条件满足安全、稳</w:t>
      </w:r>
      <w:r>
        <w:rPr>
          <w:spacing w:val="1"/>
          <w:sz w:val="20"/>
          <w:szCs w:val="20"/>
        </w:rPr>
        <w:t>定和可用的要求。</w:t>
      </w:r>
    </w:p>
    <w:p w14:paraId="38F5731A">
      <w:pPr>
        <w:pStyle w:val="2"/>
        <w:spacing w:before="93" w:line="219" w:lineRule="auto"/>
        <w:rPr>
          <w:sz w:val="20"/>
          <w:szCs w:val="20"/>
        </w:rPr>
      </w:pPr>
      <w:r>
        <w:rPr>
          <w:spacing w:val="2"/>
          <w:sz w:val="20"/>
          <w:szCs w:val="20"/>
        </w:rPr>
        <w:t>(2)在远程交付过程中的工作包括：</w:t>
      </w:r>
    </w:p>
    <w:p w14:paraId="11F6BDFC">
      <w:pPr>
        <w:pStyle w:val="2"/>
        <w:spacing w:before="61" w:line="219" w:lineRule="auto"/>
        <w:rPr>
          <w:sz w:val="20"/>
          <w:szCs w:val="20"/>
        </w:rPr>
      </w:pPr>
      <w:r>
        <w:rPr>
          <w:spacing w:val="1"/>
          <w:sz w:val="20"/>
          <w:szCs w:val="20"/>
        </w:rPr>
        <w:t>●按照约定的时间提供远程交付；</w:t>
      </w:r>
    </w:p>
    <w:p w14:paraId="2A46A320">
      <w:pPr>
        <w:pStyle w:val="2"/>
        <w:spacing w:before="74" w:line="219" w:lineRule="auto"/>
        <w:rPr>
          <w:sz w:val="20"/>
          <w:szCs w:val="20"/>
        </w:rPr>
      </w:pPr>
      <w:r>
        <w:rPr>
          <w:spacing w:val="1"/>
          <w:sz w:val="20"/>
          <w:szCs w:val="20"/>
        </w:rPr>
        <w:t>●与业主单位确认服务内容、操作流程和可能的风险后实施；</w:t>
      </w:r>
    </w:p>
    <w:p w14:paraId="36409DCC">
      <w:pPr>
        <w:pStyle w:val="2"/>
        <w:spacing w:before="83" w:line="219" w:lineRule="auto"/>
        <w:rPr>
          <w:sz w:val="20"/>
          <w:szCs w:val="20"/>
        </w:rPr>
      </w:pPr>
      <w:r>
        <w:rPr>
          <w:spacing w:val="1"/>
          <w:sz w:val="20"/>
          <w:szCs w:val="20"/>
        </w:rPr>
        <w:t>●严格遵守业主单位的管理制度；</w:t>
      </w:r>
    </w:p>
    <w:p w14:paraId="0FCBC4DA">
      <w:pPr>
        <w:spacing w:line="219" w:lineRule="auto"/>
        <w:rPr>
          <w:sz w:val="20"/>
          <w:szCs w:val="20"/>
        </w:rPr>
        <w:sectPr>
          <w:pgSz w:w="10290" w:h="13310"/>
          <w:pgMar w:top="380" w:right="524" w:bottom="400" w:left="1520" w:header="0" w:footer="0" w:gutter="0"/>
          <w:cols w:space="720" w:num="1"/>
        </w:sectPr>
      </w:pPr>
    </w:p>
    <w:p w14:paraId="4EF79818">
      <w:pPr>
        <w:pStyle w:val="2"/>
        <w:spacing w:before="97" w:line="219" w:lineRule="auto"/>
        <w:rPr>
          <w:sz w:val="19"/>
          <w:szCs w:val="19"/>
        </w:rPr>
      </w:pPr>
      <w:r>
        <w:rPr>
          <w:rFonts w:ascii="Times New Roman" w:hAnsi="Times New Roman" w:eastAsia="Times New Roman" w:cs="Times New Roman"/>
          <w:spacing w:val="4"/>
          <w:sz w:val="19"/>
          <w:szCs w:val="19"/>
        </w:rPr>
        <w:t xml:space="preserve">206              </w:t>
      </w:r>
      <w:r>
        <w:rPr>
          <w:spacing w:val="4"/>
          <w:sz w:val="19"/>
          <w:szCs w:val="19"/>
        </w:rPr>
        <w:t>信息系统监</w:t>
      </w:r>
      <w:r>
        <w:rPr>
          <w:spacing w:val="3"/>
          <w:sz w:val="19"/>
          <w:szCs w:val="19"/>
        </w:rPr>
        <w:t>理师教程(第2版)</w:t>
      </w:r>
    </w:p>
    <w:p w14:paraId="0EBAF296">
      <w:pPr>
        <w:spacing w:line="339" w:lineRule="auto"/>
        <w:rPr>
          <w:rFonts w:ascii="Arial"/>
          <w:sz w:val="21"/>
        </w:rPr>
      </w:pPr>
    </w:p>
    <w:p w14:paraId="1D89D27D">
      <w:pPr>
        <w:pStyle w:val="2"/>
        <w:spacing w:before="62" w:line="219" w:lineRule="auto"/>
        <w:ind w:left="779"/>
        <w:rPr>
          <w:sz w:val="19"/>
          <w:szCs w:val="19"/>
        </w:rPr>
      </w:pPr>
      <w:r>
        <w:rPr>
          <w:spacing w:val="9"/>
          <w:sz w:val="19"/>
          <w:szCs w:val="19"/>
        </w:rPr>
        <w:t>●根据安全要求提供远程交付服务，并做好相关服务记录；</w:t>
      </w:r>
    </w:p>
    <w:p w14:paraId="2D51129C">
      <w:pPr>
        <w:pStyle w:val="2"/>
        <w:spacing w:before="95" w:line="219" w:lineRule="auto"/>
        <w:ind w:left="779"/>
        <w:rPr>
          <w:sz w:val="19"/>
          <w:szCs w:val="19"/>
        </w:rPr>
      </w:pPr>
      <w:r>
        <w:rPr>
          <w:spacing w:val="10"/>
          <w:sz w:val="19"/>
          <w:szCs w:val="19"/>
        </w:rPr>
        <w:t>●完成确认的工作内容；</w:t>
      </w:r>
    </w:p>
    <w:p w14:paraId="22F9C22A">
      <w:pPr>
        <w:pStyle w:val="2"/>
        <w:spacing w:before="104" w:line="219" w:lineRule="auto"/>
        <w:ind w:left="779"/>
        <w:rPr>
          <w:sz w:val="19"/>
          <w:szCs w:val="19"/>
        </w:rPr>
      </w:pPr>
      <w:r>
        <w:rPr>
          <w:spacing w:val="11"/>
          <w:sz w:val="19"/>
          <w:szCs w:val="19"/>
        </w:rPr>
        <w:t>●遇到无法解决的问题或业主单位提出额外要求时，通</w:t>
      </w:r>
      <w:r>
        <w:rPr>
          <w:spacing w:val="10"/>
          <w:sz w:val="19"/>
          <w:szCs w:val="19"/>
        </w:rPr>
        <w:t>知上级，得到授权后再做处理。</w:t>
      </w:r>
    </w:p>
    <w:p w14:paraId="115BF1F3">
      <w:pPr>
        <w:pStyle w:val="2"/>
        <w:spacing w:before="105" w:line="219" w:lineRule="auto"/>
        <w:ind w:left="779"/>
        <w:rPr>
          <w:sz w:val="19"/>
          <w:szCs w:val="19"/>
        </w:rPr>
      </w:pPr>
      <w:r>
        <w:rPr>
          <w:spacing w:val="10"/>
          <w:sz w:val="19"/>
          <w:szCs w:val="19"/>
        </w:rPr>
        <w:t>(3)在结束远程交付前的工作包括：</w:t>
      </w:r>
    </w:p>
    <w:p w14:paraId="632CFAAF">
      <w:pPr>
        <w:pStyle w:val="2"/>
        <w:spacing w:before="84" w:line="219" w:lineRule="auto"/>
        <w:ind w:left="779"/>
        <w:rPr>
          <w:sz w:val="19"/>
          <w:szCs w:val="19"/>
        </w:rPr>
      </w:pPr>
      <w:r>
        <w:rPr>
          <w:spacing w:val="9"/>
          <w:sz w:val="19"/>
          <w:szCs w:val="19"/>
        </w:rPr>
        <w:t>●就遗留问题的处理建议和业主单位达成共识；</w:t>
      </w:r>
    </w:p>
    <w:p w14:paraId="60664581">
      <w:pPr>
        <w:pStyle w:val="2"/>
        <w:spacing w:before="104" w:line="219" w:lineRule="auto"/>
        <w:ind w:left="779"/>
        <w:rPr>
          <w:sz w:val="19"/>
          <w:szCs w:val="19"/>
        </w:rPr>
      </w:pPr>
      <w:r>
        <w:rPr>
          <w:spacing w:val="9"/>
          <w:sz w:val="19"/>
          <w:szCs w:val="19"/>
        </w:rPr>
        <w:t>●做必要的安全检查，如清除本次服务临时账号等；</w:t>
      </w:r>
    </w:p>
    <w:p w14:paraId="1F1B5A0C">
      <w:pPr>
        <w:pStyle w:val="2"/>
        <w:spacing w:before="106" w:line="219" w:lineRule="auto"/>
        <w:ind w:left="779"/>
        <w:rPr>
          <w:sz w:val="19"/>
          <w:szCs w:val="19"/>
        </w:rPr>
      </w:pPr>
      <w:r>
        <w:rPr>
          <w:spacing w:val="11"/>
          <w:sz w:val="19"/>
          <w:szCs w:val="19"/>
        </w:rPr>
        <w:t>●获得业主单位结束许可。</w:t>
      </w:r>
    </w:p>
    <w:p w14:paraId="3AED9850">
      <w:pPr>
        <w:pStyle w:val="2"/>
        <w:spacing w:before="94" w:line="219" w:lineRule="auto"/>
        <w:ind w:left="779"/>
        <w:rPr>
          <w:sz w:val="19"/>
          <w:szCs w:val="19"/>
        </w:rPr>
      </w:pPr>
      <w:r>
        <w:rPr>
          <w:spacing w:val="10"/>
          <w:sz w:val="19"/>
          <w:szCs w:val="19"/>
        </w:rPr>
        <w:t>(4)在结束远程交付后的工作包括：</w:t>
      </w:r>
    </w:p>
    <w:p w14:paraId="650C0576">
      <w:pPr>
        <w:pStyle w:val="2"/>
        <w:spacing w:before="95" w:line="219" w:lineRule="auto"/>
        <w:ind w:left="779"/>
        <w:rPr>
          <w:sz w:val="19"/>
          <w:szCs w:val="19"/>
        </w:rPr>
      </w:pPr>
      <w:r>
        <w:rPr>
          <w:spacing w:val="12"/>
          <w:sz w:val="19"/>
          <w:szCs w:val="19"/>
        </w:rPr>
        <w:t>●调查客户满意度；</w:t>
      </w:r>
    </w:p>
    <w:p w14:paraId="7E0590E4">
      <w:pPr>
        <w:pStyle w:val="2"/>
        <w:spacing w:before="95" w:line="219" w:lineRule="auto"/>
        <w:ind w:left="779"/>
        <w:rPr>
          <w:sz w:val="19"/>
          <w:szCs w:val="19"/>
        </w:rPr>
      </w:pPr>
      <w:r>
        <w:rPr>
          <w:spacing w:val="9"/>
          <w:sz w:val="19"/>
          <w:szCs w:val="19"/>
        </w:rPr>
        <w:t>●</w:t>
      </w:r>
      <w:r>
        <w:rPr>
          <w:spacing w:val="-53"/>
          <w:sz w:val="19"/>
          <w:szCs w:val="19"/>
        </w:rPr>
        <w:t xml:space="preserve"> </w:t>
      </w:r>
      <w:r>
        <w:rPr>
          <w:spacing w:val="9"/>
          <w:sz w:val="19"/>
          <w:szCs w:val="19"/>
        </w:rPr>
        <w:t>更新服务记录；</w:t>
      </w:r>
    </w:p>
    <w:p w14:paraId="71B24D08">
      <w:pPr>
        <w:pStyle w:val="2"/>
        <w:spacing w:before="104" w:line="219" w:lineRule="auto"/>
        <w:ind w:left="779"/>
        <w:rPr>
          <w:sz w:val="19"/>
          <w:szCs w:val="19"/>
        </w:rPr>
      </w:pPr>
      <w:r>
        <w:rPr>
          <w:spacing w:val="11"/>
          <w:sz w:val="19"/>
          <w:szCs w:val="19"/>
        </w:rPr>
        <w:t>●就遗留问题寻找解决方案，跟踪解决。</w:t>
      </w:r>
    </w:p>
    <w:p w14:paraId="69794CE4">
      <w:pPr>
        <w:spacing w:line="379" w:lineRule="auto"/>
        <w:rPr>
          <w:rFonts w:ascii="Arial"/>
          <w:sz w:val="21"/>
        </w:rPr>
      </w:pPr>
    </w:p>
    <w:p w14:paraId="6E2CA376">
      <w:pPr>
        <w:pStyle w:val="2"/>
        <w:spacing w:before="82" w:line="219" w:lineRule="auto"/>
        <w:ind w:left="373"/>
        <w:rPr>
          <w:sz w:val="25"/>
          <w:szCs w:val="25"/>
        </w:rPr>
      </w:pPr>
      <w:bookmarkStart w:id="589" w:name="bookmark574"/>
      <w:bookmarkEnd w:id="589"/>
      <w:r>
        <w:rPr>
          <w:b/>
          <w:bCs/>
          <w:color w:val="006AC7"/>
          <w:spacing w:val="16"/>
          <w:sz w:val="25"/>
          <w:szCs w:val="25"/>
        </w:rPr>
        <w:t>7.4</w:t>
      </w:r>
      <w:r>
        <w:rPr>
          <w:color w:val="006AC7"/>
          <w:spacing w:val="30"/>
          <w:sz w:val="25"/>
          <w:szCs w:val="25"/>
        </w:rPr>
        <w:t xml:space="preserve">  </w:t>
      </w:r>
      <w:r>
        <w:rPr>
          <w:b/>
          <w:bCs/>
          <w:color w:val="006AC7"/>
          <w:spacing w:val="16"/>
          <w:sz w:val="25"/>
          <w:szCs w:val="25"/>
        </w:rPr>
        <w:t>运行维护应急管理</w:t>
      </w:r>
    </w:p>
    <w:p w14:paraId="2BCB5A28">
      <w:pPr>
        <w:pStyle w:val="2"/>
        <w:spacing w:before="284" w:line="298" w:lineRule="auto"/>
        <w:ind w:left="369" w:right="18" w:firstLine="410"/>
        <w:rPr>
          <w:sz w:val="19"/>
          <w:szCs w:val="19"/>
        </w:rPr>
      </w:pPr>
      <w:r>
        <w:rPr>
          <w:spacing w:val="13"/>
          <w:sz w:val="19"/>
          <w:szCs w:val="19"/>
        </w:rPr>
        <w:t>运行维护应急管理包括建立应急管理制度、规范</w:t>
      </w:r>
      <w:r>
        <w:rPr>
          <w:spacing w:val="12"/>
          <w:sz w:val="19"/>
          <w:szCs w:val="19"/>
        </w:rPr>
        <w:t>应急响应组织、制定应急响应预案、组织</w:t>
      </w:r>
      <w:r>
        <w:rPr>
          <w:sz w:val="19"/>
          <w:szCs w:val="19"/>
        </w:rPr>
        <w:t xml:space="preserve"> </w:t>
      </w:r>
      <w:r>
        <w:rPr>
          <w:spacing w:val="7"/>
          <w:sz w:val="19"/>
          <w:szCs w:val="19"/>
        </w:rPr>
        <w:t>培训并开展应急演练、应急响应工作总结等内容。</w:t>
      </w:r>
    </w:p>
    <w:p w14:paraId="64E709ED">
      <w:pPr>
        <w:pStyle w:val="2"/>
        <w:spacing w:before="186" w:line="219" w:lineRule="auto"/>
        <w:ind w:left="372"/>
        <w:rPr>
          <w:sz w:val="25"/>
          <w:szCs w:val="25"/>
        </w:rPr>
      </w:pPr>
      <w:r>
        <w:rPr>
          <w:b/>
          <w:bCs/>
          <w:color w:val="008BE9"/>
          <w:spacing w:val="-17"/>
          <w:sz w:val="25"/>
          <w:szCs w:val="25"/>
        </w:rPr>
        <w:t>7.4.1</w:t>
      </w:r>
      <w:r>
        <w:rPr>
          <w:color w:val="008BE9"/>
          <w:spacing w:val="41"/>
          <w:sz w:val="25"/>
          <w:szCs w:val="25"/>
        </w:rPr>
        <w:t xml:space="preserve"> </w:t>
      </w:r>
      <w:r>
        <w:rPr>
          <w:b/>
          <w:bCs/>
          <w:color w:val="008BE9"/>
          <w:spacing w:val="-17"/>
          <w:sz w:val="25"/>
          <w:szCs w:val="25"/>
        </w:rPr>
        <w:t>建立应急管理制度</w:t>
      </w:r>
    </w:p>
    <w:p w14:paraId="39CD0A19">
      <w:pPr>
        <w:pStyle w:val="2"/>
        <w:spacing w:before="164" w:line="299" w:lineRule="auto"/>
        <w:ind w:left="369" w:right="18" w:firstLine="410"/>
        <w:rPr>
          <w:sz w:val="19"/>
          <w:szCs w:val="19"/>
        </w:rPr>
      </w:pPr>
      <w:r>
        <w:rPr>
          <w:spacing w:val="13"/>
          <w:sz w:val="19"/>
          <w:szCs w:val="19"/>
        </w:rPr>
        <w:t>业主单位负责制定应急响应制度，明确应急响应</w:t>
      </w:r>
      <w:r>
        <w:rPr>
          <w:spacing w:val="12"/>
          <w:sz w:val="19"/>
          <w:szCs w:val="19"/>
        </w:rPr>
        <w:t>的目标、原则、范围及各项管理制度。具</w:t>
      </w:r>
      <w:r>
        <w:rPr>
          <w:sz w:val="19"/>
          <w:szCs w:val="19"/>
        </w:rPr>
        <w:t xml:space="preserve"> </w:t>
      </w:r>
      <w:r>
        <w:rPr>
          <w:spacing w:val="2"/>
          <w:sz w:val="19"/>
          <w:szCs w:val="19"/>
        </w:rPr>
        <w:t>体要求如下：</w:t>
      </w:r>
    </w:p>
    <w:p w14:paraId="6B8B1342">
      <w:pPr>
        <w:pStyle w:val="2"/>
        <w:spacing w:before="25" w:line="219" w:lineRule="auto"/>
        <w:ind w:left="779"/>
        <w:rPr>
          <w:sz w:val="19"/>
          <w:szCs w:val="19"/>
        </w:rPr>
      </w:pPr>
      <w:r>
        <w:rPr>
          <w:spacing w:val="10"/>
          <w:sz w:val="19"/>
          <w:szCs w:val="19"/>
        </w:rPr>
        <w:t>●应急管理制度要遵循统一领导、分级负责、预防为主、快</w:t>
      </w:r>
      <w:r>
        <w:rPr>
          <w:spacing w:val="9"/>
          <w:sz w:val="19"/>
          <w:szCs w:val="19"/>
        </w:rPr>
        <w:t>速响应的原则；</w:t>
      </w:r>
    </w:p>
    <w:p w14:paraId="3EA21DC8">
      <w:pPr>
        <w:pStyle w:val="2"/>
        <w:spacing w:before="96" w:line="220" w:lineRule="auto"/>
        <w:ind w:left="779"/>
        <w:rPr>
          <w:sz w:val="19"/>
          <w:szCs w:val="19"/>
        </w:rPr>
      </w:pPr>
      <w:r>
        <w:rPr>
          <w:spacing w:val="10"/>
          <w:sz w:val="19"/>
          <w:szCs w:val="19"/>
        </w:rPr>
        <w:t>●与相关利益方就应急响应制度达成一致；</w:t>
      </w:r>
    </w:p>
    <w:p w14:paraId="7BFFEAF1">
      <w:pPr>
        <w:pStyle w:val="2"/>
        <w:spacing w:before="93" w:line="220" w:lineRule="auto"/>
        <w:ind w:left="779"/>
        <w:rPr>
          <w:sz w:val="19"/>
          <w:szCs w:val="19"/>
        </w:rPr>
      </w:pPr>
      <w:r>
        <w:rPr>
          <w:spacing w:val="11"/>
          <w:sz w:val="19"/>
          <w:szCs w:val="19"/>
        </w:rPr>
        <w:t>●定期对应急响应制度进行评审；</w:t>
      </w:r>
    </w:p>
    <w:p w14:paraId="5EFCFE12">
      <w:pPr>
        <w:pStyle w:val="2"/>
        <w:spacing w:before="103" w:line="219" w:lineRule="auto"/>
        <w:ind w:left="779"/>
        <w:rPr>
          <w:sz w:val="19"/>
          <w:szCs w:val="19"/>
        </w:rPr>
      </w:pPr>
      <w:r>
        <w:rPr>
          <w:spacing w:val="11"/>
          <w:sz w:val="19"/>
          <w:szCs w:val="19"/>
        </w:rPr>
        <w:t>●在组织战略、业务流程、客户要求等发生重大变化时</w:t>
      </w:r>
      <w:r>
        <w:rPr>
          <w:spacing w:val="10"/>
          <w:sz w:val="19"/>
          <w:szCs w:val="19"/>
        </w:rPr>
        <w:t>调整应急管理制度。</w:t>
      </w:r>
    </w:p>
    <w:p w14:paraId="3B240A01">
      <w:pPr>
        <w:pStyle w:val="2"/>
        <w:spacing w:before="247" w:line="221" w:lineRule="auto"/>
        <w:ind w:left="372"/>
        <w:rPr>
          <w:sz w:val="25"/>
          <w:szCs w:val="25"/>
        </w:rPr>
      </w:pPr>
      <w:r>
        <w:rPr>
          <w:b/>
          <w:bCs/>
          <w:color w:val="007CDB"/>
          <w:spacing w:val="-18"/>
          <w:sz w:val="25"/>
          <w:szCs w:val="25"/>
        </w:rPr>
        <w:t>7.4.2</w:t>
      </w:r>
      <w:r>
        <w:rPr>
          <w:color w:val="007CDB"/>
          <w:spacing w:val="53"/>
          <w:sz w:val="25"/>
          <w:szCs w:val="25"/>
        </w:rPr>
        <w:t xml:space="preserve"> </w:t>
      </w:r>
      <w:r>
        <w:rPr>
          <w:b/>
          <w:bCs/>
          <w:color w:val="007CDB"/>
          <w:spacing w:val="-18"/>
          <w:sz w:val="25"/>
          <w:szCs w:val="25"/>
        </w:rPr>
        <w:t>规范应急响应组织</w:t>
      </w:r>
    </w:p>
    <w:p w14:paraId="3DC2460E">
      <w:pPr>
        <w:pStyle w:val="2"/>
        <w:spacing w:before="169" w:line="292" w:lineRule="auto"/>
        <w:ind w:left="369" w:right="20" w:firstLine="410"/>
        <w:jc w:val="both"/>
        <w:rPr>
          <w:sz w:val="19"/>
          <w:szCs w:val="19"/>
        </w:rPr>
      </w:pPr>
      <w:r>
        <w:rPr>
          <w:spacing w:val="13"/>
          <w:sz w:val="19"/>
          <w:szCs w:val="19"/>
        </w:rPr>
        <w:t>在日常运行维护交付工作的基础上建立应急</w:t>
      </w:r>
      <w:r>
        <w:rPr>
          <w:spacing w:val="12"/>
          <w:sz w:val="19"/>
          <w:szCs w:val="19"/>
        </w:rPr>
        <w:t>响应组织，应急管理组织架构由运维项目相关</w:t>
      </w:r>
      <w:r>
        <w:rPr>
          <w:sz w:val="19"/>
          <w:szCs w:val="19"/>
        </w:rPr>
        <w:t xml:space="preserve"> </w:t>
      </w:r>
      <w:r>
        <w:rPr>
          <w:spacing w:val="13"/>
          <w:sz w:val="19"/>
          <w:szCs w:val="19"/>
        </w:rPr>
        <w:t>单位组成，包括业主单位的信息化主管部门、信息系统</w:t>
      </w:r>
      <w:r>
        <w:rPr>
          <w:spacing w:val="12"/>
          <w:sz w:val="19"/>
          <w:szCs w:val="19"/>
        </w:rPr>
        <w:t>的运维服务提供方、运维服务执行单位</w:t>
      </w:r>
      <w:r>
        <w:rPr>
          <w:sz w:val="19"/>
          <w:szCs w:val="19"/>
        </w:rPr>
        <w:t xml:space="preserve"> </w:t>
      </w:r>
      <w:r>
        <w:rPr>
          <w:spacing w:val="4"/>
          <w:sz w:val="19"/>
          <w:szCs w:val="19"/>
        </w:rPr>
        <w:t>等。具体要求如下：</w:t>
      </w:r>
    </w:p>
    <w:p w14:paraId="660D84BE">
      <w:pPr>
        <w:pStyle w:val="2"/>
        <w:spacing w:before="29" w:line="274" w:lineRule="auto"/>
        <w:ind w:left="1029" w:right="18" w:hanging="250"/>
        <w:rPr>
          <w:sz w:val="19"/>
          <w:szCs w:val="19"/>
        </w:rPr>
      </w:pPr>
      <w:r>
        <w:rPr>
          <w:spacing w:val="18"/>
          <w:sz w:val="19"/>
          <w:szCs w:val="19"/>
        </w:rPr>
        <w:t>●实行统一领导，分级负责。在业主单位信息化主管部门的统一领导下，建</w:t>
      </w:r>
      <w:r>
        <w:rPr>
          <w:spacing w:val="17"/>
          <w:sz w:val="19"/>
          <w:szCs w:val="19"/>
        </w:rPr>
        <w:t>立“分级管</w:t>
      </w:r>
      <w:r>
        <w:rPr>
          <w:sz w:val="19"/>
          <w:szCs w:val="19"/>
        </w:rPr>
        <w:t xml:space="preserve"> </w:t>
      </w:r>
      <w:r>
        <w:rPr>
          <w:spacing w:val="11"/>
          <w:sz w:val="19"/>
          <w:szCs w:val="19"/>
        </w:rPr>
        <w:t>理，分线负责”的应急管理制度，各司其职</w:t>
      </w:r>
      <w:r>
        <w:rPr>
          <w:spacing w:val="10"/>
          <w:sz w:val="19"/>
          <w:szCs w:val="19"/>
        </w:rPr>
        <w:t>、各负其责，应充分发挥应急响应的指挥协</w:t>
      </w:r>
      <w:r>
        <w:rPr>
          <w:sz w:val="19"/>
          <w:szCs w:val="19"/>
        </w:rPr>
        <w:t xml:space="preserve"> </w:t>
      </w:r>
      <w:r>
        <w:rPr>
          <w:spacing w:val="1"/>
          <w:sz w:val="19"/>
          <w:szCs w:val="19"/>
        </w:rPr>
        <w:t>调作用。</w:t>
      </w:r>
    </w:p>
    <w:p w14:paraId="76267EEB">
      <w:pPr>
        <w:pStyle w:val="2"/>
        <w:spacing w:before="101" w:line="270" w:lineRule="auto"/>
        <w:ind w:left="1029" w:right="20" w:hanging="250"/>
        <w:rPr>
          <w:sz w:val="19"/>
          <w:szCs w:val="19"/>
        </w:rPr>
      </w:pPr>
      <w:r>
        <w:rPr>
          <w:spacing w:val="18"/>
          <w:sz w:val="19"/>
          <w:szCs w:val="19"/>
        </w:rPr>
        <w:t>●规定运行维护服务及应急响应相关的所有人员角色及职责，至少应包</w:t>
      </w:r>
      <w:r>
        <w:rPr>
          <w:spacing w:val="17"/>
          <w:sz w:val="19"/>
          <w:szCs w:val="19"/>
        </w:rPr>
        <w:t>括应急响应责任</w:t>
      </w:r>
      <w:r>
        <w:rPr>
          <w:sz w:val="19"/>
          <w:szCs w:val="19"/>
        </w:rPr>
        <w:t xml:space="preserve"> </w:t>
      </w:r>
      <w:r>
        <w:rPr>
          <w:spacing w:val="9"/>
          <w:sz w:val="19"/>
          <w:szCs w:val="19"/>
        </w:rPr>
        <w:t>者、运维现场负责人、分组负责人、值班人员等，并为关键角色提供备份人选。</w:t>
      </w:r>
    </w:p>
    <w:p w14:paraId="1A1D56D9">
      <w:pPr>
        <w:pStyle w:val="2"/>
        <w:spacing w:before="85" w:line="258" w:lineRule="auto"/>
        <w:ind w:left="1029" w:hanging="250"/>
        <w:rPr>
          <w:sz w:val="19"/>
          <w:szCs w:val="19"/>
        </w:rPr>
      </w:pPr>
      <w:r>
        <w:rPr>
          <w:spacing w:val="18"/>
          <w:sz w:val="19"/>
          <w:szCs w:val="19"/>
        </w:rPr>
        <w:t>●与相关单位就应急响应服务的范围、要求等达成一致，确定沟通流程和方式，并形成</w:t>
      </w:r>
      <w:r>
        <w:rPr>
          <w:spacing w:val="14"/>
          <w:sz w:val="19"/>
          <w:szCs w:val="19"/>
        </w:rPr>
        <w:t xml:space="preserve"> </w:t>
      </w:r>
      <w:r>
        <w:rPr>
          <w:spacing w:val="8"/>
          <w:sz w:val="19"/>
          <w:szCs w:val="19"/>
        </w:rPr>
        <w:t>记录。</w:t>
      </w:r>
    </w:p>
    <w:p w14:paraId="1D36CA45">
      <w:pPr>
        <w:spacing w:line="258" w:lineRule="auto"/>
        <w:rPr>
          <w:sz w:val="19"/>
          <w:szCs w:val="19"/>
        </w:rPr>
        <w:sectPr>
          <w:pgSz w:w="10310" w:h="13380"/>
          <w:pgMar w:top="400" w:right="1100" w:bottom="400" w:left="510" w:header="0" w:footer="0" w:gutter="0"/>
          <w:cols w:space="720" w:num="1"/>
        </w:sectPr>
      </w:pPr>
    </w:p>
    <w:p w14:paraId="2349D0CB">
      <w:pPr>
        <w:pStyle w:val="2"/>
        <w:spacing w:before="19"/>
        <w:jc w:val="right"/>
        <w:rPr>
          <w:rFonts w:ascii="Times New Roman" w:hAnsi="Times New Roman" w:eastAsia="Times New Roman" w:cs="Times New Roman"/>
          <w:sz w:val="17"/>
          <w:szCs w:val="17"/>
        </w:rPr>
      </w:pPr>
      <w:r>
        <w:rPr>
          <w:b/>
          <w:bCs/>
          <w:spacing w:val="1"/>
          <w:sz w:val="20"/>
          <w:szCs w:val="20"/>
        </w:rPr>
        <w:t>第7章</w:t>
      </w:r>
      <w:r>
        <w:rPr>
          <w:spacing w:val="19"/>
          <w:sz w:val="20"/>
          <w:szCs w:val="20"/>
        </w:rPr>
        <w:t xml:space="preserve"> </w:t>
      </w:r>
      <w:r>
        <w:rPr>
          <w:b/>
          <w:bCs/>
          <w:spacing w:val="1"/>
          <w:sz w:val="20"/>
          <w:szCs w:val="20"/>
        </w:rPr>
        <w:t>运行维护</w:t>
      </w:r>
      <w:r>
        <w:rPr>
          <w:spacing w:val="58"/>
          <w:sz w:val="20"/>
          <w:szCs w:val="20"/>
        </w:rPr>
        <w:t xml:space="preserve"> </w:t>
      </w:r>
      <w:r>
        <w:rPr>
          <w:position w:val="-8"/>
          <w:sz w:val="20"/>
          <w:szCs w:val="20"/>
        </w:rPr>
        <w:drawing>
          <wp:inline distT="0" distB="0" distL="0" distR="0">
            <wp:extent cx="279400" cy="20256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46"/>
                    <a:stretch>
                      <a:fillRect/>
                    </a:stretch>
                  </pic:blipFill>
                  <pic:spPr>
                    <a:xfrm>
                      <a:off x="0" y="0"/>
                      <a:ext cx="279400" cy="203162"/>
                    </a:xfrm>
                    <a:prstGeom prst="rect">
                      <a:avLst/>
                    </a:prstGeom>
                  </pic:spPr>
                </pic:pic>
              </a:graphicData>
            </a:graphic>
          </wp:inline>
        </w:drawing>
      </w:r>
      <w:r>
        <w:rPr>
          <w:rFonts w:ascii="Times New Roman" w:hAnsi="Times New Roman" w:eastAsia="Times New Roman" w:cs="Times New Roman"/>
          <w:spacing w:val="1"/>
          <w:sz w:val="17"/>
          <w:szCs w:val="17"/>
        </w:rPr>
        <w:t>207</w:t>
      </w:r>
    </w:p>
    <w:p w14:paraId="2B818C70">
      <w:pPr>
        <w:spacing w:line="271" w:lineRule="auto"/>
        <w:rPr>
          <w:rFonts w:ascii="Arial"/>
          <w:sz w:val="21"/>
        </w:rPr>
      </w:pPr>
    </w:p>
    <w:p w14:paraId="06E3A699">
      <w:pPr>
        <w:pStyle w:val="2"/>
        <w:spacing w:before="65" w:line="219" w:lineRule="auto"/>
        <w:ind w:left="389"/>
        <w:rPr>
          <w:sz w:val="20"/>
          <w:szCs w:val="20"/>
        </w:rPr>
      </w:pPr>
      <w:r>
        <w:rPr>
          <w:spacing w:val="1"/>
          <w:sz w:val="20"/>
          <w:szCs w:val="20"/>
        </w:rPr>
        <w:t>●如果应急组织内的人员发生变更，应及时</w:t>
      </w:r>
      <w:r>
        <w:rPr>
          <w:sz w:val="20"/>
          <w:szCs w:val="20"/>
        </w:rPr>
        <w:t>与相关单位进行通报，并记录。</w:t>
      </w:r>
    </w:p>
    <w:p w14:paraId="472EEAB1">
      <w:pPr>
        <w:pStyle w:val="2"/>
        <w:spacing w:before="251" w:line="220" w:lineRule="auto"/>
        <w:ind w:left="2"/>
        <w:rPr>
          <w:sz w:val="25"/>
          <w:szCs w:val="25"/>
        </w:rPr>
      </w:pPr>
      <w:bookmarkStart w:id="590" w:name="bookmark575"/>
      <w:bookmarkEnd w:id="590"/>
      <w:r>
        <w:rPr>
          <w:b/>
          <w:bCs/>
          <w:color w:val="0666BA"/>
          <w:spacing w:val="-19"/>
          <w:sz w:val="25"/>
          <w:szCs w:val="25"/>
        </w:rPr>
        <w:t>7.4.3</w:t>
      </w:r>
      <w:r>
        <w:rPr>
          <w:color w:val="0666BA"/>
          <w:spacing w:val="78"/>
          <w:sz w:val="25"/>
          <w:szCs w:val="25"/>
        </w:rPr>
        <w:t xml:space="preserve"> </w:t>
      </w:r>
      <w:r>
        <w:rPr>
          <w:b/>
          <w:bCs/>
          <w:color w:val="0666BA"/>
          <w:spacing w:val="-19"/>
          <w:sz w:val="25"/>
          <w:szCs w:val="25"/>
        </w:rPr>
        <w:t>制定应急响应预案</w:t>
      </w:r>
    </w:p>
    <w:p w14:paraId="14EF2117">
      <w:pPr>
        <w:pStyle w:val="2"/>
        <w:spacing w:before="172" w:line="274" w:lineRule="auto"/>
        <w:ind w:right="274" w:firstLine="389"/>
        <w:rPr>
          <w:sz w:val="20"/>
          <w:szCs w:val="20"/>
        </w:rPr>
      </w:pPr>
      <w:r>
        <w:rPr>
          <w:spacing w:val="3"/>
          <w:sz w:val="20"/>
          <w:szCs w:val="20"/>
        </w:rPr>
        <w:t>结合信息系统现状和要求开展风险评估，从技术和管理等方面确定风险要素，制定应</w:t>
      </w:r>
      <w:r>
        <w:rPr>
          <w:spacing w:val="2"/>
          <w:sz w:val="20"/>
          <w:szCs w:val="20"/>
        </w:rPr>
        <w:t>急响</w:t>
      </w:r>
      <w:r>
        <w:rPr>
          <w:sz w:val="20"/>
          <w:szCs w:val="20"/>
        </w:rPr>
        <w:t xml:space="preserve"> </w:t>
      </w:r>
      <w:r>
        <w:rPr>
          <w:spacing w:val="-4"/>
          <w:sz w:val="20"/>
          <w:szCs w:val="20"/>
        </w:rPr>
        <w:t>应预案，主要包括以下内容：</w:t>
      </w:r>
    </w:p>
    <w:p w14:paraId="198DFF3E">
      <w:pPr>
        <w:pStyle w:val="2"/>
        <w:spacing w:before="26" w:line="218" w:lineRule="auto"/>
        <w:ind w:left="389"/>
        <w:rPr>
          <w:sz w:val="20"/>
          <w:szCs w:val="20"/>
        </w:rPr>
      </w:pPr>
      <w:r>
        <w:rPr>
          <w:sz w:val="20"/>
          <w:szCs w:val="20"/>
        </w:rPr>
        <w:t>●对风险要素进行评估，形成风险评估报告，并对识别的风险形成应对措施；</w:t>
      </w:r>
    </w:p>
    <w:p w14:paraId="1080D8E1">
      <w:pPr>
        <w:pStyle w:val="2"/>
        <w:spacing w:before="95" w:line="219" w:lineRule="auto"/>
        <w:ind w:left="389"/>
        <w:rPr>
          <w:sz w:val="20"/>
          <w:szCs w:val="20"/>
        </w:rPr>
      </w:pPr>
      <w:r>
        <w:rPr>
          <w:spacing w:val="1"/>
          <w:sz w:val="20"/>
          <w:szCs w:val="20"/>
        </w:rPr>
        <w:t>●根据风险级别制定相应的应急响应预案；</w:t>
      </w:r>
    </w:p>
    <w:p w14:paraId="0BBEA1E5">
      <w:pPr>
        <w:pStyle w:val="2"/>
        <w:spacing w:before="83" w:line="219" w:lineRule="auto"/>
        <w:ind w:left="389"/>
        <w:rPr>
          <w:sz w:val="20"/>
          <w:szCs w:val="20"/>
        </w:rPr>
      </w:pPr>
      <w:r>
        <w:rPr>
          <w:sz w:val="20"/>
          <w:szCs w:val="20"/>
        </w:rPr>
        <w:t>●应急响应预案可以分为总体预案和针对某个核心系统的专项预案；</w:t>
      </w:r>
    </w:p>
    <w:p w14:paraId="1D6538F2">
      <w:pPr>
        <w:pStyle w:val="2"/>
        <w:spacing w:before="91" w:line="219" w:lineRule="auto"/>
        <w:ind w:left="389"/>
        <w:rPr>
          <w:sz w:val="20"/>
          <w:szCs w:val="20"/>
        </w:rPr>
      </w:pPr>
      <w:r>
        <w:rPr>
          <w:spacing w:val="1"/>
          <w:sz w:val="20"/>
          <w:szCs w:val="20"/>
        </w:rPr>
        <w:t>●应急响应预案的格式应该能够为应急响应组织进行系统恢复操作</w:t>
      </w:r>
      <w:r>
        <w:rPr>
          <w:sz w:val="20"/>
          <w:szCs w:val="20"/>
        </w:rPr>
        <w:t>提供快速明确的指导；</w:t>
      </w:r>
    </w:p>
    <w:p w14:paraId="4918C628">
      <w:pPr>
        <w:pStyle w:val="2"/>
        <w:spacing w:before="83" w:line="219" w:lineRule="auto"/>
        <w:ind w:left="389"/>
        <w:rPr>
          <w:sz w:val="20"/>
          <w:szCs w:val="20"/>
        </w:rPr>
      </w:pPr>
      <w:r>
        <w:rPr>
          <w:spacing w:val="1"/>
          <w:sz w:val="20"/>
          <w:szCs w:val="20"/>
        </w:rPr>
        <w:t>●应急响应预案要清晰、简洁，易于在紧急情况下执行，可使用检查列表；</w:t>
      </w:r>
    </w:p>
    <w:p w14:paraId="2E0F05D1">
      <w:pPr>
        <w:pStyle w:val="2"/>
        <w:spacing w:before="93" w:line="219" w:lineRule="auto"/>
        <w:ind w:left="389"/>
        <w:rPr>
          <w:sz w:val="20"/>
          <w:szCs w:val="20"/>
        </w:rPr>
      </w:pPr>
      <w:r>
        <w:rPr>
          <w:spacing w:val="1"/>
          <w:sz w:val="20"/>
          <w:szCs w:val="20"/>
        </w:rPr>
        <w:t>●应针对应急预案定期开展培训，至少每年举办一次。</w:t>
      </w:r>
    </w:p>
    <w:p w14:paraId="0CA1F753">
      <w:pPr>
        <w:pStyle w:val="2"/>
        <w:spacing w:before="253" w:line="219" w:lineRule="auto"/>
        <w:ind w:left="2"/>
        <w:rPr>
          <w:sz w:val="25"/>
          <w:szCs w:val="25"/>
        </w:rPr>
      </w:pPr>
      <w:r>
        <w:rPr>
          <w:b/>
          <w:bCs/>
          <w:color w:val="006CCC"/>
          <w:spacing w:val="-18"/>
          <w:sz w:val="25"/>
          <w:szCs w:val="25"/>
        </w:rPr>
        <w:t>7.4.4</w:t>
      </w:r>
      <w:r>
        <w:rPr>
          <w:color w:val="006CCC"/>
          <w:spacing w:val="89"/>
          <w:sz w:val="25"/>
          <w:szCs w:val="25"/>
        </w:rPr>
        <w:t xml:space="preserve"> </w:t>
      </w:r>
      <w:r>
        <w:rPr>
          <w:b/>
          <w:bCs/>
          <w:color w:val="006CCC"/>
          <w:spacing w:val="-18"/>
          <w:sz w:val="25"/>
          <w:szCs w:val="25"/>
        </w:rPr>
        <w:t>组织培训并开展应急演练</w:t>
      </w:r>
    </w:p>
    <w:p w14:paraId="43EC5F88">
      <w:pPr>
        <w:pStyle w:val="2"/>
        <w:spacing w:before="173" w:line="264" w:lineRule="auto"/>
        <w:ind w:right="283" w:firstLine="389"/>
        <w:rPr>
          <w:sz w:val="20"/>
          <w:szCs w:val="20"/>
        </w:rPr>
      </w:pPr>
      <w:r>
        <w:rPr>
          <w:spacing w:val="3"/>
          <w:sz w:val="20"/>
          <w:szCs w:val="20"/>
        </w:rPr>
        <w:t>为检验应急响应预案的有效性，同时使相关人员了解运行维护预案</w:t>
      </w:r>
      <w:r>
        <w:rPr>
          <w:spacing w:val="2"/>
          <w:sz w:val="20"/>
          <w:szCs w:val="20"/>
        </w:rPr>
        <w:t>的目标和内容，熟悉应</w:t>
      </w:r>
      <w:r>
        <w:rPr>
          <w:sz w:val="20"/>
          <w:szCs w:val="20"/>
        </w:rPr>
        <w:t xml:space="preserve"> </w:t>
      </w:r>
      <w:r>
        <w:rPr>
          <w:spacing w:val="-2"/>
          <w:sz w:val="20"/>
          <w:szCs w:val="20"/>
        </w:rPr>
        <w:t>急响应的操作规程，运维服务团队应进行应急演练，具体执行工作应包括：</w:t>
      </w:r>
    </w:p>
    <w:p w14:paraId="4D312A24">
      <w:pPr>
        <w:pStyle w:val="2"/>
        <w:spacing w:before="48" w:line="219" w:lineRule="auto"/>
        <w:ind w:left="389"/>
        <w:rPr>
          <w:sz w:val="20"/>
          <w:szCs w:val="20"/>
        </w:rPr>
      </w:pPr>
      <w:r>
        <w:rPr>
          <w:sz w:val="20"/>
          <w:szCs w:val="20"/>
        </w:rPr>
        <w:t>●制订应急演练计划、演练脚本；</w:t>
      </w:r>
    </w:p>
    <w:p w14:paraId="112C01D1">
      <w:pPr>
        <w:pStyle w:val="2"/>
        <w:spacing w:before="83" w:line="219" w:lineRule="auto"/>
        <w:ind w:left="389"/>
        <w:rPr>
          <w:sz w:val="20"/>
          <w:szCs w:val="20"/>
        </w:rPr>
      </w:pPr>
      <w:r>
        <w:rPr>
          <w:sz w:val="20"/>
          <w:szCs w:val="20"/>
        </w:rPr>
        <w:t>●对应急组织人员进行培训，讲解应急演练预案、应急演练计划和脚本；</w:t>
      </w:r>
    </w:p>
    <w:p w14:paraId="193486F8">
      <w:pPr>
        <w:pStyle w:val="2"/>
        <w:spacing w:before="82" w:line="218" w:lineRule="auto"/>
        <w:ind w:left="389"/>
        <w:rPr>
          <w:sz w:val="20"/>
          <w:szCs w:val="20"/>
        </w:rPr>
      </w:pPr>
      <w:r>
        <w:rPr>
          <w:spacing w:val="1"/>
          <w:sz w:val="20"/>
          <w:szCs w:val="20"/>
        </w:rPr>
        <w:t>●对应急演练的整个过程进行详细记录，并形成报告；</w:t>
      </w:r>
    </w:p>
    <w:p w14:paraId="6F1D0EE5">
      <w:pPr>
        <w:pStyle w:val="2"/>
        <w:spacing w:before="96" w:line="219" w:lineRule="auto"/>
        <w:ind w:left="389"/>
        <w:rPr>
          <w:sz w:val="20"/>
          <w:szCs w:val="20"/>
        </w:rPr>
      </w:pPr>
      <w:r>
        <w:rPr>
          <w:spacing w:val="2"/>
          <w:sz w:val="20"/>
          <w:szCs w:val="20"/>
        </w:rPr>
        <w:t>●要保证应急演练的过程不影响业务的正常运行。</w:t>
      </w:r>
    </w:p>
    <w:p w14:paraId="083C6F84">
      <w:pPr>
        <w:pStyle w:val="2"/>
        <w:spacing w:before="232" w:line="220" w:lineRule="auto"/>
        <w:rPr>
          <w:sz w:val="25"/>
          <w:szCs w:val="25"/>
        </w:rPr>
      </w:pPr>
      <w:r>
        <w:rPr>
          <w:rFonts w:ascii="Arial" w:hAnsi="Arial" w:eastAsia="Arial" w:cs="Arial"/>
          <w:b/>
          <w:bCs/>
          <w:color w:val="0061C3"/>
          <w:spacing w:val="-11"/>
          <w:sz w:val="25"/>
          <w:szCs w:val="25"/>
        </w:rPr>
        <w:t xml:space="preserve">7.4.5   </w:t>
      </w:r>
      <w:r>
        <w:rPr>
          <w:b/>
          <w:bCs/>
          <w:color w:val="0061C3"/>
          <w:spacing w:val="-11"/>
          <w:sz w:val="25"/>
          <w:szCs w:val="25"/>
        </w:rPr>
        <w:t>应急响应工作总结</w:t>
      </w:r>
    </w:p>
    <w:p w14:paraId="3F33FAE4">
      <w:pPr>
        <w:pStyle w:val="2"/>
        <w:spacing w:before="152" w:line="314" w:lineRule="auto"/>
        <w:ind w:right="191" w:firstLine="389"/>
        <w:rPr>
          <w:sz w:val="17"/>
          <w:szCs w:val="17"/>
        </w:rPr>
      </w:pPr>
      <w:r>
        <w:rPr>
          <w:spacing w:val="5"/>
          <w:sz w:val="20"/>
          <w:szCs w:val="20"/>
        </w:rPr>
        <w:t>运维服务团队定期对发生的应急事件和应急响应工作进行分析与回顾，并总结经验教训。</w:t>
      </w:r>
      <w:r>
        <w:rPr>
          <w:spacing w:val="4"/>
          <w:sz w:val="20"/>
          <w:szCs w:val="20"/>
        </w:rPr>
        <w:t xml:space="preserve"> </w:t>
      </w:r>
      <w:r>
        <w:rPr>
          <w:spacing w:val="19"/>
          <w:sz w:val="17"/>
          <w:szCs w:val="17"/>
        </w:rPr>
        <w:t>具体包括：</w:t>
      </w:r>
    </w:p>
    <w:p w14:paraId="71DC759A">
      <w:pPr>
        <w:pStyle w:val="2"/>
        <w:spacing w:before="9" w:line="253" w:lineRule="auto"/>
        <w:ind w:left="689" w:right="250" w:hanging="300"/>
        <w:rPr>
          <w:sz w:val="20"/>
          <w:szCs w:val="20"/>
        </w:rPr>
      </w:pPr>
      <w:r>
        <w:rPr>
          <w:spacing w:val="4"/>
          <w:sz w:val="20"/>
          <w:szCs w:val="20"/>
        </w:rPr>
        <w:t>●对应急响应工作的分析和回顾应形成总结报告，</w:t>
      </w:r>
      <w:r>
        <w:rPr>
          <w:spacing w:val="3"/>
          <w:sz w:val="20"/>
          <w:szCs w:val="20"/>
        </w:rPr>
        <w:t>并将总结报告作为改进应急响应工作及</w:t>
      </w:r>
      <w:r>
        <w:rPr>
          <w:sz w:val="20"/>
          <w:szCs w:val="20"/>
        </w:rPr>
        <w:t xml:space="preserve"> </w:t>
      </w:r>
      <w:r>
        <w:rPr>
          <w:spacing w:val="-5"/>
          <w:sz w:val="20"/>
          <w:szCs w:val="20"/>
        </w:rPr>
        <w:t>信息系统的重要依据；</w:t>
      </w:r>
    </w:p>
    <w:p w14:paraId="66A47D0E">
      <w:pPr>
        <w:pStyle w:val="2"/>
        <w:spacing w:before="84" w:line="219" w:lineRule="auto"/>
        <w:ind w:left="389"/>
        <w:rPr>
          <w:sz w:val="20"/>
          <w:szCs w:val="20"/>
        </w:rPr>
      </w:pPr>
      <w:r>
        <w:rPr>
          <w:spacing w:val="1"/>
          <w:sz w:val="20"/>
          <w:szCs w:val="20"/>
        </w:rPr>
        <w:t>●应急事件总结、应急工作审核的结果应该作为应急准备阶段各项工作的改进要素；</w:t>
      </w:r>
    </w:p>
    <w:p w14:paraId="0465FE46">
      <w:pPr>
        <w:pStyle w:val="2"/>
        <w:spacing w:before="81" w:line="218" w:lineRule="auto"/>
        <w:ind w:left="389"/>
        <w:rPr>
          <w:sz w:val="20"/>
          <w:szCs w:val="20"/>
        </w:rPr>
      </w:pPr>
      <w:r>
        <w:rPr>
          <w:spacing w:val="1"/>
          <w:sz w:val="20"/>
          <w:szCs w:val="20"/>
        </w:rPr>
        <w:t>●组织应根据总结报告中给出的建议项和评审结果完善信息系统，深化应急准备工作。</w:t>
      </w:r>
    </w:p>
    <w:p w14:paraId="0F053E63">
      <w:pPr>
        <w:spacing w:line="218" w:lineRule="auto"/>
        <w:rPr>
          <w:sz w:val="20"/>
          <w:szCs w:val="20"/>
        </w:rPr>
        <w:sectPr>
          <w:pgSz w:w="10290" w:h="13270"/>
          <w:pgMar w:top="400" w:right="598" w:bottom="400" w:left="1109" w:header="0" w:footer="0" w:gutter="0"/>
          <w:cols w:space="720" w:num="1"/>
        </w:sectPr>
      </w:pPr>
    </w:p>
    <w:p w14:paraId="41C6D0AC">
      <w:pPr>
        <w:spacing w:line="260" w:lineRule="auto"/>
        <w:rPr>
          <w:rFonts w:ascii="Arial"/>
          <w:sz w:val="21"/>
        </w:rPr>
      </w:pPr>
    </w:p>
    <w:p w14:paraId="0942B877">
      <w:pPr>
        <w:spacing w:line="260" w:lineRule="auto"/>
        <w:rPr>
          <w:rFonts w:ascii="Arial"/>
          <w:sz w:val="21"/>
        </w:rPr>
      </w:pPr>
    </w:p>
    <w:p w14:paraId="6ED84270">
      <w:pPr>
        <w:spacing w:line="261" w:lineRule="auto"/>
        <w:rPr>
          <w:rFonts w:ascii="Arial"/>
          <w:sz w:val="21"/>
        </w:rPr>
      </w:pPr>
    </w:p>
    <w:p w14:paraId="458D1E07">
      <w:pPr>
        <w:spacing w:before="124" w:line="514" w:lineRule="exact"/>
        <w:ind w:left="3205"/>
        <w:rPr>
          <w:sz w:val="38"/>
          <w:szCs w:val="38"/>
        </w:rPr>
      </w:pPr>
      <w:r>
        <w:drawing>
          <wp:anchor distT="0" distB="0" distL="0" distR="0" simplePos="0" relativeHeight="251727872" behindDoc="0" locked="0" layoutInCell="1" allowOverlap="1">
            <wp:simplePos x="0" y="0"/>
            <wp:positionH relativeFrom="column">
              <wp:posOffset>5715</wp:posOffset>
            </wp:positionH>
            <wp:positionV relativeFrom="paragraph">
              <wp:posOffset>91440</wp:posOffset>
            </wp:positionV>
            <wp:extent cx="622300" cy="25400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47"/>
                    <a:stretch>
                      <a:fillRect/>
                    </a:stretch>
                  </pic:blipFill>
                  <pic:spPr>
                    <a:xfrm>
                      <a:off x="0" y="0"/>
                      <a:ext cx="622263" cy="254020"/>
                    </a:xfrm>
                    <a:prstGeom prst="rect">
                      <a:avLst/>
                    </a:prstGeom>
                  </pic:spPr>
                </pic:pic>
              </a:graphicData>
            </a:graphic>
          </wp:anchor>
        </w:drawing>
      </w:r>
      <w:bookmarkStart w:id="591" w:name="bookmark576"/>
      <w:bookmarkEnd w:id="591"/>
      <w:r>
        <w:rPr>
          <w:rFonts w:ascii="黑体" w:hAnsi="黑体" w:eastAsia="黑体" w:cs="黑体"/>
          <w:b/>
          <w:bCs/>
          <w:color w:val="006BD6"/>
          <w:spacing w:val="5"/>
          <w:position w:val="-2"/>
          <w:sz w:val="38"/>
          <w:szCs w:val="38"/>
        </w:rPr>
        <w:t>第一篇练习</w:t>
      </w:r>
      <w:r>
        <w:rPr>
          <w:rFonts w:ascii="黑体" w:hAnsi="黑体" w:eastAsia="黑体" w:cs="黑体"/>
          <w:color w:val="006BD6"/>
          <w:spacing w:val="5"/>
          <w:position w:val="-2"/>
          <w:sz w:val="38"/>
          <w:szCs w:val="38"/>
        </w:rPr>
        <w:t xml:space="preserve">           </w:t>
      </w:r>
      <w:r>
        <w:rPr>
          <w:position w:val="-4"/>
          <w:sz w:val="38"/>
          <w:szCs w:val="38"/>
        </w:rPr>
        <w:drawing>
          <wp:inline distT="0" distB="0" distL="0" distR="0">
            <wp:extent cx="641350" cy="26035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48"/>
                    <a:stretch>
                      <a:fillRect/>
                    </a:stretch>
                  </pic:blipFill>
                  <pic:spPr>
                    <a:xfrm>
                      <a:off x="0" y="0"/>
                      <a:ext cx="641361" cy="260369"/>
                    </a:xfrm>
                    <a:prstGeom prst="rect">
                      <a:avLst/>
                    </a:prstGeom>
                  </pic:spPr>
                </pic:pic>
              </a:graphicData>
            </a:graphic>
          </wp:inline>
        </w:drawing>
      </w:r>
    </w:p>
    <w:p w14:paraId="22ECF43D">
      <w:pPr>
        <w:spacing w:line="355" w:lineRule="auto"/>
        <w:rPr>
          <w:rFonts w:ascii="Arial"/>
          <w:sz w:val="21"/>
        </w:rPr>
      </w:pPr>
    </w:p>
    <w:p w14:paraId="1D91F43E">
      <w:pPr>
        <w:spacing w:line="355" w:lineRule="auto"/>
        <w:rPr>
          <w:rFonts w:ascii="Arial"/>
          <w:sz w:val="21"/>
        </w:rPr>
      </w:pPr>
    </w:p>
    <w:p w14:paraId="32DAF14A">
      <w:pPr>
        <w:pStyle w:val="2"/>
        <w:spacing w:before="65" w:line="222" w:lineRule="auto"/>
        <w:ind w:left="402"/>
        <w:rPr>
          <w:rFonts w:ascii="黑体" w:hAnsi="黑体" w:eastAsia="黑体" w:cs="黑体"/>
          <w:sz w:val="20"/>
          <w:szCs w:val="20"/>
        </w:rPr>
      </w:pPr>
      <w:r>
        <w:rPr>
          <w:b/>
          <w:bCs/>
          <w:color w:val="0064A8"/>
          <w:spacing w:val="-4"/>
          <w:sz w:val="20"/>
          <w:szCs w:val="20"/>
        </w:rPr>
        <w:t>1.</w:t>
      </w:r>
      <w:r>
        <w:rPr>
          <w:rFonts w:ascii="黑体" w:hAnsi="黑体" w:eastAsia="黑体" w:cs="黑体"/>
          <w:b/>
          <w:bCs/>
          <w:color w:val="0064A8"/>
          <w:spacing w:val="-4"/>
          <w:sz w:val="20"/>
          <w:szCs w:val="20"/>
        </w:rPr>
        <w:t>选择题</w:t>
      </w:r>
    </w:p>
    <w:p w14:paraId="50489923">
      <w:pPr>
        <w:pStyle w:val="2"/>
        <w:spacing w:before="53" w:line="222" w:lineRule="auto"/>
        <w:ind w:left="399"/>
        <w:rPr>
          <w:sz w:val="16"/>
          <w:szCs w:val="16"/>
        </w:rPr>
      </w:pPr>
      <w:r>
        <w:rPr>
          <w:spacing w:val="10"/>
          <w:sz w:val="19"/>
          <w:szCs w:val="19"/>
        </w:rPr>
        <w:t>(1)按部署范围的不同，云计算可分为</w:t>
      </w:r>
      <w:r>
        <w:rPr>
          <w:spacing w:val="-84"/>
          <w:sz w:val="19"/>
          <w:szCs w:val="19"/>
        </w:rPr>
        <w:t xml:space="preserve"> </w:t>
      </w:r>
      <w:r>
        <w:rPr>
          <w:spacing w:val="10"/>
          <w:sz w:val="19"/>
          <w:szCs w:val="19"/>
          <w:u w:val="single" w:color="auto"/>
        </w:rPr>
        <w:t xml:space="preserve">      </w:t>
      </w:r>
      <w:r>
        <w:rPr>
          <w:spacing w:val="10"/>
          <w:position w:val="-2"/>
          <w:sz w:val="16"/>
          <w:szCs w:val="16"/>
        </w:rPr>
        <w:t>三</w:t>
      </w:r>
      <w:r>
        <w:rPr>
          <w:spacing w:val="-19"/>
          <w:position w:val="-2"/>
          <w:sz w:val="16"/>
          <w:szCs w:val="16"/>
        </w:rPr>
        <w:t xml:space="preserve"> </w:t>
      </w:r>
      <w:r>
        <w:rPr>
          <w:spacing w:val="10"/>
          <w:position w:val="-2"/>
          <w:sz w:val="16"/>
          <w:szCs w:val="16"/>
        </w:rPr>
        <w:t>种</w:t>
      </w:r>
      <w:r>
        <w:rPr>
          <w:spacing w:val="-25"/>
          <w:position w:val="-2"/>
          <w:sz w:val="16"/>
          <w:szCs w:val="16"/>
        </w:rPr>
        <w:t xml:space="preserve"> </w:t>
      </w:r>
      <w:r>
        <w:rPr>
          <w:spacing w:val="10"/>
          <w:position w:val="-2"/>
          <w:sz w:val="16"/>
          <w:szCs w:val="16"/>
        </w:rPr>
        <w:t>。</w:t>
      </w:r>
    </w:p>
    <w:p w14:paraId="45C416A8">
      <w:pPr>
        <w:pStyle w:val="2"/>
        <w:spacing w:before="71" w:line="220" w:lineRule="auto"/>
        <w:ind w:left="790"/>
        <w:rPr>
          <w:sz w:val="20"/>
          <w:szCs w:val="20"/>
        </w:rPr>
      </w:pPr>
      <w:r>
        <w:rPr>
          <w:rFonts w:ascii="Times New Roman" w:hAnsi="Times New Roman" w:eastAsia="Times New Roman" w:cs="Times New Roman"/>
          <w:spacing w:val="-2"/>
          <w:sz w:val="20"/>
          <w:szCs w:val="20"/>
        </w:rPr>
        <w:t>A.</w:t>
      </w:r>
      <w:r>
        <w:rPr>
          <w:rFonts w:ascii="Times New Roman" w:hAnsi="Times New Roman" w:eastAsia="Times New Roman" w:cs="Times New Roman"/>
          <w:spacing w:val="-3"/>
          <w:sz w:val="20"/>
          <w:szCs w:val="20"/>
        </w:rPr>
        <w:t xml:space="preserve"> </w:t>
      </w:r>
      <w:r>
        <w:rPr>
          <w:spacing w:val="-2"/>
          <w:sz w:val="20"/>
          <w:szCs w:val="20"/>
        </w:rPr>
        <w:t>公有云、私有云和混合云</w:t>
      </w:r>
    </w:p>
    <w:p w14:paraId="2893C0B0">
      <w:pPr>
        <w:pStyle w:val="2"/>
        <w:spacing w:before="84" w:line="222" w:lineRule="auto"/>
        <w:ind w:left="79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B.IaaS</w:t>
      </w:r>
      <w:r>
        <w:rPr>
          <w:rFonts w:ascii="Times New Roman" w:hAnsi="Times New Roman" w:eastAsia="Times New Roman" w:cs="Times New Roman"/>
          <w:spacing w:val="-26"/>
          <w:sz w:val="20"/>
          <w:szCs w:val="20"/>
        </w:rPr>
        <w:t xml:space="preserve"> </w:t>
      </w:r>
      <w:r>
        <w:rPr>
          <w:spacing w:val="-3"/>
          <w:sz w:val="20"/>
          <w:szCs w:val="20"/>
        </w:rPr>
        <w:t>、</w:t>
      </w:r>
      <w:r>
        <w:rPr>
          <w:rFonts w:ascii="Times New Roman" w:hAnsi="Times New Roman" w:eastAsia="Times New Roman" w:cs="Times New Roman"/>
          <w:spacing w:val="-3"/>
          <w:sz w:val="20"/>
          <w:szCs w:val="20"/>
        </w:rPr>
        <w:t>PaaS</w:t>
      </w:r>
      <w:r>
        <w:rPr>
          <w:rFonts w:ascii="Times New Roman" w:hAnsi="Times New Roman" w:eastAsia="Times New Roman" w:cs="Times New Roman"/>
          <w:spacing w:val="36"/>
          <w:sz w:val="20"/>
          <w:szCs w:val="20"/>
        </w:rPr>
        <w:t xml:space="preserve"> </w:t>
      </w:r>
      <w:r>
        <w:rPr>
          <w:spacing w:val="-3"/>
          <w:sz w:val="20"/>
          <w:szCs w:val="20"/>
        </w:rPr>
        <w:t>和</w:t>
      </w:r>
      <w:r>
        <w:rPr>
          <w:spacing w:val="-32"/>
          <w:sz w:val="20"/>
          <w:szCs w:val="20"/>
        </w:rPr>
        <w:t xml:space="preserve"> </w:t>
      </w:r>
      <w:r>
        <w:rPr>
          <w:rFonts w:ascii="Times New Roman" w:hAnsi="Times New Roman" w:eastAsia="Times New Roman" w:cs="Times New Roman"/>
          <w:spacing w:val="-3"/>
          <w:sz w:val="20"/>
          <w:szCs w:val="20"/>
        </w:rPr>
        <w:t>SaaS</w:t>
      </w:r>
    </w:p>
    <w:p w14:paraId="5CC97207">
      <w:pPr>
        <w:pStyle w:val="2"/>
        <w:spacing w:before="66" w:line="219" w:lineRule="auto"/>
        <w:ind w:left="790"/>
        <w:rPr>
          <w:sz w:val="20"/>
          <w:szCs w:val="20"/>
        </w:rPr>
      </w:pPr>
      <w:r>
        <w:rPr>
          <w:rFonts w:ascii="Times New Roman" w:hAnsi="Times New Roman" w:eastAsia="Times New Roman" w:cs="Times New Roman"/>
          <w:spacing w:val="-2"/>
          <w:sz w:val="20"/>
          <w:szCs w:val="20"/>
        </w:rPr>
        <w:t xml:space="preserve">C. </w:t>
      </w:r>
      <w:r>
        <w:rPr>
          <w:spacing w:val="-2"/>
          <w:sz w:val="20"/>
          <w:szCs w:val="20"/>
        </w:rPr>
        <w:t>区域云、省级云、国家级云</w:t>
      </w:r>
    </w:p>
    <w:p w14:paraId="43A10560">
      <w:pPr>
        <w:pStyle w:val="2"/>
        <w:spacing w:before="83" w:line="221" w:lineRule="auto"/>
        <w:ind w:left="790"/>
        <w:rPr>
          <w:sz w:val="20"/>
          <w:szCs w:val="20"/>
        </w:rPr>
      </w:pPr>
      <w:r>
        <w:rPr>
          <w:rFonts w:ascii="Times New Roman" w:hAnsi="Times New Roman" w:eastAsia="Times New Roman" w:cs="Times New Roman"/>
          <w:spacing w:val="-1"/>
          <w:sz w:val="20"/>
          <w:szCs w:val="20"/>
        </w:rPr>
        <w:t>D.</w:t>
      </w:r>
      <w:r>
        <w:rPr>
          <w:rFonts w:ascii="Times New Roman" w:hAnsi="Times New Roman" w:eastAsia="Times New Roman" w:cs="Times New Roman"/>
          <w:spacing w:val="-18"/>
          <w:sz w:val="20"/>
          <w:szCs w:val="20"/>
        </w:rPr>
        <w:t xml:space="preserve"> </w:t>
      </w:r>
      <w:r>
        <w:rPr>
          <w:spacing w:val="-1"/>
          <w:sz w:val="20"/>
          <w:szCs w:val="20"/>
        </w:rPr>
        <w:t>基础设施云、平台云、应用云</w:t>
      </w:r>
    </w:p>
    <w:p w14:paraId="4DBA56EF">
      <w:pPr>
        <w:pStyle w:val="2"/>
        <w:spacing w:before="70" w:line="219" w:lineRule="auto"/>
        <w:ind w:left="399"/>
        <w:rPr>
          <w:rFonts w:ascii="Times New Roman" w:hAnsi="Times New Roman" w:eastAsia="Times New Roman" w:cs="Times New Roman"/>
          <w:sz w:val="20"/>
          <w:szCs w:val="20"/>
        </w:rPr>
      </w:pPr>
      <w:r>
        <w:rPr>
          <w:spacing w:val="-16"/>
          <w:sz w:val="20"/>
          <w:szCs w:val="20"/>
        </w:rPr>
        <w:t>参考答案：</w:t>
      </w:r>
      <w:r>
        <w:rPr>
          <w:rFonts w:ascii="Times New Roman" w:hAnsi="Times New Roman" w:eastAsia="Times New Roman" w:cs="Times New Roman"/>
          <w:spacing w:val="-16"/>
          <w:sz w:val="20"/>
          <w:szCs w:val="20"/>
        </w:rPr>
        <w:t>A</w:t>
      </w:r>
    </w:p>
    <w:p w14:paraId="16B8189C">
      <w:pPr>
        <w:pStyle w:val="2"/>
        <w:spacing w:before="72" w:line="265" w:lineRule="auto"/>
        <w:ind w:right="50" w:firstLine="399"/>
        <w:rPr>
          <w:sz w:val="20"/>
          <w:szCs w:val="20"/>
        </w:rPr>
      </w:pPr>
      <w:r>
        <w:rPr>
          <w:spacing w:val="6"/>
          <w:sz w:val="20"/>
          <w:szCs w:val="20"/>
        </w:rPr>
        <w:t>(2)信息系统的生命周期可分为五个阶段，分别是系统规划、系统分析、系统设计、</w:t>
      </w:r>
      <w:r>
        <w:rPr>
          <w:spacing w:val="5"/>
          <w:sz w:val="20"/>
          <w:szCs w:val="20"/>
        </w:rPr>
        <w:t>系统</w:t>
      </w:r>
      <w:r>
        <w:rPr>
          <w:sz w:val="20"/>
          <w:szCs w:val="20"/>
        </w:rPr>
        <w:t xml:space="preserve"> 实现、</w:t>
      </w:r>
      <w:r>
        <w:rPr>
          <w:spacing w:val="11"/>
          <w:sz w:val="20"/>
          <w:szCs w:val="20"/>
          <w:u w:val="single" w:color="auto"/>
        </w:rPr>
        <w:t xml:space="preserve">     </w:t>
      </w:r>
      <w:r>
        <w:rPr>
          <w:spacing w:val="-87"/>
          <w:sz w:val="20"/>
          <w:szCs w:val="20"/>
        </w:rPr>
        <w:t xml:space="preserve"> </w:t>
      </w:r>
      <w:r>
        <w:rPr>
          <w:position w:val="-1"/>
          <w:sz w:val="20"/>
          <w:szCs w:val="20"/>
        </w:rPr>
        <w:drawing>
          <wp:inline distT="0" distB="0" distL="0" distR="0">
            <wp:extent cx="57150" cy="4381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49"/>
                    <a:stretch>
                      <a:fillRect/>
                    </a:stretch>
                  </pic:blipFill>
                  <pic:spPr>
                    <a:xfrm>
                      <a:off x="0" y="0"/>
                      <a:ext cx="57163" cy="44438"/>
                    </a:xfrm>
                    <a:prstGeom prst="rect">
                      <a:avLst/>
                    </a:prstGeom>
                  </pic:spPr>
                </pic:pic>
              </a:graphicData>
            </a:graphic>
          </wp:inline>
        </w:drawing>
      </w:r>
    </w:p>
    <w:p w14:paraId="3771B9E7">
      <w:pPr>
        <w:pStyle w:val="2"/>
        <w:spacing w:before="47" w:line="220" w:lineRule="auto"/>
        <w:ind w:left="790"/>
        <w:rPr>
          <w:sz w:val="20"/>
          <w:szCs w:val="20"/>
        </w:rPr>
      </w:pPr>
      <w:r>
        <w:rPr>
          <w:rFonts w:ascii="Times New Roman" w:hAnsi="Times New Roman" w:eastAsia="Times New Roman" w:cs="Times New Roman"/>
          <w:spacing w:val="1"/>
          <w:sz w:val="20"/>
          <w:szCs w:val="20"/>
        </w:rPr>
        <w:t>A.</w:t>
      </w:r>
      <w:r>
        <w:rPr>
          <w:rFonts w:ascii="Times New Roman" w:hAnsi="Times New Roman" w:eastAsia="Times New Roman" w:cs="Times New Roman"/>
          <w:spacing w:val="-4"/>
          <w:sz w:val="20"/>
          <w:szCs w:val="20"/>
        </w:rPr>
        <w:t xml:space="preserve"> </w:t>
      </w:r>
      <w:r>
        <w:rPr>
          <w:spacing w:val="1"/>
          <w:sz w:val="20"/>
          <w:szCs w:val="20"/>
        </w:rPr>
        <w:t>系统计费</w:t>
      </w:r>
      <w:r>
        <w:rPr>
          <w:sz w:val="20"/>
          <w:szCs w:val="20"/>
        </w:rPr>
        <w:t xml:space="preserve">                            </w:t>
      </w:r>
      <w:r>
        <w:rPr>
          <w:spacing w:val="1"/>
          <w:sz w:val="20"/>
          <w:szCs w:val="20"/>
        </w:rPr>
        <w:t>B.系统维护</w:t>
      </w:r>
    </w:p>
    <w:p w14:paraId="746B15E8">
      <w:pPr>
        <w:pStyle w:val="2"/>
        <w:spacing w:before="69" w:line="218" w:lineRule="auto"/>
        <w:ind w:left="790"/>
        <w:rPr>
          <w:sz w:val="20"/>
          <w:szCs w:val="20"/>
        </w:rPr>
      </w:pPr>
      <w:r>
        <w:rPr>
          <w:rFonts w:ascii="Times New Roman" w:hAnsi="Times New Roman" w:eastAsia="Times New Roman" w:cs="Times New Roman"/>
          <w:spacing w:val="-1"/>
          <w:sz w:val="20"/>
          <w:szCs w:val="20"/>
        </w:rPr>
        <w:t>C.</w:t>
      </w:r>
      <w:r>
        <w:rPr>
          <w:rFonts w:ascii="Times New Roman" w:hAnsi="Times New Roman" w:eastAsia="Times New Roman" w:cs="Times New Roman"/>
          <w:spacing w:val="-24"/>
          <w:sz w:val="20"/>
          <w:szCs w:val="20"/>
        </w:rPr>
        <w:t xml:space="preserve"> </w:t>
      </w:r>
      <w:r>
        <w:rPr>
          <w:spacing w:val="-1"/>
          <w:sz w:val="20"/>
          <w:szCs w:val="20"/>
        </w:rPr>
        <w:t>系统运行与评价</w:t>
      </w:r>
      <w:r>
        <w:rPr>
          <w:spacing w:val="2"/>
          <w:sz w:val="20"/>
          <w:szCs w:val="20"/>
        </w:rPr>
        <w:t xml:space="preserve">                      </w:t>
      </w:r>
      <w:r>
        <w:rPr>
          <w:rFonts w:ascii="Times New Roman" w:hAnsi="Times New Roman" w:eastAsia="Times New Roman" w:cs="Times New Roman"/>
          <w:spacing w:val="-1"/>
          <w:sz w:val="20"/>
          <w:szCs w:val="20"/>
        </w:rPr>
        <w:t>D.</w:t>
      </w:r>
      <w:r>
        <w:rPr>
          <w:rFonts w:ascii="Times New Roman" w:hAnsi="Times New Roman" w:eastAsia="Times New Roman" w:cs="Times New Roman"/>
          <w:spacing w:val="-3"/>
          <w:sz w:val="20"/>
          <w:szCs w:val="20"/>
        </w:rPr>
        <w:t xml:space="preserve"> </w:t>
      </w:r>
      <w:r>
        <w:rPr>
          <w:spacing w:val="-1"/>
          <w:sz w:val="20"/>
          <w:szCs w:val="20"/>
        </w:rPr>
        <w:t>系统管理</w:t>
      </w:r>
    </w:p>
    <w:p w14:paraId="22090644">
      <w:pPr>
        <w:pStyle w:val="2"/>
        <w:spacing w:before="76" w:line="219" w:lineRule="auto"/>
        <w:ind w:left="399"/>
        <w:rPr>
          <w:rFonts w:ascii="Times New Roman" w:hAnsi="Times New Roman" w:eastAsia="Times New Roman" w:cs="Times New Roman"/>
          <w:sz w:val="20"/>
          <w:szCs w:val="20"/>
        </w:rPr>
      </w:pPr>
      <w:r>
        <w:rPr>
          <w:spacing w:val="-18"/>
          <w:sz w:val="20"/>
          <w:szCs w:val="20"/>
        </w:rPr>
        <w:t>参考答案：</w:t>
      </w:r>
      <w:r>
        <w:rPr>
          <w:rFonts w:ascii="Times New Roman" w:hAnsi="Times New Roman" w:eastAsia="Times New Roman" w:cs="Times New Roman"/>
          <w:spacing w:val="-18"/>
          <w:sz w:val="20"/>
          <w:szCs w:val="20"/>
        </w:rPr>
        <w:t>C</w:t>
      </w:r>
    </w:p>
    <w:p w14:paraId="612CA86B">
      <w:pPr>
        <w:pStyle w:val="2"/>
        <w:spacing w:before="81" w:line="274" w:lineRule="auto"/>
        <w:ind w:right="47" w:firstLine="399"/>
        <w:rPr>
          <w:sz w:val="20"/>
          <w:szCs w:val="20"/>
        </w:rPr>
      </w:pPr>
      <w:r>
        <w:rPr>
          <w:spacing w:val="4"/>
          <w:sz w:val="20"/>
          <w:szCs w:val="20"/>
        </w:rPr>
        <w:t>(3)</w:t>
      </w:r>
      <w:r>
        <w:rPr>
          <w:spacing w:val="-62"/>
          <w:sz w:val="20"/>
          <w:szCs w:val="20"/>
        </w:rPr>
        <w:t xml:space="preserve"> </w:t>
      </w:r>
      <w:r>
        <w:rPr>
          <w:spacing w:val="1"/>
          <w:sz w:val="20"/>
          <w:szCs w:val="20"/>
          <w:u w:val="single" w:color="auto"/>
        </w:rPr>
        <w:t xml:space="preserve">      </w:t>
      </w:r>
      <w:r>
        <w:rPr>
          <w:spacing w:val="-86"/>
          <w:sz w:val="20"/>
          <w:szCs w:val="20"/>
        </w:rPr>
        <w:t xml:space="preserve"> </w:t>
      </w:r>
      <w:r>
        <w:rPr>
          <w:spacing w:val="4"/>
          <w:sz w:val="20"/>
          <w:szCs w:val="20"/>
        </w:rPr>
        <w:t>是指运维服务提供方接到业主单位服务请求或故障申告后，在</w:t>
      </w:r>
      <w:r>
        <w:rPr>
          <w:rFonts w:ascii="Times New Roman" w:hAnsi="Times New Roman" w:eastAsia="Times New Roman" w:cs="Times New Roman"/>
          <w:sz w:val="20"/>
          <w:szCs w:val="20"/>
        </w:rPr>
        <w:t>SLA</w:t>
      </w:r>
      <w:r>
        <w:rPr>
          <w:rFonts w:ascii="Times New Roman" w:hAnsi="Times New Roman" w:eastAsia="Times New Roman" w:cs="Times New Roman"/>
          <w:spacing w:val="15"/>
          <w:sz w:val="20"/>
          <w:szCs w:val="20"/>
        </w:rPr>
        <w:t xml:space="preserve"> </w:t>
      </w:r>
      <w:r>
        <w:rPr>
          <w:spacing w:val="4"/>
          <w:sz w:val="20"/>
          <w:szCs w:val="20"/>
        </w:rPr>
        <w:t>的承诺内尽</w:t>
      </w:r>
      <w:r>
        <w:rPr>
          <w:sz w:val="20"/>
          <w:szCs w:val="20"/>
        </w:rPr>
        <w:t xml:space="preserve"> </w:t>
      </w:r>
      <w:r>
        <w:rPr>
          <w:spacing w:val="-3"/>
          <w:sz w:val="20"/>
          <w:szCs w:val="20"/>
        </w:rPr>
        <w:t>快降低和消除对业主单位业务的影响而执行的服务。</w:t>
      </w:r>
    </w:p>
    <w:p w14:paraId="5F628B50">
      <w:pPr>
        <w:pStyle w:val="2"/>
        <w:spacing w:before="38" w:line="219" w:lineRule="auto"/>
        <w:ind w:left="790"/>
        <w:rPr>
          <w:sz w:val="20"/>
          <w:szCs w:val="20"/>
        </w:rPr>
      </w:pPr>
      <w:r>
        <w:rPr>
          <w:spacing w:val="1"/>
          <w:sz w:val="20"/>
          <w:szCs w:val="20"/>
        </w:rPr>
        <w:t xml:space="preserve">A.例行操作服务                        </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10"/>
          <w:sz w:val="20"/>
          <w:szCs w:val="20"/>
        </w:rPr>
        <w:t xml:space="preserve"> </w:t>
      </w:r>
      <w:r>
        <w:rPr>
          <w:spacing w:val="1"/>
          <w:sz w:val="20"/>
          <w:szCs w:val="20"/>
        </w:rPr>
        <w:t>响应支持服务</w:t>
      </w:r>
    </w:p>
    <w:p w14:paraId="665CACF1">
      <w:pPr>
        <w:pStyle w:val="2"/>
        <w:spacing w:before="71" w:line="218" w:lineRule="auto"/>
        <w:ind w:left="790"/>
        <w:rPr>
          <w:sz w:val="20"/>
          <w:szCs w:val="20"/>
        </w:rPr>
      </w:pPr>
      <w:r>
        <w:rPr>
          <w:spacing w:val="1"/>
          <w:sz w:val="20"/>
          <w:szCs w:val="20"/>
        </w:rPr>
        <w:t xml:space="preserve">C.优化改善服务                        </w:t>
      </w:r>
      <w:r>
        <w:rPr>
          <w:rFonts w:ascii="Times New Roman" w:hAnsi="Times New Roman" w:eastAsia="Times New Roman" w:cs="Times New Roman"/>
          <w:spacing w:val="1"/>
          <w:sz w:val="20"/>
          <w:szCs w:val="20"/>
        </w:rPr>
        <w:t>D.</w:t>
      </w:r>
      <w:r>
        <w:rPr>
          <w:rFonts w:ascii="Times New Roman" w:hAnsi="Times New Roman" w:eastAsia="Times New Roman" w:cs="Times New Roman"/>
          <w:spacing w:val="-14"/>
          <w:sz w:val="20"/>
          <w:szCs w:val="20"/>
        </w:rPr>
        <w:t xml:space="preserve"> </w:t>
      </w:r>
      <w:r>
        <w:rPr>
          <w:spacing w:val="1"/>
          <w:sz w:val="20"/>
          <w:szCs w:val="20"/>
        </w:rPr>
        <w:t>调研评估服务</w:t>
      </w:r>
    </w:p>
    <w:p w14:paraId="101A8106">
      <w:pPr>
        <w:pStyle w:val="2"/>
        <w:spacing w:before="66" w:line="219" w:lineRule="auto"/>
        <w:ind w:left="399"/>
        <w:rPr>
          <w:rFonts w:ascii="Times New Roman" w:hAnsi="Times New Roman" w:eastAsia="Times New Roman" w:cs="Times New Roman"/>
          <w:sz w:val="20"/>
          <w:szCs w:val="20"/>
        </w:rPr>
      </w:pPr>
      <w:r>
        <w:rPr>
          <w:spacing w:val="-14"/>
          <w:sz w:val="20"/>
          <w:szCs w:val="20"/>
        </w:rPr>
        <w:t>参考答案：</w:t>
      </w:r>
      <w:r>
        <w:rPr>
          <w:rFonts w:ascii="Times New Roman" w:hAnsi="Times New Roman" w:eastAsia="Times New Roman" w:cs="Times New Roman"/>
          <w:spacing w:val="-14"/>
          <w:sz w:val="20"/>
          <w:szCs w:val="20"/>
        </w:rPr>
        <w:t>B</w:t>
      </w:r>
    </w:p>
    <w:p w14:paraId="55FD71FF">
      <w:pPr>
        <w:pStyle w:val="2"/>
        <w:spacing w:before="72" w:line="228" w:lineRule="auto"/>
        <w:jc w:val="right"/>
        <w:rPr>
          <w:sz w:val="20"/>
          <w:szCs w:val="20"/>
        </w:rPr>
      </w:pPr>
      <w:r>
        <w:rPr>
          <w:sz w:val="21"/>
          <w:szCs w:val="21"/>
        </w:rPr>
        <w:t>(4)面向</w:t>
      </w:r>
      <w:r>
        <w:rPr>
          <w:spacing w:val="-93"/>
          <w:sz w:val="21"/>
          <w:szCs w:val="21"/>
        </w:rPr>
        <w:t xml:space="preserve"> </w:t>
      </w:r>
      <w:r>
        <w:rPr>
          <w:sz w:val="21"/>
          <w:szCs w:val="21"/>
          <w:u w:val="single" w:color="auto"/>
        </w:rPr>
        <w:t xml:space="preserve">      </w:t>
      </w:r>
      <w:r>
        <w:rPr>
          <w:sz w:val="20"/>
          <w:szCs w:val="20"/>
        </w:rPr>
        <w:t>是云数据中心对外提供服务的宗旨，而</w:t>
      </w:r>
      <w:r>
        <w:rPr>
          <w:spacing w:val="-89"/>
          <w:sz w:val="20"/>
          <w:szCs w:val="20"/>
        </w:rPr>
        <w:t xml:space="preserve"> </w:t>
      </w:r>
      <w:r>
        <w:rPr>
          <w:sz w:val="20"/>
          <w:szCs w:val="20"/>
          <w:u w:val="single" w:color="auto"/>
        </w:rPr>
        <w:t xml:space="preserve">      </w:t>
      </w:r>
      <w:r>
        <w:rPr>
          <w:sz w:val="20"/>
          <w:szCs w:val="20"/>
        </w:rPr>
        <w:t>则是云数据中心的实现途径。</w:t>
      </w:r>
    </w:p>
    <w:p w14:paraId="34D95250">
      <w:pPr>
        <w:pStyle w:val="2"/>
        <w:spacing w:before="60" w:line="219" w:lineRule="auto"/>
        <w:ind w:left="790"/>
        <w:rPr>
          <w:sz w:val="20"/>
          <w:szCs w:val="20"/>
        </w:rPr>
      </w:pPr>
      <w:r>
        <w:rPr>
          <w:rFonts w:ascii="Times New Roman" w:hAnsi="Times New Roman" w:eastAsia="Times New Roman" w:cs="Times New Roman"/>
          <w:spacing w:val="6"/>
          <w:sz w:val="20"/>
          <w:szCs w:val="20"/>
        </w:rPr>
        <w:t>A.</w:t>
      </w:r>
      <w:r>
        <w:rPr>
          <w:rFonts w:ascii="Times New Roman" w:hAnsi="Times New Roman" w:eastAsia="Times New Roman" w:cs="Times New Roman"/>
          <w:spacing w:val="-12"/>
          <w:sz w:val="20"/>
          <w:szCs w:val="20"/>
        </w:rPr>
        <w:t xml:space="preserve"> </w:t>
      </w:r>
      <w:r>
        <w:rPr>
          <w:spacing w:val="6"/>
          <w:sz w:val="20"/>
          <w:szCs w:val="20"/>
        </w:rPr>
        <w:t>服务</w:t>
      </w:r>
      <w:r>
        <w:rPr>
          <w:spacing w:val="55"/>
          <w:sz w:val="20"/>
          <w:szCs w:val="20"/>
        </w:rPr>
        <w:t xml:space="preserve"> </w:t>
      </w:r>
      <w:r>
        <w:rPr>
          <w:spacing w:val="6"/>
          <w:sz w:val="20"/>
          <w:szCs w:val="20"/>
        </w:rPr>
        <w:t xml:space="preserve">资源池化                     </w:t>
      </w:r>
      <w:r>
        <w:rPr>
          <w:spacing w:val="5"/>
          <w:sz w:val="20"/>
          <w:szCs w:val="20"/>
        </w:rPr>
        <w:t>B.应用  分布式</w:t>
      </w:r>
    </w:p>
    <w:p w14:paraId="0D0BC5FF">
      <w:pPr>
        <w:pStyle w:val="2"/>
        <w:spacing w:before="73" w:line="237" w:lineRule="auto"/>
        <w:ind w:left="790"/>
        <w:rPr>
          <w:sz w:val="20"/>
          <w:szCs w:val="20"/>
        </w:rPr>
      </w:pPr>
      <w:r>
        <w:rPr>
          <w:rFonts w:ascii="Times New Roman" w:hAnsi="Times New Roman" w:eastAsia="Times New Roman" w:cs="Times New Roman"/>
          <w:spacing w:val="2"/>
          <w:sz w:val="20"/>
          <w:szCs w:val="20"/>
        </w:rPr>
        <w:t xml:space="preserve">C. </w:t>
      </w:r>
      <w:r>
        <w:rPr>
          <w:spacing w:val="2"/>
          <w:sz w:val="20"/>
          <w:szCs w:val="20"/>
        </w:rPr>
        <w:t>服务</w:t>
      </w:r>
      <w:r>
        <w:rPr>
          <w:spacing w:val="70"/>
          <w:sz w:val="20"/>
          <w:szCs w:val="20"/>
        </w:rPr>
        <w:t xml:space="preserve"> </w:t>
      </w:r>
      <w:r>
        <w:rPr>
          <w:spacing w:val="2"/>
          <w:sz w:val="20"/>
          <w:szCs w:val="20"/>
        </w:rPr>
        <w:t>分布式</w:t>
      </w:r>
      <w:r>
        <w:rPr>
          <w:sz w:val="20"/>
          <w:szCs w:val="20"/>
        </w:rPr>
        <w:t xml:space="preserve">                        </w:t>
      </w:r>
      <w:r>
        <w:rPr>
          <w:spacing w:val="2"/>
          <w:sz w:val="20"/>
          <w:szCs w:val="20"/>
        </w:rPr>
        <w:t>D.</w:t>
      </w:r>
      <w:r>
        <w:rPr>
          <w:spacing w:val="-44"/>
          <w:sz w:val="20"/>
          <w:szCs w:val="20"/>
        </w:rPr>
        <w:t xml:space="preserve"> </w:t>
      </w:r>
      <w:r>
        <w:rPr>
          <w:spacing w:val="2"/>
          <w:sz w:val="20"/>
          <w:szCs w:val="20"/>
        </w:rPr>
        <w:t>应用  集中式</w:t>
      </w:r>
    </w:p>
    <w:p w14:paraId="3FFD192E">
      <w:pPr>
        <w:pStyle w:val="2"/>
        <w:spacing w:before="54" w:line="219" w:lineRule="auto"/>
        <w:ind w:left="399"/>
        <w:rPr>
          <w:rFonts w:ascii="Times New Roman" w:hAnsi="Times New Roman" w:eastAsia="Times New Roman" w:cs="Times New Roman"/>
          <w:sz w:val="20"/>
          <w:szCs w:val="20"/>
        </w:rPr>
      </w:pPr>
      <w:r>
        <w:rPr>
          <w:spacing w:val="-16"/>
          <w:sz w:val="20"/>
          <w:szCs w:val="20"/>
        </w:rPr>
        <w:t>参考答案：</w:t>
      </w:r>
      <w:r>
        <w:rPr>
          <w:rFonts w:ascii="Times New Roman" w:hAnsi="Times New Roman" w:eastAsia="Times New Roman" w:cs="Times New Roman"/>
          <w:spacing w:val="-16"/>
          <w:sz w:val="20"/>
          <w:szCs w:val="20"/>
        </w:rPr>
        <w:t>A</w:t>
      </w:r>
    </w:p>
    <w:p w14:paraId="7C3A1A68">
      <w:pPr>
        <w:pStyle w:val="2"/>
        <w:spacing w:before="62" w:line="282" w:lineRule="auto"/>
        <w:ind w:right="70" w:firstLine="399"/>
        <w:rPr>
          <w:sz w:val="20"/>
          <w:szCs w:val="20"/>
        </w:rPr>
      </w:pPr>
      <w:r>
        <w:rPr>
          <w:spacing w:val="5"/>
          <w:sz w:val="20"/>
          <w:szCs w:val="20"/>
        </w:rPr>
        <w:t>(5)某单位数据中心对外提供云计算服务，可以使个人或企业用户使用其数据中心的服务</w:t>
      </w:r>
      <w:r>
        <w:rPr>
          <w:spacing w:val="18"/>
          <w:sz w:val="20"/>
          <w:szCs w:val="20"/>
        </w:rPr>
        <w:t xml:space="preserve"> </w:t>
      </w:r>
      <w:r>
        <w:rPr>
          <w:spacing w:val="-2"/>
          <w:sz w:val="20"/>
          <w:szCs w:val="20"/>
        </w:rPr>
        <w:t>器、磁盘存储等资源。其对外提供的云计算</w:t>
      </w:r>
      <w:r>
        <w:rPr>
          <w:spacing w:val="-3"/>
          <w:sz w:val="20"/>
          <w:szCs w:val="20"/>
        </w:rPr>
        <w:t>服务是</w:t>
      </w:r>
      <w:r>
        <w:rPr>
          <w:spacing w:val="-3"/>
          <w:sz w:val="20"/>
          <w:szCs w:val="20"/>
          <w:u w:val="single" w:color="auto"/>
        </w:rPr>
        <w:t xml:space="preserve">      </w:t>
      </w:r>
      <w:r>
        <w:rPr>
          <w:spacing w:val="-3"/>
          <w:sz w:val="20"/>
          <w:szCs w:val="20"/>
        </w:rPr>
        <w:t>_。</w:t>
      </w:r>
    </w:p>
    <w:p w14:paraId="6CD536F5">
      <w:pPr>
        <w:spacing w:before="71" w:line="199" w:lineRule="auto"/>
        <w:ind w:left="7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A.PaaS                          B.IaaS                       </w:t>
      </w:r>
      <w:r>
        <w:rPr>
          <w:rFonts w:ascii="Times New Roman" w:hAnsi="Times New Roman" w:eastAsia="Times New Roman" w:cs="Times New Roman"/>
          <w:spacing w:val="-1"/>
          <w:sz w:val="20"/>
          <w:szCs w:val="20"/>
        </w:rPr>
        <w:t xml:space="preserve">      C.SaaS                        D.CaaS</w:t>
      </w:r>
    </w:p>
    <w:p w14:paraId="216CE279">
      <w:pPr>
        <w:pStyle w:val="2"/>
        <w:spacing w:before="68" w:line="219" w:lineRule="auto"/>
        <w:ind w:left="399"/>
        <w:rPr>
          <w:sz w:val="20"/>
          <w:szCs w:val="20"/>
        </w:rPr>
      </w:pPr>
      <w:r>
        <w:rPr>
          <w:spacing w:val="-14"/>
          <w:sz w:val="20"/>
          <w:szCs w:val="20"/>
        </w:rPr>
        <w:t>参考答案：B</w:t>
      </w:r>
    </w:p>
    <w:p w14:paraId="3E3E95B4">
      <w:pPr>
        <w:pStyle w:val="2"/>
        <w:spacing w:before="75" w:line="213" w:lineRule="auto"/>
        <w:ind w:left="399"/>
        <w:rPr>
          <w:sz w:val="20"/>
          <w:szCs w:val="20"/>
        </w:rPr>
      </w:pPr>
      <w:r>
        <w:rPr>
          <w:spacing w:val="-1"/>
          <w:sz w:val="20"/>
          <w:szCs w:val="20"/>
        </w:rPr>
        <w:t>(6)数据安全的三项基本特点是：</w:t>
      </w:r>
      <w:r>
        <w:rPr>
          <w:spacing w:val="-1"/>
          <w:sz w:val="20"/>
          <w:szCs w:val="20"/>
          <w:u w:val="single" w:color="auto"/>
        </w:rPr>
        <w:t xml:space="preserve">      </w:t>
      </w:r>
      <w:r>
        <w:rPr>
          <w:spacing w:val="-78"/>
          <w:sz w:val="20"/>
          <w:szCs w:val="20"/>
        </w:rPr>
        <w:t xml:space="preserve"> </w:t>
      </w:r>
      <w:r>
        <w:rPr>
          <w:spacing w:val="-1"/>
          <w:sz w:val="20"/>
          <w:szCs w:val="20"/>
        </w:rPr>
        <w:t>_</w:t>
      </w:r>
    </w:p>
    <w:p w14:paraId="4B60F1B9">
      <w:pPr>
        <w:pStyle w:val="2"/>
        <w:spacing w:before="77" w:line="278" w:lineRule="auto"/>
        <w:ind w:left="790" w:right="5179"/>
        <w:jc w:val="both"/>
        <w:rPr>
          <w:sz w:val="20"/>
          <w:szCs w:val="20"/>
        </w:rPr>
      </w:pPr>
      <w:r>
        <w:rPr>
          <w:rFonts w:ascii="Times New Roman" w:hAnsi="Times New Roman" w:eastAsia="Times New Roman" w:cs="Times New Roman"/>
          <w:spacing w:val="-1"/>
          <w:sz w:val="20"/>
          <w:szCs w:val="20"/>
        </w:rPr>
        <w:t>A.</w:t>
      </w:r>
      <w:r>
        <w:rPr>
          <w:rFonts w:ascii="Times New Roman" w:hAnsi="Times New Roman" w:eastAsia="Times New Roman" w:cs="Times New Roman"/>
          <w:spacing w:val="-12"/>
          <w:sz w:val="20"/>
          <w:szCs w:val="20"/>
        </w:rPr>
        <w:t xml:space="preserve"> </w:t>
      </w:r>
      <w:r>
        <w:rPr>
          <w:spacing w:val="-1"/>
          <w:sz w:val="20"/>
          <w:szCs w:val="20"/>
        </w:rPr>
        <w:t>社会性、经济性、合法性</w:t>
      </w:r>
      <w:r>
        <w:rPr>
          <w:sz w:val="20"/>
          <w:szCs w:val="20"/>
        </w:rPr>
        <w:t xml:space="preserve"> </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9"/>
          <w:sz w:val="20"/>
          <w:szCs w:val="20"/>
        </w:rPr>
        <w:t xml:space="preserve"> </w:t>
      </w:r>
      <w:r>
        <w:rPr>
          <w:spacing w:val="-1"/>
          <w:sz w:val="20"/>
          <w:szCs w:val="20"/>
        </w:rPr>
        <w:t>机密性、完整性和可用性</w:t>
      </w:r>
      <w:r>
        <w:rPr>
          <w:sz w:val="20"/>
          <w:szCs w:val="20"/>
        </w:rPr>
        <w:t xml:space="preserve"> </w:t>
      </w:r>
      <w:r>
        <w:rPr>
          <w:rFonts w:ascii="Times New Roman" w:hAnsi="Times New Roman" w:eastAsia="Times New Roman" w:cs="Times New Roman"/>
          <w:spacing w:val="-2"/>
          <w:sz w:val="20"/>
          <w:szCs w:val="20"/>
        </w:rPr>
        <w:t xml:space="preserve">C. </w:t>
      </w:r>
      <w:r>
        <w:rPr>
          <w:spacing w:val="-2"/>
          <w:sz w:val="20"/>
          <w:szCs w:val="20"/>
        </w:rPr>
        <w:t>合理性、有效性、可靠性</w:t>
      </w:r>
    </w:p>
    <w:p w14:paraId="395843C2">
      <w:pPr>
        <w:pStyle w:val="2"/>
        <w:spacing w:before="26" w:line="264" w:lineRule="auto"/>
        <w:ind w:left="399" w:right="4583" w:firstLine="3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D.</w:t>
      </w:r>
      <w:r>
        <w:rPr>
          <w:rFonts w:ascii="Times New Roman" w:hAnsi="Times New Roman" w:eastAsia="Times New Roman" w:cs="Times New Roman"/>
          <w:spacing w:val="3"/>
          <w:sz w:val="20"/>
          <w:szCs w:val="20"/>
        </w:rPr>
        <w:t xml:space="preserve"> </w:t>
      </w:r>
      <w:r>
        <w:rPr>
          <w:spacing w:val="-2"/>
          <w:sz w:val="20"/>
          <w:szCs w:val="20"/>
        </w:rPr>
        <w:t>高可靠性、松耦合性、可维护性</w:t>
      </w:r>
      <w:r>
        <w:rPr>
          <w:sz w:val="20"/>
          <w:szCs w:val="20"/>
        </w:rPr>
        <w:t xml:space="preserve"> </w:t>
      </w:r>
      <w:r>
        <w:rPr>
          <w:spacing w:val="-14"/>
          <w:sz w:val="20"/>
          <w:szCs w:val="20"/>
        </w:rPr>
        <w:t>参考答案：</w:t>
      </w:r>
      <w:r>
        <w:rPr>
          <w:rFonts w:ascii="Times New Roman" w:hAnsi="Times New Roman" w:eastAsia="Times New Roman" w:cs="Times New Roman"/>
          <w:spacing w:val="-14"/>
          <w:sz w:val="20"/>
          <w:szCs w:val="20"/>
        </w:rPr>
        <w:t>B</w:t>
      </w:r>
    </w:p>
    <w:p w14:paraId="0ADC0C3A">
      <w:pPr>
        <w:spacing w:line="264" w:lineRule="auto"/>
        <w:rPr>
          <w:rFonts w:ascii="Times New Roman" w:hAnsi="Times New Roman" w:eastAsia="Times New Roman" w:cs="Times New Roman"/>
          <w:sz w:val="20"/>
          <w:szCs w:val="20"/>
        </w:rPr>
        <w:sectPr>
          <w:pgSz w:w="10300" w:h="13330"/>
          <w:pgMar w:top="400" w:right="1030" w:bottom="400" w:left="880" w:header="0" w:footer="0" w:gutter="0"/>
          <w:cols w:space="720" w:num="1"/>
        </w:sectPr>
      </w:pPr>
    </w:p>
    <w:p w14:paraId="7D1DAAA4">
      <w:pPr>
        <w:pStyle w:val="2"/>
        <w:jc w:val="right"/>
        <w:rPr>
          <w:rFonts w:ascii="Times New Roman" w:hAnsi="Times New Roman" w:eastAsia="Times New Roman" w:cs="Times New Roman"/>
          <w:sz w:val="20"/>
          <w:szCs w:val="20"/>
        </w:rPr>
      </w:pPr>
      <w:r>
        <w:rPr>
          <w:spacing w:val="-13"/>
          <w:position w:val="1"/>
          <w:sz w:val="20"/>
          <w:szCs w:val="20"/>
        </w:rPr>
        <w:t>第一篇</w:t>
      </w:r>
      <w:r>
        <w:rPr>
          <w:spacing w:val="-12"/>
          <w:position w:val="1"/>
          <w:sz w:val="20"/>
          <w:szCs w:val="20"/>
        </w:rPr>
        <w:t xml:space="preserve">练习 </w:t>
      </w:r>
      <w:r>
        <w:rPr>
          <w:position w:val="-11"/>
          <w:sz w:val="20"/>
          <w:szCs w:val="20"/>
        </w:rPr>
        <w:drawing>
          <wp:inline distT="0" distB="0" distL="0" distR="0">
            <wp:extent cx="279400" cy="24130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50"/>
                    <a:stretch>
                      <a:fillRect/>
                    </a:stretch>
                  </pic:blipFill>
                  <pic:spPr>
                    <a:xfrm>
                      <a:off x="0" y="0"/>
                      <a:ext cx="279400" cy="241300"/>
                    </a:xfrm>
                    <a:prstGeom prst="rect">
                      <a:avLst/>
                    </a:prstGeom>
                  </pic:spPr>
                </pic:pic>
              </a:graphicData>
            </a:graphic>
          </wp:inline>
        </w:drawing>
      </w:r>
      <w:r>
        <w:rPr>
          <w:spacing w:val="-28"/>
          <w:position w:val="1"/>
          <w:sz w:val="20"/>
          <w:szCs w:val="20"/>
        </w:rPr>
        <w:t xml:space="preserve"> </w:t>
      </w:r>
      <w:r>
        <w:rPr>
          <w:rFonts w:ascii="Times New Roman" w:hAnsi="Times New Roman" w:eastAsia="Times New Roman" w:cs="Times New Roman"/>
          <w:spacing w:val="-12"/>
          <w:position w:val="-4"/>
          <w:sz w:val="20"/>
          <w:szCs w:val="20"/>
        </w:rPr>
        <w:t>20</w:t>
      </w:r>
      <w:r>
        <w:rPr>
          <w:rFonts w:ascii="Times New Roman" w:hAnsi="Times New Roman" w:eastAsia="Times New Roman" w:cs="Times New Roman"/>
          <w:spacing w:val="-9"/>
          <w:position w:val="-4"/>
          <w:sz w:val="20"/>
          <w:szCs w:val="20"/>
        </w:rPr>
        <w:t>9</w:t>
      </w:r>
    </w:p>
    <w:p w14:paraId="0072B144">
      <w:pPr>
        <w:pStyle w:val="2"/>
        <w:spacing w:before="297" w:line="219" w:lineRule="auto"/>
        <w:ind w:left="389"/>
        <w:rPr>
          <w:rFonts w:ascii="Arial" w:hAnsi="Arial" w:eastAsia="Arial" w:cs="Arial"/>
          <w:sz w:val="21"/>
          <w:szCs w:val="21"/>
        </w:rPr>
      </w:pPr>
      <w:bookmarkStart w:id="592" w:name="bookmark577"/>
      <w:bookmarkEnd w:id="592"/>
      <w:r>
        <w:rPr>
          <w:spacing w:val="-8"/>
          <w:sz w:val="21"/>
          <w:szCs w:val="21"/>
        </w:rPr>
        <w:t>(7)对代码进行静态测试可以采用：</w:t>
      </w:r>
      <w:r>
        <w:rPr>
          <w:spacing w:val="-8"/>
          <w:sz w:val="21"/>
          <w:szCs w:val="21"/>
          <w:u w:val="single" w:color="auto"/>
        </w:rPr>
        <w:t xml:space="preserve">      </w:t>
      </w:r>
      <w:r>
        <w:rPr>
          <w:spacing w:val="-59"/>
          <w:sz w:val="21"/>
          <w:szCs w:val="21"/>
        </w:rPr>
        <w:t xml:space="preserve"> </w:t>
      </w:r>
      <w:r>
        <w:rPr>
          <w:rFonts w:ascii="Arial" w:hAnsi="Arial" w:eastAsia="Arial" w:cs="Arial"/>
          <w:spacing w:val="-8"/>
          <w:sz w:val="21"/>
          <w:szCs w:val="21"/>
        </w:rPr>
        <w:t>o</w:t>
      </w:r>
    </w:p>
    <w:p w14:paraId="790D5F34">
      <w:pPr>
        <w:pStyle w:val="2"/>
        <w:spacing w:before="89" w:line="217" w:lineRule="auto"/>
        <w:ind w:left="800"/>
        <w:rPr>
          <w:sz w:val="20"/>
          <w:szCs w:val="20"/>
        </w:rPr>
      </w:pPr>
      <w:r>
        <w:rPr>
          <w:spacing w:val="1"/>
          <w:sz w:val="20"/>
          <w:szCs w:val="20"/>
        </w:rPr>
        <w:t>①桌前检查</w:t>
      </w:r>
      <w:r>
        <w:rPr>
          <w:spacing w:val="12"/>
          <w:sz w:val="20"/>
          <w:szCs w:val="20"/>
        </w:rPr>
        <w:t xml:space="preserve">        </w:t>
      </w:r>
      <w:r>
        <w:rPr>
          <w:spacing w:val="1"/>
          <w:sz w:val="20"/>
          <w:szCs w:val="20"/>
        </w:rPr>
        <w:t>②代码走查         ③代码审查        ④黑盒测试</w:t>
      </w:r>
    </w:p>
    <w:p w14:paraId="5B90F454">
      <w:pPr>
        <w:pStyle w:val="2"/>
        <w:spacing w:before="26" w:line="217" w:lineRule="auto"/>
        <w:ind w:left="800"/>
        <w:rPr>
          <w:sz w:val="26"/>
          <w:szCs w:val="26"/>
        </w:rPr>
      </w:pPr>
      <w:r>
        <w:rPr>
          <w:rFonts w:ascii="Times New Roman" w:hAnsi="Times New Roman" w:eastAsia="Times New Roman" w:cs="Times New Roman"/>
          <w:spacing w:val="-28"/>
          <w:sz w:val="26"/>
          <w:szCs w:val="26"/>
        </w:rPr>
        <w:t>A.</w:t>
      </w:r>
      <w:r>
        <w:rPr>
          <w:spacing w:val="-28"/>
          <w:sz w:val="26"/>
          <w:szCs w:val="26"/>
        </w:rPr>
        <w:t>①②④</w:t>
      </w:r>
      <w:r>
        <w:rPr>
          <w:spacing w:val="1"/>
          <w:sz w:val="26"/>
          <w:szCs w:val="26"/>
        </w:rPr>
        <w:t xml:space="preserve">        </w:t>
      </w:r>
      <w:r>
        <w:rPr>
          <w:rFonts w:ascii="Times New Roman" w:hAnsi="Times New Roman" w:eastAsia="Times New Roman" w:cs="Times New Roman"/>
          <w:spacing w:val="-28"/>
          <w:sz w:val="26"/>
          <w:szCs w:val="26"/>
        </w:rPr>
        <w:t>B.</w:t>
      </w:r>
      <w:r>
        <w:rPr>
          <w:spacing w:val="-28"/>
          <w:sz w:val="26"/>
          <w:szCs w:val="26"/>
        </w:rPr>
        <w:t xml:space="preserve">①③④          </w:t>
      </w:r>
      <w:r>
        <w:rPr>
          <w:rFonts w:ascii="Times New Roman" w:hAnsi="Times New Roman" w:eastAsia="Times New Roman" w:cs="Times New Roman"/>
          <w:spacing w:val="-28"/>
          <w:sz w:val="26"/>
          <w:szCs w:val="26"/>
        </w:rPr>
        <w:t>C.</w:t>
      </w:r>
      <w:r>
        <w:rPr>
          <w:spacing w:val="-28"/>
          <w:sz w:val="26"/>
          <w:szCs w:val="26"/>
        </w:rPr>
        <w:t xml:space="preserve">①②③   </w:t>
      </w:r>
      <w:r>
        <w:rPr>
          <w:spacing w:val="-29"/>
          <w:sz w:val="26"/>
          <w:szCs w:val="26"/>
        </w:rPr>
        <w:t xml:space="preserve">      </w:t>
      </w:r>
      <w:r>
        <w:rPr>
          <w:rFonts w:ascii="Times New Roman" w:hAnsi="Times New Roman" w:eastAsia="Times New Roman" w:cs="Times New Roman"/>
          <w:spacing w:val="-29"/>
          <w:sz w:val="26"/>
          <w:szCs w:val="26"/>
        </w:rPr>
        <w:t>D.</w:t>
      </w:r>
      <w:r>
        <w:rPr>
          <w:spacing w:val="-29"/>
          <w:sz w:val="26"/>
          <w:szCs w:val="26"/>
        </w:rPr>
        <w:t>②③④</w:t>
      </w:r>
    </w:p>
    <w:p w14:paraId="44E6A454">
      <w:pPr>
        <w:pStyle w:val="2"/>
        <w:spacing w:before="54" w:line="219" w:lineRule="auto"/>
        <w:ind w:left="389"/>
        <w:rPr>
          <w:rFonts w:ascii="Times New Roman" w:hAnsi="Times New Roman" w:eastAsia="Times New Roman" w:cs="Times New Roman"/>
          <w:sz w:val="20"/>
          <w:szCs w:val="20"/>
        </w:rPr>
      </w:pPr>
      <w:r>
        <w:rPr>
          <w:spacing w:val="-15"/>
          <w:sz w:val="20"/>
          <w:szCs w:val="20"/>
        </w:rPr>
        <w:t>参考答案：</w:t>
      </w:r>
      <w:r>
        <w:rPr>
          <w:rFonts w:ascii="Times New Roman" w:hAnsi="Times New Roman" w:eastAsia="Times New Roman" w:cs="Times New Roman"/>
          <w:spacing w:val="-15"/>
          <w:sz w:val="20"/>
          <w:szCs w:val="20"/>
        </w:rPr>
        <w:t>C</w:t>
      </w:r>
    </w:p>
    <w:p w14:paraId="41A5C9A1">
      <w:pPr>
        <w:pStyle w:val="2"/>
        <w:spacing w:before="82" w:line="274" w:lineRule="auto"/>
        <w:ind w:right="288" w:firstLine="389"/>
        <w:rPr>
          <w:sz w:val="20"/>
          <w:szCs w:val="20"/>
        </w:rPr>
      </w:pPr>
      <w:r>
        <w:rPr>
          <w:spacing w:val="14"/>
          <w:sz w:val="20"/>
          <w:szCs w:val="20"/>
        </w:rPr>
        <w:t>(8)等保1.0与等保2.0的差异主要体现在保护对象不同，等保1.0为</w:t>
      </w:r>
      <w:r>
        <w:rPr>
          <w:spacing w:val="-64"/>
          <w:sz w:val="20"/>
          <w:szCs w:val="20"/>
        </w:rPr>
        <w:t xml:space="preserve"> </w:t>
      </w:r>
      <w:r>
        <w:rPr>
          <w:spacing w:val="14"/>
          <w:sz w:val="20"/>
          <w:szCs w:val="20"/>
          <w:u w:val="single" w:color="auto"/>
        </w:rPr>
        <w:t xml:space="preserve">     </w:t>
      </w:r>
      <w:r>
        <w:rPr>
          <w:spacing w:val="14"/>
          <w:sz w:val="20"/>
          <w:szCs w:val="20"/>
        </w:rPr>
        <w:t>保护，等保</w:t>
      </w:r>
      <w:r>
        <w:rPr>
          <w:sz w:val="20"/>
          <w:szCs w:val="20"/>
        </w:rPr>
        <w:t xml:space="preserve"> </w:t>
      </w:r>
      <w:r>
        <w:rPr>
          <w:spacing w:val="-5"/>
          <w:sz w:val="20"/>
          <w:szCs w:val="20"/>
        </w:rPr>
        <w:t>2.0为</w:t>
      </w:r>
      <w:r>
        <w:rPr>
          <w:spacing w:val="1"/>
          <w:sz w:val="20"/>
          <w:szCs w:val="20"/>
          <w:u w:val="single" w:color="auto"/>
        </w:rPr>
        <w:t xml:space="preserve">      </w:t>
      </w:r>
      <w:r>
        <w:rPr>
          <w:spacing w:val="-5"/>
          <w:sz w:val="20"/>
          <w:szCs w:val="20"/>
        </w:rPr>
        <w:t>保护。</w:t>
      </w:r>
    </w:p>
    <w:p w14:paraId="78372532">
      <w:pPr>
        <w:pStyle w:val="2"/>
        <w:spacing w:before="36" w:line="282" w:lineRule="auto"/>
        <w:ind w:left="800" w:right="4613"/>
        <w:jc w:val="both"/>
        <w:rPr>
          <w:sz w:val="20"/>
          <w:szCs w:val="20"/>
        </w:rPr>
      </w:pPr>
      <w:r>
        <w:rPr>
          <w:rFonts w:ascii="Times New Roman" w:hAnsi="Times New Roman" w:eastAsia="Times New Roman" w:cs="Times New Roman"/>
          <w:spacing w:val="4"/>
          <w:sz w:val="20"/>
          <w:szCs w:val="20"/>
        </w:rPr>
        <w:t xml:space="preserve">A. </w:t>
      </w:r>
      <w:r>
        <w:rPr>
          <w:spacing w:val="4"/>
          <w:sz w:val="20"/>
          <w:szCs w:val="20"/>
        </w:rPr>
        <w:t>网络安全等级 信息系统安全等级</w:t>
      </w:r>
      <w:r>
        <w:rPr>
          <w:spacing w:val="15"/>
          <w:sz w:val="20"/>
          <w:szCs w:val="20"/>
        </w:rPr>
        <w:t xml:space="preserve"> </w:t>
      </w:r>
      <w:r>
        <w:rPr>
          <w:rFonts w:ascii="Times New Roman" w:hAnsi="Times New Roman" w:eastAsia="Times New Roman" w:cs="Times New Roman"/>
          <w:spacing w:val="5"/>
          <w:sz w:val="20"/>
          <w:szCs w:val="20"/>
        </w:rPr>
        <w:t xml:space="preserve">B. </w:t>
      </w:r>
      <w:r>
        <w:rPr>
          <w:spacing w:val="5"/>
          <w:sz w:val="20"/>
          <w:szCs w:val="20"/>
        </w:rPr>
        <w:t>网络安全等级 业务系统安全等级</w:t>
      </w:r>
      <w:r>
        <w:rPr>
          <w:spacing w:val="7"/>
          <w:sz w:val="20"/>
          <w:szCs w:val="20"/>
        </w:rPr>
        <w:t xml:space="preserve"> </w:t>
      </w:r>
      <w:r>
        <w:rPr>
          <w:rFonts w:ascii="Times New Roman" w:hAnsi="Times New Roman" w:eastAsia="Times New Roman" w:cs="Times New Roman"/>
          <w:sz w:val="20"/>
          <w:szCs w:val="20"/>
        </w:rPr>
        <w:t xml:space="preserve">C. </w:t>
      </w:r>
      <w:r>
        <w:rPr>
          <w:sz w:val="20"/>
          <w:szCs w:val="20"/>
        </w:rPr>
        <w:t>信息系统安全等级</w:t>
      </w:r>
      <w:r>
        <w:rPr>
          <w:spacing w:val="97"/>
          <w:sz w:val="20"/>
          <w:szCs w:val="20"/>
        </w:rPr>
        <w:t xml:space="preserve"> </w:t>
      </w:r>
      <w:r>
        <w:rPr>
          <w:sz w:val="20"/>
          <w:szCs w:val="20"/>
        </w:rPr>
        <w:t>网络安全等级</w:t>
      </w:r>
    </w:p>
    <w:p w14:paraId="0A58849C">
      <w:pPr>
        <w:pStyle w:val="2"/>
        <w:spacing w:before="24" w:line="273" w:lineRule="auto"/>
        <w:ind w:left="389" w:right="4203" w:firstLine="410"/>
        <w:rPr>
          <w:sz w:val="20"/>
          <w:szCs w:val="20"/>
        </w:rPr>
      </w:pPr>
      <w:r>
        <w:rPr>
          <w:rFonts w:ascii="Times New Roman" w:hAnsi="Times New Roman" w:eastAsia="Times New Roman" w:cs="Times New Roman"/>
          <w:spacing w:val="11"/>
          <w:sz w:val="20"/>
          <w:szCs w:val="20"/>
        </w:rPr>
        <w:t>D.</w:t>
      </w:r>
      <w:r>
        <w:rPr>
          <w:rFonts w:ascii="Times New Roman" w:hAnsi="Times New Roman" w:eastAsia="Times New Roman" w:cs="Times New Roman"/>
          <w:spacing w:val="-2"/>
          <w:sz w:val="20"/>
          <w:szCs w:val="20"/>
        </w:rPr>
        <w:t xml:space="preserve"> </w:t>
      </w:r>
      <w:r>
        <w:rPr>
          <w:spacing w:val="11"/>
          <w:sz w:val="20"/>
          <w:szCs w:val="20"/>
        </w:rPr>
        <w:t>信息系统安全等级业务系统安全等级</w:t>
      </w:r>
      <w:r>
        <w:rPr>
          <w:sz w:val="20"/>
          <w:szCs w:val="20"/>
        </w:rPr>
        <w:t xml:space="preserve"> </w:t>
      </w:r>
      <w:r>
        <w:rPr>
          <w:spacing w:val="-13"/>
          <w:sz w:val="20"/>
          <w:szCs w:val="20"/>
        </w:rPr>
        <w:t>参考答案：C</w:t>
      </w:r>
    </w:p>
    <w:p w14:paraId="357AB2A1">
      <w:pPr>
        <w:pStyle w:val="2"/>
        <w:spacing w:before="41" w:line="220" w:lineRule="auto"/>
        <w:ind w:left="389"/>
        <w:rPr>
          <w:sz w:val="22"/>
          <w:szCs w:val="22"/>
        </w:rPr>
      </w:pPr>
      <w:r>
        <w:rPr>
          <w:spacing w:val="-18"/>
          <w:sz w:val="22"/>
          <w:szCs w:val="22"/>
        </w:rPr>
        <w:t>(9)系统维护人员一般不需要关心</w:t>
      </w:r>
      <w:r>
        <w:rPr>
          <w:spacing w:val="-103"/>
          <w:sz w:val="22"/>
          <w:szCs w:val="22"/>
        </w:rPr>
        <w:t xml:space="preserve"> </w:t>
      </w:r>
      <w:r>
        <w:rPr>
          <w:spacing w:val="10"/>
          <w:sz w:val="22"/>
          <w:szCs w:val="22"/>
          <w:u w:val="single" w:color="auto"/>
        </w:rPr>
        <w:t xml:space="preserve">      </w:t>
      </w:r>
      <w:r>
        <w:rPr>
          <w:sz w:val="22"/>
          <w:szCs w:val="22"/>
        </w:rPr>
        <w:drawing>
          <wp:inline distT="0" distB="0" distL="0" distR="0">
            <wp:extent cx="57150" cy="4445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51"/>
                    <a:stretch>
                      <a:fillRect/>
                    </a:stretch>
                  </pic:blipFill>
                  <pic:spPr>
                    <a:xfrm>
                      <a:off x="0" y="0"/>
                      <a:ext cx="57173" cy="44456"/>
                    </a:xfrm>
                    <a:prstGeom prst="rect">
                      <a:avLst/>
                    </a:prstGeom>
                  </pic:spPr>
                </pic:pic>
              </a:graphicData>
            </a:graphic>
          </wp:inline>
        </w:drawing>
      </w:r>
    </w:p>
    <w:p w14:paraId="5D071CD7">
      <w:pPr>
        <w:pStyle w:val="2"/>
        <w:spacing w:before="54" w:line="220" w:lineRule="auto"/>
        <w:ind w:left="800"/>
        <w:rPr>
          <w:sz w:val="20"/>
          <w:szCs w:val="20"/>
        </w:rPr>
      </w:pPr>
      <w:r>
        <w:rPr>
          <w:rFonts w:ascii="Times New Roman" w:hAnsi="Times New Roman" w:eastAsia="Times New Roman" w:cs="Times New Roman"/>
          <w:spacing w:val="2"/>
          <w:sz w:val="20"/>
          <w:szCs w:val="20"/>
        </w:rPr>
        <w:t xml:space="preserve">A. </w:t>
      </w:r>
      <w:r>
        <w:rPr>
          <w:spacing w:val="2"/>
          <w:sz w:val="20"/>
          <w:szCs w:val="20"/>
        </w:rPr>
        <w:t xml:space="preserve">需求规格说明    </w:t>
      </w:r>
      <w:r>
        <w:rPr>
          <w:rFonts w:ascii="Times New Roman" w:hAnsi="Times New Roman" w:eastAsia="Times New Roman" w:cs="Times New Roman"/>
          <w:spacing w:val="2"/>
          <w:sz w:val="20"/>
          <w:szCs w:val="20"/>
        </w:rPr>
        <w:t>B.</w:t>
      </w:r>
      <w:r>
        <w:rPr>
          <w:rFonts w:ascii="Times New Roman" w:hAnsi="Times New Roman" w:eastAsia="Times New Roman" w:cs="Times New Roman"/>
          <w:spacing w:val="-6"/>
          <w:sz w:val="20"/>
          <w:szCs w:val="20"/>
        </w:rPr>
        <w:t xml:space="preserve"> </w:t>
      </w:r>
      <w:r>
        <w:rPr>
          <w:spacing w:val="2"/>
          <w:sz w:val="20"/>
          <w:szCs w:val="20"/>
        </w:rPr>
        <w:t>软件设计说明</w:t>
      </w:r>
      <w:r>
        <w:rPr>
          <w:spacing w:val="8"/>
          <w:sz w:val="20"/>
          <w:szCs w:val="20"/>
        </w:rPr>
        <w:t xml:space="preserve">     </w:t>
      </w:r>
      <w:r>
        <w:rPr>
          <w:rFonts w:ascii="Times New Roman" w:hAnsi="Times New Roman" w:eastAsia="Times New Roman" w:cs="Times New Roman"/>
          <w:spacing w:val="2"/>
          <w:sz w:val="20"/>
          <w:szCs w:val="20"/>
        </w:rPr>
        <w:t xml:space="preserve">C. </w:t>
      </w:r>
      <w:r>
        <w:rPr>
          <w:spacing w:val="2"/>
          <w:sz w:val="20"/>
          <w:szCs w:val="20"/>
        </w:rPr>
        <w:t>测试报告</w:t>
      </w:r>
      <w:r>
        <w:rPr>
          <w:spacing w:val="5"/>
          <w:sz w:val="20"/>
          <w:szCs w:val="20"/>
        </w:rPr>
        <w:t xml:space="preserve">       </w:t>
      </w:r>
      <w:r>
        <w:rPr>
          <w:rFonts w:ascii="Times New Roman" w:hAnsi="Times New Roman" w:eastAsia="Times New Roman" w:cs="Times New Roman"/>
          <w:spacing w:val="2"/>
          <w:sz w:val="20"/>
          <w:szCs w:val="20"/>
        </w:rPr>
        <w:t>D.</w:t>
      </w:r>
      <w:r>
        <w:rPr>
          <w:rFonts w:ascii="Times New Roman" w:hAnsi="Times New Roman" w:eastAsia="Times New Roman" w:cs="Times New Roman"/>
          <w:spacing w:val="-20"/>
          <w:sz w:val="20"/>
          <w:szCs w:val="20"/>
        </w:rPr>
        <w:t xml:space="preserve"> </w:t>
      </w:r>
      <w:r>
        <w:rPr>
          <w:spacing w:val="2"/>
          <w:sz w:val="20"/>
          <w:szCs w:val="20"/>
        </w:rPr>
        <w:t>项目建设合同</w:t>
      </w:r>
    </w:p>
    <w:p w14:paraId="1AE2BFCA">
      <w:pPr>
        <w:pStyle w:val="2"/>
        <w:spacing w:before="84" w:line="219" w:lineRule="auto"/>
        <w:ind w:left="389"/>
        <w:rPr>
          <w:rFonts w:ascii="Times New Roman" w:hAnsi="Times New Roman" w:eastAsia="Times New Roman" w:cs="Times New Roman"/>
          <w:sz w:val="20"/>
          <w:szCs w:val="20"/>
        </w:rPr>
      </w:pPr>
      <w:r>
        <w:rPr>
          <w:spacing w:val="-16"/>
          <w:sz w:val="20"/>
          <w:szCs w:val="20"/>
        </w:rPr>
        <w:t>参考答案：</w:t>
      </w:r>
      <w:r>
        <w:rPr>
          <w:rFonts w:ascii="Times New Roman" w:hAnsi="Times New Roman" w:eastAsia="Times New Roman" w:cs="Times New Roman"/>
          <w:spacing w:val="-16"/>
          <w:sz w:val="20"/>
          <w:szCs w:val="20"/>
        </w:rPr>
        <w:t>D</w:t>
      </w:r>
    </w:p>
    <w:p w14:paraId="2D6F57C8">
      <w:pPr>
        <w:pStyle w:val="2"/>
        <w:spacing w:before="65" w:line="213" w:lineRule="auto"/>
        <w:ind w:left="389"/>
        <w:rPr>
          <w:sz w:val="20"/>
          <w:szCs w:val="20"/>
        </w:rPr>
      </w:pPr>
      <w:r>
        <w:rPr>
          <w:spacing w:val="-4"/>
          <w:sz w:val="20"/>
          <w:szCs w:val="20"/>
        </w:rPr>
        <w:t>(10)运维服务的交付内容包括：</w:t>
      </w:r>
      <w:r>
        <w:rPr>
          <w:spacing w:val="11"/>
          <w:sz w:val="20"/>
          <w:szCs w:val="20"/>
          <w:u w:val="single" w:color="auto"/>
        </w:rPr>
        <w:t xml:space="preserve">      </w:t>
      </w:r>
      <w:r>
        <w:rPr>
          <w:spacing w:val="-4"/>
          <w:sz w:val="20"/>
          <w:szCs w:val="20"/>
          <w:u w:val="single" w:color="auto"/>
        </w:rPr>
        <w:t>_</w:t>
      </w:r>
    </w:p>
    <w:p w14:paraId="28A48814">
      <w:pPr>
        <w:pStyle w:val="2"/>
        <w:spacing w:before="94" w:line="217" w:lineRule="auto"/>
        <w:ind w:left="910"/>
        <w:rPr>
          <w:sz w:val="20"/>
          <w:szCs w:val="20"/>
        </w:rPr>
      </w:pPr>
      <w:r>
        <w:rPr>
          <w:spacing w:val="-1"/>
          <w:sz w:val="20"/>
          <w:szCs w:val="20"/>
        </w:rPr>
        <w:t>①调研评估        ②例行操作</w:t>
      </w:r>
      <w:r>
        <w:rPr>
          <w:spacing w:val="5"/>
          <w:sz w:val="20"/>
          <w:szCs w:val="20"/>
        </w:rPr>
        <w:t xml:space="preserve">         </w:t>
      </w:r>
      <w:r>
        <w:rPr>
          <w:spacing w:val="-1"/>
          <w:sz w:val="20"/>
          <w:szCs w:val="20"/>
        </w:rPr>
        <w:t>③响应支持</w:t>
      </w:r>
      <w:r>
        <w:rPr>
          <w:spacing w:val="12"/>
          <w:sz w:val="20"/>
          <w:szCs w:val="20"/>
        </w:rPr>
        <w:t xml:space="preserve">       </w:t>
      </w:r>
      <w:r>
        <w:rPr>
          <w:spacing w:val="-1"/>
          <w:sz w:val="20"/>
          <w:szCs w:val="20"/>
        </w:rPr>
        <w:t>④优化改善</w:t>
      </w:r>
    </w:p>
    <w:p w14:paraId="4401407B">
      <w:pPr>
        <w:pStyle w:val="2"/>
        <w:spacing w:before="65" w:line="217" w:lineRule="auto"/>
        <w:ind w:left="910"/>
        <w:rPr>
          <w:sz w:val="20"/>
          <w:szCs w:val="20"/>
        </w:rPr>
      </w:pPr>
      <w:r>
        <w:rPr>
          <w:spacing w:val="-2"/>
          <w:sz w:val="20"/>
          <w:szCs w:val="20"/>
        </w:rPr>
        <w:t>⑤持续交付</w:t>
      </w:r>
    </w:p>
    <w:p w14:paraId="58D20576">
      <w:pPr>
        <w:pStyle w:val="2"/>
        <w:spacing w:before="27" w:line="217" w:lineRule="auto"/>
        <w:ind w:left="910"/>
        <w:rPr>
          <w:sz w:val="26"/>
          <w:szCs w:val="26"/>
        </w:rPr>
      </w:pPr>
      <w:r>
        <w:rPr>
          <w:rFonts w:ascii="Times New Roman" w:hAnsi="Times New Roman" w:eastAsia="Times New Roman" w:cs="Times New Roman"/>
          <w:spacing w:val="-34"/>
          <w:sz w:val="26"/>
          <w:szCs w:val="26"/>
        </w:rPr>
        <w:t>A.</w:t>
      </w:r>
      <w:r>
        <w:rPr>
          <w:spacing w:val="-34"/>
          <w:sz w:val="26"/>
          <w:szCs w:val="26"/>
        </w:rPr>
        <w:t xml:space="preserve">①③④⑤       </w:t>
      </w:r>
      <w:r>
        <w:rPr>
          <w:rFonts w:ascii="Times New Roman" w:hAnsi="Times New Roman" w:eastAsia="Times New Roman" w:cs="Times New Roman"/>
          <w:spacing w:val="-34"/>
          <w:sz w:val="26"/>
          <w:szCs w:val="26"/>
        </w:rPr>
        <w:t>B.</w:t>
      </w:r>
      <w:r>
        <w:rPr>
          <w:spacing w:val="-34"/>
          <w:sz w:val="26"/>
          <w:szCs w:val="26"/>
        </w:rPr>
        <w:t>①②③④</w:t>
      </w:r>
      <w:r>
        <w:rPr>
          <w:spacing w:val="3"/>
          <w:sz w:val="26"/>
          <w:szCs w:val="26"/>
        </w:rPr>
        <w:t xml:space="preserve">       </w:t>
      </w:r>
      <w:r>
        <w:rPr>
          <w:rFonts w:ascii="Times New Roman" w:hAnsi="Times New Roman" w:eastAsia="Times New Roman" w:cs="Times New Roman"/>
          <w:spacing w:val="-34"/>
          <w:sz w:val="26"/>
          <w:szCs w:val="26"/>
        </w:rPr>
        <w:t>C.</w:t>
      </w:r>
      <w:r>
        <w:rPr>
          <w:spacing w:val="-34"/>
          <w:sz w:val="26"/>
          <w:szCs w:val="26"/>
        </w:rPr>
        <w:t xml:space="preserve">②③④⑤       </w:t>
      </w:r>
      <w:r>
        <w:rPr>
          <w:rFonts w:ascii="Times New Roman" w:hAnsi="Times New Roman" w:eastAsia="Times New Roman" w:cs="Times New Roman"/>
          <w:spacing w:val="-34"/>
          <w:sz w:val="26"/>
          <w:szCs w:val="26"/>
        </w:rPr>
        <w:t>D.</w:t>
      </w:r>
      <w:r>
        <w:rPr>
          <w:spacing w:val="-34"/>
          <w:sz w:val="26"/>
          <w:szCs w:val="26"/>
        </w:rPr>
        <w:t>①②④⑤</w:t>
      </w:r>
    </w:p>
    <w:p w14:paraId="03F79BCC">
      <w:pPr>
        <w:pStyle w:val="2"/>
        <w:spacing w:before="75" w:line="219" w:lineRule="auto"/>
        <w:ind w:left="389"/>
        <w:rPr>
          <w:rFonts w:ascii="Times New Roman" w:hAnsi="Times New Roman" w:eastAsia="Times New Roman" w:cs="Times New Roman"/>
          <w:sz w:val="20"/>
          <w:szCs w:val="20"/>
        </w:rPr>
      </w:pPr>
      <w:r>
        <w:rPr>
          <w:spacing w:val="-14"/>
          <w:sz w:val="20"/>
          <w:szCs w:val="20"/>
        </w:rPr>
        <w:t>参考答案：</w:t>
      </w:r>
      <w:r>
        <w:rPr>
          <w:rFonts w:ascii="Times New Roman" w:hAnsi="Times New Roman" w:eastAsia="Times New Roman" w:cs="Times New Roman"/>
          <w:spacing w:val="-14"/>
          <w:sz w:val="20"/>
          <w:szCs w:val="20"/>
        </w:rPr>
        <w:t>B</w:t>
      </w:r>
    </w:p>
    <w:p w14:paraId="5D3C25CB">
      <w:pPr>
        <w:pStyle w:val="2"/>
        <w:spacing w:before="90" w:line="222" w:lineRule="auto"/>
        <w:ind w:left="392"/>
        <w:rPr>
          <w:rFonts w:ascii="黑体" w:hAnsi="黑体" w:eastAsia="黑体" w:cs="黑体"/>
          <w:sz w:val="20"/>
          <w:szCs w:val="20"/>
        </w:rPr>
      </w:pPr>
      <w:r>
        <w:rPr>
          <w:b/>
          <w:bCs/>
          <w:color w:val="0067CF"/>
          <w:spacing w:val="2"/>
          <w:sz w:val="20"/>
          <w:szCs w:val="20"/>
        </w:rPr>
        <w:t>2.</w:t>
      </w:r>
      <w:r>
        <w:rPr>
          <w:rFonts w:ascii="黑体" w:hAnsi="黑体" w:eastAsia="黑体" w:cs="黑体"/>
          <w:b/>
          <w:bCs/>
          <w:color w:val="0067CF"/>
          <w:spacing w:val="2"/>
          <w:sz w:val="20"/>
          <w:szCs w:val="20"/>
        </w:rPr>
        <w:t>案例题</w:t>
      </w:r>
    </w:p>
    <w:p w14:paraId="7E1F8EE3">
      <w:pPr>
        <w:pStyle w:val="2"/>
        <w:spacing w:before="42" w:line="219" w:lineRule="auto"/>
        <w:ind w:left="389"/>
        <w:rPr>
          <w:sz w:val="20"/>
          <w:szCs w:val="20"/>
        </w:rPr>
      </w:pPr>
      <w:r>
        <w:rPr>
          <w:spacing w:val="7"/>
          <w:sz w:val="20"/>
          <w:szCs w:val="20"/>
        </w:rPr>
        <w:t>阅读下列说明，回答问题1至问题2。</w:t>
      </w:r>
    </w:p>
    <w:p w14:paraId="215A3CCD">
      <w:pPr>
        <w:pStyle w:val="2"/>
        <w:spacing w:before="68" w:line="275" w:lineRule="auto"/>
        <w:ind w:right="327" w:firstLine="292"/>
        <w:rPr>
          <w:sz w:val="20"/>
          <w:szCs w:val="20"/>
        </w:rPr>
      </w:pPr>
      <w:r>
        <w:rPr>
          <w:rFonts w:ascii="黑体" w:hAnsi="黑体" w:eastAsia="黑体" w:cs="黑体"/>
          <w:b/>
          <w:bCs/>
          <w:sz w:val="20"/>
          <w:szCs w:val="20"/>
        </w:rPr>
        <w:t>【说明】</w:t>
      </w:r>
      <w:r>
        <w:rPr>
          <w:sz w:val="20"/>
          <w:szCs w:val="20"/>
        </w:rPr>
        <w:t>业主单位甲选定承建单位乙承担某应用软件开发项目建设任务，选定监理单位丙对</w:t>
      </w:r>
      <w:r>
        <w:rPr>
          <w:spacing w:val="16"/>
          <w:sz w:val="20"/>
          <w:szCs w:val="20"/>
        </w:rPr>
        <w:t xml:space="preserve"> </w:t>
      </w:r>
      <w:r>
        <w:rPr>
          <w:spacing w:val="-2"/>
          <w:sz w:val="20"/>
          <w:szCs w:val="20"/>
        </w:rPr>
        <w:t>项目实施全过程监理。在项目实施过程中，发生如</w:t>
      </w:r>
      <w:r>
        <w:rPr>
          <w:spacing w:val="-3"/>
          <w:sz w:val="20"/>
          <w:szCs w:val="20"/>
        </w:rPr>
        <w:t>下事件：</w:t>
      </w:r>
    </w:p>
    <w:p w14:paraId="5188D982">
      <w:pPr>
        <w:pStyle w:val="2"/>
        <w:spacing w:before="28" w:line="271" w:lineRule="auto"/>
        <w:ind w:right="315" w:firstLine="289"/>
        <w:rPr>
          <w:sz w:val="20"/>
          <w:szCs w:val="20"/>
        </w:rPr>
      </w:pPr>
      <w:r>
        <w:rPr>
          <w:rFonts w:ascii="黑体" w:hAnsi="黑体" w:eastAsia="黑体" w:cs="黑体"/>
          <w:spacing w:val="4"/>
          <w:sz w:val="20"/>
          <w:szCs w:val="20"/>
        </w:rPr>
        <w:t>【事件1】</w:t>
      </w:r>
      <w:r>
        <w:rPr>
          <w:spacing w:val="4"/>
          <w:sz w:val="20"/>
          <w:szCs w:val="20"/>
        </w:rPr>
        <w:t>软件测试是质量控制的重要手段</w:t>
      </w:r>
      <w:r>
        <w:rPr>
          <w:spacing w:val="3"/>
          <w:sz w:val="20"/>
          <w:szCs w:val="20"/>
        </w:rPr>
        <w:t>之一。丙单位总监理工程师要求监理工程师对乙</w:t>
      </w:r>
      <w:r>
        <w:rPr>
          <w:sz w:val="20"/>
          <w:szCs w:val="20"/>
        </w:rPr>
        <w:t xml:space="preserve"> </w:t>
      </w:r>
      <w:r>
        <w:rPr>
          <w:spacing w:val="-2"/>
          <w:sz w:val="20"/>
          <w:szCs w:val="20"/>
        </w:rPr>
        <w:t>单位的测试方案、测试用例及测试数据进行重点监控。</w:t>
      </w:r>
    </w:p>
    <w:p w14:paraId="544631F8">
      <w:pPr>
        <w:pStyle w:val="2"/>
        <w:spacing w:before="33" w:line="261" w:lineRule="auto"/>
        <w:ind w:right="297" w:firstLine="289"/>
        <w:rPr>
          <w:sz w:val="20"/>
          <w:szCs w:val="20"/>
        </w:rPr>
      </w:pPr>
      <w:r>
        <w:rPr>
          <w:rFonts w:ascii="黑体" w:hAnsi="黑体" w:eastAsia="黑体" w:cs="黑体"/>
          <w:spacing w:val="6"/>
          <w:sz w:val="20"/>
          <w:szCs w:val="20"/>
        </w:rPr>
        <w:t xml:space="preserve">【事件2】 </w:t>
      </w:r>
      <w:r>
        <w:rPr>
          <w:spacing w:val="6"/>
          <w:sz w:val="20"/>
          <w:szCs w:val="20"/>
        </w:rPr>
        <w:t>由于开发的软件是企业的核心业务系统，需要一次性部署，全员同步使用新系</w:t>
      </w:r>
      <w:r>
        <w:rPr>
          <w:spacing w:val="17"/>
          <w:sz w:val="20"/>
          <w:szCs w:val="20"/>
        </w:rPr>
        <w:t xml:space="preserve"> </w:t>
      </w:r>
      <w:r>
        <w:rPr>
          <w:spacing w:val="-2"/>
          <w:sz w:val="20"/>
          <w:szCs w:val="20"/>
        </w:rPr>
        <w:t>统。在采用持续部署的模式选择上，乙单位和丙单位发生了争执。</w:t>
      </w:r>
    </w:p>
    <w:p w14:paraId="5B3E7391">
      <w:pPr>
        <w:pStyle w:val="2"/>
        <w:spacing w:before="42" w:line="222" w:lineRule="auto"/>
        <w:ind w:left="292"/>
        <w:rPr>
          <w:sz w:val="20"/>
          <w:szCs w:val="20"/>
        </w:rPr>
      </w:pPr>
      <w:r>
        <w:rPr>
          <w:rFonts w:ascii="黑体" w:hAnsi="黑体" w:eastAsia="黑体" w:cs="黑体"/>
          <w:b/>
          <w:bCs/>
          <w:spacing w:val="20"/>
          <w:sz w:val="20"/>
          <w:szCs w:val="20"/>
        </w:rPr>
        <w:t>【问题1】</w:t>
      </w:r>
      <w:r>
        <w:rPr>
          <w:spacing w:val="20"/>
          <w:sz w:val="20"/>
          <w:szCs w:val="20"/>
        </w:rPr>
        <w:t>在(1)～(2)中填写恰当内容。</w:t>
      </w:r>
    </w:p>
    <w:p w14:paraId="004B9765">
      <w:pPr>
        <w:pStyle w:val="2"/>
        <w:spacing w:before="68" w:line="279" w:lineRule="auto"/>
        <w:ind w:right="307" w:firstLine="389"/>
        <w:rPr>
          <w:sz w:val="20"/>
          <w:szCs w:val="20"/>
        </w:rPr>
      </w:pPr>
      <w:r>
        <w:rPr>
          <w:spacing w:val="6"/>
          <w:sz w:val="20"/>
          <w:szCs w:val="20"/>
          <w:u w:val="single" w:color="auto"/>
        </w:rPr>
        <w:t>针对事件1,为了检验程序的正确性，使用白盒测试方法时，应根据(1)</w:t>
      </w:r>
      <w:r>
        <w:rPr>
          <w:spacing w:val="6"/>
          <w:sz w:val="20"/>
          <w:szCs w:val="20"/>
        </w:rPr>
        <w:t xml:space="preserve">  和</w:t>
      </w:r>
      <w:r>
        <w:rPr>
          <w:spacing w:val="5"/>
          <w:sz w:val="20"/>
          <w:szCs w:val="20"/>
        </w:rPr>
        <w:t>指定的覆盖标</w:t>
      </w:r>
      <w:r>
        <w:rPr>
          <w:sz w:val="20"/>
          <w:szCs w:val="20"/>
        </w:rPr>
        <w:t xml:space="preserve"> 准确定测试数据。但有时为了降低成本，开发人员也需要采用 </w:t>
      </w:r>
      <w:r>
        <w:rPr>
          <w:spacing w:val="-57"/>
          <w:sz w:val="20"/>
          <w:szCs w:val="20"/>
          <w:u w:val="single" w:color="auto"/>
        </w:rPr>
        <w:t xml:space="preserve"> </w:t>
      </w:r>
      <w:r>
        <w:rPr>
          <w:sz w:val="20"/>
          <w:szCs w:val="20"/>
          <w:u w:val="single" w:color="auto"/>
        </w:rPr>
        <w:t>(2)</w:t>
      </w:r>
      <w:r>
        <w:rPr>
          <w:spacing w:val="-1"/>
          <w:sz w:val="20"/>
          <w:szCs w:val="20"/>
        </w:rPr>
        <w:t xml:space="preserve"> 逐步模拟程序的执行，检查</w:t>
      </w:r>
      <w:r>
        <w:rPr>
          <w:sz w:val="20"/>
          <w:szCs w:val="20"/>
        </w:rPr>
        <w:t xml:space="preserve"> </w:t>
      </w:r>
      <w:r>
        <w:rPr>
          <w:spacing w:val="-2"/>
          <w:sz w:val="20"/>
          <w:szCs w:val="20"/>
        </w:rPr>
        <w:t>每个步骤的输入、处理和输出是否符合预期。</w:t>
      </w:r>
    </w:p>
    <w:p w14:paraId="4492F5BF">
      <w:pPr>
        <w:pStyle w:val="2"/>
        <w:spacing w:before="5" w:line="212" w:lineRule="auto"/>
        <w:ind w:left="389"/>
        <w:rPr>
          <w:sz w:val="20"/>
          <w:szCs w:val="20"/>
        </w:rPr>
      </w:pPr>
      <w:r>
        <w:rPr>
          <w:rFonts w:ascii="Times New Roman" w:hAnsi="Times New Roman" w:eastAsia="Times New Roman" w:cs="Times New Roman"/>
          <w:spacing w:val="1"/>
          <w:sz w:val="20"/>
          <w:szCs w:val="20"/>
        </w:rPr>
        <w:t>(1)A.</w:t>
      </w:r>
      <w:r>
        <w:rPr>
          <w:rFonts w:ascii="Times New Roman" w:hAnsi="Times New Roman" w:eastAsia="Times New Roman" w:cs="Times New Roman"/>
          <w:spacing w:val="18"/>
          <w:w w:val="101"/>
          <w:sz w:val="20"/>
          <w:szCs w:val="20"/>
        </w:rPr>
        <w:t xml:space="preserve">   </w:t>
      </w:r>
      <w:r>
        <w:rPr>
          <w:spacing w:val="1"/>
          <w:sz w:val="20"/>
          <w:szCs w:val="20"/>
        </w:rPr>
        <w:t xml:space="preserve">程序的内部逻辑                      </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9"/>
          <w:sz w:val="20"/>
          <w:szCs w:val="20"/>
        </w:rPr>
        <w:t xml:space="preserve"> </w:t>
      </w:r>
      <w:r>
        <w:rPr>
          <w:spacing w:val="1"/>
          <w:sz w:val="20"/>
          <w:szCs w:val="20"/>
        </w:rPr>
        <w:t>程序的复杂程度</w:t>
      </w:r>
    </w:p>
    <w:p w14:paraId="7C492486">
      <w:pPr>
        <w:pStyle w:val="2"/>
        <w:spacing w:before="92" w:line="219" w:lineRule="auto"/>
        <w:ind w:left="800"/>
        <w:rPr>
          <w:sz w:val="20"/>
          <w:szCs w:val="20"/>
        </w:rPr>
      </w:pPr>
      <w:r>
        <w:rPr>
          <w:rFonts w:ascii="Times New Roman" w:hAnsi="Times New Roman" w:eastAsia="Times New Roman" w:cs="Times New Roman"/>
          <w:spacing w:val="1"/>
          <w:sz w:val="20"/>
          <w:szCs w:val="20"/>
        </w:rPr>
        <w:t xml:space="preserve">C. </w:t>
      </w:r>
      <w:r>
        <w:rPr>
          <w:spacing w:val="1"/>
          <w:sz w:val="20"/>
          <w:szCs w:val="20"/>
        </w:rPr>
        <w:t>软件使用说明书</w:t>
      </w:r>
      <w:r>
        <w:rPr>
          <w:spacing w:val="5"/>
          <w:sz w:val="20"/>
          <w:szCs w:val="20"/>
        </w:rPr>
        <w:t xml:space="preserve">                     </w:t>
      </w:r>
      <w:r>
        <w:rPr>
          <w:rFonts w:ascii="Times New Roman" w:hAnsi="Times New Roman" w:eastAsia="Times New Roman" w:cs="Times New Roman"/>
          <w:spacing w:val="1"/>
          <w:sz w:val="20"/>
          <w:szCs w:val="20"/>
        </w:rPr>
        <w:t xml:space="preserve">D. </w:t>
      </w:r>
      <w:r>
        <w:rPr>
          <w:spacing w:val="1"/>
          <w:sz w:val="20"/>
          <w:szCs w:val="20"/>
        </w:rPr>
        <w:t>软件的功能与性能</w:t>
      </w:r>
    </w:p>
    <w:p w14:paraId="17E6D135">
      <w:pPr>
        <w:pStyle w:val="2"/>
        <w:spacing w:before="52" w:line="212" w:lineRule="auto"/>
        <w:ind w:left="389"/>
        <w:rPr>
          <w:sz w:val="20"/>
          <w:szCs w:val="20"/>
        </w:rPr>
      </w:pPr>
      <w:r>
        <w:rPr>
          <w:rFonts w:ascii="Times New Roman" w:hAnsi="Times New Roman" w:eastAsia="Times New Roman" w:cs="Times New Roman"/>
          <w:spacing w:val="1"/>
          <w:sz w:val="20"/>
          <w:szCs w:val="20"/>
        </w:rPr>
        <w:t xml:space="preserve">(2)A.    </w:t>
      </w:r>
      <w:r>
        <w:rPr>
          <w:spacing w:val="1"/>
          <w:sz w:val="20"/>
          <w:szCs w:val="20"/>
        </w:rPr>
        <w:t>静态测试工具                        B.代码审查</w:t>
      </w:r>
    </w:p>
    <w:p w14:paraId="7B7789C3">
      <w:pPr>
        <w:pStyle w:val="2"/>
        <w:spacing w:before="103" w:line="219" w:lineRule="auto"/>
        <w:ind w:left="800"/>
        <w:rPr>
          <w:sz w:val="20"/>
          <w:szCs w:val="20"/>
        </w:rPr>
      </w:pPr>
      <w:r>
        <w:rPr>
          <w:spacing w:val="3"/>
          <w:sz w:val="20"/>
          <w:szCs w:val="20"/>
        </w:rPr>
        <w:t>C.代码走查</w:t>
      </w:r>
      <w:r>
        <w:rPr>
          <w:spacing w:val="4"/>
          <w:sz w:val="20"/>
          <w:szCs w:val="20"/>
        </w:rPr>
        <w:t xml:space="preserve">                   </w:t>
      </w:r>
      <w:r>
        <w:rPr>
          <w:spacing w:val="3"/>
          <w:sz w:val="20"/>
          <w:szCs w:val="20"/>
        </w:rPr>
        <w:t xml:space="preserve">        D.</w:t>
      </w:r>
      <w:r>
        <w:rPr>
          <w:spacing w:val="-55"/>
          <w:sz w:val="20"/>
          <w:szCs w:val="20"/>
        </w:rPr>
        <w:t xml:space="preserve"> </w:t>
      </w:r>
      <w:r>
        <w:rPr>
          <w:spacing w:val="3"/>
          <w:sz w:val="20"/>
          <w:szCs w:val="20"/>
        </w:rPr>
        <w:t>桌前检查</w:t>
      </w:r>
    </w:p>
    <w:p w14:paraId="06541B75">
      <w:pPr>
        <w:pStyle w:val="2"/>
        <w:spacing w:before="79" w:line="222" w:lineRule="auto"/>
        <w:ind w:left="292"/>
        <w:rPr>
          <w:sz w:val="20"/>
          <w:szCs w:val="20"/>
        </w:rPr>
      </w:pPr>
      <w:r>
        <w:rPr>
          <w:rFonts w:ascii="黑体" w:hAnsi="黑体" w:eastAsia="黑体" w:cs="黑体"/>
          <w:b/>
          <w:bCs/>
          <w:spacing w:val="20"/>
          <w:sz w:val="20"/>
          <w:szCs w:val="20"/>
        </w:rPr>
        <w:t>【问题2】</w:t>
      </w:r>
      <w:r>
        <w:rPr>
          <w:spacing w:val="20"/>
          <w:sz w:val="20"/>
          <w:szCs w:val="20"/>
        </w:rPr>
        <w:t>在(1)～(4)中填写恰当内容。</w:t>
      </w:r>
    </w:p>
    <w:p w14:paraId="24483872">
      <w:pPr>
        <w:pStyle w:val="2"/>
        <w:spacing w:before="52" w:line="229" w:lineRule="auto"/>
        <w:ind w:left="580"/>
        <w:rPr>
          <w:sz w:val="20"/>
          <w:szCs w:val="20"/>
        </w:rPr>
      </w:pPr>
      <w:r>
        <w:rPr>
          <w:sz w:val="20"/>
          <w:szCs w:val="20"/>
          <w:u w:val="single" w:color="auto"/>
        </w:rPr>
        <w:t>(1)</w:t>
      </w:r>
      <w:r>
        <w:rPr>
          <w:sz w:val="20"/>
          <w:szCs w:val="20"/>
        </w:rPr>
        <w:t xml:space="preserve"> 部署是指除了更新和安装补丁程序以外不对服务器进行任何更改</w:t>
      </w:r>
      <w:r>
        <w:rPr>
          <w:spacing w:val="-1"/>
          <w:sz w:val="20"/>
          <w:szCs w:val="20"/>
        </w:rPr>
        <w:t>。</w:t>
      </w:r>
      <w:r>
        <w:rPr>
          <w:spacing w:val="70"/>
          <w:sz w:val="20"/>
          <w:szCs w:val="20"/>
        </w:rPr>
        <w:t xml:space="preserve"> </w:t>
      </w:r>
      <w:r>
        <w:rPr>
          <w:spacing w:val="-1"/>
          <w:sz w:val="20"/>
          <w:szCs w:val="20"/>
          <w:u w:val="single" w:color="auto"/>
        </w:rPr>
        <w:t>(2)</w:t>
      </w:r>
      <w:r>
        <w:rPr>
          <w:spacing w:val="-1"/>
          <w:sz w:val="20"/>
          <w:szCs w:val="20"/>
        </w:rPr>
        <w:t xml:space="preserve"> 是指在部署</w:t>
      </w:r>
    </w:p>
    <w:p w14:paraId="2EA5C9D7">
      <w:pPr>
        <w:spacing w:line="229" w:lineRule="auto"/>
        <w:rPr>
          <w:sz w:val="20"/>
          <w:szCs w:val="20"/>
        </w:rPr>
        <w:sectPr>
          <w:pgSz w:w="10290" w:h="13310"/>
          <w:pgMar w:top="399" w:right="524" w:bottom="400" w:left="1119" w:header="0" w:footer="0" w:gutter="0"/>
          <w:cols w:space="720" w:num="1"/>
        </w:sectPr>
      </w:pPr>
    </w:p>
    <w:p w14:paraId="45E2B9FC">
      <w:pPr>
        <w:pStyle w:val="2"/>
        <w:spacing w:before="108" w:line="219" w:lineRule="auto"/>
        <w:rPr>
          <w:sz w:val="20"/>
          <w:szCs w:val="20"/>
        </w:rPr>
      </w:pPr>
      <w:r>
        <w:rPr>
          <w:rFonts w:ascii="Times New Roman" w:hAnsi="Times New Roman" w:eastAsia="Times New Roman" w:cs="Times New Roman"/>
          <w:b/>
          <w:bCs/>
          <w:spacing w:val="-1"/>
          <w:sz w:val="17"/>
          <w:szCs w:val="17"/>
        </w:rPr>
        <w:t xml:space="preserve">210                 </w:t>
      </w:r>
      <w:r>
        <w:rPr>
          <w:spacing w:val="-1"/>
          <w:sz w:val="20"/>
          <w:szCs w:val="20"/>
        </w:rPr>
        <w:t>信息系统监理师教程(第2版)</w:t>
      </w:r>
    </w:p>
    <w:p w14:paraId="37D0A8D8">
      <w:pPr>
        <w:spacing w:line="292" w:lineRule="auto"/>
        <w:rPr>
          <w:rFonts w:ascii="Arial"/>
          <w:sz w:val="21"/>
        </w:rPr>
      </w:pPr>
    </w:p>
    <w:p w14:paraId="0F505727">
      <w:pPr>
        <w:pStyle w:val="2"/>
        <w:spacing w:before="65" w:line="294" w:lineRule="auto"/>
        <w:ind w:left="370"/>
        <w:jc w:val="both"/>
        <w:rPr>
          <w:sz w:val="20"/>
          <w:szCs w:val="20"/>
        </w:rPr>
      </w:pPr>
      <w:r>
        <w:rPr>
          <w:spacing w:val="3"/>
          <w:sz w:val="20"/>
          <w:szCs w:val="20"/>
        </w:rPr>
        <w:t>的时候准备新旧两个部署版本，通过域名解析切换的方式将用户使用环境切换到</w:t>
      </w:r>
      <w:r>
        <w:rPr>
          <w:spacing w:val="2"/>
          <w:sz w:val="20"/>
          <w:szCs w:val="20"/>
        </w:rPr>
        <w:t>新版本中，当</w:t>
      </w:r>
      <w:r>
        <w:rPr>
          <w:sz w:val="20"/>
          <w:szCs w:val="20"/>
        </w:rPr>
        <w:t xml:space="preserve"> </w:t>
      </w:r>
      <w:r>
        <w:rPr>
          <w:spacing w:val="-1"/>
          <w:sz w:val="20"/>
          <w:szCs w:val="20"/>
        </w:rPr>
        <w:t>出现问题的时候，可以快速地将用户环境切回旧版本</w:t>
      </w:r>
      <w:r>
        <w:rPr>
          <w:spacing w:val="-2"/>
          <w:sz w:val="20"/>
          <w:szCs w:val="20"/>
        </w:rPr>
        <w:t>，并对新版本进行修复和调整。</w:t>
      </w:r>
      <w:r>
        <w:rPr>
          <w:spacing w:val="27"/>
          <w:sz w:val="20"/>
          <w:szCs w:val="20"/>
        </w:rPr>
        <w:t xml:space="preserve"> </w:t>
      </w:r>
      <w:r>
        <w:rPr>
          <w:spacing w:val="-57"/>
          <w:sz w:val="20"/>
          <w:szCs w:val="20"/>
          <w:u w:val="single" w:color="auto"/>
        </w:rPr>
        <w:t xml:space="preserve"> </w:t>
      </w:r>
      <w:r>
        <w:rPr>
          <w:spacing w:val="-2"/>
          <w:sz w:val="20"/>
          <w:szCs w:val="20"/>
          <w:u w:val="single" w:color="auto"/>
        </w:rPr>
        <w:t>(3)</w:t>
      </w:r>
      <w:r>
        <w:rPr>
          <w:spacing w:val="-2"/>
          <w:sz w:val="20"/>
          <w:szCs w:val="20"/>
        </w:rPr>
        <w:t xml:space="preserve"> 是指</w:t>
      </w:r>
      <w:r>
        <w:rPr>
          <w:sz w:val="20"/>
          <w:szCs w:val="20"/>
        </w:rPr>
        <w:t xml:space="preserve"> </w:t>
      </w:r>
      <w:r>
        <w:rPr>
          <w:spacing w:val="3"/>
          <w:sz w:val="20"/>
          <w:szCs w:val="20"/>
        </w:rPr>
        <w:t>当有新版本发布的时候，先让少量的用户使用新版本并</w:t>
      </w:r>
      <w:r>
        <w:rPr>
          <w:spacing w:val="2"/>
          <w:sz w:val="20"/>
          <w:szCs w:val="20"/>
        </w:rPr>
        <w:t>且观察新版本是否存在问题，如果出现</w:t>
      </w:r>
      <w:r>
        <w:rPr>
          <w:sz w:val="20"/>
          <w:szCs w:val="20"/>
        </w:rPr>
        <w:t xml:space="preserve"> </w:t>
      </w:r>
      <w:r>
        <w:rPr>
          <w:spacing w:val="3"/>
          <w:sz w:val="20"/>
          <w:szCs w:val="20"/>
        </w:rPr>
        <w:t>问题，就及时处理并重新发布，如果一切正常，就稳步地将</w:t>
      </w:r>
      <w:r>
        <w:rPr>
          <w:spacing w:val="2"/>
          <w:sz w:val="20"/>
          <w:szCs w:val="20"/>
        </w:rPr>
        <w:t>新版本适配给所有的用户。针对事</w:t>
      </w:r>
      <w:r>
        <w:rPr>
          <w:sz w:val="20"/>
          <w:szCs w:val="20"/>
        </w:rPr>
        <w:t xml:space="preserve"> </w:t>
      </w:r>
      <w:r>
        <w:rPr>
          <w:spacing w:val="7"/>
          <w:sz w:val="20"/>
          <w:szCs w:val="20"/>
        </w:rPr>
        <w:t>件2,本项目最适宜的部署方式是</w:t>
      </w:r>
      <w:r>
        <w:rPr>
          <w:spacing w:val="-31"/>
          <w:sz w:val="20"/>
          <w:szCs w:val="20"/>
          <w:u w:val="single" w:color="auto"/>
        </w:rPr>
        <w:t xml:space="preserve"> </w:t>
      </w:r>
      <w:r>
        <w:rPr>
          <w:spacing w:val="7"/>
          <w:sz w:val="20"/>
          <w:szCs w:val="20"/>
          <w:u w:val="single" w:color="auto"/>
        </w:rPr>
        <w:t>(4)。</w:t>
      </w:r>
    </w:p>
    <w:p w14:paraId="0E5C1071">
      <w:pPr>
        <w:pStyle w:val="2"/>
        <w:spacing w:before="39" w:line="219" w:lineRule="auto"/>
        <w:ind w:left="730"/>
        <w:rPr>
          <w:sz w:val="17"/>
          <w:szCs w:val="17"/>
        </w:rPr>
      </w:pPr>
      <w:r>
        <w:rPr>
          <w:spacing w:val="20"/>
          <w:sz w:val="17"/>
          <w:szCs w:val="17"/>
        </w:rPr>
        <w:t>参考答案：</w:t>
      </w:r>
    </w:p>
    <w:p w14:paraId="490BC044">
      <w:pPr>
        <w:pStyle w:val="2"/>
        <w:spacing w:before="99" w:line="221" w:lineRule="auto"/>
        <w:ind w:left="632"/>
        <w:rPr>
          <w:sz w:val="20"/>
          <w:szCs w:val="20"/>
        </w:rPr>
      </w:pPr>
      <w:r>
        <w:rPr>
          <w:b/>
          <w:bCs/>
          <w:spacing w:val="-3"/>
          <w:sz w:val="20"/>
          <w:szCs w:val="20"/>
        </w:rPr>
        <w:t>【问题1】</w:t>
      </w:r>
      <w:r>
        <w:rPr>
          <w:spacing w:val="-3"/>
          <w:sz w:val="20"/>
          <w:szCs w:val="20"/>
        </w:rPr>
        <w:t>(1)</w:t>
      </w:r>
      <w:r>
        <w:rPr>
          <w:spacing w:val="57"/>
          <w:sz w:val="20"/>
          <w:szCs w:val="20"/>
        </w:rPr>
        <w:t xml:space="preserve"> </w:t>
      </w:r>
      <w:r>
        <w:rPr>
          <w:spacing w:val="-3"/>
          <w:sz w:val="20"/>
          <w:szCs w:val="20"/>
        </w:rPr>
        <w:t>A     (2)D</w:t>
      </w:r>
    </w:p>
    <w:p w14:paraId="0C0C42B8">
      <w:pPr>
        <w:pStyle w:val="2"/>
        <w:spacing w:before="67" w:line="222" w:lineRule="auto"/>
        <w:ind w:left="632"/>
        <w:rPr>
          <w:sz w:val="20"/>
          <w:szCs w:val="20"/>
        </w:rPr>
      </w:pPr>
      <w:r>
        <w:rPr>
          <w:rFonts w:ascii="黑体" w:hAnsi="黑体" w:eastAsia="黑体" w:cs="黑体"/>
          <w:b/>
          <w:bCs/>
          <w:spacing w:val="30"/>
          <w:sz w:val="20"/>
          <w:szCs w:val="20"/>
        </w:rPr>
        <w:t>【问题2】</w:t>
      </w:r>
      <w:r>
        <w:rPr>
          <w:spacing w:val="30"/>
          <w:sz w:val="20"/>
          <w:szCs w:val="20"/>
        </w:rPr>
        <w:t>(1)不可变服务器(2)蓝绿部署(</w:t>
      </w:r>
      <w:r>
        <w:rPr>
          <w:spacing w:val="29"/>
          <w:sz w:val="20"/>
          <w:szCs w:val="20"/>
        </w:rPr>
        <w:t>3)金丝雀部署(4)蓝绿部署</w:t>
      </w:r>
    </w:p>
    <w:p w14:paraId="4F032382">
      <w:pPr>
        <w:spacing w:line="222" w:lineRule="auto"/>
        <w:rPr>
          <w:sz w:val="20"/>
          <w:szCs w:val="20"/>
        </w:rPr>
        <w:sectPr>
          <w:pgSz w:w="10300" w:h="13380"/>
          <w:pgMar w:top="400" w:right="1100" w:bottom="400" w:left="509" w:header="0" w:footer="0" w:gutter="0"/>
          <w:cols w:space="720" w:num="1"/>
        </w:sectPr>
      </w:pPr>
    </w:p>
    <w:p w14:paraId="34670E72">
      <w:pPr>
        <w:spacing w:line="244" w:lineRule="auto"/>
        <w:rPr>
          <w:rFonts w:ascii="Arial"/>
          <w:sz w:val="21"/>
        </w:rPr>
      </w:pPr>
    </w:p>
    <w:p w14:paraId="549A435D">
      <w:pPr>
        <w:spacing w:line="244" w:lineRule="auto"/>
        <w:rPr>
          <w:rFonts w:ascii="Arial"/>
          <w:sz w:val="21"/>
        </w:rPr>
      </w:pPr>
    </w:p>
    <w:p w14:paraId="3296DE6E">
      <w:pPr>
        <w:spacing w:line="244" w:lineRule="auto"/>
        <w:rPr>
          <w:rFonts w:ascii="Arial"/>
          <w:sz w:val="21"/>
        </w:rPr>
      </w:pPr>
    </w:p>
    <w:p w14:paraId="726BFCC3">
      <w:pPr>
        <w:spacing w:line="244" w:lineRule="auto"/>
        <w:rPr>
          <w:rFonts w:ascii="Arial"/>
          <w:sz w:val="21"/>
        </w:rPr>
      </w:pPr>
    </w:p>
    <w:p w14:paraId="5105F4DE">
      <w:pPr>
        <w:spacing w:line="245" w:lineRule="auto"/>
        <w:rPr>
          <w:rFonts w:ascii="Arial"/>
          <w:sz w:val="21"/>
        </w:rPr>
      </w:pPr>
    </w:p>
    <w:p w14:paraId="7574D1AA">
      <w:pPr>
        <w:spacing w:line="245" w:lineRule="auto"/>
        <w:rPr>
          <w:rFonts w:ascii="Arial"/>
          <w:sz w:val="21"/>
        </w:rPr>
      </w:pPr>
    </w:p>
    <w:p w14:paraId="518AFFFB">
      <w:pPr>
        <w:spacing w:line="245" w:lineRule="auto"/>
        <w:rPr>
          <w:rFonts w:ascii="Arial"/>
          <w:sz w:val="21"/>
        </w:rPr>
      </w:pPr>
    </w:p>
    <w:p w14:paraId="4F944197">
      <w:pPr>
        <w:spacing w:line="245" w:lineRule="auto"/>
        <w:rPr>
          <w:rFonts w:ascii="Arial"/>
          <w:sz w:val="21"/>
        </w:rPr>
      </w:pPr>
    </w:p>
    <w:p w14:paraId="6B62B983">
      <w:pPr>
        <w:spacing w:line="245" w:lineRule="auto"/>
        <w:rPr>
          <w:rFonts w:ascii="Arial"/>
          <w:sz w:val="21"/>
        </w:rPr>
      </w:pPr>
    </w:p>
    <w:p w14:paraId="0CEF64A7">
      <w:pPr>
        <w:spacing w:line="245" w:lineRule="auto"/>
        <w:rPr>
          <w:rFonts w:ascii="Arial"/>
          <w:sz w:val="21"/>
        </w:rPr>
      </w:pPr>
    </w:p>
    <w:p w14:paraId="1C0524C7">
      <w:pPr>
        <w:spacing w:line="245" w:lineRule="auto"/>
        <w:rPr>
          <w:rFonts w:ascii="Arial"/>
          <w:sz w:val="21"/>
        </w:rPr>
      </w:pPr>
    </w:p>
    <w:p w14:paraId="55EFBA3D">
      <w:pPr>
        <w:spacing w:line="245" w:lineRule="auto"/>
        <w:rPr>
          <w:rFonts w:ascii="Arial"/>
          <w:sz w:val="21"/>
        </w:rPr>
      </w:pPr>
    </w:p>
    <w:p w14:paraId="05FAF133">
      <w:pPr>
        <w:spacing w:line="245" w:lineRule="auto"/>
        <w:rPr>
          <w:rFonts w:ascii="Arial"/>
          <w:sz w:val="21"/>
        </w:rPr>
      </w:pPr>
    </w:p>
    <w:p w14:paraId="2CD00E4F">
      <w:pPr>
        <w:spacing w:line="245" w:lineRule="auto"/>
        <w:rPr>
          <w:rFonts w:ascii="Arial"/>
          <w:sz w:val="21"/>
        </w:rPr>
      </w:pPr>
    </w:p>
    <w:p w14:paraId="6AB6B6B3">
      <w:pPr>
        <w:spacing w:line="245" w:lineRule="auto"/>
        <w:rPr>
          <w:rFonts w:ascii="Arial"/>
          <w:sz w:val="21"/>
        </w:rPr>
      </w:pPr>
    </w:p>
    <w:p w14:paraId="12772188">
      <w:pPr>
        <w:spacing w:line="245" w:lineRule="auto"/>
        <w:rPr>
          <w:rFonts w:ascii="Arial"/>
          <w:sz w:val="21"/>
        </w:rPr>
      </w:pPr>
    </w:p>
    <w:p w14:paraId="3743FF5A">
      <w:pPr>
        <w:spacing w:line="245" w:lineRule="auto"/>
        <w:rPr>
          <w:rFonts w:ascii="Arial"/>
          <w:sz w:val="21"/>
        </w:rPr>
      </w:pPr>
    </w:p>
    <w:p w14:paraId="43C12BD6">
      <w:pPr>
        <w:spacing w:line="245" w:lineRule="auto"/>
        <w:rPr>
          <w:rFonts w:ascii="Arial"/>
          <w:sz w:val="21"/>
        </w:rPr>
      </w:pPr>
    </w:p>
    <w:p w14:paraId="3761F37C">
      <w:pPr>
        <w:spacing w:line="245" w:lineRule="auto"/>
        <w:rPr>
          <w:rFonts w:ascii="Arial"/>
          <w:sz w:val="21"/>
        </w:rPr>
      </w:pPr>
    </w:p>
    <w:p w14:paraId="7F956734">
      <w:pPr>
        <w:spacing w:line="245" w:lineRule="auto"/>
        <w:rPr>
          <w:rFonts w:ascii="Arial"/>
          <w:sz w:val="21"/>
        </w:rPr>
      </w:pPr>
    </w:p>
    <w:p w14:paraId="22B05615">
      <w:pPr>
        <w:spacing w:line="245" w:lineRule="auto"/>
        <w:rPr>
          <w:rFonts w:ascii="Arial"/>
          <w:sz w:val="21"/>
        </w:rPr>
      </w:pPr>
    </w:p>
    <w:p w14:paraId="686A6332">
      <w:pPr>
        <w:spacing w:line="245" w:lineRule="auto"/>
        <w:rPr>
          <w:rFonts w:ascii="Arial"/>
          <w:sz w:val="21"/>
        </w:rPr>
      </w:pPr>
    </w:p>
    <w:p w14:paraId="50212A4B">
      <w:pPr>
        <w:spacing w:line="245" w:lineRule="auto"/>
        <w:rPr>
          <w:rFonts w:ascii="Arial"/>
          <w:sz w:val="21"/>
        </w:rPr>
      </w:pPr>
    </w:p>
    <w:p w14:paraId="378E1F29">
      <w:pPr>
        <w:spacing w:line="245" w:lineRule="auto"/>
        <w:rPr>
          <w:rFonts w:ascii="Arial"/>
          <w:sz w:val="21"/>
        </w:rPr>
      </w:pPr>
    </w:p>
    <w:p w14:paraId="080910D7">
      <w:pPr>
        <w:spacing w:before="198" w:line="221" w:lineRule="auto"/>
        <w:ind w:left="1048"/>
        <w:rPr>
          <w:rFonts w:ascii="黑体" w:hAnsi="黑体" w:eastAsia="黑体" w:cs="黑体"/>
          <w:sz w:val="61"/>
          <w:szCs w:val="61"/>
        </w:rPr>
      </w:pPr>
      <w:r>
        <w:drawing>
          <wp:anchor distT="0" distB="0" distL="0" distR="0" simplePos="0" relativeHeight="251728896" behindDoc="1" locked="0" layoutInCell="1" allowOverlap="1">
            <wp:simplePos x="0" y="0"/>
            <wp:positionH relativeFrom="column">
              <wp:posOffset>0</wp:posOffset>
            </wp:positionH>
            <wp:positionV relativeFrom="paragraph">
              <wp:posOffset>-4008120</wp:posOffset>
            </wp:positionV>
            <wp:extent cx="6527800" cy="846455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52"/>
                    <a:stretch>
                      <a:fillRect/>
                    </a:stretch>
                  </pic:blipFill>
                  <pic:spPr>
                    <a:xfrm>
                      <a:off x="0" y="0"/>
                      <a:ext cx="6527800" cy="8464546"/>
                    </a:xfrm>
                    <a:prstGeom prst="rect">
                      <a:avLst/>
                    </a:prstGeom>
                  </pic:spPr>
                </pic:pic>
              </a:graphicData>
            </a:graphic>
          </wp:anchor>
        </w:drawing>
      </w:r>
      <w:r>
        <w:rPr>
          <w:rFonts w:ascii="黑体" w:hAnsi="黑体" w:eastAsia="黑体" w:cs="黑体"/>
          <w:b/>
          <w:bCs/>
          <w:spacing w:val="28"/>
          <w:sz w:val="61"/>
          <w:szCs w:val="61"/>
        </w:rPr>
        <w:t>第二篇信息系统工程监理通识</w:t>
      </w:r>
    </w:p>
    <w:p w14:paraId="7DF3486F">
      <w:pPr>
        <w:spacing w:line="221" w:lineRule="auto"/>
        <w:rPr>
          <w:rFonts w:ascii="黑体" w:hAnsi="黑体" w:eastAsia="黑体" w:cs="黑体"/>
          <w:sz w:val="61"/>
          <w:szCs w:val="61"/>
        </w:rPr>
        <w:sectPr>
          <w:pgSz w:w="10280" w:h="13340"/>
          <w:pgMar w:top="400" w:right="0" w:bottom="400" w:left="0" w:header="0" w:footer="0" w:gutter="0"/>
          <w:cols w:space="720" w:num="1"/>
        </w:sectPr>
      </w:pPr>
    </w:p>
    <w:p w14:paraId="22380D9A">
      <w:pPr>
        <w:rPr>
          <w:rFonts w:ascii="Arial"/>
          <w:sz w:val="21"/>
        </w:rPr>
      </w:pPr>
    </w:p>
    <w:p w14:paraId="2B8A68D3">
      <w:pPr>
        <w:rPr>
          <w:rFonts w:ascii="Arial" w:hAnsi="Arial" w:eastAsia="Arial" w:cs="Arial"/>
          <w:sz w:val="21"/>
          <w:szCs w:val="21"/>
        </w:rPr>
        <w:sectPr>
          <w:pgSz w:w="10300" w:h="13450"/>
          <w:pgMar w:top="0" w:right="0" w:bottom="0" w:left="0" w:header="0" w:footer="0" w:gutter="0"/>
          <w:cols w:space="720" w:num="1"/>
        </w:sectPr>
      </w:pPr>
    </w:p>
    <w:p w14:paraId="4F53E015">
      <w:pPr>
        <w:spacing w:line="255" w:lineRule="auto"/>
        <w:rPr>
          <w:rFonts w:ascii="Arial"/>
          <w:sz w:val="21"/>
        </w:rPr>
      </w:pPr>
    </w:p>
    <w:p w14:paraId="0A1B538A">
      <w:pPr>
        <w:spacing w:line="255" w:lineRule="auto"/>
        <w:rPr>
          <w:rFonts w:ascii="Arial"/>
          <w:sz w:val="21"/>
        </w:rPr>
      </w:pPr>
    </w:p>
    <w:p w14:paraId="12FBC6CB">
      <w:pPr>
        <w:spacing w:line="255" w:lineRule="auto"/>
        <w:rPr>
          <w:rFonts w:ascii="Arial"/>
          <w:sz w:val="21"/>
        </w:rPr>
      </w:pPr>
    </w:p>
    <w:p w14:paraId="7AABE08E">
      <w:pPr>
        <w:spacing w:before="130" w:line="238" w:lineRule="auto"/>
        <w:ind w:right="64"/>
        <w:jc w:val="right"/>
        <w:rPr>
          <w:sz w:val="40"/>
          <w:szCs w:val="40"/>
        </w:rPr>
      </w:pPr>
      <w:bookmarkStart w:id="593" w:name="bookmark578"/>
      <w:bookmarkEnd w:id="593"/>
      <w:r>
        <w:rPr>
          <w:rFonts w:ascii="黑体" w:hAnsi="黑体" w:eastAsia="黑体" w:cs="黑体"/>
          <w:b/>
          <w:bCs/>
          <w:color w:val="0061E2"/>
          <w:spacing w:val="-16"/>
          <w:sz w:val="40"/>
          <w:szCs w:val="40"/>
        </w:rPr>
        <w:t>第</w:t>
      </w:r>
      <w:r>
        <w:rPr>
          <w:rFonts w:ascii="黑体" w:hAnsi="黑体" w:eastAsia="黑体" w:cs="黑体"/>
          <w:color w:val="0061E2"/>
          <w:spacing w:val="-87"/>
          <w:sz w:val="40"/>
          <w:szCs w:val="40"/>
        </w:rPr>
        <w:t xml:space="preserve"> </w:t>
      </w:r>
      <w:r>
        <w:rPr>
          <w:rFonts w:ascii="黑体" w:hAnsi="黑体" w:eastAsia="黑体" w:cs="黑体"/>
          <w:b/>
          <w:bCs/>
          <w:color w:val="0061E2"/>
          <w:spacing w:val="-16"/>
          <w:sz w:val="40"/>
          <w:szCs w:val="40"/>
        </w:rPr>
        <w:t>8</w:t>
      </w:r>
      <w:r>
        <w:rPr>
          <w:rFonts w:ascii="黑体" w:hAnsi="黑体" w:eastAsia="黑体" w:cs="黑体"/>
          <w:color w:val="0061E2"/>
          <w:spacing w:val="-88"/>
          <w:sz w:val="40"/>
          <w:szCs w:val="40"/>
        </w:rPr>
        <w:t xml:space="preserve"> </w:t>
      </w:r>
      <w:r>
        <w:rPr>
          <w:rFonts w:ascii="黑体" w:hAnsi="黑体" w:eastAsia="黑体" w:cs="黑体"/>
          <w:b/>
          <w:bCs/>
          <w:color w:val="0061E2"/>
          <w:spacing w:val="-16"/>
          <w:sz w:val="40"/>
          <w:szCs w:val="40"/>
        </w:rPr>
        <w:t>章</w:t>
      </w:r>
      <w:r>
        <w:rPr>
          <w:rFonts w:ascii="黑体" w:hAnsi="黑体" w:eastAsia="黑体" w:cs="黑体"/>
          <w:color w:val="0061E2"/>
          <w:spacing w:val="186"/>
          <w:sz w:val="40"/>
          <w:szCs w:val="40"/>
        </w:rPr>
        <w:t xml:space="preserve"> </w:t>
      </w:r>
      <w:r>
        <w:rPr>
          <w:rFonts w:ascii="黑体" w:hAnsi="黑体" w:eastAsia="黑体" w:cs="黑体"/>
          <w:b/>
          <w:bCs/>
          <w:color w:val="0061E2"/>
          <w:spacing w:val="-16"/>
          <w:sz w:val="40"/>
          <w:szCs w:val="40"/>
        </w:rPr>
        <w:t>信息系统工程监理基础知识</w:t>
      </w:r>
      <w:r>
        <w:rPr>
          <w:position w:val="-8"/>
          <w:sz w:val="40"/>
          <w:szCs w:val="40"/>
        </w:rPr>
        <w:drawing>
          <wp:inline distT="0" distB="0" distL="0" distR="0">
            <wp:extent cx="659130" cy="30480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53"/>
                    <a:stretch>
                      <a:fillRect/>
                    </a:stretch>
                  </pic:blipFill>
                  <pic:spPr>
                    <a:xfrm>
                      <a:off x="0" y="0"/>
                      <a:ext cx="659610" cy="304849"/>
                    </a:xfrm>
                    <a:prstGeom prst="rect">
                      <a:avLst/>
                    </a:prstGeom>
                  </pic:spPr>
                </pic:pic>
              </a:graphicData>
            </a:graphic>
          </wp:inline>
        </w:drawing>
      </w:r>
    </w:p>
    <w:p w14:paraId="1DA15E43">
      <w:pPr>
        <w:spacing w:line="247" w:lineRule="auto"/>
        <w:rPr>
          <w:rFonts w:ascii="Arial"/>
          <w:sz w:val="21"/>
        </w:rPr>
      </w:pPr>
    </w:p>
    <w:p w14:paraId="3F29182F">
      <w:pPr>
        <w:spacing w:line="247" w:lineRule="auto"/>
        <w:rPr>
          <w:rFonts w:ascii="Arial"/>
          <w:sz w:val="21"/>
        </w:rPr>
      </w:pPr>
    </w:p>
    <w:p w14:paraId="0757E7C3">
      <w:pPr>
        <w:spacing w:line="248" w:lineRule="auto"/>
        <w:rPr>
          <w:rFonts w:ascii="Arial"/>
          <w:sz w:val="21"/>
        </w:rPr>
      </w:pPr>
    </w:p>
    <w:p w14:paraId="1FEAC7E4">
      <w:pPr>
        <w:pStyle w:val="2"/>
        <w:spacing w:before="62" w:line="298" w:lineRule="auto"/>
        <w:ind w:right="39" w:firstLine="399"/>
        <w:jc w:val="both"/>
        <w:rPr>
          <w:sz w:val="19"/>
          <w:szCs w:val="19"/>
        </w:rPr>
      </w:pPr>
      <w:r>
        <w:rPr>
          <w:spacing w:val="12"/>
          <w:sz w:val="19"/>
          <w:szCs w:val="19"/>
        </w:rPr>
        <w:t>在全球信息化的浪潮中，我国的信息化建设和应用走过了四十多年的发展历程，各种信息</w:t>
      </w:r>
      <w:r>
        <w:rPr>
          <w:spacing w:val="15"/>
          <w:sz w:val="19"/>
          <w:szCs w:val="19"/>
        </w:rPr>
        <w:t xml:space="preserve"> </w:t>
      </w:r>
      <w:r>
        <w:rPr>
          <w:spacing w:val="18"/>
          <w:sz w:val="19"/>
          <w:szCs w:val="19"/>
        </w:rPr>
        <w:t>化系统已经渗透国民经济和社会生活的方方面面。在信息系统工程</w:t>
      </w:r>
      <w:r>
        <w:rPr>
          <w:spacing w:val="17"/>
          <w:sz w:val="19"/>
          <w:szCs w:val="19"/>
        </w:rPr>
        <w:t>建设过程中，无论是业主</w:t>
      </w:r>
      <w:r>
        <w:rPr>
          <w:sz w:val="19"/>
          <w:szCs w:val="19"/>
        </w:rPr>
        <w:t xml:space="preserve"> </w:t>
      </w:r>
      <w:r>
        <w:rPr>
          <w:spacing w:val="14"/>
          <w:sz w:val="19"/>
          <w:szCs w:val="19"/>
        </w:rPr>
        <w:t>单位还是承建单位，依然面临着许多问题，为了保障信息系统工程按照</w:t>
      </w:r>
      <w:r>
        <w:rPr>
          <w:spacing w:val="13"/>
          <w:sz w:val="19"/>
          <w:szCs w:val="19"/>
        </w:rPr>
        <w:t>质量要求、投资计划、</w:t>
      </w:r>
      <w:r>
        <w:rPr>
          <w:sz w:val="19"/>
          <w:szCs w:val="19"/>
        </w:rPr>
        <w:t xml:space="preserve"> </w:t>
      </w:r>
      <w:r>
        <w:rPr>
          <w:spacing w:val="18"/>
          <w:sz w:val="19"/>
          <w:szCs w:val="19"/>
        </w:rPr>
        <w:t>工程进度顺利完成，信息系统工程监理应运而生。经过二</w:t>
      </w:r>
      <w:r>
        <w:rPr>
          <w:spacing w:val="17"/>
          <w:sz w:val="19"/>
          <w:szCs w:val="19"/>
        </w:rPr>
        <w:t>十多年的实践，尤其是随着国家法</w:t>
      </w:r>
      <w:r>
        <w:rPr>
          <w:sz w:val="19"/>
          <w:szCs w:val="19"/>
        </w:rPr>
        <w:t xml:space="preserve"> </w:t>
      </w:r>
      <w:r>
        <w:rPr>
          <w:spacing w:val="9"/>
          <w:sz w:val="19"/>
          <w:szCs w:val="19"/>
        </w:rPr>
        <w:t>规性文件的推陈出新、</w:t>
      </w:r>
      <w:r>
        <w:rPr>
          <w:spacing w:val="62"/>
          <w:sz w:val="19"/>
          <w:szCs w:val="19"/>
        </w:rPr>
        <w:t xml:space="preserve"> </w:t>
      </w:r>
      <w:r>
        <w:rPr>
          <w:spacing w:val="9"/>
          <w:sz w:val="19"/>
          <w:szCs w:val="19"/>
        </w:rPr>
        <w:t>一系列技术标准的贯彻落实和针对信息化监理规范的更新完善，信息系</w:t>
      </w:r>
      <w:r>
        <w:rPr>
          <w:sz w:val="19"/>
          <w:szCs w:val="19"/>
        </w:rPr>
        <w:t xml:space="preserve"> </w:t>
      </w:r>
      <w:r>
        <w:rPr>
          <w:spacing w:val="13"/>
          <w:sz w:val="19"/>
          <w:szCs w:val="19"/>
        </w:rPr>
        <w:t>统工程监理行业不断发展壮大，逐渐在国家信息化项目的建设、应用过</w:t>
      </w:r>
      <w:r>
        <w:rPr>
          <w:spacing w:val="12"/>
          <w:sz w:val="19"/>
          <w:szCs w:val="19"/>
        </w:rPr>
        <w:t>程中起到了至关重要的</w:t>
      </w:r>
      <w:r>
        <w:rPr>
          <w:sz w:val="19"/>
          <w:szCs w:val="19"/>
        </w:rPr>
        <w:t xml:space="preserve"> </w:t>
      </w:r>
      <w:r>
        <w:rPr>
          <w:spacing w:val="-2"/>
          <w:sz w:val="19"/>
          <w:szCs w:val="19"/>
        </w:rPr>
        <w:t>作用。</w:t>
      </w:r>
    </w:p>
    <w:p w14:paraId="1BCE60E7">
      <w:pPr>
        <w:spacing w:line="339" w:lineRule="auto"/>
        <w:rPr>
          <w:rFonts w:ascii="Arial"/>
          <w:sz w:val="21"/>
        </w:rPr>
      </w:pPr>
    </w:p>
    <w:p w14:paraId="63CCB279">
      <w:pPr>
        <w:pStyle w:val="2"/>
        <w:spacing w:before="92" w:line="221" w:lineRule="auto"/>
        <w:ind w:left="3"/>
        <w:rPr>
          <w:rFonts w:ascii="黑体" w:hAnsi="黑体" w:eastAsia="黑体" w:cs="黑体"/>
          <w:sz w:val="28"/>
          <w:szCs w:val="28"/>
        </w:rPr>
      </w:pPr>
      <w:r>
        <w:rPr>
          <w:b/>
          <w:bCs/>
          <w:color w:val="005AD0"/>
          <w:spacing w:val="-6"/>
          <w:sz w:val="28"/>
          <w:szCs w:val="28"/>
        </w:rPr>
        <w:t>8.1</w:t>
      </w:r>
      <w:r>
        <w:rPr>
          <w:color w:val="005AD0"/>
          <w:spacing w:val="-6"/>
          <w:sz w:val="28"/>
          <w:szCs w:val="28"/>
        </w:rPr>
        <w:t xml:space="preserve">  </w:t>
      </w:r>
      <w:r>
        <w:rPr>
          <w:rFonts w:ascii="黑体" w:hAnsi="黑体" w:eastAsia="黑体" w:cs="黑体"/>
          <w:b/>
          <w:bCs/>
          <w:color w:val="005AD0"/>
          <w:spacing w:val="-6"/>
          <w:sz w:val="28"/>
          <w:szCs w:val="28"/>
        </w:rPr>
        <w:t>信息系统工程监理的意义和作用</w:t>
      </w:r>
    </w:p>
    <w:p w14:paraId="0DA41C69">
      <w:pPr>
        <w:pStyle w:val="2"/>
        <w:spacing w:before="284" w:line="298" w:lineRule="auto"/>
        <w:ind w:right="81" w:firstLine="399"/>
        <w:jc w:val="both"/>
        <w:rPr>
          <w:sz w:val="19"/>
          <w:szCs w:val="19"/>
        </w:rPr>
      </w:pPr>
      <w:r>
        <w:rPr>
          <w:spacing w:val="13"/>
          <w:sz w:val="19"/>
          <w:szCs w:val="19"/>
        </w:rPr>
        <w:t>众所周知，信息系统工程监理是吸取了建筑行业建设监理的经验</w:t>
      </w:r>
      <w:r>
        <w:rPr>
          <w:spacing w:val="12"/>
          <w:sz w:val="19"/>
          <w:szCs w:val="19"/>
        </w:rPr>
        <w:t>和思路，结合信息技术服</w:t>
      </w:r>
      <w:r>
        <w:rPr>
          <w:sz w:val="19"/>
          <w:szCs w:val="19"/>
        </w:rPr>
        <w:t xml:space="preserve"> </w:t>
      </w:r>
      <w:r>
        <w:rPr>
          <w:spacing w:val="13"/>
          <w:sz w:val="19"/>
          <w:szCs w:val="19"/>
        </w:rPr>
        <w:t>务行业本身的特点发展而来的，是针对信息化建设中独特的性</w:t>
      </w:r>
      <w:r>
        <w:rPr>
          <w:spacing w:val="12"/>
          <w:sz w:val="19"/>
          <w:szCs w:val="19"/>
        </w:rPr>
        <w:t>质产生的新兴行业。信息系统工</w:t>
      </w:r>
      <w:r>
        <w:rPr>
          <w:sz w:val="19"/>
          <w:szCs w:val="19"/>
        </w:rPr>
        <w:t xml:space="preserve"> </w:t>
      </w:r>
      <w:r>
        <w:rPr>
          <w:spacing w:val="13"/>
          <w:sz w:val="19"/>
          <w:szCs w:val="19"/>
        </w:rPr>
        <w:t>程监理系列标准规范的制定和大量专业技术人才的培养，对我国信</w:t>
      </w:r>
      <w:r>
        <w:rPr>
          <w:spacing w:val="12"/>
          <w:sz w:val="19"/>
          <w:szCs w:val="19"/>
        </w:rPr>
        <w:t>息系统工程监理市场从无到</w:t>
      </w:r>
      <w:r>
        <w:rPr>
          <w:sz w:val="19"/>
          <w:szCs w:val="19"/>
        </w:rPr>
        <w:t xml:space="preserve"> </w:t>
      </w:r>
      <w:r>
        <w:rPr>
          <w:spacing w:val="13"/>
          <w:sz w:val="19"/>
          <w:szCs w:val="19"/>
        </w:rPr>
        <w:t>有、从小到大、从弱到强的发展起到了规范和促进作用，同</w:t>
      </w:r>
      <w:r>
        <w:rPr>
          <w:spacing w:val="12"/>
          <w:sz w:val="19"/>
          <w:szCs w:val="19"/>
        </w:rPr>
        <w:t>时随着我国信息系统工程监理业务</w:t>
      </w:r>
      <w:r>
        <w:rPr>
          <w:sz w:val="19"/>
          <w:szCs w:val="19"/>
        </w:rPr>
        <w:t xml:space="preserve"> </w:t>
      </w:r>
      <w:r>
        <w:rPr>
          <w:spacing w:val="13"/>
          <w:sz w:val="19"/>
          <w:szCs w:val="19"/>
        </w:rPr>
        <w:t>的不断扩展和规范，在信息技术服务中形成了信息系统</w:t>
      </w:r>
      <w:r>
        <w:rPr>
          <w:spacing w:val="12"/>
          <w:sz w:val="19"/>
          <w:szCs w:val="19"/>
        </w:rPr>
        <w:t>工程监理的新市场，其服务质量和管理</w:t>
      </w:r>
      <w:r>
        <w:rPr>
          <w:sz w:val="19"/>
          <w:szCs w:val="19"/>
        </w:rPr>
        <w:t xml:space="preserve"> </w:t>
      </w:r>
      <w:r>
        <w:rPr>
          <w:spacing w:val="13"/>
          <w:sz w:val="19"/>
          <w:szCs w:val="19"/>
        </w:rPr>
        <w:t>水平得以不断提高，所做的工作也得到了行业认可，对提高</w:t>
      </w:r>
      <w:r>
        <w:rPr>
          <w:spacing w:val="12"/>
          <w:sz w:val="19"/>
          <w:szCs w:val="19"/>
        </w:rPr>
        <w:t>我国信息化建设水平发挥了极其重</w:t>
      </w:r>
      <w:r>
        <w:rPr>
          <w:sz w:val="19"/>
          <w:szCs w:val="19"/>
        </w:rPr>
        <w:t xml:space="preserve"> </w:t>
      </w:r>
      <w:r>
        <w:rPr>
          <w:spacing w:val="1"/>
          <w:sz w:val="19"/>
          <w:szCs w:val="19"/>
        </w:rPr>
        <w:t>要的作用。</w:t>
      </w:r>
    </w:p>
    <w:p w14:paraId="7591A186">
      <w:pPr>
        <w:pStyle w:val="2"/>
        <w:spacing w:before="204" w:line="219" w:lineRule="auto"/>
        <w:ind w:left="2"/>
        <w:rPr>
          <w:sz w:val="25"/>
          <w:szCs w:val="25"/>
        </w:rPr>
      </w:pPr>
      <w:r>
        <w:rPr>
          <w:b/>
          <w:bCs/>
          <w:color w:val="005BD3"/>
          <w:spacing w:val="-17"/>
          <w:sz w:val="25"/>
          <w:szCs w:val="25"/>
        </w:rPr>
        <w:t>8.1.1</w:t>
      </w:r>
      <w:r>
        <w:rPr>
          <w:color w:val="005BD3"/>
          <w:spacing w:val="104"/>
          <w:sz w:val="25"/>
          <w:szCs w:val="25"/>
        </w:rPr>
        <w:t xml:space="preserve"> </w:t>
      </w:r>
      <w:r>
        <w:rPr>
          <w:b/>
          <w:bCs/>
          <w:color w:val="005BD3"/>
          <w:spacing w:val="-17"/>
          <w:sz w:val="25"/>
          <w:szCs w:val="25"/>
        </w:rPr>
        <w:t>信息系统工程监理的地位和作用</w:t>
      </w:r>
    </w:p>
    <w:p w14:paraId="444B745A">
      <w:pPr>
        <w:pStyle w:val="2"/>
        <w:spacing w:before="176" w:line="292" w:lineRule="auto"/>
        <w:ind w:right="84" w:firstLine="399"/>
        <w:jc w:val="both"/>
        <w:rPr>
          <w:sz w:val="19"/>
          <w:szCs w:val="19"/>
        </w:rPr>
      </w:pPr>
      <w:r>
        <w:rPr>
          <w:spacing w:val="12"/>
          <w:sz w:val="19"/>
          <w:szCs w:val="19"/>
        </w:rPr>
        <w:t>信息系统工程监理通常直接面对业主单位和承建单位，在二者之间形成了一种系统的工作</w:t>
      </w:r>
      <w:r>
        <w:rPr>
          <w:spacing w:val="13"/>
          <w:sz w:val="19"/>
          <w:szCs w:val="19"/>
        </w:rPr>
        <w:t xml:space="preserve"> 关系，在保障工程质量、进度、投资和合同管理、信息管理、</w:t>
      </w:r>
      <w:r>
        <w:rPr>
          <w:spacing w:val="12"/>
          <w:sz w:val="19"/>
          <w:szCs w:val="19"/>
        </w:rPr>
        <w:t>协调双方关系中处于重要的、不</w:t>
      </w:r>
      <w:r>
        <w:rPr>
          <w:sz w:val="19"/>
          <w:szCs w:val="19"/>
        </w:rPr>
        <w:t xml:space="preserve"> </w:t>
      </w:r>
      <w:r>
        <w:rPr>
          <w:spacing w:val="2"/>
          <w:sz w:val="19"/>
          <w:szCs w:val="19"/>
        </w:rPr>
        <w:t>可替代的地位。</w:t>
      </w:r>
    </w:p>
    <w:p w14:paraId="2ECF5075">
      <w:pPr>
        <w:pStyle w:val="2"/>
        <w:spacing w:before="35" w:line="285" w:lineRule="auto"/>
        <w:ind w:firstLine="399"/>
        <w:jc w:val="both"/>
        <w:rPr>
          <w:sz w:val="19"/>
          <w:szCs w:val="19"/>
        </w:rPr>
      </w:pPr>
      <w:r>
        <w:rPr>
          <w:spacing w:val="10"/>
          <w:sz w:val="19"/>
          <w:szCs w:val="19"/>
        </w:rPr>
        <w:t>信息系统工程监理为业主单位提供信息系统工程相关的技术建议。作为信息</w:t>
      </w:r>
      <w:r>
        <w:rPr>
          <w:spacing w:val="9"/>
          <w:sz w:val="19"/>
          <w:szCs w:val="19"/>
        </w:rPr>
        <w:t>系统工程监理，</w:t>
      </w:r>
      <w:r>
        <w:rPr>
          <w:sz w:val="19"/>
          <w:szCs w:val="19"/>
        </w:rPr>
        <w:t xml:space="preserve"> </w:t>
      </w:r>
      <w:r>
        <w:rPr>
          <w:spacing w:val="13"/>
          <w:sz w:val="19"/>
          <w:szCs w:val="19"/>
        </w:rPr>
        <w:t>对信息系统工程相关技术的理解和认知是对其专业素养</w:t>
      </w:r>
      <w:r>
        <w:rPr>
          <w:spacing w:val="12"/>
          <w:sz w:val="19"/>
          <w:szCs w:val="19"/>
        </w:rPr>
        <w:t>的必然要求。监理单位在项目的可行性</w:t>
      </w:r>
      <w:r>
        <w:rPr>
          <w:sz w:val="19"/>
          <w:szCs w:val="19"/>
        </w:rPr>
        <w:t xml:space="preserve">  </w:t>
      </w:r>
      <w:r>
        <w:rPr>
          <w:spacing w:val="13"/>
          <w:sz w:val="19"/>
          <w:szCs w:val="19"/>
        </w:rPr>
        <w:t>研究、实施、交付过程中要全程参与，通过技术方案评</w:t>
      </w:r>
      <w:r>
        <w:rPr>
          <w:spacing w:val="12"/>
          <w:sz w:val="19"/>
          <w:szCs w:val="19"/>
        </w:rPr>
        <w:t>价、管理过程监督、交付成果检验等方</w:t>
      </w:r>
      <w:r>
        <w:rPr>
          <w:sz w:val="19"/>
          <w:szCs w:val="19"/>
        </w:rPr>
        <w:t xml:space="preserve">  </w:t>
      </w:r>
      <w:r>
        <w:rPr>
          <w:spacing w:val="7"/>
          <w:sz w:val="19"/>
          <w:szCs w:val="19"/>
        </w:rPr>
        <w:t>法和手段，为业主单位提供技术建议和解决对策。</w:t>
      </w:r>
    </w:p>
    <w:p w14:paraId="7459E516">
      <w:pPr>
        <w:pStyle w:val="2"/>
        <w:spacing w:before="68" w:line="287" w:lineRule="auto"/>
        <w:ind w:right="39" w:firstLine="399"/>
        <w:jc w:val="both"/>
        <w:rPr>
          <w:sz w:val="19"/>
          <w:szCs w:val="19"/>
        </w:rPr>
      </w:pPr>
      <w:r>
        <w:rPr>
          <w:spacing w:val="13"/>
          <w:sz w:val="19"/>
          <w:szCs w:val="19"/>
        </w:rPr>
        <w:t>信息系统工程监理代表业主单位对项目的实施过程进行全程跟踪和监督管理。</w:t>
      </w:r>
      <w:r>
        <w:rPr>
          <w:spacing w:val="12"/>
          <w:sz w:val="19"/>
          <w:szCs w:val="19"/>
        </w:rPr>
        <w:t>现阶段对信</w:t>
      </w:r>
      <w:r>
        <w:rPr>
          <w:sz w:val="19"/>
          <w:szCs w:val="19"/>
        </w:rPr>
        <w:t xml:space="preserve"> </w:t>
      </w:r>
      <w:r>
        <w:rPr>
          <w:spacing w:val="13"/>
          <w:sz w:val="19"/>
          <w:szCs w:val="19"/>
        </w:rPr>
        <w:t>息系统工程监理的服务需求主要有：有关国有投资项目建设</w:t>
      </w:r>
      <w:r>
        <w:rPr>
          <w:spacing w:val="12"/>
          <w:sz w:val="19"/>
          <w:szCs w:val="19"/>
        </w:rPr>
        <w:t>管理的国家政策、法规的要求；有</w:t>
      </w:r>
      <w:r>
        <w:rPr>
          <w:sz w:val="19"/>
          <w:szCs w:val="19"/>
        </w:rPr>
        <w:t xml:space="preserve"> </w:t>
      </w:r>
      <w:r>
        <w:rPr>
          <w:spacing w:val="14"/>
          <w:sz w:val="19"/>
          <w:szCs w:val="19"/>
        </w:rPr>
        <w:t>关业主单位工程建设的实际需求，包括合规性管理的实际要求、审计要</w:t>
      </w:r>
      <w:r>
        <w:rPr>
          <w:spacing w:val="13"/>
          <w:sz w:val="19"/>
          <w:szCs w:val="19"/>
        </w:rPr>
        <w:t>求、管理办法要求等；</w:t>
      </w:r>
      <w:r>
        <w:rPr>
          <w:sz w:val="19"/>
          <w:szCs w:val="19"/>
        </w:rPr>
        <w:t xml:space="preserve"> </w:t>
      </w:r>
      <w:r>
        <w:rPr>
          <w:spacing w:val="13"/>
          <w:sz w:val="19"/>
          <w:szCs w:val="19"/>
        </w:rPr>
        <w:t>业主单位在一定程度上由于工程技术特点、管理实践、经</w:t>
      </w:r>
      <w:r>
        <w:rPr>
          <w:spacing w:val="12"/>
          <w:sz w:val="19"/>
          <w:szCs w:val="19"/>
        </w:rPr>
        <w:t>验和技能等原因，必须通过第三方监</w:t>
      </w:r>
      <w:r>
        <w:rPr>
          <w:sz w:val="19"/>
          <w:szCs w:val="19"/>
        </w:rPr>
        <w:t xml:space="preserve"> </w:t>
      </w:r>
      <w:r>
        <w:rPr>
          <w:spacing w:val="13"/>
          <w:sz w:val="19"/>
          <w:szCs w:val="19"/>
        </w:rPr>
        <w:t>理服务协助承担有关监督、管理的责任；业主单位由于专业</w:t>
      </w:r>
      <w:r>
        <w:rPr>
          <w:spacing w:val="12"/>
          <w:sz w:val="19"/>
          <w:szCs w:val="19"/>
        </w:rPr>
        <w:t>的原因，难以对项目建设过程进行</w:t>
      </w:r>
      <w:r>
        <w:rPr>
          <w:sz w:val="19"/>
          <w:szCs w:val="19"/>
        </w:rPr>
        <w:t xml:space="preserve"> </w:t>
      </w:r>
      <w:r>
        <w:rPr>
          <w:spacing w:val="13"/>
          <w:sz w:val="19"/>
          <w:szCs w:val="19"/>
        </w:rPr>
        <w:t>有效的监督和管理。这时就会委托监理单位对承建单位项目实施过程的标准性、规范性进行监</w:t>
      </w:r>
    </w:p>
    <w:p w14:paraId="6675F7D7">
      <w:pPr>
        <w:spacing w:line="287" w:lineRule="auto"/>
        <w:rPr>
          <w:sz w:val="19"/>
          <w:szCs w:val="19"/>
        </w:rPr>
        <w:sectPr>
          <w:pgSz w:w="10280" w:h="13410"/>
          <w:pgMar w:top="400" w:right="805" w:bottom="400" w:left="1080" w:header="0" w:footer="0" w:gutter="0"/>
          <w:cols w:space="720" w:num="1"/>
        </w:sectPr>
      </w:pPr>
    </w:p>
    <w:p w14:paraId="26CE1679">
      <w:pPr>
        <w:pStyle w:val="2"/>
        <w:spacing w:before="97" w:line="219" w:lineRule="auto"/>
        <w:rPr>
          <w:sz w:val="18"/>
          <w:szCs w:val="18"/>
        </w:rPr>
      </w:pPr>
      <w:r>
        <w:rPr>
          <w:rFonts w:ascii="Times New Roman" w:hAnsi="Times New Roman" w:eastAsia="Times New Roman" w:cs="Times New Roman"/>
          <w:spacing w:val="9"/>
          <w:sz w:val="18"/>
          <w:szCs w:val="18"/>
        </w:rPr>
        <w:t xml:space="preserve">214              </w:t>
      </w:r>
      <w:r>
        <w:rPr>
          <w:spacing w:val="9"/>
          <w:sz w:val="18"/>
          <w:szCs w:val="18"/>
        </w:rPr>
        <w:t>信息系</w:t>
      </w:r>
      <w:r>
        <w:rPr>
          <w:spacing w:val="8"/>
          <w:sz w:val="18"/>
          <w:szCs w:val="18"/>
        </w:rPr>
        <w:t>统监理师教程(第2版)</w:t>
      </w:r>
    </w:p>
    <w:p w14:paraId="14AF28BC">
      <w:pPr>
        <w:spacing w:line="365" w:lineRule="auto"/>
        <w:rPr>
          <w:rFonts w:ascii="Arial"/>
          <w:sz w:val="21"/>
        </w:rPr>
      </w:pPr>
    </w:p>
    <w:p w14:paraId="404CEDE7">
      <w:pPr>
        <w:pStyle w:val="2"/>
        <w:spacing w:before="59" w:line="219" w:lineRule="auto"/>
        <w:ind w:left="340"/>
        <w:rPr>
          <w:sz w:val="18"/>
          <w:szCs w:val="18"/>
        </w:rPr>
      </w:pPr>
      <w:r>
        <w:rPr>
          <w:spacing w:val="17"/>
          <w:sz w:val="18"/>
          <w:szCs w:val="18"/>
        </w:rPr>
        <w:t>督和管理，确保项目顺利交付。</w:t>
      </w:r>
    </w:p>
    <w:p w14:paraId="6CFF4550">
      <w:pPr>
        <w:pStyle w:val="2"/>
        <w:spacing w:before="86" w:line="320" w:lineRule="auto"/>
        <w:ind w:left="340" w:right="35" w:firstLine="429"/>
        <w:jc w:val="both"/>
        <w:rPr>
          <w:sz w:val="18"/>
          <w:szCs w:val="18"/>
        </w:rPr>
      </w:pPr>
      <w:r>
        <w:rPr>
          <w:spacing w:val="23"/>
          <w:sz w:val="18"/>
          <w:szCs w:val="18"/>
        </w:rPr>
        <w:t>信息系统工程监理保证项目交付成果的质量。信息系统工程监理要依据项目的质量目标和</w:t>
      </w:r>
      <w:r>
        <w:rPr>
          <w:spacing w:val="16"/>
          <w:sz w:val="18"/>
          <w:szCs w:val="18"/>
        </w:rPr>
        <w:t xml:space="preserve"> </w:t>
      </w:r>
      <w:r>
        <w:rPr>
          <w:spacing w:val="24"/>
          <w:sz w:val="18"/>
          <w:szCs w:val="18"/>
        </w:rPr>
        <w:t>质量标准的要求，参照行业和技术标准，对项目的交付成果和项目的管理成</w:t>
      </w:r>
      <w:r>
        <w:rPr>
          <w:spacing w:val="23"/>
          <w:sz w:val="18"/>
          <w:szCs w:val="18"/>
        </w:rPr>
        <w:t>果进行必要的检验</w:t>
      </w:r>
      <w:r>
        <w:rPr>
          <w:sz w:val="18"/>
          <w:szCs w:val="18"/>
        </w:rPr>
        <w:t xml:space="preserve"> </w:t>
      </w:r>
      <w:r>
        <w:rPr>
          <w:spacing w:val="16"/>
          <w:sz w:val="18"/>
          <w:szCs w:val="18"/>
        </w:rPr>
        <w:t>和审核，确保相关成果达到质量要求。</w:t>
      </w:r>
    </w:p>
    <w:p w14:paraId="333E28FB">
      <w:pPr>
        <w:pStyle w:val="2"/>
        <w:spacing w:before="12" w:line="326" w:lineRule="auto"/>
        <w:ind w:left="340" w:right="61" w:firstLine="429"/>
        <w:rPr>
          <w:sz w:val="18"/>
          <w:szCs w:val="18"/>
        </w:rPr>
      </w:pPr>
      <w:r>
        <w:rPr>
          <w:spacing w:val="23"/>
          <w:sz w:val="18"/>
          <w:szCs w:val="18"/>
        </w:rPr>
        <w:t>信息系统工程监理协调项目干系人间的关系，促使项目建设过程中</w:t>
      </w:r>
      <w:r>
        <w:rPr>
          <w:spacing w:val="22"/>
          <w:sz w:val="18"/>
          <w:szCs w:val="18"/>
        </w:rPr>
        <w:t>的各类项目信息得到全</w:t>
      </w:r>
      <w:r>
        <w:rPr>
          <w:sz w:val="18"/>
          <w:szCs w:val="18"/>
        </w:rPr>
        <w:t xml:space="preserve"> </w:t>
      </w:r>
      <w:r>
        <w:rPr>
          <w:spacing w:val="13"/>
          <w:sz w:val="18"/>
          <w:szCs w:val="18"/>
        </w:rPr>
        <w:t>面有效的共享、</w:t>
      </w:r>
      <w:r>
        <w:rPr>
          <w:spacing w:val="72"/>
          <w:w w:val="101"/>
          <w:sz w:val="18"/>
          <w:szCs w:val="18"/>
        </w:rPr>
        <w:t xml:space="preserve"> </w:t>
      </w:r>
      <w:r>
        <w:rPr>
          <w:spacing w:val="13"/>
          <w:sz w:val="18"/>
          <w:szCs w:val="18"/>
        </w:rPr>
        <w:t>一致的理解和认同，保证项目质量目标得到贯彻和落实。</w:t>
      </w:r>
    </w:p>
    <w:p w14:paraId="37109ECA">
      <w:pPr>
        <w:pStyle w:val="2"/>
        <w:spacing w:before="7" w:line="331" w:lineRule="auto"/>
        <w:ind w:left="340" w:right="30" w:firstLine="429"/>
        <w:rPr>
          <w:sz w:val="18"/>
          <w:szCs w:val="18"/>
        </w:rPr>
      </w:pPr>
      <w:r>
        <w:rPr>
          <w:spacing w:val="23"/>
          <w:sz w:val="18"/>
          <w:szCs w:val="18"/>
        </w:rPr>
        <w:t>信息系统工程监理涉及的部门和人员范围包括：监理及相关服务的资</w:t>
      </w:r>
      <w:r>
        <w:rPr>
          <w:spacing w:val="22"/>
          <w:sz w:val="18"/>
          <w:szCs w:val="18"/>
        </w:rPr>
        <w:t>格认定和监督管理部</w:t>
      </w:r>
      <w:r>
        <w:rPr>
          <w:sz w:val="18"/>
          <w:szCs w:val="18"/>
        </w:rPr>
        <w:t xml:space="preserve"> </w:t>
      </w:r>
      <w:r>
        <w:rPr>
          <w:spacing w:val="19"/>
          <w:sz w:val="18"/>
          <w:szCs w:val="18"/>
        </w:rPr>
        <w:t>门；从事监理及相关服务的单位和人员；信息系统工程的业主单位；信息系统工程的承建单位；</w:t>
      </w:r>
      <w:r>
        <w:rPr>
          <w:spacing w:val="10"/>
          <w:sz w:val="18"/>
          <w:szCs w:val="18"/>
        </w:rPr>
        <w:t xml:space="preserve"> </w:t>
      </w:r>
      <w:r>
        <w:rPr>
          <w:spacing w:val="23"/>
          <w:sz w:val="18"/>
          <w:szCs w:val="18"/>
        </w:rPr>
        <w:t>信息系统运行维护服务的业主单位和运维服务提供方；从事监理及相关服务的</w:t>
      </w:r>
      <w:r>
        <w:rPr>
          <w:spacing w:val="22"/>
          <w:sz w:val="18"/>
          <w:szCs w:val="18"/>
        </w:rPr>
        <w:t>教育、培训和研</w:t>
      </w:r>
      <w:r>
        <w:rPr>
          <w:sz w:val="18"/>
          <w:szCs w:val="18"/>
        </w:rPr>
        <w:t xml:space="preserve"> </w:t>
      </w:r>
      <w:r>
        <w:rPr>
          <w:spacing w:val="7"/>
          <w:sz w:val="18"/>
          <w:szCs w:val="18"/>
        </w:rPr>
        <w:t>究单位。</w:t>
      </w:r>
    </w:p>
    <w:p w14:paraId="5373FBB3">
      <w:pPr>
        <w:pStyle w:val="2"/>
        <w:spacing w:before="186" w:line="219" w:lineRule="auto"/>
        <w:ind w:left="342"/>
        <w:rPr>
          <w:sz w:val="23"/>
          <w:szCs w:val="23"/>
        </w:rPr>
      </w:pPr>
      <w:r>
        <w:rPr>
          <w:b/>
          <w:bCs/>
          <w:color w:val="007CDB"/>
          <w:spacing w:val="2"/>
          <w:sz w:val="23"/>
          <w:szCs w:val="23"/>
        </w:rPr>
        <w:t>8.1.2</w:t>
      </w:r>
      <w:r>
        <w:rPr>
          <w:color w:val="007CDB"/>
          <w:spacing w:val="108"/>
          <w:sz w:val="23"/>
          <w:szCs w:val="23"/>
        </w:rPr>
        <w:t xml:space="preserve"> </w:t>
      </w:r>
      <w:r>
        <w:rPr>
          <w:b/>
          <w:bCs/>
          <w:color w:val="007CDB"/>
          <w:spacing w:val="2"/>
          <w:sz w:val="23"/>
          <w:szCs w:val="23"/>
        </w:rPr>
        <w:t>信息系统工程监理的重要性与迫切性</w:t>
      </w:r>
    </w:p>
    <w:p w14:paraId="5BAB4237">
      <w:pPr>
        <w:pStyle w:val="2"/>
        <w:spacing w:before="188" w:line="316" w:lineRule="auto"/>
        <w:ind w:left="340" w:right="57" w:firstLine="429"/>
        <w:rPr>
          <w:sz w:val="18"/>
          <w:szCs w:val="18"/>
        </w:rPr>
      </w:pPr>
      <w:r>
        <w:rPr>
          <w:spacing w:val="23"/>
          <w:sz w:val="18"/>
          <w:szCs w:val="18"/>
        </w:rPr>
        <w:t>监理在工程建设过程中的重要性不言而喻，在信息系统工程建设项目中，其</w:t>
      </w:r>
      <w:r>
        <w:rPr>
          <w:spacing w:val="22"/>
          <w:sz w:val="18"/>
          <w:szCs w:val="18"/>
        </w:rPr>
        <w:t>重要性更为突</w:t>
      </w:r>
      <w:r>
        <w:rPr>
          <w:sz w:val="18"/>
          <w:szCs w:val="18"/>
        </w:rPr>
        <w:t xml:space="preserve"> </w:t>
      </w:r>
      <w:r>
        <w:rPr>
          <w:spacing w:val="11"/>
          <w:sz w:val="18"/>
          <w:szCs w:val="18"/>
        </w:rPr>
        <w:t>出，主要原因有：</w:t>
      </w:r>
    </w:p>
    <w:p w14:paraId="501E3F43">
      <w:pPr>
        <w:pStyle w:val="2"/>
        <w:spacing w:before="13" w:line="274" w:lineRule="auto"/>
        <w:ind w:left="340" w:right="62" w:firstLine="429"/>
        <w:rPr>
          <w:sz w:val="18"/>
          <w:szCs w:val="18"/>
        </w:rPr>
      </w:pPr>
      <w:r>
        <w:rPr>
          <w:spacing w:val="20"/>
          <w:sz w:val="18"/>
          <w:szCs w:val="18"/>
        </w:rPr>
        <w:t>(1)随着信息化项目应用的普及，信息系统工程无论大小，</w:t>
      </w:r>
      <w:r>
        <w:rPr>
          <w:spacing w:val="86"/>
          <w:sz w:val="18"/>
          <w:szCs w:val="18"/>
        </w:rPr>
        <w:t xml:space="preserve"> </w:t>
      </w:r>
      <w:r>
        <w:rPr>
          <w:spacing w:val="20"/>
          <w:sz w:val="18"/>
          <w:szCs w:val="18"/>
        </w:rPr>
        <w:t>一般都关系到国家、企业、单</w:t>
      </w:r>
      <w:r>
        <w:rPr>
          <w:sz w:val="18"/>
          <w:szCs w:val="18"/>
        </w:rPr>
        <w:t xml:space="preserve"> </w:t>
      </w:r>
      <w:r>
        <w:rPr>
          <w:spacing w:val="15"/>
          <w:sz w:val="18"/>
          <w:szCs w:val="18"/>
        </w:rPr>
        <w:t>位的重要业务；</w:t>
      </w:r>
    </w:p>
    <w:p w14:paraId="3B66D01F">
      <w:pPr>
        <w:pStyle w:val="2"/>
        <w:spacing w:before="106" w:line="274" w:lineRule="auto"/>
        <w:ind w:left="340" w:right="63" w:firstLine="429"/>
        <w:rPr>
          <w:sz w:val="18"/>
          <w:szCs w:val="18"/>
        </w:rPr>
      </w:pPr>
      <w:r>
        <w:rPr>
          <w:spacing w:val="24"/>
          <w:sz w:val="18"/>
          <w:szCs w:val="18"/>
        </w:rPr>
        <w:t>(2)信息技术飞速发展，信息系统工程建设项目往往在还没有需求或需求还不明确时就付</w:t>
      </w:r>
      <w:r>
        <w:rPr>
          <w:spacing w:val="15"/>
          <w:sz w:val="18"/>
          <w:szCs w:val="18"/>
        </w:rPr>
        <w:t xml:space="preserve"> </w:t>
      </w:r>
      <w:r>
        <w:rPr>
          <w:spacing w:val="16"/>
          <w:sz w:val="18"/>
          <w:szCs w:val="18"/>
        </w:rPr>
        <w:t>诸实施，因此在实施过程中需要不断修改；</w:t>
      </w:r>
    </w:p>
    <w:p w14:paraId="758BA5C8">
      <w:pPr>
        <w:pStyle w:val="2"/>
        <w:spacing w:before="96" w:line="274" w:lineRule="auto"/>
        <w:ind w:left="340" w:right="60" w:firstLine="429"/>
        <w:rPr>
          <w:sz w:val="18"/>
          <w:szCs w:val="18"/>
        </w:rPr>
      </w:pPr>
      <w:r>
        <w:rPr>
          <w:spacing w:val="24"/>
          <w:sz w:val="18"/>
          <w:szCs w:val="18"/>
        </w:rPr>
        <w:t>(3)由于用户需求的不断变化，以及其他内部或外部因素的影响，信息系统工程存在不能</w:t>
      </w:r>
      <w:r>
        <w:rPr>
          <w:spacing w:val="18"/>
          <w:sz w:val="18"/>
          <w:szCs w:val="18"/>
        </w:rPr>
        <w:t xml:space="preserve"> </w:t>
      </w:r>
      <w:r>
        <w:rPr>
          <w:spacing w:val="17"/>
          <w:sz w:val="18"/>
          <w:szCs w:val="18"/>
        </w:rPr>
        <w:t>按预定进度执行的问题和风险；</w:t>
      </w:r>
    </w:p>
    <w:p w14:paraId="37B09A65">
      <w:pPr>
        <w:pStyle w:val="2"/>
        <w:spacing w:before="105" w:line="219" w:lineRule="auto"/>
        <w:ind w:left="769"/>
        <w:rPr>
          <w:sz w:val="18"/>
          <w:szCs w:val="18"/>
        </w:rPr>
      </w:pPr>
      <w:r>
        <w:rPr>
          <w:spacing w:val="20"/>
          <w:sz w:val="18"/>
          <w:szCs w:val="18"/>
        </w:rPr>
        <w:t>(4)信息系统工程建设项目的投资相对较大，如果管</w:t>
      </w:r>
      <w:r>
        <w:rPr>
          <w:spacing w:val="19"/>
          <w:sz w:val="18"/>
          <w:szCs w:val="18"/>
        </w:rPr>
        <w:t>理不善会造成较大浪费；</w:t>
      </w:r>
    </w:p>
    <w:p w14:paraId="2893490A">
      <w:pPr>
        <w:pStyle w:val="2"/>
        <w:spacing w:before="98" w:line="274" w:lineRule="auto"/>
        <w:ind w:left="340" w:right="60" w:firstLine="429"/>
        <w:rPr>
          <w:sz w:val="18"/>
          <w:szCs w:val="18"/>
        </w:rPr>
      </w:pPr>
      <w:r>
        <w:rPr>
          <w:spacing w:val="24"/>
          <w:sz w:val="18"/>
          <w:szCs w:val="18"/>
        </w:rPr>
        <w:t>(5)信息系统工程的实施过程存在隐蔽工程，可视性差，如果过程监督缺失，容易产生工</w:t>
      </w:r>
      <w:r>
        <w:rPr>
          <w:spacing w:val="18"/>
          <w:sz w:val="18"/>
          <w:szCs w:val="18"/>
        </w:rPr>
        <w:t xml:space="preserve"> </w:t>
      </w:r>
      <w:r>
        <w:rPr>
          <w:spacing w:val="12"/>
          <w:sz w:val="18"/>
          <w:szCs w:val="18"/>
        </w:rPr>
        <w:t>程隐患；</w:t>
      </w:r>
    </w:p>
    <w:p w14:paraId="7BB49393">
      <w:pPr>
        <w:pStyle w:val="2"/>
        <w:spacing w:before="106" w:line="301" w:lineRule="auto"/>
        <w:ind w:left="340" w:right="56" w:firstLine="429"/>
        <w:rPr>
          <w:sz w:val="18"/>
          <w:szCs w:val="18"/>
        </w:rPr>
      </w:pPr>
      <w:r>
        <w:rPr>
          <w:spacing w:val="30"/>
          <w:sz w:val="18"/>
          <w:szCs w:val="18"/>
        </w:rPr>
        <w:t>(6)信息系统工程建设项目存在重建设、轻管理的问题，尤</w:t>
      </w:r>
      <w:r>
        <w:rPr>
          <w:spacing w:val="29"/>
          <w:sz w:val="18"/>
          <w:szCs w:val="18"/>
        </w:rPr>
        <w:t>其是项目内容在技术上或专</w:t>
      </w:r>
      <w:r>
        <w:rPr>
          <w:sz w:val="18"/>
          <w:szCs w:val="18"/>
        </w:rPr>
        <w:t xml:space="preserve"> </w:t>
      </w:r>
      <w:r>
        <w:rPr>
          <w:spacing w:val="28"/>
          <w:sz w:val="18"/>
          <w:szCs w:val="18"/>
        </w:rPr>
        <w:t>业上比较复杂时，业主单位缺乏足够的技术能力进行监管，需要懂专业的技术人员进行监督</w:t>
      </w:r>
      <w:r>
        <w:rPr>
          <w:sz w:val="18"/>
          <w:szCs w:val="18"/>
        </w:rPr>
        <w:t xml:space="preserve"> </w:t>
      </w:r>
      <w:r>
        <w:rPr>
          <w:spacing w:val="29"/>
          <w:sz w:val="18"/>
          <w:szCs w:val="18"/>
        </w:rPr>
        <w:t>管理，并通过必要的信息化技术手段、方法和过程</w:t>
      </w:r>
      <w:r>
        <w:rPr>
          <w:spacing w:val="28"/>
          <w:sz w:val="18"/>
          <w:szCs w:val="18"/>
        </w:rPr>
        <w:t>予以查验、审核，并确认其技术指标是否</w:t>
      </w:r>
      <w:r>
        <w:rPr>
          <w:sz w:val="18"/>
          <w:szCs w:val="18"/>
        </w:rPr>
        <w:t xml:space="preserve"> </w:t>
      </w:r>
      <w:r>
        <w:rPr>
          <w:spacing w:val="10"/>
          <w:sz w:val="18"/>
          <w:szCs w:val="18"/>
        </w:rPr>
        <w:t>实现</w:t>
      </w:r>
      <w:r>
        <w:rPr>
          <w:spacing w:val="-45"/>
          <w:sz w:val="18"/>
          <w:szCs w:val="18"/>
        </w:rPr>
        <w:t xml:space="preserve"> </w:t>
      </w:r>
      <w:r>
        <w:rPr>
          <w:spacing w:val="10"/>
          <w:sz w:val="18"/>
          <w:szCs w:val="18"/>
        </w:rPr>
        <w:t>。</w:t>
      </w:r>
    </w:p>
    <w:p w14:paraId="2B8DF529">
      <w:pPr>
        <w:pStyle w:val="2"/>
        <w:spacing w:before="284" w:line="219" w:lineRule="auto"/>
        <w:ind w:left="342"/>
        <w:rPr>
          <w:sz w:val="23"/>
          <w:szCs w:val="23"/>
        </w:rPr>
      </w:pPr>
      <w:r>
        <w:rPr>
          <w:b/>
          <w:bCs/>
          <w:color w:val="0070D2"/>
          <w:sz w:val="23"/>
          <w:szCs w:val="23"/>
        </w:rPr>
        <w:t>8.1.3</w:t>
      </w:r>
      <w:r>
        <w:rPr>
          <w:color w:val="0070D2"/>
          <w:sz w:val="23"/>
          <w:szCs w:val="23"/>
        </w:rPr>
        <w:t xml:space="preserve">  </w:t>
      </w:r>
      <w:r>
        <w:rPr>
          <w:b/>
          <w:bCs/>
          <w:color w:val="0070D2"/>
          <w:sz w:val="23"/>
          <w:szCs w:val="23"/>
        </w:rPr>
        <w:t>信息系统工程监理的技术参考模型</w:t>
      </w:r>
    </w:p>
    <w:p w14:paraId="351334EB">
      <w:pPr>
        <w:pStyle w:val="2"/>
        <w:spacing w:before="168" w:line="313" w:lineRule="auto"/>
        <w:ind w:left="340" w:right="64" w:firstLine="429"/>
        <w:rPr>
          <w:sz w:val="18"/>
          <w:szCs w:val="18"/>
        </w:rPr>
      </w:pPr>
      <w:r>
        <w:rPr>
          <w:spacing w:val="23"/>
          <w:sz w:val="18"/>
          <w:szCs w:val="18"/>
        </w:rPr>
        <w:t>信息系统工程监理的技术参考模型由四部分组成，即监理支</w:t>
      </w:r>
      <w:r>
        <w:rPr>
          <w:spacing w:val="22"/>
          <w:sz w:val="18"/>
          <w:szCs w:val="18"/>
        </w:rPr>
        <w:t>撑要素、监理运行周期、监理</w:t>
      </w:r>
      <w:r>
        <w:rPr>
          <w:sz w:val="18"/>
          <w:szCs w:val="18"/>
        </w:rPr>
        <w:t xml:space="preserve"> </w:t>
      </w:r>
      <w:r>
        <w:rPr>
          <w:spacing w:val="19"/>
          <w:sz w:val="18"/>
          <w:szCs w:val="18"/>
        </w:rPr>
        <w:t>对象、监理内容，其相互关系如图8-1所示。</w:t>
      </w:r>
    </w:p>
    <w:p w14:paraId="693465F9">
      <w:pPr>
        <w:pStyle w:val="2"/>
        <w:spacing w:before="1" w:line="311" w:lineRule="auto"/>
        <w:ind w:left="340" w:firstLine="429"/>
        <w:jc w:val="both"/>
        <w:rPr>
          <w:sz w:val="18"/>
          <w:szCs w:val="18"/>
        </w:rPr>
      </w:pPr>
      <w:r>
        <w:rPr>
          <w:spacing w:val="24"/>
          <w:sz w:val="18"/>
          <w:szCs w:val="18"/>
        </w:rPr>
        <w:t>上述参考模型表明，信息系统工程监理及相关服务工作应建立在监理支撑要素的基础上，</w:t>
      </w:r>
      <w:r>
        <w:rPr>
          <w:spacing w:val="13"/>
          <w:sz w:val="18"/>
          <w:szCs w:val="18"/>
        </w:rPr>
        <w:t xml:space="preserve"> </w:t>
      </w:r>
      <w:r>
        <w:rPr>
          <w:spacing w:val="28"/>
          <w:sz w:val="18"/>
          <w:szCs w:val="18"/>
        </w:rPr>
        <w:t>根据工程项目的需要，在监理运行周期的规划部分，提供相关信息技术咨询服务；在部</w:t>
      </w:r>
      <w:r>
        <w:rPr>
          <w:spacing w:val="27"/>
          <w:sz w:val="18"/>
          <w:szCs w:val="18"/>
        </w:rPr>
        <w:t>署实</w:t>
      </w:r>
      <w:r>
        <w:rPr>
          <w:sz w:val="18"/>
          <w:szCs w:val="18"/>
        </w:rPr>
        <w:t xml:space="preserve">  </w:t>
      </w:r>
      <w:r>
        <w:rPr>
          <w:spacing w:val="34"/>
          <w:sz w:val="18"/>
          <w:szCs w:val="18"/>
        </w:rPr>
        <w:t>施和运行维护部分，结合各项监理内容，对监理对象进行监督管理，</w:t>
      </w:r>
      <w:r>
        <w:rPr>
          <w:spacing w:val="33"/>
          <w:sz w:val="18"/>
          <w:szCs w:val="18"/>
        </w:rPr>
        <w:t>并提供相关信息技术</w:t>
      </w:r>
      <w:r>
        <w:rPr>
          <w:sz w:val="18"/>
          <w:szCs w:val="18"/>
        </w:rPr>
        <w:t xml:space="preserve"> </w:t>
      </w:r>
      <w:r>
        <w:rPr>
          <w:spacing w:val="11"/>
          <w:sz w:val="18"/>
          <w:szCs w:val="18"/>
        </w:rPr>
        <w:t>服务</w:t>
      </w:r>
      <w:r>
        <w:rPr>
          <w:spacing w:val="-48"/>
          <w:sz w:val="18"/>
          <w:szCs w:val="18"/>
        </w:rPr>
        <w:t xml:space="preserve"> </w:t>
      </w:r>
      <w:r>
        <w:rPr>
          <w:spacing w:val="11"/>
          <w:sz w:val="18"/>
          <w:szCs w:val="18"/>
        </w:rPr>
        <w:t>。</w:t>
      </w:r>
    </w:p>
    <w:p w14:paraId="72A2D543">
      <w:pPr>
        <w:pStyle w:val="2"/>
        <w:spacing w:before="47" w:line="294" w:lineRule="auto"/>
        <w:ind w:left="340" w:right="55" w:firstLine="429"/>
        <w:rPr>
          <w:sz w:val="18"/>
          <w:szCs w:val="18"/>
        </w:rPr>
      </w:pPr>
      <w:r>
        <w:rPr>
          <w:spacing w:val="23"/>
          <w:sz w:val="18"/>
          <w:szCs w:val="18"/>
        </w:rPr>
        <w:t>监理支撑要素包括三方面的内容：监理法规及管理文件、监理及相关服务合同、</w:t>
      </w:r>
      <w:r>
        <w:rPr>
          <w:spacing w:val="22"/>
          <w:sz w:val="18"/>
          <w:szCs w:val="18"/>
        </w:rPr>
        <w:t>监理及相</w:t>
      </w:r>
      <w:r>
        <w:rPr>
          <w:sz w:val="18"/>
          <w:szCs w:val="18"/>
        </w:rPr>
        <w:t xml:space="preserve"> </w:t>
      </w:r>
      <w:r>
        <w:rPr>
          <w:spacing w:val="19"/>
          <w:sz w:val="18"/>
          <w:szCs w:val="18"/>
        </w:rPr>
        <w:t>关服务能力。其中，监理及相关服务能力要素由四部分组成：人员、技术、资源、流程。</w:t>
      </w:r>
    </w:p>
    <w:p w14:paraId="30C54544">
      <w:pPr>
        <w:spacing w:line="294" w:lineRule="auto"/>
        <w:rPr>
          <w:sz w:val="18"/>
          <w:szCs w:val="18"/>
        </w:rPr>
        <w:sectPr>
          <w:pgSz w:w="10300" w:h="13550"/>
          <w:pgMar w:top="400" w:right="1039" w:bottom="400" w:left="520" w:header="0" w:footer="0" w:gutter="0"/>
          <w:cols w:space="720" w:num="1"/>
        </w:sectPr>
      </w:pPr>
    </w:p>
    <w:p w14:paraId="064CEE6B">
      <w:pPr>
        <w:pStyle w:val="2"/>
        <w:spacing w:before="20"/>
        <w:jc w:val="right"/>
        <w:rPr>
          <w:rFonts w:ascii="Times New Roman" w:hAnsi="Times New Roman" w:eastAsia="Times New Roman" w:cs="Times New Roman"/>
          <w:sz w:val="18"/>
          <w:szCs w:val="18"/>
        </w:rPr>
      </w:pPr>
      <w:bookmarkStart w:id="594" w:name="bookmark579"/>
      <w:bookmarkEnd w:id="594"/>
      <w:r>
        <w:rPr>
          <w:spacing w:val="7"/>
          <w:sz w:val="18"/>
          <w:szCs w:val="18"/>
        </w:rPr>
        <w:t>第8章</w:t>
      </w:r>
      <w:r>
        <w:rPr>
          <w:spacing w:val="29"/>
          <w:sz w:val="18"/>
          <w:szCs w:val="18"/>
        </w:rPr>
        <w:t xml:space="preserve"> </w:t>
      </w:r>
      <w:r>
        <w:rPr>
          <w:spacing w:val="7"/>
          <w:sz w:val="18"/>
          <w:szCs w:val="18"/>
        </w:rPr>
        <w:t>信息系统工程监理基础知识</w:t>
      </w:r>
      <w:r>
        <w:rPr>
          <w:spacing w:val="30"/>
          <w:sz w:val="18"/>
          <w:szCs w:val="18"/>
        </w:rPr>
        <w:t xml:space="preserve"> </w:t>
      </w:r>
      <w:r>
        <w:rPr>
          <w:position w:val="-10"/>
          <w:sz w:val="18"/>
          <w:szCs w:val="18"/>
        </w:rPr>
        <w:drawing>
          <wp:inline distT="0" distB="0" distL="0" distR="0">
            <wp:extent cx="304800" cy="24066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54"/>
                    <a:stretch>
                      <a:fillRect/>
                    </a:stretch>
                  </pic:blipFill>
                  <pic:spPr>
                    <a:xfrm>
                      <a:off x="0" y="0"/>
                      <a:ext cx="304848" cy="241273"/>
                    </a:xfrm>
                    <a:prstGeom prst="rect">
                      <a:avLst/>
                    </a:prstGeom>
                  </pic:spPr>
                </pic:pic>
              </a:graphicData>
            </a:graphic>
          </wp:inline>
        </w:drawing>
      </w:r>
      <w:r>
        <w:rPr>
          <w:rFonts w:ascii="Times New Roman" w:hAnsi="Times New Roman" w:eastAsia="Times New Roman" w:cs="Times New Roman"/>
          <w:spacing w:val="7"/>
          <w:position w:val="-1"/>
          <w:sz w:val="18"/>
          <w:szCs w:val="18"/>
        </w:rPr>
        <w:t>215</w:t>
      </w:r>
    </w:p>
    <w:p w14:paraId="17593F0E">
      <w:pPr>
        <w:pStyle w:val="2"/>
        <w:spacing w:before="200" w:line="4160" w:lineRule="exact"/>
        <w:ind w:firstLine="559"/>
      </w:pPr>
      <w:r>
        <w:rPr>
          <w:position w:val="-83"/>
        </w:rPr>
        <w:pict>
          <v:group id="_x0000_s1394" o:spid="_x0000_s1394" o:spt="203" style="height:208.05pt;width:362pt;" coordsize="7240,4161">
            <o:lock v:ext="edit"/>
            <v:shape id="_x0000_s1395" o:spid="_x0000_s1395" o:spt="75" type="#_x0000_t75" style="position:absolute;left:0;top:0;height:4161;width:7240;" filled="f" stroked="f" coordsize="21600,21600">
              <v:path/>
              <v:fill on="f" focussize="0,0"/>
              <v:stroke on="f"/>
              <v:imagedata r:id="rId155" o:title=""/>
              <o:lock v:ext="edit" aspectratio="t"/>
            </v:shape>
            <v:shape id="_x0000_s1396" o:spid="_x0000_s1396" o:spt="202" type="#_x0000_t202" style="position:absolute;left:150;top:137;height:3670;width:4506;" filled="f" stroked="f" coordsize="21600,21600">
              <v:path/>
              <v:fill on="f" focussize="0,0"/>
              <v:stroke on="f"/>
              <v:imagedata o:title=""/>
              <o:lock v:ext="edit" aspectratio="f"/>
              <v:textbox inset="0mm,0mm,0mm,0mm">
                <w:txbxContent>
                  <w:p w14:paraId="2DDBECCD">
                    <w:pPr>
                      <w:spacing w:before="20" w:line="220" w:lineRule="auto"/>
                      <w:ind w:left="529"/>
                      <w:rPr>
                        <w:rFonts w:ascii="宋体" w:hAnsi="宋体" w:eastAsia="宋体" w:cs="宋体"/>
                        <w:sz w:val="18"/>
                        <w:szCs w:val="18"/>
                      </w:rPr>
                    </w:pPr>
                    <w:r>
                      <w:rPr>
                        <w:rFonts w:ascii="宋体" w:hAnsi="宋体" w:eastAsia="宋体" w:cs="宋体"/>
                        <w:spacing w:val="-7"/>
                        <w:sz w:val="18"/>
                        <w:szCs w:val="18"/>
                      </w:rPr>
                      <w:t>监理运行周期</w:t>
                    </w:r>
                  </w:p>
                  <w:p w14:paraId="3C4F463F">
                    <w:pPr>
                      <w:spacing w:before="117" w:line="221" w:lineRule="auto"/>
                      <w:ind w:left="869"/>
                      <w:rPr>
                        <w:rFonts w:ascii="宋体" w:hAnsi="宋体" w:eastAsia="宋体" w:cs="宋体"/>
                        <w:sz w:val="18"/>
                        <w:szCs w:val="18"/>
                      </w:rPr>
                    </w:pPr>
                    <w:r>
                      <w:rPr>
                        <w:rFonts w:ascii="宋体" w:hAnsi="宋体" w:eastAsia="宋体" w:cs="宋体"/>
                        <w:spacing w:val="6"/>
                        <w:sz w:val="18"/>
                        <w:szCs w:val="18"/>
                      </w:rPr>
                      <w:t>规划</w:t>
                    </w:r>
                  </w:p>
                  <w:p w14:paraId="1DC88180">
                    <w:pPr>
                      <w:spacing w:before="171" w:line="219" w:lineRule="auto"/>
                      <w:ind w:left="690" w:right="3088"/>
                      <w:jc w:val="both"/>
                      <w:rPr>
                        <w:rFonts w:ascii="宋体" w:hAnsi="宋体" w:eastAsia="宋体" w:cs="宋体"/>
                        <w:sz w:val="18"/>
                        <w:szCs w:val="18"/>
                      </w:rPr>
                    </w:pPr>
                    <w:r>
                      <w:rPr>
                        <w:rFonts w:ascii="宋体" w:hAnsi="宋体" w:eastAsia="宋体" w:cs="宋体"/>
                        <w:spacing w:val="-8"/>
                        <w:sz w:val="18"/>
                        <w:szCs w:val="18"/>
                      </w:rPr>
                      <w:t>部署实施</w:t>
                    </w:r>
                    <w:r>
                      <w:rPr>
                        <w:rFonts w:ascii="宋体" w:hAnsi="宋体" w:eastAsia="宋体" w:cs="宋体"/>
                        <w:sz w:val="18"/>
                        <w:szCs w:val="18"/>
                      </w:rPr>
                      <w:t xml:space="preserve"> </w:t>
                    </w:r>
                    <w:r>
                      <w:rPr>
                        <w:rFonts w:ascii="宋体" w:hAnsi="宋体" w:eastAsia="宋体" w:cs="宋体"/>
                        <w:spacing w:val="-14"/>
                        <w:w w:val="96"/>
                        <w:sz w:val="18"/>
                        <w:szCs w:val="18"/>
                      </w:rPr>
                      <w:t>招标</w:t>
                    </w:r>
                    <w:r>
                      <w:rPr>
                        <w:rFonts w:ascii="宋体" w:hAnsi="宋体" w:eastAsia="宋体" w:cs="宋体"/>
                        <w:sz w:val="18"/>
                        <w:szCs w:val="18"/>
                      </w:rPr>
                      <w:t xml:space="preserve"> </w:t>
                    </w:r>
                    <w:r>
                      <w:rPr>
                        <w:rFonts w:ascii="宋体" w:hAnsi="宋体" w:eastAsia="宋体" w:cs="宋体"/>
                        <w:spacing w:val="-14"/>
                        <w:w w:val="96"/>
                        <w:sz w:val="18"/>
                        <w:szCs w:val="18"/>
                      </w:rPr>
                      <w:t>设计</w:t>
                    </w:r>
                    <w:r>
                      <w:rPr>
                        <w:rFonts w:ascii="宋体" w:hAnsi="宋体" w:eastAsia="宋体" w:cs="宋体"/>
                        <w:sz w:val="18"/>
                        <w:szCs w:val="18"/>
                      </w:rPr>
                      <w:t xml:space="preserve"> </w:t>
                    </w:r>
                    <w:r>
                      <w:rPr>
                        <w:rFonts w:ascii="宋体" w:hAnsi="宋体" w:eastAsia="宋体" w:cs="宋体"/>
                        <w:spacing w:val="-3"/>
                        <w:sz w:val="18"/>
                        <w:szCs w:val="18"/>
                      </w:rPr>
                      <w:t>实施验收</w:t>
                    </w:r>
                  </w:p>
                  <w:p w14:paraId="13E9BDCE">
                    <w:pPr>
                      <w:spacing w:line="198" w:lineRule="auto"/>
                      <w:ind w:left="2730"/>
                      <w:rPr>
                        <w:rFonts w:ascii="宋体" w:hAnsi="宋体" w:eastAsia="宋体" w:cs="宋体"/>
                        <w:sz w:val="18"/>
                        <w:szCs w:val="18"/>
                      </w:rPr>
                    </w:pPr>
                    <w:r>
                      <w:rPr>
                        <w:rFonts w:ascii="宋体" w:hAnsi="宋体" w:eastAsia="宋体" w:cs="宋体"/>
                        <w:spacing w:val="-6"/>
                        <w:sz w:val="18"/>
                        <w:szCs w:val="18"/>
                      </w:rPr>
                      <w:t>信息资源系统</w:t>
                    </w:r>
                  </w:p>
                  <w:p w14:paraId="4437956E">
                    <w:pPr>
                      <w:spacing w:before="116" w:line="220" w:lineRule="auto"/>
                      <w:ind w:left="690"/>
                      <w:rPr>
                        <w:rFonts w:ascii="宋体" w:hAnsi="宋体" w:eastAsia="宋体" w:cs="宋体"/>
                        <w:sz w:val="18"/>
                        <w:szCs w:val="18"/>
                      </w:rPr>
                    </w:pPr>
                    <w:r>
                      <w:rPr>
                        <w:rFonts w:ascii="宋体" w:hAnsi="宋体" w:eastAsia="宋体" w:cs="宋体"/>
                        <w:spacing w:val="-2"/>
                        <w:sz w:val="18"/>
                        <w:szCs w:val="18"/>
                      </w:rPr>
                      <w:t>运行维护</w:t>
                    </w:r>
                  </w:p>
                  <w:p w14:paraId="7DA5C230">
                    <w:pPr>
                      <w:spacing w:before="107" w:line="222" w:lineRule="auto"/>
                      <w:ind w:left="620" w:right="3014" w:firstLine="70"/>
                      <w:rPr>
                        <w:rFonts w:ascii="宋体" w:hAnsi="宋体" w:eastAsia="宋体" w:cs="宋体"/>
                        <w:sz w:val="18"/>
                        <w:szCs w:val="18"/>
                      </w:rPr>
                    </w:pPr>
                    <w:r>
                      <w:rPr>
                        <w:rFonts w:ascii="宋体" w:hAnsi="宋体" w:eastAsia="宋体" w:cs="宋体"/>
                        <w:spacing w:val="-9"/>
                        <w:sz w:val="18"/>
                        <w:szCs w:val="18"/>
                      </w:rPr>
                      <w:t>运维招标</w:t>
                    </w:r>
                    <w:r>
                      <w:rPr>
                        <w:rFonts w:ascii="宋体" w:hAnsi="宋体" w:eastAsia="宋体" w:cs="宋体"/>
                        <w:sz w:val="18"/>
                        <w:szCs w:val="18"/>
                      </w:rPr>
                      <w:t xml:space="preserve">  </w:t>
                    </w:r>
                    <w:r>
                      <w:rPr>
                        <w:rFonts w:ascii="宋体" w:hAnsi="宋体" w:eastAsia="宋体" w:cs="宋体"/>
                        <w:spacing w:val="9"/>
                        <w:sz w:val="18"/>
                        <w:szCs w:val="18"/>
                      </w:rPr>
                      <w:t>运维实施</w:t>
                    </w:r>
                    <w:r>
                      <w:rPr>
                        <w:rFonts w:ascii="宋体" w:hAnsi="宋体" w:eastAsia="宋体" w:cs="宋体"/>
                        <w:sz w:val="18"/>
                        <w:szCs w:val="18"/>
                      </w:rPr>
                      <w:t xml:space="preserve">  </w:t>
                    </w:r>
                    <w:r>
                      <w:rPr>
                        <w:rFonts w:ascii="宋体" w:hAnsi="宋体" w:eastAsia="宋体" w:cs="宋体"/>
                        <w:spacing w:val="-6"/>
                        <w:sz w:val="18"/>
                        <w:szCs w:val="18"/>
                      </w:rPr>
                      <w:t>评价及认定</w:t>
                    </w:r>
                  </w:p>
                  <w:p w14:paraId="33C99ECD">
                    <w:pPr>
                      <w:spacing w:line="357" w:lineRule="auto"/>
                      <w:rPr>
                        <w:rFonts w:ascii="Arial"/>
                        <w:sz w:val="21"/>
                      </w:rPr>
                    </w:pPr>
                  </w:p>
                  <w:p w14:paraId="0081CE4C">
                    <w:pPr>
                      <w:spacing w:line="358" w:lineRule="auto"/>
                      <w:rPr>
                        <w:rFonts w:ascii="Arial"/>
                        <w:sz w:val="21"/>
                      </w:rPr>
                    </w:pPr>
                  </w:p>
                  <w:p w14:paraId="573F2458">
                    <w:pPr>
                      <w:spacing w:before="58" w:line="230" w:lineRule="auto"/>
                      <w:ind w:left="20"/>
                      <w:rPr>
                        <w:rFonts w:ascii="宋体" w:hAnsi="宋体" w:eastAsia="宋体" w:cs="宋体"/>
                        <w:sz w:val="18"/>
                        <w:szCs w:val="18"/>
                      </w:rPr>
                    </w:pPr>
                    <w:r>
                      <w:rPr>
                        <w:rFonts w:ascii="宋体" w:hAnsi="宋体" w:eastAsia="宋体" w:cs="宋体"/>
                        <w:spacing w:val="-7"/>
                        <w:position w:val="1"/>
                        <w:sz w:val="18"/>
                        <w:szCs w:val="18"/>
                      </w:rPr>
                      <w:t>监理支撑要素</w:t>
                    </w:r>
                    <w:r>
                      <w:rPr>
                        <w:rFonts w:ascii="宋体" w:hAnsi="宋体" w:eastAsia="宋体" w:cs="宋体"/>
                        <w:spacing w:val="63"/>
                        <w:position w:val="1"/>
                        <w:sz w:val="18"/>
                        <w:szCs w:val="18"/>
                      </w:rPr>
                      <w:t xml:space="preserve"> </w:t>
                    </w:r>
                    <w:r>
                      <w:rPr>
                        <w:rFonts w:ascii="宋体" w:hAnsi="宋体" w:eastAsia="宋体" w:cs="宋体"/>
                        <w:color w:val="0B7ADB"/>
                        <w:spacing w:val="-7"/>
                        <w:sz w:val="18"/>
                        <w:szCs w:val="18"/>
                      </w:rPr>
                      <w:t>监</w:t>
                    </w:r>
                    <w:r>
                      <w:rPr>
                        <w:rFonts w:ascii="宋体" w:hAnsi="宋体" w:eastAsia="宋体" w:cs="宋体"/>
                        <w:spacing w:val="-7"/>
                        <w:sz w:val="18"/>
                        <w:szCs w:val="18"/>
                      </w:rPr>
                      <w:t>理法规及管理文</w:t>
                    </w:r>
                    <w:r>
                      <w:rPr>
                        <w:rFonts w:ascii="宋体" w:hAnsi="宋体" w:eastAsia="宋体" w:cs="宋体"/>
                        <w:color w:val="0B7ADB"/>
                        <w:spacing w:val="-7"/>
                        <w:sz w:val="18"/>
                        <w:szCs w:val="18"/>
                      </w:rPr>
                      <w:t xml:space="preserve">件  </w:t>
                    </w:r>
                    <w:r>
                      <w:rPr>
                        <w:rFonts w:ascii="宋体" w:hAnsi="宋体" w:eastAsia="宋体" w:cs="宋体"/>
                        <w:spacing w:val="-7"/>
                        <w:position w:val="-1"/>
                        <w:sz w:val="18"/>
                        <w:szCs w:val="18"/>
                      </w:rPr>
                      <w:t>监理及相关服务合同</w:t>
                    </w:r>
                  </w:p>
                </w:txbxContent>
              </v:textbox>
            </v:shape>
            <v:shape id="_x0000_s1397" o:spid="_x0000_s1397" o:spt="202" type="#_x0000_t202" style="position:absolute;left:4770;top:3487;height:420;width:2140;" filled="f" stroked="f" coordsize="21600,21600">
              <v:path/>
              <v:fill on="f" focussize="0,0"/>
              <v:stroke on="f"/>
              <v:imagedata o:title=""/>
              <o:lock v:ext="edit" aspectratio="f"/>
              <v:textbox inset="0mm,0mm,0mm,0mm">
                <w:txbxContent>
                  <w:p w14:paraId="15E06741">
                    <w:pPr>
                      <w:spacing w:before="20" w:line="205" w:lineRule="auto"/>
                      <w:ind w:left="279"/>
                      <w:rPr>
                        <w:rFonts w:ascii="宋体" w:hAnsi="宋体" w:eastAsia="宋体" w:cs="宋体"/>
                        <w:sz w:val="18"/>
                        <w:szCs w:val="18"/>
                      </w:rPr>
                    </w:pPr>
                    <w:r>
                      <w:rPr>
                        <w:rFonts w:ascii="宋体" w:hAnsi="宋体" w:eastAsia="宋体" w:cs="宋体"/>
                        <w:spacing w:val="-9"/>
                        <w:sz w:val="18"/>
                        <w:szCs w:val="18"/>
                      </w:rPr>
                      <w:t>监理及相关服务能力</w:t>
                    </w:r>
                  </w:p>
                  <w:p w14:paraId="2ABF0C3D">
                    <w:pPr>
                      <w:spacing w:line="219" w:lineRule="auto"/>
                      <w:ind w:left="20"/>
                      <w:rPr>
                        <w:rFonts w:ascii="宋体" w:hAnsi="宋体" w:eastAsia="宋体" w:cs="宋体"/>
                        <w:sz w:val="18"/>
                        <w:szCs w:val="18"/>
                      </w:rPr>
                    </w:pPr>
                    <w:r>
                      <w:rPr>
                        <w:rFonts w:ascii="宋体" w:hAnsi="宋体" w:eastAsia="宋体" w:cs="宋体"/>
                        <w:spacing w:val="-5"/>
                        <w:sz w:val="18"/>
                        <w:szCs w:val="18"/>
                      </w:rPr>
                      <w:t>(人员、技术、资源、流程)</w:t>
                    </w:r>
                  </w:p>
                </w:txbxContent>
              </v:textbox>
            </v:shape>
            <v:shape id="_x0000_s1398" o:spid="_x0000_s1398" o:spt="202" type="#_x0000_t202" style="position:absolute;left:2860;top:147;height:650;width:1081;" filled="f" stroked="f" coordsize="21600,21600">
              <v:path/>
              <v:fill on="f" focussize="0,0"/>
              <v:stroke on="f"/>
              <v:imagedata o:title=""/>
              <o:lock v:ext="edit" aspectratio="f"/>
              <v:textbox inset="0mm,0mm,0mm,0mm">
                <w:txbxContent>
                  <w:p w14:paraId="0A48A524">
                    <w:pPr>
                      <w:spacing w:before="20" w:line="219" w:lineRule="auto"/>
                      <w:ind w:left="209"/>
                      <w:rPr>
                        <w:rFonts w:ascii="宋体" w:hAnsi="宋体" w:eastAsia="宋体" w:cs="宋体"/>
                        <w:sz w:val="18"/>
                        <w:szCs w:val="18"/>
                      </w:rPr>
                    </w:pPr>
                    <w:r>
                      <w:rPr>
                        <w:rFonts w:ascii="宋体" w:hAnsi="宋体" w:eastAsia="宋体" w:cs="宋体"/>
                        <w:spacing w:val="-7"/>
                        <w:sz w:val="18"/>
                        <w:szCs w:val="18"/>
                      </w:rPr>
                      <w:t>监理对象</w:t>
                    </w:r>
                  </w:p>
                  <w:p w14:paraId="5F0DBBC0">
                    <w:pPr>
                      <w:spacing w:before="216" w:line="219" w:lineRule="auto"/>
                      <w:ind w:left="20"/>
                      <w:rPr>
                        <w:rFonts w:ascii="宋体" w:hAnsi="宋体" w:eastAsia="宋体" w:cs="宋体"/>
                        <w:sz w:val="18"/>
                        <w:szCs w:val="18"/>
                      </w:rPr>
                    </w:pPr>
                    <w:r>
                      <w:rPr>
                        <w:rFonts w:ascii="宋体" w:hAnsi="宋体" w:eastAsia="宋体" w:cs="宋体"/>
                        <w:spacing w:val="-6"/>
                        <w:sz w:val="18"/>
                        <w:szCs w:val="18"/>
                      </w:rPr>
                      <w:t>信息</w:t>
                    </w:r>
                    <w:r>
                      <w:rPr>
                        <w:rFonts w:ascii="宋体" w:hAnsi="宋体" w:eastAsia="宋体" w:cs="宋体"/>
                        <w:color w:val="0072D7"/>
                        <w:spacing w:val="-6"/>
                        <w:sz w:val="18"/>
                        <w:szCs w:val="18"/>
                      </w:rPr>
                      <w:t>应</w:t>
                    </w:r>
                    <w:r>
                      <w:rPr>
                        <w:rFonts w:ascii="宋体" w:hAnsi="宋体" w:eastAsia="宋体" w:cs="宋体"/>
                        <w:spacing w:val="-6"/>
                        <w:sz w:val="18"/>
                        <w:szCs w:val="18"/>
                      </w:rPr>
                      <w:t>用系统</w:t>
                    </w:r>
                  </w:p>
                </w:txbxContent>
              </v:textbox>
            </v:shape>
            <v:shape id="_x0000_s1399" o:spid="_x0000_s1399" o:spt="202" type="#_x0000_t202" style="position:absolute;left:6130;top:1327;height:863;width:422;" filled="f" stroked="f" coordsize="21600,21600">
              <v:path/>
              <v:fill on="f" focussize="0,0"/>
              <v:stroke on="f"/>
              <v:imagedata o:title=""/>
              <o:lock v:ext="edit" aspectratio="f"/>
              <v:textbox inset="0mm,0mm,0mm,0mm">
                <w:txbxContent>
                  <w:p w14:paraId="60460BEF">
                    <w:pPr>
                      <w:spacing w:before="18" w:line="219" w:lineRule="auto"/>
                      <w:ind w:left="20" w:right="20"/>
                      <w:jc w:val="both"/>
                      <w:rPr>
                        <w:rFonts w:ascii="楷体" w:hAnsi="楷体" w:eastAsia="楷体" w:cs="楷体"/>
                        <w:sz w:val="18"/>
                        <w:szCs w:val="18"/>
                      </w:rPr>
                    </w:pPr>
                    <w:r>
                      <w:rPr>
                        <w:rFonts w:ascii="宋体" w:hAnsi="宋体" w:eastAsia="宋体" w:cs="宋体"/>
                        <w:spacing w:val="-5"/>
                        <w:sz w:val="18"/>
                        <w:szCs w:val="18"/>
                      </w:rPr>
                      <w:t>项目</w:t>
                    </w:r>
                    <w:r>
                      <w:rPr>
                        <w:rFonts w:ascii="宋体" w:hAnsi="宋体" w:eastAsia="宋体" w:cs="宋体"/>
                        <w:sz w:val="18"/>
                        <w:szCs w:val="18"/>
                      </w:rPr>
                      <w:t xml:space="preserve"> </w:t>
                    </w:r>
                    <w:r>
                      <w:rPr>
                        <w:rFonts w:ascii="宋体" w:hAnsi="宋体" w:eastAsia="宋体" w:cs="宋体"/>
                        <w:spacing w:val="-5"/>
                        <w:sz w:val="18"/>
                        <w:szCs w:val="18"/>
                      </w:rPr>
                      <w:t>各方</w:t>
                    </w:r>
                    <w:r>
                      <w:rPr>
                        <w:rFonts w:ascii="宋体" w:hAnsi="宋体" w:eastAsia="宋体" w:cs="宋体"/>
                        <w:sz w:val="18"/>
                        <w:szCs w:val="18"/>
                      </w:rPr>
                      <w:t xml:space="preserve"> </w:t>
                    </w:r>
                    <w:r>
                      <w:rPr>
                        <w:rFonts w:ascii="宋体" w:hAnsi="宋体" w:eastAsia="宋体" w:cs="宋体"/>
                        <w:spacing w:val="-5"/>
                        <w:sz w:val="18"/>
                        <w:szCs w:val="18"/>
                      </w:rPr>
                      <w:t>工作</w:t>
                    </w:r>
                    <w:r>
                      <w:rPr>
                        <w:rFonts w:ascii="宋体" w:hAnsi="宋体" w:eastAsia="宋体" w:cs="宋体"/>
                        <w:sz w:val="18"/>
                        <w:szCs w:val="18"/>
                      </w:rPr>
                      <w:t xml:space="preserve"> </w:t>
                    </w:r>
                    <w:r>
                      <w:rPr>
                        <w:rFonts w:ascii="楷体" w:hAnsi="楷体" w:eastAsia="楷体" w:cs="楷体"/>
                        <w:spacing w:val="11"/>
                        <w:sz w:val="18"/>
                        <w:szCs w:val="18"/>
                      </w:rPr>
                      <w:t>关系</w:t>
                    </w:r>
                  </w:p>
                </w:txbxContent>
              </v:textbox>
            </v:shape>
            <v:shape id="_x0000_s1400" o:spid="_x0000_s1400" o:spt="202" type="#_x0000_t202" style="position:absolute;left:5540;top:1419;height:629;width:392;" filled="f" stroked="f" coordsize="21600,21600">
              <v:path/>
              <v:fill on="f" focussize="0,0"/>
              <v:stroke on="f"/>
              <v:imagedata o:title=""/>
              <o:lock v:ext="edit" aspectratio="f"/>
              <v:textbox inset="0mm,0mm,0mm,0mm">
                <w:txbxContent>
                  <w:p w14:paraId="2E601847">
                    <w:pPr>
                      <w:spacing w:before="20" w:line="213" w:lineRule="auto"/>
                      <w:ind w:left="20" w:right="20"/>
                      <w:jc w:val="both"/>
                      <w:rPr>
                        <w:rFonts w:ascii="宋体" w:hAnsi="宋体" w:eastAsia="宋体" w:cs="宋体"/>
                        <w:sz w:val="18"/>
                        <w:szCs w:val="18"/>
                      </w:rPr>
                    </w:pPr>
                    <w:r>
                      <w:rPr>
                        <w:rFonts w:ascii="宋体" w:hAnsi="宋体" w:eastAsia="宋体" w:cs="宋体"/>
                        <w:spacing w:val="-4"/>
                        <w:sz w:val="18"/>
                        <w:szCs w:val="18"/>
                      </w:rPr>
                      <w:t>合同</w:t>
                    </w:r>
                    <w:r>
                      <w:rPr>
                        <w:rFonts w:ascii="宋体" w:hAnsi="宋体" w:eastAsia="宋体" w:cs="宋体"/>
                        <w:sz w:val="18"/>
                        <w:szCs w:val="18"/>
                      </w:rPr>
                      <w:t xml:space="preserve"> </w:t>
                    </w:r>
                    <w:r>
                      <w:rPr>
                        <w:rFonts w:ascii="宋体" w:hAnsi="宋体" w:eastAsia="宋体" w:cs="宋体"/>
                        <w:spacing w:val="-5"/>
                        <w:sz w:val="18"/>
                        <w:szCs w:val="18"/>
                      </w:rPr>
                      <w:t>文档</w:t>
                    </w:r>
                    <w:r>
                      <w:rPr>
                        <w:rFonts w:ascii="宋体" w:hAnsi="宋体" w:eastAsia="宋体" w:cs="宋体"/>
                        <w:sz w:val="18"/>
                        <w:szCs w:val="18"/>
                      </w:rPr>
                      <w:t xml:space="preserve"> </w:t>
                    </w:r>
                    <w:r>
                      <w:rPr>
                        <w:rFonts w:ascii="宋体" w:hAnsi="宋体" w:eastAsia="宋体" w:cs="宋体"/>
                        <w:spacing w:val="-8"/>
                        <w:sz w:val="18"/>
                        <w:szCs w:val="18"/>
                      </w:rPr>
                      <w:t>资料</w:t>
                    </w:r>
                  </w:p>
                </w:txbxContent>
              </v:textbox>
            </v:shape>
            <v:shape id="_x0000_s1401" o:spid="_x0000_s1401" o:spt="202" type="#_x0000_t202" style="position:absolute;left:4960;top:1437;height:620;width:395;" filled="f" stroked="f" coordsize="21600,21600">
              <v:path/>
              <v:fill on="f" focussize="0,0"/>
              <v:stroke on="f"/>
              <v:imagedata o:title=""/>
              <o:lock v:ext="edit" aspectratio="f"/>
              <v:textbox inset="0mm,0mm,0mm,0mm">
                <w:txbxContent>
                  <w:p w14:paraId="51F78003">
                    <w:pPr>
                      <w:spacing w:before="20" w:line="210" w:lineRule="auto"/>
                      <w:ind w:left="20" w:right="20"/>
                      <w:jc w:val="both"/>
                      <w:rPr>
                        <w:rFonts w:ascii="宋体" w:hAnsi="宋体" w:eastAsia="宋体" w:cs="宋体"/>
                        <w:sz w:val="18"/>
                        <w:szCs w:val="18"/>
                      </w:rPr>
                    </w:pPr>
                    <w:r>
                      <w:rPr>
                        <w:rFonts w:ascii="宋体" w:hAnsi="宋体" w:eastAsia="宋体" w:cs="宋体"/>
                        <w:spacing w:val="-4"/>
                        <w:sz w:val="18"/>
                        <w:szCs w:val="18"/>
                      </w:rPr>
                      <w:t>质量</w:t>
                    </w:r>
                    <w:r>
                      <w:rPr>
                        <w:rFonts w:ascii="宋体" w:hAnsi="宋体" w:eastAsia="宋体" w:cs="宋体"/>
                        <w:sz w:val="18"/>
                        <w:szCs w:val="18"/>
                      </w:rPr>
                      <w:t xml:space="preserve"> </w:t>
                    </w:r>
                    <w:r>
                      <w:rPr>
                        <w:rFonts w:ascii="宋体" w:hAnsi="宋体" w:eastAsia="宋体" w:cs="宋体"/>
                        <w:spacing w:val="-3"/>
                        <w:sz w:val="18"/>
                        <w:szCs w:val="18"/>
                      </w:rPr>
                      <w:t>进度</w:t>
                    </w:r>
                    <w:r>
                      <w:rPr>
                        <w:rFonts w:ascii="宋体" w:hAnsi="宋体" w:eastAsia="宋体" w:cs="宋体"/>
                        <w:sz w:val="18"/>
                        <w:szCs w:val="18"/>
                      </w:rPr>
                      <w:t xml:space="preserve"> </w:t>
                    </w:r>
                    <w:r>
                      <w:rPr>
                        <w:rFonts w:ascii="宋体" w:hAnsi="宋体" w:eastAsia="宋体" w:cs="宋体"/>
                        <w:spacing w:val="-5"/>
                        <w:sz w:val="18"/>
                        <w:szCs w:val="18"/>
                      </w:rPr>
                      <w:t>投资</w:t>
                    </w:r>
                  </w:p>
                </w:txbxContent>
              </v:textbox>
            </v:shape>
            <v:shape id="_x0000_s1402" o:spid="_x0000_s1402" o:spt="202" type="#_x0000_t202" style="position:absolute;left:2860;top:2377;height:220;width:1059;" filled="f" stroked="f" coordsize="21600,21600">
              <v:path/>
              <v:fill on="f" focussize="0,0"/>
              <v:stroke on="f"/>
              <v:imagedata o:title=""/>
              <o:lock v:ext="edit" aspectratio="f"/>
              <v:textbox inset="0mm,0mm,0mm,0mm">
                <w:txbxContent>
                  <w:p w14:paraId="772F8EA1">
                    <w:pPr>
                      <w:spacing w:before="20" w:line="219" w:lineRule="auto"/>
                      <w:ind w:left="20"/>
                      <w:rPr>
                        <w:rFonts w:ascii="宋体" w:hAnsi="宋体" w:eastAsia="宋体" w:cs="宋体"/>
                        <w:sz w:val="18"/>
                        <w:szCs w:val="18"/>
                      </w:rPr>
                    </w:pPr>
                    <w:r>
                      <w:rPr>
                        <w:rFonts w:ascii="宋体" w:hAnsi="宋体" w:eastAsia="宋体" w:cs="宋体"/>
                        <w:spacing w:val="-9"/>
                        <w:sz w:val="18"/>
                        <w:szCs w:val="18"/>
                      </w:rPr>
                      <w:t>信息网络系统</w:t>
                    </w:r>
                  </w:p>
                </w:txbxContent>
              </v:textbox>
            </v:shape>
            <v:shape id="_x0000_s1403" o:spid="_x0000_s1403" o:spt="202" type="#_x0000_t202" style="position:absolute;left:5420;top:147;height:220;width:729;" filled="f" stroked="f" coordsize="21600,21600">
              <v:path/>
              <v:fill on="f" focussize="0,0"/>
              <v:stroke on="f"/>
              <v:imagedata o:title=""/>
              <o:lock v:ext="edit" aspectratio="f"/>
              <v:textbox inset="0mm,0mm,0mm,0mm">
                <w:txbxContent>
                  <w:p w14:paraId="1E57BA53">
                    <w:pPr>
                      <w:spacing w:before="20" w:line="219" w:lineRule="auto"/>
                      <w:ind w:left="20"/>
                      <w:rPr>
                        <w:rFonts w:ascii="宋体" w:hAnsi="宋体" w:eastAsia="宋体" w:cs="宋体"/>
                        <w:sz w:val="18"/>
                        <w:szCs w:val="18"/>
                      </w:rPr>
                    </w:pPr>
                    <w:r>
                      <w:rPr>
                        <w:rFonts w:ascii="宋体" w:hAnsi="宋体" w:eastAsia="宋体" w:cs="宋体"/>
                        <w:spacing w:val="-6"/>
                        <w:sz w:val="18"/>
                        <w:szCs w:val="18"/>
                      </w:rPr>
                      <w:t>监理内容</w:t>
                    </w:r>
                  </w:p>
                </w:txbxContent>
              </v:textbox>
            </v:shape>
            <v:shape id="_x0000_s1404" o:spid="_x0000_s1404" o:spt="202" type="#_x0000_t202" style="position:absolute;left:4236;top:1215;height:759;width:187;" filled="f" stroked="f" coordsize="21600,21600">
              <v:path/>
              <v:fill on="f" focussize="0,0"/>
              <v:stroke on="f"/>
              <v:imagedata o:title=""/>
              <o:lock v:ext="edit" aspectratio="f"/>
              <v:textbox inset="0mm,0mm,0mm,0mm" style="layout-flow:vertical-ideographic;">
                <w:txbxContent>
                  <w:p w14:paraId="07B5B91C">
                    <w:pPr>
                      <w:spacing w:before="19" w:line="202" w:lineRule="auto"/>
                      <w:ind w:left="20"/>
                      <w:rPr>
                        <w:rFonts w:ascii="宋体" w:hAnsi="宋体" w:eastAsia="宋体" w:cs="宋体"/>
                        <w:sz w:val="16"/>
                        <w:szCs w:val="16"/>
                      </w:rPr>
                    </w:pPr>
                    <w:r>
                      <w:rPr>
                        <w:rFonts w:ascii="宋体" w:hAnsi="宋体" w:eastAsia="宋体" w:cs="宋体"/>
                        <w:spacing w:val="19"/>
                        <w:sz w:val="16"/>
                        <w:szCs w:val="16"/>
                      </w:rPr>
                      <w:t>运行维护</w:t>
                    </w:r>
                  </w:p>
                </w:txbxContent>
              </v:textbox>
            </v:shape>
            <v:shape id="_x0000_s1405" o:spid="_x0000_s1405" o:spt="202" type="#_x0000_t202" style="position:absolute;left:2351;top:1211;height:759;width:187;" filled="f" stroked="f" coordsize="21600,21600">
              <v:path/>
              <v:fill on="f" focussize="0,0"/>
              <v:stroke on="f"/>
              <v:imagedata o:title=""/>
              <o:lock v:ext="edit" aspectratio="f"/>
              <v:textbox inset="0mm,0mm,0mm,0mm" style="layout-flow:vertical-ideographic;">
                <w:txbxContent>
                  <w:p w14:paraId="57333952">
                    <w:pPr>
                      <w:spacing w:before="20" w:line="199" w:lineRule="auto"/>
                      <w:ind w:left="20"/>
                      <w:rPr>
                        <w:rFonts w:ascii="宋体" w:hAnsi="宋体" w:eastAsia="宋体" w:cs="宋体"/>
                        <w:sz w:val="16"/>
                        <w:szCs w:val="16"/>
                      </w:rPr>
                    </w:pPr>
                    <w:r>
                      <w:rPr>
                        <w:rFonts w:ascii="宋体" w:hAnsi="宋体" w:eastAsia="宋体" w:cs="宋体"/>
                        <w:spacing w:val="19"/>
                        <w:sz w:val="16"/>
                        <w:szCs w:val="16"/>
                      </w:rPr>
                      <w:t>信息安全</w:t>
                    </w:r>
                  </w:p>
                </w:txbxContent>
              </v:textbox>
            </v:shape>
            <v:shape id="_x0000_s1406" o:spid="_x0000_s1406" o:spt="202" type="#_x0000_t202" style="position:absolute;left:4960;top:557;height:220;width:394;" filled="f" stroked="f" coordsize="21600,21600">
              <v:path/>
              <v:fill on="f" focussize="0,0"/>
              <v:stroke on="f"/>
              <v:imagedata o:title=""/>
              <o:lock v:ext="edit" aspectratio="f"/>
              <v:textbox inset="0mm,0mm,0mm,0mm">
                <w:txbxContent>
                  <w:p w14:paraId="398F4E0A">
                    <w:pPr>
                      <w:spacing w:before="20" w:line="220" w:lineRule="auto"/>
                      <w:ind w:left="20"/>
                      <w:rPr>
                        <w:rFonts w:ascii="宋体" w:hAnsi="宋体" w:eastAsia="宋体" w:cs="宋体"/>
                        <w:sz w:val="18"/>
                        <w:szCs w:val="18"/>
                      </w:rPr>
                    </w:pPr>
                    <w:r>
                      <w:rPr>
                        <w:rFonts w:ascii="宋体" w:hAnsi="宋体" w:eastAsia="宋体" w:cs="宋体"/>
                        <w:spacing w:val="-2"/>
                        <w:sz w:val="18"/>
                        <w:szCs w:val="18"/>
                      </w:rPr>
                      <w:t>控制</w:t>
                    </w:r>
                  </w:p>
                </w:txbxContent>
              </v:textbox>
            </v:shape>
            <v:shape id="_x0000_s1407" o:spid="_x0000_s1407" o:spt="202" type="#_x0000_t202" style="position:absolute;left:6130;top:557;height:220;width:392;" filled="f" stroked="f" coordsize="21600,21600">
              <v:path/>
              <v:fill on="f" focussize="0,0"/>
              <v:stroke on="f"/>
              <v:imagedata o:title=""/>
              <o:lock v:ext="edit" aspectratio="f"/>
              <v:textbox inset="0mm,0mm,0mm,0mm">
                <w:txbxContent>
                  <w:p w14:paraId="266AE88A">
                    <w:pPr>
                      <w:spacing w:before="20" w:line="220" w:lineRule="auto"/>
                      <w:ind w:left="20"/>
                      <w:rPr>
                        <w:rFonts w:ascii="宋体" w:hAnsi="宋体" w:eastAsia="宋体" w:cs="宋体"/>
                        <w:sz w:val="18"/>
                        <w:szCs w:val="18"/>
                      </w:rPr>
                    </w:pPr>
                    <w:r>
                      <w:rPr>
                        <w:rFonts w:ascii="宋体" w:hAnsi="宋体" w:eastAsia="宋体" w:cs="宋体"/>
                        <w:spacing w:val="-2"/>
                        <w:sz w:val="18"/>
                        <w:szCs w:val="18"/>
                      </w:rPr>
                      <w:t>协调</w:t>
                    </w:r>
                  </w:p>
                </w:txbxContent>
              </v:textbox>
            </v:shape>
            <v:shape id="_x0000_s1408" o:spid="_x0000_s1408" o:spt="202" type="#_x0000_t202" style="position:absolute;left:5540;top:557;height:220;width:389;" filled="f" stroked="f" coordsize="21600,21600">
              <v:path/>
              <v:fill on="f" focussize="0,0"/>
              <v:stroke on="f"/>
              <v:imagedata o:title=""/>
              <o:lock v:ext="edit" aspectratio="f"/>
              <v:textbox inset="0mm,0mm,0mm,0mm">
                <w:txbxContent>
                  <w:p w14:paraId="40B4951D">
                    <w:pPr>
                      <w:spacing w:before="20" w:line="219" w:lineRule="auto"/>
                      <w:ind w:left="20"/>
                      <w:rPr>
                        <w:rFonts w:ascii="宋体" w:hAnsi="宋体" w:eastAsia="宋体" w:cs="宋体"/>
                        <w:sz w:val="18"/>
                        <w:szCs w:val="18"/>
                      </w:rPr>
                    </w:pPr>
                    <w:r>
                      <w:rPr>
                        <w:rFonts w:ascii="宋体" w:hAnsi="宋体" w:eastAsia="宋体" w:cs="宋体"/>
                        <w:spacing w:val="-3"/>
                        <w:sz w:val="18"/>
                        <w:szCs w:val="18"/>
                      </w:rPr>
                      <w:t>管理</w:t>
                    </w:r>
                  </w:p>
                </w:txbxContent>
              </v:textbox>
            </v:shape>
            <w10:wrap type="none"/>
            <w10:anchorlock/>
          </v:group>
        </w:pict>
      </w:r>
    </w:p>
    <w:p w14:paraId="32C53E56">
      <w:pPr>
        <w:pStyle w:val="2"/>
        <w:spacing w:before="97" w:line="219" w:lineRule="auto"/>
        <w:ind w:left="2499"/>
        <w:rPr>
          <w:sz w:val="18"/>
          <w:szCs w:val="18"/>
        </w:rPr>
      </w:pPr>
      <w:r>
        <w:rPr>
          <w:sz w:val="18"/>
          <w:szCs w:val="18"/>
        </w:rPr>
        <w:t>图8-1</w:t>
      </w:r>
      <w:r>
        <w:rPr>
          <w:spacing w:val="62"/>
          <w:sz w:val="18"/>
          <w:szCs w:val="18"/>
        </w:rPr>
        <w:t xml:space="preserve"> </w:t>
      </w:r>
      <w:r>
        <w:rPr>
          <w:sz w:val="18"/>
          <w:szCs w:val="18"/>
        </w:rPr>
        <w:t>信息系统工程监理的技术参考模型</w:t>
      </w:r>
    </w:p>
    <w:p w14:paraId="04ECD1A8">
      <w:pPr>
        <w:pStyle w:val="2"/>
        <w:spacing w:before="176" w:line="339" w:lineRule="auto"/>
        <w:ind w:right="294" w:firstLine="390"/>
        <w:rPr>
          <w:sz w:val="18"/>
          <w:szCs w:val="18"/>
        </w:rPr>
      </w:pPr>
      <w:r>
        <w:rPr>
          <w:spacing w:val="21"/>
          <w:sz w:val="18"/>
          <w:szCs w:val="18"/>
        </w:rPr>
        <w:t>参考我国信息技术服务标准</w:t>
      </w:r>
      <w:r>
        <w:rPr>
          <w:spacing w:val="-21"/>
          <w:sz w:val="18"/>
          <w:szCs w:val="18"/>
        </w:rPr>
        <w:t xml:space="preserve"> </w:t>
      </w:r>
      <w:r>
        <w:rPr>
          <w:rFonts w:ascii="Times New Roman" w:hAnsi="Times New Roman" w:eastAsia="Times New Roman" w:cs="Times New Roman"/>
          <w:spacing w:val="21"/>
          <w:sz w:val="18"/>
          <w:szCs w:val="18"/>
        </w:rPr>
        <w:t>(</w:t>
      </w:r>
      <w:r>
        <w:rPr>
          <w:rFonts w:ascii="Times New Roman" w:hAnsi="Times New Roman" w:eastAsia="Times New Roman" w:cs="Times New Roman"/>
          <w:sz w:val="18"/>
          <w:szCs w:val="18"/>
        </w:rPr>
        <w:t>ITSS</w:t>
      </w:r>
      <w:r>
        <w:rPr>
          <w:rFonts w:ascii="Times New Roman" w:hAnsi="Times New Roman" w:eastAsia="Times New Roman" w:cs="Times New Roman"/>
          <w:spacing w:val="21"/>
          <w:sz w:val="18"/>
          <w:szCs w:val="18"/>
        </w:rPr>
        <w:t xml:space="preserve">)    </w:t>
      </w:r>
      <w:r>
        <w:rPr>
          <w:spacing w:val="21"/>
          <w:sz w:val="18"/>
          <w:szCs w:val="18"/>
        </w:rPr>
        <w:t>体系对信息技术服务生命周期的划分，监理运行周期</w:t>
      </w:r>
      <w:r>
        <w:rPr>
          <w:sz w:val="18"/>
          <w:szCs w:val="18"/>
        </w:rPr>
        <w:t xml:space="preserve"> </w:t>
      </w:r>
      <w:r>
        <w:rPr>
          <w:spacing w:val="18"/>
          <w:sz w:val="18"/>
          <w:szCs w:val="18"/>
        </w:rPr>
        <w:t>主要分为规划、部署实施、运行维护三部分，每一部分由若干阶段组成：</w:t>
      </w:r>
    </w:p>
    <w:p w14:paraId="2B70F669">
      <w:pPr>
        <w:pStyle w:val="2"/>
        <w:spacing w:line="220" w:lineRule="auto"/>
        <w:ind w:left="390"/>
        <w:rPr>
          <w:sz w:val="18"/>
          <w:szCs w:val="18"/>
        </w:rPr>
      </w:pPr>
      <w:r>
        <w:rPr>
          <w:spacing w:val="19"/>
          <w:sz w:val="18"/>
          <w:szCs w:val="18"/>
        </w:rPr>
        <w:t>(1)规划，又称规划阶段；</w:t>
      </w:r>
    </w:p>
    <w:p w14:paraId="794BA0A0">
      <w:pPr>
        <w:pStyle w:val="2"/>
        <w:spacing w:before="103" w:line="219" w:lineRule="auto"/>
        <w:ind w:left="390"/>
        <w:rPr>
          <w:sz w:val="18"/>
          <w:szCs w:val="18"/>
        </w:rPr>
      </w:pPr>
      <w:r>
        <w:rPr>
          <w:spacing w:val="20"/>
          <w:sz w:val="18"/>
          <w:szCs w:val="18"/>
        </w:rPr>
        <w:t>(2)部署实施，包括招标阶段、设计阶段、实施阶段、验收阶段；</w:t>
      </w:r>
    </w:p>
    <w:p w14:paraId="04FC8F8E">
      <w:pPr>
        <w:pStyle w:val="2"/>
        <w:spacing w:before="115" w:line="218" w:lineRule="auto"/>
        <w:ind w:left="390"/>
        <w:rPr>
          <w:sz w:val="18"/>
          <w:szCs w:val="18"/>
        </w:rPr>
      </w:pPr>
      <w:r>
        <w:rPr>
          <w:spacing w:val="21"/>
          <w:sz w:val="18"/>
          <w:szCs w:val="18"/>
        </w:rPr>
        <w:t>(3)运行维护，包括运维招标阶段、运维实施阶段、评价及认</w:t>
      </w:r>
      <w:r>
        <w:rPr>
          <w:spacing w:val="20"/>
          <w:sz w:val="18"/>
          <w:szCs w:val="18"/>
        </w:rPr>
        <w:t>定阶段。</w:t>
      </w:r>
    </w:p>
    <w:p w14:paraId="05AE5C2C">
      <w:pPr>
        <w:pStyle w:val="2"/>
        <w:spacing w:before="89" w:line="294" w:lineRule="auto"/>
        <w:ind w:right="215" w:firstLine="390"/>
        <w:rPr>
          <w:sz w:val="18"/>
          <w:szCs w:val="18"/>
        </w:rPr>
      </w:pPr>
      <w:r>
        <w:rPr>
          <w:spacing w:val="25"/>
          <w:sz w:val="18"/>
          <w:szCs w:val="18"/>
        </w:rPr>
        <w:t>监理对象是指各种类型的信息系统工程，包括五个方</w:t>
      </w:r>
      <w:r>
        <w:rPr>
          <w:spacing w:val="24"/>
          <w:sz w:val="18"/>
          <w:szCs w:val="18"/>
        </w:rPr>
        <w:t>面：信息网络系统、信息资源系统、</w:t>
      </w:r>
      <w:r>
        <w:rPr>
          <w:sz w:val="18"/>
          <w:szCs w:val="18"/>
        </w:rPr>
        <w:t xml:space="preserve"> </w:t>
      </w:r>
      <w:r>
        <w:rPr>
          <w:spacing w:val="17"/>
          <w:sz w:val="18"/>
          <w:szCs w:val="18"/>
        </w:rPr>
        <w:t>信息应用系统、信息安全和运行维护。</w:t>
      </w:r>
    </w:p>
    <w:p w14:paraId="36E7D4F3">
      <w:pPr>
        <w:pStyle w:val="2"/>
        <w:spacing w:before="27" w:line="309" w:lineRule="auto"/>
        <w:ind w:right="267" w:firstLine="390"/>
        <w:jc w:val="both"/>
        <w:rPr>
          <w:sz w:val="18"/>
          <w:szCs w:val="18"/>
        </w:rPr>
      </w:pPr>
      <w:r>
        <w:rPr>
          <w:spacing w:val="23"/>
          <w:sz w:val="18"/>
          <w:szCs w:val="18"/>
        </w:rPr>
        <w:t>监理内容是指在监理运行周期的各部分、各阶段，需要控</w:t>
      </w:r>
      <w:r>
        <w:rPr>
          <w:spacing w:val="22"/>
          <w:sz w:val="18"/>
          <w:szCs w:val="18"/>
        </w:rPr>
        <w:t>制信息系统工程的质量、进度和</w:t>
      </w:r>
      <w:r>
        <w:rPr>
          <w:sz w:val="18"/>
          <w:szCs w:val="18"/>
        </w:rPr>
        <w:t xml:space="preserve"> </w:t>
      </w:r>
      <w:r>
        <w:rPr>
          <w:spacing w:val="23"/>
          <w:sz w:val="18"/>
          <w:szCs w:val="18"/>
        </w:rPr>
        <w:t>投资，同时需要对项目合同和文档资料进行管理，并协调有关各方的工作关系。</w:t>
      </w:r>
      <w:r>
        <w:rPr>
          <w:spacing w:val="22"/>
          <w:sz w:val="18"/>
          <w:szCs w:val="18"/>
        </w:rPr>
        <w:t>此外，还应该</w:t>
      </w:r>
      <w:r>
        <w:rPr>
          <w:sz w:val="18"/>
          <w:szCs w:val="18"/>
        </w:rPr>
        <w:t xml:space="preserve"> </w:t>
      </w:r>
      <w:r>
        <w:rPr>
          <w:spacing w:val="19"/>
          <w:sz w:val="18"/>
          <w:szCs w:val="18"/>
        </w:rPr>
        <w:t>根据信息系统工程的特点，对知识产权保护、工程</w:t>
      </w:r>
      <w:r>
        <w:rPr>
          <w:spacing w:val="18"/>
          <w:sz w:val="18"/>
          <w:szCs w:val="18"/>
        </w:rPr>
        <w:t>变更、项目风险等内容进行监理。</w:t>
      </w:r>
    </w:p>
    <w:p w14:paraId="361E3F2D">
      <w:pPr>
        <w:pStyle w:val="2"/>
        <w:spacing w:before="26" w:line="219" w:lineRule="auto"/>
        <w:ind w:left="390"/>
        <w:rPr>
          <w:sz w:val="18"/>
          <w:szCs w:val="18"/>
        </w:rPr>
      </w:pPr>
      <w:r>
        <w:rPr>
          <w:spacing w:val="8"/>
          <w:sz w:val="18"/>
          <w:szCs w:val="18"/>
        </w:rPr>
        <w:t>最基础的监理内容被概括为“三控、两管、</w:t>
      </w:r>
      <w:r>
        <w:rPr>
          <w:spacing w:val="53"/>
          <w:sz w:val="18"/>
          <w:szCs w:val="18"/>
        </w:rPr>
        <w:t xml:space="preserve"> </w:t>
      </w:r>
      <w:r>
        <w:rPr>
          <w:spacing w:val="8"/>
          <w:sz w:val="18"/>
          <w:szCs w:val="18"/>
        </w:rPr>
        <w:t>一协调”:</w:t>
      </w:r>
    </w:p>
    <w:p w14:paraId="1A6A647F">
      <w:pPr>
        <w:pStyle w:val="2"/>
        <w:spacing w:before="117" w:line="220" w:lineRule="auto"/>
        <w:ind w:left="390"/>
        <w:rPr>
          <w:sz w:val="18"/>
          <w:szCs w:val="18"/>
        </w:rPr>
      </w:pPr>
      <w:r>
        <w:rPr>
          <w:spacing w:val="20"/>
          <w:sz w:val="18"/>
          <w:szCs w:val="18"/>
        </w:rPr>
        <w:t>(1)三控：质量控制、进度控制、投资控</w:t>
      </w:r>
      <w:r>
        <w:rPr>
          <w:spacing w:val="19"/>
          <w:sz w:val="18"/>
          <w:szCs w:val="18"/>
        </w:rPr>
        <w:t>制；</w:t>
      </w:r>
    </w:p>
    <w:p w14:paraId="2E548CFA">
      <w:pPr>
        <w:pStyle w:val="2"/>
        <w:spacing w:before="85" w:line="219" w:lineRule="auto"/>
        <w:ind w:left="390"/>
        <w:rPr>
          <w:sz w:val="18"/>
          <w:szCs w:val="18"/>
        </w:rPr>
      </w:pPr>
      <w:r>
        <w:rPr>
          <w:spacing w:val="20"/>
          <w:sz w:val="18"/>
          <w:szCs w:val="18"/>
        </w:rPr>
        <w:t>(2)两管：合同管理、信息管理；</w:t>
      </w:r>
    </w:p>
    <w:p w14:paraId="14C1EB9B">
      <w:pPr>
        <w:pStyle w:val="2"/>
        <w:spacing w:before="106" w:line="219" w:lineRule="auto"/>
        <w:ind w:left="390"/>
        <w:rPr>
          <w:sz w:val="18"/>
          <w:szCs w:val="18"/>
        </w:rPr>
      </w:pPr>
      <w:r>
        <w:rPr>
          <w:spacing w:val="20"/>
          <w:sz w:val="18"/>
          <w:szCs w:val="18"/>
        </w:rPr>
        <w:t>(3)一协调：在信息系统工程实施过程中协调有关单位及人员间的工作关系。</w:t>
      </w:r>
    </w:p>
    <w:p w14:paraId="77E8B46A">
      <w:pPr>
        <w:spacing w:line="307" w:lineRule="auto"/>
        <w:rPr>
          <w:rFonts w:ascii="Arial"/>
          <w:sz w:val="21"/>
        </w:rPr>
      </w:pPr>
    </w:p>
    <w:p w14:paraId="008DCC9F">
      <w:pPr>
        <w:pStyle w:val="2"/>
        <w:spacing w:before="96" w:line="221" w:lineRule="auto"/>
        <w:ind w:left="3"/>
        <w:rPr>
          <w:rFonts w:ascii="黑体" w:hAnsi="黑体" w:eastAsia="黑体" w:cs="黑体"/>
          <w:sz w:val="29"/>
          <w:szCs w:val="29"/>
        </w:rPr>
      </w:pPr>
      <w:r>
        <w:rPr>
          <w:b/>
          <w:bCs/>
          <w:color w:val="0061E0"/>
          <w:spacing w:val="-14"/>
          <w:sz w:val="29"/>
          <w:szCs w:val="29"/>
        </w:rPr>
        <w:t>8.2</w:t>
      </w:r>
      <w:r>
        <w:rPr>
          <w:color w:val="0061E0"/>
          <w:spacing w:val="-14"/>
          <w:sz w:val="29"/>
          <w:szCs w:val="29"/>
        </w:rPr>
        <w:t xml:space="preserve">  </w:t>
      </w:r>
      <w:r>
        <w:rPr>
          <w:rFonts w:ascii="黑体" w:hAnsi="黑体" w:eastAsia="黑体" w:cs="黑体"/>
          <w:b/>
          <w:bCs/>
          <w:color w:val="0061E0"/>
          <w:spacing w:val="-14"/>
          <w:sz w:val="29"/>
          <w:szCs w:val="29"/>
        </w:rPr>
        <w:t>信息系统工程监理的相关概念</w:t>
      </w:r>
    </w:p>
    <w:p w14:paraId="62DABE98">
      <w:pPr>
        <w:spacing w:line="290" w:lineRule="auto"/>
        <w:rPr>
          <w:rFonts w:ascii="Arial"/>
          <w:sz w:val="21"/>
        </w:rPr>
      </w:pPr>
    </w:p>
    <w:p w14:paraId="53CC7150">
      <w:pPr>
        <w:pStyle w:val="2"/>
        <w:spacing w:before="59" w:line="221" w:lineRule="auto"/>
        <w:ind w:left="392"/>
        <w:rPr>
          <w:rFonts w:ascii="黑体" w:hAnsi="黑体" w:eastAsia="黑体" w:cs="黑体"/>
          <w:sz w:val="18"/>
          <w:szCs w:val="18"/>
        </w:rPr>
      </w:pPr>
      <w:r>
        <w:rPr>
          <w:b/>
          <w:bCs/>
          <w:color w:val="0066CD"/>
          <w:spacing w:val="14"/>
          <w:sz w:val="18"/>
          <w:szCs w:val="18"/>
        </w:rPr>
        <w:t>1.</w:t>
      </w:r>
      <w:r>
        <w:rPr>
          <w:rFonts w:ascii="黑体" w:hAnsi="黑体" w:eastAsia="黑体" w:cs="黑体"/>
          <w:b/>
          <w:bCs/>
          <w:color w:val="0066CD"/>
          <w:spacing w:val="14"/>
          <w:sz w:val="18"/>
          <w:szCs w:val="18"/>
        </w:rPr>
        <w:t>信息系统工程</w:t>
      </w:r>
    </w:p>
    <w:p w14:paraId="2F0A7B52">
      <w:pPr>
        <w:pStyle w:val="2"/>
        <w:spacing w:before="157" w:line="316" w:lineRule="auto"/>
        <w:ind w:right="268" w:firstLine="390"/>
        <w:rPr>
          <w:sz w:val="18"/>
          <w:szCs w:val="18"/>
        </w:rPr>
      </w:pPr>
      <w:r>
        <w:rPr>
          <w:spacing w:val="23"/>
          <w:sz w:val="18"/>
          <w:szCs w:val="18"/>
        </w:rPr>
        <w:t>从工程建设的角度来看，信息系统工程是指信息化工程建设中的信息网络系统、信息资源</w:t>
      </w:r>
      <w:r>
        <w:rPr>
          <w:spacing w:val="9"/>
          <w:sz w:val="18"/>
          <w:szCs w:val="18"/>
        </w:rPr>
        <w:t xml:space="preserve"> </w:t>
      </w:r>
      <w:r>
        <w:rPr>
          <w:spacing w:val="16"/>
          <w:sz w:val="18"/>
          <w:szCs w:val="18"/>
        </w:rPr>
        <w:t>系统、信息应用系统的新建、升级、改造工程。</w:t>
      </w:r>
    </w:p>
    <w:p w14:paraId="45F8DD55">
      <w:pPr>
        <w:spacing w:line="316" w:lineRule="auto"/>
        <w:rPr>
          <w:sz w:val="18"/>
          <w:szCs w:val="18"/>
        </w:rPr>
        <w:sectPr>
          <w:pgSz w:w="10280" w:h="13360"/>
          <w:pgMar w:top="400" w:right="613" w:bottom="400" w:left="1080" w:header="0" w:footer="0" w:gutter="0"/>
          <w:cols w:space="720" w:num="1"/>
        </w:sectPr>
      </w:pPr>
    </w:p>
    <w:p w14:paraId="7350990A">
      <w:pPr>
        <w:pStyle w:val="2"/>
        <w:spacing w:before="98" w:line="220" w:lineRule="auto"/>
        <w:rPr>
          <w:sz w:val="20"/>
          <w:szCs w:val="20"/>
        </w:rPr>
      </w:pPr>
      <w:r>
        <w:rPr>
          <w:rFonts w:ascii="Times New Roman" w:hAnsi="Times New Roman" w:eastAsia="Times New Roman" w:cs="Times New Roman"/>
          <w:position w:val="-4"/>
          <w:sz w:val="24"/>
          <w:szCs w:val="24"/>
        </w:rPr>
        <w:t xml:space="preserve">216          </w:t>
      </w:r>
      <w:r>
        <w:rPr>
          <w:sz w:val="20"/>
          <w:szCs w:val="20"/>
        </w:rPr>
        <w:t>信息系统监理师教程(第2版)</w:t>
      </w:r>
    </w:p>
    <w:p w14:paraId="13686B26">
      <w:pPr>
        <w:spacing w:line="327" w:lineRule="auto"/>
        <w:rPr>
          <w:rFonts w:ascii="Arial"/>
          <w:sz w:val="21"/>
        </w:rPr>
      </w:pPr>
    </w:p>
    <w:p w14:paraId="2B46C17E">
      <w:pPr>
        <w:pStyle w:val="2"/>
        <w:spacing w:before="65" w:line="221" w:lineRule="auto"/>
        <w:ind w:left="752"/>
        <w:rPr>
          <w:rFonts w:ascii="黑体" w:hAnsi="黑体" w:eastAsia="黑体" w:cs="黑体"/>
          <w:sz w:val="20"/>
          <w:szCs w:val="20"/>
        </w:rPr>
      </w:pPr>
      <w:bookmarkStart w:id="595" w:name="bookmark580"/>
      <w:bookmarkEnd w:id="595"/>
      <w:r>
        <w:rPr>
          <w:b/>
          <w:bCs/>
          <w:color w:val="007CCF"/>
          <w:spacing w:val="-4"/>
          <w:sz w:val="20"/>
          <w:szCs w:val="20"/>
        </w:rPr>
        <w:t>2.</w:t>
      </w:r>
      <w:r>
        <w:rPr>
          <w:rFonts w:ascii="黑体" w:hAnsi="黑体" w:eastAsia="黑体" w:cs="黑体"/>
          <w:b/>
          <w:bCs/>
          <w:color w:val="007CCF"/>
          <w:spacing w:val="-4"/>
          <w:sz w:val="20"/>
          <w:szCs w:val="20"/>
        </w:rPr>
        <w:t>信息系统工程监理</w:t>
      </w:r>
    </w:p>
    <w:p w14:paraId="6C6C37EB">
      <w:pPr>
        <w:pStyle w:val="2"/>
        <w:spacing w:before="124" w:line="296" w:lineRule="auto"/>
        <w:ind w:left="340" w:right="51" w:firstLine="410"/>
        <w:jc w:val="both"/>
        <w:rPr>
          <w:sz w:val="20"/>
          <w:szCs w:val="20"/>
        </w:rPr>
      </w:pPr>
      <w:r>
        <w:rPr>
          <w:spacing w:val="4"/>
          <w:sz w:val="20"/>
          <w:szCs w:val="20"/>
        </w:rPr>
        <w:t>信息系统工程监理是指在政府工商管理部门注册的，且具有信息系统</w:t>
      </w:r>
      <w:r>
        <w:rPr>
          <w:spacing w:val="3"/>
          <w:sz w:val="20"/>
          <w:szCs w:val="20"/>
        </w:rPr>
        <w:t>工程监理能力及资格</w:t>
      </w:r>
      <w:r>
        <w:rPr>
          <w:sz w:val="20"/>
          <w:szCs w:val="20"/>
        </w:rPr>
        <w:t xml:space="preserve"> </w:t>
      </w:r>
      <w:r>
        <w:rPr>
          <w:spacing w:val="4"/>
          <w:sz w:val="20"/>
          <w:szCs w:val="20"/>
        </w:rPr>
        <w:t>的单位，受业主单位委托，依据国家有关法</w:t>
      </w:r>
      <w:r>
        <w:rPr>
          <w:spacing w:val="3"/>
          <w:sz w:val="20"/>
          <w:szCs w:val="20"/>
        </w:rPr>
        <w:t>律法规、技术标准和信息系统工程监理合同，对信</w:t>
      </w:r>
      <w:r>
        <w:rPr>
          <w:sz w:val="20"/>
          <w:szCs w:val="20"/>
        </w:rPr>
        <w:t xml:space="preserve"> </w:t>
      </w:r>
      <w:r>
        <w:rPr>
          <w:spacing w:val="-3"/>
          <w:sz w:val="20"/>
          <w:szCs w:val="20"/>
        </w:rPr>
        <w:t>息系统工程建设项目实施的监督管理。</w:t>
      </w:r>
    </w:p>
    <w:p w14:paraId="742C03E7">
      <w:pPr>
        <w:pStyle w:val="2"/>
        <w:spacing w:before="103" w:line="221" w:lineRule="auto"/>
        <w:ind w:left="752"/>
        <w:rPr>
          <w:rFonts w:ascii="黑体" w:hAnsi="黑体" w:eastAsia="黑体" w:cs="黑体"/>
          <w:sz w:val="20"/>
          <w:szCs w:val="20"/>
        </w:rPr>
      </w:pPr>
      <w:r>
        <w:rPr>
          <w:b/>
          <w:bCs/>
          <w:color w:val="1A9CE8"/>
          <w:spacing w:val="-1"/>
          <w:sz w:val="20"/>
          <w:szCs w:val="20"/>
        </w:rPr>
        <w:t>3.</w:t>
      </w:r>
      <w:r>
        <w:rPr>
          <w:rFonts w:ascii="黑体" w:hAnsi="黑体" w:eastAsia="黑体" w:cs="黑体"/>
          <w:b/>
          <w:bCs/>
          <w:color w:val="1A9CE8"/>
          <w:spacing w:val="-1"/>
          <w:sz w:val="20"/>
          <w:szCs w:val="20"/>
        </w:rPr>
        <w:t>信息系统工程监理单位</w:t>
      </w:r>
    </w:p>
    <w:p w14:paraId="42C4064B">
      <w:pPr>
        <w:pStyle w:val="2"/>
        <w:spacing w:before="146" w:line="295" w:lineRule="auto"/>
        <w:ind w:left="340" w:right="70" w:firstLine="410"/>
        <w:jc w:val="both"/>
        <w:rPr>
          <w:sz w:val="20"/>
          <w:szCs w:val="20"/>
        </w:rPr>
      </w:pPr>
      <w:r>
        <w:rPr>
          <w:spacing w:val="3"/>
          <w:sz w:val="20"/>
          <w:szCs w:val="20"/>
        </w:rPr>
        <w:t>信息系统工程监理单位是指从事信息系统工程监理业务，具有独立企业法人资格，并具备</w:t>
      </w:r>
      <w:r>
        <w:rPr>
          <w:spacing w:val="10"/>
          <w:sz w:val="20"/>
          <w:szCs w:val="20"/>
        </w:rPr>
        <w:t xml:space="preserve"> </w:t>
      </w:r>
      <w:r>
        <w:rPr>
          <w:spacing w:val="3"/>
          <w:sz w:val="20"/>
          <w:szCs w:val="20"/>
        </w:rPr>
        <w:t>规定数量的监理工程师和注册资金、必要的软硬件设备、完善的管理制度和质量保证体系、固</w:t>
      </w:r>
      <w:r>
        <w:rPr>
          <w:spacing w:val="6"/>
          <w:sz w:val="20"/>
          <w:szCs w:val="20"/>
        </w:rPr>
        <w:t xml:space="preserve"> </w:t>
      </w:r>
      <w:r>
        <w:rPr>
          <w:spacing w:val="-1"/>
          <w:sz w:val="20"/>
          <w:szCs w:val="20"/>
        </w:rPr>
        <w:t>定的工作场所和相关的监理工作业绩，从事信息系统工</w:t>
      </w:r>
      <w:r>
        <w:rPr>
          <w:spacing w:val="-2"/>
          <w:sz w:val="20"/>
          <w:szCs w:val="20"/>
        </w:rPr>
        <w:t>程监理业务的单位。</w:t>
      </w:r>
    </w:p>
    <w:p w14:paraId="1F6BC480">
      <w:pPr>
        <w:pStyle w:val="2"/>
        <w:spacing w:before="3" w:line="285" w:lineRule="auto"/>
        <w:ind w:left="340" w:right="70" w:firstLine="410"/>
        <w:jc w:val="both"/>
        <w:rPr>
          <w:sz w:val="20"/>
          <w:szCs w:val="20"/>
        </w:rPr>
      </w:pPr>
      <w:r>
        <w:rPr>
          <w:spacing w:val="3"/>
          <w:sz w:val="20"/>
          <w:szCs w:val="20"/>
        </w:rPr>
        <w:t>为区别信息系统工程监理单位在实力、能力、条件、业绩等方面的差异，以适应信息系统</w:t>
      </w:r>
      <w:r>
        <w:rPr>
          <w:spacing w:val="11"/>
          <w:sz w:val="20"/>
          <w:szCs w:val="20"/>
        </w:rPr>
        <w:t xml:space="preserve"> </w:t>
      </w:r>
      <w:r>
        <w:rPr>
          <w:spacing w:val="3"/>
          <w:sz w:val="20"/>
          <w:szCs w:val="20"/>
        </w:rPr>
        <w:t>工程由于级别、规模、复杂度、难度、应用范围等方面的不同而产生的不同需求，有</w:t>
      </w:r>
      <w:r>
        <w:rPr>
          <w:spacing w:val="2"/>
          <w:sz w:val="20"/>
          <w:szCs w:val="20"/>
        </w:rPr>
        <w:t>些行业协</w:t>
      </w:r>
      <w:r>
        <w:rPr>
          <w:sz w:val="20"/>
          <w:szCs w:val="20"/>
        </w:rPr>
        <w:t xml:space="preserve"> </w:t>
      </w:r>
      <w:r>
        <w:rPr>
          <w:spacing w:val="-2"/>
          <w:sz w:val="20"/>
          <w:szCs w:val="20"/>
        </w:rPr>
        <w:t>会还对信息系统工程监理单位进行分级。</w:t>
      </w:r>
    </w:p>
    <w:p w14:paraId="4C6D6F10">
      <w:pPr>
        <w:pStyle w:val="2"/>
        <w:spacing w:before="148" w:line="222" w:lineRule="auto"/>
        <w:ind w:left="752"/>
        <w:rPr>
          <w:rFonts w:ascii="黑体" w:hAnsi="黑体" w:eastAsia="黑体" w:cs="黑体"/>
          <w:sz w:val="20"/>
          <w:szCs w:val="20"/>
        </w:rPr>
      </w:pPr>
      <w:r>
        <w:rPr>
          <w:b/>
          <w:bCs/>
          <w:color w:val="0076D1"/>
          <w:spacing w:val="-2"/>
          <w:sz w:val="20"/>
          <w:szCs w:val="20"/>
        </w:rPr>
        <w:t>4.</w:t>
      </w:r>
      <w:r>
        <w:rPr>
          <w:rFonts w:ascii="黑体" w:hAnsi="黑体" w:eastAsia="黑体" w:cs="黑体"/>
          <w:b/>
          <w:bCs/>
          <w:color w:val="0076D1"/>
          <w:spacing w:val="-2"/>
          <w:sz w:val="20"/>
          <w:szCs w:val="20"/>
        </w:rPr>
        <w:t>业主单位</w:t>
      </w:r>
    </w:p>
    <w:p w14:paraId="43B70249">
      <w:pPr>
        <w:pStyle w:val="2"/>
        <w:spacing w:before="113" w:line="298" w:lineRule="auto"/>
        <w:ind w:left="340" w:right="88" w:firstLine="410"/>
        <w:rPr>
          <w:sz w:val="20"/>
          <w:szCs w:val="20"/>
        </w:rPr>
      </w:pPr>
      <w:r>
        <w:rPr>
          <w:spacing w:val="13"/>
          <w:sz w:val="20"/>
          <w:szCs w:val="20"/>
        </w:rPr>
        <w:t>业主单位(也称建设单位)是指具有信息系统工程(含运行维护)发包主体资格和支付工</w:t>
      </w:r>
      <w:r>
        <w:rPr>
          <w:spacing w:val="3"/>
          <w:sz w:val="20"/>
          <w:szCs w:val="20"/>
        </w:rPr>
        <w:t xml:space="preserve"> </w:t>
      </w:r>
      <w:r>
        <w:rPr>
          <w:spacing w:val="-3"/>
          <w:sz w:val="20"/>
          <w:szCs w:val="20"/>
        </w:rPr>
        <w:t>程及相关服务价款能力的单位。</w:t>
      </w:r>
    </w:p>
    <w:p w14:paraId="7B9707FC">
      <w:pPr>
        <w:pStyle w:val="2"/>
        <w:spacing w:before="101" w:line="222" w:lineRule="auto"/>
        <w:ind w:left="752"/>
        <w:rPr>
          <w:rFonts w:ascii="黑体" w:hAnsi="黑体" w:eastAsia="黑体" w:cs="黑体"/>
          <w:sz w:val="20"/>
          <w:szCs w:val="20"/>
        </w:rPr>
      </w:pPr>
      <w:r>
        <w:rPr>
          <w:b/>
          <w:bCs/>
          <w:color w:val="006EB8"/>
          <w:sz w:val="20"/>
          <w:szCs w:val="20"/>
        </w:rPr>
        <w:t>5.</w:t>
      </w:r>
      <w:r>
        <w:rPr>
          <w:rFonts w:ascii="黑体" w:hAnsi="黑体" w:eastAsia="黑体" w:cs="黑体"/>
          <w:b/>
          <w:bCs/>
          <w:color w:val="006EB8"/>
          <w:sz w:val="20"/>
          <w:szCs w:val="20"/>
        </w:rPr>
        <w:t>承建单位</w:t>
      </w:r>
    </w:p>
    <w:p w14:paraId="4F14A426">
      <w:pPr>
        <w:pStyle w:val="2"/>
        <w:spacing w:before="133" w:line="219" w:lineRule="auto"/>
        <w:ind w:left="750"/>
        <w:rPr>
          <w:sz w:val="20"/>
          <w:szCs w:val="20"/>
        </w:rPr>
      </w:pPr>
      <w:r>
        <w:rPr>
          <w:spacing w:val="-1"/>
          <w:sz w:val="20"/>
          <w:szCs w:val="20"/>
        </w:rPr>
        <w:t>承建单位是指具有独立企业法人资格，具有承接信息系统工程建设能力的单</w:t>
      </w:r>
      <w:r>
        <w:rPr>
          <w:spacing w:val="-2"/>
          <w:sz w:val="20"/>
          <w:szCs w:val="20"/>
        </w:rPr>
        <w:t>位。</w:t>
      </w:r>
    </w:p>
    <w:p w14:paraId="7B60F4BF">
      <w:pPr>
        <w:pStyle w:val="2"/>
        <w:spacing w:before="185" w:line="224" w:lineRule="auto"/>
        <w:ind w:left="750"/>
        <w:rPr>
          <w:rFonts w:ascii="黑体" w:hAnsi="黑体" w:eastAsia="黑体" w:cs="黑体"/>
          <w:sz w:val="20"/>
          <w:szCs w:val="20"/>
        </w:rPr>
      </w:pPr>
      <w:r>
        <w:rPr>
          <w:color w:val="007CD0"/>
          <w:spacing w:val="3"/>
          <w:sz w:val="20"/>
          <w:szCs w:val="20"/>
        </w:rPr>
        <w:t>6.</w:t>
      </w:r>
      <w:r>
        <w:rPr>
          <w:rFonts w:ascii="黑体" w:hAnsi="黑体" w:eastAsia="黑体" w:cs="黑体"/>
          <w:color w:val="007CD0"/>
          <w:spacing w:val="3"/>
          <w:sz w:val="20"/>
          <w:szCs w:val="20"/>
        </w:rPr>
        <w:t>监理机构</w:t>
      </w:r>
    </w:p>
    <w:p w14:paraId="5D75FA42">
      <w:pPr>
        <w:pStyle w:val="2"/>
        <w:spacing w:before="114" w:line="291" w:lineRule="auto"/>
        <w:ind w:left="340" w:right="92" w:firstLine="410"/>
        <w:rPr>
          <w:sz w:val="20"/>
          <w:szCs w:val="20"/>
        </w:rPr>
      </w:pPr>
      <w:r>
        <w:rPr>
          <w:spacing w:val="3"/>
          <w:sz w:val="20"/>
          <w:szCs w:val="20"/>
        </w:rPr>
        <w:t>监理机构是指当监理单位对信息系统工程建设项目实施监理及</w:t>
      </w:r>
      <w:r>
        <w:rPr>
          <w:spacing w:val="2"/>
          <w:sz w:val="20"/>
          <w:szCs w:val="20"/>
        </w:rPr>
        <w:t>相关服务时，负责履行监理</w:t>
      </w:r>
      <w:r>
        <w:rPr>
          <w:sz w:val="20"/>
          <w:szCs w:val="20"/>
        </w:rPr>
        <w:t xml:space="preserve"> </w:t>
      </w:r>
      <w:r>
        <w:rPr>
          <w:spacing w:val="-5"/>
          <w:sz w:val="20"/>
          <w:szCs w:val="20"/>
        </w:rPr>
        <w:t>合同的组织机构。</w:t>
      </w:r>
    </w:p>
    <w:p w14:paraId="16B19BD8">
      <w:pPr>
        <w:pStyle w:val="2"/>
        <w:spacing w:before="115" w:line="221" w:lineRule="auto"/>
        <w:ind w:left="752"/>
        <w:rPr>
          <w:rFonts w:ascii="黑体" w:hAnsi="黑体" w:eastAsia="黑体" w:cs="黑体"/>
          <w:sz w:val="20"/>
          <w:szCs w:val="20"/>
        </w:rPr>
      </w:pPr>
      <w:r>
        <w:rPr>
          <w:b/>
          <w:bCs/>
          <w:color w:val="1A9AEF"/>
          <w:spacing w:val="-2"/>
          <w:sz w:val="20"/>
          <w:szCs w:val="20"/>
        </w:rPr>
        <w:t>7.</w:t>
      </w:r>
      <w:r>
        <w:rPr>
          <w:rFonts w:ascii="黑体" w:hAnsi="黑体" w:eastAsia="黑体" w:cs="黑体"/>
          <w:b/>
          <w:bCs/>
          <w:color w:val="1A9AEF"/>
          <w:spacing w:val="-2"/>
          <w:sz w:val="20"/>
          <w:szCs w:val="20"/>
        </w:rPr>
        <w:t>监理人员</w:t>
      </w:r>
    </w:p>
    <w:p w14:paraId="76766F0C">
      <w:pPr>
        <w:pStyle w:val="2"/>
        <w:spacing w:before="126" w:line="219" w:lineRule="auto"/>
        <w:ind w:left="750"/>
        <w:rPr>
          <w:sz w:val="20"/>
          <w:szCs w:val="20"/>
        </w:rPr>
      </w:pPr>
      <w:r>
        <w:rPr>
          <w:spacing w:val="-2"/>
          <w:sz w:val="20"/>
          <w:szCs w:val="20"/>
        </w:rPr>
        <w:t>从事信息系统工程监理业务的人员称为信息系统工程监理人员，包括：</w:t>
      </w:r>
    </w:p>
    <w:p w14:paraId="6F4124A8">
      <w:pPr>
        <w:pStyle w:val="2"/>
        <w:spacing w:before="62" w:line="257" w:lineRule="auto"/>
        <w:ind w:left="340" w:right="92" w:firstLine="410"/>
        <w:rPr>
          <w:sz w:val="20"/>
          <w:szCs w:val="20"/>
        </w:rPr>
      </w:pPr>
      <w:r>
        <w:rPr>
          <w:spacing w:val="5"/>
          <w:sz w:val="20"/>
          <w:szCs w:val="20"/>
        </w:rPr>
        <w:t>(1)监理工程师：监理单位正式聘任的、取得国家相关主管部门颁发的信息系统工程监理</w:t>
      </w:r>
      <w:r>
        <w:rPr>
          <w:spacing w:val="6"/>
          <w:sz w:val="20"/>
          <w:szCs w:val="20"/>
        </w:rPr>
        <w:t xml:space="preserve"> </w:t>
      </w:r>
      <w:r>
        <w:rPr>
          <w:spacing w:val="-3"/>
          <w:sz w:val="20"/>
          <w:szCs w:val="20"/>
        </w:rPr>
        <w:t>工程师资格证书的专业技术人员。</w:t>
      </w:r>
    </w:p>
    <w:p w14:paraId="0A2465A6">
      <w:pPr>
        <w:pStyle w:val="2"/>
        <w:spacing w:before="73" w:line="257" w:lineRule="auto"/>
        <w:ind w:left="340" w:right="90" w:firstLine="410"/>
        <w:rPr>
          <w:sz w:val="20"/>
          <w:szCs w:val="20"/>
        </w:rPr>
      </w:pPr>
      <w:r>
        <w:rPr>
          <w:spacing w:val="5"/>
          <w:sz w:val="20"/>
          <w:szCs w:val="20"/>
        </w:rPr>
        <w:t>(2)总监理工程师：由监理单位法定代表人书面授权，全面负责监理及相关服务合同的履</w:t>
      </w:r>
      <w:r>
        <w:rPr>
          <w:spacing w:val="7"/>
          <w:sz w:val="20"/>
          <w:szCs w:val="20"/>
        </w:rPr>
        <w:t xml:space="preserve"> </w:t>
      </w:r>
      <w:r>
        <w:rPr>
          <w:spacing w:val="-3"/>
          <w:sz w:val="20"/>
          <w:szCs w:val="20"/>
        </w:rPr>
        <w:t>行、主持监理机构工作的监理工程师。</w:t>
      </w:r>
    </w:p>
    <w:p w14:paraId="4C25BAD9">
      <w:pPr>
        <w:pStyle w:val="2"/>
        <w:spacing w:before="83" w:line="253" w:lineRule="auto"/>
        <w:ind w:left="340" w:right="83" w:firstLine="410"/>
        <w:rPr>
          <w:sz w:val="20"/>
          <w:szCs w:val="20"/>
        </w:rPr>
      </w:pPr>
      <w:r>
        <w:rPr>
          <w:spacing w:val="5"/>
          <w:sz w:val="20"/>
          <w:szCs w:val="20"/>
        </w:rPr>
        <w:t>(3)总监理工程师代表：由总监理工程师书面授权，代表总监理工程师行使其部分职责和</w:t>
      </w:r>
      <w:r>
        <w:rPr>
          <w:spacing w:val="15"/>
          <w:sz w:val="20"/>
          <w:szCs w:val="20"/>
        </w:rPr>
        <w:t xml:space="preserve"> </w:t>
      </w:r>
      <w:r>
        <w:rPr>
          <w:spacing w:val="-4"/>
          <w:sz w:val="20"/>
          <w:szCs w:val="20"/>
        </w:rPr>
        <w:t>权力的监理工程师。</w:t>
      </w:r>
    </w:p>
    <w:p w14:paraId="5890AB1D">
      <w:pPr>
        <w:pStyle w:val="2"/>
        <w:spacing w:before="83" w:line="248" w:lineRule="auto"/>
        <w:ind w:left="340" w:right="72" w:firstLine="410"/>
        <w:rPr>
          <w:sz w:val="20"/>
          <w:szCs w:val="20"/>
        </w:rPr>
      </w:pPr>
      <w:r>
        <w:rPr>
          <w:spacing w:val="6"/>
          <w:sz w:val="20"/>
          <w:szCs w:val="20"/>
        </w:rPr>
        <w:t>(4)监理员：经过监理及相关服务业务培训，具有同类</w:t>
      </w:r>
      <w:r>
        <w:rPr>
          <w:spacing w:val="5"/>
          <w:sz w:val="20"/>
          <w:szCs w:val="20"/>
        </w:rPr>
        <w:t>工程相关专业知识，从事具体监理</w:t>
      </w:r>
      <w:r>
        <w:rPr>
          <w:sz w:val="20"/>
          <w:szCs w:val="20"/>
        </w:rPr>
        <w:t xml:space="preserve"> </w:t>
      </w:r>
      <w:r>
        <w:rPr>
          <w:spacing w:val="-3"/>
          <w:sz w:val="20"/>
          <w:szCs w:val="20"/>
        </w:rPr>
        <w:t>及相关服务工作的人员。</w:t>
      </w:r>
    </w:p>
    <w:p w14:paraId="0634663A">
      <w:pPr>
        <w:pStyle w:val="2"/>
        <w:spacing w:before="158" w:line="222" w:lineRule="auto"/>
        <w:ind w:left="752"/>
        <w:rPr>
          <w:rFonts w:ascii="黑体" w:hAnsi="黑体" w:eastAsia="黑体" w:cs="黑体"/>
          <w:sz w:val="20"/>
          <w:szCs w:val="20"/>
        </w:rPr>
      </w:pPr>
      <w:r>
        <w:rPr>
          <w:b/>
          <w:bCs/>
          <w:color w:val="006FB9"/>
          <w:spacing w:val="-2"/>
          <w:sz w:val="20"/>
          <w:szCs w:val="20"/>
        </w:rPr>
        <w:t>8.</w:t>
      </w:r>
      <w:r>
        <w:rPr>
          <w:rFonts w:ascii="黑体" w:hAnsi="黑体" w:eastAsia="黑体" w:cs="黑体"/>
          <w:b/>
          <w:bCs/>
          <w:color w:val="006FB9"/>
          <w:spacing w:val="-2"/>
          <w:sz w:val="20"/>
          <w:szCs w:val="20"/>
        </w:rPr>
        <w:t>监理资料和工具</w:t>
      </w:r>
    </w:p>
    <w:p w14:paraId="2DBD5B9F">
      <w:pPr>
        <w:pStyle w:val="2"/>
        <w:spacing w:before="144" w:line="268" w:lineRule="auto"/>
        <w:ind w:left="340" w:firstLine="410"/>
        <w:jc w:val="both"/>
        <w:rPr>
          <w:sz w:val="20"/>
          <w:szCs w:val="20"/>
        </w:rPr>
      </w:pPr>
      <w:r>
        <w:rPr>
          <w:spacing w:val="5"/>
          <w:sz w:val="20"/>
          <w:szCs w:val="20"/>
        </w:rPr>
        <w:t>监理资料是指监理过程中需要的文件资料，包括监理服务过程中形成的文件和原始记录，</w:t>
      </w:r>
      <w:r>
        <w:rPr>
          <w:spacing w:val="3"/>
          <w:sz w:val="20"/>
          <w:szCs w:val="20"/>
        </w:rPr>
        <w:t xml:space="preserve"> </w:t>
      </w:r>
      <w:r>
        <w:rPr>
          <w:spacing w:val="4"/>
          <w:sz w:val="20"/>
          <w:szCs w:val="20"/>
        </w:rPr>
        <w:t>应真实完整、分类有序。监理记录应规范、真实、严谨、及时</w:t>
      </w:r>
      <w:r>
        <w:rPr>
          <w:spacing w:val="3"/>
          <w:sz w:val="20"/>
          <w:szCs w:val="20"/>
        </w:rPr>
        <w:t>，不应随意涂改，保持清晰，易</w:t>
      </w:r>
      <w:r>
        <w:rPr>
          <w:sz w:val="20"/>
          <w:szCs w:val="20"/>
        </w:rPr>
        <w:t xml:space="preserve"> </w:t>
      </w:r>
      <w:r>
        <w:rPr>
          <w:spacing w:val="-5"/>
          <w:sz w:val="20"/>
          <w:szCs w:val="20"/>
        </w:rPr>
        <w:t>于识别和检索。</w:t>
      </w:r>
    </w:p>
    <w:p w14:paraId="1F97578C">
      <w:pPr>
        <w:spacing w:line="268" w:lineRule="auto"/>
        <w:rPr>
          <w:sz w:val="20"/>
          <w:szCs w:val="20"/>
        </w:rPr>
        <w:sectPr>
          <w:pgSz w:w="10300" w:h="13510"/>
          <w:pgMar w:top="400" w:right="980" w:bottom="400" w:left="570" w:header="0" w:footer="0" w:gutter="0"/>
          <w:cols w:space="720" w:num="1"/>
        </w:sectPr>
      </w:pPr>
    </w:p>
    <w:p w14:paraId="56BB346A">
      <w:pPr>
        <w:pStyle w:val="2"/>
        <w:spacing w:before="77" w:line="220" w:lineRule="auto"/>
        <w:jc w:val="right"/>
        <w:rPr>
          <w:rFonts w:ascii="Times New Roman" w:hAnsi="Times New Roman" w:eastAsia="Times New Roman" w:cs="Times New Roman"/>
          <w:sz w:val="20"/>
          <w:szCs w:val="20"/>
        </w:rPr>
      </w:pPr>
      <w:bookmarkStart w:id="596" w:name="bookmark581"/>
      <w:bookmarkEnd w:id="596"/>
      <w:r>
        <w:rPr>
          <w:spacing w:val="-7"/>
          <w:sz w:val="20"/>
          <w:szCs w:val="20"/>
        </w:rPr>
        <w:t xml:space="preserve">第8章 信息系统工程监理基础知识     </w:t>
      </w:r>
      <w:r>
        <w:rPr>
          <w:spacing w:val="-8"/>
          <w:sz w:val="20"/>
          <w:szCs w:val="20"/>
        </w:rPr>
        <w:t xml:space="preserve"> </w:t>
      </w:r>
      <w:r>
        <w:rPr>
          <w:rFonts w:ascii="Times New Roman" w:hAnsi="Times New Roman" w:eastAsia="Times New Roman" w:cs="Times New Roman"/>
          <w:color w:val="007CEA"/>
          <w:spacing w:val="-8"/>
          <w:position w:val="-3"/>
          <w:sz w:val="20"/>
          <w:szCs w:val="20"/>
        </w:rPr>
        <w:t xml:space="preserve">2  </w:t>
      </w:r>
      <w:r>
        <w:rPr>
          <w:rFonts w:ascii="Times New Roman" w:hAnsi="Times New Roman" w:eastAsia="Times New Roman" w:cs="Times New Roman"/>
          <w:spacing w:val="-8"/>
          <w:position w:val="-3"/>
          <w:sz w:val="20"/>
          <w:szCs w:val="20"/>
        </w:rPr>
        <w:t>17</w:t>
      </w:r>
    </w:p>
    <w:p w14:paraId="78624838">
      <w:pPr>
        <w:spacing w:line="281" w:lineRule="auto"/>
        <w:rPr>
          <w:rFonts w:ascii="Arial"/>
          <w:sz w:val="21"/>
        </w:rPr>
      </w:pPr>
    </w:p>
    <w:p w14:paraId="601C20CB">
      <w:pPr>
        <w:pStyle w:val="2"/>
        <w:spacing w:before="65" w:line="220" w:lineRule="auto"/>
        <w:ind w:left="400"/>
        <w:rPr>
          <w:sz w:val="20"/>
          <w:szCs w:val="20"/>
        </w:rPr>
      </w:pPr>
      <w:r>
        <w:rPr>
          <w:spacing w:val="-5"/>
          <w:sz w:val="20"/>
          <w:szCs w:val="20"/>
        </w:rPr>
        <w:t>监理资料和工具包括：</w:t>
      </w:r>
    </w:p>
    <w:p w14:paraId="26AE0BD2">
      <w:pPr>
        <w:pStyle w:val="2"/>
        <w:spacing w:before="69" w:line="267" w:lineRule="auto"/>
        <w:ind w:right="294" w:firstLine="400"/>
        <w:rPr>
          <w:sz w:val="20"/>
          <w:szCs w:val="20"/>
        </w:rPr>
      </w:pPr>
      <w:r>
        <w:rPr>
          <w:spacing w:val="10"/>
          <w:sz w:val="20"/>
          <w:szCs w:val="20"/>
        </w:rPr>
        <w:t>(1)监理大纲：在投标阶段，由监理单位编制，经监理单位法定代表人(或授权代表)书</w:t>
      </w:r>
      <w:r>
        <w:rPr>
          <w:spacing w:val="12"/>
          <w:sz w:val="20"/>
          <w:szCs w:val="20"/>
        </w:rPr>
        <w:t xml:space="preserve"> </w:t>
      </w:r>
      <w:r>
        <w:rPr>
          <w:spacing w:val="-1"/>
          <w:sz w:val="20"/>
          <w:szCs w:val="20"/>
        </w:rPr>
        <w:t>面批准，用于取得项目委托监理及相关服务合同、宏观指导监理及相关服务过程的方案性文件。</w:t>
      </w:r>
    </w:p>
    <w:p w14:paraId="5EBC249B">
      <w:pPr>
        <w:pStyle w:val="2"/>
        <w:spacing w:before="81" w:line="248" w:lineRule="auto"/>
        <w:ind w:right="343" w:firstLine="400"/>
        <w:rPr>
          <w:sz w:val="20"/>
          <w:szCs w:val="20"/>
        </w:rPr>
      </w:pPr>
      <w:r>
        <w:rPr>
          <w:spacing w:val="5"/>
          <w:sz w:val="20"/>
          <w:szCs w:val="20"/>
        </w:rPr>
        <w:t>(2)监理规划：在总监理工程师主持下编制，经监理单位技术负责人书面批准，用来指导</w:t>
      </w:r>
      <w:r>
        <w:rPr>
          <w:spacing w:val="11"/>
          <w:sz w:val="20"/>
          <w:szCs w:val="20"/>
        </w:rPr>
        <w:t xml:space="preserve"> </w:t>
      </w:r>
      <w:r>
        <w:rPr>
          <w:spacing w:val="-3"/>
          <w:sz w:val="20"/>
          <w:szCs w:val="20"/>
        </w:rPr>
        <w:t>监理机构全面开展监理及相关服务工作的纲领性文件。</w:t>
      </w:r>
    </w:p>
    <w:p w14:paraId="0AB76001">
      <w:pPr>
        <w:pStyle w:val="2"/>
        <w:spacing w:before="92" w:line="258" w:lineRule="auto"/>
        <w:ind w:right="347" w:firstLine="400"/>
        <w:rPr>
          <w:sz w:val="20"/>
          <w:szCs w:val="20"/>
        </w:rPr>
      </w:pPr>
      <w:r>
        <w:rPr>
          <w:spacing w:val="5"/>
          <w:sz w:val="20"/>
          <w:szCs w:val="20"/>
        </w:rPr>
        <w:t>(3)监理实施细则：根据监理规划，由监理工程师编制，经总监理工程师书面批准，针对</w:t>
      </w:r>
      <w:r>
        <w:rPr>
          <w:spacing w:val="7"/>
          <w:sz w:val="20"/>
          <w:szCs w:val="20"/>
        </w:rPr>
        <w:t xml:space="preserve"> </w:t>
      </w:r>
      <w:r>
        <w:rPr>
          <w:spacing w:val="-2"/>
          <w:sz w:val="20"/>
          <w:szCs w:val="20"/>
        </w:rPr>
        <w:t>工程建设或运维管理中某一方面或某一专业监理及相关服务工作的操作性文件。</w:t>
      </w:r>
    </w:p>
    <w:p w14:paraId="2600D72A">
      <w:pPr>
        <w:pStyle w:val="2"/>
        <w:spacing w:before="71" w:line="284" w:lineRule="auto"/>
        <w:ind w:right="339" w:firstLine="400"/>
        <w:rPr>
          <w:sz w:val="16"/>
          <w:szCs w:val="16"/>
        </w:rPr>
      </w:pPr>
      <w:r>
        <w:rPr>
          <w:spacing w:val="5"/>
          <w:sz w:val="20"/>
          <w:szCs w:val="20"/>
        </w:rPr>
        <w:t>(4)监理意见：在监理过程中，监理机构以书面形式向业主单位或承建单位提出的见解和</w:t>
      </w:r>
      <w:r>
        <w:rPr>
          <w:spacing w:val="15"/>
          <w:sz w:val="20"/>
          <w:szCs w:val="20"/>
        </w:rPr>
        <w:t xml:space="preserve"> </w:t>
      </w:r>
      <w:r>
        <w:rPr>
          <w:spacing w:val="-6"/>
          <w:sz w:val="16"/>
          <w:szCs w:val="16"/>
        </w:rPr>
        <w:t>主</w:t>
      </w:r>
      <w:r>
        <w:rPr>
          <w:spacing w:val="-15"/>
          <w:sz w:val="16"/>
          <w:szCs w:val="16"/>
        </w:rPr>
        <w:t xml:space="preserve"> </w:t>
      </w:r>
      <w:r>
        <w:rPr>
          <w:spacing w:val="-6"/>
          <w:sz w:val="16"/>
          <w:szCs w:val="16"/>
        </w:rPr>
        <w:t>张</w:t>
      </w:r>
      <w:r>
        <w:rPr>
          <w:spacing w:val="-25"/>
          <w:sz w:val="16"/>
          <w:szCs w:val="16"/>
        </w:rPr>
        <w:t xml:space="preserve"> </w:t>
      </w:r>
      <w:r>
        <w:rPr>
          <w:spacing w:val="-6"/>
          <w:sz w:val="16"/>
          <w:szCs w:val="16"/>
        </w:rPr>
        <w:t>。</w:t>
      </w:r>
    </w:p>
    <w:p w14:paraId="4D34D1E6">
      <w:pPr>
        <w:pStyle w:val="2"/>
        <w:spacing w:before="67" w:line="276" w:lineRule="auto"/>
        <w:ind w:right="344" w:firstLine="400"/>
        <w:rPr>
          <w:sz w:val="20"/>
          <w:szCs w:val="20"/>
        </w:rPr>
      </w:pPr>
      <w:r>
        <w:rPr>
          <w:spacing w:val="5"/>
          <w:sz w:val="20"/>
          <w:szCs w:val="20"/>
        </w:rPr>
        <w:t>(5)监理报告：在监理过程中，监理机构对工程监理及相关服务阶段性的进展情况、专项</w:t>
      </w:r>
      <w:r>
        <w:rPr>
          <w:spacing w:val="11"/>
          <w:sz w:val="20"/>
          <w:szCs w:val="20"/>
        </w:rPr>
        <w:t xml:space="preserve"> </w:t>
      </w:r>
      <w:r>
        <w:rPr>
          <w:spacing w:val="3"/>
          <w:sz w:val="20"/>
          <w:szCs w:val="20"/>
        </w:rPr>
        <w:t>问题或工程临时出现的事件、事态，通过观察、检测、调查等活</w:t>
      </w:r>
      <w:r>
        <w:rPr>
          <w:spacing w:val="2"/>
          <w:sz w:val="20"/>
          <w:szCs w:val="20"/>
        </w:rPr>
        <w:t>动，形成的以书面形式向业主</w:t>
      </w:r>
      <w:r>
        <w:rPr>
          <w:sz w:val="20"/>
          <w:szCs w:val="20"/>
        </w:rPr>
        <w:t xml:space="preserve"> </w:t>
      </w:r>
      <w:r>
        <w:rPr>
          <w:spacing w:val="-5"/>
          <w:sz w:val="20"/>
          <w:szCs w:val="20"/>
        </w:rPr>
        <w:t>单位提出的陈述。</w:t>
      </w:r>
    </w:p>
    <w:p w14:paraId="11910B9F">
      <w:pPr>
        <w:pStyle w:val="2"/>
        <w:spacing w:before="63" w:line="258" w:lineRule="auto"/>
        <w:ind w:right="327" w:firstLine="400"/>
        <w:rPr>
          <w:sz w:val="20"/>
          <w:szCs w:val="20"/>
        </w:rPr>
      </w:pPr>
      <w:r>
        <w:rPr>
          <w:spacing w:val="6"/>
          <w:sz w:val="20"/>
          <w:szCs w:val="20"/>
        </w:rPr>
        <w:t>(6)监理工具：在监理及相关服务过程中，监理机构用于日常</w:t>
      </w:r>
      <w:r>
        <w:rPr>
          <w:spacing w:val="5"/>
          <w:sz w:val="20"/>
          <w:szCs w:val="20"/>
        </w:rPr>
        <w:t>办公、监督、管理、检测等</w:t>
      </w:r>
      <w:r>
        <w:rPr>
          <w:sz w:val="20"/>
          <w:szCs w:val="20"/>
        </w:rPr>
        <w:t xml:space="preserve"> </w:t>
      </w:r>
      <w:r>
        <w:rPr>
          <w:spacing w:val="-4"/>
          <w:sz w:val="20"/>
          <w:szCs w:val="20"/>
        </w:rPr>
        <w:t>方面所需的设备或系统。</w:t>
      </w:r>
    </w:p>
    <w:p w14:paraId="3F155666">
      <w:pPr>
        <w:pStyle w:val="2"/>
        <w:spacing w:before="177" w:line="222" w:lineRule="auto"/>
        <w:ind w:left="402"/>
        <w:rPr>
          <w:rFonts w:ascii="黑体" w:hAnsi="黑体" w:eastAsia="黑体" w:cs="黑体"/>
          <w:sz w:val="20"/>
          <w:szCs w:val="20"/>
        </w:rPr>
      </w:pPr>
      <w:r>
        <w:rPr>
          <w:b/>
          <w:bCs/>
          <w:color w:val="0061E2"/>
          <w:spacing w:val="-2"/>
          <w:sz w:val="20"/>
          <w:szCs w:val="20"/>
        </w:rPr>
        <w:t>9.</w:t>
      </w:r>
      <w:r>
        <w:rPr>
          <w:rFonts w:ascii="黑体" w:hAnsi="黑体" w:eastAsia="黑体" w:cs="黑体"/>
          <w:b/>
          <w:bCs/>
          <w:color w:val="0061E2"/>
          <w:spacing w:val="-2"/>
          <w:sz w:val="20"/>
          <w:szCs w:val="20"/>
        </w:rPr>
        <w:t>监理过程</w:t>
      </w:r>
    </w:p>
    <w:p w14:paraId="30075208">
      <w:pPr>
        <w:pStyle w:val="2"/>
        <w:spacing w:before="134" w:line="219" w:lineRule="auto"/>
        <w:ind w:left="400"/>
        <w:rPr>
          <w:sz w:val="20"/>
          <w:szCs w:val="20"/>
        </w:rPr>
      </w:pPr>
      <w:r>
        <w:rPr>
          <w:spacing w:val="-2"/>
          <w:sz w:val="20"/>
          <w:szCs w:val="20"/>
        </w:rPr>
        <w:t>监理过程是指监理阶段负责进行监理的种类，具</w:t>
      </w:r>
      <w:r>
        <w:rPr>
          <w:spacing w:val="-3"/>
          <w:sz w:val="20"/>
          <w:szCs w:val="20"/>
        </w:rPr>
        <w:t>体包括：</w:t>
      </w:r>
    </w:p>
    <w:p w14:paraId="06E4C9DF">
      <w:pPr>
        <w:pStyle w:val="2"/>
        <w:spacing w:before="73" w:line="269" w:lineRule="auto"/>
        <w:ind w:right="256" w:firstLine="400"/>
        <w:rPr>
          <w:sz w:val="20"/>
          <w:szCs w:val="20"/>
        </w:rPr>
      </w:pPr>
      <w:r>
        <w:rPr>
          <w:spacing w:val="5"/>
          <w:sz w:val="20"/>
          <w:szCs w:val="20"/>
        </w:rPr>
        <w:t>(1)全过程监理：根据委托监理及相关服务合同要求开展工程建设及运行维护全过程的监</w:t>
      </w:r>
      <w:r>
        <w:rPr>
          <w:spacing w:val="3"/>
          <w:sz w:val="20"/>
          <w:szCs w:val="20"/>
        </w:rPr>
        <w:t xml:space="preserve">  </w:t>
      </w:r>
      <w:r>
        <w:rPr>
          <w:spacing w:val="5"/>
          <w:sz w:val="20"/>
          <w:szCs w:val="20"/>
        </w:rPr>
        <w:t>理工作，包括部署实施部分中的招标、设计、实施和验收阶段，以及运行维护</w:t>
      </w:r>
      <w:r>
        <w:rPr>
          <w:spacing w:val="4"/>
          <w:sz w:val="20"/>
          <w:szCs w:val="20"/>
        </w:rPr>
        <w:t>部分中的招标、</w:t>
      </w:r>
      <w:r>
        <w:rPr>
          <w:sz w:val="20"/>
          <w:szCs w:val="20"/>
        </w:rPr>
        <w:t xml:space="preserve"> </w:t>
      </w:r>
      <w:r>
        <w:rPr>
          <w:spacing w:val="-3"/>
          <w:sz w:val="20"/>
          <w:szCs w:val="20"/>
        </w:rPr>
        <w:t>实施和评价及认定阶段的监理工作。</w:t>
      </w:r>
    </w:p>
    <w:p w14:paraId="6A65E1DD">
      <w:pPr>
        <w:pStyle w:val="2"/>
        <w:spacing w:before="75" w:line="253" w:lineRule="auto"/>
        <w:ind w:right="346" w:firstLine="400"/>
        <w:rPr>
          <w:sz w:val="20"/>
          <w:szCs w:val="20"/>
        </w:rPr>
      </w:pPr>
      <w:r>
        <w:rPr>
          <w:spacing w:val="5"/>
          <w:sz w:val="20"/>
          <w:szCs w:val="20"/>
        </w:rPr>
        <w:t>(2)里程碑监理：根据委托监理及相关服务合同和信息系统工程标准规范要求，对工程里</w:t>
      </w:r>
      <w:r>
        <w:rPr>
          <w:spacing w:val="8"/>
          <w:sz w:val="20"/>
          <w:szCs w:val="20"/>
        </w:rPr>
        <w:t xml:space="preserve"> </w:t>
      </w:r>
      <w:r>
        <w:rPr>
          <w:spacing w:val="-2"/>
          <w:sz w:val="20"/>
          <w:szCs w:val="20"/>
        </w:rPr>
        <w:t>程碑产生的结果进行确认的监理工作。</w:t>
      </w:r>
    </w:p>
    <w:p w14:paraId="438CD3E2">
      <w:pPr>
        <w:pStyle w:val="2"/>
        <w:spacing w:before="63" w:line="219" w:lineRule="auto"/>
        <w:ind w:left="400"/>
        <w:rPr>
          <w:sz w:val="20"/>
          <w:szCs w:val="20"/>
        </w:rPr>
      </w:pPr>
      <w:r>
        <w:rPr>
          <w:spacing w:val="1"/>
          <w:sz w:val="20"/>
          <w:szCs w:val="20"/>
        </w:rPr>
        <w:t>(3)阶段监理：根据委托监理及相关服务合同要求开展某个或某些特定阶段的监理工作。</w:t>
      </w:r>
    </w:p>
    <w:p w14:paraId="7A1E3C1A">
      <w:pPr>
        <w:pStyle w:val="2"/>
        <w:spacing w:before="160" w:line="224" w:lineRule="auto"/>
        <w:ind w:left="402"/>
        <w:rPr>
          <w:rFonts w:ascii="黑体" w:hAnsi="黑体" w:eastAsia="黑体" w:cs="黑体"/>
          <w:sz w:val="20"/>
          <w:szCs w:val="20"/>
        </w:rPr>
      </w:pPr>
      <w:r>
        <w:rPr>
          <w:b/>
          <w:bCs/>
          <w:color w:val="005BC4"/>
          <w:spacing w:val="-3"/>
          <w:sz w:val="20"/>
          <w:szCs w:val="20"/>
        </w:rPr>
        <w:t>10.</w:t>
      </w:r>
      <w:r>
        <w:rPr>
          <w:rFonts w:ascii="黑体" w:hAnsi="黑体" w:eastAsia="黑体" w:cs="黑体"/>
          <w:b/>
          <w:bCs/>
          <w:color w:val="005BC4"/>
          <w:spacing w:val="-3"/>
          <w:sz w:val="20"/>
          <w:szCs w:val="20"/>
        </w:rPr>
        <w:t>监理形式</w:t>
      </w:r>
    </w:p>
    <w:p w14:paraId="42EDD69F">
      <w:pPr>
        <w:pStyle w:val="2"/>
        <w:spacing w:before="138" w:line="219" w:lineRule="auto"/>
        <w:ind w:left="400"/>
        <w:rPr>
          <w:sz w:val="20"/>
          <w:szCs w:val="20"/>
        </w:rPr>
      </w:pPr>
      <w:r>
        <w:rPr>
          <w:spacing w:val="-3"/>
          <w:sz w:val="20"/>
          <w:szCs w:val="20"/>
        </w:rPr>
        <w:t>监理形式是指监理过程中所采用的方式，具体包括：</w:t>
      </w:r>
    </w:p>
    <w:p w14:paraId="471DDA0B">
      <w:pPr>
        <w:pStyle w:val="2"/>
        <w:spacing w:before="64" w:line="286" w:lineRule="auto"/>
        <w:ind w:right="328" w:firstLine="400"/>
        <w:rPr>
          <w:sz w:val="16"/>
          <w:szCs w:val="16"/>
        </w:rPr>
      </w:pPr>
      <w:r>
        <w:rPr>
          <w:spacing w:val="6"/>
          <w:sz w:val="20"/>
          <w:szCs w:val="20"/>
        </w:rPr>
        <w:t>(1)监理例会：由监理机构主持、有关单位参加的，在工程</w:t>
      </w:r>
      <w:r>
        <w:rPr>
          <w:spacing w:val="5"/>
          <w:sz w:val="20"/>
          <w:szCs w:val="20"/>
        </w:rPr>
        <w:t>监理及相关服务过程中，针对</w:t>
      </w:r>
      <w:r>
        <w:rPr>
          <w:sz w:val="20"/>
          <w:szCs w:val="20"/>
        </w:rPr>
        <w:t xml:space="preserve"> </w:t>
      </w:r>
      <w:r>
        <w:rPr>
          <w:spacing w:val="3"/>
          <w:sz w:val="20"/>
          <w:szCs w:val="20"/>
        </w:rPr>
        <w:t>质量、进度、投资控制和合同、文档资料管理，以及协调项目各方工作关</w:t>
      </w:r>
      <w:r>
        <w:rPr>
          <w:spacing w:val="2"/>
          <w:sz w:val="20"/>
          <w:szCs w:val="20"/>
        </w:rPr>
        <w:t>系等事宜定期召开的</w:t>
      </w:r>
      <w:r>
        <w:rPr>
          <w:sz w:val="20"/>
          <w:szCs w:val="20"/>
        </w:rPr>
        <w:t xml:space="preserve"> </w:t>
      </w:r>
      <w:r>
        <w:rPr>
          <w:spacing w:val="-5"/>
          <w:sz w:val="16"/>
          <w:szCs w:val="16"/>
        </w:rPr>
        <w:t>会</w:t>
      </w:r>
      <w:r>
        <w:rPr>
          <w:spacing w:val="-18"/>
          <w:sz w:val="16"/>
          <w:szCs w:val="16"/>
        </w:rPr>
        <w:t xml:space="preserve"> </w:t>
      </w:r>
      <w:r>
        <w:rPr>
          <w:spacing w:val="-5"/>
          <w:sz w:val="16"/>
          <w:szCs w:val="16"/>
        </w:rPr>
        <w:t>议</w:t>
      </w:r>
      <w:r>
        <w:rPr>
          <w:spacing w:val="-25"/>
          <w:sz w:val="16"/>
          <w:szCs w:val="16"/>
        </w:rPr>
        <w:t xml:space="preserve"> </w:t>
      </w:r>
      <w:r>
        <w:rPr>
          <w:spacing w:val="-5"/>
          <w:sz w:val="16"/>
          <w:szCs w:val="16"/>
        </w:rPr>
        <w:t>。</w:t>
      </w:r>
    </w:p>
    <w:p w14:paraId="27B11F7D">
      <w:pPr>
        <w:pStyle w:val="2"/>
        <w:spacing w:before="72" w:line="282" w:lineRule="auto"/>
        <w:ind w:right="321" w:firstLine="400"/>
        <w:rPr>
          <w:sz w:val="16"/>
          <w:szCs w:val="16"/>
        </w:rPr>
      </w:pPr>
      <w:r>
        <w:rPr>
          <w:spacing w:val="6"/>
          <w:sz w:val="20"/>
          <w:szCs w:val="20"/>
        </w:rPr>
        <w:t>(2)签认：在监理过程中，工程建设或运维管理任何一方签署并认可其他方</w:t>
      </w:r>
      <w:r>
        <w:rPr>
          <w:spacing w:val="5"/>
          <w:sz w:val="20"/>
          <w:szCs w:val="20"/>
        </w:rPr>
        <w:t>所提供文件的</w:t>
      </w:r>
      <w:r>
        <w:rPr>
          <w:sz w:val="20"/>
          <w:szCs w:val="20"/>
        </w:rPr>
        <w:t xml:space="preserve"> </w:t>
      </w:r>
      <w:r>
        <w:rPr>
          <w:spacing w:val="-6"/>
          <w:sz w:val="16"/>
          <w:szCs w:val="16"/>
        </w:rPr>
        <w:t>活</w:t>
      </w:r>
      <w:r>
        <w:rPr>
          <w:spacing w:val="-16"/>
          <w:sz w:val="16"/>
          <w:szCs w:val="16"/>
        </w:rPr>
        <w:t xml:space="preserve"> </w:t>
      </w:r>
      <w:r>
        <w:rPr>
          <w:spacing w:val="-6"/>
          <w:sz w:val="16"/>
          <w:szCs w:val="16"/>
        </w:rPr>
        <w:t>动</w:t>
      </w:r>
      <w:r>
        <w:rPr>
          <w:spacing w:val="-24"/>
          <w:sz w:val="16"/>
          <w:szCs w:val="16"/>
        </w:rPr>
        <w:t xml:space="preserve"> </w:t>
      </w:r>
      <w:r>
        <w:rPr>
          <w:spacing w:val="-6"/>
          <w:sz w:val="16"/>
          <w:szCs w:val="16"/>
        </w:rPr>
        <w:t>。</w:t>
      </w:r>
    </w:p>
    <w:p w14:paraId="314AC774">
      <w:pPr>
        <w:pStyle w:val="2"/>
        <w:spacing w:before="51" w:line="262" w:lineRule="auto"/>
        <w:ind w:right="276" w:firstLine="400"/>
        <w:rPr>
          <w:sz w:val="20"/>
          <w:szCs w:val="20"/>
        </w:rPr>
      </w:pPr>
      <w:r>
        <w:rPr>
          <w:spacing w:val="2"/>
          <w:sz w:val="20"/>
          <w:szCs w:val="20"/>
        </w:rPr>
        <w:t>(3)现场：开展项目所有监理及相关服务活动的地点。驻场服务属于现场监理的一</w:t>
      </w:r>
      <w:r>
        <w:rPr>
          <w:spacing w:val="1"/>
          <w:sz w:val="20"/>
          <w:szCs w:val="20"/>
        </w:rPr>
        <w:t>种形式，</w:t>
      </w:r>
      <w:r>
        <w:rPr>
          <w:sz w:val="20"/>
          <w:szCs w:val="20"/>
        </w:rPr>
        <w:t xml:space="preserve"> </w:t>
      </w:r>
      <w:r>
        <w:rPr>
          <w:spacing w:val="-2"/>
          <w:sz w:val="20"/>
          <w:szCs w:val="20"/>
        </w:rPr>
        <w:t>要求监理人员在项目执行期间，一直在现场开展监理服务。</w:t>
      </w:r>
    </w:p>
    <w:p w14:paraId="7DCE7898">
      <w:pPr>
        <w:pStyle w:val="2"/>
        <w:spacing w:before="72" w:line="219" w:lineRule="auto"/>
        <w:ind w:left="400"/>
        <w:rPr>
          <w:sz w:val="20"/>
          <w:szCs w:val="20"/>
        </w:rPr>
      </w:pPr>
      <w:r>
        <w:rPr>
          <w:spacing w:val="2"/>
          <w:sz w:val="20"/>
          <w:szCs w:val="20"/>
        </w:rPr>
        <w:t>(4)旁站：在关键部位或关键工序实施过程中，由监理人员在现场进行的监督或见证</w:t>
      </w:r>
      <w:r>
        <w:rPr>
          <w:spacing w:val="1"/>
          <w:sz w:val="20"/>
          <w:szCs w:val="20"/>
        </w:rPr>
        <w:t>活动。</w:t>
      </w:r>
    </w:p>
    <w:p w14:paraId="49F4271A">
      <w:pPr>
        <w:spacing w:line="316" w:lineRule="auto"/>
        <w:rPr>
          <w:rFonts w:ascii="Arial"/>
          <w:sz w:val="21"/>
        </w:rPr>
      </w:pPr>
    </w:p>
    <w:p w14:paraId="4F08375A">
      <w:pPr>
        <w:pStyle w:val="2"/>
        <w:spacing w:before="92" w:line="221" w:lineRule="auto"/>
        <w:ind w:left="4"/>
        <w:rPr>
          <w:rFonts w:ascii="黑体" w:hAnsi="黑体" w:eastAsia="黑体" w:cs="黑体"/>
          <w:sz w:val="28"/>
          <w:szCs w:val="28"/>
        </w:rPr>
      </w:pPr>
      <w:r>
        <w:rPr>
          <w:b/>
          <w:bCs/>
          <w:color w:val="005FDD"/>
          <w:spacing w:val="-4"/>
          <w:sz w:val="28"/>
          <w:szCs w:val="28"/>
        </w:rPr>
        <w:t>8.3</w:t>
      </w:r>
      <w:r>
        <w:rPr>
          <w:color w:val="005FDD"/>
          <w:spacing w:val="-4"/>
          <w:sz w:val="28"/>
          <w:szCs w:val="28"/>
        </w:rPr>
        <w:t xml:space="preserve">  </w:t>
      </w:r>
      <w:r>
        <w:rPr>
          <w:rFonts w:ascii="黑体" w:hAnsi="黑体" w:eastAsia="黑体" w:cs="黑体"/>
          <w:b/>
          <w:bCs/>
          <w:color w:val="005FDD"/>
          <w:spacing w:val="-4"/>
          <w:sz w:val="28"/>
          <w:szCs w:val="28"/>
        </w:rPr>
        <w:t>信息系统工程监理的发展</w:t>
      </w:r>
    </w:p>
    <w:p w14:paraId="434C2EB8">
      <w:pPr>
        <w:pStyle w:val="2"/>
        <w:spacing w:before="248" w:line="219" w:lineRule="auto"/>
        <w:ind w:left="400"/>
        <w:rPr>
          <w:sz w:val="20"/>
          <w:szCs w:val="20"/>
        </w:rPr>
      </w:pPr>
      <w:r>
        <w:rPr>
          <w:spacing w:val="8"/>
          <w:sz w:val="20"/>
          <w:szCs w:val="20"/>
        </w:rPr>
        <w:t>我国开展信息系统工程监理工作可以追溯到20世纪90年代初，各省市、部委在较大的信</w:t>
      </w:r>
    </w:p>
    <w:p w14:paraId="1DC35CD2">
      <w:pPr>
        <w:spacing w:line="219" w:lineRule="auto"/>
        <w:rPr>
          <w:sz w:val="20"/>
          <w:szCs w:val="20"/>
        </w:rPr>
        <w:sectPr>
          <w:pgSz w:w="10280" w:h="13350"/>
          <w:pgMar w:top="400" w:right="483" w:bottom="400" w:left="1139" w:header="0" w:footer="0" w:gutter="0"/>
          <w:cols w:space="720" w:num="1"/>
        </w:sectPr>
      </w:pPr>
    </w:p>
    <w:p w14:paraId="01ED3160">
      <w:pPr>
        <w:pStyle w:val="2"/>
        <w:spacing w:before="108" w:line="219" w:lineRule="auto"/>
        <w:rPr>
          <w:sz w:val="20"/>
          <w:szCs w:val="20"/>
        </w:rPr>
      </w:pPr>
      <w:r>
        <w:rPr>
          <w:rFonts w:ascii="Times New Roman" w:hAnsi="Times New Roman" w:eastAsia="Times New Roman" w:cs="Times New Roman"/>
          <w:spacing w:val="-2"/>
          <w:position w:val="-3"/>
          <w:sz w:val="20"/>
          <w:szCs w:val="20"/>
        </w:rPr>
        <w:t xml:space="preserve">218              </w:t>
      </w:r>
      <w:r>
        <w:rPr>
          <w:spacing w:val="-2"/>
          <w:sz w:val="20"/>
          <w:szCs w:val="20"/>
        </w:rPr>
        <w:t>信息系统监理师教程(第2版)</w:t>
      </w:r>
    </w:p>
    <w:p w14:paraId="6765A984">
      <w:pPr>
        <w:spacing w:line="280" w:lineRule="auto"/>
        <w:rPr>
          <w:rFonts w:ascii="Arial"/>
          <w:sz w:val="21"/>
        </w:rPr>
      </w:pPr>
    </w:p>
    <w:p w14:paraId="1D5BAFBB">
      <w:pPr>
        <w:pStyle w:val="2"/>
        <w:spacing w:before="65" w:line="319" w:lineRule="auto"/>
        <w:ind w:left="349" w:right="186"/>
        <w:rPr>
          <w:sz w:val="20"/>
          <w:szCs w:val="20"/>
        </w:rPr>
      </w:pPr>
      <w:r>
        <w:rPr>
          <w:spacing w:val="3"/>
          <w:sz w:val="20"/>
          <w:szCs w:val="20"/>
        </w:rPr>
        <w:t>息系统工程中引入工程监理，对项目的顺利开展起到了重要作用。同时主管部门也出台了一些</w:t>
      </w:r>
      <w:r>
        <w:rPr>
          <w:spacing w:val="16"/>
          <w:sz w:val="20"/>
          <w:szCs w:val="20"/>
        </w:rPr>
        <w:t xml:space="preserve"> </w:t>
      </w:r>
      <w:r>
        <w:rPr>
          <w:spacing w:val="-2"/>
          <w:sz w:val="20"/>
          <w:szCs w:val="20"/>
        </w:rPr>
        <w:t>相应的建设管理实施办法，进一步规范监理工作。</w:t>
      </w:r>
    </w:p>
    <w:p w14:paraId="675132ED">
      <w:pPr>
        <w:pStyle w:val="2"/>
        <w:spacing w:before="147" w:line="219" w:lineRule="auto"/>
        <w:ind w:left="352"/>
        <w:rPr>
          <w:sz w:val="25"/>
          <w:szCs w:val="25"/>
        </w:rPr>
      </w:pPr>
      <w:bookmarkStart w:id="597" w:name="bookmark582"/>
      <w:bookmarkEnd w:id="597"/>
      <w:r>
        <w:rPr>
          <w:b/>
          <w:bCs/>
          <w:color w:val="0071C8"/>
          <w:spacing w:val="-16"/>
          <w:sz w:val="25"/>
          <w:szCs w:val="25"/>
        </w:rPr>
        <w:t>8.3.1</w:t>
      </w:r>
      <w:r>
        <w:rPr>
          <w:color w:val="0071C8"/>
          <w:spacing w:val="83"/>
          <w:sz w:val="25"/>
          <w:szCs w:val="25"/>
        </w:rPr>
        <w:t xml:space="preserve"> </w:t>
      </w:r>
      <w:r>
        <w:rPr>
          <w:b/>
          <w:bCs/>
          <w:color w:val="0071C8"/>
          <w:spacing w:val="-16"/>
          <w:sz w:val="25"/>
          <w:szCs w:val="25"/>
        </w:rPr>
        <w:t>我国信息系统工程监理服务的发展</w:t>
      </w:r>
    </w:p>
    <w:p w14:paraId="4A2A8D90">
      <w:pPr>
        <w:pStyle w:val="2"/>
        <w:spacing w:before="173" w:line="282" w:lineRule="auto"/>
        <w:ind w:left="349" w:right="178" w:firstLine="420"/>
        <w:rPr>
          <w:sz w:val="20"/>
          <w:szCs w:val="20"/>
        </w:rPr>
      </w:pPr>
      <w:r>
        <w:rPr>
          <w:spacing w:val="3"/>
          <w:sz w:val="20"/>
          <w:szCs w:val="20"/>
        </w:rPr>
        <w:t>信息系统工程监理行业从2002年开始在我国迎来了发展机遇，形成了一定规模的发展，同</w:t>
      </w:r>
      <w:r>
        <w:rPr>
          <w:spacing w:val="4"/>
          <w:sz w:val="20"/>
          <w:szCs w:val="20"/>
        </w:rPr>
        <w:t xml:space="preserve"> </w:t>
      </w:r>
      <w:r>
        <w:rPr>
          <w:spacing w:val="-2"/>
          <w:sz w:val="20"/>
          <w:szCs w:val="20"/>
        </w:rPr>
        <w:t>时确定了政府管理层面在信息系统工程监理整个体系中的重要性。</w:t>
      </w:r>
    </w:p>
    <w:p w14:paraId="232C1D38">
      <w:pPr>
        <w:pStyle w:val="2"/>
        <w:spacing w:before="39" w:line="274" w:lineRule="auto"/>
        <w:ind w:left="349" w:right="156" w:firstLine="420"/>
        <w:rPr>
          <w:sz w:val="20"/>
          <w:szCs w:val="20"/>
        </w:rPr>
      </w:pPr>
      <w:r>
        <w:rPr>
          <w:spacing w:val="10"/>
          <w:sz w:val="20"/>
          <w:szCs w:val="20"/>
        </w:rPr>
        <w:t>(1)2002年5月，国家电子政务标准</w:t>
      </w:r>
      <w:r>
        <w:rPr>
          <w:spacing w:val="9"/>
          <w:sz w:val="20"/>
          <w:szCs w:val="20"/>
        </w:rPr>
        <w:t>化总体组(由国务院信息化工作办公室和国家标准化</w:t>
      </w:r>
      <w:r>
        <w:rPr>
          <w:sz w:val="20"/>
          <w:szCs w:val="20"/>
        </w:rPr>
        <w:t xml:space="preserve"> </w:t>
      </w:r>
      <w:r>
        <w:rPr>
          <w:spacing w:val="10"/>
          <w:sz w:val="20"/>
          <w:szCs w:val="20"/>
        </w:rPr>
        <w:t>管理委员会联合组成)发表的《电子政务标准化指南(第一版)</w:t>
      </w:r>
      <w:r>
        <w:rPr>
          <w:spacing w:val="9"/>
          <w:sz w:val="20"/>
          <w:szCs w:val="20"/>
        </w:rPr>
        <w:t>》中，明确提出进行“信息化</w:t>
      </w:r>
      <w:r>
        <w:rPr>
          <w:sz w:val="20"/>
          <w:szCs w:val="20"/>
        </w:rPr>
        <w:t xml:space="preserve"> </w:t>
      </w:r>
      <w:r>
        <w:rPr>
          <w:spacing w:val="6"/>
          <w:sz w:val="20"/>
          <w:szCs w:val="20"/>
        </w:rPr>
        <w:t>工程监理规范”研制的项目，2005年国家标准</w:t>
      </w:r>
      <w:r>
        <w:rPr>
          <w:rFonts w:ascii="Times New Roman" w:hAnsi="Times New Roman" w:eastAsia="Times New Roman" w:cs="Times New Roman"/>
          <w:sz w:val="20"/>
          <w:szCs w:val="20"/>
        </w:rPr>
        <w:t>GB</w:t>
      </w:r>
      <w:r>
        <w:rPr>
          <w:rFonts w:ascii="Times New Roman" w:hAnsi="Times New Roman" w:eastAsia="Times New Roman" w:cs="Times New Roman"/>
          <w:spacing w:val="6"/>
          <w:sz w:val="20"/>
          <w:szCs w:val="20"/>
        </w:rPr>
        <w:t>/</w:t>
      </w:r>
      <w:r>
        <w:rPr>
          <w:rFonts w:ascii="Times New Roman" w:hAnsi="Times New Roman" w:eastAsia="Times New Roman" w:cs="Times New Roman"/>
          <w:spacing w:val="5"/>
          <w:sz w:val="20"/>
          <w:szCs w:val="20"/>
        </w:rPr>
        <w:t>T  19668.1</w:t>
      </w:r>
      <w:r>
        <w:rPr>
          <w:spacing w:val="5"/>
          <w:sz w:val="20"/>
          <w:szCs w:val="20"/>
        </w:rPr>
        <w:t>《信息化工程监理规范第1部分：</w:t>
      </w:r>
      <w:r>
        <w:rPr>
          <w:sz w:val="20"/>
          <w:szCs w:val="20"/>
        </w:rPr>
        <w:t xml:space="preserve"> </w:t>
      </w:r>
      <w:r>
        <w:rPr>
          <w:spacing w:val="-6"/>
          <w:sz w:val="20"/>
          <w:szCs w:val="20"/>
        </w:rPr>
        <w:t>总则》发布。</w:t>
      </w:r>
    </w:p>
    <w:p w14:paraId="45F95720">
      <w:pPr>
        <w:pStyle w:val="2"/>
        <w:spacing w:before="93" w:line="270" w:lineRule="auto"/>
        <w:ind w:left="349" w:right="169" w:firstLine="420"/>
        <w:rPr>
          <w:sz w:val="20"/>
          <w:szCs w:val="20"/>
        </w:rPr>
      </w:pPr>
      <w:r>
        <w:rPr>
          <w:spacing w:val="13"/>
          <w:sz w:val="20"/>
          <w:szCs w:val="20"/>
        </w:rPr>
        <w:t>(2)2002年5月31日，北京市信息化工作办公室发布了《北京</w:t>
      </w:r>
      <w:r>
        <w:rPr>
          <w:spacing w:val="12"/>
          <w:sz w:val="20"/>
          <w:szCs w:val="20"/>
        </w:rPr>
        <w:t>市信息系统工程监理管理</w:t>
      </w:r>
      <w:r>
        <w:rPr>
          <w:sz w:val="20"/>
          <w:szCs w:val="20"/>
        </w:rPr>
        <w:t xml:space="preserve"> </w:t>
      </w:r>
      <w:r>
        <w:rPr>
          <w:spacing w:val="10"/>
          <w:sz w:val="20"/>
          <w:szCs w:val="20"/>
        </w:rPr>
        <w:t>办法(试行)》,并明确规定于同年8月1日在所辖地区</w:t>
      </w:r>
      <w:r>
        <w:rPr>
          <w:spacing w:val="9"/>
          <w:sz w:val="20"/>
          <w:szCs w:val="20"/>
        </w:rPr>
        <w:t>对信息系统工程实行强制性监理，2002</w:t>
      </w:r>
      <w:r>
        <w:rPr>
          <w:sz w:val="20"/>
          <w:szCs w:val="20"/>
        </w:rPr>
        <w:t xml:space="preserve"> </w:t>
      </w:r>
      <w:r>
        <w:rPr>
          <w:spacing w:val="4"/>
          <w:sz w:val="20"/>
          <w:szCs w:val="20"/>
        </w:rPr>
        <w:t>年9月11日颁布了</w:t>
      </w:r>
      <w:r>
        <w:rPr>
          <w:rFonts w:ascii="Times New Roman" w:hAnsi="Times New Roman" w:eastAsia="Times New Roman" w:cs="Times New Roman"/>
          <w:sz w:val="20"/>
          <w:szCs w:val="20"/>
        </w:rPr>
        <w:t>DB</w:t>
      </w:r>
      <w:r>
        <w:rPr>
          <w:rFonts w:ascii="Times New Roman" w:hAnsi="Times New Roman" w:eastAsia="Times New Roman" w:cs="Times New Roman"/>
          <w:spacing w:val="4"/>
          <w:sz w:val="20"/>
          <w:szCs w:val="20"/>
        </w:rPr>
        <w:t>11/T  160</w:t>
      </w:r>
      <w:r>
        <w:rPr>
          <w:spacing w:val="4"/>
          <w:sz w:val="20"/>
          <w:szCs w:val="20"/>
        </w:rPr>
        <w:t>《信息系统工程监</w:t>
      </w:r>
      <w:r>
        <w:rPr>
          <w:spacing w:val="3"/>
          <w:sz w:val="20"/>
          <w:szCs w:val="20"/>
        </w:rPr>
        <w:t>理规范》。这是我国历史上第一个信息系统工</w:t>
      </w:r>
      <w:r>
        <w:rPr>
          <w:sz w:val="20"/>
          <w:szCs w:val="20"/>
        </w:rPr>
        <w:t xml:space="preserve"> </w:t>
      </w:r>
      <w:r>
        <w:rPr>
          <w:spacing w:val="-4"/>
          <w:sz w:val="20"/>
          <w:szCs w:val="20"/>
        </w:rPr>
        <w:t>程监理的地方标准。</w:t>
      </w:r>
    </w:p>
    <w:p w14:paraId="1CDDFAD6">
      <w:pPr>
        <w:pStyle w:val="2"/>
        <w:spacing w:before="82" w:line="269" w:lineRule="auto"/>
        <w:ind w:left="349" w:firstLine="420"/>
        <w:rPr>
          <w:sz w:val="20"/>
          <w:szCs w:val="20"/>
        </w:rPr>
      </w:pPr>
      <w:r>
        <w:rPr>
          <w:spacing w:val="20"/>
          <w:sz w:val="20"/>
          <w:szCs w:val="20"/>
        </w:rPr>
        <w:t>(3)2002年11月28日，原信息产业部(现工信部)以文件号</w:t>
      </w:r>
      <w:r>
        <w:rPr>
          <w:spacing w:val="19"/>
          <w:sz w:val="20"/>
          <w:szCs w:val="20"/>
        </w:rPr>
        <w:t>“信部信〔2002〕570号”</w:t>
      </w:r>
      <w:r>
        <w:rPr>
          <w:sz w:val="20"/>
          <w:szCs w:val="20"/>
        </w:rPr>
        <w:t xml:space="preserve"> </w:t>
      </w:r>
      <w:r>
        <w:rPr>
          <w:spacing w:val="-2"/>
          <w:sz w:val="20"/>
          <w:szCs w:val="20"/>
        </w:rPr>
        <w:t>颁布了《信息系统工程监理暂行规定》。这标志着在我国信息技术服务行业政府主管部门的领导</w:t>
      </w:r>
      <w:r>
        <w:rPr>
          <w:spacing w:val="2"/>
          <w:sz w:val="20"/>
          <w:szCs w:val="20"/>
        </w:rPr>
        <w:t xml:space="preserve">   </w:t>
      </w:r>
      <w:r>
        <w:rPr>
          <w:spacing w:val="3"/>
          <w:sz w:val="20"/>
          <w:szCs w:val="20"/>
        </w:rPr>
        <w:t>下，正式将信息系统工程监理推向信息技术服务行业市场化运作，推动了信息系统工程</w:t>
      </w:r>
      <w:r>
        <w:rPr>
          <w:spacing w:val="2"/>
          <w:sz w:val="20"/>
          <w:szCs w:val="20"/>
        </w:rPr>
        <w:t>监理在</w:t>
      </w:r>
      <w:r>
        <w:rPr>
          <w:sz w:val="20"/>
          <w:szCs w:val="20"/>
        </w:rPr>
        <w:t xml:space="preserve">   </w:t>
      </w:r>
      <w:r>
        <w:rPr>
          <w:spacing w:val="-4"/>
          <w:sz w:val="20"/>
          <w:szCs w:val="20"/>
        </w:rPr>
        <w:t>全国范围的蓬勃发展。</w:t>
      </w:r>
    </w:p>
    <w:p w14:paraId="47579FC8">
      <w:pPr>
        <w:pStyle w:val="2"/>
        <w:spacing w:before="93" w:line="275" w:lineRule="auto"/>
        <w:ind w:left="349" w:right="174" w:firstLine="420"/>
        <w:rPr>
          <w:sz w:val="20"/>
          <w:szCs w:val="20"/>
        </w:rPr>
      </w:pPr>
      <w:r>
        <w:rPr>
          <w:spacing w:val="10"/>
          <w:sz w:val="20"/>
          <w:szCs w:val="20"/>
        </w:rPr>
        <w:t xml:space="preserve">(4)2003年1月，国信办、科技部、原信息产业部联合印发《电子政务工程技术指南》, </w:t>
      </w:r>
      <w:r>
        <w:rPr>
          <w:spacing w:val="3"/>
          <w:sz w:val="20"/>
          <w:szCs w:val="20"/>
        </w:rPr>
        <w:t>其中规定：电子政务工程建设要按照《信息系统工程监理暂行规定》(信部信〔200</w:t>
      </w:r>
      <w:r>
        <w:rPr>
          <w:spacing w:val="2"/>
          <w:sz w:val="20"/>
          <w:szCs w:val="20"/>
        </w:rPr>
        <w:t>2〕570号),</w:t>
      </w:r>
      <w:r>
        <w:rPr>
          <w:sz w:val="20"/>
          <w:szCs w:val="20"/>
        </w:rPr>
        <w:t xml:space="preserve"> </w:t>
      </w:r>
      <w:r>
        <w:rPr>
          <w:spacing w:val="3"/>
          <w:sz w:val="20"/>
          <w:szCs w:val="20"/>
        </w:rPr>
        <w:t>加强电子政务工程监理市场的规范化管理，确保电子政务工程的安全和质量。从事电</w:t>
      </w:r>
      <w:r>
        <w:rPr>
          <w:spacing w:val="2"/>
          <w:sz w:val="20"/>
          <w:szCs w:val="20"/>
        </w:rPr>
        <w:t>子政务工</w:t>
      </w:r>
      <w:r>
        <w:rPr>
          <w:sz w:val="20"/>
          <w:szCs w:val="20"/>
        </w:rPr>
        <w:t xml:space="preserve"> </w:t>
      </w:r>
      <w:r>
        <w:rPr>
          <w:spacing w:val="3"/>
          <w:sz w:val="20"/>
          <w:szCs w:val="20"/>
        </w:rPr>
        <w:t>程监理活动的单位要具备信息产业部信息系统工程监理的相应资质，同一工程的建设</w:t>
      </w:r>
      <w:r>
        <w:rPr>
          <w:spacing w:val="2"/>
          <w:sz w:val="20"/>
          <w:szCs w:val="20"/>
        </w:rPr>
        <w:t>和监理要</w:t>
      </w:r>
      <w:r>
        <w:rPr>
          <w:sz w:val="20"/>
          <w:szCs w:val="20"/>
        </w:rPr>
        <w:t xml:space="preserve"> </w:t>
      </w:r>
      <w:r>
        <w:rPr>
          <w:spacing w:val="2"/>
          <w:sz w:val="20"/>
          <w:szCs w:val="20"/>
        </w:rPr>
        <w:t>由相互独立的机构分别承担，监理单位要先于承建单位介入，没有设立监理的工程，业主单位</w:t>
      </w:r>
      <w:r>
        <w:rPr>
          <w:spacing w:val="14"/>
          <w:sz w:val="20"/>
          <w:szCs w:val="20"/>
        </w:rPr>
        <w:t xml:space="preserve"> </w:t>
      </w:r>
      <w:r>
        <w:rPr>
          <w:spacing w:val="-5"/>
          <w:sz w:val="20"/>
          <w:szCs w:val="20"/>
        </w:rPr>
        <w:t>不得开始建设。</w:t>
      </w:r>
    </w:p>
    <w:p w14:paraId="137E19FA">
      <w:pPr>
        <w:pStyle w:val="2"/>
        <w:spacing w:before="100" w:line="270" w:lineRule="auto"/>
        <w:ind w:left="349" w:right="157" w:firstLine="420"/>
        <w:rPr>
          <w:sz w:val="20"/>
          <w:szCs w:val="20"/>
        </w:rPr>
      </w:pPr>
      <w:r>
        <w:rPr>
          <w:spacing w:val="7"/>
          <w:sz w:val="20"/>
          <w:szCs w:val="20"/>
        </w:rPr>
        <w:t>(5)2003年3月，原信息产业部发布《信息系统工程监理单位资质管理办法》和《信息系</w:t>
      </w:r>
      <w:r>
        <w:rPr>
          <w:spacing w:val="13"/>
          <w:sz w:val="20"/>
          <w:szCs w:val="20"/>
        </w:rPr>
        <w:t xml:space="preserve"> </w:t>
      </w:r>
      <w:r>
        <w:rPr>
          <w:spacing w:val="8"/>
          <w:sz w:val="20"/>
          <w:szCs w:val="20"/>
        </w:rPr>
        <w:t xml:space="preserve">统工程监理工程师资格管理办法》(信部信〔2003)142号〕,详细规定了“双资”认证办法， </w:t>
      </w:r>
      <w:r>
        <w:rPr>
          <w:spacing w:val="9"/>
          <w:sz w:val="20"/>
          <w:szCs w:val="20"/>
        </w:rPr>
        <w:t>同年4月1日起实施。该文件既是信部信〔2002〕570号文件的补充，又是全国信息系统工程</w:t>
      </w:r>
      <w:r>
        <w:rPr>
          <w:sz w:val="20"/>
          <w:szCs w:val="20"/>
        </w:rPr>
        <w:t xml:space="preserve"> </w:t>
      </w:r>
      <w:r>
        <w:rPr>
          <w:spacing w:val="-2"/>
          <w:sz w:val="20"/>
          <w:szCs w:val="20"/>
        </w:rPr>
        <w:t>监理行业开展“双资”认证工作的指导性文件。</w:t>
      </w:r>
    </w:p>
    <w:p w14:paraId="77D4471C">
      <w:pPr>
        <w:pStyle w:val="2"/>
        <w:spacing w:before="99" w:line="268" w:lineRule="auto"/>
        <w:ind w:left="249" w:right="188" w:firstLine="520"/>
        <w:rPr>
          <w:sz w:val="20"/>
          <w:szCs w:val="20"/>
        </w:rPr>
      </w:pPr>
      <w:r>
        <w:rPr>
          <w:spacing w:val="14"/>
          <w:sz w:val="20"/>
          <w:szCs w:val="20"/>
        </w:rPr>
        <w:t>(6)在职业技术资格方面，2003年10月18日，人事部和原信息产业部联合发布《计算</w:t>
      </w:r>
      <w:r>
        <w:rPr>
          <w:spacing w:val="10"/>
          <w:sz w:val="20"/>
          <w:szCs w:val="20"/>
        </w:rPr>
        <w:t xml:space="preserve"> </w:t>
      </w:r>
      <w:r>
        <w:rPr>
          <w:spacing w:val="13"/>
          <w:sz w:val="20"/>
          <w:szCs w:val="20"/>
        </w:rPr>
        <w:t>机技术与软件专业技术资格(水平)考试暂行规定》和《计</w:t>
      </w:r>
      <w:r>
        <w:rPr>
          <w:spacing w:val="12"/>
          <w:sz w:val="20"/>
          <w:szCs w:val="20"/>
        </w:rPr>
        <w:t>算机技术与软件专业技术资格(水</w:t>
      </w:r>
      <w:r>
        <w:rPr>
          <w:sz w:val="20"/>
          <w:szCs w:val="20"/>
        </w:rPr>
        <w:t xml:space="preserve"> </w:t>
      </w:r>
      <w:r>
        <w:rPr>
          <w:spacing w:val="9"/>
          <w:sz w:val="20"/>
          <w:szCs w:val="20"/>
        </w:rPr>
        <w:t>平)考试实施办法》(国人部发〔2003〕39号),文件中第一次明确在“信息系统”专业类中设</w:t>
      </w:r>
      <w:r>
        <w:rPr>
          <w:spacing w:val="13"/>
          <w:sz w:val="20"/>
          <w:szCs w:val="20"/>
        </w:rPr>
        <w:t xml:space="preserve"> </w:t>
      </w:r>
      <w:r>
        <w:rPr>
          <w:spacing w:val="1"/>
          <w:sz w:val="20"/>
          <w:szCs w:val="20"/>
        </w:rPr>
        <w:t>“信息系统监理师”资格，规定用人单位可按中级技术资格聘用，并说明今后“不再</w:t>
      </w:r>
      <w:r>
        <w:rPr>
          <w:sz w:val="20"/>
          <w:szCs w:val="20"/>
        </w:rPr>
        <w:t xml:space="preserve">进行计算机 </w:t>
      </w:r>
      <w:r>
        <w:rPr>
          <w:spacing w:val="10"/>
          <w:sz w:val="20"/>
          <w:szCs w:val="20"/>
        </w:rPr>
        <w:t>技术及软件相应专业和级别的专业技术职务任职资格评审工作”。该文</w:t>
      </w:r>
      <w:r>
        <w:rPr>
          <w:spacing w:val="9"/>
          <w:sz w:val="20"/>
          <w:szCs w:val="20"/>
        </w:rPr>
        <w:t>件于2004年1月1日起</w:t>
      </w:r>
      <w:r>
        <w:rPr>
          <w:sz w:val="20"/>
          <w:szCs w:val="20"/>
        </w:rPr>
        <w:t xml:space="preserve"> </w:t>
      </w:r>
      <w:r>
        <w:rPr>
          <w:spacing w:val="29"/>
          <w:sz w:val="20"/>
          <w:szCs w:val="20"/>
        </w:rPr>
        <w:t>实施。</w:t>
      </w:r>
    </w:p>
    <w:p w14:paraId="5E2D054E">
      <w:pPr>
        <w:pStyle w:val="2"/>
        <w:spacing w:before="99" w:line="264" w:lineRule="auto"/>
        <w:ind w:left="349" w:right="188" w:firstLine="420"/>
        <w:rPr>
          <w:sz w:val="20"/>
          <w:szCs w:val="20"/>
        </w:rPr>
      </w:pPr>
      <w:r>
        <w:rPr>
          <w:spacing w:val="7"/>
          <w:sz w:val="20"/>
          <w:szCs w:val="20"/>
        </w:rPr>
        <w:t>(7)在高水平专门人才培养方面，2002年3月，北京交通大学计算机与信息技术学院在我</w:t>
      </w:r>
      <w:r>
        <w:rPr>
          <w:spacing w:val="3"/>
          <w:sz w:val="20"/>
          <w:szCs w:val="20"/>
        </w:rPr>
        <w:t xml:space="preserve"> 国首次为计算机应用和软件工程专业的硕士研究生开设了“信息工程监理学”课程。这</w:t>
      </w:r>
      <w:r>
        <w:rPr>
          <w:spacing w:val="2"/>
          <w:sz w:val="20"/>
          <w:szCs w:val="20"/>
        </w:rPr>
        <w:t>标志着</w:t>
      </w:r>
      <w:r>
        <w:rPr>
          <w:sz w:val="20"/>
          <w:szCs w:val="20"/>
        </w:rPr>
        <w:t xml:space="preserve"> </w:t>
      </w:r>
      <w:r>
        <w:rPr>
          <w:spacing w:val="3"/>
          <w:sz w:val="20"/>
          <w:szCs w:val="20"/>
        </w:rPr>
        <w:t>在信息系统工程监理领域开始出现具备信息系统工程监理有关理论知识的硕士研究生。2003年</w:t>
      </w:r>
    </w:p>
    <w:p w14:paraId="26A40CEA">
      <w:pPr>
        <w:spacing w:line="264" w:lineRule="auto"/>
        <w:rPr>
          <w:sz w:val="20"/>
          <w:szCs w:val="20"/>
        </w:rPr>
        <w:sectPr>
          <w:pgSz w:w="10300" w:h="13470"/>
          <w:pgMar w:top="400" w:right="973" w:bottom="400" w:left="450" w:header="0" w:footer="0" w:gutter="0"/>
          <w:cols w:space="720" w:num="1"/>
        </w:sectPr>
      </w:pPr>
    </w:p>
    <w:p w14:paraId="026499B8">
      <w:pPr>
        <w:pStyle w:val="2"/>
        <w:spacing w:before="77" w:line="219" w:lineRule="auto"/>
        <w:jc w:val="right"/>
        <w:rPr>
          <w:rFonts w:ascii="Times New Roman" w:hAnsi="Times New Roman" w:eastAsia="Times New Roman" w:cs="Times New Roman"/>
          <w:sz w:val="16"/>
          <w:szCs w:val="16"/>
        </w:rPr>
      </w:pPr>
      <w:r>
        <w:rPr>
          <w:spacing w:val="-6"/>
          <w:sz w:val="20"/>
          <w:szCs w:val="20"/>
        </w:rPr>
        <w:t xml:space="preserve">第8章 信息系统工程监理基础知识      </w:t>
      </w:r>
      <w:r>
        <w:rPr>
          <w:rFonts w:ascii="Times New Roman" w:hAnsi="Times New Roman" w:eastAsia="Times New Roman" w:cs="Times New Roman"/>
          <w:spacing w:val="-6"/>
          <w:position w:val="1"/>
          <w:sz w:val="16"/>
          <w:szCs w:val="16"/>
        </w:rPr>
        <w:t>219</w:t>
      </w:r>
    </w:p>
    <w:p w14:paraId="36C428EF">
      <w:pPr>
        <w:spacing w:line="307" w:lineRule="auto"/>
        <w:rPr>
          <w:rFonts w:ascii="Arial"/>
          <w:sz w:val="21"/>
        </w:rPr>
      </w:pPr>
    </w:p>
    <w:p w14:paraId="4A6B7EE7">
      <w:pPr>
        <w:pStyle w:val="2"/>
        <w:spacing w:before="65" w:line="281" w:lineRule="auto"/>
        <w:ind w:right="236"/>
        <w:rPr>
          <w:sz w:val="20"/>
          <w:szCs w:val="20"/>
        </w:rPr>
      </w:pPr>
      <w:r>
        <w:rPr>
          <w:spacing w:val="8"/>
          <w:sz w:val="20"/>
          <w:szCs w:val="20"/>
        </w:rPr>
        <w:t>9月，北京联合大学信息学院在8个班的教学计划中列入了监理课程。</w:t>
      </w:r>
      <w:r>
        <w:rPr>
          <w:spacing w:val="7"/>
          <w:sz w:val="20"/>
          <w:szCs w:val="20"/>
        </w:rPr>
        <w:t>2003年10月，北京航空</w:t>
      </w:r>
      <w:r>
        <w:rPr>
          <w:sz w:val="20"/>
          <w:szCs w:val="20"/>
        </w:rPr>
        <w:t xml:space="preserve"> </w:t>
      </w:r>
      <w:r>
        <w:rPr>
          <w:spacing w:val="-1"/>
          <w:sz w:val="20"/>
          <w:szCs w:val="20"/>
        </w:rPr>
        <w:t>航天大学软件学院设置首个信息工程监理专业，并成立我国第一个信息工程监理研究所。</w:t>
      </w:r>
    </w:p>
    <w:p w14:paraId="7B21BE97">
      <w:pPr>
        <w:pStyle w:val="2"/>
        <w:spacing w:before="19" w:line="271" w:lineRule="auto"/>
        <w:ind w:right="264" w:firstLine="409"/>
        <w:rPr>
          <w:sz w:val="20"/>
          <w:szCs w:val="20"/>
        </w:rPr>
      </w:pPr>
      <w:r>
        <w:rPr>
          <w:spacing w:val="12"/>
          <w:sz w:val="20"/>
          <w:szCs w:val="20"/>
        </w:rPr>
        <w:t>(8)2007年8月13日，发改委发布的《国家电子政务工</w:t>
      </w:r>
      <w:r>
        <w:rPr>
          <w:spacing w:val="11"/>
          <w:sz w:val="20"/>
          <w:szCs w:val="20"/>
        </w:rPr>
        <w:t>程建设项目管理暂行办法》第55</w:t>
      </w:r>
      <w:r>
        <w:rPr>
          <w:sz w:val="20"/>
          <w:szCs w:val="20"/>
        </w:rPr>
        <w:t xml:space="preserve"> </w:t>
      </w:r>
      <w:r>
        <w:rPr>
          <w:spacing w:val="3"/>
          <w:sz w:val="20"/>
          <w:szCs w:val="20"/>
        </w:rPr>
        <w:t>号令第十八条规定：电子政务项目实行工程监理制，委托具有</w:t>
      </w:r>
      <w:r>
        <w:rPr>
          <w:spacing w:val="2"/>
          <w:sz w:val="20"/>
          <w:szCs w:val="20"/>
        </w:rPr>
        <w:t>信息系统工程相应监理资质的工</w:t>
      </w:r>
      <w:r>
        <w:rPr>
          <w:sz w:val="20"/>
          <w:szCs w:val="20"/>
        </w:rPr>
        <w:t xml:space="preserve"> </w:t>
      </w:r>
      <w:r>
        <w:rPr>
          <w:spacing w:val="-2"/>
          <w:sz w:val="20"/>
          <w:szCs w:val="20"/>
        </w:rPr>
        <w:t>程监理单位，对项目建设进行工程监理。</w:t>
      </w:r>
    </w:p>
    <w:p w14:paraId="5A3BEAAF">
      <w:pPr>
        <w:pStyle w:val="2"/>
        <w:spacing w:before="60" w:line="270" w:lineRule="auto"/>
        <w:ind w:right="267" w:firstLine="409"/>
        <w:rPr>
          <w:sz w:val="20"/>
          <w:szCs w:val="20"/>
        </w:rPr>
      </w:pPr>
      <w:r>
        <w:rPr>
          <w:spacing w:val="10"/>
          <w:sz w:val="20"/>
          <w:szCs w:val="20"/>
        </w:rPr>
        <w:t>(9)2014年，</w:t>
      </w:r>
      <w:r>
        <w:rPr>
          <w:spacing w:val="-30"/>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10"/>
          <w:sz w:val="20"/>
          <w:szCs w:val="20"/>
        </w:rPr>
        <w:t>/T</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0"/>
          <w:sz w:val="20"/>
          <w:szCs w:val="20"/>
        </w:rPr>
        <w:t>19668.1</w:t>
      </w:r>
      <w:r>
        <w:rPr>
          <w:spacing w:val="10"/>
          <w:sz w:val="20"/>
          <w:szCs w:val="20"/>
        </w:rPr>
        <w:t>《信</w:t>
      </w:r>
      <w:r>
        <w:rPr>
          <w:spacing w:val="9"/>
          <w:sz w:val="20"/>
          <w:szCs w:val="20"/>
        </w:rPr>
        <w:t>息技术服务监理第1部分：总则》发布以来，监理其他</w:t>
      </w:r>
      <w:r>
        <w:rPr>
          <w:spacing w:val="1"/>
          <w:sz w:val="20"/>
          <w:szCs w:val="20"/>
        </w:rPr>
        <w:t xml:space="preserve"> </w:t>
      </w:r>
      <w:r>
        <w:rPr>
          <w:spacing w:val="2"/>
          <w:sz w:val="20"/>
          <w:szCs w:val="20"/>
        </w:rPr>
        <w:t>系列国家标准</w:t>
      </w:r>
      <w:r>
        <w:rPr>
          <w:rFonts w:ascii="Times New Roman" w:hAnsi="Times New Roman" w:eastAsia="Times New Roman" w:cs="Times New Roman"/>
          <w:sz w:val="20"/>
          <w:szCs w:val="20"/>
        </w:rPr>
        <w:t>GB</w:t>
      </w:r>
      <w:r>
        <w:rPr>
          <w:rFonts w:ascii="Times New Roman" w:hAnsi="Times New Roman" w:eastAsia="Times New Roman" w:cs="Times New Roman"/>
          <w:spacing w:val="2"/>
          <w:sz w:val="20"/>
          <w:szCs w:val="20"/>
        </w:rPr>
        <w:t>/T</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2"/>
          <w:sz w:val="20"/>
          <w:szCs w:val="20"/>
        </w:rPr>
        <w:t>19668.2</w:t>
      </w:r>
      <w:r>
        <w:rPr>
          <w:spacing w:val="2"/>
          <w:sz w:val="20"/>
          <w:szCs w:val="20"/>
        </w:rPr>
        <w:t>也陆续发布，为规范</w:t>
      </w:r>
      <w:r>
        <w:rPr>
          <w:spacing w:val="1"/>
          <w:sz w:val="20"/>
          <w:szCs w:val="20"/>
        </w:rPr>
        <w:t>监理市场起到了重要的指导作用，使更多优秀</w:t>
      </w:r>
      <w:r>
        <w:rPr>
          <w:sz w:val="20"/>
          <w:szCs w:val="20"/>
        </w:rPr>
        <w:t xml:space="preserve"> </w:t>
      </w:r>
      <w:r>
        <w:rPr>
          <w:spacing w:val="-1"/>
          <w:sz w:val="20"/>
          <w:szCs w:val="20"/>
        </w:rPr>
        <w:t>企业加入信息系统工程监理行业，信息系统工程监理行业进入稳步繁荣的发展</w:t>
      </w:r>
      <w:r>
        <w:rPr>
          <w:spacing w:val="-2"/>
          <w:sz w:val="20"/>
          <w:szCs w:val="20"/>
        </w:rPr>
        <w:t>阶段。</w:t>
      </w:r>
    </w:p>
    <w:p w14:paraId="1FC6F325">
      <w:pPr>
        <w:pStyle w:val="2"/>
        <w:spacing w:before="71" w:line="283" w:lineRule="auto"/>
        <w:ind w:right="256" w:firstLine="409"/>
        <w:rPr>
          <w:sz w:val="20"/>
          <w:szCs w:val="20"/>
        </w:rPr>
      </w:pPr>
      <w:r>
        <w:rPr>
          <w:spacing w:val="2"/>
          <w:sz w:val="20"/>
          <w:szCs w:val="20"/>
        </w:rPr>
        <w:t>(10)2019年，国务院办公厅发布《国家政务信息化项目建设管理办法》(国办发〔2019)57</w:t>
      </w:r>
      <w:r>
        <w:rPr>
          <w:spacing w:val="6"/>
          <w:sz w:val="20"/>
          <w:szCs w:val="20"/>
        </w:rPr>
        <w:t xml:space="preserve"> </w:t>
      </w:r>
      <w:r>
        <w:rPr>
          <w:spacing w:val="14"/>
          <w:sz w:val="20"/>
          <w:szCs w:val="20"/>
        </w:rPr>
        <w:t>号),自2020年2月1日起实施，进一步规</w:t>
      </w:r>
      <w:r>
        <w:rPr>
          <w:spacing w:val="13"/>
          <w:sz w:val="20"/>
          <w:szCs w:val="20"/>
        </w:rPr>
        <w:t>范了国家政务信息化建设管理，2007年8月13日国</w:t>
      </w:r>
      <w:r>
        <w:rPr>
          <w:sz w:val="20"/>
          <w:szCs w:val="20"/>
        </w:rPr>
        <w:t xml:space="preserve"> </w:t>
      </w:r>
      <w:r>
        <w:rPr>
          <w:spacing w:val="-6"/>
          <w:sz w:val="20"/>
          <w:szCs w:val="20"/>
        </w:rPr>
        <w:t>家发改委公布的《国家电子政务工程建设项目管理暂行办法》同时</w:t>
      </w:r>
      <w:r>
        <w:rPr>
          <w:spacing w:val="-7"/>
          <w:sz w:val="20"/>
          <w:szCs w:val="20"/>
        </w:rPr>
        <w:t>废止。国办发〔2019〕57号文件</w:t>
      </w:r>
      <w:r>
        <w:rPr>
          <w:sz w:val="20"/>
          <w:szCs w:val="20"/>
        </w:rPr>
        <w:t xml:space="preserve"> </w:t>
      </w:r>
      <w:r>
        <w:rPr>
          <w:spacing w:val="3"/>
          <w:sz w:val="20"/>
          <w:szCs w:val="20"/>
        </w:rPr>
        <w:t>第十九条规定：国家政务信息化项目实行工程监理制，项</w:t>
      </w:r>
      <w:r>
        <w:rPr>
          <w:spacing w:val="2"/>
          <w:sz w:val="20"/>
          <w:szCs w:val="20"/>
        </w:rPr>
        <w:t>目建设单位应当按照信息系统工程监</w:t>
      </w:r>
      <w:r>
        <w:rPr>
          <w:sz w:val="20"/>
          <w:szCs w:val="20"/>
        </w:rPr>
        <w:t xml:space="preserve"> </w:t>
      </w:r>
      <w:r>
        <w:rPr>
          <w:spacing w:val="-2"/>
          <w:sz w:val="20"/>
          <w:szCs w:val="20"/>
        </w:rPr>
        <w:t>理有关规定，委托工程监理单位对项目建设进行工程监理。国办发〔2019〕57号文件第二</w:t>
      </w:r>
      <w:r>
        <w:rPr>
          <w:spacing w:val="-3"/>
          <w:sz w:val="20"/>
          <w:szCs w:val="20"/>
        </w:rPr>
        <w:t>十条规</w:t>
      </w:r>
      <w:r>
        <w:rPr>
          <w:sz w:val="20"/>
          <w:szCs w:val="20"/>
        </w:rPr>
        <w:t xml:space="preserve"> </w:t>
      </w:r>
      <w:r>
        <w:rPr>
          <w:spacing w:val="-2"/>
          <w:sz w:val="20"/>
          <w:szCs w:val="20"/>
        </w:rPr>
        <w:t>定：项目建设单位应当对项目绩效目标执行情况进行评价，并征求有关项</w:t>
      </w:r>
      <w:r>
        <w:rPr>
          <w:spacing w:val="-3"/>
          <w:sz w:val="20"/>
          <w:szCs w:val="20"/>
        </w:rPr>
        <w:t>目使用单位和监理单位</w:t>
      </w:r>
      <w:r>
        <w:rPr>
          <w:sz w:val="20"/>
          <w:szCs w:val="20"/>
        </w:rPr>
        <w:t xml:space="preserve"> </w:t>
      </w:r>
      <w:r>
        <w:rPr>
          <w:spacing w:val="-1"/>
          <w:sz w:val="20"/>
          <w:szCs w:val="20"/>
        </w:rPr>
        <w:t>的意见，形成项目绩效评价报告，在建设期内每年年底前向项目审批部门提交。</w:t>
      </w:r>
    </w:p>
    <w:p w14:paraId="62FF28D8">
      <w:pPr>
        <w:pStyle w:val="2"/>
        <w:spacing w:before="234" w:line="219" w:lineRule="auto"/>
        <w:ind w:left="2"/>
        <w:rPr>
          <w:sz w:val="25"/>
          <w:szCs w:val="25"/>
        </w:rPr>
      </w:pPr>
      <w:r>
        <w:rPr>
          <w:b/>
          <w:bCs/>
          <w:color w:val="0056D8"/>
          <w:spacing w:val="-17"/>
          <w:sz w:val="25"/>
          <w:szCs w:val="25"/>
        </w:rPr>
        <w:t>8.3.2</w:t>
      </w:r>
      <w:r>
        <w:rPr>
          <w:color w:val="0056D8"/>
          <w:spacing w:val="102"/>
          <w:sz w:val="25"/>
          <w:szCs w:val="25"/>
        </w:rPr>
        <w:t xml:space="preserve"> </w:t>
      </w:r>
      <w:r>
        <w:rPr>
          <w:b/>
          <w:bCs/>
          <w:color w:val="0056D8"/>
          <w:spacing w:val="-17"/>
          <w:sz w:val="25"/>
          <w:szCs w:val="25"/>
        </w:rPr>
        <w:t>信息化建设中普遍存在的问题</w:t>
      </w:r>
    </w:p>
    <w:p w14:paraId="28F12264">
      <w:pPr>
        <w:pStyle w:val="2"/>
        <w:spacing w:before="280" w:line="222" w:lineRule="auto"/>
        <w:ind w:left="412"/>
        <w:rPr>
          <w:rFonts w:ascii="黑体" w:hAnsi="黑体" w:eastAsia="黑体" w:cs="黑体"/>
          <w:sz w:val="20"/>
          <w:szCs w:val="20"/>
        </w:rPr>
      </w:pPr>
      <w:r>
        <w:rPr>
          <w:b/>
          <w:bCs/>
          <w:color w:val="0060CE"/>
          <w:spacing w:val="-5"/>
          <w:sz w:val="20"/>
          <w:szCs w:val="20"/>
        </w:rPr>
        <w:t>1.</w:t>
      </w:r>
      <w:r>
        <w:rPr>
          <w:rFonts w:ascii="黑体" w:hAnsi="黑体" w:eastAsia="黑体" w:cs="黑体"/>
          <w:b/>
          <w:bCs/>
          <w:color w:val="0060CE"/>
          <w:spacing w:val="-5"/>
          <w:sz w:val="20"/>
          <w:szCs w:val="20"/>
        </w:rPr>
        <w:t>信息化建设中普遍存在的主要问题</w:t>
      </w:r>
    </w:p>
    <w:p w14:paraId="691A5234">
      <w:pPr>
        <w:pStyle w:val="2"/>
        <w:spacing w:before="143" w:line="219" w:lineRule="auto"/>
        <w:ind w:left="409"/>
        <w:rPr>
          <w:sz w:val="20"/>
          <w:szCs w:val="20"/>
        </w:rPr>
      </w:pPr>
      <w:r>
        <w:rPr>
          <w:spacing w:val="-3"/>
          <w:sz w:val="20"/>
          <w:szCs w:val="20"/>
        </w:rPr>
        <w:t>信息化建设中普遍存在的主要问题包括：</w:t>
      </w:r>
    </w:p>
    <w:p w14:paraId="36121FAE">
      <w:pPr>
        <w:pStyle w:val="2"/>
        <w:spacing w:before="62" w:line="219" w:lineRule="auto"/>
        <w:ind w:left="409"/>
        <w:rPr>
          <w:sz w:val="20"/>
          <w:szCs w:val="20"/>
        </w:rPr>
      </w:pPr>
      <w:r>
        <w:rPr>
          <w:spacing w:val="2"/>
          <w:sz w:val="20"/>
          <w:szCs w:val="20"/>
        </w:rPr>
        <w:t>(1)系统质量不能满足应用的基本需求；</w:t>
      </w:r>
    </w:p>
    <w:p w14:paraId="1ABCF2D6">
      <w:pPr>
        <w:pStyle w:val="2"/>
        <w:spacing w:before="84" w:line="220" w:lineRule="auto"/>
        <w:ind w:left="409"/>
        <w:rPr>
          <w:sz w:val="20"/>
          <w:szCs w:val="20"/>
        </w:rPr>
      </w:pPr>
      <w:r>
        <w:rPr>
          <w:spacing w:val="1"/>
          <w:sz w:val="20"/>
          <w:szCs w:val="20"/>
        </w:rPr>
        <w:t>(2)工程进度拖后延期，记录不全、手续缺失；</w:t>
      </w:r>
    </w:p>
    <w:p w14:paraId="238EFF89">
      <w:pPr>
        <w:pStyle w:val="2"/>
        <w:spacing w:before="62" w:line="219" w:lineRule="auto"/>
        <w:ind w:left="409"/>
        <w:rPr>
          <w:sz w:val="20"/>
          <w:szCs w:val="20"/>
        </w:rPr>
      </w:pPr>
      <w:r>
        <w:rPr>
          <w:spacing w:val="1"/>
          <w:sz w:val="20"/>
          <w:szCs w:val="20"/>
        </w:rPr>
        <w:t>(3)项目资金使用不合理或预算“超范围”使用；</w:t>
      </w:r>
    </w:p>
    <w:p w14:paraId="52B00959">
      <w:pPr>
        <w:pStyle w:val="2"/>
        <w:spacing w:before="72" w:line="219" w:lineRule="auto"/>
        <w:ind w:left="409"/>
        <w:rPr>
          <w:sz w:val="20"/>
          <w:szCs w:val="20"/>
        </w:rPr>
      </w:pPr>
      <w:r>
        <w:rPr>
          <w:sz w:val="20"/>
          <w:szCs w:val="20"/>
        </w:rPr>
        <w:t>(4)项目文档不全甚至严重缺失，造成验收</w:t>
      </w:r>
      <w:r>
        <w:rPr>
          <w:spacing w:val="-1"/>
          <w:sz w:val="20"/>
          <w:szCs w:val="20"/>
        </w:rPr>
        <w:t>环节“查漏补缺”;</w:t>
      </w:r>
    </w:p>
    <w:p w14:paraId="7857DBC4">
      <w:pPr>
        <w:pStyle w:val="2"/>
        <w:spacing w:before="73" w:line="219" w:lineRule="auto"/>
        <w:ind w:left="409"/>
        <w:rPr>
          <w:sz w:val="20"/>
          <w:szCs w:val="20"/>
        </w:rPr>
      </w:pPr>
      <w:r>
        <w:rPr>
          <w:spacing w:val="1"/>
          <w:sz w:val="20"/>
          <w:szCs w:val="20"/>
        </w:rPr>
        <w:t>(5)在项目实施过程中系统业务需求一变再变，需求管理缺失；</w:t>
      </w:r>
    </w:p>
    <w:p w14:paraId="29BA26ED">
      <w:pPr>
        <w:pStyle w:val="2"/>
        <w:spacing w:before="73" w:line="219" w:lineRule="auto"/>
        <w:ind w:left="409"/>
        <w:rPr>
          <w:sz w:val="20"/>
          <w:szCs w:val="20"/>
        </w:rPr>
      </w:pPr>
      <w:r>
        <w:rPr>
          <w:spacing w:val="1"/>
          <w:sz w:val="20"/>
          <w:szCs w:val="20"/>
        </w:rPr>
        <w:t>(6)项目实施过程中经常出现扯皮、推诿现象，进而出现合同纠纷或合同违约；</w:t>
      </w:r>
    </w:p>
    <w:p w14:paraId="05EE4E72">
      <w:pPr>
        <w:pStyle w:val="2"/>
        <w:spacing w:before="73" w:line="219" w:lineRule="auto"/>
        <w:ind w:left="409"/>
        <w:rPr>
          <w:sz w:val="20"/>
          <w:szCs w:val="20"/>
        </w:rPr>
      </w:pPr>
      <w:r>
        <w:rPr>
          <w:spacing w:val="1"/>
          <w:sz w:val="20"/>
          <w:szCs w:val="20"/>
        </w:rPr>
        <w:t>(7)系统存在安全漏洞和隐患，造成信息泄露、系统设置后门等；</w:t>
      </w:r>
    </w:p>
    <w:p w14:paraId="1664E70F">
      <w:pPr>
        <w:pStyle w:val="2"/>
        <w:spacing w:before="72" w:line="219" w:lineRule="auto"/>
        <w:ind w:left="409"/>
        <w:rPr>
          <w:sz w:val="20"/>
          <w:szCs w:val="20"/>
        </w:rPr>
      </w:pPr>
      <w:r>
        <w:rPr>
          <w:spacing w:val="1"/>
          <w:sz w:val="20"/>
          <w:szCs w:val="20"/>
        </w:rPr>
        <w:t>(8)重硬件、轻软件，重开发、轻维护，重建设、轻使用；</w:t>
      </w:r>
    </w:p>
    <w:p w14:paraId="4B1E9DFF">
      <w:pPr>
        <w:pStyle w:val="2"/>
        <w:spacing w:before="73" w:line="219" w:lineRule="auto"/>
        <w:ind w:left="409"/>
        <w:rPr>
          <w:sz w:val="20"/>
          <w:szCs w:val="20"/>
        </w:rPr>
      </w:pPr>
      <w:r>
        <w:rPr>
          <w:spacing w:val="2"/>
          <w:sz w:val="20"/>
          <w:szCs w:val="20"/>
        </w:rPr>
        <w:t>(9)系统功能和技术越来越复杂，用户很难找到既懂业务又懂</w:t>
      </w:r>
      <w:r>
        <w:rPr>
          <w:spacing w:val="1"/>
          <w:sz w:val="20"/>
          <w:szCs w:val="20"/>
        </w:rPr>
        <w:t>全部技术的“全方位”人员；</w:t>
      </w:r>
    </w:p>
    <w:p w14:paraId="45C02B4A">
      <w:pPr>
        <w:pStyle w:val="2"/>
        <w:spacing w:before="52" w:line="282" w:lineRule="auto"/>
        <w:ind w:right="266" w:firstLine="409"/>
        <w:rPr>
          <w:sz w:val="16"/>
          <w:szCs w:val="16"/>
        </w:rPr>
      </w:pPr>
      <w:r>
        <w:rPr>
          <w:spacing w:val="2"/>
          <w:sz w:val="20"/>
          <w:szCs w:val="20"/>
        </w:rPr>
        <w:t>(10)业主单位难以应对工程建设过程以及建设应用后的审计、巡视、巡察等各项监管检查</w:t>
      </w:r>
      <w:r>
        <w:rPr>
          <w:spacing w:val="17"/>
          <w:sz w:val="20"/>
          <w:szCs w:val="20"/>
        </w:rPr>
        <w:t xml:space="preserve"> </w:t>
      </w:r>
      <w:r>
        <w:rPr>
          <w:spacing w:val="-6"/>
          <w:sz w:val="16"/>
          <w:szCs w:val="16"/>
        </w:rPr>
        <w:t>工</w:t>
      </w:r>
      <w:r>
        <w:rPr>
          <w:spacing w:val="-14"/>
          <w:sz w:val="16"/>
          <w:szCs w:val="16"/>
        </w:rPr>
        <w:t xml:space="preserve"> </w:t>
      </w:r>
      <w:r>
        <w:rPr>
          <w:spacing w:val="-6"/>
          <w:sz w:val="16"/>
          <w:szCs w:val="16"/>
        </w:rPr>
        <w:t>作</w:t>
      </w:r>
      <w:r>
        <w:rPr>
          <w:spacing w:val="-22"/>
          <w:sz w:val="16"/>
          <w:szCs w:val="16"/>
        </w:rPr>
        <w:t xml:space="preserve"> </w:t>
      </w:r>
      <w:r>
        <w:rPr>
          <w:spacing w:val="-6"/>
          <w:sz w:val="16"/>
          <w:szCs w:val="16"/>
        </w:rPr>
        <w:t>；</w:t>
      </w:r>
    </w:p>
    <w:p w14:paraId="4DF0DDC2">
      <w:pPr>
        <w:pStyle w:val="2"/>
        <w:spacing w:before="71" w:line="262" w:lineRule="auto"/>
        <w:ind w:right="236" w:firstLine="409"/>
        <w:rPr>
          <w:sz w:val="20"/>
          <w:szCs w:val="20"/>
        </w:rPr>
      </w:pPr>
      <w:r>
        <w:rPr>
          <w:spacing w:val="3"/>
          <w:sz w:val="20"/>
          <w:szCs w:val="20"/>
        </w:rPr>
        <w:t>(11)项目验收或工程验收需要进一步规范，建设过程的管理需要更加规范、更加细致、更</w:t>
      </w:r>
      <w:r>
        <w:rPr>
          <w:spacing w:val="5"/>
          <w:sz w:val="20"/>
          <w:szCs w:val="20"/>
        </w:rPr>
        <w:t xml:space="preserve"> </w:t>
      </w:r>
      <w:r>
        <w:rPr>
          <w:spacing w:val="-4"/>
          <w:sz w:val="20"/>
          <w:szCs w:val="20"/>
        </w:rPr>
        <w:t>加到位，业主单位往往能力不足；</w:t>
      </w:r>
    </w:p>
    <w:p w14:paraId="589D34C4">
      <w:pPr>
        <w:pStyle w:val="2"/>
        <w:spacing w:before="62" w:line="219" w:lineRule="auto"/>
        <w:ind w:left="409"/>
        <w:rPr>
          <w:sz w:val="20"/>
          <w:szCs w:val="20"/>
        </w:rPr>
      </w:pPr>
      <w:r>
        <w:rPr>
          <w:spacing w:val="4"/>
          <w:sz w:val="20"/>
          <w:szCs w:val="20"/>
        </w:rPr>
        <w:t>(12)缺乏专业化的监督管理。</w:t>
      </w:r>
    </w:p>
    <w:p w14:paraId="7921718A">
      <w:pPr>
        <w:spacing w:before="150" w:line="222" w:lineRule="auto"/>
        <w:ind w:left="412"/>
        <w:rPr>
          <w:rFonts w:ascii="黑体" w:hAnsi="黑体" w:eastAsia="黑体" w:cs="黑体"/>
          <w:sz w:val="20"/>
          <w:szCs w:val="20"/>
        </w:rPr>
      </w:pPr>
      <w:r>
        <w:rPr>
          <w:rFonts w:ascii="黑体" w:hAnsi="黑体" w:eastAsia="黑体" w:cs="黑体"/>
          <w:b/>
          <w:bCs/>
          <w:color w:val="0055D7"/>
          <w:sz w:val="20"/>
          <w:szCs w:val="20"/>
        </w:rPr>
        <w:t>2.问题原因及分析</w:t>
      </w:r>
    </w:p>
    <w:p w14:paraId="0B14B498">
      <w:pPr>
        <w:pStyle w:val="2"/>
        <w:spacing w:before="122" w:line="291" w:lineRule="auto"/>
        <w:ind w:right="238" w:firstLine="409"/>
        <w:rPr>
          <w:sz w:val="20"/>
          <w:szCs w:val="20"/>
        </w:rPr>
      </w:pPr>
      <w:r>
        <w:rPr>
          <w:spacing w:val="3"/>
          <w:sz w:val="20"/>
          <w:szCs w:val="20"/>
        </w:rPr>
        <w:t>上述问题严重阻碍着信息化建设进程，甚至产生了令人痛心的信息系统豆腐渣工程，导致</w:t>
      </w:r>
      <w:r>
        <w:rPr>
          <w:spacing w:val="10"/>
          <w:sz w:val="20"/>
          <w:szCs w:val="20"/>
        </w:rPr>
        <w:t xml:space="preserve"> </w:t>
      </w:r>
      <w:r>
        <w:rPr>
          <w:spacing w:val="3"/>
          <w:sz w:val="20"/>
          <w:szCs w:val="20"/>
        </w:rPr>
        <w:t>投资见不到效果和效益，使国家和用户单位蒙受极大的</w:t>
      </w:r>
      <w:r>
        <w:rPr>
          <w:spacing w:val="2"/>
          <w:sz w:val="20"/>
          <w:szCs w:val="20"/>
        </w:rPr>
        <w:t>经济损失。究其原因，尽管不同项目之</w:t>
      </w:r>
    </w:p>
    <w:p w14:paraId="616323BB">
      <w:pPr>
        <w:spacing w:line="291" w:lineRule="auto"/>
        <w:rPr>
          <w:sz w:val="20"/>
          <w:szCs w:val="20"/>
        </w:rPr>
        <w:sectPr>
          <w:pgSz w:w="10280" w:h="13350"/>
          <w:pgMar w:top="400" w:right="553" w:bottom="400" w:left="1150" w:header="0" w:footer="0" w:gutter="0"/>
          <w:cols w:space="720" w:num="1"/>
        </w:sectPr>
      </w:pPr>
    </w:p>
    <w:p w14:paraId="0B8903D6">
      <w:pPr>
        <w:pStyle w:val="2"/>
        <w:spacing w:before="88" w:line="219" w:lineRule="auto"/>
        <w:rPr>
          <w:sz w:val="20"/>
          <w:szCs w:val="20"/>
        </w:rPr>
      </w:pPr>
      <w:r>
        <w:rPr>
          <w:rFonts w:ascii="Times New Roman" w:hAnsi="Times New Roman" w:eastAsia="Times New Roman" w:cs="Times New Roman"/>
          <w:spacing w:val="-3"/>
          <w:sz w:val="20"/>
          <w:szCs w:val="20"/>
        </w:rPr>
        <w:t>220</w:t>
      </w:r>
      <w:r>
        <w:rPr>
          <w:rFonts w:ascii="Times New Roman" w:hAnsi="Times New Roman" w:eastAsia="Times New Roman" w:cs="Times New Roman"/>
          <w:spacing w:val="2"/>
          <w:sz w:val="20"/>
          <w:szCs w:val="20"/>
        </w:rPr>
        <w:t xml:space="preserve">             </w:t>
      </w:r>
      <w:r>
        <w:rPr>
          <w:spacing w:val="-3"/>
          <w:sz w:val="20"/>
          <w:szCs w:val="20"/>
        </w:rPr>
        <w:t>信息系统监理师教程(第2版)</w:t>
      </w:r>
    </w:p>
    <w:p w14:paraId="6CE9B323">
      <w:pPr>
        <w:spacing w:line="325" w:lineRule="auto"/>
        <w:rPr>
          <w:rFonts w:ascii="Arial"/>
          <w:sz w:val="21"/>
        </w:rPr>
      </w:pPr>
    </w:p>
    <w:p w14:paraId="3A3825A7">
      <w:pPr>
        <w:pStyle w:val="2"/>
        <w:spacing w:before="65" w:line="219" w:lineRule="auto"/>
        <w:ind w:left="359"/>
        <w:rPr>
          <w:sz w:val="20"/>
          <w:szCs w:val="20"/>
        </w:rPr>
      </w:pPr>
      <w:r>
        <w:rPr>
          <w:spacing w:val="-4"/>
          <w:sz w:val="20"/>
          <w:szCs w:val="20"/>
        </w:rPr>
        <w:t>间存在差异，但概括起来主要因素有以下四点：</w:t>
      </w:r>
    </w:p>
    <w:p w14:paraId="799CD498">
      <w:pPr>
        <w:pStyle w:val="2"/>
        <w:spacing w:before="73" w:line="275" w:lineRule="auto"/>
        <w:ind w:left="359" w:firstLine="379"/>
        <w:rPr>
          <w:sz w:val="20"/>
          <w:szCs w:val="20"/>
        </w:rPr>
      </w:pPr>
      <w:r>
        <w:rPr>
          <w:spacing w:val="6"/>
          <w:sz w:val="20"/>
          <w:szCs w:val="20"/>
        </w:rPr>
        <w:t>(1)不具备能力的单位搅乱信息化工程市场。信息化建设项目</w:t>
      </w:r>
      <w:r>
        <w:rPr>
          <w:spacing w:val="5"/>
          <w:sz w:val="20"/>
          <w:szCs w:val="20"/>
        </w:rPr>
        <w:t>为计算机信息系统集成业务</w:t>
      </w:r>
      <w:r>
        <w:rPr>
          <w:sz w:val="20"/>
          <w:szCs w:val="20"/>
        </w:rPr>
        <w:t xml:space="preserve">  开辟了巨大的市场空间，也使得不少企业承接超过自己承建信息系统工程技术能力的集成项目， </w:t>
      </w:r>
      <w:r>
        <w:rPr>
          <w:spacing w:val="-2"/>
          <w:sz w:val="20"/>
          <w:szCs w:val="20"/>
        </w:rPr>
        <w:t>或采用压低价格等多种不正当手段获取项目，致使项目难以达到用户要求。</w:t>
      </w:r>
    </w:p>
    <w:p w14:paraId="44D53EBF">
      <w:pPr>
        <w:pStyle w:val="2"/>
        <w:spacing w:before="66" w:line="276" w:lineRule="auto"/>
        <w:ind w:left="359" w:right="82" w:firstLine="379"/>
        <w:rPr>
          <w:sz w:val="20"/>
          <w:szCs w:val="20"/>
        </w:rPr>
      </w:pPr>
      <w:r>
        <w:rPr>
          <w:spacing w:val="2"/>
          <w:sz w:val="20"/>
          <w:szCs w:val="20"/>
        </w:rPr>
        <w:t>(2)一些业主单位在选择项目承建单位和进行业务需求分</w:t>
      </w:r>
      <w:r>
        <w:rPr>
          <w:spacing w:val="1"/>
          <w:sz w:val="20"/>
          <w:szCs w:val="20"/>
        </w:rPr>
        <w:t>析方面有误。</w:t>
      </w:r>
      <w:r>
        <w:rPr>
          <w:spacing w:val="46"/>
          <w:sz w:val="20"/>
          <w:szCs w:val="20"/>
        </w:rPr>
        <w:t xml:space="preserve"> </w:t>
      </w:r>
      <w:r>
        <w:rPr>
          <w:spacing w:val="1"/>
          <w:sz w:val="20"/>
          <w:szCs w:val="20"/>
        </w:rPr>
        <w:t>一些业主单位对信</w:t>
      </w:r>
      <w:r>
        <w:rPr>
          <w:sz w:val="20"/>
          <w:szCs w:val="20"/>
        </w:rPr>
        <w:t xml:space="preserve"> </w:t>
      </w:r>
      <w:r>
        <w:rPr>
          <w:spacing w:val="3"/>
          <w:sz w:val="20"/>
          <w:szCs w:val="20"/>
        </w:rPr>
        <w:t>息系统集成企业的实力、专长等要素不熟悉，在招投标环节运作不规范，选择</w:t>
      </w:r>
      <w:r>
        <w:rPr>
          <w:spacing w:val="2"/>
          <w:sz w:val="20"/>
          <w:szCs w:val="20"/>
        </w:rPr>
        <w:t>了缺乏相应能力</w:t>
      </w:r>
      <w:r>
        <w:rPr>
          <w:sz w:val="20"/>
          <w:szCs w:val="20"/>
        </w:rPr>
        <w:t xml:space="preserve"> </w:t>
      </w:r>
      <w:r>
        <w:rPr>
          <w:spacing w:val="3"/>
          <w:sz w:val="20"/>
          <w:szCs w:val="20"/>
        </w:rPr>
        <w:t>的单位承建项目；对要上马的项目具有某种程度的盲目性，对项</w:t>
      </w:r>
      <w:r>
        <w:rPr>
          <w:spacing w:val="2"/>
          <w:sz w:val="20"/>
          <w:szCs w:val="20"/>
        </w:rPr>
        <w:t>目所要达到的目标不明确，不</w:t>
      </w:r>
      <w:r>
        <w:rPr>
          <w:sz w:val="20"/>
          <w:szCs w:val="20"/>
        </w:rPr>
        <w:t xml:space="preserve"> </w:t>
      </w:r>
      <w:r>
        <w:rPr>
          <w:spacing w:val="-5"/>
          <w:sz w:val="20"/>
          <w:szCs w:val="20"/>
        </w:rPr>
        <w:t>能清楚准确地提出项目的业务需求。</w:t>
      </w:r>
    </w:p>
    <w:p w14:paraId="3D594475">
      <w:pPr>
        <w:pStyle w:val="2"/>
        <w:spacing w:before="73" w:line="276" w:lineRule="auto"/>
        <w:ind w:left="359" w:right="89" w:firstLine="379"/>
        <w:rPr>
          <w:sz w:val="20"/>
          <w:szCs w:val="20"/>
        </w:rPr>
      </w:pPr>
      <w:r>
        <w:rPr>
          <w:spacing w:val="5"/>
          <w:sz w:val="20"/>
          <w:szCs w:val="20"/>
        </w:rPr>
        <w:t>(3)信息系统集成企业自身建设有待加强。经过多年信息产业发展和信息技术应用推广实</w:t>
      </w:r>
      <w:r>
        <w:rPr>
          <w:spacing w:val="9"/>
          <w:sz w:val="20"/>
          <w:szCs w:val="20"/>
        </w:rPr>
        <w:t xml:space="preserve"> </w:t>
      </w:r>
      <w:r>
        <w:rPr>
          <w:spacing w:val="3"/>
          <w:sz w:val="20"/>
          <w:szCs w:val="20"/>
        </w:rPr>
        <w:t>践，一批专门从事软件开发和信息系统集成的企业涌现出来，</w:t>
      </w:r>
      <w:r>
        <w:rPr>
          <w:spacing w:val="2"/>
          <w:sz w:val="20"/>
          <w:szCs w:val="20"/>
        </w:rPr>
        <w:t>但有些集成企业的技术能力和管</w:t>
      </w:r>
      <w:r>
        <w:rPr>
          <w:sz w:val="20"/>
          <w:szCs w:val="20"/>
        </w:rPr>
        <w:t xml:space="preserve"> </w:t>
      </w:r>
      <w:r>
        <w:rPr>
          <w:spacing w:val="-3"/>
          <w:sz w:val="20"/>
          <w:szCs w:val="20"/>
        </w:rPr>
        <w:t>理水平还有待进一步提高。</w:t>
      </w:r>
    </w:p>
    <w:p w14:paraId="35D46057">
      <w:pPr>
        <w:pStyle w:val="2"/>
        <w:spacing w:before="62" w:line="262" w:lineRule="auto"/>
        <w:ind w:left="359" w:right="106" w:firstLine="379"/>
        <w:rPr>
          <w:sz w:val="20"/>
          <w:szCs w:val="20"/>
        </w:rPr>
      </w:pPr>
      <w:r>
        <w:rPr>
          <w:spacing w:val="5"/>
          <w:sz w:val="20"/>
          <w:szCs w:val="20"/>
        </w:rPr>
        <w:t>(4)缺乏相应的机制和制度。信息化建设的蓬勃发展呼唤相适应的机制和制度，使之对信</w:t>
      </w:r>
      <w:r>
        <w:rPr>
          <w:spacing w:val="12"/>
          <w:sz w:val="20"/>
          <w:szCs w:val="20"/>
        </w:rPr>
        <w:t xml:space="preserve"> </w:t>
      </w:r>
      <w:r>
        <w:rPr>
          <w:spacing w:val="-1"/>
          <w:sz w:val="20"/>
          <w:szCs w:val="20"/>
        </w:rPr>
        <w:t>息系统工程和信息系统集成企业进行引导、鼓励，</w:t>
      </w:r>
      <w:r>
        <w:rPr>
          <w:spacing w:val="-2"/>
          <w:sz w:val="20"/>
          <w:szCs w:val="20"/>
        </w:rPr>
        <w:t>同时对其进行规范和约束。</w:t>
      </w:r>
    </w:p>
    <w:p w14:paraId="5D4ACC2F">
      <w:pPr>
        <w:pStyle w:val="2"/>
        <w:spacing w:before="150" w:line="219" w:lineRule="auto"/>
        <w:ind w:left="742"/>
        <w:rPr>
          <w:sz w:val="20"/>
          <w:szCs w:val="20"/>
        </w:rPr>
      </w:pPr>
      <w:r>
        <w:rPr>
          <w:b/>
          <w:bCs/>
          <w:color w:val="0073C0"/>
          <w:spacing w:val="-1"/>
          <w:sz w:val="20"/>
          <w:szCs w:val="20"/>
        </w:rPr>
        <w:t>3.问题解决办法</w:t>
      </w:r>
    </w:p>
    <w:p w14:paraId="342F6884">
      <w:pPr>
        <w:pStyle w:val="2"/>
        <w:spacing w:before="168" w:line="282" w:lineRule="auto"/>
        <w:ind w:left="359" w:right="69" w:firstLine="379"/>
        <w:jc w:val="both"/>
        <w:rPr>
          <w:sz w:val="20"/>
          <w:szCs w:val="20"/>
        </w:rPr>
      </w:pPr>
      <w:r>
        <w:rPr>
          <w:spacing w:val="8"/>
          <w:sz w:val="20"/>
          <w:szCs w:val="20"/>
        </w:rPr>
        <w:t>我国政府机构，尤其是信息产业与信息化建设的主管部门，在积极推进信息化建设的过</w:t>
      </w:r>
      <w:r>
        <w:rPr>
          <w:spacing w:val="3"/>
          <w:sz w:val="20"/>
          <w:szCs w:val="20"/>
        </w:rPr>
        <w:t xml:space="preserve"> </w:t>
      </w:r>
      <w:r>
        <w:rPr>
          <w:spacing w:val="8"/>
          <w:sz w:val="20"/>
          <w:szCs w:val="20"/>
        </w:rPr>
        <w:t>程中，对所产生的问题予以密切关注，并且逐步采取了有效措施</w:t>
      </w:r>
      <w:r>
        <w:rPr>
          <w:spacing w:val="7"/>
          <w:sz w:val="20"/>
          <w:szCs w:val="20"/>
        </w:rPr>
        <w:t>。各省、自治区、直辖市等</w:t>
      </w:r>
      <w:r>
        <w:rPr>
          <w:sz w:val="20"/>
          <w:szCs w:val="20"/>
        </w:rPr>
        <w:t xml:space="preserve"> </w:t>
      </w:r>
      <w:r>
        <w:rPr>
          <w:spacing w:val="8"/>
          <w:sz w:val="20"/>
          <w:szCs w:val="20"/>
        </w:rPr>
        <w:t>地方政府的信息产业及信息化主管部门也积极参与并且发挥创造性，进行了有益的探索。随</w:t>
      </w:r>
      <w:r>
        <w:rPr>
          <w:spacing w:val="9"/>
          <w:sz w:val="20"/>
          <w:szCs w:val="20"/>
        </w:rPr>
        <w:t xml:space="preserve"> </w:t>
      </w:r>
      <w:r>
        <w:rPr>
          <w:spacing w:val="8"/>
          <w:sz w:val="20"/>
          <w:szCs w:val="20"/>
        </w:rPr>
        <w:t>着国家“放管服”的改革，如何让有能力的优秀企业建设优质的信息系</w:t>
      </w:r>
      <w:r>
        <w:rPr>
          <w:spacing w:val="7"/>
          <w:sz w:val="20"/>
          <w:szCs w:val="20"/>
        </w:rPr>
        <w:t>统工程项目，这就需</w:t>
      </w:r>
      <w:r>
        <w:rPr>
          <w:sz w:val="20"/>
          <w:szCs w:val="20"/>
        </w:rPr>
        <w:t xml:space="preserve"> </w:t>
      </w:r>
      <w:r>
        <w:rPr>
          <w:spacing w:val="8"/>
          <w:sz w:val="20"/>
          <w:szCs w:val="20"/>
        </w:rPr>
        <w:t>要建立一支技术精干、业务能力强、管理水平高的监理队伍，加强信</w:t>
      </w:r>
      <w:r>
        <w:rPr>
          <w:spacing w:val="7"/>
          <w:sz w:val="20"/>
          <w:szCs w:val="20"/>
        </w:rPr>
        <w:t>息系统工程监理人员管</w:t>
      </w:r>
      <w:r>
        <w:rPr>
          <w:sz w:val="20"/>
          <w:szCs w:val="20"/>
        </w:rPr>
        <w:t xml:space="preserve"> </w:t>
      </w:r>
      <w:r>
        <w:rPr>
          <w:spacing w:val="8"/>
          <w:sz w:val="20"/>
          <w:szCs w:val="20"/>
        </w:rPr>
        <w:t>理和服务水平，做好绩效评价和审计监督管理，成为信息系统工程建设质量更</w:t>
      </w:r>
      <w:r>
        <w:rPr>
          <w:spacing w:val="7"/>
          <w:sz w:val="20"/>
          <w:szCs w:val="20"/>
        </w:rPr>
        <w:t>上一个台阶的</w:t>
      </w:r>
      <w:r>
        <w:rPr>
          <w:sz w:val="20"/>
          <w:szCs w:val="20"/>
        </w:rPr>
        <w:t xml:space="preserve"> </w:t>
      </w:r>
      <w:r>
        <w:rPr>
          <w:spacing w:val="2"/>
          <w:sz w:val="20"/>
          <w:szCs w:val="20"/>
        </w:rPr>
        <w:t>有力保障。</w:t>
      </w:r>
    </w:p>
    <w:p w14:paraId="5C77BF78">
      <w:pPr>
        <w:spacing w:line="322" w:lineRule="auto"/>
        <w:rPr>
          <w:rFonts w:ascii="Arial"/>
          <w:sz w:val="21"/>
        </w:rPr>
      </w:pPr>
    </w:p>
    <w:p w14:paraId="0D59C88E">
      <w:pPr>
        <w:pStyle w:val="2"/>
        <w:spacing w:before="92" w:line="221" w:lineRule="auto"/>
        <w:ind w:left="363"/>
        <w:rPr>
          <w:rFonts w:ascii="黑体" w:hAnsi="黑体" w:eastAsia="黑体" w:cs="黑体"/>
          <w:sz w:val="28"/>
          <w:szCs w:val="28"/>
        </w:rPr>
      </w:pPr>
      <w:bookmarkStart w:id="598" w:name="bookmark583"/>
      <w:bookmarkEnd w:id="598"/>
      <w:r>
        <w:rPr>
          <w:b/>
          <w:bCs/>
          <w:color w:val="0068E0"/>
          <w:spacing w:val="-5"/>
          <w:sz w:val="28"/>
          <w:szCs w:val="28"/>
        </w:rPr>
        <w:t>8.4</w:t>
      </w:r>
      <w:r>
        <w:rPr>
          <w:color w:val="0068E0"/>
          <w:spacing w:val="117"/>
          <w:sz w:val="28"/>
          <w:szCs w:val="28"/>
        </w:rPr>
        <w:t xml:space="preserve"> </w:t>
      </w:r>
      <w:r>
        <w:rPr>
          <w:rFonts w:ascii="黑体" w:hAnsi="黑体" w:eastAsia="黑体" w:cs="黑体"/>
          <w:b/>
          <w:bCs/>
          <w:color w:val="0068E0"/>
          <w:spacing w:val="-5"/>
          <w:sz w:val="28"/>
          <w:szCs w:val="28"/>
        </w:rPr>
        <w:t>信息系统工程监理的依据</w:t>
      </w:r>
    </w:p>
    <w:p w14:paraId="12D3658A">
      <w:pPr>
        <w:pStyle w:val="2"/>
        <w:spacing w:before="257" w:line="282" w:lineRule="auto"/>
        <w:ind w:left="359" w:right="110" w:firstLine="379"/>
        <w:rPr>
          <w:sz w:val="20"/>
          <w:szCs w:val="20"/>
        </w:rPr>
      </w:pPr>
      <w:r>
        <w:rPr>
          <w:spacing w:val="3"/>
          <w:sz w:val="20"/>
          <w:szCs w:val="20"/>
        </w:rPr>
        <w:t>在信息系统工程建设方面，国家出台了相应的管理规定和办法，同时</w:t>
      </w:r>
      <w:r>
        <w:rPr>
          <w:spacing w:val="2"/>
          <w:sz w:val="20"/>
          <w:szCs w:val="20"/>
        </w:rPr>
        <w:t>发布了相关国家标准</w:t>
      </w:r>
      <w:r>
        <w:rPr>
          <w:sz w:val="20"/>
          <w:szCs w:val="20"/>
        </w:rPr>
        <w:t xml:space="preserve"> </w:t>
      </w:r>
      <w:r>
        <w:rPr>
          <w:spacing w:val="-2"/>
          <w:sz w:val="20"/>
          <w:szCs w:val="20"/>
        </w:rPr>
        <w:t>和行业团体标准，规范监理工作，作为开展信息系统工程监理工作的重要依据。</w:t>
      </w:r>
    </w:p>
    <w:p w14:paraId="517A74AF">
      <w:pPr>
        <w:pStyle w:val="2"/>
        <w:spacing w:before="118" w:line="220" w:lineRule="auto"/>
        <w:ind w:left="742"/>
        <w:rPr>
          <w:sz w:val="20"/>
          <w:szCs w:val="20"/>
        </w:rPr>
      </w:pPr>
      <w:r>
        <w:rPr>
          <w:b/>
          <w:bCs/>
          <w:color w:val="0064BC"/>
          <w:spacing w:val="-2"/>
          <w:sz w:val="20"/>
          <w:szCs w:val="20"/>
        </w:rPr>
        <w:t>1.国家标准</w:t>
      </w:r>
    </w:p>
    <w:p w14:paraId="607C4DEE">
      <w:pPr>
        <w:pStyle w:val="2"/>
        <w:spacing w:before="132" w:line="271" w:lineRule="auto"/>
        <w:ind w:left="359" w:right="89" w:firstLine="379"/>
        <w:jc w:val="both"/>
        <w:rPr>
          <w:sz w:val="20"/>
          <w:szCs w:val="20"/>
        </w:rPr>
      </w:pPr>
      <w:r>
        <w:rPr>
          <w:spacing w:val="5"/>
          <w:sz w:val="20"/>
          <w:szCs w:val="20"/>
        </w:rPr>
        <w:t>信息系统工程监理方面的国家标准主要是</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/T</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5"/>
          <w:sz w:val="20"/>
          <w:szCs w:val="20"/>
        </w:rPr>
        <w:t>196</w:t>
      </w:r>
      <w:r>
        <w:rPr>
          <w:rFonts w:ascii="Times New Roman" w:hAnsi="Times New Roman" w:eastAsia="Times New Roman" w:cs="Times New Roman"/>
          <w:spacing w:val="4"/>
          <w:sz w:val="20"/>
          <w:szCs w:val="20"/>
        </w:rPr>
        <w:t>68</w:t>
      </w:r>
      <w:r>
        <w:rPr>
          <w:spacing w:val="4"/>
          <w:sz w:val="20"/>
          <w:szCs w:val="20"/>
        </w:rPr>
        <w:t>《信息技术服务</w:t>
      </w:r>
      <w:r>
        <w:rPr>
          <w:spacing w:val="34"/>
          <w:sz w:val="20"/>
          <w:szCs w:val="20"/>
        </w:rPr>
        <w:t xml:space="preserve"> </w:t>
      </w:r>
      <w:r>
        <w:rPr>
          <w:spacing w:val="4"/>
          <w:sz w:val="20"/>
          <w:szCs w:val="20"/>
        </w:rPr>
        <w:t>监理》(简称“监</w:t>
      </w:r>
      <w:r>
        <w:rPr>
          <w:sz w:val="20"/>
          <w:szCs w:val="20"/>
        </w:rPr>
        <w:t xml:space="preserve"> </w:t>
      </w:r>
      <w:r>
        <w:rPr>
          <w:spacing w:val="3"/>
          <w:sz w:val="20"/>
          <w:szCs w:val="20"/>
        </w:rPr>
        <w:t>理规范")。信息化工程监理规范自2005年发</w:t>
      </w:r>
      <w:r>
        <w:rPr>
          <w:spacing w:val="2"/>
          <w:sz w:val="20"/>
          <w:szCs w:val="20"/>
        </w:rPr>
        <w:t>布以来，已经经过了两轮修订，相关的国家标准主</w:t>
      </w:r>
      <w:r>
        <w:rPr>
          <w:sz w:val="20"/>
          <w:szCs w:val="20"/>
        </w:rPr>
        <w:t xml:space="preserve"> </w:t>
      </w:r>
      <w:r>
        <w:rPr>
          <w:spacing w:val="-4"/>
          <w:sz w:val="20"/>
          <w:szCs w:val="20"/>
        </w:rPr>
        <w:t>要包括：</w:t>
      </w:r>
    </w:p>
    <w:p w14:paraId="5AEA9A1E">
      <w:pPr>
        <w:pStyle w:val="2"/>
        <w:spacing w:before="28" w:line="212" w:lineRule="auto"/>
        <w:ind w:left="73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w:t>
      </w:r>
      <w:r>
        <w:rPr>
          <w:rFonts w:ascii="Times New Roman" w:hAnsi="Times New Roman" w:eastAsia="Times New Roman" w:cs="Times New Roman"/>
          <w:sz w:val="20"/>
          <w:szCs w:val="20"/>
        </w:rPr>
        <w:t>GB</w:t>
      </w:r>
      <w:r>
        <w:rPr>
          <w:rFonts w:ascii="Times New Roman" w:hAnsi="Times New Roman" w:eastAsia="Times New Roman" w:cs="Times New Roman"/>
          <w:spacing w:val="4"/>
          <w:sz w:val="20"/>
          <w:szCs w:val="20"/>
        </w:rPr>
        <w:t>/T</w:t>
      </w:r>
      <w:r>
        <w:rPr>
          <w:rFonts w:ascii="Times New Roman" w:hAnsi="Times New Roman" w:eastAsia="Times New Roman" w:cs="Times New Roman"/>
          <w:spacing w:val="48"/>
          <w:sz w:val="20"/>
          <w:szCs w:val="20"/>
        </w:rPr>
        <w:t xml:space="preserve"> </w:t>
      </w:r>
      <w:r>
        <w:rPr>
          <w:rFonts w:ascii="Times New Roman" w:hAnsi="Times New Roman" w:eastAsia="Times New Roman" w:cs="Times New Roman"/>
          <w:spacing w:val="4"/>
          <w:sz w:val="20"/>
          <w:szCs w:val="20"/>
        </w:rPr>
        <w:t xml:space="preserve">19668.1  </w:t>
      </w:r>
      <w:r>
        <w:rPr>
          <w:spacing w:val="4"/>
          <w:sz w:val="20"/>
          <w:szCs w:val="20"/>
        </w:rPr>
        <w:t>《信息技术服务监理第</w:t>
      </w:r>
      <w:r>
        <w:rPr>
          <w:rFonts w:ascii="Times New Roman" w:hAnsi="Times New Roman" w:eastAsia="Times New Roman" w:cs="Times New Roman"/>
          <w:spacing w:val="3"/>
          <w:sz w:val="20"/>
          <w:szCs w:val="20"/>
        </w:rPr>
        <w:t>1</w:t>
      </w:r>
      <w:r>
        <w:rPr>
          <w:spacing w:val="3"/>
          <w:sz w:val="20"/>
          <w:szCs w:val="20"/>
        </w:rPr>
        <w:t>部分：总则》</w:t>
      </w:r>
      <w:r>
        <w:rPr>
          <w:spacing w:val="-26"/>
          <w:sz w:val="20"/>
          <w:szCs w:val="20"/>
        </w:rPr>
        <w:t xml:space="preserve"> </w:t>
      </w:r>
      <w:r>
        <w:rPr>
          <w:rFonts w:ascii="Times New Roman" w:hAnsi="Times New Roman" w:eastAsia="Times New Roman" w:cs="Times New Roman"/>
          <w:spacing w:val="3"/>
          <w:sz w:val="20"/>
          <w:szCs w:val="20"/>
        </w:rPr>
        <w:t>;</w:t>
      </w:r>
    </w:p>
    <w:p w14:paraId="5FB0C3BE">
      <w:pPr>
        <w:pStyle w:val="2"/>
        <w:spacing w:before="81" w:line="212" w:lineRule="auto"/>
        <w:ind w:left="739"/>
        <w:rPr>
          <w:sz w:val="20"/>
          <w:szCs w:val="20"/>
        </w:rPr>
      </w:pPr>
      <w:r>
        <w:rPr>
          <w:rFonts w:ascii="Times New Roman" w:hAnsi="Times New Roman" w:eastAsia="Times New Roman" w:cs="Times New Roman"/>
          <w:spacing w:val="5"/>
          <w:sz w:val="20"/>
          <w:szCs w:val="20"/>
        </w:rPr>
        <w:t>(2)</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/T    19668.2</w:t>
      </w:r>
      <w:r>
        <w:rPr>
          <w:spacing w:val="5"/>
          <w:sz w:val="20"/>
          <w:szCs w:val="20"/>
        </w:rPr>
        <w:t>《信息技术服务监理第2部分：基础设施工程监理规范》;</w:t>
      </w:r>
    </w:p>
    <w:p w14:paraId="3871E98C">
      <w:pPr>
        <w:pStyle w:val="2"/>
        <w:spacing w:before="80" w:line="212" w:lineRule="auto"/>
        <w:ind w:left="739"/>
        <w:rPr>
          <w:sz w:val="20"/>
          <w:szCs w:val="20"/>
        </w:rPr>
      </w:pPr>
      <w:r>
        <w:rPr>
          <w:rFonts w:ascii="Times New Roman" w:hAnsi="Times New Roman" w:eastAsia="Times New Roman" w:cs="Times New Roman"/>
          <w:spacing w:val="5"/>
          <w:sz w:val="20"/>
          <w:szCs w:val="20"/>
        </w:rPr>
        <w:t>(3)</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/T    19668.3</w:t>
      </w:r>
      <w:r>
        <w:rPr>
          <w:spacing w:val="5"/>
          <w:sz w:val="20"/>
          <w:szCs w:val="20"/>
        </w:rPr>
        <w:t>《信息技术服务监理第3部分：运行</w:t>
      </w:r>
      <w:r>
        <w:rPr>
          <w:spacing w:val="4"/>
          <w:sz w:val="20"/>
          <w:szCs w:val="20"/>
        </w:rPr>
        <w:t>维护监理规范》;</w:t>
      </w:r>
    </w:p>
    <w:p w14:paraId="42DEB105">
      <w:pPr>
        <w:pStyle w:val="2"/>
        <w:spacing w:before="80" w:line="212" w:lineRule="auto"/>
        <w:ind w:left="739"/>
        <w:rPr>
          <w:sz w:val="20"/>
          <w:szCs w:val="20"/>
        </w:rPr>
      </w:pPr>
      <w:r>
        <w:rPr>
          <w:rFonts w:ascii="Times New Roman" w:hAnsi="Times New Roman" w:eastAsia="Times New Roman" w:cs="Times New Roman"/>
          <w:spacing w:val="5"/>
          <w:sz w:val="20"/>
          <w:szCs w:val="20"/>
        </w:rPr>
        <w:t>(4)</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/T    19668.4</w:t>
      </w:r>
      <w:r>
        <w:rPr>
          <w:spacing w:val="5"/>
          <w:sz w:val="20"/>
          <w:szCs w:val="20"/>
        </w:rPr>
        <w:t>《信息技术服务监理第4部分：信息安全监理规范》;</w:t>
      </w:r>
    </w:p>
    <w:p w14:paraId="767BAADB">
      <w:pPr>
        <w:pStyle w:val="2"/>
        <w:spacing w:before="81" w:line="212" w:lineRule="auto"/>
        <w:ind w:left="73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/T</w:t>
      </w:r>
      <w:r>
        <w:rPr>
          <w:rFonts w:ascii="Times New Roman" w:hAnsi="Times New Roman" w:eastAsia="Times New Roman" w:cs="Times New Roman"/>
          <w:spacing w:val="60"/>
          <w:w w:val="101"/>
          <w:sz w:val="20"/>
          <w:szCs w:val="20"/>
        </w:rPr>
        <w:t xml:space="preserve"> </w:t>
      </w:r>
      <w:r>
        <w:rPr>
          <w:rFonts w:ascii="Times New Roman" w:hAnsi="Times New Roman" w:eastAsia="Times New Roman" w:cs="Times New Roman"/>
          <w:spacing w:val="3"/>
          <w:sz w:val="20"/>
          <w:szCs w:val="20"/>
        </w:rPr>
        <w:t>19668.5</w:t>
      </w:r>
      <w:r>
        <w:rPr>
          <w:rFonts w:ascii="Times New Roman" w:hAnsi="Times New Roman" w:eastAsia="Times New Roman" w:cs="Times New Roman"/>
          <w:spacing w:val="28"/>
          <w:w w:val="101"/>
          <w:sz w:val="20"/>
          <w:szCs w:val="20"/>
        </w:rPr>
        <w:t xml:space="preserve"> </w:t>
      </w:r>
      <w:r>
        <w:rPr>
          <w:spacing w:val="3"/>
          <w:sz w:val="20"/>
          <w:szCs w:val="20"/>
        </w:rPr>
        <w:t>《信息技术服务监理第</w:t>
      </w:r>
      <w:r>
        <w:rPr>
          <w:rFonts w:ascii="Times New Roman" w:hAnsi="Times New Roman" w:eastAsia="Times New Roman" w:cs="Times New Roman"/>
          <w:spacing w:val="3"/>
          <w:sz w:val="20"/>
          <w:szCs w:val="20"/>
        </w:rPr>
        <w:t>5</w:t>
      </w:r>
      <w:r>
        <w:rPr>
          <w:spacing w:val="3"/>
          <w:sz w:val="20"/>
          <w:szCs w:val="20"/>
        </w:rPr>
        <w:t xml:space="preserve">部分：软件工程监理规范》 </w:t>
      </w:r>
      <w:r>
        <w:rPr>
          <w:rFonts w:ascii="Times New Roman" w:hAnsi="Times New Roman" w:eastAsia="Times New Roman" w:cs="Times New Roman"/>
          <w:spacing w:val="3"/>
          <w:sz w:val="20"/>
          <w:szCs w:val="20"/>
        </w:rPr>
        <w:t>;</w:t>
      </w:r>
    </w:p>
    <w:p w14:paraId="55060007">
      <w:pPr>
        <w:pStyle w:val="2"/>
        <w:spacing w:before="70" w:line="212" w:lineRule="auto"/>
        <w:ind w:left="739"/>
        <w:rPr>
          <w:sz w:val="20"/>
          <w:szCs w:val="20"/>
        </w:rPr>
      </w:pPr>
      <w:r>
        <w:rPr>
          <w:rFonts w:ascii="Times New Roman" w:hAnsi="Times New Roman" w:eastAsia="Times New Roman" w:cs="Times New Roman"/>
          <w:spacing w:val="5"/>
          <w:sz w:val="20"/>
          <w:szCs w:val="20"/>
        </w:rPr>
        <w:t>(6)</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/T    19668.6</w:t>
      </w:r>
      <w:r>
        <w:rPr>
          <w:spacing w:val="5"/>
          <w:sz w:val="20"/>
          <w:szCs w:val="20"/>
        </w:rPr>
        <w:t>《信息技术服务监理第6部分：应用系统：数据中心工程监理规</w:t>
      </w:r>
      <w:r>
        <w:rPr>
          <w:spacing w:val="4"/>
          <w:sz w:val="20"/>
          <w:szCs w:val="20"/>
        </w:rPr>
        <w:t>范》;</w:t>
      </w:r>
    </w:p>
    <w:p w14:paraId="291FB6DF">
      <w:pPr>
        <w:spacing w:line="212" w:lineRule="auto"/>
        <w:rPr>
          <w:sz w:val="20"/>
          <w:szCs w:val="20"/>
        </w:rPr>
        <w:sectPr>
          <w:pgSz w:w="10300" w:h="13470"/>
          <w:pgMar w:top="400" w:right="1119" w:bottom="400" w:left="420" w:header="0" w:footer="0" w:gutter="0"/>
          <w:cols w:space="720" w:num="1"/>
        </w:sectPr>
      </w:pPr>
    </w:p>
    <w:p w14:paraId="1AD2D18B">
      <w:pPr>
        <w:pStyle w:val="2"/>
        <w:spacing w:before="87" w:line="221" w:lineRule="auto"/>
        <w:jc w:val="right"/>
        <w:rPr>
          <w:rFonts w:ascii="Times New Roman" w:hAnsi="Times New Roman" w:eastAsia="Times New Roman" w:cs="Times New Roman"/>
          <w:sz w:val="20"/>
          <w:szCs w:val="20"/>
        </w:rPr>
      </w:pPr>
      <w:r>
        <w:rPr>
          <w:spacing w:val="-6"/>
          <w:sz w:val="20"/>
          <w:szCs w:val="20"/>
        </w:rPr>
        <w:t xml:space="preserve">第8章 信息系统工程监理基础知识      </w:t>
      </w:r>
      <w:r>
        <w:rPr>
          <w:rFonts w:ascii="Times New Roman" w:hAnsi="Times New Roman" w:eastAsia="Times New Roman" w:cs="Times New Roman"/>
          <w:spacing w:val="-6"/>
          <w:position w:val="-2"/>
          <w:sz w:val="20"/>
          <w:szCs w:val="20"/>
        </w:rPr>
        <w:t>221</w:t>
      </w:r>
    </w:p>
    <w:p w14:paraId="7FF788A7">
      <w:pPr>
        <w:spacing w:line="276" w:lineRule="auto"/>
        <w:rPr>
          <w:rFonts w:ascii="Arial"/>
          <w:sz w:val="21"/>
        </w:rPr>
      </w:pPr>
    </w:p>
    <w:p w14:paraId="3CB737CB">
      <w:pPr>
        <w:pStyle w:val="2"/>
        <w:spacing w:before="65" w:line="212" w:lineRule="auto"/>
        <w:ind w:left="410"/>
        <w:rPr>
          <w:sz w:val="20"/>
          <w:szCs w:val="20"/>
        </w:rPr>
      </w:pPr>
      <w:r>
        <w:rPr>
          <w:rFonts w:ascii="Times New Roman" w:hAnsi="Times New Roman" w:eastAsia="Times New Roman" w:cs="Times New Roman"/>
          <w:spacing w:val="4"/>
          <w:sz w:val="20"/>
          <w:szCs w:val="20"/>
        </w:rPr>
        <w:t>(7)</w:t>
      </w:r>
      <w:r>
        <w:rPr>
          <w:rFonts w:ascii="Times New Roman" w:hAnsi="Times New Roman" w:eastAsia="Times New Roman" w:cs="Times New Roman"/>
          <w:sz w:val="20"/>
          <w:szCs w:val="20"/>
        </w:rPr>
        <w:t>GB</w:t>
      </w:r>
      <w:r>
        <w:rPr>
          <w:rFonts w:ascii="Times New Roman" w:hAnsi="Times New Roman" w:eastAsia="Times New Roman" w:cs="Times New Roman"/>
          <w:spacing w:val="4"/>
          <w:sz w:val="20"/>
          <w:szCs w:val="20"/>
        </w:rPr>
        <w:t>/T     19668.7</w:t>
      </w:r>
      <w:r>
        <w:rPr>
          <w:spacing w:val="4"/>
          <w:sz w:val="20"/>
          <w:szCs w:val="20"/>
        </w:rPr>
        <w:t>《信息技术服务</w:t>
      </w:r>
      <w:r>
        <w:rPr>
          <w:spacing w:val="3"/>
          <w:sz w:val="20"/>
          <w:szCs w:val="20"/>
        </w:rPr>
        <w:t>监理第7部分：监理工作量度量要求》。</w:t>
      </w:r>
    </w:p>
    <w:p w14:paraId="1110F745">
      <w:pPr>
        <w:pStyle w:val="2"/>
        <w:spacing w:before="181" w:line="224" w:lineRule="auto"/>
        <w:ind w:left="412"/>
        <w:rPr>
          <w:rFonts w:ascii="黑体" w:hAnsi="黑体" w:eastAsia="黑体" w:cs="黑体"/>
          <w:sz w:val="20"/>
          <w:szCs w:val="20"/>
        </w:rPr>
      </w:pPr>
      <w:bookmarkStart w:id="599" w:name="bookmark584"/>
      <w:bookmarkEnd w:id="599"/>
      <w:r>
        <w:rPr>
          <w:b/>
          <w:bCs/>
          <w:color w:val="0065CA"/>
          <w:sz w:val="20"/>
          <w:szCs w:val="20"/>
        </w:rPr>
        <w:t>2.</w:t>
      </w:r>
      <w:r>
        <w:rPr>
          <w:rFonts w:ascii="黑体" w:hAnsi="黑体" w:eastAsia="黑体" w:cs="黑体"/>
          <w:b/>
          <w:bCs/>
          <w:color w:val="0065CA"/>
          <w:sz w:val="20"/>
          <w:szCs w:val="20"/>
        </w:rPr>
        <w:t>团体标准</w:t>
      </w:r>
    </w:p>
    <w:p w14:paraId="6E149EA7">
      <w:pPr>
        <w:pStyle w:val="2"/>
        <w:spacing w:before="159" w:line="220" w:lineRule="auto"/>
        <w:ind w:left="410"/>
        <w:rPr>
          <w:sz w:val="20"/>
          <w:szCs w:val="20"/>
        </w:rPr>
      </w:pPr>
      <w:r>
        <w:rPr>
          <w:spacing w:val="-5"/>
          <w:sz w:val="20"/>
          <w:szCs w:val="20"/>
        </w:rPr>
        <w:t>相关团体标准主要包括：</w:t>
      </w:r>
    </w:p>
    <w:p w14:paraId="5B3CAFE3">
      <w:pPr>
        <w:pStyle w:val="2"/>
        <w:spacing w:before="58" w:line="212" w:lineRule="auto"/>
        <w:ind w:left="410"/>
        <w:rPr>
          <w:sz w:val="20"/>
          <w:szCs w:val="20"/>
        </w:rPr>
      </w:pPr>
      <w:r>
        <w:rPr>
          <w:rFonts w:ascii="Times New Roman" w:hAnsi="Times New Roman" w:eastAsia="Times New Roman" w:cs="Times New Roman"/>
          <w:spacing w:val="-1"/>
          <w:sz w:val="20"/>
          <w:szCs w:val="20"/>
        </w:rPr>
        <w:t>(1)T/CEEAPJ.001</w:t>
      </w:r>
      <w:r>
        <w:rPr>
          <w:spacing w:val="-1"/>
          <w:sz w:val="20"/>
          <w:szCs w:val="20"/>
        </w:rPr>
        <w:t>《 信息系统工程监理服务评价第1部分：监</w:t>
      </w:r>
      <w:r>
        <w:rPr>
          <w:spacing w:val="-2"/>
          <w:sz w:val="20"/>
          <w:szCs w:val="20"/>
        </w:rPr>
        <w:t>理单位服务能力评估规范》;</w:t>
      </w:r>
    </w:p>
    <w:p w14:paraId="61251CB4">
      <w:pPr>
        <w:pStyle w:val="2"/>
        <w:spacing w:before="91" w:line="212" w:lineRule="auto"/>
        <w:ind w:left="410"/>
        <w:rPr>
          <w:sz w:val="20"/>
          <w:szCs w:val="20"/>
        </w:rPr>
      </w:pPr>
      <w:r>
        <w:rPr>
          <w:rFonts w:ascii="Times New Roman" w:hAnsi="Times New Roman" w:eastAsia="Times New Roman" w:cs="Times New Roman"/>
          <w:spacing w:val="5"/>
          <w:sz w:val="20"/>
          <w:szCs w:val="20"/>
        </w:rPr>
        <w:t>(2)T/</w:t>
      </w:r>
      <w:r>
        <w:rPr>
          <w:rFonts w:ascii="Times New Roman" w:hAnsi="Times New Roman" w:eastAsia="Times New Roman" w:cs="Times New Roman"/>
          <w:sz w:val="20"/>
          <w:szCs w:val="20"/>
        </w:rPr>
        <w:t>CEEA</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PJ</w:t>
      </w:r>
      <w:r>
        <w:rPr>
          <w:rFonts w:ascii="Times New Roman" w:hAnsi="Times New Roman" w:eastAsia="Times New Roman" w:cs="Times New Roman"/>
          <w:spacing w:val="5"/>
          <w:sz w:val="20"/>
          <w:szCs w:val="20"/>
        </w:rPr>
        <w:t>.002</w:t>
      </w:r>
      <w:r>
        <w:rPr>
          <w:spacing w:val="5"/>
          <w:sz w:val="20"/>
          <w:szCs w:val="20"/>
        </w:rPr>
        <w:t>《信息系统工程监理服务评价第2部分：从业人员</w:t>
      </w:r>
      <w:r>
        <w:rPr>
          <w:spacing w:val="4"/>
          <w:sz w:val="20"/>
          <w:szCs w:val="20"/>
        </w:rPr>
        <w:t>能力要求》;</w:t>
      </w:r>
    </w:p>
    <w:p w14:paraId="2BA4E343">
      <w:pPr>
        <w:pStyle w:val="2"/>
        <w:spacing w:before="80" w:line="212" w:lineRule="auto"/>
        <w:ind w:left="410"/>
        <w:rPr>
          <w:sz w:val="20"/>
          <w:szCs w:val="20"/>
        </w:rPr>
      </w:pPr>
      <w:r>
        <w:rPr>
          <w:rFonts w:ascii="Times New Roman" w:hAnsi="Times New Roman" w:eastAsia="Times New Roman" w:cs="Times New Roman"/>
          <w:spacing w:val="5"/>
          <w:sz w:val="20"/>
          <w:szCs w:val="20"/>
        </w:rPr>
        <w:t>(3)T/</w:t>
      </w:r>
      <w:r>
        <w:rPr>
          <w:rFonts w:ascii="Times New Roman" w:hAnsi="Times New Roman" w:eastAsia="Times New Roman" w:cs="Times New Roman"/>
          <w:sz w:val="20"/>
          <w:szCs w:val="20"/>
        </w:rPr>
        <w:t>CEEA</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PJ</w:t>
      </w:r>
      <w:r>
        <w:rPr>
          <w:rFonts w:ascii="Times New Roman" w:hAnsi="Times New Roman" w:eastAsia="Times New Roman" w:cs="Times New Roman"/>
          <w:spacing w:val="5"/>
          <w:sz w:val="20"/>
          <w:szCs w:val="20"/>
        </w:rPr>
        <w:t>.003</w:t>
      </w:r>
      <w:r>
        <w:rPr>
          <w:spacing w:val="5"/>
          <w:sz w:val="20"/>
          <w:szCs w:val="20"/>
        </w:rPr>
        <w:t>《信息系统工程监理服务评价</w:t>
      </w:r>
      <w:r>
        <w:rPr>
          <w:spacing w:val="4"/>
          <w:sz w:val="20"/>
          <w:szCs w:val="20"/>
        </w:rPr>
        <w:t>第3部分：从业人员能力评价指南》;</w:t>
      </w:r>
    </w:p>
    <w:p w14:paraId="35B0BAFF">
      <w:pPr>
        <w:pStyle w:val="2"/>
        <w:spacing w:before="90" w:line="212" w:lineRule="auto"/>
        <w:ind w:left="410"/>
        <w:rPr>
          <w:sz w:val="20"/>
          <w:szCs w:val="20"/>
        </w:rPr>
      </w:pPr>
      <w:r>
        <w:rPr>
          <w:rFonts w:ascii="Times New Roman" w:hAnsi="Times New Roman" w:eastAsia="Times New Roman" w:cs="Times New Roman"/>
          <w:spacing w:val="5"/>
          <w:sz w:val="20"/>
          <w:szCs w:val="20"/>
        </w:rPr>
        <w:t>(4)T/</w:t>
      </w:r>
      <w:r>
        <w:rPr>
          <w:rFonts w:ascii="Times New Roman" w:hAnsi="Times New Roman" w:eastAsia="Times New Roman" w:cs="Times New Roman"/>
          <w:sz w:val="20"/>
          <w:szCs w:val="20"/>
        </w:rPr>
        <w:t>CEEA</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PJ</w:t>
      </w:r>
      <w:r>
        <w:rPr>
          <w:rFonts w:ascii="Times New Roman" w:hAnsi="Times New Roman" w:eastAsia="Times New Roman" w:cs="Times New Roman"/>
          <w:spacing w:val="5"/>
          <w:sz w:val="20"/>
          <w:szCs w:val="20"/>
        </w:rPr>
        <w:t>.004</w:t>
      </w:r>
      <w:r>
        <w:rPr>
          <w:spacing w:val="5"/>
          <w:sz w:val="20"/>
          <w:szCs w:val="20"/>
        </w:rPr>
        <w:t>《信息系统工程监理服务评价第4部分：服务成</w:t>
      </w:r>
      <w:r>
        <w:rPr>
          <w:spacing w:val="4"/>
          <w:sz w:val="20"/>
          <w:szCs w:val="20"/>
        </w:rPr>
        <w:t>本度量指南》;</w:t>
      </w:r>
    </w:p>
    <w:p w14:paraId="3D8D1B47">
      <w:pPr>
        <w:pStyle w:val="2"/>
        <w:spacing w:before="81" w:line="212" w:lineRule="auto"/>
        <w:ind w:left="410"/>
        <w:rPr>
          <w:sz w:val="20"/>
          <w:szCs w:val="20"/>
        </w:rPr>
      </w:pPr>
      <w:r>
        <w:rPr>
          <w:rFonts w:ascii="Times New Roman" w:hAnsi="Times New Roman" w:eastAsia="Times New Roman" w:cs="Times New Roman"/>
          <w:spacing w:val="5"/>
          <w:sz w:val="20"/>
          <w:szCs w:val="20"/>
        </w:rPr>
        <w:t>(5)T/</w:t>
      </w:r>
      <w:r>
        <w:rPr>
          <w:rFonts w:ascii="Times New Roman" w:hAnsi="Times New Roman" w:eastAsia="Times New Roman" w:cs="Times New Roman"/>
          <w:sz w:val="20"/>
          <w:szCs w:val="20"/>
        </w:rPr>
        <w:t>CEEA</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PJ</w:t>
      </w:r>
      <w:r>
        <w:rPr>
          <w:rFonts w:ascii="Times New Roman" w:hAnsi="Times New Roman" w:eastAsia="Times New Roman" w:cs="Times New Roman"/>
          <w:spacing w:val="5"/>
          <w:sz w:val="20"/>
          <w:szCs w:val="20"/>
        </w:rPr>
        <w:t>.005</w:t>
      </w:r>
      <w:r>
        <w:rPr>
          <w:spacing w:val="5"/>
          <w:sz w:val="20"/>
          <w:szCs w:val="20"/>
        </w:rPr>
        <w:t>《信息系统工程监理服务评价第5部分：服务质量评价规范》。</w:t>
      </w:r>
    </w:p>
    <w:p w14:paraId="103937F7">
      <w:pPr>
        <w:spacing w:line="460" w:lineRule="auto"/>
        <w:rPr>
          <w:rFonts w:ascii="Arial"/>
          <w:sz w:val="21"/>
        </w:rPr>
      </w:pPr>
    </w:p>
    <w:p w14:paraId="00BC193A">
      <w:pPr>
        <w:pStyle w:val="2"/>
        <w:spacing w:before="65" w:line="221" w:lineRule="auto"/>
        <w:ind w:left="2"/>
        <w:rPr>
          <w:rFonts w:ascii="黑体" w:hAnsi="黑体" w:eastAsia="黑体" w:cs="黑体"/>
          <w:sz w:val="20"/>
          <w:szCs w:val="20"/>
        </w:rPr>
      </w:pPr>
      <w:r>
        <w:rPr>
          <w:b/>
          <w:bCs/>
          <w:color w:val="0063E6"/>
          <w:spacing w:val="-7"/>
          <w:sz w:val="20"/>
          <w:szCs w:val="20"/>
        </w:rPr>
        <w:t>8.5</w:t>
      </w:r>
      <w:r>
        <w:rPr>
          <w:color w:val="0063E6"/>
          <w:spacing w:val="31"/>
          <w:sz w:val="20"/>
          <w:szCs w:val="20"/>
        </w:rPr>
        <w:t xml:space="preserve">   </w:t>
      </w:r>
      <w:r>
        <w:rPr>
          <w:rFonts w:ascii="黑体" w:hAnsi="黑体" w:eastAsia="黑体" w:cs="黑体"/>
          <w:b/>
          <w:bCs/>
          <w:color w:val="0063E6"/>
          <w:spacing w:val="-7"/>
          <w:sz w:val="20"/>
          <w:szCs w:val="20"/>
        </w:rPr>
        <w:t>信</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息</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系</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统</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工</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程</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监</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理</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的</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风</w:t>
      </w:r>
      <w:r>
        <w:rPr>
          <w:rFonts w:ascii="黑体" w:hAnsi="黑体" w:eastAsia="黑体" w:cs="黑体"/>
          <w:color w:val="0063E6"/>
          <w:spacing w:val="-7"/>
          <w:sz w:val="20"/>
          <w:szCs w:val="20"/>
        </w:rPr>
        <w:t xml:space="preserve"> </w:t>
      </w:r>
      <w:r>
        <w:rPr>
          <w:rFonts w:ascii="黑体" w:hAnsi="黑体" w:eastAsia="黑体" w:cs="黑体"/>
          <w:b/>
          <w:bCs/>
          <w:color w:val="0063E6"/>
          <w:spacing w:val="-7"/>
          <w:sz w:val="20"/>
          <w:szCs w:val="20"/>
        </w:rPr>
        <w:t>险</w:t>
      </w:r>
    </w:p>
    <w:p w14:paraId="2F3CFD19">
      <w:pPr>
        <w:pStyle w:val="2"/>
        <w:spacing w:before="305" w:line="273" w:lineRule="auto"/>
        <w:ind w:right="226" w:firstLine="410"/>
        <w:rPr>
          <w:sz w:val="20"/>
          <w:szCs w:val="20"/>
        </w:rPr>
      </w:pPr>
      <w:r>
        <w:rPr>
          <w:sz w:val="20"/>
          <w:szCs w:val="20"/>
        </w:rPr>
        <w:t>信息系统工程监理工作会面临各种各样的风险，监理单位应采用</w:t>
      </w:r>
      <w:r>
        <w:rPr>
          <w:spacing w:val="-1"/>
          <w:sz w:val="20"/>
          <w:szCs w:val="20"/>
        </w:rPr>
        <w:t>相应合适的风险防范方法，</w:t>
      </w:r>
      <w:r>
        <w:rPr>
          <w:sz w:val="20"/>
          <w:szCs w:val="20"/>
        </w:rPr>
        <w:t xml:space="preserve"> </w:t>
      </w:r>
      <w:r>
        <w:rPr>
          <w:spacing w:val="-4"/>
          <w:sz w:val="20"/>
          <w:szCs w:val="20"/>
        </w:rPr>
        <w:t>对风险进行管控。</w:t>
      </w:r>
    </w:p>
    <w:p w14:paraId="030B5DFC">
      <w:pPr>
        <w:pStyle w:val="2"/>
        <w:spacing w:before="187" w:line="219" w:lineRule="auto"/>
        <w:ind w:left="2"/>
        <w:rPr>
          <w:sz w:val="25"/>
          <w:szCs w:val="25"/>
        </w:rPr>
      </w:pPr>
      <w:r>
        <w:rPr>
          <w:b/>
          <w:bCs/>
          <w:color w:val="006AD5"/>
          <w:spacing w:val="-17"/>
          <w:sz w:val="25"/>
          <w:szCs w:val="25"/>
        </w:rPr>
        <w:t>8.5.1</w:t>
      </w:r>
      <w:r>
        <w:rPr>
          <w:color w:val="006AD5"/>
          <w:spacing w:val="102"/>
          <w:sz w:val="25"/>
          <w:szCs w:val="25"/>
        </w:rPr>
        <w:t xml:space="preserve"> </w:t>
      </w:r>
      <w:r>
        <w:rPr>
          <w:b/>
          <w:bCs/>
          <w:color w:val="006AD5"/>
          <w:spacing w:val="-17"/>
          <w:sz w:val="25"/>
          <w:szCs w:val="25"/>
        </w:rPr>
        <w:t>监理工作的风险类别</w:t>
      </w:r>
    </w:p>
    <w:p w14:paraId="4E3805DC">
      <w:pPr>
        <w:pStyle w:val="2"/>
        <w:spacing w:before="260" w:line="221" w:lineRule="auto"/>
        <w:ind w:left="412"/>
        <w:rPr>
          <w:rFonts w:ascii="黑体" w:hAnsi="黑体" w:eastAsia="黑体" w:cs="黑体"/>
          <w:sz w:val="20"/>
          <w:szCs w:val="20"/>
        </w:rPr>
      </w:pPr>
      <w:r>
        <w:rPr>
          <w:b/>
          <w:bCs/>
          <w:color w:val="0063C7"/>
          <w:spacing w:val="-4"/>
          <w:sz w:val="20"/>
          <w:szCs w:val="20"/>
        </w:rPr>
        <w:t>1.</w:t>
      </w:r>
      <w:r>
        <w:rPr>
          <w:rFonts w:ascii="黑体" w:hAnsi="黑体" w:eastAsia="黑体" w:cs="黑体"/>
          <w:b/>
          <w:bCs/>
          <w:color w:val="0063C7"/>
          <w:spacing w:val="-4"/>
          <w:sz w:val="20"/>
          <w:szCs w:val="20"/>
        </w:rPr>
        <w:t>行为责任风险</w:t>
      </w:r>
    </w:p>
    <w:p w14:paraId="33C93E49">
      <w:pPr>
        <w:pStyle w:val="2"/>
        <w:spacing w:before="156" w:line="219" w:lineRule="auto"/>
        <w:ind w:left="410"/>
        <w:rPr>
          <w:sz w:val="20"/>
          <w:szCs w:val="20"/>
        </w:rPr>
      </w:pPr>
      <w:r>
        <w:rPr>
          <w:spacing w:val="-4"/>
          <w:sz w:val="20"/>
          <w:szCs w:val="20"/>
        </w:rPr>
        <w:t>行为责任风险来自以下三个方面：</w:t>
      </w:r>
    </w:p>
    <w:p w14:paraId="4B091A0F">
      <w:pPr>
        <w:pStyle w:val="2"/>
        <w:spacing w:before="72" w:line="259" w:lineRule="auto"/>
        <w:ind w:right="297" w:firstLine="410"/>
        <w:rPr>
          <w:sz w:val="20"/>
          <w:szCs w:val="20"/>
        </w:rPr>
      </w:pPr>
      <w:r>
        <w:rPr>
          <w:spacing w:val="5"/>
          <w:sz w:val="20"/>
          <w:szCs w:val="20"/>
        </w:rPr>
        <w:t>(1)监理人员超出业主单位委托的工作范围，从事了自身职责外的工作，并造成了工作上</w:t>
      </w:r>
      <w:r>
        <w:rPr>
          <w:spacing w:val="17"/>
          <w:sz w:val="20"/>
          <w:szCs w:val="20"/>
        </w:rPr>
        <w:t xml:space="preserve"> </w:t>
      </w:r>
      <w:r>
        <w:rPr>
          <w:spacing w:val="-6"/>
          <w:sz w:val="20"/>
          <w:szCs w:val="20"/>
        </w:rPr>
        <w:t>的损失。</w:t>
      </w:r>
    </w:p>
    <w:p w14:paraId="30524A1A">
      <w:pPr>
        <w:pStyle w:val="2"/>
        <w:spacing w:before="60" w:line="220" w:lineRule="auto"/>
        <w:ind w:left="410"/>
        <w:rPr>
          <w:sz w:val="20"/>
          <w:szCs w:val="20"/>
        </w:rPr>
      </w:pPr>
      <w:r>
        <w:rPr>
          <w:spacing w:val="2"/>
          <w:sz w:val="20"/>
          <w:szCs w:val="20"/>
        </w:rPr>
        <w:t>(2)监理人员未能正确履行合同中规定的职责</w:t>
      </w:r>
      <w:r>
        <w:rPr>
          <w:spacing w:val="1"/>
          <w:sz w:val="20"/>
          <w:szCs w:val="20"/>
        </w:rPr>
        <w:t>，在工作中发生失职行为造成损失。</w:t>
      </w:r>
    </w:p>
    <w:p w14:paraId="2B48D6E3">
      <w:pPr>
        <w:pStyle w:val="2"/>
        <w:spacing w:before="81" w:line="219" w:lineRule="auto"/>
        <w:ind w:left="410"/>
        <w:rPr>
          <w:sz w:val="20"/>
          <w:szCs w:val="20"/>
        </w:rPr>
      </w:pPr>
      <w:r>
        <w:rPr>
          <w:spacing w:val="1"/>
          <w:sz w:val="20"/>
          <w:szCs w:val="20"/>
        </w:rPr>
        <w:t>(3)监理人员由于主观上的无意行为，未能严格履行职责并造成了损失。</w:t>
      </w:r>
    </w:p>
    <w:p w14:paraId="010A8ECC">
      <w:pPr>
        <w:pStyle w:val="2"/>
        <w:spacing w:before="149" w:line="222" w:lineRule="auto"/>
        <w:ind w:left="412"/>
        <w:rPr>
          <w:rFonts w:ascii="黑体" w:hAnsi="黑体" w:eastAsia="黑体" w:cs="黑体"/>
          <w:sz w:val="20"/>
          <w:szCs w:val="20"/>
        </w:rPr>
      </w:pPr>
      <w:r>
        <w:rPr>
          <w:b/>
          <w:bCs/>
          <w:color w:val="006BD6"/>
          <w:spacing w:val="-2"/>
          <w:sz w:val="20"/>
          <w:szCs w:val="20"/>
        </w:rPr>
        <w:t>2.</w:t>
      </w:r>
      <w:r>
        <w:rPr>
          <w:rFonts w:ascii="黑体" w:hAnsi="黑体" w:eastAsia="黑体" w:cs="黑体"/>
          <w:b/>
          <w:bCs/>
          <w:color w:val="006BD6"/>
          <w:spacing w:val="-2"/>
          <w:sz w:val="20"/>
          <w:szCs w:val="20"/>
        </w:rPr>
        <w:t>工作技能风险</w:t>
      </w:r>
    </w:p>
    <w:p w14:paraId="512DF190">
      <w:pPr>
        <w:pStyle w:val="2"/>
        <w:spacing w:before="134" w:line="277" w:lineRule="auto"/>
        <w:ind w:right="297" w:firstLine="410"/>
        <w:jc w:val="both"/>
        <w:rPr>
          <w:sz w:val="20"/>
          <w:szCs w:val="20"/>
        </w:rPr>
      </w:pPr>
      <w:r>
        <w:rPr>
          <w:spacing w:val="3"/>
          <w:sz w:val="20"/>
          <w:szCs w:val="20"/>
        </w:rPr>
        <w:t>监理人员由于在某些方面工作技能的不足，尽管履行了合同中业主单位委托的职责，实际</w:t>
      </w:r>
      <w:r>
        <w:rPr>
          <w:sz w:val="20"/>
          <w:szCs w:val="20"/>
        </w:rPr>
        <w:t xml:space="preserve"> </w:t>
      </w:r>
      <w:r>
        <w:rPr>
          <w:spacing w:val="3"/>
          <w:sz w:val="20"/>
          <w:szCs w:val="20"/>
        </w:rPr>
        <w:t>上并未发现本应该发现的问题和隐患。现代信息技术日新月异，</w:t>
      </w:r>
      <w:r>
        <w:rPr>
          <w:spacing w:val="2"/>
          <w:sz w:val="20"/>
          <w:szCs w:val="20"/>
        </w:rPr>
        <w:t>并不是每一位监理人员都能及</w:t>
      </w:r>
      <w:r>
        <w:rPr>
          <w:sz w:val="20"/>
          <w:szCs w:val="20"/>
        </w:rPr>
        <w:t xml:space="preserve"> </w:t>
      </w:r>
      <w:r>
        <w:rPr>
          <w:spacing w:val="-1"/>
          <w:sz w:val="20"/>
          <w:szCs w:val="20"/>
        </w:rPr>
        <w:t>时、准确、全面地掌握所有的相关知识和技能，因此这一</w:t>
      </w:r>
      <w:r>
        <w:rPr>
          <w:spacing w:val="-2"/>
          <w:sz w:val="20"/>
          <w:szCs w:val="20"/>
        </w:rPr>
        <w:t>类风险无法完全避免。</w:t>
      </w:r>
    </w:p>
    <w:p w14:paraId="7C9AF8F3">
      <w:pPr>
        <w:pStyle w:val="2"/>
        <w:spacing w:before="94" w:line="221" w:lineRule="auto"/>
        <w:ind w:left="412"/>
        <w:rPr>
          <w:rFonts w:ascii="黑体" w:hAnsi="黑体" w:eastAsia="黑体" w:cs="黑体"/>
          <w:sz w:val="20"/>
          <w:szCs w:val="20"/>
        </w:rPr>
      </w:pPr>
      <w:r>
        <w:rPr>
          <w:b/>
          <w:bCs/>
          <w:color w:val="0066CC"/>
          <w:spacing w:val="-4"/>
          <w:sz w:val="20"/>
          <w:szCs w:val="20"/>
        </w:rPr>
        <w:t>3.</w:t>
      </w:r>
      <w:r>
        <w:rPr>
          <w:rFonts w:ascii="黑体" w:hAnsi="黑体" w:eastAsia="黑体" w:cs="黑体"/>
          <w:b/>
          <w:bCs/>
          <w:color w:val="0066CC"/>
          <w:spacing w:val="-4"/>
          <w:sz w:val="20"/>
          <w:szCs w:val="20"/>
        </w:rPr>
        <w:t>技术资源风险</w:t>
      </w:r>
    </w:p>
    <w:p w14:paraId="1C807501">
      <w:pPr>
        <w:pStyle w:val="2"/>
        <w:spacing w:before="153" w:line="282" w:lineRule="auto"/>
        <w:ind w:right="206" w:firstLine="410"/>
        <w:jc w:val="both"/>
        <w:rPr>
          <w:sz w:val="20"/>
          <w:szCs w:val="20"/>
        </w:rPr>
      </w:pPr>
      <w:r>
        <w:rPr>
          <w:spacing w:val="3"/>
          <w:sz w:val="20"/>
          <w:szCs w:val="20"/>
        </w:rPr>
        <w:t>即使监理人员在工作中没有行为上的过错，仍然有可能承受一些风险。例如，在软件开发</w:t>
      </w:r>
      <w:r>
        <w:rPr>
          <w:sz w:val="20"/>
          <w:szCs w:val="20"/>
        </w:rPr>
        <w:t xml:space="preserve">  过程中，监理人员按照正常的程序和方法，对开发过程进行了检查和监督，并未发现任何问题，</w:t>
      </w:r>
      <w:r>
        <w:rPr>
          <w:spacing w:val="18"/>
          <w:sz w:val="20"/>
          <w:szCs w:val="20"/>
        </w:rPr>
        <w:t xml:space="preserve"> </w:t>
      </w:r>
      <w:r>
        <w:rPr>
          <w:spacing w:val="3"/>
          <w:sz w:val="20"/>
          <w:szCs w:val="20"/>
        </w:rPr>
        <w:t>但仍有可能出现由于系统设计本身存在缺陷而导致不能完全满足实际应用的情况。某些工程上</w:t>
      </w:r>
      <w:r>
        <w:rPr>
          <w:spacing w:val="2"/>
          <w:sz w:val="20"/>
          <w:szCs w:val="20"/>
        </w:rPr>
        <w:t xml:space="preserve">  </w:t>
      </w:r>
      <w:r>
        <w:rPr>
          <w:spacing w:val="3"/>
          <w:sz w:val="20"/>
          <w:szCs w:val="20"/>
        </w:rPr>
        <w:t xml:space="preserve">质量隐患的暴露需要一定的时间和诱因，利用现有的技术手段和方法，并不可能保证所有问题  都能及时发现。同时，由于人力、财力和技术资源的限制，监理人员无法对实施过程的所有部  </w:t>
      </w:r>
      <w:r>
        <w:rPr>
          <w:spacing w:val="-1"/>
          <w:sz w:val="20"/>
          <w:szCs w:val="20"/>
        </w:rPr>
        <w:t>位、所有环节的问题都进行及时全面细致地检查、发现，因此必然需要面对风险。</w:t>
      </w:r>
    </w:p>
    <w:p w14:paraId="46C2C3A1">
      <w:pPr>
        <w:pStyle w:val="2"/>
        <w:spacing w:before="105" w:line="222" w:lineRule="auto"/>
        <w:ind w:left="412"/>
        <w:rPr>
          <w:rFonts w:ascii="黑体" w:hAnsi="黑体" w:eastAsia="黑体" w:cs="黑体"/>
          <w:sz w:val="20"/>
          <w:szCs w:val="20"/>
        </w:rPr>
      </w:pPr>
      <w:r>
        <w:rPr>
          <w:b/>
          <w:bCs/>
          <w:color w:val="006FD1"/>
          <w:spacing w:val="-4"/>
          <w:sz w:val="20"/>
          <w:szCs w:val="20"/>
        </w:rPr>
        <w:t>4.</w:t>
      </w:r>
      <w:r>
        <w:rPr>
          <w:rFonts w:ascii="黑体" w:hAnsi="黑体" w:eastAsia="黑体" w:cs="黑体"/>
          <w:b/>
          <w:bCs/>
          <w:color w:val="006FD1"/>
          <w:spacing w:val="-4"/>
          <w:sz w:val="20"/>
          <w:szCs w:val="20"/>
        </w:rPr>
        <w:t>管理风险</w:t>
      </w:r>
    </w:p>
    <w:p w14:paraId="04C4ADCA">
      <w:pPr>
        <w:pStyle w:val="2"/>
        <w:spacing w:before="143" w:line="219" w:lineRule="auto"/>
        <w:ind w:left="410"/>
        <w:rPr>
          <w:sz w:val="20"/>
          <w:szCs w:val="20"/>
        </w:rPr>
      </w:pPr>
      <w:r>
        <w:rPr>
          <w:spacing w:val="-2"/>
          <w:sz w:val="20"/>
          <w:szCs w:val="20"/>
        </w:rPr>
        <w:t>明确的管理目标、合理的组织机构、细致的职责分工、有效的约束机制，是监理单位组织管</w:t>
      </w:r>
    </w:p>
    <w:p w14:paraId="11D6997F">
      <w:pPr>
        <w:spacing w:line="219" w:lineRule="auto"/>
        <w:rPr>
          <w:sz w:val="20"/>
          <w:szCs w:val="20"/>
        </w:rPr>
        <w:sectPr>
          <w:pgSz w:w="10280" w:h="13340"/>
          <w:pgMar w:top="400" w:right="594" w:bottom="400" w:left="1059" w:header="0" w:footer="0" w:gutter="0"/>
          <w:cols w:space="720" w:num="1"/>
        </w:sectPr>
      </w:pPr>
    </w:p>
    <w:p w14:paraId="18B2D3BD">
      <w:pPr>
        <w:pStyle w:val="2"/>
        <w:spacing w:before="77" w:line="221" w:lineRule="auto"/>
        <w:rPr>
          <w:sz w:val="19"/>
          <w:szCs w:val="19"/>
        </w:rPr>
      </w:pPr>
      <w:r>
        <w:rPr>
          <w:rFonts w:ascii="Times New Roman" w:hAnsi="Times New Roman" w:eastAsia="Times New Roman" w:cs="Times New Roman"/>
          <w:spacing w:val="3"/>
          <w:position w:val="-3"/>
          <w:sz w:val="24"/>
          <w:szCs w:val="24"/>
        </w:rPr>
        <w:t xml:space="preserve">222          </w:t>
      </w:r>
      <w:r>
        <w:rPr>
          <w:spacing w:val="3"/>
          <w:sz w:val="19"/>
          <w:szCs w:val="19"/>
        </w:rPr>
        <w:t>信息系统监理师教程(第2版)</w:t>
      </w:r>
    </w:p>
    <w:p w14:paraId="456E567F">
      <w:pPr>
        <w:spacing w:line="311" w:lineRule="auto"/>
        <w:rPr>
          <w:rFonts w:ascii="Arial"/>
          <w:sz w:val="21"/>
        </w:rPr>
      </w:pPr>
    </w:p>
    <w:p w14:paraId="3B448CD7">
      <w:pPr>
        <w:pStyle w:val="2"/>
        <w:spacing w:before="61" w:line="219" w:lineRule="auto"/>
        <w:ind w:right="20"/>
        <w:jc w:val="right"/>
        <w:rPr>
          <w:sz w:val="19"/>
          <w:szCs w:val="19"/>
        </w:rPr>
      </w:pPr>
      <w:r>
        <w:rPr>
          <w:spacing w:val="5"/>
          <w:sz w:val="19"/>
          <w:szCs w:val="19"/>
        </w:rPr>
        <w:t>理的基本保证。如果管理机制不健全，即使有高素质的人才，也会出现这样或那样的问题和风</w:t>
      </w:r>
      <w:r>
        <w:rPr>
          <w:spacing w:val="4"/>
          <w:sz w:val="19"/>
          <w:szCs w:val="19"/>
        </w:rPr>
        <w:t>险。</w:t>
      </w:r>
    </w:p>
    <w:p w14:paraId="01104523">
      <w:pPr>
        <w:pStyle w:val="2"/>
        <w:spacing w:before="245" w:line="220" w:lineRule="auto"/>
        <w:ind w:left="372"/>
        <w:rPr>
          <w:sz w:val="24"/>
          <w:szCs w:val="24"/>
        </w:rPr>
      </w:pPr>
      <w:bookmarkStart w:id="600" w:name="bookmark585"/>
      <w:bookmarkEnd w:id="600"/>
      <w:r>
        <w:rPr>
          <w:b/>
          <w:bCs/>
          <w:color w:val="006DDA"/>
          <w:spacing w:val="-9"/>
          <w:sz w:val="24"/>
          <w:szCs w:val="24"/>
        </w:rPr>
        <w:t>8.5.2</w:t>
      </w:r>
      <w:r>
        <w:rPr>
          <w:color w:val="006DDA"/>
          <w:spacing w:val="-9"/>
          <w:sz w:val="24"/>
          <w:szCs w:val="24"/>
        </w:rPr>
        <w:t xml:space="preserve">  </w:t>
      </w:r>
      <w:r>
        <w:rPr>
          <w:b/>
          <w:bCs/>
          <w:color w:val="006DDA"/>
          <w:spacing w:val="-9"/>
          <w:sz w:val="24"/>
          <w:szCs w:val="24"/>
        </w:rPr>
        <w:t>监理单位的风险防范方法</w:t>
      </w:r>
    </w:p>
    <w:p w14:paraId="67603473">
      <w:pPr>
        <w:pStyle w:val="2"/>
        <w:spacing w:before="282" w:line="223" w:lineRule="auto"/>
        <w:ind w:left="762"/>
        <w:rPr>
          <w:rFonts w:ascii="黑体" w:hAnsi="黑体" w:eastAsia="黑体" w:cs="黑体"/>
          <w:sz w:val="19"/>
          <w:szCs w:val="19"/>
        </w:rPr>
      </w:pPr>
      <w:r>
        <w:rPr>
          <w:b/>
          <w:bCs/>
          <w:color w:val="0068D1"/>
          <w:spacing w:val="6"/>
          <w:sz w:val="19"/>
          <w:szCs w:val="19"/>
        </w:rPr>
        <w:t>1.</w:t>
      </w:r>
      <w:r>
        <w:rPr>
          <w:rFonts w:ascii="黑体" w:hAnsi="黑体" w:eastAsia="黑体" w:cs="黑体"/>
          <w:b/>
          <w:bCs/>
          <w:color w:val="0068D1"/>
          <w:spacing w:val="6"/>
          <w:sz w:val="19"/>
          <w:szCs w:val="19"/>
        </w:rPr>
        <w:t>谨慎签订监理合同</w:t>
      </w:r>
    </w:p>
    <w:p w14:paraId="565CF95D">
      <w:pPr>
        <w:pStyle w:val="2"/>
        <w:spacing w:before="160" w:line="306" w:lineRule="auto"/>
        <w:ind w:left="369" w:firstLine="389"/>
        <w:jc w:val="both"/>
        <w:rPr>
          <w:sz w:val="19"/>
          <w:szCs w:val="19"/>
        </w:rPr>
      </w:pPr>
      <w:r>
        <w:rPr>
          <w:spacing w:val="13"/>
          <w:sz w:val="19"/>
          <w:szCs w:val="19"/>
        </w:rPr>
        <w:t>监理单位在签订信息系统工程监理合同之前，应该首先调查业主单位的资信、经营</w:t>
      </w:r>
      <w:r>
        <w:rPr>
          <w:spacing w:val="12"/>
          <w:sz w:val="19"/>
          <w:szCs w:val="19"/>
        </w:rPr>
        <w:t>状况和</w:t>
      </w:r>
      <w:r>
        <w:rPr>
          <w:sz w:val="19"/>
          <w:szCs w:val="19"/>
        </w:rPr>
        <w:t xml:space="preserve">  </w:t>
      </w:r>
      <w:r>
        <w:rPr>
          <w:spacing w:val="10"/>
          <w:sz w:val="19"/>
          <w:szCs w:val="19"/>
        </w:rPr>
        <w:t>财务状况。其次，在合同的谈判过程中，要争取主动并采取相应的对策，保护自己的合法利益。</w:t>
      </w:r>
      <w:r>
        <w:rPr>
          <w:spacing w:val="4"/>
          <w:sz w:val="19"/>
          <w:szCs w:val="19"/>
        </w:rPr>
        <w:t xml:space="preserve"> </w:t>
      </w:r>
      <w:r>
        <w:rPr>
          <w:spacing w:val="13"/>
          <w:sz w:val="19"/>
          <w:szCs w:val="19"/>
        </w:rPr>
        <w:t>对委托单位提出的合同文本要仔细推敲，对重要问题要慎重考虑，积极争取</w:t>
      </w:r>
      <w:r>
        <w:rPr>
          <w:spacing w:val="12"/>
          <w:sz w:val="19"/>
          <w:szCs w:val="19"/>
        </w:rPr>
        <w:t>对风险性条款及过</w:t>
      </w:r>
      <w:r>
        <w:rPr>
          <w:sz w:val="19"/>
          <w:szCs w:val="19"/>
        </w:rPr>
        <w:t xml:space="preserve">  </w:t>
      </w:r>
      <w:r>
        <w:rPr>
          <w:spacing w:val="13"/>
          <w:sz w:val="19"/>
          <w:szCs w:val="19"/>
        </w:rPr>
        <w:t>于苛刻的条款做出适当调整，不能接受权利与义务不平等的合同，不能为了</w:t>
      </w:r>
      <w:r>
        <w:rPr>
          <w:spacing w:val="12"/>
          <w:sz w:val="19"/>
          <w:szCs w:val="19"/>
        </w:rPr>
        <w:t>揽到信息系统工程</w:t>
      </w:r>
      <w:r>
        <w:rPr>
          <w:sz w:val="19"/>
          <w:szCs w:val="19"/>
        </w:rPr>
        <w:t xml:space="preserve">  </w:t>
      </w:r>
      <w:r>
        <w:rPr>
          <w:spacing w:val="8"/>
          <w:sz w:val="19"/>
          <w:szCs w:val="19"/>
        </w:rPr>
        <w:t>监理合同而随意让步，从而丧失公平原则，使自</w:t>
      </w:r>
      <w:r>
        <w:rPr>
          <w:spacing w:val="7"/>
          <w:sz w:val="19"/>
          <w:szCs w:val="19"/>
        </w:rPr>
        <w:t>己陷入被动地步。</w:t>
      </w:r>
    </w:p>
    <w:p w14:paraId="2E74638E">
      <w:pPr>
        <w:pStyle w:val="2"/>
        <w:spacing w:before="124" w:line="222" w:lineRule="auto"/>
        <w:ind w:left="762"/>
        <w:rPr>
          <w:rFonts w:ascii="黑体" w:hAnsi="黑体" w:eastAsia="黑体" w:cs="黑体"/>
          <w:sz w:val="19"/>
          <w:szCs w:val="19"/>
        </w:rPr>
      </w:pPr>
      <w:r>
        <w:rPr>
          <w:b/>
          <w:bCs/>
          <w:color w:val="0062C4"/>
          <w:spacing w:val="6"/>
          <w:sz w:val="19"/>
          <w:szCs w:val="19"/>
        </w:rPr>
        <w:t>2.</w:t>
      </w:r>
      <w:r>
        <w:rPr>
          <w:rFonts w:ascii="黑体" w:hAnsi="黑体" w:eastAsia="黑体" w:cs="黑体"/>
          <w:b/>
          <w:bCs/>
          <w:color w:val="0062C4"/>
          <w:spacing w:val="6"/>
          <w:sz w:val="19"/>
          <w:szCs w:val="19"/>
        </w:rPr>
        <w:t>严格履行合同</w:t>
      </w:r>
    </w:p>
    <w:p w14:paraId="6384317C">
      <w:pPr>
        <w:pStyle w:val="2"/>
        <w:spacing w:before="155" w:line="289" w:lineRule="auto"/>
        <w:ind w:left="369" w:right="88" w:firstLine="389"/>
        <w:rPr>
          <w:sz w:val="19"/>
          <w:szCs w:val="19"/>
        </w:rPr>
      </w:pPr>
      <w:r>
        <w:rPr>
          <w:spacing w:val="13"/>
          <w:sz w:val="19"/>
          <w:szCs w:val="19"/>
        </w:rPr>
        <w:t>对于监理工作中涉及的所有合同，监理人员必须做到心中有数，注意在自身的职责范围内</w:t>
      </w:r>
      <w:r>
        <w:rPr>
          <w:spacing w:val="8"/>
          <w:sz w:val="19"/>
          <w:szCs w:val="19"/>
        </w:rPr>
        <w:t xml:space="preserve"> </w:t>
      </w:r>
      <w:r>
        <w:rPr>
          <w:spacing w:val="7"/>
          <w:sz w:val="19"/>
          <w:szCs w:val="19"/>
        </w:rPr>
        <w:t>开展工作，不要超越业主单位的委托范围去工作。</w:t>
      </w:r>
    </w:p>
    <w:p w14:paraId="63383906">
      <w:pPr>
        <w:pStyle w:val="2"/>
        <w:spacing w:before="133" w:line="222" w:lineRule="auto"/>
        <w:ind w:left="762"/>
        <w:rPr>
          <w:rFonts w:ascii="黑体" w:hAnsi="黑体" w:eastAsia="黑体" w:cs="黑体"/>
          <w:sz w:val="19"/>
          <w:szCs w:val="19"/>
        </w:rPr>
      </w:pPr>
      <w:r>
        <w:rPr>
          <w:b/>
          <w:bCs/>
          <w:color w:val="0071D5"/>
          <w:spacing w:val="6"/>
          <w:sz w:val="19"/>
          <w:szCs w:val="19"/>
        </w:rPr>
        <w:t>3.</w:t>
      </w:r>
      <w:r>
        <w:rPr>
          <w:rFonts w:ascii="黑体" w:hAnsi="黑体" w:eastAsia="黑体" w:cs="黑体"/>
          <w:b/>
          <w:bCs/>
          <w:color w:val="0071D5"/>
          <w:spacing w:val="6"/>
          <w:sz w:val="19"/>
          <w:szCs w:val="19"/>
        </w:rPr>
        <w:t>提高专业技能</w:t>
      </w:r>
    </w:p>
    <w:p w14:paraId="10A74B3C">
      <w:pPr>
        <w:pStyle w:val="2"/>
        <w:spacing w:before="163" w:line="283" w:lineRule="auto"/>
        <w:ind w:left="369" w:right="85" w:firstLine="389"/>
        <w:jc w:val="both"/>
        <w:rPr>
          <w:sz w:val="19"/>
          <w:szCs w:val="19"/>
        </w:rPr>
      </w:pPr>
      <w:r>
        <w:rPr>
          <w:spacing w:val="13"/>
          <w:sz w:val="19"/>
          <w:szCs w:val="19"/>
        </w:rPr>
        <w:t>监理人员的职责从客观上要求从业者不断学习，努力提高自身素质，否则就无法适应现代</w:t>
      </w:r>
      <w:r>
        <w:rPr>
          <w:spacing w:val="12"/>
          <w:sz w:val="19"/>
          <w:szCs w:val="19"/>
        </w:rPr>
        <w:t xml:space="preserve"> </w:t>
      </w:r>
      <w:r>
        <w:rPr>
          <w:spacing w:val="13"/>
          <w:sz w:val="19"/>
          <w:szCs w:val="19"/>
        </w:rPr>
        <w:t>工程建设的要求。监理人员应在专业能力和行为能力两个方面进行持续提升</w:t>
      </w:r>
      <w:r>
        <w:rPr>
          <w:spacing w:val="12"/>
          <w:sz w:val="19"/>
          <w:szCs w:val="19"/>
        </w:rPr>
        <w:t>，以防范由于专业</w:t>
      </w:r>
      <w:r>
        <w:rPr>
          <w:sz w:val="19"/>
          <w:szCs w:val="19"/>
        </w:rPr>
        <w:t xml:space="preserve"> </w:t>
      </w:r>
      <w:r>
        <w:rPr>
          <w:spacing w:val="6"/>
          <w:sz w:val="19"/>
          <w:szCs w:val="19"/>
        </w:rPr>
        <w:t>能力和行为能力不足带来的风险。</w:t>
      </w:r>
    </w:p>
    <w:p w14:paraId="733E9E94">
      <w:pPr>
        <w:pStyle w:val="2"/>
        <w:spacing w:before="57" w:line="219" w:lineRule="auto"/>
        <w:ind w:left="759"/>
        <w:rPr>
          <w:sz w:val="19"/>
          <w:szCs w:val="19"/>
        </w:rPr>
      </w:pPr>
      <w:r>
        <w:rPr>
          <w:spacing w:val="10"/>
          <w:sz w:val="19"/>
          <w:szCs w:val="19"/>
        </w:rPr>
        <w:t>表8-1详细列出了监理人员应具备的能力类别、能力项及能力要求的内容。</w:t>
      </w:r>
    </w:p>
    <w:p w14:paraId="5BE1BA07">
      <w:pPr>
        <w:spacing w:before="140" w:line="221" w:lineRule="auto"/>
        <w:ind w:left="3492"/>
        <w:rPr>
          <w:rFonts w:ascii="黑体" w:hAnsi="黑体" w:eastAsia="黑体" w:cs="黑体"/>
          <w:sz w:val="19"/>
          <w:szCs w:val="19"/>
        </w:rPr>
      </w:pPr>
      <w:r>
        <w:rPr>
          <w:rFonts w:ascii="黑体" w:hAnsi="黑体" w:eastAsia="黑体" w:cs="黑体"/>
          <w:b/>
          <w:bCs/>
          <w:spacing w:val="-6"/>
          <w:sz w:val="19"/>
          <w:szCs w:val="19"/>
        </w:rPr>
        <w:t>表8-1</w:t>
      </w:r>
      <w:r>
        <w:rPr>
          <w:rFonts w:ascii="黑体" w:hAnsi="黑体" w:eastAsia="黑体" w:cs="黑体"/>
          <w:spacing w:val="51"/>
          <w:sz w:val="19"/>
          <w:szCs w:val="19"/>
        </w:rPr>
        <w:t xml:space="preserve"> </w:t>
      </w:r>
      <w:r>
        <w:rPr>
          <w:rFonts w:ascii="黑体" w:hAnsi="黑体" w:eastAsia="黑体" w:cs="黑体"/>
          <w:b/>
          <w:bCs/>
          <w:spacing w:val="-6"/>
          <w:sz w:val="19"/>
          <w:szCs w:val="19"/>
        </w:rPr>
        <w:t>监理人员能力要求</w:t>
      </w:r>
    </w:p>
    <w:p w14:paraId="669E2C1B">
      <w:pPr>
        <w:spacing w:line="125" w:lineRule="exact"/>
      </w:pPr>
    </w:p>
    <w:tbl>
      <w:tblPr>
        <w:tblStyle w:val="5"/>
        <w:tblW w:w="8346" w:type="dxa"/>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0"/>
        <w:gridCol w:w="810"/>
        <w:gridCol w:w="1340"/>
        <w:gridCol w:w="5726"/>
      </w:tblGrid>
      <w:tr w14:paraId="25E5D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470" w:type="dxa"/>
            <w:tcBorders>
              <w:left w:val="nil"/>
            </w:tcBorders>
            <w:vAlign w:val="top"/>
          </w:tcPr>
          <w:p w14:paraId="682A0DE4">
            <w:pPr>
              <w:pStyle w:val="6"/>
              <w:spacing w:before="81" w:line="221" w:lineRule="auto"/>
              <w:ind w:left="42"/>
            </w:pPr>
            <w:r>
              <w:rPr>
                <w:b/>
                <w:bCs/>
                <w:spacing w:val="-4"/>
              </w:rPr>
              <w:t>序号</w:t>
            </w:r>
          </w:p>
        </w:tc>
        <w:tc>
          <w:tcPr>
            <w:tcW w:w="810" w:type="dxa"/>
            <w:vAlign w:val="top"/>
          </w:tcPr>
          <w:p w14:paraId="435F8312">
            <w:pPr>
              <w:pStyle w:val="6"/>
              <w:spacing w:before="80" w:line="219" w:lineRule="auto"/>
              <w:ind w:left="17"/>
            </w:pPr>
            <w:r>
              <w:rPr>
                <w:b/>
                <w:bCs/>
              </w:rPr>
              <w:t>能力类别</w:t>
            </w:r>
          </w:p>
        </w:tc>
        <w:tc>
          <w:tcPr>
            <w:tcW w:w="1340" w:type="dxa"/>
            <w:vAlign w:val="top"/>
          </w:tcPr>
          <w:p w14:paraId="16B98275">
            <w:pPr>
              <w:pStyle w:val="6"/>
              <w:spacing w:before="80" w:line="219" w:lineRule="auto"/>
              <w:ind w:left="407"/>
            </w:pPr>
            <w:r>
              <w:rPr>
                <w:b/>
                <w:bCs/>
              </w:rPr>
              <w:t>能力项</w:t>
            </w:r>
          </w:p>
        </w:tc>
        <w:tc>
          <w:tcPr>
            <w:tcW w:w="5726" w:type="dxa"/>
            <w:tcBorders>
              <w:right w:val="nil"/>
            </w:tcBorders>
            <w:vAlign w:val="top"/>
          </w:tcPr>
          <w:p w14:paraId="77366F29">
            <w:pPr>
              <w:pStyle w:val="6"/>
              <w:spacing w:before="80" w:line="219" w:lineRule="auto"/>
              <w:ind w:left="2317"/>
            </w:pPr>
            <w:r>
              <w:rPr>
                <w:b/>
                <w:bCs/>
                <w:spacing w:val="-5"/>
              </w:rPr>
              <w:t>能力要求描述</w:t>
            </w:r>
          </w:p>
        </w:tc>
      </w:tr>
      <w:tr w14:paraId="7E20F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8" w:hRule="atLeast"/>
        </w:trPr>
        <w:tc>
          <w:tcPr>
            <w:tcW w:w="470" w:type="dxa"/>
            <w:tcBorders>
              <w:left w:val="nil"/>
            </w:tcBorders>
            <w:vAlign w:val="top"/>
          </w:tcPr>
          <w:p w14:paraId="1A81A20E">
            <w:pPr>
              <w:spacing w:line="452" w:lineRule="auto"/>
              <w:rPr>
                <w:rFonts w:ascii="Arial"/>
                <w:sz w:val="21"/>
              </w:rPr>
            </w:pPr>
          </w:p>
          <w:p w14:paraId="09871F10">
            <w:pPr>
              <w:pStyle w:val="6"/>
              <w:spacing w:before="62" w:line="184" w:lineRule="auto"/>
              <w:ind w:left="179"/>
            </w:pPr>
            <w:r>
              <w:t>1</w:t>
            </w:r>
          </w:p>
        </w:tc>
        <w:tc>
          <w:tcPr>
            <w:tcW w:w="810" w:type="dxa"/>
            <w:vAlign w:val="top"/>
          </w:tcPr>
          <w:p w14:paraId="044CD028">
            <w:pPr>
              <w:spacing w:line="404" w:lineRule="auto"/>
              <w:rPr>
                <w:rFonts w:ascii="Arial"/>
                <w:sz w:val="21"/>
              </w:rPr>
            </w:pPr>
          </w:p>
          <w:p w14:paraId="7260F284">
            <w:pPr>
              <w:pStyle w:val="6"/>
              <w:spacing w:before="62" w:line="219" w:lineRule="auto"/>
              <w:ind w:left="14"/>
            </w:pPr>
            <w:r>
              <w:rPr>
                <w:spacing w:val="4"/>
              </w:rPr>
              <w:t>专业能力</w:t>
            </w:r>
          </w:p>
        </w:tc>
        <w:tc>
          <w:tcPr>
            <w:tcW w:w="1340" w:type="dxa"/>
            <w:vAlign w:val="top"/>
          </w:tcPr>
          <w:p w14:paraId="2641174F">
            <w:pPr>
              <w:spacing w:line="405" w:lineRule="auto"/>
              <w:rPr>
                <w:rFonts w:ascii="Arial"/>
                <w:sz w:val="21"/>
              </w:rPr>
            </w:pPr>
          </w:p>
          <w:p w14:paraId="002401F6">
            <w:pPr>
              <w:pStyle w:val="6"/>
              <w:spacing w:before="62" w:line="220" w:lineRule="auto"/>
              <w:jc w:val="right"/>
            </w:pPr>
            <w:r>
              <w:rPr>
                <w:spacing w:val="-5"/>
              </w:rPr>
              <w:t>监理流程和工具</w:t>
            </w:r>
          </w:p>
        </w:tc>
        <w:tc>
          <w:tcPr>
            <w:tcW w:w="5726" w:type="dxa"/>
            <w:tcBorders>
              <w:right w:val="nil"/>
            </w:tcBorders>
            <w:vAlign w:val="top"/>
          </w:tcPr>
          <w:p w14:paraId="38C1E5D7">
            <w:pPr>
              <w:pStyle w:val="6"/>
              <w:spacing w:before="69" w:line="219" w:lineRule="auto"/>
              <w:ind w:left="24"/>
            </w:pPr>
            <w:r>
              <w:t>●了解常见的监理项目类别及其监理内容</w:t>
            </w:r>
          </w:p>
          <w:p w14:paraId="61187AD4">
            <w:pPr>
              <w:pStyle w:val="6"/>
              <w:spacing w:before="53" w:line="247" w:lineRule="auto"/>
              <w:ind w:left="24" w:firstLine="19"/>
            </w:pPr>
            <w:r>
              <w:rPr>
                <w:spacing w:val="-1"/>
              </w:rPr>
              <w:t>●理解常用监理流程，了解每个流程的目标、范围、主要活动、角色</w:t>
            </w:r>
            <w:r>
              <w:rPr>
                <w:spacing w:val="5"/>
              </w:rPr>
              <w:t xml:space="preserve"> </w:t>
            </w:r>
            <w:r>
              <w:rPr>
                <w:spacing w:val="1"/>
              </w:rPr>
              <w:t>与职责以及关键控制要点</w:t>
            </w:r>
          </w:p>
          <w:p w14:paraId="28C84F44">
            <w:pPr>
              <w:pStyle w:val="6"/>
              <w:spacing w:before="23" w:line="219" w:lineRule="auto"/>
              <w:ind w:left="24"/>
            </w:pPr>
            <w:r>
              <w:rPr>
                <w:spacing w:val="-1"/>
              </w:rPr>
              <w:t>●掌握常见的监理工具，掌握信息系统工程监理中的测试要求与方法</w:t>
            </w:r>
          </w:p>
        </w:tc>
      </w:tr>
      <w:tr w14:paraId="33765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 w:hRule="atLeast"/>
        </w:trPr>
        <w:tc>
          <w:tcPr>
            <w:tcW w:w="470" w:type="dxa"/>
            <w:tcBorders>
              <w:left w:val="nil"/>
            </w:tcBorders>
            <w:vAlign w:val="top"/>
          </w:tcPr>
          <w:p w14:paraId="4FD19CA3">
            <w:pPr>
              <w:spacing w:line="316" w:lineRule="auto"/>
              <w:rPr>
                <w:rFonts w:ascii="Arial"/>
                <w:sz w:val="21"/>
              </w:rPr>
            </w:pPr>
          </w:p>
          <w:p w14:paraId="5CD0B832">
            <w:pPr>
              <w:pStyle w:val="6"/>
              <w:spacing w:before="61" w:line="183" w:lineRule="auto"/>
              <w:ind w:left="179"/>
            </w:pPr>
            <w:r>
              <w:t>2</w:t>
            </w:r>
          </w:p>
        </w:tc>
        <w:tc>
          <w:tcPr>
            <w:tcW w:w="810" w:type="dxa"/>
            <w:vAlign w:val="top"/>
          </w:tcPr>
          <w:p w14:paraId="56BC2AA0">
            <w:pPr>
              <w:spacing w:line="267" w:lineRule="auto"/>
              <w:rPr>
                <w:rFonts w:ascii="Arial"/>
                <w:sz w:val="21"/>
              </w:rPr>
            </w:pPr>
          </w:p>
          <w:p w14:paraId="21AFA03D">
            <w:pPr>
              <w:pStyle w:val="6"/>
              <w:spacing w:before="62" w:line="219" w:lineRule="auto"/>
              <w:ind w:left="14"/>
            </w:pPr>
            <w:r>
              <w:rPr>
                <w:spacing w:val="4"/>
              </w:rPr>
              <w:t>专业能力</w:t>
            </w:r>
          </w:p>
        </w:tc>
        <w:tc>
          <w:tcPr>
            <w:tcW w:w="1340" w:type="dxa"/>
            <w:vAlign w:val="top"/>
          </w:tcPr>
          <w:p w14:paraId="59D7F47E">
            <w:pPr>
              <w:pStyle w:val="6"/>
              <w:spacing w:before="200" w:line="252" w:lineRule="auto"/>
              <w:ind w:left="14" w:right="183"/>
            </w:pPr>
            <w:r>
              <w:rPr>
                <w:spacing w:val="-2"/>
              </w:rPr>
              <w:t>监理相关标准</w:t>
            </w:r>
            <w:r>
              <w:rPr>
                <w:spacing w:val="2"/>
              </w:rPr>
              <w:t xml:space="preserve"> </w:t>
            </w:r>
            <w:r>
              <w:rPr>
                <w:spacing w:val="5"/>
              </w:rPr>
              <w:t>知识</w:t>
            </w:r>
          </w:p>
        </w:tc>
        <w:tc>
          <w:tcPr>
            <w:tcW w:w="5726" w:type="dxa"/>
            <w:tcBorders>
              <w:right w:val="nil"/>
            </w:tcBorders>
            <w:vAlign w:val="top"/>
          </w:tcPr>
          <w:p w14:paraId="3390CC13">
            <w:pPr>
              <w:pStyle w:val="6"/>
              <w:spacing w:before="61" w:line="219" w:lineRule="auto"/>
              <w:ind w:left="24"/>
            </w:pPr>
            <w:r>
              <w:rPr>
                <w:spacing w:val="3"/>
              </w:rPr>
              <w:t>●掌握信息系统工程监理的有关政策、法律、法规、标准和规范；</w:t>
            </w:r>
          </w:p>
          <w:p w14:paraId="327F5191">
            <w:pPr>
              <w:pStyle w:val="6"/>
              <w:spacing w:before="43" w:line="242" w:lineRule="auto"/>
              <w:ind w:left="24" w:right="7" w:firstLine="39"/>
            </w:pPr>
            <w:r>
              <w:rPr>
                <w:spacing w:val="-2"/>
              </w:rPr>
              <w:t>●熟悉信息系统主要应用领域的背景知识和应用发展趋势，包括电子</w:t>
            </w:r>
            <w:r>
              <w:rPr>
                <w:spacing w:val="7"/>
              </w:rPr>
              <w:t xml:space="preserve"> </w:t>
            </w:r>
            <w:r>
              <w:rPr>
                <w:spacing w:val="-1"/>
              </w:rPr>
              <w:t>政务、电子商务、企业信息化、行业信息化等</w:t>
            </w:r>
          </w:p>
        </w:tc>
      </w:tr>
      <w:tr w14:paraId="43750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470" w:type="dxa"/>
            <w:tcBorders>
              <w:left w:val="nil"/>
            </w:tcBorders>
            <w:vAlign w:val="top"/>
          </w:tcPr>
          <w:p w14:paraId="1D20A710">
            <w:pPr>
              <w:spacing w:line="447" w:lineRule="auto"/>
              <w:rPr>
                <w:rFonts w:ascii="Arial"/>
                <w:sz w:val="21"/>
              </w:rPr>
            </w:pPr>
          </w:p>
          <w:p w14:paraId="51A73ED0">
            <w:pPr>
              <w:pStyle w:val="6"/>
              <w:spacing w:before="62" w:line="183" w:lineRule="auto"/>
              <w:ind w:left="179"/>
            </w:pPr>
            <w:r>
              <w:t>3</w:t>
            </w:r>
          </w:p>
        </w:tc>
        <w:tc>
          <w:tcPr>
            <w:tcW w:w="810" w:type="dxa"/>
            <w:vAlign w:val="top"/>
          </w:tcPr>
          <w:p w14:paraId="5ADA92D6">
            <w:pPr>
              <w:spacing w:line="398" w:lineRule="auto"/>
              <w:rPr>
                <w:rFonts w:ascii="Arial"/>
                <w:sz w:val="21"/>
              </w:rPr>
            </w:pPr>
          </w:p>
          <w:p w14:paraId="275D74A0">
            <w:pPr>
              <w:pStyle w:val="6"/>
              <w:spacing w:before="62" w:line="219" w:lineRule="auto"/>
              <w:ind w:left="14"/>
            </w:pPr>
            <w:r>
              <w:rPr>
                <w:spacing w:val="4"/>
              </w:rPr>
              <w:t>专业能力</w:t>
            </w:r>
          </w:p>
        </w:tc>
        <w:tc>
          <w:tcPr>
            <w:tcW w:w="1340" w:type="dxa"/>
            <w:vAlign w:val="top"/>
          </w:tcPr>
          <w:p w14:paraId="768B28FA">
            <w:pPr>
              <w:spacing w:line="289" w:lineRule="auto"/>
              <w:rPr>
                <w:rFonts w:ascii="Arial"/>
                <w:sz w:val="21"/>
              </w:rPr>
            </w:pPr>
          </w:p>
          <w:p w14:paraId="4395C6A7">
            <w:pPr>
              <w:pStyle w:val="6"/>
              <w:spacing w:before="62" w:line="239" w:lineRule="auto"/>
              <w:ind w:left="14" w:firstLine="9"/>
            </w:pPr>
            <w:r>
              <w:rPr>
                <w:spacing w:val="-4"/>
              </w:rPr>
              <w:t>信息安全意识和</w:t>
            </w:r>
            <w:r>
              <w:rPr>
                <w:spacing w:val="2"/>
              </w:rPr>
              <w:t xml:space="preserve"> </w:t>
            </w:r>
            <w:r>
              <w:rPr>
                <w:spacing w:val="-4"/>
              </w:rPr>
              <w:t>技术</w:t>
            </w:r>
          </w:p>
        </w:tc>
        <w:tc>
          <w:tcPr>
            <w:tcW w:w="5726" w:type="dxa"/>
            <w:tcBorders>
              <w:right w:val="nil"/>
            </w:tcBorders>
            <w:vAlign w:val="top"/>
          </w:tcPr>
          <w:p w14:paraId="794E15F4">
            <w:pPr>
              <w:pStyle w:val="6"/>
              <w:spacing w:before="73" w:line="219" w:lineRule="auto"/>
              <w:ind w:left="24"/>
            </w:pPr>
            <w:r>
              <w:t>●理解信息安全的重要性</w:t>
            </w:r>
          </w:p>
          <w:p w14:paraId="1D7CF71E">
            <w:pPr>
              <w:pStyle w:val="6"/>
              <w:spacing w:before="54" w:line="219" w:lineRule="auto"/>
              <w:ind w:left="24"/>
            </w:pPr>
            <w:r>
              <w:rPr>
                <w:spacing w:val="1"/>
              </w:rPr>
              <w:t>●理解信息安全管理的范围</w:t>
            </w:r>
          </w:p>
          <w:p w14:paraId="2EB1855C">
            <w:pPr>
              <w:pStyle w:val="6"/>
              <w:spacing w:before="34" w:line="219" w:lineRule="auto"/>
              <w:ind w:left="24"/>
            </w:pPr>
            <w:r>
              <w:t>●了解常用的信息安全技术</w:t>
            </w:r>
          </w:p>
          <w:p w14:paraId="325BB3D4">
            <w:pPr>
              <w:pStyle w:val="6"/>
              <w:spacing w:before="54" w:line="190" w:lineRule="auto"/>
              <w:ind w:left="24"/>
            </w:pPr>
            <w:r>
              <w:t>●了解常用的信息安全管理体系及方法</w:t>
            </w:r>
          </w:p>
        </w:tc>
      </w:tr>
      <w:tr w14:paraId="038E5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2" w:hRule="atLeast"/>
        </w:trPr>
        <w:tc>
          <w:tcPr>
            <w:tcW w:w="470" w:type="dxa"/>
            <w:tcBorders>
              <w:left w:val="nil"/>
            </w:tcBorders>
            <w:vAlign w:val="top"/>
          </w:tcPr>
          <w:p w14:paraId="77730C93">
            <w:pPr>
              <w:spacing w:line="353" w:lineRule="auto"/>
              <w:rPr>
                <w:rFonts w:ascii="Arial"/>
                <w:sz w:val="21"/>
              </w:rPr>
            </w:pPr>
          </w:p>
          <w:p w14:paraId="607F32F1">
            <w:pPr>
              <w:spacing w:line="354" w:lineRule="auto"/>
              <w:rPr>
                <w:rFonts w:ascii="Arial"/>
                <w:sz w:val="21"/>
              </w:rPr>
            </w:pPr>
          </w:p>
          <w:p w14:paraId="40AB12A4">
            <w:pPr>
              <w:pStyle w:val="6"/>
              <w:spacing w:before="62" w:line="183" w:lineRule="auto"/>
              <w:ind w:left="179"/>
            </w:pPr>
            <w:r>
              <w:t>4</w:t>
            </w:r>
          </w:p>
        </w:tc>
        <w:tc>
          <w:tcPr>
            <w:tcW w:w="810" w:type="dxa"/>
            <w:vAlign w:val="top"/>
          </w:tcPr>
          <w:p w14:paraId="6411E40A">
            <w:pPr>
              <w:spacing w:line="329" w:lineRule="auto"/>
              <w:rPr>
                <w:rFonts w:ascii="Arial"/>
                <w:sz w:val="21"/>
              </w:rPr>
            </w:pPr>
          </w:p>
          <w:p w14:paraId="217BA77A">
            <w:pPr>
              <w:spacing w:line="330" w:lineRule="auto"/>
              <w:rPr>
                <w:rFonts w:ascii="Arial"/>
                <w:sz w:val="21"/>
              </w:rPr>
            </w:pPr>
          </w:p>
          <w:p w14:paraId="1090D371">
            <w:pPr>
              <w:pStyle w:val="6"/>
              <w:spacing w:before="61" w:line="219" w:lineRule="auto"/>
              <w:ind w:left="14"/>
            </w:pPr>
            <w:r>
              <w:rPr>
                <w:spacing w:val="4"/>
              </w:rPr>
              <w:t>专业能力</w:t>
            </w:r>
          </w:p>
        </w:tc>
        <w:tc>
          <w:tcPr>
            <w:tcW w:w="1340" w:type="dxa"/>
            <w:vAlign w:val="top"/>
          </w:tcPr>
          <w:p w14:paraId="6E8C54AB">
            <w:pPr>
              <w:spacing w:line="274" w:lineRule="auto"/>
              <w:rPr>
                <w:rFonts w:ascii="Arial"/>
                <w:sz w:val="21"/>
              </w:rPr>
            </w:pPr>
          </w:p>
          <w:p w14:paraId="140FDD21">
            <w:pPr>
              <w:spacing w:line="275" w:lineRule="auto"/>
              <w:rPr>
                <w:rFonts w:ascii="Arial"/>
                <w:sz w:val="21"/>
              </w:rPr>
            </w:pPr>
          </w:p>
          <w:p w14:paraId="2144326A">
            <w:pPr>
              <w:pStyle w:val="6"/>
              <w:spacing w:before="62" w:line="243" w:lineRule="auto"/>
              <w:ind w:left="14" w:right="185"/>
            </w:pPr>
            <w:r>
              <w:rPr>
                <w:spacing w:val="-2"/>
              </w:rPr>
              <w:t>项目管理基本</w:t>
            </w:r>
            <w:r>
              <w:t xml:space="preserve"> </w:t>
            </w:r>
            <w:r>
              <w:rPr>
                <w:spacing w:val="5"/>
              </w:rPr>
              <w:t>知识</w:t>
            </w:r>
          </w:p>
        </w:tc>
        <w:tc>
          <w:tcPr>
            <w:tcW w:w="5726" w:type="dxa"/>
            <w:tcBorders>
              <w:right w:val="nil"/>
            </w:tcBorders>
            <w:vAlign w:val="top"/>
          </w:tcPr>
          <w:p w14:paraId="0D297A00">
            <w:pPr>
              <w:pStyle w:val="6"/>
              <w:spacing w:before="75" w:line="219" w:lineRule="auto"/>
              <w:ind w:left="24"/>
            </w:pPr>
            <w:r>
              <w:t>●理解项目与项目生命周期的概念</w:t>
            </w:r>
          </w:p>
          <w:p w14:paraId="1AF6E06A">
            <w:pPr>
              <w:pStyle w:val="6"/>
              <w:spacing w:before="43" w:line="219" w:lineRule="auto"/>
              <w:ind w:left="24"/>
            </w:pPr>
            <w:r>
              <w:t>●理解项目管理中的主要角色及其职责</w:t>
            </w:r>
          </w:p>
          <w:p w14:paraId="753F9883">
            <w:pPr>
              <w:pStyle w:val="6"/>
              <w:spacing w:before="65" w:line="219" w:lineRule="auto"/>
              <w:ind w:left="24"/>
            </w:pPr>
            <w:r>
              <w:t>●理解项目管理的主要目标</w:t>
            </w:r>
          </w:p>
          <w:p w14:paraId="224B29D9">
            <w:pPr>
              <w:pStyle w:val="6"/>
              <w:spacing w:before="23" w:line="219" w:lineRule="auto"/>
              <w:ind w:left="24"/>
            </w:pPr>
            <w:r>
              <w:t>●理解项目管理与传统的业务管理的区别</w:t>
            </w:r>
          </w:p>
          <w:p w14:paraId="32AEF14E">
            <w:pPr>
              <w:pStyle w:val="6"/>
              <w:spacing w:before="44" w:line="219" w:lineRule="auto"/>
              <w:ind w:left="24"/>
            </w:pPr>
            <w:r>
              <w:t>●理解项目管理的基本过程</w:t>
            </w:r>
          </w:p>
          <w:p w14:paraId="7A63ECEB">
            <w:pPr>
              <w:pStyle w:val="6"/>
              <w:spacing w:before="24" w:line="212" w:lineRule="auto"/>
              <w:ind w:left="24"/>
            </w:pPr>
            <w:r>
              <w:t>●理解网络图、关键路径法、甘特图等基本项目管理方法</w:t>
            </w:r>
          </w:p>
        </w:tc>
      </w:tr>
    </w:tbl>
    <w:p w14:paraId="2399865C">
      <w:pPr>
        <w:rPr>
          <w:rFonts w:ascii="Arial"/>
          <w:sz w:val="21"/>
        </w:rPr>
      </w:pPr>
    </w:p>
    <w:p w14:paraId="6311CFCB">
      <w:pPr>
        <w:rPr>
          <w:rFonts w:ascii="Arial" w:hAnsi="Arial" w:eastAsia="Arial" w:cs="Arial"/>
          <w:sz w:val="21"/>
          <w:szCs w:val="21"/>
        </w:rPr>
        <w:sectPr>
          <w:pgSz w:w="10300" w:h="13450"/>
          <w:pgMar w:top="400" w:right="1004" w:bottom="400" w:left="520" w:header="0" w:footer="0" w:gutter="0"/>
          <w:cols w:space="720" w:num="1"/>
        </w:sectPr>
      </w:pPr>
    </w:p>
    <w:p w14:paraId="760FCC22">
      <w:pPr>
        <w:pStyle w:val="2"/>
        <w:jc w:val="right"/>
        <w:rPr>
          <w:rFonts w:ascii="Times New Roman" w:hAnsi="Times New Roman" w:eastAsia="Times New Roman" w:cs="Times New Roman"/>
          <w:sz w:val="17"/>
          <w:szCs w:val="17"/>
        </w:rPr>
      </w:pPr>
      <w:bookmarkStart w:id="601" w:name="bookmark586"/>
      <w:bookmarkEnd w:id="601"/>
      <w:r>
        <w:rPr>
          <w:spacing w:val="1"/>
          <w:sz w:val="19"/>
          <w:szCs w:val="19"/>
        </w:rPr>
        <w:t>第8章 信息系统工程监理基础知识</w:t>
      </w:r>
      <w:r>
        <w:rPr>
          <w:spacing w:val="41"/>
          <w:sz w:val="19"/>
          <w:szCs w:val="19"/>
        </w:rPr>
        <w:t xml:space="preserve"> </w:t>
      </w:r>
      <w:r>
        <w:rPr>
          <w:position w:val="-10"/>
          <w:sz w:val="19"/>
          <w:szCs w:val="19"/>
        </w:rPr>
        <w:drawing>
          <wp:inline distT="0" distB="0" distL="0" distR="0">
            <wp:extent cx="304800" cy="24066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56"/>
                    <a:stretch>
                      <a:fillRect/>
                    </a:stretch>
                  </pic:blipFill>
                  <pic:spPr>
                    <a:xfrm>
                      <a:off x="0" y="0"/>
                      <a:ext cx="304848" cy="241240"/>
                    </a:xfrm>
                    <a:prstGeom prst="rect">
                      <a:avLst/>
                    </a:prstGeom>
                  </pic:spPr>
                </pic:pic>
              </a:graphicData>
            </a:graphic>
          </wp:inline>
        </w:drawing>
      </w:r>
      <w:r>
        <w:rPr>
          <w:rFonts w:ascii="Times New Roman" w:hAnsi="Times New Roman" w:eastAsia="Times New Roman" w:cs="Times New Roman"/>
          <w:spacing w:val="1"/>
          <w:sz w:val="17"/>
          <w:szCs w:val="17"/>
        </w:rPr>
        <w:t>223</w:t>
      </w:r>
    </w:p>
    <w:p w14:paraId="2850B9AD">
      <w:pPr>
        <w:spacing w:line="267" w:lineRule="auto"/>
        <w:rPr>
          <w:rFonts w:ascii="Arial"/>
          <w:sz w:val="21"/>
        </w:rPr>
      </w:pPr>
    </w:p>
    <w:p w14:paraId="49BF6C2C">
      <w:pPr>
        <w:pStyle w:val="2"/>
        <w:spacing w:before="59" w:line="220" w:lineRule="auto"/>
        <w:ind w:left="7790"/>
        <w:rPr>
          <w:sz w:val="18"/>
          <w:szCs w:val="18"/>
        </w:rPr>
      </w:pPr>
      <w:r>
        <w:rPr>
          <w:spacing w:val="9"/>
          <w:sz w:val="18"/>
          <w:szCs w:val="18"/>
        </w:rPr>
        <w:t>(续表)</w:t>
      </w:r>
    </w:p>
    <w:p w14:paraId="3B6646FD">
      <w:pPr>
        <w:spacing w:line="52" w:lineRule="exact"/>
      </w:pPr>
    </w:p>
    <w:tbl>
      <w:tblPr>
        <w:tblStyle w:val="5"/>
        <w:tblW w:w="83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0"/>
        <w:gridCol w:w="820"/>
        <w:gridCol w:w="1340"/>
        <w:gridCol w:w="5716"/>
      </w:tblGrid>
      <w:tr w14:paraId="37954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460" w:type="dxa"/>
            <w:tcBorders>
              <w:left w:val="nil"/>
            </w:tcBorders>
            <w:vAlign w:val="top"/>
          </w:tcPr>
          <w:p w14:paraId="15A82A20">
            <w:pPr>
              <w:pStyle w:val="6"/>
              <w:spacing w:before="81" w:line="221" w:lineRule="auto"/>
              <w:ind w:left="42"/>
            </w:pPr>
            <w:r>
              <w:rPr>
                <w:b/>
                <w:bCs/>
                <w:spacing w:val="-4"/>
              </w:rPr>
              <w:t>序号</w:t>
            </w:r>
          </w:p>
        </w:tc>
        <w:tc>
          <w:tcPr>
            <w:tcW w:w="820" w:type="dxa"/>
            <w:vAlign w:val="top"/>
          </w:tcPr>
          <w:p w14:paraId="3A0FC5F1">
            <w:pPr>
              <w:pStyle w:val="6"/>
              <w:spacing w:before="80" w:line="219" w:lineRule="auto"/>
              <w:ind w:left="27"/>
            </w:pPr>
            <w:r>
              <w:rPr>
                <w:b/>
                <w:bCs/>
              </w:rPr>
              <w:t>能力类别</w:t>
            </w:r>
          </w:p>
        </w:tc>
        <w:tc>
          <w:tcPr>
            <w:tcW w:w="1340" w:type="dxa"/>
            <w:vAlign w:val="top"/>
          </w:tcPr>
          <w:p w14:paraId="11FF3720">
            <w:pPr>
              <w:pStyle w:val="6"/>
              <w:spacing w:before="80" w:line="219" w:lineRule="auto"/>
              <w:ind w:left="397"/>
            </w:pPr>
            <w:r>
              <w:rPr>
                <w:b/>
                <w:bCs/>
              </w:rPr>
              <w:t>能力项</w:t>
            </w:r>
          </w:p>
        </w:tc>
        <w:tc>
          <w:tcPr>
            <w:tcW w:w="5716" w:type="dxa"/>
            <w:tcBorders>
              <w:right w:val="nil"/>
            </w:tcBorders>
            <w:vAlign w:val="top"/>
          </w:tcPr>
          <w:p w14:paraId="20C36A0F">
            <w:pPr>
              <w:pStyle w:val="6"/>
              <w:spacing w:before="80" w:line="219" w:lineRule="auto"/>
              <w:ind w:left="2317"/>
            </w:pPr>
            <w:r>
              <w:rPr>
                <w:b/>
                <w:bCs/>
                <w:spacing w:val="-5"/>
              </w:rPr>
              <w:t>能力要求描述</w:t>
            </w:r>
          </w:p>
        </w:tc>
      </w:tr>
      <w:tr w14:paraId="0DFAE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460" w:type="dxa"/>
            <w:tcBorders>
              <w:left w:val="nil"/>
            </w:tcBorders>
            <w:vAlign w:val="top"/>
          </w:tcPr>
          <w:p w14:paraId="5681EA70">
            <w:pPr>
              <w:spacing w:line="444" w:lineRule="auto"/>
              <w:rPr>
                <w:rFonts w:ascii="Arial"/>
                <w:sz w:val="21"/>
              </w:rPr>
            </w:pPr>
          </w:p>
          <w:p w14:paraId="3B58CB63">
            <w:pPr>
              <w:pStyle w:val="6"/>
              <w:spacing w:before="62" w:line="182" w:lineRule="auto"/>
              <w:ind w:left="180"/>
            </w:pPr>
            <w:r>
              <w:t>5</w:t>
            </w:r>
          </w:p>
        </w:tc>
        <w:tc>
          <w:tcPr>
            <w:tcW w:w="820" w:type="dxa"/>
            <w:vAlign w:val="top"/>
          </w:tcPr>
          <w:p w14:paraId="33017A00">
            <w:pPr>
              <w:spacing w:line="394" w:lineRule="auto"/>
              <w:rPr>
                <w:rFonts w:ascii="Arial"/>
                <w:sz w:val="21"/>
              </w:rPr>
            </w:pPr>
          </w:p>
          <w:p w14:paraId="2B76F296">
            <w:pPr>
              <w:pStyle w:val="6"/>
              <w:spacing w:before="62" w:line="219" w:lineRule="auto"/>
              <w:ind w:left="25"/>
            </w:pPr>
            <w:r>
              <w:rPr>
                <w:spacing w:val="4"/>
              </w:rPr>
              <w:t>专业能力</w:t>
            </w:r>
          </w:p>
        </w:tc>
        <w:tc>
          <w:tcPr>
            <w:tcW w:w="1340" w:type="dxa"/>
            <w:vAlign w:val="top"/>
          </w:tcPr>
          <w:p w14:paraId="6957A421">
            <w:pPr>
              <w:spacing w:line="285" w:lineRule="auto"/>
              <w:rPr>
                <w:rFonts w:ascii="Arial"/>
                <w:sz w:val="21"/>
              </w:rPr>
            </w:pPr>
          </w:p>
          <w:p w14:paraId="63C46E4A">
            <w:pPr>
              <w:pStyle w:val="6"/>
              <w:spacing w:before="62" w:line="231" w:lineRule="auto"/>
              <w:ind w:left="15" w:right="13"/>
            </w:pPr>
            <w:r>
              <w:rPr>
                <w:spacing w:val="-5"/>
              </w:rPr>
              <w:t>问题判断与解决</w:t>
            </w:r>
            <w:r>
              <w:rPr>
                <w:spacing w:val="5"/>
              </w:rPr>
              <w:t xml:space="preserve"> </w:t>
            </w:r>
            <w:r>
              <w:rPr>
                <w:spacing w:val="8"/>
              </w:rPr>
              <w:t>能力</w:t>
            </w:r>
          </w:p>
        </w:tc>
        <w:tc>
          <w:tcPr>
            <w:tcW w:w="5716" w:type="dxa"/>
            <w:tcBorders>
              <w:right w:val="nil"/>
            </w:tcBorders>
            <w:vAlign w:val="top"/>
          </w:tcPr>
          <w:p w14:paraId="35580095">
            <w:pPr>
              <w:pStyle w:val="6"/>
              <w:spacing w:before="57" w:line="219" w:lineRule="auto"/>
              <w:ind w:left="335"/>
            </w:pPr>
            <w:r>
              <w:t>●掌握问题发现的基本流程及方法</w:t>
            </w:r>
          </w:p>
          <w:p w14:paraId="211FD19E">
            <w:pPr>
              <w:pStyle w:val="6"/>
              <w:spacing w:before="64" w:line="219" w:lineRule="auto"/>
              <w:ind w:left="335"/>
            </w:pPr>
            <w:r>
              <w:t>●掌握问题分析的基本流程及方法</w:t>
            </w:r>
          </w:p>
          <w:p w14:paraId="2C93D8B5">
            <w:pPr>
              <w:pStyle w:val="6"/>
              <w:spacing w:before="44" w:line="219" w:lineRule="auto"/>
              <w:ind w:left="335"/>
            </w:pPr>
            <w:r>
              <w:t>●掌握问题解决的基本流程及方法</w:t>
            </w:r>
          </w:p>
          <w:p w14:paraId="67A1E67C">
            <w:pPr>
              <w:pStyle w:val="6"/>
              <w:spacing w:before="45" w:line="205" w:lineRule="auto"/>
              <w:ind w:left="335"/>
            </w:pPr>
            <w:r>
              <w:t>●掌握问题回顾的意义及基本方法</w:t>
            </w:r>
          </w:p>
        </w:tc>
      </w:tr>
      <w:tr w14:paraId="43BE2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460" w:type="dxa"/>
            <w:tcBorders>
              <w:left w:val="nil"/>
            </w:tcBorders>
            <w:vAlign w:val="top"/>
          </w:tcPr>
          <w:p w14:paraId="1FACACD1">
            <w:pPr>
              <w:spacing w:line="315" w:lineRule="auto"/>
              <w:rPr>
                <w:rFonts w:ascii="Arial"/>
                <w:sz w:val="21"/>
              </w:rPr>
            </w:pPr>
          </w:p>
          <w:p w14:paraId="138C4DAA">
            <w:pPr>
              <w:pStyle w:val="6"/>
              <w:spacing w:before="61" w:line="183" w:lineRule="auto"/>
              <w:ind w:left="180"/>
            </w:pPr>
            <w:r>
              <w:t>6</w:t>
            </w:r>
          </w:p>
        </w:tc>
        <w:tc>
          <w:tcPr>
            <w:tcW w:w="820" w:type="dxa"/>
            <w:vAlign w:val="top"/>
          </w:tcPr>
          <w:p w14:paraId="1EBE772F">
            <w:pPr>
              <w:spacing w:line="266" w:lineRule="auto"/>
              <w:rPr>
                <w:rFonts w:ascii="Arial"/>
                <w:sz w:val="21"/>
              </w:rPr>
            </w:pPr>
          </w:p>
          <w:p w14:paraId="6F308E88">
            <w:pPr>
              <w:pStyle w:val="6"/>
              <w:spacing w:before="62" w:line="219" w:lineRule="auto"/>
              <w:ind w:left="25"/>
            </w:pPr>
            <w:r>
              <w:rPr>
                <w:spacing w:val="4"/>
              </w:rPr>
              <w:t>专业能力</w:t>
            </w:r>
          </w:p>
        </w:tc>
        <w:tc>
          <w:tcPr>
            <w:tcW w:w="1340" w:type="dxa"/>
            <w:vAlign w:val="top"/>
          </w:tcPr>
          <w:p w14:paraId="403966B3">
            <w:pPr>
              <w:spacing w:line="266" w:lineRule="auto"/>
              <w:rPr>
                <w:rFonts w:ascii="Arial"/>
                <w:sz w:val="21"/>
              </w:rPr>
            </w:pPr>
          </w:p>
          <w:p w14:paraId="59831C0E">
            <w:pPr>
              <w:pStyle w:val="6"/>
              <w:spacing w:before="62" w:line="219" w:lineRule="auto"/>
              <w:ind w:left="15"/>
            </w:pPr>
            <w:r>
              <w:rPr>
                <w:spacing w:val="2"/>
              </w:rPr>
              <w:t>文档撰写能力</w:t>
            </w:r>
          </w:p>
        </w:tc>
        <w:tc>
          <w:tcPr>
            <w:tcW w:w="5716" w:type="dxa"/>
            <w:tcBorders>
              <w:right w:val="nil"/>
            </w:tcBorders>
            <w:vAlign w:val="top"/>
          </w:tcPr>
          <w:p w14:paraId="0DCF428B">
            <w:pPr>
              <w:pStyle w:val="6"/>
              <w:spacing w:before="89" w:line="219" w:lineRule="auto"/>
              <w:ind w:left="335"/>
            </w:pPr>
            <w:r>
              <w:t>●理解文档撰写技能的重要性</w:t>
            </w:r>
          </w:p>
          <w:p w14:paraId="0B64BD26">
            <w:pPr>
              <w:pStyle w:val="6"/>
              <w:spacing w:before="54" w:line="219" w:lineRule="auto"/>
              <w:ind w:left="335"/>
            </w:pPr>
            <w:r>
              <w:t>●掌握监理工程师常用文档及常见文档</w:t>
            </w:r>
          </w:p>
          <w:p w14:paraId="35B654D0">
            <w:pPr>
              <w:pStyle w:val="6"/>
              <w:spacing w:before="44" w:line="194" w:lineRule="auto"/>
              <w:ind w:left="335"/>
            </w:pPr>
            <w:r>
              <w:t>●掌握文档管理工具的常用功能</w:t>
            </w:r>
          </w:p>
        </w:tc>
      </w:tr>
      <w:tr w14:paraId="7E47F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460" w:type="dxa"/>
            <w:tcBorders>
              <w:left w:val="nil"/>
            </w:tcBorders>
            <w:vAlign w:val="top"/>
          </w:tcPr>
          <w:p w14:paraId="2F5880D8">
            <w:pPr>
              <w:spacing w:line="317" w:lineRule="auto"/>
              <w:rPr>
                <w:rFonts w:ascii="Arial"/>
                <w:sz w:val="21"/>
              </w:rPr>
            </w:pPr>
          </w:p>
          <w:p w14:paraId="1ED7D715">
            <w:pPr>
              <w:pStyle w:val="6"/>
              <w:spacing w:before="61" w:line="182" w:lineRule="auto"/>
              <w:ind w:left="180"/>
            </w:pPr>
            <w:r>
              <w:t>7</w:t>
            </w:r>
          </w:p>
        </w:tc>
        <w:tc>
          <w:tcPr>
            <w:tcW w:w="820" w:type="dxa"/>
            <w:vAlign w:val="top"/>
          </w:tcPr>
          <w:p w14:paraId="7C31A597">
            <w:pPr>
              <w:spacing w:line="267" w:lineRule="auto"/>
              <w:rPr>
                <w:rFonts w:ascii="Arial"/>
                <w:sz w:val="21"/>
              </w:rPr>
            </w:pPr>
          </w:p>
          <w:p w14:paraId="6E980D38">
            <w:pPr>
              <w:pStyle w:val="6"/>
              <w:spacing w:before="62" w:line="219" w:lineRule="auto"/>
              <w:ind w:left="25"/>
            </w:pPr>
            <w:r>
              <w:rPr>
                <w:spacing w:val="4"/>
              </w:rPr>
              <w:t>专业能力</w:t>
            </w:r>
          </w:p>
        </w:tc>
        <w:tc>
          <w:tcPr>
            <w:tcW w:w="1340" w:type="dxa"/>
            <w:vAlign w:val="top"/>
          </w:tcPr>
          <w:p w14:paraId="1CF85BCB">
            <w:pPr>
              <w:spacing w:line="267" w:lineRule="auto"/>
              <w:rPr>
                <w:rFonts w:ascii="Arial"/>
                <w:sz w:val="21"/>
              </w:rPr>
            </w:pPr>
          </w:p>
          <w:p w14:paraId="605CC6FD">
            <w:pPr>
              <w:pStyle w:val="6"/>
              <w:spacing w:before="62" w:line="219" w:lineRule="auto"/>
              <w:jc w:val="right"/>
            </w:pPr>
            <w:r>
              <w:rPr>
                <w:spacing w:val="-3"/>
              </w:rPr>
              <w:t>质量意识和技术</w:t>
            </w:r>
          </w:p>
        </w:tc>
        <w:tc>
          <w:tcPr>
            <w:tcW w:w="5716" w:type="dxa"/>
            <w:tcBorders>
              <w:right w:val="nil"/>
            </w:tcBorders>
            <w:vAlign w:val="top"/>
          </w:tcPr>
          <w:p w14:paraId="0ADABF5F">
            <w:pPr>
              <w:pStyle w:val="6"/>
              <w:spacing w:before="79" w:line="219" w:lineRule="auto"/>
              <w:ind w:left="335"/>
            </w:pPr>
            <w:r>
              <w:t>●理解质量及质量管理的基本概念</w:t>
            </w:r>
          </w:p>
          <w:p w14:paraId="14368F07">
            <w:pPr>
              <w:pStyle w:val="6"/>
              <w:spacing w:before="35" w:line="219" w:lineRule="auto"/>
              <w:ind w:right="3"/>
              <w:jc w:val="right"/>
            </w:pPr>
            <w:r>
              <w:rPr>
                <w:spacing w:val="-4"/>
              </w:rPr>
              <w:t>●了解全面质量管理、戴明环、ISO 9000等国际通</w:t>
            </w:r>
            <w:r>
              <w:rPr>
                <w:spacing w:val="-5"/>
              </w:rPr>
              <w:t>行质量管理体系</w:t>
            </w:r>
          </w:p>
          <w:p w14:paraId="4FB1EADE">
            <w:pPr>
              <w:pStyle w:val="6"/>
              <w:spacing w:before="63" w:line="203" w:lineRule="auto"/>
              <w:ind w:left="335"/>
            </w:pPr>
            <w:r>
              <w:t>●理解监理工程师应具备的质量意识</w:t>
            </w:r>
          </w:p>
        </w:tc>
      </w:tr>
      <w:tr w14:paraId="35844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8" w:hRule="atLeast"/>
        </w:trPr>
        <w:tc>
          <w:tcPr>
            <w:tcW w:w="460" w:type="dxa"/>
            <w:tcBorders>
              <w:left w:val="nil"/>
            </w:tcBorders>
            <w:vAlign w:val="top"/>
          </w:tcPr>
          <w:p w14:paraId="5AB9EBDD">
            <w:pPr>
              <w:spacing w:line="241" w:lineRule="auto"/>
              <w:rPr>
                <w:rFonts w:ascii="Arial"/>
                <w:sz w:val="21"/>
              </w:rPr>
            </w:pPr>
          </w:p>
          <w:p w14:paraId="4B0CE52D">
            <w:pPr>
              <w:spacing w:line="241" w:lineRule="auto"/>
              <w:rPr>
                <w:rFonts w:ascii="Arial"/>
                <w:sz w:val="21"/>
              </w:rPr>
            </w:pPr>
          </w:p>
          <w:p w14:paraId="14349D35">
            <w:pPr>
              <w:spacing w:line="242" w:lineRule="auto"/>
              <w:rPr>
                <w:rFonts w:ascii="Arial"/>
                <w:sz w:val="21"/>
              </w:rPr>
            </w:pPr>
          </w:p>
          <w:p w14:paraId="07AA257D">
            <w:pPr>
              <w:pStyle w:val="6"/>
              <w:spacing w:before="62" w:line="183" w:lineRule="auto"/>
              <w:ind w:left="180"/>
            </w:pPr>
            <w:r>
              <w:t>8</w:t>
            </w:r>
          </w:p>
        </w:tc>
        <w:tc>
          <w:tcPr>
            <w:tcW w:w="820" w:type="dxa"/>
            <w:vAlign w:val="top"/>
          </w:tcPr>
          <w:p w14:paraId="514723CB">
            <w:pPr>
              <w:spacing w:line="337" w:lineRule="auto"/>
              <w:rPr>
                <w:rFonts w:ascii="Arial"/>
                <w:sz w:val="21"/>
              </w:rPr>
            </w:pPr>
          </w:p>
          <w:p w14:paraId="50BBB122">
            <w:pPr>
              <w:spacing w:line="338" w:lineRule="auto"/>
              <w:rPr>
                <w:rFonts w:ascii="Arial"/>
                <w:sz w:val="21"/>
              </w:rPr>
            </w:pPr>
          </w:p>
          <w:p w14:paraId="7DC7BF31">
            <w:pPr>
              <w:pStyle w:val="6"/>
              <w:spacing w:before="62" w:line="219" w:lineRule="auto"/>
              <w:ind w:left="25"/>
            </w:pPr>
            <w:r>
              <w:rPr>
                <w:spacing w:val="4"/>
              </w:rPr>
              <w:t>行为能力</w:t>
            </w:r>
          </w:p>
        </w:tc>
        <w:tc>
          <w:tcPr>
            <w:tcW w:w="1340" w:type="dxa"/>
            <w:vAlign w:val="top"/>
          </w:tcPr>
          <w:p w14:paraId="3ECD185D">
            <w:pPr>
              <w:spacing w:line="337" w:lineRule="auto"/>
              <w:rPr>
                <w:rFonts w:ascii="Arial"/>
                <w:sz w:val="21"/>
              </w:rPr>
            </w:pPr>
          </w:p>
          <w:p w14:paraId="7B1D1ACF">
            <w:pPr>
              <w:spacing w:line="338" w:lineRule="auto"/>
              <w:rPr>
                <w:rFonts w:ascii="Arial"/>
                <w:sz w:val="21"/>
              </w:rPr>
            </w:pPr>
          </w:p>
          <w:p w14:paraId="541D5FBD">
            <w:pPr>
              <w:pStyle w:val="6"/>
              <w:spacing w:before="62" w:line="219" w:lineRule="auto"/>
              <w:ind w:left="15"/>
            </w:pPr>
            <w:r>
              <w:rPr>
                <w:spacing w:val="2"/>
              </w:rPr>
              <w:t>人际沟通能力</w:t>
            </w:r>
          </w:p>
        </w:tc>
        <w:tc>
          <w:tcPr>
            <w:tcW w:w="5716" w:type="dxa"/>
            <w:tcBorders>
              <w:right w:val="nil"/>
            </w:tcBorders>
            <w:vAlign w:val="top"/>
          </w:tcPr>
          <w:p w14:paraId="4BBEF5ED">
            <w:pPr>
              <w:pStyle w:val="6"/>
              <w:spacing w:before="70" w:line="219" w:lineRule="auto"/>
              <w:ind w:left="45"/>
            </w:pPr>
            <w:r>
              <w:rPr>
                <w:spacing w:val="1"/>
              </w:rPr>
              <w:t>●理解人际沟通的基本原理和要点</w:t>
            </w:r>
          </w:p>
          <w:p w14:paraId="71DDCAC0">
            <w:pPr>
              <w:pStyle w:val="6"/>
              <w:spacing w:before="54" w:line="242" w:lineRule="auto"/>
              <w:ind w:left="334" w:right="16" w:hanging="289"/>
            </w:pPr>
            <w:r>
              <w:rPr>
                <w:spacing w:val="-2"/>
              </w:rPr>
              <w:t>●掌握人际沟通的基本框架，并能够在现实场景下针对不同对象进行</w:t>
            </w:r>
            <w:r>
              <w:rPr>
                <w:spacing w:val="8"/>
              </w:rPr>
              <w:t xml:space="preserve"> </w:t>
            </w:r>
            <w:r>
              <w:rPr>
                <w:spacing w:val="-2"/>
              </w:rPr>
              <w:t>有效的沟通</w:t>
            </w:r>
          </w:p>
          <w:p w14:paraId="19AAB9C2">
            <w:pPr>
              <w:pStyle w:val="6"/>
              <w:spacing w:before="61" w:line="218" w:lineRule="auto"/>
              <w:ind w:left="54"/>
            </w:pPr>
            <w:r>
              <w:t>●掌握人际沟通的基本方式和方法，如报告、信件、会议和电话等</w:t>
            </w:r>
          </w:p>
          <w:p w14:paraId="7147E5D1">
            <w:pPr>
              <w:pStyle w:val="6"/>
              <w:spacing w:before="56" w:line="227" w:lineRule="auto"/>
              <w:ind w:left="334" w:right="18" w:hanging="280"/>
            </w:pPr>
            <w:r>
              <w:rPr>
                <w:spacing w:val="-2"/>
              </w:rPr>
              <w:t>●理解影响沟通的因素，并在沟通中保证信息的正确性和有</w:t>
            </w:r>
            <w:r>
              <w:rPr>
                <w:spacing w:val="-3"/>
              </w:rPr>
              <w:t>效性，达</w:t>
            </w:r>
            <w:r>
              <w:t xml:space="preserve"> </w:t>
            </w:r>
            <w:r>
              <w:rPr>
                <w:spacing w:val="1"/>
              </w:rPr>
              <w:t>成沟通的目的和效果</w:t>
            </w:r>
          </w:p>
        </w:tc>
      </w:tr>
      <w:tr w14:paraId="129F0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8" w:hRule="atLeast"/>
        </w:trPr>
        <w:tc>
          <w:tcPr>
            <w:tcW w:w="460" w:type="dxa"/>
            <w:tcBorders>
              <w:left w:val="nil"/>
            </w:tcBorders>
            <w:vAlign w:val="top"/>
          </w:tcPr>
          <w:p w14:paraId="3A7B1359">
            <w:pPr>
              <w:spacing w:line="285" w:lineRule="auto"/>
              <w:rPr>
                <w:rFonts w:ascii="Arial"/>
                <w:sz w:val="21"/>
              </w:rPr>
            </w:pPr>
          </w:p>
          <w:p w14:paraId="49309A4E">
            <w:pPr>
              <w:spacing w:line="285" w:lineRule="auto"/>
              <w:rPr>
                <w:rFonts w:ascii="Arial"/>
                <w:sz w:val="21"/>
              </w:rPr>
            </w:pPr>
          </w:p>
          <w:p w14:paraId="6ADABCF1">
            <w:pPr>
              <w:spacing w:line="285" w:lineRule="auto"/>
              <w:rPr>
                <w:rFonts w:ascii="Arial"/>
                <w:sz w:val="21"/>
              </w:rPr>
            </w:pPr>
          </w:p>
          <w:p w14:paraId="35EDD225">
            <w:pPr>
              <w:pStyle w:val="6"/>
              <w:spacing w:before="62" w:line="183" w:lineRule="auto"/>
              <w:ind w:left="180"/>
            </w:pPr>
            <w:r>
              <w:t>9</w:t>
            </w:r>
          </w:p>
        </w:tc>
        <w:tc>
          <w:tcPr>
            <w:tcW w:w="820" w:type="dxa"/>
            <w:vAlign w:val="top"/>
          </w:tcPr>
          <w:p w14:paraId="660AA3A3">
            <w:pPr>
              <w:spacing w:line="269" w:lineRule="auto"/>
              <w:rPr>
                <w:rFonts w:ascii="Arial"/>
                <w:sz w:val="21"/>
              </w:rPr>
            </w:pPr>
          </w:p>
          <w:p w14:paraId="24B2C30D">
            <w:pPr>
              <w:spacing w:line="269" w:lineRule="auto"/>
              <w:rPr>
                <w:rFonts w:ascii="Arial"/>
                <w:sz w:val="21"/>
              </w:rPr>
            </w:pPr>
          </w:p>
          <w:p w14:paraId="10DA3132">
            <w:pPr>
              <w:spacing w:line="269" w:lineRule="auto"/>
              <w:rPr>
                <w:rFonts w:ascii="Arial"/>
                <w:sz w:val="21"/>
              </w:rPr>
            </w:pPr>
          </w:p>
          <w:p w14:paraId="4F299938">
            <w:pPr>
              <w:pStyle w:val="6"/>
              <w:spacing w:before="61" w:line="219" w:lineRule="auto"/>
              <w:ind w:left="25"/>
            </w:pPr>
            <w:r>
              <w:rPr>
                <w:spacing w:val="4"/>
              </w:rPr>
              <w:t>行为能力</w:t>
            </w:r>
          </w:p>
        </w:tc>
        <w:tc>
          <w:tcPr>
            <w:tcW w:w="1340" w:type="dxa"/>
            <w:vAlign w:val="top"/>
          </w:tcPr>
          <w:p w14:paraId="1853B634">
            <w:pPr>
              <w:spacing w:line="354" w:lineRule="auto"/>
              <w:rPr>
                <w:rFonts w:ascii="Arial"/>
                <w:sz w:val="21"/>
              </w:rPr>
            </w:pPr>
          </w:p>
          <w:p w14:paraId="4F02D31C">
            <w:pPr>
              <w:spacing w:line="354" w:lineRule="auto"/>
              <w:rPr>
                <w:rFonts w:ascii="Arial"/>
                <w:sz w:val="21"/>
              </w:rPr>
            </w:pPr>
          </w:p>
          <w:p w14:paraId="66AF5FC2">
            <w:pPr>
              <w:pStyle w:val="6"/>
              <w:spacing w:before="61" w:line="239" w:lineRule="auto"/>
              <w:ind w:left="15"/>
            </w:pPr>
            <w:r>
              <w:rPr>
                <w:spacing w:val="-3"/>
              </w:rPr>
              <w:t>客户服务意识和</w:t>
            </w:r>
            <w:r>
              <w:rPr>
                <w:spacing w:val="4"/>
              </w:rPr>
              <w:t xml:space="preserve"> </w:t>
            </w:r>
            <w:r>
              <w:rPr>
                <w:spacing w:val="-3"/>
              </w:rPr>
              <w:t>技术</w:t>
            </w:r>
          </w:p>
        </w:tc>
        <w:tc>
          <w:tcPr>
            <w:tcW w:w="5716" w:type="dxa"/>
            <w:tcBorders>
              <w:right w:val="nil"/>
            </w:tcBorders>
            <w:vAlign w:val="top"/>
          </w:tcPr>
          <w:p w14:paraId="06AA44BE">
            <w:pPr>
              <w:pStyle w:val="6"/>
              <w:spacing w:before="82" w:line="242" w:lineRule="auto"/>
              <w:ind w:left="334" w:right="11" w:hanging="280"/>
            </w:pPr>
            <w:r>
              <w:rPr>
                <w:spacing w:val="-2"/>
              </w:rPr>
              <w:t>●具备良好的客户意识，能够理解优质服务的特性，熟悉优质服务的</w:t>
            </w:r>
            <w:r>
              <w:rPr>
                <w:spacing w:val="3"/>
              </w:rPr>
              <w:t xml:space="preserve"> </w:t>
            </w:r>
            <w:r>
              <w:rPr>
                <w:spacing w:val="-3"/>
              </w:rPr>
              <w:t>流程</w:t>
            </w:r>
          </w:p>
          <w:p w14:paraId="543731A8">
            <w:pPr>
              <w:pStyle w:val="6"/>
              <w:spacing w:before="51" w:line="219" w:lineRule="auto"/>
              <w:ind w:left="45"/>
            </w:pPr>
            <w:r>
              <w:rPr>
                <w:spacing w:val="1"/>
              </w:rPr>
              <w:t>●掌握客户服务的基本方式、方法和技术，并能够</w:t>
            </w:r>
            <w:r>
              <w:t>灵活应用</w:t>
            </w:r>
          </w:p>
          <w:p w14:paraId="20310490">
            <w:pPr>
              <w:pStyle w:val="6"/>
              <w:spacing w:before="55" w:line="231" w:lineRule="auto"/>
              <w:ind w:left="334" w:right="17" w:hanging="280"/>
            </w:pPr>
            <w:r>
              <w:rPr>
                <w:spacing w:val="-2"/>
              </w:rPr>
              <w:t>●理解客户的需求及关注的指标，能够有效收集客户满意度情</w:t>
            </w:r>
            <w:r>
              <w:rPr>
                <w:spacing w:val="-3"/>
              </w:rPr>
              <w:t>况，并</w:t>
            </w:r>
            <w:r>
              <w:t xml:space="preserve"> </w:t>
            </w:r>
            <w:r>
              <w:rPr>
                <w:spacing w:val="-2"/>
              </w:rPr>
              <w:t>持续改善</w:t>
            </w:r>
          </w:p>
          <w:p w14:paraId="72A3C34E">
            <w:pPr>
              <w:pStyle w:val="6"/>
              <w:spacing w:before="64" w:line="221" w:lineRule="auto"/>
              <w:ind w:left="334" w:right="18" w:hanging="280"/>
            </w:pPr>
            <w:r>
              <w:rPr>
                <w:spacing w:val="-2"/>
              </w:rPr>
              <w:t>●掌握客户抱怨和投诉处理的原则、方法和流程，消除不利</w:t>
            </w:r>
            <w:r>
              <w:rPr>
                <w:spacing w:val="-3"/>
              </w:rPr>
              <w:t>影响并持</w:t>
            </w:r>
            <w:r>
              <w:t xml:space="preserve"> </w:t>
            </w:r>
            <w:r>
              <w:rPr>
                <w:spacing w:val="-1"/>
              </w:rPr>
              <w:t>续改善，提高客户满意度水平</w:t>
            </w:r>
          </w:p>
        </w:tc>
      </w:tr>
      <w:tr w14:paraId="3BACF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460" w:type="dxa"/>
            <w:tcBorders>
              <w:left w:val="nil"/>
            </w:tcBorders>
            <w:vAlign w:val="top"/>
          </w:tcPr>
          <w:p w14:paraId="6646D129">
            <w:pPr>
              <w:pStyle w:val="6"/>
              <w:spacing w:before="243" w:line="184" w:lineRule="auto"/>
              <w:ind w:left="130"/>
            </w:pPr>
            <w:r>
              <w:rPr>
                <w:spacing w:val="-6"/>
              </w:rPr>
              <w:t>10</w:t>
            </w:r>
          </w:p>
        </w:tc>
        <w:tc>
          <w:tcPr>
            <w:tcW w:w="820" w:type="dxa"/>
            <w:vAlign w:val="top"/>
          </w:tcPr>
          <w:p w14:paraId="550471BB">
            <w:pPr>
              <w:pStyle w:val="6"/>
              <w:spacing w:before="195" w:line="219" w:lineRule="auto"/>
              <w:ind w:left="25"/>
            </w:pPr>
            <w:r>
              <w:rPr>
                <w:spacing w:val="4"/>
              </w:rPr>
              <w:t>行为能力</w:t>
            </w:r>
          </w:p>
        </w:tc>
        <w:tc>
          <w:tcPr>
            <w:tcW w:w="1340" w:type="dxa"/>
            <w:vAlign w:val="top"/>
          </w:tcPr>
          <w:p w14:paraId="77EB63EE">
            <w:pPr>
              <w:pStyle w:val="6"/>
              <w:spacing w:before="75" w:line="230" w:lineRule="auto"/>
              <w:ind w:left="15" w:firstLine="10"/>
            </w:pPr>
            <w:r>
              <w:rPr>
                <w:spacing w:val="-4"/>
              </w:rPr>
              <w:t>团队合作意识和</w:t>
            </w:r>
            <w:r>
              <w:rPr>
                <w:spacing w:val="1"/>
              </w:rPr>
              <w:t xml:space="preserve"> </w:t>
            </w:r>
            <w:r>
              <w:rPr>
                <w:spacing w:val="5"/>
              </w:rPr>
              <w:t>技巧</w:t>
            </w:r>
          </w:p>
        </w:tc>
        <w:tc>
          <w:tcPr>
            <w:tcW w:w="5716" w:type="dxa"/>
            <w:tcBorders>
              <w:right w:val="nil"/>
            </w:tcBorders>
            <w:vAlign w:val="top"/>
          </w:tcPr>
          <w:p w14:paraId="5A6D9EC6">
            <w:pPr>
              <w:pStyle w:val="6"/>
              <w:spacing w:before="75" w:line="219" w:lineRule="auto"/>
              <w:ind w:left="335"/>
            </w:pPr>
            <w:r>
              <w:t>●理解团队的特征及合作的重要性，具备良好的团队合作意识</w:t>
            </w:r>
          </w:p>
          <w:p w14:paraId="400EE5D3">
            <w:pPr>
              <w:pStyle w:val="6"/>
              <w:spacing w:before="43" w:line="198" w:lineRule="auto"/>
              <w:jc w:val="right"/>
            </w:pPr>
            <w:r>
              <w:rPr>
                <w:spacing w:val="-17"/>
              </w:rPr>
              <w:t>●掌握基本的团队合作原则、方法和技巧，并能在现实场景下有效应用</w:t>
            </w:r>
          </w:p>
        </w:tc>
      </w:tr>
      <w:tr w14:paraId="60396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trPr>
        <w:tc>
          <w:tcPr>
            <w:tcW w:w="460" w:type="dxa"/>
            <w:tcBorders>
              <w:left w:val="nil"/>
            </w:tcBorders>
            <w:vAlign w:val="top"/>
          </w:tcPr>
          <w:p w14:paraId="4E5403F2">
            <w:pPr>
              <w:spacing w:line="289" w:lineRule="auto"/>
              <w:rPr>
                <w:rFonts w:ascii="Arial"/>
                <w:sz w:val="21"/>
              </w:rPr>
            </w:pPr>
          </w:p>
          <w:p w14:paraId="174BC50C">
            <w:pPr>
              <w:spacing w:line="290" w:lineRule="auto"/>
              <w:rPr>
                <w:rFonts w:ascii="Arial"/>
                <w:sz w:val="21"/>
              </w:rPr>
            </w:pPr>
          </w:p>
          <w:p w14:paraId="611B434A">
            <w:pPr>
              <w:pStyle w:val="6"/>
              <w:spacing w:before="62" w:line="184" w:lineRule="auto"/>
              <w:ind w:left="130"/>
            </w:pPr>
            <w:r>
              <w:rPr>
                <w:spacing w:val="-6"/>
              </w:rPr>
              <w:t>11</w:t>
            </w:r>
          </w:p>
        </w:tc>
        <w:tc>
          <w:tcPr>
            <w:tcW w:w="820" w:type="dxa"/>
            <w:vAlign w:val="top"/>
          </w:tcPr>
          <w:p w14:paraId="78750E29">
            <w:pPr>
              <w:spacing w:line="265" w:lineRule="auto"/>
              <w:rPr>
                <w:rFonts w:ascii="Arial"/>
                <w:sz w:val="21"/>
              </w:rPr>
            </w:pPr>
          </w:p>
          <w:p w14:paraId="1EF58404">
            <w:pPr>
              <w:spacing w:line="266" w:lineRule="auto"/>
              <w:rPr>
                <w:rFonts w:ascii="Arial"/>
                <w:sz w:val="21"/>
              </w:rPr>
            </w:pPr>
          </w:p>
          <w:p w14:paraId="4B35115B">
            <w:pPr>
              <w:pStyle w:val="6"/>
              <w:spacing w:before="62" w:line="219" w:lineRule="auto"/>
              <w:ind w:left="25"/>
            </w:pPr>
            <w:r>
              <w:rPr>
                <w:spacing w:val="4"/>
              </w:rPr>
              <w:t>行为能力</w:t>
            </w:r>
          </w:p>
        </w:tc>
        <w:tc>
          <w:tcPr>
            <w:tcW w:w="1340" w:type="dxa"/>
            <w:vAlign w:val="top"/>
          </w:tcPr>
          <w:p w14:paraId="13E75207">
            <w:pPr>
              <w:spacing w:line="265" w:lineRule="auto"/>
              <w:rPr>
                <w:rFonts w:ascii="Arial"/>
                <w:sz w:val="21"/>
              </w:rPr>
            </w:pPr>
          </w:p>
          <w:p w14:paraId="16B2069F">
            <w:pPr>
              <w:spacing w:line="266" w:lineRule="auto"/>
              <w:rPr>
                <w:rFonts w:ascii="Arial"/>
                <w:sz w:val="21"/>
              </w:rPr>
            </w:pPr>
          </w:p>
          <w:p w14:paraId="13BBE0FA">
            <w:pPr>
              <w:pStyle w:val="6"/>
              <w:spacing w:before="62" w:line="219" w:lineRule="auto"/>
              <w:ind w:left="15"/>
            </w:pPr>
            <w:r>
              <w:rPr>
                <w:spacing w:val="4"/>
              </w:rPr>
              <w:t>学习能力</w:t>
            </w:r>
          </w:p>
        </w:tc>
        <w:tc>
          <w:tcPr>
            <w:tcW w:w="5716" w:type="dxa"/>
            <w:tcBorders>
              <w:right w:val="nil"/>
            </w:tcBorders>
            <w:vAlign w:val="top"/>
          </w:tcPr>
          <w:p w14:paraId="5818C537">
            <w:pPr>
              <w:pStyle w:val="6"/>
              <w:spacing w:before="75" w:line="219" w:lineRule="auto"/>
              <w:ind w:left="335"/>
            </w:pPr>
            <w:r>
              <w:t>●在较短的时间内能够掌握一些真实场景下的基本操作</w:t>
            </w:r>
          </w:p>
          <w:p w14:paraId="0536E7D4">
            <w:pPr>
              <w:pStyle w:val="6"/>
              <w:spacing w:before="45" w:line="236" w:lineRule="auto"/>
              <w:ind w:left="334" w:right="17" w:hanging="280"/>
            </w:pPr>
            <w:r>
              <w:rPr>
                <w:spacing w:val="-2"/>
              </w:rPr>
              <w:t>●能够根据前人积累的经验和案例，快速学习借鉴，按照规定</w:t>
            </w:r>
            <w:r>
              <w:rPr>
                <w:spacing w:val="-3"/>
              </w:rPr>
              <w:t>的步骤</w:t>
            </w:r>
            <w:r>
              <w:t xml:space="preserve"> </w:t>
            </w:r>
            <w:r>
              <w:rPr>
                <w:spacing w:val="-1"/>
              </w:rPr>
              <w:t>执行，完成工作任务或目标</w:t>
            </w:r>
          </w:p>
          <w:p w14:paraId="6FC9FCA4">
            <w:pPr>
              <w:pStyle w:val="6"/>
              <w:spacing w:before="44" w:line="219" w:lineRule="auto"/>
              <w:ind w:left="335"/>
            </w:pPr>
            <w:r>
              <w:rPr>
                <w:spacing w:val="1"/>
              </w:rPr>
              <w:t>●能够持续地把学习的新知识应用到工作中</w:t>
            </w:r>
          </w:p>
          <w:p w14:paraId="66F5B288">
            <w:pPr>
              <w:pStyle w:val="6"/>
              <w:spacing w:before="34" w:line="206" w:lineRule="auto"/>
              <w:ind w:right="2"/>
              <w:jc w:val="right"/>
            </w:pPr>
            <w:r>
              <w:rPr>
                <w:spacing w:val="-18"/>
              </w:rPr>
              <w:t>●能够进行熟</w:t>
            </w:r>
            <w:r>
              <w:rPr>
                <w:spacing w:val="-17"/>
              </w:rPr>
              <w:t>练的思考，能结合环境，通过持续不断的实践来获得经</w:t>
            </w:r>
            <w:r>
              <w:rPr>
                <w:spacing w:val="-11"/>
              </w:rPr>
              <w:t>验</w:t>
            </w:r>
          </w:p>
        </w:tc>
      </w:tr>
      <w:tr w14:paraId="35E00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4" w:hRule="atLeast"/>
        </w:trPr>
        <w:tc>
          <w:tcPr>
            <w:tcW w:w="460" w:type="dxa"/>
            <w:tcBorders>
              <w:left w:val="nil"/>
            </w:tcBorders>
            <w:vAlign w:val="top"/>
          </w:tcPr>
          <w:p w14:paraId="139753A4">
            <w:pPr>
              <w:spacing w:line="285" w:lineRule="auto"/>
              <w:rPr>
                <w:rFonts w:ascii="Arial"/>
                <w:sz w:val="21"/>
              </w:rPr>
            </w:pPr>
          </w:p>
          <w:p w14:paraId="3F4D19FC">
            <w:pPr>
              <w:spacing w:line="285" w:lineRule="auto"/>
              <w:rPr>
                <w:rFonts w:ascii="Arial"/>
                <w:sz w:val="21"/>
              </w:rPr>
            </w:pPr>
          </w:p>
          <w:p w14:paraId="08CA68E7">
            <w:pPr>
              <w:pStyle w:val="6"/>
              <w:spacing w:before="62" w:line="184" w:lineRule="auto"/>
              <w:ind w:left="130"/>
            </w:pPr>
            <w:r>
              <w:rPr>
                <w:spacing w:val="-6"/>
              </w:rPr>
              <w:t>12</w:t>
            </w:r>
          </w:p>
        </w:tc>
        <w:tc>
          <w:tcPr>
            <w:tcW w:w="820" w:type="dxa"/>
            <w:vAlign w:val="top"/>
          </w:tcPr>
          <w:p w14:paraId="3851D57D">
            <w:pPr>
              <w:spacing w:line="261" w:lineRule="auto"/>
              <w:rPr>
                <w:rFonts w:ascii="Arial"/>
                <w:sz w:val="21"/>
              </w:rPr>
            </w:pPr>
          </w:p>
          <w:p w14:paraId="6AAB6FCD">
            <w:pPr>
              <w:spacing w:line="261" w:lineRule="auto"/>
              <w:rPr>
                <w:rFonts w:ascii="Arial"/>
                <w:sz w:val="21"/>
              </w:rPr>
            </w:pPr>
          </w:p>
          <w:p w14:paraId="7E652555">
            <w:pPr>
              <w:pStyle w:val="6"/>
              <w:spacing w:before="62" w:line="219" w:lineRule="auto"/>
              <w:ind w:left="25"/>
            </w:pPr>
            <w:r>
              <w:rPr>
                <w:spacing w:val="4"/>
              </w:rPr>
              <w:t>行为能力</w:t>
            </w:r>
          </w:p>
        </w:tc>
        <w:tc>
          <w:tcPr>
            <w:tcW w:w="1340" w:type="dxa"/>
            <w:vAlign w:val="top"/>
          </w:tcPr>
          <w:p w14:paraId="35EAD042">
            <w:pPr>
              <w:spacing w:line="261" w:lineRule="auto"/>
              <w:rPr>
                <w:rFonts w:ascii="Arial"/>
                <w:sz w:val="21"/>
              </w:rPr>
            </w:pPr>
          </w:p>
          <w:p w14:paraId="7685F94C">
            <w:pPr>
              <w:spacing w:line="261" w:lineRule="auto"/>
              <w:rPr>
                <w:rFonts w:ascii="Arial"/>
                <w:sz w:val="21"/>
              </w:rPr>
            </w:pPr>
          </w:p>
          <w:p w14:paraId="54210463">
            <w:pPr>
              <w:pStyle w:val="6"/>
              <w:spacing w:before="62" w:line="219" w:lineRule="auto"/>
              <w:jc w:val="right"/>
            </w:pPr>
            <w:r>
              <w:rPr>
                <w:spacing w:val="-4"/>
              </w:rPr>
              <w:t>压力与情绪管理</w:t>
            </w:r>
          </w:p>
        </w:tc>
        <w:tc>
          <w:tcPr>
            <w:tcW w:w="5716" w:type="dxa"/>
            <w:tcBorders>
              <w:right w:val="nil"/>
            </w:tcBorders>
            <w:vAlign w:val="top"/>
          </w:tcPr>
          <w:p w14:paraId="6818B60B">
            <w:pPr>
              <w:pStyle w:val="6"/>
              <w:spacing w:before="68" w:line="220" w:lineRule="auto"/>
              <w:ind w:left="335"/>
            </w:pPr>
            <w:r>
              <w:t>●能感知自己的情绪及其根源</w:t>
            </w:r>
          </w:p>
          <w:p w14:paraId="71920AC1">
            <w:pPr>
              <w:pStyle w:val="6"/>
              <w:spacing w:before="31" w:line="219" w:lineRule="auto"/>
              <w:ind w:left="335"/>
            </w:pPr>
            <w:r>
              <w:t>●能够在压力下克制自己的情感，保持冷静和耐心</w:t>
            </w:r>
          </w:p>
          <w:p w14:paraId="63E4C79F">
            <w:pPr>
              <w:pStyle w:val="6"/>
              <w:spacing w:before="44" w:line="219" w:lineRule="auto"/>
              <w:jc w:val="right"/>
            </w:pPr>
            <w:r>
              <w:rPr>
                <w:spacing w:val="-11"/>
              </w:rPr>
              <w:t>●能够有效管理压力，通过适时表达情绪来传递信息，从而缓解压力</w:t>
            </w:r>
          </w:p>
          <w:p w14:paraId="56666D18">
            <w:pPr>
              <w:pStyle w:val="6"/>
              <w:spacing w:before="34" w:line="237" w:lineRule="auto"/>
              <w:ind w:left="334" w:hanging="299"/>
            </w:pPr>
            <w:r>
              <w:rPr>
                <w:spacing w:val="-1"/>
              </w:rPr>
              <w:t>●能够把冲突视为一种问题解决的机会，采取行动针对问题来源正面</w:t>
            </w:r>
            <w:r>
              <w:rPr>
                <w:spacing w:val="4"/>
              </w:rPr>
              <w:t xml:space="preserve"> </w:t>
            </w:r>
            <w:r>
              <w:rPr>
                <w:spacing w:val="2"/>
              </w:rPr>
              <w:t>处理问题</w:t>
            </w:r>
          </w:p>
        </w:tc>
      </w:tr>
    </w:tbl>
    <w:p w14:paraId="666C5671">
      <w:pPr>
        <w:pStyle w:val="2"/>
        <w:spacing w:before="188" w:line="222" w:lineRule="auto"/>
        <w:ind w:left="402"/>
        <w:rPr>
          <w:rFonts w:ascii="黑体" w:hAnsi="黑体" w:eastAsia="黑体" w:cs="黑体"/>
          <w:sz w:val="19"/>
          <w:szCs w:val="19"/>
        </w:rPr>
      </w:pPr>
      <w:r>
        <w:rPr>
          <w:b/>
          <w:bCs/>
          <w:color w:val="0065D9"/>
          <w:spacing w:val="8"/>
          <w:sz w:val="19"/>
          <w:szCs w:val="19"/>
        </w:rPr>
        <w:t>4.</w:t>
      </w:r>
      <w:r>
        <w:rPr>
          <w:rFonts w:ascii="黑体" w:hAnsi="黑体" w:eastAsia="黑体" w:cs="黑体"/>
          <w:b/>
          <w:bCs/>
          <w:color w:val="0065D9"/>
          <w:spacing w:val="8"/>
          <w:sz w:val="19"/>
          <w:szCs w:val="19"/>
        </w:rPr>
        <w:t>提高管理水平</w:t>
      </w:r>
    </w:p>
    <w:p w14:paraId="5B3C48BB">
      <w:pPr>
        <w:pStyle w:val="2"/>
        <w:spacing w:before="114" w:line="297" w:lineRule="auto"/>
        <w:ind w:right="186" w:firstLine="420"/>
        <w:rPr>
          <w:sz w:val="19"/>
          <w:szCs w:val="19"/>
        </w:rPr>
      </w:pPr>
      <w:r>
        <w:rPr>
          <w:spacing w:val="13"/>
          <w:sz w:val="19"/>
          <w:szCs w:val="19"/>
        </w:rPr>
        <w:t>监理单位必须结合所承担工程的具体情况，明确监理工作目标，制定行之有效的内部</w:t>
      </w:r>
      <w:r>
        <w:rPr>
          <w:spacing w:val="12"/>
          <w:sz w:val="19"/>
          <w:szCs w:val="19"/>
        </w:rPr>
        <w:t>管理</w:t>
      </w:r>
      <w:r>
        <w:rPr>
          <w:sz w:val="19"/>
          <w:szCs w:val="19"/>
        </w:rPr>
        <w:t xml:space="preserve"> </w:t>
      </w:r>
      <w:r>
        <w:rPr>
          <w:spacing w:val="15"/>
          <w:sz w:val="19"/>
          <w:szCs w:val="19"/>
        </w:rPr>
        <w:t>约束机制，尤其是在监理责任的承担方面，机构内所有成员各自的责任应该明确并落实到位，</w:t>
      </w:r>
    </w:p>
    <w:p w14:paraId="0506A011">
      <w:pPr>
        <w:spacing w:line="297" w:lineRule="auto"/>
        <w:rPr>
          <w:sz w:val="19"/>
          <w:szCs w:val="19"/>
        </w:rPr>
        <w:sectPr>
          <w:pgSz w:w="10280" w:h="13330"/>
          <w:pgMar w:top="360" w:right="588" w:bottom="400" w:left="1099" w:header="0" w:footer="0" w:gutter="0"/>
          <w:cols w:space="720" w:num="1"/>
        </w:sectPr>
      </w:pPr>
    </w:p>
    <w:p w14:paraId="055F8D73">
      <w:pPr>
        <w:pStyle w:val="2"/>
        <w:spacing w:before="98" w:line="219" w:lineRule="auto"/>
        <w:rPr>
          <w:sz w:val="20"/>
          <w:szCs w:val="20"/>
        </w:rPr>
      </w:pPr>
      <w:r>
        <w:rPr>
          <w:rFonts w:ascii="Times New Roman" w:hAnsi="Times New Roman" w:eastAsia="Times New Roman" w:cs="Times New Roman"/>
          <w:b/>
          <w:bCs/>
          <w:spacing w:val="-2"/>
          <w:sz w:val="20"/>
          <w:szCs w:val="20"/>
        </w:rPr>
        <w:t xml:space="preserve">224              </w:t>
      </w:r>
      <w:r>
        <w:rPr>
          <w:spacing w:val="-2"/>
          <w:sz w:val="20"/>
          <w:szCs w:val="20"/>
        </w:rPr>
        <w:t>信息系统监理师教程(第2版)</w:t>
      </w:r>
    </w:p>
    <w:p w14:paraId="1B4DB1FF">
      <w:pPr>
        <w:spacing w:line="304" w:lineRule="auto"/>
        <w:rPr>
          <w:rFonts w:ascii="Arial"/>
          <w:sz w:val="21"/>
        </w:rPr>
      </w:pPr>
    </w:p>
    <w:p w14:paraId="11AEA51B">
      <w:pPr>
        <w:pStyle w:val="2"/>
        <w:spacing w:before="65" w:line="287" w:lineRule="auto"/>
        <w:ind w:left="349"/>
        <w:jc w:val="both"/>
        <w:rPr>
          <w:sz w:val="20"/>
          <w:szCs w:val="20"/>
        </w:rPr>
      </w:pPr>
      <w:r>
        <w:rPr>
          <w:sz w:val="20"/>
          <w:szCs w:val="20"/>
        </w:rPr>
        <w:t xml:space="preserve">将这方面风险置于有效的控制之下。监理工程师必须尊重科学、尊重事实，组织各方协调配合， </w:t>
      </w:r>
      <w:r>
        <w:rPr>
          <w:spacing w:val="3"/>
          <w:sz w:val="20"/>
          <w:szCs w:val="20"/>
        </w:rPr>
        <w:t>维护有关各方的合法权益。在实施监理过程中，必须坚持公正、对立、自主原</w:t>
      </w:r>
      <w:r>
        <w:rPr>
          <w:spacing w:val="2"/>
          <w:sz w:val="20"/>
          <w:szCs w:val="20"/>
        </w:rPr>
        <w:t>则，按照合同约</w:t>
      </w:r>
      <w:r>
        <w:rPr>
          <w:sz w:val="20"/>
          <w:szCs w:val="20"/>
        </w:rPr>
        <w:t xml:space="preserve">  </w:t>
      </w:r>
      <w:r>
        <w:rPr>
          <w:spacing w:val="-2"/>
          <w:sz w:val="20"/>
          <w:szCs w:val="20"/>
        </w:rPr>
        <w:t>定的责、权、利关系，协调各方的一致性。</w:t>
      </w:r>
    </w:p>
    <w:p w14:paraId="54BA34F9">
      <w:pPr>
        <w:pStyle w:val="2"/>
        <w:spacing w:before="25" w:line="221" w:lineRule="auto"/>
        <w:ind w:left="753"/>
        <w:rPr>
          <w:rFonts w:ascii="黑体" w:hAnsi="黑体" w:eastAsia="黑体" w:cs="黑体"/>
          <w:sz w:val="29"/>
          <w:szCs w:val="29"/>
        </w:rPr>
      </w:pPr>
      <w:bookmarkStart w:id="602" w:name="bookmark587"/>
      <w:bookmarkEnd w:id="602"/>
      <w:r>
        <w:rPr>
          <w:b/>
          <w:bCs/>
          <w:color w:val="007BE8"/>
          <w:spacing w:val="-30"/>
          <w:w w:val="80"/>
          <w:sz w:val="29"/>
          <w:szCs w:val="29"/>
        </w:rPr>
        <w:t>5.</w:t>
      </w:r>
      <w:r>
        <w:rPr>
          <w:rFonts w:ascii="黑体" w:hAnsi="黑体" w:eastAsia="黑体" w:cs="黑体"/>
          <w:b/>
          <w:bCs/>
          <w:color w:val="007BE8"/>
          <w:spacing w:val="-30"/>
          <w:w w:val="80"/>
          <w:sz w:val="29"/>
          <w:szCs w:val="29"/>
        </w:rPr>
        <w:t>坚持守法、公正、独立、科学、保密的行为准则</w:t>
      </w:r>
    </w:p>
    <w:p w14:paraId="2C1ABE66">
      <w:pPr>
        <w:pStyle w:val="2"/>
        <w:spacing w:before="136" w:line="219" w:lineRule="auto"/>
        <w:ind w:left="750"/>
        <w:rPr>
          <w:sz w:val="20"/>
          <w:szCs w:val="20"/>
        </w:rPr>
      </w:pPr>
      <w:r>
        <w:rPr>
          <w:spacing w:val="-4"/>
          <w:sz w:val="20"/>
          <w:szCs w:val="20"/>
        </w:rPr>
        <w:t>监理单位应坚持的行为准则包括：</w:t>
      </w:r>
    </w:p>
    <w:p w14:paraId="3BE3C58A">
      <w:pPr>
        <w:pStyle w:val="2"/>
        <w:spacing w:before="73" w:line="261" w:lineRule="auto"/>
        <w:ind w:left="349" w:right="91" w:firstLine="400"/>
        <w:rPr>
          <w:sz w:val="20"/>
          <w:szCs w:val="20"/>
        </w:rPr>
      </w:pPr>
      <w:r>
        <w:rPr>
          <w:spacing w:val="5"/>
          <w:sz w:val="20"/>
          <w:szCs w:val="20"/>
        </w:rPr>
        <w:t>(1)守法。这是任何一个具有民事行为能力的单位或个人最起码的行为准则，对于监理单</w:t>
      </w:r>
      <w:r>
        <w:rPr>
          <w:spacing w:val="7"/>
          <w:sz w:val="20"/>
          <w:szCs w:val="20"/>
        </w:rPr>
        <w:t xml:space="preserve"> </w:t>
      </w:r>
      <w:r>
        <w:rPr>
          <w:spacing w:val="-2"/>
          <w:sz w:val="20"/>
          <w:szCs w:val="20"/>
        </w:rPr>
        <w:t>位，守法就是依法经营，其行为应遵守国家和相应地区的所有法律法规。</w:t>
      </w:r>
    </w:p>
    <w:p w14:paraId="6A5E1963">
      <w:pPr>
        <w:pStyle w:val="2"/>
        <w:spacing w:before="73" w:line="270" w:lineRule="auto"/>
        <w:ind w:left="349" w:right="88" w:firstLine="400"/>
        <w:rPr>
          <w:sz w:val="20"/>
          <w:szCs w:val="20"/>
        </w:rPr>
      </w:pPr>
      <w:r>
        <w:rPr>
          <w:spacing w:val="5"/>
          <w:sz w:val="20"/>
          <w:szCs w:val="20"/>
        </w:rPr>
        <w:t>(2)公正。主要是指监理单位在处理业主单位与承建单位之间的矛盾和纠纷时，要做到不</w:t>
      </w:r>
      <w:r>
        <w:rPr>
          <w:spacing w:val="10"/>
          <w:sz w:val="20"/>
          <w:szCs w:val="20"/>
        </w:rPr>
        <w:t xml:space="preserve"> </w:t>
      </w:r>
      <w:r>
        <w:rPr>
          <w:spacing w:val="3"/>
          <w:sz w:val="20"/>
          <w:szCs w:val="20"/>
        </w:rPr>
        <w:t>偏袒任何一方，是谁的责任就由谁承担，该维护谁的权益</w:t>
      </w:r>
      <w:r>
        <w:rPr>
          <w:spacing w:val="2"/>
          <w:sz w:val="20"/>
          <w:szCs w:val="20"/>
        </w:rPr>
        <w:t>就维护谁的利益，决不能因为监理单</w:t>
      </w:r>
      <w:r>
        <w:rPr>
          <w:sz w:val="20"/>
          <w:szCs w:val="20"/>
        </w:rPr>
        <w:t xml:space="preserve"> </w:t>
      </w:r>
      <w:r>
        <w:rPr>
          <w:spacing w:val="-3"/>
          <w:sz w:val="20"/>
          <w:szCs w:val="20"/>
        </w:rPr>
        <w:t>位受业主单位的委托就偏袒业主单位。</w:t>
      </w:r>
    </w:p>
    <w:p w14:paraId="338770EA">
      <w:pPr>
        <w:pStyle w:val="2"/>
        <w:spacing w:before="70" w:line="273" w:lineRule="auto"/>
        <w:ind w:left="349" w:right="62" w:firstLine="400"/>
        <w:rPr>
          <w:sz w:val="20"/>
          <w:szCs w:val="20"/>
        </w:rPr>
      </w:pPr>
      <w:r>
        <w:rPr>
          <w:spacing w:val="5"/>
          <w:sz w:val="20"/>
          <w:szCs w:val="20"/>
        </w:rPr>
        <w:t>(3)独立。主要是指监理单位在组织关系、经济关系、人际关系和业务关系方面独立。组</w:t>
      </w:r>
      <w:r>
        <w:rPr>
          <w:spacing w:val="6"/>
          <w:sz w:val="20"/>
          <w:szCs w:val="20"/>
        </w:rPr>
        <w:t xml:space="preserve"> </w:t>
      </w:r>
      <w:r>
        <w:rPr>
          <w:spacing w:val="3"/>
          <w:sz w:val="20"/>
          <w:szCs w:val="20"/>
        </w:rPr>
        <w:t>织关系独立是指监理单位是工程建设中独立的一方，不是业主单位的附属机构。经济关系独立</w:t>
      </w:r>
      <w:r>
        <w:rPr>
          <w:spacing w:val="13"/>
          <w:sz w:val="20"/>
          <w:szCs w:val="20"/>
        </w:rPr>
        <w:t xml:space="preserve"> </w:t>
      </w:r>
      <w:r>
        <w:rPr>
          <w:spacing w:val="3"/>
          <w:sz w:val="20"/>
          <w:szCs w:val="20"/>
        </w:rPr>
        <w:t>是指监理单位不与参加建设的各方发生利益分享的关系。人际关系独立是</w:t>
      </w:r>
      <w:r>
        <w:rPr>
          <w:spacing w:val="2"/>
          <w:sz w:val="20"/>
          <w:szCs w:val="20"/>
        </w:rPr>
        <w:t>指监理单位不与参加</w:t>
      </w:r>
      <w:r>
        <w:rPr>
          <w:sz w:val="20"/>
          <w:szCs w:val="20"/>
        </w:rPr>
        <w:t xml:space="preserve"> </w:t>
      </w:r>
      <w:r>
        <w:rPr>
          <w:spacing w:val="3"/>
          <w:sz w:val="20"/>
          <w:szCs w:val="20"/>
        </w:rPr>
        <w:t>建设各方及政府部门发生人事连带关系。业务关系独立是指监理合同一经确定，业主单位不得</w:t>
      </w:r>
      <w:r>
        <w:rPr>
          <w:spacing w:val="13"/>
          <w:sz w:val="20"/>
          <w:szCs w:val="20"/>
        </w:rPr>
        <w:t xml:space="preserve"> </w:t>
      </w:r>
      <w:r>
        <w:rPr>
          <w:spacing w:val="-2"/>
          <w:sz w:val="20"/>
          <w:szCs w:val="20"/>
        </w:rPr>
        <w:t>干涉监理的工作，同时监理单位不得从事任何具体的信息系统工程业务。</w:t>
      </w:r>
    </w:p>
    <w:p w14:paraId="2E6749AC">
      <w:pPr>
        <w:pStyle w:val="2"/>
        <w:spacing w:before="104" w:line="252" w:lineRule="auto"/>
        <w:ind w:left="349" w:right="89" w:firstLine="400"/>
        <w:rPr>
          <w:sz w:val="20"/>
          <w:szCs w:val="20"/>
        </w:rPr>
      </w:pPr>
      <w:r>
        <w:rPr>
          <w:spacing w:val="5"/>
          <w:sz w:val="20"/>
          <w:szCs w:val="20"/>
        </w:rPr>
        <w:t>(4)科学。监理的业务活动要依据科学的方案，运用科学的手段，采取科学的方法，进行</w:t>
      </w:r>
      <w:r>
        <w:rPr>
          <w:spacing w:val="9"/>
          <w:sz w:val="20"/>
          <w:szCs w:val="20"/>
        </w:rPr>
        <w:t xml:space="preserve"> </w:t>
      </w:r>
      <w:r>
        <w:rPr>
          <w:spacing w:val="-2"/>
          <w:sz w:val="20"/>
          <w:szCs w:val="20"/>
        </w:rPr>
        <w:t>科学的总结。</w:t>
      </w:r>
    </w:p>
    <w:p w14:paraId="7B4144E4">
      <w:pPr>
        <w:pStyle w:val="2"/>
        <w:spacing w:before="82" w:line="258" w:lineRule="auto"/>
        <w:ind w:left="349" w:right="19" w:firstLine="400"/>
        <w:rPr>
          <w:sz w:val="20"/>
          <w:szCs w:val="20"/>
        </w:rPr>
      </w:pPr>
      <w:r>
        <w:rPr>
          <w:spacing w:val="2"/>
          <w:sz w:val="20"/>
          <w:szCs w:val="20"/>
        </w:rPr>
        <w:t>(5)保密。信息系统工程是高新技术领域的工程，在工程设计和实施中会涉及大量的</w:t>
      </w:r>
      <w:r>
        <w:rPr>
          <w:spacing w:val="1"/>
          <w:sz w:val="20"/>
          <w:szCs w:val="20"/>
        </w:rPr>
        <w:t>技术、</w:t>
      </w:r>
      <w:r>
        <w:rPr>
          <w:sz w:val="20"/>
          <w:szCs w:val="20"/>
        </w:rPr>
        <w:t xml:space="preserve"> </w:t>
      </w:r>
      <w:r>
        <w:rPr>
          <w:spacing w:val="-1"/>
          <w:sz w:val="20"/>
          <w:szCs w:val="20"/>
        </w:rPr>
        <w:t>商业、经济等秘密，监理单位有义务对其在工作范围内接触的上述信息</w:t>
      </w:r>
      <w:r>
        <w:rPr>
          <w:spacing w:val="-2"/>
          <w:sz w:val="20"/>
          <w:szCs w:val="20"/>
        </w:rPr>
        <w:t>保守秘密。</w:t>
      </w:r>
    </w:p>
    <w:p w14:paraId="62A5B645">
      <w:pPr>
        <w:spacing w:line="323" w:lineRule="auto"/>
        <w:rPr>
          <w:rFonts w:ascii="Arial"/>
          <w:sz w:val="21"/>
        </w:rPr>
      </w:pPr>
    </w:p>
    <w:p w14:paraId="4EC67DC4">
      <w:pPr>
        <w:pStyle w:val="2"/>
        <w:spacing w:before="95" w:line="221" w:lineRule="auto"/>
        <w:ind w:left="353"/>
        <w:rPr>
          <w:rFonts w:ascii="黑体" w:hAnsi="黑体" w:eastAsia="黑体" w:cs="黑体"/>
          <w:sz w:val="29"/>
          <w:szCs w:val="29"/>
        </w:rPr>
      </w:pPr>
      <w:r>
        <w:rPr>
          <w:b/>
          <w:bCs/>
          <w:color w:val="006EDC"/>
          <w:spacing w:val="-15"/>
          <w:sz w:val="29"/>
          <w:szCs w:val="29"/>
        </w:rPr>
        <w:t>8.6</w:t>
      </w:r>
      <w:r>
        <w:rPr>
          <w:color w:val="006EDC"/>
          <w:spacing w:val="109"/>
          <w:sz w:val="29"/>
          <w:szCs w:val="29"/>
        </w:rPr>
        <w:t xml:space="preserve"> </w:t>
      </w:r>
      <w:r>
        <w:rPr>
          <w:rFonts w:ascii="黑体" w:hAnsi="黑体" w:eastAsia="黑体" w:cs="黑体"/>
          <w:b/>
          <w:bCs/>
          <w:color w:val="006EDC"/>
          <w:spacing w:val="-15"/>
          <w:sz w:val="29"/>
          <w:szCs w:val="29"/>
        </w:rPr>
        <w:t>信息系统工程监理服务的成本</w:t>
      </w:r>
    </w:p>
    <w:p w14:paraId="1262EFBE">
      <w:pPr>
        <w:pStyle w:val="2"/>
        <w:spacing w:before="254" w:line="219" w:lineRule="auto"/>
        <w:ind w:left="750"/>
        <w:rPr>
          <w:sz w:val="20"/>
          <w:szCs w:val="20"/>
        </w:rPr>
      </w:pPr>
      <w:r>
        <w:rPr>
          <w:spacing w:val="-3"/>
          <w:sz w:val="20"/>
          <w:szCs w:val="20"/>
        </w:rPr>
        <w:t>监理服务的成本分为直接成本、间接成本和其他成本。</w:t>
      </w:r>
    </w:p>
    <w:p w14:paraId="085735A8">
      <w:pPr>
        <w:pStyle w:val="2"/>
        <w:spacing w:before="83" w:line="219" w:lineRule="auto"/>
        <w:ind w:left="750"/>
        <w:rPr>
          <w:sz w:val="20"/>
          <w:szCs w:val="20"/>
        </w:rPr>
      </w:pPr>
      <w:r>
        <w:rPr>
          <w:spacing w:val="2"/>
          <w:sz w:val="20"/>
          <w:szCs w:val="20"/>
        </w:rPr>
        <w:t>(1)直接成本主要包括：</w:t>
      </w:r>
    </w:p>
    <w:p w14:paraId="7688924F">
      <w:pPr>
        <w:pStyle w:val="2"/>
        <w:spacing w:before="93" w:line="219" w:lineRule="auto"/>
        <w:ind w:left="750"/>
        <w:rPr>
          <w:sz w:val="20"/>
          <w:szCs w:val="20"/>
        </w:rPr>
      </w:pPr>
      <w:r>
        <w:rPr>
          <w:spacing w:val="5"/>
          <w:sz w:val="20"/>
          <w:szCs w:val="20"/>
        </w:rPr>
        <w:t>●直接人力成本(本项目监理机构成员的工资、奖金、福利等人力资源费用);</w:t>
      </w:r>
    </w:p>
    <w:p w14:paraId="60E45206">
      <w:pPr>
        <w:pStyle w:val="2"/>
        <w:spacing w:before="82" w:line="258" w:lineRule="auto"/>
        <w:ind w:left="989" w:right="57" w:hanging="239"/>
        <w:rPr>
          <w:sz w:val="20"/>
          <w:szCs w:val="20"/>
        </w:rPr>
      </w:pPr>
      <w:r>
        <w:rPr>
          <w:spacing w:val="6"/>
          <w:sz w:val="20"/>
          <w:szCs w:val="20"/>
        </w:rPr>
        <w:t>●直接非人力成本(本项目顺利开展而需要支出的设备购置费、资料费、差旅费、培训费</w:t>
      </w:r>
      <w:r>
        <w:rPr>
          <w:spacing w:val="7"/>
          <w:sz w:val="20"/>
          <w:szCs w:val="20"/>
        </w:rPr>
        <w:t xml:space="preserve"> </w:t>
      </w:r>
      <w:r>
        <w:rPr>
          <w:spacing w:val="-2"/>
          <w:sz w:val="20"/>
          <w:szCs w:val="20"/>
        </w:rPr>
        <w:t>等费用)。</w:t>
      </w:r>
    </w:p>
    <w:p w14:paraId="471EC153">
      <w:pPr>
        <w:pStyle w:val="2"/>
        <w:spacing w:before="72" w:line="219" w:lineRule="auto"/>
        <w:ind w:left="750"/>
        <w:rPr>
          <w:sz w:val="20"/>
          <w:szCs w:val="20"/>
        </w:rPr>
      </w:pPr>
      <w:r>
        <w:rPr>
          <w:spacing w:val="4"/>
          <w:sz w:val="20"/>
          <w:szCs w:val="20"/>
        </w:rPr>
        <w:t>(2)间接成本主要包括：</w:t>
      </w:r>
    </w:p>
    <w:p w14:paraId="63CF6BB4">
      <w:pPr>
        <w:pStyle w:val="2"/>
        <w:spacing w:before="73" w:line="258" w:lineRule="auto"/>
        <w:ind w:left="989" w:right="82" w:hanging="239"/>
        <w:rPr>
          <w:sz w:val="20"/>
          <w:szCs w:val="20"/>
        </w:rPr>
      </w:pPr>
      <w:r>
        <w:rPr>
          <w:spacing w:val="6"/>
          <w:sz w:val="20"/>
          <w:szCs w:val="20"/>
        </w:rPr>
        <w:t>●间接人力成本(本项目涉及的行政、财务、市</w:t>
      </w:r>
      <w:r>
        <w:rPr>
          <w:spacing w:val="5"/>
          <w:sz w:val="20"/>
          <w:szCs w:val="20"/>
        </w:rPr>
        <w:t>场等其他人员的工资、奖金、福利等人力</w:t>
      </w:r>
      <w:r>
        <w:rPr>
          <w:sz w:val="20"/>
          <w:szCs w:val="20"/>
        </w:rPr>
        <w:t xml:space="preserve"> </w:t>
      </w:r>
      <w:r>
        <w:rPr>
          <w:spacing w:val="-3"/>
          <w:sz w:val="20"/>
          <w:szCs w:val="20"/>
        </w:rPr>
        <w:t>资源费用);</w:t>
      </w:r>
    </w:p>
    <w:p w14:paraId="0B4564E5">
      <w:pPr>
        <w:pStyle w:val="2"/>
        <w:spacing w:before="80" w:line="219" w:lineRule="auto"/>
        <w:ind w:left="750"/>
        <w:rPr>
          <w:sz w:val="20"/>
          <w:szCs w:val="20"/>
        </w:rPr>
      </w:pPr>
      <w:r>
        <w:rPr>
          <w:spacing w:val="7"/>
          <w:sz w:val="20"/>
          <w:szCs w:val="20"/>
        </w:rPr>
        <w:t>●间接非人力成本(本项目监理机构的办公场地费)。</w:t>
      </w:r>
    </w:p>
    <w:p w14:paraId="38EC0396">
      <w:pPr>
        <w:pStyle w:val="2"/>
        <w:spacing w:before="83" w:line="219" w:lineRule="auto"/>
        <w:ind w:left="750"/>
        <w:rPr>
          <w:sz w:val="20"/>
          <w:szCs w:val="20"/>
        </w:rPr>
      </w:pPr>
      <w:r>
        <w:rPr>
          <w:spacing w:val="2"/>
          <w:sz w:val="20"/>
          <w:szCs w:val="20"/>
        </w:rPr>
        <w:t>(3)其他成本主要包括：本项目监理机构应缴纳的税费及其他费用。</w:t>
      </w:r>
    </w:p>
    <w:p w14:paraId="0E50A4EE">
      <w:pPr>
        <w:spacing w:line="314" w:lineRule="auto"/>
        <w:rPr>
          <w:rFonts w:ascii="Arial"/>
          <w:sz w:val="21"/>
        </w:rPr>
      </w:pPr>
    </w:p>
    <w:p w14:paraId="39CF5EA9">
      <w:pPr>
        <w:pStyle w:val="2"/>
        <w:spacing w:before="95" w:line="221" w:lineRule="auto"/>
        <w:ind w:left="353"/>
        <w:rPr>
          <w:rFonts w:ascii="黑体" w:hAnsi="黑体" w:eastAsia="黑体" w:cs="黑体"/>
          <w:sz w:val="29"/>
          <w:szCs w:val="29"/>
        </w:rPr>
      </w:pPr>
      <w:r>
        <w:rPr>
          <w:b/>
          <w:bCs/>
          <w:color w:val="0070E1"/>
          <w:spacing w:val="-16"/>
          <w:sz w:val="29"/>
          <w:szCs w:val="29"/>
        </w:rPr>
        <w:t>8.7</w:t>
      </w:r>
      <w:r>
        <w:rPr>
          <w:color w:val="0070E1"/>
          <w:spacing w:val="121"/>
          <w:sz w:val="29"/>
          <w:szCs w:val="29"/>
        </w:rPr>
        <w:t xml:space="preserve"> </w:t>
      </w:r>
      <w:r>
        <w:rPr>
          <w:rFonts w:ascii="黑体" w:hAnsi="黑体" w:eastAsia="黑体" w:cs="黑体"/>
          <w:b/>
          <w:bCs/>
          <w:color w:val="0070E1"/>
          <w:spacing w:val="-16"/>
          <w:sz w:val="29"/>
          <w:szCs w:val="29"/>
        </w:rPr>
        <w:t>监理及相关服务的质量与评价</w:t>
      </w:r>
    </w:p>
    <w:p w14:paraId="04FFAE60">
      <w:pPr>
        <w:pStyle w:val="2"/>
        <w:spacing w:before="264" w:line="218" w:lineRule="auto"/>
        <w:ind w:left="750"/>
        <w:rPr>
          <w:sz w:val="20"/>
          <w:szCs w:val="20"/>
        </w:rPr>
      </w:pPr>
      <w:r>
        <w:rPr>
          <w:spacing w:val="4"/>
          <w:sz w:val="20"/>
          <w:szCs w:val="20"/>
        </w:rPr>
        <w:t>业主单位和承建单位、监理单位均可根据自身</w:t>
      </w:r>
      <w:r>
        <w:rPr>
          <w:spacing w:val="3"/>
          <w:sz w:val="20"/>
          <w:szCs w:val="20"/>
        </w:rPr>
        <w:t>的需要对监理及相关服务质量做出评价，并</w:t>
      </w:r>
    </w:p>
    <w:p w14:paraId="36B6340C">
      <w:pPr>
        <w:spacing w:line="218" w:lineRule="auto"/>
        <w:rPr>
          <w:sz w:val="20"/>
          <w:szCs w:val="20"/>
        </w:rPr>
        <w:sectPr>
          <w:pgSz w:w="10300" w:h="13440"/>
          <w:pgMar w:top="400" w:right="1069" w:bottom="400" w:left="479" w:header="0" w:footer="0" w:gutter="0"/>
          <w:cols w:space="720" w:num="1"/>
        </w:sectPr>
      </w:pPr>
    </w:p>
    <w:p w14:paraId="6F72CCD9">
      <w:pPr>
        <w:pStyle w:val="2"/>
        <w:spacing w:before="86" w:line="219" w:lineRule="auto"/>
        <w:jc w:val="right"/>
        <w:rPr>
          <w:rFonts w:ascii="Times New Roman" w:hAnsi="Times New Roman" w:eastAsia="Times New Roman" w:cs="Times New Roman"/>
          <w:sz w:val="19"/>
          <w:szCs w:val="19"/>
        </w:rPr>
      </w:pPr>
      <w:r>
        <w:rPr>
          <w:spacing w:val="1"/>
          <w:sz w:val="19"/>
          <w:szCs w:val="19"/>
        </w:rPr>
        <w:t>第8章 信息系统工程监理基础知识</w:t>
      </w:r>
      <w:r>
        <w:rPr>
          <w:spacing w:val="9"/>
          <w:sz w:val="19"/>
          <w:szCs w:val="19"/>
        </w:rPr>
        <w:t xml:space="preserve">      </w:t>
      </w:r>
      <w:r>
        <w:rPr>
          <w:rFonts w:ascii="Times New Roman" w:hAnsi="Times New Roman" w:eastAsia="Times New Roman" w:cs="Times New Roman"/>
          <w:spacing w:val="1"/>
          <w:sz w:val="19"/>
          <w:szCs w:val="19"/>
        </w:rPr>
        <w:t>225</w:t>
      </w:r>
    </w:p>
    <w:p w14:paraId="5A070F4D">
      <w:pPr>
        <w:spacing w:line="311" w:lineRule="auto"/>
        <w:rPr>
          <w:rFonts w:ascii="Arial"/>
          <w:sz w:val="21"/>
        </w:rPr>
      </w:pPr>
    </w:p>
    <w:p w14:paraId="26A575E9">
      <w:pPr>
        <w:pStyle w:val="2"/>
        <w:spacing w:before="62" w:line="303" w:lineRule="auto"/>
        <w:ind w:right="292"/>
        <w:jc w:val="both"/>
        <w:rPr>
          <w:sz w:val="19"/>
          <w:szCs w:val="19"/>
        </w:rPr>
      </w:pPr>
      <w:r>
        <w:rPr>
          <w:spacing w:val="13"/>
          <w:sz w:val="19"/>
          <w:szCs w:val="19"/>
        </w:rPr>
        <w:t>作为监理服务持续改进的基础。评价应当基于监理合同的要求，结合监理及相关服务质量的特 性进行综合评定。监理及相关服务质量与业主单位、承建单位、监理单位(简称“三方”)之间</w:t>
      </w:r>
      <w:r>
        <w:rPr>
          <w:spacing w:val="11"/>
          <w:sz w:val="19"/>
          <w:szCs w:val="19"/>
        </w:rPr>
        <w:t xml:space="preserve"> </w:t>
      </w:r>
      <w:r>
        <w:rPr>
          <w:spacing w:val="10"/>
          <w:sz w:val="19"/>
          <w:szCs w:val="19"/>
        </w:rPr>
        <w:t>的关系如图8-2所示。</w:t>
      </w:r>
    </w:p>
    <w:p w14:paraId="2A2F1107">
      <w:pPr>
        <w:pStyle w:val="2"/>
        <w:spacing w:before="47" w:line="4490" w:lineRule="exact"/>
        <w:ind w:firstLine="689"/>
      </w:pPr>
      <w:r>
        <w:rPr>
          <w:position w:val="-89"/>
        </w:rPr>
        <w:pict>
          <v:group id="_x0000_s1409" o:spid="_x0000_s1409" o:spt="203" style="height:224.5pt;width:346.55pt;" coordsize="6930,4490">
            <o:lock v:ext="edit"/>
            <v:shape id="_x0000_s1410" o:spid="_x0000_s1410" o:spt="75" type="#_x0000_t75" style="position:absolute;left:0;top:0;height:4490;width:6930;" filled="f" stroked="f" coordsize="21600,21600">
              <v:path/>
              <v:fill on="f" focussize="0,0"/>
              <v:stroke on="f"/>
              <v:imagedata r:id="rId157" o:title=""/>
              <o:lock v:ext="edit" aspectratio="t"/>
            </v:shape>
            <v:shape id="_x0000_s1411" o:spid="_x0000_s1411" o:spt="202" type="#_x0000_t202" style="position:absolute;left:1790;top:157;height:4172;width:3378;" filled="f" stroked="f" coordsize="21600,21600">
              <v:path/>
              <v:fill on="f" focussize="0,0"/>
              <v:stroke on="f"/>
              <v:imagedata o:title=""/>
              <o:lock v:ext="edit" aspectratio="f"/>
              <v:textbox inset="0mm,0mm,0mm,0mm">
                <w:txbxContent>
                  <w:p w14:paraId="3DD326D5">
                    <w:pPr>
                      <w:spacing w:before="19" w:line="219" w:lineRule="auto"/>
                      <w:ind w:left="20"/>
                      <w:rPr>
                        <w:rFonts w:ascii="宋体" w:hAnsi="宋体" w:eastAsia="宋体" w:cs="宋体"/>
                        <w:sz w:val="19"/>
                        <w:szCs w:val="19"/>
                      </w:rPr>
                    </w:pPr>
                    <w:r>
                      <w:rPr>
                        <w:rFonts w:ascii="宋体" w:hAnsi="宋体" w:eastAsia="宋体" w:cs="宋体"/>
                        <w:spacing w:val="-14"/>
                        <w:sz w:val="19"/>
                        <w:szCs w:val="19"/>
                      </w:rPr>
                      <w:t>业主单位和承建单位(需方单位和供方单位)</w:t>
                    </w:r>
                  </w:p>
                  <w:p w14:paraId="2D8EA51F">
                    <w:pPr>
                      <w:spacing w:before="285" w:line="219" w:lineRule="auto"/>
                      <w:ind w:left="570"/>
                      <w:rPr>
                        <w:rFonts w:ascii="宋体" w:hAnsi="宋体" w:eastAsia="宋体" w:cs="宋体"/>
                        <w:sz w:val="19"/>
                        <w:szCs w:val="19"/>
                      </w:rPr>
                    </w:pPr>
                    <w:r>
                      <w:rPr>
                        <w:rFonts w:ascii="宋体" w:hAnsi="宋体" w:eastAsia="宋体" w:cs="宋体"/>
                        <w:spacing w:val="-17"/>
                        <w:w w:val="99"/>
                        <w:sz w:val="19"/>
                        <w:szCs w:val="19"/>
                      </w:rPr>
                      <w:t>监理服务质量需求</w:t>
                    </w:r>
                  </w:p>
                  <w:p w14:paraId="30FC056E">
                    <w:pPr>
                      <w:spacing w:line="359" w:lineRule="auto"/>
                      <w:rPr>
                        <w:rFonts w:ascii="Arial"/>
                        <w:sz w:val="21"/>
                      </w:rPr>
                    </w:pPr>
                  </w:p>
                  <w:p w14:paraId="68007C85">
                    <w:pPr>
                      <w:spacing w:line="359" w:lineRule="auto"/>
                      <w:rPr>
                        <w:rFonts w:ascii="Arial"/>
                        <w:sz w:val="21"/>
                      </w:rPr>
                    </w:pPr>
                  </w:p>
                  <w:p w14:paraId="1DED6A6E">
                    <w:pPr>
                      <w:spacing w:before="62" w:line="219" w:lineRule="auto"/>
                      <w:ind w:left="889"/>
                      <w:rPr>
                        <w:rFonts w:ascii="宋体" w:hAnsi="宋体" w:eastAsia="宋体" w:cs="宋体"/>
                        <w:sz w:val="19"/>
                        <w:szCs w:val="19"/>
                      </w:rPr>
                    </w:pPr>
                    <w:r>
                      <w:rPr>
                        <w:rFonts w:ascii="宋体" w:hAnsi="宋体" w:eastAsia="宋体" w:cs="宋体"/>
                        <w:spacing w:val="-10"/>
                        <w:sz w:val="19"/>
                        <w:szCs w:val="19"/>
                      </w:rPr>
                      <w:t>持续改进</w:t>
                    </w:r>
                  </w:p>
                  <w:p w14:paraId="7D680A71">
                    <w:pPr>
                      <w:spacing w:line="245" w:lineRule="auto"/>
                      <w:rPr>
                        <w:rFonts w:ascii="Arial"/>
                        <w:sz w:val="21"/>
                      </w:rPr>
                    </w:pPr>
                  </w:p>
                  <w:p w14:paraId="6ED55635">
                    <w:pPr>
                      <w:spacing w:before="46" w:line="219" w:lineRule="auto"/>
                      <w:ind w:left="889"/>
                      <w:rPr>
                        <w:rFonts w:ascii="宋体" w:hAnsi="宋体" w:eastAsia="宋体" w:cs="宋体"/>
                        <w:sz w:val="14"/>
                        <w:szCs w:val="14"/>
                      </w:rPr>
                    </w:pPr>
                    <w:r>
                      <w:rPr>
                        <w:rFonts w:ascii="宋体" w:hAnsi="宋体" w:eastAsia="宋体" w:cs="宋体"/>
                        <w:spacing w:val="5"/>
                        <w:sz w:val="14"/>
                        <w:szCs w:val="14"/>
                      </w:rPr>
                      <w:t>(监理服务)</w:t>
                    </w:r>
                  </w:p>
                  <w:p w14:paraId="2BB300B9">
                    <w:pPr>
                      <w:spacing w:before="286" w:line="219" w:lineRule="auto"/>
                      <w:ind w:left="889"/>
                      <w:rPr>
                        <w:rFonts w:ascii="宋体" w:hAnsi="宋体" w:eastAsia="宋体" w:cs="宋体"/>
                        <w:sz w:val="19"/>
                        <w:szCs w:val="19"/>
                      </w:rPr>
                    </w:pPr>
                    <w:r>
                      <w:rPr>
                        <w:rFonts w:ascii="宋体" w:hAnsi="宋体" w:eastAsia="宋体" w:cs="宋体"/>
                        <w:spacing w:val="-10"/>
                        <w:sz w:val="19"/>
                        <w:szCs w:val="19"/>
                      </w:rPr>
                      <w:t>持续改进</w:t>
                    </w:r>
                  </w:p>
                  <w:p w14:paraId="5AC4ADC1">
                    <w:pPr>
                      <w:spacing w:line="329" w:lineRule="auto"/>
                      <w:rPr>
                        <w:rFonts w:ascii="Arial"/>
                        <w:sz w:val="21"/>
                      </w:rPr>
                    </w:pPr>
                  </w:p>
                  <w:p w14:paraId="25356350">
                    <w:pPr>
                      <w:spacing w:line="329" w:lineRule="auto"/>
                      <w:rPr>
                        <w:rFonts w:ascii="Arial"/>
                        <w:sz w:val="21"/>
                      </w:rPr>
                    </w:pPr>
                  </w:p>
                  <w:p w14:paraId="7A55E482">
                    <w:pPr>
                      <w:spacing w:before="62" w:line="219" w:lineRule="auto"/>
                      <w:ind w:left="580"/>
                      <w:rPr>
                        <w:rFonts w:ascii="宋体" w:hAnsi="宋体" w:eastAsia="宋体" w:cs="宋体"/>
                        <w:sz w:val="19"/>
                        <w:szCs w:val="19"/>
                      </w:rPr>
                    </w:pPr>
                    <w:r>
                      <w:rPr>
                        <w:rFonts w:ascii="宋体" w:hAnsi="宋体" w:eastAsia="宋体" w:cs="宋体"/>
                        <w:spacing w:val="-14"/>
                        <w:w w:val="97"/>
                        <w:sz w:val="19"/>
                        <w:szCs w:val="19"/>
                      </w:rPr>
                      <w:t>监理服务质量满足</w:t>
                    </w:r>
                  </w:p>
                  <w:p w14:paraId="7DDB4D26">
                    <w:pPr>
                      <w:spacing w:before="275" w:line="220" w:lineRule="auto"/>
                      <w:ind w:left="1380"/>
                      <w:rPr>
                        <w:rFonts w:ascii="宋体" w:hAnsi="宋体" w:eastAsia="宋体" w:cs="宋体"/>
                        <w:sz w:val="19"/>
                        <w:szCs w:val="19"/>
                      </w:rPr>
                    </w:pPr>
                    <w:r>
                      <w:rPr>
                        <w:rFonts w:ascii="宋体" w:hAnsi="宋体" w:eastAsia="宋体" w:cs="宋体"/>
                        <w:spacing w:val="-14"/>
                        <w:sz w:val="19"/>
                        <w:szCs w:val="19"/>
                      </w:rPr>
                      <w:t>监理单位</w:t>
                    </w:r>
                  </w:p>
                </w:txbxContent>
              </v:textbox>
            </v:shape>
            <v:shape id="_x0000_s1412" o:spid="_x0000_s1412" o:spt="202" type="#_x0000_t202" style="position:absolute;left:5980;top:560;height:3372;width:203;" filled="f" stroked="f" coordsize="21600,21600">
              <v:path/>
              <v:fill on="f" focussize="0,0"/>
              <v:stroke on="f"/>
              <v:imagedata o:title=""/>
              <o:lock v:ext="edit" aspectratio="f"/>
              <v:textbox inset="0mm,0mm,0mm,0mm" style="layout-flow:vertical-ideographic;">
                <w:txbxContent>
                  <w:p w14:paraId="3328569C">
                    <w:pPr>
                      <w:spacing w:before="19" w:line="218" w:lineRule="auto"/>
                      <w:ind w:left="20"/>
                      <w:rPr>
                        <w:rFonts w:ascii="宋体" w:hAnsi="宋体" w:eastAsia="宋体" w:cs="宋体"/>
                        <w:sz w:val="16"/>
                        <w:szCs w:val="16"/>
                      </w:rPr>
                    </w:pPr>
                    <w:r>
                      <w:rPr>
                        <w:rFonts w:ascii="宋体" w:hAnsi="宋体" w:eastAsia="宋体" w:cs="宋体"/>
                        <w:spacing w:val="17"/>
                        <w:sz w:val="16"/>
                        <w:szCs w:val="16"/>
                      </w:rPr>
                      <w:t>监理服务质量评价</w:t>
                    </w:r>
                    <w:r>
                      <w:rPr>
                        <w:rFonts w:ascii="宋体" w:hAnsi="宋体" w:eastAsia="宋体" w:cs="宋体"/>
                        <w:spacing w:val="3"/>
                        <w:sz w:val="16"/>
                        <w:szCs w:val="16"/>
                      </w:rPr>
                      <w:t xml:space="preserve">      </w:t>
                    </w:r>
                    <w:r>
                      <w:rPr>
                        <w:rFonts w:ascii="宋体" w:hAnsi="宋体" w:eastAsia="宋体" w:cs="宋体"/>
                        <w:spacing w:val="17"/>
                        <w:sz w:val="16"/>
                        <w:szCs w:val="16"/>
                      </w:rPr>
                      <w:t>监理服务质量评价</w:t>
                    </w:r>
                  </w:p>
                </w:txbxContent>
              </v:textbox>
            </v:shape>
            <v:shape id="_x0000_s1413" o:spid="_x0000_s1413" o:spt="202" type="#_x0000_t202" style="position:absolute;left:730;top:2047;height:440;width:1106;" filled="f" stroked="f" coordsize="21600,21600">
              <v:path/>
              <v:fill on="f" focussize="0,0"/>
              <v:stroke on="f"/>
              <v:imagedata o:title=""/>
              <o:lock v:ext="edit" aspectratio="f"/>
              <v:textbox inset="0mm,0mm,0mm,0mm">
                <w:txbxContent>
                  <w:p w14:paraId="56C7B122">
                    <w:pPr>
                      <w:spacing w:before="19" w:line="212" w:lineRule="auto"/>
                      <w:ind w:left="110" w:right="20" w:hanging="90"/>
                      <w:rPr>
                        <w:rFonts w:ascii="宋体" w:hAnsi="宋体" w:eastAsia="宋体" w:cs="宋体"/>
                        <w:sz w:val="19"/>
                        <w:szCs w:val="19"/>
                      </w:rPr>
                    </w:pPr>
                    <w:r>
                      <w:rPr>
                        <w:rFonts w:ascii="宋体" w:hAnsi="宋体" w:eastAsia="宋体" w:cs="宋体"/>
                        <w:spacing w:val="-13"/>
                        <w:sz w:val="19"/>
                        <w:szCs w:val="19"/>
                      </w:rPr>
                      <w:t>监理服务特性</w:t>
                    </w:r>
                    <w:r>
                      <w:rPr>
                        <w:rFonts w:ascii="宋体" w:hAnsi="宋体" w:eastAsia="宋体" w:cs="宋体"/>
                        <w:spacing w:val="3"/>
                        <w:sz w:val="19"/>
                        <w:szCs w:val="19"/>
                      </w:rPr>
                      <w:t xml:space="preserve"> </w:t>
                    </w:r>
                    <w:r>
                      <w:rPr>
                        <w:rFonts w:ascii="宋体" w:hAnsi="宋体" w:eastAsia="宋体" w:cs="宋体"/>
                        <w:spacing w:val="-15"/>
                        <w:sz w:val="19"/>
                        <w:szCs w:val="19"/>
                      </w:rPr>
                      <w:t>与服务展现</w:t>
                    </w:r>
                  </w:p>
                </w:txbxContent>
              </v:textbox>
            </v:shape>
            <v:shape id="_x0000_s1414" o:spid="_x0000_s1414" o:spt="202" type="#_x0000_t202" style="position:absolute;left:4280;top:2057;height:430;width:955;" filled="f" stroked="f" coordsize="21600,21600">
              <v:path/>
              <v:fill on="f" focussize="0,0"/>
              <v:stroke on="f"/>
              <v:imagedata o:title=""/>
              <o:lock v:ext="edit" aspectratio="f"/>
              <v:textbox inset="0mm,0mm,0mm,0mm">
                <w:txbxContent>
                  <w:p w14:paraId="16ABECF7">
                    <w:pPr>
                      <w:spacing w:before="19" w:line="207" w:lineRule="auto"/>
                      <w:ind w:left="98" w:right="20" w:hanging="79"/>
                      <w:rPr>
                        <w:rFonts w:ascii="宋体" w:hAnsi="宋体" w:eastAsia="宋体" w:cs="宋体"/>
                        <w:sz w:val="19"/>
                        <w:szCs w:val="19"/>
                      </w:rPr>
                    </w:pPr>
                    <w:r>
                      <w:rPr>
                        <w:rFonts w:ascii="宋体" w:hAnsi="宋体" w:eastAsia="宋体" w:cs="宋体"/>
                        <w:spacing w:val="-8"/>
                        <w:sz w:val="19"/>
                        <w:szCs w:val="19"/>
                      </w:rPr>
                      <w:t>监理服务的</w:t>
                    </w:r>
                    <w:r>
                      <w:rPr>
                        <w:rFonts w:ascii="宋体" w:hAnsi="宋体" w:eastAsia="宋体" w:cs="宋体"/>
                        <w:spacing w:val="3"/>
                        <w:sz w:val="19"/>
                        <w:szCs w:val="19"/>
                      </w:rPr>
                      <w:t xml:space="preserve"> </w:t>
                    </w:r>
                    <w:r>
                      <w:rPr>
                        <w:rFonts w:ascii="宋体" w:hAnsi="宋体" w:eastAsia="宋体" w:cs="宋体"/>
                        <w:spacing w:val="-12"/>
                        <w:sz w:val="19"/>
                        <w:szCs w:val="19"/>
                      </w:rPr>
                      <w:t>约束条件</w:t>
                    </w:r>
                  </w:p>
                </w:txbxContent>
              </v:textbox>
            </v:shape>
            <v:shape id="_x0000_s1415" o:spid="_x0000_s1415" o:spt="202" type="#_x0000_t202" style="position:absolute;left:131;top:1660;height:1104;width:188;" filled="f" stroked="f" coordsize="21600,21600">
              <v:path/>
              <v:fill on="f" focussize="0,0"/>
              <v:stroke on="f"/>
              <v:imagedata o:title=""/>
              <o:lock v:ext="edit" aspectratio="f"/>
              <v:textbox inset="0mm,0mm,0mm,0mm" style="layout-flow:vertical-ideographic;">
                <w:txbxContent>
                  <w:p w14:paraId="58D53B6E">
                    <w:pPr>
                      <w:spacing w:before="19" w:line="202" w:lineRule="auto"/>
                      <w:ind w:left="20"/>
                      <w:rPr>
                        <w:rFonts w:ascii="宋体" w:hAnsi="宋体" w:eastAsia="宋体" w:cs="宋体"/>
                        <w:sz w:val="16"/>
                        <w:szCs w:val="16"/>
                      </w:rPr>
                    </w:pPr>
                    <w:r>
                      <w:rPr>
                        <w:rFonts w:ascii="宋体" w:hAnsi="宋体" w:eastAsia="宋体" w:cs="宋体"/>
                        <w:spacing w:val="17"/>
                        <w:sz w:val="16"/>
                        <w:szCs w:val="16"/>
                      </w:rPr>
                      <w:t>监理服务需求</w:t>
                    </w:r>
                  </w:p>
                </w:txbxContent>
              </v:textbox>
            </v:shape>
            <v:shape id="_x0000_s1416" o:spid="_x0000_s1416" o:spt="202" type="#_x0000_t202" style="position:absolute;left:6646;top:1670;height:1103;width:188;" filled="f" stroked="f" coordsize="21600,21600">
              <v:path/>
              <v:fill on="f" focussize="0,0"/>
              <v:stroke on="f"/>
              <v:imagedata o:title=""/>
              <o:lock v:ext="edit" aspectratio="f"/>
              <v:textbox inset="0mm,0mm,0mm,0mm" style="layout-flow:vertical-ideographic;">
                <w:txbxContent>
                  <w:p w14:paraId="4DBF0772">
                    <w:pPr>
                      <w:spacing w:before="19" w:line="201" w:lineRule="auto"/>
                      <w:ind w:left="20"/>
                      <w:rPr>
                        <w:rFonts w:ascii="宋体" w:hAnsi="宋体" w:eastAsia="宋体" w:cs="宋体"/>
                        <w:sz w:val="16"/>
                        <w:szCs w:val="16"/>
                      </w:rPr>
                    </w:pPr>
                    <w:r>
                      <w:rPr>
                        <w:rFonts w:ascii="宋体" w:hAnsi="宋体" w:eastAsia="宋体" w:cs="宋体"/>
                        <w:spacing w:val="17"/>
                        <w:sz w:val="16"/>
                        <w:szCs w:val="16"/>
                      </w:rPr>
                      <w:t>监理服务提供</w:t>
                    </w:r>
                  </w:p>
                </w:txbxContent>
              </v:textbox>
            </v:shape>
            <w10:wrap type="none"/>
            <w10:anchorlock/>
          </v:group>
        </w:pict>
      </w:r>
    </w:p>
    <w:p w14:paraId="13FFDB41">
      <w:pPr>
        <w:pStyle w:val="2"/>
        <w:spacing w:before="76" w:line="218" w:lineRule="auto"/>
        <w:ind w:left="2960"/>
        <w:rPr>
          <w:sz w:val="19"/>
          <w:szCs w:val="19"/>
        </w:rPr>
      </w:pPr>
      <w:r>
        <w:rPr>
          <w:spacing w:val="-8"/>
          <w:sz w:val="19"/>
          <w:szCs w:val="19"/>
        </w:rPr>
        <w:t>图8-2  监理服务质量评价模型</w:t>
      </w:r>
    </w:p>
    <w:p w14:paraId="64428BB6">
      <w:pPr>
        <w:pStyle w:val="2"/>
        <w:spacing w:before="174" w:line="302" w:lineRule="auto"/>
        <w:ind w:right="318" w:firstLine="410"/>
        <w:jc w:val="both"/>
        <w:rPr>
          <w:sz w:val="19"/>
          <w:szCs w:val="19"/>
        </w:rPr>
      </w:pPr>
      <w:r>
        <w:rPr>
          <w:spacing w:val="13"/>
          <w:sz w:val="19"/>
          <w:szCs w:val="19"/>
        </w:rPr>
        <w:t>监理及相关服务的评价原则描述了对监理及相关服务评价的通用要求，可以</w:t>
      </w:r>
      <w:r>
        <w:rPr>
          <w:spacing w:val="12"/>
          <w:sz w:val="19"/>
          <w:szCs w:val="19"/>
        </w:rPr>
        <w:t>作为评价特定</w:t>
      </w:r>
      <w:r>
        <w:rPr>
          <w:sz w:val="19"/>
          <w:szCs w:val="19"/>
        </w:rPr>
        <w:t xml:space="preserve"> </w:t>
      </w:r>
      <w:r>
        <w:rPr>
          <w:spacing w:val="13"/>
          <w:sz w:val="19"/>
          <w:szCs w:val="19"/>
        </w:rPr>
        <w:t>项目监理及相关服务的参考。评价监理及相关服务需要综合考虑服务内容、服</w:t>
      </w:r>
      <w:r>
        <w:rPr>
          <w:spacing w:val="12"/>
          <w:sz w:val="19"/>
          <w:szCs w:val="19"/>
        </w:rPr>
        <w:t>务质量及项目建</w:t>
      </w:r>
      <w:r>
        <w:rPr>
          <w:sz w:val="19"/>
          <w:szCs w:val="19"/>
        </w:rPr>
        <w:t xml:space="preserve"> </w:t>
      </w:r>
      <w:r>
        <w:rPr>
          <w:spacing w:val="9"/>
          <w:sz w:val="19"/>
          <w:szCs w:val="19"/>
        </w:rPr>
        <w:t>设的效果三个方面。这三个评价方面相互交叉、相互影</w:t>
      </w:r>
      <w:r>
        <w:rPr>
          <w:spacing w:val="8"/>
          <w:sz w:val="19"/>
          <w:szCs w:val="19"/>
        </w:rPr>
        <w:t>响且密切联系。具体评价要求如下：</w:t>
      </w:r>
    </w:p>
    <w:p w14:paraId="2CFEF538">
      <w:pPr>
        <w:pStyle w:val="2"/>
        <w:spacing w:before="11" w:line="273" w:lineRule="auto"/>
        <w:ind w:right="295" w:firstLine="410"/>
        <w:rPr>
          <w:sz w:val="19"/>
          <w:szCs w:val="19"/>
        </w:rPr>
      </w:pPr>
      <w:r>
        <w:rPr>
          <w:spacing w:val="15"/>
          <w:sz w:val="19"/>
          <w:szCs w:val="19"/>
        </w:rPr>
        <w:t>(1)服务的内容。监理及相关服务是由不同的多种技术服务组成的。可以从监理及相关服</w:t>
      </w:r>
      <w:r>
        <w:rPr>
          <w:spacing w:val="11"/>
          <w:sz w:val="19"/>
          <w:szCs w:val="19"/>
        </w:rPr>
        <w:t xml:space="preserve"> </w:t>
      </w:r>
      <w:r>
        <w:rPr>
          <w:spacing w:val="14"/>
          <w:sz w:val="19"/>
          <w:szCs w:val="19"/>
        </w:rPr>
        <w:t>务的范围、密度和技术进行评价。监理及相关服</w:t>
      </w:r>
      <w:r>
        <w:rPr>
          <w:spacing w:val="13"/>
          <w:sz w:val="19"/>
          <w:szCs w:val="19"/>
        </w:rPr>
        <w:t>务的范围要求完善、可用；监理及相关服务的</w:t>
      </w:r>
      <w:r>
        <w:rPr>
          <w:sz w:val="19"/>
          <w:szCs w:val="19"/>
        </w:rPr>
        <w:t xml:space="preserve"> </w:t>
      </w:r>
      <w:r>
        <w:rPr>
          <w:spacing w:val="9"/>
          <w:sz w:val="19"/>
          <w:szCs w:val="19"/>
        </w:rPr>
        <w:t>密度要求与项目监理活动匹配；监理及相关服务的技</w:t>
      </w:r>
      <w:r>
        <w:rPr>
          <w:spacing w:val="8"/>
          <w:sz w:val="19"/>
          <w:szCs w:val="19"/>
        </w:rPr>
        <w:t>术要求工具等手段科学、可靠、合理。</w:t>
      </w:r>
    </w:p>
    <w:p w14:paraId="1A93F159">
      <w:pPr>
        <w:pStyle w:val="2"/>
        <w:spacing w:before="84" w:line="261" w:lineRule="auto"/>
        <w:ind w:right="296" w:firstLine="410"/>
        <w:rPr>
          <w:sz w:val="19"/>
          <w:szCs w:val="19"/>
        </w:rPr>
      </w:pPr>
      <w:r>
        <w:rPr>
          <w:spacing w:val="15"/>
          <w:sz w:val="19"/>
          <w:szCs w:val="19"/>
        </w:rPr>
        <w:t>(2)服务的质量。监理及相关服务的质量是整个评价体系中较为重要的一方面。作为信息</w:t>
      </w:r>
      <w:r>
        <w:rPr>
          <w:spacing w:val="18"/>
          <w:sz w:val="19"/>
          <w:szCs w:val="19"/>
        </w:rPr>
        <w:t xml:space="preserve"> </w:t>
      </w:r>
      <w:r>
        <w:rPr>
          <w:spacing w:val="9"/>
          <w:sz w:val="19"/>
          <w:szCs w:val="19"/>
        </w:rPr>
        <w:t>技术服务的一种，要求监理服务成果准确、无疑义，监理服务过程安全可</w:t>
      </w:r>
      <w:r>
        <w:rPr>
          <w:spacing w:val="8"/>
          <w:sz w:val="19"/>
          <w:szCs w:val="19"/>
        </w:rPr>
        <w:t>控、及时响应。</w:t>
      </w:r>
    </w:p>
    <w:p w14:paraId="110F5EAC">
      <w:pPr>
        <w:pStyle w:val="2"/>
        <w:spacing w:before="62" w:line="281" w:lineRule="auto"/>
        <w:ind w:right="304" w:firstLine="410"/>
        <w:rPr>
          <w:sz w:val="19"/>
          <w:szCs w:val="19"/>
        </w:rPr>
      </w:pPr>
      <w:r>
        <w:rPr>
          <w:spacing w:val="15"/>
          <w:sz w:val="19"/>
          <w:szCs w:val="19"/>
        </w:rPr>
        <w:t>(3)项目建设的效果。对信息系统工程建设效果的评价是从另外一个</w:t>
      </w:r>
      <w:r>
        <w:rPr>
          <w:spacing w:val="14"/>
          <w:sz w:val="19"/>
          <w:szCs w:val="19"/>
        </w:rPr>
        <w:t>角度对监理及相关服</w:t>
      </w:r>
      <w:r>
        <w:rPr>
          <w:sz w:val="19"/>
          <w:szCs w:val="19"/>
        </w:rPr>
        <w:t xml:space="preserve"> </w:t>
      </w:r>
      <w:r>
        <w:rPr>
          <w:spacing w:val="13"/>
          <w:sz w:val="19"/>
          <w:szCs w:val="19"/>
        </w:rPr>
        <w:t>务效果的评价。结合监理及相关服务自身的特殊性，对建设效果考量的指标包括信息系统工程</w:t>
      </w:r>
      <w:r>
        <w:rPr>
          <w:spacing w:val="12"/>
          <w:sz w:val="19"/>
          <w:szCs w:val="19"/>
        </w:rPr>
        <w:t xml:space="preserve"> </w:t>
      </w:r>
      <w:r>
        <w:rPr>
          <w:spacing w:val="6"/>
          <w:sz w:val="19"/>
          <w:szCs w:val="19"/>
        </w:rPr>
        <w:t>的运行状况和经济效益两个方面。</w:t>
      </w:r>
    </w:p>
    <w:p w14:paraId="15CF69C0">
      <w:pPr>
        <w:pStyle w:val="2"/>
        <w:spacing w:before="77" w:line="287" w:lineRule="auto"/>
        <w:ind w:right="216" w:firstLine="410"/>
        <w:jc w:val="both"/>
        <w:rPr>
          <w:sz w:val="19"/>
          <w:szCs w:val="19"/>
        </w:rPr>
      </w:pPr>
      <w:r>
        <w:rPr>
          <w:spacing w:val="14"/>
          <w:sz w:val="19"/>
          <w:szCs w:val="19"/>
        </w:rPr>
        <w:t>评价指标包括：在服务的内容中，评价监理及相关服务的范围覆盖率、监理及</w:t>
      </w:r>
      <w:r>
        <w:rPr>
          <w:spacing w:val="13"/>
          <w:sz w:val="19"/>
          <w:szCs w:val="19"/>
        </w:rPr>
        <w:t>相关服务密</w:t>
      </w:r>
      <w:r>
        <w:rPr>
          <w:sz w:val="19"/>
          <w:szCs w:val="19"/>
        </w:rPr>
        <w:t xml:space="preserve"> </w:t>
      </w:r>
      <w:r>
        <w:rPr>
          <w:spacing w:val="13"/>
          <w:sz w:val="19"/>
          <w:szCs w:val="19"/>
        </w:rPr>
        <w:t>度、工具的数量及准确性等；在服务的质量中，评价监理及相关服务的成果错误率、合同履行</w:t>
      </w:r>
      <w:r>
        <w:rPr>
          <w:spacing w:val="7"/>
          <w:sz w:val="19"/>
          <w:szCs w:val="19"/>
        </w:rPr>
        <w:t xml:space="preserve">  </w:t>
      </w:r>
      <w:r>
        <w:rPr>
          <w:spacing w:val="13"/>
          <w:sz w:val="19"/>
          <w:szCs w:val="19"/>
        </w:rPr>
        <w:t>程度及重大责任事故等；在服务的效果中，评价系统的系统故障率、系统稳定性、系统安全性</w:t>
      </w:r>
      <w:r>
        <w:rPr>
          <w:spacing w:val="6"/>
          <w:sz w:val="19"/>
          <w:szCs w:val="19"/>
        </w:rPr>
        <w:t xml:space="preserve">  </w:t>
      </w:r>
      <w:r>
        <w:rPr>
          <w:spacing w:val="15"/>
          <w:sz w:val="19"/>
          <w:szCs w:val="19"/>
        </w:rPr>
        <w:t>及经济和社会效益达成率等。在特定项目的评价中，考虑到信息系统工程建设目标差别较大，</w:t>
      </w:r>
      <w:r>
        <w:rPr>
          <w:spacing w:val="18"/>
          <w:sz w:val="19"/>
          <w:szCs w:val="19"/>
        </w:rPr>
        <w:t xml:space="preserve"> </w:t>
      </w:r>
      <w:r>
        <w:rPr>
          <w:spacing w:val="13"/>
          <w:sz w:val="19"/>
          <w:szCs w:val="19"/>
        </w:rPr>
        <w:t>对监理及相关服务的评价必须结合项目特点设定。对于评价特定项目的监理及相关服务，依据</w:t>
      </w:r>
      <w:r>
        <w:rPr>
          <w:spacing w:val="8"/>
          <w:sz w:val="19"/>
          <w:szCs w:val="19"/>
        </w:rPr>
        <w:t xml:space="preserve">  </w:t>
      </w:r>
      <w:r>
        <w:rPr>
          <w:spacing w:val="13"/>
          <w:sz w:val="19"/>
          <w:szCs w:val="19"/>
        </w:rPr>
        <w:t>项目特点选择评价指标，并依据评价指标与监理及相关服务的关联程度设定评价指标权重，依</w:t>
      </w:r>
      <w:r>
        <w:rPr>
          <w:spacing w:val="8"/>
          <w:sz w:val="19"/>
          <w:szCs w:val="19"/>
        </w:rPr>
        <w:t xml:space="preserve">  </w:t>
      </w:r>
      <w:r>
        <w:rPr>
          <w:spacing w:val="10"/>
          <w:sz w:val="19"/>
          <w:szCs w:val="19"/>
        </w:rPr>
        <w:t>据监理及相关服务评价指标得分和评价指标权</w:t>
      </w:r>
      <w:r>
        <w:rPr>
          <w:spacing w:val="9"/>
          <w:sz w:val="19"/>
          <w:szCs w:val="19"/>
        </w:rPr>
        <w:t>重计算监理及相关服务的评价结果。</w:t>
      </w:r>
    </w:p>
    <w:p w14:paraId="7278530A">
      <w:pPr>
        <w:spacing w:line="287" w:lineRule="auto"/>
        <w:rPr>
          <w:sz w:val="19"/>
          <w:szCs w:val="19"/>
        </w:rPr>
        <w:sectPr>
          <w:pgSz w:w="10280" w:h="13330"/>
          <w:pgMar w:top="400" w:right="649" w:bottom="400" w:left="989" w:header="0" w:footer="0" w:gutter="0"/>
          <w:cols w:space="720" w:num="1"/>
        </w:sectPr>
      </w:pPr>
    </w:p>
    <w:p w14:paraId="6D9E7772">
      <w:pPr>
        <w:spacing w:line="255" w:lineRule="auto"/>
        <w:rPr>
          <w:rFonts w:ascii="Arial"/>
          <w:sz w:val="21"/>
        </w:rPr>
      </w:pPr>
    </w:p>
    <w:p w14:paraId="4DDEA31A">
      <w:pPr>
        <w:spacing w:line="255" w:lineRule="auto"/>
        <w:rPr>
          <w:rFonts w:ascii="Arial"/>
          <w:sz w:val="21"/>
        </w:rPr>
      </w:pPr>
    </w:p>
    <w:p w14:paraId="5E42C509">
      <w:pPr>
        <w:spacing w:line="255" w:lineRule="auto"/>
        <w:rPr>
          <w:rFonts w:ascii="Arial"/>
          <w:sz w:val="21"/>
        </w:rPr>
      </w:pPr>
    </w:p>
    <w:p w14:paraId="4436EA47">
      <w:pPr>
        <w:spacing w:before="130"/>
        <w:ind w:right="50"/>
        <w:jc w:val="right"/>
        <w:rPr>
          <w:sz w:val="40"/>
          <w:szCs w:val="40"/>
        </w:rPr>
      </w:pPr>
      <w:bookmarkStart w:id="603" w:name="bookmark588"/>
      <w:bookmarkEnd w:id="603"/>
      <w:r>
        <w:rPr>
          <w:rFonts w:ascii="黑体" w:hAnsi="黑体" w:eastAsia="黑体" w:cs="黑体"/>
          <w:b/>
          <w:bCs/>
          <w:color w:val="0073E7"/>
          <w:spacing w:val="7"/>
          <w:sz w:val="40"/>
          <w:szCs w:val="40"/>
        </w:rPr>
        <w:t>第9章</w:t>
      </w:r>
      <w:r>
        <w:rPr>
          <w:rFonts w:ascii="黑体" w:hAnsi="黑体" w:eastAsia="黑体" w:cs="黑体"/>
          <w:color w:val="0073E7"/>
          <w:spacing w:val="4"/>
          <w:sz w:val="40"/>
          <w:szCs w:val="40"/>
        </w:rPr>
        <w:t xml:space="preserve">  </w:t>
      </w:r>
      <w:r>
        <w:rPr>
          <w:rFonts w:ascii="黑体" w:hAnsi="黑体" w:eastAsia="黑体" w:cs="黑体"/>
          <w:b/>
          <w:bCs/>
          <w:color w:val="0073E7"/>
          <w:spacing w:val="7"/>
          <w:sz w:val="40"/>
          <w:szCs w:val="40"/>
        </w:rPr>
        <w:t>监理工作的组织和规划</w:t>
      </w:r>
      <w:r>
        <w:rPr>
          <w:rFonts w:ascii="黑体" w:hAnsi="黑体" w:eastAsia="黑体" w:cs="黑体"/>
          <w:color w:val="0073E7"/>
          <w:spacing w:val="99"/>
          <w:sz w:val="40"/>
          <w:szCs w:val="40"/>
        </w:rPr>
        <w:t xml:space="preserve"> </w:t>
      </w:r>
      <w:r>
        <w:rPr>
          <w:position w:val="-6"/>
          <w:sz w:val="40"/>
          <w:szCs w:val="40"/>
        </w:rPr>
        <w:drawing>
          <wp:inline distT="0" distB="0" distL="0" distR="0">
            <wp:extent cx="692150" cy="3105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58"/>
                    <a:stretch>
                      <a:fillRect/>
                    </a:stretch>
                  </pic:blipFill>
                  <pic:spPr>
                    <a:xfrm>
                      <a:off x="0" y="0"/>
                      <a:ext cx="692198" cy="311078"/>
                    </a:xfrm>
                    <a:prstGeom prst="rect">
                      <a:avLst/>
                    </a:prstGeom>
                  </pic:spPr>
                </pic:pic>
              </a:graphicData>
            </a:graphic>
          </wp:inline>
        </w:drawing>
      </w:r>
    </w:p>
    <w:p w14:paraId="6C4C7D29">
      <w:pPr>
        <w:spacing w:line="352" w:lineRule="auto"/>
        <w:rPr>
          <w:rFonts w:ascii="Arial"/>
          <w:sz w:val="21"/>
        </w:rPr>
      </w:pPr>
    </w:p>
    <w:p w14:paraId="774F7135">
      <w:pPr>
        <w:spacing w:line="353" w:lineRule="auto"/>
        <w:rPr>
          <w:rFonts w:ascii="Arial"/>
          <w:sz w:val="21"/>
        </w:rPr>
      </w:pPr>
    </w:p>
    <w:p w14:paraId="44B6AEBB">
      <w:pPr>
        <w:pStyle w:val="2"/>
        <w:spacing w:before="61" w:line="304" w:lineRule="auto"/>
        <w:ind w:right="62" w:firstLine="410"/>
        <w:jc w:val="both"/>
        <w:rPr>
          <w:sz w:val="19"/>
          <w:szCs w:val="19"/>
        </w:rPr>
      </w:pPr>
      <w:r>
        <w:rPr>
          <w:spacing w:val="13"/>
          <w:sz w:val="19"/>
          <w:szCs w:val="19"/>
        </w:rPr>
        <w:t>监理机构是监理单位为了履行监理合同而组建的组织机构，其目标是高质量、高效率地完</w:t>
      </w:r>
      <w:r>
        <w:rPr>
          <w:spacing w:val="1"/>
          <w:sz w:val="19"/>
          <w:szCs w:val="19"/>
        </w:rPr>
        <w:t xml:space="preserve"> </w:t>
      </w:r>
      <w:r>
        <w:rPr>
          <w:spacing w:val="13"/>
          <w:sz w:val="19"/>
          <w:szCs w:val="19"/>
        </w:rPr>
        <w:t>成监理合同中规定的监理任务。监理目标的实现很大程度上取决于各个要素之间的协调和配合</w:t>
      </w:r>
      <w:r>
        <w:rPr>
          <w:spacing w:val="4"/>
          <w:sz w:val="19"/>
          <w:szCs w:val="19"/>
        </w:rPr>
        <w:t xml:space="preserve"> </w:t>
      </w:r>
      <w:r>
        <w:rPr>
          <w:spacing w:val="14"/>
          <w:sz w:val="19"/>
          <w:szCs w:val="19"/>
        </w:rPr>
        <w:t>程度，要明确每一个层面、部门、团队、人员的职责</w:t>
      </w:r>
      <w:r>
        <w:rPr>
          <w:spacing w:val="13"/>
          <w:sz w:val="19"/>
          <w:szCs w:val="19"/>
        </w:rPr>
        <w:t>，同时又要相互协作，把组织上下左右联</w:t>
      </w:r>
      <w:r>
        <w:rPr>
          <w:sz w:val="19"/>
          <w:szCs w:val="19"/>
        </w:rPr>
        <w:t xml:space="preserve"> </w:t>
      </w:r>
      <w:r>
        <w:rPr>
          <w:spacing w:val="6"/>
          <w:sz w:val="19"/>
          <w:szCs w:val="19"/>
        </w:rPr>
        <w:t>系起来，形成一个有机的整体，实现灵活高效运转。</w:t>
      </w:r>
    </w:p>
    <w:p w14:paraId="7CE44BBE">
      <w:pPr>
        <w:pStyle w:val="2"/>
        <w:spacing w:before="30" w:line="304" w:lineRule="auto"/>
        <w:ind w:right="81" w:firstLine="410"/>
        <w:jc w:val="both"/>
        <w:rPr>
          <w:sz w:val="19"/>
          <w:szCs w:val="19"/>
        </w:rPr>
      </w:pPr>
      <w:r>
        <w:rPr>
          <w:spacing w:val="13"/>
          <w:sz w:val="19"/>
          <w:szCs w:val="19"/>
        </w:rPr>
        <w:t>良好的组织和规划可以提高工作效率，降低成本，减少风险。在监理工作实施前，包括签</w:t>
      </w:r>
      <w:r>
        <w:rPr>
          <w:sz w:val="19"/>
          <w:szCs w:val="19"/>
        </w:rPr>
        <w:t xml:space="preserve"> </w:t>
      </w:r>
      <w:r>
        <w:rPr>
          <w:spacing w:val="13"/>
          <w:sz w:val="19"/>
          <w:szCs w:val="19"/>
        </w:rPr>
        <w:t>订监理合同和组建监理机构的前后，监理单位就要以总监理工程师和专业监理工程师为主，开</w:t>
      </w:r>
      <w:r>
        <w:rPr>
          <w:spacing w:val="4"/>
          <w:sz w:val="19"/>
          <w:szCs w:val="19"/>
        </w:rPr>
        <w:t xml:space="preserve"> </w:t>
      </w:r>
      <w:r>
        <w:rPr>
          <w:spacing w:val="13"/>
          <w:sz w:val="19"/>
          <w:szCs w:val="19"/>
        </w:rPr>
        <w:t>始逐步进行监理工作的规划。在这期间，产生的计划性文件主要包括监理大纲、监理规划和监</w:t>
      </w:r>
      <w:r>
        <w:rPr>
          <w:spacing w:val="4"/>
          <w:sz w:val="19"/>
          <w:szCs w:val="19"/>
        </w:rPr>
        <w:t xml:space="preserve"> </w:t>
      </w:r>
      <w:r>
        <w:rPr>
          <w:spacing w:val="7"/>
          <w:sz w:val="19"/>
          <w:szCs w:val="19"/>
        </w:rPr>
        <w:t>理实施细则，它们将成为监理工程师实施具体工作的重要指导文件。</w:t>
      </w:r>
    </w:p>
    <w:p w14:paraId="3C4B9B91">
      <w:pPr>
        <w:spacing w:line="399" w:lineRule="auto"/>
        <w:rPr>
          <w:rFonts w:ascii="Arial"/>
          <w:sz w:val="21"/>
        </w:rPr>
      </w:pPr>
    </w:p>
    <w:p w14:paraId="4FF3E788">
      <w:pPr>
        <w:pStyle w:val="2"/>
        <w:spacing w:before="62" w:line="219" w:lineRule="auto"/>
        <w:ind w:left="2"/>
        <w:rPr>
          <w:sz w:val="19"/>
          <w:szCs w:val="19"/>
        </w:rPr>
      </w:pPr>
      <w:r>
        <w:rPr>
          <w:b/>
          <w:bCs/>
          <w:color w:val="007DDE"/>
          <w:spacing w:val="-7"/>
          <w:sz w:val="19"/>
          <w:szCs w:val="19"/>
        </w:rPr>
        <w:t>9.1</w:t>
      </w:r>
      <w:r>
        <w:rPr>
          <w:color w:val="007DDE"/>
          <w:spacing w:val="3"/>
          <w:sz w:val="19"/>
          <w:szCs w:val="19"/>
        </w:rPr>
        <w:t xml:space="preserve">    </w:t>
      </w:r>
      <w:r>
        <w:rPr>
          <w:b/>
          <w:bCs/>
          <w:color w:val="007DDE"/>
          <w:spacing w:val="-7"/>
          <w:sz w:val="19"/>
          <w:szCs w:val="19"/>
        </w:rPr>
        <w:t>监</w:t>
      </w:r>
      <w:r>
        <w:rPr>
          <w:color w:val="007DDE"/>
          <w:spacing w:val="32"/>
          <w:sz w:val="19"/>
          <w:szCs w:val="19"/>
        </w:rPr>
        <w:t xml:space="preserve"> </w:t>
      </w:r>
      <w:r>
        <w:rPr>
          <w:b/>
          <w:bCs/>
          <w:color w:val="007DDE"/>
          <w:spacing w:val="-7"/>
          <w:sz w:val="19"/>
          <w:szCs w:val="19"/>
        </w:rPr>
        <w:t>理</w:t>
      </w:r>
      <w:r>
        <w:rPr>
          <w:color w:val="007DDE"/>
          <w:spacing w:val="27"/>
          <w:sz w:val="19"/>
          <w:szCs w:val="19"/>
        </w:rPr>
        <w:t xml:space="preserve"> </w:t>
      </w:r>
      <w:r>
        <w:rPr>
          <w:b/>
          <w:bCs/>
          <w:color w:val="007DDE"/>
          <w:spacing w:val="-7"/>
          <w:sz w:val="19"/>
          <w:szCs w:val="19"/>
        </w:rPr>
        <w:t>机</w:t>
      </w:r>
      <w:r>
        <w:rPr>
          <w:color w:val="007DDE"/>
          <w:spacing w:val="29"/>
          <w:sz w:val="19"/>
          <w:szCs w:val="19"/>
        </w:rPr>
        <w:t xml:space="preserve"> </w:t>
      </w:r>
      <w:r>
        <w:rPr>
          <w:b/>
          <w:bCs/>
          <w:color w:val="007DDE"/>
          <w:spacing w:val="-7"/>
          <w:sz w:val="19"/>
          <w:szCs w:val="19"/>
        </w:rPr>
        <w:t>构</w:t>
      </w:r>
    </w:p>
    <w:p w14:paraId="53730542">
      <w:pPr>
        <w:pStyle w:val="2"/>
        <w:spacing w:before="295" w:line="297" w:lineRule="auto"/>
        <w:ind w:right="14" w:firstLine="410"/>
        <w:jc w:val="both"/>
        <w:rPr>
          <w:sz w:val="19"/>
          <w:szCs w:val="19"/>
        </w:rPr>
      </w:pPr>
      <w:r>
        <w:rPr>
          <w:spacing w:val="13"/>
          <w:sz w:val="19"/>
          <w:szCs w:val="19"/>
        </w:rPr>
        <w:t>当监理单位对信息系统工程建设项目实施监理及相关服务时，为履行监理合同，需要建立</w:t>
      </w:r>
      <w:r>
        <w:rPr>
          <w:sz w:val="19"/>
          <w:szCs w:val="19"/>
        </w:rPr>
        <w:t xml:space="preserve"> </w:t>
      </w:r>
      <w:r>
        <w:rPr>
          <w:spacing w:val="13"/>
          <w:sz w:val="19"/>
          <w:szCs w:val="19"/>
        </w:rPr>
        <w:t>监理机构。监理机构的生命周期取决于监理单位与业主单位签订的信息系统工程建设项目的合</w:t>
      </w:r>
      <w:r>
        <w:rPr>
          <w:spacing w:val="4"/>
          <w:sz w:val="19"/>
          <w:szCs w:val="19"/>
        </w:rPr>
        <w:t xml:space="preserve"> </w:t>
      </w:r>
      <w:r>
        <w:rPr>
          <w:spacing w:val="14"/>
          <w:sz w:val="19"/>
          <w:szCs w:val="19"/>
        </w:rPr>
        <w:t>同规定。</w:t>
      </w:r>
      <w:r>
        <w:rPr>
          <w:spacing w:val="-43"/>
          <w:sz w:val="19"/>
          <w:szCs w:val="19"/>
        </w:rPr>
        <w:t xml:space="preserve"> </w:t>
      </w:r>
      <w:r>
        <w:rPr>
          <w:spacing w:val="14"/>
          <w:sz w:val="19"/>
          <w:szCs w:val="19"/>
        </w:rPr>
        <w:t>一般来说，监理单位接到监理任务</w:t>
      </w:r>
      <w:r>
        <w:rPr>
          <w:spacing w:val="13"/>
          <w:sz w:val="19"/>
          <w:szCs w:val="19"/>
        </w:rPr>
        <w:t>后，就应书面任命总监理工程师，成立监理机构，</w:t>
      </w:r>
      <w:r>
        <w:rPr>
          <w:sz w:val="19"/>
          <w:szCs w:val="19"/>
        </w:rPr>
        <w:t xml:space="preserve"> </w:t>
      </w:r>
      <w:r>
        <w:rPr>
          <w:spacing w:val="12"/>
          <w:sz w:val="19"/>
          <w:szCs w:val="19"/>
        </w:rPr>
        <w:t>并书面通知业主单位和承建单位(或通过业主单位书面通知承建单位)。从此时开始，监理机构</w:t>
      </w:r>
      <w:r>
        <w:rPr>
          <w:spacing w:val="8"/>
          <w:sz w:val="19"/>
          <w:szCs w:val="19"/>
        </w:rPr>
        <w:t xml:space="preserve">  </w:t>
      </w:r>
      <w:r>
        <w:rPr>
          <w:spacing w:val="13"/>
          <w:sz w:val="19"/>
          <w:szCs w:val="19"/>
        </w:rPr>
        <w:t>完全代表监理单位，对工程项目的监理负责，对所监理的工程项目全过程进行监理活动。监理</w:t>
      </w:r>
      <w:r>
        <w:rPr>
          <w:spacing w:val="2"/>
          <w:sz w:val="19"/>
          <w:szCs w:val="19"/>
        </w:rPr>
        <w:t xml:space="preserve"> </w:t>
      </w:r>
      <w:r>
        <w:rPr>
          <w:spacing w:val="8"/>
          <w:sz w:val="19"/>
          <w:szCs w:val="19"/>
        </w:rPr>
        <w:t>机构在完成监理合同规定的监理及相关服务内容后方可撤销。</w:t>
      </w:r>
    </w:p>
    <w:p w14:paraId="51A3F6D2">
      <w:pPr>
        <w:pStyle w:val="2"/>
        <w:spacing w:before="39" w:line="302" w:lineRule="auto"/>
        <w:ind w:right="77" w:firstLine="410"/>
        <w:jc w:val="both"/>
        <w:rPr>
          <w:sz w:val="19"/>
          <w:szCs w:val="19"/>
        </w:rPr>
      </w:pPr>
      <w:r>
        <w:rPr>
          <w:spacing w:val="13"/>
          <w:sz w:val="19"/>
          <w:szCs w:val="19"/>
        </w:rPr>
        <w:t>监理机构的组织形式和规模，应根据监理合同规定的服务内容、服务期限、工程类别、规</w:t>
      </w:r>
      <w:r>
        <w:rPr>
          <w:sz w:val="19"/>
          <w:szCs w:val="19"/>
        </w:rPr>
        <w:t xml:space="preserve"> </w:t>
      </w:r>
      <w:r>
        <w:rPr>
          <w:spacing w:val="13"/>
          <w:sz w:val="19"/>
          <w:szCs w:val="19"/>
        </w:rPr>
        <w:t>模、技术复杂程度、监理方式等因素确定。监理人员的技术水平、专业结构应合理，数量和比</w:t>
      </w:r>
      <w:r>
        <w:rPr>
          <w:spacing w:val="8"/>
          <w:sz w:val="19"/>
          <w:szCs w:val="19"/>
        </w:rPr>
        <w:t xml:space="preserve"> </w:t>
      </w:r>
      <w:r>
        <w:rPr>
          <w:spacing w:val="6"/>
          <w:sz w:val="19"/>
          <w:szCs w:val="19"/>
        </w:rPr>
        <w:t>例应满足监理工作的实际需要。</w:t>
      </w:r>
    </w:p>
    <w:p w14:paraId="08BBAF8D">
      <w:pPr>
        <w:spacing w:line="185" w:lineRule="exact"/>
      </w:pPr>
    </w:p>
    <w:p w14:paraId="603C9CA6">
      <w:pPr>
        <w:spacing w:line="185" w:lineRule="exact"/>
        <w:sectPr>
          <w:pgSz w:w="10310" w:h="13440"/>
          <w:pgMar w:top="400" w:right="979" w:bottom="400" w:left="919" w:header="0" w:footer="0" w:gutter="0"/>
          <w:cols w:equalWidth="0" w:num="1">
            <w:col w:w="8411"/>
          </w:cols>
        </w:sectPr>
      </w:pPr>
    </w:p>
    <w:p w14:paraId="628A0055">
      <w:pPr>
        <w:pStyle w:val="2"/>
        <w:spacing w:before="1" w:line="218" w:lineRule="auto"/>
        <w:ind w:left="2"/>
        <w:rPr>
          <w:sz w:val="25"/>
          <w:szCs w:val="25"/>
        </w:rPr>
      </w:pPr>
      <w:r>
        <w:rPr>
          <w:b/>
          <w:bCs/>
          <w:color w:val="007AE5"/>
          <w:spacing w:val="-18"/>
          <w:sz w:val="25"/>
          <w:szCs w:val="25"/>
        </w:rPr>
        <w:t>9.1.1</w:t>
      </w:r>
      <w:r>
        <w:rPr>
          <w:color w:val="007AE5"/>
          <w:spacing w:val="-18"/>
          <w:sz w:val="25"/>
          <w:szCs w:val="25"/>
        </w:rPr>
        <w:t xml:space="preserve">  </w:t>
      </w:r>
      <w:r>
        <w:rPr>
          <w:b/>
          <w:bCs/>
          <w:color w:val="007AE5"/>
          <w:spacing w:val="-18"/>
          <w:sz w:val="25"/>
          <w:szCs w:val="25"/>
        </w:rPr>
        <w:t>监理机构的组织架构</w:t>
      </w:r>
    </w:p>
    <w:p w14:paraId="5A631504">
      <w:pPr>
        <w:pStyle w:val="2"/>
        <w:spacing w:before="155" w:line="303" w:lineRule="auto"/>
        <w:ind w:right="131" w:firstLine="410"/>
        <w:jc w:val="both"/>
        <w:rPr>
          <w:sz w:val="19"/>
          <w:szCs w:val="19"/>
        </w:rPr>
      </w:pPr>
      <w:r>
        <w:rPr>
          <w:spacing w:val="9"/>
          <w:sz w:val="19"/>
          <w:szCs w:val="19"/>
        </w:rPr>
        <w:t>监理机构的主要成员为：总监理工程师、总监</w:t>
      </w:r>
      <w:r>
        <w:rPr>
          <w:spacing w:val="7"/>
          <w:sz w:val="19"/>
          <w:szCs w:val="19"/>
        </w:rPr>
        <w:t xml:space="preserve"> </w:t>
      </w:r>
      <w:r>
        <w:rPr>
          <w:spacing w:val="18"/>
          <w:sz w:val="19"/>
          <w:szCs w:val="19"/>
        </w:rPr>
        <w:t>理工程师代表(必要时配备)、监理工程师、监理</w:t>
      </w:r>
      <w:r>
        <w:rPr>
          <w:spacing w:val="9"/>
          <w:sz w:val="19"/>
          <w:szCs w:val="19"/>
        </w:rPr>
        <w:t xml:space="preserve"> 员。具体的组织架构如图9-1所示。</w:t>
      </w:r>
    </w:p>
    <w:p w14:paraId="29DB4E99">
      <w:pPr>
        <w:pStyle w:val="2"/>
        <w:spacing w:before="156" w:line="221" w:lineRule="auto"/>
        <w:ind w:left="2"/>
        <w:rPr>
          <w:sz w:val="25"/>
          <w:szCs w:val="25"/>
        </w:rPr>
      </w:pPr>
      <w:r>
        <w:rPr>
          <w:b/>
          <w:bCs/>
          <w:color w:val="0074CE"/>
          <w:spacing w:val="-18"/>
          <w:sz w:val="25"/>
          <w:szCs w:val="25"/>
        </w:rPr>
        <w:t>9.1.2</w:t>
      </w:r>
      <w:r>
        <w:rPr>
          <w:color w:val="0074CE"/>
          <w:spacing w:val="99"/>
          <w:sz w:val="25"/>
          <w:szCs w:val="25"/>
        </w:rPr>
        <w:t xml:space="preserve"> </w:t>
      </w:r>
      <w:r>
        <w:rPr>
          <w:b/>
          <w:bCs/>
          <w:color w:val="0074CE"/>
          <w:spacing w:val="-18"/>
          <w:sz w:val="25"/>
          <w:szCs w:val="25"/>
        </w:rPr>
        <w:t>监理人员的职责</w:t>
      </w:r>
    </w:p>
    <w:p w14:paraId="40E54C13">
      <w:pPr>
        <w:pStyle w:val="2"/>
        <w:spacing w:before="257" w:line="219" w:lineRule="auto"/>
        <w:ind w:left="412"/>
        <w:rPr>
          <w:sz w:val="19"/>
          <w:szCs w:val="19"/>
        </w:rPr>
      </w:pPr>
      <w:r>
        <w:rPr>
          <w:b/>
          <w:bCs/>
          <w:color w:val="0064C9"/>
          <w:spacing w:val="6"/>
          <w:sz w:val="19"/>
          <w:szCs w:val="19"/>
        </w:rPr>
        <w:t>1.总监理工程师的职责</w:t>
      </w:r>
    </w:p>
    <w:p w14:paraId="21818A53">
      <w:pPr>
        <w:pStyle w:val="2"/>
        <w:spacing w:before="158" w:line="219" w:lineRule="auto"/>
        <w:ind w:left="410"/>
        <w:rPr>
          <w:sz w:val="19"/>
          <w:szCs w:val="19"/>
        </w:rPr>
      </w:pPr>
      <w:r>
        <w:rPr>
          <w:spacing w:val="5"/>
          <w:sz w:val="19"/>
          <w:szCs w:val="19"/>
        </w:rPr>
        <w:t>总监理工程师的职责包括：</w:t>
      </w:r>
    </w:p>
    <w:p w14:paraId="68D9E3F6">
      <w:pPr>
        <w:pStyle w:val="2"/>
        <w:spacing w:before="84" w:line="219" w:lineRule="auto"/>
        <w:ind w:left="410"/>
        <w:rPr>
          <w:sz w:val="19"/>
          <w:szCs w:val="19"/>
        </w:rPr>
      </w:pPr>
      <w:r>
        <w:rPr>
          <w:spacing w:val="12"/>
          <w:sz w:val="19"/>
          <w:szCs w:val="19"/>
        </w:rPr>
        <w:t>(1)全面负责监理合同的实施；</w:t>
      </w:r>
    </w:p>
    <w:p w14:paraId="052A1D41">
      <w:pPr>
        <w:pStyle w:val="2"/>
        <w:spacing w:before="64" w:line="243" w:lineRule="auto"/>
        <w:ind w:right="113" w:firstLine="410"/>
        <w:rPr>
          <w:sz w:val="19"/>
          <w:szCs w:val="19"/>
        </w:rPr>
      </w:pPr>
      <w:r>
        <w:rPr>
          <w:spacing w:val="14"/>
          <w:sz w:val="19"/>
          <w:szCs w:val="19"/>
        </w:rPr>
        <w:t>(2)确定监理机构人员分工并书面授权总监理</w:t>
      </w:r>
      <w:r>
        <w:rPr>
          <w:spacing w:val="6"/>
          <w:sz w:val="19"/>
          <w:szCs w:val="19"/>
        </w:rPr>
        <w:t xml:space="preserve"> </w:t>
      </w:r>
      <w:r>
        <w:rPr>
          <w:spacing w:val="4"/>
          <w:sz w:val="19"/>
          <w:szCs w:val="19"/>
        </w:rPr>
        <w:t>工程师代表；</w:t>
      </w:r>
    </w:p>
    <w:p w14:paraId="45505204">
      <w:pPr>
        <w:spacing w:line="14" w:lineRule="auto"/>
        <w:rPr>
          <w:rFonts w:ascii="Arial"/>
          <w:sz w:val="2"/>
        </w:rPr>
      </w:pPr>
      <w:r>
        <w:rPr>
          <w:rFonts w:ascii="Arial" w:hAnsi="Arial" w:eastAsia="Arial" w:cs="Arial"/>
          <w:sz w:val="2"/>
          <w:szCs w:val="2"/>
        </w:rPr>
        <w:br w:type="column"/>
      </w:r>
    </w:p>
    <w:p w14:paraId="5EC9D09C">
      <w:pPr>
        <w:spacing w:line="380" w:lineRule="auto"/>
        <w:rPr>
          <w:rFonts w:ascii="Arial"/>
          <w:sz w:val="21"/>
        </w:rPr>
      </w:pPr>
    </w:p>
    <w:p w14:paraId="2B5D3330">
      <w:pPr>
        <w:pStyle w:val="2"/>
        <w:spacing w:line="2710" w:lineRule="exact"/>
      </w:pPr>
      <w:r>
        <w:rPr>
          <w:position w:val="-54"/>
        </w:rPr>
        <w:pict>
          <v:group id="_x0000_s1417" o:spid="_x0000_s1417" o:spt="203" style="height:135.55pt;width:189.05pt;" coordsize="3781,2711">
            <o:lock v:ext="edit"/>
            <v:shape id="_x0000_s1418" o:spid="_x0000_s1418" o:spt="75" type="#_x0000_t75" style="position:absolute;left:0;top:0;height:2711;width:3781;" filled="f" stroked="f" coordsize="21600,21600">
              <v:path/>
              <v:fill on="f" focussize="0,0"/>
              <v:stroke on="f"/>
              <v:imagedata r:id="rId159" o:title=""/>
              <o:lock v:ext="edit" aspectratio="t"/>
            </v:shape>
            <v:shape id="_x0000_s1419" o:spid="_x0000_s1419" o:spt="202" type="#_x0000_t202" style="position:absolute;left:1149;top:147;height:2391;width:1079;" filled="f" stroked="f" coordsize="21600,21600">
              <v:path/>
              <v:fill on="f" focussize="0,0"/>
              <v:stroke on="f"/>
              <v:imagedata o:title=""/>
              <o:lock v:ext="edit" aspectratio="f"/>
              <v:textbox inset="0mm,0mm,0mm,0mm">
                <w:txbxContent>
                  <w:p w14:paraId="2B6DC242">
                    <w:pPr>
                      <w:spacing w:before="20" w:line="219" w:lineRule="auto"/>
                      <w:ind w:right="3"/>
                      <w:jc w:val="right"/>
                      <w:rPr>
                        <w:rFonts w:ascii="宋体" w:hAnsi="宋体" w:eastAsia="宋体" w:cs="宋体"/>
                        <w:sz w:val="19"/>
                        <w:szCs w:val="19"/>
                      </w:rPr>
                    </w:pPr>
                    <w:r>
                      <w:rPr>
                        <w:rFonts w:ascii="宋体" w:hAnsi="宋体" w:eastAsia="宋体" w:cs="宋体"/>
                        <w:spacing w:val="-16"/>
                        <w:sz w:val="19"/>
                        <w:szCs w:val="19"/>
                      </w:rPr>
                      <w:t>总监</w:t>
                    </w:r>
                    <w:r>
                      <w:rPr>
                        <w:rFonts w:ascii="宋体" w:hAnsi="宋体" w:eastAsia="宋体" w:cs="宋体"/>
                        <w:spacing w:val="-15"/>
                        <w:sz w:val="19"/>
                        <w:szCs w:val="19"/>
                      </w:rPr>
                      <w:t>理工程</w:t>
                    </w:r>
                    <w:r>
                      <w:rPr>
                        <w:rFonts w:ascii="宋体" w:hAnsi="宋体" w:eastAsia="宋体" w:cs="宋体"/>
                        <w:spacing w:val="-13"/>
                        <w:sz w:val="19"/>
                        <w:szCs w:val="19"/>
                      </w:rPr>
                      <w:t>师</w:t>
                    </w:r>
                  </w:p>
                  <w:p w14:paraId="7F46D8F4">
                    <w:pPr>
                      <w:spacing w:line="300" w:lineRule="auto"/>
                      <w:rPr>
                        <w:rFonts w:ascii="Arial"/>
                        <w:sz w:val="21"/>
                      </w:rPr>
                    </w:pPr>
                  </w:p>
                  <w:p w14:paraId="76F7836F">
                    <w:pPr>
                      <w:spacing w:before="62" w:line="202" w:lineRule="auto"/>
                      <w:ind w:left="340" w:right="20" w:hanging="320"/>
                      <w:rPr>
                        <w:rFonts w:ascii="宋体" w:hAnsi="宋体" w:eastAsia="宋体" w:cs="宋体"/>
                        <w:sz w:val="19"/>
                        <w:szCs w:val="19"/>
                      </w:rPr>
                    </w:pPr>
                    <w:r>
                      <w:rPr>
                        <w:rFonts w:ascii="宋体" w:hAnsi="宋体" w:eastAsia="宋体" w:cs="宋体"/>
                        <w:spacing w:val="-17"/>
                        <w:sz w:val="19"/>
                        <w:szCs w:val="19"/>
                      </w:rPr>
                      <w:t>总监理工程师</w:t>
                    </w:r>
                    <w:r>
                      <w:rPr>
                        <w:rFonts w:ascii="宋体" w:hAnsi="宋体" w:eastAsia="宋体" w:cs="宋体"/>
                        <w:sz w:val="19"/>
                        <w:szCs w:val="19"/>
                      </w:rPr>
                      <w:t xml:space="preserve"> </w:t>
                    </w:r>
                    <w:r>
                      <w:rPr>
                        <w:rFonts w:ascii="宋体" w:hAnsi="宋体" w:eastAsia="宋体" w:cs="宋体"/>
                        <w:spacing w:val="-2"/>
                        <w:sz w:val="19"/>
                        <w:szCs w:val="19"/>
                      </w:rPr>
                      <w:t>代表</w:t>
                    </w:r>
                  </w:p>
                  <w:p w14:paraId="4423E00E">
                    <w:pPr>
                      <w:spacing w:line="450" w:lineRule="auto"/>
                      <w:rPr>
                        <w:rFonts w:ascii="Arial"/>
                        <w:sz w:val="21"/>
                      </w:rPr>
                    </w:pPr>
                  </w:p>
                  <w:p w14:paraId="0A67EB5D">
                    <w:pPr>
                      <w:spacing w:before="61" w:line="219" w:lineRule="auto"/>
                      <w:ind w:left="140"/>
                      <w:rPr>
                        <w:rFonts w:ascii="宋体" w:hAnsi="宋体" w:eastAsia="宋体" w:cs="宋体"/>
                        <w:sz w:val="19"/>
                        <w:szCs w:val="19"/>
                      </w:rPr>
                    </w:pPr>
                    <w:r>
                      <w:rPr>
                        <w:rFonts w:ascii="宋体" w:hAnsi="宋体" w:eastAsia="宋体" w:cs="宋体"/>
                        <w:spacing w:val="-15"/>
                        <w:w w:val="98"/>
                        <w:sz w:val="19"/>
                        <w:szCs w:val="19"/>
                      </w:rPr>
                      <w:t>监理工程师</w:t>
                    </w:r>
                  </w:p>
                  <w:p w14:paraId="6D22DB0D">
                    <w:pPr>
                      <w:spacing w:line="351" w:lineRule="auto"/>
                      <w:rPr>
                        <w:rFonts w:ascii="Arial"/>
                        <w:sz w:val="21"/>
                      </w:rPr>
                    </w:pPr>
                  </w:p>
                  <w:p w14:paraId="794F39C6">
                    <w:pPr>
                      <w:spacing w:before="62" w:line="221" w:lineRule="auto"/>
                      <w:ind w:left="270"/>
                      <w:rPr>
                        <w:rFonts w:ascii="宋体" w:hAnsi="宋体" w:eastAsia="宋体" w:cs="宋体"/>
                        <w:sz w:val="19"/>
                        <w:szCs w:val="19"/>
                      </w:rPr>
                    </w:pPr>
                    <w:r>
                      <w:rPr>
                        <w:rFonts w:ascii="宋体" w:hAnsi="宋体" w:eastAsia="宋体" w:cs="宋体"/>
                        <w:spacing w:val="-11"/>
                        <w:sz w:val="19"/>
                        <w:szCs w:val="19"/>
                      </w:rPr>
                      <w:t>监理员</w:t>
                    </w:r>
                  </w:p>
                </w:txbxContent>
              </v:textbox>
            </v:shape>
            <v:shape id="_x0000_s1420" o:spid="_x0000_s1420" o:spt="202" type="#_x0000_t202" style="position:absolute;left:2769;top:1677;height:861;width:930;" filled="f" stroked="f" coordsize="21600,21600">
              <v:path/>
              <v:fill on="f" focussize="0,0"/>
              <v:stroke on="f"/>
              <v:imagedata o:title=""/>
              <o:lock v:ext="edit" aspectratio="f"/>
              <v:textbox inset="0mm,0mm,0mm,0mm">
                <w:txbxContent>
                  <w:p w14:paraId="72AF91EF">
                    <w:pPr>
                      <w:spacing w:before="20" w:line="219" w:lineRule="auto"/>
                      <w:ind w:left="20"/>
                      <w:rPr>
                        <w:rFonts w:ascii="宋体" w:hAnsi="宋体" w:eastAsia="宋体" w:cs="宋体"/>
                        <w:sz w:val="19"/>
                        <w:szCs w:val="19"/>
                      </w:rPr>
                    </w:pPr>
                    <w:r>
                      <w:rPr>
                        <w:rFonts w:ascii="宋体" w:hAnsi="宋体" w:eastAsia="宋体" w:cs="宋体"/>
                        <w:spacing w:val="-10"/>
                        <w:sz w:val="19"/>
                        <w:szCs w:val="19"/>
                      </w:rPr>
                      <w:t>监理工程师</w:t>
                    </w:r>
                  </w:p>
                  <w:p w14:paraId="65F80AD6">
                    <w:pPr>
                      <w:spacing w:line="341" w:lineRule="auto"/>
                      <w:rPr>
                        <w:rFonts w:ascii="Arial"/>
                        <w:sz w:val="21"/>
                      </w:rPr>
                    </w:pPr>
                  </w:p>
                  <w:p w14:paraId="19051C99">
                    <w:pPr>
                      <w:spacing w:before="62" w:line="221" w:lineRule="auto"/>
                      <w:ind w:left="190"/>
                      <w:rPr>
                        <w:rFonts w:ascii="宋体" w:hAnsi="宋体" w:eastAsia="宋体" w:cs="宋体"/>
                        <w:sz w:val="19"/>
                        <w:szCs w:val="19"/>
                      </w:rPr>
                    </w:pPr>
                    <w:r>
                      <w:rPr>
                        <w:rFonts w:ascii="宋体" w:hAnsi="宋体" w:eastAsia="宋体" w:cs="宋体"/>
                        <w:spacing w:val="-11"/>
                        <w:sz w:val="19"/>
                        <w:szCs w:val="19"/>
                      </w:rPr>
                      <w:t>监理员</w:t>
                    </w:r>
                  </w:p>
                </w:txbxContent>
              </v:textbox>
            </v:shape>
            <v:shape id="_x0000_s1421" o:spid="_x0000_s1421" o:spt="202" type="#_x0000_t202" style="position:absolute;left:100;top:1677;height:861;width:909;" filled="f" stroked="f" coordsize="21600,21600">
              <v:path/>
              <v:fill on="f" focussize="0,0"/>
              <v:stroke on="f"/>
              <v:imagedata o:title=""/>
              <o:lock v:ext="edit" aspectratio="f"/>
              <v:textbox inset="0mm,0mm,0mm,0mm">
                <w:txbxContent>
                  <w:p w14:paraId="75B30861">
                    <w:pPr>
                      <w:spacing w:before="20" w:line="219" w:lineRule="auto"/>
                      <w:ind w:left="20"/>
                      <w:rPr>
                        <w:rFonts w:ascii="宋体" w:hAnsi="宋体" w:eastAsia="宋体" w:cs="宋体"/>
                        <w:sz w:val="19"/>
                        <w:szCs w:val="19"/>
                      </w:rPr>
                    </w:pPr>
                    <w:r>
                      <w:rPr>
                        <w:rFonts w:ascii="宋体" w:hAnsi="宋体" w:eastAsia="宋体" w:cs="宋体"/>
                        <w:spacing w:val="-13"/>
                        <w:sz w:val="19"/>
                        <w:szCs w:val="19"/>
                      </w:rPr>
                      <w:t>监理工程师</w:t>
                    </w:r>
                  </w:p>
                  <w:p w14:paraId="7AD75890">
                    <w:pPr>
                      <w:spacing w:line="341" w:lineRule="auto"/>
                      <w:rPr>
                        <w:rFonts w:ascii="Arial"/>
                        <w:sz w:val="21"/>
                      </w:rPr>
                    </w:pPr>
                  </w:p>
                  <w:p w14:paraId="004F0888">
                    <w:pPr>
                      <w:spacing w:before="62" w:line="221" w:lineRule="auto"/>
                      <w:ind w:left="200"/>
                      <w:rPr>
                        <w:rFonts w:ascii="宋体" w:hAnsi="宋体" w:eastAsia="宋体" w:cs="宋体"/>
                        <w:sz w:val="19"/>
                        <w:szCs w:val="19"/>
                      </w:rPr>
                    </w:pPr>
                    <w:r>
                      <w:rPr>
                        <w:rFonts w:ascii="宋体" w:hAnsi="宋体" w:eastAsia="宋体" w:cs="宋体"/>
                        <w:spacing w:val="-11"/>
                        <w:sz w:val="19"/>
                        <w:szCs w:val="19"/>
                      </w:rPr>
                      <w:t>监理员</w:t>
                    </w:r>
                  </w:p>
                </w:txbxContent>
              </v:textbox>
            </v:shape>
            <v:shape id="_x0000_s1422" o:spid="_x0000_s1422" o:spt="75" type="#_x0000_t75" style="position:absolute;left:2270;top:2409;height:50;width:360;" filled="f" stroked="f" coordsize="21600,21600">
              <v:path/>
              <v:fill on="f" focussize="0,0"/>
              <v:stroke on="f"/>
              <v:imagedata r:id="rId160" o:title=""/>
              <o:lock v:ext="edit" aspectratio="t"/>
            </v:shape>
            <v:shape id="_x0000_s1423" o:spid="_x0000_s1423" o:spt="202" type="#_x0000_t202" style="position:absolute;left:2310;top:1767;height:90;width:135;" filled="f" stroked="f" coordsize="21600,21600">
              <v:path/>
              <v:fill on="f" focussize="0,0"/>
              <v:stroke on="f"/>
              <v:imagedata o:title=""/>
              <o:lock v:ext="edit" aspectratio="f"/>
              <v:textbox inset="0mm,0mm,0mm,0mm">
                <w:txbxContent>
                  <w:p w14:paraId="57C27BFB">
                    <w:pPr>
                      <w:spacing w:before="20" w:line="78" w:lineRule="exact"/>
                      <w:ind w:left="20"/>
                      <w:rPr>
                        <w:rFonts w:ascii="宋体" w:hAnsi="宋体" w:eastAsia="宋体" w:cs="宋体"/>
                        <w:sz w:val="5"/>
                        <w:szCs w:val="5"/>
                      </w:rPr>
                    </w:pPr>
                    <w:r>
                      <w:rPr>
                        <w:rFonts w:ascii="宋体" w:hAnsi="宋体" w:eastAsia="宋体" w:cs="宋体"/>
                        <w:spacing w:val="-2"/>
                        <w:position w:val="1"/>
                        <w:sz w:val="5"/>
                        <w:szCs w:val="5"/>
                      </w:rPr>
                      <w:t>……</w:t>
                    </w:r>
                  </w:p>
                </w:txbxContent>
              </v:textbox>
            </v:shape>
            <w10:wrap type="none"/>
            <w10:anchorlock/>
          </v:group>
        </w:pict>
      </w:r>
    </w:p>
    <w:p w14:paraId="7DF8315D">
      <w:pPr>
        <w:pStyle w:val="2"/>
        <w:spacing w:before="47" w:line="219" w:lineRule="auto"/>
        <w:ind w:left="770"/>
        <w:rPr>
          <w:sz w:val="19"/>
          <w:szCs w:val="19"/>
        </w:rPr>
      </w:pPr>
      <w:r>
        <w:rPr>
          <w:spacing w:val="-6"/>
          <w:sz w:val="19"/>
          <w:szCs w:val="19"/>
        </w:rPr>
        <w:t>图9-1</w:t>
      </w:r>
      <w:r>
        <w:rPr>
          <w:spacing w:val="67"/>
          <w:sz w:val="19"/>
          <w:szCs w:val="19"/>
        </w:rPr>
        <w:t xml:space="preserve"> </w:t>
      </w:r>
      <w:r>
        <w:rPr>
          <w:spacing w:val="-6"/>
          <w:sz w:val="19"/>
          <w:szCs w:val="19"/>
        </w:rPr>
        <w:t>监理机构的组织架构</w:t>
      </w:r>
    </w:p>
    <w:p w14:paraId="0CF7B513">
      <w:pPr>
        <w:spacing w:line="219" w:lineRule="auto"/>
        <w:rPr>
          <w:sz w:val="19"/>
          <w:szCs w:val="19"/>
        </w:rPr>
        <w:sectPr>
          <w:type w:val="continuous"/>
          <w:pgSz w:w="10310" w:h="13440"/>
          <w:pgMar w:top="400" w:right="979" w:bottom="400" w:left="919" w:header="0" w:footer="0" w:gutter="0"/>
          <w:cols w:equalWidth="0" w:num="2">
            <w:col w:w="4531" w:space="100"/>
            <w:col w:w="3781"/>
          </w:cols>
        </w:sectPr>
      </w:pPr>
    </w:p>
    <w:p w14:paraId="7D82EAFC">
      <w:pPr>
        <w:pStyle w:val="2"/>
        <w:jc w:val="right"/>
        <w:rPr>
          <w:rFonts w:ascii="Times New Roman" w:hAnsi="Times New Roman" w:eastAsia="Times New Roman" w:cs="Times New Roman"/>
          <w:sz w:val="19"/>
          <w:szCs w:val="19"/>
        </w:rPr>
      </w:pPr>
      <w:bookmarkStart w:id="604" w:name="bookmark589"/>
      <w:bookmarkEnd w:id="604"/>
      <w:r>
        <w:rPr>
          <w:spacing w:val="2"/>
          <w:sz w:val="19"/>
          <w:szCs w:val="19"/>
        </w:rPr>
        <w:t xml:space="preserve">第9章 监理工作的组织和规划 </w:t>
      </w:r>
      <w:r>
        <w:rPr>
          <w:position w:val="-12"/>
          <w:sz w:val="19"/>
          <w:szCs w:val="19"/>
        </w:rPr>
        <w:drawing>
          <wp:inline distT="0" distB="0" distL="0" distR="0">
            <wp:extent cx="323850" cy="24701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61"/>
                    <a:stretch>
                      <a:fillRect/>
                    </a:stretch>
                  </pic:blipFill>
                  <pic:spPr>
                    <a:xfrm>
                      <a:off x="0" y="0"/>
                      <a:ext cx="323909" cy="247622"/>
                    </a:xfrm>
                    <a:prstGeom prst="rect">
                      <a:avLst/>
                    </a:prstGeom>
                  </pic:spPr>
                </pic:pic>
              </a:graphicData>
            </a:graphic>
          </wp:inline>
        </w:drawing>
      </w:r>
      <w:r>
        <w:rPr>
          <w:rFonts w:ascii="Times New Roman" w:hAnsi="Times New Roman" w:eastAsia="Times New Roman" w:cs="Times New Roman"/>
          <w:spacing w:val="2"/>
          <w:sz w:val="19"/>
          <w:szCs w:val="19"/>
        </w:rPr>
        <w:t>227</w:t>
      </w:r>
    </w:p>
    <w:p w14:paraId="04238814">
      <w:pPr>
        <w:spacing w:line="264" w:lineRule="auto"/>
        <w:rPr>
          <w:rFonts w:ascii="Arial"/>
          <w:sz w:val="21"/>
        </w:rPr>
      </w:pPr>
    </w:p>
    <w:p w14:paraId="6B2C0F35">
      <w:pPr>
        <w:pStyle w:val="2"/>
        <w:spacing w:before="62" w:line="219" w:lineRule="auto"/>
        <w:ind w:left="390"/>
        <w:rPr>
          <w:sz w:val="19"/>
          <w:szCs w:val="19"/>
        </w:rPr>
      </w:pPr>
      <w:r>
        <w:rPr>
          <w:spacing w:val="10"/>
          <w:sz w:val="19"/>
          <w:szCs w:val="19"/>
        </w:rPr>
        <w:t>(3)主持编制监理规划，审批监理实施细则；</w:t>
      </w:r>
    </w:p>
    <w:p w14:paraId="5DAADCE2">
      <w:pPr>
        <w:pStyle w:val="2"/>
        <w:spacing w:before="92" w:line="218" w:lineRule="auto"/>
        <w:ind w:left="390"/>
        <w:rPr>
          <w:sz w:val="19"/>
          <w:szCs w:val="19"/>
        </w:rPr>
      </w:pPr>
      <w:r>
        <w:rPr>
          <w:spacing w:val="11"/>
          <w:sz w:val="19"/>
          <w:szCs w:val="19"/>
        </w:rPr>
        <w:t>(4)负责管理监理机构日常工作，定期向监理单位报告；</w:t>
      </w:r>
    </w:p>
    <w:p w14:paraId="3EE97EB7">
      <w:pPr>
        <w:pStyle w:val="2"/>
        <w:spacing w:before="97" w:line="256" w:lineRule="auto"/>
        <w:ind w:right="304" w:firstLine="390"/>
        <w:rPr>
          <w:sz w:val="19"/>
          <w:szCs w:val="19"/>
        </w:rPr>
      </w:pPr>
      <w:r>
        <w:rPr>
          <w:spacing w:val="15"/>
          <w:sz w:val="19"/>
          <w:szCs w:val="19"/>
        </w:rPr>
        <w:t>(5)检查和监督监理人员的工作，根据工程项目及相关服务项目的进展情况，可进行监理</w:t>
      </w:r>
      <w:r>
        <w:rPr>
          <w:sz w:val="19"/>
          <w:szCs w:val="19"/>
        </w:rPr>
        <w:t xml:space="preserve"> </w:t>
      </w:r>
      <w:r>
        <w:rPr>
          <w:spacing w:val="6"/>
          <w:sz w:val="19"/>
          <w:szCs w:val="19"/>
        </w:rPr>
        <w:t>人员调配，对不称职的监理人员应调换其工作；</w:t>
      </w:r>
    </w:p>
    <w:p w14:paraId="20059414">
      <w:pPr>
        <w:pStyle w:val="2"/>
        <w:spacing w:before="91" w:line="219" w:lineRule="auto"/>
        <w:ind w:left="390"/>
        <w:rPr>
          <w:sz w:val="19"/>
          <w:szCs w:val="19"/>
        </w:rPr>
      </w:pPr>
      <w:r>
        <w:rPr>
          <w:spacing w:val="11"/>
          <w:sz w:val="19"/>
          <w:szCs w:val="19"/>
        </w:rPr>
        <w:t>(6)主持监理工作会议，签发工程监理机</w:t>
      </w:r>
      <w:r>
        <w:rPr>
          <w:spacing w:val="10"/>
          <w:sz w:val="19"/>
          <w:szCs w:val="19"/>
        </w:rPr>
        <w:t>构的文件和指令；</w:t>
      </w:r>
    </w:p>
    <w:p w14:paraId="761453D8">
      <w:pPr>
        <w:pStyle w:val="2"/>
        <w:spacing w:before="84" w:line="219" w:lineRule="auto"/>
        <w:ind w:left="390"/>
        <w:rPr>
          <w:sz w:val="19"/>
          <w:szCs w:val="19"/>
        </w:rPr>
      </w:pPr>
      <w:r>
        <w:rPr>
          <w:spacing w:val="10"/>
          <w:sz w:val="19"/>
          <w:szCs w:val="19"/>
        </w:rPr>
        <w:t>(7)审查承建单位及运维服务提供方的资质，并提出审查意见；</w:t>
      </w:r>
    </w:p>
    <w:p w14:paraId="1B06E783">
      <w:pPr>
        <w:pStyle w:val="2"/>
        <w:spacing w:before="86" w:line="219" w:lineRule="auto"/>
        <w:ind w:left="390"/>
        <w:rPr>
          <w:sz w:val="19"/>
          <w:szCs w:val="19"/>
        </w:rPr>
      </w:pPr>
      <w:r>
        <w:rPr>
          <w:spacing w:val="11"/>
          <w:sz w:val="19"/>
          <w:szCs w:val="19"/>
        </w:rPr>
        <w:t>(8)审定承建单位的开工申请、系统实施方案、实施进度计划；</w:t>
      </w:r>
    </w:p>
    <w:p w14:paraId="5F61A075">
      <w:pPr>
        <w:pStyle w:val="2"/>
        <w:spacing w:before="103" w:line="257" w:lineRule="auto"/>
        <w:ind w:right="274" w:firstLine="390"/>
        <w:rPr>
          <w:sz w:val="19"/>
          <w:szCs w:val="19"/>
        </w:rPr>
      </w:pPr>
      <w:r>
        <w:rPr>
          <w:spacing w:val="16"/>
          <w:sz w:val="19"/>
          <w:szCs w:val="19"/>
        </w:rPr>
        <w:t>(9)组织编制并签发监理月报、监理工作阶段报告、专题报告和工</w:t>
      </w:r>
      <w:r>
        <w:rPr>
          <w:spacing w:val="15"/>
          <w:sz w:val="19"/>
          <w:szCs w:val="19"/>
        </w:rPr>
        <w:t>程监理及相关服务项目</w:t>
      </w:r>
      <w:r>
        <w:rPr>
          <w:sz w:val="19"/>
          <w:szCs w:val="19"/>
        </w:rPr>
        <w:t xml:space="preserve"> </w:t>
      </w:r>
      <w:r>
        <w:rPr>
          <w:spacing w:val="1"/>
          <w:sz w:val="19"/>
          <w:szCs w:val="19"/>
        </w:rPr>
        <w:t>工作总结；</w:t>
      </w:r>
    </w:p>
    <w:p w14:paraId="675985B2">
      <w:pPr>
        <w:pStyle w:val="2"/>
        <w:spacing w:before="93" w:line="219" w:lineRule="auto"/>
        <w:ind w:left="390"/>
        <w:rPr>
          <w:sz w:val="19"/>
          <w:szCs w:val="19"/>
        </w:rPr>
      </w:pPr>
      <w:r>
        <w:rPr>
          <w:spacing w:val="10"/>
          <w:sz w:val="19"/>
          <w:szCs w:val="19"/>
        </w:rPr>
        <w:t>(10)主持审查和处理工程变更及运维服务过程的变更；</w:t>
      </w:r>
    </w:p>
    <w:p w14:paraId="2759446B">
      <w:pPr>
        <w:pStyle w:val="2"/>
        <w:spacing w:before="95" w:line="220" w:lineRule="auto"/>
        <w:ind w:left="390"/>
        <w:rPr>
          <w:sz w:val="19"/>
          <w:szCs w:val="19"/>
        </w:rPr>
      </w:pPr>
      <w:r>
        <w:rPr>
          <w:spacing w:val="9"/>
          <w:sz w:val="19"/>
          <w:szCs w:val="19"/>
        </w:rPr>
        <w:t>(11)参与工程质量事故和其他事故调查；</w:t>
      </w:r>
    </w:p>
    <w:p w14:paraId="5805E112">
      <w:pPr>
        <w:pStyle w:val="2"/>
        <w:spacing w:before="93" w:line="259" w:lineRule="auto"/>
        <w:ind w:right="235" w:firstLine="390"/>
        <w:rPr>
          <w:sz w:val="19"/>
          <w:szCs w:val="19"/>
        </w:rPr>
      </w:pPr>
      <w:r>
        <w:rPr>
          <w:spacing w:val="14"/>
          <w:sz w:val="19"/>
          <w:szCs w:val="19"/>
        </w:rPr>
        <w:t>(12)审查承建单位竣工验收申请，组织有关人员进行竣工测试验收，签认竣工验收文件，</w:t>
      </w:r>
      <w:r>
        <w:rPr>
          <w:sz w:val="19"/>
          <w:szCs w:val="19"/>
        </w:rPr>
        <w:t xml:space="preserve"> </w:t>
      </w:r>
      <w:r>
        <w:rPr>
          <w:spacing w:val="5"/>
          <w:sz w:val="19"/>
          <w:szCs w:val="19"/>
        </w:rPr>
        <w:t>审核运维服务的评价与认定结果；</w:t>
      </w:r>
    </w:p>
    <w:p w14:paraId="599BE302">
      <w:pPr>
        <w:pStyle w:val="2"/>
        <w:spacing w:before="87" w:line="219" w:lineRule="auto"/>
        <w:ind w:left="390"/>
        <w:rPr>
          <w:sz w:val="19"/>
          <w:szCs w:val="19"/>
        </w:rPr>
      </w:pPr>
      <w:r>
        <w:rPr>
          <w:spacing w:val="10"/>
          <w:sz w:val="19"/>
          <w:szCs w:val="19"/>
        </w:rPr>
        <w:t>(13)主持整理工程项目及相关服务项目的监理资料；</w:t>
      </w:r>
    </w:p>
    <w:p w14:paraId="58965FD0">
      <w:pPr>
        <w:pStyle w:val="2"/>
        <w:spacing w:before="104" w:line="255" w:lineRule="auto"/>
        <w:ind w:right="303" w:firstLine="390"/>
        <w:rPr>
          <w:sz w:val="19"/>
          <w:szCs w:val="19"/>
        </w:rPr>
      </w:pPr>
      <w:r>
        <w:rPr>
          <w:spacing w:val="12"/>
          <w:sz w:val="19"/>
          <w:szCs w:val="19"/>
        </w:rPr>
        <w:t>(14)审核签认承建单位或运维服务提供方的付款申请、付款证书和竣工结算或运维服务提</w:t>
      </w:r>
      <w:r>
        <w:rPr>
          <w:spacing w:val="14"/>
          <w:sz w:val="19"/>
          <w:szCs w:val="19"/>
        </w:rPr>
        <w:t xml:space="preserve"> </w:t>
      </w:r>
      <w:r>
        <w:rPr>
          <w:spacing w:val="4"/>
          <w:sz w:val="19"/>
          <w:szCs w:val="19"/>
        </w:rPr>
        <w:t>供方的项目结算；</w:t>
      </w:r>
    </w:p>
    <w:p w14:paraId="39DD22C6">
      <w:pPr>
        <w:pStyle w:val="2"/>
        <w:spacing w:before="86" w:line="265" w:lineRule="auto"/>
        <w:ind w:right="304" w:firstLine="390"/>
        <w:rPr>
          <w:sz w:val="19"/>
          <w:szCs w:val="19"/>
        </w:rPr>
      </w:pPr>
      <w:r>
        <w:rPr>
          <w:spacing w:val="12"/>
          <w:sz w:val="19"/>
          <w:szCs w:val="19"/>
        </w:rPr>
        <w:t>(15)调解业主单位与承建单位或运维服务提供方的合同争议，参与索赔的处理，审批工程</w:t>
      </w:r>
      <w:r>
        <w:rPr>
          <w:spacing w:val="13"/>
          <w:sz w:val="19"/>
          <w:szCs w:val="19"/>
        </w:rPr>
        <w:t xml:space="preserve"> </w:t>
      </w:r>
      <w:r>
        <w:rPr>
          <w:spacing w:val="5"/>
          <w:sz w:val="19"/>
          <w:szCs w:val="19"/>
        </w:rPr>
        <w:t>及相关服务项目的延期；</w:t>
      </w:r>
    </w:p>
    <w:p w14:paraId="670444CC">
      <w:pPr>
        <w:pStyle w:val="2"/>
        <w:spacing w:before="104" w:line="252" w:lineRule="auto"/>
        <w:ind w:right="296" w:firstLine="390"/>
        <w:rPr>
          <w:sz w:val="19"/>
          <w:szCs w:val="19"/>
        </w:rPr>
      </w:pPr>
      <w:r>
        <w:rPr>
          <w:spacing w:val="29"/>
          <w:sz w:val="19"/>
          <w:szCs w:val="19"/>
        </w:rPr>
        <w:t>(16)组织业主单位和承建单位完成工程</w:t>
      </w:r>
      <w:r>
        <w:rPr>
          <w:spacing w:val="28"/>
          <w:sz w:val="19"/>
          <w:szCs w:val="19"/>
        </w:rPr>
        <w:t>项目成果的移交或运维服务提供方的成果的</w:t>
      </w:r>
      <w:r>
        <w:rPr>
          <w:sz w:val="19"/>
          <w:szCs w:val="19"/>
        </w:rPr>
        <w:t xml:space="preserve"> </w:t>
      </w:r>
      <w:r>
        <w:rPr>
          <w:spacing w:val="8"/>
          <w:sz w:val="19"/>
          <w:szCs w:val="19"/>
        </w:rPr>
        <w:t>移交。</w:t>
      </w:r>
    </w:p>
    <w:p w14:paraId="7C8E9519">
      <w:pPr>
        <w:pStyle w:val="2"/>
        <w:spacing w:before="167" w:line="221" w:lineRule="auto"/>
        <w:ind w:left="392"/>
        <w:rPr>
          <w:rFonts w:ascii="黑体" w:hAnsi="黑体" w:eastAsia="黑体" w:cs="黑体"/>
          <w:sz w:val="19"/>
          <w:szCs w:val="19"/>
        </w:rPr>
      </w:pPr>
      <w:r>
        <w:rPr>
          <w:b/>
          <w:bCs/>
          <w:color w:val="0069C5"/>
          <w:spacing w:val="6"/>
          <w:sz w:val="19"/>
          <w:szCs w:val="19"/>
        </w:rPr>
        <w:t>2.</w:t>
      </w:r>
      <w:r>
        <w:rPr>
          <w:color w:val="0069C5"/>
          <w:spacing w:val="-55"/>
          <w:sz w:val="19"/>
          <w:szCs w:val="19"/>
        </w:rPr>
        <w:t xml:space="preserve"> </w:t>
      </w:r>
      <w:r>
        <w:rPr>
          <w:rFonts w:ascii="黑体" w:hAnsi="黑体" w:eastAsia="黑体" w:cs="黑体"/>
          <w:b/>
          <w:bCs/>
          <w:color w:val="0069C5"/>
          <w:spacing w:val="6"/>
          <w:sz w:val="19"/>
          <w:szCs w:val="19"/>
        </w:rPr>
        <w:t>总监理工程师代表的职责</w:t>
      </w:r>
    </w:p>
    <w:p w14:paraId="6D350AC1">
      <w:pPr>
        <w:pStyle w:val="2"/>
        <w:spacing w:before="167" w:line="219" w:lineRule="auto"/>
        <w:ind w:left="390"/>
        <w:rPr>
          <w:sz w:val="19"/>
          <w:szCs w:val="19"/>
        </w:rPr>
      </w:pPr>
      <w:r>
        <w:rPr>
          <w:spacing w:val="5"/>
          <w:sz w:val="19"/>
          <w:szCs w:val="19"/>
        </w:rPr>
        <w:t>总监理工程师代表的职责包括：</w:t>
      </w:r>
    </w:p>
    <w:p w14:paraId="2242E7B5">
      <w:pPr>
        <w:pStyle w:val="2"/>
        <w:spacing w:before="85" w:line="219" w:lineRule="auto"/>
        <w:ind w:left="390"/>
        <w:rPr>
          <w:sz w:val="19"/>
          <w:szCs w:val="19"/>
        </w:rPr>
      </w:pPr>
      <w:r>
        <w:rPr>
          <w:spacing w:val="10"/>
          <w:sz w:val="19"/>
          <w:szCs w:val="19"/>
        </w:rPr>
        <w:t>(1)按总监理工程师的授权，行使总监理工程师的部分职责和权力；</w:t>
      </w:r>
    </w:p>
    <w:p w14:paraId="76AB8AEB">
      <w:pPr>
        <w:pStyle w:val="2"/>
        <w:spacing w:before="74" w:line="219" w:lineRule="auto"/>
        <w:ind w:left="390"/>
        <w:rPr>
          <w:sz w:val="19"/>
          <w:szCs w:val="19"/>
        </w:rPr>
      </w:pPr>
      <w:r>
        <w:rPr>
          <w:spacing w:val="10"/>
          <w:sz w:val="19"/>
          <w:szCs w:val="19"/>
        </w:rPr>
        <w:t>(2)总监理工程师不得将下列工作委托总监理工程师代表：</w:t>
      </w:r>
    </w:p>
    <w:p w14:paraId="2CFDA504">
      <w:pPr>
        <w:pStyle w:val="2"/>
        <w:spacing w:before="85" w:line="219" w:lineRule="auto"/>
        <w:ind w:left="390"/>
        <w:rPr>
          <w:sz w:val="19"/>
          <w:szCs w:val="19"/>
        </w:rPr>
      </w:pPr>
      <w:r>
        <w:rPr>
          <w:spacing w:val="10"/>
          <w:sz w:val="19"/>
          <w:szCs w:val="19"/>
        </w:rPr>
        <w:t>●主持编制监理规划，审批监理实施细则；</w:t>
      </w:r>
    </w:p>
    <w:p w14:paraId="2D480819">
      <w:pPr>
        <w:pStyle w:val="2"/>
        <w:spacing w:before="103" w:line="261" w:lineRule="auto"/>
        <w:ind w:left="700" w:right="300" w:hanging="310"/>
        <w:rPr>
          <w:sz w:val="19"/>
          <w:szCs w:val="19"/>
        </w:rPr>
      </w:pPr>
      <w:r>
        <w:rPr>
          <w:spacing w:val="13"/>
          <w:sz w:val="19"/>
          <w:szCs w:val="19"/>
        </w:rPr>
        <w:t>●调解业主单位和承建单位或运维服务提供方的合同争议，参与索赔的处理，审批工程及</w:t>
      </w:r>
      <w:r>
        <w:rPr>
          <w:spacing w:val="2"/>
          <w:sz w:val="19"/>
          <w:szCs w:val="19"/>
        </w:rPr>
        <w:t xml:space="preserve"> </w:t>
      </w:r>
      <w:r>
        <w:rPr>
          <w:spacing w:val="5"/>
          <w:sz w:val="19"/>
          <w:szCs w:val="19"/>
        </w:rPr>
        <w:t>相关服务项目的延期；</w:t>
      </w:r>
    </w:p>
    <w:p w14:paraId="343B7341">
      <w:pPr>
        <w:pStyle w:val="2"/>
        <w:spacing w:before="94" w:line="219" w:lineRule="auto"/>
        <w:ind w:left="390"/>
        <w:rPr>
          <w:sz w:val="19"/>
          <w:szCs w:val="19"/>
        </w:rPr>
      </w:pPr>
      <w:r>
        <w:rPr>
          <w:spacing w:val="11"/>
          <w:sz w:val="19"/>
          <w:szCs w:val="19"/>
        </w:rPr>
        <w:t>●根据工程项目的进展情况进行监理人员的调配，调换不称职的监理人员；</w:t>
      </w:r>
    </w:p>
    <w:p w14:paraId="2DDCAACE">
      <w:pPr>
        <w:pStyle w:val="2"/>
        <w:spacing w:before="85" w:line="270" w:lineRule="auto"/>
        <w:ind w:left="700" w:right="304" w:hanging="310"/>
        <w:rPr>
          <w:sz w:val="19"/>
          <w:szCs w:val="19"/>
        </w:rPr>
      </w:pPr>
      <w:r>
        <w:rPr>
          <w:spacing w:val="13"/>
          <w:sz w:val="19"/>
          <w:szCs w:val="19"/>
        </w:rPr>
        <w:t>●审核签认承建单位或运维服务提供方的付款申请、付款证书和竣工结算或运维服务</w:t>
      </w:r>
      <w:r>
        <w:rPr>
          <w:spacing w:val="12"/>
          <w:sz w:val="19"/>
          <w:szCs w:val="19"/>
        </w:rPr>
        <w:t>提供</w:t>
      </w:r>
      <w:r>
        <w:rPr>
          <w:sz w:val="19"/>
          <w:szCs w:val="19"/>
        </w:rPr>
        <w:t xml:space="preserve"> </w:t>
      </w:r>
      <w:r>
        <w:rPr>
          <w:spacing w:val="3"/>
          <w:sz w:val="19"/>
          <w:szCs w:val="19"/>
        </w:rPr>
        <w:t>方的项目结算。</w:t>
      </w:r>
    </w:p>
    <w:p w14:paraId="4654DB77">
      <w:pPr>
        <w:pStyle w:val="2"/>
        <w:spacing w:before="170" w:line="221" w:lineRule="auto"/>
        <w:ind w:left="392"/>
        <w:rPr>
          <w:rFonts w:ascii="黑体" w:hAnsi="黑体" w:eastAsia="黑体" w:cs="黑体"/>
          <w:sz w:val="19"/>
          <w:szCs w:val="19"/>
        </w:rPr>
      </w:pPr>
      <w:r>
        <w:rPr>
          <w:b/>
          <w:bCs/>
          <w:color w:val="0068D1"/>
          <w:spacing w:val="7"/>
          <w:sz w:val="19"/>
          <w:szCs w:val="19"/>
        </w:rPr>
        <w:t>3.</w:t>
      </w:r>
      <w:r>
        <w:rPr>
          <w:rFonts w:ascii="黑体" w:hAnsi="黑体" w:eastAsia="黑体" w:cs="黑体"/>
          <w:b/>
          <w:bCs/>
          <w:color w:val="0068D1"/>
          <w:spacing w:val="7"/>
          <w:sz w:val="19"/>
          <w:szCs w:val="19"/>
        </w:rPr>
        <w:t>监理工程师的职责</w:t>
      </w:r>
    </w:p>
    <w:p w14:paraId="7FB43D07">
      <w:pPr>
        <w:pStyle w:val="2"/>
        <w:spacing w:before="157" w:line="219" w:lineRule="auto"/>
        <w:ind w:left="390"/>
        <w:rPr>
          <w:sz w:val="19"/>
          <w:szCs w:val="19"/>
        </w:rPr>
      </w:pPr>
      <w:r>
        <w:rPr>
          <w:spacing w:val="5"/>
          <w:sz w:val="19"/>
          <w:szCs w:val="19"/>
        </w:rPr>
        <w:t>监理工程师的职责包括：</w:t>
      </w:r>
    </w:p>
    <w:p w14:paraId="20655F5C">
      <w:pPr>
        <w:pStyle w:val="2"/>
        <w:spacing w:before="73" w:line="219" w:lineRule="auto"/>
        <w:ind w:left="390"/>
        <w:rPr>
          <w:sz w:val="19"/>
          <w:szCs w:val="19"/>
        </w:rPr>
      </w:pPr>
      <w:r>
        <w:rPr>
          <w:spacing w:val="11"/>
          <w:sz w:val="19"/>
          <w:szCs w:val="19"/>
        </w:rPr>
        <w:t>(1)负责编制监理规划中本专业部分的内容及本专业的监理实</w:t>
      </w:r>
      <w:r>
        <w:rPr>
          <w:spacing w:val="10"/>
          <w:sz w:val="19"/>
          <w:szCs w:val="19"/>
        </w:rPr>
        <w:t>施细则；</w:t>
      </w:r>
    </w:p>
    <w:p w14:paraId="2FAB945A">
      <w:pPr>
        <w:pStyle w:val="2"/>
        <w:spacing w:before="85" w:line="219" w:lineRule="auto"/>
        <w:ind w:left="390"/>
        <w:rPr>
          <w:sz w:val="19"/>
          <w:szCs w:val="19"/>
        </w:rPr>
      </w:pPr>
      <w:r>
        <w:rPr>
          <w:spacing w:val="11"/>
          <w:sz w:val="19"/>
          <w:szCs w:val="19"/>
        </w:rPr>
        <w:t>(2)负责本专业监理工作的具体实施；</w:t>
      </w:r>
    </w:p>
    <w:p w14:paraId="2707F601">
      <w:pPr>
        <w:pStyle w:val="2"/>
        <w:spacing w:before="76" w:line="219" w:lineRule="auto"/>
        <w:ind w:left="390"/>
        <w:rPr>
          <w:sz w:val="19"/>
          <w:szCs w:val="19"/>
        </w:rPr>
      </w:pPr>
      <w:r>
        <w:rPr>
          <w:spacing w:val="10"/>
          <w:sz w:val="19"/>
          <w:szCs w:val="19"/>
        </w:rPr>
        <w:t>(3)组织、指导、检查和监督监理员的工作；</w:t>
      </w:r>
    </w:p>
    <w:p w14:paraId="61EA3D7C">
      <w:pPr>
        <w:spacing w:line="219" w:lineRule="auto"/>
        <w:rPr>
          <w:sz w:val="19"/>
          <w:szCs w:val="19"/>
        </w:rPr>
        <w:sectPr>
          <w:pgSz w:w="10280" w:h="13300"/>
          <w:pgMar w:top="370" w:right="649" w:bottom="400" w:left="1019" w:header="0" w:footer="0" w:gutter="0"/>
          <w:cols w:space="720" w:num="1"/>
        </w:sectPr>
      </w:pPr>
    </w:p>
    <w:p w14:paraId="2C98B10B">
      <w:pPr>
        <w:pStyle w:val="2"/>
        <w:spacing w:before="77" w:line="219" w:lineRule="auto"/>
        <w:rPr>
          <w:sz w:val="19"/>
          <w:szCs w:val="19"/>
        </w:rPr>
      </w:pPr>
      <w:r>
        <w:rPr>
          <w:rFonts w:ascii="Times New Roman" w:hAnsi="Times New Roman" w:eastAsia="Times New Roman" w:cs="Times New Roman"/>
          <w:spacing w:val="3"/>
          <w:sz w:val="19"/>
          <w:szCs w:val="19"/>
        </w:rPr>
        <w:t xml:space="preserve">228              </w:t>
      </w:r>
      <w:r>
        <w:rPr>
          <w:spacing w:val="3"/>
          <w:sz w:val="19"/>
          <w:szCs w:val="19"/>
        </w:rPr>
        <w:t>信息系统监理师教程(第2版)</w:t>
      </w:r>
    </w:p>
    <w:p w14:paraId="4A2ACD37">
      <w:pPr>
        <w:spacing w:line="329" w:lineRule="auto"/>
        <w:rPr>
          <w:rFonts w:ascii="Arial"/>
          <w:sz w:val="21"/>
        </w:rPr>
      </w:pPr>
    </w:p>
    <w:p w14:paraId="563CE561">
      <w:pPr>
        <w:pStyle w:val="2"/>
        <w:spacing w:before="62" w:line="262" w:lineRule="auto"/>
        <w:ind w:left="359" w:firstLine="390"/>
        <w:rPr>
          <w:sz w:val="19"/>
          <w:szCs w:val="19"/>
        </w:rPr>
      </w:pPr>
      <w:r>
        <w:rPr>
          <w:spacing w:val="17"/>
          <w:sz w:val="19"/>
          <w:szCs w:val="19"/>
        </w:rPr>
        <w:t>(4)协助总监理工程师审查承建单位或运维服务提供方涉及本专业的计划、方案、申请、</w:t>
      </w:r>
      <w:r>
        <w:rPr>
          <w:spacing w:val="8"/>
          <w:sz w:val="19"/>
          <w:szCs w:val="19"/>
        </w:rPr>
        <w:t xml:space="preserve"> </w:t>
      </w:r>
      <w:r>
        <w:rPr>
          <w:spacing w:val="1"/>
          <w:sz w:val="19"/>
          <w:szCs w:val="19"/>
        </w:rPr>
        <w:t>变更；</w:t>
      </w:r>
    </w:p>
    <w:p w14:paraId="2D605F9A">
      <w:pPr>
        <w:pStyle w:val="2"/>
        <w:spacing w:before="90" w:line="219" w:lineRule="auto"/>
        <w:ind w:left="750"/>
        <w:rPr>
          <w:sz w:val="19"/>
          <w:szCs w:val="19"/>
        </w:rPr>
      </w:pPr>
      <w:r>
        <w:rPr>
          <w:spacing w:val="12"/>
          <w:sz w:val="19"/>
          <w:szCs w:val="19"/>
        </w:rPr>
        <w:t>(5)负责核查工程及相关服务项目中所用的</w:t>
      </w:r>
      <w:r>
        <w:rPr>
          <w:spacing w:val="11"/>
          <w:sz w:val="19"/>
          <w:szCs w:val="19"/>
        </w:rPr>
        <w:t>设备、材料和软件；</w:t>
      </w:r>
    </w:p>
    <w:p w14:paraId="5EA3DBC8">
      <w:pPr>
        <w:pStyle w:val="2"/>
        <w:spacing w:before="84" w:line="219" w:lineRule="auto"/>
        <w:ind w:left="750"/>
        <w:rPr>
          <w:sz w:val="19"/>
          <w:szCs w:val="19"/>
        </w:rPr>
      </w:pPr>
      <w:r>
        <w:rPr>
          <w:spacing w:val="10"/>
          <w:sz w:val="19"/>
          <w:szCs w:val="19"/>
        </w:rPr>
        <w:t>(6)负责本专业监理资料的收集、汇总及整理，参与编制监理月报；</w:t>
      </w:r>
    </w:p>
    <w:p w14:paraId="3A3485B9">
      <w:pPr>
        <w:pStyle w:val="2"/>
        <w:spacing w:before="85" w:line="264" w:lineRule="auto"/>
        <w:ind w:left="359" w:right="84" w:firstLine="390"/>
        <w:rPr>
          <w:sz w:val="19"/>
          <w:szCs w:val="19"/>
        </w:rPr>
      </w:pPr>
      <w:r>
        <w:rPr>
          <w:spacing w:val="15"/>
          <w:sz w:val="19"/>
          <w:szCs w:val="19"/>
        </w:rPr>
        <w:t>(7)定期向总监理工程师提交本专业监理工作实施情况报告，对重大问题及时向总监理工</w:t>
      </w:r>
      <w:r>
        <w:rPr>
          <w:spacing w:val="4"/>
          <w:sz w:val="19"/>
          <w:szCs w:val="19"/>
        </w:rPr>
        <w:t xml:space="preserve"> </w:t>
      </w:r>
      <w:r>
        <w:rPr>
          <w:spacing w:val="-1"/>
          <w:sz w:val="19"/>
          <w:szCs w:val="19"/>
        </w:rPr>
        <w:t>程师报告；</w:t>
      </w:r>
    </w:p>
    <w:p w14:paraId="15F375BD">
      <w:pPr>
        <w:pStyle w:val="2"/>
        <w:spacing w:before="96" w:line="219" w:lineRule="auto"/>
        <w:ind w:left="750"/>
        <w:rPr>
          <w:sz w:val="19"/>
          <w:szCs w:val="19"/>
        </w:rPr>
      </w:pPr>
      <w:r>
        <w:rPr>
          <w:spacing w:val="11"/>
          <w:sz w:val="19"/>
          <w:szCs w:val="19"/>
        </w:rPr>
        <w:t>(8)负责本专业工程量及相关服务项目工作量的审核；</w:t>
      </w:r>
    </w:p>
    <w:p w14:paraId="5551DA7E">
      <w:pPr>
        <w:pStyle w:val="2"/>
        <w:spacing w:before="95" w:line="219" w:lineRule="auto"/>
        <w:ind w:left="750"/>
        <w:rPr>
          <w:sz w:val="19"/>
          <w:szCs w:val="19"/>
        </w:rPr>
      </w:pPr>
      <w:r>
        <w:rPr>
          <w:spacing w:val="11"/>
          <w:sz w:val="19"/>
          <w:szCs w:val="19"/>
        </w:rPr>
        <w:t>(9)协助组织本专业分系统工程及相关服</w:t>
      </w:r>
      <w:r>
        <w:rPr>
          <w:spacing w:val="10"/>
          <w:sz w:val="19"/>
          <w:szCs w:val="19"/>
        </w:rPr>
        <w:t>务项目的测试、验收；</w:t>
      </w:r>
    </w:p>
    <w:p w14:paraId="1DEC2169">
      <w:pPr>
        <w:pStyle w:val="2"/>
        <w:spacing w:before="86" w:line="220" w:lineRule="auto"/>
        <w:ind w:left="750"/>
        <w:rPr>
          <w:sz w:val="19"/>
          <w:szCs w:val="19"/>
        </w:rPr>
      </w:pPr>
      <w:r>
        <w:rPr>
          <w:spacing w:val="13"/>
          <w:sz w:val="19"/>
          <w:szCs w:val="19"/>
        </w:rPr>
        <w:t>(10)填写监理日志。</w:t>
      </w:r>
    </w:p>
    <w:p w14:paraId="65FD059C">
      <w:pPr>
        <w:pStyle w:val="2"/>
        <w:spacing w:before="189" w:line="221" w:lineRule="auto"/>
        <w:ind w:left="752"/>
        <w:rPr>
          <w:rFonts w:ascii="黑体" w:hAnsi="黑体" w:eastAsia="黑体" w:cs="黑体"/>
          <w:sz w:val="19"/>
          <w:szCs w:val="19"/>
        </w:rPr>
      </w:pPr>
      <w:bookmarkStart w:id="605" w:name="bookmark590"/>
      <w:bookmarkEnd w:id="605"/>
      <w:r>
        <w:rPr>
          <w:b/>
          <w:bCs/>
          <w:color w:val="0072D7"/>
          <w:spacing w:val="8"/>
          <w:sz w:val="19"/>
          <w:szCs w:val="19"/>
        </w:rPr>
        <w:t>4.</w:t>
      </w:r>
      <w:r>
        <w:rPr>
          <w:rFonts w:ascii="黑体" w:hAnsi="黑体" w:eastAsia="黑体" w:cs="黑体"/>
          <w:b/>
          <w:bCs/>
          <w:color w:val="0072D7"/>
          <w:spacing w:val="8"/>
          <w:sz w:val="19"/>
          <w:szCs w:val="19"/>
        </w:rPr>
        <w:t>监理员的职责</w:t>
      </w:r>
    </w:p>
    <w:p w14:paraId="6B4A4510">
      <w:pPr>
        <w:pStyle w:val="2"/>
        <w:spacing w:before="148" w:line="221" w:lineRule="auto"/>
        <w:ind w:left="750"/>
        <w:rPr>
          <w:sz w:val="19"/>
          <w:szCs w:val="19"/>
        </w:rPr>
      </w:pPr>
      <w:r>
        <w:rPr>
          <w:spacing w:val="3"/>
          <w:sz w:val="19"/>
          <w:szCs w:val="19"/>
        </w:rPr>
        <w:t>监理员的职责包括：</w:t>
      </w:r>
    </w:p>
    <w:p w14:paraId="19968AF5">
      <w:pPr>
        <w:pStyle w:val="2"/>
        <w:spacing w:before="92" w:line="219" w:lineRule="auto"/>
        <w:ind w:left="750"/>
        <w:rPr>
          <w:sz w:val="19"/>
          <w:szCs w:val="19"/>
        </w:rPr>
      </w:pPr>
      <w:r>
        <w:rPr>
          <w:spacing w:val="11"/>
          <w:sz w:val="19"/>
          <w:szCs w:val="19"/>
        </w:rPr>
        <w:t>(1)在监理工程师的指导下开展监理工作；</w:t>
      </w:r>
    </w:p>
    <w:p w14:paraId="4A43CB46">
      <w:pPr>
        <w:pStyle w:val="2"/>
        <w:spacing w:before="94" w:line="219" w:lineRule="auto"/>
        <w:ind w:left="750"/>
        <w:rPr>
          <w:sz w:val="19"/>
          <w:szCs w:val="19"/>
        </w:rPr>
      </w:pPr>
      <w:r>
        <w:rPr>
          <w:spacing w:val="10"/>
          <w:sz w:val="19"/>
          <w:szCs w:val="19"/>
        </w:rPr>
        <w:t>(2)协助监理工程师完成工程量及工作量的核定；</w:t>
      </w:r>
    </w:p>
    <w:p w14:paraId="62320E36">
      <w:pPr>
        <w:pStyle w:val="2"/>
        <w:spacing w:before="93" w:line="218" w:lineRule="auto"/>
        <w:ind w:left="750"/>
        <w:rPr>
          <w:sz w:val="19"/>
          <w:szCs w:val="19"/>
        </w:rPr>
      </w:pPr>
      <w:r>
        <w:rPr>
          <w:spacing w:val="11"/>
          <w:sz w:val="19"/>
          <w:szCs w:val="19"/>
        </w:rPr>
        <w:t>(3)担任现场监理工作，发现问题及时向监理工程师报告；</w:t>
      </w:r>
    </w:p>
    <w:p w14:paraId="06420AA9">
      <w:pPr>
        <w:pStyle w:val="2"/>
        <w:spacing w:before="76" w:line="219" w:lineRule="auto"/>
        <w:ind w:left="750"/>
        <w:rPr>
          <w:sz w:val="19"/>
          <w:szCs w:val="19"/>
        </w:rPr>
      </w:pPr>
      <w:r>
        <w:rPr>
          <w:spacing w:val="11"/>
          <w:sz w:val="19"/>
          <w:szCs w:val="19"/>
        </w:rPr>
        <w:t>(4)对承建单位或运维服务提供方的实施</w:t>
      </w:r>
      <w:r>
        <w:rPr>
          <w:spacing w:val="10"/>
          <w:sz w:val="19"/>
          <w:szCs w:val="19"/>
        </w:rPr>
        <w:t>计划和进度进行检查并记录；</w:t>
      </w:r>
    </w:p>
    <w:p w14:paraId="5A0BFCA5">
      <w:pPr>
        <w:pStyle w:val="2"/>
        <w:spacing w:before="104" w:line="256" w:lineRule="auto"/>
        <w:ind w:left="359" w:right="57" w:firstLine="390"/>
        <w:rPr>
          <w:sz w:val="19"/>
          <w:szCs w:val="19"/>
        </w:rPr>
      </w:pPr>
      <w:r>
        <w:rPr>
          <w:spacing w:val="16"/>
          <w:sz w:val="19"/>
          <w:szCs w:val="19"/>
        </w:rPr>
        <w:t>(5)对承建单位或运维服务提供方实施过程中的软件和设备安装、调试</w:t>
      </w:r>
      <w:r>
        <w:rPr>
          <w:spacing w:val="15"/>
          <w:sz w:val="19"/>
          <w:szCs w:val="19"/>
        </w:rPr>
        <w:t>、测试情况进行监</w:t>
      </w:r>
      <w:r>
        <w:rPr>
          <w:sz w:val="19"/>
          <w:szCs w:val="19"/>
        </w:rPr>
        <w:t xml:space="preserve"> </w:t>
      </w:r>
      <w:r>
        <w:rPr>
          <w:spacing w:val="-1"/>
          <w:sz w:val="19"/>
          <w:szCs w:val="19"/>
        </w:rPr>
        <w:t>督并记录；</w:t>
      </w:r>
    </w:p>
    <w:p w14:paraId="67CFC8E1">
      <w:pPr>
        <w:pStyle w:val="2"/>
        <w:spacing w:before="85" w:line="220" w:lineRule="auto"/>
        <w:ind w:left="750"/>
        <w:rPr>
          <w:sz w:val="19"/>
          <w:szCs w:val="19"/>
        </w:rPr>
      </w:pPr>
      <w:r>
        <w:rPr>
          <w:spacing w:val="16"/>
          <w:sz w:val="19"/>
          <w:szCs w:val="19"/>
        </w:rPr>
        <w:t>(6)填写监理日志。</w:t>
      </w:r>
    </w:p>
    <w:p w14:paraId="371ACA92">
      <w:pPr>
        <w:spacing w:line="466" w:lineRule="auto"/>
        <w:rPr>
          <w:rFonts w:ascii="Arial"/>
          <w:sz w:val="21"/>
        </w:rPr>
      </w:pPr>
    </w:p>
    <w:p w14:paraId="32A1D187">
      <w:pPr>
        <w:pStyle w:val="2"/>
        <w:spacing w:before="63" w:line="223" w:lineRule="auto"/>
        <w:ind w:left="362"/>
        <w:rPr>
          <w:rFonts w:ascii="黑体" w:hAnsi="黑体" w:eastAsia="黑体" w:cs="黑体"/>
          <w:sz w:val="19"/>
          <w:szCs w:val="19"/>
        </w:rPr>
      </w:pPr>
      <w:r>
        <w:rPr>
          <w:b/>
          <w:bCs/>
          <w:color w:val="0074DB"/>
          <w:spacing w:val="-7"/>
          <w:sz w:val="19"/>
          <w:szCs w:val="19"/>
        </w:rPr>
        <w:t>9.2</w:t>
      </w:r>
      <w:r>
        <w:rPr>
          <w:color w:val="0074DB"/>
          <w:spacing w:val="21"/>
          <w:sz w:val="19"/>
          <w:szCs w:val="19"/>
        </w:rPr>
        <w:t xml:space="preserve">   </w:t>
      </w:r>
      <w:r>
        <w:rPr>
          <w:rFonts w:ascii="黑体" w:hAnsi="黑体" w:eastAsia="黑体" w:cs="黑体"/>
          <w:b/>
          <w:bCs/>
          <w:color w:val="0074DB"/>
          <w:spacing w:val="-7"/>
          <w:sz w:val="19"/>
          <w:szCs w:val="19"/>
        </w:rPr>
        <w:t>监</w:t>
      </w:r>
      <w:r>
        <w:rPr>
          <w:rFonts w:ascii="黑体" w:hAnsi="黑体" w:eastAsia="黑体" w:cs="黑体"/>
          <w:color w:val="0074DB"/>
          <w:spacing w:val="30"/>
          <w:sz w:val="19"/>
          <w:szCs w:val="19"/>
        </w:rPr>
        <w:t xml:space="preserve"> </w:t>
      </w:r>
      <w:r>
        <w:rPr>
          <w:rFonts w:ascii="黑体" w:hAnsi="黑体" w:eastAsia="黑体" w:cs="黑体"/>
          <w:b/>
          <w:bCs/>
          <w:color w:val="0074DB"/>
          <w:spacing w:val="-7"/>
          <w:sz w:val="19"/>
          <w:szCs w:val="19"/>
        </w:rPr>
        <w:t>理</w:t>
      </w:r>
      <w:r>
        <w:rPr>
          <w:rFonts w:ascii="黑体" w:hAnsi="黑体" w:eastAsia="黑体" w:cs="黑体"/>
          <w:color w:val="0074DB"/>
          <w:spacing w:val="30"/>
          <w:sz w:val="19"/>
          <w:szCs w:val="19"/>
        </w:rPr>
        <w:t xml:space="preserve"> </w:t>
      </w:r>
      <w:r>
        <w:rPr>
          <w:rFonts w:ascii="黑体" w:hAnsi="黑体" w:eastAsia="黑体" w:cs="黑体"/>
          <w:b/>
          <w:bCs/>
          <w:color w:val="0074DB"/>
          <w:spacing w:val="-7"/>
          <w:sz w:val="19"/>
          <w:szCs w:val="19"/>
        </w:rPr>
        <w:t>大</w:t>
      </w:r>
      <w:r>
        <w:rPr>
          <w:rFonts w:ascii="黑体" w:hAnsi="黑体" w:eastAsia="黑体" w:cs="黑体"/>
          <w:color w:val="0074DB"/>
          <w:spacing w:val="29"/>
          <w:sz w:val="19"/>
          <w:szCs w:val="19"/>
        </w:rPr>
        <w:t xml:space="preserve"> </w:t>
      </w:r>
      <w:r>
        <w:rPr>
          <w:rFonts w:ascii="黑体" w:hAnsi="黑体" w:eastAsia="黑体" w:cs="黑体"/>
          <w:b/>
          <w:bCs/>
          <w:color w:val="0074DB"/>
          <w:spacing w:val="-7"/>
          <w:sz w:val="19"/>
          <w:szCs w:val="19"/>
        </w:rPr>
        <w:t>纲</w:t>
      </w:r>
    </w:p>
    <w:p w14:paraId="3BFDAD53">
      <w:pPr>
        <w:pStyle w:val="2"/>
        <w:spacing w:before="273" w:line="307" w:lineRule="auto"/>
        <w:ind w:left="359" w:right="83" w:firstLine="390"/>
        <w:rPr>
          <w:sz w:val="19"/>
          <w:szCs w:val="19"/>
        </w:rPr>
      </w:pPr>
      <w:r>
        <w:rPr>
          <w:spacing w:val="13"/>
          <w:sz w:val="19"/>
          <w:szCs w:val="19"/>
        </w:rPr>
        <w:t>监理大纲是监理单位承担信息系统工程建设项目的监理及相关服务的法律承诺，可以帮助</w:t>
      </w:r>
      <w:r>
        <w:rPr>
          <w:spacing w:val="3"/>
          <w:sz w:val="19"/>
          <w:szCs w:val="19"/>
        </w:rPr>
        <w:t xml:space="preserve"> </w:t>
      </w:r>
      <w:r>
        <w:rPr>
          <w:spacing w:val="8"/>
          <w:sz w:val="19"/>
          <w:szCs w:val="19"/>
        </w:rPr>
        <w:t>监理单位获得监理业务，并为监理单位今后开展监理工作确定了框架方案。</w:t>
      </w:r>
    </w:p>
    <w:p w14:paraId="03FD8F73">
      <w:pPr>
        <w:pStyle w:val="2"/>
        <w:spacing w:before="157" w:line="220" w:lineRule="auto"/>
        <w:ind w:left="362"/>
        <w:rPr>
          <w:sz w:val="25"/>
          <w:szCs w:val="25"/>
        </w:rPr>
      </w:pPr>
      <w:r>
        <w:rPr>
          <w:b/>
          <w:bCs/>
          <w:color w:val="0084E9"/>
          <w:spacing w:val="-17"/>
          <w:sz w:val="25"/>
          <w:szCs w:val="25"/>
        </w:rPr>
        <w:t>9.2.1</w:t>
      </w:r>
      <w:r>
        <w:rPr>
          <w:color w:val="0084E9"/>
          <w:spacing w:val="-17"/>
          <w:sz w:val="25"/>
          <w:szCs w:val="25"/>
        </w:rPr>
        <w:t xml:space="preserve"> </w:t>
      </w:r>
      <w:r>
        <w:rPr>
          <w:b/>
          <w:bCs/>
          <w:color w:val="0084E9"/>
          <w:spacing w:val="-17"/>
          <w:sz w:val="25"/>
          <w:szCs w:val="25"/>
        </w:rPr>
        <w:t>监理大纲的作用</w:t>
      </w:r>
    </w:p>
    <w:p w14:paraId="106DF2BB">
      <w:pPr>
        <w:pStyle w:val="2"/>
        <w:spacing w:before="173" w:line="220" w:lineRule="auto"/>
        <w:ind w:left="750"/>
        <w:rPr>
          <w:sz w:val="19"/>
          <w:szCs w:val="19"/>
        </w:rPr>
      </w:pPr>
      <w:r>
        <w:rPr>
          <w:spacing w:val="5"/>
          <w:sz w:val="19"/>
          <w:szCs w:val="19"/>
        </w:rPr>
        <w:t>监理大纲的作用包括：</w:t>
      </w:r>
    </w:p>
    <w:p w14:paraId="7DB510B0">
      <w:pPr>
        <w:pStyle w:val="2"/>
        <w:spacing w:before="93" w:line="265" w:lineRule="auto"/>
        <w:ind w:left="359" w:right="58" w:firstLine="390"/>
        <w:rPr>
          <w:sz w:val="19"/>
          <w:szCs w:val="19"/>
        </w:rPr>
      </w:pPr>
      <w:r>
        <w:rPr>
          <w:spacing w:val="16"/>
          <w:sz w:val="19"/>
          <w:szCs w:val="19"/>
        </w:rPr>
        <w:t>(1)使业主单位认可大纲中的监理方案，确信采用本监理单位制定</w:t>
      </w:r>
      <w:r>
        <w:rPr>
          <w:spacing w:val="15"/>
          <w:sz w:val="19"/>
          <w:szCs w:val="19"/>
        </w:rPr>
        <w:t>的监理方案能实现项目</w:t>
      </w:r>
      <w:r>
        <w:rPr>
          <w:sz w:val="19"/>
          <w:szCs w:val="19"/>
        </w:rPr>
        <w:t xml:space="preserve"> </w:t>
      </w:r>
      <w:r>
        <w:rPr>
          <w:spacing w:val="7"/>
          <w:sz w:val="19"/>
          <w:szCs w:val="19"/>
        </w:rPr>
        <w:t>的投资目标和建设意图，从而帮助监理单位获得监理业务；</w:t>
      </w:r>
    </w:p>
    <w:p w14:paraId="7CE418BB">
      <w:pPr>
        <w:pStyle w:val="2"/>
        <w:spacing w:before="75" w:line="219" w:lineRule="auto"/>
        <w:ind w:left="750"/>
        <w:rPr>
          <w:sz w:val="19"/>
          <w:szCs w:val="19"/>
        </w:rPr>
      </w:pPr>
      <w:r>
        <w:rPr>
          <w:spacing w:val="11"/>
          <w:sz w:val="19"/>
          <w:szCs w:val="19"/>
        </w:rPr>
        <w:t>(2)为监理单位今后开展监理工作制定框</w:t>
      </w:r>
      <w:r>
        <w:rPr>
          <w:spacing w:val="10"/>
          <w:sz w:val="19"/>
          <w:szCs w:val="19"/>
        </w:rPr>
        <w:t>架方案。</w:t>
      </w:r>
    </w:p>
    <w:p w14:paraId="42020D5E">
      <w:pPr>
        <w:pStyle w:val="2"/>
        <w:spacing w:before="213" w:line="219" w:lineRule="auto"/>
        <w:ind w:left="362"/>
        <w:rPr>
          <w:sz w:val="25"/>
          <w:szCs w:val="25"/>
        </w:rPr>
      </w:pPr>
      <w:r>
        <w:rPr>
          <w:b/>
          <w:bCs/>
          <w:color w:val="0074DA"/>
          <w:spacing w:val="-20"/>
          <w:sz w:val="25"/>
          <w:szCs w:val="25"/>
        </w:rPr>
        <w:t>9.2.2</w:t>
      </w:r>
      <w:r>
        <w:rPr>
          <w:color w:val="0074DA"/>
          <w:spacing w:val="30"/>
          <w:sz w:val="25"/>
          <w:szCs w:val="25"/>
        </w:rPr>
        <w:t xml:space="preserve"> </w:t>
      </w:r>
      <w:r>
        <w:rPr>
          <w:b/>
          <w:bCs/>
          <w:color w:val="0074DA"/>
          <w:spacing w:val="-20"/>
          <w:sz w:val="25"/>
          <w:szCs w:val="25"/>
        </w:rPr>
        <w:t>监理大纲的编制</w:t>
      </w:r>
    </w:p>
    <w:p w14:paraId="41E939EB">
      <w:pPr>
        <w:pStyle w:val="2"/>
        <w:spacing w:before="280" w:line="221" w:lineRule="auto"/>
        <w:ind w:left="752"/>
        <w:rPr>
          <w:rFonts w:ascii="黑体" w:hAnsi="黑体" w:eastAsia="黑体" w:cs="黑体"/>
          <w:sz w:val="19"/>
          <w:szCs w:val="19"/>
        </w:rPr>
      </w:pPr>
      <w:r>
        <w:rPr>
          <w:b/>
          <w:bCs/>
          <w:color w:val="0073D9"/>
          <w:spacing w:val="6"/>
          <w:sz w:val="19"/>
          <w:szCs w:val="19"/>
        </w:rPr>
        <w:t>1.</w:t>
      </w:r>
      <w:r>
        <w:rPr>
          <w:rFonts w:ascii="黑体" w:hAnsi="黑体" w:eastAsia="黑体" w:cs="黑体"/>
          <w:b/>
          <w:bCs/>
          <w:color w:val="0073D9"/>
          <w:spacing w:val="6"/>
          <w:sz w:val="19"/>
          <w:szCs w:val="19"/>
        </w:rPr>
        <w:t>监理大纲的编制要求</w:t>
      </w:r>
    </w:p>
    <w:p w14:paraId="57CF221B">
      <w:pPr>
        <w:pStyle w:val="2"/>
        <w:spacing w:before="145" w:line="285" w:lineRule="auto"/>
        <w:ind w:left="359" w:firstLine="390"/>
        <w:jc w:val="both"/>
        <w:rPr>
          <w:sz w:val="19"/>
          <w:szCs w:val="19"/>
        </w:rPr>
      </w:pPr>
      <w:r>
        <w:rPr>
          <w:spacing w:val="13"/>
          <w:sz w:val="19"/>
          <w:szCs w:val="19"/>
        </w:rPr>
        <w:t>监理大纲的编制应针对业主单位对监理工作的要求，明确监理单位所提供的监理及相关服</w:t>
      </w:r>
      <w:r>
        <w:rPr>
          <w:sz w:val="19"/>
          <w:szCs w:val="19"/>
        </w:rPr>
        <w:t xml:space="preserve">  </w:t>
      </w:r>
      <w:r>
        <w:rPr>
          <w:spacing w:val="10"/>
          <w:sz w:val="19"/>
          <w:szCs w:val="19"/>
        </w:rPr>
        <w:t>务目标和定位，确定具体的工作范围、服务特点、组织机构与人员职责、服务保障</w:t>
      </w:r>
      <w:r>
        <w:rPr>
          <w:spacing w:val="9"/>
          <w:sz w:val="19"/>
          <w:szCs w:val="19"/>
        </w:rPr>
        <w:t>和服务承诺。</w:t>
      </w:r>
      <w:r>
        <w:rPr>
          <w:sz w:val="19"/>
          <w:szCs w:val="19"/>
        </w:rPr>
        <w:t xml:space="preserve"> </w:t>
      </w:r>
      <w:r>
        <w:rPr>
          <w:spacing w:val="15"/>
          <w:sz w:val="19"/>
          <w:szCs w:val="19"/>
        </w:rPr>
        <w:t>监理单位编制监理大纲后，应经监理单位技术负责人审核，并由监理单位法定代表人</w:t>
      </w:r>
      <w:r>
        <w:rPr>
          <w:spacing w:val="14"/>
          <w:sz w:val="19"/>
          <w:szCs w:val="19"/>
        </w:rPr>
        <w:t>(或授权</w:t>
      </w:r>
      <w:r>
        <w:rPr>
          <w:sz w:val="19"/>
          <w:szCs w:val="19"/>
        </w:rPr>
        <w:t xml:space="preserve">  </w:t>
      </w:r>
      <w:r>
        <w:rPr>
          <w:spacing w:val="17"/>
          <w:sz w:val="19"/>
          <w:szCs w:val="19"/>
        </w:rPr>
        <w:t>代表)书面批准。</w:t>
      </w:r>
    </w:p>
    <w:p w14:paraId="69561C20">
      <w:pPr>
        <w:spacing w:line="285" w:lineRule="auto"/>
        <w:rPr>
          <w:sz w:val="19"/>
          <w:szCs w:val="19"/>
        </w:rPr>
        <w:sectPr>
          <w:pgSz w:w="10300" w:h="13380"/>
          <w:pgMar w:top="400" w:right="954" w:bottom="400" w:left="589" w:header="0" w:footer="0" w:gutter="0"/>
          <w:cols w:space="720" w:num="1"/>
        </w:sectPr>
      </w:pPr>
    </w:p>
    <w:p w14:paraId="3B660156">
      <w:pPr>
        <w:pStyle w:val="2"/>
        <w:spacing w:before="66" w:line="219" w:lineRule="auto"/>
        <w:jc w:val="right"/>
        <w:rPr>
          <w:rFonts w:ascii="Times New Roman" w:hAnsi="Times New Roman" w:eastAsia="Times New Roman" w:cs="Times New Roman"/>
          <w:sz w:val="17"/>
          <w:szCs w:val="17"/>
        </w:rPr>
      </w:pPr>
      <w:bookmarkStart w:id="606" w:name="bookmark591"/>
      <w:bookmarkEnd w:id="606"/>
      <w:r>
        <w:rPr>
          <w:spacing w:val="-5"/>
          <w:sz w:val="20"/>
          <w:szCs w:val="20"/>
        </w:rPr>
        <w:t xml:space="preserve">第9章 监理工作的组织和规划      </w:t>
      </w:r>
      <w:r>
        <w:rPr>
          <w:rFonts w:ascii="Times New Roman" w:hAnsi="Times New Roman" w:eastAsia="Times New Roman" w:cs="Times New Roman"/>
          <w:spacing w:val="-5"/>
          <w:sz w:val="17"/>
          <w:szCs w:val="17"/>
        </w:rPr>
        <w:t>229</w:t>
      </w:r>
    </w:p>
    <w:p w14:paraId="7A5F44A9">
      <w:pPr>
        <w:spacing w:line="296" w:lineRule="auto"/>
        <w:rPr>
          <w:rFonts w:ascii="Arial"/>
          <w:sz w:val="21"/>
        </w:rPr>
      </w:pPr>
    </w:p>
    <w:p w14:paraId="306995A6">
      <w:pPr>
        <w:pStyle w:val="2"/>
        <w:spacing w:before="65" w:line="277" w:lineRule="auto"/>
        <w:ind w:right="254" w:firstLine="409"/>
        <w:jc w:val="both"/>
        <w:rPr>
          <w:sz w:val="20"/>
          <w:szCs w:val="20"/>
        </w:rPr>
      </w:pPr>
      <w:r>
        <w:rPr>
          <w:spacing w:val="3"/>
          <w:sz w:val="20"/>
          <w:szCs w:val="20"/>
        </w:rPr>
        <w:t>监理大纲的编制由于具体工程的不同会有差异，需要针对工程招标文件的要求逐项进行响</w:t>
      </w:r>
      <w:r>
        <w:rPr>
          <w:spacing w:val="8"/>
          <w:sz w:val="20"/>
          <w:szCs w:val="20"/>
        </w:rPr>
        <w:t xml:space="preserve"> </w:t>
      </w:r>
      <w:r>
        <w:rPr>
          <w:spacing w:val="3"/>
          <w:sz w:val="20"/>
          <w:szCs w:val="20"/>
        </w:rPr>
        <w:t>应，突出监理单位针对该工程的理解、合理化建议、类似项目的经验、人员组织、技术以及售</w:t>
      </w:r>
      <w:r>
        <w:rPr>
          <w:spacing w:val="7"/>
          <w:sz w:val="20"/>
          <w:szCs w:val="20"/>
        </w:rPr>
        <w:t xml:space="preserve"> </w:t>
      </w:r>
      <w:r>
        <w:rPr>
          <w:spacing w:val="-3"/>
          <w:sz w:val="20"/>
          <w:szCs w:val="20"/>
        </w:rPr>
        <w:t>后服务等方面的优势，但严禁弄虚作假。</w:t>
      </w:r>
    </w:p>
    <w:p w14:paraId="10CD5B02">
      <w:pPr>
        <w:pStyle w:val="2"/>
        <w:spacing w:before="145" w:line="221" w:lineRule="auto"/>
        <w:ind w:left="412"/>
        <w:rPr>
          <w:rFonts w:ascii="黑体" w:hAnsi="黑体" w:eastAsia="黑体" w:cs="黑体"/>
          <w:sz w:val="20"/>
          <w:szCs w:val="20"/>
        </w:rPr>
      </w:pPr>
      <w:r>
        <w:rPr>
          <w:b/>
          <w:bCs/>
          <w:color w:val="006BCA"/>
          <w:spacing w:val="-2"/>
          <w:sz w:val="20"/>
          <w:szCs w:val="20"/>
        </w:rPr>
        <w:t>2.</w:t>
      </w:r>
      <w:r>
        <w:rPr>
          <w:rFonts w:ascii="黑体" w:hAnsi="黑体" w:eastAsia="黑体" w:cs="黑体"/>
          <w:b/>
          <w:bCs/>
          <w:color w:val="006BCA"/>
          <w:spacing w:val="-2"/>
          <w:sz w:val="20"/>
          <w:szCs w:val="20"/>
        </w:rPr>
        <w:t>监理大纲的编制依据</w:t>
      </w:r>
    </w:p>
    <w:p w14:paraId="014C3512">
      <w:pPr>
        <w:pStyle w:val="2"/>
        <w:spacing w:before="124" w:line="219" w:lineRule="auto"/>
        <w:ind w:left="409"/>
        <w:rPr>
          <w:sz w:val="20"/>
          <w:szCs w:val="20"/>
        </w:rPr>
      </w:pPr>
      <w:r>
        <w:rPr>
          <w:spacing w:val="-4"/>
          <w:sz w:val="20"/>
          <w:szCs w:val="20"/>
        </w:rPr>
        <w:t>监理大纲的编制依据主要包括：</w:t>
      </w:r>
    </w:p>
    <w:p w14:paraId="709CFCDD">
      <w:pPr>
        <w:pStyle w:val="2"/>
        <w:spacing w:before="94" w:line="219" w:lineRule="auto"/>
        <w:ind w:left="409"/>
        <w:rPr>
          <w:sz w:val="20"/>
          <w:szCs w:val="20"/>
        </w:rPr>
      </w:pPr>
      <w:r>
        <w:rPr>
          <w:spacing w:val="7"/>
          <w:sz w:val="20"/>
          <w:szCs w:val="20"/>
        </w:rPr>
        <w:t>(1)业主单位对监理工作的要求(包括监理招标文件)。</w:t>
      </w:r>
    </w:p>
    <w:p w14:paraId="4784B7C5">
      <w:pPr>
        <w:pStyle w:val="2"/>
        <w:spacing w:before="72" w:line="262" w:lineRule="auto"/>
        <w:ind w:right="250" w:firstLine="409"/>
        <w:rPr>
          <w:sz w:val="20"/>
          <w:szCs w:val="20"/>
        </w:rPr>
      </w:pPr>
      <w:r>
        <w:rPr>
          <w:spacing w:val="6"/>
          <w:sz w:val="20"/>
          <w:szCs w:val="20"/>
        </w:rPr>
        <w:t>(2)监理单位的服务质量管理体系。监理单位建立的质量管理体</w:t>
      </w:r>
      <w:r>
        <w:rPr>
          <w:spacing w:val="5"/>
          <w:sz w:val="20"/>
          <w:szCs w:val="20"/>
        </w:rPr>
        <w:t>系标准需符合国际和我国</w:t>
      </w:r>
      <w:r>
        <w:rPr>
          <w:sz w:val="20"/>
          <w:szCs w:val="20"/>
        </w:rPr>
        <w:t xml:space="preserve"> </w:t>
      </w:r>
      <w:r>
        <w:rPr>
          <w:spacing w:val="1"/>
          <w:sz w:val="20"/>
          <w:szCs w:val="20"/>
        </w:rPr>
        <w:t>质量管理体系和服务管理体系相关标准要求，包括</w:t>
      </w:r>
      <w:r>
        <w:rPr>
          <w:rFonts w:ascii="Times New Roman" w:hAnsi="Times New Roman" w:eastAsia="Times New Roman" w:cs="Times New Roman"/>
          <w:sz w:val="20"/>
          <w:szCs w:val="20"/>
        </w:rPr>
        <w:t>GB</w:t>
      </w:r>
      <w:r>
        <w:rPr>
          <w:rFonts w:ascii="Times New Roman" w:hAnsi="Times New Roman" w:eastAsia="Times New Roman" w:cs="Times New Roman"/>
          <w:spacing w:val="1"/>
          <w:sz w:val="20"/>
          <w:szCs w:val="20"/>
        </w:rPr>
        <w:t>/T</w:t>
      </w:r>
      <w:r>
        <w:rPr>
          <w:rFonts w:ascii="Times New Roman" w:hAnsi="Times New Roman" w:eastAsia="Times New Roman" w:cs="Times New Roman"/>
          <w:sz w:val="20"/>
          <w:szCs w:val="20"/>
        </w:rPr>
        <w:t xml:space="preserve">  19000</w:t>
      </w:r>
      <w:r>
        <w:rPr>
          <w:sz w:val="20"/>
          <w:szCs w:val="20"/>
        </w:rPr>
        <w:t>和</w:t>
      </w:r>
      <w:r>
        <w:rPr>
          <w:spacing w:val="-51"/>
          <w:sz w:val="20"/>
          <w:szCs w:val="20"/>
        </w:rPr>
        <w:t xml:space="preserve"> </w:t>
      </w:r>
      <w:r>
        <w:rPr>
          <w:rFonts w:ascii="Times New Roman" w:hAnsi="Times New Roman" w:eastAsia="Times New Roman" w:cs="Times New Roman"/>
          <w:sz w:val="20"/>
          <w:szCs w:val="20"/>
        </w:rPr>
        <w:t>ISO/IEC  20000</w:t>
      </w:r>
      <w:r>
        <w:rPr>
          <w:sz w:val="20"/>
          <w:szCs w:val="20"/>
        </w:rPr>
        <w:t>系列标准。</w:t>
      </w:r>
    </w:p>
    <w:p w14:paraId="46C0BE5B">
      <w:pPr>
        <w:pStyle w:val="2"/>
        <w:spacing w:before="72" w:line="253" w:lineRule="auto"/>
        <w:ind w:right="263" w:firstLine="409"/>
        <w:rPr>
          <w:sz w:val="20"/>
          <w:szCs w:val="20"/>
        </w:rPr>
      </w:pPr>
      <w:r>
        <w:rPr>
          <w:spacing w:val="5"/>
          <w:sz w:val="20"/>
          <w:szCs w:val="20"/>
        </w:rPr>
        <w:t>(3)监理及相关服务规范。监理单位内部制定的信息系统工程监理技术规范需符合国家标</w:t>
      </w:r>
      <w:r>
        <w:rPr>
          <w:spacing w:val="16"/>
          <w:sz w:val="20"/>
          <w:szCs w:val="20"/>
        </w:rPr>
        <w:t xml:space="preserve"> </w:t>
      </w:r>
      <w:r>
        <w:rPr>
          <w:sz w:val="20"/>
          <w:szCs w:val="20"/>
        </w:rPr>
        <w:t>准</w:t>
      </w:r>
      <w:r>
        <w:rPr>
          <w:rFonts w:ascii="Times New Roman" w:hAnsi="Times New Roman" w:eastAsia="Times New Roman" w:cs="Times New Roman"/>
          <w:sz w:val="20"/>
          <w:szCs w:val="20"/>
        </w:rPr>
        <w:t>GB/T  19668</w:t>
      </w:r>
      <w:r>
        <w:rPr>
          <w:sz w:val="20"/>
          <w:szCs w:val="20"/>
        </w:rPr>
        <w:t>系列规范等对监理</w:t>
      </w:r>
      <w:r>
        <w:rPr>
          <w:spacing w:val="-1"/>
          <w:sz w:val="20"/>
          <w:szCs w:val="20"/>
        </w:rPr>
        <w:t>工作的要求。</w:t>
      </w:r>
    </w:p>
    <w:p w14:paraId="5EE5BB9B">
      <w:pPr>
        <w:pStyle w:val="2"/>
        <w:spacing w:before="83" w:line="257" w:lineRule="auto"/>
        <w:ind w:right="171" w:firstLine="409"/>
        <w:rPr>
          <w:sz w:val="20"/>
          <w:szCs w:val="20"/>
        </w:rPr>
      </w:pPr>
      <w:r>
        <w:rPr>
          <w:spacing w:val="3"/>
          <w:sz w:val="20"/>
          <w:szCs w:val="20"/>
        </w:rPr>
        <w:t>(4)与工程及相关服务有关的法律法规和标准规范。包括与</w:t>
      </w:r>
      <w:r>
        <w:rPr>
          <w:spacing w:val="2"/>
          <w:sz w:val="20"/>
          <w:szCs w:val="20"/>
        </w:rPr>
        <w:t>工程有关的政策、法规、批文、</w:t>
      </w:r>
      <w:r>
        <w:rPr>
          <w:sz w:val="20"/>
          <w:szCs w:val="20"/>
        </w:rPr>
        <w:t xml:space="preserve"> </w:t>
      </w:r>
      <w:r>
        <w:rPr>
          <w:spacing w:val="-2"/>
          <w:sz w:val="20"/>
          <w:szCs w:val="20"/>
        </w:rPr>
        <w:t>前期设计文件，与工程建设内容有关的管理、技术标准等。</w:t>
      </w:r>
    </w:p>
    <w:p w14:paraId="17964C45">
      <w:pPr>
        <w:pStyle w:val="2"/>
        <w:spacing w:before="168" w:line="221" w:lineRule="auto"/>
        <w:ind w:left="412"/>
        <w:rPr>
          <w:rFonts w:ascii="黑体" w:hAnsi="黑体" w:eastAsia="黑体" w:cs="黑体"/>
          <w:sz w:val="20"/>
          <w:szCs w:val="20"/>
        </w:rPr>
      </w:pPr>
      <w:r>
        <w:rPr>
          <w:b/>
          <w:bCs/>
          <w:color w:val="0062D4"/>
          <w:spacing w:val="-2"/>
          <w:sz w:val="20"/>
          <w:szCs w:val="20"/>
        </w:rPr>
        <w:t>3.</w:t>
      </w:r>
      <w:r>
        <w:rPr>
          <w:rFonts w:ascii="黑体" w:hAnsi="黑体" w:eastAsia="黑体" w:cs="黑体"/>
          <w:b/>
          <w:bCs/>
          <w:color w:val="0062D4"/>
          <w:spacing w:val="-2"/>
          <w:sz w:val="20"/>
          <w:szCs w:val="20"/>
        </w:rPr>
        <w:t>监理大纲的编制程序</w:t>
      </w:r>
    </w:p>
    <w:p w14:paraId="70451D57">
      <w:pPr>
        <w:pStyle w:val="2"/>
        <w:spacing w:before="136" w:line="219" w:lineRule="auto"/>
        <w:ind w:left="409"/>
        <w:rPr>
          <w:sz w:val="20"/>
          <w:szCs w:val="20"/>
        </w:rPr>
      </w:pPr>
      <w:r>
        <w:rPr>
          <w:spacing w:val="-5"/>
          <w:sz w:val="20"/>
          <w:szCs w:val="20"/>
        </w:rPr>
        <w:t>监理大纲的编制程序为：</w:t>
      </w:r>
    </w:p>
    <w:p w14:paraId="20090AA1">
      <w:pPr>
        <w:pStyle w:val="2"/>
        <w:spacing w:before="82" w:line="219" w:lineRule="auto"/>
        <w:ind w:left="409"/>
        <w:rPr>
          <w:sz w:val="20"/>
          <w:szCs w:val="20"/>
        </w:rPr>
      </w:pPr>
      <w:r>
        <w:rPr>
          <w:spacing w:val="1"/>
          <w:sz w:val="20"/>
          <w:szCs w:val="20"/>
        </w:rPr>
        <w:t>(1)监理单位编制监理大纲后，应经监理单位技术负责人审核；</w:t>
      </w:r>
    </w:p>
    <w:p w14:paraId="5B53F32F">
      <w:pPr>
        <w:pStyle w:val="2"/>
        <w:spacing w:before="82" w:line="219" w:lineRule="auto"/>
        <w:ind w:left="409"/>
        <w:rPr>
          <w:sz w:val="20"/>
          <w:szCs w:val="20"/>
        </w:rPr>
      </w:pPr>
      <w:r>
        <w:rPr>
          <w:spacing w:val="10"/>
          <w:sz w:val="20"/>
          <w:szCs w:val="20"/>
        </w:rPr>
        <w:t>(2)由监理单位法定代表人(或授权代表)书面批准。</w:t>
      </w:r>
    </w:p>
    <w:p w14:paraId="4A57334E">
      <w:pPr>
        <w:pStyle w:val="2"/>
        <w:spacing w:before="242" w:line="219" w:lineRule="auto"/>
        <w:ind w:left="2"/>
        <w:rPr>
          <w:sz w:val="25"/>
          <w:szCs w:val="25"/>
        </w:rPr>
      </w:pPr>
      <w:r>
        <w:rPr>
          <w:b/>
          <w:bCs/>
          <w:color w:val="0066DB"/>
          <w:spacing w:val="-18"/>
          <w:sz w:val="25"/>
          <w:szCs w:val="25"/>
        </w:rPr>
        <w:t>9.2.3</w:t>
      </w:r>
      <w:r>
        <w:rPr>
          <w:color w:val="0066DB"/>
          <w:spacing w:val="107"/>
          <w:sz w:val="25"/>
          <w:szCs w:val="25"/>
        </w:rPr>
        <w:t xml:space="preserve"> </w:t>
      </w:r>
      <w:r>
        <w:rPr>
          <w:b/>
          <w:bCs/>
          <w:color w:val="0066DB"/>
          <w:spacing w:val="-18"/>
          <w:sz w:val="25"/>
          <w:szCs w:val="25"/>
        </w:rPr>
        <w:t>监理大纲的内容</w:t>
      </w:r>
    </w:p>
    <w:p w14:paraId="1BEA361F">
      <w:pPr>
        <w:pStyle w:val="2"/>
        <w:spacing w:before="154" w:line="283" w:lineRule="auto"/>
        <w:ind w:right="258" w:firstLine="409"/>
        <w:rPr>
          <w:sz w:val="20"/>
          <w:szCs w:val="20"/>
        </w:rPr>
      </w:pPr>
      <w:r>
        <w:rPr>
          <w:spacing w:val="3"/>
          <w:sz w:val="20"/>
          <w:szCs w:val="20"/>
        </w:rPr>
        <w:t>监理大纲的主要内容包括：监理工作目标、监理工作依据、监理工作范围、项目监理机构</w:t>
      </w:r>
      <w:r>
        <w:rPr>
          <w:spacing w:val="4"/>
          <w:sz w:val="20"/>
          <w:szCs w:val="20"/>
        </w:rPr>
        <w:t xml:space="preserve"> </w:t>
      </w:r>
      <w:r>
        <w:rPr>
          <w:spacing w:val="-1"/>
          <w:sz w:val="20"/>
          <w:szCs w:val="20"/>
        </w:rPr>
        <w:t>及配备人员、监理工作计划、各阶段监理工作、监理流程和成果、监理服务承诺等。</w:t>
      </w:r>
    </w:p>
    <w:p w14:paraId="19C5398E">
      <w:pPr>
        <w:pStyle w:val="2"/>
        <w:spacing w:before="94" w:line="222" w:lineRule="auto"/>
        <w:ind w:left="412"/>
        <w:rPr>
          <w:rFonts w:ascii="黑体" w:hAnsi="黑体" w:eastAsia="黑体" w:cs="黑体"/>
          <w:sz w:val="20"/>
          <w:szCs w:val="20"/>
        </w:rPr>
      </w:pPr>
      <w:r>
        <w:rPr>
          <w:b/>
          <w:bCs/>
          <w:color w:val="0067DE"/>
          <w:spacing w:val="-2"/>
          <w:sz w:val="20"/>
          <w:szCs w:val="20"/>
        </w:rPr>
        <w:t>1.</w:t>
      </w:r>
      <w:r>
        <w:rPr>
          <w:rFonts w:ascii="黑体" w:hAnsi="黑体" w:eastAsia="黑体" w:cs="黑体"/>
          <w:b/>
          <w:bCs/>
          <w:color w:val="0067DE"/>
          <w:spacing w:val="-2"/>
          <w:sz w:val="20"/>
          <w:szCs w:val="20"/>
        </w:rPr>
        <w:t>监理工作目标、依据和范围</w:t>
      </w:r>
    </w:p>
    <w:p w14:paraId="413D314F">
      <w:pPr>
        <w:pStyle w:val="2"/>
        <w:spacing w:before="153" w:line="248" w:lineRule="auto"/>
        <w:ind w:right="171" w:firstLine="409"/>
        <w:rPr>
          <w:sz w:val="20"/>
          <w:szCs w:val="20"/>
        </w:rPr>
      </w:pPr>
      <w:r>
        <w:rPr>
          <w:spacing w:val="8"/>
          <w:sz w:val="20"/>
          <w:szCs w:val="20"/>
        </w:rPr>
        <w:t>(1)监理工作目标。结合工程项目具体的建设内容，从质量控制</w:t>
      </w:r>
      <w:r>
        <w:rPr>
          <w:spacing w:val="7"/>
          <w:sz w:val="20"/>
          <w:szCs w:val="20"/>
        </w:rPr>
        <w:t>、进度控制、投资控制、</w:t>
      </w:r>
      <w:r>
        <w:rPr>
          <w:sz w:val="20"/>
          <w:szCs w:val="20"/>
        </w:rPr>
        <w:t xml:space="preserve"> </w:t>
      </w:r>
      <w:r>
        <w:rPr>
          <w:spacing w:val="-2"/>
          <w:sz w:val="20"/>
          <w:szCs w:val="20"/>
        </w:rPr>
        <w:t>合同管理、信息管理、安全管理等方面的工作目标进行分析。</w:t>
      </w:r>
    </w:p>
    <w:p w14:paraId="443DFAA5">
      <w:pPr>
        <w:pStyle w:val="2"/>
        <w:spacing w:before="81" w:line="263" w:lineRule="auto"/>
        <w:ind w:right="253" w:firstLine="409"/>
        <w:rPr>
          <w:sz w:val="20"/>
          <w:szCs w:val="20"/>
        </w:rPr>
      </w:pPr>
      <w:r>
        <w:rPr>
          <w:spacing w:val="5"/>
          <w:sz w:val="20"/>
          <w:szCs w:val="20"/>
        </w:rPr>
        <w:t>(2)监理依据。主要是依据国家有关工程建设的政策、法律、法规、批准的建设计划、设</w:t>
      </w:r>
      <w:r>
        <w:rPr>
          <w:spacing w:val="18"/>
          <w:sz w:val="20"/>
          <w:szCs w:val="20"/>
        </w:rPr>
        <w:t xml:space="preserve"> </w:t>
      </w:r>
      <w:r>
        <w:rPr>
          <w:spacing w:val="3"/>
          <w:sz w:val="20"/>
          <w:szCs w:val="20"/>
        </w:rPr>
        <w:t>计文件，工程建设的有关规程、规范、标准，以及招标文件中对监理范围的约定，对工程项目</w:t>
      </w:r>
      <w:r>
        <w:rPr>
          <w:spacing w:val="13"/>
          <w:sz w:val="20"/>
          <w:szCs w:val="20"/>
        </w:rPr>
        <w:t xml:space="preserve"> </w:t>
      </w:r>
      <w:r>
        <w:rPr>
          <w:spacing w:val="3"/>
          <w:sz w:val="20"/>
          <w:szCs w:val="20"/>
        </w:rPr>
        <w:t>建设过程进行以控制投资、进度、质量和安全为核心的监督、管理、协调、服务，使工程项目</w:t>
      </w:r>
      <w:r>
        <w:rPr>
          <w:spacing w:val="13"/>
          <w:sz w:val="20"/>
          <w:szCs w:val="20"/>
        </w:rPr>
        <w:t xml:space="preserve"> </w:t>
      </w:r>
      <w:r>
        <w:rPr>
          <w:spacing w:val="-2"/>
          <w:sz w:val="20"/>
          <w:szCs w:val="20"/>
        </w:rPr>
        <w:t>尽可能好地实现投资目标、进度目标、质量目标和安全目标。</w:t>
      </w:r>
    </w:p>
    <w:p w14:paraId="72B8E833">
      <w:pPr>
        <w:pStyle w:val="2"/>
        <w:spacing w:before="92" w:line="253" w:lineRule="auto"/>
        <w:ind w:right="262" w:firstLine="409"/>
        <w:rPr>
          <w:sz w:val="20"/>
          <w:szCs w:val="20"/>
        </w:rPr>
      </w:pPr>
      <w:r>
        <w:rPr>
          <w:spacing w:val="5"/>
          <w:sz w:val="20"/>
          <w:szCs w:val="20"/>
        </w:rPr>
        <w:t>(3)监理范围。根据项目招标需求或监理合同约定的监理服务范围，进行全过程监理、里</w:t>
      </w:r>
      <w:r>
        <w:rPr>
          <w:spacing w:val="18"/>
          <w:sz w:val="20"/>
          <w:szCs w:val="20"/>
        </w:rPr>
        <w:t xml:space="preserve"> </w:t>
      </w:r>
      <w:r>
        <w:rPr>
          <w:spacing w:val="-3"/>
          <w:sz w:val="20"/>
          <w:szCs w:val="20"/>
        </w:rPr>
        <w:t>程碑监理、阶段监理等。</w:t>
      </w:r>
    </w:p>
    <w:p w14:paraId="7D3AAFBB">
      <w:pPr>
        <w:pStyle w:val="2"/>
        <w:spacing w:before="148" w:line="221" w:lineRule="auto"/>
        <w:ind w:left="412"/>
        <w:rPr>
          <w:rFonts w:ascii="黑体" w:hAnsi="黑体" w:eastAsia="黑体" w:cs="黑体"/>
          <w:sz w:val="20"/>
          <w:szCs w:val="20"/>
        </w:rPr>
      </w:pPr>
      <w:r>
        <w:rPr>
          <w:b/>
          <w:bCs/>
          <w:color w:val="0061D1"/>
          <w:spacing w:val="-2"/>
          <w:sz w:val="20"/>
          <w:szCs w:val="20"/>
        </w:rPr>
        <w:t>2.</w:t>
      </w:r>
      <w:r>
        <w:rPr>
          <w:rFonts w:ascii="黑体" w:hAnsi="黑体" w:eastAsia="黑体" w:cs="黑体"/>
          <w:b/>
          <w:bCs/>
          <w:color w:val="0061D1"/>
          <w:spacing w:val="-2"/>
          <w:sz w:val="20"/>
          <w:szCs w:val="20"/>
        </w:rPr>
        <w:t>项目监理机构及配备人员</w:t>
      </w:r>
    </w:p>
    <w:p w14:paraId="4D6DCFED">
      <w:pPr>
        <w:pStyle w:val="2"/>
        <w:spacing w:before="125" w:line="281" w:lineRule="auto"/>
        <w:ind w:right="227" w:firstLine="409"/>
        <w:rPr>
          <w:sz w:val="20"/>
          <w:szCs w:val="20"/>
        </w:rPr>
      </w:pPr>
      <w:r>
        <w:rPr>
          <w:spacing w:val="3"/>
          <w:sz w:val="20"/>
          <w:szCs w:val="20"/>
        </w:rPr>
        <w:t>根据监理及相关服务招标文件或委托文件约定的工程类别、规模、服务内容、技术复</w:t>
      </w:r>
      <w:r>
        <w:rPr>
          <w:spacing w:val="2"/>
          <w:sz w:val="20"/>
          <w:szCs w:val="20"/>
        </w:rPr>
        <w:t>杂程</w:t>
      </w:r>
      <w:r>
        <w:rPr>
          <w:sz w:val="20"/>
          <w:szCs w:val="20"/>
        </w:rPr>
        <w:t xml:space="preserve"> </w:t>
      </w:r>
      <w:r>
        <w:rPr>
          <w:spacing w:val="-1"/>
          <w:sz w:val="20"/>
          <w:szCs w:val="20"/>
        </w:rPr>
        <w:t>度、实施工期和实施环境等因素确定监理机构的组织形式和规模，并对人员按照职务进行分工。</w:t>
      </w:r>
    </w:p>
    <w:p w14:paraId="6C31EC76">
      <w:pPr>
        <w:pStyle w:val="2"/>
        <w:spacing w:before="97" w:line="222" w:lineRule="auto"/>
        <w:ind w:left="412"/>
        <w:rPr>
          <w:rFonts w:ascii="黑体" w:hAnsi="黑体" w:eastAsia="黑体" w:cs="黑体"/>
          <w:sz w:val="20"/>
          <w:szCs w:val="20"/>
        </w:rPr>
      </w:pPr>
      <w:r>
        <w:rPr>
          <w:b/>
          <w:bCs/>
          <w:color w:val="0060CE"/>
          <w:spacing w:val="-2"/>
          <w:sz w:val="20"/>
          <w:szCs w:val="20"/>
        </w:rPr>
        <w:t>3.</w:t>
      </w:r>
      <w:r>
        <w:rPr>
          <w:rFonts w:ascii="黑体" w:hAnsi="黑体" w:eastAsia="黑体" w:cs="黑体"/>
          <w:b/>
          <w:bCs/>
          <w:color w:val="0060CE"/>
          <w:spacing w:val="-2"/>
          <w:sz w:val="20"/>
          <w:szCs w:val="20"/>
        </w:rPr>
        <w:t>监理工作计划和各阶段监理工作</w:t>
      </w:r>
    </w:p>
    <w:p w14:paraId="57D5A7F9">
      <w:pPr>
        <w:pStyle w:val="2"/>
        <w:spacing w:before="142" w:line="219" w:lineRule="auto"/>
        <w:ind w:left="409"/>
        <w:rPr>
          <w:sz w:val="20"/>
          <w:szCs w:val="20"/>
        </w:rPr>
      </w:pPr>
      <w:r>
        <w:rPr>
          <w:spacing w:val="5"/>
          <w:sz w:val="20"/>
          <w:szCs w:val="20"/>
        </w:rPr>
        <w:t>(1)监理工作计划。在监理工作实施前，包括签订监理合同和组建监理机构的前后，监理</w:t>
      </w:r>
    </w:p>
    <w:p w14:paraId="33D91BC5">
      <w:pPr>
        <w:spacing w:line="219" w:lineRule="auto"/>
        <w:rPr>
          <w:sz w:val="20"/>
          <w:szCs w:val="20"/>
        </w:rPr>
        <w:sectPr>
          <w:pgSz w:w="10280" w:h="13320"/>
          <w:pgMar w:top="400" w:right="578" w:bottom="400" w:left="1110" w:header="0" w:footer="0" w:gutter="0"/>
          <w:cols w:space="720" w:num="1"/>
        </w:sectPr>
      </w:pPr>
    </w:p>
    <w:p w14:paraId="49D8116B">
      <w:pPr>
        <w:pStyle w:val="2"/>
        <w:spacing w:before="68" w:line="219" w:lineRule="auto"/>
        <w:rPr>
          <w:sz w:val="20"/>
          <w:szCs w:val="20"/>
        </w:rPr>
      </w:pPr>
      <w:r>
        <w:rPr>
          <w:rFonts w:ascii="Times New Roman" w:hAnsi="Times New Roman" w:eastAsia="Times New Roman" w:cs="Times New Roman"/>
          <w:position w:val="-1"/>
          <w:sz w:val="20"/>
          <w:szCs w:val="20"/>
        </w:rPr>
        <w:t xml:space="preserve">230             </w:t>
      </w:r>
      <w:r>
        <w:rPr>
          <w:sz w:val="20"/>
          <w:szCs w:val="20"/>
        </w:rPr>
        <w:t>信息系统监理师教程(第2版)</w:t>
      </w:r>
    </w:p>
    <w:p w14:paraId="20A0653A">
      <w:pPr>
        <w:spacing w:line="323" w:lineRule="auto"/>
        <w:rPr>
          <w:rFonts w:ascii="Arial"/>
          <w:sz w:val="21"/>
        </w:rPr>
      </w:pPr>
    </w:p>
    <w:p w14:paraId="2E1D7378">
      <w:pPr>
        <w:pStyle w:val="2"/>
        <w:spacing w:before="65" w:line="287" w:lineRule="auto"/>
        <w:ind w:left="369" w:right="87"/>
        <w:jc w:val="both"/>
        <w:rPr>
          <w:sz w:val="20"/>
          <w:szCs w:val="20"/>
        </w:rPr>
      </w:pPr>
      <w:r>
        <w:rPr>
          <w:spacing w:val="3"/>
          <w:sz w:val="20"/>
          <w:szCs w:val="20"/>
        </w:rPr>
        <w:t>单位就要以总监理工程师和专业监理工程师为主，开始逐步进行监理工作的计划。在这期</w:t>
      </w:r>
      <w:r>
        <w:rPr>
          <w:spacing w:val="2"/>
          <w:sz w:val="20"/>
          <w:szCs w:val="20"/>
        </w:rPr>
        <w:t>间产</w:t>
      </w:r>
      <w:r>
        <w:rPr>
          <w:sz w:val="20"/>
          <w:szCs w:val="20"/>
        </w:rPr>
        <w:t xml:space="preserve"> </w:t>
      </w:r>
      <w:r>
        <w:rPr>
          <w:spacing w:val="3"/>
          <w:sz w:val="20"/>
          <w:szCs w:val="20"/>
        </w:rPr>
        <w:t>生的计划性文件主要包括监理大纲、监理规划和监理实施细则，它们将成为监理工程</w:t>
      </w:r>
      <w:r>
        <w:rPr>
          <w:spacing w:val="2"/>
          <w:sz w:val="20"/>
          <w:szCs w:val="20"/>
        </w:rPr>
        <w:t>师实施具</w:t>
      </w:r>
      <w:r>
        <w:rPr>
          <w:sz w:val="20"/>
          <w:szCs w:val="20"/>
        </w:rPr>
        <w:t xml:space="preserve"> </w:t>
      </w:r>
      <w:r>
        <w:rPr>
          <w:spacing w:val="-4"/>
          <w:sz w:val="20"/>
          <w:szCs w:val="20"/>
        </w:rPr>
        <w:t>体工作的重要指导文件。</w:t>
      </w:r>
    </w:p>
    <w:p w14:paraId="75036E3A">
      <w:pPr>
        <w:pStyle w:val="2"/>
        <w:spacing w:before="29" w:line="283" w:lineRule="auto"/>
        <w:ind w:left="369" w:right="72" w:firstLine="410"/>
        <w:rPr>
          <w:sz w:val="20"/>
          <w:szCs w:val="20"/>
        </w:rPr>
      </w:pPr>
      <w:r>
        <w:rPr>
          <w:spacing w:val="6"/>
          <w:sz w:val="20"/>
          <w:szCs w:val="20"/>
        </w:rPr>
        <w:t>(2)各阶段监理工作。根据监理及相关服务招标文件或委</w:t>
      </w:r>
      <w:r>
        <w:rPr>
          <w:spacing w:val="5"/>
          <w:sz w:val="20"/>
          <w:szCs w:val="20"/>
        </w:rPr>
        <w:t>托文件约定的工程类别和服务内</w:t>
      </w:r>
      <w:r>
        <w:rPr>
          <w:sz w:val="20"/>
          <w:szCs w:val="20"/>
        </w:rPr>
        <w:t xml:space="preserve"> </w:t>
      </w:r>
      <w:r>
        <w:rPr>
          <w:spacing w:val="-4"/>
          <w:sz w:val="20"/>
          <w:szCs w:val="20"/>
        </w:rPr>
        <w:t>容，对各阶段的监理工作进行描述。</w:t>
      </w:r>
    </w:p>
    <w:p w14:paraId="35A1B429">
      <w:pPr>
        <w:pStyle w:val="2"/>
        <w:spacing w:before="91" w:line="221" w:lineRule="auto"/>
        <w:ind w:left="782"/>
        <w:rPr>
          <w:rFonts w:ascii="黑体" w:hAnsi="黑体" w:eastAsia="黑体" w:cs="黑体"/>
          <w:sz w:val="20"/>
          <w:szCs w:val="20"/>
        </w:rPr>
      </w:pPr>
      <w:bookmarkStart w:id="607" w:name="bookmark592"/>
      <w:bookmarkEnd w:id="607"/>
      <w:r>
        <w:rPr>
          <w:b/>
          <w:bCs/>
          <w:color w:val="0074DB"/>
          <w:sz w:val="20"/>
          <w:szCs w:val="20"/>
        </w:rPr>
        <w:t>4.</w:t>
      </w:r>
      <w:r>
        <w:rPr>
          <w:rFonts w:ascii="黑体" w:hAnsi="黑体" w:eastAsia="黑体" w:cs="黑体"/>
          <w:b/>
          <w:bCs/>
          <w:color w:val="0074DB"/>
          <w:sz w:val="20"/>
          <w:szCs w:val="20"/>
        </w:rPr>
        <w:t>监理流程、成果和服务承诺</w:t>
      </w:r>
    </w:p>
    <w:p w14:paraId="3F892057">
      <w:pPr>
        <w:pStyle w:val="2"/>
        <w:spacing w:before="164" w:line="258" w:lineRule="auto"/>
        <w:ind w:left="369" w:right="92" w:firstLine="410"/>
        <w:rPr>
          <w:sz w:val="20"/>
          <w:szCs w:val="20"/>
        </w:rPr>
      </w:pPr>
      <w:r>
        <w:rPr>
          <w:spacing w:val="5"/>
          <w:sz w:val="20"/>
          <w:szCs w:val="20"/>
        </w:rPr>
        <w:t>(1)监理流程。包括展开监理信息搜集的步骤、监理意见的发布程序、监理会议召开的程</w:t>
      </w:r>
      <w:r>
        <w:rPr>
          <w:spacing w:val="6"/>
          <w:sz w:val="20"/>
          <w:szCs w:val="20"/>
        </w:rPr>
        <w:t xml:space="preserve"> </w:t>
      </w:r>
      <w:r>
        <w:rPr>
          <w:spacing w:val="-1"/>
          <w:sz w:val="20"/>
          <w:szCs w:val="20"/>
        </w:rPr>
        <w:t>序等，监理流程应符合监理规范等相关标准对</w:t>
      </w:r>
      <w:r>
        <w:rPr>
          <w:spacing w:val="-2"/>
          <w:sz w:val="20"/>
          <w:szCs w:val="20"/>
        </w:rPr>
        <w:t>监理工作的要求。</w:t>
      </w:r>
    </w:p>
    <w:p w14:paraId="7D4F56E4">
      <w:pPr>
        <w:pStyle w:val="2"/>
        <w:spacing w:before="72" w:line="219" w:lineRule="auto"/>
        <w:ind w:left="780"/>
        <w:rPr>
          <w:sz w:val="20"/>
          <w:szCs w:val="20"/>
        </w:rPr>
      </w:pPr>
      <w:r>
        <w:rPr>
          <w:spacing w:val="4"/>
          <w:sz w:val="20"/>
          <w:szCs w:val="20"/>
        </w:rPr>
        <w:t>(2)监理成果。交付物要列出清单。</w:t>
      </w:r>
    </w:p>
    <w:p w14:paraId="19441861">
      <w:pPr>
        <w:pStyle w:val="2"/>
        <w:spacing w:before="93" w:line="252" w:lineRule="auto"/>
        <w:ind w:left="369" w:firstLine="410"/>
        <w:rPr>
          <w:sz w:val="20"/>
          <w:szCs w:val="20"/>
        </w:rPr>
      </w:pPr>
      <w:r>
        <w:rPr>
          <w:spacing w:val="8"/>
          <w:sz w:val="20"/>
          <w:szCs w:val="20"/>
        </w:rPr>
        <w:t>(3)服务承诺。根据工程招标文件与监理</w:t>
      </w:r>
      <w:r>
        <w:rPr>
          <w:spacing w:val="7"/>
          <w:sz w:val="20"/>
          <w:szCs w:val="20"/>
        </w:rPr>
        <w:t>单位自身实力，对监理及相关服务提出可实施、</w:t>
      </w:r>
      <w:r>
        <w:rPr>
          <w:sz w:val="20"/>
          <w:szCs w:val="20"/>
        </w:rPr>
        <w:t xml:space="preserve"> </w:t>
      </w:r>
      <w:r>
        <w:rPr>
          <w:spacing w:val="-3"/>
          <w:sz w:val="20"/>
          <w:szCs w:val="20"/>
        </w:rPr>
        <w:t>可度量的服务承诺，严禁虚假承诺。</w:t>
      </w:r>
    </w:p>
    <w:p w14:paraId="2D046005">
      <w:pPr>
        <w:spacing w:line="453" w:lineRule="auto"/>
        <w:rPr>
          <w:rFonts w:ascii="Arial"/>
          <w:sz w:val="21"/>
        </w:rPr>
      </w:pPr>
    </w:p>
    <w:p w14:paraId="13C69756">
      <w:pPr>
        <w:pStyle w:val="2"/>
        <w:spacing w:before="66" w:line="223" w:lineRule="auto"/>
        <w:ind w:left="372"/>
        <w:rPr>
          <w:rFonts w:ascii="黑体" w:hAnsi="黑体" w:eastAsia="黑体" w:cs="黑体"/>
          <w:sz w:val="20"/>
          <w:szCs w:val="20"/>
        </w:rPr>
      </w:pPr>
      <w:r>
        <w:rPr>
          <w:b/>
          <w:bCs/>
          <w:color w:val="006BCA"/>
          <w:spacing w:val="-5"/>
          <w:sz w:val="20"/>
          <w:szCs w:val="20"/>
        </w:rPr>
        <w:t>9.3</w:t>
      </w:r>
      <w:r>
        <w:rPr>
          <w:color w:val="006BCA"/>
          <w:spacing w:val="-5"/>
          <w:sz w:val="20"/>
          <w:szCs w:val="20"/>
        </w:rPr>
        <w:t xml:space="preserve">    </w:t>
      </w:r>
      <w:r>
        <w:rPr>
          <w:rFonts w:ascii="黑体" w:hAnsi="黑体" w:eastAsia="黑体" w:cs="黑体"/>
          <w:b/>
          <w:bCs/>
          <w:color w:val="006BCA"/>
          <w:spacing w:val="-5"/>
          <w:sz w:val="20"/>
          <w:szCs w:val="20"/>
        </w:rPr>
        <w:t>监</w:t>
      </w:r>
      <w:r>
        <w:rPr>
          <w:rFonts w:ascii="黑体" w:hAnsi="黑体" w:eastAsia="黑体" w:cs="黑体"/>
          <w:color w:val="006BCA"/>
          <w:spacing w:val="29"/>
          <w:sz w:val="20"/>
          <w:szCs w:val="20"/>
        </w:rPr>
        <w:t xml:space="preserve"> </w:t>
      </w:r>
      <w:r>
        <w:rPr>
          <w:rFonts w:ascii="黑体" w:hAnsi="黑体" w:eastAsia="黑体" w:cs="黑体"/>
          <w:b/>
          <w:bCs/>
          <w:color w:val="006BCA"/>
          <w:spacing w:val="-5"/>
          <w:sz w:val="20"/>
          <w:szCs w:val="20"/>
        </w:rPr>
        <w:t>理</w:t>
      </w:r>
      <w:r>
        <w:rPr>
          <w:rFonts w:ascii="黑体" w:hAnsi="黑体" w:eastAsia="黑体" w:cs="黑体"/>
          <w:color w:val="006BCA"/>
          <w:spacing w:val="20"/>
          <w:sz w:val="20"/>
          <w:szCs w:val="20"/>
        </w:rPr>
        <w:t xml:space="preserve"> </w:t>
      </w:r>
      <w:r>
        <w:rPr>
          <w:rFonts w:ascii="黑体" w:hAnsi="黑体" w:eastAsia="黑体" w:cs="黑体"/>
          <w:b/>
          <w:bCs/>
          <w:color w:val="006BCA"/>
          <w:spacing w:val="-5"/>
          <w:sz w:val="20"/>
          <w:szCs w:val="20"/>
        </w:rPr>
        <w:t>规</w:t>
      </w:r>
      <w:r>
        <w:rPr>
          <w:rFonts w:ascii="黑体" w:hAnsi="黑体" w:eastAsia="黑体" w:cs="黑体"/>
          <w:color w:val="006BCA"/>
          <w:spacing w:val="20"/>
          <w:sz w:val="20"/>
          <w:szCs w:val="20"/>
        </w:rPr>
        <w:t xml:space="preserve"> </w:t>
      </w:r>
      <w:r>
        <w:rPr>
          <w:rFonts w:ascii="黑体" w:hAnsi="黑体" w:eastAsia="黑体" w:cs="黑体"/>
          <w:b/>
          <w:bCs/>
          <w:color w:val="006BCA"/>
          <w:spacing w:val="-5"/>
          <w:sz w:val="20"/>
          <w:szCs w:val="20"/>
        </w:rPr>
        <w:t>划</w:t>
      </w:r>
    </w:p>
    <w:p w14:paraId="5C77E056">
      <w:pPr>
        <w:pStyle w:val="2"/>
        <w:spacing w:before="289" w:line="219" w:lineRule="auto"/>
        <w:ind w:left="780"/>
        <w:rPr>
          <w:sz w:val="20"/>
          <w:szCs w:val="20"/>
        </w:rPr>
      </w:pPr>
      <w:r>
        <w:rPr>
          <w:spacing w:val="-1"/>
          <w:sz w:val="20"/>
          <w:szCs w:val="20"/>
        </w:rPr>
        <w:t>监理规划将监理合同中规定的责任和任务具体</w:t>
      </w:r>
      <w:r>
        <w:rPr>
          <w:spacing w:val="-2"/>
          <w:sz w:val="20"/>
          <w:szCs w:val="20"/>
        </w:rPr>
        <w:t>化，是整个项目开展监理工作的依据和基础。</w:t>
      </w:r>
    </w:p>
    <w:p w14:paraId="10CD1CA0">
      <w:pPr>
        <w:pStyle w:val="2"/>
        <w:spacing w:before="214" w:line="220" w:lineRule="auto"/>
        <w:ind w:left="372"/>
        <w:rPr>
          <w:sz w:val="25"/>
          <w:szCs w:val="25"/>
        </w:rPr>
      </w:pPr>
      <w:r>
        <w:rPr>
          <w:b/>
          <w:bCs/>
          <w:color w:val="0078E1"/>
          <w:spacing w:val="-17"/>
          <w:sz w:val="25"/>
          <w:szCs w:val="25"/>
        </w:rPr>
        <w:t>9.3.1</w:t>
      </w:r>
      <w:r>
        <w:rPr>
          <w:color w:val="0078E1"/>
          <w:spacing w:val="-17"/>
          <w:sz w:val="25"/>
          <w:szCs w:val="25"/>
        </w:rPr>
        <w:t xml:space="preserve">  </w:t>
      </w:r>
      <w:r>
        <w:rPr>
          <w:b/>
          <w:bCs/>
          <w:color w:val="0078E1"/>
          <w:spacing w:val="-17"/>
          <w:sz w:val="25"/>
          <w:szCs w:val="25"/>
        </w:rPr>
        <w:t>监理规划的作用</w:t>
      </w:r>
    </w:p>
    <w:p w14:paraId="0B10341A">
      <w:pPr>
        <w:pStyle w:val="2"/>
        <w:spacing w:before="280" w:line="223" w:lineRule="auto"/>
        <w:ind w:left="782"/>
        <w:rPr>
          <w:rFonts w:ascii="黑体" w:hAnsi="黑体" w:eastAsia="黑体" w:cs="黑体"/>
          <w:sz w:val="20"/>
          <w:szCs w:val="20"/>
        </w:rPr>
      </w:pPr>
      <w:r>
        <w:rPr>
          <w:b/>
          <w:bCs/>
          <w:color w:val="0078D5"/>
          <w:spacing w:val="-6"/>
          <w:sz w:val="20"/>
          <w:szCs w:val="20"/>
        </w:rPr>
        <w:t>1.</w:t>
      </w:r>
      <w:r>
        <w:rPr>
          <w:rFonts w:ascii="黑体" w:hAnsi="黑体" w:eastAsia="黑体" w:cs="黑体"/>
          <w:b/>
          <w:bCs/>
          <w:color w:val="0078D5"/>
          <w:spacing w:val="-6"/>
          <w:sz w:val="20"/>
          <w:szCs w:val="20"/>
        </w:rPr>
        <w:t>监理规划的目的</w:t>
      </w:r>
    </w:p>
    <w:p w14:paraId="0571E469">
      <w:pPr>
        <w:pStyle w:val="2"/>
        <w:spacing w:before="132" w:line="283" w:lineRule="auto"/>
        <w:ind w:left="369" w:right="20" w:firstLine="410"/>
        <w:jc w:val="both"/>
        <w:rPr>
          <w:sz w:val="20"/>
          <w:szCs w:val="20"/>
        </w:rPr>
      </w:pPr>
      <w:r>
        <w:rPr>
          <w:spacing w:val="3"/>
          <w:sz w:val="20"/>
          <w:szCs w:val="20"/>
        </w:rPr>
        <w:t>信息系统工程监理规划是对工程项目实施监理的工作计划，也是监理单位为完成工程建设</w:t>
      </w:r>
      <w:r>
        <w:rPr>
          <w:spacing w:val="10"/>
          <w:sz w:val="20"/>
          <w:szCs w:val="20"/>
        </w:rPr>
        <w:t xml:space="preserve"> </w:t>
      </w:r>
      <w:r>
        <w:rPr>
          <w:spacing w:val="3"/>
          <w:sz w:val="20"/>
          <w:szCs w:val="20"/>
        </w:rPr>
        <w:t>管理全过程的监理工作任务所编制的一种指导性文件。在信息系统工程监理规划中，应该明确</w:t>
      </w:r>
      <w:r>
        <w:rPr>
          <w:spacing w:val="1"/>
          <w:sz w:val="20"/>
          <w:szCs w:val="20"/>
        </w:rPr>
        <w:t xml:space="preserve"> </w:t>
      </w:r>
      <w:r>
        <w:rPr>
          <w:spacing w:val="5"/>
          <w:sz w:val="20"/>
          <w:szCs w:val="20"/>
        </w:rPr>
        <w:t>规定监理的指导思想、计划目标、计划实施进度、计划实施的保证措施(包括组织措施、技术</w:t>
      </w:r>
      <w:r>
        <w:rPr>
          <w:spacing w:val="13"/>
          <w:sz w:val="20"/>
          <w:szCs w:val="20"/>
        </w:rPr>
        <w:t xml:space="preserve"> </w:t>
      </w:r>
      <w:r>
        <w:rPr>
          <w:spacing w:val="5"/>
          <w:sz w:val="20"/>
          <w:szCs w:val="20"/>
        </w:rPr>
        <w:t>措施和管理措施等)等一系列需要统筹规划的问题。因此，监理单位编制监理规划的目的就是</w:t>
      </w:r>
      <w:r>
        <w:rPr>
          <w:spacing w:val="14"/>
          <w:sz w:val="20"/>
          <w:szCs w:val="20"/>
        </w:rPr>
        <w:t xml:space="preserve"> </w:t>
      </w:r>
      <w:r>
        <w:rPr>
          <w:spacing w:val="5"/>
          <w:sz w:val="20"/>
          <w:szCs w:val="20"/>
        </w:rPr>
        <w:t>把信息系统工程建设项目监理活动的实施过程纳入规范化</w:t>
      </w:r>
      <w:r>
        <w:rPr>
          <w:spacing w:val="4"/>
          <w:sz w:val="20"/>
          <w:szCs w:val="20"/>
        </w:rPr>
        <w:t>、系统化、标准化的科学管理范畴，</w:t>
      </w:r>
      <w:r>
        <w:rPr>
          <w:sz w:val="20"/>
          <w:szCs w:val="20"/>
        </w:rPr>
        <w:t xml:space="preserve"> 以确保监理任务完成和监理目标的最终实现。监理单位应该高度重视</w:t>
      </w:r>
      <w:r>
        <w:rPr>
          <w:spacing w:val="-1"/>
          <w:sz w:val="20"/>
          <w:szCs w:val="20"/>
        </w:rPr>
        <w:t>项目监理规划的编制工作。</w:t>
      </w:r>
      <w:r>
        <w:rPr>
          <w:sz w:val="20"/>
          <w:szCs w:val="20"/>
        </w:rPr>
        <w:t xml:space="preserve"> </w:t>
      </w:r>
      <w:r>
        <w:rPr>
          <w:spacing w:val="3"/>
          <w:sz w:val="20"/>
          <w:szCs w:val="20"/>
        </w:rPr>
        <w:t>一份完善、有效、高质量的项目监理规划可以充分地显示监理单位的组织管理能力，很好地体</w:t>
      </w:r>
      <w:r>
        <w:rPr>
          <w:spacing w:val="14"/>
          <w:sz w:val="20"/>
          <w:szCs w:val="20"/>
        </w:rPr>
        <w:t xml:space="preserve"> </w:t>
      </w:r>
      <w:r>
        <w:rPr>
          <w:spacing w:val="3"/>
          <w:sz w:val="20"/>
          <w:szCs w:val="20"/>
        </w:rPr>
        <w:t>现监理单位的业务素质，同时也为以后监理任务的顺利完成打下一个良好的基础。信</w:t>
      </w:r>
      <w:r>
        <w:rPr>
          <w:spacing w:val="2"/>
          <w:sz w:val="20"/>
          <w:szCs w:val="20"/>
        </w:rPr>
        <w:t>息系统工</w:t>
      </w:r>
      <w:r>
        <w:rPr>
          <w:sz w:val="20"/>
          <w:szCs w:val="20"/>
        </w:rPr>
        <w:t xml:space="preserve"> </w:t>
      </w:r>
      <w:r>
        <w:rPr>
          <w:spacing w:val="-1"/>
          <w:sz w:val="20"/>
          <w:szCs w:val="20"/>
        </w:rPr>
        <w:t>程监理规划在总监理工程师的主持下编制，并由业主单位认可，经总监理工程师签署后执行。</w:t>
      </w:r>
    </w:p>
    <w:p w14:paraId="3FAFF8B0">
      <w:pPr>
        <w:pStyle w:val="2"/>
        <w:spacing w:before="69" w:line="260" w:lineRule="auto"/>
        <w:ind w:left="369" w:right="90" w:firstLine="410"/>
        <w:rPr>
          <w:sz w:val="20"/>
          <w:szCs w:val="20"/>
        </w:rPr>
      </w:pPr>
      <w:r>
        <w:rPr>
          <w:spacing w:val="3"/>
          <w:sz w:val="20"/>
          <w:szCs w:val="20"/>
        </w:rPr>
        <w:t>监理规划是整个项目开展监理工作的依据和基础。监理规划相当于一</w:t>
      </w:r>
      <w:r>
        <w:rPr>
          <w:spacing w:val="2"/>
          <w:sz w:val="20"/>
          <w:szCs w:val="20"/>
        </w:rPr>
        <w:t>个监理项目的“初步</w:t>
      </w:r>
      <w:r>
        <w:rPr>
          <w:sz w:val="20"/>
          <w:szCs w:val="20"/>
        </w:rPr>
        <w:t xml:space="preserve"> </w:t>
      </w:r>
      <w:r>
        <w:rPr>
          <w:spacing w:val="1"/>
          <w:sz w:val="20"/>
          <w:szCs w:val="20"/>
        </w:rPr>
        <w:t>设计",而监理实施细则相当于具体的“实</w:t>
      </w:r>
      <w:r>
        <w:rPr>
          <w:sz w:val="20"/>
          <w:szCs w:val="20"/>
        </w:rPr>
        <w:t>施图设计”。</w:t>
      </w:r>
    </w:p>
    <w:p w14:paraId="0169A2E5">
      <w:pPr>
        <w:pStyle w:val="2"/>
        <w:spacing w:before="58" w:line="273" w:lineRule="auto"/>
        <w:ind w:left="369" w:right="72" w:firstLine="410"/>
        <w:rPr>
          <w:sz w:val="20"/>
          <w:szCs w:val="20"/>
        </w:rPr>
      </w:pPr>
      <w:r>
        <w:rPr>
          <w:spacing w:val="3"/>
          <w:sz w:val="20"/>
          <w:szCs w:val="20"/>
        </w:rPr>
        <w:t>监理单位在接受监理任务、开展监理投标和监理合同谈判时，应该根据业主单位对信息系</w:t>
      </w:r>
      <w:r>
        <w:rPr>
          <w:spacing w:val="1"/>
          <w:sz w:val="20"/>
          <w:szCs w:val="20"/>
        </w:rPr>
        <w:t xml:space="preserve"> </w:t>
      </w:r>
      <w:r>
        <w:rPr>
          <w:spacing w:val="3"/>
          <w:sz w:val="20"/>
          <w:szCs w:val="20"/>
        </w:rPr>
        <w:t>统工程监理招标的要求和意图，向业主单位提供监理大纲，使业主单位通过</w:t>
      </w:r>
      <w:r>
        <w:rPr>
          <w:spacing w:val="2"/>
          <w:sz w:val="20"/>
          <w:szCs w:val="20"/>
        </w:rPr>
        <w:t>监理大纲了解监理</w:t>
      </w:r>
      <w:r>
        <w:rPr>
          <w:sz w:val="20"/>
          <w:szCs w:val="20"/>
        </w:rPr>
        <w:t xml:space="preserve"> </w:t>
      </w:r>
      <w:r>
        <w:rPr>
          <w:spacing w:val="3"/>
          <w:sz w:val="20"/>
          <w:szCs w:val="20"/>
        </w:rPr>
        <w:t>单位对该项目监理的行动纲要，增强业主单位对监理单位从事项目监理的信任感</w:t>
      </w:r>
      <w:r>
        <w:rPr>
          <w:spacing w:val="2"/>
          <w:sz w:val="20"/>
          <w:szCs w:val="20"/>
        </w:rPr>
        <w:t>和认同感，促</w:t>
      </w:r>
      <w:r>
        <w:rPr>
          <w:sz w:val="20"/>
          <w:szCs w:val="20"/>
        </w:rPr>
        <w:t xml:space="preserve"> </w:t>
      </w:r>
      <w:r>
        <w:rPr>
          <w:spacing w:val="3"/>
          <w:sz w:val="20"/>
          <w:szCs w:val="20"/>
        </w:rPr>
        <w:t>成双方合同洽谈和合同签约的成功。在合同签订后，监理单位应根据合同规</w:t>
      </w:r>
      <w:r>
        <w:rPr>
          <w:spacing w:val="2"/>
          <w:sz w:val="20"/>
          <w:szCs w:val="20"/>
        </w:rPr>
        <w:t>定和要求，对监理</w:t>
      </w:r>
      <w:r>
        <w:rPr>
          <w:sz w:val="20"/>
          <w:szCs w:val="20"/>
        </w:rPr>
        <w:t xml:space="preserve"> </w:t>
      </w:r>
      <w:r>
        <w:rPr>
          <w:spacing w:val="3"/>
          <w:sz w:val="20"/>
          <w:szCs w:val="20"/>
        </w:rPr>
        <w:t>大纲进一步细化，并向业主单位提交监理规划，作为监理单位对监理项目的行动指南，也可以</w:t>
      </w:r>
      <w:r>
        <w:rPr>
          <w:spacing w:val="4"/>
          <w:sz w:val="20"/>
          <w:szCs w:val="20"/>
        </w:rPr>
        <w:t xml:space="preserve"> </w:t>
      </w:r>
      <w:r>
        <w:rPr>
          <w:spacing w:val="3"/>
          <w:sz w:val="20"/>
          <w:szCs w:val="20"/>
        </w:rPr>
        <w:t>作为业主单位考核监理单位对监理合同实际执行情况的重要依据。因此，监理规划在监理单位</w:t>
      </w:r>
      <w:r>
        <w:rPr>
          <w:spacing w:val="13"/>
          <w:sz w:val="20"/>
          <w:szCs w:val="20"/>
        </w:rPr>
        <w:t xml:space="preserve"> </w:t>
      </w:r>
      <w:r>
        <w:rPr>
          <w:spacing w:val="-3"/>
          <w:sz w:val="20"/>
          <w:szCs w:val="20"/>
        </w:rPr>
        <w:t>经营管理活动中有着重大的现实意义。</w:t>
      </w:r>
    </w:p>
    <w:p w14:paraId="5EDCCFB4">
      <w:pPr>
        <w:spacing w:line="273" w:lineRule="auto"/>
        <w:rPr>
          <w:sz w:val="20"/>
          <w:szCs w:val="20"/>
        </w:rPr>
        <w:sectPr>
          <w:pgSz w:w="10300" w:h="13420"/>
          <w:pgMar w:top="400" w:right="1039" w:bottom="400" w:left="479" w:header="0" w:footer="0" w:gutter="0"/>
          <w:cols w:space="720" w:num="1"/>
        </w:sectPr>
      </w:pPr>
    </w:p>
    <w:p w14:paraId="0F487FB5">
      <w:pPr>
        <w:pStyle w:val="2"/>
        <w:jc w:val="right"/>
        <w:rPr>
          <w:sz w:val="17"/>
          <w:szCs w:val="17"/>
        </w:rPr>
      </w:pPr>
      <w:r>
        <w:rPr>
          <w:spacing w:val="-5"/>
          <w:sz w:val="20"/>
          <w:szCs w:val="20"/>
        </w:rPr>
        <w:t>第9章 监理工作的组织和规划</w:t>
      </w:r>
      <w:r>
        <w:rPr>
          <w:spacing w:val="19"/>
          <w:sz w:val="20"/>
          <w:szCs w:val="20"/>
        </w:rPr>
        <w:t xml:space="preserve"> </w:t>
      </w:r>
      <w:r>
        <w:rPr>
          <w:position w:val="-12"/>
          <w:sz w:val="20"/>
          <w:szCs w:val="20"/>
        </w:rPr>
        <w:drawing>
          <wp:inline distT="0" distB="0" distL="0" distR="0">
            <wp:extent cx="317500" cy="24765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62"/>
                    <a:stretch>
                      <a:fillRect/>
                    </a:stretch>
                  </pic:blipFill>
                  <pic:spPr>
                    <a:xfrm>
                      <a:off x="0" y="0"/>
                      <a:ext cx="317512" cy="247723"/>
                    </a:xfrm>
                    <a:prstGeom prst="rect">
                      <a:avLst/>
                    </a:prstGeom>
                  </pic:spPr>
                </pic:pic>
              </a:graphicData>
            </a:graphic>
          </wp:inline>
        </w:drawing>
      </w:r>
      <w:r>
        <w:rPr>
          <w:rFonts w:ascii="Times New Roman" w:hAnsi="Times New Roman" w:eastAsia="Times New Roman" w:cs="Times New Roman"/>
          <w:spacing w:val="-5"/>
          <w:position w:val="1"/>
          <w:sz w:val="17"/>
          <w:szCs w:val="17"/>
        </w:rPr>
        <w:t xml:space="preserve">231    </w:t>
      </w:r>
      <w:r>
        <w:rPr>
          <w:position w:val="-8"/>
          <w:sz w:val="17"/>
          <w:szCs w:val="17"/>
        </w:rPr>
        <w:drawing>
          <wp:inline distT="0" distB="0" distL="0" distR="0">
            <wp:extent cx="278765" cy="1905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63"/>
                    <a:stretch>
                      <a:fillRect/>
                    </a:stretch>
                  </pic:blipFill>
                  <pic:spPr>
                    <a:xfrm>
                      <a:off x="0" y="0"/>
                      <a:ext cx="279389" cy="190504"/>
                    </a:xfrm>
                    <a:prstGeom prst="rect">
                      <a:avLst/>
                    </a:prstGeom>
                  </pic:spPr>
                </pic:pic>
              </a:graphicData>
            </a:graphic>
          </wp:inline>
        </w:drawing>
      </w:r>
    </w:p>
    <w:p w14:paraId="6E765AAA">
      <w:pPr>
        <w:spacing w:line="257" w:lineRule="auto"/>
        <w:rPr>
          <w:rFonts w:ascii="Arial"/>
          <w:sz w:val="21"/>
        </w:rPr>
      </w:pPr>
    </w:p>
    <w:p w14:paraId="622F8D8C">
      <w:pPr>
        <w:pStyle w:val="2"/>
        <w:spacing w:before="65" w:line="222" w:lineRule="auto"/>
        <w:ind w:left="412"/>
        <w:rPr>
          <w:rFonts w:ascii="黑体" w:hAnsi="黑体" w:eastAsia="黑体" w:cs="黑体"/>
          <w:sz w:val="20"/>
          <w:szCs w:val="20"/>
        </w:rPr>
      </w:pPr>
      <w:r>
        <w:rPr>
          <w:b/>
          <w:bCs/>
          <w:color w:val="0059E0"/>
          <w:sz w:val="20"/>
          <w:szCs w:val="20"/>
        </w:rPr>
        <w:t>2.</w:t>
      </w:r>
      <w:r>
        <w:rPr>
          <w:rFonts w:ascii="黑体" w:hAnsi="黑体" w:eastAsia="黑体" w:cs="黑体"/>
          <w:b/>
          <w:bCs/>
          <w:color w:val="0059E0"/>
          <w:sz w:val="20"/>
          <w:szCs w:val="20"/>
        </w:rPr>
        <w:t>监理规划的作用</w:t>
      </w:r>
    </w:p>
    <w:p w14:paraId="5B8B9D8E">
      <w:pPr>
        <w:pStyle w:val="2"/>
        <w:spacing w:before="142" w:line="219" w:lineRule="auto"/>
        <w:ind w:left="409"/>
        <w:rPr>
          <w:sz w:val="20"/>
          <w:szCs w:val="20"/>
        </w:rPr>
      </w:pPr>
      <w:r>
        <w:rPr>
          <w:spacing w:val="-4"/>
          <w:sz w:val="20"/>
          <w:szCs w:val="20"/>
        </w:rPr>
        <w:t>监理规划的作用体现在以下几点：</w:t>
      </w:r>
    </w:p>
    <w:p w14:paraId="043296A2">
      <w:pPr>
        <w:pStyle w:val="2"/>
        <w:spacing w:before="82" w:line="219" w:lineRule="auto"/>
        <w:ind w:left="409"/>
        <w:rPr>
          <w:sz w:val="20"/>
          <w:szCs w:val="20"/>
        </w:rPr>
      </w:pPr>
      <w:r>
        <w:rPr>
          <w:spacing w:val="2"/>
          <w:sz w:val="20"/>
          <w:szCs w:val="20"/>
        </w:rPr>
        <w:t>(1)监理规划是监理机构职能的具体体现。</w:t>
      </w:r>
    </w:p>
    <w:p w14:paraId="52A0ECFB">
      <w:pPr>
        <w:pStyle w:val="2"/>
        <w:spacing w:before="60" w:line="289" w:lineRule="auto"/>
        <w:ind w:right="834" w:firstLine="409"/>
        <w:rPr>
          <w:sz w:val="17"/>
          <w:szCs w:val="17"/>
        </w:rPr>
      </w:pPr>
      <w:r>
        <w:rPr>
          <w:spacing w:val="-1"/>
          <w:sz w:val="20"/>
          <w:szCs w:val="20"/>
        </w:rPr>
        <w:t>工程监理是一项高度复杂的管理系统工程活动。监理机</w:t>
      </w:r>
      <w:r>
        <w:rPr>
          <w:spacing w:val="-2"/>
          <w:sz w:val="20"/>
          <w:szCs w:val="20"/>
        </w:rPr>
        <w:t>构的职能几乎包含全部的管理职能，</w:t>
      </w:r>
      <w:r>
        <w:rPr>
          <w:sz w:val="20"/>
          <w:szCs w:val="20"/>
        </w:rPr>
        <w:t xml:space="preserve"> </w:t>
      </w:r>
      <w:r>
        <w:rPr>
          <w:spacing w:val="-2"/>
          <w:sz w:val="20"/>
          <w:szCs w:val="20"/>
        </w:rPr>
        <w:t>即计划与决策、组织与指挥、控制与协调、教育与激励等。计划是开展监理工作的首要职能，是</w:t>
      </w:r>
      <w:r>
        <w:rPr>
          <w:spacing w:val="3"/>
          <w:sz w:val="20"/>
          <w:szCs w:val="20"/>
        </w:rPr>
        <w:t xml:space="preserve"> </w:t>
      </w:r>
      <w:r>
        <w:rPr>
          <w:spacing w:val="-2"/>
          <w:sz w:val="20"/>
          <w:szCs w:val="20"/>
        </w:rPr>
        <w:t>保证监理行为的有序性的关键，也是实现信息系统工程监理目标和完成监理任务的重要手段。监</w:t>
      </w:r>
      <w:r>
        <w:rPr>
          <w:spacing w:val="1"/>
          <w:sz w:val="20"/>
          <w:szCs w:val="20"/>
        </w:rPr>
        <w:t xml:space="preserve"> </w:t>
      </w:r>
      <w:r>
        <w:rPr>
          <w:spacing w:val="3"/>
          <w:sz w:val="20"/>
          <w:szCs w:val="20"/>
        </w:rPr>
        <w:t>理机构的职能不仅包含监理计划职能，也包含以计划职能为中心的其他监理职能，如组织、指</w:t>
      </w:r>
      <w:r>
        <w:rPr>
          <w:sz w:val="20"/>
          <w:szCs w:val="20"/>
        </w:rPr>
        <w:t xml:space="preserve"> </w:t>
      </w:r>
      <w:r>
        <w:rPr>
          <w:spacing w:val="8"/>
          <w:sz w:val="20"/>
          <w:szCs w:val="20"/>
        </w:rPr>
        <w:t>挥、决策、控制、协调、教育及激励等管理职能。因此，监理规划是对监理机构职能</w:t>
      </w:r>
      <w:r>
        <w:rPr>
          <w:spacing w:val="7"/>
          <w:sz w:val="20"/>
          <w:szCs w:val="20"/>
        </w:rPr>
        <w:t>的具体</w:t>
      </w:r>
      <w:r>
        <w:rPr>
          <w:sz w:val="20"/>
          <w:szCs w:val="20"/>
        </w:rPr>
        <w:t xml:space="preserve"> </w:t>
      </w:r>
      <w:r>
        <w:rPr>
          <w:spacing w:val="-5"/>
          <w:sz w:val="17"/>
          <w:szCs w:val="17"/>
        </w:rPr>
        <w:t>描</w:t>
      </w:r>
      <w:r>
        <w:rPr>
          <w:spacing w:val="-25"/>
          <w:sz w:val="17"/>
          <w:szCs w:val="17"/>
        </w:rPr>
        <w:t xml:space="preserve"> </w:t>
      </w:r>
      <w:r>
        <w:rPr>
          <w:spacing w:val="-5"/>
          <w:sz w:val="17"/>
          <w:szCs w:val="17"/>
        </w:rPr>
        <w:t>述</w:t>
      </w:r>
      <w:r>
        <w:rPr>
          <w:spacing w:val="-32"/>
          <w:sz w:val="17"/>
          <w:szCs w:val="17"/>
        </w:rPr>
        <w:t xml:space="preserve"> </w:t>
      </w:r>
      <w:r>
        <w:rPr>
          <w:spacing w:val="-5"/>
          <w:sz w:val="17"/>
          <w:szCs w:val="17"/>
        </w:rPr>
        <w:t>。</w:t>
      </w:r>
    </w:p>
    <w:p w14:paraId="16A15C27">
      <w:pPr>
        <w:pStyle w:val="2"/>
        <w:spacing w:before="70" w:line="219" w:lineRule="auto"/>
        <w:ind w:left="409"/>
        <w:rPr>
          <w:sz w:val="20"/>
          <w:szCs w:val="20"/>
        </w:rPr>
      </w:pPr>
      <w:r>
        <w:rPr>
          <w:spacing w:val="2"/>
          <w:sz w:val="20"/>
          <w:szCs w:val="20"/>
        </w:rPr>
        <w:t>(2)监理规划是指导监理机构全面开展工作的纲领性文件。</w:t>
      </w:r>
    </w:p>
    <w:p w14:paraId="144FEF10">
      <w:pPr>
        <w:pStyle w:val="2"/>
        <w:spacing w:before="75" w:line="283" w:lineRule="auto"/>
        <w:ind w:right="820" w:firstLine="409"/>
        <w:rPr>
          <w:sz w:val="20"/>
          <w:szCs w:val="20"/>
        </w:rPr>
      </w:pPr>
      <w:r>
        <w:rPr>
          <w:spacing w:val="3"/>
          <w:sz w:val="20"/>
          <w:szCs w:val="20"/>
        </w:rPr>
        <w:t>信息系统工程监理的中心任务，是协助信息系统工程的业主单位</w:t>
      </w:r>
      <w:r>
        <w:rPr>
          <w:spacing w:val="2"/>
          <w:sz w:val="20"/>
          <w:szCs w:val="20"/>
        </w:rPr>
        <w:t>实现监理的目标。而实现</w:t>
      </w:r>
      <w:r>
        <w:rPr>
          <w:sz w:val="20"/>
          <w:szCs w:val="20"/>
        </w:rPr>
        <w:t xml:space="preserve"> </w:t>
      </w:r>
      <w:r>
        <w:rPr>
          <w:spacing w:val="4"/>
          <w:sz w:val="20"/>
          <w:szCs w:val="20"/>
        </w:rPr>
        <w:t xml:space="preserve">监理目标，需要制订计划、建立组织、配备人员，并进行有效的指导。在实施监理的过程中， </w:t>
      </w:r>
      <w:r>
        <w:rPr>
          <w:spacing w:val="3"/>
          <w:sz w:val="20"/>
          <w:szCs w:val="20"/>
        </w:rPr>
        <w:t>监理单位要集中精力做好目标控制工作。但如果不能事先对计划、组织、人员</w:t>
      </w:r>
      <w:r>
        <w:rPr>
          <w:spacing w:val="2"/>
          <w:sz w:val="20"/>
          <w:szCs w:val="20"/>
        </w:rPr>
        <w:t>配备、制度建立</w:t>
      </w:r>
      <w:r>
        <w:rPr>
          <w:sz w:val="20"/>
          <w:szCs w:val="20"/>
        </w:rPr>
        <w:t xml:space="preserve"> </w:t>
      </w:r>
      <w:r>
        <w:rPr>
          <w:spacing w:val="3"/>
          <w:sz w:val="20"/>
          <w:szCs w:val="20"/>
        </w:rPr>
        <w:t>等工作进行科学的安排，就很难实现对目标的有效控制。因此，监理规划需要对监理</w:t>
      </w:r>
      <w:r>
        <w:rPr>
          <w:spacing w:val="2"/>
          <w:sz w:val="20"/>
          <w:szCs w:val="20"/>
        </w:rPr>
        <w:t>机构开展</w:t>
      </w:r>
      <w:r>
        <w:rPr>
          <w:sz w:val="20"/>
          <w:szCs w:val="20"/>
        </w:rPr>
        <w:t xml:space="preserve"> </w:t>
      </w:r>
      <w:r>
        <w:rPr>
          <w:spacing w:val="3"/>
          <w:sz w:val="20"/>
          <w:szCs w:val="20"/>
        </w:rPr>
        <w:t>的各项监理工作做出全面、系统的组织和安排。具体包括确定监理目标，制订</w:t>
      </w:r>
      <w:r>
        <w:rPr>
          <w:spacing w:val="2"/>
          <w:sz w:val="20"/>
          <w:szCs w:val="20"/>
        </w:rPr>
        <w:t>监理计划，安排</w:t>
      </w:r>
      <w:r>
        <w:rPr>
          <w:sz w:val="20"/>
          <w:szCs w:val="20"/>
        </w:rPr>
        <w:t xml:space="preserve"> </w:t>
      </w:r>
      <w:r>
        <w:rPr>
          <w:spacing w:val="2"/>
          <w:sz w:val="20"/>
          <w:szCs w:val="20"/>
        </w:rPr>
        <w:t>目标控制、合同管理、信息管理、组织协调等各项工作，并确定各项工作的方法和手段。监理</w:t>
      </w:r>
      <w:r>
        <w:rPr>
          <w:spacing w:val="14"/>
          <w:sz w:val="20"/>
          <w:szCs w:val="20"/>
        </w:rPr>
        <w:t xml:space="preserve"> </w:t>
      </w:r>
      <w:r>
        <w:rPr>
          <w:spacing w:val="3"/>
          <w:sz w:val="20"/>
          <w:szCs w:val="20"/>
        </w:rPr>
        <w:t>规划是在监理大纲的基础上编制的。因此，应当更加明确地规定监理机构在监理</w:t>
      </w:r>
      <w:r>
        <w:rPr>
          <w:spacing w:val="2"/>
          <w:sz w:val="20"/>
          <w:szCs w:val="20"/>
        </w:rPr>
        <w:t>实施过程中应</w:t>
      </w:r>
      <w:r>
        <w:rPr>
          <w:sz w:val="20"/>
          <w:szCs w:val="20"/>
        </w:rPr>
        <w:t xml:space="preserve"> </w:t>
      </w:r>
      <w:r>
        <w:rPr>
          <w:spacing w:val="3"/>
          <w:sz w:val="20"/>
          <w:szCs w:val="20"/>
        </w:rPr>
        <w:t>重点做好哪些工作，由谁来做这些工作，在什么时候和什么地点做这些工作，如何做</w:t>
      </w:r>
      <w:r>
        <w:rPr>
          <w:spacing w:val="2"/>
          <w:sz w:val="20"/>
          <w:szCs w:val="20"/>
        </w:rPr>
        <w:t>好这些工</w:t>
      </w:r>
      <w:r>
        <w:rPr>
          <w:sz w:val="20"/>
          <w:szCs w:val="20"/>
        </w:rPr>
        <w:t xml:space="preserve"> </w:t>
      </w:r>
      <w:r>
        <w:rPr>
          <w:spacing w:val="-1"/>
          <w:sz w:val="20"/>
          <w:szCs w:val="20"/>
        </w:rPr>
        <w:t>作。只有全面确定了这些问题的答案，监理机构才能真正展开工作，做到有条有理，有据可依。</w:t>
      </w:r>
    </w:p>
    <w:p w14:paraId="60121B29">
      <w:pPr>
        <w:pStyle w:val="2"/>
        <w:spacing w:before="71" w:line="309" w:lineRule="auto"/>
        <w:ind w:right="884" w:firstLine="409"/>
        <w:rPr>
          <w:sz w:val="17"/>
          <w:szCs w:val="17"/>
        </w:rPr>
      </w:pPr>
      <w:r>
        <w:rPr>
          <w:spacing w:val="5"/>
          <w:sz w:val="20"/>
          <w:szCs w:val="20"/>
        </w:rPr>
        <w:t>(3)监理规划是业主单位检查监理单位是否能够认真、全面履行信息系统工</w:t>
      </w:r>
      <w:r>
        <w:rPr>
          <w:spacing w:val="4"/>
          <w:sz w:val="20"/>
          <w:szCs w:val="20"/>
        </w:rPr>
        <w:t>程监理合同的</w:t>
      </w:r>
      <w:r>
        <w:rPr>
          <w:sz w:val="20"/>
          <w:szCs w:val="20"/>
        </w:rPr>
        <w:t xml:space="preserve"> </w:t>
      </w:r>
      <w:r>
        <w:rPr>
          <w:spacing w:val="19"/>
          <w:sz w:val="17"/>
          <w:szCs w:val="17"/>
        </w:rPr>
        <w:t>重要依据。</w:t>
      </w:r>
    </w:p>
    <w:p w14:paraId="0D2CA1D3">
      <w:pPr>
        <w:pStyle w:val="2"/>
        <w:spacing w:before="2" w:line="279" w:lineRule="auto"/>
        <w:ind w:right="867" w:firstLine="409"/>
        <w:rPr>
          <w:sz w:val="20"/>
          <w:szCs w:val="20"/>
        </w:rPr>
      </w:pPr>
      <w:r>
        <w:rPr>
          <w:spacing w:val="3"/>
          <w:sz w:val="20"/>
          <w:szCs w:val="20"/>
        </w:rPr>
        <w:t>监理单位如何履行信息系统工程监理合同，如何落实业主单位委托监理单位</w:t>
      </w:r>
      <w:r>
        <w:rPr>
          <w:spacing w:val="2"/>
          <w:sz w:val="20"/>
          <w:szCs w:val="20"/>
        </w:rPr>
        <w:t>所承担的各项</w:t>
      </w:r>
      <w:r>
        <w:rPr>
          <w:sz w:val="20"/>
          <w:szCs w:val="20"/>
        </w:rPr>
        <w:t xml:space="preserve"> </w:t>
      </w:r>
      <w:r>
        <w:rPr>
          <w:spacing w:val="3"/>
          <w:sz w:val="20"/>
          <w:szCs w:val="20"/>
        </w:rPr>
        <w:t>监理服务工作，业主单位作为监理的委托方，需要且有权了解和掌握这些情况。而监理</w:t>
      </w:r>
      <w:r>
        <w:rPr>
          <w:spacing w:val="2"/>
          <w:sz w:val="20"/>
          <w:szCs w:val="20"/>
        </w:rPr>
        <w:t>规划正</w:t>
      </w:r>
      <w:r>
        <w:rPr>
          <w:sz w:val="20"/>
          <w:szCs w:val="20"/>
        </w:rPr>
        <w:t xml:space="preserve"> </w:t>
      </w:r>
      <w:r>
        <w:rPr>
          <w:spacing w:val="3"/>
          <w:sz w:val="20"/>
          <w:szCs w:val="20"/>
        </w:rPr>
        <w:t>是业主单位加以了解和掌握这些问题的第一手资料，也是业主单位确认监理单</w:t>
      </w:r>
      <w:r>
        <w:rPr>
          <w:spacing w:val="2"/>
          <w:sz w:val="20"/>
          <w:szCs w:val="20"/>
        </w:rPr>
        <w:t>位是否履行监理</w:t>
      </w:r>
      <w:r>
        <w:rPr>
          <w:sz w:val="20"/>
          <w:szCs w:val="20"/>
        </w:rPr>
        <w:t xml:space="preserve"> </w:t>
      </w:r>
      <w:r>
        <w:rPr>
          <w:spacing w:val="-5"/>
          <w:sz w:val="20"/>
          <w:szCs w:val="20"/>
        </w:rPr>
        <w:t>合同内容的主要说明性文件。</w:t>
      </w:r>
    </w:p>
    <w:p w14:paraId="1D5954B6">
      <w:pPr>
        <w:pStyle w:val="2"/>
        <w:spacing w:before="49" w:line="219" w:lineRule="auto"/>
        <w:ind w:left="409"/>
        <w:rPr>
          <w:sz w:val="20"/>
          <w:szCs w:val="20"/>
        </w:rPr>
      </w:pPr>
      <w:r>
        <w:rPr>
          <w:spacing w:val="3"/>
          <w:sz w:val="20"/>
          <w:szCs w:val="20"/>
        </w:rPr>
        <w:t>(4)监理规划是具有合同效力的一种文件。</w:t>
      </w:r>
    </w:p>
    <w:p w14:paraId="225E7E50">
      <w:pPr>
        <w:pStyle w:val="2"/>
        <w:spacing w:before="73" w:line="270" w:lineRule="auto"/>
        <w:ind w:right="800" w:firstLine="409"/>
        <w:rPr>
          <w:sz w:val="20"/>
          <w:szCs w:val="20"/>
        </w:rPr>
      </w:pPr>
      <w:r>
        <w:rPr>
          <w:spacing w:val="3"/>
          <w:sz w:val="20"/>
          <w:szCs w:val="20"/>
        </w:rPr>
        <w:t>监理规划要能够体现业主单位对监理工作的需求，它是对监理合同签约双方的责、权、利</w:t>
      </w:r>
      <w:r>
        <w:rPr>
          <w:spacing w:val="17"/>
          <w:sz w:val="20"/>
          <w:szCs w:val="20"/>
        </w:rPr>
        <w:t xml:space="preserve"> </w:t>
      </w:r>
      <w:r>
        <w:rPr>
          <w:spacing w:val="5"/>
          <w:sz w:val="20"/>
          <w:szCs w:val="20"/>
        </w:rPr>
        <w:t>的进一步细化。由监理单位编制的监理规划，经过业主</w:t>
      </w:r>
      <w:r>
        <w:rPr>
          <w:spacing w:val="4"/>
          <w:sz w:val="20"/>
          <w:szCs w:val="20"/>
        </w:rPr>
        <w:t>单位审查同意和总监理工程师签署后，</w:t>
      </w:r>
      <w:r>
        <w:rPr>
          <w:sz w:val="20"/>
          <w:szCs w:val="20"/>
        </w:rPr>
        <w:t xml:space="preserve"> </w:t>
      </w:r>
      <w:r>
        <w:rPr>
          <w:spacing w:val="3"/>
          <w:sz w:val="20"/>
          <w:szCs w:val="20"/>
        </w:rPr>
        <w:t>作为监理合同的一个重要的附件，同样具有合同效力。因此，业主单位与监理单位双</w:t>
      </w:r>
      <w:r>
        <w:rPr>
          <w:spacing w:val="2"/>
          <w:sz w:val="20"/>
          <w:szCs w:val="20"/>
        </w:rPr>
        <w:t>方都必须</w:t>
      </w:r>
      <w:r>
        <w:rPr>
          <w:sz w:val="20"/>
          <w:szCs w:val="20"/>
        </w:rPr>
        <w:t xml:space="preserve"> </w:t>
      </w:r>
      <w:r>
        <w:rPr>
          <w:spacing w:val="-1"/>
          <w:sz w:val="20"/>
          <w:szCs w:val="20"/>
        </w:rPr>
        <w:t>按监理规划要求统一认识、统一步伐和统一行动，以保证监理规</w:t>
      </w:r>
      <w:r>
        <w:rPr>
          <w:spacing w:val="-2"/>
          <w:sz w:val="20"/>
          <w:szCs w:val="20"/>
        </w:rPr>
        <w:t>划的实施。</w:t>
      </w:r>
    </w:p>
    <w:p w14:paraId="36BFD311">
      <w:pPr>
        <w:pStyle w:val="2"/>
        <w:spacing w:before="218" w:line="219" w:lineRule="auto"/>
        <w:ind w:left="2"/>
        <w:rPr>
          <w:sz w:val="25"/>
          <w:szCs w:val="25"/>
        </w:rPr>
      </w:pPr>
      <w:r>
        <w:rPr>
          <w:b/>
          <w:bCs/>
          <w:color w:val="0053D0"/>
          <w:spacing w:val="-15"/>
          <w:sz w:val="25"/>
          <w:szCs w:val="25"/>
        </w:rPr>
        <w:t>9.3.2</w:t>
      </w:r>
      <w:r>
        <w:rPr>
          <w:color w:val="0053D0"/>
          <w:spacing w:val="-15"/>
          <w:sz w:val="25"/>
          <w:szCs w:val="25"/>
        </w:rPr>
        <w:t xml:space="preserve">  </w:t>
      </w:r>
      <w:r>
        <w:rPr>
          <w:b/>
          <w:bCs/>
          <w:color w:val="0053D0"/>
          <w:spacing w:val="-15"/>
          <w:sz w:val="25"/>
          <w:szCs w:val="25"/>
        </w:rPr>
        <w:t>监理规划的编制</w:t>
      </w:r>
    </w:p>
    <w:p w14:paraId="46291DEF">
      <w:pPr>
        <w:pStyle w:val="2"/>
        <w:spacing w:before="250" w:line="221" w:lineRule="auto"/>
        <w:ind w:left="412"/>
        <w:rPr>
          <w:rFonts w:ascii="黑体" w:hAnsi="黑体" w:eastAsia="黑体" w:cs="黑体"/>
          <w:sz w:val="20"/>
          <w:szCs w:val="20"/>
        </w:rPr>
      </w:pPr>
      <w:r>
        <w:rPr>
          <w:b/>
          <w:bCs/>
          <w:color w:val="036DE8"/>
          <w:spacing w:val="-4"/>
          <w:sz w:val="20"/>
          <w:szCs w:val="20"/>
        </w:rPr>
        <w:t>1.</w:t>
      </w:r>
      <w:r>
        <w:rPr>
          <w:rFonts w:ascii="黑体" w:hAnsi="黑体" w:eastAsia="黑体" w:cs="黑体"/>
          <w:b/>
          <w:bCs/>
          <w:color w:val="036DE8"/>
          <w:spacing w:val="-4"/>
          <w:sz w:val="20"/>
          <w:szCs w:val="20"/>
        </w:rPr>
        <w:t>监理规划的编制要求</w:t>
      </w:r>
    </w:p>
    <w:p w14:paraId="35EA698F">
      <w:pPr>
        <w:spacing w:before="203" w:line="225" w:lineRule="auto"/>
        <w:ind w:left="409"/>
        <w:rPr>
          <w:rFonts w:ascii="楷体" w:hAnsi="楷体" w:eastAsia="楷体" w:cs="楷体"/>
          <w:sz w:val="20"/>
          <w:szCs w:val="20"/>
        </w:rPr>
      </w:pPr>
      <w:r>
        <w:rPr>
          <w:rFonts w:ascii="楷体" w:hAnsi="楷体" w:eastAsia="楷体" w:cs="楷体"/>
          <w:spacing w:val="6"/>
          <w:sz w:val="20"/>
          <w:szCs w:val="20"/>
        </w:rPr>
        <w:t>1)监理规划的内容应有统一性</w:t>
      </w:r>
    </w:p>
    <w:p w14:paraId="328A6B37">
      <w:pPr>
        <w:pStyle w:val="2"/>
        <w:spacing w:before="49" w:line="281" w:lineRule="auto"/>
        <w:ind w:right="850" w:firstLine="409"/>
        <w:rPr>
          <w:sz w:val="20"/>
          <w:szCs w:val="20"/>
        </w:rPr>
      </w:pPr>
      <w:r>
        <w:rPr>
          <w:spacing w:val="3"/>
          <w:sz w:val="20"/>
          <w:szCs w:val="20"/>
        </w:rPr>
        <w:t>由于监理规划是指导整个监理项目工作的纲领性文件，在编制监理规划时应当做到其内容</w:t>
      </w:r>
      <w:r>
        <w:rPr>
          <w:spacing w:val="11"/>
          <w:sz w:val="20"/>
          <w:szCs w:val="20"/>
        </w:rPr>
        <w:t xml:space="preserve"> </w:t>
      </w:r>
      <w:r>
        <w:rPr>
          <w:spacing w:val="3"/>
          <w:sz w:val="20"/>
          <w:szCs w:val="20"/>
        </w:rPr>
        <w:t>构成力求统一。这是监理工作规范化、制度化、统一化的基本要求，也是监理工作科</w:t>
      </w:r>
      <w:r>
        <w:rPr>
          <w:spacing w:val="2"/>
          <w:sz w:val="20"/>
          <w:szCs w:val="20"/>
        </w:rPr>
        <w:t>学化的要</w:t>
      </w:r>
    </w:p>
    <w:p w14:paraId="1950A787">
      <w:pPr>
        <w:spacing w:line="281" w:lineRule="auto"/>
        <w:rPr>
          <w:sz w:val="20"/>
          <w:szCs w:val="20"/>
        </w:rPr>
        <w:sectPr>
          <w:pgSz w:w="10280" w:h="13310"/>
          <w:pgMar w:top="339" w:right="9" w:bottom="400" w:left="1080" w:header="0" w:footer="0" w:gutter="0"/>
          <w:cols w:space="720" w:num="1"/>
        </w:sectPr>
      </w:pPr>
    </w:p>
    <w:p w14:paraId="0B37AEDB">
      <w:pPr>
        <w:pStyle w:val="2"/>
        <w:spacing w:before="58" w:line="219" w:lineRule="auto"/>
        <w:rPr>
          <w:sz w:val="19"/>
          <w:szCs w:val="19"/>
        </w:rPr>
      </w:pPr>
      <w:r>
        <w:rPr>
          <w:rFonts w:ascii="Times New Roman" w:hAnsi="Times New Roman" w:eastAsia="Times New Roman" w:cs="Times New Roman"/>
          <w:spacing w:val="3"/>
          <w:sz w:val="19"/>
          <w:szCs w:val="19"/>
        </w:rPr>
        <w:t xml:space="preserve">232              </w:t>
      </w:r>
      <w:r>
        <w:rPr>
          <w:spacing w:val="3"/>
          <w:sz w:val="19"/>
          <w:szCs w:val="19"/>
        </w:rPr>
        <w:t>信息系统监理师教程(第2版)</w:t>
      </w:r>
    </w:p>
    <w:p w14:paraId="6E926DA1">
      <w:pPr>
        <w:spacing w:line="329" w:lineRule="auto"/>
        <w:rPr>
          <w:rFonts w:ascii="Arial"/>
          <w:sz w:val="21"/>
        </w:rPr>
      </w:pPr>
    </w:p>
    <w:p w14:paraId="70C946F1">
      <w:pPr>
        <w:pStyle w:val="2"/>
        <w:spacing w:before="62" w:line="307" w:lineRule="auto"/>
        <w:ind w:left="349" w:right="37"/>
        <w:rPr>
          <w:sz w:val="19"/>
          <w:szCs w:val="19"/>
        </w:rPr>
      </w:pPr>
      <w:r>
        <w:rPr>
          <w:spacing w:val="14"/>
          <w:sz w:val="19"/>
          <w:szCs w:val="19"/>
        </w:rPr>
        <w:t>求。监理规划的基本作用是指导监理机构全面开展工</w:t>
      </w:r>
      <w:r>
        <w:rPr>
          <w:spacing w:val="13"/>
          <w:sz w:val="19"/>
          <w:szCs w:val="19"/>
        </w:rPr>
        <w:t>作，如果监理规划的编写内容不能做到系</w:t>
      </w:r>
      <w:r>
        <w:rPr>
          <w:sz w:val="19"/>
          <w:szCs w:val="19"/>
        </w:rPr>
        <w:t xml:space="preserve"> </w:t>
      </w:r>
      <w:r>
        <w:rPr>
          <w:spacing w:val="9"/>
          <w:sz w:val="19"/>
          <w:szCs w:val="19"/>
        </w:rPr>
        <w:t>统、统一，监理工作就会出现漏洞或矛盾，使正常的监理工作受到影响，甚至出现失误。</w:t>
      </w:r>
    </w:p>
    <w:p w14:paraId="56C77012">
      <w:pPr>
        <w:spacing w:before="86" w:line="225" w:lineRule="auto"/>
        <w:ind w:left="749"/>
        <w:rPr>
          <w:rFonts w:ascii="楷体" w:hAnsi="楷体" w:eastAsia="楷体" w:cs="楷体"/>
          <w:sz w:val="19"/>
          <w:szCs w:val="19"/>
        </w:rPr>
      </w:pPr>
      <w:bookmarkStart w:id="608" w:name="bookmark593"/>
      <w:bookmarkEnd w:id="608"/>
      <w:r>
        <w:rPr>
          <w:rFonts w:ascii="楷体" w:hAnsi="楷体" w:eastAsia="楷体" w:cs="楷体"/>
          <w:spacing w:val="16"/>
          <w:sz w:val="19"/>
          <w:szCs w:val="19"/>
        </w:rPr>
        <w:t>2)监理规划的内容应有针对性</w:t>
      </w:r>
    </w:p>
    <w:p w14:paraId="2AB6965D">
      <w:pPr>
        <w:pStyle w:val="2"/>
        <w:spacing w:before="78" w:line="306" w:lineRule="auto"/>
        <w:ind w:left="349" w:right="65" w:firstLine="399"/>
        <w:rPr>
          <w:sz w:val="19"/>
          <w:szCs w:val="19"/>
        </w:rPr>
      </w:pPr>
      <w:r>
        <w:rPr>
          <w:spacing w:val="13"/>
          <w:sz w:val="19"/>
          <w:szCs w:val="19"/>
        </w:rPr>
        <w:t>对于一个具体的信息系统工程建设项目而言，监理规划往往是一次性的，监理规划的内容</w:t>
      </w:r>
      <w:r>
        <w:rPr>
          <w:spacing w:val="1"/>
          <w:sz w:val="19"/>
          <w:szCs w:val="19"/>
        </w:rPr>
        <w:t xml:space="preserve"> </w:t>
      </w:r>
      <w:r>
        <w:rPr>
          <w:spacing w:val="13"/>
          <w:sz w:val="19"/>
          <w:szCs w:val="19"/>
        </w:rPr>
        <w:t>必须根据这个项目的实际来编制，如果忽视监理规划内容的针对性，采用同</w:t>
      </w:r>
      <w:r>
        <w:rPr>
          <w:spacing w:val="12"/>
          <w:sz w:val="19"/>
          <w:szCs w:val="19"/>
        </w:rPr>
        <w:t>一模式、同一方法</w:t>
      </w:r>
      <w:r>
        <w:rPr>
          <w:sz w:val="19"/>
          <w:szCs w:val="19"/>
        </w:rPr>
        <w:t xml:space="preserve"> </w:t>
      </w:r>
      <w:r>
        <w:rPr>
          <w:spacing w:val="13"/>
          <w:sz w:val="19"/>
          <w:szCs w:val="19"/>
        </w:rPr>
        <w:t>开展监理工作，必然会导致目标偏离计划，甚至出现失误。所以一个好的监理</w:t>
      </w:r>
      <w:r>
        <w:rPr>
          <w:spacing w:val="12"/>
          <w:sz w:val="19"/>
          <w:szCs w:val="19"/>
        </w:rPr>
        <w:t>规划，应该针对</w:t>
      </w:r>
      <w:r>
        <w:rPr>
          <w:sz w:val="19"/>
          <w:szCs w:val="19"/>
        </w:rPr>
        <w:t xml:space="preserve"> </w:t>
      </w:r>
      <w:r>
        <w:rPr>
          <w:spacing w:val="12"/>
          <w:sz w:val="19"/>
          <w:szCs w:val="19"/>
        </w:rPr>
        <w:t>具体的信息系统工程建设项目进行目标规划，建立监理机构和制度。只有这样，监理规划才能</w:t>
      </w:r>
      <w:r>
        <w:rPr>
          <w:spacing w:val="16"/>
          <w:sz w:val="19"/>
          <w:szCs w:val="19"/>
        </w:rPr>
        <w:t xml:space="preserve"> </w:t>
      </w:r>
      <w:r>
        <w:rPr>
          <w:spacing w:val="5"/>
          <w:sz w:val="19"/>
          <w:szCs w:val="19"/>
        </w:rPr>
        <w:t>真正起到指导监理工作的作用。</w:t>
      </w:r>
    </w:p>
    <w:p w14:paraId="5C0C94B3">
      <w:pPr>
        <w:spacing w:before="105" w:line="225" w:lineRule="auto"/>
        <w:ind w:left="749"/>
        <w:rPr>
          <w:rFonts w:ascii="楷体" w:hAnsi="楷体" w:eastAsia="楷体" w:cs="楷体"/>
          <w:sz w:val="19"/>
          <w:szCs w:val="19"/>
        </w:rPr>
      </w:pPr>
      <w:r>
        <w:rPr>
          <w:rFonts w:ascii="楷体" w:hAnsi="楷体" w:eastAsia="楷体" w:cs="楷体"/>
          <w:spacing w:val="16"/>
          <w:sz w:val="19"/>
          <w:szCs w:val="19"/>
        </w:rPr>
        <w:t>3)监理规划的内容应有时效性</w:t>
      </w:r>
    </w:p>
    <w:p w14:paraId="497470AC">
      <w:pPr>
        <w:pStyle w:val="2"/>
        <w:spacing w:before="79" w:line="296" w:lineRule="auto"/>
        <w:ind w:left="349" w:right="59" w:firstLine="399"/>
        <w:rPr>
          <w:sz w:val="19"/>
          <w:szCs w:val="19"/>
        </w:rPr>
      </w:pPr>
      <w:r>
        <w:rPr>
          <w:spacing w:val="13"/>
          <w:sz w:val="19"/>
          <w:szCs w:val="19"/>
        </w:rPr>
        <w:t>监理规划的内容应该随着工程项目的逐步开展而调整，有时需要对不切实际的措施进行不</w:t>
      </w:r>
      <w:r>
        <w:rPr>
          <w:spacing w:val="2"/>
          <w:sz w:val="19"/>
          <w:szCs w:val="19"/>
        </w:rPr>
        <w:t xml:space="preserve"> </w:t>
      </w:r>
      <w:r>
        <w:rPr>
          <w:spacing w:val="13"/>
          <w:sz w:val="19"/>
          <w:szCs w:val="19"/>
        </w:rPr>
        <w:t>断地补充、完善、调整，把开始勾画的轮廓进一步细化，使得监理规划变得更加详尽</w:t>
      </w:r>
      <w:r>
        <w:rPr>
          <w:spacing w:val="12"/>
          <w:sz w:val="19"/>
          <w:szCs w:val="19"/>
        </w:rPr>
        <w:t>可行。在</w:t>
      </w:r>
      <w:r>
        <w:rPr>
          <w:sz w:val="19"/>
          <w:szCs w:val="19"/>
        </w:rPr>
        <w:t xml:space="preserve"> </w:t>
      </w:r>
      <w:r>
        <w:rPr>
          <w:spacing w:val="13"/>
          <w:sz w:val="19"/>
          <w:szCs w:val="19"/>
        </w:rPr>
        <w:t>工程项目的开始阶段，总监理工程师有时对项目的具体信息掌握得不完全准确，兼之工程项目</w:t>
      </w:r>
      <w:r>
        <w:rPr>
          <w:spacing w:val="1"/>
          <w:sz w:val="19"/>
          <w:szCs w:val="19"/>
        </w:rPr>
        <w:t xml:space="preserve"> </w:t>
      </w:r>
      <w:r>
        <w:rPr>
          <w:spacing w:val="13"/>
          <w:sz w:val="19"/>
          <w:szCs w:val="19"/>
        </w:rPr>
        <w:t>在建设过程中，受到来自内外部的各种因素和条件变化的影响，使得监理规划需要进行相应的</w:t>
      </w:r>
      <w:r>
        <w:rPr>
          <w:sz w:val="19"/>
          <w:szCs w:val="19"/>
        </w:rPr>
        <w:t xml:space="preserve"> </w:t>
      </w:r>
      <w:r>
        <w:rPr>
          <w:spacing w:val="6"/>
          <w:sz w:val="19"/>
          <w:szCs w:val="19"/>
        </w:rPr>
        <w:t>调整和进一步完善，以保证监理目标的实现。</w:t>
      </w:r>
    </w:p>
    <w:p w14:paraId="60CBC6CC">
      <w:pPr>
        <w:pStyle w:val="2"/>
        <w:spacing w:before="144" w:line="221" w:lineRule="auto"/>
        <w:ind w:left="752"/>
        <w:rPr>
          <w:rFonts w:ascii="黑体" w:hAnsi="黑体" w:eastAsia="黑体" w:cs="黑体"/>
          <w:sz w:val="19"/>
          <w:szCs w:val="19"/>
        </w:rPr>
      </w:pPr>
      <w:r>
        <w:rPr>
          <w:b/>
          <w:bCs/>
          <w:color w:val="0072D7"/>
          <w:spacing w:val="8"/>
          <w:sz w:val="19"/>
          <w:szCs w:val="19"/>
        </w:rPr>
        <w:t>2.</w:t>
      </w:r>
      <w:r>
        <w:rPr>
          <w:rFonts w:ascii="黑体" w:hAnsi="黑体" w:eastAsia="黑体" w:cs="黑体"/>
          <w:b/>
          <w:bCs/>
          <w:color w:val="0072D7"/>
          <w:spacing w:val="8"/>
          <w:sz w:val="19"/>
          <w:szCs w:val="19"/>
        </w:rPr>
        <w:t>监理规划的编制依据</w:t>
      </w:r>
    </w:p>
    <w:p w14:paraId="6F9F5C99">
      <w:pPr>
        <w:pStyle w:val="2"/>
        <w:spacing w:before="165" w:line="219" w:lineRule="auto"/>
        <w:ind w:left="749"/>
        <w:rPr>
          <w:sz w:val="19"/>
          <w:szCs w:val="19"/>
        </w:rPr>
      </w:pPr>
      <w:r>
        <w:rPr>
          <w:spacing w:val="5"/>
          <w:sz w:val="19"/>
          <w:szCs w:val="19"/>
        </w:rPr>
        <w:t>监理规划的编制依据主要包括：</w:t>
      </w:r>
    </w:p>
    <w:p w14:paraId="5EC8D466">
      <w:pPr>
        <w:pStyle w:val="2"/>
        <w:spacing w:before="96" w:line="219" w:lineRule="auto"/>
        <w:ind w:left="749"/>
        <w:rPr>
          <w:sz w:val="19"/>
          <w:szCs w:val="19"/>
        </w:rPr>
      </w:pPr>
      <w:r>
        <w:rPr>
          <w:spacing w:val="11"/>
          <w:sz w:val="19"/>
          <w:szCs w:val="19"/>
        </w:rPr>
        <w:t>(1)与信息系统工程建设有关的法律、法规及项目审批文件等；</w:t>
      </w:r>
    </w:p>
    <w:p w14:paraId="036F187B">
      <w:pPr>
        <w:pStyle w:val="2"/>
        <w:spacing w:before="75" w:line="219" w:lineRule="auto"/>
        <w:ind w:left="749"/>
        <w:rPr>
          <w:sz w:val="19"/>
          <w:szCs w:val="19"/>
        </w:rPr>
      </w:pPr>
      <w:r>
        <w:rPr>
          <w:spacing w:val="10"/>
          <w:sz w:val="19"/>
          <w:szCs w:val="19"/>
        </w:rPr>
        <w:t>(2)与信息系统工程监理有关的法律、法规及管理办法等；</w:t>
      </w:r>
    </w:p>
    <w:p w14:paraId="2C6DAED3">
      <w:pPr>
        <w:pStyle w:val="2"/>
        <w:spacing w:before="84" w:line="266" w:lineRule="auto"/>
        <w:ind w:left="349" w:right="63" w:firstLine="399"/>
        <w:rPr>
          <w:sz w:val="19"/>
          <w:szCs w:val="19"/>
        </w:rPr>
      </w:pPr>
      <w:r>
        <w:rPr>
          <w:spacing w:val="15"/>
          <w:sz w:val="19"/>
          <w:szCs w:val="19"/>
        </w:rPr>
        <w:t>(3)与本项目有关的标准、设计文件、技术资料等，其中，标准包含相关国际标准、国家</w:t>
      </w:r>
      <w:r>
        <w:rPr>
          <w:spacing w:val="5"/>
          <w:sz w:val="19"/>
          <w:szCs w:val="19"/>
        </w:rPr>
        <w:t xml:space="preserve"> </w:t>
      </w:r>
      <w:r>
        <w:rPr>
          <w:spacing w:val="4"/>
          <w:sz w:val="19"/>
          <w:szCs w:val="19"/>
        </w:rPr>
        <w:t>或地方标准；</w:t>
      </w:r>
    </w:p>
    <w:p w14:paraId="2F5A8D9F">
      <w:pPr>
        <w:pStyle w:val="2"/>
        <w:spacing w:before="94" w:line="220" w:lineRule="auto"/>
        <w:ind w:left="749"/>
        <w:rPr>
          <w:sz w:val="19"/>
          <w:szCs w:val="19"/>
        </w:rPr>
      </w:pPr>
      <w:r>
        <w:rPr>
          <w:spacing w:val="11"/>
          <w:sz w:val="19"/>
          <w:szCs w:val="19"/>
        </w:rPr>
        <w:t>(4)监理合同、监理大纲；</w:t>
      </w:r>
    </w:p>
    <w:p w14:paraId="5879C844">
      <w:pPr>
        <w:pStyle w:val="2"/>
        <w:spacing w:before="101" w:line="219" w:lineRule="auto"/>
        <w:jc w:val="right"/>
        <w:rPr>
          <w:sz w:val="19"/>
          <w:szCs w:val="19"/>
        </w:rPr>
      </w:pPr>
      <w:r>
        <w:rPr>
          <w:spacing w:val="16"/>
          <w:sz w:val="19"/>
          <w:szCs w:val="19"/>
        </w:rPr>
        <w:t>(5)与本项目建设有关的合同文件(承建合同、运维服务合同等)及相关服务的其他文件。</w:t>
      </w:r>
    </w:p>
    <w:p w14:paraId="63C9C726">
      <w:pPr>
        <w:pStyle w:val="2"/>
        <w:spacing w:before="152" w:line="221" w:lineRule="auto"/>
        <w:ind w:left="752"/>
        <w:rPr>
          <w:rFonts w:ascii="黑体" w:hAnsi="黑体" w:eastAsia="黑体" w:cs="黑体"/>
          <w:sz w:val="19"/>
          <w:szCs w:val="19"/>
        </w:rPr>
      </w:pPr>
      <w:r>
        <w:rPr>
          <w:b/>
          <w:bCs/>
          <w:color w:val="007FD5"/>
          <w:spacing w:val="8"/>
          <w:sz w:val="19"/>
          <w:szCs w:val="19"/>
        </w:rPr>
        <w:t>3.</w:t>
      </w:r>
      <w:r>
        <w:rPr>
          <w:rFonts w:ascii="黑体" w:hAnsi="黑体" w:eastAsia="黑体" w:cs="黑体"/>
          <w:b/>
          <w:bCs/>
          <w:color w:val="007FD5"/>
          <w:spacing w:val="8"/>
          <w:sz w:val="19"/>
          <w:szCs w:val="19"/>
        </w:rPr>
        <w:t>监理规划的编制程序</w:t>
      </w:r>
    </w:p>
    <w:p w14:paraId="4F92E949">
      <w:pPr>
        <w:pStyle w:val="2"/>
        <w:spacing w:before="167" w:line="219" w:lineRule="auto"/>
        <w:ind w:left="749"/>
        <w:rPr>
          <w:sz w:val="19"/>
          <w:szCs w:val="19"/>
        </w:rPr>
      </w:pPr>
      <w:r>
        <w:rPr>
          <w:spacing w:val="6"/>
          <w:sz w:val="19"/>
          <w:szCs w:val="19"/>
        </w:rPr>
        <w:t>监理规划的编制程序具体如下：</w:t>
      </w:r>
    </w:p>
    <w:p w14:paraId="32C00999">
      <w:pPr>
        <w:pStyle w:val="2"/>
        <w:spacing w:before="94" w:line="219" w:lineRule="auto"/>
        <w:ind w:left="749"/>
        <w:rPr>
          <w:sz w:val="19"/>
          <w:szCs w:val="19"/>
        </w:rPr>
      </w:pPr>
      <w:r>
        <w:rPr>
          <w:spacing w:val="11"/>
          <w:sz w:val="19"/>
          <w:szCs w:val="19"/>
        </w:rPr>
        <w:t>(1)在签订监理合同后，总监理工程师应主持编制监理规划。具体步骤如下：</w:t>
      </w:r>
    </w:p>
    <w:p w14:paraId="2A455CAD">
      <w:pPr>
        <w:pStyle w:val="2"/>
        <w:spacing w:before="74" w:line="293" w:lineRule="auto"/>
        <w:ind w:left="1029" w:right="47" w:hanging="280"/>
        <w:rPr>
          <w:sz w:val="19"/>
          <w:szCs w:val="19"/>
        </w:rPr>
      </w:pPr>
      <w:r>
        <w:rPr>
          <w:spacing w:val="13"/>
          <w:sz w:val="19"/>
          <w:szCs w:val="19"/>
        </w:rPr>
        <w:t>●规划信息的收集与处理。所谓规划信息是指与监理规划相关的信息，如所监理的信息系</w:t>
      </w:r>
      <w:r>
        <w:rPr>
          <w:spacing w:val="10"/>
          <w:sz w:val="19"/>
          <w:szCs w:val="19"/>
        </w:rPr>
        <w:t xml:space="preserve"> </w:t>
      </w:r>
      <w:r>
        <w:rPr>
          <w:spacing w:val="19"/>
          <w:sz w:val="19"/>
          <w:szCs w:val="19"/>
        </w:rPr>
        <w:t>统工程建设项目的情况(一般由业主单位提供)、承建单位(可能还包括设计单位、分</w:t>
      </w:r>
      <w:r>
        <w:rPr>
          <w:sz w:val="19"/>
          <w:szCs w:val="19"/>
        </w:rPr>
        <w:t xml:space="preserve"> </w:t>
      </w:r>
      <w:r>
        <w:rPr>
          <w:spacing w:val="14"/>
          <w:sz w:val="19"/>
          <w:szCs w:val="19"/>
        </w:rPr>
        <w:t>包单位)的情况、业主单位的情况、监理合同所规定的各项监理任务等信息。在编制监</w:t>
      </w:r>
      <w:r>
        <w:rPr>
          <w:sz w:val="19"/>
          <w:szCs w:val="19"/>
        </w:rPr>
        <w:t xml:space="preserve"> </w:t>
      </w:r>
      <w:r>
        <w:rPr>
          <w:spacing w:val="11"/>
          <w:sz w:val="19"/>
          <w:szCs w:val="19"/>
        </w:rPr>
        <w:t>理规划以前，应该广泛收集相关的监理信息，在整理和消化这些材料的基础上着手编制</w:t>
      </w:r>
      <w:r>
        <w:rPr>
          <w:spacing w:val="7"/>
          <w:sz w:val="19"/>
          <w:szCs w:val="19"/>
        </w:rPr>
        <w:t xml:space="preserve"> </w:t>
      </w:r>
      <w:r>
        <w:rPr>
          <w:spacing w:val="4"/>
          <w:sz w:val="19"/>
          <w:szCs w:val="19"/>
        </w:rPr>
        <w:t>项目监理规划。</w:t>
      </w:r>
    </w:p>
    <w:p w14:paraId="0659CC49">
      <w:pPr>
        <w:pStyle w:val="2"/>
        <w:spacing w:before="93" w:line="270" w:lineRule="auto"/>
        <w:ind w:left="1029" w:right="67" w:hanging="280"/>
        <w:rPr>
          <w:sz w:val="19"/>
          <w:szCs w:val="19"/>
        </w:rPr>
      </w:pPr>
      <w:r>
        <w:rPr>
          <w:spacing w:val="13"/>
          <w:sz w:val="19"/>
          <w:szCs w:val="19"/>
        </w:rPr>
        <w:t>●项目规划目标的确认。依据收集到的项目规划信息来确定项目规划的目标，并对目标进</w:t>
      </w:r>
      <w:r>
        <w:rPr>
          <w:sz w:val="19"/>
          <w:szCs w:val="19"/>
        </w:rPr>
        <w:t xml:space="preserve"> </w:t>
      </w:r>
      <w:r>
        <w:rPr>
          <w:spacing w:val="8"/>
          <w:sz w:val="19"/>
          <w:szCs w:val="19"/>
        </w:rPr>
        <w:t>行识别、排序和量化，为下一步确定监理工作做准备。</w:t>
      </w:r>
    </w:p>
    <w:p w14:paraId="598A3247">
      <w:pPr>
        <w:pStyle w:val="2"/>
        <w:spacing w:before="86" w:line="280" w:lineRule="auto"/>
        <w:ind w:left="1029" w:right="64" w:hanging="280"/>
        <w:rPr>
          <w:sz w:val="19"/>
          <w:szCs w:val="19"/>
        </w:rPr>
      </w:pPr>
      <w:r>
        <w:rPr>
          <w:spacing w:val="18"/>
          <w:sz w:val="19"/>
          <w:szCs w:val="19"/>
        </w:rPr>
        <w:t>●确定监理工作。在对监理规划目标进行确认的基础上，具体确定监理单位应该做的工</w:t>
      </w:r>
      <w:r>
        <w:rPr>
          <w:spacing w:val="15"/>
          <w:sz w:val="19"/>
          <w:szCs w:val="19"/>
        </w:rPr>
        <w:t xml:space="preserve"> </w:t>
      </w:r>
      <w:r>
        <w:rPr>
          <w:spacing w:val="11"/>
          <w:sz w:val="19"/>
          <w:szCs w:val="19"/>
        </w:rPr>
        <w:t>作。需要确定监理工作的工作内容、工作程序和工作要求等，确定的依据一方面</w:t>
      </w:r>
      <w:r>
        <w:rPr>
          <w:spacing w:val="10"/>
          <w:sz w:val="19"/>
          <w:szCs w:val="19"/>
        </w:rPr>
        <w:t>来自所</w:t>
      </w:r>
      <w:r>
        <w:rPr>
          <w:sz w:val="19"/>
          <w:szCs w:val="19"/>
        </w:rPr>
        <w:t xml:space="preserve"> </w:t>
      </w:r>
      <w:r>
        <w:rPr>
          <w:spacing w:val="7"/>
          <w:sz w:val="19"/>
          <w:szCs w:val="19"/>
        </w:rPr>
        <w:t>确定的监理规划目标，另一方面来自监理合同。</w:t>
      </w:r>
    </w:p>
    <w:p w14:paraId="064E81D0">
      <w:pPr>
        <w:spacing w:line="280" w:lineRule="auto"/>
        <w:rPr>
          <w:sz w:val="19"/>
          <w:szCs w:val="19"/>
        </w:rPr>
        <w:sectPr>
          <w:pgSz w:w="10300" w:h="13410"/>
          <w:pgMar w:top="400" w:right="1035" w:bottom="400" w:left="530" w:header="0" w:footer="0" w:gutter="0"/>
          <w:cols w:space="720" w:num="1"/>
        </w:sectPr>
      </w:pPr>
    </w:p>
    <w:p w14:paraId="0487A170">
      <w:pPr>
        <w:pStyle w:val="2"/>
        <w:spacing w:before="36" w:line="219" w:lineRule="auto"/>
        <w:ind w:left="5230"/>
        <w:rPr>
          <w:sz w:val="19"/>
          <w:szCs w:val="19"/>
        </w:rPr>
      </w:pPr>
      <w:r>
        <w:rPr>
          <w:spacing w:val="3"/>
          <w:sz w:val="19"/>
          <w:szCs w:val="19"/>
        </w:rPr>
        <w:t>第9章 监理工作的组织和规划</w:t>
      </w:r>
    </w:p>
    <w:p w14:paraId="3AFFE8A5">
      <w:pPr>
        <w:spacing w:line="14" w:lineRule="auto"/>
        <w:rPr>
          <w:rFonts w:ascii="Arial"/>
          <w:sz w:val="2"/>
        </w:rPr>
      </w:pPr>
      <w:r>
        <w:rPr>
          <w:rFonts w:ascii="Arial" w:hAnsi="Arial" w:eastAsia="Arial" w:cs="Arial"/>
          <w:sz w:val="2"/>
          <w:szCs w:val="2"/>
        </w:rPr>
        <w:br w:type="column"/>
      </w:r>
    </w:p>
    <w:p w14:paraId="0249E9BF">
      <w:pPr>
        <w:pStyle w:val="2"/>
        <w:spacing w:before="123" w:line="184" w:lineRule="auto"/>
        <w:jc w:val="right"/>
        <w:rPr>
          <w:rFonts w:ascii="Times New Roman" w:hAnsi="Times New Roman" w:eastAsia="Times New Roman" w:cs="Times New Roman"/>
          <w:sz w:val="19"/>
          <w:szCs w:val="19"/>
        </w:rPr>
      </w:pPr>
      <w:r>
        <w:rPr>
          <w:b/>
          <w:bCs/>
          <w:color w:val="009DEC"/>
          <w:spacing w:val="-9"/>
          <w:sz w:val="19"/>
          <w:szCs w:val="19"/>
        </w:rPr>
        <w:t>■</w:t>
      </w:r>
      <w:r>
        <w:rPr>
          <w:color w:val="009DEC"/>
          <w:spacing w:val="70"/>
          <w:sz w:val="19"/>
          <w:szCs w:val="19"/>
        </w:rPr>
        <w:t xml:space="preserve"> </w:t>
      </w:r>
      <w:r>
        <w:rPr>
          <w:rFonts w:ascii="Times New Roman" w:hAnsi="Times New Roman" w:eastAsia="Times New Roman" w:cs="Times New Roman"/>
          <w:b/>
          <w:bCs/>
          <w:spacing w:val="-9"/>
          <w:sz w:val="19"/>
          <w:szCs w:val="19"/>
        </w:rPr>
        <w:t>233</w:t>
      </w:r>
    </w:p>
    <w:p w14:paraId="3F9B95D2">
      <w:pPr>
        <w:spacing w:line="184" w:lineRule="auto"/>
        <w:rPr>
          <w:rFonts w:ascii="Times New Roman" w:hAnsi="Times New Roman" w:eastAsia="Times New Roman" w:cs="Times New Roman"/>
          <w:sz w:val="19"/>
          <w:szCs w:val="19"/>
        </w:rPr>
        <w:sectPr>
          <w:pgSz w:w="10280" w:h="13280"/>
          <w:pgMar w:top="400" w:right="509" w:bottom="400" w:left="1129" w:header="0" w:footer="0" w:gutter="0"/>
          <w:cols w:equalWidth="0" w:num="2">
            <w:col w:w="7821" w:space="100"/>
            <w:col w:w="720"/>
          </w:cols>
        </w:sectPr>
      </w:pPr>
    </w:p>
    <w:p w14:paraId="7C2E7D08">
      <w:pPr>
        <w:spacing w:line="270" w:lineRule="auto"/>
        <w:rPr>
          <w:rFonts w:ascii="Arial"/>
          <w:sz w:val="21"/>
        </w:rPr>
      </w:pPr>
    </w:p>
    <w:p w14:paraId="26F8D2FF">
      <w:pPr>
        <w:pStyle w:val="2"/>
        <w:spacing w:before="62" w:line="265" w:lineRule="auto"/>
        <w:ind w:left="709" w:right="333" w:hanging="310"/>
        <w:rPr>
          <w:sz w:val="19"/>
          <w:szCs w:val="19"/>
        </w:rPr>
      </w:pPr>
      <w:r>
        <w:rPr>
          <w:spacing w:val="13"/>
          <w:sz w:val="19"/>
          <w:szCs w:val="19"/>
        </w:rPr>
        <w:t>●按照监理工作性质及内容进行工作分解。在对监理工作进行</w:t>
      </w:r>
      <w:r>
        <w:rPr>
          <w:spacing w:val="12"/>
          <w:sz w:val="19"/>
          <w:szCs w:val="19"/>
        </w:rPr>
        <w:t>初步确认的基础上，对监理</w:t>
      </w:r>
      <w:r>
        <w:rPr>
          <w:sz w:val="19"/>
          <w:szCs w:val="19"/>
        </w:rPr>
        <w:t xml:space="preserve"> </w:t>
      </w:r>
      <w:r>
        <w:rPr>
          <w:spacing w:val="8"/>
          <w:sz w:val="19"/>
          <w:szCs w:val="19"/>
        </w:rPr>
        <w:t>工作进行细分，确定各小组的责任，以此确定各自的监理任务。</w:t>
      </w:r>
    </w:p>
    <w:p w14:paraId="0C452120">
      <w:pPr>
        <w:pStyle w:val="2"/>
        <w:spacing w:before="94" w:line="219" w:lineRule="auto"/>
        <w:ind w:left="399"/>
        <w:rPr>
          <w:sz w:val="19"/>
          <w:szCs w:val="19"/>
        </w:rPr>
      </w:pPr>
      <w:r>
        <w:rPr>
          <w:spacing w:val="10"/>
          <w:sz w:val="19"/>
          <w:szCs w:val="19"/>
        </w:rPr>
        <w:t>(2)监理规划完成后，应经监理单位技术负责人审批。</w:t>
      </w:r>
    </w:p>
    <w:p w14:paraId="12CD2235">
      <w:pPr>
        <w:pStyle w:val="2"/>
        <w:spacing w:before="94" w:line="219" w:lineRule="auto"/>
        <w:ind w:left="399"/>
        <w:rPr>
          <w:sz w:val="19"/>
          <w:szCs w:val="19"/>
        </w:rPr>
      </w:pPr>
      <w:r>
        <w:rPr>
          <w:spacing w:val="11"/>
          <w:sz w:val="19"/>
          <w:szCs w:val="19"/>
        </w:rPr>
        <w:t>(3)监理规划报送业主单位签认后生效。</w:t>
      </w:r>
    </w:p>
    <w:p w14:paraId="475FEA99">
      <w:pPr>
        <w:pStyle w:val="2"/>
        <w:spacing w:before="243" w:line="219" w:lineRule="auto"/>
        <w:ind w:left="2"/>
        <w:rPr>
          <w:sz w:val="25"/>
          <w:szCs w:val="25"/>
        </w:rPr>
      </w:pPr>
      <w:r>
        <w:rPr>
          <w:b/>
          <w:bCs/>
          <w:color w:val="0055D6"/>
          <w:spacing w:val="-17"/>
          <w:sz w:val="25"/>
          <w:szCs w:val="25"/>
        </w:rPr>
        <w:t>9.3.3</w:t>
      </w:r>
      <w:r>
        <w:rPr>
          <w:color w:val="0055D6"/>
          <w:spacing w:val="-17"/>
          <w:sz w:val="25"/>
          <w:szCs w:val="25"/>
        </w:rPr>
        <w:t xml:space="preserve">  </w:t>
      </w:r>
      <w:r>
        <w:rPr>
          <w:b/>
          <w:bCs/>
          <w:color w:val="0055D6"/>
          <w:spacing w:val="-17"/>
          <w:sz w:val="25"/>
          <w:szCs w:val="25"/>
        </w:rPr>
        <w:t>监理规划的内容</w:t>
      </w:r>
    </w:p>
    <w:p w14:paraId="7B406746">
      <w:pPr>
        <w:pStyle w:val="2"/>
        <w:spacing w:before="175" w:line="302" w:lineRule="auto"/>
        <w:ind w:right="265" w:firstLine="399"/>
        <w:jc w:val="both"/>
        <w:rPr>
          <w:sz w:val="19"/>
          <w:szCs w:val="19"/>
        </w:rPr>
      </w:pPr>
      <w:r>
        <w:rPr>
          <w:spacing w:val="14"/>
          <w:sz w:val="19"/>
          <w:szCs w:val="19"/>
        </w:rPr>
        <w:t>监理规划的主要内容包括：工程及相关服务对象概况、监理依据、监理范围、监理内容、</w:t>
      </w:r>
      <w:r>
        <w:rPr>
          <w:spacing w:val="17"/>
          <w:sz w:val="19"/>
          <w:szCs w:val="19"/>
        </w:rPr>
        <w:t xml:space="preserve"> </w:t>
      </w:r>
      <w:r>
        <w:rPr>
          <w:spacing w:val="13"/>
          <w:sz w:val="19"/>
          <w:szCs w:val="19"/>
        </w:rPr>
        <w:t>监理目标、监理机构的组织及监理人员的职责、监理工作方法</w:t>
      </w:r>
      <w:r>
        <w:rPr>
          <w:spacing w:val="12"/>
          <w:sz w:val="19"/>
          <w:szCs w:val="19"/>
        </w:rPr>
        <w:t>及措施、监理工作制度、监理工</w:t>
      </w:r>
      <w:r>
        <w:rPr>
          <w:sz w:val="19"/>
          <w:szCs w:val="19"/>
        </w:rPr>
        <w:t xml:space="preserve"> </w:t>
      </w:r>
      <w:r>
        <w:rPr>
          <w:spacing w:val="2"/>
          <w:sz w:val="19"/>
          <w:szCs w:val="19"/>
        </w:rPr>
        <w:t>具和设施等。</w:t>
      </w:r>
    </w:p>
    <w:p w14:paraId="12FE2B42">
      <w:pPr>
        <w:pStyle w:val="2"/>
        <w:spacing w:before="7" w:line="307" w:lineRule="auto"/>
        <w:ind w:right="338" w:firstLine="399"/>
        <w:rPr>
          <w:sz w:val="19"/>
          <w:szCs w:val="19"/>
        </w:rPr>
      </w:pPr>
      <w:r>
        <w:rPr>
          <w:spacing w:val="13"/>
          <w:sz w:val="19"/>
          <w:szCs w:val="19"/>
        </w:rPr>
        <w:t>在监理工作实施过程中，如实际情况或条件发生重</w:t>
      </w:r>
      <w:r>
        <w:rPr>
          <w:spacing w:val="12"/>
          <w:sz w:val="19"/>
          <w:szCs w:val="19"/>
        </w:rPr>
        <w:t>大变化而需要调整监理规划内容，应由</w:t>
      </w:r>
      <w:r>
        <w:rPr>
          <w:sz w:val="19"/>
          <w:szCs w:val="19"/>
        </w:rPr>
        <w:t xml:space="preserve"> </w:t>
      </w:r>
      <w:r>
        <w:rPr>
          <w:spacing w:val="8"/>
          <w:sz w:val="19"/>
          <w:szCs w:val="19"/>
        </w:rPr>
        <w:t>总监理工程师组织监理工程师修改，经监理单位技术负责人审批后报业主单位签认。</w:t>
      </w:r>
    </w:p>
    <w:p w14:paraId="03F58A26">
      <w:pPr>
        <w:pStyle w:val="2"/>
        <w:spacing w:before="103" w:line="221" w:lineRule="auto"/>
        <w:ind w:left="402"/>
        <w:rPr>
          <w:rFonts w:ascii="黑体" w:hAnsi="黑体" w:eastAsia="黑体" w:cs="黑体"/>
          <w:sz w:val="19"/>
          <w:szCs w:val="19"/>
        </w:rPr>
      </w:pPr>
      <w:r>
        <w:rPr>
          <w:b/>
          <w:bCs/>
          <w:color w:val="005FDC"/>
          <w:spacing w:val="5"/>
          <w:sz w:val="19"/>
          <w:szCs w:val="19"/>
        </w:rPr>
        <w:t>1.</w:t>
      </w:r>
      <w:r>
        <w:rPr>
          <w:rFonts w:ascii="黑体" w:hAnsi="黑体" w:eastAsia="黑体" w:cs="黑体"/>
          <w:b/>
          <w:bCs/>
          <w:color w:val="005FDC"/>
          <w:spacing w:val="5"/>
          <w:sz w:val="19"/>
          <w:szCs w:val="19"/>
        </w:rPr>
        <w:t>工程及相关服务对象概况</w:t>
      </w:r>
    </w:p>
    <w:p w14:paraId="0D3A0CEA">
      <w:pPr>
        <w:pStyle w:val="2"/>
        <w:spacing w:before="147" w:line="292" w:lineRule="auto"/>
        <w:ind w:right="285" w:firstLine="399"/>
        <w:jc w:val="both"/>
        <w:rPr>
          <w:sz w:val="19"/>
          <w:szCs w:val="19"/>
        </w:rPr>
      </w:pPr>
      <w:r>
        <w:rPr>
          <w:spacing w:val="14"/>
          <w:sz w:val="19"/>
          <w:szCs w:val="19"/>
        </w:rPr>
        <w:t>工程及相关服务对象概况描述了整个信息系统工程建设项目及相关服务对象的大体情</w:t>
      </w:r>
      <w:r>
        <w:rPr>
          <w:spacing w:val="13"/>
          <w:sz w:val="19"/>
          <w:szCs w:val="19"/>
        </w:rPr>
        <w:t>况，</w:t>
      </w:r>
      <w:r>
        <w:rPr>
          <w:sz w:val="19"/>
          <w:szCs w:val="19"/>
        </w:rPr>
        <w:t xml:space="preserve"> </w:t>
      </w:r>
      <w:r>
        <w:rPr>
          <w:spacing w:val="13"/>
          <w:sz w:val="19"/>
          <w:szCs w:val="19"/>
        </w:rPr>
        <w:t>包括工程名称、工程项目组成及规模、工程预计总投资额</w:t>
      </w:r>
      <w:r>
        <w:rPr>
          <w:spacing w:val="12"/>
          <w:sz w:val="19"/>
          <w:szCs w:val="19"/>
        </w:rPr>
        <w:t>、项目预计工期、工程质量等级、设</w:t>
      </w:r>
      <w:r>
        <w:rPr>
          <w:sz w:val="19"/>
          <w:szCs w:val="19"/>
        </w:rPr>
        <w:t xml:space="preserve"> </w:t>
      </w:r>
      <w:r>
        <w:rPr>
          <w:spacing w:val="7"/>
          <w:sz w:val="19"/>
          <w:szCs w:val="19"/>
        </w:rPr>
        <w:t>计、实施及开发承建单位名称、工程特点的简要描述等。</w:t>
      </w:r>
    </w:p>
    <w:p w14:paraId="38486447">
      <w:pPr>
        <w:pStyle w:val="2"/>
        <w:spacing w:before="136" w:line="222" w:lineRule="auto"/>
        <w:ind w:left="402"/>
        <w:rPr>
          <w:rFonts w:ascii="黑体" w:hAnsi="黑体" w:eastAsia="黑体" w:cs="黑体"/>
          <w:sz w:val="19"/>
          <w:szCs w:val="19"/>
        </w:rPr>
      </w:pPr>
      <w:r>
        <w:rPr>
          <w:b/>
          <w:bCs/>
          <w:color w:val="005AD2"/>
          <w:spacing w:val="8"/>
          <w:sz w:val="19"/>
          <w:szCs w:val="19"/>
        </w:rPr>
        <w:t>2.</w:t>
      </w:r>
      <w:r>
        <w:rPr>
          <w:rFonts w:ascii="黑体" w:hAnsi="黑体" w:eastAsia="黑体" w:cs="黑体"/>
          <w:b/>
          <w:bCs/>
          <w:color w:val="005AD2"/>
          <w:spacing w:val="8"/>
          <w:sz w:val="19"/>
          <w:szCs w:val="19"/>
        </w:rPr>
        <w:t>监理范围、内容与目标</w:t>
      </w:r>
    </w:p>
    <w:p w14:paraId="6448DE2E">
      <w:pPr>
        <w:pStyle w:val="2"/>
        <w:spacing w:before="143" w:line="295" w:lineRule="auto"/>
        <w:ind w:right="245" w:firstLine="399"/>
        <w:jc w:val="both"/>
        <w:rPr>
          <w:sz w:val="19"/>
          <w:szCs w:val="19"/>
        </w:rPr>
      </w:pPr>
      <w:r>
        <w:rPr>
          <w:spacing w:val="13"/>
          <w:sz w:val="19"/>
          <w:szCs w:val="19"/>
        </w:rPr>
        <w:t>监理范围要表明监理组织机构的工作在工程的什么范围内进行，</w:t>
      </w:r>
      <w:r>
        <w:rPr>
          <w:spacing w:val="12"/>
          <w:sz w:val="19"/>
          <w:szCs w:val="19"/>
        </w:rPr>
        <w:t>也包含对工程的哪些阶段</w:t>
      </w:r>
      <w:r>
        <w:rPr>
          <w:sz w:val="19"/>
          <w:szCs w:val="19"/>
        </w:rPr>
        <w:t xml:space="preserve">  </w:t>
      </w:r>
      <w:r>
        <w:rPr>
          <w:spacing w:val="17"/>
          <w:sz w:val="19"/>
          <w:szCs w:val="19"/>
        </w:rPr>
        <w:t>进行监理；监理内容要说明监理工作具体做什么,例如包含质量控制、进度控制、信息管理、</w:t>
      </w:r>
      <w:r>
        <w:rPr>
          <w:spacing w:val="2"/>
          <w:sz w:val="19"/>
          <w:szCs w:val="19"/>
        </w:rPr>
        <w:t xml:space="preserve"> </w:t>
      </w:r>
      <w:r>
        <w:rPr>
          <w:spacing w:val="13"/>
          <w:sz w:val="19"/>
          <w:szCs w:val="19"/>
        </w:rPr>
        <w:t>合同管理等；监理目标列出监理工作在本项目中要达到的效</w:t>
      </w:r>
      <w:r>
        <w:rPr>
          <w:spacing w:val="12"/>
          <w:sz w:val="19"/>
          <w:szCs w:val="19"/>
        </w:rPr>
        <w:t>果，这些效果应该符合实际，并且</w:t>
      </w:r>
      <w:r>
        <w:rPr>
          <w:sz w:val="19"/>
          <w:szCs w:val="19"/>
        </w:rPr>
        <w:t xml:space="preserve">  </w:t>
      </w:r>
      <w:r>
        <w:rPr>
          <w:spacing w:val="8"/>
          <w:sz w:val="19"/>
          <w:szCs w:val="19"/>
        </w:rPr>
        <w:t>在监理的控制范围之内。这三者要根据监理合同和一般的监理原则来确定。</w:t>
      </w:r>
    </w:p>
    <w:p w14:paraId="14921E0B">
      <w:pPr>
        <w:pStyle w:val="2"/>
        <w:spacing w:before="113" w:line="221" w:lineRule="auto"/>
        <w:ind w:left="402"/>
        <w:rPr>
          <w:rFonts w:ascii="黑体" w:hAnsi="黑体" w:eastAsia="黑体" w:cs="黑体"/>
          <w:sz w:val="19"/>
          <w:szCs w:val="19"/>
        </w:rPr>
      </w:pPr>
      <w:r>
        <w:rPr>
          <w:b/>
          <w:bCs/>
          <w:color w:val="0065D9"/>
          <w:spacing w:val="7"/>
          <w:sz w:val="19"/>
          <w:szCs w:val="19"/>
        </w:rPr>
        <w:t>3.</w:t>
      </w:r>
      <w:r>
        <w:rPr>
          <w:rFonts w:ascii="黑体" w:hAnsi="黑体" w:eastAsia="黑体" w:cs="黑体"/>
          <w:b/>
          <w:bCs/>
          <w:color w:val="0065D9"/>
          <w:spacing w:val="7"/>
          <w:sz w:val="19"/>
          <w:szCs w:val="19"/>
        </w:rPr>
        <w:t>监理机构的组织及监理人员的职责</w:t>
      </w:r>
    </w:p>
    <w:p w14:paraId="2B8355B4">
      <w:pPr>
        <w:pStyle w:val="2"/>
        <w:spacing w:before="155" w:line="297" w:lineRule="auto"/>
        <w:ind w:right="245" w:firstLine="399"/>
        <w:jc w:val="both"/>
        <w:rPr>
          <w:sz w:val="19"/>
          <w:szCs w:val="19"/>
        </w:rPr>
      </w:pPr>
      <w:r>
        <w:rPr>
          <w:spacing w:val="13"/>
          <w:sz w:val="19"/>
          <w:szCs w:val="19"/>
        </w:rPr>
        <w:t>监理单位应根据工程项目的实际情况确定监理机构的组织结构</w:t>
      </w:r>
      <w:r>
        <w:rPr>
          <w:spacing w:val="12"/>
          <w:sz w:val="19"/>
          <w:szCs w:val="19"/>
        </w:rPr>
        <w:t>，并按合理的比例配备专业</w:t>
      </w:r>
      <w:r>
        <w:rPr>
          <w:sz w:val="19"/>
          <w:szCs w:val="19"/>
        </w:rPr>
        <w:t xml:space="preserve">  </w:t>
      </w:r>
      <w:r>
        <w:rPr>
          <w:spacing w:val="13"/>
          <w:sz w:val="19"/>
          <w:szCs w:val="19"/>
        </w:rPr>
        <w:t>的监理工程师。在监理规划中，应该写明针对该项目组建的</w:t>
      </w:r>
      <w:r>
        <w:rPr>
          <w:spacing w:val="12"/>
          <w:sz w:val="19"/>
          <w:szCs w:val="19"/>
        </w:rPr>
        <w:t>监理机构的组织形式，以及各个环</w:t>
      </w:r>
      <w:r>
        <w:rPr>
          <w:sz w:val="19"/>
          <w:szCs w:val="19"/>
        </w:rPr>
        <w:t xml:space="preserve">  </w:t>
      </w:r>
      <w:r>
        <w:rPr>
          <w:spacing w:val="13"/>
          <w:sz w:val="19"/>
          <w:szCs w:val="19"/>
        </w:rPr>
        <w:t>节、各个分项目方面的人员配备等情况。其中，监理机构的组织形式一般都以图表的</w:t>
      </w:r>
      <w:r>
        <w:rPr>
          <w:spacing w:val="12"/>
          <w:sz w:val="19"/>
          <w:szCs w:val="19"/>
        </w:rPr>
        <w:t>形式简明</w:t>
      </w:r>
      <w:r>
        <w:rPr>
          <w:sz w:val="19"/>
          <w:szCs w:val="19"/>
        </w:rPr>
        <w:t xml:space="preserve"> </w:t>
      </w:r>
      <w:r>
        <w:rPr>
          <w:spacing w:val="15"/>
          <w:sz w:val="19"/>
          <w:szCs w:val="19"/>
        </w:rPr>
        <w:t>扼要地表示出来；监理工程师的配备可以按照各个分项目的不同划分</w:t>
      </w:r>
      <w:r>
        <w:rPr>
          <w:spacing w:val="14"/>
          <w:sz w:val="19"/>
          <w:szCs w:val="19"/>
        </w:rPr>
        <w:t>，也可以按照职能划分，</w:t>
      </w:r>
      <w:r>
        <w:rPr>
          <w:sz w:val="19"/>
          <w:szCs w:val="19"/>
        </w:rPr>
        <w:t xml:space="preserve"> </w:t>
      </w:r>
      <w:r>
        <w:rPr>
          <w:spacing w:val="13"/>
          <w:sz w:val="19"/>
          <w:szCs w:val="19"/>
        </w:rPr>
        <w:t>还可以综合考虑两方面的内容，按照它们之间的交叉划分</w:t>
      </w:r>
      <w:r>
        <w:rPr>
          <w:spacing w:val="12"/>
          <w:sz w:val="19"/>
          <w:szCs w:val="19"/>
        </w:rPr>
        <w:t>。具体应该采用哪一种划分形式，可</w:t>
      </w:r>
      <w:r>
        <w:rPr>
          <w:sz w:val="19"/>
          <w:szCs w:val="19"/>
        </w:rPr>
        <w:t xml:space="preserve">  </w:t>
      </w:r>
      <w:r>
        <w:rPr>
          <w:spacing w:val="5"/>
          <w:sz w:val="19"/>
          <w:szCs w:val="19"/>
        </w:rPr>
        <w:t>以按照项目自身的特点进行选择。</w:t>
      </w:r>
    </w:p>
    <w:p w14:paraId="4FD8A898">
      <w:pPr>
        <w:pStyle w:val="2"/>
        <w:spacing w:before="103" w:line="221" w:lineRule="auto"/>
        <w:ind w:left="402"/>
        <w:rPr>
          <w:rFonts w:ascii="黑体" w:hAnsi="黑体" w:eastAsia="黑体" w:cs="黑体"/>
          <w:sz w:val="19"/>
          <w:szCs w:val="19"/>
        </w:rPr>
      </w:pPr>
      <w:r>
        <w:rPr>
          <w:b/>
          <w:bCs/>
          <w:color w:val="005AD0"/>
          <w:spacing w:val="7"/>
          <w:sz w:val="19"/>
          <w:szCs w:val="19"/>
        </w:rPr>
        <w:t>4.</w:t>
      </w:r>
      <w:r>
        <w:rPr>
          <w:rFonts w:ascii="黑体" w:hAnsi="黑体" w:eastAsia="黑体" w:cs="黑体"/>
          <w:b/>
          <w:bCs/>
          <w:color w:val="005AD0"/>
          <w:spacing w:val="7"/>
          <w:sz w:val="19"/>
          <w:szCs w:val="19"/>
        </w:rPr>
        <w:t>监理依据、工作制度、工作方法及措施</w:t>
      </w:r>
    </w:p>
    <w:p w14:paraId="0959BB6B">
      <w:pPr>
        <w:pStyle w:val="2"/>
        <w:spacing w:before="147" w:line="298" w:lineRule="auto"/>
        <w:ind w:right="330" w:firstLine="399"/>
        <w:rPr>
          <w:sz w:val="19"/>
          <w:szCs w:val="19"/>
        </w:rPr>
      </w:pPr>
      <w:r>
        <w:rPr>
          <w:spacing w:val="13"/>
          <w:sz w:val="19"/>
          <w:szCs w:val="19"/>
        </w:rPr>
        <w:t>监理依据要求列出监理工作所依据的所有文件、标准、资料，并对依</w:t>
      </w:r>
      <w:r>
        <w:rPr>
          <w:spacing w:val="12"/>
          <w:sz w:val="19"/>
          <w:szCs w:val="19"/>
        </w:rPr>
        <w:t>据的理由和办法进行</w:t>
      </w:r>
      <w:r>
        <w:rPr>
          <w:sz w:val="19"/>
          <w:szCs w:val="19"/>
        </w:rPr>
        <w:t xml:space="preserve"> </w:t>
      </w:r>
      <w:r>
        <w:rPr>
          <w:spacing w:val="1"/>
          <w:sz w:val="19"/>
          <w:szCs w:val="19"/>
        </w:rPr>
        <w:t>阐述。</w:t>
      </w:r>
    </w:p>
    <w:p w14:paraId="06684192">
      <w:pPr>
        <w:pStyle w:val="2"/>
        <w:spacing w:before="7" w:line="291" w:lineRule="auto"/>
        <w:ind w:right="311" w:firstLine="399"/>
        <w:rPr>
          <w:sz w:val="19"/>
          <w:szCs w:val="19"/>
        </w:rPr>
      </w:pPr>
      <w:r>
        <w:rPr>
          <w:spacing w:val="13"/>
          <w:sz w:val="19"/>
          <w:szCs w:val="19"/>
        </w:rPr>
        <w:t>监理工作制度是监理机构制定的，用来约束监理工程师的监理行为的规章，不同项目的监</w:t>
      </w:r>
      <w:r>
        <w:rPr>
          <w:spacing w:val="10"/>
          <w:sz w:val="19"/>
          <w:szCs w:val="19"/>
        </w:rPr>
        <w:t xml:space="preserve"> </w:t>
      </w:r>
      <w:r>
        <w:rPr>
          <w:spacing w:val="9"/>
          <w:sz w:val="19"/>
          <w:szCs w:val="19"/>
        </w:rPr>
        <w:t>理制度可能有不同之处。制度内容主要包括会议、签认、处理、审查等方</w:t>
      </w:r>
      <w:r>
        <w:rPr>
          <w:spacing w:val="8"/>
          <w:sz w:val="19"/>
          <w:szCs w:val="19"/>
        </w:rPr>
        <w:t>面。</w:t>
      </w:r>
    </w:p>
    <w:p w14:paraId="4976CA19">
      <w:pPr>
        <w:pStyle w:val="2"/>
        <w:spacing w:before="2" w:line="247" w:lineRule="auto"/>
        <w:ind w:right="311" w:firstLine="399"/>
        <w:rPr>
          <w:sz w:val="19"/>
          <w:szCs w:val="19"/>
        </w:rPr>
      </w:pPr>
      <w:r>
        <w:rPr>
          <w:spacing w:val="13"/>
          <w:sz w:val="19"/>
          <w:szCs w:val="19"/>
        </w:rPr>
        <w:t>监理工作方法及措施指监理对某一特定的监理对象采取的监理手段，例如对网络设计的监</w:t>
      </w:r>
      <w:r>
        <w:rPr>
          <w:spacing w:val="10"/>
          <w:sz w:val="19"/>
          <w:szCs w:val="19"/>
        </w:rPr>
        <w:t xml:space="preserve"> </w:t>
      </w:r>
      <w:r>
        <w:rPr>
          <w:spacing w:val="9"/>
          <w:sz w:val="19"/>
          <w:szCs w:val="19"/>
        </w:rPr>
        <w:t>理手段、对软件开发过程的监理手段、对信息设备安装的</w:t>
      </w:r>
      <w:r>
        <w:rPr>
          <w:spacing w:val="8"/>
          <w:sz w:val="19"/>
          <w:szCs w:val="19"/>
        </w:rPr>
        <w:t>监理手段等。</w:t>
      </w:r>
    </w:p>
    <w:p w14:paraId="3062756F">
      <w:pPr>
        <w:spacing w:line="247" w:lineRule="auto"/>
        <w:rPr>
          <w:sz w:val="19"/>
          <w:szCs w:val="19"/>
        </w:rPr>
        <w:sectPr>
          <w:type w:val="continuous"/>
          <w:pgSz w:w="10280" w:h="13280"/>
          <w:pgMar w:top="400" w:right="509" w:bottom="400" w:left="1129" w:header="0" w:footer="0" w:gutter="0"/>
          <w:cols w:equalWidth="0" w:num="1">
            <w:col w:w="8641"/>
          </w:cols>
        </w:sectPr>
      </w:pPr>
    </w:p>
    <w:p w14:paraId="02AEA7A7">
      <w:pPr>
        <w:pStyle w:val="2"/>
        <w:spacing w:before="67" w:line="219" w:lineRule="auto"/>
        <w:rPr>
          <w:sz w:val="19"/>
          <w:szCs w:val="19"/>
        </w:rPr>
      </w:pPr>
      <w:r>
        <w:rPr>
          <w:rFonts w:ascii="Times New Roman" w:hAnsi="Times New Roman" w:eastAsia="Times New Roman" w:cs="Times New Roman"/>
          <w:b/>
          <w:bCs/>
          <w:spacing w:val="5"/>
          <w:sz w:val="19"/>
          <w:szCs w:val="19"/>
        </w:rPr>
        <w:t xml:space="preserve">234              </w:t>
      </w:r>
      <w:r>
        <w:rPr>
          <w:spacing w:val="5"/>
          <w:sz w:val="19"/>
          <w:szCs w:val="19"/>
        </w:rPr>
        <w:t>信息系统</w:t>
      </w:r>
      <w:r>
        <w:rPr>
          <w:spacing w:val="4"/>
          <w:sz w:val="19"/>
          <w:szCs w:val="19"/>
        </w:rPr>
        <w:t>监理师教程(第2版)</w:t>
      </w:r>
    </w:p>
    <w:p w14:paraId="642F43DA">
      <w:pPr>
        <w:spacing w:line="316" w:lineRule="auto"/>
        <w:rPr>
          <w:rFonts w:ascii="Arial"/>
          <w:sz w:val="21"/>
        </w:rPr>
      </w:pPr>
    </w:p>
    <w:p w14:paraId="765DA7F3">
      <w:pPr>
        <w:pStyle w:val="2"/>
        <w:spacing w:before="62" w:line="222" w:lineRule="auto"/>
        <w:ind w:left="772"/>
        <w:rPr>
          <w:rFonts w:ascii="黑体" w:hAnsi="黑体" w:eastAsia="黑体" w:cs="黑体"/>
          <w:sz w:val="19"/>
          <w:szCs w:val="19"/>
        </w:rPr>
      </w:pPr>
      <w:bookmarkStart w:id="609" w:name="bookmark594"/>
      <w:bookmarkEnd w:id="609"/>
      <w:r>
        <w:rPr>
          <w:b/>
          <w:bCs/>
          <w:color w:val="007EDF"/>
          <w:spacing w:val="9"/>
          <w:sz w:val="19"/>
          <w:szCs w:val="19"/>
        </w:rPr>
        <w:t>5.</w:t>
      </w:r>
      <w:r>
        <w:rPr>
          <w:rFonts w:ascii="黑体" w:hAnsi="黑体" w:eastAsia="黑体" w:cs="黑体"/>
          <w:b/>
          <w:bCs/>
          <w:color w:val="007EDF"/>
          <w:spacing w:val="9"/>
          <w:sz w:val="19"/>
          <w:szCs w:val="19"/>
        </w:rPr>
        <w:t>监理工具和设施</w:t>
      </w:r>
    </w:p>
    <w:p w14:paraId="2097B6C4">
      <w:pPr>
        <w:pStyle w:val="2"/>
        <w:spacing w:before="165" w:line="306" w:lineRule="auto"/>
        <w:ind w:left="369" w:right="80" w:firstLine="400"/>
        <w:rPr>
          <w:sz w:val="19"/>
          <w:szCs w:val="19"/>
        </w:rPr>
      </w:pPr>
      <w:r>
        <w:rPr>
          <w:spacing w:val="5"/>
          <w:sz w:val="19"/>
          <w:szCs w:val="19"/>
        </w:rPr>
        <w:t>监理工具和设施可分为两类：</w:t>
      </w:r>
      <w:r>
        <w:rPr>
          <w:spacing w:val="68"/>
          <w:sz w:val="19"/>
          <w:szCs w:val="19"/>
        </w:rPr>
        <w:t xml:space="preserve"> </w:t>
      </w:r>
      <w:r>
        <w:rPr>
          <w:spacing w:val="5"/>
          <w:sz w:val="19"/>
          <w:szCs w:val="19"/>
        </w:rPr>
        <w:t>一类是监理单位自带的监理工具；</w:t>
      </w:r>
      <w:r>
        <w:rPr>
          <w:spacing w:val="68"/>
          <w:sz w:val="19"/>
          <w:szCs w:val="19"/>
        </w:rPr>
        <w:t xml:space="preserve"> </w:t>
      </w:r>
      <w:r>
        <w:rPr>
          <w:spacing w:val="5"/>
          <w:sz w:val="19"/>
          <w:szCs w:val="19"/>
        </w:rPr>
        <w:t>一类是</w:t>
      </w:r>
      <w:r>
        <w:rPr>
          <w:spacing w:val="4"/>
          <w:sz w:val="19"/>
          <w:szCs w:val="19"/>
        </w:rPr>
        <w:t>由业主单位提供的</w:t>
      </w:r>
      <w:r>
        <w:rPr>
          <w:sz w:val="19"/>
          <w:szCs w:val="19"/>
        </w:rPr>
        <w:t xml:space="preserve"> </w:t>
      </w:r>
      <w:r>
        <w:rPr>
          <w:spacing w:val="5"/>
          <w:sz w:val="19"/>
          <w:szCs w:val="19"/>
        </w:rPr>
        <w:t>监理设施。</w:t>
      </w:r>
    </w:p>
    <w:p w14:paraId="44187AF8">
      <w:pPr>
        <w:pStyle w:val="2"/>
        <w:spacing w:before="1" w:line="310" w:lineRule="auto"/>
        <w:ind w:left="369" w:right="87" w:firstLine="400"/>
        <w:rPr>
          <w:sz w:val="19"/>
          <w:szCs w:val="19"/>
        </w:rPr>
      </w:pPr>
      <w:r>
        <w:rPr>
          <w:spacing w:val="13"/>
          <w:sz w:val="19"/>
          <w:szCs w:val="19"/>
        </w:rPr>
        <w:t>监理单位应根据工程情况，配备满足监理工作需要的软硬件工具和监理设备，特别是软件</w:t>
      </w:r>
      <w:r>
        <w:rPr>
          <w:sz w:val="19"/>
          <w:szCs w:val="19"/>
        </w:rPr>
        <w:t xml:space="preserve"> </w:t>
      </w:r>
      <w:r>
        <w:rPr>
          <w:spacing w:val="9"/>
          <w:sz w:val="19"/>
          <w:szCs w:val="19"/>
        </w:rPr>
        <w:t>工具，一般包括监理管理软件、监理测试软件</w:t>
      </w:r>
      <w:r>
        <w:rPr>
          <w:spacing w:val="8"/>
          <w:sz w:val="19"/>
          <w:szCs w:val="19"/>
        </w:rPr>
        <w:t>和监理支持软件。</w:t>
      </w:r>
    </w:p>
    <w:p w14:paraId="33F84F4F">
      <w:pPr>
        <w:pStyle w:val="2"/>
        <w:spacing w:before="3" w:line="302" w:lineRule="auto"/>
        <w:ind w:left="369" w:right="85" w:firstLine="400"/>
        <w:rPr>
          <w:sz w:val="19"/>
          <w:szCs w:val="19"/>
        </w:rPr>
      </w:pPr>
      <w:r>
        <w:rPr>
          <w:spacing w:val="18"/>
          <w:sz w:val="19"/>
          <w:szCs w:val="19"/>
        </w:rPr>
        <w:t>如果监理工作包含现场监理部分，还应按合同规定向业主单位提出必要的办公设施等要</w:t>
      </w:r>
      <w:r>
        <w:rPr>
          <w:spacing w:val="14"/>
          <w:sz w:val="19"/>
          <w:szCs w:val="19"/>
        </w:rPr>
        <w:t xml:space="preserve"> </w:t>
      </w:r>
      <w:r>
        <w:rPr>
          <w:spacing w:val="18"/>
          <w:sz w:val="19"/>
          <w:szCs w:val="19"/>
        </w:rPr>
        <w:t>求。需要强调的是，监理机构应妥善使用业主单位提供的设施，并在完成监理工</w:t>
      </w:r>
      <w:r>
        <w:rPr>
          <w:spacing w:val="17"/>
          <w:sz w:val="19"/>
          <w:szCs w:val="19"/>
        </w:rPr>
        <w:t>作后移交业</w:t>
      </w:r>
      <w:r>
        <w:rPr>
          <w:sz w:val="19"/>
          <w:szCs w:val="19"/>
        </w:rPr>
        <w:t xml:space="preserve"> </w:t>
      </w:r>
      <w:r>
        <w:rPr>
          <w:spacing w:val="3"/>
          <w:sz w:val="19"/>
          <w:szCs w:val="19"/>
        </w:rPr>
        <w:t>主单位。</w:t>
      </w:r>
    </w:p>
    <w:p w14:paraId="4329E3DC">
      <w:pPr>
        <w:spacing w:line="377" w:lineRule="auto"/>
        <w:rPr>
          <w:rFonts w:ascii="Arial"/>
          <w:sz w:val="21"/>
        </w:rPr>
      </w:pPr>
    </w:p>
    <w:p w14:paraId="03F3D92F">
      <w:pPr>
        <w:pStyle w:val="2"/>
        <w:spacing w:before="62" w:line="222" w:lineRule="auto"/>
        <w:ind w:left="372"/>
        <w:rPr>
          <w:rFonts w:ascii="黑体" w:hAnsi="黑体" w:eastAsia="黑体" w:cs="黑体"/>
          <w:sz w:val="19"/>
          <w:szCs w:val="19"/>
        </w:rPr>
      </w:pPr>
      <w:r>
        <w:rPr>
          <w:b/>
          <w:bCs/>
          <w:color w:val="0079E3"/>
          <w:spacing w:val="-8"/>
          <w:sz w:val="19"/>
          <w:szCs w:val="19"/>
        </w:rPr>
        <w:t>9.4</w:t>
      </w:r>
      <w:r>
        <w:rPr>
          <w:color w:val="0079E3"/>
          <w:spacing w:val="1"/>
          <w:sz w:val="19"/>
          <w:szCs w:val="19"/>
        </w:rPr>
        <w:t xml:space="preserve">    </w:t>
      </w:r>
      <w:r>
        <w:rPr>
          <w:rFonts w:ascii="黑体" w:hAnsi="黑体" w:eastAsia="黑体" w:cs="黑体"/>
          <w:b/>
          <w:bCs/>
          <w:color w:val="0079E3"/>
          <w:spacing w:val="-8"/>
          <w:sz w:val="19"/>
          <w:szCs w:val="19"/>
        </w:rPr>
        <w:t>监</w:t>
      </w:r>
      <w:r>
        <w:rPr>
          <w:rFonts w:ascii="黑体" w:hAnsi="黑体" w:eastAsia="黑体" w:cs="黑体"/>
          <w:color w:val="0079E3"/>
          <w:spacing w:val="24"/>
          <w:sz w:val="19"/>
          <w:szCs w:val="19"/>
        </w:rPr>
        <w:t xml:space="preserve"> </w:t>
      </w:r>
      <w:r>
        <w:rPr>
          <w:rFonts w:ascii="黑体" w:hAnsi="黑体" w:eastAsia="黑体" w:cs="黑体"/>
          <w:b/>
          <w:bCs/>
          <w:color w:val="0079E3"/>
          <w:spacing w:val="-8"/>
          <w:sz w:val="19"/>
          <w:szCs w:val="19"/>
        </w:rPr>
        <w:t>理</w:t>
      </w:r>
      <w:r>
        <w:rPr>
          <w:rFonts w:ascii="黑体" w:hAnsi="黑体" w:eastAsia="黑体" w:cs="黑体"/>
          <w:color w:val="0079E3"/>
          <w:spacing w:val="27"/>
          <w:sz w:val="19"/>
          <w:szCs w:val="19"/>
        </w:rPr>
        <w:t xml:space="preserve"> </w:t>
      </w:r>
      <w:r>
        <w:rPr>
          <w:rFonts w:ascii="黑体" w:hAnsi="黑体" w:eastAsia="黑体" w:cs="黑体"/>
          <w:b/>
          <w:bCs/>
          <w:color w:val="0079E3"/>
          <w:spacing w:val="-8"/>
          <w:sz w:val="19"/>
          <w:szCs w:val="19"/>
        </w:rPr>
        <w:t>实</w:t>
      </w:r>
      <w:r>
        <w:rPr>
          <w:rFonts w:ascii="黑体" w:hAnsi="黑体" w:eastAsia="黑体" w:cs="黑体"/>
          <w:color w:val="0079E3"/>
          <w:spacing w:val="21"/>
          <w:sz w:val="19"/>
          <w:szCs w:val="19"/>
        </w:rPr>
        <w:t xml:space="preserve"> </w:t>
      </w:r>
      <w:r>
        <w:rPr>
          <w:rFonts w:ascii="黑体" w:hAnsi="黑体" w:eastAsia="黑体" w:cs="黑体"/>
          <w:b/>
          <w:bCs/>
          <w:color w:val="0079E3"/>
          <w:spacing w:val="-8"/>
          <w:sz w:val="19"/>
          <w:szCs w:val="19"/>
        </w:rPr>
        <w:t>施</w:t>
      </w:r>
      <w:r>
        <w:rPr>
          <w:rFonts w:ascii="黑体" w:hAnsi="黑体" w:eastAsia="黑体" w:cs="黑体"/>
          <w:color w:val="0079E3"/>
          <w:spacing w:val="25"/>
          <w:sz w:val="19"/>
          <w:szCs w:val="19"/>
        </w:rPr>
        <w:t xml:space="preserve"> </w:t>
      </w:r>
      <w:r>
        <w:rPr>
          <w:rFonts w:ascii="黑体" w:hAnsi="黑体" w:eastAsia="黑体" w:cs="黑体"/>
          <w:b/>
          <w:bCs/>
          <w:color w:val="0079E3"/>
          <w:spacing w:val="-8"/>
          <w:sz w:val="19"/>
          <w:szCs w:val="19"/>
        </w:rPr>
        <w:t>细</w:t>
      </w:r>
      <w:r>
        <w:rPr>
          <w:rFonts w:ascii="黑体" w:hAnsi="黑体" w:eastAsia="黑体" w:cs="黑体"/>
          <w:color w:val="0079E3"/>
          <w:spacing w:val="21"/>
          <w:sz w:val="19"/>
          <w:szCs w:val="19"/>
        </w:rPr>
        <w:t xml:space="preserve"> </w:t>
      </w:r>
      <w:r>
        <w:rPr>
          <w:rFonts w:ascii="黑体" w:hAnsi="黑体" w:eastAsia="黑体" w:cs="黑体"/>
          <w:b/>
          <w:bCs/>
          <w:color w:val="0079E3"/>
          <w:spacing w:val="-8"/>
          <w:sz w:val="19"/>
          <w:szCs w:val="19"/>
        </w:rPr>
        <w:t>则</w:t>
      </w:r>
    </w:p>
    <w:p w14:paraId="43AE7046">
      <w:pPr>
        <w:spacing w:line="241" w:lineRule="auto"/>
        <w:rPr>
          <w:rFonts w:ascii="Arial"/>
          <w:sz w:val="21"/>
        </w:rPr>
      </w:pPr>
    </w:p>
    <w:p w14:paraId="4DBAFD1A">
      <w:pPr>
        <w:pStyle w:val="2"/>
        <w:spacing w:before="62" w:line="288" w:lineRule="auto"/>
        <w:ind w:left="369" w:right="88" w:firstLine="400"/>
        <w:rPr>
          <w:sz w:val="19"/>
          <w:szCs w:val="19"/>
        </w:rPr>
      </w:pPr>
      <w:r>
        <w:rPr>
          <w:spacing w:val="13"/>
          <w:sz w:val="19"/>
          <w:szCs w:val="19"/>
        </w:rPr>
        <w:t>监理实施细则是指导监理工作开展的文件与备忘录，是指导监理单位各项监理活动的包括</w:t>
      </w:r>
      <w:r>
        <w:rPr>
          <w:sz w:val="19"/>
          <w:szCs w:val="19"/>
        </w:rPr>
        <w:t xml:space="preserve"> </w:t>
      </w:r>
      <w:r>
        <w:rPr>
          <w:spacing w:val="7"/>
          <w:sz w:val="19"/>
          <w:szCs w:val="19"/>
        </w:rPr>
        <w:t>技术、经济、组织和管理在内的综合性文件。</w:t>
      </w:r>
    </w:p>
    <w:p w14:paraId="49DFD6FD">
      <w:pPr>
        <w:pStyle w:val="2"/>
        <w:spacing w:before="188" w:line="220" w:lineRule="auto"/>
        <w:ind w:left="372"/>
        <w:rPr>
          <w:sz w:val="25"/>
          <w:szCs w:val="25"/>
        </w:rPr>
      </w:pPr>
      <w:r>
        <w:rPr>
          <w:b/>
          <w:bCs/>
          <w:color w:val="0071E3"/>
          <w:spacing w:val="-15"/>
          <w:sz w:val="25"/>
          <w:szCs w:val="25"/>
        </w:rPr>
        <w:t>9.4.1</w:t>
      </w:r>
      <w:r>
        <w:rPr>
          <w:color w:val="0071E3"/>
          <w:spacing w:val="81"/>
          <w:sz w:val="25"/>
          <w:szCs w:val="25"/>
        </w:rPr>
        <w:t xml:space="preserve"> </w:t>
      </w:r>
      <w:r>
        <w:rPr>
          <w:b/>
          <w:bCs/>
          <w:color w:val="0071E3"/>
          <w:spacing w:val="-15"/>
          <w:sz w:val="25"/>
          <w:szCs w:val="25"/>
        </w:rPr>
        <w:t>监理实施细则的作用</w:t>
      </w:r>
    </w:p>
    <w:p w14:paraId="5A4E8D3C">
      <w:pPr>
        <w:pStyle w:val="2"/>
        <w:spacing w:before="268" w:line="222" w:lineRule="auto"/>
        <w:ind w:left="772"/>
        <w:rPr>
          <w:rFonts w:ascii="黑体" w:hAnsi="黑体" w:eastAsia="黑体" w:cs="黑体"/>
          <w:sz w:val="19"/>
          <w:szCs w:val="19"/>
        </w:rPr>
      </w:pPr>
      <w:r>
        <w:rPr>
          <w:b/>
          <w:bCs/>
          <w:color w:val="0077D2"/>
          <w:spacing w:val="5"/>
          <w:sz w:val="19"/>
          <w:szCs w:val="19"/>
        </w:rPr>
        <w:t>1.</w:t>
      </w:r>
      <w:r>
        <w:rPr>
          <w:rFonts w:ascii="黑体" w:hAnsi="黑体" w:eastAsia="黑体" w:cs="黑体"/>
          <w:b/>
          <w:bCs/>
          <w:color w:val="0077D2"/>
          <w:spacing w:val="5"/>
          <w:sz w:val="19"/>
          <w:szCs w:val="19"/>
        </w:rPr>
        <w:t>监理实施细则的目的</w:t>
      </w:r>
    </w:p>
    <w:p w14:paraId="499143D1">
      <w:pPr>
        <w:pStyle w:val="2"/>
        <w:spacing w:before="138" w:line="298" w:lineRule="auto"/>
        <w:ind w:left="369" w:firstLine="400"/>
        <w:jc w:val="both"/>
        <w:rPr>
          <w:sz w:val="19"/>
          <w:szCs w:val="19"/>
        </w:rPr>
      </w:pPr>
      <w:r>
        <w:rPr>
          <w:spacing w:val="13"/>
          <w:sz w:val="19"/>
          <w:szCs w:val="19"/>
        </w:rPr>
        <w:t>监理实施细则是以被监理的信息系统工程建设项目为对象而编制的，用以指导监理单位各</w:t>
      </w:r>
      <w:r>
        <w:rPr>
          <w:sz w:val="19"/>
          <w:szCs w:val="19"/>
        </w:rPr>
        <w:t xml:space="preserve">  </w:t>
      </w:r>
      <w:r>
        <w:rPr>
          <w:spacing w:val="13"/>
          <w:sz w:val="19"/>
          <w:szCs w:val="19"/>
        </w:rPr>
        <w:t>项监理活动的技术、经济、组织和管理的综合性文件。它是根据监理合同规定</w:t>
      </w:r>
      <w:r>
        <w:rPr>
          <w:spacing w:val="12"/>
          <w:sz w:val="19"/>
          <w:szCs w:val="19"/>
        </w:rPr>
        <w:t>范围和业主单位</w:t>
      </w:r>
      <w:r>
        <w:rPr>
          <w:sz w:val="19"/>
          <w:szCs w:val="19"/>
        </w:rPr>
        <w:t xml:space="preserve">  </w:t>
      </w:r>
      <w:r>
        <w:rPr>
          <w:spacing w:val="10"/>
          <w:sz w:val="19"/>
          <w:szCs w:val="19"/>
        </w:rPr>
        <w:t>的具体要求，由项目总监理工程师主持，监理工程师参加编制，在设计阶段监理工作的基础上，</w:t>
      </w:r>
      <w:r>
        <w:rPr>
          <w:spacing w:val="3"/>
          <w:sz w:val="19"/>
          <w:szCs w:val="19"/>
        </w:rPr>
        <w:t xml:space="preserve"> </w:t>
      </w:r>
      <w:r>
        <w:rPr>
          <w:spacing w:val="10"/>
          <w:sz w:val="19"/>
          <w:szCs w:val="19"/>
        </w:rPr>
        <w:t>综合项目的具体情况，广泛收集工程信息和资料，以及征求监理工程师的意见和建议的情况下，</w:t>
      </w:r>
      <w:r>
        <w:rPr>
          <w:spacing w:val="4"/>
          <w:sz w:val="19"/>
          <w:szCs w:val="19"/>
        </w:rPr>
        <w:t xml:space="preserve"> </w:t>
      </w:r>
      <w:r>
        <w:rPr>
          <w:spacing w:val="10"/>
          <w:sz w:val="19"/>
          <w:szCs w:val="19"/>
        </w:rPr>
        <w:t>结合监理的具体条件制定的指导整个监理机构开展监理工</w:t>
      </w:r>
      <w:r>
        <w:rPr>
          <w:spacing w:val="9"/>
          <w:sz w:val="19"/>
          <w:szCs w:val="19"/>
        </w:rPr>
        <w:t>作的技术管理性文件。应该注意的是，</w:t>
      </w:r>
      <w:r>
        <w:rPr>
          <w:sz w:val="19"/>
          <w:szCs w:val="19"/>
        </w:rPr>
        <w:t xml:space="preserve"> </w:t>
      </w:r>
      <w:r>
        <w:rPr>
          <w:spacing w:val="15"/>
          <w:sz w:val="19"/>
          <w:szCs w:val="19"/>
        </w:rPr>
        <w:t>对信息系统工程监理而言，仅仅有信息系统工程设计方案是无法完成监理实施细则的制定的。</w:t>
      </w:r>
      <w:r>
        <w:rPr>
          <w:sz w:val="19"/>
          <w:szCs w:val="19"/>
        </w:rPr>
        <w:t xml:space="preserve"> </w:t>
      </w:r>
      <w:r>
        <w:rPr>
          <w:spacing w:val="13"/>
          <w:sz w:val="19"/>
          <w:szCs w:val="19"/>
        </w:rPr>
        <w:t>监理工程师应掌握系统设计中所确定的大量具体实施方法及开发的具体数据之</w:t>
      </w:r>
      <w:r>
        <w:rPr>
          <w:spacing w:val="12"/>
          <w:sz w:val="19"/>
          <w:szCs w:val="19"/>
        </w:rPr>
        <w:t>后，编制出切合</w:t>
      </w:r>
      <w:r>
        <w:rPr>
          <w:sz w:val="19"/>
          <w:szCs w:val="19"/>
        </w:rPr>
        <w:t xml:space="preserve">  </w:t>
      </w:r>
      <w:r>
        <w:rPr>
          <w:spacing w:val="13"/>
          <w:sz w:val="19"/>
          <w:szCs w:val="19"/>
        </w:rPr>
        <w:t>此项工程实际的监理实施细则。编写监理实施细则对实施监理工作意义重大，</w:t>
      </w:r>
      <w:r>
        <w:rPr>
          <w:spacing w:val="12"/>
          <w:sz w:val="19"/>
          <w:szCs w:val="19"/>
        </w:rPr>
        <w:t>是监理工作必经</w:t>
      </w:r>
      <w:r>
        <w:rPr>
          <w:sz w:val="19"/>
          <w:szCs w:val="19"/>
        </w:rPr>
        <w:t xml:space="preserve">  </w:t>
      </w:r>
      <w:r>
        <w:rPr>
          <w:spacing w:val="4"/>
          <w:sz w:val="19"/>
          <w:szCs w:val="19"/>
        </w:rPr>
        <w:t>的一个阶段。</w:t>
      </w:r>
    </w:p>
    <w:p w14:paraId="0031D347">
      <w:pPr>
        <w:pStyle w:val="2"/>
        <w:spacing w:before="144" w:line="222" w:lineRule="auto"/>
        <w:ind w:left="762"/>
        <w:rPr>
          <w:rFonts w:ascii="黑体" w:hAnsi="黑体" w:eastAsia="黑体" w:cs="黑体"/>
          <w:sz w:val="19"/>
          <w:szCs w:val="19"/>
        </w:rPr>
      </w:pPr>
      <w:r>
        <w:rPr>
          <w:b/>
          <w:bCs/>
          <w:color w:val="0074DA"/>
          <w:spacing w:val="9"/>
          <w:sz w:val="19"/>
          <w:szCs w:val="19"/>
        </w:rPr>
        <w:t>2.</w:t>
      </w:r>
      <w:r>
        <w:rPr>
          <w:rFonts w:ascii="黑体" w:hAnsi="黑体" w:eastAsia="黑体" w:cs="黑体"/>
          <w:b/>
          <w:bCs/>
          <w:color w:val="0074DA"/>
          <w:spacing w:val="9"/>
          <w:sz w:val="19"/>
          <w:szCs w:val="19"/>
        </w:rPr>
        <w:t>监理实施细则的作用</w:t>
      </w:r>
    </w:p>
    <w:p w14:paraId="4B4FD864">
      <w:pPr>
        <w:spacing w:before="230" w:line="223" w:lineRule="auto"/>
        <w:ind w:left="770"/>
        <w:rPr>
          <w:rFonts w:ascii="楷体" w:hAnsi="楷体" w:eastAsia="楷体" w:cs="楷体"/>
          <w:sz w:val="19"/>
          <w:szCs w:val="19"/>
        </w:rPr>
      </w:pPr>
      <w:r>
        <w:rPr>
          <w:rFonts w:ascii="楷体" w:hAnsi="楷体" w:eastAsia="楷体" w:cs="楷体"/>
          <w:spacing w:val="18"/>
          <w:sz w:val="19"/>
          <w:szCs w:val="19"/>
        </w:rPr>
        <w:t>1)对监理机构的作用</w:t>
      </w:r>
    </w:p>
    <w:p w14:paraId="4C448CDE">
      <w:pPr>
        <w:pStyle w:val="2"/>
        <w:spacing w:before="75" w:line="293" w:lineRule="auto"/>
        <w:ind w:left="369" w:right="84" w:firstLine="400"/>
        <w:rPr>
          <w:sz w:val="19"/>
          <w:szCs w:val="19"/>
        </w:rPr>
      </w:pPr>
      <w:r>
        <w:rPr>
          <w:spacing w:val="13"/>
          <w:sz w:val="19"/>
          <w:szCs w:val="19"/>
        </w:rPr>
        <w:t>通过对监理实施细则的书写，让监理工程师增加对本工程项目的认识程度，使他们更加熟</w:t>
      </w:r>
      <w:r>
        <w:rPr>
          <w:spacing w:val="2"/>
          <w:sz w:val="19"/>
          <w:szCs w:val="19"/>
        </w:rPr>
        <w:t xml:space="preserve"> </w:t>
      </w:r>
      <w:r>
        <w:rPr>
          <w:spacing w:val="13"/>
          <w:sz w:val="19"/>
          <w:szCs w:val="19"/>
        </w:rPr>
        <w:t>悉工程的一些技术细节。监理工程师在熟悉工程的专业技术的情况下写出有针对</w:t>
      </w:r>
      <w:r>
        <w:rPr>
          <w:spacing w:val="12"/>
          <w:sz w:val="19"/>
          <w:szCs w:val="19"/>
        </w:rPr>
        <w:t>性的监理实施</w:t>
      </w:r>
      <w:r>
        <w:rPr>
          <w:sz w:val="19"/>
          <w:szCs w:val="19"/>
        </w:rPr>
        <w:t xml:space="preserve"> </w:t>
      </w:r>
      <w:r>
        <w:rPr>
          <w:spacing w:val="5"/>
          <w:sz w:val="19"/>
          <w:szCs w:val="19"/>
        </w:rPr>
        <w:t>细则。</w:t>
      </w:r>
    </w:p>
    <w:p w14:paraId="30BB2CCE">
      <w:pPr>
        <w:pStyle w:val="2"/>
        <w:spacing w:before="23" w:line="287" w:lineRule="auto"/>
        <w:ind w:left="369" w:firstLine="400"/>
        <w:jc w:val="both"/>
        <w:rPr>
          <w:sz w:val="19"/>
          <w:szCs w:val="19"/>
        </w:rPr>
      </w:pPr>
      <w:r>
        <w:rPr>
          <w:spacing w:val="14"/>
          <w:sz w:val="19"/>
          <w:szCs w:val="19"/>
        </w:rPr>
        <w:t>监理实施细则是指导监理工作开展的文件与备忘录。由于监理工作繁杂，难免会有遗漏，</w:t>
      </w:r>
      <w:r>
        <w:rPr>
          <w:spacing w:val="8"/>
          <w:sz w:val="19"/>
          <w:szCs w:val="19"/>
        </w:rPr>
        <w:t xml:space="preserve"> </w:t>
      </w:r>
      <w:r>
        <w:rPr>
          <w:spacing w:val="15"/>
          <w:sz w:val="19"/>
          <w:szCs w:val="19"/>
        </w:rPr>
        <w:t>监理实施细则就会起到备忘录的作用。因为细则中包含了与规定的质量控制点相对应的检</w:t>
      </w:r>
      <w:r>
        <w:rPr>
          <w:spacing w:val="14"/>
          <w:sz w:val="19"/>
          <w:szCs w:val="19"/>
        </w:rPr>
        <w:t>查、</w:t>
      </w:r>
      <w:r>
        <w:rPr>
          <w:sz w:val="19"/>
          <w:szCs w:val="19"/>
        </w:rPr>
        <w:t xml:space="preserve"> </w:t>
      </w:r>
      <w:r>
        <w:rPr>
          <w:spacing w:val="13"/>
          <w:sz w:val="19"/>
          <w:szCs w:val="19"/>
        </w:rPr>
        <w:t>监督内容，监理工程师对此质量控制点进行检查和监督，当检查中发现问题时</w:t>
      </w:r>
      <w:r>
        <w:rPr>
          <w:spacing w:val="12"/>
          <w:sz w:val="19"/>
          <w:szCs w:val="19"/>
        </w:rPr>
        <w:t>，因细则中对这</w:t>
      </w:r>
      <w:r>
        <w:rPr>
          <w:sz w:val="19"/>
          <w:szCs w:val="19"/>
        </w:rPr>
        <w:t xml:space="preserve">  </w:t>
      </w:r>
      <w:r>
        <w:rPr>
          <w:spacing w:val="19"/>
          <w:sz w:val="19"/>
          <w:szCs w:val="19"/>
        </w:rPr>
        <w:t>些可能出现的问题已有相应的预防与补救措施，便可</w:t>
      </w:r>
      <w:r>
        <w:rPr>
          <w:spacing w:val="18"/>
          <w:sz w:val="19"/>
          <w:szCs w:val="19"/>
        </w:rPr>
        <w:t>迅速采取补救措施，有利于保证工程的</w:t>
      </w:r>
      <w:r>
        <w:rPr>
          <w:sz w:val="19"/>
          <w:szCs w:val="19"/>
        </w:rPr>
        <w:t xml:space="preserve"> </w:t>
      </w:r>
      <w:r>
        <w:rPr>
          <w:spacing w:val="5"/>
          <w:sz w:val="19"/>
          <w:szCs w:val="19"/>
        </w:rPr>
        <w:t>质量。</w:t>
      </w:r>
    </w:p>
    <w:p w14:paraId="0CBED7EC">
      <w:pPr>
        <w:spacing w:line="287" w:lineRule="auto"/>
        <w:rPr>
          <w:sz w:val="19"/>
          <w:szCs w:val="19"/>
        </w:rPr>
        <w:sectPr>
          <w:pgSz w:w="10300" w:h="13360"/>
          <w:pgMar w:top="400" w:right="1064" w:bottom="400" w:left="459" w:header="0" w:footer="0" w:gutter="0"/>
          <w:cols w:space="720" w:num="1"/>
        </w:sectPr>
      </w:pPr>
    </w:p>
    <w:p w14:paraId="5CC40AC0">
      <w:pPr>
        <w:pStyle w:val="2"/>
        <w:spacing w:before="106" w:line="208" w:lineRule="auto"/>
        <w:jc w:val="right"/>
        <w:rPr>
          <w:rFonts w:ascii="Times New Roman" w:hAnsi="Times New Roman" w:eastAsia="Times New Roman" w:cs="Times New Roman"/>
          <w:sz w:val="32"/>
          <w:szCs w:val="32"/>
        </w:rPr>
      </w:pPr>
      <w:bookmarkStart w:id="610" w:name="bookmark595"/>
      <w:bookmarkEnd w:id="610"/>
      <w:r>
        <w:rPr>
          <w:spacing w:val="-7"/>
          <w:position w:val="1"/>
          <w:sz w:val="20"/>
          <w:szCs w:val="20"/>
        </w:rPr>
        <w:t>第9章 监理工作的组织和规划</w:t>
      </w:r>
      <w:r>
        <w:rPr>
          <w:spacing w:val="3"/>
          <w:position w:val="1"/>
          <w:sz w:val="20"/>
          <w:szCs w:val="20"/>
        </w:rPr>
        <w:t xml:space="preserve">      </w:t>
      </w:r>
      <w:r>
        <w:rPr>
          <w:rFonts w:ascii="Times New Roman" w:hAnsi="Times New Roman" w:eastAsia="Times New Roman" w:cs="Times New Roman"/>
          <w:spacing w:val="-20"/>
          <w:w w:val="88"/>
          <w:position w:val="-6"/>
          <w:sz w:val="32"/>
          <w:szCs w:val="32"/>
        </w:rPr>
        <w:t>235</w:t>
      </w:r>
    </w:p>
    <w:p w14:paraId="717B54CF">
      <w:pPr>
        <w:spacing w:before="287" w:line="223" w:lineRule="auto"/>
        <w:ind w:left="409"/>
        <w:rPr>
          <w:rFonts w:ascii="楷体" w:hAnsi="楷体" w:eastAsia="楷体" w:cs="楷体"/>
          <w:sz w:val="20"/>
          <w:szCs w:val="20"/>
        </w:rPr>
      </w:pPr>
      <w:r>
        <w:rPr>
          <w:rFonts w:ascii="楷体" w:hAnsi="楷体" w:eastAsia="楷体" w:cs="楷体"/>
          <w:spacing w:val="10"/>
          <w:sz w:val="20"/>
          <w:szCs w:val="20"/>
        </w:rPr>
        <w:t>2)对承建单位的作用</w:t>
      </w:r>
    </w:p>
    <w:p w14:paraId="230C3DF2">
      <w:pPr>
        <w:pStyle w:val="2"/>
        <w:spacing w:before="73" w:line="279" w:lineRule="auto"/>
        <w:ind w:right="365" w:firstLine="409"/>
        <w:rPr>
          <w:sz w:val="20"/>
          <w:szCs w:val="20"/>
        </w:rPr>
      </w:pPr>
      <w:r>
        <w:rPr>
          <w:spacing w:val="4"/>
          <w:sz w:val="20"/>
          <w:szCs w:val="20"/>
        </w:rPr>
        <w:t>监理单位把监理实施细则提供给承建单位，能起到</w:t>
      </w:r>
      <w:r>
        <w:rPr>
          <w:spacing w:val="3"/>
          <w:sz w:val="20"/>
          <w:szCs w:val="20"/>
        </w:rPr>
        <w:t>工作联系单或监理通知单的作用。因为</w:t>
      </w:r>
      <w:r>
        <w:rPr>
          <w:sz w:val="20"/>
          <w:szCs w:val="20"/>
        </w:rPr>
        <w:t xml:space="preserve"> </w:t>
      </w:r>
      <w:r>
        <w:rPr>
          <w:spacing w:val="3"/>
          <w:sz w:val="20"/>
          <w:szCs w:val="20"/>
        </w:rPr>
        <w:t>除了强制性要求的验收内容外，承建单位不清楚还有哪些工序是监理机构必须进行检查的。而</w:t>
      </w:r>
      <w:r>
        <w:rPr>
          <w:spacing w:val="6"/>
          <w:sz w:val="20"/>
          <w:szCs w:val="20"/>
        </w:rPr>
        <w:t xml:space="preserve"> </w:t>
      </w:r>
      <w:r>
        <w:rPr>
          <w:spacing w:val="3"/>
          <w:sz w:val="20"/>
          <w:szCs w:val="20"/>
        </w:rPr>
        <w:t xml:space="preserve">细则中通过质量控制点设置的安排，可提示承建单位在相应的质量控制点到来前必须通知监理 </w:t>
      </w:r>
      <w:r>
        <w:rPr>
          <w:spacing w:val="-2"/>
          <w:sz w:val="20"/>
          <w:szCs w:val="20"/>
        </w:rPr>
        <w:t>机构，避免承建单位遗忘通知而引发纠纷。</w:t>
      </w:r>
    </w:p>
    <w:p w14:paraId="30098378">
      <w:pPr>
        <w:pStyle w:val="2"/>
        <w:spacing w:before="30" w:line="286" w:lineRule="auto"/>
        <w:ind w:right="386" w:firstLine="409"/>
        <w:jc w:val="both"/>
        <w:rPr>
          <w:sz w:val="20"/>
          <w:szCs w:val="20"/>
        </w:rPr>
      </w:pPr>
      <w:r>
        <w:rPr>
          <w:spacing w:val="3"/>
          <w:sz w:val="20"/>
          <w:szCs w:val="20"/>
        </w:rPr>
        <w:t>监理机构把监理实施细则提供给承建单位，为承建单位起到提醒与警示的作用。主要是提</w:t>
      </w:r>
      <w:r>
        <w:rPr>
          <w:sz w:val="20"/>
          <w:szCs w:val="20"/>
        </w:rPr>
        <w:t xml:space="preserve"> </w:t>
      </w:r>
      <w:r>
        <w:rPr>
          <w:spacing w:val="3"/>
          <w:sz w:val="20"/>
          <w:szCs w:val="20"/>
        </w:rPr>
        <w:t>醒承建单位注意质量通病，使之为预防通病出现而采取相应的措施，同时，监理设置的质量控</w:t>
      </w:r>
      <w:r>
        <w:rPr>
          <w:spacing w:val="5"/>
          <w:sz w:val="20"/>
          <w:szCs w:val="20"/>
        </w:rPr>
        <w:t xml:space="preserve"> </w:t>
      </w:r>
      <w:r>
        <w:rPr>
          <w:spacing w:val="-1"/>
          <w:sz w:val="20"/>
          <w:szCs w:val="20"/>
        </w:rPr>
        <w:t>制点提醒承建单位对工程过程中关键部位可能出现的问题采取相应的应急</w:t>
      </w:r>
      <w:r>
        <w:rPr>
          <w:spacing w:val="-2"/>
          <w:sz w:val="20"/>
          <w:szCs w:val="20"/>
        </w:rPr>
        <w:t>措施。</w:t>
      </w:r>
    </w:p>
    <w:p w14:paraId="72B3C7D6">
      <w:pPr>
        <w:spacing w:before="96" w:line="223" w:lineRule="auto"/>
        <w:ind w:left="409"/>
        <w:rPr>
          <w:rFonts w:ascii="楷体" w:hAnsi="楷体" w:eastAsia="楷体" w:cs="楷体"/>
          <w:sz w:val="20"/>
          <w:szCs w:val="20"/>
        </w:rPr>
      </w:pPr>
      <w:r>
        <w:rPr>
          <w:rFonts w:ascii="楷体" w:hAnsi="楷体" w:eastAsia="楷体" w:cs="楷体"/>
          <w:spacing w:val="10"/>
          <w:sz w:val="20"/>
          <w:szCs w:val="20"/>
        </w:rPr>
        <w:t>3)对业主单位的作用</w:t>
      </w:r>
    </w:p>
    <w:p w14:paraId="6A584ABD">
      <w:pPr>
        <w:pStyle w:val="2"/>
        <w:spacing w:before="71" w:line="280" w:lineRule="auto"/>
        <w:ind w:right="316" w:firstLine="409"/>
        <w:rPr>
          <w:sz w:val="20"/>
          <w:szCs w:val="20"/>
        </w:rPr>
      </w:pPr>
      <w:r>
        <w:rPr>
          <w:sz w:val="20"/>
          <w:szCs w:val="20"/>
        </w:rPr>
        <w:t>监理单位将一份切合工程实际的监理实施细则提供给业主单位，</w:t>
      </w:r>
      <w:r>
        <w:rPr>
          <w:spacing w:val="-1"/>
          <w:sz w:val="20"/>
          <w:szCs w:val="20"/>
        </w:rPr>
        <w:t>使业主单位对工程的质量、</w:t>
      </w:r>
      <w:r>
        <w:rPr>
          <w:sz w:val="20"/>
          <w:szCs w:val="20"/>
        </w:rPr>
        <w:t xml:space="preserve"> </w:t>
      </w:r>
      <w:r>
        <w:rPr>
          <w:spacing w:val="3"/>
          <w:sz w:val="20"/>
          <w:szCs w:val="20"/>
        </w:rPr>
        <w:t>进度、投资、变更等控制方法有一定的了解，从而有利于业主单位对工程的管理和控制。同时</w:t>
      </w:r>
      <w:r>
        <w:rPr>
          <w:spacing w:val="8"/>
          <w:sz w:val="20"/>
          <w:szCs w:val="20"/>
        </w:rPr>
        <w:t xml:space="preserve"> </w:t>
      </w:r>
      <w:r>
        <w:rPr>
          <w:spacing w:val="3"/>
          <w:sz w:val="20"/>
          <w:szCs w:val="20"/>
        </w:rPr>
        <w:t>也让业主单位了解监理工作的具体内容，配合和督促承建单位共同完成项目建设，有利于获得</w:t>
      </w:r>
      <w:r>
        <w:rPr>
          <w:spacing w:val="4"/>
          <w:sz w:val="20"/>
          <w:szCs w:val="20"/>
        </w:rPr>
        <w:t xml:space="preserve"> </w:t>
      </w:r>
      <w:r>
        <w:rPr>
          <w:spacing w:val="-3"/>
          <w:sz w:val="20"/>
          <w:szCs w:val="20"/>
        </w:rPr>
        <w:t>业主单位对监理的信任与支持。</w:t>
      </w:r>
    </w:p>
    <w:p w14:paraId="3444E14C">
      <w:pPr>
        <w:pStyle w:val="2"/>
        <w:spacing w:before="197" w:line="219" w:lineRule="auto"/>
        <w:ind w:left="2"/>
        <w:rPr>
          <w:sz w:val="25"/>
          <w:szCs w:val="25"/>
        </w:rPr>
      </w:pPr>
      <w:r>
        <w:rPr>
          <w:b/>
          <w:bCs/>
          <w:color w:val="005ED9"/>
          <w:spacing w:val="-17"/>
          <w:sz w:val="25"/>
          <w:szCs w:val="25"/>
        </w:rPr>
        <w:t>9.4.2</w:t>
      </w:r>
      <w:r>
        <w:rPr>
          <w:color w:val="005ED9"/>
          <w:spacing w:val="104"/>
          <w:sz w:val="25"/>
          <w:szCs w:val="25"/>
        </w:rPr>
        <w:t xml:space="preserve"> </w:t>
      </w:r>
      <w:r>
        <w:rPr>
          <w:b/>
          <w:bCs/>
          <w:color w:val="005ED9"/>
          <w:spacing w:val="-17"/>
          <w:sz w:val="25"/>
          <w:szCs w:val="25"/>
        </w:rPr>
        <w:t>监理实施细则的编制</w:t>
      </w:r>
    </w:p>
    <w:p w14:paraId="2DAA675A">
      <w:pPr>
        <w:pStyle w:val="2"/>
        <w:spacing w:before="174" w:line="281" w:lineRule="auto"/>
        <w:ind w:right="384" w:firstLine="409"/>
        <w:jc w:val="both"/>
        <w:rPr>
          <w:sz w:val="20"/>
          <w:szCs w:val="20"/>
        </w:rPr>
      </w:pPr>
      <w:r>
        <w:rPr>
          <w:spacing w:val="3"/>
          <w:sz w:val="20"/>
          <w:szCs w:val="20"/>
        </w:rPr>
        <w:t>对于技术复杂、专业性较强的大中型信息系统工程建设项目，监理机构应该编制监理实施</w:t>
      </w:r>
      <w:r>
        <w:rPr>
          <w:spacing w:val="1"/>
          <w:sz w:val="20"/>
          <w:szCs w:val="20"/>
        </w:rPr>
        <w:t xml:space="preserve"> </w:t>
      </w:r>
      <w:r>
        <w:rPr>
          <w:spacing w:val="3"/>
          <w:sz w:val="20"/>
          <w:szCs w:val="20"/>
        </w:rPr>
        <w:t>细则。信息系统工程监理实施细则是在监理规划的基础上，根据项目实际情况，对各项监理工</w:t>
      </w:r>
      <w:r>
        <w:rPr>
          <w:spacing w:val="7"/>
          <w:sz w:val="20"/>
          <w:szCs w:val="20"/>
        </w:rPr>
        <w:t xml:space="preserve"> </w:t>
      </w:r>
      <w:r>
        <w:rPr>
          <w:spacing w:val="3"/>
          <w:sz w:val="20"/>
          <w:szCs w:val="20"/>
        </w:rPr>
        <w:t>作的具体实施和操作要求的具体化、详细化，用以指导监理机构全面开展监理业务。监理实施</w:t>
      </w:r>
      <w:r>
        <w:rPr>
          <w:spacing w:val="5"/>
          <w:sz w:val="20"/>
          <w:szCs w:val="20"/>
        </w:rPr>
        <w:t xml:space="preserve"> </w:t>
      </w:r>
      <w:r>
        <w:rPr>
          <w:spacing w:val="3"/>
          <w:sz w:val="20"/>
          <w:szCs w:val="20"/>
        </w:rPr>
        <w:t>细则应符合监理规划中的相关要求，并应结合信息系统工程建设项目的专业特点，做到详细具</w:t>
      </w:r>
      <w:r>
        <w:rPr>
          <w:spacing w:val="7"/>
          <w:sz w:val="20"/>
          <w:szCs w:val="20"/>
        </w:rPr>
        <w:t xml:space="preserve"> </w:t>
      </w:r>
      <w:r>
        <w:rPr>
          <w:spacing w:val="-4"/>
          <w:sz w:val="20"/>
          <w:szCs w:val="20"/>
        </w:rPr>
        <w:t>体，具有可操作性。</w:t>
      </w:r>
    </w:p>
    <w:p w14:paraId="1A667F99">
      <w:pPr>
        <w:pStyle w:val="2"/>
        <w:spacing w:before="59" w:line="268" w:lineRule="auto"/>
        <w:ind w:right="385" w:firstLine="409"/>
        <w:jc w:val="both"/>
        <w:rPr>
          <w:sz w:val="20"/>
          <w:szCs w:val="20"/>
        </w:rPr>
      </w:pPr>
      <w:r>
        <w:rPr>
          <w:spacing w:val="3"/>
          <w:sz w:val="20"/>
          <w:szCs w:val="20"/>
        </w:rPr>
        <w:t>监理实施细则应在相应工程实施开始前，由总监理工程师组织各专业监理工程师编制，经</w:t>
      </w:r>
      <w:r>
        <w:rPr>
          <w:sz w:val="20"/>
          <w:szCs w:val="20"/>
        </w:rPr>
        <w:t xml:space="preserve"> </w:t>
      </w:r>
      <w:r>
        <w:rPr>
          <w:spacing w:val="3"/>
          <w:sz w:val="20"/>
          <w:szCs w:val="20"/>
        </w:rPr>
        <w:t>总监理工程师批准后方能实施。在监理工作实施过程中，监理实施细则还应根据实际情况进行</w:t>
      </w:r>
      <w:r>
        <w:rPr>
          <w:spacing w:val="6"/>
          <w:sz w:val="20"/>
          <w:szCs w:val="20"/>
        </w:rPr>
        <w:t xml:space="preserve"> </w:t>
      </w:r>
      <w:r>
        <w:rPr>
          <w:spacing w:val="-1"/>
          <w:sz w:val="20"/>
          <w:szCs w:val="20"/>
        </w:rPr>
        <w:t>补充、修改和完善，修订后的细则也需要报总监理工程师</w:t>
      </w:r>
      <w:r>
        <w:rPr>
          <w:spacing w:val="-2"/>
          <w:sz w:val="20"/>
          <w:szCs w:val="20"/>
        </w:rPr>
        <w:t>批准后实施。</w:t>
      </w:r>
    </w:p>
    <w:p w14:paraId="4A5F0E65">
      <w:pPr>
        <w:pStyle w:val="2"/>
        <w:spacing w:before="135" w:line="221" w:lineRule="auto"/>
        <w:ind w:left="412"/>
        <w:rPr>
          <w:rFonts w:ascii="黑体" w:hAnsi="黑体" w:eastAsia="黑体" w:cs="黑体"/>
          <w:sz w:val="20"/>
          <w:szCs w:val="20"/>
        </w:rPr>
      </w:pPr>
      <w:r>
        <w:rPr>
          <w:b/>
          <w:bCs/>
          <w:color w:val="006EDC"/>
          <w:spacing w:val="-2"/>
          <w:sz w:val="20"/>
          <w:szCs w:val="20"/>
        </w:rPr>
        <w:t>1.</w:t>
      </w:r>
      <w:r>
        <w:rPr>
          <w:rFonts w:ascii="黑体" w:hAnsi="黑体" w:eastAsia="黑体" w:cs="黑体"/>
          <w:b/>
          <w:bCs/>
          <w:color w:val="006EDC"/>
          <w:spacing w:val="-2"/>
          <w:sz w:val="20"/>
          <w:szCs w:val="20"/>
        </w:rPr>
        <w:t>监理实施细则的编制要求</w:t>
      </w:r>
    </w:p>
    <w:p w14:paraId="6B323A23">
      <w:pPr>
        <w:pStyle w:val="2"/>
        <w:spacing w:before="145" w:line="219" w:lineRule="auto"/>
        <w:ind w:left="409"/>
        <w:rPr>
          <w:sz w:val="20"/>
          <w:szCs w:val="20"/>
        </w:rPr>
      </w:pPr>
      <w:r>
        <w:rPr>
          <w:spacing w:val="-4"/>
          <w:sz w:val="20"/>
          <w:szCs w:val="20"/>
        </w:rPr>
        <w:t>监理实施细则的编制应符合下列要求：</w:t>
      </w:r>
    </w:p>
    <w:p w14:paraId="6CFF4756">
      <w:pPr>
        <w:pStyle w:val="2"/>
        <w:spacing w:before="71" w:line="219" w:lineRule="auto"/>
        <w:ind w:left="409"/>
        <w:rPr>
          <w:sz w:val="20"/>
          <w:szCs w:val="20"/>
        </w:rPr>
      </w:pPr>
      <w:r>
        <w:rPr>
          <w:spacing w:val="3"/>
          <w:sz w:val="20"/>
          <w:szCs w:val="20"/>
        </w:rPr>
        <w:t>(1)要符合项目本身的专业特点。</w:t>
      </w:r>
    </w:p>
    <w:p w14:paraId="42B1C3CA">
      <w:pPr>
        <w:pStyle w:val="2"/>
        <w:spacing w:before="73" w:line="268" w:lineRule="auto"/>
        <w:ind w:right="360" w:firstLine="409"/>
        <w:rPr>
          <w:sz w:val="20"/>
          <w:szCs w:val="20"/>
        </w:rPr>
      </w:pPr>
      <w:r>
        <w:rPr>
          <w:spacing w:val="4"/>
          <w:sz w:val="20"/>
          <w:szCs w:val="20"/>
        </w:rPr>
        <w:t>监理实施细则是具体指导项目中各专业开展监理工作的技术性</w:t>
      </w:r>
      <w:r>
        <w:rPr>
          <w:spacing w:val="3"/>
          <w:sz w:val="20"/>
          <w:szCs w:val="20"/>
        </w:rPr>
        <w:t>文件，需要各专业间相互的</w:t>
      </w:r>
      <w:r>
        <w:rPr>
          <w:sz w:val="20"/>
          <w:szCs w:val="20"/>
        </w:rPr>
        <w:t xml:space="preserve"> </w:t>
      </w:r>
      <w:r>
        <w:rPr>
          <w:spacing w:val="3"/>
          <w:sz w:val="20"/>
          <w:szCs w:val="20"/>
        </w:rPr>
        <w:t>配合协调、有序进行。如果各自管各自的专业特点而不考虑别的专业，那么整个项目的实施就</w:t>
      </w:r>
      <w:r>
        <w:rPr>
          <w:spacing w:val="5"/>
          <w:sz w:val="20"/>
          <w:szCs w:val="20"/>
        </w:rPr>
        <w:t xml:space="preserve"> </w:t>
      </w:r>
      <w:r>
        <w:rPr>
          <w:spacing w:val="-3"/>
          <w:sz w:val="20"/>
          <w:szCs w:val="20"/>
        </w:rPr>
        <w:t>会出现混乱，甚至影响目标的实现。</w:t>
      </w:r>
    </w:p>
    <w:p w14:paraId="2071E600">
      <w:pPr>
        <w:pStyle w:val="2"/>
        <w:spacing w:before="59" w:line="219" w:lineRule="auto"/>
        <w:ind w:left="409"/>
        <w:rPr>
          <w:sz w:val="20"/>
          <w:szCs w:val="20"/>
        </w:rPr>
      </w:pPr>
      <w:r>
        <w:rPr>
          <w:spacing w:val="3"/>
          <w:sz w:val="20"/>
          <w:szCs w:val="20"/>
        </w:rPr>
        <w:t>(2)严格执行国家、地方的规范及标准并考虑项目自身的特点。</w:t>
      </w:r>
    </w:p>
    <w:p w14:paraId="1CB13976">
      <w:pPr>
        <w:pStyle w:val="2"/>
        <w:spacing w:before="52" w:line="278" w:lineRule="auto"/>
        <w:ind w:right="357" w:firstLine="409"/>
        <w:rPr>
          <w:sz w:val="20"/>
          <w:szCs w:val="20"/>
        </w:rPr>
      </w:pPr>
      <w:r>
        <w:rPr>
          <w:spacing w:val="4"/>
          <w:sz w:val="20"/>
          <w:szCs w:val="20"/>
        </w:rPr>
        <w:t>国家和地方的标准、规范、规程及行业技术规</w:t>
      </w:r>
      <w:r>
        <w:rPr>
          <w:spacing w:val="3"/>
          <w:sz w:val="20"/>
          <w:szCs w:val="20"/>
        </w:rPr>
        <w:t>范文件等是开展监理工作的主要依据。但对</w:t>
      </w:r>
      <w:r>
        <w:rPr>
          <w:sz w:val="20"/>
          <w:szCs w:val="20"/>
        </w:rPr>
        <w:t xml:space="preserve"> </w:t>
      </w:r>
      <w:r>
        <w:rPr>
          <w:spacing w:val="4"/>
          <w:sz w:val="20"/>
          <w:szCs w:val="20"/>
        </w:rPr>
        <w:t>于一些非强制性的标准、规范，可以结合项目的自身特点和监理目标，有选择</w:t>
      </w:r>
      <w:r>
        <w:rPr>
          <w:spacing w:val="3"/>
          <w:sz w:val="20"/>
          <w:szCs w:val="20"/>
        </w:rPr>
        <w:t>地采纳适合项目</w:t>
      </w:r>
      <w:r>
        <w:rPr>
          <w:sz w:val="20"/>
          <w:szCs w:val="20"/>
        </w:rPr>
        <w:t xml:space="preserve"> </w:t>
      </w:r>
      <w:r>
        <w:rPr>
          <w:spacing w:val="-4"/>
          <w:sz w:val="20"/>
          <w:szCs w:val="20"/>
        </w:rPr>
        <w:t>自身特点的部分，而不要照抄、照搬。</w:t>
      </w:r>
    </w:p>
    <w:p w14:paraId="56D00CC2">
      <w:pPr>
        <w:pStyle w:val="2"/>
        <w:spacing w:before="29" w:line="219" w:lineRule="auto"/>
        <w:ind w:left="409"/>
        <w:rPr>
          <w:sz w:val="20"/>
          <w:szCs w:val="20"/>
        </w:rPr>
      </w:pPr>
      <w:r>
        <w:rPr>
          <w:spacing w:val="2"/>
          <w:sz w:val="20"/>
          <w:szCs w:val="20"/>
        </w:rPr>
        <w:t>(3)尽可能地对专业方面的技术指标量化、细化，使其更具有可操作性。</w:t>
      </w:r>
    </w:p>
    <w:p w14:paraId="56165923">
      <w:pPr>
        <w:pStyle w:val="2"/>
        <w:spacing w:before="62" w:line="271" w:lineRule="auto"/>
        <w:ind w:right="365" w:firstLine="409"/>
        <w:rPr>
          <w:sz w:val="20"/>
          <w:szCs w:val="20"/>
        </w:rPr>
      </w:pPr>
      <w:r>
        <w:rPr>
          <w:spacing w:val="4"/>
          <w:sz w:val="20"/>
          <w:szCs w:val="20"/>
        </w:rPr>
        <w:t>编写监理实施细则的目的是指导项目实施过程中的</w:t>
      </w:r>
      <w:r>
        <w:rPr>
          <w:spacing w:val="3"/>
          <w:sz w:val="20"/>
          <w:szCs w:val="20"/>
        </w:rPr>
        <w:t>各项活动，并对各专业的实施活动进行</w:t>
      </w:r>
      <w:r>
        <w:rPr>
          <w:sz w:val="20"/>
          <w:szCs w:val="20"/>
        </w:rPr>
        <w:t xml:space="preserve"> </w:t>
      </w:r>
      <w:r>
        <w:rPr>
          <w:spacing w:val="3"/>
          <w:sz w:val="20"/>
          <w:szCs w:val="20"/>
        </w:rPr>
        <w:t>监督和对结果进行评价，监理工程师必须尽可能地依据技术指标来进行检验评定，使监理实施</w:t>
      </w:r>
    </w:p>
    <w:p w14:paraId="370EC2A3">
      <w:pPr>
        <w:spacing w:line="271" w:lineRule="auto"/>
        <w:rPr>
          <w:sz w:val="20"/>
          <w:szCs w:val="20"/>
        </w:rPr>
        <w:sectPr>
          <w:pgSz w:w="10280" w:h="13290"/>
          <w:pgMar w:top="400" w:right="444" w:bottom="400" w:left="1120" w:header="0" w:footer="0" w:gutter="0"/>
          <w:cols w:space="720" w:num="1"/>
        </w:sectPr>
      </w:pPr>
    </w:p>
    <w:p w14:paraId="34CFD722">
      <w:pPr>
        <w:pStyle w:val="2"/>
        <w:spacing w:before="98" w:line="219" w:lineRule="auto"/>
        <w:rPr>
          <w:sz w:val="20"/>
          <w:szCs w:val="20"/>
        </w:rPr>
      </w:pPr>
      <w:r>
        <w:rPr>
          <w:rFonts w:ascii="Times New Roman" w:hAnsi="Times New Roman" w:eastAsia="Times New Roman" w:cs="Times New Roman"/>
          <w:b/>
          <w:bCs/>
          <w:spacing w:val="-3"/>
          <w:sz w:val="20"/>
          <w:szCs w:val="20"/>
        </w:rPr>
        <w:t>236</w:t>
      </w:r>
      <w:r>
        <w:rPr>
          <w:rFonts w:ascii="Times New Roman" w:hAnsi="Times New Roman" w:eastAsia="Times New Roman" w:cs="Times New Roman"/>
          <w:b/>
          <w:bCs/>
          <w:spacing w:val="2"/>
          <w:sz w:val="20"/>
          <w:szCs w:val="20"/>
        </w:rPr>
        <w:t xml:space="preserve">             </w:t>
      </w:r>
      <w:r>
        <w:rPr>
          <w:spacing w:val="-3"/>
          <w:sz w:val="20"/>
          <w:szCs w:val="20"/>
        </w:rPr>
        <w:t>信息系统监理师教程(第2版)</w:t>
      </w:r>
    </w:p>
    <w:p w14:paraId="4A9B124B">
      <w:pPr>
        <w:spacing w:line="315" w:lineRule="auto"/>
        <w:rPr>
          <w:rFonts w:ascii="Arial"/>
          <w:sz w:val="21"/>
        </w:rPr>
      </w:pPr>
    </w:p>
    <w:p w14:paraId="4D74BFA2">
      <w:pPr>
        <w:pStyle w:val="2"/>
        <w:spacing w:before="65" w:line="219" w:lineRule="auto"/>
        <w:ind w:left="320"/>
        <w:rPr>
          <w:sz w:val="20"/>
          <w:szCs w:val="20"/>
        </w:rPr>
      </w:pPr>
      <w:r>
        <w:rPr>
          <w:spacing w:val="-3"/>
          <w:sz w:val="20"/>
          <w:szCs w:val="20"/>
        </w:rPr>
        <w:t>细则更具有针对性、可操作性。</w:t>
      </w:r>
    </w:p>
    <w:p w14:paraId="1797BBC0">
      <w:pPr>
        <w:pStyle w:val="2"/>
        <w:spacing w:before="72" w:line="283" w:lineRule="auto"/>
        <w:ind w:left="320" w:right="51" w:firstLine="410"/>
        <w:rPr>
          <w:sz w:val="20"/>
          <w:szCs w:val="20"/>
        </w:rPr>
      </w:pPr>
      <w:r>
        <w:rPr>
          <w:spacing w:val="3"/>
          <w:sz w:val="20"/>
          <w:szCs w:val="20"/>
        </w:rPr>
        <w:t>在监理工作的具体实施过程中，监理实施细则根据实际可进行补充、修改和完善。同时监</w:t>
      </w:r>
      <w:r>
        <w:rPr>
          <w:spacing w:val="10"/>
          <w:sz w:val="20"/>
          <w:szCs w:val="20"/>
        </w:rPr>
        <w:t xml:space="preserve"> </w:t>
      </w:r>
      <w:r>
        <w:rPr>
          <w:spacing w:val="-4"/>
          <w:sz w:val="20"/>
          <w:szCs w:val="20"/>
        </w:rPr>
        <w:t>理实施细则应对所要监理项目中的关键点和实施难点设置“质量控制点”。</w:t>
      </w:r>
    </w:p>
    <w:p w14:paraId="35041838">
      <w:pPr>
        <w:pStyle w:val="2"/>
        <w:spacing w:before="102" w:line="221" w:lineRule="auto"/>
        <w:ind w:left="732"/>
        <w:rPr>
          <w:rFonts w:ascii="黑体" w:hAnsi="黑体" w:eastAsia="黑体" w:cs="黑体"/>
          <w:sz w:val="20"/>
          <w:szCs w:val="20"/>
        </w:rPr>
      </w:pPr>
      <w:r>
        <w:rPr>
          <w:b/>
          <w:bCs/>
          <w:color w:val="0067CF"/>
          <w:spacing w:val="-3"/>
          <w:sz w:val="20"/>
          <w:szCs w:val="20"/>
        </w:rPr>
        <w:t>2.</w:t>
      </w:r>
      <w:r>
        <w:rPr>
          <w:rFonts w:ascii="黑体" w:hAnsi="黑体" w:eastAsia="黑体" w:cs="黑体"/>
          <w:b/>
          <w:bCs/>
          <w:color w:val="0067CF"/>
          <w:spacing w:val="-3"/>
          <w:sz w:val="20"/>
          <w:szCs w:val="20"/>
        </w:rPr>
        <w:t>监理实施细则的编制方式</w:t>
      </w:r>
    </w:p>
    <w:p w14:paraId="3F204354">
      <w:pPr>
        <w:spacing w:before="230" w:line="223" w:lineRule="auto"/>
        <w:ind w:left="730"/>
        <w:rPr>
          <w:rFonts w:ascii="楷体" w:hAnsi="楷体" w:eastAsia="楷体" w:cs="楷体"/>
          <w:sz w:val="20"/>
          <w:szCs w:val="20"/>
        </w:rPr>
      </w:pPr>
      <w:r>
        <w:rPr>
          <w:rFonts w:ascii="楷体" w:hAnsi="楷体" w:eastAsia="楷体" w:cs="楷体"/>
          <w:spacing w:val="4"/>
          <w:sz w:val="20"/>
          <w:szCs w:val="20"/>
        </w:rPr>
        <w:t>1)按信息系统工程中的专业分工编制</w:t>
      </w:r>
    </w:p>
    <w:p w14:paraId="3E012236">
      <w:pPr>
        <w:pStyle w:val="2"/>
        <w:spacing w:before="64" w:line="291" w:lineRule="auto"/>
        <w:ind w:left="320" w:right="45" w:firstLine="410"/>
        <w:rPr>
          <w:sz w:val="20"/>
          <w:szCs w:val="20"/>
        </w:rPr>
      </w:pPr>
      <w:r>
        <w:rPr>
          <w:spacing w:val="3"/>
          <w:sz w:val="20"/>
          <w:szCs w:val="20"/>
        </w:rPr>
        <w:t>一个综合性的信息系统工程涉及的专业领域可能有通信工程、网络工程、软件开发、信息</w:t>
      </w:r>
      <w:r>
        <w:rPr>
          <w:spacing w:val="16"/>
          <w:sz w:val="20"/>
          <w:szCs w:val="20"/>
        </w:rPr>
        <w:t xml:space="preserve"> </w:t>
      </w:r>
      <w:r>
        <w:rPr>
          <w:spacing w:val="-1"/>
          <w:sz w:val="20"/>
          <w:szCs w:val="20"/>
        </w:rPr>
        <w:t>安全、经济核算、设备选型等，每种专业都有自</w:t>
      </w:r>
      <w:r>
        <w:rPr>
          <w:spacing w:val="-2"/>
          <w:sz w:val="20"/>
          <w:szCs w:val="20"/>
        </w:rPr>
        <w:t>己的监理手段和技术。</w:t>
      </w:r>
    </w:p>
    <w:p w14:paraId="31E63426">
      <w:pPr>
        <w:pStyle w:val="2"/>
        <w:spacing w:before="19" w:line="219" w:lineRule="auto"/>
        <w:ind w:left="730"/>
        <w:rPr>
          <w:sz w:val="20"/>
          <w:szCs w:val="20"/>
        </w:rPr>
      </w:pPr>
      <w:r>
        <w:rPr>
          <w:spacing w:val="-1"/>
          <w:sz w:val="20"/>
          <w:szCs w:val="20"/>
        </w:rPr>
        <w:t>这种编制监理实施细则的方式是最常用的方式，也是比较好组织的一种方式。</w:t>
      </w:r>
    </w:p>
    <w:p w14:paraId="5AFFA777">
      <w:pPr>
        <w:spacing w:before="148" w:line="223" w:lineRule="auto"/>
        <w:ind w:left="730"/>
        <w:rPr>
          <w:rFonts w:ascii="楷体" w:hAnsi="楷体" w:eastAsia="楷体" w:cs="楷体"/>
          <w:sz w:val="20"/>
          <w:szCs w:val="20"/>
        </w:rPr>
      </w:pPr>
      <w:r>
        <w:rPr>
          <w:rFonts w:ascii="楷体" w:hAnsi="楷体" w:eastAsia="楷体" w:cs="楷体"/>
          <w:spacing w:val="7"/>
          <w:sz w:val="20"/>
          <w:szCs w:val="20"/>
        </w:rPr>
        <w:t>2)按信息系统工程的阶段编制</w:t>
      </w:r>
    </w:p>
    <w:p w14:paraId="141C9CB4">
      <w:pPr>
        <w:pStyle w:val="2"/>
        <w:spacing w:before="92" w:line="264" w:lineRule="auto"/>
        <w:ind w:left="320" w:right="52" w:firstLine="410"/>
        <w:rPr>
          <w:sz w:val="20"/>
          <w:szCs w:val="20"/>
        </w:rPr>
      </w:pPr>
      <w:r>
        <w:rPr>
          <w:spacing w:val="3"/>
          <w:sz w:val="20"/>
          <w:szCs w:val="20"/>
        </w:rPr>
        <w:t>按照信息系统工程建设项目的进程，可划分为招标阶段、设计阶段、实施阶段、验收阶段</w:t>
      </w:r>
      <w:r>
        <w:rPr>
          <w:spacing w:val="9"/>
          <w:sz w:val="20"/>
          <w:szCs w:val="20"/>
        </w:rPr>
        <w:t xml:space="preserve"> </w:t>
      </w:r>
      <w:r>
        <w:rPr>
          <w:spacing w:val="-3"/>
          <w:sz w:val="20"/>
          <w:szCs w:val="20"/>
        </w:rPr>
        <w:t>和缺陷责任期，每一阶段的监理方法和措施各有特点。</w:t>
      </w:r>
    </w:p>
    <w:p w14:paraId="21CBC61C">
      <w:pPr>
        <w:spacing w:before="104" w:line="223" w:lineRule="auto"/>
        <w:ind w:left="730"/>
        <w:rPr>
          <w:rFonts w:ascii="楷体" w:hAnsi="楷体" w:eastAsia="楷体" w:cs="楷体"/>
          <w:sz w:val="20"/>
          <w:szCs w:val="20"/>
        </w:rPr>
      </w:pPr>
      <w:r>
        <w:rPr>
          <w:rFonts w:ascii="楷体" w:hAnsi="楷体" w:eastAsia="楷体" w:cs="楷体"/>
          <w:spacing w:val="8"/>
          <w:sz w:val="20"/>
          <w:szCs w:val="20"/>
        </w:rPr>
        <w:t>3)按监理的工作内容编制</w:t>
      </w:r>
    </w:p>
    <w:p w14:paraId="44832906">
      <w:pPr>
        <w:pStyle w:val="2"/>
        <w:spacing w:before="83" w:line="219" w:lineRule="auto"/>
        <w:ind w:left="730"/>
        <w:rPr>
          <w:sz w:val="20"/>
          <w:szCs w:val="20"/>
        </w:rPr>
      </w:pPr>
      <w:r>
        <w:rPr>
          <w:spacing w:val="-1"/>
          <w:sz w:val="20"/>
          <w:szCs w:val="20"/>
        </w:rPr>
        <w:t>监理的工作内容可分为质量控制、进度控制、投资控制、合同管理和信息</w:t>
      </w:r>
      <w:r>
        <w:rPr>
          <w:spacing w:val="-2"/>
          <w:sz w:val="20"/>
          <w:szCs w:val="20"/>
        </w:rPr>
        <w:t>管理。</w:t>
      </w:r>
    </w:p>
    <w:p w14:paraId="2D6AB63E">
      <w:pPr>
        <w:pStyle w:val="2"/>
        <w:spacing w:before="158" w:line="221" w:lineRule="auto"/>
        <w:ind w:left="732"/>
        <w:rPr>
          <w:rFonts w:ascii="黑体" w:hAnsi="黑体" w:eastAsia="黑体" w:cs="黑体"/>
          <w:sz w:val="20"/>
          <w:szCs w:val="20"/>
        </w:rPr>
      </w:pPr>
      <w:r>
        <w:rPr>
          <w:b/>
          <w:bCs/>
          <w:color w:val="006DC2"/>
          <w:spacing w:val="-2"/>
          <w:sz w:val="20"/>
          <w:szCs w:val="20"/>
        </w:rPr>
        <w:t>3.</w:t>
      </w:r>
      <w:r>
        <w:rPr>
          <w:rFonts w:ascii="黑体" w:hAnsi="黑体" w:eastAsia="黑体" w:cs="黑体"/>
          <w:b/>
          <w:bCs/>
          <w:color w:val="006DC2"/>
          <w:spacing w:val="-2"/>
          <w:sz w:val="20"/>
          <w:szCs w:val="20"/>
        </w:rPr>
        <w:t>监理实施细则的编制依据</w:t>
      </w:r>
    </w:p>
    <w:p w14:paraId="2187CBCB">
      <w:pPr>
        <w:pStyle w:val="2"/>
        <w:spacing w:before="154" w:line="219" w:lineRule="auto"/>
        <w:ind w:left="730"/>
        <w:rPr>
          <w:sz w:val="20"/>
          <w:szCs w:val="20"/>
        </w:rPr>
      </w:pPr>
      <w:r>
        <w:rPr>
          <w:spacing w:val="-4"/>
          <w:sz w:val="20"/>
          <w:szCs w:val="20"/>
        </w:rPr>
        <w:t>监理实施细则的编制依据包括：</w:t>
      </w:r>
    </w:p>
    <w:p w14:paraId="4DF94786">
      <w:pPr>
        <w:pStyle w:val="2"/>
        <w:spacing w:before="75" w:line="221" w:lineRule="auto"/>
        <w:ind w:left="730"/>
        <w:rPr>
          <w:sz w:val="20"/>
          <w:szCs w:val="20"/>
        </w:rPr>
      </w:pPr>
      <w:r>
        <w:rPr>
          <w:spacing w:val="2"/>
          <w:sz w:val="20"/>
          <w:szCs w:val="20"/>
        </w:rPr>
        <w:t>(1)已经批准的监理规划；</w:t>
      </w:r>
    </w:p>
    <w:p w14:paraId="5E9C6BB2">
      <w:pPr>
        <w:pStyle w:val="2"/>
        <w:spacing w:before="80" w:line="219" w:lineRule="auto"/>
        <w:ind w:left="730"/>
        <w:rPr>
          <w:sz w:val="20"/>
          <w:szCs w:val="20"/>
        </w:rPr>
      </w:pPr>
      <w:r>
        <w:rPr>
          <w:spacing w:val="2"/>
          <w:sz w:val="20"/>
          <w:szCs w:val="20"/>
        </w:rPr>
        <w:t>(2)与信息系统工程相关的国家、地方政策</w:t>
      </w:r>
      <w:r>
        <w:rPr>
          <w:spacing w:val="1"/>
          <w:sz w:val="20"/>
          <w:szCs w:val="20"/>
        </w:rPr>
        <w:t>、法规和技术标准；</w:t>
      </w:r>
    </w:p>
    <w:p w14:paraId="4F955564">
      <w:pPr>
        <w:pStyle w:val="2"/>
        <w:spacing w:before="63" w:line="219" w:lineRule="auto"/>
        <w:ind w:left="730"/>
        <w:rPr>
          <w:sz w:val="20"/>
          <w:szCs w:val="20"/>
        </w:rPr>
      </w:pPr>
      <w:r>
        <w:rPr>
          <w:spacing w:val="1"/>
          <w:sz w:val="20"/>
          <w:szCs w:val="20"/>
        </w:rPr>
        <w:t>(3)与信息系统工程相关的设计文件和技术资料；</w:t>
      </w:r>
    </w:p>
    <w:p w14:paraId="695E4933">
      <w:pPr>
        <w:pStyle w:val="2"/>
        <w:spacing w:before="73" w:line="219" w:lineRule="auto"/>
        <w:ind w:left="730"/>
        <w:rPr>
          <w:sz w:val="20"/>
          <w:szCs w:val="20"/>
        </w:rPr>
      </w:pPr>
      <w:r>
        <w:rPr>
          <w:spacing w:val="1"/>
          <w:sz w:val="20"/>
          <w:szCs w:val="20"/>
        </w:rPr>
        <w:t>(4)工程实施方案及相关服务方案等与工程相关的文件；</w:t>
      </w:r>
    </w:p>
    <w:p w14:paraId="08EFF4E4">
      <w:pPr>
        <w:pStyle w:val="2"/>
        <w:spacing w:before="72" w:line="219" w:lineRule="auto"/>
        <w:ind w:left="730"/>
        <w:rPr>
          <w:sz w:val="20"/>
          <w:szCs w:val="20"/>
        </w:rPr>
      </w:pPr>
      <w:r>
        <w:rPr>
          <w:spacing w:val="5"/>
          <w:sz w:val="20"/>
          <w:szCs w:val="20"/>
        </w:rPr>
        <w:t>(5)相关合同文件。</w:t>
      </w:r>
    </w:p>
    <w:p w14:paraId="27348380">
      <w:pPr>
        <w:pStyle w:val="2"/>
        <w:spacing w:before="242" w:line="219" w:lineRule="auto"/>
        <w:ind w:left="322"/>
        <w:rPr>
          <w:sz w:val="25"/>
          <w:szCs w:val="25"/>
        </w:rPr>
      </w:pPr>
      <w:r>
        <w:rPr>
          <w:b/>
          <w:bCs/>
          <w:color w:val="0062D4"/>
          <w:spacing w:val="-17"/>
          <w:sz w:val="25"/>
          <w:szCs w:val="25"/>
        </w:rPr>
        <w:t>9.4.3</w:t>
      </w:r>
      <w:r>
        <w:rPr>
          <w:color w:val="0062D4"/>
          <w:spacing w:val="94"/>
          <w:sz w:val="25"/>
          <w:szCs w:val="25"/>
        </w:rPr>
        <w:t xml:space="preserve"> </w:t>
      </w:r>
      <w:r>
        <w:rPr>
          <w:b/>
          <w:bCs/>
          <w:color w:val="0062D4"/>
          <w:spacing w:val="-17"/>
          <w:sz w:val="25"/>
          <w:szCs w:val="25"/>
        </w:rPr>
        <w:t>监理实施细则的内容</w:t>
      </w:r>
    </w:p>
    <w:p w14:paraId="77A4555C">
      <w:pPr>
        <w:pStyle w:val="2"/>
        <w:spacing w:before="163" w:line="281" w:lineRule="auto"/>
        <w:ind w:left="320" w:right="43" w:firstLine="410"/>
        <w:jc w:val="both"/>
        <w:rPr>
          <w:sz w:val="20"/>
          <w:szCs w:val="20"/>
        </w:rPr>
      </w:pPr>
      <w:r>
        <w:rPr>
          <w:spacing w:val="9"/>
          <w:sz w:val="20"/>
          <w:szCs w:val="20"/>
        </w:rPr>
        <w:t>监理实施细则的主要内容包括工程及相关服务的特点、监理工作流程、</w:t>
      </w:r>
      <w:r>
        <w:rPr>
          <w:spacing w:val="8"/>
          <w:sz w:val="20"/>
          <w:szCs w:val="20"/>
        </w:rPr>
        <w:t>监理工作的控制</w:t>
      </w:r>
      <w:r>
        <w:rPr>
          <w:sz w:val="20"/>
          <w:szCs w:val="20"/>
        </w:rPr>
        <w:t xml:space="preserve"> </w:t>
      </w:r>
      <w:r>
        <w:rPr>
          <w:spacing w:val="5"/>
          <w:sz w:val="20"/>
          <w:szCs w:val="20"/>
        </w:rPr>
        <w:t>要点及目标、监理方法及措施。监理实施细则的编制要做到“可行、有效、</w:t>
      </w:r>
      <w:r>
        <w:rPr>
          <w:spacing w:val="4"/>
          <w:sz w:val="20"/>
          <w:szCs w:val="20"/>
        </w:rPr>
        <w:t>细致、全面”,真</w:t>
      </w:r>
      <w:r>
        <w:rPr>
          <w:sz w:val="20"/>
          <w:szCs w:val="20"/>
        </w:rPr>
        <w:t xml:space="preserve"> </w:t>
      </w:r>
      <w:r>
        <w:rPr>
          <w:spacing w:val="4"/>
          <w:sz w:val="20"/>
          <w:szCs w:val="20"/>
        </w:rPr>
        <w:t>正起到指导监理工程师实际工作的作用。</w:t>
      </w:r>
      <w:r>
        <w:rPr>
          <w:spacing w:val="52"/>
          <w:sz w:val="20"/>
          <w:szCs w:val="20"/>
        </w:rPr>
        <w:t xml:space="preserve"> </w:t>
      </w:r>
      <w:r>
        <w:rPr>
          <w:spacing w:val="4"/>
          <w:sz w:val="20"/>
          <w:szCs w:val="20"/>
        </w:rPr>
        <w:t>一般来说，监理实施细则是由监理工程师编写，由</w:t>
      </w:r>
      <w:r>
        <w:rPr>
          <w:sz w:val="20"/>
          <w:szCs w:val="20"/>
        </w:rPr>
        <w:t xml:space="preserve"> </w:t>
      </w:r>
      <w:r>
        <w:rPr>
          <w:spacing w:val="8"/>
          <w:sz w:val="20"/>
          <w:szCs w:val="20"/>
        </w:rPr>
        <w:t>总监理工程师审核，作为实施监理工作的指导文件。无论哪种专业，都应包含以下四个方面</w:t>
      </w:r>
      <w:r>
        <w:rPr>
          <w:spacing w:val="17"/>
          <w:sz w:val="20"/>
          <w:szCs w:val="20"/>
        </w:rPr>
        <w:t xml:space="preserve"> </w:t>
      </w:r>
      <w:r>
        <w:rPr>
          <w:spacing w:val="-1"/>
          <w:sz w:val="20"/>
          <w:szCs w:val="20"/>
        </w:rPr>
        <w:t>的内容。</w:t>
      </w:r>
    </w:p>
    <w:p w14:paraId="1EF759DE">
      <w:pPr>
        <w:pStyle w:val="2"/>
        <w:spacing w:before="125" w:line="221" w:lineRule="auto"/>
        <w:ind w:left="732"/>
        <w:rPr>
          <w:rFonts w:ascii="黑体" w:hAnsi="黑体" w:eastAsia="黑体" w:cs="黑体"/>
          <w:sz w:val="20"/>
          <w:szCs w:val="20"/>
        </w:rPr>
      </w:pPr>
      <w:r>
        <w:rPr>
          <w:b/>
          <w:bCs/>
          <w:color w:val="0071D5"/>
          <w:spacing w:val="-3"/>
          <w:sz w:val="20"/>
          <w:szCs w:val="20"/>
        </w:rPr>
        <w:t>1.</w:t>
      </w:r>
      <w:r>
        <w:rPr>
          <w:rFonts w:ascii="黑体" w:hAnsi="黑体" w:eastAsia="黑体" w:cs="黑体"/>
          <w:b/>
          <w:bCs/>
          <w:color w:val="0071D5"/>
          <w:spacing w:val="-3"/>
          <w:sz w:val="20"/>
          <w:szCs w:val="20"/>
        </w:rPr>
        <w:t>工程及相关服务的特点</w:t>
      </w:r>
    </w:p>
    <w:p w14:paraId="2BF2CA5D">
      <w:pPr>
        <w:pStyle w:val="2"/>
        <w:spacing w:before="134" w:line="277" w:lineRule="auto"/>
        <w:ind w:left="320" w:firstLine="410"/>
        <w:jc w:val="both"/>
        <w:rPr>
          <w:sz w:val="20"/>
          <w:szCs w:val="20"/>
        </w:rPr>
      </w:pPr>
      <w:r>
        <w:rPr>
          <w:spacing w:val="5"/>
          <w:sz w:val="20"/>
          <w:szCs w:val="20"/>
        </w:rPr>
        <w:t>工程及相关服务对象概况描述了整个信息系统工程建</w:t>
      </w:r>
      <w:r>
        <w:rPr>
          <w:spacing w:val="4"/>
          <w:sz w:val="20"/>
          <w:szCs w:val="20"/>
        </w:rPr>
        <w:t>设项目及相关服务对象的大体情况，</w:t>
      </w:r>
      <w:r>
        <w:rPr>
          <w:sz w:val="20"/>
          <w:szCs w:val="20"/>
        </w:rPr>
        <w:t xml:space="preserve"> </w:t>
      </w:r>
      <w:r>
        <w:rPr>
          <w:spacing w:val="3"/>
          <w:sz w:val="20"/>
          <w:szCs w:val="20"/>
        </w:rPr>
        <w:t>包括工程名称、工程项目组成及规模、工程预计总投资额、项目预计工期、工程质量等级、设</w:t>
      </w:r>
      <w:r>
        <w:rPr>
          <w:spacing w:val="15"/>
          <w:sz w:val="20"/>
          <w:szCs w:val="20"/>
        </w:rPr>
        <w:t xml:space="preserve"> </w:t>
      </w:r>
      <w:r>
        <w:rPr>
          <w:spacing w:val="-3"/>
          <w:sz w:val="20"/>
          <w:szCs w:val="20"/>
        </w:rPr>
        <w:t>计、实施及开发承建单位名称、工程特点的简要描述等。</w:t>
      </w:r>
    </w:p>
    <w:p w14:paraId="6C9621B9">
      <w:pPr>
        <w:pStyle w:val="2"/>
        <w:spacing w:before="96" w:line="221" w:lineRule="auto"/>
        <w:ind w:left="732"/>
        <w:rPr>
          <w:rFonts w:ascii="黑体" w:hAnsi="黑体" w:eastAsia="黑体" w:cs="黑体"/>
          <w:sz w:val="20"/>
          <w:szCs w:val="20"/>
        </w:rPr>
      </w:pPr>
      <w:r>
        <w:rPr>
          <w:b/>
          <w:bCs/>
          <w:color w:val="0066CC"/>
          <w:spacing w:val="-2"/>
          <w:sz w:val="20"/>
          <w:szCs w:val="20"/>
        </w:rPr>
        <w:t>2.</w:t>
      </w:r>
      <w:r>
        <w:rPr>
          <w:rFonts w:ascii="黑体" w:hAnsi="黑体" w:eastAsia="黑体" w:cs="黑体"/>
          <w:b/>
          <w:bCs/>
          <w:color w:val="0066CC"/>
          <w:spacing w:val="-2"/>
          <w:sz w:val="20"/>
          <w:szCs w:val="20"/>
        </w:rPr>
        <w:t>监理工作流程</w:t>
      </w:r>
    </w:p>
    <w:p w14:paraId="65F347A1">
      <w:pPr>
        <w:pStyle w:val="2"/>
        <w:spacing w:before="165" w:line="272" w:lineRule="auto"/>
        <w:ind w:left="320" w:right="49" w:firstLine="410"/>
        <w:rPr>
          <w:sz w:val="20"/>
          <w:szCs w:val="20"/>
        </w:rPr>
      </w:pPr>
      <w:r>
        <w:rPr>
          <w:spacing w:val="3"/>
          <w:sz w:val="20"/>
          <w:szCs w:val="20"/>
        </w:rPr>
        <w:t>监理工作流程是指进行专业监理时遵循的程序，例如监理信息的搜集、汇报、分析，监理</w:t>
      </w:r>
      <w:r>
        <w:rPr>
          <w:spacing w:val="8"/>
          <w:sz w:val="20"/>
          <w:szCs w:val="20"/>
        </w:rPr>
        <w:t xml:space="preserve"> </w:t>
      </w:r>
      <w:r>
        <w:rPr>
          <w:spacing w:val="3"/>
          <w:sz w:val="20"/>
          <w:szCs w:val="20"/>
        </w:rPr>
        <w:t>措施的采取，监理意见的发布等。在制定监理流程时，要充分考虑工程的实际情况，做到切实</w:t>
      </w:r>
    </w:p>
    <w:p w14:paraId="34669A43">
      <w:pPr>
        <w:spacing w:line="272" w:lineRule="auto"/>
        <w:rPr>
          <w:sz w:val="20"/>
          <w:szCs w:val="20"/>
        </w:rPr>
        <w:sectPr>
          <w:pgSz w:w="10300" w:h="13360"/>
          <w:pgMar w:top="400" w:right="1109" w:bottom="400" w:left="479" w:header="0" w:footer="0" w:gutter="0"/>
          <w:cols w:space="720" w:num="1"/>
        </w:sectPr>
      </w:pPr>
    </w:p>
    <w:p w14:paraId="7FC5AF62">
      <w:pPr>
        <w:pStyle w:val="2"/>
        <w:spacing w:before="77" w:line="220" w:lineRule="auto"/>
        <w:jc w:val="right"/>
        <w:rPr>
          <w:rFonts w:ascii="Times New Roman" w:hAnsi="Times New Roman" w:eastAsia="Times New Roman" w:cs="Times New Roman"/>
          <w:sz w:val="20"/>
          <w:szCs w:val="20"/>
        </w:rPr>
      </w:pPr>
      <w:bookmarkStart w:id="611" w:name="bookmark596"/>
      <w:bookmarkEnd w:id="611"/>
      <w:r>
        <w:rPr>
          <w:spacing w:val="-4"/>
          <w:sz w:val="20"/>
          <w:szCs w:val="20"/>
        </w:rPr>
        <w:t xml:space="preserve">第9章 监理工作的组织和规划     </w:t>
      </w:r>
      <w:r>
        <w:rPr>
          <w:spacing w:val="-5"/>
          <w:sz w:val="20"/>
          <w:szCs w:val="20"/>
        </w:rPr>
        <w:t xml:space="preserve"> </w:t>
      </w:r>
      <w:r>
        <w:rPr>
          <w:rFonts w:ascii="Times New Roman" w:hAnsi="Times New Roman" w:eastAsia="Times New Roman" w:cs="Times New Roman"/>
          <w:spacing w:val="-5"/>
          <w:position w:val="-5"/>
          <w:sz w:val="20"/>
          <w:szCs w:val="20"/>
        </w:rPr>
        <w:t>237</w:t>
      </w:r>
    </w:p>
    <w:p w14:paraId="65D7AB2E">
      <w:pPr>
        <w:spacing w:line="270" w:lineRule="auto"/>
        <w:rPr>
          <w:rFonts w:ascii="Arial"/>
          <w:sz w:val="21"/>
        </w:rPr>
      </w:pPr>
    </w:p>
    <w:p w14:paraId="3AF5C5ED">
      <w:pPr>
        <w:pStyle w:val="2"/>
        <w:spacing w:before="65" w:line="301" w:lineRule="auto"/>
        <w:ind w:right="317"/>
        <w:rPr>
          <w:sz w:val="20"/>
          <w:szCs w:val="20"/>
        </w:rPr>
      </w:pPr>
      <w:r>
        <w:rPr>
          <w:spacing w:val="3"/>
          <w:sz w:val="20"/>
          <w:szCs w:val="20"/>
        </w:rPr>
        <w:t>可行；监理程序简明而不粗糙，对工程异常情况反应迅速；流程要有一定的灵</w:t>
      </w:r>
      <w:r>
        <w:rPr>
          <w:spacing w:val="2"/>
          <w:sz w:val="20"/>
          <w:szCs w:val="20"/>
        </w:rPr>
        <w:t>活性，不能太僵</w:t>
      </w:r>
      <w:r>
        <w:rPr>
          <w:sz w:val="20"/>
          <w:szCs w:val="20"/>
        </w:rPr>
        <w:t xml:space="preserve"> </w:t>
      </w:r>
      <w:r>
        <w:rPr>
          <w:spacing w:val="-2"/>
          <w:sz w:val="20"/>
          <w:szCs w:val="20"/>
        </w:rPr>
        <w:t>硬，避免过度限制监理工程师使用监理手段。</w:t>
      </w:r>
    </w:p>
    <w:p w14:paraId="41BBDECE">
      <w:pPr>
        <w:pStyle w:val="2"/>
        <w:spacing w:before="64" w:line="222" w:lineRule="auto"/>
        <w:ind w:left="412"/>
        <w:rPr>
          <w:rFonts w:ascii="黑体" w:hAnsi="黑体" w:eastAsia="黑体" w:cs="黑体"/>
          <w:sz w:val="20"/>
          <w:szCs w:val="20"/>
        </w:rPr>
      </w:pPr>
      <w:r>
        <w:rPr>
          <w:b/>
          <w:bCs/>
          <w:color w:val="0065D9"/>
          <w:spacing w:val="-2"/>
          <w:sz w:val="20"/>
          <w:szCs w:val="20"/>
        </w:rPr>
        <w:t>3.</w:t>
      </w:r>
      <w:r>
        <w:rPr>
          <w:rFonts w:ascii="黑体" w:hAnsi="黑体" w:eastAsia="黑体" w:cs="黑体"/>
          <w:b/>
          <w:bCs/>
          <w:color w:val="0065D9"/>
          <w:spacing w:val="-2"/>
          <w:sz w:val="20"/>
          <w:szCs w:val="20"/>
        </w:rPr>
        <w:t>监理工作的控制要点及目标</w:t>
      </w:r>
    </w:p>
    <w:p w14:paraId="77D03FA2">
      <w:pPr>
        <w:pStyle w:val="2"/>
        <w:spacing w:before="154" w:line="279" w:lineRule="auto"/>
        <w:ind w:right="315" w:firstLine="409"/>
        <w:jc w:val="both"/>
        <w:rPr>
          <w:sz w:val="20"/>
          <w:szCs w:val="20"/>
        </w:rPr>
      </w:pPr>
      <w:r>
        <w:rPr>
          <w:spacing w:val="3"/>
          <w:sz w:val="20"/>
          <w:szCs w:val="20"/>
        </w:rPr>
        <w:t>监理工作的控制要点包含控制点和质量、进度、投资等控制需要注意</w:t>
      </w:r>
      <w:r>
        <w:rPr>
          <w:spacing w:val="2"/>
          <w:sz w:val="20"/>
          <w:szCs w:val="20"/>
        </w:rPr>
        <w:t>的事项。监理工程师</w:t>
      </w:r>
      <w:r>
        <w:rPr>
          <w:sz w:val="20"/>
          <w:szCs w:val="20"/>
        </w:rPr>
        <w:t xml:space="preserve"> </w:t>
      </w:r>
      <w:r>
        <w:rPr>
          <w:spacing w:val="3"/>
          <w:sz w:val="20"/>
          <w:szCs w:val="20"/>
        </w:rPr>
        <w:t>应根据专业的特点，在工程过程中设置一些容易检测和纠正的标志性时机作为控</w:t>
      </w:r>
      <w:r>
        <w:rPr>
          <w:spacing w:val="2"/>
          <w:sz w:val="20"/>
          <w:szCs w:val="20"/>
        </w:rPr>
        <w:t>制点，为每个</w:t>
      </w:r>
      <w:r>
        <w:rPr>
          <w:sz w:val="20"/>
          <w:szCs w:val="20"/>
        </w:rPr>
        <w:t xml:space="preserve"> </w:t>
      </w:r>
      <w:r>
        <w:rPr>
          <w:spacing w:val="3"/>
          <w:sz w:val="20"/>
          <w:szCs w:val="20"/>
        </w:rPr>
        <w:t>控制点确定检测标准，也就是该控制点的目标。在实施监理工作时，监理工程师通</w:t>
      </w:r>
      <w:r>
        <w:rPr>
          <w:spacing w:val="2"/>
          <w:sz w:val="20"/>
          <w:szCs w:val="20"/>
        </w:rPr>
        <w:t>过对这些关</w:t>
      </w:r>
      <w:r>
        <w:rPr>
          <w:sz w:val="20"/>
          <w:szCs w:val="20"/>
        </w:rPr>
        <w:t xml:space="preserve"> </w:t>
      </w:r>
      <w:r>
        <w:rPr>
          <w:spacing w:val="-3"/>
          <w:sz w:val="20"/>
          <w:szCs w:val="20"/>
        </w:rPr>
        <w:t>键点的控制达到对本专业的控制。</w:t>
      </w:r>
    </w:p>
    <w:p w14:paraId="11D4E6BA">
      <w:pPr>
        <w:pStyle w:val="2"/>
        <w:spacing w:before="145" w:line="221" w:lineRule="auto"/>
        <w:ind w:left="412"/>
        <w:rPr>
          <w:rFonts w:ascii="黑体" w:hAnsi="黑体" w:eastAsia="黑体" w:cs="黑体"/>
          <w:sz w:val="20"/>
          <w:szCs w:val="20"/>
        </w:rPr>
      </w:pPr>
      <w:r>
        <w:rPr>
          <w:b/>
          <w:bCs/>
          <w:color w:val="0069E2"/>
          <w:spacing w:val="-2"/>
          <w:sz w:val="20"/>
          <w:szCs w:val="20"/>
        </w:rPr>
        <w:t>4.</w:t>
      </w:r>
      <w:r>
        <w:rPr>
          <w:rFonts w:ascii="黑体" w:hAnsi="黑体" w:eastAsia="黑体" w:cs="黑体"/>
          <w:b/>
          <w:bCs/>
          <w:color w:val="0069E2"/>
          <w:spacing w:val="-2"/>
          <w:sz w:val="20"/>
          <w:szCs w:val="20"/>
        </w:rPr>
        <w:t>监理方法及措施</w:t>
      </w:r>
    </w:p>
    <w:p w14:paraId="289384C7">
      <w:pPr>
        <w:pStyle w:val="2"/>
        <w:spacing w:before="136" w:line="281" w:lineRule="auto"/>
        <w:ind w:right="308" w:firstLine="409"/>
        <w:jc w:val="both"/>
        <w:rPr>
          <w:sz w:val="20"/>
          <w:szCs w:val="20"/>
        </w:rPr>
      </w:pPr>
      <w:r>
        <w:rPr>
          <w:spacing w:val="3"/>
          <w:sz w:val="20"/>
          <w:szCs w:val="20"/>
        </w:rPr>
        <w:t>措施，即计划采用的监理技术、监理工具和针对工程异常情况</w:t>
      </w:r>
      <w:r>
        <w:rPr>
          <w:spacing w:val="2"/>
          <w:sz w:val="20"/>
          <w:szCs w:val="20"/>
        </w:rPr>
        <w:t>的监理措施。对不同的专业</w:t>
      </w:r>
      <w:r>
        <w:rPr>
          <w:sz w:val="20"/>
          <w:szCs w:val="20"/>
        </w:rPr>
        <w:t xml:space="preserve"> </w:t>
      </w:r>
      <w:r>
        <w:rPr>
          <w:spacing w:val="3"/>
          <w:sz w:val="20"/>
          <w:szCs w:val="20"/>
        </w:rPr>
        <w:t>应有不同的监理技术，在不同的工程阶段也有不同的监理手段。例如，在对综合布线系统的线</w:t>
      </w:r>
      <w:r>
        <w:rPr>
          <w:sz w:val="20"/>
          <w:szCs w:val="20"/>
        </w:rPr>
        <w:t xml:space="preserve"> </w:t>
      </w:r>
      <w:r>
        <w:rPr>
          <w:spacing w:val="3"/>
          <w:sz w:val="20"/>
          <w:szCs w:val="20"/>
        </w:rPr>
        <w:t>路连通性进行控制时，可采用一些测试仪器进行抽检；对软件开发进度进行控制时，可通过审 查开发过程文档、检查代码来实现；对网络设备价格进行控制时，可审核原始单据，并</w:t>
      </w:r>
      <w:r>
        <w:rPr>
          <w:spacing w:val="2"/>
          <w:sz w:val="20"/>
          <w:szCs w:val="20"/>
        </w:rPr>
        <w:t>通过电</w:t>
      </w:r>
      <w:r>
        <w:rPr>
          <w:sz w:val="20"/>
          <w:szCs w:val="20"/>
        </w:rPr>
        <w:t xml:space="preserve"> </w:t>
      </w:r>
      <w:r>
        <w:rPr>
          <w:spacing w:val="-2"/>
          <w:sz w:val="20"/>
          <w:szCs w:val="20"/>
        </w:rPr>
        <w:t>话核实确认。</w:t>
      </w:r>
    </w:p>
    <w:p w14:paraId="45843A5F">
      <w:pPr>
        <w:spacing w:line="308" w:lineRule="auto"/>
        <w:rPr>
          <w:rFonts w:ascii="Arial"/>
          <w:sz w:val="21"/>
        </w:rPr>
      </w:pPr>
    </w:p>
    <w:p w14:paraId="74B36673">
      <w:pPr>
        <w:pStyle w:val="2"/>
        <w:spacing w:before="94" w:line="222" w:lineRule="auto"/>
        <w:ind w:left="3"/>
        <w:rPr>
          <w:rFonts w:ascii="黑体" w:hAnsi="黑体" w:eastAsia="黑体" w:cs="黑体"/>
          <w:sz w:val="29"/>
          <w:szCs w:val="29"/>
        </w:rPr>
      </w:pPr>
      <w:r>
        <w:rPr>
          <w:b/>
          <w:bCs/>
          <w:color w:val="005FDD"/>
          <w:spacing w:val="-13"/>
          <w:sz w:val="29"/>
          <w:szCs w:val="29"/>
        </w:rPr>
        <w:t>9.5</w:t>
      </w:r>
      <w:r>
        <w:rPr>
          <w:color w:val="005FDD"/>
          <w:spacing w:val="134"/>
          <w:sz w:val="29"/>
          <w:szCs w:val="29"/>
        </w:rPr>
        <w:t xml:space="preserve"> </w:t>
      </w:r>
      <w:r>
        <w:rPr>
          <w:rFonts w:ascii="黑体" w:hAnsi="黑体" w:eastAsia="黑体" w:cs="黑体"/>
          <w:b/>
          <w:bCs/>
          <w:color w:val="005FDD"/>
          <w:spacing w:val="-13"/>
          <w:sz w:val="29"/>
          <w:szCs w:val="29"/>
        </w:rPr>
        <w:t>监理大纲、监理规划、监理实施细则的异同</w:t>
      </w:r>
    </w:p>
    <w:p w14:paraId="4104EE2B">
      <w:pPr>
        <w:pStyle w:val="2"/>
        <w:spacing w:before="273" w:line="219" w:lineRule="auto"/>
        <w:ind w:left="409"/>
        <w:rPr>
          <w:sz w:val="20"/>
          <w:szCs w:val="20"/>
        </w:rPr>
      </w:pPr>
      <w:r>
        <w:rPr>
          <w:spacing w:val="-2"/>
          <w:sz w:val="20"/>
          <w:szCs w:val="20"/>
        </w:rPr>
        <w:t>监理大纲、监理规划、监理实施细则的异同主要表现在以下几个方面：</w:t>
      </w:r>
    </w:p>
    <w:p w14:paraId="63DF8C1B">
      <w:pPr>
        <w:pStyle w:val="2"/>
        <w:spacing w:before="62" w:line="273" w:lineRule="auto"/>
        <w:ind w:right="307" w:firstLine="409"/>
        <w:rPr>
          <w:sz w:val="20"/>
          <w:szCs w:val="20"/>
        </w:rPr>
      </w:pPr>
      <w:r>
        <w:rPr>
          <w:spacing w:val="5"/>
          <w:sz w:val="20"/>
          <w:szCs w:val="20"/>
        </w:rPr>
        <w:t>(1)监理大纲是在业主单位选择合适的监理单位时，监理单位为了获得监理任务，在项目</w:t>
      </w:r>
      <w:r>
        <w:rPr>
          <w:spacing w:val="17"/>
          <w:sz w:val="20"/>
          <w:szCs w:val="20"/>
        </w:rPr>
        <w:t xml:space="preserve"> </w:t>
      </w:r>
      <w:r>
        <w:rPr>
          <w:spacing w:val="3"/>
          <w:sz w:val="20"/>
          <w:szCs w:val="20"/>
        </w:rPr>
        <w:t>监理招标阶段编制的项目监理单位方案性文件。它是监理单位参与投标时，投标文</w:t>
      </w:r>
      <w:r>
        <w:rPr>
          <w:spacing w:val="2"/>
          <w:sz w:val="20"/>
          <w:szCs w:val="20"/>
        </w:rPr>
        <w:t>件内容的重</w:t>
      </w:r>
      <w:r>
        <w:rPr>
          <w:sz w:val="20"/>
          <w:szCs w:val="20"/>
        </w:rPr>
        <w:t xml:space="preserve"> </w:t>
      </w:r>
      <w:r>
        <w:rPr>
          <w:spacing w:val="2"/>
          <w:sz w:val="20"/>
          <w:szCs w:val="20"/>
        </w:rPr>
        <w:t>要组成部分。编制监理大纲的目的是要使业主单位信服，采用本监理单位制定的监理方案，能</w:t>
      </w:r>
      <w:r>
        <w:rPr>
          <w:spacing w:val="17"/>
          <w:sz w:val="20"/>
          <w:szCs w:val="20"/>
        </w:rPr>
        <w:t xml:space="preserve"> </w:t>
      </w:r>
      <w:r>
        <w:rPr>
          <w:spacing w:val="3"/>
          <w:sz w:val="20"/>
          <w:szCs w:val="20"/>
        </w:rPr>
        <w:t>够圆满实现业主单位的投资目标和建设意图，进而赢得竞争投标的胜利。由此可见，监理大纲</w:t>
      </w:r>
      <w:r>
        <w:rPr>
          <w:sz w:val="20"/>
          <w:szCs w:val="20"/>
        </w:rPr>
        <w:t xml:space="preserve"> </w:t>
      </w:r>
      <w:r>
        <w:rPr>
          <w:spacing w:val="-2"/>
          <w:sz w:val="20"/>
          <w:szCs w:val="20"/>
        </w:rPr>
        <w:t>是为监理单位的经营目标服务的，起着承接监理任务的作用。</w:t>
      </w:r>
    </w:p>
    <w:p w14:paraId="6689B112">
      <w:pPr>
        <w:pStyle w:val="2"/>
        <w:spacing w:before="64" w:line="272" w:lineRule="auto"/>
        <w:ind w:right="246" w:firstLine="409"/>
        <w:rPr>
          <w:sz w:val="20"/>
          <w:szCs w:val="20"/>
        </w:rPr>
      </w:pPr>
      <w:r>
        <w:rPr>
          <w:spacing w:val="7"/>
          <w:sz w:val="20"/>
          <w:szCs w:val="20"/>
        </w:rPr>
        <w:t>(2)监理规划是在监理合同签订后，由监理单位制定的指导监理工作开展的纲领性文</w:t>
      </w:r>
      <w:r>
        <w:rPr>
          <w:spacing w:val="6"/>
          <w:sz w:val="20"/>
          <w:szCs w:val="20"/>
        </w:rPr>
        <w:t>件。</w:t>
      </w:r>
      <w:r>
        <w:rPr>
          <w:sz w:val="20"/>
          <w:szCs w:val="20"/>
        </w:rPr>
        <w:t xml:space="preserve"> </w:t>
      </w:r>
      <w:r>
        <w:rPr>
          <w:spacing w:val="3"/>
          <w:sz w:val="20"/>
          <w:szCs w:val="20"/>
        </w:rPr>
        <w:t>它的作用是指导监理单位规划自身的业务工作，并协调与业主单位在开展监理活动过</w:t>
      </w:r>
      <w:r>
        <w:rPr>
          <w:spacing w:val="2"/>
          <w:sz w:val="20"/>
          <w:szCs w:val="20"/>
        </w:rPr>
        <w:t>程中统一</w:t>
      </w:r>
      <w:r>
        <w:rPr>
          <w:sz w:val="20"/>
          <w:szCs w:val="20"/>
        </w:rPr>
        <w:t xml:space="preserve"> </w:t>
      </w:r>
      <w:r>
        <w:rPr>
          <w:spacing w:val="3"/>
          <w:sz w:val="20"/>
          <w:szCs w:val="20"/>
        </w:rPr>
        <w:t>认识、统一步调、统一行动。由于监理规划是在委托合同签订后编制的，监理</w:t>
      </w:r>
      <w:r>
        <w:rPr>
          <w:spacing w:val="2"/>
          <w:sz w:val="20"/>
          <w:szCs w:val="20"/>
        </w:rPr>
        <w:t>委托关系和监理</w:t>
      </w:r>
      <w:r>
        <w:rPr>
          <w:sz w:val="20"/>
          <w:szCs w:val="20"/>
        </w:rPr>
        <w:t xml:space="preserve"> </w:t>
      </w:r>
      <w:r>
        <w:rPr>
          <w:spacing w:val="3"/>
          <w:sz w:val="20"/>
          <w:szCs w:val="20"/>
        </w:rPr>
        <w:t>授权范围都已经很明确，工程项目特点及建设条件等资料也都比较翔实。因此监理规</w:t>
      </w:r>
      <w:r>
        <w:rPr>
          <w:spacing w:val="2"/>
          <w:sz w:val="20"/>
          <w:szCs w:val="20"/>
        </w:rPr>
        <w:t>划在内容</w:t>
      </w:r>
      <w:r>
        <w:rPr>
          <w:sz w:val="20"/>
          <w:szCs w:val="20"/>
        </w:rPr>
        <w:t xml:space="preserve"> </w:t>
      </w:r>
      <w:r>
        <w:rPr>
          <w:spacing w:val="-2"/>
          <w:sz w:val="20"/>
          <w:szCs w:val="20"/>
        </w:rPr>
        <w:t>和深度等方面比监理合同更加具体化，更加具有指导监理工作的实际价值。</w:t>
      </w:r>
    </w:p>
    <w:p w14:paraId="2A4D8FAB">
      <w:pPr>
        <w:pStyle w:val="2"/>
        <w:spacing w:before="83" w:line="263" w:lineRule="auto"/>
        <w:ind w:right="288" w:firstLine="409"/>
        <w:rPr>
          <w:sz w:val="20"/>
          <w:szCs w:val="20"/>
        </w:rPr>
      </w:pPr>
      <w:r>
        <w:rPr>
          <w:spacing w:val="6"/>
          <w:sz w:val="20"/>
          <w:szCs w:val="20"/>
        </w:rPr>
        <w:t>(3)监理实施细则是在监理规划的指导下，监理机构已经建立，各项专业监理工</w:t>
      </w:r>
      <w:r>
        <w:rPr>
          <w:spacing w:val="5"/>
          <w:sz w:val="20"/>
          <w:szCs w:val="20"/>
        </w:rPr>
        <w:t>作责任制</w:t>
      </w:r>
      <w:r>
        <w:rPr>
          <w:sz w:val="20"/>
          <w:szCs w:val="20"/>
        </w:rPr>
        <w:t xml:space="preserve"> </w:t>
      </w:r>
      <w:r>
        <w:rPr>
          <w:spacing w:val="3"/>
          <w:sz w:val="20"/>
          <w:szCs w:val="20"/>
        </w:rPr>
        <w:t>已经落实，配备的监理工程师已经上岗，再由监理工程师根据专业项目特点及本专</w:t>
      </w:r>
      <w:r>
        <w:rPr>
          <w:spacing w:val="2"/>
          <w:sz w:val="20"/>
          <w:szCs w:val="20"/>
        </w:rPr>
        <w:t>业技术要求</w:t>
      </w:r>
      <w:r>
        <w:rPr>
          <w:sz w:val="20"/>
          <w:szCs w:val="20"/>
        </w:rPr>
        <w:t xml:space="preserve"> </w:t>
      </w:r>
      <w:r>
        <w:rPr>
          <w:spacing w:val="3"/>
          <w:sz w:val="20"/>
          <w:szCs w:val="20"/>
        </w:rPr>
        <w:t>所编制的，具有实施性和可操作性的业务性文件。监理实施细则由各专业监理</w:t>
      </w:r>
      <w:r>
        <w:rPr>
          <w:spacing w:val="2"/>
          <w:sz w:val="20"/>
          <w:szCs w:val="20"/>
        </w:rPr>
        <w:t>工程师负责主持</w:t>
      </w:r>
      <w:r>
        <w:rPr>
          <w:sz w:val="20"/>
          <w:szCs w:val="20"/>
        </w:rPr>
        <w:t xml:space="preserve"> </w:t>
      </w:r>
      <w:r>
        <w:rPr>
          <w:spacing w:val="-2"/>
          <w:sz w:val="20"/>
          <w:szCs w:val="20"/>
        </w:rPr>
        <w:t>编制，并报送项目总监理工程师批准执行。</w:t>
      </w:r>
    </w:p>
    <w:p w14:paraId="2A5DD12C">
      <w:pPr>
        <w:pStyle w:val="2"/>
        <w:spacing w:before="72" w:line="281" w:lineRule="auto"/>
        <w:ind w:right="297" w:firstLine="409"/>
        <w:jc w:val="both"/>
        <w:rPr>
          <w:sz w:val="20"/>
          <w:szCs w:val="20"/>
        </w:rPr>
      </w:pPr>
      <w:r>
        <w:rPr>
          <w:spacing w:val="3"/>
          <w:sz w:val="20"/>
          <w:szCs w:val="20"/>
        </w:rPr>
        <w:t>监理大纲、监理规划和监理实施细则三者之间有一定的联系性，它们都是由监理单位对特</w:t>
      </w:r>
      <w:r>
        <w:rPr>
          <w:spacing w:val="8"/>
          <w:sz w:val="20"/>
          <w:szCs w:val="20"/>
        </w:rPr>
        <w:t xml:space="preserve"> </w:t>
      </w:r>
      <w:r>
        <w:rPr>
          <w:spacing w:val="3"/>
          <w:sz w:val="20"/>
          <w:szCs w:val="20"/>
        </w:rPr>
        <w:t>定的监理项目编制的监理工作计划性文件，且编制的依据具有一定的共同性，编制的文件格式</w:t>
      </w:r>
      <w:r>
        <w:rPr>
          <w:spacing w:val="13"/>
          <w:sz w:val="20"/>
          <w:szCs w:val="20"/>
        </w:rPr>
        <w:t xml:space="preserve"> </w:t>
      </w:r>
      <w:r>
        <w:rPr>
          <w:spacing w:val="3"/>
          <w:sz w:val="20"/>
          <w:szCs w:val="20"/>
        </w:rPr>
        <w:t>也具有一定的相似性。但由于监理大纲、监理规划和监理实施细则三者的作用不</w:t>
      </w:r>
      <w:r>
        <w:rPr>
          <w:spacing w:val="2"/>
          <w:sz w:val="20"/>
          <w:szCs w:val="20"/>
        </w:rPr>
        <w:t>同、编制对象</w:t>
      </w:r>
      <w:r>
        <w:rPr>
          <w:sz w:val="20"/>
          <w:szCs w:val="20"/>
        </w:rPr>
        <w:t xml:space="preserve"> </w:t>
      </w:r>
      <w:r>
        <w:rPr>
          <w:spacing w:val="3"/>
          <w:sz w:val="20"/>
          <w:szCs w:val="20"/>
        </w:rPr>
        <w:t>不同、编制负责人不同、编制时间不同、编制的目的不同等，在编制内容侧重点、深度</w:t>
      </w:r>
      <w:r>
        <w:rPr>
          <w:spacing w:val="2"/>
          <w:sz w:val="20"/>
          <w:szCs w:val="20"/>
        </w:rPr>
        <w:t>、广度</w:t>
      </w:r>
      <w:r>
        <w:rPr>
          <w:sz w:val="20"/>
          <w:szCs w:val="20"/>
        </w:rPr>
        <w:t xml:space="preserve"> </w:t>
      </w:r>
      <w:r>
        <w:rPr>
          <w:spacing w:val="-3"/>
          <w:sz w:val="20"/>
          <w:szCs w:val="20"/>
        </w:rPr>
        <w:t>和细度诸方面有着显著区别。</w:t>
      </w:r>
    </w:p>
    <w:p w14:paraId="587B5B11">
      <w:pPr>
        <w:spacing w:line="281" w:lineRule="auto"/>
        <w:rPr>
          <w:sz w:val="20"/>
          <w:szCs w:val="20"/>
        </w:rPr>
        <w:sectPr>
          <w:pgSz w:w="10280" w:h="13320"/>
          <w:pgMar w:top="400" w:right="524" w:bottom="400" w:left="1120" w:header="0" w:footer="0" w:gutter="0"/>
          <w:cols w:space="720" w:num="1"/>
        </w:sectPr>
      </w:pPr>
    </w:p>
    <w:p w14:paraId="1E995DA1">
      <w:pPr>
        <w:pStyle w:val="2"/>
        <w:rPr>
          <w:sz w:val="19"/>
          <w:szCs w:val="19"/>
        </w:rPr>
      </w:pPr>
      <w:r>
        <w:rPr>
          <w:rFonts w:ascii="Times New Roman" w:hAnsi="Times New Roman" w:eastAsia="Times New Roman" w:cs="Times New Roman"/>
          <w:b/>
          <w:bCs/>
          <w:spacing w:val="3"/>
          <w:sz w:val="19"/>
          <w:szCs w:val="19"/>
        </w:rPr>
        <w:t>238</w:t>
      </w:r>
      <w:r>
        <w:rPr>
          <w:rFonts w:ascii="Times New Roman" w:hAnsi="Times New Roman" w:eastAsia="Times New Roman" w:cs="Times New Roman"/>
          <w:b/>
          <w:bCs/>
          <w:spacing w:val="42"/>
          <w:sz w:val="19"/>
          <w:szCs w:val="19"/>
        </w:rPr>
        <w:t xml:space="preserve"> </w:t>
      </w:r>
      <w:r>
        <w:rPr>
          <w:position w:val="-10"/>
          <w:sz w:val="19"/>
          <w:szCs w:val="19"/>
        </w:rPr>
        <w:drawing>
          <wp:inline distT="0" distB="0" distL="0" distR="0">
            <wp:extent cx="304800" cy="24765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64"/>
                    <a:stretch>
                      <a:fillRect/>
                    </a:stretch>
                  </pic:blipFill>
                  <pic:spPr>
                    <a:xfrm>
                      <a:off x="0" y="0"/>
                      <a:ext cx="304821" cy="247696"/>
                    </a:xfrm>
                    <a:prstGeom prst="rect">
                      <a:avLst/>
                    </a:prstGeom>
                  </pic:spPr>
                </pic:pic>
              </a:graphicData>
            </a:graphic>
          </wp:inline>
        </w:drawing>
      </w:r>
      <w:r>
        <w:rPr>
          <w:rFonts w:ascii="Times New Roman" w:hAnsi="Times New Roman" w:eastAsia="Times New Roman" w:cs="Times New Roman"/>
          <w:b/>
          <w:bCs/>
          <w:spacing w:val="22"/>
          <w:w w:val="101"/>
          <w:sz w:val="19"/>
          <w:szCs w:val="19"/>
        </w:rPr>
        <w:t xml:space="preserve">  </w:t>
      </w:r>
      <w:r>
        <w:rPr>
          <w:spacing w:val="3"/>
          <w:sz w:val="19"/>
          <w:szCs w:val="19"/>
        </w:rPr>
        <w:t>信息系统监理师教程(第2版)</w:t>
      </w:r>
    </w:p>
    <w:p w14:paraId="06CAA855">
      <w:pPr>
        <w:spacing w:line="294" w:lineRule="auto"/>
        <w:rPr>
          <w:rFonts w:ascii="Arial"/>
          <w:sz w:val="21"/>
        </w:rPr>
      </w:pPr>
    </w:p>
    <w:p w14:paraId="21204601">
      <w:pPr>
        <w:pStyle w:val="2"/>
        <w:spacing w:before="62" w:line="220" w:lineRule="auto"/>
        <w:ind w:left="779"/>
        <w:rPr>
          <w:sz w:val="19"/>
          <w:szCs w:val="19"/>
        </w:rPr>
      </w:pPr>
      <w:r>
        <w:rPr>
          <w:spacing w:val="10"/>
          <w:sz w:val="19"/>
          <w:szCs w:val="19"/>
        </w:rPr>
        <w:t>监理大纲、监理规划和监理实施细则三者的主要区别如表9-1所</w:t>
      </w:r>
      <w:r>
        <w:rPr>
          <w:spacing w:val="9"/>
          <w:sz w:val="19"/>
          <w:szCs w:val="19"/>
        </w:rPr>
        <w:t>示。</w:t>
      </w:r>
    </w:p>
    <w:p w14:paraId="6D286660">
      <w:pPr>
        <w:spacing w:before="159" w:line="222" w:lineRule="auto"/>
        <w:ind w:left="2142"/>
        <w:rPr>
          <w:rFonts w:ascii="黑体" w:hAnsi="黑体" w:eastAsia="黑体" w:cs="黑体"/>
          <w:sz w:val="19"/>
          <w:szCs w:val="19"/>
        </w:rPr>
      </w:pPr>
      <w:bookmarkStart w:id="612" w:name="bookmark597"/>
      <w:bookmarkEnd w:id="612"/>
      <w:r>
        <w:rPr>
          <w:rFonts w:ascii="黑体" w:hAnsi="黑体" w:eastAsia="黑体" w:cs="黑体"/>
          <w:b/>
          <w:bCs/>
          <w:spacing w:val="-10"/>
          <w:sz w:val="19"/>
          <w:szCs w:val="19"/>
        </w:rPr>
        <w:t>表9-1</w:t>
      </w:r>
      <w:r>
        <w:rPr>
          <w:rFonts w:ascii="黑体" w:hAnsi="黑体" w:eastAsia="黑体" w:cs="黑体"/>
          <w:spacing w:val="-10"/>
          <w:sz w:val="19"/>
          <w:szCs w:val="19"/>
        </w:rPr>
        <w:t xml:space="preserve">  </w:t>
      </w:r>
      <w:r>
        <w:rPr>
          <w:rFonts w:ascii="黑体" w:hAnsi="黑体" w:eastAsia="黑体" w:cs="黑体"/>
          <w:b/>
          <w:bCs/>
          <w:spacing w:val="-10"/>
          <w:sz w:val="19"/>
          <w:szCs w:val="19"/>
        </w:rPr>
        <w:t>监理大纲、监理规划和监理实施细</w:t>
      </w:r>
      <w:r>
        <w:rPr>
          <w:rFonts w:ascii="黑体" w:hAnsi="黑体" w:eastAsia="黑体" w:cs="黑体"/>
          <w:b/>
          <w:bCs/>
          <w:spacing w:val="-11"/>
          <w:sz w:val="19"/>
          <w:szCs w:val="19"/>
        </w:rPr>
        <w:t>则三者的主要区别</w:t>
      </w:r>
    </w:p>
    <w:p w14:paraId="0EE542DF">
      <w:pPr>
        <w:spacing w:line="122" w:lineRule="exact"/>
      </w:pPr>
    </w:p>
    <w:tbl>
      <w:tblPr>
        <w:tblStyle w:val="5"/>
        <w:tblW w:w="8350" w:type="dxa"/>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0"/>
        <w:gridCol w:w="870"/>
        <w:gridCol w:w="840"/>
        <w:gridCol w:w="820"/>
        <w:gridCol w:w="1210"/>
        <w:gridCol w:w="1750"/>
        <w:gridCol w:w="670"/>
        <w:gridCol w:w="660"/>
        <w:gridCol w:w="750"/>
      </w:tblGrid>
      <w:tr w14:paraId="12000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780" w:type="dxa"/>
            <w:vMerge w:val="restart"/>
            <w:tcBorders>
              <w:left w:val="nil"/>
              <w:bottom w:val="nil"/>
            </w:tcBorders>
            <w:vAlign w:val="top"/>
          </w:tcPr>
          <w:p w14:paraId="3F26D888">
            <w:pPr>
              <w:pStyle w:val="6"/>
              <w:spacing w:before="202" w:line="221" w:lineRule="auto"/>
              <w:ind w:left="202"/>
            </w:pPr>
            <w:r>
              <w:rPr>
                <w:b/>
                <w:bCs/>
                <w:spacing w:val="-5"/>
              </w:rPr>
              <w:t>名称</w:t>
            </w:r>
          </w:p>
        </w:tc>
        <w:tc>
          <w:tcPr>
            <w:tcW w:w="870" w:type="dxa"/>
            <w:vMerge w:val="restart"/>
            <w:tcBorders>
              <w:bottom w:val="nil"/>
            </w:tcBorders>
            <w:vAlign w:val="top"/>
          </w:tcPr>
          <w:p w14:paraId="5976657F">
            <w:pPr>
              <w:pStyle w:val="6"/>
              <w:spacing w:before="200" w:line="219" w:lineRule="auto"/>
              <w:ind w:left="47"/>
            </w:pPr>
            <w:r>
              <w:rPr>
                <w:b/>
                <w:bCs/>
                <w:spacing w:val="-4"/>
              </w:rPr>
              <w:t>编制对象</w:t>
            </w:r>
          </w:p>
        </w:tc>
        <w:tc>
          <w:tcPr>
            <w:tcW w:w="840" w:type="dxa"/>
            <w:vMerge w:val="restart"/>
            <w:tcBorders>
              <w:bottom w:val="nil"/>
            </w:tcBorders>
            <w:vAlign w:val="top"/>
          </w:tcPr>
          <w:p w14:paraId="6667343B">
            <w:pPr>
              <w:pStyle w:val="6"/>
              <w:spacing w:before="200" w:line="219" w:lineRule="auto"/>
              <w:ind w:left="127"/>
            </w:pPr>
            <w:r>
              <w:rPr>
                <w:b/>
                <w:bCs/>
                <w:spacing w:val="-6"/>
              </w:rPr>
              <w:t>负责人</w:t>
            </w:r>
          </w:p>
        </w:tc>
        <w:tc>
          <w:tcPr>
            <w:tcW w:w="820" w:type="dxa"/>
            <w:vMerge w:val="restart"/>
            <w:tcBorders>
              <w:bottom w:val="nil"/>
            </w:tcBorders>
            <w:vAlign w:val="top"/>
          </w:tcPr>
          <w:p w14:paraId="7C4B6841">
            <w:pPr>
              <w:pStyle w:val="6"/>
              <w:spacing w:before="200" w:line="219" w:lineRule="auto"/>
              <w:ind w:left="17"/>
            </w:pPr>
            <w:r>
              <w:rPr>
                <w:b/>
                <w:bCs/>
                <w:spacing w:val="1"/>
              </w:rPr>
              <w:t>编制时间</w:t>
            </w:r>
          </w:p>
        </w:tc>
        <w:tc>
          <w:tcPr>
            <w:tcW w:w="1210" w:type="dxa"/>
            <w:vMerge w:val="restart"/>
            <w:tcBorders>
              <w:bottom w:val="nil"/>
            </w:tcBorders>
            <w:vAlign w:val="top"/>
          </w:tcPr>
          <w:p w14:paraId="4B97EE9A">
            <w:pPr>
              <w:pStyle w:val="6"/>
              <w:spacing w:before="200" w:line="219" w:lineRule="auto"/>
              <w:ind w:left="257"/>
            </w:pPr>
            <w:r>
              <w:rPr>
                <w:b/>
                <w:bCs/>
                <w:spacing w:val="-4"/>
              </w:rPr>
              <w:t>编制目的</w:t>
            </w:r>
          </w:p>
        </w:tc>
        <w:tc>
          <w:tcPr>
            <w:tcW w:w="1750" w:type="dxa"/>
            <w:vMerge w:val="restart"/>
            <w:tcBorders>
              <w:bottom w:val="nil"/>
            </w:tcBorders>
            <w:vAlign w:val="top"/>
          </w:tcPr>
          <w:p w14:paraId="5227A2A0">
            <w:pPr>
              <w:pStyle w:val="6"/>
              <w:spacing w:before="200" w:line="219" w:lineRule="auto"/>
              <w:ind w:left="487"/>
            </w:pPr>
            <w:r>
              <w:rPr>
                <w:b/>
                <w:bCs/>
                <w:spacing w:val="2"/>
              </w:rPr>
              <w:t>编制作用</w:t>
            </w:r>
          </w:p>
        </w:tc>
        <w:tc>
          <w:tcPr>
            <w:tcW w:w="2080" w:type="dxa"/>
            <w:gridSpan w:val="3"/>
            <w:tcBorders>
              <w:right w:val="nil"/>
            </w:tcBorders>
            <w:vAlign w:val="top"/>
          </w:tcPr>
          <w:p w14:paraId="586165C7">
            <w:pPr>
              <w:pStyle w:val="6"/>
              <w:spacing w:before="50" w:line="219" w:lineRule="auto"/>
              <w:ind w:left="677"/>
            </w:pPr>
            <w:r>
              <w:rPr>
                <w:b/>
                <w:bCs/>
                <w:spacing w:val="-4"/>
              </w:rPr>
              <w:t>编制内容</w:t>
            </w:r>
          </w:p>
        </w:tc>
      </w:tr>
      <w:tr w14:paraId="6CB9D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0" w:type="dxa"/>
            <w:vMerge w:val="continue"/>
            <w:tcBorders>
              <w:top w:val="nil"/>
              <w:left w:val="nil"/>
            </w:tcBorders>
            <w:vAlign w:val="top"/>
          </w:tcPr>
          <w:p w14:paraId="4BC7E892">
            <w:pPr>
              <w:rPr>
                <w:rFonts w:ascii="Arial"/>
                <w:sz w:val="21"/>
              </w:rPr>
            </w:pPr>
          </w:p>
        </w:tc>
        <w:tc>
          <w:tcPr>
            <w:tcW w:w="870" w:type="dxa"/>
            <w:vMerge w:val="continue"/>
            <w:tcBorders>
              <w:top w:val="nil"/>
            </w:tcBorders>
            <w:vAlign w:val="top"/>
          </w:tcPr>
          <w:p w14:paraId="66287517">
            <w:pPr>
              <w:rPr>
                <w:rFonts w:ascii="Arial"/>
                <w:sz w:val="21"/>
              </w:rPr>
            </w:pPr>
          </w:p>
        </w:tc>
        <w:tc>
          <w:tcPr>
            <w:tcW w:w="840" w:type="dxa"/>
            <w:vMerge w:val="continue"/>
            <w:tcBorders>
              <w:top w:val="nil"/>
            </w:tcBorders>
            <w:vAlign w:val="top"/>
          </w:tcPr>
          <w:p w14:paraId="27A18CEC">
            <w:pPr>
              <w:rPr>
                <w:rFonts w:ascii="Arial"/>
                <w:sz w:val="21"/>
              </w:rPr>
            </w:pPr>
          </w:p>
        </w:tc>
        <w:tc>
          <w:tcPr>
            <w:tcW w:w="820" w:type="dxa"/>
            <w:vMerge w:val="continue"/>
            <w:tcBorders>
              <w:top w:val="nil"/>
            </w:tcBorders>
            <w:vAlign w:val="top"/>
          </w:tcPr>
          <w:p w14:paraId="0D3941AE">
            <w:pPr>
              <w:rPr>
                <w:rFonts w:ascii="Arial"/>
                <w:sz w:val="21"/>
              </w:rPr>
            </w:pPr>
          </w:p>
        </w:tc>
        <w:tc>
          <w:tcPr>
            <w:tcW w:w="1210" w:type="dxa"/>
            <w:vMerge w:val="continue"/>
            <w:tcBorders>
              <w:top w:val="nil"/>
            </w:tcBorders>
            <w:vAlign w:val="top"/>
          </w:tcPr>
          <w:p w14:paraId="5C8C51C9">
            <w:pPr>
              <w:rPr>
                <w:rFonts w:ascii="Arial"/>
                <w:sz w:val="21"/>
              </w:rPr>
            </w:pPr>
          </w:p>
        </w:tc>
        <w:tc>
          <w:tcPr>
            <w:tcW w:w="1750" w:type="dxa"/>
            <w:vMerge w:val="continue"/>
            <w:tcBorders>
              <w:top w:val="nil"/>
            </w:tcBorders>
            <w:vAlign w:val="top"/>
          </w:tcPr>
          <w:p w14:paraId="5354CBE3">
            <w:pPr>
              <w:rPr>
                <w:rFonts w:ascii="Arial"/>
                <w:sz w:val="21"/>
              </w:rPr>
            </w:pPr>
          </w:p>
        </w:tc>
        <w:tc>
          <w:tcPr>
            <w:tcW w:w="670" w:type="dxa"/>
            <w:vAlign w:val="top"/>
          </w:tcPr>
          <w:p w14:paraId="3DFDA181">
            <w:pPr>
              <w:pStyle w:val="6"/>
              <w:spacing w:before="47" w:line="219" w:lineRule="auto"/>
              <w:ind w:left="47"/>
            </w:pPr>
            <w:r>
              <w:rPr>
                <w:b/>
                <w:bCs/>
                <w:spacing w:val="4"/>
              </w:rPr>
              <w:t>为什么</w:t>
            </w:r>
          </w:p>
        </w:tc>
        <w:tc>
          <w:tcPr>
            <w:tcW w:w="660" w:type="dxa"/>
            <w:vAlign w:val="top"/>
          </w:tcPr>
          <w:p w14:paraId="5EF8A424">
            <w:pPr>
              <w:pStyle w:val="6"/>
              <w:spacing w:before="47" w:line="219" w:lineRule="auto"/>
              <w:ind w:left="37"/>
            </w:pPr>
            <w:r>
              <w:rPr>
                <w:b/>
                <w:bCs/>
                <w:spacing w:val="4"/>
              </w:rPr>
              <w:t>做什么</w:t>
            </w:r>
          </w:p>
        </w:tc>
        <w:tc>
          <w:tcPr>
            <w:tcW w:w="750" w:type="dxa"/>
            <w:tcBorders>
              <w:right w:val="nil"/>
            </w:tcBorders>
            <w:vAlign w:val="top"/>
          </w:tcPr>
          <w:p w14:paraId="07A22485">
            <w:pPr>
              <w:pStyle w:val="6"/>
              <w:spacing w:before="47" w:line="219" w:lineRule="auto"/>
              <w:ind w:left="87"/>
            </w:pPr>
            <w:r>
              <w:rPr>
                <w:b/>
                <w:bCs/>
                <w:spacing w:val="-5"/>
              </w:rPr>
              <w:t>如何做</w:t>
            </w:r>
          </w:p>
        </w:tc>
      </w:tr>
      <w:tr w14:paraId="312B9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780" w:type="dxa"/>
            <w:tcBorders>
              <w:left w:val="nil"/>
            </w:tcBorders>
            <w:vAlign w:val="top"/>
          </w:tcPr>
          <w:p w14:paraId="5A8BE21F">
            <w:pPr>
              <w:pStyle w:val="6"/>
              <w:spacing w:before="201" w:line="220" w:lineRule="auto"/>
              <w:jc w:val="right"/>
            </w:pPr>
            <w:r>
              <w:rPr>
                <w:spacing w:val="-2"/>
              </w:rPr>
              <w:t>监理大纲</w:t>
            </w:r>
          </w:p>
        </w:tc>
        <w:tc>
          <w:tcPr>
            <w:tcW w:w="870" w:type="dxa"/>
            <w:vAlign w:val="top"/>
          </w:tcPr>
          <w:p w14:paraId="638E0399">
            <w:pPr>
              <w:pStyle w:val="6"/>
              <w:spacing w:before="201" w:line="220" w:lineRule="auto"/>
              <w:ind w:left="45"/>
            </w:pPr>
            <w:r>
              <w:rPr>
                <w:spacing w:val="-2"/>
              </w:rPr>
              <w:t>项目整体</w:t>
            </w:r>
          </w:p>
        </w:tc>
        <w:tc>
          <w:tcPr>
            <w:tcW w:w="840" w:type="dxa"/>
            <w:vAlign w:val="top"/>
          </w:tcPr>
          <w:p w14:paraId="3306A4E1">
            <w:pPr>
              <w:pStyle w:val="6"/>
              <w:spacing w:before="203" w:line="221" w:lineRule="auto"/>
              <w:ind w:left="35"/>
            </w:pPr>
            <w:r>
              <w:rPr>
                <w:spacing w:val="2"/>
              </w:rPr>
              <w:t>公司总监</w:t>
            </w:r>
          </w:p>
        </w:tc>
        <w:tc>
          <w:tcPr>
            <w:tcW w:w="820" w:type="dxa"/>
            <w:vAlign w:val="top"/>
          </w:tcPr>
          <w:p w14:paraId="27EBDD05">
            <w:pPr>
              <w:pStyle w:val="6"/>
              <w:spacing w:before="82" w:line="236" w:lineRule="auto"/>
              <w:ind w:left="15" w:right="13" w:firstLine="30"/>
            </w:pPr>
            <w:r>
              <w:rPr>
                <w:spacing w:val="-3"/>
              </w:rPr>
              <w:t>监理招标</w:t>
            </w:r>
            <w:r>
              <w:rPr>
                <w:spacing w:val="2"/>
              </w:rPr>
              <w:t xml:space="preserve"> </w:t>
            </w:r>
            <w:r>
              <w:rPr>
                <w:spacing w:val="3"/>
              </w:rPr>
              <w:t>阶段</w:t>
            </w:r>
          </w:p>
        </w:tc>
        <w:tc>
          <w:tcPr>
            <w:tcW w:w="1210" w:type="dxa"/>
            <w:vAlign w:val="top"/>
          </w:tcPr>
          <w:p w14:paraId="5D51A5AB">
            <w:pPr>
              <w:pStyle w:val="6"/>
              <w:spacing w:before="69" w:line="242" w:lineRule="auto"/>
              <w:ind w:left="55"/>
            </w:pPr>
            <w:r>
              <w:t>供业主单位审</w:t>
            </w:r>
            <w:r>
              <w:rPr>
                <w:spacing w:val="3"/>
              </w:rPr>
              <w:t xml:space="preserve"> </w:t>
            </w:r>
            <w:r>
              <w:rPr>
                <w:spacing w:val="1"/>
              </w:rPr>
              <w:t>查监理能力</w:t>
            </w:r>
          </w:p>
        </w:tc>
        <w:tc>
          <w:tcPr>
            <w:tcW w:w="1750" w:type="dxa"/>
            <w:vAlign w:val="top"/>
          </w:tcPr>
          <w:p w14:paraId="100C4FF8">
            <w:pPr>
              <w:pStyle w:val="6"/>
              <w:spacing w:before="82" w:line="236" w:lineRule="auto"/>
              <w:ind w:left="55" w:hanging="40"/>
            </w:pPr>
            <w:r>
              <w:rPr>
                <w:spacing w:val="1"/>
              </w:rPr>
              <w:t>增强监理项目中标的</w:t>
            </w:r>
            <w:r>
              <w:rPr>
                <w:spacing w:val="4"/>
              </w:rPr>
              <w:t xml:space="preserve"> </w:t>
            </w:r>
            <w:r>
              <w:rPr>
                <w:spacing w:val="-2"/>
              </w:rPr>
              <w:t>可能性</w:t>
            </w:r>
          </w:p>
        </w:tc>
        <w:tc>
          <w:tcPr>
            <w:tcW w:w="670" w:type="dxa"/>
            <w:vAlign w:val="top"/>
          </w:tcPr>
          <w:p w14:paraId="5EF32BF3">
            <w:pPr>
              <w:pStyle w:val="6"/>
              <w:spacing w:before="204" w:line="224" w:lineRule="auto"/>
              <w:ind w:left="135"/>
            </w:pPr>
            <w:r>
              <w:rPr>
                <w:spacing w:val="8"/>
              </w:rPr>
              <w:t>重点</w:t>
            </w:r>
          </w:p>
        </w:tc>
        <w:tc>
          <w:tcPr>
            <w:tcW w:w="660" w:type="dxa"/>
            <w:vAlign w:val="top"/>
          </w:tcPr>
          <w:p w14:paraId="6C1CD650">
            <w:pPr>
              <w:pStyle w:val="6"/>
              <w:spacing w:before="201" w:line="221" w:lineRule="auto"/>
              <w:ind w:left="135"/>
            </w:pPr>
            <w:r>
              <w:rPr>
                <w:spacing w:val="-6"/>
              </w:rPr>
              <w:t>一般</w:t>
            </w:r>
          </w:p>
        </w:tc>
        <w:tc>
          <w:tcPr>
            <w:tcW w:w="750" w:type="dxa"/>
            <w:tcBorders>
              <w:right w:val="nil"/>
            </w:tcBorders>
            <w:vAlign w:val="top"/>
          </w:tcPr>
          <w:p w14:paraId="5EDE364E">
            <w:pPr>
              <w:pStyle w:val="6"/>
              <w:spacing w:before="201" w:line="220" w:lineRule="auto"/>
              <w:ind w:left="275"/>
            </w:pPr>
            <w:r>
              <w:t>无</w:t>
            </w:r>
          </w:p>
        </w:tc>
      </w:tr>
      <w:tr w14:paraId="19403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780" w:type="dxa"/>
            <w:tcBorders>
              <w:left w:val="nil"/>
            </w:tcBorders>
            <w:vAlign w:val="top"/>
          </w:tcPr>
          <w:p w14:paraId="74121756">
            <w:pPr>
              <w:pStyle w:val="6"/>
              <w:spacing w:before="195" w:line="221" w:lineRule="auto"/>
              <w:jc w:val="right"/>
            </w:pPr>
            <w:r>
              <w:rPr>
                <w:spacing w:val="-2"/>
              </w:rPr>
              <w:t>监理规划</w:t>
            </w:r>
          </w:p>
        </w:tc>
        <w:tc>
          <w:tcPr>
            <w:tcW w:w="870" w:type="dxa"/>
            <w:vAlign w:val="top"/>
          </w:tcPr>
          <w:p w14:paraId="4515C338">
            <w:pPr>
              <w:pStyle w:val="6"/>
              <w:spacing w:before="193" w:line="220" w:lineRule="auto"/>
              <w:ind w:left="45"/>
            </w:pPr>
            <w:r>
              <w:rPr>
                <w:spacing w:val="-2"/>
              </w:rPr>
              <w:t>项目整体</w:t>
            </w:r>
          </w:p>
        </w:tc>
        <w:tc>
          <w:tcPr>
            <w:tcW w:w="840" w:type="dxa"/>
            <w:vAlign w:val="top"/>
          </w:tcPr>
          <w:p w14:paraId="5ED0E936">
            <w:pPr>
              <w:pStyle w:val="6"/>
              <w:spacing w:before="70" w:line="232" w:lineRule="auto"/>
              <w:ind w:left="25" w:right="24" w:firstLine="10"/>
            </w:pPr>
            <w:r>
              <w:rPr>
                <w:spacing w:val="2"/>
              </w:rPr>
              <w:t>总监理工</w:t>
            </w:r>
            <w:r>
              <w:rPr>
                <w:spacing w:val="1"/>
              </w:rPr>
              <w:t xml:space="preserve"> </w:t>
            </w:r>
            <w:r>
              <w:rPr>
                <w:spacing w:val="-2"/>
              </w:rPr>
              <w:t>程师</w:t>
            </w:r>
          </w:p>
        </w:tc>
        <w:tc>
          <w:tcPr>
            <w:tcW w:w="820" w:type="dxa"/>
            <w:vAlign w:val="top"/>
          </w:tcPr>
          <w:p w14:paraId="11B9F9A0">
            <w:pPr>
              <w:pStyle w:val="6"/>
              <w:spacing w:before="64" w:line="235" w:lineRule="auto"/>
              <w:ind w:left="15" w:firstLine="19"/>
            </w:pPr>
            <w:r>
              <w:rPr>
                <w:spacing w:val="3"/>
              </w:rPr>
              <w:t>监理合同</w:t>
            </w:r>
            <w:r>
              <w:rPr>
                <w:spacing w:val="1"/>
              </w:rPr>
              <w:t xml:space="preserve"> </w:t>
            </w:r>
            <w:r>
              <w:rPr>
                <w:spacing w:val="4"/>
              </w:rPr>
              <w:t>签订后</w:t>
            </w:r>
          </w:p>
        </w:tc>
        <w:tc>
          <w:tcPr>
            <w:tcW w:w="1210" w:type="dxa"/>
            <w:vAlign w:val="top"/>
          </w:tcPr>
          <w:p w14:paraId="50972E2D">
            <w:pPr>
              <w:pStyle w:val="6"/>
              <w:spacing w:before="64" w:line="235" w:lineRule="auto"/>
              <w:ind w:left="15" w:firstLine="39"/>
            </w:pPr>
            <w:r>
              <w:t>项目监理的工</w:t>
            </w:r>
            <w:r>
              <w:rPr>
                <w:spacing w:val="4"/>
              </w:rPr>
              <w:t xml:space="preserve"> </w:t>
            </w:r>
            <w:r>
              <w:rPr>
                <w:spacing w:val="-3"/>
              </w:rPr>
              <w:t>作纲领</w:t>
            </w:r>
          </w:p>
        </w:tc>
        <w:tc>
          <w:tcPr>
            <w:tcW w:w="1750" w:type="dxa"/>
            <w:vAlign w:val="top"/>
          </w:tcPr>
          <w:p w14:paraId="170B9840">
            <w:pPr>
              <w:pStyle w:val="6"/>
              <w:spacing w:before="72" w:line="231" w:lineRule="auto"/>
              <w:ind w:left="55" w:right="21" w:hanging="40"/>
            </w:pPr>
            <w:r>
              <w:rPr>
                <w:spacing w:val="-1"/>
              </w:rPr>
              <w:t>对监理自身工作的指</w:t>
            </w:r>
            <w:r>
              <w:rPr>
                <w:spacing w:val="1"/>
              </w:rPr>
              <w:t xml:space="preserve"> </w:t>
            </w:r>
            <w:r>
              <w:rPr>
                <w:spacing w:val="2"/>
              </w:rPr>
              <w:t>导、考核</w:t>
            </w:r>
          </w:p>
        </w:tc>
        <w:tc>
          <w:tcPr>
            <w:tcW w:w="670" w:type="dxa"/>
            <w:vAlign w:val="top"/>
          </w:tcPr>
          <w:p w14:paraId="6DA7D24F">
            <w:pPr>
              <w:pStyle w:val="6"/>
              <w:spacing w:before="193" w:line="221" w:lineRule="auto"/>
              <w:ind w:left="135"/>
            </w:pPr>
            <w:r>
              <w:rPr>
                <w:spacing w:val="-6"/>
              </w:rPr>
              <w:t>一般</w:t>
            </w:r>
          </w:p>
        </w:tc>
        <w:tc>
          <w:tcPr>
            <w:tcW w:w="660" w:type="dxa"/>
            <w:vAlign w:val="top"/>
          </w:tcPr>
          <w:p w14:paraId="12F15C69">
            <w:pPr>
              <w:pStyle w:val="6"/>
              <w:spacing w:before="196" w:line="224" w:lineRule="auto"/>
              <w:ind w:left="135"/>
            </w:pPr>
            <w:r>
              <w:rPr>
                <w:spacing w:val="8"/>
              </w:rPr>
              <w:t>重点</w:t>
            </w:r>
          </w:p>
        </w:tc>
        <w:tc>
          <w:tcPr>
            <w:tcW w:w="750" w:type="dxa"/>
            <w:tcBorders>
              <w:right w:val="nil"/>
            </w:tcBorders>
            <w:vAlign w:val="top"/>
          </w:tcPr>
          <w:p w14:paraId="63A97944">
            <w:pPr>
              <w:pStyle w:val="6"/>
              <w:spacing w:before="196" w:line="224" w:lineRule="auto"/>
              <w:ind w:left="175"/>
            </w:pPr>
            <w:r>
              <w:rPr>
                <w:spacing w:val="8"/>
              </w:rPr>
              <w:t>重点</w:t>
            </w:r>
          </w:p>
        </w:tc>
      </w:tr>
      <w:tr w14:paraId="43DE6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1" w:hRule="atLeast"/>
        </w:trPr>
        <w:tc>
          <w:tcPr>
            <w:tcW w:w="780" w:type="dxa"/>
            <w:tcBorders>
              <w:left w:val="nil"/>
            </w:tcBorders>
            <w:vAlign w:val="top"/>
          </w:tcPr>
          <w:p w14:paraId="111A6E14">
            <w:pPr>
              <w:pStyle w:val="6"/>
              <w:spacing w:before="214" w:line="269" w:lineRule="auto"/>
              <w:ind w:left="20" w:right="3"/>
            </w:pPr>
            <w:r>
              <w:rPr>
                <w:spacing w:val="-3"/>
              </w:rPr>
              <w:t>监理实施</w:t>
            </w:r>
            <w:r>
              <w:rPr>
                <w:spacing w:val="2"/>
              </w:rPr>
              <w:t xml:space="preserve"> </w:t>
            </w:r>
            <w:r>
              <w:rPr>
                <w:spacing w:val="8"/>
              </w:rPr>
              <w:t>细则</w:t>
            </w:r>
          </w:p>
        </w:tc>
        <w:tc>
          <w:tcPr>
            <w:tcW w:w="870" w:type="dxa"/>
            <w:vAlign w:val="top"/>
          </w:tcPr>
          <w:p w14:paraId="141EC7DC">
            <w:pPr>
              <w:pStyle w:val="6"/>
              <w:spacing w:before="226" w:line="249" w:lineRule="auto"/>
              <w:ind w:left="45" w:right="42"/>
            </w:pPr>
            <w:r>
              <w:rPr>
                <w:spacing w:val="-2"/>
              </w:rPr>
              <w:t>某项专业</w:t>
            </w:r>
            <w:r>
              <w:t xml:space="preserve"> </w:t>
            </w:r>
            <w:r>
              <w:rPr>
                <w:spacing w:val="3"/>
              </w:rPr>
              <w:t>监理工作</w:t>
            </w:r>
          </w:p>
        </w:tc>
        <w:tc>
          <w:tcPr>
            <w:tcW w:w="840" w:type="dxa"/>
            <w:vAlign w:val="top"/>
          </w:tcPr>
          <w:p w14:paraId="7283C89C">
            <w:pPr>
              <w:pStyle w:val="6"/>
              <w:spacing w:before="224" w:line="231" w:lineRule="auto"/>
              <w:ind w:left="35" w:right="43"/>
            </w:pPr>
            <w:r>
              <w:rPr>
                <w:spacing w:val="-3"/>
              </w:rPr>
              <w:t>监理工程</w:t>
            </w:r>
            <w:r>
              <w:rPr>
                <w:spacing w:val="2"/>
              </w:rPr>
              <w:t xml:space="preserve"> </w:t>
            </w:r>
            <w:r>
              <w:t>师</w:t>
            </w:r>
          </w:p>
        </w:tc>
        <w:tc>
          <w:tcPr>
            <w:tcW w:w="820" w:type="dxa"/>
            <w:vAlign w:val="top"/>
          </w:tcPr>
          <w:p w14:paraId="02D9F394">
            <w:pPr>
              <w:pStyle w:val="6"/>
              <w:spacing w:before="75" w:line="248" w:lineRule="auto"/>
              <w:ind w:left="15" w:right="20"/>
              <w:jc w:val="both"/>
            </w:pPr>
            <w:r>
              <w:rPr>
                <w:spacing w:val="3"/>
              </w:rPr>
              <w:t>监理机构</w:t>
            </w:r>
            <w:r>
              <w:t xml:space="preserve"> </w:t>
            </w:r>
            <w:r>
              <w:rPr>
                <w:spacing w:val="3"/>
              </w:rPr>
              <w:t>建立、责</w:t>
            </w:r>
            <w:r>
              <w:t xml:space="preserve"> </w:t>
            </w:r>
            <w:r>
              <w:rPr>
                <w:spacing w:val="3"/>
              </w:rPr>
              <w:t>任明确后</w:t>
            </w:r>
          </w:p>
        </w:tc>
        <w:tc>
          <w:tcPr>
            <w:tcW w:w="1210" w:type="dxa"/>
            <w:vAlign w:val="top"/>
          </w:tcPr>
          <w:p w14:paraId="3AC4C7CC">
            <w:pPr>
              <w:pStyle w:val="6"/>
              <w:spacing w:before="204" w:line="268" w:lineRule="auto"/>
              <w:ind w:left="55" w:right="3" w:firstLine="10"/>
            </w:pPr>
            <w:r>
              <w:rPr>
                <w:spacing w:val="-2"/>
              </w:rPr>
              <w:t>专业监理实施</w:t>
            </w:r>
            <w:r>
              <w:rPr>
                <w:spacing w:val="2"/>
              </w:rPr>
              <w:t xml:space="preserve"> </w:t>
            </w:r>
            <w:r>
              <w:rPr>
                <w:spacing w:val="1"/>
              </w:rPr>
              <w:t>的操作指南</w:t>
            </w:r>
          </w:p>
        </w:tc>
        <w:tc>
          <w:tcPr>
            <w:tcW w:w="1750" w:type="dxa"/>
            <w:vAlign w:val="top"/>
          </w:tcPr>
          <w:p w14:paraId="7D36B879">
            <w:pPr>
              <w:pStyle w:val="6"/>
              <w:spacing w:before="75" w:line="248" w:lineRule="auto"/>
              <w:ind w:left="15"/>
              <w:jc w:val="both"/>
            </w:pPr>
            <w:r>
              <w:rPr>
                <w:spacing w:val="1"/>
              </w:rPr>
              <w:t>规定专业监理程序、</w:t>
            </w:r>
            <w:r>
              <w:rPr>
                <w:spacing w:val="4"/>
              </w:rPr>
              <w:t xml:space="preserve"> </w:t>
            </w:r>
            <w:r>
              <w:rPr>
                <w:spacing w:val="-10"/>
              </w:rPr>
              <w:t>方法、标准，使监理</w:t>
            </w:r>
            <w:r>
              <w:rPr>
                <w:spacing w:val="2"/>
              </w:rPr>
              <w:t xml:space="preserve">  </w:t>
            </w:r>
            <w:r>
              <w:rPr>
                <w:spacing w:val="-6"/>
              </w:rPr>
              <w:t>工作规范化</w:t>
            </w:r>
          </w:p>
        </w:tc>
        <w:tc>
          <w:tcPr>
            <w:tcW w:w="670" w:type="dxa"/>
            <w:vAlign w:val="top"/>
          </w:tcPr>
          <w:p w14:paraId="147243B7">
            <w:pPr>
              <w:spacing w:line="272" w:lineRule="auto"/>
              <w:rPr>
                <w:rFonts w:ascii="Arial"/>
                <w:sz w:val="21"/>
              </w:rPr>
            </w:pPr>
          </w:p>
          <w:p w14:paraId="0DAD7242">
            <w:pPr>
              <w:pStyle w:val="6"/>
              <w:spacing w:before="61" w:line="220" w:lineRule="auto"/>
              <w:ind w:left="235"/>
            </w:pPr>
            <w:r>
              <w:t>无</w:t>
            </w:r>
          </w:p>
        </w:tc>
        <w:tc>
          <w:tcPr>
            <w:tcW w:w="660" w:type="dxa"/>
            <w:vAlign w:val="top"/>
          </w:tcPr>
          <w:p w14:paraId="55677CC7">
            <w:pPr>
              <w:spacing w:line="272" w:lineRule="auto"/>
              <w:rPr>
                <w:rFonts w:ascii="Arial"/>
                <w:sz w:val="21"/>
              </w:rPr>
            </w:pPr>
          </w:p>
          <w:p w14:paraId="1652DEAC">
            <w:pPr>
              <w:pStyle w:val="6"/>
              <w:spacing w:before="62" w:line="221" w:lineRule="auto"/>
              <w:ind w:left="135"/>
            </w:pPr>
            <w:r>
              <w:rPr>
                <w:spacing w:val="-6"/>
              </w:rPr>
              <w:t>一般</w:t>
            </w:r>
          </w:p>
        </w:tc>
        <w:tc>
          <w:tcPr>
            <w:tcW w:w="750" w:type="dxa"/>
            <w:tcBorders>
              <w:right w:val="nil"/>
            </w:tcBorders>
            <w:vAlign w:val="top"/>
          </w:tcPr>
          <w:p w14:paraId="46B8717D">
            <w:pPr>
              <w:spacing w:line="275" w:lineRule="auto"/>
              <w:rPr>
                <w:rFonts w:ascii="Arial"/>
                <w:sz w:val="21"/>
              </w:rPr>
            </w:pPr>
          </w:p>
          <w:p w14:paraId="0395EE80">
            <w:pPr>
              <w:pStyle w:val="6"/>
              <w:spacing w:before="62" w:line="224" w:lineRule="auto"/>
              <w:ind w:left="175"/>
            </w:pPr>
            <w:r>
              <w:rPr>
                <w:spacing w:val="8"/>
              </w:rPr>
              <w:t>重点</w:t>
            </w:r>
          </w:p>
        </w:tc>
      </w:tr>
    </w:tbl>
    <w:p w14:paraId="5C0C4FD0">
      <w:pPr>
        <w:rPr>
          <w:rFonts w:ascii="Arial"/>
          <w:sz w:val="21"/>
        </w:rPr>
      </w:pPr>
    </w:p>
    <w:p w14:paraId="26BA75FF">
      <w:pPr>
        <w:rPr>
          <w:rFonts w:ascii="Arial" w:hAnsi="Arial" w:eastAsia="Arial" w:cs="Arial"/>
          <w:sz w:val="21"/>
          <w:szCs w:val="21"/>
        </w:rPr>
        <w:sectPr>
          <w:pgSz w:w="10310" w:h="13400"/>
          <w:pgMar w:top="369" w:right="1099" w:bottom="400" w:left="480" w:header="0" w:footer="0" w:gutter="0"/>
          <w:cols w:space="720" w:num="1"/>
        </w:sectPr>
      </w:pPr>
    </w:p>
    <w:p w14:paraId="07850CDA">
      <w:pPr>
        <w:spacing w:line="262" w:lineRule="auto"/>
        <w:rPr>
          <w:rFonts w:ascii="Arial"/>
          <w:sz w:val="21"/>
        </w:rPr>
      </w:pPr>
    </w:p>
    <w:p w14:paraId="49860770">
      <w:pPr>
        <w:spacing w:line="263" w:lineRule="auto"/>
        <w:rPr>
          <w:rFonts w:ascii="Arial"/>
          <w:sz w:val="21"/>
        </w:rPr>
      </w:pPr>
    </w:p>
    <w:p w14:paraId="6A6A7600">
      <w:pPr>
        <w:spacing w:line="263" w:lineRule="auto"/>
        <w:rPr>
          <w:rFonts w:ascii="Arial"/>
          <w:sz w:val="21"/>
        </w:rPr>
      </w:pPr>
    </w:p>
    <w:p w14:paraId="7787BADB">
      <w:pPr>
        <w:spacing w:before="127" w:line="231" w:lineRule="auto"/>
        <w:ind w:left="10"/>
        <w:rPr>
          <w:sz w:val="39"/>
          <w:szCs w:val="39"/>
        </w:rPr>
      </w:pPr>
      <w:bookmarkStart w:id="613" w:name="bookmark598"/>
      <w:bookmarkEnd w:id="613"/>
      <w:r>
        <w:rPr>
          <w:rFonts w:ascii="黑体" w:hAnsi="黑体" w:eastAsia="黑体" w:cs="黑体"/>
          <w:color w:val="0059E0"/>
          <w:position w:val="-4"/>
          <w:sz w:val="39"/>
          <w:szCs w:val="39"/>
        </w:rPr>
        <w:drawing>
          <wp:inline distT="0" distB="0" distL="0" distR="0">
            <wp:extent cx="640715" cy="25971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65"/>
                    <a:stretch>
                      <a:fillRect/>
                    </a:stretch>
                  </pic:blipFill>
                  <pic:spPr>
                    <a:xfrm>
                      <a:off x="0" y="0"/>
                      <a:ext cx="641326" cy="260343"/>
                    </a:xfrm>
                    <a:prstGeom prst="rect">
                      <a:avLst/>
                    </a:prstGeom>
                  </pic:spPr>
                </pic:pic>
              </a:graphicData>
            </a:graphic>
          </wp:inline>
        </w:drawing>
      </w:r>
      <w:r>
        <w:rPr>
          <w:rFonts w:ascii="黑体" w:hAnsi="黑体" w:eastAsia="黑体" w:cs="黑体"/>
          <w:color w:val="0059E0"/>
          <w:spacing w:val="15"/>
          <w:sz w:val="39"/>
          <w:szCs w:val="39"/>
        </w:rPr>
        <w:t xml:space="preserve">       </w:t>
      </w:r>
      <w:r>
        <w:rPr>
          <w:rFonts w:ascii="黑体" w:hAnsi="黑体" w:eastAsia="黑体" w:cs="黑体"/>
          <w:b/>
          <w:bCs/>
          <w:color w:val="0059E0"/>
          <w:spacing w:val="24"/>
          <w:sz w:val="39"/>
          <w:szCs w:val="39"/>
        </w:rPr>
        <w:t>第10章</w:t>
      </w:r>
      <w:r>
        <w:rPr>
          <w:rFonts w:ascii="黑体" w:hAnsi="黑体" w:eastAsia="黑体" w:cs="黑体"/>
          <w:color w:val="0059E0"/>
          <w:spacing w:val="15"/>
          <w:sz w:val="39"/>
          <w:szCs w:val="39"/>
        </w:rPr>
        <w:t xml:space="preserve">  </w:t>
      </w:r>
      <w:r>
        <w:rPr>
          <w:rFonts w:ascii="黑体" w:hAnsi="黑体" w:eastAsia="黑体" w:cs="黑体"/>
          <w:b/>
          <w:bCs/>
          <w:color w:val="0059E0"/>
          <w:spacing w:val="24"/>
          <w:sz w:val="39"/>
          <w:szCs w:val="39"/>
        </w:rPr>
        <w:t>质量控制</w:t>
      </w:r>
      <w:r>
        <w:rPr>
          <w:rFonts w:ascii="黑体" w:hAnsi="黑体" w:eastAsia="黑体" w:cs="黑体"/>
          <w:color w:val="0059E0"/>
          <w:spacing w:val="14"/>
          <w:sz w:val="39"/>
          <w:szCs w:val="39"/>
        </w:rPr>
        <w:t xml:space="preserve">       </w:t>
      </w:r>
      <w:r>
        <w:rPr>
          <w:position w:val="-5"/>
          <w:sz w:val="39"/>
          <w:szCs w:val="39"/>
        </w:rPr>
        <w:drawing>
          <wp:inline distT="0" distB="0" distL="0" distR="0">
            <wp:extent cx="634365" cy="25971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66"/>
                    <a:stretch>
                      <a:fillRect/>
                    </a:stretch>
                  </pic:blipFill>
                  <pic:spPr>
                    <a:xfrm>
                      <a:off x="0" y="0"/>
                      <a:ext cx="634988" cy="260343"/>
                    </a:xfrm>
                    <a:prstGeom prst="rect">
                      <a:avLst/>
                    </a:prstGeom>
                  </pic:spPr>
                </pic:pic>
              </a:graphicData>
            </a:graphic>
          </wp:inline>
        </w:drawing>
      </w:r>
    </w:p>
    <w:p w14:paraId="22486FA4">
      <w:pPr>
        <w:spacing w:line="243" w:lineRule="auto"/>
        <w:rPr>
          <w:rFonts w:ascii="Arial"/>
          <w:sz w:val="21"/>
        </w:rPr>
      </w:pPr>
    </w:p>
    <w:p w14:paraId="398D12A1">
      <w:pPr>
        <w:spacing w:line="244" w:lineRule="auto"/>
        <w:rPr>
          <w:rFonts w:ascii="Arial"/>
          <w:sz w:val="21"/>
        </w:rPr>
      </w:pPr>
    </w:p>
    <w:p w14:paraId="06E6A398">
      <w:pPr>
        <w:spacing w:line="244" w:lineRule="auto"/>
        <w:rPr>
          <w:rFonts w:ascii="Arial"/>
          <w:sz w:val="21"/>
        </w:rPr>
      </w:pPr>
    </w:p>
    <w:p w14:paraId="036FDD7F">
      <w:pPr>
        <w:pStyle w:val="2"/>
        <w:spacing w:before="65" w:line="281" w:lineRule="auto"/>
        <w:ind w:firstLine="410"/>
        <w:jc w:val="both"/>
        <w:rPr>
          <w:sz w:val="20"/>
          <w:szCs w:val="20"/>
        </w:rPr>
      </w:pPr>
      <w:r>
        <w:rPr>
          <w:spacing w:val="4"/>
          <w:sz w:val="20"/>
          <w:szCs w:val="20"/>
        </w:rPr>
        <w:t>质量控制是为满足质量要求所开展的作业技术</w:t>
      </w:r>
      <w:r>
        <w:rPr>
          <w:spacing w:val="3"/>
          <w:sz w:val="20"/>
          <w:szCs w:val="20"/>
        </w:rPr>
        <w:t>和活动。信息系统工程质量控制分为信息系</w:t>
      </w:r>
      <w:r>
        <w:rPr>
          <w:sz w:val="20"/>
          <w:szCs w:val="20"/>
        </w:rPr>
        <w:t xml:space="preserve">  </w:t>
      </w:r>
      <w:r>
        <w:rPr>
          <w:spacing w:val="4"/>
          <w:sz w:val="20"/>
          <w:szCs w:val="20"/>
        </w:rPr>
        <w:t>统工程的质量和信息系统工程建设过程的质量。其中，工程建设过程的质量</w:t>
      </w:r>
      <w:r>
        <w:rPr>
          <w:spacing w:val="3"/>
          <w:sz w:val="20"/>
          <w:szCs w:val="20"/>
        </w:rPr>
        <w:t>控制是工程的质量</w:t>
      </w:r>
      <w:r>
        <w:rPr>
          <w:sz w:val="20"/>
          <w:szCs w:val="20"/>
        </w:rPr>
        <w:t xml:space="preserve"> </w:t>
      </w:r>
      <w:r>
        <w:rPr>
          <w:spacing w:val="4"/>
          <w:sz w:val="20"/>
          <w:szCs w:val="20"/>
        </w:rPr>
        <w:t>控制的基础，工程的质量控制是工程建设过程的质量控制的最终目</w:t>
      </w:r>
      <w:r>
        <w:rPr>
          <w:spacing w:val="3"/>
          <w:sz w:val="20"/>
          <w:szCs w:val="20"/>
        </w:rPr>
        <w:t>标。因此，监理单位的高质</w:t>
      </w:r>
      <w:r>
        <w:rPr>
          <w:sz w:val="20"/>
          <w:szCs w:val="20"/>
        </w:rPr>
        <w:t xml:space="preserve"> </w:t>
      </w:r>
      <w:r>
        <w:rPr>
          <w:spacing w:val="1"/>
          <w:sz w:val="20"/>
          <w:szCs w:val="20"/>
        </w:rPr>
        <w:t>量控制工作不仅要确保工程的质量，而且要确保工程建设过程中的</w:t>
      </w:r>
      <w:r>
        <w:rPr>
          <w:sz w:val="20"/>
          <w:szCs w:val="20"/>
        </w:rPr>
        <w:t xml:space="preserve">质量。质量控制是进度控制、 </w:t>
      </w:r>
      <w:r>
        <w:rPr>
          <w:spacing w:val="-4"/>
          <w:sz w:val="20"/>
          <w:szCs w:val="20"/>
        </w:rPr>
        <w:t>投资控制的基础和前提。</w:t>
      </w:r>
    </w:p>
    <w:p w14:paraId="2527EE21">
      <w:pPr>
        <w:pStyle w:val="2"/>
        <w:spacing w:before="35" w:line="289" w:lineRule="auto"/>
        <w:ind w:right="81" w:firstLine="410"/>
        <w:jc w:val="both"/>
        <w:rPr>
          <w:sz w:val="20"/>
          <w:szCs w:val="20"/>
        </w:rPr>
      </w:pPr>
      <w:r>
        <w:rPr>
          <w:spacing w:val="3"/>
          <w:sz w:val="20"/>
          <w:szCs w:val="20"/>
        </w:rPr>
        <w:t>由于信息系统工程的建设过程中汇集了人的智力劳动，具有可视性差、变更比较频繁等特</w:t>
      </w:r>
      <w:r>
        <w:rPr>
          <w:spacing w:val="8"/>
          <w:sz w:val="20"/>
          <w:szCs w:val="20"/>
        </w:rPr>
        <w:t xml:space="preserve"> </w:t>
      </w:r>
      <w:r>
        <w:rPr>
          <w:spacing w:val="4"/>
          <w:sz w:val="20"/>
          <w:szCs w:val="20"/>
        </w:rPr>
        <w:t>点，因此信息系统工程的质量控制过程就显得更加复杂。</w:t>
      </w:r>
      <w:r>
        <w:rPr>
          <w:spacing w:val="3"/>
          <w:sz w:val="20"/>
          <w:szCs w:val="20"/>
        </w:rPr>
        <w:t>信息系统的质量控制主要从质量体系</w:t>
      </w:r>
      <w:r>
        <w:rPr>
          <w:sz w:val="20"/>
          <w:szCs w:val="20"/>
        </w:rPr>
        <w:t xml:space="preserve"> </w:t>
      </w:r>
      <w:r>
        <w:rPr>
          <w:spacing w:val="3"/>
          <w:sz w:val="20"/>
          <w:szCs w:val="20"/>
        </w:rPr>
        <w:t>控制、实施过程控制及单元控制入手，通过阶段性评审、评估，以及实时测量等手段尽早发现</w:t>
      </w:r>
      <w:r>
        <w:rPr>
          <w:spacing w:val="13"/>
          <w:sz w:val="20"/>
          <w:szCs w:val="20"/>
        </w:rPr>
        <w:t xml:space="preserve"> </w:t>
      </w:r>
      <w:r>
        <w:rPr>
          <w:spacing w:val="-2"/>
          <w:sz w:val="20"/>
          <w:szCs w:val="20"/>
        </w:rPr>
        <w:t>质量问题，找出解决问题的方法，最终达到工程的质量目标。</w:t>
      </w:r>
    </w:p>
    <w:p w14:paraId="316309E1">
      <w:pPr>
        <w:spacing w:line="260" w:lineRule="auto"/>
        <w:rPr>
          <w:rFonts w:ascii="Arial"/>
          <w:sz w:val="21"/>
        </w:rPr>
      </w:pPr>
    </w:p>
    <w:p w14:paraId="78331B95">
      <w:pPr>
        <w:pStyle w:val="2"/>
        <w:spacing w:before="94" w:line="221" w:lineRule="auto"/>
        <w:ind w:left="3"/>
        <w:rPr>
          <w:rFonts w:ascii="黑体" w:hAnsi="黑体" w:eastAsia="黑体" w:cs="黑体"/>
          <w:sz w:val="29"/>
          <w:szCs w:val="29"/>
        </w:rPr>
      </w:pPr>
      <w:r>
        <w:rPr>
          <w:b/>
          <w:bCs/>
          <w:color w:val="0059CF"/>
          <w:spacing w:val="-17"/>
          <w:sz w:val="29"/>
          <w:szCs w:val="29"/>
        </w:rPr>
        <w:t>10.1</w:t>
      </w:r>
      <w:r>
        <w:rPr>
          <w:color w:val="0059CF"/>
          <w:spacing w:val="18"/>
          <w:sz w:val="29"/>
          <w:szCs w:val="29"/>
        </w:rPr>
        <w:t xml:space="preserve">  </w:t>
      </w:r>
      <w:r>
        <w:rPr>
          <w:rFonts w:ascii="黑体" w:hAnsi="黑体" w:eastAsia="黑体" w:cs="黑体"/>
          <w:b/>
          <w:bCs/>
          <w:color w:val="0059CF"/>
          <w:spacing w:val="-17"/>
          <w:sz w:val="29"/>
          <w:szCs w:val="29"/>
        </w:rPr>
        <w:t>质量控制基础</w:t>
      </w:r>
    </w:p>
    <w:p w14:paraId="65889E96">
      <w:pPr>
        <w:pStyle w:val="2"/>
        <w:spacing w:before="263" w:line="280" w:lineRule="auto"/>
        <w:ind w:right="62" w:firstLine="410"/>
        <w:jc w:val="both"/>
        <w:rPr>
          <w:sz w:val="20"/>
          <w:szCs w:val="20"/>
        </w:rPr>
      </w:pPr>
      <w:r>
        <w:rPr>
          <w:spacing w:val="4"/>
          <w:sz w:val="20"/>
          <w:szCs w:val="20"/>
        </w:rPr>
        <w:t>信息系统工程的最终产品是建成投入使用的信</w:t>
      </w:r>
      <w:r>
        <w:rPr>
          <w:spacing w:val="3"/>
          <w:sz w:val="20"/>
          <w:szCs w:val="20"/>
        </w:rPr>
        <w:t>息工程项目，其质量要求就是对整个信息系</w:t>
      </w:r>
      <w:r>
        <w:rPr>
          <w:sz w:val="20"/>
          <w:szCs w:val="20"/>
        </w:rPr>
        <w:t xml:space="preserve"> </w:t>
      </w:r>
      <w:r>
        <w:rPr>
          <w:spacing w:val="3"/>
          <w:sz w:val="20"/>
          <w:szCs w:val="20"/>
        </w:rPr>
        <w:t>统工程项目与其实施过程满足规定或潜在需求的特征以及特征的总和，即要达到的信息系统工</w:t>
      </w:r>
      <w:r>
        <w:rPr>
          <w:spacing w:val="16"/>
          <w:sz w:val="20"/>
          <w:szCs w:val="20"/>
        </w:rPr>
        <w:t xml:space="preserve"> </w:t>
      </w:r>
      <w:r>
        <w:rPr>
          <w:spacing w:val="4"/>
          <w:sz w:val="20"/>
          <w:szCs w:val="20"/>
        </w:rPr>
        <w:t>程项目质量目标。如果项目是在给定的时间、成本和质量等约束条件下完成的，那么这个项目</w:t>
      </w:r>
      <w:r>
        <w:rPr>
          <w:spacing w:val="3"/>
          <w:sz w:val="20"/>
          <w:szCs w:val="20"/>
        </w:rPr>
        <w:t xml:space="preserve"> </w:t>
      </w:r>
      <w:r>
        <w:rPr>
          <w:spacing w:val="-1"/>
          <w:sz w:val="20"/>
          <w:szCs w:val="20"/>
        </w:rPr>
        <w:t>就是成功的。公众号：项目管理课堂</w:t>
      </w:r>
    </w:p>
    <w:p w14:paraId="198AE93E">
      <w:pPr>
        <w:pStyle w:val="2"/>
        <w:spacing w:before="50" w:line="273" w:lineRule="auto"/>
        <w:ind w:firstLine="410"/>
        <w:jc w:val="both"/>
        <w:rPr>
          <w:sz w:val="20"/>
          <w:szCs w:val="20"/>
        </w:rPr>
      </w:pPr>
      <w:r>
        <w:rPr>
          <w:spacing w:val="3"/>
          <w:sz w:val="20"/>
          <w:szCs w:val="20"/>
        </w:rPr>
        <w:t>一般情况下，时间和成本是可以清楚度量的，但是项目的质量却很难以简单的一个量化标</w:t>
      </w:r>
      <w:r>
        <w:rPr>
          <w:spacing w:val="5"/>
          <w:sz w:val="20"/>
          <w:szCs w:val="20"/>
        </w:rPr>
        <w:t xml:space="preserve">  </w:t>
      </w:r>
      <w:r>
        <w:rPr>
          <w:spacing w:val="4"/>
          <w:sz w:val="20"/>
          <w:szCs w:val="20"/>
        </w:rPr>
        <w:t>准来理解和控制。每个行业都有本行业的一套标准，包括行为标准、技术标准或者约定，项目</w:t>
      </w:r>
      <w:r>
        <w:rPr>
          <w:spacing w:val="3"/>
          <w:sz w:val="20"/>
          <w:szCs w:val="20"/>
        </w:rPr>
        <w:t xml:space="preserve"> </w:t>
      </w:r>
      <w:r>
        <w:rPr>
          <w:sz w:val="20"/>
          <w:szCs w:val="20"/>
        </w:rPr>
        <w:t>的结果只有符合相关的质量标准，项目的结果</w:t>
      </w:r>
      <w:r>
        <w:rPr>
          <w:spacing w:val="-1"/>
          <w:sz w:val="20"/>
          <w:szCs w:val="20"/>
        </w:rPr>
        <w:t>才满足质量要求。就信息系统工程来说，</w:t>
      </w:r>
      <w:r>
        <w:rPr>
          <w:spacing w:val="60"/>
          <w:sz w:val="20"/>
          <w:szCs w:val="20"/>
        </w:rPr>
        <w:t xml:space="preserve"> </w:t>
      </w:r>
      <w:r>
        <w:rPr>
          <w:spacing w:val="-1"/>
          <w:sz w:val="20"/>
          <w:szCs w:val="20"/>
        </w:rPr>
        <w:t>一般要</w:t>
      </w:r>
      <w:r>
        <w:rPr>
          <w:sz w:val="20"/>
          <w:szCs w:val="20"/>
        </w:rPr>
        <w:t xml:space="preserve">  </w:t>
      </w:r>
      <w:r>
        <w:rPr>
          <w:spacing w:val="3"/>
          <w:sz w:val="20"/>
          <w:szCs w:val="20"/>
        </w:rPr>
        <w:t>从功能、性能、安全性、可靠性、易用性及可扩展性等方面来考察其质量，但是最根本的还要</w:t>
      </w:r>
      <w:r>
        <w:rPr>
          <w:spacing w:val="8"/>
          <w:sz w:val="20"/>
          <w:szCs w:val="20"/>
        </w:rPr>
        <w:t xml:space="preserve">  </w:t>
      </w:r>
      <w:r>
        <w:rPr>
          <w:spacing w:val="6"/>
          <w:sz w:val="20"/>
          <w:szCs w:val="20"/>
        </w:rPr>
        <w:t>看信息系统工程完成之后能否满足业主单位预期的要</w:t>
      </w:r>
      <w:r>
        <w:rPr>
          <w:spacing w:val="5"/>
          <w:sz w:val="20"/>
          <w:szCs w:val="20"/>
        </w:rPr>
        <w:t>求。如果一个系统的性能符合预期要求，</w:t>
      </w:r>
      <w:r>
        <w:rPr>
          <w:sz w:val="20"/>
          <w:szCs w:val="20"/>
        </w:rPr>
        <w:t xml:space="preserve"> </w:t>
      </w:r>
      <w:r>
        <w:rPr>
          <w:spacing w:val="3"/>
          <w:sz w:val="20"/>
          <w:szCs w:val="20"/>
        </w:rPr>
        <w:t>并且用户可以方便地使用，令用户感到满意，就可以说明它达到了一定的质量水准；如果一个</w:t>
      </w:r>
      <w:r>
        <w:rPr>
          <w:spacing w:val="7"/>
          <w:sz w:val="20"/>
          <w:szCs w:val="20"/>
        </w:rPr>
        <w:t xml:space="preserve">  </w:t>
      </w:r>
      <w:r>
        <w:rPr>
          <w:spacing w:val="-1"/>
          <w:sz w:val="20"/>
          <w:szCs w:val="20"/>
        </w:rPr>
        <w:t>信息系统工程建成之后，不适合用户使用，那么就不能说它的质量达到了要</w:t>
      </w:r>
      <w:r>
        <w:rPr>
          <w:spacing w:val="-2"/>
          <w:sz w:val="20"/>
          <w:szCs w:val="20"/>
        </w:rPr>
        <w:t>求。</w:t>
      </w:r>
    </w:p>
    <w:p w14:paraId="7E537FDE">
      <w:pPr>
        <w:pStyle w:val="2"/>
        <w:spacing w:before="87" w:line="219" w:lineRule="auto"/>
        <w:ind w:left="410"/>
        <w:rPr>
          <w:sz w:val="20"/>
          <w:szCs w:val="20"/>
        </w:rPr>
      </w:pPr>
      <w:r>
        <w:rPr>
          <w:spacing w:val="-2"/>
          <w:sz w:val="20"/>
          <w:szCs w:val="20"/>
        </w:rPr>
        <w:t>信息系统工程监理质量控制的特点和意义主要体现在以下几个方面：</w:t>
      </w:r>
    </w:p>
    <w:p w14:paraId="08FF77F1">
      <w:pPr>
        <w:pStyle w:val="2"/>
        <w:spacing w:before="75" w:line="258" w:lineRule="auto"/>
        <w:ind w:right="91" w:firstLine="410"/>
        <w:rPr>
          <w:sz w:val="20"/>
          <w:szCs w:val="20"/>
        </w:rPr>
      </w:pPr>
      <w:r>
        <w:rPr>
          <w:spacing w:val="6"/>
          <w:sz w:val="20"/>
          <w:szCs w:val="20"/>
        </w:rPr>
        <w:t>(1)监理单位受业主单位的委托，对工程质量形成的全</w:t>
      </w:r>
      <w:r>
        <w:rPr>
          <w:spacing w:val="5"/>
          <w:sz w:val="20"/>
          <w:szCs w:val="20"/>
        </w:rPr>
        <w:t>过程进行控制，将对工程质量的保</w:t>
      </w:r>
      <w:r>
        <w:rPr>
          <w:sz w:val="20"/>
          <w:szCs w:val="20"/>
        </w:rPr>
        <w:t xml:space="preserve"> </w:t>
      </w:r>
      <w:r>
        <w:rPr>
          <w:spacing w:val="3"/>
          <w:sz w:val="20"/>
          <w:szCs w:val="20"/>
        </w:rPr>
        <w:t>证和提高起到重要作用。避免了由业主单位进行质量控制的片面性或专业性不强的弊端，强化</w:t>
      </w:r>
      <w:r>
        <w:rPr>
          <w:spacing w:val="14"/>
          <w:sz w:val="20"/>
          <w:szCs w:val="20"/>
        </w:rPr>
        <w:t xml:space="preserve"> </w:t>
      </w:r>
      <w:r>
        <w:rPr>
          <w:spacing w:val="-8"/>
          <w:sz w:val="20"/>
          <w:szCs w:val="20"/>
        </w:rPr>
        <w:t>了质量控制。</w:t>
      </w:r>
    </w:p>
    <w:p w14:paraId="11D69E19">
      <w:pPr>
        <w:pStyle w:val="2"/>
        <w:spacing w:before="80" w:line="263" w:lineRule="auto"/>
        <w:ind w:right="90" w:firstLine="410"/>
        <w:rPr>
          <w:sz w:val="20"/>
          <w:szCs w:val="20"/>
        </w:rPr>
      </w:pPr>
      <w:r>
        <w:rPr>
          <w:spacing w:val="6"/>
          <w:sz w:val="20"/>
          <w:szCs w:val="20"/>
        </w:rPr>
        <w:t>(2)监理单位的质量控制可以促进承建单位的质量控制活动</w:t>
      </w:r>
      <w:r>
        <w:rPr>
          <w:spacing w:val="5"/>
          <w:sz w:val="20"/>
          <w:szCs w:val="20"/>
        </w:rPr>
        <w:t>。监理单位掌握设计标准和规</w:t>
      </w:r>
      <w:r>
        <w:rPr>
          <w:sz w:val="20"/>
          <w:szCs w:val="20"/>
        </w:rPr>
        <w:t xml:space="preserve"> </w:t>
      </w:r>
      <w:r>
        <w:rPr>
          <w:spacing w:val="3"/>
          <w:sz w:val="20"/>
          <w:szCs w:val="20"/>
        </w:rPr>
        <w:t>范要求，监理人员需要具有丰富的工程经验；通过监理机构对设计文件决策的监督和审查，可</w:t>
      </w:r>
      <w:r>
        <w:rPr>
          <w:spacing w:val="14"/>
          <w:sz w:val="20"/>
          <w:szCs w:val="20"/>
        </w:rPr>
        <w:t xml:space="preserve"> </w:t>
      </w:r>
      <w:r>
        <w:rPr>
          <w:spacing w:val="3"/>
          <w:sz w:val="20"/>
          <w:szCs w:val="20"/>
        </w:rPr>
        <w:t>以有力地促进设计质量的提高。监理人员的现场工作促使承建单位更自觉地按照技术规范、操</w:t>
      </w:r>
      <w:r>
        <w:rPr>
          <w:spacing w:val="16"/>
          <w:sz w:val="20"/>
          <w:szCs w:val="20"/>
        </w:rPr>
        <w:t xml:space="preserve"> </w:t>
      </w:r>
      <w:r>
        <w:rPr>
          <w:spacing w:val="-2"/>
          <w:sz w:val="20"/>
          <w:szCs w:val="20"/>
        </w:rPr>
        <w:t>作规程、设计要求和实施方案进行实施，从而保证实施质量。</w:t>
      </w:r>
    </w:p>
    <w:p w14:paraId="78EE5D2C">
      <w:pPr>
        <w:pStyle w:val="2"/>
        <w:spacing w:before="80" w:line="219" w:lineRule="auto"/>
        <w:ind w:right="20"/>
        <w:jc w:val="right"/>
        <w:rPr>
          <w:sz w:val="20"/>
          <w:szCs w:val="20"/>
        </w:rPr>
      </w:pPr>
      <w:r>
        <w:rPr>
          <w:spacing w:val="2"/>
          <w:sz w:val="20"/>
          <w:szCs w:val="20"/>
        </w:rPr>
        <w:t>(3)监理单位与承建单位、软硬件供应商、分包单位、外协单位等都是质量体系的共同体，</w:t>
      </w:r>
    </w:p>
    <w:p w14:paraId="76613EEC">
      <w:pPr>
        <w:spacing w:line="219" w:lineRule="auto"/>
        <w:rPr>
          <w:sz w:val="20"/>
          <w:szCs w:val="20"/>
        </w:rPr>
        <w:sectPr>
          <w:pgSz w:w="10290" w:h="13320"/>
          <w:pgMar w:top="400" w:right="789" w:bottom="400" w:left="1069" w:header="0" w:footer="0" w:gutter="0"/>
          <w:cols w:space="720" w:num="1"/>
        </w:sectPr>
      </w:pPr>
    </w:p>
    <w:p w14:paraId="799C647D">
      <w:pPr>
        <w:pStyle w:val="2"/>
        <w:spacing w:before="98" w:line="219" w:lineRule="auto"/>
        <w:rPr>
          <w:sz w:val="20"/>
          <w:szCs w:val="20"/>
        </w:rPr>
      </w:pPr>
      <w:r>
        <w:rPr>
          <w:rFonts w:ascii="Times New Roman" w:hAnsi="Times New Roman" w:eastAsia="Times New Roman" w:cs="Times New Roman"/>
          <w:spacing w:val="-4"/>
          <w:position w:val="1"/>
          <w:sz w:val="20"/>
          <w:szCs w:val="20"/>
        </w:rPr>
        <w:t>240</w:t>
      </w:r>
      <w:r>
        <w:rPr>
          <w:rFonts w:ascii="Times New Roman" w:hAnsi="Times New Roman" w:eastAsia="Times New Roman" w:cs="Times New Roman"/>
          <w:spacing w:val="3"/>
          <w:position w:val="1"/>
          <w:sz w:val="20"/>
          <w:szCs w:val="20"/>
        </w:rPr>
        <w:t xml:space="preserve">             </w:t>
      </w:r>
      <w:r>
        <w:rPr>
          <w:spacing w:val="-4"/>
          <w:sz w:val="20"/>
          <w:szCs w:val="20"/>
        </w:rPr>
        <w:t>信息系统监理师教程(第2版)</w:t>
      </w:r>
    </w:p>
    <w:p w14:paraId="0D3D2AFF">
      <w:pPr>
        <w:spacing w:line="294" w:lineRule="auto"/>
        <w:rPr>
          <w:rFonts w:ascii="Arial"/>
          <w:sz w:val="21"/>
        </w:rPr>
      </w:pPr>
    </w:p>
    <w:p w14:paraId="0EFF0AFF">
      <w:pPr>
        <w:pStyle w:val="2"/>
        <w:spacing w:before="65" w:line="296" w:lineRule="auto"/>
        <w:ind w:left="360" w:right="89"/>
        <w:jc w:val="both"/>
        <w:rPr>
          <w:sz w:val="20"/>
          <w:szCs w:val="20"/>
        </w:rPr>
      </w:pPr>
      <w:r>
        <w:rPr>
          <w:spacing w:val="3"/>
          <w:sz w:val="20"/>
          <w:szCs w:val="20"/>
        </w:rPr>
        <w:t>没有这些单位的质量保证，承建单位的质量保证就不可能健全。监理单位除了对承建</w:t>
      </w:r>
      <w:r>
        <w:rPr>
          <w:spacing w:val="2"/>
          <w:sz w:val="20"/>
          <w:szCs w:val="20"/>
        </w:rPr>
        <w:t>单位进行</w:t>
      </w:r>
      <w:r>
        <w:rPr>
          <w:sz w:val="20"/>
          <w:szCs w:val="20"/>
        </w:rPr>
        <w:t xml:space="preserve"> </w:t>
      </w:r>
      <w:r>
        <w:rPr>
          <w:spacing w:val="3"/>
          <w:sz w:val="20"/>
          <w:szCs w:val="20"/>
        </w:rPr>
        <w:t>质量监理以外，也对他们共同体的质量活动进行必要的监理，对他们产品的质量</w:t>
      </w:r>
      <w:r>
        <w:rPr>
          <w:spacing w:val="2"/>
          <w:sz w:val="20"/>
          <w:szCs w:val="20"/>
        </w:rPr>
        <w:t>进行验收、检</w:t>
      </w:r>
      <w:r>
        <w:rPr>
          <w:sz w:val="20"/>
          <w:szCs w:val="20"/>
        </w:rPr>
        <w:t xml:space="preserve"> </w:t>
      </w:r>
      <w:r>
        <w:rPr>
          <w:spacing w:val="-5"/>
          <w:sz w:val="20"/>
          <w:szCs w:val="20"/>
        </w:rPr>
        <w:t>验和认证等。</w:t>
      </w:r>
    </w:p>
    <w:p w14:paraId="1A5F6814">
      <w:pPr>
        <w:pStyle w:val="2"/>
        <w:spacing w:before="32" w:line="276" w:lineRule="auto"/>
        <w:ind w:left="360" w:right="19" w:firstLine="399"/>
        <w:rPr>
          <w:sz w:val="20"/>
          <w:szCs w:val="20"/>
        </w:rPr>
      </w:pPr>
      <w:r>
        <w:rPr>
          <w:spacing w:val="6"/>
          <w:sz w:val="20"/>
          <w:szCs w:val="20"/>
        </w:rPr>
        <w:t>(4)监理的过程性质量监督是对质量监督制度重大的改进和提高。信息系统工程的</w:t>
      </w:r>
      <w:r>
        <w:rPr>
          <w:spacing w:val="5"/>
          <w:sz w:val="20"/>
          <w:szCs w:val="20"/>
        </w:rPr>
        <w:t>质量监</w:t>
      </w:r>
      <w:r>
        <w:rPr>
          <w:sz w:val="20"/>
          <w:szCs w:val="20"/>
        </w:rPr>
        <w:t xml:space="preserve"> </w:t>
      </w:r>
      <w:r>
        <w:rPr>
          <w:spacing w:val="5"/>
          <w:sz w:val="20"/>
          <w:szCs w:val="20"/>
        </w:rPr>
        <w:t>理主要通过监理单位进行质量控制，监理单位在工作中可</w:t>
      </w:r>
      <w:r>
        <w:rPr>
          <w:spacing w:val="4"/>
          <w:sz w:val="20"/>
          <w:szCs w:val="20"/>
        </w:rPr>
        <w:t>以体现出权威性、公正性和科学性，</w:t>
      </w:r>
      <w:r>
        <w:rPr>
          <w:sz w:val="20"/>
          <w:szCs w:val="20"/>
        </w:rPr>
        <w:t xml:space="preserve"> </w:t>
      </w:r>
      <w:r>
        <w:rPr>
          <w:spacing w:val="3"/>
          <w:sz w:val="20"/>
          <w:szCs w:val="20"/>
        </w:rPr>
        <w:t>不受业主单位人情世故等因素的干预制约，按照相关法律法规和标准对工程进行直接和具体的</w:t>
      </w:r>
      <w:r>
        <w:rPr>
          <w:spacing w:val="1"/>
          <w:sz w:val="20"/>
          <w:szCs w:val="20"/>
        </w:rPr>
        <w:t xml:space="preserve"> </w:t>
      </w:r>
      <w:r>
        <w:rPr>
          <w:spacing w:val="3"/>
          <w:sz w:val="20"/>
          <w:szCs w:val="20"/>
        </w:rPr>
        <w:t>监理。监理单位的工作是连续的，与业主单位、</w:t>
      </w:r>
      <w:r>
        <w:rPr>
          <w:spacing w:val="2"/>
          <w:sz w:val="20"/>
          <w:szCs w:val="20"/>
        </w:rPr>
        <w:t>承建单位形成三位一体的体制，各自行使自身</w:t>
      </w:r>
      <w:r>
        <w:rPr>
          <w:sz w:val="20"/>
          <w:szCs w:val="20"/>
        </w:rPr>
        <w:t xml:space="preserve">  </w:t>
      </w:r>
      <w:r>
        <w:rPr>
          <w:spacing w:val="3"/>
          <w:sz w:val="20"/>
          <w:szCs w:val="20"/>
        </w:rPr>
        <w:t>的权利和义务，对工程质量进行全过程的卓有成效的咨询和监督，对工程质量的</w:t>
      </w:r>
      <w:r>
        <w:rPr>
          <w:spacing w:val="2"/>
          <w:sz w:val="20"/>
          <w:szCs w:val="20"/>
        </w:rPr>
        <w:t>控制效果和经</w:t>
      </w:r>
      <w:r>
        <w:rPr>
          <w:sz w:val="20"/>
          <w:szCs w:val="20"/>
        </w:rPr>
        <w:t xml:space="preserve"> 济效益的提高都更有利。监理人员在实施质量控制的时候应该始终坚持</w:t>
      </w:r>
      <w:r>
        <w:rPr>
          <w:spacing w:val="-1"/>
          <w:sz w:val="20"/>
          <w:szCs w:val="20"/>
        </w:rPr>
        <w:t>质量控制活动的独立性、</w:t>
      </w:r>
      <w:r>
        <w:rPr>
          <w:sz w:val="20"/>
          <w:szCs w:val="20"/>
        </w:rPr>
        <w:t xml:space="preserve"> </w:t>
      </w:r>
      <w:r>
        <w:rPr>
          <w:spacing w:val="-2"/>
          <w:sz w:val="20"/>
          <w:szCs w:val="20"/>
        </w:rPr>
        <w:t>公正性、全面性和过程性，只有这样才能够体现监理质量控制的作用和意</w:t>
      </w:r>
      <w:r>
        <w:rPr>
          <w:spacing w:val="-3"/>
          <w:sz w:val="20"/>
          <w:szCs w:val="20"/>
        </w:rPr>
        <w:t>义。</w:t>
      </w:r>
    </w:p>
    <w:p w14:paraId="24E563C2">
      <w:pPr>
        <w:pStyle w:val="2"/>
        <w:spacing w:before="103" w:line="275" w:lineRule="auto"/>
        <w:ind w:left="360" w:right="49" w:firstLine="399"/>
        <w:rPr>
          <w:sz w:val="20"/>
          <w:szCs w:val="20"/>
        </w:rPr>
      </w:pPr>
      <w:r>
        <w:rPr>
          <w:spacing w:val="6"/>
          <w:sz w:val="20"/>
          <w:szCs w:val="20"/>
        </w:rPr>
        <w:t>(5)信息系统工程建设项目实体、功能和使</w:t>
      </w:r>
      <w:r>
        <w:rPr>
          <w:spacing w:val="5"/>
          <w:sz w:val="20"/>
          <w:szCs w:val="20"/>
        </w:rPr>
        <w:t>用价值的各方面都应当列入项目的质量目标范</w:t>
      </w:r>
      <w:r>
        <w:rPr>
          <w:sz w:val="20"/>
          <w:szCs w:val="20"/>
        </w:rPr>
        <w:t xml:space="preserve"> </w:t>
      </w:r>
      <w:r>
        <w:rPr>
          <w:spacing w:val="4"/>
          <w:sz w:val="20"/>
          <w:szCs w:val="20"/>
        </w:rPr>
        <w:t>围。对所有参与项目的单位和人员的资质、素质、能力和水平，特别是对其工作质</w:t>
      </w:r>
      <w:r>
        <w:rPr>
          <w:spacing w:val="3"/>
          <w:sz w:val="20"/>
          <w:szCs w:val="20"/>
        </w:rPr>
        <w:t>量的要求，</w:t>
      </w:r>
      <w:r>
        <w:rPr>
          <w:sz w:val="20"/>
          <w:szCs w:val="20"/>
        </w:rPr>
        <w:t xml:space="preserve"> </w:t>
      </w:r>
      <w:r>
        <w:rPr>
          <w:spacing w:val="3"/>
          <w:sz w:val="20"/>
          <w:szCs w:val="20"/>
        </w:rPr>
        <w:t>也是项目质量目标不可缺少的组成部分，因为他们的工作质量直接影响产品的质</w:t>
      </w:r>
      <w:r>
        <w:rPr>
          <w:spacing w:val="2"/>
          <w:sz w:val="20"/>
          <w:szCs w:val="20"/>
        </w:rPr>
        <w:t>量。项目的每</w:t>
      </w:r>
      <w:r>
        <w:rPr>
          <w:sz w:val="20"/>
          <w:szCs w:val="20"/>
        </w:rPr>
        <w:t xml:space="preserve"> </w:t>
      </w:r>
      <w:r>
        <w:rPr>
          <w:spacing w:val="2"/>
          <w:sz w:val="20"/>
          <w:szCs w:val="20"/>
        </w:rPr>
        <w:t>个阶段都对项目质量的形成起着重要的作用，对工程质量产生重要影响。因此每个阶段都应有</w:t>
      </w:r>
      <w:r>
        <w:rPr>
          <w:spacing w:val="17"/>
          <w:sz w:val="20"/>
          <w:szCs w:val="20"/>
        </w:rPr>
        <w:t xml:space="preserve"> </w:t>
      </w:r>
      <w:r>
        <w:rPr>
          <w:spacing w:val="4"/>
          <w:sz w:val="20"/>
          <w:szCs w:val="20"/>
        </w:rPr>
        <w:t>其具体的质量控制任务，监理工程师应当根据该阶段的特点，确定其质量控制的</w:t>
      </w:r>
      <w:r>
        <w:rPr>
          <w:spacing w:val="3"/>
          <w:sz w:val="20"/>
          <w:szCs w:val="20"/>
        </w:rPr>
        <w:t>目标和任务，</w:t>
      </w:r>
      <w:r>
        <w:rPr>
          <w:sz w:val="20"/>
          <w:szCs w:val="20"/>
        </w:rPr>
        <w:t xml:space="preserve"> </w:t>
      </w:r>
      <w:r>
        <w:rPr>
          <w:spacing w:val="-5"/>
          <w:sz w:val="20"/>
          <w:szCs w:val="20"/>
        </w:rPr>
        <w:t>以便实行全过程的控制。</w:t>
      </w:r>
    </w:p>
    <w:p w14:paraId="0EF198B4">
      <w:pPr>
        <w:pStyle w:val="2"/>
        <w:spacing w:before="251" w:line="219" w:lineRule="auto"/>
        <w:ind w:left="362"/>
        <w:rPr>
          <w:sz w:val="25"/>
          <w:szCs w:val="25"/>
        </w:rPr>
      </w:pPr>
      <w:bookmarkStart w:id="614" w:name="bookmark599"/>
      <w:bookmarkEnd w:id="614"/>
      <w:r>
        <w:rPr>
          <w:b/>
          <w:bCs/>
          <w:color w:val="0075DC"/>
          <w:spacing w:val="-17"/>
          <w:sz w:val="25"/>
          <w:szCs w:val="25"/>
        </w:rPr>
        <w:t>10.1.1</w:t>
      </w:r>
      <w:r>
        <w:rPr>
          <w:color w:val="0075DC"/>
          <w:spacing w:val="-17"/>
          <w:sz w:val="25"/>
          <w:szCs w:val="25"/>
        </w:rPr>
        <w:t xml:space="preserve">  </w:t>
      </w:r>
      <w:r>
        <w:rPr>
          <w:b/>
          <w:bCs/>
          <w:color w:val="0075DC"/>
          <w:spacing w:val="-17"/>
          <w:sz w:val="25"/>
          <w:szCs w:val="25"/>
        </w:rPr>
        <w:t>质量控制的概念</w:t>
      </w:r>
    </w:p>
    <w:p w14:paraId="51423FBB">
      <w:pPr>
        <w:pStyle w:val="2"/>
        <w:spacing w:before="184" w:line="263" w:lineRule="auto"/>
        <w:ind w:left="360" w:right="83" w:firstLine="399"/>
        <w:rPr>
          <w:sz w:val="20"/>
          <w:szCs w:val="20"/>
        </w:rPr>
      </w:pPr>
      <w:r>
        <w:rPr>
          <w:spacing w:val="3"/>
          <w:sz w:val="20"/>
          <w:szCs w:val="20"/>
        </w:rPr>
        <w:t>信息系统质量控制是为了确保承建合同所确定的、相关标准所要求的、法律法规所规定的</w:t>
      </w:r>
      <w:r>
        <w:rPr>
          <w:spacing w:val="7"/>
          <w:sz w:val="20"/>
          <w:szCs w:val="20"/>
        </w:rPr>
        <w:t xml:space="preserve"> </w:t>
      </w:r>
      <w:r>
        <w:rPr>
          <w:spacing w:val="-3"/>
          <w:sz w:val="20"/>
          <w:szCs w:val="20"/>
        </w:rPr>
        <w:t>质量要求采取的一系列监控措施、手段和方法。</w:t>
      </w:r>
    </w:p>
    <w:p w14:paraId="28814D61">
      <w:pPr>
        <w:pStyle w:val="2"/>
        <w:spacing w:before="72" w:line="270" w:lineRule="auto"/>
        <w:ind w:left="360" w:right="70" w:firstLine="399"/>
        <w:jc w:val="both"/>
        <w:rPr>
          <w:sz w:val="20"/>
          <w:szCs w:val="20"/>
        </w:rPr>
      </w:pPr>
      <w:r>
        <w:rPr>
          <w:spacing w:val="3"/>
          <w:sz w:val="20"/>
          <w:szCs w:val="20"/>
        </w:rPr>
        <w:t>质量控制是一个系统过程，贯穿项目全过程。监理单位的质量控制主要包括项目预研和规</w:t>
      </w:r>
      <w:r>
        <w:rPr>
          <w:sz w:val="20"/>
          <w:szCs w:val="20"/>
        </w:rPr>
        <w:t xml:space="preserve"> </w:t>
      </w:r>
      <w:r>
        <w:rPr>
          <w:spacing w:val="3"/>
          <w:sz w:val="20"/>
          <w:szCs w:val="20"/>
        </w:rPr>
        <w:t>划的质量控制、实施过程的质量控制、项目实施结果与服务的质量控制、运行</w:t>
      </w:r>
      <w:r>
        <w:rPr>
          <w:spacing w:val="2"/>
          <w:sz w:val="20"/>
          <w:szCs w:val="20"/>
        </w:rPr>
        <w:t>维护阶段的质量</w:t>
      </w:r>
      <w:r>
        <w:rPr>
          <w:sz w:val="20"/>
          <w:szCs w:val="20"/>
        </w:rPr>
        <w:t xml:space="preserve"> </w:t>
      </w:r>
      <w:r>
        <w:rPr>
          <w:spacing w:val="3"/>
          <w:sz w:val="20"/>
          <w:szCs w:val="20"/>
        </w:rPr>
        <w:t>控制。监理人员采取有效的措施，监督项目的规划、部署实施过程以及具体的实施结果，判断</w:t>
      </w:r>
      <w:r>
        <w:rPr>
          <w:spacing w:val="14"/>
          <w:sz w:val="20"/>
          <w:szCs w:val="20"/>
        </w:rPr>
        <w:t xml:space="preserve"> </w:t>
      </w:r>
      <w:r>
        <w:rPr>
          <w:spacing w:val="-2"/>
          <w:sz w:val="20"/>
          <w:szCs w:val="20"/>
        </w:rPr>
        <w:t>是否符合有关的质量标准，并确定消除不良结果的方法。</w:t>
      </w:r>
    </w:p>
    <w:p w14:paraId="73A7E654">
      <w:pPr>
        <w:pStyle w:val="2"/>
        <w:spacing w:before="218" w:line="220" w:lineRule="auto"/>
        <w:ind w:left="362"/>
        <w:rPr>
          <w:sz w:val="25"/>
          <w:szCs w:val="25"/>
        </w:rPr>
      </w:pPr>
      <w:r>
        <w:rPr>
          <w:b/>
          <w:bCs/>
          <w:color w:val="0067CF"/>
          <w:spacing w:val="-17"/>
          <w:sz w:val="25"/>
          <w:szCs w:val="25"/>
        </w:rPr>
        <w:t>10.1.2</w:t>
      </w:r>
      <w:r>
        <w:rPr>
          <w:color w:val="0067CF"/>
          <w:spacing w:val="-17"/>
          <w:sz w:val="25"/>
          <w:szCs w:val="25"/>
        </w:rPr>
        <w:t xml:space="preserve">  </w:t>
      </w:r>
      <w:r>
        <w:rPr>
          <w:b/>
          <w:bCs/>
          <w:color w:val="0067CF"/>
          <w:spacing w:val="-17"/>
          <w:sz w:val="25"/>
          <w:szCs w:val="25"/>
        </w:rPr>
        <w:t>质量控制的原则</w:t>
      </w:r>
    </w:p>
    <w:p w14:paraId="1C064E49">
      <w:pPr>
        <w:pStyle w:val="2"/>
        <w:spacing w:before="194" w:line="255" w:lineRule="auto"/>
        <w:ind w:left="360" w:right="71" w:firstLine="399"/>
        <w:rPr>
          <w:sz w:val="20"/>
          <w:szCs w:val="20"/>
        </w:rPr>
      </w:pPr>
      <w:r>
        <w:rPr>
          <w:spacing w:val="4"/>
          <w:sz w:val="20"/>
          <w:szCs w:val="20"/>
        </w:rPr>
        <w:t>信息系统工程的质量控制贯穿招标、设计、实</w:t>
      </w:r>
      <w:r>
        <w:rPr>
          <w:spacing w:val="3"/>
          <w:sz w:val="20"/>
          <w:szCs w:val="20"/>
        </w:rPr>
        <w:t>施、验收，以及系统运行维护等阶段。质量</w:t>
      </w:r>
      <w:r>
        <w:rPr>
          <w:sz w:val="20"/>
          <w:szCs w:val="20"/>
        </w:rPr>
        <w:t xml:space="preserve"> </w:t>
      </w:r>
      <w:r>
        <w:rPr>
          <w:spacing w:val="-4"/>
          <w:sz w:val="20"/>
          <w:szCs w:val="20"/>
        </w:rPr>
        <w:t>控制的原则如下：</w:t>
      </w:r>
    </w:p>
    <w:p w14:paraId="5129E04E">
      <w:pPr>
        <w:pStyle w:val="2"/>
        <w:spacing w:before="54" w:line="263" w:lineRule="auto"/>
        <w:ind w:left="360" w:right="91" w:firstLine="399"/>
        <w:rPr>
          <w:sz w:val="20"/>
          <w:szCs w:val="20"/>
        </w:rPr>
      </w:pPr>
      <w:r>
        <w:rPr>
          <w:spacing w:val="5"/>
          <w:sz w:val="20"/>
          <w:szCs w:val="20"/>
        </w:rPr>
        <w:t>(1)质量控制要与业主单位对工程质量的监督紧密结合。就信息系统工程的投资目标、进</w:t>
      </w:r>
      <w:r>
        <w:rPr>
          <w:spacing w:val="16"/>
          <w:sz w:val="20"/>
          <w:szCs w:val="20"/>
        </w:rPr>
        <w:t xml:space="preserve"> </w:t>
      </w:r>
      <w:r>
        <w:rPr>
          <w:spacing w:val="3"/>
          <w:sz w:val="20"/>
          <w:szCs w:val="20"/>
        </w:rPr>
        <w:t>度目标、质量目标而言，质量目标特别受到业主单位的重视，衡量信息系统工</w:t>
      </w:r>
      <w:r>
        <w:rPr>
          <w:spacing w:val="2"/>
          <w:sz w:val="20"/>
          <w:szCs w:val="20"/>
        </w:rPr>
        <w:t>程建设项目质量</w:t>
      </w:r>
      <w:r>
        <w:rPr>
          <w:sz w:val="20"/>
          <w:szCs w:val="20"/>
        </w:rPr>
        <w:t xml:space="preserve"> </w:t>
      </w:r>
      <w:r>
        <w:rPr>
          <w:spacing w:val="3"/>
          <w:sz w:val="20"/>
          <w:szCs w:val="20"/>
        </w:rPr>
        <w:t>是否达到计划标准和要求，需要监理单位及其监理人员与业主单位的工程质量监</w:t>
      </w:r>
      <w:r>
        <w:rPr>
          <w:spacing w:val="2"/>
          <w:sz w:val="20"/>
          <w:szCs w:val="20"/>
        </w:rPr>
        <w:t>督管理部门共</w:t>
      </w:r>
      <w:r>
        <w:rPr>
          <w:sz w:val="20"/>
          <w:szCs w:val="20"/>
        </w:rPr>
        <w:t xml:space="preserve"> </w:t>
      </w:r>
      <w:r>
        <w:rPr>
          <w:spacing w:val="-3"/>
          <w:sz w:val="20"/>
          <w:szCs w:val="20"/>
        </w:rPr>
        <w:t>同承担对项目的质量进行监督管理的任务。</w:t>
      </w:r>
    </w:p>
    <w:p w14:paraId="0B43B8C4">
      <w:pPr>
        <w:pStyle w:val="2"/>
        <w:spacing w:before="93" w:line="258" w:lineRule="auto"/>
        <w:ind w:left="360" w:right="84" w:firstLine="399"/>
        <w:rPr>
          <w:sz w:val="20"/>
          <w:szCs w:val="20"/>
        </w:rPr>
      </w:pPr>
      <w:r>
        <w:rPr>
          <w:spacing w:val="6"/>
          <w:sz w:val="20"/>
          <w:szCs w:val="20"/>
        </w:rPr>
        <w:t>(2)质量控制要实施全过程控制。项目的实施过程，</w:t>
      </w:r>
      <w:r>
        <w:rPr>
          <w:spacing w:val="5"/>
          <w:sz w:val="20"/>
          <w:szCs w:val="20"/>
        </w:rPr>
        <w:t>也是其质量形成的过程。要使项目的</w:t>
      </w:r>
      <w:r>
        <w:rPr>
          <w:sz w:val="20"/>
          <w:szCs w:val="20"/>
        </w:rPr>
        <w:t xml:space="preserve"> </w:t>
      </w:r>
      <w:r>
        <w:rPr>
          <w:spacing w:val="3"/>
          <w:sz w:val="20"/>
          <w:szCs w:val="20"/>
        </w:rPr>
        <w:t>质量控制能够产生所期望的成效，监理单位及其监理人员就要对项目的实施全</w:t>
      </w:r>
      <w:r>
        <w:rPr>
          <w:spacing w:val="2"/>
          <w:sz w:val="20"/>
          <w:szCs w:val="20"/>
        </w:rPr>
        <w:t>过程不间断地进</w:t>
      </w:r>
      <w:r>
        <w:rPr>
          <w:sz w:val="20"/>
          <w:szCs w:val="20"/>
        </w:rPr>
        <w:t xml:space="preserve"> </w:t>
      </w:r>
      <w:r>
        <w:rPr>
          <w:spacing w:val="-6"/>
          <w:sz w:val="20"/>
          <w:szCs w:val="20"/>
        </w:rPr>
        <w:t>行质量控制。</w:t>
      </w:r>
    </w:p>
    <w:p w14:paraId="20C548DE">
      <w:pPr>
        <w:pStyle w:val="2"/>
        <w:spacing w:before="81" w:line="252" w:lineRule="auto"/>
        <w:ind w:left="360" w:firstLine="399"/>
        <w:rPr>
          <w:sz w:val="20"/>
          <w:szCs w:val="20"/>
        </w:rPr>
      </w:pPr>
      <w:r>
        <w:rPr>
          <w:spacing w:val="6"/>
          <w:sz w:val="20"/>
          <w:szCs w:val="20"/>
        </w:rPr>
        <w:t>(3)质量控制要实施全面控制。对项目质量实施全面控制，要把控制</w:t>
      </w:r>
      <w:r>
        <w:rPr>
          <w:spacing w:val="5"/>
          <w:sz w:val="20"/>
          <w:szCs w:val="20"/>
        </w:rPr>
        <w:t>重点放在各种干扰质</w:t>
      </w:r>
      <w:r>
        <w:rPr>
          <w:sz w:val="20"/>
          <w:szCs w:val="20"/>
        </w:rPr>
        <w:t xml:space="preserve"> </w:t>
      </w:r>
      <w:r>
        <w:rPr>
          <w:spacing w:val="5"/>
          <w:sz w:val="20"/>
          <w:szCs w:val="20"/>
        </w:rPr>
        <w:t>量的因素上，做好风险分析和管理工作，预测可能出现的质量偏差，并采取有效的预防措施。</w:t>
      </w:r>
    </w:p>
    <w:p w14:paraId="27FD8647">
      <w:pPr>
        <w:spacing w:line="252" w:lineRule="auto"/>
        <w:rPr>
          <w:sz w:val="20"/>
          <w:szCs w:val="20"/>
        </w:rPr>
        <w:sectPr>
          <w:pgSz w:w="10300" w:h="13400"/>
          <w:pgMar w:top="400" w:right="1030" w:bottom="400" w:left="499" w:header="0" w:footer="0" w:gutter="0"/>
          <w:cols w:space="720" w:num="1"/>
        </w:sectPr>
      </w:pPr>
    </w:p>
    <w:p w14:paraId="73452656">
      <w:pPr>
        <w:pStyle w:val="2"/>
        <w:spacing w:before="116" w:line="219" w:lineRule="auto"/>
        <w:jc w:val="right"/>
        <w:rPr>
          <w:rFonts w:ascii="Times New Roman" w:hAnsi="Times New Roman" w:eastAsia="Times New Roman" w:cs="Times New Roman"/>
          <w:sz w:val="19"/>
          <w:szCs w:val="19"/>
        </w:rPr>
      </w:pPr>
      <w:r>
        <w:rPr>
          <w:spacing w:val="6"/>
          <w:sz w:val="19"/>
          <w:szCs w:val="19"/>
        </w:rPr>
        <w:t>第10章</w:t>
      </w:r>
      <w:r>
        <w:rPr>
          <w:spacing w:val="40"/>
          <w:sz w:val="19"/>
          <w:szCs w:val="19"/>
        </w:rPr>
        <w:t xml:space="preserve"> </w:t>
      </w:r>
      <w:r>
        <w:rPr>
          <w:spacing w:val="6"/>
          <w:sz w:val="19"/>
          <w:szCs w:val="19"/>
        </w:rPr>
        <w:t>质量控制</w:t>
      </w:r>
      <w:r>
        <w:rPr>
          <w:spacing w:val="2"/>
          <w:sz w:val="19"/>
          <w:szCs w:val="19"/>
        </w:rPr>
        <w:t xml:space="preserve">      </w:t>
      </w:r>
      <w:r>
        <w:rPr>
          <w:rFonts w:ascii="Times New Roman" w:hAnsi="Times New Roman" w:eastAsia="Times New Roman" w:cs="Times New Roman"/>
          <w:spacing w:val="6"/>
          <w:sz w:val="19"/>
          <w:szCs w:val="19"/>
        </w:rPr>
        <w:t>241</w:t>
      </w:r>
    </w:p>
    <w:p w14:paraId="37A8D24E">
      <w:pPr>
        <w:spacing w:line="311" w:lineRule="auto"/>
        <w:rPr>
          <w:rFonts w:ascii="Arial"/>
          <w:sz w:val="21"/>
        </w:rPr>
      </w:pPr>
    </w:p>
    <w:p w14:paraId="694248CD">
      <w:pPr>
        <w:pStyle w:val="2"/>
        <w:spacing w:before="61" w:line="298" w:lineRule="auto"/>
        <w:ind w:right="292"/>
        <w:rPr>
          <w:sz w:val="19"/>
          <w:szCs w:val="19"/>
        </w:rPr>
      </w:pPr>
      <w:r>
        <w:rPr>
          <w:spacing w:val="13"/>
          <w:sz w:val="19"/>
          <w:szCs w:val="19"/>
        </w:rPr>
        <w:t>监理单位的工作重点是监督信息系统工程关键性过程和检查工程阶段性结果，判定其是否符合</w:t>
      </w:r>
      <w:r>
        <w:rPr>
          <w:spacing w:val="4"/>
          <w:sz w:val="19"/>
          <w:szCs w:val="19"/>
        </w:rPr>
        <w:t xml:space="preserve"> </w:t>
      </w:r>
      <w:r>
        <w:rPr>
          <w:spacing w:val="9"/>
          <w:sz w:val="19"/>
          <w:szCs w:val="19"/>
        </w:rPr>
        <w:t>预定的质量要求，并在整个监理过程中强调对项目质</w:t>
      </w:r>
      <w:r>
        <w:rPr>
          <w:spacing w:val="8"/>
          <w:sz w:val="19"/>
          <w:szCs w:val="19"/>
        </w:rPr>
        <w:t>量的事前控制、事中控制和事后控制。</w:t>
      </w:r>
    </w:p>
    <w:p w14:paraId="66CFDCC6">
      <w:pPr>
        <w:pStyle w:val="2"/>
        <w:spacing w:before="26" w:line="219" w:lineRule="auto"/>
        <w:ind w:left="409"/>
        <w:rPr>
          <w:sz w:val="19"/>
          <w:szCs w:val="19"/>
        </w:rPr>
      </w:pPr>
      <w:r>
        <w:rPr>
          <w:spacing w:val="10"/>
          <w:sz w:val="19"/>
          <w:szCs w:val="19"/>
        </w:rPr>
        <w:t>●信息系统工程监理对于不同的项目内容应采取不同的质量控制方法；</w:t>
      </w:r>
    </w:p>
    <w:p w14:paraId="2900CDE3">
      <w:pPr>
        <w:pStyle w:val="2"/>
        <w:spacing w:before="105" w:line="265" w:lineRule="auto"/>
        <w:ind w:left="669" w:right="291" w:hanging="260"/>
        <w:rPr>
          <w:sz w:val="19"/>
          <w:szCs w:val="19"/>
        </w:rPr>
      </w:pPr>
      <w:r>
        <w:rPr>
          <w:spacing w:val="13"/>
          <w:sz w:val="19"/>
          <w:szCs w:val="19"/>
        </w:rPr>
        <w:t>●以信息系统工程建设及验收规范、工程质量验收及评审标准等为依据，督促承建单位全</w:t>
      </w:r>
      <w:r>
        <w:rPr>
          <w:spacing w:val="1"/>
          <w:sz w:val="19"/>
          <w:szCs w:val="19"/>
        </w:rPr>
        <w:t xml:space="preserve"> </w:t>
      </w:r>
      <w:r>
        <w:rPr>
          <w:spacing w:val="7"/>
          <w:sz w:val="19"/>
          <w:szCs w:val="19"/>
        </w:rPr>
        <w:t>面实现承建合同约定的质量目标；</w:t>
      </w:r>
    </w:p>
    <w:p w14:paraId="20106BF5">
      <w:pPr>
        <w:pStyle w:val="2"/>
        <w:spacing w:before="104" w:line="266" w:lineRule="auto"/>
        <w:ind w:left="669" w:right="279" w:hanging="260"/>
        <w:rPr>
          <w:sz w:val="19"/>
          <w:szCs w:val="19"/>
        </w:rPr>
      </w:pPr>
      <w:r>
        <w:rPr>
          <w:spacing w:val="13"/>
          <w:sz w:val="19"/>
          <w:szCs w:val="19"/>
        </w:rPr>
        <w:t xml:space="preserve">●对承建单位的人员、设备、方法、环境等因素进行全面的质量监察，督促承建单位的质 </w:t>
      </w:r>
      <w:r>
        <w:rPr>
          <w:spacing w:val="5"/>
          <w:sz w:val="19"/>
          <w:szCs w:val="19"/>
        </w:rPr>
        <w:t>量保证体系落实到位；</w:t>
      </w:r>
    </w:p>
    <w:p w14:paraId="5A62C417">
      <w:pPr>
        <w:pStyle w:val="2"/>
        <w:spacing w:before="93" w:line="270" w:lineRule="auto"/>
        <w:ind w:left="669" w:right="282" w:hanging="260"/>
        <w:rPr>
          <w:sz w:val="19"/>
          <w:szCs w:val="19"/>
        </w:rPr>
      </w:pPr>
      <w:r>
        <w:rPr>
          <w:spacing w:val="13"/>
          <w:sz w:val="19"/>
          <w:szCs w:val="19"/>
        </w:rPr>
        <w:t>●对信息系统工程建设全过程实施质量控制，以质量预控为重点，做好技术总体方案、系</w:t>
      </w:r>
      <w:r>
        <w:rPr>
          <w:spacing w:val="10"/>
          <w:sz w:val="19"/>
          <w:szCs w:val="19"/>
        </w:rPr>
        <w:t xml:space="preserve"> 统集成方案、开发/测试计划、培训计划、售后服务等审核把关；</w:t>
      </w:r>
    </w:p>
    <w:p w14:paraId="3FCA1424">
      <w:pPr>
        <w:pStyle w:val="2"/>
        <w:spacing w:before="95" w:line="274" w:lineRule="auto"/>
        <w:ind w:left="669" w:right="289" w:hanging="260"/>
        <w:rPr>
          <w:sz w:val="19"/>
          <w:szCs w:val="19"/>
        </w:rPr>
      </w:pPr>
      <w:r>
        <w:rPr>
          <w:spacing w:val="13"/>
          <w:sz w:val="19"/>
          <w:szCs w:val="19"/>
        </w:rPr>
        <w:t>●确定项目质量控制的关键节点，重点控制，监理人员要严格把关，必要时还要组织专家</w:t>
      </w:r>
      <w:r>
        <w:rPr>
          <w:spacing w:val="3"/>
          <w:sz w:val="19"/>
          <w:szCs w:val="19"/>
        </w:rPr>
        <w:t xml:space="preserve"> </w:t>
      </w:r>
      <w:r>
        <w:rPr>
          <w:spacing w:val="7"/>
          <w:sz w:val="19"/>
          <w:szCs w:val="19"/>
        </w:rPr>
        <w:t>顾问进行集体论证，或请第三方检测机构进行质量测试；</w:t>
      </w:r>
    </w:p>
    <w:p w14:paraId="6F541FE5">
      <w:pPr>
        <w:pStyle w:val="2"/>
        <w:spacing w:before="105" w:line="266" w:lineRule="auto"/>
        <w:ind w:left="669" w:right="291" w:hanging="260"/>
        <w:rPr>
          <w:sz w:val="19"/>
          <w:szCs w:val="19"/>
        </w:rPr>
      </w:pPr>
      <w:r>
        <w:rPr>
          <w:spacing w:val="13"/>
          <w:sz w:val="19"/>
          <w:szCs w:val="19"/>
        </w:rPr>
        <w:t>●对工程的关键工序和重要实施过程进行跟踪参与，及时发现质量问题，及时纠正，消除</w:t>
      </w:r>
      <w:r>
        <w:rPr>
          <w:spacing w:val="1"/>
          <w:sz w:val="19"/>
          <w:szCs w:val="19"/>
        </w:rPr>
        <w:t xml:space="preserve"> </w:t>
      </w:r>
      <w:r>
        <w:rPr>
          <w:spacing w:val="-1"/>
          <w:sz w:val="19"/>
          <w:szCs w:val="19"/>
        </w:rPr>
        <w:t>质量隐患；</w:t>
      </w:r>
    </w:p>
    <w:p w14:paraId="25911855">
      <w:pPr>
        <w:pStyle w:val="2"/>
        <w:spacing w:before="103" w:line="261" w:lineRule="auto"/>
        <w:ind w:left="669" w:right="281" w:hanging="260"/>
        <w:rPr>
          <w:sz w:val="19"/>
          <w:szCs w:val="19"/>
        </w:rPr>
      </w:pPr>
      <w:r>
        <w:rPr>
          <w:spacing w:val="13"/>
          <w:sz w:val="19"/>
          <w:szCs w:val="19"/>
        </w:rPr>
        <w:t>●坚持本工序质量不合格或未进行验收签认的下一道工序不得进行建设，以防止质量隐患</w:t>
      </w:r>
      <w:r>
        <w:rPr>
          <w:spacing w:val="11"/>
          <w:sz w:val="19"/>
          <w:szCs w:val="19"/>
        </w:rPr>
        <w:t xml:space="preserve"> </w:t>
      </w:r>
      <w:r>
        <w:rPr>
          <w:spacing w:val="4"/>
          <w:sz w:val="19"/>
          <w:szCs w:val="19"/>
        </w:rPr>
        <w:t>积累；</w:t>
      </w:r>
    </w:p>
    <w:p w14:paraId="2739D4C9">
      <w:pPr>
        <w:pStyle w:val="2"/>
        <w:spacing w:before="92" w:line="275" w:lineRule="auto"/>
        <w:ind w:left="669" w:right="306" w:hanging="260"/>
        <w:rPr>
          <w:sz w:val="19"/>
          <w:szCs w:val="19"/>
        </w:rPr>
      </w:pPr>
      <w:r>
        <w:rPr>
          <w:spacing w:val="13"/>
          <w:sz w:val="19"/>
          <w:szCs w:val="19"/>
        </w:rPr>
        <w:t>●对工程项目的系统集成、应用系统开发、培训等进行全</w:t>
      </w:r>
      <w:r>
        <w:rPr>
          <w:spacing w:val="12"/>
          <w:sz w:val="19"/>
          <w:szCs w:val="19"/>
        </w:rPr>
        <w:t>面的质量控制，监督承建单位的</w:t>
      </w:r>
      <w:r>
        <w:rPr>
          <w:sz w:val="19"/>
          <w:szCs w:val="19"/>
        </w:rPr>
        <w:t xml:space="preserve"> </w:t>
      </w:r>
      <w:r>
        <w:rPr>
          <w:spacing w:val="9"/>
          <w:sz w:val="19"/>
          <w:szCs w:val="19"/>
        </w:rPr>
        <w:t>质量保证体系落实到位，加强作业程序管理，实现工程建设的过程控制。</w:t>
      </w:r>
    </w:p>
    <w:p w14:paraId="15E26388">
      <w:pPr>
        <w:pStyle w:val="2"/>
        <w:spacing w:before="264" w:line="219" w:lineRule="auto"/>
        <w:ind w:left="2"/>
        <w:rPr>
          <w:sz w:val="25"/>
          <w:szCs w:val="25"/>
        </w:rPr>
      </w:pPr>
      <w:bookmarkStart w:id="615" w:name="bookmark600"/>
      <w:bookmarkEnd w:id="615"/>
      <w:r>
        <w:rPr>
          <w:b/>
          <w:bCs/>
          <w:color w:val="0059E0"/>
          <w:spacing w:val="-18"/>
          <w:sz w:val="25"/>
          <w:szCs w:val="25"/>
        </w:rPr>
        <w:t>10.1.3</w:t>
      </w:r>
      <w:r>
        <w:rPr>
          <w:color w:val="0059E0"/>
          <w:spacing w:val="95"/>
          <w:sz w:val="25"/>
          <w:szCs w:val="25"/>
        </w:rPr>
        <w:t xml:space="preserve"> </w:t>
      </w:r>
      <w:r>
        <w:rPr>
          <w:b/>
          <w:bCs/>
          <w:color w:val="0059E0"/>
          <w:spacing w:val="-18"/>
          <w:sz w:val="25"/>
          <w:szCs w:val="25"/>
        </w:rPr>
        <w:t>质量控制的特点</w:t>
      </w:r>
    </w:p>
    <w:p w14:paraId="7D6205AB">
      <w:pPr>
        <w:pStyle w:val="2"/>
        <w:spacing w:before="143" w:line="297" w:lineRule="auto"/>
        <w:ind w:right="286" w:firstLine="409"/>
        <w:rPr>
          <w:sz w:val="19"/>
          <w:szCs w:val="19"/>
        </w:rPr>
      </w:pPr>
      <w:r>
        <w:rPr>
          <w:spacing w:val="13"/>
          <w:sz w:val="19"/>
          <w:szCs w:val="19"/>
        </w:rPr>
        <w:t>信息系统工程的质量控制和其他工程的质量控制相比有其特殊性，只有对信息系统工程的</w:t>
      </w:r>
      <w:r>
        <w:rPr>
          <w:spacing w:val="6"/>
          <w:sz w:val="19"/>
          <w:szCs w:val="19"/>
        </w:rPr>
        <w:t xml:space="preserve"> </w:t>
      </w:r>
      <w:r>
        <w:rPr>
          <w:spacing w:val="8"/>
          <w:sz w:val="19"/>
          <w:szCs w:val="19"/>
        </w:rPr>
        <w:t>特点以及质量影响因素有比较清晰的认识，质量控制才具有针对性。</w:t>
      </w:r>
    </w:p>
    <w:p w14:paraId="1B21A637">
      <w:pPr>
        <w:pStyle w:val="2"/>
        <w:spacing w:before="7" w:line="288" w:lineRule="auto"/>
        <w:ind w:right="284" w:firstLine="409"/>
        <w:rPr>
          <w:sz w:val="19"/>
          <w:szCs w:val="19"/>
        </w:rPr>
      </w:pPr>
      <w:r>
        <w:rPr>
          <w:spacing w:val="15"/>
          <w:sz w:val="19"/>
          <w:szCs w:val="19"/>
        </w:rPr>
        <w:t>(1)信息系统工程的建设过程是人的智力劳动过程，实施人员的技术水平和责任心对项目</w:t>
      </w:r>
      <w:r>
        <w:rPr>
          <w:spacing w:val="10"/>
          <w:sz w:val="19"/>
          <w:szCs w:val="19"/>
        </w:rPr>
        <w:t xml:space="preserve"> </w:t>
      </w:r>
      <w:r>
        <w:rPr>
          <w:spacing w:val="13"/>
          <w:sz w:val="19"/>
          <w:szCs w:val="19"/>
        </w:rPr>
        <w:t>建设影响比较大，而且企业人员流动现象比较普遍，因此要控制质量，首先要控制人。监理单</w:t>
      </w:r>
      <w:r>
        <w:rPr>
          <w:spacing w:val="4"/>
          <w:sz w:val="19"/>
          <w:szCs w:val="19"/>
        </w:rPr>
        <w:t xml:space="preserve"> </w:t>
      </w:r>
      <w:r>
        <w:rPr>
          <w:spacing w:val="13"/>
          <w:sz w:val="19"/>
          <w:szCs w:val="19"/>
        </w:rPr>
        <w:t>位对承建单位的人员控制并不是人事权的控制，而是主要通过审查项目主要负责人是否具有相</w:t>
      </w:r>
      <w:r>
        <w:rPr>
          <w:spacing w:val="11"/>
          <w:sz w:val="19"/>
          <w:szCs w:val="19"/>
        </w:rPr>
        <w:t xml:space="preserve"> </w:t>
      </w:r>
      <w:r>
        <w:rPr>
          <w:spacing w:val="13"/>
          <w:sz w:val="19"/>
          <w:szCs w:val="19"/>
        </w:rPr>
        <w:t>关专业能力，以保证项目经理的素质；检查承建单位的项目过程质量控制体系，以保证项目能</w:t>
      </w:r>
      <w:r>
        <w:rPr>
          <w:spacing w:val="5"/>
          <w:sz w:val="19"/>
          <w:szCs w:val="19"/>
        </w:rPr>
        <w:t xml:space="preserve"> </w:t>
      </w:r>
      <w:r>
        <w:rPr>
          <w:spacing w:val="13"/>
          <w:sz w:val="19"/>
          <w:szCs w:val="19"/>
        </w:rPr>
        <w:t>够在有序的状态下进行，督促检查承建单位建立有效的版本控制体系和文档管理体系，最大可</w:t>
      </w:r>
      <w:r>
        <w:rPr>
          <w:spacing w:val="4"/>
          <w:sz w:val="19"/>
          <w:szCs w:val="19"/>
        </w:rPr>
        <w:t xml:space="preserve"> </w:t>
      </w:r>
      <w:r>
        <w:rPr>
          <w:spacing w:val="6"/>
          <w:sz w:val="19"/>
          <w:szCs w:val="19"/>
        </w:rPr>
        <w:t>能减少人员流动所带来的损失。</w:t>
      </w:r>
    </w:p>
    <w:p w14:paraId="5EA4FCAA">
      <w:pPr>
        <w:pStyle w:val="2"/>
        <w:spacing w:before="93" w:line="274" w:lineRule="auto"/>
        <w:ind w:right="289" w:firstLine="409"/>
        <w:rPr>
          <w:sz w:val="19"/>
          <w:szCs w:val="19"/>
        </w:rPr>
      </w:pPr>
      <w:r>
        <w:rPr>
          <w:spacing w:val="15"/>
          <w:sz w:val="19"/>
          <w:szCs w:val="19"/>
        </w:rPr>
        <w:t>(2)随着信息化项目建设的规范，项目变更的情况相对可控，但项目变更客观存在。在需</w:t>
      </w:r>
      <w:r>
        <w:rPr>
          <w:spacing w:val="5"/>
          <w:sz w:val="19"/>
          <w:szCs w:val="19"/>
        </w:rPr>
        <w:t xml:space="preserve"> </w:t>
      </w:r>
      <w:r>
        <w:rPr>
          <w:spacing w:val="13"/>
          <w:sz w:val="19"/>
          <w:szCs w:val="19"/>
        </w:rPr>
        <w:t>求获取过程中有时会存在需求不完整、不清晰的情况，而对于信息系统来说，需求变更将引发</w:t>
      </w:r>
      <w:r>
        <w:rPr>
          <w:spacing w:val="4"/>
          <w:sz w:val="19"/>
          <w:szCs w:val="19"/>
        </w:rPr>
        <w:t xml:space="preserve"> </w:t>
      </w:r>
      <w:r>
        <w:rPr>
          <w:spacing w:val="13"/>
          <w:sz w:val="19"/>
          <w:szCs w:val="19"/>
        </w:rPr>
        <w:t>大量的质量缺陷及隐患，因此对于信息系统的变更，要科学评估变更的风险，并严格执行变更</w:t>
      </w:r>
      <w:r>
        <w:rPr>
          <w:spacing w:val="5"/>
          <w:sz w:val="19"/>
          <w:szCs w:val="19"/>
        </w:rPr>
        <w:t xml:space="preserve"> </w:t>
      </w:r>
      <w:r>
        <w:rPr>
          <w:spacing w:val="7"/>
          <w:sz w:val="19"/>
          <w:szCs w:val="19"/>
        </w:rPr>
        <w:t>处理程序。</w:t>
      </w:r>
    </w:p>
    <w:p w14:paraId="7D85A5A2">
      <w:pPr>
        <w:pStyle w:val="2"/>
        <w:spacing w:before="84" w:line="281" w:lineRule="auto"/>
        <w:ind w:right="206" w:firstLine="409"/>
        <w:rPr>
          <w:sz w:val="19"/>
          <w:szCs w:val="19"/>
        </w:rPr>
      </w:pPr>
      <w:r>
        <w:rPr>
          <w:spacing w:val="15"/>
          <w:sz w:val="19"/>
          <w:szCs w:val="19"/>
        </w:rPr>
        <w:t>(3)信息系统工程比较复杂，故障定位比较困难。例如，信息系统的性能问题可能是由网</w:t>
      </w:r>
      <w:r>
        <w:rPr>
          <w:spacing w:val="6"/>
          <w:sz w:val="19"/>
          <w:szCs w:val="19"/>
        </w:rPr>
        <w:t xml:space="preserve">  </w:t>
      </w:r>
      <w:r>
        <w:rPr>
          <w:spacing w:val="10"/>
          <w:sz w:val="19"/>
          <w:szCs w:val="19"/>
        </w:rPr>
        <w:t>络性能、主机性能、数据库性能、中间件性能和应用软件性能共同决定的，某一部分出现故障，</w:t>
      </w:r>
      <w:r>
        <w:rPr>
          <w:spacing w:val="13"/>
          <w:sz w:val="19"/>
          <w:szCs w:val="19"/>
        </w:rPr>
        <w:t xml:space="preserve"> 就会影响整体的性能，因此在进行质量控制时既要切实控制单项部件的质量，又要有全局的整</w:t>
      </w:r>
      <w:r>
        <w:rPr>
          <w:spacing w:val="2"/>
          <w:sz w:val="19"/>
          <w:szCs w:val="19"/>
        </w:rPr>
        <w:t xml:space="preserve">  </w:t>
      </w:r>
      <w:r>
        <w:rPr>
          <w:spacing w:val="3"/>
          <w:sz w:val="19"/>
          <w:szCs w:val="19"/>
        </w:rPr>
        <w:t>体观念。</w:t>
      </w:r>
    </w:p>
    <w:p w14:paraId="3E769208">
      <w:pPr>
        <w:pStyle w:val="2"/>
        <w:spacing w:before="93" w:line="219" w:lineRule="auto"/>
        <w:ind w:left="409"/>
        <w:rPr>
          <w:sz w:val="19"/>
          <w:szCs w:val="19"/>
        </w:rPr>
      </w:pPr>
      <w:r>
        <w:rPr>
          <w:spacing w:val="16"/>
          <w:sz w:val="19"/>
          <w:szCs w:val="19"/>
        </w:rPr>
        <w:t>(4)信息系统工程的可视性差，质量缺陷比较隐蔽，无法直</w:t>
      </w:r>
      <w:r>
        <w:rPr>
          <w:spacing w:val="15"/>
          <w:sz w:val="19"/>
          <w:szCs w:val="19"/>
        </w:rPr>
        <w:t>接通过人的感官直观地判断信</w:t>
      </w:r>
    </w:p>
    <w:p w14:paraId="62177D5B">
      <w:pPr>
        <w:spacing w:line="219" w:lineRule="auto"/>
        <w:rPr>
          <w:sz w:val="19"/>
          <w:szCs w:val="19"/>
        </w:rPr>
        <w:sectPr>
          <w:pgSz w:w="10280" w:h="13320"/>
          <w:pgMar w:top="400" w:right="609" w:bottom="400" w:left="1049" w:header="0" w:footer="0" w:gutter="0"/>
          <w:cols w:space="720" w:num="1"/>
        </w:sectPr>
      </w:pPr>
    </w:p>
    <w:p w14:paraId="75EC81D9">
      <w:pPr>
        <w:pStyle w:val="2"/>
        <w:spacing w:before="98" w:line="219" w:lineRule="auto"/>
        <w:rPr>
          <w:sz w:val="20"/>
          <w:szCs w:val="20"/>
        </w:rPr>
      </w:pPr>
      <w:bookmarkStart w:id="616" w:name="bookmark601"/>
      <w:bookmarkEnd w:id="616"/>
      <w:r>
        <w:rPr>
          <w:rFonts w:ascii="Times New Roman" w:hAnsi="Times New Roman" w:eastAsia="Times New Roman" w:cs="Times New Roman"/>
          <w:spacing w:val="-1"/>
          <w:sz w:val="17"/>
          <w:szCs w:val="17"/>
        </w:rPr>
        <w:t xml:space="preserve">242                 </w:t>
      </w:r>
      <w:r>
        <w:rPr>
          <w:spacing w:val="-1"/>
          <w:sz w:val="20"/>
          <w:szCs w:val="20"/>
        </w:rPr>
        <w:t>信息系统</w:t>
      </w:r>
      <w:r>
        <w:rPr>
          <w:spacing w:val="-2"/>
          <w:sz w:val="20"/>
          <w:szCs w:val="20"/>
        </w:rPr>
        <w:t>监理师教程(第2版)</w:t>
      </w:r>
    </w:p>
    <w:p w14:paraId="010FF1CA">
      <w:pPr>
        <w:spacing w:line="304" w:lineRule="auto"/>
        <w:rPr>
          <w:rFonts w:ascii="Arial"/>
          <w:sz w:val="21"/>
        </w:rPr>
      </w:pPr>
    </w:p>
    <w:p w14:paraId="31DCBB58">
      <w:pPr>
        <w:pStyle w:val="2"/>
        <w:spacing w:before="65" w:line="292" w:lineRule="auto"/>
        <w:ind w:left="349" w:right="90"/>
        <w:rPr>
          <w:sz w:val="20"/>
          <w:szCs w:val="20"/>
        </w:rPr>
      </w:pPr>
      <w:r>
        <w:rPr>
          <w:spacing w:val="3"/>
          <w:sz w:val="20"/>
          <w:szCs w:val="20"/>
        </w:rPr>
        <w:t>息系统质量的优劣，而且信息系统的质量问题往往在特定条</w:t>
      </w:r>
      <w:r>
        <w:rPr>
          <w:spacing w:val="2"/>
          <w:sz w:val="20"/>
          <w:szCs w:val="20"/>
        </w:rPr>
        <w:t>件下才会出现。因此在对信息系统</w:t>
      </w:r>
      <w:r>
        <w:rPr>
          <w:sz w:val="20"/>
          <w:szCs w:val="20"/>
        </w:rPr>
        <w:t xml:space="preserve"> </w:t>
      </w:r>
      <w:r>
        <w:rPr>
          <w:spacing w:val="-1"/>
          <w:sz w:val="20"/>
          <w:szCs w:val="20"/>
        </w:rPr>
        <w:t>工程进行质量控制时要进行大量的测试，测试对于信息系统工程质量控制是必不可少的。</w:t>
      </w:r>
    </w:p>
    <w:p w14:paraId="741E29A7">
      <w:pPr>
        <w:pStyle w:val="2"/>
        <w:spacing w:before="5" w:line="270" w:lineRule="auto"/>
        <w:ind w:left="349" w:right="19" w:firstLine="410"/>
        <w:rPr>
          <w:sz w:val="20"/>
          <w:szCs w:val="20"/>
        </w:rPr>
      </w:pPr>
      <w:r>
        <w:rPr>
          <w:spacing w:val="7"/>
          <w:sz w:val="20"/>
          <w:szCs w:val="20"/>
        </w:rPr>
        <w:t>(5)质量缺陷发现后，改正错误的代价往往较大，并且可能引发</w:t>
      </w:r>
      <w:r>
        <w:rPr>
          <w:spacing w:val="6"/>
          <w:sz w:val="20"/>
          <w:szCs w:val="20"/>
        </w:rPr>
        <w:t>其他的质量问题。例如，</w:t>
      </w:r>
      <w:r>
        <w:rPr>
          <w:sz w:val="20"/>
          <w:szCs w:val="20"/>
        </w:rPr>
        <w:t xml:space="preserve"> </w:t>
      </w:r>
      <w:r>
        <w:rPr>
          <w:spacing w:val="3"/>
          <w:sz w:val="20"/>
          <w:szCs w:val="20"/>
        </w:rPr>
        <w:t>在软件开发过程中即使发现了软件的错误，也不能随意修</w:t>
      </w:r>
      <w:r>
        <w:rPr>
          <w:spacing w:val="2"/>
          <w:sz w:val="20"/>
          <w:szCs w:val="20"/>
        </w:rPr>
        <w:t>改。因为修改一个问题，可能会引起</w:t>
      </w:r>
      <w:r>
        <w:rPr>
          <w:sz w:val="20"/>
          <w:szCs w:val="20"/>
        </w:rPr>
        <w:t xml:space="preserve"> </w:t>
      </w:r>
      <w:r>
        <w:rPr>
          <w:spacing w:val="-2"/>
          <w:sz w:val="20"/>
          <w:szCs w:val="20"/>
        </w:rPr>
        <w:t>雪崩效应，出现更多问题，因此在质量控制时要做好质量改进评估。</w:t>
      </w:r>
    </w:p>
    <w:p w14:paraId="1B8C65A2">
      <w:pPr>
        <w:pStyle w:val="2"/>
        <w:spacing w:before="84" w:line="280" w:lineRule="auto"/>
        <w:ind w:left="349" w:right="87" w:firstLine="410"/>
        <w:rPr>
          <w:sz w:val="20"/>
          <w:szCs w:val="20"/>
        </w:rPr>
      </w:pPr>
      <w:r>
        <w:rPr>
          <w:spacing w:val="5"/>
          <w:sz w:val="20"/>
          <w:szCs w:val="20"/>
        </w:rPr>
        <w:t>(6)质量纠纷认定的难度大。由于信息系统经常存在对需求理解的偏差，质量问题</w:t>
      </w:r>
      <w:r>
        <w:rPr>
          <w:spacing w:val="4"/>
          <w:sz w:val="20"/>
          <w:szCs w:val="20"/>
        </w:rPr>
        <w:t>也往往</w:t>
      </w:r>
      <w:r>
        <w:rPr>
          <w:sz w:val="20"/>
          <w:szCs w:val="20"/>
        </w:rPr>
        <w:t xml:space="preserve"> </w:t>
      </w:r>
      <w:r>
        <w:rPr>
          <w:spacing w:val="-1"/>
          <w:sz w:val="20"/>
          <w:szCs w:val="20"/>
        </w:rPr>
        <w:t>是在特定的条件下才会发生，业主单位和承建单位对质量问题的认定可能会产生分歧。</w:t>
      </w:r>
      <w:r>
        <w:rPr>
          <w:spacing w:val="50"/>
          <w:sz w:val="20"/>
          <w:szCs w:val="20"/>
        </w:rPr>
        <w:t xml:space="preserve"> </w:t>
      </w:r>
      <w:r>
        <w:rPr>
          <w:spacing w:val="-1"/>
          <w:sz w:val="20"/>
          <w:szCs w:val="20"/>
        </w:rPr>
        <w:t>一方认</w:t>
      </w:r>
      <w:r>
        <w:rPr>
          <w:sz w:val="20"/>
          <w:szCs w:val="20"/>
        </w:rPr>
        <w:t xml:space="preserve"> </w:t>
      </w:r>
      <w:r>
        <w:rPr>
          <w:spacing w:val="3"/>
          <w:sz w:val="20"/>
          <w:szCs w:val="20"/>
        </w:rPr>
        <w:t>为是质量问题，另外一方可能认为不是问题，因此监理人员</w:t>
      </w:r>
      <w:r>
        <w:rPr>
          <w:spacing w:val="2"/>
          <w:sz w:val="20"/>
          <w:szCs w:val="20"/>
        </w:rPr>
        <w:t>在质量控制过程中除了要严把需求</w:t>
      </w:r>
      <w:r>
        <w:rPr>
          <w:sz w:val="20"/>
          <w:szCs w:val="20"/>
        </w:rPr>
        <w:t xml:space="preserve"> </w:t>
      </w:r>
      <w:r>
        <w:rPr>
          <w:spacing w:val="3"/>
          <w:sz w:val="20"/>
          <w:szCs w:val="20"/>
        </w:rPr>
        <w:t>关之外，还要站在独立公正的立场上去处理质量纠纷，并且要以双方</w:t>
      </w:r>
      <w:r>
        <w:rPr>
          <w:spacing w:val="2"/>
          <w:sz w:val="20"/>
          <w:szCs w:val="20"/>
        </w:rPr>
        <w:t>认可的测试结果作为判定</w:t>
      </w:r>
      <w:r>
        <w:rPr>
          <w:sz w:val="20"/>
          <w:szCs w:val="20"/>
        </w:rPr>
        <w:t xml:space="preserve"> </w:t>
      </w:r>
      <w:r>
        <w:rPr>
          <w:spacing w:val="-2"/>
          <w:sz w:val="20"/>
          <w:szCs w:val="20"/>
        </w:rPr>
        <w:t>质量问题的依据，必要时可以引入第三方测试机构。</w:t>
      </w:r>
    </w:p>
    <w:p w14:paraId="4F901F17">
      <w:pPr>
        <w:pStyle w:val="2"/>
        <w:spacing w:before="93" w:line="258" w:lineRule="auto"/>
        <w:ind w:left="349" w:firstLine="410"/>
        <w:rPr>
          <w:sz w:val="20"/>
          <w:szCs w:val="20"/>
        </w:rPr>
      </w:pPr>
      <w:r>
        <w:rPr>
          <w:spacing w:val="2"/>
          <w:sz w:val="20"/>
          <w:szCs w:val="20"/>
        </w:rPr>
        <w:t>(7)信息系统工程建设项目是一个系统工程，不能仅靠多增加一些设备和人手就加快进度，</w:t>
      </w:r>
      <w:r>
        <w:rPr>
          <w:spacing w:val="6"/>
          <w:sz w:val="20"/>
          <w:szCs w:val="20"/>
        </w:rPr>
        <w:t xml:space="preserve"> </w:t>
      </w:r>
      <w:r>
        <w:rPr>
          <w:spacing w:val="3"/>
          <w:sz w:val="20"/>
          <w:szCs w:val="20"/>
        </w:rPr>
        <w:t>因此进度计划的制定一定要科学合理并且留有余量，避免</w:t>
      </w:r>
      <w:r>
        <w:rPr>
          <w:spacing w:val="2"/>
          <w:sz w:val="20"/>
          <w:szCs w:val="20"/>
        </w:rPr>
        <w:t>由于严重的质量问题返工导致进度计</w:t>
      </w:r>
      <w:r>
        <w:rPr>
          <w:sz w:val="20"/>
          <w:szCs w:val="20"/>
        </w:rPr>
        <w:t xml:space="preserve">  </w:t>
      </w:r>
      <w:r>
        <w:rPr>
          <w:spacing w:val="-1"/>
          <w:sz w:val="20"/>
          <w:szCs w:val="20"/>
        </w:rPr>
        <w:t>划失控，同时要注意质量控制和进度控制都要在一个适合的范围之内，应协调进行。</w:t>
      </w:r>
    </w:p>
    <w:p w14:paraId="12795667">
      <w:pPr>
        <w:pStyle w:val="2"/>
        <w:spacing w:before="82" w:line="282" w:lineRule="auto"/>
        <w:ind w:left="349" w:firstLine="410"/>
        <w:rPr>
          <w:sz w:val="17"/>
          <w:szCs w:val="17"/>
        </w:rPr>
      </w:pPr>
      <w:r>
        <w:rPr>
          <w:spacing w:val="7"/>
          <w:sz w:val="20"/>
          <w:szCs w:val="20"/>
        </w:rPr>
        <w:t>(8)由于信息系统工程完成的主体是承建单位，优秀的承建单位是质量控制的关键因素。</w:t>
      </w:r>
      <w:r>
        <w:rPr>
          <w:spacing w:val="8"/>
          <w:sz w:val="20"/>
          <w:szCs w:val="20"/>
        </w:rPr>
        <w:t xml:space="preserve"> </w:t>
      </w:r>
      <w:r>
        <w:rPr>
          <w:spacing w:val="3"/>
          <w:sz w:val="20"/>
          <w:szCs w:val="20"/>
        </w:rPr>
        <w:t>因此在招标阶段对承建单位的选择非常重要，监理单位应较早介入，严格审核</w:t>
      </w:r>
      <w:r>
        <w:rPr>
          <w:spacing w:val="2"/>
          <w:sz w:val="20"/>
          <w:szCs w:val="20"/>
        </w:rPr>
        <w:t>承建单位的能力</w:t>
      </w:r>
      <w:r>
        <w:rPr>
          <w:sz w:val="20"/>
          <w:szCs w:val="20"/>
        </w:rPr>
        <w:t xml:space="preserve">  </w:t>
      </w:r>
      <w:r>
        <w:rPr>
          <w:spacing w:val="13"/>
          <w:sz w:val="17"/>
          <w:szCs w:val="17"/>
        </w:rPr>
        <w:t>水平</w:t>
      </w:r>
      <w:r>
        <w:rPr>
          <w:spacing w:val="-36"/>
          <w:sz w:val="17"/>
          <w:szCs w:val="17"/>
        </w:rPr>
        <w:t xml:space="preserve"> </w:t>
      </w:r>
      <w:r>
        <w:rPr>
          <w:spacing w:val="13"/>
          <w:sz w:val="17"/>
          <w:szCs w:val="17"/>
        </w:rPr>
        <w:t>。</w:t>
      </w:r>
    </w:p>
    <w:p w14:paraId="39B89EED">
      <w:pPr>
        <w:spacing w:line="322" w:lineRule="auto"/>
        <w:rPr>
          <w:rFonts w:ascii="Arial"/>
          <w:sz w:val="21"/>
        </w:rPr>
      </w:pPr>
    </w:p>
    <w:p w14:paraId="02D177B7">
      <w:pPr>
        <w:pStyle w:val="2"/>
        <w:spacing w:before="95" w:line="222" w:lineRule="auto"/>
        <w:ind w:left="354"/>
        <w:rPr>
          <w:rFonts w:ascii="黑体" w:hAnsi="黑体" w:eastAsia="黑体" w:cs="黑体"/>
          <w:sz w:val="29"/>
          <w:szCs w:val="29"/>
        </w:rPr>
      </w:pPr>
      <w:r>
        <w:rPr>
          <w:b/>
          <w:bCs/>
          <w:color w:val="0070C7"/>
          <w:spacing w:val="-13"/>
          <w:sz w:val="29"/>
          <w:szCs w:val="29"/>
        </w:rPr>
        <w:t>10.2</w:t>
      </w:r>
      <w:r>
        <w:rPr>
          <w:color w:val="0070C7"/>
          <w:spacing w:val="128"/>
          <w:sz w:val="29"/>
          <w:szCs w:val="29"/>
        </w:rPr>
        <w:t xml:space="preserve"> </w:t>
      </w:r>
      <w:r>
        <w:rPr>
          <w:rFonts w:ascii="黑体" w:hAnsi="黑体" w:eastAsia="黑体" w:cs="黑体"/>
          <w:b/>
          <w:bCs/>
          <w:color w:val="0070C7"/>
          <w:spacing w:val="-13"/>
          <w:sz w:val="29"/>
          <w:szCs w:val="29"/>
        </w:rPr>
        <w:t>对质量影响因素的控制</w:t>
      </w:r>
    </w:p>
    <w:p w14:paraId="51E66EC5">
      <w:pPr>
        <w:pStyle w:val="2"/>
        <w:spacing w:before="262" w:line="286" w:lineRule="auto"/>
        <w:ind w:left="349" w:firstLine="410"/>
        <w:jc w:val="both"/>
        <w:rPr>
          <w:sz w:val="20"/>
          <w:szCs w:val="20"/>
        </w:rPr>
      </w:pPr>
      <w:r>
        <w:rPr>
          <w:spacing w:val="3"/>
          <w:sz w:val="20"/>
          <w:szCs w:val="20"/>
        </w:rPr>
        <w:t>质量控制应该是积极主动的，应事先对影响质量的各种</w:t>
      </w:r>
      <w:r>
        <w:rPr>
          <w:spacing w:val="2"/>
          <w:sz w:val="20"/>
          <w:szCs w:val="20"/>
        </w:rPr>
        <w:t>因素加以控制，而不能是消极被动</w:t>
      </w:r>
      <w:r>
        <w:rPr>
          <w:sz w:val="20"/>
          <w:szCs w:val="20"/>
        </w:rPr>
        <w:t xml:space="preserve">  的，等出现质量问题再进行处理，否则将造成不必要的损失。只有控制好影响质量的各类因素， </w:t>
      </w:r>
      <w:r>
        <w:rPr>
          <w:spacing w:val="-4"/>
          <w:sz w:val="20"/>
          <w:szCs w:val="20"/>
        </w:rPr>
        <w:t>才能建设出优质工程。</w:t>
      </w:r>
    </w:p>
    <w:p w14:paraId="498A0B3B">
      <w:pPr>
        <w:pStyle w:val="2"/>
        <w:spacing w:before="29" w:line="219" w:lineRule="auto"/>
        <w:ind w:left="759"/>
        <w:rPr>
          <w:sz w:val="20"/>
          <w:szCs w:val="20"/>
        </w:rPr>
      </w:pPr>
      <w:r>
        <w:rPr>
          <w:spacing w:val="-3"/>
          <w:sz w:val="20"/>
          <w:szCs w:val="20"/>
        </w:rPr>
        <w:t>监理工程师对工程质量影响因素的控制主要包括以下几个方面。</w:t>
      </w:r>
    </w:p>
    <w:p w14:paraId="23D884DB">
      <w:pPr>
        <w:pStyle w:val="2"/>
        <w:spacing w:before="150" w:line="222" w:lineRule="auto"/>
        <w:ind w:left="762"/>
        <w:rPr>
          <w:rFonts w:ascii="黑体" w:hAnsi="黑体" w:eastAsia="黑体" w:cs="黑体"/>
          <w:sz w:val="20"/>
          <w:szCs w:val="20"/>
        </w:rPr>
      </w:pPr>
      <w:r>
        <w:rPr>
          <w:b/>
          <w:bCs/>
          <w:color w:val="0072BF"/>
          <w:spacing w:val="-3"/>
          <w:sz w:val="20"/>
          <w:szCs w:val="20"/>
        </w:rPr>
        <w:t>1.</w:t>
      </w:r>
      <w:r>
        <w:rPr>
          <w:rFonts w:ascii="黑体" w:hAnsi="黑体" w:eastAsia="黑体" w:cs="黑体"/>
          <w:b/>
          <w:bCs/>
          <w:color w:val="0072BF"/>
          <w:spacing w:val="-3"/>
          <w:sz w:val="20"/>
          <w:szCs w:val="20"/>
        </w:rPr>
        <w:t>对人的行为的质量控制</w:t>
      </w:r>
    </w:p>
    <w:p w14:paraId="4A4CF60A">
      <w:pPr>
        <w:pStyle w:val="2"/>
        <w:spacing w:before="145" w:line="282" w:lineRule="auto"/>
        <w:ind w:left="349" w:right="69" w:firstLine="410"/>
        <w:jc w:val="both"/>
        <w:rPr>
          <w:sz w:val="20"/>
          <w:szCs w:val="20"/>
        </w:rPr>
      </w:pPr>
      <w:r>
        <w:rPr>
          <w:spacing w:val="3"/>
          <w:sz w:val="20"/>
          <w:szCs w:val="20"/>
        </w:rPr>
        <w:t>人是信息系统工程建设项目的实施者，工程质量是在各类组织者、</w:t>
      </w:r>
      <w:r>
        <w:rPr>
          <w:spacing w:val="2"/>
          <w:sz w:val="20"/>
          <w:szCs w:val="20"/>
        </w:rPr>
        <w:t>指挥者、操作者的共同</w:t>
      </w:r>
      <w:r>
        <w:rPr>
          <w:sz w:val="20"/>
          <w:szCs w:val="20"/>
        </w:rPr>
        <w:t xml:space="preserve"> </w:t>
      </w:r>
      <w:r>
        <w:rPr>
          <w:spacing w:val="3"/>
          <w:sz w:val="20"/>
          <w:szCs w:val="20"/>
        </w:rPr>
        <w:t>努力下建立起来的。人的素质、管理水平、技术能力将最终影响工程实体质</w:t>
      </w:r>
      <w:r>
        <w:rPr>
          <w:spacing w:val="2"/>
          <w:sz w:val="20"/>
          <w:szCs w:val="20"/>
        </w:rPr>
        <w:t>量的优劣。为了调</w:t>
      </w:r>
      <w:r>
        <w:rPr>
          <w:sz w:val="20"/>
          <w:szCs w:val="20"/>
        </w:rPr>
        <w:t xml:space="preserve"> </w:t>
      </w:r>
      <w:r>
        <w:rPr>
          <w:spacing w:val="3"/>
          <w:sz w:val="20"/>
          <w:szCs w:val="20"/>
        </w:rPr>
        <w:t>动人的积极性，避免因人的失误而影响工程质量或造成工程质量事故，监理人员在质量控制环</w:t>
      </w:r>
      <w:r>
        <w:rPr>
          <w:spacing w:val="6"/>
          <w:sz w:val="20"/>
          <w:szCs w:val="20"/>
        </w:rPr>
        <w:t xml:space="preserve"> </w:t>
      </w:r>
      <w:r>
        <w:rPr>
          <w:spacing w:val="3"/>
          <w:sz w:val="20"/>
          <w:szCs w:val="20"/>
        </w:rPr>
        <w:t>节的事前控制中，应要求承建单位管理人员和操作人员，尤其是专业作业人员都通过专业技术</w:t>
      </w:r>
      <w:r>
        <w:rPr>
          <w:spacing w:val="5"/>
          <w:sz w:val="20"/>
          <w:szCs w:val="20"/>
        </w:rPr>
        <w:t xml:space="preserve"> </w:t>
      </w:r>
      <w:r>
        <w:rPr>
          <w:spacing w:val="3"/>
          <w:sz w:val="20"/>
          <w:szCs w:val="20"/>
        </w:rPr>
        <w:t>培训，取得培训合格证或上岗证以后，持证上岗。承建单位</w:t>
      </w:r>
      <w:r>
        <w:rPr>
          <w:spacing w:val="2"/>
          <w:sz w:val="20"/>
          <w:szCs w:val="20"/>
        </w:rPr>
        <w:t>应有健全的岗位责任制，要充分发</w:t>
      </w:r>
      <w:r>
        <w:rPr>
          <w:sz w:val="20"/>
          <w:szCs w:val="20"/>
        </w:rPr>
        <w:t xml:space="preserve"> </w:t>
      </w:r>
      <w:r>
        <w:rPr>
          <w:spacing w:val="3"/>
          <w:sz w:val="20"/>
          <w:szCs w:val="20"/>
        </w:rPr>
        <w:t xml:space="preserve">挥管理人员和操作人员在质量活动中的作用，禁止违章作业和野蛮施工，做到对现场实施人员 </w:t>
      </w:r>
      <w:r>
        <w:rPr>
          <w:spacing w:val="-2"/>
          <w:sz w:val="20"/>
          <w:szCs w:val="20"/>
        </w:rPr>
        <w:t>的素质心中有数，针对不同情况分别采取不同的控制手段。</w:t>
      </w:r>
    </w:p>
    <w:p w14:paraId="218F15CC">
      <w:pPr>
        <w:pStyle w:val="2"/>
        <w:spacing w:before="125" w:line="221" w:lineRule="auto"/>
        <w:ind w:left="732"/>
        <w:rPr>
          <w:rFonts w:ascii="黑体" w:hAnsi="黑体" w:eastAsia="黑体" w:cs="黑体"/>
          <w:sz w:val="20"/>
          <w:szCs w:val="20"/>
        </w:rPr>
      </w:pPr>
      <w:r>
        <w:rPr>
          <w:b/>
          <w:bCs/>
          <w:color w:val="0073E6"/>
          <w:spacing w:val="-3"/>
          <w:sz w:val="20"/>
          <w:szCs w:val="20"/>
        </w:rPr>
        <w:t>2.</w:t>
      </w:r>
      <w:r>
        <w:rPr>
          <w:rFonts w:ascii="黑体" w:hAnsi="黑体" w:eastAsia="黑体" w:cs="黑体"/>
          <w:b/>
          <w:bCs/>
          <w:color w:val="0073E6"/>
          <w:spacing w:val="-3"/>
          <w:sz w:val="20"/>
          <w:szCs w:val="20"/>
        </w:rPr>
        <w:t>对材料、配件、设备和系统的质量控制</w:t>
      </w:r>
    </w:p>
    <w:p w14:paraId="06A33681">
      <w:pPr>
        <w:pStyle w:val="2"/>
        <w:spacing w:before="126" w:line="279" w:lineRule="auto"/>
        <w:ind w:left="349" w:right="49" w:firstLine="410"/>
        <w:jc w:val="both"/>
        <w:rPr>
          <w:sz w:val="20"/>
          <w:szCs w:val="20"/>
        </w:rPr>
      </w:pPr>
      <w:r>
        <w:rPr>
          <w:spacing w:val="3"/>
          <w:sz w:val="20"/>
          <w:szCs w:val="20"/>
        </w:rPr>
        <w:t>信息系统工程中采用的材料、配件、设备和</w:t>
      </w:r>
      <w:r>
        <w:rPr>
          <w:spacing w:val="2"/>
          <w:sz w:val="20"/>
          <w:szCs w:val="20"/>
        </w:rPr>
        <w:t>系统本身的质量是保证工程建设质量的物质基</w:t>
      </w:r>
      <w:r>
        <w:rPr>
          <w:sz w:val="20"/>
          <w:szCs w:val="20"/>
        </w:rPr>
        <w:t xml:space="preserve"> </w:t>
      </w:r>
      <w:r>
        <w:rPr>
          <w:spacing w:val="-2"/>
          <w:sz w:val="20"/>
          <w:szCs w:val="20"/>
        </w:rPr>
        <w:t>础。《中华人民共和国采购法》明确指出：工程建设项目中的材料、配件、设备、系统，都必须</w:t>
      </w:r>
      <w:r>
        <w:rPr>
          <w:spacing w:val="13"/>
          <w:sz w:val="20"/>
          <w:szCs w:val="20"/>
        </w:rPr>
        <w:t xml:space="preserve"> </w:t>
      </w:r>
      <w:r>
        <w:rPr>
          <w:spacing w:val="4"/>
          <w:sz w:val="20"/>
          <w:szCs w:val="20"/>
        </w:rPr>
        <w:t>符合设计要求和产品质量标准。因此要保证工程质量合格，</w:t>
      </w:r>
      <w:r>
        <w:rPr>
          <w:spacing w:val="3"/>
          <w:sz w:val="20"/>
          <w:szCs w:val="20"/>
        </w:rPr>
        <w:t>应对材料、配件、设备、系统进行</w:t>
      </w:r>
      <w:r>
        <w:rPr>
          <w:sz w:val="20"/>
          <w:szCs w:val="20"/>
        </w:rPr>
        <w:t xml:space="preserve"> </w:t>
      </w:r>
      <w:r>
        <w:rPr>
          <w:spacing w:val="-2"/>
          <w:sz w:val="20"/>
          <w:szCs w:val="20"/>
        </w:rPr>
        <w:t>质量控制，避免伪劣材料和配件混入工程。其质量控制要点包括：</w:t>
      </w:r>
    </w:p>
    <w:p w14:paraId="2B710767">
      <w:pPr>
        <w:spacing w:line="279" w:lineRule="auto"/>
        <w:rPr>
          <w:sz w:val="20"/>
          <w:szCs w:val="20"/>
        </w:rPr>
        <w:sectPr>
          <w:pgSz w:w="10310" w:h="13410"/>
          <w:pgMar w:top="400" w:right="1009" w:bottom="400" w:left="550" w:header="0" w:footer="0" w:gutter="0"/>
          <w:cols w:space="720" w:num="1"/>
        </w:sectPr>
      </w:pPr>
    </w:p>
    <w:p w14:paraId="51856F7C">
      <w:pPr>
        <w:pStyle w:val="2"/>
        <w:spacing w:before="67" w:line="214" w:lineRule="auto"/>
        <w:jc w:val="right"/>
        <w:rPr>
          <w:rFonts w:ascii="Times New Roman" w:hAnsi="Times New Roman" w:eastAsia="Times New Roman" w:cs="Times New Roman"/>
          <w:sz w:val="32"/>
          <w:szCs w:val="32"/>
        </w:rPr>
      </w:pPr>
      <w:r>
        <w:rPr>
          <w:spacing w:val="2"/>
          <w:position w:val="2"/>
          <w:sz w:val="20"/>
          <w:szCs w:val="20"/>
        </w:rPr>
        <w:t>第10章</w:t>
      </w:r>
      <w:r>
        <w:rPr>
          <w:spacing w:val="21"/>
          <w:position w:val="2"/>
          <w:sz w:val="20"/>
          <w:szCs w:val="20"/>
        </w:rPr>
        <w:t xml:space="preserve"> </w:t>
      </w:r>
      <w:r>
        <w:rPr>
          <w:spacing w:val="2"/>
          <w:position w:val="2"/>
          <w:sz w:val="20"/>
          <w:szCs w:val="20"/>
        </w:rPr>
        <w:t>质量控制</w:t>
      </w:r>
      <w:r>
        <w:rPr>
          <w:spacing w:val="18"/>
          <w:position w:val="2"/>
          <w:sz w:val="20"/>
          <w:szCs w:val="20"/>
        </w:rPr>
        <w:t xml:space="preserve">     </w:t>
      </w:r>
      <w:r>
        <w:rPr>
          <w:rFonts w:ascii="Times New Roman" w:hAnsi="Times New Roman" w:eastAsia="Times New Roman" w:cs="Times New Roman"/>
          <w:spacing w:val="-13"/>
          <w:w w:val="83"/>
          <w:position w:val="-5"/>
          <w:sz w:val="32"/>
          <w:szCs w:val="32"/>
        </w:rPr>
        <w:t>243</w:t>
      </w:r>
    </w:p>
    <w:p w14:paraId="4D01914F">
      <w:pPr>
        <w:pStyle w:val="2"/>
        <w:spacing w:before="271" w:line="219" w:lineRule="auto"/>
        <w:ind w:left="409"/>
        <w:rPr>
          <w:sz w:val="20"/>
          <w:szCs w:val="20"/>
        </w:rPr>
      </w:pPr>
      <w:r>
        <w:rPr>
          <w:spacing w:val="2"/>
          <w:sz w:val="20"/>
          <w:szCs w:val="20"/>
        </w:rPr>
        <w:t>(1)采购订货前，审查有关性能、数据等是否与本工程要求相符。</w:t>
      </w:r>
    </w:p>
    <w:p w14:paraId="68FB0595">
      <w:pPr>
        <w:pStyle w:val="2"/>
        <w:spacing w:before="72" w:line="258" w:lineRule="auto"/>
        <w:ind w:right="382" w:firstLine="409"/>
        <w:rPr>
          <w:sz w:val="20"/>
          <w:szCs w:val="20"/>
        </w:rPr>
      </w:pPr>
      <w:r>
        <w:rPr>
          <w:spacing w:val="5"/>
          <w:sz w:val="20"/>
          <w:szCs w:val="20"/>
        </w:rPr>
        <w:t>(2)进场前，核验产品出厂合格证及检测报告，对主要材料、配件、设备、系统应分批量</w:t>
      </w:r>
      <w:r>
        <w:rPr>
          <w:spacing w:val="7"/>
          <w:sz w:val="20"/>
          <w:szCs w:val="20"/>
        </w:rPr>
        <w:t xml:space="preserve"> </w:t>
      </w:r>
      <w:r>
        <w:rPr>
          <w:spacing w:val="-4"/>
          <w:sz w:val="20"/>
          <w:szCs w:val="20"/>
        </w:rPr>
        <w:t>按规定取样检验和复检。</w:t>
      </w:r>
    </w:p>
    <w:p w14:paraId="4015248F">
      <w:pPr>
        <w:pStyle w:val="2"/>
        <w:spacing w:before="81" w:line="219" w:lineRule="auto"/>
        <w:ind w:left="409"/>
        <w:rPr>
          <w:sz w:val="20"/>
          <w:szCs w:val="20"/>
        </w:rPr>
      </w:pPr>
      <w:r>
        <w:rPr>
          <w:spacing w:val="2"/>
          <w:sz w:val="20"/>
          <w:szCs w:val="20"/>
        </w:rPr>
        <w:t>(3)对进口材料、设备应配合商检部门做好开箱检</w:t>
      </w:r>
      <w:r>
        <w:rPr>
          <w:spacing w:val="1"/>
          <w:sz w:val="20"/>
          <w:szCs w:val="20"/>
        </w:rPr>
        <w:t>查。</w:t>
      </w:r>
    </w:p>
    <w:p w14:paraId="1D015A95">
      <w:pPr>
        <w:pStyle w:val="2"/>
        <w:spacing w:before="73" w:line="266" w:lineRule="auto"/>
        <w:ind w:right="381" w:firstLine="409"/>
        <w:rPr>
          <w:sz w:val="20"/>
          <w:szCs w:val="20"/>
        </w:rPr>
      </w:pPr>
      <w:r>
        <w:rPr>
          <w:spacing w:val="5"/>
          <w:sz w:val="20"/>
          <w:szCs w:val="20"/>
        </w:rPr>
        <w:t>(4)材料、配件、设备、系统等应按规定的条件保管，并在规定的条件和期限内使用；对</w:t>
      </w:r>
      <w:r>
        <w:rPr>
          <w:spacing w:val="7"/>
          <w:sz w:val="20"/>
          <w:szCs w:val="20"/>
        </w:rPr>
        <w:t xml:space="preserve"> </w:t>
      </w:r>
      <w:r>
        <w:rPr>
          <w:spacing w:val="-1"/>
          <w:sz w:val="20"/>
          <w:szCs w:val="20"/>
        </w:rPr>
        <w:t>保管不善或使用期限超过规定的，应再按规定取样测试，经检验合格后，才能使用。</w:t>
      </w:r>
    </w:p>
    <w:p w14:paraId="0AC579BD">
      <w:pPr>
        <w:pStyle w:val="2"/>
        <w:spacing w:before="63" w:line="219" w:lineRule="auto"/>
        <w:ind w:left="409"/>
        <w:rPr>
          <w:sz w:val="20"/>
          <w:szCs w:val="20"/>
        </w:rPr>
      </w:pPr>
      <w:r>
        <w:rPr>
          <w:spacing w:val="2"/>
          <w:sz w:val="20"/>
          <w:szCs w:val="20"/>
        </w:rPr>
        <w:t>(5)对自研的初次使用的设备和系统，应先</w:t>
      </w:r>
      <w:r>
        <w:rPr>
          <w:spacing w:val="1"/>
          <w:sz w:val="20"/>
          <w:szCs w:val="20"/>
        </w:rPr>
        <w:t>提出试用要求，经试验合格后，才能使用。</w:t>
      </w:r>
    </w:p>
    <w:p w14:paraId="356ED735">
      <w:pPr>
        <w:pStyle w:val="2"/>
        <w:spacing w:before="72" w:line="269" w:lineRule="auto"/>
        <w:ind w:right="373" w:firstLine="409"/>
        <w:rPr>
          <w:sz w:val="20"/>
          <w:szCs w:val="20"/>
        </w:rPr>
      </w:pPr>
      <w:r>
        <w:rPr>
          <w:spacing w:val="5"/>
          <w:sz w:val="20"/>
          <w:szCs w:val="20"/>
        </w:rPr>
        <w:t>(6)材料、配件、设备、系统的抽样和检验方法，应符合国家有关标准和专业技术标准的</w:t>
      </w:r>
      <w:r>
        <w:rPr>
          <w:spacing w:val="14"/>
          <w:sz w:val="20"/>
          <w:szCs w:val="20"/>
        </w:rPr>
        <w:t xml:space="preserve"> </w:t>
      </w:r>
      <w:r>
        <w:rPr>
          <w:spacing w:val="3"/>
          <w:sz w:val="20"/>
          <w:szCs w:val="20"/>
        </w:rPr>
        <w:t>规定。监理人员应着重检查试验室资质是否符合要求，计量器具应定期检定。</w:t>
      </w:r>
      <w:r>
        <w:rPr>
          <w:spacing w:val="2"/>
          <w:sz w:val="20"/>
          <w:szCs w:val="20"/>
        </w:rPr>
        <w:t>另外，为了把好</w:t>
      </w:r>
      <w:r>
        <w:rPr>
          <w:sz w:val="20"/>
          <w:szCs w:val="20"/>
        </w:rPr>
        <w:t xml:space="preserve"> </w:t>
      </w:r>
      <w:r>
        <w:rPr>
          <w:spacing w:val="3"/>
          <w:sz w:val="20"/>
          <w:szCs w:val="20"/>
        </w:rPr>
        <w:t>材料、配件、设备、系统关，要严格执行设备材料检测的见证、取样、送检制度，以确保检测</w:t>
      </w:r>
      <w:r>
        <w:rPr>
          <w:spacing w:val="2"/>
          <w:sz w:val="20"/>
          <w:szCs w:val="20"/>
        </w:rPr>
        <w:t xml:space="preserve"> </w:t>
      </w:r>
      <w:r>
        <w:rPr>
          <w:spacing w:val="-5"/>
          <w:sz w:val="20"/>
          <w:szCs w:val="20"/>
        </w:rPr>
        <w:t>报告的真实性。</w:t>
      </w:r>
    </w:p>
    <w:p w14:paraId="7764DF77">
      <w:pPr>
        <w:pStyle w:val="2"/>
        <w:spacing w:before="191" w:line="221" w:lineRule="auto"/>
        <w:ind w:left="412"/>
        <w:rPr>
          <w:rFonts w:ascii="黑体" w:hAnsi="黑体" w:eastAsia="黑体" w:cs="黑体"/>
          <w:sz w:val="20"/>
          <w:szCs w:val="20"/>
        </w:rPr>
      </w:pPr>
      <w:r>
        <w:rPr>
          <w:b/>
          <w:bCs/>
          <w:color w:val="0065CB"/>
          <w:spacing w:val="-4"/>
          <w:sz w:val="20"/>
          <w:szCs w:val="20"/>
        </w:rPr>
        <w:t>3.</w:t>
      </w:r>
      <w:r>
        <w:rPr>
          <w:rFonts w:ascii="黑体" w:hAnsi="黑体" w:eastAsia="黑体" w:cs="黑体"/>
          <w:b/>
          <w:bCs/>
          <w:color w:val="0065CB"/>
          <w:spacing w:val="-4"/>
          <w:sz w:val="20"/>
          <w:szCs w:val="20"/>
        </w:rPr>
        <w:t>对实施方案与方法的质量控制</w:t>
      </w:r>
    </w:p>
    <w:p w14:paraId="2A9D2306">
      <w:pPr>
        <w:pStyle w:val="2"/>
        <w:spacing w:before="137" w:line="283" w:lineRule="auto"/>
        <w:ind w:right="380" w:firstLine="409"/>
        <w:jc w:val="both"/>
        <w:rPr>
          <w:sz w:val="20"/>
          <w:szCs w:val="20"/>
        </w:rPr>
      </w:pPr>
      <w:r>
        <w:rPr>
          <w:spacing w:val="2"/>
          <w:sz w:val="20"/>
          <w:szCs w:val="20"/>
        </w:rPr>
        <w:t>实施方案与方法是为保证工程质量做出的详细的实施措施，包括对工程中具体技术问题确</w:t>
      </w:r>
      <w:r>
        <w:rPr>
          <w:spacing w:val="16"/>
          <w:sz w:val="20"/>
          <w:szCs w:val="20"/>
        </w:rPr>
        <w:t xml:space="preserve"> </w:t>
      </w:r>
      <w:r>
        <w:rPr>
          <w:spacing w:val="2"/>
          <w:sz w:val="20"/>
          <w:szCs w:val="20"/>
        </w:rPr>
        <w:t>定的实施步骤、工程质量的控制方法以及如何选用材料、配件、设备、系统等的具体要求。对</w:t>
      </w:r>
      <w:r>
        <w:rPr>
          <w:spacing w:val="15"/>
          <w:sz w:val="20"/>
          <w:szCs w:val="20"/>
        </w:rPr>
        <w:t xml:space="preserve"> </w:t>
      </w:r>
      <w:r>
        <w:rPr>
          <w:spacing w:val="3"/>
          <w:sz w:val="20"/>
          <w:szCs w:val="20"/>
        </w:rPr>
        <w:t>于信息应用系统工程建设项目，要对开发方法和设计方案进行质量控制。监理人员</w:t>
      </w:r>
      <w:r>
        <w:rPr>
          <w:spacing w:val="2"/>
          <w:sz w:val="20"/>
          <w:szCs w:val="20"/>
        </w:rPr>
        <w:t>在工程实施</w:t>
      </w:r>
      <w:r>
        <w:rPr>
          <w:sz w:val="20"/>
          <w:szCs w:val="20"/>
        </w:rPr>
        <w:t xml:space="preserve"> </w:t>
      </w:r>
      <w:r>
        <w:rPr>
          <w:spacing w:val="2"/>
          <w:sz w:val="20"/>
          <w:szCs w:val="20"/>
        </w:rPr>
        <w:t>前应熟悉设计文件及规范要求，在重要或关键部位实施前及早协助和督促承建单位做好实施方</w:t>
      </w:r>
      <w:r>
        <w:rPr>
          <w:spacing w:val="14"/>
          <w:sz w:val="20"/>
          <w:szCs w:val="20"/>
        </w:rPr>
        <w:t xml:space="preserve"> </w:t>
      </w:r>
      <w:r>
        <w:rPr>
          <w:spacing w:val="3"/>
          <w:sz w:val="20"/>
          <w:szCs w:val="20"/>
        </w:rPr>
        <w:t>案，并对其申报的实施方案进行审查。在审查时，监理人员应结合工程实际</w:t>
      </w:r>
      <w:r>
        <w:rPr>
          <w:spacing w:val="2"/>
          <w:sz w:val="20"/>
          <w:szCs w:val="20"/>
        </w:rPr>
        <w:t>情况，从技术、组</w:t>
      </w:r>
      <w:r>
        <w:rPr>
          <w:sz w:val="20"/>
          <w:szCs w:val="20"/>
        </w:rPr>
        <w:t xml:space="preserve"> </w:t>
      </w:r>
      <w:r>
        <w:rPr>
          <w:spacing w:val="3"/>
          <w:sz w:val="20"/>
          <w:szCs w:val="20"/>
        </w:rPr>
        <w:t>织、管理、经济等方面进行分析，综合考虑，确保实施方案技术可行，符合国家有</w:t>
      </w:r>
      <w:r>
        <w:rPr>
          <w:spacing w:val="2"/>
          <w:sz w:val="20"/>
          <w:szCs w:val="20"/>
        </w:rPr>
        <w:t>关工程实施</w:t>
      </w:r>
      <w:r>
        <w:rPr>
          <w:sz w:val="20"/>
          <w:szCs w:val="20"/>
        </w:rPr>
        <w:t xml:space="preserve"> </w:t>
      </w:r>
      <w:r>
        <w:rPr>
          <w:spacing w:val="3"/>
          <w:sz w:val="20"/>
          <w:szCs w:val="20"/>
        </w:rPr>
        <w:t>规范和质量检验评定标准，从而保证工程质量。只有这样，监理人员才能对工程进行</w:t>
      </w:r>
      <w:r>
        <w:rPr>
          <w:spacing w:val="2"/>
          <w:sz w:val="20"/>
          <w:szCs w:val="20"/>
        </w:rPr>
        <w:t>预控，使</w:t>
      </w:r>
      <w:r>
        <w:rPr>
          <w:sz w:val="20"/>
          <w:szCs w:val="20"/>
        </w:rPr>
        <w:t xml:space="preserve"> </w:t>
      </w:r>
      <w:r>
        <w:rPr>
          <w:spacing w:val="3"/>
          <w:sz w:val="20"/>
          <w:szCs w:val="20"/>
        </w:rPr>
        <w:t>工程质量建立在可靠的基础上，使承建单位的项目人员与监理单位的监理人员</w:t>
      </w:r>
      <w:r>
        <w:rPr>
          <w:spacing w:val="2"/>
          <w:sz w:val="20"/>
          <w:szCs w:val="20"/>
        </w:rPr>
        <w:t>有保证工程质量</w:t>
      </w:r>
      <w:r>
        <w:rPr>
          <w:sz w:val="20"/>
          <w:szCs w:val="20"/>
        </w:rPr>
        <w:t xml:space="preserve"> </w:t>
      </w:r>
      <w:r>
        <w:rPr>
          <w:spacing w:val="-4"/>
          <w:sz w:val="20"/>
          <w:szCs w:val="20"/>
        </w:rPr>
        <w:t>的共同指导文件，一起把好质量关。</w:t>
      </w:r>
    </w:p>
    <w:p w14:paraId="015AE8B6">
      <w:pPr>
        <w:pStyle w:val="2"/>
        <w:spacing w:before="165" w:line="222" w:lineRule="auto"/>
        <w:ind w:left="412"/>
        <w:rPr>
          <w:rFonts w:ascii="黑体" w:hAnsi="黑体" w:eastAsia="黑体" w:cs="黑体"/>
          <w:sz w:val="20"/>
          <w:szCs w:val="20"/>
        </w:rPr>
      </w:pPr>
      <w:r>
        <w:rPr>
          <w:b/>
          <w:bCs/>
          <w:color w:val="0064D7"/>
          <w:spacing w:val="-4"/>
          <w:sz w:val="20"/>
          <w:szCs w:val="20"/>
        </w:rPr>
        <w:t>4.</w:t>
      </w:r>
      <w:r>
        <w:rPr>
          <w:rFonts w:ascii="黑体" w:hAnsi="黑体" w:eastAsia="黑体" w:cs="黑体"/>
          <w:b/>
          <w:bCs/>
          <w:color w:val="0064D7"/>
          <w:spacing w:val="-4"/>
          <w:sz w:val="20"/>
          <w:szCs w:val="20"/>
        </w:rPr>
        <w:t>对环境因素的控制</w:t>
      </w:r>
    </w:p>
    <w:p w14:paraId="1D6F9F82">
      <w:pPr>
        <w:pStyle w:val="2"/>
        <w:spacing w:before="135" w:line="272" w:lineRule="auto"/>
        <w:ind w:right="330" w:firstLine="409"/>
        <w:jc w:val="both"/>
        <w:rPr>
          <w:sz w:val="20"/>
          <w:szCs w:val="20"/>
        </w:rPr>
      </w:pPr>
      <w:r>
        <w:rPr>
          <w:spacing w:val="3"/>
          <w:sz w:val="20"/>
          <w:szCs w:val="20"/>
        </w:rPr>
        <w:t>影响信息系统工程质量的环境因素很多，有直接影响工程的供电、空</w:t>
      </w:r>
      <w:r>
        <w:rPr>
          <w:spacing w:val="2"/>
          <w:sz w:val="20"/>
          <w:szCs w:val="20"/>
        </w:rPr>
        <w:t>调、消防等基础设施</w:t>
      </w:r>
      <w:r>
        <w:rPr>
          <w:sz w:val="20"/>
          <w:szCs w:val="20"/>
        </w:rPr>
        <w:t xml:space="preserve"> </w:t>
      </w:r>
      <w:r>
        <w:rPr>
          <w:spacing w:val="3"/>
          <w:sz w:val="20"/>
          <w:szCs w:val="20"/>
        </w:rPr>
        <w:t>环境，有反映承建单位管理水平、质量保证体系、质量管理制度的工程管理环境，</w:t>
      </w:r>
      <w:r>
        <w:rPr>
          <w:spacing w:val="2"/>
          <w:sz w:val="20"/>
          <w:szCs w:val="20"/>
        </w:rPr>
        <w:t>有反映技术</w:t>
      </w:r>
      <w:r>
        <w:rPr>
          <w:sz w:val="20"/>
          <w:szCs w:val="20"/>
        </w:rPr>
        <w:t xml:space="preserve"> </w:t>
      </w:r>
      <w:r>
        <w:rPr>
          <w:spacing w:val="-1"/>
          <w:sz w:val="20"/>
          <w:szCs w:val="20"/>
        </w:rPr>
        <w:t>人员的业务能力环境等。由于环境因素具有复杂多变的特点，因此在信息系统工程项目建设中，</w:t>
      </w:r>
      <w:r>
        <w:rPr>
          <w:spacing w:val="10"/>
          <w:sz w:val="20"/>
          <w:szCs w:val="20"/>
        </w:rPr>
        <w:t xml:space="preserve"> </w:t>
      </w:r>
      <w:r>
        <w:rPr>
          <w:spacing w:val="3"/>
          <w:sz w:val="20"/>
          <w:szCs w:val="20"/>
        </w:rPr>
        <w:t>应根据工程特点和具体条件，对影响工程质量的环境因素利用其有利的一面，采取措施控制其</w:t>
      </w:r>
      <w:r>
        <w:rPr>
          <w:spacing w:val="14"/>
          <w:sz w:val="20"/>
          <w:szCs w:val="20"/>
        </w:rPr>
        <w:t xml:space="preserve"> </w:t>
      </w:r>
      <w:r>
        <w:rPr>
          <w:spacing w:val="-2"/>
          <w:sz w:val="20"/>
          <w:szCs w:val="20"/>
        </w:rPr>
        <w:t>不利的一面。</w:t>
      </w:r>
    </w:p>
    <w:p w14:paraId="47DF7DE0">
      <w:pPr>
        <w:spacing w:line="306" w:lineRule="auto"/>
        <w:rPr>
          <w:rFonts w:ascii="Arial"/>
          <w:sz w:val="21"/>
        </w:rPr>
      </w:pPr>
    </w:p>
    <w:p w14:paraId="6C5567FC">
      <w:pPr>
        <w:pStyle w:val="2"/>
        <w:spacing w:before="95" w:line="222" w:lineRule="auto"/>
        <w:ind w:left="3"/>
        <w:rPr>
          <w:rFonts w:ascii="黑体" w:hAnsi="黑体" w:eastAsia="黑体" w:cs="黑体"/>
          <w:sz w:val="29"/>
          <w:szCs w:val="29"/>
        </w:rPr>
      </w:pPr>
      <w:r>
        <w:rPr>
          <w:b/>
          <w:bCs/>
          <w:color w:val="0061E0"/>
          <w:spacing w:val="-13"/>
          <w:sz w:val="29"/>
          <w:szCs w:val="29"/>
        </w:rPr>
        <w:t>10.3</w:t>
      </w:r>
      <w:r>
        <w:rPr>
          <w:color w:val="0061E0"/>
          <w:spacing w:val="-13"/>
          <w:sz w:val="29"/>
          <w:szCs w:val="29"/>
        </w:rPr>
        <w:t xml:space="preserve">  </w:t>
      </w:r>
      <w:r>
        <w:rPr>
          <w:rFonts w:ascii="黑体" w:hAnsi="黑体" w:eastAsia="黑体" w:cs="黑体"/>
          <w:b/>
          <w:bCs/>
          <w:color w:val="0061E0"/>
          <w:spacing w:val="-13"/>
          <w:sz w:val="29"/>
          <w:szCs w:val="29"/>
        </w:rPr>
        <w:t>质量控制体系建设</w:t>
      </w:r>
    </w:p>
    <w:p w14:paraId="33BFAA34">
      <w:pPr>
        <w:pStyle w:val="2"/>
        <w:spacing w:before="253" w:line="264" w:lineRule="auto"/>
        <w:ind w:right="381" w:firstLine="409"/>
        <w:rPr>
          <w:sz w:val="20"/>
          <w:szCs w:val="20"/>
        </w:rPr>
      </w:pPr>
      <w:r>
        <w:rPr>
          <w:spacing w:val="3"/>
          <w:sz w:val="20"/>
          <w:szCs w:val="20"/>
        </w:rPr>
        <w:t>质量控制体系应与组织的具体业务方向相符合，业主单位、承建单位</w:t>
      </w:r>
      <w:r>
        <w:rPr>
          <w:spacing w:val="2"/>
          <w:sz w:val="20"/>
          <w:szCs w:val="20"/>
        </w:rPr>
        <w:t>、监理单位应根据各</w:t>
      </w:r>
      <w:r>
        <w:rPr>
          <w:sz w:val="20"/>
          <w:szCs w:val="20"/>
        </w:rPr>
        <w:t xml:space="preserve"> </w:t>
      </w:r>
      <w:r>
        <w:rPr>
          <w:spacing w:val="-4"/>
          <w:sz w:val="20"/>
          <w:szCs w:val="20"/>
        </w:rPr>
        <w:t>自的特点建立相适应的质量保证体系。</w:t>
      </w:r>
    </w:p>
    <w:p w14:paraId="30C26B6C">
      <w:pPr>
        <w:pStyle w:val="2"/>
        <w:spacing w:before="197" w:line="219" w:lineRule="auto"/>
        <w:ind w:left="2"/>
        <w:rPr>
          <w:sz w:val="25"/>
          <w:szCs w:val="25"/>
        </w:rPr>
      </w:pPr>
      <w:r>
        <w:rPr>
          <w:b/>
          <w:bCs/>
          <w:color w:val="0063D5"/>
          <w:spacing w:val="-18"/>
          <w:sz w:val="25"/>
          <w:szCs w:val="25"/>
        </w:rPr>
        <w:t>10.3.1</w:t>
      </w:r>
      <w:r>
        <w:rPr>
          <w:color w:val="0063D5"/>
          <w:spacing w:val="108"/>
          <w:sz w:val="25"/>
          <w:szCs w:val="25"/>
        </w:rPr>
        <w:t xml:space="preserve"> </w:t>
      </w:r>
      <w:r>
        <w:rPr>
          <w:b/>
          <w:bCs/>
          <w:color w:val="0063D5"/>
          <w:spacing w:val="-18"/>
          <w:sz w:val="25"/>
          <w:szCs w:val="25"/>
        </w:rPr>
        <w:t>质量控制体系的概念</w:t>
      </w:r>
    </w:p>
    <w:p w14:paraId="51C4C591">
      <w:pPr>
        <w:pStyle w:val="2"/>
        <w:spacing w:before="144" w:line="291" w:lineRule="auto"/>
        <w:ind w:right="290" w:firstLine="409"/>
        <w:rPr>
          <w:sz w:val="20"/>
          <w:szCs w:val="20"/>
        </w:rPr>
      </w:pPr>
      <w:r>
        <w:rPr>
          <w:sz w:val="20"/>
          <w:szCs w:val="20"/>
        </w:rPr>
        <w:t>质量控制体系是指为保证性能、过程或服务在质量上满足规定或潜在的要求，由组织机</w:t>
      </w:r>
      <w:r>
        <w:rPr>
          <w:spacing w:val="-1"/>
          <w:sz w:val="20"/>
          <w:szCs w:val="20"/>
        </w:rPr>
        <w:t>构、</w:t>
      </w:r>
      <w:r>
        <w:rPr>
          <w:sz w:val="20"/>
          <w:szCs w:val="20"/>
        </w:rPr>
        <w:t xml:space="preserve"> </w:t>
      </w:r>
      <w:r>
        <w:rPr>
          <w:spacing w:val="3"/>
          <w:sz w:val="20"/>
          <w:szCs w:val="20"/>
        </w:rPr>
        <w:t>职责、程序、活动、能力和资源等构成的有机整体。质量控制体系的结构由领</w:t>
      </w:r>
      <w:r>
        <w:rPr>
          <w:spacing w:val="2"/>
          <w:sz w:val="20"/>
          <w:szCs w:val="20"/>
        </w:rPr>
        <w:t>导的责任、质量</w:t>
      </w:r>
    </w:p>
    <w:p w14:paraId="4BF8E320">
      <w:pPr>
        <w:spacing w:line="291" w:lineRule="auto"/>
        <w:rPr>
          <w:sz w:val="20"/>
          <w:szCs w:val="20"/>
        </w:rPr>
        <w:sectPr>
          <w:pgSz w:w="10280" w:h="13310"/>
          <w:pgMar w:top="400" w:right="539" w:bottom="400" w:left="1040" w:header="0" w:footer="0" w:gutter="0"/>
          <w:cols w:space="720" w:num="1"/>
        </w:sectPr>
      </w:pPr>
    </w:p>
    <w:p w14:paraId="2E9F4A84">
      <w:pPr>
        <w:pStyle w:val="2"/>
        <w:spacing w:before="77" w:line="219" w:lineRule="auto"/>
        <w:rPr>
          <w:sz w:val="19"/>
          <w:szCs w:val="19"/>
        </w:rPr>
      </w:pPr>
      <w:r>
        <w:rPr>
          <w:rFonts w:ascii="Times New Roman" w:hAnsi="Times New Roman" w:eastAsia="Times New Roman" w:cs="Times New Roman"/>
          <w:b/>
          <w:bCs/>
          <w:spacing w:val="5"/>
          <w:sz w:val="19"/>
          <w:szCs w:val="19"/>
        </w:rPr>
        <w:t>244</w:t>
      </w:r>
      <w:r>
        <w:rPr>
          <w:rFonts w:ascii="Times New Roman" w:hAnsi="Times New Roman" w:eastAsia="Times New Roman" w:cs="Times New Roman"/>
          <w:b/>
          <w:bCs/>
          <w:spacing w:val="2"/>
          <w:sz w:val="19"/>
          <w:szCs w:val="19"/>
        </w:rPr>
        <w:t xml:space="preserve">              </w:t>
      </w:r>
      <w:r>
        <w:rPr>
          <w:spacing w:val="5"/>
          <w:sz w:val="19"/>
          <w:szCs w:val="19"/>
        </w:rPr>
        <w:t>信息系统监理师教程(第2版)</w:t>
      </w:r>
    </w:p>
    <w:p w14:paraId="3534DEAC">
      <w:pPr>
        <w:spacing w:line="300" w:lineRule="auto"/>
        <w:rPr>
          <w:rFonts w:ascii="Arial"/>
          <w:sz w:val="21"/>
        </w:rPr>
      </w:pPr>
    </w:p>
    <w:p w14:paraId="5021D79A">
      <w:pPr>
        <w:pStyle w:val="2"/>
        <w:spacing w:before="62" w:line="306" w:lineRule="auto"/>
        <w:ind w:left="379"/>
        <w:jc w:val="both"/>
        <w:rPr>
          <w:sz w:val="19"/>
          <w:szCs w:val="19"/>
        </w:rPr>
      </w:pPr>
      <w:r>
        <w:rPr>
          <w:spacing w:val="13"/>
          <w:sz w:val="19"/>
          <w:szCs w:val="19"/>
        </w:rPr>
        <w:t>责任和权限、组织结构、资源和人员以及工作流程五个方面组成。这五个方面按其性质可以分</w:t>
      </w:r>
      <w:r>
        <w:rPr>
          <w:spacing w:val="14"/>
          <w:sz w:val="19"/>
          <w:szCs w:val="19"/>
        </w:rPr>
        <w:t xml:space="preserve"> </w:t>
      </w:r>
      <w:r>
        <w:rPr>
          <w:spacing w:val="10"/>
          <w:sz w:val="19"/>
          <w:szCs w:val="19"/>
        </w:rPr>
        <w:t>为规章制度和客观物质条件两大部分。</w:t>
      </w:r>
      <w:r>
        <w:rPr>
          <w:spacing w:val="52"/>
          <w:sz w:val="19"/>
          <w:szCs w:val="19"/>
        </w:rPr>
        <w:t xml:space="preserve"> </w:t>
      </w:r>
      <w:r>
        <w:rPr>
          <w:spacing w:val="10"/>
          <w:sz w:val="19"/>
          <w:szCs w:val="19"/>
        </w:rPr>
        <w:t>一个客观存在的</w:t>
      </w:r>
      <w:r>
        <w:rPr>
          <w:spacing w:val="9"/>
          <w:sz w:val="19"/>
          <w:szCs w:val="19"/>
        </w:rPr>
        <w:t>质量体系，首先要具备一定的客观物质</w:t>
      </w:r>
      <w:r>
        <w:rPr>
          <w:sz w:val="19"/>
          <w:szCs w:val="19"/>
        </w:rPr>
        <w:t xml:space="preserve"> </w:t>
      </w:r>
      <w:r>
        <w:rPr>
          <w:spacing w:val="10"/>
          <w:sz w:val="19"/>
          <w:szCs w:val="19"/>
        </w:rPr>
        <w:t>条件，即人员、检测设备及能力等，然后通过设置组织机构，规定各级人员的职责、工作流程、</w:t>
      </w:r>
      <w:r>
        <w:rPr>
          <w:spacing w:val="4"/>
          <w:sz w:val="19"/>
          <w:szCs w:val="19"/>
        </w:rPr>
        <w:t xml:space="preserve"> </w:t>
      </w:r>
      <w:r>
        <w:rPr>
          <w:spacing w:val="18"/>
          <w:sz w:val="19"/>
          <w:szCs w:val="19"/>
        </w:rPr>
        <w:t>质量活动内容等规章制度，组成一个有机体，这样的体系才能经济、有效、协调地满足用户</w:t>
      </w:r>
      <w:r>
        <w:rPr>
          <w:spacing w:val="14"/>
          <w:sz w:val="19"/>
          <w:szCs w:val="19"/>
        </w:rPr>
        <w:t xml:space="preserve"> </w:t>
      </w:r>
      <w:r>
        <w:rPr>
          <w:spacing w:val="-2"/>
          <w:sz w:val="19"/>
          <w:szCs w:val="19"/>
        </w:rPr>
        <w:t>需要。</w:t>
      </w:r>
    </w:p>
    <w:p w14:paraId="6483263F">
      <w:pPr>
        <w:pStyle w:val="2"/>
        <w:spacing w:before="131" w:line="221" w:lineRule="auto"/>
        <w:ind w:left="792"/>
        <w:rPr>
          <w:rFonts w:ascii="黑体" w:hAnsi="黑体" w:eastAsia="黑体" w:cs="黑体"/>
          <w:sz w:val="19"/>
          <w:szCs w:val="19"/>
        </w:rPr>
      </w:pPr>
      <w:r>
        <w:rPr>
          <w:b/>
          <w:bCs/>
          <w:color w:val="0063C7"/>
          <w:spacing w:val="7"/>
          <w:sz w:val="19"/>
          <w:szCs w:val="19"/>
        </w:rPr>
        <w:t>1.</w:t>
      </w:r>
      <w:r>
        <w:rPr>
          <w:rFonts w:ascii="黑体" w:hAnsi="黑体" w:eastAsia="黑体" w:cs="黑体"/>
          <w:b/>
          <w:bCs/>
          <w:color w:val="0063C7"/>
          <w:spacing w:val="7"/>
          <w:sz w:val="19"/>
          <w:szCs w:val="19"/>
        </w:rPr>
        <w:t>领导的责任</w:t>
      </w:r>
    </w:p>
    <w:p w14:paraId="1CC1B3F2">
      <w:pPr>
        <w:pStyle w:val="2"/>
        <w:spacing w:before="146" w:line="312" w:lineRule="auto"/>
        <w:ind w:left="379" w:right="86" w:firstLine="410"/>
        <w:jc w:val="both"/>
        <w:rPr>
          <w:sz w:val="19"/>
          <w:szCs w:val="19"/>
        </w:rPr>
      </w:pPr>
      <w:r>
        <w:rPr>
          <w:spacing w:val="13"/>
          <w:sz w:val="19"/>
          <w:szCs w:val="19"/>
        </w:rPr>
        <w:t>领导应对质量方针的制定与质量体系的建立、完善、实施和保持负</w:t>
      </w:r>
      <w:r>
        <w:rPr>
          <w:spacing w:val="12"/>
          <w:sz w:val="19"/>
          <w:szCs w:val="19"/>
        </w:rPr>
        <w:t>全面责任。这是做好全</w:t>
      </w:r>
      <w:r>
        <w:rPr>
          <w:sz w:val="19"/>
          <w:szCs w:val="19"/>
        </w:rPr>
        <w:t xml:space="preserve"> </w:t>
      </w:r>
      <w:r>
        <w:rPr>
          <w:spacing w:val="13"/>
          <w:sz w:val="19"/>
          <w:szCs w:val="19"/>
        </w:rPr>
        <w:t>面质量管理的关键。在信息系统工程建设项目中，作为工程主体的业主单位、</w:t>
      </w:r>
      <w:r>
        <w:rPr>
          <w:spacing w:val="12"/>
          <w:sz w:val="19"/>
          <w:szCs w:val="19"/>
        </w:rPr>
        <w:t>承建单位、监理</w:t>
      </w:r>
      <w:r>
        <w:rPr>
          <w:sz w:val="19"/>
          <w:szCs w:val="19"/>
        </w:rPr>
        <w:t xml:space="preserve"> </w:t>
      </w:r>
      <w:r>
        <w:rPr>
          <w:spacing w:val="9"/>
          <w:sz w:val="19"/>
          <w:szCs w:val="19"/>
        </w:rPr>
        <w:t>单位，其项目主管人员都需要建立起质量体系与组</w:t>
      </w:r>
      <w:r>
        <w:rPr>
          <w:spacing w:val="8"/>
          <w:sz w:val="19"/>
          <w:szCs w:val="19"/>
        </w:rPr>
        <w:t>织，并担负质量体系有效运行的责任。</w:t>
      </w:r>
    </w:p>
    <w:p w14:paraId="5B5C83C7">
      <w:pPr>
        <w:pStyle w:val="2"/>
        <w:spacing w:before="73" w:line="221" w:lineRule="auto"/>
        <w:ind w:left="792"/>
        <w:rPr>
          <w:rFonts w:ascii="黑体" w:hAnsi="黑体" w:eastAsia="黑体" w:cs="黑体"/>
          <w:sz w:val="19"/>
          <w:szCs w:val="19"/>
        </w:rPr>
      </w:pPr>
      <w:r>
        <w:rPr>
          <w:b/>
          <w:bCs/>
          <w:color w:val="0080E3"/>
          <w:spacing w:val="6"/>
          <w:sz w:val="19"/>
          <w:szCs w:val="19"/>
        </w:rPr>
        <w:t>2.</w:t>
      </w:r>
      <w:r>
        <w:rPr>
          <w:rFonts w:ascii="黑体" w:hAnsi="黑体" w:eastAsia="黑体" w:cs="黑体"/>
          <w:b/>
          <w:bCs/>
          <w:color w:val="0080E3"/>
          <w:spacing w:val="6"/>
          <w:sz w:val="19"/>
          <w:szCs w:val="19"/>
        </w:rPr>
        <w:t>质量责任和权限</w:t>
      </w:r>
    </w:p>
    <w:p w14:paraId="7660BA85">
      <w:pPr>
        <w:pStyle w:val="2"/>
        <w:spacing w:before="164" w:line="296" w:lineRule="auto"/>
        <w:ind w:left="379" w:right="20" w:firstLine="410"/>
        <w:jc w:val="both"/>
        <w:rPr>
          <w:sz w:val="19"/>
          <w:szCs w:val="19"/>
        </w:rPr>
      </w:pPr>
      <w:r>
        <w:rPr>
          <w:spacing w:val="13"/>
          <w:sz w:val="19"/>
          <w:szCs w:val="19"/>
        </w:rPr>
        <w:t>确定为达到规定的质量水平所必须进行的质量控制活动，明确规定项目组织体系中各部门</w:t>
      </w:r>
      <w:r>
        <w:rPr>
          <w:spacing w:val="3"/>
          <w:sz w:val="19"/>
          <w:szCs w:val="19"/>
        </w:rPr>
        <w:t xml:space="preserve"> </w:t>
      </w:r>
      <w:r>
        <w:rPr>
          <w:spacing w:val="15"/>
          <w:sz w:val="19"/>
          <w:szCs w:val="19"/>
        </w:rPr>
        <w:t>及人员在进行这些质量活动时应承担的责任</w:t>
      </w:r>
      <w:r>
        <w:rPr>
          <w:spacing w:val="14"/>
          <w:sz w:val="19"/>
          <w:szCs w:val="19"/>
        </w:rPr>
        <w:t>。明确规定从事各项质量活动人员的责任和权限，</w:t>
      </w:r>
      <w:r>
        <w:rPr>
          <w:sz w:val="19"/>
          <w:szCs w:val="19"/>
        </w:rPr>
        <w:t xml:space="preserve"> </w:t>
      </w:r>
      <w:r>
        <w:rPr>
          <w:spacing w:val="13"/>
          <w:sz w:val="19"/>
          <w:szCs w:val="19"/>
        </w:rPr>
        <w:t>规定各项工作与流程之间的衔接、控制和协调措施。在一个机构完善且有效的质</w:t>
      </w:r>
      <w:r>
        <w:rPr>
          <w:spacing w:val="12"/>
          <w:sz w:val="19"/>
          <w:szCs w:val="19"/>
        </w:rPr>
        <w:t>量体系中，其</w:t>
      </w:r>
      <w:r>
        <w:rPr>
          <w:sz w:val="19"/>
          <w:szCs w:val="19"/>
        </w:rPr>
        <w:t xml:space="preserve"> </w:t>
      </w:r>
      <w:r>
        <w:rPr>
          <w:spacing w:val="13"/>
          <w:sz w:val="19"/>
          <w:szCs w:val="19"/>
        </w:rPr>
        <w:t>工作的重点是以实施全过程控制为主，实行预防与把关相结合，采取各种方法查明</w:t>
      </w:r>
      <w:r>
        <w:rPr>
          <w:spacing w:val="12"/>
          <w:sz w:val="19"/>
          <w:szCs w:val="19"/>
        </w:rPr>
        <w:t>实际的或潜</w:t>
      </w:r>
      <w:r>
        <w:rPr>
          <w:sz w:val="19"/>
          <w:szCs w:val="19"/>
        </w:rPr>
        <w:t xml:space="preserve"> </w:t>
      </w:r>
      <w:r>
        <w:rPr>
          <w:spacing w:val="6"/>
          <w:sz w:val="19"/>
          <w:szCs w:val="19"/>
        </w:rPr>
        <w:t>在的质量问题，并采取预防和补救措施。</w:t>
      </w:r>
    </w:p>
    <w:p w14:paraId="0A6528FB">
      <w:pPr>
        <w:pStyle w:val="2"/>
        <w:spacing w:before="156" w:line="222" w:lineRule="auto"/>
        <w:ind w:left="792"/>
        <w:rPr>
          <w:rFonts w:ascii="黑体" w:hAnsi="黑体" w:eastAsia="黑体" w:cs="黑体"/>
          <w:sz w:val="19"/>
          <w:szCs w:val="19"/>
        </w:rPr>
      </w:pPr>
      <w:r>
        <w:rPr>
          <w:b/>
          <w:bCs/>
          <w:color w:val="005FBF"/>
          <w:spacing w:val="10"/>
          <w:sz w:val="19"/>
          <w:szCs w:val="19"/>
        </w:rPr>
        <w:t>3.</w:t>
      </w:r>
      <w:r>
        <w:rPr>
          <w:rFonts w:ascii="黑体" w:hAnsi="黑体" w:eastAsia="黑体" w:cs="黑体"/>
          <w:b/>
          <w:bCs/>
          <w:color w:val="005FBF"/>
          <w:spacing w:val="10"/>
          <w:sz w:val="19"/>
          <w:szCs w:val="19"/>
        </w:rPr>
        <w:t>组织结构</w:t>
      </w:r>
    </w:p>
    <w:p w14:paraId="189FA5ED">
      <w:pPr>
        <w:pStyle w:val="2"/>
        <w:spacing w:before="155" w:line="292" w:lineRule="auto"/>
        <w:ind w:left="379" w:right="66" w:firstLine="410"/>
        <w:jc w:val="both"/>
        <w:rPr>
          <w:sz w:val="19"/>
          <w:szCs w:val="19"/>
        </w:rPr>
      </w:pPr>
      <w:r>
        <w:rPr>
          <w:spacing w:val="13"/>
          <w:sz w:val="19"/>
          <w:szCs w:val="19"/>
        </w:rPr>
        <w:t>组织结构是指组织内影响质量的组织体制、隶属关系及相互联系的方法。组织结构一般应</w:t>
      </w:r>
      <w:r>
        <w:rPr>
          <w:spacing w:val="10"/>
          <w:sz w:val="19"/>
          <w:szCs w:val="19"/>
        </w:rPr>
        <w:t xml:space="preserve"> </w:t>
      </w:r>
      <w:r>
        <w:rPr>
          <w:spacing w:val="13"/>
          <w:sz w:val="19"/>
          <w:szCs w:val="19"/>
        </w:rPr>
        <w:t>包括各级质量机构的设置、各机构的隶属关系、各机构的职责范围、各机构的</w:t>
      </w:r>
      <w:r>
        <w:rPr>
          <w:spacing w:val="12"/>
          <w:sz w:val="19"/>
          <w:szCs w:val="19"/>
        </w:rPr>
        <w:t>工作衔接与相互</w:t>
      </w:r>
      <w:r>
        <w:rPr>
          <w:sz w:val="19"/>
          <w:szCs w:val="19"/>
        </w:rPr>
        <w:t xml:space="preserve"> </w:t>
      </w:r>
      <w:r>
        <w:rPr>
          <w:spacing w:val="6"/>
          <w:sz w:val="19"/>
          <w:szCs w:val="19"/>
        </w:rPr>
        <w:t>关系、形成的各级质量管理工作网络等。</w:t>
      </w:r>
    </w:p>
    <w:p w14:paraId="5B217020">
      <w:pPr>
        <w:pStyle w:val="2"/>
        <w:spacing w:before="38" w:line="219" w:lineRule="auto"/>
        <w:ind w:left="789"/>
        <w:rPr>
          <w:sz w:val="19"/>
          <w:szCs w:val="19"/>
        </w:rPr>
      </w:pPr>
      <w:r>
        <w:rPr>
          <w:spacing w:val="7"/>
          <w:sz w:val="19"/>
          <w:szCs w:val="19"/>
        </w:rPr>
        <w:t>在实施全面质量管理时，通常可以将质量组织形式分为以下五类：</w:t>
      </w:r>
    </w:p>
    <w:p w14:paraId="6FFE811F">
      <w:pPr>
        <w:pStyle w:val="2"/>
        <w:spacing w:before="74" w:line="276" w:lineRule="auto"/>
        <w:ind w:left="379" w:right="86" w:firstLine="410"/>
        <w:rPr>
          <w:sz w:val="19"/>
          <w:szCs w:val="19"/>
        </w:rPr>
      </w:pPr>
      <w:r>
        <w:rPr>
          <w:spacing w:val="15"/>
          <w:sz w:val="19"/>
          <w:szCs w:val="19"/>
        </w:rPr>
        <w:t>(1)质量预防组织。从事组织制订各类质量计划，预防质量缺陷，以便获</w:t>
      </w:r>
      <w:r>
        <w:rPr>
          <w:spacing w:val="14"/>
          <w:sz w:val="19"/>
          <w:szCs w:val="19"/>
        </w:rPr>
        <w:t>得确定的质量水</w:t>
      </w:r>
      <w:r>
        <w:rPr>
          <w:sz w:val="19"/>
          <w:szCs w:val="19"/>
        </w:rPr>
        <w:t xml:space="preserve"> </w:t>
      </w:r>
      <w:r>
        <w:rPr>
          <w:spacing w:val="5"/>
          <w:sz w:val="19"/>
          <w:szCs w:val="19"/>
        </w:rPr>
        <w:t>平的工作。</w:t>
      </w:r>
    </w:p>
    <w:p w14:paraId="20AA52D4">
      <w:pPr>
        <w:pStyle w:val="2"/>
        <w:spacing w:before="73" w:line="265" w:lineRule="auto"/>
        <w:ind w:left="379" w:right="85" w:firstLine="410"/>
        <w:rPr>
          <w:sz w:val="19"/>
          <w:szCs w:val="19"/>
        </w:rPr>
      </w:pPr>
      <w:r>
        <w:rPr>
          <w:spacing w:val="15"/>
          <w:sz w:val="19"/>
          <w:szCs w:val="19"/>
        </w:rPr>
        <w:t>(2)质量改进组织。主要是针对功能和管理上发生的经常性缺陷，组织质</w:t>
      </w:r>
      <w:r>
        <w:rPr>
          <w:spacing w:val="14"/>
          <w:sz w:val="19"/>
          <w:szCs w:val="19"/>
        </w:rPr>
        <w:t>量突破，把性能</w:t>
      </w:r>
      <w:r>
        <w:rPr>
          <w:sz w:val="19"/>
          <w:szCs w:val="19"/>
        </w:rPr>
        <w:t xml:space="preserve"> </w:t>
      </w:r>
      <w:r>
        <w:rPr>
          <w:spacing w:val="7"/>
          <w:sz w:val="19"/>
          <w:szCs w:val="19"/>
        </w:rPr>
        <w:t>质量和质量管理提高到一个新的水平。</w:t>
      </w:r>
    </w:p>
    <w:p w14:paraId="0984F28B">
      <w:pPr>
        <w:pStyle w:val="2"/>
        <w:spacing w:before="74" w:line="265" w:lineRule="auto"/>
        <w:ind w:left="379" w:right="87" w:firstLine="410"/>
        <w:rPr>
          <w:sz w:val="19"/>
          <w:szCs w:val="19"/>
        </w:rPr>
      </w:pPr>
      <w:r>
        <w:rPr>
          <w:spacing w:val="20"/>
          <w:sz w:val="19"/>
          <w:szCs w:val="19"/>
        </w:rPr>
        <w:t>(3)质量保证组织。主要是组织对工程质量工作的审核，确保质量要求的实现，并保持</w:t>
      </w:r>
      <w:r>
        <w:rPr>
          <w:spacing w:val="1"/>
          <w:sz w:val="19"/>
          <w:szCs w:val="19"/>
        </w:rPr>
        <w:t xml:space="preserve"> </w:t>
      </w:r>
      <w:r>
        <w:rPr>
          <w:spacing w:val="5"/>
          <w:sz w:val="19"/>
          <w:szCs w:val="19"/>
        </w:rPr>
        <w:t>稳定。</w:t>
      </w:r>
    </w:p>
    <w:p w14:paraId="5ECEC78E">
      <w:pPr>
        <w:pStyle w:val="2"/>
        <w:spacing w:before="105" w:line="219" w:lineRule="auto"/>
        <w:ind w:left="789"/>
        <w:rPr>
          <w:sz w:val="19"/>
          <w:szCs w:val="19"/>
        </w:rPr>
      </w:pPr>
      <w:r>
        <w:rPr>
          <w:spacing w:val="11"/>
          <w:sz w:val="19"/>
          <w:szCs w:val="19"/>
        </w:rPr>
        <w:t>(4)接收组织。从事进场物品接收、工序制造接收、产品接收等工作。</w:t>
      </w:r>
    </w:p>
    <w:p w14:paraId="70A99FE0">
      <w:pPr>
        <w:pStyle w:val="2"/>
        <w:spacing w:before="74" w:line="219" w:lineRule="auto"/>
        <w:ind w:left="789"/>
        <w:rPr>
          <w:sz w:val="19"/>
          <w:szCs w:val="19"/>
        </w:rPr>
      </w:pPr>
      <w:r>
        <w:rPr>
          <w:spacing w:val="11"/>
          <w:sz w:val="19"/>
          <w:szCs w:val="19"/>
        </w:rPr>
        <w:t>(5)协调组织。主要是协调影响质量的有关部门的活动。</w:t>
      </w:r>
    </w:p>
    <w:p w14:paraId="595612B8">
      <w:pPr>
        <w:pStyle w:val="2"/>
        <w:spacing w:before="83" w:line="289" w:lineRule="auto"/>
        <w:ind w:left="379" w:right="67" w:firstLine="410"/>
        <w:rPr>
          <w:sz w:val="19"/>
          <w:szCs w:val="19"/>
        </w:rPr>
      </w:pPr>
      <w:r>
        <w:rPr>
          <w:spacing w:val="13"/>
          <w:sz w:val="19"/>
          <w:szCs w:val="19"/>
        </w:rPr>
        <w:t>必须着重指出：上述五种质量组织并不是必须有五种对应的机构，而是这五个方面的质量</w:t>
      </w:r>
      <w:r>
        <w:rPr>
          <w:spacing w:val="9"/>
          <w:sz w:val="19"/>
          <w:szCs w:val="19"/>
        </w:rPr>
        <w:t xml:space="preserve"> </w:t>
      </w:r>
      <w:r>
        <w:rPr>
          <w:spacing w:val="8"/>
          <w:sz w:val="19"/>
          <w:szCs w:val="19"/>
        </w:rPr>
        <w:t>活动在组织上应是落实的，可以根据组织及项目的具体情况来进行设计。</w:t>
      </w:r>
    </w:p>
    <w:p w14:paraId="0DD953EC">
      <w:pPr>
        <w:pStyle w:val="2"/>
        <w:spacing w:before="28" w:line="286" w:lineRule="auto"/>
        <w:ind w:left="379" w:firstLine="410"/>
        <w:rPr>
          <w:sz w:val="19"/>
          <w:szCs w:val="19"/>
        </w:rPr>
      </w:pPr>
      <w:r>
        <w:rPr>
          <w:spacing w:val="13"/>
          <w:sz w:val="19"/>
          <w:szCs w:val="19"/>
        </w:rPr>
        <w:t>为了使项目质量体系正常运行并不断完善，业主单位应设置综合质量管理部门，负责项目</w:t>
      </w:r>
      <w:r>
        <w:rPr>
          <w:spacing w:val="18"/>
          <w:sz w:val="19"/>
          <w:szCs w:val="19"/>
        </w:rPr>
        <w:t xml:space="preserve"> </w:t>
      </w:r>
      <w:r>
        <w:rPr>
          <w:spacing w:val="15"/>
          <w:sz w:val="19"/>
          <w:szCs w:val="19"/>
        </w:rPr>
        <w:t>关键点的质量管理与监控工作，进行质量活动的组织、计划、协调、指导、检查和督促工</w:t>
      </w:r>
      <w:r>
        <w:rPr>
          <w:spacing w:val="14"/>
          <w:sz w:val="19"/>
          <w:szCs w:val="19"/>
        </w:rPr>
        <w:t>作。</w:t>
      </w:r>
      <w:r>
        <w:rPr>
          <w:sz w:val="19"/>
          <w:szCs w:val="19"/>
        </w:rPr>
        <w:t xml:space="preserve"> </w:t>
      </w:r>
      <w:r>
        <w:rPr>
          <w:spacing w:val="13"/>
          <w:sz w:val="19"/>
          <w:szCs w:val="19"/>
        </w:rPr>
        <w:t>承建单位必须设置独立的质量控制部门，并能行使职权，严格检验，加强检测、把关和报告的</w:t>
      </w:r>
      <w:r>
        <w:rPr>
          <w:sz w:val="19"/>
          <w:szCs w:val="19"/>
        </w:rPr>
        <w:t xml:space="preserve">  </w:t>
      </w:r>
      <w:r>
        <w:rPr>
          <w:spacing w:val="13"/>
          <w:sz w:val="19"/>
          <w:szCs w:val="19"/>
        </w:rPr>
        <w:t>职能。作为监理单位，除建立自己的项目质量管理体系外，还需要协助业主单位建立质量控制</w:t>
      </w:r>
      <w:r>
        <w:rPr>
          <w:spacing w:val="1"/>
          <w:sz w:val="19"/>
          <w:szCs w:val="19"/>
        </w:rPr>
        <w:t xml:space="preserve">  </w:t>
      </w:r>
      <w:r>
        <w:rPr>
          <w:spacing w:val="9"/>
          <w:sz w:val="19"/>
          <w:szCs w:val="19"/>
        </w:rPr>
        <w:t>体系，监控承建单位质量体系的建立与有效运行，并有效协调三方体系的协同运行。</w:t>
      </w:r>
    </w:p>
    <w:p w14:paraId="4DC8274F">
      <w:pPr>
        <w:spacing w:line="286" w:lineRule="auto"/>
        <w:rPr>
          <w:sz w:val="19"/>
          <w:szCs w:val="19"/>
        </w:rPr>
        <w:sectPr>
          <w:pgSz w:w="10310" w:h="13410"/>
          <w:pgMar w:top="400" w:right="964" w:bottom="400" w:left="560" w:header="0" w:footer="0" w:gutter="0"/>
          <w:cols w:space="720" w:num="1"/>
        </w:sectPr>
      </w:pPr>
    </w:p>
    <w:p w14:paraId="0B83A209">
      <w:pPr>
        <w:pStyle w:val="2"/>
        <w:spacing w:before="76" w:line="219" w:lineRule="auto"/>
        <w:jc w:val="right"/>
        <w:rPr>
          <w:rFonts w:ascii="Times New Roman" w:hAnsi="Times New Roman" w:eastAsia="Times New Roman" w:cs="Times New Roman"/>
          <w:sz w:val="19"/>
          <w:szCs w:val="19"/>
        </w:rPr>
      </w:pPr>
      <w:r>
        <w:rPr>
          <w:spacing w:val="6"/>
          <w:sz w:val="19"/>
          <w:szCs w:val="19"/>
        </w:rPr>
        <w:t>第10章</w:t>
      </w:r>
      <w:r>
        <w:rPr>
          <w:spacing w:val="47"/>
          <w:w w:val="101"/>
          <w:sz w:val="19"/>
          <w:szCs w:val="19"/>
        </w:rPr>
        <w:t xml:space="preserve"> </w:t>
      </w:r>
      <w:r>
        <w:rPr>
          <w:spacing w:val="6"/>
          <w:sz w:val="19"/>
          <w:szCs w:val="19"/>
        </w:rPr>
        <w:t xml:space="preserve">质量控制      </w:t>
      </w:r>
      <w:r>
        <w:rPr>
          <w:rFonts w:ascii="Times New Roman" w:hAnsi="Times New Roman" w:eastAsia="Times New Roman" w:cs="Times New Roman"/>
          <w:spacing w:val="6"/>
          <w:position w:val="-1"/>
          <w:sz w:val="19"/>
          <w:szCs w:val="19"/>
        </w:rPr>
        <w:t>245</w:t>
      </w:r>
    </w:p>
    <w:p w14:paraId="5AD61300">
      <w:pPr>
        <w:spacing w:line="317" w:lineRule="auto"/>
        <w:rPr>
          <w:rFonts w:ascii="Arial"/>
          <w:sz w:val="21"/>
        </w:rPr>
      </w:pPr>
    </w:p>
    <w:p w14:paraId="39056958">
      <w:pPr>
        <w:pStyle w:val="2"/>
        <w:spacing w:before="62" w:line="221" w:lineRule="auto"/>
        <w:ind w:left="412"/>
        <w:rPr>
          <w:rFonts w:ascii="黑体" w:hAnsi="黑体" w:eastAsia="黑体" w:cs="黑体"/>
          <w:sz w:val="19"/>
          <w:szCs w:val="19"/>
        </w:rPr>
      </w:pPr>
      <w:r>
        <w:rPr>
          <w:b/>
          <w:bCs/>
          <w:color w:val="0060CF"/>
          <w:spacing w:val="5"/>
          <w:sz w:val="19"/>
          <w:szCs w:val="19"/>
        </w:rPr>
        <w:t>4.</w:t>
      </w:r>
      <w:r>
        <w:rPr>
          <w:rFonts w:ascii="黑体" w:hAnsi="黑体" w:eastAsia="黑体" w:cs="黑体"/>
          <w:b/>
          <w:bCs/>
          <w:color w:val="0060CF"/>
          <w:spacing w:val="5"/>
          <w:sz w:val="19"/>
          <w:szCs w:val="19"/>
        </w:rPr>
        <w:t>资源和人员</w:t>
      </w:r>
    </w:p>
    <w:p w14:paraId="390D953C">
      <w:pPr>
        <w:pStyle w:val="2"/>
        <w:spacing w:before="174" w:line="295" w:lineRule="auto"/>
        <w:ind w:right="319" w:firstLine="409"/>
        <w:jc w:val="both"/>
        <w:rPr>
          <w:sz w:val="19"/>
          <w:szCs w:val="19"/>
        </w:rPr>
      </w:pPr>
      <w:r>
        <w:rPr>
          <w:spacing w:val="13"/>
          <w:sz w:val="19"/>
          <w:szCs w:val="19"/>
        </w:rPr>
        <w:t>资源和人员是质量体系的客观物质条件。质量保证能力主要表现为</w:t>
      </w:r>
      <w:r>
        <w:rPr>
          <w:spacing w:val="12"/>
          <w:sz w:val="19"/>
          <w:szCs w:val="19"/>
        </w:rPr>
        <w:t>组织是否拥有能生产满</w:t>
      </w:r>
      <w:r>
        <w:rPr>
          <w:sz w:val="19"/>
          <w:szCs w:val="19"/>
        </w:rPr>
        <w:t xml:space="preserve"> </w:t>
      </w:r>
      <w:r>
        <w:rPr>
          <w:spacing w:val="13"/>
          <w:sz w:val="19"/>
          <w:szCs w:val="19"/>
        </w:rPr>
        <w:t>足质量要求的资源条件、检测设备，并有一支经验丰富、训练有素的技术、管理队伍，这是质</w:t>
      </w:r>
      <w:r>
        <w:rPr>
          <w:spacing w:val="7"/>
          <w:sz w:val="19"/>
          <w:szCs w:val="19"/>
        </w:rPr>
        <w:t xml:space="preserve"> </w:t>
      </w:r>
      <w:r>
        <w:rPr>
          <w:spacing w:val="13"/>
          <w:sz w:val="19"/>
          <w:szCs w:val="19"/>
        </w:rPr>
        <w:t>量体系的固有技术和物质基础。这些资源包括：人才资源和专业技能、实施工</w:t>
      </w:r>
      <w:r>
        <w:rPr>
          <w:spacing w:val="12"/>
          <w:sz w:val="19"/>
          <w:szCs w:val="19"/>
        </w:rPr>
        <w:t>具及设备、检验</w:t>
      </w:r>
      <w:r>
        <w:rPr>
          <w:sz w:val="19"/>
          <w:szCs w:val="19"/>
        </w:rPr>
        <w:t xml:space="preserve"> </w:t>
      </w:r>
      <w:r>
        <w:rPr>
          <w:spacing w:val="7"/>
          <w:sz w:val="19"/>
          <w:szCs w:val="19"/>
        </w:rPr>
        <w:t>和试验设备和仪器仪表等。</w:t>
      </w:r>
    </w:p>
    <w:p w14:paraId="2AE05683">
      <w:pPr>
        <w:pStyle w:val="2"/>
        <w:spacing w:before="46" w:line="297" w:lineRule="auto"/>
        <w:ind w:right="245" w:firstLine="409"/>
        <w:rPr>
          <w:sz w:val="19"/>
          <w:szCs w:val="19"/>
        </w:rPr>
      </w:pPr>
      <w:r>
        <w:rPr>
          <w:spacing w:val="15"/>
          <w:sz w:val="19"/>
          <w:szCs w:val="19"/>
        </w:rPr>
        <w:t>为确保各类人员的工作能力适应和满足工作的要求，监理单位应对员工必须具备的资格、</w:t>
      </w:r>
      <w:r>
        <w:rPr>
          <w:sz w:val="19"/>
          <w:szCs w:val="19"/>
        </w:rPr>
        <w:t xml:space="preserve"> </w:t>
      </w:r>
      <w:r>
        <w:rPr>
          <w:spacing w:val="9"/>
          <w:sz w:val="19"/>
          <w:szCs w:val="19"/>
        </w:rPr>
        <w:t>经验、能力等基本素质以及需要进行的培训计划做出相应</w:t>
      </w:r>
      <w:r>
        <w:rPr>
          <w:spacing w:val="8"/>
          <w:sz w:val="19"/>
          <w:szCs w:val="19"/>
        </w:rPr>
        <w:t>的具体规定。</w:t>
      </w:r>
    </w:p>
    <w:p w14:paraId="32C9FC42">
      <w:pPr>
        <w:pStyle w:val="2"/>
        <w:spacing w:before="105" w:line="221" w:lineRule="auto"/>
        <w:ind w:left="412"/>
        <w:rPr>
          <w:rFonts w:ascii="黑体" w:hAnsi="黑体" w:eastAsia="黑体" w:cs="黑体"/>
          <w:sz w:val="19"/>
          <w:szCs w:val="19"/>
        </w:rPr>
      </w:pPr>
      <w:r>
        <w:rPr>
          <w:b/>
          <w:bCs/>
          <w:color w:val="0058BD"/>
          <w:spacing w:val="8"/>
          <w:sz w:val="19"/>
          <w:szCs w:val="19"/>
        </w:rPr>
        <w:t>5.</w:t>
      </w:r>
      <w:r>
        <w:rPr>
          <w:rFonts w:ascii="黑体" w:hAnsi="黑体" w:eastAsia="黑体" w:cs="黑体"/>
          <w:b/>
          <w:bCs/>
          <w:color w:val="0058BD"/>
          <w:spacing w:val="8"/>
          <w:sz w:val="19"/>
          <w:szCs w:val="19"/>
        </w:rPr>
        <w:t>工作流程</w:t>
      </w:r>
    </w:p>
    <w:p w14:paraId="4ED3C9BC">
      <w:pPr>
        <w:pStyle w:val="2"/>
        <w:spacing w:before="167" w:line="284" w:lineRule="auto"/>
        <w:ind w:right="265" w:firstLine="409"/>
        <w:rPr>
          <w:sz w:val="19"/>
          <w:szCs w:val="19"/>
        </w:rPr>
      </w:pPr>
      <w:r>
        <w:rPr>
          <w:spacing w:val="9"/>
          <w:sz w:val="19"/>
          <w:szCs w:val="19"/>
        </w:rPr>
        <w:t>流程是规定某一项活动的目的和范围，应做什么事，由谁来做，如何做，如何控制和记录，</w:t>
      </w:r>
      <w:r>
        <w:rPr>
          <w:spacing w:val="14"/>
          <w:sz w:val="19"/>
          <w:szCs w:val="19"/>
        </w:rPr>
        <w:t xml:space="preserve"> </w:t>
      </w:r>
      <w:r>
        <w:rPr>
          <w:spacing w:val="13"/>
          <w:sz w:val="19"/>
          <w:szCs w:val="19"/>
        </w:rPr>
        <w:t>在什么时间以及采用什么材料、设备和文件等。类似于全面质量管理提出的“5</w:t>
      </w:r>
      <w:r>
        <w:rPr>
          <w:sz w:val="19"/>
          <w:szCs w:val="19"/>
        </w:rPr>
        <w:t>WIH</w:t>
      </w:r>
      <w:r>
        <w:rPr>
          <w:spacing w:val="13"/>
          <w:sz w:val="19"/>
          <w:szCs w:val="19"/>
        </w:rPr>
        <w:t>”(</w:t>
      </w:r>
      <w:r>
        <w:rPr>
          <w:sz w:val="19"/>
          <w:szCs w:val="19"/>
        </w:rPr>
        <w:t>What</w:t>
      </w:r>
      <w:r>
        <w:rPr>
          <w:spacing w:val="13"/>
          <w:sz w:val="19"/>
          <w:szCs w:val="19"/>
        </w:rPr>
        <w:t>,</w:t>
      </w:r>
    </w:p>
    <w:p w14:paraId="3E33237A">
      <w:pPr>
        <w:pStyle w:val="2"/>
        <w:spacing w:before="14" w:line="300" w:lineRule="auto"/>
        <w:ind w:right="324"/>
        <w:rPr>
          <w:sz w:val="19"/>
          <w:szCs w:val="19"/>
        </w:rPr>
      </w:pPr>
      <w:r>
        <w:rPr>
          <w:rFonts w:ascii="Times New Roman" w:hAnsi="Times New Roman" w:eastAsia="Times New Roman" w:cs="Times New Roman"/>
          <w:sz w:val="19"/>
          <w:szCs w:val="19"/>
        </w:rPr>
        <w:t>Who</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When</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Where</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Why</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How</w:t>
      </w:r>
      <w:r>
        <w:rPr>
          <w:rFonts w:ascii="Times New Roman" w:hAnsi="Times New Roman" w:eastAsia="Times New Roman" w:cs="Times New Roman"/>
          <w:spacing w:val="9"/>
          <w:sz w:val="19"/>
          <w:szCs w:val="19"/>
        </w:rPr>
        <w:t>)</w:t>
      </w:r>
      <w:r>
        <w:rPr>
          <w:rFonts w:ascii="Times New Roman" w:hAnsi="Times New Roman" w:eastAsia="Times New Roman" w:cs="Times New Roman"/>
          <w:spacing w:val="-22"/>
          <w:sz w:val="19"/>
          <w:szCs w:val="19"/>
        </w:rPr>
        <w:t xml:space="preserve"> </w:t>
      </w:r>
      <w:r>
        <w:rPr>
          <w:spacing w:val="9"/>
          <w:sz w:val="19"/>
          <w:szCs w:val="19"/>
        </w:rPr>
        <w:t>。</w:t>
      </w:r>
      <w:r>
        <w:rPr>
          <w:sz w:val="19"/>
          <w:szCs w:val="19"/>
        </w:rPr>
        <w:t xml:space="preserve">        </w:t>
      </w:r>
      <w:r>
        <w:rPr>
          <w:spacing w:val="9"/>
          <w:sz w:val="19"/>
          <w:szCs w:val="19"/>
        </w:rPr>
        <w:t>工作流程是质量管理工作的科学总结，也是实现</w:t>
      </w:r>
      <w:r>
        <w:rPr>
          <w:spacing w:val="8"/>
          <w:sz w:val="19"/>
          <w:szCs w:val="19"/>
        </w:rPr>
        <w:t>质量控制</w:t>
      </w:r>
      <w:r>
        <w:rPr>
          <w:spacing w:val="3"/>
          <w:sz w:val="19"/>
          <w:szCs w:val="19"/>
        </w:rPr>
        <w:t xml:space="preserve"> 的不可缺少的手段。</w:t>
      </w:r>
    </w:p>
    <w:p w14:paraId="30B35001">
      <w:pPr>
        <w:pStyle w:val="2"/>
        <w:spacing w:before="44" w:line="297" w:lineRule="auto"/>
        <w:ind w:right="333" w:firstLine="409"/>
        <w:rPr>
          <w:sz w:val="19"/>
          <w:szCs w:val="19"/>
        </w:rPr>
      </w:pPr>
      <w:r>
        <w:rPr>
          <w:spacing w:val="9"/>
          <w:sz w:val="19"/>
          <w:szCs w:val="19"/>
        </w:rPr>
        <w:t>工作流程是通过文件形式来描述的，但不一定是独立的文件，</w:t>
      </w:r>
      <w:r>
        <w:rPr>
          <w:spacing w:val="50"/>
          <w:sz w:val="19"/>
          <w:szCs w:val="19"/>
        </w:rPr>
        <w:t xml:space="preserve"> </w:t>
      </w:r>
      <w:r>
        <w:rPr>
          <w:spacing w:val="9"/>
          <w:sz w:val="19"/>
          <w:szCs w:val="19"/>
        </w:rPr>
        <w:t>一般可在规章制度或管理标</w:t>
      </w:r>
      <w:r>
        <w:rPr>
          <w:sz w:val="19"/>
          <w:szCs w:val="19"/>
        </w:rPr>
        <w:t xml:space="preserve"> </w:t>
      </w:r>
      <w:r>
        <w:rPr>
          <w:spacing w:val="8"/>
          <w:sz w:val="19"/>
          <w:szCs w:val="19"/>
        </w:rPr>
        <w:t>准、工作标准中体现。质量体系应具备以下几个功能：</w:t>
      </w:r>
    </w:p>
    <w:p w14:paraId="45E3ABBB">
      <w:pPr>
        <w:pStyle w:val="2"/>
        <w:spacing w:before="18" w:line="219" w:lineRule="auto"/>
        <w:ind w:left="409"/>
        <w:rPr>
          <w:sz w:val="19"/>
          <w:szCs w:val="19"/>
        </w:rPr>
      </w:pPr>
      <w:r>
        <w:rPr>
          <w:spacing w:val="11"/>
          <w:sz w:val="19"/>
          <w:szCs w:val="19"/>
        </w:rPr>
        <w:t>(1)应能对所有影响质量的活动进行恰当而连续的控制；</w:t>
      </w:r>
    </w:p>
    <w:p w14:paraId="5C9372F0">
      <w:pPr>
        <w:pStyle w:val="2"/>
        <w:spacing w:before="84" w:line="219" w:lineRule="auto"/>
        <w:ind w:left="409"/>
        <w:rPr>
          <w:sz w:val="19"/>
          <w:szCs w:val="19"/>
        </w:rPr>
      </w:pPr>
      <w:r>
        <w:rPr>
          <w:spacing w:val="11"/>
          <w:sz w:val="19"/>
          <w:szCs w:val="19"/>
        </w:rPr>
        <w:t>(2)应重视并采取预防性措施，避免问题</w:t>
      </w:r>
      <w:r>
        <w:rPr>
          <w:spacing w:val="10"/>
          <w:sz w:val="19"/>
          <w:szCs w:val="19"/>
        </w:rPr>
        <w:t>发生；</w:t>
      </w:r>
    </w:p>
    <w:p w14:paraId="6E4C85AE">
      <w:pPr>
        <w:pStyle w:val="2"/>
        <w:spacing w:before="96" w:line="219" w:lineRule="auto"/>
        <w:ind w:left="409"/>
        <w:rPr>
          <w:sz w:val="19"/>
          <w:szCs w:val="19"/>
        </w:rPr>
      </w:pPr>
      <w:r>
        <w:rPr>
          <w:spacing w:val="11"/>
          <w:sz w:val="19"/>
          <w:szCs w:val="19"/>
        </w:rPr>
        <w:t>(3)应具有一旦发现问题能及时做出反应并加以纠正的能力。</w:t>
      </w:r>
    </w:p>
    <w:p w14:paraId="571B2744">
      <w:pPr>
        <w:pStyle w:val="2"/>
        <w:spacing w:before="94" w:line="285" w:lineRule="auto"/>
        <w:ind w:right="328" w:firstLine="409"/>
        <w:jc w:val="both"/>
        <w:rPr>
          <w:sz w:val="19"/>
          <w:szCs w:val="19"/>
        </w:rPr>
      </w:pPr>
      <w:r>
        <w:rPr>
          <w:spacing w:val="13"/>
          <w:sz w:val="19"/>
          <w:szCs w:val="19"/>
        </w:rPr>
        <w:t>组织为保证质量体系功能的发挥，应制定和颁发质量体系各项活动的工作</w:t>
      </w:r>
      <w:r>
        <w:rPr>
          <w:spacing w:val="12"/>
          <w:sz w:val="19"/>
          <w:szCs w:val="19"/>
        </w:rPr>
        <w:t>流程，并认真贯</w:t>
      </w:r>
      <w:r>
        <w:rPr>
          <w:sz w:val="19"/>
          <w:szCs w:val="19"/>
        </w:rPr>
        <w:t xml:space="preserve"> </w:t>
      </w:r>
      <w:r>
        <w:rPr>
          <w:spacing w:val="13"/>
          <w:sz w:val="19"/>
          <w:szCs w:val="19"/>
        </w:rPr>
        <w:t>彻实施，变“人治”为法治，保持工作连续性和一致性，这是质量体系的重要内容。各项</w:t>
      </w:r>
      <w:r>
        <w:rPr>
          <w:spacing w:val="12"/>
          <w:sz w:val="19"/>
          <w:szCs w:val="19"/>
        </w:rPr>
        <w:t>工作</w:t>
      </w:r>
      <w:r>
        <w:rPr>
          <w:sz w:val="19"/>
          <w:szCs w:val="19"/>
        </w:rPr>
        <w:t xml:space="preserve"> </w:t>
      </w:r>
      <w:r>
        <w:rPr>
          <w:spacing w:val="13"/>
          <w:sz w:val="19"/>
          <w:szCs w:val="19"/>
        </w:rPr>
        <w:t>流程应做到简练、明确、易懂、相互协调、相互配合，而且都要对活动的目标采用的</w:t>
      </w:r>
      <w:r>
        <w:rPr>
          <w:spacing w:val="12"/>
          <w:sz w:val="19"/>
          <w:szCs w:val="19"/>
        </w:rPr>
        <w:t>方法和工</w:t>
      </w:r>
      <w:r>
        <w:rPr>
          <w:sz w:val="19"/>
          <w:szCs w:val="19"/>
        </w:rPr>
        <w:t xml:space="preserve"> </w:t>
      </w:r>
      <w:r>
        <w:rPr>
          <w:spacing w:val="5"/>
          <w:sz w:val="19"/>
          <w:szCs w:val="19"/>
        </w:rPr>
        <w:t>作质量做出相应的规定。</w:t>
      </w:r>
    </w:p>
    <w:p w14:paraId="5A54A039">
      <w:pPr>
        <w:pStyle w:val="2"/>
        <w:spacing w:before="217" w:line="220" w:lineRule="auto"/>
        <w:ind w:left="2"/>
        <w:rPr>
          <w:sz w:val="25"/>
          <w:szCs w:val="25"/>
        </w:rPr>
      </w:pPr>
      <w:r>
        <w:rPr>
          <w:b/>
          <w:bCs/>
          <w:color w:val="0058DD"/>
          <w:spacing w:val="-16"/>
          <w:sz w:val="25"/>
          <w:szCs w:val="25"/>
        </w:rPr>
        <w:t>10.3.2</w:t>
      </w:r>
      <w:r>
        <w:rPr>
          <w:color w:val="0058DD"/>
          <w:spacing w:val="-16"/>
          <w:sz w:val="25"/>
          <w:szCs w:val="25"/>
        </w:rPr>
        <w:t xml:space="preserve">  </w:t>
      </w:r>
      <w:r>
        <w:rPr>
          <w:b/>
          <w:bCs/>
          <w:color w:val="0058DD"/>
          <w:spacing w:val="-16"/>
          <w:sz w:val="25"/>
          <w:szCs w:val="25"/>
        </w:rPr>
        <w:t>三方协同的质量控制</w:t>
      </w:r>
    </w:p>
    <w:p w14:paraId="732A8182">
      <w:pPr>
        <w:pStyle w:val="2"/>
        <w:spacing w:before="162" w:line="295" w:lineRule="auto"/>
        <w:ind w:right="333" w:firstLine="409"/>
        <w:jc w:val="both"/>
        <w:rPr>
          <w:sz w:val="19"/>
          <w:szCs w:val="19"/>
        </w:rPr>
      </w:pPr>
      <w:r>
        <w:rPr>
          <w:spacing w:val="13"/>
          <w:sz w:val="19"/>
          <w:szCs w:val="19"/>
        </w:rPr>
        <w:t>信息系统工程建设项目是由业主单位、承建单位和监理单位共同</w:t>
      </w:r>
      <w:r>
        <w:rPr>
          <w:spacing w:val="12"/>
          <w:sz w:val="19"/>
          <w:szCs w:val="19"/>
        </w:rPr>
        <w:t>完成的，三方的最终目标</w:t>
      </w:r>
      <w:r>
        <w:rPr>
          <w:sz w:val="19"/>
          <w:szCs w:val="19"/>
        </w:rPr>
        <w:t xml:space="preserve"> </w:t>
      </w:r>
      <w:r>
        <w:rPr>
          <w:spacing w:val="12"/>
          <w:sz w:val="19"/>
          <w:szCs w:val="19"/>
        </w:rPr>
        <w:t>是一致的，那就是高质量地完成项目，因此质量控制任务也应该共同完成，三方都应该建立各</w:t>
      </w:r>
      <w:r>
        <w:rPr>
          <w:spacing w:val="15"/>
          <w:sz w:val="19"/>
          <w:szCs w:val="19"/>
        </w:rPr>
        <w:t xml:space="preserve"> </w:t>
      </w:r>
      <w:r>
        <w:rPr>
          <w:spacing w:val="13"/>
          <w:sz w:val="19"/>
          <w:szCs w:val="19"/>
        </w:rPr>
        <w:t>自的质量保证体系，而整个项目的质量控制过程也就包括业主单位的质量控制</w:t>
      </w:r>
      <w:r>
        <w:rPr>
          <w:spacing w:val="12"/>
          <w:sz w:val="19"/>
          <w:szCs w:val="19"/>
        </w:rPr>
        <w:t>过程、承建单位</w:t>
      </w:r>
      <w:r>
        <w:rPr>
          <w:sz w:val="19"/>
          <w:szCs w:val="19"/>
        </w:rPr>
        <w:t xml:space="preserve"> </w:t>
      </w:r>
      <w:r>
        <w:rPr>
          <w:spacing w:val="7"/>
          <w:sz w:val="19"/>
          <w:szCs w:val="19"/>
        </w:rPr>
        <w:t>的质量控制过程和监理单位的质量控制过程。</w:t>
      </w:r>
    </w:p>
    <w:p w14:paraId="26D73AD2">
      <w:pPr>
        <w:pStyle w:val="2"/>
        <w:spacing w:before="102" w:line="222" w:lineRule="auto"/>
        <w:ind w:left="412"/>
        <w:rPr>
          <w:rFonts w:ascii="黑体" w:hAnsi="黑体" w:eastAsia="黑体" w:cs="黑体"/>
          <w:sz w:val="19"/>
          <w:szCs w:val="19"/>
        </w:rPr>
      </w:pPr>
      <w:r>
        <w:rPr>
          <w:b/>
          <w:bCs/>
          <w:color w:val="0062D2"/>
          <w:spacing w:val="6"/>
          <w:sz w:val="19"/>
          <w:szCs w:val="19"/>
        </w:rPr>
        <w:t>1.</w:t>
      </w:r>
      <w:r>
        <w:rPr>
          <w:rFonts w:ascii="黑体" w:hAnsi="黑体" w:eastAsia="黑体" w:cs="黑体"/>
          <w:b/>
          <w:bCs/>
          <w:color w:val="0062D2"/>
          <w:spacing w:val="6"/>
          <w:sz w:val="19"/>
          <w:szCs w:val="19"/>
        </w:rPr>
        <w:t>工程项目的质量管理体系</w:t>
      </w:r>
    </w:p>
    <w:p w14:paraId="7F2671E0">
      <w:pPr>
        <w:pStyle w:val="2"/>
        <w:spacing w:before="166" w:line="287" w:lineRule="auto"/>
        <w:ind w:right="319" w:firstLine="409"/>
        <w:jc w:val="both"/>
        <w:rPr>
          <w:sz w:val="19"/>
          <w:szCs w:val="19"/>
        </w:rPr>
      </w:pPr>
      <w:r>
        <w:rPr>
          <w:spacing w:val="13"/>
          <w:sz w:val="19"/>
          <w:szCs w:val="19"/>
        </w:rPr>
        <w:t>承建单位是工程建设的实施方，因此承建单位的质量管理体系能否有效运行是整个项目质</w:t>
      </w:r>
      <w:r>
        <w:rPr>
          <w:spacing w:val="3"/>
          <w:sz w:val="19"/>
          <w:szCs w:val="19"/>
        </w:rPr>
        <w:t xml:space="preserve"> </w:t>
      </w:r>
      <w:r>
        <w:rPr>
          <w:spacing w:val="13"/>
          <w:sz w:val="19"/>
          <w:szCs w:val="19"/>
        </w:rPr>
        <w:t>量保证的关键。业主单位作为工程建设的投资方和用户方，应该建立较完整的</w:t>
      </w:r>
      <w:r>
        <w:rPr>
          <w:spacing w:val="12"/>
          <w:sz w:val="19"/>
          <w:szCs w:val="19"/>
        </w:rPr>
        <w:t>工程项目管理体</w:t>
      </w:r>
      <w:r>
        <w:rPr>
          <w:sz w:val="19"/>
          <w:szCs w:val="19"/>
        </w:rPr>
        <w:t xml:space="preserve"> </w:t>
      </w:r>
      <w:r>
        <w:rPr>
          <w:spacing w:val="13"/>
          <w:sz w:val="19"/>
          <w:szCs w:val="19"/>
        </w:rPr>
        <w:t>系，这是项目成功的关键因素之一。监理单位是工程项目的</w:t>
      </w:r>
      <w:r>
        <w:rPr>
          <w:spacing w:val="12"/>
          <w:sz w:val="19"/>
          <w:szCs w:val="19"/>
        </w:rPr>
        <w:t>监督管理协调方，既要按照自己的</w:t>
      </w:r>
      <w:r>
        <w:rPr>
          <w:sz w:val="19"/>
          <w:szCs w:val="19"/>
        </w:rPr>
        <w:t xml:space="preserve"> </w:t>
      </w:r>
      <w:r>
        <w:rPr>
          <w:spacing w:val="13"/>
          <w:sz w:val="19"/>
          <w:szCs w:val="19"/>
        </w:rPr>
        <w:t>质量控制体系从事监理活动，还要对承建单位的质量管理体系以及业主单位的</w:t>
      </w:r>
      <w:r>
        <w:rPr>
          <w:spacing w:val="12"/>
          <w:sz w:val="19"/>
          <w:szCs w:val="19"/>
        </w:rPr>
        <w:t>工程项目管理体</w:t>
      </w:r>
      <w:r>
        <w:rPr>
          <w:sz w:val="19"/>
          <w:szCs w:val="19"/>
        </w:rPr>
        <w:t xml:space="preserve"> </w:t>
      </w:r>
      <w:r>
        <w:rPr>
          <w:spacing w:val="13"/>
          <w:sz w:val="19"/>
          <w:szCs w:val="19"/>
        </w:rPr>
        <w:t>系进行监督和指导，使之能够在工程建设过程中得到有效的实施，三方协同的质量</w:t>
      </w:r>
      <w:r>
        <w:rPr>
          <w:spacing w:val="12"/>
          <w:sz w:val="19"/>
          <w:szCs w:val="19"/>
        </w:rPr>
        <w:t>控制体系是</w:t>
      </w:r>
      <w:r>
        <w:rPr>
          <w:sz w:val="19"/>
          <w:szCs w:val="19"/>
        </w:rPr>
        <w:t xml:space="preserve"> </w:t>
      </w:r>
      <w:r>
        <w:rPr>
          <w:spacing w:val="6"/>
          <w:sz w:val="19"/>
          <w:szCs w:val="19"/>
        </w:rPr>
        <w:t>信息系统工程建设项目成功的重要因素。</w:t>
      </w:r>
    </w:p>
    <w:p w14:paraId="66EE4C73">
      <w:pPr>
        <w:pStyle w:val="2"/>
        <w:spacing w:before="56" w:line="219" w:lineRule="auto"/>
        <w:ind w:left="409"/>
        <w:rPr>
          <w:sz w:val="19"/>
          <w:szCs w:val="19"/>
        </w:rPr>
      </w:pPr>
      <w:r>
        <w:rPr>
          <w:spacing w:val="-2"/>
          <w:sz w:val="19"/>
          <w:szCs w:val="19"/>
        </w:rPr>
        <w:t>业主单位的参与人员是业主单位为本项目配备的质量管理人员，承建单位的参与人员是承建单位</w:t>
      </w:r>
    </w:p>
    <w:p w14:paraId="4C9AA726">
      <w:pPr>
        <w:spacing w:line="219" w:lineRule="auto"/>
        <w:rPr>
          <w:sz w:val="19"/>
          <w:szCs w:val="19"/>
        </w:rPr>
        <w:sectPr>
          <w:pgSz w:w="10280" w:h="13320"/>
          <w:pgMar w:top="400" w:right="548" w:bottom="400" w:left="1080" w:header="0" w:footer="0" w:gutter="0"/>
          <w:cols w:space="720" w:num="1"/>
        </w:sectPr>
      </w:pPr>
    </w:p>
    <w:p w14:paraId="46CF73A5">
      <w:pPr>
        <w:pStyle w:val="2"/>
        <w:spacing w:before="87" w:line="219" w:lineRule="auto"/>
        <w:rPr>
          <w:sz w:val="19"/>
          <w:szCs w:val="19"/>
        </w:rPr>
      </w:pPr>
      <w:r>
        <w:rPr>
          <w:rFonts w:ascii="Times New Roman" w:hAnsi="Times New Roman" w:eastAsia="Times New Roman" w:cs="Times New Roman"/>
          <w:spacing w:val="4"/>
          <w:sz w:val="19"/>
          <w:szCs w:val="19"/>
        </w:rPr>
        <w:t xml:space="preserve">246              </w:t>
      </w:r>
      <w:r>
        <w:rPr>
          <w:spacing w:val="4"/>
          <w:sz w:val="19"/>
          <w:szCs w:val="19"/>
        </w:rPr>
        <w:t>信息系统监</w:t>
      </w:r>
      <w:r>
        <w:rPr>
          <w:spacing w:val="3"/>
          <w:sz w:val="19"/>
          <w:szCs w:val="19"/>
        </w:rPr>
        <w:t>理师教程(第2版)</w:t>
      </w:r>
    </w:p>
    <w:p w14:paraId="39CF8FD8">
      <w:pPr>
        <w:spacing w:line="330" w:lineRule="auto"/>
        <w:rPr>
          <w:rFonts w:ascii="Arial"/>
          <w:sz w:val="21"/>
        </w:rPr>
      </w:pPr>
    </w:p>
    <w:p w14:paraId="6BECFC58">
      <w:pPr>
        <w:pStyle w:val="2"/>
        <w:spacing w:before="62" w:line="219" w:lineRule="auto"/>
        <w:ind w:left="380"/>
        <w:rPr>
          <w:sz w:val="19"/>
          <w:szCs w:val="19"/>
        </w:rPr>
      </w:pPr>
      <w:r>
        <w:rPr>
          <w:spacing w:val="-1"/>
          <w:sz w:val="19"/>
          <w:szCs w:val="19"/>
        </w:rPr>
        <w:t>的质保部门的质量管理人员，监理单位的参与人员主要是质量监理工程师、总监</w:t>
      </w:r>
      <w:r>
        <w:rPr>
          <w:spacing w:val="-2"/>
          <w:sz w:val="19"/>
          <w:szCs w:val="19"/>
        </w:rPr>
        <w:t>理工程师和专家。</w:t>
      </w:r>
    </w:p>
    <w:p w14:paraId="6C62AD2A">
      <w:pPr>
        <w:pStyle w:val="2"/>
        <w:spacing w:before="81" w:line="297" w:lineRule="auto"/>
        <w:ind w:left="380" w:firstLine="409"/>
        <w:jc w:val="both"/>
        <w:rPr>
          <w:sz w:val="19"/>
          <w:szCs w:val="19"/>
        </w:rPr>
      </w:pPr>
      <w:r>
        <w:rPr>
          <w:spacing w:val="14"/>
          <w:sz w:val="19"/>
          <w:szCs w:val="19"/>
        </w:rPr>
        <w:t>项目质量控制体系运作的主要目的是对包含设计、实</w:t>
      </w:r>
      <w:r>
        <w:rPr>
          <w:spacing w:val="13"/>
          <w:sz w:val="19"/>
          <w:szCs w:val="19"/>
        </w:rPr>
        <w:t>施和验收等在内的工程全过程进行质</w:t>
      </w:r>
      <w:r>
        <w:rPr>
          <w:sz w:val="19"/>
          <w:szCs w:val="19"/>
        </w:rPr>
        <w:t xml:space="preserve"> </w:t>
      </w:r>
      <w:r>
        <w:rPr>
          <w:spacing w:val="13"/>
          <w:sz w:val="19"/>
          <w:szCs w:val="19"/>
        </w:rPr>
        <w:t>量管理，向业主单位的决策部门提供质量信息，为他们关于工程的决策提供依</w:t>
      </w:r>
      <w:r>
        <w:rPr>
          <w:spacing w:val="12"/>
          <w:sz w:val="19"/>
          <w:szCs w:val="19"/>
        </w:rPr>
        <w:t>据。虽然业主单</w:t>
      </w:r>
      <w:r>
        <w:rPr>
          <w:sz w:val="19"/>
          <w:szCs w:val="19"/>
        </w:rPr>
        <w:t xml:space="preserve">  </w:t>
      </w:r>
      <w:r>
        <w:rPr>
          <w:spacing w:val="10"/>
          <w:sz w:val="19"/>
          <w:szCs w:val="19"/>
        </w:rPr>
        <w:t>位、承建单位有各自的质量管理体系，但是每一种体系在实际的运行过程中都不是完美无缺的，</w:t>
      </w:r>
      <w:r>
        <w:rPr>
          <w:spacing w:val="3"/>
          <w:sz w:val="19"/>
          <w:szCs w:val="19"/>
        </w:rPr>
        <w:t xml:space="preserve"> </w:t>
      </w:r>
      <w:r>
        <w:rPr>
          <w:spacing w:val="13"/>
          <w:sz w:val="19"/>
          <w:szCs w:val="19"/>
        </w:rPr>
        <w:t>双方的理解也可能不尽一致，因此通过监理单位的协调控制，可以充分发挥各自质量控制手段 和方法的长处，从而达到最优质量控制的效果。信息系统工程建设项目只有通过</w:t>
      </w:r>
      <w:r>
        <w:rPr>
          <w:spacing w:val="12"/>
          <w:sz w:val="19"/>
          <w:szCs w:val="19"/>
        </w:rPr>
        <w:t>业主单位、承</w:t>
      </w:r>
      <w:r>
        <w:rPr>
          <w:sz w:val="19"/>
          <w:szCs w:val="19"/>
        </w:rPr>
        <w:t xml:space="preserve">  </w:t>
      </w:r>
      <w:r>
        <w:rPr>
          <w:spacing w:val="9"/>
          <w:sz w:val="19"/>
          <w:szCs w:val="19"/>
        </w:rPr>
        <w:t>建单位和监理单位既相互独立又紧密结合的共同的质量控制，项目的质量目标才有可能实现。</w:t>
      </w:r>
    </w:p>
    <w:p w14:paraId="3ADA0460">
      <w:pPr>
        <w:pStyle w:val="2"/>
        <w:spacing w:before="175" w:line="222" w:lineRule="auto"/>
        <w:ind w:left="792"/>
        <w:rPr>
          <w:rFonts w:ascii="黑体" w:hAnsi="黑体" w:eastAsia="黑体" w:cs="黑体"/>
          <w:sz w:val="19"/>
          <w:szCs w:val="19"/>
        </w:rPr>
      </w:pPr>
      <w:bookmarkStart w:id="617" w:name="bookmark602"/>
      <w:bookmarkEnd w:id="617"/>
      <w:r>
        <w:rPr>
          <w:b/>
          <w:bCs/>
          <w:color w:val="0074CE"/>
          <w:spacing w:val="7"/>
          <w:sz w:val="19"/>
          <w:szCs w:val="19"/>
        </w:rPr>
        <w:t>2.</w:t>
      </w:r>
      <w:r>
        <w:rPr>
          <w:rFonts w:ascii="黑体" w:hAnsi="黑体" w:eastAsia="黑体" w:cs="黑体"/>
          <w:b/>
          <w:bCs/>
          <w:color w:val="0074CE"/>
          <w:spacing w:val="7"/>
          <w:sz w:val="19"/>
          <w:szCs w:val="19"/>
        </w:rPr>
        <w:t>工程项目的质量控制体系</w:t>
      </w:r>
    </w:p>
    <w:p w14:paraId="0437C4D3">
      <w:pPr>
        <w:pStyle w:val="2"/>
        <w:spacing w:before="143" w:line="295" w:lineRule="auto"/>
        <w:ind w:left="380" w:right="67" w:firstLine="409"/>
        <w:rPr>
          <w:sz w:val="19"/>
          <w:szCs w:val="19"/>
        </w:rPr>
      </w:pPr>
      <w:r>
        <w:rPr>
          <w:spacing w:val="13"/>
          <w:sz w:val="19"/>
          <w:szCs w:val="19"/>
        </w:rPr>
        <w:t>项目的质量控制体系以承建单位的质量管理体系为主体，在项目</w:t>
      </w:r>
      <w:r>
        <w:rPr>
          <w:spacing w:val="12"/>
          <w:sz w:val="19"/>
          <w:szCs w:val="19"/>
        </w:rPr>
        <w:t>开始实施之前由承建单位</w:t>
      </w:r>
      <w:r>
        <w:rPr>
          <w:sz w:val="19"/>
          <w:szCs w:val="19"/>
        </w:rPr>
        <w:t xml:space="preserve"> </w:t>
      </w:r>
      <w:r>
        <w:rPr>
          <w:spacing w:val="13"/>
          <w:sz w:val="19"/>
          <w:szCs w:val="19"/>
        </w:rPr>
        <w:t>建立，监理单位对组织结构、工序管理、质量目标、自测制度等要素进行检查</w:t>
      </w:r>
      <w:r>
        <w:rPr>
          <w:spacing w:val="12"/>
          <w:sz w:val="19"/>
          <w:szCs w:val="19"/>
        </w:rPr>
        <w:t>。监理单位监控</w:t>
      </w:r>
      <w:r>
        <w:rPr>
          <w:sz w:val="19"/>
          <w:szCs w:val="19"/>
        </w:rPr>
        <w:t xml:space="preserve"> </w:t>
      </w:r>
      <w:r>
        <w:rPr>
          <w:spacing w:val="13"/>
          <w:sz w:val="19"/>
          <w:szCs w:val="19"/>
        </w:rPr>
        <w:t xml:space="preserve">质量控制体系的日常运行状况，包括设计质量控制、分项工程质量控制、质量控制分析、质量 </w:t>
      </w:r>
      <w:r>
        <w:rPr>
          <w:spacing w:val="8"/>
          <w:sz w:val="19"/>
          <w:szCs w:val="19"/>
        </w:rPr>
        <w:t>控制点检测等内容。监理单位核定工程的中间质量、监督阶段性验收，并参与竣工验收。</w:t>
      </w:r>
    </w:p>
    <w:p w14:paraId="647610B8">
      <w:pPr>
        <w:pStyle w:val="2"/>
        <w:spacing w:before="47" w:line="297" w:lineRule="auto"/>
        <w:ind w:left="380" w:right="87" w:firstLine="409"/>
        <w:rPr>
          <w:sz w:val="19"/>
          <w:szCs w:val="19"/>
        </w:rPr>
      </w:pPr>
      <w:r>
        <w:rPr>
          <w:spacing w:val="13"/>
          <w:sz w:val="19"/>
          <w:szCs w:val="19"/>
        </w:rPr>
        <w:t>项目的质量控制体系运行的主要目的是对信息系统工程的各种质</w:t>
      </w:r>
      <w:r>
        <w:rPr>
          <w:spacing w:val="12"/>
          <w:sz w:val="19"/>
          <w:szCs w:val="19"/>
        </w:rPr>
        <w:t>量进行监控和把握，发现</w:t>
      </w:r>
      <w:r>
        <w:rPr>
          <w:sz w:val="19"/>
          <w:szCs w:val="19"/>
        </w:rPr>
        <w:t xml:space="preserve"> </w:t>
      </w:r>
      <w:r>
        <w:rPr>
          <w:spacing w:val="9"/>
          <w:sz w:val="19"/>
          <w:szCs w:val="19"/>
        </w:rPr>
        <w:t>质量问题及时采取措施进行更正，保证工程的过程质量达到预期要求的</w:t>
      </w:r>
      <w:r>
        <w:rPr>
          <w:spacing w:val="8"/>
          <w:sz w:val="19"/>
          <w:szCs w:val="19"/>
        </w:rPr>
        <w:t>目标。</w:t>
      </w:r>
    </w:p>
    <w:p w14:paraId="628D114D">
      <w:pPr>
        <w:pStyle w:val="2"/>
        <w:spacing w:before="39" w:line="296" w:lineRule="auto"/>
        <w:ind w:left="380" w:firstLine="409"/>
        <w:rPr>
          <w:sz w:val="19"/>
          <w:szCs w:val="19"/>
        </w:rPr>
      </w:pPr>
      <w:r>
        <w:rPr>
          <w:spacing w:val="13"/>
          <w:sz w:val="19"/>
          <w:szCs w:val="19"/>
        </w:rPr>
        <w:t>工程项目的质量保证计划是在承建单位的质量管理计划的基础上建立起来的。信息系统工</w:t>
      </w:r>
      <w:r>
        <w:rPr>
          <w:spacing w:val="12"/>
          <w:sz w:val="19"/>
          <w:szCs w:val="19"/>
        </w:rPr>
        <w:t xml:space="preserve"> </w:t>
      </w:r>
      <w:r>
        <w:rPr>
          <w:spacing w:val="13"/>
          <w:sz w:val="19"/>
          <w:szCs w:val="19"/>
        </w:rPr>
        <w:t>程监理单位对承建单位质量控制方面的作用是检查承建单位质量管理体系的建</w:t>
      </w:r>
      <w:r>
        <w:rPr>
          <w:spacing w:val="12"/>
          <w:sz w:val="19"/>
          <w:szCs w:val="19"/>
        </w:rPr>
        <w:t>立情况，并对计</w:t>
      </w:r>
      <w:r>
        <w:rPr>
          <w:sz w:val="19"/>
          <w:szCs w:val="19"/>
        </w:rPr>
        <w:t xml:space="preserve">  </w:t>
      </w:r>
      <w:r>
        <w:rPr>
          <w:spacing w:val="13"/>
          <w:sz w:val="19"/>
          <w:szCs w:val="19"/>
        </w:rPr>
        <w:t>划的实施进行必要的监督和检查。在签订合同后，承建单位应按合同要求建立工程项</w:t>
      </w:r>
      <w:r>
        <w:rPr>
          <w:spacing w:val="12"/>
          <w:sz w:val="19"/>
          <w:szCs w:val="19"/>
        </w:rPr>
        <w:t>目质量管</w:t>
      </w:r>
      <w:r>
        <w:rPr>
          <w:sz w:val="19"/>
          <w:szCs w:val="19"/>
        </w:rPr>
        <w:t xml:space="preserve">  </w:t>
      </w:r>
      <w:r>
        <w:rPr>
          <w:spacing w:val="15"/>
          <w:sz w:val="19"/>
          <w:szCs w:val="19"/>
        </w:rPr>
        <w:t>理体系。承建单位要满足业主单位的使用功能要求，并符合质量标准、技术规范及现行法</w:t>
      </w:r>
      <w:r>
        <w:rPr>
          <w:spacing w:val="14"/>
          <w:sz w:val="19"/>
          <w:szCs w:val="19"/>
        </w:rPr>
        <w:t>规。</w:t>
      </w:r>
      <w:r>
        <w:rPr>
          <w:sz w:val="19"/>
          <w:szCs w:val="19"/>
        </w:rPr>
        <w:t xml:space="preserve"> </w:t>
      </w:r>
      <w:r>
        <w:rPr>
          <w:spacing w:val="8"/>
          <w:sz w:val="19"/>
          <w:szCs w:val="19"/>
        </w:rPr>
        <w:t>质量管理体系要满足业主单位和承建单位双方的需要。</w:t>
      </w:r>
    </w:p>
    <w:p w14:paraId="24809D03">
      <w:pPr>
        <w:pStyle w:val="2"/>
        <w:spacing w:before="26" w:line="296" w:lineRule="auto"/>
        <w:ind w:left="380" w:right="82" w:firstLine="409"/>
        <w:rPr>
          <w:sz w:val="19"/>
          <w:szCs w:val="19"/>
        </w:rPr>
      </w:pPr>
      <w:r>
        <w:rPr>
          <w:spacing w:val="13"/>
          <w:sz w:val="19"/>
          <w:szCs w:val="19"/>
        </w:rPr>
        <w:t>在信息系统工程建设过程中，针对不同的项目，承建单位在需求分析</w:t>
      </w:r>
      <w:r>
        <w:rPr>
          <w:spacing w:val="12"/>
          <w:sz w:val="19"/>
          <w:szCs w:val="19"/>
        </w:rPr>
        <w:t>、方案设计、软件代</w:t>
      </w:r>
      <w:r>
        <w:rPr>
          <w:sz w:val="19"/>
          <w:szCs w:val="19"/>
        </w:rPr>
        <w:t xml:space="preserve"> </w:t>
      </w:r>
      <w:r>
        <w:rPr>
          <w:spacing w:val="13"/>
          <w:sz w:val="19"/>
          <w:szCs w:val="19"/>
        </w:rPr>
        <w:t>码设计、阶段测试、验收等不同阶段的管理模式会有所不同，质量管理体系的内容</w:t>
      </w:r>
      <w:r>
        <w:rPr>
          <w:spacing w:val="12"/>
          <w:sz w:val="19"/>
          <w:szCs w:val="19"/>
        </w:rPr>
        <w:t>也应该具有</w:t>
      </w:r>
      <w:r>
        <w:rPr>
          <w:sz w:val="19"/>
          <w:szCs w:val="19"/>
        </w:rPr>
        <w:t xml:space="preserve"> </w:t>
      </w:r>
      <w:r>
        <w:rPr>
          <w:spacing w:val="13"/>
          <w:sz w:val="19"/>
          <w:szCs w:val="19"/>
        </w:rPr>
        <w:t>针对性。在信息系统工程建设的整个形成过程中，设计和实施是最关键也是最</w:t>
      </w:r>
      <w:r>
        <w:rPr>
          <w:spacing w:val="12"/>
          <w:sz w:val="19"/>
          <w:szCs w:val="19"/>
        </w:rPr>
        <w:t>复杂的环节。监</w:t>
      </w:r>
      <w:r>
        <w:rPr>
          <w:sz w:val="19"/>
          <w:szCs w:val="19"/>
        </w:rPr>
        <w:t xml:space="preserve"> </w:t>
      </w:r>
      <w:r>
        <w:rPr>
          <w:spacing w:val="13"/>
          <w:sz w:val="19"/>
          <w:szCs w:val="19"/>
        </w:rPr>
        <w:t>理将着重依据承建单位的质量管理体系进行监理，承建单位应结合建设项目的具体特点，</w:t>
      </w:r>
      <w:r>
        <w:rPr>
          <w:spacing w:val="12"/>
          <w:sz w:val="19"/>
          <w:szCs w:val="19"/>
        </w:rPr>
        <w:t>制定</w:t>
      </w:r>
      <w:r>
        <w:rPr>
          <w:sz w:val="19"/>
          <w:szCs w:val="19"/>
        </w:rPr>
        <w:t xml:space="preserve"> </w:t>
      </w:r>
      <w:r>
        <w:rPr>
          <w:spacing w:val="9"/>
          <w:sz w:val="19"/>
          <w:szCs w:val="19"/>
        </w:rPr>
        <w:t>一套行之有效的质量管理体系进行相应的质量管理工作。</w:t>
      </w:r>
    </w:p>
    <w:p w14:paraId="366E8D21">
      <w:pPr>
        <w:pStyle w:val="2"/>
        <w:spacing w:before="58" w:line="219" w:lineRule="auto"/>
        <w:ind w:left="790"/>
        <w:rPr>
          <w:sz w:val="19"/>
          <w:szCs w:val="19"/>
        </w:rPr>
      </w:pPr>
      <w:r>
        <w:rPr>
          <w:spacing w:val="6"/>
          <w:sz w:val="19"/>
          <w:szCs w:val="19"/>
        </w:rPr>
        <w:t>承建单位质量管理体系的主要内容应包括：</w:t>
      </w:r>
    </w:p>
    <w:p w14:paraId="24FFDB54">
      <w:pPr>
        <w:pStyle w:val="2"/>
        <w:spacing w:before="85" w:line="219" w:lineRule="auto"/>
        <w:ind w:left="790"/>
        <w:rPr>
          <w:sz w:val="19"/>
          <w:szCs w:val="19"/>
        </w:rPr>
      </w:pPr>
      <w:r>
        <w:rPr>
          <w:spacing w:val="13"/>
          <w:sz w:val="19"/>
          <w:szCs w:val="19"/>
        </w:rPr>
        <w:t>(1)制订明确的质量计划。</w:t>
      </w:r>
    </w:p>
    <w:p w14:paraId="2B5FE116">
      <w:pPr>
        <w:pStyle w:val="2"/>
        <w:spacing w:before="95" w:line="292" w:lineRule="auto"/>
        <w:ind w:left="380" w:right="87" w:firstLine="409"/>
        <w:rPr>
          <w:sz w:val="19"/>
          <w:szCs w:val="19"/>
        </w:rPr>
      </w:pPr>
      <w:r>
        <w:rPr>
          <w:spacing w:val="13"/>
          <w:sz w:val="19"/>
          <w:szCs w:val="19"/>
        </w:rPr>
        <w:t>根据合同要求的质量目标，承建单位应制订相应的质量计划，既</w:t>
      </w:r>
      <w:r>
        <w:rPr>
          <w:spacing w:val="12"/>
          <w:sz w:val="19"/>
          <w:szCs w:val="19"/>
        </w:rPr>
        <w:t>要有提高工程质量的综合</w:t>
      </w:r>
      <w:r>
        <w:rPr>
          <w:sz w:val="19"/>
          <w:szCs w:val="19"/>
        </w:rPr>
        <w:t xml:space="preserve"> </w:t>
      </w:r>
      <w:r>
        <w:rPr>
          <w:spacing w:val="13"/>
          <w:sz w:val="19"/>
          <w:szCs w:val="19"/>
        </w:rPr>
        <w:t>计划，又要有分项目、分部门的具体计划，形成一套完整的质量计划体系，并</w:t>
      </w:r>
      <w:r>
        <w:rPr>
          <w:spacing w:val="12"/>
          <w:sz w:val="19"/>
          <w:szCs w:val="19"/>
        </w:rPr>
        <w:t>且有检查、有分</w:t>
      </w:r>
      <w:r>
        <w:rPr>
          <w:sz w:val="19"/>
          <w:szCs w:val="19"/>
        </w:rPr>
        <w:t xml:space="preserve"> </w:t>
      </w:r>
      <w:r>
        <w:rPr>
          <w:spacing w:val="7"/>
          <w:sz w:val="19"/>
          <w:szCs w:val="19"/>
        </w:rPr>
        <w:t>析。承建单位领导应对质量计划的制订负全面的责任。</w:t>
      </w:r>
    </w:p>
    <w:p w14:paraId="23D9E5B4">
      <w:pPr>
        <w:pStyle w:val="2"/>
        <w:spacing w:before="26" w:line="219" w:lineRule="auto"/>
        <w:ind w:left="790"/>
        <w:rPr>
          <w:sz w:val="19"/>
          <w:szCs w:val="19"/>
        </w:rPr>
      </w:pPr>
      <w:r>
        <w:rPr>
          <w:spacing w:val="11"/>
          <w:sz w:val="19"/>
          <w:szCs w:val="19"/>
        </w:rPr>
        <w:t>(2)建立和健全专职质量管理机构。</w:t>
      </w:r>
    </w:p>
    <w:p w14:paraId="72D27CE2">
      <w:pPr>
        <w:pStyle w:val="2"/>
        <w:spacing w:before="95" w:line="279" w:lineRule="auto"/>
        <w:ind w:left="380" w:right="73" w:firstLine="409"/>
        <w:rPr>
          <w:sz w:val="19"/>
          <w:szCs w:val="19"/>
        </w:rPr>
      </w:pPr>
      <w:r>
        <w:rPr>
          <w:spacing w:val="13"/>
          <w:sz w:val="19"/>
          <w:szCs w:val="19"/>
        </w:rPr>
        <w:t>它的作用在于统一组织、计划、协调、综合质量管理体系的活动，检查、督促各部门的质</w:t>
      </w:r>
      <w:r>
        <w:rPr>
          <w:spacing w:val="3"/>
          <w:sz w:val="19"/>
          <w:szCs w:val="19"/>
        </w:rPr>
        <w:t xml:space="preserve"> </w:t>
      </w:r>
      <w:r>
        <w:rPr>
          <w:spacing w:val="7"/>
          <w:sz w:val="19"/>
          <w:szCs w:val="19"/>
        </w:rPr>
        <w:t>量管理职能，开展质量管理教育和组织质量管理活动。</w:t>
      </w:r>
    </w:p>
    <w:p w14:paraId="216A79BE">
      <w:pPr>
        <w:pStyle w:val="2"/>
        <w:spacing w:before="27" w:line="219" w:lineRule="auto"/>
        <w:ind w:left="790"/>
        <w:rPr>
          <w:sz w:val="19"/>
          <w:szCs w:val="19"/>
        </w:rPr>
      </w:pPr>
      <w:r>
        <w:rPr>
          <w:spacing w:val="11"/>
          <w:sz w:val="19"/>
          <w:szCs w:val="19"/>
        </w:rPr>
        <w:t>(3)实现管理业务标准化，管理流程程序化。</w:t>
      </w:r>
    </w:p>
    <w:p w14:paraId="425F437B">
      <w:pPr>
        <w:pStyle w:val="2"/>
        <w:spacing w:before="83" w:line="283" w:lineRule="auto"/>
        <w:ind w:left="380" w:right="84" w:firstLine="409"/>
        <w:rPr>
          <w:sz w:val="19"/>
          <w:szCs w:val="19"/>
        </w:rPr>
      </w:pPr>
      <w:r>
        <w:rPr>
          <w:spacing w:val="13"/>
          <w:sz w:val="19"/>
          <w:szCs w:val="19"/>
        </w:rPr>
        <w:t>实施质量管理的许多活动都是重复发生的，具有一定的规律性。把这些</w:t>
      </w:r>
      <w:r>
        <w:rPr>
          <w:spacing w:val="12"/>
          <w:sz w:val="19"/>
          <w:szCs w:val="19"/>
        </w:rPr>
        <w:t>重复出现的质量管</w:t>
      </w:r>
      <w:r>
        <w:rPr>
          <w:sz w:val="19"/>
          <w:szCs w:val="19"/>
        </w:rPr>
        <w:t xml:space="preserve"> </w:t>
      </w:r>
      <w:r>
        <w:rPr>
          <w:spacing w:val="13"/>
          <w:sz w:val="19"/>
          <w:szCs w:val="19"/>
        </w:rPr>
        <w:t>理业务，按照客观要求分类归纳，并将处理办法定为规章制度，作为员工行</w:t>
      </w:r>
      <w:r>
        <w:rPr>
          <w:spacing w:val="12"/>
          <w:sz w:val="19"/>
          <w:szCs w:val="19"/>
        </w:rPr>
        <w:t>动准则，使管理业</w:t>
      </w:r>
      <w:r>
        <w:rPr>
          <w:sz w:val="19"/>
          <w:szCs w:val="19"/>
        </w:rPr>
        <w:t xml:space="preserve"> </w:t>
      </w:r>
      <w:r>
        <w:rPr>
          <w:spacing w:val="13"/>
          <w:sz w:val="19"/>
          <w:szCs w:val="19"/>
        </w:rPr>
        <w:t>务标准化。把管理业务处理过程所经过的各环节、各管理岗位、先后工作步骤</w:t>
      </w:r>
      <w:r>
        <w:rPr>
          <w:spacing w:val="12"/>
          <w:sz w:val="19"/>
          <w:szCs w:val="19"/>
        </w:rPr>
        <w:t>等经过分析、研</w:t>
      </w:r>
    </w:p>
    <w:p w14:paraId="6BBAC943">
      <w:pPr>
        <w:spacing w:line="283" w:lineRule="auto"/>
        <w:rPr>
          <w:sz w:val="19"/>
          <w:szCs w:val="19"/>
        </w:rPr>
        <w:sectPr>
          <w:pgSz w:w="10300" w:h="13410"/>
          <w:pgMar w:top="400" w:right="1004" w:bottom="400" w:left="509" w:header="0" w:footer="0" w:gutter="0"/>
          <w:cols w:space="720" w:num="1"/>
        </w:sectPr>
      </w:pPr>
    </w:p>
    <w:p w14:paraId="462D75C0">
      <w:pPr>
        <w:pStyle w:val="2"/>
        <w:spacing w:before="47" w:line="220" w:lineRule="auto"/>
        <w:jc w:val="right"/>
        <w:rPr>
          <w:rFonts w:ascii="Times New Roman" w:hAnsi="Times New Roman" w:eastAsia="Times New Roman" w:cs="Times New Roman"/>
          <w:sz w:val="20"/>
          <w:szCs w:val="20"/>
        </w:rPr>
      </w:pPr>
      <w:bookmarkStart w:id="618" w:name="bookmark603"/>
      <w:bookmarkEnd w:id="618"/>
      <w:r>
        <w:rPr>
          <w:spacing w:val="1"/>
          <w:sz w:val="20"/>
          <w:szCs w:val="20"/>
        </w:rPr>
        <w:t>第10章</w:t>
      </w:r>
      <w:r>
        <w:rPr>
          <w:spacing w:val="20"/>
          <w:sz w:val="20"/>
          <w:szCs w:val="20"/>
        </w:rPr>
        <w:t xml:space="preserve"> </w:t>
      </w:r>
      <w:r>
        <w:rPr>
          <w:spacing w:val="1"/>
          <w:sz w:val="20"/>
          <w:szCs w:val="20"/>
        </w:rPr>
        <w:t>质量控制</w:t>
      </w:r>
      <w:r>
        <w:rPr>
          <w:spacing w:val="12"/>
          <w:sz w:val="20"/>
          <w:szCs w:val="20"/>
        </w:rPr>
        <w:t xml:space="preserve">     </w:t>
      </w:r>
      <w:r>
        <w:rPr>
          <w:rFonts w:ascii="Times New Roman" w:hAnsi="Times New Roman" w:eastAsia="Times New Roman" w:cs="Times New Roman"/>
          <w:spacing w:val="1"/>
          <w:position w:val="-4"/>
          <w:sz w:val="20"/>
          <w:szCs w:val="20"/>
        </w:rPr>
        <w:t>247</w:t>
      </w:r>
    </w:p>
    <w:p w14:paraId="437677CD">
      <w:pPr>
        <w:spacing w:line="280" w:lineRule="auto"/>
        <w:rPr>
          <w:rFonts w:ascii="Arial"/>
          <w:sz w:val="21"/>
        </w:rPr>
      </w:pPr>
    </w:p>
    <w:p w14:paraId="63BF544B">
      <w:pPr>
        <w:pStyle w:val="2"/>
        <w:spacing w:before="65" w:line="265" w:lineRule="auto"/>
        <w:ind w:right="293"/>
        <w:rPr>
          <w:sz w:val="20"/>
          <w:szCs w:val="20"/>
        </w:rPr>
      </w:pPr>
      <w:r>
        <w:rPr>
          <w:spacing w:val="3"/>
          <w:sz w:val="20"/>
          <w:szCs w:val="20"/>
        </w:rPr>
        <w:t>究、改进，定为标准的管理程序，使管理流程程序化，使组织全体人员都严格遵循统一的</w:t>
      </w:r>
      <w:r>
        <w:rPr>
          <w:spacing w:val="2"/>
          <w:sz w:val="20"/>
          <w:szCs w:val="20"/>
        </w:rPr>
        <w:t>制度</w:t>
      </w:r>
      <w:r>
        <w:rPr>
          <w:sz w:val="20"/>
          <w:szCs w:val="20"/>
        </w:rPr>
        <w:t xml:space="preserve"> </w:t>
      </w:r>
      <w:r>
        <w:rPr>
          <w:spacing w:val="-6"/>
          <w:sz w:val="20"/>
          <w:szCs w:val="20"/>
        </w:rPr>
        <w:t>和工作程序。</w:t>
      </w:r>
    </w:p>
    <w:p w14:paraId="686DFC03">
      <w:pPr>
        <w:pStyle w:val="2"/>
        <w:spacing w:before="36" w:line="219" w:lineRule="auto"/>
        <w:ind w:left="409"/>
        <w:rPr>
          <w:sz w:val="20"/>
          <w:szCs w:val="20"/>
        </w:rPr>
      </w:pPr>
      <w:r>
        <w:rPr>
          <w:spacing w:val="3"/>
          <w:sz w:val="20"/>
          <w:szCs w:val="20"/>
        </w:rPr>
        <w:t>(4)配备必要的资源条件。</w:t>
      </w:r>
    </w:p>
    <w:p w14:paraId="668800AD">
      <w:pPr>
        <w:pStyle w:val="2"/>
        <w:spacing w:before="93" w:line="277" w:lineRule="auto"/>
        <w:ind w:right="289" w:firstLine="409"/>
        <w:rPr>
          <w:sz w:val="20"/>
          <w:szCs w:val="20"/>
        </w:rPr>
      </w:pPr>
      <w:r>
        <w:rPr>
          <w:spacing w:val="3"/>
          <w:sz w:val="20"/>
          <w:szCs w:val="20"/>
        </w:rPr>
        <w:t>资源主要包括人力、设备和质量检测手段等。实施信息系统工程的项目建设，承建</w:t>
      </w:r>
      <w:r>
        <w:rPr>
          <w:spacing w:val="2"/>
          <w:sz w:val="20"/>
          <w:szCs w:val="20"/>
        </w:rPr>
        <w:t>单位的</w:t>
      </w:r>
      <w:r>
        <w:rPr>
          <w:sz w:val="20"/>
          <w:szCs w:val="20"/>
        </w:rPr>
        <w:t xml:space="preserve"> </w:t>
      </w:r>
      <w:r>
        <w:rPr>
          <w:spacing w:val="3"/>
          <w:sz w:val="20"/>
          <w:szCs w:val="20"/>
        </w:rPr>
        <w:t>人力配备要制订一套科学、合理的人力资源计划，与项目实施计划配套，根据项目实施过程的</w:t>
      </w:r>
      <w:r>
        <w:rPr>
          <w:spacing w:val="1"/>
          <w:sz w:val="20"/>
          <w:szCs w:val="20"/>
        </w:rPr>
        <w:t xml:space="preserve"> </w:t>
      </w:r>
      <w:r>
        <w:rPr>
          <w:spacing w:val="-2"/>
          <w:sz w:val="20"/>
          <w:szCs w:val="20"/>
        </w:rPr>
        <w:t>不同，针对项目特点，合理地调配人员，确保项目顺利进行。</w:t>
      </w:r>
    </w:p>
    <w:p w14:paraId="6F2B707B">
      <w:pPr>
        <w:pStyle w:val="2"/>
        <w:spacing w:before="46" w:line="280" w:lineRule="auto"/>
        <w:ind w:right="289" w:firstLine="409"/>
        <w:rPr>
          <w:sz w:val="20"/>
          <w:szCs w:val="20"/>
        </w:rPr>
      </w:pPr>
      <w:r>
        <w:rPr>
          <w:spacing w:val="3"/>
          <w:sz w:val="20"/>
          <w:szCs w:val="20"/>
        </w:rPr>
        <w:t>设备和应用环境是保证项目进行的基础条件之</w:t>
      </w:r>
      <w:r>
        <w:rPr>
          <w:spacing w:val="2"/>
          <w:sz w:val="20"/>
          <w:szCs w:val="20"/>
        </w:rPr>
        <w:t>一，可以根据项目合同要求，依据具体情况</w:t>
      </w:r>
      <w:r>
        <w:rPr>
          <w:sz w:val="20"/>
          <w:szCs w:val="20"/>
        </w:rPr>
        <w:t xml:space="preserve"> </w:t>
      </w:r>
      <w:r>
        <w:rPr>
          <w:spacing w:val="3"/>
          <w:sz w:val="20"/>
          <w:szCs w:val="20"/>
        </w:rPr>
        <w:t>的不同，制订不同的策略计划。鉴于信息系统工程的特点，承建单位可能无法</w:t>
      </w:r>
      <w:r>
        <w:rPr>
          <w:spacing w:val="2"/>
          <w:sz w:val="20"/>
          <w:szCs w:val="20"/>
        </w:rPr>
        <w:t>构建与业主单位</w:t>
      </w:r>
      <w:r>
        <w:rPr>
          <w:sz w:val="20"/>
          <w:szCs w:val="20"/>
        </w:rPr>
        <w:t xml:space="preserve"> </w:t>
      </w:r>
      <w:r>
        <w:rPr>
          <w:spacing w:val="3"/>
          <w:sz w:val="20"/>
          <w:szCs w:val="20"/>
        </w:rPr>
        <w:t>完全相同的设备和应用环境，如果一定要利用业主单位的设备和应用环境进行调试或测试，必</w:t>
      </w:r>
      <w:r>
        <w:rPr>
          <w:spacing w:val="2"/>
          <w:sz w:val="20"/>
          <w:szCs w:val="20"/>
        </w:rPr>
        <w:t xml:space="preserve"> </w:t>
      </w:r>
      <w:r>
        <w:rPr>
          <w:spacing w:val="-3"/>
          <w:sz w:val="20"/>
          <w:szCs w:val="20"/>
        </w:rPr>
        <w:t>须在合同或协议中阐明相关内容。</w:t>
      </w:r>
    </w:p>
    <w:p w14:paraId="1E3A66D2">
      <w:pPr>
        <w:pStyle w:val="2"/>
        <w:spacing w:before="49" w:line="279" w:lineRule="auto"/>
        <w:ind w:right="293" w:firstLine="409"/>
        <w:rPr>
          <w:sz w:val="20"/>
          <w:szCs w:val="20"/>
        </w:rPr>
      </w:pPr>
      <w:r>
        <w:rPr>
          <w:spacing w:val="3"/>
          <w:sz w:val="20"/>
          <w:szCs w:val="20"/>
        </w:rPr>
        <w:t>承建单位应具备必要的质量检测手段的资源条件，包括在应用环境中对采用</w:t>
      </w:r>
      <w:r>
        <w:rPr>
          <w:spacing w:val="2"/>
          <w:sz w:val="20"/>
          <w:szCs w:val="20"/>
        </w:rPr>
        <w:t>其他厂商的产</w:t>
      </w:r>
      <w:r>
        <w:rPr>
          <w:sz w:val="20"/>
          <w:szCs w:val="20"/>
        </w:rPr>
        <w:t xml:space="preserve"> </w:t>
      </w:r>
      <w:r>
        <w:rPr>
          <w:spacing w:val="3"/>
          <w:sz w:val="20"/>
          <w:szCs w:val="20"/>
        </w:rPr>
        <w:t>品做必要检测的设备和软件工具，在软件开发过程中进行测试的必要环境和工具</w:t>
      </w:r>
      <w:r>
        <w:rPr>
          <w:spacing w:val="2"/>
          <w:sz w:val="20"/>
          <w:szCs w:val="20"/>
        </w:rPr>
        <w:t>。具备相关技</w:t>
      </w:r>
      <w:r>
        <w:rPr>
          <w:sz w:val="20"/>
          <w:szCs w:val="20"/>
        </w:rPr>
        <w:t xml:space="preserve"> </w:t>
      </w:r>
      <w:r>
        <w:rPr>
          <w:spacing w:val="3"/>
          <w:sz w:val="20"/>
          <w:szCs w:val="20"/>
        </w:rPr>
        <w:t>术能力的承建单位一定要具备或建设与之相适应的试验室或检测室等基础设施，</w:t>
      </w:r>
      <w:r>
        <w:rPr>
          <w:spacing w:val="2"/>
          <w:sz w:val="20"/>
          <w:szCs w:val="20"/>
        </w:rPr>
        <w:t>或有第三方检</w:t>
      </w:r>
      <w:r>
        <w:rPr>
          <w:sz w:val="20"/>
          <w:szCs w:val="20"/>
        </w:rPr>
        <w:t xml:space="preserve"> </w:t>
      </w:r>
      <w:r>
        <w:rPr>
          <w:spacing w:val="-5"/>
          <w:sz w:val="20"/>
          <w:szCs w:val="20"/>
        </w:rPr>
        <w:t>测机构的支持。</w:t>
      </w:r>
    </w:p>
    <w:p w14:paraId="582024C3">
      <w:pPr>
        <w:pStyle w:val="2"/>
        <w:spacing w:before="51" w:line="219" w:lineRule="auto"/>
        <w:ind w:left="409"/>
        <w:rPr>
          <w:sz w:val="20"/>
          <w:szCs w:val="20"/>
        </w:rPr>
      </w:pPr>
      <w:r>
        <w:rPr>
          <w:spacing w:val="2"/>
          <w:sz w:val="20"/>
          <w:szCs w:val="20"/>
        </w:rPr>
        <w:t>(5)建立一套灵敏的质量信息反馈系统。</w:t>
      </w:r>
    </w:p>
    <w:p w14:paraId="46C496CA">
      <w:pPr>
        <w:pStyle w:val="2"/>
        <w:spacing w:before="83" w:line="282" w:lineRule="auto"/>
        <w:ind w:right="205" w:firstLine="409"/>
        <w:rPr>
          <w:sz w:val="20"/>
          <w:szCs w:val="20"/>
        </w:rPr>
      </w:pPr>
      <w:r>
        <w:rPr>
          <w:sz w:val="20"/>
          <w:szCs w:val="20"/>
        </w:rPr>
        <w:t>工程质量的形成过程伴随着大量与质量有关的信息，这些质量信息是进行质量管理的依</w:t>
      </w:r>
      <w:r>
        <w:rPr>
          <w:spacing w:val="-1"/>
          <w:sz w:val="20"/>
          <w:szCs w:val="20"/>
        </w:rPr>
        <w:t>据。</w:t>
      </w:r>
      <w:r>
        <w:rPr>
          <w:sz w:val="20"/>
          <w:szCs w:val="20"/>
        </w:rPr>
        <w:t xml:space="preserve"> </w:t>
      </w:r>
      <w:r>
        <w:rPr>
          <w:spacing w:val="3"/>
          <w:sz w:val="20"/>
          <w:szCs w:val="20"/>
        </w:rPr>
        <w:t>质量管理就是质量管理相关部门根据质量信息协调和控制质量活动的过程。没有信</w:t>
      </w:r>
      <w:r>
        <w:rPr>
          <w:spacing w:val="2"/>
          <w:sz w:val="20"/>
          <w:szCs w:val="20"/>
        </w:rPr>
        <w:t>息反馈就没</w:t>
      </w:r>
      <w:r>
        <w:rPr>
          <w:sz w:val="20"/>
          <w:szCs w:val="20"/>
        </w:rPr>
        <w:t xml:space="preserve">  有质量管理。建立和健全信息反馈系统，一定要抓好信息的流转环节，注意和掌握数据的检测、</w:t>
      </w:r>
      <w:r>
        <w:rPr>
          <w:spacing w:val="8"/>
          <w:sz w:val="20"/>
          <w:szCs w:val="20"/>
        </w:rPr>
        <w:t xml:space="preserve"> </w:t>
      </w:r>
      <w:r>
        <w:rPr>
          <w:spacing w:val="3"/>
          <w:sz w:val="20"/>
          <w:szCs w:val="20"/>
        </w:rPr>
        <w:t>收集、处理、传递和存储。信息运动的流动速度要快，效率要高。在交付使用</w:t>
      </w:r>
      <w:r>
        <w:rPr>
          <w:spacing w:val="2"/>
          <w:sz w:val="20"/>
          <w:szCs w:val="20"/>
        </w:rPr>
        <w:t>之后，要在保修</w:t>
      </w:r>
      <w:r>
        <w:rPr>
          <w:sz w:val="20"/>
          <w:szCs w:val="20"/>
        </w:rPr>
        <w:t xml:space="preserve">  </w:t>
      </w:r>
      <w:r>
        <w:rPr>
          <w:spacing w:val="3"/>
          <w:sz w:val="20"/>
          <w:szCs w:val="20"/>
        </w:rPr>
        <w:t>期内，由监理工程师带领有关人员到业主单位进行调查访问，听取使用部门或</w:t>
      </w:r>
      <w:r>
        <w:rPr>
          <w:spacing w:val="2"/>
          <w:sz w:val="20"/>
          <w:szCs w:val="20"/>
        </w:rPr>
        <w:t>用户对工程质量</w:t>
      </w:r>
      <w:r>
        <w:rPr>
          <w:sz w:val="20"/>
          <w:szCs w:val="20"/>
        </w:rPr>
        <w:t xml:space="preserve">  </w:t>
      </w:r>
      <w:r>
        <w:rPr>
          <w:spacing w:val="3"/>
          <w:sz w:val="20"/>
          <w:szCs w:val="20"/>
        </w:rPr>
        <w:t>的意见，深入了解工程的实际使用效果，从中发现工程质量存在的问题，分析原因</w:t>
      </w:r>
      <w:r>
        <w:rPr>
          <w:spacing w:val="2"/>
          <w:sz w:val="20"/>
          <w:szCs w:val="20"/>
        </w:rPr>
        <w:t>，为进一步</w:t>
      </w:r>
      <w:r>
        <w:rPr>
          <w:sz w:val="20"/>
          <w:szCs w:val="20"/>
        </w:rPr>
        <w:t xml:space="preserve">  </w:t>
      </w:r>
      <w:r>
        <w:rPr>
          <w:spacing w:val="-3"/>
          <w:sz w:val="20"/>
          <w:szCs w:val="20"/>
        </w:rPr>
        <w:t>改进工程的实施质量提供依据。</w:t>
      </w:r>
    </w:p>
    <w:p w14:paraId="31C13B4C">
      <w:pPr>
        <w:spacing w:line="287" w:lineRule="auto"/>
        <w:rPr>
          <w:rFonts w:ascii="Arial"/>
          <w:sz w:val="21"/>
        </w:rPr>
      </w:pPr>
    </w:p>
    <w:p w14:paraId="321E63D4">
      <w:pPr>
        <w:pStyle w:val="2"/>
        <w:spacing w:before="91" w:line="222" w:lineRule="auto"/>
        <w:ind w:left="4"/>
        <w:rPr>
          <w:rFonts w:ascii="黑体" w:hAnsi="黑体" w:eastAsia="黑体" w:cs="黑体"/>
          <w:sz w:val="28"/>
          <w:szCs w:val="28"/>
        </w:rPr>
      </w:pPr>
      <w:r>
        <w:rPr>
          <w:b/>
          <w:bCs/>
          <w:color w:val="0056D8"/>
          <w:spacing w:val="-6"/>
          <w:sz w:val="28"/>
          <w:szCs w:val="28"/>
        </w:rPr>
        <w:t>10.4</w:t>
      </w:r>
      <w:r>
        <w:rPr>
          <w:color w:val="0056D8"/>
          <w:spacing w:val="-6"/>
          <w:sz w:val="28"/>
          <w:szCs w:val="28"/>
        </w:rPr>
        <w:t xml:space="preserve">  </w:t>
      </w:r>
      <w:r>
        <w:rPr>
          <w:rFonts w:ascii="黑体" w:hAnsi="黑体" w:eastAsia="黑体" w:cs="黑体"/>
          <w:b/>
          <w:bCs/>
          <w:color w:val="0056D8"/>
          <w:spacing w:val="-6"/>
          <w:sz w:val="28"/>
          <w:szCs w:val="28"/>
        </w:rPr>
        <w:t>质量控制手段</w:t>
      </w:r>
    </w:p>
    <w:p w14:paraId="5DBCF548">
      <w:pPr>
        <w:pStyle w:val="2"/>
        <w:spacing w:before="264" w:line="219" w:lineRule="auto"/>
        <w:ind w:left="409"/>
        <w:rPr>
          <w:sz w:val="20"/>
          <w:szCs w:val="20"/>
        </w:rPr>
      </w:pPr>
      <w:r>
        <w:rPr>
          <w:spacing w:val="-2"/>
          <w:sz w:val="20"/>
          <w:szCs w:val="20"/>
        </w:rPr>
        <w:t>监理工作过程中常用的质量控制手段包括评审、测试、旁站、抽查等。</w:t>
      </w:r>
    </w:p>
    <w:p w14:paraId="7E206911">
      <w:pPr>
        <w:pStyle w:val="2"/>
        <w:spacing w:before="232" w:line="220" w:lineRule="auto"/>
        <w:ind w:left="3"/>
        <w:rPr>
          <w:sz w:val="25"/>
          <w:szCs w:val="25"/>
        </w:rPr>
      </w:pPr>
      <w:r>
        <w:rPr>
          <w:b/>
          <w:bCs/>
          <w:color w:val="005CE7"/>
          <w:spacing w:val="-19"/>
          <w:sz w:val="25"/>
          <w:szCs w:val="25"/>
        </w:rPr>
        <w:t>10.4.1</w:t>
      </w:r>
      <w:r>
        <w:rPr>
          <w:color w:val="005CE7"/>
          <w:spacing w:val="-19"/>
          <w:sz w:val="25"/>
          <w:szCs w:val="25"/>
        </w:rPr>
        <w:t xml:space="preserve">  </w:t>
      </w:r>
      <w:r>
        <w:rPr>
          <w:b/>
          <w:bCs/>
          <w:color w:val="005CE7"/>
          <w:spacing w:val="-19"/>
          <w:sz w:val="25"/>
          <w:szCs w:val="25"/>
        </w:rPr>
        <w:t>评审</w:t>
      </w:r>
    </w:p>
    <w:p w14:paraId="1C8D9D49">
      <w:pPr>
        <w:pStyle w:val="2"/>
        <w:spacing w:before="173" w:line="268" w:lineRule="auto"/>
        <w:ind w:right="273" w:firstLine="409"/>
        <w:jc w:val="both"/>
        <w:rPr>
          <w:sz w:val="20"/>
          <w:szCs w:val="20"/>
        </w:rPr>
      </w:pPr>
      <w:r>
        <w:rPr>
          <w:spacing w:val="3"/>
          <w:sz w:val="20"/>
          <w:szCs w:val="20"/>
        </w:rPr>
        <w:t>评审的主要目的是本着公平、公正的原则检查项目的当前状态。项目评审一般在主要的项</w:t>
      </w:r>
      <w:r>
        <w:rPr>
          <w:spacing w:val="14"/>
          <w:sz w:val="20"/>
          <w:szCs w:val="20"/>
        </w:rPr>
        <w:t xml:space="preserve"> </w:t>
      </w:r>
      <w:r>
        <w:rPr>
          <w:spacing w:val="3"/>
          <w:sz w:val="20"/>
          <w:szCs w:val="20"/>
        </w:rPr>
        <w:t>目里程碑接近完成时进行，例如总体设计、产品设计、编码或测试完成时。通过评审可</w:t>
      </w:r>
      <w:r>
        <w:rPr>
          <w:spacing w:val="2"/>
          <w:sz w:val="20"/>
          <w:szCs w:val="20"/>
        </w:rPr>
        <w:t>以及时</w:t>
      </w:r>
      <w:r>
        <w:rPr>
          <w:sz w:val="20"/>
          <w:szCs w:val="20"/>
        </w:rPr>
        <w:t xml:space="preserve"> </w:t>
      </w:r>
      <w:r>
        <w:rPr>
          <w:spacing w:val="-3"/>
          <w:sz w:val="20"/>
          <w:szCs w:val="20"/>
        </w:rPr>
        <w:t>发现重大问题，并给出处理意见。</w:t>
      </w:r>
    </w:p>
    <w:p w14:paraId="47995A1B">
      <w:pPr>
        <w:pStyle w:val="2"/>
        <w:spacing w:before="135" w:line="222" w:lineRule="auto"/>
        <w:ind w:left="412"/>
        <w:rPr>
          <w:rFonts w:ascii="黑体" w:hAnsi="黑体" w:eastAsia="黑体" w:cs="黑体"/>
          <w:sz w:val="20"/>
          <w:szCs w:val="20"/>
        </w:rPr>
      </w:pPr>
      <w:r>
        <w:rPr>
          <w:b/>
          <w:bCs/>
          <w:color w:val="0065EA"/>
          <w:sz w:val="20"/>
          <w:szCs w:val="20"/>
        </w:rPr>
        <w:t>1.</w:t>
      </w:r>
      <w:r>
        <w:rPr>
          <w:rFonts w:ascii="黑体" w:hAnsi="黑体" w:eastAsia="黑体" w:cs="黑体"/>
          <w:b/>
          <w:bCs/>
          <w:color w:val="0065EA"/>
          <w:sz w:val="20"/>
          <w:szCs w:val="20"/>
        </w:rPr>
        <w:t>评审依据</w:t>
      </w:r>
    </w:p>
    <w:p w14:paraId="4C52A3BB">
      <w:pPr>
        <w:pStyle w:val="2"/>
        <w:spacing w:before="122" w:line="219" w:lineRule="auto"/>
        <w:ind w:left="409"/>
        <w:rPr>
          <w:sz w:val="20"/>
          <w:szCs w:val="20"/>
        </w:rPr>
      </w:pPr>
      <w:r>
        <w:rPr>
          <w:spacing w:val="-4"/>
          <w:sz w:val="20"/>
          <w:szCs w:val="20"/>
        </w:rPr>
        <w:t>评审一般依据以下内容来进行：</w:t>
      </w:r>
    </w:p>
    <w:p w14:paraId="1B623C53">
      <w:pPr>
        <w:pStyle w:val="2"/>
        <w:spacing w:before="75" w:line="219" w:lineRule="auto"/>
        <w:ind w:left="409"/>
        <w:rPr>
          <w:sz w:val="20"/>
          <w:szCs w:val="20"/>
        </w:rPr>
      </w:pPr>
      <w:r>
        <w:rPr>
          <w:spacing w:val="2"/>
          <w:sz w:val="20"/>
          <w:szCs w:val="20"/>
        </w:rPr>
        <w:t>(1)国家和行业团体的相关标准、技术规范及其他有关规定；</w:t>
      </w:r>
    </w:p>
    <w:p w14:paraId="7A8433F9">
      <w:pPr>
        <w:pStyle w:val="2"/>
        <w:spacing w:before="71" w:line="219" w:lineRule="auto"/>
        <w:ind w:left="409"/>
        <w:rPr>
          <w:sz w:val="20"/>
          <w:szCs w:val="20"/>
        </w:rPr>
      </w:pPr>
      <w:r>
        <w:rPr>
          <w:spacing w:val="2"/>
          <w:sz w:val="20"/>
          <w:szCs w:val="20"/>
        </w:rPr>
        <w:t>(2)有关部门关于本项目的文件和批示；</w:t>
      </w:r>
    </w:p>
    <w:p w14:paraId="686912B9">
      <w:pPr>
        <w:pStyle w:val="2"/>
        <w:spacing w:before="63" w:line="219" w:lineRule="auto"/>
        <w:ind w:left="409"/>
        <w:rPr>
          <w:sz w:val="20"/>
          <w:szCs w:val="20"/>
        </w:rPr>
      </w:pPr>
      <w:r>
        <w:rPr>
          <w:spacing w:val="1"/>
          <w:sz w:val="20"/>
          <w:szCs w:val="20"/>
        </w:rPr>
        <w:t>(3)已经确定的本方案的承前性文件；</w:t>
      </w:r>
    </w:p>
    <w:p w14:paraId="22C271C9">
      <w:pPr>
        <w:spacing w:line="219" w:lineRule="auto"/>
        <w:rPr>
          <w:sz w:val="20"/>
          <w:szCs w:val="20"/>
        </w:rPr>
        <w:sectPr>
          <w:pgSz w:w="10290" w:h="13310"/>
          <w:pgMar w:top="400" w:right="594" w:bottom="400" w:left="1080" w:header="0" w:footer="0" w:gutter="0"/>
          <w:cols w:space="720" w:num="1"/>
        </w:sectPr>
      </w:pPr>
    </w:p>
    <w:p w14:paraId="58D42A18">
      <w:pPr>
        <w:pStyle w:val="2"/>
        <w:spacing w:before="48" w:line="219" w:lineRule="auto"/>
        <w:rPr>
          <w:sz w:val="20"/>
          <w:szCs w:val="20"/>
        </w:rPr>
      </w:pPr>
      <w:r>
        <w:rPr>
          <w:rFonts w:ascii="Times New Roman" w:hAnsi="Times New Roman" w:eastAsia="Times New Roman" w:cs="Times New Roman"/>
          <w:b/>
          <w:bCs/>
          <w:spacing w:val="-4"/>
          <w:position w:val="-4"/>
          <w:sz w:val="20"/>
          <w:szCs w:val="20"/>
        </w:rPr>
        <w:t>248</w:t>
      </w:r>
      <w:r>
        <w:rPr>
          <w:rFonts w:ascii="Times New Roman" w:hAnsi="Times New Roman" w:eastAsia="Times New Roman" w:cs="Times New Roman"/>
          <w:b/>
          <w:bCs/>
          <w:spacing w:val="2"/>
          <w:position w:val="-4"/>
          <w:sz w:val="20"/>
          <w:szCs w:val="20"/>
        </w:rPr>
        <w:t xml:space="preserve">             </w:t>
      </w:r>
      <w:r>
        <w:rPr>
          <w:spacing w:val="-4"/>
          <w:sz w:val="20"/>
          <w:szCs w:val="20"/>
        </w:rPr>
        <w:t>信息系统监理师教程(第2版)</w:t>
      </w:r>
    </w:p>
    <w:p w14:paraId="30035CE8">
      <w:pPr>
        <w:spacing w:line="289" w:lineRule="auto"/>
        <w:rPr>
          <w:rFonts w:ascii="Arial"/>
          <w:sz w:val="21"/>
        </w:rPr>
      </w:pPr>
    </w:p>
    <w:p w14:paraId="66F42774">
      <w:pPr>
        <w:pStyle w:val="2"/>
        <w:spacing w:before="65" w:line="219" w:lineRule="auto"/>
        <w:ind w:left="749"/>
        <w:rPr>
          <w:sz w:val="20"/>
          <w:szCs w:val="20"/>
        </w:rPr>
      </w:pPr>
      <w:r>
        <w:rPr>
          <w:spacing w:val="5"/>
          <w:sz w:val="20"/>
          <w:szCs w:val="20"/>
        </w:rPr>
        <w:t>(4)监理工程师提供的监理信息。</w:t>
      </w:r>
    </w:p>
    <w:p w14:paraId="6567B554">
      <w:pPr>
        <w:pStyle w:val="2"/>
        <w:spacing w:before="179" w:line="222" w:lineRule="auto"/>
        <w:ind w:left="752"/>
        <w:rPr>
          <w:rFonts w:ascii="黑体" w:hAnsi="黑体" w:eastAsia="黑体" w:cs="黑体"/>
          <w:sz w:val="20"/>
          <w:szCs w:val="20"/>
        </w:rPr>
      </w:pPr>
      <w:bookmarkStart w:id="619" w:name="bookmark604"/>
      <w:bookmarkEnd w:id="619"/>
      <w:r>
        <w:rPr>
          <w:b/>
          <w:bCs/>
          <w:color w:val="007FD4"/>
          <w:sz w:val="20"/>
          <w:szCs w:val="20"/>
        </w:rPr>
        <w:t>2.</w:t>
      </w:r>
      <w:r>
        <w:rPr>
          <w:rFonts w:ascii="黑体" w:hAnsi="黑体" w:eastAsia="黑体" w:cs="黑体"/>
          <w:b/>
          <w:bCs/>
          <w:color w:val="007FD4"/>
          <w:sz w:val="20"/>
          <w:szCs w:val="20"/>
        </w:rPr>
        <w:t>评审范围</w:t>
      </w:r>
    </w:p>
    <w:p w14:paraId="3312102F">
      <w:pPr>
        <w:pStyle w:val="2"/>
        <w:spacing w:before="143" w:line="219" w:lineRule="auto"/>
        <w:ind w:left="749"/>
        <w:rPr>
          <w:sz w:val="20"/>
          <w:szCs w:val="20"/>
        </w:rPr>
      </w:pPr>
      <w:r>
        <w:rPr>
          <w:spacing w:val="-2"/>
          <w:sz w:val="20"/>
          <w:szCs w:val="20"/>
        </w:rPr>
        <w:t>一般来说，信息系统工程建设过程中需要进行评审的内</w:t>
      </w:r>
      <w:r>
        <w:rPr>
          <w:spacing w:val="-3"/>
          <w:sz w:val="20"/>
          <w:szCs w:val="20"/>
        </w:rPr>
        <w:t>容有：</w:t>
      </w:r>
    </w:p>
    <w:p w14:paraId="1F8737E3">
      <w:pPr>
        <w:pStyle w:val="2"/>
        <w:spacing w:before="73" w:line="219" w:lineRule="auto"/>
        <w:ind w:left="749"/>
        <w:rPr>
          <w:sz w:val="20"/>
          <w:szCs w:val="20"/>
        </w:rPr>
      </w:pPr>
      <w:r>
        <w:rPr>
          <w:spacing w:val="2"/>
          <w:sz w:val="20"/>
          <w:szCs w:val="20"/>
        </w:rPr>
        <w:t>(1)业主单位的用户需求和招标文件；</w:t>
      </w:r>
    </w:p>
    <w:p w14:paraId="39A6A78B">
      <w:pPr>
        <w:pStyle w:val="2"/>
        <w:spacing w:before="92" w:line="219" w:lineRule="auto"/>
        <w:ind w:left="749"/>
        <w:rPr>
          <w:sz w:val="20"/>
          <w:szCs w:val="20"/>
        </w:rPr>
      </w:pPr>
      <w:r>
        <w:rPr>
          <w:spacing w:val="1"/>
          <w:sz w:val="20"/>
          <w:szCs w:val="20"/>
        </w:rPr>
        <w:t>(2)承建单位的质量控制体系和质量保证计划；</w:t>
      </w:r>
    </w:p>
    <w:p w14:paraId="5F49A054">
      <w:pPr>
        <w:pStyle w:val="2"/>
        <w:spacing w:before="73" w:line="219" w:lineRule="auto"/>
        <w:ind w:left="749"/>
        <w:rPr>
          <w:sz w:val="20"/>
          <w:szCs w:val="20"/>
        </w:rPr>
      </w:pPr>
      <w:r>
        <w:rPr>
          <w:spacing w:val="2"/>
          <w:sz w:val="20"/>
          <w:szCs w:val="20"/>
        </w:rPr>
        <w:t>(3)承建单位的总体技术方案；</w:t>
      </w:r>
    </w:p>
    <w:p w14:paraId="71284CC6">
      <w:pPr>
        <w:pStyle w:val="2"/>
        <w:spacing w:before="73" w:line="219" w:lineRule="auto"/>
        <w:ind w:left="749"/>
        <w:rPr>
          <w:sz w:val="20"/>
          <w:szCs w:val="20"/>
        </w:rPr>
      </w:pPr>
      <w:r>
        <w:rPr>
          <w:spacing w:val="2"/>
          <w:sz w:val="20"/>
          <w:szCs w:val="20"/>
        </w:rPr>
        <w:t>(4)承建单位的工程实施方案；</w:t>
      </w:r>
    </w:p>
    <w:p w14:paraId="3F6C1EF0">
      <w:pPr>
        <w:pStyle w:val="2"/>
        <w:spacing w:before="83" w:line="219" w:lineRule="auto"/>
        <w:ind w:left="749"/>
        <w:rPr>
          <w:sz w:val="20"/>
          <w:szCs w:val="20"/>
        </w:rPr>
      </w:pPr>
      <w:r>
        <w:rPr>
          <w:spacing w:val="2"/>
          <w:sz w:val="20"/>
          <w:szCs w:val="20"/>
        </w:rPr>
        <w:t>(5)承建单位的系统集成方案；</w:t>
      </w:r>
    </w:p>
    <w:p w14:paraId="376B3D25">
      <w:pPr>
        <w:pStyle w:val="2"/>
        <w:spacing w:before="92" w:line="219" w:lineRule="auto"/>
        <w:ind w:left="749"/>
        <w:rPr>
          <w:sz w:val="20"/>
          <w:szCs w:val="20"/>
        </w:rPr>
      </w:pPr>
      <w:r>
        <w:rPr>
          <w:spacing w:val="1"/>
          <w:sz w:val="20"/>
          <w:szCs w:val="20"/>
        </w:rPr>
        <w:t>(6)承建单位有关应用软件开发的重要过程文档；</w:t>
      </w:r>
    </w:p>
    <w:p w14:paraId="6D7E95B8">
      <w:pPr>
        <w:pStyle w:val="2"/>
        <w:spacing w:before="73" w:line="219" w:lineRule="auto"/>
        <w:ind w:left="749"/>
        <w:rPr>
          <w:sz w:val="20"/>
          <w:szCs w:val="20"/>
        </w:rPr>
      </w:pPr>
      <w:r>
        <w:rPr>
          <w:spacing w:val="6"/>
          <w:sz w:val="20"/>
          <w:szCs w:val="20"/>
        </w:rPr>
        <w:t>(7)工程验收方案；</w:t>
      </w:r>
    </w:p>
    <w:p w14:paraId="4772C4E3">
      <w:pPr>
        <w:pStyle w:val="2"/>
        <w:spacing w:before="73" w:line="219" w:lineRule="auto"/>
        <w:ind w:left="749"/>
        <w:rPr>
          <w:sz w:val="20"/>
          <w:szCs w:val="20"/>
        </w:rPr>
      </w:pPr>
      <w:r>
        <w:rPr>
          <w:spacing w:val="1"/>
          <w:sz w:val="20"/>
          <w:szCs w:val="20"/>
        </w:rPr>
        <w:t>(8)承建单位的培训方案与计划；</w:t>
      </w:r>
    </w:p>
    <w:p w14:paraId="5AC67024">
      <w:pPr>
        <w:pStyle w:val="2"/>
        <w:spacing w:before="73" w:line="219" w:lineRule="auto"/>
        <w:ind w:left="749"/>
        <w:rPr>
          <w:sz w:val="20"/>
          <w:szCs w:val="20"/>
        </w:rPr>
      </w:pPr>
      <w:r>
        <w:rPr>
          <w:spacing w:val="2"/>
          <w:sz w:val="20"/>
          <w:szCs w:val="20"/>
        </w:rPr>
        <w:t>(9)承建单位的售后保障方案；</w:t>
      </w:r>
    </w:p>
    <w:p w14:paraId="67913CBF">
      <w:pPr>
        <w:pStyle w:val="2"/>
        <w:spacing w:before="83" w:line="220" w:lineRule="auto"/>
        <w:ind w:left="749"/>
        <w:rPr>
          <w:sz w:val="20"/>
          <w:szCs w:val="20"/>
        </w:rPr>
      </w:pPr>
      <w:r>
        <w:rPr>
          <w:spacing w:val="3"/>
          <w:sz w:val="20"/>
          <w:szCs w:val="20"/>
        </w:rPr>
        <w:t>(10)其他需要评审的重要方案与计划。</w:t>
      </w:r>
    </w:p>
    <w:p w14:paraId="2E487EB1">
      <w:pPr>
        <w:pStyle w:val="2"/>
        <w:spacing w:before="167" w:line="222" w:lineRule="auto"/>
        <w:ind w:left="752"/>
        <w:rPr>
          <w:rFonts w:ascii="黑体" w:hAnsi="黑体" w:eastAsia="黑体" w:cs="黑体"/>
          <w:sz w:val="20"/>
          <w:szCs w:val="20"/>
        </w:rPr>
      </w:pPr>
      <w:r>
        <w:rPr>
          <w:b/>
          <w:bCs/>
          <w:color w:val="007ACC"/>
          <w:spacing w:val="-5"/>
          <w:sz w:val="20"/>
          <w:szCs w:val="20"/>
        </w:rPr>
        <w:t>3.</w:t>
      </w:r>
      <w:r>
        <w:rPr>
          <w:rFonts w:ascii="黑体" w:hAnsi="黑体" w:eastAsia="黑体" w:cs="黑体"/>
          <w:b/>
          <w:bCs/>
          <w:color w:val="007ACC"/>
          <w:spacing w:val="-5"/>
          <w:sz w:val="20"/>
          <w:szCs w:val="20"/>
        </w:rPr>
        <w:t>评审过程</w:t>
      </w:r>
    </w:p>
    <w:p w14:paraId="1390A4B3">
      <w:pPr>
        <w:pStyle w:val="2"/>
        <w:spacing w:before="144" w:line="220" w:lineRule="auto"/>
        <w:ind w:left="749"/>
        <w:rPr>
          <w:sz w:val="20"/>
          <w:szCs w:val="20"/>
        </w:rPr>
      </w:pPr>
      <w:r>
        <w:rPr>
          <w:spacing w:val="-6"/>
          <w:sz w:val="20"/>
          <w:szCs w:val="20"/>
        </w:rPr>
        <w:t>评审过程具体如下：</w:t>
      </w:r>
    </w:p>
    <w:p w14:paraId="724C8E1C">
      <w:pPr>
        <w:pStyle w:val="2"/>
        <w:spacing w:before="62" w:line="257" w:lineRule="auto"/>
        <w:ind w:left="359" w:right="29" w:firstLine="389"/>
        <w:rPr>
          <w:sz w:val="20"/>
          <w:szCs w:val="20"/>
        </w:rPr>
      </w:pPr>
      <w:r>
        <w:rPr>
          <w:spacing w:val="6"/>
          <w:sz w:val="20"/>
          <w:szCs w:val="20"/>
        </w:rPr>
        <w:t>(1)现场质量监理工程师收集方案、文档等资料，进行初审，并</w:t>
      </w:r>
      <w:r>
        <w:rPr>
          <w:spacing w:val="5"/>
          <w:sz w:val="20"/>
          <w:szCs w:val="20"/>
        </w:rPr>
        <w:t>将初审结果上报总监理工</w:t>
      </w:r>
      <w:r>
        <w:rPr>
          <w:sz w:val="20"/>
          <w:szCs w:val="20"/>
        </w:rPr>
        <w:t xml:space="preserve"> </w:t>
      </w:r>
      <w:r>
        <w:rPr>
          <w:spacing w:val="-3"/>
          <w:sz w:val="20"/>
          <w:szCs w:val="20"/>
        </w:rPr>
        <w:t>程师。</w:t>
      </w:r>
    </w:p>
    <w:p w14:paraId="55289DCA">
      <w:pPr>
        <w:pStyle w:val="2"/>
        <w:spacing w:before="92" w:line="248" w:lineRule="auto"/>
        <w:ind w:left="359" w:right="32" w:firstLine="389"/>
        <w:rPr>
          <w:sz w:val="20"/>
          <w:szCs w:val="20"/>
        </w:rPr>
      </w:pPr>
      <w:r>
        <w:rPr>
          <w:spacing w:val="6"/>
          <w:sz w:val="20"/>
          <w:szCs w:val="20"/>
        </w:rPr>
        <w:t>(2)总监理工程师根据方案的重要性、时间要求、初审结</w:t>
      </w:r>
      <w:r>
        <w:rPr>
          <w:spacing w:val="5"/>
          <w:sz w:val="20"/>
          <w:szCs w:val="20"/>
        </w:rPr>
        <w:t>果判断是否进行评审，并确定评</w:t>
      </w:r>
      <w:r>
        <w:rPr>
          <w:sz w:val="20"/>
          <w:szCs w:val="20"/>
        </w:rPr>
        <w:t xml:space="preserve"> </w:t>
      </w:r>
      <w:r>
        <w:rPr>
          <w:spacing w:val="-2"/>
          <w:sz w:val="20"/>
          <w:szCs w:val="20"/>
        </w:rPr>
        <w:t>审的时间、方式、内容、参加人员等，形成评审方案。</w:t>
      </w:r>
    </w:p>
    <w:p w14:paraId="4C45469B">
      <w:pPr>
        <w:pStyle w:val="2"/>
        <w:spacing w:before="70" w:line="270" w:lineRule="auto"/>
        <w:ind w:left="359" w:right="28" w:firstLine="389"/>
        <w:rPr>
          <w:sz w:val="20"/>
          <w:szCs w:val="20"/>
        </w:rPr>
      </w:pPr>
      <w:r>
        <w:rPr>
          <w:spacing w:val="6"/>
          <w:sz w:val="20"/>
          <w:szCs w:val="20"/>
        </w:rPr>
        <w:t>(3)承建单位和有关方面提交评审必需的其他材料。由</w:t>
      </w:r>
      <w:r>
        <w:rPr>
          <w:spacing w:val="5"/>
          <w:sz w:val="20"/>
          <w:szCs w:val="20"/>
        </w:rPr>
        <w:t>总监理工程师组织专家、质量监理</w:t>
      </w:r>
      <w:r>
        <w:rPr>
          <w:sz w:val="20"/>
          <w:szCs w:val="20"/>
        </w:rPr>
        <w:t xml:space="preserve"> </w:t>
      </w:r>
      <w:r>
        <w:rPr>
          <w:spacing w:val="2"/>
          <w:sz w:val="20"/>
          <w:szCs w:val="20"/>
        </w:rPr>
        <w:t>工程师和其他相关人员参加，对方案进行评审、讨论，得出评审结论。评审的过程应记录，并</w:t>
      </w:r>
      <w:r>
        <w:rPr>
          <w:spacing w:val="15"/>
          <w:sz w:val="20"/>
          <w:szCs w:val="20"/>
        </w:rPr>
        <w:t xml:space="preserve"> </w:t>
      </w:r>
      <w:r>
        <w:rPr>
          <w:spacing w:val="3"/>
          <w:sz w:val="20"/>
          <w:szCs w:val="20"/>
        </w:rPr>
        <w:t>保存备案。在特殊情况下，评审可以通过远程方式异地进行，但要做好技术保密工作。</w:t>
      </w:r>
      <w:r>
        <w:rPr>
          <w:spacing w:val="2"/>
          <w:sz w:val="20"/>
          <w:szCs w:val="20"/>
        </w:rPr>
        <w:t>必要时</w:t>
      </w:r>
      <w:r>
        <w:rPr>
          <w:sz w:val="20"/>
          <w:szCs w:val="20"/>
        </w:rPr>
        <w:t xml:space="preserve"> </w:t>
      </w:r>
      <w:r>
        <w:rPr>
          <w:spacing w:val="-3"/>
          <w:sz w:val="20"/>
          <w:szCs w:val="20"/>
        </w:rPr>
        <w:t>评审人员可以到现场进行实地考察。</w:t>
      </w:r>
    </w:p>
    <w:p w14:paraId="2FC2C8C8">
      <w:pPr>
        <w:pStyle w:val="2"/>
        <w:spacing w:before="92" w:line="253" w:lineRule="auto"/>
        <w:ind w:left="359" w:right="31" w:firstLine="389"/>
        <w:rPr>
          <w:sz w:val="20"/>
          <w:szCs w:val="20"/>
        </w:rPr>
      </w:pPr>
      <w:r>
        <w:rPr>
          <w:spacing w:val="6"/>
          <w:sz w:val="20"/>
          <w:szCs w:val="20"/>
        </w:rPr>
        <w:t>(4)总监理工程师根据评审结论，组织现场监理工程师讨论</w:t>
      </w:r>
      <w:r>
        <w:rPr>
          <w:spacing w:val="5"/>
          <w:sz w:val="20"/>
          <w:szCs w:val="20"/>
        </w:rPr>
        <w:t>，形成最终的监理意见，提交</w:t>
      </w:r>
      <w:r>
        <w:rPr>
          <w:sz w:val="20"/>
          <w:szCs w:val="20"/>
        </w:rPr>
        <w:t xml:space="preserve"> </w:t>
      </w:r>
      <w:r>
        <w:rPr>
          <w:spacing w:val="-4"/>
          <w:sz w:val="20"/>
          <w:szCs w:val="20"/>
        </w:rPr>
        <w:t>给业主单位和承建单位。</w:t>
      </w:r>
    </w:p>
    <w:p w14:paraId="2B4BBA09">
      <w:pPr>
        <w:pStyle w:val="2"/>
        <w:spacing w:before="102" w:line="244" w:lineRule="auto"/>
        <w:ind w:left="359" w:right="31" w:firstLine="389"/>
        <w:rPr>
          <w:sz w:val="20"/>
          <w:szCs w:val="20"/>
        </w:rPr>
      </w:pPr>
      <w:r>
        <w:rPr>
          <w:spacing w:val="6"/>
          <w:sz w:val="20"/>
          <w:szCs w:val="20"/>
        </w:rPr>
        <w:t>(5)业主单位和承建单位根据监理意见进行处理，处理结果</w:t>
      </w:r>
      <w:r>
        <w:rPr>
          <w:spacing w:val="5"/>
          <w:sz w:val="20"/>
          <w:szCs w:val="20"/>
        </w:rPr>
        <w:t>由现场监理人员进行确认，并</w:t>
      </w:r>
      <w:r>
        <w:rPr>
          <w:sz w:val="20"/>
          <w:szCs w:val="20"/>
        </w:rPr>
        <w:t xml:space="preserve"> </w:t>
      </w:r>
      <w:r>
        <w:rPr>
          <w:spacing w:val="-4"/>
          <w:sz w:val="20"/>
          <w:szCs w:val="20"/>
        </w:rPr>
        <w:t>报总监理工程师签发。</w:t>
      </w:r>
    </w:p>
    <w:p w14:paraId="457868EE">
      <w:pPr>
        <w:pStyle w:val="2"/>
        <w:spacing w:before="212" w:line="221" w:lineRule="auto"/>
        <w:ind w:left="362"/>
        <w:rPr>
          <w:sz w:val="26"/>
          <w:szCs w:val="26"/>
        </w:rPr>
      </w:pPr>
      <w:r>
        <w:rPr>
          <w:b/>
          <w:bCs/>
          <w:color w:val="0076DF"/>
          <w:spacing w:val="-26"/>
          <w:sz w:val="26"/>
          <w:szCs w:val="26"/>
        </w:rPr>
        <w:t>10.4.2</w:t>
      </w:r>
      <w:r>
        <w:rPr>
          <w:color w:val="0076DF"/>
          <w:spacing w:val="90"/>
          <w:sz w:val="26"/>
          <w:szCs w:val="26"/>
        </w:rPr>
        <w:t xml:space="preserve"> </w:t>
      </w:r>
      <w:r>
        <w:rPr>
          <w:b/>
          <w:bCs/>
          <w:color w:val="0076DF"/>
          <w:spacing w:val="-26"/>
          <w:sz w:val="26"/>
          <w:szCs w:val="26"/>
        </w:rPr>
        <w:t>测试</w:t>
      </w:r>
    </w:p>
    <w:p w14:paraId="690E6874">
      <w:pPr>
        <w:pStyle w:val="2"/>
        <w:spacing w:before="159" w:line="279" w:lineRule="auto"/>
        <w:ind w:left="359" w:firstLine="389"/>
        <w:jc w:val="both"/>
        <w:rPr>
          <w:sz w:val="20"/>
          <w:szCs w:val="20"/>
        </w:rPr>
      </w:pPr>
      <w:r>
        <w:rPr>
          <w:spacing w:val="4"/>
          <w:sz w:val="20"/>
          <w:szCs w:val="20"/>
        </w:rPr>
        <w:t>测试是信息系统工程质量控制最重要的手段之一，这是由信息系统工程的特点所决定的，</w:t>
      </w:r>
      <w:r>
        <w:rPr>
          <w:spacing w:val="3"/>
          <w:sz w:val="20"/>
          <w:szCs w:val="20"/>
        </w:rPr>
        <w:t xml:space="preserve"> 信息系统工程一般由信息网络系统、信息资源系统、信息应用系统组成，而这些系统的质量到</w:t>
      </w:r>
      <w:r>
        <w:rPr>
          <w:sz w:val="20"/>
          <w:szCs w:val="20"/>
        </w:rPr>
        <w:t xml:space="preserve"> </w:t>
      </w:r>
      <w:r>
        <w:rPr>
          <w:spacing w:val="3"/>
          <w:sz w:val="20"/>
          <w:szCs w:val="20"/>
        </w:rPr>
        <w:t>底如何，往往需要通过实际的测试才能知道，因此测试结果是判断信息系统工程质量最直接的</w:t>
      </w:r>
      <w:r>
        <w:rPr>
          <w:spacing w:val="1"/>
          <w:sz w:val="20"/>
          <w:szCs w:val="20"/>
        </w:rPr>
        <w:t xml:space="preserve"> </w:t>
      </w:r>
      <w:r>
        <w:rPr>
          <w:spacing w:val="-3"/>
          <w:sz w:val="20"/>
          <w:szCs w:val="20"/>
        </w:rPr>
        <w:t>依据。</w:t>
      </w:r>
    </w:p>
    <w:p w14:paraId="22885B01">
      <w:pPr>
        <w:pStyle w:val="2"/>
        <w:spacing w:before="31" w:line="268" w:lineRule="auto"/>
        <w:ind w:left="359" w:right="29" w:firstLine="389"/>
        <w:jc w:val="both"/>
        <w:rPr>
          <w:sz w:val="20"/>
          <w:szCs w:val="20"/>
        </w:rPr>
      </w:pPr>
      <w:r>
        <w:rPr>
          <w:spacing w:val="3"/>
          <w:sz w:val="20"/>
          <w:szCs w:val="20"/>
        </w:rPr>
        <w:t>在整个质量控制过程中，可能需要业主单位、承建单位、监理单位和第三方测试机构对工</w:t>
      </w:r>
      <w:r>
        <w:rPr>
          <w:spacing w:val="13"/>
          <w:sz w:val="20"/>
          <w:szCs w:val="20"/>
        </w:rPr>
        <w:t xml:space="preserve"> </w:t>
      </w:r>
      <w:r>
        <w:rPr>
          <w:spacing w:val="3"/>
          <w:sz w:val="20"/>
          <w:szCs w:val="20"/>
        </w:rPr>
        <w:t>程进行测试。业主单位的测试是为了验证系统是否满足业务需求，承建单位的测</w:t>
      </w:r>
      <w:r>
        <w:rPr>
          <w:spacing w:val="2"/>
          <w:sz w:val="20"/>
          <w:szCs w:val="20"/>
        </w:rPr>
        <w:t>试是为了保证</w:t>
      </w:r>
      <w:r>
        <w:rPr>
          <w:sz w:val="20"/>
          <w:szCs w:val="20"/>
        </w:rPr>
        <w:t xml:space="preserve"> </w:t>
      </w:r>
      <w:r>
        <w:rPr>
          <w:spacing w:val="3"/>
          <w:sz w:val="20"/>
          <w:szCs w:val="20"/>
        </w:rPr>
        <w:t>工程质量和进度，监理单位的测试是为了检查和确认工程质量，第三方测试是对工程</w:t>
      </w:r>
      <w:r>
        <w:rPr>
          <w:spacing w:val="2"/>
          <w:sz w:val="20"/>
          <w:szCs w:val="20"/>
        </w:rPr>
        <w:t>做出客观</w:t>
      </w:r>
    </w:p>
    <w:p w14:paraId="22F2BD8F">
      <w:pPr>
        <w:spacing w:line="268" w:lineRule="auto"/>
        <w:rPr>
          <w:sz w:val="20"/>
          <w:szCs w:val="20"/>
        </w:rPr>
        <w:sectPr>
          <w:pgSz w:w="10300" w:h="13390"/>
          <w:pgMar w:top="400" w:right="1039" w:bottom="400" w:left="550" w:header="0" w:footer="0" w:gutter="0"/>
          <w:cols w:space="720" w:num="1"/>
        </w:sectPr>
      </w:pPr>
    </w:p>
    <w:p w14:paraId="0F98ACB0">
      <w:pPr>
        <w:pStyle w:val="2"/>
        <w:jc w:val="right"/>
        <w:rPr>
          <w:rFonts w:ascii="Times New Roman" w:hAnsi="Times New Roman" w:eastAsia="Times New Roman" w:cs="Times New Roman"/>
          <w:sz w:val="20"/>
          <w:szCs w:val="20"/>
        </w:rPr>
      </w:pPr>
      <w:bookmarkStart w:id="620" w:name="bookmark605"/>
      <w:bookmarkEnd w:id="620"/>
      <w:r>
        <w:rPr>
          <w:b/>
          <w:bCs/>
          <w:spacing w:val="1"/>
          <w:sz w:val="20"/>
          <w:szCs w:val="20"/>
        </w:rPr>
        <w:t>第10章</w:t>
      </w:r>
      <w:r>
        <w:rPr>
          <w:spacing w:val="23"/>
          <w:sz w:val="20"/>
          <w:szCs w:val="20"/>
        </w:rPr>
        <w:t xml:space="preserve"> </w:t>
      </w:r>
      <w:r>
        <w:rPr>
          <w:b/>
          <w:bCs/>
          <w:spacing w:val="1"/>
          <w:sz w:val="20"/>
          <w:szCs w:val="20"/>
        </w:rPr>
        <w:t>质量控制</w:t>
      </w:r>
      <w:r>
        <w:rPr>
          <w:spacing w:val="1"/>
          <w:sz w:val="20"/>
          <w:szCs w:val="20"/>
        </w:rPr>
        <w:t xml:space="preserve"> </w:t>
      </w:r>
      <w:r>
        <w:rPr>
          <w:position w:val="-11"/>
          <w:sz w:val="20"/>
          <w:szCs w:val="20"/>
        </w:rPr>
        <w:drawing>
          <wp:inline distT="0" distB="0" distL="0" distR="0">
            <wp:extent cx="298450" cy="24701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67"/>
                    <a:stretch>
                      <a:fillRect/>
                    </a:stretch>
                  </pic:blipFill>
                  <pic:spPr>
                    <a:xfrm>
                      <a:off x="0" y="0"/>
                      <a:ext cx="298479" cy="247571"/>
                    </a:xfrm>
                    <a:prstGeom prst="rect">
                      <a:avLst/>
                    </a:prstGeom>
                  </pic:spPr>
                </pic:pic>
              </a:graphicData>
            </a:graphic>
          </wp:inline>
        </w:drawing>
      </w:r>
      <w:r>
        <w:rPr>
          <w:rFonts w:ascii="Times New Roman" w:hAnsi="Times New Roman" w:eastAsia="Times New Roman" w:cs="Times New Roman"/>
          <w:spacing w:val="1"/>
          <w:position w:val="-4"/>
          <w:sz w:val="20"/>
          <w:szCs w:val="20"/>
        </w:rPr>
        <w:t>249</w:t>
      </w:r>
    </w:p>
    <w:p w14:paraId="05DE2763">
      <w:pPr>
        <w:spacing w:line="250" w:lineRule="auto"/>
        <w:rPr>
          <w:rFonts w:ascii="Arial"/>
          <w:sz w:val="21"/>
        </w:rPr>
      </w:pPr>
    </w:p>
    <w:p w14:paraId="7BB16019">
      <w:pPr>
        <w:pStyle w:val="2"/>
        <w:spacing w:before="65" w:line="274" w:lineRule="auto"/>
        <w:ind w:left="400" w:right="2099" w:hanging="400"/>
        <w:rPr>
          <w:sz w:val="20"/>
          <w:szCs w:val="20"/>
        </w:rPr>
      </w:pPr>
      <w:r>
        <w:rPr>
          <w:spacing w:val="-2"/>
          <w:sz w:val="20"/>
          <w:szCs w:val="20"/>
        </w:rPr>
        <w:t>的质量评价。虽然各自的工作重点不同，但都是为了更好地控制项目质量。</w:t>
      </w:r>
      <w:r>
        <w:rPr>
          <w:spacing w:val="11"/>
          <w:sz w:val="20"/>
          <w:szCs w:val="20"/>
        </w:rPr>
        <w:t xml:space="preserve"> </w:t>
      </w:r>
      <w:r>
        <w:rPr>
          <w:spacing w:val="-2"/>
          <w:sz w:val="20"/>
          <w:szCs w:val="20"/>
        </w:rPr>
        <w:t>在测试过程中，监理工程师应关注以下内容。</w:t>
      </w:r>
    </w:p>
    <w:p w14:paraId="7E52685D">
      <w:pPr>
        <w:pStyle w:val="2"/>
        <w:spacing w:before="102" w:line="221" w:lineRule="auto"/>
        <w:ind w:left="402"/>
        <w:rPr>
          <w:rFonts w:ascii="黑体" w:hAnsi="黑体" w:eastAsia="黑体" w:cs="黑体"/>
          <w:sz w:val="20"/>
          <w:szCs w:val="20"/>
        </w:rPr>
      </w:pPr>
      <w:r>
        <w:rPr>
          <w:b/>
          <w:bCs/>
          <w:color w:val="0070E0"/>
          <w:sz w:val="20"/>
          <w:szCs w:val="20"/>
        </w:rPr>
        <w:t>1.</w:t>
      </w:r>
      <w:r>
        <w:rPr>
          <w:rFonts w:ascii="黑体" w:hAnsi="黑体" w:eastAsia="黑体" w:cs="黑体"/>
          <w:b/>
          <w:bCs/>
          <w:color w:val="0070E0"/>
          <w:sz w:val="20"/>
          <w:szCs w:val="20"/>
        </w:rPr>
        <w:t>测试依据</w:t>
      </w:r>
    </w:p>
    <w:p w14:paraId="77EF8AD4">
      <w:pPr>
        <w:pStyle w:val="2"/>
        <w:spacing w:before="163" w:line="219" w:lineRule="auto"/>
        <w:ind w:left="400"/>
        <w:rPr>
          <w:sz w:val="20"/>
          <w:szCs w:val="20"/>
        </w:rPr>
      </w:pPr>
      <w:r>
        <w:rPr>
          <w:spacing w:val="-2"/>
          <w:sz w:val="20"/>
          <w:szCs w:val="20"/>
        </w:rPr>
        <w:t>测试依据根据不同的测试阶段和测试对象有所不同，主要包括：</w:t>
      </w:r>
    </w:p>
    <w:p w14:paraId="5D23032A">
      <w:pPr>
        <w:pStyle w:val="2"/>
        <w:spacing w:before="73" w:line="219" w:lineRule="auto"/>
        <w:ind w:left="400"/>
        <w:rPr>
          <w:sz w:val="20"/>
          <w:szCs w:val="20"/>
        </w:rPr>
      </w:pPr>
      <w:r>
        <w:rPr>
          <w:spacing w:val="4"/>
          <w:sz w:val="20"/>
          <w:szCs w:val="20"/>
        </w:rPr>
        <w:t>(1)需求说明书；</w:t>
      </w:r>
    </w:p>
    <w:p w14:paraId="6E463979">
      <w:pPr>
        <w:pStyle w:val="2"/>
        <w:spacing w:before="82" w:line="219" w:lineRule="auto"/>
        <w:ind w:left="400"/>
        <w:rPr>
          <w:sz w:val="20"/>
          <w:szCs w:val="20"/>
        </w:rPr>
      </w:pPr>
      <w:r>
        <w:rPr>
          <w:spacing w:val="4"/>
          <w:sz w:val="20"/>
          <w:szCs w:val="20"/>
        </w:rPr>
        <w:t>(2)设计说明书；</w:t>
      </w:r>
    </w:p>
    <w:p w14:paraId="2B8CF872">
      <w:pPr>
        <w:pStyle w:val="2"/>
        <w:spacing w:before="85" w:line="220" w:lineRule="auto"/>
        <w:ind w:left="400"/>
        <w:rPr>
          <w:sz w:val="20"/>
          <w:szCs w:val="20"/>
        </w:rPr>
      </w:pPr>
      <w:r>
        <w:rPr>
          <w:spacing w:val="4"/>
          <w:sz w:val="20"/>
          <w:szCs w:val="20"/>
        </w:rPr>
        <w:t>(3)行业和团体标准；</w:t>
      </w:r>
    </w:p>
    <w:p w14:paraId="7DFC5201">
      <w:pPr>
        <w:pStyle w:val="2"/>
        <w:spacing w:before="72" w:line="220" w:lineRule="auto"/>
        <w:ind w:left="400"/>
        <w:rPr>
          <w:sz w:val="20"/>
          <w:szCs w:val="20"/>
        </w:rPr>
      </w:pPr>
      <w:r>
        <w:rPr>
          <w:spacing w:val="7"/>
          <w:sz w:val="20"/>
          <w:szCs w:val="20"/>
        </w:rPr>
        <w:t>(4)国家标准。</w:t>
      </w:r>
    </w:p>
    <w:p w14:paraId="6E36F932">
      <w:pPr>
        <w:pStyle w:val="2"/>
        <w:spacing w:before="156" w:line="221" w:lineRule="auto"/>
        <w:ind w:left="402"/>
        <w:rPr>
          <w:rFonts w:ascii="黑体" w:hAnsi="黑体" w:eastAsia="黑体" w:cs="黑体"/>
          <w:sz w:val="20"/>
          <w:szCs w:val="20"/>
        </w:rPr>
      </w:pPr>
      <w:r>
        <w:rPr>
          <w:b/>
          <w:bCs/>
          <w:color w:val="005DC9"/>
          <w:spacing w:val="-1"/>
          <w:sz w:val="20"/>
          <w:szCs w:val="20"/>
        </w:rPr>
        <w:t>2.</w:t>
      </w:r>
      <w:r>
        <w:rPr>
          <w:rFonts w:ascii="黑体" w:hAnsi="黑体" w:eastAsia="黑体" w:cs="黑体"/>
          <w:b/>
          <w:bCs/>
          <w:color w:val="005DC9"/>
          <w:spacing w:val="-1"/>
          <w:sz w:val="20"/>
          <w:szCs w:val="20"/>
        </w:rPr>
        <w:t>监督承建单位的测试工作</w:t>
      </w:r>
    </w:p>
    <w:p w14:paraId="1904FAC9">
      <w:pPr>
        <w:pStyle w:val="2"/>
        <w:spacing w:before="165" w:line="273" w:lineRule="auto"/>
        <w:ind w:right="316" w:firstLine="400"/>
        <w:rPr>
          <w:sz w:val="20"/>
          <w:szCs w:val="20"/>
        </w:rPr>
      </w:pPr>
      <w:r>
        <w:rPr>
          <w:spacing w:val="3"/>
          <w:sz w:val="20"/>
          <w:szCs w:val="20"/>
        </w:rPr>
        <w:t>监理工程师应监督评审承建单位的测试计划、测试方案、测试实施以及测试结果，主要包</w:t>
      </w:r>
      <w:r>
        <w:rPr>
          <w:spacing w:val="11"/>
          <w:sz w:val="20"/>
          <w:szCs w:val="20"/>
        </w:rPr>
        <w:t xml:space="preserve"> </w:t>
      </w:r>
      <w:r>
        <w:rPr>
          <w:spacing w:val="-8"/>
          <w:sz w:val="20"/>
          <w:szCs w:val="20"/>
        </w:rPr>
        <w:t>括以下内容：</w:t>
      </w:r>
    </w:p>
    <w:p w14:paraId="7C36CDAC">
      <w:pPr>
        <w:pStyle w:val="2"/>
        <w:spacing w:before="38" w:line="219" w:lineRule="auto"/>
        <w:ind w:left="400"/>
        <w:rPr>
          <w:sz w:val="20"/>
          <w:szCs w:val="20"/>
        </w:rPr>
      </w:pPr>
      <w:r>
        <w:rPr>
          <w:spacing w:val="1"/>
          <w:sz w:val="20"/>
          <w:szCs w:val="20"/>
        </w:rPr>
        <w:t>(1)督促承建单位建立项目测试体系，成立独立的测试小组；</w:t>
      </w:r>
    </w:p>
    <w:p w14:paraId="1EC1F964">
      <w:pPr>
        <w:pStyle w:val="2"/>
        <w:spacing w:before="83" w:line="253" w:lineRule="auto"/>
        <w:ind w:right="315" w:firstLine="400"/>
        <w:rPr>
          <w:sz w:val="20"/>
          <w:szCs w:val="20"/>
        </w:rPr>
      </w:pPr>
      <w:r>
        <w:rPr>
          <w:spacing w:val="6"/>
          <w:sz w:val="20"/>
          <w:szCs w:val="20"/>
        </w:rPr>
        <w:t>(2)督促承建单位制订全过程的测试计划，从项目需求分析阶段</w:t>
      </w:r>
      <w:r>
        <w:rPr>
          <w:spacing w:val="5"/>
          <w:sz w:val="20"/>
          <w:szCs w:val="20"/>
        </w:rPr>
        <w:t>开始，直到项目结束，要</w:t>
      </w:r>
      <w:r>
        <w:rPr>
          <w:sz w:val="20"/>
          <w:szCs w:val="20"/>
        </w:rPr>
        <w:t xml:space="preserve"> </w:t>
      </w:r>
      <w:r>
        <w:rPr>
          <w:spacing w:val="-1"/>
          <w:sz w:val="20"/>
          <w:szCs w:val="20"/>
        </w:rPr>
        <w:t>进行不间断地测试，并且随着项目进展，还要制订分</w:t>
      </w:r>
      <w:r>
        <w:rPr>
          <w:spacing w:val="-2"/>
          <w:sz w:val="20"/>
          <w:szCs w:val="20"/>
        </w:rPr>
        <w:t>系统的测试计划和详细测试方案；</w:t>
      </w:r>
    </w:p>
    <w:p w14:paraId="73AD6BCE">
      <w:pPr>
        <w:pStyle w:val="2"/>
        <w:spacing w:before="73" w:line="219" w:lineRule="auto"/>
        <w:ind w:left="400"/>
        <w:rPr>
          <w:sz w:val="20"/>
          <w:szCs w:val="20"/>
        </w:rPr>
      </w:pPr>
      <w:r>
        <w:rPr>
          <w:spacing w:val="1"/>
          <w:sz w:val="20"/>
          <w:szCs w:val="20"/>
        </w:rPr>
        <w:t>(3)对测试方案和测试计划进行审核，对承建单位选择的测试工具的有效性进行确认；</w:t>
      </w:r>
    </w:p>
    <w:p w14:paraId="65B20476">
      <w:pPr>
        <w:pStyle w:val="2"/>
        <w:spacing w:before="83" w:line="220" w:lineRule="auto"/>
        <w:ind w:left="400"/>
        <w:rPr>
          <w:sz w:val="20"/>
          <w:szCs w:val="20"/>
        </w:rPr>
      </w:pPr>
      <w:r>
        <w:rPr>
          <w:spacing w:val="2"/>
          <w:sz w:val="20"/>
          <w:szCs w:val="20"/>
        </w:rPr>
        <w:t>(4)对测试结果的正确性进行审查；</w:t>
      </w:r>
    </w:p>
    <w:p w14:paraId="6EDCA6F2">
      <w:pPr>
        <w:pStyle w:val="2"/>
        <w:spacing w:before="81" w:line="219" w:lineRule="auto"/>
        <w:ind w:left="400"/>
        <w:rPr>
          <w:sz w:val="20"/>
          <w:szCs w:val="20"/>
        </w:rPr>
      </w:pPr>
      <w:r>
        <w:rPr>
          <w:spacing w:val="3"/>
          <w:sz w:val="20"/>
          <w:szCs w:val="20"/>
        </w:rPr>
        <w:t>(5)对测试问题改进过程进行跟踪。</w:t>
      </w:r>
    </w:p>
    <w:p w14:paraId="0C781E5B">
      <w:pPr>
        <w:pStyle w:val="2"/>
        <w:spacing w:before="148" w:line="221" w:lineRule="auto"/>
        <w:ind w:left="402"/>
        <w:rPr>
          <w:rFonts w:ascii="黑体" w:hAnsi="黑体" w:eastAsia="黑体" w:cs="黑体"/>
          <w:sz w:val="20"/>
          <w:szCs w:val="20"/>
        </w:rPr>
      </w:pPr>
      <w:r>
        <w:rPr>
          <w:b/>
          <w:bCs/>
          <w:color w:val="006DDA"/>
          <w:spacing w:val="-2"/>
          <w:sz w:val="20"/>
          <w:szCs w:val="20"/>
        </w:rPr>
        <w:t>3.</w:t>
      </w:r>
      <w:r>
        <w:rPr>
          <w:rFonts w:ascii="黑体" w:hAnsi="黑体" w:eastAsia="黑体" w:cs="黑体"/>
          <w:b/>
          <w:bCs/>
          <w:color w:val="006DDA"/>
          <w:spacing w:val="-2"/>
          <w:sz w:val="20"/>
          <w:szCs w:val="20"/>
        </w:rPr>
        <w:t>亲自测试重要环节</w:t>
      </w:r>
    </w:p>
    <w:p w14:paraId="06F58FFE">
      <w:pPr>
        <w:pStyle w:val="2"/>
        <w:spacing w:before="155" w:line="219" w:lineRule="auto"/>
        <w:ind w:left="400"/>
        <w:rPr>
          <w:sz w:val="20"/>
          <w:szCs w:val="20"/>
        </w:rPr>
      </w:pPr>
      <w:r>
        <w:rPr>
          <w:spacing w:val="-2"/>
          <w:sz w:val="20"/>
          <w:szCs w:val="20"/>
        </w:rPr>
        <w:t>对重要环节，监理单位要亲自进行测试，主要包括以下内容：</w:t>
      </w:r>
    </w:p>
    <w:p w14:paraId="5C4E529F">
      <w:pPr>
        <w:pStyle w:val="2"/>
        <w:spacing w:before="53" w:line="269" w:lineRule="auto"/>
        <w:ind w:right="321" w:firstLine="400"/>
        <w:rPr>
          <w:sz w:val="20"/>
          <w:szCs w:val="20"/>
        </w:rPr>
      </w:pPr>
      <w:r>
        <w:rPr>
          <w:spacing w:val="5"/>
          <w:sz w:val="20"/>
          <w:szCs w:val="20"/>
        </w:rPr>
        <w:t>(1)现场抽查测试。当现场监理工程师发现质量疑点时，要进行现场抽查测试。例如，对</w:t>
      </w:r>
      <w:r>
        <w:rPr>
          <w:spacing w:val="7"/>
          <w:sz w:val="20"/>
          <w:szCs w:val="20"/>
        </w:rPr>
        <w:t xml:space="preserve"> </w:t>
      </w:r>
      <w:r>
        <w:rPr>
          <w:spacing w:val="3"/>
          <w:sz w:val="20"/>
          <w:szCs w:val="20"/>
        </w:rPr>
        <w:t>于综合布线阶段，监理工程师除了在隐蔽工程实施过程中要旁</w:t>
      </w:r>
      <w:r>
        <w:rPr>
          <w:spacing w:val="2"/>
          <w:sz w:val="20"/>
          <w:szCs w:val="20"/>
        </w:rPr>
        <w:t>站外，还要通过网络测试仪对布</w:t>
      </w:r>
      <w:r>
        <w:rPr>
          <w:sz w:val="20"/>
          <w:szCs w:val="20"/>
        </w:rPr>
        <w:t xml:space="preserve"> </w:t>
      </w:r>
      <w:r>
        <w:rPr>
          <w:spacing w:val="3"/>
          <w:sz w:val="20"/>
          <w:szCs w:val="20"/>
        </w:rPr>
        <w:t>线质量进行抽测，以便能够分析网络综合布线的效果，可以有效保证网络综合布线的质量。另</w:t>
      </w:r>
      <w:r>
        <w:rPr>
          <w:sz w:val="20"/>
          <w:szCs w:val="20"/>
        </w:rPr>
        <w:t xml:space="preserve"> </w:t>
      </w:r>
      <w:r>
        <w:rPr>
          <w:spacing w:val="-3"/>
          <w:sz w:val="20"/>
          <w:szCs w:val="20"/>
        </w:rPr>
        <w:t>外，对于设备进货也要进行现场抽检。</w:t>
      </w:r>
    </w:p>
    <w:p w14:paraId="0DCE9E56">
      <w:pPr>
        <w:pStyle w:val="2"/>
        <w:spacing w:before="94" w:line="252" w:lineRule="auto"/>
        <w:ind w:right="317" w:firstLine="400"/>
        <w:rPr>
          <w:sz w:val="20"/>
          <w:szCs w:val="20"/>
        </w:rPr>
      </w:pPr>
      <w:r>
        <w:rPr>
          <w:spacing w:val="6"/>
          <w:sz w:val="20"/>
          <w:szCs w:val="20"/>
        </w:rPr>
        <w:t>(2)对于软件开发项目，监理单位要对重要的功能、性能、</w:t>
      </w:r>
      <w:r>
        <w:rPr>
          <w:spacing w:val="5"/>
          <w:sz w:val="20"/>
          <w:szCs w:val="20"/>
        </w:rPr>
        <w:t>安全性等进行模拟测试，判断</w:t>
      </w:r>
      <w:r>
        <w:rPr>
          <w:sz w:val="20"/>
          <w:szCs w:val="20"/>
        </w:rPr>
        <w:t xml:space="preserve"> </w:t>
      </w:r>
      <w:r>
        <w:rPr>
          <w:spacing w:val="-1"/>
          <w:sz w:val="20"/>
          <w:szCs w:val="20"/>
        </w:rPr>
        <w:t>阶段性开发成果是否满足质量要求，并且作为进度控制和成本控制的依据。</w:t>
      </w:r>
    </w:p>
    <w:p w14:paraId="4CCF35C1">
      <w:pPr>
        <w:pStyle w:val="2"/>
        <w:spacing w:before="140" w:line="221" w:lineRule="auto"/>
        <w:ind w:left="402"/>
        <w:rPr>
          <w:rFonts w:ascii="黑体" w:hAnsi="黑体" w:eastAsia="黑体" w:cs="黑体"/>
          <w:sz w:val="20"/>
          <w:szCs w:val="20"/>
        </w:rPr>
      </w:pPr>
      <w:r>
        <w:rPr>
          <w:b/>
          <w:bCs/>
          <w:color w:val="0062D3"/>
          <w:spacing w:val="-1"/>
          <w:sz w:val="20"/>
          <w:szCs w:val="20"/>
        </w:rPr>
        <w:t>4.</w:t>
      </w:r>
      <w:r>
        <w:rPr>
          <w:rFonts w:ascii="黑体" w:hAnsi="黑体" w:eastAsia="黑体" w:cs="黑体"/>
          <w:b/>
          <w:bCs/>
          <w:color w:val="0062D3"/>
          <w:spacing w:val="-1"/>
          <w:sz w:val="20"/>
          <w:szCs w:val="20"/>
        </w:rPr>
        <w:t>第三方测试的监理</w:t>
      </w:r>
    </w:p>
    <w:p w14:paraId="42B6387F">
      <w:pPr>
        <w:pStyle w:val="2"/>
        <w:spacing w:before="153" w:line="275" w:lineRule="auto"/>
        <w:ind w:right="314" w:firstLine="400"/>
        <w:rPr>
          <w:sz w:val="20"/>
          <w:szCs w:val="20"/>
        </w:rPr>
      </w:pPr>
      <w:r>
        <w:rPr>
          <w:spacing w:val="3"/>
          <w:sz w:val="20"/>
          <w:szCs w:val="20"/>
        </w:rPr>
        <w:t>在重要的里程碑阶段或验收阶段，往往要聘请专业的第三方测试机构对项目进行全面或专</w:t>
      </w:r>
      <w:r>
        <w:rPr>
          <w:spacing w:val="13"/>
          <w:sz w:val="20"/>
          <w:szCs w:val="20"/>
        </w:rPr>
        <w:t xml:space="preserve"> </w:t>
      </w:r>
      <w:r>
        <w:rPr>
          <w:spacing w:val="-3"/>
          <w:sz w:val="20"/>
          <w:szCs w:val="20"/>
        </w:rPr>
        <w:t>项测试。在此期间，监理单位的主要工作包括：</w:t>
      </w:r>
    </w:p>
    <w:p w14:paraId="652FA7F2">
      <w:pPr>
        <w:pStyle w:val="2"/>
        <w:spacing w:before="4" w:line="258" w:lineRule="auto"/>
        <w:ind w:right="318" w:firstLine="400"/>
        <w:rPr>
          <w:sz w:val="20"/>
          <w:szCs w:val="20"/>
        </w:rPr>
      </w:pPr>
      <w:r>
        <w:rPr>
          <w:spacing w:val="3"/>
          <w:sz w:val="20"/>
          <w:szCs w:val="20"/>
        </w:rPr>
        <w:t xml:space="preserve">(1)协助业主单位选择权威的第三方测试机构， 一般应审查第三方测试机构的资质、测试 </w:t>
      </w:r>
      <w:r>
        <w:rPr>
          <w:spacing w:val="-3"/>
          <w:sz w:val="20"/>
          <w:szCs w:val="20"/>
        </w:rPr>
        <w:t>经验以及承担该项目的测试工程师情况；</w:t>
      </w:r>
    </w:p>
    <w:p w14:paraId="2A89A1CA">
      <w:pPr>
        <w:pStyle w:val="2"/>
        <w:spacing w:before="62" w:line="219" w:lineRule="auto"/>
        <w:ind w:left="400"/>
        <w:rPr>
          <w:sz w:val="20"/>
          <w:szCs w:val="20"/>
        </w:rPr>
      </w:pPr>
      <w:r>
        <w:rPr>
          <w:spacing w:val="1"/>
          <w:sz w:val="20"/>
          <w:szCs w:val="20"/>
        </w:rPr>
        <w:t>(2)对第三方测试机构提交的测试计划进行确认；</w:t>
      </w:r>
    </w:p>
    <w:p w14:paraId="5CCDD5A4">
      <w:pPr>
        <w:pStyle w:val="2"/>
        <w:spacing w:before="63" w:line="257" w:lineRule="auto"/>
        <w:ind w:right="314" w:firstLine="400"/>
        <w:rPr>
          <w:sz w:val="20"/>
          <w:szCs w:val="20"/>
        </w:rPr>
      </w:pPr>
      <w:r>
        <w:rPr>
          <w:spacing w:val="6"/>
          <w:sz w:val="20"/>
          <w:szCs w:val="20"/>
        </w:rPr>
        <w:t>(3)协调承建单位、业主单位以及第三方测试机构的工作关系，</w:t>
      </w:r>
      <w:r>
        <w:rPr>
          <w:spacing w:val="5"/>
          <w:sz w:val="20"/>
          <w:szCs w:val="20"/>
        </w:rPr>
        <w:t>并为第三方测试机构的工</w:t>
      </w:r>
      <w:r>
        <w:rPr>
          <w:sz w:val="20"/>
          <w:szCs w:val="20"/>
        </w:rPr>
        <w:t xml:space="preserve"> </w:t>
      </w:r>
      <w:r>
        <w:rPr>
          <w:spacing w:val="-6"/>
          <w:sz w:val="20"/>
          <w:szCs w:val="20"/>
        </w:rPr>
        <w:t>作提供必要的帮助；</w:t>
      </w:r>
    </w:p>
    <w:p w14:paraId="4C6C9204">
      <w:pPr>
        <w:pStyle w:val="2"/>
        <w:spacing w:before="82" w:line="218" w:lineRule="auto"/>
        <w:ind w:left="400"/>
        <w:rPr>
          <w:sz w:val="20"/>
          <w:szCs w:val="20"/>
        </w:rPr>
      </w:pPr>
      <w:r>
        <w:rPr>
          <w:spacing w:val="3"/>
          <w:sz w:val="20"/>
          <w:szCs w:val="20"/>
        </w:rPr>
        <w:t>(4)对测试问题和测试结果进行评估。</w:t>
      </w:r>
    </w:p>
    <w:p w14:paraId="2A6677D3">
      <w:pPr>
        <w:spacing w:line="218" w:lineRule="auto"/>
        <w:rPr>
          <w:sz w:val="20"/>
          <w:szCs w:val="20"/>
        </w:rPr>
        <w:sectPr>
          <w:pgSz w:w="10290" w:h="13320"/>
          <w:pgMar w:top="340" w:right="464" w:bottom="400" w:left="1179" w:header="0" w:footer="0" w:gutter="0"/>
          <w:cols w:space="720" w:num="1"/>
        </w:sectPr>
      </w:pPr>
    </w:p>
    <w:p w14:paraId="199C329C">
      <w:pPr>
        <w:pStyle w:val="2"/>
        <w:spacing w:before="28" w:line="219" w:lineRule="auto"/>
        <w:rPr>
          <w:sz w:val="20"/>
          <w:szCs w:val="20"/>
        </w:rPr>
      </w:pPr>
      <w:r>
        <w:rPr>
          <w:rFonts w:ascii="Times New Roman" w:hAnsi="Times New Roman" w:eastAsia="Times New Roman" w:cs="Times New Roman"/>
          <w:spacing w:val="-2"/>
          <w:sz w:val="17"/>
          <w:szCs w:val="17"/>
        </w:rPr>
        <w:t xml:space="preserve">250                 </w:t>
      </w:r>
      <w:r>
        <w:rPr>
          <w:spacing w:val="-2"/>
          <w:sz w:val="20"/>
          <w:szCs w:val="20"/>
        </w:rPr>
        <w:t>信息系统监理师教程(第2版)</w:t>
      </w:r>
    </w:p>
    <w:p w14:paraId="4EAE840F">
      <w:pPr>
        <w:spacing w:line="295" w:lineRule="auto"/>
        <w:rPr>
          <w:rFonts w:ascii="Arial"/>
          <w:sz w:val="21"/>
        </w:rPr>
      </w:pPr>
    </w:p>
    <w:p w14:paraId="05097815">
      <w:pPr>
        <w:pStyle w:val="2"/>
        <w:spacing w:before="84" w:line="219" w:lineRule="auto"/>
        <w:ind w:left="322"/>
        <w:rPr>
          <w:sz w:val="26"/>
          <w:szCs w:val="26"/>
        </w:rPr>
      </w:pPr>
      <w:bookmarkStart w:id="621" w:name="bookmark606"/>
      <w:bookmarkEnd w:id="621"/>
      <w:r>
        <w:rPr>
          <w:b/>
          <w:bCs/>
          <w:color w:val="0075EA"/>
          <w:spacing w:val="-27"/>
          <w:sz w:val="26"/>
          <w:szCs w:val="26"/>
        </w:rPr>
        <w:t>10.4.3</w:t>
      </w:r>
      <w:r>
        <w:rPr>
          <w:color w:val="0075EA"/>
          <w:spacing w:val="3"/>
          <w:sz w:val="26"/>
          <w:szCs w:val="26"/>
        </w:rPr>
        <w:t xml:space="preserve">  </w:t>
      </w:r>
      <w:r>
        <w:rPr>
          <w:b/>
          <w:bCs/>
          <w:color w:val="0075EA"/>
          <w:spacing w:val="-27"/>
          <w:sz w:val="26"/>
          <w:szCs w:val="26"/>
        </w:rPr>
        <w:t>旁站</w:t>
      </w:r>
    </w:p>
    <w:p w14:paraId="494A7A6E">
      <w:pPr>
        <w:pStyle w:val="2"/>
        <w:spacing w:before="181" w:line="281" w:lineRule="auto"/>
        <w:ind w:left="320" w:right="88" w:firstLine="420"/>
        <w:jc w:val="both"/>
        <w:rPr>
          <w:sz w:val="20"/>
          <w:szCs w:val="20"/>
        </w:rPr>
      </w:pPr>
      <w:r>
        <w:rPr>
          <w:spacing w:val="2"/>
          <w:sz w:val="20"/>
          <w:szCs w:val="20"/>
        </w:rPr>
        <w:t>在项目实施现场进行旁站是监理在信息系统工程质量控制方面的重要手段之一。旁站监理</w:t>
      </w:r>
      <w:r>
        <w:rPr>
          <w:spacing w:val="11"/>
          <w:sz w:val="20"/>
          <w:szCs w:val="20"/>
        </w:rPr>
        <w:t xml:space="preserve"> </w:t>
      </w:r>
      <w:r>
        <w:rPr>
          <w:spacing w:val="3"/>
          <w:sz w:val="20"/>
          <w:szCs w:val="20"/>
        </w:rPr>
        <w:t>是指监理人员在实施现场对某些关键部位或关键工序的实施全过程现场跟班的监督活</w:t>
      </w:r>
      <w:r>
        <w:rPr>
          <w:spacing w:val="2"/>
          <w:sz w:val="20"/>
          <w:szCs w:val="20"/>
        </w:rPr>
        <w:t>动。旁站</w:t>
      </w:r>
      <w:r>
        <w:rPr>
          <w:sz w:val="20"/>
          <w:szCs w:val="20"/>
        </w:rPr>
        <w:t xml:space="preserve"> </w:t>
      </w:r>
      <w:r>
        <w:rPr>
          <w:spacing w:val="3"/>
          <w:sz w:val="20"/>
          <w:szCs w:val="20"/>
        </w:rPr>
        <w:t>监理在总监理工程师的指导下，由现场监理人员负责具体实施。旁站监理的工作时间应</w:t>
      </w:r>
      <w:r>
        <w:rPr>
          <w:spacing w:val="2"/>
          <w:sz w:val="20"/>
          <w:szCs w:val="20"/>
        </w:rPr>
        <w:t>该根据</w:t>
      </w:r>
      <w:r>
        <w:rPr>
          <w:sz w:val="20"/>
          <w:szCs w:val="20"/>
        </w:rPr>
        <w:t xml:space="preserve"> </w:t>
      </w:r>
      <w:r>
        <w:rPr>
          <w:spacing w:val="3"/>
          <w:sz w:val="20"/>
          <w:szCs w:val="20"/>
        </w:rPr>
        <w:t>实施进度计划事先做好安排，直到关键工序实施完成。旁站的目的在于保证实</w:t>
      </w:r>
      <w:r>
        <w:rPr>
          <w:spacing w:val="2"/>
          <w:sz w:val="20"/>
          <w:szCs w:val="20"/>
        </w:rPr>
        <w:t>施过程中项目标</w:t>
      </w:r>
      <w:r>
        <w:rPr>
          <w:sz w:val="20"/>
          <w:szCs w:val="20"/>
        </w:rPr>
        <w:t xml:space="preserve"> </w:t>
      </w:r>
      <w:r>
        <w:rPr>
          <w:spacing w:val="-2"/>
          <w:sz w:val="20"/>
          <w:szCs w:val="20"/>
        </w:rPr>
        <w:t>准的符合性，尽可能保证实施过程符合相关标准。</w:t>
      </w:r>
    </w:p>
    <w:p w14:paraId="5BFA6764">
      <w:pPr>
        <w:pStyle w:val="2"/>
        <w:spacing w:before="70" w:line="279" w:lineRule="auto"/>
        <w:ind w:left="320" w:right="84" w:firstLine="420"/>
        <w:jc w:val="both"/>
        <w:rPr>
          <w:sz w:val="20"/>
          <w:szCs w:val="20"/>
        </w:rPr>
      </w:pPr>
      <w:r>
        <w:rPr>
          <w:spacing w:val="3"/>
          <w:sz w:val="20"/>
          <w:szCs w:val="20"/>
        </w:rPr>
        <w:t>旁站是监理人员控制工程质量、保证项目目</w:t>
      </w:r>
      <w:r>
        <w:rPr>
          <w:spacing w:val="2"/>
          <w:sz w:val="20"/>
          <w:szCs w:val="20"/>
        </w:rPr>
        <w:t>标实现必不可少的重要手段。旁站往往是针对</w:t>
      </w:r>
      <w:r>
        <w:rPr>
          <w:sz w:val="20"/>
          <w:szCs w:val="20"/>
        </w:rPr>
        <w:t xml:space="preserve"> </w:t>
      </w:r>
      <w:r>
        <w:rPr>
          <w:spacing w:val="3"/>
          <w:sz w:val="20"/>
          <w:szCs w:val="20"/>
        </w:rPr>
        <w:t>那些出现问题后难以处理的关键过程或关键工序。现场旁站比较适合网络基础设施</w:t>
      </w:r>
      <w:r>
        <w:rPr>
          <w:spacing w:val="2"/>
          <w:sz w:val="20"/>
          <w:szCs w:val="20"/>
        </w:rPr>
        <w:t>建设、设备</w:t>
      </w:r>
      <w:r>
        <w:rPr>
          <w:sz w:val="20"/>
          <w:szCs w:val="20"/>
        </w:rPr>
        <w:t xml:space="preserve"> </w:t>
      </w:r>
      <w:r>
        <w:rPr>
          <w:spacing w:val="3"/>
          <w:sz w:val="20"/>
          <w:szCs w:val="20"/>
        </w:rPr>
        <w:t>开箱检验、机房建设等方面的质量控制，也适合其他与现场地域有直接关系的项目质量控制的</w:t>
      </w:r>
      <w:r>
        <w:rPr>
          <w:spacing w:val="1"/>
          <w:sz w:val="20"/>
          <w:szCs w:val="20"/>
        </w:rPr>
        <w:t xml:space="preserve"> </w:t>
      </w:r>
      <w:r>
        <w:rPr>
          <w:spacing w:val="-3"/>
          <w:sz w:val="20"/>
          <w:szCs w:val="20"/>
        </w:rPr>
        <w:t>工作，尤其是实施过程中的隐蔽工程。</w:t>
      </w:r>
    </w:p>
    <w:p w14:paraId="3D29D5A4">
      <w:pPr>
        <w:pStyle w:val="2"/>
        <w:spacing w:before="61" w:line="279" w:lineRule="auto"/>
        <w:ind w:left="320" w:firstLine="420"/>
        <w:jc w:val="both"/>
        <w:rPr>
          <w:sz w:val="20"/>
          <w:szCs w:val="20"/>
        </w:rPr>
      </w:pPr>
      <w:r>
        <w:rPr>
          <w:spacing w:val="3"/>
          <w:sz w:val="20"/>
          <w:szCs w:val="20"/>
        </w:rPr>
        <w:t>现场旁站要求现场监理工程师要具有扎实的</w:t>
      </w:r>
      <w:r>
        <w:rPr>
          <w:spacing w:val="2"/>
          <w:sz w:val="20"/>
          <w:szCs w:val="20"/>
        </w:rPr>
        <w:t>专业知识和项目管理知识，能够纵观全局，对</w:t>
      </w:r>
      <w:r>
        <w:rPr>
          <w:sz w:val="20"/>
          <w:szCs w:val="20"/>
        </w:rPr>
        <w:t xml:space="preserve">  项目阶段或者全过程有深刻的理解，对项目的建设具有较高的深入细致的观察能力和总结能力。</w:t>
      </w:r>
      <w:r>
        <w:rPr>
          <w:spacing w:val="9"/>
          <w:sz w:val="20"/>
          <w:szCs w:val="20"/>
        </w:rPr>
        <w:t xml:space="preserve"> </w:t>
      </w:r>
      <w:r>
        <w:rPr>
          <w:spacing w:val="3"/>
          <w:sz w:val="20"/>
          <w:szCs w:val="20"/>
        </w:rPr>
        <w:t>旁站记录是监理工程师或总监理工程师依法行使有关签字权的重要依据，是对工程质</w:t>
      </w:r>
      <w:r>
        <w:rPr>
          <w:spacing w:val="2"/>
          <w:sz w:val="20"/>
          <w:szCs w:val="20"/>
        </w:rPr>
        <w:t>量的签认</w:t>
      </w:r>
      <w:r>
        <w:rPr>
          <w:sz w:val="20"/>
          <w:szCs w:val="20"/>
        </w:rPr>
        <w:t xml:space="preserve">  </w:t>
      </w:r>
      <w:r>
        <w:rPr>
          <w:spacing w:val="-5"/>
          <w:sz w:val="20"/>
          <w:szCs w:val="20"/>
        </w:rPr>
        <w:t>资料。旁站记录必须做到：</w:t>
      </w:r>
    </w:p>
    <w:p w14:paraId="48F26E92">
      <w:pPr>
        <w:pStyle w:val="2"/>
        <w:spacing w:before="39" w:line="219" w:lineRule="auto"/>
        <w:ind w:left="740"/>
        <w:rPr>
          <w:sz w:val="20"/>
          <w:szCs w:val="20"/>
        </w:rPr>
      </w:pPr>
      <w:r>
        <w:rPr>
          <w:spacing w:val="2"/>
          <w:sz w:val="20"/>
          <w:szCs w:val="20"/>
        </w:rPr>
        <w:t>(1)记录内容要真实、准确、及时；</w:t>
      </w:r>
    </w:p>
    <w:p w14:paraId="211A9490">
      <w:pPr>
        <w:pStyle w:val="2"/>
        <w:spacing w:before="73" w:line="219" w:lineRule="auto"/>
        <w:ind w:left="740"/>
        <w:rPr>
          <w:sz w:val="20"/>
          <w:szCs w:val="20"/>
        </w:rPr>
      </w:pPr>
      <w:r>
        <w:rPr>
          <w:spacing w:val="1"/>
          <w:sz w:val="20"/>
          <w:szCs w:val="20"/>
        </w:rPr>
        <w:t>(2)对旁站的关键部位或关键工序，应按照时间或工序形成完整的记录；</w:t>
      </w:r>
    </w:p>
    <w:p w14:paraId="1ECC6042">
      <w:pPr>
        <w:pStyle w:val="2"/>
        <w:spacing w:before="83" w:line="219" w:lineRule="auto"/>
        <w:ind w:left="740"/>
        <w:rPr>
          <w:sz w:val="20"/>
          <w:szCs w:val="20"/>
        </w:rPr>
      </w:pPr>
      <w:r>
        <w:rPr>
          <w:spacing w:val="1"/>
          <w:sz w:val="20"/>
          <w:szCs w:val="20"/>
        </w:rPr>
        <w:t>(3)记录表内容填写要完整，未经旁站人员和实施单位质检人员</w:t>
      </w:r>
      <w:r>
        <w:rPr>
          <w:sz w:val="20"/>
          <w:szCs w:val="20"/>
        </w:rPr>
        <w:t>签字不得进入下道工序；</w:t>
      </w:r>
    </w:p>
    <w:p w14:paraId="4ACAAC39">
      <w:pPr>
        <w:pStyle w:val="2"/>
        <w:spacing w:before="82" w:line="252" w:lineRule="auto"/>
        <w:ind w:left="320" w:right="70" w:firstLine="420"/>
        <w:rPr>
          <w:sz w:val="20"/>
          <w:szCs w:val="20"/>
        </w:rPr>
      </w:pPr>
      <w:r>
        <w:rPr>
          <w:spacing w:val="5"/>
          <w:sz w:val="20"/>
          <w:szCs w:val="20"/>
        </w:rPr>
        <w:t>(4)记录表内实施过程情况指所旁站的关键部位和关键工序实施情况，例如，人员上岗情</w:t>
      </w:r>
      <w:r>
        <w:rPr>
          <w:spacing w:val="18"/>
          <w:sz w:val="20"/>
          <w:szCs w:val="20"/>
        </w:rPr>
        <w:t xml:space="preserve"> </w:t>
      </w:r>
      <w:r>
        <w:rPr>
          <w:spacing w:val="-2"/>
          <w:sz w:val="20"/>
          <w:szCs w:val="20"/>
        </w:rPr>
        <w:t>况、材料使用情况、实施技术和操作情况、执行实施方案和强制性标准情况等；</w:t>
      </w:r>
    </w:p>
    <w:p w14:paraId="0348B4AB">
      <w:pPr>
        <w:pStyle w:val="2"/>
        <w:spacing w:before="83" w:line="219" w:lineRule="auto"/>
        <w:ind w:left="740"/>
        <w:rPr>
          <w:sz w:val="20"/>
          <w:szCs w:val="20"/>
        </w:rPr>
      </w:pPr>
      <w:r>
        <w:rPr>
          <w:spacing w:val="1"/>
          <w:sz w:val="20"/>
          <w:szCs w:val="20"/>
        </w:rPr>
        <w:t>(5)完成的工程量应写清准确的数值，以便为投资控制提供依据；</w:t>
      </w:r>
    </w:p>
    <w:p w14:paraId="56FECABB">
      <w:pPr>
        <w:pStyle w:val="2"/>
        <w:spacing w:before="84" w:line="248" w:lineRule="auto"/>
        <w:ind w:left="320" w:firstLine="420"/>
        <w:rPr>
          <w:sz w:val="20"/>
          <w:szCs w:val="20"/>
        </w:rPr>
      </w:pPr>
      <w:r>
        <w:rPr>
          <w:spacing w:val="2"/>
          <w:sz w:val="20"/>
          <w:szCs w:val="20"/>
        </w:rPr>
        <w:t>(6)监理情况主要记录旁站人员、时间、旁站监理内容、实施质量检查情况、评述意见等，</w:t>
      </w:r>
      <w:r>
        <w:rPr>
          <w:spacing w:val="6"/>
          <w:sz w:val="20"/>
          <w:szCs w:val="20"/>
        </w:rPr>
        <w:t xml:space="preserve"> </w:t>
      </w:r>
      <w:r>
        <w:rPr>
          <w:spacing w:val="-3"/>
          <w:sz w:val="20"/>
          <w:szCs w:val="20"/>
        </w:rPr>
        <w:t>将发现的问题做好记录，并提出处理意见；</w:t>
      </w:r>
    </w:p>
    <w:p w14:paraId="3BAF9162">
      <w:pPr>
        <w:pStyle w:val="2"/>
        <w:spacing w:before="84" w:line="263" w:lineRule="auto"/>
        <w:ind w:left="320" w:right="66" w:firstLine="420"/>
        <w:rPr>
          <w:sz w:val="20"/>
          <w:szCs w:val="20"/>
        </w:rPr>
      </w:pPr>
      <w:r>
        <w:rPr>
          <w:spacing w:val="6"/>
          <w:sz w:val="20"/>
          <w:szCs w:val="20"/>
        </w:rPr>
        <w:t>(7)质量管理体系运行情况主要记述旁站过程中</w:t>
      </w:r>
      <w:r>
        <w:rPr>
          <w:spacing w:val="5"/>
          <w:sz w:val="20"/>
          <w:szCs w:val="20"/>
        </w:rPr>
        <w:t>承建单位质量管理体系的管理人员是否到</w:t>
      </w:r>
      <w:r>
        <w:rPr>
          <w:sz w:val="20"/>
          <w:szCs w:val="20"/>
        </w:rPr>
        <w:t xml:space="preserve"> </w:t>
      </w:r>
      <w:r>
        <w:rPr>
          <w:spacing w:val="3"/>
          <w:sz w:val="20"/>
          <w:szCs w:val="20"/>
        </w:rPr>
        <w:t>位，是否按事先的要求对关键部位或关键工序进行检查，是否对不符合操作要求的实施人员进</w:t>
      </w:r>
      <w:r>
        <w:rPr>
          <w:spacing w:val="13"/>
          <w:sz w:val="20"/>
          <w:szCs w:val="20"/>
        </w:rPr>
        <w:t xml:space="preserve"> </w:t>
      </w:r>
      <w:r>
        <w:rPr>
          <w:spacing w:val="-4"/>
          <w:sz w:val="20"/>
          <w:szCs w:val="20"/>
        </w:rPr>
        <w:t>行督促，是否对出现的问题进行纠正；</w:t>
      </w:r>
    </w:p>
    <w:p w14:paraId="3E66E026">
      <w:pPr>
        <w:pStyle w:val="2"/>
        <w:spacing w:before="84" w:line="219" w:lineRule="auto"/>
        <w:ind w:left="740"/>
        <w:rPr>
          <w:sz w:val="20"/>
          <w:szCs w:val="20"/>
        </w:rPr>
      </w:pPr>
      <w:r>
        <w:rPr>
          <w:spacing w:val="2"/>
          <w:sz w:val="20"/>
          <w:szCs w:val="20"/>
        </w:rPr>
        <w:t>(8)若工程因意外情况发生停工，应写清停工原因及承</w:t>
      </w:r>
      <w:r>
        <w:rPr>
          <w:spacing w:val="1"/>
          <w:sz w:val="20"/>
          <w:szCs w:val="20"/>
        </w:rPr>
        <w:t>建单位所做的处理。</w:t>
      </w:r>
    </w:p>
    <w:p w14:paraId="3B28874B">
      <w:pPr>
        <w:pStyle w:val="2"/>
        <w:spacing w:before="83" w:line="268" w:lineRule="auto"/>
        <w:ind w:left="320" w:right="68" w:firstLine="420"/>
        <w:jc w:val="both"/>
        <w:rPr>
          <w:sz w:val="20"/>
          <w:szCs w:val="20"/>
        </w:rPr>
      </w:pPr>
      <w:r>
        <w:rPr>
          <w:spacing w:val="3"/>
          <w:sz w:val="20"/>
          <w:szCs w:val="20"/>
        </w:rPr>
        <w:t>总监理工程师或专业监理工程师通过对旁站记录的审阅，可以从中掌握关键过程或关键工 序的有关情况，针对出现的问题，分析原因，制定措施，保证关键过程或关键工序质量</w:t>
      </w:r>
      <w:r>
        <w:rPr>
          <w:spacing w:val="2"/>
          <w:sz w:val="20"/>
          <w:szCs w:val="20"/>
        </w:rPr>
        <w:t>，同时</w:t>
      </w:r>
      <w:r>
        <w:rPr>
          <w:sz w:val="20"/>
          <w:szCs w:val="20"/>
        </w:rPr>
        <w:t xml:space="preserve"> </w:t>
      </w:r>
      <w:r>
        <w:rPr>
          <w:spacing w:val="-3"/>
          <w:sz w:val="20"/>
          <w:szCs w:val="20"/>
        </w:rPr>
        <w:t>这也是监理工作的责任要求。</w:t>
      </w:r>
    </w:p>
    <w:p w14:paraId="3D8FCD5D">
      <w:pPr>
        <w:pStyle w:val="2"/>
        <w:spacing w:before="60" w:line="270" w:lineRule="auto"/>
        <w:ind w:left="320" w:right="70" w:firstLine="420"/>
        <w:jc w:val="both"/>
        <w:rPr>
          <w:sz w:val="20"/>
          <w:szCs w:val="20"/>
        </w:rPr>
      </w:pPr>
      <w:r>
        <w:rPr>
          <w:sz w:val="20"/>
          <w:szCs w:val="20"/>
        </w:rPr>
        <w:t>监理人员应对旁站记录进行定期整理，并报业主单位审阅。 一份好的旁站记录不仅可以使</w:t>
      </w:r>
      <w:r>
        <w:rPr>
          <w:spacing w:val="18"/>
          <w:sz w:val="20"/>
          <w:szCs w:val="20"/>
        </w:rPr>
        <w:t xml:space="preserve"> </w:t>
      </w:r>
      <w:r>
        <w:rPr>
          <w:spacing w:val="3"/>
          <w:sz w:val="20"/>
          <w:szCs w:val="20"/>
        </w:rPr>
        <w:t>业主单位掌握工程动态，更重要的是使业主单位了解监理工作，了解监理单位的服务宗旨与服</w:t>
      </w:r>
      <w:r>
        <w:rPr>
          <w:spacing w:val="13"/>
          <w:sz w:val="20"/>
          <w:szCs w:val="20"/>
        </w:rPr>
        <w:t xml:space="preserve"> </w:t>
      </w:r>
      <w:r>
        <w:rPr>
          <w:spacing w:val="3"/>
          <w:sz w:val="20"/>
          <w:szCs w:val="20"/>
        </w:rPr>
        <w:t>务方向，树立监理单位的良好形象，同时监理人员也可从中听取业主单位的意见</w:t>
      </w:r>
      <w:r>
        <w:rPr>
          <w:spacing w:val="2"/>
          <w:sz w:val="20"/>
          <w:szCs w:val="20"/>
        </w:rPr>
        <w:t>，及时改进监</w:t>
      </w:r>
      <w:r>
        <w:rPr>
          <w:sz w:val="20"/>
          <w:szCs w:val="20"/>
        </w:rPr>
        <w:t xml:space="preserve"> </w:t>
      </w:r>
      <w:r>
        <w:rPr>
          <w:spacing w:val="-4"/>
          <w:sz w:val="20"/>
          <w:szCs w:val="20"/>
        </w:rPr>
        <w:t>理工作，提高服务质量。</w:t>
      </w:r>
    </w:p>
    <w:p w14:paraId="4A428047">
      <w:pPr>
        <w:pStyle w:val="2"/>
        <w:spacing w:before="219" w:line="221" w:lineRule="auto"/>
        <w:ind w:left="322"/>
        <w:rPr>
          <w:sz w:val="26"/>
          <w:szCs w:val="26"/>
        </w:rPr>
      </w:pPr>
      <w:r>
        <w:rPr>
          <w:b/>
          <w:bCs/>
          <w:color w:val="0074DA"/>
          <w:spacing w:val="-25"/>
          <w:sz w:val="26"/>
          <w:szCs w:val="26"/>
        </w:rPr>
        <w:t>10.4.4</w:t>
      </w:r>
      <w:r>
        <w:rPr>
          <w:color w:val="0074DA"/>
          <w:spacing w:val="-25"/>
          <w:sz w:val="26"/>
          <w:szCs w:val="26"/>
        </w:rPr>
        <w:t xml:space="preserve">  </w:t>
      </w:r>
      <w:r>
        <w:rPr>
          <w:b/>
          <w:bCs/>
          <w:color w:val="0074DA"/>
          <w:spacing w:val="-25"/>
          <w:sz w:val="26"/>
          <w:szCs w:val="26"/>
        </w:rPr>
        <w:t>抽查</w:t>
      </w:r>
    </w:p>
    <w:p w14:paraId="1B8207CB">
      <w:pPr>
        <w:pStyle w:val="2"/>
        <w:spacing w:before="147" w:line="219" w:lineRule="auto"/>
        <w:ind w:left="740"/>
        <w:rPr>
          <w:sz w:val="20"/>
          <w:szCs w:val="20"/>
        </w:rPr>
      </w:pPr>
      <w:r>
        <w:rPr>
          <w:spacing w:val="3"/>
          <w:sz w:val="20"/>
          <w:szCs w:val="20"/>
        </w:rPr>
        <w:t>信息系统工程建设过程中的抽查主要针对计算机设备、网络设备、软件产品以及其他外围</w:t>
      </w:r>
    </w:p>
    <w:p w14:paraId="0AF94C4B">
      <w:pPr>
        <w:spacing w:line="219" w:lineRule="auto"/>
        <w:rPr>
          <w:sz w:val="20"/>
          <w:szCs w:val="20"/>
        </w:rPr>
        <w:sectPr>
          <w:pgSz w:w="10300" w:h="13400"/>
          <w:pgMar w:top="400" w:right="1079" w:bottom="400" w:left="489" w:header="0" w:footer="0" w:gutter="0"/>
          <w:cols w:space="720" w:num="1"/>
        </w:sectPr>
      </w:pPr>
    </w:p>
    <w:p w14:paraId="3606C8E2">
      <w:pPr>
        <w:pStyle w:val="2"/>
        <w:spacing w:before="97" w:line="219" w:lineRule="auto"/>
        <w:jc w:val="right"/>
        <w:rPr>
          <w:rFonts w:ascii="Times New Roman" w:hAnsi="Times New Roman" w:eastAsia="Times New Roman" w:cs="Times New Roman"/>
          <w:sz w:val="20"/>
          <w:szCs w:val="20"/>
        </w:rPr>
      </w:pPr>
      <w:r>
        <w:rPr>
          <w:spacing w:val="1"/>
          <w:sz w:val="20"/>
          <w:szCs w:val="20"/>
        </w:rPr>
        <w:t>第10章</w:t>
      </w:r>
      <w:r>
        <w:rPr>
          <w:spacing w:val="20"/>
          <w:sz w:val="20"/>
          <w:szCs w:val="20"/>
        </w:rPr>
        <w:t xml:space="preserve"> </w:t>
      </w:r>
      <w:r>
        <w:rPr>
          <w:spacing w:val="1"/>
          <w:sz w:val="20"/>
          <w:szCs w:val="20"/>
        </w:rPr>
        <w:t>质量控制</w:t>
      </w:r>
      <w:r>
        <w:rPr>
          <w:spacing w:val="16"/>
          <w:sz w:val="20"/>
          <w:szCs w:val="20"/>
        </w:rPr>
        <w:t xml:space="preserve">     </w:t>
      </w:r>
      <w:r>
        <w:rPr>
          <w:rFonts w:ascii="Times New Roman" w:hAnsi="Times New Roman" w:eastAsia="Times New Roman" w:cs="Times New Roman"/>
          <w:spacing w:val="1"/>
          <w:sz w:val="20"/>
          <w:szCs w:val="20"/>
        </w:rPr>
        <w:t>251</w:t>
      </w:r>
    </w:p>
    <w:p w14:paraId="1E511E38">
      <w:pPr>
        <w:spacing w:line="305" w:lineRule="auto"/>
        <w:rPr>
          <w:rFonts w:ascii="Arial"/>
          <w:sz w:val="21"/>
        </w:rPr>
      </w:pPr>
    </w:p>
    <w:p w14:paraId="6D141DD8">
      <w:pPr>
        <w:pStyle w:val="2"/>
        <w:spacing w:before="65" w:line="219" w:lineRule="auto"/>
        <w:rPr>
          <w:sz w:val="20"/>
          <w:szCs w:val="20"/>
        </w:rPr>
      </w:pPr>
      <w:r>
        <w:rPr>
          <w:spacing w:val="-1"/>
          <w:sz w:val="20"/>
          <w:szCs w:val="20"/>
        </w:rPr>
        <w:t>设备的到货验收检查，以及对项目实施过程中有可能发生质量问题的环节随时进行检查。</w:t>
      </w:r>
    </w:p>
    <w:p w14:paraId="43E31516">
      <w:pPr>
        <w:pStyle w:val="2"/>
        <w:spacing w:before="149" w:line="222" w:lineRule="auto"/>
        <w:ind w:left="392"/>
        <w:rPr>
          <w:rFonts w:ascii="黑体" w:hAnsi="黑体" w:eastAsia="黑体" w:cs="黑体"/>
          <w:sz w:val="20"/>
          <w:szCs w:val="20"/>
        </w:rPr>
      </w:pPr>
      <w:bookmarkStart w:id="622" w:name="bookmark607"/>
      <w:bookmarkEnd w:id="622"/>
      <w:r>
        <w:rPr>
          <w:b/>
          <w:bCs/>
          <w:color w:val="0058CC"/>
          <w:spacing w:val="-2"/>
          <w:sz w:val="20"/>
          <w:szCs w:val="20"/>
        </w:rPr>
        <w:t>1.</w:t>
      </w:r>
      <w:r>
        <w:rPr>
          <w:rFonts w:ascii="黑体" w:hAnsi="黑体" w:eastAsia="黑体" w:cs="黑体"/>
          <w:b/>
          <w:bCs/>
          <w:color w:val="0058CC"/>
          <w:spacing w:val="-2"/>
          <w:sz w:val="20"/>
          <w:szCs w:val="20"/>
        </w:rPr>
        <w:t>到货验收的抽查</w:t>
      </w:r>
    </w:p>
    <w:p w14:paraId="4C8078A6">
      <w:pPr>
        <w:pStyle w:val="2"/>
        <w:spacing w:before="164" w:line="279" w:lineRule="auto"/>
        <w:ind w:right="280" w:firstLine="389"/>
        <w:jc w:val="both"/>
        <w:rPr>
          <w:sz w:val="20"/>
          <w:szCs w:val="20"/>
        </w:rPr>
      </w:pPr>
      <w:r>
        <w:rPr>
          <w:spacing w:val="1"/>
          <w:sz w:val="20"/>
          <w:szCs w:val="20"/>
        </w:rPr>
        <w:t>对于到货验收的抽查，主要是针对大量设备到货情况。例如， 一次进来上百台不同型号的</w:t>
      </w:r>
      <w:r>
        <w:rPr>
          <w:spacing w:val="4"/>
          <w:sz w:val="20"/>
          <w:szCs w:val="20"/>
        </w:rPr>
        <w:t xml:space="preserve"> </w:t>
      </w:r>
      <w:r>
        <w:rPr>
          <w:spacing w:val="3"/>
          <w:sz w:val="20"/>
          <w:szCs w:val="20"/>
        </w:rPr>
        <w:t>设备，这时就需要对不同型号的产品进行抽查。在抽查时，要有详细的记录。对于少量设备到</w:t>
      </w:r>
      <w:r>
        <w:rPr>
          <w:spacing w:val="9"/>
          <w:sz w:val="20"/>
          <w:szCs w:val="20"/>
        </w:rPr>
        <w:t xml:space="preserve"> </w:t>
      </w:r>
      <w:r>
        <w:rPr>
          <w:spacing w:val="3"/>
          <w:sz w:val="20"/>
          <w:szCs w:val="20"/>
        </w:rPr>
        <w:t>货的情况，要逐一检查。在验收过程中，要详细记录查验设备的参数、功能、品牌、型号、产</w:t>
      </w:r>
      <w:r>
        <w:rPr>
          <w:spacing w:val="8"/>
          <w:sz w:val="20"/>
          <w:szCs w:val="20"/>
        </w:rPr>
        <w:t xml:space="preserve"> </w:t>
      </w:r>
      <w:r>
        <w:rPr>
          <w:spacing w:val="-3"/>
          <w:sz w:val="20"/>
          <w:szCs w:val="20"/>
        </w:rPr>
        <w:t>地、数量、外观及相关材料。</w:t>
      </w:r>
    </w:p>
    <w:p w14:paraId="181FC2E5">
      <w:pPr>
        <w:pStyle w:val="2"/>
        <w:spacing w:before="126" w:line="222" w:lineRule="auto"/>
        <w:ind w:left="392"/>
        <w:rPr>
          <w:rFonts w:ascii="黑体" w:hAnsi="黑体" w:eastAsia="黑体" w:cs="黑体"/>
          <w:sz w:val="20"/>
          <w:szCs w:val="20"/>
        </w:rPr>
      </w:pPr>
      <w:r>
        <w:rPr>
          <w:b/>
          <w:bCs/>
          <w:color w:val="005EDB"/>
          <w:spacing w:val="-3"/>
          <w:sz w:val="20"/>
          <w:szCs w:val="20"/>
        </w:rPr>
        <w:t>2.</w:t>
      </w:r>
      <w:r>
        <w:rPr>
          <w:rFonts w:ascii="黑体" w:hAnsi="黑体" w:eastAsia="黑体" w:cs="黑体"/>
          <w:b/>
          <w:bCs/>
          <w:color w:val="005EDB"/>
          <w:spacing w:val="-3"/>
          <w:sz w:val="20"/>
          <w:szCs w:val="20"/>
        </w:rPr>
        <w:t>实施过程的抽查</w:t>
      </w:r>
    </w:p>
    <w:p w14:paraId="14A6A1BE">
      <w:pPr>
        <w:pStyle w:val="2"/>
        <w:spacing w:before="124" w:line="290" w:lineRule="auto"/>
        <w:ind w:right="285" w:firstLine="389"/>
        <w:rPr>
          <w:sz w:val="20"/>
          <w:szCs w:val="20"/>
        </w:rPr>
      </w:pPr>
      <w:r>
        <w:rPr>
          <w:spacing w:val="4"/>
          <w:sz w:val="20"/>
          <w:szCs w:val="20"/>
        </w:rPr>
        <w:t>在软件开发过程中，监理工程师可以随时抽查开发</w:t>
      </w:r>
      <w:r>
        <w:rPr>
          <w:spacing w:val="3"/>
          <w:sz w:val="20"/>
          <w:szCs w:val="20"/>
        </w:rPr>
        <w:t>文档的编写情况，测试执行情况，功能</w:t>
      </w:r>
      <w:r>
        <w:rPr>
          <w:sz w:val="20"/>
          <w:szCs w:val="20"/>
        </w:rPr>
        <w:t xml:space="preserve"> </w:t>
      </w:r>
      <w:r>
        <w:rPr>
          <w:spacing w:val="-3"/>
          <w:sz w:val="20"/>
          <w:szCs w:val="20"/>
        </w:rPr>
        <w:t>和性能，已经完成的代码是否符合基本的开发规范等。</w:t>
      </w:r>
    </w:p>
    <w:p w14:paraId="407C5E51">
      <w:pPr>
        <w:spacing w:line="277" w:lineRule="auto"/>
        <w:rPr>
          <w:rFonts w:ascii="Arial"/>
          <w:sz w:val="21"/>
        </w:rPr>
      </w:pPr>
    </w:p>
    <w:p w14:paraId="14AA8D7A">
      <w:pPr>
        <w:pStyle w:val="2"/>
        <w:spacing w:before="92" w:line="222" w:lineRule="auto"/>
        <w:ind w:left="44"/>
        <w:rPr>
          <w:rFonts w:ascii="黑体" w:hAnsi="黑体" w:eastAsia="黑体" w:cs="黑体"/>
          <w:sz w:val="28"/>
          <w:szCs w:val="28"/>
        </w:rPr>
      </w:pPr>
      <w:r>
        <w:rPr>
          <w:b/>
          <w:bCs/>
          <w:color w:val="0069E1"/>
          <w:spacing w:val="-8"/>
          <w:sz w:val="28"/>
          <w:szCs w:val="28"/>
        </w:rPr>
        <w:t>10.5</w:t>
      </w:r>
      <w:r>
        <w:rPr>
          <w:color w:val="0069E1"/>
          <w:spacing w:val="104"/>
          <w:sz w:val="28"/>
          <w:szCs w:val="28"/>
        </w:rPr>
        <w:t xml:space="preserve"> </w:t>
      </w:r>
      <w:r>
        <w:rPr>
          <w:rFonts w:ascii="黑体" w:hAnsi="黑体" w:eastAsia="黑体" w:cs="黑体"/>
          <w:b/>
          <w:bCs/>
          <w:color w:val="0069E1"/>
          <w:spacing w:val="-8"/>
          <w:sz w:val="28"/>
          <w:szCs w:val="28"/>
        </w:rPr>
        <w:t>质量控制点</w:t>
      </w:r>
    </w:p>
    <w:p w14:paraId="60013E9A">
      <w:pPr>
        <w:spacing w:line="283" w:lineRule="auto"/>
        <w:rPr>
          <w:rFonts w:ascii="Arial"/>
          <w:sz w:val="21"/>
        </w:rPr>
      </w:pPr>
    </w:p>
    <w:p w14:paraId="663399E8">
      <w:pPr>
        <w:pStyle w:val="2"/>
        <w:spacing w:before="65" w:line="222" w:lineRule="auto"/>
        <w:ind w:left="392"/>
        <w:rPr>
          <w:rFonts w:ascii="黑体" w:hAnsi="黑体" w:eastAsia="黑体" w:cs="黑体"/>
          <w:sz w:val="20"/>
          <w:szCs w:val="20"/>
        </w:rPr>
      </w:pPr>
      <w:r>
        <w:rPr>
          <w:b/>
          <w:bCs/>
          <w:color w:val="0479EE"/>
          <w:spacing w:val="-3"/>
          <w:sz w:val="20"/>
          <w:szCs w:val="20"/>
        </w:rPr>
        <w:t>1.</w:t>
      </w:r>
      <w:r>
        <w:rPr>
          <w:rFonts w:ascii="黑体" w:hAnsi="黑体" w:eastAsia="黑体" w:cs="黑体"/>
          <w:b/>
          <w:bCs/>
          <w:color w:val="0479EE"/>
          <w:spacing w:val="-3"/>
          <w:sz w:val="20"/>
          <w:szCs w:val="20"/>
        </w:rPr>
        <w:t>设置质量控制点的目的</w:t>
      </w:r>
    </w:p>
    <w:p w14:paraId="3D2EDBEB">
      <w:pPr>
        <w:pStyle w:val="2"/>
        <w:spacing w:before="141" w:line="282" w:lineRule="auto"/>
        <w:ind w:right="277" w:firstLine="389"/>
        <w:jc w:val="both"/>
        <w:rPr>
          <w:sz w:val="20"/>
          <w:szCs w:val="20"/>
        </w:rPr>
      </w:pPr>
      <w:r>
        <w:rPr>
          <w:spacing w:val="4"/>
          <w:sz w:val="20"/>
          <w:szCs w:val="20"/>
        </w:rPr>
        <w:t>质量控制点是指对信息系统工程建设项目的重</w:t>
      </w:r>
      <w:r>
        <w:rPr>
          <w:spacing w:val="3"/>
          <w:sz w:val="20"/>
          <w:szCs w:val="20"/>
        </w:rPr>
        <w:t>点控制对象或重点建设进程实施有效的质量</w:t>
      </w:r>
      <w:r>
        <w:rPr>
          <w:sz w:val="20"/>
          <w:szCs w:val="20"/>
        </w:rPr>
        <w:t xml:space="preserve"> </w:t>
      </w:r>
      <w:r>
        <w:rPr>
          <w:spacing w:val="3"/>
          <w:sz w:val="20"/>
          <w:szCs w:val="20"/>
        </w:rPr>
        <w:t>控制而设置的一种管理模式。在工程项目进行的不同阶段，依据项目的具体情况，可设置不同</w:t>
      </w:r>
      <w:r>
        <w:rPr>
          <w:spacing w:val="13"/>
          <w:sz w:val="20"/>
          <w:szCs w:val="20"/>
        </w:rPr>
        <w:t xml:space="preserve"> </w:t>
      </w:r>
      <w:r>
        <w:rPr>
          <w:spacing w:val="3"/>
          <w:sz w:val="20"/>
          <w:szCs w:val="20"/>
        </w:rPr>
        <w:t>的质量控制点，通常情况下可以分为工程招标阶段的质量控制点、设计阶段的质量控制点、实</w:t>
      </w:r>
      <w:r>
        <w:rPr>
          <w:spacing w:val="6"/>
          <w:sz w:val="20"/>
          <w:szCs w:val="20"/>
        </w:rPr>
        <w:t xml:space="preserve"> </w:t>
      </w:r>
      <w:r>
        <w:rPr>
          <w:spacing w:val="3"/>
          <w:sz w:val="20"/>
          <w:szCs w:val="20"/>
        </w:rPr>
        <w:t>施阶段的质量控制点、验收阶段的质量控制点和运行维护阶段的质量控制点。其目的就是通过 对控制点的设置，可以将工程质量总目标分解为各控制点的分目标，通过对各控制点分目标的</w:t>
      </w:r>
      <w:r>
        <w:rPr>
          <w:spacing w:val="11"/>
          <w:sz w:val="20"/>
          <w:szCs w:val="20"/>
        </w:rPr>
        <w:t xml:space="preserve"> </w:t>
      </w:r>
      <w:r>
        <w:rPr>
          <w:spacing w:val="-2"/>
          <w:sz w:val="20"/>
          <w:szCs w:val="20"/>
        </w:rPr>
        <w:t>控制，最终实现对工程质量总目标的控制。</w:t>
      </w:r>
    </w:p>
    <w:p w14:paraId="2AB49089">
      <w:pPr>
        <w:pStyle w:val="2"/>
        <w:spacing w:before="115" w:line="222" w:lineRule="auto"/>
        <w:ind w:left="392"/>
        <w:rPr>
          <w:rFonts w:ascii="黑体" w:hAnsi="黑体" w:eastAsia="黑体" w:cs="黑体"/>
          <w:sz w:val="20"/>
          <w:szCs w:val="20"/>
        </w:rPr>
      </w:pPr>
      <w:r>
        <w:rPr>
          <w:b/>
          <w:bCs/>
          <w:color w:val="005AD1"/>
          <w:spacing w:val="-3"/>
          <w:sz w:val="20"/>
          <w:szCs w:val="20"/>
        </w:rPr>
        <w:t>2.</w:t>
      </w:r>
      <w:r>
        <w:rPr>
          <w:rFonts w:ascii="黑体" w:hAnsi="黑体" w:eastAsia="黑体" w:cs="黑体"/>
          <w:b/>
          <w:bCs/>
          <w:color w:val="005AD1"/>
          <w:spacing w:val="-3"/>
          <w:sz w:val="20"/>
          <w:szCs w:val="20"/>
        </w:rPr>
        <w:t>设置质量控制点的意义</w:t>
      </w:r>
    </w:p>
    <w:p w14:paraId="443EF040">
      <w:pPr>
        <w:pStyle w:val="2"/>
        <w:spacing w:before="143" w:line="219" w:lineRule="auto"/>
        <w:ind w:left="389"/>
        <w:rPr>
          <w:sz w:val="20"/>
          <w:szCs w:val="20"/>
        </w:rPr>
      </w:pPr>
      <w:r>
        <w:rPr>
          <w:spacing w:val="-3"/>
          <w:sz w:val="20"/>
          <w:szCs w:val="20"/>
        </w:rPr>
        <w:t>设置质量控制点的意义具体包括以下几个方面：</w:t>
      </w:r>
    </w:p>
    <w:p w14:paraId="56685E2C">
      <w:pPr>
        <w:pStyle w:val="2"/>
        <w:spacing w:before="64" w:line="258" w:lineRule="auto"/>
        <w:ind w:right="303" w:firstLine="389"/>
        <w:rPr>
          <w:sz w:val="20"/>
          <w:szCs w:val="20"/>
        </w:rPr>
      </w:pPr>
      <w:r>
        <w:rPr>
          <w:spacing w:val="6"/>
          <w:sz w:val="20"/>
          <w:szCs w:val="20"/>
        </w:rPr>
        <w:t>(1)便于对工程质量总目标的分解，可以将复</w:t>
      </w:r>
      <w:r>
        <w:rPr>
          <w:spacing w:val="5"/>
          <w:sz w:val="20"/>
          <w:szCs w:val="20"/>
        </w:rPr>
        <w:t>杂的工程质量总目标分化为一系列简单分项</w:t>
      </w:r>
      <w:r>
        <w:rPr>
          <w:sz w:val="20"/>
          <w:szCs w:val="20"/>
        </w:rPr>
        <w:t xml:space="preserve"> </w:t>
      </w:r>
      <w:r>
        <w:rPr>
          <w:spacing w:val="-7"/>
          <w:sz w:val="20"/>
          <w:szCs w:val="20"/>
        </w:rPr>
        <w:t>的目标控制；</w:t>
      </w:r>
    </w:p>
    <w:p w14:paraId="6EA1DB46">
      <w:pPr>
        <w:pStyle w:val="2"/>
        <w:spacing w:before="71" w:line="252" w:lineRule="auto"/>
        <w:ind w:right="245" w:firstLine="389"/>
        <w:rPr>
          <w:sz w:val="20"/>
          <w:szCs w:val="20"/>
        </w:rPr>
      </w:pPr>
      <w:r>
        <w:rPr>
          <w:spacing w:val="2"/>
          <w:sz w:val="20"/>
          <w:szCs w:val="20"/>
        </w:rPr>
        <w:t>(2)有利于监理工程师和承建单位的控制管理人员及时分析和掌握控制点所处的环境</w:t>
      </w:r>
      <w:r>
        <w:rPr>
          <w:spacing w:val="1"/>
          <w:sz w:val="20"/>
          <w:szCs w:val="20"/>
        </w:rPr>
        <w:t>因素，</w:t>
      </w:r>
      <w:r>
        <w:rPr>
          <w:sz w:val="20"/>
          <w:szCs w:val="20"/>
        </w:rPr>
        <w:t xml:space="preserve"> </w:t>
      </w:r>
      <w:r>
        <w:rPr>
          <w:spacing w:val="-2"/>
          <w:sz w:val="20"/>
          <w:szCs w:val="20"/>
        </w:rPr>
        <w:t>易于分析各种干扰条件对有关分项目标产生的影响及其影响程度的</w:t>
      </w:r>
      <w:r>
        <w:rPr>
          <w:spacing w:val="-3"/>
          <w:sz w:val="20"/>
          <w:szCs w:val="20"/>
        </w:rPr>
        <w:t>测定；</w:t>
      </w:r>
    </w:p>
    <w:p w14:paraId="79594B25">
      <w:pPr>
        <w:pStyle w:val="2"/>
        <w:spacing w:before="74" w:line="248" w:lineRule="auto"/>
        <w:ind w:right="287" w:firstLine="389"/>
        <w:rPr>
          <w:sz w:val="20"/>
          <w:szCs w:val="20"/>
        </w:rPr>
      </w:pPr>
      <w:r>
        <w:rPr>
          <w:spacing w:val="6"/>
          <w:sz w:val="20"/>
          <w:szCs w:val="20"/>
        </w:rPr>
        <w:t>(3)有利于监理工程师和承建单位的控制管理人员监测分项控制目标，计算分项</w:t>
      </w:r>
      <w:r>
        <w:rPr>
          <w:spacing w:val="5"/>
          <w:sz w:val="20"/>
          <w:szCs w:val="20"/>
        </w:rPr>
        <w:t>控制目标</w:t>
      </w:r>
      <w:r>
        <w:rPr>
          <w:sz w:val="20"/>
          <w:szCs w:val="20"/>
        </w:rPr>
        <w:t xml:space="preserve"> </w:t>
      </w:r>
      <w:r>
        <w:rPr>
          <w:spacing w:val="-5"/>
          <w:sz w:val="20"/>
          <w:szCs w:val="20"/>
        </w:rPr>
        <w:t>值与实际目标值的偏差；</w:t>
      </w:r>
    </w:p>
    <w:p w14:paraId="423426AD">
      <w:pPr>
        <w:pStyle w:val="2"/>
        <w:spacing w:before="61" w:line="258" w:lineRule="auto"/>
        <w:ind w:right="295" w:firstLine="389"/>
        <w:rPr>
          <w:sz w:val="20"/>
          <w:szCs w:val="20"/>
        </w:rPr>
      </w:pPr>
      <w:r>
        <w:rPr>
          <w:spacing w:val="6"/>
          <w:sz w:val="20"/>
          <w:szCs w:val="20"/>
        </w:rPr>
        <w:t>(4)由于质量控制点目标单一，且干扰因素便于测定，有利于</w:t>
      </w:r>
      <w:r>
        <w:rPr>
          <w:spacing w:val="5"/>
          <w:sz w:val="20"/>
          <w:szCs w:val="20"/>
        </w:rPr>
        <w:t>监理工程师和承建单位的控</w:t>
      </w:r>
      <w:r>
        <w:rPr>
          <w:sz w:val="20"/>
          <w:szCs w:val="20"/>
        </w:rPr>
        <w:t xml:space="preserve"> </w:t>
      </w:r>
      <w:r>
        <w:rPr>
          <w:spacing w:val="-3"/>
          <w:sz w:val="20"/>
          <w:szCs w:val="20"/>
        </w:rPr>
        <w:t>制管理人员制定、实施纠偏措施和控制对策；</w:t>
      </w:r>
    </w:p>
    <w:p w14:paraId="7FB3D762">
      <w:pPr>
        <w:pStyle w:val="2"/>
        <w:spacing w:before="51" w:line="258" w:lineRule="auto"/>
        <w:ind w:right="215" w:firstLine="389"/>
        <w:rPr>
          <w:sz w:val="20"/>
          <w:szCs w:val="20"/>
        </w:rPr>
      </w:pPr>
      <w:r>
        <w:rPr>
          <w:spacing w:val="8"/>
          <w:sz w:val="20"/>
          <w:szCs w:val="20"/>
        </w:rPr>
        <w:t>(5)通过对下层级质量控制点分项目标的实现，对上层级质量控</w:t>
      </w:r>
      <w:r>
        <w:rPr>
          <w:spacing w:val="7"/>
          <w:sz w:val="20"/>
          <w:szCs w:val="20"/>
        </w:rPr>
        <w:t>制点分项目标提供保证，</w:t>
      </w:r>
      <w:r>
        <w:rPr>
          <w:sz w:val="20"/>
          <w:szCs w:val="20"/>
        </w:rPr>
        <w:t xml:space="preserve"> </w:t>
      </w:r>
      <w:r>
        <w:rPr>
          <w:spacing w:val="-1"/>
          <w:sz w:val="20"/>
          <w:szCs w:val="20"/>
        </w:rPr>
        <w:t>从而可以保证上层级质量控制点分项控制目标的实现，直到工程质量总目标的最终实现。</w:t>
      </w:r>
    </w:p>
    <w:p w14:paraId="6AF30186">
      <w:pPr>
        <w:pStyle w:val="2"/>
        <w:spacing w:before="158" w:line="222" w:lineRule="auto"/>
        <w:ind w:left="392"/>
        <w:rPr>
          <w:rFonts w:ascii="黑体" w:hAnsi="黑体" w:eastAsia="黑体" w:cs="黑体"/>
          <w:sz w:val="20"/>
          <w:szCs w:val="20"/>
        </w:rPr>
      </w:pPr>
      <w:r>
        <w:rPr>
          <w:b/>
          <w:bCs/>
          <w:color w:val="0056D9"/>
          <w:spacing w:val="-1"/>
          <w:sz w:val="20"/>
          <w:szCs w:val="20"/>
        </w:rPr>
        <w:t>3.</w:t>
      </w:r>
      <w:r>
        <w:rPr>
          <w:rFonts w:ascii="黑体" w:hAnsi="黑体" w:eastAsia="黑体" w:cs="黑体"/>
          <w:b/>
          <w:bCs/>
          <w:color w:val="0056D9"/>
          <w:spacing w:val="-1"/>
          <w:sz w:val="20"/>
          <w:szCs w:val="20"/>
        </w:rPr>
        <w:t>质量控制点的设置原则</w:t>
      </w:r>
    </w:p>
    <w:p w14:paraId="1D0357F4">
      <w:pPr>
        <w:pStyle w:val="2"/>
        <w:spacing w:before="134" w:line="219" w:lineRule="auto"/>
        <w:ind w:left="389"/>
        <w:rPr>
          <w:sz w:val="20"/>
          <w:szCs w:val="20"/>
        </w:rPr>
      </w:pPr>
      <w:r>
        <w:rPr>
          <w:spacing w:val="-4"/>
          <w:sz w:val="20"/>
          <w:szCs w:val="20"/>
        </w:rPr>
        <w:t>设置质量控制点应遵循以下原则：</w:t>
      </w:r>
    </w:p>
    <w:p w14:paraId="56CD8AAF">
      <w:pPr>
        <w:pStyle w:val="2"/>
        <w:spacing w:before="83" w:line="220" w:lineRule="auto"/>
        <w:ind w:left="389"/>
        <w:rPr>
          <w:sz w:val="20"/>
          <w:szCs w:val="20"/>
        </w:rPr>
      </w:pPr>
      <w:r>
        <w:rPr>
          <w:spacing w:val="6"/>
          <w:sz w:val="20"/>
          <w:szCs w:val="20"/>
        </w:rPr>
        <w:t>(1)选择的质量控制点应该突出重点。质量控</w:t>
      </w:r>
      <w:r>
        <w:rPr>
          <w:spacing w:val="5"/>
          <w:sz w:val="20"/>
          <w:szCs w:val="20"/>
        </w:rPr>
        <w:t>制点应放置在工程项目建设活动中的关键时</w:t>
      </w:r>
    </w:p>
    <w:p w14:paraId="66B7F515">
      <w:pPr>
        <w:spacing w:line="220" w:lineRule="auto"/>
        <w:rPr>
          <w:sz w:val="20"/>
          <w:szCs w:val="20"/>
        </w:rPr>
        <w:sectPr>
          <w:pgSz w:w="10290" w:h="13270"/>
          <w:pgMar w:top="400" w:right="504" w:bottom="400" w:left="1169" w:header="0" w:footer="0" w:gutter="0"/>
          <w:cols w:space="720" w:num="1"/>
        </w:sectPr>
      </w:pPr>
    </w:p>
    <w:p w14:paraId="20DD66B2">
      <w:pPr>
        <w:pStyle w:val="2"/>
        <w:spacing w:before="88" w:line="222" w:lineRule="auto"/>
        <w:rPr>
          <w:sz w:val="20"/>
          <w:szCs w:val="20"/>
        </w:rPr>
      </w:pPr>
      <w:r>
        <w:rPr>
          <w:rFonts w:ascii="Times New Roman" w:hAnsi="Times New Roman" w:eastAsia="Times New Roman" w:cs="Times New Roman"/>
          <w:spacing w:val="-4"/>
          <w:position w:val="-8"/>
          <w:sz w:val="27"/>
          <w:szCs w:val="27"/>
        </w:rPr>
        <w:t>25</w:t>
      </w:r>
      <w:r>
        <w:rPr>
          <w:rFonts w:ascii="Times New Roman" w:hAnsi="Times New Roman" w:eastAsia="Times New Roman" w:cs="Times New Roman"/>
          <w:color w:val="008DEC"/>
          <w:spacing w:val="-4"/>
          <w:position w:val="-8"/>
          <w:sz w:val="27"/>
          <w:szCs w:val="27"/>
        </w:rPr>
        <w:t>2</w:t>
      </w:r>
      <w:r>
        <w:rPr>
          <w:rFonts w:ascii="Times New Roman" w:hAnsi="Times New Roman" w:eastAsia="Times New Roman" w:cs="Times New Roman"/>
          <w:color w:val="008DEC"/>
          <w:spacing w:val="2"/>
          <w:position w:val="-8"/>
          <w:sz w:val="27"/>
          <w:szCs w:val="27"/>
        </w:rPr>
        <w:t xml:space="preserve">         </w:t>
      </w:r>
      <w:r>
        <w:rPr>
          <w:spacing w:val="-4"/>
          <w:position w:val="1"/>
          <w:sz w:val="20"/>
          <w:szCs w:val="20"/>
        </w:rPr>
        <w:t>信息系统监理师教程(第2版)</w:t>
      </w:r>
    </w:p>
    <w:p w14:paraId="0185B3BF">
      <w:pPr>
        <w:pStyle w:val="2"/>
        <w:spacing w:before="281" w:line="287" w:lineRule="auto"/>
        <w:ind w:left="379"/>
        <w:jc w:val="both"/>
        <w:rPr>
          <w:sz w:val="20"/>
          <w:szCs w:val="20"/>
        </w:rPr>
      </w:pPr>
      <w:r>
        <w:rPr>
          <w:sz w:val="20"/>
          <w:szCs w:val="20"/>
        </w:rPr>
        <w:t>刻和关键部位，有利于控制影响工程质量目标的关键因素。例如，对于一个应用软件开发项目，</w:t>
      </w:r>
      <w:r>
        <w:rPr>
          <w:spacing w:val="8"/>
          <w:sz w:val="20"/>
          <w:szCs w:val="20"/>
        </w:rPr>
        <w:t xml:space="preserve"> </w:t>
      </w:r>
      <w:r>
        <w:rPr>
          <w:spacing w:val="3"/>
          <w:sz w:val="20"/>
          <w:szCs w:val="20"/>
        </w:rPr>
        <w:t>需求获取阶段关系整个应用系统的成败，而这一部分工作往往做得不够细致，因</w:t>
      </w:r>
      <w:r>
        <w:rPr>
          <w:spacing w:val="2"/>
          <w:sz w:val="20"/>
          <w:szCs w:val="20"/>
        </w:rPr>
        <w:t>此监理机构可</w:t>
      </w:r>
      <w:r>
        <w:rPr>
          <w:sz w:val="20"/>
          <w:szCs w:val="20"/>
        </w:rPr>
        <w:t xml:space="preserve">  </w:t>
      </w:r>
      <w:r>
        <w:rPr>
          <w:spacing w:val="-2"/>
          <w:sz w:val="20"/>
          <w:szCs w:val="20"/>
        </w:rPr>
        <w:t>以把需求获取作为一个质量控制点，制定详细的需求获取</w:t>
      </w:r>
      <w:r>
        <w:rPr>
          <w:spacing w:val="-3"/>
          <w:sz w:val="20"/>
          <w:szCs w:val="20"/>
        </w:rPr>
        <w:t>方案。</w:t>
      </w:r>
    </w:p>
    <w:p w14:paraId="455375B2">
      <w:pPr>
        <w:pStyle w:val="2"/>
        <w:spacing w:before="8" w:line="276" w:lineRule="auto"/>
        <w:ind w:left="379" w:right="56" w:firstLine="390"/>
        <w:rPr>
          <w:sz w:val="20"/>
          <w:szCs w:val="20"/>
        </w:rPr>
      </w:pPr>
      <w:r>
        <w:rPr>
          <w:spacing w:val="5"/>
          <w:sz w:val="20"/>
          <w:szCs w:val="20"/>
        </w:rPr>
        <w:t>(2)选择的质量控制点应该易于纠偏。质量控制点应设置在工程质量目标偏差易于测定的</w:t>
      </w:r>
      <w:r>
        <w:rPr>
          <w:spacing w:val="14"/>
          <w:sz w:val="20"/>
          <w:szCs w:val="20"/>
        </w:rPr>
        <w:t xml:space="preserve"> </w:t>
      </w:r>
      <w:r>
        <w:rPr>
          <w:spacing w:val="3"/>
          <w:sz w:val="20"/>
          <w:szCs w:val="20"/>
        </w:rPr>
        <w:t>关键活动或关键时刻处，有利于监理工程师及时发现质量偏差，同时有利于承</w:t>
      </w:r>
      <w:r>
        <w:rPr>
          <w:spacing w:val="2"/>
          <w:sz w:val="20"/>
          <w:szCs w:val="20"/>
        </w:rPr>
        <w:t>建单位控制管理</w:t>
      </w:r>
      <w:r>
        <w:rPr>
          <w:sz w:val="20"/>
          <w:szCs w:val="20"/>
        </w:rPr>
        <w:t xml:space="preserve"> </w:t>
      </w:r>
      <w:r>
        <w:rPr>
          <w:spacing w:val="3"/>
          <w:sz w:val="20"/>
          <w:szCs w:val="20"/>
        </w:rPr>
        <w:t xml:space="preserve">人员及时制定纠偏措施。例如，对于综合布线来说，可以把隐蔽工程的实施过程作为一个控制 </w:t>
      </w:r>
      <w:r>
        <w:rPr>
          <w:spacing w:val="-1"/>
          <w:sz w:val="20"/>
          <w:szCs w:val="20"/>
        </w:rPr>
        <w:t>点，如果发现问题，可以及时纠正。这一部分如果出现质量问题，事后解决的成</w:t>
      </w:r>
      <w:r>
        <w:rPr>
          <w:spacing w:val="-2"/>
          <w:sz w:val="20"/>
          <w:szCs w:val="20"/>
        </w:rPr>
        <w:t>本就会非常大。</w:t>
      </w:r>
    </w:p>
    <w:p w14:paraId="6B0B75FF">
      <w:pPr>
        <w:pStyle w:val="2"/>
        <w:spacing w:before="65" w:line="275" w:lineRule="auto"/>
        <w:ind w:left="379" w:right="84" w:firstLine="390"/>
        <w:rPr>
          <w:sz w:val="20"/>
          <w:szCs w:val="20"/>
        </w:rPr>
      </w:pPr>
      <w:r>
        <w:rPr>
          <w:spacing w:val="5"/>
          <w:sz w:val="20"/>
          <w:szCs w:val="20"/>
        </w:rPr>
        <w:t>(3)质量控制点设置要有利于参与工程建设的三方共同从事工程质量的控制活动。对业主</w:t>
      </w:r>
      <w:r>
        <w:rPr>
          <w:spacing w:val="10"/>
          <w:sz w:val="20"/>
          <w:szCs w:val="20"/>
        </w:rPr>
        <w:t xml:space="preserve"> </w:t>
      </w:r>
      <w:r>
        <w:rPr>
          <w:spacing w:val="3"/>
          <w:sz w:val="20"/>
          <w:szCs w:val="20"/>
        </w:rPr>
        <w:t>单位来说，由于主要是从宏观角度来从事工程质量控制，在工程建设的各个阶段和相对重要的</w:t>
      </w:r>
      <w:r>
        <w:rPr>
          <w:spacing w:val="1"/>
          <w:sz w:val="20"/>
          <w:szCs w:val="20"/>
        </w:rPr>
        <w:t xml:space="preserve"> </w:t>
      </w:r>
      <w:r>
        <w:rPr>
          <w:spacing w:val="3"/>
          <w:sz w:val="20"/>
          <w:szCs w:val="20"/>
        </w:rPr>
        <w:t>建设成果都应设置控制点；对承建单位来说，由于从事信息系统工程过程中的微</w:t>
      </w:r>
      <w:r>
        <w:rPr>
          <w:spacing w:val="2"/>
          <w:sz w:val="20"/>
          <w:szCs w:val="20"/>
        </w:rPr>
        <w:t>观控制，其控</w:t>
      </w:r>
      <w:r>
        <w:rPr>
          <w:sz w:val="20"/>
          <w:szCs w:val="20"/>
        </w:rPr>
        <w:t xml:space="preserve"> </w:t>
      </w:r>
      <w:r>
        <w:rPr>
          <w:spacing w:val="3"/>
          <w:sz w:val="20"/>
          <w:szCs w:val="20"/>
        </w:rPr>
        <w:t>制点可以按工程进度、工程部位、重要活动及重要建设资源供应等来设置；根据监理目标确定</w:t>
      </w:r>
      <w:r>
        <w:rPr>
          <w:sz w:val="20"/>
          <w:szCs w:val="20"/>
        </w:rPr>
        <w:t xml:space="preserve"> </w:t>
      </w:r>
      <w:r>
        <w:rPr>
          <w:spacing w:val="3"/>
          <w:sz w:val="20"/>
          <w:szCs w:val="20"/>
        </w:rPr>
        <w:t>监理要检查的质量控制点，三方可以根据项目的具体情况，商定各个阶段的质量</w:t>
      </w:r>
      <w:r>
        <w:rPr>
          <w:spacing w:val="2"/>
          <w:sz w:val="20"/>
          <w:szCs w:val="20"/>
        </w:rPr>
        <w:t>控制重点，并</w:t>
      </w:r>
      <w:r>
        <w:rPr>
          <w:sz w:val="20"/>
          <w:szCs w:val="20"/>
        </w:rPr>
        <w:t xml:space="preserve"> </w:t>
      </w:r>
      <w:r>
        <w:rPr>
          <w:spacing w:val="-3"/>
          <w:sz w:val="20"/>
          <w:szCs w:val="20"/>
        </w:rPr>
        <w:t>制定各自的质量控制措施。</w:t>
      </w:r>
    </w:p>
    <w:p w14:paraId="3069A84C">
      <w:pPr>
        <w:pStyle w:val="2"/>
        <w:spacing w:before="111" w:line="273" w:lineRule="auto"/>
        <w:ind w:left="379" w:right="19" w:firstLine="390"/>
        <w:rPr>
          <w:sz w:val="20"/>
          <w:szCs w:val="20"/>
        </w:rPr>
      </w:pPr>
      <w:r>
        <w:rPr>
          <w:spacing w:val="6"/>
          <w:sz w:val="20"/>
          <w:szCs w:val="20"/>
        </w:rPr>
        <w:t>(4)保持质量控制点设置的灵活性和动态性。对于一些大型信息系</w:t>
      </w:r>
      <w:r>
        <w:rPr>
          <w:spacing w:val="5"/>
          <w:sz w:val="20"/>
          <w:szCs w:val="20"/>
        </w:rPr>
        <w:t>统工程建设项目，由于</w:t>
      </w:r>
      <w:r>
        <w:rPr>
          <w:sz w:val="20"/>
          <w:szCs w:val="20"/>
        </w:rPr>
        <w:t xml:space="preserve"> </w:t>
      </w:r>
      <w:r>
        <w:rPr>
          <w:spacing w:val="3"/>
          <w:sz w:val="20"/>
          <w:szCs w:val="20"/>
        </w:rPr>
        <w:t>建设规模庞大，建设周期较长，影响因素繁多，工程项目建设目标干扰严重</w:t>
      </w:r>
      <w:r>
        <w:rPr>
          <w:spacing w:val="2"/>
          <w:sz w:val="20"/>
          <w:szCs w:val="20"/>
        </w:rPr>
        <w:t>，质量控制点设置</w:t>
      </w:r>
      <w:r>
        <w:rPr>
          <w:sz w:val="20"/>
          <w:szCs w:val="20"/>
        </w:rPr>
        <w:t xml:space="preserve"> </w:t>
      </w:r>
      <w:r>
        <w:rPr>
          <w:spacing w:val="3"/>
          <w:sz w:val="20"/>
          <w:szCs w:val="20"/>
        </w:rPr>
        <w:t>并不是一成不变的，必须根据工程进展的实际情况，对已设立的质量控制点随时进行必要的调</w:t>
      </w:r>
      <w:r>
        <w:rPr>
          <w:spacing w:val="2"/>
          <w:sz w:val="20"/>
          <w:szCs w:val="20"/>
        </w:rPr>
        <w:t xml:space="preserve"> </w:t>
      </w:r>
      <w:r>
        <w:rPr>
          <w:sz w:val="20"/>
          <w:szCs w:val="20"/>
        </w:rPr>
        <w:t>整或增减，使质量控制点设置具有相应的灵活性和动态性，以达到对工</w:t>
      </w:r>
      <w:r>
        <w:rPr>
          <w:spacing w:val="-1"/>
          <w:sz w:val="20"/>
          <w:szCs w:val="20"/>
        </w:rPr>
        <w:t>程质量总目标的全过程、</w:t>
      </w:r>
      <w:r>
        <w:rPr>
          <w:sz w:val="20"/>
          <w:szCs w:val="20"/>
        </w:rPr>
        <w:t xml:space="preserve"> </w:t>
      </w:r>
      <w:r>
        <w:rPr>
          <w:spacing w:val="-5"/>
          <w:sz w:val="20"/>
          <w:szCs w:val="20"/>
        </w:rPr>
        <w:t>全方位的控制。</w:t>
      </w:r>
    </w:p>
    <w:p w14:paraId="6C613ABF">
      <w:pPr>
        <w:spacing w:line="328" w:lineRule="auto"/>
        <w:rPr>
          <w:rFonts w:ascii="Arial"/>
          <w:sz w:val="21"/>
        </w:rPr>
      </w:pPr>
    </w:p>
    <w:p w14:paraId="0A6199A7">
      <w:pPr>
        <w:pStyle w:val="2"/>
        <w:spacing w:before="88" w:line="222" w:lineRule="auto"/>
        <w:ind w:left="383"/>
        <w:rPr>
          <w:rFonts w:ascii="黑体" w:hAnsi="黑体" w:eastAsia="黑体" w:cs="黑体"/>
          <w:sz w:val="27"/>
          <w:szCs w:val="27"/>
        </w:rPr>
      </w:pPr>
      <w:r>
        <w:rPr>
          <w:b/>
          <w:bCs/>
          <w:color w:val="0069D2"/>
          <w:spacing w:val="3"/>
          <w:sz w:val="27"/>
          <w:szCs w:val="27"/>
        </w:rPr>
        <w:t>10.6</w:t>
      </w:r>
      <w:r>
        <w:rPr>
          <w:color w:val="0069D2"/>
          <w:spacing w:val="3"/>
          <w:sz w:val="27"/>
          <w:szCs w:val="27"/>
        </w:rPr>
        <w:t xml:space="preserve">  </w:t>
      </w:r>
      <w:r>
        <w:rPr>
          <w:rFonts w:ascii="黑体" w:hAnsi="黑体" w:eastAsia="黑体" w:cs="黑体"/>
          <w:b/>
          <w:bCs/>
          <w:color w:val="0069D2"/>
          <w:spacing w:val="3"/>
          <w:sz w:val="27"/>
          <w:szCs w:val="27"/>
        </w:rPr>
        <w:t>监理质量控制工作</w:t>
      </w:r>
    </w:p>
    <w:p w14:paraId="4C2ADEAB">
      <w:pPr>
        <w:pStyle w:val="2"/>
        <w:spacing w:before="278" w:line="282" w:lineRule="auto"/>
        <w:ind w:left="379" w:right="97" w:firstLine="390"/>
        <w:rPr>
          <w:sz w:val="20"/>
          <w:szCs w:val="20"/>
        </w:rPr>
      </w:pPr>
      <w:r>
        <w:rPr>
          <w:spacing w:val="3"/>
          <w:sz w:val="20"/>
          <w:szCs w:val="20"/>
        </w:rPr>
        <w:t>信息系统工程建设项目的监理质量控制工作按照工程建设阶段划分，可以分为招标阶段质</w:t>
      </w:r>
      <w:r>
        <w:rPr>
          <w:spacing w:val="4"/>
          <w:sz w:val="20"/>
          <w:szCs w:val="20"/>
        </w:rPr>
        <w:t xml:space="preserve"> </w:t>
      </w:r>
      <w:r>
        <w:rPr>
          <w:spacing w:val="-1"/>
          <w:sz w:val="20"/>
          <w:szCs w:val="20"/>
        </w:rPr>
        <w:t>量控制、设计阶段质量控制、实施阶段质量控制、验收阶</w:t>
      </w:r>
      <w:r>
        <w:rPr>
          <w:spacing w:val="-2"/>
          <w:sz w:val="20"/>
          <w:szCs w:val="20"/>
        </w:rPr>
        <w:t>段质量控制。</w:t>
      </w:r>
    </w:p>
    <w:p w14:paraId="6E3C369E">
      <w:pPr>
        <w:pStyle w:val="2"/>
        <w:spacing w:before="8" w:line="277" w:lineRule="auto"/>
        <w:ind w:left="379" w:right="60" w:firstLine="390"/>
        <w:rPr>
          <w:sz w:val="20"/>
          <w:szCs w:val="20"/>
        </w:rPr>
      </w:pPr>
      <w:r>
        <w:rPr>
          <w:spacing w:val="4"/>
          <w:sz w:val="20"/>
          <w:szCs w:val="20"/>
        </w:rPr>
        <w:t>对于监理工作中发现的问题，监理单位可以通过监理工作联系单的方式与承建单位沟通，</w:t>
      </w:r>
      <w:r>
        <w:rPr>
          <w:spacing w:val="2"/>
          <w:sz w:val="20"/>
          <w:szCs w:val="20"/>
        </w:rPr>
        <w:t xml:space="preserve"> </w:t>
      </w:r>
      <w:r>
        <w:rPr>
          <w:spacing w:val="3"/>
          <w:sz w:val="20"/>
          <w:szCs w:val="20"/>
        </w:rPr>
        <w:t>要求对问题进行整改，如果承建单位整改仍不合格，监理单位应签发监理通知单</w:t>
      </w:r>
      <w:r>
        <w:rPr>
          <w:spacing w:val="2"/>
          <w:sz w:val="20"/>
          <w:szCs w:val="20"/>
        </w:rPr>
        <w:t>，责令承建单</w:t>
      </w:r>
      <w:r>
        <w:rPr>
          <w:sz w:val="20"/>
          <w:szCs w:val="20"/>
        </w:rPr>
        <w:t xml:space="preserve"> </w:t>
      </w:r>
      <w:r>
        <w:rPr>
          <w:spacing w:val="-1"/>
          <w:sz w:val="20"/>
          <w:szCs w:val="20"/>
        </w:rPr>
        <w:t>位整改，并跟踪落实(后文简述为“出具监理意见并</w:t>
      </w:r>
      <w:r>
        <w:rPr>
          <w:spacing w:val="-2"/>
          <w:sz w:val="20"/>
          <w:szCs w:val="20"/>
        </w:rPr>
        <w:t>跟踪整改”)。</w:t>
      </w:r>
    </w:p>
    <w:p w14:paraId="75FFCB02">
      <w:pPr>
        <w:pStyle w:val="2"/>
        <w:spacing w:before="171" w:line="220" w:lineRule="auto"/>
        <w:ind w:left="382"/>
        <w:rPr>
          <w:sz w:val="27"/>
          <w:szCs w:val="27"/>
        </w:rPr>
      </w:pPr>
      <w:r>
        <w:rPr>
          <w:b/>
          <w:bCs/>
          <w:color w:val="0070E1"/>
          <w:spacing w:val="-27"/>
          <w:w w:val="98"/>
          <w:sz w:val="27"/>
          <w:szCs w:val="27"/>
        </w:rPr>
        <w:t>10.6.1</w:t>
      </w:r>
      <w:r>
        <w:rPr>
          <w:color w:val="0070E1"/>
          <w:spacing w:val="72"/>
          <w:sz w:val="27"/>
          <w:szCs w:val="27"/>
        </w:rPr>
        <w:t xml:space="preserve"> </w:t>
      </w:r>
      <w:r>
        <w:rPr>
          <w:b/>
          <w:bCs/>
          <w:color w:val="0070E1"/>
          <w:spacing w:val="-27"/>
          <w:w w:val="98"/>
          <w:sz w:val="27"/>
          <w:szCs w:val="27"/>
        </w:rPr>
        <w:t>招标阶段监理质量控制</w:t>
      </w:r>
    </w:p>
    <w:p w14:paraId="608F9750">
      <w:pPr>
        <w:pStyle w:val="2"/>
        <w:spacing w:before="169" w:line="277" w:lineRule="auto"/>
        <w:ind w:left="379" w:right="73" w:firstLine="390"/>
        <w:jc w:val="both"/>
        <w:rPr>
          <w:sz w:val="20"/>
          <w:szCs w:val="20"/>
        </w:rPr>
      </w:pPr>
      <w:r>
        <w:rPr>
          <w:spacing w:val="-1"/>
          <w:sz w:val="20"/>
          <w:szCs w:val="20"/>
        </w:rPr>
        <w:t>监理单位在信息系统工程建设项目招标阶段的质量控制，</w:t>
      </w:r>
      <w:r>
        <w:rPr>
          <w:spacing w:val="-2"/>
          <w:sz w:val="20"/>
          <w:szCs w:val="20"/>
        </w:rPr>
        <w:t>主要是通过对招投标过程的监理，</w:t>
      </w:r>
      <w:r>
        <w:rPr>
          <w:sz w:val="20"/>
          <w:szCs w:val="20"/>
        </w:rPr>
        <w:t xml:space="preserve"> </w:t>
      </w:r>
      <w:r>
        <w:rPr>
          <w:spacing w:val="3"/>
          <w:sz w:val="20"/>
          <w:szCs w:val="20"/>
        </w:rPr>
        <w:t>协助业主单位选择合格的承建单位，并为工程的设计实施做好准备。信息系统工程建设项目的</w:t>
      </w:r>
      <w:r>
        <w:rPr>
          <w:spacing w:val="1"/>
          <w:sz w:val="20"/>
          <w:szCs w:val="20"/>
        </w:rPr>
        <w:t xml:space="preserve"> </w:t>
      </w:r>
      <w:r>
        <w:rPr>
          <w:spacing w:val="-1"/>
          <w:sz w:val="20"/>
          <w:szCs w:val="20"/>
        </w:rPr>
        <w:t>招标一般由业主单位、监理单位、招标公司、专家、纪检或者公证部</w:t>
      </w:r>
      <w:r>
        <w:rPr>
          <w:spacing w:val="-2"/>
          <w:sz w:val="20"/>
          <w:szCs w:val="20"/>
        </w:rPr>
        <w:t>门参加。</w:t>
      </w:r>
    </w:p>
    <w:p w14:paraId="6FF174FD">
      <w:pPr>
        <w:pStyle w:val="2"/>
        <w:spacing w:before="29" w:line="220" w:lineRule="auto"/>
        <w:ind w:left="769"/>
        <w:rPr>
          <w:sz w:val="20"/>
          <w:szCs w:val="20"/>
        </w:rPr>
      </w:pPr>
      <w:r>
        <w:rPr>
          <w:spacing w:val="-4"/>
          <w:sz w:val="20"/>
          <w:szCs w:val="20"/>
        </w:rPr>
        <w:t>监理单位在招标阶段的质量控制要点包括：</w:t>
      </w:r>
    </w:p>
    <w:p w14:paraId="5E7614A7">
      <w:pPr>
        <w:pStyle w:val="2"/>
        <w:spacing w:before="72" w:line="220" w:lineRule="auto"/>
        <w:ind w:left="769"/>
        <w:rPr>
          <w:sz w:val="20"/>
          <w:szCs w:val="20"/>
        </w:rPr>
      </w:pPr>
      <w:r>
        <w:rPr>
          <w:spacing w:val="2"/>
          <w:sz w:val="20"/>
          <w:szCs w:val="20"/>
        </w:rPr>
        <w:t>(1)协助业主单位提出工程需求方案，确定工程的整体质量目</w:t>
      </w:r>
      <w:r>
        <w:rPr>
          <w:spacing w:val="1"/>
          <w:sz w:val="20"/>
          <w:szCs w:val="20"/>
        </w:rPr>
        <w:t>标；</w:t>
      </w:r>
    </w:p>
    <w:p w14:paraId="43C8F738">
      <w:pPr>
        <w:pStyle w:val="2"/>
        <w:spacing w:before="60" w:line="253" w:lineRule="auto"/>
        <w:ind w:left="379" w:right="89" w:firstLine="390"/>
        <w:rPr>
          <w:sz w:val="20"/>
          <w:szCs w:val="20"/>
        </w:rPr>
      </w:pPr>
      <w:r>
        <w:rPr>
          <w:spacing w:val="6"/>
          <w:sz w:val="20"/>
          <w:szCs w:val="20"/>
        </w:rPr>
        <w:t>(2)参与招标文件的编制，并对工程的技术和质量、验收准则、</w:t>
      </w:r>
      <w:r>
        <w:rPr>
          <w:spacing w:val="5"/>
          <w:sz w:val="20"/>
          <w:szCs w:val="20"/>
        </w:rPr>
        <w:t>投标单位资格等可能对工</w:t>
      </w:r>
      <w:r>
        <w:rPr>
          <w:sz w:val="20"/>
          <w:szCs w:val="20"/>
        </w:rPr>
        <w:t xml:space="preserve"> </w:t>
      </w:r>
      <w:r>
        <w:rPr>
          <w:spacing w:val="-4"/>
          <w:sz w:val="20"/>
          <w:szCs w:val="20"/>
        </w:rPr>
        <w:t>程质量有影响的因素明确提出要求；</w:t>
      </w:r>
    </w:p>
    <w:p w14:paraId="7FD3110F">
      <w:pPr>
        <w:pStyle w:val="2"/>
        <w:spacing w:before="73" w:line="219" w:lineRule="auto"/>
        <w:ind w:left="769"/>
        <w:rPr>
          <w:sz w:val="20"/>
          <w:szCs w:val="20"/>
        </w:rPr>
      </w:pPr>
      <w:r>
        <w:rPr>
          <w:spacing w:val="1"/>
          <w:sz w:val="20"/>
          <w:szCs w:val="20"/>
        </w:rPr>
        <w:t>(3)协助招标公司和业主单位制定投标文件的质量评定标准；</w:t>
      </w:r>
    </w:p>
    <w:p w14:paraId="3227AB6B">
      <w:pPr>
        <w:pStyle w:val="2"/>
        <w:spacing w:before="73" w:line="219" w:lineRule="auto"/>
        <w:ind w:left="769"/>
        <w:rPr>
          <w:sz w:val="20"/>
          <w:szCs w:val="20"/>
        </w:rPr>
      </w:pPr>
      <w:r>
        <w:rPr>
          <w:spacing w:val="1"/>
          <w:sz w:val="20"/>
          <w:szCs w:val="20"/>
        </w:rPr>
        <w:t>(4)对招标文件进行审核，对其中涉及的质量内容进行确认；</w:t>
      </w:r>
    </w:p>
    <w:p w14:paraId="65BB196F">
      <w:pPr>
        <w:spacing w:line="219" w:lineRule="auto"/>
        <w:rPr>
          <w:sz w:val="20"/>
          <w:szCs w:val="20"/>
        </w:rPr>
        <w:sectPr>
          <w:pgSz w:w="10310" w:h="13330"/>
          <w:pgMar w:top="400" w:right="1090" w:bottom="400" w:left="430" w:header="0" w:footer="0" w:gutter="0"/>
          <w:cols w:space="720" w:num="1"/>
        </w:sectPr>
      </w:pPr>
    </w:p>
    <w:p w14:paraId="20A72BAE">
      <w:pPr>
        <w:pStyle w:val="2"/>
        <w:spacing w:before="67" w:line="223" w:lineRule="auto"/>
        <w:jc w:val="right"/>
        <w:rPr>
          <w:rFonts w:ascii="Times New Roman" w:hAnsi="Times New Roman" w:eastAsia="Times New Roman" w:cs="Times New Roman"/>
          <w:sz w:val="28"/>
          <w:szCs w:val="28"/>
        </w:rPr>
      </w:pPr>
      <w:r>
        <w:rPr>
          <w:spacing w:val="10"/>
          <w:position w:val="2"/>
          <w:sz w:val="20"/>
          <w:szCs w:val="20"/>
        </w:rPr>
        <w:t xml:space="preserve">第10章质量控制     </w:t>
      </w:r>
      <w:r>
        <w:rPr>
          <w:rFonts w:ascii="Times New Roman" w:hAnsi="Times New Roman" w:eastAsia="Times New Roman" w:cs="Times New Roman"/>
          <w:color w:val="008BF7"/>
          <w:spacing w:val="10"/>
          <w:position w:val="-7"/>
          <w:sz w:val="28"/>
          <w:szCs w:val="28"/>
        </w:rPr>
        <w:t>2</w:t>
      </w:r>
      <w:r>
        <w:rPr>
          <w:rFonts w:ascii="Times New Roman" w:hAnsi="Times New Roman" w:eastAsia="Times New Roman" w:cs="Times New Roman"/>
          <w:spacing w:val="10"/>
          <w:position w:val="-7"/>
          <w:sz w:val="28"/>
          <w:szCs w:val="28"/>
        </w:rPr>
        <w:t>53</w:t>
      </w:r>
    </w:p>
    <w:p w14:paraId="6855A2FA">
      <w:pPr>
        <w:pStyle w:val="2"/>
        <w:spacing w:before="291" w:line="219" w:lineRule="auto"/>
        <w:ind w:left="409"/>
        <w:rPr>
          <w:sz w:val="20"/>
          <w:szCs w:val="20"/>
        </w:rPr>
      </w:pPr>
      <w:r>
        <w:rPr>
          <w:spacing w:val="1"/>
          <w:sz w:val="20"/>
          <w:szCs w:val="20"/>
        </w:rPr>
        <w:t>(5)协助业主单位评标时，应审查投标文件中的质量控制计划；</w:t>
      </w:r>
    </w:p>
    <w:p w14:paraId="02CBA921">
      <w:pPr>
        <w:pStyle w:val="2"/>
        <w:spacing w:before="72" w:line="219" w:lineRule="auto"/>
        <w:ind w:left="409"/>
        <w:rPr>
          <w:sz w:val="20"/>
          <w:szCs w:val="20"/>
        </w:rPr>
      </w:pPr>
      <w:r>
        <w:rPr>
          <w:spacing w:val="1"/>
          <w:sz w:val="20"/>
          <w:szCs w:val="20"/>
        </w:rPr>
        <w:t>(6)协助业主单位审核承建单位及其人员的能力；</w:t>
      </w:r>
    </w:p>
    <w:p w14:paraId="55CBEA64">
      <w:pPr>
        <w:pStyle w:val="2"/>
        <w:spacing w:before="92" w:line="219" w:lineRule="auto"/>
        <w:ind w:left="409"/>
        <w:rPr>
          <w:sz w:val="20"/>
          <w:szCs w:val="20"/>
        </w:rPr>
      </w:pPr>
      <w:r>
        <w:rPr>
          <w:spacing w:val="1"/>
          <w:sz w:val="20"/>
          <w:szCs w:val="20"/>
        </w:rPr>
        <w:t>(7)对招标过程进行监督，例如，招标过程中是否存在不公正的现象等；</w:t>
      </w:r>
    </w:p>
    <w:p w14:paraId="2BAA3FEE">
      <w:pPr>
        <w:pStyle w:val="2"/>
        <w:spacing w:before="91" w:line="258" w:lineRule="auto"/>
        <w:ind w:right="366" w:firstLine="409"/>
        <w:rPr>
          <w:sz w:val="20"/>
          <w:szCs w:val="20"/>
        </w:rPr>
      </w:pPr>
      <w:r>
        <w:rPr>
          <w:spacing w:val="5"/>
          <w:sz w:val="20"/>
          <w:szCs w:val="20"/>
        </w:rPr>
        <w:t>(8)协助业主单位与中标单位洽商并签订承建合同，建议业主单位在承建合同中明确规定</w:t>
      </w:r>
      <w:r>
        <w:rPr>
          <w:spacing w:val="12"/>
          <w:sz w:val="20"/>
          <w:szCs w:val="20"/>
        </w:rPr>
        <w:t xml:space="preserve"> </w:t>
      </w:r>
      <w:r>
        <w:rPr>
          <w:spacing w:val="3"/>
          <w:sz w:val="20"/>
          <w:szCs w:val="20"/>
        </w:rPr>
        <w:t>工程所包含的功能、技术要求、测试标准、验收要求、质量目标、质量责任、变更</w:t>
      </w:r>
      <w:r>
        <w:rPr>
          <w:spacing w:val="2"/>
          <w:sz w:val="20"/>
          <w:szCs w:val="20"/>
        </w:rPr>
        <w:t>控制程序等</w:t>
      </w:r>
      <w:r>
        <w:rPr>
          <w:sz w:val="20"/>
          <w:szCs w:val="20"/>
        </w:rPr>
        <w:t xml:space="preserve"> </w:t>
      </w:r>
      <w:r>
        <w:rPr>
          <w:spacing w:val="-7"/>
          <w:sz w:val="20"/>
          <w:szCs w:val="20"/>
        </w:rPr>
        <w:t>有关内容。</w:t>
      </w:r>
    </w:p>
    <w:p w14:paraId="18C64E35">
      <w:pPr>
        <w:pStyle w:val="2"/>
        <w:spacing w:before="232" w:line="220" w:lineRule="auto"/>
        <w:ind w:left="3"/>
        <w:rPr>
          <w:sz w:val="25"/>
          <w:szCs w:val="25"/>
        </w:rPr>
      </w:pPr>
      <w:r>
        <w:rPr>
          <w:b/>
          <w:bCs/>
          <w:color w:val="0060DE"/>
          <w:spacing w:val="-16"/>
          <w:sz w:val="25"/>
          <w:szCs w:val="25"/>
        </w:rPr>
        <w:t>10.6.2</w:t>
      </w:r>
      <w:r>
        <w:rPr>
          <w:color w:val="0060DE"/>
          <w:spacing w:val="99"/>
          <w:sz w:val="25"/>
          <w:szCs w:val="25"/>
        </w:rPr>
        <w:t xml:space="preserve"> </w:t>
      </w:r>
      <w:r>
        <w:rPr>
          <w:b/>
          <w:bCs/>
          <w:color w:val="0060DE"/>
          <w:spacing w:val="-16"/>
          <w:sz w:val="25"/>
          <w:szCs w:val="25"/>
        </w:rPr>
        <w:t>设计阶段监理质量控制</w:t>
      </w:r>
    </w:p>
    <w:p w14:paraId="3934EA74">
      <w:pPr>
        <w:pStyle w:val="2"/>
        <w:spacing w:before="203" w:line="279" w:lineRule="auto"/>
        <w:ind w:right="279" w:firstLine="409"/>
        <w:jc w:val="both"/>
        <w:rPr>
          <w:sz w:val="20"/>
          <w:szCs w:val="20"/>
        </w:rPr>
      </w:pPr>
      <w:r>
        <w:rPr>
          <w:spacing w:val="5"/>
          <w:sz w:val="20"/>
          <w:szCs w:val="20"/>
        </w:rPr>
        <w:t>信息系统工程建设项目设计阶段的主要任务是使工程设计的各项工作能够在预定的质量、</w:t>
      </w:r>
      <w:r>
        <w:rPr>
          <w:spacing w:val="4"/>
          <w:sz w:val="20"/>
          <w:szCs w:val="20"/>
        </w:rPr>
        <w:t xml:space="preserve"> </w:t>
      </w:r>
      <w:r>
        <w:rPr>
          <w:spacing w:val="5"/>
          <w:sz w:val="20"/>
          <w:szCs w:val="20"/>
        </w:rPr>
        <w:t>进度、投资目标内完成，主要工作包括用户需求调研分</w:t>
      </w:r>
      <w:r>
        <w:rPr>
          <w:spacing w:val="4"/>
          <w:sz w:val="20"/>
          <w:szCs w:val="20"/>
        </w:rPr>
        <w:t>析、方案设计、概要设计、详细设计、</w:t>
      </w:r>
      <w:r>
        <w:rPr>
          <w:sz w:val="20"/>
          <w:szCs w:val="20"/>
        </w:rPr>
        <w:t xml:space="preserve"> </w:t>
      </w:r>
      <w:r>
        <w:rPr>
          <w:spacing w:val="3"/>
          <w:sz w:val="20"/>
          <w:szCs w:val="20"/>
        </w:rPr>
        <w:t>阶段性测试验收计划等内容。这些工作内容比较复杂，且制约因素较多，因此应</w:t>
      </w:r>
      <w:r>
        <w:rPr>
          <w:spacing w:val="2"/>
          <w:sz w:val="20"/>
          <w:szCs w:val="20"/>
        </w:rPr>
        <w:t>对承建单位提</w:t>
      </w:r>
      <w:r>
        <w:rPr>
          <w:sz w:val="20"/>
          <w:szCs w:val="20"/>
        </w:rPr>
        <w:t xml:space="preserve">  </w:t>
      </w:r>
      <w:r>
        <w:rPr>
          <w:spacing w:val="-2"/>
          <w:sz w:val="20"/>
          <w:szCs w:val="20"/>
        </w:rPr>
        <w:t>供的各类设计方案进行审查，并采取相应的监理措施。</w:t>
      </w:r>
    </w:p>
    <w:p w14:paraId="6D0279B8">
      <w:pPr>
        <w:pStyle w:val="2"/>
        <w:spacing w:before="32" w:line="220" w:lineRule="auto"/>
        <w:ind w:left="409"/>
        <w:rPr>
          <w:sz w:val="20"/>
          <w:szCs w:val="20"/>
        </w:rPr>
      </w:pPr>
      <w:r>
        <w:rPr>
          <w:spacing w:val="-3"/>
          <w:sz w:val="20"/>
          <w:szCs w:val="20"/>
        </w:rPr>
        <w:t>监理单位在设计阶段的质量控制要点包括：</w:t>
      </w:r>
    </w:p>
    <w:p w14:paraId="7A681526">
      <w:pPr>
        <w:pStyle w:val="2"/>
        <w:spacing w:before="91" w:line="220" w:lineRule="auto"/>
        <w:ind w:left="409"/>
        <w:rPr>
          <w:sz w:val="20"/>
          <w:szCs w:val="20"/>
        </w:rPr>
      </w:pPr>
      <w:r>
        <w:rPr>
          <w:spacing w:val="1"/>
          <w:sz w:val="20"/>
          <w:szCs w:val="20"/>
        </w:rPr>
        <w:t>(1)充分了解业主单位的项目需求，协助业主单位制定项目质量目标规划；</w:t>
      </w:r>
    </w:p>
    <w:p w14:paraId="3856CB98">
      <w:pPr>
        <w:pStyle w:val="2"/>
        <w:spacing w:before="71" w:line="219" w:lineRule="auto"/>
        <w:ind w:left="409"/>
        <w:rPr>
          <w:sz w:val="20"/>
          <w:szCs w:val="20"/>
        </w:rPr>
      </w:pPr>
      <w:r>
        <w:rPr>
          <w:spacing w:val="1"/>
          <w:sz w:val="20"/>
          <w:szCs w:val="20"/>
        </w:rPr>
        <w:t>(2)对各种设计文件提出设计质量标准；</w:t>
      </w:r>
    </w:p>
    <w:p w14:paraId="3DFEAC48">
      <w:pPr>
        <w:pStyle w:val="2"/>
        <w:spacing w:before="74" w:line="220" w:lineRule="auto"/>
        <w:ind w:left="409"/>
        <w:rPr>
          <w:sz w:val="20"/>
          <w:szCs w:val="20"/>
        </w:rPr>
      </w:pPr>
      <w:r>
        <w:rPr>
          <w:spacing w:val="1"/>
          <w:sz w:val="20"/>
          <w:szCs w:val="20"/>
        </w:rPr>
        <w:t>(3)进行设计过程跟踪，审查阶段性设计成果，及时发现质量问题；</w:t>
      </w:r>
    </w:p>
    <w:p w14:paraId="04100B89">
      <w:pPr>
        <w:pStyle w:val="2"/>
        <w:spacing w:before="71" w:line="219" w:lineRule="auto"/>
        <w:ind w:left="409"/>
        <w:rPr>
          <w:sz w:val="20"/>
          <w:szCs w:val="20"/>
        </w:rPr>
      </w:pPr>
      <w:r>
        <w:rPr>
          <w:spacing w:val="1"/>
          <w:sz w:val="20"/>
          <w:szCs w:val="20"/>
        </w:rPr>
        <w:t>(4)审查承建单位提交的设计方案；</w:t>
      </w:r>
    </w:p>
    <w:p w14:paraId="141AFA46">
      <w:pPr>
        <w:pStyle w:val="2"/>
        <w:spacing w:before="82" w:line="253" w:lineRule="auto"/>
        <w:ind w:right="391" w:firstLine="409"/>
        <w:rPr>
          <w:sz w:val="20"/>
          <w:szCs w:val="20"/>
        </w:rPr>
      </w:pPr>
      <w:r>
        <w:rPr>
          <w:spacing w:val="5"/>
          <w:sz w:val="20"/>
          <w:szCs w:val="20"/>
        </w:rPr>
        <w:t>(5)审查承建单位对关键部位的测试方案，例如主机网络系</w:t>
      </w:r>
      <w:r>
        <w:rPr>
          <w:spacing w:val="4"/>
          <w:sz w:val="20"/>
          <w:szCs w:val="20"/>
        </w:rPr>
        <w:t>统软硬件测试方案、应用软件</w:t>
      </w:r>
      <w:r>
        <w:rPr>
          <w:sz w:val="20"/>
          <w:szCs w:val="20"/>
        </w:rPr>
        <w:t xml:space="preserve"> </w:t>
      </w:r>
      <w:r>
        <w:rPr>
          <w:spacing w:val="-4"/>
          <w:sz w:val="20"/>
          <w:szCs w:val="20"/>
        </w:rPr>
        <w:t>开发的模块功能测试方法等；</w:t>
      </w:r>
    </w:p>
    <w:p w14:paraId="65ED77C3">
      <w:pPr>
        <w:pStyle w:val="2"/>
        <w:spacing w:before="72" w:line="219" w:lineRule="auto"/>
        <w:ind w:left="409"/>
        <w:rPr>
          <w:sz w:val="20"/>
          <w:szCs w:val="20"/>
        </w:rPr>
      </w:pPr>
      <w:r>
        <w:rPr>
          <w:spacing w:val="1"/>
          <w:sz w:val="20"/>
          <w:szCs w:val="20"/>
        </w:rPr>
        <w:t>(6)审查承建单位的质量管理体系，包括</w:t>
      </w:r>
      <w:r>
        <w:rPr>
          <w:sz w:val="20"/>
          <w:szCs w:val="20"/>
        </w:rPr>
        <w:t>是否具备完善的质量检测技术和手段等；</w:t>
      </w:r>
    </w:p>
    <w:p w14:paraId="18093F64">
      <w:pPr>
        <w:pStyle w:val="2"/>
        <w:spacing w:before="72" w:line="219" w:lineRule="auto"/>
        <w:ind w:left="409"/>
        <w:rPr>
          <w:sz w:val="20"/>
          <w:szCs w:val="20"/>
        </w:rPr>
      </w:pPr>
      <w:r>
        <w:rPr>
          <w:spacing w:val="1"/>
          <w:sz w:val="20"/>
          <w:szCs w:val="20"/>
        </w:rPr>
        <w:t>(7)组织设计文件及设计方案交底会，帮助承建单位熟悉项目设</w:t>
      </w:r>
      <w:r>
        <w:rPr>
          <w:sz w:val="20"/>
          <w:szCs w:val="20"/>
        </w:rPr>
        <w:t>计、开发及实施过程；</w:t>
      </w:r>
    </w:p>
    <w:p w14:paraId="7380E5E7">
      <w:pPr>
        <w:pStyle w:val="2"/>
        <w:spacing w:before="74" w:line="219" w:lineRule="auto"/>
        <w:ind w:left="409"/>
        <w:rPr>
          <w:sz w:val="20"/>
          <w:szCs w:val="20"/>
        </w:rPr>
      </w:pPr>
      <w:r>
        <w:rPr>
          <w:spacing w:val="1"/>
          <w:sz w:val="20"/>
          <w:szCs w:val="20"/>
        </w:rPr>
        <w:t>(8)设计方案经监理工程师审定后，由总监理工程师审定签发；</w:t>
      </w:r>
    </w:p>
    <w:p w14:paraId="1480DEC4">
      <w:pPr>
        <w:pStyle w:val="2"/>
        <w:spacing w:before="83" w:line="219" w:lineRule="auto"/>
        <w:ind w:left="409"/>
        <w:rPr>
          <w:sz w:val="20"/>
          <w:szCs w:val="20"/>
        </w:rPr>
      </w:pPr>
      <w:r>
        <w:rPr>
          <w:spacing w:val="1"/>
          <w:sz w:val="20"/>
          <w:szCs w:val="20"/>
        </w:rPr>
        <w:t>(9)设计方案未经批准，不得进行部署实施。</w:t>
      </w:r>
    </w:p>
    <w:p w14:paraId="6E664A11">
      <w:pPr>
        <w:pStyle w:val="2"/>
        <w:spacing w:before="222" w:line="220" w:lineRule="auto"/>
        <w:ind w:left="3"/>
        <w:rPr>
          <w:sz w:val="25"/>
          <w:szCs w:val="25"/>
        </w:rPr>
      </w:pPr>
      <w:r>
        <w:rPr>
          <w:b/>
          <w:bCs/>
          <w:color w:val="0052BF"/>
          <w:spacing w:val="-15"/>
          <w:sz w:val="25"/>
          <w:szCs w:val="25"/>
        </w:rPr>
        <w:t>10.6.3</w:t>
      </w:r>
      <w:r>
        <w:rPr>
          <w:color w:val="0052BF"/>
          <w:spacing w:val="82"/>
          <w:sz w:val="25"/>
          <w:szCs w:val="25"/>
        </w:rPr>
        <w:t xml:space="preserve"> </w:t>
      </w:r>
      <w:r>
        <w:rPr>
          <w:b/>
          <w:bCs/>
          <w:color w:val="0052BF"/>
          <w:spacing w:val="-15"/>
          <w:sz w:val="25"/>
          <w:szCs w:val="25"/>
        </w:rPr>
        <w:t>实施阶段监理质量控制</w:t>
      </w:r>
    </w:p>
    <w:p w14:paraId="5C9CD187">
      <w:pPr>
        <w:pStyle w:val="2"/>
        <w:spacing w:before="163" w:line="288" w:lineRule="auto"/>
        <w:ind w:right="352" w:firstLine="409"/>
        <w:jc w:val="both"/>
        <w:rPr>
          <w:sz w:val="16"/>
          <w:szCs w:val="16"/>
        </w:rPr>
      </w:pPr>
      <w:r>
        <w:rPr>
          <w:spacing w:val="3"/>
          <w:sz w:val="20"/>
          <w:szCs w:val="20"/>
        </w:rPr>
        <w:t>在信息系统工程建设项目实施阶段，监理单位应通过现场监督、核查、记</w:t>
      </w:r>
      <w:r>
        <w:rPr>
          <w:spacing w:val="2"/>
          <w:sz w:val="20"/>
          <w:szCs w:val="20"/>
        </w:rPr>
        <w:t>录和协调，及时</w:t>
      </w:r>
      <w:r>
        <w:rPr>
          <w:sz w:val="20"/>
          <w:szCs w:val="20"/>
        </w:rPr>
        <w:t xml:space="preserve"> </w:t>
      </w:r>
      <w:r>
        <w:rPr>
          <w:spacing w:val="3"/>
          <w:sz w:val="20"/>
          <w:szCs w:val="20"/>
        </w:rPr>
        <w:t>发现项目实施过程中的问题，并督促承建单位采取措施纠正问题，促使其按要求实现项目质量</w:t>
      </w:r>
      <w:r>
        <w:rPr>
          <w:spacing w:val="13"/>
          <w:sz w:val="20"/>
          <w:szCs w:val="20"/>
        </w:rPr>
        <w:t xml:space="preserve"> </w:t>
      </w:r>
      <w:r>
        <w:rPr>
          <w:spacing w:val="-13"/>
          <w:sz w:val="16"/>
          <w:szCs w:val="16"/>
        </w:rPr>
        <w:t>目 标</w:t>
      </w:r>
      <w:r>
        <w:rPr>
          <w:spacing w:val="-15"/>
          <w:sz w:val="16"/>
          <w:szCs w:val="16"/>
        </w:rPr>
        <w:t xml:space="preserve"> </w:t>
      </w:r>
      <w:r>
        <w:rPr>
          <w:spacing w:val="-13"/>
          <w:sz w:val="16"/>
          <w:szCs w:val="16"/>
        </w:rPr>
        <w:t>。</w:t>
      </w:r>
    </w:p>
    <w:p w14:paraId="0080EFF8">
      <w:pPr>
        <w:pStyle w:val="2"/>
        <w:spacing w:before="46" w:line="220" w:lineRule="auto"/>
        <w:ind w:left="409"/>
        <w:rPr>
          <w:sz w:val="20"/>
          <w:szCs w:val="20"/>
        </w:rPr>
      </w:pPr>
      <w:r>
        <w:rPr>
          <w:spacing w:val="-3"/>
          <w:sz w:val="20"/>
          <w:szCs w:val="20"/>
        </w:rPr>
        <w:t>监理单位在实施阶段的质量控制要点包括：</w:t>
      </w:r>
    </w:p>
    <w:p w14:paraId="5E29F2B2">
      <w:pPr>
        <w:pStyle w:val="2"/>
        <w:spacing w:before="72" w:line="219" w:lineRule="auto"/>
        <w:ind w:left="409"/>
        <w:rPr>
          <w:sz w:val="20"/>
          <w:szCs w:val="20"/>
        </w:rPr>
      </w:pPr>
      <w:r>
        <w:rPr>
          <w:spacing w:val="2"/>
          <w:sz w:val="20"/>
          <w:szCs w:val="20"/>
        </w:rPr>
        <w:t>(1)项目实施前，组织审核承建单位提交的质量管</w:t>
      </w:r>
      <w:r>
        <w:rPr>
          <w:spacing w:val="1"/>
          <w:sz w:val="20"/>
          <w:szCs w:val="20"/>
        </w:rPr>
        <w:t>理计划，签署监理审核意见。</w:t>
      </w:r>
    </w:p>
    <w:p w14:paraId="1DD7BC28">
      <w:pPr>
        <w:pStyle w:val="2"/>
        <w:spacing w:before="71" w:line="219" w:lineRule="auto"/>
        <w:ind w:left="409"/>
        <w:rPr>
          <w:sz w:val="20"/>
          <w:szCs w:val="20"/>
        </w:rPr>
      </w:pPr>
      <w:r>
        <w:rPr>
          <w:spacing w:val="1"/>
          <w:sz w:val="20"/>
          <w:szCs w:val="20"/>
        </w:rPr>
        <w:t>(2)项目实施前，组织业主单位、承建单位召开工程实施准备会议。</w:t>
      </w:r>
    </w:p>
    <w:p w14:paraId="2E1A0F72">
      <w:pPr>
        <w:pStyle w:val="2"/>
        <w:spacing w:before="63" w:line="264" w:lineRule="auto"/>
        <w:ind w:right="347" w:firstLine="409"/>
        <w:rPr>
          <w:sz w:val="20"/>
          <w:szCs w:val="20"/>
        </w:rPr>
      </w:pPr>
      <w:r>
        <w:rPr>
          <w:spacing w:val="6"/>
          <w:sz w:val="20"/>
          <w:szCs w:val="20"/>
        </w:rPr>
        <w:t>(3)依据签认的质量管理计划、实施方案、实施计划等文件，制定切</w:t>
      </w:r>
      <w:r>
        <w:rPr>
          <w:spacing w:val="5"/>
          <w:sz w:val="20"/>
          <w:szCs w:val="20"/>
        </w:rPr>
        <w:t>合实际的监理实施细</w:t>
      </w:r>
      <w:r>
        <w:rPr>
          <w:sz w:val="20"/>
          <w:szCs w:val="20"/>
        </w:rPr>
        <w:t xml:space="preserve"> </w:t>
      </w:r>
      <w:r>
        <w:rPr>
          <w:spacing w:val="3"/>
          <w:sz w:val="20"/>
          <w:szCs w:val="20"/>
        </w:rPr>
        <w:t>则，并根据质量控制点的设置原则合理设置质量控制点，并选用合适的质量控制手段，主要的</w:t>
      </w:r>
      <w:r>
        <w:rPr>
          <w:spacing w:val="1"/>
          <w:sz w:val="20"/>
          <w:szCs w:val="20"/>
        </w:rPr>
        <w:t xml:space="preserve"> </w:t>
      </w:r>
      <w:r>
        <w:rPr>
          <w:spacing w:val="-2"/>
          <w:sz w:val="20"/>
          <w:szCs w:val="20"/>
        </w:rPr>
        <w:t>质量控制手段包括评审、测试、旁站和抽查。</w:t>
      </w:r>
    </w:p>
    <w:p w14:paraId="216BF296">
      <w:pPr>
        <w:pStyle w:val="2"/>
        <w:spacing w:before="74" w:line="257" w:lineRule="auto"/>
        <w:ind w:right="299" w:firstLine="409"/>
        <w:rPr>
          <w:sz w:val="20"/>
          <w:szCs w:val="20"/>
        </w:rPr>
      </w:pPr>
      <w:r>
        <w:rPr>
          <w:spacing w:val="6"/>
          <w:sz w:val="20"/>
          <w:szCs w:val="20"/>
        </w:rPr>
        <w:t>(4)组织对承建单位提供的产品及服务进行验收，对验收结果</w:t>
      </w:r>
      <w:r>
        <w:rPr>
          <w:spacing w:val="5"/>
          <w:sz w:val="20"/>
          <w:szCs w:val="20"/>
        </w:rPr>
        <w:t>做验收记录，并对验收记录</w:t>
      </w:r>
      <w:r>
        <w:rPr>
          <w:sz w:val="20"/>
          <w:szCs w:val="20"/>
        </w:rPr>
        <w:t xml:space="preserve"> </w:t>
      </w:r>
      <w:r>
        <w:rPr>
          <w:spacing w:val="3"/>
          <w:sz w:val="20"/>
          <w:szCs w:val="20"/>
        </w:rPr>
        <w:t>办理三方签认手续；对不符合合同或相关标准规定的产品及服务应拒绝签认，没有被签认</w:t>
      </w:r>
      <w:r>
        <w:rPr>
          <w:spacing w:val="2"/>
          <w:sz w:val="20"/>
          <w:szCs w:val="20"/>
        </w:rPr>
        <w:t>的产</w:t>
      </w:r>
      <w:r>
        <w:rPr>
          <w:sz w:val="20"/>
          <w:szCs w:val="20"/>
        </w:rPr>
        <w:t xml:space="preserve"> 品及服务不得在工程实施中应用；具体检查项可依据相关标准及规范，</w:t>
      </w:r>
      <w:r>
        <w:rPr>
          <w:spacing w:val="-1"/>
          <w:sz w:val="20"/>
          <w:szCs w:val="20"/>
        </w:rPr>
        <w:t>组织三方共同协商确定。</w:t>
      </w:r>
    </w:p>
    <w:p w14:paraId="664687F0">
      <w:pPr>
        <w:spacing w:line="257" w:lineRule="auto"/>
        <w:rPr>
          <w:sz w:val="20"/>
          <w:szCs w:val="20"/>
        </w:rPr>
        <w:sectPr>
          <w:pgSz w:w="10290" w:h="13310"/>
          <w:pgMar w:top="400" w:right="469" w:bottom="400" w:left="1130" w:header="0" w:footer="0" w:gutter="0"/>
          <w:cols w:space="720" w:num="1"/>
        </w:sectPr>
      </w:pPr>
    </w:p>
    <w:p w14:paraId="0193CB42">
      <w:pPr>
        <w:pStyle w:val="2"/>
        <w:spacing w:before="68" w:line="219" w:lineRule="auto"/>
        <w:rPr>
          <w:sz w:val="20"/>
          <w:szCs w:val="20"/>
        </w:rPr>
      </w:pPr>
      <w:bookmarkStart w:id="623" w:name="bookmark608"/>
      <w:bookmarkEnd w:id="623"/>
      <w:r>
        <w:rPr>
          <w:rFonts w:ascii="Times New Roman" w:hAnsi="Times New Roman" w:eastAsia="Times New Roman" w:cs="Times New Roman"/>
          <w:position w:val="-1"/>
          <w:sz w:val="20"/>
          <w:szCs w:val="20"/>
        </w:rPr>
        <w:t xml:space="preserve">254             </w:t>
      </w:r>
      <w:r>
        <w:rPr>
          <w:sz w:val="20"/>
          <w:szCs w:val="20"/>
        </w:rPr>
        <w:t>信息系统监理师教程(第2版)</w:t>
      </w:r>
    </w:p>
    <w:p w14:paraId="730C247E">
      <w:pPr>
        <w:spacing w:line="306" w:lineRule="auto"/>
        <w:rPr>
          <w:rFonts w:ascii="Arial"/>
          <w:sz w:val="21"/>
        </w:rPr>
      </w:pPr>
    </w:p>
    <w:p w14:paraId="6C5E0AC7">
      <w:pPr>
        <w:pStyle w:val="2"/>
        <w:spacing w:before="65" w:line="276" w:lineRule="auto"/>
        <w:ind w:left="369" w:firstLine="410"/>
        <w:rPr>
          <w:sz w:val="20"/>
          <w:szCs w:val="20"/>
        </w:rPr>
      </w:pPr>
      <w:r>
        <w:rPr>
          <w:spacing w:val="8"/>
          <w:sz w:val="20"/>
          <w:szCs w:val="20"/>
        </w:rPr>
        <w:t>(5)项目实施过程中，按计划检查承建单位的项目实施状况、人</w:t>
      </w:r>
      <w:r>
        <w:rPr>
          <w:spacing w:val="7"/>
          <w:sz w:val="20"/>
          <w:szCs w:val="20"/>
        </w:rPr>
        <w:t>员与实施方案的一致性。</w:t>
      </w:r>
      <w:r>
        <w:rPr>
          <w:sz w:val="20"/>
          <w:szCs w:val="20"/>
        </w:rPr>
        <w:t xml:space="preserve"> </w:t>
      </w:r>
      <w:r>
        <w:rPr>
          <w:spacing w:val="3"/>
          <w:sz w:val="20"/>
          <w:szCs w:val="20"/>
        </w:rPr>
        <w:t>发现人员与实施方案不一致时，应要求承建单位严格按照实施方案更换或申请更换人员，尤其</w:t>
      </w:r>
      <w:r>
        <w:rPr>
          <w:spacing w:val="2"/>
          <w:sz w:val="20"/>
          <w:szCs w:val="20"/>
        </w:rPr>
        <w:t xml:space="preserve">  </w:t>
      </w:r>
      <w:r>
        <w:rPr>
          <w:spacing w:val="-1"/>
          <w:sz w:val="20"/>
          <w:szCs w:val="20"/>
        </w:rPr>
        <w:t>注意对特种作业人员的现场资质审查，必须做到人证合一。</w:t>
      </w:r>
    </w:p>
    <w:p w14:paraId="1373BE3E">
      <w:pPr>
        <w:pStyle w:val="2"/>
        <w:spacing w:before="62" w:line="262" w:lineRule="auto"/>
        <w:ind w:left="369" w:right="20" w:firstLine="410"/>
        <w:rPr>
          <w:sz w:val="20"/>
          <w:szCs w:val="20"/>
        </w:rPr>
      </w:pPr>
      <w:r>
        <w:rPr>
          <w:spacing w:val="7"/>
          <w:sz w:val="20"/>
          <w:szCs w:val="20"/>
        </w:rPr>
        <w:t>(6)执行已确定的阶段性质量监督、控制措施及方法，并做监理日志，出现质量问题时，</w:t>
      </w:r>
      <w:r>
        <w:rPr>
          <w:spacing w:val="8"/>
          <w:sz w:val="20"/>
          <w:szCs w:val="20"/>
        </w:rPr>
        <w:t xml:space="preserve"> </w:t>
      </w:r>
      <w:r>
        <w:rPr>
          <w:spacing w:val="-3"/>
          <w:sz w:val="20"/>
          <w:szCs w:val="20"/>
        </w:rPr>
        <w:t>可以要求承建单位整改，并跟踪落实。</w:t>
      </w:r>
    </w:p>
    <w:p w14:paraId="78E62286">
      <w:pPr>
        <w:pStyle w:val="2"/>
        <w:spacing w:before="81" w:line="283" w:lineRule="auto"/>
        <w:ind w:left="369" w:right="72" w:firstLine="410"/>
        <w:rPr>
          <w:sz w:val="16"/>
          <w:szCs w:val="16"/>
        </w:rPr>
      </w:pPr>
      <w:r>
        <w:rPr>
          <w:spacing w:val="11"/>
          <w:sz w:val="20"/>
          <w:szCs w:val="20"/>
        </w:rPr>
        <w:t>(7)及时处理承建单位提交的关键环节的施工申请，审核其合理性后签认，报业主单位</w:t>
      </w:r>
      <w:r>
        <w:rPr>
          <w:spacing w:val="8"/>
          <w:sz w:val="20"/>
          <w:szCs w:val="20"/>
        </w:rPr>
        <w:t xml:space="preserve"> </w:t>
      </w:r>
      <w:r>
        <w:rPr>
          <w:spacing w:val="-5"/>
          <w:sz w:val="16"/>
          <w:szCs w:val="16"/>
        </w:rPr>
        <w:t>批</w:t>
      </w:r>
      <w:r>
        <w:rPr>
          <w:spacing w:val="-18"/>
          <w:sz w:val="16"/>
          <w:szCs w:val="16"/>
        </w:rPr>
        <w:t xml:space="preserve"> </w:t>
      </w:r>
      <w:r>
        <w:rPr>
          <w:spacing w:val="-5"/>
          <w:sz w:val="16"/>
          <w:szCs w:val="16"/>
        </w:rPr>
        <w:t>准</w:t>
      </w:r>
      <w:r>
        <w:rPr>
          <w:spacing w:val="-25"/>
          <w:sz w:val="16"/>
          <w:szCs w:val="16"/>
        </w:rPr>
        <w:t xml:space="preserve"> </w:t>
      </w:r>
      <w:r>
        <w:rPr>
          <w:spacing w:val="-5"/>
          <w:sz w:val="16"/>
          <w:szCs w:val="16"/>
        </w:rPr>
        <w:t>。</w:t>
      </w:r>
    </w:p>
    <w:p w14:paraId="65C4C327">
      <w:pPr>
        <w:pStyle w:val="2"/>
        <w:spacing w:before="89" w:line="248" w:lineRule="auto"/>
        <w:ind w:left="369" w:right="90" w:firstLine="410"/>
        <w:rPr>
          <w:sz w:val="20"/>
          <w:szCs w:val="20"/>
        </w:rPr>
      </w:pPr>
      <w:r>
        <w:rPr>
          <w:spacing w:val="5"/>
          <w:sz w:val="20"/>
          <w:szCs w:val="20"/>
        </w:rPr>
        <w:t>(8)必要时，检查承建单位重要工程步骤的衔接工作，做监理日志。未经监理单位检查认</w:t>
      </w:r>
      <w:r>
        <w:rPr>
          <w:spacing w:val="18"/>
          <w:sz w:val="20"/>
          <w:szCs w:val="20"/>
        </w:rPr>
        <w:t xml:space="preserve"> </w:t>
      </w:r>
      <w:r>
        <w:rPr>
          <w:spacing w:val="-2"/>
          <w:sz w:val="20"/>
          <w:szCs w:val="20"/>
        </w:rPr>
        <w:t>可，承建单位不能进行与之相关的下一步骤的实施。</w:t>
      </w:r>
    </w:p>
    <w:p w14:paraId="77BA64EA">
      <w:pPr>
        <w:pStyle w:val="2"/>
        <w:spacing w:before="92" w:line="255" w:lineRule="auto"/>
        <w:ind w:left="369" w:right="77" w:firstLine="410"/>
        <w:rPr>
          <w:sz w:val="20"/>
          <w:szCs w:val="20"/>
        </w:rPr>
      </w:pPr>
      <w:r>
        <w:rPr>
          <w:spacing w:val="6"/>
          <w:sz w:val="20"/>
          <w:szCs w:val="20"/>
        </w:rPr>
        <w:t>(9)及时处理工程变更申请，审核变更的合理性，按变更控制程序处</w:t>
      </w:r>
      <w:r>
        <w:rPr>
          <w:spacing w:val="5"/>
          <w:sz w:val="20"/>
          <w:szCs w:val="20"/>
        </w:rPr>
        <w:t>理，保证项目总体质</w:t>
      </w:r>
      <w:r>
        <w:rPr>
          <w:sz w:val="20"/>
          <w:szCs w:val="20"/>
        </w:rPr>
        <w:t xml:space="preserve"> </w:t>
      </w:r>
      <w:r>
        <w:rPr>
          <w:spacing w:val="-6"/>
          <w:sz w:val="20"/>
          <w:szCs w:val="20"/>
        </w:rPr>
        <w:t>量不受影响。</w:t>
      </w:r>
    </w:p>
    <w:p w14:paraId="5C086664">
      <w:pPr>
        <w:pStyle w:val="2"/>
        <w:spacing w:before="68" w:line="220" w:lineRule="auto"/>
        <w:ind w:left="779"/>
        <w:rPr>
          <w:sz w:val="20"/>
          <w:szCs w:val="20"/>
        </w:rPr>
      </w:pPr>
      <w:r>
        <w:rPr>
          <w:spacing w:val="2"/>
          <w:sz w:val="20"/>
          <w:szCs w:val="20"/>
        </w:rPr>
        <w:t>(10)有分包单位时，应组织审核分包单位的工程实施资质。</w:t>
      </w:r>
    </w:p>
    <w:p w14:paraId="0799866C">
      <w:pPr>
        <w:pStyle w:val="2"/>
        <w:spacing w:before="81" w:line="219" w:lineRule="auto"/>
        <w:ind w:left="779"/>
        <w:rPr>
          <w:sz w:val="20"/>
          <w:szCs w:val="20"/>
        </w:rPr>
      </w:pPr>
      <w:r>
        <w:rPr>
          <w:spacing w:val="2"/>
          <w:sz w:val="20"/>
          <w:szCs w:val="20"/>
        </w:rPr>
        <w:t>(11)出现质量事故时，及时按照质量事故处理程序进行处置。</w:t>
      </w:r>
    </w:p>
    <w:p w14:paraId="59721776">
      <w:pPr>
        <w:pStyle w:val="2"/>
        <w:spacing w:before="81" w:line="258" w:lineRule="auto"/>
        <w:ind w:left="369" w:right="91" w:firstLine="410"/>
        <w:rPr>
          <w:sz w:val="20"/>
          <w:szCs w:val="20"/>
        </w:rPr>
      </w:pPr>
      <w:r>
        <w:rPr>
          <w:spacing w:val="3"/>
          <w:sz w:val="20"/>
          <w:szCs w:val="20"/>
        </w:rPr>
        <w:t>(12)若发现工程实施过程存在重大质量隐患，应及时向承建单位签发停工令</w:t>
      </w:r>
      <w:r>
        <w:rPr>
          <w:spacing w:val="2"/>
          <w:sz w:val="20"/>
          <w:szCs w:val="20"/>
        </w:rPr>
        <w:t>，并报业主单</w:t>
      </w:r>
      <w:r>
        <w:rPr>
          <w:sz w:val="20"/>
          <w:szCs w:val="20"/>
        </w:rPr>
        <w:t xml:space="preserve"> </w:t>
      </w:r>
      <w:r>
        <w:rPr>
          <w:spacing w:val="-1"/>
          <w:sz w:val="20"/>
          <w:szCs w:val="20"/>
        </w:rPr>
        <w:t>位，监督承建单位进行整改。整改完毕后，及时处理承建单位的复</w:t>
      </w:r>
      <w:r>
        <w:rPr>
          <w:spacing w:val="-2"/>
          <w:sz w:val="20"/>
          <w:szCs w:val="20"/>
        </w:rPr>
        <w:t>工申请。</w:t>
      </w:r>
    </w:p>
    <w:p w14:paraId="18B87E68">
      <w:pPr>
        <w:pStyle w:val="2"/>
        <w:spacing w:before="211" w:line="219" w:lineRule="auto"/>
        <w:ind w:left="372"/>
        <w:rPr>
          <w:sz w:val="25"/>
          <w:szCs w:val="25"/>
        </w:rPr>
      </w:pPr>
      <w:r>
        <w:rPr>
          <w:b/>
          <w:bCs/>
          <w:color w:val="005EDB"/>
          <w:spacing w:val="-16"/>
          <w:sz w:val="25"/>
          <w:szCs w:val="25"/>
        </w:rPr>
        <w:t>10.6.4</w:t>
      </w:r>
      <w:r>
        <w:rPr>
          <w:color w:val="005EDB"/>
          <w:spacing w:val="89"/>
          <w:sz w:val="25"/>
          <w:szCs w:val="25"/>
        </w:rPr>
        <w:t xml:space="preserve"> </w:t>
      </w:r>
      <w:r>
        <w:rPr>
          <w:b/>
          <w:bCs/>
          <w:color w:val="005EDB"/>
          <w:spacing w:val="-16"/>
          <w:sz w:val="25"/>
          <w:szCs w:val="25"/>
        </w:rPr>
        <w:t>验收阶段监理质量控制</w:t>
      </w:r>
    </w:p>
    <w:p w14:paraId="27337A95">
      <w:pPr>
        <w:pStyle w:val="2"/>
        <w:spacing w:before="185" w:line="219" w:lineRule="auto"/>
        <w:ind w:left="779"/>
        <w:rPr>
          <w:sz w:val="20"/>
          <w:szCs w:val="20"/>
        </w:rPr>
      </w:pPr>
      <w:r>
        <w:rPr>
          <w:spacing w:val="-2"/>
          <w:sz w:val="20"/>
          <w:szCs w:val="20"/>
        </w:rPr>
        <w:t>监理单位在信息系统工程建设项目验收阶段的质量控制工作及要点包括：</w:t>
      </w:r>
    </w:p>
    <w:p w14:paraId="6E8BAB76">
      <w:pPr>
        <w:pStyle w:val="2"/>
        <w:spacing w:before="73" w:line="220" w:lineRule="auto"/>
        <w:ind w:left="779"/>
        <w:rPr>
          <w:sz w:val="20"/>
          <w:szCs w:val="20"/>
        </w:rPr>
      </w:pPr>
      <w:r>
        <w:rPr>
          <w:spacing w:val="7"/>
          <w:sz w:val="20"/>
          <w:szCs w:val="20"/>
        </w:rPr>
        <w:t>(1)审核初验/终验计划及方案。</w:t>
      </w:r>
    </w:p>
    <w:p w14:paraId="77A2EDD9">
      <w:pPr>
        <w:pStyle w:val="2"/>
        <w:spacing w:before="91" w:line="273" w:lineRule="auto"/>
        <w:ind w:left="369" w:firstLine="410"/>
        <w:rPr>
          <w:sz w:val="20"/>
          <w:szCs w:val="20"/>
        </w:rPr>
      </w:pPr>
      <w:r>
        <w:rPr>
          <w:sz w:val="20"/>
          <w:szCs w:val="20"/>
        </w:rPr>
        <w:t>监理单位应协助业主单位审核承建单位提交的验收计划及方案，明确验收目标、各方责任、</w:t>
      </w:r>
      <w:r>
        <w:rPr>
          <w:spacing w:val="8"/>
          <w:sz w:val="20"/>
          <w:szCs w:val="20"/>
        </w:rPr>
        <w:t xml:space="preserve"> </w:t>
      </w:r>
      <w:r>
        <w:rPr>
          <w:spacing w:val="-1"/>
          <w:sz w:val="20"/>
          <w:szCs w:val="20"/>
        </w:rPr>
        <w:t>验收内容、验收标准、验收方式和验收结果等内容，审核后签署审核</w:t>
      </w:r>
      <w:r>
        <w:rPr>
          <w:spacing w:val="-2"/>
          <w:sz w:val="20"/>
          <w:szCs w:val="20"/>
        </w:rPr>
        <w:t>意见。</w:t>
      </w:r>
    </w:p>
    <w:p w14:paraId="56D235D7">
      <w:pPr>
        <w:pStyle w:val="2"/>
        <w:spacing w:before="29" w:line="219" w:lineRule="auto"/>
        <w:ind w:left="779"/>
        <w:rPr>
          <w:sz w:val="20"/>
          <w:szCs w:val="20"/>
        </w:rPr>
      </w:pPr>
      <w:r>
        <w:rPr>
          <w:spacing w:val="8"/>
          <w:sz w:val="20"/>
          <w:szCs w:val="20"/>
        </w:rPr>
        <w:t>(2)审核初验/终验条件。</w:t>
      </w:r>
    </w:p>
    <w:p w14:paraId="5C01E764">
      <w:pPr>
        <w:pStyle w:val="2"/>
        <w:spacing w:before="74" w:line="277" w:lineRule="auto"/>
        <w:ind w:left="369" w:right="19" w:firstLine="410"/>
        <w:rPr>
          <w:sz w:val="20"/>
          <w:szCs w:val="20"/>
        </w:rPr>
      </w:pPr>
      <w:r>
        <w:rPr>
          <w:spacing w:val="5"/>
          <w:sz w:val="20"/>
          <w:szCs w:val="20"/>
        </w:rPr>
        <w:t>监理单位应及时处理承建单位提交的工程初验/终验报审表，审核</w:t>
      </w:r>
      <w:r>
        <w:rPr>
          <w:spacing w:val="4"/>
          <w:sz w:val="20"/>
          <w:szCs w:val="20"/>
        </w:rPr>
        <w:t>初验/终验的必备条件。</w:t>
      </w:r>
      <w:r>
        <w:rPr>
          <w:sz w:val="20"/>
          <w:szCs w:val="20"/>
        </w:rPr>
        <w:t xml:space="preserve"> </w:t>
      </w:r>
      <w:r>
        <w:rPr>
          <w:spacing w:val="5"/>
          <w:sz w:val="20"/>
          <w:szCs w:val="20"/>
        </w:rPr>
        <w:t>具备初验/终验条件时，监理单位在初验/终验报审表中予以签认，并</w:t>
      </w:r>
      <w:r>
        <w:rPr>
          <w:spacing w:val="4"/>
          <w:sz w:val="20"/>
          <w:szCs w:val="20"/>
        </w:rPr>
        <w:t>报业主单位签认；否则，</w:t>
      </w:r>
      <w:r>
        <w:rPr>
          <w:sz w:val="20"/>
          <w:szCs w:val="20"/>
        </w:rPr>
        <w:t xml:space="preserve"> </w:t>
      </w:r>
      <w:r>
        <w:rPr>
          <w:spacing w:val="-4"/>
          <w:sz w:val="20"/>
          <w:szCs w:val="20"/>
        </w:rPr>
        <w:t>监理单位应出具监理意见并跟踪整改。</w:t>
      </w:r>
    </w:p>
    <w:p w14:paraId="7AEEEFFB">
      <w:pPr>
        <w:pStyle w:val="2"/>
        <w:spacing w:before="49" w:line="220" w:lineRule="auto"/>
        <w:ind w:left="779"/>
        <w:rPr>
          <w:sz w:val="20"/>
          <w:szCs w:val="20"/>
        </w:rPr>
      </w:pPr>
      <w:r>
        <w:rPr>
          <w:spacing w:val="5"/>
          <w:sz w:val="20"/>
          <w:szCs w:val="20"/>
        </w:rPr>
        <w:t>(3)处理初验/终验中发现的质量问题。</w:t>
      </w:r>
    </w:p>
    <w:p w14:paraId="2626B5E9">
      <w:pPr>
        <w:pStyle w:val="2"/>
        <w:spacing w:before="59" w:line="278" w:lineRule="auto"/>
        <w:ind w:left="369" w:right="20" w:firstLine="410"/>
        <w:rPr>
          <w:sz w:val="20"/>
          <w:szCs w:val="20"/>
        </w:rPr>
      </w:pPr>
      <w:r>
        <w:rPr>
          <w:spacing w:val="6"/>
          <w:sz w:val="20"/>
          <w:szCs w:val="20"/>
        </w:rPr>
        <w:t>监理单位应协助业主单位对初验/终验中发现的质量问题进行评估，根据质量问题</w:t>
      </w:r>
      <w:r>
        <w:rPr>
          <w:spacing w:val="5"/>
          <w:sz w:val="20"/>
          <w:szCs w:val="20"/>
        </w:rPr>
        <w:t>的性质</w:t>
      </w:r>
      <w:r>
        <w:rPr>
          <w:sz w:val="20"/>
          <w:szCs w:val="20"/>
        </w:rPr>
        <w:t xml:space="preserve"> 和影响范围，确定整改要求和整改后的验收方式，以监理通知单的形式告知承建单位。必要时， 应组织重新验收。</w:t>
      </w:r>
    </w:p>
    <w:p w14:paraId="4F795642">
      <w:pPr>
        <w:pStyle w:val="2"/>
        <w:spacing w:before="39" w:line="220" w:lineRule="auto"/>
        <w:ind w:left="779"/>
        <w:rPr>
          <w:sz w:val="20"/>
          <w:szCs w:val="20"/>
        </w:rPr>
      </w:pPr>
      <w:r>
        <w:rPr>
          <w:spacing w:val="8"/>
          <w:sz w:val="20"/>
          <w:szCs w:val="20"/>
        </w:rPr>
        <w:t>(4)确认初验/终验结果。</w:t>
      </w:r>
    </w:p>
    <w:p w14:paraId="76DBF9D9">
      <w:pPr>
        <w:pStyle w:val="2"/>
        <w:spacing w:before="80" w:line="268" w:lineRule="auto"/>
        <w:ind w:left="369" w:right="84" w:firstLine="410"/>
        <w:rPr>
          <w:sz w:val="20"/>
          <w:szCs w:val="20"/>
        </w:rPr>
      </w:pPr>
      <w:r>
        <w:rPr>
          <w:spacing w:val="3"/>
          <w:sz w:val="20"/>
          <w:szCs w:val="20"/>
        </w:rPr>
        <w:t>监理单位应敦促承建单位根据整改要求提出整改方案，并监督整改过程，与业主单位和承</w:t>
      </w:r>
      <w:r>
        <w:rPr>
          <w:spacing w:val="1"/>
          <w:sz w:val="20"/>
          <w:szCs w:val="20"/>
        </w:rPr>
        <w:t xml:space="preserve"> </w:t>
      </w:r>
      <w:r>
        <w:rPr>
          <w:spacing w:val="3"/>
          <w:sz w:val="20"/>
          <w:szCs w:val="20"/>
        </w:rPr>
        <w:t>建单位一起对初验/终验结果进行确认，共同签署初验/终验合格报告，应有计划地监督系统的</w:t>
      </w:r>
      <w:r>
        <w:rPr>
          <w:spacing w:val="8"/>
          <w:sz w:val="20"/>
          <w:szCs w:val="20"/>
        </w:rPr>
        <w:t xml:space="preserve"> </w:t>
      </w:r>
      <w:r>
        <w:rPr>
          <w:spacing w:val="-2"/>
          <w:sz w:val="20"/>
          <w:szCs w:val="20"/>
        </w:rPr>
        <w:t>试运行，督促承建单位解决试运行中出现的质量问题。</w:t>
      </w:r>
    </w:p>
    <w:p w14:paraId="4506C14F">
      <w:pPr>
        <w:spacing w:line="268" w:lineRule="auto"/>
        <w:rPr>
          <w:sz w:val="20"/>
          <w:szCs w:val="20"/>
        </w:rPr>
        <w:sectPr>
          <w:pgSz w:w="10320" w:h="13400"/>
          <w:pgMar w:top="400" w:right="989" w:bottom="400" w:left="540" w:header="0" w:footer="0" w:gutter="0"/>
          <w:cols w:space="720" w:num="1"/>
        </w:sectPr>
      </w:pPr>
    </w:p>
    <w:p w14:paraId="37EE6AAB">
      <w:pPr>
        <w:spacing w:line="261" w:lineRule="auto"/>
        <w:rPr>
          <w:rFonts w:ascii="Arial"/>
          <w:sz w:val="21"/>
        </w:rPr>
      </w:pPr>
    </w:p>
    <w:p w14:paraId="573F6DE0">
      <w:pPr>
        <w:spacing w:line="261" w:lineRule="auto"/>
        <w:rPr>
          <w:rFonts w:ascii="Arial"/>
          <w:sz w:val="21"/>
        </w:rPr>
      </w:pPr>
    </w:p>
    <w:p w14:paraId="49B4A126">
      <w:pPr>
        <w:spacing w:line="261" w:lineRule="auto"/>
        <w:rPr>
          <w:rFonts w:ascii="Arial"/>
          <w:sz w:val="21"/>
        </w:rPr>
      </w:pPr>
    </w:p>
    <w:p w14:paraId="118B87AA">
      <w:pPr>
        <w:spacing w:before="130" w:line="222" w:lineRule="auto"/>
        <w:ind w:left="2485"/>
        <w:rPr>
          <w:rFonts w:ascii="黑体" w:hAnsi="黑体" w:eastAsia="黑体" w:cs="黑体"/>
          <w:sz w:val="40"/>
          <w:szCs w:val="40"/>
        </w:rPr>
      </w:pPr>
      <w:r>
        <w:rPr>
          <w:rFonts w:ascii="黑体" w:hAnsi="黑体" w:eastAsia="黑体" w:cs="黑体"/>
          <w:b/>
          <w:bCs/>
          <w:color w:val="0056EB"/>
          <w:spacing w:val="17"/>
          <w:sz w:val="40"/>
          <w:szCs w:val="40"/>
        </w:rPr>
        <w:t>第11章</w:t>
      </w:r>
      <w:r>
        <w:rPr>
          <w:rFonts w:ascii="黑体" w:hAnsi="黑体" w:eastAsia="黑体" w:cs="黑体"/>
          <w:color w:val="0056EB"/>
          <w:spacing w:val="190"/>
          <w:sz w:val="40"/>
          <w:szCs w:val="40"/>
        </w:rPr>
        <w:t xml:space="preserve"> </w:t>
      </w:r>
      <w:r>
        <w:rPr>
          <w:rFonts w:ascii="黑体" w:hAnsi="黑体" w:eastAsia="黑体" w:cs="黑体"/>
          <w:b/>
          <w:bCs/>
          <w:color w:val="0056EB"/>
          <w:spacing w:val="17"/>
          <w:sz w:val="40"/>
          <w:szCs w:val="40"/>
        </w:rPr>
        <w:t>进度控制</w:t>
      </w:r>
    </w:p>
    <w:p w14:paraId="47D2C900">
      <w:pPr>
        <w:spacing w:line="359" w:lineRule="auto"/>
        <w:rPr>
          <w:rFonts w:ascii="Arial"/>
          <w:sz w:val="21"/>
        </w:rPr>
      </w:pPr>
    </w:p>
    <w:p w14:paraId="5BD8417B">
      <w:pPr>
        <w:spacing w:line="359" w:lineRule="auto"/>
        <w:rPr>
          <w:rFonts w:ascii="Arial"/>
          <w:sz w:val="21"/>
        </w:rPr>
      </w:pPr>
    </w:p>
    <w:p w14:paraId="0E53D711">
      <w:pPr>
        <w:pStyle w:val="2"/>
        <w:spacing w:before="65" w:line="281" w:lineRule="auto"/>
        <w:ind w:right="117" w:firstLine="399"/>
        <w:jc w:val="both"/>
        <w:rPr>
          <w:sz w:val="20"/>
          <w:szCs w:val="20"/>
        </w:rPr>
      </w:pPr>
      <w:r>
        <w:rPr>
          <w:spacing w:val="3"/>
          <w:sz w:val="20"/>
          <w:szCs w:val="20"/>
        </w:rPr>
        <w:t>进度控制是指对信息系统工程建设项目各阶段的工作内容、工程程序、持续时间和衔接关</w:t>
      </w:r>
      <w:r>
        <w:rPr>
          <w:spacing w:val="5"/>
          <w:sz w:val="20"/>
          <w:szCs w:val="20"/>
        </w:rPr>
        <w:t xml:space="preserve">  系，根据进度总目标及资源优化配置的原则编制计划并付</w:t>
      </w:r>
      <w:r>
        <w:rPr>
          <w:spacing w:val="4"/>
          <w:sz w:val="20"/>
          <w:szCs w:val="20"/>
        </w:rPr>
        <w:t>诸实施。在进度计划的实施过程中，</w:t>
      </w:r>
      <w:r>
        <w:rPr>
          <w:sz w:val="20"/>
          <w:szCs w:val="20"/>
        </w:rPr>
        <w:t xml:space="preserve"> </w:t>
      </w:r>
      <w:r>
        <w:rPr>
          <w:spacing w:val="5"/>
          <w:sz w:val="20"/>
          <w:szCs w:val="20"/>
        </w:rPr>
        <w:t>应经常检查实际进度是否按照计划进行。对出现的偏差情况进行分析，采取补救措施或调整、</w:t>
      </w:r>
      <w:r>
        <w:rPr>
          <w:spacing w:val="14"/>
          <w:sz w:val="20"/>
          <w:szCs w:val="20"/>
        </w:rPr>
        <w:t xml:space="preserve"> </w:t>
      </w:r>
      <w:r>
        <w:rPr>
          <w:spacing w:val="3"/>
          <w:sz w:val="20"/>
          <w:szCs w:val="20"/>
        </w:rPr>
        <w:t>修正原计划后，再付诸实施，如此循环，直到项目竣工验收交付使用，力求实际工期不超过计</w:t>
      </w:r>
      <w:r>
        <w:rPr>
          <w:spacing w:val="2"/>
          <w:sz w:val="20"/>
          <w:szCs w:val="20"/>
        </w:rPr>
        <w:t xml:space="preserve">  </w:t>
      </w:r>
      <w:r>
        <w:rPr>
          <w:spacing w:val="-2"/>
          <w:sz w:val="20"/>
          <w:szCs w:val="20"/>
        </w:rPr>
        <w:t>划工期，使项目按照预定的时间完成。</w:t>
      </w:r>
    </w:p>
    <w:p w14:paraId="54C25C6F">
      <w:pPr>
        <w:pStyle w:val="2"/>
        <w:spacing w:before="48" w:line="277" w:lineRule="auto"/>
        <w:ind w:right="208" w:firstLine="399"/>
        <w:jc w:val="both"/>
        <w:rPr>
          <w:sz w:val="20"/>
          <w:szCs w:val="20"/>
        </w:rPr>
      </w:pPr>
      <w:r>
        <w:rPr>
          <w:spacing w:val="3"/>
          <w:sz w:val="20"/>
          <w:szCs w:val="20"/>
        </w:rPr>
        <w:t>进度控制是项目管理的关键要素，是保障信息系统工程建设项目按期完成的基本措施。进</w:t>
      </w:r>
      <w:r>
        <w:rPr>
          <w:spacing w:val="9"/>
          <w:sz w:val="20"/>
          <w:szCs w:val="20"/>
        </w:rPr>
        <w:t xml:space="preserve"> </w:t>
      </w:r>
      <w:r>
        <w:rPr>
          <w:spacing w:val="3"/>
          <w:sz w:val="20"/>
          <w:szCs w:val="20"/>
        </w:rPr>
        <w:t>度控制与质量控制、成本控制并列为信息系统工程建设项目的三大目标。作为监理工程师，应</w:t>
      </w:r>
      <w:r>
        <w:rPr>
          <w:spacing w:val="4"/>
          <w:sz w:val="20"/>
          <w:szCs w:val="20"/>
        </w:rPr>
        <w:t xml:space="preserve"> </w:t>
      </w:r>
      <w:r>
        <w:rPr>
          <w:spacing w:val="-2"/>
          <w:sz w:val="20"/>
          <w:szCs w:val="20"/>
        </w:rPr>
        <w:t>该采用科学的控制方法和手段控制项目的建设进度。</w:t>
      </w:r>
    </w:p>
    <w:p w14:paraId="38402E32">
      <w:pPr>
        <w:spacing w:line="321" w:lineRule="auto"/>
        <w:rPr>
          <w:rFonts w:ascii="Arial"/>
          <w:sz w:val="21"/>
        </w:rPr>
      </w:pPr>
    </w:p>
    <w:p w14:paraId="7472B0BE">
      <w:pPr>
        <w:pStyle w:val="2"/>
        <w:spacing w:before="84" w:line="222" w:lineRule="auto"/>
        <w:ind w:left="3"/>
        <w:rPr>
          <w:rFonts w:ascii="黑体" w:hAnsi="黑体" w:eastAsia="黑体" w:cs="黑体"/>
          <w:sz w:val="26"/>
          <w:szCs w:val="26"/>
        </w:rPr>
      </w:pPr>
      <w:r>
        <w:rPr>
          <w:b/>
          <w:bCs/>
          <w:color w:val="0061E1"/>
          <w:spacing w:val="2"/>
          <w:sz w:val="26"/>
          <w:szCs w:val="26"/>
        </w:rPr>
        <w:t>11.1</w:t>
      </w:r>
      <w:r>
        <w:rPr>
          <w:color w:val="0061E1"/>
          <w:spacing w:val="45"/>
          <w:sz w:val="26"/>
          <w:szCs w:val="26"/>
        </w:rPr>
        <w:t xml:space="preserve">  </w:t>
      </w:r>
      <w:r>
        <w:rPr>
          <w:rFonts w:ascii="黑体" w:hAnsi="黑体" w:eastAsia="黑体" w:cs="黑体"/>
          <w:b/>
          <w:bCs/>
          <w:color w:val="0061E1"/>
          <w:spacing w:val="2"/>
          <w:sz w:val="26"/>
          <w:szCs w:val="26"/>
        </w:rPr>
        <w:t>进度与进度控制</w:t>
      </w:r>
    </w:p>
    <w:p w14:paraId="5177A991">
      <w:pPr>
        <w:pStyle w:val="2"/>
        <w:spacing w:before="289" w:line="273" w:lineRule="auto"/>
        <w:ind w:right="204" w:firstLine="399"/>
        <w:rPr>
          <w:sz w:val="20"/>
          <w:szCs w:val="20"/>
        </w:rPr>
      </w:pPr>
      <w:r>
        <w:rPr>
          <w:spacing w:val="3"/>
          <w:sz w:val="20"/>
          <w:szCs w:val="20"/>
        </w:rPr>
        <w:t>进度还常以“工期”来代称。讲工期也就是讲进度。进度控制是指对信息系统工程建设项</w:t>
      </w:r>
      <w:r>
        <w:rPr>
          <w:spacing w:val="14"/>
          <w:sz w:val="20"/>
          <w:szCs w:val="20"/>
        </w:rPr>
        <w:t xml:space="preserve"> </w:t>
      </w:r>
      <w:r>
        <w:rPr>
          <w:spacing w:val="-1"/>
          <w:sz w:val="20"/>
          <w:szCs w:val="20"/>
        </w:rPr>
        <w:t>目各阶段的工作程序和持续时间进行规划、实施、检查、调</w:t>
      </w:r>
      <w:r>
        <w:rPr>
          <w:spacing w:val="-2"/>
          <w:sz w:val="20"/>
          <w:szCs w:val="20"/>
        </w:rPr>
        <w:t>整等一系列活动的总称。</w:t>
      </w:r>
    </w:p>
    <w:p w14:paraId="4914B566">
      <w:pPr>
        <w:pStyle w:val="2"/>
        <w:spacing w:before="188" w:line="219" w:lineRule="auto"/>
        <w:ind w:left="2"/>
        <w:rPr>
          <w:sz w:val="26"/>
          <w:szCs w:val="26"/>
        </w:rPr>
      </w:pPr>
      <w:r>
        <w:rPr>
          <w:b/>
          <w:bCs/>
          <w:color w:val="0059E1"/>
          <w:spacing w:val="-25"/>
          <w:sz w:val="26"/>
          <w:szCs w:val="26"/>
        </w:rPr>
        <w:t>11.1.1</w:t>
      </w:r>
      <w:r>
        <w:rPr>
          <w:color w:val="0059E1"/>
          <w:spacing w:val="66"/>
          <w:sz w:val="26"/>
          <w:szCs w:val="26"/>
        </w:rPr>
        <w:t xml:space="preserve"> </w:t>
      </w:r>
      <w:r>
        <w:rPr>
          <w:b/>
          <w:bCs/>
          <w:color w:val="0059E1"/>
          <w:spacing w:val="-25"/>
          <w:sz w:val="26"/>
          <w:szCs w:val="26"/>
        </w:rPr>
        <w:t>进度概述</w:t>
      </w:r>
    </w:p>
    <w:p w14:paraId="7B99AC25">
      <w:pPr>
        <w:pStyle w:val="2"/>
        <w:spacing w:before="143" w:line="219" w:lineRule="auto"/>
        <w:ind w:left="399"/>
        <w:rPr>
          <w:sz w:val="20"/>
          <w:szCs w:val="20"/>
        </w:rPr>
      </w:pPr>
      <w:r>
        <w:rPr>
          <w:spacing w:val="-2"/>
          <w:sz w:val="20"/>
          <w:szCs w:val="20"/>
        </w:rPr>
        <w:t>在实际工作中，进度也称计划，进度管理也称计划管理。</w:t>
      </w:r>
    </w:p>
    <w:p w14:paraId="040AFD55">
      <w:pPr>
        <w:pStyle w:val="2"/>
        <w:spacing w:before="83" w:line="279" w:lineRule="auto"/>
        <w:ind w:firstLine="399"/>
        <w:rPr>
          <w:sz w:val="20"/>
          <w:szCs w:val="20"/>
        </w:rPr>
      </w:pPr>
      <w:r>
        <w:rPr>
          <w:spacing w:val="11"/>
          <w:sz w:val="20"/>
          <w:szCs w:val="20"/>
        </w:rPr>
        <w:t>项目计划，是指对一个项目进行分解，并对分解后的工作(通常称为“作业”或“活动”</w:t>
      </w:r>
      <w:r>
        <w:rPr>
          <w:spacing w:val="7"/>
          <w:sz w:val="20"/>
          <w:szCs w:val="20"/>
        </w:rPr>
        <w:t xml:space="preserve"> </w:t>
      </w:r>
      <w:r>
        <w:rPr>
          <w:spacing w:val="5"/>
          <w:sz w:val="20"/>
          <w:szCs w:val="20"/>
        </w:rPr>
        <w:t>或“工作单元”)规定相互之间的顺序关系(通常称为“逻辑关系”)以及工期，通过进度计算</w:t>
      </w:r>
      <w:r>
        <w:rPr>
          <w:spacing w:val="6"/>
          <w:sz w:val="20"/>
          <w:szCs w:val="20"/>
        </w:rPr>
        <w:t xml:space="preserve">   </w:t>
      </w:r>
      <w:r>
        <w:rPr>
          <w:spacing w:val="3"/>
          <w:sz w:val="20"/>
          <w:szCs w:val="20"/>
        </w:rPr>
        <w:t>在时间上对作业进行排列，规定哪些作业何时开始何时结束的一种过程。这一过程的结果或过</w:t>
      </w:r>
      <w:r>
        <w:rPr>
          <w:spacing w:val="1"/>
          <w:sz w:val="20"/>
          <w:szCs w:val="20"/>
        </w:rPr>
        <w:t xml:space="preserve">   </w:t>
      </w:r>
      <w:r>
        <w:rPr>
          <w:spacing w:val="-3"/>
          <w:sz w:val="20"/>
          <w:szCs w:val="20"/>
        </w:rPr>
        <w:t>程本身称为计划或进度计划。</w:t>
      </w:r>
    </w:p>
    <w:p w14:paraId="523D51FD">
      <w:pPr>
        <w:pStyle w:val="2"/>
        <w:spacing w:before="30" w:line="273" w:lineRule="auto"/>
        <w:ind w:right="200" w:firstLine="399"/>
        <w:rPr>
          <w:sz w:val="20"/>
          <w:szCs w:val="20"/>
        </w:rPr>
      </w:pPr>
      <w:r>
        <w:rPr>
          <w:spacing w:val="3"/>
          <w:sz w:val="20"/>
          <w:szCs w:val="20"/>
        </w:rPr>
        <w:t>进度有计划的含义，是指作业在时间上的排列，强调的是一种作业进展以及对作业的协调</w:t>
      </w:r>
      <w:r>
        <w:rPr>
          <w:spacing w:val="18"/>
          <w:sz w:val="20"/>
          <w:szCs w:val="20"/>
        </w:rPr>
        <w:t xml:space="preserve"> </w:t>
      </w:r>
      <w:r>
        <w:rPr>
          <w:spacing w:val="-2"/>
          <w:sz w:val="20"/>
          <w:szCs w:val="20"/>
        </w:rPr>
        <w:t>和控制。所以常有加快进度、赶进度、拖延进度等说法。</w:t>
      </w:r>
    </w:p>
    <w:p w14:paraId="71D2AB80">
      <w:pPr>
        <w:pStyle w:val="2"/>
        <w:spacing w:before="176" w:line="219" w:lineRule="auto"/>
        <w:ind w:left="2"/>
        <w:rPr>
          <w:sz w:val="26"/>
          <w:szCs w:val="26"/>
        </w:rPr>
      </w:pPr>
      <w:r>
        <w:rPr>
          <w:b/>
          <w:bCs/>
          <w:color w:val="0052E1"/>
          <w:spacing w:val="-25"/>
          <w:sz w:val="26"/>
          <w:szCs w:val="26"/>
        </w:rPr>
        <w:t>11.1.2</w:t>
      </w:r>
      <w:r>
        <w:rPr>
          <w:color w:val="0052E1"/>
          <w:spacing w:val="-25"/>
          <w:sz w:val="26"/>
          <w:szCs w:val="26"/>
        </w:rPr>
        <w:t xml:space="preserve">  </w:t>
      </w:r>
      <w:r>
        <w:rPr>
          <w:b/>
          <w:bCs/>
          <w:color w:val="0052E1"/>
          <w:spacing w:val="-25"/>
          <w:sz w:val="26"/>
          <w:szCs w:val="26"/>
        </w:rPr>
        <w:t>进度控制的基本流程</w:t>
      </w:r>
    </w:p>
    <w:p w14:paraId="64C49F8E">
      <w:pPr>
        <w:pStyle w:val="2"/>
        <w:spacing w:before="154" w:line="265" w:lineRule="auto"/>
        <w:ind w:right="202" w:firstLine="399"/>
        <w:jc w:val="both"/>
        <w:rPr>
          <w:sz w:val="20"/>
          <w:szCs w:val="20"/>
        </w:rPr>
      </w:pPr>
      <w:r>
        <w:rPr>
          <w:spacing w:val="3"/>
          <w:sz w:val="20"/>
          <w:szCs w:val="20"/>
        </w:rPr>
        <w:t>进度控制的基本思路是比较实际状态和计划之间的差异，并做出必要的调整，使项目向有</w:t>
      </w:r>
      <w:r>
        <w:rPr>
          <w:spacing w:val="11"/>
          <w:sz w:val="20"/>
          <w:szCs w:val="20"/>
        </w:rPr>
        <w:t xml:space="preserve"> </w:t>
      </w:r>
      <w:r>
        <w:rPr>
          <w:spacing w:val="3"/>
          <w:sz w:val="20"/>
          <w:szCs w:val="20"/>
        </w:rPr>
        <w:t>利的方向发展，其目的是确保项目“时间目标”的实现。进度控制可以分为四个步骤，即计划</w:t>
      </w:r>
      <w:r>
        <w:rPr>
          <w:spacing w:val="10"/>
          <w:sz w:val="20"/>
          <w:szCs w:val="20"/>
        </w:rPr>
        <w:t xml:space="preserve"> </w:t>
      </w:r>
      <w:r>
        <w:rPr>
          <w:rFonts w:ascii="Times New Roman" w:hAnsi="Times New Roman" w:eastAsia="Times New Roman" w:cs="Times New Roman"/>
          <w:spacing w:val="-1"/>
          <w:sz w:val="20"/>
          <w:szCs w:val="20"/>
        </w:rPr>
        <w:t>(Plan)</w:t>
      </w:r>
      <w:r>
        <w:rPr>
          <w:rFonts w:ascii="Times New Roman" w:hAnsi="Times New Roman" w:eastAsia="Times New Roman" w:cs="Times New Roman"/>
          <w:spacing w:val="-26"/>
          <w:sz w:val="20"/>
          <w:szCs w:val="20"/>
        </w:rPr>
        <w:t xml:space="preserve"> </w:t>
      </w:r>
      <w:r>
        <w:rPr>
          <w:spacing w:val="-1"/>
          <w:sz w:val="20"/>
          <w:szCs w:val="20"/>
        </w:rPr>
        <w:t>、</w:t>
      </w:r>
      <w:r>
        <w:rPr>
          <w:spacing w:val="-20"/>
          <w:sz w:val="20"/>
          <w:szCs w:val="20"/>
        </w:rPr>
        <w:t xml:space="preserve"> </w:t>
      </w:r>
      <w:r>
        <w:rPr>
          <w:spacing w:val="-1"/>
          <w:sz w:val="20"/>
          <w:szCs w:val="20"/>
        </w:rPr>
        <w:t>执</w:t>
      </w:r>
      <w:r>
        <w:rPr>
          <w:spacing w:val="-41"/>
          <w:sz w:val="20"/>
          <w:szCs w:val="20"/>
        </w:rPr>
        <w:t xml:space="preserve"> </w:t>
      </w:r>
      <w:r>
        <w:rPr>
          <w:spacing w:val="-1"/>
          <w:sz w:val="20"/>
          <w:szCs w:val="20"/>
        </w:rPr>
        <w:t>行</w:t>
      </w:r>
      <w:r>
        <w:rPr>
          <w:spacing w:val="-50"/>
          <w:sz w:val="20"/>
          <w:szCs w:val="20"/>
        </w:rPr>
        <w:t xml:space="preserve"> </w:t>
      </w:r>
      <w:r>
        <w:rPr>
          <w:rFonts w:ascii="Times New Roman" w:hAnsi="Times New Roman" w:eastAsia="Times New Roman" w:cs="Times New Roman"/>
          <w:spacing w:val="-1"/>
          <w:sz w:val="20"/>
          <w:szCs w:val="20"/>
        </w:rPr>
        <w:t>(Do)</w:t>
      </w:r>
      <w:r>
        <w:rPr>
          <w:rFonts w:ascii="Times New Roman" w:hAnsi="Times New Roman" w:eastAsia="Times New Roman" w:cs="Times New Roman"/>
          <w:spacing w:val="-28"/>
          <w:sz w:val="20"/>
          <w:szCs w:val="20"/>
        </w:rPr>
        <w:t xml:space="preserve"> </w:t>
      </w:r>
      <w:r>
        <w:rPr>
          <w:spacing w:val="-1"/>
          <w:sz w:val="20"/>
          <w:szCs w:val="20"/>
        </w:rPr>
        <w:t>、 检</w:t>
      </w:r>
      <w:r>
        <w:rPr>
          <w:spacing w:val="-32"/>
          <w:sz w:val="20"/>
          <w:szCs w:val="20"/>
        </w:rPr>
        <w:t xml:space="preserve"> </w:t>
      </w:r>
      <w:r>
        <w:rPr>
          <w:spacing w:val="-1"/>
          <w:sz w:val="20"/>
          <w:szCs w:val="20"/>
        </w:rPr>
        <w:t>查</w:t>
      </w:r>
      <w:r>
        <w:rPr>
          <w:spacing w:val="-50"/>
          <w:sz w:val="20"/>
          <w:szCs w:val="20"/>
        </w:rPr>
        <w:t xml:space="preserve"> </w:t>
      </w:r>
      <w:r>
        <w:rPr>
          <w:rFonts w:ascii="Times New Roman" w:hAnsi="Times New Roman" w:eastAsia="Times New Roman" w:cs="Times New Roman"/>
          <w:spacing w:val="-1"/>
          <w:sz w:val="20"/>
          <w:szCs w:val="20"/>
        </w:rPr>
        <w:t xml:space="preserve">(Check)   </w:t>
      </w:r>
      <w:r>
        <w:rPr>
          <w:spacing w:val="-1"/>
          <w:sz w:val="20"/>
          <w:szCs w:val="20"/>
        </w:rPr>
        <w:t>和行动</w:t>
      </w:r>
      <w:r>
        <w:rPr>
          <w:spacing w:val="-54"/>
          <w:sz w:val="20"/>
          <w:szCs w:val="20"/>
        </w:rPr>
        <w:t xml:space="preserve"> </w:t>
      </w:r>
      <w:r>
        <w:rPr>
          <w:rFonts w:ascii="Times New Roman" w:hAnsi="Times New Roman" w:eastAsia="Times New Roman" w:cs="Times New Roman"/>
          <w:spacing w:val="-1"/>
          <w:sz w:val="20"/>
          <w:szCs w:val="20"/>
        </w:rPr>
        <w:t xml:space="preserve">(Action),      </w:t>
      </w:r>
      <w:r>
        <w:rPr>
          <w:spacing w:val="-1"/>
          <w:sz w:val="20"/>
          <w:szCs w:val="20"/>
        </w:rPr>
        <w:t>简称</w:t>
      </w:r>
      <w:r>
        <w:rPr>
          <w:rFonts w:ascii="Times New Roman" w:hAnsi="Times New Roman" w:eastAsia="Times New Roman" w:cs="Times New Roman"/>
          <w:spacing w:val="-1"/>
          <w:sz w:val="20"/>
          <w:szCs w:val="20"/>
        </w:rPr>
        <w:t>PDCA</w:t>
      </w:r>
      <w:r>
        <w:rPr>
          <w:spacing w:val="-1"/>
          <w:sz w:val="20"/>
          <w:szCs w:val="20"/>
        </w:rPr>
        <w:t>。</w:t>
      </w:r>
    </w:p>
    <w:p w14:paraId="74F4339B">
      <w:pPr>
        <w:pStyle w:val="2"/>
        <w:spacing w:before="59" w:line="278" w:lineRule="auto"/>
        <w:ind w:right="205" w:firstLine="399"/>
        <w:jc w:val="both"/>
        <w:rPr>
          <w:sz w:val="20"/>
          <w:szCs w:val="20"/>
        </w:rPr>
      </w:pPr>
      <w:r>
        <w:rPr>
          <w:spacing w:val="3"/>
          <w:sz w:val="20"/>
          <w:szCs w:val="20"/>
        </w:rPr>
        <w:t>由于项目环境不断变化，计划也随之不断变化。因此，项目进度不仅要有计划，而且要随</w:t>
      </w:r>
      <w:r>
        <w:rPr>
          <w:spacing w:val="12"/>
          <w:sz w:val="20"/>
          <w:szCs w:val="20"/>
        </w:rPr>
        <w:t xml:space="preserve"> </w:t>
      </w:r>
      <w:r>
        <w:rPr>
          <w:spacing w:val="3"/>
          <w:sz w:val="20"/>
          <w:szCs w:val="20"/>
        </w:rPr>
        <w:t>时预见变化、掌握变化，及时采取对策，调整进度计划，对计划实行动态管理，这样才能真正</w:t>
      </w:r>
      <w:r>
        <w:rPr>
          <w:spacing w:val="7"/>
          <w:sz w:val="20"/>
          <w:szCs w:val="20"/>
        </w:rPr>
        <w:t xml:space="preserve"> </w:t>
      </w:r>
      <w:r>
        <w:rPr>
          <w:spacing w:val="-5"/>
          <w:sz w:val="20"/>
          <w:szCs w:val="20"/>
        </w:rPr>
        <w:t>有效地控制进度。</w:t>
      </w:r>
    </w:p>
    <w:p w14:paraId="68189AA9">
      <w:pPr>
        <w:pStyle w:val="2"/>
        <w:spacing w:before="7" w:line="282" w:lineRule="auto"/>
        <w:ind w:right="208" w:firstLine="399"/>
        <w:rPr>
          <w:sz w:val="20"/>
          <w:szCs w:val="20"/>
        </w:rPr>
      </w:pPr>
      <w:r>
        <w:rPr>
          <w:spacing w:val="2"/>
          <w:sz w:val="20"/>
          <w:szCs w:val="20"/>
        </w:rPr>
        <w:t>进度控制过程必然是一个周期性的循环过程。</w:t>
      </w:r>
      <w:r>
        <w:rPr>
          <w:spacing w:val="-51"/>
          <w:sz w:val="20"/>
          <w:szCs w:val="20"/>
        </w:rPr>
        <w:t xml:space="preserve"> </w:t>
      </w:r>
      <w:r>
        <w:rPr>
          <w:spacing w:val="2"/>
          <w:sz w:val="20"/>
          <w:szCs w:val="20"/>
        </w:rPr>
        <w:t>一个完整的进度控制流程大致可以分为四个</w:t>
      </w:r>
      <w:r>
        <w:rPr>
          <w:sz w:val="20"/>
          <w:szCs w:val="20"/>
        </w:rPr>
        <w:t xml:space="preserve"> </w:t>
      </w:r>
      <w:r>
        <w:rPr>
          <w:spacing w:val="3"/>
          <w:sz w:val="20"/>
          <w:szCs w:val="20"/>
        </w:rPr>
        <w:t>阶段：编制计划、实施计划、检查计划、总结计划。在计划编制完成后，按分解指标与分解任</w:t>
      </w:r>
    </w:p>
    <w:p w14:paraId="4DDFD40E">
      <w:pPr>
        <w:spacing w:line="282" w:lineRule="auto"/>
        <w:rPr>
          <w:sz w:val="20"/>
          <w:szCs w:val="20"/>
        </w:rPr>
        <w:sectPr>
          <w:pgSz w:w="10290" w:h="13310"/>
          <w:pgMar w:top="400" w:right="672" w:bottom="400" w:left="1080" w:header="0" w:footer="0" w:gutter="0"/>
          <w:cols w:space="720" w:num="1"/>
        </w:sectPr>
      </w:pPr>
    </w:p>
    <w:p w14:paraId="6EB489A1">
      <w:pPr>
        <w:pStyle w:val="2"/>
        <w:spacing w:before="107" w:line="219" w:lineRule="auto"/>
        <w:rPr>
          <w:sz w:val="18"/>
          <w:szCs w:val="18"/>
        </w:rPr>
      </w:pPr>
      <w:r>
        <w:rPr>
          <w:rFonts w:ascii="Times New Roman" w:hAnsi="Times New Roman" w:eastAsia="Times New Roman" w:cs="Times New Roman"/>
          <w:b/>
          <w:bCs/>
          <w:spacing w:val="8"/>
          <w:sz w:val="18"/>
          <w:szCs w:val="18"/>
        </w:rPr>
        <w:t xml:space="preserve">256              </w:t>
      </w:r>
      <w:r>
        <w:rPr>
          <w:spacing w:val="8"/>
          <w:sz w:val="18"/>
          <w:szCs w:val="18"/>
        </w:rPr>
        <w:t>信息系统监理师教程(第2版)</w:t>
      </w:r>
    </w:p>
    <w:p w14:paraId="069DF5B4">
      <w:pPr>
        <w:spacing w:line="326" w:lineRule="auto"/>
        <w:rPr>
          <w:rFonts w:ascii="Arial"/>
          <w:sz w:val="21"/>
        </w:rPr>
      </w:pPr>
    </w:p>
    <w:p w14:paraId="04029F49">
      <w:pPr>
        <w:pStyle w:val="2"/>
        <w:spacing w:before="58" w:line="326" w:lineRule="auto"/>
        <w:ind w:left="349"/>
        <w:jc w:val="both"/>
        <w:rPr>
          <w:sz w:val="18"/>
          <w:szCs w:val="18"/>
        </w:rPr>
      </w:pPr>
      <w:r>
        <w:rPr>
          <w:spacing w:val="24"/>
          <w:sz w:val="18"/>
          <w:szCs w:val="18"/>
        </w:rPr>
        <w:t>务下达给各单位、各部门贯彻执行。在执行过程中及时</w:t>
      </w:r>
      <w:r>
        <w:rPr>
          <w:spacing w:val="23"/>
          <w:sz w:val="18"/>
          <w:szCs w:val="18"/>
        </w:rPr>
        <w:t>进行督促和跟踪检查，取得计划执行情</w:t>
      </w:r>
      <w:r>
        <w:rPr>
          <w:sz w:val="18"/>
          <w:szCs w:val="18"/>
        </w:rPr>
        <w:t xml:space="preserve">  </w:t>
      </w:r>
      <w:r>
        <w:rPr>
          <w:spacing w:val="24"/>
          <w:sz w:val="18"/>
          <w:szCs w:val="18"/>
        </w:rPr>
        <w:t>况的信息，将执行结果与计划做比较，以便发现是否存在偏差，分</w:t>
      </w:r>
      <w:r>
        <w:rPr>
          <w:spacing w:val="23"/>
          <w:sz w:val="18"/>
          <w:szCs w:val="18"/>
        </w:rPr>
        <w:t>析偏差的大小和性质。然后</w:t>
      </w:r>
      <w:r>
        <w:rPr>
          <w:sz w:val="18"/>
          <w:szCs w:val="18"/>
        </w:rPr>
        <w:t xml:space="preserve">  </w:t>
      </w:r>
      <w:r>
        <w:rPr>
          <w:spacing w:val="23"/>
          <w:sz w:val="18"/>
          <w:szCs w:val="18"/>
        </w:rPr>
        <w:t>根据计划要求和实际条件研究纠正偏差的对策，采取纠偏措施来达到本阶段的进</w:t>
      </w:r>
      <w:r>
        <w:rPr>
          <w:spacing w:val="22"/>
          <w:sz w:val="18"/>
          <w:szCs w:val="18"/>
        </w:rPr>
        <w:t>度目标而形成</w:t>
      </w:r>
      <w:r>
        <w:rPr>
          <w:sz w:val="18"/>
          <w:szCs w:val="18"/>
        </w:rPr>
        <w:t xml:space="preserve">  </w:t>
      </w:r>
      <w:r>
        <w:rPr>
          <w:spacing w:val="21"/>
          <w:sz w:val="18"/>
          <w:szCs w:val="18"/>
        </w:rPr>
        <w:t>一个进度控制过程。显然，在第二阶段开始时，计划编制是在前阶</w:t>
      </w:r>
      <w:r>
        <w:rPr>
          <w:spacing w:val="20"/>
          <w:sz w:val="18"/>
          <w:szCs w:val="18"/>
        </w:rPr>
        <w:t>段偏差处理的基础上进行的。</w:t>
      </w:r>
      <w:r>
        <w:rPr>
          <w:sz w:val="18"/>
          <w:szCs w:val="18"/>
        </w:rPr>
        <w:t xml:space="preserve"> </w:t>
      </w:r>
      <w:r>
        <w:rPr>
          <w:spacing w:val="20"/>
          <w:sz w:val="18"/>
          <w:szCs w:val="18"/>
        </w:rPr>
        <w:t>纠偏成功，第二阶段可以按原计划继续执行；纠</w:t>
      </w:r>
      <w:r>
        <w:rPr>
          <w:spacing w:val="19"/>
          <w:sz w:val="18"/>
          <w:szCs w:val="18"/>
        </w:rPr>
        <w:t>偏措施未达到目的或发现原计划存在某些不当，</w:t>
      </w:r>
      <w:r>
        <w:rPr>
          <w:sz w:val="18"/>
          <w:szCs w:val="18"/>
        </w:rPr>
        <w:t xml:space="preserve"> </w:t>
      </w:r>
      <w:r>
        <w:rPr>
          <w:spacing w:val="19"/>
          <w:sz w:val="18"/>
          <w:szCs w:val="18"/>
        </w:rPr>
        <w:t>则须进行计划的调整或修正。这样构成一个封闭的循环回路。</w:t>
      </w:r>
      <w:r>
        <w:rPr>
          <w:spacing w:val="68"/>
          <w:sz w:val="18"/>
          <w:szCs w:val="18"/>
        </w:rPr>
        <w:t xml:space="preserve"> </w:t>
      </w:r>
      <w:r>
        <w:rPr>
          <w:spacing w:val="19"/>
          <w:sz w:val="18"/>
          <w:szCs w:val="18"/>
        </w:rPr>
        <w:t>一个又一个封闭环路就形成了循</w:t>
      </w:r>
      <w:r>
        <w:rPr>
          <w:sz w:val="18"/>
          <w:szCs w:val="18"/>
        </w:rPr>
        <w:t xml:space="preserve">  </w:t>
      </w:r>
      <w:r>
        <w:rPr>
          <w:spacing w:val="18"/>
          <w:sz w:val="18"/>
          <w:szCs w:val="18"/>
        </w:rPr>
        <w:t>环往复、逐步提高、向最终进度目标逐步趋近的动</w:t>
      </w:r>
      <w:r>
        <w:rPr>
          <w:spacing w:val="17"/>
          <w:sz w:val="18"/>
          <w:szCs w:val="18"/>
        </w:rPr>
        <w:t>态控制过程。</w:t>
      </w:r>
    </w:p>
    <w:p w14:paraId="40167B9B">
      <w:pPr>
        <w:pStyle w:val="2"/>
        <w:spacing w:before="110" w:line="221" w:lineRule="auto"/>
        <w:ind w:left="752"/>
        <w:rPr>
          <w:rFonts w:ascii="黑体" w:hAnsi="黑体" w:eastAsia="黑体" w:cs="黑体"/>
          <w:sz w:val="18"/>
          <w:szCs w:val="18"/>
        </w:rPr>
      </w:pPr>
      <w:bookmarkStart w:id="624" w:name="bookmark609"/>
      <w:bookmarkEnd w:id="624"/>
      <w:r>
        <w:rPr>
          <w:b/>
          <w:bCs/>
          <w:color w:val="0B7ED7"/>
          <w:spacing w:val="16"/>
          <w:sz w:val="18"/>
          <w:szCs w:val="18"/>
        </w:rPr>
        <w:t>1.</w:t>
      </w:r>
      <w:r>
        <w:rPr>
          <w:rFonts w:ascii="黑体" w:hAnsi="黑体" w:eastAsia="黑体" w:cs="黑体"/>
          <w:b/>
          <w:bCs/>
          <w:color w:val="0B7ED7"/>
          <w:spacing w:val="16"/>
          <w:sz w:val="18"/>
          <w:szCs w:val="18"/>
        </w:rPr>
        <w:t>进度计划的编制</w:t>
      </w:r>
    </w:p>
    <w:p w14:paraId="6DFC43D6">
      <w:pPr>
        <w:pStyle w:val="2"/>
        <w:spacing w:before="148" w:line="320" w:lineRule="auto"/>
        <w:ind w:left="349" w:right="110" w:firstLine="400"/>
        <w:jc w:val="both"/>
        <w:rPr>
          <w:sz w:val="18"/>
          <w:szCs w:val="18"/>
        </w:rPr>
      </w:pPr>
      <w:r>
        <w:rPr>
          <w:spacing w:val="23"/>
          <w:sz w:val="18"/>
          <w:szCs w:val="18"/>
        </w:rPr>
        <w:t>进度计划是表示各项任务的实施顺序、开始和结束时间以及相互衔接关系的计划，也是现</w:t>
      </w:r>
      <w:r>
        <w:rPr>
          <w:sz w:val="18"/>
          <w:szCs w:val="18"/>
        </w:rPr>
        <w:t xml:space="preserve"> </w:t>
      </w:r>
      <w:r>
        <w:rPr>
          <w:spacing w:val="23"/>
          <w:sz w:val="18"/>
          <w:szCs w:val="18"/>
        </w:rPr>
        <w:t>场实施管理的核心指导文件、进度控制的依据和工具，进度计划是按工程对象编制</w:t>
      </w:r>
      <w:r>
        <w:rPr>
          <w:spacing w:val="22"/>
          <w:sz w:val="18"/>
          <w:szCs w:val="18"/>
        </w:rPr>
        <w:t>的，重点是</w:t>
      </w:r>
      <w:r>
        <w:rPr>
          <w:sz w:val="18"/>
          <w:szCs w:val="18"/>
        </w:rPr>
        <w:t xml:space="preserve"> </w:t>
      </w:r>
      <w:r>
        <w:rPr>
          <w:spacing w:val="14"/>
          <w:sz w:val="18"/>
          <w:szCs w:val="18"/>
        </w:rPr>
        <w:t>安排项目实施的连续性。</w:t>
      </w:r>
    </w:p>
    <w:p w14:paraId="21D5B383">
      <w:pPr>
        <w:pStyle w:val="2"/>
        <w:spacing w:before="24" w:line="219" w:lineRule="auto"/>
        <w:ind w:left="749"/>
        <w:rPr>
          <w:sz w:val="18"/>
          <w:szCs w:val="18"/>
        </w:rPr>
      </w:pPr>
      <w:r>
        <w:rPr>
          <w:spacing w:val="20"/>
          <w:sz w:val="18"/>
          <w:szCs w:val="18"/>
        </w:rPr>
        <w:t>(1)进度计划编制的主要目的有：</w:t>
      </w:r>
    </w:p>
    <w:p w14:paraId="06040AF5">
      <w:pPr>
        <w:pStyle w:val="2"/>
        <w:spacing w:before="107" w:line="219" w:lineRule="auto"/>
        <w:ind w:left="749"/>
        <w:rPr>
          <w:sz w:val="18"/>
          <w:szCs w:val="18"/>
        </w:rPr>
      </w:pPr>
      <w:r>
        <w:rPr>
          <w:spacing w:val="17"/>
          <w:sz w:val="18"/>
          <w:szCs w:val="18"/>
        </w:rPr>
        <w:t>●</w:t>
      </w:r>
      <w:r>
        <w:rPr>
          <w:spacing w:val="-46"/>
          <w:sz w:val="18"/>
          <w:szCs w:val="18"/>
        </w:rPr>
        <w:t xml:space="preserve"> </w:t>
      </w:r>
      <w:r>
        <w:rPr>
          <w:spacing w:val="17"/>
          <w:sz w:val="18"/>
          <w:szCs w:val="18"/>
        </w:rPr>
        <w:t>保证按时完成项目目标；</w:t>
      </w:r>
    </w:p>
    <w:p w14:paraId="52DACBA7">
      <w:pPr>
        <w:pStyle w:val="2"/>
        <w:spacing w:before="106" w:line="220" w:lineRule="auto"/>
        <w:ind w:left="749"/>
        <w:rPr>
          <w:sz w:val="18"/>
          <w:szCs w:val="18"/>
        </w:rPr>
      </w:pPr>
      <w:r>
        <w:rPr>
          <w:spacing w:val="-10"/>
          <w:sz w:val="18"/>
          <w:szCs w:val="18"/>
        </w:rPr>
        <w:t>●</w:t>
      </w:r>
      <w:r>
        <w:rPr>
          <w:spacing w:val="-38"/>
          <w:sz w:val="18"/>
          <w:szCs w:val="18"/>
        </w:rPr>
        <w:t xml:space="preserve"> </w:t>
      </w:r>
      <w:r>
        <w:rPr>
          <w:spacing w:val="-10"/>
          <w:sz w:val="18"/>
          <w:szCs w:val="18"/>
        </w:rPr>
        <w:t>协</w:t>
      </w:r>
      <w:r>
        <w:rPr>
          <w:spacing w:val="-37"/>
          <w:sz w:val="18"/>
          <w:szCs w:val="18"/>
        </w:rPr>
        <w:t xml:space="preserve"> </w:t>
      </w:r>
      <w:r>
        <w:rPr>
          <w:spacing w:val="-10"/>
          <w:sz w:val="18"/>
          <w:szCs w:val="18"/>
        </w:rPr>
        <w:t>调</w:t>
      </w:r>
      <w:r>
        <w:rPr>
          <w:spacing w:val="-31"/>
          <w:sz w:val="18"/>
          <w:szCs w:val="18"/>
        </w:rPr>
        <w:t xml:space="preserve"> </w:t>
      </w:r>
      <w:r>
        <w:rPr>
          <w:spacing w:val="-10"/>
          <w:sz w:val="18"/>
          <w:szCs w:val="18"/>
        </w:rPr>
        <w:t>资</w:t>
      </w:r>
      <w:r>
        <w:rPr>
          <w:spacing w:val="-38"/>
          <w:sz w:val="18"/>
          <w:szCs w:val="18"/>
        </w:rPr>
        <w:t xml:space="preserve"> </w:t>
      </w:r>
      <w:r>
        <w:rPr>
          <w:spacing w:val="-10"/>
          <w:sz w:val="18"/>
          <w:szCs w:val="18"/>
        </w:rPr>
        <w:t>源</w:t>
      </w:r>
      <w:r>
        <w:rPr>
          <w:spacing w:val="-45"/>
          <w:sz w:val="18"/>
          <w:szCs w:val="18"/>
        </w:rPr>
        <w:t xml:space="preserve"> </w:t>
      </w:r>
      <w:r>
        <w:rPr>
          <w:spacing w:val="-10"/>
          <w:sz w:val="18"/>
          <w:szCs w:val="18"/>
        </w:rPr>
        <w:t>；</w:t>
      </w:r>
    </w:p>
    <w:p w14:paraId="468D74B1">
      <w:pPr>
        <w:pStyle w:val="2"/>
        <w:spacing w:before="115" w:line="219" w:lineRule="auto"/>
        <w:ind w:left="749"/>
        <w:rPr>
          <w:sz w:val="18"/>
          <w:szCs w:val="18"/>
        </w:rPr>
      </w:pPr>
      <w:r>
        <w:rPr>
          <w:spacing w:val="18"/>
          <w:sz w:val="18"/>
          <w:szCs w:val="18"/>
        </w:rPr>
        <w:t>●</w:t>
      </w:r>
      <w:r>
        <w:rPr>
          <w:spacing w:val="-55"/>
          <w:sz w:val="18"/>
          <w:szCs w:val="18"/>
        </w:rPr>
        <w:t xml:space="preserve"> </w:t>
      </w:r>
      <w:r>
        <w:rPr>
          <w:spacing w:val="18"/>
          <w:sz w:val="18"/>
          <w:szCs w:val="18"/>
        </w:rPr>
        <w:t>使资源被需要时可以利用；</w:t>
      </w:r>
    </w:p>
    <w:p w14:paraId="2BFD0DA3">
      <w:pPr>
        <w:pStyle w:val="2"/>
        <w:spacing w:before="117" w:line="219" w:lineRule="auto"/>
        <w:ind w:left="749"/>
        <w:rPr>
          <w:sz w:val="18"/>
          <w:szCs w:val="18"/>
        </w:rPr>
      </w:pPr>
      <w:r>
        <w:rPr>
          <w:spacing w:val="19"/>
          <w:sz w:val="18"/>
          <w:szCs w:val="18"/>
        </w:rPr>
        <w:t>●</w:t>
      </w:r>
      <w:r>
        <w:rPr>
          <w:spacing w:val="-48"/>
          <w:sz w:val="18"/>
          <w:szCs w:val="18"/>
        </w:rPr>
        <w:t xml:space="preserve"> </w:t>
      </w:r>
      <w:r>
        <w:rPr>
          <w:spacing w:val="19"/>
          <w:sz w:val="18"/>
          <w:szCs w:val="18"/>
        </w:rPr>
        <w:t>预测在不同时间所需的资金和资源的级别，以便赋予项目不同的优先级；</w:t>
      </w:r>
    </w:p>
    <w:p w14:paraId="12C59BB3">
      <w:pPr>
        <w:pStyle w:val="2"/>
        <w:spacing w:before="107" w:line="220" w:lineRule="auto"/>
        <w:ind w:left="749"/>
        <w:rPr>
          <w:sz w:val="18"/>
          <w:szCs w:val="18"/>
        </w:rPr>
      </w:pPr>
      <w:r>
        <w:rPr>
          <w:spacing w:val="19"/>
          <w:sz w:val="18"/>
          <w:szCs w:val="18"/>
        </w:rPr>
        <w:t>●</w:t>
      </w:r>
      <w:r>
        <w:rPr>
          <w:spacing w:val="-50"/>
          <w:sz w:val="18"/>
          <w:szCs w:val="18"/>
        </w:rPr>
        <w:t xml:space="preserve"> </w:t>
      </w:r>
      <w:r>
        <w:rPr>
          <w:spacing w:val="19"/>
          <w:sz w:val="18"/>
          <w:szCs w:val="18"/>
        </w:rPr>
        <w:t>保证项目进度正常进行。</w:t>
      </w:r>
    </w:p>
    <w:p w14:paraId="66B4AD02">
      <w:pPr>
        <w:pStyle w:val="2"/>
        <w:spacing w:before="104" w:line="219" w:lineRule="auto"/>
        <w:ind w:left="749"/>
        <w:rPr>
          <w:sz w:val="18"/>
          <w:szCs w:val="18"/>
        </w:rPr>
      </w:pPr>
      <w:r>
        <w:rPr>
          <w:spacing w:val="19"/>
          <w:sz w:val="18"/>
          <w:szCs w:val="18"/>
        </w:rPr>
        <w:t>(2)进度计划编制的基本要求具体如下：</w:t>
      </w:r>
    </w:p>
    <w:p w14:paraId="694BC223">
      <w:pPr>
        <w:pStyle w:val="2"/>
        <w:spacing w:before="97" w:line="219" w:lineRule="auto"/>
        <w:ind w:left="749"/>
        <w:rPr>
          <w:sz w:val="18"/>
          <w:szCs w:val="18"/>
        </w:rPr>
      </w:pPr>
      <w:r>
        <w:rPr>
          <w:spacing w:val="19"/>
          <w:sz w:val="18"/>
          <w:szCs w:val="18"/>
        </w:rPr>
        <w:t>●</w:t>
      </w:r>
      <w:r>
        <w:rPr>
          <w:spacing w:val="-59"/>
          <w:sz w:val="18"/>
          <w:szCs w:val="18"/>
        </w:rPr>
        <w:t xml:space="preserve"> </w:t>
      </w:r>
      <w:r>
        <w:rPr>
          <w:spacing w:val="19"/>
          <w:sz w:val="18"/>
          <w:szCs w:val="18"/>
        </w:rPr>
        <w:t>保证项目在合同规定的时间内完成，实现项目的</w:t>
      </w:r>
      <w:r>
        <w:rPr>
          <w:spacing w:val="18"/>
          <w:sz w:val="18"/>
          <w:szCs w:val="18"/>
        </w:rPr>
        <w:t>目标要求；</w:t>
      </w:r>
    </w:p>
    <w:p w14:paraId="4082DDC4">
      <w:pPr>
        <w:pStyle w:val="2"/>
        <w:spacing w:before="107" w:line="219" w:lineRule="auto"/>
        <w:ind w:left="749"/>
        <w:rPr>
          <w:sz w:val="18"/>
          <w:szCs w:val="18"/>
        </w:rPr>
      </w:pPr>
      <w:r>
        <w:rPr>
          <w:spacing w:val="18"/>
          <w:sz w:val="18"/>
          <w:szCs w:val="18"/>
        </w:rPr>
        <w:t>●</w:t>
      </w:r>
      <w:r>
        <w:rPr>
          <w:spacing w:val="-40"/>
          <w:sz w:val="18"/>
          <w:szCs w:val="18"/>
        </w:rPr>
        <w:t xml:space="preserve"> </w:t>
      </w:r>
      <w:r>
        <w:rPr>
          <w:spacing w:val="18"/>
          <w:sz w:val="18"/>
          <w:szCs w:val="18"/>
        </w:rPr>
        <w:t>实施进度安排应满足连续性和均衡性的要求；</w:t>
      </w:r>
    </w:p>
    <w:p w14:paraId="0DE2F41E">
      <w:pPr>
        <w:pStyle w:val="2"/>
        <w:spacing w:before="116" w:line="219" w:lineRule="auto"/>
        <w:ind w:left="749"/>
        <w:rPr>
          <w:sz w:val="18"/>
          <w:szCs w:val="18"/>
        </w:rPr>
      </w:pPr>
      <w:r>
        <w:rPr>
          <w:spacing w:val="19"/>
          <w:sz w:val="18"/>
          <w:szCs w:val="18"/>
        </w:rPr>
        <w:t>●</w:t>
      </w:r>
      <w:r>
        <w:rPr>
          <w:spacing w:val="-55"/>
          <w:sz w:val="18"/>
          <w:szCs w:val="18"/>
        </w:rPr>
        <w:t xml:space="preserve"> </w:t>
      </w:r>
      <w:r>
        <w:rPr>
          <w:spacing w:val="19"/>
          <w:sz w:val="18"/>
          <w:szCs w:val="18"/>
        </w:rPr>
        <w:t>实施顺序的安排应进行优化，以便提高经</w:t>
      </w:r>
      <w:r>
        <w:rPr>
          <w:spacing w:val="18"/>
          <w:sz w:val="18"/>
          <w:szCs w:val="18"/>
        </w:rPr>
        <w:t>济效益；</w:t>
      </w:r>
    </w:p>
    <w:p w14:paraId="070654B7">
      <w:pPr>
        <w:pStyle w:val="2"/>
        <w:spacing w:before="107" w:line="219" w:lineRule="auto"/>
        <w:ind w:left="749"/>
        <w:rPr>
          <w:sz w:val="18"/>
          <w:szCs w:val="18"/>
        </w:rPr>
      </w:pPr>
      <w:r>
        <w:rPr>
          <w:spacing w:val="19"/>
          <w:sz w:val="18"/>
          <w:szCs w:val="18"/>
        </w:rPr>
        <w:t>●</w:t>
      </w:r>
      <w:r>
        <w:rPr>
          <w:spacing w:val="-57"/>
          <w:sz w:val="18"/>
          <w:szCs w:val="18"/>
        </w:rPr>
        <w:t xml:space="preserve"> </w:t>
      </w:r>
      <w:r>
        <w:rPr>
          <w:spacing w:val="19"/>
          <w:sz w:val="18"/>
          <w:szCs w:val="18"/>
        </w:rPr>
        <w:t>应选择适当的计划图形，满足使用进度计划的要求；</w:t>
      </w:r>
    </w:p>
    <w:p w14:paraId="5E1B2A39">
      <w:pPr>
        <w:pStyle w:val="2"/>
        <w:spacing w:before="116" w:line="219" w:lineRule="auto"/>
        <w:ind w:left="749"/>
        <w:rPr>
          <w:sz w:val="18"/>
          <w:szCs w:val="18"/>
        </w:rPr>
      </w:pPr>
      <w:r>
        <w:rPr>
          <w:spacing w:val="19"/>
          <w:sz w:val="18"/>
          <w:szCs w:val="18"/>
        </w:rPr>
        <w:t>●</w:t>
      </w:r>
      <w:r>
        <w:rPr>
          <w:spacing w:val="-59"/>
          <w:sz w:val="18"/>
          <w:szCs w:val="18"/>
        </w:rPr>
        <w:t xml:space="preserve"> </w:t>
      </w:r>
      <w:r>
        <w:rPr>
          <w:spacing w:val="19"/>
          <w:sz w:val="18"/>
          <w:szCs w:val="18"/>
        </w:rPr>
        <w:t>应遵循编制程序，提高进度计划的编制质</w:t>
      </w:r>
      <w:r>
        <w:rPr>
          <w:spacing w:val="18"/>
          <w:sz w:val="18"/>
          <w:szCs w:val="18"/>
        </w:rPr>
        <w:t>量。</w:t>
      </w:r>
    </w:p>
    <w:p w14:paraId="69B9B1A4">
      <w:pPr>
        <w:pStyle w:val="2"/>
        <w:spacing w:before="107" w:line="219" w:lineRule="auto"/>
        <w:ind w:left="749"/>
        <w:rPr>
          <w:sz w:val="18"/>
          <w:szCs w:val="18"/>
        </w:rPr>
      </w:pPr>
      <w:r>
        <w:rPr>
          <w:spacing w:val="20"/>
          <w:sz w:val="18"/>
          <w:szCs w:val="18"/>
        </w:rPr>
        <w:t>(3)进度计划编制的原则具体如下：</w:t>
      </w:r>
    </w:p>
    <w:p w14:paraId="50743ACA">
      <w:pPr>
        <w:pStyle w:val="2"/>
        <w:spacing w:before="106" w:line="219" w:lineRule="auto"/>
        <w:ind w:left="749"/>
        <w:rPr>
          <w:sz w:val="18"/>
          <w:szCs w:val="18"/>
        </w:rPr>
      </w:pPr>
      <w:r>
        <w:rPr>
          <w:spacing w:val="18"/>
          <w:sz w:val="18"/>
          <w:szCs w:val="18"/>
        </w:rPr>
        <w:t>●</w:t>
      </w:r>
      <w:r>
        <w:rPr>
          <w:spacing w:val="-42"/>
          <w:sz w:val="18"/>
          <w:szCs w:val="18"/>
        </w:rPr>
        <w:t xml:space="preserve"> </w:t>
      </w:r>
      <w:r>
        <w:rPr>
          <w:spacing w:val="18"/>
          <w:sz w:val="18"/>
          <w:szCs w:val="18"/>
        </w:rPr>
        <w:t>应该对所有里程碑及其期限要求进行说明；</w:t>
      </w:r>
    </w:p>
    <w:p w14:paraId="0EF1EDDD">
      <w:pPr>
        <w:pStyle w:val="2"/>
        <w:spacing w:before="107" w:line="219" w:lineRule="auto"/>
        <w:ind w:left="749"/>
        <w:rPr>
          <w:sz w:val="18"/>
          <w:szCs w:val="18"/>
        </w:rPr>
      </w:pPr>
      <w:r>
        <w:rPr>
          <w:spacing w:val="19"/>
          <w:sz w:val="18"/>
          <w:szCs w:val="18"/>
        </w:rPr>
        <w:t>●</w:t>
      </w:r>
      <w:r>
        <w:rPr>
          <w:spacing w:val="-54"/>
          <w:sz w:val="18"/>
          <w:szCs w:val="18"/>
        </w:rPr>
        <w:t xml:space="preserve"> </w:t>
      </w:r>
      <w:r>
        <w:rPr>
          <w:spacing w:val="19"/>
          <w:sz w:val="18"/>
          <w:szCs w:val="18"/>
        </w:rPr>
        <w:t>确切的工作程序能够得到详细说明；</w:t>
      </w:r>
    </w:p>
    <w:p w14:paraId="2287DF8F">
      <w:pPr>
        <w:pStyle w:val="2"/>
        <w:spacing w:before="94" w:line="280" w:lineRule="auto"/>
        <w:ind w:left="1029" w:right="111" w:hanging="280"/>
        <w:rPr>
          <w:sz w:val="18"/>
          <w:szCs w:val="18"/>
        </w:rPr>
      </w:pPr>
      <w:r>
        <w:rPr>
          <w:spacing w:val="19"/>
          <w:sz w:val="18"/>
          <w:szCs w:val="18"/>
        </w:rPr>
        <w:t>●</w:t>
      </w:r>
      <w:r>
        <w:rPr>
          <w:spacing w:val="-44"/>
          <w:sz w:val="18"/>
          <w:szCs w:val="18"/>
        </w:rPr>
        <w:t xml:space="preserve"> </w:t>
      </w:r>
      <w:r>
        <w:rPr>
          <w:spacing w:val="19"/>
          <w:sz w:val="18"/>
          <w:szCs w:val="18"/>
        </w:rPr>
        <w:t>进度应该与工作分解结构</w:t>
      </w:r>
      <w:r>
        <w:rPr>
          <w:spacing w:val="-32"/>
          <w:sz w:val="18"/>
          <w:szCs w:val="18"/>
        </w:rPr>
        <w:t xml:space="preserve"> </w:t>
      </w:r>
      <w:r>
        <w:rPr>
          <w:spacing w:val="19"/>
          <w:sz w:val="18"/>
          <w:szCs w:val="18"/>
        </w:rPr>
        <w:t>(</w:t>
      </w:r>
      <w:r>
        <w:rPr>
          <w:sz w:val="18"/>
          <w:szCs w:val="18"/>
        </w:rPr>
        <w:t>Work</w:t>
      </w:r>
      <w:r>
        <w:rPr>
          <w:spacing w:val="19"/>
          <w:sz w:val="18"/>
          <w:szCs w:val="18"/>
        </w:rPr>
        <w:t xml:space="preserve">   </w:t>
      </w:r>
      <w:r>
        <w:rPr>
          <w:sz w:val="18"/>
          <w:szCs w:val="18"/>
        </w:rPr>
        <w:t>Breakdown</w:t>
      </w:r>
      <w:r>
        <w:rPr>
          <w:spacing w:val="20"/>
          <w:sz w:val="18"/>
          <w:szCs w:val="18"/>
        </w:rPr>
        <w:t xml:space="preserve">   </w:t>
      </w:r>
      <w:r>
        <w:rPr>
          <w:sz w:val="18"/>
          <w:szCs w:val="18"/>
        </w:rPr>
        <w:t>Structure</w:t>
      </w:r>
      <w:r>
        <w:rPr>
          <w:spacing w:val="19"/>
          <w:sz w:val="18"/>
          <w:szCs w:val="18"/>
        </w:rPr>
        <w:t>,</w:t>
      </w:r>
      <w:r>
        <w:rPr>
          <w:sz w:val="18"/>
          <w:szCs w:val="18"/>
        </w:rPr>
        <w:t>WBS</w:t>
      </w:r>
      <w:r>
        <w:rPr>
          <w:spacing w:val="19"/>
          <w:sz w:val="18"/>
          <w:szCs w:val="18"/>
        </w:rPr>
        <w:t>)保持一致，并明确表明全</w:t>
      </w:r>
      <w:r>
        <w:rPr>
          <w:spacing w:val="2"/>
          <w:sz w:val="18"/>
          <w:szCs w:val="18"/>
        </w:rPr>
        <w:t xml:space="preserve"> </w:t>
      </w:r>
      <w:r>
        <w:rPr>
          <w:spacing w:val="17"/>
          <w:sz w:val="18"/>
          <w:szCs w:val="18"/>
        </w:rPr>
        <w:t>部任务开始和结束的时间节点；</w:t>
      </w:r>
    </w:p>
    <w:p w14:paraId="575434F0">
      <w:pPr>
        <w:pStyle w:val="2"/>
        <w:spacing w:before="116" w:line="219" w:lineRule="auto"/>
        <w:ind w:left="749"/>
        <w:rPr>
          <w:sz w:val="18"/>
          <w:szCs w:val="18"/>
        </w:rPr>
      </w:pPr>
      <w:r>
        <w:rPr>
          <w:spacing w:val="20"/>
          <w:sz w:val="18"/>
          <w:szCs w:val="18"/>
        </w:rPr>
        <w:t>●</w:t>
      </w:r>
      <w:r>
        <w:rPr>
          <w:spacing w:val="-60"/>
          <w:sz w:val="18"/>
          <w:szCs w:val="18"/>
        </w:rPr>
        <w:t xml:space="preserve"> </w:t>
      </w:r>
      <w:r>
        <w:rPr>
          <w:spacing w:val="20"/>
          <w:sz w:val="18"/>
          <w:szCs w:val="18"/>
        </w:rPr>
        <w:t>全部进度必须体现时间的紧迫性，可能的话需要详细说明</w:t>
      </w:r>
      <w:r>
        <w:rPr>
          <w:spacing w:val="19"/>
          <w:sz w:val="18"/>
          <w:szCs w:val="18"/>
        </w:rPr>
        <w:t>每件大事需要配置的资源；</w:t>
      </w:r>
    </w:p>
    <w:p w14:paraId="4ACDC274">
      <w:pPr>
        <w:pStyle w:val="2"/>
        <w:spacing w:before="76" w:line="284" w:lineRule="auto"/>
        <w:ind w:left="1019" w:right="108" w:hanging="270"/>
        <w:rPr>
          <w:sz w:val="18"/>
          <w:szCs w:val="18"/>
        </w:rPr>
      </w:pPr>
      <w:r>
        <w:rPr>
          <w:spacing w:val="22"/>
          <w:sz w:val="18"/>
          <w:szCs w:val="18"/>
        </w:rPr>
        <w:t>●</w:t>
      </w:r>
      <w:r>
        <w:rPr>
          <w:spacing w:val="-48"/>
          <w:sz w:val="18"/>
          <w:szCs w:val="18"/>
        </w:rPr>
        <w:t xml:space="preserve"> </w:t>
      </w:r>
      <w:r>
        <w:rPr>
          <w:spacing w:val="22"/>
          <w:sz w:val="18"/>
          <w:szCs w:val="18"/>
        </w:rPr>
        <w:t>项目越复杂，专业分工就越多，就更需要全面综合管理，需要有一个主体的协调的工作</w:t>
      </w:r>
      <w:r>
        <w:rPr>
          <w:sz w:val="18"/>
          <w:szCs w:val="18"/>
        </w:rPr>
        <w:t xml:space="preserve"> </w:t>
      </w:r>
      <w:r>
        <w:rPr>
          <w:spacing w:val="18"/>
          <w:sz w:val="18"/>
          <w:szCs w:val="18"/>
        </w:rPr>
        <w:t>进度计划，以便支持对整个项目的建设进度进行控制。</w:t>
      </w:r>
    </w:p>
    <w:p w14:paraId="7C67983E">
      <w:pPr>
        <w:pStyle w:val="2"/>
        <w:spacing w:before="106" w:line="219" w:lineRule="auto"/>
        <w:ind w:left="749"/>
        <w:rPr>
          <w:sz w:val="18"/>
          <w:szCs w:val="18"/>
        </w:rPr>
      </w:pPr>
      <w:r>
        <w:rPr>
          <w:spacing w:val="20"/>
          <w:sz w:val="18"/>
          <w:szCs w:val="18"/>
        </w:rPr>
        <w:t>(4)进度计划编制的依据具体包括：</w:t>
      </w:r>
    </w:p>
    <w:p w14:paraId="2AF6A0AC">
      <w:pPr>
        <w:pStyle w:val="2"/>
        <w:spacing w:before="87" w:line="219" w:lineRule="auto"/>
        <w:ind w:left="749"/>
        <w:rPr>
          <w:sz w:val="18"/>
          <w:szCs w:val="18"/>
        </w:rPr>
      </w:pPr>
      <w:r>
        <w:rPr>
          <w:spacing w:val="19"/>
          <w:sz w:val="18"/>
          <w:szCs w:val="18"/>
        </w:rPr>
        <w:t>●</w:t>
      </w:r>
      <w:r>
        <w:rPr>
          <w:spacing w:val="-59"/>
          <w:sz w:val="18"/>
          <w:szCs w:val="18"/>
        </w:rPr>
        <w:t xml:space="preserve"> </w:t>
      </w:r>
      <w:r>
        <w:rPr>
          <w:spacing w:val="19"/>
          <w:sz w:val="18"/>
          <w:szCs w:val="18"/>
        </w:rPr>
        <w:t>信息系统工程建设项目承包合同及招标投标文件；</w:t>
      </w:r>
    </w:p>
    <w:p w14:paraId="408B20AD">
      <w:pPr>
        <w:pStyle w:val="2"/>
        <w:spacing w:before="107" w:line="219" w:lineRule="auto"/>
        <w:ind w:left="749"/>
        <w:rPr>
          <w:sz w:val="18"/>
          <w:szCs w:val="18"/>
        </w:rPr>
      </w:pPr>
      <w:r>
        <w:rPr>
          <w:spacing w:val="19"/>
          <w:sz w:val="18"/>
          <w:szCs w:val="18"/>
        </w:rPr>
        <w:t>●</w:t>
      </w:r>
      <w:r>
        <w:rPr>
          <w:spacing w:val="-54"/>
          <w:sz w:val="18"/>
          <w:szCs w:val="18"/>
        </w:rPr>
        <w:t xml:space="preserve"> </w:t>
      </w:r>
      <w:r>
        <w:rPr>
          <w:spacing w:val="19"/>
          <w:sz w:val="18"/>
          <w:szCs w:val="18"/>
        </w:rPr>
        <w:t>项目全部设计施工图纸及变更洽商；</w:t>
      </w:r>
    </w:p>
    <w:p w14:paraId="0D2CAE77">
      <w:pPr>
        <w:pStyle w:val="2"/>
        <w:spacing w:before="106" w:line="219" w:lineRule="auto"/>
        <w:ind w:left="749"/>
        <w:rPr>
          <w:sz w:val="18"/>
          <w:szCs w:val="18"/>
        </w:rPr>
      </w:pPr>
      <w:r>
        <w:rPr>
          <w:spacing w:val="18"/>
          <w:sz w:val="18"/>
          <w:szCs w:val="18"/>
        </w:rPr>
        <w:t>●</w:t>
      </w:r>
      <w:r>
        <w:rPr>
          <w:spacing w:val="-38"/>
          <w:sz w:val="18"/>
          <w:szCs w:val="18"/>
        </w:rPr>
        <w:t xml:space="preserve"> </w:t>
      </w:r>
      <w:r>
        <w:rPr>
          <w:spacing w:val="18"/>
          <w:sz w:val="18"/>
          <w:szCs w:val="18"/>
        </w:rPr>
        <w:t>项目所在地区位置的自然条件和技术经济条件；</w:t>
      </w:r>
    </w:p>
    <w:p w14:paraId="02C56F87">
      <w:pPr>
        <w:pStyle w:val="2"/>
        <w:spacing w:before="97" w:line="219" w:lineRule="auto"/>
        <w:ind w:left="749"/>
        <w:rPr>
          <w:sz w:val="18"/>
          <w:szCs w:val="18"/>
        </w:rPr>
      </w:pPr>
      <w:r>
        <w:rPr>
          <w:spacing w:val="19"/>
          <w:sz w:val="18"/>
          <w:szCs w:val="18"/>
        </w:rPr>
        <w:t>●</w:t>
      </w:r>
      <w:r>
        <w:rPr>
          <w:spacing w:val="-42"/>
          <w:sz w:val="18"/>
          <w:szCs w:val="18"/>
        </w:rPr>
        <w:t xml:space="preserve"> </w:t>
      </w:r>
      <w:r>
        <w:rPr>
          <w:spacing w:val="19"/>
          <w:sz w:val="18"/>
          <w:szCs w:val="18"/>
        </w:rPr>
        <w:t>项目设计概算和预算资料、任务定额等；</w:t>
      </w:r>
    </w:p>
    <w:p w14:paraId="4D53B753">
      <w:pPr>
        <w:spacing w:line="219" w:lineRule="auto"/>
        <w:rPr>
          <w:sz w:val="18"/>
          <w:szCs w:val="18"/>
        </w:rPr>
        <w:sectPr>
          <w:pgSz w:w="10310" w:h="13400"/>
          <w:pgMar w:top="400" w:right="1019" w:bottom="400" w:left="510" w:header="0" w:footer="0" w:gutter="0"/>
          <w:cols w:space="720" w:num="1"/>
        </w:sectPr>
      </w:pPr>
    </w:p>
    <w:p w14:paraId="07933D2D">
      <w:pPr>
        <w:pStyle w:val="2"/>
        <w:spacing w:before="20"/>
        <w:jc w:val="right"/>
        <w:rPr>
          <w:rFonts w:ascii="Times New Roman" w:hAnsi="Times New Roman" w:eastAsia="Times New Roman" w:cs="Times New Roman"/>
          <w:sz w:val="26"/>
          <w:szCs w:val="26"/>
        </w:rPr>
      </w:pPr>
      <w:r>
        <w:rPr>
          <w:spacing w:val="-1"/>
          <w:position w:val="2"/>
          <w:sz w:val="20"/>
          <w:szCs w:val="20"/>
        </w:rPr>
        <w:t>第11章 进度控制</w:t>
      </w:r>
      <w:r>
        <w:rPr>
          <w:spacing w:val="15"/>
          <w:position w:val="2"/>
          <w:sz w:val="20"/>
          <w:szCs w:val="20"/>
        </w:rPr>
        <w:t xml:space="preserve"> </w:t>
      </w:r>
      <w:r>
        <w:rPr>
          <w:position w:val="-9"/>
          <w:sz w:val="20"/>
          <w:szCs w:val="20"/>
        </w:rPr>
        <w:drawing>
          <wp:inline distT="0" distB="0" distL="0" distR="0">
            <wp:extent cx="316865" cy="23431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68"/>
                    <a:stretch>
                      <a:fillRect/>
                    </a:stretch>
                  </pic:blipFill>
                  <pic:spPr>
                    <a:xfrm>
                      <a:off x="0" y="0"/>
                      <a:ext cx="317494" cy="234937"/>
                    </a:xfrm>
                    <a:prstGeom prst="rect">
                      <a:avLst/>
                    </a:prstGeom>
                  </pic:spPr>
                </pic:pic>
              </a:graphicData>
            </a:graphic>
          </wp:inline>
        </w:drawing>
      </w:r>
      <w:r>
        <w:rPr>
          <w:rFonts w:ascii="Times New Roman" w:hAnsi="Times New Roman" w:eastAsia="Times New Roman" w:cs="Times New Roman"/>
          <w:spacing w:val="-1"/>
          <w:position w:val="-6"/>
          <w:sz w:val="26"/>
          <w:szCs w:val="26"/>
        </w:rPr>
        <w:t>257</w:t>
      </w:r>
    </w:p>
    <w:p w14:paraId="4D1D4F03">
      <w:pPr>
        <w:pStyle w:val="2"/>
        <w:spacing w:before="290" w:line="219" w:lineRule="auto"/>
        <w:ind w:left="389"/>
        <w:rPr>
          <w:sz w:val="20"/>
          <w:szCs w:val="20"/>
        </w:rPr>
      </w:pPr>
      <w:r>
        <w:rPr>
          <w:spacing w:val="1"/>
          <w:sz w:val="20"/>
          <w:szCs w:val="20"/>
        </w:rPr>
        <w:t>●项目拟采用的主要实施方案及措施、实施顺序、阶段划分等；</w:t>
      </w:r>
    </w:p>
    <w:p w14:paraId="1082A3E4">
      <w:pPr>
        <w:pStyle w:val="2"/>
        <w:spacing w:before="84" w:line="220" w:lineRule="auto"/>
        <w:ind w:left="389"/>
        <w:rPr>
          <w:sz w:val="20"/>
          <w:szCs w:val="20"/>
        </w:rPr>
      </w:pPr>
      <w:r>
        <w:rPr>
          <w:spacing w:val="4"/>
          <w:sz w:val="20"/>
          <w:szCs w:val="20"/>
        </w:rPr>
        <w:t>●项目需要的主要资源。</w:t>
      </w:r>
    </w:p>
    <w:p w14:paraId="46BD5DFA">
      <w:pPr>
        <w:pStyle w:val="2"/>
        <w:spacing w:before="81" w:line="219" w:lineRule="auto"/>
        <w:ind w:left="389"/>
        <w:rPr>
          <w:sz w:val="20"/>
          <w:szCs w:val="20"/>
        </w:rPr>
      </w:pPr>
      <w:r>
        <w:rPr>
          <w:spacing w:val="2"/>
          <w:sz w:val="20"/>
          <w:szCs w:val="20"/>
        </w:rPr>
        <w:t>(5)进度计划编制的关键制约因素包括：</w:t>
      </w:r>
    </w:p>
    <w:p w14:paraId="08A8E99C">
      <w:pPr>
        <w:pStyle w:val="2"/>
        <w:spacing w:before="91" w:line="219" w:lineRule="auto"/>
        <w:ind w:left="389"/>
        <w:rPr>
          <w:sz w:val="20"/>
          <w:szCs w:val="20"/>
        </w:rPr>
      </w:pPr>
      <w:r>
        <w:rPr>
          <w:sz w:val="20"/>
          <w:szCs w:val="20"/>
        </w:rPr>
        <w:t>●以合同工期为依据安排开工、竣工时间；</w:t>
      </w:r>
    </w:p>
    <w:p w14:paraId="04FF5F39">
      <w:pPr>
        <w:pStyle w:val="2"/>
        <w:spacing w:before="74" w:line="219" w:lineRule="auto"/>
        <w:ind w:left="389"/>
        <w:rPr>
          <w:sz w:val="20"/>
          <w:szCs w:val="20"/>
        </w:rPr>
      </w:pPr>
      <w:r>
        <w:rPr>
          <w:spacing w:val="2"/>
          <w:sz w:val="20"/>
          <w:szCs w:val="20"/>
        </w:rPr>
        <w:t>●设计图纸、定额等；</w:t>
      </w:r>
    </w:p>
    <w:p w14:paraId="6266FF31">
      <w:pPr>
        <w:pStyle w:val="2"/>
        <w:spacing w:before="91" w:line="219" w:lineRule="auto"/>
        <w:ind w:left="389"/>
        <w:rPr>
          <w:sz w:val="20"/>
          <w:szCs w:val="20"/>
        </w:rPr>
      </w:pPr>
      <w:r>
        <w:rPr>
          <w:spacing w:val="1"/>
          <w:sz w:val="20"/>
          <w:szCs w:val="20"/>
        </w:rPr>
        <w:t>●设备和主要材料的供应及到货情况；</w:t>
      </w:r>
    </w:p>
    <w:p w14:paraId="3B970225">
      <w:pPr>
        <w:pStyle w:val="2"/>
        <w:spacing w:before="84" w:line="219" w:lineRule="auto"/>
        <w:ind w:left="389"/>
        <w:rPr>
          <w:sz w:val="20"/>
          <w:szCs w:val="20"/>
        </w:rPr>
      </w:pPr>
      <w:r>
        <w:rPr>
          <w:spacing w:val="1"/>
          <w:sz w:val="20"/>
          <w:szCs w:val="20"/>
        </w:rPr>
        <w:t>●承建单位可能投入的实施力量及资源情况；</w:t>
      </w:r>
    </w:p>
    <w:p w14:paraId="5F382C3B">
      <w:pPr>
        <w:pStyle w:val="2"/>
        <w:spacing w:before="93" w:line="220" w:lineRule="auto"/>
        <w:ind w:left="389"/>
        <w:rPr>
          <w:sz w:val="20"/>
          <w:szCs w:val="20"/>
        </w:rPr>
      </w:pPr>
      <w:r>
        <w:rPr>
          <w:spacing w:val="1"/>
          <w:sz w:val="20"/>
          <w:szCs w:val="20"/>
        </w:rPr>
        <w:t>●项目现有资源可利用情况；</w:t>
      </w:r>
    </w:p>
    <w:p w14:paraId="0D832C55">
      <w:pPr>
        <w:pStyle w:val="2"/>
        <w:spacing w:before="81" w:line="219" w:lineRule="auto"/>
        <w:ind w:left="389"/>
        <w:rPr>
          <w:sz w:val="20"/>
          <w:szCs w:val="20"/>
        </w:rPr>
      </w:pPr>
      <w:r>
        <w:rPr>
          <w:spacing w:val="1"/>
          <w:sz w:val="20"/>
          <w:szCs w:val="20"/>
        </w:rPr>
        <w:t>●影响实施的经济条件和技术条件；</w:t>
      </w:r>
    </w:p>
    <w:p w14:paraId="1B6690C9">
      <w:pPr>
        <w:pStyle w:val="2"/>
        <w:spacing w:before="93" w:line="219" w:lineRule="auto"/>
        <w:ind w:left="389"/>
        <w:rPr>
          <w:sz w:val="20"/>
          <w:szCs w:val="20"/>
        </w:rPr>
      </w:pPr>
      <w:r>
        <w:rPr>
          <w:spacing w:val="5"/>
          <w:sz w:val="20"/>
          <w:szCs w:val="20"/>
        </w:rPr>
        <w:t>●项目的外部环境等。</w:t>
      </w:r>
    </w:p>
    <w:p w14:paraId="571EEBDD">
      <w:pPr>
        <w:pStyle w:val="2"/>
        <w:spacing w:before="83" w:line="219" w:lineRule="auto"/>
        <w:ind w:left="389"/>
        <w:rPr>
          <w:sz w:val="20"/>
          <w:szCs w:val="20"/>
        </w:rPr>
      </w:pPr>
      <w:r>
        <w:rPr>
          <w:spacing w:val="2"/>
          <w:sz w:val="20"/>
          <w:szCs w:val="20"/>
        </w:rPr>
        <w:t>(6)进度计划的内容具体包括：</w:t>
      </w:r>
    </w:p>
    <w:p w14:paraId="1FB99E7A">
      <w:pPr>
        <w:pStyle w:val="2"/>
        <w:spacing w:before="62" w:line="280" w:lineRule="auto"/>
        <w:ind w:left="688" w:right="334" w:hanging="299"/>
        <w:rPr>
          <w:sz w:val="20"/>
          <w:szCs w:val="20"/>
        </w:rPr>
      </w:pPr>
      <w:r>
        <w:rPr>
          <w:spacing w:val="6"/>
          <w:sz w:val="20"/>
          <w:szCs w:val="20"/>
        </w:rPr>
        <w:t>●项目综合进度计划。该计划是一个综合性的进度控</w:t>
      </w:r>
      <w:r>
        <w:rPr>
          <w:spacing w:val="5"/>
          <w:sz w:val="20"/>
          <w:szCs w:val="20"/>
        </w:rPr>
        <w:t>制计划，将项目所有的专业单项(网</w:t>
      </w:r>
      <w:r>
        <w:rPr>
          <w:sz w:val="20"/>
          <w:szCs w:val="20"/>
        </w:rPr>
        <w:t xml:space="preserve">  </w:t>
      </w:r>
      <w:r>
        <w:rPr>
          <w:spacing w:val="4"/>
          <w:sz w:val="20"/>
          <w:szCs w:val="20"/>
        </w:rPr>
        <w:t>络、软件、硬件、集成等)按顺序排列，明确其相互制约的关系，计算出每一专业单项</w:t>
      </w:r>
      <w:r>
        <w:rPr>
          <w:sz w:val="20"/>
          <w:szCs w:val="20"/>
        </w:rPr>
        <w:t xml:space="preserve"> </w:t>
      </w:r>
      <w:r>
        <w:rPr>
          <w:spacing w:val="6"/>
          <w:sz w:val="20"/>
          <w:szCs w:val="20"/>
        </w:rPr>
        <w:t>所需的时间，进而计算出各单项工程所需的工期，以此为基础计算整个项目所需的工</w:t>
      </w:r>
      <w:r>
        <w:rPr>
          <w:spacing w:val="8"/>
          <w:sz w:val="20"/>
          <w:szCs w:val="20"/>
        </w:rPr>
        <w:t xml:space="preserve"> </w:t>
      </w:r>
      <w:r>
        <w:rPr>
          <w:spacing w:val="3"/>
          <w:sz w:val="20"/>
          <w:szCs w:val="20"/>
        </w:rPr>
        <w:t>期，直到达到计划目标确定的合理工期。若达不到</w:t>
      </w:r>
      <w:r>
        <w:rPr>
          <w:spacing w:val="2"/>
          <w:sz w:val="20"/>
          <w:szCs w:val="20"/>
        </w:rPr>
        <w:t>合同工期要求，则应采取有效措施，</w:t>
      </w:r>
      <w:r>
        <w:rPr>
          <w:sz w:val="20"/>
          <w:szCs w:val="20"/>
        </w:rPr>
        <w:t xml:space="preserve"> </w:t>
      </w:r>
      <w:r>
        <w:rPr>
          <w:spacing w:val="-1"/>
          <w:sz w:val="20"/>
          <w:szCs w:val="20"/>
        </w:rPr>
        <w:t>改进实施方法、技术、运货途径，增加工作班次等，同</w:t>
      </w:r>
      <w:r>
        <w:rPr>
          <w:spacing w:val="-2"/>
          <w:sz w:val="20"/>
          <w:szCs w:val="20"/>
        </w:rPr>
        <w:t>时考虑对费用的控制。</w:t>
      </w:r>
    </w:p>
    <w:p w14:paraId="70B53B3A">
      <w:pPr>
        <w:pStyle w:val="2"/>
        <w:spacing w:before="122" w:line="271" w:lineRule="auto"/>
        <w:ind w:left="688" w:right="404" w:hanging="299"/>
        <w:rPr>
          <w:sz w:val="20"/>
          <w:szCs w:val="20"/>
        </w:rPr>
      </w:pPr>
      <w:r>
        <w:rPr>
          <w:spacing w:val="8"/>
          <w:sz w:val="20"/>
          <w:szCs w:val="20"/>
        </w:rPr>
        <w:t>●设备(材料)采购工作进度计划。该计划根据项目流程图、系统图，编制项目</w:t>
      </w:r>
      <w:r>
        <w:rPr>
          <w:spacing w:val="7"/>
          <w:sz w:val="20"/>
          <w:szCs w:val="20"/>
        </w:rPr>
        <w:t>所需的设</w:t>
      </w:r>
      <w:r>
        <w:rPr>
          <w:sz w:val="20"/>
          <w:szCs w:val="20"/>
        </w:rPr>
        <w:t xml:space="preserve"> </w:t>
      </w:r>
      <w:r>
        <w:rPr>
          <w:spacing w:val="11"/>
          <w:sz w:val="20"/>
          <w:szCs w:val="20"/>
        </w:rPr>
        <w:t xml:space="preserve">备(材料)清单和编号，按照项目总进度计划中对各项设备(材料)到达现场的时间要 </w:t>
      </w:r>
      <w:r>
        <w:rPr>
          <w:spacing w:val="-2"/>
          <w:sz w:val="20"/>
          <w:szCs w:val="20"/>
        </w:rPr>
        <w:t>求，确定各设备到达项目现场的具体日期。</w:t>
      </w:r>
    </w:p>
    <w:p w14:paraId="247C014C">
      <w:pPr>
        <w:pStyle w:val="2"/>
        <w:spacing w:before="80" w:line="264" w:lineRule="auto"/>
        <w:ind w:left="688" w:right="354" w:hanging="299"/>
        <w:rPr>
          <w:sz w:val="20"/>
          <w:szCs w:val="20"/>
        </w:rPr>
      </w:pPr>
      <w:r>
        <w:rPr>
          <w:spacing w:val="15"/>
          <w:sz w:val="20"/>
          <w:szCs w:val="20"/>
        </w:rPr>
        <w:t>●项目实施(开发)进度计划。该计划根据预算中各专业单项所需的实施(</w:t>
      </w:r>
      <w:r>
        <w:rPr>
          <w:spacing w:val="14"/>
          <w:sz w:val="20"/>
          <w:szCs w:val="20"/>
        </w:rPr>
        <w:t>开发)工期，</w:t>
      </w:r>
      <w:r>
        <w:rPr>
          <w:sz w:val="20"/>
          <w:szCs w:val="20"/>
        </w:rPr>
        <w:t xml:space="preserve"> </w:t>
      </w:r>
      <w:r>
        <w:rPr>
          <w:spacing w:val="14"/>
          <w:sz w:val="20"/>
          <w:szCs w:val="20"/>
        </w:rPr>
        <w:t>以及计划投入的资源，求出各专业单项顺序的实施(开发)工期，然后根据实施(开</w:t>
      </w:r>
      <w:r>
        <w:rPr>
          <w:spacing w:val="9"/>
          <w:sz w:val="20"/>
          <w:szCs w:val="20"/>
        </w:rPr>
        <w:t xml:space="preserve"> </w:t>
      </w:r>
      <w:r>
        <w:rPr>
          <w:spacing w:val="10"/>
          <w:sz w:val="20"/>
          <w:szCs w:val="20"/>
        </w:rPr>
        <w:t>发)流程的要求，制订整个项目的实施(开发)进度计划。</w:t>
      </w:r>
    </w:p>
    <w:p w14:paraId="59C71B2F">
      <w:pPr>
        <w:pStyle w:val="2"/>
        <w:spacing w:before="103" w:line="264" w:lineRule="auto"/>
        <w:ind w:left="688" w:right="403" w:hanging="299"/>
        <w:rPr>
          <w:sz w:val="20"/>
          <w:szCs w:val="20"/>
        </w:rPr>
      </w:pPr>
      <w:r>
        <w:rPr>
          <w:spacing w:val="3"/>
          <w:sz w:val="20"/>
          <w:szCs w:val="20"/>
        </w:rPr>
        <w:t>●项目验收和投入使用进度计划。该计划是对项目的软件系统、硬件主要设备和各项设施</w:t>
      </w:r>
      <w:r>
        <w:rPr>
          <w:spacing w:val="11"/>
          <w:sz w:val="20"/>
          <w:szCs w:val="20"/>
        </w:rPr>
        <w:t xml:space="preserve"> </w:t>
      </w:r>
      <w:r>
        <w:rPr>
          <w:spacing w:val="6"/>
          <w:sz w:val="20"/>
          <w:szCs w:val="20"/>
        </w:rPr>
        <w:t>验收、投入使用的进度进行安排，可以使业主单位、承建单位及监理单位做到心中有</w:t>
      </w:r>
      <w:r>
        <w:rPr>
          <w:spacing w:val="7"/>
          <w:sz w:val="20"/>
          <w:szCs w:val="20"/>
        </w:rPr>
        <w:t xml:space="preserve"> </w:t>
      </w:r>
      <w:r>
        <w:rPr>
          <w:spacing w:val="-3"/>
          <w:sz w:val="20"/>
          <w:szCs w:val="20"/>
        </w:rPr>
        <w:t>数，据此安排好各自的工作。</w:t>
      </w:r>
    </w:p>
    <w:p w14:paraId="29DECAC6">
      <w:pPr>
        <w:pStyle w:val="2"/>
        <w:spacing w:before="198" w:line="222" w:lineRule="auto"/>
        <w:ind w:left="392"/>
        <w:rPr>
          <w:rFonts w:ascii="黑体" w:hAnsi="黑体" w:eastAsia="黑体" w:cs="黑体"/>
          <w:sz w:val="20"/>
          <w:szCs w:val="20"/>
        </w:rPr>
      </w:pPr>
      <w:r>
        <w:rPr>
          <w:b/>
          <w:bCs/>
          <w:color w:val="005AD0"/>
          <w:sz w:val="20"/>
          <w:szCs w:val="20"/>
        </w:rPr>
        <w:t>2.</w:t>
      </w:r>
      <w:r>
        <w:rPr>
          <w:rFonts w:ascii="黑体" w:hAnsi="黑体" w:eastAsia="黑体" w:cs="黑体"/>
          <w:b/>
          <w:bCs/>
          <w:color w:val="005AD0"/>
          <w:sz w:val="20"/>
          <w:szCs w:val="20"/>
        </w:rPr>
        <w:t>进度计划的实施</w:t>
      </w:r>
    </w:p>
    <w:p w14:paraId="1173358B">
      <w:pPr>
        <w:pStyle w:val="2"/>
        <w:spacing w:before="114" w:line="220" w:lineRule="auto"/>
        <w:ind w:left="389"/>
        <w:rPr>
          <w:sz w:val="20"/>
          <w:szCs w:val="20"/>
        </w:rPr>
      </w:pPr>
      <w:r>
        <w:rPr>
          <w:spacing w:val="-2"/>
          <w:sz w:val="20"/>
          <w:szCs w:val="20"/>
        </w:rPr>
        <w:t>进度计划的实施是进度控制的核心。具体包括以下工作。</w:t>
      </w:r>
    </w:p>
    <w:p w14:paraId="7D7AB5DF">
      <w:pPr>
        <w:pStyle w:val="2"/>
        <w:spacing w:before="72" w:line="219" w:lineRule="auto"/>
        <w:ind w:left="389"/>
        <w:rPr>
          <w:sz w:val="20"/>
          <w:szCs w:val="20"/>
        </w:rPr>
      </w:pPr>
      <w:r>
        <w:rPr>
          <w:spacing w:val="5"/>
          <w:sz w:val="20"/>
          <w:szCs w:val="20"/>
        </w:rPr>
        <w:t>(1)做好准备工作。</w:t>
      </w:r>
    </w:p>
    <w:p w14:paraId="371EB448">
      <w:pPr>
        <w:pStyle w:val="2"/>
        <w:spacing w:before="51" w:line="281" w:lineRule="auto"/>
        <w:ind w:right="379" w:firstLine="389"/>
        <w:rPr>
          <w:sz w:val="20"/>
          <w:szCs w:val="20"/>
        </w:rPr>
      </w:pPr>
      <w:r>
        <w:rPr>
          <w:spacing w:val="3"/>
          <w:sz w:val="20"/>
          <w:szCs w:val="20"/>
        </w:rPr>
        <w:t>应将进度计划具体化为实施计划和实施任务书。实施计划一般指月计划，明确月度的实施</w:t>
      </w:r>
      <w:r>
        <w:rPr>
          <w:spacing w:val="11"/>
          <w:sz w:val="20"/>
          <w:szCs w:val="20"/>
        </w:rPr>
        <w:t xml:space="preserve"> </w:t>
      </w:r>
      <w:r>
        <w:rPr>
          <w:spacing w:val="3"/>
          <w:sz w:val="20"/>
          <w:szCs w:val="20"/>
        </w:rPr>
        <w:t>任务，明确所需的关键技术、软件环境、硬件设备、网络构件等资源，并提出完成计划和提高</w:t>
      </w:r>
      <w:r>
        <w:rPr>
          <w:spacing w:val="14"/>
          <w:sz w:val="20"/>
          <w:szCs w:val="20"/>
        </w:rPr>
        <w:t xml:space="preserve"> </w:t>
      </w:r>
      <w:r>
        <w:rPr>
          <w:spacing w:val="3"/>
          <w:sz w:val="20"/>
          <w:szCs w:val="20"/>
        </w:rPr>
        <w:t>效率的措施。实施任务书是将作业计划下达到项目小组进行责任承接，并将计划执行与质量控</w:t>
      </w:r>
      <w:r>
        <w:rPr>
          <w:spacing w:val="14"/>
          <w:sz w:val="20"/>
          <w:szCs w:val="20"/>
        </w:rPr>
        <w:t xml:space="preserve"> </w:t>
      </w:r>
      <w:r>
        <w:rPr>
          <w:spacing w:val="4"/>
          <w:sz w:val="20"/>
          <w:szCs w:val="20"/>
        </w:rPr>
        <w:t>制、安全控制、投资控制、合同管理、信息管</w:t>
      </w:r>
      <w:r>
        <w:rPr>
          <w:spacing w:val="3"/>
          <w:sz w:val="20"/>
          <w:szCs w:val="20"/>
        </w:rPr>
        <w:t>理等融合为一体的技术经济文件，同时也是计划</w:t>
      </w:r>
      <w:r>
        <w:rPr>
          <w:sz w:val="20"/>
          <w:szCs w:val="20"/>
        </w:rPr>
        <w:t xml:space="preserve"> </w:t>
      </w:r>
      <w:r>
        <w:rPr>
          <w:spacing w:val="-3"/>
          <w:sz w:val="20"/>
          <w:szCs w:val="20"/>
        </w:rPr>
        <w:t>和实施两个环节相衔接的纽带。</w:t>
      </w:r>
    </w:p>
    <w:p w14:paraId="0CF25D61">
      <w:pPr>
        <w:pStyle w:val="2"/>
        <w:spacing w:before="38" w:line="277" w:lineRule="auto"/>
        <w:ind w:right="314" w:firstLine="389"/>
        <w:jc w:val="both"/>
        <w:rPr>
          <w:sz w:val="20"/>
          <w:szCs w:val="20"/>
        </w:rPr>
      </w:pPr>
      <w:r>
        <w:rPr>
          <w:spacing w:val="3"/>
          <w:sz w:val="20"/>
          <w:szCs w:val="20"/>
        </w:rPr>
        <w:t>应当分析计划执行中可能遇到的阻力，计划执行的重点和难点，进而提出保证计划实施成</w:t>
      </w:r>
      <w:r>
        <w:rPr>
          <w:spacing w:val="5"/>
          <w:sz w:val="20"/>
          <w:szCs w:val="20"/>
        </w:rPr>
        <w:t xml:space="preserve">  功的措施，以便在执行中认真执行。必须将计划交给执行者，称为交底。交底可以通过开会，</w:t>
      </w:r>
      <w:r>
        <w:rPr>
          <w:spacing w:val="4"/>
          <w:sz w:val="20"/>
          <w:szCs w:val="20"/>
        </w:rPr>
        <w:t xml:space="preserve"> </w:t>
      </w:r>
      <w:r>
        <w:rPr>
          <w:spacing w:val="3"/>
          <w:sz w:val="20"/>
          <w:szCs w:val="20"/>
        </w:rPr>
        <w:t>也可以结合下达实施任务书进行，使执行者掌握计划的要点、关键、薄弱环节、最终</w:t>
      </w:r>
      <w:r>
        <w:rPr>
          <w:spacing w:val="2"/>
          <w:sz w:val="20"/>
          <w:szCs w:val="20"/>
        </w:rPr>
        <w:t>目标、协</w:t>
      </w:r>
    </w:p>
    <w:p w14:paraId="1FA6581F">
      <w:pPr>
        <w:spacing w:line="277" w:lineRule="auto"/>
        <w:rPr>
          <w:sz w:val="20"/>
          <w:szCs w:val="20"/>
        </w:rPr>
        <w:sectPr>
          <w:pgSz w:w="10290" w:h="13280"/>
          <w:pgMar w:top="400" w:right="525" w:bottom="400" w:left="1040" w:header="0" w:footer="0" w:gutter="0"/>
          <w:cols w:space="720" w:num="1"/>
        </w:sectPr>
      </w:pPr>
    </w:p>
    <w:p w14:paraId="5A945480">
      <w:pPr>
        <w:pStyle w:val="2"/>
        <w:spacing w:before="108" w:line="219" w:lineRule="auto"/>
        <w:rPr>
          <w:sz w:val="19"/>
          <w:szCs w:val="19"/>
        </w:rPr>
      </w:pPr>
      <w:r>
        <w:rPr>
          <w:rFonts w:ascii="Times New Roman" w:hAnsi="Times New Roman" w:eastAsia="Times New Roman" w:cs="Times New Roman"/>
          <w:spacing w:val="3"/>
          <w:position w:val="-1"/>
          <w:sz w:val="19"/>
          <w:szCs w:val="19"/>
        </w:rPr>
        <w:t xml:space="preserve">258              </w:t>
      </w:r>
      <w:r>
        <w:rPr>
          <w:spacing w:val="3"/>
          <w:sz w:val="19"/>
          <w:szCs w:val="19"/>
        </w:rPr>
        <w:t>信息系统监理师教程(第2版)</w:t>
      </w:r>
    </w:p>
    <w:p w14:paraId="70EB9E58">
      <w:pPr>
        <w:spacing w:line="340" w:lineRule="auto"/>
        <w:rPr>
          <w:rFonts w:ascii="Arial"/>
          <w:sz w:val="21"/>
        </w:rPr>
      </w:pPr>
    </w:p>
    <w:p w14:paraId="0646983C">
      <w:pPr>
        <w:pStyle w:val="2"/>
        <w:spacing w:before="62" w:line="289" w:lineRule="auto"/>
        <w:ind w:left="359" w:right="66"/>
        <w:rPr>
          <w:sz w:val="19"/>
          <w:szCs w:val="19"/>
        </w:rPr>
      </w:pPr>
      <w:r>
        <w:rPr>
          <w:spacing w:val="13"/>
          <w:sz w:val="19"/>
          <w:szCs w:val="19"/>
        </w:rPr>
        <w:t>作配合、执行条件、困难条件等。接受交底后，管理者和实施者均应提出保证计划实现的技术</w:t>
      </w:r>
      <w:r>
        <w:rPr>
          <w:spacing w:val="5"/>
          <w:sz w:val="19"/>
          <w:szCs w:val="19"/>
        </w:rPr>
        <w:t xml:space="preserve"> </w:t>
      </w:r>
      <w:r>
        <w:rPr>
          <w:spacing w:val="4"/>
          <w:sz w:val="19"/>
          <w:szCs w:val="19"/>
        </w:rPr>
        <w:t>和组织措施。</w:t>
      </w:r>
    </w:p>
    <w:p w14:paraId="14A3CF27">
      <w:pPr>
        <w:pStyle w:val="2"/>
        <w:spacing w:before="35" w:line="219" w:lineRule="auto"/>
        <w:ind w:left="759"/>
        <w:rPr>
          <w:sz w:val="19"/>
          <w:szCs w:val="19"/>
        </w:rPr>
      </w:pPr>
      <w:r>
        <w:rPr>
          <w:spacing w:val="14"/>
          <w:sz w:val="19"/>
          <w:szCs w:val="19"/>
        </w:rPr>
        <w:t>(2)做好实施记录。</w:t>
      </w:r>
    </w:p>
    <w:p w14:paraId="0C394817">
      <w:pPr>
        <w:pStyle w:val="2"/>
        <w:spacing w:before="93" w:line="292" w:lineRule="auto"/>
        <w:ind w:left="359" w:firstLine="399"/>
        <w:rPr>
          <w:sz w:val="19"/>
          <w:szCs w:val="19"/>
        </w:rPr>
      </w:pPr>
      <w:r>
        <w:rPr>
          <w:spacing w:val="15"/>
          <w:sz w:val="19"/>
          <w:szCs w:val="19"/>
        </w:rPr>
        <w:t>在计划实施过程中，应进行跟踪记录，以便为检查计划、分析实施状况和计划执行情况、</w:t>
      </w:r>
      <w:r>
        <w:rPr>
          <w:sz w:val="19"/>
          <w:szCs w:val="19"/>
        </w:rPr>
        <w:t xml:space="preserve"> </w:t>
      </w:r>
      <w:r>
        <w:rPr>
          <w:spacing w:val="13"/>
          <w:sz w:val="19"/>
          <w:szCs w:val="19"/>
        </w:rPr>
        <w:t>调整计划、总结等提供原始资料。记录工作最好在计划图</w:t>
      </w:r>
      <w:r>
        <w:rPr>
          <w:spacing w:val="12"/>
          <w:sz w:val="19"/>
          <w:szCs w:val="19"/>
        </w:rPr>
        <w:t>表上进行，以便检查计划时进行分析</w:t>
      </w:r>
      <w:r>
        <w:rPr>
          <w:sz w:val="19"/>
          <w:szCs w:val="19"/>
        </w:rPr>
        <w:t xml:space="preserve">  </w:t>
      </w:r>
      <w:r>
        <w:rPr>
          <w:spacing w:val="7"/>
          <w:sz w:val="19"/>
          <w:szCs w:val="19"/>
        </w:rPr>
        <w:t>对比。记录工作必须实事求是，不得造假。</w:t>
      </w:r>
    </w:p>
    <w:p w14:paraId="53BFB161">
      <w:pPr>
        <w:pStyle w:val="2"/>
        <w:spacing w:before="39" w:line="219" w:lineRule="auto"/>
        <w:ind w:left="759"/>
        <w:rPr>
          <w:sz w:val="19"/>
          <w:szCs w:val="19"/>
        </w:rPr>
      </w:pPr>
      <w:r>
        <w:rPr>
          <w:spacing w:val="14"/>
          <w:sz w:val="19"/>
          <w:szCs w:val="19"/>
        </w:rPr>
        <w:t>(3)做好调度工作。</w:t>
      </w:r>
    </w:p>
    <w:p w14:paraId="6D34485E">
      <w:pPr>
        <w:pStyle w:val="2"/>
        <w:spacing w:before="93" w:line="299" w:lineRule="auto"/>
        <w:ind w:left="359" w:firstLine="399"/>
        <w:rPr>
          <w:sz w:val="19"/>
          <w:szCs w:val="19"/>
        </w:rPr>
      </w:pPr>
      <w:r>
        <w:rPr>
          <w:spacing w:val="10"/>
          <w:sz w:val="19"/>
          <w:szCs w:val="19"/>
        </w:rPr>
        <w:t>实行动态进度控制，调度工作是不可缺少的手段。可以说，调度工作起着各</w:t>
      </w:r>
      <w:r>
        <w:rPr>
          <w:spacing w:val="9"/>
          <w:sz w:val="19"/>
          <w:szCs w:val="19"/>
        </w:rPr>
        <w:t>环节、各专业、</w:t>
      </w:r>
      <w:r>
        <w:rPr>
          <w:sz w:val="19"/>
          <w:szCs w:val="19"/>
        </w:rPr>
        <w:t xml:space="preserve"> </w:t>
      </w:r>
      <w:r>
        <w:rPr>
          <w:spacing w:val="5"/>
          <w:sz w:val="19"/>
          <w:szCs w:val="19"/>
        </w:rPr>
        <w:t>各工程协调动作的核心作用。</w:t>
      </w:r>
    </w:p>
    <w:p w14:paraId="6D7B0E34">
      <w:pPr>
        <w:pStyle w:val="2"/>
        <w:spacing w:before="15" w:line="298" w:lineRule="auto"/>
        <w:ind w:left="359" w:right="87" w:firstLine="399"/>
        <w:rPr>
          <w:sz w:val="19"/>
          <w:szCs w:val="19"/>
        </w:rPr>
      </w:pPr>
      <w:r>
        <w:rPr>
          <w:spacing w:val="13"/>
          <w:sz w:val="19"/>
          <w:szCs w:val="19"/>
        </w:rPr>
        <w:t>调度工作的主要任务是掌握计划的实施情况，协调关系，排除矛</w:t>
      </w:r>
      <w:r>
        <w:rPr>
          <w:spacing w:val="12"/>
          <w:sz w:val="19"/>
          <w:szCs w:val="19"/>
        </w:rPr>
        <w:t>盾，克服薄弱环节，保证</w:t>
      </w:r>
      <w:r>
        <w:rPr>
          <w:sz w:val="19"/>
          <w:szCs w:val="19"/>
        </w:rPr>
        <w:t xml:space="preserve"> </w:t>
      </w:r>
      <w:r>
        <w:rPr>
          <w:spacing w:val="7"/>
          <w:sz w:val="19"/>
          <w:szCs w:val="19"/>
        </w:rPr>
        <w:t>项目计划和进度控制目标的实现。因此，调度工作的内容应该包括：</w:t>
      </w:r>
    </w:p>
    <w:p w14:paraId="4D0B6FC6">
      <w:pPr>
        <w:pStyle w:val="2"/>
        <w:spacing w:before="26" w:line="219" w:lineRule="auto"/>
        <w:ind w:left="759"/>
        <w:rPr>
          <w:sz w:val="19"/>
          <w:szCs w:val="19"/>
        </w:rPr>
      </w:pPr>
      <w:r>
        <w:rPr>
          <w:spacing w:val="11"/>
          <w:sz w:val="19"/>
          <w:szCs w:val="19"/>
        </w:rPr>
        <w:t>●检查作业计划执行中的问题，找出原因，采取措施</w:t>
      </w:r>
      <w:r>
        <w:rPr>
          <w:spacing w:val="10"/>
          <w:sz w:val="19"/>
          <w:szCs w:val="19"/>
        </w:rPr>
        <w:t>予以解决；</w:t>
      </w:r>
    </w:p>
    <w:p w14:paraId="2C5A9B87">
      <w:pPr>
        <w:pStyle w:val="2"/>
        <w:spacing w:before="94" w:line="219" w:lineRule="auto"/>
        <w:ind w:left="759"/>
        <w:rPr>
          <w:sz w:val="19"/>
          <w:szCs w:val="19"/>
        </w:rPr>
      </w:pPr>
      <w:r>
        <w:rPr>
          <w:spacing w:val="10"/>
          <w:sz w:val="19"/>
          <w:szCs w:val="19"/>
        </w:rPr>
        <w:t>●督促供应商按照进度计划的要求供应资源；</w:t>
      </w:r>
    </w:p>
    <w:p w14:paraId="62FDEA94">
      <w:pPr>
        <w:pStyle w:val="2"/>
        <w:spacing w:before="85" w:line="219" w:lineRule="auto"/>
        <w:ind w:left="759"/>
        <w:rPr>
          <w:sz w:val="19"/>
          <w:szCs w:val="19"/>
        </w:rPr>
      </w:pPr>
      <w:r>
        <w:rPr>
          <w:spacing w:val="4"/>
          <w:sz w:val="19"/>
          <w:szCs w:val="19"/>
        </w:rPr>
        <w:t>●控制实施现场临时设施等正常使用，搞好平面管理，</w:t>
      </w:r>
      <w:r>
        <w:rPr>
          <w:spacing w:val="3"/>
          <w:sz w:val="19"/>
          <w:szCs w:val="19"/>
        </w:rPr>
        <w:t>发布调度令，检查决议执行情况等。</w:t>
      </w:r>
    </w:p>
    <w:p w14:paraId="6C3FDFDC">
      <w:pPr>
        <w:pStyle w:val="2"/>
        <w:spacing w:before="95" w:line="298" w:lineRule="auto"/>
        <w:ind w:left="359" w:right="81" w:firstLine="399"/>
        <w:rPr>
          <w:sz w:val="19"/>
          <w:szCs w:val="19"/>
        </w:rPr>
      </w:pPr>
      <w:r>
        <w:rPr>
          <w:spacing w:val="13"/>
          <w:sz w:val="19"/>
          <w:szCs w:val="19"/>
        </w:rPr>
        <w:t>调度工作应以项目计划和现场实际需要为依据，按政策和规章制度办事，加强预</w:t>
      </w:r>
      <w:r>
        <w:rPr>
          <w:spacing w:val="12"/>
          <w:sz w:val="19"/>
          <w:szCs w:val="19"/>
        </w:rPr>
        <w:t>测，信息</w:t>
      </w:r>
      <w:r>
        <w:rPr>
          <w:sz w:val="19"/>
          <w:szCs w:val="19"/>
        </w:rPr>
        <w:t xml:space="preserve"> </w:t>
      </w:r>
      <w:r>
        <w:rPr>
          <w:spacing w:val="7"/>
          <w:sz w:val="19"/>
          <w:szCs w:val="19"/>
        </w:rPr>
        <w:t>灵通，及时、准确、灵活、果断，确保工作效率。</w:t>
      </w:r>
    </w:p>
    <w:p w14:paraId="0BCBAA49">
      <w:pPr>
        <w:pStyle w:val="2"/>
        <w:spacing w:before="16" w:line="292" w:lineRule="auto"/>
        <w:ind w:left="359" w:right="20" w:firstLine="399"/>
        <w:rPr>
          <w:sz w:val="19"/>
          <w:szCs w:val="19"/>
        </w:rPr>
      </w:pPr>
      <w:r>
        <w:rPr>
          <w:spacing w:val="14"/>
          <w:sz w:val="19"/>
          <w:szCs w:val="19"/>
        </w:rPr>
        <w:t>在接受监理的项目中，调度工作应与监理单位的协调工作密切结合，承建单位排除障碍、</w:t>
      </w:r>
      <w:r>
        <w:rPr>
          <w:spacing w:val="17"/>
          <w:sz w:val="19"/>
          <w:szCs w:val="19"/>
        </w:rPr>
        <w:t xml:space="preserve"> </w:t>
      </w:r>
      <w:r>
        <w:rPr>
          <w:spacing w:val="13"/>
          <w:sz w:val="19"/>
          <w:szCs w:val="19"/>
        </w:rPr>
        <w:t>解决矛盾应取得监理的支持、协助。召开调度会及监理的协调会应结合进行，调度会应请监理</w:t>
      </w:r>
      <w:r>
        <w:rPr>
          <w:spacing w:val="2"/>
          <w:sz w:val="19"/>
          <w:szCs w:val="19"/>
        </w:rPr>
        <w:t xml:space="preserve"> </w:t>
      </w:r>
      <w:r>
        <w:rPr>
          <w:spacing w:val="7"/>
          <w:sz w:val="19"/>
          <w:szCs w:val="19"/>
        </w:rPr>
        <w:t>参加，监理协调会可以视为调度会的一种形式。</w:t>
      </w:r>
    </w:p>
    <w:p w14:paraId="690C3EBF">
      <w:pPr>
        <w:pStyle w:val="2"/>
        <w:spacing w:before="116" w:line="222" w:lineRule="auto"/>
        <w:ind w:left="762"/>
        <w:rPr>
          <w:rFonts w:ascii="黑体" w:hAnsi="黑体" w:eastAsia="黑体" w:cs="黑体"/>
          <w:sz w:val="19"/>
          <w:szCs w:val="19"/>
        </w:rPr>
      </w:pPr>
      <w:bookmarkStart w:id="625" w:name="bookmark610"/>
      <w:bookmarkEnd w:id="625"/>
      <w:r>
        <w:rPr>
          <w:b/>
          <w:bCs/>
          <w:color w:val="0069D3"/>
          <w:spacing w:val="8"/>
          <w:sz w:val="19"/>
          <w:szCs w:val="19"/>
        </w:rPr>
        <w:t>3.</w:t>
      </w:r>
      <w:r>
        <w:rPr>
          <w:rFonts w:ascii="黑体" w:hAnsi="黑体" w:eastAsia="黑体" w:cs="黑体"/>
          <w:b/>
          <w:bCs/>
          <w:color w:val="0069D3"/>
          <w:spacing w:val="8"/>
          <w:sz w:val="19"/>
          <w:szCs w:val="19"/>
        </w:rPr>
        <w:t>进度计划的检查与调整</w:t>
      </w:r>
    </w:p>
    <w:p w14:paraId="303A3F0C">
      <w:pPr>
        <w:pStyle w:val="2"/>
        <w:spacing w:before="175" w:line="287" w:lineRule="auto"/>
        <w:ind w:left="359" w:right="44" w:firstLine="399"/>
        <w:rPr>
          <w:sz w:val="19"/>
          <w:szCs w:val="19"/>
        </w:rPr>
      </w:pPr>
      <w:r>
        <w:rPr>
          <w:spacing w:val="14"/>
          <w:sz w:val="19"/>
          <w:szCs w:val="19"/>
        </w:rPr>
        <w:t>进度计划应该根据项目的实际情况进行检查，并实时调整和修正。在实施</w:t>
      </w:r>
      <w:r>
        <w:rPr>
          <w:spacing w:val="13"/>
          <w:sz w:val="19"/>
          <w:szCs w:val="19"/>
        </w:rPr>
        <w:t>进度记录的基础</w:t>
      </w:r>
      <w:r>
        <w:rPr>
          <w:sz w:val="19"/>
          <w:szCs w:val="19"/>
        </w:rPr>
        <w:t xml:space="preserve"> </w:t>
      </w:r>
      <w:r>
        <w:rPr>
          <w:spacing w:val="9"/>
          <w:sz w:val="19"/>
          <w:szCs w:val="19"/>
        </w:rPr>
        <w:t>上对计划执行情况进行检查，判断计划实施</w:t>
      </w:r>
      <w:r>
        <w:rPr>
          <w:spacing w:val="8"/>
          <w:sz w:val="19"/>
          <w:szCs w:val="19"/>
        </w:rPr>
        <w:t>状况，分析其原因，为调整计划提供信息。</w:t>
      </w:r>
    </w:p>
    <w:p w14:paraId="181FF52E">
      <w:pPr>
        <w:pStyle w:val="2"/>
        <w:spacing w:before="40" w:line="278" w:lineRule="auto"/>
        <w:ind w:left="359" w:right="64" w:firstLine="399"/>
        <w:rPr>
          <w:sz w:val="19"/>
          <w:szCs w:val="19"/>
        </w:rPr>
      </w:pPr>
      <w:r>
        <w:rPr>
          <w:spacing w:val="7"/>
          <w:sz w:val="19"/>
          <w:szCs w:val="19"/>
        </w:rPr>
        <w:t>检查的时间分为两类：</w:t>
      </w:r>
      <w:r>
        <w:rPr>
          <w:spacing w:val="68"/>
          <w:sz w:val="19"/>
          <w:szCs w:val="19"/>
        </w:rPr>
        <w:t xml:space="preserve"> </w:t>
      </w:r>
      <w:r>
        <w:rPr>
          <w:spacing w:val="7"/>
          <w:sz w:val="19"/>
          <w:szCs w:val="19"/>
        </w:rPr>
        <w:t>一类是日常检查， 一类</w:t>
      </w:r>
      <w:r>
        <w:rPr>
          <w:spacing w:val="6"/>
          <w:sz w:val="19"/>
          <w:szCs w:val="19"/>
        </w:rPr>
        <w:t>是定期检查。定期检查一般与计划周期相一</w:t>
      </w:r>
      <w:r>
        <w:rPr>
          <w:sz w:val="19"/>
          <w:szCs w:val="19"/>
        </w:rPr>
        <w:t xml:space="preserve"> </w:t>
      </w:r>
      <w:r>
        <w:rPr>
          <w:spacing w:val="5"/>
          <w:sz w:val="19"/>
          <w:szCs w:val="19"/>
        </w:rPr>
        <w:t>致，在计划执行结束时检查。</w:t>
      </w:r>
    </w:p>
    <w:p w14:paraId="650E3BCE">
      <w:pPr>
        <w:pStyle w:val="2"/>
        <w:spacing w:before="36" w:line="298" w:lineRule="auto"/>
        <w:ind w:left="359" w:right="84" w:firstLine="399"/>
        <w:rPr>
          <w:sz w:val="19"/>
          <w:szCs w:val="19"/>
        </w:rPr>
      </w:pPr>
      <w:r>
        <w:rPr>
          <w:spacing w:val="13"/>
          <w:sz w:val="19"/>
          <w:szCs w:val="19"/>
        </w:rPr>
        <w:t>检查的内容包括：进度计划中工作的开始时间、完成时间、持续时间、</w:t>
      </w:r>
      <w:r>
        <w:rPr>
          <w:spacing w:val="12"/>
          <w:sz w:val="19"/>
          <w:szCs w:val="19"/>
        </w:rPr>
        <w:t>逻辑关系、实物工</w:t>
      </w:r>
      <w:r>
        <w:rPr>
          <w:sz w:val="19"/>
          <w:szCs w:val="19"/>
        </w:rPr>
        <w:t xml:space="preserve"> </w:t>
      </w:r>
      <w:r>
        <w:rPr>
          <w:spacing w:val="7"/>
          <w:sz w:val="19"/>
          <w:szCs w:val="19"/>
        </w:rPr>
        <w:t>程量和工作量、关键线路和总工期、时差利用等。</w:t>
      </w:r>
    </w:p>
    <w:p w14:paraId="40CEAEB2">
      <w:pPr>
        <w:pStyle w:val="2"/>
        <w:spacing w:before="17" w:line="219" w:lineRule="auto"/>
        <w:ind w:left="759"/>
        <w:rPr>
          <w:sz w:val="19"/>
          <w:szCs w:val="19"/>
        </w:rPr>
      </w:pPr>
      <w:r>
        <w:rPr>
          <w:spacing w:val="8"/>
          <w:sz w:val="19"/>
          <w:szCs w:val="19"/>
        </w:rPr>
        <w:t>检查的方法一般采用对比法，即将计划内容与记录的实际状况进行对比。</w:t>
      </w:r>
    </w:p>
    <w:p w14:paraId="517B48F5">
      <w:pPr>
        <w:pStyle w:val="2"/>
        <w:spacing w:before="75" w:line="297" w:lineRule="auto"/>
        <w:ind w:left="359" w:right="85" w:firstLine="399"/>
        <w:rPr>
          <w:sz w:val="19"/>
          <w:szCs w:val="19"/>
        </w:rPr>
      </w:pPr>
      <w:r>
        <w:rPr>
          <w:spacing w:val="13"/>
          <w:sz w:val="19"/>
          <w:szCs w:val="19"/>
        </w:rPr>
        <w:t>项目进度控制不定期地收集项目完成情况的数据，将其与计划进度进</w:t>
      </w:r>
      <w:r>
        <w:rPr>
          <w:spacing w:val="12"/>
          <w:sz w:val="19"/>
          <w:szCs w:val="19"/>
        </w:rPr>
        <w:t>行比较，如果项目实</w:t>
      </w:r>
      <w:r>
        <w:rPr>
          <w:sz w:val="19"/>
          <w:szCs w:val="19"/>
        </w:rPr>
        <w:t xml:space="preserve"> </w:t>
      </w:r>
      <w:r>
        <w:rPr>
          <w:spacing w:val="6"/>
          <w:sz w:val="19"/>
          <w:szCs w:val="19"/>
        </w:rPr>
        <w:t>际进度晚于计划进度，则采取纠正措施。</w:t>
      </w:r>
    </w:p>
    <w:p w14:paraId="16D51DD2">
      <w:pPr>
        <w:pStyle w:val="2"/>
        <w:spacing w:before="9" w:line="219" w:lineRule="auto"/>
        <w:ind w:left="759"/>
        <w:rPr>
          <w:sz w:val="19"/>
          <w:szCs w:val="19"/>
        </w:rPr>
      </w:pPr>
      <w:r>
        <w:rPr>
          <w:spacing w:val="7"/>
          <w:sz w:val="19"/>
          <w:szCs w:val="19"/>
        </w:rPr>
        <w:t>在整个项目实施期间，应该收集以下数据和信息：</w:t>
      </w:r>
    </w:p>
    <w:p w14:paraId="2BE966D5">
      <w:pPr>
        <w:pStyle w:val="2"/>
        <w:spacing w:before="85" w:line="219" w:lineRule="auto"/>
        <w:ind w:left="759"/>
        <w:rPr>
          <w:sz w:val="19"/>
          <w:szCs w:val="19"/>
        </w:rPr>
      </w:pPr>
      <w:r>
        <w:rPr>
          <w:spacing w:val="11"/>
          <w:sz w:val="19"/>
          <w:szCs w:val="19"/>
        </w:rPr>
        <w:t>(1)实际执行中的数据。具体包括：</w:t>
      </w:r>
    </w:p>
    <w:p w14:paraId="7A7D7773">
      <w:pPr>
        <w:pStyle w:val="2"/>
        <w:spacing w:before="85" w:line="219" w:lineRule="auto"/>
        <w:ind w:left="759"/>
        <w:rPr>
          <w:sz w:val="19"/>
          <w:szCs w:val="19"/>
        </w:rPr>
      </w:pPr>
      <w:r>
        <w:rPr>
          <w:spacing w:val="11"/>
          <w:sz w:val="19"/>
          <w:szCs w:val="19"/>
        </w:rPr>
        <w:t>●活动开始或结束的实际时间；</w:t>
      </w:r>
    </w:p>
    <w:p w14:paraId="4A3257F9">
      <w:pPr>
        <w:pStyle w:val="2"/>
        <w:spacing w:before="84" w:line="219" w:lineRule="auto"/>
        <w:ind w:left="759"/>
        <w:rPr>
          <w:sz w:val="19"/>
          <w:szCs w:val="19"/>
        </w:rPr>
      </w:pPr>
      <w:r>
        <w:rPr>
          <w:spacing w:val="12"/>
          <w:sz w:val="19"/>
          <w:szCs w:val="19"/>
        </w:rPr>
        <w:t>●实际投入的人力；</w:t>
      </w:r>
    </w:p>
    <w:p w14:paraId="73C84904">
      <w:pPr>
        <w:pStyle w:val="2"/>
        <w:spacing w:before="93" w:line="219" w:lineRule="auto"/>
        <w:ind w:left="759"/>
        <w:rPr>
          <w:sz w:val="19"/>
          <w:szCs w:val="19"/>
        </w:rPr>
      </w:pPr>
      <w:r>
        <w:rPr>
          <w:spacing w:val="11"/>
          <w:sz w:val="19"/>
          <w:szCs w:val="19"/>
        </w:rPr>
        <w:t>●使用或投入的实际成本；</w:t>
      </w:r>
    </w:p>
    <w:p w14:paraId="34FC1BF6">
      <w:pPr>
        <w:pStyle w:val="2"/>
        <w:spacing w:before="106" w:line="219" w:lineRule="auto"/>
        <w:ind w:left="759"/>
        <w:rPr>
          <w:sz w:val="19"/>
          <w:szCs w:val="19"/>
        </w:rPr>
      </w:pPr>
      <w:r>
        <w:rPr>
          <w:spacing w:val="11"/>
          <w:sz w:val="19"/>
          <w:szCs w:val="19"/>
        </w:rPr>
        <w:t>●影响进度的重要因素及分析；</w:t>
      </w:r>
    </w:p>
    <w:p w14:paraId="503AC50C">
      <w:pPr>
        <w:pStyle w:val="2"/>
        <w:spacing w:before="85" w:line="219" w:lineRule="auto"/>
        <w:ind w:left="759"/>
        <w:rPr>
          <w:sz w:val="19"/>
          <w:szCs w:val="19"/>
        </w:rPr>
      </w:pPr>
      <w:r>
        <w:rPr>
          <w:spacing w:val="10"/>
          <w:sz w:val="19"/>
          <w:szCs w:val="19"/>
        </w:rPr>
        <w:t>●</w:t>
      </w:r>
      <w:r>
        <w:rPr>
          <w:spacing w:val="-61"/>
          <w:sz w:val="19"/>
          <w:szCs w:val="19"/>
        </w:rPr>
        <w:t xml:space="preserve"> </w:t>
      </w:r>
      <w:r>
        <w:rPr>
          <w:spacing w:val="10"/>
          <w:sz w:val="19"/>
          <w:szCs w:val="19"/>
        </w:rPr>
        <w:t>进度管理情况。</w:t>
      </w:r>
    </w:p>
    <w:p w14:paraId="0716ABEC">
      <w:pPr>
        <w:spacing w:line="219" w:lineRule="auto"/>
        <w:rPr>
          <w:sz w:val="19"/>
          <w:szCs w:val="19"/>
        </w:rPr>
        <w:sectPr>
          <w:pgSz w:w="10300" w:h="13350"/>
          <w:pgMar w:top="400" w:right="1004" w:bottom="400" w:left="540" w:header="0" w:footer="0" w:gutter="0"/>
          <w:cols w:space="720" w:num="1"/>
        </w:sectPr>
      </w:pPr>
    </w:p>
    <w:p w14:paraId="2D39FD37">
      <w:pPr>
        <w:pStyle w:val="2"/>
        <w:jc w:val="right"/>
        <w:rPr>
          <w:rFonts w:ascii="Times New Roman" w:hAnsi="Times New Roman" w:eastAsia="Times New Roman" w:cs="Times New Roman"/>
          <w:sz w:val="19"/>
          <w:szCs w:val="19"/>
        </w:rPr>
      </w:pPr>
      <w:bookmarkStart w:id="626" w:name="bookmark611"/>
      <w:bookmarkEnd w:id="626"/>
      <w:r>
        <w:rPr>
          <w:spacing w:val="6"/>
          <w:sz w:val="19"/>
          <w:szCs w:val="19"/>
        </w:rPr>
        <w:t>第11章</w:t>
      </w:r>
      <w:r>
        <w:rPr>
          <w:spacing w:val="40"/>
          <w:sz w:val="19"/>
          <w:szCs w:val="19"/>
        </w:rPr>
        <w:t xml:space="preserve"> </w:t>
      </w:r>
      <w:r>
        <w:rPr>
          <w:spacing w:val="6"/>
          <w:sz w:val="19"/>
          <w:szCs w:val="19"/>
        </w:rPr>
        <w:t>进度控制</w:t>
      </w:r>
      <w:r>
        <w:rPr>
          <w:spacing w:val="-12"/>
          <w:sz w:val="19"/>
          <w:szCs w:val="19"/>
        </w:rPr>
        <w:t xml:space="preserve"> </w:t>
      </w:r>
      <w:r>
        <w:rPr>
          <w:position w:val="-11"/>
          <w:sz w:val="19"/>
          <w:szCs w:val="19"/>
        </w:rPr>
        <w:drawing>
          <wp:inline distT="0" distB="0" distL="0" distR="0">
            <wp:extent cx="323850" cy="24066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69"/>
                    <a:stretch>
                      <a:fillRect/>
                    </a:stretch>
                  </pic:blipFill>
                  <pic:spPr>
                    <a:xfrm>
                      <a:off x="0" y="0"/>
                      <a:ext cx="323898" cy="241222"/>
                    </a:xfrm>
                    <a:prstGeom prst="rect">
                      <a:avLst/>
                    </a:prstGeom>
                  </pic:spPr>
                </pic:pic>
              </a:graphicData>
            </a:graphic>
          </wp:inline>
        </w:drawing>
      </w:r>
      <w:r>
        <w:rPr>
          <w:rFonts w:ascii="Times New Roman" w:hAnsi="Times New Roman" w:eastAsia="Times New Roman" w:cs="Times New Roman"/>
          <w:spacing w:val="6"/>
          <w:position w:val="-1"/>
          <w:sz w:val="19"/>
          <w:szCs w:val="19"/>
        </w:rPr>
        <w:t>259</w:t>
      </w:r>
    </w:p>
    <w:p w14:paraId="738CBCDC">
      <w:pPr>
        <w:spacing w:line="254" w:lineRule="auto"/>
        <w:rPr>
          <w:rFonts w:ascii="Arial"/>
          <w:sz w:val="21"/>
        </w:rPr>
      </w:pPr>
    </w:p>
    <w:p w14:paraId="316AF757">
      <w:pPr>
        <w:pStyle w:val="2"/>
        <w:spacing w:before="62" w:line="219" w:lineRule="auto"/>
        <w:ind w:left="399"/>
        <w:rPr>
          <w:sz w:val="19"/>
          <w:szCs w:val="19"/>
        </w:rPr>
      </w:pPr>
      <w:r>
        <w:rPr>
          <w:spacing w:val="11"/>
          <w:sz w:val="19"/>
          <w:szCs w:val="19"/>
        </w:rPr>
        <w:t>(2)有关项目范围、进度计划和预算变更的信息。</w:t>
      </w:r>
    </w:p>
    <w:p w14:paraId="18516909">
      <w:pPr>
        <w:pStyle w:val="2"/>
        <w:spacing w:before="84" w:line="288" w:lineRule="auto"/>
        <w:ind w:right="307" w:firstLine="399"/>
        <w:rPr>
          <w:sz w:val="19"/>
          <w:szCs w:val="19"/>
        </w:rPr>
      </w:pPr>
      <w:r>
        <w:rPr>
          <w:spacing w:val="13"/>
          <w:sz w:val="19"/>
          <w:szCs w:val="19"/>
        </w:rPr>
        <w:t>这些变更可能由业主单位、承建单位、设计单位或监理单位等参建各方引起，或者由某种</w:t>
      </w:r>
      <w:r>
        <w:rPr>
          <w:spacing w:val="5"/>
          <w:sz w:val="19"/>
          <w:szCs w:val="19"/>
        </w:rPr>
        <w:t xml:space="preserve"> </w:t>
      </w:r>
      <w:r>
        <w:rPr>
          <w:spacing w:val="7"/>
          <w:sz w:val="19"/>
          <w:szCs w:val="19"/>
        </w:rPr>
        <w:t>不可预见事情的发生引起。</w:t>
      </w:r>
    </w:p>
    <w:p w14:paraId="192549A4">
      <w:pPr>
        <w:pStyle w:val="2"/>
        <w:spacing w:before="47" w:line="288" w:lineRule="auto"/>
        <w:ind w:right="313" w:firstLine="399"/>
        <w:rPr>
          <w:sz w:val="19"/>
          <w:szCs w:val="19"/>
        </w:rPr>
      </w:pPr>
      <w:r>
        <w:rPr>
          <w:spacing w:val="10"/>
          <w:sz w:val="19"/>
          <w:szCs w:val="19"/>
        </w:rPr>
        <w:t>必须说明的是， 一旦变更被列入计划并取得业主单位的同意，就必须建立一个新的基准计</w:t>
      </w:r>
      <w:r>
        <w:rPr>
          <w:spacing w:val="11"/>
          <w:sz w:val="19"/>
          <w:szCs w:val="19"/>
        </w:rPr>
        <w:t xml:space="preserve"> </w:t>
      </w:r>
      <w:r>
        <w:rPr>
          <w:spacing w:val="9"/>
          <w:sz w:val="19"/>
          <w:szCs w:val="19"/>
        </w:rPr>
        <w:t>划，整个计划的范围、进度和预算可能和最初的基准计划有所不同。</w:t>
      </w:r>
    </w:p>
    <w:p w14:paraId="50AEC2D1">
      <w:pPr>
        <w:pStyle w:val="2"/>
        <w:spacing w:before="14" w:line="295" w:lineRule="auto"/>
        <w:ind w:right="291" w:firstLine="399"/>
        <w:rPr>
          <w:sz w:val="19"/>
          <w:szCs w:val="19"/>
        </w:rPr>
      </w:pPr>
      <w:r>
        <w:rPr>
          <w:spacing w:val="13"/>
          <w:sz w:val="19"/>
          <w:szCs w:val="19"/>
        </w:rPr>
        <w:t>此外，这些数据必须及时收集，以作为更新项目进度计划和预算的依据。如果项目报告期</w:t>
      </w:r>
      <w:r>
        <w:rPr>
          <w:spacing w:val="4"/>
          <w:sz w:val="19"/>
          <w:szCs w:val="19"/>
        </w:rPr>
        <w:t xml:space="preserve"> </w:t>
      </w:r>
      <w:r>
        <w:rPr>
          <w:spacing w:val="13"/>
          <w:sz w:val="19"/>
          <w:szCs w:val="19"/>
        </w:rPr>
        <w:t>是一个月，数据和信息应尽可能在该月的后期收集，这样才能保证在更新进</w:t>
      </w:r>
      <w:r>
        <w:rPr>
          <w:spacing w:val="12"/>
          <w:sz w:val="19"/>
          <w:szCs w:val="19"/>
        </w:rPr>
        <w:t>度计划和预算时所</w:t>
      </w:r>
      <w:r>
        <w:rPr>
          <w:sz w:val="19"/>
          <w:szCs w:val="19"/>
        </w:rPr>
        <w:t xml:space="preserve"> </w:t>
      </w:r>
      <w:r>
        <w:rPr>
          <w:spacing w:val="13"/>
          <w:sz w:val="19"/>
          <w:szCs w:val="19"/>
        </w:rPr>
        <w:t>依据的信息尽可能是新的；不应在月初收集信息，等到月末再来利用其更新进度和预算，因为</w:t>
      </w:r>
      <w:r>
        <w:rPr>
          <w:spacing w:val="15"/>
          <w:sz w:val="19"/>
          <w:szCs w:val="19"/>
        </w:rPr>
        <w:t xml:space="preserve"> </w:t>
      </w:r>
      <w:r>
        <w:rPr>
          <w:spacing w:val="9"/>
          <w:sz w:val="19"/>
          <w:szCs w:val="19"/>
        </w:rPr>
        <w:t>这样会使得在项目进展情况和纠正措施方面的决策失</w:t>
      </w:r>
      <w:r>
        <w:rPr>
          <w:spacing w:val="8"/>
          <w:sz w:val="19"/>
          <w:szCs w:val="19"/>
        </w:rPr>
        <w:t>效。</w:t>
      </w:r>
    </w:p>
    <w:p w14:paraId="2B8E1A83">
      <w:pPr>
        <w:pStyle w:val="2"/>
        <w:spacing w:before="57" w:line="287" w:lineRule="auto"/>
        <w:ind w:right="310" w:firstLine="399"/>
        <w:rPr>
          <w:sz w:val="19"/>
          <w:szCs w:val="19"/>
        </w:rPr>
      </w:pPr>
      <w:r>
        <w:rPr>
          <w:spacing w:val="8"/>
          <w:sz w:val="19"/>
          <w:szCs w:val="19"/>
        </w:rPr>
        <w:t>进度计划实施情况检查的结果应写进“进度报告”。承建单位的进度报告应该提交给监理工</w:t>
      </w:r>
      <w:r>
        <w:rPr>
          <w:sz w:val="19"/>
          <w:szCs w:val="19"/>
        </w:rPr>
        <w:t xml:space="preserve"> </w:t>
      </w:r>
      <w:r>
        <w:rPr>
          <w:spacing w:val="9"/>
          <w:sz w:val="19"/>
          <w:szCs w:val="19"/>
        </w:rPr>
        <w:t>程师，作为其进度控制、核发进度款的依据；监理工程师应向业主单位报告进度状况。</w:t>
      </w:r>
    </w:p>
    <w:p w14:paraId="15DBA257">
      <w:pPr>
        <w:pStyle w:val="2"/>
        <w:spacing w:before="8" w:line="296" w:lineRule="auto"/>
        <w:ind w:right="304" w:firstLine="399"/>
        <w:rPr>
          <w:sz w:val="19"/>
          <w:szCs w:val="19"/>
        </w:rPr>
      </w:pPr>
      <w:r>
        <w:rPr>
          <w:spacing w:val="13"/>
          <w:sz w:val="19"/>
          <w:szCs w:val="19"/>
        </w:rPr>
        <w:t>通过检查分析，如果进度偏离计划不是特别严重，便可以通过解决矛盾，排除障碍，继续</w:t>
      </w:r>
      <w:r>
        <w:rPr>
          <w:spacing w:val="1"/>
          <w:sz w:val="19"/>
          <w:szCs w:val="19"/>
        </w:rPr>
        <w:t xml:space="preserve"> </w:t>
      </w:r>
      <w:r>
        <w:rPr>
          <w:spacing w:val="13"/>
          <w:sz w:val="19"/>
          <w:szCs w:val="19"/>
        </w:rPr>
        <w:t>执行原计划的顺序和时间安排。当项目确实不能按原计划实现时，应该考虑对计划进行必要的</w:t>
      </w:r>
      <w:r>
        <w:rPr>
          <w:sz w:val="19"/>
          <w:szCs w:val="19"/>
        </w:rPr>
        <w:t xml:space="preserve"> </w:t>
      </w:r>
      <w:r>
        <w:rPr>
          <w:spacing w:val="13"/>
          <w:sz w:val="19"/>
          <w:szCs w:val="19"/>
        </w:rPr>
        <w:t>调整，适当延长工期，或改变实施速度。计划的调整一般是不可避免的，但应慎重，尽量减少</w:t>
      </w:r>
      <w:r>
        <w:rPr>
          <w:spacing w:val="2"/>
          <w:sz w:val="19"/>
          <w:szCs w:val="19"/>
        </w:rPr>
        <w:t xml:space="preserve"> </w:t>
      </w:r>
      <w:r>
        <w:rPr>
          <w:spacing w:val="13"/>
          <w:sz w:val="19"/>
          <w:szCs w:val="19"/>
        </w:rPr>
        <w:t>变更计划。如果通过检查和分析后发现，原有进度计划确实已不能适应变化，为了确保进度目</w:t>
      </w:r>
      <w:r>
        <w:rPr>
          <w:spacing w:val="2"/>
          <w:sz w:val="19"/>
          <w:szCs w:val="19"/>
        </w:rPr>
        <w:t xml:space="preserve"> </w:t>
      </w:r>
      <w:r>
        <w:rPr>
          <w:spacing w:val="13"/>
          <w:sz w:val="19"/>
          <w:szCs w:val="19"/>
        </w:rPr>
        <w:t>标的实现，需要确定新的计划目标，则应做出调整进度计划的决策，以形成新</w:t>
      </w:r>
      <w:r>
        <w:rPr>
          <w:spacing w:val="12"/>
          <w:sz w:val="19"/>
          <w:szCs w:val="19"/>
        </w:rPr>
        <w:t>的调整后的“进</w:t>
      </w:r>
      <w:r>
        <w:rPr>
          <w:sz w:val="19"/>
          <w:szCs w:val="19"/>
        </w:rPr>
        <w:t xml:space="preserve"> </w:t>
      </w:r>
      <w:r>
        <w:rPr>
          <w:spacing w:val="8"/>
          <w:sz w:val="19"/>
          <w:szCs w:val="19"/>
        </w:rPr>
        <w:t>度计划”,作为进度控制的新依据。</w:t>
      </w:r>
    </w:p>
    <w:p w14:paraId="3294A0B5">
      <w:pPr>
        <w:pStyle w:val="2"/>
        <w:spacing w:before="160" w:line="222" w:lineRule="auto"/>
        <w:ind w:left="402"/>
        <w:rPr>
          <w:rFonts w:ascii="黑体" w:hAnsi="黑体" w:eastAsia="黑体" w:cs="黑体"/>
          <w:sz w:val="19"/>
          <w:szCs w:val="19"/>
        </w:rPr>
      </w:pPr>
      <w:r>
        <w:rPr>
          <w:b/>
          <w:bCs/>
          <w:color w:val="0059CF"/>
          <w:spacing w:val="7"/>
          <w:sz w:val="19"/>
          <w:szCs w:val="19"/>
        </w:rPr>
        <w:t>4.</w:t>
      </w:r>
      <w:r>
        <w:rPr>
          <w:rFonts w:ascii="黑体" w:hAnsi="黑体" w:eastAsia="黑体" w:cs="黑体"/>
          <w:b/>
          <w:bCs/>
          <w:color w:val="0059CF"/>
          <w:spacing w:val="7"/>
          <w:sz w:val="19"/>
          <w:szCs w:val="19"/>
        </w:rPr>
        <w:t>进度计划的分析与总结</w:t>
      </w:r>
    </w:p>
    <w:p w14:paraId="4B45A6A4">
      <w:pPr>
        <w:pStyle w:val="2"/>
        <w:spacing w:before="156" w:line="278" w:lineRule="auto"/>
        <w:ind w:right="313" w:firstLine="399"/>
        <w:rPr>
          <w:sz w:val="19"/>
          <w:szCs w:val="19"/>
        </w:rPr>
      </w:pPr>
      <w:r>
        <w:rPr>
          <w:spacing w:val="13"/>
          <w:sz w:val="19"/>
          <w:szCs w:val="19"/>
        </w:rPr>
        <w:t>分析与总结是进度控制的最后阶段，在检查的基础上对前面的控制工作加以总结，可以进</w:t>
      </w:r>
      <w:r>
        <w:rPr>
          <w:sz w:val="19"/>
          <w:szCs w:val="19"/>
        </w:rPr>
        <w:t xml:space="preserve"> </w:t>
      </w:r>
      <w:r>
        <w:rPr>
          <w:spacing w:val="8"/>
          <w:sz w:val="19"/>
          <w:szCs w:val="19"/>
        </w:rPr>
        <w:t>一步提高控制水平，对不足之处加以改进，帮助实现预期的控制目标。</w:t>
      </w:r>
    </w:p>
    <w:p w14:paraId="6451326B">
      <w:pPr>
        <w:pStyle w:val="2"/>
        <w:spacing w:before="37" w:line="219" w:lineRule="auto"/>
        <w:ind w:left="399"/>
        <w:rPr>
          <w:sz w:val="19"/>
          <w:szCs w:val="19"/>
        </w:rPr>
      </w:pPr>
      <w:r>
        <w:rPr>
          <w:spacing w:val="7"/>
          <w:sz w:val="19"/>
          <w:szCs w:val="19"/>
        </w:rPr>
        <w:t>总结的目的是发现问题，总结经验，寻找更好的控制措施。</w:t>
      </w:r>
    </w:p>
    <w:p w14:paraId="4DE9CC72">
      <w:pPr>
        <w:pStyle w:val="2"/>
        <w:spacing w:before="76" w:line="292" w:lineRule="auto"/>
        <w:ind w:right="309" w:firstLine="304"/>
        <w:rPr>
          <w:sz w:val="19"/>
          <w:szCs w:val="19"/>
        </w:rPr>
      </w:pPr>
      <w:r>
        <w:rPr>
          <w:spacing w:val="10"/>
          <w:sz w:val="19"/>
          <w:szCs w:val="19"/>
        </w:rPr>
        <w:t>“问题”是指某些进度控制目标没有实现，或在计划执行中存在的缺陷。在总结分析时，可</w:t>
      </w:r>
      <w:r>
        <w:rPr>
          <w:spacing w:val="12"/>
          <w:sz w:val="19"/>
          <w:szCs w:val="19"/>
        </w:rPr>
        <w:t xml:space="preserve"> </w:t>
      </w:r>
      <w:r>
        <w:rPr>
          <w:spacing w:val="13"/>
          <w:sz w:val="19"/>
          <w:szCs w:val="19"/>
        </w:rPr>
        <w:t>以定性分析，也可以定量计算，所用指标与成绩总结分析所用的指标相同。问题的分析</w:t>
      </w:r>
      <w:r>
        <w:rPr>
          <w:spacing w:val="12"/>
          <w:sz w:val="19"/>
          <w:szCs w:val="19"/>
        </w:rPr>
        <w:t>应抓住</w:t>
      </w:r>
      <w:r>
        <w:rPr>
          <w:sz w:val="19"/>
          <w:szCs w:val="19"/>
        </w:rPr>
        <w:t xml:space="preserve"> </w:t>
      </w:r>
      <w:r>
        <w:rPr>
          <w:spacing w:val="8"/>
          <w:sz w:val="19"/>
          <w:szCs w:val="19"/>
        </w:rPr>
        <w:t>关键，对产生问题的原因进行透彻分析，寻根求源。</w:t>
      </w:r>
    </w:p>
    <w:p w14:paraId="53DCA379">
      <w:pPr>
        <w:pStyle w:val="2"/>
        <w:spacing w:before="27" w:line="292" w:lineRule="auto"/>
        <w:ind w:right="293" w:firstLine="304"/>
        <w:rPr>
          <w:sz w:val="19"/>
          <w:szCs w:val="19"/>
        </w:rPr>
      </w:pPr>
      <w:r>
        <w:rPr>
          <w:spacing w:val="10"/>
          <w:sz w:val="19"/>
          <w:szCs w:val="19"/>
        </w:rPr>
        <w:t>“经验”是指对卓有成效的控制及其取得成效的原因进行分析以后归纳出来的，可以为以后</w:t>
      </w:r>
      <w:r>
        <w:rPr>
          <w:spacing w:val="18"/>
          <w:sz w:val="19"/>
          <w:szCs w:val="19"/>
        </w:rPr>
        <w:t xml:space="preserve"> </w:t>
      </w:r>
      <w:r>
        <w:rPr>
          <w:spacing w:val="13"/>
          <w:sz w:val="19"/>
          <w:szCs w:val="19"/>
        </w:rPr>
        <w:t xml:space="preserve">的进度控制工作借鉴的本质内容。在进度控制中，真正的经验是有长远时效的，必须通过大量 </w:t>
      </w:r>
      <w:r>
        <w:rPr>
          <w:spacing w:val="9"/>
          <w:sz w:val="19"/>
          <w:szCs w:val="19"/>
        </w:rPr>
        <w:t>事实提炼出来，反映客观规律，加以规范化、制度化，才能对以后的进度控制发挥</w:t>
      </w:r>
      <w:r>
        <w:rPr>
          <w:spacing w:val="8"/>
          <w:sz w:val="19"/>
          <w:szCs w:val="19"/>
        </w:rPr>
        <w:t>积极作用。</w:t>
      </w:r>
    </w:p>
    <w:p w14:paraId="057F603F">
      <w:pPr>
        <w:pStyle w:val="2"/>
        <w:spacing w:before="188" w:line="220" w:lineRule="auto"/>
        <w:ind w:left="3"/>
        <w:rPr>
          <w:sz w:val="25"/>
          <w:szCs w:val="25"/>
        </w:rPr>
      </w:pPr>
      <w:r>
        <w:rPr>
          <w:b/>
          <w:bCs/>
          <w:color w:val="005CD5"/>
          <w:spacing w:val="-18"/>
          <w:sz w:val="25"/>
          <w:szCs w:val="25"/>
        </w:rPr>
        <w:t>11.1.3</w:t>
      </w:r>
      <w:r>
        <w:rPr>
          <w:color w:val="005CD5"/>
          <w:spacing w:val="97"/>
          <w:sz w:val="25"/>
          <w:szCs w:val="25"/>
        </w:rPr>
        <w:t xml:space="preserve"> </w:t>
      </w:r>
      <w:r>
        <w:rPr>
          <w:b/>
          <w:bCs/>
          <w:color w:val="005CD5"/>
          <w:spacing w:val="-18"/>
          <w:sz w:val="25"/>
          <w:szCs w:val="25"/>
        </w:rPr>
        <w:t>进度控制的意义</w:t>
      </w:r>
    </w:p>
    <w:p w14:paraId="3F02ABA6">
      <w:pPr>
        <w:pStyle w:val="2"/>
        <w:spacing w:before="163" w:line="219" w:lineRule="auto"/>
        <w:ind w:left="399"/>
        <w:rPr>
          <w:sz w:val="19"/>
          <w:szCs w:val="19"/>
        </w:rPr>
      </w:pPr>
      <w:r>
        <w:rPr>
          <w:spacing w:val="8"/>
          <w:sz w:val="19"/>
          <w:szCs w:val="19"/>
        </w:rPr>
        <w:t>作为信息系统工程的主要控制手段之一，进度控制具有以下重要意义：</w:t>
      </w:r>
    </w:p>
    <w:p w14:paraId="3F7BAF4D">
      <w:pPr>
        <w:pStyle w:val="2"/>
        <w:spacing w:before="85" w:line="220" w:lineRule="auto"/>
        <w:ind w:left="399"/>
        <w:rPr>
          <w:sz w:val="19"/>
          <w:szCs w:val="19"/>
        </w:rPr>
      </w:pPr>
      <w:r>
        <w:rPr>
          <w:spacing w:val="12"/>
          <w:sz w:val="19"/>
          <w:szCs w:val="19"/>
        </w:rPr>
        <w:t>(1)有利于尽快发挥投资效益。</w:t>
      </w:r>
    </w:p>
    <w:p w14:paraId="77300AA7">
      <w:pPr>
        <w:pStyle w:val="2"/>
        <w:spacing w:before="83" w:line="292" w:lineRule="auto"/>
        <w:ind w:right="313" w:firstLine="399"/>
        <w:rPr>
          <w:sz w:val="19"/>
          <w:szCs w:val="19"/>
        </w:rPr>
      </w:pPr>
      <w:r>
        <w:rPr>
          <w:spacing w:val="13"/>
          <w:sz w:val="19"/>
          <w:szCs w:val="19"/>
        </w:rPr>
        <w:t>进度控制在一定程度上提供了项目按预定时间交付使用的保证。项目按计划投入使用，可</w:t>
      </w:r>
      <w:r>
        <w:rPr>
          <w:sz w:val="19"/>
          <w:szCs w:val="19"/>
        </w:rPr>
        <w:t xml:space="preserve"> </w:t>
      </w:r>
      <w:r>
        <w:rPr>
          <w:spacing w:val="13"/>
          <w:sz w:val="19"/>
          <w:szCs w:val="19"/>
        </w:rPr>
        <w:t>以使业主单位尽早提高运营效率与效果，增加社会效益，为国家增加利税收入</w:t>
      </w:r>
      <w:r>
        <w:rPr>
          <w:spacing w:val="12"/>
          <w:sz w:val="19"/>
          <w:szCs w:val="19"/>
        </w:rPr>
        <w:t>；反之，如果进</w:t>
      </w:r>
      <w:r>
        <w:rPr>
          <w:sz w:val="19"/>
          <w:szCs w:val="19"/>
        </w:rPr>
        <w:t xml:space="preserve"> </w:t>
      </w:r>
      <w:r>
        <w:rPr>
          <w:spacing w:val="9"/>
          <w:sz w:val="19"/>
          <w:szCs w:val="19"/>
        </w:rPr>
        <w:t>度失控和拖延工期，会导致投资的失控和时间的浪</w:t>
      </w:r>
      <w:r>
        <w:rPr>
          <w:spacing w:val="8"/>
          <w:sz w:val="19"/>
          <w:szCs w:val="19"/>
        </w:rPr>
        <w:t>费。</w:t>
      </w:r>
    </w:p>
    <w:p w14:paraId="510BCE9E">
      <w:pPr>
        <w:pStyle w:val="2"/>
        <w:spacing w:before="19" w:line="219" w:lineRule="auto"/>
        <w:ind w:left="399"/>
        <w:rPr>
          <w:sz w:val="19"/>
          <w:szCs w:val="19"/>
        </w:rPr>
      </w:pPr>
      <w:r>
        <w:rPr>
          <w:spacing w:val="13"/>
          <w:sz w:val="19"/>
          <w:szCs w:val="19"/>
        </w:rPr>
        <w:t>(2)有利于维持良好的管理秩序。</w:t>
      </w:r>
    </w:p>
    <w:p w14:paraId="3A23B2FE">
      <w:pPr>
        <w:pStyle w:val="2"/>
        <w:spacing w:before="84" w:line="219" w:lineRule="auto"/>
        <w:ind w:left="399"/>
        <w:rPr>
          <w:sz w:val="19"/>
          <w:szCs w:val="19"/>
        </w:rPr>
      </w:pPr>
      <w:r>
        <w:rPr>
          <w:spacing w:val="13"/>
          <w:sz w:val="19"/>
          <w:szCs w:val="19"/>
        </w:rPr>
        <w:t>信息系统工程建设具有投入大、消耗多、涉及组织结构创新、关联环节多等特点，项目建</w:t>
      </w:r>
    </w:p>
    <w:p w14:paraId="01648BA6">
      <w:pPr>
        <w:spacing w:line="219" w:lineRule="auto"/>
        <w:rPr>
          <w:sz w:val="19"/>
          <w:szCs w:val="19"/>
        </w:rPr>
        <w:sectPr>
          <w:pgSz w:w="10290" w:h="13250"/>
          <w:pgMar w:top="330" w:right="668" w:bottom="400" w:left="990" w:header="0" w:footer="0" w:gutter="0"/>
          <w:cols w:space="720" w:num="1"/>
        </w:sectPr>
      </w:pPr>
    </w:p>
    <w:p w14:paraId="08CFADF5">
      <w:pPr>
        <w:pStyle w:val="2"/>
        <w:spacing w:before="48" w:line="219" w:lineRule="auto"/>
        <w:rPr>
          <w:sz w:val="20"/>
          <w:szCs w:val="20"/>
        </w:rPr>
      </w:pPr>
      <w:r>
        <w:rPr>
          <w:rFonts w:ascii="Times New Roman" w:hAnsi="Times New Roman" w:eastAsia="Times New Roman" w:cs="Times New Roman"/>
          <w:spacing w:val="-3"/>
          <w:sz w:val="17"/>
          <w:szCs w:val="17"/>
        </w:rPr>
        <w:t>260</w:t>
      </w:r>
      <w:r>
        <w:rPr>
          <w:rFonts w:ascii="Times New Roman" w:hAnsi="Times New Roman" w:eastAsia="Times New Roman" w:cs="Times New Roman"/>
          <w:spacing w:val="1"/>
          <w:sz w:val="17"/>
          <w:szCs w:val="17"/>
        </w:rPr>
        <w:t xml:space="preserve">                 </w:t>
      </w:r>
      <w:r>
        <w:rPr>
          <w:spacing w:val="-3"/>
          <w:sz w:val="20"/>
          <w:szCs w:val="20"/>
        </w:rPr>
        <w:t>信息系统监理师教程(第2版)</w:t>
      </w:r>
    </w:p>
    <w:p w14:paraId="5F13057F">
      <w:pPr>
        <w:spacing w:line="264" w:lineRule="auto"/>
        <w:rPr>
          <w:rFonts w:ascii="Arial"/>
          <w:sz w:val="21"/>
        </w:rPr>
      </w:pPr>
    </w:p>
    <w:p w14:paraId="7A2EEDAA">
      <w:pPr>
        <w:pStyle w:val="2"/>
        <w:spacing w:before="65" w:line="305" w:lineRule="auto"/>
        <w:ind w:left="389" w:right="71"/>
        <w:rPr>
          <w:sz w:val="20"/>
          <w:szCs w:val="20"/>
        </w:rPr>
      </w:pPr>
      <w:r>
        <w:rPr>
          <w:spacing w:val="3"/>
          <w:sz w:val="20"/>
          <w:szCs w:val="20"/>
        </w:rPr>
        <w:t>设需要资金、人力、物资的保证，影响众多部门的正常运转。如果投资项目进度失控，将不可</w:t>
      </w:r>
      <w:r>
        <w:rPr>
          <w:spacing w:val="14"/>
          <w:sz w:val="20"/>
          <w:szCs w:val="20"/>
        </w:rPr>
        <w:t xml:space="preserve"> </w:t>
      </w:r>
      <w:r>
        <w:rPr>
          <w:spacing w:val="-3"/>
          <w:sz w:val="20"/>
          <w:szCs w:val="20"/>
        </w:rPr>
        <w:t>避免地危害到业主单位的管理秩序。</w:t>
      </w:r>
    </w:p>
    <w:p w14:paraId="227F517E">
      <w:pPr>
        <w:pStyle w:val="2"/>
        <w:spacing w:line="219" w:lineRule="auto"/>
        <w:ind w:left="790"/>
        <w:rPr>
          <w:sz w:val="20"/>
          <w:szCs w:val="20"/>
        </w:rPr>
      </w:pPr>
      <w:r>
        <w:rPr>
          <w:spacing w:val="3"/>
          <w:sz w:val="20"/>
          <w:szCs w:val="20"/>
        </w:rPr>
        <w:t>(3)有利于提高企业经济效益。</w:t>
      </w:r>
    </w:p>
    <w:p w14:paraId="368384E7">
      <w:pPr>
        <w:pStyle w:val="2"/>
        <w:spacing w:before="62" w:line="288" w:lineRule="auto"/>
        <w:ind w:left="389" w:firstLine="400"/>
        <w:rPr>
          <w:sz w:val="20"/>
          <w:szCs w:val="20"/>
        </w:rPr>
      </w:pPr>
      <w:r>
        <w:rPr>
          <w:spacing w:val="3"/>
          <w:sz w:val="20"/>
          <w:szCs w:val="20"/>
        </w:rPr>
        <w:t>对承建单位而言，进度控制的顺利实现就意味着承建合同能够按期完成，资金能够正常周</w:t>
      </w:r>
      <w:r>
        <w:rPr>
          <w:spacing w:val="15"/>
          <w:sz w:val="20"/>
          <w:szCs w:val="20"/>
        </w:rPr>
        <w:t xml:space="preserve"> </w:t>
      </w:r>
      <w:r>
        <w:rPr>
          <w:spacing w:val="4"/>
          <w:sz w:val="20"/>
          <w:szCs w:val="20"/>
        </w:rPr>
        <w:t>转。既为国家创造财富，又为企业增添利润，从而</w:t>
      </w:r>
      <w:r>
        <w:rPr>
          <w:spacing w:val="3"/>
          <w:sz w:val="20"/>
          <w:szCs w:val="20"/>
        </w:rPr>
        <w:t>使企业走向良性的运行循环，有利于企业增</w:t>
      </w:r>
      <w:r>
        <w:rPr>
          <w:sz w:val="20"/>
          <w:szCs w:val="20"/>
        </w:rPr>
        <w:t xml:space="preserve"> </w:t>
      </w:r>
      <w:r>
        <w:rPr>
          <w:spacing w:val="5"/>
          <w:sz w:val="20"/>
          <w:szCs w:val="20"/>
        </w:rPr>
        <w:t>强竞争力。此外，进度控制是企业管理工作的综合体现，进度控制的过程也是企业降低成本、</w:t>
      </w:r>
      <w:r>
        <w:rPr>
          <w:spacing w:val="4"/>
          <w:sz w:val="20"/>
          <w:szCs w:val="20"/>
        </w:rPr>
        <w:t xml:space="preserve"> </w:t>
      </w:r>
      <w:r>
        <w:rPr>
          <w:spacing w:val="-2"/>
          <w:sz w:val="20"/>
          <w:szCs w:val="20"/>
        </w:rPr>
        <w:t>提高经济效益的过程，更是企业信誉和自我价值的重要体现。</w:t>
      </w:r>
    </w:p>
    <w:p w14:paraId="114DC993">
      <w:pPr>
        <w:pStyle w:val="2"/>
        <w:spacing w:before="22" w:line="219" w:lineRule="auto"/>
        <w:ind w:left="790"/>
        <w:rPr>
          <w:sz w:val="20"/>
          <w:szCs w:val="20"/>
        </w:rPr>
      </w:pPr>
      <w:r>
        <w:rPr>
          <w:spacing w:val="1"/>
          <w:sz w:val="20"/>
          <w:szCs w:val="20"/>
        </w:rPr>
        <w:t>(4)有利于降低信息系统工程建设项目的投资风险。</w:t>
      </w:r>
    </w:p>
    <w:p w14:paraId="3E590B73">
      <w:pPr>
        <w:pStyle w:val="2"/>
        <w:spacing w:before="50" w:line="282" w:lineRule="auto"/>
        <w:ind w:left="389" w:firstLine="400"/>
        <w:rPr>
          <w:sz w:val="20"/>
          <w:szCs w:val="20"/>
        </w:rPr>
      </w:pPr>
      <w:r>
        <w:rPr>
          <w:spacing w:val="3"/>
          <w:sz w:val="20"/>
          <w:szCs w:val="20"/>
        </w:rPr>
        <w:t>由于信息技术发展迅速，信息化产品更新换代快，使基于信息技术的信息系统工程不断地</w:t>
      </w:r>
      <w:r>
        <w:rPr>
          <w:sz w:val="20"/>
          <w:szCs w:val="20"/>
        </w:rPr>
        <w:t xml:space="preserve">  </w:t>
      </w:r>
      <w:r>
        <w:rPr>
          <w:spacing w:val="3"/>
          <w:sz w:val="20"/>
          <w:szCs w:val="20"/>
        </w:rPr>
        <w:t>增加新的信息、新的内容，用户需求也容易随着形势发展而发生急速变化，甚至有许多要求超</w:t>
      </w:r>
      <w:r>
        <w:rPr>
          <w:spacing w:val="14"/>
          <w:sz w:val="20"/>
          <w:szCs w:val="20"/>
        </w:rPr>
        <w:t xml:space="preserve"> </w:t>
      </w:r>
      <w:r>
        <w:rPr>
          <w:spacing w:val="3"/>
          <w:sz w:val="20"/>
          <w:szCs w:val="20"/>
        </w:rPr>
        <w:t>过了新技术的发展。信息系统工程建设项目的不可预见成分高，风险程度大，如果没有良好的</w:t>
      </w:r>
      <w:r>
        <w:rPr>
          <w:sz w:val="20"/>
          <w:szCs w:val="20"/>
        </w:rPr>
        <w:t xml:space="preserve">  </w:t>
      </w:r>
      <w:r>
        <w:rPr>
          <w:spacing w:val="3"/>
          <w:sz w:val="20"/>
          <w:szCs w:val="20"/>
        </w:rPr>
        <w:t>进度控制，随着项目时间的延长，信息系统工程的风险越大，诸如政府法律规章等的变化带来</w:t>
      </w:r>
      <w:r>
        <w:rPr>
          <w:spacing w:val="14"/>
          <w:sz w:val="20"/>
          <w:szCs w:val="20"/>
        </w:rPr>
        <w:t xml:space="preserve"> </w:t>
      </w:r>
      <w:r>
        <w:rPr>
          <w:spacing w:val="5"/>
          <w:sz w:val="20"/>
          <w:szCs w:val="20"/>
        </w:rPr>
        <w:t>的风险、建设资金不到位带来的风险、项目发生变更带来的风险以及一些不可预见的风险等。</w:t>
      </w:r>
      <w:r>
        <w:rPr>
          <w:spacing w:val="4"/>
          <w:sz w:val="20"/>
          <w:szCs w:val="20"/>
        </w:rPr>
        <w:t xml:space="preserve"> </w:t>
      </w:r>
      <w:r>
        <w:rPr>
          <w:spacing w:val="-2"/>
          <w:sz w:val="20"/>
          <w:szCs w:val="20"/>
        </w:rPr>
        <w:t>良好的进度控制可以有效地降低项目的风险，避免或减少损失，保护各方利益。</w:t>
      </w:r>
    </w:p>
    <w:p w14:paraId="503F2833">
      <w:pPr>
        <w:spacing w:line="293" w:lineRule="auto"/>
        <w:rPr>
          <w:rFonts w:ascii="Arial"/>
          <w:sz w:val="21"/>
        </w:rPr>
      </w:pPr>
    </w:p>
    <w:p w14:paraId="4399FA76">
      <w:pPr>
        <w:pStyle w:val="2"/>
        <w:spacing w:before="92" w:line="222" w:lineRule="auto"/>
        <w:ind w:left="393"/>
        <w:rPr>
          <w:rFonts w:ascii="黑体" w:hAnsi="黑体" w:eastAsia="黑体" w:cs="黑体"/>
          <w:sz w:val="28"/>
          <w:szCs w:val="28"/>
        </w:rPr>
      </w:pPr>
      <w:r>
        <w:rPr>
          <w:b/>
          <w:bCs/>
          <w:color w:val="0066DB"/>
          <w:spacing w:val="-9"/>
          <w:sz w:val="28"/>
          <w:szCs w:val="28"/>
        </w:rPr>
        <w:t>11.2</w:t>
      </w:r>
      <w:r>
        <w:rPr>
          <w:color w:val="0066DB"/>
          <w:spacing w:val="23"/>
          <w:sz w:val="28"/>
          <w:szCs w:val="28"/>
        </w:rPr>
        <w:t xml:space="preserve">  </w:t>
      </w:r>
      <w:r>
        <w:rPr>
          <w:rFonts w:ascii="黑体" w:hAnsi="黑体" w:eastAsia="黑体" w:cs="黑体"/>
          <w:b/>
          <w:bCs/>
          <w:color w:val="0066DB"/>
          <w:spacing w:val="-9"/>
          <w:sz w:val="28"/>
          <w:szCs w:val="28"/>
        </w:rPr>
        <w:t>进度控制的目标与范围</w:t>
      </w:r>
    </w:p>
    <w:p w14:paraId="5CF21A70">
      <w:pPr>
        <w:pStyle w:val="2"/>
        <w:spacing w:before="285" w:line="264" w:lineRule="auto"/>
        <w:ind w:left="389" w:right="81" w:firstLine="400"/>
        <w:rPr>
          <w:sz w:val="20"/>
          <w:szCs w:val="20"/>
        </w:rPr>
      </w:pPr>
      <w:r>
        <w:rPr>
          <w:spacing w:val="3"/>
          <w:sz w:val="20"/>
          <w:szCs w:val="20"/>
        </w:rPr>
        <w:t>为确保信息系统工程顺利进行、按时完成，监理工程师应充分了解进度控制的目标、范围</w:t>
      </w:r>
      <w:r>
        <w:rPr>
          <w:spacing w:val="10"/>
          <w:sz w:val="20"/>
          <w:szCs w:val="20"/>
        </w:rPr>
        <w:t xml:space="preserve"> </w:t>
      </w:r>
      <w:r>
        <w:rPr>
          <w:spacing w:val="-4"/>
          <w:sz w:val="20"/>
          <w:szCs w:val="20"/>
        </w:rPr>
        <w:t>以及可能影响进度的关键因素。</w:t>
      </w:r>
    </w:p>
    <w:p w14:paraId="24F7891A">
      <w:pPr>
        <w:pStyle w:val="2"/>
        <w:spacing w:before="135" w:line="222" w:lineRule="auto"/>
        <w:ind w:left="792"/>
        <w:rPr>
          <w:rFonts w:ascii="黑体" w:hAnsi="黑体" w:eastAsia="黑体" w:cs="黑体"/>
          <w:sz w:val="20"/>
          <w:szCs w:val="20"/>
        </w:rPr>
      </w:pPr>
      <w:r>
        <w:rPr>
          <w:b/>
          <w:bCs/>
          <w:color w:val="0068C3"/>
          <w:spacing w:val="-4"/>
          <w:sz w:val="20"/>
          <w:szCs w:val="20"/>
        </w:rPr>
        <w:t>1.</w:t>
      </w:r>
      <w:r>
        <w:rPr>
          <w:rFonts w:ascii="黑体" w:hAnsi="黑体" w:eastAsia="黑体" w:cs="黑体"/>
          <w:b/>
          <w:bCs/>
          <w:color w:val="0068C3"/>
          <w:spacing w:val="-4"/>
          <w:sz w:val="20"/>
          <w:szCs w:val="20"/>
        </w:rPr>
        <w:t>进度控制的目标</w:t>
      </w:r>
    </w:p>
    <w:p w14:paraId="4ABCC330">
      <w:pPr>
        <w:pStyle w:val="2"/>
        <w:spacing w:before="124" w:line="282" w:lineRule="auto"/>
        <w:ind w:left="389" w:right="81" w:firstLine="400"/>
        <w:rPr>
          <w:sz w:val="20"/>
          <w:szCs w:val="20"/>
        </w:rPr>
      </w:pPr>
      <w:r>
        <w:rPr>
          <w:spacing w:val="3"/>
          <w:sz w:val="20"/>
          <w:szCs w:val="20"/>
        </w:rPr>
        <w:t>实施信息系统工程监理，需要做好进度控制工作，应当明确进度控制的目标。作为信息系</w:t>
      </w:r>
      <w:r>
        <w:rPr>
          <w:spacing w:val="10"/>
          <w:sz w:val="20"/>
          <w:szCs w:val="20"/>
        </w:rPr>
        <w:t xml:space="preserve"> </w:t>
      </w:r>
      <w:r>
        <w:rPr>
          <w:spacing w:val="-1"/>
          <w:sz w:val="20"/>
          <w:szCs w:val="20"/>
        </w:rPr>
        <w:t>统工程管理服务的主体，监理单位进行的进度控制是为了使项目按计</w:t>
      </w:r>
      <w:r>
        <w:rPr>
          <w:spacing w:val="-2"/>
          <w:sz w:val="20"/>
          <w:szCs w:val="20"/>
        </w:rPr>
        <w:t>划投入使用。</w:t>
      </w:r>
    </w:p>
    <w:p w14:paraId="2420F326">
      <w:pPr>
        <w:pStyle w:val="2"/>
        <w:spacing w:before="7" w:line="281" w:lineRule="auto"/>
        <w:ind w:left="389" w:firstLine="400"/>
        <w:rPr>
          <w:sz w:val="20"/>
          <w:szCs w:val="20"/>
        </w:rPr>
      </w:pPr>
      <w:r>
        <w:rPr>
          <w:spacing w:val="3"/>
          <w:sz w:val="20"/>
          <w:szCs w:val="20"/>
        </w:rPr>
        <w:t>因此，信息系统工程建设项目监理的进度控制总目标是：通过各种有效措施，保障项目在</w:t>
      </w:r>
      <w:r>
        <w:rPr>
          <w:spacing w:val="1"/>
          <w:sz w:val="20"/>
          <w:szCs w:val="20"/>
        </w:rPr>
        <w:t xml:space="preserve">  </w:t>
      </w:r>
      <w:r>
        <w:rPr>
          <w:spacing w:val="4"/>
          <w:sz w:val="20"/>
          <w:szCs w:val="20"/>
        </w:rPr>
        <w:t>计划规定的时间内完成，即使信息系统按照计划时间内</w:t>
      </w:r>
      <w:r>
        <w:rPr>
          <w:spacing w:val="3"/>
          <w:sz w:val="20"/>
          <w:szCs w:val="20"/>
        </w:rPr>
        <w:t>达到竣工验收、试运行及投入使用的目</w:t>
      </w:r>
      <w:r>
        <w:rPr>
          <w:sz w:val="20"/>
          <w:szCs w:val="20"/>
        </w:rPr>
        <w:t xml:space="preserve"> 标。项目进度控制总目标应当进行分解，可以按单项工程分解，也可以按专业或项目阶段分解，</w:t>
      </w:r>
      <w:r>
        <w:rPr>
          <w:spacing w:val="8"/>
          <w:sz w:val="20"/>
          <w:szCs w:val="20"/>
        </w:rPr>
        <w:t xml:space="preserve"> </w:t>
      </w:r>
      <w:r>
        <w:rPr>
          <w:spacing w:val="3"/>
          <w:sz w:val="20"/>
          <w:szCs w:val="20"/>
        </w:rPr>
        <w:t>也可以按年、季、月计划进行分解。需要注意的是，进度控制目标必须符合业主单位</w:t>
      </w:r>
      <w:r>
        <w:rPr>
          <w:spacing w:val="2"/>
          <w:sz w:val="20"/>
          <w:szCs w:val="20"/>
        </w:rPr>
        <w:t>的委托要</w:t>
      </w:r>
      <w:r>
        <w:rPr>
          <w:sz w:val="20"/>
          <w:szCs w:val="20"/>
        </w:rPr>
        <w:t xml:space="preserve">  </w:t>
      </w:r>
      <w:r>
        <w:rPr>
          <w:spacing w:val="-2"/>
          <w:sz w:val="20"/>
          <w:szCs w:val="20"/>
        </w:rPr>
        <w:t>求，应该在监理合同中明确进度控制目标。</w:t>
      </w:r>
    </w:p>
    <w:p w14:paraId="1D451171">
      <w:pPr>
        <w:pStyle w:val="2"/>
        <w:spacing w:before="115" w:line="222" w:lineRule="auto"/>
        <w:ind w:left="792"/>
        <w:rPr>
          <w:rFonts w:ascii="黑体" w:hAnsi="黑体" w:eastAsia="黑体" w:cs="黑体"/>
          <w:sz w:val="20"/>
          <w:szCs w:val="20"/>
        </w:rPr>
      </w:pPr>
      <w:r>
        <w:rPr>
          <w:b/>
          <w:bCs/>
          <w:color w:val="0058A6"/>
          <w:spacing w:val="-2"/>
          <w:sz w:val="20"/>
          <w:szCs w:val="20"/>
        </w:rPr>
        <w:t>2.</w:t>
      </w:r>
      <w:r>
        <w:rPr>
          <w:rFonts w:ascii="黑体" w:hAnsi="黑体" w:eastAsia="黑体" w:cs="黑体"/>
          <w:b/>
          <w:bCs/>
          <w:color w:val="0058A6"/>
          <w:spacing w:val="-2"/>
          <w:sz w:val="20"/>
          <w:szCs w:val="20"/>
        </w:rPr>
        <w:t>进度控制的范围</w:t>
      </w:r>
    </w:p>
    <w:p w14:paraId="467BEF33">
      <w:pPr>
        <w:pStyle w:val="2"/>
        <w:spacing w:before="153" w:line="273" w:lineRule="auto"/>
        <w:ind w:left="389" w:right="91" w:firstLine="400"/>
        <w:rPr>
          <w:sz w:val="20"/>
          <w:szCs w:val="20"/>
        </w:rPr>
      </w:pPr>
      <w:r>
        <w:rPr>
          <w:spacing w:val="3"/>
          <w:sz w:val="20"/>
          <w:szCs w:val="20"/>
        </w:rPr>
        <w:t>信息系统工程的进度需要进行多方面的控制，是一个二维的控制过程：纵向包含了工程建</w:t>
      </w:r>
      <w:r>
        <w:rPr>
          <w:sz w:val="20"/>
          <w:szCs w:val="20"/>
        </w:rPr>
        <w:t xml:space="preserve"> </w:t>
      </w:r>
      <w:r>
        <w:rPr>
          <w:spacing w:val="-2"/>
          <w:sz w:val="20"/>
          <w:szCs w:val="20"/>
        </w:rPr>
        <w:t>设的各个阶段；横向涉及工程建设的各个组成部分。进度控制包括以下内容：</w:t>
      </w:r>
    </w:p>
    <w:p w14:paraId="5184628D">
      <w:pPr>
        <w:pStyle w:val="2"/>
        <w:spacing w:before="30" w:line="220" w:lineRule="auto"/>
        <w:ind w:left="790"/>
        <w:rPr>
          <w:sz w:val="20"/>
          <w:szCs w:val="20"/>
        </w:rPr>
      </w:pPr>
      <w:r>
        <w:rPr>
          <w:spacing w:val="3"/>
          <w:sz w:val="20"/>
          <w:szCs w:val="20"/>
        </w:rPr>
        <w:t>(1)对工程建设全过程的控制。</w:t>
      </w:r>
    </w:p>
    <w:p w14:paraId="752F0E5A">
      <w:pPr>
        <w:pStyle w:val="2"/>
        <w:spacing w:before="51" w:line="278" w:lineRule="auto"/>
        <w:ind w:left="389" w:right="81" w:firstLine="400"/>
        <w:rPr>
          <w:sz w:val="20"/>
          <w:szCs w:val="20"/>
        </w:rPr>
      </w:pPr>
      <w:r>
        <w:rPr>
          <w:spacing w:val="3"/>
          <w:sz w:val="20"/>
          <w:szCs w:val="20"/>
        </w:rPr>
        <w:t>信息系统工程监理进度控制的目标是保证项目在计划的时间范围内投入使用，因此进度控</w:t>
      </w:r>
      <w:r>
        <w:rPr>
          <w:sz w:val="20"/>
          <w:szCs w:val="20"/>
        </w:rPr>
        <w:t xml:space="preserve"> </w:t>
      </w:r>
      <w:r>
        <w:rPr>
          <w:spacing w:val="3"/>
          <w:sz w:val="20"/>
          <w:szCs w:val="20"/>
        </w:rPr>
        <w:t>制不仅包括实施阶段，还包括招标阶段、设计阶段、系统试运行及项目验收阶段。其时间范围</w:t>
      </w:r>
      <w:r>
        <w:rPr>
          <w:spacing w:val="5"/>
          <w:sz w:val="20"/>
          <w:szCs w:val="20"/>
        </w:rPr>
        <w:t xml:space="preserve"> </w:t>
      </w:r>
      <w:r>
        <w:rPr>
          <w:spacing w:val="-3"/>
          <w:sz w:val="20"/>
          <w:szCs w:val="20"/>
        </w:rPr>
        <w:t>应该涵盖工程建设的全过程。</w:t>
      </w:r>
    </w:p>
    <w:p w14:paraId="57F85B35">
      <w:pPr>
        <w:pStyle w:val="2"/>
        <w:spacing w:before="37" w:line="220" w:lineRule="auto"/>
        <w:ind w:left="790"/>
        <w:rPr>
          <w:sz w:val="20"/>
          <w:szCs w:val="20"/>
        </w:rPr>
      </w:pPr>
      <w:r>
        <w:rPr>
          <w:spacing w:val="3"/>
          <w:sz w:val="20"/>
          <w:szCs w:val="20"/>
        </w:rPr>
        <w:t>(2)对分项目、分系统的控制。</w:t>
      </w:r>
    </w:p>
    <w:p w14:paraId="3856C753">
      <w:pPr>
        <w:pStyle w:val="2"/>
        <w:spacing w:before="61" w:line="219" w:lineRule="auto"/>
        <w:ind w:right="29"/>
        <w:jc w:val="right"/>
        <w:rPr>
          <w:sz w:val="20"/>
          <w:szCs w:val="20"/>
        </w:rPr>
      </w:pPr>
      <w:r>
        <w:rPr>
          <w:sz w:val="20"/>
          <w:szCs w:val="20"/>
        </w:rPr>
        <w:t>信息系统工程由多个子项目组成，因此进度</w:t>
      </w:r>
      <w:r>
        <w:rPr>
          <w:spacing w:val="-1"/>
          <w:sz w:val="20"/>
          <w:szCs w:val="20"/>
        </w:rPr>
        <w:t>控制必须实现全方位的控制，既包括主要工程，</w:t>
      </w:r>
    </w:p>
    <w:p w14:paraId="628FECBA">
      <w:pPr>
        <w:spacing w:line="219" w:lineRule="auto"/>
        <w:rPr>
          <w:sz w:val="20"/>
          <w:szCs w:val="20"/>
        </w:rPr>
        <w:sectPr>
          <w:pgSz w:w="10300" w:h="13270"/>
          <w:pgMar w:top="400" w:right="939" w:bottom="400" w:left="560" w:header="0" w:footer="0" w:gutter="0"/>
          <w:cols w:space="720" w:num="1"/>
        </w:sectPr>
      </w:pPr>
    </w:p>
    <w:p w14:paraId="6F59827C">
      <w:pPr>
        <w:pStyle w:val="2"/>
        <w:spacing w:before="77" w:line="320" w:lineRule="exact"/>
        <w:jc w:val="right"/>
        <w:rPr>
          <w:rFonts w:ascii="Times New Roman" w:hAnsi="Times New Roman" w:eastAsia="Times New Roman" w:cs="Times New Roman"/>
          <w:sz w:val="19"/>
          <w:szCs w:val="19"/>
        </w:rPr>
      </w:pPr>
      <w:r>
        <w:rPr>
          <w:spacing w:val="3"/>
          <w:position w:val="5"/>
          <w:sz w:val="19"/>
          <w:szCs w:val="19"/>
        </w:rPr>
        <w:t>第11章</w:t>
      </w:r>
      <w:r>
        <w:rPr>
          <w:spacing w:val="43"/>
          <w:position w:val="5"/>
          <w:sz w:val="19"/>
          <w:szCs w:val="19"/>
        </w:rPr>
        <w:t xml:space="preserve"> </w:t>
      </w:r>
      <w:r>
        <w:rPr>
          <w:spacing w:val="3"/>
          <w:position w:val="5"/>
          <w:sz w:val="19"/>
          <w:szCs w:val="19"/>
        </w:rPr>
        <w:t>进度控制</w:t>
      </w:r>
      <w:r>
        <w:rPr>
          <w:spacing w:val="9"/>
          <w:position w:val="5"/>
          <w:sz w:val="19"/>
          <w:szCs w:val="19"/>
        </w:rPr>
        <w:t xml:space="preserve">   </w:t>
      </w:r>
      <w:r>
        <w:rPr>
          <w:color w:val="00A9E7"/>
          <w:spacing w:val="3"/>
          <w:position w:val="-1"/>
          <w:sz w:val="19"/>
          <w:szCs w:val="19"/>
        </w:rPr>
        <w:t>■</w:t>
      </w:r>
      <w:r>
        <w:rPr>
          <w:color w:val="00A9E7"/>
          <w:spacing w:val="34"/>
          <w:position w:val="-1"/>
          <w:sz w:val="19"/>
          <w:szCs w:val="19"/>
        </w:rPr>
        <w:t xml:space="preserve"> </w:t>
      </w:r>
      <w:r>
        <w:rPr>
          <w:rFonts w:ascii="Times New Roman" w:hAnsi="Times New Roman" w:eastAsia="Times New Roman" w:cs="Times New Roman"/>
          <w:spacing w:val="3"/>
          <w:position w:val="-1"/>
          <w:sz w:val="19"/>
          <w:szCs w:val="19"/>
        </w:rPr>
        <w:t>261</w:t>
      </w:r>
    </w:p>
    <w:p w14:paraId="42071386">
      <w:pPr>
        <w:pStyle w:val="2"/>
        <w:spacing w:before="270" w:line="297" w:lineRule="auto"/>
        <w:ind w:right="321"/>
        <w:rPr>
          <w:sz w:val="19"/>
          <w:szCs w:val="19"/>
        </w:rPr>
      </w:pPr>
      <w:r>
        <w:rPr>
          <w:spacing w:val="13"/>
          <w:sz w:val="19"/>
          <w:szCs w:val="19"/>
        </w:rPr>
        <w:t>也包括分部、分项工程，即对组成项目的各个子项目的进度</w:t>
      </w:r>
      <w:r>
        <w:rPr>
          <w:spacing w:val="12"/>
          <w:sz w:val="19"/>
          <w:szCs w:val="19"/>
        </w:rPr>
        <w:t>进行控制管理，包括综合布线、设</w:t>
      </w:r>
      <w:r>
        <w:rPr>
          <w:sz w:val="19"/>
          <w:szCs w:val="19"/>
        </w:rPr>
        <w:t xml:space="preserve"> </w:t>
      </w:r>
      <w:r>
        <w:rPr>
          <w:spacing w:val="6"/>
          <w:sz w:val="19"/>
          <w:szCs w:val="19"/>
        </w:rPr>
        <w:t>备采购、软件开发、硬件安装等。</w:t>
      </w:r>
    </w:p>
    <w:p w14:paraId="5370B188">
      <w:pPr>
        <w:pStyle w:val="2"/>
        <w:spacing w:before="124" w:line="222" w:lineRule="auto"/>
        <w:ind w:left="412"/>
        <w:rPr>
          <w:rFonts w:ascii="黑体" w:hAnsi="黑体" w:eastAsia="黑体" w:cs="黑体"/>
          <w:sz w:val="19"/>
          <w:szCs w:val="19"/>
        </w:rPr>
      </w:pPr>
      <w:r>
        <w:rPr>
          <w:b/>
          <w:bCs/>
          <w:color w:val="006DDB"/>
          <w:spacing w:val="7"/>
          <w:sz w:val="19"/>
          <w:szCs w:val="19"/>
        </w:rPr>
        <w:t>3.</w:t>
      </w:r>
      <w:r>
        <w:rPr>
          <w:rFonts w:ascii="黑体" w:hAnsi="黑体" w:eastAsia="黑体" w:cs="黑体"/>
          <w:b/>
          <w:bCs/>
          <w:color w:val="006DDB"/>
          <w:spacing w:val="7"/>
          <w:sz w:val="19"/>
          <w:szCs w:val="19"/>
        </w:rPr>
        <w:t>影响进度的因素</w:t>
      </w:r>
    </w:p>
    <w:p w14:paraId="728C190D">
      <w:pPr>
        <w:pStyle w:val="2"/>
        <w:spacing w:before="165" w:line="219" w:lineRule="auto"/>
        <w:ind w:left="410"/>
        <w:rPr>
          <w:sz w:val="19"/>
          <w:szCs w:val="19"/>
        </w:rPr>
      </w:pPr>
      <w:r>
        <w:rPr>
          <w:spacing w:val="7"/>
          <w:sz w:val="19"/>
          <w:szCs w:val="19"/>
        </w:rPr>
        <w:t>信息系统工程的进度受多方面因素的影响，主要包括：</w:t>
      </w:r>
    </w:p>
    <w:p w14:paraId="26B69E43">
      <w:pPr>
        <w:pStyle w:val="2"/>
        <w:spacing w:before="75" w:line="220" w:lineRule="auto"/>
        <w:ind w:left="410"/>
        <w:rPr>
          <w:sz w:val="19"/>
          <w:szCs w:val="19"/>
        </w:rPr>
      </w:pPr>
      <w:r>
        <w:rPr>
          <w:spacing w:val="12"/>
          <w:sz w:val="19"/>
          <w:szCs w:val="19"/>
        </w:rPr>
        <w:t>(1)工程质量的影响。</w:t>
      </w:r>
    </w:p>
    <w:p w14:paraId="2C35178C">
      <w:pPr>
        <w:pStyle w:val="2"/>
        <w:spacing w:before="102" w:line="288" w:lineRule="auto"/>
        <w:ind w:right="296" w:firstLine="410"/>
        <w:rPr>
          <w:sz w:val="19"/>
          <w:szCs w:val="19"/>
        </w:rPr>
      </w:pPr>
      <w:r>
        <w:rPr>
          <w:spacing w:val="13"/>
          <w:sz w:val="19"/>
          <w:szCs w:val="19"/>
        </w:rPr>
        <w:t>质量与进度存在相互制约的关系。可以说，工程质量是进度的最大影响因素。质量指标的</w:t>
      </w:r>
      <w:r>
        <w:rPr>
          <w:spacing w:val="6"/>
          <w:sz w:val="19"/>
          <w:szCs w:val="19"/>
        </w:rPr>
        <w:t xml:space="preserve"> </w:t>
      </w:r>
      <w:r>
        <w:rPr>
          <w:spacing w:val="9"/>
          <w:sz w:val="19"/>
          <w:szCs w:val="19"/>
        </w:rPr>
        <w:t>不明确、质量的变更、不切实际的质量目标，都将对项目进度产生重大影</w:t>
      </w:r>
      <w:r>
        <w:rPr>
          <w:spacing w:val="8"/>
          <w:sz w:val="19"/>
          <w:szCs w:val="19"/>
        </w:rPr>
        <w:t>响。</w:t>
      </w:r>
    </w:p>
    <w:p w14:paraId="45FACB7E">
      <w:pPr>
        <w:pStyle w:val="2"/>
        <w:spacing w:before="29" w:line="221" w:lineRule="auto"/>
        <w:ind w:left="410"/>
        <w:rPr>
          <w:sz w:val="19"/>
          <w:szCs w:val="19"/>
        </w:rPr>
      </w:pPr>
      <w:r>
        <w:rPr>
          <w:spacing w:val="12"/>
          <w:sz w:val="19"/>
          <w:szCs w:val="19"/>
        </w:rPr>
        <w:t>(2)设计变更的影响。</w:t>
      </w:r>
    </w:p>
    <w:p w14:paraId="65C83084">
      <w:pPr>
        <w:pStyle w:val="2"/>
        <w:spacing w:before="83" w:line="301" w:lineRule="auto"/>
        <w:ind w:right="266" w:firstLine="410"/>
        <w:rPr>
          <w:sz w:val="19"/>
          <w:szCs w:val="19"/>
        </w:rPr>
      </w:pPr>
      <w:r>
        <w:rPr>
          <w:spacing w:val="13"/>
          <w:sz w:val="19"/>
          <w:szCs w:val="19"/>
        </w:rPr>
        <w:t>工程建设过程中，设计变更是难免的，可能是因为原设计有问题，也可能是业</w:t>
      </w:r>
      <w:r>
        <w:rPr>
          <w:spacing w:val="12"/>
          <w:sz w:val="19"/>
          <w:szCs w:val="19"/>
        </w:rPr>
        <w:t>主单位提出</w:t>
      </w:r>
      <w:r>
        <w:rPr>
          <w:sz w:val="19"/>
          <w:szCs w:val="19"/>
        </w:rPr>
        <w:t xml:space="preserve"> </w:t>
      </w:r>
      <w:r>
        <w:rPr>
          <w:spacing w:val="13"/>
          <w:sz w:val="19"/>
          <w:szCs w:val="19"/>
        </w:rPr>
        <w:t>了新的要求，设计的变更通常会引发质量、投资的变化，增加工</w:t>
      </w:r>
      <w:r>
        <w:rPr>
          <w:spacing w:val="12"/>
          <w:sz w:val="19"/>
          <w:szCs w:val="19"/>
        </w:rPr>
        <w:t>程建设的难度，从而影响进度</w:t>
      </w:r>
      <w:r>
        <w:rPr>
          <w:sz w:val="19"/>
          <w:szCs w:val="19"/>
        </w:rPr>
        <w:t xml:space="preserve"> </w:t>
      </w:r>
      <w:r>
        <w:rPr>
          <w:spacing w:val="9"/>
          <w:sz w:val="19"/>
          <w:szCs w:val="19"/>
        </w:rPr>
        <w:t>计划。监理工程师应加强设计变更对进度、质量、成本的风险管理，控制变更并杜绝随意变更。</w:t>
      </w:r>
    </w:p>
    <w:p w14:paraId="146227D1">
      <w:pPr>
        <w:pStyle w:val="2"/>
        <w:spacing w:before="30" w:line="220" w:lineRule="auto"/>
        <w:ind w:left="410"/>
        <w:rPr>
          <w:sz w:val="19"/>
          <w:szCs w:val="19"/>
        </w:rPr>
      </w:pPr>
      <w:r>
        <w:rPr>
          <w:spacing w:val="12"/>
          <w:sz w:val="19"/>
          <w:szCs w:val="19"/>
        </w:rPr>
        <w:t>(3)资源投入的影响。</w:t>
      </w:r>
    </w:p>
    <w:p w14:paraId="268E94C5">
      <w:pPr>
        <w:pStyle w:val="2"/>
        <w:spacing w:before="92" w:line="219" w:lineRule="auto"/>
        <w:ind w:left="410"/>
        <w:rPr>
          <w:sz w:val="19"/>
          <w:szCs w:val="19"/>
        </w:rPr>
      </w:pPr>
      <w:r>
        <w:rPr>
          <w:spacing w:val="9"/>
          <w:sz w:val="19"/>
          <w:szCs w:val="19"/>
        </w:rPr>
        <w:t>人力、部件和设备不能按时、按质、按量供应，也会</w:t>
      </w:r>
      <w:r>
        <w:rPr>
          <w:spacing w:val="8"/>
          <w:sz w:val="19"/>
          <w:szCs w:val="19"/>
        </w:rPr>
        <w:t>影响信息系统工程的进度。</w:t>
      </w:r>
    </w:p>
    <w:p w14:paraId="79198CCA">
      <w:pPr>
        <w:pStyle w:val="2"/>
        <w:spacing w:before="86" w:line="221" w:lineRule="auto"/>
        <w:ind w:left="410"/>
        <w:rPr>
          <w:sz w:val="19"/>
          <w:szCs w:val="19"/>
        </w:rPr>
      </w:pPr>
      <w:r>
        <w:rPr>
          <w:spacing w:val="14"/>
          <w:sz w:val="19"/>
          <w:szCs w:val="19"/>
        </w:rPr>
        <w:t>(4)资金的影响。</w:t>
      </w:r>
    </w:p>
    <w:p w14:paraId="37685E38">
      <w:pPr>
        <w:pStyle w:val="2"/>
        <w:spacing w:before="81" w:line="296" w:lineRule="auto"/>
        <w:ind w:right="302" w:firstLine="410"/>
        <w:rPr>
          <w:sz w:val="19"/>
          <w:szCs w:val="19"/>
        </w:rPr>
      </w:pPr>
      <w:r>
        <w:rPr>
          <w:spacing w:val="12"/>
          <w:sz w:val="19"/>
          <w:szCs w:val="19"/>
        </w:rPr>
        <w:t>对承建单位来说，资金的影响主要来自业主单位。不能及时给足预付款，拖欠阶段性工程</w:t>
      </w:r>
      <w:r>
        <w:rPr>
          <w:spacing w:val="17"/>
          <w:sz w:val="19"/>
          <w:szCs w:val="19"/>
        </w:rPr>
        <w:t xml:space="preserve"> </w:t>
      </w:r>
      <w:r>
        <w:rPr>
          <w:spacing w:val="13"/>
          <w:sz w:val="19"/>
          <w:szCs w:val="19"/>
        </w:rPr>
        <w:t>款，都会影响承建单位资金的周转，进而殃及进度。解决的办法包括：①进度计划安排与资金</w:t>
      </w:r>
      <w:r>
        <w:rPr>
          <w:spacing w:val="4"/>
          <w:sz w:val="19"/>
          <w:szCs w:val="19"/>
        </w:rPr>
        <w:t xml:space="preserve"> </w:t>
      </w:r>
      <w:r>
        <w:rPr>
          <w:spacing w:val="13"/>
          <w:sz w:val="19"/>
          <w:szCs w:val="19"/>
        </w:rPr>
        <w:t>供应状况进行平衡；②想办法及时收取工程进度款；③</w:t>
      </w:r>
      <w:r>
        <w:rPr>
          <w:spacing w:val="12"/>
          <w:sz w:val="19"/>
          <w:szCs w:val="19"/>
        </w:rPr>
        <w:t>对占用资金的各要素进行计划管理。进</w:t>
      </w:r>
      <w:r>
        <w:rPr>
          <w:sz w:val="19"/>
          <w:szCs w:val="19"/>
        </w:rPr>
        <w:t xml:space="preserve"> </w:t>
      </w:r>
      <w:r>
        <w:rPr>
          <w:spacing w:val="13"/>
          <w:sz w:val="19"/>
          <w:szCs w:val="19"/>
        </w:rPr>
        <w:t>度目标的确定要根据业主单位资金提供能力及资金到位情况确定</w:t>
      </w:r>
      <w:r>
        <w:rPr>
          <w:spacing w:val="12"/>
          <w:sz w:val="19"/>
          <w:szCs w:val="19"/>
        </w:rPr>
        <w:t>，以免因资金供应不足而拖延</w:t>
      </w:r>
      <w:r>
        <w:rPr>
          <w:sz w:val="19"/>
          <w:szCs w:val="19"/>
        </w:rPr>
        <w:t xml:space="preserve"> </w:t>
      </w:r>
      <w:r>
        <w:rPr>
          <w:spacing w:val="6"/>
          <w:sz w:val="19"/>
          <w:szCs w:val="19"/>
        </w:rPr>
        <w:t>进度，发生工期延误索赔。</w:t>
      </w:r>
    </w:p>
    <w:p w14:paraId="6E5AD0CB">
      <w:pPr>
        <w:pStyle w:val="2"/>
        <w:spacing w:before="48" w:line="220" w:lineRule="auto"/>
        <w:ind w:left="410"/>
        <w:rPr>
          <w:sz w:val="19"/>
          <w:szCs w:val="19"/>
        </w:rPr>
      </w:pPr>
      <w:r>
        <w:rPr>
          <w:spacing w:val="12"/>
          <w:sz w:val="19"/>
          <w:szCs w:val="19"/>
        </w:rPr>
        <w:t>(5)相关单位的影响。</w:t>
      </w:r>
    </w:p>
    <w:p w14:paraId="471CC44C">
      <w:pPr>
        <w:pStyle w:val="2"/>
        <w:spacing w:before="72" w:line="293" w:lineRule="auto"/>
        <w:ind w:right="323" w:firstLine="410"/>
        <w:rPr>
          <w:sz w:val="19"/>
          <w:szCs w:val="19"/>
        </w:rPr>
      </w:pPr>
      <w:r>
        <w:rPr>
          <w:spacing w:val="12"/>
          <w:sz w:val="19"/>
          <w:szCs w:val="19"/>
        </w:rPr>
        <w:t>与项目进度有关的单位，包括项目业主单位、设计单位、承建单位、设备供应单位、监理</w:t>
      </w:r>
      <w:r>
        <w:rPr>
          <w:spacing w:val="17"/>
          <w:sz w:val="19"/>
          <w:szCs w:val="19"/>
        </w:rPr>
        <w:t xml:space="preserve"> </w:t>
      </w:r>
      <w:r>
        <w:rPr>
          <w:spacing w:val="13"/>
          <w:sz w:val="19"/>
          <w:szCs w:val="19"/>
        </w:rPr>
        <w:t>单位、监督管理信息系统工程建设的政府部门等。这些</w:t>
      </w:r>
      <w:r>
        <w:rPr>
          <w:spacing w:val="12"/>
          <w:sz w:val="19"/>
          <w:szCs w:val="19"/>
        </w:rPr>
        <w:t>单位之间的协同配合都可能对项目的进</w:t>
      </w:r>
      <w:r>
        <w:rPr>
          <w:sz w:val="19"/>
          <w:szCs w:val="19"/>
        </w:rPr>
        <w:t xml:space="preserve"> </w:t>
      </w:r>
      <w:r>
        <w:rPr>
          <w:spacing w:val="6"/>
          <w:sz w:val="19"/>
          <w:szCs w:val="19"/>
        </w:rPr>
        <w:t>度带来直接和间接的影响。</w:t>
      </w:r>
    </w:p>
    <w:p w14:paraId="7736DE87">
      <w:pPr>
        <w:pStyle w:val="2"/>
        <w:spacing w:before="37" w:line="219" w:lineRule="auto"/>
        <w:ind w:left="410"/>
        <w:rPr>
          <w:sz w:val="19"/>
          <w:szCs w:val="19"/>
        </w:rPr>
      </w:pPr>
      <w:r>
        <w:rPr>
          <w:spacing w:val="11"/>
          <w:sz w:val="19"/>
          <w:szCs w:val="19"/>
        </w:rPr>
        <w:t>(6)可见的或不可见的各种风险因素的影响。</w:t>
      </w:r>
    </w:p>
    <w:p w14:paraId="13C2B8D8">
      <w:pPr>
        <w:pStyle w:val="2"/>
        <w:spacing w:before="96" w:line="284" w:lineRule="auto"/>
        <w:ind w:right="303" w:firstLine="410"/>
        <w:rPr>
          <w:sz w:val="19"/>
          <w:szCs w:val="19"/>
        </w:rPr>
      </w:pPr>
      <w:r>
        <w:rPr>
          <w:spacing w:val="3"/>
          <w:sz w:val="19"/>
          <w:szCs w:val="19"/>
        </w:rPr>
        <w:t>风险因素包括：政治上的，例如劳资纠纷、拒付债务、制裁等；经济上的，例如延迟付款、通 货膨胀、分包商违约等；技术上的，例如软件开发过程或软件系统、硬件设备的调试、配置过程遭</w:t>
      </w:r>
      <w:r>
        <w:rPr>
          <w:spacing w:val="7"/>
          <w:sz w:val="19"/>
          <w:szCs w:val="19"/>
        </w:rPr>
        <w:t xml:space="preserve"> </w:t>
      </w:r>
      <w:r>
        <w:rPr>
          <w:spacing w:val="8"/>
          <w:sz w:val="19"/>
          <w:szCs w:val="19"/>
        </w:rPr>
        <w:t>遇技术难题、测试或试验失败、标准变化等。监理单位要加强风险管理，对发生的</w:t>
      </w:r>
      <w:r>
        <w:rPr>
          <w:spacing w:val="7"/>
          <w:sz w:val="19"/>
          <w:szCs w:val="19"/>
        </w:rPr>
        <w:t>风险事件给予</w:t>
      </w:r>
      <w:r>
        <w:rPr>
          <w:sz w:val="19"/>
          <w:szCs w:val="19"/>
        </w:rPr>
        <w:t xml:space="preserve"> </w:t>
      </w:r>
      <w:r>
        <w:rPr>
          <w:spacing w:val="5"/>
          <w:sz w:val="19"/>
          <w:szCs w:val="19"/>
        </w:rPr>
        <w:t>恰当处理，及时采取相应措施控制风险、减少风险损失，减缓其他可能对进度产生影响的风险。</w:t>
      </w:r>
    </w:p>
    <w:p w14:paraId="08A1B405">
      <w:pPr>
        <w:pStyle w:val="2"/>
        <w:spacing w:before="49" w:line="219" w:lineRule="auto"/>
        <w:ind w:left="410"/>
        <w:rPr>
          <w:sz w:val="19"/>
          <w:szCs w:val="19"/>
        </w:rPr>
      </w:pPr>
      <w:r>
        <w:rPr>
          <w:spacing w:val="12"/>
          <w:sz w:val="19"/>
          <w:szCs w:val="19"/>
        </w:rPr>
        <w:t>(7)承建单位管理水平的影响。</w:t>
      </w:r>
    </w:p>
    <w:p w14:paraId="711C5C33">
      <w:pPr>
        <w:pStyle w:val="2"/>
        <w:spacing w:before="73" w:line="293" w:lineRule="auto"/>
        <w:ind w:right="322" w:firstLine="410"/>
        <w:rPr>
          <w:sz w:val="19"/>
          <w:szCs w:val="19"/>
        </w:rPr>
      </w:pPr>
      <w:r>
        <w:rPr>
          <w:spacing w:val="12"/>
          <w:sz w:val="19"/>
          <w:szCs w:val="19"/>
        </w:rPr>
        <w:t>实施现场的情况千变万化，若承建单位的实施方案不恰当、计划不周详、管理不完善、解</w:t>
      </w:r>
      <w:r>
        <w:rPr>
          <w:spacing w:val="17"/>
          <w:sz w:val="19"/>
          <w:szCs w:val="19"/>
        </w:rPr>
        <w:t xml:space="preserve"> </w:t>
      </w:r>
      <w:r>
        <w:rPr>
          <w:spacing w:val="13"/>
          <w:sz w:val="19"/>
          <w:szCs w:val="19"/>
        </w:rPr>
        <w:t>决问题不及时等，都会影响项目的实施进度。应及时总结</w:t>
      </w:r>
      <w:r>
        <w:rPr>
          <w:spacing w:val="12"/>
          <w:sz w:val="19"/>
          <w:szCs w:val="19"/>
        </w:rPr>
        <w:t>分析教训，及时改进，并接受监理各</w:t>
      </w:r>
      <w:r>
        <w:rPr>
          <w:sz w:val="19"/>
          <w:szCs w:val="19"/>
        </w:rPr>
        <w:t xml:space="preserve"> </w:t>
      </w:r>
      <w:r>
        <w:rPr>
          <w:spacing w:val="2"/>
          <w:sz w:val="19"/>
          <w:szCs w:val="19"/>
        </w:rPr>
        <w:t>项改进建议。</w:t>
      </w:r>
    </w:p>
    <w:p w14:paraId="22FFB834">
      <w:pPr>
        <w:spacing w:line="249" w:lineRule="auto"/>
        <w:rPr>
          <w:rFonts w:ascii="Arial"/>
          <w:sz w:val="21"/>
        </w:rPr>
      </w:pPr>
    </w:p>
    <w:p w14:paraId="044D1A6D">
      <w:pPr>
        <w:pStyle w:val="2"/>
        <w:spacing w:before="95" w:line="222" w:lineRule="auto"/>
        <w:ind w:left="3"/>
        <w:rPr>
          <w:rFonts w:ascii="黑体" w:hAnsi="黑体" w:eastAsia="黑体" w:cs="黑体"/>
          <w:sz w:val="29"/>
          <w:szCs w:val="29"/>
        </w:rPr>
      </w:pPr>
      <w:r>
        <w:rPr>
          <w:b/>
          <w:bCs/>
          <w:color w:val="0059E0"/>
          <w:spacing w:val="-11"/>
          <w:sz w:val="29"/>
          <w:szCs w:val="29"/>
        </w:rPr>
        <w:t>11.3</w:t>
      </w:r>
      <w:r>
        <w:rPr>
          <w:color w:val="0059E0"/>
          <w:spacing w:val="-11"/>
          <w:sz w:val="29"/>
          <w:szCs w:val="29"/>
        </w:rPr>
        <w:t xml:space="preserve">  </w:t>
      </w:r>
      <w:r>
        <w:rPr>
          <w:rFonts w:ascii="黑体" w:hAnsi="黑体" w:eastAsia="黑体" w:cs="黑体"/>
          <w:b/>
          <w:bCs/>
          <w:color w:val="0059E0"/>
          <w:spacing w:val="-11"/>
          <w:sz w:val="29"/>
          <w:szCs w:val="29"/>
        </w:rPr>
        <w:t>进度控制技术</w:t>
      </w:r>
    </w:p>
    <w:p w14:paraId="3871991F">
      <w:pPr>
        <w:pStyle w:val="2"/>
        <w:spacing w:before="263" w:line="219" w:lineRule="auto"/>
        <w:ind w:left="410"/>
        <w:rPr>
          <w:sz w:val="19"/>
          <w:szCs w:val="19"/>
        </w:rPr>
      </w:pPr>
      <w:r>
        <w:rPr>
          <w:spacing w:val="13"/>
          <w:sz w:val="19"/>
          <w:szCs w:val="19"/>
        </w:rPr>
        <w:t>为了有效控制进度，监理工程师应随时掌握项目的实际进</w:t>
      </w:r>
      <w:r>
        <w:rPr>
          <w:spacing w:val="12"/>
          <w:sz w:val="19"/>
          <w:szCs w:val="19"/>
        </w:rPr>
        <w:t>度情况，及时发现计划与实际的</w:t>
      </w:r>
    </w:p>
    <w:p w14:paraId="52B23701">
      <w:pPr>
        <w:spacing w:line="219" w:lineRule="auto"/>
        <w:rPr>
          <w:sz w:val="19"/>
          <w:szCs w:val="19"/>
        </w:rPr>
        <w:sectPr>
          <w:pgSz w:w="10290" w:h="13310"/>
          <w:pgMar w:top="400" w:right="548" w:bottom="400" w:left="1109" w:header="0" w:footer="0" w:gutter="0"/>
          <w:cols w:space="720" w:num="1"/>
        </w:sectPr>
      </w:pPr>
    </w:p>
    <w:p w14:paraId="2E606A60">
      <w:pPr>
        <w:pStyle w:val="2"/>
        <w:spacing w:before="77" w:line="219" w:lineRule="auto"/>
        <w:rPr>
          <w:sz w:val="19"/>
          <w:szCs w:val="19"/>
        </w:rPr>
      </w:pPr>
      <w:r>
        <w:rPr>
          <w:rFonts w:ascii="Times New Roman" w:hAnsi="Times New Roman" w:eastAsia="Times New Roman" w:cs="Times New Roman"/>
          <w:spacing w:val="4"/>
          <w:position w:val="-3"/>
          <w:sz w:val="19"/>
          <w:szCs w:val="19"/>
        </w:rPr>
        <w:t xml:space="preserve">262              </w:t>
      </w:r>
      <w:r>
        <w:rPr>
          <w:spacing w:val="4"/>
          <w:sz w:val="19"/>
          <w:szCs w:val="19"/>
        </w:rPr>
        <w:t>信息系统监理师教程(第2版)</w:t>
      </w:r>
    </w:p>
    <w:p w14:paraId="1A495BED">
      <w:pPr>
        <w:spacing w:line="304" w:lineRule="auto"/>
        <w:rPr>
          <w:rFonts w:ascii="Arial"/>
          <w:sz w:val="21"/>
        </w:rPr>
      </w:pPr>
    </w:p>
    <w:p w14:paraId="38D7872D">
      <w:pPr>
        <w:pStyle w:val="2"/>
        <w:spacing w:before="62" w:line="303" w:lineRule="auto"/>
        <w:ind w:left="369" w:right="4"/>
        <w:jc w:val="both"/>
        <w:rPr>
          <w:sz w:val="19"/>
          <w:szCs w:val="19"/>
        </w:rPr>
      </w:pPr>
      <w:r>
        <w:rPr>
          <w:spacing w:val="14"/>
          <w:sz w:val="19"/>
          <w:szCs w:val="19"/>
        </w:rPr>
        <w:t>偏差，谋求修正和补偿的措施。可以采用多种技术实施进度控制，本节介绍</w:t>
      </w:r>
      <w:r>
        <w:rPr>
          <w:spacing w:val="13"/>
          <w:sz w:val="19"/>
          <w:szCs w:val="19"/>
        </w:rPr>
        <w:t>甘特图、网络图计</w:t>
      </w:r>
      <w:r>
        <w:rPr>
          <w:sz w:val="19"/>
          <w:szCs w:val="19"/>
        </w:rPr>
        <w:t xml:space="preserve"> </w:t>
      </w:r>
      <w:r>
        <w:rPr>
          <w:spacing w:val="14"/>
          <w:sz w:val="19"/>
          <w:szCs w:val="19"/>
        </w:rPr>
        <w:t>划法和“香蕉”曲线图法。使用这些技术手段进行进度控制时，必须与具体项目紧</w:t>
      </w:r>
      <w:r>
        <w:rPr>
          <w:spacing w:val="13"/>
          <w:sz w:val="19"/>
          <w:szCs w:val="19"/>
        </w:rPr>
        <w:t>密结合，灵</w:t>
      </w:r>
      <w:r>
        <w:rPr>
          <w:sz w:val="19"/>
          <w:szCs w:val="19"/>
        </w:rPr>
        <w:t xml:space="preserve"> </w:t>
      </w:r>
      <w:r>
        <w:rPr>
          <w:spacing w:val="8"/>
          <w:sz w:val="19"/>
          <w:szCs w:val="19"/>
        </w:rPr>
        <w:t>活运用。</w:t>
      </w:r>
    </w:p>
    <w:p w14:paraId="15508C6F">
      <w:pPr>
        <w:pStyle w:val="2"/>
        <w:spacing w:before="204" w:line="220" w:lineRule="auto"/>
        <w:ind w:left="372"/>
        <w:rPr>
          <w:sz w:val="24"/>
          <w:szCs w:val="24"/>
        </w:rPr>
      </w:pPr>
      <w:bookmarkStart w:id="627" w:name="bookmark612"/>
      <w:bookmarkEnd w:id="627"/>
      <w:r>
        <w:rPr>
          <w:b/>
          <w:bCs/>
          <w:color w:val="0073D8"/>
          <w:spacing w:val="-11"/>
          <w:sz w:val="24"/>
          <w:szCs w:val="24"/>
        </w:rPr>
        <w:t>11.3.1</w:t>
      </w:r>
      <w:r>
        <w:rPr>
          <w:color w:val="0073D8"/>
          <w:spacing w:val="-11"/>
          <w:sz w:val="24"/>
          <w:szCs w:val="24"/>
        </w:rPr>
        <w:t xml:space="preserve">  </w:t>
      </w:r>
      <w:r>
        <w:rPr>
          <w:b/>
          <w:bCs/>
          <w:color w:val="0073D8"/>
          <w:spacing w:val="-11"/>
          <w:sz w:val="24"/>
          <w:szCs w:val="24"/>
        </w:rPr>
        <w:t>图表控制法</w:t>
      </w:r>
    </w:p>
    <w:p w14:paraId="61CC6F01">
      <w:pPr>
        <w:pStyle w:val="2"/>
        <w:spacing w:before="174" w:line="219" w:lineRule="auto"/>
        <w:ind w:left="790"/>
        <w:rPr>
          <w:sz w:val="19"/>
          <w:szCs w:val="19"/>
        </w:rPr>
      </w:pPr>
      <w:r>
        <w:rPr>
          <w:spacing w:val="14"/>
          <w:sz w:val="19"/>
          <w:szCs w:val="19"/>
        </w:rPr>
        <w:t>进度控制的线性图表通常包括横道式进度图表(也称甘特图)和进度曲线图。</w:t>
      </w:r>
    </w:p>
    <w:p w14:paraId="43A7A49E">
      <w:pPr>
        <w:pStyle w:val="2"/>
        <w:spacing w:before="190" w:line="222" w:lineRule="auto"/>
        <w:ind w:left="792"/>
        <w:rPr>
          <w:rFonts w:ascii="黑体" w:hAnsi="黑体" w:eastAsia="黑体" w:cs="黑体"/>
          <w:sz w:val="19"/>
          <w:szCs w:val="19"/>
        </w:rPr>
      </w:pPr>
      <w:r>
        <w:rPr>
          <w:b/>
          <w:bCs/>
          <w:color w:val="2073BC"/>
          <w:spacing w:val="12"/>
          <w:sz w:val="19"/>
          <w:szCs w:val="19"/>
        </w:rPr>
        <w:t>1.</w:t>
      </w:r>
      <w:r>
        <w:rPr>
          <w:rFonts w:ascii="黑体" w:hAnsi="黑体" w:eastAsia="黑体" w:cs="黑体"/>
          <w:b/>
          <w:bCs/>
          <w:color w:val="2073BC"/>
          <w:spacing w:val="12"/>
          <w:sz w:val="19"/>
          <w:szCs w:val="19"/>
        </w:rPr>
        <w:t>甘特图</w:t>
      </w:r>
    </w:p>
    <w:p w14:paraId="4B44B904">
      <w:pPr>
        <w:pStyle w:val="2"/>
        <w:spacing w:before="147" w:line="304" w:lineRule="auto"/>
        <w:ind w:left="369" w:right="26" w:firstLine="420"/>
        <w:jc w:val="both"/>
        <w:rPr>
          <w:sz w:val="19"/>
          <w:szCs w:val="19"/>
        </w:rPr>
      </w:pPr>
      <w:r>
        <w:rPr>
          <w:spacing w:val="17"/>
          <w:sz w:val="19"/>
          <w:szCs w:val="19"/>
        </w:rPr>
        <w:t>甘特图是一种比较简单的直观进度控制图，如图11-1所示。深色表示计划进度，浅色表</w:t>
      </w:r>
      <w:r>
        <w:rPr>
          <w:spacing w:val="18"/>
          <w:sz w:val="19"/>
          <w:szCs w:val="19"/>
        </w:rPr>
        <w:t xml:space="preserve"> </w:t>
      </w:r>
      <w:r>
        <w:rPr>
          <w:spacing w:val="13"/>
          <w:sz w:val="19"/>
          <w:szCs w:val="19"/>
        </w:rPr>
        <w:t>示实际进度。当类似的实施进度表编制完成后，就可以此为基础确定进度要求，编制满</w:t>
      </w:r>
      <w:r>
        <w:rPr>
          <w:spacing w:val="12"/>
          <w:sz w:val="19"/>
          <w:szCs w:val="19"/>
        </w:rPr>
        <w:t>足进度</w:t>
      </w:r>
      <w:r>
        <w:rPr>
          <w:sz w:val="19"/>
          <w:szCs w:val="19"/>
        </w:rPr>
        <w:t xml:space="preserve"> </w:t>
      </w:r>
      <w:r>
        <w:rPr>
          <w:spacing w:val="13"/>
          <w:sz w:val="19"/>
          <w:szCs w:val="19"/>
        </w:rPr>
        <w:t>计划所需的其他计划表，例如，适应进度要求的设备采购计划表、人力资源计划表、资金计划</w:t>
      </w:r>
      <w:r>
        <w:rPr>
          <w:sz w:val="19"/>
          <w:szCs w:val="19"/>
        </w:rPr>
        <w:t xml:space="preserve"> </w:t>
      </w:r>
      <w:r>
        <w:rPr>
          <w:spacing w:val="1"/>
          <w:sz w:val="19"/>
          <w:szCs w:val="19"/>
        </w:rPr>
        <w:t>表等。</w:t>
      </w:r>
    </w:p>
    <w:p w14:paraId="1D45A606">
      <w:pPr>
        <w:spacing w:before="120" w:line="3150" w:lineRule="exact"/>
        <w:ind w:firstLine="320"/>
      </w:pPr>
      <w:r>
        <w:rPr>
          <w:position w:val="-63"/>
        </w:rPr>
        <w:pict>
          <v:group id="_x0000_s1424" o:spid="_x0000_s1424" o:spt="203" style="height:157.55pt;width:420.5pt;" coordsize="8410,3151">
            <o:lock v:ext="edit"/>
            <v:shape id="_x0000_s1425" o:spid="_x0000_s1425" o:spt="75" type="#_x0000_t75" style="position:absolute;left:0;top:0;height:3151;width:8410;" filled="f" stroked="f" coordsize="21600,21600">
              <v:path/>
              <v:fill on="f" focussize="0,0"/>
              <v:stroke on="f"/>
              <v:imagedata r:id="rId170" o:title=""/>
              <o:lock v:ext="edit" aspectratio="t"/>
            </v:shape>
            <v:shape id="_x0000_s1426" o:spid="_x0000_s1426" o:spt="202" type="#_x0000_t202" style="position:absolute;left:-20;top:-20;height:3191;width:8450;" filled="f" stroked="f" coordsize="21600,21600">
              <v:path/>
              <v:fill on="f" focussize="0,0"/>
              <v:stroke on="f"/>
              <v:imagedata o:title=""/>
              <o:lock v:ext="edit" aspectratio="f"/>
              <v:textbox inset="0mm,0mm,0mm,0mm">
                <w:txbxContent>
                  <w:p w14:paraId="0C20835D">
                    <w:pPr>
                      <w:spacing w:line="20" w:lineRule="exact"/>
                    </w:pPr>
                  </w:p>
                  <w:tbl>
                    <w:tblPr>
                      <w:tblStyle w:val="5"/>
                      <w:tblW w:w="840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8"/>
                      <w:gridCol w:w="578"/>
                      <w:gridCol w:w="374"/>
                      <w:gridCol w:w="614"/>
                      <w:gridCol w:w="6485"/>
                    </w:tblGrid>
                    <w:tr w14:paraId="25E751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1" w:hRule="atLeast"/>
                      </w:trPr>
                      <w:tc>
                        <w:tcPr>
                          <w:tcW w:w="936" w:type="dxa"/>
                          <w:gridSpan w:val="2"/>
                          <w:vAlign w:val="top"/>
                        </w:tcPr>
                        <w:p w14:paraId="3C4B368B">
                          <w:pPr>
                            <w:spacing w:line="295" w:lineRule="auto"/>
                            <w:rPr>
                              <w:rFonts w:ascii="Arial"/>
                              <w:sz w:val="21"/>
                            </w:rPr>
                          </w:pPr>
                        </w:p>
                        <w:p w14:paraId="19E77860">
                          <w:pPr>
                            <w:spacing w:line="296" w:lineRule="auto"/>
                            <w:rPr>
                              <w:rFonts w:ascii="Arial"/>
                              <w:sz w:val="21"/>
                            </w:rPr>
                          </w:pPr>
                        </w:p>
                        <w:p w14:paraId="7DE3A1C8">
                          <w:pPr>
                            <w:spacing w:before="39" w:line="223" w:lineRule="auto"/>
                            <w:ind w:left="119"/>
                            <w:rPr>
                              <w:rFonts w:ascii="黑体" w:hAnsi="黑体" w:eastAsia="黑体" w:cs="黑体"/>
                              <w:sz w:val="12"/>
                              <w:szCs w:val="12"/>
                            </w:rPr>
                          </w:pPr>
                          <w:r>
                            <w:rPr>
                              <w:rFonts w:ascii="黑体" w:hAnsi="黑体" w:eastAsia="黑体" w:cs="黑体"/>
                              <w:color w:val="4ABCED"/>
                              <w:spacing w:val="-1"/>
                              <w:sz w:val="12"/>
                              <w:szCs w:val="12"/>
                            </w:rPr>
                            <w:t>序</w:t>
                          </w:r>
                          <w:r>
                            <w:rPr>
                              <w:rFonts w:ascii="黑体" w:hAnsi="黑体" w:eastAsia="黑体" w:cs="黑体"/>
                              <w:color w:val="4ABCED"/>
                              <w:spacing w:val="-20"/>
                              <w:sz w:val="12"/>
                              <w:szCs w:val="12"/>
                            </w:rPr>
                            <w:t xml:space="preserve"> </w:t>
                          </w:r>
                          <w:r>
                            <w:rPr>
                              <w:rFonts w:ascii="黑体" w:hAnsi="黑体" w:eastAsia="黑体" w:cs="黑体"/>
                              <w:color w:val="4ABCED"/>
                              <w:spacing w:val="-1"/>
                              <w:sz w:val="12"/>
                              <w:szCs w:val="12"/>
                            </w:rPr>
                            <w:t>号</w:t>
                          </w:r>
                          <w:r>
                            <w:rPr>
                              <w:rFonts w:ascii="黑体" w:hAnsi="黑体" w:eastAsia="黑体" w:cs="黑体"/>
                              <w:color w:val="1081C2"/>
                              <w:spacing w:val="-1"/>
                              <w:sz w:val="12"/>
                              <w:szCs w:val="12"/>
                            </w:rPr>
                            <w:t>任务名称</w:t>
                          </w:r>
                        </w:p>
                      </w:tc>
                      <w:tc>
                        <w:tcPr>
                          <w:tcW w:w="374" w:type="dxa"/>
                          <w:vAlign w:val="top"/>
                        </w:tcPr>
                        <w:p w14:paraId="65048531">
                          <w:pPr>
                            <w:spacing w:line="285" w:lineRule="auto"/>
                            <w:rPr>
                              <w:rFonts w:ascii="Arial"/>
                              <w:sz w:val="21"/>
                            </w:rPr>
                          </w:pPr>
                        </w:p>
                        <w:p w14:paraId="120CBC41">
                          <w:pPr>
                            <w:spacing w:line="286" w:lineRule="auto"/>
                            <w:rPr>
                              <w:rFonts w:ascii="Arial"/>
                              <w:sz w:val="21"/>
                            </w:rPr>
                          </w:pPr>
                        </w:p>
                        <w:p w14:paraId="694A7A02">
                          <w:pPr>
                            <w:spacing w:before="39" w:line="221" w:lineRule="auto"/>
                            <w:ind w:left="64"/>
                            <w:rPr>
                              <w:rFonts w:ascii="黑体" w:hAnsi="黑体" w:eastAsia="黑体" w:cs="黑体"/>
                              <w:sz w:val="12"/>
                              <w:szCs w:val="12"/>
                            </w:rPr>
                          </w:pPr>
                          <w:r>
                            <w:rPr>
                              <w:rFonts w:ascii="黑体" w:hAnsi="黑体" w:eastAsia="黑体" w:cs="黑体"/>
                              <w:color w:val="3BB3F9"/>
                              <w:spacing w:val="-3"/>
                              <w:sz w:val="12"/>
                              <w:szCs w:val="12"/>
                            </w:rPr>
                            <w:t>类型</w:t>
                          </w:r>
                        </w:p>
                      </w:tc>
                      <w:tc>
                        <w:tcPr>
                          <w:tcW w:w="7099" w:type="dxa"/>
                          <w:gridSpan w:val="2"/>
                          <w:vAlign w:val="top"/>
                        </w:tcPr>
                        <w:p w14:paraId="3ACCE1E4">
                          <w:pPr>
                            <w:spacing w:before="84" w:line="221" w:lineRule="auto"/>
                            <w:ind w:left="2383"/>
                            <w:rPr>
                              <w:rFonts w:ascii="黑体" w:hAnsi="黑体" w:eastAsia="黑体" w:cs="黑体"/>
                              <w:sz w:val="24"/>
                              <w:szCs w:val="24"/>
                            </w:rPr>
                          </w:pPr>
                          <w:r>
                            <w:rPr>
                              <w:rFonts w:ascii="黑体" w:hAnsi="黑体" w:eastAsia="黑体" w:cs="黑体"/>
                              <w:b/>
                              <w:bCs/>
                              <w:color w:val="137FDE"/>
                              <w:spacing w:val="-14"/>
                              <w:sz w:val="24"/>
                              <w:szCs w:val="24"/>
                            </w:rPr>
                            <w:t>任务计划表</w:t>
                          </w:r>
                        </w:p>
                        <w:p w14:paraId="31B845AD">
                          <w:pPr>
                            <w:spacing w:before="33" w:line="159" w:lineRule="auto"/>
                            <w:ind w:left="2589"/>
                            <w:rPr>
                              <w:rFonts w:ascii="黑体" w:hAnsi="黑体" w:eastAsia="黑体" w:cs="黑体"/>
                              <w:sz w:val="12"/>
                              <w:szCs w:val="12"/>
                            </w:rPr>
                          </w:pPr>
                          <w:r>
                            <w:rPr>
                              <w:rFonts w:ascii="黑体" w:hAnsi="黑体" w:eastAsia="黑体" w:cs="黑体"/>
                              <w:color w:val="037DCE"/>
                              <w:spacing w:val="13"/>
                              <w:sz w:val="12"/>
                              <w:szCs w:val="12"/>
                            </w:rPr>
                            <w:t>2023年4月</w:t>
                          </w:r>
                        </w:p>
                        <w:p w14:paraId="52BFC40D">
                          <w:pPr>
                            <w:spacing w:line="302" w:lineRule="exact"/>
                            <w:ind w:left="179"/>
                            <w:rPr>
                              <w:rFonts w:ascii="黑体" w:hAnsi="黑体" w:eastAsia="黑体" w:cs="黑体"/>
                              <w:sz w:val="19"/>
                              <w:szCs w:val="19"/>
                            </w:rPr>
                          </w:pPr>
                          <w:r>
                            <w:rPr>
                              <w:rFonts w:ascii="黑体" w:hAnsi="黑体" w:eastAsia="黑体" w:cs="黑体"/>
                              <w:color w:val="1C8DC6"/>
                              <w:spacing w:val="-3"/>
                              <w:position w:val="3"/>
                              <w:sz w:val="12"/>
                              <w:szCs w:val="12"/>
                            </w:rPr>
                            <w:t xml:space="preserve">开始曰期  </w:t>
                          </w:r>
                          <w:r>
                            <w:rPr>
                              <w:rFonts w:ascii="黑体" w:hAnsi="黑体" w:eastAsia="黑体" w:cs="黑体"/>
                              <w:color w:val="1E8EBF"/>
                              <w:spacing w:val="-3"/>
                              <w:position w:val="3"/>
                              <w:sz w:val="12"/>
                              <w:szCs w:val="12"/>
                            </w:rPr>
                            <w:t>结束日期</w:t>
                          </w:r>
                          <w:r>
                            <w:rPr>
                              <w:rFonts w:ascii="黑体" w:hAnsi="黑体" w:eastAsia="黑体" w:cs="黑体"/>
                              <w:color w:val="1E8EBF"/>
                              <w:spacing w:val="-16"/>
                              <w:position w:val="3"/>
                              <w:sz w:val="12"/>
                              <w:szCs w:val="12"/>
                            </w:rPr>
                            <w:t xml:space="preserve"> </w:t>
                          </w:r>
                          <w:r>
                            <w:rPr>
                              <w:rFonts w:ascii="黑体" w:hAnsi="黑体" w:eastAsia="黑体" w:cs="黑体"/>
                              <w:color w:val="53C7E4"/>
                              <w:spacing w:val="-3"/>
                              <w:position w:val="8"/>
                              <w:sz w:val="18"/>
                              <w:szCs w:val="18"/>
                            </w:rPr>
                            <w:t>六日</w:t>
                          </w:r>
                          <w:r>
                            <w:rPr>
                              <w:rFonts w:ascii="黑体" w:hAnsi="黑体" w:eastAsia="黑体" w:cs="黑体"/>
                              <w:color w:val="53C7E4"/>
                              <w:spacing w:val="-48"/>
                              <w:position w:val="8"/>
                              <w:sz w:val="18"/>
                              <w:szCs w:val="18"/>
                            </w:rPr>
                            <w:t xml:space="preserve"> </w:t>
                          </w:r>
                          <w:r>
                            <w:rPr>
                              <w:rFonts w:ascii="黑体" w:hAnsi="黑体" w:eastAsia="黑体" w:cs="黑体"/>
                              <w:color w:val="53C7E4"/>
                              <w:spacing w:val="-3"/>
                              <w:position w:val="8"/>
                              <w:sz w:val="18"/>
                              <w:szCs w:val="18"/>
                            </w:rPr>
                            <w:t>-</w:t>
                          </w:r>
                          <w:r>
                            <w:rPr>
                              <w:rFonts w:ascii="Times New Roman" w:hAnsi="Times New Roman" w:eastAsia="Times New Roman" w:cs="Times New Roman"/>
                              <w:color w:val="46BDF0"/>
                              <w:spacing w:val="-3"/>
                              <w:position w:val="-5"/>
                              <w:sz w:val="12"/>
                              <w:szCs w:val="12"/>
                            </w:rPr>
                            <w:t>3/</w:t>
                          </w:r>
                          <w:r>
                            <w:rPr>
                              <w:position w:val="-5"/>
                              <w:sz w:val="12"/>
                              <w:szCs w:val="12"/>
                            </w:rPr>
                            <w:drawing>
                              <wp:inline distT="0" distB="0" distL="0" distR="0">
                                <wp:extent cx="144145" cy="17716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71"/>
                                        <a:stretch>
                                          <a:fillRect/>
                                        </a:stretch>
                                      </pic:blipFill>
                                      <pic:spPr>
                                        <a:xfrm>
                                          <a:off x="0" y="0"/>
                                          <a:ext cx="144168" cy="177380"/>
                                        </a:xfrm>
                                        <a:prstGeom prst="rect">
                                          <a:avLst/>
                                        </a:prstGeom>
                                      </pic:spPr>
                                    </pic:pic>
                                  </a:graphicData>
                                </a:graphic>
                              </wp:inline>
                            </w:drawing>
                          </w:r>
                          <w:r>
                            <w:rPr>
                              <w:position w:val="-5"/>
                              <w:sz w:val="12"/>
                              <w:szCs w:val="12"/>
                            </w:rPr>
                            <w:drawing>
                              <wp:inline distT="0" distB="0" distL="0" distR="0">
                                <wp:extent cx="107950" cy="17716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72"/>
                                        <a:stretch>
                                          <a:fillRect/>
                                        </a:stretch>
                                      </pic:blipFill>
                                      <pic:spPr>
                                        <a:xfrm>
                                          <a:off x="0" y="0"/>
                                          <a:ext cx="108575" cy="177380"/>
                                        </a:xfrm>
                                        <a:prstGeom prst="rect">
                                          <a:avLst/>
                                        </a:prstGeom>
                                      </pic:spPr>
                                    </pic:pic>
                                  </a:graphicData>
                                </a:graphic>
                              </wp:inline>
                            </w:drawing>
                          </w:r>
                          <w:r>
                            <w:rPr>
                              <w:position w:val="-6"/>
                              <w:sz w:val="12"/>
                              <w:szCs w:val="12"/>
                            </w:rPr>
                            <w:drawing>
                              <wp:inline distT="0" distB="0" distL="0" distR="0">
                                <wp:extent cx="109855" cy="18796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73"/>
                                        <a:stretch>
                                          <a:fillRect/>
                                        </a:stretch>
                                      </pic:blipFill>
                                      <pic:spPr>
                                        <a:xfrm>
                                          <a:off x="0" y="0"/>
                                          <a:ext cx="109857" cy="188376"/>
                                        </a:xfrm>
                                        <a:prstGeom prst="rect">
                                          <a:avLst/>
                                        </a:prstGeom>
                                      </pic:spPr>
                                    </pic:pic>
                                  </a:graphicData>
                                </a:graphic>
                              </wp:inline>
                            </w:drawing>
                          </w:r>
                          <w:r>
                            <w:rPr>
                              <w:rFonts w:ascii="黑体" w:hAnsi="黑体" w:eastAsia="黑体" w:cs="黑体"/>
                              <w:color w:val="40B3ED"/>
                              <w:spacing w:val="-3"/>
                              <w:position w:val="8"/>
                              <w:sz w:val="19"/>
                              <w:szCs w:val="19"/>
                            </w:rPr>
                            <w:t>五六</w:t>
                          </w:r>
                          <w:r>
                            <w:rPr>
                              <w:rFonts w:ascii="黑体" w:hAnsi="黑体" w:eastAsia="黑体" w:cs="黑体"/>
                              <w:color w:val="40B3ED"/>
                              <w:spacing w:val="-64"/>
                              <w:position w:val="8"/>
                              <w:sz w:val="19"/>
                              <w:szCs w:val="19"/>
                            </w:rPr>
                            <w:t xml:space="preserve"> </w:t>
                          </w:r>
                          <w:r>
                            <w:rPr>
                              <w:position w:val="-5"/>
                              <w:sz w:val="19"/>
                              <w:szCs w:val="19"/>
                            </w:rPr>
                            <w:drawing>
                              <wp:inline distT="0" distB="0" distL="0" distR="0">
                                <wp:extent cx="111125" cy="18224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74"/>
                                        <a:stretch>
                                          <a:fillRect/>
                                        </a:stretch>
                                      </pic:blipFill>
                                      <pic:spPr>
                                        <a:xfrm>
                                          <a:off x="0" y="0"/>
                                          <a:ext cx="111186" cy="182523"/>
                                        </a:xfrm>
                                        <a:prstGeom prst="rect">
                                          <a:avLst/>
                                        </a:prstGeom>
                                      </pic:spPr>
                                    </pic:pic>
                                  </a:graphicData>
                                </a:graphic>
                              </wp:inline>
                            </w:drawing>
                          </w:r>
                          <w:r>
                            <w:rPr>
                              <w:rFonts w:ascii="黑体" w:hAnsi="黑体" w:eastAsia="黑体" w:cs="黑体"/>
                              <w:color w:val="40B3ED"/>
                              <w:spacing w:val="2"/>
                              <w:position w:val="8"/>
                              <w:sz w:val="19"/>
                              <w:szCs w:val="19"/>
                            </w:rPr>
                            <w:t xml:space="preserve">  </w:t>
                          </w:r>
                          <w:r>
                            <w:fldChar w:fldCharType="begin"/>
                          </w:r>
                          <w:r>
                            <w:instrText xml:space="preserve">EQ \* jc3 \* hps10 \o\al(\s\up 1(</w:instrText>
                          </w:r>
                          <w:r>
                            <w:rPr>
                              <w:rFonts w:ascii="黑体" w:hAnsi="黑体" w:eastAsia="黑体" w:cs="黑体"/>
                              <w:color w:val="1085D4"/>
                              <w:w w:val="94"/>
                              <w:position w:val="3"/>
                              <w:sz w:val="10"/>
                              <w:szCs w:val="10"/>
                            </w:rPr>
                            <w:instrText xml:space="preserve">二</w:instrText>
                          </w:r>
                          <w:r>
                            <w:instrText xml:space="preserve">),</w:instrText>
                          </w:r>
                          <w:r>
                            <w:rPr>
                              <w:rFonts w:ascii="黑体" w:hAnsi="黑体" w:eastAsia="黑体" w:cs="黑体"/>
                              <w:w w:val="116"/>
                              <w:position w:val="-5"/>
                              <w:sz w:val="10"/>
                              <w:szCs w:val="10"/>
                            </w:rPr>
                            <w:instrText xml:space="preserve">过</w:instrText>
                          </w:r>
                          <w:r>
                            <w:instrText xml:space="preserve">)</w:instrText>
                          </w:r>
                          <w:r>
                            <w:fldChar w:fldCharType="end"/>
                          </w:r>
                          <w:r>
                            <w:rPr>
                              <w:rFonts w:ascii="黑体" w:hAnsi="黑体" w:eastAsia="黑体" w:cs="黑体"/>
                              <w:spacing w:val="-21"/>
                              <w:position w:val="-5"/>
                              <w:sz w:val="19"/>
                              <w:szCs w:val="19"/>
                            </w:rPr>
                            <w:t xml:space="preserve"> </w:t>
                          </w:r>
                          <w:r>
                            <w:fldChar w:fldCharType="begin"/>
                          </w:r>
                          <w:r>
                            <w:instrText xml:space="preserve">EQ \* jc3 \* hps11 \o\al(\s\up 1(</w:instrText>
                          </w:r>
                          <w:r>
                            <w:rPr>
                              <w:rFonts w:ascii="黑体" w:hAnsi="黑体" w:eastAsia="黑体" w:cs="黑体"/>
                              <w:color w:val="5ACCEF"/>
                              <w:w w:val="112"/>
                              <w:position w:val="3"/>
                              <w:sz w:val="11"/>
                              <w:szCs w:val="11"/>
                            </w:rPr>
                            <w:instrText xml:space="preserve">三</w:instrText>
                          </w:r>
                          <w:r>
                            <w:instrText xml:space="preserve">),</w:instrText>
                          </w:r>
                          <w:r>
                            <w:rPr>
                              <w:rFonts w:ascii="黑体" w:hAnsi="黑体" w:eastAsia="黑体" w:cs="黑体"/>
                              <w:color w:val="FFFFFF"/>
                              <w:w w:val="95"/>
                              <w:position w:val="-5"/>
                              <w:sz w:val="11"/>
                              <w:szCs w:val="11"/>
                            </w:rPr>
                            <w:instrText xml:space="preserve">试</w:instrText>
                          </w:r>
                          <w:r>
                            <w:instrText xml:space="preserve">)</w:instrText>
                          </w:r>
                          <w:r>
                            <w:fldChar w:fldCharType="end"/>
                          </w:r>
                          <w:r>
                            <w:rPr>
                              <w:rFonts w:ascii="黑体" w:hAnsi="黑体" w:eastAsia="黑体" w:cs="黑体"/>
                              <w:color w:val="FFFFFF"/>
                              <w:spacing w:val="-19"/>
                              <w:position w:val="-5"/>
                              <w:sz w:val="19"/>
                              <w:szCs w:val="19"/>
                            </w:rPr>
                            <w:t xml:space="preserve"> </w:t>
                          </w:r>
                          <w:r>
                            <w:fldChar w:fldCharType="begin"/>
                          </w:r>
                          <w:r>
                            <w:instrText xml:space="preserve">EQ \* jc3 \* hps12 \o\al(\s\up 2(</w:instrText>
                          </w:r>
                          <w:r>
                            <w:rPr>
                              <w:rFonts w:ascii="黑体" w:hAnsi="黑体" w:eastAsia="黑体" w:cs="黑体"/>
                              <w:w w:val="90"/>
                              <w:position w:val="3"/>
                              <w:sz w:val="12"/>
                              <w:szCs w:val="12"/>
                            </w:rPr>
                            <w:instrText xml:space="preserve">四</w:instrText>
                          </w:r>
                          <w:r>
                            <w:instrText xml:space="preserve">),</w:instrText>
                          </w:r>
                          <w:r>
                            <w:rPr>
                              <w:rFonts w:ascii="Times New Roman" w:hAnsi="Times New Roman" w:eastAsia="Times New Roman" w:cs="Times New Roman"/>
                              <w:w w:val="121"/>
                              <w:position w:val="-5"/>
                              <w:sz w:val="12"/>
                              <w:szCs w:val="12"/>
                            </w:rPr>
                            <w:instrText xml:space="preserve">13</w:instrText>
                          </w:r>
                          <w:r>
                            <w:instrText xml:space="preserve">)</w:instrText>
                          </w:r>
                          <w:r>
                            <w:fldChar w:fldCharType="end"/>
                          </w:r>
                          <w:r>
                            <w:fldChar w:fldCharType="begin"/>
                          </w:r>
                          <w:r>
                            <w:instrText xml:space="preserve">EQ \* jc3 \* hps12 \o\al(\s\up 2(</w:instrText>
                          </w:r>
                          <w:r>
                            <w:rPr>
                              <w:rFonts w:ascii="黑体" w:hAnsi="黑体" w:eastAsia="黑体" w:cs="黑体"/>
                              <w:color w:val="097AD1"/>
                              <w:w w:val="121"/>
                              <w:position w:val="3"/>
                              <w:sz w:val="12"/>
                              <w:szCs w:val="12"/>
                            </w:rPr>
                            <w:instrText xml:space="preserve">五</w:instrText>
                          </w:r>
                          <w:r>
                            <w:instrText xml:space="preserve">),</w:instrText>
                          </w:r>
                          <w:r>
                            <w:rPr>
                              <w:rFonts w:ascii="Times New Roman" w:hAnsi="Times New Roman" w:eastAsia="Times New Roman" w:cs="Times New Roman"/>
                              <w:spacing w:val="1"/>
                              <w:w w:val="175"/>
                              <w:position w:val="-5"/>
                              <w:sz w:val="12"/>
                              <w:szCs w:val="12"/>
                            </w:rPr>
                            <w:instrText xml:space="preserve"> </w:instrText>
                          </w:r>
                          <w:r>
                            <w:rPr>
                              <w:rFonts w:ascii="Times New Roman" w:hAnsi="Times New Roman" w:eastAsia="Times New Roman" w:cs="Times New Roman"/>
                              <w:w w:val="88"/>
                              <w:position w:val="-5"/>
                              <w:sz w:val="12"/>
                              <w:szCs w:val="12"/>
                            </w:rPr>
                            <w:instrText xml:space="preserve">14</w:instrText>
                          </w:r>
                          <w:r>
                            <w:instrText xml:space="preserve">)</w:instrText>
                          </w:r>
                          <w:r>
                            <w:fldChar w:fldCharType="end"/>
                          </w:r>
                          <w:r>
                            <w:rPr>
                              <w:rFonts w:ascii="黑体" w:hAnsi="黑体" w:eastAsia="黑体" w:cs="黑体"/>
                              <w:color w:val="1082C5"/>
                              <w:spacing w:val="-3"/>
                              <w:position w:val="8"/>
                              <w:sz w:val="11"/>
                              <w:szCs w:val="11"/>
                            </w:rPr>
                            <w:t>六</w:t>
                          </w:r>
                          <w:r>
                            <w:rPr>
                              <w:rFonts w:ascii="Times New Roman" w:hAnsi="Times New Roman" w:eastAsia="Times New Roman" w:cs="Times New Roman"/>
                              <w:spacing w:val="-3"/>
                              <w:position w:val="-4"/>
                              <w:sz w:val="11"/>
                              <w:szCs w:val="11"/>
                            </w:rPr>
                            <w:t xml:space="preserve">15 </w:t>
                          </w:r>
                          <w:r>
                            <w:fldChar w:fldCharType="begin"/>
                          </w:r>
                          <w:r>
                            <w:instrText xml:space="preserve">EQ \* jc3 \* hps12 \o\al(\s\up 2(</w:instrText>
                          </w:r>
                          <w:r>
                            <w:rPr>
                              <w:rFonts w:ascii="黑体" w:hAnsi="黑体" w:eastAsia="黑体" w:cs="黑体"/>
                              <w:color w:val="FFFFFF"/>
                              <w:w w:val="96"/>
                              <w:position w:val="3"/>
                              <w:sz w:val="12"/>
                              <w:szCs w:val="12"/>
                            </w:rPr>
                            <w:instrText xml:space="preserve">但</w:instrText>
                          </w:r>
                          <w:r>
                            <w:instrText xml:space="preserve">),</w:instrText>
                          </w:r>
                          <w:r>
                            <w:rPr>
                              <w:rFonts w:ascii="Times New Roman" w:hAnsi="Times New Roman" w:eastAsia="Times New Roman" w:cs="Times New Roman"/>
                              <w:w w:val="138"/>
                              <w:position w:val="-5"/>
                              <w:sz w:val="12"/>
                              <w:szCs w:val="12"/>
                            </w:rPr>
                            <w:instrText xml:space="preserve">16</w:instrText>
                          </w:r>
                          <w:r>
                            <w:instrText xml:space="preserve">)</w:instrText>
                          </w:r>
                          <w:r>
                            <w:fldChar w:fldCharType="end"/>
                          </w:r>
                          <w:r>
                            <w:rPr>
                              <w:rFonts w:ascii="Times New Roman" w:hAnsi="Times New Roman" w:eastAsia="Times New Roman" w:cs="Times New Roman"/>
                              <w:spacing w:val="10"/>
                              <w:position w:val="-5"/>
                              <w:sz w:val="11"/>
                              <w:szCs w:val="11"/>
                            </w:rPr>
                            <w:t xml:space="preserve">  </w:t>
                          </w:r>
                          <w:r>
                            <w:rPr>
                              <w:rFonts w:ascii="黑体" w:hAnsi="黑体" w:eastAsia="黑体" w:cs="黑体"/>
                              <w:color w:val="50C5F7"/>
                              <w:spacing w:val="-3"/>
                              <w:position w:val="-3"/>
                              <w:sz w:val="19"/>
                              <w:szCs w:val="19"/>
                            </w:rPr>
                            <w:t>17国</w:t>
                          </w:r>
                        </w:p>
                      </w:tc>
                    </w:tr>
                    <w:tr w14:paraId="02FA0F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358" w:type="dxa"/>
                          <w:vAlign w:val="top"/>
                        </w:tcPr>
                        <w:p w14:paraId="61653892">
                          <w:pPr>
                            <w:spacing w:before="96" w:line="188" w:lineRule="auto"/>
                            <w:ind w:left="180"/>
                            <w:rPr>
                              <w:rFonts w:ascii="Times New Roman" w:hAnsi="Times New Roman" w:eastAsia="Times New Roman" w:cs="Times New Roman"/>
                              <w:sz w:val="12"/>
                              <w:szCs w:val="12"/>
                            </w:rPr>
                          </w:pPr>
                          <w:r>
                            <w:rPr>
                              <w:rFonts w:ascii="Times New Roman" w:hAnsi="Times New Roman" w:eastAsia="Times New Roman" w:cs="Times New Roman"/>
                              <w:color w:val="89B6CA"/>
                              <w:sz w:val="12"/>
                              <w:szCs w:val="12"/>
                            </w:rPr>
                            <w:t>1</w:t>
                          </w:r>
                        </w:p>
                      </w:tc>
                      <w:tc>
                        <w:tcPr>
                          <w:tcW w:w="578" w:type="dxa"/>
                          <w:vAlign w:val="top"/>
                        </w:tcPr>
                        <w:p w14:paraId="3D135306">
                          <w:pPr>
                            <w:spacing w:before="92" w:line="221" w:lineRule="auto"/>
                            <w:ind w:left="111"/>
                            <w:rPr>
                              <w:rFonts w:ascii="黑体" w:hAnsi="黑体" w:eastAsia="黑体" w:cs="黑体"/>
                              <w:sz w:val="12"/>
                              <w:szCs w:val="12"/>
                            </w:rPr>
                          </w:pPr>
                          <w:r>
                            <w:rPr>
                              <w:rFonts w:ascii="黑体" w:hAnsi="黑体" w:eastAsia="黑体" w:cs="黑体"/>
                              <w:color w:val="1087BB"/>
                              <w:spacing w:val="-2"/>
                              <w:sz w:val="12"/>
                              <w:szCs w:val="12"/>
                            </w:rPr>
                            <w:t>任务1</w:t>
                          </w:r>
                        </w:p>
                      </w:tc>
                      <w:tc>
                        <w:tcPr>
                          <w:tcW w:w="374" w:type="dxa"/>
                          <w:vAlign w:val="top"/>
                        </w:tcPr>
                        <w:p w14:paraId="53416457">
                          <w:pPr>
                            <w:spacing w:before="5" w:line="224" w:lineRule="auto"/>
                            <w:ind w:left="64"/>
                            <w:rPr>
                              <w:rFonts w:ascii="黑体" w:hAnsi="黑体" w:eastAsia="黑体" w:cs="黑体"/>
                              <w:sz w:val="12"/>
                              <w:szCs w:val="12"/>
                            </w:rPr>
                          </w:pPr>
                          <w:r>
                            <w:rPr>
                              <w:rFonts w:ascii="黑体" w:hAnsi="黑体" w:eastAsia="黑体" w:cs="黑体"/>
                              <w:spacing w:val="-2"/>
                              <w:sz w:val="12"/>
                              <w:szCs w:val="12"/>
                            </w:rPr>
                            <w:t>计划</w:t>
                          </w:r>
                        </w:p>
                        <w:p w14:paraId="58915533">
                          <w:pPr>
                            <w:spacing w:before="22" w:line="187" w:lineRule="auto"/>
                            <w:ind w:left="64"/>
                            <w:rPr>
                              <w:rFonts w:ascii="黑体" w:hAnsi="黑体" w:eastAsia="黑体" w:cs="黑体"/>
                              <w:sz w:val="12"/>
                              <w:szCs w:val="12"/>
                            </w:rPr>
                          </w:pPr>
                          <w:r>
                            <w:rPr>
                              <w:rFonts w:ascii="黑体" w:hAnsi="黑体" w:eastAsia="黑体" w:cs="黑体"/>
                              <w:color w:val="2990BD"/>
                              <w:spacing w:val="-2"/>
                              <w:sz w:val="12"/>
                              <w:szCs w:val="12"/>
                            </w:rPr>
                            <w:t>实际</w:t>
                          </w:r>
                        </w:p>
                      </w:tc>
                      <w:tc>
                        <w:tcPr>
                          <w:tcW w:w="614" w:type="dxa"/>
                          <w:vAlign w:val="top"/>
                        </w:tcPr>
                        <w:p w14:paraId="6E26BE7F">
                          <w:pPr>
                            <w:spacing w:before="52" w:line="192" w:lineRule="auto"/>
                            <w:ind w:left="69"/>
                            <w:rPr>
                              <w:rFonts w:ascii="Times New Roman" w:hAnsi="Times New Roman" w:eastAsia="Times New Roman" w:cs="Times New Roman"/>
                              <w:sz w:val="12"/>
                              <w:szCs w:val="12"/>
                            </w:rPr>
                          </w:pPr>
                          <w:r>
                            <w:rPr>
                              <w:rFonts w:ascii="Times New Roman" w:hAnsi="Times New Roman" w:eastAsia="Times New Roman" w:cs="Times New Roman"/>
                              <w:color w:val="90C0D2"/>
                              <w:spacing w:val="-1"/>
                              <w:sz w:val="12"/>
                              <w:szCs w:val="12"/>
                            </w:rPr>
                            <w:t>2023/4/1</w:t>
                          </w:r>
                        </w:p>
                        <w:p w14:paraId="58658ABF">
                          <w:pPr>
                            <w:spacing w:before="29" w:line="177" w:lineRule="auto"/>
                            <w:ind w:left="69"/>
                            <w:rPr>
                              <w:rFonts w:ascii="Times New Roman" w:hAnsi="Times New Roman" w:eastAsia="Times New Roman" w:cs="Times New Roman"/>
                              <w:sz w:val="12"/>
                              <w:szCs w:val="12"/>
                            </w:rPr>
                          </w:pPr>
                          <w:r>
                            <w:rPr>
                              <w:rFonts w:ascii="Times New Roman" w:hAnsi="Times New Roman" w:eastAsia="Times New Roman" w:cs="Times New Roman"/>
                              <w:color w:val="82BAD2"/>
                              <w:spacing w:val="-1"/>
                              <w:sz w:val="12"/>
                              <w:szCs w:val="12"/>
                            </w:rPr>
                            <w:t>2023/4/1</w:t>
                          </w:r>
                        </w:p>
                      </w:tc>
                      <w:tc>
                        <w:tcPr>
                          <w:tcW w:w="6485" w:type="dxa"/>
                          <w:vAlign w:val="top"/>
                        </w:tcPr>
                        <w:p w14:paraId="5B2B3FB8">
                          <w:pPr>
                            <w:spacing w:before="52" w:line="192" w:lineRule="auto"/>
                            <w:ind w:left="75"/>
                            <w:rPr>
                              <w:rFonts w:ascii="Times New Roman" w:hAnsi="Times New Roman" w:eastAsia="Times New Roman" w:cs="Times New Roman"/>
                              <w:sz w:val="12"/>
                              <w:szCs w:val="12"/>
                            </w:rPr>
                          </w:pPr>
                          <w:r>
                            <w:rPr>
                              <w:rFonts w:ascii="Times New Roman" w:hAnsi="Times New Roman" w:eastAsia="Times New Roman" w:cs="Times New Roman"/>
                              <w:color w:val="82C1CE"/>
                              <w:spacing w:val="-1"/>
                              <w:sz w:val="12"/>
                              <w:szCs w:val="12"/>
                            </w:rPr>
                            <w:t>2023/4/4</w:t>
                          </w:r>
                        </w:p>
                        <w:p w14:paraId="6ADB03F3">
                          <w:pPr>
                            <w:spacing w:before="29" w:line="177" w:lineRule="auto"/>
                            <w:ind w:left="65"/>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2023/4/5</w:t>
                          </w:r>
                        </w:p>
                      </w:tc>
                    </w:tr>
                    <w:tr w14:paraId="2121F7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358" w:type="dxa"/>
                          <w:vAlign w:val="top"/>
                        </w:tcPr>
                        <w:p w14:paraId="2751C5F8">
                          <w:pPr>
                            <w:spacing w:before="71" w:line="188" w:lineRule="auto"/>
                            <w:ind w:left="180"/>
                            <w:rPr>
                              <w:rFonts w:ascii="Times New Roman" w:hAnsi="Times New Roman" w:eastAsia="Times New Roman" w:cs="Times New Roman"/>
                              <w:sz w:val="12"/>
                              <w:szCs w:val="12"/>
                            </w:rPr>
                          </w:pPr>
                          <w:r>
                            <w:rPr>
                              <w:rFonts w:ascii="Times New Roman" w:hAnsi="Times New Roman" w:eastAsia="Times New Roman" w:cs="Times New Roman"/>
                              <w:color w:val="98BFC7"/>
                              <w:sz w:val="12"/>
                              <w:szCs w:val="12"/>
                            </w:rPr>
                            <w:t>2</w:t>
                          </w:r>
                        </w:p>
                      </w:tc>
                      <w:tc>
                        <w:tcPr>
                          <w:tcW w:w="578" w:type="dxa"/>
                          <w:vAlign w:val="top"/>
                        </w:tcPr>
                        <w:p w14:paraId="73249658">
                          <w:pPr>
                            <w:spacing w:before="77" w:line="221" w:lineRule="auto"/>
                            <w:ind w:left="111"/>
                            <w:rPr>
                              <w:rFonts w:ascii="黑体" w:hAnsi="黑体" w:eastAsia="黑体" w:cs="黑体"/>
                              <w:sz w:val="12"/>
                              <w:szCs w:val="12"/>
                            </w:rPr>
                          </w:pPr>
                          <w:r>
                            <w:rPr>
                              <w:rFonts w:ascii="黑体" w:hAnsi="黑体" w:eastAsia="黑体" w:cs="黑体"/>
                              <w:color w:val="2E98CD"/>
                              <w:spacing w:val="-2"/>
                              <w:sz w:val="12"/>
                              <w:szCs w:val="12"/>
                            </w:rPr>
                            <w:t>任务2</w:t>
                          </w:r>
                        </w:p>
                      </w:tc>
                      <w:tc>
                        <w:tcPr>
                          <w:tcW w:w="374" w:type="dxa"/>
                          <w:vAlign w:val="top"/>
                        </w:tcPr>
                        <w:p w14:paraId="2295DF86">
                          <w:pPr>
                            <w:spacing w:before="9" w:line="213" w:lineRule="auto"/>
                            <w:ind w:left="64"/>
                            <w:rPr>
                              <w:rFonts w:ascii="黑体" w:hAnsi="黑体" w:eastAsia="黑体" w:cs="黑体"/>
                              <w:sz w:val="12"/>
                              <w:szCs w:val="12"/>
                            </w:rPr>
                          </w:pPr>
                          <w:r>
                            <w:rPr>
                              <w:rFonts w:ascii="黑体" w:hAnsi="黑体" w:eastAsia="黑体" w:cs="黑体"/>
                              <w:color w:val="1882B8"/>
                              <w:spacing w:val="-2"/>
                              <w:sz w:val="12"/>
                              <w:szCs w:val="12"/>
                            </w:rPr>
                            <w:t>计划</w:t>
                          </w:r>
                        </w:p>
                        <w:p w14:paraId="7473516A">
                          <w:pPr>
                            <w:spacing w:line="194" w:lineRule="auto"/>
                            <w:ind w:left="64"/>
                            <w:rPr>
                              <w:rFonts w:ascii="黑体" w:hAnsi="黑体" w:eastAsia="黑体" w:cs="黑体"/>
                              <w:sz w:val="12"/>
                              <w:szCs w:val="12"/>
                            </w:rPr>
                          </w:pPr>
                          <w:r>
                            <w:rPr>
                              <w:rFonts w:ascii="黑体" w:hAnsi="黑体" w:eastAsia="黑体" w:cs="黑体"/>
                              <w:color w:val="329BD0"/>
                              <w:spacing w:val="-2"/>
                              <w:sz w:val="12"/>
                              <w:szCs w:val="12"/>
                            </w:rPr>
                            <w:t>实际</w:t>
                          </w:r>
                        </w:p>
                      </w:tc>
                      <w:tc>
                        <w:tcPr>
                          <w:tcW w:w="614" w:type="dxa"/>
                          <w:vAlign w:val="top"/>
                        </w:tcPr>
                        <w:p w14:paraId="4F9FCABA">
                          <w:pPr>
                            <w:spacing w:before="37" w:line="192" w:lineRule="auto"/>
                            <w:ind w:left="69"/>
                            <w:rPr>
                              <w:rFonts w:ascii="Times New Roman" w:hAnsi="Times New Roman" w:eastAsia="Times New Roman" w:cs="Times New Roman"/>
                              <w:sz w:val="12"/>
                              <w:szCs w:val="12"/>
                            </w:rPr>
                          </w:pPr>
                          <w:r>
                            <w:rPr>
                              <w:rFonts w:ascii="Times New Roman" w:hAnsi="Times New Roman" w:eastAsia="Times New Roman" w:cs="Times New Roman"/>
                              <w:color w:val="7AACC6"/>
                              <w:spacing w:val="-1"/>
                              <w:sz w:val="12"/>
                              <w:szCs w:val="12"/>
                            </w:rPr>
                            <w:t>2023/4/5</w:t>
                          </w:r>
                        </w:p>
                        <w:p w14:paraId="29278D96">
                          <w:pPr>
                            <w:spacing w:before="39" w:line="87" w:lineRule="exact"/>
                            <w:ind w:left="50"/>
                            <w:rPr>
                              <w:rFonts w:ascii="Times New Roman" w:hAnsi="Times New Roman" w:eastAsia="Times New Roman" w:cs="Times New Roman"/>
                              <w:sz w:val="12"/>
                              <w:szCs w:val="12"/>
                            </w:rPr>
                          </w:pPr>
                          <w:r>
                            <w:rPr>
                              <w:rFonts w:ascii="Times New Roman" w:hAnsi="Times New Roman" w:eastAsia="Times New Roman" w:cs="Times New Roman"/>
                              <w:spacing w:val="-1"/>
                              <w:position w:val="-1"/>
                              <w:sz w:val="12"/>
                              <w:szCs w:val="12"/>
                            </w:rPr>
                            <w:t>2023/4/6</w:t>
                          </w:r>
                        </w:p>
                      </w:tc>
                      <w:tc>
                        <w:tcPr>
                          <w:tcW w:w="6485" w:type="dxa"/>
                          <w:vAlign w:val="top"/>
                        </w:tcPr>
                        <w:p w14:paraId="4A141634">
                          <w:pPr>
                            <w:spacing w:before="38" w:line="206" w:lineRule="auto"/>
                            <w:ind w:left="75" w:right="5965"/>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2023/4/8</w:t>
                          </w:r>
                          <w:r>
                            <w:rPr>
                              <w:rFonts w:ascii="Times New Roman" w:hAnsi="Times New Roman" w:eastAsia="Times New Roman" w:cs="Times New Roman"/>
                              <w:spacing w:val="2"/>
                              <w:sz w:val="12"/>
                              <w:szCs w:val="12"/>
                            </w:rPr>
                            <w:t xml:space="preserve">  </w:t>
                          </w:r>
                          <w:r>
                            <w:rPr>
                              <w:rFonts w:ascii="Times New Roman" w:hAnsi="Times New Roman" w:eastAsia="Times New Roman" w:cs="Times New Roman"/>
                              <w:spacing w:val="-1"/>
                              <w:sz w:val="12"/>
                              <w:szCs w:val="12"/>
                            </w:rPr>
                            <w:t>2023/4/B</w:t>
                          </w:r>
                        </w:p>
                      </w:tc>
                    </w:tr>
                    <w:tr w14:paraId="235530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358" w:type="dxa"/>
                          <w:vAlign w:val="top"/>
                        </w:tcPr>
                        <w:p w14:paraId="276A410A">
                          <w:pPr>
                            <w:spacing w:before="75" w:line="188" w:lineRule="auto"/>
                            <w:ind w:left="180"/>
                            <w:rPr>
                              <w:rFonts w:ascii="Times New Roman" w:hAnsi="Times New Roman" w:eastAsia="Times New Roman" w:cs="Times New Roman"/>
                              <w:sz w:val="12"/>
                              <w:szCs w:val="12"/>
                            </w:rPr>
                          </w:pPr>
                          <w:r>
                            <w:rPr>
                              <w:rFonts w:ascii="Times New Roman" w:hAnsi="Times New Roman" w:eastAsia="Times New Roman" w:cs="Times New Roman"/>
                              <w:color w:val="9BB9C1"/>
                              <w:sz w:val="12"/>
                              <w:szCs w:val="12"/>
                            </w:rPr>
                            <w:t>3</w:t>
                          </w:r>
                        </w:p>
                      </w:tc>
                      <w:tc>
                        <w:tcPr>
                          <w:tcW w:w="578" w:type="dxa"/>
                          <w:vAlign w:val="top"/>
                        </w:tcPr>
                        <w:p w14:paraId="23BA2FFA">
                          <w:pPr>
                            <w:spacing w:before="82" w:line="221" w:lineRule="auto"/>
                            <w:ind w:left="111"/>
                            <w:rPr>
                              <w:rFonts w:ascii="黑体" w:hAnsi="黑体" w:eastAsia="黑体" w:cs="黑体"/>
                              <w:sz w:val="12"/>
                              <w:szCs w:val="12"/>
                            </w:rPr>
                          </w:pPr>
                          <w:r>
                            <w:rPr>
                              <w:rFonts w:ascii="黑体" w:hAnsi="黑体" w:eastAsia="黑体" w:cs="黑体"/>
                              <w:color w:val="038AD8"/>
                              <w:spacing w:val="-2"/>
                              <w:sz w:val="12"/>
                              <w:szCs w:val="12"/>
                            </w:rPr>
                            <w:t>任务3</w:t>
                          </w:r>
                        </w:p>
                      </w:tc>
                      <w:tc>
                        <w:tcPr>
                          <w:tcW w:w="374" w:type="dxa"/>
                          <w:vAlign w:val="top"/>
                        </w:tcPr>
                        <w:p w14:paraId="7026C977">
                          <w:pPr>
                            <w:spacing w:before="4" w:line="213" w:lineRule="auto"/>
                            <w:ind w:left="64"/>
                            <w:rPr>
                              <w:rFonts w:ascii="黑体" w:hAnsi="黑体" w:eastAsia="黑体" w:cs="黑体"/>
                              <w:sz w:val="12"/>
                              <w:szCs w:val="12"/>
                            </w:rPr>
                          </w:pPr>
                          <w:r>
                            <w:rPr>
                              <w:rFonts w:ascii="黑体" w:hAnsi="黑体" w:eastAsia="黑体" w:cs="黑体"/>
                              <w:color w:val="259ECB"/>
                              <w:spacing w:val="-2"/>
                              <w:sz w:val="12"/>
                              <w:szCs w:val="12"/>
                            </w:rPr>
                            <w:t>计划</w:t>
                          </w:r>
                        </w:p>
                        <w:p w14:paraId="167356A8">
                          <w:pPr>
                            <w:spacing w:line="185" w:lineRule="auto"/>
                            <w:ind w:left="64"/>
                            <w:rPr>
                              <w:rFonts w:ascii="黑体" w:hAnsi="黑体" w:eastAsia="黑体" w:cs="黑体"/>
                              <w:sz w:val="12"/>
                              <w:szCs w:val="12"/>
                            </w:rPr>
                          </w:pPr>
                          <w:r>
                            <w:rPr>
                              <w:rFonts w:ascii="黑体" w:hAnsi="黑体" w:eastAsia="黑体" w:cs="黑体"/>
                              <w:spacing w:val="16"/>
                              <w:sz w:val="12"/>
                              <w:szCs w:val="12"/>
                            </w:rPr>
                            <w:t>实际</w:t>
                          </w:r>
                        </w:p>
                      </w:tc>
                      <w:tc>
                        <w:tcPr>
                          <w:tcW w:w="614" w:type="dxa"/>
                          <w:vAlign w:val="top"/>
                        </w:tcPr>
                        <w:p w14:paraId="7BA08AD9">
                          <w:pPr>
                            <w:spacing w:before="32" w:line="192" w:lineRule="auto"/>
                            <w:ind w:left="69"/>
                            <w:rPr>
                              <w:rFonts w:ascii="Times New Roman" w:hAnsi="Times New Roman" w:eastAsia="Times New Roman" w:cs="Times New Roman"/>
                              <w:sz w:val="12"/>
                              <w:szCs w:val="12"/>
                            </w:rPr>
                          </w:pPr>
                          <w:r>
                            <w:rPr>
                              <w:rFonts w:ascii="Times New Roman" w:hAnsi="Times New Roman" w:eastAsia="Times New Roman" w:cs="Times New Roman"/>
                              <w:color w:val="85BCD4"/>
                              <w:spacing w:val="-1"/>
                              <w:sz w:val="12"/>
                              <w:szCs w:val="12"/>
                            </w:rPr>
                            <w:t>2023/4/9</w:t>
                          </w:r>
                        </w:p>
                        <w:p w14:paraId="697C2D3A">
                          <w:pPr>
                            <w:spacing w:before="19" w:line="176" w:lineRule="auto"/>
                            <w:ind w:left="69"/>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2023/4/9</w:t>
                          </w:r>
                        </w:p>
                      </w:tc>
                      <w:tc>
                        <w:tcPr>
                          <w:tcW w:w="6485" w:type="dxa"/>
                          <w:vAlign w:val="top"/>
                        </w:tcPr>
                        <w:p w14:paraId="1BBD142E">
                          <w:pPr>
                            <w:spacing w:before="32" w:line="192" w:lineRule="auto"/>
                            <w:ind w:left="75"/>
                            <w:rPr>
                              <w:rFonts w:ascii="Times New Roman" w:hAnsi="Times New Roman" w:eastAsia="Times New Roman" w:cs="Times New Roman"/>
                              <w:sz w:val="12"/>
                              <w:szCs w:val="12"/>
                            </w:rPr>
                          </w:pPr>
                          <w:r>
                            <w:rPr>
                              <w:rFonts w:ascii="Times New Roman" w:hAnsi="Times New Roman" w:eastAsia="Times New Roman" w:cs="Times New Roman"/>
                              <w:color w:val="6C9BB4"/>
                              <w:spacing w:val="-1"/>
                              <w:sz w:val="12"/>
                              <w:szCs w:val="12"/>
                            </w:rPr>
                            <w:t>2023/4/14</w:t>
                          </w:r>
                        </w:p>
                        <w:p w14:paraId="27A24BC5">
                          <w:pPr>
                            <w:spacing w:before="29" w:line="158" w:lineRule="auto"/>
                            <w:ind w:left="75"/>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2023/4/16</w:t>
                          </w:r>
                        </w:p>
                      </w:tc>
                    </w:tr>
                    <w:tr w14:paraId="64B59B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 w:hRule="atLeast"/>
                      </w:trPr>
                      <w:tc>
                        <w:tcPr>
                          <w:tcW w:w="358" w:type="dxa"/>
                          <w:vAlign w:val="top"/>
                        </w:tcPr>
                        <w:p w14:paraId="1675A1B1">
                          <w:pPr>
                            <w:spacing w:before="82" w:line="188" w:lineRule="auto"/>
                            <w:ind w:left="180"/>
                            <w:rPr>
                              <w:rFonts w:ascii="Times New Roman" w:hAnsi="Times New Roman" w:eastAsia="Times New Roman" w:cs="Times New Roman"/>
                              <w:sz w:val="12"/>
                              <w:szCs w:val="12"/>
                            </w:rPr>
                          </w:pPr>
                          <w:r>
                            <w:rPr>
                              <w:rFonts w:ascii="Times New Roman" w:hAnsi="Times New Roman" w:eastAsia="Times New Roman" w:cs="Times New Roman"/>
                              <w:color w:val="64A1AE"/>
                              <w:sz w:val="12"/>
                              <w:szCs w:val="12"/>
                            </w:rPr>
                            <w:t>4</w:t>
                          </w:r>
                        </w:p>
                      </w:tc>
                      <w:tc>
                        <w:tcPr>
                          <w:tcW w:w="578" w:type="dxa"/>
                          <w:vAlign w:val="top"/>
                        </w:tcPr>
                        <w:p w14:paraId="0CD9E8F0">
                          <w:pPr>
                            <w:spacing w:before="88" w:line="221" w:lineRule="auto"/>
                            <w:ind w:left="111"/>
                            <w:rPr>
                              <w:rFonts w:ascii="黑体" w:hAnsi="黑体" w:eastAsia="黑体" w:cs="黑体"/>
                              <w:sz w:val="12"/>
                              <w:szCs w:val="12"/>
                            </w:rPr>
                          </w:pPr>
                          <w:r>
                            <w:rPr>
                              <w:rFonts w:ascii="黑体" w:hAnsi="黑体" w:eastAsia="黑体" w:cs="黑体"/>
                              <w:color w:val="1E8CCD"/>
                              <w:spacing w:val="-2"/>
                              <w:sz w:val="12"/>
                              <w:szCs w:val="12"/>
                            </w:rPr>
                            <w:t>任务4</w:t>
                          </w:r>
                        </w:p>
                      </w:tc>
                      <w:tc>
                        <w:tcPr>
                          <w:tcW w:w="374" w:type="dxa"/>
                          <w:vAlign w:val="top"/>
                        </w:tcPr>
                        <w:p w14:paraId="3E3E747F">
                          <w:pPr>
                            <w:spacing w:before="11" w:line="211" w:lineRule="auto"/>
                            <w:ind w:left="64" w:right="46"/>
                            <w:rPr>
                              <w:rFonts w:ascii="黑体" w:hAnsi="黑体" w:eastAsia="黑体" w:cs="黑体"/>
                              <w:sz w:val="12"/>
                              <w:szCs w:val="12"/>
                            </w:rPr>
                          </w:pPr>
                          <w:r>
                            <w:rPr>
                              <w:rFonts w:ascii="黑体" w:hAnsi="黑体" w:eastAsia="黑体" w:cs="黑体"/>
                              <w:spacing w:val="-3"/>
                              <w:sz w:val="12"/>
                              <w:szCs w:val="12"/>
                            </w:rPr>
                            <w:t>计划</w:t>
                          </w:r>
                          <w:r>
                            <w:rPr>
                              <w:rFonts w:ascii="黑体" w:hAnsi="黑体" w:eastAsia="黑体" w:cs="黑体"/>
                              <w:sz w:val="12"/>
                              <w:szCs w:val="12"/>
                            </w:rPr>
                            <w:t xml:space="preserve"> </w:t>
                          </w:r>
                          <w:r>
                            <w:rPr>
                              <w:rFonts w:ascii="黑体" w:hAnsi="黑体" w:eastAsia="黑体" w:cs="黑体"/>
                              <w:spacing w:val="11"/>
                              <w:sz w:val="12"/>
                              <w:szCs w:val="12"/>
                            </w:rPr>
                            <w:t>实际</w:t>
                          </w:r>
                        </w:p>
                      </w:tc>
                      <w:tc>
                        <w:tcPr>
                          <w:tcW w:w="614" w:type="dxa"/>
                          <w:vAlign w:val="top"/>
                        </w:tcPr>
                        <w:p w14:paraId="6BA043CD">
                          <w:pPr>
                            <w:spacing w:before="38" w:line="192" w:lineRule="auto"/>
                            <w:ind w:left="69"/>
                            <w:rPr>
                              <w:rFonts w:ascii="Times New Roman" w:hAnsi="Times New Roman" w:eastAsia="Times New Roman" w:cs="Times New Roman"/>
                              <w:sz w:val="12"/>
                              <w:szCs w:val="12"/>
                            </w:rPr>
                          </w:pPr>
                          <w:r>
                            <w:rPr>
                              <w:rFonts w:ascii="Times New Roman" w:hAnsi="Times New Roman" w:eastAsia="Times New Roman" w:cs="Times New Roman"/>
                              <w:color w:val="90C4D8"/>
                              <w:spacing w:val="-1"/>
                              <w:sz w:val="12"/>
                              <w:szCs w:val="12"/>
                            </w:rPr>
                            <w:t>2023/4/15</w:t>
                          </w:r>
                        </w:p>
                        <w:p w14:paraId="57734328">
                          <w:pPr>
                            <w:spacing w:before="39" w:line="169" w:lineRule="auto"/>
                            <w:ind w:left="69"/>
                            <w:rPr>
                              <w:rFonts w:ascii="Times New Roman" w:hAnsi="Times New Roman" w:eastAsia="Times New Roman" w:cs="Times New Roman"/>
                              <w:sz w:val="12"/>
                              <w:szCs w:val="12"/>
                            </w:rPr>
                          </w:pPr>
                          <w:r>
                            <w:rPr>
                              <w:rFonts w:ascii="Times New Roman" w:hAnsi="Times New Roman" w:eastAsia="Times New Roman" w:cs="Times New Roman"/>
                              <w:color w:val="7BBBDB"/>
                              <w:spacing w:val="-1"/>
                              <w:sz w:val="12"/>
                              <w:szCs w:val="12"/>
                            </w:rPr>
                            <w:t>2023/4/16</w:t>
                          </w:r>
                        </w:p>
                      </w:tc>
                      <w:tc>
                        <w:tcPr>
                          <w:tcW w:w="6485" w:type="dxa"/>
                          <w:vAlign w:val="top"/>
                        </w:tcPr>
                        <w:p w14:paraId="35700617">
                          <w:pPr>
                            <w:spacing w:before="14" w:line="192" w:lineRule="auto"/>
                            <w:ind w:left="75"/>
                            <w:rPr>
                              <w:rFonts w:ascii="Times New Roman" w:hAnsi="Times New Roman" w:eastAsia="Times New Roman" w:cs="Times New Roman"/>
                              <w:sz w:val="12"/>
                              <w:szCs w:val="12"/>
                            </w:rPr>
                          </w:pPr>
                          <w:r>
                            <w:rPr>
                              <w:rFonts w:ascii="Times New Roman" w:hAnsi="Times New Roman" w:eastAsia="Times New Roman" w:cs="Times New Roman"/>
                              <w:color w:val="82B3C9"/>
                              <w:spacing w:val="-1"/>
                              <w:sz w:val="12"/>
                              <w:szCs w:val="12"/>
                            </w:rPr>
                            <w:t>|2023/4/19</w:t>
                          </w:r>
                        </w:p>
                        <w:p w14:paraId="0E7ECAA2">
                          <w:pPr>
                            <w:spacing w:before="63" w:line="169" w:lineRule="auto"/>
                            <w:ind w:left="75"/>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2023/4/21</w:t>
                          </w:r>
                        </w:p>
                      </w:tc>
                    </w:tr>
                    <w:tr w14:paraId="67B439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358" w:type="dxa"/>
                          <w:vAlign w:val="top"/>
                        </w:tcPr>
                        <w:p w14:paraId="686B144C">
                          <w:pPr>
                            <w:spacing w:before="69" w:line="185" w:lineRule="auto"/>
                            <w:ind w:left="180"/>
                            <w:rPr>
                              <w:rFonts w:ascii="Times New Roman" w:hAnsi="Times New Roman" w:eastAsia="Times New Roman" w:cs="Times New Roman"/>
                              <w:sz w:val="19"/>
                              <w:szCs w:val="19"/>
                            </w:rPr>
                          </w:pPr>
                          <w:r>
                            <w:rPr>
                              <w:rFonts w:ascii="Times New Roman" w:hAnsi="Times New Roman" w:eastAsia="Times New Roman" w:cs="Times New Roman"/>
                              <w:color w:val="37A0DE"/>
                              <w:sz w:val="19"/>
                              <w:szCs w:val="19"/>
                            </w:rPr>
                            <w:t>5</w:t>
                          </w:r>
                        </w:p>
                      </w:tc>
                      <w:tc>
                        <w:tcPr>
                          <w:tcW w:w="578" w:type="dxa"/>
                          <w:vAlign w:val="top"/>
                        </w:tcPr>
                        <w:p w14:paraId="09AFCE95">
                          <w:pPr>
                            <w:spacing w:before="72" w:line="221" w:lineRule="auto"/>
                            <w:ind w:left="111"/>
                            <w:rPr>
                              <w:rFonts w:ascii="黑体" w:hAnsi="黑体" w:eastAsia="黑体" w:cs="黑体"/>
                              <w:sz w:val="12"/>
                              <w:szCs w:val="12"/>
                            </w:rPr>
                          </w:pPr>
                          <w:r>
                            <w:rPr>
                              <w:rFonts w:ascii="黑体" w:hAnsi="黑体" w:eastAsia="黑体" w:cs="黑体"/>
                              <w:color w:val="1DA2DB"/>
                              <w:spacing w:val="-2"/>
                              <w:sz w:val="12"/>
                              <w:szCs w:val="12"/>
                            </w:rPr>
                            <w:t>任务5</w:t>
                          </w:r>
                        </w:p>
                      </w:tc>
                      <w:tc>
                        <w:tcPr>
                          <w:tcW w:w="374" w:type="dxa"/>
                          <w:vAlign w:val="top"/>
                        </w:tcPr>
                        <w:p w14:paraId="78FCEF3A">
                          <w:pPr>
                            <w:spacing w:before="15" w:line="213" w:lineRule="auto"/>
                            <w:ind w:left="64"/>
                            <w:rPr>
                              <w:rFonts w:ascii="黑体" w:hAnsi="黑体" w:eastAsia="黑体" w:cs="黑体"/>
                              <w:sz w:val="12"/>
                              <w:szCs w:val="12"/>
                            </w:rPr>
                          </w:pPr>
                          <w:r>
                            <w:rPr>
                              <w:rFonts w:ascii="黑体" w:hAnsi="黑体" w:eastAsia="黑体" w:cs="黑体"/>
                              <w:spacing w:val="-3"/>
                              <w:sz w:val="12"/>
                              <w:szCs w:val="12"/>
                            </w:rPr>
                            <w:t>计</w:t>
                          </w:r>
                          <w:r>
                            <w:rPr>
                              <w:rFonts w:ascii="黑体" w:hAnsi="黑体" w:eastAsia="黑体" w:cs="黑体"/>
                              <w:spacing w:val="-20"/>
                              <w:sz w:val="12"/>
                              <w:szCs w:val="12"/>
                            </w:rPr>
                            <w:t xml:space="preserve"> </w:t>
                          </w:r>
                          <w:r>
                            <w:rPr>
                              <w:rFonts w:ascii="黑体" w:hAnsi="黑体" w:eastAsia="黑体" w:cs="黑体"/>
                              <w:spacing w:val="-3"/>
                              <w:sz w:val="12"/>
                              <w:szCs w:val="12"/>
                            </w:rPr>
                            <w:t>划</w:t>
                          </w:r>
                        </w:p>
                        <w:p w14:paraId="507E0FDA">
                          <w:pPr>
                            <w:spacing w:line="186" w:lineRule="auto"/>
                            <w:ind w:left="64"/>
                            <w:rPr>
                              <w:rFonts w:ascii="黑体" w:hAnsi="黑体" w:eastAsia="黑体" w:cs="黑体"/>
                              <w:sz w:val="12"/>
                              <w:szCs w:val="12"/>
                            </w:rPr>
                          </w:pPr>
                          <w:r>
                            <w:rPr>
                              <w:rFonts w:ascii="黑体" w:hAnsi="黑体" w:eastAsia="黑体" w:cs="黑体"/>
                              <w:color w:val="0DA9ED"/>
                              <w:spacing w:val="-2"/>
                              <w:sz w:val="12"/>
                              <w:szCs w:val="12"/>
                            </w:rPr>
                            <w:t>实际</w:t>
                          </w:r>
                        </w:p>
                      </w:tc>
                      <w:tc>
                        <w:tcPr>
                          <w:tcW w:w="614" w:type="dxa"/>
                          <w:vAlign w:val="top"/>
                        </w:tcPr>
                        <w:p w14:paraId="0B7EA574">
                          <w:pPr>
                            <w:spacing w:before="32" w:line="192" w:lineRule="auto"/>
                            <w:ind w:left="69"/>
                            <w:rPr>
                              <w:rFonts w:ascii="Times New Roman" w:hAnsi="Times New Roman" w:eastAsia="Times New Roman" w:cs="Times New Roman"/>
                              <w:sz w:val="12"/>
                              <w:szCs w:val="12"/>
                            </w:rPr>
                          </w:pPr>
                          <w:r>
                            <w:rPr>
                              <w:rFonts w:ascii="Times New Roman" w:hAnsi="Times New Roman" w:eastAsia="Times New Roman" w:cs="Times New Roman"/>
                              <w:color w:val="6E94A8"/>
                              <w:spacing w:val="-1"/>
                              <w:sz w:val="12"/>
                              <w:szCs w:val="12"/>
                            </w:rPr>
                            <w:t>2023/4/20</w:t>
                          </w:r>
                        </w:p>
                        <w:p w14:paraId="7A1F8257">
                          <w:pPr>
                            <w:spacing w:before="29" w:line="177" w:lineRule="auto"/>
                            <w:ind w:left="69"/>
                            <w:rPr>
                              <w:rFonts w:ascii="Times New Roman" w:hAnsi="Times New Roman" w:eastAsia="Times New Roman" w:cs="Times New Roman"/>
                              <w:sz w:val="12"/>
                              <w:szCs w:val="12"/>
                            </w:rPr>
                          </w:pPr>
                          <w:r>
                            <w:rPr>
                              <w:rFonts w:ascii="Times New Roman" w:hAnsi="Times New Roman" w:eastAsia="Times New Roman" w:cs="Times New Roman"/>
                              <w:color w:val="A1C5D7"/>
                              <w:spacing w:val="-1"/>
                              <w:sz w:val="12"/>
                              <w:szCs w:val="12"/>
                            </w:rPr>
                            <w:t>2023/4/21</w:t>
                          </w:r>
                        </w:p>
                      </w:tc>
                      <w:tc>
                        <w:tcPr>
                          <w:tcW w:w="6485" w:type="dxa"/>
                          <w:vAlign w:val="top"/>
                        </w:tcPr>
                        <w:p w14:paraId="775B1D09">
                          <w:pPr>
                            <w:spacing w:before="32" w:line="192" w:lineRule="auto"/>
                            <w:ind w:left="75"/>
                            <w:rPr>
                              <w:rFonts w:ascii="Times New Roman" w:hAnsi="Times New Roman" w:eastAsia="Times New Roman" w:cs="Times New Roman"/>
                              <w:sz w:val="12"/>
                              <w:szCs w:val="12"/>
                            </w:rPr>
                          </w:pPr>
                          <w:r>
                            <w:rPr>
                              <w:rFonts w:ascii="Times New Roman" w:hAnsi="Times New Roman" w:eastAsia="Times New Roman" w:cs="Times New Roman"/>
                              <w:color w:val="9EC4DB"/>
                              <w:spacing w:val="-1"/>
                              <w:sz w:val="12"/>
                              <w:szCs w:val="12"/>
                            </w:rPr>
                            <w:t>2023/4/22</w:t>
                          </w:r>
                        </w:p>
                        <w:p w14:paraId="26740967">
                          <w:pPr>
                            <w:spacing w:before="29" w:line="177" w:lineRule="auto"/>
                            <w:ind w:left="75"/>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2023/4/24</w:t>
                          </w:r>
                        </w:p>
                      </w:tc>
                    </w:tr>
                    <w:tr w14:paraId="130ACD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358" w:type="dxa"/>
                          <w:vAlign w:val="top"/>
                        </w:tcPr>
                        <w:p w14:paraId="167D3E38">
                          <w:pPr>
                            <w:spacing w:before="80" w:line="188" w:lineRule="auto"/>
                            <w:ind w:left="180"/>
                            <w:rPr>
                              <w:rFonts w:ascii="Times New Roman" w:hAnsi="Times New Roman" w:eastAsia="Times New Roman" w:cs="Times New Roman"/>
                              <w:sz w:val="12"/>
                              <w:szCs w:val="12"/>
                            </w:rPr>
                          </w:pPr>
                          <w:r>
                            <w:rPr>
                              <w:rFonts w:ascii="Times New Roman" w:hAnsi="Times New Roman" w:eastAsia="Times New Roman" w:cs="Times New Roman"/>
                              <w:color w:val="7FAABA"/>
                              <w:sz w:val="12"/>
                              <w:szCs w:val="12"/>
                            </w:rPr>
                            <w:t>6</w:t>
                          </w:r>
                        </w:p>
                      </w:tc>
                      <w:tc>
                        <w:tcPr>
                          <w:tcW w:w="578" w:type="dxa"/>
                          <w:vAlign w:val="top"/>
                        </w:tcPr>
                        <w:p w14:paraId="260A9451">
                          <w:pPr>
                            <w:spacing w:before="87" w:line="221" w:lineRule="auto"/>
                            <w:ind w:left="111"/>
                            <w:rPr>
                              <w:rFonts w:ascii="黑体" w:hAnsi="黑体" w:eastAsia="黑体" w:cs="黑体"/>
                              <w:sz w:val="12"/>
                              <w:szCs w:val="12"/>
                            </w:rPr>
                          </w:pPr>
                          <w:r>
                            <w:rPr>
                              <w:rFonts w:ascii="黑体" w:hAnsi="黑体" w:eastAsia="黑体" w:cs="黑体"/>
                              <w:color w:val="259AC5"/>
                              <w:spacing w:val="-2"/>
                              <w:sz w:val="12"/>
                              <w:szCs w:val="12"/>
                            </w:rPr>
                            <w:t>任务6</w:t>
                          </w:r>
                        </w:p>
                      </w:tc>
                      <w:tc>
                        <w:tcPr>
                          <w:tcW w:w="374" w:type="dxa"/>
                          <w:vAlign w:val="top"/>
                        </w:tcPr>
                        <w:p w14:paraId="6DD22F58">
                          <w:pPr>
                            <w:spacing w:before="10" w:line="213" w:lineRule="auto"/>
                            <w:ind w:left="64"/>
                            <w:rPr>
                              <w:rFonts w:ascii="黑体" w:hAnsi="黑体" w:eastAsia="黑体" w:cs="黑体"/>
                              <w:sz w:val="12"/>
                              <w:szCs w:val="12"/>
                            </w:rPr>
                          </w:pPr>
                          <w:r>
                            <w:rPr>
                              <w:rFonts w:ascii="黑体" w:hAnsi="黑体" w:eastAsia="黑体" w:cs="黑体"/>
                              <w:color w:val="27ABDC"/>
                              <w:spacing w:val="-3"/>
                              <w:sz w:val="12"/>
                              <w:szCs w:val="12"/>
                            </w:rPr>
                            <w:t>计</w:t>
                          </w:r>
                          <w:r>
                            <w:rPr>
                              <w:rFonts w:ascii="黑体" w:hAnsi="黑体" w:eastAsia="黑体" w:cs="黑体"/>
                              <w:color w:val="27ABDC"/>
                              <w:spacing w:val="-20"/>
                              <w:sz w:val="12"/>
                              <w:szCs w:val="12"/>
                            </w:rPr>
                            <w:t xml:space="preserve"> </w:t>
                          </w:r>
                          <w:r>
                            <w:rPr>
                              <w:rFonts w:ascii="黑体" w:hAnsi="黑体" w:eastAsia="黑体" w:cs="黑体"/>
                              <w:color w:val="27ABDC"/>
                              <w:spacing w:val="-3"/>
                              <w:sz w:val="12"/>
                              <w:szCs w:val="12"/>
                            </w:rPr>
                            <w:t>划</w:t>
                          </w:r>
                        </w:p>
                        <w:p w14:paraId="0B3F2880">
                          <w:pPr>
                            <w:spacing w:line="186" w:lineRule="auto"/>
                            <w:ind w:left="64"/>
                            <w:rPr>
                              <w:rFonts w:ascii="黑体" w:hAnsi="黑体" w:eastAsia="黑体" w:cs="黑体"/>
                              <w:sz w:val="12"/>
                              <w:szCs w:val="12"/>
                            </w:rPr>
                          </w:pPr>
                          <w:r>
                            <w:rPr>
                              <w:rFonts w:ascii="黑体" w:hAnsi="黑体" w:eastAsia="黑体" w:cs="黑体"/>
                              <w:color w:val="2999BB"/>
                              <w:spacing w:val="-2"/>
                              <w:sz w:val="12"/>
                              <w:szCs w:val="12"/>
                            </w:rPr>
                            <w:t>实际</w:t>
                          </w:r>
                        </w:p>
                      </w:tc>
                      <w:tc>
                        <w:tcPr>
                          <w:tcW w:w="614" w:type="dxa"/>
                          <w:vAlign w:val="top"/>
                        </w:tcPr>
                        <w:p w14:paraId="0F2E0D58">
                          <w:pPr>
                            <w:spacing w:before="27" w:line="192" w:lineRule="auto"/>
                            <w:ind w:left="69"/>
                            <w:rPr>
                              <w:rFonts w:ascii="Times New Roman" w:hAnsi="Times New Roman" w:eastAsia="Times New Roman" w:cs="Times New Roman"/>
                              <w:sz w:val="12"/>
                              <w:szCs w:val="12"/>
                            </w:rPr>
                          </w:pPr>
                          <w:r>
                            <w:rPr>
                              <w:rFonts w:ascii="Times New Roman" w:hAnsi="Times New Roman" w:eastAsia="Times New Roman" w:cs="Times New Roman"/>
                              <w:color w:val="90BACC"/>
                              <w:spacing w:val="-1"/>
                              <w:sz w:val="12"/>
                              <w:szCs w:val="12"/>
                            </w:rPr>
                            <w:t>2023/4/21</w:t>
                          </w:r>
                        </w:p>
                        <w:p w14:paraId="695C8ED8">
                          <w:pPr>
                            <w:spacing w:before="29" w:line="177" w:lineRule="auto"/>
                            <w:ind w:left="69"/>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2023/4/25</w:t>
                          </w:r>
                        </w:p>
                      </w:tc>
                      <w:tc>
                        <w:tcPr>
                          <w:tcW w:w="6485" w:type="dxa"/>
                          <w:vAlign w:val="top"/>
                        </w:tcPr>
                        <w:p w14:paraId="2B44F829">
                          <w:pPr>
                            <w:spacing w:before="27" w:line="192" w:lineRule="auto"/>
                            <w:ind w:left="65"/>
                            <w:rPr>
                              <w:rFonts w:ascii="Times New Roman" w:hAnsi="Times New Roman" w:eastAsia="Times New Roman" w:cs="Times New Roman"/>
                              <w:sz w:val="12"/>
                              <w:szCs w:val="12"/>
                            </w:rPr>
                          </w:pPr>
                          <w:r>
                            <w:rPr>
                              <w:rFonts w:ascii="Times New Roman" w:hAnsi="Times New Roman" w:eastAsia="Times New Roman" w:cs="Times New Roman"/>
                              <w:color w:val="99C9DE"/>
                              <w:spacing w:val="-1"/>
                              <w:sz w:val="12"/>
                              <w:szCs w:val="12"/>
                            </w:rPr>
                            <w:t>2023/4/24</w:t>
                          </w:r>
                        </w:p>
                        <w:p w14:paraId="4C06F3B1">
                          <w:pPr>
                            <w:spacing w:before="29" w:line="177" w:lineRule="auto"/>
                            <w:ind w:left="75"/>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2023/4/28</w:t>
                          </w:r>
                        </w:p>
                      </w:tc>
                    </w:tr>
                    <w:tr w14:paraId="208369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358" w:type="dxa"/>
                          <w:vAlign w:val="top"/>
                        </w:tcPr>
                        <w:p w14:paraId="4A3C70E5">
                          <w:pPr>
                            <w:spacing w:before="81" w:line="185" w:lineRule="auto"/>
                            <w:ind w:left="180"/>
                            <w:rPr>
                              <w:rFonts w:ascii="Times New Roman" w:hAnsi="Times New Roman" w:eastAsia="Times New Roman" w:cs="Times New Roman"/>
                              <w:sz w:val="12"/>
                              <w:szCs w:val="12"/>
                            </w:rPr>
                          </w:pPr>
                          <w:r>
                            <w:rPr>
                              <w:rFonts w:ascii="Times New Roman" w:hAnsi="Times New Roman" w:eastAsia="Times New Roman" w:cs="Times New Roman"/>
                              <w:color w:val="86AEC0"/>
                              <w:sz w:val="12"/>
                              <w:szCs w:val="12"/>
                            </w:rPr>
                            <w:t>7</w:t>
                          </w:r>
                        </w:p>
                      </w:tc>
                      <w:tc>
                        <w:tcPr>
                          <w:tcW w:w="578" w:type="dxa"/>
                          <w:vAlign w:val="top"/>
                        </w:tcPr>
                        <w:p w14:paraId="288C6550">
                          <w:pPr>
                            <w:spacing w:before="87" w:line="221" w:lineRule="auto"/>
                            <w:ind w:left="111"/>
                            <w:rPr>
                              <w:rFonts w:ascii="黑体" w:hAnsi="黑体" w:eastAsia="黑体" w:cs="黑体"/>
                              <w:sz w:val="12"/>
                              <w:szCs w:val="12"/>
                            </w:rPr>
                          </w:pPr>
                          <w:r>
                            <w:rPr>
                              <w:rFonts w:ascii="黑体" w:hAnsi="黑体" w:eastAsia="黑体" w:cs="黑体"/>
                              <w:color w:val="008DDF"/>
                              <w:spacing w:val="-2"/>
                              <w:sz w:val="12"/>
                              <w:szCs w:val="12"/>
                            </w:rPr>
                            <w:t>任务7</w:t>
                          </w:r>
                        </w:p>
                      </w:tc>
                      <w:tc>
                        <w:tcPr>
                          <w:tcW w:w="374" w:type="dxa"/>
                          <w:vAlign w:val="top"/>
                        </w:tcPr>
                        <w:p w14:paraId="141F1B21">
                          <w:pPr>
                            <w:spacing w:before="10" w:line="213" w:lineRule="auto"/>
                            <w:ind w:left="64"/>
                            <w:rPr>
                              <w:rFonts w:ascii="黑体" w:hAnsi="黑体" w:eastAsia="黑体" w:cs="黑体"/>
                              <w:sz w:val="12"/>
                              <w:szCs w:val="12"/>
                            </w:rPr>
                          </w:pPr>
                          <w:r>
                            <w:rPr>
                              <w:rFonts w:ascii="黑体" w:hAnsi="黑体" w:eastAsia="黑体" w:cs="黑体"/>
                              <w:color w:val="539DB4"/>
                              <w:spacing w:val="-3"/>
                              <w:sz w:val="12"/>
                              <w:szCs w:val="12"/>
                            </w:rPr>
                            <w:t>计</w:t>
                          </w:r>
                          <w:r>
                            <w:rPr>
                              <w:rFonts w:ascii="黑体" w:hAnsi="黑体" w:eastAsia="黑体" w:cs="黑体"/>
                              <w:color w:val="539DB4"/>
                              <w:spacing w:val="-20"/>
                              <w:sz w:val="12"/>
                              <w:szCs w:val="12"/>
                            </w:rPr>
                            <w:t xml:space="preserve"> </w:t>
                          </w:r>
                          <w:r>
                            <w:rPr>
                              <w:rFonts w:ascii="黑体" w:hAnsi="黑体" w:eastAsia="黑体" w:cs="黑体"/>
                              <w:color w:val="539DB4"/>
                              <w:spacing w:val="-3"/>
                              <w:sz w:val="12"/>
                              <w:szCs w:val="12"/>
                            </w:rPr>
                            <w:t>划</w:t>
                          </w:r>
                        </w:p>
                        <w:p w14:paraId="7D64F214">
                          <w:pPr>
                            <w:spacing w:line="186" w:lineRule="auto"/>
                            <w:ind w:left="64"/>
                            <w:rPr>
                              <w:rFonts w:ascii="黑体" w:hAnsi="黑体" w:eastAsia="黑体" w:cs="黑体"/>
                              <w:sz w:val="12"/>
                              <w:szCs w:val="12"/>
                            </w:rPr>
                          </w:pPr>
                          <w:r>
                            <w:rPr>
                              <w:rFonts w:ascii="黑体" w:hAnsi="黑体" w:eastAsia="黑体" w:cs="黑体"/>
                              <w:spacing w:val="-2"/>
                              <w:sz w:val="12"/>
                              <w:szCs w:val="12"/>
                            </w:rPr>
                            <w:t>实际</w:t>
                          </w:r>
                        </w:p>
                      </w:tc>
                      <w:tc>
                        <w:tcPr>
                          <w:tcW w:w="614" w:type="dxa"/>
                          <w:vAlign w:val="top"/>
                        </w:tcPr>
                        <w:p w14:paraId="2CDE3A75">
                          <w:pPr>
                            <w:spacing w:before="37" w:line="192" w:lineRule="auto"/>
                            <w:ind w:left="69"/>
                            <w:rPr>
                              <w:rFonts w:ascii="Times New Roman" w:hAnsi="Times New Roman" w:eastAsia="Times New Roman" w:cs="Times New Roman"/>
                              <w:sz w:val="12"/>
                              <w:szCs w:val="12"/>
                            </w:rPr>
                          </w:pPr>
                          <w:r>
                            <w:rPr>
                              <w:rFonts w:ascii="Times New Roman" w:hAnsi="Times New Roman" w:eastAsia="Times New Roman" w:cs="Times New Roman"/>
                              <w:color w:val="7AB9D0"/>
                              <w:spacing w:val="-1"/>
                              <w:sz w:val="12"/>
                              <w:szCs w:val="12"/>
                            </w:rPr>
                            <w:t>2023/4/25</w:t>
                          </w:r>
                        </w:p>
                        <w:p w14:paraId="55843400">
                          <w:pPr>
                            <w:spacing w:before="29" w:line="160" w:lineRule="auto"/>
                            <w:ind w:left="69"/>
                            <w:rPr>
                              <w:rFonts w:ascii="Times New Roman" w:hAnsi="Times New Roman" w:eastAsia="Times New Roman" w:cs="Times New Roman"/>
                              <w:sz w:val="12"/>
                              <w:szCs w:val="12"/>
                            </w:rPr>
                          </w:pPr>
                          <w:r>
                            <w:rPr>
                              <w:rFonts w:ascii="Times New Roman" w:hAnsi="Times New Roman" w:eastAsia="Times New Roman" w:cs="Times New Roman"/>
                              <w:color w:val="79ACBF"/>
                              <w:spacing w:val="-1"/>
                              <w:sz w:val="12"/>
                              <w:szCs w:val="12"/>
                            </w:rPr>
                            <w:t>2023/4/28</w:t>
                          </w:r>
                        </w:p>
                      </w:tc>
                      <w:tc>
                        <w:tcPr>
                          <w:tcW w:w="6485" w:type="dxa"/>
                          <w:vAlign w:val="top"/>
                        </w:tcPr>
                        <w:p w14:paraId="761D36E9">
                          <w:pPr>
                            <w:spacing w:before="27" w:line="192" w:lineRule="auto"/>
                            <w:ind w:left="75"/>
                            <w:rPr>
                              <w:rFonts w:ascii="Times New Roman" w:hAnsi="Times New Roman" w:eastAsia="Times New Roman" w:cs="Times New Roman"/>
                              <w:sz w:val="12"/>
                              <w:szCs w:val="12"/>
                            </w:rPr>
                          </w:pPr>
                          <w:r>
                            <w:rPr>
                              <w:rFonts w:ascii="Times New Roman" w:hAnsi="Times New Roman" w:eastAsia="Times New Roman" w:cs="Times New Roman"/>
                              <w:color w:val="80AFC1"/>
                              <w:spacing w:val="-1"/>
                              <w:sz w:val="12"/>
                              <w:szCs w:val="12"/>
                            </w:rPr>
                            <w:t>2023/4/26</w:t>
                          </w:r>
                        </w:p>
                        <w:p w14:paraId="489ABCAF">
                          <w:pPr>
                            <w:spacing w:before="39" w:line="160" w:lineRule="auto"/>
                            <w:ind w:left="75"/>
                            <w:rPr>
                              <w:rFonts w:ascii="Times New Roman" w:hAnsi="Times New Roman" w:eastAsia="Times New Roman" w:cs="Times New Roman"/>
                              <w:sz w:val="12"/>
                              <w:szCs w:val="12"/>
                            </w:rPr>
                          </w:pPr>
                          <w:r>
                            <w:rPr>
                              <w:rFonts w:ascii="Times New Roman" w:hAnsi="Times New Roman" w:eastAsia="Times New Roman" w:cs="Times New Roman"/>
                              <w:color w:val="74B2C9"/>
                              <w:spacing w:val="-1"/>
                              <w:sz w:val="12"/>
                              <w:szCs w:val="12"/>
                            </w:rPr>
                            <w:t>2023/4/30</w:t>
                          </w:r>
                        </w:p>
                      </w:tc>
                    </w:tr>
                    <w:tr w14:paraId="43CE71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358" w:type="dxa"/>
                          <w:vAlign w:val="top"/>
                        </w:tcPr>
                        <w:p w14:paraId="420F0253">
                          <w:pPr>
                            <w:spacing w:before="90" w:line="188" w:lineRule="auto"/>
                            <w:ind w:left="180"/>
                            <w:rPr>
                              <w:rFonts w:ascii="Times New Roman" w:hAnsi="Times New Roman" w:eastAsia="Times New Roman" w:cs="Times New Roman"/>
                              <w:sz w:val="12"/>
                              <w:szCs w:val="12"/>
                            </w:rPr>
                          </w:pPr>
                          <w:r>
                            <w:rPr>
                              <w:rFonts w:ascii="Times New Roman" w:hAnsi="Times New Roman" w:eastAsia="Times New Roman" w:cs="Times New Roman"/>
                              <w:color w:val="76ADC1"/>
                              <w:sz w:val="12"/>
                              <w:szCs w:val="12"/>
                            </w:rPr>
                            <w:t>8</w:t>
                          </w:r>
                        </w:p>
                      </w:tc>
                      <w:tc>
                        <w:tcPr>
                          <w:tcW w:w="578" w:type="dxa"/>
                          <w:vAlign w:val="top"/>
                        </w:tcPr>
                        <w:p w14:paraId="0072B590">
                          <w:pPr>
                            <w:spacing w:before="87" w:line="221" w:lineRule="auto"/>
                            <w:ind w:left="111"/>
                            <w:rPr>
                              <w:rFonts w:ascii="黑体" w:hAnsi="黑体" w:eastAsia="黑体" w:cs="黑体"/>
                              <w:sz w:val="12"/>
                              <w:szCs w:val="12"/>
                            </w:rPr>
                          </w:pPr>
                          <w:r>
                            <w:rPr>
                              <w:rFonts w:ascii="黑体" w:hAnsi="黑体" w:eastAsia="黑体" w:cs="黑体"/>
                              <w:color w:val="0077BC"/>
                              <w:spacing w:val="-2"/>
                              <w:sz w:val="12"/>
                              <w:szCs w:val="12"/>
                            </w:rPr>
                            <w:t>任务8</w:t>
                          </w:r>
                        </w:p>
                      </w:tc>
                      <w:tc>
                        <w:tcPr>
                          <w:tcW w:w="374" w:type="dxa"/>
                          <w:vAlign w:val="top"/>
                        </w:tcPr>
                        <w:p w14:paraId="4BE3D674">
                          <w:pPr>
                            <w:spacing w:before="10" w:line="224" w:lineRule="auto"/>
                            <w:ind w:left="64"/>
                            <w:rPr>
                              <w:rFonts w:ascii="黑体" w:hAnsi="黑体" w:eastAsia="黑体" w:cs="黑体"/>
                              <w:sz w:val="12"/>
                              <w:szCs w:val="12"/>
                            </w:rPr>
                          </w:pPr>
                          <w:r>
                            <w:rPr>
                              <w:rFonts w:ascii="黑体" w:hAnsi="黑体" w:eastAsia="黑体" w:cs="黑体"/>
                              <w:spacing w:val="-2"/>
                              <w:sz w:val="12"/>
                              <w:szCs w:val="12"/>
                            </w:rPr>
                            <w:t>计划</w:t>
                          </w:r>
                        </w:p>
                        <w:p w14:paraId="6C0E75EF">
                          <w:pPr>
                            <w:spacing w:before="12" w:line="222" w:lineRule="auto"/>
                            <w:ind w:left="64"/>
                            <w:rPr>
                              <w:rFonts w:ascii="黑体" w:hAnsi="黑体" w:eastAsia="黑体" w:cs="黑体"/>
                              <w:sz w:val="12"/>
                              <w:szCs w:val="12"/>
                            </w:rPr>
                          </w:pPr>
                          <w:r>
                            <w:rPr>
                              <w:rFonts w:ascii="黑体" w:hAnsi="黑体" w:eastAsia="黑体" w:cs="黑体"/>
                              <w:color w:val="0088CD"/>
                              <w:spacing w:val="-2"/>
                              <w:sz w:val="12"/>
                              <w:szCs w:val="12"/>
                            </w:rPr>
                            <w:t>实际</w:t>
                          </w:r>
                        </w:p>
                      </w:tc>
                      <w:tc>
                        <w:tcPr>
                          <w:tcW w:w="614" w:type="dxa"/>
                          <w:vAlign w:val="top"/>
                        </w:tcPr>
                        <w:p w14:paraId="04691913">
                          <w:pPr>
                            <w:spacing w:before="47" w:line="192" w:lineRule="auto"/>
                            <w:ind w:left="69"/>
                            <w:rPr>
                              <w:rFonts w:ascii="Times New Roman" w:hAnsi="Times New Roman" w:eastAsia="Times New Roman" w:cs="Times New Roman"/>
                              <w:sz w:val="12"/>
                              <w:szCs w:val="12"/>
                            </w:rPr>
                          </w:pPr>
                          <w:r>
                            <w:rPr>
                              <w:rFonts w:ascii="Times New Roman" w:hAnsi="Times New Roman" w:eastAsia="Times New Roman" w:cs="Times New Roman"/>
                              <w:color w:val="76A4BF"/>
                              <w:spacing w:val="-1"/>
                              <w:sz w:val="12"/>
                              <w:szCs w:val="12"/>
                            </w:rPr>
                            <w:t>2023/4/27</w:t>
                          </w:r>
                        </w:p>
                        <w:p w14:paraId="5360EE40">
                          <w:pPr>
                            <w:spacing w:before="29" w:line="192" w:lineRule="auto"/>
                            <w:ind w:left="69"/>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2023/4/30</w:t>
                          </w:r>
                        </w:p>
                      </w:tc>
                      <w:tc>
                        <w:tcPr>
                          <w:tcW w:w="6485" w:type="dxa"/>
                          <w:vAlign w:val="top"/>
                        </w:tcPr>
                        <w:p w14:paraId="12E53543">
                          <w:pPr>
                            <w:spacing w:before="27" w:line="192" w:lineRule="auto"/>
                            <w:ind w:left="75"/>
                            <w:rPr>
                              <w:rFonts w:ascii="Times New Roman" w:hAnsi="Times New Roman" w:eastAsia="Times New Roman" w:cs="Times New Roman"/>
                              <w:sz w:val="12"/>
                              <w:szCs w:val="12"/>
                            </w:rPr>
                          </w:pPr>
                          <w:r>
                            <w:rPr>
                              <w:rFonts w:ascii="Times New Roman" w:hAnsi="Times New Roman" w:eastAsia="Times New Roman" w:cs="Times New Roman"/>
                              <w:color w:val="6997AB"/>
                              <w:spacing w:val="-1"/>
                              <w:sz w:val="12"/>
                              <w:szCs w:val="12"/>
                            </w:rPr>
                            <w:t>2023/4/30</w:t>
                          </w:r>
                        </w:p>
                        <w:p w14:paraId="7F3193C5">
                          <w:pPr>
                            <w:spacing w:before="49" w:line="192" w:lineRule="auto"/>
                            <w:ind w:left="86"/>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2023/5/2</w:t>
                          </w:r>
                        </w:p>
                      </w:tc>
                    </w:tr>
                  </w:tbl>
                  <w:p w14:paraId="3366FC43">
                    <w:pPr>
                      <w:rPr>
                        <w:rFonts w:ascii="Arial"/>
                        <w:sz w:val="21"/>
                      </w:rPr>
                    </w:pPr>
                  </w:p>
                </w:txbxContent>
              </v:textbox>
            </v:shape>
            <v:shape id="_x0000_s1427" o:spid="_x0000_s1427" o:spt="202" type="#_x0000_t202" style="position:absolute;left:6049;top:479;height:345;width:577;" filled="f" stroked="f" coordsize="21600,21600">
              <v:path/>
              <v:fill on="f" focussize="0,0"/>
              <v:stroke on="f"/>
              <v:imagedata o:title=""/>
              <o:lock v:ext="edit" aspectratio="f"/>
              <v:textbox inset="0mm,0mm,0mm,0mm">
                <w:txbxContent>
                  <w:p w14:paraId="07AA5413">
                    <w:pPr>
                      <w:spacing w:before="20" w:line="212" w:lineRule="auto"/>
                      <w:ind w:left="20"/>
                      <w:rPr>
                        <w:rFonts w:ascii="黑体" w:hAnsi="黑体" w:eastAsia="黑体" w:cs="黑体"/>
                        <w:sz w:val="18"/>
                        <w:szCs w:val="18"/>
                      </w:rPr>
                    </w:pPr>
                    <w:r>
                      <w:rPr>
                        <w:rFonts w:ascii="黑体" w:hAnsi="黑体" w:eastAsia="黑体" w:cs="黑体"/>
                        <w:color w:val="1383CE"/>
                        <w:spacing w:val="-7"/>
                        <w:sz w:val="12"/>
                        <w:szCs w:val="12"/>
                      </w:rPr>
                      <w:t>三</w:t>
                    </w:r>
                    <w:r>
                      <w:rPr>
                        <w:rFonts w:ascii="黑体" w:hAnsi="黑体" w:eastAsia="黑体" w:cs="黑体"/>
                        <w:color w:val="1383CE"/>
                        <w:spacing w:val="18"/>
                        <w:sz w:val="12"/>
                        <w:szCs w:val="12"/>
                      </w:rPr>
                      <w:t xml:space="preserve"> </w:t>
                    </w:r>
                    <w:r>
                      <w:rPr>
                        <w:rFonts w:ascii="黑体" w:hAnsi="黑体" w:eastAsia="黑体" w:cs="黑体"/>
                        <w:color w:val="0E82D0"/>
                        <w:spacing w:val="-7"/>
                        <w:sz w:val="12"/>
                        <w:szCs w:val="12"/>
                      </w:rPr>
                      <w:t>四</w:t>
                    </w:r>
                    <w:r>
                      <w:rPr>
                        <w:rFonts w:ascii="黑体" w:hAnsi="黑体" w:eastAsia="黑体" w:cs="黑体"/>
                        <w:color w:val="0E82D0"/>
                        <w:spacing w:val="1"/>
                        <w:sz w:val="12"/>
                        <w:szCs w:val="12"/>
                      </w:rPr>
                      <w:t xml:space="preserve"> </w:t>
                    </w:r>
                    <w:r>
                      <w:rPr>
                        <w:rFonts w:ascii="黑体" w:hAnsi="黑体" w:eastAsia="黑体" w:cs="黑体"/>
                        <w:color w:val="48BBFE"/>
                        <w:spacing w:val="-7"/>
                        <w:sz w:val="18"/>
                        <w:szCs w:val="18"/>
                      </w:rPr>
                      <w:t>五</w:t>
                    </w:r>
                  </w:p>
                  <w:p w14:paraId="56360050">
                    <w:pPr>
                      <w:spacing w:line="203" w:lineRule="auto"/>
                      <w:ind w:left="49"/>
                      <w:rPr>
                        <w:rFonts w:ascii="Times New Roman" w:hAnsi="Times New Roman" w:eastAsia="Times New Roman" w:cs="Times New Roman"/>
                        <w:sz w:val="12"/>
                        <w:szCs w:val="12"/>
                      </w:rPr>
                    </w:pPr>
                    <w:r>
                      <w:rPr>
                        <w:rFonts w:ascii="黑体" w:hAnsi="黑体" w:eastAsia="黑体" w:cs="黑体"/>
                        <w:spacing w:val="-2"/>
                        <w:sz w:val="8"/>
                        <w:szCs w:val="8"/>
                      </w:rPr>
                      <w:t>1画</w:t>
                    </w:r>
                    <w:r>
                      <w:rPr>
                        <w:rFonts w:ascii="黑体" w:hAnsi="黑体" w:eastAsia="黑体" w:cs="黑体"/>
                        <w:spacing w:val="3"/>
                        <w:sz w:val="8"/>
                        <w:szCs w:val="8"/>
                      </w:rPr>
                      <w:t xml:space="preserve">  </w:t>
                    </w:r>
                    <w:r>
                      <w:rPr>
                        <w:rFonts w:ascii="Times New Roman" w:hAnsi="Times New Roman" w:eastAsia="Times New Roman" w:cs="Times New Roman"/>
                        <w:color w:val="45BDFA"/>
                        <w:spacing w:val="-2"/>
                        <w:sz w:val="12"/>
                        <w:szCs w:val="12"/>
                      </w:rPr>
                      <w:t>20</w:t>
                    </w:r>
                    <w:r>
                      <w:rPr>
                        <w:rFonts w:ascii="Times New Roman" w:hAnsi="Times New Roman" w:eastAsia="Times New Roman" w:cs="Times New Roman"/>
                        <w:color w:val="45BDFA"/>
                        <w:spacing w:val="6"/>
                        <w:sz w:val="12"/>
                        <w:szCs w:val="12"/>
                      </w:rPr>
                      <w:t xml:space="preserve">  </w:t>
                    </w:r>
                    <w:r>
                      <w:rPr>
                        <w:rFonts w:ascii="Times New Roman" w:hAnsi="Times New Roman" w:eastAsia="Times New Roman" w:cs="Times New Roman"/>
                        <w:color w:val="4BC4F0"/>
                        <w:spacing w:val="-2"/>
                        <w:sz w:val="12"/>
                        <w:szCs w:val="12"/>
                      </w:rPr>
                      <w:t>21</w:t>
                    </w:r>
                  </w:p>
                </w:txbxContent>
              </v:textbox>
            </v:shape>
            <v:shape id="_x0000_s1428" o:spid="_x0000_s1428" o:spt="202" type="#_x0000_t202" style="position:absolute;left:7439;top:599;height:231;width:750;" filled="f" stroked="f" coordsize="21600,21600">
              <v:path/>
              <v:fill on="f" focussize="0,0"/>
              <v:stroke on="f"/>
              <v:imagedata o:title=""/>
              <o:lock v:ext="edit" aspectratio="f"/>
              <v:textbox inset="0mm,0mm,0mm,0mm">
                <w:txbxContent>
                  <w:p w14:paraId="0633976D">
                    <w:pPr>
                      <w:spacing w:before="19" w:line="238" w:lineRule="auto"/>
                      <w:ind w:left="20"/>
                      <w:rPr>
                        <w:rFonts w:ascii="Times New Roman" w:hAnsi="Times New Roman" w:eastAsia="Times New Roman" w:cs="Times New Roman"/>
                        <w:sz w:val="19"/>
                        <w:szCs w:val="19"/>
                      </w:rPr>
                    </w:pPr>
                    <w:r>
                      <w:rPr>
                        <w:rFonts w:ascii="Times New Roman" w:hAnsi="Times New Roman" w:eastAsia="Times New Roman" w:cs="Times New Roman"/>
                        <w:color w:val="46C0F5"/>
                        <w:sz w:val="19"/>
                        <w:szCs w:val="19"/>
                      </w:rPr>
                      <w:drawing>
                        <wp:inline distT="0" distB="0" distL="0" distR="0">
                          <wp:extent cx="215900" cy="12065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75"/>
                                  <a:stretch>
                                    <a:fillRect/>
                                  </a:stretch>
                                </pic:blipFill>
                                <pic:spPr>
                                  <a:xfrm>
                                    <a:off x="0" y="0"/>
                                    <a:ext cx="215901" cy="120662"/>
                                  </a:xfrm>
                                  <a:prstGeom prst="rect">
                                    <a:avLst/>
                                  </a:prstGeom>
                                </pic:spPr>
                              </pic:pic>
                            </a:graphicData>
                          </a:graphic>
                        </wp:inline>
                      </w:drawing>
                    </w:r>
                    <w:r>
                      <w:rPr>
                        <w:rFonts w:ascii="Times New Roman" w:hAnsi="Times New Roman" w:eastAsia="Times New Roman" w:cs="Times New Roman"/>
                        <w:color w:val="46C0F5"/>
                        <w:spacing w:val="-7"/>
                        <w:sz w:val="19"/>
                        <w:szCs w:val="19"/>
                      </w:rPr>
                      <w:t xml:space="preserve"> </w:t>
                    </w:r>
                    <w:r>
                      <w:rPr>
                        <w:rFonts w:ascii="Times New Roman" w:hAnsi="Times New Roman" w:eastAsia="Times New Roman" w:cs="Times New Roman"/>
                        <w:color w:val="46C0F5"/>
                        <w:spacing w:val="-8"/>
                        <w:sz w:val="19"/>
                        <w:szCs w:val="19"/>
                      </w:rPr>
                      <w:t>282a</w:t>
                    </w:r>
                  </w:p>
                </w:txbxContent>
              </v:textbox>
            </v:shape>
            <v:shape id="_x0000_s1429" o:spid="_x0000_s1429" o:spt="202" type="#_x0000_t202" style="position:absolute;left:6659;top:536;height:301;width:357;" filled="f" stroked="f" coordsize="21600,21600">
              <v:path/>
              <v:fill on="f" focussize="0,0"/>
              <v:stroke on="f"/>
              <v:imagedata o:title=""/>
              <o:lock v:ext="edit" aspectratio="f"/>
              <v:textbox inset="0mm,0mm,0mm,0mm">
                <w:txbxContent>
                  <w:p w14:paraId="3AB3BA55">
                    <w:pPr>
                      <w:spacing w:before="19" w:line="214" w:lineRule="auto"/>
                      <w:ind w:left="180"/>
                      <w:rPr>
                        <w:rFonts w:ascii="黑体" w:hAnsi="黑体" w:eastAsia="黑体" w:cs="黑体"/>
                        <w:sz w:val="12"/>
                        <w:szCs w:val="12"/>
                      </w:rPr>
                    </w:pPr>
                    <w:r>
                      <w:rPr>
                        <w:rFonts w:ascii="黑体" w:hAnsi="黑体" w:eastAsia="黑体" w:cs="黑体"/>
                        <w:color w:val="47BDF0"/>
                        <w:sz w:val="12"/>
                        <w:szCs w:val="12"/>
                      </w:rPr>
                      <w:t>日</w:t>
                    </w:r>
                  </w:p>
                  <w:p w14:paraId="2D2CA188">
                    <w:pPr>
                      <w:spacing w:line="221" w:lineRule="auto"/>
                      <w:ind w:left="20"/>
                      <w:rPr>
                        <w:rFonts w:ascii="Times New Roman" w:hAnsi="Times New Roman" w:eastAsia="Times New Roman" w:cs="Times New Roman"/>
                        <w:sz w:val="12"/>
                        <w:szCs w:val="12"/>
                      </w:rPr>
                    </w:pPr>
                    <w:r>
                      <w:rPr>
                        <w:rFonts w:ascii="黑体" w:hAnsi="黑体" w:eastAsia="黑体" w:cs="黑体"/>
                        <w:spacing w:val="-2"/>
                        <w:sz w:val="12"/>
                        <w:szCs w:val="12"/>
                      </w:rPr>
                      <w:t>过</w:t>
                    </w:r>
                    <w:r>
                      <w:rPr>
                        <w:rFonts w:ascii="黑体" w:hAnsi="黑体" w:eastAsia="黑体" w:cs="黑体"/>
                        <w:spacing w:val="24"/>
                        <w:w w:val="101"/>
                        <w:sz w:val="12"/>
                        <w:szCs w:val="12"/>
                      </w:rPr>
                      <w:t xml:space="preserve"> </w:t>
                    </w:r>
                    <w:r>
                      <w:rPr>
                        <w:rFonts w:ascii="Times New Roman" w:hAnsi="Times New Roman" w:eastAsia="Times New Roman" w:cs="Times New Roman"/>
                        <w:spacing w:val="-2"/>
                        <w:position w:val="1"/>
                        <w:sz w:val="12"/>
                        <w:szCs w:val="12"/>
                      </w:rPr>
                      <w:t>23</w:t>
                    </w:r>
                  </w:p>
                </w:txbxContent>
              </v:textbox>
            </v:shape>
            <v:shape id="_x0000_s1430" o:spid="_x0000_s1430" o:spt="202" type="#_x0000_t202" style="position:absolute;left:7040;top:543;height:287;width:347;" filled="f" stroked="f" coordsize="21600,21600">
              <v:path/>
              <v:fill on="f" focussize="0,0"/>
              <v:stroke on="f"/>
              <v:imagedata o:title=""/>
              <o:lock v:ext="edit" aspectratio="f"/>
              <v:textbox inset="0mm,0mm,0mm,0mm">
                <w:txbxContent>
                  <w:p w14:paraId="7C24B316">
                    <w:pPr>
                      <w:spacing w:before="20" w:line="183" w:lineRule="auto"/>
                      <w:ind w:left="199"/>
                      <w:rPr>
                        <w:rFonts w:ascii="黑体" w:hAnsi="黑体" w:eastAsia="黑体" w:cs="黑体"/>
                        <w:sz w:val="12"/>
                        <w:szCs w:val="12"/>
                      </w:rPr>
                    </w:pPr>
                    <w:r>
                      <w:rPr>
                        <w:rFonts w:ascii="黑体" w:hAnsi="黑体" w:eastAsia="黑体" w:cs="黑体"/>
                        <w:color w:val="118DCC"/>
                        <w:sz w:val="12"/>
                        <w:szCs w:val="12"/>
                      </w:rPr>
                      <w:t>三</w:t>
                    </w:r>
                  </w:p>
                  <w:p w14:paraId="6A8AAAB1">
                    <w:pPr>
                      <w:spacing w:line="183"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5"/>
                        <w:w w:val="81"/>
                        <w:sz w:val="19"/>
                        <w:szCs w:val="19"/>
                      </w:rPr>
                      <w:t>24</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color w:val="51CFF6"/>
                        <w:spacing w:val="-1"/>
                        <w:sz w:val="12"/>
                        <w:szCs w:val="12"/>
                      </w:rPr>
                      <w:t>25</w:t>
                    </w:r>
                  </w:p>
                </w:txbxContent>
              </v:textbox>
            </v:shape>
            <w10:wrap type="none"/>
            <w10:anchorlock/>
          </v:group>
        </w:pict>
      </w:r>
    </w:p>
    <w:p w14:paraId="4F1177F4">
      <w:pPr>
        <w:pStyle w:val="2"/>
        <w:spacing w:before="108" w:line="219" w:lineRule="auto"/>
        <w:ind w:left="3940"/>
        <w:rPr>
          <w:sz w:val="19"/>
          <w:szCs w:val="19"/>
        </w:rPr>
      </w:pPr>
      <w:r>
        <w:rPr>
          <w:spacing w:val="-7"/>
          <w:sz w:val="19"/>
          <w:szCs w:val="19"/>
        </w:rPr>
        <w:t>图11-1</w:t>
      </w:r>
      <w:r>
        <w:rPr>
          <w:spacing w:val="76"/>
          <w:w w:val="101"/>
          <w:sz w:val="19"/>
          <w:szCs w:val="19"/>
        </w:rPr>
        <w:t xml:space="preserve"> </w:t>
      </w:r>
      <w:r>
        <w:rPr>
          <w:spacing w:val="-7"/>
          <w:sz w:val="19"/>
          <w:szCs w:val="19"/>
        </w:rPr>
        <w:t>甘特图</w:t>
      </w:r>
    </w:p>
    <w:p w14:paraId="644AD172">
      <w:pPr>
        <w:pStyle w:val="2"/>
        <w:spacing w:before="205" w:line="294" w:lineRule="auto"/>
        <w:ind w:left="369" w:firstLine="420"/>
        <w:jc w:val="both"/>
        <w:rPr>
          <w:sz w:val="19"/>
          <w:szCs w:val="19"/>
        </w:rPr>
      </w:pPr>
      <w:r>
        <w:rPr>
          <w:spacing w:val="13"/>
          <w:sz w:val="19"/>
          <w:szCs w:val="19"/>
        </w:rPr>
        <w:t>监理工程师应将每天、每周或每月的进度实际情况记录在实</w:t>
      </w:r>
      <w:r>
        <w:rPr>
          <w:spacing w:val="12"/>
          <w:sz w:val="19"/>
          <w:szCs w:val="19"/>
        </w:rPr>
        <w:t>施进度表内，并与计划进度相</w:t>
      </w:r>
      <w:r>
        <w:rPr>
          <w:sz w:val="19"/>
          <w:szCs w:val="19"/>
        </w:rPr>
        <w:t xml:space="preserve"> </w:t>
      </w:r>
      <w:r>
        <w:rPr>
          <w:spacing w:val="9"/>
          <w:sz w:val="19"/>
          <w:szCs w:val="19"/>
        </w:rPr>
        <w:t>比较，以确定进度是超前还是落后，亦或按预定的进度进行。如果检查发现项目进度已经落后，</w:t>
      </w:r>
      <w:r>
        <w:rPr>
          <w:spacing w:val="6"/>
          <w:sz w:val="19"/>
          <w:szCs w:val="19"/>
        </w:rPr>
        <w:t xml:space="preserve"> </w:t>
      </w:r>
      <w:r>
        <w:rPr>
          <w:spacing w:val="13"/>
          <w:sz w:val="19"/>
          <w:szCs w:val="19"/>
        </w:rPr>
        <w:t>则应立即提出监理报告，并与承建单位一起商讨对策，采取补救措施，改变落</w:t>
      </w:r>
      <w:r>
        <w:rPr>
          <w:spacing w:val="12"/>
          <w:sz w:val="19"/>
          <w:szCs w:val="19"/>
        </w:rPr>
        <w:t>后情况。如果检</w:t>
      </w:r>
      <w:r>
        <w:rPr>
          <w:sz w:val="19"/>
          <w:szCs w:val="19"/>
        </w:rPr>
        <w:t xml:space="preserve"> </w:t>
      </w:r>
      <w:r>
        <w:rPr>
          <w:spacing w:val="8"/>
          <w:sz w:val="19"/>
          <w:szCs w:val="19"/>
        </w:rPr>
        <w:t>查发现项目进度超前，也应分析原因，避免出现任务遗漏、工序不合理缩减等情形。</w:t>
      </w:r>
    </w:p>
    <w:p w14:paraId="0CD2EAB8">
      <w:pPr>
        <w:pStyle w:val="2"/>
        <w:spacing w:before="153" w:line="219" w:lineRule="auto"/>
        <w:ind w:left="792"/>
        <w:rPr>
          <w:rFonts w:ascii="黑体" w:hAnsi="黑体" w:eastAsia="黑体" w:cs="黑体"/>
          <w:sz w:val="19"/>
          <w:szCs w:val="19"/>
        </w:rPr>
      </w:pPr>
      <w:r>
        <w:rPr>
          <w:b/>
          <w:bCs/>
          <w:color w:val="0068B9"/>
          <w:spacing w:val="9"/>
          <w:sz w:val="19"/>
          <w:szCs w:val="19"/>
        </w:rPr>
        <w:t>2.</w:t>
      </w:r>
      <w:r>
        <w:rPr>
          <w:rFonts w:ascii="黑体" w:hAnsi="黑体" w:eastAsia="黑体" w:cs="黑体"/>
          <w:b/>
          <w:bCs/>
          <w:color w:val="0068B9"/>
          <w:spacing w:val="9"/>
          <w:sz w:val="19"/>
          <w:szCs w:val="19"/>
        </w:rPr>
        <w:t>进度曲线图</w:t>
      </w:r>
    </w:p>
    <w:p w14:paraId="3667BAC3">
      <w:pPr>
        <w:pStyle w:val="2"/>
        <w:spacing w:before="129" w:line="219" w:lineRule="auto"/>
        <w:ind w:left="790"/>
        <w:rPr>
          <w:sz w:val="19"/>
          <w:szCs w:val="19"/>
        </w:rPr>
      </w:pPr>
      <w:r>
        <w:rPr>
          <w:spacing w:val="13"/>
          <w:sz w:val="19"/>
          <w:szCs w:val="19"/>
        </w:rPr>
        <w:t>甘特图虽然简单直观，但在计划与实际的对</w:t>
      </w:r>
      <w:r>
        <w:rPr>
          <w:spacing w:val="12"/>
          <w:sz w:val="19"/>
          <w:szCs w:val="19"/>
        </w:rPr>
        <w:t>比上，很难准确表示出实际进度较计划进度超</w:t>
      </w:r>
    </w:p>
    <w:p w14:paraId="6A1ABD2C">
      <w:pPr>
        <w:pStyle w:val="2"/>
        <w:spacing w:before="85" w:line="362" w:lineRule="auto"/>
        <w:ind w:left="369" w:right="44"/>
        <w:rPr>
          <w:sz w:val="12"/>
          <w:szCs w:val="12"/>
        </w:rPr>
      </w:pPr>
      <w:r>
        <w:rPr>
          <w:spacing w:val="13"/>
          <w:sz w:val="19"/>
          <w:szCs w:val="19"/>
        </w:rPr>
        <w:t>前或延迟的程度。为了更准确地掌握工程进度状况，有效地进行进度控制，可以采用实</w:t>
      </w:r>
      <w:r>
        <w:rPr>
          <w:spacing w:val="12"/>
          <w:sz w:val="19"/>
          <w:szCs w:val="19"/>
        </w:rPr>
        <w:t>施进度</w:t>
      </w:r>
      <w:r>
        <w:rPr>
          <w:sz w:val="19"/>
          <w:szCs w:val="19"/>
        </w:rPr>
        <w:t xml:space="preserve"> </w:t>
      </w:r>
      <w:r>
        <w:rPr>
          <w:spacing w:val="-7"/>
          <w:sz w:val="12"/>
          <w:szCs w:val="12"/>
        </w:rPr>
        <w:t>曲  线</w:t>
      </w:r>
      <w:r>
        <w:rPr>
          <w:spacing w:val="51"/>
          <w:sz w:val="12"/>
          <w:szCs w:val="12"/>
        </w:rPr>
        <w:t xml:space="preserve"> </w:t>
      </w:r>
      <w:r>
        <w:rPr>
          <w:spacing w:val="-7"/>
          <w:sz w:val="12"/>
          <w:szCs w:val="12"/>
        </w:rPr>
        <w:t>。</w:t>
      </w:r>
    </w:p>
    <w:p w14:paraId="69E3E2D7">
      <w:pPr>
        <w:pStyle w:val="2"/>
        <w:spacing w:before="22" w:line="283" w:lineRule="auto"/>
        <w:ind w:left="369" w:right="46" w:firstLine="420"/>
        <w:jc w:val="both"/>
        <w:rPr>
          <w:sz w:val="19"/>
          <w:szCs w:val="19"/>
        </w:rPr>
      </w:pPr>
      <w:r>
        <w:rPr>
          <w:spacing w:val="13"/>
          <w:sz w:val="19"/>
          <w:szCs w:val="19"/>
        </w:rPr>
        <w:t>实施进度曲线图采用直角坐标，横轴代表工</w:t>
      </w:r>
      <w:r>
        <w:rPr>
          <w:spacing w:val="12"/>
          <w:sz w:val="19"/>
          <w:szCs w:val="19"/>
        </w:rPr>
        <w:t>期或时间，纵轴代表项目完成的任务量或实施</w:t>
      </w:r>
      <w:r>
        <w:rPr>
          <w:sz w:val="19"/>
          <w:szCs w:val="19"/>
        </w:rPr>
        <w:t xml:space="preserve"> </w:t>
      </w:r>
      <w:r>
        <w:rPr>
          <w:spacing w:val="13"/>
          <w:sz w:val="19"/>
          <w:szCs w:val="19"/>
        </w:rPr>
        <w:t>进度的累计。将有关数据表示在坐标图中，将不同时间和完成不同任务量的交点连</w:t>
      </w:r>
      <w:r>
        <w:rPr>
          <w:spacing w:val="12"/>
          <w:sz w:val="19"/>
          <w:szCs w:val="19"/>
        </w:rPr>
        <w:t>起来，就形</w:t>
      </w:r>
      <w:r>
        <w:rPr>
          <w:sz w:val="19"/>
          <w:szCs w:val="19"/>
        </w:rPr>
        <w:t xml:space="preserve"> </w:t>
      </w:r>
      <w:r>
        <w:rPr>
          <w:spacing w:val="7"/>
          <w:sz w:val="19"/>
          <w:szCs w:val="19"/>
        </w:rPr>
        <w:t>成了实际完成曲线。</w:t>
      </w:r>
    </w:p>
    <w:p w14:paraId="1718CC7C">
      <w:pPr>
        <w:pStyle w:val="2"/>
        <w:spacing w:before="47" w:line="288" w:lineRule="auto"/>
        <w:ind w:left="369" w:right="13" w:firstLine="420"/>
        <w:rPr>
          <w:sz w:val="19"/>
          <w:szCs w:val="19"/>
        </w:rPr>
      </w:pPr>
      <w:r>
        <w:rPr>
          <w:spacing w:val="13"/>
          <w:sz w:val="19"/>
          <w:szCs w:val="19"/>
        </w:rPr>
        <w:t>根据项目计划中各任务的预计最快完成时间和预计最慢完成时间，可以绘制出“香蕉”曲</w:t>
      </w:r>
      <w:r>
        <w:rPr>
          <w:spacing w:val="14"/>
          <w:sz w:val="19"/>
          <w:szCs w:val="19"/>
        </w:rPr>
        <w:t xml:space="preserve"> </w:t>
      </w:r>
      <w:r>
        <w:rPr>
          <w:spacing w:val="13"/>
          <w:sz w:val="19"/>
          <w:szCs w:val="19"/>
        </w:rPr>
        <w:t>线图，如图11-2所示。图中曲线</w:t>
      </w:r>
      <w:r>
        <w:rPr>
          <w:rFonts w:ascii="Times New Roman" w:hAnsi="Times New Roman" w:eastAsia="Times New Roman" w:cs="Times New Roman"/>
          <w:sz w:val="19"/>
          <w:szCs w:val="19"/>
        </w:rPr>
        <w:t>ES</w:t>
      </w:r>
      <w:r>
        <w:rPr>
          <w:rFonts w:ascii="Times New Roman" w:hAnsi="Times New Roman" w:eastAsia="Times New Roman" w:cs="Times New Roman"/>
          <w:spacing w:val="13"/>
          <w:sz w:val="19"/>
          <w:szCs w:val="19"/>
        </w:rPr>
        <w:t xml:space="preserve"> </w:t>
      </w:r>
      <w:r>
        <w:rPr>
          <w:spacing w:val="13"/>
          <w:sz w:val="19"/>
          <w:szCs w:val="19"/>
        </w:rPr>
        <w:t>为最早时间计划，曲线</w:t>
      </w:r>
      <w:r>
        <w:rPr>
          <w:rFonts w:ascii="Times New Roman" w:hAnsi="Times New Roman" w:eastAsia="Times New Roman" w:cs="Times New Roman"/>
          <w:sz w:val="19"/>
          <w:szCs w:val="19"/>
        </w:rPr>
        <w:t>LS</w:t>
      </w:r>
      <w:r>
        <w:rPr>
          <w:rFonts w:ascii="Times New Roman" w:hAnsi="Times New Roman" w:eastAsia="Times New Roman" w:cs="Times New Roman"/>
          <w:spacing w:val="34"/>
          <w:w w:val="102"/>
          <w:sz w:val="19"/>
          <w:szCs w:val="19"/>
        </w:rPr>
        <w:t xml:space="preserve"> </w:t>
      </w:r>
      <w:r>
        <w:rPr>
          <w:spacing w:val="13"/>
          <w:sz w:val="19"/>
          <w:szCs w:val="19"/>
        </w:rPr>
        <w:t>为最迟时间计划，实际</w:t>
      </w:r>
      <w:r>
        <w:rPr>
          <w:spacing w:val="12"/>
          <w:sz w:val="19"/>
          <w:szCs w:val="19"/>
        </w:rPr>
        <w:t>完成曲线</w:t>
      </w:r>
    </w:p>
    <w:p w14:paraId="5D0B48C4">
      <w:pPr>
        <w:spacing w:line="288" w:lineRule="auto"/>
        <w:rPr>
          <w:sz w:val="19"/>
          <w:szCs w:val="19"/>
        </w:rPr>
        <w:sectPr>
          <w:pgSz w:w="10300" w:h="13410"/>
          <w:pgMar w:top="400" w:right="1084" w:bottom="400" w:left="479" w:header="0" w:footer="0" w:gutter="0"/>
          <w:cols w:space="720" w:num="1"/>
        </w:sectPr>
      </w:pPr>
    </w:p>
    <w:p w14:paraId="329DECBF">
      <w:pPr>
        <w:pStyle w:val="2"/>
        <w:jc w:val="right"/>
        <w:rPr>
          <w:rFonts w:ascii="Times New Roman" w:hAnsi="Times New Roman" w:eastAsia="Times New Roman" w:cs="Times New Roman"/>
          <w:sz w:val="19"/>
          <w:szCs w:val="19"/>
        </w:rPr>
      </w:pPr>
      <w:r>
        <w:rPr>
          <w:spacing w:val="7"/>
          <w:sz w:val="19"/>
          <w:szCs w:val="19"/>
        </w:rPr>
        <w:t>第11章</w:t>
      </w:r>
      <w:r>
        <w:rPr>
          <w:spacing w:val="41"/>
          <w:sz w:val="19"/>
          <w:szCs w:val="19"/>
        </w:rPr>
        <w:t xml:space="preserve"> </w:t>
      </w:r>
      <w:r>
        <w:rPr>
          <w:spacing w:val="7"/>
          <w:sz w:val="19"/>
          <w:szCs w:val="19"/>
        </w:rPr>
        <w:t xml:space="preserve">进度控制 </w:t>
      </w:r>
      <w:r>
        <w:rPr>
          <w:position w:val="-12"/>
          <w:sz w:val="19"/>
          <w:szCs w:val="19"/>
        </w:rPr>
        <w:drawing>
          <wp:inline distT="0" distB="0" distL="0" distR="0">
            <wp:extent cx="304165" cy="24130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76"/>
                    <a:stretch>
                      <a:fillRect/>
                    </a:stretch>
                  </pic:blipFill>
                  <pic:spPr>
                    <a:xfrm>
                      <a:off x="0" y="0"/>
                      <a:ext cx="304782" cy="241300"/>
                    </a:xfrm>
                    <a:prstGeom prst="rect">
                      <a:avLst/>
                    </a:prstGeom>
                  </pic:spPr>
                </pic:pic>
              </a:graphicData>
            </a:graphic>
          </wp:inline>
        </w:drawing>
      </w:r>
      <w:r>
        <w:rPr>
          <w:rFonts w:ascii="Times New Roman" w:hAnsi="Times New Roman" w:eastAsia="Times New Roman" w:cs="Times New Roman"/>
          <w:spacing w:val="7"/>
          <w:position w:val="1"/>
          <w:sz w:val="19"/>
          <w:szCs w:val="19"/>
        </w:rPr>
        <w:t>263</w:t>
      </w:r>
    </w:p>
    <w:p w14:paraId="39E8DE69">
      <w:pPr>
        <w:pStyle w:val="2"/>
        <w:spacing w:before="297" w:line="318" w:lineRule="auto"/>
        <w:ind w:right="298"/>
        <w:rPr>
          <w:sz w:val="19"/>
          <w:szCs w:val="19"/>
        </w:rPr>
      </w:pPr>
      <w:r>
        <w:rPr>
          <w:spacing w:val="11"/>
          <w:sz w:val="19"/>
          <w:szCs w:val="19"/>
        </w:rPr>
        <w:t>为实际进度。实际完成曲线处在两曲线之中表示进度正常，处于曲线</w:t>
      </w:r>
      <w:r>
        <w:rPr>
          <w:rFonts w:ascii="Times New Roman" w:hAnsi="Times New Roman" w:eastAsia="Times New Roman" w:cs="Times New Roman"/>
          <w:sz w:val="19"/>
          <w:szCs w:val="19"/>
        </w:rPr>
        <w:t>ES</w:t>
      </w:r>
      <w:r>
        <w:rPr>
          <w:rFonts w:ascii="Times New Roman" w:hAnsi="Times New Roman" w:eastAsia="Times New Roman" w:cs="Times New Roman"/>
          <w:spacing w:val="11"/>
          <w:sz w:val="19"/>
          <w:szCs w:val="19"/>
        </w:rPr>
        <w:t xml:space="preserve"> </w:t>
      </w:r>
      <w:r>
        <w:rPr>
          <w:spacing w:val="11"/>
          <w:sz w:val="19"/>
          <w:szCs w:val="19"/>
        </w:rPr>
        <w:t>之上表示提前，处于曲</w:t>
      </w:r>
      <w:r>
        <w:rPr>
          <w:spacing w:val="10"/>
          <w:sz w:val="19"/>
          <w:szCs w:val="19"/>
        </w:rPr>
        <w:t xml:space="preserve"> </w:t>
      </w:r>
      <w:r>
        <w:rPr>
          <w:spacing w:val="7"/>
          <w:sz w:val="19"/>
          <w:szCs w:val="19"/>
        </w:rPr>
        <w:t>线</w:t>
      </w:r>
      <w:r>
        <w:rPr>
          <w:sz w:val="19"/>
          <w:szCs w:val="19"/>
        </w:rPr>
        <w:t>LS</w:t>
      </w:r>
      <w:r>
        <w:rPr>
          <w:spacing w:val="22"/>
          <w:sz w:val="19"/>
          <w:szCs w:val="19"/>
        </w:rPr>
        <w:t xml:space="preserve"> </w:t>
      </w:r>
      <w:r>
        <w:rPr>
          <w:spacing w:val="7"/>
          <w:sz w:val="19"/>
          <w:szCs w:val="19"/>
        </w:rPr>
        <w:t>之下表示延期。</w:t>
      </w:r>
    </w:p>
    <w:p w14:paraId="2C07B370">
      <w:pPr>
        <w:pStyle w:val="2"/>
        <w:spacing w:before="37" w:line="3350" w:lineRule="exact"/>
        <w:ind w:firstLine="1190"/>
      </w:pPr>
      <w:r>
        <w:rPr>
          <w:position w:val="-67"/>
        </w:rPr>
        <w:pict>
          <v:group id="_x0000_s1431" o:spid="_x0000_s1431" o:spt="203" style="height:167.55pt;width:298.55pt;" coordsize="5970,3351">
            <o:lock v:ext="edit"/>
            <v:shape id="_x0000_s1432" o:spid="_x0000_s1432" o:spt="75" type="#_x0000_t75" style="position:absolute;left:0;top:0;height:3351;width:5970;" filled="f" stroked="f" coordsize="21600,21600">
              <v:path/>
              <v:fill on="f" focussize="0,0"/>
              <v:stroke on="f"/>
              <v:imagedata r:id="rId177" o:title=""/>
              <o:lock v:ext="edit" aspectratio="t"/>
            </v:shape>
            <v:shape id="_x0000_s1433" o:spid="_x0000_s1433" o:spt="202" type="#_x0000_t202" style="position:absolute;left:19;top:274;height:3036;width:5934;" filled="f" stroked="f" coordsize="21600,21600">
              <v:path/>
              <v:fill on="f" focussize="0,0"/>
              <v:stroke on="f"/>
              <v:imagedata o:title=""/>
              <o:lock v:ext="edit" aspectratio="f"/>
              <v:textbox inset="0mm,0mm,0mm,0mm">
                <w:txbxContent>
                  <w:p w14:paraId="7AA9E9D1">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100%</w:t>
                    </w:r>
                  </w:p>
                  <w:p w14:paraId="4251860B">
                    <w:pPr>
                      <w:spacing w:before="169" w:line="188" w:lineRule="auto"/>
                      <w:ind w:left="1729"/>
                      <w:rPr>
                        <w:rFonts w:ascii="黑体" w:hAnsi="黑体" w:eastAsia="黑体" w:cs="黑体"/>
                        <w:sz w:val="19"/>
                        <w:szCs w:val="19"/>
                      </w:rPr>
                    </w:pPr>
                    <w:r>
                      <w:rPr>
                        <w:rFonts w:ascii="Times New Roman" w:hAnsi="Times New Roman" w:eastAsia="Times New Roman" w:cs="Times New Roman"/>
                        <w:spacing w:val="-3"/>
                        <w:sz w:val="19"/>
                        <w:szCs w:val="19"/>
                      </w:rPr>
                      <w:t>ES</w:t>
                    </w:r>
                    <w:r>
                      <w:rPr>
                        <w:rFonts w:ascii="黑体" w:hAnsi="黑体" w:eastAsia="黑体" w:cs="黑体"/>
                        <w:spacing w:val="-3"/>
                        <w:sz w:val="19"/>
                        <w:szCs w:val="19"/>
                      </w:rPr>
                      <w:t>曲线</w:t>
                    </w:r>
                  </w:p>
                  <w:p w14:paraId="56A91F9D">
                    <w:pPr>
                      <w:spacing w:line="192" w:lineRule="auto"/>
                      <w:ind w:left="819"/>
                      <w:rPr>
                        <w:rFonts w:ascii="宋体" w:hAnsi="宋体" w:eastAsia="宋体" w:cs="宋体"/>
                        <w:sz w:val="19"/>
                        <w:szCs w:val="19"/>
                      </w:rPr>
                    </w:pPr>
                    <w:r>
                      <w:rPr>
                        <w:rFonts w:ascii="宋体" w:hAnsi="宋体" w:eastAsia="宋体" w:cs="宋体"/>
                        <w:color w:val="30607C"/>
                        <w:spacing w:val="-11"/>
                        <w:sz w:val="19"/>
                        <w:szCs w:val="19"/>
                      </w:rPr>
                      <w:t>实际</w:t>
                    </w:r>
                  </w:p>
                  <w:p w14:paraId="314F2290">
                    <w:pPr>
                      <w:spacing w:line="206" w:lineRule="auto"/>
                      <w:ind w:left="819"/>
                      <w:rPr>
                        <w:rFonts w:ascii="黑体" w:hAnsi="黑体" w:eastAsia="黑体" w:cs="黑体"/>
                        <w:sz w:val="19"/>
                        <w:szCs w:val="19"/>
                      </w:rPr>
                    </w:pPr>
                    <w:r>
                      <w:rPr>
                        <w:rFonts w:ascii="黑体" w:hAnsi="黑体" w:eastAsia="黑体" w:cs="黑体"/>
                        <w:spacing w:val="-11"/>
                        <w:sz w:val="19"/>
                        <w:szCs w:val="19"/>
                      </w:rPr>
                      <w:t>完成</w:t>
                    </w:r>
                  </w:p>
                  <w:p w14:paraId="5840713E">
                    <w:pPr>
                      <w:spacing w:line="200" w:lineRule="auto"/>
                      <w:ind w:left="819"/>
                      <w:rPr>
                        <w:rFonts w:ascii="宋体" w:hAnsi="宋体" w:eastAsia="宋体" w:cs="宋体"/>
                        <w:sz w:val="19"/>
                        <w:szCs w:val="19"/>
                      </w:rPr>
                    </w:pPr>
                    <w:r>
                      <w:rPr>
                        <w:rFonts w:ascii="宋体" w:hAnsi="宋体" w:eastAsia="宋体" w:cs="宋体"/>
                        <w:color w:val="1B566F"/>
                        <w:spacing w:val="-3"/>
                        <w:sz w:val="19"/>
                        <w:szCs w:val="19"/>
                      </w:rPr>
                      <w:t>情况</w:t>
                    </w:r>
                  </w:p>
                  <w:p w14:paraId="4AB325EA">
                    <w:pPr>
                      <w:spacing w:line="197" w:lineRule="auto"/>
                      <w:ind w:left="819"/>
                      <w:rPr>
                        <w:rFonts w:ascii="黑体" w:hAnsi="黑体" w:eastAsia="黑体" w:cs="黑体"/>
                        <w:sz w:val="19"/>
                        <w:szCs w:val="19"/>
                      </w:rPr>
                    </w:pPr>
                    <w:r>
                      <w:rPr>
                        <w:rFonts w:ascii="黑体" w:hAnsi="黑体" w:eastAsia="黑体" w:cs="黑体"/>
                        <w:color w:val="23526D"/>
                        <w:spacing w:val="-5"/>
                        <w:sz w:val="19"/>
                        <w:szCs w:val="19"/>
                      </w:rPr>
                      <w:t>曲线</w:t>
                    </w:r>
                  </w:p>
                  <w:p w14:paraId="61B72C0C">
                    <w:pPr>
                      <w:spacing w:before="1" w:line="196" w:lineRule="auto"/>
                      <w:ind w:left="4030" w:right="1532"/>
                      <w:rPr>
                        <w:rFonts w:ascii="宋体" w:hAnsi="宋体" w:eastAsia="宋体" w:cs="宋体"/>
                        <w:sz w:val="19"/>
                        <w:szCs w:val="19"/>
                      </w:rPr>
                    </w:pPr>
                    <w:r>
                      <w:rPr>
                        <w:rFonts w:ascii="宋体" w:hAnsi="宋体" w:eastAsia="宋体" w:cs="宋体"/>
                        <w:spacing w:val="-5"/>
                        <w:sz w:val="19"/>
                        <w:szCs w:val="19"/>
                      </w:rPr>
                      <w:t>预测</w:t>
                    </w:r>
                    <w:r>
                      <w:rPr>
                        <w:rFonts w:ascii="宋体" w:hAnsi="宋体" w:eastAsia="宋体" w:cs="宋体"/>
                        <w:sz w:val="19"/>
                        <w:szCs w:val="19"/>
                      </w:rPr>
                      <w:t xml:space="preserve"> </w:t>
                    </w:r>
                    <w:r>
                      <w:rPr>
                        <w:rFonts w:ascii="宋体" w:hAnsi="宋体" w:eastAsia="宋体" w:cs="宋体"/>
                        <w:spacing w:val="-8"/>
                        <w:sz w:val="19"/>
                        <w:szCs w:val="19"/>
                      </w:rPr>
                      <w:t>状态</w:t>
                    </w:r>
                  </w:p>
                  <w:p w14:paraId="6605C9BC">
                    <w:pPr>
                      <w:spacing w:line="263" w:lineRule="auto"/>
                      <w:rPr>
                        <w:rFonts w:ascii="Arial"/>
                        <w:sz w:val="21"/>
                      </w:rPr>
                    </w:pPr>
                  </w:p>
                  <w:p w14:paraId="234F931B">
                    <w:pPr>
                      <w:spacing w:line="263" w:lineRule="auto"/>
                      <w:rPr>
                        <w:rFonts w:ascii="Arial"/>
                        <w:sz w:val="21"/>
                      </w:rPr>
                    </w:pPr>
                  </w:p>
                  <w:p w14:paraId="2CF82EB1">
                    <w:pPr>
                      <w:spacing w:before="63" w:line="219" w:lineRule="auto"/>
                      <w:ind w:left="3189"/>
                      <w:rPr>
                        <w:rFonts w:ascii="黑体" w:hAnsi="黑体" w:eastAsia="黑体" w:cs="黑体"/>
                        <w:sz w:val="19"/>
                        <w:szCs w:val="19"/>
                      </w:rPr>
                    </w:pPr>
                    <w:r>
                      <w:rPr>
                        <w:rFonts w:ascii="Times New Roman" w:hAnsi="Times New Roman" w:eastAsia="Times New Roman" w:cs="Times New Roman"/>
                        <w:spacing w:val="-3"/>
                        <w:sz w:val="19"/>
                        <w:szCs w:val="19"/>
                      </w:rPr>
                      <w:t>LS</w:t>
                    </w:r>
                    <w:r>
                      <w:rPr>
                        <w:rFonts w:ascii="黑体" w:hAnsi="黑体" w:eastAsia="黑体" w:cs="黑体"/>
                        <w:spacing w:val="-3"/>
                        <w:sz w:val="19"/>
                        <w:szCs w:val="19"/>
                      </w:rPr>
                      <w:t>曲线</w:t>
                    </w:r>
                  </w:p>
                  <w:p w14:paraId="43067D42">
                    <w:pPr>
                      <w:spacing w:before="230" w:line="221" w:lineRule="auto"/>
                      <w:ind w:right="11"/>
                      <w:jc w:val="right"/>
                      <w:rPr>
                        <w:rFonts w:ascii="宋体" w:hAnsi="宋体" w:eastAsia="宋体" w:cs="宋体"/>
                        <w:sz w:val="19"/>
                        <w:szCs w:val="19"/>
                      </w:rPr>
                    </w:pPr>
                    <w:r>
                      <w:rPr>
                        <w:rFonts w:ascii="宋体" w:hAnsi="宋体" w:eastAsia="宋体" w:cs="宋体"/>
                        <w:spacing w:val="-5"/>
                        <w:sz w:val="19"/>
                        <w:szCs w:val="19"/>
                      </w:rPr>
                      <w:t>时间</w:t>
                    </w:r>
                  </w:p>
                </w:txbxContent>
              </v:textbox>
            </v:shape>
            <w10:wrap type="none"/>
            <w10:anchorlock/>
          </v:group>
        </w:pict>
      </w:r>
    </w:p>
    <w:p w14:paraId="691F93E0">
      <w:pPr>
        <w:pStyle w:val="2"/>
        <w:spacing w:before="78" w:line="220" w:lineRule="auto"/>
        <w:ind w:left="3229"/>
        <w:rPr>
          <w:sz w:val="19"/>
          <w:szCs w:val="19"/>
        </w:rPr>
      </w:pPr>
      <w:r>
        <w:rPr>
          <w:spacing w:val="-3"/>
          <w:sz w:val="19"/>
          <w:szCs w:val="19"/>
        </w:rPr>
        <w:t>图11-2“香蕉”曲线图</w:t>
      </w:r>
    </w:p>
    <w:p w14:paraId="39E888F6">
      <w:pPr>
        <w:spacing w:line="267" w:lineRule="auto"/>
        <w:rPr>
          <w:rFonts w:ascii="Arial"/>
          <w:sz w:val="21"/>
        </w:rPr>
      </w:pPr>
    </w:p>
    <w:p w14:paraId="36B2BDD7">
      <w:pPr>
        <w:pStyle w:val="2"/>
        <w:spacing w:before="84" w:line="221" w:lineRule="auto"/>
        <w:ind w:left="2"/>
        <w:rPr>
          <w:sz w:val="26"/>
          <w:szCs w:val="26"/>
        </w:rPr>
      </w:pPr>
      <w:r>
        <w:rPr>
          <w:b/>
          <w:bCs/>
          <w:color w:val="2977C5"/>
          <w:spacing w:val="-25"/>
          <w:sz w:val="26"/>
          <w:szCs w:val="26"/>
        </w:rPr>
        <w:t>11.3.2</w:t>
      </w:r>
      <w:r>
        <w:rPr>
          <w:color w:val="2977C5"/>
          <w:spacing w:val="-25"/>
          <w:sz w:val="26"/>
          <w:szCs w:val="26"/>
        </w:rPr>
        <w:t xml:space="preserve">  </w:t>
      </w:r>
      <w:r>
        <w:rPr>
          <w:b/>
          <w:bCs/>
          <w:color w:val="2977C5"/>
          <w:spacing w:val="-25"/>
          <w:sz w:val="26"/>
          <w:szCs w:val="26"/>
        </w:rPr>
        <w:t>网络图计划法</w:t>
      </w:r>
    </w:p>
    <w:p w14:paraId="04FCDAFD">
      <w:pPr>
        <w:pStyle w:val="2"/>
        <w:spacing w:before="148" w:line="301" w:lineRule="auto"/>
        <w:ind w:right="294" w:firstLine="419"/>
        <w:jc w:val="both"/>
        <w:rPr>
          <w:sz w:val="19"/>
          <w:szCs w:val="19"/>
        </w:rPr>
      </w:pPr>
      <w:r>
        <w:rPr>
          <w:spacing w:val="13"/>
          <w:sz w:val="19"/>
          <w:szCs w:val="19"/>
        </w:rPr>
        <w:t>监理工程师利用甘特图控制进度有一个较大的缺点，就是很难了解或难以迅速准确地</w:t>
      </w:r>
      <w:r>
        <w:rPr>
          <w:spacing w:val="12"/>
          <w:sz w:val="19"/>
          <w:szCs w:val="19"/>
        </w:rPr>
        <w:t>了解</w:t>
      </w:r>
      <w:r>
        <w:rPr>
          <w:sz w:val="19"/>
          <w:szCs w:val="19"/>
        </w:rPr>
        <w:t xml:space="preserve"> </w:t>
      </w:r>
      <w:r>
        <w:rPr>
          <w:spacing w:val="13"/>
          <w:sz w:val="19"/>
          <w:szCs w:val="19"/>
        </w:rPr>
        <w:t>该项任务的延迟及变化对整个工期的影响，特别是在处理错综复杂的关系时，往往不能预先确</w:t>
      </w:r>
      <w:r>
        <w:rPr>
          <w:spacing w:val="1"/>
          <w:sz w:val="19"/>
          <w:szCs w:val="19"/>
        </w:rPr>
        <w:t xml:space="preserve"> </w:t>
      </w:r>
      <w:r>
        <w:rPr>
          <w:spacing w:val="6"/>
          <w:sz w:val="19"/>
          <w:szCs w:val="19"/>
        </w:rPr>
        <w:t>定哪些属于关键作业。</w:t>
      </w:r>
    </w:p>
    <w:p w14:paraId="2C80214B">
      <w:pPr>
        <w:pStyle w:val="2"/>
        <w:spacing w:before="1" w:line="304" w:lineRule="auto"/>
        <w:ind w:right="302" w:firstLine="419"/>
        <w:jc w:val="both"/>
        <w:rPr>
          <w:sz w:val="19"/>
          <w:szCs w:val="19"/>
        </w:rPr>
      </w:pPr>
      <w:r>
        <w:rPr>
          <w:spacing w:val="13"/>
          <w:sz w:val="19"/>
          <w:szCs w:val="19"/>
        </w:rPr>
        <w:t>采用网络图计划法进行进度控制，不仅能够将现在和将来完成的工</w:t>
      </w:r>
      <w:r>
        <w:rPr>
          <w:spacing w:val="12"/>
          <w:sz w:val="19"/>
          <w:szCs w:val="19"/>
        </w:rPr>
        <w:t>程内容、各工作单元间</w:t>
      </w:r>
      <w:r>
        <w:rPr>
          <w:sz w:val="19"/>
          <w:szCs w:val="19"/>
        </w:rPr>
        <w:t xml:space="preserve"> </w:t>
      </w:r>
      <w:r>
        <w:rPr>
          <w:spacing w:val="13"/>
          <w:sz w:val="19"/>
          <w:szCs w:val="19"/>
        </w:rPr>
        <w:t>的关系明确地表示出来，而且能够预先确定各作业、各系统的时差。这就使监理工</w:t>
      </w:r>
      <w:r>
        <w:rPr>
          <w:spacing w:val="12"/>
          <w:sz w:val="19"/>
          <w:szCs w:val="19"/>
        </w:rPr>
        <w:t>程师能够十</w:t>
      </w:r>
      <w:r>
        <w:rPr>
          <w:sz w:val="19"/>
          <w:szCs w:val="19"/>
        </w:rPr>
        <w:t xml:space="preserve"> </w:t>
      </w:r>
      <w:r>
        <w:rPr>
          <w:spacing w:val="13"/>
          <w:sz w:val="19"/>
          <w:szCs w:val="19"/>
        </w:rPr>
        <w:t>分明确地了解关键作业或某一环节进度的超前、落后对以后衔接工程和总工期的</w:t>
      </w:r>
      <w:r>
        <w:rPr>
          <w:spacing w:val="12"/>
          <w:sz w:val="19"/>
          <w:szCs w:val="19"/>
        </w:rPr>
        <w:t>影响程度，就</w:t>
      </w:r>
      <w:r>
        <w:rPr>
          <w:sz w:val="19"/>
          <w:szCs w:val="19"/>
        </w:rPr>
        <w:t xml:space="preserve"> </w:t>
      </w:r>
      <w:r>
        <w:rPr>
          <w:spacing w:val="7"/>
          <w:sz w:val="19"/>
          <w:szCs w:val="19"/>
        </w:rPr>
        <w:t>可以及时采取措施或调整进度计划，以确保总目标的实现。</w:t>
      </w:r>
    </w:p>
    <w:p w14:paraId="67130CE2">
      <w:pPr>
        <w:pStyle w:val="2"/>
        <w:spacing w:before="8" w:line="288" w:lineRule="auto"/>
        <w:ind w:right="305" w:firstLine="419"/>
        <w:rPr>
          <w:sz w:val="19"/>
          <w:szCs w:val="19"/>
        </w:rPr>
      </w:pPr>
      <w:r>
        <w:rPr>
          <w:spacing w:val="13"/>
          <w:sz w:val="19"/>
          <w:szCs w:val="19"/>
        </w:rPr>
        <w:t>网络图是由箭头线和节点组成的用来表示工作流程的有向网</w:t>
      </w:r>
      <w:r>
        <w:rPr>
          <w:spacing w:val="12"/>
          <w:sz w:val="19"/>
          <w:szCs w:val="19"/>
        </w:rPr>
        <w:t>状图形，包括单代号网络图和</w:t>
      </w:r>
      <w:r>
        <w:rPr>
          <w:sz w:val="19"/>
          <w:szCs w:val="19"/>
        </w:rPr>
        <w:t xml:space="preserve"> </w:t>
      </w:r>
      <w:r>
        <w:rPr>
          <w:spacing w:val="6"/>
          <w:sz w:val="19"/>
          <w:szCs w:val="19"/>
        </w:rPr>
        <w:t>双代号网络图两种。</w:t>
      </w:r>
    </w:p>
    <w:p w14:paraId="3C267D1E">
      <w:pPr>
        <w:pStyle w:val="2"/>
        <w:spacing w:before="28" w:line="289" w:lineRule="auto"/>
        <w:ind w:right="312" w:firstLine="419"/>
        <w:rPr>
          <w:sz w:val="19"/>
          <w:szCs w:val="19"/>
        </w:rPr>
      </w:pPr>
      <w:r>
        <w:rPr>
          <w:spacing w:val="13"/>
          <w:sz w:val="19"/>
          <w:szCs w:val="19"/>
        </w:rPr>
        <w:t>双代号网络图又称箭头线式网络图，以箭头</w:t>
      </w:r>
      <w:r>
        <w:rPr>
          <w:spacing w:val="12"/>
          <w:sz w:val="19"/>
          <w:szCs w:val="19"/>
        </w:rPr>
        <w:t>线表示工作，以节点表示工作的开始或结束状</w:t>
      </w:r>
      <w:r>
        <w:rPr>
          <w:sz w:val="19"/>
          <w:szCs w:val="19"/>
        </w:rPr>
        <w:t xml:space="preserve"> </w:t>
      </w:r>
      <w:r>
        <w:rPr>
          <w:spacing w:val="8"/>
          <w:sz w:val="19"/>
          <w:szCs w:val="19"/>
        </w:rPr>
        <w:t>态及工作之间的连接点，如图11-3所示。</w:t>
      </w:r>
    </w:p>
    <w:p w14:paraId="76B6B9EC">
      <w:pPr>
        <w:pStyle w:val="2"/>
        <w:spacing w:before="67" w:line="2390" w:lineRule="exact"/>
        <w:ind w:firstLine="2119"/>
      </w:pPr>
      <w:r>
        <w:rPr>
          <w:position w:val="-47"/>
        </w:rPr>
        <w:pict>
          <v:group id="_x0000_s1434" o:spid="_x0000_s1434" o:spt="203" style="height:119.5pt;width:205.55pt;" coordsize="4111,2390">
            <o:lock v:ext="edit"/>
            <v:shape id="_x0000_s1435" o:spid="_x0000_s1435" o:spt="75" type="#_x0000_t75" style="position:absolute;left:0;top:0;height:2390;width:4111;" filled="f" stroked="f" coordsize="21600,21600">
              <v:path/>
              <v:fill on="f" focussize="0,0"/>
              <v:stroke on="f"/>
              <v:imagedata r:id="rId178" o:title=""/>
              <o:lock v:ext="edit" aspectratio="t"/>
            </v:shape>
            <v:shape id="_x0000_s1436" o:spid="_x0000_s1436" o:spt="202" type="#_x0000_t202" style="position:absolute;left:800;top:271;height:1998;width:3042;" filled="f" stroked="f" coordsize="21600,21600">
              <v:path/>
              <v:fill on="f" focussize="0,0"/>
              <v:stroke on="f"/>
              <v:imagedata o:title=""/>
              <o:lock v:ext="edit" aspectratio="f"/>
              <v:textbox inset="0mm,0mm,0mm,0mm">
                <w:txbxContent>
                  <w:p w14:paraId="6051F0A4">
                    <w:pPr>
                      <w:spacing w:before="21" w:line="185" w:lineRule="auto"/>
                      <w:ind w:left="1210" w:right="1667"/>
                      <w:jc w:val="right"/>
                      <w:rPr>
                        <w:rFonts w:ascii="Times New Roman" w:hAnsi="Times New Roman" w:eastAsia="Times New Roman" w:cs="Times New Roman"/>
                        <w:sz w:val="14"/>
                        <w:szCs w:val="14"/>
                      </w:rPr>
                    </w:pPr>
                    <w:r>
                      <w:rPr>
                        <w:rFonts w:ascii="Times New Roman" w:hAnsi="Times New Roman" w:eastAsia="Times New Roman" w:cs="Times New Roman"/>
                        <w:spacing w:val="-6"/>
                        <w:w w:val="79"/>
                        <w:sz w:val="25"/>
                        <w:szCs w:val="25"/>
                      </w:rPr>
                      <w:t>D</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28"/>
                        <w:w w:val="150"/>
                        <w:sz w:val="18"/>
                        <w:szCs w:val="18"/>
                      </w:rPr>
                      <w:t>7</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6"/>
                        <w:sz w:val="25"/>
                        <w:szCs w:val="25"/>
                      </w:rPr>
                      <w:t>E</w:t>
                    </w:r>
                    <w:r>
                      <w:rPr>
                        <w:rFonts w:ascii="Times New Roman" w:hAnsi="Times New Roman" w:eastAsia="Times New Roman" w:cs="Times New Roman"/>
                        <w:sz w:val="25"/>
                        <w:szCs w:val="25"/>
                      </w:rPr>
                      <w:t xml:space="preserve"> </w:t>
                    </w:r>
                    <w:r>
                      <w:rPr>
                        <w:rFonts w:ascii="Times New Roman" w:hAnsi="Times New Roman" w:eastAsia="Times New Roman" w:cs="Times New Roman"/>
                        <w:sz w:val="14"/>
                        <w:szCs w:val="14"/>
                      </w:rPr>
                      <w:t>2</w:t>
                    </w:r>
                  </w:p>
                  <w:p w14:paraId="2D5781FB">
                    <w:pPr>
                      <w:spacing w:before="12" w:line="94" w:lineRule="exact"/>
                      <w:ind w:left="99"/>
                      <w:rPr>
                        <w:rFonts w:ascii="Times New Roman" w:hAnsi="Times New Roman" w:eastAsia="Times New Roman" w:cs="Times New Roman"/>
                        <w:sz w:val="14"/>
                        <w:szCs w:val="14"/>
                      </w:rPr>
                    </w:pPr>
                    <w:r>
                      <w:rPr>
                        <w:rFonts w:ascii="Times New Roman" w:hAnsi="Times New Roman" w:eastAsia="Times New Roman" w:cs="Times New Roman"/>
                        <w:position w:val="-2"/>
                        <w:sz w:val="14"/>
                        <w:szCs w:val="14"/>
                      </w:rPr>
                      <w:t>3</w:t>
                    </w:r>
                  </w:p>
                  <w:p w14:paraId="0EE81466">
                    <w:pPr>
                      <w:spacing w:line="79" w:lineRule="exact"/>
                      <w:ind w:right="11"/>
                      <w:jc w:val="right"/>
                      <w:rPr>
                        <w:rFonts w:ascii="宋体" w:hAnsi="宋体" w:eastAsia="宋体" w:cs="宋体"/>
                        <w:sz w:val="14"/>
                        <w:szCs w:val="14"/>
                      </w:rPr>
                    </w:pPr>
                    <w:r>
                      <w:rPr>
                        <w:rFonts w:ascii="宋体" w:hAnsi="宋体" w:eastAsia="宋体" w:cs="宋体"/>
                        <w:position w:val="-2"/>
                        <w:sz w:val="14"/>
                        <w:szCs w:val="14"/>
                      </w:rPr>
                      <w:t>7</w:t>
                    </w:r>
                  </w:p>
                  <w:p w14:paraId="7C398EFE">
                    <w:pPr>
                      <w:spacing w:line="116" w:lineRule="exact"/>
                      <w:ind w:left="20"/>
                      <w:rPr>
                        <w:rFonts w:ascii="Times New Roman" w:hAnsi="Times New Roman" w:eastAsia="Times New Roman" w:cs="Times New Roman"/>
                        <w:sz w:val="19"/>
                        <w:szCs w:val="19"/>
                      </w:rPr>
                    </w:pPr>
                    <w:r>
                      <w:rPr>
                        <w:rFonts w:ascii="Times New Roman" w:hAnsi="Times New Roman" w:eastAsia="Times New Roman" w:cs="Times New Roman"/>
                        <w:position w:val="-2"/>
                        <w:sz w:val="19"/>
                        <w:szCs w:val="19"/>
                      </w:rPr>
                      <w:t>B</w:t>
                    </w:r>
                  </w:p>
                  <w:p w14:paraId="714A75DE">
                    <w:pPr>
                      <w:spacing w:line="188" w:lineRule="auto"/>
                      <w:ind w:left="690"/>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p w14:paraId="5F7270B1">
                    <w:pPr>
                      <w:spacing w:before="94" w:line="185" w:lineRule="auto"/>
                      <w:ind w:left="1210"/>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7AA251B9">
                    <w:pPr>
                      <w:spacing w:before="56" w:line="191" w:lineRule="auto"/>
                      <w:ind w:left="1160" w:right="1664" w:firstLine="129"/>
                      <w:rPr>
                        <w:rFonts w:ascii="Times New Roman" w:hAnsi="Times New Roman" w:eastAsia="Times New Roman" w:cs="Times New Roman"/>
                        <w:sz w:val="19"/>
                        <w:szCs w:val="19"/>
                      </w:rPr>
                    </w:pPr>
                    <w:r>
                      <w:rPr>
                        <w:rFonts w:ascii="Times New Roman" w:hAnsi="Times New Roman" w:eastAsia="Times New Roman" w:cs="Times New Roman"/>
                        <w:spacing w:val="-9"/>
                        <w:sz w:val="19"/>
                        <w:szCs w:val="19"/>
                      </w:rPr>
                      <w:t>6</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4"/>
                        <w:w w:val="98"/>
                        <w:sz w:val="19"/>
                        <w:szCs w:val="19"/>
                      </w:rPr>
                      <w:t>G</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22"/>
                        <w:w w:val="117"/>
                        <w:sz w:val="19"/>
                        <w:szCs w:val="19"/>
                      </w:rPr>
                      <w:t>8</w:t>
                    </w:r>
                  </w:p>
                </w:txbxContent>
              </v:textbox>
            </v:shape>
            <v:shape id="_x0000_s1437" o:spid="_x0000_s1437" o:spt="202" type="#_x0000_t202" style="position:absolute;left:3100;top:525;height:1265;width:213;" filled="f" stroked="f" coordsize="21600,21600">
              <v:path/>
              <v:fill on="f" focussize="0,0"/>
              <v:stroke on="f"/>
              <v:imagedata o:title=""/>
              <o:lock v:ext="edit" aspectratio="f"/>
              <v:textbox inset="0mm,0mm,0mm,0mm">
                <w:txbxContent>
                  <w:p w14:paraId="6A14361F">
                    <w:pPr>
                      <w:spacing w:before="20" w:line="230" w:lineRule="auto"/>
                      <w:ind w:left="108" w:right="20" w:hanging="89"/>
                      <w:rPr>
                        <w:rFonts w:ascii="Times New Roman" w:hAnsi="Times New Roman" w:eastAsia="Times New Roman" w:cs="Times New Roman"/>
                        <w:sz w:val="19"/>
                        <w:szCs w:val="19"/>
                      </w:rPr>
                    </w:pPr>
                    <w:r>
                      <w:rPr>
                        <w:rFonts w:ascii="Times New Roman" w:hAnsi="Times New Roman" w:eastAsia="Times New Roman" w:cs="Times New Roman"/>
                        <w:spacing w:val="-7"/>
                        <w:w w:val="85"/>
                        <w:sz w:val="26"/>
                        <w:szCs w:val="26"/>
                      </w:rPr>
                      <w:t>H</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12"/>
                        <w:sz w:val="19"/>
                        <w:szCs w:val="19"/>
                      </w:rPr>
                      <w:t>8</w:t>
                    </w:r>
                  </w:p>
                  <w:p w14:paraId="6ACE592C">
                    <w:pPr>
                      <w:spacing w:line="306" w:lineRule="auto"/>
                      <w:rPr>
                        <w:rFonts w:ascii="Arial"/>
                        <w:sz w:val="21"/>
                      </w:rPr>
                    </w:pPr>
                  </w:p>
                  <w:p w14:paraId="65C6D0F4">
                    <w:pPr>
                      <w:spacing w:before="75" w:line="203" w:lineRule="auto"/>
                      <w:ind w:left="109" w:right="23"/>
                      <w:rPr>
                        <w:rFonts w:ascii="Times New Roman" w:hAnsi="Times New Roman" w:eastAsia="Times New Roman" w:cs="Times New Roman"/>
                        <w:sz w:val="14"/>
                        <w:szCs w:val="14"/>
                      </w:rPr>
                    </w:pPr>
                    <w:r>
                      <w:rPr>
                        <w:rFonts w:ascii="Times New Roman" w:hAnsi="Times New Roman" w:eastAsia="Times New Roman" w:cs="Times New Roman"/>
                        <w:spacing w:val="-7"/>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sz w:val="14"/>
                        <w:szCs w:val="14"/>
                      </w:rPr>
                      <w:t>7</w:t>
                    </w:r>
                  </w:p>
                </w:txbxContent>
              </v:textbox>
            </v:shape>
            <v:shape id="_x0000_s1438" o:spid="_x0000_s1438" o:spt="202" type="#_x0000_t202" style="position:absolute;left:720;top:1389;height:500;width:302;" filled="f" stroked="f" coordsize="21600,21600">
              <v:path/>
              <v:fill on="f" focussize="0,0"/>
              <v:stroke on="f"/>
              <v:imagedata o:title=""/>
              <o:lock v:ext="edit" aspectratio="f"/>
              <v:textbox inset="0mm,0mm,0mm,0mm">
                <w:txbxContent>
                  <w:p w14:paraId="61FE35E5">
                    <w:pPr>
                      <w:spacing w:before="18" w:line="174" w:lineRule="auto"/>
                      <w:ind w:left="20" w:right="20" w:firstLine="170"/>
                      <w:rPr>
                        <w:rFonts w:ascii="Times New Roman" w:hAnsi="Times New Roman" w:eastAsia="Times New Roman" w:cs="Times New Roman"/>
                        <w:sz w:val="14"/>
                        <w:szCs w:val="14"/>
                      </w:rPr>
                    </w:pPr>
                    <w:r>
                      <w:rPr>
                        <w:rFonts w:ascii="Times New Roman" w:hAnsi="Times New Roman" w:eastAsia="Times New Roman" w:cs="Times New Roman"/>
                        <w:spacing w:val="-4"/>
                        <w:sz w:val="19"/>
                        <w:szCs w:val="19"/>
                      </w:rPr>
                      <w:t>2</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10"/>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7"/>
                        <w:sz w:val="14"/>
                        <w:szCs w:val="14"/>
                      </w:rPr>
                      <w:t>4</w:t>
                    </w:r>
                  </w:p>
                </w:txbxContent>
              </v:textbox>
            </v:shape>
            <v:shape id="_x0000_s1439" o:spid="_x0000_s1439" o:spt="202" type="#_x0000_t202" style="position:absolute;left:800;top:751;height:218;width:226;" filled="f" stroked="f" coordsize="21600,21600">
              <v:path/>
              <v:fill on="f" focussize="0,0"/>
              <v:stroke on="f"/>
              <v:imagedata o:title=""/>
              <o:lock v:ext="edit" aspectratio="f"/>
              <v:textbox inset="0mm,0mm,0mm,0mm">
                <w:txbxContent>
                  <w:p w14:paraId="7D58BBB7">
                    <w:pPr>
                      <w:spacing w:before="19" w:line="189" w:lineRule="auto"/>
                      <w:ind w:left="20"/>
                      <w:rPr>
                        <w:rFonts w:ascii="Times New Roman" w:hAnsi="Times New Roman" w:eastAsia="Times New Roman" w:cs="Times New Roman"/>
                        <w:sz w:val="26"/>
                        <w:szCs w:val="26"/>
                      </w:rPr>
                    </w:pPr>
                    <w:r>
                      <w:rPr>
                        <w:rFonts w:ascii="Times New Roman" w:hAnsi="Times New Roman" w:eastAsia="Times New Roman" w:cs="Times New Roman"/>
                        <w:sz w:val="26"/>
                        <w:szCs w:val="26"/>
                      </w:rPr>
                      <w:t>A</w:t>
                    </w:r>
                  </w:p>
                </w:txbxContent>
              </v:textbox>
            </v:shape>
            <v:shape id="_x0000_s1440" o:spid="_x0000_s1440" o:spt="202" type="#_x0000_t202" style="position:absolute;left:1290;top:2043;height:136;width:108;" filled="f" stroked="f" coordsize="21600,21600">
              <v:path/>
              <v:fill on="f" focussize="0,0"/>
              <v:stroke on="f"/>
              <v:imagedata o:title=""/>
              <o:lock v:ext="edit" aspectratio="f"/>
              <v:textbox inset="0mm,0mm,0mm,0mm">
                <w:txbxContent>
                  <w:p w14:paraId="6AAADA95">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txbxContent>
              </v:textbox>
            </v:shape>
            <v:shape id="_x0000_s1441" o:spid="_x0000_s1441" o:spt="202" type="#_x0000_t202" style="position:absolute;left:1470;top:553;height:136;width:108;" filled="f" stroked="f" coordsize="21600,21600">
              <v:path/>
              <v:fill on="f" focussize="0,0"/>
              <v:stroke on="f"/>
              <v:imagedata o:title=""/>
              <o:lock v:ext="edit" aspectratio="f"/>
              <v:textbox inset="0mm,0mm,0mm,0mm">
                <w:txbxContent>
                  <w:p w14:paraId="6BD8FE8C">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txbxContent>
              </v:textbox>
            </v:shape>
            <v:shape id="_x0000_s1442" o:spid="_x0000_s1442" o:spt="202" type="#_x0000_t202" style="position:absolute;left:2600;top:2012;height:138;width:103;" filled="f" stroked="f" coordsize="21600,21600">
              <v:path/>
              <v:fill on="f" focussize="0,0"/>
              <v:stroke on="f"/>
              <v:imagedata o:title=""/>
              <o:lock v:ext="edit" aspectratio="f"/>
              <v:textbox inset="0mm,0mm,0mm,0mm">
                <w:txbxContent>
                  <w:p w14:paraId="3F6FDC42">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txbxContent>
              </v:textbox>
            </v:shape>
            <v:shape id="_x0000_s1443" o:spid="_x0000_s1443" o:spt="202" type="#_x0000_t202" style="position:absolute;left:2590;top:244;height:136;width:103;" filled="f" stroked="f" coordsize="21600,21600">
              <v:path/>
              <v:fill on="f" focussize="0,0"/>
              <v:stroke on="f"/>
              <v:imagedata o:title=""/>
              <o:lock v:ext="edit" aspectratio="f"/>
              <v:textbox inset="0mm,0mm,0mm,0mm">
                <w:txbxContent>
                  <w:p w14:paraId="10FEC142">
                    <w:pPr>
                      <w:spacing w:before="20" w:line="185"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txbxContent>
              </v:textbox>
            </v:shape>
            <v:shape id="_x0000_s1444" o:spid="_x0000_s1444" o:spt="202" type="#_x0000_t202" style="position:absolute;left:240;top:1304;height:136;width:93;" filled="f" stroked="f" coordsize="21600,21600">
              <v:path/>
              <v:fill on="f" focussize="0,0"/>
              <v:stroke on="f"/>
              <v:imagedata o:title=""/>
              <o:lock v:ext="edit" aspectratio="f"/>
              <v:textbox inset="0mm,0mm,0mm,0mm">
                <w:txbxContent>
                  <w:p w14:paraId="16C6B813">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txbxContent>
              </v:textbox>
            </v:shape>
            <w10:wrap type="none"/>
            <w10:anchorlock/>
          </v:group>
        </w:pict>
      </w:r>
    </w:p>
    <w:p w14:paraId="48C6AE73">
      <w:pPr>
        <w:pStyle w:val="2"/>
        <w:spacing w:before="68" w:line="219" w:lineRule="auto"/>
        <w:ind w:left="3279"/>
        <w:rPr>
          <w:sz w:val="19"/>
          <w:szCs w:val="19"/>
        </w:rPr>
      </w:pPr>
      <w:r>
        <w:rPr>
          <w:spacing w:val="-5"/>
          <w:sz w:val="19"/>
          <w:szCs w:val="19"/>
        </w:rPr>
        <w:t>图11-3</w:t>
      </w:r>
      <w:r>
        <w:rPr>
          <w:spacing w:val="61"/>
          <w:sz w:val="19"/>
          <w:szCs w:val="19"/>
        </w:rPr>
        <w:t xml:space="preserve"> </w:t>
      </w:r>
      <w:r>
        <w:rPr>
          <w:spacing w:val="-5"/>
          <w:sz w:val="19"/>
          <w:szCs w:val="19"/>
        </w:rPr>
        <w:t>双代号网络图</w:t>
      </w:r>
    </w:p>
    <w:p w14:paraId="045FA8AF">
      <w:pPr>
        <w:spacing w:line="219" w:lineRule="auto"/>
        <w:rPr>
          <w:sz w:val="19"/>
          <w:szCs w:val="19"/>
        </w:rPr>
        <w:sectPr>
          <w:pgSz w:w="10280" w:h="13310"/>
          <w:pgMar w:top="339" w:right="568" w:bottom="400" w:left="1080" w:header="0" w:footer="0" w:gutter="0"/>
          <w:cols w:space="720" w:num="1"/>
        </w:sectPr>
      </w:pPr>
    </w:p>
    <w:p w14:paraId="6FE2570D">
      <w:pPr>
        <w:pStyle w:val="2"/>
        <w:rPr>
          <w:sz w:val="19"/>
          <w:szCs w:val="19"/>
        </w:rPr>
      </w:pPr>
      <w:bookmarkStart w:id="628" w:name="bookmark613"/>
      <w:bookmarkEnd w:id="628"/>
      <w:r>
        <w:rPr>
          <w:rFonts w:ascii="Times New Roman" w:hAnsi="Times New Roman" w:eastAsia="Times New Roman" w:cs="Times New Roman"/>
          <w:position w:val="-7"/>
          <w:sz w:val="19"/>
          <w:szCs w:val="19"/>
        </w:rPr>
        <w:drawing>
          <wp:inline distT="0" distB="0" distL="0" distR="0">
            <wp:extent cx="285115" cy="20256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79"/>
                    <a:stretch>
                      <a:fillRect/>
                    </a:stretch>
                  </pic:blipFill>
                  <pic:spPr>
                    <a:xfrm>
                      <a:off x="0" y="0"/>
                      <a:ext cx="285719" cy="203194"/>
                    </a:xfrm>
                    <a:prstGeom prst="rect">
                      <a:avLst/>
                    </a:prstGeom>
                  </pic:spPr>
                </pic:pic>
              </a:graphicData>
            </a:graphic>
          </wp:inline>
        </w:drawing>
      </w:r>
      <w:r>
        <w:rPr>
          <w:rFonts w:ascii="Times New Roman" w:hAnsi="Times New Roman" w:eastAsia="Times New Roman" w:cs="Times New Roman"/>
          <w:spacing w:val="15"/>
          <w:position w:val="-2"/>
          <w:sz w:val="19"/>
          <w:szCs w:val="19"/>
        </w:rPr>
        <w:t xml:space="preserve"> </w:t>
      </w:r>
      <w:r>
        <w:rPr>
          <w:rFonts w:ascii="Times New Roman" w:hAnsi="Times New Roman" w:eastAsia="Times New Roman" w:cs="Times New Roman"/>
          <w:spacing w:val="3"/>
          <w:position w:val="-2"/>
          <w:sz w:val="19"/>
          <w:szCs w:val="19"/>
        </w:rPr>
        <w:t xml:space="preserve">264              </w:t>
      </w:r>
      <w:r>
        <w:rPr>
          <w:spacing w:val="3"/>
          <w:sz w:val="19"/>
          <w:szCs w:val="19"/>
        </w:rPr>
        <w:t>信息系统监理师教程(第2版)</w:t>
      </w:r>
    </w:p>
    <w:p w14:paraId="5542FBE7">
      <w:pPr>
        <w:spacing w:line="284" w:lineRule="auto"/>
        <w:rPr>
          <w:rFonts w:ascii="Arial"/>
          <w:sz w:val="21"/>
        </w:rPr>
      </w:pPr>
    </w:p>
    <w:p w14:paraId="41F92041">
      <w:pPr>
        <w:pStyle w:val="2"/>
        <w:spacing w:before="62" w:line="318" w:lineRule="auto"/>
        <w:ind w:left="869" w:right="87" w:firstLine="420"/>
        <w:rPr>
          <w:sz w:val="19"/>
          <w:szCs w:val="19"/>
        </w:rPr>
      </w:pPr>
      <w:r>
        <w:rPr>
          <w:spacing w:val="12"/>
          <w:sz w:val="19"/>
          <w:szCs w:val="19"/>
        </w:rPr>
        <w:t>单代号网络图又称节点式网络图，以节点及其编号表示工作，以箭头线表示工作之间的逻</w:t>
      </w:r>
      <w:r>
        <w:rPr>
          <w:spacing w:val="18"/>
          <w:sz w:val="19"/>
          <w:szCs w:val="19"/>
        </w:rPr>
        <w:t xml:space="preserve"> </w:t>
      </w:r>
      <w:r>
        <w:rPr>
          <w:spacing w:val="9"/>
          <w:sz w:val="19"/>
          <w:szCs w:val="19"/>
        </w:rPr>
        <w:t>辑关系，如图11-4所示。</w:t>
      </w:r>
    </w:p>
    <w:p w14:paraId="4FDAAB07">
      <w:pPr>
        <w:spacing w:before="155" w:line="114" w:lineRule="exact"/>
        <w:ind w:left="5390"/>
        <w:rPr>
          <w:rFonts w:ascii="Times New Roman" w:hAnsi="Times New Roman" w:eastAsia="Times New Roman" w:cs="Times New Roman"/>
          <w:sz w:val="16"/>
          <w:szCs w:val="16"/>
        </w:rPr>
      </w:pPr>
      <w:r>
        <w:pict>
          <v:shape id="_x0000_s1445" o:spid="_x0000_s1445" o:spt="202" type="#_x0000_t202" style="position:absolute;left:0pt;margin-left:252pt;margin-top:5.85pt;height:8.6pt;width:5.75pt;z-index:251752448;mso-width-relative:page;mso-height-relative:page;" filled="f" stroked="f" coordsize="21600,21600">
            <v:path/>
            <v:fill on="f" focussize="0,0"/>
            <v:stroke on="f"/>
            <v:imagedata o:title=""/>
            <o:lock v:ext="edit" aspectratio="f"/>
            <v:textbox inset="0mm,0mm,0mm,0mm">
              <w:txbxContent>
                <w:p w14:paraId="5AE1419C">
                  <w:pPr>
                    <w:spacing w:before="19" w:line="172" w:lineRule="auto"/>
                    <w:ind w:left="20"/>
                    <w:rPr>
                      <w:rFonts w:ascii="Times New Roman" w:hAnsi="Times New Roman" w:eastAsia="Times New Roman" w:cs="Times New Roman"/>
                      <w:sz w:val="16"/>
                      <w:szCs w:val="16"/>
                    </w:rPr>
                  </w:pPr>
                  <w:r>
                    <w:rPr>
                      <w:rFonts w:ascii="Times New Roman" w:hAnsi="Times New Roman" w:eastAsia="Times New Roman" w:cs="Times New Roman"/>
                      <w:color w:val="15A5E4"/>
                      <w:sz w:val="16"/>
                      <w:szCs w:val="16"/>
                    </w:rPr>
                    <w:t>7</w:t>
                  </w:r>
                </w:p>
              </w:txbxContent>
            </v:textbox>
          </v:shape>
        </w:pict>
      </w:r>
      <w:r>
        <w:pict>
          <v:shape id="_x0000_s1446" o:spid="_x0000_s1446" o:spt="202" type="#_x0000_t202" style="position:absolute;left:0pt;margin-left:236.45pt;margin-top:7.25pt;height:27.35pt;width:5.9pt;z-index:251748352;mso-width-relative:page;mso-height-relative:page;" filled="f" stroked="f" coordsize="21600,21600">
            <v:path/>
            <v:fill on="f" focussize="0,0"/>
            <v:stroke on="f"/>
            <v:imagedata o:title=""/>
            <o:lock v:ext="edit" aspectratio="f"/>
            <v:textbox inset="0mm,0mm,0mm,0mm">
              <w:txbxContent>
                <w:p w14:paraId="6A11ADD8">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p w14:paraId="7B1656DC">
                  <w:pPr>
                    <w:spacing w:before="217"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xbxContent>
            </v:textbox>
          </v:shape>
        </w:pict>
      </w:r>
      <w:r>
        <w:drawing>
          <wp:anchor distT="0" distB="0" distL="0" distR="0" simplePos="0" relativeHeight="251729920" behindDoc="1" locked="0" layoutInCell="1" allowOverlap="1">
            <wp:simplePos x="0" y="0"/>
            <wp:positionH relativeFrom="column">
              <wp:posOffset>1016000</wp:posOffset>
            </wp:positionH>
            <wp:positionV relativeFrom="paragraph">
              <wp:posOffset>10795</wp:posOffset>
            </wp:positionV>
            <wp:extent cx="4362450" cy="231140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80"/>
                    <a:stretch>
                      <a:fillRect/>
                    </a:stretch>
                  </pic:blipFill>
                  <pic:spPr>
                    <a:xfrm>
                      <a:off x="0" y="0"/>
                      <a:ext cx="4362465" cy="2311384"/>
                    </a:xfrm>
                    <a:prstGeom prst="rect">
                      <a:avLst/>
                    </a:prstGeom>
                  </pic:spPr>
                </pic:pic>
              </a:graphicData>
            </a:graphic>
          </wp:anchor>
        </w:drawing>
      </w:r>
      <w:r>
        <w:rPr>
          <w:rFonts w:ascii="Times New Roman" w:hAnsi="Times New Roman" w:eastAsia="Times New Roman" w:cs="Times New Roman"/>
          <w:spacing w:val="-5"/>
          <w:position w:val="-2"/>
          <w:sz w:val="16"/>
          <w:szCs w:val="16"/>
        </w:rPr>
        <w:t>10</w:t>
      </w:r>
    </w:p>
    <w:p w14:paraId="080350E5">
      <w:pPr>
        <w:spacing w:line="185" w:lineRule="auto"/>
        <w:ind w:left="5059"/>
        <w:rPr>
          <w:rFonts w:ascii="Times New Roman" w:hAnsi="Times New Roman" w:eastAsia="Times New Roman" w:cs="Times New Roman"/>
          <w:sz w:val="28"/>
          <w:szCs w:val="28"/>
        </w:rPr>
      </w:pPr>
      <w:r>
        <w:rPr>
          <w:rFonts w:ascii="Times New Roman" w:hAnsi="Times New Roman" w:eastAsia="Times New Roman" w:cs="Times New Roman"/>
          <w:sz w:val="28"/>
          <w:szCs w:val="28"/>
        </w:rPr>
        <w:t>D</w:t>
      </w:r>
    </w:p>
    <w:p w14:paraId="1D8383B8">
      <w:pPr>
        <w:spacing w:before="9" w:line="99" w:lineRule="exact"/>
        <w:ind w:left="5390"/>
        <w:rPr>
          <w:rFonts w:ascii="Times New Roman" w:hAnsi="Times New Roman" w:eastAsia="Times New Roman" w:cs="Times New Roman"/>
          <w:sz w:val="16"/>
          <w:szCs w:val="16"/>
        </w:rPr>
      </w:pPr>
      <w:r>
        <w:pict>
          <v:shape id="_x0000_s1447" o:spid="_x0000_s1447" o:spt="202" type="#_x0000_t202" style="position:absolute;left:0pt;margin-left:250.95pt;margin-top:-0.5pt;height:9.25pt;width:5.1pt;z-index:251753472;mso-width-relative:page;mso-height-relative:page;" filled="f" stroked="f" coordsize="21600,21600">
            <v:path/>
            <v:fill on="f" focussize="0,0"/>
            <v:stroke on="f"/>
            <v:imagedata o:title=""/>
            <o:lock v:ext="edit" aspectratio="f"/>
            <v:textbox inset="0mm,0mm,0mm,0mm">
              <w:txbxContent>
                <w:p w14:paraId="0178D168">
                  <w:pPr>
                    <w:spacing w:before="20" w:line="188" w:lineRule="auto"/>
                    <w:ind w:right="1"/>
                    <w:jc w:val="right"/>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xbxContent>
            </v:textbox>
          </v:shape>
        </w:pict>
      </w:r>
      <w:r>
        <w:rPr>
          <w:rFonts w:ascii="Times New Roman" w:hAnsi="Times New Roman" w:eastAsia="Times New Roman" w:cs="Times New Roman"/>
          <w:color w:val="0091DB"/>
          <w:spacing w:val="-5"/>
          <w:position w:val="-2"/>
          <w:sz w:val="16"/>
          <w:szCs w:val="16"/>
        </w:rPr>
        <w:t>11</w:t>
      </w:r>
    </w:p>
    <w:p w14:paraId="4CCEF95F">
      <w:pPr>
        <w:spacing w:line="174" w:lineRule="auto"/>
        <w:ind w:left="6990"/>
        <w:rPr>
          <w:rFonts w:ascii="Times New Roman" w:hAnsi="Times New Roman" w:eastAsia="Times New Roman" w:cs="Times New Roman"/>
          <w:sz w:val="16"/>
          <w:szCs w:val="16"/>
        </w:rPr>
      </w:pPr>
      <w:r>
        <w:pict>
          <v:shape id="_x0000_s1448" o:spid="_x0000_s1448" o:spt="202" type="#_x0000_t202" style="position:absolute;left:0pt;margin-left:330.45pt;margin-top:-1.7pt;height:28.55pt;width:9.75pt;z-index:251734016;mso-width-relative:page;mso-height-relative:page;" filled="f" stroked="f" coordsize="21600,21600">
            <v:path/>
            <v:fill on="f" focussize="0,0"/>
            <v:stroke on="f"/>
            <v:imagedata o:title=""/>
            <o:lock v:ext="edit" aspectratio="f"/>
            <v:textbox inset="0mm,0mm,0mm,0mm">
              <w:txbxContent>
                <w:p w14:paraId="0892A77C">
                  <w:pPr>
                    <w:spacing w:before="21" w:line="181" w:lineRule="auto"/>
                    <w:ind w:left="20" w:right="20" w:firstLine="10"/>
                    <w:jc w:val="both"/>
                    <w:rPr>
                      <w:rFonts w:ascii="Times New Roman" w:hAnsi="Times New Roman" w:eastAsia="Times New Roman" w:cs="Times New Roman"/>
                      <w:sz w:val="16"/>
                      <w:szCs w:val="16"/>
                    </w:rPr>
                  </w:pPr>
                  <w:r>
                    <w:rPr>
                      <w:rFonts w:ascii="Times New Roman" w:hAnsi="Times New Roman" w:eastAsia="Times New Roman" w:cs="Times New Roman"/>
                      <w:spacing w:val="-11"/>
                      <w:sz w:val="18"/>
                      <w:szCs w:val="18"/>
                    </w:rPr>
                    <w:t>8</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7"/>
                      <w:w w:val="82"/>
                      <w:sz w:val="27"/>
                      <w:szCs w:val="27"/>
                    </w:rPr>
                    <w:t>H</w:t>
                  </w:r>
                  <w:r>
                    <w:rPr>
                      <w:rFonts w:ascii="Times New Roman" w:hAnsi="Times New Roman" w:eastAsia="Times New Roman" w:cs="Times New Roman"/>
                      <w:sz w:val="27"/>
                      <w:szCs w:val="27"/>
                    </w:rPr>
                    <w:t xml:space="preserve"> </w:t>
                  </w:r>
                  <w:r>
                    <w:rPr>
                      <w:rFonts w:ascii="Times New Roman" w:hAnsi="Times New Roman" w:eastAsia="Times New Roman" w:cs="Times New Roman"/>
                      <w:sz w:val="16"/>
                      <w:szCs w:val="16"/>
                    </w:rPr>
                    <w:t>1</w:t>
                  </w:r>
                </w:p>
              </w:txbxContent>
            </v:textbox>
          </v:shape>
        </w:pict>
      </w:r>
      <w:r>
        <w:pict>
          <v:shape id="_x0000_s1449" o:spid="_x0000_s1449" o:spt="202" type="#_x0000_t202" style="position:absolute;left:0pt;margin-left:314pt;margin-top:-1.5pt;height:28.35pt;width:9.1pt;z-index:251737088;mso-width-relative:page;mso-height-relative:page;" filled="f" stroked="f" coordsize="21600,21600">
            <v:path/>
            <v:fill on="f" focussize="0,0"/>
            <v:stroke on="f"/>
            <v:imagedata o:title=""/>
            <o:lock v:ext="edit" aspectratio="f"/>
            <v:textbox inset="0mm,0mm,0mm,0mm">
              <w:txbxContent>
                <w:p w14:paraId="390DEE81">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10</w:t>
                  </w:r>
                </w:p>
                <w:p w14:paraId="110AEDDA">
                  <w:pPr>
                    <w:spacing w:before="237"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11</w:t>
                  </w:r>
                </w:p>
              </w:txbxContent>
            </v:textbox>
          </v:shape>
        </w:pict>
      </w:r>
      <w:r>
        <w:pict>
          <v:shape id="_x0000_s1450" o:spid="_x0000_s1450" o:spt="202" type="#_x0000_t202" style="position:absolute;left:0pt;margin-left:188pt;margin-top:0.95pt;height:28.35pt;width:5.9pt;z-index:251747328;mso-width-relative:page;mso-height-relative:page;" filled="f" stroked="f" coordsize="21600,21600">
            <v:path/>
            <v:fill on="f" focussize="0,0"/>
            <v:stroke on="f"/>
            <v:imagedata o:title=""/>
            <o:lock v:ext="edit" aspectratio="f"/>
            <v:textbox inset="0mm,0mm,0mm,0mm">
              <w:txbxContent>
                <w:p w14:paraId="3850408B">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p w14:paraId="5CBB9A08">
                  <w:pPr>
                    <w:spacing w:before="237"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xbxContent>
            </v:textbox>
          </v:shape>
        </w:pict>
      </w:r>
      <w:r>
        <w:pict>
          <v:shape id="_x0000_s1451" o:spid="_x0000_s1451" o:spt="202" type="#_x0000_t202" style="position:absolute;left:0pt;margin-left:155.45pt;margin-top:1.45pt;height:26.85pt;width:5.75pt;z-index:251750400;mso-width-relative:page;mso-height-relative:page;" filled="f" stroked="f" coordsize="21600,21600">
            <v:path/>
            <v:fill on="f" focussize="0,0"/>
            <v:stroke on="f"/>
            <v:imagedata o:title=""/>
            <o:lock v:ext="edit" aspectratio="f"/>
            <v:textbox inset="0mm,0mm,0mm,0mm">
              <w:txbxContent>
                <w:p w14:paraId="35948097">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0</w:t>
                  </w:r>
                </w:p>
                <w:p w14:paraId="0C028BD6">
                  <w:pPr>
                    <w:spacing w:before="207" w:line="188" w:lineRule="auto"/>
                    <w:ind w:left="20"/>
                    <w:outlineLvl w:val="1"/>
                    <w:rPr>
                      <w:rFonts w:ascii="Times New Roman" w:hAnsi="Times New Roman" w:eastAsia="Times New Roman" w:cs="Times New Roman"/>
                      <w:sz w:val="16"/>
                      <w:szCs w:val="16"/>
                    </w:rPr>
                  </w:pPr>
                  <w:bookmarkStart w:id="787" w:name="bookmark202"/>
                  <w:bookmarkEnd w:id="787"/>
                  <w:r>
                    <w:rPr>
                      <w:rFonts w:ascii="Times New Roman" w:hAnsi="Times New Roman" w:eastAsia="Times New Roman" w:cs="Times New Roman"/>
                      <w:sz w:val="16"/>
                      <w:szCs w:val="16"/>
                    </w:rPr>
                    <w:t>1</w:t>
                  </w:r>
                </w:p>
              </w:txbxContent>
            </v:textbox>
          </v:shape>
        </w:pict>
      </w:r>
      <w:r>
        <w:pict>
          <v:shape id="_x0000_s1452" o:spid="_x0000_s1452" o:spt="202" type="#_x0000_t202" style="position:absolute;left:0pt;margin-left:170.95pt;margin-top:1.45pt;height:18.15pt;width:8.8pt;z-index:251746304;mso-width-relative:page;mso-height-relative:page;" filled="f" stroked="f" coordsize="21600,21600">
            <v:path/>
            <v:fill on="f" focussize="0,0"/>
            <v:stroke on="f"/>
            <v:imagedata o:title=""/>
            <o:lock v:ext="edit" aspectratio="f"/>
            <v:textbox inset="0mm,0mm,0mm,0mm">
              <w:txbxContent>
                <w:p w14:paraId="0538EF5F">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color w:val="0E92DF"/>
                      <w:sz w:val="16"/>
                      <w:szCs w:val="16"/>
                    </w:rPr>
                    <w:t>3</w:t>
                  </w:r>
                </w:p>
                <w:p w14:paraId="3693B80F">
                  <w:pPr>
                    <w:spacing w:before="6" w:line="189"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A</w:t>
                  </w:r>
                </w:p>
              </w:txbxContent>
            </v:textbox>
          </v:shape>
        </w:pict>
      </w:r>
      <w:r>
        <w:rPr>
          <w:rFonts w:ascii="Times New Roman" w:hAnsi="Times New Roman" w:eastAsia="Times New Roman" w:cs="Times New Roman"/>
          <w:spacing w:val="-5"/>
          <w:sz w:val="16"/>
          <w:szCs w:val="16"/>
        </w:rPr>
        <w:t>18</w:t>
      </w:r>
    </w:p>
    <w:p w14:paraId="7B6A0165">
      <w:pPr>
        <w:spacing w:before="225" w:line="104" w:lineRule="exact"/>
        <w:ind w:left="6990"/>
        <w:rPr>
          <w:rFonts w:ascii="Times New Roman" w:hAnsi="Times New Roman" w:eastAsia="Times New Roman" w:cs="Times New Roman"/>
          <w:sz w:val="16"/>
          <w:szCs w:val="16"/>
        </w:rPr>
      </w:pPr>
      <w:r>
        <w:rPr>
          <w:rFonts w:ascii="Times New Roman" w:hAnsi="Times New Roman" w:eastAsia="Times New Roman" w:cs="Times New Roman"/>
          <w:spacing w:val="-5"/>
          <w:position w:val="-2"/>
          <w:sz w:val="16"/>
          <w:szCs w:val="16"/>
        </w:rPr>
        <w:t>19</w:t>
      </w:r>
    </w:p>
    <w:p w14:paraId="2000C4A0">
      <w:pPr>
        <w:pStyle w:val="2"/>
        <w:spacing w:line="67" w:lineRule="exact"/>
        <w:ind w:left="3469"/>
        <w:rPr>
          <w:sz w:val="8"/>
          <w:szCs w:val="8"/>
        </w:rPr>
      </w:pPr>
      <w:r>
        <w:rPr>
          <w:position w:val="-1"/>
          <w:sz w:val="8"/>
          <w:szCs w:val="8"/>
        </w:rPr>
        <w:t>1</w:t>
      </w:r>
    </w:p>
    <w:p w14:paraId="57CC26A0">
      <w:pPr>
        <w:spacing w:before="1" w:line="188" w:lineRule="auto"/>
        <w:ind w:left="5390"/>
        <w:rPr>
          <w:rFonts w:ascii="Times New Roman" w:hAnsi="Times New Roman" w:eastAsia="Times New Roman" w:cs="Times New Roman"/>
          <w:sz w:val="19"/>
          <w:szCs w:val="19"/>
        </w:rPr>
      </w:pPr>
      <w:r>
        <w:pict>
          <v:shape id="_x0000_s1453" o:spid="_x0000_s1453" o:spt="202" type="#_x0000_t202" style="position:absolute;left:0pt;margin-left:236.45pt;margin-top:-0.95pt;height:26.15pt;width:6.6pt;z-index:251744256;mso-width-relative:page;mso-height-relative:page;" filled="f" stroked="f" coordsize="21600,21600">
            <v:path/>
            <v:fill on="f" focussize="0,0"/>
            <v:stroke on="f"/>
            <v:imagedata o:title=""/>
            <o:lock v:ext="edit" aspectratio="f"/>
            <v:textbox inset="0mm,0mm,0mm,0mm">
              <w:txbxContent>
                <w:p w14:paraId="7FF725F8">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14:paraId="41356987">
                  <w:pPr>
                    <w:spacing w:before="167" w:line="188" w:lineRule="auto"/>
                    <w:ind w:left="20"/>
                    <w:rPr>
                      <w:rFonts w:ascii="Times New Roman" w:hAnsi="Times New Roman" w:eastAsia="Times New Roman" w:cs="Times New Roman"/>
                      <w:sz w:val="16"/>
                      <w:szCs w:val="16"/>
                    </w:rPr>
                  </w:pPr>
                  <w:r>
                    <w:rPr>
                      <w:rFonts w:ascii="Times New Roman" w:hAnsi="Times New Roman" w:eastAsia="Times New Roman" w:cs="Times New Roman"/>
                      <w:color w:val="FFFFFF"/>
                      <w:sz w:val="16"/>
                      <w:szCs w:val="16"/>
                    </w:rPr>
                    <w:t>9</w:t>
                  </w:r>
                </w:p>
              </w:txbxContent>
            </v:textbox>
          </v:shape>
        </w:pict>
      </w:r>
      <w:r>
        <w:pict>
          <v:shape id="_x0000_s1454" o:spid="_x0000_s1454" o:spt="202" type="#_x0000_t202" style="position:absolute;left:0pt;margin-left:251.45pt;margin-top:-0.95pt;height:67.55pt;width:7.65pt;z-index:251730944;mso-width-relative:page;mso-height-relative:page;" filled="f" stroked="f" coordsize="21600,21600">
            <v:path/>
            <v:fill on="f" focussize="0,0"/>
            <v:stroke on="f"/>
            <v:imagedata o:title=""/>
            <o:lock v:ext="edit" aspectratio="f"/>
            <v:textbox inset="0mm,0mm,0mm,0mm">
              <w:txbxContent>
                <w:p w14:paraId="2BAD1663">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p w14:paraId="60EA705B">
                  <w:pPr>
                    <w:spacing w:before="47" w:line="232" w:lineRule="auto"/>
                    <w:ind w:left="30" w:right="28"/>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E</w:t>
                  </w:r>
                  <w:r>
                    <w:rPr>
                      <w:rFonts w:ascii="Times New Roman" w:hAnsi="Times New Roman" w:eastAsia="Times New Roman" w:cs="Times New Roman"/>
                      <w:sz w:val="16"/>
                      <w:szCs w:val="16"/>
                    </w:rPr>
                    <w:t xml:space="preserve"> 7</w:t>
                  </w:r>
                </w:p>
                <w:p w14:paraId="239594AD">
                  <w:pPr>
                    <w:spacing w:line="392" w:lineRule="auto"/>
                    <w:rPr>
                      <w:rFonts w:ascii="Arial"/>
                      <w:sz w:val="21"/>
                    </w:rPr>
                  </w:pPr>
                </w:p>
                <w:p w14:paraId="3AEB951D">
                  <w:pPr>
                    <w:spacing w:before="46" w:line="194" w:lineRule="auto"/>
                    <w:ind w:left="30" w:right="20"/>
                    <w:rPr>
                      <w:rFonts w:ascii="Times New Roman" w:hAnsi="Times New Roman" w:eastAsia="Times New Roman" w:cs="Times New Roman"/>
                      <w:sz w:val="19"/>
                      <w:szCs w:val="19"/>
                    </w:rPr>
                  </w:pPr>
                  <w:r>
                    <w:rPr>
                      <w:rFonts w:ascii="Times New Roman" w:hAnsi="Times New Roman" w:eastAsia="Times New Roman" w:cs="Times New Roman"/>
                      <w:spacing w:val="-7"/>
                      <w:sz w:val="16"/>
                      <w:szCs w:val="16"/>
                    </w:rPr>
                    <w:t>6</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4"/>
                      <w:sz w:val="19"/>
                      <w:szCs w:val="19"/>
                    </w:rPr>
                    <w:t>F</w:t>
                  </w:r>
                </w:p>
              </w:txbxContent>
            </v:textbox>
          </v:shape>
        </w:pict>
      </w:r>
      <w:r>
        <w:rPr>
          <w:rFonts w:ascii="Times New Roman" w:hAnsi="Times New Roman" w:eastAsia="Times New Roman" w:cs="Times New Roman"/>
          <w:sz w:val="19"/>
          <w:szCs w:val="19"/>
        </w:rPr>
        <w:t>4</w:t>
      </w:r>
    </w:p>
    <w:p w14:paraId="06FE3EB1">
      <w:pPr>
        <w:spacing w:before="208" w:line="157" w:lineRule="auto"/>
        <w:ind w:left="539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11</w:t>
      </w:r>
    </w:p>
    <w:p w14:paraId="36E51D89">
      <w:pPr>
        <w:spacing w:before="1" w:line="159" w:lineRule="auto"/>
        <w:ind w:left="3439"/>
        <w:rPr>
          <w:rFonts w:ascii="Times New Roman" w:hAnsi="Times New Roman" w:eastAsia="Times New Roman" w:cs="Times New Roman"/>
          <w:sz w:val="16"/>
          <w:szCs w:val="16"/>
        </w:rPr>
      </w:pPr>
      <w:r>
        <w:pict>
          <v:shape id="_x0000_s1455" o:spid="_x0000_s1455" o:spt="202" type="#_x0000_t202" style="position:absolute;left:0pt;margin-left:155.45pt;margin-top:-1.6pt;height:26.4pt;width:6.45pt;z-index:251745280;mso-width-relative:page;mso-height-relative:page;" filled="f" stroked="f" coordsize="21600,21600">
            <v:path/>
            <v:fill on="f" focussize="0,0"/>
            <v:stroke on="f"/>
            <v:imagedata o:title=""/>
            <o:lock v:ext="edit" aspectratio="f"/>
            <v:textbox inset="0mm,0mm,0mm,0mm">
              <w:txbxContent>
                <w:p w14:paraId="0628D966">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14:paraId="343DB028">
                  <w:pPr>
                    <w:spacing w:before="171"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xbxContent>
            </v:textbox>
          </v:shape>
        </w:pict>
      </w:r>
      <w:r>
        <w:pict>
          <v:shape id="_x0000_s1456" o:spid="_x0000_s1456" o:spt="202" type="#_x0000_t202" style="position:absolute;left:0pt;margin-left:188pt;margin-top:-2pt;height:29.5pt;width:6.6pt;z-index:251739136;mso-width-relative:page;mso-height-relative:page;" filled="f" stroked="f" coordsize="21600,21600">
            <v:path/>
            <v:fill on="f" focussize="0,0"/>
            <v:stroke on="f"/>
            <v:imagedata o:title=""/>
            <o:lock v:ext="edit" aspectratio="f"/>
            <v:textbox inset="0mm,0mm,0mm,0mm">
              <w:txbxContent>
                <w:p w14:paraId="60F8ECED">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color w:val="0285DD"/>
                      <w:sz w:val="19"/>
                      <w:szCs w:val="19"/>
                    </w:rPr>
                    <w:t>2</w:t>
                  </w:r>
                </w:p>
                <w:p w14:paraId="6188B2F5">
                  <w:pPr>
                    <w:spacing w:before="206" w:line="188" w:lineRule="auto"/>
                    <w:ind w:left="20"/>
                    <w:rPr>
                      <w:rFonts w:ascii="Times New Roman" w:hAnsi="Times New Roman" w:eastAsia="Times New Roman" w:cs="Times New Roman"/>
                      <w:sz w:val="19"/>
                      <w:szCs w:val="19"/>
                    </w:rPr>
                  </w:pPr>
                  <w:r>
                    <w:rPr>
                      <w:rFonts w:ascii="Times New Roman" w:hAnsi="Times New Roman" w:eastAsia="Times New Roman" w:cs="Times New Roman"/>
                      <w:color w:val="0082DA"/>
                      <w:sz w:val="19"/>
                      <w:szCs w:val="19"/>
                    </w:rPr>
                    <w:t>6</w:t>
                  </w:r>
                </w:p>
              </w:txbxContent>
            </v:textbox>
          </v:shape>
        </w:pict>
      </w:r>
      <w:r>
        <w:rPr>
          <w:rFonts w:ascii="Times New Roman" w:hAnsi="Times New Roman" w:eastAsia="Times New Roman" w:cs="Times New Roman"/>
          <w:sz w:val="16"/>
          <w:szCs w:val="16"/>
        </w:rPr>
        <w:t>2</w:t>
      </w:r>
    </w:p>
    <w:p w14:paraId="1D841E50">
      <w:pPr>
        <w:spacing w:line="224" w:lineRule="auto"/>
        <w:ind w:left="3439" w:right="5711"/>
        <w:rPr>
          <w:rFonts w:ascii="Times New Roman" w:hAnsi="Times New Roman" w:eastAsia="Times New Roman" w:cs="Times New Roman"/>
          <w:sz w:val="16"/>
          <w:szCs w:val="16"/>
        </w:rPr>
      </w:pPr>
      <w:r>
        <w:pict>
          <v:shape id="_x0000_s1457" o:spid="_x0000_s1457" o:spt="202" type="#_x0000_t202" style="position:absolute;left:0pt;margin-left:391.5pt;margin-top:-2.2pt;height:13.3pt;width:20.45pt;z-index:251736064;mso-width-relative:page;mso-height-relative:page;" filled="f" stroked="f" coordsize="21600,21600">
            <v:path/>
            <v:fill on="f" focussize="0,0"/>
            <v:stroke on="f"/>
            <v:imagedata o:title=""/>
            <o:lock v:ext="edit" aspectratio="f"/>
            <v:textbox inset="0mm,0mm,0mm,0mm">
              <w:txbxContent>
                <w:p w14:paraId="4729F6A0">
                  <w:pPr>
                    <w:pStyle w:val="2"/>
                    <w:spacing w:before="20" w:line="219" w:lineRule="auto"/>
                    <w:ind w:left="20"/>
                    <w:rPr>
                      <w:sz w:val="19"/>
                      <w:szCs w:val="19"/>
                    </w:rPr>
                  </w:pPr>
                  <w:r>
                    <w:rPr>
                      <w:spacing w:val="-3"/>
                      <w:sz w:val="19"/>
                      <w:szCs w:val="19"/>
                    </w:rPr>
                    <w:t>结束</w:t>
                  </w:r>
                </w:p>
              </w:txbxContent>
            </v:textbox>
          </v:shape>
        </w:pict>
      </w:r>
      <w:r>
        <w:pict>
          <v:shape id="_x0000_s1458" o:spid="_x0000_s1458" o:spt="202" type="#_x0000_t202" style="position:absolute;left:0pt;margin-left:92.95pt;margin-top:-2.6pt;height:13.4pt;width:20.6pt;z-index:251735040;mso-width-relative:page;mso-height-relative:page;" filled="f" stroked="f" coordsize="21600,21600">
            <v:path/>
            <v:fill on="f" focussize="0,0"/>
            <v:stroke on="f"/>
            <v:imagedata o:title=""/>
            <o:lock v:ext="edit" aspectratio="f"/>
            <v:textbox inset="0mm,0mm,0mm,0mm">
              <w:txbxContent>
                <w:p w14:paraId="684F1213">
                  <w:pPr>
                    <w:pStyle w:val="2"/>
                    <w:spacing w:before="19" w:line="221" w:lineRule="auto"/>
                    <w:ind w:left="20"/>
                    <w:rPr>
                      <w:sz w:val="19"/>
                      <w:szCs w:val="19"/>
                    </w:rPr>
                  </w:pPr>
                  <w:r>
                    <w:rPr>
                      <w:spacing w:val="-3"/>
                      <w:sz w:val="19"/>
                      <w:szCs w:val="19"/>
                    </w:rPr>
                    <w:t>开始</w:t>
                  </w:r>
                </w:p>
              </w:txbxContent>
            </v:textbox>
          </v:shape>
        </w:pict>
      </w:r>
      <w:r>
        <w:rPr>
          <w:rFonts w:ascii="Times New Roman" w:hAnsi="Times New Roman" w:eastAsia="Times New Roman" w:cs="Times New Roman"/>
          <w:spacing w:val="-4"/>
          <w:sz w:val="19"/>
          <w:szCs w:val="19"/>
        </w:rPr>
        <w:t>B</w:t>
      </w:r>
      <w:r>
        <w:rPr>
          <w:rFonts w:ascii="Times New Roman" w:hAnsi="Times New Roman" w:eastAsia="Times New Roman" w:cs="Times New Roman"/>
          <w:sz w:val="19"/>
          <w:szCs w:val="19"/>
        </w:rPr>
        <w:t xml:space="preserve"> </w:t>
      </w:r>
      <w:r>
        <w:rPr>
          <w:rFonts w:ascii="Times New Roman" w:hAnsi="Times New Roman" w:eastAsia="Times New Roman" w:cs="Times New Roman"/>
          <w:sz w:val="16"/>
          <w:szCs w:val="16"/>
        </w:rPr>
        <w:t>4</w:t>
      </w:r>
    </w:p>
    <w:p w14:paraId="19FFC726">
      <w:pPr>
        <w:spacing w:line="188" w:lineRule="auto"/>
        <w:ind w:left="5390"/>
        <w:rPr>
          <w:rFonts w:ascii="Times New Roman" w:hAnsi="Times New Roman" w:eastAsia="Times New Roman" w:cs="Times New Roman"/>
          <w:sz w:val="16"/>
          <w:szCs w:val="16"/>
        </w:rPr>
      </w:pPr>
      <w:r>
        <w:pict>
          <v:shape id="_x0000_s1459" o:spid="_x0000_s1459" o:spt="202" type="#_x0000_t202" style="position:absolute;left:0pt;margin-left:236.45pt;margin-top:-1.4pt;height:27.7pt;width:6.6pt;z-index:251742208;mso-width-relative:page;mso-height-relative:page;" filled="f" stroked="f" coordsize="21600,21600">
            <v:path/>
            <v:fill on="f" focussize="0,0"/>
            <v:stroke on="f"/>
            <v:imagedata o:title=""/>
            <o:lock v:ext="edit" aspectratio="f"/>
            <v:textbox inset="0mm,0mm,0mm,0mm">
              <w:txbxContent>
                <w:p w14:paraId="36BE23C4">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color w:val="0091DA"/>
                      <w:sz w:val="19"/>
                      <w:szCs w:val="19"/>
                    </w:rPr>
                    <w:t>2</w:t>
                  </w:r>
                </w:p>
                <w:p w14:paraId="5AF69C86">
                  <w:pPr>
                    <w:spacing w:before="197"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6</w:t>
                  </w:r>
                </w:p>
              </w:txbxContent>
            </v:textbox>
          </v:shape>
        </w:pict>
      </w:r>
      <w:r>
        <w:rPr>
          <w:rFonts w:ascii="Times New Roman" w:hAnsi="Times New Roman" w:eastAsia="Times New Roman" w:cs="Times New Roman"/>
          <w:sz w:val="16"/>
          <w:szCs w:val="16"/>
        </w:rPr>
        <w:t>8</w:t>
      </w:r>
    </w:p>
    <w:p w14:paraId="0ADDB6C9">
      <w:pPr>
        <w:spacing w:before="228" w:line="110" w:lineRule="exact"/>
        <w:ind w:left="5390"/>
        <w:rPr>
          <w:rFonts w:ascii="Times New Roman" w:hAnsi="Times New Roman" w:eastAsia="Times New Roman" w:cs="Times New Roman"/>
          <w:sz w:val="16"/>
          <w:szCs w:val="16"/>
        </w:rPr>
      </w:pPr>
      <w:r>
        <w:pict>
          <v:shape id="_x0000_s1460" o:spid="_x0000_s1460" o:spt="202" type="#_x0000_t202" style="position:absolute;left:0pt;margin-left:250.95pt;margin-top:9.85pt;height:9.25pt;width:5.9pt;z-index:251751424;mso-width-relative:page;mso-height-relative:page;" filled="f" stroked="f" coordsize="21600,21600">
            <v:path/>
            <v:fill on="f" focussize="0,0"/>
            <v:stroke on="f"/>
            <v:imagedata o:title=""/>
            <o:lock v:ext="edit" aspectratio="f"/>
            <v:textbox inset="0mm,0mm,0mm,0mm">
              <w:txbxContent>
                <w:p w14:paraId="0AD47546">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xbxContent>
            </v:textbox>
          </v:shape>
        </w:pict>
      </w:r>
      <w:r>
        <w:pict>
          <v:shape id="_x0000_s1461" o:spid="_x0000_s1461" o:spt="202" type="#_x0000_t202" style="position:absolute;left:0pt;margin-left:331pt;margin-top:13.35pt;height:29.45pt;width:6.45pt;z-index:251740160;mso-width-relative:page;mso-height-relative:page;" filled="f" stroked="f" coordsize="21600,21600">
            <v:path/>
            <v:fill on="f" focussize="0,0"/>
            <v:stroke on="f"/>
            <v:imagedata o:title=""/>
            <o:lock v:ext="edit" aspectratio="f"/>
            <v:textbox inset="0mm,0mm,0mm,0mm">
              <w:txbxContent>
                <w:p w14:paraId="17B7D4C2">
                  <w:pPr>
                    <w:spacing w:before="20" w:line="15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7</w:t>
                  </w:r>
                </w:p>
                <w:p w14:paraId="575F63B2">
                  <w:pPr>
                    <w:spacing w:before="2" w:line="193" w:lineRule="auto"/>
                    <w:ind w:left="20" w:right="20"/>
                    <w:rPr>
                      <w:rFonts w:ascii="Times New Roman" w:hAnsi="Times New Roman" w:eastAsia="Times New Roman" w:cs="Times New Roman"/>
                      <w:sz w:val="19"/>
                      <w:szCs w:val="19"/>
                    </w:rPr>
                  </w:pPr>
                  <w:r>
                    <w:rPr>
                      <w:rFonts w:ascii="Times New Roman" w:hAnsi="Times New Roman" w:eastAsia="Times New Roman" w:cs="Times New Roman"/>
                      <w:color w:val="007ED2"/>
                      <w:spacing w:val="-8"/>
                      <w:sz w:val="28"/>
                      <w:szCs w:val="28"/>
                    </w:rPr>
                    <w:t>I</w:t>
                  </w:r>
                  <w:r>
                    <w:rPr>
                      <w:rFonts w:ascii="Times New Roman" w:hAnsi="Times New Roman" w:eastAsia="Times New Roman" w:cs="Times New Roman"/>
                      <w:color w:val="007ED2"/>
                      <w:sz w:val="28"/>
                      <w:szCs w:val="28"/>
                    </w:rPr>
                    <w:t xml:space="preserve"> </w:t>
                  </w:r>
                  <w:r>
                    <w:rPr>
                      <w:rFonts w:ascii="Times New Roman" w:hAnsi="Times New Roman" w:eastAsia="Times New Roman" w:cs="Times New Roman"/>
                      <w:color w:val="007ED2"/>
                      <w:spacing w:val="-7"/>
                      <w:sz w:val="19"/>
                      <w:szCs w:val="19"/>
                    </w:rPr>
                    <w:t>0</w:t>
                  </w:r>
                </w:p>
              </w:txbxContent>
            </v:textbox>
          </v:shape>
        </w:pict>
      </w:r>
      <w:r>
        <w:pict>
          <v:shape id="_x0000_s1462" o:spid="_x0000_s1462" o:spt="202" type="#_x0000_t202" style="position:absolute;left:0pt;margin-left:348.5pt;margin-top:13.7pt;height:29.1pt;width:10.4pt;z-index:251731968;mso-width-relative:page;mso-height-relative:page;" filled="f" stroked="f" coordsize="21600,21600">
            <v:path/>
            <v:fill on="f" focussize="0,0"/>
            <v:stroke on="f"/>
            <v:imagedata o:title=""/>
            <o:lock v:ext="edit" aspectratio="f"/>
            <v:textbox inset="0mm,0mm,0mm,0mm">
              <w:txbxContent>
                <w:p w14:paraId="525B2C5B">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19</w:t>
                  </w:r>
                </w:p>
                <w:p w14:paraId="7FEEEF3A">
                  <w:pPr>
                    <w:spacing w:before="198"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19</w:t>
                  </w:r>
                </w:p>
              </w:txbxContent>
            </v:textbox>
          </v:shape>
        </w:pict>
      </w:r>
      <w:r>
        <w:rPr>
          <w:rFonts w:ascii="Times New Roman" w:hAnsi="Times New Roman" w:eastAsia="Times New Roman" w:cs="Times New Roman"/>
          <w:spacing w:val="-5"/>
          <w:position w:val="-2"/>
          <w:sz w:val="16"/>
          <w:szCs w:val="16"/>
        </w:rPr>
        <w:t>12</w:t>
      </w:r>
    </w:p>
    <w:p w14:paraId="09C3E8C6">
      <w:pPr>
        <w:spacing w:before="1" w:line="179" w:lineRule="auto"/>
        <w:ind w:left="3439" w:right="5708"/>
        <w:jc w:val="both"/>
        <w:rPr>
          <w:rFonts w:ascii="Times New Roman" w:hAnsi="Times New Roman" w:eastAsia="Times New Roman" w:cs="Times New Roman"/>
          <w:sz w:val="16"/>
          <w:szCs w:val="16"/>
        </w:rPr>
      </w:pPr>
      <w:r>
        <w:pict>
          <v:shape id="_x0000_s1463" o:spid="_x0000_s1463" o:spt="202" type="#_x0000_t202" style="position:absolute;left:0pt;margin-left:155.45pt;margin-top:-1pt;height:28.55pt;width:6.45pt;z-index:251743232;mso-width-relative:page;mso-height-relative:page;" filled="f" stroked="f" coordsize="21600,21600">
            <v:path/>
            <v:fill on="f" focussize="0,0"/>
            <v:stroke on="f"/>
            <v:imagedata o:title=""/>
            <o:lock v:ext="edit" aspectratio="f"/>
            <v:textbox inset="0mm,0mm,0mm,0mm">
              <w:txbxContent>
                <w:p w14:paraId="2947638E">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color w:val="4C9CCA"/>
                      <w:sz w:val="16"/>
                      <w:szCs w:val="16"/>
                    </w:rPr>
                    <w:t>0</w:t>
                  </w:r>
                </w:p>
                <w:p w14:paraId="10F99F14">
                  <w:pPr>
                    <w:spacing w:before="215"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w:pict>
      </w:r>
      <w:r>
        <w:pict>
          <v:shape id="_x0000_s1464" o:spid="_x0000_s1464" o:spt="202" type="#_x0000_t202" style="position:absolute;left:0pt;margin-left:314pt;margin-top:-2.45pt;height:27.75pt;width:10.4pt;z-index:251732992;mso-width-relative:page;mso-height-relative:page;" filled="f" stroked="f" coordsize="21600,21600">
            <v:path/>
            <v:fill on="f" focussize="0,0"/>
            <v:stroke on="f"/>
            <v:imagedata o:title=""/>
            <o:lock v:ext="edit" aspectratio="f"/>
            <v:textbox inset="0mm,0mm,0mm,0mm">
              <w:txbxContent>
                <w:p w14:paraId="44D325A4">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12</w:t>
                  </w:r>
                </w:p>
                <w:p w14:paraId="7CA168B6">
                  <w:pPr>
                    <w:spacing w:before="199"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12</w:t>
                  </w:r>
                </w:p>
              </w:txbxContent>
            </v:textbox>
          </v:shape>
        </w:pict>
      </w:r>
      <w:r>
        <w:pict>
          <v:shape id="_x0000_s1465" o:spid="_x0000_s1465" o:spt="202" type="#_x0000_t202" style="position:absolute;left:0pt;margin-left:188pt;margin-top:-0.4pt;height:28.05pt;width:6.6pt;z-index:251741184;mso-width-relative:page;mso-height-relative:page;" filled="f" stroked="f" coordsize="21600,21600">
            <v:path/>
            <v:fill on="f" focussize="0,0"/>
            <v:stroke on="f"/>
            <v:imagedata o:title=""/>
            <o:lock v:ext="edit" aspectratio="f"/>
            <v:textbox inset="0mm,0mm,0mm,0mm">
              <w:txbxContent>
                <w:p w14:paraId="40BB8418">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color w:val="007FCA"/>
                      <w:sz w:val="16"/>
                      <w:szCs w:val="16"/>
                    </w:rPr>
                    <w:t>4</w:t>
                  </w:r>
                </w:p>
                <w:p w14:paraId="4DB4123A">
                  <w:pPr>
                    <w:spacing w:before="205" w:line="188" w:lineRule="auto"/>
                    <w:ind w:left="20"/>
                    <w:rPr>
                      <w:rFonts w:ascii="Times New Roman" w:hAnsi="Times New Roman" w:eastAsia="Times New Roman" w:cs="Times New Roman"/>
                      <w:sz w:val="19"/>
                      <w:szCs w:val="19"/>
                    </w:rPr>
                  </w:pPr>
                  <w:r>
                    <w:rPr>
                      <w:rFonts w:ascii="Times New Roman" w:hAnsi="Times New Roman" w:eastAsia="Times New Roman" w:cs="Times New Roman"/>
                      <w:color w:val="0088D7"/>
                      <w:sz w:val="19"/>
                      <w:szCs w:val="19"/>
                    </w:rPr>
                    <w:t>4</w:t>
                  </w:r>
                </w:p>
              </w:txbxContent>
            </v:textbox>
          </v:shape>
        </w:pict>
      </w:r>
      <w:r>
        <w:rPr>
          <w:rFonts w:ascii="Times New Roman" w:hAnsi="Times New Roman" w:eastAsia="Times New Roman" w:cs="Times New Roman"/>
          <w:spacing w:val="-3"/>
          <w:sz w:val="16"/>
          <w:szCs w:val="16"/>
        </w:rPr>
        <w:t>4</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14"/>
          <w:w w:val="84"/>
          <w:sz w:val="25"/>
          <w:szCs w:val="25"/>
        </w:rPr>
        <w:t>C</w:t>
      </w:r>
      <w:r>
        <w:rPr>
          <w:rFonts w:ascii="Times New Roman" w:hAnsi="Times New Roman" w:eastAsia="Times New Roman" w:cs="Times New Roman"/>
          <w:sz w:val="25"/>
          <w:szCs w:val="25"/>
        </w:rPr>
        <w:t xml:space="preserve"> </w:t>
      </w:r>
      <w:r>
        <w:rPr>
          <w:rFonts w:ascii="Times New Roman" w:hAnsi="Times New Roman" w:eastAsia="Times New Roman" w:cs="Times New Roman"/>
          <w:sz w:val="16"/>
          <w:szCs w:val="16"/>
        </w:rPr>
        <w:t>0</w:t>
      </w:r>
    </w:p>
    <w:p w14:paraId="1780403B">
      <w:pPr>
        <w:spacing w:line="188" w:lineRule="auto"/>
        <w:ind w:left="5390"/>
        <w:rPr>
          <w:rFonts w:ascii="Times New Roman" w:hAnsi="Times New Roman" w:eastAsia="Times New Roman" w:cs="Times New Roman"/>
          <w:sz w:val="16"/>
          <w:szCs w:val="16"/>
        </w:rPr>
      </w:pPr>
      <w:r>
        <w:pict>
          <v:shape id="_x0000_s1466" o:spid="_x0000_s1466" o:spt="202" type="#_x0000_t202" style="position:absolute;left:0pt;margin-left:236.45pt;margin-top:-1.45pt;height:27.25pt;width:5.9pt;z-index:251749376;mso-width-relative:page;mso-height-relative:page;" filled="f" stroked="f" coordsize="21600,21600">
            <v:path/>
            <v:fill on="f" focussize="0,0"/>
            <v:stroke on="f"/>
            <v:imagedata o:title=""/>
            <o:lock v:ext="edit" aspectratio="f"/>
            <v:textbox inset="0mm,0mm,0mm,0mm">
              <w:txbxContent>
                <w:p w14:paraId="2EAC989C">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color w:val="65AAD9"/>
                      <w:sz w:val="16"/>
                      <w:szCs w:val="16"/>
                    </w:rPr>
                    <w:t>4</w:t>
                  </w:r>
                </w:p>
                <w:p w14:paraId="7E82F275">
                  <w:pPr>
                    <w:spacing w:before="215"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xbxContent>
            </v:textbox>
          </v:shape>
        </w:pict>
      </w:r>
      <w:r>
        <w:pict>
          <v:shape id="_x0000_s1467" o:spid="_x0000_s1467" o:spt="202" type="#_x0000_t202" style="position:absolute;left:0pt;margin-left:252pt;margin-top:-2.05pt;height:29.05pt;width:8.55pt;z-index:251738112;mso-width-relative:page;mso-height-relative:page;" filled="f" stroked="f" coordsize="21600,21600">
            <v:path/>
            <v:fill on="f" focussize="0,0"/>
            <v:stroke on="f"/>
            <v:imagedata o:title=""/>
            <o:lock v:ext="edit" aspectratio="f"/>
            <v:textbox inset="0mm,0mm,0mm,0mm">
              <w:txbxContent>
                <w:p w14:paraId="1DD02034">
                  <w:pPr>
                    <w:spacing w:before="20" w:line="216" w:lineRule="auto"/>
                    <w:ind w:left="20" w:right="20"/>
                    <w:jc w:val="both"/>
                    <w:rPr>
                      <w:rFonts w:ascii="Times New Roman" w:hAnsi="Times New Roman" w:eastAsia="Times New Roman" w:cs="Times New Roman"/>
                      <w:sz w:val="19"/>
                      <w:szCs w:val="19"/>
                    </w:rPr>
                  </w:pPr>
                  <w:r>
                    <w:rPr>
                      <w:rFonts w:ascii="Times New Roman" w:hAnsi="Times New Roman" w:eastAsia="Times New Roman" w:cs="Times New Roman"/>
                      <w:spacing w:val="-10"/>
                      <w:sz w:val="16"/>
                      <w:szCs w:val="16"/>
                    </w:rPr>
                    <w:t>8</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4"/>
                      <w:w w:val="98"/>
                      <w:sz w:val="19"/>
                      <w:szCs w:val="19"/>
                    </w:rPr>
                    <w:t>G</w:t>
                  </w:r>
                  <w:r>
                    <w:rPr>
                      <w:rFonts w:ascii="Times New Roman" w:hAnsi="Times New Roman" w:eastAsia="Times New Roman" w:cs="Times New Roman"/>
                      <w:sz w:val="19"/>
                      <w:szCs w:val="19"/>
                    </w:rPr>
                    <w:t xml:space="preserve"> 0</w:t>
                  </w:r>
                </w:p>
              </w:txbxContent>
            </v:textbox>
          </v:shape>
        </w:pict>
      </w:r>
      <w:r>
        <w:rPr>
          <w:rFonts w:ascii="Times New Roman" w:hAnsi="Times New Roman" w:eastAsia="Times New Roman" w:cs="Times New Roman"/>
          <w:spacing w:val="-5"/>
          <w:sz w:val="16"/>
          <w:szCs w:val="16"/>
        </w:rPr>
        <w:t>12</w:t>
      </w:r>
    </w:p>
    <w:p w14:paraId="473F12B9">
      <w:pPr>
        <w:spacing w:before="205" w:line="188" w:lineRule="auto"/>
        <w:ind w:left="5390"/>
        <w:rPr>
          <w:rFonts w:ascii="Times New Roman" w:hAnsi="Times New Roman" w:eastAsia="Times New Roman" w:cs="Times New Roman"/>
          <w:sz w:val="19"/>
          <w:szCs w:val="19"/>
        </w:rPr>
      </w:pPr>
      <w:r>
        <w:rPr>
          <w:rFonts w:ascii="Times New Roman" w:hAnsi="Times New Roman" w:eastAsia="Times New Roman" w:cs="Times New Roman"/>
          <w:color w:val="1F98D5"/>
          <w:spacing w:val="-6"/>
          <w:sz w:val="19"/>
          <w:szCs w:val="19"/>
        </w:rPr>
        <w:t>12</w:t>
      </w:r>
    </w:p>
    <w:p w14:paraId="556BEBB9">
      <w:pPr>
        <w:pStyle w:val="2"/>
        <w:spacing w:before="107" w:line="219" w:lineRule="auto"/>
        <w:ind w:left="4170"/>
        <w:rPr>
          <w:sz w:val="19"/>
          <w:szCs w:val="19"/>
        </w:rPr>
      </w:pPr>
      <w:r>
        <w:rPr>
          <w:spacing w:val="-7"/>
          <w:sz w:val="19"/>
          <w:szCs w:val="19"/>
        </w:rPr>
        <w:t>图11-4</w:t>
      </w:r>
      <w:r>
        <w:rPr>
          <w:spacing w:val="75"/>
          <w:sz w:val="19"/>
          <w:szCs w:val="19"/>
        </w:rPr>
        <w:t xml:space="preserve"> </w:t>
      </w:r>
      <w:r>
        <w:rPr>
          <w:spacing w:val="-7"/>
          <w:sz w:val="19"/>
          <w:szCs w:val="19"/>
        </w:rPr>
        <w:t>单代号网络图</w:t>
      </w:r>
    </w:p>
    <w:p w14:paraId="4B2D526B">
      <w:pPr>
        <w:pStyle w:val="2"/>
        <w:spacing w:before="205" w:line="304" w:lineRule="auto"/>
        <w:ind w:left="869" w:right="85" w:firstLine="420"/>
        <w:jc w:val="both"/>
        <w:rPr>
          <w:sz w:val="19"/>
          <w:szCs w:val="19"/>
        </w:rPr>
      </w:pPr>
      <w:r>
        <w:rPr>
          <w:spacing w:val="13"/>
          <w:sz w:val="19"/>
          <w:szCs w:val="19"/>
        </w:rPr>
        <w:t>在实施过程中，工期的超前和落后是经常发</w:t>
      </w:r>
      <w:r>
        <w:rPr>
          <w:spacing w:val="12"/>
          <w:sz w:val="19"/>
          <w:szCs w:val="19"/>
        </w:rPr>
        <w:t>生的，为此，在利用网络图控制进度时的具体</w:t>
      </w:r>
      <w:r>
        <w:rPr>
          <w:sz w:val="19"/>
          <w:szCs w:val="19"/>
        </w:rPr>
        <w:t xml:space="preserve"> </w:t>
      </w:r>
      <w:r>
        <w:rPr>
          <w:spacing w:val="13"/>
          <w:sz w:val="19"/>
          <w:szCs w:val="19"/>
        </w:rPr>
        <w:t>做法是：首先应掌握现状，看进度是超前还是落后；其次是分析现状，分析超前落</w:t>
      </w:r>
      <w:r>
        <w:rPr>
          <w:spacing w:val="12"/>
          <w:sz w:val="19"/>
          <w:szCs w:val="19"/>
        </w:rPr>
        <w:t>后的主客观</w:t>
      </w:r>
      <w:r>
        <w:rPr>
          <w:sz w:val="19"/>
          <w:szCs w:val="19"/>
        </w:rPr>
        <w:t xml:space="preserve"> </w:t>
      </w:r>
      <w:r>
        <w:rPr>
          <w:spacing w:val="8"/>
          <w:sz w:val="19"/>
          <w:szCs w:val="19"/>
        </w:rPr>
        <w:t>因素及对工期的影响程度；最后是研究解决工期超前或落后应采取的相应措施。</w:t>
      </w:r>
    </w:p>
    <w:p w14:paraId="5F24E7CF">
      <w:pPr>
        <w:pStyle w:val="2"/>
        <w:spacing w:before="1" w:line="341" w:lineRule="auto"/>
        <w:ind w:left="869" w:right="20" w:firstLine="420"/>
        <w:rPr>
          <w:sz w:val="16"/>
          <w:szCs w:val="16"/>
        </w:rPr>
      </w:pPr>
      <w:r>
        <w:rPr>
          <w:spacing w:val="9"/>
          <w:sz w:val="19"/>
          <w:szCs w:val="19"/>
        </w:rPr>
        <w:t>应当注意的是，当工期拖延发生时，要合理采取措施，权衡进度、成本及质量之间的关系，</w:t>
      </w:r>
      <w:r>
        <w:rPr>
          <w:spacing w:val="4"/>
          <w:sz w:val="19"/>
          <w:szCs w:val="19"/>
        </w:rPr>
        <w:t xml:space="preserve"> </w:t>
      </w:r>
      <w:r>
        <w:rPr>
          <w:spacing w:val="-6"/>
          <w:sz w:val="16"/>
          <w:szCs w:val="16"/>
        </w:rPr>
        <w:t>具</w:t>
      </w:r>
      <w:r>
        <w:rPr>
          <w:spacing w:val="-24"/>
          <w:sz w:val="16"/>
          <w:szCs w:val="16"/>
        </w:rPr>
        <w:t xml:space="preserve"> </w:t>
      </w:r>
      <w:r>
        <w:rPr>
          <w:spacing w:val="-6"/>
          <w:sz w:val="16"/>
          <w:szCs w:val="16"/>
        </w:rPr>
        <w:t>体</w:t>
      </w:r>
      <w:r>
        <w:rPr>
          <w:spacing w:val="-25"/>
          <w:sz w:val="16"/>
          <w:szCs w:val="16"/>
        </w:rPr>
        <w:t xml:space="preserve"> </w:t>
      </w:r>
      <w:r>
        <w:rPr>
          <w:spacing w:val="-6"/>
          <w:sz w:val="16"/>
          <w:szCs w:val="16"/>
        </w:rPr>
        <w:t>包</w:t>
      </w:r>
      <w:r>
        <w:rPr>
          <w:spacing w:val="-25"/>
          <w:sz w:val="16"/>
          <w:szCs w:val="16"/>
        </w:rPr>
        <w:t xml:space="preserve"> </w:t>
      </w:r>
      <w:r>
        <w:rPr>
          <w:spacing w:val="-6"/>
          <w:sz w:val="16"/>
          <w:szCs w:val="16"/>
        </w:rPr>
        <w:t>括</w:t>
      </w:r>
      <w:r>
        <w:rPr>
          <w:spacing w:val="-31"/>
          <w:sz w:val="16"/>
          <w:szCs w:val="16"/>
        </w:rPr>
        <w:t xml:space="preserve"> </w:t>
      </w:r>
      <w:r>
        <w:rPr>
          <w:spacing w:val="-6"/>
          <w:sz w:val="16"/>
          <w:szCs w:val="16"/>
        </w:rPr>
        <w:t>：</w:t>
      </w:r>
    </w:p>
    <w:p w14:paraId="05B93448">
      <w:pPr>
        <w:pStyle w:val="2"/>
        <w:spacing w:before="4" w:line="265" w:lineRule="auto"/>
        <w:ind w:left="869" w:firstLine="420"/>
        <w:rPr>
          <w:sz w:val="19"/>
          <w:szCs w:val="19"/>
        </w:rPr>
      </w:pPr>
      <w:r>
        <w:rPr>
          <w:spacing w:val="17"/>
          <w:sz w:val="19"/>
          <w:szCs w:val="19"/>
        </w:rPr>
        <w:t>(1)采用无目标地补充设备、增加人员或加班加点的做法，往往</w:t>
      </w:r>
      <w:r>
        <w:rPr>
          <w:spacing w:val="16"/>
          <w:sz w:val="19"/>
          <w:szCs w:val="19"/>
        </w:rPr>
        <w:t>既不经济，效果也不佳，</w:t>
      </w:r>
      <w:r>
        <w:rPr>
          <w:sz w:val="19"/>
          <w:szCs w:val="19"/>
        </w:rPr>
        <w:t xml:space="preserve"> </w:t>
      </w:r>
      <w:r>
        <w:rPr>
          <w:spacing w:val="5"/>
          <w:sz w:val="19"/>
          <w:szCs w:val="19"/>
        </w:rPr>
        <w:t>还可能导致质量和效率降低；</w:t>
      </w:r>
    </w:p>
    <w:p w14:paraId="51829BE1">
      <w:pPr>
        <w:pStyle w:val="2"/>
        <w:spacing w:before="83" w:line="265" w:lineRule="auto"/>
        <w:ind w:left="869" w:right="58" w:firstLine="420"/>
        <w:rPr>
          <w:sz w:val="19"/>
          <w:szCs w:val="19"/>
        </w:rPr>
      </w:pPr>
      <w:r>
        <w:rPr>
          <w:spacing w:val="15"/>
          <w:sz w:val="19"/>
          <w:szCs w:val="19"/>
        </w:rPr>
        <w:t>(2)压缩工期往往需要增加实施费用，采用一些特别措施更需要增加额外费用，但实施速</w:t>
      </w:r>
      <w:r>
        <w:rPr>
          <w:spacing w:val="11"/>
          <w:sz w:val="19"/>
          <w:szCs w:val="19"/>
        </w:rPr>
        <w:t xml:space="preserve"> </w:t>
      </w:r>
      <w:r>
        <w:rPr>
          <w:spacing w:val="7"/>
          <w:sz w:val="19"/>
          <w:szCs w:val="19"/>
        </w:rPr>
        <w:t>度加快，工程可以提前交付使用，能够提前发挥组织效益和社会效益；</w:t>
      </w:r>
    </w:p>
    <w:p w14:paraId="6348B563">
      <w:pPr>
        <w:pStyle w:val="2"/>
        <w:spacing w:before="86" w:line="219" w:lineRule="auto"/>
        <w:ind w:left="1290"/>
        <w:rPr>
          <w:sz w:val="19"/>
          <w:szCs w:val="19"/>
        </w:rPr>
      </w:pPr>
      <w:r>
        <w:rPr>
          <w:spacing w:val="6"/>
          <w:sz w:val="19"/>
          <w:szCs w:val="19"/>
        </w:rPr>
        <w:t>(3)承建单位的超额支出，</w:t>
      </w:r>
      <w:r>
        <w:rPr>
          <w:spacing w:val="68"/>
          <w:sz w:val="19"/>
          <w:szCs w:val="19"/>
        </w:rPr>
        <w:t xml:space="preserve"> </w:t>
      </w:r>
      <w:r>
        <w:rPr>
          <w:spacing w:val="6"/>
          <w:sz w:val="19"/>
          <w:szCs w:val="19"/>
        </w:rPr>
        <w:t>一般可以从合同条款和业主单位的奖励中得到补偿。</w:t>
      </w:r>
    </w:p>
    <w:p w14:paraId="1FFAF442">
      <w:pPr>
        <w:spacing w:line="329" w:lineRule="auto"/>
        <w:rPr>
          <w:rFonts w:ascii="Arial"/>
          <w:sz w:val="21"/>
        </w:rPr>
      </w:pPr>
    </w:p>
    <w:p w14:paraId="4BDE7E05">
      <w:pPr>
        <w:pStyle w:val="2"/>
        <w:spacing w:before="91" w:line="222" w:lineRule="auto"/>
        <w:ind w:left="873"/>
        <w:rPr>
          <w:rFonts w:ascii="黑体" w:hAnsi="黑体" w:eastAsia="黑体" w:cs="黑体"/>
          <w:sz w:val="28"/>
          <w:szCs w:val="28"/>
        </w:rPr>
      </w:pPr>
      <w:r>
        <w:rPr>
          <w:b/>
          <w:bCs/>
          <w:color w:val="0076C5"/>
          <w:spacing w:val="-10"/>
          <w:sz w:val="28"/>
          <w:szCs w:val="28"/>
        </w:rPr>
        <w:t>11.4</w:t>
      </w:r>
      <w:r>
        <w:rPr>
          <w:color w:val="0076C5"/>
          <w:spacing w:val="-10"/>
          <w:sz w:val="28"/>
          <w:szCs w:val="28"/>
        </w:rPr>
        <w:t xml:space="preserve"> </w:t>
      </w:r>
      <w:r>
        <w:rPr>
          <w:rFonts w:ascii="黑体" w:hAnsi="黑体" w:eastAsia="黑体" w:cs="黑体"/>
          <w:b/>
          <w:bCs/>
          <w:color w:val="0076C5"/>
          <w:spacing w:val="-10"/>
          <w:sz w:val="28"/>
          <w:szCs w:val="28"/>
        </w:rPr>
        <w:t>监理进度控制工作</w:t>
      </w:r>
    </w:p>
    <w:p w14:paraId="0C0B5C6E">
      <w:pPr>
        <w:pStyle w:val="2"/>
        <w:spacing w:before="275" w:line="321" w:lineRule="auto"/>
        <w:ind w:left="869" w:right="80" w:firstLine="420"/>
        <w:rPr>
          <w:sz w:val="16"/>
          <w:szCs w:val="16"/>
        </w:rPr>
      </w:pPr>
      <w:r>
        <w:rPr>
          <w:spacing w:val="13"/>
          <w:sz w:val="19"/>
          <w:szCs w:val="19"/>
        </w:rPr>
        <w:t>本节从监理进度控制程序和监理进度控制方法两个方面介</w:t>
      </w:r>
      <w:r>
        <w:rPr>
          <w:spacing w:val="12"/>
          <w:sz w:val="19"/>
          <w:szCs w:val="19"/>
        </w:rPr>
        <w:t>绍监理在进度控制时需要开展的</w:t>
      </w:r>
      <w:r>
        <w:rPr>
          <w:sz w:val="19"/>
          <w:szCs w:val="19"/>
        </w:rPr>
        <w:t xml:space="preserve"> </w:t>
      </w:r>
      <w:r>
        <w:rPr>
          <w:spacing w:val="25"/>
          <w:sz w:val="16"/>
          <w:szCs w:val="16"/>
        </w:rPr>
        <w:t>主要工作</w:t>
      </w:r>
      <w:r>
        <w:rPr>
          <w:spacing w:val="-33"/>
          <w:sz w:val="16"/>
          <w:szCs w:val="16"/>
        </w:rPr>
        <w:t xml:space="preserve"> </w:t>
      </w:r>
      <w:r>
        <w:rPr>
          <w:spacing w:val="25"/>
          <w:sz w:val="16"/>
          <w:szCs w:val="16"/>
        </w:rPr>
        <w:t>。</w:t>
      </w:r>
    </w:p>
    <w:p w14:paraId="3F954BB9">
      <w:pPr>
        <w:pStyle w:val="2"/>
        <w:spacing w:before="152" w:line="220" w:lineRule="auto"/>
        <w:ind w:left="873"/>
        <w:rPr>
          <w:sz w:val="25"/>
          <w:szCs w:val="25"/>
        </w:rPr>
      </w:pPr>
      <w:r>
        <w:rPr>
          <w:b/>
          <w:bCs/>
          <w:color w:val="0080D6"/>
          <w:spacing w:val="-16"/>
          <w:sz w:val="25"/>
          <w:szCs w:val="25"/>
        </w:rPr>
        <w:t>11.4.1监理进度控制程序</w:t>
      </w:r>
    </w:p>
    <w:p w14:paraId="565C4362">
      <w:pPr>
        <w:pStyle w:val="2"/>
        <w:spacing w:before="171" w:line="309" w:lineRule="auto"/>
        <w:ind w:left="869" w:right="79" w:firstLine="420"/>
        <w:jc w:val="both"/>
        <w:rPr>
          <w:sz w:val="16"/>
          <w:szCs w:val="16"/>
        </w:rPr>
      </w:pPr>
      <w:r>
        <w:rPr>
          <w:spacing w:val="15"/>
          <w:sz w:val="19"/>
          <w:szCs w:val="19"/>
        </w:rPr>
        <w:t>监理单位的进度控制工作包括审查承建单位的进度计划，对计划进行跟踪检查、分析(与</w:t>
      </w:r>
      <w:r>
        <w:rPr>
          <w:spacing w:val="4"/>
          <w:sz w:val="19"/>
          <w:szCs w:val="19"/>
        </w:rPr>
        <w:t xml:space="preserve"> </w:t>
      </w:r>
      <w:r>
        <w:rPr>
          <w:spacing w:val="12"/>
          <w:sz w:val="19"/>
          <w:szCs w:val="19"/>
        </w:rPr>
        <w:t>计划目标的偏离程度及原因),并根据执行情况采取相应的措施。进度控制的基本程序如图11-5</w:t>
      </w:r>
      <w:r>
        <w:rPr>
          <w:spacing w:val="2"/>
          <w:sz w:val="19"/>
          <w:szCs w:val="19"/>
        </w:rPr>
        <w:t xml:space="preserve"> </w:t>
      </w:r>
      <w:r>
        <w:rPr>
          <w:spacing w:val="-5"/>
          <w:sz w:val="16"/>
          <w:szCs w:val="16"/>
        </w:rPr>
        <w:t>所</w:t>
      </w:r>
      <w:r>
        <w:rPr>
          <w:spacing w:val="-8"/>
          <w:sz w:val="16"/>
          <w:szCs w:val="16"/>
        </w:rPr>
        <w:t xml:space="preserve"> </w:t>
      </w:r>
      <w:r>
        <w:rPr>
          <w:spacing w:val="-5"/>
          <w:sz w:val="16"/>
          <w:szCs w:val="16"/>
        </w:rPr>
        <w:t>示</w:t>
      </w:r>
      <w:r>
        <w:rPr>
          <w:spacing w:val="-15"/>
          <w:sz w:val="16"/>
          <w:szCs w:val="16"/>
        </w:rPr>
        <w:t xml:space="preserve"> </w:t>
      </w:r>
      <w:r>
        <w:rPr>
          <w:spacing w:val="-5"/>
          <w:sz w:val="16"/>
          <w:szCs w:val="16"/>
        </w:rPr>
        <w:t>。</w:t>
      </w:r>
    </w:p>
    <w:p w14:paraId="0BC2113A">
      <w:pPr>
        <w:spacing w:line="309" w:lineRule="auto"/>
        <w:rPr>
          <w:sz w:val="16"/>
          <w:szCs w:val="16"/>
        </w:rPr>
        <w:sectPr>
          <w:pgSz w:w="10320" w:h="13400"/>
          <w:pgMar w:top="399" w:right="1044" w:bottom="400" w:left="0" w:header="0" w:footer="0" w:gutter="0"/>
          <w:cols w:space="720" w:num="1"/>
        </w:sectPr>
      </w:pPr>
    </w:p>
    <w:p w14:paraId="63D60F8C">
      <w:pPr>
        <w:pStyle w:val="2"/>
        <w:jc w:val="right"/>
        <w:rPr>
          <w:rFonts w:ascii="Times New Roman" w:hAnsi="Times New Roman" w:eastAsia="Times New Roman" w:cs="Times New Roman"/>
          <w:sz w:val="34"/>
          <w:szCs w:val="34"/>
        </w:rPr>
      </w:pPr>
      <w:bookmarkStart w:id="629" w:name="bookmark614"/>
      <w:bookmarkEnd w:id="629"/>
      <w:r>
        <w:rPr>
          <w:b/>
          <w:bCs/>
          <w:spacing w:val="-9"/>
          <w:position w:val="3"/>
          <w:sz w:val="18"/>
          <w:szCs w:val="18"/>
        </w:rPr>
        <w:t>第11章</w:t>
      </w:r>
      <w:r>
        <w:rPr>
          <w:spacing w:val="58"/>
          <w:position w:val="3"/>
          <w:sz w:val="18"/>
          <w:szCs w:val="18"/>
        </w:rPr>
        <w:t xml:space="preserve"> </w:t>
      </w:r>
      <w:r>
        <w:rPr>
          <w:b/>
          <w:bCs/>
          <w:spacing w:val="-9"/>
          <w:position w:val="3"/>
          <w:sz w:val="18"/>
          <w:szCs w:val="18"/>
        </w:rPr>
        <w:t>进度控制</w:t>
      </w:r>
      <w:r>
        <w:rPr>
          <w:spacing w:val="47"/>
          <w:position w:val="3"/>
          <w:sz w:val="18"/>
          <w:szCs w:val="18"/>
        </w:rPr>
        <w:t xml:space="preserve"> </w:t>
      </w:r>
      <w:r>
        <w:rPr>
          <w:position w:val="-8"/>
          <w:sz w:val="18"/>
          <w:szCs w:val="18"/>
        </w:rPr>
        <w:drawing>
          <wp:inline distT="0" distB="0" distL="0" distR="0">
            <wp:extent cx="311150" cy="24701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81"/>
                    <a:stretch>
                      <a:fillRect/>
                    </a:stretch>
                  </pic:blipFill>
                  <pic:spPr>
                    <a:xfrm>
                      <a:off x="0" y="0"/>
                      <a:ext cx="311156" cy="247605"/>
                    </a:xfrm>
                    <a:prstGeom prst="rect">
                      <a:avLst/>
                    </a:prstGeom>
                  </pic:spPr>
                </pic:pic>
              </a:graphicData>
            </a:graphic>
          </wp:inline>
        </w:drawing>
      </w:r>
      <w:r>
        <w:rPr>
          <w:rFonts w:ascii="Times New Roman" w:hAnsi="Times New Roman" w:eastAsia="Times New Roman" w:cs="Times New Roman"/>
          <w:spacing w:val="-9"/>
          <w:position w:val="-5"/>
          <w:sz w:val="34"/>
          <w:szCs w:val="34"/>
        </w:rPr>
        <w:t>265</w:t>
      </w:r>
    </w:p>
    <w:p w14:paraId="2361B826">
      <w:pPr>
        <w:pStyle w:val="2"/>
        <w:spacing w:before="146" w:line="6890" w:lineRule="exact"/>
        <w:ind w:firstLine="1159"/>
      </w:pPr>
      <w:r>
        <w:rPr>
          <w:position w:val="-137"/>
        </w:rPr>
        <w:pict>
          <v:group id="_x0000_s1468" o:spid="_x0000_s1468" o:spt="203" style="height:344.5pt;width:301pt;" coordsize="6020,6890">
            <o:lock v:ext="edit"/>
            <v:shape id="_x0000_s1469" o:spid="_x0000_s1469" o:spt="75" type="#_x0000_t75" style="position:absolute;left:0;top:0;height:6890;width:6020;" filled="f" stroked="f" coordsize="21600,21600">
              <v:path/>
              <v:fill on="f" focussize="0,0"/>
              <v:stroke on="f"/>
              <v:imagedata r:id="rId182" o:title=""/>
              <o:lock v:ext="edit" aspectratio="t"/>
            </v:shape>
            <v:shape id="_x0000_s1470" o:spid="_x0000_s1470" o:spt="202" type="#_x0000_t202" style="position:absolute;left:1300;top:187;height:6570;width:3793;" filled="f" stroked="f" coordsize="21600,21600">
              <v:path/>
              <v:fill on="f" focussize="0,0"/>
              <v:stroke on="f"/>
              <v:imagedata o:title=""/>
              <o:lock v:ext="edit" aspectratio="f"/>
              <v:textbox inset="0mm,0mm,0mm,0mm">
                <w:txbxContent>
                  <w:p w14:paraId="3E9CE5DD">
                    <w:pPr>
                      <w:spacing w:before="20" w:line="217" w:lineRule="auto"/>
                      <w:ind w:left="1199" w:right="1220" w:hanging="840"/>
                      <w:rPr>
                        <w:rFonts w:ascii="宋体" w:hAnsi="宋体" w:eastAsia="宋体" w:cs="宋体"/>
                        <w:sz w:val="18"/>
                        <w:szCs w:val="18"/>
                      </w:rPr>
                    </w:pPr>
                    <w:r>
                      <w:rPr>
                        <w:rFonts w:ascii="宋体" w:hAnsi="宋体" w:eastAsia="宋体" w:cs="宋体"/>
                        <w:spacing w:val="-10"/>
                        <w:sz w:val="18"/>
                        <w:szCs w:val="18"/>
                      </w:rPr>
                      <w:t>承建单位编制工程总进度计划</w:t>
                    </w:r>
                    <w:r>
                      <w:rPr>
                        <w:rFonts w:ascii="宋体" w:hAnsi="宋体" w:eastAsia="宋体" w:cs="宋体"/>
                        <w:spacing w:val="1"/>
                        <w:sz w:val="18"/>
                        <w:szCs w:val="18"/>
                      </w:rPr>
                      <w:t xml:space="preserve"> </w:t>
                    </w:r>
                    <w:r>
                      <w:rPr>
                        <w:rFonts w:ascii="宋体" w:hAnsi="宋体" w:eastAsia="宋体" w:cs="宋体"/>
                        <w:spacing w:val="-3"/>
                        <w:sz w:val="18"/>
                        <w:szCs w:val="18"/>
                      </w:rPr>
                      <w:t>并报审</w:t>
                    </w:r>
                  </w:p>
                  <w:p w14:paraId="67E7CBA0">
                    <w:pPr>
                      <w:spacing w:line="387" w:lineRule="auto"/>
                      <w:rPr>
                        <w:rFonts w:ascii="Arial"/>
                        <w:sz w:val="21"/>
                      </w:rPr>
                    </w:pPr>
                  </w:p>
                  <w:p w14:paraId="5D2BD68D">
                    <w:pPr>
                      <w:spacing w:before="59" w:line="163" w:lineRule="auto"/>
                      <w:ind w:left="2789"/>
                      <w:rPr>
                        <w:rFonts w:ascii="宋体" w:hAnsi="宋体" w:eastAsia="宋体" w:cs="宋体"/>
                        <w:sz w:val="18"/>
                        <w:szCs w:val="18"/>
                      </w:rPr>
                    </w:pPr>
                    <w:r>
                      <w:rPr>
                        <w:rFonts w:ascii="宋体" w:hAnsi="宋体" w:eastAsia="宋体" w:cs="宋体"/>
                        <w:spacing w:val="-3"/>
                        <w:sz w:val="18"/>
                        <w:szCs w:val="18"/>
                      </w:rPr>
                      <w:t>不通过</w:t>
                    </w:r>
                  </w:p>
                  <w:p w14:paraId="701A73B4">
                    <w:pPr>
                      <w:spacing w:line="197" w:lineRule="auto"/>
                      <w:ind w:left="799"/>
                      <w:rPr>
                        <w:rFonts w:ascii="宋体" w:hAnsi="宋体" w:eastAsia="宋体" w:cs="宋体"/>
                        <w:sz w:val="18"/>
                        <w:szCs w:val="18"/>
                      </w:rPr>
                    </w:pPr>
                    <w:r>
                      <w:rPr>
                        <w:rFonts w:ascii="宋体" w:hAnsi="宋体" w:eastAsia="宋体" w:cs="宋体"/>
                        <w:spacing w:val="-10"/>
                        <w:sz w:val="18"/>
                        <w:szCs w:val="18"/>
                      </w:rPr>
                      <w:t>总监理工程师审查</w:t>
                    </w:r>
                  </w:p>
                  <w:p w14:paraId="17AB2B93">
                    <w:pPr>
                      <w:spacing w:before="246" w:line="222" w:lineRule="auto"/>
                      <w:ind w:left="1540"/>
                      <w:rPr>
                        <w:rFonts w:ascii="黑体" w:hAnsi="黑体" w:eastAsia="黑体" w:cs="黑体"/>
                        <w:sz w:val="18"/>
                        <w:szCs w:val="18"/>
                      </w:rPr>
                    </w:pPr>
                    <w:r>
                      <w:rPr>
                        <w:rFonts w:ascii="黑体" w:hAnsi="黑体" w:eastAsia="黑体" w:cs="黑体"/>
                        <w:spacing w:val="-2"/>
                        <w:sz w:val="18"/>
                        <w:szCs w:val="18"/>
                      </w:rPr>
                      <w:t>通过</w:t>
                    </w:r>
                  </w:p>
                  <w:p w14:paraId="6F1422F7">
                    <w:pPr>
                      <w:spacing w:before="153" w:line="212" w:lineRule="auto"/>
                      <w:ind w:left="1200" w:right="870" w:hanging="1180"/>
                      <w:rPr>
                        <w:rFonts w:ascii="宋体" w:hAnsi="宋体" w:eastAsia="宋体" w:cs="宋体"/>
                        <w:sz w:val="18"/>
                        <w:szCs w:val="18"/>
                      </w:rPr>
                    </w:pPr>
                    <w:r>
                      <w:rPr>
                        <w:rFonts w:ascii="宋体" w:hAnsi="宋体" w:eastAsia="宋体" w:cs="宋体"/>
                        <w:spacing w:val="-10"/>
                        <w:sz w:val="18"/>
                        <w:szCs w:val="18"/>
                      </w:rPr>
                      <w:t>承建单位编制单项工程或阶段进度计划</w:t>
                    </w:r>
                    <w:r>
                      <w:rPr>
                        <w:rFonts w:ascii="宋体" w:hAnsi="宋体" w:eastAsia="宋体" w:cs="宋体"/>
                        <w:spacing w:val="11"/>
                        <w:sz w:val="18"/>
                        <w:szCs w:val="18"/>
                      </w:rPr>
                      <w:t xml:space="preserve"> </w:t>
                    </w:r>
                    <w:r>
                      <w:rPr>
                        <w:rFonts w:ascii="宋体" w:hAnsi="宋体" w:eastAsia="宋体" w:cs="宋体"/>
                        <w:spacing w:val="-3"/>
                        <w:sz w:val="18"/>
                        <w:szCs w:val="18"/>
                      </w:rPr>
                      <w:t>并报审</w:t>
                    </w:r>
                  </w:p>
                  <w:p w14:paraId="31E00393">
                    <w:pPr>
                      <w:spacing w:line="418" w:lineRule="auto"/>
                      <w:rPr>
                        <w:rFonts w:ascii="Arial"/>
                        <w:sz w:val="21"/>
                      </w:rPr>
                    </w:pPr>
                  </w:p>
                  <w:p w14:paraId="6276BFD7">
                    <w:pPr>
                      <w:spacing w:before="59" w:line="157" w:lineRule="auto"/>
                      <w:ind w:left="2880"/>
                      <w:rPr>
                        <w:rFonts w:ascii="宋体" w:hAnsi="宋体" w:eastAsia="宋体" w:cs="宋体"/>
                        <w:sz w:val="18"/>
                        <w:szCs w:val="18"/>
                      </w:rPr>
                    </w:pPr>
                    <w:r>
                      <w:rPr>
                        <w:rFonts w:ascii="宋体" w:hAnsi="宋体" w:eastAsia="宋体" w:cs="宋体"/>
                        <w:spacing w:val="-3"/>
                        <w:sz w:val="18"/>
                        <w:szCs w:val="18"/>
                      </w:rPr>
                      <w:t>不通过</w:t>
                    </w:r>
                  </w:p>
                  <w:p w14:paraId="47C0261A">
                    <w:pPr>
                      <w:spacing w:line="192" w:lineRule="auto"/>
                      <w:ind w:left="780"/>
                      <w:rPr>
                        <w:rFonts w:ascii="宋体" w:hAnsi="宋体" w:eastAsia="宋体" w:cs="宋体"/>
                        <w:sz w:val="18"/>
                        <w:szCs w:val="18"/>
                      </w:rPr>
                    </w:pPr>
                    <w:r>
                      <w:rPr>
                        <w:rFonts w:ascii="宋体" w:hAnsi="宋体" w:eastAsia="宋体" w:cs="宋体"/>
                        <w:spacing w:val="-8"/>
                        <w:sz w:val="18"/>
                        <w:szCs w:val="18"/>
                      </w:rPr>
                      <w:t>总监理工程师审查</w:t>
                    </w:r>
                  </w:p>
                  <w:p w14:paraId="182363E9">
                    <w:pPr>
                      <w:spacing w:before="273" w:line="227" w:lineRule="auto"/>
                      <w:ind w:left="1519"/>
                      <w:rPr>
                        <w:rFonts w:ascii="宋体" w:hAnsi="宋体" w:eastAsia="宋体" w:cs="宋体"/>
                        <w:sz w:val="18"/>
                        <w:szCs w:val="18"/>
                      </w:rPr>
                    </w:pPr>
                    <w:r>
                      <w:rPr>
                        <w:rFonts w:ascii="宋体" w:hAnsi="宋体" w:eastAsia="宋体" w:cs="宋体"/>
                        <w:spacing w:val="-2"/>
                        <w:sz w:val="18"/>
                        <w:szCs w:val="18"/>
                      </w:rPr>
                      <w:t>通过</w:t>
                    </w:r>
                  </w:p>
                  <w:p w14:paraId="52D71438">
                    <w:pPr>
                      <w:spacing w:before="112" w:line="219" w:lineRule="auto"/>
                      <w:ind w:left="660"/>
                      <w:rPr>
                        <w:rFonts w:ascii="宋体" w:hAnsi="宋体" w:eastAsia="宋体" w:cs="宋体"/>
                        <w:sz w:val="18"/>
                        <w:szCs w:val="18"/>
                      </w:rPr>
                    </w:pPr>
                    <w:r>
                      <w:rPr>
                        <w:rFonts w:ascii="宋体" w:hAnsi="宋体" w:eastAsia="宋体" w:cs="宋体"/>
                        <w:spacing w:val="-8"/>
                        <w:sz w:val="18"/>
                        <w:szCs w:val="18"/>
                      </w:rPr>
                      <w:t>按进度计划组织实施</w:t>
                    </w:r>
                  </w:p>
                  <w:p w14:paraId="40791E0A">
                    <w:pPr>
                      <w:spacing w:line="405" w:lineRule="auto"/>
                      <w:rPr>
                        <w:rFonts w:ascii="Arial"/>
                        <w:sz w:val="21"/>
                      </w:rPr>
                    </w:pPr>
                  </w:p>
                  <w:p w14:paraId="648E1856">
                    <w:pPr>
                      <w:spacing w:before="60" w:line="217" w:lineRule="auto"/>
                      <w:ind w:left="660" w:right="1336" w:hanging="260"/>
                      <w:rPr>
                        <w:rFonts w:ascii="宋体" w:hAnsi="宋体" w:eastAsia="宋体" w:cs="宋体"/>
                        <w:sz w:val="18"/>
                        <w:szCs w:val="18"/>
                      </w:rPr>
                    </w:pPr>
                    <w:r>
                      <w:rPr>
                        <w:rFonts w:ascii="宋体" w:hAnsi="宋体" w:eastAsia="宋体" w:cs="宋体"/>
                        <w:spacing w:val="-9"/>
                        <w:sz w:val="18"/>
                        <w:szCs w:val="18"/>
                      </w:rPr>
                      <w:t>监理工程师对进度实施情况</w:t>
                    </w:r>
                    <w:r>
                      <w:rPr>
                        <w:rFonts w:ascii="宋体" w:hAnsi="宋体" w:eastAsia="宋体" w:cs="宋体"/>
                        <w:spacing w:val="4"/>
                        <w:sz w:val="18"/>
                        <w:szCs w:val="18"/>
                      </w:rPr>
                      <w:t xml:space="preserve"> </w:t>
                    </w:r>
                    <w:r>
                      <w:rPr>
                        <w:rFonts w:ascii="宋体" w:hAnsi="宋体" w:eastAsia="宋体" w:cs="宋体"/>
                        <w:spacing w:val="-8"/>
                        <w:sz w:val="18"/>
                        <w:szCs w:val="18"/>
                      </w:rPr>
                      <w:t>进行跟踪检查、分析</w:t>
                    </w:r>
                  </w:p>
                  <w:p w14:paraId="69A930E0">
                    <w:pPr>
                      <w:spacing w:line="302" w:lineRule="auto"/>
                      <w:rPr>
                        <w:rFonts w:ascii="Arial"/>
                        <w:sz w:val="21"/>
                      </w:rPr>
                    </w:pPr>
                  </w:p>
                  <w:p w14:paraId="246D789D">
                    <w:pPr>
                      <w:spacing w:line="302" w:lineRule="auto"/>
                      <w:rPr>
                        <w:rFonts w:ascii="Arial"/>
                        <w:sz w:val="21"/>
                      </w:rPr>
                    </w:pPr>
                  </w:p>
                  <w:p w14:paraId="7559CCC5">
                    <w:pPr>
                      <w:spacing w:before="58" w:line="219" w:lineRule="auto"/>
                      <w:ind w:left="2050"/>
                      <w:rPr>
                        <w:rFonts w:ascii="宋体" w:hAnsi="宋体" w:eastAsia="宋体" w:cs="宋体"/>
                        <w:sz w:val="18"/>
                        <w:szCs w:val="18"/>
                      </w:rPr>
                    </w:pPr>
                    <w:r>
                      <w:rPr>
                        <w:rFonts w:ascii="宋体" w:hAnsi="宋体" w:eastAsia="宋体" w:cs="宋体"/>
                        <w:spacing w:val="-9"/>
                        <w:sz w:val="18"/>
                        <w:szCs w:val="18"/>
                      </w:rPr>
                      <w:t>严重偏离计划目标</w:t>
                    </w:r>
                  </w:p>
                  <w:p w14:paraId="33218180">
                    <w:pPr>
                      <w:spacing w:line="404" w:lineRule="auto"/>
                      <w:rPr>
                        <w:rFonts w:ascii="Arial"/>
                        <w:sz w:val="21"/>
                      </w:rPr>
                    </w:pPr>
                  </w:p>
                  <w:p w14:paraId="74692685">
                    <w:pPr>
                      <w:spacing w:before="60" w:line="222" w:lineRule="auto"/>
                      <w:ind w:left="1700" w:right="20" w:firstLine="19"/>
                      <w:rPr>
                        <w:rFonts w:ascii="宋体" w:hAnsi="宋体" w:eastAsia="宋体" w:cs="宋体"/>
                        <w:sz w:val="18"/>
                        <w:szCs w:val="18"/>
                      </w:rPr>
                    </w:pPr>
                    <w:r>
                      <w:rPr>
                        <w:rFonts w:ascii="宋体" w:hAnsi="宋体" w:eastAsia="宋体" w:cs="宋体"/>
                        <w:spacing w:val="-9"/>
                        <w:sz w:val="18"/>
                        <w:szCs w:val="18"/>
                      </w:rPr>
                      <w:t>总监理工程师签发监理通知</w:t>
                    </w:r>
                    <w:r>
                      <w:rPr>
                        <w:rFonts w:ascii="宋体" w:hAnsi="宋体" w:eastAsia="宋体" w:cs="宋体"/>
                        <w:sz w:val="18"/>
                        <w:szCs w:val="18"/>
                      </w:rPr>
                      <w:t xml:space="preserve"> </w:t>
                    </w:r>
                    <w:r>
                      <w:rPr>
                        <w:rFonts w:ascii="宋体" w:hAnsi="宋体" w:eastAsia="宋体" w:cs="宋体"/>
                        <w:spacing w:val="-8"/>
                        <w:sz w:val="18"/>
                        <w:szCs w:val="18"/>
                      </w:rPr>
                      <w:t>指示承建单位采取调整措施</w:t>
                    </w:r>
                  </w:p>
                </w:txbxContent>
              </v:textbox>
            </v:shape>
            <v:shape id="_x0000_s1471" o:spid="_x0000_s1471" o:spt="202" type="#_x0000_t202" style="position:absolute;left:940;top:5636;height:1111;width:1396;" filled="f" stroked="f" coordsize="21600,21600">
              <v:path/>
              <v:fill on="f" focussize="0,0"/>
              <v:stroke on="f"/>
              <v:imagedata o:title=""/>
              <o:lock v:ext="edit" aspectratio="f"/>
              <v:textbox inset="0mm,0mm,0mm,0mm">
                <w:txbxContent>
                  <w:p w14:paraId="25409500">
                    <w:pPr>
                      <w:spacing w:before="19" w:line="219" w:lineRule="auto"/>
                      <w:ind w:left="20"/>
                      <w:rPr>
                        <w:rFonts w:ascii="宋体" w:hAnsi="宋体" w:eastAsia="宋体" w:cs="宋体"/>
                        <w:sz w:val="18"/>
                        <w:szCs w:val="18"/>
                      </w:rPr>
                    </w:pPr>
                    <w:r>
                      <w:rPr>
                        <w:rFonts w:ascii="宋体" w:hAnsi="宋体" w:eastAsia="宋体" w:cs="宋体"/>
                        <w:spacing w:val="-10"/>
                        <w:sz w:val="18"/>
                        <w:szCs w:val="18"/>
                      </w:rPr>
                      <w:t>基本实现计划目标</w:t>
                    </w:r>
                  </w:p>
                  <w:p w14:paraId="623A5CF9">
                    <w:pPr>
                      <w:spacing w:line="406" w:lineRule="auto"/>
                      <w:rPr>
                        <w:rFonts w:ascii="Arial"/>
                        <w:sz w:val="21"/>
                      </w:rPr>
                    </w:pPr>
                  </w:p>
                  <w:p w14:paraId="208A50B2">
                    <w:pPr>
                      <w:spacing w:before="59" w:line="216" w:lineRule="auto"/>
                      <w:ind w:left="189"/>
                      <w:rPr>
                        <w:rFonts w:ascii="宋体" w:hAnsi="宋体" w:eastAsia="宋体" w:cs="宋体"/>
                        <w:sz w:val="18"/>
                        <w:szCs w:val="18"/>
                      </w:rPr>
                    </w:pPr>
                    <w:r>
                      <w:rPr>
                        <w:rFonts w:ascii="宋体" w:hAnsi="宋体" w:eastAsia="宋体" w:cs="宋体"/>
                        <w:spacing w:val="-7"/>
                        <w:sz w:val="18"/>
                        <w:szCs w:val="18"/>
                      </w:rPr>
                      <w:t>承建单位编制</w:t>
                    </w:r>
                  </w:p>
                  <w:p w14:paraId="51508695">
                    <w:pPr>
                      <w:spacing w:line="220" w:lineRule="auto"/>
                      <w:ind w:left="279"/>
                      <w:rPr>
                        <w:rFonts w:ascii="宋体" w:hAnsi="宋体" w:eastAsia="宋体" w:cs="宋体"/>
                        <w:sz w:val="18"/>
                        <w:szCs w:val="18"/>
                      </w:rPr>
                    </w:pPr>
                    <w:r>
                      <w:rPr>
                        <w:rFonts w:ascii="宋体" w:hAnsi="宋体" w:eastAsia="宋体" w:cs="宋体"/>
                        <w:spacing w:val="-7"/>
                        <w:sz w:val="18"/>
                        <w:szCs w:val="18"/>
                      </w:rPr>
                      <w:t>下一期计划</w:t>
                    </w:r>
                  </w:p>
                </w:txbxContent>
              </v:textbox>
            </v:shape>
            <w10:wrap type="none"/>
            <w10:anchorlock/>
          </v:group>
        </w:pict>
      </w:r>
    </w:p>
    <w:p w14:paraId="6B70FB50">
      <w:pPr>
        <w:pStyle w:val="2"/>
        <w:spacing w:before="66" w:line="219" w:lineRule="auto"/>
        <w:ind w:left="3010"/>
        <w:rPr>
          <w:sz w:val="18"/>
          <w:szCs w:val="18"/>
        </w:rPr>
      </w:pPr>
      <w:r>
        <w:rPr>
          <w:spacing w:val="1"/>
          <w:sz w:val="18"/>
          <w:szCs w:val="18"/>
        </w:rPr>
        <w:t>图11-5</w:t>
      </w:r>
      <w:r>
        <w:rPr>
          <w:spacing w:val="75"/>
          <w:sz w:val="18"/>
          <w:szCs w:val="18"/>
        </w:rPr>
        <w:t xml:space="preserve"> </w:t>
      </w:r>
      <w:r>
        <w:rPr>
          <w:spacing w:val="1"/>
          <w:sz w:val="18"/>
          <w:szCs w:val="18"/>
        </w:rPr>
        <w:t>进度控制的基本程序</w:t>
      </w:r>
    </w:p>
    <w:p w14:paraId="76CD47DE">
      <w:pPr>
        <w:spacing w:line="253" w:lineRule="auto"/>
        <w:rPr>
          <w:rFonts w:ascii="Arial"/>
          <w:sz w:val="21"/>
        </w:rPr>
      </w:pPr>
    </w:p>
    <w:p w14:paraId="684FC6C9">
      <w:pPr>
        <w:pStyle w:val="2"/>
        <w:spacing w:before="59" w:line="222" w:lineRule="auto"/>
        <w:ind w:left="402"/>
        <w:rPr>
          <w:rFonts w:ascii="黑体" w:hAnsi="黑体" w:eastAsia="黑体" w:cs="黑体"/>
          <w:sz w:val="18"/>
          <w:szCs w:val="18"/>
        </w:rPr>
      </w:pPr>
      <w:r>
        <w:rPr>
          <w:b/>
          <w:bCs/>
          <w:color w:val="1796F7"/>
          <w:spacing w:val="18"/>
          <w:sz w:val="18"/>
          <w:szCs w:val="18"/>
        </w:rPr>
        <w:t>1.</w:t>
      </w:r>
      <w:r>
        <w:rPr>
          <w:rFonts w:ascii="黑体" w:hAnsi="黑体" w:eastAsia="黑体" w:cs="黑体"/>
          <w:b/>
          <w:bCs/>
          <w:color w:val="1796F7"/>
          <w:spacing w:val="18"/>
          <w:sz w:val="18"/>
          <w:szCs w:val="18"/>
        </w:rPr>
        <w:t>审查进度计划</w:t>
      </w:r>
    </w:p>
    <w:p w14:paraId="49285F11">
      <w:pPr>
        <w:pStyle w:val="2"/>
        <w:spacing w:before="167" w:line="220" w:lineRule="auto"/>
        <w:ind w:left="399"/>
        <w:rPr>
          <w:sz w:val="18"/>
          <w:szCs w:val="18"/>
        </w:rPr>
      </w:pPr>
      <w:r>
        <w:rPr>
          <w:spacing w:val="14"/>
          <w:sz w:val="18"/>
          <w:szCs w:val="18"/>
        </w:rPr>
        <w:t>审查进度计划的具体工作包括：</w:t>
      </w:r>
    </w:p>
    <w:p w14:paraId="69DD20E8">
      <w:pPr>
        <w:pStyle w:val="2"/>
        <w:spacing w:before="64" w:line="274" w:lineRule="auto"/>
        <w:ind w:right="376" w:firstLine="399"/>
        <w:rPr>
          <w:sz w:val="18"/>
          <w:szCs w:val="18"/>
        </w:rPr>
      </w:pPr>
      <w:r>
        <w:rPr>
          <w:spacing w:val="25"/>
          <w:sz w:val="18"/>
          <w:szCs w:val="18"/>
        </w:rPr>
        <w:t>(1)承建单位应根据承建合同的约定，按时编制项目总体进度计划、单项工程进度</w:t>
      </w:r>
      <w:r>
        <w:rPr>
          <w:spacing w:val="24"/>
          <w:sz w:val="18"/>
          <w:szCs w:val="18"/>
        </w:rPr>
        <w:t>计划或</w:t>
      </w:r>
      <w:r>
        <w:rPr>
          <w:sz w:val="18"/>
          <w:szCs w:val="18"/>
        </w:rPr>
        <w:t xml:space="preserve"> </w:t>
      </w:r>
      <w:r>
        <w:rPr>
          <w:spacing w:val="16"/>
          <w:sz w:val="18"/>
          <w:szCs w:val="18"/>
        </w:rPr>
        <w:t>阶段进度计划，并报监理单位审查；</w:t>
      </w:r>
    </w:p>
    <w:p w14:paraId="3F0B9493">
      <w:pPr>
        <w:pStyle w:val="2"/>
        <w:spacing w:before="83" w:line="275" w:lineRule="auto"/>
        <w:ind w:right="377" w:firstLine="399"/>
        <w:rPr>
          <w:sz w:val="18"/>
          <w:szCs w:val="18"/>
        </w:rPr>
      </w:pPr>
      <w:r>
        <w:rPr>
          <w:spacing w:val="27"/>
          <w:sz w:val="18"/>
          <w:szCs w:val="18"/>
        </w:rPr>
        <w:t>(2)监理工程师应根据本项目的具体条件(</w:t>
      </w:r>
      <w:r>
        <w:rPr>
          <w:spacing w:val="26"/>
          <w:sz w:val="18"/>
          <w:szCs w:val="18"/>
        </w:rPr>
        <w:t>例如建设内容、质量标准、开发条件等),全面</w:t>
      </w:r>
      <w:r>
        <w:rPr>
          <w:sz w:val="18"/>
          <w:szCs w:val="18"/>
        </w:rPr>
        <w:t xml:space="preserve"> </w:t>
      </w:r>
      <w:r>
        <w:rPr>
          <w:spacing w:val="16"/>
          <w:sz w:val="18"/>
          <w:szCs w:val="18"/>
        </w:rPr>
        <w:t>分析承建单位编制的进度计划的合理性、可行性；</w:t>
      </w:r>
    </w:p>
    <w:p w14:paraId="5E724EE6">
      <w:pPr>
        <w:pStyle w:val="2"/>
        <w:spacing w:before="97" w:line="219" w:lineRule="auto"/>
        <w:ind w:left="399"/>
        <w:rPr>
          <w:sz w:val="18"/>
          <w:szCs w:val="18"/>
        </w:rPr>
      </w:pPr>
      <w:r>
        <w:rPr>
          <w:spacing w:val="20"/>
          <w:sz w:val="18"/>
          <w:szCs w:val="18"/>
        </w:rPr>
        <w:t>(3)监理工程师应审查进度计划的关键路径，并进行分析；</w:t>
      </w:r>
    </w:p>
    <w:p w14:paraId="6B3AD1CB">
      <w:pPr>
        <w:pStyle w:val="2"/>
        <w:spacing w:before="86" w:line="219" w:lineRule="auto"/>
        <w:ind w:left="399"/>
        <w:rPr>
          <w:sz w:val="18"/>
          <w:szCs w:val="18"/>
        </w:rPr>
      </w:pPr>
      <w:r>
        <w:rPr>
          <w:spacing w:val="20"/>
          <w:sz w:val="18"/>
          <w:szCs w:val="18"/>
        </w:rPr>
        <w:t>(4)对单项工程或阶段进度计划，应分析承建单位在主要项目人员能力等方面的配套安排；</w:t>
      </w:r>
    </w:p>
    <w:p w14:paraId="0CF049E7">
      <w:pPr>
        <w:pStyle w:val="2"/>
        <w:spacing w:before="107" w:line="219" w:lineRule="auto"/>
        <w:ind w:left="399"/>
        <w:rPr>
          <w:sz w:val="18"/>
          <w:szCs w:val="18"/>
        </w:rPr>
      </w:pPr>
      <w:r>
        <w:rPr>
          <w:spacing w:val="20"/>
          <w:sz w:val="18"/>
          <w:szCs w:val="18"/>
        </w:rPr>
        <w:t>(5)有重要的修改意见应要求承建单位重新申</w:t>
      </w:r>
      <w:r>
        <w:rPr>
          <w:spacing w:val="19"/>
          <w:sz w:val="18"/>
          <w:szCs w:val="18"/>
        </w:rPr>
        <w:t>报；</w:t>
      </w:r>
    </w:p>
    <w:p w14:paraId="1616903F">
      <w:pPr>
        <w:pStyle w:val="2"/>
        <w:spacing w:before="96" w:line="219" w:lineRule="auto"/>
        <w:ind w:left="399"/>
        <w:rPr>
          <w:sz w:val="18"/>
          <w:szCs w:val="18"/>
        </w:rPr>
      </w:pPr>
      <w:r>
        <w:rPr>
          <w:spacing w:val="20"/>
          <w:sz w:val="18"/>
          <w:szCs w:val="18"/>
        </w:rPr>
        <w:t>(6)进度计划由总监理工程师签署意见批准后实施，并报送业主单位。</w:t>
      </w:r>
    </w:p>
    <w:p w14:paraId="345532FC">
      <w:pPr>
        <w:pStyle w:val="2"/>
        <w:spacing w:before="173" w:line="222" w:lineRule="auto"/>
        <w:ind w:left="402"/>
        <w:rPr>
          <w:rFonts w:ascii="黑体" w:hAnsi="黑体" w:eastAsia="黑体" w:cs="黑体"/>
          <w:sz w:val="18"/>
          <w:szCs w:val="18"/>
        </w:rPr>
      </w:pPr>
      <w:r>
        <w:rPr>
          <w:b/>
          <w:bCs/>
          <w:color w:val="0068B8"/>
          <w:spacing w:val="18"/>
          <w:sz w:val="18"/>
          <w:szCs w:val="18"/>
        </w:rPr>
        <w:t>2.</w:t>
      </w:r>
      <w:r>
        <w:rPr>
          <w:rFonts w:ascii="黑体" w:hAnsi="黑体" w:eastAsia="黑体" w:cs="黑体"/>
          <w:b/>
          <w:bCs/>
          <w:color w:val="0068B8"/>
          <w:spacing w:val="18"/>
          <w:sz w:val="18"/>
          <w:szCs w:val="18"/>
        </w:rPr>
        <w:t>监控进度计划</w:t>
      </w:r>
    </w:p>
    <w:p w14:paraId="0A9D81FF">
      <w:pPr>
        <w:pStyle w:val="2"/>
        <w:spacing w:before="127" w:line="324" w:lineRule="auto"/>
        <w:ind w:right="325" w:firstLine="399"/>
        <w:rPr>
          <w:sz w:val="18"/>
          <w:szCs w:val="18"/>
        </w:rPr>
      </w:pPr>
      <w:r>
        <w:rPr>
          <w:spacing w:val="25"/>
          <w:sz w:val="18"/>
          <w:szCs w:val="18"/>
        </w:rPr>
        <w:t>监理工程师应对各阶段进度计划的执行情况进行跟</w:t>
      </w:r>
      <w:r>
        <w:rPr>
          <w:spacing w:val="24"/>
          <w:sz w:val="18"/>
          <w:szCs w:val="18"/>
        </w:rPr>
        <w:t>踪检查，发现进度偏差及时分析原因，</w:t>
      </w:r>
      <w:r>
        <w:rPr>
          <w:sz w:val="18"/>
          <w:szCs w:val="18"/>
        </w:rPr>
        <w:t xml:space="preserve"> </w:t>
      </w:r>
      <w:r>
        <w:rPr>
          <w:spacing w:val="20"/>
          <w:sz w:val="18"/>
          <w:szCs w:val="18"/>
        </w:rPr>
        <w:t>以便为进度计划的调整提供必要的依据；定期</w:t>
      </w:r>
      <w:r>
        <w:rPr>
          <w:spacing w:val="19"/>
          <w:sz w:val="18"/>
          <w:szCs w:val="18"/>
        </w:rPr>
        <w:t>收集本阶段工作的进度资料，检查实际进展情况，</w:t>
      </w:r>
    </w:p>
    <w:p w14:paraId="61EC20C7">
      <w:pPr>
        <w:spacing w:line="324" w:lineRule="auto"/>
        <w:rPr>
          <w:sz w:val="18"/>
          <w:szCs w:val="18"/>
        </w:rPr>
        <w:sectPr>
          <w:pgSz w:w="10290" w:h="13290"/>
          <w:pgMar w:top="350" w:right="484" w:bottom="400" w:left="1100" w:header="0" w:footer="0" w:gutter="0"/>
          <w:cols w:space="720" w:num="1"/>
        </w:sectPr>
      </w:pPr>
    </w:p>
    <w:p w14:paraId="3DB75FEC">
      <w:pPr>
        <w:pStyle w:val="2"/>
        <w:spacing w:before="57" w:line="219" w:lineRule="auto"/>
        <w:rPr>
          <w:sz w:val="19"/>
          <w:szCs w:val="19"/>
        </w:rPr>
      </w:pPr>
      <w:r>
        <w:rPr>
          <w:rFonts w:ascii="Times New Roman" w:hAnsi="Times New Roman" w:eastAsia="Times New Roman" w:cs="Times New Roman"/>
          <w:spacing w:val="3"/>
          <w:sz w:val="19"/>
          <w:szCs w:val="19"/>
        </w:rPr>
        <w:t xml:space="preserve">266              </w:t>
      </w:r>
      <w:r>
        <w:rPr>
          <w:spacing w:val="3"/>
          <w:sz w:val="19"/>
          <w:szCs w:val="19"/>
        </w:rPr>
        <w:t>信息系统监理师教程(第2版)</w:t>
      </w:r>
    </w:p>
    <w:p w14:paraId="30810C81">
      <w:pPr>
        <w:spacing w:line="301" w:lineRule="auto"/>
        <w:rPr>
          <w:rFonts w:ascii="Arial"/>
          <w:sz w:val="21"/>
        </w:rPr>
      </w:pPr>
    </w:p>
    <w:p w14:paraId="4B0BEBB9">
      <w:pPr>
        <w:pStyle w:val="2"/>
        <w:spacing w:before="61" w:line="301" w:lineRule="auto"/>
        <w:ind w:left="370"/>
        <w:rPr>
          <w:sz w:val="19"/>
          <w:szCs w:val="19"/>
        </w:rPr>
      </w:pPr>
      <w:r>
        <w:rPr>
          <w:spacing w:val="16"/>
          <w:sz w:val="19"/>
          <w:szCs w:val="19"/>
        </w:rPr>
        <w:t>将实际进度与计划进度进行比较，发现偏差，采用适当的方式进</w:t>
      </w:r>
      <w:r>
        <w:rPr>
          <w:spacing w:val="15"/>
          <w:sz w:val="19"/>
          <w:szCs w:val="19"/>
        </w:rPr>
        <w:t>行调整，尽量减少进度变更。</w:t>
      </w:r>
      <w:r>
        <w:rPr>
          <w:sz w:val="19"/>
          <w:szCs w:val="19"/>
        </w:rPr>
        <w:t xml:space="preserve"> </w:t>
      </w:r>
      <w:r>
        <w:rPr>
          <w:spacing w:val="2"/>
          <w:sz w:val="19"/>
          <w:szCs w:val="19"/>
        </w:rPr>
        <w:t>具体包括：</w:t>
      </w:r>
    </w:p>
    <w:p w14:paraId="3CC26E7C">
      <w:pPr>
        <w:pStyle w:val="2"/>
        <w:spacing w:before="1" w:line="275" w:lineRule="auto"/>
        <w:ind w:left="370" w:right="107" w:firstLine="389"/>
        <w:rPr>
          <w:sz w:val="19"/>
          <w:szCs w:val="19"/>
        </w:rPr>
      </w:pPr>
      <w:r>
        <w:rPr>
          <w:spacing w:val="16"/>
          <w:sz w:val="19"/>
          <w:szCs w:val="19"/>
        </w:rPr>
        <w:t>(1)在实施计划过程中，监理工程师应对承建</w:t>
      </w:r>
      <w:r>
        <w:rPr>
          <w:spacing w:val="15"/>
          <w:sz w:val="19"/>
          <w:szCs w:val="19"/>
        </w:rPr>
        <w:t>单位实际进度情况进行跟踪监督，并对实际</w:t>
      </w:r>
      <w:r>
        <w:rPr>
          <w:sz w:val="19"/>
          <w:szCs w:val="19"/>
        </w:rPr>
        <w:t xml:space="preserve"> </w:t>
      </w:r>
      <w:r>
        <w:rPr>
          <w:spacing w:val="6"/>
          <w:sz w:val="19"/>
          <w:szCs w:val="19"/>
        </w:rPr>
        <w:t>情况进行记录；</w:t>
      </w:r>
    </w:p>
    <w:p w14:paraId="31CE22EC">
      <w:pPr>
        <w:pStyle w:val="2"/>
        <w:spacing w:before="101" w:line="218" w:lineRule="auto"/>
        <w:ind w:left="760"/>
        <w:rPr>
          <w:sz w:val="19"/>
          <w:szCs w:val="19"/>
        </w:rPr>
      </w:pPr>
      <w:r>
        <w:rPr>
          <w:spacing w:val="12"/>
          <w:sz w:val="19"/>
          <w:szCs w:val="19"/>
        </w:rPr>
        <w:t>(2)监理工程师应根据检查结果对项目的进</w:t>
      </w:r>
      <w:r>
        <w:rPr>
          <w:spacing w:val="11"/>
          <w:sz w:val="19"/>
          <w:szCs w:val="19"/>
        </w:rPr>
        <w:t>度进行分析和评价；</w:t>
      </w:r>
    </w:p>
    <w:p w14:paraId="2C9BE395">
      <w:pPr>
        <w:pStyle w:val="2"/>
        <w:spacing w:before="65" w:line="280" w:lineRule="auto"/>
        <w:ind w:left="370" w:right="135" w:firstLine="389"/>
        <w:rPr>
          <w:sz w:val="19"/>
          <w:szCs w:val="19"/>
        </w:rPr>
      </w:pPr>
      <w:r>
        <w:rPr>
          <w:spacing w:val="15"/>
          <w:sz w:val="19"/>
          <w:szCs w:val="19"/>
        </w:rPr>
        <w:t>(3)如果发现偏离，应及时报告总监理工程师，并由总监理工程师签发监</w:t>
      </w:r>
      <w:r>
        <w:rPr>
          <w:spacing w:val="14"/>
          <w:sz w:val="19"/>
          <w:szCs w:val="19"/>
        </w:rPr>
        <w:t>理通知单，要求</w:t>
      </w:r>
      <w:r>
        <w:rPr>
          <w:sz w:val="19"/>
          <w:szCs w:val="19"/>
        </w:rPr>
        <w:t xml:space="preserve"> </w:t>
      </w:r>
      <w:r>
        <w:rPr>
          <w:spacing w:val="7"/>
          <w:sz w:val="19"/>
          <w:szCs w:val="19"/>
        </w:rPr>
        <w:t>承建单位及时采取措施，实现计划进度的安排；</w:t>
      </w:r>
    </w:p>
    <w:p w14:paraId="10ED8151">
      <w:pPr>
        <w:pStyle w:val="2"/>
        <w:spacing w:before="74" w:line="218" w:lineRule="auto"/>
        <w:ind w:left="760"/>
        <w:rPr>
          <w:sz w:val="19"/>
          <w:szCs w:val="19"/>
        </w:rPr>
      </w:pPr>
      <w:r>
        <w:rPr>
          <w:spacing w:val="12"/>
          <w:sz w:val="19"/>
          <w:szCs w:val="19"/>
        </w:rPr>
        <w:t>(4)督促承建单位定期报告项目实际进展情况。</w:t>
      </w:r>
    </w:p>
    <w:p w14:paraId="7236F590">
      <w:pPr>
        <w:pStyle w:val="2"/>
        <w:spacing w:before="174" w:line="222" w:lineRule="auto"/>
        <w:ind w:left="762"/>
        <w:rPr>
          <w:rFonts w:ascii="黑体" w:hAnsi="黑体" w:eastAsia="黑体" w:cs="黑体"/>
          <w:sz w:val="19"/>
          <w:szCs w:val="19"/>
        </w:rPr>
      </w:pPr>
      <w:r>
        <w:rPr>
          <w:b/>
          <w:bCs/>
          <w:color w:val="006FBA"/>
          <w:spacing w:val="9"/>
          <w:sz w:val="19"/>
          <w:szCs w:val="19"/>
        </w:rPr>
        <w:t>3.</w:t>
      </w:r>
      <w:r>
        <w:rPr>
          <w:rFonts w:ascii="黑体" w:hAnsi="黑体" w:eastAsia="黑体" w:cs="黑体"/>
          <w:b/>
          <w:bCs/>
          <w:color w:val="006FBA"/>
          <w:spacing w:val="9"/>
          <w:sz w:val="19"/>
          <w:szCs w:val="19"/>
        </w:rPr>
        <w:t>调整进度计划</w:t>
      </w:r>
    </w:p>
    <w:p w14:paraId="204BDA70">
      <w:pPr>
        <w:pStyle w:val="2"/>
        <w:spacing w:before="166" w:line="220" w:lineRule="auto"/>
        <w:ind w:left="760"/>
        <w:rPr>
          <w:sz w:val="19"/>
          <w:szCs w:val="19"/>
        </w:rPr>
      </w:pPr>
      <w:r>
        <w:rPr>
          <w:spacing w:val="4"/>
          <w:sz w:val="19"/>
          <w:szCs w:val="19"/>
        </w:rPr>
        <w:t>调整进度计划的具体工作包括：</w:t>
      </w:r>
    </w:p>
    <w:p w14:paraId="7C9214EB">
      <w:pPr>
        <w:pStyle w:val="2"/>
        <w:spacing w:before="92" w:line="260" w:lineRule="auto"/>
        <w:ind w:left="370" w:right="105" w:firstLine="389"/>
        <w:rPr>
          <w:sz w:val="19"/>
          <w:szCs w:val="19"/>
        </w:rPr>
      </w:pPr>
      <w:r>
        <w:rPr>
          <w:spacing w:val="16"/>
          <w:sz w:val="19"/>
          <w:szCs w:val="19"/>
        </w:rPr>
        <w:t>(1)发现进度严重偏离计划时，总监理工程师应及</w:t>
      </w:r>
      <w:r>
        <w:rPr>
          <w:spacing w:val="15"/>
          <w:sz w:val="19"/>
          <w:szCs w:val="19"/>
        </w:rPr>
        <w:t>时签发监理通知单，并组织监理工程师</w:t>
      </w:r>
      <w:r>
        <w:rPr>
          <w:sz w:val="19"/>
          <w:szCs w:val="19"/>
        </w:rPr>
        <w:t xml:space="preserve"> </w:t>
      </w:r>
      <w:r>
        <w:rPr>
          <w:spacing w:val="5"/>
          <w:sz w:val="19"/>
          <w:szCs w:val="19"/>
        </w:rPr>
        <w:t>分析原因、研究措施；</w:t>
      </w:r>
    </w:p>
    <w:p w14:paraId="72209E57">
      <w:pPr>
        <w:pStyle w:val="2"/>
        <w:spacing w:before="104" w:line="219" w:lineRule="auto"/>
        <w:ind w:left="760"/>
        <w:rPr>
          <w:sz w:val="19"/>
          <w:szCs w:val="19"/>
        </w:rPr>
      </w:pPr>
      <w:r>
        <w:rPr>
          <w:spacing w:val="10"/>
          <w:sz w:val="19"/>
          <w:szCs w:val="19"/>
        </w:rPr>
        <w:t>(2)召开各方协调会议，研究应采取的措施，保证合同约定目标的实现；</w:t>
      </w:r>
    </w:p>
    <w:p w14:paraId="07755ED8">
      <w:pPr>
        <w:pStyle w:val="2"/>
        <w:spacing w:before="76" w:line="219" w:lineRule="auto"/>
        <w:ind w:left="760"/>
        <w:rPr>
          <w:sz w:val="19"/>
          <w:szCs w:val="19"/>
        </w:rPr>
      </w:pPr>
      <w:r>
        <w:rPr>
          <w:spacing w:val="11"/>
          <w:sz w:val="19"/>
          <w:szCs w:val="19"/>
        </w:rPr>
        <w:t>(3)必须延长工期时，承建单位应申请项</w:t>
      </w:r>
      <w:r>
        <w:rPr>
          <w:spacing w:val="10"/>
          <w:sz w:val="19"/>
          <w:szCs w:val="19"/>
        </w:rPr>
        <w:t>目延期，报监理单位审查。</w:t>
      </w:r>
    </w:p>
    <w:p w14:paraId="705339EF">
      <w:pPr>
        <w:pStyle w:val="2"/>
        <w:spacing w:before="65" w:line="160" w:lineRule="auto"/>
        <w:ind w:left="760"/>
        <w:rPr>
          <w:sz w:val="19"/>
          <w:szCs w:val="19"/>
        </w:rPr>
      </w:pPr>
      <w:r>
        <w:rPr>
          <w:spacing w:val="14"/>
          <w:sz w:val="19"/>
          <w:szCs w:val="19"/>
        </w:rPr>
        <w:t>进度计划的调整过程是进度监控过程的后续工作过</w:t>
      </w:r>
      <w:r>
        <w:rPr>
          <w:spacing w:val="13"/>
          <w:sz w:val="19"/>
          <w:szCs w:val="19"/>
        </w:rPr>
        <w:t>程，如图11-6所</w:t>
      </w:r>
    </w:p>
    <w:p w14:paraId="202E723B">
      <w:pPr>
        <w:pStyle w:val="2"/>
        <w:spacing w:line="160" w:lineRule="exact"/>
        <w:ind w:left="7339"/>
        <w:rPr>
          <w:sz w:val="19"/>
          <w:szCs w:val="19"/>
        </w:rPr>
      </w:pPr>
      <w:r>
        <w:drawing>
          <wp:anchor distT="0" distB="0" distL="0" distR="0" simplePos="0" relativeHeight="251754496" behindDoc="1" locked="0" layoutInCell="1" allowOverlap="1">
            <wp:simplePos x="0" y="0"/>
            <wp:positionH relativeFrom="column">
              <wp:posOffset>4387850</wp:posOffset>
            </wp:positionH>
            <wp:positionV relativeFrom="paragraph">
              <wp:posOffset>-134620</wp:posOffset>
            </wp:positionV>
            <wp:extent cx="1174750" cy="392430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83"/>
                    <a:stretch>
                      <a:fillRect/>
                    </a:stretch>
                  </pic:blipFill>
                  <pic:spPr>
                    <a:xfrm>
                      <a:off x="0" y="0"/>
                      <a:ext cx="1174739" cy="3924309"/>
                    </a:xfrm>
                    <a:prstGeom prst="rect">
                      <a:avLst/>
                    </a:prstGeom>
                  </pic:spPr>
                </pic:pic>
              </a:graphicData>
            </a:graphic>
          </wp:anchor>
        </w:drawing>
      </w:r>
      <w:r>
        <w:rPr>
          <w:spacing w:val="-16"/>
          <w:position w:val="-1"/>
          <w:sz w:val="19"/>
          <w:szCs w:val="19"/>
        </w:rPr>
        <w:t>出现进度偏差</w:t>
      </w:r>
    </w:p>
    <w:p w14:paraId="26EFD8CE">
      <w:pPr>
        <w:pStyle w:val="2"/>
        <w:spacing w:line="284" w:lineRule="auto"/>
        <w:ind w:left="370" w:right="2099"/>
        <w:rPr>
          <w:sz w:val="19"/>
          <w:szCs w:val="19"/>
        </w:rPr>
      </w:pPr>
      <w:r>
        <w:rPr>
          <w:spacing w:val="14"/>
          <w:sz w:val="19"/>
          <w:szCs w:val="19"/>
        </w:rPr>
        <w:t>示。当项目进度出现偏差时，监理工程师启动该过程对进度计划实施调</w:t>
      </w:r>
      <w:r>
        <w:rPr>
          <w:spacing w:val="10"/>
          <w:sz w:val="19"/>
          <w:szCs w:val="19"/>
        </w:rPr>
        <w:t xml:space="preserve"> </w:t>
      </w:r>
      <w:r>
        <w:rPr>
          <w:spacing w:val="14"/>
          <w:sz w:val="19"/>
          <w:szCs w:val="19"/>
        </w:rPr>
        <w:t>整。在实际工作中，出现进度偏差是不可避免的，重要的是出现偏差后</w:t>
      </w:r>
    </w:p>
    <w:p w14:paraId="72FD70AB">
      <w:pPr>
        <w:pStyle w:val="2"/>
        <w:spacing w:before="1" w:line="230" w:lineRule="auto"/>
        <w:ind w:left="370"/>
        <w:rPr>
          <w:sz w:val="19"/>
          <w:szCs w:val="19"/>
        </w:rPr>
      </w:pPr>
      <w:r>
        <w:rPr>
          <w:spacing w:val="-6"/>
          <w:position w:val="-1"/>
          <w:sz w:val="19"/>
          <w:szCs w:val="19"/>
        </w:rPr>
        <w:t>应及时进行进度调整。</w:t>
      </w:r>
      <w:r>
        <w:rPr>
          <w:spacing w:val="1"/>
          <w:position w:val="-1"/>
          <w:sz w:val="19"/>
          <w:szCs w:val="19"/>
        </w:rPr>
        <w:t xml:space="preserve">                                           </w:t>
      </w:r>
      <w:r>
        <w:rPr>
          <w:position w:val="-1"/>
          <w:sz w:val="19"/>
          <w:szCs w:val="19"/>
        </w:rPr>
        <w:t xml:space="preserve">          </w:t>
      </w:r>
      <w:r>
        <w:rPr>
          <w:spacing w:val="-6"/>
          <w:position w:val="3"/>
          <w:sz w:val="19"/>
          <w:szCs w:val="19"/>
        </w:rPr>
        <w:t>分析偏差原因</w:t>
      </w:r>
    </w:p>
    <w:p w14:paraId="45B25E8C">
      <w:pPr>
        <w:pStyle w:val="2"/>
        <w:spacing w:before="83" w:line="220" w:lineRule="auto"/>
        <w:ind w:left="760"/>
        <w:rPr>
          <w:sz w:val="19"/>
          <w:szCs w:val="19"/>
        </w:rPr>
      </w:pPr>
      <w:r>
        <w:rPr>
          <w:spacing w:val="4"/>
          <w:sz w:val="19"/>
          <w:szCs w:val="19"/>
        </w:rPr>
        <w:t>进度计划的调整方法主要有：</w:t>
      </w:r>
    </w:p>
    <w:p w14:paraId="2A11F6D3">
      <w:pPr>
        <w:pStyle w:val="2"/>
        <w:spacing w:before="72" w:line="280" w:lineRule="auto"/>
        <w:ind w:left="1060" w:right="2105" w:hanging="300"/>
        <w:rPr>
          <w:sz w:val="19"/>
          <w:szCs w:val="19"/>
        </w:rPr>
      </w:pPr>
      <w:r>
        <w:pict>
          <v:shape id="_x0000_s1472" o:spid="_x0000_s1472" o:spt="202" type="#_x0000_t202" style="position:absolute;left:0pt;margin-left:356.5pt;margin-top:6.1pt;height:65.3pt;width:71.75pt;z-index:251755520;mso-width-relative:page;mso-height-relative:page;" filled="f" stroked="f" coordsize="21600,21600">
            <v:path/>
            <v:fill on="f" focussize="0,0"/>
            <v:stroke on="f"/>
            <v:imagedata o:title=""/>
            <o:lock v:ext="edit" aspectratio="f"/>
            <v:textbox inset="0mm,0mm,0mm,0mm">
              <w:txbxContent>
                <w:p w14:paraId="424B5B44">
                  <w:pPr>
                    <w:pStyle w:val="2"/>
                    <w:spacing w:before="20" w:line="212" w:lineRule="auto"/>
                    <w:ind w:left="20" w:right="20" w:firstLine="119"/>
                    <w:rPr>
                      <w:sz w:val="19"/>
                      <w:szCs w:val="19"/>
                    </w:rPr>
                  </w:pPr>
                  <w:r>
                    <w:rPr>
                      <w:spacing w:val="-15"/>
                      <w:w w:val="98"/>
                      <w:sz w:val="19"/>
                      <w:szCs w:val="19"/>
                    </w:rPr>
                    <w:t>分析偏差对后续</w:t>
                  </w:r>
                  <w:r>
                    <w:rPr>
                      <w:sz w:val="19"/>
                      <w:szCs w:val="19"/>
                    </w:rPr>
                    <w:t xml:space="preserve">  </w:t>
                  </w:r>
                  <w:r>
                    <w:rPr>
                      <w:spacing w:val="-16"/>
                      <w:sz w:val="19"/>
                      <w:szCs w:val="19"/>
                    </w:rPr>
                    <w:t>工作和工期的影响</w:t>
                  </w:r>
                </w:p>
                <w:p w14:paraId="2B7DC1F6">
                  <w:pPr>
                    <w:spacing w:line="330" w:lineRule="auto"/>
                    <w:rPr>
                      <w:rFonts w:ascii="Arial"/>
                      <w:sz w:val="21"/>
                    </w:rPr>
                  </w:pPr>
                </w:p>
                <w:p w14:paraId="3A7462BB">
                  <w:pPr>
                    <w:pStyle w:val="2"/>
                    <w:spacing w:before="62" w:line="211" w:lineRule="auto"/>
                    <w:ind w:left="20" w:right="22"/>
                    <w:rPr>
                      <w:sz w:val="19"/>
                      <w:szCs w:val="19"/>
                    </w:rPr>
                  </w:pPr>
                  <w:r>
                    <w:rPr>
                      <w:spacing w:val="-17"/>
                      <w:sz w:val="19"/>
                      <w:szCs w:val="19"/>
                    </w:rPr>
                    <w:t>确定影响后续工作</w:t>
                  </w:r>
                  <w:r>
                    <w:rPr>
                      <w:spacing w:val="6"/>
                      <w:sz w:val="19"/>
                      <w:szCs w:val="19"/>
                    </w:rPr>
                    <w:t xml:space="preserve"> </w:t>
                  </w:r>
                  <w:r>
                    <w:rPr>
                      <w:spacing w:val="-17"/>
                      <w:sz w:val="19"/>
                      <w:szCs w:val="19"/>
                    </w:rPr>
                    <w:t>和工期的限制条件</w:t>
                  </w:r>
                </w:p>
              </w:txbxContent>
            </v:textbox>
          </v:shape>
        </w:pict>
      </w:r>
      <w:r>
        <w:rPr>
          <w:spacing w:val="15"/>
          <w:sz w:val="19"/>
          <w:szCs w:val="19"/>
        </w:rPr>
        <w:t>●改变某些工作间的逻辑关系。例如，将顺序进行</w:t>
      </w:r>
      <w:r>
        <w:rPr>
          <w:spacing w:val="14"/>
          <w:sz w:val="19"/>
          <w:szCs w:val="19"/>
        </w:rPr>
        <w:t>的工作改为并行</w:t>
      </w:r>
      <w:r>
        <w:rPr>
          <w:sz w:val="19"/>
          <w:szCs w:val="19"/>
        </w:rPr>
        <w:t xml:space="preserve"> </w:t>
      </w:r>
      <w:r>
        <w:rPr>
          <w:spacing w:val="6"/>
          <w:sz w:val="19"/>
          <w:szCs w:val="19"/>
        </w:rPr>
        <w:t>工作、搭接工作或分段工作等。</w:t>
      </w:r>
    </w:p>
    <w:p w14:paraId="628CAC2E">
      <w:pPr>
        <w:pStyle w:val="2"/>
        <w:spacing w:before="74" w:line="287" w:lineRule="auto"/>
        <w:ind w:left="1060" w:right="2049" w:hanging="300"/>
        <w:rPr>
          <w:sz w:val="19"/>
          <w:szCs w:val="19"/>
        </w:rPr>
      </w:pPr>
      <w:r>
        <w:rPr>
          <w:spacing w:val="17"/>
          <w:sz w:val="19"/>
          <w:szCs w:val="19"/>
        </w:rPr>
        <w:t>●缩短某些工作的持续时间。通过增加资源投</w:t>
      </w:r>
      <w:r>
        <w:rPr>
          <w:spacing w:val="16"/>
          <w:sz w:val="19"/>
          <w:szCs w:val="19"/>
        </w:rPr>
        <w:t>入、提高劳动效率、</w:t>
      </w:r>
      <w:r>
        <w:rPr>
          <w:sz w:val="19"/>
          <w:szCs w:val="19"/>
        </w:rPr>
        <w:t xml:space="preserve"> </w:t>
      </w:r>
      <w:r>
        <w:rPr>
          <w:spacing w:val="12"/>
          <w:sz w:val="19"/>
          <w:szCs w:val="19"/>
        </w:rPr>
        <w:t>应急赶工等措施，缩短某些影响总工期的工作的持续时间，使工</w:t>
      </w:r>
      <w:r>
        <w:rPr>
          <w:spacing w:val="3"/>
          <w:sz w:val="19"/>
          <w:szCs w:val="19"/>
        </w:rPr>
        <w:t xml:space="preserve"> </w:t>
      </w:r>
      <w:r>
        <w:rPr>
          <w:spacing w:val="7"/>
          <w:sz w:val="19"/>
          <w:szCs w:val="19"/>
        </w:rPr>
        <w:t>程进度加快，以保证按计划工期完成项目。</w:t>
      </w:r>
    </w:p>
    <w:p w14:paraId="01B8A2FA">
      <w:pPr>
        <w:pStyle w:val="2"/>
        <w:spacing w:before="95" w:line="213" w:lineRule="auto"/>
        <w:ind w:left="760"/>
        <w:rPr>
          <w:sz w:val="19"/>
          <w:szCs w:val="19"/>
        </w:rPr>
      </w:pPr>
      <w:r>
        <w:rPr>
          <w:spacing w:val="8"/>
          <w:sz w:val="19"/>
          <w:szCs w:val="19"/>
        </w:rPr>
        <w:t>●</w:t>
      </w:r>
      <w:r>
        <w:rPr>
          <w:spacing w:val="-45"/>
          <w:sz w:val="19"/>
          <w:szCs w:val="19"/>
        </w:rPr>
        <w:t xml:space="preserve"> </w:t>
      </w:r>
      <w:r>
        <w:rPr>
          <w:spacing w:val="8"/>
          <w:sz w:val="19"/>
          <w:szCs w:val="19"/>
        </w:rPr>
        <w:t>申请工程变更，延长工期。</w:t>
      </w:r>
    </w:p>
    <w:p w14:paraId="1730A24C">
      <w:pPr>
        <w:pStyle w:val="2"/>
        <w:spacing w:line="183" w:lineRule="auto"/>
        <w:ind w:left="7150"/>
        <w:rPr>
          <w:sz w:val="19"/>
          <w:szCs w:val="19"/>
        </w:rPr>
      </w:pPr>
      <w:r>
        <w:rPr>
          <w:spacing w:val="-15"/>
          <w:sz w:val="19"/>
          <w:szCs w:val="19"/>
        </w:rPr>
        <w:t>采取进度调整措施</w:t>
      </w:r>
    </w:p>
    <w:p w14:paraId="2C55F1CA">
      <w:pPr>
        <w:pStyle w:val="2"/>
        <w:spacing w:line="220" w:lineRule="auto"/>
        <w:ind w:left="762"/>
        <w:rPr>
          <w:rFonts w:ascii="黑体" w:hAnsi="黑体" w:eastAsia="黑体" w:cs="黑体"/>
          <w:sz w:val="19"/>
          <w:szCs w:val="19"/>
        </w:rPr>
      </w:pPr>
      <w:r>
        <w:rPr>
          <w:b/>
          <w:bCs/>
          <w:color w:val="0491EF"/>
          <w:spacing w:val="8"/>
          <w:sz w:val="19"/>
          <w:szCs w:val="19"/>
        </w:rPr>
        <w:t>4.</w:t>
      </w:r>
      <w:r>
        <w:rPr>
          <w:rFonts w:ascii="黑体" w:hAnsi="黑体" w:eastAsia="黑体" w:cs="黑体"/>
          <w:b/>
          <w:bCs/>
          <w:color w:val="0491EF"/>
          <w:spacing w:val="8"/>
          <w:sz w:val="19"/>
          <w:szCs w:val="19"/>
        </w:rPr>
        <w:t>工程进度报告</w:t>
      </w:r>
    </w:p>
    <w:p w14:paraId="23D9C841">
      <w:pPr>
        <w:pStyle w:val="2"/>
        <w:spacing w:before="146" w:line="291" w:lineRule="auto"/>
        <w:ind w:left="370" w:right="2103" w:firstLine="389"/>
        <w:jc w:val="both"/>
        <w:rPr>
          <w:sz w:val="19"/>
          <w:szCs w:val="19"/>
        </w:rPr>
      </w:pPr>
      <w:r>
        <w:pict>
          <v:shape id="_x0000_s1473" o:spid="_x0000_s1473" o:spt="202" type="#_x0000_t202" style="position:absolute;left:0pt;margin-left:365.95pt;margin-top:17.3pt;height:13.35pt;width:53.65pt;z-index:251758592;mso-width-relative:page;mso-height-relative:page;" filled="f" stroked="f" coordsize="21600,21600">
            <v:path/>
            <v:fill on="f" focussize="0,0"/>
            <v:stroke on="f"/>
            <v:imagedata o:title=""/>
            <o:lock v:ext="edit" aspectratio="f"/>
            <v:textbox inset="0mm,0mm,0mm,0mm">
              <w:txbxContent>
                <w:p w14:paraId="215DCEBF">
                  <w:pPr>
                    <w:pStyle w:val="2"/>
                    <w:spacing w:before="20" w:line="220" w:lineRule="auto"/>
                    <w:ind w:right="2"/>
                    <w:jc w:val="right"/>
                    <w:rPr>
                      <w:sz w:val="19"/>
                      <w:szCs w:val="19"/>
                    </w:rPr>
                  </w:pPr>
                  <w:r>
                    <w:rPr>
                      <w:spacing w:val="-14"/>
                      <w:w w:val="99"/>
                      <w:sz w:val="19"/>
                      <w:szCs w:val="19"/>
                    </w:rPr>
                    <w:t>调整进度计划</w:t>
                  </w:r>
                </w:p>
              </w:txbxContent>
            </v:textbox>
          </v:shape>
        </w:pict>
      </w:r>
      <w:r>
        <w:rPr>
          <w:spacing w:val="22"/>
          <w:sz w:val="19"/>
          <w:szCs w:val="19"/>
        </w:rPr>
        <w:t>在项目进行过程中，监理工程师应根据实际进度及其调整情况进</w:t>
      </w:r>
      <w:r>
        <w:rPr>
          <w:sz w:val="19"/>
          <w:szCs w:val="19"/>
        </w:rPr>
        <w:t xml:space="preserve"> </w:t>
      </w:r>
      <w:r>
        <w:rPr>
          <w:spacing w:val="14"/>
          <w:sz w:val="19"/>
          <w:szCs w:val="19"/>
        </w:rPr>
        <w:t>行必要的分析，提供阶段性进度报告、进度月报、进度调整报告等进度</w:t>
      </w:r>
      <w:r>
        <w:rPr>
          <w:spacing w:val="6"/>
          <w:sz w:val="19"/>
          <w:szCs w:val="19"/>
        </w:rPr>
        <w:t xml:space="preserve"> </w:t>
      </w:r>
      <w:r>
        <w:rPr>
          <w:spacing w:val="1"/>
          <w:sz w:val="19"/>
          <w:szCs w:val="19"/>
        </w:rPr>
        <w:t>报告。</w:t>
      </w:r>
    </w:p>
    <w:p w14:paraId="188CA0AD">
      <w:pPr>
        <w:pStyle w:val="2"/>
        <w:spacing w:before="117" w:line="222" w:lineRule="auto"/>
        <w:ind w:left="762"/>
        <w:rPr>
          <w:rFonts w:ascii="黑体" w:hAnsi="黑体" w:eastAsia="黑体" w:cs="黑体"/>
          <w:sz w:val="19"/>
          <w:szCs w:val="19"/>
        </w:rPr>
      </w:pPr>
      <w:r>
        <w:pict>
          <v:shape id="_x0000_s1474" o:spid="_x0000_s1474" o:spt="202" type="#_x0000_t202" style="position:absolute;left:0pt;margin-left:353pt;margin-top:3.55pt;height:13.35pt;width:80.15pt;z-index:251757568;mso-width-relative:page;mso-height-relative:page;" filled="f" stroked="f" coordsize="21600,21600">
            <v:path/>
            <v:fill on="f" focussize="0,0"/>
            <v:stroke on="f"/>
            <v:imagedata o:title=""/>
            <o:lock v:ext="edit" aspectratio="f"/>
            <v:textbox inset="0mm,0mm,0mm,0mm">
              <w:txbxContent>
                <w:p w14:paraId="7247EC94">
                  <w:pPr>
                    <w:pStyle w:val="2"/>
                    <w:spacing w:before="20" w:line="220" w:lineRule="auto"/>
                    <w:ind w:left="20"/>
                    <w:rPr>
                      <w:sz w:val="19"/>
                      <w:szCs w:val="19"/>
                    </w:rPr>
                  </w:pPr>
                  <w:r>
                    <w:rPr>
                      <w:spacing w:val="-15"/>
                      <w:sz w:val="19"/>
                      <w:szCs w:val="19"/>
                    </w:rPr>
                    <w:t>实施调整后进度计划</w:t>
                  </w:r>
                </w:p>
              </w:txbxContent>
            </v:textbox>
          </v:shape>
        </w:pict>
      </w:r>
      <w:r>
        <w:rPr>
          <w:b/>
          <w:bCs/>
          <w:color w:val="0079D6"/>
          <w:spacing w:val="8"/>
          <w:sz w:val="19"/>
          <w:szCs w:val="19"/>
        </w:rPr>
        <w:t>5.</w:t>
      </w:r>
      <w:r>
        <w:rPr>
          <w:rFonts w:ascii="黑体" w:hAnsi="黑体" w:eastAsia="黑体" w:cs="黑体"/>
          <w:b/>
          <w:bCs/>
          <w:color w:val="0079D6"/>
          <w:spacing w:val="8"/>
          <w:sz w:val="19"/>
          <w:szCs w:val="19"/>
        </w:rPr>
        <w:t>项目延期处理</w:t>
      </w:r>
    </w:p>
    <w:p w14:paraId="346FCD6C">
      <w:pPr>
        <w:pStyle w:val="2"/>
        <w:spacing w:before="136" w:line="295" w:lineRule="auto"/>
        <w:ind w:left="370" w:right="2079" w:firstLine="389"/>
        <w:jc w:val="both"/>
        <w:rPr>
          <w:sz w:val="19"/>
          <w:szCs w:val="19"/>
        </w:rPr>
      </w:pPr>
      <w:r>
        <w:pict>
          <v:shape id="_x0000_s1475" o:spid="_x0000_s1475" o:spt="202" type="#_x0000_t202" style="position:absolute;left:0pt;margin-left:351.5pt;margin-top:24.25pt;height:51.4pt;width:83.75pt;z-index:251756544;mso-width-relative:page;mso-height-relative:page;" filled="f" stroked="f" coordsize="21600,21600">
            <v:path/>
            <v:fill on="f" focussize="0,0"/>
            <v:stroke on="f"/>
            <v:imagedata o:title=""/>
            <o:lock v:ext="edit" aspectratio="f"/>
            <v:textbox inset="0mm,0mm,0mm,0mm">
              <w:txbxContent>
                <w:p w14:paraId="285D7039">
                  <w:pPr>
                    <w:pStyle w:val="2"/>
                    <w:spacing w:before="20" w:line="219" w:lineRule="auto"/>
                    <w:ind w:left="120"/>
                    <w:rPr>
                      <w:sz w:val="19"/>
                      <w:szCs w:val="19"/>
                    </w:rPr>
                  </w:pPr>
                  <w:r>
                    <w:rPr>
                      <w:spacing w:val="-14"/>
                      <w:sz w:val="19"/>
                      <w:szCs w:val="19"/>
                    </w:rPr>
                    <w:t>持续监控进度计划</w:t>
                  </w:r>
                </w:p>
                <w:p w14:paraId="4912AA47">
                  <w:pPr>
                    <w:pStyle w:val="2"/>
                    <w:spacing w:before="215" w:line="275" w:lineRule="auto"/>
                    <w:ind w:left="539" w:right="20" w:hanging="519"/>
                    <w:rPr>
                      <w:sz w:val="19"/>
                      <w:szCs w:val="19"/>
                    </w:rPr>
                  </w:pPr>
                  <w:r>
                    <w:rPr>
                      <w:spacing w:val="-4"/>
                      <w:sz w:val="19"/>
                      <w:szCs w:val="19"/>
                    </w:rPr>
                    <w:t>图11-6</w:t>
                  </w:r>
                  <w:r>
                    <w:rPr>
                      <w:spacing w:val="58"/>
                      <w:sz w:val="19"/>
                      <w:szCs w:val="19"/>
                    </w:rPr>
                    <w:t xml:space="preserve"> </w:t>
                  </w:r>
                  <w:r>
                    <w:rPr>
                      <w:spacing w:val="-4"/>
                      <w:sz w:val="19"/>
                      <w:szCs w:val="19"/>
                    </w:rPr>
                    <w:t>进度计划调</w:t>
                  </w:r>
                  <w:r>
                    <w:rPr>
                      <w:sz w:val="19"/>
                      <w:szCs w:val="19"/>
                    </w:rPr>
                    <w:t xml:space="preserve"> </w:t>
                  </w:r>
                  <w:r>
                    <w:rPr>
                      <w:spacing w:val="-2"/>
                      <w:sz w:val="19"/>
                      <w:szCs w:val="19"/>
                    </w:rPr>
                    <w:t>整过程</w:t>
                  </w:r>
                </w:p>
              </w:txbxContent>
            </v:textbox>
          </v:shape>
        </w:pict>
      </w:r>
      <w:r>
        <w:rPr>
          <w:spacing w:val="16"/>
          <w:sz w:val="19"/>
          <w:szCs w:val="19"/>
        </w:rPr>
        <w:t>当承建单位认为必须延期项目时，向监理单</w:t>
      </w:r>
      <w:r>
        <w:rPr>
          <w:spacing w:val="15"/>
          <w:sz w:val="19"/>
          <w:szCs w:val="19"/>
        </w:rPr>
        <w:t>位提交项目延期申请，</w:t>
      </w:r>
      <w:r>
        <w:rPr>
          <w:sz w:val="19"/>
          <w:szCs w:val="19"/>
        </w:rPr>
        <w:t xml:space="preserve"> </w:t>
      </w:r>
      <w:r>
        <w:rPr>
          <w:spacing w:val="14"/>
          <w:sz w:val="19"/>
          <w:szCs w:val="19"/>
        </w:rPr>
        <w:t>监理单位综合考虑进度、质量、延期的原因、延期造成的后果、延期时</w:t>
      </w:r>
      <w:r>
        <w:rPr>
          <w:spacing w:val="6"/>
          <w:sz w:val="19"/>
          <w:szCs w:val="19"/>
        </w:rPr>
        <w:t xml:space="preserve"> </w:t>
      </w:r>
      <w:r>
        <w:rPr>
          <w:spacing w:val="14"/>
          <w:sz w:val="19"/>
          <w:szCs w:val="19"/>
        </w:rPr>
        <w:t>间等，做出延期处理。监理单位在承建单位申请项目延期时的处理程序</w:t>
      </w:r>
      <w:r>
        <w:rPr>
          <w:spacing w:val="5"/>
          <w:sz w:val="19"/>
          <w:szCs w:val="19"/>
        </w:rPr>
        <w:t xml:space="preserve"> </w:t>
      </w:r>
      <w:r>
        <w:rPr>
          <w:spacing w:val="1"/>
          <w:sz w:val="19"/>
          <w:szCs w:val="19"/>
        </w:rPr>
        <w:t>如下：</w:t>
      </w:r>
    </w:p>
    <w:p w14:paraId="591656F3">
      <w:pPr>
        <w:pStyle w:val="2"/>
        <w:spacing w:before="56" w:line="219" w:lineRule="auto"/>
        <w:ind w:left="760"/>
        <w:rPr>
          <w:sz w:val="19"/>
          <w:szCs w:val="19"/>
        </w:rPr>
      </w:pPr>
      <w:r>
        <w:rPr>
          <w:spacing w:val="17"/>
          <w:sz w:val="19"/>
          <w:szCs w:val="19"/>
        </w:rPr>
        <w:t>(1)监理单位应根据项目情况确认其合理性，并与业主单位、承建</w:t>
      </w:r>
    </w:p>
    <w:p w14:paraId="0C8DD777">
      <w:pPr>
        <w:spacing w:line="219" w:lineRule="auto"/>
        <w:rPr>
          <w:sz w:val="19"/>
          <w:szCs w:val="19"/>
        </w:rPr>
        <w:sectPr>
          <w:pgSz w:w="10300" w:h="13370"/>
          <w:pgMar w:top="400" w:right="1004" w:bottom="400" w:left="489" w:header="0" w:footer="0" w:gutter="0"/>
          <w:cols w:space="720" w:num="1"/>
        </w:sectPr>
      </w:pPr>
    </w:p>
    <w:p w14:paraId="486009F8">
      <w:pPr>
        <w:pStyle w:val="2"/>
        <w:spacing w:before="20"/>
        <w:jc w:val="right"/>
        <w:rPr>
          <w:rFonts w:ascii="Times New Roman" w:hAnsi="Times New Roman" w:eastAsia="Times New Roman" w:cs="Times New Roman"/>
          <w:sz w:val="20"/>
          <w:szCs w:val="20"/>
        </w:rPr>
      </w:pPr>
      <w:r>
        <w:rPr>
          <w:sz w:val="20"/>
          <w:szCs w:val="20"/>
        </w:rPr>
        <w:t>第11章</w:t>
      </w:r>
      <w:r>
        <w:rPr>
          <w:spacing w:val="24"/>
          <w:sz w:val="20"/>
          <w:szCs w:val="20"/>
        </w:rPr>
        <w:t xml:space="preserve"> </w:t>
      </w:r>
      <w:r>
        <w:rPr>
          <w:sz w:val="20"/>
          <w:szCs w:val="20"/>
        </w:rPr>
        <w:t xml:space="preserve">进度控制 </w:t>
      </w:r>
      <w:r>
        <w:rPr>
          <w:position w:val="-11"/>
          <w:sz w:val="20"/>
          <w:szCs w:val="20"/>
        </w:rPr>
        <w:drawing>
          <wp:inline distT="0" distB="0" distL="0" distR="0">
            <wp:extent cx="329565" cy="24701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84"/>
                    <a:stretch>
                      <a:fillRect/>
                    </a:stretch>
                  </pic:blipFill>
                  <pic:spPr>
                    <a:xfrm>
                      <a:off x="0" y="0"/>
                      <a:ext cx="330170" cy="247639"/>
                    </a:xfrm>
                    <a:prstGeom prst="rect">
                      <a:avLst/>
                    </a:prstGeom>
                  </pic:spPr>
                </pic:pic>
              </a:graphicData>
            </a:graphic>
          </wp:inline>
        </w:drawing>
      </w:r>
      <w:r>
        <w:rPr>
          <w:rFonts w:ascii="Times New Roman" w:hAnsi="Times New Roman" w:eastAsia="Times New Roman" w:cs="Times New Roman"/>
          <w:position w:val="-4"/>
          <w:sz w:val="20"/>
          <w:szCs w:val="20"/>
        </w:rPr>
        <w:t>267</w:t>
      </w:r>
    </w:p>
    <w:p w14:paraId="55975F50">
      <w:pPr>
        <w:spacing w:line="251" w:lineRule="auto"/>
        <w:rPr>
          <w:rFonts w:ascii="Arial"/>
          <w:sz w:val="21"/>
        </w:rPr>
      </w:pPr>
    </w:p>
    <w:p w14:paraId="7F4C7AB5">
      <w:pPr>
        <w:pStyle w:val="2"/>
        <w:spacing w:before="65" w:line="219" w:lineRule="auto"/>
        <w:rPr>
          <w:sz w:val="20"/>
          <w:szCs w:val="20"/>
        </w:rPr>
      </w:pPr>
      <w:r>
        <w:rPr>
          <w:spacing w:val="-2"/>
          <w:sz w:val="20"/>
          <w:szCs w:val="20"/>
        </w:rPr>
        <w:t>单位协商确认后，由总监理工程师对项目延期申请予以签</w:t>
      </w:r>
      <w:r>
        <w:rPr>
          <w:spacing w:val="-3"/>
          <w:sz w:val="20"/>
          <w:szCs w:val="20"/>
        </w:rPr>
        <w:t>认；</w:t>
      </w:r>
    </w:p>
    <w:p w14:paraId="48370D39">
      <w:pPr>
        <w:pStyle w:val="2"/>
        <w:spacing w:before="82" w:line="248" w:lineRule="auto"/>
        <w:ind w:right="328" w:firstLine="399"/>
        <w:rPr>
          <w:sz w:val="20"/>
          <w:szCs w:val="20"/>
        </w:rPr>
      </w:pPr>
      <w:r>
        <w:rPr>
          <w:spacing w:val="6"/>
          <w:sz w:val="20"/>
          <w:szCs w:val="20"/>
        </w:rPr>
        <w:t>(2)项目延期影响总体进度计划时，监理单位应要求承建</w:t>
      </w:r>
      <w:r>
        <w:rPr>
          <w:spacing w:val="5"/>
          <w:sz w:val="20"/>
          <w:szCs w:val="20"/>
        </w:rPr>
        <w:t>单位修改总体进度计划，经三方</w:t>
      </w:r>
      <w:r>
        <w:rPr>
          <w:sz w:val="20"/>
          <w:szCs w:val="20"/>
        </w:rPr>
        <w:t xml:space="preserve"> </w:t>
      </w:r>
      <w:r>
        <w:rPr>
          <w:spacing w:val="-4"/>
          <w:sz w:val="20"/>
          <w:szCs w:val="20"/>
        </w:rPr>
        <w:t>签认后，编写项目进度备忘录；</w:t>
      </w:r>
    </w:p>
    <w:p w14:paraId="6C5B9E5A">
      <w:pPr>
        <w:pStyle w:val="2"/>
        <w:spacing w:before="92" w:line="248" w:lineRule="auto"/>
        <w:ind w:right="325" w:firstLine="399"/>
        <w:rPr>
          <w:sz w:val="20"/>
          <w:szCs w:val="20"/>
        </w:rPr>
      </w:pPr>
      <w:r>
        <w:rPr>
          <w:spacing w:val="6"/>
          <w:sz w:val="20"/>
          <w:szCs w:val="20"/>
        </w:rPr>
        <w:t>(3)监理单位应组织审查进度纠偏措施的合理性及可行性，如果</w:t>
      </w:r>
      <w:r>
        <w:rPr>
          <w:spacing w:val="5"/>
          <w:sz w:val="20"/>
          <w:szCs w:val="20"/>
        </w:rPr>
        <w:t>发现问题，出具监理意见</w:t>
      </w:r>
      <w:r>
        <w:rPr>
          <w:sz w:val="20"/>
          <w:szCs w:val="20"/>
        </w:rPr>
        <w:t xml:space="preserve"> </w:t>
      </w:r>
      <w:r>
        <w:rPr>
          <w:spacing w:val="-9"/>
          <w:sz w:val="20"/>
          <w:szCs w:val="20"/>
        </w:rPr>
        <w:t>并跟踪整改；</w:t>
      </w:r>
    </w:p>
    <w:p w14:paraId="17330621">
      <w:pPr>
        <w:pStyle w:val="2"/>
        <w:spacing w:before="71" w:line="258" w:lineRule="auto"/>
        <w:ind w:right="295" w:firstLine="399"/>
        <w:rPr>
          <w:sz w:val="20"/>
          <w:szCs w:val="20"/>
        </w:rPr>
      </w:pPr>
      <w:r>
        <w:rPr>
          <w:spacing w:val="1"/>
          <w:sz w:val="20"/>
          <w:szCs w:val="20"/>
        </w:rPr>
        <w:t>(4)当发生由于延期造成的索赔时，总监理工程师应综合考虑项目延期和费用索赔的关系，</w:t>
      </w:r>
      <w:r>
        <w:rPr>
          <w:spacing w:val="18"/>
          <w:sz w:val="20"/>
          <w:szCs w:val="20"/>
        </w:rPr>
        <w:t xml:space="preserve"> </w:t>
      </w:r>
      <w:r>
        <w:rPr>
          <w:spacing w:val="-3"/>
          <w:sz w:val="20"/>
          <w:szCs w:val="20"/>
        </w:rPr>
        <w:t>做出费用索赔和项目延期的建议。</w:t>
      </w:r>
    </w:p>
    <w:p w14:paraId="66C8D980">
      <w:pPr>
        <w:pStyle w:val="2"/>
        <w:spacing w:before="252" w:line="220" w:lineRule="auto"/>
        <w:ind w:left="2"/>
        <w:rPr>
          <w:sz w:val="25"/>
          <w:szCs w:val="25"/>
        </w:rPr>
      </w:pPr>
      <w:r>
        <w:rPr>
          <w:b/>
          <w:bCs/>
          <w:color w:val="006BD7"/>
          <w:spacing w:val="-20"/>
          <w:sz w:val="25"/>
          <w:szCs w:val="25"/>
        </w:rPr>
        <w:t>11.4.2</w:t>
      </w:r>
      <w:r>
        <w:rPr>
          <w:color w:val="006BD7"/>
          <w:spacing w:val="11"/>
          <w:sz w:val="25"/>
          <w:szCs w:val="25"/>
        </w:rPr>
        <w:t xml:space="preserve">  </w:t>
      </w:r>
      <w:r>
        <w:rPr>
          <w:b/>
          <w:bCs/>
          <w:color w:val="006BD7"/>
          <w:spacing w:val="-20"/>
          <w:sz w:val="25"/>
          <w:szCs w:val="25"/>
        </w:rPr>
        <w:t>监理进度控制方法</w:t>
      </w:r>
    </w:p>
    <w:p w14:paraId="3A857809">
      <w:pPr>
        <w:pStyle w:val="2"/>
        <w:spacing w:before="238" w:line="221" w:lineRule="auto"/>
        <w:ind w:left="402"/>
        <w:rPr>
          <w:rFonts w:ascii="黑体" w:hAnsi="黑体" w:eastAsia="黑体" w:cs="黑体"/>
          <w:sz w:val="20"/>
          <w:szCs w:val="20"/>
        </w:rPr>
      </w:pPr>
      <w:r>
        <w:rPr>
          <w:b/>
          <w:bCs/>
          <w:color w:val="006EDC"/>
          <w:spacing w:val="-4"/>
          <w:sz w:val="20"/>
          <w:szCs w:val="20"/>
        </w:rPr>
        <w:t>1.</w:t>
      </w:r>
      <w:r>
        <w:rPr>
          <w:rFonts w:ascii="黑体" w:hAnsi="黑体" w:eastAsia="黑体" w:cs="黑体"/>
          <w:b/>
          <w:bCs/>
          <w:color w:val="006EDC"/>
          <w:spacing w:val="-4"/>
          <w:sz w:val="20"/>
          <w:szCs w:val="20"/>
        </w:rPr>
        <w:t>监理进度控制方法</w:t>
      </w:r>
    </w:p>
    <w:p w14:paraId="1FC0FADB">
      <w:pPr>
        <w:pStyle w:val="2"/>
        <w:spacing w:before="166" w:line="220" w:lineRule="auto"/>
        <w:ind w:left="399"/>
        <w:rPr>
          <w:sz w:val="20"/>
          <w:szCs w:val="20"/>
        </w:rPr>
      </w:pPr>
      <w:r>
        <w:rPr>
          <w:spacing w:val="-4"/>
          <w:sz w:val="20"/>
          <w:szCs w:val="20"/>
        </w:rPr>
        <w:t>监理进度控制方法主要包括：</w:t>
      </w:r>
    </w:p>
    <w:p w14:paraId="7D20FCBF">
      <w:pPr>
        <w:pStyle w:val="2"/>
        <w:spacing w:before="80" w:line="249" w:lineRule="auto"/>
        <w:ind w:right="328" w:firstLine="399"/>
        <w:rPr>
          <w:sz w:val="20"/>
          <w:szCs w:val="20"/>
        </w:rPr>
      </w:pPr>
      <w:r>
        <w:rPr>
          <w:spacing w:val="6"/>
          <w:sz w:val="20"/>
          <w:szCs w:val="20"/>
        </w:rPr>
        <w:t>(1)从招标阶段开始直至竣工验收的全过程中，应坚持采</w:t>
      </w:r>
      <w:r>
        <w:rPr>
          <w:spacing w:val="5"/>
          <w:sz w:val="20"/>
          <w:szCs w:val="20"/>
        </w:rPr>
        <w:t>用动态管理和主动预控的方法进</w:t>
      </w:r>
      <w:r>
        <w:rPr>
          <w:sz w:val="20"/>
          <w:szCs w:val="20"/>
        </w:rPr>
        <w:t xml:space="preserve"> </w:t>
      </w:r>
      <w:r>
        <w:rPr>
          <w:spacing w:val="-2"/>
          <w:sz w:val="20"/>
          <w:szCs w:val="20"/>
        </w:rPr>
        <w:t>行控制。</w:t>
      </w:r>
    </w:p>
    <w:p w14:paraId="4819D497">
      <w:pPr>
        <w:pStyle w:val="2"/>
        <w:spacing w:before="71" w:line="256" w:lineRule="auto"/>
        <w:ind w:right="345" w:firstLine="399"/>
        <w:rPr>
          <w:sz w:val="20"/>
          <w:szCs w:val="20"/>
        </w:rPr>
      </w:pPr>
      <w:r>
        <w:rPr>
          <w:spacing w:val="5"/>
          <w:sz w:val="20"/>
          <w:szCs w:val="20"/>
        </w:rPr>
        <w:t>(2)在充分掌握第一手实际进度数据的前提下，采用实际值与计划值进行比较的方法进行</w:t>
      </w:r>
      <w:r>
        <w:rPr>
          <w:spacing w:val="9"/>
          <w:sz w:val="20"/>
          <w:szCs w:val="20"/>
        </w:rPr>
        <w:t xml:space="preserve"> </w:t>
      </w:r>
      <w:r>
        <w:rPr>
          <w:spacing w:val="-6"/>
          <w:sz w:val="20"/>
          <w:szCs w:val="20"/>
        </w:rPr>
        <w:t>检查和评价。</w:t>
      </w:r>
    </w:p>
    <w:p w14:paraId="2BA8DF63">
      <w:pPr>
        <w:pStyle w:val="2"/>
        <w:spacing w:before="87" w:line="263" w:lineRule="auto"/>
        <w:ind w:right="325" w:firstLine="399"/>
        <w:rPr>
          <w:sz w:val="20"/>
          <w:szCs w:val="20"/>
        </w:rPr>
      </w:pPr>
      <w:r>
        <w:rPr>
          <w:spacing w:val="6"/>
          <w:sz w:val="20"/>
          <w:szCs w:val="20"/>
        </w:rPr>
        <w:t>(3)充分运用行政的方法进行进度控制。所谓行政方法，主要是</w:t>
      </w:r>
      <w:r>
        <w:rPr>
          <w:spacing w:val="5"/>
          <w:sz w:val="20"/>
          <w:szCs w:val="20"/>
        </w:rPr>
        <w:t>指通过承建单位的上级及</w:t>
      </w:r>
      <w:r>
        <w:rPr>
          <w:sz w:val="20"/>
          <w:szCs w:val="20"/>
        </w:rPr>
        <w:t xml:space="preserve"> </w:t>
      </w:r>
      <w:r>
        <w:rPr>
          <w:spacing w:val="3"/>
          <w:sz w:val="20"/>
          <w:szCs w:val="20"/>
        </w:rPr>
        <w:t xml:space="preserve">业主单位的领导，利用其行政权力发布进度指令予以指导、协调、考核，采用奖惩、表扬、批 </w:t>
      </w:r>
      <w:r>
        <w:rPr>
          <w:spacing w:val="-2"/>
          <w:sz w:val="20"/>
          <w:szCs w:val="20"/>
        </w:rPr>
        <w:t>评等手段进行监督、督促，实施有效的控制。</w:t>
      </w:r>
    </w:p>
    <w:p w14:paraId="00A14769">
      <w:pPr>
        <w:pStyle w:val="2"/>
        <w:spacing w:before="92" w:line="219" w:lineRule="auto"/>
        <w:ind w:left="399"/>
        <w:rPr>
          <w:sz w:val="20"/>
          <w:szCs w:val="20"/>
        </w:rPr>
      </w:pPr>
      <w:r>
        <w:rPr>
          <w:spacing w:val="1"/>
          <w:sz w:val="20"/>
          <w:szCs w:val="20"/>
        </w:rPr>
        <w:t>(4)发挥经济杠杆的作用，采用经济手段对项目进度加以影响和制约。</w:t>
      </w:r>
    </w:p>
    <w:p w14:paraId="3AD8C304">
      <w:pPr>
        <w:pStyle w:val="2"/>
        <w:spacing w:before="53" w:line="270" w:lineRule="auto"/>
        <w:ind w:right="318" w:firstLine="399"/>
        <w:rPr>
          <w:sz w:val="20"/>
          <w:szCs w:val="20"/>
        </w:rPr>
      </w:pPr>
      <w:r>
        <w:rPr>
          <w:spacing w:val="6"/>
          <w:sz w:val="20"/>
          <w:szCs w:val="20"/>
        </w:rPr>
        <w:t>(5)利用管理技术的方法进行控制。这种方法要求监理单位必须具有较深厚的规</w:t>
      </w:r>
      <w:r>
        <w:rPr>
          <w:spacing w:val="5"/>
          <w:sz w:val="20"/>
          <w:szCs w:val="20"/>
        </w:rPr>
        <w:t>划、控制</w:t>
      </w:r>
      <w:r>
        <w:rPr>
          <w:sz w:val="20"/>
          <w:szCs w:val="20"/>
        </w:rPr>
        <w:t xml:space="preserve"> </w:t>
      </w:r>
      <w:r>
        <w:rPr>
          <w:spacing w:val="3"/>
          <w:sz w:val="20"/>
          <w:szCs w:val="20"/>
        </w:rPr>
        <w:t>和协调能力。所谓规划，就是确定进度总目标与分目标；所谓控制，就是运用动态方法，采取</w:t>
      </w:r>
      <w:r>
        <w:rPr>
          <w:spacing w:val="5"/>
          <w:sz w:val="20"/>
          <w:szCs w:val="20"/>
        </w:rPr>
        <w:t xml:space="preserve"> </w:t>
      </w:r>
      <w:r>
        <w:rPr>
          <w:spacing w:val="3"/>
          <w:sz w:val="20"/>
          <w:szCs w:val="20"/>
        </w:rPr>
        <w:t>实际值与计划值比较的手段检查项目进度，发现偏差时，及时予以纠正；所谓协调，就是适时</w:t>
      </w:r>
      <w:r>
        <w:rPr>
          <w:spacing w:val="7"/>
          <w:sz w:val="20"/>
          <w:szCs w:val="20"/>
        </w:rPr>
        <w:t xml:space="preserve"> </w:t>
      </w:r>
      <w:r>
        <w:rPr>
          <w:spacing w:val="-2"/>
          <w:sz w:val="20"/>
          <w:szCs w:val="20"/>
        </w:rPr>
        <w:t>地协调参加工程建设的各单位之间的进度计划关系。</w:t>
      </w:r>
    </w:p>
    <w:p w14:paraId="225F7330">
      <w:pPr>
        <w:pStyle w:val="2"/>
        <w:spacing w:before="157" w:line="222" w:lineRule="auto"/>
        <w:ind w:left="402"/>
        <w:rPr>
          <w:rFonts w:ascii="黑体" w:hAnsi="黑体" w:eastAsia="黑体" w:cs="黑体"/>
          <w:sz w:val="20"/>
          <w:szCs w:val="20"/>
        </w:rPr>
      </w:pPr>
      <w:r>
        <w:rPr>
          <w:b/>
          <w:bCs/>
          <w:color w:val="006AC7"/>
          <w:spacing w:val="-2"/>
          <w:sz w:val="20"/>
          <w:szCs w:val="20"/>
        </w:rPr>
        <w:t>2.</w:t>
      </w:r>
      <w:r>
        <w:rPr>
          <w:rFonts w:ascii="黑体" w:hAnsi="黑体" w:eastAsia="黑体" w:cs="黑体"/>
          <w:b/>
          <w:bCs/>
          <w:color w:val="006AC7"/>
          <w:spacing w:val="-2"/>
          <w:sz w:val="20"/>
          <w:szCs w:val="20"/>
        </w:rPr>
        <w:t>监理进度控制措施</w:t>
      </w:r>
    </w:p>
    <w:p w14:paraId="13E6282B">
      <w:pPr>
        <w:pStyle w:val="2"/>
        <w:spacing w:before="144" w:line="219" w:lineRule="auto"/>
        <w:ind w:left="399"/>
        <w:rPr>
          <w:sz w:val="20"/>
          <w:szCs w:val="20"/>
        </w:rPr>
      </w:pPr>
      <w:r>
        <w:rPr>
          <w:spacing w:val="-1"/>
          <w:sz w:val="20"/>
          <w:szCs w:val="20"/>
        </w:rPr>
        <w:t>监理进度控制措施主要包括组织措施、技术措施、经济措施</w:t>
      </w:r>
      <w:r>
        <w:rPr>
          <w:spacing w:val="-2"/>
          <w:sz w:val="20"/>
          <w:szCs w:val="20"/>
        </w:rPr>
        <w:t>和合同措施。</w:t>
      </w:r>
    </w:p>
    <w:p w14:paraId="2C8CEA7C">
      <w:pPr>
        <w:pStyle w:val="2"/>
        <w:spacing w:before="73" w:line="220" w:lineRule="auto"/>
        <w:ind w:left="399"/>
        <w:rPr>
          <w:sz w:val="20"/>
          <w:szCs w:val="20"/>
        </w:rPr>
      </w:pPr>
      <w:r>
        <w:rPr>
          <w:spacing w:val="3"/>
          <w:sz w:val="20"/>
          <w:szCs w:val="20"/>
        </w:rPr>
        <w:t>(1)组织措施。具体如下：</w:t>
      </w:r>
    </w:p>
    <w:p w14:paraId="44E2F04E">
      <w:pPr>
        <w:pStyle w:val="2"/>
        <w:spacing w:before="62" w:line="220" w:lineRule="auto"/>
        <w:ind w:left="399"/>
        <w:rPr>
          <w:sz w:val="20"/>
          <w:szCs w:val="20"/>
        </w:rPr>
      </w:pPr>
      <w:r>
        <w:rPr>
          <w:spacing w:val="1"/>
          <w:sz w:val="20"/>
          <w:szCs w:val="20"/>
        </w:rPr>
        <w:t>●建立进度控制目标体系；</w:t>
      </w:r>
    </w:p>
    <w:p w14:paraId="36D19959">
      <w:pPr>
        <w:pStyle w:val="2"/>
        <w:spacing w:before="81" w:line="219" w:lineRule="auto"/>
        <w:ind w:left="399"/>
        <w:rPr>
          <w:sz w:val="20"/>
          <w:szCs w:val="20"/>
        </w:rPr>
      </w:pPr>
      <w:r>
        <w:rPr>
          <w:spacing w:val="1"/>
          <w:sz w:val="20"/>
          <w:szCs w:val="20"/>
        </w:rPr>
        <w:t>●落实监理单位进度控制的人员组成、具体</w:t>
      </w:r>
      <w:r>
        <w:rPr>
          <w:sz w:val="20"/>
          <w:szCs w:val="20"/>
        </w:rPr>
        <w:t>控制任务和管理职责分工；</w:t>
      </w:r>
    </w:p>
    <w:p w14:paraId="02512600">
      <w:pPr>
        <w:pStyle w:val="2"/>
        <w:spacing w:before="81" w:line="218" w:lineRule="auto"/>
        <w:ind w:left="399"/>
        <w:rPr>
          <w:sz w:val="20"/>
          <w:szCs w:val="20"/>
        </w:rPr>
      </w:pPr>
      <w:r>
        <w:rPr>
          <w:sz w:val="20"/>
          <w:szCs w:val="20"/>
        </w:rPr>
        <w:t>●建立进度报告制度及进度信息沟通协调机制；</w:t>
      </w:r>
    </w:p>
    <w:p w14:paraId="68C249FB">
      <w:pPr>
        <w:pStyle w:val="2"/>
        <w:spacing w:before="86" w:line="219" w:lineRule="auto"/>
        <w:ind w:left="399"/>
        <w:rPr>
          <w:sz w:val="20"/>
          <w:szCs w:val="20"/>
        </w:rPr>
      </w:pPr>
      <w:r>
        <w:rPr>
          <w:spacing w:val="1"/>
          <w:sz w:val="20"/>
          <w:szCs w:val="20"/>
        </w:rPr>
        <w:t>●建立进度计划审核制度和进度计划实施中的检查分析制度；</w:t>
      </w:r>
    </w:p>
    <w:p w14:paraId="448DBB41">
      <w:pPr>
        <w:pStyle w:val="2"/>
        <w:spacing w:before="72" w:line="219" w:lineRule="auto"/>
        <w:ind w:left="399"/>
        <w:rPr>
          <w:sz w:val="20"/>
          <w:szCs w:val="20"/>
        </w:rPr>
      </w:pPr>
      <w:r>
        <w:rPr>
          <w:spacing w:val="1"/>
          <w:sz w:val="20"/>
          <w:szCs w:val="20"/>
        </w:rPr>
        <w:t>●建立方案审查、工程变更管理制度。</w:t>
      </w:r>
    </w:p>
    <w:p w14:paraId="565A1C1E">
      <w:pPr>
        <w:pStyle w:val="2"/>
        <w:spacing w:before="83" w:line="219" w:lineRule="auto"/>
        <w:ind w:left="399"/>
        <w:rPr>
          <w:sz w:val="20"/>
          <w:szCs w:val="20"/>
        </w:rPr>
      </w:pPr>
      <w:r>
        <w:rPr>
          <w:spacing w:val="3"/>
          <w:sz w:val="20"/>
          <w:szCs w:val="20"/>
        </w:rPr>
        <w:t>(2)技术措施。具体如下：</w:t>
      </w:r>
    </w:p>
    <w:p w14:paraId="45CC21F3">
      <w:pPr>
        <w:pStyle w:val="2"/>
        <w:spacing w:before="73" w:line="219" w:lineRule="auto"/>
        <w:ind w:left="399"/>
        <w:rPr>
          <w:sz w:val="20"/>
          <w:szCs w:val="20"/>
        </w:rPr>
      </w:pPr>
      <w:r>
        <w:rPr>
          <w:spacing w:val="1"/>
          <w:sz w:val="20"/>
          <w:szCs w:val="20"/>
        </w:rPr>
        <w:t>●审查承建单位提交的进度计划，使承建单位能在合理的状态下施工；</w:t>
      </w:r>
    </w:p>
    <w:p w14:paraId="1EEB5F9F">
      <w:pPr>
        <w:pStyle w:val="2"/>
        <w:spacing w:before="83" w:line="219" w:lineRule="auto"/>
        <w:ind w:left="399"/>
        <w:rPr>
          <w:sz w:val="20"/>
          <w:szCs w:val="20"/>
        </w:rPr>
      </w:pPr>
      <w:r>
        <w:rPr>
          <w:spacing w:val="1"/>
          <w:sz w:val="20"/>
          <w:szCs w:val="20"/>
        </w:rPr>
        <w:t>●编制进度控制工作细则，指导监理工程师实施进度控制；</w:t>
      </w:r>
    </w:p>
    <w:p w14:paraId="203B68E1">
      <w:pPr>
        <w:pStyle w:val="2"/>
        <w:spacing w:before="50" w:line="266" w:lineRule="auto"/>
        <w:ind w:left="699" w:right="255" w:hanging="300"/>
        <w:rPr>
          <w:sz w:val="20"/>
          <w:szCs w:val="20"/>
        </w:rPr>
      </w:pPr>
      <w:r>
        <w:rPr>
          <w:spacing w:val="5"/>
          <w:sz w:val="20"/>
          <w:szCs w:val="20"/>
        </w:rPr>
        <w:t>●采用进度控制技术及其他科学适用的进度控制方法，结合信息技术及信息系统的应用，</w:t>
      </w:r>
      <w:r>
        <w:rPr>
          <w:spacing w:val="4"/>
          <w:sz w:val="20"/>
          <w:szCs w:val="20"/>
        </w:rPr>
        <w:t xml:space="preserve"> </w:t>
      </w:r>
      <w:r>
        <w:rPr>
          <w:spacing w:val="-1"/>
          <w:sz w:val="20"/>
          <w:szCs w:val="20"/>
        </w:rPr>
        <w:t>对进度实施动态控制，进行进度动态比较，提供比</w:t>
      </w:r>
      <w:r>
        <w:rPr>
          <w:spacing w:val="-2"/>
          <w:sz w:val="20"/>
          <w:szCs w:val="20"/>
        </w:rPr>
        <w:t>较报告；</w:t>
      </w:r>
    </w:p>
    <w:p w14:paraId="7EA9C585">
      <w:pPr>
        <w:spacing w:line="266" w:lineRule="auto"/>
        <w:rPr>
          <w:sz w:val="20"/>
          <w:szCs w:val="20"/>
        </w:rPr>
        <w:sectPr>
          <w:pgSz w:w="10290" w:h="13310"/>
          <w:pgMar w:top="400" w:right="524" w:bottom="400" w:left="1109" w:header="0" w:footer="0" w:gutter="0"/>
          <w:cols w:space="720" w:num="1"/>
        </w:sectPr>
      </w:pPr>
    </w:p>
    <w:p w14:paraId="58F050BF">
      <w:pPr>
        <w:pStyle w:val="2"/>
        <w:spacing w:before="117" w:line="220" w:lineRule="auto"/>
        <w:rPr>
          <w:sz w:val="20"/>
          <w:szCs w:val="20"/>
        </w:rPr>
      </w:pPr>
      <w:bookmarkStart w:id="630" w:name="bookmark615"/>
      <w:bookmarkEnd w:id="630"/>
      <w:r>
        <w:rPr>
          <w:rFonts w:ascii="Times New Roman" w:hAnsi="Times New Roman" w:eastAsia="Times New Roman" w:cs="Times New Roman"/>
          <w:position w:val="-3"/>
          <w:sz w:val="20"/>
          <w:szCs w:val="20"/>
        </w:rPr>
        <w:t xml:space="preserve">268             </w:t>
      </w:r>
      <w:r>
        <w:rPr>
          <w:sz w:val="20"/>
          <w:szCs w:val="20"/>
        </w:rPr>
        <w:t>信息系统监理师教程(第2版)</w:t>
      </w:r>
    </w:p>
    <w:p w14:paraId="3315B712">
      <w:pPr>
        <w:spacing w:line="290" w:lineRule="auto"/>
        <w:rPr>
          <w:rFonts w:ascii="Arial"/>
          <w:sz w:val="21"/>
        </w:rPr>
      </w:pPr>
    </w:p>
    <w:p w14:paraId="6C8CF8F8">
      <w:pPr>
        <w:pStyle w:val="2"/>
        <w:spacing w:before="65" w:line="219" w:lineRule="auto"/>
        <w:ind w:left="790"/>
        <w:rPr>
          <w:sz w:val="20"/>
          <w:szCs w:val="20"/>
        </w:rPr>
      </w:pPr>
      <w:r>
        <w:rPr>
          <w:sz w:val="20"/>
          <w:szCs w:val="20"/>
        </w:rPr>
        <w:t>●确定合理的工作定额，进行进度预测分析和进度统计。</w:t>
      </w:r>
    </w:p>
    <w:p w14:paraId="1BECA8DF">
      <w:pPr>
        <w:pStyle w:val="2"/>
        <w:spacing w:before="103" w:line="220" w:lineRule="auto"/>
        <w:ind w:left="790"/>
        <w:rPr>
          <w:sz w:val="20"/>
          <w:szCs w:val="20"/>
        </w:rPr>
      </w:pPr>
      <w:r>
        <w:rPr>
          <w:spacing w:val="3"/>
          <w:sz w:val="20"/>
          <w:szCs w:val="20"/>
        </w:rPr>
        <w:t>(3)经济措施。具体如下：</w:t>
      </w:r>
    </w:p>
    <w:p w14:paraId="2C60D033">
      <w:pPr>
        <w:pStyle w:val="2"/>
        <w:spacing w:before="71" w:line="219" w:lineRule="auto"/>
        <w:ind w:left="790"/>
        <w:rPr>
          <w:sz w:val="20"/>
          <w:szCs w:val="20"/>
        </w:rPr>
      </w:pPr>
      <w:r>
        <w:rPr>
          <w:sz w:val="20"/>
          <w:szCs w:val="20"/>
        </w:rPr>
        <w:t>●及时办理工程预付款及工程进度款支付手续；</w:t>
      </w:r>
    </w:p>
    <w:p w14:paraId="7A5F7973">
      <w:pPr>
        <w:pStyle w:val="2"/>
        <w:spacing w:before="82" w:line="219" w:lineRule="auto"/>
        <w:ind w:left="790"/>
        <w:rPr>
          <w:sz w:val="20"/>
          <w:szCs w:val="20"/>
        </w:rPr>
      </w:pPr>
      <w:r>
        <w:rPr>
          <w:spacing w:val="1"/>
          <w:sz w:val="20"/>
          <w:szCs w:val="20"/>
        </w:rPr>
        <w:t>●对必须的应急赶工给予优厚的赶工费用；</w:t>
      </w:r>
    </w:p>
    <w:p w14:paraId="1302635C">
      <w:pPr>
        <w:pStyle w:val="2"/>
        <w:spacing w:before="92" w:line="219" w:lineRule="auto"/>
        <w:ind w:left="790"/>
        <w:rPr>
          <w:sz w:val="20"/>
          <w:szCs w:val="20"/>
        </w:rPr>
      </w:pPr>
      <w:r>
        <w:rPr>
          <w:spacing w:val="1"/>
          <w:sz w:val="20"/>
          <w:szCs w:val="20"/>
        </w:rPr>
        <w:t>●对合理的工期提前给予奖励；</w:t>
      </w:r>
    </w:p>
    <w:p w14:paraId="497FB982">
      <w:pPr>
        <w:pStyle w:val="2"/>
        <w:spacing w:before="83" w:line="219" w:lineRule="auto"/>
        <w:ind w:left="790"/>
        <w:rPr>
          <w:sz w:val="20"/>
          <w:szCs w:val="20"/>
        </w:rPr>
      </w:pPr>
      <w:r>
        <w:rPr>
          <w:spacing w:val="1"/>
          <w:sz w:val="20"/>
          <w:szCs w:val="20"/>
        </w:rPr>
        <w:t>●对工程延误收取误期损失赔偿金。</w:t>
      </w:r>
    </w:p>
    <w:p w14:paraId="618967AE">
      <w:pPr>
        <w:pStyle w:val="2"/>
        <w:spacing w:before="93" w:line="220" w:lineRule="auto"/>
        <w:ind w:left="790"/>
        <w:rPr>
          <w:sz w:val="20"/>
          <w:szCs w:val="20"/>
        </w:rPr>
      </w:pPr>
      <w:r>
        <w:rPr>
          <w:spacing w:val="3"/>
          <w:sz w:val="20"/>
          <w:szCs w:val="20"/>
        </w:rPr>
        <w:t>(4)合同措施。具体如下：</w:t>
      </w:r>
    </w:p>
    <w:p w14:paraId="5E1F3BAD">
      <w:pPr>
        <w:pStyle w:val="2"/>
        <w:spacing w:before="82" w:line="219" w:lineRule="auto"/>
        <w:jc w:val="right"/>
        <w:rPr>
          <w:sz w:val="20"/>
          <w:szCs w:val="20"/>
        </w:rPr>
      </w:pPr>
      <w:r>
        <w:rPr>
          <w:sz w:val="20"/>
          <w:szCs w:val="20"/>
        </w:rPr>
        <w:t>●加强合同管理，协调合同工期与进度计划之间的关系，保证合同中进度目标的实现；</w:t>
      </w:r>
    </w:p>
    <w:p w14:paraId="3F39EEB9">
      <w:pPr>
        <w:pStyle w:val="2"/>
        <w:spacing w:before="92" w:line="219" w:lineRule="auto"/>
        <w:jc w:val="right"/>
        <w:rPr>
          <w:sz w:val="20"/>
          <w:szCs w:val="20"/>
        </w:rPr>
      </w:pPr>
      <w:r>
        <w:rPr>
          <w:sz w:val="20"/>
          <w:szCs w:val="20"/>
        </w:rPr>
        <w:t>●严格控制合同变更，对各方提出的工程变更，监理工程师应严格审查后再变更合同；</w:t>
      </w:r>
    </w:p>
    <w:p w14:paraId="34E5FC5A">
      <w:pPr>
        <w:pStyle w:val="2"/>
        <w:spacing w:before="92" w:line="219" w:lineRule="auto"/>
        <w:jc w:val="right"/>
        <w:rPr>
          <w:sz w:val="20"/>
          <w:szCs w:val="20"/>
        </w:rPr>
      </w:pPr>
      <w:r>
        <w:rPr>
          <w:sz w:val="20"/>
          <w:szCs w:val="20"/>
        </w:rPr>
        <w:t>●加强风险管理，在合同中应充分考虑风险因素对进度的影响，以及相应的处理方法；</w:t>
      </w:r>
    </w:p>
    <w:p w14:paraId="7A50EE36">
      <w:pPr>
        <w:pStyle w:val="2"/>
        <w:spacing w:before="84" w:line="219" w:lineRule="auto"/>
        <w:ind w:left="790"/>
        <w:rPr>
          <w:sz w:val="20"/>
          <w:szCs w:val="20"/>
        </w:rPr>
      </w:pPr>
      <w:r>
        <w:rPr>
          <w:spacing w:val="1"/>
          <w:sz w:val="20"/>
          <w:szCs w:val="20"/>
        </w:rPr>
        <w:t>●加强索赔管理，公正地处理索赔。</w:t>
      </w:r>
    </w:p>
    <w:p w14:paraId="4DB51BF3">
      <w:pPr>
        <w:spacing w:line="219" w:lineRule="auto"/>
        <w:rPr>
          <w:sz w:val="20"/>
          <w:szCs w:val="20"/>
        </w:rPr>
        <w:sectPr>
          <w:pgSz w:w="10300" w:h="13380"/>
          <w:pgMar w:top="400" w:right="1419" w:bottom="400" w:left="479" w:header="0" w:footer="0" w:gutter="0"/>
          <w:cols w:space="720" w:num="1"/>
        </w:sectPr>
      </w:pPr>
    </w:p>
    <w:p w14:paraId="6936614C">
      <w:pPr>
        <w:spacing w:line="261" w:lineRule="auto"/>
        <w:rPr>
          <w:rFonts w:ascii="Arial"/>
          <w:sz w:val="21"/>
        </w:rPr>
      </w:pPr>
    </w:p>
    <w:p w14:paraId="6D6724D8">
      <w:pPr>
        <w:spacing w:line="262" w:lineRule="auto"/>
        <w:rPr>
          <w:rFonts w:ascii="Arial"/>
          <w:sz w:val="21"/>
        </w:rPr>
      </w:pPr>
    </w:p>
    <w:p w14:paraId="3576AAED">
      <w:pPr>
        <w:spacing w:line="262" w:lineRule="auto"/>
        <w:rPr>
          <w:rFonts w:ascii="Arial"/>
          <w:sz w:val="21"/>
        </w:rPr>
      </w:pPr>
    </w:p>
    <w:p w14:paraId="3E51A2A9">
      <w:pPr>
        <w:spacing w:before="130" w:line="235" w:lineRule="auto"/>
        <w:ind w:left="19"/>
        <w:rPr>
          <w:sz w:val="40"/>
          <w:szCs w:val="40"/>
        </w:rPr>
      </w:pPr>
      <w:r>
        <w:rPr>
          <w:rFonts w:ascii="黑体" w:hAnsi="黑体" w:eastAsia="黑体" w:cs="黑体"/>
          <w:color w:val="0076ED"/>
          <w:position w:val="-3"/>
          <w:sz w:val="40"/>
          <w:szCs w:val="40"/>
        </w:rPr>
        <w:drawing>
          <wp:inline distT="0" distB="0" distL="0" distR="0">
            <wp:extent cx="628650" cy="26035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85"/>
                    <a:stretch>
                      <a:fillRect/>
                    </a:stretch>
                  </pic:blipFill>
                  <pic:spPr>
                    <a:xfrm>
                      <a:off x="0" y="0"/>
                      <a:ext cx="628692" cy="260401"/>
                    </a:xfrm>
                    <a:prstGeom prst="rect">
                      <a:avLst/>
                    </a:prstGeom>
                  </pic:spPr>
                </pic:pic>
              </a:graphicData>
            </a:graphic>
          </wp:inline>
        </w:drawing>
      </w:r>
      <w:r>
        <w:rPr>
          <w:rFonts w:ascii="黑体" w:hAnsi="黑体" w:eastAsia="黑体" w:cs="黑体"/>
          <w:color w:val="0076ED"/>
          <w:spacing w:val="12"/>
          <w:sz w:val="40"/>
          <w:szCs w:val="40"/>
        </w:rPr>
        <w:t xml:space="preserve">       </w:t>
      </w:r>
      <w:r>
        <w:rPr>
          <w:rFonts w:ascii="黑体" w:hAnsi="黑体" w:eastAsia="黑体" w:cs="黑体"/>
          <w:b/>
          <w:bCs/>
          <w:color w:val="0076ED"/>
          <w:spacing w:val="18"/>
          <w:sz w:val="40"/>
          <w:szCs w:val="40"/>
        </w:rPr>
        <w:t>第12章</w:t>
      </w:r>
      <w:r>
        <w:rPr>
          <w:rFonts w:ascii="黑体" w:hAnsi="黑体" w:eastAsia="黑体" w:cs="黑体"/>
          <w:color w:val="0076ED"/>
          <w:spacing w:val="200"/>
          <w:sz w:val="40"/>
          <w:szCs w:val="40"/>
        </w:rPr>
        <w:t xml:space="preserve"> </w:t>
      </w:r>
      <w:r>
        <w:rPr>
          <w:rFonts w:ascii="黑体" w:hAnsi="黑体" w:eastAsia="黑体" w:cs="黑体"/>
          <w:b/>
          <w:bCs/>
          <w:color w:val="0076ED"/>
          <w:spacing w:val="18"/>
          <w:sz w:val="40"/>
          <w:szCs w:val="40"/>
        </w:rPr>
        <w:t>投资控制</w:t>
      </w:r>
      <w:r>
        <w:rPr>
          <w:rFonts w:ascii="黑体" w:hAnsi="黑体" w:eastAsia="黑体" w:cs="黑体"/>
          <w:color w:val="0076ED"/>
          <w:spacing w:val="8"/>
          <w:sz w:val="40"/>
          <w:szCs w:val="40"/>
        </w:rPr>
        <w:t xml:space="preserve">       </w:t>
      </w:r>
      <w:r>
        <w:rPr>
          <w:position w:val="-4"/>
          <w:sz w:val="40"/>
          <w:szCs w:val="40"/>
        </w:rPr>
        <w:drawing>
          <wp:inline distT="0" distB="0" distL="0" distR="0">
            <wp:extent cx="635000" cy="26670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86"/>
                    <a:stretch>
                      <a:fillRect/>
                    </a:stretch>
                  </pic:blipFill>
                  <pic:spPr>
                    <a:xfrm>
                      <a:off x="0" y="0"/>
                      <a:ext cx="635024" cy="266740"/>
                    </a:xfrm>
                    <a:prstGeom prst="rect">
                      <a:avLst/>
                    </a:prstGeom>
                  </pic:spPr>
                </pic:pic>
              </a:graphicData>
            </a:graphic>
          </wp:inline>
        </w:drawing>
      </w:r>
    </w:p>
    <w:p w14:paraId="7BD4BAAA">
      <w:pPr>
        <w:spacing w:line="356" w:lineRule="auto"/>
        <w:rPr>
          <w:rFonts w:ascii="Arial"/>
          <w:sz w:val="21"/>
        </w:rPr>
      </w:pPr>
    </w:p>
    <w:p w14:paraId="318C28B8">
      <w:pPr>
        <w:spacing w:line="357" w:lineRule="auto"/>
        <w:rPr>
          <w:rFonts w:ascii="Arial"/>
          <w:sz w:val="21"/>
        </w:rPr>
      </w:pPr>
    </w:p>
    <w:p w14:paraId="54327297">
      <w:pPr>
        <w:pStyle w:val="2"/>
        <w:spacing w:before="62" w:line="296" w:lineRule="auto"/>
        <w:ind w:right="76" w:firstLine="409"/>
        <w:jc w:val="both"/>
        <w:rPr>
          <w:sz w:val="19"/>
          <w:szCs w:val="19"/>
        </w:rPr>
      </w:pPr>
      <w:r>
        <w:rPr>
          <w:spacing w:val="13"/>
          <w:sz w:val="19"/>
          <w:szCs w:val="19"/>
        </w:rPr>
        <w:t>信息系统工程建设项目投资是指为完成项目</w:t>
      </w:r>
      <w:r>
        <w:rPr>
          <w:spacing w:val="12"/>
          <w:sz w:val="19"/>
          <w:szCs w:val="19"/>
        </w:rPr>
        <w:t>建设并达到使用要求，在建设期内预计或实际</w:t>
      </w:r>
      <w:r>
        <w:rPr>
          <w:sz w:val="19"/>
          <w:szCs w:val="19"/>
        </w:rPr>
        <w:t xml:space="preserve"> </w:t>
      </w:r>
      <w:r>
        <w:rPr>
          <w:spacing w:val="13"/>
          <w:sz w:val="19"/>
          <w:szCs w:val="19"/>
        </w:rPr>
        <w:t>投入的全部费用总和。投资控制就是在项目各阶段控制经费的使用，把</w:t>
      </w:r>
      <w:r>
        <w:rPr>
          <w:spacing w:val="12"/>
          <w:sz w:val="19"/>
          <w:szCs w:val="19"/>
        </w:rPr>
        <w:t>实际投资控制在批准的</w:t>
      </w:r>
      <w:r>
        <w:rPr>
          <w:sz w:val="19"/>
          <w:szCs w:val="19"/>
        </w:rPr>
        <w:t xml:space="preserve"> </w:t>
      </w:r>
      <w:r>
        <w:rPr>
          <w:spacing w:val="13"/>
          <w:sz w:val="19"/>
          <w:szCs w:val="19"/>
        </w:rPr>
        <w:t>投资限额以内，随时纠正发生的偏差，以求在项目建设过程</w:t>
      </w:r>
      <w:r>
        <w:rPr>
          <w:spacing w:val="12"/>
          <w:sz w:val="19"/>
          <w:szCs w:val="19"/>
        </w:rPr>
        <w:t>中合理使用人力、物力、财力，取</w:t>
      </w:r>
      <w:r>
        <w:rPr>
          <w:sz w:val="19"/>
          <w:szCs w:val="19"/>
        </w:rPr>
        <w:t xml:space="preserve"> </w:t>
      </w:r>
      <w:r>
        <w:rPr>
          <w:spacing w:val="13"/>
          <w:sz w:val="19"/>
          <w:szCs w:val="19"/>
        </w:rPr>
        <w:t>得较好的投资效益和社会效益。投资控制是对信息系统工程建设项目费用全过</w:t>
      </w:r>
      <w:r>
        <w:rPr>
          <w:spacing w:val="12"/>
          <w:sz w:val="19"/>
          <w:szCs w:val="19"/>
        </w:rPr>
        <w:t>程、全方位、多</w:t>
      </w:r>
      <w:r>
        <w:rPr>
          <w:sz w:val="19"/>
          <w:szCs w:val="19"/>
        </w:rPr>
        <w:t xml:space="preserve"> </w:t>
      </w:r>
      <w:r>
        <w:rPr>
          <w:spacing w:val="3"/>
          <w:sz w:val="19"/>
          <w:szCs w:val="19"/>
        </w:rPr>
        <w:t>目标的动态控制。</w:t>
      </w:r>
    </w:p>
    <w:p w14:paraId="26B78874">
      <w:pPr>
        <w:spacing w:line="290" w:lineRule="auto"/>
        <w:rPr>
          <w:rFonts w:ascii="Arial"/>
          <w:sz w:val="21"/>
        </w:rPr>
      </w:pPr>
    </w:p>
    <w:p w14:paraId="6934F533">
      <w:pPr>
        <w:pStyle w:val="2"/>
        <w:spacing w:before="91" w:line="222" w:lineRule="auto"/>
        <w:ind w:left="3"/>
        <w:rPr>
          <w:rFonts w:ascii="黑体" w:hAnsi="黑体" w:eastAsia="黑体" w:cs="黑体"/>
          <w:sz w:val="28"/>
          <w:szCs w:val="28"/>
        </w:rPr>
      </w:pPr>
      <w:r>
        <w:rPr>
          <w:b/>
          <w:bCs/>
          <w:color w:val="0079E3"/>
          <w:spacing w:val="-12"/>
          <w:sz w:val="28"/>
          <w:szCs w:val="28"/>
        </w:rPr>
        <w:t>12.1</w:t>
      </w:r>
      <w:r>
        <w:rPr>
          <w:color w:val="0079E3"/>
          <w:spacing w:val="30"/>
          <w:sz w:val="28"/>
          <w:szCs w:val="28"/>
        </w:rPr>
        <w:t xml:space="preserve">  </w:t>
      </w:r>
      <w:r>
        <w:rPr>
          <w:rFonts w:ascii="黑体" w:hAnsi="黑体" w:eastAsia="黑体" w:cs="黑体"/>
          <w:b/>
          <w:bCs/>
          <w:color w:val="0079E3"/>
          <w:spacing w:val="-12"/>
          <w:sz w:val="28"/>
          <w:szCs w:val="28"/>
        </w:rPr>
        <w:t>投资与投资控制</w:t>
      </w:r>
    </w:p>
    <w:p w14:paraId="4EDE79B9">
      <w:pPr>
        <w:pStyle w:val="2"/>
        <w:spacing w:before="262" w:line="297" w:lineRule="auto"/>
        <w:ind w:right="58" w:firstLine="409"/>
        <w:jc w:val="both"/>
        <w:rPr>
          <w:sz w:val="19"/>
          <w:szCs w:val="19"/>
        </w:rPr>
      </w:pPr>
      <w:r>
        <w:rPr>
          <w:spacing w:val="13"/>
          <w:sz w:val="19"/>
          <w:szCs w:val="19"/>
        </w:rPr>
        <w:t>信息系统工程建设项目的投资控制是在批准的预算条件下确保项目保质按期完成，在信息</w:t>
      </w:r>
      <w:r>
        <w:rPr>
          <w:spacing w:val="5"/>
          <w:sz w:val="19"/>
          <w:szCs w:val="19"/>
        </w:rPr>
        <w:t xml:space="preserve"> </w:t>
      </w:r>
      <w:r>
        <w:rPr>
          <w:spacing w:val="13"/>
          <w:sz w:val="19"/>
          <w:szCs w:val="19"/>
        </w:rPr>
        <w:t>系统工程项目的各阶段，根据合同与计划，在满足项目质量和进度要求的前提</w:t>
      </w:r>
      <w:r>
        <w:rPr>
          <w:spacing w:val="12"/>
          <w:sz w:val="19"/>
          <w:szCs w:val="19"/>
        </w:rPr>
        <w:t>下，保证信息系</w:t>
      </w:r>
      <w:r>
        <w:rPr>
          <w:sz w:val="19"/>
          <w:szCs w:val="19"/>
        </w:rPr>
        <w:t xml:space="preserve"> </w:t>
      </w:r>
      <w:r>
        <w:rPr>
          <w:spacing w:val="13"/>
          <w:sz w:val="19"/>
          <w:szCs w:val="19"/>
        </w:rPr>
        <w:t>统工程项目的实际投资额不超过计划投资额。投资控制需要在项目投资的形成过程中，对项目</w:t>
      </w:r>
      <w:r>
        <w:rPr>
          <w:spacing w:val="12"/>
          <w:sz w:val="19"/>
          <w:szCs w:val="19"/>
        </w:rPr>
        <w:t xml:space="preserve"> </w:t>
      </w:r>
      <w:r>
        <w:rPr>
          <w:spacing w:val="13"/>
          <w:sz w:val="19"/>
          <w:szCs w:val="19"/>
        </w:rPr>
        <w:t>所消耗的人力资源、物质资源和费用开支进行指导、监督、调节和限制，</w:t>
      </w:r>
      <w:r>
        <w:rPr>
          <w:spacing w:val="12"/>
          <w:sz w:val="19"/>
          <w:szCs w:val="19"/>
        </w:rPr>
        <w:t>及时纠正即将发生和</w:t>
      </w:r>
      <w:r>
        <w:rPr>
          <w:sz w:val="19"/>
          <w:szCs w:val="19"/>
        </w:rPr>
        <w:t xml:space="preserve"> </w:t>
      </w:r>
      <w:r>
        <w:rPr>
          <w:spacing w:val="13"/>
          <w:sz w:val="19"/>
          <w:szCs w:val="19"/>
        </w:rPr>
        <w:t>已经发生的偏差，把各项项目费用控制在计划投资的范围之内，保证投资目标</w:t>
      </w:r>
      <w:r>
        <w:rPr>
          <w:spacing w:val="12"/>
          <w:sz w:val="19"/>
          <w:szCs w:val="19"/>
        </w:rPr>
        <w:t>的实现。信息系</w:t>
      </w:r>
      <w:r>
        <w:rPr>
          <w:sz w:val="19"/>
          <w:szCs w:val="19"/>
        </w:rPr>
        <w:t xml:space="preserve"> </w:t>
      </w:r>
      <w:r>
        <w:rPr>
          <w:spacing w:val="9"/>
          <w:sz w:val="19"/>
          <w:szCs w:val="19"/>
        </w:rPr>
        <w:t>统工程建设项目投资控制的目的在于降低项目成本，</w:t>
      </w:r>
      <w:r>
        <w:rPr>
          <w:spacing w:val="8"/>
          <w:sz w:val="19"/>
          <w:szCs w:val="19"/>
        </w:rPr>
        <w:t>提高经济效益。</w:t>
      </w:r>
    </w:p>
    <w:p w14:paraId="1A6F8C20">
      <w:pPr>
        <w:pStyle w:val="2"/>
        <w:spacing w:before="68" w:line="285" w:lineRule="auto"/>
        <w:ind w:right="65" w:firstLine="409"/>
        <w:jc w:val="both"/>
        <w:rPr>
          <w:sz w:val="19"/>
          <w:szCs w:val="19"/>
        </w:rPr>
      </w:pPr>
      <w:r>
        <w:rPr>
          <w:spacing w:val="13"/>
          <w:sz w:val="19"/>
          <w:szCs w:val="19"/>
        </w:rPr>
        <w:t>在信息系统工程监理过程中，不能简单地把投资控制理解为将信息系统工程建设项目实际</w:t>
      </w:r>
      <w:r>
        <w:rPr>
          <w:sz w:val="19"/>
          <w:szCs w:val="19"/>
        </w:rPr>
        <w:t xml:space="preserve"> </w:t>
      </w:r>
      <w:r>
        <w:rPr>
          <w:spacing w:val="13"/>
          <w:sz w:val="19"/>
          <w:szCs w:val="19"/>
        </w:rPr>
        <w:t>发生的投资控制在计划投资的范围内即可，而应当认识到，投资控制是与质</w:t>
      </w:r>
      <w:r>
        <w:rPr>
          <w:spacing w:val="12"/>
          <w:sz w:val="19"/>
          <w:szCs w:val="19"/>
        </w:rPr>
        <w:t>量控制和进度控制</w:t>
      </w:r>
      <w:r>
        <w:rPr>
          <w:sz w:val="19"/>
          <w:szCs w:val="19"/>
        </w:rPr>
        <w:t xml:space="preserve"> </w:t>
      </w:r>
      <w:r>
        <w:rPr>
          <w:spacing w:val="13"/>
          <w:sz w:val="19"/>
          <w:szCs w:val="19"/>
        </w:rPr>
        <w:t>同时进行的，是针对整个信息系统工程项目目标系统所实施的控制活动的一个组成部分，在实</w:t>
      </w:r>
      <w:r>
        <w:rPr>
          <w:spacing w:val="5"/>
          <w:sz w:val="19"/>
          <w:szCs w:val="19"/>
        </w:rPr>
        <w:t xml:space="preserve"> </w:t>
      </w:r>
      <w:r>
        <w:rPr>
          <w:spacing w:val="8"/>
          <w:sz w:val="19"/>
          <w:szCs w:val="19"/>
        </w:rPr>
        <w:t>现投资控制的同时需要兼顾质量最终目标和进度目标。</w:t>
      </w:r>
    </w:p>
    <w:p w14:paraId="0F5F9125">
      <w:pPr>
        <w:pStyle w:val="2"/>
        <w:spacing w:before="163" w:line="222" w:lineRule="auto"/>
        <w:ind w:left="412"/>
        <w:rPr>
          <w:rFonts w:ascii="黑体" w:hAnsi="黑体" w:eastAsia="黑体" w:cs="黑体"/>
          <w:sz w:val="19"/>
          <w:szCs w:val="19"/>
        </w:rPr>
      </w:pPr>
      <w:r>
        <w:rPr>
          <w:b/>
          <w:bCs/>
          <w:color w:val="006CCC"/>
          <w:spacing w:val="5"/>
          <w:sz w:val="19"/>
          <w:szCs w:val="19"/>
        </w:rPr>
        <w:t>1.</w:t>
      </w:r>
      <w:r>
        <w:rPr>
          <w:rFonts w:ascii="黑体" w:hAnsi="黑体" w:eastAsia="黑体" w:cs="黑体"/>
          <w:b/>
          <w:bCs/>
          <w:color w:val="006CCC"/>
          <w:spacing w:val="5"/>
          <w:sz w:val="19"/>
          <w:szCs w:val="19"/>
        </w:rPr>
        <w:t>投资控制的过程</w:t>
      </w:r>
    </w:p>
    <w:p w14:paraId="6383CD2F">
      <w:pPr>
        <w:pStyle w:val="2"/>
        <w:spacing w:before="135" w:line="285" w:lineRule="auto"/>
        <w:ind w:firstLine="409"/>
        <w:jc w:val="both"/>
        <w:rPr>
          <w:sz w:val="19"/>
          <w:szCs w:val="19"/>
        </w:rPr>
      </w:pPr>
      <w:r>
        <w:rPr>
          <w:spacing w:val="14"/>
          <w:sz w:val="19"/>
          <w:szCs w:val="19"/>
        </w:rPr>
        <w:t>项目投资主要包括对项目所需资源、设备、人力和时间的预算分配。在项目执行过程中，</w:t>
      </w:r>
      <w:r>
        <w:rPr>
          <w:spacing w:val="8"/>
          <w:sz w:val="19"/>
          <w:szCs w:val="19"/>
        </w:rPr>
        <w:t xml:space="preserve"> </w:t>
      </w:r>
      <w:r>
        <w:rPr>
          <w:spacing w:val="13"/>
          <w:sz w:val="19"/>
          <w:szCs w:val="19"/>
        </w:rPr>
        <w:t>为了实现投资目标并确保项目按照计划推进，需要管理并控制项目成本。项目成本涵盖了项目</w:t>
      </w:r>
      <w:r>
        <w:rPr>
          <w:spacing w:val="12"/>
          <w:sz w:val="19"/>
          <w:szCs w:val="19"/>
        </w:rPr>
        <w:t xml:space="preserve"> </w:t>
      </w:r>
      <w:r>
        <w:rPr>
          <w:spacing w:val="10"/>
          <w:sz w:val="19"/>
          <w:szCs w:val="19"/>
        </w:rPr>
        <w:t>各阶段的预算支出，通过有效的成本控制，能够对项目投资进行持续追踪，从而</w:t>
      </w:r>
      <w:r>
        <w:rPr>
          <w:spacing w:val="9"/>
          <w:sz w:val="19"/>
          <w:szCs w:val="19"/>
        </w:rPr>
        <w:t>提高项目效率、</w:t>
      </w:r>
      <w:r>
        <w:rPr>
          <w:sz w:val="19"/>
          <w:szCs w:val="19"/>
        </w:rPr>
        <w:t xml:space="preserve"> </w:t>
      </w:r>
      <w:r>
        <w:rPr>
          <w:spacing w:val="7"/>
          <w:sz w:val="19"/>
          <w:szCs w:val="19"/>
        </w:rPr>
        <w:t>减少浪费，并确保项目按照预期投资目标完成。</w:t>
      </w:r>
    </w:p>
    <w:p w14:paraId="42814474">
      <w:pPr>
        <w:pStyle w:val="2"/>
        <w:spacing w:before="143" w:line="222" w:lineRule="auto"/>
        <w:ind w:left="412"/>
        <w:rPr>
          <w:rFonts w:ascii="黑体" w:hAnsi="黑体" w:eastAsia="黑体" w:cs="黑体"/>
          <w:sz w:val="19"/>
          <w:szCs w:val="19"/>
        </w:rPr>
      </w:pPr>
      <w:r>
        <w:rPr>
          <w:b/>
          <w:bCs/>
          <w:color w:val="007AD8"/>
          <w:spacing w:val="7"/>
          <w:sz w:val="19"/>
          <w:szCs w:val="19"/>
        </w:rPr>
        <w:t>2.</w:t>
      </w:r>
      <w:r>
        <w:rPr>
          <w:rFonts w:ascii="黑体" w:hAnsi="黑体" w:eastAsia="黑体" w:cs="黑体"/>
          <w:b/>
          <w:bCs/>
          <w:color w:val="007AD8"/>
          <w:spacing w:val="7"/>
          <w:sz w:val="19"/>
          <w:szCs w:val="19"/>
        </w:rPr>
        <w:t>投资控制的原则</w:t>
      </w:r>
    </w:p>
    <w:p w14:paraId="10A5B30A">
      <w:pPr>
        <w:pStyle w:val="2"/>
        <w:spacing w:before="145" w:line="219" w:lineRule="auto"/>
        <w:ind w:left="409"/>
        <w:rPr>
          <w:sz w:val="19"/>
          <w:szCs w:val="19"/>
        </w:rPr>
      </w:pPr>
      <w:r>
        <w:rPr>
          <w:spacing w:val="8"/>
          <w:sz w:val="19"/>
          <w:szCs w:val="19"/>
        </w:rPr>
        <w:t>对信息系统工程建设项目进行投资控制时，应遵</w:t>
      </w:r>
      <w:r>
        <w:rPr>
          <w:spacing w:val="7"/>
          <w:sz w:val="19"/>
          <w:szCs w:val="19"/>
        </w:rPr>
        <w:t>循以下基本原则：</w:t>
      </w:r>
    </w:p>
    <w:p w14:paraId="7364965C">
      <w:pPr>
        <w:pStyle w:val="2"/>
        <w:spacing w:before="76" w:line="220" w:lineRule="auto"/>
        <w:ind w:left="409"/>
        <w:rPr>
          <w:sz w:val="19"/>
          <w:szCs w:val="19"/>
        </w:rPr>
      </w:pPr>
      <w:r>
        <w:rPr>
          <w:spacing w:val="18"/>
          <w:sz w:val="19"/>
          <w:szCs w:val="19"/>
        </w:rPr>
        <w:t>(1)系统原则。</w:t>
      </w:r>
    </w:p>
    <w:p w14:paraId="2117D4FA">
      <w:pPr>
        <w:pStyle w:val="2"/>
        <w:spacing w:before="74" w:line="296" w:lineRule="auto"/>
        <w:ind w:right="59" w:firstLine="409"/>
        <w:rPr>
          <w:sz w:val="19"/>
          <w:szCs w:val="19"/>
        </w:rPr>
      </w:pPr>
      <w:r>
        <w:rPr>
          <w:spacing w:val="12"/>
          <w:sz w:val="19"/>
          <w:szCs w:val="19"/>
        </w:rPr>
        <w:t>首先，在项目投资目标确定或论证时，应综合考虑整个目标系统的协调和统一。不仅要使</w:t>
      </w:r>
      <w:r>
        <w:rPr>
          <w:spacing w:val="10"/>
          <w:sz w:val="19"/>
          <w:szCs w:val="19"/>
        </w:rPr>
        <w:t xml:space="preserve"> </w:t>
      </w:r>
      <w:r>
        <w:rPr>
          <w:spacing w:val="13"/>
          <w:sz w:val="19"/>
          <w:szCs w:val="19"/>
        </w:rPr>
        <w:t>信息系统工程项目的投资目标满足业主的需求，还要兼顾进度目标和质量目标。这就要求在确</w:t>
      </w:r>
      <w:r>
        <w:rPr>
          <w:spacing w:val="10"/>
          <w:sz w:val="19"/>
          <w:szCs w:val="19"/>
        </w:rPr>
        <w:t xml:space="preserve"> </w:t>
      </w:r>
      <w:r>
        <w:rPr>
          <w:spacing w:val="13"/>
          <w:sz w:val="19"/>
          <w:szCs w:val="19"/>
        </w:rPr>
        <w:t>定信息系统工程目标系统时，要认真分析项目业主对信息系统工程项目</w:t>
      </w:r>
      <w:r>
        <w:rPr>
          <w:spacing w:val="12"/>
          <w:sz w:val="19"/>
          <w:szCs w:val="19"/>
        </w:rPr>
        <w:t>的整体需求，做好投资</w:t>
      </w:r>
      <w:r>
        <w:rPr>
          <w:sz w:val="19"/>
          <w:szCs w:val="19"/>
        </w:rPr>
        <w:t xml:space="preserve"> </w:t>
      </w:r>
      <w:r>
        <w:rPr>
          <w:spacing w:val="13"/>
          <w:sz w:val="19"/>
          <w:szCs w:val="19"/>
        </w:rPr>
        <w:t>目标、进度目标和质量目标三方面的反复协调工作，力</w:t>
      </w:r>
      <w:r>
        <w:rPr>
          <w:spacing w:val="12"/>
          <w:sz w:val="19"/>
          <w:szCs w:val="19"/>
        </w:rPr>
        <w:t>求优化地实现各目标之间的平衡。在进</w:t>
      </w:r>
      <w:r>
        <w:rPr>
          <w:sz w:val="19"/>
          <w:szCs w:val="19"/>
        </w:rPr>
        <w:t xml:space="preserve"> </w:t>
      </w:r>
      <w:r>
        <w:rPr>
          <w:spacing w:val="13"/>
          <w:sz w:val="19"/>
          <w:szCs w:val="19"/>
        </w:rPr>
        <w:t>行投资控制的过程中，也需要协调投资控制与质量控制、进度</w:t>
      </w:r>
      <w:r>
        <w:rPr>
          <w:spacing w:val="12"/>
          <w:sz w:val="19"/>
          <w:szCs w:val="19"/>
        </w:rPr>
        <w:t>控制的关系。投资控制的实施不</w:t>
      </w:r>
    </w:p>
    <w:p w14:paraId="7EEC16AD">
      <w:pPr>
        <w:spacing w:line="296" w:lineRule="auto"/>
        <w:rPr>
          <w:sz w:val="19"/>
          <w:szCs w:val="19"/>
        </w:rPr>
        <w:sectPr>
          <w:pgSz w:w="10280" w:h="13310"/>
          <w:pgMar w:top="400" w:right="735" w:bottom="400" w:left="1150" w:header="0" w:footer="0" w:gutter="0"/>
          <w:cols w:space="720" w:num="1"/>
        </w:sectPr>
      </w:pPr>
    </w:p>
    <w:p w14:paraId="520DA542">
      <w:pPr>
        <w:pStyle w:val="2"/>
        <w:spacing w:before="88" w:line="219" w:lineRule="auto"/>
        <w:rPr>
          <w:sz w:val="20"/>
          <w:szCs w:val="20"/>
        </w:rPr>
      </w:pPr>
      <w:r>
        <w:rPr>
          <w:rFonts w:ascii="Times New Roman" w:hAnsi="Times New Roman" w:eastAsia="Times New Roman" w:cs="Times New Roman"/>
          <w:spacing w:val="-1"/>
          <w:position w:val="1"/>
          <w:sz w:val="16"/>
          <w:szCs w:val="16"/>
        </w:rPr>
        <w:t xml:space="preserve">270                  </w:t>
      </w:r>
      <w:r>
        <w:rPr>
          <w:spacing w:val="-1"/>
          <w:sz w:val="20"/>
          <w:szCs w:val="20"/>
        </w:rPr>
        <w:t>信息系统监理师教程(第2版)</w:t>
      </w:r>
    </w:p>
    <w:p w14:paraId="4FFDC818">
      <w:pPr>
        <w:spacing w:line="303" w:lineRule="auto"/>
        <w:rPr>
          <w:rFonts w:ascii="Arial"/>
          <w:sz w:val="21"/>
        </w:rPr>
      </w:pPr>
    </w:p>
    <w:p w14:paraId="36EF381C">
      <w:pPr>
        <w:pStyle w:val="2"/>
        <w:spacing w:before="65" w:line="293" w:lineRule="auto"/>
        <w:ind w:left="359" w:right="91"/>
        <w:rPr>
          <w:sz w:val="20"/>
          <w:szCs w:val="20"/>
        </w:rPr>
      </w:pPr>
      <w:r>
        <w:rPr>
          <w:spacing w:val="3"/>
          <w:sz w:val="20"/>
          <w:szCs w:val="20"/>
        </w:rPr>
        <w:t>应以牺牲质量、进度为代价，当采取某项投资控制措施时</w:t>
      </w:r>
      <w:r>
        <w:rPr>
          <w:spacing w:val="2"/>
          <w:sz w:val="20"/>
          <w:szCs w:val="20"/>
        </w:rPr>
        <w:t>，要充分考虑这项措施是否会对其他</w:t>
      </w:r>
      <w:r>
        <w:rPr>
          <w:sz w:val="20"/>
          <w:szCs w:val="20"/>
        </w:rPr>
        <w:t xml:space="preserve"> </w:t>
      </w:r>
      <w:r>
        <w:rPr>
          <w:spacing w:val="-3"/>
          <w:sz w:val="20"/>
          <w:szCs w:val="20"/>
        </w:rPr>
        <w:t>两项目标控制产生不利影响。</w:t>
      </w:r>
    </w:p>
    <w:p w14:paraId="4E03832B">
      <w:pPr>
        <w:pStyle w:val="2"/>
        <w:spacing w:before="8" w:line="286" w:lineRule="auto"/>
        <w:ind w:left="359" w:right="19" w:firstLine="400"/>
        <w:jc w:val="both"/>
        <w:rPr>
          <w:sz w:val="20"/>
          <w:szCs w:val="20"/>
        </w:rPr>
      </w:pPr>
      <w:r>
        <w:rPr>
          <w:spacing w:val="2"/>
          <w:sz w:val="20"/>
          <w:szCs w:val="20"/>
        </w:rPr>
        <w:t>其次，项目投资涉及项目的整个周期，投资控制工作伴随项目的每一阶段，包括在项目计</w:t>
      </w:r>
      <w:r>
        <w:rPr>
          <w:spacing w:val="4"/>
          <w:sz w:val="20"/>
          <w:szCs w:val="20"/>
        </w:rPr>
        <w:t xml:space="preserve">  划阶段制订最佳的项目投资计划，按照设计要求和操作规范开发与实施，工程按时验收移交，</w:t>
      </w:r>
      <w:r>
        <w:rPr>
          <w:spacing w:val="15"/>
          <w:sz w:val="20"/>
          <w:szCs w:val="20"/>
        </w:rPr>
        <w:t xml:space="preserve"> </w:t>
      </w:r>
      <w:r>
        <w:rPr>
          <w:spacing w:val="-2"/>
          <w:sz w:val="20"/>
          <w:szCs w:val="20"/>
        </w:rPr>
        <w:t>按时办理工程结算等，使项目投资始终处于有效控制之下。</w:t>
      </w:r>
    </w:p>
    <w:p w14:paraId="52047FB7">
      <w:pPr>
        <w:pStyle w:val="2"/>
        <w:spacing w:before="17" w:line="283" w:lineRule="auto"/>
        <w:ind w:left="359" w:right="37" w:firstLine="400"/>
        <w:rPr>
          <w:sz w:val="20"/>
          <w:szCs w:val="20"/>
        </w:rPr>
      </w:pPr>
      <w:r>
        <w:rPr>
          <w:spacing w:val="2"/>
          <w:sz w:val="20"/>
          <w:szCs w:val="20"/>
        </w:rPr>
        <w:t>因此，监理工程师需要从项目系统性出发，进行综合性的工作，从多方面采取措施实施控</w:t>
      </w:r>
      <w:r>
        <w:rPr>
          <w:spacing w:val="9"/>
          <w:sz w:val="20"/>
          <w:szCs w:val="20"/>
        </w:rPr>
        <w:t xml:space="preserve"> </w:t>
      </w:r>
      <w:r>
        <w:rPr>
          <w:spacing w:val="-1"/>
          <w:sz w:val="20"/>
          <w:szCs w:val="20"/>
        </w:rPr>
        <w:t>制。除了从经济方面做好控制工作以外，还应当围绕组织、技术和合同等方面开展相应的工作。</w:t>
      </w:r>
    </w:p>
    <w:p w14:paraId="75C4B236">
      <w:pPr>
        <w:pStyle w:val="2"/>
        <w:spacing w:before="28" w:line="219" w:lineRule="auto"/>
        <w:ind w:left="760"/>
        <w:rPr>
          <w:sz w:val="20"/>
          <w:szCs w:val="20"/>
        </w:rPr>
      </w:pPr>
      <w:r>
        <w:rPr>
          <w:spacing w:val="4"/>
          <w:sz w:val="20"/>
          <w:szCs w:val="20"/>
        </w:rPr>
        <w:t>(2)投资最优化原则。</w:t>
      </w:r>
    </w:p>
    <w:p w14:paraId="7F43B99E">
      <w:pPr>
        <w:pStyle w:val="2"/>
        <w:spacing w:before="70" w:line="289" w:lineRule="auto"/>
        <w:ind w:left="359" w:right="104" w:firstLine="400"/>
        <w:rPr>
          <w:sz w:val="20"/>
          <w:szCs w:val="20"/>
        </w:rPr>
      </w:pPr>
      <w:r>
        <w:rPr>
          <w:spacing w:val="2"/>
          <w:sz w:val="20"/>
          <w:szCs w:val="20"/>
        </w:rPr>
        <w:t>信息系统工程建设项目投资控制的根本目的在于，通过各种成本管理手段，在保证项目进</w:t>
      </w:r>
      <w:r>
        <w:rPr>
          <w:spacing w:val="8"/>
          <w:sz w:val="20"/>
          <w:szCs w:val="20"/>
        </w:rPr>
        <w:t xml:space="preserve"> </w:t>
      </w:r>
      <w:r>
        <w:rPr>
          <w:sz w:val="20"/>
          <w:szCs w:val="20"/>
        </w:rPr>
        <w:t xml:space="preserve">度和质量的前提下，实现目标成本最优化。在实行成本最优化原则时应注意： </w:t>
      </w:r>
      <w:r>
        <w:rPr>
          <w:spacing w:val="-1"/>
          <w:sz w:val="20"/>
          <w:szCs w:val="20"/>
        </w:rPr>
        <w:t>一方面挖掘各种</w:t>
      </w:r>
      <w:r>
        <w:rPr>
          <w:sz w:val="20"/>
          <w:szCs w:val="20"/>
        </w:rPr>
        <w:t xml:space="preserve"> </w:t>
      </w:r>
      <w:r>
        <w:rPr>
          <w:spacing w:val="2"/>
          <w:sz w:val="20"/>
          <w:szCs w:val="20"/>
        </w:rPr>
        <w:t>降低成本的能力，使可能性变为现实；另一方面要从实际出发，制定通过主观努力可能达到的</w:t>
      </w:r>
      <w:r>
        <w:rPr>
          <w:spacing w:val="12"/>
          <w:sz w:val="20"/>
          <w:szCs w:val="20"/>
        </w:rPr>
        <w:t xml:space="preserve"> </w:t>
      </w:r>
      <w:r>
        <w:rPr>
          <w:spacing w:val="-4"/>
          <w:sz w:val="20"/>
          <w:szCs w:val="20"/>
        </w:rPr>
        <w:t>合理的最优成本水平。</w:t>
      </w:r>
    </w:p>
    <w:p w14:paraId="0CDCD009">
      <w:pPr>
        <w:pStyle w:val="2"/>
        <w:spacing w:before="29" w:line="219" w:lineRule="auto"/>
        <w:ind w:left="760"/>
        <w:rPr>
          <w:sz w:val="20"/>
          <w:szCs w:val="20"/>
        </w:rPr>
      </w:pPr>
      <w:r>
        <w:rPr>
          <w:spacing w:val="4"/>
          <w:sz w:val="20"/>
          <w:szCs w:val="20"/>
        </w:rPr>
        <w:t>(3)全面成本控制原则。</w:t>
      </w:r>
    </w:p>
    <w:p w14:paraId="26752938">
      <w:pPr>
        <w:pStyle w:val="2"/>
        <w:spacing w:before="61" w:line="292" w:lineRule="auto"/>
        <w:ind w:left="359" w:right="82" w:firstLine="400"/>
        <w:rPr>
          <w:sz w:val="16"/>
          <w:szCs w:val="16"/>
        </w:rPr>
      </w:pPr>
      <w:r>
        <w:rPr>
          <w:spacing w:val="8"/>
          <w:sz w:val="20"/>
          <w:szCs w:val="20"/>
        </w:rPr>
        <w:t>全面成本控制包括所有承建单位、项目参与人员全过程的</w:t>
      </w:r>
      <w:r>
        <w:rPr>
          <w:spacing w:val="7"/>
          <w:sz w:val="20"/>
          <w:szCs w:val="20"/>
        </w:rPr>
        <w:t>管理，项目成本的全员控制需</w:t>
      </w:r>
      <w:r>
        <w:rPr>
          <w:sz w:val="20"/>
          <w:szCs w:val="20"/>
        </w:rPr>
        <w:t xml:space="preserve"> </w:t>
      </w:r>
      <w:r>
        <w:rPr>
          <w:spacing w:val="2"/>
          <w:sz w:val="20"/>
          <w:szCs w:val="20"/>
        </w:rPr>
        <w:t>要系统的实质性内容，包括各承建单位、业主单位、监理单位等各方的责任。应防止成本控制</w:t>
      </w:r>
      <w:r>
        <w:rPr>
          <w:spacing w:val="13"/>
          <w:sz w:val="20"/>
          <w:szCs w:val="20"/>
        </w:rPr>
        <w:t xml:space="preserve"> </w:t>
      </w:r>
      <w:r>
        <w:rPr>
          <w:spacing w:val="2"/>
          <w:sz w:val="20"/>
          <w:szCs w:val="20"/>
        </w:rPr>
        <w:t>人人有责，人人不管。项目成本的全过程控制要求成本控制工作要随着项目实施进展的各个阶</w:t>
      </w:r>
      <w:r>
        <w:rPr>
          <w:spacing w:val="5"/>
          <w:sz w:val="20"/>
          <w:szCs w:val="20"/>
        </w:rPr>
        <w:t xml:space="preserve"> </w:t>
      </w:r>
      <w:r>
        <w:rPr>
          <w:spacing w:val="3"/>
          <w:sz w:val="20"/>
          <w:szCs w:val="20"/>
        </w:rPr>
        <w:t>段连续进行，既不能疏漏，又不能时紧时松，应使信息工程项目成本自始至终</w:t>
      </w:r>
      <w:r>
        <w:rPr>
          <w:spacing w:val="2"/>
          <w:sz w:val="20"/>
          <w:szCs w:val="20"/>
        </w:rPr>
        <w:t>置于有效的控制</w:t>
      </w:r>
      <w:r>
        <w:rPr>
          <w:sz w:val="20"/>
          <w:szCs w:val="20"/>
        </w:rPr>
        <w:t xml:space="preserve"> </w:t>
      </w:r>
      <w:r>
        <w:rPr>
          <w:spacing w:val="-7"/>
          <w:sz w:val="16"/>
          <w:szCs w:val="16"/>
        </w:rPr>
        <w:t>之</w:t>
      </w:r>
      <w:r>
        <w:rPr>
          <w:spacing w:val="-13"/>
          <w:sz w:val="16"/>
          <w:szCs w:val="16"/>
        </w:rPr>
        <w:t xml:space="preserve"> </w:t>
      </w:r>
      <w:r>
        <w:rPr>
          <w:spacing w:val="-7"/>
          <w:sz w:val="16"/>
          <w:szCs w:val="16"/>
        </w:rPr>
        <w:t>下</w:t>
      </w:r>
      <w:r>
        <w:rPr>
          <w:spacing w:val="-24"/>
          <w:sz w:val="16"/>
          <w:szCs w:val="16"/>
        </w:rPr>
        <w:t xml:space="preserve"> </w:t>
      </w:r>
      <w:r>
        <w:rPr>
          <w:spacing w:val="-7"/>
          <w:sz w:val="16"/>
          <w:szCs w:val="16"/>
        </w:rPr>
        <w:t>。</w:t>
      </w:r>
    </w:p>
    <w:p w14:paraId="64A5C2C9">
      <w:pPr>
        <w:pStyle w:val="2"/>
        <w:spacing w:before="65" w:line="220" w:lineRule="auto"/>
        <w:ind w:left="760"/>
        <w:rPr>
          <w:sz w:val="20"/>
          <w:szCs w:val="20"/>
        </w:rPr>
      </w:pPr>
      <w:r>
        <w:rPr>
          <w:spacing w:val="5"/>
          <w:sz w:val="20"/>
          <w:szCs w:val="20"/>
        </w:rPr>
        <w:t>(4)动态控制原则。</w:t>
      </w:r>
    </w:p>
    <w:p w14:paraId="2F920CE4">
      <w:pPr>
        <w:pStyle w:val="2"/>
        <w:spacing w:before="70" w:line="282" w:lineRule="auto"/>
        <w:ind w:left="359" w:right="106" w:firstLine="400"/>
        <w:rPr>
          <w:sz w:val="20"/>
          <w:szCs w:val="20"/>
        </w:rPr>
      </w:pPr>
      <w:r>
        <w:rPr>
          <w:spacing w:val="2"/>
          <w:sz w:val="20"/>
          <w:szCs w:val="20"/>
        </w:rPr>
        <w:t>信息系统工程建设项目成本控制应强调项目的中间控制，即动态控制，应根据各阶段工作</w:t>
      </w:r>
      <w:r>
        <w:rPr>
          <w:spacing w:val="14"/>
          <w:sz w:val="20"/>
          <w:szCs w:val="20"/>
        </w:rPr>
        <w:t xml:space="preserve"> </w:t>
      </w:r>
      <w:r>
        <w:rPr>
          <w:spacing w:val="-2"/>
          <w:sz w:val="20"/>
          <w:szCs w:val="20"/>
        </w:rPr>
        <w:t>内容的不同，动态调整控制内容，同时对所产生的偏差尽</w:t>
      </w:r>
      <w:r>
        <w:rPr>
          <w:spacing w:val="-3"/>
          <w:sz w:val="20"/>
          <w:szCs w:val="20"/>
        </w:rPr>
        <w:t>早采取措施，包括：</w:t>
      </w:r>
    </w:p>
    <w:p w14:paraId="6D90689C">
      <w:pPr>
        <w:pStyle w:val="2"/>
        <w:spacing w:before="19" w:line="262" w:lineRule="auto"/>
        <w:ind w:left="359" w:right="69" w:firstLine="400"/>
        <w:rPr>
          <w:sz w:val="20"/>
          <w:szCs w:val="20"/>
        </w:rPr>
      </w:pPr>
      <w:r>
        <w:rPr>
          <w:spacing w:val="3"/>
          <w:sz w:val="20"/>
          <w:szCs w:val="20"/>
        </w:rPr>
        <w:t>①招标及设计阶段的成本控制是确定成本目标、编制成本计划、制定成本控制的方案，为</w:t>
      </w:r>
      <w:r>
        <w:rPr>
          <w:spacing w:val="12"/>
          <w:sz w:val="20"/>
          <w:szCs w:val="20"/>
        </w:rPr>
        <w:t xml:space="preserve"> </w:t>
      </w:r>
      <w:r>
        <w:rPr>
          <w:spacing w:val="-3"/>
          <w:sz w:val="20"/>
          <w:szCs w:val="20"/>
        </w:rPr>
        <w:t>今后的成本控制做好准备。</w:t>
      </w:r>
    </w:p>
    <w:p w14:paraId="28C154CE">
      <w:pPr>
        <w:pStyle w:val="2"/>
        <w:spacing w:before="62" w:line="267" w:lineRule="auto"/>
        <w:ind w:left="359" w:right="75" w:firstLine="400"/>
        <w:rPr>
          <w:sz w:val="20"/>
          <w:szCs w:val="20"/>
        </w:rPr>
      </w:pPr>
      <w:r>
        <w:rPr>
          <w:spacing w:val="3"/>
          <w:sz w:val="20"/>
          <w:szCs w:val="20"/>
        </w:rPr>
        <w:t>②实施阶段的成本控制是根据已经制定的成本控制方案进行动态纠偏，通过偏差分析找出</w:t>
      </w:r>
      <w:r>
        <w:rPr>
          <w:spacing w:val="5"/>
          <w:sz w:val="20"/>
          <w:szCs w:val="20"/>
        </w:rPr>
        <w:t xml:space="preserve"> </w:t>
      </w:r>
      <w:r>
        <w:rPr>
          <w:spacing w:val="3"/>
          <w:sz w:val="20"/>
          <w:szCs w:val="20"/>
        </w:rPr>
        <w:t>引起偏差的原因，从而采取有针对性的纠偏措</w:t>
      </w:r>
      <w:r>
        <w:rPr>
          <w:spacing w:val="2"/>
          <w:sz w:val="20"/>
          <w:szCs w:val="20"/>
        </w:rPr>
        <w:t>施，并根据项目实施情况调整成本控制方案。纠</w:t>
      </w:r>
      <w:r>
        <w:rPr>
          <w:sz w:val="20"/>
          <w:szCs w:val="20"/>
        </w:rPr>
        <w:t xml:space="preserve"> </w:t>
      </w:r>
      <w:r>
        <w:rPr>
          <w:spacing w:val="-1"/>
          <w:sz w:val="20"/>
          <w:szCs w:val="20"/>
        </w:rPr>
        <w:t>偏可以采用组织措施、经济措施、技术措施、合同措施等。例如：公众号：项目管理课堂</w:t>
      </w:r>
    </w:p>
    <w:p w14:paraId="29FB6DA0">
      <w:pPr>
        <w:pStyle w:val="2"/>
        <w:spacing w:before="74" w:line="219" w:lineRule="auto"/>
        <w:ind w:left="760"/>
        <w:rPr>
          <w:sz w:val="20"/>
          <w:szCs w:val="20"/>
        </w:rPr>
      </w:pPr>
      <w:r>
        <w:rPr>
          <w:sz w:val="20"/>
          <w:szCs w:val="20"/>
        </w:rPr>
        <w:t>●寻找新的、更好更省的、效率更高的设计方案和实施方</w:t>
      </w:r>
      <w:r>
        <w:rPr>
          <w:spacing w:val="-1"/>
          <w:sz w:val="20"/>
          <w:szCs w:val="20"/>
        </w:rPr>
        <w:t>案；</w:t>
      </w:r>
    </w:p>
    <w:p w14:paraId="74C2437E">
      <w:pPr>
        <w:pStyle w:val="2"/>
        <w:spacing w:before="83" w:line="219" w:lineRule="auto"/>
        <w:ind w:left="760"/>
        <w:rPr>
          <w:sz w:val="20"/>
          <w:szCs w:val="20"/>
        </w:rPr>
      </w:pPr>
      <w:r>
        <w:rPr>
          <w:sz w:val="20"/>
          <w:szCs w:val="20"/>
        </w:rPr>
        <w:t>●购买部分产品或服务，而不是完全由自己开发和生产；</w:t>
      </w:r>
    </w:p>
    <w:p w14:paraId="7D65383E">
      <w:pPr>
        <w:pStyle w:val="2"/>
        <w:spacing w:before="91" w:line="219" w:lineRule="auto"/>
        <w:ind w:left="760"/>
        <w:rPr>
          <w:sz w:val="20"/>
          <w:szCs w:val="20"/>
        </w:rPr>
      </w:pPr>
      <w:r>
        <w:rPr>
          <w:sz w:val="20"/>
          <w:szCs w:val="20"/>
        </w:rPr>
        <w:t>●重新选择承建单位或供应商，但会产生风险，且选择需要时间；</w:t>
      </w:r>
    </w:p>
    <w:p w14:paraId="6914D3CF">
      <w:pPr>
        <w:pStyle w:val="2"/>
        <w:spacing w:before="74" w:line="262" w:lineRule="auto"/>
        <w:ind w:left="760" w:right="6360"/>
        <w:rPr>
          <w:sz w:val="20"/>
          <w:szCs w:val="20"/>
        </w:rPr>
      </w:pPr>
      <w:r>
        <w:rPr>
          <w:spacing w:val="4"/>
          <w:sz w:val="20"/>
          <w:szCs w:val="20"/>
        </w:rPr>
        <w:t>●变更工程范围；</w:t>
      </w:r>
      <w:r>
        <w:rPr>
          <w:spacing w:val="6"/>
          <w:sz w:val="20"/>
          <w:szCs w:val="20"/>
        </w:rPr>
        <w:t xml:space="preserve"> </w:t>
      </w:r>
      <w:r>
        <w:rPr>
          <w:spacing w:val="2"/>
          <w:sz w:val="20"/>
          <w:szCs w:val="20"/>
        </w:rPr>
        <w:t>●</w:t>
      </w:r>
      <w:r>
        <w:rPr>
          <w:spacing w:val="-49"/>
          <w:sz w:val="20"/>
          <w:szCs w:val="20"/>
        </w:rPr>
        <w:t xml:space="preserve"> </w:t>
      </w:r>
      <w:r>
        <w:rPr>
          <w:spacing w:val="2"/>
          <w:sz w:val="20"/>
          <w:szCs w:val="20"/>
        </w:rPr>
        <w:t>索赔。</w:t>
      </w:r>
    </w:p>
    <w:p w14:paraId="5EEE999C">
      <w:pPr>
        <w:pStyle w:val="2"/>
        <w:spacing w:before="79" w:line="249" w:lineRule="auto"/>
        <w:ind w:left="359" w:right="49" w:firstLine="400"/>
        <w:rPr>
          <w:sz w:val="20"/>
          <w:szCs w:val="20"/>
        </w:rPr>
      </w:pPr>
      <w:r>
        <w:rPr>
          <w:spacing w:val="4"/>
          <w:sz w:val="20"/>
          <w:szCs w:val="20"/>
        </w:rPr>
        <w:t>③竣工阶段由于成本盈亏已基本定局，即使发生了偏差，也已来不及纠正</w:t>
      </w:r>
      <w:r>
        <w:rPr>
          <w:spacing w:val="3"/>
          <w:sz w:val="20"/>
          <w:szCs w:val="20"/>
        </w:rPr>
        <w:t>，但也应尽可能</w:t>
      </w:r>
      <w:r>
        <w:rPr>
          <w:sz w:val="20"/>
          <w:szCs w:val="20"/>
        </w:rPr>
        <w:t xml:space="preserve"> </w:t>
      </w:r>
      <w:r>
        <w:rPr>
          <w:spacing w:val="-2"/>
          <w:sz w:val="20"/>
          <w:szCs w:val="20"/>
        </w:rPr>
        <w:t>将成本偏差控制到最小，总结经验教训。</w:t>
      </w:r>
    </w:p>
    <w:p w14:paraId="7DEA967F">
      <w:pPr>
        <w:pStyle w:val="2"/>
        <w:spacing w:before="64" w:line="219" w:lineRule="auto"/>
        <w:ind w:left="760"/>
        <w:rPr>
          <w:sz w:val="20"/>
          <w:szCs w:val="20"/>
        </w:rPr>
      </w:pPr>
      <w:r>
        <w:rPr>
          <w:spacing w:val="8"/>
          <w:sz w:val="20"/>
          <w:szCs w:val="20"/>
        </w:rPr>
        <w:t>(5)目标管理原则。</w:t>
      </w:r>
    </w:p>
    <w:p w14:paraId="03800421">
      <w:pPr>
        <w:pStyle w:val="2"/>
        <w:spacing w:before="72" w:line="277" w:lineRule="auto"/>
        <w:ind w:left="359" w:firstLine="400"/>
        <w:jc w:val="both"/>
        <w:rPr>
          <w:sz w:val="20"/>
          <w:szCs w:val="20"/>
        </w:rPr>
      </w:pPr>
      <w:r>
        <w:rPr>
          <w:spacing w:val="2"/>
          <w:sz w:val="20"/>
          <w:szCs w:val="20"/>
        </w:rPr>
        <w:t>当前信息系统工程项目的规模较大，</w:t>
      </w:r>
      <w:r>
        <w:rPr>
          <w:spacing w:val="-55"/>
          <w:sz w:val="20"/>
          <w:szCs w:val="20"/>
        </w:rPr>
        <w:t xml:space="preserve"> </w:t>
      </w:r>
      <w:r>
        <w:rPr>
          <w:spacing w:val="2"/>
          <w:sz w:val="20"/>
          <w:szCs w:val="20"/>
        </w:rPr>
        <w:t>一般是多个网络</w:t>
      </w:r>
      <w:r>
        <w:rPr>
          <w:spacing w:val="1"/>
          <w:sz w:val="20"/>
          <w:szCs w:val="20"/>
        </w:rPr>
        <w:t>系统、资源系统、应用系统的综合集</w:t>
      </w:r>
      <w:r>
        <w:rPr>
          <w:sz w:val="20"/>
          <w:szCs w:val="20"/>
        </w:rPr>
        <w:t xml:space="preserve">  </w:t>
      </w:r>
      <w:r>
        <w:rPr>
          <w:spacing w:val="3"/>
          <w:sz w:val="20"/>
          <w:szCs w:val="20"/>
        </w:rPr>
        <w:t>成，因此，在投资控制过程中，为了不偏离项目整体的投资控制目标，应实施目标管理。目标</w:t>
      </w:r>
      <w:r>
        <w:rPr>
          <w:spacing w:val="4"/>
          <w:sz w:val="20"/>
          <w:szCs w:val="20"/>
        </w:rPr>
        <w:t xml:space="preserve"> </w:t>
      </w:r>
      <w:r>
        <w:rPr>
          <w:spacing w:val="5"/>
          <w:sz w:val="20"/>
          <w:szCs w:val="20"/>
        </w:rPr>
        <w:t>管理是管理活动的基本技术和方法，把计划的方针、任务、目标和措施等加以</w:t>
      </w:r>
      <w:r>
        <w:rPr>
          <w:spacing w:val="4"/>
          <w:sz w:val="20"/>
          <w:szCs w:val="20"/>
        </w:rPr>
        <w:t>逐一分解落实。</w:t>
      </w:r>
    </w:p>
    <w:p w14:paraId="5D929E97">
      <w:pPr>
        <w:spacing w:line="277" w:lineRule="auto"/>
        <w:rPr>
          <w:sz w:val="20"/>
          <w:szCs w:val="20"/>
        </w:rPr>
        <w:sectPr>
          <w:pgSz w:w="10300" w:h="13390"/>
          <w:pgMar w:top="400" w:right="1050" w:bottom="400" w:left="489" w:header="0" w:footer="0" w:gutter="0"/>
          <w:cols w:space="720" w:num="1"/>
        </w:sectPr>
      </w:pPr>
    </w:p>
    <w:p w14:paraId="25D0D632">
      <w:pPr>
        <w:pStyle w:val="2"/>
        <w:spacing w:before="97" w:line="207" w:lineRule="auto"/>
        <w:jc w:val="right"/>
        <w:rPr>
          <w:rFonts w:ascii="Times New Roman" w:hAnsi="Times New Roman" w:eastAsia="Times New Roman" w:cs="Times New Roman"/>
          <w:sz w:val="32"/>
          <w:szCs w:val="32"/>
        </w:rPr>
      </w:pPr>
      <w:r>
        <w:drawing>
          <wp:anchor distT="0" distB="0" distL="0" distR="0" simplePos="0" relativeHeight="251759616" behindDoc="1" locked="0" layoutInCell="1" allowOverlap="1">
            <wp:simplePos x="0" y="0"/>
            <wp:positionH relativeFrom="column">
              <wp:posOffset>5010150</wp:posOffset>
            </wp:positionH>
            <wp:positionV relativeFrom="paragraph">
              <wp:posOffset>19050</wp:posOffset>
            </wp:positionV>
            <wp:extent cx="273050" cy="19685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87"/>
                    <a:stretch>
                      <a:fillRect/>
                    </a:stretch>
                  </pic:blipFill>
                  <pic:spPr>
                    <a:xfrm>
                      <a:off x="0" y="0"/>
                      <a:ext cx="273065" cy="196843"/>
                    </a:xfrm>
                    <a:prstGeom prst="rect">
                      <a:avLst/>
                    </a:prstGeom>
                  </pic:spPr>
                </pic:pic>
              </a:graphicData>
            </a:graphic>
          </wp:anchor>
        </w:drawing>
      </w:r>
      <w:bookmarkStart w:id="631" w:name="bookmark616"/>
      <w:bookmarkEnd w:id="631"/>
      <w:r>
        <w:rPr>
          <w:position w:val="2"/>
          <w:sz w:val="20"/>
          <w:szCs w:val="20"/>
        </w:rPr>
        <w:t>第12章</w:t>
      </w:r>
      <w:r>
        <w:rPr>
          <w:spacing w:val="22"/>
          <w:position w:val="2"/>
          <w:sz w:val="20"/>
          <w:szCs w:val="20"/>
        </w:rPr>
        <w:t xml:space="preserve"> </w:t>
      </w:r>
      <w:r>
        <w:rPr>
          <w:position w:val="2"/>
          <w:sz w:val="20"/>
          <w:szCs w:val="20"/>
        </w:rPr>
        <w:t>投资控制</w:t>
      </w:r>
      <w:r>
        <w:rPr>
          <w:spacing w:val="14"/>
          <w:position w:val="2"/>
          <w:sz w:val="20"/>
          <w:szCs w:val="20"/>
        </w:rPr>
        <w:t xml:space="preserve">   </w:t>
      </w:r>
      <w:r>
        <w:rPr>
          <w:rFonts w:ascii="Times New Roman" w:hAnsi="Times New Roman" w:eastAsia="Times New Roman" w:cs="Times New Roman"/>
          <w:color w:val="0088E3"/>
          <w:position w:val="-4"/>
          <w:sz w:val="32"/>
          <w:szCs w:val="32"/>
        </w:rPr>
        <w:t>7</w:t>
      </w:r>
      <w:r>
        <w:rPr>
          <w:rFonts w:ascii="Times New Roman" w:hAnsi="Times New Roman" w:eastAsia="Times New Roman" w:cs="Times New Roman"/>
          <w:color w:val="0088E3"/>
          <w:spacing w:val="33"/>
          <w:position w:val="-4"/>
          <w:sz w:val="32"/>
          <w:szCs w:val="32"/>
        </w:rPr>
        <w:t xml:space="preserve"> </w:t>
      </w:r>
      <w:r>
        <w:rPr>
          <w:rFonts w:ascii="Times New Roman" w:hAnsi="Times New Roman" w:eastAsia="Times New Roman" w:cs="Times New Roman"/>
          <w:spacing w:val="-36"/>
          <w:position w:val="-4"/>
          <w:sz w:val="32"/>
          <w:szCs w:val="32"/>
        </w:rPr>
        <w:t>271</w:t>
      </w:r>
    </w:p>
    <w:p w14:paraId="739674E9">
      <w:pPr>
        <w:pStyle w:val="2"/>
        <w:spacing w:before="273" w:line="219" w:lineRule="auto"/>
        <w:rPr>
          <w:sz w:val="20"/>
          <w:szCs w:val="20"/>
        </w:rPr>
      </w:pPr>
      <w:r>
        <w:rPr>
          <w:spacing w:val="-2"/>
          <w:sz w:val="20"/>
          <w:szCs w:val="20"/>
        </w:rPr>
        <w:t>在实施目标管理的过程中，目标的设定应切实可行。</w:t>
      </w:r>
    </w:p>
    <w:p w14:paraId="4B34448E">
      <w:pPr>
        <w:pStyle w:val="2"/>
        <w:spacing w:before="72" w:line="289" w:lineRule="auto"/>
        <w:ind w:right="370" w:firstLine="410"/>
        <w:rPr>
          <w:sz w:val="20"/>
          <w:szCs w:val="20"/>
        </w:rPr>
      </w:pPr>
      <w:r>
        <w:rPr>
          <w:spacing w:val="-1"/>
          <w:sz w:val="20"/>
          <w:szCs w:val="20"/>
        </w:rPr>
        <w:t>目标管理的内容包括：目标的设定和分解，目标的责任到位和执</w:t>
      </w:r>
      <w:r>
        <w:rPr>
          <w:spacing w:val="-2"/>
          <w:sz w:val="20"/>
          <w:szCs w:val="20"/>
        </w:rPr>
        <w:t>行，检查目标的执行结果，</w:t>
      </w:r>
      <w:r>
        <w:rPr>
          <w:sz w:val="20"/>
          <w:szCs w:val="20"/>
        </w:rPr>
        <w:t xml:space="preserve"> </w:t>
      </w:r>
      <w:r>
        <w:rPr>
          <w:spacing w:val="-1"/>
          <w:sz w:val="20"/>
          <w:szCs w:val="20"/>
        </w:rPr>
        <w:t>评价目标和修正目标，形成目标管理的计划、实施、检查、</w:t>
      </w:r>
      <w:r>
        <w:rPr>
          <w:spacing w:val="-2"/>
          <w:sz w:val="20"/>
          <w:szCs w:val="20"/>
        </w:rPr>
        <w:t>处理循环。</w:t>
      </w:r>
    </w:p>
    <w:p w14:paraId="6BF6FE00">
      <w:pPr>
        <w:pStyle w:val="2"/>
        <w:spacing w:before="13" w:line="219" w:lineRule="auto"/>
        <w:ind w:left="410"/>
        <w:rPr>
          <w:sz w:val="20"/>
          <w:szCs w:val="20"/>
        </w:rPr>
      </w:pPr>
      <w:r>
        <w:rPr>
          <w:spacing w:val="4"/>
          <w:sz w:val="20"/>
          <w:szCs w:val="20"/>
        </w:rPr>
        <w:t>(6)责、权、利相结合原则。</w:t>
      </w:r>
    </w:p>
    <w:p w14:paraId="4038D193">
      <w:pPr>
        <w:pStyle w:val="2"/>
        <w:spacing w:before="70" w:line="303" w:lineRule="auto"/>
        <w:ind w:right="395" w:firstLine="410"/>
        <w:rPr>
          <w:sz w:val="16"/>
          <w:szCs w:val="16"/>
        </w:rPr>
      </w:pPr>
      <w:r>
        <w:rPr>
          <w:spacing w:val="3"/>
          <w:sz w:val="20"/>
          <w:szCs w:val="20"/>
        </w:rPr>
        <w:t>在项目实施过程中，承建单位、业主单位和监理单位在肩负成本监督控制责任的同时，享</w:t>
      </w:r>
      <w:r>
        <w:rPr>
          <w:sz w:val="20"/>
          <w:szCs w:val="20"/>
        </w:rPr>
        <w:t xml:space="preserve"> </w:t>
      </w:r>
      <w:r>
        <w:rPr>
          <w:spacing w:val="3"/>
          <w:sz w:val="20"/>
          <w:szCs w:val="20"/>
        </w:rPr>
        <w:t>有成本监督控制的权利，同时承建单位的项目经理要对各小组在成本控制中的业绩进行定期的</w:t>
      </w:r>
      <w:r>
        <w:rPr>
          <w:spacing w:val="11"/>
          <w:sz w:val="20"/>
          <w:szCs w:val="20"/>
        </w:rPr>
        <w:t xml:space="preserve"> </w:t>
      </w:r>
      <w:r>
        <w:rPr>
          <w:spacing w:val="8"/>
          <w:sz w:val="20"/>
          <w:szCs w:val="20"/>
        </w:rPr>
        <w:t>检查和考评，实行有奖有罚。只有真正做好责、权、利相结合的成本控制，才能收到预期的</w:t>
      </w:r>
      <w:r>
        <w:rPr>
          <w:spacing w:val="14"/>
          <w:sz w:val="20"/>
          <w:szCs w:val="20"/>
        </w:rPr>
        <w:t xml:space="preserve"> </w:t>
      </w:r>
      <w:r>
        <w:rPr>
          <w:spacing w:val="-7"/>
          <w:sz w:val="16"/>
          <w:szCs w:val="16"/>
        </w:rPr>
        <w:t>效</w:t>
      </w:r>
      <w:r>
        <w:rPr>
          <w:spacing w:val="-14"/>
          <w:sz w:val="16"/>
          <w:szCs w:val="16"/>
        </w:rPr>
        <w:t xml:space="preserve"> </w:t>
      </w:r>
      <w:r>
        <w:rPr>
          <w:spacing w:val="-7"/>
          <w:sz w:val="16"/>
          <w:szCs w:val="16"/>
        </w:rPr>
        <w:t>果</w:t>
      </w:r>
      <w:r>
        <w:rPr>
          <w:spacing w:val="-23"/>
          <w:sz w:val="16"/>
          <w:szCs w:val="16"/>
        </w:rPr>
        <w:t xml:space="preserve"> </w:t>
      </w:r>
      <w:r>
        <w:rPr>
          <w:spacing w:val="-7"/>
          <w:sz w:val="16"/>
          <w:szCs w:val="16"/>
        </w:rPr>
        <w:t>。</w:t>
      </w:r>
    </w:p>
    <w:p w14:paraId="26C25905">
      <w:pPr>
        <w:pStyle w:val="2"/>
        <w:spacing w:before="35" w:line="219" w:lineRule="auto"/>
        <w:ind w:left="410"/>
        <w:rPr>
          <w:sz w:val="20"/>
          <w:szCs w:val="20"/>
        </w:rPr>
      </w:pPr>
      <w:r>
        <w:rPr>
          <w:spacing w:val="5"/>
          <w:sz w:val="20"/>
          <w:szCs w:val="20"/>
        </w:rPr>
        <w:t>(7)微观控制原则。</w:t>
      </w:r>
    </w:p>
    <w:p w14:paraId="12C0ADF5">
      <w:pPr>
        <w:pStyle w:val="2"/>
        <w:spacing w:before="55" w:line="302" w:lineRule="auto"/>
        <w:ind w:right="381" w:firstLine="410"/>
        <w:rPr>
          <w:sz w:val="16"/>
          <w:szCs w:val="16"/>
        </w:rPr>
      </w:pPr>
      <w:r>
        <w:rPr>
          <w:spacing w:val="3"/>
          <w:sz w:val="20"/>
          <w:szCs w:val="20"/>
        </w:rPr>
        <w:t>信息系统工程监理是一种微观性的监督管理工作，投资控制也是一种微观性的工作，其着</w:t>
      </w:r>
      <w:r>
        <w:rPr>
          <w:spacing w:val="2"/>
          <w:sz w:val="20"/>
          <w:szCs w:val="20"/>
        </w:rPr>
        <w:t xml:space="preserve"> </w:t>
      </w:r>
      <w:r>
        <w:rPr>
          <w:spacing w:val="3"/>
          <w:sz w:val="20"/>
          <w:szCs w:val="20"/>
        </w:rPr>
        <w:t>眼点并不是关于项目的投资方向、投资结构、资金筹措方</w:t>
      </w:r>
      <w:r>
        <w:rPr>
          <w:spacing w:val="2"/>
          <w:sz w:val="20"/>
          <w:szCs w:val="20"/>
        </w:rPr>
        <w:t>式和渠道，监理工程师要从工程的每</w:t>
      </w:r>
      <w:r>
        <w:rPr>
          <w:sz w:val="20"/>
          <w:szCs w:val="20"/>
        </w:rPr>
        <w:t xml:space="preserve"> </w:t>
      </w:r>
      <w:r>
        <w:rPr>
          <w:spacing w:val="3"/>
          <w:sz w:val="20"/>
          <w:szCs w:val="20"/>
        </w:rPr>
        <w:t>个单项工程或活动开始，</w:t>
      </w:r>
      <w:r>
        <w:rPr>
          <w:spacing w:val="-53"/>
          <w:sz w:val="20"/>
          <w:szCs w:val="20"/>
        </w:rPr>
        <w:t xml:space="preserve"> </w:t>
      </w:r>
      <w:r>
        <w:rPr>
          <w:spacing w:val="3"/>
          <w:sz w:val="20"/>
          <w:szCs w:val="20"/>
        </w:rPr>
        <w:t>一步一步地进行循</w:t>
      </w:r>
      <w:r>
        <w:rPr>
          <w:spacing w:val="2"/>
          <w:sz w:val="20"/>
          <w:szCs w:val="20"/>
        </w:rPr>
        <w:t>环控制。从小处着手，放眼整个项目，实施全面投</w:t>
      </w:r>
      <w:r>
        <w:rPr>
          <w:sz w:val="20"/>
          <w:szCs w:val="20"/>
        </w:rPr>
        <w:t xml:space="preserve"> </w:t>
      </w:r>
      <w:r>
        <w:rPr>
          <w:spacing w:val="-7"/>
          <w:sz w:val="16"/>
          <w:szCs w:val="16"/>
        </w:rPr>
        <w:t>资</w:t>
      </w:r>
      <w:r>
        <w:rPr>
          <w:spacing w:val="-25"/>
          <w:sz w:val="16"/>
          <w:szCs w:val="16"/>
        </w:rPr>
        <w:t xml:space="preserve"> </w:t>
      </w:r>
      <w:r>
        <w:rPr>
          <w:spacing w:val="-7"/>
          <w:sz w:val="16"/>
          <w:szCs w:val="16"/>
        </w:rPr>
        <w:t>控</w:t>
      </w:r>
      <w:r>
        <w:rPr>
          <w:spacing w:val="-24"/>
          <w:sz w:val="16"/>
          <w:szCs w:val="16"/>
        </w:rPr>
        <w:t xml:space="preserve"> </w:t>
      </w:r>
      <w:r>
        <w:rPr>
          <w:spacing w:val="-7"/>
          <w:sz w:val="16"/>
          <w:szCs w:val="16"/>
        </w:rPr>
        <w:t>制</w:t>
      </w:r>
      <w:r>
        <w:rPr>
          <w:spacing w:val="-31"/>
          <w:sz w:val="16"/>
          <w:szCs w:val="16"/>
        </w:rPr>
        <w:t xml:space="preserve"> </w:t>
      </w:r>
      <w:r>
        <w:rPr>
          <w:spacing w:val="-7"/>
          <w:sz w:val="16"/>
          <w:szCs w:val="16"/>
        </w:rPr>
        <w:t>。</w:t>
      </w:r>
    </w:p>
    <w:p w14:paraId="3952FB0C">
      <w:pPr>
        <w:pStyle w:val="2"/>
        <w:spacing w:before="36" w:line="220" w:lineRule="auto"/>
        <w:ind w:left="410"/>
        <w:rPr>
          <w:sz w:val="20"/>
          <w:szCs w:val="20"/>
        </w:rPr>
      </w:pPr>
      <w:r>
        <w:rPr>
          <w:spacing w:val="5"/>
          <w:sz w:val="20"/>
          <w:szCs w:val="20"/>
        </w:rPr>
        <w:t>(8)设计监理原则。</w:t>
      </w:r>
    </w:p>
    <w:p w14:paraId="5025696D">
      <w:pPr>
        <w:pStyle w:val="2"/>
        <w:spacing w:before="60" w:line="280" w:lineRule="auto"/>
        <w:ind w:right="402" w:firstLine="410"/>
        <w:rPr>
          <w:sz w:val="20"/>
          <w:szCs w:val="20"/>
        </w:rPr>
      </w:pPr>
      <w:r>
        <w:rPr>
          <w:spacing w:val="3"/>
          <w:sz w:val="20"/>
          <w:szCs w:val="20"/>
        </w:rPr>
        <w:t>在项目规划和设计阶段，对各项业务进行建模，将业务模型转化成逻辑模型，再将逻辑模</w:t>
      </w:r>
      <w:r>
        <w:rPr>
          <w:sz w:val="20"/>
          <w:szCs w:val="20"/>
        </w:rPr>
        <w:t xml:space="preserve"> </w:t>
      </w:r>
      <w:r>
        <w:rPr>
          <w:spacing w:val="3"/>
          <w:sz w:val="20"/>
          <w:szCs w:val="20"/>
        </w:rPr>
        <w:t>型转化成功能模型、数据模型。建模的过程就是量化的过程，根据定量分析要实现的模块的数</w:t>
      </w:r>
      <w:r>
        <w:rPr>
          <w:spacing w:val="4"/>
          <w:sz w:val="20"/>
          <w:szCs w:val="20"/>
        </w:rPr>
        <w:t xml:space="preserve"> </w:t>
      </w:r>
      <w:r>
        <w:rPr>
          <w:spacing w:val="3"/>
          <w:sz w:val="20"/>
          <w:szCs w:val="20"/>
        </w:rPr>
        <w:t xml:space="preserve">量计算出其成本，进而就计算出了投资。所以，对信息系统工程项目的规划和设计阶段的监理 </w:t>
      </w:r>
      <w:r>
        <w:rPr>
          <w:spacing w:val="-4"/>
          <w:sz w:val="20"/>
          <w:szCs w:val="20"/>
        </w:rPr>
        <w:t>也是控制投资的重要环节。</w:t>
      </w:r>
    </w:p>
    <w:p w14:paraId="1B776E9B">
      <w:pPr>
        <w:pStyle w:val="2"/>
        <w:spacing w:before="133" w:line="222" w:lineRule="auto"/>
        <w:ind w:left="412"/>
        <w:rPr>
          <w:rFonts w:ascii="黑体" w:hAnsi="黑体" w:eastAsia="黑体" w:cs="黑体"/>
          <w:sz w:val="20"/>
          <w:szCs w:val="20"/>
        </w:rPr>
      </w:pPr>
      <w:r>
        <w:rPr>
          <w:b/>
          <w:bCs/>
          <w:color w:val="006AD5"/>
          <w:spacing w:val="-1"/>
          <w:sz w:val="20"/>
          <w:szCs w:val="20"/>
        </w:rPr>
        <w:t>3.</w:t>
      </w:r>
      <w:r>
        <w:rPr>
          <w:rFonts w:ascii="黑体" w:hAnsi="黑体" w:eastAsia="黑体" w:cs="黑体"/>
          <w:b/>
          <w:bCs/>
          <w:color w:val="006AD5"/>
          <w:spacing w:val="-1"/>
          <w:sz w:val="20"/>
          <w:szCs w:val="20"/>
        </w:rPr>
        <w:t>投资控制的必要性</w:t>
      </w:r>
    </w:p>
    <w:p w14:paraId="16EC6C5A">
      <w:pPr>
        <w:pStyle w:val="2"/>
        <w:spacing w:before="153" w:line="281" w:lineRule="auto"/>
        <w:ind w:right="330" w:firstLine="410"/>
        <w:jc w:val="both"/>
        <w:rPr>
          <w:sz w:val="20"/>
          <w:szCs w:val="20"/>
        </w:rPr>
      </w:pPr>
      <w:r>
        <w:rPr>
          <w:spacing w:val="3"/>
          <w:sz w:val="20"/>
          <w:szCs w:val="20"/>
        </w:rPr>
        <w:t>项目的投资受工期、建设地点、招标方式、建设任务发包方式、项目规模、项目特点、项</w:t>
      </w:r>
      <w:r>
        <w:rPr>
          <w:spacing w:val="4"/>
          <w:sz w:val="20"/>
          <w:szCs w:val="20"/>
        </w:rPr>
        <w:t xml:space="preserve"> </w:t>
      </w:r>
      <w:r>
        <w:rPr>
          <w:sz w:val="20"/>
          <w:szCs w:val="20"/>
        </w:rPr>
        <w:t xml:space="preserve">目质量水平等因素的影响，通过投资控制，使业主单位能够确实掌握成本，规划资金运用流程， </w:t>
      </w:r>
      <w:r>
        <w:rPr>
          <w:spacing w:val="3"/>
          <w:sz w:val="20"/>
          <w:szCs w:val="20"/>
        </w:rPr>
        <w:t>拟定预防措施，获得预期投资效益。使项目建设成本在预定的时间及预算内达成，将使业主单</w:t>
      </w:r>
      <w:r>
        <w:rPr>
          <w:spacing w:val="5"/>
          <w:sz w:val="20"/>
          <w:szCs w:val="20"/>
        </w:rPr>
        <w:t xml:space="preserve"> 位减少不必要的成本支出及银行贷款利息等负担，使承建单位的项目投入资源的</w:t>
      </w:r>
      <w:r>
        <w:rPr>
          <w:spacing w:val="4"/>
          <w:sz w:val="20"/>
          <w:szCs w:val="20"/>
        </w:rPr>
        <w:t>利用率提高，</w:t>
      </w:r>
      <w:r>
        <w:rPr>
          <w:sz w:val="20"/>
          <w:szCs w:val="20"/>
        </w:rPr>
        <w:t xml:space="preserve"> </w:t>
      </w:r>
      <w:r>
        <w:rPr>
          <w:spacing w:val="-4"/>
          <w:sz w:val="20"/>
          <w:szCs w:val="20"/>
        </w:rPr>
        <w:t>获得较好的经济效益。</w:t>
      </w:r>
    </w:p>
    <w:p w14:paraId="0F24D911">
      <w:pPr>
        <w:spacing w:line="263" w:lineRule="auto"/>
        <w:rPr>
          <w:rFonts w:ascii="Arial"/>
          <w:sz w:val="21"/>
        </w:rPr>
      </w:pPr>
    </w:p>
    <w:p w14:paraId="0FFE232E">
      <w:pPr>
        <w:pStyle w:val="2"/>
        <w:spacing w:before="91" w:line="222" w:lineRule="auto"/>
        <w:ind w:left="4"/>
        <w:rPr>
          <w:rFonts w:ascii="黑体" w:hAnsi="黑体" w:eastAsia="黑体" w:cs="黑体"/>
          <w:sz w:val="28"/>
          <w:szCs w:val="28"/>
        </w:rPr>
      </w:pPr>
      <w:r>
        <w:rPr>
          <w:b/>
          <w:bCs/>
          <w:color w:val="0069E1"/>
          <w:spacing w:val="-5"/>
          <w:sz w:val="28"/>
          <w:szCs w:val="28"/>
        </w:rPr>
        <w:t>12.2</w:t>
      </w:r>
      <w:r>
        <w:rPr>
          <w:color w:val="0069E1"/>
          <w:spacing w:val="-5"/>
          <w:sz w:val="28"/>
          <w:szCs w:val="28"/>
        </w:rPr>
        <w:t xml:space="preserve">  </w:t>
      </w:r>
      <w:r>
        <w:rPr>
          <w:rFonts w:ascii="黑体" w:hAnsi="黑体" w:eastAsia="黑体" w:cs="黑体"/>
          <w:b/>
          <w:bCs/>
          <w:color w:val="0069E1"/>
          <w:spacing w:val="-5"/>
          <w:sz w:val="28"/>
          <w:szCs w:val="28"/>
        </w:rPr>
        <w:t>投资控制过程</w:t>
      </w:r>
    </w:p>
    <w:p w14:paraId="5ED7F304">
      <w:pPr>
        <w:pStyle w:val="2"/>
        <w:spacing w:before="265" w:line="273" w:lineRule="auto"/>
        <w:ind w:right="401" w:firstLine="410"/>
        <w:rPr>
          <w:sz w:val="20"/>
          <w:szCs w:val="20"/>
        </w:rPr>
      </w:pPr>
      <w:r>
        <w:rPr>
          <w:spacing w:val="3"/>
          <w:sz w:val="20"/>
          <w:szCs w:val="20"/>
        </w:rPr>
        <w:t>在项目建设阶段，投资控制过程体现为成本控制过程，包括规划成本管理、成本估算、成</w:t>
      </w:r>
      <w:r>
        <w:rPr>
          <w:spacing w:val="1"/>
          <w:sz w:val="20"/>
          <w:szCs w:val="20"/>
        </w:rPr>
        <w:t xml:space="preserve"> </w:t>
      </w:r>
      <w:r>
        <w:rPr>
          <w:spacing w:val="-4"/>
          <w:sz w:val="20"/>
          <w:szCs w:val="20"/>
        </w:rPr>
        <w:t>本预算和成本控制。</w:t>
      </w:r>
    </w:p>
    <w:p w14:paraId="5C844B09">
      <w:pPr>
        <w:pStyle w:val="2"/>
        <w:spacing w:before="177" w:line="219" w:lineRule="auto"/>
        <w:ind w:left="2"/>
        <w:rPr>
          <w:sz w:val="25"/>
          <w:szCs w:val="25"/>
        </w:rPr>
      </w:pPr>
      <w:r>
        <w:rPr>
          <w:b/>
          <w:bCs/>
          <w:color w:val="005ECB"/>
          <w:spacing w:val="-18"/>
          <w:sz w:val="25"/>
          <w:szCs w:val="25"/>
        </w:rPr>
        <w:t>12.2.1</w:t>
      </w:r>
      <w:r>
        <w:rPr>
          <w:color w:val="005ECB"/>
          <w:spacing w:val="106"/>
          <w:sz w:val="25"/>
          <w:szCs w:val="25"/>
        </w:rPr>
        <w:t xml:space="preserve"> </w:t>
      </w:r>
      <w:r>
        <w:rPr>
          <w:b/>
          <w:bCs/>
          <w:color w:val="005ECB"/>
          <w:spacing w:val="-18"/>
          <w:sz w:val="25"/>
          <w:szCs w:val="25"/>
        </w:rPr>
        <w:t>规划成本管理</w:t>
      </w:r>
    </w:p>
    <w:p w14:paraId="52FCBEC6">
      <w:pPr>
        <w:pStyle w:val="2"/>
        <w:spacing w:before="154" w:line="283" w:lineRule="auto"/>
        <w:ind w:right="379" w:firstLine="410"/>
        <w:rPr>
          <w:sz w:val="20"/>
          <w:szCs w:val="20"/>
        </w:rPr>
      </w:pPr>
      <w:r>
        <w:rPr>
          <w:spacing w:val="4"/>
          <w:sz w:val="20"/>
          <w:szCs w:val="20"/>
        </w:rPr>
        <w:t>规划成本管理是确定如何估算、预算、管理、监督和</w:t>
      </w:r>
      <w:r>
        <w:rPr>
          <w:spacing w:val="3"/>
          <w:sz w:val="20"/>
          <w:szCs w:val="20"/>
        </w:rPr>
        <w:t>控制项目成本的过程，并形成成本管</w:t>
      </w:r>
      <w:r>
        <w:rPr>
          <w:sz w:val="20"/>
          <w:szCs w:val="20"/>
        </w:rPr>
        <w:t xml:space="preserve"> </w:t>
      </w:r>
      <w:r>
        <w:rPr>
          <w:spacing w:val="-2"/>
          <w:sz w:val="20"/>
          <w:szCs w:val="20"/>
        </w:rPr>
        <w:t>理计划，在整个项目期间为管理项目成本提供指南和方向。</w:t>
      </w:r>
    </w:p>
    <w:p w14:paraId="20E563B0">
      <w:pPr>
        <w:pStyle w:val="2"/>
        <w:spacing w:before="95" w:line="222" w:lineRule="auto"/>
        <w:ind w:left="412"/>
        <w:rPr>
          <w:rFonts w:ascii="黑体" w:hAnsi="黑体" w:eastAsia="黑体" w:cs="黑体"/>
          <w:sz w:val="20"/>
          <w:szCs w:val="20"/>
        </w:rPr>
      </w:pPr>
      <w:r>
        <w:rPr>
          <w:b/>
          <w:bCs/>
          <w:color w:val="1277EB"/>
          <w:spacing w:val="-4"/>
          <w:sz w:val="20"/>
          <w:szCs w:val="20"/>
        </w:rPr>
        <w:t>1.</w:t>
      </w:r>
      <w:r>
        <w:rPr>
          <w:rFonts w:ascii="黑体" w:hAnsi="黑体" w:eastAsia="黑体" w:cs="黑体"/>
          <w:b/>
          <w:bCs/>
          <w:color w:val="1277EB"/>
          <w:spacing w:val="-4"/>
          <w:sz w:val="20"/>
          <w:szCs w:val="20"/>
        </w:rPr>
        <w:t>规划成本管理的依据</w:t>
      </w:r>
    </w:p>
    <w:p w14:paraId="70E8803A">
      <w:pPr>
        <w:pStyle w:val="2"/>
        <w:spacing w:before="142" w:line="219" w:lineRule="auto"/>
        <w:ind w:left="410"/>
        <w:rPr>
          <w:sz w:val="20"/>
          <w:szCs w:val="20"/>
        </w:rPr>
      </w:pPr>
      <w:r>
        <w:rPr>
          <w:spacing w:val="-4"/>
          <w:sz w:val="20"/>
          <w:szCs w:val="20"/>
        </w:rPr>
        <w:t>规划成本管理的依据具体包括：</w:t>
      </w:r>
    </w:p>
    <w:p w14:paraId="085230E7">
      <w:pPr>
        <w:pStyle w:val="2"/>
        <w:spacing w:before="53" w:line="219" w:lineRule="auto"/>
        <w:ind w:left="410"/>
        <w:rPr>
          <w:sz w:val="20"/>
          <w:szCs w:val="20"/>
        </w:rPr>
      </w:pPr>
      <w:r>
        <w:rPr>
          <w:spacing w:val="6"/>
          <w:sz w:val="20"/>
          <w:szCs w:val="20"/>
        </w:rPr>
        <w:t>(1)项目章程。项目章程规定了预先批准的项目投资，可据此确定详细的项目成本。项目</w:t>
      </w:r>
    </w:p>
    <w:p w14:paraId="3C8AC6BE">
      <w:pPr>
        <w:spacing w:line="219" w:lineRule="auto"/>
        <w:rPr>
          <w:sz w:val="20"/>
          <w:szCs w:val="20"/>
        </w:rPr>
        <w:sectPr>
          <w:pgSz w:w="10300" w:h="13310"/>
          <w:pgMar w:top="400" w:right="499" w:bottom="400" w:left="1069" w:header="0" w:footer="0" w:gutter="0"/>
          <w:cols w:space="720" w:num="1"/>
        </w:sectPr>
      </w:pPr>
    </w:p>
    <w:p w14:paraId="2D496345">
      <w:pPr>
        <w:pStyle w:val="2"/>
        <w:spacing w:before="88" w:line="219" w:lineRule="auto"/>
        <w:rPr>
          <w:sz w:val="20"/>
          <w:szCs w:val="20"/>
        </w:rPr>
      </w:pPr>
      <w:r>
        <w:rPr>
          <w:rFonts w:ascii="Times New Roman" w:hAnsi="Times New Roman" w:eastAsia="Times New Roman" w:cs="Times New Roman"/>
          <w:spacing w:val="-4"/>
          <w:position w:val="1"/>
          <w:sz w:val="16"/>
          <w:szCs w:val="16"/>
        </w:rPr>
        <w:t>272</w:t>
      </w:r>
      <w:r>
        <w:rPr>
          <w:rFonts w:ascii="Times New Roman" w:hAnsi="Times New Roman" w:eastAsia="Times New Roman" w:cs="Times New Roman"/>
          <w:spacing w:val="1"/>
          <w:position w:val="1"/>
          <w:sz w:val="16"/>
          <w:szCs w:val="16"/>
        </w:rPr>
        <w:t xml:space="preserve">                  </w:t>
      </w:r>
      <w:r>
        <w:rPr>
          <w:spacing w:val="-4"/>
          <w:sz w:val="20"/>
          <w:szCs w:val="20"/>
        </w:rPr>
        <w:t>信息系统监理师教程(第2版)</w:t>
      </w:r>
    </w:p>
    <w:p w14:paraId="4B8F76FA">
      <w:pPr>
        <w:spacing w:line="324" w:lineRule="auto"/>
        <w:rPr>
          <w:rFonts w:ascii="Arial"/>
          <w:sz w:val="21"/>
        </w:rPr>
      </w:pPr>
    </w:p>
    <w:p w14:paraId="7540402E">
      <w:pPr>
        <w:pStyle w:val="2"/>
        <w:spacing w:before="65" w:line="219" w:lineRule="auto"/>
        <w:ind w:left="369"/>
        <w:rPr>
          <w:sz w:val="20"/>
          <w:szCs w:val="20"/>
        </w:rPr>
      </w:pPr>
      <w:r>
        <w:rPr>
          <w:spacing w:val="-2"/>
          <w:sz w:val="20"/>
          <w:szCs w:val="20"/>
        </w:rPr>
        <w:t>章程所规定的项目审批要求，也对项目成本管理有影响。</w:t>
      </w:r>
    </w:p>
    <w:p w14:paraId="7C013006">
      <w:pPr>
        <w:pStyle w:val="2"/>
        <w:spacing w:before="64" w:line="265" w:lineRule="auto"/>
        <w:ind w:left="369" w:right="88" w:firstLine="389"/>
        <w:rPr>
          <w:sz w:val="20"/>
          <w:szCs w:val="20"/>
        </w:rPr>
      </w:pPr>
      <w:r>
        <w:rPr>
          <w:spacing w:val="6"/>
          <w:sz w:val="20"/>
          <w:szCs w:val="20"/>
        </w:rPr>
        <w:t>(2)进度管理计划。进度管理计划确定了编</w:t>
      </w:r>
      <w:r>
        <w:rPr>
          <w:spacing w:val="5"/>
          <w:sz w:val="20"/>
          <w:szCs w:val="20"/>
        </w:rPr>
        <w:t>制、监督和控制项目进度的准则和活动，同时</w:t>
      </w:r>
      <w:r>
        <w:rPr>
          <w:sz w:val="20"/>
          <w:szCs w:val="20"/>
        </w:rPr>
        <w:t xml:space="preserve"> </w:t>
      </w:r>
      <w:r>
        <w:rPr>
          <w:spacing w:val="-2"/>
          <w:sz w:val="20"/>
          <w:szCs w:val="20"/>
        </w:rPr>
        <w:t>也提供了影响成本估算和管理的过程及控制方法。</w:t>
      </w:r>
    </w:p>
    <w:p w14:paraId="3516F8A0">
      <w:pPr>
        <w:pStyle w:val="2"/>
        <w:spacing w:before="54" w:line="261" w:lineRule="auto"/>
        <w:ind w:left="369" w:right="91" w:firstLine="389"/>
        <w:rPr>
          <w:sz w:val="20"/>
          <w:szCs w:val="20"/>
        </w:rPr>
      </w:pPr>
      <w:r>
        <w:rPr>
          <w:spacing w:val="5"/>
          <w:sz w:val="20"/>
          <w:szCs w:val="20"/>
        </w:rPr>
        <w:t>(3)风险管理计划。风险管理计划提供了识别、分析和监督风险的方法，同时也提供了影</w:t>
      </w:r>
      <w:r>
        <w:rPr>
          <w:spacing w:val="17"/>
          <w:sz w:val="20"/>
          <w:szCs w:val="20"/>
        </w:rPr>
        <w:t xml:space="preserve"> </w:t>
      </w:r>
      <w:r>
        <w:rPr>
          <w:spacing w:val="-3"/>
          <w:sz w:val="20"/>
          <w:szCs w:val="20"/>
        </w:rPr>
        <w:t>响成本估算和管理的过程及控制方法。</w:t>
      </w:r>
    </w:p>
    <w:p w14:paraId="2EE1D155">
      <w:pPr>
        <w:pStyle w:val="2"/>
        <w:spacing w:before="75" w:line="270" w:lineRule="auto"/>
        <w:ind w:left="369" w:right="84" w:firstLine="389"/>
        <w:rPr>
          <w:sz w:val="20"/>
          <w:szCs w:val="20"/>
        </w:rPr>
      </w:pPr>
      <w:r>
        <w:rPr>
          <w:spacing w:val="8"/>
          <w:sz w:val="20"/>
          <w:szCs w:val="20"/>
        </w:rPr>
        <w:t>(4)组织相关的成本控制程序(例如定期报告、必需的费用与支付审查、会计编码及</w:t>
      </w:r>
      <w:r>
        <w:rPr>
          <w:spacing w:val="7"/>
          <w:sz w:val="20"/>
          <w:szCs w:val="20"/>
        </w:rPr>
        <w:t>标准</w:t>
      </w:r>
      <w:r>
        <w:rPr>
          <w:sz w:val="20"/>
          <w:szCs w:val="20"/>
        </w:rPr>
        <w:t xml:space="preserve"> 合同条款等)、历史信息和经验教训知识库、财务数据库、现有的正式和非正式的与成本估算和</w:t>
      </w:r>
      <w:r>
        <w:rPr>
          <w:spacing w:val="15"/>
          <w:sz w:val="20"/>
          <w:szCs w:val="20"/>
        </w:rPr>
        <w:t xml:space="preserve"> </w:t>
      </w:r>
      <w:r>
        <w:rPr>
          <w:spacing w:val="-3"/>
          <w:sz w:val="20"/>
          <w:szCs w:val="20"/>
        </w:rPr>
        <w:t>预算有关的政策、程序和指南等。</w:t>
      </w:r>
    </w:p>
    <w:p w14:paraId="6ACAA35B">
      <w:pPr>
        <w:pStyle w:val="2"/>
        <w:spacing w:before="169" w:line="222" w:lineRule="auto"/>
        <w:ind w:left="762"/>
        <w:rPr>
          <w:rFonts w:ascii="黑体" w:hAnsi="黑体" w:eastAsia="黑体" w:cs="黑体"/>
          <w:sz w:val="20"/>
          <w:szCs w:val="20"/>
        </w:rPr>
      </w:pPr>
      <w:r>
        <w:rPr>
          <w:b/>
          <w:bCs/>
          <w:color w:val="008ADB"/>
          <w:spacing w:val="-4"/>
          <w:sz w:val="20"/>
          <w:szCs w:val="20"/>
        </w:rPr>
        <w:t>2.</w:t>
      </w:r>
      <w:r>
        <w:rPr>
          <w:rFonts w:ascii="黑体" w:hAnsi="黑体" w:eastAsia="黑体" w:cs="黑体"/>
          <w:b/>
          <w:bCs/>
          <w:color w:val="008ADB"/>
          <w:spacing w:val="-4"/>
          <w:sz w:val="20"/>
          <w:szCs w:val="20"/>
        </w:rPr>
        <w:t>成本管理计划</w:t>
      </w:r>
    </w:p>
    <w:p w14:paraId="19D68B67">
      <w:pPr>
        <w:pStyle w:val="2"/>
        <w:spacing w:before="133" w:line="295" w:lineRule="auto"/>
        <w:ind w:left="369" w:right="91" w:firstLine="389"/>
        <w:rPr>
          <w:sz w:val="20"/>
          <w:szCs w:val="20"/>
        </w:rPr>
      </w:pPr>
      <w:r>
        <w:rPr>
          <w:spacing w:val="3"/>
          <w:sz w:val="20"/>
          <w:szCs w:val="20"/>
        </w:rPr>
        <w:t>成本管理计划是项目管理计划的组成部分，描述将如何规划、安排和控制项目成本。成本</w:t>
      </w:r>
      <w:r>
        <w:rPr>
          <w:spacing w:val="1"/>
          <w:sz w:val="20"/>
          <w:szCs w:val="20"/>
        </w:rPr>
        <w:t xml:space="preserve"> </w:t>
      </w:r>
      <w:r>
        <w:rPr>
          <w:spacing w:val="-6"/>
          <w:sz w:val="20"/>
          <w:szCs w:val="20"/>
        </w:rPr>
        <w:t>管理计划的内容包括：</w:t>
      </w:r>
    </w:p>
    <w:p w14:paraId="0A714C4D">
      <w:pPr>
        <w:pStyle w:val="2"/>
        <w:spacing w:line="218" w:lineRule="auto"/>
        <w:ind w:left="759"/>
        <w:rPr>
          <w:sz w:val="20"/>
          <w:szCs w:val="20"/>
        </w:rPr>
      </w:pPr>
      <w:r>
        <w:rPr>
          <w:spacing w:val="3"/>
          <w:sz w:val="20"/>
          <w:szCs w:val="20"/>
        </w:rPr>
        <w:t>(1)成本管理过程及其工具与技术。</w:t>
      </w:r>
    </w:p>
    <w:p w14:paraId="6E210B1E">
      <w:pPr>
        <w:pStyle w:val="2"/>
        <w:spacing w:before="84" w:line="219" w:lineRule="auto"/>
        <w:ind w:left="759"/>
        <w:rPr>
          <w:sz w:val="20"/>
          <w:szCs w:val="20"/>
        </w:rPr>
      </w:pPr>
      <w:r>
        <w:rPr>
          <w:spacing w:val="2"/>
          <w:sz w:val="20"/>
          <w:szCs w:val="20"/>
        </w:rPr>
        <w:t>(2)计量单位。例如，用于测量工作量的人日数、</w:t>
      </w:r>
      <w:r>
        <w:rPr>
          <w:spacing w:val="1"/>
          <w:sz w:val="20"/>
          <w:szCs w:val="20"/>
        </w:rPr>
        <w:t>用于计量设备数量的单位等。</w:t>
      </w:r>
    </w:p>
    <w:p w14:paraId="37CAF560">
      <w:pPr>
        <w:pStyle w:val="2"/>
        <w:spacing w:before="70" w:line="278" w:lineRule="auto"/>
        <w:ind w:left="369" w:right="91" w:firstLine="389"/>
        <w:rPr>
          <w:sz w:val="16"/>
          <w:szCs w:val="16"/>
        </w:rPr>
      </w:pPr>
      <w:r>
        <w:rPr>
          <w:spacing w:val="10"/>
          <w:sz w:val="20"/>
          <w:szCs w:val="20"/>
        </w:rPr>
        <w:t>(3)准确度。为成本估算规定的可接受的区间，例如±10%,其中可能包括一定数量的应</w:t>
      </w:r>
      <w:r>
        <w:rPr>
          <w:spacing w:val="7"/>
          <w:sz w:val="20"/>
          <w:szCs w:val="20"/>
        </w:rPr>
        <w:t xml:space="preserve"> </w:t>
      </w:r>
      <w:r>
        <w:rPr>
          <w:spacing w:val="19"/>
          <w:sz w:val="16"/>
          <w:szCs w:val="16"/>
        </w:rPr>
        <w:t>急储备</w:t>
      </w:r>
      <w:r>
        <w:rPr>
          <w:spacing w:val="-34"/>
          <w:sz w:val="16"/>
          <w:szCs w:val="16"/>
        </w:rPr>
        <w:t xml:space="preserve"> </w:t>
      </w:r>
      <w:r>
        <w:rPr>
          <w:spacing w:val="19"/>
          <w:sz w:val="16"/>
          <w:szCs w:val="16"/>
        </w:rPr>
        <w:t>。</w:t>
      </w:r>
    </w:p>
    <w:p w14:paraId="63AA7FC2">
      <w:pPr>
        <w:pStyle w:val="2"/>
        <w:spacing w:before="89" w:line="218" w:lineRule="auto"/>
        <w:ind w:left="759"/>
        <w:rPr>
          <w:sz w:val="20"/>
          <w:szCs w:val="20"/>
        </w:rPr>
      </w:pPr>
      <w:r>
        <w:rPr>
          <w:spacing w:val="2"/>
          <w:sz w:val="20"/>
          <w:szCs w:val="20"/>
        </w:rPr>
        <w:t>(4)精确度。根据活动范围和项目规模，设定成本</w:t>
      </w:r>
      <w:r>
        <w:rPr>
          <w:spacing w:val="1"/>
          <w:sz w:val="20"/>
          <w:szCs w:val="20"/>
        </w:rPr>
        <w:t>估算向上或向下取整的程度。</w:t>
      </w:r>
    </w:p>
    <w:p w14:paraId="0728FEE3">
      <w:pPr>
        <w:pStyle w:val="2"/>
        <w:spacing w:before="66" w:line="256" w:lineRule="auto"/>
        <w:ind w:left="369" w:right="88" w:firstLine="389"/>
        <w:rPr>
          <w:sz w:val="20"/>
          <w:szCs w:val="20"/>
        </w:rPr>
      </w:pPr>
      <w:r>
        <w:rPr>
          <w:spacing w:val="2"/>
          <w:sz w:val="20"/>
          <w:szCs w:val="20"/>
        </w:rPr>
        <w:t>(5)与工作分解结构</w:t>
      </w:r>
      <w:r>
        <w:rPr>
          <w:spacing w:val="-33"/>
          <w:sz w:val="20"/>
          <w:szCs w:val="20"/>
        </w:rPr>
        <w:t xml:space="preserve"> </w:t>
      </w:r>
      <w:r>
        <w:rPr>
          <w:spacing w:val="2"/>
          <w:sz w:val="20"/>
          <w:szCs w:val="20"/>
        </w:rPr>
        <w:t>(</w:t>
      </w:r>
      <w:r>
        <w:rPr>
          <w:sz w:val="20"/>
          <w:szCs w:val="20"/>
        </w:rPr>
        <w:t>WBS</w:t>
      </w:r>
      <w:r>
        <w:rPr>
          <w:spacing w:val="2"/>
          <w:sz w:val="20"/>
          <w:szCs w:val="20"/>
        </w:rPr>
        <w:t>)</w:t>
      </w:r>
      <w:r>
        <w:rPr>
          <w:spacing w:val="46"/>
          <w:sz w:val="20"/>
          <w:szCs w:val="20"/>
        </w:rPr>
        <w:t xml:space="preserve">  </w:t>
      </w:r>
      <w:r>
        <w:rPr>
          <w:spacing w:val="2"/>
          <w:sz w:val="20"/>
          <w:szCs w:val="20"/>
        </w:rPr>
        <w:t>匹配的成本分配。</w:t>
      </w:r>
      <w:r>
        <w:rPr>
          <w:sz w:val="20"/>
          <w:szCs w:val="20"/>
        </w:rPr>
        <w:t>WBS</w:t>
      </w:r>
      <w:r>
        <w:rPr>
          <w:spacing w:val="92"/>
          <w:sz w:val="20"/>
          <w:szCs w:val="20"/>
        </w:rPr>
        <w:t xml:space="preserve"> </w:t>
      </w:r>
      <w:r>
        <w:rPr>
          <w:spacing w:val="2"/>
          <w:sz w:val="20"/>
          <w:szCs w:val="20"/>
        </w:rPr>
        <w:t>为成本管理计划提供了框架，</w:t>
      </w:r>
      <w:r>
        <w:rPr>
          <w:spacing w:val="1"/>
          <w:sz w:val="20"/>
          <w:szCs w:val="20"/>
        </w:rPr>
        <w:t>以便据</w:t>
      </w:r>
      <w:r>
        <w:rPr>
          <w:sz w:val="20"/>
          <w:szCs w:val="20"/>
        </w:rPr>
        <w:t xml:space="preserve"> </w:t>
      </w:r>
      <w:r>
        <w:rPr>
          <w:spacing w:val="-3"/>
          <w:sz w:val="20"/>
          <w:szCs w:val="20"/>
        </w:rPr>
        <w:t>此规范地开展成本估算、预算和控制。</w:t>
      </w:r>
    </w:p>
    <w:p w14:paraId="45D008C5">
      <w:pPr>
        <w:pStyle w:val="2"/>
        <w:spacing w:before="73" w:line="258" w:lineRule="auto"/>
        <w:ind w:left="369" w:right="89" w:firstLine="389"/>
        <w:rPr>
          <w:sz w:val="20"/>
          <w:szCs w:val="20"/>
        </w:rPr>
      </w:pPr>
      <w:r>
        <w:rPr>
          <w:spacing w:val="6"/>
          <w:sz w:val="20"/>
          <w:szCs w:val="20"/>
        </w:rPr>
        <w:t>(6)控制临界值。可能需要规定偏差临界</w:t>
      </w:r>
      <w:r>
        <w:rPr>
          <w:spacing w:val="5"/>
          <w:sz w:val="20"/>
          <w:szCs w:val="20"/>
        </w:rPr>
        <w:t>值，用于监督成本绩效。它是在需要采取某种措</w:t>
      </w:r>
      <w:r>
        <w:rPr>
          <w:sz w:val="20"/>
          <w:szCs w:val="20"/>
        </w:rPr>
        <w:t xml:space="preserve"> </w:t>
      </w:r>
      <w:r>
        <w:rPr>
          <w:spacing w:val="-1"/>
          <w:sz w:val="20"/>
          <w:szCs w:val="20"/>
        </w:rPr>
        <w:t>施前允许出现的最大偏差，通常用偏离基准计划的</w:t>
      </w:r>
      <w:r>
        <w:rPr>
          <w:spacing w:val="-2"/>
          <w:sz w:val="20"/>
          <w:szCs w:val="20"/>
        </w:rPr>
        <w:t>百分数来表示。</w:t>
      </w:r>
    </w:p>
    <w:p w14:paraId="0F090B38">
      <w:pPr>
        <w:pStyle w:val="2"/>
        <w:spacing w:before="71" w:line="288" w:lineRule="auto"/>
        <w:ind w:left="369" w:right="92" w:firstLine="389"/>
        <w:rPr>
          <w:sz w:val="16"/>
          <w:szCs w:val="16"/>
        </w:rPr>
      </w:pPr>
      <w:r>
        <w:rPr>
          <w:spacing w:val="3"/>
          <w:sz w:val="20"/>
          <w:szCs w:val="20"/>
        </w:rPr>
        <w:t>(7)绩效测量规则。需要规定用于绩效测量的挣值管理</w:t>
      </w:r>
      <w:r>
        <w:rPr>
          <w:spacing w:val="-47"/>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Earned</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EVM</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 xml:space="preserve"> </w:t>
      </w:r>
      <w:r>
        <w:rPr>
          <w:spacing w:val="-6"/>
          <w:sz w:val="16"/>
          <w:szCs w:val="16"/>
        </w:rPr>
        <w:t>规</w:t>
      </w:r>
      <w:r>
        <w:rPr>
          <w:spacing w:val="-15"/>
          <w:sz w:val="16"/>
          <w:szCs w:val="16"/>
        </w:rPr>
        <w:t xml:space="preserve"> </w:t>
      </w:r>
      <w:r>
        <w:rPr>
          <w:spacing w:val="-6"/>
          <w:sz w:val="16"/>
          <w:szCs w:val="16"/>
        </w:rPr>
        <w:t>则</w:t>
      </w:r>
      <w:r>
        <w:rPr>
          <w:spacing w:val="-25"/>
          <w:sz w:val="16"/>
          <w:szCs w:val="16"/>
        </w:rPr>
        <w:t xml:space="preserve"> </w:t>
      </w:r>
      <w:r>
        <w:rPr>
          <w:spacing w:val="-6"/>
          <w:sz w:val="16"/>
          <w:szCs w:val="16"/>
        </w:rPr>
        <w:t>。</w:t>
      </w:r>
    </w:p>
    <w:p w14:paraId="7A5D5A1C">
      <w:pPr>
        <w:pStyle w:val="2"/>
        <w:spacing w:before="79" w:line="218" w:lineRule="auto"/>
        <w:ind w:left="759"/>
        <w:rPr>
          <w:sz w:val="20"/>
          <w:szCs w:val="20"/>
        </w:rPr>
      </w:pPr>
      <w:r>
        <w:rPr>
          <w:spacing w:val="2"/>
          <w:sz w:val="20"/>
          <w:szCs w:val="20"/>
        </w:rPr>
        <w:t>(8)报告格式。需要规定各种成本报告的格式和编制频率。</w:t>
      </w:r>
    </w:p>
    <w:p w14:paraId="72855C4A">
      <w:pPr>
        <w:pStyle w:val="2"/>
        <w:spacing w:before="74" w:line="219" w:lineRule="auto"/>
        <w:ind w:left="759"/>
        <w:rPr>
          <w:sz w:val="20"/>
          <w:szCs w:val="20"/>
        </w:rPr>
      </w:pPr>
      <w:r>
        <w:rPr>
          <w:spacing w:val="1"/>
          <w:sz w:val="20"/>
          <w:szCs w:val="20"/>
        </w:rPr>
        <w:t>(9)其他细节。例如，对战略筹资方案的说明，记录项目成本的程序等。</w:t>
      </w:r>
    </w:p>
    <w:p w14:paraId="44EABBA0">
      <w:pPr>
        <w:pStyle w:val="2"/>
        <w:spacing w:before="250" w:line="218" w:lineRule="auto"/>
        <w:ind w:left="372"/>
        <w:rPr>
          <w:sz w:val="25"/>
          <w:szCs w:val="25"/>
        </w:rPr>
      </w:pPr>
      <w:r>
        <w:rPr>
          <w:b/>
          <w:bCs/>
          <w:color w:val="0070BB"/>
          <w:spacing w:val="-19"/>
          <w:sz w:val="25"/>
          <w:szCs w:val="25"/>
        </w:rPr>
        <w:t>12.2.2</w:t>
      </w:r>
      <w:r>
        <w:rPr>
          <w:color w:val="0070BB"/>
          <w:spacing w:val="-19"/>
          <w:sz w:val="25"/>
          <w:szCs w:val="25"/>
        </w:rPr>
        <w:t xml:space="preserve">  </w:t>
      </w:r>
      <w:r>
        <w:rPr>
          <w:b/>
          <w:bCs/>
          <w:color w:val="0070BB"/>
          <w:spacing w:val="-19"/>
          <w:sz w:val="25"/>
          <w:szCs w:val="25"/>
        </w:rPr>
        <w:t>成本估算</w:t>
      </w:r>
    </w:p>
    <w:p w14:paraId="3D5FD52E">
      <w:pPr>
        <w:pStyle w:val="2"/>
        <w:spacing w:before="245" w:line="222" w:lineRule="auto"/>
        <w:ind w:left="762"/>
        <w:rPr>
          <w:rFonts w:ascii="黑体" w:hAnsi="黑体" w:eastAsia="黑体" w:cs="黑体"/>
          <w:sz w:val="20"/>
          <w:szCs w:val="20"/>
        </w:rPr>
      </w:pPr>
      <w:r>
        <w:rPr>
          <w:b/>
          <w:bCs/>
          <w:color w:val="0084DD"/>
          <w:spacing w:val="-3"/>
          <w:sz w:val="20"/>
          <w:szCs w:val="20"/>
        </w:rPr>
        <w:t>1.</w:t>
      </w:r>
      <w:r>
        <w:rPr>
          <w:rFonts w:ascii="黑体" w:hAnsi="黑体" w:eastAsia="黑体" w:cs="黑体"/>
          <w:b/>
          <w:bCs/>
          <w:color w:val="0084DD"/>
          <w:spacing w:val="-3"/>
          <w:sz w:val="20"/>
          <w:szCs w:val="20"/>
        </w:rPr>
        <w:t>估算及其注意事项</w:t>
      </w:r>
    </w:p>
    <w:p w14:paraId="254A9BFA">
      <w:pPr>
        <w:pStyle w:val="2"/>
        <w:spacing w:before="119" w:line="281" w:lineRule="auto"/>
        <w:ind w:left="369" w:firstLine="389"/>
        <w:jc w:val="both"/>
        <w:rPr>
          <w:sz w:val="20"/>
          <w:szCs w:val="20"/>
        </w:rPr>
      </w:pPr>
      <w:r>
        <w:rPr>
          <w:spacing w:val="8"/>
          <w:sz w:val="20"/>
          <w:szCs w:val="20"/>
        </w:rPr>
        <w:t>估算涉及计算完成项目所需各资源(人、材料、设备等)成本的近似值，形成项目的估算</w:t>
      </w:r>
      <w:r>
        <w:rPr>
          <w:spacing w:val="3"/>
          <w:sz w:val="20"/>
          <w:szCs w:val="20"/>
        </w:rPr>
        <w:t xml:space="preserve">  总成本。当一个项目按合同进行时，应区分估算和定价这</w:t>
      </w:r>
      <w:r>
        <w:rPr>
          <w:spacing w:val="2"/>
          <w:sz w:val="20"/>
          <w:szCs w:val="20"/>
        </w:rPr>
        <w:t>两个不同意义的词。估算涉及的是对</w:t>
      </w:r>
      <w:r>
        <w:rPr>
          <w:sz w:val="20"/>
          <w:szCs w:val="20"/>
        </w:rPr>
        <w:t xml:space="preserve">  </w:t>
      </w:r>
      <w:r>
        <w:rPr>
          <w:spacing w:val="3"/>
          <w:sz w:val="20"/>
          <w:szCs w:val="20"/>
        </w:rPr>
        <w:t>可能数量结果的估计，例如承建单位为提供产品或服</w:t>
      </w:r>
      <w:r>
        <w:rPr>
          <w:spacing w:val="2"/>
          <w:sz w:val="20"/>
          <w:szCs w:val="20"/>
        </w:rPr>
        <w:t>务的花费估计是多少；而定价是一个商业</w:t>
      </w:r>
      <w:r>
        <w:rPr>
          <w:sz w:val="20"/>
          <w:szCs w:val="20"/>
        </w:rPr>
        <w:t xml:space="preserve">  </w:t>
      </w:r>
      <w:r>
        <w:rPr>
          <w:spacing w:val="5"/>
          <w:sz w:val="20"/>
          <w:szCs w:val="20"/>
        </w:rPr>
        <w:t>决策，例如承建单位为其提供的产品或服务索取多少费用。估算只是定价要考虑</w:t>
      </w:r>
      <w:r>
        <w:rPr>
          <w:spacing w:val="4"/>
          <w:sz w:val="20"/>
          <w:szCs w:val="20"/>
        </w:rPr>
        <w:t>的因素之一。</w:t>
      </w:r>
      <w:r>
        <w:rPr>
          <w:sz w:val="20"/>
          <w:szCs w:val="20"/>
        </w:rPr>
        <w:t xml:space="preserve"> </w:t>
      </w:r>
      <w:r>
        <w:rPr>
          <w:spacing w:val="-4"/>
          <w:sz w:val="20"/>
          <w:szCs w:val="20"/>
        </w:rPr>
        <w:t>在进行估算时应注意以下几点：</w:t>
      </w:r>
    </w:p>
    <w:p w14:paraId="5A258062">
      <w:pPr>
        <w:pStyle w:val="2"/>
        <w:spacing w:before="40" w:line="218" w:lineRule="auto"/>
        <w:ind w:left="759"/>
        <w:rPr>
          <w:sz w:val="20"/>
          <w:szCs w:val="20"/>
        </w:rPr>
      </w:pPr>
      <w:r>
        <w:rPr>
          <w:spacing w:val="1"/>
          <w:sz w:val="20"/>
          <w:szCs w:val="20"/>
        </w:rPr>
        <w:t>●当项目在一定的约束条件下实施时，价格的估算是一项重要的因素。</w:t>
      </w:r>
    </w:p>
    <w:p w14:paraId="571DA394">
      <w:pPr>
        <w:pStyle w:val="2"/>
        <w:spacing w:before="74" w:line="218" w:lineRule="auto"/>
        <w:ind w:left="759"/>
        <w:rPr>
          <w:sz w:val="20"/>
          <w:szCs w:val="20"/>
        </w:rPr>
      </w:pPr>
      <w:r>
        <w:rPr>
          <w:spacing w:val="2"/>
          <w:sz w:val="20"/>
          <w:szCs w:val="20"/>
        </w:rPr>
        <w:t>●成本估算应该与工作质量的结果相联系。</w:t>
      </w:r>
    </w:p>
    <w:p w14:paraId="27369D97">
      <w:pPr>
        <w:pStyle w:val="2"/>
        <w:spacing w:before="85" w:line="257" w:lineRule="auto"/>
        <w:ind w:left="1049" w:right="44" w:hanging="290"/>
        <w:rPr>
          <w:sz w:val="20"/>
          <w:szCs w:val="20"/>
        </w:rPr>
      </w:pPr>
      <w:r>
        <w:rPr>
          <w:spacing w:val="3"/>
          <w:sz w:val="20"/>
          <w:szCs w:val="20"/>
        </w:rPr>
        <w:t xml:space="preserve">●成本估算过程中，应该考虑各种形式的费用交换。例如，在多数情况下，增加工作的延 </w:t>
      </w:r>
      <w:r>
        <w:rPr>
          <w:spacing w:val="2"/>
          <w:sz w:val="20"/>
          <w:szCs w:val="20"/>
        </w:rPr>
        <w:t>续时间通常是与减少工作的直接费用联系在一起的；相反，追加费用将缩短项目工</w:t>
      </w:r>
      <w:r>
        <w:rPr>
          <w:spacing w:val="1"/>
          <w:sz w:val="20"/>
          <w:szCs w:val="20"/>
        </w:rPr>
        <w:t>作的</w:t>
      </w:r>
    </w:p>
    <w:p w14:paraId="4F3DF337">
      <w:pPr>
        <w:spacing w:line="257" w:lineRule="auto"/>
        <w:rPr>
          <w:sz w:val="20"/>
          <w:szCs w:val="20"/>
        </w:rPr>
        <w:sectPr>
          <w:pgSz w:w="10300" w:h="13380"/>
          <w:pgMar w:top="400" w:right="1009" w:bottom="400" w:left="520" w:header="0" w:footer="0" w:gutter="0"/>
          <w:cols w:space="720" w:num="1"/>
        </w:sectPr>
      </w:pPr>
    </w:p>
    <w:p w14:paraId="65E0E794">
      <w:pPr>
        <w:pStyle w:val="2"/>
        <w:spacing w:before="96" w:line="219" w:lineRule="auto"/>
        <w:ind w:left="6229"/>
        <w:rPr>
          <w:sz w:val="20"/>
          <w:szCs w:val="20"/>
        </w:rPr>
      </w:pPr>
      <w:r>
        <w:rPr>
          <w:spacing w:val="1"/>
          <w:sz w:val="20"/>
          <w:szCs w:val="20"/>
        </w:rPr>
        <w:t>第12章</w:t>
      </w:r>
      <w:r>
        <w:rPr>
          <w:spacing w:val="28"/>
          <w:sz w:val="20"/>
          <w:szCs w:val="20"/>
        </w:rPr>
        <w:t xml:space="preserve"> </w:t>
      </w:r>
      <w:r>
        <w:rPr>
          <w:spacing w:val="1"/>
          <w:sz w:val="20"/>
          <w:szCs w:val="20"/>
        </w:rPr>
        <w:t>投资控制</w:t>
      </w:r>
    </w:p>
    <w:p w14:paraId="35621161">
      <w:pPr>
        <w:spacing w:line="75" w:lineRule="exact"/>
      </w:pPr>
    </w:p>
    <w:p w14:paraId="57421055">
      <w:pPr>
        <w:spacing w:line="14" w:lineRule="auto"/>
        <w:rPr>
          <w:rFonts w:ascii="Arial"/>
          <w:sz w:val="2"/>
        </w:rPr>
      </w:pPr>
      <w:r>
        <w:rPr>
          <w:rFonts w:ascii="Arial" w:hAnsi="Arial" w:eastAsia="Arial" w:cs="Arial"/>
          <w:sz w:val="2"/>
          <w:szCs w:val="2"/>
        </w:rPr>
        <w:br w:type="column"/>
      </w:r>
    </w:p>
    <w:p w14:paraId="68866580">
      <w:pPr>
        <w:spacing w:before="128" w:line="188" w:lineRule="auto"/>
        <w:ind w:left="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273</w:t>
      </w:r>
    </w:p>
    <w:p w14:paraId="409071F1">
      <w:pPr>
        <w:spacing w:line="188" w:lineRule="auto"/>
        <w:rPr>
          <w:rFonts w:ascii="Times New Roman" w:hAnsi="Times New Roman" w:eastAsia="Times New Roman" w:cs="Times New Roman"/>
          <w:sz w:val="20"/>
          <w:szCs w:val="20"/>
        </w:rPr>
        <w:sectPr>
          <w:pgSz w:w="10280" w:h="13290"/>
          <w:pgMar w:top="400" w:right="149" w:bottom="400" w:left="1089" w:header="0" w:footer="0" w:gutter="0"/>
          <w:cols w:equalWidth="0" w:num="2">
            <w:col w:w="8321" w:space="0"/>
            <w:col w:w="720"/>
          </w:cols>
        </w:sectPr>
      </w:pPr>
    </w:p>
    <w:p w14:paraId="729793F1">
      <w:pPr>
        <w:pStyle w:val="2"/>
        <w:spacing w:before="276" w:line="296" w:lineRule="auto"/>
        <w:ind w:left="689" w:right="704" w:firstLine="20"/>
        <w:rPr>
          <w:sz w:val="20"/>
          <w:szCs w:val="20"/>
        </w:rPr>
      </w:pPr>
      <w:r>
        <w:drawing>
          <wp:anchor distT="0" distB="0" distL="0" distR="0" simplePos="0" relativeHeight="251760640" behindDoc="0" locked="0" layoutInCell="1" allowOverlap="1">
            <wp:simplePos x="0" y="0"/>
            <wp:positionH relativeFrom="column">
              <wp:posOffset>4978400</wp:posOffset>
            </wp:positionH>
            <wp:positionV relativeFrom="paragraph">
              <wp:posOffset>-254000</wp:posOffset>
            </wp:positionV>
            <wp:extent cx="304800" cy="25400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88"/>
                    <a:stretch>
                      <a:fillRect/>
                    </a:stretch>
                  </pic:blipFill>
                  <pic:spPr>
                    <a:xfrm>
                      <a:off x="0" y="0"/>
                      <a:ext cx="304782" cy="254018"/>
                    </a:xfrm>
                    <a:prstGeom prst="rect">
                      <a:avLst/>
                    </a:prstGeom>
                  </pic:spPr>
                </pic:pic>
              </a:graphicData>
            </a:graphic>
          </wp:anchor>
        </w:drawing>
      </w:r>
      <w:r>
        <w:rPr>
          <w:spacing w:val="6"/>
          <w:sz w:val="20"/>
          <w:szCs w:val="20"/>
        </w:rPr>
        <w:t>延续时间。因此，在成本估算的过程中，必须考虑附加的工作对工程期望工期缩短的</w:t>
      </w:r>
      <w:r>
        <w:rPr>
          <w:spacing w:val="2"/>
          <w:sz w:val="20"/>
          <w:szCs w:val="20"/>
        </w:rPr>
        <w:t xml:space="preserve"> </w:t>
      </w:r>
      <w:r>
        <w:rPr>
          <w:sz w:val="20"/>
          <w:szCs w:val="20"/>
        </w:rPr>
        <w:t>影响。</w:t>
      </w:r>
    </w:p>
    <w:p w14:paraId="68CAA920">
      <w:pPr>
        <w:pStyle w:val="2"/>
        <w:spacing w:before="9" w:line="281" w:lineRule="auto"/>
        <w:ind w:right="711" w:firstLine="409"/>
        <w:rPr>
          <w:sz w:val="20"/>
          <w:szCs w:val="20"/>
        </w:rPr>
      </w:pPr>
      <w:r>
        <w:rPr>
          <w:spacing w:val="3"/>
          <w:sz w:val="20"/>
          <w:szCs w:val="20"/>
        </w:rPr>
        <w:t>估算是一个不断优化的过程。随着项目的进展和相关详细资料的不断出现，应该对原有成</w:t>
      </w:r>
      <w:r>
        <w:rPr>
          <w:spacing w:val="1"/>
          <w:sz w:val="20"/>
          <w:szCs w:val="20"/>
        </w:rPr>
        <w:t xml:space="preserve"> </w:t>
      </w:r>
      <w:r>
        <w:rPr>
          <w:spacing w:val="-4"/>
          <w:sz w:val="20"/>
          <w:szCs w:val="20"/>
        </w:rPr>
        <w:t>本估算做相应的修正。</w:t>
      </w:r>
    </w:p>
    <w:p w14:paraId="345F105B">
      <w:pPr>
        <w:pStyle w:val="2"/>
        <w:spacing w:before="118" w:line="222" w:lineRule="auto"/>
        <w:ind w:left="412"/>
        <w:rPr>
          <w:rFonts w:ascii="黑体" w:hAnsi="黑体" w:eastAsia="黑体" w:cs="黑体"/>
          <w:sz w:val="20"/>
          <w:szCs w:val="20"/>
        </w:rPr>
      </w:pPr>
      <w:r>
        <w:rPr>
          <w:b/>
          <w:bCs/>
          <w:color w:val="0064D7"/>
          <w:spacing w:val="-1"/>
          <w:sz w:val="20"/>
          <w:szCs w:val="20"/>
        </w:rPr>
        <w:t>2.</w:t>
      </w:r>
      <w:r>
        <w:rPr>
          <w:rFonts w:ascii="黑体" w:hAnsi="黑体" w:eastAsia="黑体" w:cs="黑体"/>
          <w:b/>
          <w:bCs/>
          <w:color w:val="0064D7"/>
          <w:spacing w:val="-1"/>
          <w:sz w:val="20"/>
          <w:szCs w:val="20"/>
        </w:rPr>
        <w:t>成本估算的依据</w:t>
      </w:r>
    </w:p>
    <w:p w14:paraId="43281CCB">
      <w:pPr>
        <w:pStyle w:val="2"/>
        <w:spacing w:before="142" w:line="218" w:lineRule="auto"/>
        <w:ind w:left="409"/>
        <w:rPr>
          <w:sz w:val="20"/>
          <w:szCs w:val="20"/>
        </w:rPr>
      </w:pPr>
      <w:r>
        <w:rPr>
          <w:spacing w:val="-5"/>
          <w:sz w:val="20"/>
          <w:szCs w:val="20"/>
        </w:rPr>
        <w:t>成本估算的依据具体包括：</w:t>
      </w:r>
    </w:p>
    <w:p w14:paraId="3117452A">
      <w:pPr>
        <w:pStyle w:val="2"/>
        <w:spacing w:before="84" w:line="248" w:lineRule="auto"/>
        <w:ind w:right="711" w:firstLine="409"/>
        <w:rPr>
          <w:sz w:val="20"/>
          <w:szCs w:val="20"/>
        </w:rPr>
      </w:pPr>
      <w:r>
        <w:rPr>
          <w:spacing w:val="5"/>
          <w:sz w:val="20"/>
          <w:szCs w:val="20"/>
        </w:rPr>
        <w:t>(1)成本管理计划。成本管理计划中描述了可使用的估算方法以及成本估算需要达到的准</w:t>
      </w:r>
      <w:r>
        <w:rPr>
          <w:spacing w:val="18"/>
          <w:sz w:val="20"/>
          <w:szCs w:val="20"/>
        </w:rPr>
        <w:t xml:space="preserve"> </w:t>
      </w:r>
      <w:r>
        <w:rPr>
          <w:spacing w:val="-5"/>
          <w:sz w:val="20"/>
          <w:szCs w:val="20"/>
        </w:rPr>
        <w:t>确度和精确度。</w:t>
      </w:r>
    </w:p>
    <w:p w14:paraId="7A9DC29B">
      <w:pPr>
        <w:pStyle w:val="2"/>
        <w:spacing w:before="94" w:line="249" w:lineRule="auto"/>
        <w:ind w:right="704" w:firstLine="409"/>
        <w:rPr>
          <w:sz w:val="20"/>
          <w:szCs w:val="20"/>
        </w:rPr>
      </w:pPr>
      <w:r>
        <w:rPr>
          <w:spacing w:val="6"/>
          <w:sz w:val="20"/>
          <w:szCs w:val="20"/>
        </w:rPr>
        <w:t>(2)质量管理计划。质量管理计划描述了项目管理团</w:t>
      </w:r>
      <w:r>
        <w:rPr>
          <w:spacing w:val="5"/>
          <w:sz w:val="20"/>
          <w:szCs w:val="20"/>
        </w:rPr>
        <w:t>队为实现一系列项目质量目标所需的</w:t>
      </w:r>
      <w:r>
        <w:rPr>
          <w:sz w:val="20"/>
          <w:szCs w:val="20"/>
        </w:rPr>
        <w:t xml:space="preserve"> </w:t>
      </w:r>
      <w:r>
        <w:rPr>
          <w:spacing w:val="-6"/>
          <w:sz w:val="20"/>
          <w:szCs w:val="20"/>
        </w:rPr>
        <w:t>活动和资源。</w:t>
      </w:r>
    </w:p>
    <w:p w14:paraId="259772A7">
      <w:pPr>
        <w:pStyle w:val="2"/>
        <w:spacing w:before="80" w:line="219" w:lineRule="auto"/>
        <w:ind w:left="409"/>
        <w:rPr>
          <w:sz w:val="20"/>
          <w:szCs w:val="20"/>
        </w:rPr>
      </w:pPr>
      <w:r>
        <w:rPr>
          <w:spacing w:val="-1"/>
          <w:sz w:val="20"/>
          <w:szCs w:val="20"/>
        </w:rPr>
        <w:t>(3)范围基准。包括项目范围说明书、</w:t>
      </w:r>
      <w:r>
        <w:rPr>
          <w:spacing w:val="-14"/>
          <w:sz w:val="20"/>
          <w:szCs w:val="20"/>
        </w:rPr>
        <w:t xml:space="preserve"> </w:t>
      </w:r>
      <w:r>
        <w:rPr>
          <w:rFonts w:ascii="Times New Roman" w:hAnsi="Times New Roman" w:eastAsia="Times New Roman" w:cs="Times New Roman"/>
          <w:spacing w:val="-1"/>
          <w:sz w:val="20"/>
          <w:szCs w:val="20"/>
        </w:rPr>
        <w:t xml:space="preserve">WBS </w:t>
      </w:r>
      <w:r>
        <w:rPr>
          <w:spacing w:val="-1"/>
          <w:sz w:val="20"/>
          <w:szCs w:val="20"/>
        </w:rPr>
        <w:t>和</w:t>
      </w:r>
      <w:r>
        <w:rPr>
          <w:spacing w:val="-41"/>
          <w:sz w:val="20"/>
          <w:szCs w:val="20"/>
        </w:rPr>
        <w:t xml:space="preserve"> </w:t>
      </w:r>
      <w:r>
        <w:rPr>
          <w:rFonts w:ascii="Times New Roman" w:hAnsi="Times New Roman" w:eastAsia="Times New Roman" w:cs="Times New Roman"/>
          <w:spacing w:val="-1"/>
          <w:sz w:val="20"/>
          <w:szCs w:val="20"/>
        </w:rPr>
        <w:t xml:space="preserve">WBS </w:t>
      </w:r>
      <w:r>
        <w:rPr>
          <w:spacing w:val="-1"/>
          <w:sz w:val="20"/>
          <w:szCs w:val="20"/>
        </w:rPr>
        <w:t>词典。</w:t>
      </w:r>
    </w:p>
    <w:p w14:paraId="353A74A6">
      <w:pPr>
        <w:pStyle w:val="2"/>
        <w:spacing w:before="62" w:line="261" w:lineRule="auto"/>
        <w:ind w:right="649" w:firstLine="409"/>
        <w:rPr>
          <w:sz w:val="20"/>
          <w:szCs w:val="20"/>
        </w:rPr>
      </w:pPr>
      <w:r>
        <w:rPr>
          <w:spacing w:val="2"/>
          <w:sz w:val="20"/>
          <w:szCs w:val="20"/>
        </w:rPr>
        <w:t>(4)经验教训登记册。项目早期与制定成本估算有关的经验教训可以运用到项目后期</w:t>
      </w:r>
      <w:r>
        <w:rPr>
          <w:spacing w:val="1"/>
          <w:sz w:val="20"/>
          <w:szCs w:val="20"/>
        </w:rPr>
        <w:t>阶段，</w:t>
      </w:r>
      <w:r>
        <w:rPr>
          <w:sz w:val="20"/>
          <w:szCs w:val="20"/>
        </w:rPr>
        <w:t xml:space="preserve"> </w:t>
      </w:r>
      <w:r>
        <w:rPr>
          <w:spacing w:val="-4"/>
          <w:sz w:val="20"/>
          <w:szCs w:val="20"/>
        </w:rPr>
        <w:t>以提高成本估算的准确度和精确度。</w:t>
      </w:r>
    </w:p>
    <w:p w14:paraId="4F267587">
      <w:pPr>
        <w:pStyle w:val="2"/>
        <w:spacing w:before="66" w:line="269" w:lineRule="auto"/>
        <w:ind w:right="710" w:firstLine="409"/>
        <w:rPr>
          <w:sz w:val="20"/>
          <w:szCs w:val="20"/>
        </w:rPr>
      </w:pPr>
      <w:r>
        <w:rPr>
          <w:spacing w:val="5"/>
          <w:sz w:val="20"/>
          <w:szCs w:val="20"/>
        </w:rPr>
        <w:t>(5)项目进度计划。进度计划包括项目可用的团队和实物资源的类型、数量和可用时间长</w:t>
      </w:r>
      <w:r>
        <w:rPr>
          <w:spacing w:val="18"/>
          <w:sz w:val="20"/>
          <w:szCs w:val="20"/>
        </w:rPr>
        <w:t xml:space="preserve"> </w:t>
      </w:r>
      <w:r>
        <w:rPr>
          <w:spacing w:val="3"/>
          <w:sz w:val="20"/>
          <w:szCs w:val="20"/>
        </w:rPr>
        <w:t>短。如果资源成本取决于使用时间的长短，并且成本出现季节波动，则持续时间估算会对成本</w:t>
      </w:r>
      <w:r>
        <w:rPr>
          <w:spacing w:val="5"/>
          <w:sz w:val="20"/>
          <w:szCs w:val="20"/>
        </w:rPr>
        <w:t xml:space="preserve"> </w:t>
      </w:r>
      <w:r>
        <w:rPr>
          <w:spacing w:val="4"/>
          <w:sz w:val="20"/>
          <w:szCs w:val="20"/>
        </w:rPr>
        <w:t>估算产生影响。进度计划还为包含融资成本(包括利息)的项目提供有用信息。</w:t>
      </w:r>
    </w:p>
    <w:p w14:paraId="76D7DB71">
      <w:pPr>
        <w:pStyle w:val="2"/>
        <w:spacing w:before="76" w:line="219" w:lineRule="auto"/>
        <w:ind w:left="409"/>
        <w:rPr>
          <w:sz w:val="20"/>
          <w:szCs w:val="20"/>
        </w:rPr>
      </w:pPr>
      <w:r>
        <w:rPr>
          <w:spacing w:val="2"/>
          <w:sz w:val="20"/>
          <w:szCs w:val="20"/>
        </w:rPr>
        <w:t>(6)资源需求。资源需求明确了每个工作包或活动所需</w:t>
      </w:r>
      <w:r>
        <w:rPr>
          <w:spacing w:val="1"/>
          <w:sz w:val="20"/>
          <w:szCs w:val="20"/>
        </w:rPr>
        <w:t>的资源类型和数量。</w:t>
      </w:r>
    </w:p>
    <w:p w14:paraId="6269A7F1">
      <w:pPr>
        <w:pStyle w:val="2"/>
        <w:spacing w:before="72" w:line="256" w:lineRule="auto"/>
        <w:ind w:right="649" w:firstLine="409"/>
        <w:rPr>
          <w:sz w:val="20"/>
          <w:szCs w:val="20"/>
        </w:rPr>
      </w:pPr>
      <w:r>
        <w:rPr>
          <w:spacing w:val="2"/>
          <w:sz w:val="20"/>
          <w:szCs w:val="20"/>
        </w:rPr>
        <w:t>(7)风险登记册。风险登记册包含了已识别并按优先顺序排列的单个项目风险的详细</w:t>
      </w:r>
      <w:r>
        <w:rPr>
          <w:spacing w:val="1"/>
          <w:sz w:val="20"/>
          <w:szCs w:val="20"/>
        </w:rPr>
        <w:t>信息，</w:t>
      </w:r>
      <w:r>
        <w:rPr>
          <w:sz w:val="20"/>
          <w:szCs w:val="20"/>
        </w:rPr>
        <w:t xml:space="preserve"> </w:t>
      </w:r>
      <w:r>
        <w:rPr>
          <w:spacing w:val="-1"/>
          <w:sz w:val="20"/>
          <w:szCs w:val="20"/>
        </w:rPr>
        <w:t>及针对这些风险采取的应对措施。风险登记册还提供了可用于估算成本的详细信息。</w:t>
      </w:r>
    </w:p>
    <w:p w14:paraId="7DC0A3F0">
      <w:pPr>
        <w:pStyle w:val="2"/>
        <w:spacing w:before="74" w:line="218" w:lineRule="auto"/>
        <w:ind w:left="409"/>
        <w:rPr>
          <w:sz w:val="20"/>
          <w:szCs w:val="20"/>
        </w:rPr>
      </w:pPr>
      <w:r>
        <w:rPr>
          <w:spacing w:val="1"/>
          <w:sz w:val="20"/>
          <w:szCs w:val="20"/>
        </w:rPr>
        <w:t>(8)影响成本估算过程的市场条件、发布的商业信息、通货膨胀等。</w:t>
      </w:r>
    </w:p>
    <w:p w14:paraId="685295ED">
      <w:pPr>
        <w:pStyle w:val="2"/>
        <w:spacing w:before="75" w:line="253" w:lineRule="auto"/>
        <w:ind w:right="698" w:firstLine="409"/>
        <w:rPr>
          <w:sz w:val="20"/>
          <w:szCs w:val="20"/>
        </w:rPr>
      </w:pPr>
      <w:r>
        <w:rPr>
          <w:spacing w:val="6"/>
          <w:sz w:val="20"/>
          <w:szCs w:val="20"/>
        </w:rPr>
        <w:t>(9)影响估算成本过程的组织内部的成本估算政策、成本估算模板</w:t>
      </w:r>
      <w:r>
        <w:rPr>
          <w:spacing w:val="5"/>
          <w:sz w:val="20"/>
          <w:szCs w:val="20"/>
        </w:rPr>
        <w:t>、历史信息和经验教训</w:t>
      </w:r>
      <w:r>
        <w:rPr>
          <w:sz w:val="20"/>
          <w:szCs w:val="20"/>
        </w:rPr>
        <w:t xml:space="preserve"> </w:t>
      </w:r>
      <w:r>
        <w:rPr>
          <w:spacing w:val="-4"/>
          <w:sz w:val="20"/>
          <w:szCs w:val="20"/>
        </w:rPr>
        <w:t>知识库等。</w:t>
      </w:r>
    </w:p>
    <w:p w14:paraId="1AB3432B">
      <w:pPr>
        <w:pStyle w:val="2"/>
        <w:spacing w:before="168" w:line="221" w:lineRule="auto"/>
        <w:ind w:left="412"/>
        <w:rPr>
          <w:rFonts w:ascii="黑体" w:hAnsi="黑体" w:eastAsia="黑体" w:cs="黑体"/>
          <w:sz w:val="20"/>
          <w:szCs w:val="20"/>
        </w:rPr>
      </w:pPr>
      <w:r>
        <w:rPr>
          <w:b/>
          <w:bCs/>
          <w:color w:val="0061D1"/>
          <w:spacing w:val="-3"/>
          <w:sz w:val="20"/>
          <w:szCs w:val="20"/>
        </w:rPr>
        <w:t>3.</w:t>
      </w:r>
      <w:r>
        <w:rPr>
          <w:rFonts w:ascii="黑体" w:hAnsi="黑体" w:eastAsia="黑体" w:cs="黑体"/>
          <w:b/>
          <w:bCs/>
          <w:color w:val="0061D1"/>
          <w:spacing w:val="-3"/>
          <w:sz w:val="20"/>
          <w:szCs w:val="20"/>
        </w:rPr>
        <w:t>成本估算常用方法</w:t>
      </w:r>
    </w:p>
    <w:p w14:paraId="731EF205">
      <w:pPr>
        <w:spacing w:before="206" w:line="228" w:lineRule="auto"/>
        <w:ind w:left="409"/>
        <w:rPr>
          <w:rFonts w:ascii="楷体" w:hAnsi="楷体" w:eastAsia="楷体" w:cs="楷体"/>
          <w:sz w:val="20"/>
          <w:szCs w:val="20"/>
        </w:rPr>
      </w:pPr>
      <w:r>
        <w:rPr>
          <w:rFonts w:ascii="楷体" w:hAnsi="楷体" w:eastAsia="楷体" w:cs="楷体"/>
          <w:spacing w:val="13"/>
          <w:sz w:val="20"/>
          <w:szCs w:val="20"/>
        </w:rPr>
        <w:t>1)类比估算</w:t>
      </w:r>
    </w:p>
    <w:p w14:paraId="1289445F">
      <w:pPr>
        <w:pStyle w:val="2"/>
        <w:spacing w:before="57" w:line="273" w:lineRule="auto"/>
        <w:ind w:right="696" w:firstLine="409"/>
        <w:rPr>
          <w:sz w:val="20"/>
          <w:szCs w:val="20"/>
        </w:rPr>
      </w:pPr>
      <w:r>
        <w:rPr>
          <w:spacing w:val="3"/>
          <w:sz w:val="20"/>
          <w:szCs w:val="20"/>
        </w:rPr>
        <w:t>成本类比估算使用以往类似项目的实际数据作为估计现在项目的基础。项目的参数值和属</w:t>
      </w:r>
      <w:r>
        <w:rPr>
          <w:spacing w:val="9"/>
          <w:sz w:val="20"/>
          <w:szCs w:val="20"/>
        </w:rPr>
        <w:t xml:space="preserve"> </w:t>
      </w:r>
      <w:r>
        <w:rPr>
          <w:spacing w:val="10"/>
          <w:sz w:val="20"/>
          <w:szCs w:val="20"/>
        </w:rPr>
        <w:t>性包括(但不限于)范围、成本、预算、持续时间和规模指标(例如工作量、设备数量等),类</w:t>
      </w:r>
      <w:r>
        <w:rPr>
          <w:spacing w:val="7"/>
          <w:sz w:val="20"/>
          <w:szCs w:val="20"/>
        </w:rPr>
        <w:t xml:space="preserve"> </w:t>
      </w:r>
      <w:r>
        <w:rPr>
          <w:spacing w:val="4"/>
          <w:sz w:val="20"/>
          <w:szCs w:val="20"/>
        </w:rPr>
        <w:t>比估算以这些项目参数值或属性为基础来估</w:t>
      </w:r>
      <w:r>
        <w:rPr>
          <w:spacing w:val="3"/>
          <w:sz w:val="20"/>
          <w:szCs w:val="20"/>
        </w:rPr>
        <w:t>算当前项目的同类参数或指标。这种估算方法适用</w:t>
      </w:r>
      <w:r>
        <w:rPr>
          <w:sz w:val="20"/>
          <w:szCs w:val="20"/>
        </w:rPr>
        <w:t xml:space="preserve"> </w:t>
      </w:r>
      <w:r>
        <w:rPr>
          <w:spacing w:val="3"/>
          <w:sz w:val="20"/>
          <w:szCs w:val="20"/>
        </w:rPr>
        <w:t>于早期的成本估计，因为此时有关项目仅有少量消息可供利用。类比估算是专家判断的一种形</w:t>
      </w:r>
      <w:r>
        <w:rPr>
          <w:spacing w:val="5"/>
          <w:sz w:val="20"/>
          <w:szCs w:val="20"/>
        </w:rPr>
        <w:t xml:space="preserve"> </w:t>
      </w:r>
      <w:r>
        <w:rPr>
          <w:spacing w:val="3"/>
          <w:sz w:val="20"/>
          <w:szCs w:val="20"/>
        </w:rPr>
        <w:t>式，花费较少，但精确性也较差。如果被估算的项目包含一种新的编程语言或是使用新的硬件</w:t>
      </w:r>
      <w:r>
        <w:rPr>
          <w:spacing w:val="4"/>
          <w:sz w:val="20"/>
          <w:szCs w:val="20"/>
        </w:rPr>
        <w:t xml:space="preserve"> </w:t>
      </w:r>
      <w:r>
        <w:rPr>
          <w:spacing w:val="-3"/>
          <w:sz w:val="20"/>
          <w:szCs w:val="20"/>
        </w:rPr>
        <w:t>和网络，这种方法就会导致预算偏低。</w:t>
      </w:r>
    </w:p>
    <w:p w14:paraId="1DFEBBB7">
      <w:pPr>
        <w:pStyle w:val="2"/>
        <w:spacing w:before="79" w:line="218" w:lineRule="auto"/>
        <w:ind w:left="409"/>
        <w:rPr>
          <w:sz w:val="20"/>
          <w:szCs w:val="20"/>
        </w:rPr>
      </w:pPr>
      <w:r>
        <w:rPr>
          <w:spacing w:val="-6"/>
          <w:sz w:val="20"/>
          <w:szCs w:val="20"/>
        </w:rPr>
        <w:t>以下情况的类比估算是可靠的：</w:t>
      </w:r>
    </w:p>
    <w:p w14:paraId="4AB39DB1">
      <w:pPr>
        <w:pStyle w:val="2"/>
        <w:spacing w:before="76" w:line="219" w:lineRule="auto"/>
        <w:ind w:left="409"/>
        <w:rPr>
          <w:sz w:val="20"/>
          <w:szCs w:val="20"/>
        </w:rPr>
      </w:pPr>
      <w:r>
        <w:rPr>
          <w:spacing w:val="1"/>
          <w:sz w:val="20"/>
          <w:szCs w:val="20"/>
        </w:rPr>
        <w:t>●先前的项目不仅在表面上而且在实质上和当前项目是类同的；</w:t>
      </w:r>
    </w:p>
    <w:p w14:paraId="788BBF51">
      <w:pPr>
        <w:pStyle w:val="2"/>
        <w:spacing w:before="71" w:line="218" w:lineRule="auto"/>
        <w:ind w:left="409"/>
        <w:rPr>
          <w:sz w:val="20"/>
          <w:szCs w:val="20"/>
        </w:rPr>
      </w:pPr>
      <w:r>
        <w:rPr>
          <w:spacing w:val="2"/>
          <w:sz w:val="20"/>
          <w:szCs w:val="20"/>
        </w:rPr>
        <w:t>●做估算的个人或小组具有必要经验。</w:t>
      </w:r>
    </w:p>
    <w:p w14:paraId="2FB3EB30">
      <w:pPr>
        <w:spacing w:before="164" w:line="227" w:lineRule="auto"/>
        <w:ind w:left="409"/>
        <w:rPr>
          <w:rFonts w:ascii="楷体" w:hAnsi="楷体" w:eastAsia="楷体" w:cs="楷体"/>
          <w:sz w:val="20"/>
          <w:szCs w:val="20"/>
        </w:rPr>
      </w:pPr>
      <w:r>
        <w:rPr>
          <w:rFonts w:ascii="楷体" w:hAnsi="楷体" w:eastAsia="楷体" w:cs="楷体"/>
          <w:spacing w:val="17"/>
          <w:sz w:val="20"/>
          <w:szCs w:val="20"/>
        </w:rPr>
        <w:t>2)参数估算</w:t>
      </w:r>
    </w:p>
    <w:p w14:paraId="60DA3C46">
      <w:pPr>
        <w:pStyle w:val="2"/>
        <w:spacing w:before="64" w:line="184" w:lineRule="auto"/>
        <w:ind w:left="409"/>
        <w:rPr>
          <w:sz w:val="20"/>
          <w:szCs w:val="20"/>
        </w:rPr>
      </w:pPr>
      <w:r>
        <w:rPr>
          <w:spacing w:val="4"/>
          <w:sz w:val="20"/>
          <w:szCs w:val="20"/>
        </w:rPr>
        <w:t>参数估算是指利用历史数据之间的统计关系和</w:t>
      </w:r>
      <w:r>
        <w:rPr>
          <w:spacing w:val="3"/>
          <w:sz w:val="20"/>
          <w:szCs w:val="20"/>
        </w:rPr>
        <w:t>其他变量，把项目的一些特征作为参数，通</w:t>
      </w:r>
    </w:p>
    <w:p w14:paraId="7775073A">
      <w:pPr>
        <w:spacing w:line="184" w:lineRule="auto"/>
        <w:rPr>
          <w:sz w:val="20"/>
          <w:szCs w:val="20"/>
        </w:rPr>
        <w:sectPr>
          <w:type w:val="continuous"/>
          <w:pgSz w:w="10280" w:h="13290"/>
          <w:pgMar w:top="400" w:right="149" w:bottom="400" w:left="1089" w:header="0" w:footer="0" w:gutter="0"/>
          <w:cols w:equalWidth="0" w:num="1">
            <w:col w:w="9041"/>
          </w:cols>
        </w:sectPr>
      </w:pPr>
    </w:p>
    <w:p w14:paraId="44DA8DB0">
      <w:pPr>
        <w:pStyle w:val="2"/>
        <w:spacing w:before="128" w:line="219" w:lineRule="auto"/>
        <w:rPr>
          <w:sz w:val="20"/>
          <w:szCs w:val="20"/>
        </w:rPr>
      </w:pPr>
      <w:r>
        <w:rPr>
          <w:spacing w:val="-2"/>
          <w:sz w:val="20"/>
          <w:szCs w:val="20"/>
        </w:rPr>
        <w:t>274</w:t>
      </w:r>
      <w:r>
        <w:rPr>
          <w:spacing w:val="15"/>
          <w:sz w:val="20"/>
          <w:szCs w:val="20"/>
        </w:rPr>
        <w:t xml:space="preserve">      </w:t>
      </w:r>
      <w:r>
        <w:rPr>
          <w:spacing w:val="-2"/>
          <w:sz w:val="20"/>
          <w:szCs w:val="20"/>
        </w:rPr>
        <w:t>信息系统监理师教程(第2版)</w:t>
      </w:r>
    </w:p>
    <w:p w14:paraId="1E249F4A">
      <w:pPr>
        <w:spacing w:line="306" w:lineRule="auto"/>
        <w:rPr>
          <w:rFonts w:ascii="Arial"/>
          <w:sz w:val="21"/>
        </w:rPr>
      </w:pPr>
    </w:p>
    <w:p w14:paraId="51C81827">
      <w:pPr>
        <w:pStyle w:val="2"/>
        <w:spacing w:before="65" w:line="285" w:lineRule="auto"/>
        <w:ind w:left="379" w:right="47" w:hanging="20"/>
        <w:jc w:val="both"/>
        <w:rPr>
          <w:sz w:val="20"/>
          <w:szCs w:val="20"/>
        </w:rPr>
      </w:pPr>
      <w:r>
        <w:rPr>
          <w:spacing w:val="4"/>
          <w:sz w:val="20"/>
          <w:szCs w:val="20"/>
        </w:rPr>
        <w:t>过建立一个数学模型来进行项目工作的成本估算。参数估算的准确性取决于参数模型</w:t>
      </w:r>
      <w:r>
        <w:rPr>
          <w:spacing w:val="3"/>
          <w:sz w:val="20"/>
          <w:szCs w:val="20"/>
        </w:rPr>
        <w:t>的成熟度</w:t>
      </w:r>
      <w:r>
        <w:rPr>
          <w:sz w:val="20"/>
          <w:szCs w:val="20"/>
        </w:rPr>
        <w:t xml:space="preserve"> </w:t>
      </w:r>
      <w:r>
        <w:rPr>
          <w:spacing w:val="8"/>
          <w:sz w:val="20"/>
          <w:szCs w:val="20"/>
        </w:rPr>
        <w:t>和基础数据的可靠性，模型可以简单(开发人员的成本是以每月的费用成本作为参数)也可以</w:t>
      </w:r>
      <w:r>
        <w:rPr>
          <w:sz w:val="20"/>
          <w:szCs w:val="20"/>
        </w:rPr>
        <w:t xml:space="preserve"> </w:t>
      </w:r>
      <w:r>
        <w:rPr>
          <w:spacing w:val="12"/>
          <w:sz w:val="20"/>
          <w:szCs w:val="20"/>
        </w:rPr>
        <w:t>复杂(软件研制的模型涉及13个独立参数因子，每个因子有5～7个子因子)。基于软件开发</w:t>
      </w:r>
      <w:r>
        <w:rPr>
          <w:spacing w:val="13"/>
          <w:sz w:val="20"/>
          <w:szCs w:val="20"/>
        </w:rPr>
        <w:t xml:space="preserve"> </w:t>
      </w:r>
      <w:r>
        <w:rPr>
          <w:sz w:val="20"/>
          <w:szCs w:val="20"/>
        </w:rPr>
        <w:t>项目中使用的编程语言、编程人员的专业知识</w:t>
      </w:r>
      <w:r>
        <w:rPr>
          <w:spacing w:val="-1"/>
          <w:sz w:val="20"/>
          <w:szCs w:val="20"/>
        </w:rPr>
        <w:t>水平、程序大小和设计数据的复杂性等，</w:t>
      </w:r>
      <w:r>
        <w:rPr>
          <w:spacing w:val="59"/>
          <w:sz w:val="20"/>
          <w:szCs w:val="20"/>
        </w:rPr>
        <w:t xml:space="preserve"> </w:t>
      </w:r>
      <w:r>
        <w:rPr>
          <w:spacing w:val="-1"/>
          <w:sz w:val="20"/>
          <w:szCs w:val="20"/>
        </w:rPr>
        <w:t>一个参</w:t>
      </w:r>
      <w:r>
        <w:rPr>
          <w:sz w:val="20"/>
          <w:szCs w:val="20"/>
        </w:rPr>
        <w:t xml:space="preserve"> </w:t>
      </w:r>
      <w:r>
        <w:rPr>
          <w:spacing w:val="-3"/>
          <w:sz w:val="20"/>
          <w:szCs w:val="20"/>
        </w:rPr>
        <w:t>数模型可能会得出每行编码的花费预算。</w:t>
      </w:r>
    </w:p>
    <w:p w14:paraId="45AA3249">
      <w:pPr>
        <w:pStyle w:val="2"/>
        <w:spacing w:before="33" w:line="218" w:lineRule="auto"/>
        <w:ind w:left="769"/>
        <w:rPr>
          <w:sz w:val="20"/>
          <w:szCs w:val="20"/>
        </w:rPr>
      </w:pPr>
      <w:r>
        <w:rPr>
          <w:spacing w:val="-2"/>
          <w:sz w:val="20"/>
          <w:szCs w:val="20"/>
        </w:rPr>
        <w:t>参数建模的成本和可靠性各不相同，参数估算法在以下情况下是可靠的：</w:t>
      </w:r>
    </w:p>
    <w:p w14:paraId="1409B999">
      <w:pPr>
        <w:pStyle w:val="2"/>
        <w:spacing w:before="74" w:line="219" w:lineRule="auto"/>
        <w:ind w:left="779"/>
        <w:rPr>
          <w:sz w:val="20"/>
          <w:szCs w:val="20"/>
        </w:rPr>
      </w:pPr>
      <w:r>
        <w:rPr>
          <w:spacing w:val="2"/>
          <w:sz w:val="20"/>
          <w:szCs w:val="20"/>
        </w:rPr>
        <w:t>●用来建模的历史数据是精确的；</w:t>
      </w:r>
    </w:p>
    <w:p w14:paraId="5B1A0617">
      <w:pPr>
        <w:pStyle w:val="2"/>
        <w:spacing w:before="94" w:line="219" w:lineRule="auto"/>
        <w:ind w:left="789"/>
        <w:rPr>
          <w:sz w:val="20"/>
          <w:szCs w:val="20"/>
        </w:rPr>
      </w:pPr>
      <w:r>
        <w:rPr>
          <w:sz w:val="20"/>
          <w:szCs w:val="20"/>
        </w:rPr>
        <w:t>●用来建模的参数容易定量化；</w:t>
      </w:r>
    </w:p>
    <w:p w14:paraId="16321243">
      <w:pPr>
        <w:pStyle w:val="2"/>
        <w:spacing w:before="102" w:line="219" w:lineRule="auto"/>
        <w:ind w:left="789"/>
        <w:rPr>
          <w:sz w:val="20"/>
          <w:szCs w:val="20"/>
        </w:rPr>
      </w:pPr>
      <w:r>
        <w:rPr>
          <w:spacing w:val="1"/>
          <w:sz w:val="20"/>
          <w:szCs w:val="20"/>
        </w:rPr>
        <w:t>●模型对大型项目适用，也对小型项目适用。</w:t>
      </w:r>
    </w:p>
    <w:p w14:paraId="26C89651">
      <w:pPr>
        <w:spacing w:before="152" w:line="227" w:lineRule="auto"/>
        <w:ind w:left="769"/>
        <w:rPr>
          <w:rFonts w:ascii="楷体" w:hAnsi="楷体" w:eastAsia="楷体" w:cs="楷体"/>
          <w:sz w:val="20"/>
          <w:szCs w:val="20"/>
        </w:rPr>
      </w:pPr>
      <w:r>
        <w:rPr>
          <w:rFonts w:ascii="楷体" w:hAnsi="楷体" w:eastAsia="楷体" w:cs="楷体"/>
          <w:spacing w:val="12"/>
          <w:sz w:val="20"/>
          <w:szCs w:val="20"/>
        </w:rPr>
        <w:t>3)自下而上估算</w:t>
      </w:r>
    </w:p>
    <w:p w14:paraId="6D265977">
      <w:pPr>
        <w:pStyle w:val="2"/>
        <w:spacing w:before="76" w:line="283" w:lineRule="auto"/>
        <w:ind w:left="369" w:firstLine="410"/>
        <w:jc w:val="both"/>
        <w:rPr>
          <w:sz w:val="20"/>
          <w:szCs w:val="20"/>
        </w:rPr>
      </w:pPr>
      <w:r>
        <w:rPr>
          <w:sz w:val="20"/>
          <w:szCs w:val="20"/>
        </w:rPr>
        <w:t>自下而上估算是对工作组成部分进行估算的一种方法，通常首先</w:t>
      </w:r>
      <w:r>
        <w:rPr>
          <w:spacing w:val="-1"/>
          <w:sz w:val="20"/>
          <w:szCs w:val="20"/>
        </w:rPr>
        <w:t>估计各个独立工作的费用，</w:t>
      </w:r>
      <w:r>
        <w:rPr>
          <w:sz w:val="20"/>
          <w:szCs w:val="20"/>
        </w:rPr>
        <w:t xml:space="preserve"> </w:t>
      </w:r>
      <w:r>
        <w:rPr>
          <w:spacing w:val="4"/>
          <w:sz w:val="20"/>
          <w:szCs w:val="20"/>
        </w:rPr>
        <w:t>对单个工作包或活动的成本进行最具体、细致的估算，</w:t>
      </w:r>
      <w:r>
        <w:rPr>
          <w:spacing w:val="3"/>
          <w:sz w:val="20"/>
          <w:szCs w:val="20"/>
        </w:rPr>
        <w:t>然后再汇总，从下往上估计出整个项目</w:t>
      </w:r>
      <w:r>
        <w:rPr>
          <w:sz w:val="20"/>
          <w:szCs w:val="20"/>
        </w:rPr>
        <w:t xml:space="preserve"> </w:t>
      </w:r>
      <w:r>
        <w:rPr>
          <w:spacing w:val="4"/>
          <w:sz w:val="20"/>
          <w:szCs w:val="20"/>
        </w:rPr>
        <w:t>的总费用。自下而上估算的成本和准确性取决于单个工作项的大小和预</w:t>
      </w:r>
      <w:r>
        <w:rPr>
          <w:spacing w:val="3"/>
          <w:sz w:val="20"/>
          <w:szCs w:val="20"/>
        </w:rPr>
        <w:t>算人员的经验。工作划</w:t>
      </w:r>
      <w:r>
        <w:rPr>
          <w:sz w:val="20"/>
          <w:szCs w:val="20"/>
        </w:rPr>
        <w:t xml:space="preserve"> </w:t>
      </w:r>
      <w:r>
        <w:rPr>
          <w:spacing w:val="4"/>
          <w:sz w:val="20"/>
          <w:szCs w:val="20"/>
        </w:rPr>
        <w:t>分得细，则花费的时间较长，因此应用代价高，但准确性也有所提升，</w:t>
      </w:r>
      <w:r>
        <w:rPr>
          <w:spacing w:val="3"/>
          <w:sz w:val="20"/>
          <w:szCs w:val="20"/>
        </w:rPr>
        <w:t>因此必须在成本和准确</w:t>
      </w:r>
      <w:r>
        <w:rPr>
          <w:sz w:val="20"/>
          <w:szCs w:val="20"/>
        </w:rPr>
        <w:t xml:space="preserve"> </w:t>
      </w:r>
      <w:r>
        <w:rPr>
          <w:spacing w:val="-5"/>
          <w:sz w:val="20"/>
          <w:szCs w:val="20"/>
        </w:rPr>
        <w:t>性之间进行权衡。</w:t>
      </w:r>
    </w:p>
    <w:p w14:paraId="16427272">
      <w:pPr>
        <w:spacing w:before="117" w:line="228" w:lineRule="auto"/>
        <w:ind w:left="769"/>
        <w:rPr>
          <w:rFonts w:ascii="楷体" w:hAnsi="楷体" w:eastAsia="楷体" w:cs="楷体"/>
          <w:sz w:val="20"/>
          <w:szCs w:val="20"/>
        </w:rPr>
      </w:pPr>
      <w:r>
        <w:rPr>
          <w:rFonts w:ascii="楷体" w:hAnsi="楷体" w:eastAsia="楷体" w:cs="楷体"/>
          <w:spacing w:val="18"/>
          <w:sz w:val="20"/>
          <w:szCs w:val="20"/>
        </w:rPr>
        <w:t>4)三点估算</w:t>
      </w:r>
    </w:p>
    <w:p w14:paraId="58A06EE3">
      <w:pPr>
        <w:pStyle w:val="2"/>
        <w:spacing w:before="51" w:line="281" w:lineRule="auto"/>
        <w:ind w:left="379" w:right="71" w:firstLine="410"/>
        <w:rPr>
          <w:sz w:val="20"/>
          <w:szCs w:val="20"/>
        </w:rPr>
      </w:pPr>
      <w:r>
        <w:rPr>
          <w:spacing w:val="3"/>
          <w:sz w:val="20"/>
          <w:szCs w:val="20"/>
        </w:rPr>
        <w:t>通过考虑估算中的不确定性与风险，使用以下三种估算值来界定活</w:t>
      </w:r>
      <w:r>
        <w:rPr>
          <w:spacing w:val="2"/>
          <w:sz w:val="20"/>
          <w:szCs w:val="20"/>
        </w:rPr>
        <w:t>动成本的近似区间，可</w:t>
      </w:r>
      <w:r>
        <w:rPr>
          <w:sz w:val="20"/>
          <w:szCs w:val="20"/>
        </w:rPr>
        <w:t xml:space="preserve"> </w:t>
      </w:r>
      <w:r>
        <w:rPr>
          <w:spacing w:val="-6"/>
          <w:sz w:val="20"/>
          <w:szCs w:val="20"/>
        </w:rPr>
        <w:t>以提高单点成本估算的准确性：</w:t>
      </w:r>
    </w:p>
    <w:p w14:paraId="4849A432">
      <w:pPr>
        <w:pStyle w:val="2"/>
        <w:spacing w:before="40" w:line="244" w:lineRule="auto"/>
        <w:ind w:left="1059" w:right="65" w:hanging="270"/>
        <w:rPr>
          <w:sz w:val="20"/>
          <w:szCs w:val="20"/>
        </w:rPr>
      </w:pPr>
      <w:r>
        <w:rPr>
          <w:spacing w:val="5"/>
          <w:sz w:val="20"/>
          <w:szCs w:val="20"/>
        </w:rPr>
        <w:t>●</w:t>
      </w:r>
      <w:r>
        <w:rPr>
          <w:spacing w:val="-62"/>
          <w:sz w:val="20"/>
          <w:szCs w:val="20"/>
        </w:rPr>
        <w:t xml:space="preserve"> </w:t>
      </w:r>
      <w:r>
        <w:rPr>
          <w:spacing w:val="5"/>
          <w:sz w:val="20"/>
          <w:szCs w:val="20"/>
        </w:rPr>
        <w:t>最可能成本(</w:t>
      </w:r>
      <w:r>
        <w:rPr>
          <w:sz w:val="20"/>
          <w:szCs w:val="20"/>
        </w:rPr>
        <w:t>Cm</w:t>
      </w:r>
      <w:r>
        <w:rPr>
          <w:spacing w:val="5"/>
          <w:sz w:val="20"/>
          <w:szCs w:val="20"/>
        </w:rPr>
        <w:t>)。 对所需进行的工作和</w:t>
      </w:r>
      <w:r>
        <w:rPr>
          <w:spacing w:val="4"/>
          <w:sz w:val="20"/>
          <w:szCs w:val="20"/>
        </w:rPr>
        <w:t>相关费用进行比较现实的估算，所得到的活动</w:t>
      </w:r>
      <w:r>
        <w:rPr>
          <w:sz w:val="20"/>
          <w:szCs w:val="20"/>
        </w:rPr>
        <w:t xml:space="preserve"> 成本。</w:t>
      </w:r>
    </w:p>
    <w:p w14:paraId="573DB1C7">
      <w:pPr>
        <w:pStyle w:val="2"/>
        <w:spacing w:before="112" w:line="219" w:lineRule="auto"/>
        <w:ind w:left="779"/>
        <w:rPr>
          <w:sz w:val="20"/>
          <w:szCs w:val="20"/>
        </w:rPr>
      </w:pPr>
      <w:r>
        <w:rPr>
          <w:spacing w:val="1"/>
          <w:sz w:val="20"/>
          <w:szCs w:val="20"/>
        </w:rPr>
        <w:t>●</w:t>
      </w:r>
      <w:r>
        <w:rPr>
          <w:spacing w:val="-65"/>
          <w:sz w:val="20"/>
          <w:szCs w:val="20"/>
        </w:rPr>
        <w:t xml:space="preserve"> </w:t>
      </w:r>
      <w:r>
        <w:rPr>
          <w:spacing w:val="1"/>
          <w:sz w:val="20"/>
          <w:szCs w:val="20"/>
        </w:rPr>
        <w:t>最乐观成本(C。)。基于活动的最好情况所得到的</w:t>
      </w:r>
      <w:r>
        <w:rPr>
          <w:sz w:val="20"/>
          <w:szCs w:val="20"/>
        </w:rPr>
        <w:t>成本。</w:t>
      </w:r>
    </w:p>
    <w:p w14:paraId="3140A43A">
      <w:pPr>
        <w:pStyle w:val="2"/>
        <w:spacing w:before="119" w:line="214" w:lineRule="auto"/>
        <w:ind w:left="779"/>
        <w:rPr>
          <w:sz w:val="20"/>
          <w:szCs w:val="20"/>
        </w:rPr>
      </w:pPr>
      <w:r>
        <w:rPr>
          <w:spacing w:val="2"/>
          <w:sz w:val="20"/>
          <w:szCs w:val="20"/>
        </w:rPr>
        <w:t>●</w:t>
      </w:r>
      <w:r>
        <w:rPr>
          <w:spacing w:val="-62"/>
          <w:sz w:val="20"/>
          <w:szCs w:val="20"/>
        </w:rPr>
        <w:t xml:space="preserve"> </w:t>
      </w:r>
      <w:r>
        <w:rPr>
          <w:spacing w:val="2"/>
          <w:sz w:val="20"/>
          <w:szCs w:val="20"/>
        </w:rPr>
        <w:t>最悲观成本(</w:t>
      </w:r>
      <w:r>
        <w:rPr>
          <w:sz w:val="20"/>
          <w:szCs w:val="20"/>
        </w:rPr>
        <w:t>Cp</w:t>
      </w:r>
      <w:r>
        <w:rPr>
          <w:spacing w:val="2"/>
          <w:sz w:val="20"/>
          <w:szCs w:val="20"/>
        </w:rPr>
        <w:t>)。</w:t>
      </w:r>
      <w:r>
        <w:rPr>
          <w:spacing w:val="-29"/>
          <w:sz w:val="20"/>
          <w:szCs w:val="20"/>
        </w:rPr>
        <w:t xml:space="preserve"> </w:t>
      </w:r>
      <w:r>
        <w:rPr>
          <w:spacing w:val="2"/>
          <w:sz w:val="20"/>
          <w:szCs w:val="20"/>
        </w:rPr>
        <w:t>基于活动的最差情况所得到的成本。</w:t>
      </w:r>
    </w:p>
    <w:p w14:paraId="1DA08BEA">
      <w:pPr>
        <w:pStyle w:val="2"/>
        <w:spacing w:before="43" w:line="273" w:lineRule="auto"/>
        <w:ind w:left="379" w:right="70" w:firstLine="400"/>
        <w:rPr>
          <w:sz w:val="20"/>
          <w:szCs w:val="20"/>
        </w:rPr>
      </w:pPr>
      <w:r>
        <w:rPr>
          <w:spacing w:val="3"/>
          <w:sz w:val="20"/>
          <w:szCs w:val="20"/>
        </w:rPr>
        <w:t>基于活动成本在三种估算值区间内的假定分布情况，使用公式来计算活动的预期成本。两</w:t>
      </w:r>
      <w:r>
        <w:rPr>
          <w:spacing w:val="1"/>
          <w:sz w:val="20"/>
          <w:szCs w:val="20"/>
        </w:rPr>
        <w:t xml:space="preserve"> </w:t>
      </w:r>
      <w:r>
        <w:rPr>
          <w:spacing w:val="-2"/>
          <w:sz w:val="20"/>
          <w:szCs w:val="20"/>
        </w:rPr>
        <w:t>种常用的公式是三角分布和贝塔分布，其计算公式分别为：</w:t>
      </w:r>
    </w:p>
    <w:p w14:paraId="58E98183">
      <w:pPr>
        <w:pStyle w:val="2"/>
        <w:spacing w:before="74" w:line="214" w:lineRule="auto"/>
        <w:ind w:left="789"/>
        <w:rPr>
          <w:sz w:val="20"/>
          <w:szCs w:val="20"/>
        </w:rPr>
      </w:pPr>
      <w:r>
        <w:rPr>
          <w:sz w:val="20"/>
          <w:szCs w:val="20"/>
        </w:rPr>
        <w:t>●三角分布。预期成本=(C。+Cm+</w:t>
      </w:r>
      <w:r>
        <w:rPr>
          <w:spacing w:val="14"/>
          <w:sz w:val="20"/>
          <w:szCs w:val="20"/>
        </w:rPr>
        <w:t xml:space="preserve">   </w:t>
      </w:r>
      <w:r>
        <w:rPr>
          <w:sz w:val="20"/>
          <w:szCs w:val="20"/>
        </w:rPr>
        <w:t>Cp)÷3。</w:t>
      </w:r>
    </w:p>
    <w:p w14:paraId="6A9F374F">
      <w:pPr>
        <w:pStyle w:val="2"/>
        <w:spacing w:before="88" w:line="214" w:lineRule="auto"/>
        <w:ind w:left="779"/>
        <w:rPr>
          <w:sz w:val="20"/>
          <w:szCs w:val="20"/>
        </w:rPr>
      </w:pPr>
      <w:r>
        <w:rPr>
          <w:spacing w:val="1"/>
          <w:sz w:val="20"/>
          <w:szCs w:val="20"/>
        </w:rPr>
        <w:t>●贝塔分布。预期成本=(C。+4×</w:t>
      </w:r>
      <w:r>
        <w:rPr>
          <w:sz w:val="20"/>
          <w:szCs w:val="20"/>
        </w:rPr>
        <w:t>Cm</w:t>
      </w:r>
      <w:r>
        <w:rPr>
          <w:spacing w:val="1"/>
          <w:sz w:val="20"/>
          <w:szCs w:val="20"/>
        </w:rPr>
        <w:t>+</w:t>
      </w:r>
      <w:r>
        <w:rPr>
          <w:sz w:val="20"/>
          <w:szCs w:val="20"/>
        </w:rPr>
        <w:t>Cp</w:t>
      </w:r>
      <w:r>
        <w:rPr>
          <w:spacing w:val="1"/>
          <w:sz w:val="20"/>
          <w:szCs w:val="20"/>
        </w:rPr>
        <w:t>)÷6。</w:t>
      </w:r>
    </w:p>
    <w:p w14:paraId="1BCE2EDF">
      <w:pPr>
        <w:pStyle w:val="2"/>
        <w:spacing w:before="133" w:line="219" w:lineRule="auto"/>
        <w:ind w:left="769"/>
        <w:rPr>
          <w:sz w:val="20"/>
          <w:szCs w:val="20"/>
        </w:rPr>
      </w:pPr>
      <w:r>
        <w:rPr>
          <w:spacing w:val="16"/>
          <w:sz w:val="20"/>
          <w:szCs w:val="20"/>
        </w:rPr>
        <w:t>5)数据分析</w:t>
      </w:r>
    </w:p>
    <w:p w14:paraId="2BA5C699">
      <w:pPr>
        <w:pStyle w:val="2"/>
        <w:spacing w:before="71" w:line="267" w:lineRule="auto"/>
        <w:ind w:left="1059" w:right="71" w:hanging="270"/>
        <w:rPr>
          <w:sz w:val="20"/>
          <w:szCs w:val="20"/>
        </w:rPr>
      </w:pPr>
      <w:r>
        <w:rPr>
          <w:spacing w:val="3"/>
          <w:sz w:val="20"/>
          <w:szCs w:val="20"/>
        </w:rPr>
        <w:t>●备选方案分析。备选方案分析是一种对已识别的可选方案进行</w:t>
      </w:r>
      <w:r>
        <w:rPr>
          <w:spacing w:val="2"/>
          <w:sz w:val="20"/>
          <w:szCs w:val="20"/>
        </w:rPr>
        <w:t>评估的技术，用来决定选</w:t>
      </w:r>
      <w:r>
        <w:rPr>
          <w:sz w:val="20"/>
          <w:szCs w:val="20"/>
        </w:rPr>
        <w:t xml:space="preserve"> </w:t>
      </w:r>
      <w:r>
        <w:rPr>
          <w:spacing w:val="1"/>
          <w:sz w:val="20"/>
          <w:szCs w:val="20"/>
        </w:rPr>
        <w:t>择哪种方案或使用何种方法来执行项目工作。例如，评估购买和制造可交付成果分别对</w:t>
      </w:r>
      <w:r>
        <w:rPr>
          <w:sz w:val="20"/>
          <w:szCs w:val="20"/>
        </w:rPr>
        <w:t xml:space="preserve"> </w:t>
      </w:r>
      <w:r>
        <w:rPr>
          <w:spacing w:val="-3"/>
          <w:sz w:val="20"/>
          <w:szCs w:val="20"/>
        </w:rPr>
        <w:t>成本、进度、资源和质量的影响。</w:t>
      </w:r>
    </w:p>
    <w:p w14:paraId="0390E65A">
      <w:pPr>
        <w:pStyle w:val="2"/>
        <w:spacing w:before="82" w:line="281" w:lineRule="auto"/>
        <w:ind w:left="1049" w:right="9" w:hanging="260"/>
        <w:rPr>
          <w:sz w:val="20"/>
          <w:szCs w:val="20"/>
        </w:rPr>
      </w:pPr>
      <w:r>
        <w:rPr>
          <w:spacing w:val="3"/>
          <w:sz w:val="20"/>
          <w:szCs w:val="20"/>
        </w:rPr>
        <w:t>●储备分析。为应对成本的不确定性，成本估算中可以包括应急储备。应</w:t>
      </w:r>
      <w:r>
        <w:rPr>
          <w:spacing w:val="2"/>
          <w:sz w:val="20"/>
          <w:szCs w:val="20"/>
        </w:rPr>
        <w:t>急储备是包含在</w:t>
      </w:r>
      <w:r>
        <w:rPr>
          <w:sz w:val="20"/>
          <w:szCs w:val="20"/>
        </w:rPr>
        <w:t xml:space="preserve"> </w:t>
      </w:r>
      <w:r>
        <w:rPr>
          <w:spacing w:val="3"/>
          <w:sz w:val="20"/>
          <w:szCs w:val="20"/>
        </w:rPr>
        <w:t>成本基准内的一部分预算，用来应对已识别的风险；应急储备还通常是预算</w:t>
      </w:r>
      <w:r>
        <w:rPr>
          <w:spacing w:val="2"/>
          <w:sz w:val="20"/>
          <w:szCs w:val="20"/>
        </w:rPr>
        <w:t>的一部分，</w:t>
      </w:r>
      <w:r>
        <w:rPr>
          <w:sz w:val="20"/>
          <w:szCs w:val="20"/>
        </w:rPr>
        <w:t xml:space="preserve"> </w:t>
      </w:r>
      <w:r>
        <w:rPr>
          <w:spacing w:val="2"/>
          <w:sz w:val="20"/>
          <w:szCs w:val="20"/>
        </w:rPr>
        <w:t>用来应对那些会影响项目的“已知一未知”风险。例</w:t>
      </w:r>
      <w:r>
        <w:rPr>
          <w:spacing w:val="1"/>
          <w:sz w:val="20"/>
          <w:szCs w:val="20"/>
        </w:rPr>
        <w:t>如，可以预知有些项目可交付成果</w:t>
      </w:r>
      <w:r>
        <w:rPr>
          <w:sz w:val="20"/>
          <w:szCs w:val="20"/>
        </w:rPr>
        <w:t xml:space="preserve"> </w:t>
      </w:r>
      <w:r>
        <w:rPr>
          <w:spacing w:val="1"/>
          <w:sz w:val="20"/>
          <w:szCs w:val="20"/>
        </w:rPr>
        <w:t>需要返工，却不知道返工的工作量是多少。可以预留应急储备来应对这些未知数</w:t>
      </w:r>
      <w:r>
        <w:rPr>
          <w:sz w:val="20"/>
          <w:szCs w:val="20"/>
        </w:rPr>
        <w:t xml:space="preserve">量的返 </w:t>
      </w:r>
      <w:r>
        <w:rPr>
          <w:spacing w:val="1"/>
          <w:sz w:val="20"/>
          <w:szCs w:val="20"/>
        </w:rPr>
        <w:t>工工作。小到某个具体活动，大到整个项目，任何层级都可有其应急储备。应急储备可</w:t>
      </w:r>
      <w:r>
        <w:rPr>
          <w:spacing w:val="9"/>
          <w:sz w:val="20"/>
          <w:szCs w:val="20"/>
        </w:rPr>
        <w:t xml:space="preserve"> </w:t>
      </w:r>
      <w:r>
        <w:rPr>
          <w:spacing w:val="1"/>
          <w:sz w:val="20"/>
          <w:szCs w:val="20"/>
        </w:rPr>
        <w:t>以是成本估算值的某一百分比、某个固定值，或者通过定量分析来确定。而随着项目信</w:t>
      </w:r>
    </w:p>
    <w:p w14:paraId="0E9FB74F">
      <w:pPr>
        <w:spacing w:line="281" w:lineRule="auto"/>
        <w:rPr>
          <w:sz w:val="20"/>
          <w:szCs w:val="20"/>
        </w:rPr>
        <w:sectPr>
          <w:pgSz w:w="10310" w:h="13360"/>
          <w:pgMar w:top="400" w:right="990" w:bottom="400" w:left="550" w:header="0" w:footer="0" w:gutter="0"/>
          <w:cols w:space="720" w:num="1"/>
        </w:sectPr>
      </w:pPr>
    </w:p>
    <w:p w14:paraId="639FE1E6">
      <w:pPr>
        <w:pStyle w:val="2"/>
        <w:spacing w:before="26" w:line="219" w:lineRule="auto"/>
        <w:jc w:val="right"/>
        <w:rPr>
          <w:rFonts w:ascii="Times New Roman" w:hAnsi="Times New Roman" w:eastAsia="Times New Roman" w:cs="Times New Roman"/>
          <w:sz w:val="20"/>
          <w:szCs w:val="20"/>
        </w:rPr>
      </w:pPr>
      <w:r>
        <w:rPr>
          <w:spacing w:val="1"/>
          <w:sz w:val="20"/>
          <w:szCs w:val="20"/>
        </w:rPr>
        <w:t>第12章</w:t>
      </w:r>
      <w:r>
        <w:rPr>
          <w:spacing w:val="31"/>
          <w:sz w:val="20"/>
          <w:szCs w:val="20"/>
        </w:rPr>
        <w:t xml:space="preserve"> </w:t>
      </w:r>
      <w:r>
        <w:rPr>
          <w:spacing w:val="1"/>
          <w:sz w:val="20"/>
          <w:szCs w:val="20"/>
        </w:rPr>
        <w:t>投资控制</w:t>
      </w:r>
      <w:r>
        <w:rPr>
          <w:sz w:val="20"/>
          <w:szCs w:val="20"/>
        </w:rPr>
        <w:t xml:space="preserve">      </w:t>
      </w:r>
      <w:r>
        <w:rPr>
          <w:rFonts w:ascii="Times New Roman" w:hAnsi="Times New Roman" w:eastAsia="Times New Roman" w:cs="Times New Roman"/>
          <w:spacing w:val="1"/>
          <w:sz w:val="20"/>
          <w:szCs w:val="20"/>
        </w:rPr>
        <w:t>275</w:t>
      </w:r>
    </w:p>
    <w:p w14:paraId="6261604F">
      <w:pPr>
        <w:spacing w:line="306" w:lineRule="auto"/>
        <w:rPr>
          <w:rFonts w:ascii="Arial"/>
          <w:sz w:val="21"/>
        </w:rPr>
      </w:pPr>
    </w:p>
    <w:p w14:paraId="2B468B1E">
      <w:pPr>
        <w:pStyle w:val="2"/>
        <w:spacing w:before="65" w:line="282" w:lineRule="auto"/>
        <w:ind w:left="700" w:right="347"/>
        <w:rPr>
          <w:sz w:val="20"/>
          <w:szCs w:val="20"/>
        </w:rPr>
      </w:pPr>
      <w:r>
        <w:rPr>
          <w:sz w:val="20"/>
          <w:szCs w:val="20"/>
        </w:rPr>
        <w:t>息越来越明确，可以动用、减少或取消应急储备。应该在成本估算中清楚地列出应急储</w:t>
      </w:r>
      <w:r>
        <w:rPr>
          <w:spacing w:val="17"/>
          <w:sz w:val="20"/>
          <w:szCs w:val="20"/>
        </w:rPr>
        <w:t xml:space="preserve"> </w:t>
      </w:r>
      <w:r>
        <w:rPr>
          <w:spacing w:val="-1"/>
          <w:sz w:val="20"/>
          <w:szCs w:val="20"/>
        </w:rPr>
        <w:t>备。应急储备是成本基准的一部分，也是项目整体资金需求的一部分。</w:t>
      </w:r>
    </w:p>
    <w:p w14:paraId="44BACD08">
      <w:pPr>
        <w:pStyle w:val="2"/>
        <w:spacing w:before="19" w:line="296" w:lineRule="auto"/>
        <w:ind w:left="699" w:right="345" w:hanging="289"/>
        <w:rPr>
          <w:sz w:val="20"/>
          <w:szCs w:val="20"/>
        </w:rPr>
      </w:pPr>
      <w:r>
        <w:rPr>
          <w:spacing w:val="8"/>
          <w:sz w:val="20"/>
          <w:szCs w:val="20"/>
        </w:rPr>
        <w:t>●质量成本。在估算时可能要用到关于质量成本</w:t>
      </w:r>
      <w:r>
        <w:rPr>
          <w:spacing w:val="7"/>
          <w:sz w:val="20"/>
          <w:szCs w:val="20"/>
        </w:rPr>
        <w:t>的各种假设，这包括对以下情况进行评</w:t>
      </w:r>
      <w:r>
        <w:rPr>
          <w:sz w:val="20"/>
          <w:szCs w:val="20"/>
        </w:rPr>
        <w:t xml:space="preserve"> </w:t>
      </w:r>
      <w:r>
        <w:rPr>
          <w:spacing w:val="1"/>
          <w:sz w:val="20"/>
          <w:szCs w:val="20"/>
        </w:rPr>
        <w:t>估：是为达到要求而增加投入，还是承担不</w:t>
      </w:r>
      <w:r>
        <w:rPr>
          <w:sz w:val="20"/>
          <w:szCs w:val="20"/>
        </w:rPr>
        <w:t xml:space="preserve">符合要求而造成的成本；是寻求短期成本降 </w:t>
      </w:r>
      <w:r>
        <w:rPr>
          <w:spacing w:val="-2"/>
          <w:sz w:val="20"/>
          <w:szCs w:val="20"/>
        </w:rPr>
        <w:t>低，还是承担信息系统生命周期后期频繁出现问题的后果。</w:t>
      </w:r>
    </w:p>
    <w:p w14:paraId="183ABD4B">
      <w:pPr>
        <w:pStyle w:val="2"/>
        <w:spacing w:before="185" w:line="219" w:lineRule="auto"/>
        <w:ind w:left="3"/>
        <w:rPr>
          <w:sz w:val="26"/>
          <w:szCs w:val="26"/>
        </w:rPr>
      </w:pPr>
      <w:bookmarkStart w:id="632" w:name="bookmark617"/>
      <w:bookmarkEnd w:id="632"/>
      <w:r>
        <w:rPr>
          <w:b/>
          <w:bCs/>
          <w:color w:val="0071E3"/>
          <w:spacing w:val="-22"/>
          <w:sz w:val="26"/>
          <w:szCs w:val="26"/>
        </w:rPr>
        <w:t>12.2.3</w:t>
      </w:r>
      <w:r>
        <w:rPr>
          <w:color w:val="0071E3"/>
          <w:spacing w:val="68"/>
          <w:sz w:val="26"/>
          <w:szCs w:val="26"/>
        </w:rPr>
        <w:t xml:space="preserve"> </w:t>
      </w:r>
      <w:r>
        <w:rPr>
          <w:b/>
          <w:bCs/>
          <w:color w:val="0071E3"/>
          <w:spacing w:val="-22"/>
          <w:sz w:val="26"/>
          <w:szCs w:val="26"/>
        </w:rPr>
        <w:t>成本预算</w:t>
      </w:r>
    </w:p>
    <w:p w14:paraId="0CDB43C0">
      <w:pPr>
        <w:pStyle w:val="2"/>
        <w:spacing w:before="152" w:line="302" w:lineRule="auto"/>
        <w:ind w:right="337" w:firstLine="410"/>
        <w:rPr>
          <w:sz w:val="20"/>
          <w:szCs w:val="20"/>
        </w:rPr>
      </w:pPr>
      <w:r>
        <w:rPr>
          <w:spacing w:val="3"/>
          <w:sz w:val="20"/>
          <w:szCs w:val="20"/>
        </w:rPr>
        <w:t>成本预算是把估算阶段形成的估算总成本分配到各个工作中，建立成本基准，以衡量项目</w:t>
      </w:r>
      <w:r>
        <w:rPr>
          <w:sz w:val="20"/>
          <w:szCs w:val="20"/>
        </w:rPr>
        <w:t xml:space="preserve"> </w:t>
      </w:r>
      <w:r>
        <w:rPr>
          <w:spacing w:val="-6"/>
          <w:sz w:val="20"/>
          <w:szCs w:val="20"/>
        </w:rPr>
        <w:t>执行情况。</w:t>
      </w:r>
    </w:p>
    <w:p w14:paraId="14B8DBB7">
      <w:pPr>
        <w:pStyle w:val="2"/>
        <w:spacing w:before="93" w:line="221" w:lineRule="auto"/>
        <w:ind w:left="412"/>
        <w:rPr>
          <w:rFonts w:ascii="黑体" w:hAnsi="黑体" w:eastAsia="黑体" w:cs="黑体"/>
          <w:sz w:val="20"/>
          <w:szCs w:val="20"/>
        </w:rPr>
      </w:pPr>
      <w:r>
        <w:rPr>
          <w:b/>
          <w:bCs/>
          <w:color w:val="0075DD"/>
          <w:spacing w:val="-5"/>
          <w:sz w:val="20"/>
          <w:szCs w:val="20"/>
        </w:rPr>
        <w:t>1.</w:t>
      </w:r>
      <w:r>
        <w:rPr>
          <w:rFonts w:ascii="黑体" w:hAnsi="黑体" w:eastAsia="黑体" w:cs="黑体"/>
          <w:b/>
          <w:bCs/>
          <w:color w:val="0075DD"/>
          <w:spacing w:val="-5"/>
          <w:sz w:val="20"/>
          <w:szCs w:val="20"/>
        </w:rPr>
        <w:t>成本预算的类型</w:t>
      </w:r>
    </w:p>
    <w:p w14:paraId="365286E2">
      <w:pPr>
        <w:pStyle w:val="2"/>
        <w:spacing w:before="144" w:line="264" w:lineRule="auto"/>
        <w:ind w:right="317" w:firstLine="410"/>
        <w:rPr>
          <w:sz w:val="20"/>
          <w:szCs w:val="20"/>
        </w:rPr>
      </w:pPr>
      <w:r>
        <w:rPr>
          <w:spacing w:val="4"/>
          <w:sz w:val="20"/>
          <w:szCs w:val="20"/>
        </w:rPr>
        <w:t>信息系统工程建设成本的预算主要包含量级预</w:t>
      </w:r>
      <w:r>
        <w:rPr>
          <w:spacing w:val="3"/>
          <w:sz w:val="20"/>
          <w:szCs w:val="20"/>
        </w:rPr>
        <w:t>算、预算估算和最终预算。这些方法的不同</w:t>
      </w:r>
      <w:r>
        <w:rPr>
          <w:sz w:val="20"/>
          <w:szCs w:val="20"/>
        </w:rPr>
        <w:t xml:space="preserve"> </w:t>
      </w:r>
      <w:r>
        <w:rPr>
          <w:spacing w:val="-3"/>
          <w:sz w:val="20"/>
          <w:szCs w:val="20"/>
        </w:rPr>
        <w:t>主要体现在其在什么时间进行、如何使用和精确度如何。</w:t>
      </w:r>
    </w:p>
    <w:p w14:paraId="3FB776A5">
      <w:pPr>
        <w:pStyle w:val="2"/>
        <w:spacing w:before="41" w:line="275" w:lineRule="auto"/>
        <w:ind w:right="327" w:firstLine="410"/>
        <w:rPr>
          <w:sz w:val="20"/>
          <w:szCs w:val="20"/>
        </w:rPr>
      </w:pPr>
      <w:r>
        <w:rPr>
          <w:spacing w:val="5"/>
          <w:sz w:val="20"/>
          <w:szCs w:val="20"/>
        </w:rPr>
        <w:t>(1)量级预算提供了信息系统工程建设成本控制的一个粗略概念。它在信息系统工程建设</w:t>
      </w:r>
      <w:r>
        <w:rPr>
          <w:spacing w:val="8"/>
          <w:sz w:val="20"/>
          <w:szCs w:val="20"/>
        </w:rPr>
        <w:t xml:space="preserve"> </w:t>
      </w:r>
      <w:r>
        <w:rPr>
          <w:spacing w:val="3"/>
          <w:sz w:val="20"/>
          <w:szCs w:val="20"/>
        </w:rPr>
        <w:t>早期甚至建设之前使用，信息系统工程建设相关人员使用该预算帮助决策。进行这种类型的预</w:t>
      </w:r>
      <w:r>
        <w:rPr>
          <w:spacing w:val="14"/>
          <w:sz w:val="20"/>
          <w:szCs w:val="20"/>
        </w:rPr>
        <w:t xml:space="preserve"> </w:t>
      </w:r>
      <w:r>
        <w:rPr>
          <w:spacing w:val="17"/>
          <w:sz w:val="20"/>
          <w:szCs w:val="20"/>
        </w:rPr>
        <w:t>算通常是在工程建设完成之前2～3年。量级预算的精确度一般是从-25</w:t>
      </w:r>
      <w:r>
        <w:rPr>
          <w:spacing w:val="16"/>
          <w:sz w:val="20"/>
          <w:szCs w:val="20"/>
        </w:rPr>
        <w:t>%～75%,也就是项</w:t>
      </w:r>
      <w:r>
        <w:rPr>
          <w:sz w:val="20"/>
          <w:szCs w:val="20"/>
        </w:rPr>
        <w:t xml:space="preserve"> </w:t>
      </w:r>
      <w:r>
        <w:rPr>
          <w:spacing w:val="9"/>
          <w:sz w:val="20"/>
          <w:szCs w:val="20"/>
        </w:rPr>
        <w:t>目的实际成本可能低于量级预算的25%,或高于量级预算的75%。对于目前的信息系统工程建</w:t>
      </w:r>
      <w:r>
        <w:rPr>
          <w:spacing w:val="10"/>
          <w:sz w:val="20"/>
          <w:szCs w:val="20"/>
        </w:rPr>
        <w:t xml:space="preserve"> </w:t>
      </w:r>
      <w:r>
        <w:rPr>
          <w:spacing w:val="2"/>
          <w:sz w:val="20"/>
          <w:szCs w:val="20"/>
        </w:rPr>
        <w:t>设而言，该精确范围经常更广。例如，许多</w:t>
      </w:r>
      <w:r>
        <w:rPr>
          <w:rFonts w:ascii="Times New Roman" w:hAnsi="Times New Roman" w:eastAsia="Times New Roman" w:cs="Times New Roman"/>
          <w:sz w:val="20"/>
          <w:szCs w:val="20"/>
        </w:rPr>
        <w:t>IT</w:t>
      </w:r>
      <w:r>
        <w:rPr>
          <w:rFonts w:ascii="Times New Roman" w:hAnsi="Times New Roman" w:eastAsia="Times New Roman" w:cs="Times New Roman"/>
          <w:spacing w:val="27"/>
          <w:sz w:val="20"/>
          <w:szCs w:val="20"/>
        </w:rPr>
        <w:t xml:space="preserve"> </w:t>
      </w:r>
      <w:r>
        <w:rPr>
          <w:spacing w:val="1"/>
          <w:sz w:val="20"/>
          <w:szCs w:val="20"/>
        </w:rPr>
        <w:t>项目专业人员为软件开发项目成本估算自动增加</w:t>
      </w:r>
      <w:r>
        <w:rPr>
          <w:sz w:val="20"/>
          <w:szCs w:val="20"/>
        </w:rPr>
        <w:t xml:space="preserve"> </w:t>
      </w:r>
      <w:r>
        <w:rPr>
          <w:spacing w:val="-4"/>
          <w:sz w:val="20"/>
          <w:szCs w:val="20"/>
        </w:rPr>
        <w:t>一倍。</w:t>
      </w:r>
    </w:p>
    <w:p w14:paraId="11034A12">
      <w:pPr>
        <w:pStyle w:val="2"/>
        <w:spacing w:before="101" w:line="262" w:lineRule="auto"/>
        <w:ind w:right="345" w:firstLine="410"/>
        <w:rPr>
          <w:sz w:val="20"/>
          <w:szCs w:val="20"/>
        </w:rPr>
      </w:pPr>
      <w:r>
        <w:rPr>
          <w:spacing w:val="8"/>
          <w:sz w:val="20"/>
          <w:szCs w:val="20"/>
        </w:rPr>
        <w:t>(2)预算估算被用来将资金划入一个组织的预算。许多业主</w:t>
      </w:r>
      <w:r>
        <w:rPr>
          <w:spacing w:val="7"/>
          <w:sz w:val="20"/>
          <w:szCs w:val="20"/>
        </w:rPr>
        <w:t>单位建立至少2年的预算。预</w:t>
      </w:r>
      <w:r>
        <w:rPr>
          <w:sz w:val="20"/>
          <w:szCs w:val="20"/>
        </w:rPr>
        <w:t xml:space="preserve"> </w:t>
      </w:r>
      <w:r>
        <w:rPr>
          <w:spacing w:val="17"/>
          <w:sz w:val="20"/>
          <w:szCs w:val="20"/>
        </w:rPr>
        <w:t>算估算在信息系统工程完成前1～2年做出。其精确度一般在-10%</w:t>
      </w:r>
      <w:r>
        <w:rPr>
          <w:spacing w:val="16"/>
          <w:sz w:val="20"/>
          <w:szCs w:val="20"/>
        </w:rPr>
        <w:t>～25%,也就是项目的实</w:t>
      </w:r>
      <w:r>
        <w:rPr>
          <w:sz w:val="20"/>
          <w:szCs w:val="20"/>
        </w:rPr>
        <w:t xml:space="preserve"> </w:t>
      </w:r>
      <w:r>
        <w:rPr>
          <w:spacing w:val="10"/>
          <w:sz w:val="20"/>
          <w:szCs w:val="20"/>
        </w:rPr>
        <w:t>际成本可能低于预算估算的10%,或高于预算估算的25%。</w:t>
      </w:r>
    </w:p>
    <w:p w14:paraId="3085EC27">
      <w:pPr>
        <w:pStyle w:val="2"/>
        <w:spacing w:before="78" w:line="262" w:lineRule="auto"/>
        <w:ind w:right="333" w:firstLine="410"/>
        <w:rPr>
          <w:sz w:val="20"/>
          <w:szCs w:val="20"/>
        </w:rPr>
      </w:pPr>
      <w:r>
        <w:rPr>
          <w:spacing w:val="5"/>
          <w:sz w:val="20"/>
          <w:szCs w:val="20"/>
        </w:rPr>
        <w:t>(3)最终预算提供精确的项目成本预算。常用于许多项目采购决策的制定，因为这些决策</w:t>
      </w:r>
      <w:r>
        <w:rPr>
          <w:spacing w:val="7"/>
          <w:sz w:val="20"/>
          <w:szCs w:val="20"/>
        </w:rPr>
        <w:t xml:space="preserve"> </w:t>
      </w:r>
      <w:r>
        <w:rPr>
          <w:spacing w:val="10"/>
          <w:sz w:val="20"/>
          <w:szCs w:val="20"/>
        </w:rPr>
        <w:t>需要精确的预算。也常用于估算信息系统工程建设的最终成本，其精确度通常在-5%～10%,</w:t>
      </w:r>
      <w:r>
        <w:rPr>
          <w:spacing w:val="1"/>
          <w:sz w:val="20"/>
          <w:szCs w:val="20"/>
        </w:rPr>
        <w:t xml:space="preserve"> </w:t>
      </w:r>
      <w:r>
        <w:rPr>
          <w:spacing w:val="8"/>
          <w:sz w:val="20"/>
          <w:szCs w:val="20"/>
        </w:rPr>
        <w:t>也就是项目的实际成本可能低于最终预算的5%,或高于最终预算的10%。</w:t>
      </w:r>
    </w:p>
    <w:p w14:paraId="71163EF9">
      <w:pPr>
        <w:pStyle w:val="2"/>
        <w:spacing w:before="175" w:line="222" w:lineRule="auto"/>
        <w:ind w:left="412"/>
        <w:rPr>
          <w:rFonts w:ascii="黑体" w:hAnsi="黑体" w:eastAsia="黑体" w:cs="黑体"/>
          <w:sz w:val="20"/>
          <w:szCs w:val="20"/>
        </w:rPr>
      </w:pPr>
      <w:r>
        <w:rPr>
          <w:b/>
          <w:bCs/>
          <w:color w:val="0065CA"/>
          <w:spacing w:val="-2"/>
          <w:sz w:val="20"/>
          <w:szCs w:val="20"/>
        </w:rPr>
        <w:t>2.</w:t>
      </w:r>
      <w:r>
        <w:rPr>
          <w:rFonts w:ascii="黑体" w:hAnsi="黑体" w:eastAsia="黑体" w:cs="黑体"/>
          <w:b/>
          <w:bCs/>
          <w:color w:val="0065CA"/>
          <w:spacing w:val="-2"/>
          <w:sz w:val="20"/>
          <w:szCs w:val="20"/>
        </w:rPr>
        <w:t>成本预算的常用技术</w:t>
      </w:r>
    </w:p>
    <w:p w14:paraId="6F6E8095">
      <w:pPr>
        <w:spacing w:before="211" w:line="225" w:lineRule="auto"/>
        <w:ind w:left="410"/>
        <w:rPr>
          <w:rFonts w:ascii="楷体" w:hAnsi="楷体" w:eastAsia="楷体" w:cs="楷体"/>
          <w:sz w:val="20"/>
          <w:szCs w:val="20"/>
        </w:rPr>
      </w:pPr>
      <w:r>
        <w:rPr>
          <w:rFonts w:ascii="楷体" w:hAnsi="楷体" w:eastAsia="楷体" w:cs="楷体"/>
          <w:spacing w:val="17"/>
          <w:sz w:val="20"/>
          <w:szCs w:val="20"/>
        </w:rPr>
        <w:t>1)成本汇总</w:t>
      </w:r>
    </w:p>
    <w:p w14:paraId="5C2A44CD">
      <w:pPr>
        <w:pStyle w:val="2"/>
        <w:spacing w:before="58" w:line="282" w:lineRule="auto"/>
        <w:ind w:right="345" w:firstLine="410"/>
        <w:rPr>
          <w:sz w:val="20"/>
          <w:szCs w:val="20"/>
        </w:rPr>
      </w:pPr>
      <w:r>
        <w:rPr>
          <w:spacing w:val="3"/>
          <w:sz w:val="20"/>
          <w:szCs w:val="20"/>
        </w:rPr>
        <w:t>制定预算是汇总所有单个活动或工作包的估算成本，最终得出整个项目</w:t>
      </w:r>
      <w:r>
        <w:rPr>
          <w:spacing w:val="2"/>
          <w:sz w:val="20"/>
          <w:szCs w:val="20"/>
        </w:rPr>
        <w:t>的总成本，建立一</w:t>
      </w:r>
      <w:r>
        <w:rPr>
          <w:sz w:val="20"/>
          <w:szCs w:val="20"/>
        </w:rPr>
        <w:t xml:space="preserve"> </w:t>
      </w:r>
      <w:r>
        <w:rPr>
          <w:spacing w:val="-3"/>
          <w:sz w:val="20"/>
          <w:szCs w:val="20"/>
        </w:rPr>
        <w:t>个经批准的成本基准的过程。</w:t>
      </w:r>
    </w:p>
    <w:p w14:paraId="723AE72A">
      <w:pPr>
        <w:spacing w:before="88" w:line="226" w:lineRule="auto"/>
        <w:ind w:left="410"/>
        <w:rPr>
          <w:rFonts w:ascii="楷体" w:hAnsi="楷体" w:eastAsia="楷体" w:cs="楷体"/>
          <w:sz w:val="20"/>
          <w:szCs w:val="20"/>
        </w:rPr>
      </w:pPr>
      <w:r>
        <w:rPr>
          <w:rFonts w:ascii="楷体" w:hAnsi="楷体" w:eastAsia="楷体" w:cs="楷体"/>
          <w:spacing w:val="17"/>
          <w:sz w:val="20"/>
          <w:szCs w:val="20"/>
        </w:rPr>
        <w:t>2)储备分析</w:t>
      </w:r>
    </w:p>
    <w:p w14:paraId="5B03B3EE">
      <w:pPr>
        <w:pStyle w:val="2"/>
        <w:spacing w:before="57" w:line="279" w:lineRule="auto"/>
        <w:ind w:right="345" w:firstLine="410"/>
        <w:rPr>
          <w:sz w:val="20"/>
          <w:szCs w:val="20"/>
        </w:rPr>
      </w:pPr>
      <w:r>
        <w:rPr>
          <w:spacing w:val="3"/>
          <w:sz w:val="20"/>
          <w:szCs w:val="20"/>
        </w:rPr>
        <w:t>可以建立项目管理储备的储备分析。管理储备是为了管理控制的目</w:t>
      </w:r>
      <w:r>
        <w:rPr>
          <w:spacing w:val="2"/>
          <w:sz w:val="20"/>
          <w:szCs w:val="20"/>
        </w:rPr>
        <w:t>的而特别留出的项目预</w:t>
      </w:r>
      <w:r>
        <w:rPr>
          <w:sz w:val="20"/>
          <w:szCs w:val="20"/>
        </w:rPr>
        <w:t xml:space="preserve"> </w:t>
      </w:r>
      <w:r>
        <w:rPr>
          <w:spacing w:val="3"/>
          <w:sz w:val="20"/>
          <w:szCs w:val="20"/>
        </w:rPr>
        <w:t>算，用来应对项目范围中不可预见的工作，目的是用来应对会影响项目的未知风险</w:t>
      </w:r>
      <w:r>
        <w:rPr>
          <w:spacing w:val="2"/>
          <w:sz w:val="20"/>
          <w:szCs w:val="20"/>
        </w:rPr>
        <w:t>。管理储备</w:t>
      </w:r>
      <w:r>
        <w:rPr>
          <w:sz w:val="20"/>
          <w:szCs w:val="20"/>
        </w:rPr>
        <w:t xml:space="preserve"> </w:t>
      </w:r>
      <w:r>
        <w:rPr>
          <w:spacing w:val="3"/>
          <w:sz w:val="20"/>
          <w:szCs w:val="20"/>
        </w:rPr>
        <w:t>不包括在成本基准中，但属于项目总预算和资金需求的一部分。当动用管理储备资助</w:t>
      </w:r>
      <w:r>
        <w:rPr>
          <w:spacing w:val="2"/>
          <w:sz w:val="20"/>
          <w:szCs w:val="20"/>
        </w:rPr>
        <w:t>不可预见</w:t>
      </w:r>
      <w:r>
        <w:rPr>
          <w:sz w:val="20"/>
          <w:szCs w:val="20"/>
        </w:rPr>
        <w:t xml:space="preserve"> </w:t>
      </w:r>
      <w:r>
        <w:rPr>
          <w:spacing w:val="-2"/>
          <w:sz w:val="20"/>
          <w:szCs w:val="20"/>
        </w:rPr>
        <w:t>的工作时，就要把动用的管理储备增加到成本基准中，从而导致成本基准变更。</w:t>
      </w:r>
    </w:p>
    <w:p w14:paraId="6EA903D8">
      <w:pPr>
        <w:spacing w:before="106" w:line="223" w:lineRule="auto"/>
        <w:ind w:left="410"/>
        <w:rPr>
          <w:rFonts w:ascii="楷体" w:hAnsi="楷体" w:eastAsia="楷体" w:cs="楷体"/>
          <w:sz w:val="20"/>
          <w:szCs w:val="20"/>
        </w:rPr>
      </w:pPr>
      <w:r>
        <w:rPr>
          <w:rFonts w:ascii="楷体" w:hAnsi="楷体" w:eastAsia="楷体" w:cs="楷体"/>
          <w:spacing w:val="11"/>
          <w:sz w:val="20"/>
          <w:szCs w:val="20"/>
        </w:rPr>
        <w:t>3)历史信息审核</w:t>
      </w:r>
    </w:p>
    <w:p w14:paraId="4E7B7646">
      <w:pPr>
        <w:pStyle w:val="2"/>
        <w:spacing w:before="71" w:line="216" w:lineRule="auto"/>
        <w:ind w:left="410"/>
        <w:rPr>
          <w:sz w:val="20"/>
          <w:szCs w:val="20"/>
        </w:rPr>
      </w:pPr>
      <w:r>
        <w:rPr>
          <w:spacing w:val="7"/>
          <w:sz w:val="20"/>
          <w:szCs w:val="20"/>
        </w:rPr>
        <w:t>审核历史信息有助于进行类比估算或参数估算。</w:t>
      </w:r>
      <w:r>
        <w:rPr>
          <w:spacing w:val="6"/>
          <w:sz w:val="20"/>
          <w:szCs w:val="20"/>
        </w:rPr>
        <w:t>历史信息可以包括各种项目特征(参数),</w:t>
      </w:r>
    </w:p>
    <w:p w14:paraId="44C65580">
      <w:pPr>
        <w:spacing w:line="216" w:lineRule="auto"/>
        <w:rPr>
          <w:sz w:val="20"/>
          <w:szCs w:val="20"/>
        </w:rPr>
        <w:sectPr>
          <w:pgSz w:w="10290" w:h="13310"/>
          <w:pgMar w:top="400" w:right="564" w:bottom="400" w:left="1059" w:header="0" w:footer="0" w:gutter="0"/>
          <w:cols w:space="720" w:num="1"/>
        </w:sectPr>
      </w:pPr>
    </w:p>
    <w:p w14:paraId="7842A590">
      <w:pPr>
        <w:pStyle w:val="2"/>
        <w:spacing w:before="37" w:line="219" w:lineRule="auto"/>
        <w:rPr>
          <w:sz w:val="19"/>
          <w:szCs w:val="19"/>
        </w:rPr>
      </w:pPr>
      <w:r>
        <w:rPr>
          <w:rFonts w:ascii="Times New Roman" w:hAnsi="Times New Roman" w:eastAsia="Times New Roman" w:cs="Times New Roman"/>
          <w:spacing w:val="3"/>
          <w:position w:val="-2"/>
          <w:sz w:val="19"/>
          <w:szCs w:val="19"/>
        </w:rPr>
        <w:t xml:space="preserve">276              </w:t>
      </w:r>
      <w:r>
        <w:rPr>
          <w:spacing w:val="3"/>
          <w:sz w:val="19"/>
          <w:szCs w:val="19"/>
        </w:rPr>
        <w:t>信息系统监理师教程(第2版)</w:t>
      </w:r>
    </w:p>
    <w:p w14:paraId="7BFA065F">
      <w:pPr>
        <w:spacing w:line="314" w:lineRule="auto"/>
        <w:rPr>
          <w:rFonts w:ascii="Arial"/>
          <w:sz w:val="21"/>
        </w:rPr>
      </w:pPr>
    </w:p>
    <w:p w14:paraId="13F0B48F">
      <w:pPr>
        <w:pStyle w:val="2"/>
        <w:spacing w:before="62" w:line="306" w:lineRule="auto"/>
        <w:ind w:left="359" w:right="48"/>
        <w:rPr>
          <w:sz w:val="19"/>
          <w:szCs w:val="19"/>
        </w:rPr>
      </w:pPr>
      <w:r>
        <w:rPr>
          <w:spacing w:val="13"/>
          <w:sz w:val="19"/>
          <w:szCs w:val="19"/>
        </w:rPr>
        <w:t>能够用于建立数学模型预测项目总成本。类比和参数模型的成本及准确性可能差别很大。在以</w:t>
      </w:r>
      <w:r>
        <w:rPr>
          <w:spacing w:val="12"/>
          <w:sz w:val="19"/>
          <w:szCs w:val="19"/>
        </w:rPr>
        <w:t xml:space="preserve"> </w:t>
      </w:r>
      <w:r>
        <w:rPr>
          <w:spacing w:val="5"/>
          <w:sz w:val="19"/>
          <w:szCs w:val="19"/>
        </w:rPr>
        <w:t>下情况下，类比估算和参数估算将最为可靠：</w:t>
      </w:r>
    </w:p>
    <w:p w14:paraId="5653D400">
      <w:pPr>
        <w:pStyle w:val="2"/>
        <w:spacing w:before="11" w:line="219" w:lineRule="auto"/>
        <w:ind w:left="759"/>
        <w:rPr>
          <w:sz w:val="19"/>
          <w:szCs w:val="19"/>
        </w:rPr>
      </w:pPr>
      <w:r>
        <w:rPr>
          <w:spacing w:val="10"/>
          <w:sz w:val="19"/>
          <w:szCs w:val="19"/>
        </w:rPr>
        <w:t>●用来建立模型的历史信息准确；</w:t>
      </w:r>
    </w:p>
    <w:p w14:paraId="508637F1">
      <w:pPr>
        <w:pStyle w:val="2"/>
        <w:spacing w:before="104" w:line="219" w:lineRule="auto"/>
        <w:ind w:left="759"/>
        <w:rPr>
          <w:sz w:val="19"/>
          <w:szCs w:val="19"/>
        </w:rPr>
      </w:pPr>
      <w:r>
        <w:rPr>
          <w:spacing w:val="10"/>
          <w:sz w:val="19"/>
          <w:szCs w:val="19"/>
        </w:rPr>
        <w:t>●模型中的参数易于量化；</w:t>
      </w:r>
    </w:p>
    <w:p w14:paraId="49B2FF91">
      <w:pPr>
        <w:pStyle w:val="2"/>
        <w:spacing w:before="104" w:line="219" w:lineRule="auto"/>
        <w:ind w:left="759"/>
        <w:rPr>
          <w:sz w:val="19"/>
          <w:szCs w:val="19"/>
        </w:rPr>
      </w:pPr>
      <w:r>
        <w:rPr>
          <w:spacing w:val="10"/>
          <w:sz w:val="19"/>
          <w:szCs w:val="19"/>
        </w:rPr>
        <w:t>●模型可以调整，以便对大项目、小项目和各项目阶段都适用。</w:t>
      </w:r>
    </w:p>
    <w:p w14:paraId="27959983">
      <w:pPr>
        <w:spacing w:before="190" w:line="224" w:lineRule="auto"/>
        <w:ind w:left="759"/>
        <w:rPr>
          <w:rFonts w:ascii="楷体" w:hAnsi="楷体" w:eastAsia="楷体" w:cs="楷体"/>
          <w:sz w:val="19"/>
          <w:szCs w:val="19"/>
        </w:rPr>
      </w:pPr>
      <w:r>
        <w:rPr>
          <w:rFonts w:ascii="楷体" w:hAnsi="楷体" w:eastAsia="楷体" w:cs="楷体"/>
          <w:spacing w:val="20"/>
          <w:sz w:val="19"/>
          <w:szCs w:val="19"/>
        </w:rPr>
        <w:t>4)资金限制平衡</w:t>
      </w:r>
    </w:p>
    <w:p w14:paraId="790B709E">
      <w:pPr>
        <w:pStyle w:val="2"/>
        <w:spacing w:before="64" w:line="302" w:lineRule="auto"/>
        <w:ind w:left="359" w:right="20" w:firstLine="399"/>
        <w:jc w:val="both"/>
        <w:rPr>
          <w:sz w:val="19"/>
          <w:szCs w:val="19"/>
        </w:rPr>
      </w:pPr>
      <w:r>
        <w:rPr>
          <w:spacing w:val="14"/>
          <w:sz w:val="19"/>
          <w:szCs w:val="19"/>
        </w:rPr>
        <w:t>应该根据对项目资金的限制来平衡资金支出。如果发现资金限制与计划支出之间的差异，</w:t>
      </w:r>
      <w:r>
        <w:rPr>
          <w:spacing w:val="8"/>
          <w:sz w:val="19"/>
          <w:szCs w:val="19"/>
        </w:rPr>
        <w:t xml:space="preserve"> </w:t>
      </w:r>
      <w:r>
        <w:rPr>
          <w:spacing w:val="13"/>
          <w:sz w:val="19"/>
          <w:szCs w:val="19"/>
        </w:rPr>
        <w:t>则可能需要调整工作的进度计划，以平衡资金支出水平。这可以通过在项目进度计划中添加强</w:t>
      </w:r>
      <w:r>
        <w:rPr>
          <w:spacing w:val="5"/>
          <w:sz w:val="19"/>
          <w:szCs w:val="19"/>
        </w:rPr>
        <w:t xml:space="preserve"> </w:t>
      </w:r>
      <w:r>
        <w:rPr>
          <w:spacing w:val="4"/>
          <w:sz w:val="19"/>
          <w:szCs w:val="19"/>
        </w:rPr>
        <w:t>制日期来实现。</w:t>
      </w:r>
    </w:p>
    <w:p w14:paraId="0255C1F5">
      <w:pPr>
        <w:spacing w:before="120" w:line="238" w:lineRule="auto"/>
        <w:ind w:left="759"/>
        <w:rPr>
          <w:rFonts w:ascii="LiSu" w:hAnsi="LiSu" w:eastAsia="LiSu" w:cs="LiSu"/>
          <w:sz w:val="19"/>
          <w:szCs w:val="19"/>
        </w:rPr>
      </w:pPr>
      <w:r>
        <w:rPr>
          <w:rFonts w:ascii="LiSu" w:hAnsi="LiSu" w:eastAsia="LiSu" w:cs="LiSu"/>
          <w:spacing w:val="-6"/>
          <w:sz w:val="19"/>
          <w:szCs w:val="19"/>
        </w:rPr>
        <w:t>5</w:t>
      </w:r>
      <w:r>
        <w:rPr>
          <w:rFonts w:ascii="LiSu" w:hAnsi="LiSu" w:eastAsia="LiSu" w:cs="LiSu"/>
          <w:spacing w:val="-38"/>
          <w:sz w:val="19"/>
          <w:szCs w:val="19"/>
        </w:rPr>
        <w:t xml:space="preserve"> </w:t>
      </w:r>
      <w:r>
        <w:rPr>
          <w:rFonts w:ascii="LiSu" w:hAnsi="LiSu" w:eastAsia="LiSu" w:cs="LiSu"/>
          <w:spacing w:val="-6"/>
          <w:sz w:val="19"/>
          <w:szCs w:val="19"/>
        </w:rPr>
        <w:t>)</w:t>
      </w:r>
      <w:r>
        <w:rPr>
          <w:rFonts w:ascii="LiSu" w:hAnsi="LiSu" w:eastAsia="LiSu" w:cs="LiSu"/>
          <w:spacing w:val="-44"/>
          <w:sz w:val="19"/>
          <w:szCs w:val="19"/>
        </w:rPr>
        <w:t xml:space="preserve"> </w:t>
      </w:r>
      <w:r>
        <w:rPr>
          <w:rFonts w:ascii="LiSu" w:hAnsi="LiSu" w:eastAsia="LiSu" w:cs="LiSu"/>
          <w:spacing w:val="-6"/>
          <w:sz w:val="19"/>
          <w:szCs w:val="19"/>
        </w:rPr>
        <w:t>融</w:t>
      </w:r>
      <w:r>
        <w:rPr>
          <w:rFonts w:ascii="LiSu" w:hAnsi="LiSu" w:eastAsia="LiSu" w:cs="LiSu"/>
          <w:spacing w:val="-43"/>
          <w:sz w:val="19"/>
          <w:szCs w:val="19"/>
        </w:rPr>
        <w:t xml:space="preserve"> </w:t>
      </w:r>
      <w:r>
        <w:rPr>
          <w:rFonts w:ascii="LiSu" w:hAnsi="LiSu" w:eastAsia="LiSu" w:cs="LiSu"/>
          <w:spacing w:val="-6"/>
          <w:sz w:val="19"/>
          <w:szCs w:val="19"/>
        </w:rPr>
        <w:t>资</w:t>
      </w:r>
    </w:p>
    <w:p w14:paraId="7C579CF4">
      <w:pPr>
        <w:pStyle w:val="2"/>
        <w:spacing w:before="51" w:line="307" w:lineRule="auto"/>
        <w:ind w:left="359" w:firstLine="399"/>
        <w:rPr>
          <w:sz w:val="19"/>
          <w:szCs w:val="19"/>
        </w:rPr>
      </w:pPr>
      <w:r>
        <w:rPr>
          <w:spacing w:val="15"/>
          <w:sz w:val="19"/>
          <w:szCs w:val="19"/>
        </w:rPr>
        <w:t>融资是指为项目获取资金。长期的基础设施、工业和公共服务项</w:t>
      </w:r>
      <w:r>
        <w:rPr>
          <w:spacing w:val="14"/>
          <w:sz w:val="19"/>
          <w:szCs w:val="19"/>
        </w:rPr>
        <w:t>目通常会寻求外部融资。</w:t>
      </w:r>
      <w:r>
        <w:rPr>
          <w:sz w:val="19"/>
          <w:szCs w:val="19"/>
        </w:rPr>
        <w:t xml:space="preserve"> </w:t>
      </w:r>
      <w:r>
        <w:rPr>
          <w:spacing w:val="8"/>
          <w:sz w:val="19"/>
          <w:szCs w:val="19"/>
        </w:rPr>
        <w:t>如果项目使用外部资金，出资实体可能会提出一些必须</w:t>
      </w:r>
      <w:r>
        <w:rPr>
          <w:spacing w:val="7"/>
          <w:sz w:val="19"/>
          <w:szCs w:val="19"/>
        </w:rPr>
        <w:t>满足的要求。</w:t>
      </w:r>
    </w:p>
    <w:p w14:paraId="0B33BCA2">
      <w:pPr>
        <w:pStyle w:val="2"/>
        <w:spacing w:before="75" w:line="219" w:lineRule="auto"/>
        <w:ind w:left="762"/>
        <w:rPr>
          <w:sz w:val="19"/>
          <w:szCs w:val="19"/>
        </w:rPr>
      </w:pPr>
      <w:r>
        <w:rPr>
          <w:b/>
          <w:bCs/>
          <w:color w:val="0073D8"/>
          <w:spacing w:val="6"/>
          <w:sz w:val="19"/>
          <w:szCs w:val="19"/>
        </w:rPr>
        <w:t>3.成本基准和项目资金需求</w:t>
      </w:r>
    </w:p>
    <w:p w14:paraId="5A93BBEB">
      <w:pPr>
        <w:spacing w:before="247" w:line="225" w:lineRule="auto"/>
        <w:ind w:left="759"/>
        <w:rPr>
          <w:rFonts w:ascii="楷体" w:hAnsi="楷体" w:eastAsia="楷体" w:cs="楷体"/>
          <w:sz w:val="19"/>
          <w:szCs w:val="19"/>
        </w:rPr>
      </w:pPr>
      <w:r>
        <w:rPr>
          <w:rFonts w:ascii="楷体" w:hAnsi="楷体" w:eastAsia="楷体" w:cs="楷体"/>
          <w:spacing w:val="23"/>
          <w:sz w:val="19"/>
          <w:szCs w:val="19"/>
        </w:rPr>
        <w:t>1)成本基准</w:t>
      </w:r>
    </w:p>
    <w:p w14:paraId="6B8CF19C">
      <w:pPr>
        <w:pStyle w:val="2"/>
        <w:spacing w:before="80" w:line="304" w:lineRule="auto"/>
        <w:ind w:left="359" w:right="83" w:firstLine="399"/>
        <w:rPr>
          <w:sz w:val="19"/>
          <w:szCs w:val="19"/>
        </w:rPr>
      </w:pPr>
      <w:r>
        <w:rPr>
          <w:spacing w:val="13"/>
          <w:sz w:val="19"/>
          <w:szCs w:val="19"/>
        </w:rPr>
        <w:t>成本预算工作为项目建立其所需的成本基准。成本</w:t>
      </w:r>
      <w:r>
        <w:rPr>
          <w:spacing w:val="12"/>
          <w:sz w:val="19"/>
          <w:szCs w:val="19"/>
        </w:rPr>
        <w:t>基准是经过批准的、按时间段分配的项</w:t>
      </w:r>
      <w:r>
        <w:rPr>
          <w:sz w:val="19"/>
          <w:szCs w:val="19"/>
        </w:rPr>
        <w:t xml:space="preserve"> </w:t>
      </w:r>
      <w:r>
        <w:rPr>
          <w:spacing w:val="12"/>
          <w:sz w:val="19"/>
          <w:szCs w:val="19"/>
        </w:rPr>
        <w:t>目预算，不包括任何管理储备，只有通过正式的变更控制程序才能变更，用作与实际</w:t>
      </w:r>
      <w:r>
        <w:rPr>
          <w:spacing w:val="11"/>
          <w:sz w:val="19"/>
          <w:szCs w:val="19"/>
        </w:rPr>
        <w:t>结果进行</w:t>
      </w:r>
      <w:r>
        <w:rPr>
          <w:sz w:val="19"/>
          <w:szCs w:val="19"/>
        </w:rPr>
        <w:t xml:space="preserve"> </w:t>
      </w:r>
      <w:r>
        <w:rPr>
          <w:spacing w:val="12"/>
          <w:sz w:val="19"/>
          <w:szCs w:val="19"/>
        </w:rPr>
        <w:t>比较的依据，可以用于度量和监督项目执行成本。成本基准是经批准的预算的总和，把预计成</w:t>
      </w:r>
      <w:r>
        <w:rPr>
          <w:spacing w:val="15"/>
          <w:sz w:val="19"/>
          <w:szCs w:val="19"/>
        </w:rPr>
        <w:t xml:space="preserve"> </w:t>
      </w:r>
      <w:r>
        <w:rPr>
          <w:spacing w:val="5"/>
          <w:sz w:val="19"/>
          <w:szCs w:val="19"/>
        </w:rPr>
        <w:t>本按时间累加便是成本基准。</w:t>
      </w:r>
    </w:p>
    <w:p w14:paraId="54804305">
      <w:pPr>
        <w:pStyle w:val="2"/>
        <w:spacing w:before="6" w:line="295" w:lineRule="auto"/>
        <w:ind w:left="359" w:right="69" w:firstLine="399"/>
        <w:jc w:val="both"/>
        <w:rPr>
          <w:sz w:val="19"/>
          <w:szCs w:val="19"/>
        </w:rPr>
      </w:pPr>
      <w:r>
        <mc:AlternateContent>
          <mc:Choice Requires="wps">
            <w:drawing>
              <wp:anchor distT="0" distB="0" distL="0" distR="0" simplePos="0" relativeHeight="251761664" behindDoc="0" locked="0" layoutInCell="1" allowOverlap="1">
                <wp:simplePos x="0" y="0"/>
                <wp:positionH relativeFrom="column">
                  <wp:posOffset>819150</wp:posOffset>
                </wp:positionH>
                <wp:positionV relativeFrom="paragraph">
                  <wp:posOffset>1805305</wp:posOffset>
                </wp:positionV>
                <wp:extent cx="259080" cy="193675"/>
                <wp:effectExtent l="0" t="0" r="0" b="0"/>
                <wp:wrapNone/>
                <wp:docPr id="250" name="TextBox 250"/>
                <wp:cNvGraphicFramePr/>
                <a:graphic xmlns:a="http://schemas.openxmlformats.org/drawingml/2006/main">
                  <a:graphicData uri="http://schemas.microsoft.com/office/word/2010/wordprocessingShape">
                    <wps:wsp>
                      <wps:cNvSpPr txBox="1"/>
                      <wps:spPr>
                        <a:xfrm rot="16200000">
                          <a:off x="819284" y="1805677"/>
                          <a:ext cx="259079" cy="1936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9EC8A1A">
                            <w:pPr>
                              <w:pStyle w:val="2"/>
                              <w:spacing w:before="57" w:line="221" w:lineRule="auto"/>
                              <w:ind w:left="20"/>
                              <w:rPr>
                                <w:sz w:val="19"/>
                                <w:szCs w:val="19"/>
                              </w:rPr>
                            </w:pPr>
                            <w:r>
                              <w:rPr>
                                <w:spacing w:val="-4"/>
                                <w:sz w:val="19"/>
                                <w:szCs w:val="19"/>
                              </w:rPr>
                              <w:t>总计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50" o:spid="_x0000_s1026" o:spt="202" type="#_x0000_t202" style="position:absolute;left:0pt;margin-left:64.5pt;margin-top:142.15pt;height:15.25pt;width:20.4pt;rotation:-5898240f;z-index:251761664;mso-width-relative:page;mso-height-relative:page;" filled="f" stroked="f" coordsize="21600,21600" o:gfxdata="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7hkNPZAAAACwEAAA8A&#10;AAAAAAAAAQAgAAAAIgAAAGRycy9kb3ducmV2LnhtbFBLAQIUABQAAAAIAIdO4kA8+6HYTwIAAKQE&#10;AAAOAAAAAAAAAAEAIAAAACgBAABkcnMvZTJvRG9jLnhtbFBLBQYAAAAABgAGAFkBAADpBQAAAAA=&#10;">
                <v:fill on="f" focussize="0,0"/>
                <v:stroke on="f" weight="0pt" miterlimit="0" joinstyle="miter"/>
                <v:imagedata o:title=""/>
                <o:lock v:ext="edit" aspectratio="f"/>
                <v:textbox inset="0mm,0mm,0mm,0mm">
                  <w:txbxContent>
                    <w:p w14:paraId="39EC8A1A">
                      <w:pPr>
                        <w:pStyle w:val="2"/>
                        <w:spacing w:before="57" w:line="221" w:lineRule="auto"/>
                        <w:ind w:left="20"/>
                        <w:rPr>
                          <w:sz w:val="19"/>
                          <w:szCs w:val="19"/>
                        </w:rPr>
                      </w:pPr>
                      <w:r>
                        <w:rPr>
                          <w:spacing w:val="-4"/>
                          <w:sz w:val="19"/>
                          <w:szCs w:val="19"/>
                        </w:rPr>
                        <w:t>总计</w:t>
                      </w:r>
                    </w:p>
                  </w:txbxContent>
                </v:textbox>
              </v:shape>
            </w:pict>
          </mc:Fallback>
        </mc:AlternateContent>
      </w:r>
      <w:r>
        <w:rPr>
          <w:spacing w:val="12"/>
          <w:sz w:val="19"/>
          <w:szCs w:val="19"/>
        </w:rPr>
        <w:t>项目预算和成本基准的各个组成部分如图12-1所示。先汇总各项目活动的成</w:t>
      </w:r>
      <w:r>
        <w:rPr>
          <w:spacing w:val="11"/>
          <w:sz w:val="19"/>
          <w:szCs w:val="19"/>
        </w:rPr>
        <w:t>本估算及其应</w:t>
      </w:r>
      <w:r>
        <w:rPr>
          <w:sz w:val="19"/>
          <w:szCs w:val="19"/>
        </w:rPr>
        <w:t xml:space="preserve"> </w:t>
      </w:r>
      <w:r>
        <w:rPr>
          <w:spacing w:val="13"/>
          <w:sz w:val="19"/>
          <w:szCs w:val="19"/>
        </w:rPr>
        <w:t>急储备，得到相关工作包的成本；然后汇总各工作包的成本估算及其应急</w:t>
      </w:r>
      <w:r>
        <w:rPr>
          <w:spacing w:val="12"/>
          <w:sz w:val="19"/>
          <w:szCs w:val="19"/>
        </w:rPr>
        <w:t>储备，得到控制账户</w:t>
      </w:r>
      <w:r>
        <w:rPr>
          <w:sz w:val="19"/>
          <w:szCs w:val="19"/>
        </w:rPr>
        <w:t xml:space="preserve"> </w:t>
      </w:r>
      <w:r>
        <w:rPr>
          <w:spacing w:val="10"/>
          <w:sz w:val="19"/>
          <w:szCs w:val="19"/>
        </w:rPr>
        <w:t>(一种管理控制点，在该控制点上，把范围、预算、实际成本和进度加以整合，并与挣值比较以</w:t>
      </w:r>
      <w:r>
        <w:rPr>
          <w:spacing w:val="1"/>
          <w:sz w:val="19"/>
          <w:szCs w:val="19"/>
        </w:rPr>
        <w:t xml:space="preserve"> </w:t>
      </w:r>
      <w:r>
        <w:rPr>
          <w:spacing w:val="11"/>
          <w:sz w:val="19"/>
          <w:szCs w:val="19"/>
        </w:rPr>
        <w:t>测量绩效)的成本；接着再汇总各控制账户的成本，得到成本基准。</w:t>
      </w:r>
    </w:p>
    <w:p w14:paraId="00170C82">
      <w:pPr>
        <w:spacing w:line="156" w:lineRule="exact"/>
      </w:pPr>
    </w:p>
    <w:tbl>
      <w:tblPr>
        <w:tblStyle w:val="5"/>
        <w:tblW w:w="5939" w:type="dxa"/>
        <w:tblInd w:w="17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3"/>
        <w:gridCol w:w="1148"/>
        <w:gridCol w:w="1148"/>
        <w:gridCol w:w="1347"/>
        <w:gridCol w:w="1143"/>
      </w:tblGrid>
      <w:tr w14:paraId="6A6F6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153" w:type="dxa"/>
            <w:vMerge w:val="restart"/>
            <w:tcBorders>
              <w:bottom w:val="nil"/>
            </w:tcBorders>
            <w:shd w:val="clear" w:color="auto" w:fill="8EDFE6"/>
            <w:vAlign w:val="top"/>
          </w:tcPr>
          <w:p w14:paraId="4F58C118">
            <w:pPr>
              <w:pStyle w:val="6"/>
              <w:spacing w:before="82" w:line="219" w:lineRule="auto"/>
              <w:ind w:left="254"/>
              <w:rPr>
                <w:sz w:val="18"/>
                <w:szCs w:val="18"/>
              </w:rPr>
            </w:pPr>
            <w:r>
              <w:rPr>
                <w:spacing w:val="-2"/>
                <w:sz w:val="18"/>
                <w:szCs w:val="18"/>
              </w:rPr>
              <w:t>项目预算</w:t>
            </w:r>
          </w:p>
        </w:tc>
        <w:tc>
          <w:tcPr>
            <w:tcW w:w="1148" w:type="dxa"/>
            <w:shd w:val="clear" w:color="auto" w:fill="73D2E3"/>
            <w:vAlign w:val="top"/>
          </w:tcPr>
          <w:p w14:paraId="7F6CCECD">
            <w:pPr>
              <w:pStyle w:val="6"/>
              <w:spacing w:before="82" w:line="219" w:lineRule="auto"/>
              <w:ind w:left="201"/>
              <w:rPr>
                <w:sz w:val="18"/>
                <w:szCs w:val="18"/>
              </w:rPr>
            </w:pPr>
            <w:r>
              <w:rPr>
                <w:spacing w:val="-3"/>
                <w:sz w:val="18"/>
                <w:szCs w:val="18"/>
              </w:rPr>
              <w:t>管理储备</w:t>
            </w:r>
          </w:p>
        </w:tc>
        <w:tc>
          <w:tcPr>
            <w:tcW w:w="2495" w:type="dxa"/>
            <w:gridSpan w:val="2"/>
            <w:vAlign w:val="top"/>
          </w:tcPr>
          <w:p w14:paraId="4332BE82">
            <w:pPr>
              <w:rPr>
                <w:rFonts w:ascii="Arial"/>
                <w:sz w:val="21"/>
              </w:rPr>
            </w:pPr>
          </w:p>
        </w:tc>
        <w:tc>
          <w:tcPr>
            <w:tcW w:w="1143" w:type="dxa"/>
            <w:vMerge w:val="restart"/>
            <w:tcBorders>
              <w:bottom w:val="nil"/>
            </w:tcBorders>
            <w:vAlign w:val="top"/>
          </w:tcPr>
          <w:p w14:paraId="07F25D4D">
            <w:pPr>
              <w:rPr>
                <w:rFonts w:ascii="Arial"/>
                <w:sz w:val="21"/>
              </w:rPr>
            </w:pPr>
          </w:p>
        </w:tc>
      </w:tr>
      <w:tr w14:paraId="2DFD1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53" w:type="dxa"/>
            <w:vMerge w:val="continue"/>
            <w:tcBorders>
              <w:top w:val="nil"/>
              <w:bottom w:val="nil"/>
            </w:tcBorders>
            <w:vAlign w:val="top"/>
          </w:tcPr>
          <w:p w14:paraId="43CF4DBE">
            <w:pPr>
              <w:rPr>
                <w:rFonts w:ascii="Arial"/>
                <w:sz w:val="21"/>
              </w:rPr>
            </w:pPr>
          </w:p>
        </w:tc>
        <w:tc>
          <w:tcPr>
            <w:tcW w:w="1148" w:type="dxa"/>
            <w:vMerge w:val="restart"/>
            <w:tcBorders>
              <w:bottom w:val="nil"/>
            </w:tcBorders>
            <w:shd w:val="clear" w:color="auto" w:fill="93E2EA"/>
            <w:vAlign w:val="top"/>
          </w:tcPr>
          <w:p w14:paraId="6F26119E">
            <w:pPr>
              <w:pStyle w:val="6"/>
              <w:spacing w:before="87" w:line="219" w:lineRule="auto"/>
              <w:ind w:left="201"/>
              <w:rPr>
                <w:sz w:val="18"/>
                <w:szCs w:val="18"/>
              </w:rPr>
            </w:pPr>
            <w:r>
              <w:rPr>
                <w:color w:val="004A75"/>
                <w:spacing w:val="-2"/>
                <w:sz w:val="18"/>
                <w:szCs w:val="18"/>
              </w:rPr>
              <w:t>成本基准</w:t>
            </w:r>
          </w:p>
        </w:tc>
        <w:tc>
          <w:tcPr>
            <w:tcW w:w="1148" w:type="dxa"/>
            <w:vMerge w:val="restart"/>
            <w:tcBorders>
              <w:bottom w:val="nil"/>
            </w:tcBorders>
            <w:shd w:val="clear" w:color="auto" w:fill="86DCE7"/>
            <w:vAlign w:val="top"/>
          </w:tcPr>
          <w:p w14:paraId="3BCBBF6D">
            <w:pPr>
              <w:pStyle w:val="6"/>
              <w:spacing w:before="89" w:line="220" w:lineRule="auto"/>
              <w:ind w:left="173"/>
              <w:rPr>
                <w:sz w:val="18"/>
                <w:szCs w:val="18"/>
              </w:rPr>
            </w:pPr>
            <w:r>
              <w:rPr>
                <w:color w:val="004F7D"/>
                <w:spacing w:val="6"/>
                <w:sz w:val="18"/>
                <w:szCs w:val="18"/>
              </w:rPr>
              <w:t>控制账户</w:t>
            </w:r>
          </w:p>
        </w:tc>
        <w:tc>
          <w:tcPr>
            <w:tcW w:w="1347" w:type="dxa"/>
            <w:shd w:val="clear" w:color="auto" w:fill="73D3E3"/>
            <w:vAlign w:val="top"/>
          </w:tcPr>
          <w:p w14:paraId="62BF120A">
            <w:pPr>
              <w:pStyle w:val="6"/>
              <w:spacing w:before="78" w:line="220" w:lineRule="auto"/>
              <w:ind w:left="305"/>
              <w:rPr>
                <w:sz w:val="18"/>
                <w:szCs w:val="18"/>
              </w:rPr>
            </w:pPr>
            <w:r>
              <w:rPr>
                <w:spacing w:val="-2"/>
                <w:sz w:val="18"/>
                <w:szCs w:val="18"/>
              </w:rPr>
              <w:t>应急储备</w:t>
            </w:r>
          </w:p>
        </w:tc>
        <w:tc>
          <w:tcPr>
            <w:tcW w:w="1143" w:type="dxa"/>
            <w:vMerge w:val="continue"/>
            <w:tcBorders>
              <w:top w:val="nil"/>
            </w:tcBorders>
            <w:vAlign w:val="top"/>
          </w:tcPr>
          <w:p w14:paraId="43DB767C">
            <w:pPr>
              <w:rPr>
                <w:rFonts w:ascii="Arial"/>
                <w:sz w:val="21"/>
              </w:rPr>
            </w:pPr>
          </w:p>
        </w:tc>
      </w:tr>
      <w:tr w14:paraId="7E084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153" w:type="dxa"/>
            <w:vMerge w:val="continue"/>
            <w:tcBorders>
              <w:top w:val="nil"/>
              <w:bottom w:val="nil"/>
            </w:tcBorders>
            <w:vAlign w:val="top"/>
          </w:tcPr>
          <w:p w14:paraId="3F48C6AE">
            <w:pPr>
              <w:rPr>
                <w:rFonts w:ascii="Arial"/>
                <w:sz w:val="21"/>
              </w:rPr>
            </w:pPr>
          </w:p>
        </w:tc>
        <w:tc>
          <w:tcPr>
            <w:tcW w:w="1148" w:type="dxa"/>
            <w:vMerge w:val="continue"/>
            <w:tcBorders>
              <w:top w:val="nil"/>
              <w:bottom w:val="nil"/>
            </w:tcBorders>
            <w:vAlign w:val="top"/>
          </w:tcPr>
          <w:p w14:paraId="1E943E17">
            <w:pPr>
              <w:rPr>
                <w:rFonts w:ascii="Arial"/>
                <w:sz w:val="21"/>
              </w:rPr>
            </w:pPr>
          </w:p>
        </w:tc>
        <w:tc>
          <w:tcPr>
            <w:tcW w:w="1148" w:type="dxa"/>
            <w:vMerge w:val="continue"/>
            <w:tcBorders>
              <w:top w:val="nil"/>
              <w:bottom w:val="nil"/>
            </w:tcBorders>
            <w:vAlign w:val="top"/>
          </w:tcPr>
          <w:p w14:paraId="09C9B653">
            <w:pPr>
              <w:rPr>
                <w:rFonts w:ascii="Arial"/>
                <w:sz w:val="21"/>
              </w:rPr>
            </w:pPr>
          </w:p>
        </w:tc>
        <w:tc>
          <w:tcPr>
            <w:tcW w:w="1347" w:type="dxa"/>
            <w:vMerge w:val="restart"/>
            <w:tcBorders>
              <w:bottom w:val="nil"/>
            </w:tcBorders>
            <w:shd w:val="clear" w:color="auto" w:fill="BEEEEF"/>
            <w:vAlign w:val="top"/>
          </w:tcPr>
          <w:p w14:paraId="7145DDA0">
            <w:pPr>
              <w:pStyle w:val="6"/>
              <w:spacing w:before="77" w:line="218" w:lineRule="auto"/>
              <w:ind w:left="35"/>
              <w:rPr>
                <w:sz w:val="18"/>
                <w:szCs w:val="18"/>
              </w:rPr>
            </w:pPr>
            <w:r>
              <w:rPr>
                <w:color w:val="00547E"/>
                <w:spacing w:val="-2"/>
                <w:sz w:val="18"/>
                <w:szCs w:val="18"/>
              </w:rPr>
              <w:t>工作包成本估算</w:t>
            </w:r>
          </w:p>
        </w:tc>
        <w:tc>
          <w:tcPr>
            <w:tcW w:w="1143" w:type="dxa"/>
            <w:shd w:val="clear" w:color="auto" w:fill="74D1E4"/>
            <w:vAlign w:val="top"/>
          </w:tcPr>
          <w:p w14:paraId="40712BAE">
            <w:pPr>
              <w:pStyle w:val="6"/>
              <w:spacing w:before="79" w:line="220" w:lineRule="auto"/>
              <w:ind w:left="28"/>
              <w:rPr>
                <w:sz w:val="18"/>
                <w:szCs w:val="18"/>
              </w:rPr>
            </w:pPr>
            <w:r>
              <w:rPr>
                <w:color w:val="00457A"/>
                <w:spacing w:val="-2"/>
                <w:sz w:val="18"/>
                <w:szCs w:val="18"/>
              </w:rPr>
              <w:t>活动应急储备</w:t>
            </w:r>
          </w:p>
        </w:tc>
      </w:tr>
      <w:tr w14:paraId="33644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8" w:hRule="atLeast"/>
        </w:trPr>
        <w:tc>
          <w:tcPr>
            <w:tcW w:w="1153" w:type="dxa"/>
            <w:vMerge w:val="continue"/>
            <w:tcBorders>
              <w:top w:val="nil"/>
            </w:tcBorders>
            <w:vAlign w:val="top"/>
          </w:tcPr>
          <w:p w14:paraId="0514CD9C">
            <w:pPr>
              <w:rPr>
                <w:rFonts w:ascii="Arial"/>
                <w:sz w:val="21"/>
              </w:rPr>
            </w:pPr>
          </w:p>
        </w:tc>
        <w:tc>
          <w:tcPr>
            <w:tcW w:w="1148" w:type="dxa"/>
            <w:vMerge w:val="continue"/>
            <w:tcBorders>
              <w:top w:val="nil"/>
            </w:tcBorders>
            <w:vAlign w:val="top"/>
          </w:tcPr>
          <w:p w14:paraId="48157816">
            <w:pPr>
              <w:rPr>
                <w:rFonts w:ascii="Arial"/>
                <w:sz w:val="21"/>
              </w:rPr>
            </w:pPr>
          </w:p>
        </w:tc>
        <w:tc>
          <w:tcPr>
            <w:tcW w:w="1148" w:type="dxa"/>
            <w:vMerge w:val="continue"/>
            <w:tcBorders>
              <w:top w:val="nil"/>
            </w:tcBorders>
            <w:vAlign w:val="top"/>
          </w:tcPr>
          <w:p w14:paraId="0650B4F5">
            <w:pPr>
              <w:rPr>
                <w:rFonts w:ascii="Arial"/>
                <w:sz w:val="21"/>
              </w:rPr>
            </w:pPr>
          </w:p>
        </w:tc>
        <w:tc>
          <w:tcPr>
            <w:tcW w:w="1347" w:type="dxa"/>
            <w:vMerge w:val="continue"/>
            <w:tcBorders>
              <w:top w:val="nil"/>
            </w:tcBorders>
            <w:vAlign w:val="top"/>
          </w:tcPr>
          <w:p w14:paraId="385809B5">
            <w:pPr>
              <w:rPr>
                <w:rFonts w:ascii="Arial"/>
                <w:sz w:val="21"/>
              </w:rPr>
            </w:pPr>
          </w:p>
        </w:tc>
        <w:tc>
          <w:tcPr>
            <w:tcW w:w="1143" w:type="dxa"/>
            <w:shd w:val="clear" w:color="auto" w:fill="ADE9EB"/>
            <w:vAlign w:val="top"/>
          </w:tcPr>
          <w:p w14:paraId="7386F347">
            <w:pPr>
              <w:pStyle w:val="6"/>
              <w:spacing w:before="69" w:line="218" w:lineRule="auto"/>
              <w:ind w:left="28"/>
              <w:rPr>
                <w:sz w:val="18"/>
                <w:szCs w:val="18"/>
              </w:rPr>
            </w:pPr>
            <w:r>
              <w:rPr>
                <w:color w:val="004B71"/>
                <w:spacing w:val="-2"/>
                <w:sz w:val="18"/>
                <w:szCs w:val="18"/>
              </w:rPr>
              <w:t>活动成本估算</w:t>
            </w:r>
          </w:p>
        </w:tc>
      </w:tr>
    </w:tbl>
    <w:p w14:paraId="34889B61">
      <w:pPr>
        <w:pStyle w:val="2"/>
        <w:spacing w:before="183" w:line="219" w:lineRule="auto"/>
        <w:ind w:left="3549"/>
        <w:rPr>
          <w:sz w:val="19"/>
          <w:szCs w:val="19"/>
        </w:rPr>
      </w:pPr>
      <w:r>
        <w:rPr>
          <w:spacing w:val="-7"/>
          <w:sz w:val="19"/>
          <w:szCs w:val="19"/>
        </w:rPr>
        <w:t>图12-1</w:t>
      </w:r>
      <w:r>
        <w:rPr>
          <w:spacing w:val="75"/>
          <w:sz w:val="19"/>
          <w:szCs w:val="19"/>
        </w:rPr>
        <w:t xml:space="preserve"> </w:t>
      </w:r>
      <w:r>
        <w:rPr>
          <w:spacing w:val="-7"/>
          <w:sz w:val="19"/>
          <w:szCs w:val="19"/>
        </w:rPr>
        <w:t>项目预算的组成</w:t>
      </w:r>
    </w:p>
    <w:p w14:paraId="62D558CC">
      <w:pPr>
        <w:pStyle w:val="2"/>
        <w:spacing w:before="203" w:line="288" w:lineRule="auto"/>
        <w:ind w:left="359" w:right="88" w:firstLine="399"/>
        <w:rPr>
          <w:sz w:val="19"/>
          <w:szCs w:val="19"/>
        </w:rPr>
      </w:pPr>
      <w:r>
        <w:rPr>
          <w:spacing w:val="12"/>
          <w:sz w:val="19"/>
          <w:szCs w:val="19"/>
        </w:rPr>
        <w:t>由于成本基准中的成本估算与进度活动直接关联，因此可以按照时间段分配成本基准，得</w:t>
      </w:r>
      <w:r>
        <w:rPr>
          <w:spacing w:val="18"/>
          <w:sz w:val="19"/>
          <w:szCs w:val="19"/>
        </w:rPr>
        <w:t xml:space="preserve"> </w:t>
      </w:r>
      <w:r>
        <w:rPr>
          <w:spacing w:val="10"/>
          <w:sz w:val="19"/>
          <w:szCs w:val="19"/>
        </w:rPr>
        <w:t>到一条</w:t>
      </w:r>
      <w:r>
        <w:rPr>
          <w:rFonts w:ascii="Times New Roman" w:hAnsi="Times New Roman" w:eastAsia="Times New Roman" w:cs="Times New Roman"/>
          <w:spacing w:val="10"/>
          <w:sz w:val="19"/>
          <w:szCs w:val="19"/>
        </w:rPr>
        <w:t>S</w:t>
      </w:r>
      <w:r>
        <w:rPr>
          <w:rFonts w:ascii="Times New Roman" w:hAnsi="Times New Roman" w:eastAsia="Times New Roman" w:cs="Times New Roman"/>
          <w:spacing w:val="40"/>
          <w:w w:val="101"/>
          <w:sz w:val="19"/>
          <w:szCs w:val="19"/>
        </w:rPr>
        <w:t xml:space="preserve"> </w:t>
      </w:r>
      <w:r>
        <w:rPr>
          <w:spacing w:val="10"/>
          <w:sz w:val="19"/>
          <w:szCs w:val="19"/>
        </w:rPr>
        <w:t>曲线，如图12-2所示。最后，在成本基准之上增加管理储备，得到项目预算。</w:t>
      </w:r>
    </w:p>
    <w:p w14:paraId="0D11D0D0">
      <w:pPr>
        <w:spacing w:line="288" w:lineRule="auto"/>
        <w:rPr>
          <w:sz w:val="19"/>
          <w:szCs w:val="19"/>
        </w:rPr>
        <w:sectPr>
          <w:pgSz w:w="10300" w:h="13380"/>
          <w:pgMar w:top="400" w:right="1034" w:bottom="400" w:left="520" w:header="0" w:footer="0" w:gutter="0"/>
          <w:cols w:space="720" w:num="1"/>
        </w:sectPr>
      </w:pPr>
    </w:p>
    <w:p w14:paraId="28F45F06">
      <w:pPr>
        <w:pStyle w:val="2"/>
        <w:jc w:val="right"/>
        <w:rPr>
          <w:rFonts w:ascii="Times New Roman" w:hAnsi="Times New Roman" w:eastAsia="Times New Roman" w:cs="Times New Roman"/>
          <w:sz w:val="19"/>
          <w:szCs w:val="19"/>
        </w:rPr>
      </w:pPr>
      <w:bookmarkStart w:id="633" w:name="bookmark618"/>
      <w:bookmarkEnd w:id="633"/>
      <w:r>
        <w:rPr>
          <w:spacing w:val="7"/>
          <w:sz w:val="19"/>
          <w:szCs w:val="19"/>
        </w:rPr>
        <w:t>第12章</w:t>
      </w:r>
      <w:r>
        <w:rPr>
          <w:spacing w:val="41"/>
          <w:sz w:val="19"/>
          <w:szCs w:val="19"/>
        </w:rPr>
        <w:t xml:space="preserve"> </w:t>
      </w:r>
      <w:r>
        <w:rPr>
          <w:spacing w:val="7"/>
          <w:sz w:val="19"/>
          <w:szCs w:val="19"/>
        </w:rPr>
        <w:t xml:space="preserve">投资控制 </w:t>
      </w:r>
      <w:r>
        <w:rPr>
          <w:position w:val="-9"/>
          <w:sz w:val="19"/>
          <w:szCs w:val="19"/>
        </w:rPr>
        <w:drawing>
          <wp:inline distT="0" distB="0" distL="0" distR="0">
            <wp:extent cx="316865" cy="24130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89"/>
                    <a:stretch>
                      <a:fillRect/>
                    </a:stretch>
                  </pic:blipFill>
                  <pic:spPr>
                    <a:xfrm>
                      <a:off x="0" y="0"/>
                      <a:ext cx="317494" cy="241300"/>
                    </a:xfrm>
                    <a:prstGeom prst="rect">
                      <a:avLst/>
                    </a:prstGeom>
                  </pic:spPr>
                </pic:pic>
              </a:graphicData>
            </a:graphic>
          </wp:inline>
        </w:drawing>
      </w:r>
      <w:r>
        <w:rPr>
          <w:rFonts w:ascii="Times New Roman" w:hAnsi="Times New Roman" w:eastAsia="Times New Roman" w:cs="Times New Roman"/>
          <w:spacing w:val="7"/>
          <w:sz w:val="19"/>
          <w:szCs w:val="19"/>
        </w:rPr>
        <w:t>277</w:t>
      </w:r>
    </w:p>
    <w:p w14:paraId="56EA3976">
      <w:pPr>
        <w:spacing w:line="325" w:lineRule="auto"/>
        <w:rPr>
          <w:rFonts w:ascii="Arial"/>
          <w:sz w:val="21"/>
        </w:rPr>
      </w:pPr>
    </w:p>
    <w:p w14:paraId="2729B125">
      <w:pPr>
        <w:pStyle w:val="2"/>
        <w:spacing w:line="3112" w:lineRule="exact"/>
        <w:ind w:firstLine="999"/>
      </w:pPr>
      <w:r>
        <mc:AlternateContent>
          <mc:Choice Requires="wps">
            <w:drawing>
              <wp:anchor distT="0" distB="0" distL="0" distR="0" simplePos="0" relativeHeight="251762688" behindDoc="0" locked="0" layoutInCell="1" allowOverlap="1">
                <wp:simplePos x="0" y="0"/>
                <wp:positionH relativeFrom="column">
                  <wp:posOffset>321310</wp:posOffset>
                </wp:positionH>
                <wp:positionV relativeFrom="paragraph">
                  <wp:posOffset>1181735</wp:posOffset>
                </wp:positionV>
                <wp:extent cx="415290" cy="209550"/>
                <wp:effectExtent l="0" t="0" r="0" b="0"/>
                <wp:wrapNone/>
                <wp:docPr id="254" name="TextBox 254"/>
                <wp:cNvGraphicFramePr/>
                <a:graphic xmlns:a="http://schemas.openxmlformats.org/drawingml/2006/main">
                  <a:graphicData uri="http://schemas.microsoft.com/office/word/2010/wordprocessingShape">
                    <wps:wsp>
                      <wps:cNvSpPr txBox="1"/>
                      <wps:spPr>
                        <a:xfrm rot="16200000">
                          <a:off x="321624" y="1182110"/>
                          <a:ext cx="415290"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8E6A6EA">
                            <w:pPr>
                              <w:pStyle w:val="2"/>
                              <w:spacing w:before="60" w:line="219" w:lineRule="auto"/>
                              <w:ind w:left="20"/>
                              <w:rPr>
                                <w:sz w:val="21"/>
                                <w:szCs w:val="21"/>
                              </w:rPr>
                            </w:pPr>
                            <w:r>
                              <w:rPr>
                                <w:spacing w:val="-4"/>
                                <w:sz w:val="21"/>
                                <w:szCs w:val="21"/>
                              </w:rPr>
                              <w:t>累计值</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54" o:spid="_x0000_s1026" o:spt="202" type="#_x0000_t202" style="position:absolute;left:0pt;margin-left:25.3pt;margin-top:93.05pt;height:16.5pt;width:32.7pt;rotation:-5898240f;z-index:251762688;mso-width-relative:page;mso-height-relative:page;" filled="f" stroked="f" coordsize="21600,21600" o:gfxdata="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vZytcAAAAKAQAADwAAAAAA&#10;AAABACAAAAAiAAAAZHJzL2Rvd25yZXYueG1sUEsBAhQAFAAAAAgAh07iQCEN0RhNAgAApAQAAA4A&#10;AAAAAAAAAQAgAAAAJgEAAGRycy9lMm9Eb2MueG1sUEsFBgAAAAAGAAYAWQEAAOUFAAAAAA==&#10;">
                <v:fill on="f" focussize="0,0"/>
                <v:stroke on="f" weight="0pt" miterlimit="0" joinstyle="miter"/>
                <v:imagedata o:title=""/>
                <o:lock v:ext="edit" aspectratio="f"/>
                <v:textbox inset="0mm,0mm,0mm,0mm">
                  <w:txbxContent>
                    <w:p w14:paraId="68E6A6EA">
                      <w:pPr>
                        <w:pStyle w:val="2"/>
                        <w:spacing w:before="60" w:line="219" w:lineRule="auto"/>
                        <w:ind w:left="20"/>
                        <w:rPr>
                          <w:sz w:val="21"/>
                          <w:szCs w:val="21"/>
                        </w:rPr>
                      </w:pPr>
                      <w:r>
                        <w:rPr>
                          <w:spacing w:val="-4"/>
                          <w:sz w:val="21"/>
                          <w:szCs w:val="21"/>
                        </w:rPr>
                        <w:t>累计值</w:t>
                      </w:r>
                    </w:p>
                  </w:txbxContent>
                </v:textbox>
              </v:shape>
            </w:pict>
          </mc:Fallback>
        </mc:AlternateContent>
      </w:r>
      <w:r>
        <w:rPr>
          <w:position w:val="-62"/>
        </w:rPr>
        <w:pict>
          <v:group id="_x0000_s1476" o:spid="_x0000_s1476" o:spt="203" style="height:155.65pt;width:332.05pt;" coordsize="6640,3112">
            <o:lock v:ext="edit"/>
            <v:shape id="_x0000_s1477" o:spid="_x0000_s1477" o:spt="75" type="#_x0000_t75" style="position:absolute;left:0;top:162;height:2950;width:6640;" filled="f" stroked="f" coordsize="21600,21600">
              <v:path/>
              <v:fill on="f" focussize="0,0"/>
              <v:stroke on="f"/>
              <v:imagedata r:id="rId190" o:title=""/>
              <o:lock v:ext="edit" aspectratio="t"/>
            </v:shape>
            <v:shape id="_x0000_s1478" o:spid="_x0000_s1478" o:spt="202" type="#_x0000_t202" style="position:absolute;left:510;top:-20;height:2610;width:6129;" filled="f" stroked="f" coordsize="21600,21600">
              <v:path/>
              <v:fill on="f" focussize="0,0"/>
              <v:stroke on="f"/>
              <v:imagedata o:title=""/>
              <o:lock v:ext="edit" aspectratio="f"/>
              <v:textbox inset="0mm,0mm,0mm,0mm">
                <w:txbxContent>
                  <w:p w14:paraId="65BFA7CF">
                    <w:pPr>
                      <w:spacing w:before="20" w:line="219" w:lineRule="auto"/>
                      <w:ind w:left="4319"/>
                      <w:rPr>
                        <w:rFonts w:ascii="宋体" w:hAnsi="宋体" w:eastAsia="宋体" w:cs="宋体"/>
                        <w:sz w:val="19"/>
                        <w:szCs w:val="19"/>
                      </w:rPr>
                    </w:pPr>
                    <w:r>
                      <w:rPr>
                        <w:rFonts w:ascii="宋体" w:hAnsi="宋体" w:eastAsia="宋体" w:cs="宋体"/>
                        <w:spacing w:val="-12"/>
                        <w:sz w:val="19"/>
                        <w:szCs w:val="19"/>
                      </w:rPr>
                      <w:t>项目预算</w:t>
                    </w:r>
                  </w:p>
                  <w:p w14:paraId="45024304">
                    <w:pPr>
                      <w:spacing w:before="204" w:line="160" w:lineRule="auto"/>
                      <w:ind w:left="2499"/>
                      <w:rPr>
                        <w:rFonts w:ascii="宋体" w:hAnsi="宋体" w:eastAsia="宋体" w:cs="宋体"/>
                        <w:sz w:val="19"/>
                        <w:szCs w:val="19"/>
                      </w:rPr>
                    </w:pPr>
                    <w:r>
                      <w:rPr>
                        <w:rFonts w:ascii="宋体" w:hAnsi="宋体" w:eastAsia="宋体" w:cs="宋体"/>
                        <w:spacing w:val="-14"/>
                        <w:sz w:val="19"/>
                        <w:szCs w:val="19"/>
                      </w:rPr>
                      <w:t>管理储备</w:t>
                    </w:r>
                  </w:p>
                  <w:p w14:paraId="3D5F663B">
                    <w:pPr>
                      <w:spacing w:line="195" w:lineRule="auto"/>
                      <w:ind w:right="4"/>
                      <w:jc w:val="right"/>
                      <w:rPr>
                        <w:rFonts w:ascii="宋体" w:hAnsi="宋体" w:eastAsia="宋体" w:cs="宋体"/>
                        <w:sz w:val="19"/>
                        <w:szCs w:val="19"/>
                      </w:rPr>
                    </w:pPr>
                    <w:r>
                      <w:rPr>
                        <w:rFonts w:ascii="宋体" w:hAnsi="宋体" w:eastAsia="宋体" w:cs="宋体"/>
                        <w:spacing w:val="-12"/>
                        <w:sz w:val="19"/>
                        <w:szCs w:val="19"/>
                      </w:rPr>
                      <w:t>完工预算</w:t>
                    </w:r>
                  </w:p>
                  <w:p w14:paraId="21FA1F4E">
                    <w:pPr>
                      <w:spacing w:line="282" w:lineRule="auto"/>
                      <w:rPr>
                        <w:rFonts w:ascii="Arial"/>
                        <w:sz w:val="21"/>
                      </w:rPr>
                    </w:pPr>
                  </w:p>
                  <w:p w14:paraId="4F41EF14">
                    <w:pPr>
                      <w:spacing w:line="283" w:lineRule="auto"/>
                      <w:rPr>
                        <w:rFonts w:ascii="Arial"/>
                        <w:sz w:val="21"/>
                      </w:rPr>
                    </w:pPr>
                  </w:p>
                  <w:p w14:paraId="5DF57623">
                    <w:pPr>
                      <w:spacing w:line="283" w:lineRule="auto"/>
                      <w:rPr>
                        <w:rFonts w:ascii="Arial"/>
                        <w:sz w:val="21"/>
                      </w:rPr>
                    </w:pPr>
                  </w:p>
                  <w:p w14:paraId="4D4B8EC9">
                    <w:pPr>
                      <w:spacing w:before="61" w:line="220" w:lineRule="auto"/>
                      <w:ind w:left="20"/>
                      <w:rPr>
                        <w:rFonts w:ascii="宋体" w:hAnsi="宋体" w:eastAsia="宋体" w:cs="宋体"/>
                        <w:sz w:val="19"/>
                        <w:szCs w:val="19"/>
                      </w:rPr>
                    </w:pPr>
                    <w:r>
                      <w:rPr>
                        <w:rFonts w:ascii="宋体" w:hAnsi="宋体" w:eastAsia="宋体" w:cs="宋体"/>
                        <w:spacing w:val="-14"/>
                        <w:sz w:val="19"/>
                        <w:szCs w:val="19"/>
                      </w:rPr>
                      <w:t>资金需求</w:t>
                    </w:r>
                  </w:p>
                  <w:p w14:paraId="67A4B8E1">
                    <w:pPr>
                      <w:spacing w:before="262" w:line="181" w:lineRule="auto"/>
                      <w:ind w:left="2760"/>
                      <w:rPr>
                        <w:rFonts w:ascii="黑体" w:hAnsi="黑体" w:eastAsia="黑体" w:cs="黑体"/>
                        <w:sz w:val="19"/>
                        <w:szCs w:val="19"/>
                      </w:rPr>
                    </w:pPr>
                    <w:r>
                      <w:rPr>
                        <w:rFonts w:ascii="黑体" w:hAnsi="黑体" w:eastAsia="黑体" w:cs="黑体"/>
                        <w:spacing w:val="-4"/>
                        <w:sz w:val="19"/>
                        <w:szCs w:val="19"/>
                      </w:rPr>
                      <w:t>支出</w:t>
                    </w:r>
                  </w:p>
                  <w:p w14:paraId="40D3039D">
                    <w:pPr>
                      <w:spacing w:line="212" w:lineRule="auto"/>
                      <w:ind w:left="20"/>
                      <w:rPr>
                        <w:rFonts w:ascii="宋体" w:hAnsi="宋体" w:eastAsia="宋体" w:cs="宋体"/>
                        <w:sz w:val="19"/>
                        <w:szCs w:val="19"/>
                      </w:rPr>
                    </w:pPr>
                    <w:r>
                      <w:rPr>
                        <w:rFonts w:ascii="宋体" w:hAnsi="宋体" w:eastAsia="宋体" w:cs="宋体"/>
                        <w:spacing w:val="-14"/>
                        <w:sz w:val="19"/>
                        <w:szCs w:val="19"/>
                      </w:rPr>
                      <w:t>成本基准</w:t>
                    </w:r>
                  </w:p>
                </w:txbxContent>
              </v:textbox>
            </v:shape>
            <w10:wrap type="none"/>
            <w10:anchorlock/>
          </v:group>
        </w:pict>
      </w:r>
    </w:p>
    <w:p w14:paraId="4E0AA4BF">
      <w:pPr>
        <w:spacing w:line="247" w:lineRule="auto"/>
        <w:rPr>
          <w:rFonts w:ascii="Arial"/>
          <w:sz w:val="21"/>
        </w:rPr>
      </w:pPr>
    </w:p>
    <w:p w14:paraId="4D4B6319">
      <w:pPr>
        <w:pStyle w:val="2"/>
        <w:spacing w:before="61" w:line="221" w:lineRule="auto"/>
        <w:ind w:left="3150"/>
        <w:rPr>
          <w:sz w:val="19"/>
          <w:szCs w:val="19"/>
        </w:rPr>
      </w:pPr>
      <w:r>
        <w:rPr>
          <w:spacing w:val="-9"/>
          <w:sz w:val="19"/>
          <w:szCs w:val="19"/>
        </w:rPr>
        <w:t>时间</w:t>
      </w:r>
      <w:r>
        <w:rPr>
          <w:spacing w:val="-39"/>
          <w:sz w:val="19"/>
          <w:szCs w:val="19"/>
        </w:rPr>
        <w:t xml:space="preserve"> </w:t>
      </w:r>
      <w:r>
        <w:rPr>
          <w:strike/>
          <w:sz w:val="19"/>
          <w:szCs w:val="19"/>
        </w:rPr>
        <w:t xml:space="preserve">             </w:t>
      </w:r>
    </w:p>
    <w:p w14:paraId="1E3CC234">
      <w:pPr>
        <w:pStyle w:val="2"/>
        <w:spacing w:before="98" w:line="219" w:lineRule="auto"/>
        <w:ind w:left="2730"/>
        <w:rPr>
          <w:sz w:val="19"/>
          <w:szCs w:val="19"/>
        </w:rPr>
      </w:pPr>
      <w:r>
        <w:rPr>
          <w:spacing w:val="-8"/>
          <w:sz w:val="19"/>
          <w:szCs w:val="19"/>
        </w:rPr>
        <w:t>图12-2</w:t>
      </w:r>
      <w:r>
        <w:rPr>
          <w:spacing w:val="67"/>
          <w:sz w:val="19"/>
          <w:szCs w:val="19"/>
        </w:rPr>
        <w:t xml:space="preserve"> </w:t>
      </w:r>
      <w:r>
        <w:rPr>
          <w:spacing w:val="-8"/>
          <w:sz w:val="19"/>
          <w:szCs w:val="19"/>
        </w:rPr>
        <w:t>成本基准、支出与资金需求</w:t>
      </w:r>
    </w:p>
    <w:p w14:paraId="251DE915">
      <w:pPr>
        <w:pStyle w:val="2"/>
        <w:spacing w:before="195" w:line="297" w:lineRule="auto"/>
        <w:ind w:right="315" w:firstLine="410"/>
        <w:rPr>
          <w:sz w:val="19"/>
          <w:szCs w:val="19"/>
        </w:rPr>
      </w:pPr>
      <w:r>
        <w:rPr>
          <w:spacing w:val="13"/>
          <w:sz w:val="19"/>
          <w:szCs w:val="19"/>
        </w:rPr>
        <w:t>当出现有必要动用管理储备的变更时，则应该在通过变更控</w:t>
      </w:r>
      <w:r>
        <w:rPr>
          <w:spacing w:val="12"/>
          <w:sz w:val="19"/>
          <w:szCs w:val="19"/>
        </w:rPr>
        <w:t>制程序的批准之后，把适量的</w:t>
      </w:r>
      <w:r>
        <w:rPr>
          <w:sz w:val="19"/>
          <w:szCs w:val="19"/>
        </w:rPr>
        <w:t xml:space="preserve"> </w:t>
      </w:r>
      <w:r>
        <w:rPr>
          <w:spacing w:val="6"/>
          <w:sz w:val="19"/>
          <w:szCs w:val="19"/>
        </w:rPr>
        <w:t>管理储备移入成本基准中。</w:t>
      </w:r>
    </w:p>
    <w:p w14:paraId="6B655C09">
      <w:pPr>
        <w:pStyle w:val="2"/>
        <w:spacing w:before="39" w:line="278" w:lineRule="auto"/>
        <w:ind w:right="297" w:firstLine="410"/>
        <w:rPr>
          <w:sz w:val="19"/>
          <w:szCs w:val="19"/>
        </w:rPr>
      </w:pPr>
      <w:r>
        <w:rPr>
          <w:spacing w:val="18"/>
          <w:sz w:val="19"/>
          <w:szCs w:val="19"/>
        </w:rPr>
        <w:t>许多项目(尤其是大项目)可以有多重成本基准以衡量成本的不同方面。例如，成本计划</w:t>
      </w:r>
      <w:r>
        <w:rPr>
          <w:sz w:val="19"/>
          <w:szCs w:val="19"/>
        </w:rPr>
        <w:t xml:space="preserve"> </w:t>
      </w:r>
      <w:r>
        <w:rPr>
          <w:spacing w:val="8"/>
          <w:sz w:val="19"/>
          <w:szCs w:val="19"/>
        </w:rPr>
        <w:t>或现金流量预测是衡量支付的成本基准。</w:t>
      </w:r>
    </w:p>
    <w:p w14:paraId="1D98FBBB">
      <w:pPr>
        <w:spacing w:before="124" w:line="224" w:lineRule="auto"/>
        <w:ind w:left="410"/>
        <w:rPr>
          <w:rFonts w:ascii="楷体" w:hAnsi="楷体" w:eastAsia="楷体" w:cs="楷体"/>
          <w:sz w:val="19"/>
          <w:szCs w:val="19"/>
        </w:rPr>
      </w:pPr>
      <w:r>
        <w:rPr>
          <w:rFonts w:ascii="楷体" w:hAnsi="楷体" w:eastAsia="楷体" w:cs="楷体"/>
          <w:spacing w:val="20"/>
          <w:sz w:val="19"/>
          <w:szCs w:val="19"/>
        </w:rPr>
        <w:t>2)项目资金需求</w:t>
      </w:r>
    </w:p>
    <w:p w14:paraId="74CF5234">
      <w:pPr>
        <w:pStyle w:val="2"/>
        <w:spacing w:before="93" w:line="285" w:lineRule="auto"/>
        <w:ind w:right="299" w:firstLine="410"/>
        <w:rPr>
          <w:sz w:val="19"/>
          <w:szCs w:val="19"/>
        </w:rPr>
      </w:pPr>
      <w:r>
        <w:rPr>
          <w:spacing w:val="18"/>
          <w:sz w:val="19"/>
          <w:szCs w:val="19"/>
        </w:rPr>
        <w:t>根据成本基准，确定总资金需求和阶段性(如季度或年度)资金需求。成本</w:t>
      </w:r>
      <w:r>
        <w:rPr>
          <w:spacing w:val="17"/>
          <w:sz w:val="19"/>
          <w:szCs w:val="19"/>
        </w:rPr>
        <w:t>基准中包括预</w:t>
      </w:r>
      <w:r>
        <w:rPr>
          <w:sz w:val="19"/>
          <w:szCs w:val="19"/>
        </w:rPr>
        <w:t xml:space="preserve"> </w:t>
      </w:r>
      <w:r>
        <w:rPr>
          <w:spacing w:val="13"/>
          <w:sz w:val="19"/>
          <w:szCs w:val="19"/>
        </w:rPr>
        <w:t>计支出及预计债务。项目资金通常以增量的方式投入，</w:t>
      </w:r>
      <w:r>
        <w:rPr>
          <w:spacing w:val="12"/>
          <w:sz w:val="19"/>
          <w:szCs w:val="19"/>
        </w:rPr>
        <w:t>并且可能是非均衡的，呈现出如图12-2</w:t>
      </w:r>
      <w:r>
        <w:rPr>
          <w:sz w:val="19"/>
          <w:szCs w:val="19"/>
        </w:rPr>
        <w:t xml:space="preserve"> </w:t>
      </w:r>
      <w:r>
        <w:rPr>
          <w:spacing w:val="13"/>
          <w:sz w:val="19"/>
          <w:szCs w:val="19"/>
        </w:rPr>
        <w:t>中所示的阶梯状。如果有管理储备，则总资金需求等于</w:t>
      </w:r>
      <w:r>
        <w:rPr>
          <w:spacing w:val="12"/>
          <w:sz w:val="19"/>
          <w:szCs w:val="19"/>
        </w:rPr>
        <w:t>成本基准加管理储备。在资金需求文件</w:t>
      </w:r>
      <w:r>
        <w:rPr>
          <w:sz w:val="19"/>
          <w:szCs w:val="19"/>
        </w:rPr>
        <w:t xml:space="preserve"> </w:t>
      </w:r>
      <w:r>
        <w:rPr>
          <w:spacing w:val="6"/>
          <w:sz w:val="19"/>
          <w:szCs w:val="19"/>
        </w:rPr>
        <w:t>中，也可以说明资金来源。</w:t>
      </w:r>
    </w:p>
    <w:p w14:paraId="08222FC2">
      <w:pPr>
        <w:pStyle w:val="2"/>
        <w:spacing w:before="195" w:line="219" w:lineRule="auto"/>
        <w:ind w:left="3"/>
        <w:rPr>
          <w:sz w:val="25"/>
          <w:szCs w:val="25"/>
        </w:rPr>
      </w:pPr>
      <w:r>
        <w:rPr>
          <w:b/>
          <w:bCs/>
          <w:color w:val="0078E1"/>
          <w:spacing w:val="-17"/>
          <w:sz w:val="25"/>
          <w:szCs w:val="25"/>
        </w:rPr>
        <w:t>12.2.4</w:t>
      </w:r>
      <w:r>
        <w:rPr>
          <w:color w:val="0078E1"/>
          <w:spacing w:val="-17"/>
          <w:sz w:val="25"/>
          <w:szCs w:val="25"/>
        </w:rPr>
        <w:t xml:space="preserve">  </w:t>
      </w:r>
      <w:r>
        <w:rPr>
          <w:b/>
          <w:bCs/>
          <w:color w:val="0078E1"/>
          <w:spacing w:val="-17"/>
          <w:sz w:val="25"/>
          <w:szCs w:val="25"/>
        </w:rPr>
        <w:t>成本控制</w:t>
      </w:r>
    </w:p>
    <w:p w14:paraId="7CDC5C82">
      <w:pPr>
        <w:pStyle w:val="2"/>
        <w:spacing w:before="176" w:line="297" w:lineRule="auto"/>
        <w:ind w:right="321" w:firstLine="410"/>
        <w:rPr>
          <w:sz w:val="19"/>
          <w:szCs w:val="19"/>
        </w:rPr>
      </w:pPr>
      <w:r>
        <w:rPr>
          <w:spacing w:val="13"/>
          <w:sz w:val="19"/>
          <w:szCs w:val="19"/>
        </w:rPr>
        <w:t>成本控制是监督项目状态，以更新项目成本和</w:t>
      </w:r>
      <w:r>
        <w:rPr>
          <w:spacing w:val="12"/>
          <w:sz w:val="19"/>
          <w:szCs w:val="19"/>
        </w:rPr>
        <w:t>管理成本基准变更的过程。成本控制的主要</w:t>
      </w:r>
      <w:r>
        <w:rPr>
          <w:sz w:val="19"/>
          <w:szCs w:val="19"/>
        </w:rPr>
        <w:t xml:space="preserve"> </w:t>
      </w:r>
      <w:r>
        <w:rPr>
          <w:spacing w:val="8"/>
          <w:sz w:val="19"/>
          <w:szCs w:val="19"/>
        </w:rPr>
        <w:t>作用是在项目期间保持对成本基准的维护，需要在整个项目期间开展。</w:t>
      </w:r>
    </w:p>
    <w:p w14:paraId="7F30560C">
      <w:pPr>
        <w:pStyle w:val="2"/>
        <w:spacing w:before="115" w:line="222" w:lineRule="auto"/>
        <w:ind w:left="412"/>
        <w:rPr>
          <w:rFonts w:ascii="黑体" w:hAnsi="黑体" w:eastAsia="黑体" w:cs="黑体"/>
          <w:sz w:val="19"/>
          <w:szCs w:val="19"/>
        </w:rPr>
      </w:pPr>
      <w:r>
        <w:rPr>
          <w:b/>
          <w:bCs/>
          <w:color w:val="0067AD"/>
          <w:spacing w:val="8"/>
          <w:sz w:val="19"/>
          <w:szCs w:val="19"/>
        </w:rPr>
        <w:t>1.</w:t>
      </w:r>
      <w:r>
        <w:rPr>
          <w:rFonts w:ascii="黑体" w:hAnsi="黑体" w:eastAsia="黑体" w:cs="黑体"/>
          <w:b/>
          <w:bCs/>
          <w:color w:val="0067AD"/>
          <w:spacing w:val="8"/>
          <w:sz w:val="19"/>
          <w:szCs w:val="19"/>
        </w:rPr>
        <w:t>预算审核</w:t>
      </w:r>
    </w:p>
    <w:p w14:paraId="05838ACB">
      <w:pPr>
        <w:pStyle w:val="2"/>
        <w:spacing w:before="143" w:line="286" w:lineRule="auto"/>
        <w:ind w:right="235" w:firstLine="410"/>
        <w:jc w:val="both"/>
        <w:rPr>
          <w:sz w:val="19"/>
          <w:szCs w:val="19"/>
        </w:rPr>
      </w:pPr>
      <w:r>
        <w:rPr>
          <w:spacing w:val="13"/>
          <w:sz w:val="19"/>
          <w:szCs w:val="19"/>
        </w:rPr>
        <w:t>预算编制是一项十分细致复杂的工作，计算中难免出现一些疏漏和错误，为此必须搞好审</w:t>
      </w:r>
      <w:r>
        <w:rPr>
          <w:spacing w:val="8"/>
          <w:sz w:val="19"/>
          <w:szCs w:val="19"/>
        </w:rPr>
        <w:t xml:space="preserve"> </w:t>
      </w:r>
      <w:r>
        <w:rPr>
          <w:spacing w:val="10"/>
          <w:sz w:val="19"/>
          <w:szCs w:val="19"/>
        </w:rPr>
        <w:t>核工作，这也是监理工作的一项重要内容。监理工程师审核的重点是：编制依据是</w:t>
      </w:r>
      <w:r>
        <w:rPr>
          <w:spacing w:val="9"/>
          <w:sz w:val="19"/>
          <w:szCs w:val="19"/>
        </w:rPr>
        <w:t>否符合规定，</w:t>
      </w:r>
      <w:r>
        <w:rPr>
          <w:sz w:val="19"/>
          <w:szCs w:val="19"/>
        </w:rPr>
        <w:t xml:space="preserve"> </w:t>
      </w:r>
      <w:r>
        <w:rPr>
          <w:spacing w:val="9"/>
          <w:sz w:val="19"/>
          <w:szCs w:val="19"/>
        </w:rPr>
        <w:t>造价及各项经济指标是否合理，单位工程有无漏项，说明是否全面并做到内容完整，造价正确，</w:t>
      </w:r>
      <w:r>
        <w:rPr>
          <w:spacing w:val="16"/>
          <w:sz w:val="19"/>
          <w:szCs w:val="19"/>
        </w:rPr>
        <w:t xml:space="preserve"> </w:t>
      </w:r>
      <w:r>
        <w:rPr>
          <w:spacing w:val="14"/>
          <w:sz w:val="19"/>
          <w:szCs w:val="19"/>
        </w:rPr>
        <w:t>经济指标及主要设备、软件配置合理。预算的审核本身</w:t>
      </w:r>
      <w:r>
        <w:rPr>
          <w:spacing w:val="13"/>
          <w:sz w:val="19"/>
          <w:szCs w:val="19"/>
        </w:rPr>
        <w:t>也是对投资控制的一种方法，目的是发</w:t>
      </w:r>
      <w:r>
        <w:rPr>
          <w:sz w:val="19"/>
          <w:szCs w:val="19"/>
        </w:rPr>
        <w:t xml:space="preserve"> </w:t>
      </w:r>
      <w:r>
        <w:rPr>
          <w:spacing w:val="8"/>
          <w:sz w:val="19"/>
          <w:szCs w:val="19"/>
        </w:rPr>
        <w:t>现、纠正错误，从而控制投资和造价。预算审核有如下几种方法：</w:t>
      </w:r>
    </w:p>
    <w:p w14:paraId="146F8C22">
      <w:pPr>
        <w:pStyle w:val="2"/>
        <w:spacing w:before="51" w:line="265" w:lineRule="auto"/>
        <w:ind w:right="216" w:firstLine="410"/>
        <w:rPr>
          <w:sz w:val="19"/>
          <w:szCs w:val="19"/>
        </w:rPr>
      </w:pPr>
      <w:r>
        <w:rPr>
          <w:spacing w:val="12"/>
          <w:sz w:val="19"/>
          <w:szCs w:val="19"/>
        </w:rPr>
        <w:t>(1)全面审核法。其具体计算和审核过程与编制过程基本相同。优点是全面细致、质量高、</w:t>
      </w:r>
      <w:r>
        <w:rPr>
          <w:spacing w:val="6"/>
          <w:sz w:val="19"/>
          <w:szCs w:val="19"/>
        </w:rPr>
        <w:t xml:space="preserve"> </w:t>
      </w:r>
      <w:r>
        <w:rPr>
          <w:spacing w:val="9"/>
          <w:sz w:val="19"/>
          <w:szCs w:val="19"/>
        </w:rPr>
        <w:t>差错少；缺点是工作量过大，需要组织一批分专业的计划预算工程师、经济师进行。</w:t>
      </w:r>
    </w:p>
    <w:p w14:paraId="44CB6F46">
      <w:pPr>
        <w:pStyle w:val="2"/>
        <w:spacing w:before="63" w:line="269" w:lineRule="auto"/>
        <w:ind w:right="301" w:firstLine="410"/>
        <w:rPr>
          <w:sz w:val="19"/>
          <w:szCs w:val="19"/>
        </w:rPr>
      </w:pPr>
      <w:r>
        <w:rPr>
          <w:spacing w:val="15"/>
          <w:sz w:val="19"/>
          <w:szCs w:val="19"/>
        </w:rPr>
        <w:t>(2)重点审核法。如选择工程量大，或造价高的项目重点审核，对补充单价和定额外设备</w:t>
      </w:r>
      <w:r>
        <w:rPr>
          <w:spacing w:val="3"/>
          <w:sz w:val="19"/>
          <w:szCs w:val="19"/>
        </w:rPr>
        <w:t xml:space="preserve"> </w:t>
      </w:r>
      <w:r>
        <w:rPr>
          <w:spacing w:val="13"/>
          <w:sz w:val="19"/>
          <w:szCs w:val="19"/>
        </w:rPr>
        <w:t>价及差价进行审核，以及对计取各项费用和计算方法进行重点审核，在重点审核中如发现问题</w:t>
      </w:r>
    </w:p>
    <w:p w14:paraId="5EE7E67D">
      <w:pPr>
        <w:spacing w:line="269" w:lineRule="auto"/>
        <w:rPr>
          <w:sz w:val="19"/>
          <w:szCs w:val="19"/>
        </w:rPr>
        <w:sectPr>
          <w:pgSz w:w="10290" w:h="13310"/>
          <w:pgMar w:top="319" w:right="598" w:bottom="400" w:left="1059" w:header="0" w:footer="0" w:gutter="0"/>
          <w:cols w:space="720" w:num="1"/>
        </w:sectPr>
      </w:pPr>
    </w:p>
    <w:p w14:paraId="1E6E7935">
      <w:pPr>
        <w:pStyle w:val="2"/>
        <w:spacing w:before="28" w:line="219" w:lineRule="auto"/>
        <w:rPr>
          <w:sz w:val="20"/>
          <w:szCs w:val="20"/>
        </w:rPr>
      </w:pPr>
      <w:r>
        <w:rPr>
          <w:rFonts w:ascii="Times New Roman" w:hAnsi="Times New Roman" w:eastAsia="Times New Roman" w:cs="Times New Roman"/>
          <w:spacing w:val="-3"/>
          <w:position w:val="1"/>
          <w:sz w:val="20"/>
          <w:szCs w:val="20"/>
        </w:rPr>
        <w:t>278</w:t>
      </w:r>
      <w:r>
        <w:rPr>
          <w:rFonts w:ascii="Times New Roman" w:hAnsi="Times New Roman" w:eastAsia="Times New Roman" w:cs="Times New Roman"/>
          <w:spacing w:val="2"/>
          <w:position w:val="1"/>
          <w:sz w:val="20"/>
          <w:szCs w:val="20"/>
        </w:rPr>
        <w:t xml:space="preserve">             </w:t>
      </w:r>
      <w:r>
        <w:rPr>
          <w:spacing w:val="-3"/>
          <w:sz w:val="20"/>
          <w:szCs w:val="20"/>
        </w:rPr>
        <w:t>信息系统监理师教程(第2版)</w:t>
      </w:r>
    </w:p>
    <w:p w14:paraId="4DF44D2B">
      <w:pPr>
        <w:spacing w:line="306" w:lineRule="auto"/>
        <w:rPr>
          <w:rFonts w:ascii="Arial"/>
          <w:sz w:val="21"/>
        </w:rPr>
      </w:pPr>
    </w:p>
    <w:p w14:paraId="482698EB">
      <w:pPr>
        <w:pStyle w:val="2"/>
        <w:spacing w:before="65" w:line="220" w:lineRule="auto"/>
        <w:ind w:left="349"/>
        <w:rPr>
          <w:sz w:val="20"/>
          <w:szCs w:val="20"/>
        </w:rPr>
      </w:pPr>
      <w:r>
        <w:rPr>
          <w:spacing w:val="-4"/>
          <w:sz w:val="20"/>
          <w:szCs w:val="20"/>
        </w:rPr>
        <w:t>较多时应扩大审核范围。</w:t>
      </w:r>
    </w:p>
    <w:p w14:paraId="304F0510">
      <w:pPr>
        <w:pStyle w:val="2"/>
        <w:spacing w:before="80" w:line="259" w:lineRule="auto"/>
        <w:ind w:left="349" w:right="61" w:firstLine="399"/>
        <w:rPr>
          <w:sz w:val="20"/>
          <w:szCs w:val="20"/>
        </w:rPr>
      </w:pPr>
      <w:r>
        <w:rPr>
          <w:spacing w:val="6"/>
          <w:sz w:val="20"/>
          <w:szCs w:val="20"/>
        </w:rPr>
        <w:t>(3)经验审核法。即监理工程师根据以往的实践经验，审核</w:t>
      </w:r>
      <w:r>
        <w:rPr>
          <w:spacing w:val="5"/>
          <w:sz w:val="20"/>
          <w:szCs w:val="20"/>
        </w:rPr>
        <w:t>容易发生差错的那些工程细目</w:t>
      </w:r>
      <w:r>
        <w:rPr>
          <w:sz w:val="20"/>
          <w:szCs w:val="20"/>
        </w:rPr>
        <w:t xml:space="preserve"> </w:t>
      </w:r>
      <w:r>
        <w:rPr>
          <w:spacing w:val="-2"/>
          <w:sz w:val="20"/>
          <w:szCs w:val="20"/>
        </w:rPr>
        <w:t>的方法。</w:t>
      </w:r>
    </w:p>
    <w:p w14:paraId="05F0E5BA">
      <w:pPr>
        <w:pStyle w:val="2"/>
        <w:spacing w:before="99" w:line="263" w:lineRule="auto"/>
        <w:ind w:left="349" w:right="68" w:firstLine="399"/>
        <w:rPr>
          <w:sz w:val="20"/>
          <w:szCs w:val="20"/>
        </w:rPr>
      </w:pPr>
      <w:r>
        <w:rPr>
          <w:spacing w:val="1"/>
          <w:sz w:val="20"/>
          <w:szCs w:val="20"/>
        </w:rPr>
        <w:t>(4)分解对比审核法。例如，将一个单项</w:t>
      </w:r>
      <w:r>
        <w:rPr>
          <w:sz w:val="20"/>
          <w:szCs w:val="20"/>
        </w:rPr>
        <w:t xml:space="preserve">工程按直接费、间接费进行分解，然后把直接费按 </w:t>
      </w:r>
      <w:r>
        <w:rPr>
          <w:spacing w:val="-2"/>
          <w:sz w:val="20"/>
          <w:szCs w:val="20"/>
        </w:rPr>
        <w:t>工程类别、工程部位进行分解，分别与审定的标准预算进行对比分析的方法，称为分解对比审核</w:t>
      </w:r>
      <w:r>
        <w:rPr>
          <w:spacing w:val="4"/>
          <w:sz w:val="20"/>
          <w:szCs w:val="20"/>
        </w:rPr>
        <w:t xml:space="preserve"> </w:t>
      </w:r>
      <w:r>
        <w:rPr>
          <w:spacing w:val="3"/>
          <w:sz w:val="20"/>
          <w:szCs w:val="20"/>
        </w:rPr>
        <w:t>法。边分解边对比，哪里出入较大，如果有超过标准预算的3%的部分，就要</w:t>
      </w:r>
      <w:r>
        <w:rPr>
          <w:spacing w:val="2"/>
          <w:sz w:val="20"/>
          <w:szCs w:val="20"/>
        </w:rPr>
        <w:t>审核该部分价格。</w:t>
      </w:r>
    </w:p>
    <w:p w14:paraId="7DBBC0EF">
      <w:pPr>
        <w:pStyle w:val="2"/>
        <w:spacing w:before="171" w:line="222" w:lineRule="auto"/>
        <w:ind w:left="752"/>
        <w:rPr>
          <w:rFonts w:ascii="黑体" w:hAnsi="黑体" w:eastAsia="黑体" w:cs="黑体"/>
          <w:sz w:val="20"/>
          <w:szCs w:val="20"/>
        </w:rPr>
      </w:pPr>
      <w:bookmarkStart w:id="634" w:name="bookmark619"/>
      <w:bookmarkEnd w:id="634"/>
      <w:r>
        <w:rPr>
          <w:b/>
          <w:bCs/>
          <w:color w:val="0074CD"/>
          <w:spacing w:val="-1"/>
          <w:sz w:val="20"/>
          <w:szCs w:val="20"/>
        </w:rPr>
        <w:t>2.</w:t>
      </w:r>
      <w:r>
        <w:rPr>
          <w:rFonts w:ascii="黑体" w:hAnsi="黑体" w:eastAsia="黑体" w:cs="黑体"/>
          <w:b/>
          <w:bCs/>
          <w:color w:val="0074CD"/>
          <w:spacing w:val="-1"/>
          <w:sz w:val="20"/>
          <w:szCs w:val="20"/>
        </w:rPr>
        <w:t>项目的成本控制</w:t>
      </w:r>
    </w:p>
    <w:p w14:paraId="2512F633">
      <w:pPr>
        <w:pStyle w:val="2"/>
        <w:spacing w:before="130" w:line="289" w:lineRule="auto"/>
        <w:ind w:left="349" w:firstLine="399"/>
        <w:jc w:val="both"/>
        <w:rPr>
          <w:sz w:val="20"/>
          <w:szCs w:val="20"/>
        </w:rPr>
      </w:pPr>
      <w:r>
        <w:rPr>
          <w:spacing w:val="3"/>
          <w:sz w:val="20"/>
          <w:szCs w:val="20"/>
        </w:rPr>
        <w:t>要更新预算，就需要了解截至目前的实际成本。只有经过变更控制程序的批准，才可以增</w:t>
      </w:r>
      <w:r>
        <w:rPr>
          <w:spacing w:val="8"/>
          <w:sz w:val="20"/>
          <w:szCs w:val="20"/>
        </w:rPr>
        <w:t xml:space="preserve"> </w:t>
      </w:r>
      <w:r>
        <w:rPr>
          <w:sz w:val="20"/>
          <w:szCs w:val="20"/>
        </w:rPr>
        <w:t>加预算。只监督资金的支出，而不考虑由这些支出所完成的工作的价值</w:t>
      </w:r>
      <w:r>
        <w:rPr>
          <w:spacing w:val="-1"/>
          <w:sz w:val="20"/>
          <w:szCs w:val="20"/>
        </w:rPr>
        <w:t>，对项目没有什么意义，</w:t>
      </w:r>
      <w:r>
        <w:rPr>
          <w:sz w:val="20"/>
          <w:szCs w:val="20"/>
        </w:rPr>
        <w:t xml:space="preserve"> </w:t>
      </w:r>
      <w:r>
        <w:rPr>
          <w:spacing w:val="4"/>
          <w:sz w:val="20"/>
          <w:szCs w:val="20"/>
        </w:rPr>
        <w:t>最多只能跟踪资金流。所以在成本控制中，应重</w:t>
      </w:r>
      <w:r>
        <w:rPr>
          <w:spacing w:val="3"/>
          <w:sz w:val="20"/>
          <w:szCs w:val="20"/>
        </w:rPr>
        <w:t>点分析项目资金支出与相应完成的工作之间的</w:t>
      </w:r>
      <w:r>
        <w:rPr>
          <w:sz w:val="20"/>
          <w:szCs w:val="20"/>
        </w:rPr>
        <w:t xml:space="preserve"> </w:t>
      </w:r>
      <w:r>
        <w:rPr>
          <w:spacing w:val="-3"/>
          <w:sz w:val="20"/>
          <w:szCs w:val="20"/>
        </w:rPr>
        <w:t>关系。有效成本控制的关键在于管理经批准的成本基准。</w:t>
      </w:r>
    </w:p>
    <w:p w14:paraId="1EF0295A">
      <w:pPr>
        <w:pStyle w:val="2"/>
        <w:spacing w:before="29" w:line="219" w:lineRule="auto"/>
        <w:ind w:left="749"/>
        <w:rPr>
          <w:sz w:val="20"/>
          <w:szCs w:val="20"/>
        </w:rPr>
      </w:pPr>
      <w:r>
        <w:rPr>
          <w:spacing w:val="-6"/>
          <w:sz w:val="20"/>
          <w:szCs w:val="20"/>
        </w:rPr>
        <w:t>项目成本控制包括：</w:t>
      </w:r>
    </w:p>
    <w:p w14:paraId="77D6E0F5">
      <w:pPr>
        <w:pStyle w:val="2"/>
        <w:spacing w:before="73" w:line="219" w:lineRule="auto"/>
        <w:ind w:left="749"/>
        <w:rPr>
          <w:sz w:val="20"/>
          <w:szCs w:val="20"/>
        </w:rPr>
      </w:pPr>
      <w:r>
        <w:rPr>
          <w:sz w:val="20"/>
          <w:szCs w:val="20"/>
        </w:rPr>
        <w:t>●对造成成本基准变更的因素施加影响；</w:t>
      </w:r>
    </w:p>
    <w:p w14:paraId="2B3F0CA6">
      <w:pPr>
        <w:pStyle w:val="2"/>
        <w:spacing w:before="84" w:line="219" w:lineRule="auto"/>
        <w:ind w:left="749"/>
        <w:rPr>
          <w:sz w:val="20"/>
          <w:szCs w:val="20"/>
        </w:rPr>
      </w:pPr>
      <w:r>
        <w:rPr>
          <w:spacing w:val="1"/>
          <w:sz w:val="20"/>
          <w:szCs w:val="20"/>
        </w:rPr>
        <w:t>●确保所有变更请求都得到及时处理；</w:t>
      </w:r>
    </w:p>
    <w:p w14:paraId="4C65F14B">
      <w:pPr>
        <w:pStyle w:val="2"/>
        <w:spacing w:before="93" w:line="219" w:lineRule="auto"/>
        <w:ind w:left="749"/>
        <w:rPr>
          <w:sz w:val="20"/>
          <w:szCs w:val="20"/>
        </w:rPr>
      </w:pPr>
      <w:r>
        <w:rPr>
          <w:spacing w:val="1"/>
          <w:sz w:val="20"/>
          <w:szCs w:val="20"/>
        </w:rPr>
        <w:t>●当变更实际发生时，管理这些变更；</w:t>
      </w:r>
    </w:p>
    <w:p w14:paraId="5D8257AD">
      <w:pPr>
        <w:pStyle w:val="2"/>
        <w:spacing w:before="92" w:line="253" w:lineRule="auto"/>
        <w:ind w:left="1039" w:right="68" w:hanging="290"/>
        <w:rPr>
          <w:sz w:val="20"/>
          <w:szCs w:val="20"/>
        </w:rPr>
      </w:pPr>
      <w:r>
        <w:rPr>
          <w:spacing w:val="6"/>
          <w:sz w:val="20"/>
          <w:szCs w:val="20"/>
        </w:rPr>
        <w:t>●确保成本支出不超过批准的资金限额，既不超出按时段、按</w:t>
      </w:r>
      <w:r>
        <w:rPr>
          <w:sz w:val="20"/>
          <w:szCs w:val="20"/>
        </w:rPr>
        <w:t>WBS</w:t>
      </w:r>
      <w:r>
        <w:rPr>
          <w:spacing w:val="104"/>
          <w:sz w:val="20"/>
          <w:szCs w:val="20"/>
        </w:rPr>
        <w:t xml:space="preserve"> </w:t>
      </w:r>
      <w:r>
        <w:rPr>
          <w:spacing w:val="6"/>
          <w:sz w:val="20"/>
          <w:szCs w:val="20"/>
        </w:rPr>
        <w:t>活动分配的限额，也</w:t>
      </w:r>
      <w:r>
        <w:rPr>
          <w:sz w:val="20"/>
          <w:szCs w:val="20"/>
        </w:rPr>
        <w:t xml:space="preserve"> </w:t>
      </w:r>
      <w:r>
        <w:rPr>
          <w:spacing w:val="-2"/>
          <w:sz w:val="20"/>
          <w:szCs w:val="20"/>
        </w:rPr>
        <w:t>不超出项目总限额；</w:t>
      </w:r>
    </w:p>
    <w:p w14:paraId="2706BD51">
      <w:pPr>
        <w:pStyle w:val="2"/>
        <w:spacing w:before="91" w:line="219" w:lineRule="auto"/>
        <w:ind w:left="749"/>
        <w:rPr>
          <w:sz w:val="20"/>
          <w:szCs w:val="20"/>
        </w:rPr>
      </w:pPr>
      <w:r>
        <w:rPr>
          <w:sz w:val="20"/>
          <w:szCs w:val="20"/>
        </w:rPr>
        <w:t>●监督成本绩效，找出并分析与成本基准间的偏差；</w:t>
      </w:r>
    </w:p>
    <w:p w14:paraId="2EFA4922">
      <w:pPr>
        <w:pStyle w:val="2"/>
        <w:spacing w:before="95" w:line="220" w:lineRule="auto"/>
        <w:ind w:left="749"/>
        <w:rPr>
          <w:sz w:val="20"/>
          <w:szCs w:val="20"/>
        </w:rPr>
      </w:pPr>
      <w:r>
        <w:rPr>
          <w:spacing w:val="1"/>
          <w:sz w:val="20"/>
          <w:szCs w:val="20"/>
        </w:rPr>
        <w:t>●对照资金支出，监督工作绩效；</w:t>
      </w:r>
    </w:p>
    <w:p w14:paraId="1EB1E513">
      <w:pPr>
        <w:pStyle w:val="2"/>
        <w:spacing w:before="89" w:line="218" w:lineRule="auto"/>
        <w:ind w:left="749"/>
        <w:rPr>
          <w:sz w:val="20"/>
          <w:szCs w:val="20"/>
        </w:rPr>
      </w:pPr>
      <w:r>
        <w:rPr>
          <w:spacing w:val="1"/>
          <w:sz w:val="20"/>
          <w:szCs w:val="20"/>
        </w:rPr>
        <w:t>●防止在成本或资源使用报告中出现未经批</w:t>
      </w:r>
      <w:r>
        <w:rPr>
          <w:sz w:val="20"/>
          <w:szCs w:val="20"/>
        </w:rPr>
        <w:t>准的变更；</w:t>
      </w:r>
    </w:p>
    <w:p w14:paraId="1E7E990F">
      <w:pPr>
        <w:pStyle w:val="2"/>
        <w:spacing w:before="94" w:line="218" w:lineRule="auto"/>
        <w:ind w:left="749"/>
        <w:rPr>
          <w:sz w:val="20"/>
          <w:szCs w:val="20"/>
        </w:rPr>
      </w:pPr>
      <w:r>
        <w:rPr>
          <w:sz w:val="20"/>
          <w:szCs w:val="20"/>
        </w:rPr>
        <w:t>●向相关方报告所有经批准的变更及其相关成本；</w:t>
      </w:r>
    </w:p>
    <w:p w14:paraId="65C2CEFA">
      <w:pPr>
        <w:pStyle w:val="2"/>
        <w:spacing w:before="74" w:line="219" w:lineRule="auto"/>
        <w:ind w:left="749"/>
        <w:rPr>
          <w:sz w:val="20"/>
          <w:szCs w:val="20"/>
        </w:rPr>
      </w:pPr>
      <w:r>
        <w:rPr>
          <w:sz w:val="20"/>
          <w:szCs w:val="20"/>
        </w:rPr>
        <w:t>●设法把预期的成本超支控制在可接受的范围内。</w:t>
      </w:r>
    </w:p>
    <w:p w14:paraId="2D161435">
      <w:pPr>
        <w:spacing w:line="357" w:lineRule="auto"/>
        <w:rPr>
          <w:rFonts w:ascii="Arial"/>
          <w:sz w:val="21"/>
        </w:rPr>
      </w:pPr>
    </w:p>
    <w:p w14:paraId="67D82386">
      <w:pPr>
        <w:pStyle w:val="2"/>
        <w:spacing w:before="92" w:line="221" w:lineRule="auto"/>
        <w:ind w:left="353"/>
        <w:rPr>
          <w:rFonts w:ascii="黑体" w:hAnsi="黑体" w:eastAsia="黑体" w:cs="黑体"/>
          <w:sz w:val="28"/>
          <w:szCs w:val="28"/>
        </w:rPr>
      </w:pPr>
      <w:r>
        <w:rPr>
          <w:b/>
          <w:bCs/>
          <w:color w:val="0079E3"/>
          <w:spacing w:val="-5"/>
          <w:sz w:val="28"/>
          <w:szCs w:val="28"/>
        </w:rPr>
        <w:t>12.3</w:t>
      </w:r>
      <w:r>
        <w:rPr>
          <w:color w:val="0079E3"/>
          <w:spacing w:val="-5"/>
          <w:sz w:val="28"/>
          <w:szCs w:val="28"/>
        </w:rPr>
        <w:t xml:space="preserve">  </w:t>
      </w:r>
      <w:r>
        <w:rPr>
          <w:rFonts w:ascii="黑体" w:hAnsi="黑体" w:eastAsia="黑体" w:cs="黑体"/>
          <w:b/>
          <w:bCs/>
          <w:color w:val="0079E3"/>
          <w:spacing w:val="-5"/>
          <w:sz w:val="28"/>
          <w:szCs w:val="28"/>
        </w:rPr>
        <w:t>投资构成和投资控制方法</w:t>
      </w:r>
    </w:p>
    <w:p w14:paraId="786C9084">
      <w:pPr>
        <w:pStyle w:val="2"/>
        <w:spacing w:before="257" w:line="280" w:lineRule="auto"/>
        <w:ind w:left="349" w:firstLine="399"/>
        <w:jc w:val="both"/>
        <w:rPr>
          <w:sz w:val="20"/>
          <w:szCs w:val="20"/>
        </w:rPr>
      </w:pPr>
      <w:r>
        <w:rPr>
          <w:spacing w:val="8"/>
          <w:sz w:val="20"/>
          <w:szCs w:val="20"/>
        </w:rPr>
        <w:t>所谓项目投资，就是投资主体为了达到一定的目的而将其能支配的资金(或其他资源)投</w:t>
      </w:r>
      <w:r>
        <w:rPr>
          <w:spacing w:val="5"/>
          <w:sz w:val="20"/>
          <w:szCs w:val="20"/>
        </w:rPr>
        <w:t xml:space="preserve"> </w:t>
      </w:r>
      <w:r>
        <w:rPr>
          <w:spacing w:val="1"/>
          <w:sz w:val="20"/>
          <w:szCs w:val="20"/>
        </w:rPr>
        <w:t>入工程项目建设的过程。这里的投资包含三层含义：</w:t>
      </w:r>
      <w:r>
        <w:rPr>
          <w:spacing w:val="80"/>
          <w:sz w:val="20"/>
          <w:szCs w:val="20"/>
        </w:rPr>
        <w:t xml:space="preserve"> </w:t>
      </w:r>
      <w:r>
        <w:rPr>
          <w:spacing w:val="1"/>
          <w:sz w:val="20"/>
          <w:szCs w:val="20"/>
        </w:rPr>
        <w:t>一是指投入的资金(或其他资源);二是指</w:t>
      </w:r>
      <w:r>
        <w:rPr>
          <w:sz w:val="20"/>
          <w:szCs w:val="20"/>
        </w:rPr>
        <w:t xml:space="preserve"> 投资主体的资金投放行为，包括资金的筹措、投向、投资决策、投资</w:t>
      </w:r>
      <w:r>
        <w:rPr>
          <w:spacing w:val="-1"/>
          <w:sz w:val="20"/>
          <w:szCs w:val="20"/>
        </w:rPr>
        <w:t>计划、实施、调控等活动；</w:t>
      </w:r>
      <w:r>
        <w:rPr>
          <w:sz w:val="20"/>
          <w:szCs w:val="20"/>
        </w:rPr>
        <w:t xml:space="preserve"> </w:t>
      </w:r>
      <w:r>
        <w:rPr>
          <w:spacing w:val="8"/>
          <w:sz w:val="20"/>
          <w:szCs w:val="20"/>
        </w:rPr>
        <w:t>三是指资金(或其他资源)的投入过程。</w:t>
      </w:r>
    </w:p>
    <w:p w14:paraId="66174535">
      <w:pPr>
        <w:pStyle w:val="2"/>
        <w:spacing w:before="28" w:line="277" w:lineRule="auto"/>
        <w:ind w:left="349" w:firstLine="399"/>
        <w:jc w:val="both"/>
        <w:rPr>
          <w:sz w:val="20"/>
          <w:szCs w:val="20"/>
        </w:rPr>
      </w:pPr>
      <w:r>
        <w:rPr>
          <w:sz w:val="20"/>
          <w:szCs w:val="20"/>
        </w:rPr>
        <w:t>在信息系统工程建设项目中，投资可以理解成进行某项信息系统</w:t>
      </w:r>
      <w:r>
        <w:rPr>
          <w:spacing w:val="-1"/>
          <w:sz w:val="20"/>
          <w:szCs w:val="20"/>
        </w:rPr>
        <w:t>工程建设花费的全部费用，</w:t>
      </w:r>
      <w:r>
        <w:rPr>
          <w:sz w:val="20"/>
          <w:szCs w:val="20"/>
        </w:rPr>
        <w:t xml:space="preserve"> </w:t>
      </w:r>
      <w:r>
        <w:rPr>
          <w:spacing w:val="3"/>
          <w:sz w:val="20"/>
          <w:szCs w:val="20"/>
        </w:rPr>
        <w:t>即为项目实施完成，业主单位所支付的设备采购费用、应用环境所需的系统软件和配置软</w:t>
      </w:r>
      <w:r>
        <w:rPr>
          <w:spacing w:val="2"/>
          <w:sz w:val="20"/>
          <w:szCs w:val="20"/>
        </w:rPr>
        <w:t>件费</w:t>
      </w:r>
      <w:r>
        <w:rPr>
          <w:sz w:val="20"/>
          <w:szCs w:val="20"/>
        </w:rPr>
        <w:t xml:space="preserve"> </w:t>
      </w:r>
      <w:r>
        <w:rPr>
          <w:spacing w:val="-2"/>
          <w:sz w:val="20"/>
          <w:szCs w:val="20"/>
        </w:rPr>
        <w:t>用，支付承建单位的设计、开发、服务费用，监理费用等。</w:t>
      </w:r>
    </w:p>
    <w:p w14:paraId="10410DAB">
      <w:pPr>
        <w:pStyle w:val="2"/>
        <w:spacing w:before="198" w:line="219" w:lineRule="auto"/>
        <w:ind w:left="352"/>
        <w:rPr>
          <w:sz w:val="25"/>
          <w:szCs w:val="25"/>
        </w:rPr>
      </w:pPr>
      <w:r>
        <w:rPr>
          <w:b/>
          <w:bCs/>
          <w:color w:val="0082E6"/>
          <w:spacing w:val="-16"/>
          <w:sz w:val="25"/>
          <w:szCs w:val="25"/>
        </w:rPr>
        <w:t>12.3.1</w:t>
      </w:r>
      <w:r>
        <w:rPr>
          <w:color w:val="0082E6"/>
          <w:spacing w:val="101"/>
          <w:sz w:val="25"/>
          <w:szCs w:val="25"/>
        </w:rPr>
        <w:t xml:space="preserve"> </w:t>
      </w:r>
      <w:r>
        <w:rPr>
          <w:b/>
          <w:bCs/>
          <w:color w:val="0082E6"/>
          <w:spacing w:val="-16"/>
          <w:sz w:val="25"/>
          <w:szCs w:val="25"/>
        </w:rPr>
        <w:t>信息系统工程建设项目投资构成分析</w:t>
      </w:r>
    </w:p>
    <w:p w14:paraId="01425192">
      <w:pPr>
        <w:pStyle w:val="2"/>
        <w:spacing w:before="144" w:line="265" w:lineRule="auto"/>
        <w:ind w:left="349" w:right="71" w:firstLine="399"/>
        <w:rPr>
          <w:sz w:val="20"/>
          <w:szCs w:val="20"/>
        </w:rPr>
      </w:pPr>
      <w:r>
        <w:rPr>
          <w:spacing w:val="3"/>
          <w:sz w:val="20"/>
          <w:szCs w:val="20"/>
        </w:rPr>
        <w:t>信息系统工程总费用由工程建设费用、工程建设其他费用、预备费、建设期利息构成。各</w:t>
      </w:r>
      <w:r>
        <w:rPr>
          <w:spacing w:val="1"/>
          <w:sz w:val="20"/>
          <w:szCs w:val="20"/>
        </w:rPr>
        <w:t xml:space="preserve"> </w:t>
      </w:r>
      <w:r>
        <w:rPr>
          <w:spacing w:val="2"/>
          <w:sz w:val="20"/>
          <w:szCs w:val="20"/>
        </w:rPr>
        <w:t>项费用的构成如图12-3所示。</w:t>
      </w:r>
    </w:p>
    <w:p w14:paraId="58F726CC">
      <w:pPr>
        <w:spacing w:line="265" w:lineRule="auto"/>
        <w:rPr>
          <w:sz w:val="20"/>
          <w:szCs w:val="20"/>
        </w:rPr>
        <w:sectPr>
          <w:pgSz w:w="10300" w:h="13380"/>
          <w:pgMar w:top="400" w:right="1029" w:bottom="400" w:left="530" w:header="0" w:footer="0" w:gutter="0"/>
          <w:cols w:space="720" w:num="1"/>
        </w:sectPr>
      </w:pPr>
    </w:p>
    <w:p w14:paraId="255A6FED">
      <w:pPr>
        <w:pStyle w:val="2"/>
        <w:jc w:val="right"/>
        <w:rPr>
          <w:rFonts w:ascii="Times New Roman" w:hAnsi="Times New Roman" w:eastAsia="Times New Roman" w:cs="Times New Roman"/>
          <w:sz w:val="18"/>
          <w:szCs w:val="18"/>
        </w:rPr>
      </w:pPr>
      <w:r>
        <w:rPr>
          <w:spacing w:val="10"/>
          <w:sz w:val="18"/>
          <w:szCs w:val="18"/>
        </w:rPr>
        <w:t>第12章</w:t>
      </w:r>
      <w:r>
        <w:rPr>
          <w:spacing w:val="64"/>
          <w:sz w:val="18"/>
          <w:szCs w:val="18"/>
        </w:rPr>
        <w:t xml:space="preserve"> </w:t>
      </w:r>
      <w:r>
        <w:rPr>
          <w:spacing w:val="10"/>
          <w:sz w:val="18"/>
          <w:szCs w:val="18"/>
        </w:rPr>
        <w:t>投资控制</w:t>
      </w:r>
      <w:r>
        <w:rPr>
          <w:spacing w:val="24"/>
          <w:sz w:val="18"/>
          <w:szCs w:val="18"/>
        </w:rPr>
        <w:t xml:space="preserve"> </w:t>
      </w:r>
      <w:r>
        <w:rPr>
          <w:position w:val="-12"/>
          <w:sz w:val="18"/>
          <w:szCs w:val="18"/>
        </w:rPr>
        <w:drawing>
          <wp:inline distT="0" distB="0" distL="0" distR="0">
            <wp:extent cx="291465" cy="24701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91"/>
                    <a:stretch>
                      <a:fillRect/>
                    </a:stretch>
                  </pic:blipFill>
                  <pic:spPr>
                    <a:xfrm>
                      <a:off x="0" y="0"/>
                      <a:ext cx="292076" cy="247622"/>
                    </a:xfrm>
                    <a:prstGeom prst="rect">
                      <a:avLst/>
                    </a:prstGeom>
                  </pic:spPr>
                </pic:pic>
              </a:graphicData>
            </a:graphic>
          </wp:inline>
        </w:drawing>
      </w:r>
      <w:r>
        <w:rPr>
          <w:rFonts w:ascii="Times New Roman" w:hAnsi="Times New Roman" w:eastAsia="Times New Roman" w:cs="Times New Roman"/>
          <w:color w:val="007EEE"/>
          <w:spacing w:val="10"/>
          <w:position w:val="-3"/>
          <w:sz w:val="18"/>
          <w:szCs w:val="18"/>
        </w:rPr>
        <w:t>2</w:t>
      </w:r>
      <w:r>
        <w:rPr>
          <w:rFonts w:ascii="Times New Roman" w:hAnsi="Times New Roman" w:eastAsia="Times New Roman" w:cs="Times New Roman"/>
          <w:color w:val="007EEE"/>
          <w:spacing w:val="19"/>
          <w:position w:val="-3"/>
          <w:sz w:val="18"/>
          <w:szCs w:val="18"/>
        </w:rPr>
        <w:t xml:space="preserve"> </w:t>
      </w:r>
      <w:r>
        <w:rPr>
          <w:rFonts w:ascii="Times New Roman" w:hAnsi="Times New Roman" w:eastAsia="Times New Roman" w:cs="Times New Roman"/>
          <w:spacing w:val="10"/>
          <w:position w:val="-3"/>
          <w:sz w:val="18"/>
          <w:szCs w:val="18"/>
        </w:rPr>
        <w:t>79</w:t>
      </w:r>
    </w:p>
    <w:p w14:paraId="25C2DEDE">
      <w:pPr>
        <w:pStyle w:val="2"/>
        <w:spacing w:before="219" w:line="4480" w:lineRule="exact"/>
        <w:ind w:firstLine="710"/>
      </w:pPr>
      <w:r>
        <w:rPr>
          <w:position w:val="-89"/>
        </w:rPr>
        <w:pict>
          <v:group id="_x0000_s1479" o:spid="_x0000_s1479" o:spt="203" style="height:224pt;width:345pt;" coordsize="6900,4480">
            <o:lock v:ext="edit"/>
            <v:shape id="_x0000_s1480" o:spid="_x0000_s1480" o:spt="75" type="#_x0000_t75" style="position:absolute;left:0;top:0;height:4480;width:6900;" filled="f" stroked="f" coordsize="21600,21600">
              <v:path/>
              <v:fill on="f" focussize="0,0"/>
              <v:stroke on="f"/>
              <v:imagedata r:id="rId192" o:title=""/>
              <o:lock v:ext="edit" aspectratio="t"/>
            </v:shape>
            <v:shape id="_x0000_s1481" o:spid="_x0000_s1481" o:spt="202" type="#_x0000_t202" style="position:absolute;left:1109;top:147;height:4181;width:5630;" filled="f" stroked="f" coordsize="21600,21600">
              <v:path/>
              <v:fill on="f" focussize="0,0"/>
              <v:stroke on="f"/>
              <v:imagedata o:title=""/>
              <o:lock v:ext="edit" aspectratio="f"/>
              <v:textbox inset="0mm,0mm,0mm,0mm">
                <w:txbxContent>
                  <w:p w14:paraId="13D20F99">
                    <w:pPr>
                      <w:spacing w:before="20" w:line="219" w:lineRule="auto"/>
                      <w:ind w:left="3980"/>
                      <w:rPr>
                        <w:rFonts w:ascii="宋体" w:hAnsi="宋体" w:eastAsia="宋体" w:cs="宋体"/>
                        <w:sz w:val="18"/>
                        <w:szCs w:val="18"/>
                      </w:rPr>
                    </w:pPr>
                    <w:r>
                      <w:rPr>
                        <w:rFonts w:ascii="宋体" w:hAnsi="宋体" w:eastAsia="宋体" w:cs="宋体"/>
                        <w:spacing w:val="-10"/>
                        <w:sz w:val="18"/>
                        <w:szCs w:val="18"/>
                      </w:rPr>
                      <w:t>应用软件开发费</w:t>
                    </w:r>
                  </w:p>
                  <w:p w14:paraId="6A643922">
                    <w:pPr>
                      <w:spacing w:before="136" w:line="219" w:lineRule="auto"/>
                      <w:ind w:left="1900"/>
                      <w:rPr>
                        <w:rFonts w:ascii="宋体" w:hAnsi="宋体" w:eastAsia="宋体" w:cs="宋体"/>
                        <w:sz w:val="18"/>
                        <w:szCs w:val="18"/>
                      </w:rPr>
                    </w:pPr>
                    <w:r>
                      <w:rPr>
                        <w:rFonts w:ascii="宋体" w:hAnsi="宋体" w:eastAsia="宋体" w:cs="宋体"/>
                        <w:spacing w:val="-9"/>
                        <w:sz w:val="18"/>
                        <w:szCs w:val="18"/>
                      </w:rPr>
                      <w:t>软硬件购置费</w:t>
                    </w:r>
                  </w:p>
                  <w:p w14:paraId="34E4875D">
                    <w:pPr>
                      <w:spacing w:before="46" w:line="219" w:lineRule="auto"/>
                      <w:ind w:left="3980"/>
                      <w:rPr>
                        <w:rFonts w:ascii="宋体" w:hAnsi="宋体" w:eastAsia="宋体" w:cs="宋体"/>
                        <w:sz w:val="18"/>
                        <w:szCs w:val="18"/>
                      </w:rPr>
                    </w:pPr>
                    <w:r>
                      <w:rPr>
                        <w:rFonts w:ascii="宋体" w:hAnsi="宋体" w:eastAsia="宋体" w:cs="宋体"/>
                        <w:spacing w:val="-10"/>
                        <w:sz w:val="18"/>
                        <w:szCs w:val="18"/>
                      </w:rPr>
                      <w:t>数据工程服务费</w:t>
                    </w:r>
                  </w:p>
                  <w:p w14:paraId="39D75D88">
                    <w:pPr>
                      <w:spacing w:before="46" w:line="219" w:lineRule="auto"/>
                      <w:ind w:left="1580"/>
                      <w:rPr>
                        <w:rFonts w:ascii="宋体" w:hAnsi="宋体" w:eastAsia="宋体" w:cs="宋体"/>
                        <w:sz w:val="18"/>
                        <w:szCs w:val="18"/>
                      </w:rPr>
                    </w:pPr>
                    <w:r>
                      <w:rPr>
                        <w:rFonts w:ascii="宋体" w:hAnsi="宋体" w:eastAsia="宋体" w:cs="宋体"/>
                        <w:spacing w:val="10"/>
                        <w:sz w:val="18"/>
                        <w:szCs w:val="18"/>
                      </w:rPr>
                      <w:t>单项工程(服务)费</w:t>
                    </w:r>
                  </w:p>
                  <w:p w14:paraId="44AA8892">
                    <w:pPr>
                      <w:spacing w:before="136" w:line="219" w:lineRule="auto"/>
                      <w:ind w:left="3980"/>
                      <w:rPr>
                        <w:rFonts w:ascii="宋体" w:hAnsi="宋体" w:eastAsia="宋体" w:cs="宋体"/>
                        <w:sz w:val="18"/>
                        <w:szCs w:val="18"/>
                      </w:rPr>
                    </w:pPr>
                    <w:r>
                      <w:rPr>
                        <w:rFonts w:ascii="宋体" w:hAnsi="宋体" w:eastAsia="宋体" w:cs="宋体"/>
                        <w:spacing w:val="-10"/>
                        <w:sz w:val="18"/>
                        <w:szCs w:val="18"/>
                      </w:rPr>
                      <w:t>信息系统集成费</w:t>
                    </w:r>
                  </w:p>
                  <w:p w14:paraId="681B8DB8">
                    <w:pPr>
                      <w:spacing w:before="56" w:line="219" w:lineRule="auto"/>
                      <w:ind w:left="1840"/>
                      <w:rPr>
                        <w:rFonts w:ascii="宋体" w:hAnsi="宋体" w:eastAsia="宋体" w:cs="宋体"/>
                        <w:sz w:val="18"/>
                        <w:szCs w:val="18"/>
                      </w:rPr>
                    </w:pPr>
                    <w:r>
                      <w:rPr>
                        <w:rFonts w:ascii="宋体" w:hAnsi="宋体" w:eastAsia="宋体" w:cs="宋体"/>
                        <w:spacing w:val="-8"/>
                        <w:sz w:val="18"/>
                        <w:szCs w:val="18"/>
                      </w:rPr>
                      <w:t>业主单位管理费</w:t>
                    </w:r>
                  </w:p>
                  <w:p w14:paraId="4C8711F1">
                    <w:pPr>
                      <w:spacing w:before="107" w:line="220" w:lineRule="auto"/>
                      <w:ind w:left="3890"/>
                      <w:rPr>
                        <w:rFonts w:ascii="宋体" w:hAnsi="宋体" w:eastAsia="宋体" w:cs="宋体"/>
                        <w:sz w:val="18"/>
                        <w:szCs w:val="18"/>
                      </w:rPr>
                    </w:pPr>
                    <w:r>
                      <w:rPr>
                        <w:rFonts w:ascii="宋体" w:hAnsi="宋体" w:eastAsia="宋体" w:cs="宋体"/>
                        <w:spacing w:val="-7"/>
                        <w:sz w:val="18"/>
                        <w:szCs w:val="18"/>
                      </w:rPr>
                      <w:t>IT基础设施建设费</w:t>
                    </w:r>
                  </w:p>
                  <w:p w14:paraId="03CC27E9">
                    <w:pPr>
                      <w:spacing w:before="56" w:line="220" w:lineRule="auto"/>
                      <w:ind w:left="1980"/>
                      <w:rPr>
                        <w:rFonts w:ascii="宋体" w:hAnsi="宋体" w:eastAsia="宋体" w:cs="宋体"/>
                        <w:sz w:val="18"/>
                        <w:szCs w:val="18"/>
                      </w:rPr>
                    </w:pPr>
                    <w:r>
                      <w:rPr>
                        <w:rFonts w:ascii="宋体" w:hAnsi="宋体" w:eastAsia="宋体" w:cs="宋体"/>
                        <w:spacing w:val="-8"/>
                        <w:sz w:val="18"/>
                        <w:szCs w:val="18"/>
                      </w:rPr>
                      <w:t>前期咨询费</w:t>
                    </w:r>
                  </w:p>
                  <w:p w14:paraId="1A4E4CC4">
                    <w:pPr>
                      <w:spacing w:before="135" w:line="220" w:lineRule="auto"/>
                      <w:ind w:right="10"/>
                      <w:jc w:val="right"/>
                      <w:rPr>
                        <w:rFonts w:ascii="宋体" w:hAnsi="宋体" w:eastAsia="宋体" w:cs="宋体"/>
                        <w:sz w:val="18"/>
                        <w:szCs w:val="18"/>
                      </w:rPr>
                    </w:pPr>
                    <w:r>
                      <w:rPr>
                        <w:rFonts w:ascii="宋体" w:hAnsi="宋体" w:eastAsia="宋体" w:cs="宋体"/>
                        <w:spacing w:val="-10"/>
                        <w:sz w:val="18"/>
                        <w:szCs w:val="18"/>
                      </w:rPr>
                      <w:t>智能化、自动化系统建设费</w:t>
                    </w:r>
                  </w:p>
                  <w:p w14:paraId="12F8AC96">
                    <w:pPr>
                      <w:spacing w:line="344" w:lineRule="auto"/>
                      <w:rPr>
                        <w:rFonts w:ascii="Arial"/>
                        <w:sz w:val="21"/>
                      </w:rPr>
                    </w:pPr>
                  </w:p>
                  <w:p w14:paraId="52567C51">
                    <w:pPr>
                      <w:spacing w:before="59" w:line="164" w:lineRule="auto"/>
                      <w:ind w:left="3980"/>
                      <w:rPr>
                        <w:rFonts w:ascii="宋体" w:hAnsi="宋体" w:eastAsia="宋体" w:cs="宋体"/>
                        <w:sz w:val="18"/>
                        <w:szCs w:val="18"/>
                      </w:rPr>
                    </w:pPr>
                    <w:r>
                      <w:rPr>
                        <w:rFonts w:ascii="宋体" w:hAnsi="宋体" w:eastAsia="宋体" w:cs="宋体"/>
                        <w:spacing w:val="-10"/>
                        <w:sz w:val="18"/>
                        <w:szCs w:val="18"/>
                      </w:rPr>
                      <w:t>信息技术服务费</w:t>
                    </w:r>
                  </w:p>
                  <w:p w14:paraId="110C9699">
                    <w:pPr>
                      <w:spacing w:before="1" w:line="199" w:lineRule="auto"/>
                      <w:ind w:left="20"/>
                      <w:rPr>
                        <w:rFonts w:ascii="宋体" w:hAnsi="宋体" w:eastAsia="宋体" w:cs="宋体"/>
                        <w:sz w:val="18"/>
                        <w:szCs w:val="18"/>
                      </w:rPr>
                    </w:pPr>
                    <w:r>
                      <w:rPr>
                        <w:rFonts w:ascii="宋体" w:hAnsi="宋体" w:eastAsia="宋体" w:cs="宋体"/>
                        <w:spacing w:val="-8"/>
                        <w:sz w:val="18"/>
                        <w:szCs w:val="18"/>
                      </w:rPr>
                      <w:t>建设期利息</w:t>
                    </w:r>
                  </w:p>
                  <w:p w14:paraId="1D1172BE">
                    <w:pPr>
                      <w:spacing w:before="55" w:line="185" w:lineRule="auto"/>
                      <w:ind w:left="1900"/>
                      <w:rPr>
                        <w:rFonts w:ascii="宋体" w:hAnsi="宋体" w:eastAsia="宋体" w:cs="宋体"/>
                        <w:sz w:val="18"/>
                        <w:szCs w:val="18"/>
                      </w:rPr>
                    </w:pPr>
                    <w:r>
                      <w:rPr>
                        <w:rFonts w:ascii="宋体" w:hAnsi="宋体" w:eastAsia="宋体" w:cs="宋体"/>
                        <w:spacing w:val="-9"/>
                        <w:sz w:val="18"/>
                        <w:szCs w:val="18"/>
                      </w:rPr>
                      <w:t>第三方检测费</w:t>
                    </w:r>
                  </w:p>
                  <w:p w14:paraId="6385FCF8">
                    <w:pPr>
                      <w:spacing w:line="219" w:lineRule="auto"/>
                      <w:ind w:left="4080"/>
                      <w:rPr>
                        <w:rFonts w:ascii="宋体" w:hAnsi="宋体" w:eastAsia="宋体" w:cs="宋体"/>
                        <w:sz w:val="18"/>
                        <w:szCs w:val="18"/>
                      </w:rPr>
                    </w:pPr>
                    <w:r>
                      <w:rPr>
                        <w:rFonts w:ascii="宋体" w:hAnsi="宋体" w:eastAsia="宋体" w:cs="宋体"/>
                        <w:spacing w:val="-9"/>
                        <w:sz w:val="18"/>
                        <w:szCs w:val="18"/>
                      </w:rPr>
                      <w:t>云计算服务费</w:t>
                    </w:r>
                  </w:p>
                  <w:p w14:paraId="5CF44337">
                    <w:pPr>
                      <w:spacing w:before="107" w:line="220" w:lineRule="auto"/>
                      <w:ind w:left="1900"/>
                      <w:rPr>
                        <w:rFonts w:ascii="宋体" w:hAnsi="宋体" w:eastAsia="宋体" w:cs="宋体"/>
                        <w:sz w:val="18"/>
                        <w:szCs w:val="18"/>
                      </w:rPr>
                    </w:pPr>
                    <w:r>
                      <w:rPr>
                        <w:rFonts w:ascii="宋体" w:hAnsi="宋体" w:eastAsia="宋体" w:cs="宋体"/>
                        <w:spacing w:val="-7"/>
                        <w:sz w:val="18"/>
                        <w:szCs w:val="18"/>
                      </w:rPr>
                      <w:t>建设其他费用</w:t>
                    </w:r>
                  </w:p>
                </w:txbxContent>
              </v:textbox>
            </v:shape>
            <v:shape id="_x0000_s1482" o:spid="_x0000_s1482" o:spt="202" type="#_x0000_t202" style="position:absolute;left:2899;top:2617;height:720;width:1240;" filled="f" stroked="f" coordsize="21600,21600">
              <v:path/>
              <v:fill on="f" focussize="0,0"/>
              <v:stroke on="f"/>
              <v:imagedata o:title=""/>
              <o:lock v:ext="edit" aspectratio="f"/>
              <v:textbox inset="0mm,0mm,0mm,0mm">
                <w:txbxContent>
                  <w:p w14:paraId="7D182ECA">
                    <w:pPr>
                      <w:spacing w:before="20" w:line="220" w:lineRule="auto"/>
                      <w:ind w:left="189"/>
                      <w:rPr>
                        <w:rFonts w:ascii="宋体" w:hAnsi="宋体" w:eastAsia="宋体" w:cs="宋体"/>
                        <w:sz w:val="18"/>
                        <w:szCs w:val="18"/>
                      </w:rPr>
                    </w:pPr>
                    <w:r>
                      <w:rPr>
                        <w:rFonts w:ascii="宋体" w:hAnsi="宋体" w:eastAsia="宋体" w:cs="宋体"/>
                        <w:spacing w:val="-8"/>
                        <w:sz w:val="18"/>
                        <w:szCs w:val="18"/>
                      </w:rPr>
                      <w:t>工程监理费</w:t>
                    </w:r>
                  </w:p>
                  <w:p w14:paraId="2153EE0B">
                    <w:pPr>
                      <w:spacing w:before="284" w:line="219" w:lineRule="auto"/>
                      <w:ind w:left="20"/>
                      <w:rPr>
                        <w:rFonts w:ascii="宋体" w:hAnsi="宋体" w:eastAsia="宋体" w:cs="宋体"/>
                        <w:sz w:val="18"/>
                        <w:szCs w:val="18"/>
                      </w:rPr>
                    </w:pPr>
                    <w:r>
                      <w:rPr>
                        <w:rFonts w:ascii="宋体" w:hAnsi="宋体" w:eastAsia="宋体" w:cs="宋体"/>
                        <w:spacing w:val="-8"/>
                        <w:sz w:val="18"/>
                        <w:szCs w:val="18"/>
                      </w:rPr>
                      <w:t>招标代理服务费</w:t>
                    </w:r>
                  </w:p>
                </w:txbxContent>
              </v:textbox>
            </v:shape>
            <v:shape id="_x0000_s1483" o:spid="_x0000_s1483" o:spt="202" type="#_x0000_t202" style="position:absolute;left:180;top:1171;height:1973;width:188;" filled="f" stroked="f" coordsize="21600,21600">
              <v:path/>
              <v:fill on="f" focussize="0,0"/>
              <v:stroke on="f"/>
              <v:imagedata o:title=""/>
              <o:lock v:ext="edit" aspectratio="f"/>
              <v:textbox inset="0mm,0mm,0mm,0mm" style="layout-flow:vertical-ideographic;">
                <w:txbxContent>
                  <w:p w14:paraId="1FE67A70">
                    <w:pPr>
                      <w:spacing w:before="20" w:line="202" w:lineRule="auto"/>
                      <w:ind w:left="20"/>
                      <w:rPr>
                        <w:rFonts w:ascii="宋体" w:hAnsi="宋体" w:eastAsia="宋体" w:cs="宋体"/>
                        <w:sz w:val="16"/>
                        <w:szCs w:val="16"/>
                      </w:rPr>
                    </w:pPr>
                    <w:r>
                      <w:rPr>
                        <w:rFonts w:ascii="宋体" w:hAnsi="宋体" w:eastAsia="宋体" w:cs="宋体"/>
                        <w:spacing w:val="15"/>
                        <w:sz w:val="16"/>
                        <w:szCs w:val="16"/>
                      </w:rPr>
                      <w:t>信息系统工程建设总费用</w:t>
                    </w:r>
                  </w:p>
                </w:txbxContent>
              </v:textbox>
            </v:shape>
            <v:shape id="_x0000_s1484" o:spid="_x0000_s1484" o:spt="202" type="#_x0000_t202" style="position:absolute;left:879;top:1627;height:220;width:1391;" filled="f" stroked="f" coordsize="21600,21600">
              <v:path/>
              <v:fill on="f" focussize="0,0"/>
              <v:stroke on="f"/>
              <v:imagedata o:title=""/>
              <o:lock v:ext="edit" aspectratio="f"/>
              <v:textbox inset="0mm,0mm,0mm,0mm">
                <w:txbxContent>
                  <w:p w14:paraId="0887C7CB">
                    <w:pPr>
                      <w:spacing w:before="20" w:line="220" w:lineRule="auto"/>
                      <w:ind w:left="20"/>
                      <w:rPr>
                        <w:rFonts w:ascii="宋体" w:hAnsi="宋体" w:eastAsia="宋体" w:cs="宋体"/>
                        <w:sz w:val="18"/>
                        <w:szCs w:val="18"/>
                      </w:rPr>
                    </w:pPr>
                    <w:r>
                      <w:rPr>
                        <w:rFonts w:ascii="宋体" w:hAnsi="宋体" w:eastAsia="宋体" w:cs="宋体"/>
                        <w:spacing w:val="-10"/>
                        <w:sz w:val="18"/>
                        <w:szCs w:val="18"/>
                      </w:rPr>
                      <w:t>工程建设其他费用</w:t>
                    </w:r>
                  </w:p>
                </w:txbxContent>
              </v:textbox>
            </v:shape>
            <v:shape id="_x0000_s1485" o:spid="_x0000_s1485" o:spt="202" type="#_x0000_t202" style="position:absolute;left:1039;top:777;height:220;width:1060;" filled="f" stroked="f" coordsize="21600,21600">
              <v:path/>
              <v:fill on="f" focussize="0,0"/>
              <v:stroke on="f"/>
              <v:imagedata o:title=""/>
              <o:lock v:ext="edit" aspectratio="f"/>
              <v:textbox inset="0mm,0mm,0mm,0mm">
                <w:txbxContent>
                  <w:p w14:paraId="4E553356">
                    <w:pPr>
                      <w:spacing w:before="20" w:line="220" w:lineRule="auto"/>
                      <w:ind w:left="20"/>
                      <w:rPr>
                        <w:rFonts w:ascii="宋体" w:hAnsi="宋体" w:eastAsia="宋体" w:cs="宋体"/>
                        <w:sz w:val="18"/>
                        <w:szCs w:val="18"/>
                      </w:rPr>
                    </w:pPr>
                    <w:r>
                      <w:rPr>
                        <w:rFonts w:ascii="宋体" w:hAnsi="宋体" w:eastAsia="宋体" w:cs="宋体"/>
                        <w:spacing w:val="-9"/>
                        <w:sz w:val="18"/>
                        <w:szCs w:val="18"/>
                      </w:rPr>
                      <w:t>工程建设费用</w:t>
                    </w:r>
                  </w:p>
                </w:txbxContent>
              </v:textbox>
            </v:shape>
            <v:shape id="_x0000_s1486" o:spid="_x0000_s1486" o:spt="202" type="#_x0000_t202" style="position:absolute;left:3139;top:2037;height:220;width:750;" filled="f" stroked="f" coordsize="21600,21600">
              <v:path/>
              <v:fill on="f" focussize="0,0"/>
              <v:stroke on="f"/>
              <v:imagedata o:title=""/>
              <o:lock v:ext="edit" aspectratio="f"/>
              <v:textbox inset="0mm,0mm,0mm,0mm">
                <w:txbxContent>
                  <w:p w14:paraId="00EBDD46">
                    <w:pPr>
                      <w:spacing w:before="19" w:line="195" w:lineRule="auto"/>
                      <w:ind w:left="20"/>
                      <w:rPr>
                        <w:rFonts w:ascii="宋体" w:hAnsi="宋体" w:eastAsia="宋体" w:cs="宋体"/>
                        <w:sz w:val="18"/>
                        <w:szCs w:val="18"/>
                      </w:rPr>
                    </w:pPr>
                    <w:r>
                      <w:rPr>
                        <w:rFonts w:ascii="宋体" w:hAnsi="宋体" w:eastAsia="宋体" w:cs="宋体"/>
                        <w:color w:val="0057C9"/>
                        <w:spacing w:val="-2"/>
                        <w:sz w:val="18"/>
                        <w:szCs w:val="18"/>
                      </w:rPr>
                      <w:t>建设项目</w:t>
                    </w:r>
                  </w:p>
                </w:txbxContent>
              </v:textbox>
            </v:shape>
            <v:shape id="_x0000_s1487" o:spid="_x0000_s1487" o:spt="202" type="#_x0000_t202" style="position:absolute;left:1269;top:2487;height:220;width:572;" filled="f" stroked="f" coordsize="21600,21600">
              <v:path/>
              <v:fill on="f" focussize="0,0"/>
              <v:stroke on="f"/>
              <v:imagedata o:title=""/>
              <o:lock v:ext="edit" aspectratio="f"/>
              <v:textbox inset="0mm,0mm,0mm,0mm">
                <w:txbxContent>
                  <w:p w14:paraId="39C37D3D">
                    <w:pPr>
                      <w:spacing w:before="20" w:line="220" w:lineRule="auto"/>
                      <w:ind w:left="20"/>
                      <w:rPr>
                        <w:rFonts w:ascii="宋体" w:hAnsi="宋体" w:eastAsia="宋体" w:cs="宋体"/>
                        <w:sz w:val="18"/>
                        <w:szCs w:val="18"/>
                      </w:rPr>
                    </w:pPr>
                    <w:r>
                      <w:rPr>
                        <w:rFonts w:ascii="宋体" w:hAnsi="宋体" w:eastAsia="宋体" w:cs="宋体"/>
                        <w:spacing w:val="-2"/>
                        <w:sz w:val="18"/>
                        <w:szCs w:val="18"/>
                      </w:rPr>
                      <w:t>预备费</w:t>
                    </w:r>
                  </w:p>
                </w:txbxContent>
              </v:textbox>
            </v:shape>
            <w10:wrap type="none"/>
            <w10:anchorlock/>
          </v:group>
        </w:pict>
      </w:r>
    </w:p>
    <w:p w14:paraId="30F404A1">
      <w:pPr>
        <w:pStyle w:val="2"/>
        <w:spacing w:before="57" w:line="219" w:lineRule="auto"/>
        <w:ind w:left="2819"/>
        <w:rPr>
          <w:sz w:val="18"/>
          <w:szCs w:val="18"/>
        </w:rPr>
      </w:pPr>
      <w:r>
        <w:rPr>
          <w:spacing w:val="-1"/>
          <w:sz w:val="18"/>
          <w:szCs w:val="18"/>
        </w:rPr>
        <w:t>图12-3</w:t>
      </w:r>
      <w:r>
        <w:rPr>
          <w:spacing w:val="88"/>
          <w:sz w:val="18"/>
          <w:szCs w:val="18"/>
        </w:rPr>
        <w:t xml:space="preserve"> </w:t>
      </w:r>
      <w:r>
        <w:rPr>
          <w:spacing w:val="-1"/>
          <w:sz w:val="18"/>
          <w:szCs w:val="18"/>
        </w:rPr>
        <w:t>信息系统工程总费用构成</w:t>
      </w:r>
    </w:p>
    <w:p w14:paraId="689BC3CA">
      <w:pPr>
        <w:spacing w:line="262" w:lineRule="auto"/>
        <w:rPr>
          <w:rFonts w:ascii="Arial"/>
          <w:sz w:val="21"/>
        </w:rPr>
      </w:pPr>
    </w:p>
    <w:p w14:paraId="285945DE">
      <w:pPr>
        <w:pStyle w:val="2"/>
        <w:spacing w:before="58" w:line="222" w:lineRule="auto"/>
        <w:ind w:left="382"/>
        <w:rPr>
          <w:rFonts w:ascii="黑体" w:hAnsi="黑体" w:eastAsia="黑体" w:cs="黑体"/>
          <w:sz w:val="18"/>
          <w:szCs w:val="18"/>
        </w:rPr>
      </w:pPr>
      <w:r>
        <w:rPr>
          <w:b/>
          <w:bCs/>
          <w:color w:val="0062E3"/>
          <w:spacing w:val="16"/>
          <w:sz w:val="18"/>
          <w:szCs w:val="18"/>
        </w:rPr>
        <w:t>1.</w:t>
      </w:r>
      <w:r>
        <w:rPr>
          <w:rFonts w:ascii="黑体" w:hAnsi="黑体" w:eastAsia="黑体" w:cs="黑体"/>
          <w:b/>
          <w:bCs/>
          <w:color w:val="0062E3"/>
          <w:spacing w:val="16"/>
          <w:sz w:val="18"/>
          <w:szCs w:val="18"/>
        </w:rPr>
        <w:t>工程建设费用</w:t>
      </w:r>
    </w:p>
    <w:p w14:paraId="2ECB0057">
      <w:pPr>
        <w:pStyle w:val="2"/>
        <w:spacing w:before="167" w:line="219" w:lineRule="auto"/>
        <w:ind w:left="380"/>
        <w:rPr>
          <w:sz w:val="18"/>
          <w:szCs w:val="18"/>
        </w:rPr>
      </w:pPr>
      <w:r>
        <w:rPr>
          <w:spacing w:val="25"/>
          <w:sz w:val="18"/>
          <w:szCs w:val="18"/>
        </w:rPr>
        <w:t>信息系统工程建设费用由软硬件购置费、各类单</w:t>
      </w:r>
      <w:r>
        <w:rPr>
          <w:spacing w:val="24"/>
          <w:sz w:val="18"/>
          <w:szCs w:val="18"/>
        </w:rPr>
        <w:t>项工程(服务)费构成。</w:t>
      </w:r>
    </w:p>
    <w:p w14:paraId="21BC2D07">
      <w:pPr>
        <w:spacing w:before="175" w:line="225" w:lineRule="auto"/>
        <w:ind w:left="380"/>
        <w:rPr>
          <w:rFonts w:ascii="楷体" w:hAnsi="楷体" w:eastAsia="楷体" w:cs="楷体"/>
          <w:sz w:val="18"/>
          <w:szCs w:val="18"/>
        </w:rPr>
      </w:pPr>
      <w:r>
        <w:rPr>
          <w:rFonts w:ascii="楷体" w:hAnsi="楷体" w:eastAsia="楷体" w:cs="楷体"/>
          <w:spacing w:val="26"/>
          <w:sz w:val="18"/>
          <w:szCs w:val="18"/>
        </w:rPr>
        <w:t>1)软硬件购置费</w:t>
      </w:r>
    </w:p>
    <w:p w14:paraId="6BC10704">
      <w:pPr>
        <w:pStyle w:val="2"/>
        <w:spacing w:before="72" w:line="323" w:lineRule="auto"/>
        <w:ind w:right="339" w:firstLine="380"/>
        <w:rPr>
          <w:sz w:val="18"/>
          <w:szCs w:val="18"/>
        </w:rPr>
      </w:pPr>
      <w:r>
        <w:rPr>
          <w:spacing w:val="28"/>
          <w:sz w:val="18"/>
          <w:szCs w:val="18"/>
        </w:rPr>
        <w:t>软硬件购置费是指信息系统工程建设项目中各类单项工程(服务)</w:t>
      </w:r>
      <w:r>
        <w:rPr>
          <w:spacing w:val="27"/>
          <w:sz w:val="18"/>
          <w:szCs w:val="18"/>
        </w:rPr>
        <w:t>建设所需购置或租用的</w:t>
      </w:r>
      <w:r>
        <w:rPr>
          <w:sz w:val="18"/>
          <w:szCs w:val="18"/>
        </w:rPr>
        <w:t xml:space="preserve"> </w:t>
      </w:r>
      <w:r>
        <w:rPr>
          <w:spacing w:val="17"/>
          <w:sz w:val="18"/>
          <w:szCs w:val="18"/>
        </w:rPr>
        <w:t>构成工程实体的软件产品、硬件设备或设施的费用。</w:t>
      </w:r>
    </w:p>
    <w:p w14:paraId="508B9B00">
      <w:pPr>
        <w:pStyle w:val="2"/>
        <w:spacing w:before="2" w:line="278" w:lineRule="auto"/>
        <w:ind w:left="679" w:right="263" w:hanging="299"/>
        <w:rPr>
          <w:sz w:val="18"/>
          <w:szCs w:val="18"/>
        </w:rPr>
      </w:pPr>
      <w:r>
        <w:rPr>
          <w:spacing w:val="24"/>
          <w:sz w:val="18"/>
          <w:szCs w:val="18"/>
        </w:rPr>
        <w:t>●</w:t>
      </w:r>
      <w:r>
        <w:rPr>
          <w:spacing w:val="-48"/>
          <w:sz w:val="18"/>
          <w:szCs w:val="18"/>
        </w:rPr>
        <w:t xml:space="preserve"> </w:t>
      </w:r>
      <w:r>
        <w:rPr>
          <w:spacing w:val="24"/>
          <w:sz w:val="18"/>
          <w:szCs w:val="18"/>
        </w:rPr>
        <w:t>软件产品购置费。软件产品购置费是指各类单项工程中所需的软件产品，如系统软件、</w:t>
      </w:r>
      <w:r>
        <w:rPr>
          <w:sz w:val="18"/>
          <w:szCs w:val="18"/>
        </w:rPr>
        <w:t xml:space="preserve"> </w:t>
      </w:r>
      <w:r>
        <w:rPr>
          <w:spacing w:val="25"/>
          <w:sz w:val="18"/>
          <w:szCs w:val="18"/>
        </w:rPr>
        <w:t>商用(套装)软件、支撑软件等的购置或租用费用。</w:t>
      </w:r>
    </w:p>
    <w:p w14:paraId="0381B956">
      <w:pPr>
        <w:pStyle w:val="2"/>
        <w:spacing w:before="98" w:line="291" w:lineRule="auto"/>
        <w:ind w:left="679" w:right="340" w:hanging="299"/>
        <w:rPr>
          <w:sz w:val="18"/>
          <w:szCs w:val="18"/>
        </w:rPr>
      </w:pPr>
      <w:r>
        <w:rPr>
          <w:spacing w:val="22"/>
          <w:sz w:val="18"/>
          <w:szCs w:val="18"/>
        </w:rPr>
        <w:t>●</w:t>
      </w:r>
      <w:r>
        <w:rPr>
          <w:spacing w:val="-51"/>
          <w:sz w:val="18"/>
          <w:szCs w:val="18"/>
        </w:rPr>
        <w:t xml:space="preserve"> </w:t>
      </w:r>
      <w:r>
        <w:rPr>
          <w:spacing w:val="22"/>
          <w:sz w:val="18"/>
          <w:szCs w:val="18"/>
        </w:rPr>
        <w:t>硬件设备购置费。硬件设备购置费是指各类单项工程中所需的硬件设备或设施，如网络</w:t>
      </w:r>
      <w:r>
        <w:rPr>
          <w:sz w:val="18"/>
          <w:szCs w:val="18"/>
        </w:rPr>
        <w:t xml:space="preserve"> </w:t>
      </w:r>
      <w:r>
        <w:rPr>
          <w:spacing w:val="21"/>
          <w:sz w:val="18"/>
          <w:szCs w:val="18"/>
        </w:rPr>
        <w:t>设备、服务器、存储设备、终端设备、信息安全</w:t>
      </w:r>
      <w:r>
        <w:rPr>
          <w:spacing w:val="20"/>
          <w:sz w:val="18"/>
          <w:szCs w:val="18"/>
        </w:rPr>
        <w:t>设备、智能化设备、自动化设备、机房</w:t>
      </w:r>
      <w:r>
        <w:rPr>
          <w:sz w:val="18"/>
          <w:szCs w:val="18"/>
        </w:rPr>
        <w:t xml:space="preserve"> </w:t>
      </w:r>
      <w:r>
        <w:rPr>
          <w:spacing w:val="16"/>
          <w:sz w:val="18"/>
          <w:szCs w:val="18"/>
        </w:rPr>
        <w:t>设备等及其所附带的软件的购置或租用费用。</w:t>
      </w:r>
    </w:p>
    <w:p w14:paraId="57FDBEF7">
      <w:pPr>
        <w:spacing w:before="185" w:line="225" w:lineRule="auto"/>
        <w:ind w:left="380"/>
        <w:rPr>
          <w:rFonts w:ascii="楷体" w:hAnsi="楷体" w:eastAsia="楷体" w:cs="楷体"/>
          <w:sz w:val="18"/>
          <w:szCs w:val="18"/>
        </w:rPr>
      </w:pPr>
      <w:r>
        <w:rPr>
          <w:rFonts w:ascii="楷体" w:hAnsi="楷体" w:eastAsia="楷体" w:cs="楷体"/>
          <w:spacing w:val="-9"/>
          <w:sz w:val="18"/>
          <w:szCs w:val="18"/>
        </w:rPr>
        <w:t>2</w:t>
      </w:r>
      <w:r>
        <w:rPr>
          <w:rFonts w:ascii="楷体" w:hAnsi="楷体" w:eastAsia="楷体" w:cs="楷体"/>
          <w:spacing w:val="-27"/>
          <w:sz w:val="18"/>
          <w:szCs w:val="18"/>
        </w:rPr>
        <w:t xml:space="preserve"> </w:t>
      </w:r>
      <w:r>
        <w:rPr>
          <w:rFonts w:ascii="楷体" w:hAnsi="楷体" w:eastAsia="楷体" w:cs="楷体"/>
          <w:spacing w:val="-9"/>
          <w:sz w:val="18"/>
          <w:szCs w:val="18"/>
        </w:rPr>
        <w:t>)</w:t>
      </w:r>
      <w:r>
        <w:rPr>
          <w:rFonts w:ascii="楷体" w:hAnsi="楷体" w:eastAsia="楷体" w:cs="楷体"/>
          <w:spacing w:val="-29"/>
          <w:sz w:val="18"/>
          <w:szCs w:val="18"/>
        </w:rPr>
        <w:t xml:space="preserve"> </w:t>
      </w:r>
      <w:r>
        <w:rPr>
          <w:rFonts w:ascii="楷体" w:hAnsi="楷体" w:eastAsia="楷体" w:cs="楷体"/>
          <w:spacing w:val="-9"/>
          <w:sz w:val="18"/>
          <w:szCs w:val="18"/>
        </w:rPr>
        <w:t>单</w:t>
      </w:r>
      <w:r>
        <w:rPr>
          <w:rFonts w:ascii="楷体" w:hAnsi="楷体" w:eastAsia="楷体" w:cs="楷体"/>
          <w:spacing w:val="-31"/>
          <w:sz w:val="18"/>
          <w:szCs w:val="18"/>
        </w:rPr>
        <w:t xml:space="preserve"> </w:t>
      </w:r>
      <w:r>
        <w:rPr>
          <w:rFonts w:ascii="楷体" w:hAnsi="楷体" w:eastAsia="楷体" w:cs="楷体"/>
          <w:spacing w:val="-9"/>
          <w:sz w:val="18"/>
          <w:szCs w:val="18"/>
        </w:rPr>
        <w:t>项</w:t>
      </w:r>
      <w:r>
        <w:rPr>
          <w:rFonts w:ascii="楷体" w:hAnsi="楷体" w:eastAsia="楷体" w:cs="楷体"/>
          <w:spacing w:val="-31"/>
          <w:sz w:val="18"/>
          <w:szCs w:val="18"/>
        </w:rPr>
        <w:t xml:space="preserve"> </w:t>
      </w:r>
      <w:r>
        <w:rPr>
          <w:rFonts w:ascii="楷体" w:hAnsi="楷体" w:eastAsia="楷体" w:cs="楷体"/>
          <w:spacing w:val="-9"/>
          <w:sz w:val="18"/>
          <w:szCs w:val="18"/>
        </w:rPr>
        <w:t>工</w:t>
      </w:r>
      <w:r>
        <w:rPr>
          <w:rFonts w:ascii="楷体" w:hAnsi="楷体" w:eastAsia="楷体" w:cs="楷体"/>
          <w:spacing w:val="-38"/>
          <w:sz w:val="18"/>
          <w:szCs w:val="18"/>
        </w:rPr>
        <w:t xml:space="preserve"> </w:t>
      </w:r>
      <w:r>
        <w:rPr>
          <w:rFonts w:ascii="楷体" w:hAnsi="楷体" w:eastAsia="楷体" w:cs="楷体"/>
          <w:spacing w:val="-9"/>
          <w:sz w:val="18"/>
          <w:szCs w:val="18"/>
        </w:rPr>
        <w:t>程 (</w:t>
      </w:r>
      <w:r>
        <w:rPr>
          <w:rFonts w:ascii="楷体" w:hAnsi="楷体" w:eastAsia="楷体" w:cs="楷体"/>
          <w:spacing w:val="-40"/>
          <w:sz w:val="18"/>
          <w:szCs w:val="18"/>
        </w:rPr>
        <w:t xml:space="preserve"> </w:t>
      </w:r>
      <w:r>
        <w:rPr>
          <w:rFonts w:ascii="楷体" w:hAnsi="楷体" w:eastAsia="楷体" w:cs="楷体"/>
          <w:spacing w:val="-9"/>
          <w:sz w:val="18"/>
          <w:szCs w:val="18"/>
        </w:rPr>
        <w:t>服</w:t>
      </w:r>
      <w:r>
        <w:rPr>
          <w:rFonts w:ascii="楷体" w:hAnsi="楷体" w:eastAsia="楷体" w:cs="楷体"/>
          <w:spacing w:val="-27"/>
          <w:sz w:val="18"/>
          <w:szCs w:val="18"/>
        </w:rPr>
        <w:t xml:space="preserve"> </w:t>
      </w:r>
      <w:r>
        <w:rPr>
          <w:rFonts w:ascii="楷体" w:hAnsi="楷体" w:eastAsia="楷体" w:cs="楷体"/>
          <w:spacing w:val="-9"/>
          <w:sz w:val="18"/>
          <w:szCs w:val="18"/>
        </w:rPr>
        <w:t>务</w:t>
      </w:r>
      <w:r>
        <w:rPr>
          <w:rFonts w:ascii="楷体" w:hAnsi="楷体" w:eastAsia="楷体" w:cs="楷体"/>
          <w:spacing w:val="-36"/>
          <w:sz w:val="18"/>
          <w:szCs w:val="18"/>
        </w:rPr>
        <w:t xml:space="preserve"> </w:t>
      </w:r>
      <w:r>
        <w:rPr>
          <w:rFonts w:ascii="楷体" w:hAnsi="楷体" w:eastAsia="楷体" w:cs="楷体"/>
          <w:spacing w:val="-9"/>
          <w:sz w:val="18"/>
          <w:szCs w:val="18"/>
        </w:rPr>
        <w:t>) 费</w:t>
      </w:r>
    </w:p>
    <w:p w14:paraId="407620E8">
      <w:pPr>
        <w:pStyle w:val="2"/>
        <w:spacing w:before="73" w:line="323" w:lineRule="auto"/>
        <w:ind w:right="338" w:firstLine="380"/>
        <w:rPr>
          <w:sz w:val="18"/>
          <w:szCs w:val="18"/>
        </w:rPr>
      </w:pPr>
      <w:r>
        <w:rPr>
          <w:spacing w:val="28"/>
          <w:sz w:val="18"/>
          <w:szCs w:val="18"/>
        </w:rPr>
        <w:t>单项工程(服务)费是指信息系统工程建设项目中的各类建设工程和</w:t>
      </w:r>
      <w:r>
        <w:rPr>
          <w:spacing w:val="27"/>
          <w:sz w:val="18"/>
          <w:szCs w:val="18"/>
        </w:rPr>
        <w:t>信息技术服务项目的</w:t>
      </w:r>
      <w:r>
        <w:rPr>
          <w:sz w:val="18"/>
          <w:szCs w:val="18"/>
        </w:rPr>
        <w:t xml:space="preserve"> </w:t>
      </w:r>
      <w:r>
        <w:rPr>
          <w:spacing w:val="17"/>
          <w:sz w:val="18"/>
          <w:szCs w:val="18"/>
        </w:rPr>
        <w:t>费用，包含项目的直接费用、间接费用、项目利润和税金。其中：</w:t>
      </w:r>
    </w:p>
    <w:p w14:paraId="55607AED">
      <w:pPr>
        <w:pStyle w:val="2"/>
        <w:spacing w:before="1" w:line="273" w:lineRule="auto"/>
        <w:ind w:left="679" w:right="346" w:hanging="299"/>
        <w:rPr>
          <w:sz w:val="18"/>
          <w:szCs w:val="18"/>
        </w:rPr>
      </w:pPr>
      <w:r>
        <w:rPr>
          <w:spacing w:val="27"/>
          <w:sz w:val="18"/>
          <w:szCs w:val="18"/>
        </w:rPr>
        <w:t>●</w:t>
      </w:r>
      <w:r>
        <w:rPr>
          <w:spacing w:val="-52"/>
          <w:sz w:val="18"/>
          <w:szCs w:val="18"/>
        </w:rPr>
        <w:t xml:space="preserve"> </w:t>
      </w:r>
      <w:r>
        <w:rPr>
          <w:spacing w:val="27"/>
          <w:sz w:val="18"/>
          <w:szCs w:val="18"/>
        </w:rPr>
        <w:t>直接费用是指各类单项工程(服务)实施过程中发生</w:t>
      </w:r>
      <w:r>
        <w:rPr>
          <w:spacing w:val="26"/>
          <w:sz w:val="18"/>
          <w:szCs w:val="18"/>
        </w:rPr>
        <w:t>的与其直接相关的费用，包括直接</w:t>
      </w:r>
      <w:r>
        <w:rPr>
          <w:sz w:val="18"/>
          <w:szCs w:val="18"/>
        </w:rPr>
        <w:t xml:space="preserve"> </w:t>
      </w:r>
      <w:r>
        <w:rPr>
          <w:spacing w:val="16"/>
          <w:sz w:val="18"/>
          <w:szCs w:val="18"/>
        </w:rPr>
        <w:t>人力费和直接非人力费；</w:t>
      </w:r>
    </w:p>
    <w:p w14:paraId="7A7613DB">
      <w:pPr>
        <w:pStyle w:val="2"/>
        <w:spacing w:before="86" w:line="279" w:lineRule="auto"/>
        <w:ind w:left="679" w:right="346" w:hanging="299"/>
        <w:rPr>
          <w:sz w:val="18"/>
          <w:szCs w:val="18"/>
        </w:rPr>
      </w:pPr>
      <w:r>
        <w:rPr>
          <w:spacing w:val="22"/>
          <w:sz w:val="18"/>
          <w:szCs w:val="18"/>
        </w:rPr>
        <w:t>●</w:t>
      </w:r>
      <w:r>
        <w:rPr>
          <w:spacing w:val="-44"/>
          <w:sz w:val="18"/>
          <w:szCs w:val="18"/>
        </w:rPr>
        <w:t xml:space="preserve"> </w:t>
      </w:r>
      <w:r>
        <w:rPr>
          <w:spacing w:val="22"/>
          <w:sz w:val="18"/>
          <w:szCs w:val="18"/>
        </w:rPr>
        <w:t>间接费用是指企业因项目实施而分摊到项目中的各项间接费用，包括</w:t>
      </w:r>
      <w:r>
        <w:rPr>
          <w:spacing w:val="21"/>
          <w:sz w:val="18"/>
          <w:szCs w:val="18"/>
        </w:rPr>
        <w:t>间接人力费和间接</w:t>
      </w:r>
      <w:r>
        <w:rPr>
          <w:sz w:val="18"/>
          <w:szCs w:val="18"/>
        </w:rPr>
        <w:t xml:space="preserve"> </w:t>
      </w:r>
      <w:r>
        <w:rPr>
          <w:spacing w:val="14"/>
          <w:sz w:val="18"/>
          <w:szCs w:val="18"/>
        </w:rPr>
        <w:t>非人力费。</w:t>
      </w:r>
    </w:p>
    <w:p w14:paraId="57F0BB5F">
      <w:pPr>
        <w:pStyle w:val="2"/>
        <w:spacing w:before="213" w:line="222" w:lineRule="auto"/>
        <w:ind w:left="382"/>
        <w:rPr>
          <w:rFonts w:ascii="黑体" w:hAnsi="黑体" w:eastAsia="黑体" w:cs="黑体"/>
          <w:sz w:val="18"/>
          <w:szCs w:val="18"/>
        </w:rPr>
      </w:pPr>
      <w:r>
        <w:rPr>
          <w:b/>
          <w:bCs/>
          <w:color w:val="0057CA"/>
          <w:spacing w:val="18"/>
          <w:sz w:val="18"/>
          <w:szCs w:val="18"/>
        </w:rPr>
        <w:t>2.</w:t>
      </w:r>
      <w:r>
        <w:rPr>
          <w:rFonts w:ascii="黑体" w:hAnsi="黑体" w:eastAsia="黑体" w:cs="黑体"/>
          <w:b/>
          <w:bCs/>
          <w:color w:val="0057CA"/>
          <w:spacing w:val="18"/>
          <w:sz w:val="18"/>
          <w:szCs w:val="18"/>
        </w:rPr>
        <w:t>工程建设其他费用</w:t>
      </w:r>
    </w:p>
    <w:p w14:paraId="6B0CFEB1">
      <w:pPr>
        <w:pStyle w:val="2"/>
        <w:spacing w:before="117" w:line="325" w:lineRule="auto"/>
        <w:ind w:right="323" w:firstLine="380"/>
        <w:rPr>
          <w:sz w:val="18"/>
          <w:szCs w:val="18"/>
        </w:rPr>
      </w:pPr>
      <w:r>
        <w:rPr>
          <w:spacing w:val="24"/>
          <w:sz w:val="18"/>
          <w:szCs w:val="18"/>
        </w:rPr>
        <w:t>构成信息系统工程建设的其他费用通常包括：业</w:t>
      </w:r>
      <w:r>
        <w:rPr>
          <w:spacing w:val="23"/>
          <w:sz w:val="18"/>
          <w:szCs w:val="18"/>
        </w:rPr>
        <w:t>主单位管理费、建设项目前期咨询费、工</w:t>
      </w:r>
      <w:r>
        <w:rPr>
          <w:sz w:val="18"/>
          <w:szCs w:val="18"/>
        </w:rPr>
        <w:t xml:space="preserve"> </w:t>
      </w:r>
      <w:r>
        <w:rPr>
          <w:spacing w:val="19"/>
          <w:sz w:val="18"/>
          <w:szCs w:val="18"/>
        </w:rPr>
        <w:t>程监理费、招标代理服务费、第三方检测费、建设</w:t>
      </w:r>
      <w:r>
        <w:rPr>
          <w:spacing w:val="18"/>
          <w:sz w:val="18"/>
          <w:szCs w:val="18"/>
        </w:rPr>
        <w:t>其他费用。</w:t>
      </w:r>
    </w:p>
    <w:p w14:paraId="23340172">
      <w:pPr>
        <w:spacing w:line="325" w:lineRule="auto"/>
        <w:rPr>
          <w:sz w:val="18"/>
          <w:szCs w:val="18"/>
        </w:rPr>
        <w:sectPr>
          <w:pgSz w:w="10290" w:h="13300"/>
          <w:pgMar w:top="350" w:right="546" w:bottom="400" w:left="1100" w:header="0" w:footer="0" w:gutter="0"/>
          <w:cols w:space="720" w:num="1"/>
        </w:sectPr>
      </w:pPr>
    </w:p>
    <w:p w14:paraId="379C87B7">
      <w:pPr>
        <w:pStyle w:val="2"/>
        <w:spacing w:before="47" w:line="220" w:lineRule="auto"/>
        <w:rPr>
          <w:sz w:val="20"/>
          <w:szCs w:val="20"/>
        </w:rPr>
      </w:pPr>
      <w:r>
        <w:rPr>
          <w:rFonts w:ascii="Times New Roman" w:hAnsi="Times New Roman" w:eastAsia="Times New Roman" w:cs="Times New Roman"/>
          <w:spacing w:val="-2"/>
          <w:position w:val="-3"/>
          <w:sz w:val="23"/>
          <w:szCs w:val="23"/>
        </w:rPr>
        <w:t xml:space="preserve">280           </w:t>
      </w:r>
      <w:r>
        <w:rPr>
          <w:spacing w:val="-2"/>
          <w:sz w:val="20"/>
          <w:szCs w:val="20"/>
        </w:rPr>
        <w:t>信息系统监理师教程(第2版)</w:t>
      </w:r>
    </w:p>
    <w:p w14:paraId="6C1000C7">
      <w:pPr>
        <w:spacing w:line="286" w:lineRule="auto"/>
        <w:rPr>
          <w:rFonts w:ascii="Arial"/>
          <w:sz w:val="21"/>
        </w:rPr>
      </w:pPr>
    </w:p>
    <w:p w14:paraId="22DD9BE7">
      <w:pPr>
        <w:spacing w:before="65" w:line="223" w:lineRule="auto"/>
        <w:ind w:left="752"/>
        <w:rPr>
          <w:rFonts w:ascii="楷体" w:hAnsi="楷体" w:eastAsia="楷体" w:cs="楷体"/>
          <w:sz w:val="20"/>
          <w:szCs w:val="20"/>
        </w:rPr>
      </w:pPr>
      <w:r>
        <w:rPr>
          <w:rFonts w:ascii="楷体" w:hAnsi="楷体" w:eastAsia="楷体" w:cs="楷体"/>
          <w:b/>
          <w:bCs/>
          <w:spacing w:val="7"/>
          <w:sz w:val="20"/>
          <w:szCs w:val="20"/>
        </w:rPr>
        <w:t>1)业主单位管理费</w:t>
      </w:r>
    </w:p>
    <w:p w14:paraId="5A242B9E">
      <w:pPr>
        <w:pStyle w:val="2"/>
        <w:spacing w:before="65" w:line="296" w:lineRule="auto"/>
        <w:ind w:left="370" w:right="2" w:firstLine="379"/>
        <w:jc w:val="both"/>
        <w:rPr>
          <w:sz w:val="20"/>
          <w:szCs w:val="20"/>
        </w:rPr>
      </w:pPr>
      <w:r>
        <w:rPr>
          <w:spacing w:val="3"/>
          <w:sz w:val="20"/>
          <w:szCs w:val="20"/>
        </w:rPr>
        <w:t>业主单位管理费是指业主单位从项目开工之日起，至办理竣工</w:t>
      </w:r>
      <w:r>
        <w:rPr>
          <w:spacing w:val="2"/>
          <w:sz w:val="20"/>
          <w:szCs w:val="20"/>
        </w:rPr>
        <w:t>财务决算之日止发生的管理</w:t>
      </w:r>
      <w:r>
        <w:rPr>
          <w:sz w:val="20"/>
          <w:szCs w:val="20"/>
        </w:rPr>
        <w:t xml:space="preserve"> </w:t>
      </w:r>
      <w:r>
        <w:rPr>
          <w:spacing w:val="3"/>
          <w:sz w:val="20"/>
          <w:szCs w:val="20"/>
        </w:rPr>
        <w:t>性质的开支，包括工资性支出、社会保障费支出、办公费、差旅费、劳动保护费、工具用具使</w:t>
      </w:r>
      <w:r>
        <w:rPr>
          <w:spacing w:val="5"/>
          <w:sz w:val="20"/>
          <w:szCs w:val="20"/>
        </w:rPr>
        <w:t xml:space="preserve"> </w:t>
      </w:r>
      <w:r>
        <w:rPr>
          <w:spacing w:val="-2"/>
          <w:sz w:val="20"/>
          <w:szCs w:val="20"/>
        </w:rPr>
        <w:t>用费、施工现场津贴、竣工验收费和其他管理性质开支等。</w:t>
      </w:r>
    </w:p>
    <w:p w14:paraId="2A64C931">
      <w:pPr>
        <w:spacing w:before="76" w:line="224" w:lineRule="auto"/>
        <w:ind w:left="750"/>
        <w:rPr>
          <w:rFonts w:ascii="楷体" w:hAnsi="楷体" w:eastAsia="楷体" w:cs="楷体"/>
          <w:sz w:val="20"/>
          <w:szCs w:val="20"/>
        </w:rPr>
      </w:pPr>
      <w:r>
        <w:rPr>
          <w:rFonts w:ascii="楷体" w:hAnsi="楷体" w:eastAsia="楷体" w:cs="楷体"/>
          <w:spacing w:val="9"/>
          <w:sz w:val="20"/>
          <w:szCs w:val="20"/>
        </w:rPr>
        <w:t>2)建设项目前期咨询费</w:t>
      </w:r>
    </w:p>
    <w:p w14:paraId="1BCF5B29">
      <w:pPr>
        <w:pStyle w:val="2"/>
        <w:spacing w:before="75" w:line="279" w:lineRule="auto"/>
        <w:ind w:left="370" w:firstLine="379"/>
        <w:rPr>
          <w:sz w:val="20"/>
          <w:szCs w:val="20"/>
        </w:rPr>
      </w:pPr>
      <w:r>
        <w:rPr>
          <w:spacing w:val="5"/>
          <w:sz w:val="20"/>
          <w:szCs w:val="20"/>
        </w:rPr>
        <w:t>建设项目前期咨询费是指在建设项目的前期(项目立项或初步设计阶段),由业主单位自身</w:t>
      </w:r>
      <w:r>
        <w:rPr>
          <w:spacing w:val="13"/>
          <w:sz w:val="20"/>
          <w:szCs w:val="20"/>
        </w:rPr>
        <w:t xml:space="preserve"> </w:t>
      </w:r>
      <w:r>
        <w:rPr>
          <w:spacing w:val="8"/>
          <w:sz w:val="20"/>
          <w:szCs w:val="20"/>
        </w:rPr>
        <w:t>或聘请专业咨询公司通过对项目的初步调研与分析，编制项目建设方案(资金申请方案)及项</w:t>
      </w:r>
      <w:r>
        <w:rPr>
          <w:spacing w:val="3"/>
          <w:sz w:val="20"/>
          <w:szCs w:val="20"/>
        </w:rPr>
        <w:t xml:space="preserve"> </w:t>
      </w:r>
      <w:r>
        <w:rPr>
          <w:spacing w:val="-5"/>
          <w:sz w:val="20"/>
          <w:szCs w:val="20"/>
        </w:rPr>
        <w:t>目立项、评审等工作所需的费用。</w:t>
      </w:r>
    </w:p>
    <w:p w14:paraId="1836FD73">
      <w:pPr>
        <w:spacing w:before="135" w:line="225" w:lineRule="auto"/>
        <w:ind w:left="750"/>
        <w:rPr>
          <w:rFonts w:ascii="楷体" w:hAnsi="楷体" w:eastAsia="楷体" w:cs="楷体"/>
          <w:sz w:val="20"/>
          <w:szCs w:val="20"/>
        </w:rPr>
      </w:pPr>
      <w:r>
        <w:rPr>
          <w:rFonts w:ascii="楷体" w:hAnsi="楷体" w:eastAsia="楷体" w:cs="楷体"/>
          <w:spacing w:val="15"/>
          <w:sz w:val="20"/>
          <w:szCs w:val="20"/>
        </w:rPr>
        <w:t>3)工程监理费</w:t>
      </w:r>
    </w:p>
    <w:p w14:paraId="51A02CFD">
      <w:pPr>
        <w:pStyle w:val="2"/>
        <w:spacing w:before="58" w:line="286" w:lineRule="auto"/>
        <w:ind w:left="370" w:right="3" w:firstLine="379"/>
        <w:rPr>
          <w:sz w:val="20"/>
          <w:szCs w:val="20"/>
        </w:rPr>
      </w:pPr>
      <w:r>
        <w:rPr>
          <w:spacing w:val="3"/>
          <w:sz w:val="20"/>
          <w:szCs w:val="20"/>
        </w:rPr>
        <w:t>工程监理费是付给信息系统工程建设项目监理单位的监理服务费用</w:t>
      </w:r>
      <w:r>
        <w:rPr>
          <w:spacing w:val="2"/>
          <w:sz w:val="20"/>
          <w:szCs w:val="20"/>
        </w:rPr>
        <w:t>。工程监理的取费应综</w:t>
      </w:r>
      <w:r>
        <w:rPr>
          <w:sz w:val="20"/>
          <w:szCs w:val="20"/>
        </w:rPr>
        <w:t xml:space="preserve"> </w:t>
      </w:r>
      <w:r>
        <w:rPr>
          <w:spacing w:val="3"/>
          <w:sz w:val="20"/>
          <w:szCs w:val="20"/>
        </w:rPr>
        <w:t>合考虑信息系统工程建设项目的监理特点、项目建设周期、地域分布、监理对象、监理难度等</w:t>
      </w:r>
      <w:r>
        <w:rPr>
          <w:spacing w:val="5"/>
          <w:sz w:val="20"/>
          <w:szCs w:val="20"/>
        </w:rPr>
        <w:t xml:space="preserve"> </w:t>
      </w:r>
      <w:r>
        <w:rPr>
          <w:spacing w:val="-4"/>
          <w:sz w:val="20"/>
          <w:szCs w:val="20"/>
        </w:rPr>
        <w:t>因素。一般采取以下几种主要的取费方式：</w:t>
      </w:r>
    </w:p>
    <w:p w14:paraId="61C00840">
      <w:pPr>
        <w:pStyle w:val="2"/>
        <w:spacing w:before="19" w:line="218" w:lineRule="auto"/>
        <w:ind w:left="750"/>
        <w:rPr>
          <w:sz w:val="20"/>
          <w:szCs w:val="20"/>
        </w:rPr>
      </w:pPr>
      <w:r>
        <w:rPr>
          <w:spacing w:val="9"/>
          <w:sz w:val="20"/>
          <w:szCs w:val="20"/>
        </w:rPr>
        <w:t>●按照信息系统工程建设费(或合同价格)的百</w:t>
      </w:r>
      <w:r>
        <w:rPr>
          <w:spacing w:val="8"/>
          <w:sz w:val="20"/>
          <w:szCs w:val="20"/>
        </w:rPr>
        <w:t>分比取费。</w:t>
      </w:r>
    </w:p>
    <w:p w14:paraId="0FA284A0">
      <w:pPr>
        <w:pStyle w:val="2"/>
        <w:spacing w:before="84" w:line="262" w:lineRule="auto"/>
        <w:ind w:left="1049" w:right="44" w:hanging="299"/>
        <w:rPr>
          <w:sz w:val="20"/>
          <w:szCs w:val="20"/>
        </w:rPr>
      </w:pPr>
      <w:r>
        <w:rPr>
          <w:spacing w:val="5"/>
          <w:sz w:val="20"/>
          <w:szCs w:val="20"/>
        </w:rPr>
        <w:t>●主要根据信息系统工程的规模、类型(软件开发、硬件集成、网络和信息系统集成、机</w:t>
      </w:r>
      <w:r>
        <w:rPr>
          <w:spacing w:val="11"/>
          <w:sz w:val="20"/>
          <w:szCs w:val="20"/>
        </w:rPr>
        <w:t xml:space="preserve"> </w:t>
      </w:r>
      <w:r>
        <w:rPr>
          <w:spacing w:val="-1"/>
          <w:sz w:val="20"/>
          <w:szCs w:val="20"/>
        </w:rPr>
        <w:t>房工程等)、阶段、内容、复杂程度、监理成本等多方面因</w:t>
      </w:r>
      <w:r>
        <w:rPr>
          <w:spacing w:val="-2"/>
          <w:sz w:val="20"/>
          <w:szCs w:val="20"/>
        </w:rPr>
        <w:t>素综合计算。</w:t>
      </w:r>
    </w:p>
    <w:p w14:paraId="0842AC84">
      <w:pPr>
        <w:pStyle w:val="2"/>
        <w:spacing w:before="85" w:line="257" w:lineRule="auto"/>
        <w:ind w:left="1049" w:right="44" w:hanging="299"/>
        <w:rPr>
          <w:sz w:val="20"/>
          <w:szCs w:val="20"/>
        </w:rPr>
      </w:pPr>
      <w:r>
        <w:rPr>
          <w:spacing w:val="3"/>
          <w:sz w:val="20"/>
          <w:szCs w:val="20"/>
        </w:rPr>
        <w:t>●按照参与信息系统工程的监理人员服务费计取，例如小型信息</w:t>
      </w:r>
      <w:r>
        <w:rPr>
          <w:spacing w:val="2"/>
          <w:sz w:val="20"/>
          <w:szCs w:val="20"/>
        </w:rPr>
        <w:t>系统工程、业主单位有特</w:t>
      </w:r>
      <w:r>
        <w:rPr>
          <w:sz w:val="20"/>
          <w:szCs w:val="20"/>
        </w:rPr>
        <w:t xml:space="preserve"> </w:t>
      </w:r>
      <w:r>
        <w:rPr>
          <w:spacing w:val="1"/>
          <w:sz w:val="20"/>
          <w:szCs w:val="20"/>
        </w:rPr>
        <w:t>殊要求的工程等，按人/月取费。</w:t>
      </w:r>
    </w:p>
    <w:p w14:paraId="5F5A3BD8">
      <w:pPr>
        <w:pStyle w:val="2"/>
        <w:spacing w:before="93" w:line="257" w:lineRule="auto"/>
        <w:ind w:left="1049" w:right="38" w:hanging="299"/>
        <w:rPr>
          <w:sz w:val="20"/>
          <w:szCs w:val="20"/>
        </w:rPr>
      </w:pPr>
      <w:r>
        <w:rPr>
          <w:spacing w:val="3"/>
          <w:sz w:val="20"/>
          <w:szCs w:val="20"/>
        </w:rPr>
        <w:t>●由业主单位和监理单位商定。不宜按上述办法计取的，可以由业主单位和监</w:t>
      </w:r>
      <w:r>
        <w:rPr>
          <w:spacing w:val="2"/>
          <w:sz w:val="20"/>
          <w:szCs w:val="20"/>
        </w:rPr>
        <w:t>理单位按商</w:t>
      </w:r>
      <w:r>
        <w:rPr>
          <w:sz w:val="20"/>
          <w:szCs w:val="20"/>
        </w:rPr>
        <w:t xml:space="preserve"> </w:t>
      </w:r>
      <w:r>
        <w:rPr>
          <w:spacing w:val="-5"/>
          <w:sz w:val="20"/>
          <w:szCs w:val="20"/>
        </w:rPr>
        <w:t>定的其他办法计取。</w:t>
      </w:r>
    </w:p>
    <w:p w14:paraId="1706C3FA">
      <w:pPr>
        <w:spacing w:before="180" w:line="225" w:lineRule="auto"/>
        <w:ind w:left="750"/>
        <w:rPr>
          <w:rFonts w:ascii="楷体" w:hAnsi="楷体" w:eastAsia="楷体" w:cs="楷体"/>
          <w:sz w:val="20"/>
          <w:szCs w:val="20"/>
        </w:rPr>
      </w:pPr>
      <w:r>
        <w:rPr>
          <w:rFonts w:ascii="楷体" w:hAnsi="楷体" w:eastAsia="楷体" w:cs="楷体"/>
          <w:spacing w:val="12"/>
          <w:sz w:val="20"/>
          <w:szCs w:val="20"/>
        </w:rPr>
        <w:t>4)招标代理服务费</w:t>
      </w:r>
    </w:p>
    <w:p w14:paraId="5C722769">
      <w:pPr>
        <w:pStyle w:val="2"/>
        <w:spacing w:before="57" w:line="273" w:lineRule="auto"/>
        <w:ind w:left="370" w:right="45" w:firstLine="379"/>
        <w:rPr>
          <w:sz w:val="20"/>
          <w:szCs w:val="20"/>
        </w:rPr>
      </w:pPr>
      <w:r>
        <w:rPr>
          <w:spacing w:val="3"/>
          <w:sz w:val="20"/>
          <w:szCs w:val="20"/>
        </w:rPr>
        <w:t>招标代理服务费是指业主单位委托招标代理机构，从事编制招</w:t>
      </w:r>
      <w:r>
        <w:rPr>
          <w:spacing w:val="2"/>
          <w:sz w:val="20"/>
          <w:szCs w:val="20"/>
        </w:rPr>
        <w:t>标文件、组织招标活动等业</w:t>
      </w:r>
      <w:r>
        <w:rPr>
          <w:sz w:val="20"/>
          <w:szCs w:val="20"/>
        </w:rPr>
        <w:t xml:space="preserve"> </w:t>
      </w:r>
      <w:r>
        <w:rPr>
          <w:spacing w:val="-2"/>
          <w:sz w:val="20"/>
          <w:szCs w:val="20"/>
        </w:rPr>
        <w:t>务所需的费用。招标代理服务分为货物招标、服务招标和工程招标三类。</w:t>
      </w:r>
    </w:p>
    <w:p w14:paraId="1B94CA26">
      <w:pPr>
        <w:spacing w:before="128" w:line="224" w:lineRule="auto"/>
        <w:ind w:left="750"/>
        <w:rPr>
          <w:rFonts w:ascii="楷体" w:hAnsi="楷体" w:eastAsia="楷体" w:cs="楷体"/>
          <w:sz w:val="20"/>
          <w:szCs w:val="20"/>
        </w:rPr>
      </w:pPr>
      <w:r>
        <w:rPr>
          <w:rFonts w:ascii="楷体" w:hAnsi="楷体" w:eastAsia="楷体" w:cs="楷体"/>
          <w:spacing w:val="12"/>
          <w:sz w:val="20"/>
          <w:szCs w:val="20"/>
        </w:rPr>
        <w:t>5)第三方检测费</w:t>
      </w:r>
    </w:p>
    <w:p w14:paraId="3782F41A">
      <w:pPr>
        <w:pStyle w:val="2"/>
        <w:spacing w:before="58" w:line="295" w:lineRule="auto"/>
        <w:ind w:left="370" w:right="32" w:firstLine="379"/>
        <w:rPr>
          <w:sz w:val="17"/>
          <w:szCs w:val="17"/>
        </w:rPr>
      </w:pPr>
      <w:r>
        <w:rPr>
          <w:spacing w:val="3"/>
          <w:sz w:val="20"/>
          <w:szCs w:val="20"/>
        </w:rPr>
        <w:t>第三方检测费是指委托权威专业的第三方检测机构对工程进行检测验收所需的费用。</w:t>
      </w:r>
      <w:r>
        <w:rPr>
          <w:spacing w:val="2"/>
          <w:sz w:val="20"/>
          <w:szCs w:val="20"/>
        </w:rPr>
        <w:t>检测</w:t>
      </w:r>
      <w:r>
        <w:rPr>
          <w:sz w:val="20"/>
          <w:szCs w:val="20"/>
        </w:rPr>
        <w:t xml:space="preserve"> </w:t>
      </w:r>
      <w:r>
        <w:rPr>
          <w:spacing w:val="5"/>
          <w:sz w:val="20"/>
          <w:szCs w:val="20"/>
        </w:rPr>
        <w:t>内容包括系统检测(功能检测、性能检测和源代码安全审查)、设备检</w:t>
      </w:r>
      <w:r>
        <w:rPr>
          <w:spacing w:val="4"/>
          <w:sz w:val="20"/>
          <w:szCs w:val="20"/>
        </w:rPr>
        <w:t>测(硬件设备、软件产品</w:t>
      </w:r>
      <w:r>
        <w:rPr>
          <w:sz w:val="20"/>
          <w:szCs w:val="20"/>
        </w:rPr>
        <w:t xml:space="preserve"> </w:t>
      </w:r>
      <w:r>
        <w:rPr>
          <w:spacing w:val="-6"/>
          <w:sz w:val="17"/>
          <w:szCs w:val="17"/>
        </w:rPr>
        <w:t>查</w:t>
      </w:r>
      <w:r>
        <w:rPr>
          <w:spacing w:val="-37"/>
          <w:sz w:val="17"/>
          <w:szCs w:val="17"/>
        </w:rPr>
        <w:t xml:space="preserve"> </w:t>
      </w:r>
      <w:r>
        <w:rPr>
          <w:spacing w:val="-6"/>
          <w:sz w:val="17"/>
          <w:szCs w:val="17"/>
        </w:rPr>
        <w:t>验</w:t>
      </w:r>
      <w:r>
        <w:rPr>
          <w:spacing w:val="-37"/>
          <w:sz w:val="17"/>
          <w:szCs w:val="17"/>
        </w:rPr>
        <w:t xml:space="preserve"> </w:t>
      </w:r>
      <w:r>
        <w:rPr>
          <w:spacing w:val="-6"/>
          <w:sz w:val="17"/>
          <w:szCs w:val="17"/>
        </w:rPr>
        <w:t>)</w:t>
      </w:r>
      <w:r>
        <w:rPr>
          <w:spacing w:val="-44"/>
          <w:sz w:val="17"/>
          <w:szCs w:val="17"/>
        </w:rPr>
        <w:t xml:space="preserve"> </w:t>
      </w:r>
      <w:r>
        <w:rPr>
          <w:spacing w:val="-6"/>
          <w:sz w:val="17"/>
          <w:szCs w:val="17"/>
        </w:rPr>
        <w:t>。</w:t>
      </w:r>
    </w:p>
    <w:p w14:paraId="45C4BCC1">
      <w:pPr>
        <w:spacing w:before="99" w:line="225" w:lineRule="auto"/>
        <w:ind w:left="750"/>
        <w:rPr>
          <w:rFonts w:ascii="楷体" w:hAnsi="楷体" w:eastAsia="楷体" w:cs="楷体"/>
          <w:sz w:val="20"/>
          <w:szCs w:val="20"/>
        </w:rPr>
      </w:pPr>
      <w:r>
        <w:rPr>
          <w:rFonts w:ascii="楷体" w:hAnsi="楷体" w:eastAsia="楷体" w:cs="楷体"/>
          <w:spacing w:val="13"/>
          <w:sz w:val="20"/>
          <w:szCs w:val="20"/>
        </w:rPr>
        <w:t>6)建设其他费用</w:t>
      </w:r>
    </w:p>
    <w:p w14:paraId="6DED96B6">
      <w:pPr>
        <w:pStyle w:val="2"/>
        <w:spacing w:before="76" w:line="265" w:lineRule="auto"/>
        <w:ind w:left="370" w:right="35" w:firstLine="379"/>
        <w:rPr>
          <w:sz w:val="20"/>
          <w:szCs w:val="20"/>
        </w:rPr>
      </w:pPr>
      <w:r>
        <w:rPr>
          <w:spacing w:val="3"/>
          <w:sz w:val="20"/>
          <w:szCs w:val="20"/>
        </w:rPr>
        <w:t>建设其他费用是指以上未涉及的，但根据项目实际需要计列的费用，如工程造价评估</w:t>
      </w:r>
      <w:r>
        <w:rPr>
          <w:spacing w:val="2"/>
          <w:sz w:val="20"/>
          <w:szCs w:val="20"/>
        </w:rPr>
        <w:t>咨询</w:t>
      </w:r>
      <w:r>
        <w:rPr>
          <w:sz w:val="20"/>
          <w:szCs w:val="20"/>
        </w:rPr>
        <w:t xml:space="preserve"> </w:t>
      </w:r>
      <w:r>
        <w:rPr>
          <w:spacing w:val="-2"/>
          <w:sz w:val="20"/>
          <w:szCs w:val="20"/>
        </w:rPr>
        <w:t>费、工程保险费等。费用计取根据项目实际情况按有关规定或协商确定。</w:t>
      </w:r>
    </w:p>
    <w:p w14:paraId="37AFCB51">
      <w:pPr>
        <w:pStyle w:val="2"/>
        <w:spacing w:before="124" w:line="222" w:lineRule="auto"/>
        <w:ind w:left="752"/>
        <w:rPr>
          <w:rFonts w:ascii="黑体" w:hAnsi="黑体" w:eastAsia="黑体" w:cs="黑体"/>
          <w:sz w:val="20"/>
          <w:szCs w:val="20"/>
        </w:rPr>
      </w:pPr>
      <w:r>
        <w:rPr>
          <w:b/>
          <w:bCs/>
          <w:color w:val="0075C3"/>
          <w:spacing w:val="3"/>
          <w:sz w:val="20"/>
          <w:szCs w:val="20"/>
        </w:rPr>
        <w:t>3.</w:t>
      </w:r>
      <w:r>
        <w:rPr>
          <w:rFonts w:ascii="黑体" w:hAnsi="黑体" w:eastAsia="黑体" w:cs="黑体"/>
          <w:b/>
          <w:bCs/>
          <w:color w:val="0075C3"/>
          <w:spacing w:val="3"/>
          <w:sz w:val="20"/>
          <w:szCs w:val="20"/>
        </w:rPr>
        <w:t>预备费</w:t>
      </w:r>
    </w:p>
    <w:p w14:paraId="4BD1368B">
      <w:pPr>
        <w:pStyle w:val="2"/>
        <w:spacing w:before="143" w:line="256" w:lineRule="auto"/>
        <w:ind w:left="370" w:right="39" w:firstLine="379"/>
        <w:rPr>
          <w:sz w:val="20"/>
          <w:szCs w:val="20"/>
        </w:rPr>
      </w:pPr>
      <w:r>
        <w:rPr>
          <w:spacing w:val="3"/>
          <w:sz w:val="20"/>
          <w:szCs w:val="20"/>
        </w:rPr>
        <w:t>预备费是指在项目立项阶段、可行性研究阶段、初步设计阶段难以事先预料</w:t>
      </w:r>
      <w:r>
        <w:rPr>
          <w:spacing w:val="2"/>
          <w:sz w:val="20"/>
          <w:szCs w:val="20"/>
        </w:rPr>
        <w:t>，而在建设期</w:t>
      </w:r>
      <w:r>
        <w:rPr>
          <w:sz w:val="20"/>
          <w:szCs w:val="20"/>
        </w:rPr>
        <w:t xml:space="preserve"> </w:t>
      </w:r>
      <w:r>
        <w:rPr>
          <w:spacing w:val="-3"/>
          <w:sz w:val="20"/>
          <w:szCs w:val="20"/>
        </w:rPr>
        <w:t>间可能发生的工程费用。</w:t>
      </w:r>
    </w:p>
    <w:p w14:paraId="290C6F07">
      <w:pPr>
        <w:pStyle w:val="2"/>
        <w:spacing w:before="54" w:line="218" w:lineRule="auto"/>
        <w:ind w:left="750"/>
        <w:rPr>
          <w:sz w:val="20"/>
          <w:szCs w:val="20"/>
        </w:rPr>
      </w:pPr>
      <w:r>
        <w:rPr>
          <w:spacing w:val="-4"/>
          <w:sz w:val="20"/>
          <w:szCs w:val="20"/>
        </w:rPr>
        <w:t>预备费包括基本预备费和价差预备费：</w:t>
      </w:r>
    </w:p>
    <w:p w14:paraId="6275F310">
      <w:pPr>
        <w:pStyle w:val="2"/>
        <w:spacing w:before="75" w:line="265" w:lineRule="auto"/>
        <w:ind w:left="1049" w:right="42" w:hanging="299"/>
        <w:rPr>
          <w:sz w:val="20"/>
          <w:szCs w:val="20"/>
        </w:rPr>
      </w:pPr>
      <w:r>
        <w:rPr>
          <w:spacing w:val="3"/>
          <w:sz w:val="20"/>
          <w:szCs w:val="20"/>
        </w:rPr>
        <w:t>●基本预备费是指项目建设过程中可能发生的难以预料的工程费用支</w:t>
      </w:r>
      <w:r>
        <w:rPr>
          <w:spacing w:val="2"/>
          <w:sz w:val="20"/>
          <w:szCs w:val="20"/>
        </w:rPr>
        <w:t>出，如工程设计变更</w:t>
      </w:r>
      <w:r>
        <w:rPr>
          <w:sz w:val="20"/>
          <w:szCs w:val="20"/>
        </w:rPr>
        <w:t xml:space="preserve"> </w:t>
      </w:r>
      <w:r>
        <w:rPr>
          <w:spacing w:val="-3"/>
          <w:sz w:val="20"/>
          <w:szCs w:val="20"/>
        </w:rPr>
        <w:t>或实施过程中增加工程量所增加的费用。</w:t>
      </w:r>
    </w:p>
    <w:p w14:paraId="77E714B8">
      <w:pPr>
        <w:spacing w:line="265" w:lineRule="auto"/>
        <w:rPr>
          <w:sz w:val="20"/>
          <w:szCs w:val="20"/>
        </w:rPr>
        <w:sectPr>
          <w:pgSz w:w="10300" w:h="13380"/>
          <w:pgMar w:top="400" w:right="1107" w:bottom="400" w:left="489" w:header="0" w:footer="0" w:gutter="0"/>
          <w:cols w:space="720" w:num="1"/>
        </w:sectPr>
      </w:pPr>
    </w:p>
    <w:p w14:paraId="1A3AA21D">
      <w:pPr>
        <w:pStyle w:val="2"/>
        <w:spacing w:before="56" w:line="219" w:lineRule="auto"/>
        <w:jc w:val="right"/>
        <w:rPr>
          <w:rFonts w:ascii="Times New Roman" w:hAnsi="Times New Roman" w:eastAsia="Times New Roman" w:cs="Times New Roman"/>
          <w:sz w:val="19"/>
          <w:szCs w:val="19"/>
        </w:rPr>
      </w:pPr>
      <w:r>
        <w:rPr>
          <w:spacing w:val="5"/>
          <w:sz w:val="19"/>
          <w:szCs w:val="19"/>
        </w:rPr>
        <w:t>第12章</w:t>
      </w:r>
      <w:r>
        <w:rPr>
          <w:spacing w:val="54"/>
          <w:w w:val="101"/>
          <w:sz w:val="19"/>
          <w:szCs w:val="19"/>
        </w:rPr>
        <w:t xml:space="preserve"> </w:t>
      </w:r>
      <w:r>
        <w:rPr>
          <w:spacing w:val="5"/>
          <w:sz w:val="19"/>
          <w:szCs w:val="19"/>
        </w:rPr>
        <w:t xml:space="preserve">投资控制      </w:t>
      </w:r>
      <w:r>
        <w:rPr>
          <w:rFonts w:ascii="Times New Roman" w:hAnsi="Times New Roman" w:eastAsia="Times New Roman" w:cs="Times New Roman"/>
          <w:spacing w:val="5"/>
          <w:sz w:val="19"/>
          <w:szCs w:val="19"/>
        </w:rPr>
        <w:t>281</w:t>
      </w:r>
    </w:p>
    <w:p w14:paraId="4A932CFE">
      <w:pPr>
        <w:spacing w:line="309" w:lineRule="auto"/>
        <w:rPr>
          <w:rFonts w:ascii="Arial"/>
          <w:sz w:val="21"/>
        </w:rPr>
      </w:pPr>
    </w:p>
    <w:p w14:paraId="082B4FA5">
      <w:pPr>
        <w:pStyle w:val="2"/>
        <w:spacing w:before="62" w:line="310" w:lineRule="auto"/>
        <w:ind w:left="678" w:right="305" w:hanging="279"/>
        <w:rPr>
          <w:sz w:val="19"/>
          <w:szCs w:val="19"/>
        </w:rPr>
      </w:pPr>
      <w:r>
        <w:rPr>
          <w:spacing w:val="13"/>
          <w:sz w:val="19"/>
          <w:szCs w:val="19"/>
        </w:rPr>
        <w:t>●价差预备费是指项目建设过程中由于物价、原料价格上涨、汇率、利息变化等因素影响</w:t>
      </w:r>
      <w:r>
        <w:rPr>
          <w:spacing w:val="7"/>
          <w:sz w:val="19"/>
          <w:szCs w:val="19"/>
        </w:rPr>
        <w:t xml:space="preserve"> </w:t>
      </w:r>
      <w:r>
        <w:rPr>
          <w:spacing w:val="5"/>
          <w:sz w:val="19"/>
          <w:szCs w:val="19"/>
        </w:rPr>
        <w:t>而需增加的费用。</w:t>
      </w:r>
    </w:p>
    <w:p w14:paraId="3789254B">
      <w:pPr>
        <w:pStyle w:val="2"/>
        <w:spacing w:before="90" w:line="222" w:lineRule="auto"/>
        <w:ind w:left="402"/>
        <w:rPr>
          <w:rFonts w:ascii="黑体" w:hAnsi="黑体" w:eastAsia="黑体" w:cs="黑体"/>
          <w:sz w:val="19"/>
          <w:szCs w:val="19"/>
        </w:rPr>
      </w:pPr>
      <w:r>
        <w:rPr>
          <w:b/>
          <w:bCs/>
          <w:color w:val="006DDB"/>
          <w:spacing w:val="8"/>
          <w:sz w:val="19"/>
          <w:szCs w:val="19"/>
        </w:rPr>
        <w:t>4.</w:t>
      </w:r>
      <w:r>
        <w:rPr>
          <w:rFonts w:ascii="黑体" w:hAnsi="黑体" w:eastAsia="黑体" w:cs="黑体"/>
          <w:b/>
          <w:bCs/>
          <w:color w:val="006DDB"/>
          <w:spacing w:val="8"/>
          <w:sz w:val="19"/>
          <w:szCs w:val="19"/>
        </w:rPr>
        <w:t>建设期利息</w:t>
      </w:r>
    </w:p>
    <w:p w14:paraId="7959D225">
      <w:pPr>
        <w:pStyle w:val="2"/>
        <w:spacing w:before="184" w:line="279" w:lineRule="auto"/>
        <w:ind w:right="304" w:firstLine="399"/>
        <w:rPr>
          <w:sz w:val="19"/>
          <w:szCs w:val="19"/>
        </w:rPr>
      </w:pPr>
      <w:r>
        <w:rPr>
          <w:spacing w:val="13"/>
          <w:sz w:val="19"/>
          <w:szCs w:val="19"/>
        </w:rPr>
        <w:t>建设期利息是指建设项目投资中分年度使用银行或其他金融机构等贷款，在建设期内应归</w:t>
      </w:r>
      <w:r>
        <w:rPr>
          <w:spacing w:val="8"/>
          <w:sz w:val="19"/>
          <w:szCs w:val="19"/>
        </w:rPr>
        <w:t xml:space="preserve"> </w:t>
      </w:r>
      <w:r>
        <w:rPr>
          <w:spacing w:val="5"/>
          <w:sz w:val="19"/>
          <w:szCs w:val="19"/>
        </w:rPr>
        <w:t>还的贷款利息。</w:t>
      </w:r>
    </w:p>
    <w:p w14:paraId="4C47A261">
      <w:pPr>
        <w:pStyle w:val="2"/>
        <w:spacing w:before="185" w:line="219" w:lineRule="auto"/>
        <w:ind w:left="2"/>
        <w:rPr>
          <w:sz w:val="25"/>
          <w:szCs w:val="25"/>
        </w:rPr>
      </w:pPr>
      <w:bookmarkStart w:id="635" w:name="bookmark620"/>
      <w:bookmarkEnd w:id="635"/>
      <w:r>
        <w:rPr>
          <w:b/>
          <w:bCs/>
          <w:color w:val="0060CF"/>
          <w:spacing w:val="-17"/>
          <w:sz w:val="25"/>
          <w:szCs w:val="25"/>
        </w:rPr>
        <w:t>12.3.2</w:t>
      </w:r>
      <w:r>
        <w:rPr>
          <w:color w:val="0060CF"/>
          <w:spacing w:val="-17"/>
          <w:sz w:val="25"/>
          <w:szCs w:val="25"/>
        </w:rPr>
        <w:t xml:space="preserve">  </w:t>
      </w:r>
      <w:r>
        <w:rPr>
          <w:b/>
          <w:bCs/>
          <w:color w:val="0060CF"/>
          <w:spacing w:val="-17"/>
          <w:sz w:val="25"/>
          <w:szCs w:val="25"/>
        </w:rPr>
        <w:t>投资控制中的技术经济分析</w:t>
      </w:r>
    </w:p>
    <w:p w14:paraId="32FB9485">
      <w:pPr>
        <w:pStyle w:val="2"/>
        <w:spacing w:before="170" w:line="298" w:lineRule="auto"/>
        <w:ind w:right="226" w:firstLine="399"/>
        <w:jc w:val="both"/>
        <w:rPr>
          <w:sz w:val="19"/>
          <w:szCs w:val="19"/>
        </w:rPr>
      </w:pPr>
      <w:r>
        <w:rPr>
          <w:spacing w:val="13"/>
          <w:sz w:val="19"/>
          <w:szCs w:val="19"/>
        </w:rPr>
        <w:t>技术经济分析方法是成本控制的基础，是一种综合评价方法，综合评价决定成本控制的合</w:t>
      </w:r>
      <w:r>
        <w:rPr>
          <w:sz w:val="19"/>
          <w:szCs w:val="19"/>
        </w:rPr>
        <w:t xml:space="preserve">  </w:t>
      </w:r>
      <w:r>
        <w:rPr>
          <w:spacing w:val="15"/>
          <w:sz w:val="19"/>
          <w:szCs w:val="19"/>
        </w:rPr>
        <w:t>理性。本章之所以特别强调对方案的综合评价</w:t>
      </w:r>
      <w:r>
        <w:rPr>
          <w:spacing w:val="14"/>
          <w:sz w:val="19"/>
          <w:szCs w:val="19"/>
        </w:rPr>
        <w:t>，是因为在投资控制的监理实务中要特别注意，</w:t>
      </w:r>
      <w:r>
        <w:rPr>
          <w:sz w:val="19"/>
          <w:szCs w:val="19"/>
        </w:rPr>
        <w:t xml:space="preserve"> </w:t>
      </w:r>
      <w:r>
        <w:rPr>
          <w:spacing w:val="13"/>
          <w:sz w:val="19"/>
          <w:szCs w:val="19"/>
        </w:rPr>
        <w:t>投资控制不是一个单打一的问题，也绝不是指初期投资越少的方案就是最佳方</w:t>
      </w:r>
      <w:r>
        <w:rPr>
          <w:spacing w:val="12"/>
          <w:sz w:val="19"/>
          <w:szCs w:val="19"/>
        </w:rPr>
        <w:t>案，而是要通过</w:t>
      </w:r>
      <w:r>
        <w:rPr>
          <w:sz w:val="19"/>
          <w:szCs w:val="19"/>
        </w:rPr>
        <w:t xml:space="preserve">  </w:t>
      </w:r>
      <w:r>
        <w:rPr>
          <w:spacing w:val="13"/>
          <w:sz w:val="19"/>
          <w:szCs w:val="19"/>
        </w:rPr>
        <w:t>具体的经济对比计算，例如年成本法、净现值法和内部收益率法等，获得整体经济效果最佳的</w:t>
      </w:r>
      <w:r>
        <w:rPr>
          <w:sz w:val="19"/>
          <w:szCs w:val="19"/>
        </w:rPr>
        <w:t xml:space="preserve">  </w:t>
      </w:r>
      <w:r>
        <w:rPr>
          <w:spacing w:val="15"/>
          <w:sz w:val="19"/>
          <w:szCs w:val="19"/>
        </w:rPr>
        <w:t>方案，据此合理地控制投资。而合理控制投资的另一个必须掌握的尺度和原则就是综合评</w:t>
      </w:r>
      <w:r>
        <w:rPr>
          <w:spacing w:val="14"/>
          <w:sz w:val="19"/>
          <w:szCs w:val="19"/>
        </w:rPr>
        <w:t>价。</w:t>
      </w:r>
      <w:r>
        <w:rPr>
          <w:sz w:val="19"/>
          <w:szCs w:val="19"/>
        </w:rPr>
        <w:t xml:space="preserve"> </w:t>
      </w:r>
      <w:r>
        <w:rPr>
          <w:spacing w:val="13"/>
          <w:sz w:val="19"/>
          <w:szCs w:val="19"/>
        </w:rPr>
        <w:t>只有通过综合评价而优选的方案才是最佳方案。最佳方案的标志是技术上最</w:t>
      </w:r>
      <w:r>
        <w:rPr>
          <w:spacing w:val="12"/>
          <w:sz w:val="19"/>
          <w:szCs w:val="19"/>
        </w:rPr>
        <w:t>佳，经济上最合理</w:t>
      </w:r>
      <w:r>
        <w:rPr>
          <w:sz w:val="19"/>
          <w:szCs w:val="19"/>
        </w:rPr>
        <w:t xml:space="preserve">  </w:t>
      </w:r>
      <w:r>
        <w:rPr>
          <w:spacing w:val="5"/>
          <w:sz w:val="19"/>
          <w:szCs w:val="19"/>
        </w:rPr>
        <w:t>而不是最少。</w:t>
      </w:r>
    </w:p>
    <w:p w14:paraId="6E240A3B">
      <w:pPr>
        <w:pStyle w:val="2"/>
        <w:spacing w:before="163" w:line="221" w:lineRule="auto"/>
        <w:ind w:left="402"/>
        <w:rPr>
          <w:rFonts w:ascii="黑体" w:hAnsi="黑体" w:eastAsia="黑体" w:cs="黑体"/>
          <w:sz w:val="19"/>
          <w:szCs w:val="19"/>
        </w:rPr>
      </w:pPr>
      <w:r>
        <w:rPr>
          <w:b/>
          <w:bCs/>
          <w:color w:val="005ED9"/>
          <w:spacing w:val="6"/>
          <w:sz w:val="19"/>
          <w:szCs w:val="19"/>
        </w:rPr>
        <w:t>1.</w:t>
      </w:r>
      <w:r>
        <w:rPr>
          <w:rFonts w:ascii="黑体" w:hAnsi="黑体" w:eastAsia="黑体" w:cs="黑体"/>
          <w:b/>
          <w:bCs/>
          <w:color w:val="005ED9"/>
          <w:spacing w:val="6"/>
          <w:sz w:val="19"/>
          <w:szCs w:val="19"/>
        </w:rPr>
        <w:t>技术经济分析的特点和方法步骤</w:t>
      </w:r>
    </w:p>
    <w:p w14:paraId="30297CDC">
      <w:pPr>
        <w:pStyle w:val="2"/>
        <w:spacing w:before="155" w:line="292" w:lineRule="auto"/>
        <w:ind w:right="304" w:firstLine="399"/>
        <w:jc w:val="both"/>
        <w:rPr>
          <w:sz w:val="19"/>
          <w:szCs w:val="19"/>
        </w:rPr>
      </w:pPr>
      <w:r>
        <w:rPr>
          <w:spacing w:val="13"/>
          <w:sz w:val="19"/>
          <w:szCs w:val="19"/>
        </w:rPr>
        <w:t>据有关资料统计，在同样能满足功能要求的前提下，合理的技术经济设计可以将工程造价</w:t>
      </w:r>
      <w:r>
        <w:rPr>
          <w:sz w:val="19"/>
          <w:szCs w:val="19"/>
        </w:rPr>
        <w:t xml:space="preserve"> </w:t>
      </w:r>
      <w:r>
        <w:rPr>
          <w:spacing w:val="22"/>
          <w:sz w:val="19"/>
          <w:szCs w:val="19"/>
        </w:rPr>
        <w:t>降低5%～20%,因此，搞好方案的技术经济分析，就成为建设项目设计</w:t>
      </w:r>
      <w:r>
        <w:rPr>
          <w:spacing w:val="21"/>
          <w:sz w:val="19"/>
          <w:szCs w:val="19"/>
        </w:rPr>
        <w:t>阶段优选方案和控制</w:t>
      </w:r>
      <w:r>
        <w:rPr>
          <w:sz w:val="19"/>
          <w:szCs w:val="19"/>
        </w:rPr>
        <w:t xml:space="preserve"> </w:t>
      </w:r>
      <w:r>
        <w:rPr>
          <w:spacing w:val="6"/>
          <w:sz w:val="19"/>
          <w:szCs w:val="19"/>
        </w:rPr>
        <w:t>造价的重点环节。</w:t>
      </w:r>
    </w:p>
    <w:p w14:paraId="79C1E5CF">
      <w:pPr>
        <w:pStyle w:val="2"/>
        <w:spacing w:before="31" w:line="219" w:lineRule="auto"/>
        <w:ind w:left="399"/>
        <w:rPr>
          <w:sz w:val="19"/>
          <w:szCs w:val="19"/>
        </w:rPr>
      </w:pPr>
      <w:r>
        <w:rPr>
          <w:spacing w:val="11"/>
          <w:sz w:val="19"/>
          <w:szCs w:val="19"/>
        </w:rPr>
        <w:t>(1)技术经济分析的特点具体如下：</w:t>
      </w:r>
    </w:p>
    <w:p w14:paraId="6AD974F5">
      <w:pPr>
        <w:pStyle w:val="2"/>
        <w:spacing w:before="93" w:line="265" w:lineRule="auto"/>
        <w:ind w:left="678" w:right="314" w:hanging="279"/>
        <w:rPr>
          <w:sz w:val="19"/>
          <w:szCs w:val="19"/>
        </w:rPr>
      </w:pPr>
      <w:r>
        <w:rPr>
          <w:spacing w:val="13"/>
          <w:sz w:val="19"/>
          <w:szCs w:val="19"/>
        </w:rPr>
        <w:t>●综合性。技术经济分析学是根据现代科学技术和国民经济发展的需要，逐渐地从自</w:t>
      </w:r>
      <w:r>
        <w:rPr>
          <w:spacing w:val="12"/>
          <w:sz w:val="19"/>
          <w:szCs w:val="19"/>
        </w:rPr>
        <w:t>然科</w:t>
      </w:r>
      <w:r>
        <w:rPr>
          <w:sz w:val="19"/>
          <w:szCs w:val="19"/>
        </w:rPr>
        <w:t xml:space="preserve"> </w:t>
      </w:r>
      <w:r>
        <w:rPr>
          <w:spacing w:val="8"/>
          <w:sz w:val="19"/>
          <w:szCs w:val="19"/>
        </w:rPr>
        <w:t>学和社会科学的发展过程中交叉形成发展起来的一门综合性边缘科学。</w:t>
      </w:r>
    </w:p>
    <w:p w14:paraId="43C16C78">
      <w:pPr>
        <w:pStyle w:val="2"/>
        <w:spacing w:before="96" w:line="280" w:lineRule="auto"/>
        <w:ind w:left="678" w:right="265" w:hanging="279"/>
        <w:rPr>
          <w:sz w:val="19"/>
          <w:szCs w:val="19"/>
        </w:rPr>
      </w:pPr>
      <w:r>
        <w:rPr>
          <w:spacing w:val="13"/>
          <w:sz w:val="19"/>
          <w:szCs w:val="19"/>
        </w:rPr>
        <w:t>●系统性。技术经济分析研究的对象大多是由若干个相互联系的单元所组成的整体，因此</w:t>
      </w:r>
      <w:r>
        <w:rPr>
          <w:sz w:val="19"/>
          <w:szCs w:val="19"/>
        </w:rPr>
        <w:t xml:space="preserve"> </w:t>
      </w:r>
      <w:r>
        <w:rPr>
          <w:spacing w:val="12"/>
          <w:sz w:val="19"/>
          <w:szCs w:val="19"/>
        </w:rPr>
        <w:t>要具备系统分析的思想方法和工作方法，要从整体着眼，周密地分析各个因素和环节，</w:t>
      </w:r>
      <w:r>
        <w:rPr>
          <w:spacing w:val="8"/>
          <w:sz w:val="19"/>
          <w:szCs w:val="19"/>
        </w:rPr>
        <w:t xml:space="preserve"> </w:t>
      </w:r>
      <w:r>
        <w:rPr>
          <w:spacing w:val="7"/>
          <w:sz w:val="19"/>
          <w:szCs w:val="19"/>
        </w:rPr>
        <w:t>取得科学依据，实现总体优化。</w:t>
      </w:r>
    </w:p>
    <w:p w14:paraId="5D25FA8D">
      <w:pPr>
        <w:pStyle w:val="2"/>
        <w:spacing w:before="95" w:line="274" w:lineRule="auto"/>
        <w:ind w:left="678" w:right="311" w:hanging="279"/>
        <w:rPr>
          <w:sz w:val="19"/>
          <w:szCs w:val="19"/>
        </w:rPr>
      </w:pPr>
      <w:r>
        <w:rPr>
          <w:spacing w:val="13"/>
          <w:sz w:val="19"/>
          <w:szCs w:val="19"/>
        </w:rPr>
        <w:t>●实用性。技术经济分析是一门实践性很强的应用科学，其主要研究对象是技术方案、设</w:t>
      </w:r>
      <w:r>
        <w:rPr>
          <w:spacing w:val="1"/>
          <w:sz w:val="19"/>
          <w:szCs w:val="19"/>
        </w:rPr>
        <w:t xml:space="preserve"> </w:t>
      </w:r>
      <w:r>
        <w:rPr>
          <w:spacing w:val="11"/>
          <w:sz w:val="19"/>
          <w:szCs w:val="19"/>
        </w:rPr>
        <w:t>计方案的优选问题，是解决具体问题，进行具体分析研究，做具体评价，为采用的方案</w:t>
      </w:r>
      <w:r>
        <w:rPr>
          <w:sz w:val="19"/>
          <w:szCs w:val="19"/>
        </w:rPr>
        <w:t xml:space="preserve"> </w:t>
      </w:r>
      <w:r>
        <w:rPr>
          <w:spacing w:val="8"/>
          <w:sz w:val="19"/>
          <w:szCs w:val="19"/>
        </w:rPr>
        <w:t>提出技术经济效果的论据，如工程优化设计、系统方案选择等。</w:t>
      </w:r>
    </w:p>
    <w:p w14:paraId="31F375B5">
      <w:pPr>
        <w:pStyle w:val="2"/>
        <w:spacing w:before="94" w:line="288" w:lineRule="auto"/>
        <w:ind w:left="678" w:right="311" w:hanging="279"/>
        <w:rPr>
          <w:sz w:val="19"/>
          <w:szCs w:val="19"/>
        </w:rPr>
      </w:pPr>
      <w:r>
        <w:rPr>
          <w:spacing w:val="13"/>
          <w:sz w:val="19"/>
          <w:szCs w:val="19"/>
        </w:rPr>
        <w:t>●数据化。技术经济学采用了许多定量分析方法，把各种有关因素定量化，通过定量计算</w:t>
      </w:r>
      <w:r>
        <w:rPr>
          <w:spacing w:val="1"/>
          <w:sz w:val="19"/>
          <w:szCs w:val="19"/>
        </w:rPr>
        <w:t xml:space="preserve"> </w:t>
      </w:r>
      <w:r>
        <w:rPr>
          <w:spacing w:val="11"/>
          <w:sz w:val="19"/>
          <w:szCs w:val="19"/>
        </w:rPr>
        <w:t>进行分析比较。由于计算机和数学方法的迅速发展，定量分析范围日益扩大。除去环境</w:t>
      </w:r>
      <w:r>
        <w:rPr>
          <w:sz w:val="19"/>
          <w:szCs w:val="19"/>
        </w:rPr>
        <w:t xml:space="preserve"> </w:t>
      </w:r>
      <w:r>
        <w:rPr>
          <w:spacing w:val="16"/>
          <w:sz w:val="19"/>
          <w:szCs w:val="19"/>
        </w:rPr>
        <w:t>保护、政治因素、学术发展等社会因素目前还只能做定性分析外，大量</w:t>
      </w:r>
      <w:r>
        <w:rPr>
          <w:spacing w:val="15"/>
          <w:sz w:val="19"/>
          <w:szCs w:val="19"/>
        </w:rPr>
        <w:t>问题均可定量</w:t>
      </w:r>
      <w:r>
        <w:rPr>
          <w:sz w:val="19"/>
          <w:szCs w:val="19"/>
        </w:rPr>
        <w:t xml:space="preserve"> </w:t>
      </w:r>
      <w:r>
        <w:rPr>
          <w:spacing w:val="9"/>
          <w:sz w:val="19"/>
          <w:szCs w:val="19"/>
        </w:rPr>
        <w:t>化。因此定性分析与定量分析相结合，并以量化为主是技术经济分析的一大特点。</w:t>
      </w:r>
    </w:p>
    <w:p w14:paraId="66522FBD">
      <w:pPr>
        <w:pStyle w:val="2"/>
        <w:spacing w:before="95" w:line="219" w:lineRule="auto"/>
        <w:ind w:left="399"/>
        <w:rPr>
          <w:sz w:val="19"/>
          <w:szCs w:val="19"/>
        </w:rPr>
      </w:pPr>
      <w:r>
        <w:rPr>
          <w:spacing w:val="13"/>
          <w:sz w:val="19"/>
          <w:szCs w:val="19"/>
        </w:rPr>
        <w:t>(2)技术经济分析的方法。</w:t>
      </w:r>
    </w:p>
    <w:p w14:paraId="477ECD8B">
      <w:pPr>
        <w:pStyle w:val="2"/>
        <w:spacing w:before="64" w:line="292" w:lineRule="auto"/>
        <w:ind w:right="305" w:firstLine="399"/>
        <w:jc w:val="both"/>
        <w:rPr>
          <w:sz w:val="19"/>
          <w:szCs w:val="19"/>
        </w:rPr>
      </w:pPr>
      <w:r>
        <w:rPr>
          <w:spacing w:val="13"/>
          <w:sz w:val="19"/>
          <w:szCs w:val="19"/>
        </w:rPr>
        <w:t>技术经济学研究主要有两种方法，即调查研究方法和理论研究法。后者是对调查得到的原</w:t>
      </w:r>
      <w:r>
        <w:rPr>
          <w:spacing w:val="7"/>
          <w:sz w:val="19"/>
          <w:szCs w:val="19"/>
        </w:rPr>
        <w:t xml:space="preserve"> </w:t>
      </w:r>
      <w:r>
        <w:rPr>
          <w:spacing w:val="13"/>
          <w:sz w:val="19"/>
          <w:szCs w:val="19"/>
        </w:rPr>
        <w:t>始数据与资料进行加工管理、去粗取精、去伪存真的过程，在这个过程中既要采</w:t>
      </w:r>
      <w:r>
        <w:rPr>
          <w:spacing w:val="12"/>
          <w:sz w:val="19"/>
          <w:szCs w:val="19"/>
        </w:rPr>
        <w:t>取定量的数字</w:t>
      </w:r>
      <w:r>
        <w:rPr>
          <w:sz w:val="19"/>
          <w:szCs w:val="19"/>
        </w:rPr>
        <w:t xml:space="preserve"> </w:t>
      </w:r>
      <w:r>
        <w:rPr>
          <w:spacing w:val="9"/>
          <w:sz w:val="19"/>
          <w:szCs w:val="19"/>
        </w:rPr>
        <w:t>计算与分析，也要采取定性的推理、论证、分析等方</w:t>
      </w:r>
      <w:r>
        <w:rPr>
          <w:spacing w:val="8"/>
          <w:sz w:val="19"/>
          <w:szCs w:val="19"/>
        </w:rPr>
        <w:t>法。</w:t>
      </w:r>
    </w:p>
    <w:p w14:paraId="6A44DF30">
      <w:pPr>
        <w:spacing w:line="292" w:lineRule="auto"/>
        <w:rPr>
          <w:sz w:val="19"/>
          <w:szCs w:val="19"/>
        </w:rPr>
        <w:sectPr>
          <w:pgSz w:w="10280" w:h="13290"/>
          <w:pgMar w:top="400" w:right="539" w:bottom="400" w:left="1110" w:header="0" w:footer="0" w:gutter="0"/>
          <w:cols w:space="720" w:num="1"/>
        </w:sectPr>
      </w:pPr>
    </w:p>
    <w:p w14:paraId="7197FAF6">
      <w:pPr>
        <w:pStyle w:val="2"/>
        <w:spacing w:before="28" w:line="219" w:lineRule="auto"/>
        <w:rPr>
          <w:sz w:val="20"/>
          <w:szCs w:val="20"/>
        </w:rPr>
      </w:pPr>
      <w:r>
        <w:rPr>
          <w:rFonts w:ascii="Times New Roman" w:hAnsi="Times New Roman" w:eastAsia="Times New Roman" w:cs="Times New Roman"/>
          <w:spacing w:val="-1"/>
          <w:sz w:val="20"/>
          <w:szCs w:val="20"/>
        </w:rPr>
        <w:t xml:space="preserve">282             </w:t>
      </w:r>
      <w:r>
        <w:rPr>
          <w:spacing w:val="-1"/>
          <w:sz w:val="20"/>
          <w:szCs w:val="20"/>
        </w:rPr>
        <w:t>信息系统监理师教程(第2版)</w:t>
      </w:r>
    </w:p>
    <w:p w14:paraId="57990EB7">
      <w:pPr>
        <w:spacing w:line="305" w:lineRule="auto"/>
        <w:rPr>
          <w:rFonts w:ascii="Arial"/>
          <w:sz w:val="21"/>
        </w:rPr>
      </w:pPr>
    </w:p>
    <w:p w14:paraId="628B9D89">
      <w:pPr>
        <w:pStyle w:val="2"/>
        <w:spacing w:before="65" w:line="219" w:lineRule="auto"/>
        <w:ind w:left="749"/>
        <w:rPr>
          <w:sz w:val="20"/>
          <w:szCs w:val="20"/>
        </w:rPr>
      </w:pPr>
      <w:r>
        <w:rPr>
          <w:spacing w:val="2"/>
          <w:sz w:val="20"/>
          <w:szCs w:val="20"/>
        </w:rPr>
        <w:t>(3)技术经济分析的步骤具体如下：</w:t>
      </w:r>
    </w:p>
    <w:p w14:paraId="2F405EA9">
      <w:pPr>
        <w:pStyle w:val="2"/>
        <w:spacing w:before="50" w:line="282" w:lineRule="auto"/>
        <w:ind w:left="1029" w:right="23" w:hanging="280"/>
        <w:rPr>
          <w:sz w:val="20"/>
          <w:szCs w:val="20"/>
        </w:rPr>
      </w:pPr>
      <w:r>
        <w:rPr>
          <w:spacing w:val="3"/>
          <w:sz w:val="20"/>
          <w:szCs w:val="20"/>
        </w:rPr>
        <w:t>●确定目标。例如，对于一个新建项目，要根据市场需要及资金条件研究确定；对项目中</w:t>
      </w:r>
      <w:r>
        <w:rPr>
          <w:spacing w:val="13"/>
          <w:sz w:val="20"/>
          <w:szCs w:val="20"/>
        </w:rPr>
        <w:t xml:space="preserve"> </w:t>
      </w:r>
      <w:r>
        <w:rPr>
          <w:spacing w:val="1"/>
          <w:sz w:val="20"/>
          <w:szCs w:val="20"/>
        </w:rPr>
        <w:t>的某一个子系统，要根据其既能满足功能要求，又要在经济上合理确定；对一个系统方</w:t>
      </w:r>
      <w:r>
        <w:rPr>
          <w:spacing w:val="18"/>
          <w:sz w:val="20"/>
          <w:szCs w:val="20"/>
        </w:rPr>
        <w:t xml:space="preserve"> </w:t>
      </w:r>
      <w:r>
        <w:rPr>
          <w:spacing w:val="-1"/>
          <w:sz w:val="20"/>
          <w:szCs w:val="20"/>
        </w:rPr>
        <w:t>案或一项主要设备选址，既要可行和适用，又要在经济评价的各项指标上先</w:t>
      </w:r>
      <w:r>
        <w:rPr>
          <w:spacing w:val="-2"/>
          <w:sz w:val="20"/>
          <w:szCs w:val="20"/>
        </w:rPr>
        <w:t>进等。</w:t>
      </w:r>
    </w:p>
    <w:p w14:paraId="46B827B8">
      <w:pPr>
        <w:pStyle w:val="2"/>
        <w:spacing w:before="83" w:line="262" w:lineRule="auto"/>
        <w:ind w:left="1029" w:right="41" w:hanging="280"/>
        <w:rPr>
          <w:sz w:val="20"/>
          <w:szCs w:val="20"/>
        </w:rPr>
      </w:pPr>
      <w:r>
        <w:rPr>
          <w:spacing w:val="3"/>
          <w:sz w:val="20"/>
          <w:szCs w:val="20"/>
        </w:rPr>
        <w:t>●调查研究。收集各种有关资料和数据，通过调查研究，搞清有关的技术因素情况，这些</w:t>
      </w:r>
      <w:r>
        <w:rPr>
          <w:spacing w:val="2"/>
          <w:sz w:val="20"/>
          <w:szCs w:val="20"/>
        </w:rPr>
        <w:t xml:space="preserve"> </w:t>
      </w:r>
      <w:r>
        <w:rPr>
          <w:spacing w:val="-2"/>
          <w:sz w:val="20"/>
          <w:szCs w:val="20"/>
        </w:rPr>
        <w:t>因素之间以及与其他有关的经济因素之间的联系、依据和条件。</w:t>
      </w:r>
    </w:p>
    <w:p w14:paraId="0689CF64">
      <w:pPr>
        <w:pStyle w:val="2"/>
        <w:spacing w:before="84" w:line="271" w:lineRule="auto"/>
        <w:ind w:left="1029" w:right="43" w:hanging="280"/>
        <w:rPr>
          <w:sz w:val="20"/>
          <w:szCs w:val="20"/>
        </w:rPr>
      </w:pPr>
      <w:r>
        <w:rPr>
          <w:spacing w:val="2"/>
          <w:sz w:val="20"/>
          <w:szCs w:val="20"/>
        </w:rPr>
        <w:t>●拟定各种可行方案。为了满足同一功能或应用的需要，</w:t>
      </w:r>
      <w:r>
        <w:rPr>
          <w:spacing w:val="-52"/>
          <w:sz w:val="20"/>
          <w:szCs w:val="20"/>
        </w:rPr>
        <w:t xml:space="preserve"> </w:t>
      </w:r>
      <w:r>
        <w:rPr>
          <w:spacing w:val="2"/>
          <w:sz w:val="20"/>
          <w:szCs w:val="20"/>
        </w:rPr>
        <w:t>一般可以</w:t>
      </w:r>
      <w:r>
        <w:rPr>
          <w:spacing w:val="1"/>
          <w:sz w:val="20"/>
          <w:szCs w:val="20"/>
        </w:rPr>
        <w:t>采用多种不同的、彼此</w:t>
      </w:r>
      <w:r>
        <w:rPr>
          <w:sz w:val="20"/>
          <w:szCs w:val="20"/>
        </w:rPr>
        <w:t xml:space="preserve"> </w:t>
      </w:r>
      <w:r>
        <w:rPr>
          <w:spacing w:val="-1"/>
          <w:sz w:val="20"/>
          <w:szCs w:val="20"/>
        </w:rPr>
        <w:t>可以代替的方案。为了选出最优的方案，首先要列出所有可能</w:t>
      </w:r>
      <w:r>
        <w:rPr>
          <w:spacing w:val="-2"/>
          <w:sz w:val="20"/>
          <w:szCs w:val="20"/>
        </w:rPr>
        <w:t>实行的方案。</w:t>
      </w:r>
    </w:p>
    <w:p w14:paraId="4D231A2D">
      <w:pPr>
        <w:pStyle w:val="2"/>
        <w:spacing w:before="84" w:line="280" w:lineRule="auto"/>
        <w:ind w:left="1029" w:right="22" w:hanging="280"/>
        <w:rPr>
          <w:sz w:val="20"/>
          <w:szCs w:val="20"/>
        </w:rPr>
      </w:pPr>
      <w:r>
        <w:rPr>
          <w:spacing w:val="3"/>
          <w:sz w:val="20"/>
          <w:szCs w:val="20"/>
        </w:rPr>
        <w:t>●方案评价。分析各种了解的技术方案在技术上的优缺点。应该指出，对每个技术方案优</w:t>
      </w:r>
      <w:r>
        <w:rPr>
          <w:sz w:val="20"/>
          <w:szCs w:val="20"/>
        </w:rPr>
        <w:t xml:space="preserve"> </w:t>
      </w:r>
      <w:r>
        <w:rPr>
          <w:spacing w:val="1"/>
          <w:sz w:val="20"/>
          <w:szCs w:val="20"/>
        </w:rPr>
        <w:t>缺点分析得越细致、透彻、全面、具体，则对每个技术方案的经济评价就越准确。在分</w:t>
      </w:r>
      <w:r>
        <w:rPr>
          <w:sz w:val="20"/>
          <w:szCs w:val="20"/>
        </w:rPr>
        <w:t xml:space="preserve"> </w:t>
      </w:r>
      <w:r>
        <w:rPr>
          <w:spacing w:val="2"/>
          <w:sz w:val="20"/>
          <w:szCs w:val="20"/>
        </w:rPr>
        <w:t>析技术方案的优缺点时，必须进行充分的调查</w:t>
      </w:r>
      <w:r>
        <w:rPr>
          <w:spacing w:val="1"/>
          <w:sz w:val="20"/>
          <w:szCs w:val="20"/>
        </w:rPr>
        <w:t>研究，并且从国民经济整体利益出发，客</w:t>
      </w:r>
      <w:r>
        <w:rPr>
          <w:sz w:val="20"/>
          <w:szCs w:val="20"/>
        </w:rPr>
        <w:t xml:space="preserve"> </w:t>
      </w:r>
      <w:r>
        <w:rPr>
          <w:spacing w:val="1"/>
          <w:sz w:val="20"/>
          <w:szCs w:val="20"/>
        </w:rPr>
        <w:t>观地分析不同的技术方案所引起的对外部各种自然、技术、经济、社会等方面所产生的</w:t>
      </w:r>
      <w:r>
        <w:rPr>
          <w:spacing w:val="6"/>
          <w:sz w:val="20"/>
          <w:szCs w:val="20"/>
        </w:rPr>
        <w:t xml:space="preserve"> </w:t>
      </w:r>
      <w:r>
        <w:rPr>
          <w:spacing w:val="-2"/>
          <w:sz w:val="20"/>
          <w:szCs w:val="20"/>
        </w:rPr>
        <w:t>影响，从而准确地找到现有条件下最优的技术方案。</w:t>
      </w:r>
    </w:p>
    <w:p w14:paraId="4A05E4D3">
      <w:pPr>
        <w:pStyle w:val="2"/>
        <w:spacing w:before="93" w:line="276" w:lineRule="auto"/>
        <w:ind w:left="1029" w:right="36" w:hanging="280"/>
        <w:rPr>
          <w:sz w:val="20"/>
          <w:szCs w:val="20"/>
        </w:rPr>
      </w:pPr>
      <w:r>
        <w:rPr>
          <w:spacing w:val="3"/>
          <w:sz w:val="20"/>
          <w:szCs w:val="20"/>
        </w:rPr>
        <w:t>●建立各种技术方案的经济指标和各种参数间的函数关系。列出相应的方程式或数学表达</w:t>
      </w:r>
      <w:r>
        <w:rPr>
          <w:sz w:val="20"/>
          <w:szCs w:val="20"/>
        </w:rPr>
        <w:t xml:space="preserve"> </w:t>
      </w:r>
      <w:r>
        <w:rPr>
          <w:spacing w:val="1"/>
          <w:sz w:val="20"/>
          <w:szCs w:val="20"/>
        </w:rPr>
        <w:t>式，这种方程式、表达式称为数学模型。在分析技术方案优缺点的基础上，能用相应的</w:t>
      </w:r>
      <w:r>
        <w:rPr>
          <w:spacing w:val="6"/>
          <w:sz w:val="20"/>
          <w:szCs w:val="20"/>
        </w:rPr>
        <w:t xml:space="preserve"> </w:t>
      </w:r>
      <w:r>
        <w:rPr>
          <w:spacing w:val="-1"/>
          <w:sz w:val="20"/>
          <w:szCs w:val="20"/>
        </w:rPr>
        <w:t>数学方程式描述各方案的经济指标与参数间量的关系，这就是经济</w:t>
      </w:r>
      <w:r>
        <w:rPr>
          <w:spacing w:val="-2"/>
          <w:sz w:val="20"/>
          <w:szCs w:val="20"/>
        </w:rPr>
        <w:t>数学模型。</w:t>
      </w:r>
    </w:p>
    <w:p w14:paraId="35261453">
      <w:pPr>
        <w:pStyle w:val="2"/>
        <w:spacing w:before="92" w:line="264" w:lineRule="auto"/>
        <w:ind w:left="1029" w:right="38" w:hanging="280"/>
        <w:rPr>
          <w:sz w:val="20"/>
          <w:szCs w:val="20"/>
        </w:rPr>
      </w:pPr>
      <w:r>
        <w:rPr>
          <w:spacing w:val="8"/>
          <w:sz w:val="20"/>
          <w:szCs w:val="20"/>
        </w:rPr>
        <w:t>●计算与求解数学模型。第一步，把有关数据资料，包括各种自然资源的地质的、技术</w:t>
      </w:r>
      <w:r>
        <w:rPr>
          <w:spacing w:val="14"/>
          <w:sz w:val="20"/>
          <w:szCs w:val="20"/>
        </w:rPr>
        <w:t xml:space="preserve"> </w:t>
      </w:r>
      <w:r>
        <w:rPr>
          <w:spacing w:val="7"/>
          <w:sz w:val="20"/>
          <w:szCs w:val="20"/>
        </w:rPr>
        <w:t>的、经济的指标代入数学模型并进行数学运</w:t>
      </w:r>
      <w:r>
        <w:rPr>
          <w:spacing w:val="6"/>
          <w:sz w:val="20"/>
          <w:szCs w:val="20"/>
        </w:rPr>
        <w:t>算；第二步，求得各个方案的经济效果指</w:t>
      </w:r>
      <w:r>
        <w:rPr>
          <w:sz w:val="20"/>
          <w:szCs w:val="20"/>
        </w:rPr>
        <w:t xml:space="preserve"> </w:t>
      </w:r>
      <w:r>
        <w:rPr>
          <w:spacing w:val="-1"/>
          <w:sz w:val="20"/>
          <w:szCs w:val="20"/>
        </w:rPr>
        <w:t>标，利用方案比较法，进行择优。求最优方案的方法一般可用列表法或图解法。</w:t>
      </w:r>
    </w:p>
    <w:p w14:paraId="2FC984FD">
      <w:pPr>
        <w:pStyle w:val="2"/>
        <w:spacing w:before="101" w:line="270" w:lineRule="auto"/>
        <w:ind w:left="1029" w:right="40" w:hanging="280"/>
        <w:rPr>
          <w:sz w:val="20"/>
          <w:szCs w:val="20"/>
        </w:rPr>
      </w:pPr>
      <w:r>
        <w:rPr>
          <w:spacing w:val="3"/>
          <w:sz w:val="20"/>
          <w:szCs w:val="20"/>
        </w:rPr>
        <w:t>●技术方案的综合评价。由于技术方案的许多优缺点往往不能用数学指标来描述，而且一</w:t>
      </w:r>
      <w:r>
        <w:rPr>
          <w:spacing w:val="2"/>
          <w:sz w:val="20"/>
          <w:szCs w:val="20"/>
        </w:rPr>
        <w:t xml:space="preserve"> </w:t>
      </w:r>
      <w:r>
        <w:rPr>
          <w:spacing w:val="6"/>
          <w:sz w:val="20"/>
          <w:szCs w:val="20"/>
        </w:rPr>
        <w:t>个方案不可能兼备各种优点，这就要求从各个侧面对某个技术方案进行综合分析及论</w:t>
      </w:r>
      <w:r>
        <w:rPr>
          <w:spacing w:val="16"/>
          <w:sz w:val="20"/>
          <w:szCs w:val="20"/>
        </w:rPr>
        <w:t xml:space="preserve"> </w:t>
      </w:r>
      <w:r>
        <w:rPr>
          <w:spacing w:val="-1"/>
          <w:sz w:val="20"/>
          <w:szCs w:val="20"/>
        </w:rPr>
        <w:t>证，最后选出在技术、经济、社会、政治等方面综合</w:t>
      </w:r>
      <w:r>
        <w:rPr>
          <w:spacing w:val="-2"/>
          <w:sz w:val="20"/>
          <w:szCs w:val="20"/>
        </w:rPr>
        <w:t>性最优的方案。</w:t>
      </w:r>
    </w:p>
    <w:p w14:paraId="40C3BD46">
      <w:pPr>
        <w:pStyle w:val="2"/>
        <w:spacing w:before="169" w:line="221" w:lineRule="auto"/>
        <w:ind w:left="752"/>
        <w:rPr>
          <w:rFonts w:ascii="黑体" w:hAnsi="黑体" w:eastAsia="黑体" w:cs="黑体"/>
          <w:sz w:val="20"/>
          <w:szCs w:val="20"/>
        </w:rPr>
      </w:pPr>
      <w:bookmarkStart w:id="636" w:name="bookmark621"/>
      <w:bookmarkEnd w:id="636"/>
      <w:r>
        <w:rPr>
          <w:b/>
          <w:bCs/>
          <w:color w:val="006BB3"/>
          <w:spacing w:val="-1"/>
          <w:sz w:val="20"/>
          <w:szCs w:val="20"/>
        </w:rPr>
        <w:t>2.</w:t>
      </w:r>
      <w:r>
        <w:rPr>
          <w:rFonts w:ascii="黑体" w:hAnsi="黑体" w:eastAsia="黑体" w:cs="黑体"/>
          <w:b/>
          <w:bCs/>
          <w:color w:val="006BB3"/>
          <w:spacing w:val="-1"/>
          <w:sz w:val="20"/>
          <w:szCs w:val="20"/>
        </w:rPr>
        <w:t>单方案的经济评价方法</w:t>
      </w:r>
    </w:p>
    <w:p w14:paraId="7B03C7CA">
      <w:pPr>
        <w:pStyle w:val="2"/>
        <w:spacing w:before="145" w:line="277" w:lineRule="auto"/>
        <w:ind w:left="349" w:firstLine="399"/>
        <w:jc w:val="both"/>
        <w:rPr>
          <w:sz w:val="20"/>
          <w:szCs w:val="20"/>
        </w:rPr>
      </w:pPr>
      <w:r>
        <w:rPr>
          <w:spacing w:val="3"/>
          <w:sz w:val="20"/>
          <w:szCs w:val="20"/>
        </w:rPr>
        <w:t>对于单方案，一般可以通过下面的四种方法进行经济评价，这种评价主要是对技术上可行</w:t>
      </w:r>
      <w:r>
        <w:rPr>
          <w:spacing w:val="1"/>
          <w:sz w:val="20"/>
          <w:szCs w:val="20"/>
        </w:rPr>
        <w:t xml:space="preserve"> </w:t>
      </w:r>
      <w:r>
        <w:rPr>
          <w:spacing w:val="3"/>
          <w:sz w:val="20"/>
          <w:szCs w:val="20"/>
        </w:rPr>
        <w:t>的方案，评价其经济上的合理性，做到使设计人员和建设监理人员心中有数，并对一些技术上</w:t>
      </w:r>
      <w:r>
        <w:rPr>
          <w:spacing w:val="14"/>
          <w:sz w:val="20"/>
          <w:szCs w:val="20"/>
        </w:rPr>
        <w:t xml:space="preserve"> </w:t>
      </w:r>
      <w:r>
        <w:rPr>
          <w:spacing w:val="-1"/>
          <w:sz w:val="20"/>
          <w:szCs w:val="20"/>
        </w:rPr>
        <w:t>可行而经济上不合理的方案采取必要的修正办法，从而在满足功能要求的基础上做到经济合理。</w:t>
      </w:r>
    </w:p>
    <w:p w14:paraId="32CD6A99">
      <w:pPr>
        <w:spacing w:before="117" w:line="224" w:lineRule="auto"/>
        <w:ind w:left="749"/>
        <w:rPr>
          <w:rFonts w:ascii="楷体" w:hAnsi="楷体" w:eastAsia="楷体" w:cs="楷体"/>
          <w:sz w:val="20"/>
          <w:szCs w:val="20"/>
        </w:rPr>
      </w:pPr>
      <w:r>
        <w:rPr>
          <w:rFonts w:ascii="楷体" w:hAnsi="楷体" w:eastAsia="楷体" w:cs="楷体"/>
          <w:spacing w:val="10"/>
          <w:sz w:val="20"/>
          <w:szCs w:val="20"/>
        </w:rPr>
        <w:t>1)成本回收期法</w:t>
      </w:r>
    </w:p>
    <w:p w14:paraId="293D295D">
      <w:pPr>
        <w:pStyle w:val="2"/>
        <w:spacing w:before="69" w:line="264" w:lineRule="auto"/>
        <w:ind w:left="349" w:right="37" w:firstLine="399"/>
        <w:rPr>
          <w:sz w:val="20"/>
          <w:szCs w:val="20"/>
        </w:rPr>
      </w:pPr>
      <w:r>
        <w:rPr>
          <w:spacing w:val="3"/>
          <w:sz w:val="20"/>
          <w:szCs w:val="20"/>
        </w:rPr>
        <w:t>成本回收期法可以用于单方案评价，也可以用于多方案的比较，分为静态成本回收期与动</w:t>
      </w:r>
      <w:r>
        <w:rPr>
          <w:spacing w:val="6"/>
          <w:sz w:val="20"/>
          <w:szCs w:val="20"/>
        </w:rPr>
        <w:t xml:space="preserve"> </w:t>
      </w:r>
      <w:r>
        <w:rPr>
          <w:spacing w:val="-2"/>
          <w:sz w:val="20"/>
          <w:szCs w:val="20"/>
        </w:rPr>
        <w:t>态成本回收期。</w:t>
      </w:r>
    </w:p>
    <w:p w14:paraId="5C5CFF82">
      <w:pPr>
        <w:pStyle w:val="2"/>
        <w:spacing w:before="60" w:line="269" w:lineRule="auto"/>
        <w:ind w:left="1029" w:right="36" w:hanging="280"/>
        <w:rPr>
          <w:sz w:val="20"/>
          <w:szCs w:val="20"/>
        </w:rPr>
      </w:pPr>
      <w:r>
        <w:rPr>
          <w:spacing w:val="3"/>
          <w:sz w:val="20"/>
          <w:szCs w:val="20"/>
        </w:rPr>
        <w:t>●静态成本回收期是指以工程项目的净收益补偿全部成本所需要的时间，通常情况下，成</w:t>
      </w:r>
      <w:r>
        <w:rPr>
          <w:spacing w:val="1"/>
          <w:sz w:val="20"/>
          <w:szCs w:val="20"/>
        </w:rPr>
        <w:t xml:space="preserve"> 本回收期愈短愈好。对于单方案经济评价时，通常是将计算结果同国家或部门所规定的</w:t>
      </w:r>
      <w:r>
        <w:rPr>
          <w:spacing w:val="6"/>
          <w:sz w:val="20"/>
          <w:szCs w:val="20"/>
        </w:rPr>
        <w:t xml:space="preserve"> </w:t>
      </w:r>
      <w:r>
        <w:rPr>
          <w:spacing w:val="1"/>
          <w:sz w:val="20"/>
          <w:szCs w:val="20"/>
        </w:rPr>
        <w:t>标准成本回收期(</w:t>
      </w:r>
      <w:r>
        <w:rPr>
          <w:sz w:val="20"/>
          <w:szCs w:val="20"/>
        </w:rPr>
        <w:t>TM</w:t>
      </w:r>
      <w:r>
        <w:rPr>
          <w:spacing w:val="1"/>
          <w:sz w:val="20"/>
          <w:szCs w:val="20"/>
        </w:rPr>
        <w:t xml:space="preserve">)  进行比较来取定其“经济合理性”。当所计算的成本回收期大于 </w:t>
      </w:r>
      <w:r>
        <w:rPr>
          <w:rFonts w:ascii="Times New Roman" w:hAnsi="Times New Roman" w:eastAsia="Times New Roman" w:cs="Times New Roman"/>
          <w:sz w:val="20"/>
          <w:szCs w:val="20"/>
        </w:rPr>
        <w:t>TM</w:t>
      </w:r>
      <w:r>
        <w:rPr>
          <w:sz w:val="20"/>
          <w:szCs w:val="20"/>
        </w:rPr>
        <w:t>时，一般应对技术方案做出总成本的削减修正措施，否则应予舍弃。</w:t>
      </w:r>
    </w:p>
    <w:p w14:paraId="09E8BCC1">
      <w:pPr>
        <w:pStyle w:val="2"/>
        <w:spacing w:before="81" w:line="256" w:lineRule="auto"/>
        <w:ind w:left="1029" w:right="36" w:hanging="280"/>
        <w:rPr>
          <w:sz w:val="20"/>
          <w:szCs w:val="20"/>
        </w:rPr>
      </w:pPr>
      <w:r>
        <w:rPr>
          <w:spacing w:val="6"/>
          <w:sz w:val="20"/>
          <w:szCs w:val="20"/>
        </w:rPr>
        <w:t>●动态成本回收期是指给定基准收益率i,</w:t>
      </w:r>
      <w:r>
        <w:rPr>
          <w:spacing w:val="-10"/>
          <w:sz w:val="20"/>
          <w:szCs w:val="20"/>
        </w:rPr>
        <w:t xml:space="preserve"> </w:t>
      </w:r>
      <w:r>
        <w:rPr>
          <w:spacing w:val="6"/>
          <w:sz w:val="20"/>
          <w:szCs w:val="20"/>
        </w:rPr>
        <w:t>用项目方案的净现金收入求出偿还全部成本的</w:t>
      </w:r>
      <w:r>
        <w:rPr>
          <w:sz w:val="20"/>
          <w:szCs w:val="20"/>
        </w:rPr>
        <w:t xml:space="preserve"> </w:t>
      </w:r>
      <w:r>
        <w:rPr>
          <w:spacing w:val="-3"/>
          <w:sz w:val="20"/>
          <w:szCs w:val="20"/>
        </w:rPr>
        <w:t>时间。</w:t>
      </w:r>
    </w:p>
    <w:p w14:paraId="48619480">
      <w:pPr>
        <w:spacing w:line="256" w:lineRule="auto"/>
        <w:rPr>
          <w:sz w:val="20"/>
          <w:szCs w:val="20"/>
        </w:rPr>
        <w:sectPr>
          <w:pgSz w:w="10300" w:h="13350"/>
          <w:pgMar w:top="400" w:right="1058" w:bottom="400" w:left="530" w:header="0" w:footer="0" w:gutter="0"/>
          <w:cols w:space="720" w:num="1"/>
        </w:sectPr>
      </w:pPr>
    </w:p>
    <w:p w14:paraId="4208A59F">
      <w:pPr>
        <w:pStyle w:val="2"/>
        <w:spacing w:before="10"/>
        <w:jc w:val="right"/>
        <w:rPr>
          <w:rFonts w:ascii="Times New Roman" w:hAnsi="Times New Roman" w:eastAsia="Times New Roman" w:cs="Times New Roman"/>
          <w:sz w:val="17"/>
          <w:szCs w:val="17"/>
        </w:rPr>
      </w:pPr>
      <w:r>
        <w:rPr>
          <w:spacing w:val="1"/>
          <w:sz w:val="20"/>
          <w:szCs w:val="20"/>
        </w:rPr>
        <w:t>第12章</w:t>
      </w:r>
      <w:r>
        <w:rPr>
          <w:spacing w:val="23"/>
          <w:sz w:val="20"/>
          <w:szCs w:val="20"/>
        </w:rPr>
        <w:t xml:space="preserve"> </w:t>
      </w:r>
      <w:r>
        <w:rPr>
          <w:spacing w:val="1"/>
          <w:sz w:val="20"/>
          <w:szCs w:val="20"/>
        </w:rPr>
        <w:t xml:space="preserve">投资控制 </w:t>
      </w:r>
      <w:r>
        <w:rPr>
          <w:position w:val="-12"/>
          <w:sz w:val="20"/>
          <w:szCs w:val="20"/>
        </w:rPr>
        <w:drawing>
          <wp:inline distT="0" distB="0" distL="0" distR="0">
            <wp:extent cx="323215" cy="25336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93"/>
                    <a:stretch>
                      <a:fillRect/>
                    </a:stretch>
                  </pic:blipFill>
                  <pic:spPr>
                    <a:xfrm>
                      <a:off x="0" y="0"/>
                      <a:ext cx="323832" cy="253955"/>
                    </a:xfrm>
                    <a:prstGeom prst="rect">
                      <a:avLst/>
                    </a:prstGeom>
                  </pic:spPr>
                </pic:pic>
              </a:graphicData>
            </a:graphic>
          </wp:inline>
        </w:drawing>
      </w:r>
      <w:r>
        <w:rPr>
          <w:rFonts w:ascii="Times New Roman" w:hAnsi="Times New Roman" w:eastAsia="Times New Roman" w:cs="Times New Roman"/>
          <w:spacing w:val="1"/>
          <w:sz w:val="17"/>
          <w:szCs w:val="17"/>
        </w:rPr>
        <w:t>283</w:t>
      </w:r>
    </w:p>
    <w:p w14:paraId="70740C2F">
      <w:pPr>
        <w:spacing w:line="246" w:lineRule="auto"/>
        <w:rPr>
          <w:rFonts w:ascii="Arial"/>
          <w:sz w:val="21"/>
        </w:rPr>
      </w:pPr>
    </w:p>
    <w:p w14:paraId="2A5A463B">
      <w:pPr>
        <w:spacing w:before="65" w:line="225" w:lineRule="auto"/>
        <w:ind w:left="402"/>
        <w:rPr>
          <w:rFonts w:ascii="楷体" w:hAnsi="楷体" w:eastAsia="楷体" w:cs="楷体"/>
          <w:sz w:val="20"/>
          <w:szCs w:val="20"/>
        </w:rPr>
      </w:pPr>
      <w:r>
        <w:rPr>
          <w:rFonts w:ascii="楷体" w:hAnsi="楷体" w:eastAsia="楷体" w:cs="楷体"/>
          <w:b/>
          <w:bCs/>
          <w:spacing w:val="9"/>
          <w:sz w:val="20"/>
          <w:szCs w:val="20"/>
        </w:rPr>
        <w:t>2)等效年值法</w:t>
      </w:r>
    </w:p>
    <w:p w14:paraId="4C6E9A6D">
      <w:pPr>
        <w:pStyle w:val="2"/>
        <w:spacing w:before="69" w:line="282" w:lineRule="auto"/>
        <w:ind w:right="248" w:firstLine="399"/>
        <w:jc w:val="both"/>
        <w:rPr>
          <w:sz w:val="20"/>
          <w:szCs w:val="20"/>
        </w:rPr>
      </w:pPr>
      <w:r>
        <w:rPr>
          <w:spacing w:val="9"/>
          <w:sz w:val="20"/>
          <w:szCs w:val="20"/>
        </w:rPr>
        <w:t>等效年值法就是工程项目的所有现金流量都化为其等值</w:t>
      </w:r>
      <w:r>
        <w:rPr>
          <w:spacing w:val="8"/>
          <w:sz w:val="20"/>
          <w:szCs w:val="20"/>
        </w:rPr>
        <w:t>的年金，用以评价方案经济效益</w:t>
      </w:r>
      <w:r>
        <w:rPr>
          <w:sz w:val="20"/>
          <w:szCs w:val="20"/>
        </w:rPr>
        <w:t xml:space="preserve"> </w:t>
      </w:r>
      <w:r>
        <w:rPr>
          <w:spacing w:val="3"/>
          <w:sz w:val="20"/>
          <w:szCs w:val="20"/>
        </w:rPr>
        <w:t>的经济分析方法。等效年值是指把工程项目在寿命期内的所有收入和支出，按基准收益率折算</w:t>
      </w:r>
      <w:r>
        <w:rPr>
          <w:spacing w:val="5"/>
          <w:sz w:val="20"/>
          <w:szCs w:val="20"/>
        </w:rPr>
        <w:t xml:space="preserve"> </w:t>
      </w:r>
      <w:r>
        <w:rPr>
          <w:spacing w:val="6"/>
          <w:sz w:val="20"/>
          <w:szCs w:val="20"/>
        </w:rPr>
        <w:t>成与其等值的各年年末的等效年金。这里所说的</w:t>
      </w:r>
      <w:r>
        <w:rPr>
          <w:spacing w:val="5"/>
          <w:sz w:val="20"/>
          <w:szCs w:val="20"/>
        </w:rPr>
        <w:t>基准收益率是指最低要求的贴现率(亦称折现</w:t>
      </w:r>
      <w:r>
        <w:rPr>
          <w:sz w:val="20"/>
          <w:szCs w:val="20"/>
        </w:rPr>
        <w:t xml:space="preserve"> </w:t>
      </w:r>
      <w:r>
        <w:rPr>
          <w:spacing w:val="4"/>
          <w:sz w:val="20"/>
          <w:szCs w:val="20"/>
        </w:rPr>
        <w:t>率),在国外又称作最低有吸引力的收益率，</w:t>
      </w:r>
      <w:r>
        <w:rPr>
          <w:spacing w:val="68"/>
          <w:sz w:val="20"/>
          <w:szCs w:val="20"/>
        </w:rPr>
        <w:t xml:space="preserve"> </w:t>
      </w:r>
      <w:r>
        <w:rPr>
          <w:spacing w:val="4"/>
          <w:sz w:val="20"/>
          <w:szCs w:val="20"/>
        </w:rPr>
        <w:t>一般用代号</w:t>
      </w:r>
      <w:r>
        <w:rPr>
          <w:sz w:val="20"/>
          <w:szCs w:val="20"/>
        </w:rPr>
        <w:t>MARR</w:t>
      </w:r>
      <w:r>
        <w:rPr>
          <w:spacing w:val="4"/>
          <w:sz w:val="20"/>
          <w:szCs w:val="20"/>
        </w:rPr>
        <w:t xml:space="preserve">  表示，是成本决策部门做出取</w:t>
      </w:r>
      <w:r>
        <w:rPr>
          <w:sz w:val="20"/>
          <w:szCs w:val="20"/>
        </w:rPr>
        <w:t xml:space="preserve"> </w:t>
      </w:r>
      <w:r>
        <w:rPr>
          <w:spacing w:val="3"/>
          <w:sz w:val="20"/>
          <w:szCs w:val="20"/>
        </w:rPr>
        <w:t>舍决定的重要决策参数。通常情况下，如果把基准收益率定</w:t>
      </w:r>
      <w:r>
        <w:rPr>
          <w:spacing w:val="2"/>
          <w:sz w:val="20"/>
          <w:szCs w:val="20"/>
        </w:rPr>
        <w:t>得太高，可能会使许多经济效果较</w:t>
      </w:r>
      <w:r>
        <w:rPr>
          <w:sz w:val="20"/>
          <w:szCs w:val="20"/>
        </w:rPr>
        <w:t xml:space="preserve"> </w:t>
      </w:r>
      <w:r>
        <w:rPr>
          <w:spacing w:val="-1"/>
          <w:sz w:val="20"/>
          <w:szCs w:val="20"/>
        </w:rPr>
        <w:t>好的方案被放弃；反之，如果基准收益率定得太低，又可能接受一些经济效果并不理想的方案。</w:t>
      </w:r>
    </w:p>
    <w:p w14:paraId="417337D5">
      <w:pPr>
        <w:pStyle w:val="2"/>
        <w:spacing w:before="46" w:line="280" w:lineRule="auto"/>
        <w:ind w:right="277" w:firstLine="399"/>
        <w:jc w:val="both"/>
        <w:rPr>
          <w:sz w:val="20"/>
          <w:szCs w:val="20"/>
        </w:rPr>
      </w:pPr>
      <w:r>
        <w:rPr>
          <w:spacing w:val="3"/>
          <w:sz w:val="20"/>
          <w:szCs w:val="20"/>
        </w:rPr>
        <w:t>按照惯例，通常基准收益率应高于贷款的利率。很显然，由于一些成本方案大多带有一定</w:t>
      </w:r>
      <w:r>
        <w:rPr>
          <w:spacing w:val="15"/>
          <w:sz w:val="20"/>
          <w:szCs w:val="20"/>
        </w:rPr>
        <w:t xml:space="preserve"> </w:t>
      </w:r>
      <w:r>
        <w:rPr>
          <w:spacing w:val="3"/>
          <w:sz w:val="20"/>
          <w:szCs w:val="20"/>
        </w:rPr>
        <w:t>的风险和不确定性，再加上市场经济供需要求对产品价格浮动的影响，如果基准收益率不高于</w:t>
      </w:r>
      <w:r>
        <w:rPr>
          <w:spacing w:val="7"/>
          <w:sz w:val="20"/>
          <w:szCs w:val="20"/>
        </w:rPr>
        <w:t xml:space="preserve"> </w:t>
      </w:r>
      <w:r>
        <w:rPr>
          <w:spacing w:val="3"/>
          <w:sz w:val="20"/>
          <w:szCs w:val="20"/>
        </w:rPr>
        <w:t>贷款利率，就不值得进行投资。只有当方案的等效年值大于零，在经济上才是合理的。等效年</w:t>
      </w:r>
      <w:r>
        <w:rPr>
          <w:spacing w:val="4"/>
          <w:sz w:val="20"/>
          <w:szCs w:val="20"/>
        </w:rPr>
        <w:t xml:space="preserve"> </w:t>
      </w:r>
      <w:r>
        <w:rPr>
          <w:spacing w:val="-2"/>
          <w:sz w:val="20"/>
          <w:szCs w:val="20"/>
        </w:rPr>
        <w:t>值法可以用存储基金法或资金还原法计算。</w:t>
      </w:r>
    </w:p>
    <w:p w14:paraId="6EDC27B4">
      <w:pPr>
        <w:spacing w:before="147" w:line="227" w:lineRule="auto"/>
        <w:ind w:left="399"/>
        <w:rPr>
          <w:rFonts w:ascii="楷体" w:hAnsi="楷体" w:eastAsia="楷体" w:cs="楷体"/>
          <w:sz w:val="20"/>
          <w:szCs w:val="20"/>
        </w:rPr>
      </w:pPr>
      <w:r>
        <w:rPr>
          <w:rFonts w:ascii="楷体" w:hAnsi="楷体" w:eastAsia="楷体" w:cs="楷体"/>
          <w:spacing w:val="7"/>
          <w:sz w:val="20"/>
          <w:szCs w:val="20"/>
        </w:rPr>
        <w:t>3)净现值法与净现值指数法</w:t>
      </w:r>
    </w:p>
    <w:p w14:paraId="1D40587A">
      <w:pPr>
        <w:pStyle w:val="2"/>
        <w:spacing w:before="23" w:line="290" w:lineRule="auto"/>
        <w:ind w:right="276" w:firstLine="399"/>
        <w:jc w:val="both"/>
        <w:rPr>
          <w:sz w:val="17"/>
          <w:szCs w:val="17"/>
        </w:rPr>
      </w:pPr>
      <w:r>
        <w:rPr>
          <w:spacing w:val="7"/>
          <w:sz w:val="20"/>
          <w:szCs w:val="20"/>
        </w:rPr>
        <w:t>净现值法是根据方案的净现值大小来评定方案经济效果的一种方法。这里的净现值</w:t>
      </w:r>
      <w:r>
        <w:rPr>
          <w:spacing w:val="-58"/>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Net  Present</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NPV</w:t>
      </w:r>
      <w:r>
        <w:rPr>
          <w:rFonts w:ascii="Times New Roman" w:hAnsi="Times New Roman" w:eastAsia="Times New Roman" w:cs="Times New Roman"/>
          <w:spacing w:val="2"/>
          <w:sz w:val="20"/>
          <w:szCs w:val="20"/>
        </w:rPr>
        <w:t>)</w:t>
      </w:r>
      <w:r>
        <w:rPr>
          <w:rFonts w:ascii="Times New Roman" w:hAnsi="Times New Roman" w:eastAsia="Times New Roman" w:cs="Times New Roman"/>
          <w:spacing w:val="-8"/>
          <w:sz w:val="20"/>
          <w:szCs w:val="20"/>
        </w:rPr>
        <w:t xml:space="preserve"> </w:t>
      </w:r>
      <w:r>
        <w:rPr>
          <w:spacing w:val="2"/>
          <w:sz w:val="20"/>
          <w:szCs w:val="20"/>
        </w:rPr>
        <w:t>是指按基准收益率或设定的折</w:t>
      </w:r>
      <w:r>
        <w:rPr>
          <w:spacing w:val="1"/>
          <w:sz w:val="20"/>
          <w:szCs w:val="20"/>
        </w:rPr>
        <w:t>现率，将各年的净现金流量折现到基准年的</w:t>
      </w:r>
      <w:r>
        <w:rPr>
          <w:sz w:val="20"/>
          <w:szCs w:val="20"/>
        </w:rPr>
        <w:t xml:space="preserve"> </w:t>
      </w:r>
      <w:r>
        <w:rPr>
          <w:spacing w:val="4"/>
          <w:sz w:val="20"/>
          <w:szCs w:val="20"/>
        </w:rPr>
        <w:t>现值之和。基准年一般选在基建开始年。如果</w:t>
      </w:r>
      <w:r>
        <w:rPr>
          <w:rFonts w:ascii="Times New Roman" w:hAnsi="Times New Roman" w:eastAsia="Times New Roman" w:cs="Times New Roman"/>
          <w:sz w:val="20"/>
          <w:szCs w:val="20"/>
        </w:rPr>
        <w:t>NPV</w:t>
      </w:r>
      <w:r>
        <w:rPr>
          <w:rFonts w:ascii="Times New Roman" w:hAnsi="Times New Roman" w:eastAsia="Times New Roman" w:cs="Times New Roman"/>
          <w:spacing w:val="4"/>
          <w:sz w:val="20"/>
          <w:szCs w:val="20"/>
        </w:rPr>
        <w:t xml:space="preserve">&gt;0,  </w:t>
      </w:r>
      <w:r>
        <w:rPr>
          <w:spacing w:val="4"/>
          <w:sz w:val="20"/>
          <w:szCs w:val="20"/>
        </w:rPr>
        <w:t>表示技术方案本身的收益不仅可以达到</w:t>
      </w:r>
      <w:r>
        <w:rPr>
          <w:spacing w:val="2"/>
          <w:sz w:val="20"/>
          <w:szCs w:val="20"/>
        </w:rPr>
        <w:t xml:space="preserve"> </w:t>
      </w:r>
      <w:r>
        <w:rPr>
          <w:spacing w:val="3"/>
          <w:sz w:val="20"/>
          <w:szCs w:val="20"/>
        </w:rPr>
        <w:t>基准收益率的水平，而且还有盈余；如果</w:t>
      </w:r>
      <w:r>
        <w:rPr>
          <w:rFonts w:ascii="Times New Roman" w:hAnsi="Times New Roman" w:eastAsia="Times New Roman" w:cs="Times New Roman"/>
          <w:sz w:val="20"/>
          <w:szCs w:val="20"/>
        </w:rPr>
        <w:t>NPV</w:t>
      </w:r>
      <w:r>
        <w:rPr>
          <w:rFonts w:ascii="Times New Roman" w:hAnsi="Times New Roman" w:eastAsia="Times New Roman" w:cs="Times New Roman"/>
          <w:spacing w:val="3"/>
          <w:sz w:val="20"/>
          <w:szCs w:val="20"/>
        </w:rPr>
        <w:t>=0,</w:t>
      </w:r>
      <w:r>
        <w:rPr>
          <w:rFonts w:ascii="Times New Roman" w:hAnsi="Times New Roman" w:eastAsia="Times New Roman" w:cs="Times New Roman"/>
          <w:spacing w:val="23"/>
          <w:w w:val="101"/>
          <w:sz w:val="20"/>
          <w:szCs w:val="20"/>
        </w:rPr>
        <w:t xml:space="preserve">  </w:t>
      </w:r>
      <w:r>
        <w:rPr>
          <w:spacing w:val="3"/>
          <w:sz w:val="20"/>
          <w:szCs w:val="20"/>
        </w:rPr>
        <w:t>表示方案的收益率正好等于基准收益率。在</w:t>
      </w:r>
      <w:r>
        <w:rPr>
          <w:sz w:val="20"/>
          <w:szCs w:val="20"/>
        </w:rPr>
        <w:t xml:space="preserve"> </w:t>
      </w:r>
      <w:r>
        <w:rPr>
          <w:spacing w:val="3"/>
          <w:sz w:val="20"/>
          <w:szCs w:val="20"/>
        </w:rPr>
        <w:t>上述两种情况下，方案均可取。如果</w:t>
      </w:r>
      <w:r>
        <w:rPr>
          <w:rFonts w:ascii="Times New Roman" w:hAnsi="Times New Roman" w:eastAsia="Times New Roman" w:cs="Times New Roman"/>
          <w:sz w:val="20"/>
          <w:szCs w:val="20"/>
        </w:rPr>
        <w:t>NPV</w:t>
      </w:r>
      <w:r>
        <w:rPr>
          <w:rFonts w:ascii="Times New Roman" w:hAnsi="Times New Roman" w:eastAsia="Times New Roman" w:cs="Times New Roman"/>
          <w:spacing w:val="3"/>
          <w:sz w:val="20"/>
          <w:szCs w:val="20"/>
        </w:rPr>
        <w:t xml:space="preserve">&lt;0,   </w:t>
      </w:r>
      <w:r>
        <w:rPr>
          <w:spacing w:val="3"/>
          <w:sz w:val="20"/>
          <w:szCs w:val="20"/>
        </w:rPr>
        <w:t>则表示方案的</w:t>
      </w:r>
      <w:r>
        <w:rPr>
          <w:spacing w:val="2"/>
          <w:sz w:val="20"/>
          <w:szCs w:val="20"/>
        </w:rPr>
        <w:t>收益率达不到基准收益率水平，应</w:t>
      </w:r>
      <w:r>
        <w:rPr>
          <w:sz w:val="20"/>
          <w:szCs w:val="20"/>
        </w:rPr>
        <w:t xml:space="preserve"> </w:t>
      </w:r>
      <w:r>
        <w:rPr>
          <w:spacing w:val="18"/>
          <w:sz w:val="17"/>
          <w:szCs w:val="17"/>
        </w:rPr>
        <w:t>被舍弃。</w:t>
      </w:r>
    </w:p>
    <w:p w14:paraId="61BE7F14">
      <w:pPr>
        <w:pStyle w:val="2"/>
        <w:spacing w:before="83" w:line="273" w:lineRule="auto"/>
        <w:ind w:right="264" w:firstLine="399"/>
        <w:rPr>
          <w:sz w:val="20"/>
          <w:szCs w:val="20"/>
        </w:rPr>
      </w:pPr>
      <w:r>
        <w:rPr>
          <w:spacing w:val="4"/>
          <w:sz w:val="20"/>
          <w:szCs w:val="20"/>
        </w:rPr>
        <w:t>净现值指数法是将技术方案在寿命期的净现值与逐年成本的现值之</w:t>
      </w:r>
      <w:r>
        <w:rPr>
          <w:spacing w:val="3"/>
          <w:sz w:val="20"/>
          <w:szCs w:val="20"/>
        </w:rPr>
        <w:t>和进行比较，该数值反</w:t>
      </w:r>
      <w:r>
        <w:rPr>
          <w:sz w:val="20"/>
          <w:szCs w:val="20"/>
        </w:rPr>
        <w:t xml:space="preserve"> 映了单位成本现值所创造的现值收益。当</w:t>
      </w:r>
      <w:r>
        <w:rPr>
          <w:rFonts w:ascii="Times New Roman" w:hAnsi="Times New Roman" w:eastAsia="Times New Roman" w:cs="Times New Roman"/>
          <w:sz w:val="20"/>
          <w:szCs w:val="20"/>
        </w:rPr>
        <w:t>NPV&gt;0</w:t>
      </w:r>
      <w:r>
        <w:rPr>
          <w:rFonts w:ascii="Times New Roman" w:hAnsi="Times New Roman" w:eastAsia="Times New Roman" w:cs="Times New Roman"/>
          <w:spacing w:val="15"/>
          <w:w w:val="101"/>
          <w:sz w:val="20"/>
          <w:szCs w:val="20"/>
        </w:rPr>
        <w:t xml:space="preserve"> </w:t>
      </w:r>
      <w:r>
        <w:rPr>
          <w:sz w:val="20"/>
          <w:szCs w:val="20"/>
        </w:rPr>
        <w:t>或</w:t>
      </w:r>
      <w:r>
        <w:rPr>
          <w:spacing w:val="-60"/>
          <w:sz w:val="20"/>
          <w:szCs w:val="20"/>
        </w:rPr>
        <w:t xml:space="preserve"> </w:t>
      </w:r>
      <w:r>
        <w:rPr>
          <w:rFonts w:ascii="Times New Roman" w:hAnsi="Times New Roman" w:eastAsia="Times New Roman" w:cs="Times New Roman"/>
          <w:sz w:val="20"/>
          <w:szCs w:val="20"/>
        </w:rPr>
        <w:t>N</w:t>
      </w:r>
      <w:r>
        <w:rPr>
          <w:rFonts w:ascii="Times New Roman" w:hAnsi="Times New Roman" w:eastAsia="Times New Roman" w:cs="Times New Roman"/>
          <w:spacing w:val="-1"/>
          <w:sz w:val="20"/>
          <w:szCs w:val="20"/>
        </w:rPr>
        <w:t>PV=0</w:t>
      </w:r>
      <w:r>
        <w:rPr>
          <w:rFonts w:ascii="Times New Roman" w:hAnsi="Times New Roman" w:eastAsia="Times New Roman" w:cs="Times New Roman"/>
          <w:spacing w:val="15"/>
          <w:sz w:val="20"/>
          <w:szCs w:val="20"/>
        </w:rPr>
        <w:t xml:space="preserve"> </w:t>
      </w:r>
      <w:r>
        <w:rPr>
          <w:spacing w:val="-1"/>
          <w:sz w:val="20"/>
          <w:szCs w:val="20"/>
        </w:rPr>
        <w:t>时，方案可行，否则应放弃。</w:t>
      </w:r>
    </w:p>
    <w:p w14:paraId="38FEB061">
      <w:pPr>
        <w:spacing w:before="94" w:line="224" w:lineRule="auto"/>
        <w:ind w:left="402"/>
        <w:rPr>
          <w:rFonts w:ascii="楷体" w:hAnsi="楷体" w:eastAsia="楷体" w:cs="楷体"/>
          <w:sz w:val="20"/>
          <w:szCs w:val="20"/>
        </w:rPr>
      </w:pPr>
      <w:r>
        <w:rPr>
          <w:rFonts w:ascii="楷体" w:hAnsi="楷体" w:eastAsia="楷体" w:cs="楷体"/>
          <w:b/>
          <w:bCs/>
          <w:spacing w:val="10"/>
          <w:sz w:val="20"/>
          <w:szCs w:val="20"/>
        </w:rPr>
        <w:t>4)内部收益率法</w:t>
      </w:r>
    </w:p>
    <w:p w14:paraId="050D0602">
      <w:pPr>
        <w:pStyle w:val="2"/>
        <w:spacing w:before="61" w:line="278" w:lineRule="auto"/>
        <w:ind w:right="283" w:firstLine="399"/>
        <w:jc w:val="both"/>
        <w:rPr>
          <w:sz w:val="20"/>
          <w:szCs w:val="20"/>
        </w:rPr>
      </w:pPr>
      <w:r>
        <w:rPr>
          <w:spacing w:val="3"/>
          <w:sz w:val="20"/>
          <w:szCs w:val="20"/>
        </w:rPr>
        <w:t>内部收益率法是目前国内外广泛采用的一种经济评价方法，根据内部收益率指标的大小对</w:t>
      </w:r>
      <w:r>
        <w:rPr>
          <w:spacing w:val="10"/>
          <w:sz w:val="20"/>
          <w:szCs w:val="20"/>
        </w:rPr>
        <w:t xml:space="preserve"> </w:t>
      </w:r>
      <w:r>
        <w:rPr>
          <w:spacing w:val="3"/>
          <w:sz w:val="20"/>
          <w:szCs w:val="20"/>
        </w:rPr>
        <w:t>方案进行评价。内部收益率和净现值有密切关系，对一个技术方案来说，其净现值的大小与所</w:t>
      </w:r>
      <w:r>
        <w:rPr>
          <w:spacing w:val="2"/>
          <w:sz w:val="20"/>
          <w:szCs w:val="20"/>
        </w:rPr>
        <w:t xml:space="preserve"> </w:t>
      </w:r>
      <w:r>
        <w:rPr>
          <w:spacing w:val="-1"/>
          <w:sz w:val="20"/>
          <w:szCs w:val="20"/>
        </w:rPr>
        <w:t>选用的折现率有关。折现率愈小，净现值愈大；反之，折现率愈高，则净现值就愈小。</w:t>
      </w:r>
    </w:p>
    <w:p w14:paraId="450D990D">
      <w:pPr>
        <w:pStyle w:val="2"/>
        <w:spacing w:before="124" w:line="221" w:lineRule="auto"/>
        <w:ind w:left="402"/>
        <w:rPr>
          <w:rFonts w:ascii="黑体" w:hAnsi="黑体" w:eastAsia="黑体" w:cs="黑体"/>
          <w:sz w:val="20"/>
          <w:szCs w:val="20"/>
        </w:rPr>
      </w:pPr>
      <w:r>
        <w:rPr>
          <w:b/>
          <w:bCs/>
          <w:color w:val="0062C5"/>
          <w:spacing w:val="-3"/>
          <w:sz w:val="20"/>
          <w:szCs w:val="20"/>
        </w:rPr>
        <w:t>3.</w:t>
      </w:r>
      <w:r>
        <w:rPr>
          <w:rFonts w:ascii="黑体" w:hAnsi="黑体" w:eastAsia="黑体" w:cs="黑体"/>
          <w:b/>
          <w:bCs/>
          <w:color w:val="0062C5"/>
          <w:spacing w:val="-3"/>
          <w:sz w:val="20"/>
          <w:szCs w:val="20"/>
        </w:rPr>
        <w:t>多方案经济评价的可比性</w:t>
      </w:r>
    </w:p>
    <w:p w14:paraId="1797FDEC">
      <w:pPr>
        <w:pStyle w:val="2"/>
        <w:spacing w:before="124" w:line="283" w:lineRule="auto"/>
        <w:ind w:right="191" w:firstLine="399"/>
        <w:jc w:val="both"/>
        <w:rPr>
          <w:sz w:val="20"/>
          <w:szCs w:val="20"/>
        </w:rPr>
      </w:pPr>
      <w:r>
        <w:rPr>
          <w:spacing w:val="3"/>
          <w:sz w:val="20"/>
          <w:szCs w:val="20"/>
        </w:rPr>
        <w:t>在项目设计中往往可以提出许多不同的设计方案，这些方案可以采用不同的技术、开发与</w:t>
      </w:r>
      <w:r>
        <w:rPr>
          <w:spacing w:val="9"/>
          <w:sz w:val="20"/>
          <w:szCs w:val="20"/>
        </w:rPr>
        <w:t xml:space="preserve">  </w:t>
      </w:r>
      <w:r>
        <w:rPr>
          <w:spacing w:val="3"/>
          <w:sz w:val="20"/>
          <w:szCs w:val="20"/>
        </w:rPr>
        <w:t>实施方法、设备等。当这些设计方案在技术上都是可行的，经济上也合理时，就要通过经济分</w:t>
      </w:r>
      <w:r>
        <w:rPr>
          <w:spacing w:val="2"/>
          <w:sz w:val="20"/>
          <w:szCs w:val="20"/>
        </w:rPr>
        <w:t xml:space="preserve">  </w:t>
      </w:r>
      <w:r>
        <w:rPr>
          <w:spacing w:val="3"/>
          <w:sz w:val="20"/>
          <w:szCs w:val="20"/>
        </w:rPr>
        <w:t>析从中选出最佳的方案。但是不同的方案必须具备一定的可比条件，如满足需求可比、时间因</w:t>
      </w:r>
      <w:r>
        <w:rPr>
          <w:spacing w:val="16"/>
          <w:sz w:val="20"/>
          <w:szCs w:val="20"/>
        </w:rPr>
        <w:t xml:space="preserve"> </w:t>
      </w:r>
      <w:r>
        <w:rPr>
          <w:spacing w:val="3"/>
          <w:sz w:val="20"/>
          <w:szCs w:val="20"/>
        </w:rPr>
        <w:t>素可比、价格指标可比和消耗费用可比。满足需求可比是指项目的质量、进度、类型完全一样</w:t>
      </w:r>
      <w:r>
        <w:rPr>
          <w:spacing w:val="2"/>
          <w:sz w:val="20"/>
          <w:szCs w:val="20"/>
        </w:rPr>
        <w:t xml:space="preserve">  </w:t>
      </w:r>
      <w:r>
        <w:rPr>
          <w:spacing w:val="3"/>
          <w:sz w:val="20"/>
          <w:szCs w:val="20"/>
        </w:rPr>
        <w:t>或基本相似，在对比时应用一致的指标，如单位项目投资额、单位项目年运营费。价格指标可</w:t>
      </w:r>
      <w:r>
        <w:rPr>
          <w:spacing w:val="2"/>
          <w:sz w:val="20"/>
          <w:szCs w:val="20"/>
        </w:rPr>
        <w:t xml:space="preserve">  </w:t>
      </w:r>
      <w:r>
        <w:rPr>
          <w:spacing w:val="3"/>
          <w:sz w:val="20"/>
          <w:szCs w:val="20"/>
        </w:rPr>
        <w:t>比是因为无论是投入的费用还是产出的效益，都要借助于价格进行计算。消耗费用可比性是指</w:t>
      </w:r>
      <w:r>
        <w:rPr>
          <w:spacing w:val="4"/>
          <w:sz w:val="20"/>
          <w:szCs w:val="20"/>
        </w:rPr>
        <w:t xml:space="preserve">  </w:t>
      </w:r>
      <w:r>
        <w:rPr>
          <w:spacing w:val="5"/>
          <w:sz w:val="20"/>
          <w:szCs w:val="20"/>
        </w:rPr>
        <w:t>在计算比较费用的指标时，必须考虑有关的费用，各种费用计算必须采用统一的原则和方法。</w:t>
      </w:r>
      <w:r>
        <w:rPr>
          <w:spacing w:val="14"/>
          <w:sz w:val="20"/>
          <w:szCs w:val="20"/>
        </w:rPr>
        <w:t xml:space="preserve"> </w:t>
      </w:r>
      <w:r>
        <w:rPr>
          <w:spacing w:val="3"/>
          <w:sz w:val="20"/>
          <w:szCs w:val="20"/>
        </w:rPr>
        <w:t>目前国内常用的设计方案、技术方案的经济计算方法主要有：不考虑时间价值的追加成本回收</w:t>
      </w:r>
      <w:r>
        <w:rPr>
          <w:spacing w:val="1"/>
          <w:sz w:val="20"/>
          <w:szCs w:val="20"/>
        </w:rPr>
        <w:t xml:space="preserve">  </w:t>
      </w:r>
      <w:r>
        <w:rPr>
          <w:spacing w:val="-1"/>
          <w:sz w:val="20"/>
          <w:szCs w:val="20"/>
        </w:rPr>
        <w:t>期与计算费用法；考虑时间价值的年成本法、净现值法和</w:t>
      </w:r>
      <w:r>
        <w:rPr>
          <w:spacing w:val="-2"/>
          <w:sz w:val="20"/>
          <w:szCs w:val="20"/>
        </w:rPr>
        <w:t>内部收益率法。</w:t>
      </w:r>
    </w:p>
    <w:p w14:paraId="7FD0BD7D">
      <w:pPr>
        <w:spacing w:before="89" w:line="224" w:lineRule="auto"/>
        <w:ind w:left="399"/>
        <w:rPr>
          <w:rFonts w:ascii="楷体" w:hAnsi="楷体" w:eastAsia="楷体" w:cs="楷体"/>
          <w:sz w:val="20"/>
          <w:szCs w:val="20"/>
        </w:rPr>
      </w:pPr>
      <w:r>
        <w:rPr>
          <w:rFonts w:ascii="楷体" w:hAnsi="楷体" w:eastAsia="楷体" w:cs="楷体"/>
          <w:spacing w:val="5"/>
          <w:sz w:val="20"/>
          <w:szCs w:val="20"/>
        </w:rPr>
        <w:t>1)追加成本回收期与计算费用法</w:t>
      </w:r>
    </w:p>
    <w:p w14:paraId="32E7BD0F">
      <w:pPr>
        <w:pStyle w:val="2"/>
        <w:spacing w:before="58" w:line="212" w:lineRule="auto"/>
        <w:ind w:left="399"/>
        <w:rPr>
          <w:sz w:val="20"/>
          <w:szCs w:val="20"/>
        </w:rPr>
      </w:pPr>
      <w:r>
        <w:rPr>
          <w:spacing w:val="3"/>
          <w:sz w:val="20"/>
          <w:szCs w:val="20"/>
        </w:rPr>
        <w:t>追加成本回收期(△</w:t>
      </w:r>
      <w:r>
        <w:rPr>
          <w:rFonts w:ascii="Times New Roman" w:hAnsi="Times New Roman" w:eastAsia="Times New Roman" w:cs="Times New Roman"/>
          <w:spacing w:val="3"/>
          <w:sz w:val="20"/>
          <w:szCs w:val="20"/>
        </w:rPr>
        <w:t>T)</w:t>
      </w:r>
      <w:r>
        <w:rPr>
          <w:rFonts w:ascii="Times New Roman" w:hAnsi="Times New Roman" w:eastAsia="Times New Roman" w:cs="Times New Roman"/>
          <w:spacing w:val="18"/>
          <w:w w:val="101"/>
          <w:sz w:val="20"/>
          <w:szCs w:val="20"/>
        </w:rPr>
        <w:t xml:space="preserve">  </w:t>
      </w:r>
      <w:r>
        <w:rPr>
          <w:spacing w:val="3"/>
          <w:sz w:val="20"/>
          <w:szCs w:val="20"/>
        </w:rPr>
        <w:t>是一个相对经济效果指标，</w:t>
      </w:r>
      <w:r>
        <w:rPr>
          <w:spacing w:val="2"/>
          <w:sz w:val="20"/>
          <w:szCs w:val="20"/>
        </w:rPr>
        <w:t>是指两个方案比较时，用成本大的方案</w:t>
      </w:r>
    </w:p>
    <w:p w14:paraId="4C0824DB">
      <w:pPr>
        <w:spacing w:line="212" w:lineRule="auto"/>
        <w:rPr>
          <w:sz w:val="20"/>
          <w:szCs w:val="20"/>
        </w:rPr>
        <w:sectPr>
          <w:pgSz w:w="10290" w:h="13300"/>
          <w:pgMar w:top="400" w:right="568" w:bottom="400" w:left="1109" w:header="0" w:footer="0" w:gutter="0"/>
          <w:cols w:space="720" w:num="1"/>
        </w:sectPr>
      </w:pPr>
    </w:p>
    <w:p w14:paraId="4E1F6C00">
      <w:pPr>
        <w:pStyle w:val="2"/>
        <w:spacing w:before="98" w:line="219" w:lineRule="auto"/>
        <w:rPr>
          <w:sz w:val="20"/>
          <w:szCs w:val="20"/>
        </w:rPr>
      </w:pPr>
      <w:r>
        <w:rPr>
          <w:rFonts w:ascii="Times New Roman" w:hAnsi="Times New Roman" w:eastAsia="Times New Roman" w:cs="Times New Roman"/>
          <w:b/>
          <w:bCs/>
          <w:spacing w:val="-1"/>
          <w:sz w:val="17"/>
          <w:szCs w:val="17"/>
        </w:rPr>
        <w:t xml:space="preserve">284                 </w:t>
      </w:r>
      <w:r>
        <w:rPr>
          <w:spacing w:val="-1"/>
          <w:sz w:val="20"/>
          <w:szCs w:val="20"/>
        </w:rPr>
        <w:t>信息系统</w:t>
      </w:r>
      <w:r>
        <w:rPr>
          <w:spacing w:val="-2"/>
          <w:sz w:val="20"/>
          <w:szCs w:val="20"/>
        </w:rPr>
        <w:t>监理师教程(第2版)</w:t>
      </w:r>
    </w:p>
    <w:p w14:paraId="152E877F">
      <w:pPr>
        <w:spacing w:line="305" w:lineRule="auto"/>
        <w:rPr>
          <w:rFonts w:ascii="Arial"/>
          <w:sz w:val="21"/>
        </w:rPr>
      </w:pPr>
    </w:p>
    <w:p w14:paraId="2F39D051">
      <w:pPr>
        <w:pStyle w:val="2"/>
        <w:spacing w:before="65" w:line="290" w:lineRule="auto"/>
        <w:ind w:left="329" w:right="70"/>
        <w:rPr>
          <w:sz w:val="20"/>
          <w:szCs w:val="20"/>
        </w:rPr>
      </w:pPr>
      <w:r>
        <w:rPr>
          <w:spacing w:val="3"/>
          <w:sz w:val="20"/>
          <w:szCs w:val="20"/>
        </w:rPr>
        <w:t>年经营费的节约额，抵偿追加成本所需要的时间。当△</w:t>
      </w:r>
      <w:r>
        <w:rPr>
          <w:rFonts w:ascii="Times New Roman" w:hAnsi="Times New Roman" w:eastAsia="Times New Roman" w:cs="Times New Roman"/>
          <w:spacing w:val="3"/>
          <w:sz w:val="20"/>
          <w:szCs w:val="20"/>
        </w:rPr>
        <w:t>T</w:t>
      </w:r>
      <w:r>
        <w:rPr>
          <w:rFonts w:ascii="Times New Roman" w:hAnsi="Times New Roman" w:eastAsia="Times New Roman" w:cs="Times New Roman"/>
          <w:spacing w:val="24"/>
          <w:sz w:val="20"/>
          <w:szCs w:val="20"/>
        </w:rPr>
        <w:t xml:space="preserve"> </w:t>
      </w:r>
      <w:r>
        <w:rPr>
          <w:spacing w:val="3"/>
          <w:sz w:val="20"/>
          <w:szCs w:val="20"/>
        </w:rPr>
        <w:t>小于或等于标准成本回收期时，则认</w:t>
      </w:r>
      <w:r>
        <w:rPr>
          <w:sz w:val="20"/>
          <w:szCs w:val="20"/>
        </w:rPr>
        <w:t xml:space="preserve"> </w:t>
      </w:r>
      <w:r>
        <w:rPr>
          <w:spacing w:val="-3"/>
          <w:sz w:val="20"/>
          <w:szCs w:val="20"/>
        </w:rPr>
        <w:t>为成本大的方案为优，反之则成本小的方案为优。</w:t>
      </w:r>
    </w:p>
    <w:p w14:paraId="392531DD">
      <w:pPr>
        <w:pStyle w:val="2"/>
        <w:spacing w:before="1" w:line="291" w:lineRule="auto"/>
        <w:ind w:left="329" w:right="71" w:firstLine="410"/>
        <w:rPr>
          <w:sz w:val="20"/>
          <w:szCs w:val="20"/>
        </w:rPr>
      </w:pPr>
      <w:r>
        <w:rPr>
          <w:spacing w:val="3"/>
          <w:sz w:val="20"/>
          <w:szCs w:val="20"/>
        </w:rPr>
        <w:t>计算费用法是很多个方案不考虑时间价值时进行经济比较常用的方</w:t>
      </w:r>
      <w:r>
        <w:rPr>
          <w:spacing w:val="2"/>
          <w:sz w:val="20"/>
          <w:szCs w:val="20"/>
        </w:rPr>
        <w:t>法。年计算费用是指年</w:t>
      </w:r>
      <w:r>
        <w:rPr>
          <w:sz w:val="20"/>
          <w:szCs w:val="20"/>
        </w:rPr>
        <w:t xml:space="preserve"> </w:t>
      </w:r>
      <w:r>
        <w:rPr>
          <w:spacing w:val="-2"/>
          <w:sz w:val="20"/>
          <w:szCs w:val="20"/>
        </w:rPr>
        <w:t>生产成本与按标准成本效果系数换算的年成本费用总额。</w:t>
      </w:r>
    </w:p>
    <w:p w14:paraId="00114D3A">
      <w:pPr>
        <w:spacing w:before="97" w:line="225" w:lineRule="auto"/>
        <w:ind w:left="739"/>
        <w:rPr>
          <w:rFonts w:ascii="楷体" w:hAnsi="楷体" w:eastAsia="楷体" w:cs="楷体"/>
          <w:sz w:val="20"/>
          <w:szCs w:val="20"/>
        </w:rPr>
      </w:pPr>
      <w:r>
        <w:rPr>
          <w:rFonts w:ascii="楷体" w:hAnsi="楷体" w:eastAsia="楷体" w:cs="楷体"/>
          <w:spacing w:val="17"/>
          <w:sz w:val="20"/>
          <w:szCs w:val="20"/>
        </w:rPr>
        <w:t>2)年成本法</w:t>
      </w:r>
    </w:p>
    <w:p w14:paraId="47283633">
      <w:pPr>
        <w:pStyle w:val="2"/>
        <w:spacing w:before="77" w:line="279" w:lineRule="auto"/>
        <w:ind w:left="329" w:right="30" w:firstLine="410"/>
        <w:rPr>
          <w:sz w:val="20"/>
          <w:szCs w:val="20"/>
        </w:rPr>
      </w:pPr>
      <w:r>
        <w:rPr>
          <w:spacing w:val="4"/>
          <w:sz w:val="20"/>
          <w:szCs w:val="20"/>
        </w:rPr>
        <w:t>年成本法是在年产量相同的条件下简易而有效的一种方案比较方法。这种</w:t>
      </w:r>
      <w:r>
        <w:rPr>
          <w:spacing w:val="3"/>
          <w:sz w:val="20"/>
          <w:szCs w:val="20"/>
        </w:rPr>
        <w:t>方法是把各方案</w:t>
      </w:r>
      <w:r>
        <w:rPr>
          <w:sz w:val="20"/>
          <w:szCs w:val="20"/>
        </w:rPr>
        <w:t xml:space="preserve"> </w:t>
      </w:r>
      <w:r>
        <w:rPr>
          <w:spacing w:val="8"/>
          <w:sz w:val="20"/>
          <w:szCs w:val="20"/>
        </w:rPr>
        <w:t>中项目的寿命期内的现金支出(成本、年经营费、残值)按基准收益率</w:t>
      </w:r>
      <w:r>
        <w:rPr>
          <w:spacing w:val="7"/>
          <w:sz w:val="20"/>
          <w:szCs w:val="20"/>
        </w:rPr>
        <w:t>折算成等值的等额年成</w:t>
      </w:r>
      <w:r>
        <w:rPr>
          <w:sz w:val="20"/>
          <w:szCs w:val="20"/>
        </w:rPr>
        <w:t xml:space="preserve"> </w:t>
      </w:r>
      <w:r>
        <w:rPr>
          <w:spacing w:val="3"/>
          <w:sz w:val="20"/>
          <w:szCs w:val="20"/>
        </w:rPr>
        <w:t>本，然后进行比较，年成本最小的方案为优选方案。用这种方法进行对设计方案的成本控</w:t>
      </w:r>
      <w:r>
        <w:rPr>
          <w:spacing w:val="2"/>
          <w:sz w:val="20"/>
          <w:szCs w:val="20"/>
        </w:rPr>
        <w:t>制比</w:t>
      </w:r>
      <w:r>
        <w:rPr>
          <w:sz w:val="20"/>
          <w:szCs w:val="20"/>
        </w:rPr>
        <w:t xml:space="preserve"> </w:t>
      </w:r>
      <w:r>
        <w:rPr>
          <w:spacing w:val="-2"/>
          <w:sz w:val="20"/>
          <w:szCs w:val="20"/>
        </w:rPr>
        <w:t>较适用于市场经济体制下考虑资金时间价值</w:t>
      </w:r>
      <w:r>
        <w:rPr>
          <w:spacing w:val="-3"/>
          <w:sz w:val="20"/>
          <w:szCs w:val="20"/>
        </w:rPr>
        <w:t>时的方案优选。</w:t>
      </w:r>
    </w:p>
    <w:p w14:paraId="74E8EDF5">
      <w:pPr>
        <w:spacing w:before="130" w:line="225" w:lineRule="auto"/>
        <w:ind w:left="739"/>
        <w:rPr>
          <w:rFonts w:ascii="楷体" w:hAnsi="楷体" w:eastAsia="楷体" w:cs="楷体"/>
          <w:sz w:val="20"/>
          <w:szCs w:val="20"/>
        </w:rPr>
      </w:pPr>
      <w:r>
        <w:rPr>
          <w:rFonts w:ascii="楷体" w:hAnsi="楷体" w:eastAsia="楷体" w:cs="楷体"/>
          <w:spacing w:val="8"/>
          <w:sz w:val="20"/>
          <w:szCs w:val="20"/>
        </w:rPr>
        <w:t>3)追加成本净现值法</w:t>
      </w:r>
    </w:p>
    <w:p w14:paraId="7FF2D204">
      <w:pPr>
        <w:pStyle w:val="2"/>
        <w:spacing w:before="56" w:line="281" w:lineRule="auto"/>
        <w:ind w:left="329" w:right="71" w:firstLine="410"/>
        <w:rPr>
          <w:sz w:val="20"/>
          <w:szCs w:val="20"/>
        </w:rPr>
      </w:pPr>
      <w:r>
        <w:rPr>
          <w:spacing w:val="2"/>
          <w:sz w:val="20"/>
          <w:szCs w:val="20"/>
        </w:rPr>
        <w:t>当评选的两个方案均可行而计算经济效果进行优选时，如果第二方案的成本大于第一方案</w:t>
      </w:r>
      <w:r>
        <w:rPr>
          <w:spacing w:val="11"/>
          <w:sz w:val="20"/>
          <w:szCs w:val="20"/>
        </w:rPr>
        <w:t xml:space="preserve"> </w:t>
      </w:r>
      <w:r>
        <w:rPr>
          <w:spacing w:val="5"/>
          <w:sz w:val="20"/>
          <w:szCs w:val="20"/>
        </w:rPr>
        <w:t>(这部分称为追加成本),就需要考虑这一部分追加成本在经济上是否更合算，把两个方案现金</w:t>
      </w:r>
      <w:r>
        <w:rPr>
          <w:spacing w:val="7"/>
          <w:sz w:val="20"/>
          <w:szCs w:val="20"/>
        </w:rPr>
        <w:t xml:space="preserve"> </w:t>
      </w:r>
      <w:r>
        <w:rPr>
          <w:spacing w:val="3"/>
          <w:sz w:val="20"/>
          <w:szCs w:val="20"/>
        </w:rPr>
        <w:t>流量之差的净现值称为追加成本净现值(或差额成本净现值)。如果追加成</w:t>
      </w:r>
      <w:r>
        <w:rPr>
          <w:spacing w:val="2"/>
          <w:sz w:val="20"/>
          <w:szCs w:val="20"/>
        </w:rPr>
        <w:t>本而增加的收益按基</w:t>
      </w:r>
      <w:r>
        <w:rPr>
          <w:sz w:val="20"/>
          <w:szCs w:val="20"/>
        </w:rPr>
        <w:t xml:space="preserve"> </w:t>
      </w:r>
      <w:r>
        <w:rPr>
          <w:spacing w:val="3"/>
          <w:sz w:val="20"/>
          <w:szCs w:val="20"/>
        </w:rPr>
        <w:t>准收益率折现后的现值大于追加成本的折现值，即追加成本净现值大于零，则</w:t>
      </w:r>
      <w:r>
        <w:rPr>
          <w:spacing w:val="2"/>
          <w:sz w:val="20"/>
          <w:szCs w:val="20"/>
        </w:rPr>
        <w:t>成本大的方案从</w:t>
      </w:r>
      <w:r>
        <w:rPr>
          <w:sz w:val="20"/>
          <w:szCs w:val="20"/>
        </w:rPr>
        <w:t xml:space="preserve"> </w:t>
      </w:r>
      <w:r>
        <w:rPr>
          <w:spacing w:val="-2"/>
          <w:sz w:val="20"/>
          <w:szCs w:val="20"/>
        </w:rPr>
        <w:t>整个时间看比成本小的方案经济，说明追加</w:t>
      </w:r>
      <w:r>
        <w:rPr>
          <w:spacing w:val="-3"/>
          <w:sz w:val="20"/>
          <w:szCs w:val="20"/>
        </w:rPr>
        <w:t>成本是合算的。</w:t>
      </w:r>
    </w:p>
    <w:p w14:paraId="43173497">
      <w:pPr>
        <w:pStyle w:val="2"/>
        <w:spacing w:before="48" w:line="278" w:lineRule="auto"/>
        <w:ind w:left="329" w:right="65" w:firstLine="410"/>
        <w:rPr>
          <w:sz w:val="20"/>
          <w:szCs w:val="20"/>
        </w:rPr>
      </w:pPr>
      <w:r>
        <w:rPr>
          <w:spacing w:val="3"/>
          <w:sz w:val="20"/>
          <w:szCs w:val="20"/>
        </w:rPr>
        <w:t>追加成本净现值法的实质就在于此。由此可知，作为监理工程师，在</w:t>
      </w:r>
      <w:r>
        <w:rPr>
          <w:spacing w:val="2"/>
          <w:sz w:val="20"/>
          <w:szCs w:val="20"/>
        </w:rPr>
        <w:t>控制成本和评价方案</w:t>
      </w:r>
      <w:r>
        <w:rPr>
          <w:sz w:val="20"/>
          <w:szCs w:val="20"/>
        </w:rPr>
        <w:t xml:space="preserve"> </w:t>
      </w:r>
      <w:r>
        <w:rPr>
          <w:spacing w:val="3"/>
          <w:sz w:val="20"/>
          <w:szCs w:val="20"/>
        </w:rPr>
        <w:t>优劣时，要做到公正合理，并非只选用初期成本小的方案，而应当用追加成本净现值法对多种</w:t>
      </w:r>
      <w:r>
        <w:rPr>
          <w:sz w:val="20"/>
          <w:szCs w:val="20"/>
        </w:rPr>
        <w:t xml:space="preserve"> </w:t>
      </w:r>
      <w:r>
        <w:rPr>
          <w:spacing w:val="-3"/>
          <w:sz w:val="20"/>
          <w:szCs w:val="20"/>
        </w:rPr>
        <w:t>方案做出比较，再行择优选用。</w:t>
      </w:r>
    </w:p>
    <w:p w14:paraId="22CED030">
      <w:pPr>
        <w:spacing w:before="126" w:line="224" w:lineRule="auto"/>
        <w:ind w:left="739"/>
        <w:rPr>
          <w:rFonts w:ascii="楷体" w:hAnsi="楷体" w:eastAsia="楷体" w:cs="楷体"/>
          <w:sz w:val="20"/>
          <w:szCs w:val="20"/>
        </w:rPr>
      </w:pPr>
      <w:r>
        <w:rPr>
          <w:rFonts w:ascii="楷体" w:hAnsi="楷体" w:eastAsia="楷体" w:cs="楷体"/>
          <w:spacing w:val="7"/>
          <w:sz w:val="20"/>
          <w:szCs w:val="20"/>
        </w:rPr>
        <w:t>4)追加成本内部收益率法</w:t>
      </w:r>
    </w:p>
    <w:p w14:paraId="4F1BC9FF">
      <w:pPr>
        <w:pStyle w:val="2"/>
        <w:spacing w:before="60" w:line="299" w:lineRule="auto"/>
        <w:ind w:left="329" w:right="60" w:firstLine="410"/>
        <w:rPr>
          <w:sz w:val="17"/>
          <w:szCs w:val="17"/>
        </w:rPr>
      </w:pPr>
      <w:r>
        <w:rPr>
          <w:spacing w:val="3"/>
          <w:sz w:val="20"/>
          <w:szCs w:val="20"/>
        </w:rPr>
        <w:t>这是在方案经济比较中重要的方法之一。追加成本内部收益率是指两个对比方案净现金流</w:t>
      </w:r>
      <w:r>
        <w:rPr>
          <w:spacing w:val="1"/>
          <w:sz w:val="20"/>
          <w:szCs w:val="20"/>
        </w:rPr>
        <w:t xml:space="preserve"> </w:t>
      </w:r>
      <w:r>
        <w:rPr>
          <w:spacing w:val="3"/>
          <w:sz w:val="20"/>
          <w:szCs w:val="20"/>
        </w:rPr>
        <w:t>量之差的各年折现值之和等于零时的折现率。采用此法进行方案比较时，如果计算</w:t>
      </w:r>
      <w:r>
        <w:rPr>
          <w:spacing w:val="2"/>
          <w:sz w:val="20"/>
          <w:szCs w:val="20"/>
        </w:rPr>
        <w:t>出的追加成</w:t>
      </w:r>
      <w:r>
        <w:rPr>
          <w:sz w:val="20"/>
          <w:szCs w:val="20"/>
        </w:rPr>
        <w:t xml:space="preserve"> </w:t>
      </w:r>
      <w:r>
        <w:rPr>
          <w:spacing w:val="3"/>
          <w:sz w:val="20"/>
          <w:szCs w:val="20"/>
        </w:rPr>
        <w:t>本内部收益率大于或等于基准收益率时，则成本大的方案比较经济，反之则成本</w:t>
      </w:r>
      <w:r>
        <w:rPr>
          <w:spacing w:val="2"/>
          <w:sz w:val="20"/>
          <w:szCs w:val="20"/>
        </w:rPr>
        <w:t>小的方案比较</w:t>
      </w:r>
      <w:r>
        <w:rPr>
          <w:sz w:val="20"/>
          <w:szCs w:val="20"/>
        </w:rPr>
        <w:t xml:space="preserve"> </w:t>
      </w:r>
      <w:r>
        <w:rPr>
          <w:spacing w:val="-6"/>
          <w:sz w:val="17"/>
          <w:szCs w:val="17"/>
        </w:rPr>
        <w:t>经</w:t>
      </w:r>
      <w:r>
        <w:rPr>
          <w:spacing w:val="-23"/>
          <w:sz w:val="17"/>
          <w:szCs w:val="17"/>
        </w:rPr>
        <w:t xml:space="preserve"> </w:t>
      </w:r>
      <w:r>
        <w:rPr>
          <w:spacing w:val="-6"/>
          <w:sz w:val="17"/>
          <w:szCs w:val="17"/>
        </w:rPr>
        <w:t>济</w:t>
      </w:r>
      <w:r>
        <w:rPr>
          <w:spacing w:val="-31"/>
          <w:sz w:val="17"/>
          <w:szCs w:val="17"/>
        </w:rPr>
        <w:t xml:space="preserve"> </w:t>
      </w:r>
      <w:r>
        <w:rPr>
          <w:spacing w:val="-6"/>
          <w:sz w:val="17"/>
          <w:szCs w:val="17"/>
        </w:rPr>
        <w:t>。</w:t>
      </w:r>
    </w:p>
    <w:p w14:paraId="0F8CD2D5">
      <w:pPr>
        <w:pStyle w:val="2"/>
        <w:spacing w:before="182" w:line="219" w:lineRule="auto"/>
        <w:ind w:left="332"/>
        <w:rPr>
          <w:sz w:val="25"/>
          <w:szCs w:val="25"/>
        </w:rPr>
      </w:pPr>
      <w:r>
        <w:rPr>
          <w:b/>
          <w:bCs/>
          <w:color w:val="006BD7"/>
          <w:spacing w:val="-17"/>
          <w:sz w:val="25"/>
          <w:szCs w:val="25"/>
        </w:rPr>
        <w:t>12.3.3</w:t>
      </w:r>
      <w:r>
        <w:rPr>
          <w:color w:val="006BD7"/>
          <w:spacing w:val="104"/>
          <w:sz w:val="25"/>
          <w:szCs w:val="25"/>
        </w:rPr>
        <w:t xml:space="preserve"> </w:t>
      </w:r>
      <w:r>
        <w:rPr>
          <w:b/>
          <w:bCs/>
          <w:color w:val="006BD7"/>
          <w:spacing w:val="-17"/>
          <w:sz w:val="25"/>
          <w:szCs w:val="25"/>
        </w:rPr>
        <w:t>投资控制的技术和方法</w:t>
      </w:r>
    </w:p>
    <w:p w14:paraId="04E34CC0">
      <w:pPr>
        <w:pStyle w:val="2"/>
        <w:spacing w:before="153" w:line="291" w:lineRule="auto"/>
        <w:ind w:left="329" w:firstLine="410"/>
        <w:rPr>
          <w:sz w:val="20"/>
          <w:szCs w:val="20"/>
        </w:rPr>
      </w:pPr>
      <w:r>
        <w:rPr>
          <w:sz w:val="20"/>
          <w:szCs w:val="20"/>
        </w:rPr>
        <w:t>对于信息系统工程建设项目的成本控制，仅</w:t>
      </w:r>
      <w:r>
        <w:rPr>
          <w:spacing w:val="-1"/>
          <w:sz w:val="20"/>
          <w:szCs w:val="20"/>
        </w:rPr>
        <w:t>依靠经验、直觉、审查的手段不利于纠正偏差，</w:t>
      </w:r>
      <w:r>
        <w:rPr>
          <w:sz w:val="20"/>
          <w:szCs w:val="20"/>
        </w:rPr>
        <w:t xml:space="preserve"> </w:t>
      </w:r>
      <w:r>
        <w:rPr>
          <w:spacing w:val="-1"/>
          <w:sz w:val="20"/>
          <w:szCs w:val="20"/>
        </w:rPr>
        <w:t>还需要掌握一些专业技术和方法，只有这样才能更有效地做好成本控制工</w:t>
      </w:r>
      <w:r>
        <w:rPr>
          <w:spacing w:val="-2"/>
          <w:sz w:val="20"/>
          <w:szCs w:val="20"/>
        </w:rPr>
        <w:t>作。</w:t>
      </w:r>
    </w:p>
    <w:p w14:paraId="39D5D8F6">
      <w:pPr>
        <w:pStyle w:val="2"/>
        <w:spacing w:before="88" w:line="222" w:lineRule="auto"/>
        <w:ind w:left="742"/>
        <w:rPr>
          <w:sz w:val="20"/>
          <w:szCs w:val="20"/>
        </w:rPr>
      </w:pPr>
      <w:r>
        <w:rPr>
          <w:b/>
          <w:bCs/>
          <w:color w:val="005DBB"/>
          <w:spacing w:val="-1"/>
          <w:sz w:val="20"/>
          <w:szCs w:val="20"/>
        </w:rPr>
        <w:t>1.</w:t>
      </w:r>
      <w:r>
        <w:rPr>
          <w:rFonts w:ascii="黑体" w:hAnsi="黑体" w:eastAsia="黑体" w:cs="黑体"/>
          <w:b/>
          <w:bCs/>
          <w:color w:val="005DBB"/>
          <w:spacing w:val="-1"/>
          <w:sz w:val="20"/>
          <w:szCs w:val="20"/>
        </w:rPr>
        <w:t>挣值分析</w:t>
      </w:r>
      <w:r>
        <w:rPr>
          <w:b/>
          <w:bCs/>
          <w:color w:val="005DBB"/>
          <w:spacing w:val="-1"/>
          <w:sz w:val="20"/>
          <w:szCs w:val="20"/>
        </w:rPr>
        <w:t>(EVA)</w:t>
      </w:r>
    </w:p>
    <w:p w14:paraId="39BDB579">
      <w:pPr>
        <w:pStyle w:val="2"/>
        <w:spacing w:before="153" w:line="270" w:lineRule="auto"/>
        <w:ind w:left="329" w:right="44" w:firstLine="410"/>
        <w:jc w:val="both"/>
        <w:rPr>
          <w:sz w:val="20"/>
          <w:szCs w:val="20"/>
        </w:rPr>
      </w:pPr>
      <w:r>
        <w:rPr>
          <w:spacing w:val="3"/>
          <w:sz w:val="20"/>
          <w:szCs w:val="20"/>
        </w:rPr>
        <w:t>挣值分析法将实际进度和成本绩效与绩效测量基准进行比较。这一方法是项目投资控制的</w:t>
      </w:r>
      <w:r>
        <w:rPr>
          <w:spacing w:val="17"/>
          <w:sz w:val="20"/>
          <w:szCs w:val="20"/>
        </w:rPr>
        <w:t xml:space="preserve"> </w:t>
      </w:r>
      <w:r>
        <w:rPr>
          <w:spacing w:val="5"/>
          <w:sz w:val="20"/>
          <w:szCs w:val="20"/>
        </w:rPr>
        <w:t>重要方法，其基本思想就是通过引进中间变量(挣值),来帮助项目管理者分析项目的成本和工</w:t>
      </w:r>
      <w:r>
        <w:rPr>
          <w:spacing w:val="9"/>
          <w:sz w:val="20"/>
          <w:szCs w:val="20"/>
        </w:rPr>
        <w:t xml:space="preserve"> </w:t>
      </w:r>
      <w:r>
        <w:rPr>
          <w:spacing w:val="3"/>
          <w:sz w:val="20"/>
          <w:szCs w:val="20"/>
        </w:rPr>
        <w:t>期的变动情况，并给出相应的信息，以便他们能够对项目成本的发展趋势做出科学的预测与判</w:t>
      </w:r>
      <w:r>
        <w:rPr>
          <w:sz w:val="20"/>
          <w:szCs w:val="20"/>
        </w:rPr>
        <w:t xml:space="preserve"> </w:t>
      </w:r>
      <w:r>
        <w:rPr>
          <w:spacing w:val="-4"/>
          <w:sz w:val="20"/>
          <w:szCs w:val="20"/>
        </w:rPr>
        <w:t>断，并提出相应的对策。</w:t>
      </w:r>
    </w:p>
    <w:p w14:paraId="09FB37CA">
      <w:pPr>
        <w:pStyle w:val="2"/>
        <w:spacing w:before="38" w:line="304" w:lineRule="auto"/>
        <w:ind w:left="329" w:right="51" w:firstLine="410"/>
        <w:rPr>
          <w:sz w:val="17"/>
          <w:szCs w:val="17"/>
        </w:rPr>
      </w:pPr>
      <w:r>
        <w:rPr>
          <w:spacing w:val="3"/>
          <w:sz w:val="20"/>
          <w:szCs w:val="20"/>
        </w:rPr>
        <w:t>挣值管理综合了项目范围、进度计划和资源，测量项目绩效，主要计算并监测以下三个关</w:t>
      </w:r>
      <w:r>
        <w:rPr>
          <w:spacing w:val="10"/>
          <w:sz w:val="20"/>
          <w:szCs w:val="20"/>
        </w:rPr>
        <w:t xml:space="preserve"> </w:t>
      </w:r>
      <w:r>
        <w:rPr>
          <w:spacing w:val="21"/>
          <w:sz w:val="17"/>
          <w:szCs w:val="17"/>
        </w:rPr>
        <w:t>键指标。</w:t>
      </w:r>
    </w:p>
    <w:p w14:paraId="3AE290B6">
      <w:pPr>
        <w:spacing w:before="85" w:line="229" w:lineRule="auto"/>
        <w:ind w:left="739"/>
        <w:rPr>
          <w:rFonts w:ascii="楷体" w:hAnsi="楷体" w:eastAsia="楷体" w:cs="楷体"/>
          <w:sz w:val="20"/>
          <w:szCs w:val="20"/>
        </w:rPr>
      </w:pPr>
      <w:r>
        <w:rPr>
          <w:rFonts w:ascii="楷体" w:hAnsi="楷体" w:eastAsia="楷体" w:cs="楷体"/>
          <w:spacing w:val="17"/>
          <w:sz w:val="20"/>
          <w:szCs w:val="20"/>
        </w:rPr>
        <w:t>1)计划价值</w:t>
      </w:r>
    </w:p>
    <w:p w14:paraId="09385CDA">
      <w:pPr>
        <w:pStyle w:val="2"/>
        <w:spacing w:before="67" w:line="218" w:lineRule="auto"/>
        <w:ind w:left="739"/>
        <w:rPr>
          <w:sz w:val="20"/>
          <w:szCs w:val="20"/>
        </w:rPr>
      </w:pPr>
      <w:r>
        <w:rPr>
          <w:spacing w:val="3"/>
          <w:sz w:val="20"/>
          <w:szCs w:val="20"/>
        </w:rPr>
        <w:t>计划价值(</w:t>
      </w:r>
      <w:r>
        <w:rPr>
          <w:sz w:val="20"/>
          <w:szCs w:val="20"/>
        </w:rPr>
        <w:t>PV</w:t>
      </w:r>
      <w:r>
        <w:rPr>
          <w:spacing w:val="3"/>
          <w:sz w:val="20"/>
          <w:szCs w:val="20"/>
        </w:rPr>
        <w:t>)</w:t>
      </w:r>
      <w:r>
        <w:rPr>
          <w:spacing w:val="6"/>
          <w:sz w:val="20"/>
          <w:szCs w:val="20"/>
        </w:rPr>
        <w:t xml:space="preserve">  </w:t>
      </w:r>
      <w:r>
        <w:rPr>
          <w:spacing w:val="3"/>
          <w:sz w:val="20"/>
          <w:szCs w:val="20"/>
        </w:rPr>
        <w:t>是为计划工作分配的经批准的预算，不包括管理储备。应该把该预算分配</w:t>
      </w:r>
    </w:p>
    <w:p w14:paraId="5B3E859D">
      <w:pPr>
        <w:spacing w:line="218" w:lineRule="auto"/>
        <w:rPr>
          <w:sz w:val="20"/>
          <w:szCs w:val="20"/>
        </w:rPr>
        <w:sectPr>
          <w:pgSz w:w="10300" w:h="13370"/>
          <w:pgMar w:top="400" w:right="1059" w:bottom="400" w:left="520" w:header="0" w:footer="0" w:gutter="0"/>
          <w:cols w:space="720" w:num="1"/>
        </w:sectPr>
      </w:pPr>
    </w:p>
    <w:p w14:paraId="7304D64F">
      <w:pPr>
        <w:pStyle w:val="2"/>
        <w:spacing w:before="77" w:line="201" w:lineRule="auto"/>
        <w:jc w:val="right"/>
        <w:rPr>
          <w:rFonts w:ascii="Times New Roman" w:hAnsi="Times New Roman" w:eastAsia="Times New Roman" w:cs="Times New Roman"/>
          <w:sz w:val="28"/>
          <w:szCs w:val="28"/>
        </w:rPr>
      </w:pPr>
      <w:bookmarkStart w:id="637" w:name="bookmark622"/>
      <w:bookmarkEnd w:id="637"/>
      <w:r>
        <w:rPr>
          <w:spacing w:val="-4"/>
          <w:sz w:val="20"/>
          <w:szCs w:val="20"/>
        </w:rPr>
        <w:t>第12章</w:t>
      </w:r>
      <w:r>
        <w:rPr>
          <w:spacing w:val="30"/>
          <w:sz w:val="20"/>
          <w:szCs w:val="20"/>
        </w:rPr>
        <w:t xml:space="preserve"> </w:t>
      </w:r>
      <w:r>
        <w:rPr>
          <w:spacing w:val="-4"/>
          <w:sz w:val="20"/>
          <w:szCs w:val="20"/>
        </w:rPr>
        <w:t>投资控制</w:t>
      </w:r>
      <w:r>
        <w:rPr>
          <w:spacing w:val="6"/>
          <w:sz w:val="20"/>
          <w:szCs w:val="20"/>
        </w:rPr>
        <w:t xml:space="preserve">     </w:t>
      </w:r>
      <w:r>
        <w:rPr>
          <w:rFonts w:ascii="Times New Roman" w:hAnsi="Times New Roman" w:eastAsia="Times New Roman" w:cs="Times New Roman"/>
          <w:color w:val="0091F2"/>
          <w:spacing w:val="-4"/>
          <w:position w:val="-2"/>
          <w:sz w:val="28"/>
          <w:szCs w:val="28"/>
        </w:rPr>
        <w:t xml:space="preserve">2 </w:t>
      </w:r>
      <w:r>
        <w:rPr>
          <w:rFonts w:ascii="Times New Roman" w:hAnsi="Times New Roman" w:eastAsia="Times New Roman" w:cs="Times New Roman"/>
          <w:spacing w:val="-4"/>
          <w:position w:val="-2"/>
          <w:sz w:val="28"/>
          <w:szCs w:val="28"/>
        </w:rPr>
        <w:t>85</w:t>
      </w:r>
    </w:p>
    <w:p w14:paraId="52379830">
      <w:pPr>
        <w:spacing w:line="261" w:lineRule="auto"/>
        <w:rPr>
          <w:rFonts w:ascii="Arial"/>
          <w:sz w:val="21"/>
        </w:rPr>
      </w:pPr>
    </w:p>
    <w:p w14:paraId="601AA16C">
      <w:pPr>
        <w:pStyle w:val="2"/>
        <w:spacing w:before="65" w:line="269" w:lineRule="auto"/>
        <w:ind w:right="435"/>
        <w:rPr>
          <w:sz w:val="20"/>
          <w:szCs w:val="20"/>
        </w:rPr>
      </w:pPr>
      <w:r>
        <w:rPr>
          <w:sz w:val="20"/>
          <w:szCs w:val="20"/>
        </w:rPr>
        <w:t>到项目生命周期的各个阶段。在某个给定的时间点，计划价值代表着应该已经完成的工作。</w:t>
      </w:r>
      <w:r>
        <w:rPr>
          <w:rFonts w:ascii="Arial" w:hAnsi="Arial" w:eastAsia="Arial" w:cs="Arial"/>
          <w:sz w:val="20"/>
          <w:szCs w:val="20"/>
        </w:rPr>
        <w:t>PV</w:t>
      </w:r>
      <w:r>
        <w:rPr>
          <w:rFonts w:ascii="Arial" w:hAnsi="Arial" w:eastAsia="Arial" w:cs="Arial"/>
          <w:spacing w:val="3"/>
          <w:sz w:val="20"/>
          <w:szCs w:val="20"/>
        </w:rPr>
        <w:t xml:space="preserve"> </w:t>
      </w:r>
      <w:r>
        <w:rPr>
          <w:spacing w:val="1"/>
          <w:sz w:val="20"/>
          <w:szCs w:val="20"/>
        </w:rPr>
        <w:t>的总和被称为绩效测量基准</w:t>
      </w:r>
      <w:r>
        <w:rPr>
          <w:spacing w:val="-39"/>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PMB</w:t>
      </w:r>
      <w:r>
        <w:rPr>
          <w:rFonts w:ascii="Times New Roman" w:hAnsi="Times New Roman" w:eastAsia="Times New Roman" w:cs="Times New Roman"/>
          <w:spacing w:val="1"/>
          <w:sz w:val="20"/>
          <w:szCs w:val="20"/>
        </w:rPr>
        <w:t xml:space="preserve">),     </w:t>
      </w:r>
      <w:r>
        <w:rPr>
          <w:spacing w:val="1"/>
          <w:sz w:val="20"/>
          <w:szCs w:val="20"/>
        </w:rPr>
        <w:t>项目的</w:t>
      </w:r>
      <w:r>
        <w:rPr>
          <w:sz w:val="20"/>
          <w:szCs w:val="20"/>
        </w:rPr>
        <w:t>总计划价值又被称为完工预算</w:t>
      </w:r>
      <w:r>
        <w:rPr>
          <w:spacing w:val="-50"/>
          <w:sz w:val="20"/>
          <w:szCs w:val="20"/>
        </w:rPr>
        <w:t xml:space="preserve"> </w:t>
      </w:r>
      <w:r>
        <w:rPr>
          <w:rFonts w:ascii="Times New Roman" w:hAnsi="Times New Roman" w:eastAsia="Times New Roman" w:cs="Times New Roman"/>
          <w:sz w:val="20"/>
          <w:szCs w:val="20"/>
        </w:rPr>
        <w:t>(BAC)</w:t>
      </w:r>
      <w:r>
        <w:rPr>
          <w:sz w:val="20"/>
          <w:szCs w:val="20"/>
        </w:rPr>
        <w:t>。</w:t>
      </w:r>
    </w:p>
    <w:p w14:paraId="3C0A7407">
      <w:pPr>
        <w:spacing w:before="137" w:line="224" w:lineRule="auto"/>
        <w:ind w:left="400"/>
        <w:rPr>
          <w:rFonts w:ascii="楷体" w:hAnsi="楷体" w:eastAsia="楷体" w:cs="楷体"/>
          <w:sz w:val="20"/>
          <w:szCs w:val="20"/>
        </w:rPr>
      </w:pPr>
      <w:r>
        <w:rPr>
          <w:rFonts w:ascii="楷体" w:hAnsi="楷体" w:eastAsia="楷体" w:cs="楷体"/>
          <w:spacing w:val="25"/>
          <w:sz w:val="20"/>
          <w:szCs w:val="20"/>
        </w:rPr>
        <w:t>2)挣值</w:t>
      </w:r>
    </w:p>
    <w:p w14:paraId="4BB8F49D">
      <w:pPr>
        <w:pStyle w:val="2"/>
        <w:spacing w:before="37" w:line="294" w:lineRule="auto"/>
        <w:ind w:right="306" w:firstLine="400"/>
        <w:rPr>
          <w:sz w:val="20"/>
          <w:szCs w:val="20"/>
        </w:rPr>
      </w:pPr>
      <w:r>
        <w:rPr>
          <w:spacing w:val="8"/>
          <w:sz w:val="20"/>
          <w:szCs w:val="20"/>
        </w:rPr>
        <w:t>挣值</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EV</w:t>
      </w:r>
      <w:r>
        <w:rPr>
          <w:rFonts w:ascii="Times New Roman" w:hAnsi="Times New Roman" w:eastAsia="Times New Roman" w:cs="Times New Roman"/>
          <w:spacing w:val="8"/>
          <w:sz w:val="20"/>
          <w:szCs w:val="20"/>
        </w:rPr>
        <w:t>)</w:t>
      </w:r>
      <w:r>
        <w:rPr>
          <w:rFonts w:ascii="Times New Roman" w:hAnsi="Times New Roman" w:eastAsia="Times New Roman" w:cs="Times New Roman"/>
          <w:spacing w:val="16"/>
          <w:sz w:val="20"/>
          <w:szCs w:val="20"/>
        </w:rPr>
        <w:t xml:space="preserve">   </w:t>
      </w:r>
      <w:r>
        <w:rPr>
          <w:spacing w:val="8"/>
          <w:sz w:val="20"/>
          <w:szCs w:val="20"/>
        </w:rPr>
        <w:t>是对已完成工作的测量值，用该工作的批准预算来表示，是</w:t>
      </w:r>
      <w:r>
        <w:rPr>
          <w:spacing w:val="7"/>
          <w:sz w:val="20"/>
          <w:szCs w:val="20"/>
        </w:rPr>
        <w:t>已完成工作的经</w:t>
      </w:r>
      <w:r>
        <w:rPr>
          <w:sz w:val="20"/>
          <w:szCs w:val="20"/>
        </w:rPr>
        <w:t xml:space="preserve">  </w:t>
      </w:r>
      <w:r>
        <w:rPr>
          <w:spacing w:val="4"/>
          <w:sz w:val="20"/>
          <w:szCs w:val="20"/>
        </w:rPr>
        <w:t>批准的预算。</w:t>
      </w:r>
      <w:r>
        <w:rPr>
          <w:rFonts w:ascii="Times New Roman" w:hAnsi="Times New Roman" w:eastAsia="Times New Roman" w:cs="Times New Roman"/>
          <w:sz w:val="20"/>
          <w:szCs w:val="20"/>
        </w:rPr>
        <w:t>EV</w:t>
      </w:r>
      <w:r>
        <w:rPr>
          <w:rFonts w:ascii="Times New Roman" w:hAnsi="Times New Roman" w:eastAsia="Times New Roman" w:cs="Times New Roman"/>
          <w:spacing w:val="28"/>
          <w:sz w:val="20"/>
          <w:szCs w:val="20"/>
        </w:rPr>
        <w:t xml:space="preserve"> </w:t>
      </w:r>
      <w:r>
        <w:rPr>
          <w:spacing w:val="4"/>
          <w:sz w:val="20"/>
          <w:szCs w:val="20"/>
        </w:rPr>
        <w:t>的计算应该与</w:t>
      </w:r>
      <w:r>
        <w:rPr>
          <w:rFonts w:ascii="Times New Roman" w:hAnsi="Times New Roman" w:eastAsia="Times New Roman" w:cs="Times New Roman"/>
          <w:sz w:val="20"/>
          <w:szCs w:val="20"/>
        </w:rPr>
        <w:t>PMB</w:t>
      </w:r>
      <w:r>
        <w:rPr>
          <w:rFonts w:ascii="Times New Roman" w:hAnsi="Times New Roman" w:eastAsia="Times New Roman" w:cs="Times New Roman"/>
          <w:spacing w:val="4"/>
          <w:sz w:val="20"/>
          <w:szCs w:val="20"/>
        </w:rPr>
        <w:t xml:space="preserve"> </w:t>
      </w:r>
      <w:r>
        <w:rPr>
          <w:spacing w:val="4"/>
          <w:sz w:val="20"/>
          <w:szCs w:val="20"/>
        </w:rPr>
        <w:t>相对应，且所得的</w:t>
      </w:r>
      <w:r>
        <w:rPr>
          <w:rFonts w:ascii="Times New Roman" w:hAnsi="Times New Roman" w:eastAsia="Times New Roman" w:cs="Times New Roman"/>
          <w:sz w:val="20"/>
          <w:szCs w:val="20"/>
        </w:rPr>
        <w:t>EV</w:t>
      </w:r>
      <w:r>
        <w:rPr>
          <w:rFonts w:ascii="Times New Roman" w:hAnsi="Times New Roman" w:eastAsia="Times New Roman" w:cs="Times New Roman"/>
          <w:spacing w:val="4"/>
          <w:sz w:val="20"/>
          <w:szCs w:val="20"/>
        </w:rPr>
        <w:t xml:space="preserve"> </w:t>
      </w:r>
      <w:r>
        <w:rPr>
          <w:spacing w:val="4"/>
          <w:sz w:val="20"/>
          <w:szCs w:val="20"/>
        </w:rPr>
        <w:t>值不得大于相应工作的</w:t>
      </w:r>
      <w:r>
        <w:rPr>
          <w:rFonts w:ascii="Times New Roman" w:hAnsi="Times New Roman" w:eastAsia="Times New Roman" w:cs="Times New Roman"/>
          <w:sz w:val="20"/>
          <w:szCs w:val="20"/>
        </w:rPr>
        <w:t>PV</w:t>
      </w:r>
      <w:r>
        <w:rPr>
          <w:rFonts w:ascii="Times New Roman" w:hAnsi="Times New Roman" w:eastAsia="Times New Roman" w:cs="Times New Roman"/>
          <w:spacing w:val="17"/>
          <w:w w:val="101"/>
          <w:sz w:val="20"/>
          <w:szCs w:val="20"/>
        </w:rPr>
        <w:t xml:space="preserve"> </w:t>
      </w:r>
      <w:r>
        <w:rPr>
          <w:spacing w:val="4"/>
          <w:sz w:val="20"/>
          <w:szCs w:val="20"/>
        </w:rPr>
        <w:t>总预</w:t>
      </w:r>
      <w:r>
        <w:rPr>
          <w:spacing w:val="3"/>
          <w:sz w:val="20"/>
          <w:szCs w:val="20"/>
        </w:rPr>
        <w:t>算。</w:t>
      </w:r>
      <w:r>
        <w:rPr>
          <w:sz w:val="20"/>
          <w:szCs w:val="20"/>
        </w:rPr>
        <w:t xml:space="preserve"> EV</w:t>
      </w:r>
      <w:r>
        <w:rPr>
          <w:spacing w:val="4"/>
          <w:sz w:val="20"/>
          <w:szCs w:val="20"/>
        </w:rPr>
        <w:t xml:space="preserve"> 常用于计算项目的完成百分比，进行投资控制时既要监测</w:t>
      </w:r>
      <w:r>
        <w:rPr>
          <w:sz w:val="20"/>
          <w:szCs w:val="20"/>
        </w:rPr>
        <w:t>EV</w:t>
      </w:r>
      <w:r>
        <w:rPr>
          <w:spacing w:val="46"/>
          <w:sz w:val="20"/>
          <w:szCs w:val="20"/>
        </w:rPr>
        <w:t xml:space="preserve"> </w:t>
      </w:r>
      <w:r>
        <w:rPr>
          <w:spacing w:val="4"/>
          <w:sz w:val="20"/>
          <w:szCs w:val="20"/>
        </w:rPr>
        <w:t>的增量，以判断当前的</w:t>
      </w:r>
      <w:r>
        <w:rPr>
          <w:spacing w:val="3"/>
          <w:sz w:val="20"/>
          <w:szCs w:val="20"/>
        </w:rPr>
        <w:t>状态，</w:t>
      </w:r>
      <w:r>
        <w:rPr>
          <w:sz w:val="20"/>
          <w:szCs w:val="20"/>
        </w:rPr>
        <w:t xml:space="preserve"> </w:t>
      </w:r>
      <w:r>
        <w:rPr>
          <w:spacing w:val="-2"/>
          <w:sz w:val="20"/>
          <w:szCs w:val="20"/>
        </w:rPr>
        <w:t>又要监测</w:t>
      </w:r>
      <w:r>
        <w:rPr>
          <w:rFonts w:ascii="Times New Roman" w:hAnsi="Times New Roman" w:eastAsia="Times New Roman" w:cs="Times New Roman"/>
          <w:spacing w:val="-2"/>
          <w:sz w:val="20"/>
          <w:szCs w:val="20"/>
        </w:rPr>
        <w:t>EV</w:t>
      </w:r>
      <w:r>
        <w:rPr>
          <w:rFonts w:ascii="Times New Roman" w:hAnsi="Times New Roman" w:eastAsia="Times New Roman" w:cs="Times New Roman"/>
          <w:spacing w:val="28"/>
          <w:w w:val="101"/>
          <w:sz w:val="20"/>
          <w:szCs w:val="20"/>
        </w:rPr>
        <w:t xml:space="preserve"> </w:t>
      </w:r>
      <w:r>
        <w:rPr>
          <w:spacing w:val="-2"/>
          <w:sz w:val="20"/>
          <w:szCs w:val="20"/>
        </w:rPr>
        <w:t>的累计值，以判断长期的绩效趋</w:t>
      </w:r>
      <w:r>
        <w:rPr>
          <w:spacing w:val="-3"/>
          <w:sz w:val="20"/>
          <w:szCs w:val="20"/>
        </w:rPr>
        <w:t>势。</w:t>
      </w:r>
    </w:p>
    <w:p w14:paraId="51CAE315">
      <w:pPr>
        <w:spacing w:before="96" w:line="225" w:lineRule="auto"/>
        <w:ind w:left="400"/>
        <w:rPr>
          <w:rFonts w:ascii="楷体" w:hAnsi="楷体" w:eastAsia="楷体" w:cs="楷体"/>
          <w:sz w:val="20"/>
          <w:szCs w:val="20"/>
        </w:rPr>
      </w:pPr>
      <w:r>
        <w:rPr>
          <w:rFonts w:ascii="楷体" w:hAnsi="楷体" w:eastAsia="楷体" w:cs="楷体"/>
          <w:spacing w:val="14"/>
          <w:sz w:val="20"/>
          <w:szCs w:val="20"/>
        </w:rPr>
        <w:t>3)实际成本</w:t>
      </w:r>
    </w:p>
    <w:p w14:paraId="19549410">
      <w:pPr>
        <w:pStyle w:val="2"/>
        <w:spacing w:before="89" w:line="279" w:lineRule="auto"/>
        <w:ind w:right="306" w:firstLine="400"/>
        <w:rPr>
          <w:sz w:val="20"/>
          <w:szCs w:val="20"/>
        </w:rPr>
      </w:pPr>
      <w:r>
        <w:rPr>
          <w:spacing w:val="5"/>
          <w:sz w:val="20"/>
          <w:szCs w:val="20"/>
        </w:rPr>
        <w:t>实际成本(</w:t>
      </w:r>
      <w:r>
        <w:rPr>
          <w:sz w:val="20"/>
          <w:szCs w:val="20"/>
        </w:rPr>
        <w:t>AC</w:t>
      </w:r>
      <w:r>
        <w:rPr>
          <w:spacing w:val="5"/>
          <w:sz w:val="20"/>
          <w:szCs w:val="20"/>
        </w:rPr>
        <w:t>)  是在给定时段内，执行某工作而实际发生的成本，是为完成与</w:t>
      </w:r>
      <w:r>
        <w:rPr>
          <w:sz w:val="20"/>
          <w:szCs w:val="20"/>
        </w:rPr>
        <w:t>EV</w:t>
      </w:r>
      <w:r>
        <w:rPr>
          <w:spacing w:val="5"/>
          <w:sz w:val="20"/>
          <w:szCs w:val="20"/>
        </w:rPr>
        <w:t xml:space="preserve"> 相对应</w:t>
      </w:r>
      <w:r>
        <w:rPr>
          <w:spacing w:val="6"/>
          <w:sz w:val="20"/>
          <w:szCs w:val="20"/>
        </w:rPr>
        <w:t xml:space="preserve">  </w:t>
      </w:r>
      <w:r>
        <w:rPr>
          <w:spacing w:val="5"/>
          <w:sz w:val="20"/>
          <w:szCs w:val="20"/>
        </w:rPr>
        <w:t>的工作而发生的总成本。</w:t>
      </w:r>
      <w:r>
        <w:rPr>
          <w:sz w:val="20"/>
          <w:szCs w:val="20"/>
        </w:rPr>
        <w:t>AC</w:t>
      </w:r>
      <w:r>
        <w:rPr>
          <w:spacing w:val="69"/>
          <w:sz w:val="20"/>
          <w:szCs w:val="20"/>
        </w:rPr>
        <w:t xml:space="preserve"> </w:t>
      </w:r>
      <w:r>
        <w:rPr>
          <w:spacing w:val="5"/>
          <w:sz w:val="20"/>
          <w:szCs w:val="20"/>
        </w:rPr>
        <w:t>的计算方法必须与</w:t>
      </w:r>
      <w:r>
        <w:rPr>
          <w:sz w:val="20"/>
          <w:szCs w:val="20"/>
        </w:rPr>
        <w:t>PV</w:t>
      </w:r>
      <w:r>
        <w:rPr>
          <w:spacing w:val="5"/>
          <w:sz w:val="20"/>
          <w:szCs w:val="20"/>
        </w:rPr>
        <w:t xml:space="preserve"> 和</w:t>
      </w:r>
      <w:r>
        <w:rPr>
          <w:spacing w:val="-52"/>
          <w:sz w:val="20"/>
          <w:szCs w:val="20"/>
        </w:rPr>
        <w:t xml:space="preserve"> </w:t>
      </w:r>
      <w:r>
        <w:rPr>
          <w:sz w:val="20"/>
          <w:szCs w:val="20"/>
        </w:rPr>
        <w:t>EV</w:t>
      </w:r>
      <w:r>
        <w:rPr>
          <w:spacing w:val="5"/>
          <w:sz w:val="20"/>
          <w:szCs w:val="20"/>
        </w:rPr>
        <w:t xml:space="preserve"> 的计算方法保持一致(例如，都只计</w:t>
      </w:r>
      <w:r>
        <w:rPr>
          <w:sz w:val="20"/>
          <w:szCs w:val="20"/>
        </w:rPr>
        <w:t xml:space="preserve">  </w:t>
      </w:r>
      <w:r>
        <w:rPr>
          <w:spacing w:val="2"/>
          <w:sz w:val="20"/>
          <w:szCs w:val="20"/>
        </w:rPr>
        <w:t>算直接工作量，都只计算直接成本，或都计算包含间接成本在内的全部成本)。</w:t>
      </w:r>
      <w:r>
        <w:rPr>
          <w:spacing w:val="-11"/>
          <w:sz w:val="20"/>
          <w:szCs w:val="20"/>
        </w:rPr>
        <w:t xml:space="preserve"> </w:t>
      </w:r>
      <w:r>
        <w:rPr>
          <w:rFonts w:ascii="Times New Roman" w:hAnsi="Times New Roman" w:eastAsia="Times New Roman" w:cs="Times New Roman"/>
          <w:sz w:val="20"/>
          <w:szCs w:val="20"/>
        </w:rPr>
        <w:t>AC</w:t>
      </w:r>
      <w:r>
        <w:rPr>
          <w:rFonts w:ascii="Times New Roman" w:hAnsi="Times New Roman" w:eastAsia="Times New Roman" w:cs="Times New Roman"/>
          <w:spacing w:val="2"/>
          <w:sz w:val="20"/>
          <w:szCs w:val="20"/>
        </w:rPr>
        <w:t xml:space="preserve"> </w:t>
      </w:r>
      <w:r>
        <w:rPr>
          <w:spacing w:val="2"/>
          <w:sz w:val="20"/>
          <w:szCs w:val="20"/>
        </w:rPr>
        <w:t>没有上限，</w:t>
      </w:r>
      <w:r>
        <w:rPr>
          <w:sz w:val="20"/>
          <w:szCs w:val="20"/>
        </w:rPr>
        <w:t xml:space="preserve"> </w:t>
      </w:r>
      <w:r>
        <w:rPr>
          <w:spacing w:val="-2"/>
          <w:sz w:val="20"/>
          <w:szCs w:val="20"/>
        </w:rPr>
        <w:t>为实现</w:t>
      </w:r>
      <w:r>
        <w:rPr>
          <w:rFonts w:ascii="Times New Roman" w:hAnsi="Times New Roman" w:eastAsia="Times New Roman" w:cs="Times New Roman"/>
          <w:spacing w:val="-2"/>
          <w:sz w:val="20"/>
          <w:szCs w:val="20"/>
        </w:rPr>
        <w:t>EV</w:t>
      </w:r>
      <w:r>
        <w:rPr>
          <w:rFonts w:ascii="Times New Roman" w:hAnsi="Times New Roman" w:eastAsia="Times New Roman" w:cs="Times New Roman"/>
          <w:spacing w:val="28"/>
          <w:sz w:val="20"/>
          <w:szCs w:val="20"/>
        </w:rPr>
        <w:t xml:space="preserve"> </w:t>
      </w:r>
      <w:r>
        <w:rPr>
          <w:spacing w:val="-2"/>
          <w:sz w:val="20"/>
          <w:szCs w:val="20"/>
        </w:rPr>
        <w:t>所花费的任何成本都要计算进去。</w:t>
      </w:r>
    </w:p>
    <w:p w14:paraId="6AEBF691">
      <w:pPr>
        <w:pStyle w:val="2"/>
        <w:spacing w:before="137" w:line="222" w:lineRule="auto"/>
        <w:ind w:left="402"/>
        <w:rPr>
          <w:rFonts w:ascii="黑体" w:hAnsi="黑体" w:eastAsia="黑体" w:cs="黑体"/>
          <w:sz w:val="20"/>
          <w:szCs w:val="20"/>
        </w:rPr>
      </w:pPr>
      <w:r>
        <w:rPr>
          <w:b/>
          <w:bCs/>
          <w:color w:val="005FB3"/>
          <w:spacing w:val="1"/>
          <w:sz w:val="20"/>
          <w:szCs w:val="20"/>
        </w:rPr>
        <w:t>2.</w:t>
      </w:r>
      <w:r>
        <w:rPr>
          <w:rFonts w:ascii="黑体" w:hAnsi="黑体" w:eastAsia="黑体" w:cs="黑体"/>
          <w:b/>
          <w:bCs/>
          <w:color w:val="005FB3"/>
          <w:spacing w:val="1"/>
          <w:sz w:val="20"/>
          <w:szCs w:val="20"/>
        </w:rPr>
        <w:t>偏差分析</w:t>
      </w:r>
    </w:p>
    <w:p w14:paraId="45D81D52">
      <w:pPr>
        <w:pStyle w:val="2"/>
        <w:spacing w:before="144" w:line="280" w:lineRule="auto"/>
        <w:ind w:right="286" w:firstLine="400"/>
        <w:jc w:val="both"/>
        <w:rPr>
          <w:sz w:val="20"/>
          <w:szCs w:val="20"/>
        </w:rPr>
      </w:pPr>
      <w:r>
        <w:rPr>
          <w:spacing w:val="3"/>
          <w:sz w:val="20"/>
          <w:szCs w:val="20"/>
        </w:rPr>
        <w:t>在挣值管理中，偏差分析用以解释成本偏差、进度偏差的原因、影响和纠正措施。成</w:t>
      </w:r>
      <w:r>
        <w:rPr>
          <w:spacing w:val="2"/>
          <w:sz w:val="20"/>
          <w:szCs w:val="20"/>
        </w:rPr>
        <w:t>本和</w:t>
      </w:r>
      <w:r>
        <w:rPr>
          <w:sz w:val="20"/>
          <w:szCs w:val="20"/>
        </w:rPr>
        <w:t xml:space="preserve">  </w:t>
      </w:r>
      <w:r>
        <w:rPr>
          <w:spacing w:val="3"/>
          <w:sz w:val="20"/>
          <w:szCs w:val="20"/>
        </w:rPr>
        <w:t>进度偏差是最需要分析的两种偏差。对于不使用正规挣值分析的项目，可以开展类似的偏差分</w:t>
      </w:r>
      <w:r>
        <w:rPr>
          <w:spacing w:val="2"/>
          <w:sz w:val="20"/>
          <w:szCs w:val="20"/>
        </w:rPr>
        <w:t xml:space="preserve">  </w:t>
      </w:r>
      <w:r>
        <w:rPr>
          <w:spacing w:val="3"/>
          <w:sz w:val="20"/>
          <w:szCs w:val="20"/>
        </w:rPr>
        <w:t>析，通过比较计划成本和实际成本，来识别成本基准与实际项</w:t>
      </w:r>
      <w:r>
        <w:rPr>
          <w:spacing w:val="2"/>
          <w:sz w:val="20"/>
          <w:szCs w:val="20"/>
        </w:rPr>
        <w:t>目绩效之间的差异；然后可以实</w:t>
      </w:r>
      <w:r>
        <w:rPr>
          <w:sz w:val="20"/>
          <w:szCs w:val="20"/>
        </w:rPr>
        <w:t xml:space="preserve">  </w:t>
      </w:r>
      <w:r>
        <w:rPr>
          <w:spacing w:val="5"/>
          <w:sz w:val="20"/>
          <w:szCs w:val="20"/>
        </w:rPr>
        <w:t>施进一步的分析，以判定偏离进度基准的原因和程度，并决定是否需要采取纠正或预防措施。</w:t>
      </w:r>
      <w:r>
        <w:rPr>
          <w:spacing w:val="14"/>
          <w:sz w:val="20"/>
          <w:szCs w:val="20"/>
        </w:rPr>
        <w:t xml:space="preserve"> </w:t>
      </w:r>
      <w:r>
        <w:rPr>
          <w:spacing w:val="-3"/>
          <w:sz w:val="20"/>
          <w:szCs w:val="20"/>
        </w:rPr>
        <w:t>可以通过成本绩效测量来评价偏离原始成本基准的程度。</w:t>
      </w:r>
    </w:p>
    <w:p w14:paraId="0D80A067">
      <w:pPr>
        <w:pStyle w:val="2"/>
        <w:spacing w:before="31" w:line="292" w:lineRule="auto"/>
        <w:ind w:right="396" w:firstLine="400"/>
        <w:jc w:val="both"/>
        <w:rPr>
          <w:sz w:val="17"/>
          <w:szCs w:val="17"/>
        </w:rPr>
      </w:pPr>
      <w:r>
        <w:rPr>
          <w:spacing w:val="8"/>
          <w:sz w:val="20"/>
          <w:szCs w:val="20"/>
        </w:rPr>
        <w:t>项目成本控制的重要工作包括：判定偏离成本基准的原因和程度，并决定是否需要采取</w:t>
      </w:r>
      <w:r>
        <w:rPr>
          <w:spacing w:val="4"/>
          <w:sz w:val="20"/>
          <w:szCs w:val="20"/>
        </w:rPr>
        <w:t xml:space="preserve"> </w:t>
      </w:r>
      <w:r>
        <w:rPr>
          <w:spacing w:val="13"/>
          <w:sz w:val="20"/>
          <w:szCs w:val="20"/>
        </w:rPr>
        <w:t>纠正或预防措施。随着项目工作的逐步完成，偏差的可接受范围(</w:t>
      </w:r>
      <w:r>
        <w:rPr>
          <w:spacing w:val="12"/>
          <w:sz w:val="20"/>
          <w:szCs w:val="20"/>
        </w:rPr>
        <w:t>常用百分比表示)将逐步</w:t>
      </w:r>
      <w:r>
        <w:rPr>
          <w:sz w:val="20"/>
          <w:szCs w:val="20"/>
        </w:rPr>
        <w:t xml:space="preserve"> </w:t>
      </w:r>
      <w:r>
        <w:rPr>
          <w:spacing w:val="-6"/>
          <w:sz w:val="17"/>
          <w:szCs w:val="17"/>
        </w:rPr>
        <w:t>缩</w:t>
      </w:r>
      <w:r>
        <w:rPr>
          <w:spacing w:val="-21"/>
          <w:sz w:val="17"/>
          <w:szCs w:val="17"/>
        </w:rPr>
        <w:t xml:space="preserve"> </w:t>
      </w:r>
      <w:r>
        <w:rPr>
          <w:spacing w:val="-6"/>
          <w:sz w:val="17"/>
          <w:szCs w:val="17"/>
        </w:rPr>
        <w:t>小</w:t>
      </w:r>
      <w:r>
        <w:rPr>
          <w:spacing w:val="-32"/>
          <w:sz w:val="17"/>
          <w:szCs w:val="17"/>
        </w:rPr>
        <w:t xml:space="preserve"> </w:t>
      </w:r>
      <w:r>
        <w:rPr>
          <w:spacing w:val="-6"/>
          <w:sz w:val="17"/>
          <w:szCs w:val="17"/>
        </w:rPr>
        <w:t>。</w:t>
      </w:r>
    </w:p>
    <w:p w14:paraId="29914497">
      <w:pPr>
        <w:pStyle w:val="2"/>
        <w:spacing w:before="40" w:line="219" w:lineRule="auto"/>
        <w:ind w:left="400"/>
        <w:rPr>
          <w:sz w:val="20"/>
          <w:szCs w:val="20"/>
        </w:rPr>
      </w:pPr>
      <w:r>
        <w:rPr>
          <w:spacing w:val="8"/>
          <w:sz w:val="20"/>
          <w:szCs w:val="20"/>
        </w:rPr>
        <w:t>偏差分析包括(但不限于)以下两方面内容。</w:t>
      </w:r>
    </w:p>
    <w:p w14:paraId="19AB2CDF">
      <w:pPr>
        <w:spacing w:before="148" w:line="232" w:lineRule="auto"/>
        <w:ind w:left="400"/>
        <w:rPr>
          <w:rFonts w:ascii="楷体" w:hAnsi="楷体" w:eastAsia="楷体" w:cs="楷体"/>
          <w:sz w:val="20"/>
          <w:szCs w:val="20"/>
        </w:rPr>
      </w:pPr>
      <w:r>
        <w:rPr>
          <w:rFonts w:ascii="楷体" w:hAnsi="楷体" w:eastAsia="楷体" w:cs="楷体"/>
          <w:spacing w:val="17"/>
          <w:sz w:val="20"/>
          <w:szCs w:val="20"/>
        </w:rPr>
        <w:t>1)进度偏差</w:t>
      </w:r>
    </w:p>
    <w:p w14:paraId="328A66FC">
      <w:pPr>
        <w:pStyle w:val="2"/>
        <w:spacing w:before="28" w:line="285" w:lineRule="auto"/>
        <w:ind w:right="326" w:firstLine="400"/>
        <w:rPr>
          <w:sz w:val="20"/>
          <w:szCs w:val="20"/>
        </w:rPr>
      </w:pPr>
      <w:r>
        <w:rPr>
          <w:spacing w:val="3"/>
          <w:sz w:val="20"/>
          <w:szCs w:val="20"/>
        </w:rPr>
        <w:t>进度偏差</w:t>
      </w:r>
      <w:r>
        <w:rPr>
          <w:spacing w:val="-51"/>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SV</w:t>
      </w:r>
      <w:r>
        <w:rPr>
          <w:rFonts w:ascii="Times New Roman" w:hAnsi="Times New Roman" w:eastAsia="Times New Roman" w:cs="Times New Roman"/>
          <w:spacing w:val="3"/>
          <w:sz w:val="20"/>
          <w:szCs w:val="20"/>
        </w:rPr>
        <w:t xml:space="preserve">)   </w:t>
      </w:r>
      <w:r>
        <w:rPr>
          <w:spacing w:val="3"/>
          <w:sz w:val="20"/>
          <w:szCs w:val="20"/>
        </w:rPr>
        <w:t>是测量进度绩效的一种指标，表示为挣值与计划价值之差。它是</w:t>
      </w:r>
      <w:r>
        <w:rPr>
          <w:spacing w:val="2"/>
          <w:sz w:val="20"/>
          <w:szCs w:val="20"/>
        </w:rPr>
        <w:t>指在某个</w:t>
      </w:r>
      <w:r>
        <w:rPr>
          <w:sz w:val="20"/>
          <w:szCs w:val="20"/>
        </w:rPr>
        <w:t xml:space="preserve"> </w:t>
      </w:r>
      <w:r>
        <w:rPr>
          <w:spacing w:val="2"/>
          <w:sz w:val="20"/>
          <w:szCs w:val="20"/>
        </w:rPr>
        <w:t>给定的时点，项目提前或落后的进度，它是测</w:t>
      </w:r>
      <w:r>
        <w:rPr>
          <w:spacing w:val="1"/>
          <w:sz w:val="20"/>
          <w:szCs w:val="20"/>
        </w:rPr>
        <w:t>量项目进度绩效的一种指标，等于挣值</w:t>
      </w:r>
      <w:r>
        <w:rPr>
          <w:spacing w:val="-58"/>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EV</w:t>
      </w:r>
      <w:r>
        <w:rPr>
          <w:rFonts w:ascii="Times New Roman" w:hAnsi="Times New Roman" w:eastAsia="Times New Roman" w:cs="Times New Roman"/>
          <w:spacing w:val="1"/>
          <w:sz w:val="20"/>
          <w:szCs w:val="20"/>
        </w:rPr>
        <w:t>)</w:t>
      </w:r>
      <w:r>
        <w:rPr>
          <w:rFonts w:ascii="Times New Roman" w:hAnsi="Times New Roman" w:eastAsia="Times New Roman" w:cs="Times New Roman"/>
          <w:spacing w:val="16"/>
          <w:sz w:val="20"/>
          <w:szCs w:val="20"/>
        </w:rPr>
        <w:t xml:space="preserve">   </w:t>
      </w:r>
      <w:r>
        <w:rPr>
          <w:spacing w:val="1"/>
          <w:sz w:val="20"/>
          <w:szCs w:val="20"/>
        </w:rPr>
        <w:t xml:space="preserve">减 </w:t>
      </w:r>
      <w:r>
        <w:rPr>
          <w:spacing w:val="4"/>
          <w:sz w:val="20"/>
          <w:szCs w:val="20"/>
        </w:rPr>
        <w:t>去计划价值(</w:t>
      </w:r>
      <w:r>
        <w:rPr>
          <w:sz w:val="20"/>
          <w:szCs w:val="20"/>
        </w:rPr>
        <w:t>PV</w:t>
      </w:r>
      <w:r>
        <w:rPr>
          <w:spacing w:val="4"/>
          <w:sz w:val="20"/>
          <w:szCs w:val="20"/>
        </w:rPr>
        <w:t>)。</w:t>
      </w:r>
      <w:r>
        <w:rPr>
          <w:sz w:val="20"/>
          <w:szCs w:val="20"/>
        </w:rPr>
        <w:t>EVA</w:t>
      </w:r>
      <w:r>
        <w:rPr>
          <w:spacing w:val="36"/>
          <w:sz w:val="20"/>
          <w:szCs w:val="20"/>
        </w:rPr>
        <w:t xml:space="preserve">  </w:t>
      </w:r>
      <w:r>
        <w:rPr>
          <w:spacing w:val="4"/>
          <w:sz w:val="20"/>
          <w:szCs w:val="20"/>
        </w:rPr>
        <w:t>进度偏差是一种有用的指标</w:t>
      </w:r>
      <w:r>
        <w:rPr>
          <w:spacing w:val="3"/>
          <w:sz w:val="20"/>
          <w:szCs w:val="20"/>
        </w:rPr>
        <w:t>，可以表明项目进度是落后还是提前于进</w:t>
      </w:r>
      <w:r>
        <w:rPr>
          <w:spacing w:val="1"/>
          <w:sz w:val="20"/>
          <w:szCs w:val="20"/>
        </w:rPr>
        <w:t xml:space="preserve"> </w:t>
      </w:r>
      <w:r>
        <w:rPr>
          <w:spacing w:val="9"/>
          <w:sz w:val="20"/>
          <w:szCs w:val="20"/>
        </w:rPr>
        <w:t>度基准。当项目完工时，全部的计划价值都将实现(即成为挣值),所以</w:t>
      </w:r>
      <w:r>
        <w:rPr>
          <w:rFonts w:ascii="Times New Roman" w:hAnsi="Times New Roman" w:eastAsia="Times New Roman" w:cs="Times New Roman"/>
          <w:sz w:val="20"/>
          <w:szCs w:val="20"/>
        </w:rPr>
        <w:t>EVA</w:t>
      </w:r>
      <w:r>
        <w:rPr>
          <w:rFonts w:ascii="Times New Roman" w:hAnsi="Times New Roman" w:eastAsia="Times New Roman" w:cs="Times New Roman"/>
          <w:spacing w:val="-4"/>
          <w:sz w:val="20"/>
          <w:szCs w:val="20"/>
        </w:rPr>
        <w:t xml:space="preserve"> </w:t>
      </w:r>
      <w:r>
        <w:rPr>
          <w:spacing w:val="9"/>
          <w:sz w:val="20"/>
          <w:szCs w:val="20"/>
        </w:rPr>
        <w:t>进度偏差最终将</w:t>
      </w:r>
      <w:r>
        <w:rPr>
          <w:sz w:val="20"/>
          <w:szCs w:val="20"/>
        </w:rPr>
        <w:t xml:space="preserve"> </w:t>
      </w:r>
      <w:r>
        <w:rPr>
          <w:spacing w:val="-3"/>
          <w:sz w:val="20"/>
          <w:szCs w:val="20"/>
        </w:rPr>
        <w:t>等于零。公式：</w:t>
      </w:r>
      <w:r>
        <w:rPr>
          <w:rFonts w:ascii="Times New Roman" w:hAnsi="Times New Roman" w:eastAsia="Times New Roman" w:cs="Times New Roman"/>
          <w:spacing w:val="-3"/>
          <w:sz w:val="20"/>
          <w:szCs w:val="20"/>
        </w:rPr>
        <w:t>SV=EV-PV</w:t>
      </w:r>
      <w:r>
        <w:rPr>
          <w:rFonts w:ascii="Times New Roman" w:hAnsi="Times New Roman" w:eastAsia="Times New Roman" w:cs="Times New Roman"/>
          <w:spacing w:val="-21"/>
          <w:sz w:val="20"/>
          <w:szCs w:val="20"/>
        </w:rPr>
        <w:t xml:space="preserve"> </w:t>
      </w:r>
      <w:r>
        <w:rPr>
          <w:spacing w:val="-3"/>
          <w:sz w:val="20"/>
          <w:szCs w:val="20"/>
        </w:rPr>
        <w:t>。 当</w:t>
      </w:r>
      <w:r>
        <w:rPr>
          <w:spacing w:val="-49"/>
          <w:sz w:val="20"/>
          <w:szCs w:val="20"/>
        </w:rPr>
        <w:t xml:space="preserve"> </w:t>
      </w:r>
      <w:r>
        <w:rPr>
          <w:rFonts w:ascii="Times New Roman" w:hAnsi="Times New Roman" w:eastAsia="Times New Roman" w:cs="Times New Roman"/>
          <w:spacing w:val="-3"/>
          <w:sz w:val="20"/>
          <w:szCs w:val="20"/>
        </w:rPr>
        <w:t>SV&gt;0</w:t>
      </w:r>
      <w:r>
        <w:rPr>
          <w:rFonts w:ascii="Times New Roman" w:hAnsi="Times New Roman" w:eastAsia="Times New Roman" w:cs="Times New Roman"/>
          <w:spacing w:val="12"/>
          <w:sz w:val="20"/>
          <w:szCs w:val="20"/>
        </w:rPr>
        <w:t xml:space="preserve">  </w:t>
      </w:r>
      <w:r>
        <w:rPr>
          <w:spacing w:val="-3"/>
          <w:sz w:val="20"/>
          <w:szCs w:val="20"/>
        </w:rPr>
        <w:t>时，表明进度超前；反之，当</w:t>
      </w:r>
      <w:r>
        <w:rPr>
          <w:rFonts w:ascii="Times New Roman" w:hAnsi="Times New Roman" w:eastAsia="Times New Roman" w:cs="Times New Roman"/>
          <w:spacing w:val="-3"/>
          <w:sz w:val="20"/>
          <w:szCs w:val="20"/>
        </w:rPr>
        <w:t>SV&lt;0</w:t>
      </w:r>
      <w:r>
        <w:rPr>
          <w:rFonts w:ascii="Times New Roman" w:hAnsi="Times New Roman" w:eastAsia="Times New Roman" w:cs="Times New Roman"/>
          <w:spacing w:val="12"/>
          <w:sz w:val="20"/>
          <w:szCs w:val="20"/>
        </w:rPr>
        <w:t xml:space="preserve">  </w:t>
      </w:r>
      <w:r>
        <w:rPr>
          <w:spacing w:val="-3"/>
          <w:sz w:val="20"/>
          <w:szCs w:val="20"/>
        </w:rPr>
        <w:t>时，表明进度滞后；</w:t>
      </w:r>
      <w:r>
        <w:rPr>
          <w:sz w:val="20"/>
          <w:szCs w:val="20"/>
        </w:rPr>
        <w:t xml:space="preserve"> </w:t>
      </w:r>
      <w:r>
        <w:rPr>
          <w:spacing w:val="-2"/>
          <w:sz w:val="20"/>
          <w:szCs w:val="20"/>
        </w:rPr>
        <w:t>当</w:t>
      </w:r>
      <w:r>
        <w:rPr>
          <w:spacing w:val="-55"/>
          <w:sz w:val="20"/>
          <w:szCs w:val="20"/>
        </w:rPr>
        <w:t xml:space="preserve"> </w:t>
      </w:r>
      <w:r>
        <w:rPr>
          <w:rFonts w:ascii="Times New Roman" w:hAnsi="Times New Roman" w:eastAsia="Times New Roman" w:cs="Times New Roman"/>
          <w:spacing w:val="-2"/>
          <w:sz w:val="20"/>
          <w:szCs w:val="20"/>
        </w:rPr>
        <w:t xml:space="preserve">SV=0  </w:t>
      </w:r>
      <w:r>
        <w:rPr>
          <w:spacing w:val="-2"/>
          <w:sz w:val="20"/>
          <w:szCs w:val="20"/>
        </w:rPr>
        <w:t>时，表示按计划进行。</w:t>
      </w:r>
    </w:p>
    <w:p w14:paraId="5203A553">
      <w:pPr>
        <w:spacing w:before="110" w:line="225" w:lineRule="auto"/>
        <w:ind w:left="400"/>
        <w:rPr>
          <w:rFonts w:ascii="楷体" w:hAnsi="楷体" w:eastAsia="楷体" w:cs="楷体"/>
          <w:sz w:val="20"/>
          <w:szCs w:val="20"/>
        </w:rPr>
      </w:pPr>
      <w:r>
        <w:rPr>
          <w:rFonts w:ascii="楷体" w:hAnsi="楷体" w:eastAsia="楷体" w:cs="楷体"/>
          <w:spacing w:val="17"/>
          <w:sz w:val="20"/>
          <w:szCs w:val="20"/>
        </w:rPr>
        <w:t>2)成本偏差</w:t>
      </w:r>
    </w:p>
    <w:p w14:paraId="4E90C320">
      <w:pPr>
        <w:pStyle w:val="2"/>
        <w:spacing w:before="26" w:line="269" w:lineRule="auto"/>
        <w:ind w:right="372" w:firstLine="400"/>
        <w:rPr>
          <w:sz w:val="20"/>
          <w:szCs w:val="20"/>
        </w:rPr>
      </w:pPr>
      <w:r>
        <w:rPr>
          <w:spacing w:val="3"/>
          <w:sz w:val="20"/>
          <w:szCs w:val="20"/>
        </w:rPr>
        <w:t>成本偏差</w:t>
      </w:r>
      <w:r>
        <w:rPr>
          <w:spacing w:val="-51"/>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CV</w:t>
      </w:r>
      <w:r>
        <w:rPr>
          <w:rFonts w:ascii="Times New Roman" w:hAnsi="Times New Roman" w:eastAsia="Times New Roman" w:cs="Times New Roman"/>
          <w:spacing w:val="3"/>
          <w:sz w:val="20"/>
          <w:szCs w:val="20"/>
        </w:rPr>
        <w:t xml:space="preserve">)   </w:t>
      </w:r>
      <w:r>
        <w:rPr>
          <w:spacing w:val="3"/>
          <w:sz w:val="20"/>
          <w:szCs w:val="20"/>
        </w:rPr>
        <w:t>是在某个给定时点的预算亏空或盈余量，表示为挣值与实际成本之差。它</w:t>
      </w:r>
      <w:r>
        <w:rPr>
          <w:sz w:val="20"/>
          <w:szCs w:val="20"/>
        </w:rPr>
        <w:t xml:space="preserve"> </w:t>
      </w:r>
      <w:r>
        <w:rPr>
          <w:spacing w:val="3"/>
          <w:sz w:val="20"/>
          <w:szCs w:val="20"/>
        </w:rPr>
        <w:t>是测量项目成本绩效的一种指标，等于挣值</w:t>
      </w:r>
      <w:r>
        <w:rPr>
          <w:spacing w:val="-48"/>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EV</w:t>
      </w:r>
      <w:r>
        <w:rPr>
          <w:rFonts w:ascii="Times New Roman" w:hAnsi="Times New Roman" w:eastAsia="Times New Roman" w:cs="Times New Roman"/>
          <w:spacing w:val="3"/>
          <w:sz w:val="20"/>
          <w:szCs w:val="20"/>
        </w:rPr>
        <w:t xml:space="preserve">)   </w:t>
      </w:r>
      <w:r>
        <w:rPr>
          <w:spacing w:val="3"/>
          <w:sz w:val="20"/>
          <w:szCs w:val="20"/>
        </w:rPr>
        <w:t>减去实际成本</w:t>
      </w:r>
      <w:r>
        <w:rPr>
          <w:spacing w:val="-50"/>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3"/>
          <w:sz w:val="20"/>
          <w:szCs w:val="20"/>
        </w:rPr>
        <w:t>)</w:t>
      </w:r>
      <w:r>
        <w:rPr>
          <w:rFonts w:ascii="Times New Roman" w:hAnsi="Times New Roman" w:eastAsia="Times New Roman" w:cs="Times New Roman"/>
          <w:spacing w:val="-22"/>
          <w:sz w:val="20"/>
          <w:szCs w:val="20"/>
        </w:rPr>
        <w:t xml:space="preserve"> </w:t>
      </w:r>
      <w:r>
        <w:rPr>
          <w:spacing w:val="3"/>
          <w:sz w:val="20"/>
          <w:szCs w:val="20"/>
        </w:rPr>
        <w:t>。</w:t>
      </w:r>
      <w:r>
        <w:rPr>
          <w:spacing w:val="2"/>
          <w:sz w:val="20"/>
          <w:szCs w:val="20"/>
        </w:rPr>
        <w:t xml:space="preserve"> 项目结束时的成本偏</w:t>
      </w:r>
      <w:r>
        <w:rPr>
          <w:sz w:val="20"/>
          <w:szCs w:val="20"/>
        </w:rPr>
        <w:t xml:space="preserve"> </w:t>
      </w:r>
      <w:r>
        <w:rPr>
          <w:spacing w:val="3"/>
          <w:sz w:val="20"/>
          <w:szCs w:val="20"/>
        </w:rPr>
        <w:t>差就是完工预算</w:t>
      </w:r>
      <w:r>
        <w:rPr>
          <w:spacing w:val="-39"/>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BAC</w:t>
      </w:r>
      <w:r>
        <w:rPr>
          <w:rFonts w:ascii="Times New Roman" w:hAnsi="Times New Roman" w:eastAsia="Times New Roman" w:cs="Times New Roman"/>
          <w:spacing w:val="3"/>
          <w:sz w:val="20"/>
          <w:szCs w:val="20"/>
        </w:rPr>
        <w:t>)</w:t>
      </w:r>
      <w:r>
        <w:rPr>
          <w:rFonts w:ascii="Times New Roman" w:hAnsi="Times New Roman" w:eastAsia="Times New Roman" w:cs="Times New Roman"/>
          <w:spacing w:val="14"/>
          <w:w w:val="101"/>
          <w:sz w:val="20"/>
          <w:szCs w:val="20"/>
        </w:rPr>
        <w:t xml:space="preserve">   </w:t>
      </w:r>
      <w:r>
        <w:rPr>
          <w:spacing w:val="3"/>
          <w:sz w:val="20"/>
          <w:szCs w:val="20"/>
        </w:rPr>
        <w:t>与实际成本之间的差值。由于成本偏差指明了</w:t>
      </w:r>
      <w:r>
        <w:rPr>
          <w:spacing w:val="2"/>
          <w:sz w:val="20"/>
          <w:szCs w:val="20"/>
        </w:rPr>
        <w:t>实际绩效与成本支出之</w:t>
      </w:r>
    </w:p>
    <w:p w14:paraId="077D555F">
      <w:pPr>
        <w:pStyle w:val="2"/>
        <w:spacing w:before="79" w:line="219" w:lineRule="auto"/>
        <w:rPr>
          <w:sz w:val="20"/>
          <w:szCs w:val="20"/>
        </w:rPr>
      </w:pPr>
      <w:r>
        <w:rPr>
          <w:spacing w:val="2"/>
          <w:sz w:val="20"/>
          <w:szCs w:val="20"/>
        </w:rPr>
        <w:t>间的关系，所以非常重要。负的</w:t>
      </w:r>
      <w:r>
        <w:rPr>
          <w:sz w:val="20"/>
          <w:szCs w:val="20"/>
        </w:rPr>
        <w:t>CV</w:t>
      </w:r>
      <w:r>
        <w:rPr>
          <w:spacing w:val="51"/>
          <w:sz w:val="20"/>
          <w:szCs w:val="20"/>
        </w:rPr>
        <w:t xml:space="preserve"> </w:t>
      </w:r>
      <w:r>
        <w:rPr>
          <w:spacing w:val="2"/>
          <w:sz w:val="20"/>
          <w:szCs w:val="20"/>
        </w:rPr>
        <w:t>一般都是不可挽回的。公式：</w:t>
      </w:r>
      <w:r>
        <w:rPr>
          <w:sz w:val="20"/>
          <w:szCs w:val="20"/>
        </w:rPr>
        <w:t>CV</w:t>
      </w:r>
      <w:r>
        <w:rPr>
          <w:spacing w:val="2"/>
          <w:sz w:val="20"/>
          <w:szCs w:val="20"/>
        </w:rPr>
        <w:t>=</w:t>
      </w:r>
      <w:r>
        <w:rPr>
          <w:sz w:val="20"/>
          <w:szCs w:val="20"/>
        </w:rPr>
        <w:t>EV</w:t>
      </w:r>
      <w:r>
        <w:rPr>
          <w:spacing w:val="2"/>
          <w:sz w:val="20"/>
          <w:szCs w:val="20"/>
        </w:rPr>
        <w:t>-</w:t>
      </w:r>
      <w:r>
        <w:rPr>
          <w:sz w:val="20"/>
          <w:szCs w:val="20"/>
        </w:rPr>
        <w:t>AC</w:t>
      </w:r>
      <w:r>
        <w:rPr>
          <w:spacing w:val="2"/>
          <w:sz w:val="20"/>
          <w:szCs w:val="20"/>
        </w:rPr>
        <w:t>。   当</w:t>
      </w:r>
      <w:r>
        <w:rPr>
          <w:spacing w:val="-40"/>
          <w:sz w:val="20"/>
          <w:szCs w:val="20"/>
        </w:rPr>
        <w:t xml:space="preserve"> </w:t>
      </w:r>
      <w:r>
        <w:rPr>
          <w:sz w:val="20"/>
          <w:szCs w:val="20"/>
        </w:rPr>
        <w:t>CV</w:t>
      </w:r>
      <w:r>
        <w:rPr>
          <w:spacing w:val="2"/>
          <w:sz w:val="20"/>
          <w:szCs w:val="20"/>
        </w:rPr>
        <w:t>&gt;0  时</w:t>
      </w:r>
      <w:r>
        <w:rPr>
          <w:spacing w:val="-48"/>
          <w:sz w:val="20"/>
          <w:szCs w:val="20"/>
        </w:rPr>
        <w:t xml:space="preserve"> </w:t>
      </w:r>
      <w:r>
        <w:rPr>
          <w:spacing w:val="2"/>
          <w:sz w:val="20"/>
          <w:szCs w:val="20"/>
        </w:rPr>
        <w:t>，</w:t>
      </w:r>
    </w:p>
    <w:p w14:paraId="1A606A70">
      <w:pPr>
        <w:pStyle w:val="2"/>
        <w:spacing w:before="71" w:line="219" w:lineRule="auto"/>
        <w:rPr>
          <w:sz w:val="20"/>
          <w:szCs w:val="20"/>
        </w:rPr>
      </w:pPr>
      <w:r>
        <w:rPr>
          <w:spacing w:val="1"/>
          <w:sz w:val="20"/>
          <w:szCs w:val="20"/>
        </w:rPr>
        <w:t>表明成本节约；反之，当</w:t>
      </w:r>
      <w:r>
        <w:rPr>
          <w:sz w:val="20"/>
          <w:szCs w:val="20"/>
        </w:rPr>
        <w:t>CV</w:t>
      </w:r>
      <w:r>
        <w:rPr>
          <w:spacing w:val="1"/>
          <w:sz w:val="20"/>
          <w:szCs w:val="20"/>
        </w:rPr>
        <w:t>&lt;0  时，表明成本超支；当</w:t>
      </w:r>
      <w:r>
        <w:rPr>
          <w:sz w:val="20"/>
          <w:szCs w:val="20"/>
        </w:rPr>
        <w:t>CV</w:t>
      </w:r>
      <w:r>
        <w:rPr>
          <w:spacing w:val="1"/>
          <w:sz w:val="20"/>
          <w:szCs w:val="20"/>
        </w:rPr>
        <w:t>=0  时，表示按计划进行。</w:t>
      </w:r>
    </w:p>
    <w:p w14:paraId="2DCC6224">
      <w:pPr>
        <w:spacing w:line="219" w:lineRule="auto"/>
        <w:rPr>
          <w:sz w:val="20"/>
          <w:szCs w:val="20"/>
        </w:rPr>
        <w:sectPr>
          <w:pgSz w:w="10280" w:h="13310"/>
          <w:pgMar w:top="400" w:right="433" w:bottom="400" w:left="1139" w:header="0" w:footer="0" w:gutter="0"/>
          <w:cols w:space="720" w:num="1"/>
        </w:sectPr>
      </w:pPr>
    </w:p>
    <w:p w14:paraId="07F363BB">
      <w:pPr>
        <w:pStyle w:val="2"/>
        <w:spacing w:before="97" w:line="219" w:lineRule="auto"/>
        <w:rPr>
          <w:sz w:val="19"/>
          <w:szCs w:val="19"/>
        </w:rPr>
      </w:pPr>
      <w:r>
        <mc:AlternateContent>
          <mc:Choice Requires="wps">
            <w:drawing>
              <wp:anchor distT="0" distB="0" distL="0" distR="0" simplePos="0" relativeHeight="251763712" behindDoc="0" locked="0" layoutInCell="0" allowOverlap="1">
                <wp:simplePos x="0" y="0"/>
                <wp:positionH relativeFrom="page">
                  <wp:posOffset>668020</wp:posOffset>
                </wp:positionH>
                <wp:positionV relativeFrom="page">
                  <wp:posOffset>3623310</wp:posOffset>
                </wp:positionV>
                <wp:extent cx="500380" cy="165100"/>
                <wp:effectExtent l="0" t="0" r="0" b="0"/>
                <wp:wrapNone/>
                <wp:docPr id="260" name="TextBox 260"/>
                <wp:cNvGraphicFramePr/>
                <a:graphic xmlns:a="http://schemas.openxmlformats.org/drawingml/2006/main">
                  <a:graphicData uri="http://schemas.microsoft.com/office/word/2010/wordprocessingShape">
                    <wps:wsp>
                      <wps:cNvSpPr txBox="1"/>
                      <wps:spPr>
                        <a:xfrm rot="16200000">
                          <a:off x="668033" y="3623741"/>
                          <a:ext cx="500380"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928235F">
                            <w:pPr>
                              <w:pStyle w:val="2"/>
                              <w:spacing w:before="49" w:line="219" w:lineRule="auto"/>
                              <w:ind w:left="20"/>
                              <w:rPr>
                                <w:sz w:val="16"/>
                                <w:szCs w:val="16"/>
                              </w:rPr>
                            </w:pPr>
                            <w:r>
                              <w:rPr>
                                <w:spacing w:val="28"/>
                                <w:sz w:val="16"/>
                                <w:szCs w:val="16"/>
                              </w:rPr>
                              <w:t>累计成本</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0" o:spid="_x0000_s1026" o:spt="202" type="#_x0000_t202" style="position:absolute;left:0pt;margin-left:52.6pt;margin-top:285.3pt;height:13pt;width:39.4pt;mso-position-horizontal-relative:page;mso-position-vertical-relative:page;rotation:-5898240f;z-index:251763712;mso-width-relative:page;mso-height-relative:page;" filled="f" stroked="f" coordsize="21600,21600" o:allowincell="f" o:gfxdata="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Suep/YAAAACwEAAA8A&#10;AAAAAAAAAQAgAAAAIgAAAGRycy9kb3ducmV2LnhtbFBLAQIUABQAAAAIAIdO4kCXPTJ1UAIAAKQE&#10;AAAOAAAAAAAAAAEAIAAAACcBAABkcnMvZTJvRG9jLnhtbFBLBQYAAAAABgAGAFkBAADpBQAAAAA=&#10;">
                <v:fill on="f" focussize="0,0"/>
                <v:stroke on="f" weight="0pt" miterlimit="0" joinstyle="miter"/>
                <v:imagedata o:title=""/>
                <o:lock v:ext="edit" aspectratio="f"/>
                <v:textbox inset="0mm,0mm,0mm,0mm">
                  <w:txbxContent>
                    <w:p w14:paraId="4928235F">
                      <w:pPr>
                        <w:pStyle w:val="2"/>
                        <w:spacing w:before="49" w:line="219" w:lineRule="auto"/>
                        <w:ind w:left="20"/>
                        <w:rPr>
                          <w:sz w:val="16"/>
                          <w:szCs w:val="16"/>
                        </w:rPr>
                      </w:pPr>
                      <w:r>
                        <w:rPr>
                          <w:spacing w:val="28"/>
                          <w:sz w:val="16"/>
                          <w:szCs w:val="16"/>
                        </w:rPr>
                        <w:t>累计成本</w:t>
                      </w:r>
                    </w:p>
                  </w:txbxContent>
                </v:textbox>
              </v:shape>
            </w:pict>
          </mc:Fallback>
        </mc:AlternateContent>
      </w:r>
      <w:r>
        <w:drawing>
          <wp:anchor distT="0" distB="0" distL="0" distR="0" simplePos="0" relativeHeight="251764736" behindDoc="0" locked="0" layoutInCell="0" allowOverlap="1">
            <wp:simplePos x="0" y="0"/>
            <wp:positionH relativeFrom="page">
              <wp:posOffset>888365</wp:posOffset>
            </wp:positionH>
            <wp:positionV relativeFrom="page">
              <wp:posOffset>3022600</wp:posOffset>
            </wp:positionV>
            <wp:extent cx="6350" cy="42545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94"/>
                    <a:stretch>
                      <a:fillRect/>
                    </a:stretch>
                  </pic:blipFill>
                  <pic:spPr>
                    <a:xfrm>
                      <a:off x="0" y="0"/>
                      <a:ext cx="6350" cy="425472"/>
                    </a:xfrm>
                    <a:prstGeom prst="rect">
                      <a:avLst/>
                    </a:prstGeom>
                  </pic:spPr>
                </pic:pic>
              </a:graphicData>
            </a:graphic>
          </wp:anchor>
        </w:drawing>
      </w:r>
      <w:r>
        <w:rPr>
          <w:rFonts w:ascii="Times New Roman" w:hAnsi="Times New Roman" w:eastAsia="Times New Roman" w:cs="Times New Roman"/>
          <w:b/>
          <w:bCs/>
          <w:spacing w:val="3"/>
          <w:position w:val="-4"/>
          <w:sz w:val="19"/>
          <w:szCs w:val="19"/>
        </w:rPr>
        <w:t xml:space="preserve">286              </w:t>
      </w:r>
      <w:r>
        <w:rPr>
          <w:spacing w:val="3"/>
          <w:sz w:val="19"/>
          <w:szCs w:val="19"/>
        </w:rPr>
        <w:t>信息系统监理师教程(第2版)</w:t>
      </w:r>
    </w:p>
    <w:p w14:paraId="6E8DF422">
      <w:pPr>
        <w:spacing w:line="313" w:lineRule="auto"/>
        <w:rPr>
          <w:rFonts w:ascii="Arial"/>
          <w:sz w:val="21"/>
        </w:rPr>
      </w:pPr>
    </w:p>
    <w:p w14:paraId="1BD14186">
      <w:pPr>
        <w:pStyle w:val="2"/>
        <w:spacing w:before="61" w:line="222" w:lineRule="auto"/>
        <w:ind w:left="732"/>
        <w:rPr>
          <w:rFonts w:ascii="黑体" w:hAnsi="黑体" w:eastAsia="黑体" w:cs="黑体"/>
          <w:sz w:val="19"/>
          <w:szCs w:val="19"/>
        </w:rPr>
      </w:pPr>
      <w:bookmarkStart w:id="638" w:name="bookmark623"/>
      <w:bookmarkEnd w:id="638"/>
      <w:r>
        <w:rPr>
          <w:b/>
          <w:bCs/>
          <w:color w:val="055AA5"/>
          <w:spacing w:val="6"/>
          <w:sz w:val="19"/>
          <w:szCs w:val="19"/>
        </w:rPr>
        <w:t>3.</w:t>
      </w:r>
      <w:r>
        <w:rPr>
          <w:rFonts w:ascii="黑体" w:hAnsi="黑体" w:eastAsia="黑体" w:cs="黑体"/>
          <w:b/>
          <w:bCs/>
          <w:color w:val="055AA5"/>
          <w:spacing w:val="6"/>
          <w:sz w:val="19"/>
          <w:szCs w:val="19"/>
        </w:rPr>
        <w:t>趋势分析</w:t>
      </w:r>
    </w:p>
    <w:p w14:paraId="7F65B967">
      <w:pPr>
        <w:pStyle w:val="2"/>
        <w:spacing w:before="154" w:line="307" w:lineRule="auto"/>
        <w:ind w:left="340" w:right="98" w:firstLine="390"/>
        <w:rPr>
          <w:sz w:val="19"/>
          <w:szCs w:val="19"/>
        </w:rPr>
      </w:pPr>
      <w:r>
        <w:rPr>
          <w:spacing w:val="13"/>
          <w:sz w:val="19"/>
          <w:szCs w:val="19"/>
        </w:rPr>
        <w:t>趋势分析旨在审查项目绩效随时间的变化情况，以判断绩效是正在改善还是正在恶化</w:t>
      </w:r>
      <w:r>
        <w:rPr>
          <w:spacing w:val="12"/>
          <w:sz w:val="19"/>
          <w:szCs w:val="19"/>
        </w:rPr>
        <w:t>。图</w:t>
      </w:r>
      <w:r>
        <w:rPr>
          <w:sz w:val="19"/>
          <w:szCs w:val="19"/>
        </w:rPr>
        <w:t xml:space="preserve"> </w:t>
      </w:r>
      <w:r>
        <w:rPr>
          <w:spacing w:val="9"/>
          <w:sz w:val="19"/>
          <w:szCs w:val="19"/>
        </w:rPr>
        <w:t>形分析技术有助于了解截至目前的绩效情况，并把</w:t>
      </w:r>
      <w:r>
        <w:rPr>
          <w:spacing w:val="8"/>
          <w:sz w:val="19"/>
          <w:szCs w:val="19"/>
        </w:rPr>
        <w:t>发展趋势与未来的绩效目标进行比较。</w:t>
      </w:r>
    </w:p>
    <w:p w14:paraId="696095CE">
      <w:pPr>
        <w:spacing w:before="110" w:line="265" w:lineRule="exact"/>
        <w:ind w:left="730"/>
        <w:rPr>
          <w:rFonts w:ascii="STXingkai" w:hAnsi="STXingkai" w:eastAsia="STXingkai" w:cs="STXingkai"/>
          <w:sz w:val="19"/>
          <w:szCs w:val="19"/>
        </w:rPr>
      </w:pPr>
      <w:r>
        <w:rPr>
          <w:rFonts w:ascii="STXingkai" w:hAnsi="STXingkai" w:eastAsia="STXingkai" w:cs="STXingkai"/>
          <w:spacing w:val="-12"/>
          <w:position w:val="2"/>
          <w:sz w:val="19"/>
          <w:szCs w:val="19"/>
        </w:rPr>
        <w:t>1</w:t>
      </w:r>
      <w:r>
        <w:rPr>
          <w:rFonts w:ascii="STXingkai" w:hAnsi="STXingkai" w:eastAsia="STXingkai" w:cs="STXingkai"/>
          <w:spacing w:val="30"/>
          <w:w w:val="101"/>
          <w:position w:val="2"/>
          <w:sz w:val="19"/>
          <w:szCs w:val="19"/>
        </w:rPr>
        <w:t xml:space="preserve"> </w:t>
      </w:r>
      <w:r>
        <w:rPr>
          <w:rFonts w:ascii="STXingkai" w:hAnsi="STXingkai" w:eastAsia="STXingkai" w:cs="STXingkai"/>
          <w:spacing w:val="-12"/>
          <w:position w:val="2"/>
          <w:sz w:val="19"/>
          <w:szCs w:val="19"/>
        </w:rPr>
        <w:t>)</w:t>
      </w:r>
      <w:r>
        <w:rPr>
          <w:rFonts w:ascii="STXingkai" w:hAnsi="STXingkai" w:eastAsia="STXingkai" w:cs="STXingkai"/>
          <w:spacing w:val="6"/>
          <w:position w:val="2"/>
          <w:sz w:val="19"/>
          <w:szCs w:val="19"/>
        </w:rPr>
        <w:t xml:space="preserve">  </w:t>
      </w:r>
      <w:r>
        <w:rPr>
          <w:rFonts w:ascii="STXingkai" w:hAnsi="STXingkai" w:eastAsia="STXingkai" w:cs="STXingkai"/>
          <w:spacing w:val="-12"/>
          <w:position w:val="2"/>
          <w:sz w:val="19"/>
          <w:szCs w:val="19"/>
        </w:rPr>
        <w:t>图</w:t>
      </w:r>
      <w:r>
        <w:rPr>
          <w:rFonts w:ascii="STXingkai" w:hAnsi="STXingkai" w:eastAsia="STXingkai" w:cs="STXingkai"/>
          <w:spacing w:val="7"/>
          <w:position w:val="2"/>
          <w:sz w:val="19"/>
          <w:szCs w:val="19"/>
        </w:rPr>
        <w:t xml:space="preserve">  </w:t>
      </w:r>
      <w:r>
        <w:rPr>
          <w:rFonts w:ascii="STXingkai" w:hAnsi="STXingkai" w:eastAsia="STXingkai" w:cs="STXingkai"/>
          <w:spacing w:val="-12"/>
          <w:position w:val="2"/>
          <w:sz w:val="19"/>
          <w:szCs w:val="19"/>
        </w:rPr>
        <w:t>表</w:t>
      </w:r>
    </w:p>
    <w:p w14:paraId="2C79C536">
      <w:pPr>
        <w:pStyle w:val="2"/>
        <w:spacing w:before="19" w:line="303" w:lineRule="auto"/>
        <w:ind w:left="340" w:right="83" w:firstLine="390"/>
        <w:rPr>
          <w:sz w:val="19"/>
          <w:szCs w:val="19"/>
        </w:rPr>
      </w:pPr>
      <w:r>
        <w:rPr>
          <w:spacing w:val="15"/>
          <w:sz w:val="19"/>
          <w:szCs w:val="19"/>
        </w:rPr>
        <w:t>在挣值分析中，对计划价值、挣值和实际成本这三个参数，既可以分阶段(通常以周或月</w:t>
      </w:r>
      <w:r>
        <w:rPr>
          <w:spacing w:val="17"/>
          <w:sz w:val="19"/>
          <w:szCs w:val="19"/>
        </w:rPr>
        <w:t xml:space="preserve"> </w:t>
      </w:r>
      <w:r>
        <w:rPr>
          <w:spacing w:val="15"/>
          <w:sz w:val="19"/>
          <w:szCs w:val="19"/>
        </w:rPr>
        <w:t>为单位)进行监督和报告，也可以针对累计值进</w:t>
      </w:r>
      <w:r>
        <w:rPr>
          <w:spacing w:val="14"/>
          <w:sz w:val="19"/>
          <w:szCs w:val="19"/>
        </w:rPr>
        <w:t>行监督和报告。图12-4以</w:t>
      </w:r>
      <w:r>
        <w:rPr>
          <w:rFonts w:ascii="Times New Roman" w:hAnsi="Times New Roman" w:eastAsia="Times New Roman" w:cs="Times New Roman"/>
          <w:spacing w:val="14"/>
          <w:sz w:val="19"/>
          <w:szCs w:val="19"/>
        </w:rPr>
        <w:t>S</w:t>
      </w:r>
      <w:r>
        <w:rPr>
          <w:rFonts w:ascii="Times New Roman" w:hAnsi="Times New Roman" w:eastAsia="Times New Roman" w:cs="Times New Roman"/>
          <w:spacing w:val="39"/>
          <w:w w:val="101"/>
          <w:sz w:val="19"/>
          <w:szCs w:val="19"/>
        </w:rPr>
        <w:t xml:space="preserve"> </w:t>
      </w:r>
      <w:r>
        <w:rPr>
          <w:spacing w:val="14"/>
          <w:sz w:val="19"/>
          <w:szCs w:val="19"/>
        </w:rPr>
        <w:t>曲线展示了某个项</w:t>
      </w:r>
      <w:r>
        <w:rPr>
          <w:sz w:val="19"/>
          <w:szCs w:val="19"/>
        </w:rPr>
        <w:t xml:space="preserve"> </w:t>
      </w:r>
      <w:r>
        <w:rPr>
          <w:spacing w:val="10"/>
          <w:sz w:val="19"/>
          <w:szCs w:val="19"/>
        </w:rPr>
        <w:t>目的</w:t>
      </w:r>
      <w:r>
        <w:rPr>
          <w:rFonts w:ascii="Times New Roman" w:hAnsi="Times New Roman" w:eastAsia="Times New Roman" w:cs="Times New Roman"/>
          <w:sz w:val="19"/>
          <w:szCs w:val="19"/>
        </w:rPr>
        <w:t>EV</w:t>
      </w:r>
      <w:r>
        <w:rPr>
          <w:rFonts w:ascii="Times New Roman" w:hAnsi="Times New Roman" w:eastAsia="Times New Roman" w:cs="Times New Roman"/>
          <w:spacing w:val="43"/>
          <w:sz w:val="19"/>
          <w:szCs w:val="19"/>
        </w:rPr>
        <w:t xml:space="preserve"> </w:t>
      </w:r>
      <w:r>
        <w:rPr>
          <w:spacing w:val="10"/>
          <w:sz w:val="19"/>
          <w:szCs w:val="19"/>
        </w:rPr>
        <w:t>数据，该项目预算超支且进度落后。</w:t>
      </w:r>
    </w:p>
    <w:p w14:paraId="71CFE13F">
      <w:pPr>
        <w:spacing w:line="117" w:lineRule="exact"/>
      </w:pPr>
    </w:p>
    <w:p w14:paraId="25EEFA54">
      <w:pPr>
        <w:spacing w:line="117" w:lineRule="exact"/>
        <w:sectPr>
          <w:pgSz w:w="10300" w:h="13390"/>
          <w:pgMar w:top="400" w:right="1044" w:bottom="400" w:left="509" w:header="0" w:footer="0" w:gutter="0"/>
          <w:cols w:equalWidth="0" w:num="1">
            <w:col w:w="8746"/>
          </w:cols>
        </w:sectPr>
      </w:pPr>
    </w:p>
    <w:p w14:paraId="2855E16E"/>
    <w:p w14:paraId="79D93B24">
      <w:pPr>
        <w:spacing w:line="14" w:lineRule="auto"/>
        <w:rPr>
          <w:rFonts w:ascii="Arial"/>
          <w:sz w:val="2"/>
        </w:rPr>
      </w:pPr>
      <w:r>
        <w:rPr>
          <w:rFonts w:ascii="Arial" w:hAnsi="Arial" w:eastAsia="Arial" w:cs="Arial"/>
          <w:sz w:val="2"/>
          <w:szCs w:val="2"/>
        </w:rPr>
        <w:br w:type="column"/>
      </w:r>
    </w:p>
    <w:p w14:paraId="1ED63419">
      <w:pPr>
        <w:pStyle w:val="2"/>
        <w:spacing w:line="3331" w:lineRule="exact"/>
      </w:pPr>
      <w:r>
        <w:rPr>
          <w:position w:val="-66"/>
        </w:rPr>
        <w:pict>
          <v:group id="_x0000_s1488" o:spid="_x0000_s1488" o:spt="203" style="height:166.65pt;width:356.55pt;" coordsize="7130,3332">
            <o:lock v:ext="edit"/>
            <v:shape id="_x0000_s1489" o:spid="_x0000_s1489" o:spt="75" type="#_x0000_t75" style="position:absolute;left:0;top:122;height:3210;width:7130;" filled="f" stroked="f" coordsize="21600,21600">
              <v:path/>
              <v:fill on="f" focussize="0,0"/>
              <v:stroke on="f"/>
              <v:imagedata r:id="rId195" o:title=""/>
              <o:lock v:ext="edit" aspectratio="t"/>
            </v:shape>
            <v:shape id="_x0000_s1490" o:spid="_x0000_s1490" o:spt="202" type="#_x0000_t202" style="position:absolute;left:580;top:-20;height:3020;width:5609;" filled="f" stroked="f" coordsize="21600,21600">
              <v:path/>
              <v:fill on="f" focussize="0,0"/>
              <v:stroke on="f"/>
              <v:imagedata o:title=""/>
              <o:lock v:ext="edit" aspectratio="f"/>
              <v:textbox inset="0mm,0mm,0mm,0mm">
                <w:txbxContent>
                  <w:p w14:paraId="0FE18240">
                    <w:pPr>
                      <w:spacing w:before="20" w:line="219" w:lineRule="auto"/>
                      <w:ind w:right="4"/>
                      <w:jc w:val="right"/>
                      <w:rPr>
                        <w:rFonts w:ascii="宋体" w:hAnsi="宋体" w:eastAsia="宋体" w:cs="宋体"/>
                        <w:sz w:val="19"/>
                        <w:szCs w:val="19"/>
                      </w:rPr>
                    </w:pPr>
                    <w:r>
                      <w:rPr>
                        <w:rFonts w:ascii="宋体" w:hAnsi="宋体" w:eastAsia="宋体" w:cs="宋体"/>
                        <w:spacing w:val="-12"/>
                        <w:sz w:val="19"/>
                        <w:szCs w:val="19"/>
                      </w:rPr>
                      <w:t>项目预算</w:t>
                    </w:r>
                  </w:p>
                  <w:p w14:paraId="0ED626E7">
                    <w:pPr>
                      <w:spacing w:before="224" w:line="219" w:lineRule="auto"/>
                      <w:ind w:left="2599"/>
                      <w:rPr>
                        <w:rFonts w:ascii="宋体" w:hAnsi="宋体" w:eastAsia="宋体" w:cs="宋体"/>
                        <w:sz w:val="19"/>
                        <w:szCs w:val="19"/>
                      </w:rPr>
                    </w:pPr>
                    <w:r>
                      <w:rPr>
                        <w:rFonts w:ascii="宋体" w:hAnsi="宋体" w:eastAsia="宋体" w:cs="宋体"/>
                        <w:spacing w:val="-14"/>
                        <w:sz w:val="19"/>
                        <w:szCs w:val="19"/>
                      </w:rPr>
                      <w:t>管理储备</w:t>
                    </w:r>
                  </w:p>
                  <w:p w14:paraId="704AC893">
                    <w:pPr>
                      <w:spacing w:before="154" w:line="220" w:lineRule="auto"/>
                      <w:ind w:left="2599" w:right="2474"/>
                      <w:rPr>
                        <w:rFonts w:ascii="宋体" w:hAnsi="宋体" w:eastAsia="宋体" w:cs="宋体"/>
                        <w:sz w:val="19"/>
                        <w:szCs w:val="19"/>
                      </w:rPr>
                    </w:pPr>
                    <w:r>
                      <w:rPr>
                        <w:rFonts w:ascii="宋体" w:hAnsi="宋体" w:eastAsia="宋体" w:cs="宋体"/>
                        <w:spacing w:val="-12"/>
                        <w:sz w:val="19"/>
                        <w:szCs w:val="19"/>
                      </w:rPr>
                      <w:t>完工尚</w:t>
                    </w:r>
                    <w:r>
                      <w:rPr>
                        <w:rFonts w:ascii="宋体" w:hAnsi="宋体" w:eastAsia="宋体" w:cs="宋体"/>
                        <w:sz w:val="19"/>
                        <w:szCs w:val="19"/>
                      </w:rPr>
                      <w:t xml:space="preserve"> </w:t>
                    </w:r>
                    <w:r>
                      <w:rPr>
                        <w:rFonts w:ascii="宋体" w:hAnsi="宋体" w:eastAsia="宋体" w:cs="宋体"/>
                        <w:spacing w:val="-14"/>
                        <w:sz w:val="19"/>
                        <w:szCs w:val="19"/>
                      </w:rPr>
                      <w:t>需估算</w:t>
                    </w:r>
                  </w:p>
                  <w:p w14:paraId="788D2536">
                    <w:pPr>
                      <w:spacing w:before="125" w:line="218" w:lineRule="auto"/>
                      <w:ind w:left="3759"/>
                      <w:rPr>
                        <w:rFonts w:ascii="宋体" w:hAnsi="宋体" w:eastAsia="宋体" w:cs="宋体"/>
                        <w:sz w:val="19"/>
                        <w:szCs w:val="19"/>
                      </w:rPr>
                    </w:pPr>
                    <w:r>
                      <w:rPr>
                        <w:rFonts w:ascii="宋体" w:hAnsi="宋体" w:eastAsia="宋体" w:cs="宋体"/>
                        <w:spacing w:val="-12"/>
                        <w:sz w:val="19"/>
                        <w:szCs w:val="19"/>
                      </w:rPr>
                      <w:t>计划价值</w:t>
                    </w:r>
                  </w:p>
                  <w:p w14:paraId="4642A903">
                    <w:pPr>
                      <w:spacing w:line="266" w:lineRule="auto"/>
                      <w:rPr>
                        <w:rFonts w:ascii="Arial"/>
                        <w:sz w:val="21"/>
                      </w:rPr>
                    </w:pPr>
                  </w:p>
                  <w:p w14:paraId="5F3A51AC">
                    <w:pPr>
                      <w:spacing w:line="266" w:lineRule="auto"/>
                      <w:rPr>
                        <w:rFonts w:ascii="Arial"/>
                        <w:sz w:val="21"/>
                      </w:rPr>
                    </w:pPr>
                  </w:p>
                  <w:p w14:paraId="2B86EEBB">
                    <w:pPr>
                      <w:spacing w:line="267" w:lineRule="auto"/>
                      <w:rPr>
                        <w:rFonts w:ascii="Arial"/>
                        <w:sz w:val="21"/>
                      </w:rPr>
                    </w:pPr>
                  </w:p>
                  <w:p w14:paraId="67F6C588">
                    <w:pPr>
                      <w:spacing w:before="62" w:line="219" w:lineRule="auto"/>
                      <w:ind w:left="20"/>
                      <w:rPr>
                        <w:rFonts w:ascii="宋体" w:hAnsi="宋体" w:eastAsia="宋体" w:cs="宋体"/>
                        <w:sz w:val="19"/>
                        <w:szCs w:val="19"/>
                      </w:rPr>
                    </w:pPr>
                    <w:r>
                      <w:rPr>
                        <w:rFonts w:ascii="宋体" w:hAnsi="宋体" w:eastAsia="宋体" w:cs="宋体"/>
                        <w:spacing w:val="-12"/>
                        <w:sz w:val="19"/>
                        <w:szCs w:val="19"/>
                      </w:rPr>
                      <w:t>实际成本</w:t>
                    </w:r>
                  </w:p>
                  <w:p w14:paraId="5FF82AC2">
                    <w:pPr>
                      <w:spacing w:before="66" w:line="219" w:lineRule="auto"/>
                      <w:ind w:left="1739"/>
                      <w:rPr>
                        <w:rFonts w:ascii="宋体" w:hAnsi="宋体" w:eastAsia="宋体" w:cs="宋体"/>
                        <w:sz w:val="19"/>
                        <w:szCs w:val="19"/>
                      </w:rPr>
                    </w:pPr>
                    <w:r>
                      <w:rPr>
                        <w:rFonts w:ascii="宋体" w:hAnsi="宋体" w:eastAsia="宋体" w:cs="宋体"/>
                        <w:spacing w:val="-2"/>
                        <w:sz w:val="19"/>
                        <w:szCs w:val="19"/>
                      </w:rPr>
                      <w:t>挣值</w:t>
                    </w:r>
                  </w:p>
                </w:txbxContent>
              </v:textbox>
            </v:shape>
            <v:shape id="_x0000_s1491" o:spid="_x0000_s1491" o:spt="202" type="#_x0000_t202" style="position:absolute;left:6600;top:170;height:429;width:532;" filled="f" stroked="f" coordsize="21600,21600">
              <v:path/>
              <v:fill on="f" focussize="0,0"/>
              <v:stroke on="f"/>
              <v:imagedata o:title=""/>
              <o:lock v:ext="edit" aspectratio="f"/>
              <v:textbox inset="0mm,0mm,0mm,0mm">
                <w:txbxContent>
                  <w:p w14:paraId="49088E6F">
                    <w:pPr>
                      <w:spacing w:before="21" w:line="205" w:lineRule="auto"/>
                      <w:ind w:left="138" w:right="20" w:hanging="119"/>
                      <w:rPr>
                        <w:rFonts w:ascii="宋体" w:hAnsi="宋体" w:eastAsia="宋体" w:cs="宋体"/>
                        <w:sz w:val="19"/>
                        <w:szCs w:val="19"/>
                      </w:rPr>
                    </w:pPr>
                    <w:r>
                      <w:rPr>
                        <w:rFonts w:ascii="宋体" w:hAnsi="宋体" w:eastAsia="宋体" w:cs="宋体"/>
                        <w:color w:val="005CB8"/>
                        <w:spacing w:val="-30"/>
                        <w:sz w:val="19"/>
                        <w:szCs w:val="19"/>
                      </w:rPr>
                      <w:t>λ</w:t>
                    </w:r>
                    <w:r>
                      <w:rPr>
                        <w:rFonts w:ascii="宋体" w:hAnsi="宋体" w:eastAsia="宋体" w:cs="宋体"/>
                        <w:spacing w:val="-30"/>
                        <w:sz w:val="19"/>
                        <w:szCs w:val="19"/>
                      </w:rPr>
                      <w:t>完工</w:t>
                    </w:r>
                    <w:r>
                      <w:rPr>
                        <w:rFonts w:ascii="宋体" w:hAnsi="宋体" w:eastAsia="宋体" w:cs="宋体"/>
                        <w:sz w:val="19"/>
                        <w:szCs w:val="19"/>
                      </w:rPr>
                      <w:t xml:space="preserve"> </w:t>
                    </w:r>
                    <w:r>
                      <w:rPr>
                        <w:rFonts w:ascii="宋体" w:hAnsi="宋体" w:eastAsia="宋体" w:cs="宋体"/>
                        <w:spacing w:val="-4"/>
                        <w:sz w:val="19"/>
                        <w:szCs w:val="19"/>
                      </w:rPr>
                      <w:t>估算</w:t>
                    </w:r>
                  </w:p>
                </w:txbxContent>
              </v:textbox>
            </v:shape>
            <v:shape id="_x0000_s1492" o:spid="_x0000_s1492" o:spt="202" type="#_x0000_t202" style="position:absolute;left:6230;top:688;height:442;width:439;" filled="f" stroked="f" coordsize="21600,21600">
              <v:path/>
              <v:fill on="f" focussize="0,0"/>
              <v:stroke on="f"/>
              <v:imagedata o:title=""/>
              <o:lock v:ext="edit" aspectratio="f"/>
              <v:textbox inset="0mm,0mm,0mm,0mm">
                <w:txbxContent>
                  <w:p w14:paraId="6A95092B">
                    <w:pPr>
                      <w:spacing w:before="20" w:line="212" w:lineRule="auto"/>
                      <w:ind w:left="29" w:right="20" w:hanging="9"/>
                      <w:rPr>
                        <w:rFonts w:ascii="宋体" w:hAnsi="宋体" w:eastAsia="宋体" w:cs="宋体"/>
                        <w:sz w:val="19"/>
                        <w:szCs w:val="19"/>
                      </w:rPr>
                    </w:pPr>
                    <w:r>
                      <w:rPr>
                        <w:rFonts w:ascii="黑体" w:hAnsi="黑体" w:eastAsia="黑体" w:cs="黑体"/>
                        <w:spacing w:val="9"/>
                        <w:sz w:val="19"/>
                        <w:szCs w:val="19"/>
                      </w:rPr>
                      <w:t>完工</w:t>
                    </w:r>
                    <w:r>
                      <w:rPr>
                        <w:rFonts w:ascii="黑体" w:hAnsi="黑体" w:eastAsia="黑体" w:cs="黑体"/>
                        <w:sz w:val="19"/>
                        <w:szCs w:val="19"/>
                      </w:rPr>
                      <w:t xml:space="preserve"> </w:t>
                    </w:r>
                    <w:r>
                      <w:rPr>
                        <w:rFonts w:ascii="宋体" w:hAnsi="宋体" w:eastAsia="宋体" w:cs="宋体"/>
                        <w:spacing w:val="-3"/>
                        <w:sz w:val="19"/>
                        <w:szCs w:val="19"/>
                      </w:rPr>
                      <w:t>预算</w:t>
                    </w:r>
                  </w:p>
                </w:txbxContent>
              </v:textbox>
            </v:shape>
            <w10:wrap type="none"/>
            <w10:anchorlock/>
          </v:group>
        </w:pict>
      </w:r>
    </w:p>
    <w:p w14:paraId="69713E87">
      <w:pPr>
        <w:pStyle w:val="2"/>
        <w:spacing w:before="18" w:line="219" w:lineRule="auto"/>
        <w:ind w:left="2840"/>
        <w:rPr>
          <w:sz w:val="19"/>
          <w:szCs w:val="19"/>
        </w:rPr>
      </w:pPr>
      <w:r>
        <w:rPr>
          <w:spacing w:val="-13"/>
          <w:sz w:val="19"/>
          <w:szCs w:val="19"/>
        </w:rPr>
        <w:t>数据日期</w:t>
      </w:r>
    </w:p>
    <w:p w14:paraId="3028F36F">
      <w:pPr>
        <w:spacing w:before="65" w:line="223" w:lineRule="auto"/>
        <w:ind w:left="2270"/>
        <w:rPr>
          <w:rFonts w:ascii="黑体" w:hAnsi="黑体" w:eastAsia="黑体" w:cs="黑体"/>
          <w:sz w:val="19"/>
          <w:szCs w:val="19"/>
        </w:rPr>
      </w:pPr>
      <w:r>
        <w:rPr>
          <w:rFonts w:ascii="黑体" w:hAnsi="黑体" w:eastAsia="黑体" w:cs="黑体"/>
          <w:spacing w:val="-8"/>
          <w:sz w:val="19"/>
          <w:szCs w:val="19"/>
        </w:rPr>
        <w:t>时间</w:t>
      </w:r>
      <w:r>
        <w:rPr>
          <w:rFonts w:ascii="黑体" w:hAnsi="黑体" w:eastAsia="黑体" w:cs="黑体"/>
          <w:spacing w:val="-60"/>
          <w:sz w:val="19"/>
          <w:szCs w:val="19"/>
        </w:rPr>
        <w:t xml:space="preserve"> </w:t>
      </w:r>
      <w:r>
        <w:rPr>
          <w:rFonts w:ascii="黑体" w:hAnsi="黑体" w:eastAsia="黑体" w:cs="黑体"/>
          <w:strike/>
          <w:sz w:val="19"/>
          <w:szCs w:val="19"/>
        </w:rPr>
        <w:t xml:space="preserve">              </w:t>
      </w:r>
    </w:p>
    <w:p w14:paraId="472C0E63">
      <w:pPr>
        <w:pStyle w:val="2"/>
        <w:spacing w:before="109" w:line="184" w:lineRule="auto"/>
        <w:ind w:left="1959"/>
        <w:rPr>
          <w:sz w:val="19"/>
          <w:szCs w:val="19"/>
        </w:rPr>
      </w:pPr>
      <w:r>
        <w:rPr>
          <w:spacing w:val="-8"/>
          <w:sz w:val="19"/>
          <w:szCs w:val="19"/>
        </w:rPr>
        <w:t>图12-4</w:t>
      </w:r>
      <w:r>
        <w:rPr>
          <w:spacing w:val="77"/>
          <w:sz w:val="19"/>
          <w:szCs w:val="19"/>
        </w:rPr>
        <w:t xml:space="preserve"> </w:t>
      </w:r>
      <w:r>
        <w:rPr>
          <w:spacing w:val="-8"/>
          <w:sz w:val="19"/>
          <w:szCs w:val="19"/>
        </w:rPr>
        <w:t>挣值、计划价值和实际成本</w:t>
      </w:r>
    </w:p>
    <w:p w14:paraId="5EA028B6">
      <w:pPr>
        <w:spacing w:line="184" w:lineRule="auto"/>
        <w:rPr>
          <w:sz w:val="19"/>
          <w:szCs w:val="19"/>
        </w:rPr>
        <w:sectPr>
          <w:type w:val="continuous"/>
          <w:pgSz w:w="10300" w:h="13390"/>
          <w:pgMar w:top="400" w:right="1044" w:bottom="400" w:left="509" w:header="0" w:footer="0" w:gutter="0"/>
          <w:cols w:equalWidth="0" w:num="2">
            <w:col w:w="1031" w:space="100"/>
            <w:col w:w="7616"/>
          </w:cols>
        </w:sectPr>
      </w:pPr>
    </w:p>
    <w:p w14:paraId="046D49E2">
      <w:pPr>
        <w:spacing w:line="249" w:lineRule="auto"/>
        <w:rPr>
          <w:rFonts w:ascii="Arial"/>
          <w:sz w:val="21"/>
        </w:rPr>
      </w:pPr>
    </w:p>
    <w:p w14:paraId="3BE876E4">
      <w:pPr>
        <w:pStyle w:val="2"/>
        <w:spacing w:before="62" w:line="220" w:lineRule="auto"/>
        <w:ind w:left="730"/>
        <w:rPr>
          <w:sz w:val="19"/>
          <w:szCs w:val="19"/>
        </w:rPr>
      </w:pPr>
      <w:r>
        <w:rPr>
          <w:spacing w:val="-7"/>
          <w:sz w:val="19"/>
          <w:szCs w:val="19"/>
        </w:rPr>
        <w:t>2</w:t>
      </w:r>
      <w:r>
        <w:rPr>
          <w:spacing w:val="-42"/>
          <w:sz w:val="19"/>
          <w:szCs w:val="19"/>
        </w:rPr>
        <w:t xml:space="preserve"> </w:t>
      </w:r>
      <w:r>
        <w:rPr>
          <w:spacing w:val="-7"/>
          <w:sz w:val="19"/>
          <w:szCs w:val="19"/>
        </w:rPr>
        <w:t>)</w:t>
      </w:r>
      <w:r>
        <w:rPr>
          <w:spacing w:val="-41"/>
          <w:sz w:val="19"/>
          <w:szCs w:val="19"/>
        </w:rPr>
        <w:t xml:space="preserve"> </w:t>
      </w:r>
      <w:r>
        <w:rPr>
          <w:spacing w:val="-7"/>
          <w:sz w:val="19"/>
          <w:szCs w:val="19"/>
        </w:rPr>
        <w:t>预</w:t>
      </w:r>
      <w:r>
        <w:rPr>
          <w:spacing w:val="-42"/>
          <w:sz w:val="19"/>
          <w:szCs w:val="19"/>
        </w:rPr>
        <w:t xml:space="preserve"> </w:t>
      </w:r>
      <w:r>
        <w:rPr>
          <w:spacing w:val="-7"/>
          <w:sz w:val="19"/>
          <w:szCs w:val="19"/>
        </w:rPr>
        <w:t>测</w:t>
      </w:r>
    </w:p>
    <w:p w14:paraId="3D0FD85A">
      <w:pPr>
        <w:pStyle w:val="2"/>
        <w:spacing w:before="64" w:line="300" w:lineRule="auto"/>
        <w:ind w:left="340" w:firstLine="390"/>
        <w:rPr>
          <w:sz w:val="19"/>
          <w:szCs w:val="19"/>
        </w:rPr>
      </w:pPr>
      <w:r>
        <w:rPr>
          <w:spacing w:val="13"/>
          <w:sz w:val="19"/>
          <w:szCs w:val="19"/>
        </w:rPr>
        <w:t>随着项目进展，项目团队可以根据项目绩效，</w:t>
      </w:r>
      <w:r>
        <w:rPr>
          <w:spacing w:val="12"/>
          <w:sz w:val="19"/>
          <w:szCs w:val="19"/>
        </w:rPr>
        <w:t>对完工估算</w:t>
      </w:r>
      <w:r>
        <w:rPr>
          <w:spacing w:val="-44"/>
          <w:sz w:val="19"/>
          <w:szCs w:val="19"/>
        </w:rPr>
        <w:t xml:space="preserve"> </w:t>
      </w:r>
      <w:r>
        <w:rPr>
          <w:rFonts w:ascii="Times New Roman" w:hAnsi="Times New Roman" w:eastAsia="Times New Roman" w:cs="Times New Roman"/>
          <w:spacing w:val="12"/>
          <w:sz w:val="19"/>
          <w:szCs w:val="19"/>
        </w:rPr>
        <w:t>(</w:t>
      </w:r>
      <w:r>
        <w:rPr>
          <w:rFonts w:ascii="Times New Roman" w:hAnsi="Times New Roman" w:eastAsia="Times New Roman" w:cs="Times New Roman"/>
          <w:sz w:val="19"/>
          <w:szCs w:val="19"/>
        </w:rPr>
        <w:t>EAC</w:t>
      </w:r>
      <w:r>
        <w:rPr>
          <w:rFonts w:ascii="Times New Roman" w:hAnsi="Times New Roman" w:eastAsia="Times New Roman" w:cs="Times New Roman"/>
          <w:spacing w:val="12"/>
          <w:sz w:val="19"/>
          <w:szCs w:val="19"/>
        </w:rPr>
        <w:t xml:space="preserve">)    </w:t>
      </w:r>
      <w:r>
        <w:rPr>
          <w:spacing w:val="12"/>
          <w:sz w:val="19"/>
          <w:szCs w:val="19"/>
        </w:rPr>
        <w:t>进行预测，预测的结果</w:t>
      </w:r>
      <w:r>
        <w:rPr>
          <w:sz w:val="19"/>
          <w:szCs w:val="19"/>
        </w:rPr>
        <w:t xml:space="preserve">  </w:t>
      </w:r>
      <w:r>
        <w:rPr>
          <w:spacing w:val="15"/>
          <w:sz w:val="19"/>
          <w:szCs w:val="19"/>
        </w:rPr>
        <w:t>可能与完工预算</w:t>
      </w:r>
      <w:r>
        <w:rPr>
          <w:spacing w:val="-29"/>
          <w:sz w:val="19"/>
          <w:szCs w:val="19"/>
        </w:rPr>
        <w:t xml:space="preserve"> </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BAC</w:t>
      </w:r>
      <w:r>
        <w:rPr>
          <w:rFonts w:ascii="Times New Roman" w:hAnsi="Times New Roman" w:eastAsia="Times New Roman" w:cs="Times New Roman"/>
          <w:spacing w:val="15"/>
          <w:sz w:val="19"/>
          <w:szCs w:val="19"/>
        </w:rPr>
        <w:t xml:space="preserve">)    </w:t>
      </w:r>
      <w:r>
        <w:rPr>
          <w:spacing w:val="15"/>
          <w:sz w:val="19"/>
          <w:szCs w:val="19"/>
        </w:rPr>
        <w:t>存在差异。如果</w:t>
      </w:r>
      <w:r>
        <w:rPr>
          <w:rFonts w:ascii="Times New Roman" w:hAnsi="Times New Roman" w:eastAsia="Times New Roman" w:cs="Times New Roman"/>
          <w:sz w:val="19"/>
          <w:szCs w:val="19"/>
        </w:rPr>
        <w:t>BAC</w:t>
      </w:r>
      <w:r>
        <w:rPr>
          <w:rFonts w:ascii="Times New Roman" w:hAnsi="Times New Roman" w:eastAsia="Times New Roman" w:cs="Times New Roman"/>
          <w:spacing w:val="15"/>
          <w:sz w:val="19"/>
          <w:szCs w:val="19"/>
        </w:rPr>
        <w:t xml:space="preserve">  </w:t>
      </w:r>
      <w:r>
        <w:rPr>
          <w:spacing w:val="15"/>
          <w:sz w:val="19"/>
          <w:szCs w:val="19"/>
        </w:rPr>
        <w:t>已明显不再可行，则应考虑对</w:t>
      </w:r>
      <w:r>
        <w:rPr>
          <w:rFonts w:ascii="Times New Roman" w:hAnsi="Times New Roman" w:eastAsia="Times New Roman" w:cs="Times New Roman"/>
          <w:sz w:val="19"/>
          <w:szCs w:val="19"/>
        </w:rPr>
        <w:t>EAC</w:t>
      </w:r>
      <w:r>
        <w:rPr>
          <w:rFonts w:ascii="Times New Roman" w:hAnsi="Times New Roman" w:eastAsia="Times New Roman" w:cs="Times New Roman"/>
          <w:spacing w:val="37"/>
          <w:w w:val="101"/>
          <w:sz w:val="19"/>
          <w:szCs w:val="19"/>
        </w:rPr>
        <w:t xml:space="preserve"> </w:t>
      </w:r>
      <w:r>
        <w:rPr>
          <w:spacing w:val="15"/>
          <w:sz w:val="19"/>
          <w:szCs w:val="19"/>
        </w:rPr>
        <w:t>进行预测。</w:t>
      </w:r>
      <w:r>
        <w:rPr>
          <w:sz w:val="19"/>
          <w:szCs w:val="19"/>
        </w:rPr>
        <w:t xml:space="preserve"> </w:t>
      </w:r>
      <w:r>
        <w:rPr>
          <w:spacing w:val="15"/>
          <w:sz w:val="19"/>
          <w:szCs w:val="19"/>
        </w:rPr>
        <w:t>预</w:t>
      </w:r>
      <w:r>
        <w:rPr>
          <w:spacing w:val="-29"/>
          <w:sz w:val="19"/>
          <w:szCs w:val="19"/>
        </w:rPr>
        <w:t xml:space="preserve"> </w:t>
      </w:r>
      <w:r>
        <w:rPr>
          <w:spacing w:val="15"/>
          <w:sz w:val="19"/>
          <w:szCs w:val="19"/>
        </w:rPr>
        <w:t>测</w:t>
      </w:r>
      <w:r>
        <w:rPr>
          <w:rFonts w:ascii="Times New Roman" w:hAnsi="Times New Roman" w:eastAsia="Times New Roman" w:cs="Times New Roman"/>
          <w:sz w:val="19"/>
          <w:szCs w:val="19"/>
        </w:rPr>
        <w:t>EAC</w:t>
      </w:r>
      <w:r>
        <w:rPr>
          <w:rFonts w:ascii="Times New Roman" w:hAnsi="Times New Roman" w:eastAsia="Times New Roman" w:cs="Times New Roman"/>
          <w:spacing w:val="37"/>
          <w:sz w:val="19"/>
          <w:szCs w:val="19"/>
        </w:rPr>
        <w:t xml:space="preserve"> </w:t>
      </w:r>
      <w:r>
        <w:rPr>
          <w:spacing w:val="15"/>
          <w:sz w:val="19"/>
          <w:szCs w:val="19"/>
        </w:rPr>
        <w:t>是根据当前掌握的绩效信息和其他知识，预计项目未来的情况和事件。预测要根据</w:t>
      </w:r>
      <w:r>
        <w:rPr>
          <w:sz w:val="19"/>
          <w:szCs w:val="19"/>
        </w:rPr>
        <w:t xml:space="preserve">  </w:t>
      </w:r>
      <w:r>
        <w:rPr>
          <w:spacing w:val="13"/>
          <w:sz w:val="19"/>
          <w:szCs w:val="19"/>
        </w:rPr>
        <w:t>项目执行过程中所提供的工作绩效数据来产生、更新和重新发布。工作绩效信息包含项</w:t>
      </w:r>
      <w:r>
        <w:rPr>
          <w:spacing w:val="12"/>
          <w:sz w:val="19"/>
          <w:szCs w:val="19"/>
        </w:rPr>
        <w:t>目过去</w:t>
      </w:r>
      <w:r>
        <w:rPr>
          <w:sz w:val="19"/>
          <w:szCs w:val="19"/>
        </w:rPr>
        <w:t xml:space="preserve">  </w:t>
      </w:r>
      <w:r>
        <w:rPr>
          <w:spacing w:val="17"/>
          <w:sz w:val="19"/>
          <w:szCs w:val="19"/>
        </w:rPr>
        <w:t>的绩效，以及可能在未来对项目产生影响的任何信息。在计算</w:t>
      </w:r>
      <w:r>
        <w:rPr>
          <w:rFonts w:ascii="Times New Roman" w:hAnsi="Times New Roman" w:eastAsia="Times New Roman" w:cs="Times New Roman"/>
          <w:sz w:val="19"/>
          <w:szCs w:val="19"/>
        </w:rPr>
        <w:t>EAC</w:t>
      </w:r>
      <w:r>
        <w:rPr>
          <w:rFonts w:ascii="Times New Roman" w:hAnsi="Times New Roman" w:eastAsia="Times New Roman" w:cs="Times New Roman"/>
          <w:spacing w:val="37"/>
          <w:sz w:val="19"/>
          <w:szCs w:val="19"/>
        </w:rPr>
        <w:t xml:space="preserve"> </w:t>
      </w:r>
      <w:r>
        <w:rPr>
          <w:spacing w:val="17"/>
          <w:sz w:val="19"/>
          <w:szCs w:val="19"/>
        </w:rPr>
        <w:t>时，通常</w:t>
      </w:r>
      <w:r>
        <w:rPr>
          <w:spacing w:val="16"/>
          <w:sz w:val="19"/>
          <w:szCs w:val="19"/>
        </w:rPr>
        <w:t>用已完成工作的</w:t>
      </w:r>
      <w:r>
        <w:rPr>
          <w:sz w:val="19"/>
          <w:szCs w:val="19"/>
        </w:rPr>
        <w:t xml:space="preserve">  </w:t>
      </w:r>
      <w:r>
        <w:rPr>
          <w:spacing w:val="13"/>
          <w:sz w:val="19"/>
          <w:szCs w:val="19"/>
        </w:rPr>
        <w:t>实际成本加上剩余工作的完工尚需估算</w:t>
      </w:r>
      <w:r>
        <w:rPr>
          <w:spacing w:val="-34"/>
          <w:sz w:val="19"/>
          <w:szCs w:val="19"/>
        </w:rPr>
        <w:t xml:space="preserve"> </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ETC</w:t>
      </w:r>
      <w:r>
        <w:rPr>
          <w:rFonts w:ascii="Times New Roman" w:hAnsi="Times New Roman" w:eastAsia="Times New Roman" w:cs="Times New Roman"/>
          <w:spacing w:val="13"/>
          <w:sz w:val="19"/>
          <w:szCs w:val="19"/>
        </w:rPr>
        <w:t>)</w:t>
      </w:r>
      <w:r>
        <w:rPr>
          <w:rFonts w:ascii="Times New Roman" w:hAnsi="Times New Roman" w:eastAsia="Times New Roman" w:cs="Times New Roman"/>
          <w:spacing w:val="-22"/>
          <w:sz w:val="19"/>
          <w:szCs w:val="19"/>
        </w:rPr>
        <w:t xml:space="preserve"> </w:t>
      </w:r>
      <w:r>
        <w:rPr>
          <w:spacing w:val="13"/>
          <w:sz w:val="19"/>
          <w:szCs w:val="19"/>
        </w:rPr>
        <w:t>。</w:t>
      </w:r>
      <w:r>
        <w:rPr>
          <w:spacing w:val="58"/>
          <w:sz w:val="19"/>
          <w:szCs w:val="19"/>
        </w:rPr>
        <w:t xml:space="preserve"> </w:t>
      </w:r>
      <w:r>
        <w:rPr>
          <w:spacing w:val="13"/>
          <w:sz w:val="19"/>
          <w:szCs w:val="19"/>
        </w:rPr>
        <w:t>预测者要根</w:t>
      </w:r>
      <w:r>
        <w:rPr>
          <w:spacing w:val="12"/>
          <w:sz w:val="19"/>
          <w:szCs w:val="19"/>
        </w:rPr>
        <w:t>据已有的经验，考虑实施</w:t>
      </w:r>
      <w:r>
        <w:rPr>
          <w:rFonts w:ascii="Times New Roman" w:hAnsi="Times New Roman" w:eastAsia="Times New Roman" w:cs="Times New Roman"/>
          <w:sz w:val="19"/>
          <w:szCs w:val="19"/>
        </w:rPr>
        <w:t>ETC</w:t>
      </w:r>
      <w:r>
        <w:rPr>
          <w:rFonts w:ascii="Times New Roman" w:hAnsi="Times New Roman" w:eastAsia="Times New Roman" w:cs="Times New Roman"/>
          <w:spacing w:val="29"/>
          <w:sz w:val="19"/>
          <w:szCs w:val="19"/>
        </w:rPr>
        <w:t xml:space="preserve"> </w:t>
      </w:r>
      <w:r>
        <w:rPr>
          <w:spacing w:val="12"/>
          <w:sz w:val="19"/>
          <w:szCs w:val="19"/>
        </w:rPr>
        <w:t>工</w:t>
      </w:r>
      <w:r>
        <w:rPr>
          <w:sz w:val="19"/>
          <w:szCs w:val="19"/>
        </w:rPr>
        <w:t xml:space="preserve">  </w:t>
      </w:r>
      <w:r>
        <w:rPr>
          <w:spacing w:val="12"/>
          <w:sz w:val="19"/>
          <w:szCs w:val="19"/>
        </w:rPr>
        <w:t>作可能遇到的各种情况。把挣值分析与手工预测</w:t>
      </w:r>
      <w:r>
        <w:rPr>
          <w:rFonts w:ascii="Times New Roman" w:hAnsi="Times New Roman" w:eastAsia="Times New Roman" w:cs="Times New Roman"/>
          <w:sz w:val="19"/>
          <w:szCs w:val="19"/>
        </w:rPr>
        <w:t>EAC</w:t>
      </w:r>
      <w:r>
        <w:rPr>
          <w:rFonts w:ascii="Times New Roman" w:hAnsi="Times New Roman" w:eastAsia="Times New Roman" w:cs="Times New Roman"/>
          <w:spacing w:val="27"/>
          <w:sz w:val="19"/>
          <w:szCs w:val="19"/>
        </w:rPr>
        <w:t xml:space="preserve"> </w:t>
      </w:r>
      <w:r>
        <w:rPr>
          <w:spacing w:val="12"/>
          <w:sz w:val="19"/>
          <w:szCs w:val="19"/>
        </w:rPr>
        <w:t>方法</w:t>
      </w:r>
      <w:r>
        <w:rPr>
          <w:spacing w:val="11"/>
          <w:sz w:val="19"/>
          <w:szCs w:val="19"/>
        </w:rPr>
        <w:t>联合起来使用，效果会更佳。手工进</w:t>
      </w:r>
      <w:r>
        <w:rPr>
          <w:sz w:val="19"/>
          <w:szCs w:val="19"/>
        </w:rPr>
        <w:t xml:space="preserve">  </w:t>
      </w:r>
      <w:r>
        <w:rPr>
          <w:spacing w:val="15"/>
          <w:sz w:val="19"/>
          <w:szCs w:val="19"/>
        </w:rPr>
        <w:t>行的自下而上汇总方法，就是一种最普通的</w:t>
      </w:r>
      <w:r>
        <w:rPr>
          <w:sz w:val="19"/>
          <w:szCs w:val="19"/>
        </w:rPr>
        <w:t>EAC</w:t>
      </w:r>
      <w:r>
        <w:rPr>
          <w:spacing w:val="96"/>
          <w:sz w:val="19"/>
          <w:szCs w:val="19"/>
        </w:rPr>
        <w:t xml:space="preserve"> </w:t>
      </w:r>
      <w:r>
        <w:rPr>
          <w:spacing w:val="15"/>
          <w:sz w:val="19"/>
          <w:szCs w:val="19"/>
        </w:rPr>
        <w:t>预测方法。自下而上的</w:t>
      </w:r>
      <w:r>
        <w:rPr>
          <w:sz w:val="19"/>
          <w:szCs w:val="19"/>
        </w:rPr>
        <w:t>EAC</w:t>
      </w:r>
      <w:r>
        <w:rPr>
          <w:spacing w:val="85"/>
          <w:sz w:val="19"/>
          <w:szCs w:val="19"/>
        </w:rPr>
        <w:t xml:space="preserve"> </w:t>
      </w:r>
      <w:r>
        <w:rPr>
          <w:spacing w:val="15"/>
          <w:sz w:val="19"/>
          <w:szCs w:val="19"/>
        </w:rPr>
        <w:t>估算，就是以已</w:t>
      </w:r>
      <w:r>
        <w:rPr>
          <w:sz w:val="19"/>
          <w:szCs w:val="19"/>
        </w:rPr>
        <w:t xml:space="preserve">  </w:t>
      </w:r>
      <w:r>
        <w:rPr>
          <w:spacing w:val="15"/>
          <w:sz w:val="19"/>
          <w:szCs w:val="19"/>
        </w:rPr>
        <w:t>完成工作的实际成本为基础，并根据已积累的经验来为剩余项目工作编制一个新估算。公式：</w:t>
      </w:r>
      <w:r>
        <w:rPr>
          <w:sz w:val="19"/>
          <w:szCs w:val="19"/>
        </w:rPr>
        <w:t xml:space="preserve"> </w:t>
      </w:r>
      <w:r>
        <w:rPr>
          <w:rFonts w:ascii="Times New Roman" w:hAnsi="Times New Roman" w:eastAsia="Times New Roman" w:cs="Times New Roman"/>
          <w:sz w:val="19"/>
          <w:szCs w:val="19"/>
        </w:rPr>
        <w:t>EAC</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AC</w:t>
      </w:r>
      <w:r>
        <w:rPr>
          <w:rFonts w:ascii="Times New Roman" w:hAnsi="Times New Roman" w:eastAsia="Times New Roman" w:cs="Times New Roman"/>
          <w:spacing w:val="22"/>
          <w:w w:val="101"/>
          <w:sz w:val="19"/>
          <w:szCs w:val="19"/>
        </w:rPr>
        <w:t xml:space="preserve">  </w:t>
      </w:r>
      <w:r>
        <w:rPr>
          <w:spacing w:val="3"/>
          <w:sz w:val="19"/>
          <w:szCs w:val="19"/>
        </w:rPr>
        <w:t>+</w:t>
      </w:r>
      <w:r>
        <w:rPr>
          <w:spacing w:val="28"/>
          <w:sz w:val="19"/>
          <w:szCs w:val="19"/>
        </w:rPr>
        <w:t xml:space="preserve"> </w:t>
      </w:r>
      <w:r>
        <w:rPr>
          <w:spacing w:val="3"/>
          <w:sz w:val="19"/>
          <w:szCs w:val="19"/>
        </w:rPr>
        <w:t>自下而上的</w:t>
      </w:r>
      <w:r>
        <w:rPr>
          <w:sz w:val="19"/>
          <w:szCs w:val="19"/>
        </w:rPr>
        <w:t>ETC</w:t>
      </w:r>
      <w:r>
        <w:rPr>
          <w:spacing w:val="3"/>
          <w:sz w:val="19"/>
          <w:szCs w:val="19"/>
        </w:rPr>
        <w:t>。</w:t>
      </w:r>
    </w:p>
    <w:p w14:paraId="6F89E0A8">
      <w:pPr>
        <w:pStyle w:val="2"/>
        <w:spacing w:before="118" w:line="222" w:lineRule="auto"/>
        <w:ind w:left="732"/>
        <w:rPr>
          <w:rFonts w:ascii="黑体" w:hAnsi="黑体" w:eastAsia="黑体" w:cs="黑体"/>
          <w:sz w:val="19"/>
          <w:szCs w:val="19"/>
        </w:rPr>
      </w:pPr>
      <w:r>
        <w:rPr>
          <w:b/>
          <w:bCs/>
          <w:color w:val="0C5EB1"/>
          <w:spacing w:val="21"/>
          <w:sz w:val="19"/>
          <w:szCs w:val="19"/>
        </w:rPr>
        <w:t>4.</w:t>
      </w:r>
      <w:r>
        <w:rPr>
          <w:b/>
          <w:bCs/>
          <w:color w:val="0C5EB1"/>
          <w:sz w:val="19"/>
          <w:szCs w:val="19"/>
        </w:rPr>
        <w:t>ABC</w:t>
      </w:r>
      <w:r>
        <w:rPr>
          <w:color w:val="0C5EB1"/>
          <w:spacing w:val="2"/>
          <w:sz w:val="19"/>
          <w:szCs w:val="19"/>
        </w:rPr>
        <w:t xml:space="preserve">  </w:t>
      </w:r>
      <w:r>
        <w:rPr>
          <w:rFonts w:ascii="黑体" w:hAnsi="黑体" w:eastAsia="黑体" w:cs="黑体"/>
          <w:b/>
          <w:bCs/>
          <w:color w:val="0C5EB1"/>
          <w:spacing w:val="21"/>
          <w:sz w:val="19"/>
          <w:szCs w:val="19"/>
        </w:rPr>
        <w:t>分析法(帕累托图)</w:t>
      </w:r>
    </w:p>
    <w:p w14:paraId="49D4DF4D">
      <w:pPr>
        <w:pStyle w:val="2"/>
        <w:spacing w:before="173" w:line="242" w:lineRule="auto"/>
        <w:ind w:left="340" w:firstLine="390"/>
        <w:rPr>
          <w:sz w:val="19"/>
          <w:szCs w:val="19"/>
        </w:rPr>
      </w:pPr>
      <w:r>
        <w:rPr>
          <w:sz w:val="19"/>
          <w:szCs w:val="19"/>
        </w:rPr>
        <w:t>ABC</w:t>
      </w:r>
      <w:r>
        <w:rPr>
          <w:spacing w:val="90"/>
          <w:sz w:val="19"/>
          <w:szCs w:val="19"/>
        </w:rPr>
        <w:t xml:space="preserve"> </w:t>
      </w:r>
      <w:r>
        <w:rPr>
          <w:spacing w:val="12"/>
          <w:sz w:val="19"/>
          <w:szCs w:val="19"/>
        </w:rPr>
        <w:t>分析法由意大利经济学家帕累托</w:t>
      </w:r>
      <w:r>
        <w:rPr>
          <w:spacing w:val="-32"/>
          <w:sz w:val="19"/>
          <w:szCs w:val="19"/>
        </w:rPr>
        <w:t xml:space="preserve"> </w:t>
      </w:r>
      <w:r>
        <w:rPr>
          <w:spacing w:val="12"/>
          <w:sz w:val="19"/>
          <w:szCs w:val="19"/>
        </w:rPr>
        <w:t>(</w:t>
      </w:r>
      <w:r>
        <w:rPr>
          <w:sz w:val="19"/>
          <w:szCs w:val="19"/>
        </w:rPr>
        <w:t>Vifredo</w:t>
      </w:r>
      <w:r>
        <w:rPr>
          <w:spacing w:val="12"/>
          <w:sz w:val="19"/>
          <w:szCs w:val="19"/>
        </w:rPr>
        <w:t xml:space="preserve"> </w:t>
      </w:r>
      <w:r>
        <w:rPr>
          <w:sz w:val="19"/>
          <w:szCs w:val="19"/>
        </w:rPr>
        <w:t>Pareto</w:t>
      </w:r>
      <w:r>
        <w:rPr>
          <w:spacing w:val="12"/>
          <w:sz w:val="19"/>
          <w:szCs w:val="19"/>
        </w:rPr>
        <w:t>)所创，其基本原理为“关键的少数</w:t>
      </w:r>
      <w:r>
        <w:rPr>
          <w:sz w:val="19"/>
          <w:szCs w:val="19"/>
        </w:rPr>
        <w:t xml:space="preserve"> </w:t>
      </w:r>
      <w:r>
        <w:rPr>
          <w:spacing w:val="14"/>
          <w:sz w:val="19"/>
          <w:szCs w:val="19"/>
        </w:rPr>
        <w:t>和次要的多数”,抓住关键的少数可以解决问题的大部分。</w:t>
      </w:r>
      <w:r>
        <w:rPr>
          <w:spacing w:val="-14"/>
          <w:sz w:val="19"/>
          <w:szCs w:val="19"/>
        </w:rPr>
        <w:t xml:space="preserve"> </w:t>
      </w:r>
      <w:r>
        <w:rPr>
          <w:rFonts w:ascii="Times New Roman" w:hAnsi="Times New Roman" w:eastAsia="Times New Roman" w:cs="Times New Roman"/>
          <w:sz w:val="19"/>
          <w:szCs w:val="19"/>
        </w:rPr>
        <w:t>ABC</w:t>
      </w:r>
      <w:r>
        <w:rPr>
          <w:rFonts w:ascii="Times New Roman" w:hAnsi="Times New Roman" w:eastAsia="Times New Roman" w:cs="Times New Roman"/>
          <w:spacing w:val="23"/>
          <w:w w:val="102"/>
          <w:sz w:val="19"/>
          <w:szCs w:val="19"/>
        </w:rPr>
        <w:t xml:space="preserve"> </w:t>
      </w:r>
      <w:r>
        <w:rPr>
          <w:spacing w:val="14"/>
          <w:sz w:val="19"/>
          <w:szCs w:val="19"/>
        </w:rPr>
        <w:t>分析法也称费用比重分析法、</w:t>
      </w:r>
    </w:p>
    <w:p w14:paraId="214EFCA0">
      <w:pPr>
        <w:spacing w:line="242" w:lineRule="auto"/>
        <w:rPr>
          <w:sz w:val="19"/>
          <w:szCs w:val="19"/>
        </w:rPr>
        <w:sectPr>
          <w:type w:val="continuous"/>
          <w:pgSz w:w="10300" w:h="13390"/>
          <w:pgMar w:top="400" w:right="1044" w:bottom="400" w:left="509" w:header="0" w:footer="0" w:gutter="0"/>
          <w:cols w:equalWidth="0" w:num="1">
            <w:col w:w="8746"/>
          </w:cols>
        </w:sectPr>
      </w:pPr>
    </w:p>
    <w:p w14:paraId="0E3BB338">
      <w:pPr>
        <w:pStyle w:val="2"/>
        <w:spacing w:before="97" w:line="225" w:lineRule="auto"/>
        <w:jc w:val="right"/>
        <w:rPr>
          <w:sz w:val="20"/>
          <w:szCs w:val="20"/>
        </w:rPr>
      </w:pPr>
      <w:bookmarkStart w:id="639" w:name="bookmark624"/>
      <w:bookmarkEnd w:id="639"/>
      <w:r>
        <w:rPr>
          <w:spacing w:val="-6"/>
          <w:position w:val="1"/>
          <w:sz w:val="20"/>
          <w:szCs w:val="20"/>
        </w:rPr>
        <w:t>第12章</w:t>
      </w:r>
      <w:r>
        <w:rPr>
          <w:spacing w:val="25"/>
          <w:position w:val="1"/>
          <w:sz w:val="20"/>
          <w:szCs w:val="20"/>
        </w:rPr>
        <w:t xml:space="preserve"> </w:t>
      </w:r>
      <w:r>
        <w:rPr>
          <w:spacing w:val="-6"/>
          <w:position w:val="1"/>
          <w:sz w:val="20"/>
          <w:szCs w:val="20"/>
        </w:rPr>
        <w:t>投资控制</w:t>
      </w:r>
      <w:r>
        <w:rPr>
          <w:spacing w:val="20"/>
          <w:position w:val="1"/>
          <w:sz w:val="20"/>
          <w:szCs w:val="20"/>
        </w:rPr>
        <w:t xml:space="preserve">   </w:t>
      </w:r>
      <w:r>
        <w:rPr>
          <w:color w:val="0099E7"/>
          <w:spacing w:val="-6"/>
          <w:position w:val="-4"/>
          <w:sz w:val="20"/>
          <w:szCs w:val="20"/>
        </w:rPr>
        <w:t>■</w:t>
      </w:r>
      <w:r>
        <w:rPr>
          <w:color w:val="0099E7"/>
          <w:spacing w:val="-49"/>
          <w:position w:val="-4"/>
          <w:sz w:val="20"/>
          <w:szCs w:val="20"/>
        </w:rPr>
        <w:t xml:space="preserve"> </w:t>
      </w:r>
      <w:r>
        <w:rPr>
          <w:rFonts w:ascii="Times New Roman" w:hAnsi="Times New Roman" w:eastAsia="Times New Roman" w:cs="Times New Roman"/>
          <w:spacing w:val="-6"/>
          <w:position w:val="-4"/>
          <w:sz w:val="20"/>
          <w:szCs w:val="20"/>
        </w:rPr>
        <w:t>287</w:t>
      </w:r>
      <w:r>
        <w:rPr>
          <w:rFonts w:ascii="Times New Roman" w:hAnsi="Times New Roman" w:eastAsia="Times New Roman" w:cs="Times New Roman"/>
          <w:spacing w:val="24"/>
          <w:position w:val="-4"/>
          <w:sz w:val="20"/>
          <w:szCs w:val="20"/>
        </w:rPr>
        <w:t xml:space="preserve"> </w:t>
      </w:r>
      <w:r>
        <w:rPr>
          <w:color w:val="0099E7"/>
          <w:spacing w:val="-6"/>
          <w:position w:val="-4"/>
          <w:sz w:val="20"/>
          <w:szCs w:val="20"/>
        </w:rPr>
        <w:t>|</w:t>
      </w:r>
    </w:p>
    <w:p w14:paraId="1828079B">
      <w:pPr>
        <w:spacing w:line="258" w:lineRule="auto"/>
        <w:rPr>
          <w:rFonts w:ascii="Arial"/>
          <w:sz w:val="21"/>
        </w:rPr>
      </w:pPr>
    </w:p>
    <w:p w14:paraId="154FA63F">
      <w:pPr>
        <w:pStyle w:val="2"/>
        <w:spacing w:before="65" w:line="219" w:lineRule="auto"/>
        <w:rPr>
          <w:sz w:val="20"/>
          <w:szCs w:val="20"/>
        </w:rPr>
      </w:pPr>
      <w:r>
        <w:rPr>
          <w:spacing w:val="-4"/>
          <w:sz w:val="20"/>
          <w:szCs w:val="20"/>
        </w:rPr>
        <w:t>不均匀分布定律法。</w:t>
      </w:r>
    </w:p>
    <w:p w14:paraId="76D7382C">
      <w:pPr>
        <w:pStyle w:val="2"/>
        <w:spacing w:before="83" w:line="269" w:lineRule="auto"/>
        <w:ind w:right="426" w:firstLine="390"/>
        <w:jc w:val="both"/>
        <w:rPr>
          <w:sz w:val="20"/>
          <w:szCs w:val="20"/>
        </w:rPr>
      </w:pPr>
      <w:r>
        <w:rPr>
          <w:spacing w:val="16"/>
          <w:sz w:val="20"/>
          <w:szCs w:val="20"/>
        </w:rPr>
        <w:t>相当多的项目/产品中，占总项目10%～20</w:t>
      </w:r>
      <w:r>
        <w:rPr>
          <w:spacing w:val="15"/>
          <w:sz w:val="20"/>
          <w:szCs w:val="20"/>
        </w:rPr>
        <w:t>%的一些子项目，其费用/成本占总费用/总</w:t>
      </w:r>
      <w:r>
        <w:rPr>
          <w:sz w:val="20"/>
          <w:szCs w:val="20"/>
        </w:rPr>
        <w:t xml:space="preserve"> </w:t>
      </w:r>
      <w:r>
        <w:rPr>
          <w:spacing w:val="21"/>
          <w:sz w:val="20"/>
          <w:szCs w:val="20"/>
        </w:rPr>
        <w:t>成本的60%～80%。选择这10%～20%的子项目定位为</w:t>
      </w:r>
      <w:r>
        <w:rPr>
          <w:rFonts w:ascii="Times New Roman" w:hAnsi="Times New Roman" w:eastAsia="Times New Roman" w:cs="Times New Roman"/>
          <w:spacing w:val="21"/>
          <w:sz w:val="20"/>
          <w:szCs w:val="20"/>
        </w:rPr>
        <w:t xml:space="preserve">A </w:t>
      </w:r>
      <w:r>
        <w:rPr>
          <w:spacing w:val="21"/>
          <w:sz w:val="20"/>
          <w:szCs w:val="20"/>
        </w:rPr>
        <w:t>类，同理，定位</w:t>
      </w:r>
      <w:r>
        <w:rPr>
          <w:rFonts w:ascii="Times New Roman" w:hAnsi="Times New Roman" w:eastAsia="Times New Roman" w:cs="Times New Roman"/>
          <w:spacing w:val="21"/>
          <w:sz w:val="20"/>
          <w:szCs w:val="20"/>
        </w:rPr>
        <w:t xml:space="preserve">B </w:t>
      </w:r>
      <w:r>
        <w:rPr>
          <w:spacing w:val="21"/>
          <w:sz w:val="20"/>
          <w:szCs w:val="20"/>
        </w:rPr>
        <w:t>类和</w:t>
      </w:r>
      <w:r>
        <w:rPr>
          <w:rFonts w:ascii="Times New Roman" w:hAnsi="Times New Roman" w:eastAsia="Times New Roman" w:cs="Times New Roman"/>
          <w:spacing w:val="21"/>
          <w:sz w:val="20"/>
          <w:szCs w:val="20"/>
        </w:rPr>
        <w:t>C</w:t>
      </w:r>
      <w:r>
        <w:rPr>
          <w:rFonts w:ascii="Times New Roman" w:hAnsi="Times New Roman" w:eastAsia="Times New Roman" w:cs="Times New Roman"/>
          <w:spacing w:val="20"/>
          <w:sz w:val="20"/>
          <w:szCs w:val="20"/>
        </w:rPr>
        <w:t xml:space="preserve"> </w:t>
      </w:r>
      <w:r>
        <w:rPr>
          <w:spacing w:val="20"/>
          <w:sz w:val="20"/>
          <w:szCs w:val="20"/>
        </w:rPr>
        <w:t>类，如</w:t>
      </w:r>
      <w:r>
        <w:rPr>
          <w:sz w:val="20"/>
          <w:szCs w:val="20"/>
        </w:rPr>
        <w:t xml:space="preserve"> </w:t>
      </w:r>
      <w:r>
        <w:rPr>
          <w:spacing w:val="3"/>
          <w:sz w:val="20"/>
          <w:szCs w:val="20"/>
        </w:rPr>
        <w:t>图12-5所示。</w:t>
      </w:r>
    </w:p>
    <w:p w14:paraId="3B91E027">
      <w:pPr>
        <w:spacing w:before="108" w:line="3190" w:lineRule="exact"/>
        <w:ind w:firstLine="1990"/>
      </w:pPr>
      <w:r>
        <w:rPr>
          <w:position w:val="-63"/>
        </w:rPr>
        <w:drawing>
          <wp:inline distT="0" distB="0" distL="0" distR="0">
            <wp:extent cx="2818765" cy="202565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96"/>
                    <a:stretch>
                      <a:fillRect/>
                    </a:stretch>
                  </pic:blipFill>
                  <pic:spPr>
                    <a:xfrm>
                      <a:off x="0" y="0"/>
                      <a:ext cx="2819355" cy="2025655"/>
                    </a:xfrm>
                    <a:prstGeom prst="rect">
                      <a:avLst/>
                    </a:prstGeom>
                  </pic:spPr>
                </pic:pic>
              </a:graphicData>
            </a:graphic>
          </wp:inline>
        </w:drawing>
      </w:r>
    </w:p>
    <w:p w14:paraId="724811A1">
      <w:pPr>
        <w:pStyle w:val="2"/>
        <w:spacing w:before="129" w:line="220" w:lineRule="auto"/>
        <w:ind w:left="3150"/>
        <w:rPr>
          <w:sz w:val="20"/>
          <w:szCs w:val="20"/>
        </w:rPr>
      </w:pPr>
      <w:r>
        <w:rPr>
          <w:spacing w:val="-8"/>
          <w:sz w:val="20"/>
          <w:szCs w:val="20"/>
        </w:rPr>
        <w:t>图12-5</w:t>
      </w:r>
      <w:r>
        <w:rPr>
          <w:spacing w:val="35"/>
          <w:sz w:val="20"/>
          <w:szCs w:val="20"/>
        </w:rPr>
        <w:t xml:space="preserve"> </w:t>
      </w:r>
      <w:r>
        <w:rPr>
          <w:rFonts w:ascii="Times New Roman" w:hAnsi="Times New Roman" w:eastAsia="Times New Roman" w:cs="Times New Roman"/>
          <w:spacing w:val="-8"/>
          <w:sz w:val="20"/>
          <w:szCs w:val="20"/>
        </w:rPr>
        <w:t>ABC</w:t>
      </w:r>
      <w:r>
        <w:rPr>
          <w:spacing w:val="-8"/>
          <w:sz w:val="20"/>
          <w:szCs w:val="20"/>
        </w:rPr>
        <w:t>分析法图示</w:t>
      </w:r>
    </w:p>
    <w:p w14:paraId="2A2941F7">
      <w:pPr>
        <w:pStyle w:val="2"/>
        <w:spacing w:before="188" w:line="286" w:lineRule="auto"/>
        <w:ind w:right="433" w:firstLine="390"/>
        <w:jc w:val="both"/>
        <w:rPr>
          <w:sz w:val="20"/>
          <w:szCs w:val="20"/>
        </w:rPr>
      </w:pPr>
      <w:r>
        <w:rPr>
          <w:spacing w:val="1"/>
          <w:sz w:val="20"/>
          <w:szCs w:val="20"/>
        </w:rPr>
        <w:t>在</w:t>
      </w:r>
      <w:r>
        <w:rPr>
          <w:rFonts w:ascii="Times New Roman" w:hAnsi="Times New Roman" w:eastAsia="Times New Roman" w:cs="Times New Roman"/>
          <w:sz w:val="20"/>
          <w:szCs w:val="20"/>
        </w:rPr>
        <w:t>ABC</w:t>
      </w:r>
      <w:r>
        <w:rPr>
          <w:rFonts w:ascii="Times New Roman" w:hAnsi="Times New Roman" w:eastAsia="Times New Roman" w:cs="Times New Roman"/>
          <w:spacing w:val="21"/>
          <w:sz w:val="20"/>
          <w:szCs w:val="20"/>
        </w:rPr>
        <w:t xml:space="preserve"> </w:t>
      </w:r>
      <w:r>
        <w:rPr>
          <w:spacing w:val="1"/>
          <w:sz w:val="20"/>
          <w:szCs w:val="20"/>
        </w:rPr>
        <w:t>分析法的分析图中，有一个纵坐标，一个横坐标，几个</w:t>
      </w:r>
      <w:r>
        <w:rPr>
          <w:sz w:val="20"/>
          <w:szCs w:val="20"/>
        </w:rPr>
        <w:t xml:space="preserve">长方形，一条曲线，以百分 </w:t>
      </w:r>
      <w:r>
        <w:rPr>
          <w:spacing w:val="3"/>
          <w:sz w:val="20"/>
          <w:szCs w:val="20"/>
        </w:rPr>
        <w:t>数表示。横坐标表示影响质量的各项因素，按影响大小从左向右排列，曲线表示各</w:t>
      </w:r>
      <w:r>
        <w:rPr>
          <w:spacing w:val="2"/>
          <w:sz w:val="20"/>
          <w:szCs w:val="20"/>
        </w:rPr>
        <w:t>种影响因素</w:t>
      </w:r>
      <w:r>
        <w:rPr>
          <w:sz w:val="20"/>
          <w:szCs w:val="20"/>
        </w:rPr>
        <w:t xml:space="preserve"> </w:t>
      </w:r>
      <w:r>
        <w:rPr>
          <w:spacing w:val="-1"/>
          <w:sz w:val="20"/>
          <w:szCs w:val="20"/>
        </w:rPr>
        <w:t>大小的累计百分数。一般地，是将曲线的累计频率分为</w:t>
      </w:r>
      <w:r>
        <w:rPr>
          <w:spacing w:val="-2"/>
          <w:sz w:val="20"/>
          <w:szCs w:val="20"/>
        </w:rPr>
        <w:t>三级，与之相对应的因素分为三类：</w:t>
      </w:r>
    </w:p>
    <w:p w14:paraId="0080C6BB">
      <w:pPr>
        <w:pStyle w:val="2"/>
        <w:spacing w:line="212" w:lineRule="auto"/>
        <w:ind w:left="390"/>
        <w:rPr>
          <w:sz w:val="20"/>
          <w:szCs w:val="20"/>
        </w:rPr>
      </w:pPr>
      <w:r>
        <w:rPr>
          <w:rFonts w:ascii="Times New Roman" w:hAnsi="Times New Roman" w:eastAsia="Times New Roman" w:cs="Times New Roman"/>
          <w:spacing w:val="13"/>
          <w:sz w:val="20"/>
          <w:szCs w:val="20"/>
        </w:rPr>
        <w:t xml:space="preserve">(1)A   </w:t>
      </w:r>
      <w:r>
        <w:rPr>
          <w:spacing w:val="13"/>
          <w:sz w:val="20"/>
          <w:szCs w:val="20"/>
        </w:rPr>
        <w:t>类因素，发生频率为70%～80%,是主要影响因素。</w:t>
      </w:r>
    </w:p>
    <w:p w14:paraId="196855EB">
      <w:pPr>
        <w:pStyle w:val="2"/>
        <w:spacing w:before="91" w:line="212" w:lineRule="auto"/>
        <w:ind w:left="390"/>
        <w:rPr>
          <w:sz w:val="20"/>
          <w:szCs w:val="20"/>
        </w:rPr>
      </w:pPr>
      <w:r>
        <w:rPr>
          <w:rFonts w:ascii="Times New Roman" w:hAnsi="Times New Roman" w:eastAsia="Times New Roman" w:cs="Times New Roman"/>
          <w:spacing w:val="13"/>
          <w:sz w:val="20"/>
          <w:szCs w:val="20"/>
        </w:rPr>
        <w:t>(2)B</w:t>
      </w:r>
      <w:r>
        <w:rPr>
          <w:rFonts w:ascii="Times New Roman" w:hAnsi="Times New Roman" w:eastAsia="Times New Roman" w:cs="Times New Roman"/>
          <w:spacing w:val="3"/>
          <w:sz w:val="20"/>
          <w:szCs w:val="20"/>
        </w:rPr>
        <w:t xml:space="preserve">    </w:t>
      </w:r>
      <w:r>
        <w:rPr>
          <w:spacing w:val="13"/>
          <w:sz w:val="20"/>
          <w:szCs w:val="20"/>
        </w:rPr>
        <w:t>类因素，发生频率为10%～20%,是</w:t>
      </w:r>
      <w:r>
        <w:rPr>
          <w:spacing w:val="12"/>
          <w:sz w:val="20"/>
          <w:szCs w:val="20"/>
        </w:rPr>
        <w:t>次要影响因素。</w:t>
      </w:r>
    </w:p>
    <w:p w14:paraId="50B3E102">
      <w:pPr>
        <w:pStyle w:val="2"/>
        <w:spacing w:before="70" w:line="212" w:lineRule="auto"/>
        <w:ind w:left="390"/>
        <w:rPr>
          <w:sz w:val="20"/>
          <w:szCs w:val="20"/>
        </w:rPr>
      </w:pPr>
      <w:r>
        <w:rPr>
          <w:rFonts w:ascii="Times New Roman" w:hAnsi="Times New Roman" w:eastAsia="Times New Roman" w:cs="Times New Roman"/>
          <w:spacing w:val="13"/>
          <w:sz w:val="20"/>
          <w:szCs w:val="20"/>
        </w:rPr>
        <w:t xml:space="preserve">(3)C   </w:t>
      </w:r>
      <w:r>
        <w:rPr>
          <w:spacing w:val="13"/>
          <w:sz w:val="20"/>
          <w:szCs w:val="20"/>
        </w:rPr>
        <w:t>类因素，发生频率为0%～10%,是一般影响因素。</w:t>
      </w:r>
    </w:p>
    <w:p w14:paraId="6F02EFA2">
      <w:pPr>
        <w:pStyle w:val="2"/>
        <w:spacing w:before="92" w:line="281" w:lineRule="auto"/>
        <w:ind w:right="433" w:firstLine="390"/>
        <w:jc w:val="both"/>
        <w:rPr>
          <w:sz w:val="20"/>
          <w:szCs w:val="20"/>
        </w:rPr>
      </w:pPr>
      <w:r>
        <w:rPr>
          <w:rFonts w:ascii="Times New Roman" w:hAnsi="Times New Roman" w:eastAsia="Times New Roman" w:cs="Times New Roman"/>
          <w:sz w:val="20"/>
          <w:szCs w:val="20"/>
        </w:rPr>
        <w:t>ABC</w:t>
      </w:r>
      <w:r>
        <w:rPr>
          <w:rFonts w:ascii="Times New Roman" w:hAnsi="Times New Roman" w:eastAsia="Times New Roman" w:cs="Times New Roman"/>
          <w:spacing w:val="-8"/>
          <w:sz w:val="20"/>
          <w:szCs w:val="20"/>
        </w:rPr>
        <w:t xml:space="preserve"> </w:t>
      </w:r>
      <w:r>
        <w:rPr>
          <w:spacing w:val="2"/>
          <w:sz w:val="20"/>
          <w:szCs w:val="20"/>
        </w:rPr>
        <w:t>分析法抓住成本比重大的子项目或阶段作为研究对象，有利于集中精力重点突破，取</w:t>
      </w:r>
      <w:r>
        <w:rPr>
          <w:sz w:val="20"/>
          <w:szCs w:val="20"/>
        </w:rPr>
        <w:t xml:space="preserve"> </w:t>
      </w:r>
      <w:r>
        <w:rPr>
          <w:spacing w:val="3"/>
          <w:sz w:val="20"/>
          <w:szCs w:val="20"/>
        </w:rPr>
        <w:t>得较大效果，且简便易行，所以广泛地在项目管理和项目监理中被采用。但在实际项</w:t>
      </w:r>
      <w:r>
        <w:rPr>
          <w:spacing w:val="2"/>
          <w:sz w:val="20"/>
          <w:szCs w:val="20"/>
        </w:rPr>
        <w:t>目中，有</w:t>
      </w:r>
      <w:r>
        <w:rPr>
          <w:sz w:val="20"/>
          <w:szCs w:val="20"/>
        </w:rPr>
        <w:t xml:space="preserve"> </w:t>
      </w:r>
      <w:r>
        <w:rPr>
          <w:spacing w:val="3"/>
          <w:sz w:val="20"/>
          <w:szCs w:val="20"/>
        </w:rPr>
        <w:t>时由于投资分配不合理，造成投资比重不大但业主单位认为功能重要的对象可能</w:t>
      </w:r>
      <w:r>
        <w:rPr>
          <w:spacing w:val="2"/>
          <w:sz w:val="20"/>
          <w:szCs w:val="20"/>
        </w:rPr>
        <w:t>漏选或排序推</w:t>
      </w:r>
      <w:r>
        <w:rPr>
          <w:sz w:val="20"/>
          <w:szCs w:val="20"/>
        </w:rPr>
        <w:t xml:space="preserve"> </w:t>
      </w:r>
      <w:r>
        <w:rPr>
          <w:spacing w:val="1"/>
          <w:sz w:val="20"/>
          <w:szCs w:val="20"/>
        </w:rPr>
        <w:t>后，而这种情况应列为监理在投资控制工作中的重点。</w:t>
      </w:r>
      <w:r>
        <w:rPr>
          <w:rFonts w:ascii="Times New Roman" w:hAnsi="Times New Roman" w:eastAsia="Times New Roman" w:cs="Times New Roman"/>
          <w:sz w:val="20"/>
          <w:szCs w:val="20"/>
        </w:rPr>
        <w:t>ABC</w:t>
      </w:r>
      <w:r>
        <w:rPr>
          <w:rFonts w:ascii="Times New Roman" w:hAnsi="Times New Roman" w:eastAsia="Times New Roman" w:cs="Times New Roman"/>
          <w:spacing w:val="1"/>
          <w:sz w:val="20"/>
          <w:szCs w:val="20"/>
        </w:rPr>
        <w:t xml:space="preserve"> </w:t>
      </w:r>
      <w:r>
        <w:rPr>
          <w:spacing w:val="1"/>
          <w:sz w:val="20"/>
          <w:szCs w:val="20"/>
        </w:rPr>
        <w:t>分析法的这一缺点可以通过经验分</w:t>
      </w:r>
      <w:r>
        <w:rPr>
          <w:spacing w:val="16"/>
          <w:sz w:val="20"/>
          <w:szCs w:val="20"/>
        </w:rPr>
        <w:t xml:space="preserve"> </w:t>
      </w:r>
      <w:r>
        <w:rPr>
          <w:spacing w:val="-3"/>
          <w:sz w:val="20"/>
          <w:szCs w:val="20"/>
        </w:rPr>
        <w:t>析法、强制确定法等方法补充修正。</w:t>
      </w:r>
    </w:p>
    <w:p w14:paraId="04687F6D">
      <w:pPr>
        <w:pStyle w:val="2"/>
        <w:spacing w:before="104" w:line="221" w:lineRule="auto"/>
        <w:ind w:left="392"/>
        <w:rPr>
          <w:rFonts w:ascii="黑体" w:hAnsi="黑体" w:eastAsia="黑体" w:cs="黑体"/>
          <w:sz w:val="20"/>
          <w:szCs w:val="20"/>
        </w:rPr>
      </w:pPr>
      <w:r>
        <w:rPr>
          <w:b/>
          <w:bCs/>
          <w:color w:val="0065D9"/>
          <w:spacing w:val="-4"/>
          <w:sz w:val="20"/>
          <w:szCs w:val="20"/>
        </w:rPr>
        <w:t>5.</w:t>
      </w:r>
      <w:r>
        <w:rPr>
          <w:rFonts w:ascii="黑体" w:hAnsi="黑体" w:eastAsia="黑体" w:cs="黑体"/>
          <w:b/>
          <w:bCs/>
          <w:color w:val="0065D9"/>
          <w:spacing w:val="-4"/>
          <w:sz w:val="20"/>
          <w:szCs w:val="20"/>
        </w:rPr>
        <w:t>全寿命费用方法</w:t>
      </w:r>
    </w:p>
    <w:p w14:paraId="72E5E3A4">
      <w:pPr>
        <w:pStyle w:val="2"/>
        <w:spacing w:before="132" w:line="274" w:lineRule="auto"/>
        <w:ind w:right="405" w:firstLine="390"/>
        <w:jc w:val="both"/>
        <w:rPr>
          <w:sz w:val="20"/>
          <w:szCs w:val="20"/>
        </w:rPr>
      </w:pPr>
      <w:r>
        <w:rPr>
          <w:spacing w:val="3"/>
          <w:sz w:val="20"/>
          <w:szCs w:val="20"/>
        </w:rPr>
        <w:t>信息系统工程建设项目投资控制是每个业主单位和监理所关心的重要内容之一。就工程项</w:t>
      </w:r>
      <w:r>
        <w:rPr>
          <w:spacing w:val="1"/>
          <w:sz w:val="20"/>
          <w:szCs w:val="20"/>
        </w:rPr>
        <w:t xml:space="preserve"> </w:t>
      </w:r>
      <w:r>
        <w:rPr>
          <w:spacing w:val="3"/>
          <w:sz w:val="20"/>
          <w:szCs w:val="20"/>
        </w:rPr>
        <w:t>目建设而言，投资控制贯穿项目建设的全过程。从目前监理的投资控制来看，通</w:t>
      </w:r>
      <w:r>
        <w:rPr>
          <w:spacing w:val="2"/>
          <w:sz w:val="20"/>
          <w:szCs w:val="20"/>
        </w:rPr>
        <w:t>过招标、设计</w:t>
      </w:r>
      <w:r>
        <w:rPr>
          <w:sz w:val="20"/>
          <w:szCs w:val="20"/>
        </w:rPr>
        <w:t xml:space="preserve"> </w:t>
      </w:r>
      <w:r>
        <w:rPr>
          <w:spacing w:val="3"/>
          <w:sz w:val="20"/>
          <w:szCs w:val="20"/>
        </w:rPr>
        <w:t>阶段的投资控制监理工作，使采购成本、设计预算超投资估算的现象得到了基本</w:t>
      </w:r>
      <w:r>
        <w:rPr>
          <w:spacing w:val="2"/>
          <w:sz w:val="20"/>
          <w:szCs w:val="20"/>
        </w:rPr>
        <w:t>控制。实施阶</w:t>
      </w:r>
      <w:r>
        <w:rPr>
          <w:sz w:val="20"/>
          <w:szCs w:val="20"/>
        </w:rPr>
        <w:t xml:space="preserve"> </w:t>
      </w:r>
      <w:r>
        <w:rPr>
          <w:spacing w:val="3"/>
          <w:sz w:val="20"/>
          <w:szCs w:val="20"/>
        </w:rPr>
        <w:t>段通过实施监理的全面推行，使工程预算投资得到了合理的确定和有效控制，通过对工程结算</w:t>
      </w:r>
      <w:r>
        <w:rPr>
          <w:spacing w:val="15"/>
          <w:sz w:val="20"/>
          <w:szCs w:val="20"/>
        </w:rPr>
        <w:t xml:space="preserve"> </w:t>
      </w:r>
      <w:r>
        <w:rPr>
          <w:spacing w:val="4"/>
          <w:sz w:val="20"/>
          <w:szCs w:val="20"/>
        </w:rPr>
        <w:t>和决算的审核，剔除其中的不合理部分，使该阶段的投</w:t>
      </w:r>
      <w:r>
        <w:rPr>
          <w:spacing w:val="3"/>
          <w:sz w:val="20"/>
          <w:szCs w:val="20"/>
        </w:rPr>
        <w:t>资得到应有的控制。但如何通过对项目</w:t>
      </w:r>
      <w:r>
        <w:rPr>
          <w:sz w:val="20"/>
          <w:szCs w:val="20"/>
        </w:rPr>
        <w:t xml:space="preserve"> </w:t>
      </w:r>
      <w:r>
        <w:rPr>
          <w:spacing w:val="4"/>
          <w:sz w:val="20"/>
          <w:szCs w:val="20"/>
        </w:rPr>
        <w:t>建议书和可行性研究阶段的投资估算和优化设</w:t>
      </w:r>
      <w:r>
        <w:rPr>
          <w:spacing w:val="3"/>
          <w:sz w:val="20"/>
          <w:szCs w:val="20"/>
        </w:rPr>
        <w:t>计来有效控制投资，也需要引起重视。而在信息</w:t>
      </w:r>
      <w:r>
        <w:rPr>
          <w:sz w:val="20"/>
          <w:szCs w:val="20"/>
        </w:rPr>
        <w:t xml:space="preserve"> </w:t>
      </w:r>
      <w:r>
        <w:rPr>
          <w:spacing w:val="3"/>
          <w:sz w:val="20"/>
          <w:szCs w:val="20"/>
        </w:rPr>
        <w:t>系统工程建设项目的投资控制中，采取全寿命费用方法是投资规模得到有效控制、杜绝工期马</w:t>
      </w:r>
      <w:r>
        <w:rPr>
          <w:spacing w:val="5"/>
          <w:sz w:val="20"/>
          <w:szCs w:val="20"/>
        </w:rPr>
        <w:t xml:space="preserve"> </w:t>
      </w:r>
      <w:r>
        <w:rPr>
          <w:spacing w:val="-1"/>
          <w:sz w:val="20"/>
          <w:szCs w:val="20"/>
        </w:rPr>
        <w:t>拉松现象的有效手段之一。</w:t>
      </w:r>
    </w:p>
    <w:p w14:paraId="190D3F97">
      <w:pPr>
        <w:spacing w:line="274" w:lineRule="auto"/>
        <w:rPr>
          <w:sz w:val="20"/>
          <w:szCs w:val="20"/>
        </w:rPr>
        <w:sectPr>
          <w:pgSz w:w="10290" w:h="13310"/>
          <w:pgMar w:top="400" w:right="466" w:bottom="400" w:left="1069" w:header="0" w:footer="0" w:gutter="0"/>
          <w:cols w:space="720" w:num="1"/>
        </w:sectPr>
      </w:pPr>
    </w:p>
    <w:p w14:paraId="6E917464">
      <w:pPr>
        <w:pStyle w:val="2"/>
        <w:spacing w:before="98" w:line="219" w:lineRule="auto"/>
        <w:rPr>
          <w:sz w:val="20"/>
          <w:szCs w:val="20"/>
        </w:rPr>
      </w:pPr>
      <w:r>
        <w:rPr>
          <w:rFonts w:ascii="Times New Roman" w:hAnsi="Times New Roman" w:eastAsia="Times New Roman" w:cs="Times New Roman"/>
          <w:spacing w:val="-4"/>
          <w:position w:val="1"/>
          <w:sz w:val="16"/>
          <w:szCs w:val="16"/>
        </w:rPr>
        <w:t>288</w:t>
      </w:r>
      <w:r>
        <w:rPr>
          <w:rFonts w:ascii="Times New Roman" w:hAnsi="Times New Roman" w:eastAsia="Times New Roman" w:cs="Times New Roman"/>
          <w:spacing w:val="1"/>
          <w:position w:val="1"/>
          <w:sz w:val="16"/>
          <w:szCs w:val="16"/>
        </w:rPr>
        <w:t xml:space="preserve">                  </w:t>
      </w:r>
      <w:r>
        <w:rPr>
          <w:spacing w:val="-4"/>
          <w:sz w:val="20"/>
          <w:szCs w:val="20"/>
        </w:rPr>
        <w:t>信息系统监理师教程(第2版)</w:t>
      </w:r>
    </w:p>
    <w:p w14:paraId="5A50E9D6">
      <w:pPr>
        <w:spacing w:line="297" w:lineRule="auto"/>
        <w:rPr>
          <w:rFonts w:ascii="Arial"/>
          <w:sz w:val="21"/>
        </w:rPr>
      </w:pPr>
    </w:p>
    <w:p w14:paraId="51B598BD">
      <w:pPr>
        <w:pStyle w:val="2"/>
        <w:spacing w:before="91" w:line="222" w:lineRule="auto"/>
        <w:ind w:left="363"/>
        <w:rPr>
          <w:rFonts w:ascii="黑体" w:hAnsi="黑体" w:eastAsia="黑体" w:cs="黑体"/>
          <w:sz w:val="28"/>
          <w:szCs w:val="28"/>
        </w:rPr>
      </w:pPr>
      <w:r>
        <w:rPr>
          <w:b/>
          <w:bCs/>
          <w:color w:val="0078E2"/>
          <w:spacing w:val="-9"/>
          <w:sz w:val="28"/>
          <w:szCs w:val="28"/>
        </w:rPr>
        <w:t>12.4</w:t>
      </w:r>
      <w:r>
        <w:rPr>
          <w:color w:val="0078E2"/>
          <w:spacing w:val="21"/>
          <w:sz w:val="28"/>
          <w:szCs w:val="28"/>
        </w:rPr>
        <w:t xml:space="preserve">  </w:t>
      </w:r>
      <w:r>
        <w:rPr>
          <w:rFonts w:ascii="黑体" w:hAnsi="黑体" w:eastAsia="黑体" w:cs="黑体"/>
          <w:b/>
          <w:bCs/>
          <w:color w:val="0078E2"/>
          <w:spacing w:val="-9"/>
          <w:sz w:val="28"/>
          <w:szCs w:val="28"/>
        </w:rPr>
        <w:t>监理投资控制工作</w:t>
      </w:r>
    </w:p>
    <w:p w14:paraId="070266E9">
      <w:pPr>
        <w:pStyle w:val="2"/>
        <w:spacing w:before="264" w:line="291" w:lineRule="auto"/>
        <w:ind w:left="359" w:right="71" w:firstLine="410"/>
        <w:rPr>
          <w:sz w:val="20"/>
          <w:szCs w:val="20"/>
        </w:rPr>
      </w:pPr>
      <w:r>
        <w:rPr>
          <w:spacing w:val="3"/>
          <w:sz w:val="20"/>
          <w:szCs w:val="20"/>
        </w:rPr>
        <w:t>本节从监理投资控制任务、监理投资控制措施、工程计量与工程付款控制、竣工结算四个</w:t>
      </w:r>
      <w:r>
        <w:rPr>
          <w:spacing w:val="10"/>
          <w:sz w:val="20"/>
          <w:szCs w:val="20"/>
        </w:rPr>
        <w:t xml:space="preserve"> </w:t>
      </w:r>
      <w:r>
        <w:rPr>
          <w:spacing w:val="-2"/>
          <w:sz w:val="20"/>
          <w:szCs w:val="20"/>
        </w:rPr>
        <w:t>方面介绍监理在投资控制时需要开展的主要工作。</w:t>
      </w:r>
    </w:p>
    <w:p w14:paraId="167366E4">
      <w:pPr>
        <w:pStyle w:val="2"/>
        <w:spacing w:before="158" w:line="219" w:lineRule="auto"/>
        <w:ind w:left="362"/>
        <w:rPr>
          <w:sz w:val="25"/>
          <w:szCs w:val="25"/>
        </w:rPr>
      </w:pPr>
      <w:r>
        <w:rPr>
          <w:b/>
          <w:bCs/>
          <w:color w:val="0061D0"/>
          <w:spacing w:val="-17"/>
          <w:sz w:val="25"/>
          <w:szCs w:val="25"/>
        </w:rPr>
        <w:t>12.4.1</w:t>
      </w:r>
      <w:r>
        <w:rPr>
          <w:color w:val="0061D0"/>
          <w:spacing w:val="-17"/>
          <w:sz w:val="25"/>
          <w:szCs w:val="25"/>
        </w:rPr>
        <w:t xml:space="preserve">  </w:t>
      </w:r>
      <w:r>
        <w:rPr>
          <w:b/>
          <w:bCs/>
          <w:color w:val="0061D0"/>
          <w:spacing w:val="-17"/>
          <w:sz w:val="25"/>
          <w:szCs w:val="25"/>
        </w:rPr>
        <w:t>监理投资控制任务</w:t>
      </w:r>
    </w:p>
    <w:p w14:paraId="5E19FEB1">
      <w:pPr>
        <w:pStyle w:val="2"/>
        <w:spacing w:before="175" w:line="219" w:lineRule="auto"/>
        <w:ind w:left="770"/>
        <w:rPr>
          <w:sz w:val="20"/>
          <w:szCs w:val="20"/>
        </w:rPr>
      </w:pPr>
      <w:r>
        <w:rPr>
          <w:spacing w:val="-4"/>
          <w:sz w:val="20"/>
          <w:szCs w:val="20"/>
        </w:rPr>
        <w:t>监理投资控制的任务主要包括：</w:t>
      </w:r>
    </w:p>
    <w:p w14:paraId="41AC4C6D">
      <w:pPr>
        <w:pStyle w:val="2"/>
        <w:spacing w:before="82" w:line="255" w:lineRule="auto"/>
        <w:ind w:left="359" w:firstLine="410"/>
        <w:rPr>
          <w:sz w:val="20"/>
          <w:szCs w:val="20"/>
        </w:rPr>
      </w:pPr>
      <w:r>
        <w:rPr>
          <w:spacing w:val="5"/>
          <w:sz w:val="20"/>
          <w:szCs w:val="20"/>
        </w:rPr>
        <w:t>(1)参与项目总投资目标的分析、论证、审核(在可行性研究的基础上，再</w:t>
      </w:r>
      <w:r>
        <w:rPr>
          <w:spacing w:val="4"/>
          <w:sz w:val="20"/>
          <w:szCs w:val="20"/>
        </w:rPr>
        <w:t>做详细的分析、</w:t>
      </w:r>
      <w:r>
        <w:rPr>
          <w:sz w:val="20"/>
          <w:szCs w:val="20"/>
        </w:rPr>
        <w:t xml:space="preserve"> </w:t>
      </w:r>
      <w:r>
        <w:rPr>
          <w:spacing w:val="3"/>
          <w:sz w:val="20"/>
          <w:szCs w:val="20"/>
        </w:rPr>
        <w:t>论证);</w:t>
      </w:r>
    </w:p>
    <w:p w14:paraId="26E248F2">
      <w:pPr>
        <w:pStyle w:val="2"/>
        <w:spacing w:before="79" w:line="220" w:lineRule="auto"/>
        <w:ind w:left="770"/>
        <w:rPr>
          <w:sz w:val="20"/>
          <w:szCs w:val="20"/>
        </w:rPr>
      </w:pPr>
      <w:r>
        <w:rPr>
          <w:spacing w:val="1"/>
          <w:sz w:val="20"/>
          <w:szCs w:val="20"/>
        </w:rPr>
        <w:t>(2)对项目总投资切块、分解规划结果进行审核、确认、监督和提出实施建议；</w:t>
      </w:r>
    </w:p>
    <w:p w14:paraId="399DEB50">
      <w:pPr>
        <w:pStyle w:val="2"/>
        <w:spacing w:before="81" w:line="257" w:lineRule="auto"/>
        <w:ind w:left="359" w:right="82" w:firstLine="410"/>
        <w:rPr>
          <w:sz w:val="20"/>
          <w:szCs w:val="20"/>
        </w:rPr>
      </w:pPr>
      <w:r>
        <w:rPr>
          <w:spacing w:val="5"/>
          <w:sz w:val="20"/>
          <w:szCs w:val="20"/>
        </w:rPr>
        <w:t>(3)审核承建单位编制的项目实施各阶段、各季度、各年等阶段性资金使用计划，并控制</w:t>
      </w:r>
      <w:r>
        <w:rPr>
          <w:spacing w:val="16"/>
          <w:sz w:val="20"/>
          <w:szCs w:val="20"/>
        </w:rPr>
        <w:t xml:space="preserve"> </w:t>
      </w:r>
      <w:r>
        <w:rPr>
          <w:spacing w:val="-3"/>
          <w:sz w:val="20"/>
          <w:szCs w:val="20"/>
        </w:rPr>
        <w:t>其执行，必要时对上述计划提出调整建议；</w:t>
      </w:r>
    </w:p>
    <w:p w14:paraId="25A62200">
      <w:pPr>
        <w:pStyle w:val="2"/>
        <w:spacing w:before="71" w:line="218" w:lineRule="auto"/>
        <w:ind w:left="770"/>
        <w:rPr>
          <w:sz w:val="20"/>
          <w:szCs w:val="20"/>
        </w:rPr>
      </w:pPr>
      <w:r>
        <w:rPr>
          <w:spacing w:val="2"/>
          <w:sz w:val="20"/>
          <w:szCs w:val="20"/>
        </w:rPr>
        <w:t>(4)审核工程成本估算、预算、标底等；</w:t>
      </w:r>
    </w:p>
    <w:p w14:paraId="74ABF06C">
      <w:pPr>
        <w:pStyle w:val="2"/>
        <w:spacing w:before="76" w:line="251" w:lineRule="auto"/>
        <w:ind w:left="359" w:right="70" w:firstLine="410"/>
        <w:rPr>
          <w:sz w:val="20"/>
          <w:szCs w:val="20"/>
        </w:rPr>
      </w:pPr>
      <w:r>
        <w:rPr>
          <w:spacing w:val="11"/>
          <w:sz w:val="20"/>
          <w:szCs w:val="20"/>
        </w:rPr>
        <w:t>(5)在项目实施过程中，按阶段(例如月、季)进行投资计划</w:t>
      </w:r>
      <w:r>
        <w:rPr>
          <w:spacing w:val="10"/>
          <w:sz w:val="20"/>
          <w:szCs w:val="20"/>
        </w:rPr>
        <w:t>值与实际值的比较，经常或</w:t>
      </w:r>
      <w:r>
        <w:rPr>
          <w:sz w:val="20"/>
          <w:szCs w:val="20"/>
        </w:rPr>
        <w:t xml:space="preserve"> </w:t>
      </w:r>
      <w:r>
        <w:rPr>
          <w:spacing w:val="-3"/>
          <w:sz w:val="20"/>
          <w:szCs w:val="20"/>
        </w:rPr>
        <w:t>定期向业主单位提交投资控制及其存在问题的报告；</w:t>
      </w:r>
    </w:p>
    <w:p w14:paraId="6D35E656">
      <w:pPr>
        <w:pStyle w:val="2"/>
        <w:spacing w:before="74" w:line="258" w:lineRule="auto"/>
        <w:ind w:left="359" w:right="89" w:firstLine="410"/>
        <w:rPr>
          <w:sz w:val="20"/>
          <w:szCs w:val="20"/>
        </w:rPr>
      </w:pPr>
      <w:r>
        <w:rPr>
          <w:spacing w:val="5"/>
          <w:sz w:val="20"/>
          <w:szCs w:val="20"/>
        </w:rPr>
        <w:t>(6)对设计、实施、开发方法、器材和设备等多个方面进行必要的技术经济比较，提出有</w:t>
      </w:r>
      <w:r>
        <w:rPr>
          <w:spacing w:val="9"/>
          <w:sz w:val="20"/>
          <w:szCs w:val="20"/>
        </w:rPr>
        <w:t xml:space="preserve"> </w:t>
      </w:r>
      <w:r>
        <w:rPr>
          <w:spacing w:val="-2"/>
          <w:sz w:val="20"/>
          <w:szCs w:val="20"/>
        </w:rPr>
        <w:t>效的建议，从而挖掘节约投资、提高项目经</w:t>
      </w:r>
      <w:r>
        <w:rPr>
          <w:spacing w:val="-3"/>
          <w:sz w:val="20"/>
          <w:szCs w:val="20"/>
        </w:rPr>
        <w:t>济效益的潜力；</w:t>
      </w:r>
    </w:p>
    <w:p w14:paraId="5C00CCD7">
      <w:pPr>
        <w:pStyle w:val="2"/>
        <w:spacing w:before="82" w:line="277" w:lineRule="auto"/>
        <w:ind w:left="359" w:right="89" w:firstLine="410"/>
        <w:rPr>
          <w:sz w:val="16"/>
          <w:szCs w:val="16"/>
        </w:rPr>
      </w:pPr>
      <w:r>
        <w:rPr>
          <w:spacing w:val="11"/>
          <w:sz w:val="20"/>
          <w:szCs w:val="20"/>
        </w:rPr>
        <w:t>(7)定期比较投资计划值与实际值，当实</w:t>
      </w:r>
      <w:r>
        <w:rPr>
          <w:spacing w:val="10"/>
          <w:sz w:val="20"/>
          <w:szCs w:val="20"/>
        </w:rPr>
        <w:t>际值偏离计划值时，分析偏差原因，采取纠偏</w:t>
      </w:r>
      <w:r>
        <w:rPr>
          <w:sz w:val="20"/>
          <w:szCs w:val="20"/>
        </w:rPr>
        <w:t xml:space="preserve"> </w:t>
      </w:r>
      <w:r>
        <w:rPr>
          <w:spacing w:val="-4"/>
          <w:sz w:val="16"/>
          <w:szCs w:val="16"/>
        </w:rPr>
        <w:t>措</w:t>
      </w:r>
      <w:r>
        <w:rPr>
          <w:spacing w:val="-13"/>
          <w:sz w:val="16"/>
          <w:szCs w:val="16"/>
        </w:rPr>
        <w:t xml:space="preserve"> </w:t>
      </w:r>
      <w:r>
        <w:rPr>
          <w:spacing w:val="-4"/>
          <w:sz w:val="16"/>
          <w:szCs w:val="16"/>
        </w:rPr>
        <w:t>施</w:t>
      </w:r>
      <w:r>
        <w:rPr>
          <w:spacing w:val="-19"/>
          <w:sz w:val="16"/>
          <w:szCs w:val="16"/>
        </w:rPr>
        <w:t xml:space="preserve"> </w:t>
      </w:r>
      <w:r>
        <w:rPr>
          <w:spacing w:val="-4"/>
          <w:sz w:val="16"/>
          <w:szCs w:val="16"/>
        </w:rPr>
        <w:t>；</w:t>
      </w:r>
    </w:p>
    <w:p w14:paraId="7C549F9C">
      <w:pPr>
        <w:pStyle w:val="2"/>
        <w:spacing w:before="91" w:line="219" w:lineRule="auto"/>
        <w:ind w:left="770"/>
        <w:rPr>
          <w:sz w:val="20"/>
          <w:szCs w:val="20"/>
        </w:rPr>
      </w:pPr>
      <w:r>
        <w:rPr>
          <w:spacing w:val="1"/>
          <w:sz w:val="20"/>
          <w:szCs w:val="20"/>
        </w:rPr>
        <w:t>(8)审核招投标文件和合同文件中有关投资的条款；</w:t>
      </w:r>
    </w:p>
    <w:p w14:paraId="60ECD432">
      <w:pPr>
        <w:pStyle w:val="2"/>
        <w:spacing w:before="81" w:line="218" w:lineRule="auto"/>
        <w:ind w:left="770"/>
        <w:rPr>
          <w:sz w:val="20"/>
          <w:szCs w:val="20"/>
        </w:rPr>
      </w:pPr>
      <w:r>
        <w:rPr>
          <w:spacing w:val="2"/>
          <w:sz w:val="20"/>
          <w:szCs w:val="20"/>
        </w:rPr>
        <w:t>(9)审核阶段性工作报告和付款申请；</w:t>
      </w:r>
    </w:p>
    <w:p w14:paraId="703AE940">
      <w:pPr>
        <w:pStyle w:val="2"/>
        <w:spacing w:before="66" w:line="219" w:lineRule="auto"/>
        <w:ind w:left="770"/>
        <w:rPr>
          <w:sz w:val="20"/>
          <w:szCs w:val="20"/>
        </w:rPr>
      </w:pPr>
      <w:r>
        <w:rPr>
          <w:spacing w:val="4"/>
          <w:sz w:val="20"/>
          <w:szCs w:val="20"/>
        </w:rPr>
        <w:t>(10)计算、审核各项索赔金额。</w:t>
      </w:r>
    </w:p>
    <w:p w14:paraId="5274DFA4">
      <w:pPr>
        <w:pStyle w:val="2"/>
        <w:spacing w:before="80" w:line="278" w:lineRule="auto"/>
        <w:ind w:left="359" w:right="41" w:firstLine="410"/>
        <w:jc w:val="both"/>
        <w:rPr>
          <w:sz w:val="20"/>
          <w:szCs w:val="20"/>
        </w:rPr>
      </w:pPr>
      <w:r>
        <w:rPr>
          <w:spacing w:val="4"/>
          <w:sz w:val="20"/>
          <w:szCs w:val="20"/>
        </w:rPr>
        <w:t>在具体项目的监理工作中，监理工程师应以监理单位与业主单位签订的监理合同为依据履</w:t>
      </w:r>
      <w:r>
        <w:rPr>
          <w:spacing w:val="1"/>
          <w:sz w:val="20"/>
          <w:szCs w:val="20"/>
        </w:rPr>
        <w:t xml:space="preserve"> </w:t>
      </w:r>
      <w:r>
        <w:rPr>
          <w:spacing w:val="3"/>
          <w:sz w:val="20"/>
          <w:szCs w:val="20"/>
        </w:rPr>
        <w:t>行自己的职责，不一定完全覆盖上述工作任务，如果合同中规定监理工作从项目实施开始，则</w:t>
      </w:r>
      <w:r>
        <w:rPr>
          <w:spacing w:val="4"/>
          <w:sz w:val="20"/>
          <w:szCs w:val="20"/>
        </w:rPr>
        <w:t xml:space="preserve"> </w:t>
      </w:r>
      <w:r>
        <w:rPr>
          <w:spacing w:val="-2"/>
          <w:sz w:val="20"/>
          <w:szCs w:val="20"/>
        </w:rPr>
        <w:t>监理工程师就可以不承担上述前两项的工作内容。</w:t>
      </w:r>
    </w:p>
    <w:p w14:paraId="0C917A08">
      <w:pPr>
        <w:pStyle w:val="2"/>
        <w:spacing w:before="208" w:line="220" w:lineRule="auto"/>
        <w:ind w:left="362"/>
        <w:rPr>
          <w:sz w:val="25"/>
          <w:szCs w:val="25"/>
        </w:rPr>
      </w:pPr>
      <w:r>
        <w:rPr>
          <w:b/>
          <w:bCs/>
          <w:color w:val="006AE4"/>
          <w:spacing w:val="-17"/>
          <w:sz w:val="25"/>
          <w:szCs w:val="25"/>
        </w:rPr>
        <w:t>12.4.2</w:t>
      </w:r>
      <w:r>
        <w:rPr>
          <w:color w:val="006AE4"/>
          <w:spacing w:val="-17"/>
          <w:sz w:val="25"/>
          <w:szCs w:val="25"/>
        </w:rPr>
        <w:t xml:space="preserve">  </w:t>
      </w:r>
      <w:r>
        <w:rPr>
          <w:b/>
          <w:bCs/>
          <w:color w:val="006AE4"/>
          <w:spacing w:val="-17"/>
          <w:sz w:val="25"/>
          <w:szCs w:val="25"/>
        </w:rPr>
        <w:t>监理投资控制措施</w:t>
      </w:r>
    </w:p>
    <w:p w14:paraId="778381F4">
      <w:pPr>
        <w:pStyle w:val="2"/>
        <w:spacing w:before="161" w:line="268" w:lineRule="auto"/>
        <w:ind w:left="359" w:right="51" w:firstLine="410"/>
        <w:jc w:val="both"/>
        <w:rPr>
          <w:sz w:val="20"/>
          <w:szCs w:val="20"/>
        </w:rPr>
      </w:pPr>
      <w:r>
        <w:rPr>
          <w:spacing w:val="3"/>
          <w:sz w:val="20"/>
          <w:szCs w:val="20"/>
        </w:rPr>
        <w:t>降低信息系统工程建设项目成本的途径，应该是既开源又节流，或者说既增收又节支。只</w:t>
      </w:r>
      <w:r>
        <w:rPr>
          <w:spacing w:val="11"/>
          <w:sz w:val="20"/>
          <w:szCs w:val="20"/>
        </w:rPr>
        <w:t xml:space="preserve"> </w:t>
      </w:r>
      <w:r>
        <w:rPr>
          <w:spacing w:val="3"/>
          <w:sz w:val="20"/>
          <w:szCs w:val="20"/>
        </w:rPr>
        <w:t>开源不节流，或者只节流不开源，都不可能达到降低成本的目的，至少不会有理想</w:t>
      </w:r>
      <w:r>
        <w:rPr>
          <w:spacing w:val="2"/>
          <w:sz w:val="20"/>
          <w:szCs w:val="20"/>
        </w:rPr>
        <w:t>的降低成本</w:t>
      </w:r>
      <w:r>
        <w:rPr>
          <w:sz w:val="20"/>
          <w:szCs w:val="20"/>
        </w:rPr>
        <w:t xml:space="preserve"> </w:t>
      </w:r>
      <w:r>
        <w:rPr>
          <w:spacing w:val="-1"/>
          <w:sz w:val="20"/>
          <w:szCs w:val="20"/>
        </w:rPr>
        <w:t>效果。控制项目成本的措施归纳起来有四个方面：组织措施、技术措施、经济措施和合同措施。</w:t>
      </w:r>
    </w:p>
    <w:p w14:paraId="2B593A70">
      <w:pPr>
        <w:pStyle w:val="2"/>
        <w:spacing w:before="51" w:line="220" w:lineRule="auto"/>
        <w:ind w:left="770"/>
        <w:rPr>
          <w:sz w:val="20"/>
          <w:szCs w:val="20"/>
        </w:rPr>
      </w:pPr>
      <w:r>
        <w:rPr>
          <w:spacing w:val="4"/>
          <w:sz w:val="20"/>
          <w:szCs w:val="20"/>
        </w:rPr>
        <w:t>(1)组织措施具体包括：</w:t>
      </w:r>
    </w:p>
    <w:p w14:paraId="03DC2A98">
      <w:pPr>
        <w:pStyle w:val="2"/>
        <w:spacing w:before="69" w:line="217" w:lineRule="auto"/>
        <w:ind w:left="770"/>
        <w:rPr>
          <w:sz w:val="20"/>
          <w:szCs w:val="20"/>
        </w:rPr>
      </w:pPr>
      <w:r>
        <w:rPr>
          <w:spacing w:val="-2"/>
          <w:sz w:val="20"/>
          <w:szCs w:val="20"/>
        </w:rPr>
        <w:t>①</w:t>
      </w:r>
      <w:r>
        <w:rPr>
          <w:spacing w:val="-64"/>
          <w:sz w:val="20"/>
          <w:szCs w:val="20"/>
        </w:rPr>
        <w:t xml:space="preserve"> </w:t>
      </w:r>
      <w:r>
        <w:rPr>
          <w:spacing w:val="-2"/>
          <w:sz w:val="20"/>
          <w:szCs w:val="20"/>
        </w:rPr>
        <w:t>在项目监理机构中落实投资控制人员、任务分工和职能责任，具体做法为：</w:t>
      </w:r>
    </w:p>
    <w:p w14:paraId="4D3B148C">
      <w:pPr>
        <w:pStyle w:val="2"/>
        <w:spacing w:before="77" w:line="252" w:lineRule="auto"/>
        <w:ind w:left="1059" w:right="71" w:hanging="289"/>
        <w:rPr>
          <w:sz w:val="20"/>
          <w:szCs w:val="20"/>
        </w:rPr>
      </w:pPr>
      <w:r>
        <w:rPr>
          <w:spacing w:val="3"/>
          <w:sz w:val="20"/>
          <w:szCs w:val="20"/>
        </w:rPr>
        <w:t>●总监理工程师是项目成本管理的第一责任人，全面组织项目监理机构成本管理工作，应</w:t>
      </w:r>
      <w:r>
        <w:rPr>
          <w:spacing w:val="10"/>
          <w:sz w:val="20"/>
          <w:szCs w:val="20"/>
        </w:rPr>
        <w:t xml:space="preserve"> </w:t>
      </w:r>
      <w:r>
        <w:rPr>
          <w:spacing w:val="-3"/>
          <w:sz w:val="20"/>
          <w:szCs w:val="20"/>
        </w:rPr>
        <w:t>及时掌握和分析盈亏状况，并迅速采取有效措施；</w:t>
      </w:r>
    </w:p>
    <w:p w14:paraId="00E2029F">
      <w:pPr>
        <w:pStyle w:val="2"/>
        <w:spacing w:before="93" w:line="248" w:lineRule="auto"/>
        <w:ind w:left="1059" w:right="70" w:hanging="289"/>
        <w:rPr>
          <w:sz w:val="20"/>
          <w:szCs w:val="20"/>
        </w:rPr>
      </w:pPr>
      <w:r>
        <w:rPr>
          <w:spacing w:val="3"/>
          <w:sz w:val="20"/>
          <w:szCs w:val="20"/>
        </w:rPr>
        <w:t>●监理工程师是整个工程项目主管实施技术和进度的人员，应在保证质量、按期完成任务</w:t>
      </w:r>
      <w:r>
        <w:rPr>
          <w:spacing w:val="11"/>
          <w:sz w:val="20"/>
          <w:szCs w:val="20"/>
        </w:rPr>
        <w:t xml:space="preserve"> </w:t>
      </w:r>
      <w:r>
        <w:rPr>
          <w:spacing w:val="-3"/>
          <w:sz w:val="20"/>
          <w:szCs w:val="20"/>
        </w:rPr>
        <w:t>的前提下尽可能采取先进技术，以降低工程成本；</w:t>
      </w:r>
    </w:p>
    <w:p w14:paraId="097E4B53">
      <w:pPr>
        <w:pStyle w:val="2"/>
        <w:spacing w:before="104" w:line="219" w:lineRule="auto"/>
        <w:ind w:left="770"/>
        <w:rPr>
          <w:sz w:val="20"/>
          <w:szCs w:val="20"/>
        </w:rPr>
      </w:pPr>
      <w:r>
        <w:rPr>
          <w:spacing w:val="3"/>
          <w:sz w:val="20"/>
          <w:szCs w:val="20"/>
        </w:rPr>
        <w:t>●负责综合管理的监理人员主管合同实施和合同管理工作，负责工程进度款的申报和催款</w:t>
      </w:r>
    </w:p>
    <w:p w14:paraId="0F3699BD">
      <w:pPr>
        <w:spacing w:line="219" w:lineRule="auto"/>
        <w:rPr>
          <w:sz w:val="20"/>
          <w:szCs w:val="20"/>
        </w:rPr>
        <w:sectPr>
          <w:pgSz w:w="10300" w:h="13390"/>
          <w:pgMar w:top="400" w:right="979" w:bottom="400" w:left="550" w:header="0" w:footer="0" w:gutter="0"/>
          <w:cols w:space="720" w:num="1"/>
        </w:sectPr>
      </w:pPr>
    </w:p>
    <w:p w14:paraId="1B209FEF">
      <w:pPr>
        <w:pStyle w:val="2"/>
        <w:spacing w:before="30"/>
        <w:jc w:val="right"/>
        <w:rPr>
          <w:rFonts w:ascii="Times New Roman" w:hAnsi="Times New Roman" w:eastAsia="Times New Roman" w:cs="Times New Roman"/>
          <w:sz w:val="17"/>
          <w:szCs w:val="17"/>
        </w:rPr>
      </w:pPr>
      <w:bookmarkStart w:id="640" w:name="bookmark625"/>
      <w:bookmarkEnd w:id="640"/>
      <w:r>
        <w:rPr>
          <w:spacing w:val="6"/>
          <w:sz w:val="19"/>
          <w:szCs w:val="19"/>
        </w:rPr>
        <w:t>第12章</w:t>
      </w:r>
      <w:r>
        <w:rPr>
          <w:spacing w:val="43"/>
          <w:sz w:val="19"/>
          <w:szCs w:val="19"/>
        </w:rPr>
        <w:t xml:space="preserve"> </w:t>
      </w:r>
      <w:r>
        <w:rPr>
          <w:spacing w:val="6"/>
          <w:sz w:val="19"/>
          <w:szCs w:val="19"/>
        </w:rPr>
        <w:t xml:space="preserve">投资控制 </w:t>
      </w:r>
      <w:r>
        <w:rPr>
          <w:position w:val="-13"/>
          <w:sz w:val="19"/>
          <w:szCs w:val="19"/>
        </w:rPr>
        <w:drawing>
          <wp:inline distT="0" distB="0" distL="0" distR="0">
            <wp:extent cx="317500" cy="24066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97"/>
                    <a:stretch>
                      <a:fillRect/>
                    </a:stretch>
                  </pic:blipFill>
                  <pic:spPr>
                    <a:xfrm>
                      <a:off x="0" y="0"/>
                      <a:ext cx="317512" cy="241275"/>
                    </a:xfrm>
                    <a:prstGeom prst="rect">
                      <a:avLst/>
                    </a:prstGeom>
                  </pic:spPr>
                </pic:pic>
              </a:graphicData>
            </a:graphic>
          </wp:inline>
        </w:drawing>
      </w:r>
      <w:r>
        <w:rPr>
          <w:rFonts w:ascii="Times New Roman" w:hAnsi="Times New Roman" w:eastAsia="Times New Roman" w:cs="Times New Roman"/>
          <w:spacing w:val="6"/>
          <w:sz w:val="17"/>
          <w:szCs w:val="17"/>
        </w:rPr>
        <w:t>289</w:t>
      </w:r>
    </w:p>
    <w:p w14:paraId="23784D13">
      <w:pPr>
        <w:spacing w:line="254" w:lineRule="auto"/>
        <w:rPr>
          <w:rFonts w:ascii="Arial"/>
          <w:sz w:val="21"/>
        </w:rPr>
      </w:pPr>
    </w:p>
    <w:p w14:paraId="3A8D4D4C">
      <w:pPr>
        <w:pStyle w:val="2"/>
        <w:spacing w:before="62" w:line="219" w:lineRule="auto"/>
        <w:ind w:left="689"/>
        <w:rPr>
          <w:sz w:val="19"/>
          <w:szCs w:val="19"/>
        </w:rPr>
      </w:pPr>
      <w:r>
        <w:rPr>
          <w:spacing w:val="8"/>
          <w:sz w:val="19"/>
          <w:szCs w:val="19"/>
        </w:rPr>
        <w:t>工作，处理施工赔偿问题，他们应注重加强合同预算管理，增创工程预算收入；</w:t>
      </w:r>
    </w:p>
    <w:p w14:paraId="4770FD9C">
      <w:pPr>
        <w:pStyle w:val="2"/>
        <w:spacing w:before="83" w:line="289" w:lineRule="auto"/>
        <w:ind w:left="688" w:right="287" w:hanging="289"/>
        <w:rPr>
          <w:sz w:val="17"/>
          <w:szCs w:val="17"/>
        </w:rPr>
      </w:pPr>
      <w:r>
        <w:rPr>
          <w:spacing w:val="13"/>
          <w:sz w:val="19"/>
          <w:szCs w:val="19"/>
        </w:rPr>
        <w:t>●总监理工程师会同相关监理人员应随时分析项目的资金运用支出情况，提出</w:t>
      </w:r>
      <w:r>
        <w:rPr>
          <w:spacing w:val="12"/>
          <w:sz w:val="19"/>
          <w:szCs w:val="19"/>
        </w:rPr>
        <w:t>合理调度资</w:t>
      </w:r>
      <w:r>
        <w:rPr>
          <w:sz w:val="19"/>
          <w:szCs w:val="19"/>
        </w:rPr>
        <w:t xml:space="preserve"> </w:t>
      </w:r>
      <w:r>
        <w:rPr>
          <w:spacing w:val="16"/>
          <w:sz w:val="17"/>
          <w:szCs w:val="17"/>
        </w:rPr>
        <w:t>金建议；</w:t>
      </w:r>
    </w:p>
    <w:p w14:paraId="2185E238">
      <w:pPr>
        <w:pStyle w:val="2"/>
        <w:spacing w:before="106" w:line="219" w:lineRule="auto"/>
        <w:ind w:left="399"/>
        <w:rPr>
          <w:sz w:val="19"/>
          <w:szCs w:val="19"/>
        </w:rPr>
      </w:pPr>
      <w:r>
        <w:rPr>
          <w:spacing w:val="11"/>
          <w:sz w:val="19"/>
          <w:szCs w:val="19"/>
        </w:rPr>
        <w:t>●监理机构的其他成员都应精心组织，为增收节支尽职尽责。</w:t>
      </w:r>
    </w:p>
    <w:p w14:paraId="4FD6E1A3">
      <w:pPr>
        <w:pStyle w:val="2"/>
        <w:spacing w:before="83" w:line="217" w:lineRule="auto"/>
        <w:ind w:left="399"/>
        <w:rPr>
          <w:sz w:val="19"/>
          <w:szCs w:val="19"/>
        </w:rPr>
      </w:pPr>
      <w:r>
        <w:rPr>
          <w:spacing w:val="8"/>
          <w:sz w:val="19"/>
          <w:szCs w:val="19"/>
        </w:rPr>
        <w:t>②编制各阶段投资控制计划和详细的工作流程。</w:t>
      </w:r>
    </w:p>
    <w:p w14:paraId="4B2942BA">
      <w:pPr>
        <w:pStyle w:val="2"/>
        <w:spacing w:before="88" w:line="219" w:lineRule="auto"/>
        <w:ind w:left="399"/>
        <w:rPr>
          <w:sz w:val="19"/>
          <w:szCs w:val="19"/>
        </w:rPr>
      </w:pPr>
      <w:r>
        <w:rPr>
          <w:spacing w:val="11"/>
          <w:sz w:val="19"/>
          <w:szCs w:val="19"/>
        </w:rPr>
        <w:t>(2)技术措施具体包括：</w:t>
      </w:r>
    </w:p>
    <w:p w14:paraId="067FD906">
      <w:pPr>
        <w:pStyle w:val="2"/>
        <w:spacing w:before="102" w:line="261" w:lineRule="auto"/>
        <w:ind w:right="271" w:firstLine="399"/>
        <w:rPr>
          <w:sz w:val="19"/>
          <w:szCs w:val="19"/>
        </w:rPr>
      </w:pPr>
      <w:r>
        <w:rPr>
          <w:spacing w:val="13"/>
          <w:sz w:val="19"/>
          <w:szCs w:val="19"/>
        </w:rPr>
        <w:t>①监督承建单位制定先进的、经济合理的技术实施方案，以达到缩短工期、提高质量、降</w:t>
      </w:r>
      <w:r>
        <w:rPr>
          <w:spacing w:val="11"/>
          <w:sz w:val="19"/>
          <w:szCs w:val="19"/>
        </w:rPr>
        <w:t xml:space="preserve"> </w:t>
      </w:r>
      <w:r>
        <w:rPr>
          <w:spacing w:val="9"/>
          <w:sz w:val="19"/>
          <w:szCs w:val="19"/>
        </w:rPr>
        <w:t>低成本的目的。正确选择技术实施方案是降低成本的关键所在。技术实施方案包</w:t>
      </w:r>
      <w:r>
        <w:rPr>
          <w:spacing w:val="8"/>
          <w:sz w:val="19"/>
          <w:szCs w:val="19"/>
        </w:rPr>
        <w:t>括以下内容：</w:t>
      </w:r>
    </w:p>
    <w:p w14:paraId="4341A690">
      <w:pPr>
        <w:pStyle w:val="2"/>
        <w:spacing w:before="76" w:line="219" w:lineRule="auto"/>
        <w:ind w:left="399"/>
        <w:rPr>
          <w:sz w:val="19"/>
          <w:szCs w:val="19"/>
        </w:rPr>
      </w:pPr>
      <w:r>
        <w:rPr>
          <w:spacing w:val="12"/>
          <w:sz w:val="19"/>
          <w:szCs w:val="19"/>
        </w:rPr>
        <w:t>●技术实施方法的确定；</w:t>
      </w:r>
    </w:p>
    <w:p w14:paraId="0C17A2E8">
      <w:pPr>
        <w:pStyle w:val="2"/>
        <w:spacing w:before="104" w:line="219" w:lineRule="auto"/>
        <w:ind w:left="399"/>
        <w:rPr>
          <w:sz w:val="19"/>
          <w:szCs w:val="19"/>
        </w:rPr>
      </w:pPr>
      <w:r>
        <w:rPr>
          <w:spacing w:val="9"/>
          <w:sz w:val="19"/>
          <w:szCs w:val="19"/>
        </w:rPr>
        <w:t>●技术实施设备、工具、软件的选择；</w:t>
      </w:r>
    </w:p>
    <w:p w14:paraId="67BDBC7C">
      <w:pPr>
        <w:pStyle w:val="2"/>
        <w:spacing w:before="95" w:line="219" w:lineRule="auto"/>
        <w:ind w:left="399"/>
        <w:rPr>
          <w:sz w:val="19"/>
          <w:szCs w:val="19"/>
        </w:rPr>
      </w:pPr>
      <w:r>
        <w:rPr>
          <w:spacing w:val="11"/>
          <w:sz w:val="19"/>
          <w:szCs w:val="19"/>
        </w:rPr>
        <w:t>●技术实施顺序的安排和技术活动的组织。</w:t>
      </w:r>
    </w:p>
    <w:p w14:paraId="118C2636">
      <w:pPr>
        <w:pStyle w:val="2"/>
        <w:spacing w:before="102" w:line="217" w:lineRule="auto"/>
        <w:ind w:left="399"/>
        <w:rPr>
          <w:sz w:val="19"/>
          <w:szCs w:val="19"/>
        </w:rPr>
      </w:pPr>
      <w:r>
        <w:rPr>
          <w:spacing w:val="8"/>
          <w:sz w:val="19"/>
          <w:szCs w:val="19"/>
        </w:rPr>
        <w:t>②对设计变更进行技术经济比较，严格控制设计变更。</w:t>
      </w:r>
    </w:p>
    <w:p w14:paraId="0D80AC3F">
      <w:pPr>
        <w:pStyle w:val="2"/>
        <w:spacing w:before="87" w:line="217" w:lineRule="auto"/>
        <w:ind w:left="399"/>
        <w:rPr>
          <w:sz w:val="19"/>
          <w:szCs w:val="19"/>
        </w:rPr>
      </w:pPr>
      <w:r>
        <w:rPr>
          <w:spacing w:val="7"/>
          <w:sz w:val="19"/>
          <w:szCs w:val="19"/>
        </w:rPr>
        <w:t>③持续寻找通过设计挖潜节约投资的可能性。</w:t>
      </w:r>
    </w:p>
    <w:p w14:paraId="5AF3CA76">
      <w:pPr>
        <w:pStyle w:val="2"/>
        <w:spacing w:before="97" w:line="217" w:lineRule="auto"/>
        <w:ind w:left="399"/>
        <w:rPr>
          <w:sz w:val="19"/>
          <w:szCs w:val="19"/>
        </w:rPr>
      </w:pPr>
      <w:r>
        <w:rPr>
          <w:spacing w:val="8"/>
          <w:sz w:val="19"/>
          <w:szCs w:val="19"/>
        </w:rPr>
        <w:t>④审核承建单位编制的实施组织设计，对主要实施方案进行技术经济分析。</w:t>
      </w:r>
    </w:p>
    <w:p w14:paraId="7BE3DAE3">
      <w:pPr>
        <w:pStyle w:val="2"/>
        <w:spacing w:before="86" w:line="217" w:lineRule="auto"/>
        <w:ind w:left="399"/>
        <w:rPr>
          <w:sz w:val="19"/>
          <w:szCs w:val="19"/>
        </w:rPr>
      </w:pPr>
      <w:r>
        <w:rPr>
          <w:spacing w:val="8"/>
          <w:sz w:val="19"/>
          <w:szCs w:val="19"/>
        </w:rPr>
        <w:t>⑤严把质量关，可以减少返工现象、缩短验收时间、节省费用开支。</w:t>
      </w:r>
    </w:p>
    <w:p w14:paraId="0389EA9D">
      <w:pPr>
        <w:pStyle w:val="2"/>
        <w:spacing w:before="90" w:line="220" w:lineRule="auto"/>
        <w:ind w:left="399"/>
        <w:rPr>
          <w:sz w:val="19"/>
          <w:szCs w:val="19"/>
        </w:rPr>
      </w:pPr>
      <w:r>
        <w:rPr>
          <w:spacing w:val="11"/>
          <w:sz w:val="19"/>
          <w:szCs w:val="19"/>
        </w:rPr>
        <w:t>(3)经济措施具体包括：</w:t>
      </w:r>
    </w:p>
    <w:p w14:paraId="256DD419">
      <w:pPr>
        <w:pStyle w:val="2"/>
        <w:spacing w:before="91" w:line="261" w:lineRule="auto"/>
        <w:ind w:right="206" w:firstLine="399"/>
        <w:rPr>
          <w:sz w:val="19"/>
          <w:szCs w:val="19"/>
        </w:rPr>
      </w:pPr>
      <w:r>
        <w:rPr>
          <w:spacing w:val="10"/>
          <w:sz w:val="19"/>
          <w:szCs w:val="19"/>
        </w:rPr>
        <w:t>①人工费控制。主要是建议承建单位改善劳动组织，减少窝工浪费；实行合理</w:t>
      </w:r>
      <w:r>
        <w:rPr>
          <w:spacing w:val="9"/>
          <w:sz w:val="19"/>
          <w:szCs w:val="19"/>
        </w:rPr>
        <w:t>的奖惩制度；</w:t>
      </w:r>
      <w:r>
        <w:rPr>
          <w:sz w:val="19"/>
          <w:szCs w:val="19"/>
        </w:rPr>
        <w:t xml:space="preserve"> </w:t>
      </w:r>
      <w:r>
        <w:rPr>
          <w:spacing w:val="8"/>
          <w:sz w:val="19"/>
          <w:szCs w:val="19"/>
        </w:rPr>
        <w:t>加强技术教育和培训工作；加强劳动纪律，严格控制非项目人</w:t>
      </w:r>
      <w:r>
        <w:rPr>
          <w:spacing w:val="7"/>
          <w:sz w:val="19"/>
          <w:szCs w:val="19"/>
        </w:rPr>
        <w:t>员比例。</w:t>
      </w:r>
    </w:p>
    <w:p w14:paraId="478EB3B0">
      <w:pPr>
        <w:pStyle w:val="2"/>
        <w:spacing w:before="91" w:line="279" w:lineRule="auto"/>
        <w:ind w:right="255" w:firstLine="399"/>
        <w:rPr>
          <w:sz w:val="19"/>
          <w:szCs w:val="19"/>
        </w:rPr>
      </w:pPr>
      <w:r>
        <w:rPr>
          <w:spacing w:val="14"/>
          <w:sz w:val="19"/>
          <w:szCs w:val="19"/>
        </w:rPr>
        <w:t>②设备、软件及开发、实施费控制管理。主要是改进设备、软件</w:t>
      </w:r>
      <w:r>
        <w:rPr>
          <w:spacing w:val="13"/>
          <w:sz w:val="19"/>
          <w:szCs w:val="19"/>
        </w:rPr>
        <w:t>的采购、运输、收发、保</w:t>
      </w:r>
      <w:r>
        <w:rPr>
          <w:sz w:val="19"/>
          <w:szCs w:val="19"/>
        </w:rPr>
        <w:t xml:space="preserve"> </w:t>
      </w:r>
      <w:r>
        <w:rPr>
          <w:spacing w:val="13"/>
          <w:sz w:val="19"/>
          <w:szCs w:val="19"/>
        </w:rPr>
        <w:t>管、安装调试及软件开发等方面的工作，减少各个环节的损耗，</w:t>
      </w:r>
      <w:r>
        <w:rPr>
          <w:spacing w:val="12"/>
          <w:sz w:val="19"/>
          <w:szCs w:val="19"/>
        </w:rPr>
        <w:t>节约采购费用；合理堆置现场</w:t>
      </w:r>
      <w:r>
        <w:rPr>
          <w:sz w:val="19"/>
          <w:szCs w:val="19"/>
        </w:rPr>
        <w:t xml:space="preserve"> </w:t>
      </w:r>
      <w:r>
        <w:rPr>
          <w:spacing w:val="13"/>
          <w:sz w:val="19"/>
          <w:szCs w:val="19"/>
        </w:rPr>
        <w:t>设备，避免和减少二次搬运；严格设备进场验收和限额领料</w:t>
      </w:r>
      <w:r>
        <w:rPr>
          <w:spacing w:val="12"/>
          <w:sz w:val="19"/>
          <w:szCs w:val="19"/>
        </w:rPr>
        <w:t>制度；制定并贯彻节约设备的技术</w:t>
      </w:r>
      <w:r>
        <w:rPr>
          <w:sz w:val="19"/>
          <w:szCs w:val="19"/>
        </w:rPr>
        <w:t xml:space="preserve"> </w:t>
      </w:r>
      <w:r>
        <w:rPr>
          <w:spacing w:val="7"/>
          <w:sz w:val="19"/>
          <w:szCs w:val="19"/>
        </w:rPr>
        <w:t>措施，合理使用设备，综合利用一切资源。</w:t>
      </w:r>
    </w:p>
    <w:p w14:paraId="2F2A5D5B">
      <w:pPr>
        <w:pStyle w:val="2"/>
        <w:spacing w:before="83" w:line="256" w:lineRule="auto"/>
        <w:ind w:right="265" w:firstLine="399"/>
        <w:rPr>
          <w:sz w:val="19"/>
          <w:szCs w:val="19"/>
        </w:rPr>
      </w:pPr>
      <w:r>
        <w:rPr>
          <w:spacing w:val="13"/>
          <w:sz w:val="19"/>
          <w:szCs w:val="19"/>
        </w:rPr>
        <w:t>③间接费及其他直接费控制。主要是精简不必要的人员和过程，合理配备承建单位的项目</w:t>
      </w:r>
      <w:r>
        <w:rPr>
          <w:spacing w:val="18"/>
          <w:sz w:val="19"/>
          <w:szCs w:val="19"/>
        </w:rPr>
        <w:t xml:space="preserve"> </w:t>
      </w:r>
      <w:r>
        <w:rPr>
          <w:spacing w:val="7"/>
          <w:sz w:val="19"/>
          <w:szCs w:val="19"/>
        </w:rPr>
        <w:t>人员组成，节约技术实施管理费等。</w:t>
      </w:r>
    </w:p>
    <w:p w14:paraId="47066EE9">
      <w:pPr>
        <w:pStyle w:val="2"/>
        <w:spacing w:before="96" w:line="220" w:lineRule="auto"/>
        <w:ind w:left="399"/>
        <w:rPr>
          <w:sz w:val="19"/>
          <w:szCs w:val="19"/>
        </w:rPr>
      </w:pPr>
      <w:r>
        <w:rPr>
          <w:spacing w:val="11"/>
          <w:sz w:val="19"/>
          <w:szCs w:val="19"/>
        </w:rPr>
        <w:t>(4)合同措施具体包括：</w:t>
      </w:r>
    </w:p>
    <w:p w14:paraId="314BCDB7">
      <w:pPr>
        <w:pStyle w:val="2"/>
        <w:spacing w:before="83" w:line="219" w:lineRule="auto"/>
        <w:ind w:left="399"/>
        <w:rPr>
          <w:sz w:val="19"/>
          <w:szCs w:val="19"/>
        </w:rPr>
      </w:pPr>
      <w:r>
        <w:rPr>
          <w:spacing w:val="8"/>
          <w:sz w:val="19"/>
          <w:szCs w:val="19"/>
        </w:rPr>
        <w:t>监理工程师应合理利用合同的约束力进行投资</w:t>
      </w:r>
      <w:r>
        <w:rPr>
          <w:spacing w:val="7"/>
          <w:sz w:val="19"/>
          <w:szCs w:val="19"/>
        </w:rPr>
        <w:t>控制。具体做法为：</w:t>
      </w:r>
    </w:p>
    <w:p w14:paraId="44313762">
      <w:pPr>
        <w:pStyle w:val="2"/>
        <w:spacing w:before="62" w:line="271" w:lineRule="auto"/>
        <w:ind w:left="688" w:right="313" w:hanging="289"/>
        <w:rPr>
          <w:sz w:val="19"/>
          <w:szCs w:val="19"/>
        </w:rPr>
      </w:pPr>
      <w:r>
        <w:rPr>
          <w:spacing w:val="12"/>
          <w:sz w:val="19"/>
          <w:szCs w:val="19"/>
        </w:rPr>
        <w:t>●对业主单位与承建单位签订的合同严格把关，利用合同手段鼓励承建单位采取性价比高</w:t>
      </w:r>
      <w:r>
        <w:rPr>
          <w:spacing w:val="8"/>
          <w:sz w:val="19"/>
          <w:szCs w:val="19"/>
        </w:rPr>
        <w:t xml:space="preserve"> </w:t>
      </w:r>
      <w:r>
        <w:rPr>
          <w:spacing w:val="4"/>
          <w:sz w:val="19"/>
          <w:szCs w:val="19"/>
        </w:rPr>
        <w:t>的技术方案和实施过程；</w:t>
      </w:r>
    </w:p>
    <w:p w14:paraId="7A750868">
      <w:pPr>
        <w:pStyle w:val="2"/>
        <w:spacing w:before="83" w:line="269" w:lineRule="auto"/>
        <w:ind w:left="688" w:right="293" w:hanging="289"/>
        <w:rPr>
          <w:sz w:val="19"/>
          <w:szCs w:val="19"/>
        </w:rPr>
      </w:pPr>
      <w:r>
        <w:rPr>
          <w:spacing w:val="13"/>
          <w:sz w:val="19"/>
          <w:szCs w:val="19"/>
        </w:rPr>
        <w:t>●对承建单位提出的项目报价、人员安排、实施周期、实施方式等</w:t>
      </w:r>
      <w:r>
        <w:rPr>
          <w:spacing w:val="12"/>
          <w:sz w:val="19"/>
          <w:szCs w:val="19"/>
        </w:rPr>
        <w:t>进行充分的比较与论证</w:t>
      </w:r>
      <w:r>
        <w:rPr>
          <w:sz w:val="19"/>
          <w:szCs w:val="19"/>
        </w:rPr>
        <w:t xml:space="preserve"> </w:t>
      </w:r>
      <w:r>
        <w:rPr>
          <w:spacing w:val="7"/>
          <w:sz w:val="19"/>
          <w:szCs w:val="19"/>
        </w:rPr>
        <w:t>后，才能最终确定合同价格等内容；</w:t>
      </w:r>
    </w:p>
    <w:p w14:paraId="7C4DDA37">
      <w:pPr>
        <w:pStyle w:val="2"/>
        <w:spacing w:before="88" w:line="219" w:lineRule="auto"/>
        <w:ind w:left="399"/>
        <w:rPr>
          <w:sz w:val="19"/>
          <w:szCs w:val="19"/>
        </w:rPr>
      </w:pPr>
      <w:r>
        <w:rPr>
          <w:spacing w:val="11"/>
          <w:sz w:val="19"/>
          <w:szCs w:val="19"/>
        </w:rPr>
        <w:t>●做好项目实施记录，保存各种文件图纸，特别是发生了变更的文件图纸；</w:t>
      </w:r>
    </w:p>
    <w:p w14:paraId="0B41DE0A">
      <w:pPr>
        <w:pStyle w:val="2"/>
        <w:spacing w:before="103" w:line="219" w:lineRule="auto"/>
        <w:ind w:left="399"/>
        <w:rPr>
          <w:sz w:val="19"/>
          <w:szCs w:val="19"/>
        </w:rPr>
      </w:pPr>
      <w:r>
        <w:rPr>
          <w:spacing w:val="11"/>
          <w:sz w:val="19"/>
          <w:szCs w:val="19"/>
        </w:rPr>
        <w:t>●注意积累素材，为正确处理可能发生的索赔提供依</w:t>
      </w:r>
      <w:r>
        <w:rPr>
          <w:spacing w:val="10"/>
          <w:sz w:val="19"/>
          <w:szCs w:val="19"/>
        </w:rPr>
        <w:t>据，参与处理索赔事宜；</w:t>
      </w:r>
    </w:p>
    <w:p w14:paraId="2393C4C7">
      <w:pPr>
        <w:pStyle w:val="2"/>
        <w:spacing w:before="85" w:line="219" w:lineRule="auto"/>
        <w:ind w:left="399"/>
        <w:rPr>
          <w:sz w:val="19"/>
          <w:szCs w:val="19"/>
        </w:rPr>
      </w:pPr>
      <w:r>
        <w:rPr>
          <w:spacing w:val="11"/>
          <w:sz w:val="19"/>
          <w:szCs w:val="19"/>
        </w:rPr>
        <w:t>●参与合同修改、补充工作，着重考虑其对投资控制的影响。</w:t>
      </w:r>
    </w:p>
    <w:p w14:paraId="55F220D2">
      <w:pPr>
        <w:pStyle w:val="2"/>
        <w:spacing w:before="75" w:line="301" w:lineRule="auto"/>
        <w:ind w:right="206" w:firstLine="399"/>
        <w:jc w:val="both"/>
        <w:rPr>
          <w:sz w:val="19"/>
          <w:szCs w:val="19"/>
        </w:rPr>
      </w:pPr>
      <w:r>
        <w:rPr>
          <w:spacing w:val="10"/>
          <w:sz w:val="19"/>
          <w:szCs w:val="19"/>
        </w:rPr>
        <w:t>项目成本控制的组织措施、技术措施、经济措施和合同措施四者是融为一体</w:t>
      </w:r>
      <w:r>
        <w:rPr>
          <w:spacing w:val="9"/>
          <w:sz w:val="19"/>
          <w:szCs w:val="19"/>
        </w:rPr>
        <w:t>、相互作用的。</w:t>
      </w:r>
      <w:r>
        <w:rPr>
          <w:sz w:val="19"/>
          <w:szCs w:val="19"/>
        </w:rPr>
        <w:t xml:space="preserve"> </w:t>
      </w:r>
      <w:r>
        <w:rPr>
          <w:spacing w:val="13"/>
          <w:sz w:val="19"/>
          <w:szCs w:val="19"/>
        </w:rPr>
        <w:t>监理机构是项目监理的成本控制中心，要以合同价格为依据</w:t>
      </w:r>
      <w:r>
        <w:rPr>
          <w:spacing w:val="12"/>
          <w:sz w:val="19"/>
          <w:szCs w:val="19"/>
        </w:rPr>
        <w:t>，监督、检查承建单位制定合理有</w:t>
      </w:r>
      <w:r>
        <w:rPr>
          <w:sz w:val="19"/>
          <w:szCs w:val="19"/>
        </w:rPr>
        <w:t xml:space="preserve">  </w:t>
      </w:r>
      <w:r>
        <w:rPr>
          <w:spacing w:val="13"/>
          <w:sz w:val="19"/>
          <w:szCs w:val="19"/>
        </w:rPr>
        <w:t>效的项目成本控制目标，业主单位、承建单位和监理单位</w:t>
      </w:r>
      <w:r>
        <w:rPr>
          <w:spacing w:val="12"/>
          <w:sz w:val="19"/>
          <w:szCs w:val="19"/>
        </w:rPr>
        <w:t>通力合作，形成以市场投标报价及合</w:t>
      </w:r>
    </w:p>
    <w:p w14:paraId="01355D4B">
      <w:pPr>
        <w:spacing w:line="301" w:lineRule="auto"/>
        <w:rPr>
          <w:sz w:val="19"/>
          <w:szCs w:val="19"/>
        </w:rPr>
        <w:sectPr>
          <w:pgSz w:w="10280" w:h="13290"/>
          <w:pgMar w:top="400" w:right="598" w:bottom="400" w:left="1080" w:header="0" w:footer="0" w:gutter="0"/>
          <w:cols w:space="720" w:num="1"/>
        </w:sectPr>
      </w:pPr>
    </w:p>
    <w:p w14:paraId="77ED991B">
      <w:pPr>
        <w:pStyle w:val="2"/>
        <w:spacing w:before="108" w:line="219" w:lineRule="auto"/>
        <w:rPr>
          <w:sz w:val="20"/>
          <w:szCs w:val="20"/>
        </w:rPr>
      </w:pPr>
      <w:r>
        <w:rPr>
          <w:rFonts w:ascii="Times New Roman" w:hAnsi="Times New Roman" w:eastAsia="Times New Roman" w:cs="Times New Roman"/>
          <w:b/>
          <w:bCs/>
          <w:sz w:val="20"/>
          <w:szCs w:val="20"/>
        </w:rPr>
        <w:t xml:space="preserve">290             </w:t>
      </w:r>
      <w:r>
        <w:rPr>
          <w:sz w:val="20"/>
          <w:szCs w:val="20"/>
        </w:rPr>
        <w:t>信息系统监理师教程(第2版)</w:t>
      </w:r>
    </w:p>
    <w:p w14:paraId="273707E1">
      <w:pPr>
        <w:spacing w:line="303" w:lineRule="auto"/>
        <w:rPr>
          <w:rFonts w:ascii="Arial"/>
          <w:sz w:val="21"/>
        </w:rPr>
      </w:pPr>
    </w:p>
    <w:p w14:paraId="25F14B8D">
      <w:pPr>
        <w:pStyle w:val="2"/>
        <w:spacing w:before="65" w:line="283" w:lineRule="auto"/>
        <w:ind w:left="360" w:right="90"/>
        <w:rPr>
          <w:sz w:val="20"/>
          <w:szCs w:val="20"/>
        </w:rPr>
      </w:pPr>
      <w:r>
        <w:rPr>
          <w:spacing w:val="3"/>
          <w:sz w:val="20"/>
          <w:szCs w:val="20"/>
        </w:rPr>
        <w:t>同价格为基础的技术实施方案经济优化、物资采购经济优化、人力资源配备经济优化的项目成</w:t>
      </w:r>
      <w:r>
        <w:rPr>
          <w:spacing w:val="5"/>
          <w:sz w:val="20"/>
          <w:szCs w:val="20"/>
        </w:rPr>
        <w:t xml:space="preserve"> </w:t>
      </w:r>
      <w:r>
        <w:rPr>
          <w:spacing w:val="-6"/>
          <w:sz w:val="20"/>
          <w:szCs w:val="20"/>
        </w:rPr>
        <w:t>本控制体系。</w:t>
      </w:r>
    </w:p>
    <w:p w14:paraId="66051B0B">
      <w:pPr>
        <w:pStyle w:val="2"/>
        <w:spacing w:before="178" w:line="219" w:lineRule="auto"/>
        <w:ind w:left="362"/>
        <w:rPr>
          <w:sz w:val="25"/>
          <w:szCs w:val="25"/>
        </w:rPr>
      </w:pPr>
      <w:bookmarkStart w:id="641" w:name="bookmark626"/>
      <w:bookmarkEnd w:id="641"/>
      <w:r>
        <w:rPr>
          <w:b/>
          <w:bCs/>
          <w:color w:val="006ED0"/>
          <w:spacing w:val="-16"/>
          <w:sz w:val="25"/>
          <w:szCs w:val="25"/>
        </w:rPr>
        <w:t>12.4.3</w:t>
      </w:r>
      <w:r>
        <w:rPr>
          <w:color w:val="006ED0"/>
          <w:spacing w:val="-16"/>
          <w:sz w:val="25"/>
          <w:szCs w:val="25"/>
        </w:rPr>
        <w:t xml:space="preserve">  </w:t>
      </w:r>
      <w:r>
        <w:rPr>
          <w:b/>
          <w:bCs/>
          <w:color w:val="006ED0"/>
          <w:spacing w:val="-16"/>
          <w:sz w:val="25"/>
          <w:szCs w:val="25"/>
        </w:rPr>
        <w:t>工程计量与工程付款控制</w:t>
      </w:r>
    </w:p>
    <w:p w14:paraId="5B5942C7">
      <w:pPr>
        <w:pStyle w:val="2"/>
        <w:spacing w:before="173" w:line="281" w:lineRule="auto"/>
        <w:ind w:left="360" w:right="91" w:firstLine="419"/>
        <w:rPr>
          <w:sz w:val="20"/>
          <w:szCs w:val="20"/>
        </w:rPr>
      </w:pPr>
      <w:r>
        <w:rPr>
          <w:spacing w:val="3"/>
          <w:sz w:val="20"/>
          <w:szCs w:val="20"/>
        </w:rPr>
        <w:t>总监理工程师应依据承建合同及其补充协议，对资金使用实施监督</w:t>
      </w:r>
      <w:r>
        <w:rPr>
          <w:spacing w:val="2"/>
          <w:sz w:val="20"/>
          <w:szCs w:val="20"/>
        </w:rPr>
        <w:t>，并审核承建单位提交</w:t>
      </w:r>
      <w:r>
        <w:rPr>
          <w:sz w:val="20"/>
          <w:szCs w:val="20"/>
        </w:rPr>
        <w:t xml:space="preserve"> </w:t>
      </w:r>
      <w:r>
        <w:rPr>
          <w:spacing w:val="-1"/>
          <w:sz w:val="20"/>
          <w:szCs w:val="20"/>
        </w:rPr>
        <w:t>的工程阶段性报告和付款申请，总监理工程师签发工</w:t>
      </w:r>
      <w:r>
        <w:rPr>
          <w:spacing w:val="-2"/>
          <w:sz w:val="20"/>
          <w:szCs w:val="20"/>
        </w:rPr>
        <w:t>程款支付意见，报业主单位签认。</w:t>
      </w:r>
    </w:p>
    <w:p w14:paraId="6F4E9573">
      <w:pPr>
        <w:pStyle w:val="2"/>
        <w:spacing w:before="108" w:line="222" w:lineRule="auto"/>
        <w:ind w:left="782"/>
        <w:rPr>
          <w:rFonts w:ascii="黑体" w:hAnsi="黑体" w:eastAsia="黑体" w:cs="黑体"/>
          <w:sz w:val="20"/>
          <w:szCs w:val="20"/>
        </w:rPr>
      </w:pPr>
      <w:r>
        <w:rPr>
          <w:b/>
          <w:bCs/>
          <w:color w:val="0081D7"/>
          <w:spacing w:val="-1"/>
          <w:sz w:val="20"/>
          <w:szCs w:val="20"/>
        </w:rPr>
        <w:t>1.</w:t>
      </w:r>
      <w:r>
        <w:rPr>
          <w:rFonts w:ascii="黑体" w:hAnsi="黑体" w:eastAsia="黑体" w:cs="黑体"/>
          <w:b/>
          <w:bCs/>
          <w:color w:val="0081D7"/>
          <w:spacing w:val="-1"/>
          <w:sz w:val="20"/>
          <w:szCs w:val="20"/>
        </w:rPr>
        <w:t>工程计量</w:t>
      </w:r>
    </w:p>
    <w:p w14:paraId="2592F1CD">
      <w:pPr>
        <w:pStyle w:val="2"/>
        <w:spacing w:before="142" w:line="291" w:lineRule="auto"/>
        <w:ind w:left="360" w:right="86" w:firstLine="419"/>
        <w:rPr>
          <w:sz w:val="20"/>
          <w:szCs w:val="20"/>
        </w:rPr>
      </w:pPr>
      <w:r>
        <w:rPr>
          <w:spacing w:val="3"/>
          <w:sz w:val="20"/>
          <w:szCs w:val="20"/>
        </w:rPr>
        <w:t>信息系统工程计量是价款结算的基础。承建单位应建立、健全与成本核算有关</w:t>
      </w:r>
      <w:r>
        <w:rPr>
          <w:spacing w:val="2"/>
          <w:sz w:val="20"/>
          <w:szCs w:val="20"/>
        </w:rPr>
        <w:t>的各项原始</w:t>
      </w:r>
      <w:r>
        <w:rPr>
          <w:sz w:val="20"/>
          <w:szCs w:val="20"/>
        </w:rPr>
        <w:t xml:space="preserve"> </w:t>
      </w:r>
      <w:r>
        <w:rPr>
          <w:spacing w:val="-1"/>
          <w:sz w:val="20"/>
          <w:szCs w:val="20"/>
        </w:rPr>
        <w:t>记录和工程量统计制度，认真填写工程量计算文件。实际工作</w:t>
      </w:r>
      <w:r>
        <w:rPr>
          <w:spacing w:val="-2"/>
          <w:sz w:val="20"/>
          <w:szCs w:val="20"/>
        </w:rPr>
        <w:t>中工程计量有以下两种情况：</w:t>
      </w:r>
    </w:p>
    <w:p w14:paraId="6216786E">
      <w:pPr>
        <w:pStyle w:val="2"/>
        <w:spacing w:line="262" w:lineRule="auto"/>
        <w:ind w:left="360" w:right="83" w:firstLine="419"/>
        <w:rPr>
          <w:sz w:val="20"/>
          <w:szCs w:val="20"/>
        </w:rPr>
      </w:pPr>
      <w:r>
        <w:rPr>
          <w:spacing w:val="5"/>
          <w:sz w:val="20"/>
          <w:szCs w:val="20"/>
        </w:rPr>
        <w:t>(1)由承建单位负责工程计量，并提供计量工作的记录正本和计算结果，经监理工程师和</w:t>
      </w:r>
      <w:r>
        <w:rPr>
          <w:spacing w:val="15"/>
          <w:sz w:val="20"/>
          <w:szCs w:val="20"/>
        </w:rPr>
        <w:t xml:space="preserve"> </w:t>
      </w:r>
      <w:r>
        <w:rPr>
          <w:spacing w:val="-3"/>
          <w:sz w:val="20"/>
          <w:szCs w:val="20"/>
        </w:rPr>
        <w:t>现场工程师定期检查确认。</w:t>
      </w:r>
    </w:p>
    <w:p w14:paraId="628BA9F8">
      <w:pPr>
        <w:pStyle w:val="2"/>
        <w:spacing w:before="82" w:line="252" w:lineRule="auto"/>
        <w:ind w:left="360" w:right="47" w:firstLine="419"/>
        <w:rPr>
          <w:sz w:val="20"/>
          <w:szCs w:val="20"/>
        </w:rPr>
      </w:pPr>
      <w:r>
        <w:rPr>
          <w:spacing w:val="6"/>
          <w:sz w:val="20"/>
          <w:szCs w:val="20"/>
        </w:rPr>
        <w:t>(2)如果由监理工程师负责工程计量，则承建单位必须提供有关资料，监理工程师和现场</w:t>
      </w:r>
      <w:r>
        <w:rPr>
          <w:spacing w:val="11"/>
          <w:sz w:val="20"/>
          <w:szCs w:val="20"/>
        </w:rPr>
        <w:t xml:space="preserve"> </w:t>
      </w:r>
      <w:r>
        <w:rPr>
          <w:spacing w:val="-1"/>
          <w:sz w:val="20"/>
          <w:szCs w:val="20"/>
        </w:rPr>
        <w:t>工程师的每月工程计量记录由承建单位审阅，作</w:t>
      </w:r>
      <w:r>
        <w:rPr>
          <w:spacing w:val="-2"/>
          <w:sz w:val="20"/>
          <w:szCs w:val="20"/>
        </w:rPr>
        <w:t>为实施付款的依据。</w:t>
      </w:r>
    </w:p>
    <w:p w14:paraId="4C3E8313">
      <w:pPr>
        <w:pStyle w:val="2"/>
        <w:spacing w:before="140" w:line="221" w:lineRule="auto"/>
        <w:ind w:left="782"/>
        <w:rPr>
          <w:rFonts w:ascii="黑体" w:hAnsi="黑体" w:eastAsia="黑体" w:cs="黑体"/>
          <w:sz w:val="20"/>
          <w:szCs w:val="20"/>
        </w:rPr>
      </w:pPr>
      <w:r>
        <w:rPr>
          <w:b/>
          <w:bCs/>
          <w:color w:val="0183E7"/>
          <w:spacing w:val="-2"/>
          <w:sz w:val="20"/>
          <w:szCs w:val="20"/>
        </w:rPr>
        <w:t>2.</w:t>
      </w:r>
      <w:r>
        <w:rPr>
          <w:rFonts w:ascii="黑体" w:hAnsi="黑体" w:eastAsia="黑体" w:cs="黑体"/>
          <w:b/>
          <w:bCs/>
          <w:color w:val="0183E7"/>
          <w:spacing w:val="-2"/>
          <w:sz w:val="20"/>
          <w:szCs w:val="20"/>
        </w:rPr>
        <w:t>价款结算方法与工程付款控制</w:t>
      </w:r>
    </w:p>
    <w:p w14:paraId="71C4BF5C">
      <w:pPr>
        <w:pStyle w:val="2"/>
        <w:spacing w:before="153" w:line="277" w:lineRule="auto"/>
        <w:ind w:left="360" w:right="29" w:firstLine="419"/>
        <w:rPr>
          <w:sz w:val="20"/>
          <w:szCs w:val="20"/>
        </w:rPr>
      </w:pPr>
      <w:r>
        <w:rPr>
          <w:spacing w:val="4"/>
          <w:sz w:val="20"/>
          <w:szCs w:val="20"/>
        </w:rPr>
        <w:t>工程价款的结算，应根据信息系统工程的特点，既保证承建单位及时补偿实施工作耗费，</w:t>
      </w:r>
      <w:r>
        <w:rPr>
          <w:spacing w:val="13"/>
          <w:sz w:val="20"/>
          <w:szCs w:val="20"/>
        </w:rPr>
        <w:t xml:space="preserve"> </w:t>
      </w:r>
      <w:r>
        <w:rPr>
          <w:spacing w:val="3"/>
          <w:sz w:val="20"/>
          <w:szCs w:val="20"/>
        </w:rPr>
        <w:t>满足正常资金周转的需要，又要适当简化手续，故应采取适当的价款结算方法。信息系统工程</w:t>
      </w:r>
      <w:r>
        <w:rPr>
          <w:spacing w:val="2"/>
          <w:sz w:val="20"/>
          <w:szCs w:val="20"/>
        </w:rPr>
        <w:t xml:space="preserve"> </w:t>
      </w:r>
      <w:r>
        <w:rPr>
          <w:spacing w:val="-2"/>
          <w:sz w:val="20"/>
          <w:szCs w:val="20"/>
        </w:rPr>
        <w:t>价款的结算及付款控制方法主要有以下几种。</w:t>
      </w:r>
    </w:p>
    <w:p w14:paraId="7F45C346">
      <w:pPr>
        <w:pStyle w:val="2"/>
        <w:spacing w:before="52" w:line="219" w:lineRule="auto"/>
        <w:ind w:left="780"/>
        <w:rPr>
          <w:sz w:val="20"/>
          <w:szCs w:val="20"/>
        </w:rPr>
      </w:pPr>
      <w:r>
        <w:rPr>
          <w:spacing w:val="3"/>
          <w:sz w:val="20"/>
          <w:szCs w:val="20"/>
        </w:rPr>
        <w:t>(1)按工程标志性任务完成结算。</w:t>
      </w:r>
    </w:p>
    <w:p w14:paraId="32B55C69">
      <w:pPr>
        <w:pStyle w:val="2"/>
        <w:spacing w:before="61" w:line="278" w:lineRule="auto"/>
        <w:ind w:left="360" w:right="89" w:firstLine="419"/>
        <w:rPr>
          <w:sz w:val="20"/>
          <w:szCs w:val="20"/>
        </w:rPr>
      </w:pPr>
      <w:r>
        <w:rPr>
          <w:spacing w:val="3"/>
          <w:sz w:val="20"/>
          <w:szCs w:val="20"/>
        </w:rPr>
        <w:t>这种工程价款结算方法，是根据信息系统工程建设的特点，按工程标志</w:t>
      </w:r>
      <w:r>
        <w:rPr>
          <w:spacing w:val="2"/>
          <w:sz w:val="20"/>
          <w:szCs w:val="20"/>
        </w:rPr>
        <w:t>性任务或阶段来支</w:t>
      </w:r>
      <w:r>
        <w:rPr>
          <w:sz w:val="20"/>
          <w:szCs w:val="20"/>
        </w:rPr>
        <w:t xml:space="preserve"> </w:t>
      </w:r>
      <w:r>
        <w:rPr>
          <w:spacing w:val="3"/>
          <w:sz w:val="20"/>
          <w:szCs w:val="20"/>
        </w:rPr>
        <w:t xml:space="preserve">付结算。信息系统工程中多以合同签订、需求调研完毕、系统测试成功、验收完毕等里程碑式 </w:t>
      </w:r>
      <w:r>
        <w:rPr>
          <w:spacing w:val="-2"/>
          <w:sz w:val="20"/>
          <w:szCs w:val="20"/>
        </w:rPr>
        <w:t>任务作为结算条件。这种结算方式在信息系统工程中较为</w:t>
      </w:r>
      <w:r>
        <w:rPr>
          <w:spacing w:val="-3"/>
          <w:sz w:val="20"/>
          <w:szCs w:val="20"/>
        </w:rPr>
        <w:t>常见。</w:t>
      </w:r>
    </w:p>
    <w:p w14:paraId="6121AC32">
      <w:pPr>
        <w:pStyle w:val="2"/>
        <w:spacing w:before="48" w:line="219" w:lineRule="auto"/>
        <w:ind w:left="780"/>
        <w:rPr>
          <w:sz w:val="20"/>
          <w:szCs w:val="20"/>
        </w:rPr>
      </w:pPr>
      <w:r>
        <w:rPr>
          <w:spacing w:val="14"/>
          <w:sz w:val="20"/>
          <w:szCs w:val="20"/>
        </w:rPr>
        <w:t>(2)按旬(或半月)预支，按月结算。</w:t>
      </w:r>
    </w:p>
    <w:p w14:paraId="3CB7414A">
      <w:pPr>
        <w:pStyle w:val="2"/>
        <w:spacing w:before="63" w:line="282" w:lineRule="auto"/>
        <w:ind w:left="360" w:right="70" w:firstLine="419"/>
        <w:rPr>
          <w:sz w:val="20"/>
          <w:szCs w:val="20"/>
        </w:rPr>
      </w:pPr>
      <w:r>
        <w:rPr>
          <w:spacing w:val="8"/>
          <w:sz w:val="20"/>
          <w:szCs w:val="20"/>
        </w:rPr>
        <w:t>工程实施阶段可以实行旬末或月中预支，月终结算工程价款的办法，即每月上、中旬旬</w:t>
      </w:r>
      <w:r>
        <w:rPr>
          <w:spacing w:val="14"/>
          <w:sz w:val="20"/>
          <w:szCs w:val="20"/>
        </w:rPr>
        <w:t xml:space="preserve"> </w:t>
      </w:r>
      <w:r>
        <w:rPr>
          <w:spacing w:val="11"/>
          <w:sz w:val="20"/>
          <w:szCs w:val="20"/>
        </w:rPr>
        <w:t>末(或月中),由承建单位按当月计划工作量填列工程价款预支账单，列明工程名</w:t>
      </w:r>
      <w:r>
        <w:rPr>
          <w:spacing w:val="10"/>
          <w:sz w:val="20"/>
          <w:szCs w:val="20"/>
        </w:rPr>
        <w:t>称、预算造</w:t>
      </w:r>
      <w:r>
        <w:rPr>
          <w:sz w:val="20"/>
          <w:szCs w:val="20"/>
        </w:rPr>
        <w:t xml:space="preserve"> </w:t>
      </w:r>
      <w:r>
        <w:rPr>
          <w:spacing w:val="4"/>
          <w:sz w:val="20"/>
          <w:szCs w:val="20"/>
        </w:rPr>
        <w:t>价、完工进度、预支工程款和实支款项，报送监理工程</w:t>
      </w:r>
      <w:r>
        <w:rPr>
          <w:spacing w:val="3"/>
          <w:sz w:val="20"/>
          <w:szCs w:val="20"/>
        </w:rPr>
        <w:t>师、业主单位审查签认；每月终了，承</w:t>
      </w:r>
      <w:r>
        <w:rPr>
          <w:sz w:val="20"/>
          <w:szCs w:val="20"/>
        </w:rPr>
        <w:t xml:space="preserve"> </w:t>
      </w:r>
      <w:r>
        <w:rPr>
          <w:spacing w:val="2"/>
          <w:sz w:val="20"/>
          <w:szCs w:val="20"/>
        </w:rPr>
        <w:t>建单位应根据当月实际完成的工程量，实施预算所列工程单价相应取费标准，计算已完工程价</w:t>
      </w:r>
      <w:r>
        <w:rPr>
          <w:spacing w:val="15"/>
          <w:sz w:val="20"/>
          <w:szCs w:val="20"/>
        </w:rPr>
        <w:t xml:space="preserve"> </w:t>
      </w:r>
      <w:r>
        <w:rPr>
          <w:spacing w:val="3"/>
          <w:sz w:val="20"/>
          <w:szCs w:val="20"/>
        </w:rPr>
        <w:t xml:space="preserve">值，编制已完工程月报表，填列工程价款结算账单，报送监理工程师、业主单位核实签认后方 </w:t>
      </w:r>
      <w:r>
        <w:rPr>
          <w:spacing w:val="-2"/>
          <w:sz w:val="20"/>
          <w:szCs w:val="20"/>
        </w:rPr>
        <w:t>可领款。</w:t>
      </w:r>
    </w:p>
    <w:p w14:paraId="78CD7AED">
      <w:pPr>
        <w:pStyle w:val="2"/>
        <w:spacing w:before="37" w:line="219" w:lineRule="auto"/>
        <w:ind w:left="780"/>
        <w:rPr>
          <w:sz w:val="20"/>
          <w:szCs w:val="20"/>
        </w:rPr>
      </w:pPr>
      <w:r>
        <w:rPr>
          <w:spacing w:val="12"/>
          <w:sz w:val="20"/>
          <w:szCs w:val="20"/>
        </w:rPr>
        <w:t>(3)按月(或分次)预支，完工后一次结算。</w:t>
      </w:r>
    </w:p>
    <w:p w14:paraId="589CDA62">
      <w:pPr>
        <w:pStyle w:val="2"/>
        <w:spacing w:before="82" w:line="269" w:lineRule="auto"/>
        <w:ind w:left="360" w:firstLine="419"/>
        <w:rPr>
          <w:sz w:val="20"/>
          <w:szCs w:val="20"/>
        </w:rPr>
      </w:pPr>
      <w:r>
        <w:rPr>
          <w:sz w:val="20"/>
          <w:szCs w:val="20"/>
        </w:rPr>
        <w:t>对于成本少、实施期短、技术比较简单的工程，为了简化手续，可以采取分次或分月预</w:t>
      </w:r>
      <w:r>
        <w:rPr>
          <w:spacing w:val="-1"/>
          <w:sz w:val="20"/>
          <w:szCs w:val="20"/>
        </w:rPr>
        <w:t>支，</w:t>
      </w:r>
      <w:r>
        <w:rPr>
          <w:sz w:val="20"/>
          <w:szCs w:val="20"/>
        </w:rPr>
        <w:t xml:space="preserve"> </w:t>
      </w:r>
      <w:r>
        <w:rPr>
          <w:spacing w:val="8"/>
          <w:sz w:val="20"/>
          <w:szCs w:val="20"/>
        </w:rPr>
        <w:t>工程完工后一次结算的简便方法。采用这种方法时，应注意使分次(月)预支的款额大体同工</w:t>
      </w:r>
      <w:r>
        <w:rPr>
          <w:sz w:val="20"/>
          <w:szCs w:val="20"/>
        </w:rPr>
        <w:t xml:space="preserve">  </w:t>
      </w:r>
      <w:r>
        <w:rPr>
          <w:spacing w:val="-4"/>
          <w:sz w:val="20"/>
          <w:szCs w:val="20"/>
        </w:rPr>
        <w:t>程实施进度相适应。</w:t>
      </w:r>
    </w:p>
    <w:p w14:paraId="2967B120">
      <w:pPr>
        <w:pStyle w:val="2"/>
        <w:spacing w:before="46" w:line="219" w:lineRule="auto"/>
        <w:ind w:left="780"/>
        <w:rPr>
          <w:sz w:val="20"/>
          <w:szCs w:val="20"/>
        </w:rPr>
      </w:pPr>
      <w:r>
        <w:rPr>
          <w:spacing w:val="2"/>
          <w:sz w:val="20"/>
          <w:szCs w:val="20"/>
        </w:rPr>
        <w:t>(4)按工程进度预支，完工后一次结算。</w:t>
      </w:r>
    </w:p>
    <w:p w14:paraId="0823A4D0">
      <w:pPr>
        <w:pStyle w:val="2"/>
        <w:spacing w:before="51" w:line="277" w:lineRule="auto"/>
        <w:ind w:left="360" w:firstLine="419"/>
        <w:rPr>
          <w:sz w:val="20"/>
          <w:szCs w:val="20"/>
        </w:rPr>
      </w:pPr>
      <w:r>
        <w:rPr>
          <w:spacing w:val="5"/>
          <w:sz w:val="20"/>
          <w:szCs w:val="20"/>
        </w:rPr>
        <w:t>这种工程价款结算方法，是根据信息系统工程的不同性质和特点，按工程建设实施顺序，</w:t>
      </w:r>
      <w:r>
        <w:rPr>
          <w:spacing w:val="3"/>
          <w:sz w:val="20"/>
          <w:szCs w:val="20"/>
        </w:rPr>
        <w:t xml:space="preserve"> 把其划分为几个实施段落，经测算后定出每一实施段落的造价。当承建单位完成了一定的实施</w:t>
      </w:r>
      <w:r>
        <w:rPr>
          <w:spacing w:val="2"/>
          <w:sz w:val="20"/>
          <w:szCs w:val="20"/>
        </w:rPr>
        <w:t xml:space="preserve">  </w:t>
      </w:r>
      <w:r>
        <w:rPr>
          <w:spacing w:val="4"/>
          <w:sz w:val="20"/>
          <w:szCs w:val="20"/>
        </w:rPr>
        <w:t>段落后，就可按该实施段落的预算造价进行预支，即由</w:t>
      </w:r>
      <w:r>
        <w:rPr>
          <w:spacing w:val="3"/>
          <w:sz w:val="20"/>
          <w:szCs w:val="20"/>
        </w:rPr>
        <w:t>承建单位填制工程造价预支账单，送监</w:t>
      </w:r>
    </w:p>
    <w:p w14:paraId="1B13D642">
      <w:pPr>
        <w:spacing w:line="277" w:lineRule="auto"/>
        <w:rPr>
          <w:sz w:val="20"/>
          <w:szCs w:val="20"/>
        </w:rPr>
        <w:sectPr>
          <w:pgSz w:w="10300" w:h="13340"/>
          <w:pgMar w:top="400" w:right="1010" w:bottom="400" w:left="509" w:header="0" w:footer="0" w:gutter="0"/>
          <w:cols w:space="720" w:num="1"/>
        </w:sectPr>
      </w:pPr>
    </w:p>
    <w:p w14:paraId="716731EB">
      <w:pPr>
        <w:pStyle w:val="2"/>
        <w:spacing w:before="37" w:line="333" w:lineRule="exact"/>
        <w:jc w:val="right"/>
        <w:rPr>
          <w:rFonts w:ascii="Times New Roman" w:hAnsi="Times New Roman" w:eastAsia="Times New Roman" w:cs="Times New Roman"/>
          <w:sz w:val="20"/>
          <w:szCs w:val="20"/>
        </w:rPr>
      </w:pPr>
      <w:r>
        <w:rPr>
          <w:spacing w:val="8"/>
          <w:position w:val="5"/>
          <w:sz w:val="20"/>
          <w:szCs w:val="20"/>
        </w:rPr>
        <w:t>第12章投资控制</w:t>
      </w:r>
      <w:r>
        <w:rPr>
          <w:spacing w:val="3"/>
          <w:position w:val="5"/>
          <w:sz w:val="20"/>
          <w:szCs w:val="20"/>
        </w:rPr>
        <w:t xml:space="preserve">   </w:t>
      </w:r>
      <w:r>
        <w:rPr>
          <w:color w:val="008BE8"/>
          <w:spacing w:val="8"/>
          <w:position w:val="-1"/>
          <w:sz w:val="20"/>
          <w:szCs w:val="20"/>
        </w:rPr>
        <w:t xml:space="preserve">■ </w:t>
      </w:r>
      <w:r>
        <w:rPr>
          <w:rFonts w:ascii="Times New Roman" w:hAnsi="Times New Roman" w:eastAsia="Times New Roman" w:cs="Times New Roman"/>
          <w:spacing w:val="8"/>
          <w:position w:val="-1"/>
          <w:sz w:val="20"/>
          <w:szCs w:val="20"/>
        </w:rPr>
        <w:t>291</w:t>
      </w:r>
    </w:p>
    <w:p w14:paraId="07B65B94">
      <w:pPr>
        <w:pStyle w:val="2"/>
        <w:spacing w:before="267" w:line="219" w:lineRule="auto"/>
        <w:rPr>
          <w:sz w:val="20"/>
          <w:szCs w:val="20"/>
        </w:rPr>
      </w:pPr>
      <w:r>
        <w:rPr>
          <w:spacing w:val="-1"/>
          <w:sz w:val="20"/>
          <w:szCs w:val="20"/>
        </w:rPr>
        <w:t>理工程师和业主单位审查核实签证后，办理付款。当整个工程完工后，再办理竣工结算。</w:t>
      </w:r>
    </w:p>
    <w:p w14:paraId="5AE4F3DD">
      <w:pPr>
        <w:pStyle w:val="2"/>
        <w:spacing w:before="80" w:line="265" w:lineRule="auto"/>
        <w:ind w:right="325" w:firstLine="420"/>
        <w:rPr>
          <w:sz w:val="20"/>
          <w:szCs w:val="20"/>
        </w:rPr>
      </w:pPr>
      <w:r>
        <w:rPr>
          <w:spacing w:val="3"/>
          <w:sz w:val="20"/>
          <w:szCs w:val="20"/>
        </w:rPr>
        <w:t>为促使承建单位保质保量地完成建设任务，无论采用何种工程价款结算</w:t>
      </w:r>
      <w:r>
        <w:rPr>
          <w:spacing w:val="2"/>
          <w:sz w:val="20"/>
          <w:szCs w:val="20"/>
        </w:rPr>
        <w:t>办法，都应保留一</w:t>
      </w:r>
      <w:r>
        <w:rPr>
          <w:sz w:val="20"/>
          <w:szCs w:val="20"/>
        </w:rPr>
        <w:t xml:space="preserve"> </w:t>
      </w:r>
      <w:r>
        <w:rPr>
          <w:spacing w:val="-2"/>
          <w:sz w:val="20"/>
          <w:szCs w:val="20"/>
        </w:rPr>
        <w:t>定比例的尾工款，待工程竣工后凭竣工结算单据做最后结算。</w:t>
      </w:r>
    </w:p>
    <w:p w14:paraId="688BF584">
      <w:pPr>
        <w:pStyle w:val="2"/>
        <w:spacing w:before="47" w:line="291" w:lineRule="auto"/>
        <w:ind w:right="235" w:firstLine="420"/>
        <w:rPr>
          <w:sz w:val="20"/>
          <w:szCs w:val="20"/>
        </w:rPr>
      </w:pPr>
      <w:r>
        <w:rPr>
          <w:sz w:val="20"/>
          <w:szCs w:val="20"/>
        </w:rPr>
        <w:t>如果工程是跨年度建设，当每年终了时应办理一次年终结算，将当年的建设价款清算一</w:t>
      </w:r>
      <w:r>
        <w:rPr>
          <w:spacing w:val="-1"/>
          <w:sz w:val="20"/>
          <w:szCs w:val="20"/>
        </w:rPr>
        <w:t>次，</w:t>
      </w:r>
      <w:r>
        <w:rPr>
          <w:sz w:val="20"/>
          <w:szCs w:val="20"/>
        </w:rPr>
        <w:t xml:space="preserve"> </w:t>
      </w:r>
      <w:r>
        <w:rPr>
          <w:spacing w:val="-5"/>
          <w:sz w:val="20"/>
          <w:szCs w:val="20"/>
        </w:rPr>
        <w:t>以核实工程年度成本拨款。</w:t>
      </w:r>
    </w:p>
    <w:p w14:paraId="08340453">
      <w:pPr>
        <w:pStyle w:val="2"/>
        <w:spacing w:line="286" w:lineRule="auto"/>
        <w:ind w:right="324" w:firstLine="420"/>
        <w:jc w:val="both"/>
        <w:rPr>
          <w:sz w:val="20"/>
          <w:szCs w:val="20"/>
        </w:rPr>
      </w:pPr>
      <w:r>
        <w:rPr>
          <w:spacing w:val="3"/>
          <w:sz w:val="20"/>
          <w:szCs w:val="20"/>
        </w:rPr>
        <w:t>分包单位应及时上报已完成工程量统计资料给总承包单位。分包单位于每</w:t>
      </w:r>
      <w:r>
        <w:rPr>
          <w:spacing w:val="2"/>
          <w:sz w:val="20"/>
          <w:szCs w:val="20"/>
        </w:rPr>
        <w:t>月底应进行进度</w:t>
      </w:r>
      <w:r>
        <w:rPr>
          <w:sz w:val="20"/>
          <w:szCs w:val="20"/>
        </w:rPr>
        <w:t xml:space="preserve"> </w:t>
      </w:r>
      <w:r>
        <w:rPr>
          <w:spacing w:val="3"/>
          <w:sz w:val="20"/>
          <w:szCs w:val="20"/>
        </w:rPr>
        <w:t>盘点，将本月度内完成的建设内容和工程量报告给总承包单位。总承包单位每月须将实际的实</w:t>
      </w:r>
      <w:r>
        <w:rPr>
          <w:spacing w:val="5"/>
          <w:sz w:val="20"/>
          <w:szCs w:val="20"/>
        </w:rPr>
        <w:t xml:space="preserve"> </w:t>
      </w:r>
      <w:r>
        <w:rPr>
          <w:spacing w:val="-1"/>
          <w:sz w:val="20"/>
          <w:szCs w:val="20"/>
        </w:rPr>
        <w:t>施进度情况报监理工程师和业主单位审查确认，并作为控制实施拨款的依</w:t>
      </w:r>
      <w:r>
        <w:rPr>
          <w:spacing w:val="-2"/>
          <w:sz w:val="20"/>
          <w:szCs w:val="20"/>
        </w:rPr>
        <w:t>据。</w:t>
      </w:r>
    </w:p>
    <w:p w14:paraId="57096179">
      <w:pPr>
        <w:pStyle w:val="2"/>
        <w:spacing w:before="126" w:line="221" w:lineRule="auto"/>
        <w:ind w:left="422"/>
        <w:rPr>
          <w:rFonts w:ascii="黑体" w:hAnsi="黑体" w:eastAsia="黑体" w:cs="黑体"/>
          <w:sz w:val="20"/>
          <w:szCs w:val="20"/>
        </w:rPr>
      </w:pPr>
      <w:r>
        <w:rPr>
          <w:b/>
          <w:bCs/>
          <w:color w:val="0071E3"/>
          <w:spacing w:val="-5"/>
          <w:sz w:val="20"/>
          <w:szCs w:val="20"/>
        </w:rPr>
        <w:t>3.</w:t>
      </w:r>
      <w:r>
        <w:rPr>
          <w:rFonts w:ascii="黑体" w:hAnsi="黑体" w:eastAsia="黑体" w:cs="黑体"/>
          <w:b/>
          <w:bCs/>
          <w:color w:val="0071E3"/>
          <w:spacing w:val="-5"/>
          <w:sz w:val="20"/>
          <w:szCs w:val="20"/>
        </w:rPr>
        <w:t>工程款支付流程</w:t>
      </w:r>
    </w:p>
    <w:p w14:paraId="08C697B6">
      <w:pPr>
        <w:pStyle w:val="2"/>
        <w:spacing w:before="115" w:line="286" w:lineRule="auto"/>
        <w:ind w:right="319" w:firstLine="420"/>
        <w:jc w:val="both"/>
        <w:rPr>
          <w:sz w:val="20"/>
          <w:szCs w:val="20"/>
        </w:rPr>
      </w:pPr>
      <w:r>
        <w:rPr>
          <w:spacing w:val="3"/>
          <w:sz w:val="20"/>
          <w:szCs w:val="20"/>
        </w:rPr>
        <w:t>业主单位支付承建单位工程款须按一定的程序进行，承建单位应通</w:t>
      </w:r>
      <w:r>
        <w:rPr>
          <w:spacing w:val="2"/>
          <w:sz w:val="20"/>
          <w:szCs w:val="20"/>
        </w:rPr>
        <w:t>过监理单位要求业主单</w:t>
      </w:r>
      <w:r>
        <w:rPr>
          <w:sz w:val="20"/>
          <w:szCs w:val="20"/>
        </w:rPr>
        <w:t xml:space="preserve"> </w:t>
      </w:r>
      <w:r>
        <w:rPr>
          <w:spacing w:val="3"/>
          <w:sz w:val="20"/>
          <w:szCs w:val="20"/>
        </w:rPr>
        <w:t>位支付工程款。当到期支付承建单位工程款时，监理单位应向业主单位提供相应的证明文件和</w:t>
      </w:r>
      <w:r>
        <w:rPr>
          <w:spacing w:val="12"/>
          <w:sz w:val="20"/>
          <w:szCs w:val="20"/>
        </w:rPr>
        <w:t xml:space="preserve"> </w:t>
      </w:r>
      <w:r>
        <w:rPr>
          <w:spacing w:val="-1"/>
          <w:sz w:val="20"/>
          <w:szCs w:val="20"/>
        </w:rPr>
        <w:t>材料，业主单位收到监理单位的证明文件和材料后，再决定是否支付承建单位工程款。</w:t>
      </w:r>
    </w:p>
    <w:p w14:paraId="50AB1BBB">
      <w:pPr>
        <w:pStyle w:val="2"/>
        <w:spacing w:before="21" w:line="289" w:lineRule="auto"/>
        <w:ind w:right="265" w:firstLine="420"/>
        <w:rPr>
          <w:sz w:val="20"/>
          <w:szCs w:val="20"/>
        </w:rPr>
      </w:pPr>
      <w:r>
        <w:rPr>
          <w:spacing w:val="-1"/>
          <w:sz w:val="20"/>
          <w:szCs w:val="20"/>
        </w:rPr>
        <w:t>如果承建单位未达到工程建设目标要求，监理单位将驳回承建单位要求支付工程款的请求，</w:t>
      </w:r>
      <w:r>
        <w:rPr>
          <w:spacing w:val="9"/>
          <w:sz w:val="20"/>
          <w:szCs w:val="20"/>
        </w:rPr>
        <w:t xml:space="preserve"> </w:t>
      </w:r>
      <w:r>
        <w:rPr>
          <w:spacing w:val="-1"/>
          <w:sz w:val="20"/>
          <w:szCs w:val="20"/>
        </w:rPr>
        <w:t>并由监理单位出具拒绝支付的工程款支付意见，交</w:t>
      </w:r>
      <w:r>
        <w:rPr>
          <w:spacing w:val="-2"/>
          <w:sz w:val="20"/>
          <w:szCs w:val="20"/>
        </w:rPr>
        <w:t>承建单位和业主单位。</w:t>
      </w:r>
    </w:p>
    <w:p w14:paraId="2F75A94A">
      <w:pPr>
        <w:pStyle w:val="2"/>
        <w:spacing w:line="329" w:lineRule="auto"/>
        <w:ind w:right="328" w:firstLine="420"/>
        <w:rPr>
          <w:sz w:val="16"/>
          <w:szCs w:val="16"/>
        </w:rPr>
      </w:pPr>
      <w:r>
        <w:rPr>
          <w:spacing w:val="16"/>
          <w:sz w:val="20"/>
          <w:szCs w:val="20"/>
        </w:rPr>
        <w:t>当按阶段支付工程款时(包括工程进度款、设计变更及洽商款、索赔款等),支付</w:t>
      </w:r>
      <w:r>
        <w:rPr>
          <w:spacing w:val="15"/>
          <w:sz w:val="20"/>
          <w:szCs w:val="20"/>
        </w:rPr>
        <w:t>流程</w:t>
      </w:r>
      <w:r>
        <w:rPr>
          <w:sz w:val="20"/>
          <w:szCs w:val="20"/>
        </w:rPr>
        <w:t xml:space="preserve"> </w:t>
      </w:r>
      <w:r>
        <w:rPr>
          <w:spacing w:val="-7"/>
          <w:sz w:val="16"/>
          <w:szCs w:val="16"/>
        </w:rPr>
        <w:t>如</w:t>
      </w:r>
      <w:r>
        <w:rPr>
          <w:spacing w:val="-12"/>
          <w:sz w:val="16"/>
          <w:szCs w:val="16"/>
        </w:rPr>
        <w:t xml:space="preserve"> </w:t>
      </w:r>
      <w:r>
        <w:rPr>
          <w:spacing w:val="-7"/>
          <w:sz w:val="16"/>
          <w:szCs w:val="16"/>
        </w:rPr>
        <w:t>下</w:t>
      </w:r>
      <w:r>
        <w:rPr>
          <w:spacing w:val="-22"/>
          <w:sz w:val="16"/>
          <w:szCs w:val="16"/>
        </w:rPr>
        <w:t xml:space="preserve"> </w:t>
      </w:r>
      <w:r>
        <w:rPr>
          <w:spacing w:val="-7"/>
          <w:sz w:val="16"/>
          <w:szCs w:val="16"/>
        </w:rPr>
        <w:t>：</w:t>
      </w:r>
    </w:p>
    <w:p w14:paraId="05F5D89A">
      <w:pPr>
        <w:pStyle w:val="2"/>
        <w:spacing w:before="1" w:line="217" w:lineRule="auto"/>
        <w:ind w:left="420"/>
        <w:rPr>
          <w:sz w:val="20"/>
          <w:szCs w:val="20"/>
        </w:rPr>
      </w:pPr>
      <w:r>
        <w:rPr>
          <w:spacing w:val="1"/>
          <w:sz w:val="20"/>
          <w:szCs w:val="20"/>
        </w:rPr>
        <w:t>(1)承建单位向监理工程师提交工程阶段性报告；</w:t>
      </w:r>
    </w:p>
    <w:p w14:paraId="147865E4">
      <w:pPr>
        <w:pStyle w:val="2"/>
        <w:spacing w:before="74" w:line="218" w:lineRule="auto"/>
        <w:ind w:left="420"/>
        <w:rPr>
          <w:sz w:val="20"/>
          <w:szCs w:val="20"/>
        </w:rPr>
      </w:pPr>
      <w:r>
        <w:rPr>
          <w:spacing w:val="1"/>
          <w:sz w:val="20"/>
          <w:szCs w:val="20"/>
        </w:rPr>
        <w:t>(2)监理工程师审查工程阶段性报告，对</w:t>
      </w:r>
      <w:r>
        <w:rPr>
          <w:sz w:val="20"/>
          <w:szCs w:val="20"/>
        </w:rPr>
        <w:t>承建单位的申报进行核实签认；</w:t>
      </w:r>
    </w:p>
    <w:p w14:paraId="451292C8">
      <w:pPr>
        <w:pStyle w:val="2"/>
        <w:spacing w:before="85" w:line="248" w:lineRule="auto"/>
        <w:ind w:right="235" w:firstLine="420"/>
        <w:rPr>
          <w:sz w:val="20"/>
          <w:szCs w:val="20"/>
        </w:rPr>
      </w:pPr>
      <w:r>
        <w:rPr>
          <w:spacing w:val="8"/>
          <w:sz w:val="20"/>
          <w:szCs w:val="20"/>
        </w:rPr>
        <w:t>(3)承建单位根据监理单位核定的情况，</w:t>
      </w:r>
      <w:r>
        <w:rPr>
          <w:spacing w:val="7"/>
          <w:sz w:val="20"/>
          <w:szCs w:val="20"/>
        </w:rPr>
        <w:t>按承建合同的规定计算工程款，提交付款申请，</w:t>
      </w:r>
      <w:r>
        <w:rPr>
          <w:sz w:val="20"/>
          <w:szCs w:val="20"/>
        </w:rPr>
        <w:t xml:space="preserve"> </w:t>
      </w:r>
      <w:r>
        <w:rPr>
          <w:spacing w:val="-3"/>
          <w:sz w:val="20"/>
          <w:szCs w:val="20"/>
        </w:rPr>
        <w:t>报监理工程师审核；</w:t>
      </w:r>
    </w:p>
    <w:p w14:paraId="4EF27D28">
      <w:pPr>
        <w:pStyle w:val="2"/>
        <w:spacing w:before="61" w:line="258" w:lineRule="auto"/>
        <w:ind w:right="322" w:firstLine="420"/>
        <w:rPr>
          <w:sz w:val="20"/>
          <w:szCs w:val="20"/>
        </w:rPr>
      </w:pPr>
      <w:r>
        <w:rPr>
          <w:spacing w:val="5"/>
          <w:sz w:val="20"/>
          <w:szCs w:val="20"/>
        </w:rPr>
        <w:t>(4)监理工程师依据合同有关规定进行审核，确认应支付的工程进度款、设计变更及洽商</w:t>
      </w:r>
      <w:r>
        <w:rPr>
          <w:spacing w:val="11"/>
          <w:sz w:val="20"/>
          <w:szCs w:val="20"/>
        </w:rPr>
        <w:t xml:space="preserve"> </w:t>
      </w:r>
      <w:r>
        <w:rPr>
          <w:spacing w:val="-7"/>
          <w:sz w:val="20"/>
          <w:szCs w:val="20"/>
        </w:rPr>
        <w:t>款、索赔款等；</w:t>
      </w:r>
    </w:p>
    <w:p w14:paraId="36C671D3">
      <w:pPr>
        <w:pStyle w:val="2"/>
        <w:spacing w:before="83" w:line="219" w:lineRule="auto"/>
        <w:ind w:left="420"/>
        <w:rPr>
          <w:sz w:val="20"/>
          <w:szCs w:val="20"/>
        </w:rPr>
      </w:pPr>
      <w:r>
        <w:rPr>
          <w:spacing w:val="1"/>
          <w:sz w:val="20"/>
          <w:szCs w:val="20"/>
        </w:rPr>
        <w:t>(5)监理工程师审核后，总监理工程师签发工程款支付意见，报业主单位签认。</w:t>
      </w:r>
    </w:p>
    <w:p w14:paraId="2F116771">
      <w:pPr>
        <w:pStyle w:val="2"/>
        <w:spacing w:before="232" w:line="219" w:lineRule="auto"/>
        <w:ind w:left="3"/>
        <w:rPr>
          <w:sz w:val="26"/>
          <w:szCs w:val="26"/>
        </w:rPr>
      </w:pPr>
      <w:r>
        <w:rPr>
          <w:b/>
          <w:bCs/>
          <w:color w:val="0051BB"/>
          <w:spacing w:val="-22"/>
          <w:sz w:val="26"/>
          <w:szCs w:val="26"/>
        </w:rPr>
        <w:t>12.4.4</w:t>
      </w:r>
      <w:r>
        <w:rPr>
          <w:color w:val="0051BB"/>
          <w:spacing w:val="69"/>
          <w:sz w:val="26"/>
          <w:szCs w:val="26"/>
        </w:rPr>
        <w:t xml:space="preserve"> </w:t>
      </w:r>
      <w:r>
        <w:rPr>
          <w:b/>
          <w:bCs/>
          <w:color w:val="0051BB"/>
          <w:spacing w:val="-22"/>
          <w:sz w:val="26"/>
          <w:szCs w:val="26"/>
        </w:rPr>
        <w:t>竣工结算</w:t>
      </w:r>
    </w:p>
    <w:p w14:paraId="6C3C2376">
      <w:pPr>
        <w:pStyle w:val="2"/>
        <w:spacing w:before="133" w:line="277" w:lineRule="auto"/>
        <w:ind w:right="324" w:firstLine="420"/>
        <w:jc w:val="both"/>
        <w:rPr>
          <w:sz w:val="20"/>
          <w:szCs w:val="20"/>
        </w:rPr>
      </w:pPr>
      <w:r>
        <w:rPr>
          <w:spacing w:val="3"/>
          <w:sz w:val="20"/>
          <w:szCs w:val="20"/>
        </w:rPr>
        <w:t>当信息系统工程竣工验收之后，监理工程师应协助业主单位正确编制工程</w:t>
      </w:r>
      <w:r>
        <w:rPr>
          <w:spacing w:val="2"/>
          <w:sz w:val="20"/>
          <w:szCs w:val="20"/>
        </w:rPr>
        <w:t>结算。项目的竣</w:t>
      </w:r>
      <w:r>
        <w:rPr>
          <w:sz w:val="20"/>
          <w:szCs w:val="20"/>
        </w:rPr>
        <w:t xml:space="preserve"> </w:t>
      </w:r>
      <w:r>
        <w:rPr>
          <w:spacing w:val="3"/>
          <w:sz w:val="20"/>
          <w:szCs w:val="20"/>
        </w:rPr>
        <w:t>工结算既是应该做的，也是国家要求做的工作。国家规定，项目在验收后一个月内，应向主管</w:t>
      </w:r>
      <w:r>
        <w:rPr>
          <w:spacing w:val="6"/>
          <w:sz w:val="20"/>
          <w:szCs w:val="20"/>
        </w:rPr>
        <w:t xml:space="preserve"> </w:t>
      </w:r>
      <w:r>
        <w:rPr>
          <w:spacing w:val="-3"/>
          <w:sz w:val="20"/>
          <w:szCs w:val="20"/>
        </w:rPr>
        <w:t>部门和财政部门提交结算。</w:t>
      </w:r>
    </w:p>
    <w:p w14:paraId="0EE61DD2">
      <w:pPr>
        <w:pStyle w:val="2"/>
        <w:spacing w:before="29" w:line="281" w:lineRule="auto"/>
        <w:ind w:right="305" w:firstLine="420"/>
        <w:rPr>
          <w:sz w:val="20"/>
          <w:szCs w:val="20"/>
        </w:rPr>
      </w:pPr>
      <w:r>
        <w:rPr>
          <w:spacing w:val="3"/>
          <w:sz w:val="20"/>
          <w:szCs w:val="20"/>
        </w:rPr>
        <w:t>在编制竣工结算之前，应对项目的所有财产和物资，包括各种设备等逐项清仓盘点，核实</w:t>
      </w:r>
      <w:r>
        <w:rPr>
          <w:spacing w:val="11"/>
          <w:sz w:val="20"/>
          <w:szCs w:val="20"/>
        </w:rPr>
        <w:t xml:space="preserve"> </w:t>
      </w:r>
      <w:r>
        <w:rPr>
          <w:spacing w:val="-1"/>
          <w:sz w:val="20"/>
          <w:szCs w:val="20"/>
        </w:rPr>
        <w:t>账务，清理所有债权债务，做到工完账清。</w:t>
      </w:r>
    </w:p>
    <w:p w14:paraId="10B11BB9">
      <w:pPr>
        <w:pStyle w:val="2"/>
        <w:spacing w:before="2" w:line="277" w:lineRule="auto"/>
        <w:ind w:right="306" w:firstLine="420"/>
        <w:jc w:val="both"/>
        <w:rPr>
          <w:sz w:val="20"/>
          <w:szCs w:val="20"/>
        </w:rPr>
      </w:pPr>
      <w:r>
        <w:rPr>
          <w:spacing w:val="3"/>
          <w:sz w:val="20"/>
          <w:szCs w:val="20"/>
        </w:rPr>
        <w:t>项目竣工结算是以实物量和货币为计量单位，综合反映竣工验收的项目的建设成果和财务</w:t>
      </w:r>
      <w:r>
        <w:rPr>
          <w:spacing w:val="11"/>
          <w:sz w:val="20"/>
          <w:szCs w:val="20"/>
        </w:rPr>
        <w:t xml:space="preserve"> </w:t>
      </w:r>
      <w:r>
        <w:rPr>
          <w:spacing w:val="3"/>
          <w:sz w:val="20"/>
          <w:szCs w:val="20"/>
        </w:rPr>
        <w:t>状况的总结性文件。它是项目的实际造价和成本效益的总结，是项目竣工验收报告的重要组成</w:t>
      </w:r>
      <w:r>
        <w:rPr>
          <w:spacing w:val="5"/>
          <w:sz w:val="20"/>
          <w:szCs w:val="20"/>
        </w:rPr>
        <w:t xml:space="preserve"> </w:t>
      </w:r>
      <w:r>
        <w:rPr>
          <w:spacing w:val="-1"/>
          <w:sz w:val="20"/>
          <w:szCs w:val="20"/>
        </w:rPr>
        <w:t>部分，是项目竣工验收和动用验收结果的反映，是对项目进行财务监</w:t>
      </w:r>
      <w:r>
        <w:rPr>
          <w:spacing w:val="-2"/>
          <w:sz w:val="20"/>
          <w:szCs w:val="20"/>
        </w:rPr>
        <w:t>督的手段。</w:t>
      </w:r>
    </w:p>
    <w:p w14:paraId="195DCEF4">
      <w:pPr>
        <w:pStyle w:val="2"/>
        <w:spacing w:before="29" w:line="219" w:lineRule="auto"/>
        <w:ind w:left="420"/>
        <w:rPr>
          <w:sz w:val="20"/>
          <w:szCs w:val="20"/>
        </w:rPr>
      </w:pPr>
      <w:r>
        <w:rPr>
          <w:spacing w:val="-1"/>
          <w:sz w:val="20"/>
          <w:szCs w:val="20"/>
        </w:rPr>
        <w:t>项目竣工结算由业主单位汇总编制。项目竣工结算必须内容完整、核对准确、真实可靠。</w:t>
      </w:r>
    </w:p>
    <w:p w14:paraId="59393065">
      <w:pPr>
        <w:pStyle w:val="2"/>
        <w:spacing w:before="188" w:line="221" w:lineRule="auto"/>
        <w:ind w:left="422"/>
        <w:rPr>
          <w:rFonts w:ascii="黑体" w:hAnsi="黑体" w:eastAsia="黑体" w:cs="黑体"/>
          <w:sz w:val="20"/>
          <w:szCs w:val="20"/>
        </w:rPr>
      </w:pPr>
      <w:r>
        <w:rPr>
          <w:b/>
          <w:bCs/>
          <w:color w:val="0069E2"/>
          <w:spacing w:val="-2"/>
          <w:sz w:val="20"/>
          <w:szCs w:val="20"/>
        </w:rPr>
        <w:t>1.</w:t>
      </w:r>
      <w:r>
        <w:rPr>
          <w:rFonts w:ascii="黑体" w:hAnsi="黑体" w:eastAsia="黑体" w:cs="黑体"/>
          <w:b/>
          <w:bCs/>
          <w:color w:val="0069E2"/>
          <w:spacing w:val="-2"/>
          <w:sz w:val="20"/>
          <w:szCs w:val="20"/>
        </w:rPr>
        <w:t>竣工结算的意义</w:t>
      </w:r>
    </w:p>
    <w:p w14:paraId="355F870E">
      <w:pPr>
        <w:pStyle w:val="2"/>
        <w:spacing w:before="124" w:line="219" w:lineRule="auto"/>
        <w:ind w:left="420"/>
        <w:rPr>
          <w:sz w:val="20"/>
          <w:szCs w:val="20"/>
        </w:rPr>
      </w:pPr>
      <w:r>
        <w:rPr>
          <w:spacing w:val="-4"/>
          <w:sz w:val="20"/>
          <w:szCs w:val="20"/>
        </w:rPr>
        <w:t>竣工结算具有以下几个方面意义：</w:t>
      </w:r>
    </w:p>
    <w:p w14:paraId="523F46B4">
      <w:pPr>
        <w:spacing w:line="219" w:lineRule="auto"/>
        <w:rPr>
          <w:sz w:val="20"/>
          <w:szCs w:val="20"/>
        </w:rPr>
        <w:sectPr>
          <w:pgSz w:w="10290" w:h="13300"/>
          <w:pgMar w:top="400" w:right="594" w:bottom="400" w:left="1040" w:header="0" w:footer="0" w:gutter="0"/>
          <w:cols w:space="720" w:num="1"/>
        </w:sectPr>
      </w:pPr>
    </w:p>
    <w:p w14:paraId="1D51BF19">
      <w:pPr>
        <w:pStyle w:val="2"/>
        <w:spacing w:before="38" w:line="219" w:lineRule="auto"/>
        <w:rPr>
          <w:sz w:val="20"/>
          <w:szCs w:val="20"/>
        </w:rPr>
      </w:pPr>
      <w:r>
        <w:rPr>
          <w:rFonts w:ascii="Times New Roman" w:hAnsi="Times New Roman" w:eastAsia="Times New Roman" w:cs="Times New Roman"/>
          <w:spacing w:val="-1"/>
          <w:sz w:val="17"/>
          <w:szCs w:val="17"/>
        </w:rPr>
        <w:t xml:space="preserve">292                 </w:t>
      </w:r>
      <w:r>
        <w:rPr>
          <w:spacing w:val="-1"/>
          <w:sz w:val="20"/>
          <w:szCs w:val="20"/>
        </w:rPr>
        <w:t>信息系统</w:t>
      </w:r>
      <w:r>
        <w:rPr>
          <w:spacing w:val="-2"/>
          <w:sz w:val="20"/>
          <w:szCs w:val="20"/>
        </w:rPr>
        <w:t>监理师教程(第2版)</w:t>
      </w:r>
    </w:p>
    <w:p w14:paraId="5F33C1AF">
      <w:pPr>
        <w:spacing w:line="304" w:lineRule="auto"/>
        <w:rPr>
          <w:rFonts w:ascii="Arial"/>
          <w:sz w:val="21"/>
        </w:rPr>
      </w:pPr>
    </w:p>
    <w:p w14:paraId="585419F3">
      <w:pPr>
        <w:pStyle w:val="2"/>
        <w:spacing w:before="65" w:line="219" w:lineRule="auto"/>
        <w:ind w:left="749"/>
        <w:rPr>
          <w:sz w:val="20"/>
          <w:szCs w:val="20"/>
        </w:rPr>
      </w:pPr>
      <w:r>
        <w:rPr>
          <w:spacing w:val="2"/>
          <w:sz w:val="20"/>
          <w:szCs w:val="20"/>
        </w:rPr>
        <w:t>(1)可以正确分析成本效果。</w:t>
      </w:r>
    </w:p>
    <w:p w14:paraId="087D59A5">
      <w:pPr>
        <w:pStyle w:val="2"/>
        <w:spacing w:before="83" w:line="291" w:lineRule="auto"/>
        <w:ind w:left="349" w:right="61" w:firstLine="399"/>
        <w:rPr>
          <w:sz w:val="20"/>
          <w:szCs w:val="20"/>
        </w:rPr>
      </w:pPr>
      <w:r>
        <w:rPr>
          <w:spacing w:val="3"/>
          <w:sz w:val="20"/>
          <w:szCs w:val="20"/>
        </w:rPr>
        <w:t>竣工结算是项目的财务总结。它从经济角度反映了工程建设的成果</w:t>
      </w:r>
      <w:r>
        <w:rPr>
          <w:spacing w:val="2"/>
          <w:sz w:val="20"/>
          <w:szCs w:val="20"/>
        </w:rPr>
        <w:t>，只有编制好工程项目</w:t>
      </w:r>
      <w:r>
        <w:rPr>
          <w:sz w:val="20"/>
          <w:szCs w:val="20"/>
        </w:rPr>
        <w:t xml:space="preserve"> </w:t>
      </w:r>
      <w:r>
        <w:rPr>
          <w:spacing w:val="-2"/>
          <w:sz w:val="20"/>
          <w:szCs w:val="20"/>
        </w:rPr>
        <w:t>竣工结算，才有可能正确考核、分析项目的成本效果。</w:t>
      </w:r>
    </w:p>
    <w:p w14:paraId="4017E9B5">
      <w:pPr>
        <w:pStyle w:val="2"/>
        <w:spacing w:before="10" w:line="219" w:lineRule="auto"/>
        <w:ind w:left="749"/>
        <w:rPr>
          <w:sz w:val="20"/>
          <w:szCs w:val="20"/>
        </w:rPr>
      </w:pPr>
      <w:r>
        <w:rPr>
          <w:spacing w:val="2"/>
          <w:sz w:val="20"/>
          <w:szCs w:val="20"/>
        </w:rPr>
        <w:t>(2)可以分析工程建设计划和设计预算实际执行情</w:t>
      </w:r>
      <w:r>
        <w:rPr>
          <w:spacing w:val="1"/>
          <w:sz w:val="20"/>
          <w:szCs w:val="20"/>
        </w:rPr>
        <w:t>况。</w:t>
      </w:r>
    </w:p>
    <w:p w14:paraId="750088EE">
      <w:pPr>
        <w:pStyle w:val="2"/>
        <w:spacing w:before="72" w:line="286" w:lineRule="auto"/>
        <w:ind w:left="349" w:firstLine="399"/>
        <w:rPr>
          <w:sz w:val="20"/>
          <w:szCs w:val="20"/>
        </w:rPr>
      </w:pPr>
      <w:r>
        <w:rPr>
          <w:spacing w:val="3"/>
          <w:sz w:val="20"/>
          <w:szCs w:val="20"/>
        </w:rPr>
        <w:t>编制好工程竣工结算，才能了解工程建设计划和设计预算实际执行的情况，才能考核</w:t>
      </w:r>
      <w:r>
        <w:rPr>
          <w:spacing w:val="2"/>
          <w:sz w:val="20"/>
          <w:szCs w:val="20"/>
        </w:rPr>
        <w:t>工程</w:t>
      </w:r>
      <w:r>
        <w:rPr>
          <w:sz w:val="20"/>
          <w:szCs w:val="20"/>
        </w:rPr>
        <w:t xml:space="preserve"> </w:t>
      </w:r>
      <w:r>
        <w:rPr>
          <w:spacing w:val="-1"/>
          <w:sz w:val="20"/>
          <w:szCs w:val="20"/>
        </w:rPr>
        <w:t>建设成本，才可以分析工程设计预算与竣工结算的差额，以及计划成本额与实际成本额的差距，</w:t>
      </w:r>
      <w:r>
        <w:rPr>
          <w:spacing w:val="10"/>
          <w:sz w:val="20"/>
          <w:szCs w:val="20"/>
        </w:rPr>
        <w:t xml:space="preserve"> </w:t>
      </w:r>
      <w:r>
        <w:rPr>
          <w:spacing w:val="-3"/>
          <w:sz w:val="20"/>
          <w:szCs w:val="20"/>
        </w:rPr>
        <w:t>并可发现成本使用中存在的问题。</w:t>
      </w:r>
    </w:p>
    <w:p w14:paraId="6BE0019D">
      <w:pPr>
        <w:pStyle w:val="2"/>
        <w:spacing w:before="29" w:line="219" w:lineRule="auto"/>
        <w:ind w:left="749"/>
        <w:rPr>
          <w:sz w:val="20"/>
          <w:szCs w:val="20"/>
        </w:rPr>
      </w:pPr>
      <w:r>
        <w:rPr>
          <w:spacing w:val="2"/>
          <w:sz w:val="20"/>
          <w:szCs w:val="20"/>
        </w:rPr>
        <w:t>(3)可以分析总结项目成本使用中的经验和教训。</w:t>
      </w:r>
    </w:p>
    <w:p w14:paraId="1026CADF">
      <w:pPr>
        <w:pStyle w:val="2"/>
        <w:spacing w:before="64" w:line="286" w:lineRule="auto"/>
        <w:ind w:left="349" w:right="47" w:firstLine="399"/>
        <w:rPr>
          <w:sz w:val="20"/>
          <w:szCs w:val="20"/>
        </w:rPr>
      </w:pPr>
      <w:r>
        <w:rPr>
          <w:spacing w:val="3"/>
          <w:sz w:val="20"/>
          <w:szCs w:val="20"/>
        </w:rPr>
        <w:t>编制好工程竣工结算，可分析业主单位对建设的财务计划和财经制度的遵守情况，以及项</w:t>
      </w:r>
      <w:r>
        <w:rPr>
          <w:spacing w:val="4"/>
          <w:sz w:val="20"/>
          <w:szCs w:val="20"/>
        </w:rPr>
        <w:t xml:space="preserve"> </w:t>
      </w:r>
      <w:r>
        <w:rPr>
          <w:spacing w:val="2"/>
          <w:sz w:val="20"/>
          <w:szCs w:val="20"/>
        </w:rPr>
        <w:t>目成本使用的合理性，总结工程建设和成本使用中的经验，为有关部门制订类似项</w:t>
      </w:r>
      <w:r>
        <w:rPr>
          <w:spacing w:val="1"/>
          <w:sz w:val="20"/>
          <w:szCs w:val="20"/>
        </w:rPr>
        <w:t>目的建设计</w:t>
      </w:r>
      <w:r>
        <w:rPr>
          <w:sz w:val="20"/>
          <w:szCs w:val="20"/>
        </w:rPr>
        <w:t xml:space="preserve"> </w:t>
      </w:r>
      <w:r>
        <w:rPr>
          <w:spacing w:val="-3"/>
          <w:sz w:val="20"/>
          <w:szCs w:val="20"/>
        </w:rPr>
        <w:t>划提供参考资料和有益的经验。</w:t>
      </w:r>
    </w:p>
    <w:p w14:paraId="4C0A4624">
      <w:pPr>
        <w:pStyle w:val="2"/>
        <w:spacing w:before="29" w:line="219" w:lineRule="auto"/>
        <w:ind w:left="749"/>
        <w:rPr>
          <w:sz w:val="20"/>
          <w:szCs w:val="20"/>
        </w:rPr>
      </w:pPr>
      <w:r>
        <w:rPr>
          <w:spacing w:val="2"/>
          <w:sz w:val="20"/>
          <w:szCs w:val="20"/>
        </w:rPr>
        <w:t>(4)为修订预算定额提供依据资料。</w:t>
      </w:r>
    </w:p>
    <w:p w14:paraId="1E2C6DAD">
      <w:pPr>
        <w:pStyle w:val="2"/>
        <w:spacing w:before="93" w:line="277" w:lineRule="auto"/>
        <w:ind w:left="349" w:right="48" w:firstLine="399"/>
        <w:rPr>
          <w:sz w:val="20"/>
          <w:szCs w:val="20"/>
        </w:rPr>
      </w:pPr>
      <w:r>
        <w:rPr>
          <w:spacing w:val="3"/>
          <w:sz w:val="20"/>
          <w:szCs w:val="20"/>
        </w:rPr>
        <w:t>竣工结算反映项目的实际物资消耗和劳动消耗。在项目建设过程中，随着不断加强和改进</w:t>
      </w:r>
      <w:r>
        <w:rPr>
          <w:sz w:val="20"/>
          <w:szCs w:val="20"/>
        </w:rPr>
        <w:t xml:space="preserve"> </w:t>
      </w:r>
      <w:r>
        <w:rPr>
          <w:spacing w:val="3"/>
          <w:sz w:val="20"/>
          <w:szCs w:val="20"/>
        </w:rPr>
        <w:t>管理、实施方法等，原有的预算定额在执行一段时间后需要进行相应的调整和修改。</w:t>
      </w:r>
      <w:r>
        <w:rPr>
          <w:spacing w:val="2"/>
          <w:sz w:val="20"/>
          <w:szCs w:val="20"/>
        </w:rPr>
        <w:t>通过竣工</w:t>
      </w:r>
      <w:r>
        <w:rPr>
          <w:sz w:val="20"/>
          <w:szCs w:val="20"/>
        </w:rPr>
        <w:t xml:space="preserve"> </w:t>
      </w:r>
      <w:r>
        <w:rPr>
          <w:spacing w:val="-2"/>
          <w:sz w:val="20"/>
          <w:szCs w:val="20"/>
        </w:rPr>
        <w:t>项目有关资料的积累，可为修订预算定额提供必要的依据</w:t>
      </w:r>
      <w:r>
        <w:rPr>
          <w:spacing w:val="-3"/>
          <w:sz w:val="20"/>
          <w:szCs w:val="20"/>
        </w:rPr>
        <w:t>资料。</w:t>
      </w:r>
    </w:p>
    <w:p w14:paraId="3A23B44C">
      <w:pPr>
        <w:pStyle w:val="2"/>
        <w:spacing w:before="96" w:line="221" w:lineRule="auto"/>
        <w:ind w:left="752"/>
        <w:rPr>
          <w:rFonts w:ascii="黑体" w:hAnsi="黑体" w:eastAsia="黑体" w:cs="黑体"/>
          <w:sz w:val="20"/>
          <w:szCs w:val="20"/>
        </w:rPr>
      </w:pPr>
      <w:r>
        <w:rPr>
          <w:b/>
          <w:bCs/>
          <w:color w:val="0060CE"/>
          <w:spacing w:val="-4"/>
          <w:sz w:val="20"/>
          <w:szCs w:val="20"/>
        </w:rPr>
        <w:t>2.</w:t>
      </w:r>
      <w:r>
        <w:rPr>
          <w:rFonts w:ascii="黑体" w:hAnsi="黑体" w:eastAsia="黑体" w:cs="黑体"/>
          <w:b/>
          <w:bCs/>
          <w:color w:val="0060CE"/>
          <w:spacing w:val="-4"/>
          <w:sz w:val="20"/>
          <w:szCs w:val="20"/>
        </w:rPr>
        <w:t>竣工结算的编制与结算报表</w:t>
      </w:r>
    </w:p>
    <w:p w14:paraId="08E302B3">
      <w:pPr>
        <w:pStyle w:val="2"/>
        <w:spacing w:before="155" w:line="286" w:lineRule="auto"/>
        <w:ind w:left="349" w:right="50" w:firstLine="399"/>
        <w:jc w:val="both"/>
        <w:rPr>
          <w:sz w:val="20"/>
          <w:szCs w:val="20"/>
        </w:rPr>
      </w:pPr>
      <w:r>
        <w:rPr>
          <w:spacing w:val="3"/>
          <w:sz w:val="20"/>
          <w:szCs w:val="20"/>
        </w:rPr>
        <w:t>由于项目的规模大小不同，对竣工结算报表的深</w:t>
      </w:r>
      <w:r>
        <w:rPr>
          <w:spacing w:val="2"/>
          <w:sz w:val="20"/>
          <w:szCs w:val="20"/>
        </w:rPr>
        <w:t>度要求也有所不同。大、中型项目的竣工</w:t>
      </w:r>
      <w:r>
        <w:rPr>
          <w:sz w:val="20"/>
          <w:szCs w:val="20"/>
        </w:rPr>
        <w:t xml:space="preserve"> </w:t>
      </w:r>
      <w:r>
        <w:rPr>
          <w:spacing w:val="3"/>
          <w:sz w:val="20"/>
          <w:szCs w:val="20"/>
        </w:rPr>
        <w:t>结算报表一般包括：竣工工程概况表、竣工财务结算表、交付使用财产总表和明细</w:t>
      </w:r>
      <w:r>
        <w:rPr>
          <w:spacing w:val="2"/>
          <w:sz w:val="20"/>
          <w:szCs w:val="20"/>
        </w:rPr>
        <w:t>表、结余设</w:t>
      </w:r>
      <w:r>
        <w:rPr>
          <w:sz w:val="20"/>
          <w:szCs w:val="20"/>
        </w:rPr>
        <w:t xml:space="preserve"> </w:t>
      </w:r>
      <w:r>
        <w:rPr>
          <w:spacing w:val="-3"/>
          <w:sz w:val="20"/>
          <w:szCs w:val="20"/>
        </w:rPr>
        <w:t>备明细表和应收应付款明细表等。下面分别做简要说明。</w:t>
      </w:r>
    </w:p>
    <w:p w14:paraId="3C0C0E87">
      <w:pPr>
        <w:spacing w:before="114" w:line="229" w:lineRule="auto"/>
        <w:ind w:left="749"/>
        <w:rPr>
          <w:rFonts w:ascii="楷体" w:hAnsi="楷体" w:eastAsia="楷体" w:cs="楷体"/>
          <w:sz w:val="20"/>
          <w:szCs w:val="20"/>
        </w:rPr>
      </w:pPr>
      <w:r>
        <w:rPr>
          <w:rFonts w:ascii="楷体" w:hAnsi="楷体" w:eastAsia="楷体" w:cs="楷体"/>
          <w:spacing w:val="9"/>
          <w:sz w:val="20"/>
          <w:szCs w:val="20"/>
        </w:rPr>
        <w:t>1)竣工工程概况表</w:t>
      </w:r>
    </w:p>
    <w:p w14:paraId="5F260144">
      <w:pPr>
        <w:pStyle w:val="2"/>
        <w:spacing w:before="48" w:line="282" w:lineRule="auto"/>
        <w:ind w:left="349" w:right="51" w:firstLine="399"/>
        <w:rPr>
          <w:sz w:val="20"/>
          <w:szCs w:val="20"/>
        </w:rPr>
      </w:pPr>
      <w:r>
        <w:rPr>
          <w:spacing w:val="3"/>
          <w:sz w:val="20"/>
          <w:szCs w:val="20"/>
        </w:rPr>
        <w:t>竣工工程概况表用来反映竣工工程项目新增生产能力，项目建设的实际成本及各项技术经</w:t>
      </w:r>
      <w:r>
        <w:rPr>
          <w:sz w:val="20"/>
          <w:szCs w:val="20"/>
        </w:rPr>
        <w:t xml:space="preserve"> </w:t>
      </w:r>
      <w:r>
        <w:rPr>
          <w:spacing w:val="-3"/>
          <w:sz w:val="20"/>
          <w:szCs w:val="20"/>
        </w:rPr>
        <w:t>济指标的实际情况。本表包括以下具体内容：</w:t>
      </w:r>
    </w:p>
    <w:p w14:paraId="68EB069D">
      <w:pPr>
        <w:pStyle w:val="2"/>
        <w:spacing w:before="20" w:line="219" w:lineRule="auto"/>
        <w:ind w:left="749"/>
        <w:rPr>
          <w:sz w:val="20"/>
          <w:szCs w:val="20"/>
        </w:rPr>
      </w:pPr>
      <w:r>
        <w:rPr>
          <w:spacing w:val="1"/>
          <w:sz w:val="20"/>
          <w:szCs w:val="20"/>
        </w:rPr>
        <w:t>●竣工工程项目名称、建设地址；</w:t>
      </w:r>
    </w:p>
    <w:p w14:paraId="43FEA283">
      <w:pPr>
        <w:pStyle w:val="2"/>
        <w:spacing w:before="81" w:line="219" w:lineRule="auto"/>
        <w:ind w:left="749"/>
        <w:rPr>
          <w:sz w:val="20"/>
          <w:szCs w:val="20"/>
        </w:rPr>
      </w:pPr>
      <w:r>
        <w:rPr>
          <w:sz w:val="20"/>
          <w:szCs w:val="20"/>
        </w:rPr>
        <w:t>●初步设计和概算的批准机关、日期、文号；</w:t>
      </w:r>
    </w:p>
    <w:p w14:paraId="3C90466A">
      <w:pPr>
        <w:pStyle w:val="2"/>
        <w:spacing w:before="103" w:line="219" w:lineRule="auto"/>
        <w:ind w:left="749"/>
        <w:rPr>
          <w:sz w:val="20"/>
          <w:szCs w:val="20"/>
        </w:rPr>
      </w:pPr>
      <w:r>
        <w:rPr>
          <w:spacing w:val="5"/>
          <w:sz w:val="20"/>
          <w:szCs w:val="20"/>
        </w:rPr>
        <w:t>●工程项目设计与实际占地面积(对硬件、网络、机房建设而言);</w:t>
      </w:r>
    </w:p>
    <w:p w14:paraId="29B994E9">
      <w:pPr>
        <w:pStyle w:val="2"/>
        <w:spacing w:before="74" w:line="219" w:lineRule="auto"/>
        <w:ind w:left="749"/>
        <w:rPr>
          <w:sz w:val="20"/>
          <w:szCs w:val="20"/>
        </w:rPr>
      </w:pPr>
      <w:r>
        <w:rPr>
          <w:spacing w:val="9"/>
          <w:sz w:val="20"/>
          <w:szCs w:val="20"/>
        </w:rPr>
        <w:t>●竣工项目新增生产能力(或收益);</w:t>
      </w:r>
    </w:p>
    <w:p w14:paraId="71E4738A">
      <w:pPr>
        <w:pStyle w:val="2"/>
        <w:spacing w:before="83" w:line="219" w:lineRule="auto"/>
        <w:ind w:left="749"/>
        <w:rPr>
          <w:sz w:val="20"/>
          <w:szCs w:val="20"/>
        </w:rPr>
      </w:pPr>
      <w:r>
        <w:rPr>
          <w:spacing w:val="1"/>
          <w:sz w:val="20"/>
          <w:szCs w:val="20"/>
        </w:rPr>
        <w:t>●项目计划与实际开、竣工日期；</w:t>
      </w:r>
    </w:p>
    <w:p w14:paraId="5E912593">
      <w:pPr>
        <w:pStyle w:val="2"/>
        <w:spacing w:before="93" w:line="219" w:lineRule="auto"/>
        <w:ind w:left="749"/>
        <w:rPr>
          <w:sz w:val="20"/>
          <w:szCs w:val="20"/>
        </w:rPr>
      </w:pPr>
      <w:r>
        <w:rPr>
          <w:spacing w:val="8"/>
          <w:sz w:val="20"/>
          <w:szCs w:val="20"/>
        </w:rPr>
        <w:t>●完成主要工程量(用实物工程量表示);</w:t>
      </w:r>
    </w:p>
    <w:p w14:paraId="5D63D8FE">
      <w:pPr>
        <w:pStyle w:val="2"/>
        <w:spacing w:before="71" w:line="219" w:lineRule="auto"/>
        <w:ind w:left="749"/>
        <w:rPr>
          <w:sz w:val="20"/>
          <w:szCs w:val="20"/>
        </w:rPr>
      </w:pPr>
      <w:r>
        <w:rPr>
          <w:spacing w:val="5"/>
          <w:sz w:val="20"/>
          <w:szCs w:val="20"/>
        </w:rPr>
        <w:t>●建设成本；</w:t>
      </w:r>
    </w:p>
    <w:p w14:paraId="0F032DE6">
      <w:pPr>
        <w:pStyle w:val="2"/>
        <w:spacing w:before="84" w:line="219" w:lineRule="auto"/>
        <w:ind w:left="749"/>
        <w:rPr>
          <w:sz w:val="20"/>
          <w:szCs w:val="20"/>
        </w:rPr>
      </w:pPr>
      <w:r>
        <w:rPr>
          <w:spacing w:val="3"/>
          <w:sz w:val="20"/>
          <w:szCs w:val="20"/>
        </w:rPr>
        <w:t>●主要技术经济指标；</w:t>
      </w:r>
    </w:p>
    <w:p w14:paraId="0D999A5F">
      <w:pPr>
        <w:pStyle w:val="2"/>
        <w:spacing w:before="73" w:line="219" w:lineRule="auto"/>
        <w:ind w:left="749"/>
        <w:rPr>
          <w:sz w:val="20"/>
          <w:szCs w:val="20"/>
        </w:rPr>
      </w:pPr>
      <w:r>
        <w:rPr>
          <w:spacing w:val="10"/>
          <w:sz w:val="20"/>
          <w:szCs w:val="20"/>
        </w:rPr>
        <w:t>●收尾工程。</w:t>
      </w:r>
    </w:p>
    <w:p w14:paraId="0936FF92">
      <w:pPr>
        <w:pStyle w:val="2"/>
        <w:spacing w:before="91" w:line="268" w:lineRule="auto"/>
        <w:ind w:left="349" w:right="30" w:firstLine="399"/>
        <w:jc w:val="both"/>
        <w:rPr>
          <w:sz w:val="20"/>
          <w:szCs w:val="20"/>
        </w:rPr>
      </w:pPr>
      <w:r>
        <w:rPr>
          <w:spacing w:val="3"/>
          <w:sz w:val="20"/>
          <w:szCs w:val="20"/>
        </w:rPr>
        <w:t>如在项目验收之后，尚有少量收尾工程，则应在此表中列出收尾工程的内容、尚需成本数</w:t>
      </w:r>
      <w:r>
        <w:rPr>
          <w:sz w:val="20"/>
          <w:szCs w:val="20"/>
        </w:rPr>
        <w:t xml:space="preserve"> </w:t>
      </w:r>
      <w:r>
        <w:rPr>
          <w:spacing w:val="3"/>
          <w:sz w:val="20"/>
          <w:szCs w:val="20"/>
        </w:rPr>
        <w:t>额、负责收尾的单位、完成时间。对收尾工程的成本可进行估算并加以说明，然后列入结算成</w:t>
      </w:r>
      <w:r>
        <w:rPr>
          <w:spacing w:val="15"/>
          <w:sz w:val="20"/>
          <w:szCs w:val="20"/>
        </w:rPr>
        <w:t xml:space="preserve"> </w:t>
      </w:r>
      <w:r>
        <w:rPr>
          <w:spacing w:val="-3"/>
          <w:sz w:val="20"/>
          <w:szCs w:val="20"/>
        </w:rPr>
        <w:t>本。收尾工程竣工后不必另编项目竣工结算。</w:t>
      </w:r>
    </w:p>
    <w:p w14:paraId="30E2B019">
      <w:pPr>
        <w:spacing w:before="128" w:line="225" w:lineRule="auto"/>
        <w:ind w:left="749"/>
        <w:rPr>
          <w:rFonts w:ascii="楷体" w:hAnsi="楷体" w:eastAsia="楷体" w:cs="楷体"/>
          <w:sz w:val="20"/>
          <w:szCs w:val="20"/>
        </w:rPr>
      </w:pPr>
      <w:r>
        <w:rPr>
          <w:rFonts w:ascii="楷体" w:hAnsi="楷体" w:eastAsia="楷体" w:cs="楷体"/>
          <w:spacing w:val="11"/>
          <w:sz w:val="20"/>
          <w:szCs w:val="20"/>
        </w:rPr>
        <w:t>2)竣工财务结算表</w:t>
      </w:r>
    </w:p>
    <w:p w14:paraId="40AC1291">
      <w:pPr>
        <w:pStyle w:val="2"/>
        <w:spacing w:before="69" w:line="219" w:lineRule="auto"/>
        <w:ind w:left="749"/>
        <w:rPr>
          <w:sz w:val="20"/>
          <w:szCs w:val="20"/>
        </w:rPr>
      </w:pPr>
      <w:r>
        <w:rPr>
          <w:spacing w:val="3"/>
          <w:sz w:val="20"/>
          <w:szCs w:val="20"/>
        </w:rPr>
        <w:t>竣工财务结算表反映竣工工程项目的全部资金来源和其运用情况，作为考核和分析基建成</w:t>
      </w:r>
    </w:p>
    <w:p w14:paraId="5F6F888E">
      <w:pPr>
        <w:spacing w:line="219" w:lineRule="auto"/>
        <w:rPr>
          <w:sz w:val="20"/>
          <w:szCs w:val="20"/>
        </w:rPr>
        <w:sectPr>
          <w:pgSz w:w="10300" w:h="13380"/>
          <w:pgMar w:top="400" w:right="1050" w:bottom="400" w:left="530" w:header="0" w:footer="0" w:gutter="0"/>
          <w:cols w:space="720" w:num="1"/>
        </w:sectPr>
      </w:pPr>
    </w:p>
    <w:p w14:paraId="578B4252">
      <w:pPr>
        <w:pStyle w:val="2"/>
        <w:spacing w:before="46" w:line="219" w:lineRule="auto"/>
        <w:jc w:val="right"/>
        <w:rPr>
          <w:rFonts w:ascii="Times New Roman" w:hAnsi="Times New Roman" w:eastAsia="Times New Roman" w:cs="Times New Roman"/>
          <w:sz w:val="16"/>
          <w:szCs w:val="16"/>
        </w:rPr>
      </w:pPr>
      <w:r>
        <w:rPr>
          <w:spacing w:val="1"/>
          <w:sz w:val="20"/>
          <w:szCs w:val="20"/>
        </w:rPr>
        <w:t>第12章</w:t>
      </w:r>
      <w:r>
        <w:rPr>
          <w:spacing w:val="28"/>
          <w:sz w:val="20"/>
          <w:szCs w:val="20"/>
        </w:rPr>
        <w:t xml:space="preserve"> </w:t>
      </w:r>
      <w:r>
        <w:rPr>
          <w:spacing w:val="1"/>
          <w:sz w:val="20"/>
          <w:szCs w:val="20"/>
        </w:rPr>
        <w:t xml:space="preserve">投资控制      </w:t>
      </w:r>
      <w:r>
        <w:rPr>
          <w:rFonts w:ascii="Times New Roman" w:hAnsi="Times New Roman" w:eastAsia="Times New Roman" w:cs="Times New Roman"/>
          <w:spacing w:val="1"/>
          <w:position w:val="1"/>
          <w:sz w:val="16"/>
          <w:szCs w:val="16"/>
        </w:rPr>
        <w:t>293</w:t>
      </w:r>
    </w:p>
    <w:p w14:paraId="1AE38636">
      <w:pPr>
        <w:spacing w:line="295" w:lineRule="auto"/>
        <w:rPr>
          <w:rFonts w:ascii="Arial"/>
          <w:sz w:val="21"/>
        </w:rPr>
      </w:pPr>
    </w:p>
    <w:p w14:paraId="09490BE6">
      <w:pPr>
        <w:pStyle w:val="2"/>
        <w:spacing w:before="65" w:line="219" w:lineRule="auto"/>
        <w:rPr>
          <w:sz w:val="20"/>
          <w:szCs w:val="20"/>
        </w:rPr>
      </w:pPr>
      <w:r>
        <w:rPr>
          <w:spacing w:val="-1"/>
          <w:sz w:val="20"/>
          <w:szCs w:val="20"/>
        </w:rPr>
        <w:t>本效果的依据。此表采用平衡表的形式，即资金来源合计等于资金运</w:t>
      </w:r>
      <w:r>
        <w:rPr>
          <w:spacing w:val="-2"/>
          <w:sz w:val="20"/>
          <w:szCs w:val="20"/>
        </w:rPr>
        <w:t>用合计。</w:t>
      </w:r>
    </w:p>
    <w:p w14:paraId="3581ED35">
      <w:pPr>
        <w:pStyle w:val="2"/>
        <w:spacing w:before="62" w:line="298" w:lineRule="auto"/>
        <w:ind w:right="288" w:firstLine="389"/>
        <w:jc w:val="both"/>
        <w:rPr>
          <w:sz w:val="16"/>
          <w:szCs w:val="16"/>
        </w:rPr>
      </w:pPr>
      <w:r>
        <w:rPr>
          <w:spacing w:val="8"/>
          <w:sz w:val="20"/>
          <w:szCs w:val="20"/>
        </w:rPr>
        <w:t>在竣工财务结算表中，应将资金来源与资金运用两栏对应列表。资金来源包括工程项目</w:t>
      </w:r>
      <w:r>
        <w:rPr>
          <w:spacing w:val="3"/>
          <w:sz w:val="20"/>
          <w:szCs w:val="20"/>
        </w:rPr>
        <w:t xml:space="preserve"> </w:t>
      </w:r>
      <w:r>
        <w:rPr>
          <w:spacing w:val="2"/>
          <w:sz w:val="20"/>
          <w:szCs w:val="20"/>
        </w:rPr>
        <w:t>的各种来源渠道的资金。资金运用反映工程项目从开工准备到竣工的全过程中资金运用的全面</w:t>
      </w:r>
      <w:r>
        <w:rPr>
          <w:spacing w:val="5"/>
          <w:sz w:val="20"/>
          <w:szCs w:val="20"/>
        </w:rPr>
        <w:t xml:space="preserve"> </w:t>
      </w:r>
      <w:r>
        <w:rPr>
          <w:spacing w:val="-5"/>
          <w:sz w:val="16"/>
          <w:szCs w:val="16"/>
        </w:rPr>
        <w:t>情</w:t>
      </w:r>
      <w:r>
        <w:rPr>
          <w:spacing w:val="-13"/>
          <w:sz w:val="16"/>
          <w:szCs w:val="16"/>
        </w:rPr>
        <w:t xml:space="preserve"> </w:t>
      </w:r>
      <w:r>
        <w:rPr>
          <w:spacing w:val="-5"/>
          <w:sz w:val="16"/>
          <w:szCs w:val="16"/>
        </w:rPr>
        <w:t>况</w:t>
      </w:r>
      <w:r>
        <w:rPr>
          <w:spacing w:val="-20"/>
          <w:sz w:val="16"/>
          <w:szCs w:val="16"/>
        </w:rPr>
        <w:t xml:space="preserve"> </w:t>
      </w:r>
      <w:r>
        <w:rPr>
          <w:spacing w:val="-5"/>
          <w:sz w:val="16"/>
          <w:szCs w:val="16"/>
        </w:rPr>
        <w:t>。</w:t>
      </w:r>
    </w:p>
    <w:p w14:paraId="12B81391">
      <w:pPr>
        <w:spacing w:before="133" w:line="223" w:lineRule="auto"/>
        <w:ind w:left="389"/>
        <w:rPr>
          <w:rFonts w:ascii="楷体" w:hAnsi="楷体" w:eastAsia="楷体" w:cs="楷体"/>
          <w:sz w:val="20"/>
          <w:szCs w:val="20"/>
        </w:rPr>
      </w:pPr>
      <w:r>
        <w:rPr>
          <w:rFonts w:ascii="楷体" w:hAnsi="楷体" w:eastAsia="楷体" w:cs="楷体"/>
          <w:spacing w:val="11"/>
          <w:sz w:val="20"/>
          <w:szCs w:val="20"/>
        </w:rPr>
        <w:t>3)交付使用财产总表</w:t>
      </w:r>
    </w:p>
    <w:p w14:paraId="742C6F18">
      <w:pPr>
        <w:pStyle w:val="2"/>
        <w:spacing w:before="82" w:line="282" w:lineRule="auto"/>
        <w:ind w:right="207" w:firstLine="389"/>
        <w:rPr>
          <w:sz w:val="20"/>
          <w:szCs w:val="20"/>
        </w:rPr>
      </w:pPr>
      <w:r>
        <w:rPr>
          <w:sz w:val="20"/>
          <w:szCs w:val="20"/>
        </w:rPr>
        <w:t>交付使用财产总表反映工程项目建成后，交付投产或使用的新增</w:t>
      </w:r>
      <w:r>
        <w:rPr>
          <w:spacing w:val="-1"/>
          <w:sz w:val="20"/>
          <w:szCs w:val="20"/>
        </w:rPr>
        <w:t>资产的全部情况及其价值，</w:t>
      </w:r>
      <w:r>
        <w:rPr>
          <w:sz w:val="20"/>
          <w:szCs w:val="20"/>
        </w:rPr>
        <w:t xml:space="preserve"> </w:t>
      </w:r>
      <w:r>
        <w:rPr>
          <w:spacing w:val="-2"/>
          <w:sz w:val="20"/>
          <w:szCs w:val="20"/>
        </w:rPr>
        <w:t>作为财产交接、检查成本计划完成情况和分析成本效果的依据。</w:t>
      </w:r>
    </w:p>
    <w:p w14:paraId="5026F3AA">
      <w:pPr>
        <w:spacing w:before="90" w:line="228" w:lineRule="auto"/>
        <w:ind w:left="389"/>
        <w:rPr>
          <w:rFonts w:ascii="楷体" w:hAnsi="楷体" w:eastAsia="楷体" w:cs="楷体"/>
          <w:sz w:val="20"/>
          <w:szCs w:val="20"/>
        </w:rPr>
      </w:pPr>
      <w:r>
        <w:rPr>
          <w:rFonts w:ascii="楷体" w:hAnsi="楷体" w:eastAsia="楷体" w:cs="楷体"/>
          <w:spacing w:val="7"/>
          <w:sz w:val="20"/>
          <w:szCs w:val="20"/>
        </w:rPr>
        <w:t>4)工程项目竣工结算说明书</w:t>
      </w:r>
    </w:p>
    <w:p w14:paraId="01F514C6">
      <w:pPr>
        <w:pStyle w:val="2"/>
        <w:spacing w:before="62" w:line="289" w:lineRule="auto"/>
        <w:ind w:right="276" w:firstLine="389"/>
        <w:rPr>
          <w:sz w:val="20"/>
          <w:szCs w:val="20"/>
        </w:rPr>
      </w:pPr>
      <w:r>
        <w:rPr>
          <w:spacing w:val="3"/>
          <w:sz w:val="20"/>
          <w:szCs w:val="20"/>
        </w:rPr>
        <w:t>在编制竣工结算报表的同时，还应编制竣工结算说明书，它是</w:t>
      </w:r>
      <w:r>
        <w:rPr>
          <w:spacing w:val="2"/>
          <w:sz w:val="20"/>
          <w:szCs w:val="20"/>
        </w:rPr>
        <w:t>对竣工结算报表进行分析和</w:t>
      </w:r>
      <w:r>
        <w:rPr>
          <w:sz w:val="20"/>
          <w:szCs w:val="20"/>
        </w:rPr>
        <w:t xml:space="preserve"> </w:t>
      </w:r>
      <w:r>
        <w:rPr>
          <w:spacing w:val="3"/>
          <w:sz w:val="20"/>
          <w:szCs w:val="20"/>
        </w:rPr>
        <w:t>补充说明的文件。其主要内容包括：工程概况、项目设计预</w:t>
      </w:r>
      <w:r>
        <w:rPr>
          <w:spacing w:val="2"/>
          <w:sz w:val="20"/>
          <w:szCs w:val="20"/>
        </w:rPr>
        <w:t>算、建设计划的执行情况、建设成</w:t>
      </w:r>
      <w:r>
        <w:rPr>
          <w:sz w:val="20"/>
          <w:szCs w:val="20"/>
        </w:rPr>
        <w:t xml:space="preserve"> </w:t>
      </w:r>
      <w:r>
        <w:rPr>
          <w:spacing w:val="3"/>
          <w:sz w:val="20"/>
          <w:szCs w:val="20"/>
        </w:rPr>
        <w:t>本使用情况、建设成本和成本效益、各项技术经济指标</w:t>
      </w:r>
      <w:r>
        <w:rPr>
          <w:spacing w:val="2"/>
          <w:sz w:val="20"/>
          <w:szCs w:val="20"/>
        </w:rPr>
        <w:t>完成情况、收尾工程的处理意见、工程</w:t>
      </w:r>
      <w:r>
        <w:rPr>
          <w:sz w:val="20"/>
          <w:szCs w:val="20"/>
        </w:rPr>
        <w:t xml:space="preserve"> </w:t>
      </w:r>
      <w:r>
        <w:rPr>
          <w:spacing w:val="-1"/>
          <w:sz w:val="20"/>
          <w:szCs w:val="20"/>
        </w:rPr>
        <w:t>质量评定情况，以及项目建设的经验总结、存在的主要问题和解</w:t>
      </w:r>
      <w:r>
        <w:rPr>
          <w:spacing w:val="-2"/>
          <w:sz w:val="20"/>
          <w:szCs w:val="20"/>
        </w:rPr>
        <w:t>决措施等。</w:t>
      </w:r>
    </w:p>
    <w:p w14:paraId="71B6BFC5">
      <w:pPr>
        <w:pStyle w:val="2"/>
        <w:spacing w:before="104" w:line="221" w:lineRule="auto"/>
        <w:ind w:left="392"/>
        <w:rPr>
          <w:rFonts w:ascii="黑体" w:hAnsi="黑体" w:eastAsia="黑体" w:cs="黑体"/>
          <w:sz w:val="20"/>
          <w:szCs w:val="20"/>
        </w:rPr>
      </w:pPr>
      <w:r>
        <w:rPr>
          <w:b/>
          <w:bCs/>
          <w:color w:val="005CD6"/>
          <w:spacing w:val="-4"/>
          <w:sz w:val="20"/>
          <w:szCs w:val="20"/>
        </w:rPr>
        <w:t>3.</w:t>
      </w:r>
      <w:r>
        <w:rPr>
          <w:rFonts w:ascii="黑体" w:hAnsi="黑体" w:eastAsia="黑体" w:cs="黑体"/>
          <w:b/>
          <w:bCs/>
          <w:color w:val="005CD6"/>
          <w:spacing w:val="-4"/>
          <w:sz w:val="20"/>
          <w:szCs w:val="20"/>
        </w:rPr>
        <w:t>竣工结算的审核</w:t>
      </w:r>
    </w:p>
    <w:p w14:paraId="2B591E22">
      <w:pPr>
        <w:pStyle w:val="2"/>
        <w:spacing w:before="134" w:line="287" w:lineRule="auto"/>
        <w:ind w:right="226" w:firstLine="389"/>
        <w:rPr>
          <w:sz w:val="20"/>
          <w:szCs w:val="20"/>
        </w:rPr>
      </w:pPr>
      <w:r>
        <w:rPr>
          <w:spacing w:val="4"/>
          <w:sz w:val="20"/>
          <w:szCs w:val="20"/>
        </w:rPr>
        <w:t>审核分析工程竣工结算是监理工程师对项目成本控制工作的一项重要内容。在深入实际、</w:t>
      </w:r>
      <w:r>
        <w:rPr>
          <w:spacing w:val="13"/>
          <w:sz w:val="20"/>
          <w:szCs w:val="20"/>
        </w:rPr>
        <w:t xml:space="preserve"> </w:t>
      </w:r>
      <w:r>
        <w:rPr>
          <w:spacing w:val="-1"/>
          <w:sz w:val="20"/>
          <w:szCs w:val="20"/>
        </w:rPr>
        <w:t>弄清情况、掌握数据的基础上，以国家政策、设计文件、建设预算、项目建设成本计划为依据，</w:t>
      </w:r>
      <w:r>
        <w:rPr>
          <w:spacing w:val="1"/>
          <w:sz w:val="20"/>
          <w:szCs w:val="20"/>
        </w:rPr>
        <w:t xml:space="preserve"> </w:t>
      </w:r>
      <w:r>
        <w:rPr>
          <w:spacing w:val="-5"/>
          <w:sz w:val="20"/>
          <w:szCs w:val="20"/>
        </w:rPr>
        <w:t>重点审核分析以下内容：</w:t>
      </w:r>
    </w:p>
    <w:p w14:paraId="308DC323">
      <w:pPr>
        <w:pStyle w:val="2"/>
        <w:spacing w:before="37" w:line="219" w:lineRule="auto"/>
        <w:ind w:left="389"/>
        <w:rPr>
          <w:sz w:val="20"/>
          <w:szCs w:val="20"/>
        </w:rPr>
      </w:pPr>
      <w:r>
        <w:rPr>
          <w:spacing w:val="2"/>
          <w:sz w:val="20"/>
          <w:szCs w:val="20"/>
        </w:rPr>
        <w:t>(1)审核项目成本计划的执行情况。</w:t>
      </w:r>
    </w:p>
    <w:p w14:paraId="35A0DF3C">
      <w:pPr>
        <w:pStyle w:val="2"/>
        <w:spacing w:before="54" w:line="277" w:lineRule="auto"/>
        <w:ind w:right="277" w:firstLine="389"/>
        <w:rPr>
          <w:sz w:val="20"/>
          <w:szCs w:val="20"/>
        </w:rPr>
      </w:pPr>
      <w:r>
        <w:rPr>
          <w:spacing w:val="3"/>
          <w:sz w:val="20"/>
          <w:szCs w:val="20"/>
        </w:rPr>
        <w:t>根据批准的初步设计和项目建设成本计划，核对竣工项目</w:t>
      </w:r>
      <w:r>
        <w:rPr>
          <w:spacing w:val="2"/>
          <w:sz w:val="20"/>
          <w:szCs w:val="20"/>
        </w:rPr>
        <w:t>中有无计划外工程的增减，是否</w:t>
      </w:r>
      <w:r>
        <w:rPr>
          <w:sz w:val="20"/>
          <w:szCs w:val="20"/>
        </w:rPr>
        <w:t xml:space="preserve"> </w:t>
      </w:r>
      <w:r>
        <w:rPr>
          <w:spacing w:val="3"/>
          <w:sz w:val="20"/>
          <w:szCs w:val="20"/>
        </w:rPr>
        <w:t>有监理工程师和承建单位双方的签证手续；工程设计的变更</w:t>
      </w:r>
      <w:r>
        <w:rPr>
          <w:spacing w:val="2"/>
          <w:sz w:val="20"/>
          <w:szCs w:val="20"/>
        </w:rPr>
        <w:t>是否有设计部门和监理工程师的变</w:t>
      </w:r>
      <w:r>
        <w:rPr>
          <w:sz w:val="20"/>
          <w:szCs w:val="20"/>
        </w:rPr>
        <w:t xml:space="preserve"> </w:t>
      </w:r>
      <w:r>
        <w:rPr>
          <w:spacing w:val="-1"/>
          <w:sz w:val="20"/>
          <w:szCs w:val="20"/>
        </w:rPr>
        <w:t>更设计手续；根据批准的设计概算，审核竣工项目的实际成本额是节约还是超</w:t>
      </w:r>
      <w:r>
        <w:rPr>
          <w:spacing w:val="-2"/>
          <w:sz w:val="20"/>
          <w:szCs w:val="20"/>
        </w:rPr>
        <w:t>支了。</w:t>
      </w:r>
    </w:p>
    <w:p w14:paraId="711AFB37">
      <w:pPr>
        <w:pStyle w:val="2"/>
        <w:spacing w:before="41" w:line="220" w:lineRule="auto"/>
        <w:ind w:left="389"/>
        <w:rPr>
          <w:sz w:val="20"/>
          <w:szCs w:val="20"/>
        </w:rPr>
      </w:pPr>
      <w:r>
        <w:rPr>
          <w:spacing w:val="2"/>
          <w:sz w:val="20"/>
          <w:szCs w:val="20"/>
        </w:rPr>
        <w:t>(2)审核项目的各项费用支出是否合理。</w:t>
      </w:r>
    </w:p>
    <w:p w14:paraId="7698F503">
      <w:pPr>
        <w:pStyle w:val="2"/>
        <w:spacing w:before="59" w:line="282" w:lineRule="auto"/>
        <w:ind w:right="206" w:firstLine="389"/>
        <w:rPr>
          <w:sz w:val="20"/>
          <w:szCs w:val="20"/>
        </w:rPr>
      </w:pPr>
      <w:r>
        <w:rPr>
          <w:sz w:val="20"/>
          <w:szCs w:val="20"/>
        </w:rPr>
        <w:t>根据财务制度审核分析各项费用的支出是否符合有关规定，有无</w:t>
      </w:r>
      <w:r>
        <w:rPr>
          <w:spacing w:val="-1"/>
          <w:sz w:val="20"/>
          <w:szCs w:val="20"/>
        </w:rPr>
        <w:t>乱挤成本、扩大开支范围、</w:t>
      </w:r>
      <w:r>
        <w:rPr>
          <w:sz w:val="20"/>
          <w:szCs w:val="20"/>
        </w:rPr>
        <w:t xml:space="preserve"> </w:t>
      </w:r>
      <w:r>
        <w:rPr>
          <w:spacing w:val="-3"/>
          <w:sz w:val="20"/>
          <w:szCs w:val="20"/>
        </w:rPr>
        <w:t>假公济私、铺张浪费等违反财经纪律和不合理的情况。</w:t>
      </w:r>
    </w:p>
    <w:p w14:paraId="35F77DA2">
      <w:pPr>
        <w:pStyle w:val="2"/>
        <w:spacing w:before="21" w:line="219" w:lineRule="auto"/>
        <w:ind w:left="389"/>
        <w:rPr>
          <w:sz w:val="20"/>
          <w:szCs w:val="20"/>
        </w:rPr>
      </w:pPr>
      <w:r>
        <w:rPr>
          <w:spacing w:val="2"/>
          <w:sz w:val="20"/>
          <w:szCs w:val="20"/>
        </w:rPr>
        <w:t>(3)审核报废损失和核销损失的真实性。</w:t>
      </w:r>
    </w:p>
    <w:p w14:paraId="08B7F76A">
      <w:pPr>
        <w:pStyle w:val="2"/>
        <w:spacing w:before="62" w:line="282" w:lineRule="auto"/>
        <w:ind w:right="295" w:firstLine="389"/>
        <w:rPr>
          <w:sz w:val="20"/>
          <w:szCs w:val="20"/>
        </w:rPr>
      </w:pPr>
      <w:r>
        <w:rPr>
          <w:spacing w:val="3"/>
          <w:sz w:val="20"/>
          <w:szCs w:val="20"/>
        </w:rPr>
        <w:t>审核分析报废工程损失，应核销其他支出中的各项</w:t>
      </w:r>
      <w:r>
        <w:rPr>
          <w:spacing w:val="2"/>
          <w:sz w:val="20"/>
          <w:szCs w:val="20"/>
        </w:rPr>
        <w:t>损失是否符合实际情况，是否经有关主</w:t>
      </w:r>
      <w:r>
        <w:rPr>
          <w:sz w:val="20"/>
          <w:szCs w:val="20"/>
        </w:rPr>
        <w:t xml:space="preserve"> </w:t>
      </w:r>
      <w:r>
        <w:rPr>
          <w:spacing w:val="-1"/>
          <w:sz w:val="20"/>
          <w:szCs w:val="20"/>
        </w:rPr>
        <w:t>管部门批准。特别是对报废工程要进行认真审核，要尽量回</w:t>
      </w:r>
      <w:r>
        <w:rPr>
          <w:spacing w:val="-2"/>
          <w:sz w:val="20"/>
          <w:szCs w:val="20"/>
        </w:rPr>
        <w:t>收利用减少损失。</w:t>
      </w:r>
    </w:p>
    <w:p w14:paraId="222ABB3F">
      <w:pPr>
        <w:pStyle w:val="2"/>
        <w:spacing w:before="20" w:line="219" w:lineRule="auto"/>
        <w:ind w:left="389"/>
        <w:rPr>
          <w:sz w:val="20"/>
          <w:szCs w:val="20"/>
        </w:rPr>
      </w:pPr>
      <w:r>
        <w:rPr>
          <w:spacing w:val="2"/>
          <w:sz w:val="20"/>
          <w:szCs w:val="20"/>
        </w:rPr>
        <w:t>(4)审核各项账目、统计资料是否准确完整。</w:t>
      </w:r>
    </w:p>
    <w:p w14:paraId="738BDD83">
      <w:pPr>
        <w:pStyle w:val="2"/>
        <w:spacing w:before="51" w:line="291" w:lineRule="auto"/>
        <w:ind w:right="278" w:firstLine="389"/>
        <w:rPr>
          <w:sz w:val="20"/>
          <w:szCs w:val="20"/>
        </w:rPr>
      </w:pPr>
      <w:r>
        <w:rPr>
          <w:spacing w:val="3"/>
          <w:sz w:val="20"/>
          <w:szCs w:val="20"/>
        </w:rPr>
        <w:t>对各项账目和统计资料进行完整性和准确性审核。各项应收应付款是否全部结清，工程上</w:t>
      </w:r>
      <w:r>
        <w:rPr>
          <w:sz w:val="20"/>
          <w:szCs w:val="20"/>
        </w:rPr>
        <w:t xml:space="preserve"> </w:t>
      </w:r>
      <w:r>
        <w:rPr>
          <w:spacing w:val="-2"/>
          <w:sz w:val="20"/>
          <w:szCs w:val="20"/>
        </w:rPr>
        <w:t>应分摊的各项费用是否全部分摊完毕，应退余料是否退清等。</w:t>
      </w:r>
    </w:p>
    <w:p w14:paraId="6E96DF8A">
      <w:pPr>
        <w:pStyle w:val="2"/>
        <w:spacing w:line="218" w:lineRule="auto"/>
        <w:ind w:left="389"/>
        <w:rPr>
          <w:sz w:val="20"/>
          <w:szCs w:val="20"/>
        </w:rPr>
      </w:pPr>
      <w:r>
        <w:rPr>
          <w:spacing w:val="2"/>
          <w:sz w:val="20"/>
          <w:szCs w:val="20"/>
        </w:rPr>
        <w:t>(5)审核项目竣工说明书是否全面系统。</w:t>
      </w:r>
    </w:p>
    <w:p w14:paraId="554401C4">
      <w:pPr>
        <w:pStyle w:val="2"/>
        <w:spacing w:before="63" w:line="298" w:lineRule="auto"/>
        <w:ind w:right="257" w:firstLine="389"/>
        <w:rPr>
          <w:sz w:val="16"/>
          <w:szCs w:val="16"/>
        </w:rPr>
      </w:pPr>
      <w:r>
        <w:rPr>
          <w:spacing w:val="3"/>
          <w:sz w:val="20"/>
          <w:szCs w:val="20"/>
        </w:rPr>
        <w:t>对项目竣工说明书的内容进行全面性、系统性审核，看其是否符合实际情况，是否对项目</w:t>
      </w:r>
      <w:r>
        <w:rPr>
          <w:spacing w:val="10"/>
          <w:sz w:val="20"/>
          <w:szCs w:val="20"/>
        </w:rPr>
        <w:t xml:space="preserve"> </w:t>
      </w:r>
      <w:r>
        <w:rPr>
          <w:spacing w:val="3"/>
          <w:sz w:val="20"/>
          <w:szCs w:val="20"/>
        </w:rPr>
        <w:t>建设全过程取得的经验和存在的主要问题如实做了说明，说明书中有无虚假不实、掩盖矛盾等</w:t>
      </w:r>
      <w:r>
        <w:rPr>
          <w:spacing w:val="5"/>
          <w:sz w:val="20"/>
          <w:szCs w:val="20"/>
        </w:rPr>
        <w:t xml:space="preserve"> </w:t>
      </w:r>
      <w:r>
        <w:rPr>
          <w:spacing w:val="-5"/>
          <w:sz w:val="16"/>
          <w:szCs w:val="16"/>
        </w:rPr>
        <w:t>情</w:t>
      </w:r>
      <w:r>
        <w:rPr>
          <w:spacing w:val="-13"/>
          <w:sz w:val="16"/>
          <w:szCs w:val="16"/>
        </w:rPr>
        <w:t xml:space="preserve"> </w:t>
      </w:r>
      <w:r>
        <w:rPr>
          <w:spacing w:val="-5"/>
          <w:sz w:val="16"/>
          <w:szCs w:val="16"/>
        </w:rPr>
        <w:t>况</w:t>
      </w:r>
      <w:r>
        <w:rPr>
          <w:spacing w:val="-20"/>
          <w:sz w:val="16"/>
          <w:szCs w:val="16"/>
        </w:rPr>
        <w:t xml:space="preserve"> </w:t>
      </w:r>
      <w:r>
        <w:rPr>
          <w:spacing w:val="-5"/>
          <w:sz w:val="16"/>
          <w:szCs w:val="16"/>
        </w:rPr>
        <w:t>。</w:t>
      </w:r>
    </w:p>
    <w:p w14:paraId="0F05ADF0">
      <w:pPr>
        <w:spacing w:line="298" w:lineRule="auto"/>
        <w:rPr>
          <w:sz w:val="16"/>
          <w:szCs w:val="16"/>
        </w:rPr>
        <w:sectPr>
          <w:pgSz w:w="10290" w:h="13310"/>
          <w:pgMar w:top="400" w:right="663" w:bottom="400" w:left="1040" w:header="0" w:footer="0" w:gutter="0"/>
          <w:cols w:space="720" w:num="1"/>
        </w:sectPr>
      </w:pPr>
    </w:p>
    <w:p w14:paraId="1652343E">
      <w:pPr>
        <w:spacing w:line="248" w:lineRule="auto"/>
        <w:rPr>
          <w:rFonts w:ascii="Arial"/>
          <w:sz w:val="21"/>
        </w:rPr>
      </w:pPr>
    </w:p>
    <w:p w14:paraId="47877C33">
      <w:pPr>
        <w:spacing w:line="248" w:lineRule="auto"/>
        <w:rPr>
          <w:rFonts w:ascii="Arial"/>
          <w:sz w:val="21"/>
        </w:rPr>
      </w:pPr>
    </w:p>
    <w:p w14:paraId="64CDD743">
      <w:pPr>
        <w:spacing w:line="249" w:lineRule="auto"/>
        <w:rPr>
          <w:rFonts w:ascii="Arial"/>
          <w:sz w:val="21"/>
        </w:rPr>
      </w:pPr>
    </w:p>
    <w:p w14:paraId="46AE9BD5">
      <w:pPr>
        <w:spacing w:before="130" w:line="529" w:lineRule="exact"/>
        <w:ind w:right="49"/>
        <w:jc w:val="right"/>
        <w:rPr>
          <w:sz w:val="40"/>
          <w:szCs w:val="40"/>
        </w:rPr>
      </w:pPr>
      <w:r>
        <w:rPr>
          <w:rFonts w:ascii="黑体" w:hAnsi="黑体" w:eastAsia="黑体" w:cs="黑体"/>
          <w:b/>
          <w:bCs/>
          <w:color w:val="0074F9"/>
          <w:spacing w:val="17"/>
          <w:position w:val="-2"/>
          <w:sz w:val="40"/>
          <w:szCs w:val="40"/>
        </w:rPr>
        <w:t>第13章</w:t>
      </w:r>
      <w:r>
        <w:rPr>
          <w:rFonts w:ascii="黑体" w:hAnsi="黑体" w:eastAsia="黑体" w:cs="黑体"/>
          <w:color w:val="0074F9"/>
          <w:spacing w:val="202"/>
          <w:position w:val="-2"/>
          <w:sz w:val="40"/>
          <w:szCs w:val="40"/>
        </w:rPr>
        <w:t xml:space="preserve"> </w:t>
      </w:r>
      <w:r>
        <w:rPr>
          <w:rFonts w:ascii="黑体" w:hAnsi="黑体" w:eastAsia="黑体" w:cs="黑体"/>
          <w:b/>
          <w:bCs/>
          <w:color w:val="0074F9"/>
          <w:spacing w:val="17"/>
          <w:position w:val="-2"/>
          <w:sz w:val="40"/>
          <w:szCs w:val="40"/>
        </w:rPr>
        <w:t>合同管理</w:t>
      </w:r>
      <w:r>
        <w:rPr>
          <w:rFonts w:ascii="黑体" w:hAnsi="黑体" w:eastAsia="黑体" w:cs="黑体"/>
          <w:color w:val="0074F9"/>
          <w:spacing w:val="7"/>
          <w:position w:val="-2"/>
          <w:sz w:val="40"/>
          <w:szCs w:val="40"/>
        </w:rPr>
        <w:t xml:space="preserve">       </w:t>
      </w:r>
      <w:r>
        <w:rPr>
          <w:position w:val="-5"/>
          <w:sz w:val="40"/>
          <w:szCs w:val="40"/>
        </w:rPr>
        <w:drawing>
          <wp:inline distT="0" distB="0" distL="0" distR="0">
            <wp:extent cx="647700" cy="27305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98"/>
                    <a:stretch>
                      <a:fillRect/>
                    </a:stretch>
                  </pic:blipFill>
                  <pic:spPr>
                    <a:xfrm>
                      <a:off x="0" y="0"/>
                      <a:ext cx="647705" cy="273105"/>
                    </a:xfrm>
                    <a:prstGeom prst="rect">
                      <a:avLst/>
                    </a:prstGeom>
                  </pic:spPr>
                </pic:pic>
              </a:graphicData>
            </a:graphic>
          </wp:inline>
        </w:drawing>
      </w:r>
    </w:p>
    <w:p w14:paraId="439AFC76">
      <w:pPr>
        <w:spacing w:line="334" w:lineRule="auto"/>
        <w:rPr>
          <w:rFonts w:ascii="Arial"/>
          <w:sz w:val="21"/>
        </w:rPr>
      </w:pPr>
    </w:p>
    <w:p w14:paraId="4CD6A8E1">
      <w:pPr>
        <w:spacing w:line="334" w:lineRule="auto"/>
        <w:rPr>
          <w:rFonts w:ascii="Arial"/>
          <w:sz w:val="21"/>
        </w:rPr>
      </w:pPr>
    </w:p>
    <w:p w14:paraId="478129DF">
      <w:pPr>
        <w:pStyle w:val="2"/>
        <w:spacing w:before="65" w:line="289" w:lineRule="auto"/>
        <w:ind w:right="29" w:firstLine="410"/>
        <w:jc w:val="both"/>
        <w:rPr>
          <w:sz w:val="20"/>
          <w:szCs w:val="20"/>
        </w:rPr>
      </w:pPr>
      <w:r>
        <w:rPr>
          <w:spacing w:val="3"/>
          <w:sz w:val="20"/>
          <w:szCs w:val="20"/>
        </w:rPr>
        <w:t>信息系统工程的建设过程实际上就是合同的执行过程。合同是工程建设的基本依据，也是</w:t>
      </w:r>
      <w:r>
        <w:rPr>
          <w:spacing w:val="12"/>
          <w:sz w:val="20"/>
          <w:szCs w:val="20"/>
        </w:rPr>
        <w:t xml:space="preserve"> </w:t>
      </w:r>
      <w:r>
        <w:rPr>
          <w:spacing w:val="3"/>
          <w:sz w:val="20"/>
          <w:szCs w:val="20"/>
        </w:rPr>
        <w:t>监理工作的主要依据之一。合同管理是信息系统工程建设合同</w:t>
      </w:r>
      <w:r>
        <w:rPr>
          <w:spacing w:val="2"/>
          <w:sz w:val="20"/>
          <w:szCs w:val="20"/>
        </w:rPr>
        <w:t>得到有效履行的有力保证，贯穿</w:t>
      </w:r>
      <w:r>
        <w:rPr>
          <w:sz w:val="20"/>
          <w:szCs w:val="20"/>
        </w:rPr>
        <w:t xml:space="preserve"> </w:t>
      </w:r>
      <w:r>
        <w:rPr>
          <w:spacing w:val="3"/>
          <w:sz w:val="20"/>
          <w:szCs w:val="20"/>
        </w:rPr>
        <w:t>于监理活动的始终。合同管理的任务是对承建合同的签订、履行、变更、终止或解除</w:t>
      </w:r>
      <w:r>
        <w:rPr>
          <w:spacing w:val="2"/>
          <w:sz w:val="20"/>
          <w:szCs w:val="20"/>
        </w:rPr>
        <w:t>进行检查</w:t>
      </w:r>
      <w:r>
        <w:rPr>
          <w:sz w:val="20"/>
          <w:szCs w:val="20"/>
        </w:rPr>
        <w:t xml:space="preserve"> </w:t>
      </w:r>
      <w:r>
        <w:rPr>
          <w:spacing w:val="-2"/>
          <w:sz w:val="20"/>
          <w:szCs w:val="20"/>
        </w:rPr>
        <w:t>和监督，以保证承建合同的签订、执行具备合法性和有效性。</w:t>
      </w:r>
    </w:p>
    <w:p w14:paraId="0B412A0D">
      <w:pPr>
        <w:pStyle w:val="2"/>
        <w:spacing w:before="27" w:line="219" w:lineRule="auto"/>
        <w:ind w:left="410"/>
        <w:rPr>
          <w:sz w:val="20"/>
          <w:szCs w:val="20"/>
        </w:rPr>
      </w:pPr>
      <w:r>
        <w:rPr>
          <w:spacing w:val="-1"/>
          <w:sz w:val="20"/>
          <w:szCs w:val="20"/>
        </w:rPr>
        <w:t>作为监理工程师，应该熟悉合同管理的基本内容和要求，掌握合同管理的监理工作技能。</w:t>
      </w:r>
    </w:p>
    <w:p w14:paraId="209B051E">
      <w:pPr>
        <w:spacing w:line="344" w:lineRule="auto"/>
        <w:rPr>
          <w:rFonts w:ascii="Arial"/>
          <w:sz w:val="21"/>
        </w:rPr>
      </w:pPr>
    </w:p>
    <w:p w14:paraId="152249B8">
      <w:pPr>
        <w:pStyle w:val="2"/>
        <w:spacing w:before="94" w:line="221" w:lineRule="auto"/>
        <w:ind w:left="3"/>
        <w:rPr>
          <w:rFonts w:ascii="黑体" w:hAnsi="黑体" w:eastAsia="黑体" w:cs="黑体"/>
          <w:sz w:val="29"/>
          <w:szCs w:val="29"/>
        </w:rPr>
      </w:pPr>
      <w:r>
        <w:rPr>
          <w:b/>
          <w:bCs/>
          <w:color w:val="006FDE"/>
          <w:spacing w:val="-17"/>
          <w:sz w:val="29"/>
          <w:szCs w:val="29"/>
        </w:rPr>
        <w:t>13.1</w:t>
      </w:r>
      <w:r>
        <w:rPr>
          <w:color w:val="006FDE"/>
          <w:spacing w:val="24"/>
          <w:sz w:val="29"/>
          <w:szCs w:val="29"/>
        </w:rPr>
        <w:t xml:space="preserve">  </w:t>
      </w:r>
      <w:r>
        <w:rPr>
          <w:rFonts w:ascii="黑体" w:hAnsi="黑体" w:eastAsia="黑体" w:cs="黑体"/>
          <w:b/>
          <w:bCs/>
          <w:color w:val="006FDE"/>
          <w:spacing w:val="-17"/>
          <w:sz w:val="29"/>
          <w:szCs w:val="29"/>
        </w:rPr>
        <w:t>信息系统工程合同的内容及分类</w:t>
      </w:r>
    </w:p>
    <w:p w14:paraId="36CB4D0F">
      <w:pPr>
        <w:pStyle w:val="2"/>
        <w:spacing w:before="254" w:line="293" w:lineRule="auto"/>
        <w:ind w:right="43" w:firstLine="310"/>
        <w:jc w:val="both"/>
        <w:rPr>
          <w:sz w:val="16"/>
          <w:szCs w:val="16"/>
        </w:rPr>
      </w:pPr>
      <w:r>
        <w:rPr>
          <w:spacing w:val="5"/>
          <w:sz w:val="20"/>
          <w:szCs w:val="20"/>
        </w:rPr>
        <w:t>《中华人民共和国民法典》(简称"民法典")规定，合同是民事主体之间设</w:t>
      </w:r>
      <w:r>
        <w:rPr>
          <w:spacing w:val="4"/>
          <w:sz w:val="20"/>
          <w:szCs w:val="20"/>
        </w:rPr>
        <w:t>立、变更、终止</w:t>
      </w:r>
      <w:r>
        <w:rPr>
          <w:sz w:val="20"/>
          <w:szCs w:val="20"/>
        </w:rPr>
        <w:t xml:space="preserve"> </w:t>
      </w:r>
      <w:r>
        <w:rPr>
          <w:spacing w:val="3"/>
          <w:sz w:val="20"/>
          <w:szCs w:val="20"/>
        </w:rPr>
        <w:t>民事法律关系的协议。信息系统工程合同是承建单位进行信息系统工程建设、业主</w:t>
      </w:r>
      <w:r>
        <w:rPr>
          <w:spacing w:val="2"/>
          <w:sz w:val="20"/>
          <w:szCs w:val="20"/>
        </w:rPr>
        <w:t>单位支付价</w:t>
      </w:r>
      <w:r>
        <w:rPr>
          <w:sz w:val="20"/>
          <w:szCs w:val="20"/>
        </w:rPr>
        <w:t xml:space="preserve"> </w:t>
      </w:r>
      <w:r>
        <w:rPr>
          <w:spacing w:val="3"/>
          <w:sz w:val="20"/>
          <w:szCs w:val="20"/>
        </w:rPr>
        <w:t>款的合同，确定了信息系统工程实施和管理的主要目标，是合同双方在工程中各种经济活动的</w:t>
      </w:r>
      <w:r>
        <w:rPr>
          <w:spacing w:val="1"/>
          <w:sz w:val="20"/>
          <w:szCs w:val="20"/>
        </w:rPr>
        <w:t xml:space="preserve"> </w:t>
      </w:r>
      <w:r>
        <w:rPr>
          <w:spacing w:val="-5"/>
          <w:sz w:val="16"/>
          <w:szCs w:val="16"/>
        </w:rPr>
        <w:t>依</w:t>
      </w:r>
      <w:r>
        <w:rPr>
          <w:spacing w:val="-24"/>
          <w:sz w:val="16"/>
          <w:szCs w:val="16"/>
        </w:rPr>
        <w:t xml:space="preserve"> </w:t>
      </w:r>
      <w:r>
        <w:rPr>
          <w:spacing w:val="-5"/>
          <w:sz w:val="16"/>
          <w:szCs w:val="16"/>
        </w:rPr>
        <w:t>据</w:t>
      </w:r>
      <w:r>
        <w:rPr>
          <w:spacing w:val="-29"/>
          <w:sz w:val="16"/>
          <w:szCs w:val="16"/>
        </w:rPr>
        <w:t xml:space="preserve"> </w:t>
      </w:r>
      <w:r>
        <w:rPr>
          <w:spacing w:val="-5"/>
          <w:sz w:val="16"/>
          <w:szCs w:val="16"/>
        </w:rPr>
        <w:t>。</w:t>
      </w:r>
    </w:p>
    <w:p w14:paraId="5471ADF2">
      <w:pPr>
        <w:pStyle w:val="2"/>
        <w:spacing w:before="34" w:line="280" w:lineRule="auto"/>
        <w:ind w:right="35" w:firstLine="410"/>
        <w:jc w:val="both"/>
        <w:rPr>
          <w:sz w:val="20"/>
          <w:szCs w:val="20"/>
        </w:rPr>
      </w:pPr>
      <w:r>
        <w:rPr>
          <w:spacing w:val="3"/>
          <w:sz w:val="20"/>
          <w:szCs w:val="20"/>
        </w:rPr>
        <w:t>对于监理工作而言，信息系统工程合同是监理承建单位和业主单位双</w:t>
      </w:r>
      <w:r>
        <w:rPr>
          <w:spacing w:val="2"/>
          <w:sz w:val="20"/>
          <w:szCs w:val="20"/>
        </w:rPr>
        <w:t>方开展信息系统建设</w:t>
      </w:r>
      <w:r>
        <w:rPr>
          <w:sz w:val="20"/>
          <w:szCs w:val="20"/>
        </w:rPr>
        <w:t xml:space="preserve"> </w:t>
      </w:r>
      <w:r>
        <w:rPr>
          <w:spacing w:val="3"/>
          <w:sz w:val="20"/>
          <w:szCs w:val="20"/>
        </w:rPr>
        <w:t>工作的基本依据，同时也是后续合同执行过程中开展各项监理活动、合同款支付、项目验收和</w:t>
      </w:r>
      <w:r>
        <w:rPr>
          <w:spacing w:val="2"/>
          <w:sz w:val="20"/>
          <w:szCs w:val="20"/>
        </w:rPr>
        <w:t xml:space="preserve"> </w:t>
      </w:r>
      <w:r>
        <w:rPr>
          <w:spacing w:val="3"/>
          <w:sz w:val="20"/>
          <w:szCs w:val="20"/>
        </w:rPr>
        <w:t>解决纠纷的重要依据。在合同签订时，监理工程师应提醒签约方在合同中对相关重要事项做出</w:t>
      </w:r>
      <w:r>
        <w:rPr>
          <w:spacing w:val="10"/>
          <w:sz w:val="20"/>
          <w:szCs w:val="20"/>
        </w:rPr>
        <w:t xml:space="preserve"> </w:t>
      </w:r>
      <w:r>
        <w:rPr>
          <w:spacing w:val="-1"/>
          <w:sz w:val="20"/>
          <w:szCs w:val="20"/>
        </w:rPr>
        <w:t>明确规定。合同签订后，监理工程师利用合同可以对工程进</w:t>
      </w:r>
      <w:r>
        <w:rPr>
          <w:spacing w:val="-2"/>
          <w:sz w:val="20"/>
          <w:szCs w:val="20"/>
        </w:rPr>
        <w:t>度、质量和投资实施管理和控制。</w:t>
      </w:r>
    </w:p>
    <w:p w14:paraId="3B8D6582">
      <w:pPr>
        <w:pStyle w:val="2"/>
        <w:spacing w:before="227" w:line="219" w:lineRule="auto"/>
        <w:ind w:left="2"/>
        <w:rPr>
          <w:sz w:val="25"/>
          <w:szCs w:val="25"/>
        </w:rPr>
      </w:pPr>
      <w:r>
        <w:rPr>
          <w:b/>
          <w:bCs/>
          <w:color w:val="007AE5"/>
          <w:spacing w:val="-17"/>
          <w:sz w:val="25"/>
          <w:szCs w:val="25"/>
        </w:rPr>
        <w:t>13.1.1</w:t>
      </w:r>
      <w:r>
        <w:rPr>
          <w:color w:val="007AE5"/>
          <w:spacing w:val="92"/>
          <w:sz w:val="25"/>
          <w:szCs w:val="25"/>
        </w:rPr>
        <w:t xml:space="preserve"> </w:t>
      </w:r>
      <w:r>
        <w:rPr>
          <w:b/>
          <w:bCs/>
          <w:color w:val="007AE5"/>
          <w:spacing w:val="-17"/>
          <w:sz w:val="25"/>
          <w:szCs w:val="25"/>
        </w:rPr>
        <w:t>合同的概念及其法律特征</w:t>
      </w:r>
    </w:p>
    <w:p w14:paraId="0B7B64C6">
      <w:pPr>
        <w:pStyle w:val="2"/>
        <w:spacing w:before="177" w:line="283" w:lineRule="auto"/>
        <w:ind w:firstLine="410"/>
        <w:rPr>
          <w:sz w:val="20"/>
          <w:szCs w:val="20"/>
        </w:rPr>
      </w:pPr>
      <w:r>
        <w:rPr>
          <w:spacing w:val="3"/>
          <w:sz w:val="20"/>
          <w:szCs w:val="20"/>
        </w:rPr>
        <w:t>合同又称契约，是社会财产私有的产物，是随着社会分工和交换的发展而发展起来的。到</w:t>
      </w:r>
      <w:r>
        <w:rPr>
          <w:spacing w:val="16"/>
          <w:sz w:val="20"/>
          <w:szCs w:val="20"/>
        </w:rPr>
        <w:t xml:space="preserve"> </w:t>
      </w:r>
      <w:r>
        <w:rPr>
          <w:spacing w:val="2"/>
          <w:sz w:val="20"/>
          <w:szCs w:val="20"/>
        </w:rPr>
        <w:t>了现代，合同已成为实现商品经济流转的纽带，是维护正常商品交换关系的基本法律手段。长</w:t>
      </w:r>
      <w:r>
        <w:rPr>
          <w:spacing w:val="15"/>
          <w:sz w:val="20"/>
          <w:szCs w:val="20"/>
        </w:rPr>
        <w:t xml:space="preserve"> </w:t>
      </w:r>
      <w:r>
        <w:rPr>
          <w:spacing w:val="3"/>
          <w:sz w:val="20"/>
          <w:szCs w:val="20"/>
        </w:rPr>
        <w:t>期以来，人们在使用合同的同时，也对合同的概念进行了广泛的研究。合同的概念</w:t>
      </w:r>
      <w:r>
        <w:rPr>
          <w:spacing w:val="2"/>
          <w:sz w:val="20"/>
          <w:szCs w:val="20"/>
        </w:rPr>
        <w:t>有广义和狭</w:t>
      </w:r>
      <w:r>
        <w:rPr>
          <w:sz w:val="20"/>
          <w:szCs w:val="20"/>
        </w:rPr>
        <w:t xml:space="preserve"> </w:t>
      </w:r>
      <w:r>
        <w:rPr>
          <w:spacing w:val="3"/>
          <w:sz w:val="20"/>
          <w:szCs w:val="20"/>
        </w:rPr>
        <w:t>义之分。广义的合同泛指一切确立权利义务关系的协议，既包括民法中的合</w:t>
      </w:r>
      <w:r>
        <w:rPr>
          <w:spacing w:val="2"/>
          <w:sz w:val="20"/>
          <w:szCs w:val="20"/>
        </w:rPr>
        <w:t>同，也包括行政法</w:t>
      </w:r>
      <w:r>
        <w:rPr>
          <w:sz w:val="20"/>
          <w:szCs w:val="20"/>
        </w:rPr>
        <w:t xml:space="preserve"> </w:t>
      </w:r>
      <w:r>
        <w:rPr>
          <w:spacing w:val="-1"/>
          <w:sz w:val="20"/>
          <w:szCs w:val="20"/>
        </w:rPr>
        <w:t>中的行政合同、劳动法中的劳动合同、国际法中的国家合同等；狭义的合同仅指民法上的合同，</w:t>
      </w:r>
      <w:r>
        <w:rPr>
          <w:spacing w:val="10"/>
          <w:sz w:val="20"/>
          <w:szCs w:val="20"/>
        </w:rPr>
        <w:t xml:space="preserve"> </w:t>
      </w:r>
      <w:r>
        <w:rPr>
          <w:spacing w:val="3"/>
          <w:sz w:val="20"/>
          <w:szCs w:val="20"/>
        </w:rPr>
        <w:t>即当事人双方或数方设立、变更或终止相互民事权利义务关系的合同。我国民法典基本上</w:t>
      </w:r>
      <w:r>
        <w:rPr>
          <w:spacing w:val="2"/>
          <w:sz w:val="20"/>
          <w:szCs w:val="20"/>
        </w:rPr>
        <w:t>采纳</w:t>
      </w:r>
      <w:r>
        <w:rPr>
          <w:sz w:val="20"/>
          <w:szCs w:val="20"/>
        </w:rPr>
        <w:t xml:space="preserve"> </w:t>
      </w:r>
      <w:r>
        <w:rPr>
          <w:spacing w:val="2"/>
          <w:sz w:val="20"/>
          <w:szCs w:val="20"/>
        </w:rPr>
        <w:t>了狭义的合同的概念。民法典规定：合同是民事主体之间设立、变更、终止民事法律关系的协</w:t>
      </w:r>
      <w:r>
        <w:rPr>
          <w:spacing w:val="17"/>
          <w:sz w:val="20"/>
          <w:szCs w:val="20"/>
        </w:rPr>
        <w:t xml:space="preserve"> </w:t>
      </w:r>
      <w:r>
        <w:rPr>
          <w:spacing w:val="3"/>
          <w:sz w:val="20"/>
          <w:szCs w:val="20"/>
        </w:rPr>
        <w:t>议；依法成立的合同，受法律保护；依法成立的合同，仅对当事人具有法律约</w:t>
      </w:r>
      <w:r>
        <w:rPr>
          <w:spacing w:val="2"/>
          <w:sz w:val="20"/>
          <w:szCs w:val="20"/>
        </w:rPr>
        <w:t>束力，但是法律</w:t>
      </w:r>
      <w:r>
        <w:rPr>
          <w:sz w:val="20"/>
          <w:szCs w:val="20"/>
        </w:rPr>
        <w:t xml:space="preserve"> </w:t>
      </w:r>
      <w:r>
        <w:rPr>
          <w:spacing w:val="-5"/>
          <w:sz w:val="20"/>
          <w:szCs w:val="20"/>
        </w:rPr>
        <w:t>另有规定的除外。</w:t>
      </w:r>
    </w:p>
    <w:p w14:paraId="02FF551A">
      <w:pPr>
        <w:pStyle w:val="2"/>
        <w:spacing w:before="29" w:line="219" w:lineRule="auto"/>
        <w:ind w:left="410"/>
        <w:rPr>
          <w:sz w:val="20"/>
          <w:szCs w:val="20"/>
        </w:rPr>
      </w:pPr>
      <w:r>
        <w:rPr>
          <w:spacing w:val="-4"/>
          <w:sz w:val="20"/>
          <w:szCs w:val="20"/>
        </w:rPr>
        <w:t>合同具有以下主要法律特征：</w:t>
      </w:r>
    </w:p>
    <w:p w14:paraId="1A033F44">
      <w:pPr>
        <w:pStyle w:val="2"/>
        <w:spacing w:before="53" w:line="219" w:lineRule="auto"/>
        <w:ind w:left="410"/>
        <w:rPr>
          <w:sz w:val="20"/>
          <w:szCs w:val="20"/>
        </w:rPr>
      </w:pPr>
      <w:r>
        <w:rPr>
          <w:spacing w:val="2"/>
          <w:sz w:val="20"/>
          <w:szCs w:val="20"/>
        </w:rPr>
        <w:t>(1)合同是当事人之间在自愿基础上达成的协议，是双方或多方的民</w:t>
      </w:r>
      <w:r>
        <w:rPr>
          <w:spacing w:val="1"/>
          <w:sz w:val="20"/>
          <w:szCs w:val="20"/>
        </w:rPr>
        <w:t>事法律行为。</w:t>
      </w:r>
    </w:p>
    <w:p w14:paraId="12BD929F">
      <w:pPr>
        <w:pStyle w:val="2"/>
        <w:spacing w:before="83" w:line="220" w:lineRule="auto"/>
        <w:ind w:left="410"/>
        <w:rPr>
          <w:sz w:val="20"/>
          <w:szCs w:val="20"/>
        </w:rPr>
      </w:pPr>
      <w:r>
        <w:rPr>
          <w:spacing w:val="-1"/>
          <w:sz w:val="20"/>
          <w:szCs w:val="20"/>
        </w:rPr>
        <w:t>合同是建立在自由基础之上的，是当事人自愿协商订立的。这是合同自愿原则的体现。</w:t>
      </w:r>
    </w:p>
    <w:p w14:paraId="187F8C9B">
      <w:pPr>
        <w:pStyle w:val="2"/>
        <w:spacing w:before="80" w:line="273" w:lineRule="auto"/>
        <w:ind w:right="48" w:firstLine="410"/>
        <w:rPr>
          <w:sz w:val="20"/>
          <w:szCs w:val="20"/>
        </w:rPr>
      </w:pPr>
      <w:r>
        <w:rPr>
          <w:spacing w:val="3"/>
          <w:sz w:val="20"/>
          <w:szCs w:val="20"/>
        </w:rPr>
        <w:t>多方法律行为是相对单方法律行为而言的。当事人不能同自己签订合</w:t>
      </w:r>
      <w:r>
        <w:rPr>
          <w:spacing w:val="2"/>
          <w:sz w:val="20"/>
          <w:szCs w:val="20"/>
        </w:rPr>
        <w:t>同，必须有两个或者</w:t>
      </w:r>
      <w:r>
        <w:rPr>
          <w:sz w:val="20"/>
          <w:szCs w:val="20"/>
        </w:rPr>
        <w:t xml:space="preserve"> </w:t>
      </w:r>
      <w:r>
        <w:rPr>
          <w:spacing w:val="3"/>
          <w:sz w:val="20"/>
          <w:szCs w:val="20"/>
        </w:rPr>
        <w:t>两个以上的主体参加。另外，当事人之间还必须在平等自愿的基础上，通过协商达成</w:t>
      </w:r>
      <w:r>
        <w:rPr>
          <w:spacing w:val="2"/>
          <w:sz w:val="20"/>
          <w:szCs w:val="20"/>
        </w:rPr>
        <w:t>一致的协</w:t>
      </w:r>
    </w:p>
    <w:p w14:paraId="2CBEE87B">
      <w:pPr>
        <w:spacing w:line="273" w:lineRule="auto"/>
        <w:rPr>
          <w:sz w:val="20"/>
          <w:szCs w:val="20"/>
        </w:rPr>
        <w:sectPr>
          <w:pgSz w:w="10300" w:h="13390"/>
          <w:pgMar w:top="400" w:right="1020" w:bottom="400" w:left="910" w:header="0" w:footer="0" w:gutter="0"/>
          <w:cols w:space="720" w:num="1"/>
        </w:sectPr>
      </w:pPr>
    </w:p>
    <w:p w14:paraId="15F864D2">
      <w:pPr>
        <w:pStyle w:val="2"/>
        <w:spacing w:before="66" w:line="219" w:lineRule="auto"/>
        <w:jc w:val="right"/>
        <w:rPr>
          <w:rFonts w:ascii="Times New Roman" w:hAnsi="Times New Roman" w:eastAsia="Times New Roman" w:cs="Times New Roman"/>
          <w:sz w:val="19"/>
          <w:szCs w:val="19"/>
        </w:rPr>
      </w:pPr>
      <w:r>
        <w:rPr>
          <w:spacing w:val="5"/>
          <w:sz w:val="19"/>
          <w:szCs w:val="19"/>
        </w:rPr>
        <w:t>第13章</w:t>
      </w:r>
      <w:r>
        <w:rPr>
          <w:spacing w:val="45"/>
          <w:sz w:val="19"/>
          <w:szCs w:val="19"/>
        </w:rPr>
        <w:t xml:space="preserve"> </w:t>
      </w:r>
      <w:r>
        <w:rPr>
          <w:spacing w:val="5"/>
          <w:sz w:val="19"/>
          <w:szCs w:val="19"/>
        </w:rPr>
        <w:t xml:space="preserve">合同管理      </w:t>
      </w:r>
      <w:r>
        <w:rPr>
          <w:rFonts w:ascii="Times New Roman" w:hAnsi="Times New Roman" w:eastAsia="Times New Roman" w:cs="Times New Roman"/>
          <w:spacing w:val="5"/>
          <w:sz w:val="19"/>
          <w:szCs w:val="19"/>
        </w:rPr>
        <w:t>295</w:t>
      </w:r>
    </w:p>
    <w:p w14:paraId="30322D66">
      <w:pPr>
        <w:spacing w:line="312" w:lineRule="auto"/>
        <w:rPr>
          <w:rFonts w:ascii="Arial"/>
          <w:sz w:val="21"/>
        </w:rPr>
      </w:pPr>
    </w:p>
    <w:p w14:paraId="32EA5637">
      <w:pPr>
        <w:pStyle w:val="2"/>
        <w:spacing w:before="61" w:line="219" w:lineRule="auto"/>
        <w:rPr>
          <w:sz w:val="19"/>
          <w:szCs w:val="19"/>
        </w:rPr>
      </w:pPr>
      <w:r>
        <w:rPr>
          <w:spacing w:val="6"/>
          <w:sz w:val="19"/>
          <w:szCs w:val="19"/>
        </w:rPr>
        <w:t>议，做出合同签约各方理解完全一致的表示。</w:t>
      </w:r>
    </w:p>
    <w:p w14:paraId="63AAFA5B">
      <w:pPr>
        <w:pStyle w:val="2"/>
        <w:spacing w:before="81" w:line="297" w:lineRule="auto"/>
        <w:ind w:right="255" w:firstLine="399"/>
        <w:rPr>
          <w:sz w:val="19"/>
          <w:szCs w:val="19"/>
        </w:rPr>
      </w:pPr>
      <w:r>
        <w:rPr>
          <w:spacing w:val="9"/>
          <w:sz w:val="19"/>
          <w:szCs w:val="19"/>
        </w:rPr>
        <w:t>民事法律行为是民事主体实施的能够引起民事权利义务的产生、变更或者终止的合法行为。</w:t>
      </w:r>
      <w:r>
        <w:rPr>
          <w:spacing w:val="4"/>
          <w:sz w:val="19"/>
          <w:szCs w:val="19"/>
        </w:rPr>
        <w:t xml:space="preserve"> </w:t>
      </w:r>
      <w:r>
        <w:rPr>
          <w:spacing w:val="13"/>
          <w:sz w:val="19"/>
          <w:szCs w:val="19"/>
        </w:rPr>
        <w:t>因此，只有在合同当事人所做出的意思表示是合法的、符合法律要求的情况</w:t>
      </w:r>
      <w:r>
        <w:rPr>
          <w:spacing w:val="12"/>
          <w:sz w:val="19"/>
          <w:szCs w:val="19"/>
        </w:rPr>
        <w:t>下，合同才具有法</w:t>
      </w:r>
      <w:r>
        <w:rPr>
          <w:sz w:val="19"/>
          <w:szCs w:val="19"/>
        </w:rPr>
        <w:t xml:space="preserve"> </w:t>
      </w:r>
      <w:r>
        <w:rPr>
          <w:spacing w:val="13"/>
          <w:sz w:val="19"/>
          <w:szCs w:val="19"/>
        </w:rPr>
        <w:t>律约束力，并应受到国家法律的保护。相反，如果当事人做出了违法的意思表示，即便达成了</w:t>
      </w:r>
      <w:r>
        <w:rPr>
          <w:spacing w:val="11"/>
          <w:sz w:val="19"/>
          <w:szCs w:val="19"/>
        </w:rPr>
        <w:t xml:space="preserve"> </w:t>
      </w:r>
      <w:r>
        <w:rPr>
          <w:spacing w:val="13"/>
          <w:sz w:val="19"/>
          <w:szCs w:val="19"/>
        </w:rPr>
        <w:t>协议，也不能产生合同的效力。公民、法人、其他组织均可成为合同法关系的主体。公民，是</w:t>
      </w:r>
      <w:r>
        <w:rPr>
          <w:spacing w:val="15"/>
          <w:sz w:val="19"/>
          <w:szCs w:val="19"/>
        </w:rPr>
        <w:t xml:space="preserve"> </w:t>
      </w:r>
      <w:r>
        <w:rPr>
          <w:spacing w:val="13"/>
          <w:sz w:val="19"/>
          <w:szCs w:val="19"/>
        </w:rPr>
        <w:t>具有中华人民共和国国籍、依照宪法和法律享有权利和承担义务的自然人。法人</w:t>
      </w:r>
      <w:r>
        <w:rPr>
          <w:spacing w:val="12"/>
          <w:sz w:val="19"/>
          <w:szCs w:val="19"/>
        </w:rPr>
        <w:t>，是具有民事</w:t>
      </w:r>
      <w:r>
        <w:rPr>
          <w:sz w:val="19"/>
          <w:szCs w:val="19"/>
        </w:rPr>
        <w:t xml:space="preserve"> </w:t>
      </w:r>
      <w:r>
        <w:rPr>
          <w:spacing w:val="6"/>
          <w:sz w:val="19"/>
          <w:szCs w:val="19"/>
        </w:rPr>
        <w:t>权利能力和民事行为能力的社会组织。</w:t>
      </w:r>
    </w:p>
    <w:p w14:paraId="078B906A">
      <w:pPr>
        <w:pStyle w:val="2"/>
        <w:spacing w:before="69" w:line="219" w:lineRule="auto"/>
        <w:ind w:left="399"/>
        <w:rPr>
          <w:sz w:val="19"/>
          <w:szCs w:val="19"/>
        </w:rPr>
      </w:pPr>
      <w:r>
        <w:rPr>
          <w:spacing w:val="11"/>
          <w:sz w:val="19"/>
          <w:szCs w:val="19"/>
        </w:rPr>
        <w:t>(2)合同当事人的法律地位平等。</w:t>
      </w:r>
    </w:p>
    <w:p w14:paraId="7EC90E5E">
      <w:pPr>
        <w:pStyle w:val="2"/>
        <w:spacing w:before="85" w:line="302" w:lineRule="auto"/>
        <w:ind w:right="301" w:firstLine="399"/>
        <w:rPr>
          <w:sz w:val="19"/>
          <w:szCs w:val="19"/>
        </w:rPr>
      </w:pPr>
      <w:r>
        <w:rPr>
          <w:spacing w:val="13"/>
          <w:sz w:val="19"/>
          <w:szCs w:val="19"/>
        </w:rPr>
        <w:t>当事人法律地位平等是民事法律关系的重要特点，也是合同的基本特</w:t>
      </w:r>
      <w:r>
        <w:rPr>
          <w:spacing w:val="12"/>
          <w:sz w:val="19"/>
          <w:szCs w:val="19"/>
        </w:rPr>
        <w:t>征之一。当事人法律</w:t>
      </w:r>
      <w:r>
        <w:rPr>
          <w:sz w:val="19"/>
          <w:szCs w:val="19"/>
        </w:rPr>
        <w:t xml:space="preserve"> </w:t>
      </w:r>
      <w:r>
        <w:rPr>
          <w:spacing w:val="13"/>
          <w:sz w:val="19"/>
          <w:szCs w:val="19"/>
        </w:rPr>
        <w:t>地位平等是合同区别于以命令、服从为特征的行政管理关系的重要标志，是合同制</w:t>
      </w:r>
      <w:r>
        <w:rPr>
          <w:spacing w:val="12"/>
          <w:sz w:val="19"/>
          <w:szCs w:val="19"/>
        </w:rPr>
        <w:t>度的内在要</w:t>
      </w:r>
      <w:r>
        <w:rPr>
          <w:sz w:val="19"/>
          <w:szCs w:val="19"/>
        </w:rPr>
        <w:t xml:space="preserve"> </w:t>
      </w:r>
      <w:r>
        <w:rPr>
          <w:spacing w:val="7"/>
          <w:sz w:val="19"/>
          <w:szCs w:val="19"/>
        </w:rPr>
        <w:t>求，它决定于商品经济关系的性质，也是合同平等原则的体现。</w:t>
      </w:r>
    </w:p>
    <w:p w14:paraId="2572ACEE">
      <w:pPr>
        <w:pStyle w:val="2"/>
        <w:spacing w:before="7" w:line="307" w:lineRule="auto"/>
        <w:ind w:right="320" w:firstLine="399"/>
        <w:rPr>
          <w:sz w:val="19"/>
          <w:szCs w:val="19"/>
        </w:rPr>
      </w:pPr>
      <w:r>
        <w:rPr>
          <w:spacing w:val="13"/>
          <w:sz w:val="19"/>
          <w:szCs w:val="19"/>
        </w:rPr>
        <w:t>合同的各方当事人，无论公民还是法人，无论其</w:t>
      </w:r>
      <w:r>
        <w:rPr>
          <w:spacing w:val="12"/>
          <w:sz w:val="19"/>
          <w:szCs w:val="19"/>
        </w:rPr>
        <w:t>经济实力和所有制形式如何，也无论其在</w:t>
      </w:r>
      <w:r>
        <w:rPr>
          <w:sz w:val="19"/>
          <w:szCs w:val="19"/>
        </w:rPr>
        <w:t xml:space="preserve"> </w:t>
      </w:r>
      <w:r>
        <w:rPr>
          <w:spacing w:val="9"/>
          <w:sz w:val="19"/>
          <w:szCs w:val="19"/>
        </w:rPr>
        <w:t>行政上有无上下级隶属关系，法律地位一律平等，各方之间没有上</w:t>
      </w:r>
      <w:r>
        <w:rPr>
          <w:spacing w:val="8"/>
          <w:sz w:val="19"/>
          <w:szCs w:val="19"/>
        </w:rPr>
        <w:t>下之分。</w:t>
      </w:r>
    </w:p>
    <w:p w14:paraId="47A0D63A">
      <w:pPr>
        <w:pStyle w:val="2"/>
        <w:spacing w:before="8" w:line="219" w:lineRule="auto"/>
        <w:ind w:left="399"/>
        <w:rPr>
          <w:sz w:val="19"/>
          <w:szCs w:val="19"/>
        </w:rPr>
      </w:pPr>
      <w:r>
        <w:rPr>
          <w:spacing w:val="11"/>
          <w:sz w:val="19"/>
          <w:szCs w:val="19"/>
        </w:rPr>
        <w:t>(3)合同以设立、变更、终止民事权利义务关系为目的。</w:t>
      </w:r>
    </w:p>
    <w:p w14:paraId="1290DBF5">
      <w:pPr>
        <w:pStyle w:val="2"/>
        <w:spacing w:before="82" w:line="306" w:lineRule="auto"/>
        <w:ind w:right="296" w:firstLine="399"/>
        <w:rPr>
          <w:sz w:val="19"/>
          <w:szCs w:val="19"/>
        </w:rPr>
      </w:pPr>
      <w:r>
        <w:rPr>
          <w:spacing w:val="18"/>
          <w:sz w:val="19"/>
          <w:szCs w:val="19"/>
        </w:rPr>
        <w:t>设立民事权利义务关系，是当事人订立合同旨在形成某种法律关系，从而享</w:t>
      </w:r>
      <w:r>
        <w:rPr>
          <w:spacing w:val="17"/>
          <w:sz w:val="19"/>
          <w:szCs w:val="19"/>
        </w:rPr>
        <w:t>受具体的民</w:t>
      </w:r>
      <w:r>
        <w:rPr>
          <w:sz w:val="19"/>
          <w:szCs w:val="19"/>
        </w:rPr>
        <w:t xml:space="preserve"> </w:t>
      </w:r>
      <w:r>
        <w:rPr>
          <w:spacing w:val="13"/>
          <w:sz w:val="19"/>
          <w:szCs w:val="19"/>
        </w:rPr>
        <w:t>事权利，承担具体的民事义务。变更民事权利义务关系，是指当事人通过订立合同，使原有的</w:t>
      </w:r>
      <w:r>
        <w:rPr>
          <w:sz w:val="19"/>
          <w:szCs w:val="19"/>
        </w:rPr>
        <w:t xml:space="preserve"> </w:t>
      </w:r>
      <w:r>
        <w:rPr>
          <w:spacing w:val="13"/>
          <w:sz w:val="19"/>
          <w:szCs w:val="19"/>
        </w:rPr>
        <w:t>合同关系在内容上发生变化。当事人订立合同不论是出于何种目的，只要当事人达成的</w:t>
      </w:r>
      <w:r>
        <w:rPr>
          <w:spacing w:val="12"/>
          <w:sz w:val="19"/>
          <w:szCs w:val="19"/>
        </w:rPr>
        <w:t>协议依</w:t>
      </w:r>
      <w:r>
        <w:rPr>
          <w:sz w:val="19"/>
          <w:szCs w:val="19"/>
        </w:rPr>
        <w:t xml:space="preserve"> </w:t>
      </w:r>
      <w:r>
        <w:rPr>
          <w:spacing w:val="13"/>
          <w:sz w:val="19"/>
          <w:szCs w:val="19"/>
        </w:rPr>
        <w:t>法成立并生效，就对合同当事人产生法律约束力，当事人就要依照合同的规定享有</w:t>
      </w:r>
      <w:r>
        <w:rPr>
          <w:spacing w:val="12"/>
          <w:sz w:val="19"/>
          <w:szCs w:val="19"/>
        </w:rPr>
        <w:t>权利、履行</w:t>
      </w:r>
      <w:r>
        <w:rPr>
          <w:sz w:val="19"/>
          <w:szCs w:val="19"/>
        </w:rPr>
        <w:t xml:space="preserve"> </w:t>
      </w:r>
      <w:r>
        <w:rPr>
          <w:spacing w:val="-2"/>
          <w:sz w:val="19"/>
          <w:szCs w:val="19"/>
        </w:rPr>
        <w:t>义务。</w:t>
      </w:r>
    </w:p>
    <w:p w14:paraId="2A3C7BBF">
      <w:pPr>
        <w:pStyle w:val="2"/>
        <w:spacing w:before="8" w:line="278" w:lineRule="auto"/>
        <w:ind w:right="302" w:firstLine="399"/>
        <w:rPr>
          <w:sz w:val="19"/>
          <w:szCs w:val="19"/>
        </w:rPr>
      </w:pPr>
      <w:r>
        <w:rPr>
          <w:spacing w:val="13"/>
          <w:sz w:val="19"/>
          <w:szCs w:val="19"/>
        </w:rPr>
        <w:t>合同是一种民事法律行为，民事法律行为是民事主体实施的能够引起民事权利和民事义务</w:t>
      </w:r>
      <w:r>
        <w:rPr>
          <w:sz w:val="19"/>
          <w:szCs w:val="19"/>
        </w:rPr>
        <w:t xml:space="preserve"> </w:t>
      </w:r>
      <w:r>
        <w:rPr>
          <w:spacing w:val="6"/>
          <w:sz w:val="19"/>
          <w:szCs w:val="19"/>
        </w:rPr>
        <w:t>产生的法律行为。</w:t>
      </w:r>
    </w:p>
    <w:p w14:paraId="09442D76">
      <w:pPr>
        <w:pStyle w:val="2"/>
        <w:spacing w:before="46" w:line="293" w:lineRule="auto"/>
        <w:ind w:right="301" w:firstLine="399"/>
        <w:jc w:val="both"/>
        <w:rPr>
          <w:sz w:val="19"/>
          <w:szCs w:val="19"/>
        </w:rPr>
      </w:pPr>
      <w:r>
        <w:rPr>
          <w:spacing w:val="13"/>
          <w:sz w:val="19"/>
          <w:szCs w:val="19"/>
        </w:rPr>
        <w:t>订立合同的行为是一种法律行为，合同一旦订立，合同当事人就要依照合同的约定享有权</w:t>
      </w:r>
      <w:r>
        <w:rPr>
          <w:sz w:val="19"/>
          <w:szCs w:val="19"/>
        </w:rPr>
        <w:t xml:space="preserve"> </w:t>
      </w:r>
      <w:r>
        <w:rPr>
          <w:spacing w:val="13"/>
          <w:sz w:val="19"/>
          <w:szCs w:val="19"/>
        </w:rPr>
        <w:t>利，承担义务。违反合同约定的，就要承担违约责任。因此，订立合同的主体必须</w:t>
      </w:r>
      <w:r>
        <w:rPr>
          <w:spacing w:val="12"/>
          <w:sz w:val="19"/>
          <w:szCs w:val="19"/>
        </w:rPr>
        <w:t>具有缔约能</w:t>
      </w:r>
      <w:r>
        <w:rPr>
          <w:sz w:val="19"/>
          <w:szCs w:val="19"/>
        </w:rPr>
        <w:t xml:space="preserve"> </w:t>
      </w:r>
      <w:r>
        <w:rPr>
          <w:spacing w:val="7"/>
          <w:sz w:val="19"/>
          <w:szCs w:val="19"/>
        </w:rPr>
        <w:t>力，不具备缔约能力的主体订立的合同不具备法律效力。</w:t>
      </w:r>
    </w:p>
    <w:p w14:paraId="7FCC6651">
      <w:pPr>
        <w:pStyle w:val="2"/>
        <w:spacing w:before="15" w:line="296" w:lineRule="auto"/>
        <w:ind w:right="293" w:firstLine="399"/>
        <w:jc w:val="both"/>
        <w:rPr>
          <w:sz w:val="19"/>
          <w:szCs w:val="19"/>
        </w:rPr>
      </w:pPr>
      <w:r>
        <w:rPr>
          <w:spacing w:val="13"/>
          <w:sz w:val="19"/>
          <w:szCs w:val="19"/>
        </w:rPr>
        <w:t>根据民法典的规定，合同是民事主体之间设立、变更、终止民事法律关系的协议。民法典</w:t>
      </w:r>
      <w:r>
        <w:rPr>
          <w:sz w:val="19"/>
          <w:szCs w:val="19"/>
        </w:rPr>
        <w:t xml:space="preserve"> </w:t>
      </w:r>
      <w:r>
        <w:rPr>
          <w:spacing w:val="13"/>
          <w:sz w:val="19"/>
          <w:szCs w:val="19"/>
        </w:rPr>
        <w:t>中的民事主体包括自然人、法人和非法人组织。法人是具有民事权利能力和民事行为能</w:t>
      </w:r>
      <w:r>
        <w:rPr>
          <w:spacing w:val="12"/>
          <w:sz w:val="19"/>
          <w:szCs w:val="19"/>
        </w:rPr>
        <w:t>力，依</w:t>
      </w:r>
      <w:r>
        <w:rPr>
          <w:sz w:val="19"/>
          <w:szCs w:val="19"/>
        </w:rPr>
        <w:t xml:space="preserve"> </w:t>
      </w:r>
      <w:r>
        <w:rPr>
          <w:spacing w:val="13"/>
          <w:sz w:val="19"/>
          <w:szCs w:val="19"/>
        </w:rPr>
        <w:t>法独立享有民事权利和承担民事义务的组织。非法人组织是不具有法人资格，但是能够依法以</w:t>
      </w:r>
      <w:r>
        <w:rPr>
          <w:spacing w:val="3"/>
          <w:sz w:val="19"/>
          <w:szCs w:val="19"/>
        </w:rPr>
        <w:t xml:space="preserve"> </w:t>
      </w:r>
      <w:r>
        <w:rPr>
          <w:spacing w:val="13"/>
          <w:sz w:val="19"/>
          <w:szCs w:val="19"/>
        </w:rPr>
        <w:t>自己的名义从事民事活动的组织。非法人组织包括个人独资企业、合伙企业、</w:t>
      </w:r>
      <w:r>
        <w:rPr>
          <w:spacing w:val="12"/>
          <w:sz w:val="19"/>
          <w:szCs w:val="19"/>
        </w:rPr>
        <w:t>不具有法人资格</w:t>
      </w:r>
      <w:r>
        <w:rPr>
          <w:sz w:val="19"/>
          <w:szCs w:val="19"/>
        </w:rPr>
        <w:t xml:space="preserve"> </w:t>
      </w:r>
      <w:r>
        <w:rPr>
          <w:spacing w:val="4"/>
          <w:sz w:val="19"/>
          <w:szCs w:val="19"/>
        </w:rPr>
        <w:t>的专业服务机构等。</w:t>
      </w:r>
    </w:p>
    <w:p w14:paraId="76CEA3DF">
      <w:pPr>
        <w:pStyle w:val="2"/>
        <w:spacing w:before="38" w:line="283" w:lineRule="auto"/>
        <w:ind w:right="281" w:firstLine="399"/>
        <w:jc w:val="both"/>
        <w:rPr>
          <w:sz w:val="19"/>
          <w:szCs w:val="19"/>
        </w:rPr>
      </w:pPr>
      <w:r>
        <w:rPr>
          <w:spacing w:val="14"/>
          <w:sz w:val="19"/>
          <w:szCs w:val="19"/>
        </w:rPr>
        <w:t>签订合同不仅要求合同当事人必须具有缔约合同</w:t>
      </w:r>
      <w:r>
        <w:rPr>
          <w:spacing w:val="13"/>
          <w:sz w:val="19"/>
          <w:szCs w:val="19"/>
        </w:rPr>
        <w:t>的能力，而且还要求其具有相应的履约能</w:t>
      </w:r>
      <w:r>
        <w:rPr>
          <w:sz w:val="19"/>
          <w:szCs w:val="19"/>
        </w:rPr>
        <w:t xml:space="preserve"> </w:t>
      </w:r>
      <w:r>
        <w:rPr>
          <w:spacing w:val="10"/>
          <w:sz w:val="19"/>
          <w:szCs w:val="19"/>
        </w:rPr>
        <w:t>力。所谓“相应”,是指与订立该类合同相适应。例如，信息系统工程监理合同就要求监理单位</w:t>
      </w:r>
      <w:r>
        <w:rPr>
          <w:spacing w:val="11"/>
          <w:sz w:val="19"/>
          <w:szCs w:val="19"/>
        </w:rPr>
        <w:t xml:space="preserve"> </w:t>
      </w:r>
      <w:r>
        <w:rPr>
          <w:spacing w:val="7"/>
          <w:sz w:val="19"/>
          <w:szCs w:val="19"/>
        </w:rPr>
        <w:t>必须具备合同履约能力的相关监理能力证明等。</w:t>
      </w:r>
    </w:p>
    <w:p w14:paraId="3D9695FF">
      <w:pPr>
        <w:pStyle w:val="2"/>
        <w:spacing w:before="196" w:line="219" w:lineRule="auto"/>
        <w:ind w:left="2"/>
        <w:rPr>
          <w:sz w:val="25"/>
          <w:szCs w:val="25"/>
        </w:rPr>
      </w:pPr>
      <w:bookmarkStart w:id="642" w:name="bookmark627"/>
      <w:bookmarkEnd w:id="642"/>
      <w:r>
        <w:rPr>
          <w:b/>
          <w:bCs/>
          <w:color w:val="0066CC"/>
          <w:spacing w:val="-16"/>
          <w:sz w:val="25"/>
          <w:szCs w:val="25"/>
        </w:rPr>
        <w:t>13.1.2</w:t>
      </w:r>
      <w:r>
        <w:rPr>
          <w:color w:val="0066CC"/>
          <w:spacing w:val="-16"/>
          <w:sz w:val="25"/>
          <w:szCs w:val="25"/>
        </w:rPr>
        <w:t xml:space="preserve">  </w:t>
      </w:r>
      <w:r>
        <w:rPr>
          <w:b/>
          <w:bCs/>
          <w:color w:val="0066CC"/>
          <w:spacing w:val="-16"/>
          <w:sz w:val="25"/>
          <w:szCs w:val="25"/>
        </w:rPr>
        <w:t>信息系统工程合同的分类</w:t>
      </w:r>
    </w:p>
    <w:p w14:paraId="542E7B32">
      <w:pPr>
        <w:pStyle w:val="2"/>
        <w:spacing w:before="152" w:line="303" w:lineRule="auto"/>
        <w:ind w:right="293" w:firstLine="399"/>
        <w:jc w:val="both"/>
        <w:rPr>
          <w:sz w:val="19"/>
          <w:szCs w:val="19"/>
        </w:rPr>
      </w:pPr>
      <w:r>
        <w:rPr>
          <w:spacing w:val="13"/>
          <w:sz w:val="19"/>
          <w:szCs w:val="19"/>
        </w:rPr>
        <w:t>信息系统工程合同是承建单位进行信息系统工程建设，业主单位支付价款的合同。通常分</w:t>
      </w:r>
      <w:r>
        <w:rPr>
          <w:sz w:val="19"/>
          <w:szCs w:val="19"/>
        </w:rPr>
        <w:t xml:space="preserve"> </w:t>
      </w:r>
      <w:r>
        <w:rPr>
          <w:spacing w:val="13"/>
          <w:sz w:val="19"/>
          <w:szCs w:val="19"/>
        </w:rPr>
        <w:t>别将他们称为承建人与发包人。信息系统工程合同是一种承诺合同，合同订立生效后双方应当</w:t>
      </w:r>
      <w:r>
        <w:rPr>
          <w:spacing w:val="3"/>
          <w:sz w:val="19"/>
          <w:szCs w:val="19"/>
        </w:rPr>
        <w:t xml:space="preserve"> </w:t>
      </w:r>
      <w:r>
        <w:rPr>
          <w:spacing w:val="13"/>
          <w:sz w:val="19"/>
          <w:szCs w:val="19"/>
        </w:rPr>
        <w:t>严格履行；信息系统工程合同也是一种义务、有偿合同，当事人双方在合同中都有各自的权利</w:t>
      </w:r>
    </w:p>
    <w:p w14:paraId="2E43876F">
      <w:pPr>
        <w:spacing w:line="303" w:lineRule="auto"/>
        <w:rPr>
          <w:sz w:val="19"/>
          <w:szCs w:val="19"/>
        </w:rPr>
        <w:sectPr>
          <w:pgSz w:w="10290" w:h="13310"/>
          <w:pgMar w:top="400" w:right="568" w:bottom="400" w:left="1100" w:header="0" w:footer="0" w:gutter="0"/>
          <w:cols w:space="720" w:num="1"/>
        </w:sectPr>
      </w:pPr>
    </w:p>
    <w:p w14:paraId="7CE5CBD5">
      <w:pPr>
        <w:pStyle w:val="2"/>
        <w:spacing w:before="57" w:line="219" w:lineRule="auto"/>
        <w:rPr>
          <w:sz w:val="19"/>
          <w:szCs w:val="19"/>
        </w:rPr>
      </w:pPr>
      <w:r>
        <w:rPr>
          <w:rFonts w:ascii="Times New Roman" w:hAnsi="Times New Roman" w:eastAsia="Times New Roman" w:cs="Times New Roman"/>
          <w:b/>
          <w:bCs/>
          <w:spacing w:val="3"/>
          <w:sz w:val="19"/>
          <w:szCs w:val="19"/>
        </w:rPr>
        <w:t xml:space="preserve">296              </w:t>
      </w:r>
      <w:r>
        <w:rPr>
          <w:spacing w:val="3"/>
          <w:sz w:val="19"/>
          <w:szCs w:val="19"/>
        </w:rPr>
        <w:t>信息系统监理师教程(第2版)</w:t>
      </w:r>
    </w:p>
    <w:p w14:paraId="3FDC9EA4">
      <w:pPr>
        <w:spacing w:line="320" w:lineRule="auto"/>
        <w:rPr>
          <w:rFonts w:ascii="Arial"/>
          <w:sz w:val="21"/>
        </w:rPr>
      </w:pPr>
    </w:p>
    <w:p w14:paraId="27F39E11">
      <w:pPr>
        <w:pStyle w:val="2"/>
        <w:spacing w:before="62" w:line="219" w:lineRule="auto"/>
        <w:ind w:left="369"/>
        <w:rPr>
          <w:sz w:val="19"/>
          <w:szCs w:val="19"/>
        </w:rPr>
      </w:pPr>
      <w:r>
        <w:rPr>
          <w:spacing w:val="6"/>
          <w:sz w:val="19"/>
          <w:szCs w:val="19"/>
        </w:rPr>
        <w:t>和义务，在享有权利的同时必须履行义务。</w:t>
      </w:r>
    </w:p>
    <w:p w14:paraId="460A572B">
      <w:pPr>
        <w:pStyle w:val="2"/>
        <w:spacing w:before="200" w:line="221" w:lineRule="auto"/>
        <w:ind w:left="772"/>
        <w:rPr>
          <w:rFonts w:ascii="黑体" w:hAnsi="黑体" w:eastAsia="黑体" w:cs="黑体"/>
          <w:sz w:val="19"/>
          <w:szCs w:val="19"/>
        </w:rPr>
      </w:pPr>
      <w:bookmarkStart w:id="643" w:name="bookmark628"/>
      <w:bookmarkEnd w:id="643"/>
      <w:r>
        <w:rPr>
          <w:b/>
          <w:bCs/>
          <w:color w:val="007FC0"/>
          <w:spacing w:val="5"/>
          <w:sz w:val="19"/>
          <w:szCs w:val="19"/>
        </w:rPr>
        <w:t>1.</w:t>
      </w:r>
      <w:r>
        <w:rPr>
          <w:rFonts w:ascii="黑体" w:hAnsi="黑体" w:eastAsia="黑体" w:cs="黑体"/>
          <w:b/>
          <w:bCs/>
          <w:color w:val="007FC0"/>
          <w:spacing w:val="5"/>
          <w:sz w:val="19"/>
          <w:szCs w:val="19"/>
        </w:rPr>
        <w:t>按信息系统工程范围划分</w:t>
      </w:r>
    </w:p>
    <w:p w14:paraId="45C45B07">
      <w:pPr>
        <w:pStyle w:val="2"/>
        <w:spacing w:before="126" w:line="311" w:lineRule="auto"/>
        <w:ind w:left="369" w:right="86" w:firstLine="399"/>
        <w:rPr>
          <w:sz w:val="19"/>
          <w:szCs w:val="19"/>
        </w:rPr>
      </w:pPr>
      <w:r>
        <w:rPr>
          <w:spacing w:val="13"/>
          <w:sz w:val="19"/>
          <w:szCs w:val="19"/>
        </w:rPr>
        <w:t>按信息系统工程范围划分，信息系统工程合同可以分为总承包合同</w:t>
      </w:r>
      <w:r>
        <w:rPr>
          <w:spacing w:val="12"/>
          <w:sz w:val="19"/>
          <w:szCs w:val="19"/>
        </w:rPr>
        <w:t>、单项承包合同、分包</w:t>
      </w:r>
      <w:r>
        <w:rPr>
          <w:sz w:val="19"/>
          <w:szCs w:val="19"/>
        </w:rPr>
        <w:t xml:space="preserve"> </w:t>
      </w:r>
      <w:r>
        <w:rPr>
          <w:spacing w:val="4"/>
          <w:sz w:val="19"/>
          <w:szCs w:val="19"/>
        </w:rPr>
        <w:t>合同。</w:t>
      </w:r>
    </w:p>
    <w:p w14:paraId="1BF7C146">
      <w:pPr>
        <w:spacing w:before="86" w:line="223" w:lineRule="auto"/>
        <w:ind w:left="769"/>
        <w:rPr>
          <w:rFonts w:ascii="楷体" w:hAnsi="楷体" w:eastAsia="楷体" w:cs="楷体"/>
          <w:sz w:val="19"/>
          <w:szCs w:val="19"/>
        </w:rPr>
      </w:pPr>
      <w:r>
        <w:rPr>
          <w:rFonts w:ascii="楷体" w:hAnsi="楷体" w:eastAsia="楷体" w:cs="楷体"/>
          <w:spacing w:val="21"/>
          <w:sz w:val="19"/>
          <w:szCs w:val="19"/>
        </w:rPr>
        <w:t>1)总承包合同</w:t>
      </w:r>
    </w:p>
    <w:p w14:paraId="47AFEB91">
      <w:pPr>
        <w:pStyle w:val="2"/>
        <w:spacing w:before="83" w:line="306" w:lineRule="auto"/>
        <w:ind w:left="369" w:firstLine="399"/>
        <w:rPr>
          <w:sz w:val="19"/>
          <w:szCs w:val="19"/>
        </w:rPr>
      </w:pPr>
      <w:r>
        <w:rPr>
          <w:spacing w:val="13"/>
          <w:sz w:val="19"/>
          <w:szCs w:val="19"/>
        </w:rPr>
        <w:t>总承包合同是指业主单位以总承包的方式与承建单位签订的合同。所谓信息系统工程</w:t>
      </w:r>
      <w:r>
        <w:rPr>
          <w:spacing w:val="12"/>
          <w:sz w:val="19"/>
          <w:szCs w:val="19"/>
        </w:rPr>
        <w:t>的总</w:t>
      </w:r>
      <w:r>
        <w:rPr>
          <w:sz w:val="19"/>
          <w:szCs w:val="19"/>
        </w:rPr>
        <w:t xml:space="preserve">  </w:t>
      </w:r>
      <w:r>
        <w:rPr>
          <w:spacing w:val="10"/>
          <w:sz w:val="19"/>
          <w:szCs w:val="19"/>
        </w:rPr>
        <w:t>承包，是指承建信息系统工程任务的总承包，即业主单位将信息系统工程的咨询、</w:t>
      </w:r>
      <w:r>
        <w:rPr>
          <w:spacing w:val="9"/>
          <w:sz w:val="19"/>
          <w:szCs w:val="19"/>
        </w:rPr>
        <w:t>论证、分析、</w:t>
      </w:r>
      <w:r>
        <w:rPr>
          <w:sz w:val="19"/>
          <w:szCs w:val="19"/>
        </w:rPr>
        <w:t xml:space="preserve"> </w:t>
      </w:r>
      <w:r>
        <w:rPr>
          <w:spacing w:val="13"/>
          <w:sz w:val="19"/>
          <w:szCs w:val="19"/>
        </w:rPr>
        <w:t>信息系统硬件建设、信息系统网络建设、信息系统软件</w:t>
      </w:r>
      <w:r>
        <w:rPr>
          <w:spacing w:val="12"/>
          <w:sz w:val="19"/>
          <w:szCs w:val="19"/>
        </w:rPr>
        <w:t>建设等项目建设的全部任务一并发包给</w:t>
      </w:r>
      <w:r>
        <w:rPr>
          <w:sz w:val="19"/>
          <w:szCs w:val="19"/>
        </w:rPr>
        <w:t xml:space="preserve">  </w:t>
      </w:r>
      <w:r>
        <w:rPr>
          <w:spacing w:val="13"/>
          <w:sz w:val="19"/>
          <w:szCs w:val="19"/>
        </w:rPr>
        <w:t>一个具备相应的总承包资质条件的承建单位，由该承建单位负责</w:t>
      </w:r>
      <w:r>
        <w:rPr>
          <w:spacing w:val="12"/>
          <w:sz w:val="19"/>
          <w:szCs w:val="19"/>
        </w:rPr>
        <w:t>项目的全部实施工作，直至项</w:t>
      </w:r>
      <w:r>
        <w:rPr>
          <w:sz w:val="19"/>
          <w:szCs w:val="19"/>
        </w:rPr>
        <w:t xml:space="preserve">  </w:t>
      </w:r>
      <w:r>
        <w:rPr>
          <w:spacing w:val="8"/>
          <w:sz w:val="19"/>
          <w:szCs w:val="19"/>
        </w:rPr>
        <w:t>目竣工，向业主单位交付经验收合格符合业主单位要求的信息系统工程的承包方式。</w:t>
      </w:r>
    </w:p>
    <w:p w14:paraId="1C51D12C">
      <w:pPr>
        <w:pStyle w:val="2"/>
        <w:spacing w:before="6" w:line="296" w:lineRule="auto"/>
        <w:ind w:left="369" w:right="78" w:firstLine="399"/>
        <w:rPr>
          <w:sz w:val="19"/>
          <w:szCs w:val="19"/>
        </w:rPr>
      </w:pPr>
      <w:r>
        <w:rPr>
          <w:spacing w:val="13"/>
          <w:sz w:val="19"/>
          <w:szCs w:val="19"/>
        </w:rPr>
        <w:t>这种承包方式有利于充分发挥那些在信息系统工程建设方面具有较强的技术力量</w:t>
      </w:r>
      <w:r>
        <w:rPr>
          <w:spacing w:val="12"/>
          <w:sz w:val="19"/>
          <w:szCs w:val="19"/>
        </w:rPr>
        <w:t>、丰富的</w:t>
      </w:r>
      <w:r>
        <w:rPr>
          <w:sz w:val="19"/>
          <w:szCs w:val="19"/>
        </w:rPr>
        <w:t xml:space="preserve"> </w:t>
      </w:r>
      <w:r>
        <w:rPr>
          <w:spacing w:val="13"/>
          <w:sz w:val="19"/>
          <w:szCs w:val="19"/>
        </w:rPr>
        <w:t>经验和组织管理能力的大承包商的专业优势，保证项目的质量和进度，提高</w:t>
      </w:r>
      <w:r>
        <w:rPr>
          <w:spacing w:val="12"/>
          <w:sz w:val="19"/>
          <w:szCs w:val="19"/>
        </w:rPr>
        <w:t>投资效益。采用总</w:t>
      </w:r>
      <w:r>
        <w:rPr>
          <w:sz w:val="19"/>
          <w:szCs w:val="19"/>
        </w:rPr>
        <w:t xml:space="preserve"> </w:t>
      </w:r>
      <w:r>
        <w:rPr>
          <w:spacing w:val="13"/>
          <w:sz w:val="19"/>
          <w:szCs w:val="19"/>
        </w:rPr>
        <w:t>承包的方式进行承包，业主单位和承建单位要签订总承包</w:t>
      </w:r>
      <w:r>
        <w:rPr>
          <w:spacing w:val="12"/>
          <w:sz w:val="19"/>
          <w:szCs w:val="19"/>
        </w:rPr>
        <w:t>合同。这种总承包合同既可以用一个</w:t>
      </w:r>
      <w:r>
        <w:rPr>
          <w:sz w:val="19"/>
          <w:szCs w:val="19"/>
        </w:rPr>
        <w:t xml:space="preserve"> </w:t>
      </w:r>
      <w:r>
        <w:rPr>
          <w:spacing w:val="12"/>
          <w:sz w:val="19"/>
          <w:szCs w:val="19"/>
        </w:rPr>
        <w:t>总合同的形式，也可以用若干合同的形式来签订，例如业主单位分别与同一个承包人签订项目</w:t>
      </w:r>
      <w:r>
        <w:rPr>
          <w:spacing w:val="13"/>
          <w:sz w:val="19"/>
          <w:szCs w:val="19"/>
        </w:rPr>
        <w:t xml:space="preserve"> </w:t>
      </w:r>
      <w:r>
        <w:rPr>
          <w:spacing w:val="7"/>
          <w:sz w:val="19"/>
          <w:szCs w:val="19"/>
        </w:rPr>
        <w:t>咨询、论证、硬件、网络和软件建设合同等。</w:t>
      </w:r>
    </w:p>
    <w:p w14:paraId="3674FC5A">
      <w:pPr>
        <w:spacing w:before="133" w:line="223" w:lineRule="auto"/>
        <w:ind w:left="769"/>
        <w:rPr>
          <w:rFonts w:ascii="楷体" w:hAnsi="楷体" w:eastAsia="楷体" w:cs="楷体"/>
          <w:sz w:val="19"/>
          <w:szCs w:val="19"/>
        </w:rPr>
      </w:pPr>
      <w:r>
        <w:rPr>
          <w:rFonts w:ascii="楷体" w:hAnsi="楷体" w:eastAsia="楷体" w:cs="楷体"/>
          <w:spacing w:val="21"/>
          <w:sz w:val="19"/>
          <w:szCs w:val="19"/>
        </w:rPr>
        <w:t>2)单项承包合同</w:t>
      </w:r>
    </w:p>
    <w:p w14:paraId="18C1C771">
      <w:pPr>
        <w:pStyle w:val="2"/>
        <w:spacing w:before="73" w:line="295" w:lineRule="auto"/>
        <w:ind w:left="369" w:firstLine="399"/>
        <w:rPr>
          <w:sz w:val="19"/>
          <w:szCs w:val="19"/>
        </w:rPr>
      </w:pPr>
      <w:r>
        <w:rPr>
          <w:spacing w:val="9"/>
          <w:sz w:val="19"/>
          <w:szCs w:val="19"/>
        </w:rPr>
        <w:t>单项承包合同指合同业主单位将信息系统工程中的咨询、论证、分析、信息系</w:t>
      </w:r>
      <w:r>
        <w:rPr>
          <w:spacing w:val="8"/>
          <w:sz w:val="19"/>
          <w:szCs w:val="19"/>
        </w:rPr>
        <w:t>统硬件建设、</w:t>
      </w:r>
      <w:r>
        <w:rPr>
          <w:sz w:val="19"/>
          <w:szCs w:val="19"/>
        </w:rPr>
        <w:t xml:space="preserve"> </w:t>
      </w:r>
      <w:r>
        <w:rPr>
          <w:spacing w:val="13"/>
          <w:sz w:val="19"/>
          <w:szCs w:val="19"/>
        </w:rPr>
        <w:t>信息系统网络建设和信息系统软件建设等不同的工作任务，分别发包给不</w:t>
      </w:r>
      <w:r>
        <w:rPr>
          <w:spacing w:val="12"/>
          <w:sz w:val="19"/>
          <w:szCs w:val="19"/>
        </w:rPr>
        <w:t>同的承建单位，并与</w:t>
      </w:r>
      <w:r>
        <w:rPr>
          <w:sz w:val="19"/>
          <w:szCs w:val="19"/>
        </w:rPr>
        <w:t xml:space="preserve">  </w:t>
      </w:r>
      <w:r>
        <w:rPr>
          <w:spacing w:val="15"/>
          <w:sz w:val="19"/>
          <w:szCs w:val="19"/>
        </w:rPr>
        <w:t>其签订相应的信息系统工程咨询合同、信息系统工程论证合同、信息</w:t>
      </w:r>
      <w:r>
        <w:rPr>
          <w:spacing w:val="14"/>
          <w:sz w:val="19"/>
          <w:szCs w:val="19"/>
        </w:rPr>
        <w:t>系统工程硬件建设合同、</w:t>
      </w:r>
      <w:r>
        <w:rPr>
          <w:sz w:val="19"/>
          <w:szCs w:val="19"/>
        </w:rPr>
        <w:t xml:space="preserve"> </w:t>
      </w:r>
      <w:r>
        <w:rPr>
          <w:spacing w:val="7"/>
          <w:sz w:val="19"/>
          <w:szCs w:val="19"/>
        </w:rPr>
        <w:t>信息系统工程网络建设合同和信息系统工程软件建设合同等。</w:t>
      </w:r>
    </w:p>
    <w:p w14:paraId="26EE8847">
      <w:pPr>
        <w:pStyle w:val="2"/>
        <w:spacing w:before="49" w:line="292" w:lineRule="auto"/>
        <w:ind w:left="369" w:right="40" w:firstLine="399"/>
        <w:rPr>
          <w:sz w:val="19"/>
          <w:szCs w:val="19"/>
        </w:rPr>
      </w:pPr>
      <w:r>
        <w:rPr>
          <w:spacing w:val="9"/>
          <w:sz w:val="19"/>
          <w:szCs w:val="19"/>
        </w:rPr>
        <w:t>单项项目承包方式有利于吸引较多的承包商参与投标竞争，使业主单位有更大</w:t>
      </w:r>
      <w:r>
        <w:rPr>
          <w:spacing w:val="8"/>
          <w:sz w:val="19"/>
          <w:szCs w:val="19"/>
        </w:rPr>
        <w:t>的选择余地，</w:t>
      </w:r>
      <w:r>
        <w:rPr>
          <w:sz w:val="19"/>
          <w:szCs w:val="19"/>
        </w:rPr>
        <w:t xml:space="preserve"> </w:t>
      </w:r>
      <w:r>
        <w:rPr>
          <w:spacing w:val="13"/>
          <w:sz w:val="19"/>
          <w:szCs w:val="19"/>
        </w:rPr>
        <w:t>也有利于业主单位对信息系统工程的各个环节、各个阶</w:t>
      </w:r>
      <w:r>
        <w:rPr>
          <w:spacing w:val="12"/>
          <w:sz w:val="19"/>
          <w:szCs w:val="19"/>
        </w:rPr>
        <w:t>段实施直接的监督管理。这种发包方式</w:t>
      </w:r>
      <w:r>
        <w:rPr>
          <w:sz w:val="19"/>
          <w:szCs w:val="19"/>
        </w:rPr>
        <w:t xml:space="preserve"> </w:t>
      </w:r>
      <w:r>
        <w:rPr>
          <w:spacing w:val="11"/>
          <w:sz w:val="19"/>
          <w:szCs w:val="19"/>
        </w:rPr>
        <w:t>较适用于那些对项目建设有较强管理能力的业主单位(发包人)。</w:t>
      </w:r>
    </w:p>
    <w:p w14:paraId="774D5710">
      <w:pPr>
        <w:pStyle w:val="2"/>
        <w:spacing w:before="57" w:line="219" w:lineRule="auto"/>
        <w:ind w:left="769"/>
        <w:rPr>
          <w:sz w:val="19"/>
          <w:szCs w:val="19"/>
        </w:rPr>
      </w:pPr>
      <w:r>
        <w:rPr>
          <w:spacing w:val="7"/>
          <w:sz w:val="19"/>
          <w:szCs w:val="19"/>
        </w:rPr>
        <w:t>在管理直接承包合同时应注意相应的禁止性规定，包括：</w:t>
      </w:r>
    </w:p>
    <w:p w14:paraId="3A7E1967">
      <w:pPr>
        <w:pStyle w:val="2"/>
        <w:spacing w:before="74" w:line="265" w:lineRule="auto"/>
        <w:ind w:left="1059" w:right="67" w:hanging="290"/>
        <w:rPr>
          <w:sz w:val="19"/>
          <w:szCs w:val="19"/>
        </w:rPr>
      </w:pPr>
      <w:r>
        <w:rPr>
          <w:spacing w:val="13"/>
          <w:sz w:val="19"/>
          <w:szCs w:val="19"/>
        </w:rPr>
        <w:t>●直接承包合同签订总承包合同，还是签订单项项目承包合同，可以由业主单位根据情况</w:t>
      </w:r>
      <w:r>
        <w:rPr>
          <w:spacing w:val="10"/>
          <w:sz w:val="19"/>
          <w:szCs w:val="19"/>
        </w:rPr>
        <w:t xml:space="preserve"> </w:t>
      </w:r>
      <w:r>
        <w:rPr>
          <w:spacing w:val="8"/>
          <w:sz w:val="19"/>
          <w:szCs w:val="19"/>
        </w:rPr>
        <w:t>自行确定。但无论采取哪种形式，都不得签订支解承包合同。</w:t>
      </w:r>
    </w:p>
    <w:p w14:paraId="5DA02C29">
      <w:pPr>
        <w:pStyle w:val="2"/>
        <w:spacing w:before="114" w:line="261" w:lineRule="auto"/>
        <w:ind w:left="1059" w:right="67" w:hanging="290"/>
        <w:rPr>
          <w:sz w:val="19"/>
          <w:szCs w:val="19"/>
        </w:rPr>
      </w:pPr>
      <w:r>
        <w:rPr>
          <w:spacing w:val="13"/>
          <w:sz w:val="19"/>
          <w:szCs w:val="19"/>
        </w:rPr>
        <w:t>●民法典规定：发包人不得将应当由一个承包人完成的建设工程支解成若干部分发包给数</w:t>
      </w:r>
      <w:r>
        <w:rPr>
          <w:spacing w:val="10"/>
          <w:sz w:val="19"/>
          <w:szCs w:val="19"/>
        </w:rPr>
        <w:t xml:space="preserve"> </w:t>
      </w:r>
      <w:r>
        <w:rPr>
          <w:sz w:val="19"/>
          <w:szCs w:val="19"/>
        </w:rPr>
        <w:t>个承包人。</w:t>
      </w:r>
    </w:p>
    <w:p w14:paraId="0ABFCF74">
      <w:pPr>
        <w:pStyle w:val="2"/>
        <w:spacing w:before="82" w:line="293" w:lineRule="auto"/>
        <w:ind w:left="369" w:right="85" w:firstLine="399"/>
        <w:jc w:val="both"/>
        <w:rPr>
          <w:sz w:val="19"/>
          <w:szCs w:val="19"/>
        </w:rPr>
      </w:pPr>
      <w:r>
        <w:rPr>
          <w:spacing w:val="13"/>
          <w:sz w:val="19"/>
          <w:szCs w:val="19"/>
        </w:rPr>
        <w:t>一些业主单位把应当由一个承包单位整体承包的项目，支解成若</w:t>
      </w:r>
      <w:r>
        <w:rPr>
          <w:spacing w:val="12"/>
          <w:sz w:val="19"/>
          <w:szCs w:val="19"/>
        </w:rPr>
        <w:t>干部分，分别发包给几个</w:t>
      </w:r>
      <w:r>
        <w:rPr>
          <w:sz w:val="19"/>
          <w:szCs w:val="19"/>
        </w:rPr>
        <w:t xml:space="preserve"> </w:t>
      </w:r>
      <w:r>
        <w:rPr>
          <w:spacing w:val="13"/>
          <w:sz w:val="19"/>
          <w:szCs w:val="19"/>
        </w:rPr>
        <w:t>承包单位，使得整个项目建设在管理和技术上缺乏应有的统</w:t>
      </w:r>
      <w:r>
        <w:rPr>
          <w:spacing w:val="12"/>
          <w:sz w:val="19"/>
          <w:szCs w:val="19"/>
        </w:rPr>
        <w:t>筹协调，往往造成信息系统工程实</w:t>
      </w:r>
      <w:r>
        <w:rPr>
          <w:sz w:val="19"/>
          <w:szCs w:val="19"/>
        </w:rPr>
        <w:t xml:space="preserve"> </w:t>
      </w:r>
      <w:r>
        <w:rPr>
          <w:spacing w:val="8"/>
          <w:sz w:val="19"/>
          <w:szCs w:val="19"/>
        </w:rPr>
        <w:t>施混乱，责任不清，从而严重影响了信息系统工程建设的质量。</w:t>
      </w:r>
    </w:p>
    <w:p w14:paraId="7A975EDB">
      <w:pPr>
        <w:pStyle w:val="2"/>
        <w:spacing w:before="17" w:line="286" w:lineRule="auto"/>
        <w:ind w:left="369" w:right="67" w:firstLine="399"/>
        <w:jc w:val="both"/>
        <w:rPr>
          <w:sz w:val="19"/>
          <w:szCs w:val="19"/>
        </w:rPr>
      </w:pPr>
      <w:r>
        <w:rPr>
          <w:spacing w:val="13"/>
          <w:sz w:val="19"/>
          <w:szCs w:val="19"/>
        </w:rPr>
        <w:t>怎样确定信息系统工程建设是否应当由一个承包人完成，这需要根</w:t>
      </w:r>
      <w:r>
        <w:rPr>
          <w:spacing w:val="12"/>
          <w:sz w:val="19"/>
          <w:szCs w:val="19"/>
        </w:rPr>
        <w:t>据实际情况做出具体分</w:t>
      </w:r>
      <w:r>
        <w:rPr>
          <w:sz w:val="19"/>
          <w:szCs w:val="19"/>
        </w:rPr>
        <w:t xml:space="preserve"> </w:t>
      </w:r>
      <w:r>
        <w:rPr>
          <w:spacing w:val="9"/>
          <w:sz w:val="19"/>
          <w:szCs w:val="19"/>
        </w:rPr>
        <w:t>析和论证。</w:t>
      </w:r>
      <w:r>
        <w:rPr>
          <w:spacing w:val="-17"/>
          <w:sz w:val="19"/>
          <w:szCs w:val="19"/>
        </w:rPr>
        <w:t xml:space="preserve"> </w:t>
      </w:r>
      <w:r>
        <w:rPr>
          <w:spacing w:val="9"/>
          <w:sz w:val="19"/>
          <w:szCs w:val="19"/>
        </w:rPr>
        <w:t>一般来讲，</w:t>
      </w:r>
      <w:r>
        <w:rPr>
          <w:spacing w:val="-18"/>
          <w:sz w:val="19"/>
          <w:szCs w:val="19"/>
        </w:rPr>
        <w:t xml:space="preserve"> </w:t>
      </w:r>
      <w:r>
        <w:rPr>
          <w:spacing w:val="9"/>
          <w:sz w:val="19"/>
          <w:szCs w:val="19"/>
        </w:rPr>
        <w:t>一种性质或一个整体的信息系统建设项目应当由一个承包人来完成，例</w:t>
      </w:r>
      <w:r>
        <w:rPr>
          <w:sz w:val="19"/>
          <w:szCs w:val="19"/>
        </w:rPr>
        <w:t xml:space="preserve"> </w:t>
      </w:r>
      <w:r>
        <w:rPr>
          <w:spacing w:val="17"/>
          <w:sz w:val="19"/>
          <w:szCs w:val="19"/>
        </w:rPr>
        <w:t>如一个信息系统工程的信息网络系统(网络和硬件),或一个信息系统工程的信</w:t>
      </w:r>
      <w:r>
        <w:rPr>
          <w:spacing w:val="16"/>
          <w:sz w:val="19"/>
          <w:szCs w:val="19"/>
        </w:rPr>
        <w:t>息应用系统(软</w:t>
      </w:r>
      <w:r>
        <w:rPr>
          <w:sz w:val="19"/>
          <w:szCs w:val="19"/>
        </w:rPr>
        <w:t xml:space="preserve"> </w:t>
      </w:r>
      <w:r>
        <w:rPr>
          <w:spacing w:val="11"/>
          <w:sz w:val="19"/>
          <w:szCs w:val="19"/>
        </w:rPr>
        <w:t>件系统)。不同性质或不同整体的信息系统工程</w:t>
      </w:r>
      <w:r>
        <w:rPr>
          <w:spacing w:val="10"/>
          <w:sz w:val="19"/>
          <w:szCs w:val="19"/>
        </w:rPr>
        <w:t>建设，业主单位就可以考虑根据情况分别发包给</w:t>
      </w:r>
      <w:r>
        <w:rPr>
          <w:sz w:val="19"/>
          <w:szCs w:val="19"/>
        </w:rPr>
        <w:t xml:space="preserve"> </w:t>
      </w:r>
      <w:r>
        <w:rPr>
          <w:spacing w:val="6"/>
          <w:sz w:val="19"/>
          <w:szCs w:val="19"/>
        </w:rPr>
        <w:t>几个承建单位。</w:t>
      </w:r>
    </w:p>
    <w:p w14:paraId="3E1839DD">
      <w:pPr>
        <w:spacing w:line="286" w:lineRule="auto"/>
        <w:rPr>
          <w:sz w:val="19"/>
          <w:szCs w:val="19"/>
        </w:rPr>
        <w:sectPr>
          <w:pgSz w:w="10300" w:h="13370"/>
          <w:pgMar w:top="400" w:right="1014" w:bottom="400" w:left="520" w:header="0" w:footer="0" w:gutter="0"/>
          <w:cols w:space="720" w:num="1"/>
        </w:sectPr>
      </w:pPr>
    </w:p>
    <w:p w14:paraId="1EC652AA">
      <w:pPr>
        <w:pStyle w:val="2"/>
        <w:spacing w:before="86" w:line="214" w:lineRule="auto"/>
        <w:jc w:val="right"/>
        <w:rPr>
          <w:rFonts w:ascii="Times New Roman" w:hAnsi="Times New Roman" w:eastAsia="Times New Roman" w:cs="Times New Roman"/>
          <w:sz w:val="32"/>
          <w:szCs w:val="32"/>
        </w:rPr>
      </w:pPr>
      <w:r>
        <w:rPr>
          <w:spacing w:val="-1"/>
          <w:position w:val="2"/>
          <w:sz w:val="20"/>
          <w:szCs w:val="20"/>
        </w:rPr>
        <w:t>第13章 合同管理</w:t>
      </w:r>
      <w:r>
        <w:rPr>
          <w:spacing w:val="3"/>
          <w:position w:val="2"/>
          <w:sz w:val="20"/>
          <w:szCs w:val="20"/>
        </w:rPr>
        <w:t xml:space="preserve">      </w:t>
      </w:r>
      <w:r>
        <w:rPr>
          <w:rFonts w:ascii="Times New Roman" w:hAnsi="Times New Roman" w:eastAsia="Times New Roman" w:cs="Times New Roman"/>
          <w:spacing w:val="-20"/>
          <w:w w:val="86"/>
          <w:position w:val="-5"/>
          <w:sz w:val="32"/>
          <w:szCs w:val="32"/>
        </w:rPr>
        <w:t>2</w:t>
      </w:r>
      <w:r>
        <w:rPr>
          <w:rFonts w:ascii="Times New Roman" w:hAnsi="Times New Roman" w:eastAsia="Times New Roman" w:cs="Times New Roman"/>
          <w:spacing w:val="-19"/>
          <w:w w:val="86"/>
          <w:position w:val="-5"/>
          <w:sz w:val="32"/>
          <w:szCs w:val="32"/>
        </w:rPr>
        <w:t>9</w:t>
      </w:r>
      <w:r>
        <w:rPr>
          <w:rFonts w:ascii="Times New Roman" w:hAnsi="Times New Roman" w:eastAsia="Times New Roman" w:cs="Times New Roman"/>
          <w:spacing w:val="-15"/>
          <w:w w:val="86"/>
          <w:position w:val="-5"/>
          <w:sz w:val="32"/>
          <w:szCs w:val="32"/>
        </w:rPr>
        <w:t>7</w:t>
      </w:r>
    </w:p>
    <w:p w14:paraId="32BBC096">
      <w:pPr>
        <w:spacing w:before="255" w:line="223" w:lineRule="auto"/>
        <w:ind w:left="402"/>
        <w:rPr>
          <w:rFonts w:ascii="楷体" w:hAnsi="楷体" w:eastAsia="楷体" w:cs="楷体"/>
          <w:sz w:val="20"/>
          <w:szCs w:val="20"/>
        </w:rPr>
      </w:pPr>
      <w:r>
        <w:rPr>
          <w:rFonts w:ascii="楷体" w:hAnsi="楷体" w:eastAsia="楷体" w:cs="楷体"/>
          <w:b/>
          <w:bCs/>
          <w:spacing w:val="17"/>
          <w:sz w:val="20"/>
          <w:szCs w:val="20"/>
        </w:rPr>
        <w:t>3)分包合同</w:t>
      </w:r>
    </w:p>
    <w:p w14:paraId="32A1CA23">
      <w:pPr>
        <w:pStyle w:val="2"/>
        <w:spacing w:before="83" w:line="287" w:lineRule="auto"/>
        <w:ind w:right="290" w:firstLine="400"/>
        <w:jc w:val="both"/>
        <w:rPr>
          <w:sz w:val="20"/>
          <w:szCs w:val="20"/>
        </w:rPr>
      </w:pPr>
      <w:r>
        <w:rPr>
          <w:spacing w:val="3"/>
          <w:sz w:val="20"/>
          <w:szCs w:val="20"/>
        </w:rPr>
        <w:t>分包合同是指信息系统工程总承建单位承包某个信息系统项目以后</w:t>
      </w:r>
      <w:r>
        <w:rPr>
          <w:spacing w:val="2"/>
          <w:sz w:val="20"/>
          <w:szCs w:val="20"/>
        </w:rPr>
        <w:t>，将其承包的某一部分</w:t>
      </w:r>
      <w:r>
        <w:rPr>
          <w:sz w:val="20"/>
          <w:szCs w:val="20"/>
        </w:rPr>
        <w:t xml:space="preserve">  </w:t>
      </w:r>
      <w:r>
        <w:rPr>
          <w:spacing w:val="3"/>
          <w:sz w:val="20"/>
          <w:szCs w:val="20"/>
        </w:rPr>
        <w:t>或某几部分项目，再发包给分包单位，与其签订承包合同项</w:t>
      </w:r>
      <w:r>
        <w:rPr>
          <w:spacing w:val="2"/>
          <w:sz w:val="20"/>
          <w:szCs w:val="20"/>
        </w:rPr>
        <w:t>下的分包合同。民法典规定：总承</w:t>
      </w:r>
      <w:r>
        <w:rPr>
          <w:sz w:val="20"/>
          <w:szCs w:val="20"/>
        </w:rPr>
        <w:t xml:space="preserve">  包人或者勘察、设计、施工承包人经发包人同意，可以将自己承包的部分工作交由第三人完成。 </w:t>
      </w:r>
      <w:r>
        <w:rPr>
          <w:spacing w:val="5"/>
          <w:sz w:val="20"/>
          <w:szCs w:val="20"/>
        </w:rPr>
        <w:t>第三人就其完成的工作成果与总承包人或者勘察、设计、施工承包人向发包人</w:t>
      </w:r>
      <w:r>
        <w:rPr>
          <w:spacing w:val="4"/>
          <w:sz w:val="20"/>
          <w:szCs w:val="20"/>
        </w:rPr>
        <w:t>承担连带责任。</w:t>
      </w:r>
      <w:r>
        <w:rPr>
          <w:sz w:val="20"/>
          <w:szCs w:val="20"/>
        </w:rPr>
        <w:t xml:space="preserve"> </w:t>
      </w:r>
      <w:r>
        <w:rPr>
          <w:spacing w:val="3"/>
          <w:sz w:val="20"/>
          <w:szCs w:val="20"/>
        </w:rPr>
        <w:t>这里有两个合同法律关系，一个是业主单位与总承建单位的</w:t>
      </w:r>
      <w:r>
        <w:rPr>
          <w:spacing w:val="2"/>
          <w:sz w:val="20"/>
          <w:szCs w:val="20"/>
        </w:rPr>
        <w:t>承包合同关系，另一个是总承分包</w:t>
      </w:r>
      <w:r>
        <w:rPr>
          <w:sz w:val="20"/>
          <w:szCs w:val="20"/>
        </w:rPr>
        <w:t xml:space="preserve">  </w:t>
      </w:r>
      <w:r>
        <w:rPr>
          <w:spacing w:val="3"/>
          <w:sz w:val="20"/>
          <w:szCs w:val="20"/>
        </w:rPr>
        <w:t>合同关系。总承建单位在原承包合同范围内向业主单位负责</w:t>
      </w:r>
      <w:r>
        <w:rPr>
          <w:spacing w:val="2"/>
          <w:sz w:val="20"/>
          <w:szCs w:val="20"/>
        </w:rPr>
        <w:t>，分包单位与总承建单位在分包合</w:t>
      </w:r>
      <w:r>
        <w:rPr>
          <w:sz w:val="20"/>
          <w:szCs w:val="20"/>
        </w:rPr>
        <w:t xml:space="preserve">  </w:t>
      </w:r>
      <w:r>
        <w:rPr>
          <w:spacing w:val="3"/>
          <w:sz w:val="20"/>
          <w:szCs w:val="20"/>
        </w:rPr>
        <w:t>同范围内向业主单位承担连带责任。因分包的项目出现</w:t>
      </w:r>
      <w:r>
        <w:rPr>
          <w:spacing w:val="2"/>
          <w:sz w:val="20"/>
          <w:szCs w:val="20"/>
        </w:rPr>
        <w:t>问题，业主单位既可以要求总承建单位</w:t>
      </w:r>
      <w:r>
        <w:rPr>
          <w:sz w:val="20"/>
          <w:szCs w:val="20"/>
        </w:rPr>
        <w:t xml:space="preserve">  </w:t>
      </w:r>
      <w:r>
        <w:rPr>
          <w:spacing w:val="-2"/>
          <w:sz w:val="20"/>
          <w:szCs w:val="20"/>
        </w:rPr>
        <w:t>承担责任，也可以直接要求分包单位承担责任。</w:t>
      </w:r>
    </w:p>
    <w:p w14:paraId="5134AAE1">
      <w:pPr>
        <w:pStyle w:val="2"/>
        <w:spacing w:before="45" w:line="219" w:lineRule="auto"/>
        <w:ind w:left="400"/>
        <w:rPr>
          <w:sz w:val="20"/>
          <w:szCs w:val="20"/>
        </w:rPr>
      </w:pPr>
      <w:r>
        <w:rPr>
          <w:spacing w:val="-3"/>
          <w:sz w:val="20"/>
          <w:szCs w:val="20"/>
        </w:rPr>
        <w:t>签订分包合同应当同时具备两个条件：</w:t>
      </w:r>
    </w:p>
    <w:p w14:paraId="384C71F4">
      <w:pPr>
        <w:pStyle w:val="2"/>
        <w:spacing w:before="73" w:line="219" w:lineRule="auto"/>
        <w:ind w:left="400"/>
        <w:rPr>
          <w:sz w:val="20"/>
          <w:szCs w:val="20"/>
        </w:rPr>
      </w:pPr>
      <w:r>
        <w:rPr>
          <w:spacing w:val="1"/>
          <w:sz w:val="20"/>
          <w:szCs w:val="20"/>
        </w:rPr>
        <w:t>●总承建单位只能将自己承包的部分项目分包给具有相应资质条件</w:t>
      </w:r>
      <w:r>
        <w:rPr>
          <w:sz w:val="20"/>
          <w:szCs w:val="20"/>
        </w:rPr>
        <w:t>的分包单位；</w:t>
      </w:r>
    </w:p>
    <w:p w14:paraId="10850BC1">
      <w:pPr>
        <w:pStyle w:val="2"/>
        <w:spacing w:before="93" w:line="220" w:lineRule="auto"/>
        <w:ind w:left="400"/>
        <w:rPr>
          <w:sz w:val="20"/>
          <w:szCs w:val="20"/>
        </w:rPr>
      </w:pPr>
      <w:r>
        <w:rPr>
          <w:spacing w:val="1"/>
          <w:sz w:val="20"/>
          <w:szCs w:val="20"/>
        </w:rPr>
        <w:t>●分包项目必须经过业主单位同意。</w:t>
      </w:r>
    </w:p>
    <w:p w14:paraId="6C8ECD4F">
      <w:pPr>
        <w:pStyle w:val="2"/>
        <w:spacing w:before="81" w:line="219" w:lineRule="auto"/>
        <w:ind w:left="400"/>
        <w:rPr>
          <w:sz w:val="20"/>
          <w:szCs w:val="20"/>
        </w:rPr>
      </w:pPr>
      <w:r>
        <w:rPr>
          <w:spacing w:val="-3"/>
          <w:sz w:val="20"/>
          <w:szCs w:val="20"/>
        </w:rPr>
        <w:t>分包合同有一些禁止性规定，具体如下：</w:t>
      </w:r>
    </w:p>
    <w:p w14:paraId="551FFD91">
      <w:pPr>
        <w:pStyle w:val="2"/>
        <w:spacing w:before="82" w:line="281" w:lineRule="auto"/>
        <w:ind w:left="679" w:right="374" w:hanging="279"/>
        <w:rPr>
          <w:sz w:val="20"/>
          <w:szCs w:val="20"/>
        </w:rPr>
      </w:pPr>
      <w:r>
        <w:rPr>
          <w:spacing w:val="3"/>
          <w:sz w:val="20"/>
          <w:szCs w:val="20"/>
        </w:rPr>
        <w:t>●禁止转包。所谓转包，是指承建单位将其承包的全部信息系统</w:t>
      </w:r>
      <w:r>
        <w:rPr>
          <w:spacing w:val="2"/>
          <w:sz w:val="20"/>
          <w:szCs w:val="20"/>
        </w:rPr>
        <w:t>工程建设倒手转让给第三</w:t>
      </w:r>
      <w:r>
        <w:rPr>
          <w:sz w:val="20"/>
          <w:szCs w:val="20"/>
        </w:rPr>
        <w:t xml:space="preserve"> </w:t>
      </w:r>
      <w:r>
        <w:rPr>
          <w:spacing w:val="1"/>
          <w:sz w:val="20"/>
          <w:szCs w:val="20"/>
        </w:rPr>
        <w:t>人，使该第三人实际上成为该建设项目新的承建单位的行为</w:t>
      </w:r>
      <w:r>
        <w:rPr>
          <w:sz w:val="20"/>
          <w:szCs w:val="20"/>
        </w:rPr>
        <w:t xml:space="preserve">。民法典规定：承包人不得 </w:t>
      </w:r>
      <w:r>
        <w:rPr>
          <w:spacing w:val="1"/>
          <w:sz w:val="20"/>
          <w:szCs w:val="20"/>
        </w:rPr>
        <w:t>将其承包的全部建设工程转包给第三人或者将其承包的全部建设工程支解以后</w:t>
      </w:r>
      <w:r>
        <w:rPr>
          <w:sz w:val="20"/>
          <w:szCs w:val="20"/>
        </w:rPr>
        <w:t xml:space="preserve">以分包的 </w:t>
      </w:r>
      <w:r>
        <w:rPr>
          <w:spacing w:val="-4"/>
          <w:sz w:val="20"/>
          <w:szCs w:val="20"/>
        </w:rPr>
        <w:t>名义分别转包给第三人。</w:t>
      </w:r>
    </w:p>
    <w:p w14:paraId="2FECBD73">
      <w:pPr>
        <w:pStyle w:val="2"/>
        <w:spacing w:before="83" w:line="219" w:lineRule="auto"/>
        <w:ind w:left="400"/>
        <w:rPr>
          <w:sz w:val="20"/>
          <w:szCs w:val="20"/>
        </w:rPr>
      </w:pPr>
      <w:r>
        <w:rPr>
          <w:sz w:val="20"/>
          <w:szCs w:val="20"/>
        </w:rPr>
        <w:t>●禁止承包人将工程分包给不具备相应资质条件的单位。</w:t>
      </w:r>
    </w:p>
    <w:p w14:paraId="4AA62122">
      <w:pPr>
        <w:pStyle w:val="2"/>
        <w:spacing w:before="83" w:line="270" w:lineRule="auto"/>
        <w:ind w:left="679" w:right="378" w:hanging="279"/>
        <w:rPr>
          <w:sz w:val="20"/>
          <w:szCs w:val="20"/>
        </w:rPr>
      </w:pPr>
      <w:r>
        <w:rPr>
          <w:spacing w:val="3"/>
          <w:sz w:val="20"/>
          <w:szCs w:val="20"/>
        </w:rPr>
        <w:t>●禁止将项目分包给不具备相应资质条件的单位。所谓相应的资质条件是</w:t>
      </w:r>
      <w:r>
        <w:rPr>
          <w:spacing w:val="2"/>
          <w:sz w:val="20"/>
          <w:szCs w:val="20"/>
        </w:rPr>
        <w:t>指：有符合国家</w:t>
      </w:r>
      <w:r>
        <w:rPr>
          <w:sz w:val="20"/>
          <w:szCs w:val="20"/>
        </w:rPr>
        <w:t xml:space="preserve"> </w:t>
      </w:r>
      <w:r>
        <w:rPr>
          <w:spacing w:val="1"/>
          <w:sz w:val="20"/>
          <w:szCs w:val="20"/>
        </w:rPr>
        <w:t>规定的民事主体；有相应的专业技术人员；有相应的技术装备</w:t>
      </w:r>
      <w:r>
        <w:rPr>
          <w:sz w:val="20"/>
          <w:szCs w:val="20"/>
        </w:rPr>
        <w:t>；符合法律法规规定的其 他条件。</w:t>
      </w:r>
    </w:p>
    <w:p w14:paraId="1DD792EE">
      <w:pPr>
        <w:pStyle w:val="2"/>
        <w:spacing w:before="91" w:line="253" w:lineRule="auto"/>
        <w:ind w:left="679" w:right="381" w:hanging="279"/>
        <w:rPr>
          <w:sz w:val="20"/>
          <w:szCs w:val="20"/>
        </w:rPr>
      </w:pPr>
      <w:r>
        <w:rPr>
          <w:spacing w:val="3"/>
          <w:sz w:val="20"/>
          <w:szCs w:val="20"/>
        </w:rPr>
        <w:t>●禁止再分包。民法典规定：禁止分包单位将其承包的工程再分包</w:t>
      </w:r>
      <w:r>
        <w:rPr>
          <w:spacing w:val="2"/>
          <w:sz w:val="20"/>
          <w:szCs w:val="20"/>
        </w:rPr>
        <w:t>。即承建单位只能在其</w:t>
      </w:r>
      <w:r>
        <w:rPr>
          <w:sz w:val="20"/>
          <w:szCs w:val="20"/>
        </w:rPr>
        <w:t xml:space="preserve"> </w:t>
      </w:r>
      <w:r>
        <w:rPr>
          <w:spacing w:val="-2"/>
          <w:sz w:val="20"/>
          <w:szCs w:val="20"/>
        </w:rPr>
        <w:t>承包项目的范围内分包一次，分包人不得再次向他人分包。</w:t>
      </w:r>
    </w:p>
    <w:p w14:paraId="5AF5E122">
      <w:pPr>
        <w:pStyle w:val="2"/>
        <w:spacing w:before="94" w:line="264" w:lineRule="auto"/>
        <w:ind w:left="679" w:right="376" w:hanging="279"/>
        <w:rPr>
          <w:sz w:val="20"/>
          <w:szCs w:val="20"/>
        </w:rPr>
      </w:pPr>
      <w:r>
        <w:rPr>
          <w:spacing w:val="3"/>
          <w:sz w:val="20"/>
          <w:szCs w:val="20"/>
        </w:rPr>
        <w:t>●禁止分包主体结构。民法典规定：建设工程主体结构的施工必须由承包人自行</w:t>
      </w:r>
      <w:r>
        <w:rPr>
          <w:spacing w:val="2"/>
          <w:sz w:val="20"/>
          <w:szCs w:val="20"/>
        </w:rPr>
        <w:t>完成。信</w:t>
      </w:r>
      <w:r>
        <w:rPr>
          <w:sz w:val="20"/>
          <w:szCs w:val="20"/>
        </w:rPr>
        <w:t xml:space="preserve"> </w:t>
      </w:r>
      <w:r>
        <w:rPr>
          <w:spacing w:val="1"/>
          <w:sz w:val="20"/>
          <w:szCs w:val="20"/>
        </w:rPr>
        <w:t>息系统工程主体结构的实施必须由承建单位自行完成，不得向</w:t>
      </w:r>
      <w:r>
        <w:rPr>
          <w:sz w:val="20"/>
          <w:szCs w:val="20"/>
        </w:rPr>
        <w:t xml:space="preserve">他人分包，否则签订的合 </w:t>
      </w:r>
      <w:r>
        <w:rPr>
          <w:spacing w:val="-4"/>
          <w:sz w:val="20"/>
          <w:szCs w:val="20"/>
        </w:rPr>
        <w:t>同属于无效合同。</w:t>
      </w:r>
    </w:p>
    <w:p w14:paraId="02482656">
      <w:pPr>
        <w:pStyle w:val="2"/>
        <w:spacing w:before="82" w:line="277" w:lineRule="auto"/>
        <w:ind w:right="360" w:firstLine="400"/>
        <w:jc w:val="both"/>
        <w:rPr>
          <w:sz w:val="20"/>
          <w:szCs w:val="20"/>
        </w:rPr>
      </w:pPr>
      <w:r>
        <w:rPr>
          <w:spacing w:val="3"/>
          <w:sz w:val="20"/>
          <w:szCs w:val="20"/>
        </w:rPr>
        <w:t>虽然监理单位并非信息系统工程合同中的当事人，但是由于合同对信息系统工程建设项目</w:t>
      </w:r>
      <w:r>
        <w:rPr>
          <w:sz w:val="20"/>
          <w:szCs w:val="20"/>
        </w:rPr>
        <w:t xml:space="preserve"> </w:t>
      </w:r>
      <w:r>
        <w:rPr>
          <w:spacing w:val="3"/>
          <w:sz w:val="20"/>
          <w:szCs w:val="20"/>
        </w:rPr>
        <w:t>的监理工作具有直接的影响，作为介入信息系统工程建设项目的第三方机构，监理工程师仍然</w:t>
      </w:r>
      <w:r>
        <w:rPr>
          <w:spacing w:val="6"/>
          <w:sz w:val="20"/>
          <w:szCs w:val="20"/>
        </w:rPr>
        <w:t xml:space="preserve"> </w:t>
      </w:r>
      <w:r>
        <w:rPr>
          <w:spacing w:val="-1"/>
          <w:sz w:val="20"/>
          <w:szCs w:val="20"/>
        </w:rPr>
        <w:t>应当对整个项目合同有一个全面的了解，同时还需要了解一些信息系统工程相关的合同知识。</w:t>
      </w:r>
    </w:p>
    <w:p w14:paraId="1FF282A8">
      <w:pPr>
        <w:pStyle w:val="2"/>
        <w:spacing w:before="114" w:line="221" w:lineRule="auto"/>
        <w:ind w:left="402"/>
        <w:rPr>
          <w:rFonts w:ascii="黑体" w:hAnsi="黑体" w:eastAsia="黑体" w:cs="黑体"/>
          <w:sz w:val="20"/>
          <w:szCs w:val="20"/>
        </w:rPr>
      </w:pPr>
      <w:r>
        <w:rPr>
          <w:b/>
          <w:bCs/>
          <w:color w:val="006CD8"/>
          <w:spacing w:val="-2"/>
          <w:sz w:val="20"/>
          <w:szCs w:val="20"/>
        </w:rPr>
        <w:t>2.</w:t>
      </w:r>
      <w:r>
        <w:rPr>
          <w:rFonts w:ascii="黑体" w:hAnsi="黑体" w:eastAsia="黑体" w:cs="黑体"/>
          <w:b/>
          <w:bCs/>
          <w:color w:val="006CD8"/>
          <w:spacing w:val="-2"/>
          <w:sz w:val="20"/>
          <w:szCs w:val="20"/>
        </w:rPr>
        <w:t>按项目付款方式划分</w:t>
      </w:r>
    </w:p>
    <w:p w14:paraId="32C26907">
      <w:pPr>
        <w:pStyle w:val="2"/>
        <w:spacing w:before="144" w:line="218" w:lineRule="auto"/>
        <w:ind w:left="400"/>
        <w:rPr>
          <w:sz w:val="20"/>
          <w:szCs w:val="20"/>
        </w:rPr>
      </w:pPr>
      <w:r>
        <w:rPr>
          <w:spacing w:val="-1"/>
          <w:sz w:val="20"/>
          <w:szCs w:val="20"/>
        </w:rPr>
        <w:t>按付款方式划分，信息系统工程合同可以分为总价合同、单价合同和成本加酬金合同。</w:t>
      </w:r>
    </w:p>
    <w:p w14:paraId="715C1FD8">
      <w:pPr>
        <w:spacing w:before="140" w:line="223" w:lineRule="auto"/>
        <w:ind w:left="400"/>
        <w:rPr>
          <w:rFonts w:ascii="楷体" w:hAnsi="楷体" w:eastAsia="楷体" w:cs="楷体"/>
          <w:sz w:val="20"/>
          <w:szCs w:val="20"/>
        </w:rPr>
      </w:pPr>
      <w:r>
        <w:rPr>
          <w:rFonts w:ascii="楷体" w:hAnsi="楷体" w:eastAsia="楷体" w:cs="楷体"/>
          <w:spacing w:val="15"/>
          <w:sz w:val="20"/>
          <w:szCs w:val="20"/>
        </w:rPr>
        <w:t>1)总价合同</w:t>
      </w:r>
    </w:p>
    <w:p w14:paraId="2EAC76D1">
      <w:pPr>
        <w:pStyle w:val="2"/>
        <w:spacing w:before="60" w:line="280" w:lineRule="auto"/>
        <w:ind w:right="290" w:firstLine="400"/>
        <w:rPr>
          <w:sz w:val="20"/>
          <w:szCs w:val="20"/>
        </w:rPr>
      </w:pPr>
      <w:r>
        <w:rPr>
          <w:spacing w:val="3"/>
          <w:sz w:val="20"/>
          <w:szCs w:val="20"/>
        </w:rPr>
        <w:t>总价合同又称固定价格合同，是指在合同中确定一个完成项目的总价，承建单位据此签订</w:t>
      </w:r>
      <w:r>
        <w:rPr>
          <w:spacing w:val="12"/>
          <w:sz w:val="20"/>
          <w:szCs w:val="20"/>
        </w:rPr>
        <w:t xml:space="preserve"> </w:t>
      </w:r>
      <w:r>
        <w:rPr>
          <w:spacing w:val="5"/>
          <w:sz w:val="20"/>
          <w:szCs w:val="20"/>
        </w:rPr>
        <w:t>项目全部内容的合同。这种合同类型能够使业主单位在评标时易于确定报价最低</w:t>
      </w:r>
      <w:r>
        <w:rPr>
          <w:spacing w:val="4"/>
          <w:sz w:val="20"/>
          <w:szCs w:val="20"/>
        </w:rPr>
        <w:t>的承建单位，</w:t>
      </w:r>
      <w:r>
        <w:rPr>
          <w:sz w:val="20"/>
          <w:szCs w:val="20"/>
        </w:rPr>
        <w:t xml:space="preserve"> </w:t>
      </w:r>
      <w:r>
        <w:rPr>
          <w:spacing w:val="3"/>
          <w:sz w:val="20"/>
          <w:szCs w:val="20"/>
        </w:rPr>
        <w:t>易于进行支付计算。但这类合同仅适用于项目工作量不大</w:t>
      </w:r>
      <w:r>
        <w:rPr>
          <w:spacing w:val="2"/>
          <w:sz w:val="20"/>
          <w:szCs w:val="20"/>
        </w:rPr>
        <w:t>且能精确计算、工期较短、技术不太</w:t>
      </w:r>
      <w:r>
        <w:rPr>
          <w:sz w:val="20"/>
          <w:szCs w:val="20"/>
        </w:rPr>
        <w:t xml:space="preserve">  </w:t>
      </w:r>
      <w:r>
        <w:rPr>
          <w:spacing w:val="3"/>
          <w:sz w:val="20"/>
          <w:szCs w:val="20"/>
        </w:rPr>
        <w:t>复杂、风险不大的项目。因而采用这种合同类型要求业主单位</w:t>
      </w:r>
      <w:r>
        <w:rPr>
          <w:spacing w:val="2"/>
          <w:sz w:val="20"/>
          <w:szCs w:val="20"/>
        </w:rPr>
        <w:t>必须准备详细且全面的设计方案</w:t>
      </w:r>
    </w:p>
    <w:p w14:paraId="3F45A08F">
      <w:pPr>
        <w:spacing w:line="280" w:lineRule="auto"/>
        <w:rPr>
          <w:sz w:val="20"/>
          <w:szCs w:val="20"/>
        </w:rPr>
        <w:sectPr>
          <w:pgSz w:w="10280" w:h="13320"/>
          <w:pgMar w:top="400" w:right="449" w:bottom="400" w:left="1139" w:header="0" w:footer="0" w:gutter="0"/>
          <w:cols w:space="720" w:num="1"/>
        </w:sectPr>
      </w:pPr>
    </w:p>
    <w:p w14:paraId="4C105BDA">
      <w:pPr>
        <w:pStyle w:val="2"/>
        <w:spacing w:before="78" w:line="219" w:lineRule="auto"/>
        <w:rPr>
          <w:sz w:val="20"/>
          <w:szCs w:val="20"/>
        </w:rPr>
      </w:pPr>
      <w:bookmarkStart w:id="644" w:name="bookmark629"/>
      <w:bookmarkEnd w:id="644"/>
      <w:r>
        <w:rPr>
          <w:rFonts w:ascii="Times New Roman" w:hAnsi="Times New Roman" w:eastAsia="Times New Roman" w:cs="Times New Roman"/>
          <w:spacing w:val="-1"/>
          <w:position w:val="1"/>
          <w:sz w:val="17"/>
          <w:szCs w:val="17"/>
        </w:rPr>
        <w:t xml:space="preserve">298                 </w:t>
      </w:r>
      <w:r>
        <w:rPr>
          <w:spacing w:val="-1"/>
          <w:sz w:val="20"/>
          <w:szCs w:val="20"/>
        </w:rPr>
        <w:t>信息系统</w:t>
      </w:r>
      <w:r>
        <w:rPr>
          <w:spacing w:val="-2"/>
          <w:sz w:val="20"/>
          <w:szCs w:val="20"/>
        </w:rPr>
        <w:t>监理师教程(第2版)</w:t>
      </w:r>
    </w:p>
    <w:p w14:paraId="4E949120">
      <w:pPr>
        <w:spacing w:line="305" w:lineRule="auto"/>
        <w:rPr>
          <w:rFonts w:ascii="Arial"/>
          <w:sz w:val="21"/>
        </w:rPr>
      </w:pPr>
    </w:p>
    <w:p w14:paraId="1175FC4D">
      <w:pPr>
        <w:pStyle w:val="2"/>
        <w:spacing w:before="65" w:line="219" w:lineRule="auto"/>
        <w:ind w:left="349"/>
        <w:rPr>
          <w:sz w:val="20"/>
          <w:szCs w:val="20"/>
        </w:rPr>
      </w:pPr>
      <w:r>
        <w:rPr>
          <w:spacing w:val="-2"/>
          <w:sz w:val="20"/>
          <w:szCs w:val="20"/>
        </w:rPr>
        <w:t>和各项说明，使承建单位能够准确计算项目工作量。</w:t>
      </w:r>
    </w:p>
    <w:p w14:paraId="75B933B7">
      <w:pPr>
        <w:spacing w:before="157" w:line="223" w:lineRule="auto"/>
        <w:ind w:left="759"/>
        <w:rPr>
          <w:rFonts w:ascii="楷体" w:hAnsi="楷体" w:eastAsia="楷体" w:cs="楷体"/>
          <w:sz w:val="20"/>
          <w:szCs w:val="20"/>
        </w:rPr>
      </w:pPr>
      <w:r>
        <w:rPr>
          <w:rFonts w:ascii="楷体" w:hAnsi="楷体" w:eastAsia="楷体" w:cs="楷体"/>
          <w:spacing w:val="18"/>
          <w:sz w:val="20"/>
          <w:szCs w:val="20"/>
        </w:rPr>
        <w:t>2)单价合同</w:t>
      </w:r>
    </w:p>
    <w:p w14:paraId="56F91B15">
      <w:pPr>
        <w:pStyle w:val="2"/>
        <w:spacing w:before="72" w:line="283" w:lineRule="auto"/>
        <w:ind w:left="349" w:right="84" w:firstLine="410"/>
        <w:rPr>
          <w:sz w:val="20"/>
          <w:szCs w:val="20"/>
        </w:rPr>
      </w:pPr>
      <w:r>
        <w:rPr>
          <w:spacing w:val="3"/>
          <w:sz w:val="20"/>
          <w:szCs w:val="20"/>
        </w:rPr>
        <w:t>单价合同是指承建单位在投标时按照招标文件就分部、分项项目所列出的项目工作量表确</w:t>
      </w:r>
      <w:r>
        <w:rPr>
          <w:spacing w:val="7"/>
          <w:sz w:val="20"/>
          <w:szCs w:val="20"/>
        </w:rPr>
        <w:t xml:space="preserve"> </w:t>
      </w:r>
      <w:r>
        <w:rPr>
          <w:spacing w:val="-3"/>
          <w:sz w:val="20"/>
          <w:szCs w:val="20"/>
        </w:rPr>
        <w:t>定各分部、分项项目费用的合同类型。</w:t>
      </w:r>
    </w:p>
    <w:p w14:paraId="0AF2D6D0">
      <w:pPr>
        <w:pStyle w:val="2"/>
        <w:spacing w:before="27" w:line="278" w:lineRule="auto"/>
        <w:ind w:left="349" w:right="89" w:firstLine="410"/>
        <w:jc w:val="both"/>
        <w:rPr>
          <w:sz w:val="20"/>
          <w:szCs w:val="20"/>
        </w:rPr>
      </w:pPr>
      <w:r>
        <w:rPr>
          <w:spacing w:val="3"/>
          <w:sz w:val="20"/>
          <w:szCs w:val="20"/>
        </w:rPr>
        <w:t>这类合同适用范围比较广，其风险可以得到合理的分摊，并且能鼓励承建单位通过提高工 效等手段从成本节约中提高利润。这类合同能够成立的关键在于双方对单价和项目工作量计算</w:t>
      </w:r>
      <w:r>
        <w:rPr>
          <w:spacing w:val="5"/>
          <w:sz w:val="20"/>
          <w:szCs w:val="20"/>
        </w:rPr>
        <w:t xml:space="preserve"> </w:t>
      </w:r>
      <w:r>
        <w:rPr>
          <w:spacing w:val="-1"/>
          <w:sz w:val="20"/>
          <w:szCs w:val="20"/>
        </w:rPr>
        <w:t>方法的确认，在合同履行中需要注意双方实际</w:t>
      </w:r>
      <w:r>
        <w:rPr>
          <w:spacing w:val="-2"/>
          <w:sz w:val="20"/>
          <w:szCs w:val="20"/>
        </w:rPr>
        <w:t>项目工作量的确认。</w:t>
      </w:r>
    </w:p>
    <w:p w14:paraId="28E9D9F0">
      <w:pPr>
        <w:spacing w:before="122" w:line="223" w:lineRule="auto"/>
        <w:ind w:left="759"/>
        <w:rPr>
          <w:rFonts w:ascii="楷体" w:hAnsi="楷体" w:eastAsia="楷体" w:cs="楷体"/>
          <w:sz w:val="20"/>
          <w:szCs w:val="20"/>
        </w:rPr>
      </w:pPr>
      <w:r>
        <w:rPr>
          <w:rFonts w:ascii="楷体" w:hAnsi="楷体" w:eastAsia="楷体" w:cs="楷体"/>
          <w:spacing w:val="11"/>
          <w:sz w:val="20"/>
          <w:szCs w:val="20"/>
        </w:rPr>
        <w:t>3)成本加酬金合同</w:t>
      </w:r>
    </w:p>
    <w:p w14:paraId="6B5997A4">
      <w:pPr>
        <w:pStyle w:val="2"/>
        <w:spacing w:before="74" w:line="281" w:lineRule="auto"/>
        <w:ind w:left="349" w:right="89" w:firstLine="410"/>
        <w:rPr>
          <w:sz w:val="20"/>
          <w:szCs w:val="20"/>
        </w:rPr>
      </w:pPr>
      <w:r>
        <w:rPr>
          <w:spacing w:val="3"/>
          <w:sz w:val="20"/>
          <w:szCs w:val="20"/>
        </w:rPr>
        <w:t>成本加酬金合同是指业主单位向承建单位支付建设项目的实际成本，并按事先约定的某一 种方式支付酬金的合同类型。在这类合同中，业主单位须承担项目实际发生的一切费用，因此</w:t>
      </w:r>
      <w:r>
        <w:rPr>
          <w:spacing w:val="4"/>
          <w:sz w:val="20"/>
          <w:szCs w:val="20"/>
        </w:rPr>
        <w:t xml:space="preserve"> </w:t>
      </w:r>
      <w:r>
        <w:rPr>
          <w:spacing w:val="3"/>
          <w:sz w:val="20"/>
          <w:szCs w:val="20"/>
        </w:rPr>
        <w:t>也就承担了项目的全部风险。而承建单位由于没有风险，其报酬也往往较低。</w:t>
      </w:r>
      <w:r>
        <w:rPr>
          <w:spacing w:val="2"/>
          <w:sz w:val="20"/>
          <w:szCs w:val="20"/>
        </w:rPr>
        <w:t>这类合同的缺点</w:t>
      </w:r>
      <w:r>
        <w:rPr>
          <w:sz w:val="20"/>
          <w:szCs w:val="20"/>
        </w:rPr>
        <w:t xml:space="preserve"> </w:t>
      </w:r>
      <w:r>
        <w:rPr>
          <w:spacing w:val="3"/>
          <w:sz w:val="20"/>
          <w:szCs w:val="20"/>
        </w:rPr>
        <w:t>是业主单位对项目总价不易控制，承建单位也往往不注意降低项目成本。成本加酬金合同主要</w:t>
      </w:r>
      <w:r>
        <w:rPr>
          <w:spacing w:val="6"/>
          <w:sz w:val="20"/>
          <w:szCs w:val="20"/>
        </w:rPr>
        <w:t xml:space="preserve"> </w:t>
      </w:r>
      <w:r>
        <w:rPr>
          <w:spacing w:val="-1"/>
          <w:sz w:val="20"/>
          <w:szCs w:val="20"/>
        </w:rPr>
        <w:t>适用于需要立即开展工作的工程项目、新型的工程项目，或风险很大的工程项目。</w:t>
      </w:r>
    </w:p>
    <w:p w14:paraId="35E89BB4">
      <w:pPr>
        <w:pStyle w:val="2"/>
        <w:spacing w:before="206" w:line="219" w:lineRule="auto"/>
        <w:ind w:left="352"/>
        <w:rPr>
          <w:sz w:val="25"/>
          <w:szCs w:val="25"/>
        </w:rPr>
      </w:pPr>
      <w:r>
        <w:rPr>
          <w:b/>
          <w:bCs/>
          <w:color w:val="0079E3"/>
          <w:spacing w:val="-17"/>
          <w:sz w:val="25"/>
          <w:szCs w:val="25"/>
        </w:rPr>
        <w:t>13.1.3</w:t>
      </w:r>
      <w:r>
        <w:rPr>
          <w:color w:val="0079E3"/>
          <w:spacing w:val="100"/>
          <w:sz w:val="25"/>
          <w:szCs w:val="25"/>
        </w:rPr>
        <w:t xml:space="preserve"> </w:t>
      </w:r>
      <w:r>
        <w:rPr>
          <w:b/>
          <w:bCs/>
          <w:color w:val="0079E3"/>
          <w:spacing w:val="-17"/>
          <w:sz w:val="25"/>
          <w:szCs w:val="25"/>
        </w:rPr>
        <w:t>信息系统工程合同的作用</w:t>
      </w:r>
    </w:p>
    <w:p w14:paraId="720506BA">
      <w:pPr>
        <w:pStyle w:val="2"/>
        <w:spacing w:before="176" w:line="279" w:lineRule="auto"/>
        <w:ind w:left="349" w:right="86" w:firstLine="410"/>
        <w:jc w:val="both"/>
        <w:rPr>
          <w:sz w:val="20"/>
          <w:szCs w:val="20"/>
        </w:rPr>
      </w:pPr>
      <w:r>
        <w:rPr>
          <w:spacing w:val="2"/>
          <w:sz w:val="20"/>
          <w:szCs w:val="20"/>
        </w:rPr>
        <w:t>市场经济的确立和完善，为信息系统工程的形成和完善提供了有利条件，信息系统工程合</w:t>
      </w:r>
      <w:r>
        <w:rPr>
          <w:sz w:val="20"/>
          <w:szCs w:val="20"/>
        </w:rPr>
        <w:t xml:space="preserve"> </w:t>
      </w:r>
      <w:r>
        <w:rPr>
          <w:spacing w:val="3"/>
          <w:sz w:val="20"/>
          <w:szCs w:val="20"/>
        </w:rPr>
        <w:t>同的普遍实行，更加有利于市场的规范和发展，加速推进工程监理制度的完善和发</w:t>
      </w:r>
      <w:r>
        <w:rPr>
          <w:spacing w:val="2"/>
          <w:sz w:val="20"/>
          <w:szCs w:val="20"/>
        </w:rPr>
        <w:t>展。信息系</w:t>
      </w:r>
      <w:r>
        <w:rPr>
          <w:sz w:val="20"/>
          <w:szCs w:val="20"/>
        </w:rPr>
        <w:t xml:space="preserve"> </w:t>
      </w:r>
      <w:r>
        <w:rPr>
          <w:spacing w:val="3"/>
          <w:sz w:val="20"/>
          <w:szCs w:val="20"/>
        </w:rPr>
        <w:t>统工程合同的科学性、公平性和法律效力，规范了合同各方的行为，使信息系统工程建设活动</w:t>
      </w:r>
      <w:r>
        <w:rPr>
          <w:spacing w:val="9"/>
          <w:sz w:val="20"/>
          <w:szCs w:val="20"/>
        </w:rPr>
        <w:t xml:space="preserve"> </w:t>
      </w:r>
      <w:r>
        <w:rPr>
          <w:spacing w:val="-2"/>
          <w:sz w:val="20"/>
          <w:szCs w:val="20"/>
        </w:rPr>
        <w:t>有章可循。信息系统工程合同的具体作用如下。</w:t>
      </w:r>
    </w:p>
    <w:p w14:paraId="480C37D7">
      <w:pPr>
        <w:pStyle w:val="2"/>
        <w:spacing w:before="136" w:line="222" w:lineRule="auto"/>
        <w:ind w:left="762"/>
        <w:rPr>
          <w:rFonts w:ascii="黑体" w:hAnsi="黑体" w:eastAsia="黑体" w:cs="黑体"/>
          <w:sz w:val="20"/>
          <w:szCs w:val="20"/>
        </w:rPr>
      </w:pPr>
      <w:r>
        <w:rPr>
          <w:b/>
          <w:bCs/>
          <w:color w:val="007AD8"/>
          <w:spacing w:val="-4"/>
          <w:sz w:val="20"/>
          <w:szCs w:val="20"/>
        </w:rPr>
        <w:t>1.</w:t>
      </w:r>
      <w:r>
        <w:rPr>
          <w:rFonts w:ascii="黑体" w:hAnsi="黑体" w:eastAsia="黑体" w:cs="黑体"/>
          <w:b/>
          <w:bCs/>
          <w:color w:val="007AD8"/>
          <w:spacing w:val="-4"/>
          <w:sz w:val="20"/>
          <w:szCs w:val="20"/>
        </w:rPr>
        <w:t>确定工程主要目标和活动依据</w:t>
      </w:r>
    </w:p>
    <w:p w14:paraId="227105A6">
      <w:pPr>
        <w:pStyle w:val="2"/>
        <w:spacing w:before="162" w:line="269" w:lineRule="auto"/>
        <w:ind w:left="349" w:right="84" w:firstLine="410"/>
        <w:jc w:val="both"/>
        <w:rPr>
          <w:sz w:val="20"/>
          <w:szCs w:val="20"/>
        </w:rPr>
      </w:pPr>
      <w:r>
        <w:rPr>
          <w:spacing w:val="3"/>
          <w:sz w:val="20"/>
          <w:szCs w:val="20"/>
        </w:rPr>
        <w:t>合同确定了信息系统工程实施和管理的主要目标，是合同双方在工程中各种经济活动的依</w:t>
      </w:r>
      <w:r>
        <w:rPr>
          <w:spacing w:val="4"/>
          <w:sz w:val="20"/>
          <w:szCs w:val="20"/>
        </w:rPr>
        <w:t xml:space="preserve"> </w:t>
      </w:r>
      <w:r>
        <w:rPr>
          <w:spacing w:val="3"/>
          <w:sz w:val="20"/>
          <w:szCs w:val="20"/>
        </w:rPr>
        <w:t>据。合同在信息系统工程实施前签订，确定了该信息系统工程所要达到的目标，以及和目标相</w:t>
      </w:r>
      <w:r>
        <w:rPr>
          <w:spacing w:val="12"/>
          <w:sz w:val="20"/>
          <w:szCs w:val="20"/>
        </w:rPr>
        <w:t xml:space="preserve"> </w:t>
      </w:r>
      <w:r>
        <w:rPr>
          <w:spacing w:val="-4"/>
          <w:sz w:val="20"/>
          <w:szCs w:val="20"/>
        </w:rPr>
        <w:t>关的所有主要的细节问题。</w:t>
      </w:r>
    </w:p>
    <w:p w14:paraId="069FE60B">
      <w:pPr>
        <w:pStyle w:val="2"/>
        <w:spacing w:before="57" w:line="219" w:lineRule="auto"/>
        <w:ind w:left="759"/>
        <w:rPr>
          <w:sz w:val="20"/>
          <w:szCs w:val="20"/>
        </w:rPr>
      </w:pPr>
      <w:r>
        <w:rPr>
          <w:spacing w:val="-3"/>
          <w:sz w:val="20"/>
          <w:szCs w:val="20"/>
        </w:rPr>
        <w:t>合同确定的信息系统工程目标主要包括三个方面：</w:t>
      </w:r>
    </w:p>
    <w:p w14:paraId="7EBCCD6C">
      <w:pPr>
        <w:pStyle w:val="2"/>
        <w:spacing w:before="73" w:line="261" w:lineRule="auto"/>
        <w:ind w:left="349" w:right="86" w:firstLine="410"/>
        <w:rPr>
          <w:sz w:val="20"/>
          <w:szCs w:val="20"/>
        </w:rPr>
      </w:pPr>
      <w:r>
        <w:rPr>
          <w:spacing w:val="6"/>
          <w:sz w:val="20"/>
          <w:szCs w:val="20"/>
        </w:rPr>
        <w:t>(1)信息系统工程工期。包括项目开始、项目结</w:t>
      </w:r>
      <w:r>
        <w:rPr>
          <w:spacing w:val="5"/>
          <w:sz w:val="20"/>
          <w:szCs w:val="20"/>
        </w:rPr>
        <w:t>束的具体日期以及项目中的一些主要活动</w:t>
      </w:r>
      <w:r>
        <w:rPr>
          <w:sz w:val="20"/>
          <w:szCs w:val="20"/>
        </w:rPr>
        <w:t xml:space="preserve"> </w:t>
      </w:r>
      <w:r>
        <w:rPr>
          <w:spacing w:val="-1"/>
          <w:sz w:val="20"/>
          <w:szCs w:val="20"/>
        </w:rPr>
        <w:t>持续时间，由合同协议书、总工期计划、双方一致同意的详细进度计划</w:t>
      </w:r>
      <w:r>
        <w:rPr>
          <w:spacing w:val="-2"/>
          <w:sz w:val="20"/>
          <w:szCs w:val="20"/>
        </w:rPr>
        <w:t>等定义。</w:t>
      </w:r>
    </w:p>
    <w:p w14:paraId="1619A9A5">
      <w:pPr>
        <w:pStyle w:val="2"/>
        <w:spacing w:before="66" w:line="263" w:lineRule="auto"/>
        <w:ind w:left="349" w:right="71" w:firstLine="410"/>
        <w:rPr>
          <w:sz w:val="20"/>
          <w:szCs w:val="20"/>
        </w:rPr>
      </w:pPr>
      <w:r>
        <w:rPr>
          <w:spacing w:val="6"/>
          <w:sz w:val="20"/>
          <w:szCs w:val="20"/>
        </w:rPr>
        <w:t>(2)信息系统工程质量、项目规模和范围。包括详细</w:t>
      </w:r>
      <w:r>
        <w:rPr>
          <w:spacing w:val="5"/>
          <w:sz w:val="20"/>
          <w:szCs w:val="20"/>
        </w:rPr>
        <w:t>而具体的质量、技术和功能等方面的</w:t>
      </w:r>
      <w:r>
        <w:rPr>
          <w:sz w:val="20"/>
          <w:szCs w:val="20"/>
        </w:rPr>
        <w:t xml:space="preserve"> </w:t>
      </w:r>
      <w:r>
        <w:rPr>
          <w:spacing w:val="4"/>
          <w:sz w:val="20"/>
          <w:szCs w:val="20"/>
        </w:rPr>
        <w:t>要求，例如信息系统工程要达到的生产能力、设计、实</w:t>
      </w:r>
      <w:r>
        <w:rPr>
          <w:spacing w:val="3"/>
          <w:sz w:val="20"/>
          <w:szCs w:val="20"/>
        </w:rPr>
        <w:t>施等质量标准和技术规范等，由合同条</w:t>
      </w:r>
      <w:r>
        <w:rPr>
          <w:sz w:val="20"/>
          <w:szCs w:val="20"/>
        </w:rPr>
        <w:t xml:space="preserve"> </w:t>
      </w:r>
      <w:r>
        <w:rPr>
          <w:spacing w:val="-2"/>
          <w:sz w:val="20"/>
          <w:szCs w:val="20"/>
        </w:rPr>
        <w:t>件、图纸、规范、项目工作量表、供应清单等定义。</w:t>
      </w:r>
    </w:p>
    <w:p w14:paraId="64941E71">
      <w:pPr>
        <w:pStyle w:val="2"/>
        <w:spacing w:before="72" w:line="252" w:lineRule="auto"/>
        <w:ind w:left="349" w:right="91" w:firstLine="410"/>
        <w:rPr>
          <w:sz w:val="20"/>
          <w:szCs w:val="20"/>
        </w:rPr>
      </w:pPr>
      <w:r>
        <w:rPr>
          <w:spacing w:val="5"/>
          <w:sz w:val="20"/>
          <w:szCs w:val="20"/>
        </w:rPr>
        <w:t>(3)信息系统工程价格。包括项目总价格、各分项项目的单价和总价等，由项目工作量报</w:t>
      </w:r>
      <w:r>
        <w:rPr>
          <w:spacing w:val="18"/>
          <w:sz w:val="20"/>
          <w:szCs w:val="20"/>
        </w:rPr>
        <w:t xml:space="preserve"> </w:t>
      </w:r>
      <w:r>
        <w:rPr>
          <w:spacing w:val="-1"/>
          <w:sz w:val="20"/>
          <w:szCs w:val="20"/>
        </w:rPr>
        <w:t>价单、中标函或合同协议书等定义。这是承建单位按合同要求完成项目责任所应得的报酬。</w:t>
      </w:r>
    </w:p>
    <w:p w14:paraId="6332E05F">
      <w:pPr>
        <w:pStyle w:val="2"/>
        <w:spacing w:before="141" w:line="221" w:lineRule="auto"/>
        <w:ind w:left="742"/>
        <w:rPr>
          <w:rFonts w:ascii="黑体" w:hAnsi="黑体" w:eastAsia="黑体" w:cs="黑体"/>
          <w:sz w:val="20"/>
          <w:szCs w:val="20"/>
        </w:rPr>
      </w:pPr>
      <w:r>
        <w:rPr>
          <w:b/>
          <w:bCs/>
          <w:color w:val="0086E0"/>
          <w:spacing w:val="-2"/>
          <w:sz w:val="20"/>
          <w:szCs w:val="20"/>
        </w:rPr>
        <w:t>2.</w:t>
      </w:r>
      <w:r>
        <w:rPr>
          <w:rFonts w:ascii="黑体" w:hAnsi="黑体" w:eastAsia="黑体" w:cs="黑体"/>
          <w:b/>
          <w:bCs/>
          <w:color w:val="0086E0"/>
          <w:spacing w:val="-2"/>
          <w:sz w:val="20"/>
          <w:szCs w:val="20"/>
        </w:rPr>
        <w:t>规定签约双方权利和义务</w:t>
      </w:r>
    </w:p>
    <w:p w14:paraId="52455808">
      <w:pPr>
        <w:pStyle w:val="2"/>
        <w:spacing w:before="145" w:line="286" w:lineRule="auto"/>
        <w:ind w:left="349" w:firstLine="410"/>
        <w:jc w:val="both"/>
        <w:rPr>
          <w:sz w:val="20"/>
          <w:szCs w:val="20"/>
        </w:rPr>
      </w:pPr>
      <w:r>
        <w:rPr>
          <w:spacing w:val="3"/>
          <w:sz w:val="20"/>
          <w:szCs w:val="20"/>
        </w:rPr>
        <w:t>合同规定了双方的经济关系。合同一经签订，合同双方便形成了一定的经济关系。合同规</w:t>
      </w:r>
      <w:r>
        <w:rPr>
          <w:sz w:val="20"/>
          <w:szCs w:val="20"/>
        </w:rPr>
        <w:t xml:space="preserve">  </w:t>
      </w:r>
      <w:r>
        <w:rPr>
          <w:spacing w:val="5"/>
          <w:sz w:val="20"/>
          <w:szCs w:val="20"/>
        </w:rPr>
        <w:t>定了双方在合同实施过程中的经济责任、利益和权利。签订合同，则说明双方互相承担责任，</w:t>
      </w:r>
      <w:r>
        <w:rPr>
          <w:spacing w:val="14"/>
          <w:sz w:val="20"/>
          <w:szCs w:val="20"/>
        </w:rPr>
        <w:t xml:space="preserve"> </w:t>
      </w:r>
      <w:r>
        <w:rPr>
          <w:spacing w:val="4"/>
          <w:sz w:val="20"/>
          <w:szCs w:val="20"/>
        </w:rPr>
        <w:t>双方居于一个统一体中，共同完成合同。合同中确</w:t>
      </w:r>
      <w:r>
        <w:rPr>
          <w:spacing w:val="3"/>
          <w:sz w:val="20"/>
          <w:szCs w:val="20"/>
        </w:rPr>
        <w:t>定了各方在整个项目中的基本地位，明确了</w:t>
      </w:r>
    </w:p>
    <w:p w14:paraId="729F629A">
      <w:pPr>
        <w:spacing w:line="286" w:lineRule="auto"/>
        <w:rPr>
          <w:sz w:val="20"/>
          <w:szCs w:val="20"/>
        </w:rPr>
        <w:sectPr>
          <w:pgSz w:w="10310" w:h="13390"/>
          <w:pgMar w:top="400" w:right="1049" w:bottom="400" w:left="490" w:header="0" w:footer="0" w:gutter="0"/>
          <w:cols w:space="720" w:num="1"/>
        </w:sectPr>
      </w:pPr>
    </w:p>
    <w:p w14:paraId="5A8DCC4E">
      <w:pPr>
        <w:pStyle w:val="2"/>
        <w:jc w:val="right"/>
        <w:rPr>
          <w:rFonts w:ascii="Times New Roman" w:hAnsi="Times New Roman" w:eastAsia="Times New Roman" w:cs="Times New Roman"/>
          <w:sz w:val="20"/>
          <w:szCs w:val="20"/>
        </w:rPr>
      </w:pPr>
      <w:r>
        <w:rPr>
          <w:spacing w:val="-1"/>
          <w:sz w:val="20"/>
          <w:szCs w:val="20"/>
        </w:rPr>
        <w:t>第13章</w:t>
      </w:r>
      <w:r>
        <w:rPr>
          <w:spacing w:val="22"/>
          <w:sz w:val="20"/>
          <w:szCs w:val="20"/>
        </w:rPr>
        <w:t xml:space="preserve"> </w:t>
      </w:r>
      <w:r>
        <w:rPr>
          <w:spacing w:val="-1"/>
          <w:sz w:val="20"/>
          <w:szCs w:val="20"/>
        </w:rPr>
        <w:t>合同管理</w:t>
      </w:r>
      <w:r>
        <w:rPr>
          <w:spacing w:val="23"/>
          <w:sz w:val="20"/>
          <w:szCs w:val="20"/>
        </w:rPr>
        <w:t xml:space="preserve"> </w:t>
      </w:r>
      <w:r>
        <w:rPr>
          <w:position w:val="-13"/>
          <w:sz w:val="20"/>
          <w:szCs w:val="20"/>
        </w:rPr>
        <w:drawing>
          <wp:inline distT="0" distB="0" distL="0" distR="0">
            <wp:extent cx="316865" cy="24701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99"/>
                    <a:stretch>
                      <a:fillRect/>
                    </a:stretch>
                  </pic:blipFill>
                  <pic:spPr>
                    <a:xfrm>
                      <a:off x="0" y="0"/>
                      <a:ext cx="317494" cy="247639"/>
                    </a:xfrm>
                    <a:prstGeom prst="rect">
                      <a:avLst/>
                    </a:prstGeom>
                  </pic:spPr>
                </pic:pic>
              </a:graphicData>
            </a:graphic>
          </wp:inline>
        </w:drawing>
      </w:r>
      <w:r>
        <w:rPr>
          <w:rFonts w:ascii="Times New Roman" w:hAnsi="Times New Roman" w:eastAsia="Times New Roman" w:cs="Times New Roman"/>
          <w:spacing w:val="-1"/>
          <w:sz w:val="20"/>
          <w:szCs w:val="20"/>
        </w:rPr>
        <w:t>299</w:t>
      </w:r>
    </w:p>
    <w:p w14:paraId="071535B1">
      <w:pPr>
        <w:pStyle w:val="2"/>
        <w:spacing w:before="298" w:line="219" w:lineRule="auto"/>
        <w:rPr>
          <w:sz w:val="20"/>
          <w:szCs w:val="20"/>
        </w:rPr>
      </w:pPr>
      <w:r>
        <w:rPr>
          <w:spacing w:val="-4"/>
          <w:sz w:val="20"/>
          <w:szCs w:val="20"/>
        </w:rPr>
        <w:t>各方的权利与义务。</w:t>
      </w:r>
    </w:p>
    <w:p w14:paraId="44C011AD">
      <w:pPr>
        <w:pStyle w:val="2"/>
        <w:spacing w:before="168" w:line="222" w:lineRule="auto"/>
        <w:ind w:left="402"/>
        <w:rPr>
          <w:rFonts w:ascii="黑体" w:hAnsi="黑体" w:eastAsia="黑体" w:cs="黑体"/>
          <w:sz w:val="20"/>
          <w:szCs w:val="20"/>
        </w:rPr>
      </w:pPr>
      <w:r>
        <w:rPr>
          <w:b/>
          <w:bCs/>
          <w:color w:val="006BD6"/>
          <w:spacing w:val="-2"/>
          <w:sz w:val="20"/>
          <w:szCs w:val="20"/>
        </w:rPr>
        <w:t>3.</w:t>
      </w:r>
      <w:r>
        <w:rPr>
          <w:rFonts w:ascii="黑体" w:hAnsi="黑体" w:eastAsia="黑体" w:cs="黑体"/>
          <w:b/>
          <w:bCs/>
          <w:color w:val="006BD6"/>
          <w:spacing w:val="-2"/>
          <w:sz w:val="20"/>
          <w:szCs w:val="20"/>
        </w:rPr>
        <w:t>确立监理工作依据</w:t>
      </w:r>
    </w:p>
    <w:p w14:paraId="653188C2">
      <w:pPr>
        <w:pStyle w:val="2"/>
        <w:spacing w:before="142" w:line="283" w:lineRule="auto"/>
        <w:ind w:right="315" w:firstLine="400"/>
        <w:rPr>
          <w:sz w:val="20"/>
          <w:szCs w:val="20"/>
        </w:rPr>
      </w:pPr>
      <w:r>
        <w:rPr>
          <w:spacing w:val="3"/>
          <w:sz w:val="20"/>
          <w:szCs w:val="20"/>
        </w:rPr>
        <w:t>信息系统工程合同是监理工作的基本依据。依据合同可以对工程的进度、质量和投资等实</w:t>
      </w:r>
      <w:r>
        <w:rPr>
          <w:spacing w:val="11"/>
          <w:sz w:val="20"/>
          <w:szCs w:val="20"/>
        </w:rPr>
        <w:t xml:space="preserve"> </w:t>
      </w:r>
      <w:r>
        <w:rPr>
          <w:spacing w:val="-5"/>
          <w:sz w:val="20"/>
          <w:szCs w:val="20"/>
        </w:rPr>
        <w:t>施管理和控制。</w:t>
      </w:r>
    </w:p>
    <w:p w14:paraId="33C2220F">
      <w:pPr>
        <w:pStyle w:val="2"/>
        <w:spacing w:before="177" w:line="219" w:lineRule="auto"/>
        <w:ind w:left="2"/>
        <w:rPr>
          <w:sz w:val="25"/>
          <w:szCs w:val="25"/>
        </w:rPr>
      </w:pPr>
      <w:r>
        <w:rPr>
          <w:b/>
          <w:bCs/>
          <w:color w:val="0064D7"/>
          <w:spacing w:val="-17"/>
          <w:sz w:val="25"/>
          <w:szCs w:val="25"/>
        </w:rPr>
        <w:t>13.1.4</w:t>
      </w:r>
      <w:r>
        <w:rPr>
          <w:color w:val="0064D7"/>
          <w:spacing w:val="112"/>
          <w:sz w:val="25"/>
          <w:szCs w:val="25"/>
        </w:rPr>
        <w:t xml:space="preserve"> </w:t>
      </w:r>
      <w:r>
        <w:rPr>
          <w:b/>
          <w:bCs/>
          <w:color w:val="0064D7"/>
          <w:spacing w:val="-17"/>
          <w:sz w:val="25"/>
          <w:szCs w:val="25"/>
        </w:rPr>
        <w:t>信息系统工程合同的主要内容</w:t>
      </w:r>
    </w:p>
    <w:p w14:paraId="4B8B4B2C">
      <w:pPr>
        <w:pStyle w:val="2"/>
        <w:spacing w:before="280" w:line="221" w:lineRule="auto"/>
        <w:ind w:left="402"/>
        <w:rPr>
          <w:rFonts w:ascii="黑体" w:hAnsi="黑体" w:eastAsia="黑体" w:cs="黑体"/>
          <w:sz w:val="20"/>
          <w:szCs w:val="20"/>
        </w:rPr>
      </w:pPr>
      <w:r>
        <w:rPr>
          <w:b/>
          <w:bCs/>
          <w:color w:val="006AD4"/>
          <w:spacing w:val="-4"/>
          <w:sz w:val="20"/>
          <w:szCs w:val="20"/>
        </w:rPr>
        <w:t>1.</w:t>
      </w:r>
      <w:r>
        <w:rPr>
          <w:rFonts w:ascii="黑体" w:hAnsi="黑体" w:eastAsia="黑体" w:cs="黑体"/>
          <w:b/>
          <w:bCs/>
          <w:color w:val="006AD4"/>
          <w:spacing w:val="-4"/>
          <w:sz w:val="20"/>
          <w:szCs w:val="20"/>
        </w:rPr>
        <w:t>信息系统工程的特点</w:t>
      </w:r>
    </w:p>
    <w:p w14:paraId="7D97999C">
      <w:pPr>
        <w:pStyle w:val="2"/>
        <w:spacing w:before="122" w:line="281" w:lineRule="auto"/>
        <w:ind w:right="316" w:firstLine="400"/>
        <w:jc w:val="both"/>
        <w:rPr>
          <w:sz w:val="20"/>
          <w:szCs w:val="20"/>
        </w:rPr>
      </w:pPr>
      <w:r>
        <w:rPr>
          <w:spacing w:val="3"/>
          <w:sz w:val="20"/>
          <w:szCs w:val="20"/>
        </w:rPr>
        <w:t>信息系统工程依托于信息技术的广泛应用，而信息技术本身又具备了发展速度快、更新周</w:t>
      </w:r>
      <w:r>
        <w:rPr>
          <w:spacing w:val="5"/>
          <w:sz w:val="20"/>
          <w:szCs w:val="20"/>
        </w:rPr>
        <w:t xml:space="preserve"> </w:t>
      </w:r>
      <w:r>
        <w:rPr>
          <w:spacing w:val="3"/>
          <w:sz w:val="20"/>
          <w:szCs w:val="20"/>
        </w:rPr>
        <w:t>期短、变化频次高等特点，与传统的民用建筑工程、工业建筑工程、基础设施建设工程等传统</w:t>
      </w:r>
      <w:r>
        <w:rPr>
          <w:spacing w:val="5"/>
          <w:sz w:val="20"/>
          <w:szCs w:val="20"/>
        </w:rPr>
        <w:t xml:space="preserve"> </w:t>
      </w:r>
      <w:r>
        <w:rPr>
          <w:spacing w:val="3"/>
          <w:sz w:val="20"/>
          <w:szCs w:val="20"/>
        </w:rPr>
        <w:t>工程相比，信息系统工程还是处在不断发展中的新兴行业，有着不同于其他工程建设的诸多特</w:t>
      </w:r>
      <w:r>
        <w:rPr>
          <w:spacing w:val="2"/>
          <w:sz w:val="20"/>
          <w:szCs w:val="20"/>
        </w:rPr>
        <w:t xml:space="preserve"> </w:t>
      </w:r>
      <w:r>
        <w:rPr>
          <w:spacing w:val="-8"/>
          <w:sz w:val="20"/>
          <w:szCs w:val="20"/>
        </w:rPr>
        <w:t>点。具体包括：</w:t>
      </w:r>
    </w:p>
    <w:p w14:paraId="432459FB">
      <w:pPr>
        <w:pStyle w:val="2"/>
        <w:spacing w:before="55" w:line="219" w:lineRule="auto"/>
        <w:ind w:left="400"/>
        <w:rPr>
          <w:sz w:val="20"/>
          <w:szCs w:val="20"/>
        </w:rPr>
      </w:pPr>
      <w:r>
        <w:rPr>
          <w:spacing w:val="2"/>
          <w:sz w:val="20"/>
          <w:szCs w:val="20"/>
        </w:rPr>
        <w:t>(1)通常投资额度较大、工期短；</w:t>
      </w:r>
    </w:p>
    <w:p w14:paraId="620254D3">
      <w:pPr>
        <w:pStyle w:val="2"/>
        <w:spacing w:before="82" w:line="219" w:lineRule="auto"/>
        <w:ind w:left="400"/>
        <w:rPr>
          <w:sz w:val="20"/>
          <w:szCs w:val="20"/>
        </w:rPr>
      </w:pPr>
      <w:r>
        <w:rPr>
          <w:spacing w:val="1"/>
          <w:sz w:val="20"/>
          <w:szCs w:val="20"/>
        </w:rPr>
        <w:t>(2)技术应用不可预见成分多，风险管控难度较大；</w:t>
      </w:r>
    </w:p>
    <w:p w14:paraId="2D22A184">
      <w:pPr>
        <w:pStyle w:val="2"/>
        <w:spacing w:before="73" w:line="219" w:lineRule="auto"/>
        <w:ind w:left="400"/>
        <w:rPr>
          <w:sz w:val="20"/>
          <w:szCs w:val="20"/>
        </w:rPr>
      </w:pPr>
      <w:r>
        <w:rPr>
          <w:spacing w:val="1"/>
          <w:sz w:val="20"/>
          <w:szCs w:val="20"/>
        </w:rPr>
        <w:t>(3)技术含量高，属于智力、知识密集型产业；</w:t>
      </w:r>
    </w:p>
    <w:p w14:paraId="6F355DCB">
      <w:pPr>
        <w:pStyle w:val="2"/>
        <w:spacing w:before="71" w:line="219" w:lineRule="auto"/>
        <w:ind w:left="400"/>
        <w:rPr>
          <w:sz w:val="20"/>
          <w:szCs w:val="20"/>
        </w:rPr>
      </w:pPr>
      <w:r>
        <w:rPr>
          <w:spacing w:val="1"/>
          <w:sz w:val="20"/>
          <w:szCs w:val="20"/>
        </w:rPr>
        <w:t>(4)处于发展中的高科技领域，高新技术发展迅速；</w:t>
      </w:r>
    </w:p>
    <w:p w14:paraId="14E5D723">
      <w:pPr>
        <w:pStyle w:val="2"/>
        <w:spacing w:before="84" w:line="219" w:lineRule="auto"/>
        <w:ind w:left="400"/>
        <w:rPr>
          <w:sz w:val="20"/>
          <w:szCs w:val="20"/>
        </w:rPr>
      </w:pPr>
      <w:r>
        <w:rPr>
          <w:spacing w:val="1"/>
          <w:sz w:val="20"/>
          <w:szCs w:val="20"/>
        </w:rPr>
        <w:t>(5)就技术的继承程度而言，创新成分多，新开发的工作量大；</w:t>
      </w:r>
    </w:p>
    <w:p w14:paraId="2EC989EB">
      <w:pPr>
        <w:pStyle w:val="2"/>
        <w:spacing w:before="73" w:line="219" w:lineRule="auto"/>
        <w:ind w:left="400"/>
        <w:rPr>
          <w:sz w:val="20"/>
          <w:szCs w:val="20"/>
        </w:rPr>
      </w:pPr>
      <w:r>
        <w:rPr>
          <w:spacing w:val="1"/>
          <w:sz w:val="20"/>
          <w:szCs w:val="20"/>
        </w:rPr>
        <w:t>(6)工程类型广泛，涉及国民经济的各行各业；</w:t>
      </w:r>
    </w:p>
    <w:p w14:paraId="6A2301C0">
      <w:pPr>
        <w:pStyle w:val="2"/>
        <w:spacing w:before="93" w:line="219" w:lineRule="auto"/>
        <w:ind w:left="400"/>
        <w:rPr>
          <w:sz w:val="20"/>
          <w:szCs w:val="20"/>
        </w:rPr>
      </w:pPr>
      <w:r>
        <w:rPr>
          <w:spacing w:val="3"/>
          <w:sz w:val="20"/>
          <w:szCs w:val="20"/>
        </w:rPr>
        <w:t>(7)需要多种技术领域的综合与交叉应用；</w:t>
      </w:r>
      <w:r>
        <w:rPr>
          <w:spacing w:val="2"/>
          <w:sz w:val="20"/>
          <w:szCs w:val="20"/>
        </w:rPr>
        <w:t>公众号：项目管理课堂</w:t>
      </w:r>
    </w:p>
    <w:p w14:paraId="04376BE4">
      <w:pPr>
        <w:pStyle w:val="2"/>
        <w:spacing w:before="63" w:line="219" w:lineRule="auto"/>
        <w:ind w:left="400"/>
        <w:rPr>
          <w:sz w:val="20"/>
          <w:szCs w:val="20"/>
        </w:rPr>
      </w:pPr>
      <w:r>
        <w:rPr>
          <w:spacing w:val="2"/>
          <w:sz w:val="20"/>
          <w:szCs w:val="20"/>
        </w:rPr>
        <w:t>(8)用户需求易随形势发展而急速变化，甚至有许</w:t>
      </w:r>
      <w:r>
        <w:rPr>
          <w:spacing w:val="1"/>
          <w:sz w:val="20"/>
          <w:szCs w:val="20"/>
        </w:rPr>
        <w:t>多要求超过新技术的发展。</w:t>
      </w:r>
    </w:p>
    <w:p w14:paraId="6E54ED78">
      <w:pPr>
        <w:pStyle w:val="2"/>
        <w:spacing w:before="158" w:line="221" w:lineRule="auto"/>
        <w:ind w:left="402"/>
        <w:rPr>
          <w:rFonts w:ascii="黑体" w:hAnsi="黑体" w:eastAsia="黑体" w:cs="黑体"/>
          <w:sz w:val="20"/>
          <w:szCs w:val="20"/>
        </w:rPr>
      </w:pPr>
      <w:r>
        <w:rPr>
          <w:b/>
          <w:bCs/>
          <w:color w:val="006EDD"/>
          <w:spacing w:val="-2"/>
          <w:sz w:val="20"/>
          <w:szCs w:val="20"/>
        </w:rPr>
        <w:t>2.</w:t>
      </w:r>
      <w:r>
        <w:rPr>
          <w:rFonts w:ascii="黑体" w:hAnsi="黑体" w:eastAsia="黑体" w:cs="黑体"/>
          <w:b/>
          <w:bCs/>
          <w:color w:val="006EDD"/>
          <w:spacing w:val="-2"/>
          <w:sz w:val="20"/>
          <w:szCs w:val="20"/>
        </w:rPr>
        <w:t>信息系统工程合同的内容</w:t>
      </w:r>
    </w:p>
    <w:p w14:paraId="7B09AFF1">
      <w:pPr>
        <w:pStyle w:val="2"/>
        <w:spacing w:before="124" w:line="286" w:lineRule="auto"/>
        <w:ind w:right="315" w:firstLine="400"/>
        <w:rPr>
          <w:sz w:val="20"/>
          <w:szCs w:val="20"/>
        </w:rPr>
      </w:pPr>
      <w:r>
        <w:rPr>
          <w:spacing w:val="3"/>
          <w:sz w:val="20"/>
          <w:szCs w:val="20"/>
        </w:rPr>
        <w:t>信息系统工程的特点决定了信息系统工程合同的内容较多，涉及工程设计、产品采购、实</w:t>
      </w:r>
      <w:r>
        <w:rPr>
          <w:spacing w:val="11"/>
          <w:sz w:val="20"/>
          <w:szCs w:val="20"/>
        </w:rPr>
        <w:t xml:space="preserve"> </w:t>
      </w:r>
      <w:r>
        <w:rPr>
          <w:spacing w:val="-2"/>
          <w:sz w:val="20"/>
          <w:szCs w:val="20"/>
        </w:rPr>
        <w:t>施等多个方面。信息系统工程合同主要包括如下内容：</w:t>
      </w:r>
    </w:p>
    <w:p w14:paraId="17AC39ED">
      <w:pPr>
        <w:pStyle w:val="2"/>
        <w:spacing w:before="2" w:line="263" w:lineRule="auto"/>
        <w:ind w:right="129" w:firstLine="400"/>
        <w:rPr>
          <w:sz w:val="20"/>
          <w:szCs w:val="20"/>
        </w:rPr>
      </w:pPr>
      <w:r>
        <w:rPr>
          <w:spacing w:val="5"/>
          <w:sz w:val="20"/>
          <w:szCs w:val="20"/>
        </w:rPr>
        <w:t>(1)业主单位与承建单位的权利与义务是合同的基本内容。为体现公平、公正，合同双方</w:t>
      </w:r>
      <w:r>
        <w:rPr>
          <w:spacing w:val="2"/>
          <w:sz w:val="20"/>
          <w:szCs w:val="20"/>
        </w:rPr>
        <w:t xml:space="preserve">   </w:t>
      </w:r>
      <w:r>
        <w:rPr>
          <w:spacing w:val="3"/>
          <w:sz w:val="20"/>
          <w:szCs w:val="20"/>
        </w:rPr>
        <w:t>的权利与义务应该是对等的，也是相互呼应的。绝不应该使合同成为明</w:t>
      </w:r>
      <w:r>
        <w:rPr>
          <w:spacing w:val="2"/>
          <w:sz w:val="20"/>
          <w:szCs w:val="20"/>
        </w:rPr>
        <w:t>显偏向一方的“不平等”</w:t>
      </w:r>
      <w:r>
        <w:rPr>
          <w:sz w:val="20"/>
          <w:szCs w:val="20"/>
        </w:rPr>
        <w:t xml:space="preserve"> </w:t>
      </w:r>
      <w:r>
        <w:rPr>
          <w:spacing w:val="-4"/>
          <w:sz w:val="20"/>
          <w:szCs w:val="20"/>
        </w:rPr>
        <w:t>合同，或“霸王”合同。</w:t>
      </w:r>
    </w:p>
    <w:p w14:paraId="7F962CDD">
      <w:pPr>
        <w:pStyle w:val="2"/>
        <w:spacing w:before="66" w:line="256" w:lineRule="auto"/>
        <w:ind w:right="314" w:firstLine="400"/>
        <w:rPr>
          <w:sz w:val="20"/>
          <w:szCs w:val="20"/>
        </w:rPr>
      </w:pPr>
      <w:r>
        <w:rPr>
          <w:spacing w:val="6"/>
          <w:sz w:val="20"/>
          <w:szCs w:val="20"/>
        </w:rPr>
        <w:t>(2)业主单位提交有关基础资料的期限。这是业主单位提交有关</w:t>
      </w:r>
      <w:r>
        <w:rPr>
          <w:spacing w:val="5"/>
          <w:sz w:val="20"/>
          <w:szCs w:val="20"/>
        </w:rPr>
        <w:t>资料在时间上的要求。工</w:t>
      </w:r>
      <w:r>
        <w:rPr>
          <w:sz w:val="20"/>
          <w:szCs w:val="20"/>
        </w:rPr>
        <w:t xml:space="preserve"> </w:t>
      </w:r>
      <w:r>
        <w:rPr>
          <w:spacing w:val="-1"/>
          <w:sz w:val="20"/>
          <w:szCs w:val="20"/>
        </w:rPr>
        <w:t>程设计的基础资料是指承建单位进行设计工作所依据的基础文件</w:t>
      </w:r>
      <w:r>
        <w:rPr>
          <w:spacing w:val="-2"/>
          <w:sz w:val="20"/>
          <w:szCs w:val="20"/>
        </w:rPr>
        <w:t>和情况。</w:t>
      </w:r>
    </w:p>
    <w:p w14:paraId="11B2A2F1">
      <w:pPr>
        <w:pStyle w:val="2"/>
        <w:spacing w:before="63" w:line="270" w:lineRule="auto"/>
        <w:ind w:right="310" w:firstLine="400"/>
        <w:rPr>
          <w:sz w:val="20"/>
          <w:szCs w:val="20"/>
        </w:rPr>
      </w:pPr>
      <w:r>
        <w:rPr>
          <w:spacing w:val="6"/>
          <w:sz w:val="20"/>
          <w:szCs w:val="20"/>
        </w:rPr>
        <w:t>(3)项目的质量要求和验收标准。项目的质量要求十分重要，是判断项目成</w:t>
      </w:r>
      <w:r>
        <w:rPr>
          <w:spacing w:val="5"/>
          <w:sz w:val="20"/>
          <w:szCs w:val="20"/>
        </w:rPr>
        <w:t>果是否合格的</w:t>
      </w:r>
      <w:r>
        <w:rPr>
          <w:sz w:val="20"/>
          <w:szCs w:val="20"/>
        </w:rPr>
        <w:t xml:space="preserve"> </w:t>
      </w:r>
      <w:r>
        <w:rPr>
          <w:spacing w:val="3"/>
          <w:sz w:val="20"/>
          <w:szCs w:val="20"/>
        </w:rPr>
        <w:t>重要依据，也是确定承建单位工作责任的必要前提，更是监理工作的主要依据。因此，质量要</w:t>
      </w:r>
      <w:r>
        <w:rPr>
          <w:spacing w:val="5"/>
          <w:sz w:val="20"/>
          <w:szCs w:val="20"/>
        </w:rPr>
        <w:t xml:space="preserve"> </w:t>
      </w:r>
      <w:r>
        <w:rPr>
          <w:spacing w:val="3"/>
          <w:sz w:val="20"/>
          <w:szCs w:val="20"/>
        </w:rPr>
        <w:t>求或验收标准条款应准确细致地描述项目的整体质量和各部分质量，必要时可以用明确的技术</w:t>
      </w:r>
      <w:r>
        <w:rPr>
          <w:spacing w:val="5"/>
          <w:sz w:val="20"/>
          <w:szCs w:val="20"/>
        </w:rPr>
        <w:t xml:space="preserve"> </w:t>
      </w:r>
      <w:r>
        <w:rPr>
          <w:spacing w:val="-5"/>
          <w:sz w:val="20"/>
          <w:szCs w:val="20"/>
        </w:rPr>
        <w:t>指标进行限定。</w:t>
      </w:r>
    </w:p>
    <w:p w14:paraId="0E4FD354">
      <w:pPr>
        <w:pStyle w:val="2"/>
        <w:spacing w:before="62" w:line="269" w:lineRule="auto"/>
        <w:ind w:right="245" w:firstLine="400"/>
        <w:rPr>
          <w:sz w:val="20"/>
          <w:szCs w:val="20"/>
        </w:rPr>
      </w:pPr>
      <w:r>
        <w:rPr>
          <w:spacing w:val="6"/>
          <w:sz w:val="20"/>
          <w:szCs w:val="20"/>
        </w:rPr>
        <w:t>(4)承建单位提交各阶段项目成果的期限。各阶段项目成果指承</w:t>
      </w:r>
      <w:r>
        <w:rPr>
          <w:spacing w:val="5"/>
          <w:sz w:val="20"/>
          <w:szCs w:val="20"/>
        </w:rPr>
        <w:t>建单位在项目过程中逐步</w:t>
      </w:r>
      <w:r>
        <w:rPr>
          <w:sz w:val="20"/>
          <w:szCs w:val="20"/>
        </w:rPr>
        <w:t xml:space="preserve"> </w:t>
      </w:r>
      <w:r>
        <w:rPr>
          <w:spacing w:val="2"/>
          <w:sz w:val="20"/>
          <w:szCs w:val="20"/>
        </w:rPr>
        <w:t>提交的、体现项目成绩的可交付物和最后的成果，包括设计方案、实施方案、项目实体(网络、</w:t>
      </w:r>
      <w:r>
        <w:rPr>
          <w:spacing w:val="15"/>
          <w:sz w:val="20"/>
          <w:szCs w:val="20"/>
        </w:rPr>
        <w:t xml:space="preserve"> </w:t>
      </w:r>
      <w:r>
        <w:rPr>
          <w:spacing w:val="5"/>
          <w:sz w:val="20"/>
          <w:szCs w:val="20"/>
        </w:rPr>
        <w:t>安装调试好的设备等)、软件(代码和资料等)、软件开发过程中的设计文档等。应选取里程碑</w:t>
      </w:r>
      <w:r>
        <w:rPr>
          <w:spacing w:val="18"/>
          <w:sz w:val="20"/>
          <w:szCs w:val="20"/>
        </w:rPr>
        <w:t xml:space="preserve"> </w:t>
      </w:r>
      <w:r>
        <w:rPr>
          <w:spacing w:val="3"/>
          <w:sz w:val="20"/>
          <w:szCs w:val="20"/>
        </w:rPr>
        <w:t>式的项目成果交付期限，并在一定程度上把成果和付款计划联系起来，这样方便双方了解和控</w:t>
      </w:r>
    </w:p>
    <w:p w14:paraId="5E1A794C">
      <w:pPr>
        <w:spacing w:line="269" w:lineRule="auto"/>
        <w:rPr>
          <w:sz w:val="20"/>
          <w:szCs w:val="20"/>
        </w:rPr>
        <w:sectPr>
          <w:pgSz w:w="10290" w:h="13310"/>
          <w:pgMar w:top="389" w:right="474" w:bottom="400" w:left="1169" w:header="0" w:footer="0" w:gutter="0"/>
          <w:cols w:space="720" w:num="1"/>
        </w:sectPr>
      </w:pPr>
    </w:p>
    <w:p w14:paraId="5E8D5705">
      <w:pPr>
        <w:pStyle w:val="2"/>
        <w:spacing w:before="77" w:line="219" w:lineRule="auto"/>
        <w:rPr>
          <w:sz w:val="19"/>
          <w:szCs w:val="19"/>
        </w:rPr>
      </w:pPr>
      <w:r>
        <w:rPr>
          <w:rFonts w:ascii="Times New Roman" w:hAnsi="Times New Roman" w:eastAsia="Times New Roman" w:cs="Times New Roman"/>
          <w:spacing w:val="5"/>
          <w:sz w:val="19"/>
          <w:szCs w:val="19"/>
        </w:rPr>
        <w:t>300</w:t>
      </w:r>
      <w:r>
        <w:rPr>
          <w:rFonts w:ascii="Times New Roman" w:hAnsi="Times New Roman" w:eastAsia="Times New Roman" w:cs="Times New Roman"/>
          <w:spacing w:val="1"/>
          <w:sz w:val="19"/>
          <w:szCs w:val="19"/>
        </w:rPr>
        <w:t xml:space="preserve">              </w:t>
      </w:r>
      <w:r>
        <w:rPr>
          <w:spacing w:val="5"/>
          <w:sz w:val="19"/>
          <w:szCs w:val="19"/>
        </w:rPr>
        <w:t>信息系统监理师教程(第2版)</w:t>
      </w:r>
    </w:p>
    <w:p w14:paraId="7B9D7C2A">
      <w:pPr>
        <w:spacing w:line="340" w:lineRule="auto"/>
        <w:rPr>
          <w:rFonts w:ascii="Arial"/>
          <w:sz w:val="21"/>
        </w:rPr>
      </w:pPr>
    </w:p>
    <w:p w14:paraId="0D6BBD8F">
      <w:pPr>
        <w:pStyle w:val="2"/>
        <w:spacing w:before="62" w:line="219" w:lineRule="auto"/>
        <w:ind w:left="330"/>
        <w:rPr>
          <w:sz w:val="19"/>
          <w:szCs w:val="19"/>
        </w:rPr>
      </w:pPr>
      <w:r>
        <w:rPr>
          <w:spacing w:val="7"/>
          <w:sz w:val="19"/>
          <w:szCs w:val="19"/>
        </w:rPr>
        <w:t>制项目的进展情况，也利于监理开展合同管理。</w:t>
      </w:r>
    </w:p>
    <w:p w14:paraId="0CD8731B">
      <w:pPr>
        <w:pStyle w:val="2"/>
        <w:spacing w:before="73" w:line="288" w:lineRule="auto"/>
        <w:ind w:left="330" w:right="27" w:firstLine="420"/>
        <w:rPr>
          <w:sz w:val="19"/>
          <w:szCs w:val="19"/>
        </w:rPr>
      </w:pPr>
      <w:r>
        <w:rPr>
          <w:spacing w:val="15"/>
          <w:sz w:val="19"/>
          <w:szCs w:val="19"/>
        </w:rPr>
        <w:t>(5)项目费用和项目款的交付方式。项目费用，即业主单位为本项目投入的资金情况，分</w:t>
      </w:r>
      <w:r>
        <w:rPr>
          <w:spacing w:val="2"/>
          <w:sz w:val="19"/>
          <w:szCs w:val="19"/>
        </w:rPr>
        <w:t xml:space="preserve"> </w:t>
      </w:r>
      <w:r>
        <w:rPr>
          <w:spacing w:val="13"/>
          <w:sz w:val="19"/>
          <w:szCs w:val="19"/>
        </w:rPr>
        <w:t>总体费用和分项费用。分项费用指项目费用按用途划分出来的不同部分，它在一定程度上</w:t>
      </w:r>
      <w:r>
        <w:rPr>
          <w:spacing w:val="12"/>
          <w:sz w:val="19"/>
          <w:szCs w:val="19"/>
        </w:rPr>
        <w:t>规定</w:t>
      </w:r>
      <w:r>
        <w:rPr>
          <w:sz w:val="19"/>
          <w:szCs w:val="19"/>
        </w:rPr>
        <w:t xml:space="preserve"> </w:t>
      </w:r>
      <w:r>
        <w:rPr>
          <w:spacing w:val="12"/>
          <w:sz w:val="19"/>
          <w:szCs w:val="19"/>
        </w:rPr>
        <w:t>了承建单位的项目花费。例如设备采购费、材料费、设计费、软件开发费等。项目款的交付方</w:t>
      </w:r>
      <w:r>
        <w:rPr>
          <w:spacing w:val="14"/>
          <w:sz w:val="19"/>
          <w:szCs w:val="19"/>
        </w:rPr>
        <w:t xml:space="preserve"> </w:t>
      </w:r>
      <w:r>
        <w:rPr>
          <w:spacing w:val="8"/>
          <w:sz w:val="19"/>
          <w:szCs w:val="19"/>
        </w:rPr>
        <w:t>式一般采用分期交付，即以某一阶段的成果交付为标志，按一定比例交付项目款。</w:t>
      </w:r>
    </w:p>
    <w:p w14:paraId="36EFC3FD">
      <w:pPr>
        <w:pStyle w:val="2"/>
        <w:spacing w:before="76" w:line="285" w:lineRule="auto"/>
        <w:ind w:left="330" w:right="1" w:firstLine="420"/>
        <w:rPr>
          <w:sz w:val="19"/>
          <w:szCs w:val="19"/>
        </w:rPr>
      </w:pPr>
      <w:r>
        <w:rPr>
          <w:spacing w:val="15"/>
          <w:sz w:val="19"/>
          <w:szCs w:val="19"/>
        </w:rPr>
        <w:t>(6)知识产权归属。对于信息系统工程建设过程</w:t>
      </w:r>
      <w:r>
        <w:rPr>
          <w:spacing w:val="14"/>
          <w:sz w:val="19"/>
          <w:szCs w:val="19"/>
        </w:rPr>
        <w:t>中可能产生的知识产权，特别是委托开发</w:t>
      </w:r>
      <w:r>
        <w:rPr>
          <w:sz w:val="19"/>
          <w:szCs w:val="19"/>
        </w:rPr>
        <w:t xml:space="preserve"> </w:t>
      </w:r>
      <w:r>
        <w:rPr>
          <w:spacing w:val="13"/>
          <w:sz w:val="19"/>
          <w:szCs w:val="19"/>
        </w:rPr>
        <w:t>或者共同开发所产生的专利、软件著作权或技术秘密等，应在合同中事先约定其归属，以及相</w:t>
      </w:r>
      <w:r>
        <w:rPr>
          <w:spacing w:val="1"/>
          <w:sz w:val="19"/>
          <w:szCs w:val="19"/>
        </w:rPr>
        <w:t xml:space="preserve"> </w:t>
      </w:r>
      <w:r>
        <w:rPr>
          <w:spacing w:val="14"/>
          <w:sz w:val="19"/>
          <w:szCs w:val="19"/>
        </w:rPr>
        <w:t>关权益处理方式，包括使用权、转让权以及收益的分配办法等。需要注意的是，民法典规定：</w:t>
      </w:r>
      <w:r>
        <w:rPr>
          <w:sz w:val="19"/>
          <w:szCs w:val="19"/>
        </w:rPr>
        <w:t xml:space="preserve"> </w:t>
      </w:r>
      <w:r>
        <w:rPr>
          <w:spacing w:val="13"/>
          <w:sz w:val="19"/>
          <w:szCs w:val="19"/>
        </w:rPr>
        <w:t>出卖具有知识产权的标的物的，除法律另有规定或者当事人另有约定外，该标</w:t>
      </w:r>
      <w:r>
        <w:rPr>
          <w:spacing w:val="12"/>
          <w:sz w:val="19"/>
          <w:szCs w:val="19"/>
        </w:rPr>
        <w:t>的物的知识产权</w:t>
      </w:r>
      <w:r>
        <w:rPr>
          <w:sz w:val="19"/>
          <w:szCs w:val="19"/>
        </w:rPr>
        <w:t xml:space="preserve"> </w:t>
      </w:r>
      <w:r>
        <w:rPr>
          <w:spacing w:val="6"/>
          <w:sz w:val="19"/>
          <w:szCs w:val="19"/>
        </w:rPr>
        <w:t>不属于买受人。</w:t>
      </w:r>
    </w:p>
    <w:p w14:paraId="1E3A9B00">
      <w:pPr>
        <w:pStyle w:val="2"/>
        <w:spacing w:before="114" w:line="280" w:lineRule="auto"/>
        <w:ind w:left="330" w:right="40" w:firstLine="420"/>
        <w:rPr>
          <w:sz w:val="19"/>
          <w:szCs w:val="19"/>
        </w:rPr>
      </w:pPr>
      <w:r>
        <w:rPr>
          <w:spacing w:val="15"/>
          <w:sz w:val="19"/>
          <w:szCs w:val="19"/>
        </w:rPr>
        <w:t>(7)项目变更的约定。项目变更的范围应包括资金、需求、期限</w:t>
      </w:r>
      <w:r>
        <w:rPr>
          <w:spacing w:val="14"/>
          <w:sz w:val="19"/>
          <w:szCs w:val="19"/>
        </w:rPr>
        <w:t>、合同等变更，对变更的</w:t>
      </w:r>
      <w:r>
        <w:rPr>
          <w:sz w:val="19"/>
          <w:szCs w:val="19"/>
        </w:rPr>
        <w:t xml:space="preserve"> </w:t>
      </w:r>
      <w:r>
        <w:rPr>
          <w:spacing w:val="13"/>
          <w:sz w:val="19"/>
          <w:szCs w:val="19"/>
        </w:rPr>
        <w:t>范围进行约定，并明确每一种变更以何种方式何种程序处理。对范围外的变更，可注</w:t>
      </w:r>
      <w:r>
        <w:rPr>
          <w:spacing w:val="12"/>
          <w:sz w:val="19"/>
          <w:szCs w:val="19"/>
        </w:rPr>
        <w:t>明另行协</w:t>
      </w:r>
      <w:r>
        <w:rPr>
          <w:sz w:val="19"/>
          <w:szCs w:val="19"/>
        </w:rPr>
        <w:t xml:space="preserve"> </w:t>
      </w:r>
      <w:r>
        <w:rPr>
          <w:spacing w:val="5"/>
          <w:sz w:val="19"/>
          <w:szCs w:val="19"/>
        </w:rPr>
        <w:t>商并再补签合同或协议。</w:t>
      </w:r>
    </w:p>
    <w:p w14:paraId="723F2E5A">
      <w:pPr>
        <w:pStyle w:val="2"/>
        <w:spacing w:before="74" w:line="281" w:lineRule="auto"/>
        <w:ind w:left="330" w:right="46" w:firstLine="420"/>
        <w:rPr>
          <w:sz w:val="19"/>
          <w:szCs w:val="19"/>
        </w:rPr>
      </w:pPr>
      <w:r>
        <w:rPr>
          <w:spacing w:val="15"/>
          <w:sz w:val="19"/>
          <w:szCs w:val="19"/>
        </w:rPr>
        <w:t>(8)双方的其他协作条件。其他协作条件是指双方</w:t>
      </w:r>
      <w:r>
        <w:rPr>
          <w:spacing w:val="14"/>
          <w:sz w:val="19"/>
          <w:szCs w:val="19"/>
        </w:rPr>
        <w:t>当事人为了保证项目顺利完成应当履行</w:t>
      </w:r>
      <w:r>
        <w:rPr>
          <w:sz w:val="19"/>
          <w:szCs w:val="19"/>
        </w:rPr>
        <w:t xml:space="preserve"> </w:t>
      </w:r>
      <w:r>
        <w:rPr>
          <w:spacing w:val="12"/>
          <w:sz w:val="19"/>
          <w:szCs w:val="19"/>
        </w:rPr>
        <w:t>的相互协作义务。业主单位的主要协作义务是提供必要的工作条件和生活条件，以保证承建单</w:t>
      </w:r>
      <w:r>
        <w:rPr>
          <w:spacing w:val="15"/>
          <w:sz w:val="19"/>
          <w:szCs w:val="19"/>
        </w:rPr>
        <w:t xml:space="preserve"> </w:t>
      </w:r>
      <w:r>
        <w:rPr>
          <w:spacing w:val="13"/>
          <w:sz w:val="19"/>
          <w:szCs w:val="19"/>
        </w:rPr>
        <w:t>位正常开展工作。承建单位的主要协作义务是合理安排项目计划并严格执行，在</w:t>
      </w:r>
      <w:r>
        <w:rPr>
          <w:spacing w:val="12"/>
          <w:sz w:val="19"/>
          <w:szCs w:val="19"/>
        </w:rPr>
        <w:t>项目中尽量满</w:t>
      </w:r>
      <w:r>
        <w:rPr>
          <w:sz w:val="19"/>
          <w:szCs w:val="19"/>
        </w:rPr>
        <w:t xml:space="preserve"> </w:t>
      </w:r>
      <w:r>
        <w:rPr>
          <w:spacing w:val="4"/>
          <w:sz w:val="19"/>
          <w:szCs w:val="19"/>
        </w:rPr>
        <w:t>足业主单位的合理要求。</w:t>
      </w:r>
    </w:p>
    <w:p w14:paraId="3CCB72B8">
      <w:pPr>
        <w:pStyle w:val="2"/>
        <w:spacing w:before="113" w:line="219" w:lineRule="auto"/>
        <w:ind w:left="750"/>
        <w:rPr>
          <w:sz w:val="19"/>
          <w:szCs w:val="19"/>
        </w:rPr>
      </w:pPr>
      <w:r>
        <w:rPr>
          <w:spacing w:val="11"/>
          <w:sz w:val="19"/>
          <w:szCs w:val="19"/>
        </w:rPr>
        <w:t>(9)违约责任。合同当事人双方应当根据国家的有关规定约定双方的违约责任。</w:t>
      </w:r>
    </w:p>
    <w:p w14:paraId="2089B75A">
      <w:pPr>
        <w:pStyle w:val="2"/>
        <w:spacing w:before="73" w:line="297" w:lineRule="auto"/>
        <w:ind w:left="330" w:right="41" w:firstLine="420"/>
        <w:jc w:val="both"/>
        <w:rPr>
          <w:sz w:val="19"/>
          <w:szCs w:val="19"/>
        </w:rPr>
      </w:pPr>
      <w:r>
        <w:rPr>
          <w:spacing w:val="13"/>
          <w:sz w:val="19"/>
          <w:szCs w:val="19"/>
        </w:rPr>
        <w:t>信息系统工程建设不但对其本身的从业人员</w:t>
      </w:r>
      <w:r>
        <w:rPr>
          <w:spacing w:val="12"/>
          <w:sz w:val="19"/>
          <w:szCs w:val="19"/>
        </w:rPr>
        <w:t>的专业性要求高，而且对承担信息系统工程监</w:t>
      </w:r>
      <w:r>
        <w:rPr>
          <w:sz w:val="19"/>
          <w:szCs w:val="19"/>
        </w:rPr>
        <w:t xml:space="preserve"> </w:t>
      </w:r>
      <w:r>
        <w:rPr>
          <w:spacing w:val="13"/>
          <w:sz w:val="19"/>
          <w:szCs w:val="19"/>
        </w:rPr>
        <w:t>理工作的监理人员的专业技术水平也要求较高。他们不仅要具有丰富的实践经验和快</w:t>
      </w:r>
      <w:r>
        <w:rPr>
          <w:spacing w:val="12"/>
          <w:sz w:val="19"/>
          <w:szCs w:val="19"/>
        </w:rPr>
        <w:t>速掌握先</w:t>
      </w:r>
      <w:r>
        <w:rPr>
          <w:sz w:val="19"/>
          <w:szCs w:val="19"/>
        </w:rPr>
        <w:t xml:space="preserve"> </w:t>
      </w:r>
      <w:r>
        <w:rPr>
          <w:spacing w:val="13"/>
          <w:sz w:val="19"/>
          <w:szCs w:val="19"/>
        </w:rPr>
        <w:t>进技术的能力，还要知识面宽，通晓国家标准和行业规范。信息系统工程的合同管理有着</w:t>
      </w:r>
      <w:r>
        <w:rPr>
          <w:spacing w:val="12"/>
          <w:sz w:val="19"/>
          <w:szCs w:val="19"/>
        </w:rPr>
        <w:t>一定</w:t>
      </w:r>
      <w:r>
        <w:rPr>
          <w:sz w:val="19"/>
          <w:szCs w:val="19"/>
        </w:rPr>
        <w:t xml:space="preserve"> </w:t>
      </w:r>
      <w:r>
        <w:rPr>
          <w:spacing w:val="13"/>
          <w:sz w:val="19"/>
          <w:szCs w:val="19"/>
        </w:rPr>
        <w:t>的艰巨性，从事信息系统工程监理的单位也须自身不断发展，不但应该以业主单位</w:t>
      </w:r>
      <w:r>
        <w:rPr>
          <w:spacing w:val="12"/>
          <w:sz w:val="19"/>
          <w:szCs w:val="19"/>
        </w:rPr>
        <w:t>的应用需求</w:t>
      </w:r>
      <w:r>
        <w:rPr>
          <w:sz w:val="19"/>
          <w:szCs w:val="19"/>
        </w:rPr>
        <w:t xml:space="preserve"> </w:t>
      </w:r>
      <w:r>
        <w:rPr>
          <w:spacing w:val="13"/>
          <w:sz w:val="19"/>
          <w:szCs w:val="19"/>
        </w:rPr>
        <w:t>为根本出发点，探索不同行业信息系统工程的特点，更要结合自身情况，总结出一整套与信息</w:t>
      </w:r>
      <w:r>
        <w:rPr>
          <w:sz w:val="19"/>
          <w:szCs w:val="19"/>
        </w:rPr>
        <w:t xml:space="preserve"> </w:t>
      </w:r>
      <w:r>
        <w:rPr>
          <w:spacing w:val="6"/>
          <w:sz w:val="19"/>
          <w:szCs w:val="19"/>
        </w:rPr>
        <w:t>系统工程相适应的合同管理方法。</w:t>
      </w:r>
    </w:p>
    <w:p w14:paraId="28726A4E">
      <w:pPr>
        <w:pStyle w:val="2"/>
        <w:spacing w:before="66" w:line="261" w:lineRule="auto"/>
        <w:ind w:left="330" w:right="7" w:firstLine="420"/>
        <w:rPr>
          <w:sz w:val="19"/>
          <w:szCs w:val="19"/>
        </w:rPr>
      </w:pPr>
      <w:r>
        <w:rPr>
          <w:spacing w:val="13"/>
          <w:sz w:val="19"/>
          <w:szCs w:val="19"/>
        </w:rPr>
        <w:t>(10)争议处理。合同当事人双方应当通过协商，约定一旦出现争议问题需要</w:t>
      </w:r>
      <w:r>
        <w:rPr>
          <w:spacing w:val="12"/>
          <w:sz w:val="19"/>
          <w:szCs w:val="19"/>
        </w:rPr>
        <w:t>处理时所采取</w:t>
      </w:r>
      <w:r>
        <w:rPr>
          <w:sz w:val="19"/>
          <w:szCs w:val="19"/>
        </w:rPr>
        <w:t xml:space="preserve"> </w:t>
      </w:r>
      <w:r>
        <w:rPr>
          <w:spacing w:val="7"/>
          <w:sz w:val="19"/>
          <w:szCs w:val="19"/>
        </w:rPr>
        <w:t>的处理方式。通常情况下，争议处理方式有如下三种：</w:t>
      </w:r>
    </w:p>
    <w:p w14:paraId="04CFB5F5">
      <w:pPr>
        <w:pStyle w:val="2"/>
        <w:spacing w:before="84" w:line="219" w:lineRule="auto"/>
        <w:ind w:left="750"/>
        <w:rPr>
          <w:sz w:val="19"/>
          <w:szCs w:val="19"/>
        </w:rPr>
      </w:pPr>
      <w:r>
        <w:rPr>
          <w:spacing w:val="11"/>
          <w:sz w:val="19"/>
          <w:szCs w:val="19"/>
        </w:rPr>
        <w:t>●协商。通过双方友好协商，达成相互理解，处理好争议事项。</w:t>
      </w:r>
    </w:p>
    <w:p w14:paraId="376E2754">
      <w:pPr>
        <w:pStyle w:val="2"/>
        <w:spacing w:before="94" w:line="219" w:lineRule="auto"/>
        <w:ind w:left="750"/>
        <w:rPr>
          <w:sz w:val="19"/>
          <w:szCs w:val="19"/>
        </w:rPr>
      </w:pPr>
      <w:r>
        <w:rPr>
          <w:spacing w:val="11"/>
          <w:sz w:val="19"/>
          <w:szCs w:val="19"/>
        </w:rPr>
        <w:t>●仲裁。根据合同约定提交仲裁机关进行裁决并解决争</w:t>
      </w:r>
      <w:r>
        <w:rPr>
          <w:spacing w:val="10"/>
          <w:sz w:val="19"/>
          <w:szCs w:val="19"/>
        </w:rPr>
        <w:t>议。</w:t>
      </w:r>
    </w:p>
    <w:p w14:paraId="6D156E7C">
      <w:pPr>
        <w:pStyle w:val="2"/>
        <w:spacing w:before="105" w:line="260" w:lineRule="auto"/>
        <w:ind w:left="1039" w:right="25" w:hanging="289"/>
        <w:rPr>
          <w:sz w:val="19"/>
          <w:szCs w:val="19"/>
        </w:rPr>
      </w:pPr>
      <w:r>
        <w:rPr>
          <w:spacing w:val="13"/>
          <w:sz w:val="19"/>
          <w:szCs w:val="19"/>
        </w:rPr>
        <w:t>●诉讼。在争议出现后协商未解决且未选择仲裁的情况下，当事人任何一方可选择向人民</w:t>
      </w:r>
      <w:r>
        <w:rPr>
          <w:spacing w:val="2"/>
          <w:sz w:val="19"/>
          <w:szCs w:val="19"/>
        </w:rPr>
        <w:t xml:space="preserve"> </w:t>
      </w:r>
      <w:r>
        <w:rPr>
          <w:spacing w:val="8"/>
          <w:sz w:val="19"/>
          <w:szCs w:val="19"/>
        </w:rPr>
        <w:t>法院提起诉讼，请求人民法院对合同争议依法予以处理。</w:t>
      </w:r>
    </w:p>
    <w:p w14:paraId="1BB69076">
      <w:pPr>
        <w:pStyle w:val="2"/>
        <w:spacing w:before="86" w:line="283" w:lineRule="auto"/>
        <w:ind w:left="330" w:firstLine="420"/>
        <w:jc w:val="both"/>
        <w:rPr>
          <w:sz w:val="19"/>
          <w:szCs w:val="19"/>
        </w:rPr>
      </w:pPr>
      <w:r>
        <w:rPr>
          <w:spacing w:val="19"/>
          <w:sz w:val="19"/>
          <w:szCs w:val="19"/>
        </w:rPr>
        <w:t>这三种方式中，应优先选择协商的方式。监理可以参与合同争议的协商处理并提出协调</w:t>
      </w:r>
      <w:r>
        <w:rPr>
          <w:spacing w:val="2"/>
          <w:sz w:val="19"/>
          <w:szCs w:val="19"/>
        </w:rPr>
        <w:t xml:space="preserve"> </w:t>
      </w:r>
      <w:r>
        <w:rPr>
          <w:spacing w:val="13"/>
          <w:sz w:val="19"/>
          <w:szCs w:val="19"/>
        </w:rPr>
        <w:t>意见和建议，也可以根据事件过程合同双方或仲裁机关或人民法院的工作请求提供必要的工作</w:t>
      </w:r>
      <w:r>
        <w:rPr>
          <w:spacing w:val="18"/>
          <w:sz w:val="19"/>
          <w:szCs w:val="19"/>
        </w:rPr>
        <w:t xml:space="preserve"> </w:t>
      </w:r>
      <w:r>
        <w:rPr>
          <w:spacing w:val="4"/>
          <w:sz w:val="19"/>
          <w:szCs w:val="19"/>
        </w:rPr>
        <w:t>协助。</w:t>
      </w:r>
    </w:p>
    <w:p w14:paraId="77F03E77">
      <w:pPr>
        <w:pStyle w:val="2"/>
        <w:spacing w:before="205" w:line="219" w:lineRule="auto"/>
        <w:ind w:left="333"/>
        <w:rPr>
          <w:sz w:val="25"/>
          <w:szCs w:val="25"/>
        </w:rPr>
      </w:pPr>
      <w:r>
        <w:rPr>
          <w:b/>
          <w:bCs/>
          <w:color w:val="0086ED"/>
          <w:spacing w:val="-15"/>
          <w:sz w:val="25"/>
          <w:szCs w:val="25"/>
        </w:rPr>
        <w:t>13.1.5</w:t>
      </w:r>
      <w:r>
        <w:rPr>
          <w:color w:val="0086ED"/>
          <w:spacing w:val="91"/>
          <w:sz w:val="25"/>
          <w:szCs w:val="25"/>
        </w:rPr>
        <w:t xml:space="preserve"> </w:t>
      </w:r>
      <w:r>
        <w:rPr>
          <w:b/>
          <w:bCs/>
          <w:color w:val="0086ED"/>
          <w:spacing w:val="-15"/>
          <w:sz w:val="25"/>
          <w:szCs w:val="25"/>
        </w:rPr>
        <w:t>信息系统工程合同签订的注意事项</w:t>
      </w:r>
    </w:p>
    <w:p w14:paraId="6CFACDFF">
      <w:pPr>
        <w:pStyle w:val="2"/>
        <w:spacing w:before="172" w:line="289" w:lineRule="auto"/>
        <w:ind w:left="330" w:right="15" w:firstLine="420"/>
        <w:rPr>
          <w:sz w:val="19"/>
          <w:szCs w:val="19"/>
        </w:rPr>
      </w:pPr>
      <w:r>
        <w:rPr>
          <w:spacing w:val="13"/>
          <w:sz w:val="19"/>
          <w:szCs w:val="19"/>
        </w:rPr>
        <w:t>信息系统工程合同是以后解决纠纷的重要依据，因此有关重要事项都应当在项目合同中明</w:t>
      </w:r>
      <w:r>
        <w:rPr>
          <w:spacing w:val="12"/>
          <w:sz w:val="19"/>
          <w:szCs w:val="19"/>
        </w:rPr>
        <w:t xml:space="preserve"> </w:t>
      </w:r>
      <w:r>
        <w:rPr>
          <w:spacing w:val="14"/>
          <w:sz w:val="19"/>
          <w:szCs w:val="19"/>
        </w:rPr>
        <w:t>确规定。例如，信息化项目的硬件环境、软件产品的</w:t>
      </w:r>
      <w:r>
        <w:rPr>
          <w:spacing w:val="13"/>
          <w:sz w:val="19"/>
          <w:szCs w:val="19"/>
        </w:rPr>
        <w:t>标准体系等技术性内容，都应当写在合同</w:t>
      </w:r>
    </w:p>
    <w:p w14:paraId="66D2C392">
      <w:pPr>
        <w:spacing w:line="289" w:lineRule="auto"/>
        <w:rPr>
          <w:sz w:val="19"/>
          <w:szCs w:val="19"/>
        </w:rPr>
        <w:sectPr>
          <w:pgSz w:w="10300" w:h="13370"/>
          <w:pgMar w:top="400" w:right="1114" w:bottom="400" w:left="489" w:header="0" w:footer="0" w:gutter="0"/>
          <w:cols w:space="720" w:num="1"/>
        </w:sectPr>
      </w:pPr>
    </w:p>
    <w:p w14:paraId="2269A577">
      <w:pPr>
        <w:pStyle w:val="2"/>
        <w:spacing w:before="76" w:line="219" w:lineRule="auto"/>
        <w:jc w:val="right"/>
        <w:rPr>
          <w:rFonts w:ascii="Times New Roman" w:hAnsi="Times New Roman" w:eastAsia="Times New Roman" w:cs="Times New Roman"/>
          <w:sz w:val="19"/>
          <w:szCs w:val="19"/>
        </w:rPr>
      </w:pPr>
      <w:r>
        <w:rPr>
          <w:spacing w:val="3"/>
          <w:sz w:val="19"/>
          <w:szCs w:val="19"/>
        </w:rPr>
        <w:t>第13章</w:t>
      </w:r>
      <w:r>
        <w:rPr>
          <w:spacing w:val="39"/>
          <w:sz w:val="19"/>
          <w:szCs w:val="19"/>
        </w:rPr>
        <w:t xml:space="preserve"> </w:t>
      </w:r>
      <w:r>
        <w:rPr>
          <w:spacing w:val="3"/>
          <w:sz w:val="19"/>
          <w:szCs w:val="19"/>
        </w:rPr>
        <w:t>合同管理</w:t>
      </w:r>
      <w:r>
        <w:rPr>
          <w:spacing w:val="7"/>
          <w:sz w:val="19"/>
          <w:szCs w:val="19"/>
        </w:rPr>
        <w:t xml:space="preserve">      </w:t>
      </w:r>
      <w:r>
        <w:rPr>
          <w:rFonts w:ascii="Times New Roman" w:hAnsi="Times New Roman" w:eastAsia="Times New Roman" w:cs="Times New Roman"/>
          <w:spacing w:val="3"/>
          <w:position w:val="1"/>
          <w:sz w:val="19"/>
          <w:szCs w:val="19"/>
        </w:rPr>
        <w:t>301</w:t>
      </w:r>
    </w:p>
    <w:p w14:paraId="0E597972">
      <w:pPr>
        <w:spacing w:line="301" w:lineRule="auto"/>
        <w:rPr>
          <w:rFonts w:ascii="Arial"/>
          <w:sz w:val="21"/>
        </w:rPr>
      </w:pPr>
    </w:p>
    <w:p w14:paraId="33D99D81">
      <w:pPr>
        <w:pStyle w:val="2"/>
        <w:spacing w:before="62" w:line="298" w:lineRule="auto"/>
        <w:ind w:right="262"/>
        <w:rPr>
          <w:sz w:val="19"/>
          <w:szCs w:val="19"/>
        </w:rPr>
      </w:pPr>
      <w:r>
        <w:rPr>
          <w:spacing w:val="14"/>
          <w:sz w:val="19"/>
          <w:szCs w:val="19"/>
        </w:rPr>
        <w:t>中。项目合同中最重要的内容，是对委托方和被委托方在信息化过程</w:t>
      </w:r>
      <w:r>
        <w:rPr>
          <w:spacing w:val="13"/>
          <w:sz w:val="19"/>
          <w:szCs w:val="19"/>
        </w:rPr>
        <w:t>中的权利和义务的界定。</w:t>
      </w:r>
      <w:r>
        <w:rPr>
          <w:sz w:val="19"/>
          <w:szCs w:val="19"/>
        </w:rPr>
        <w:t xml:space="preserve"> </w:t>
      </w:r>
      <w:r>
        <w:rPr>
          <w:spacing w:val="9"/>
          <w:sz w:val="19"/>
          <w:szCs w:val="19"/>
        </w:rPr>
        <w:t>从这一点来说，项目合同是确定“委托方一被委托方”双方合作关系的一份关键的</w:t>
      </w:r>
      <w:r>
        <w:rPr>
          <w:spacing w:val="8"/>
          <w:sz w:val="19"/>
          <w:szCs w:val="19"/>
        </w:rPr>
        <w:t>商务文件。</w:t>
      </w:r>
    </w:p>
    <w:p w14:paraId="68C4A7E6">
      <w:pPr>
        <w:pStyle w:val="2"/>
        <w:spacing w:before="17" w:line="302" w:lineRule="auto"/>
        <w:ind w:right="309" w:firstLine="400"/>
        <w:jc w:val="both"/>
        <w:rPr>
          <w:sz w:val="19"/>
          <w:szCs w:val="19"/>
        </w:rPr>
      </w:pPr>
      <w:r>
        <w:rPr>
          <w:spacing w:val="12"/>
          <w:sz w:val="19"/>
          <w:szCs w:val="19"/>
        </w:rPr>
        <w:t>民法典规定：施工合同的内容一般包括工程范围、建设工期、中间交工工程的开工和竣工</w:t>
      </w:r>
      <w:r>
        <w:rPr>
          <w:spacing w:val="11"/>
          <w:sz w:val="19"/>
          <w:szCs w:val="19"/>
        </w:rPr>
        <w:t xml:space="preserve"> </w:t>
      </w:r>
      <w:r>
        <w:rPr>
          <w:spacing w:val="13"/>
          <w:sz w:val="19"/>
          <w:szCs w:val="19"/>
        </w:rPr>
        <w:t>时间、工程质量、工程造价、技术资料交付时间、材料和</w:t>
      </w:r>
      <w:r>
        <w:rPr>
          <w:spacing w:val="12"/>
          <w:sz w:val="19"/>
          <w:szCs w:val="19"/>
        </w:rPr>
        <w:t>设备供应责任、拨款和结算、竣工验</w:t>
      </w:r>
      <w:r>
        <w:rPr>
          <w:sz w:val="19"/>
          <w:szCs w:val="19"/>
        </w:rPr>
        <w:t xml:space="preserve"> </w:t>
      </w:r>
      <w:r>
        <w:rPr>
          <w:spacing w:val="8"/>
          <w:sz w:val="19"/>
          <w:szCs w:val="19"/>
        </w:rPr>
        <w:t>收、质量保修范围和质量保证期、相互协作等条款。</w:t>
      </w:r>
    </w:p>
    <w:p w14:paraId="342947E5">
      <w:pPr>
        <w:pStyle w:val="2"/>
        <w:spacing w:before="17" w:line="302" w:lineRule="auto"/>
        <w:ind w:right="241" w:firstLine="400"/>
        <w:jc w:val="both"/>
        <w:rPr>
          <w:sz w:val="19"/>
          <w:szCs w:val="19"/>
        </w:rPr>
      </w:pPr>
      <w:r>
        <w:rPr>
          <w:spacing w:val="13"/>
          <w:sz w:val="19"/>
          <w:szCs w:val="19"/>
        </w:rPr>
        <w:t>信息系统工程建设项目暂时还没有统一的合同示范文本，如果项</w:t>
      </w:r>
      <w:r>
        <w:rPr>
          <w:spacing w:val="12"/>
          <w:sz w:val="19"/>
          <w:szCs w:val="19"/>
        </w:rPr>
        <w:t>目的业主单位与承建单位</w:t>
      </w:r>
      <w:r>
        <w:rPr>
          <w:sz w:val="19"/>
          <w:szCs w:val="19"/>
        </w:rPr>
        <w:t xml:space="preserve"> </w:t>
      </w:r>
      <w:r>
        <w:rPr>
          <w:spacing w:val="9"/>
          <w:sz w:val="19"/>
          <w:szCs w:val="19"/>
        </w:rPr>
        <w:t>在合同订立时对合同的内容考虑不足，就会导致合同条款不详尽、内容不完整、不严谨等问题，</w:t>
      </w:r>
      <w:r>
        <w:rPr>
          <w:spacing w:val="16"/>
          <w:sz w:val="19"/>
          <w:szCs w:val="19"/>
        </w:rPr>
        <w:t xml:space="preserve"> </w:t>
      </w:r>
      <w:r>
        <w:rPr>
          <w:spacing w:val="7"/>
          <w:sz w:val="19"/>
          <w:szCs w:val="19"/>
        </w:rPr>
        <w:t>在项目实施过程中就可能产生合同争议与纠纷。</w:t>
      </w:r>
    </w:p>
    <w:p w14:paraId="3490050A">
      <w:pPr>
        <w:pStyle w:val="2"/>
        <w:spacing w:before="6" w:line="303" w:lineRule="auto"/>
        <w:ind w:right="262" w:firstLine="400"/>
        <w:jc w:val="both"/>
        <w:rPr>
          <w:sz w:val="19"/>
          <w:szCs w:val="19"/>
        </w:rPr>
      </w:pPr>
      <w:r>
        <w:rPr>
          <w:spacing w:val="9"/>
          <w:sz w:val="19"/>
          <w:szCs w:val="19"/>
        </w:rPr>
        <w:t>在信息系统工程合同中，对于下面一些容易产生纠纷的事项，合作的双方都应</w:t>
      </w:r>
      <w:r>
        <w:rPr>
          <w:spacing w:val="8"/>
          <w:sz w:val="19"/>
          <w:szCs w:val="19"/>
        </w:rPr>
        <w:t>当认真对待，</w:t>
      </w:r>
      <w:r>
        <w:rPr>
          <w:sz w:val="19"/>
          <w:szCs w:val="19"/>
        </w:rPr>
        <w:t xml:space="preserve"> </w:t>
      </w:r>
      <w:r>
        <w:rPr>
          <w:spacing w:val="13"/>
          <w:sz w:val="19"/>
          <w:szCs w:val="19"/>
        </w:rPr>
        <w:t>这也是监理单位审查合同的重点，不但需要明文规定，而且应当特别</w:t>
      </w:r>
      <w:r>
        <w:rPr>
          <w:spacing w:val="12"/>
          <w:sz w:val="19"/>
          <w:szCs w:val="19"/>
        </w:rPr>
        <w:t>仔细地考虑所有条款是否</w:t>
      </w:r>
      <w:r>
        <w:rPr>
          <w:sz w:val="19"/>
          <w:szCs w:val="19"/>
        </w:rPr>
        <w:t xml:space="preserve"> </w:t>
      </w:r>
      <w:r>
        <w:rPr>
          <w:spacing w:val="5"/>
          <w:sz w:val="19"/>
          <w:szCs w:val="19"/>
        </w:rPr>
        <w:t>严密、规范。</w:t>
      </w:r>
    </w:p>
    <w:p w14:paraId="03494326">
      <w:pPr>
        <w:spacing w:before="101" w:line="227" w:lineRule="auto"/>
        <w:ind w:left="402"/>
        <w:rPr>
          <w:rFonts w:ascii="楷体" w:hAnsi="楷体" w:eastAsia="楷体" w:cs="楷体"/>
          <w:sz w:val="19"/>
          <w:szCs w:val="19"/>
        </w:rPr>
      </w:pPr>
      <w:r>
        <w:rPr>
          <w:rFonts w:ascii="楷体" w:hAnsi="楷体" w:eastAsia="楷体" w:cs="楷体"/>
          <w:b/>
          <w:bCs/>
          <w:spacing w:val="17"/>
          <w:sz w:val="19"/>
          <w:szCs w:val="19"/>
        </w:rPr>
        <w:t>1)质量验收标准</w:t>
      </w:r>
    </w:p>
    <w:p w14:paraId="6A929246">
      <w:pPr>
        <w:pStyle w:val="2"/>
        <w:spacing w:before="89" w:line="295" w:lineRule="auto"/>
        <w:ind w:right="282" w:firstLine="400"/>
        <w:jc w:val="both"/>
        <w:rPr>
          <w:sz w:val="19"/>
          <w:szCs w:val="19"/>
        </w:rPr>
      </w:pPr>
      <w:r>
        <w:rPr>
          <w:spacing w:val="13"/>
          <w:sz w:val="19"/>
          <w:szCs w:val="19"/>
        </w:rPr>
        <w:t>质量验收标准是一个关键的指标。如果双方的验收标准不一致，就会在系统验收时产生纠</w:t>
      </w:r>
      <w:r>
        <w:rPr>
          <w:spacing w:val="4"/>
          <w:sz w:val="19"/>
          <w:szCs w:val="19"/>
        </w:rPr>
        <w:t xml:space="preserve"> </w:t>
      </w:r>
      <w:r>
        <w:rPr>
          <w:spacing w:val="13"/>
          <w:sz w:val="19"/>
          <w:szCs w:val="19"/>
        </w:rPr>
        <w:t>纷。在某种情况下，承建单位为了获得项目也可能将信</w:t>
      </w:r>
      <w:r>
        <w:rPr>
          <w:spacing w:val="12"/>
          <w:sz w:val="19"/>
          <w:szCs w:val="19"/>
        </w:rPr>
        <w:t>息系统的功能过分夸大，使得业主单位</w:t>
      </w:r>
      <w:r>
        <w:rPr>
          <w:sz w:val="19"/>
          <w:szCs w:val="19"/>
        </w:rPr>
        <w:t xml:space="preserve"> </w:t>
      </w:r>
      <w:r>
        <w:rPr>
          <w:spacing w:val="13"/>
          <w:sz w:val="19"/>
          <w:szCs w:val="19"/>
        </w:rPr>
        <w:t>对信息系统功能的预期过高。另外，业主单位对信息系统功能的预期可能会随着自己对系统的</w:t>
      </w:r>
      <w:r>
        <w:rPr>
          <w:spacing w:val="10"/>
          <w:sz w:val="19"/>
          <w:szCs w:val="19"/>
        </w:rPr>
        <w:t xml:space="preserve"> </w:t>
      </w:r>
      <w:r>
        <w:rPr>
          <w:spacing w:val="8"/>
          <w:sz w:val="19"/>
          <w:szCs w:val="19"/>
        </w:rPr>
        <w:t>熟悉而提高标准。为避免此类情况的发生，清晰地规定质量验收标准对双方都是有益的。</w:t>
      </w:r>
    </w:p>
    <w:p w14:paraId="26EE3361">
      <w:pPr>
        <w:spacing w:before="113" w:line="227" w:lineRule="auto"/>
        <w:ind w:left="402"/>
        <w:rPr>
          <w:rFonts w:ascii="楷体" w:hAnsi="楷体" w:eastAsia="楷体" w:cs="楷体"/>
          <w:sz w:val="19"/>
          <w:szCs w:val="19"/>
        </w:rPr>
      </w:pPr>
      <w:r>
        <w:rPr>
          <w:rFonts w:ascii="楷体" w:hAnsi="楷体" w:eastAsia="楷体" w:cs="楷体"/>
          <w:b/>
          <w:bCs/>
          <w:spacing w:val="24"/>
          <w:sz w:val="19"/>
          <w:szCs w:val="19"/>
        </w:rPr>
        <w:t>2)验收时间</w:t>
      </w:r>
    </w:p>
    <w:p w14:paraId="0E6915EA">
      <w:pPr>
        <w:pStyle w:val="2"/>
        <w:spacing w:before="91" w:line="286" w:lineRule="auto"/>
        <w:ind w:right="290" w:firstLine="400"/>
        <w:jc w:val="both"/>
        <w:rPr>
          <w:sz w:val="19"/>
          <w:szCs w:val="19"/>
        </w:rPr>
      </w:pPr>
      <w:r>
        <w:rPr>
          <w:spacing w:val="13"/>
          <w:sz w:val="19"/>
          <w:szCs w:val="19"/>
        </w:rPr>
        <w:t>承建单位完成了开发工作，需要按期进行验收，因此验收期限也是合同必须明确规定的内</w:t>
      </w:r>
      <w:r>
        <w:rPr>
          <w:spacing w:val="8"/>
          <w:sz w:val="19"/>
          <w:szCs w:val="19"/>
        </w:rPr>
        <w:t xml:space="preserve"> </w:t>
      </w:r>
      <w:r>
        <w:rPr>
          <w:spacing w:val="13"/>
          <w:sz w:val="19"/>
          <w:szCs w:val="19"/>
        </w:rPr>
        <w:t>容。对于承建单位交付的系统，如果业主单位难以确定是否</w:t>
      </w:r>
      <w:r>
        <w:rPr>
          <w:spacing w:val="12"/>
          <w:sz w:val="19"/>
          <w:szCs w:val="19"/>
        </w:rPr>
        <w:t>已达到质量标准，迟迟不验收，承</w:t>
      </w:r>
      <w:r>
        <w:rPr>
          <w:sz w:val="19"/>
          <w:szCs w:val="19"/>
        </w:rPr>
        <w:t xml:space="preserve"> </w:t>
      </w:r>
      <w:r>
        <w:rPr>
          <w:spacing w:val="13"/>
          <w:sz w:val="19"/>
          <w:szCs w:val="19"/>
        </w:rPr>
        <w:t>建单位就不能结束开发。反之，如果业主单位发现了系统中的问题，承</w:t>
      </w:r>
      <w:r>
        <w:rPr>
          <w:spacing w:val="12"/>
          <w:sz w:val="19"/>
          <w:szCs w:val="19"/>
        </w:rPr>
        <w:t>建单位无力修正系统的</w:t>
      </w:r>
      <w:r>
        <w:rPr>
          <w:sz w:val="19"/>
          <w:szCs w:val="19"/>
        </w:rPr>
        <w:t xml:space="preserve"> </w:t>
      </w:r>
      <w:r>
        <w:rPr>
          <w:spacing w:val="13"/>
          <w:sz w:val="19"/>
          <w:szCs w:val="19"/>
        </w:rPr>
        <w:t>内在错误，就会给业主单位带来很大的损失。因此，明确的</w:t>
      </w:r>
      <w:r>
        <w:rPr>
          <w:spacing w:val="12"/>
          <w:sz w:val="19"/>
          <w:szCs w:val="19"/>
        </w:rPr>
        <w:t>验收时间是督促双方自觉工作的重</w:t>
      </w:r>
      <w:r>
        <w:rPr>
          <w:sz w:val="19"/>
          <w:szCs w:val="19"/>
        </w:rPr>
        <w:t xml:space="preserve"> </w:t>
      </w:r>
      <w:r>
        <w:rPr>
          <w:spacing w:val="1"/>
          <w:sz w:val="19"/>
          <w:szCs w:val="19"/>
        </w:rPr>
        <w:t>要条款。</w:t>
      </w:r>
    </w:p>
    <w:p w14:paraId="209102F0">
      <w:pPr>
        <w:spacing w:before="143" w:line="225" w:lineRule="auto"/>
        <w:ind w:left="402"/>
        <w:rPr>
          <w:rFonts w:ascii="楷体" w:hAnsi="楷体" w:eastAsia="楷体" w:cs="楷体"/>
          <w:sz w:val="19"/>
          <w:szCs w:val="19"/>
        </w:rPr>
      </w:pPr>
      <w:r>
        <w:rPr>
          <w:rFonts w:ascii="楷体" w:hAnsi="楷体" w:eastAsia="楷体" w:cs="楷体"/>
          <w:b/>
          <w:bCs/>
          <w:spacing w:val="18"/>
          <w:sz w:val="19"/>
          <w:szCs w:val="19"/>
        </w:rPr>
        <w:t>3)技术支持服务</w:t>
      </w:r>
    </w:p>
    <w:p w14:paraId="458007CD">
      <w:pPr>
        <w:pStyle w:val="2"/>
        <w:spacing w:before="74" w:line="292" w:lineRule="auto"/>
        <w:ind w:right="307" w:firstLine="400"/>
        <w:jc w:val="both"/>
        <w:rPr>
          <w:sz w:val="19"/>
          <w:szCs w:val="19"/>
        </w:rPr>
      </w:pPr>
      <w:r>
        <w:rPr>
          <w:spacing w:val="13"/>
          <w:sz w:val="19"/>
          <w:szCs w:val="19"/>
        </w:rPr>
        <w:t>对于开发完成后发生的技术性问题，如果是因为承建单位的工作质</w:t>
      </w:r>
      <w:r>
        <w:rPr>
          <w:spacing w:val="12"/>
          <w:sz w:val="19"/>
          <w:szCs w:val="19"/>
        </w:rPr>
        <w:t>量所造成的，应当由承</w:t>
      </w:r>
      <w:r>
        <w:rPr>
          <w:sz w:val="19"/>
          <w:szCs w:val="19"/>
        </w:rPr>
        <w:t xml:space="preserve"> </w:t>
      </w:r>
      <w:r>
        <w:rPr>
          <w:spacing w:val="9"/>
          <w:sz w:val="19"/>
          <w:szCs w:val="19"/>
        </w:rPr>
        <w:t>建单位负责无偿地解决。</w:t>
      </w:r>
      <w:r>
        <w:rPr>
          <w:spacing w:val="54"/>
          <w:sz w:val="19"/>
          <w:szCs w:val="19"/>
        </w:rPr>
        <w:t xml:space="preserve"> </w:t>
      </w:r>
      <w:r>
        <w:rPr>
          <w:spacing w:val="9"/>
          <w:sz w:val="19"/>
          <w:szCs w:val="19"/>
        </w:rPr>
        <w:t>一般技术支持的期限是半年到一年。如果没有这个期限规定，就视为</w:t>
      </w:r>
      <w:r>
        <w:rPr>
          <w:sz w:val="19"/>
          <w:szCs w:val="19"/>
        </w:rPr>
        <w:t xml:space="preserve"> </w:t>
      </w:r>
      <w:r>
        <w:rPr>
          <w:spacing w:val="7"/>
          <w:sz w:val="19"/>
          <w:szCs w:val="19"/>
        </w:rPr>
        <w:t>业主单位所有的维修要求都要另行收费。</w:t>
      </w:r>
    </w:p>
    <w:p w14:paraId="74F7E734">
      <w:pPr>
        <w:spacing w:before="108" w:line="228" w:lineRule="auto"/>
        <w:ind w:left="400"/>
        <w:rPr>
          <w:rFonts w:ascii="楷体" w:hAnsi="楷体" w:eastAsia="楷体" w:cs="楷体"/>
          <w:sz w:val="19"/>
          <w:szCs w:val="19"/>
        </w:rPr>
      </w:pPr>
      <w:r>
        <w:rPr>
          <w:rFonts w:ascii="楷体" w:hAnsi="楷体" w:eastAsia="楷体" w:cs="楷体"/>
          <w:spacing w:val="24"/>
          <w:sz w:val="19"/>
          <w:szCs w:val="19"/>
        </w:rPr>
        <w:t>4)损害赔偿</w:t>
      </w:r>
    </w:p>
    <w:p w14:paraId="06246AA8">
      <w:pPr>
        <w:pStyle w:val="2"/>
        <w:spacing w:before="64" w:line="298" w:lineRule="auto"/>
        <w:ind w:right="307" w:firstLine="400"/>
        <w:rPr>
          <w:sz w:val="19"/>
          <w:szCs w:val="19"/>
        </w:rPr>
      </w:pPr>
      <w:r>
        <w:rPr>
          <w:spacing w:val="13"/>
          <w:sz w:val="19"/>
          <w:szCs w:val="19"/>
        </w:rPr>
        <w:t>原则上委托方和被委托方都具有这一项权利，为避免双方的利益受到</w:t>
      </w:r>
      <w:r>
        <w:rPr>
          <w:spacing w:val="12"/>
          <w:sz w:val="19"/>
          <w:szCs w:val="19"/>
        </w:rPr>
        <w:t>损害，双方都应当有</w:t>
      </w:r>
      <w:r>
        <w:rPr>
          <w:sz w:val="19"/>
          <w:szCs w:val="19"/>
        </w:rPr>
        <w:t xml:space="preserve"> </w:t>
      </w:r>
      <w:r>
        <w:rPr>
          <w:spacing w:val="8"/>
          <w:sz w:val="19"/>
          <w:szCs w:val="19"/>
        </w:rPr>
        <w:t>自我保护意识，这是一个必要的条款。实际的赔偿方式可以</w:t>
      </w:r>
      <w:r>
        <w:rPr>
          <w:spacing w:val="7"/>
          <w:sz w:val="19"/>
          <w:szCs w:val="19"/>
        </w:rPr>
        <w:t>由双方另行协调。</w:t>
      </w:r>
    </w:p>
    <w:p w14:paraId="3001380A">
      <w:pPr>
        <w:pStyle w:val="2"/>
        <w:spacing w:before="6" w:line="297" w:lineRule="auto"/>
        <w:ind w:right="287" w:firstLine="400"/>
        <w:rPr>
          <w:sz w:val="19"/>
          <w:szCs w:val="19"/>
        </w:rPr>
      </w:pPr>
      <w:r>
        <w:rPr>
          <w:spacing w:val="13"/>
          <w:sz w:val="19"/>
          <w:szCs w:val="19"/>
        </w:rPr>
        <w:t>信息系统工程建设项目应提倡采用分期付款的方式，可以调动承建单位的积极性，并且有</w:t>
      </w:r>
      <w:r>
        <w:rPr>
          <w:spacing w:val="11"/>
          <w:sz w:val="19"/>
          <w:szCs w:val="19"/>
        </w:rPr>
        <w:t xml:space="preserve"> </w:t>
      </w:r>
      <w:r>
        <w:rPr>
          <w:spacing w:val="7"/>
          <w:sz w:val="19"/>
          <w:szCs w:val="19"/>
        </w:rPr>
        <w:t>效保证了业主单位的合法权益。</w:t>
      </w:r>
    </w:p>
    <w:p w14:paraId="01406A2B">
      <w:pPr>
        <w:pStyle w:val="2"/>
        <w:spacing w:before="5" w:line="295" w:lineRule="auto"/>
        <w:ind w:right="262" w:firstLine="400"/>
        <w:jc w:val="both"/>
        <w:rPr>
          <w:sz w:val="19"/>
          <w:szCs w:val="19"/>
        </w:rPr>
      </w:pPr>
      <w:r>
        <w:rPr>
          <w:spacing w:val="13"/>
          <w:sz w:val="19"/>
          <w:szCs w:val="19"/>
        </w:rPr>
        <w:t>由于确立了分期付款的方式，双方对项目实施范围和实施功能的</w:t>
      </w:r>
      <w:r>
        <w:rPr>
          <w:spacing w:val="12"/>
          <w:sz w:val="19"/>
          <w:szCs w:val="19"/>
        </w:rPr>
        <w:t>界定，以及每个阶段验收</w:t>
      </w:r>
      <w:r>
        <w:rPr>
          <w:sz w:val="19"/>
          <w:szCs w:val="19"/>
        </w:rPr>
        <w:t xml:space="preserve"> </w:t>
      </w:r>
      <w:r>
        <w:rPr>
          <w:spacing w:val="13"/>
          <w:sz w:val="19"/>
          <w:szCs w:val="19"/>
        </w:rPr>
        <w:t>标准的规定，都应该具有可操作性和可度量性，把相关条款规定得越细越好。例如，某一个阶</w:t>
      </w:r>
      <w:r>
        <w:rPr>
          <w:spacing w:val="4"/>
          <w:sz w:val="19"/>
          <w:szCs w:val="19"/>
        </w:rPr>
        <w:t xml:space="preserve"> </w:t>
      </w:r>
      <w:r>
        <w:rPr>
          <w:spacing w:val="14"/>
          <w:sz w:val="19"/>
          <w:szCs w:val="19"/>
        </w:rPr>
        <w:t>段必须实施哪几个模块，这些模块中必须包括哪些更细节的模块；这</w:t>
      </w:r>
      <w:r>
        <w:rPr>
          <w:spacing w:val="13"/>
          <w:sz w:val="19"/>
          <w:szCs w:val="19"/>
        </w:rPr>
        <w:t>些模块必须在业主单位的</w:t>
      </w:r>
      <w:r>
        <w:rPr>
          <w:sz w:val="19"/>
          <w:szCs w:val="19"/>
        </w:rPr>
        <w:t xml:space="preserve"> </w:t>
      </w:r>
      <w:r>
        <w:rPr>
          <w:spacing w:val="13"/>
          <w:sz w:val="19"/>
          <w:szCs w:val="19"/>
        </w:rPr>
        <w:t>哪些部门或哪些地点实施完毕，实施完成后应该达到什么效果，如果达不到这些要求，应该实</w:t>
      </w:r>
      <w:r>
        <w:rPr>
          <w:spacing w:val="5"/>
          <w:sz w:val="19"/>
          <w:szCs w:val="19"/>
        </w:rPr>
        <w:t xml:space="preserve"> </w:t>
      </w:r>
      <w:r>
        <w:rPr>
          <w:spacing w:val="6"/>
          <w:sz w:val="19"/>
          <w:szCs w:val="19"/>
        </w:rPr>
        <w:t>行什么样的违约处罚等。</w:t>
      </w:r>
    </w:p>
    <w:p w14:paraId="3602B667">
      <w:pPr>
        <w:spacing w:line="295" w:lineRule="auto"/>
        <w:rPr>
          <w:sz w:val="19"/>
          <w:szCs w:val="19"/>
        </w:rPr>
        <w:sectPr>
          <w:pgSz w:w="10280" w:h="13310"/>
          <w:pgMar w:top="400" w:right="522" w:bottom="400" w:left="1139" w:header="0" w:footer="0" w:gutter="0"/>
          <w:cols w:space="720" w:num="1"/>
        </w:sectPr>
      </w:pPr>
    </w:p>
    <w:p w14:paraId="5611B4D0">
      <w:pPr>
        <w:pStyle w:val="2"/>
        <w:spacing w:before="58" w:line="219" w:lineRule="auto"/>
        <w:rPr>
          <w:sz w:val="20"/>
          <w:szCs w:val="20"/>
        </w:rPr>
      </w:pPr>
      <w:r>
        <w:rPr>
          <w:rFonts w:ascii="Times New Roman" w:hAnsi="Times New Roman" w:eastAsia="Times New Roman" w:cs="Times New Roman"/>
          <w:spacing w:val="-4"/>
          <w:position w:val="1"/>
          <w:sz w:val="20"/>
          <w:szCs w:val="20"/>
        </w:rPr>
        <w:t>302</w:t>
      </w:r>
      <w:r>
        <w:rPr>
          <w:rFonts w:ascii="Times New Roman" w:hAnsi="Times New Roman" w:eastAsia="Times New Roman" w:cs="Times New Roman"/>
          <w:spacing w:val="2"/>
          <w:position w:val="1"/>
          <w:sz w:val="20"/>
          <w:szCs w:val="20"/>
        </w:rPr>
        <w:t xml:space="preserve">             </w:t>
      </w:r>
      <w:r>
        <w:rPr>
          <w:spacing w:val="-4"/>
          <w:sz w:val="20"/>
          <w:szCs w:val="20"/>
        </w:rPr>
        <w:t>信息系统监理师教程(第2版)</w:t>
      </w:r>
    </w:p>
    <w:p w14:paraId="355B6937">
      <w:pPr>
        <w:spacing w:line="308" w:lineRule="auto"/>
        <w:rPr>
          <w:rFonts w:ascii="Arial"/>
          <w:sz w:val="21"/>
        </w:rPr>
      </w:pPr>
    </w:p>
    <w:p w14:paraId="4B1E849C">
      <w:pPr>
        <w:spacing w:before="65" w:line="230" w:lineRule="auto"/>
        <w:ind w:left="769"/>
        <w:rPr>
          <w:rFonts w:ascii="楷体" w:hAnsi="楷体" w:eastAsia="楷体" w:cs="楷体"/>
          <w:sz w:val="20"/>
          <w:szCs w:val="20"/>
        </w:rPr>
      </w:pPr>
      <w:bookmarkStart w:id="645" w:name="bookmark630"/>
      <w:bookmarkEnd w:id="645"/>
      <w:r>
        <w:rPr>
          <w:rFonts w:ascii="楷体" w:hAnsi="楷体" w:eastAsia="楷体" w:cs="楷体"/>
          <w:spacing w:val="15"/>
          <w:sz w:val="20"/>
          <w:szCs w:val="20"/>
        </w:rPr>
        <w:t>5)保密约定</w:t>
      </w:r>
    </w:p>
    <w:p w14:paraId="66814484">
      <w:pPr>
        <w:pStyle w:val="2"/>
        <w:spacing w:before="54" w:line="289" w:lineRule="auto"/>
        <w:ind w:left="359" w:right="14" w:firstLine="409"/>
        <w:jc w:val="both"/>
        <w:rPr>
          <w:sz w:val="20"/>
          <w:szCs w:val="20"/>
        </w:rPr>
      </w:pPr>
      <w:r>
        <w:rPr>
          <w:spacing w:val="5"/>
          <w:sz w:val="20"/>
          <w:szCs w:val="20"/>
        </w:rPr>
        <w:t>双方都不得向第三者泄露对方业务和技术上的秘密，包括业主单位业务上的机密(例如商</w:t>
      </w:r>
      <w:r>
        <w:rPr>
          <w:spacing w:val="7"/>
          <w:sz w:val="20"/>
          <w:szCs w:val="20"/>
        </w:rPr>
        <w:t xml:space="preserve"> </w:t>
      </w:r>
      <w:r>
        <w:rPr>
          <w:spacing w:val="6"/>
          <w:sz w:val="20"/>
          <w:szCs w:val="20"/>
        </w:rPr>
        <w:t>业运作方式、客户信息等)以及承建单位的技术机密</w:t>
      </w:r>
      <w:r>
        <w:rPr>
          <w:spacing w:val="5"/>
          <w:sz w:val="20"/>
          <w:szCs w:val="20"/>
        </w:rPr>
        <w:t>。为了实现自我保护和提高保密意识，最</w:t>
      </w:r>
      <w:r>
        <w:rPr>
          <w:sz w:val="20"/>
          <w:szCs w:val="20"/>
        </w:rPr>
        <w:t xml:space="preserve"> </w:t>
      </w:r>
      <w:r>
        <w:rPr>
          <w:spacing w:val="3"/>
          <w:sz w:val="20"/>
          <w:szCs w:val="20"/>
        </w:rPr>
        <w:t>好由双方另行签订一个保密合同。关于保密的期限应当特别规定：在信息系统工程建设项目履</w:t>
      </w:r>
      <w:r>
        <w:rPr>
          <w:spacing w:val="4"/>
          <w:sz w:val="20"/>
          <w:szCs w:val="20"/>
        </w:rPr>
        <w:t xml:space="preserve"> </w:t>
      </w:r>
      <w:r>
        <w:rPr>
          <w:spacing w:val="-3"/>
          <w:sz w:val="20"/>
          <w:szCs w:val="20"/>
        </w:rPr>
        <w:t>行完后若干年或长期继续有效。</w:t>
      </w:r>
    </w:p>
    <w:p w14:paraId="11401C9C">
      <w:pPr>
        <w:spacing w:before="117" w:line="227" w:lineRule="auto"/>
        <w:ind w:left="772"/>
        <w:rPr>
          <w:rFonts w:ascii="楷体" w:hAnsi="楷体" w:eastAsia="楷体" w:cs="楷体"/>
          <w:sz w:val="20"/>
          <w:szCs w:val="20"/>
        </w:rPr>
      </w:pPr>
      <w:r>
        <w:rPr>
          <w:rFonts w:ascii="楷体" w:hAnsi="楷体" w:eastAsia="楷体" w:cs="楷体"/>
          <w:b/>
          <w:bCs/>
          <w:spacing w:val="9"/>
          <w:sz w:val="20"/>
          <w:szCs w:val="20"/>
        </w:rPr>
        <w:t>6)软件的合法性</w:t>
      </w:r>
    </w:p>
    <w:p w14:paraId="628DBECF">
      <w:pPr>
        <w:pStyle w:val="2"/>
        <w:spacing w:before="75" w:line="282" w:lineRule="auto"/>
        <w:ind w:left="359" w:right="14" w:firstLine="409"/>
        <w:jc w:val="both"/>
        <w:rPr>
          <w:sz w:val="20"/>
          <w:szCs w:val="20"/>
        </w:rPr>
      </w:pPr>
      <w:r>
        <w:rPr>
          <w:spacing w:val="2"/>
          <w:sz w:val="20"/>
          <w:szCs w:val="20"/>
        </w:rPr>
        <w:t>软件的著作权和所属权是不同的。</w:t>
      </w:r>
      <w:r>
        <w:rPr>
          <w:spacing w:val="-49"/>
          <w:sz w:val="20"/>
          <w:szCs w:val="20"/>
        </w:rPr>
        <w:t xml:space="preserve"> </w:t>
      </w:r>
      <w:r>
        <w:rPr>
          <w:spacing w:val="2"/>
          <w:sz w:val="20"/>
          <w:szCs w:val="20"/>
        </w:rPr>
        <w:t>一般来说，业主单位支</w:t>
      </w:r>
      <w:r>
        <w:rPr>
          <w:spacing w:val="1"/>
          <w:sz w:val="20"/>
          <w:szCs w:val="20"/>
        </w:rPr>
        <w:t>付了全部开发费用之后，软件所</w:t>
      </w:r>
      <w:r>
        <w:rPr>
          <w:sz w:val="20"/>
          <w:szCs w:val="20"/>
        </w:rPr>
        <w:t xml:space="preserve"> </w:t>
      </w:r>
      <w:r>
        <w:rPr>
          <w:spacing w:val="3"/>
          <w:sz w:val="20"/>
          <w:szCs w:val="20"/>
        </w:rPr>
        <w:t>属权将移交给业主单位，但软件的著作权仍然属于承建单位。如果要将软件著作权也移交给业</w:t>
      </w:r>
      <w:r>
        <w:rPr>
          <w:spacing w:val="2"/>
          <w:sz w:val="20"/>
          <w:szCs w:val="20"/>
        </w:rPr>
        <w:t xml:space="preserve"> </w:t>
      </w:r>
      <w:r>
        <w:rPr>
          <w:spacing w:val="3"/>
          <w:sz w:val="20"/>
          <w:szCs w:val="20"/>
        </w:rPr>
        <w:t>主单位，在合同中应当写明这一条款。有时候，承建单位要保留软件的著作</w:t>
      </w:r>
      <w:r>
        <w:rPr>
          <w:spacing w:val="2"/>
          <w:sz w:val="20"/>
          <w:szCs w:val="20"/>
        </w:rPr>
        <w:t>权，或者著作权属</w:t>
      </w:r>
      <w:r>
        <w:rPr>
          <w:sz w:val="20"/>
          <w:szCs w:val="20"/>
        </w:rPr>
        <w:t xml:space="preserve"> </w:t>
      </w:r>
      <w:r>
        <w:rPr>
          <w:spacing w:val="3"/>
          <w:sz w:val="20"/>
          <w:szCs w:val="20"/>
        </w:rPr>
        <w:t>双方共有，这些都应当在合同中说明。如果采用的是已经产品化的软件系统，则应当在</w:t>
      </w:r>
      <w:r>
        <w:rPr>
          <w:spacing w:val="2"/>
          <w:sz w:val="20"/>
          <w:szCs w:val="20"/>
        </w:rPr>
        <w:t>合同中</w:t>
      </w:r>
      <w:r>
        <w:rPr>
          <w:sz w:val="20"/>
          <w:szCs w:val="20"/>
        </w:rPr>
        <w:t xml:space="preserve"> </w:t>
      </w:r>
      <w:r>
        <w:rPr>
          <w:spacing w:val="3"/>
          <w:sz w:val="20"/>
          <w:szCs w:val="20"/>
        </w:rPr>
        <w:t>明确记载该软件的著作权登记版号。如果没有进行著作权登记，或者项目是由业主单位委托承</w:t>
      </w:r>
      <w:r>
        <w:rPr>
          <w:spacing w:val="5"/>
          <w:sz w:val="20"/>
          <w:szCs w:val="20"/>
        </w:rPr>
        <w:t xml:space="preserve"> </w:t>
      </w:r>
      <w:r>
        <w:rPr>
          <w:spacing w:val="-1"/>
          <w:sz w:val="20"/>
          <w:szCs w:val="20"/>
        </w:rPr>
        <w:t>建单位独立开发的，则应当明确规定软件承建单位承担软件</w:t>
      </w:r>
      <w:r>
        <w:rPr>
          <w:spacing w:val="-2"/>
          <w:sz w:val="20"/>
          <w:szCs w:val="20"/>
        </w:rPr>
        <w:t>合法性的责任。</w:t>
      </w:r>
    </w:p>
    <w:p w14:paraId="02C91443">
      <w:pPr>
        <w:spacing w:before="135" w:line="227" w:lineRule="auto"/>
        <w:ind w:left="772"/>
        <w:rPr>
          <w:rFonts w:ascii="楷体" w:hAnsi="楷体" w:eastAsia="楷体" w:cs="楷体"/>
          <w:sz w:val="20"/>
          <w:szCs w:val="20"/>
        </w:rPr>
      </w:pPr>
      <w:r>
        <w:rPr>
          <w:rFonts w:ascii="楷体" w:hAnsi="楷体" w:eastAsia="楷体" w:cs="楷体"/>
          <w:b/>
          <w:bCs/>
          <w:spacing w:val="4"/>
          <w:sz w:val="20"/>
          <w:szCs w:val="20"/>
        </w:rPr>
        <w:t>7)技术标准及工程依据</w:t>
      </w:r>
    </w:p>
    <w:p w14:paraId="44054F25">
      <w:pPr>
        <w:pStyle w:val="2"/>
        <w:spacing w:before="78" w:line="281" w:lineRule="auto"/>
        <w:ind w:left="359" w:firstLine="409"/>
        <w:rPr>
          <w:sz w:val="20"/>
          <w:szCs w:val="20"/>
        </w:rPr>
      </w:pPr>
      <w:r>
        <w:rPr>
          <w:spacing w:val="3"/>
          <w:sz w:val="20"/>
          <w:szCs w:val="20"/>
        </w:rPr>
        <w:t>合同中的质量条款应具体注明规格、型号，以及适用的标准等，避免合同订立后因为适用</w:t>
      </w:r>
      <w:r>
        <w:rPr>
          <w:spacing w:val="16"/>
          <w:sz w:val="20"/>
          <w:szCs w:val="20"/>
        </w:rPr>
        <w:t xml:space="preserve"> </w:t>
      </w:r>
      <w:r>
        <w:rPr>
          <w:spacing w:val="-1"/>
          <w:sz w:val="20"/>
          <w:szCs w:val="20"/>
        </w:rPr>
        <w:t>标准是采用国家、地方、行业标准还是其他标</w:t>
      </w:r>
      <w:r>
        <w:rPr>
          <w:spacing w:val="-2"/>
          <w:sz w:val="20"/>
          <w:szCs w:val="20"/>
        </w:rPr>
        <w:t>准等问题产生纠纷。</w:t>
      </w:r>
    </w:p>
    <w:p w14:paraId="08C2B443">
      <w:pPr>
        <w:spacing w:before="86" w:line="223" w:lineRule="auto"/>
        <w:ind w:left="769"/>
        <w:rPr>
          <w:rFonts w:ascii="楷体" w:hAnsi="楷体" w:eastAsia="楷体" w:cs="楷体"/>
          <w:sz w:val="20"/>
          <w:szCs w:val="20"/>
        </w:rPr>
      </w:pPr>
      <w:r>
        <w:rPr>
          <w:rFonts w:ascii="楷体" w:hAnsi="楷体" w:eastAsia="楷体" w:cs="楷体"/>
          <w:spacing w:val="14"/>
          <w:sz w:val="20"/>
          <w:szCs w:val="20"/>
        </w:rPr>
        <w:t>8)合同附件</w:t>
      </w:r>
    </w:p>
    <w:p w14:paraId="46C4BD2F">
      <w:pPr>
        <w:pStyle w:val="2"/>
        <w:spacing w:before="84" w:line="263" w:lineRule="auto"/>
        <w:ind w:left="359" w:right="16" w:firstLine="409"/>
        <w:rPr>
          <w:sz w:val="20"/>
          <w:szCs w:val="20"/>
        </w:rPr>
      </w:pPr>
      <w:r>
        <w:rPr>
          <w:spacing w:val="3"/>
          <w:sz w:val="20"/>
          <w:szCs w:val="20"/>
        </w:rPr>
        <w:t>如果合同有附件，对于附件的内容也应精心准备，并注意保持与主合同一致，不要相互之</w:t>
      </w:r>
      <w:r>
        <w:rPr>
          <w:sz w:val="20"/>
          <w:szCs w:val="20"/>
        </w:rPr>
        <w:t xml:space="preserve"> </w:t>
      </w:r>
      <w:r>
        <w:rPr>
          <w:spacing w:val="-8"/>
          <w:sz w:val="20"/>
          <w:szCs w:val="20"/>
        </w:rPr>
        <w:t>间产生矛盾。</w:t>
      </w:r>
    </w:p>
    <w:p w14:paraId="20D7FB3E">
      <w:pPr>
        <w:pStyle w:val="2"/>
        <w:spacing w:before="59" w:line="256" w:lineRule="auto"/>
        <w:ind w:left="359" w:firstLine="409"/>
        <w:rPr>
          <w:sz w:val="20"/>
          <w:szCs w:val="20"/>
        </w:rPr>
      </w:pPr>
      <w:r>
        <w:rPr>
          <w:spacing w:val="9"/>
          <w:sz w:val="20"/>
          <w:szCs w:val="20"/>
        </w:rPr>
        <w:t>对于既有投标文件，又有正式合同、附件等包含多项内容的合同，</w:t>
      </w:r>
      <w:r>
        <w:rPr>
          <w:spacing w:val="8"/>
          <w:sz w:val="20"/>
          <w:szCs w:val="20"/>
        </w:rPr>
        <w:t>要在条款中列明适用</w:t>
      </w:r>
      <w:r>
        <w:rPr>
          <w:sz w:val="20"/>
          <w:szCs w:val="20"/>
        </w:rPr>
        <w:t xml:space="preserve"> </w:t>
      </w:r>
      <w:r>
        <w:rPr>
          <w:spacing w:val="-1"/>
          <w:sz w:val="20"/>
          <w:szCs w:val="20"/>
        </w:rPr>
        <w:t>顺序。</w:t>
      </w:r>
    </w:p>
    <w:p w14:paraId="3E163ECF">
      <w:pPr>
        <w:spacing w:before="135" w:line="226" w:lineRule="auto"/>
        <w:ind w:left="769"/>
        <w:rPr>
          <w:rFonts w:ascii="楷体" w:hAnsi="楷体" w:eastAsia="楷体" w:cs="楷体"/>
          <w:sz w:val="20"/>
          <w:szCs w:val="20"/>
        </w:rPr>
      </w:pPr>
      <w:r>
        <w:rPr>
          <w:rFonts w:ascii="楷体" w:hAnsi="楷体" w:eastAsia="楷体" w:cs="楷体"/>
          <w:spacing w:val="13"/>
          <w:sz w:val="20"/>
          <w:szCs w:val="20"/>
        </w:rPr>
        <w:t>9)签约资格</w:t>
      </w:r>
    </w:p>
    <w:p w14:paraId="494CDDF7">
      <w:pPr>
        <w:pStyle w:val="2"/>
        <w:spacing w:before="66" w:line="286" w:lineRule="auto"/>
        <w:ind w:left="359" w:right="9" w:firstLine="409"/>
        <w:rPr>
          <w:sz w:val="20"/>
          <w:szCs w:val="20"/>
        </w:rPr>
      </w:pPr>
      <w:r>
        <w:rPr>
          <w:spacing w:val="3"/>
          <w:sz w:val="20"/>
          <w:szCs w:val="20"/>
        </w:rPr>
        <w:t>在签订合同时还应了解签约各方的主体资格，即在合同上签字的人是否具备签署合同的资</w:t>
      </w:r>
      <w:r>
        <w:rPr>
          <w:spacing w:val="6"/>
          <w:sz w:val="20"/>
          <w:szCs w:val="20"/>
        </w:rPr>
        <w:t xml:space="preserve"> </w:t>
      </w:r>
      <w:r>
        <w:rPr>
          <w:spacing w:val="3"/>
          <w:sz w:val="20"/>
          <w:szCs w:val="20"/>
        </w:rPr>
        <w:t>格。法人的法定代表人、其他组织的负责人均具有签约</w:t>
      </w:r>
      <w:r>
        <w:rPr>
          <w:spacing w:val="2"/>
          <w:sz w:val="20"/>
          <w:szCs w:val="20"/>
        </w:rPr>
        <w:t>主体的资格。其他人员代表法人或其他</w:t>
      </w:r>
      <w:r>
        <w:rPr>
          <w:sz w:val="20"/>
          <w:szCs w:val="20"/>
        </w:rPr>
        <w:t xml:space="preserve"> </w:t>
      </w:r>
      <w:r>
        <w:rPr>
          <w:spacing w:val="-1"/>
          <w:sz w:val="20"/>
          <w:szCs w:val="20"/>
        </w:rPr>
        <w:t>组织签订合同时，必须持有相应签约方的法</w:t>
      </w:r>
      <w:r>
        <w:rPr>
          <w:spacing w:val="-2"/>
          <w:sz w:val="20"/>
          <w:szCs w:val="20"/>
        </w:rPr>
        <w:t>定代表人授权委托书。</w:t>
      </w:r>
    </w:p>
    <w:p w14:paraId="683D0D9D">
      <w:pPr>
        <w:spacing w:before="77" w:line="224" w:lineRule="auto"/>
        <w:ind w:left="769"/>
        <w:rPr>
          <w:rFonts w:ascii="楷体" w:hAnsi="楷体" w:eastAsia="楷体" w:cs="楷体"/>
          <w:sz w:val="20"/>
          <w:szCs w:val="20"/>
        </w:rPr>
      </w:pPr>
      <w:r>
        <w:rPr>
          <w:rFonts w:ascii="楷体" w:hAnsi="楷体" w:eastAsia="楷体" w:cs="楷体"/>
          <w:spacing w:val="12"/>
          <w:sz w:val="20"/>
          <w:szCs w:val="20"/>
        </w:rPr>
        <w:t>10)法律公证</w:t>
      </w:r>
    </w:p>
    <w:p w14:paraId="090B4E7C">
      <w:pPr>
        <w:pStyle w:val="2"/>
        <w:spacing w:before="89" w:line="278" w:lineRule="auto"/>
        <w:ind w:left="359" w:right="14" w:firstLine="409"/>
        <w:rPr>
          <w:sz w:val="20"/>
          <w:szCs w:val="20"/>
        </w:rPr>
      </w:pPr>
      <w:r>
        <w:rPr>
          <w:spacing w:val="3"/>
          <w:sz w:val="20"/>
          <w:szCs w:val="20"/>
        </w:rPr>
        <w:t>为避免合同纠纷，保证合同订立的合法性、有效性，当事人可以将签订的合同到公证机关</w:t>
      </w:r>
      <w:r>
        <w:rPr>
          <w:spacing w:val="1"/>
          <w:sz w:val="20"/>
          <w:szCs w:val="20"/>
        </w:rPr>
        <w:t xml:space="preserve"> </w:t>
      </w:r>
      <w:r>
        <w:rPr>
          <w:spacing w:val="3"/>
          <w:sz w:val="20"/>
          <w:szCs w:val="20"/>
        </w:rPr>
        <w:t>进行公证。合同公证是公证机关根据当事人的申请，对于当事人之间签订合同的真实性、合法</w:t>
      </w:r>
      <w:r>
        <w:rPr>
          <w:spacing w:val="2"/>
          <w:sz w:val="20"/>
          <w:szCs w:val="20"/>
        </w:rPr>
        <w:t xml:space="preserve"> </w:t>
      </w:r>
      <w:r>
        <w:rPr>
          <w:spacing w:val="-4"/>
          <w:sz w:val="20"/>
          <w:szCs w:val="20"/>
        </w:rPr>
        <w:t>性予以证明的活动。</w:t>
      </w:r>
    </w:p>
    <w:p w14:paraId="0FAF869C">
      <w:pPr>
        <w:spacing w:line="272" w:lineRule="auto"/>
        <w:rPr>
          <w:rFonts w:ascii="Arial"/>
          <w:sz w:val="21"/>
        </w:rPr>
      </w:pPr>
    </w:p>
    <w:p w14:paraId="3F79B9CD">
      <w:pPr>
        <w:pStyle w:val="2"/>
        <w:spacing w:before="92" w:line="221" w:lineRule="auto"/>
        <w:ind w:left="363"/>
        <w:rPr>
          <w:rFonts w:ascii="黑体" w:hAnsi="黑体" w:eastAsia="黑体" w:cs="黑体"/>
          <w:sz w:val="28"/>
          <w:szCs w:val="28"/>
        </w:rPr>
      </w:pPr>
      <w:r>
        <w:rPr>
          <w:b/>
          <w:bCs/>
          <w:color w:val="0061D1"/>
          <w:spacing w:val="-4"/>
          <w:sz w:val="28"/>
          <w:szCs w:val="28"/>
        </w:rPr>
        <w:t>13.2</w:t>
      </w:r>
      <w:r>
        <w:rPr>
          <w:color w:val="0061D1"/>
          <w:spacing w:val="131"/>
          <w:sz w:val="28"/>
          <w:szCs w:val="28"/>
        </w:rPr>
        <w:t xml:space="preserve"> </w:t>
      </w:r>
      <w:r>
        <w:rPr>
          <w:rFonts w:ascii="黑体" w:hAnsi="黑体" w:eastAsia="黑体" w:cs="黑体"/>
          <w:b/>
          <w:bCs/>
          <w:color w:val="0061D1"/>
          <w:spacing w:val="-4"/>
          <w:sz w:val="28"/>
          <w:szCs w:val="28"/>
        </w:rPr>
        <w:t>信息系统工程合同管理的内容与基本原则</w:t>
      </w:r>
    </w:p>
    <w:p w14:paraId="49D05EE0">
      <w:pPr>
        <w:pStyle w:val="2"/>
        <w:spacing w:before="256" w:line="271" w:lineRule="auto"/>
        <w:ind w:left="359" w:right="16" w:firstLine="409"/>
        <w:jc w:val="both"/>
        <w:rPr>
          <w:sz w:val="20"/>
          <w:szCs w:val="20"/>
        </w:rPr>
      </w:pPr>
      <w:r>
        <w:rPr>
          <w:spacing w:val="2"/>
          <w:sz w:val="20"/>
          <w:szCs w:val="20"/>
        </w:rPr>
        <w:t>在信息系统工程监理工作中，合同管理是监理最主要的任务之一。监理工作在合同管理中</w:t>
      </w:r>
      <w:r>
        <w:rPr>
          <w:spacing w:val="10"/>
          <w:sz w:val="20"/>
          <w:szCs w:val="20"/>
        </w:rPr>
        <w:t xml:space="preserve"> </w:t>
      </w:r>
      <w:r>
        <w:rPr>
          <w:spacing w:val="3"/>
          <w:sz w:val="20"/>
          <w:szCs w:val="20"/>
        </w:rPr>
        <w:t>的主要内容由三部分组成，即合同的签订管理、合同的档案管理和合同的履行管理。监理工程</w:t>
      </w:r>
      <w:r>
        <w:rPr>
          <w:spacing w:val="2"/>
          <w:sz w:val="20"/>
          <w:szCs w:val="20"/>
        </w:rPr>
        <w:t xml:space="preserve"> </w:t>
      </w:r>
      <w:r>
        <w:rPr>
          <w:spacing w:val="3"/>
          <w:sz w:val="20"/>
          <w:szCs w:val="20"/>
        </w:rPr>
        <w:t>师在合同管理工作中，应遵循合同管理的基本原则，包括事前预控原则、实时纠偏原则、充分</w:t>
      </w:r>
      <w:r>
        <w:rPr>
          <w:spacing w:val="4"/>
          <w:sz w:val="20"/>
          <w:szCs w:val="20"/>
        </w:rPr>
        <w:t xml:space="preserve"> </w:t>
      </w:r>
      <w:r>
        <w:rPr>
          <w:spacing w:val="-3"/>
          <w:sz w:val="20"/>
          <w:szCs w:val="20"/>
        </w:rPr>
        <w:t>协商原则、公正处理原则。</w:t>
      </w:r>
    </w:p>
    <w:p w14:paraId="1DAA9445">
      <w:pPr>
        <w:spacing w:line="271" w:lineRule="auto"/>
        <w:rPr>
          <w:sz w:val="20"/>
          <w:szCs w:val="20"/>
        </w:rPr>
        <w:sectPr>
          <w:pgSz w:w="10300" w:h="13370"/>
          <w:pgMar w:top="400" w:right="1075" w:bottom="400" w:left="520" w:header="0" w:footer="0" w:gutter="0"/>
          <w:cols w:space="720" w:num="1"/>
        </w:sectPr>
      </w:pPr>
    </w:p>
    <w:p w14:paraId="2C96267A">
      <w:pPr>
        <w:pStyle w:val="2"/>
        <w:jc w:val="right"/>
        <w:rPr>
          <w:rFonts w:ascii="Times New Roman" w:hAnsi="Times New Roman" w:eastAsia="Times New Roman" w:cs="Times New Roman"/>
          <w:sz w:val="16"/>
          <w:szCs w:val="16"/>
        </w:rPr>
      </w:pPr>
      <w:r>
        <w:rPr>
          <w:spacing w:val="2"/>
          <w:sz w:val="20"/>
          <w:szCs w:val="20"/>
        </w:rPr>
        <w:t>第13章</w:t>
      </w:r>
      <w:r>
        <w:rPr>
          <w:spacing w:val="18"/>
          <w:sz w:val="20"/>
          <w:szCs w:val="20"/>
        </w:rPr>
        <w:t xml:space="preserve"> </w:t>
      </w:r>
      <w:r>
        <w:rPr>
          <w:spacing w:val="2"/>
          <w:sz w:val="20"/>
          <w:szCs w:val="20"/>
        </w:rPr>
        <w:t xml:space="preserve">合同管理 </w:t>
      </w:r>
      <w:r>
        <w:rPr>
          <w:position w:val="-12"/>
          <w:sz w:val="20"/>
          <w:szCs w:val="20"/>
        </w:rPr>
        <w:drawing>
          <wp:inline distT="0" distB="0" distL="0" distR="0">
            <wp:extent cx="317500" cy="24701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200"/>
                    <a:stretch>
                      <a:fillRect/>
                    </a:stretch>
                  </pic:blipFill>
                  <pic:spPr>
                    <a:xfrm>
                      <a:off x="0" y="0"/>
                      <a:ext cx="317512" cy="247588"/>
                    </a:xfrm>
                    <a:prstGeom prst="rect">
                      <a:avLst/>
                    </a:prstGeom>
                  </pic:spPr>
                </pic:pic>
              </a:graphicData>
            </a:graphic>
          </wp:inline>
        </w:drawing>
      </w:r>
      <w:r>
        <w:rPr>
          <w:rFonts w:ascii="Times New Roman" w:hAnsi="Times New Roman" w:eastAsia="Times New Roman" w:cs="Times New Roman"/>
          <w:spacing w:val="2"/>
          <w:sz w:val="16"/>
          <w:szCs w:val="16"/>
        </w:rPr>
        <w:t>303</w:t>
      </w:r>
    </w:p>
    <w:p w14:paraId="527E5FC4">
      <w:pPr>
        <w:spacing w:line="257" w:lineRule="auto"/>
        <w:rPr>
          <w:rFonts w:ascii="Arial"/>
          <w:sz w:val="21"/>
        </w:rPr>
      </w:pPr>
    </w:p>
    <w:p w14:paraId="00D950A7">
      <w:pPr>
        <w:pStyle w:val="2"/>
        <w:spacing w:before="78" w:line="219" w:lineRule="auto"/>
        <w:ind w:left="2"/>
        <w:rPr>
          <w:sz w:val="24"/>
          <w:szCs w:val="24"/>
        </w:rPr>
      </w:pPr>
      <w:bookmarkStart w:id="646" w:name="bookmark631"/>
      <w:bookmarkEnd w:id="646"/>
      <w:r>
        <w:rPr>
          <w:b/>
          <w:bCs/>
          <w:color w:val="0063D5"/>
          <w:spacing w:val="-8"/>
          <w:sz w:val="24"/>
          <w:szCs w:val="24"/>
        </w:rPr>
        <w:t>13.2.1</w:t>
      </w:r>
      <w:r>
        <w:rPr>
          <w:color w:val="0063D5"/>
          <w:spacing w:val="-8"/>
          <w:sz w:val="24"/>
          <w:szCs w:val="24"/>
        </w:rPr>
        <w:t xml:space="preserve">  </w:t>
      </w:r>
      <w:r>
        <w:rPr>
          <w:b/>
          <w:bCs/>
          <w:color w:val="0063D5"/>
          <w:spacing w:val="-8"/>
          <w:sz w:val="24"/>
          <w:szCs w:val="24"/>
        </w:rPr>
        <w:t>信息系统工程合同管理的概念</w:t>
      </w:r>
      <w:r>
        <w:rPr>
          <w:b/>
          <w:bCs/>
          <w:color w:val="0063D5"/>
          <w:spacing w:val="-9"/>
          <w:sz w:val="24"/>
          <w:szCs w:val="24"/>
        </w:rPr>
        <w:t>及意义</w:t>
      </w:r>
    </w:p>
    <w:p w14:paraId="75EC0F28">
      <w:pPr>
        <w:pStyle w:val="2"/>
        <w:spacing w:before="174" w:line="280" w:lineRule="auto"/>
        <w:ind w:right="193" w:firstLine="409"/>
        <w:jc w:val="both"/>
        <w:rPr>
          <w:sz w:val="20"/>
          <w:szCs w:val="20"/>
        </w:rPr>
      </w:pPr>
      <w:r>
        <w:rPr>
          <w:spacing w:val="3"/>
          <w:sz w:val="20"/>
          <w:szCs w:val="20"/>
        </w:rPr>
        <w:t>合同管理，是指对依法签订的项目合同进行管理</w:t>
      </w:r>
      <w:r>
        <w:rPr>
          <w:spacing w:val="2"/>
          <w:sz w:val="20"/>
          <w:szCs w:val="20"/>
        </w:rPr>
        <w:t>的一种活动与制度。信息系统工程监理工</w:t>
      </w:r>
      <w:r>
        <w:rPr>
          <w:sz w:val="20"/>
          <w:szCs w:val="20"/>
        </w:rPr>
        <w:t xml:space="preserve">  </w:t>
      </w:r>
      <w:r>
        <w:rPr>
          <w:spacing w:val="5"/>
          <w:sz w:val="20"/>
          <w:szCs w:val="20"/>
        </w:rPr>
        <w:t>作的合同管理就是指对工程的设计、实施、开发有关的各类合同，从合同条件</w:t>
      </w:r>
      <w:r>
        <w:rPr>
          <w:spacing w:val="4"/>
          <w:sz w:val="20"/>
          <w:szCs w:val="20"/>
        </w:rPr>
        <w:t>的拟定、协商、</w:t>
      </w:r>
      <w:r>
        <w:rPr>
          <w:sz w:val="20"/>
          <w:szCs w:val="20"/>
        </w:rPr>
        <w:t xml:space="preserve"> </w:t>
      </w:r>
      <w:r>
        <w:rPr>
          <w:spacing w:val="3"/>
          <w:sz w:val="20"/>
          <w:szCs w:val="20"/>
        </w:rPr>
        <w:t xml:space="preserve">签署，到执行情况的检查和分析等环节进行组织管理的工作，以达到通过双方签署的合同实现 </w:t>
      </w:r>
      <w:r>
        <w:rPr>
          <w:spacing w:val="-2"/>
          <w:sz w:val="20"/>
          <w:szCs w:val="20"/>
        </w:rPr>
        <w:t>信息系统工程的目标和任务，同时也维护业主单位与承建单位及其他关联方的正当权益。</w:t>
      </w:r>
    </w:p>
    <w:p w14:paraId="4AA8F793">
      <w:pPr>
        <w:pStyle w:val="2"/>
        <w:spacing w:before="58" w:line="290" w:lineRule="auto"/>
        <w:ind w:right="223" w:firstLine="409"/>
        <w:jc w:val="both"/>
        <w:rPr>
          <w:sz w:val="16"/>
          <w:szCs w:val="16"/>
        </w:rPr>
      </w:pPr>
      <w:r>
        <w:rPr>
          <w:spacing w:val="3"/>
          <w:sz w:val="20"/>
          <w:szCs w:val="20"/>
        </w:rPr>
        <w:t>信息系统工程从招标、设计、实施到竣工验收交付使用，涉及业主单位、承建单位、产品</w:t>
      </w:r>
      <w:r>
        <w:rPr>
          <w:spacing w:val="12"/>
          <w:sz w:val="20"/>
          <w:szCs w:val="20"/>
        </w:rPr>
        <w:t xml:space="preserve"> </w:t>
      </w:r>
      <w:r>
        <w:rPr>
          <w:spacing w:val="3"/>
          <w:sz w:val="20"/>
          <w:szCs w:val="20"/>
        </w:rPr>
        <w:t xml:space="preserve">供应商、产品生产厂家、监理单位等多个单位。如何使信息系统工程各有关单位建立起有机联 </w:t>
      </w:r>
      <w:r>
        <w:rPr>
          <w:spacing w:val="4"/>
          <w:sz w:val="20"/>
          <w:szCs w:val="20"/>
        </w:rPr>
        <w:t xml:space="preserve">系，使之相互协调、密切配合，共同实现信息系统工程建设进度目标、质量目标和投资目标， </w:t>
      </w:r>
      <w:r>
        <w:rPr>
          <w:spacing w:val="3"/>
          <w:sz w:val="20"/>
          <w:szCs w:val="20"/>
        </w:rPr>
        <w:t>一个重要的措施就是利用合同手段，运用经济与法律相结合的方法，将信</w:t>
      </w:r>
      <w:r>
        <w:rPr>
          <w:spacing w:val="2"/>
          <w:sz w:val="20"/>
          <w:szCs w:val="20"/>
        </w:rPr>
        <w:t>息系统工程所涉及的</w:t>
      </w:r>
      <w:r>
        <w:rPr>
          <w:sz w:val="20"/>
          <w:szCs w:val="20"/>
        </w:rPr>
        <w:t xml:space="preserve"> </w:t>
      </w:r>
      <w:r>
        <w:rPr>
          <w:spacing w:val="3"/>
          <w:sz w:val="20"/>
          <w:szCs w:val="20"/>
        </w:rPr>
        <w:t>各个单位在平等合理的基础上建立起相互的权利义务关系，以保障信息系统工程目标任务的顺</w:t>
      </w:r>
      <w:r>
        <w:rPr>
          <w:spacing w:val="4"/>
          <w:sz w:val="20"/>
          <w:szCs w:val="20"/>
        </w:rPr>
        <w:t xml:space="preserve"> </w:t>
      </w:r>
      <w:r>
        <w:rPr>
          <w:spacing w:val="-7"/>
          <w:sz w:val="16"/>
          <w:szCs w:val="16"/>
        </w:rPr>
        <w:t>利</w:t>
      </w:r>
      <w:r>
        <w:rPr>
          <w:spacing w:val="-18"/>
          <w:sz w:val="16"/>
          <w:szCs w:val="16"/>
        </w:rPr>
        <w:t xml:space="preserve"> </w:t>
      </w:r>
      <w:r>
        <w:rPr>
          <w:spacing w:val="-7"/>
          <w:sz w:val="16"/>
          <w:szCs w:val="16"/>
        </w:rPr>
        <w:t>实</w:t>
      </w:r>
      <w:r>
        <w:rPr>
          <w:spacing w:val="-22"/>
          <w:sz w:val="16"/>
          <w:szCs w:val="16"/>
        </w:rPr>
        <w:t xml:space="preserve"> </w:t>
      </w:r>
      <w:r>
        <w:rPr>
          <w:spacing w:val="-7"/>
          <w:sz w:val="16"/>
          <w:szCs w:val="16"/>
        </w:rPr>
        <w:t>现</w:t>
      </w:r>
      <w:r>
        <w:rPr>
          <w:spacing w:val="-30"/>
          <w:sz w:val="16"/>
          <w:szCs w:val="16"/>
        </w:rPr>
        <w:t xml:space="preserve"> </w:t>
      </w:r>
      <w:r>
        <w:rPr>
          <w:spacing w:val="-7"/>
          <w:sz w:val="16"/>
          <w:szCs w:val="16"/>
        </w:rPr>
        <w:t>。</w:t>
      </w:r>
    </w:p>
    <w:p w14:paraId="2A9741D0">
      <w:pPr>
        <w:pStyle w:val="2"/>
        <w:spacing w:before="76" w:line="282" w:lineRule="auto"/>
        <w:ind w:right="193" w:firstLine="409"/>
        <w:jc w:val="both"/>
        <w:rPr>
          <w:sz w:val="20"/>
          <w:szCs w:val="20"/>
        </w:rPr>
      </w:pPr>
      <w:r>
        <w:rPr>
          <w:sz w:val="20"/>
          <w:szCs w:val="20"/>
        </w:rPr>
        <w:t>合同管理是信息系统工程监理的重要内容之一，贯穿于信息系统</w:t>
      </w:r>
      <w:r>
        <w:rPr>
          <w:spacing w:val="-1"/>
          <w:sz w:val="20"/>
          <w:szCs w:val="20"/>
        </w:rPr>
        <w:t>工程的全过程，本着客观、</w:t>
      </w:r>
      <w:r>
        <w:rPr>
          <w:sz w:val="20"/>
          <w:szCs w:val="20"/>
        </w:rPr>
        <w:t xml:space="preserve"> </w:t>
      </w:r>
      <w:r>
        <w:rPr>
          <w:spacing w:val="3"/>
          <w:sz w:val="20"/>
          <w:szCs w:val="20"/>
        </w:rPr>
        <w:t>公正、合理的原则，监督各方履行合同的行为，目的在于确保合同正常履行，维护合同各方的</w:t>
      </w:r>
      <w:r>
        <w:rPr>
          <w:spacing w:val="11"/>
          <w:sz w:val="20"/>
          <w:szCs w:val="20"/>
        </w:rPr>
        <w:t xml:space="preserve"> </w:t>
      </w:r>
      <w:r>
        <w:rPr>
          <w:spacing w:val="3"/>
          <w:sz w:val="20"/>
          <w:szCs w:val="20"/>
        </w:rPr>
        <w:t>正当权益，全面实现信息系统工程目标的完成。因此，业主单位、承建单位、监理单位及其他 合同各方都必须树立起强烈的合同意识，严格履行合同，按合同约定做好信息系统工程的一切</w:t>
      </w:r>
      <w:r>
        <w:rPr>
          <w:spacing w:val="10"/>
          <w:sz w:val="20"/>
          <w:szCs w:val="20"/>
        </w:rPr>
        <w:t xml:space="preserve"> </w:t>
      </w:r>
      <w:r>
        <w:rPr>
          <w:spacing w:val="4"/>
          <w:sz w:val="20"/>
          <w:szCs w:val="20"/>
        </w:rPr>
        <w:t xml:space="preserve">工作。有效的合同管理是管理而不仅仅是控制。合同管理做得好，可以避免双方责任的分歧， </w:t>
      </w:r>
      <w:r>
        <w:rPr>
          <w:spacing w:val="-3"/>
          <w:sz w:val="20"/>
          <w:szCs w:val="20"/>
        </w:rPr>
        <w:t>是约束双方遵守合同规则的武器。</w:t>
      </w:r>
    </w:p>
    <w:p w14:paraId="1C8A5A8D">
      <w:pPr>
        <w:pStyle w:val="2"/>
        <w:spacing w:before="247" w:line="219" w:lineRule="auto"/>
        <w:ind w:left="2"/>
        <w:rPr>
          <w:sz w:val="24"/>
          <w:szCs w:val="24"/>
        </w:rPr>
      </w:pPr>
      <w:r>
        <w:rPr>
          <w:b/>
          <w:bCs/>
          <w:color w:val="0068D0"/>
          <w:spacing w:val="-9"/>
          <w:sz w:val="24"/>
          <w:szCs w:val="24"/>
        </w:rPr>
        <w:t>13.2.2</w:t>
      </w:r>
      <w:r>
        <w:rPr>
          <w:color w:val="0068D0"/>
          <w:spacing w:val="-9"/>
          <w:sz w:val="24"/>
          <w:szCs w:val="24"/>
        </w:rPr>
        <w:t xml:space="preserve">  </w:t>
      </w:r>
      <w:r>
        <w:rPr>
          <w:b/>
          <w:bCs/>
          <w:color w:val="0068D0"/>
          <w:spacing w:val="-9"/>
          <w:sz w:val="24"/>
          <w:szCs w:val="24"/>
        </w:rPr>
        <w:t>信息系统工程合同管理的主要内容</w:t>
      </w:r>
    </w:p>
    <w:p w14:paraId="0FB39F11">
      <w:pPr>
        <w:pStyle w:val="2"/>
        <w:spacing w:before="147" w:line="219" w:lineRule="auto"/>
        <w:ind w:left="409"/>
        <w:rPr>
          <w:sz w:val="20"/>
          <w:szCs w:val="20"/>
        </w:rPr>
      </w:pPr>
      <w:r>
        <w:rPr>
          <w:spacing w:val="-2"/>
          <w:sz w:val="20"/>
          <w:szCs w:val="20"/>
        </w:rPr>
        <w:t>在信息系统工程监理工作中，合同管理的工作内容包</w:t>
      </w:r>
      <w:r>
        <w:rPr>
          <w:spacing w:val="-3"/>
          <w:sz w:val="20"/>
          <w:szCs w:val="20"/>
        </w:rPr>
        <w:t>括：</w:t>
      </w:r>
    </w:p>
    <w:p w14:paraId="30E44A56">
      <w:pPr>
        <w:pStyle w:val="2"/>
        <w:spacing w:before="71" w:line="253" w:lineRule="auto"/>
        <w:ind w:right="256" w:firstLine="409"/>
        <w:rPr>
          <w:sz w:val="20"/>
          <w:szCs w:val="20"/>
        </w:rPr>
      </w:pPr>
      <w:r>
        <w:rPr>
          <w:spacing w:val="6"/>
          <w:sz w:val="20"/>
          <w:szCs w:val="20"/>
        </w:rPr>
        <w:t>(1)拟定信息系统工程的合同管理制度，其中应包括合</w:t>
      </w:r>
      <w:r>
        <w:rPr>
          <w:spacing w:val="5"/>
          <w:sz w:val="20"/>
          <w:szCs w:val="20"/>
        </w:rPr>
        <w:t>同的拟定、会签、协商、修改、审</w:t>
      </w:r>
      <w:r>
        <w:rPr>
          <w:sz w:val="20"/>
          <w:szCs w:val="20"/>
        </w:rPr>
        <w:t xml:space="preserve"> </w:t>
      </w:r>
      <w:r>
        <w:rPr>
          <w:spacing w:val="-4"/>
          <w:sz w:val="20"/>
          <w:szCs w:val="20"/>
        </w:rPr>
        <w:t>批、签署、保管等工作制度及流程；</w:t>
      </w:r>
    </w:p>
    <w:p w14:paraId="38079778">
      <w:pPr>
        <w:pStyle w:val="2"/>
        <w:spacing w:before="72" w:line="277" w:lineRule="auto"/>
        <w:ind w:right="259" w:firstLine="409"/>
        <w:rPr>
          <w:sz w:val="16"/>
          <w:szCs w:val="16"/>
        </w:rPr>
      </w:pPr>
      <w:r>
        <w:rPr>
          <w:spacing w:val="11"/>
          <w:sz w:val="20"/>
          <w:szCs w:val="20"/>
        </w:rPr>
        <w:t>(2)协助业主单位拟定信息系统工程合同的各类条款，参与业主单位和承</w:t>
      </w:r>
      <w:r>
        <w:rPr>
          <w:spacing w:val="10"/>
          <w:sz w:val="20"/>
          <w:szCs w:val="20"/>
        </w:rPr>
        <w:t>建单位的谈判</w:t>
      </w:r>
      <w:r>
        <w:rPr>
          <w:sz w:val="20"/>
          <w:szCs w:val="20"/>
        </w:rPr>
        <w:t xml:space="preserve"> </w:t>
      </w:r>
      <w:r>
        <w:rPr>
          <w:spacing w:val="-6"/>
          <w:sz w:val="16"/>
          <w:szCs w:val="16"/>
        </w:rPr>
        <w:t>活</w:t>
      </w:r>
      <w:r>
        <w:rPr>
          <w:spacing w:val="-9"/>
          <w:sz w:val="16"/>
          <w:szCs w:val="16"/>
        </w:rPr>
        <w:t xml:space="preserve"> </w:t>
      </w:r>
      <w:r>
        <w:rPr>
          <w:spacing w:val="-6"/>
          <w:sz w:val="16"/>
          <w:szCs w:val="16"/>
        </w:rPr>
        <w:t>动</w:t>
      </w:r>
      <w:r>
        <w:rPr>
          <w:spacing w:val="-17"/>
          <w:sz w:val="16"/>
          <w:szCs w:val="16"/>
        </w:rPr>
        <w:t xml:space="preserve"> </w:t>
      </w:r>
      <w:r>
        <w:rPr>
          <w:spacing w:val="-6"/>
          <w:sz w:val="16"/>
          <w:szCs w:val="16"/>
        </w:rPr>
        <w:t>；</w:t>
      </w:r>
    </w:p>
    <w:p w14:paraId="7E745622">
      <w:pPr>
        <w:pStyle w:val="2"/>
        <w:spacing w:before="91" w:line="219" w:lineRule="auto"/>
        <w:ind w:left="409"/>
        <w:rPr>
          <w:sz w:val="20"/>
          <w:szCs w:val="20"/>
        </w:rPr>
      </w:pPr>
      <w:r>
        <w:rPr>
          <w:spacing w:val="1"/>
          <w:sz w:val="20"/>
          <w:szCs w:val="20"/>
        </w:rPr>
        <w:t>(3)及时分析合同的执行情况，并进行跟踪管理；</w:t>
      </w:r>
    </w:p>
    <w:p w14:paraId="5A0F4FC8">
      <w:pPr>
        <w:pStyle w:val="2"/>
        <w:spacing w:before="63" w:line="219" w:lineRule="auto"/>
        <w:ind w:left="409"/>
        <w:rPr>
          <w:sz w:val="20"/>
          <w:szCs w:val="20"/>
        </w:rPr>
      </w:pPr>
      <w:r>
        <w:rPr>
          <w:spacing w:val="2"/>
          <w:sz w:val="20"/>
          <w:szCs w:val="20"/>
        </w:rPr>
        <w:t>(4)协调业主单位与承建单位有关索赔及合同纠纷的事宜。</w:t>
      </w:r>
    </w:p>
    <w:p w14:paraId="176E2DC2">
      <w:pPr>
        <w:pStyle w:val="2"/>
        <w:spacing w:before="93" w:line="254" w:lineRule="auto"/>
        <w:ind w:right="258" w:firstLine="409"/>
        <w:rPr>
          <w:sz w:val="20"/>
          <w:szCs w:val="20"/>
        </w:rPr>
      </w:pPr>
      <w:r>
        <w:rPr>
          <w:spacing w:val="3"/>
          <w:sz w:val="20"/>
          <w:szCs w:val="20"/>
        </w:rPr>
        <w:t>归纳起来，监理工作在合同管理中的主要内容包括三部分，即合同的签订管理、合同的档</w:t>
      </w:r>
      <w:r>
        <w:rPr>
          <w:spacing w:val="6"/>
          <w:sz w:val="20"/>
          <w:szCs w:val="20"/>
        </w:rPr>
        <w:t xml:space="preserve"> </w:t>
      </w:r>
      <w:r>
        <w:rPr>
          <w:spacing w:val="-3"/>
          <w:sz w:val="20"/>
          <w:szCs w:val="20"/>
        </w:rPr>
        <w:t>案管理和合同的履行管理。</w:t>
      </w:r>
    </w:p>
    <w:p w14:paraId="69CF4E92">
      <w:pPr>
        <w:pStyle w:val="2"/>
        <w:spacing w:before="137" w:line="223" w:lineRule="auto"/>
        <w:ind w:left="412"/>
        <w:rPr>
          <w:rFonts w:ascii="黑体" w:hAnsi="黑体" w:eastAsia="黑体" w:cs="黑体"/>
          <w:sz w:val="20"/>
          <w:szCs w:val="20"/>
        </w:rPr>
      </w:pPr>
      <w:r>
        <w:rPr>
          <w:b/>
          <w:bCs/>
          <w:color w:val="0078D4"/>
          <w:spacing w:val="-2"/>
          <w:sz w:val="20"/>
          <w:szCs w:val="20"/>
        </w:rPr>
        <w:t>1.</w:t>
      </w:r>
      <w:r>
        <w:rPr>
          <w:rFonts w:ascii="黑体" w:hAnsi="黑体" w:eastAsia="黑体" w:cs="黑体"/>
          <w:b/>
          <w:bCs/>
          <w:color w:val="0078D4"/>
          <w:spacing w:val="-2"/>
          <w:sz w:val="20"/>
          <w:szCs w:val="20"/>
        </w:rPr>
        <w:t>合同的签订管理</w:t>
      </w:r>
    </w:p>
    <w:p w14:paraId="13FC792C">
      <w:pPr>
        <w:pStyle w:val="2"/>
        <w:spacing w:before="139" w:line="273" w:lineRule="auto"/>
        <w:ind w:right="264" w:firstLine="409"/>
        <w:rPr>
          <w:sz w:val="20"/>
          <w:szCs w:val="20"/>
        </w:rPr>
      </w:pPr>
      <w:r>
        <w:rPr>
          <w:spacing w:val="3"/>
          <w:sz w:val="20"/>
          <w:szCs w:val="20"/>
        </w:rPr>
        <w:t>合同的签订管理是指监理协助业主单位，对业主单位与承建单位、设备材料供应单位等各</w:t>
      </w:r>
      <w:r>
        <w:rPr>
          <w:spacing w:val="1"/>
          <w:sz w:val="20"/>
          <w:szCs w:val="20"/>
        </w:rPr>
        <w:t xml:space="preserve"> </w:t>
      </w:r>
      <w:r>
        <w:rPr>
          <w:spacing w:val="-2"/>
          <w:sz w:val="20"/>
          <w:szCs w:val="20"/>
        </w:rPr>
        <w:t>方之间的各种合同进行分析、谈判、协商、拟定、签署等。</w:t>
      </w:r>
    </w:p>
    <w:p w14:paraId="41C5376D">
      <w:pPr>
        <w:pStyle w:val="2"/>
        <w:spacing w:before="7" w:line="280" w:lineRule="auto"/>
        <w:ind w:right="255" w:firstLine="409"/>
        <w:rPr>
          <w:sz w:val="20"/>
          <w:szCs w:val="20"/>
        </w:rPr>
      </w:pPr>
      <w:r>
        <w:rPr>
          <w:spacing w:val="3"/>
          <w:sz w:val="20"/>
          <w:szCs w:val="20"/>
        </w:rPr>
        <w:t>合同分析是合同签订中最重要的内容和环节，是合同签订的前提。监理工程师应对工程承</w:t>
      </w:r>
      <w:r>
        <w:rPr>
          <w:spacing w:val="1"/>
          <w:sz w:val="20"/>
          <w:szCs w:val="20"/>
        </w:rPr>
        <w:t xml:space="preserve"> </w:t>
      </w:r>
      <w:r>
        <w:rPr>
          <w:spacing w:val="3"/>
          <w:sz w:val="20"/>
          <w:szCs w:val="20"/>
        </w:rPr>
        <w:t>建、共同承担风险的合同条款、法律条款分别进行仔细地分析解释。同时也要对合同条款的更</w:t>
      </w:r>
      <w:r>
        <w:rPr>
          <w:spacing w:val="5"/>
          <w:sz w:val="20"/>
          <w:szCs w:val="20"/>
        </w:rPr>
        <w:t xml:space="preserve"> </w:t>
      </w:r>
      <w:r>
        <w:rPr>
          <w:spacing w:val="3"/>
          <w:sz w:val="20"/>
          <w:szCs w:val="20"/>
        </w:rPr>
        <w:t>换、延期说明、投资变化等事件进行仔细分析。合同分析和项目检查等工作要联系起来。合同</w:t>
      </w:r>
      <w:r>
        <w:rPr>
          <w:spacing w:val="13"/>
          <w:sz w:val="20"/>
          <w:szCs w:val="20"/>
        </w:rPr>
        <w:t xml:space="preserve"> </w:t>
      </w:r>
      <w:r>
        <w:rPr>
          <w:spacing w:val="-3"/>
          <w:sz w:val="20"/>
          <w:szCs w:val="20"/>
        </w:rPr>
        <w:t>分析是解释双方合同责任的根据。</w:t>
      </w:r>
    </w:p>
    <w:p w14:paraId="34626630">
      <w:pPr>
        <w:pStyle w:val="2"/>
        <w:spacing w:before="30" w:line="219" w:lineRule="auto"/>
        <w:ind w:left="409"/>
        <w:rPr>
          <w:sz w:val="20"/>
          <w:szCs w:val="20"/>
        </w:rPr>
      </w:pPr>
      <w:r>
        <w:rPr>
          <w:spacing w:val="3"/>
          <w:sz w:val="20"/>
          <w:szCs w:val="20"/>
        </w:rPr>
        <w:t>监理工程师在订立合同的过程中要按条款逐条分析，如果发现有对业主单位风险较大的条</w:t>
      </w:r>
    </w:p>
    <w:p w14:paraId="18F5A0E8">
      <w:pPr>
        <w:spacing w:line="219" w:lineRule="auto"/>
        <w:rPr>
          <w:sz w:val="20"/>
          <w:szCs w:val="20"/>
        </w:rPr>
        <w:sectPr>
          <w:pgSz w:w="10280" w:h="13330"/>
          <w:pgMar w:top="360" w:right="616" w:bottom="400" w:left="1070" w:header="0" w:footer="0" w:gutter="0"/>
          <w:cols w:space="720" w:num="1"/>
        </w:sectPr>
      </w:pPr>
    </w:p>
    <w:p w14:paraId="068A02BE">
      <w:pPr>
        <w:pStyle w:val="2"/>
        <w:spacing w:before="88" w:line="219" w:lineRule="auto"/>
        <w:rPr>
          <w:sz w:val="20"/>
          <w:szCs w:val="20"/>
        </w:rPr>
      </w:pPr>
      <w:r>
        <w:rPr>
          <w:rFonts w:ascii="Times New Roman" w:hAnsi="Times New Roman" w:eastAsia="Times New Roman" w:cs="Times New Roman"/>
          <w:b/>
          <w:bCs/>
          <w:sz w:val="20"/>
          <w:szCs w:val="20"/>
        </w:rPr>
        <w:t xml:space="preserve">304             </w:t>
      </w:r>
      <w:r>
        <w:rPr>
          <w:sz w:val="20"/>
          <w:szCs w:val="20"/>
        </w:rPr>
        <w:t>信息系统监理师教程(第2版)</w:t>
      </w:r>
    </w:p>
    <w:p w14:paraId="32E1798C">
      <w:pPr>
        <w:spacing w:line="304" w:lineRule="auto"/>
        <w:rPr>
          <w:rFonts w:ascii="Arial"/>
          <w:sz w:val="21"/>
        </w:rPr>
      </w:pPr>
    </w:p>
    <w:p w14:paraId="7870D0DE">
      <w:pPr>
        <w:pStyle w:val="2"/>
        <w:spacing w:before="65" w:line="296" w:lineRule="auto"/>
        <w:ind w:left="360" w:right="19"/>
        <w:jc w:val="both"/>
        <w:rPr>
          <w:sz w:val="20"/>
          <w:szCs w:val="20"/>
        </w:rPr>
      </w:pPr>
      <w:r>
        <w:rPr>
          <w:spacing w:val="4"/>
          <w:sz w:val="20"/>
          <w:szCs w:val="20"/>
        </w:rPr>
        <w:t>款，要增加相应的抵御条款。要详细分析哪些条款与业主单位有关、与承建单位有关、与项目</w:t>
      </w:r>
      <w:r>
        <w:rPr>
          <w:spacing w:val="3"/>
          <w:sz w:val="20"/>
          <w:szCs w:val="20"/>
        </w:rPr>
        <w:t xml:space="preserve"> </w:t>
      </w:r>
      <w:r>
        <w:rPr>
          <w:spacing w:val="5"/>
          <w:sz w:val="20"/>
          <w:szCs w:val="20"/>
        </w:rPr>
        <w:t>检查有关、与工期有关等，分门别类地分析各自责任和相互联系的关联要素，做到一清二楚，</w:t>
      </w:r>
      <w:r>
        <w:rPr>
          <w:spacing w:val="3"/>
          <w:sz w:val="20"/>
          <w:szCs w:val="20"/>
        </w:rPr>
        <w:t xml:space="preserve"> </w:t>
      </w:r>
      <w:r>
        <w:rPr>
          <w:spacing w:val="-2"/>
          <w:sz w:val="20"/>
          <w:szCs w:val="20"/>
        </w:rPr>
        <w:t>心中有数。</w:t>
      </w:r>
    </w:p>
    <w:p w14:paraId="39702CB4">
      <w:pPr>
        <w:pStyle w:val="2"/>
        <w:spacing w:before="16" w:line="292" w:lineRule="auto"/>
        <w:ind w:left="360" w:right="50" w:firstLine="409"/>
        <w:rPr>
          <w:sz w:val="20"/>
          <w:szCs w:val="20"/>
        </w:rPr>
      </w:pPr>
      <w:r>
        <w:rPr>
          <w:spacing w:val="4"/>
          <w:sz w:val="20"/>
          <w:szCs w:val="20"/>
        </w:rPr>
        <w:t>信息系统工程合同是承建单位进行项目建设和</w:t>
      </w:r>
      <w:r>
        <w:rPr>
          <w:spacing w:val="3"/>
          <w:sz w:val="20"/>
          <w:szCs w:val="20"/>
        </w:rPr>
        <w:t>业主单位支付价款的依据，其客体是信息系</w:t>
      </w:r>
      <w:r>
        <w:rPr>
          <w:sz w:val="20"/>
          <w:szCs w:val="20"/>
        </w:rPr>
        <w:t xml:space="preserve"> 统工程建设项目。信息系统工程合同的签订管</w:t>
      </w:r>
      <w:r>
        <w:rPr>
          <w:spacing w:val="-1"/>
          <w:sz w:val="20"/>
          <w:szCs w:val="20"/>
        </w:rPr>
        <w:t>理就其外在形式来看，应当确保其采用书面形式。</w:t>
      </w:r>
    </w:p>
    <w:p w14:paraId="7C53A88F">
      <w:pPr>
        <w:pStyle w:val="2"/>
        <w:spacing w:before="12" w:line="282" w:lineRule="auto"/>
        <w:ind w:left="360" w:firstLine="409"/>
        <w:rPr>
          <w:sz w:val="20"/>
          <w:szCs w:val="20"/>
        </w:rPr>
      </w:pPr>
      <w:r>
        <w:rPr>
          <w:spacing w:val="9"/>
          <w:sz w:val="20"/>
          <w:szCs w:val="20"/>
        </w:rPr>
        <w:t>信息系统工程合同一般可以归类于建设工程合同，根据民法典规定，建设工</w:t>
      </w:r>
      <w:r>
        <w:rPr>
          <w:spacing w:val="8"/>
          <w:sz w:val="20"/>
          <w:szCs w:val="20"/>
        </w:rPr>
        <w:t>程合同应当</w:t>
      </w:r>
      <w:r>
        <w:rPr>
          <w:sz w:val="20"/>
          <w:szCs w:val="20"/>
        </w:rPr>
        <w:t xml:space="preserve">  </w:t>
      </w:r>
      <w:r>
        <w:rPr>
          <w:spacing w:val="6"/>
          <w:sz w:val="20"/>
          <w:szCs w:val="20"/>
        </w:rPr>
        <w:t>采用书面形式。这是因为此类合同一般具有合同标额</w:t>
      </w:r>
      <w:r>
        <w:rPr>
          <w:spacing w:val="5"/>
          <w:sz w:val="20"/>
          <w:szCs w:val="20"/>
        </w:rPr>
        <w:t>大、合同内容复杂、履行期较长等特点，</w:t>
      </w:r>
      <w:r>
        <w:rPr>
          <w:sz w:val="20"/>
          <w:szCs w:val="20"/>
        </w:rPr>
        <w:t xml:space="preserve"> </w:t>
      </w:r>
      <w:r>
        <w:rPr>
          <w:spacing w:val="3"/>
          <w:sz w:val="20"/>
          <w:szCs w:val="20"/>
        </w:rPr>
        <w:t>如果采用口头合同，</w:t>
      </w:r>
      <w:r>
        <w:rPr>
          <w:spacing w:val="-17"/>
          <w:sz w:val="20"/>
          <w:szCs w:val="20"/>
        </w:rPr>
        <w:t xml:space="preserve"> </w:t>
      </w:r>
      <w:r>
        <w:rPr>
          <w:spacing w:val="3"/>
          <w:sz w:val="20"/>
          <w:szCs w:val="20"/>
        </w:rPr>
        <w:t>一旦发生纠纷则难以举</w:t>
      </w:r>
      <w:r>
        <w:rPr>
          <w:spacing w:val="2"/>
          <w:sz w:val="20"/>
          <w:szCs w:val="20"/>
        </w:rPr>
        <w:t>证，不易分清责任。采用书面形式，</w:t>
      </w:r>
      <w:r>
        <w:rPr>
          <w:spacing w:val="64"/>
          <w:sz w:val="20"/>
          <w:szCs w:val="20"/>
        </w:rPr>
        <w:t xml:space="preserve"> </w:t>
      </w:r>
      <w:r>
        <w:rPr>
          <w:spacing w:val="2"/>
          <w:sz w:val="20"/>
          <w:szCs w:val="20"/>
        </w:rPr>
        <w:t>一方面可以</w:t>
      </w:r>
      <w:r>
        <w:rPr>
          <w:sz w:val="20"/>
          <w:szCs w:val="20"/>
        </w:rPr>
        <w:t xml:space="preserve">  </w:t>
      </w:r>
      <w:r>
        <w:rPr>
          <w:spacing w:val="8"/>
          <w:sz w:val="20"/>
          <w:szCs w:val="20"/>
        </w:rPr>
        <w:t xml:space="preserve">使合同双方权利义务固定化，从而减少纠纷，便于合同的履行；另一方面，如果合同双方发  生纠纷，也便于人民法院分清是非，进而确定责任。此外，信息系统工程合同还可能包含技  术开发合同、技术转让合同以及技术许可合同，此类合同按照民法典规定，也应当采用书面  </w:t>
      </w:r>
      <w:r>
        <w:rPr>
          <w:spacing w:val="1"/>
          <w:sz w:val="20"/>
          <w:szCs w:val="20"/>
        </w:rPr>
        <w:t>形式。公众号：项目管理课堂</w:t>
      </w:r>
    </w:p>
    <w:p w14:paraId="5DCC9D46">
      <w:pPr>
        <w:pStyle w:val="2"/>
        <w:spacing w:before="78" w:line="280" w:lineRule="auto"/>
        <w:ind w:left="360" w:right="20" w:firstLine="409"/>
        <w:jc w:val="both"/>
        <w:rPr>
          <w:sz w:val="20"/>
          <w:szCs w:val="20"/>
        </w:rPr>
      </w:pPr>
      <w:r>
        <w:rPr>
          <w:spacing w:val="3"/>
          <w:sz w:val="20"/>
          <w:szCs w:val="20"/>
        </w:rPr>
        <w:t>信息系统工程建设项目具有投资大、工期长、技术复杂、受时间和环境影响大、不可预见</w:t>
      </w:r>
      <w:r>
        <w:rPr>
          <w:spacing w:val="12"/>
          <w:sz w:val="20"/>
          <w:szCs w:val="20"/>
        </w:rPr>
        <w:t xml:space="preserve"> </w:t>
      </w:r>
      <w:r>
        <w:rPr>
          <w:sz w:val="20"/>
          <w:szCs w:val="20"/>
        </w:rPr>
        <w:t>性因素多的特点。信息系统工程合同应尽量做到内容完整，条款详尽，表述明确、严密。为此，</w:t>
      </w:r>
      <w:r>
        <w:rPr>
          <w:spacing w:val="8"/>
          <w:sz w:val="20"/>
          <w:szCs w:val="20"/>
        </w:rPr>
        <w:t xml:space="preserve"> </w:t>
      </w:r>
      <w:r>
        <w:rPr>
          <w:spacing w:val="4"/>
          <w:sz w:val="20"/>
          <w:szCs w:val="20"/>
        </w:rPr>
        <w:t>合同谈判人员要在合法、依法、平等原则的基础上，通过对信息系统工程信息的调研与反馈，</w:t>
      </w:r>
      <w:r>
        <w:rPr>
          <w:spacing w:val="14"/>
          <w:sz w:val="20"/>
          <w:szCs w:val="20"/>
        </w:rPr>
        <w:t xml:space="preserve"> </w:t>
      </w:r>
      <w:r>
        <w:rPr>
          <w:spacing w:val="-3"/>
          <w:sz w:val="20"/>
          <w:szCs w:val="20"/>
        </w:rPr>
        <w:t>制定出严密、周详、可行的谈判方案。</w:t>
      </w:r>
    </w:p>
    <w:p w14:paraId="099C5885">
      <w:pPr>
        <w:pStyle w:val="2"/>
        <w:spacing w:before="133" w:line="222" w:lineRule="auto"/>
        <w:ind w:left="772"/>
        <w:rPr>
          <w:rFonts w:ascii="黑体" w:hAnsi="黑体" w:eastAsia="黑体" w:cs="黑体"/>
          <w:sz w:val="20"/>
          <w:szCs w:val="20"/>
        </w:rPr>
      </w:pPr>
      <w:bookmarkStart w:id="647" w:name="bookmark632"/>
      <w:bookmarkEnd w:id="647"/>
      <w:r>
        <w:rPr>
          <w:b/>
          <w:bCs/>
          <w:color w:val="0077BC"/>
          <w:sz w:val="20"/>
          <w:szCs w:val="20"/>
        </w:rPr>
        <w:t>2.</w:t>
      </w:r>
      <w:r>
        <w:rPr>
          <w:rFonts w:ascii="黑体" w:hAnsi="黑体" w:eastAsia="黑体" w:cs="黑体"/>
          <w:b/>
          <w:bCs/>
          <w:color w:val="0077BC"/>
          <w:sz w:val="20"/>
          <w:szCs w:val="20"/>
        </w:rPr>
        <w:t>合同的履行管理</w:t>
      </w:r>
    </w:p>
    <w:p w14:paraId="75D21302">
      <w:pPr>
        <w:pStyle w:val="2"/>
        <w:spacing w:before="162" w:line="255" w:lineRule="auto"/>
        <w:ind w:left="360" w:right="92" w:firstLine="409"/>
        <w:rPr>
          <w:sz w:val="20"/>
          <w:szCs w:val="20"/>
        </w:rPr>
      </w:pPr>
      <w:r>
        <w:rPr>
          <w:spacing w:val="3"/>
          <w:sz w:val="20"/>
          <w:szCs w:val="20"/>
        </w:rPr>
        <w:t>合同的履行管理是指监理工程师对合同各方关于合同约定的工期、质量和费用、争议解决</w:t>
      </w:r>
      <w:r>
        <w:rPr>
          <w:spacing w:val="9"/>
          <w:sz w:val="20"/>
          <w:szCs w:val="20"/>
        </w:rPr>
        <w:t xml:space="preserve"> </w:t>
      </w:r>
      <w:r>
        <w:rPr>
          <w:spacing w:val="-3"/>
          <w:sz w:val="20"/>
          <w:szCs w:val="20"/>
        </w:rPr>
        <w:t>及索赔处理等工作的管理。</w:t>
      </w:r>
    </w:p>
    <w:p w14:paraId="3314DD48">
      <w:pPr>
        <w:spacing w:before="134" w:line="223" w:lineRule="auto"/>
        <w:ind w:left="770"/>
        <w:rPr>
          <w:rFonts w:ascii="楷体" w:hAnsi="楷体" w:eastAsia="楷体" w:cs="楷体"/>
          <w:sz w:val="20"/>
          <w:szCs w:val="20"/>
        </w:rPr>
      </w:pPr>
      <w:r>
        <w:rPr>
          <w:rFonts w:ascii="楷体" w:hAnsi="楷体" w:eastAsia="楷体" w:cs="楷体"/>
          <w:spacing w:val="4"/>
          <w:sz w:val="20"/>
          <w:szCs w:val="20"/>
        </w:rPr>
        <w:t>1)履约管理的依据——合同分析</w:t>
      </w:r>
    </w:p>
    <w:p w14:paraId="41E4E214">
      <w:pPr>
        <w:pStyle w:val="2"/>
        <w:spacing w:before="82" w:line="273" w:lineRule="auto"/>
        <w:ind w:left="360" w:right="90" w:firstLine="409"/>
        <w:rPr>
          <w:sz w:val="20"/>
          <w:szCs w:val="20"/>
        </w:rPr>
      </w:pPr>
      <w:r>
        <w:rPr>
          <w:spacing w:val="3"/>
          <w:sz w:val="20"/>
          <w:szCs w:val="20"/>
        </w:rPr>
        <w:t>合同分析是从执行的角度分析、补充、解释合同，将合同目标和合同规定落实到合同实施</w:t>
      </w:r>
      <w:r>
        <w:rPr>
          <w:spacing w:val="11"/>
          <w:sz w:val="20"/>
          <w:szCs w:val="20"/>
        </w:rPr>
        <w:t xml:space="preserve"> </w:t>
      </w:r>
      <w:r>
        <w:rPr>
          <w:spacing w:val="-2"/>
          <w:sz w:val="20"/>
          <w:szCs w:val="20"/>
        </w:rPr>
        <w:t>的具体问题和具体事件上。合同分析主要包括以下几方面内容：</w:t>
      </w:r>
    </w:p>
    <w:p w14:paraId="20EFC452">
      <w:pPr>
        <w:pStyle w:val="2"/>
        <w:spacing w:before="30" w:line="219" w:lineRule="auto"/>
        <w:ind w:left="770"/>
        <w:rPr>
          <w:sz w:val="20"/>
          <w:szCs w:val="20"/>
        </w:rPr>
      </w:pPr>
      <w:r>
        <w:rPr>
          <w:spacing w:val="3"/>
          <w:sz w:val="20"/>
          <w:szCs w:val="20"/>
        </w:rPr>
        <w:t>(1)分析合同漏洞，解释争议内容。</w:t>
      </w:r>
    </w:p>
    <w:p w14:paraId="74801F96">
      <w:pPr>
        <w:pStyle w:val="2"/>
        <w:spacing w:before="83" w:line="279" w:lineRule="auto"/>
        <w:ind w:left="360" w:right="84" w:firstLine="409"/>
        <w:rPr>
          <w:sz w:val="20"/>
          <w:szCs w:val="20"/>
        </w:rPr>
      </w:pPr>
      <w:r>
        <w:rPr>
          <w:spacing w:val="3"/>
          <w:sz w:val="20"/>
          <w:szCs w:val="20"/>
        </w:rPr>
        <w:t>信息系统工程实施的情况是千变万化的，标准的合同也难免会有漏洞，找出漏洞并加以补</w:t>
      </w:r>
      <w:r>
        <w:rPr>
          <w:spacing w:val="17"/>
          <w:sz w:val="20"/>
          <w:szCs w:val="20"/>
        </w:rPr>
        <w:t xml:space="preserve"> </w:t>
      </w:r>
      <w:r>
        <w:rPr>
          <w:spacing w:val="3"/>
          <w:sz w:val="20"/>
          <w:szCs w:val="20"/>
        </w:rPr>
        <w:t>充，可以减少合同双方在合同执行过程中产生不必要的歧义、争议或其他合同履行不顺畅等情</w:t>
      </w:r>
      <w:r>
        <w:rPr>
          <w:spacing w:val="15"/>
          <w:sz w:val="20"/>
          <w:szCs w:val="20"/>
        </w:rPr>
        <w:t xml:space="preserve"> </w:t>
      </w:r>
      <w:r>
        <w:rPr>
          <w:spacing w:val="4"/>
          <w:sz w:val="20"/>
          <w:szCs w:val="20"/>
        </w:rPr>
        <w:t>况。另外，合同双方争执的起因往往是对合同条</w:t>
      </w:r>
      <w:r>
        <w:rPr>
          <w:spacing w:val="3"/>
          <w:sz w:val="20"/>
          <w:szCs w:val="20"/>
        </w:rPr>
        <w:t>款的理解不一致，分析条文的意思，就条文的</w:t>
      </w:r>
      <w:r>
        <w:rPr>
          <w:sz w:val="20"/>
          <w:szCs w:val="20"/>
        </w:rPr>
        <w:t xml:space="preserve"> </w:t>
      </w:r>
      <w:r>
        <w:rPr>
          <w:spacing w:val="-2"/>
          <w:sz w:val="20"/>
          <w:szCs w:val="20"/>
        </w:rPr>
        <w:t>理解达成一致，才能为索赔工作打开通道。</w:t>
      </w:r>
    </w:p>
    <w:p w14:paraId="51367DE5">
      <w:pPr>
        <w:pStyle w:val="2"/>
        <w:spacing w:before="41" w:line="220" w:lineRule="auto"/>
        <w:ind w:left="770"/>
        <w:rPr>
          <w:sz w:val="20"/>
          <w:szCs w:val="20"/>
        </w:rPr>
      </w:pPr>
      <w:r>
        <w:rPr>
          <w:spacing w:val="3"/>
          <w:sz w:val="20"/>
          <w:szCs w:val="20"/>
        </w:rPr>
        <w:t>(2)分析合同风险，制定风险对策。</w:t>
      </w:r>
    </w:p>
    <w:p w14:paraId="08FAB9BE">
      <w:pPr>
        <w:pStyle w:val="2"/>
        <w:spacing w:before="71" w:line="256" w:lineRule="auto"/>
        <w:ind w:left="360" w:right="82" w:firstLine="409"/>
        <w:rPr>
          <w:sz w:val="20"/>
          <w:szCs w:val="20"/>
        </w:rPr>
      </w:pPr>
      <w:r>
        <w:rPr>
          <w:spacing w:val="4"/>
          <w:sz w:val="20"/>
          <w:szCs w:val="20"/>
        </w:rPr>
        <w:t>界定和确认项目所承担的风险是什么、风险</w:t>
      </w:r>
      <w:r>
        <w:rPr>
          <w:spacing w:val="3"/>
          <w:sz w:val="20"/>
          <w:szCs w:val="20"/>
        </w:rPr>
        <w:t>影响程度的大小，才能找到对策和措施去控制</w:t>
      </w:r>
      <w:r>
        <w:rPr>
          <w:sz w:val="20"/>
          <w:szCs w:val="20"/>
        </w:rPr>
        <w:t xml:space="preserve"> </w:t>
      </w:r>
      <w:r>
        <w:rPr>
          <w:spacing w:val="-5"/>
          <w:sz w:val="20"/>
          <w:szCs w:val="20"/>
        </w:rPr>
        <w:t>风险、规避风险。</w:t>
      </w:r>
    </w:p>
    <w:p w14:paraId="15B5AE6D">
      <w:pPr>
        <w:pStyle w:val="2"/>
        <w:spacing w:before="46" w:line="219" w:lineRule="auto"/>
        <w:ind w:left="770"/>
        <w:rPr>
          <w:sz w:val="20"/>
          <w:szCs w:val="20"/>
        </w:rPr>
      </w:pPr>
      <w:r>
        <w:rPr>
          <w:spacing w:val="3"/>
          <w:sz w:val="20"/>
          <w:szCs w:val="20"/>
        </w:rPr>
        <w:t>(3)分解合同并落实合同责任。</w:t>
      </w:r>
    </w:p>
    <w:p w14:paraId="40E1F2D0">
      <w:pPr>
        <w:pStyle w:val="2"/>
        <w:spacing w:before="80" w:line="272" w:lineRule="auto"/>
        <w:ind w:left="360" w:firstLine="409"/>
        <w:rPr>
          <w:sz w:val="20"/>
          <w:szCs w:val="20"/>
        </w:rPr>
      </w:pPr>
      <w:r>
        <w:rPr>
          <w:spacing w:val="3"/>
          <w:sz w:val="20"/>
          <w:szCs w:val="20"/>
        </w:rPr>
        <w:t>主要是加强合同的交底工作，项目监理机构对所有的合同均进行交底，以会议与书面相结</w:t>
      </w:r>
      <w:r>
        <w:rPr>
          <w:spacing w:val="6"/>
          <w:sz w:val="20"/>
          <w:szCs w:val="20"/>
        </w:rPr>
        <w:t xml:space="preserve">  </w:t>
      </w:r>
      <w:r>
        <w:rPr>
          <w:spacing w:val="3"/>
          <w:sz w:val="20"/>
          <w:szCs w:val="20"/>
        </w:rPr>
        <w:t>合的形式向监理人员介绍各个合同的承包范围、各方的责任与义务、合同的主要经济指标、合</w:t>
      </w:r>
      <w:r>
        <w:rPr>
          <w:spacing w:val="7"/>
          <w:sz w:val="20"/>
          <w:szCs w:val="20"/>
        </w:rPr>
        <w:t xml:space="preserve">  </w:t>
      </w:r>
      <w:r>
        <w:rPr>
          <w:spacing w:val="1"/>
          <w:sz w:val="20"/>
          <w:szCs w:val="20"/>
        </w:rPr>
        <w:t>同存在的风险、履约中应注意的问题，将合同责任进行分解，具</w:t>
      </w:r>
      <w:r>
        <w:rPr>
          <w:sz w:val="20"/>
          <w:szCs w:val="20"/>
        </w:rPr>
        <w:t xml:space="preserve">体落实到承建单位和业主单位。 </w:t>
      </w:r>
      <w:r>
        <w:rPr>
          <w:spacing w:val="5"/>
          <w:sz w:val="20"/>
          <w:szCs w:val="20"/>
        </w:rPr>
        <w:t>同时设置专职合同管理人员，对项目各部门的履约情况进行管理、分析，协调各部门的联系，</w:t>
      </w:r>
      <w:r>
        <w:rPr>
          <w:spacing w:val="3"/>
          <w:sz w:val="20"/>
          <w:szCs w:val="20"/>
        </w:rPr>
        <w:t xml:space="preserve"> </w:t>
      </w:r>
      <w:r>
        <w:rPr>
          <w:spacing w:val="-1"/>
          <w:sz w:val="20"/>
          <w:szCs w:val="20"/>
        </w:rPr>
        <w:t>这样可加大合同管理力度，提高全员合同管理的意识。</w:t>
      </w:r>
    </w:p>
    <w:p w14:paraId="7343DBAB">
      <w:pPr>
        <w:spacing w:line="272" w:lineRule="auto"/>
        <w:rPr>
          <w:sz w:val="20"/>
          <w:szCs w:val="20"/>
        </w:rPr>
        <w:sectPr>
          <w:pgSz w:w="10300" w:h="13450"/>
          <w:pgMar w:top="400" w:right="1009" w:bottom="400" w:left="499" w:header="0" w:footer="0" w:gutter="0"/>
          <w:cols w:space="720" w:num="1"/>
        </w:sectPr>
      </w:pPr>
    </w:p>
    <w:p w14:paraId="08758851">
      <w:pPr>
        <w:pStyle w:val="2"/>
        <w:jc w:val="right"/>
        <w:rPr>
          <w:rFonts w:ascii="Times New Roman" w:hAnsi="Times New Roman" w:eastAsia="Times New Roman" w:cs="Times New Roman"/>
          <w:sz w:val="19"/>
          <w:szCs w:val="19"/>
        </w:rPr>
      </w:pPr>
      <w:r>
        <w:rPr>
          <w:spacing w:val="5"/>
          <w:sz w:val="19"/>
          <w:szCs w:val="19"/>
        </w:rPr>
        <w:t>第13章</w:t>
      </w:r>
      <w:r>
        <w:rPr>
          <w:spacing w:val="41"/>
          <w:sz w:val="19"/>
          <w:szCs w:val="19"/>
        </w:rPr>
        <w:t xml:space="preserve"> </w:t>
      </w:r>
      <w:r>
        <w:rPr>
          <w:spacing w:val="5"/>
          <w:sz w:val="19"/>
          <w:szCs w:val="19"/>
        </w:rPr>
        <w:t xml:space="preserve">合同管理 </w:t>
      </w:r>
      <w:r>
        <w:rPr>
          <w:position w:val="-12"/>
          <w:sz w:val="19"/>
          <w:szCs w:val="19"/>
        </w:rPr>
        <w:drawing>
          <wp:inline distT="0" distB="0" distL="0" distR="0">
            <wp:extent cx="323215" cy="24701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201"/>
                    <a:stretch>
                      <a:fillRect/>
                    </a:stretch>
                  </pic:blipFill>
                  <pic:spPr>
                    <a:xfrm>
                      <a:off x="0" y="0"/>
                      <a:ext cx="323844" cy="247605"/>
                    </a:xfrm>
                    <a:prstGeom prst="rect">
                      <a:avLst/>
                    </a:prstGeom>
                  </pic:spPr>
                </pic:pic>
              </a:graphicData>
            </a:graphic>
          </wp:inline>
        </w:drawing>
      </w:r>
      <w:r>
        <w:rPr>
          <w:rFonts w:ascii="Times New Roman" w:hAnsi="Times New Roman" w:eastAsia="Times New Roman" w:cs="Times New Roman"/>
          <w:spacing w:val="5"/>
          <w:position w:val="1"/>
          <w:sz w:val="19"/>
          <w:szCs w:val="19"/>
        </w:rPr>
        <w:t>305</w:t>
      </w:r>
    </w:p>
    <w:p w14:paraId="6BE87B98">
      <w:pPr>
        <w:spacing w:line="247" w:lineRule="auto"/>
        <w:rPr>
          <w:rFonts w:ascii="Arial"/>
          <w:sz w:val="21"/>
        </w:rPr>
      </w:pPr>
    </w:p>
    <w:p w14:paraId="30D8D120">
      <w:pPr>
        <w:spacing w:before="61" w:line="223" w:lineRule="auto"/>
        <w:ind w:left="402"/>
        <w:rPr>
          <w:rFonts w:ascii="楷体" w:hAnsi="楷体" w:eastAsia="楷体" w:cs="楷体"/>
          <w:sz w:val="19"/>
          <w:szCs w:val="19"/>
        </w:rPr>
      </w:pPr>
      <w:bookmarkStart w:id="648" w:name="bookmark633"/>
      <w:bookmarkEnd w:id="648"/>
      <w:r>
        <w:rPr>
          <w:rFonts w:ascii="楷体" w:hAnsi="楷体" w:eastAsia="楷体" w:cs="楷体"/>
          <w:b/>
          <w:bCs/>
          <w:spacing w:val="13"/>
          <w:sz w:val="19"/>
          <w:szCs w:val="19"/>
        </w:rPr>
        <w:t>2)履约管理的方式——合同控制</w:t>
      </w:r>
    </w:p>
    <w:p w14:paraId="0396AC2E">
      <w:pPr>
        <w:pStyle w:val="2"/>
        <w:spacing w:before="88" w:line="307" w:lineRule="auto"/>
        <w:ind w:right="332" w:firstLine="399"/>
        <w:rPr>
          <w:sz w:val="19"/>
          <w:szCs w:val="19"/>
        </w:rPr>
      </w:pPr>
      <w:r>
        <w:rPr>
          <w:spacing w:val="12"/>
          <w:sz w:val="19"/>
          <w:szCs w:val="19"/>
        </w:rPr>
        <w:t>合同控制是指为保证合同所约定的各项义务的全面完成及各项权利的实现，以合同分析的</w:t>
      </w:r>
      <w:r>
        <w:rPr>
          <w:spacing w:val="16"/>
          <w:sz w:val="19"/>
          <w:szCs w:val="19"/>
        </w:rPr>
        <w:t xml:space="preserve"> </w:t>
      </w:r>
      <w:r>
        <w:rPr>
          <w:spacing w:val="9"/>
          <w:sz w:val="19"/>
          <w:szCs w:val="19"/>
        </w:rPr>
        <w:t>成果为基准，对整个合同实施过程的全面监督、检查、对比、引导及</w:t>
      </w:r>
      <w:r>
        <w:rPr>
          <w:spacing w:val="8"/>
          <w:sz w:val="19"/>
          <w:szCs w:val="19"/>
        </w:rPr>
        <w:t>纠正的管理活动。</w:t>
      </w:r>
    </w:p>
    <w:p w14:paraId="6DAAFEAA">
      <w:pPr>
        <w:pStyle w:val="2"/>
        <w:spacing w:before="17" w:line="293" w:lineRule="auto"/>
        <w:ind w:right="317" w:firstLine="399"/>
        <w:rPr>
          <w:sz w:val="19"/>
          <w:szCs w:val="19"/>
        </w:rPr>
      </w:pPr>
      <w:r>
        <w:rPr>
          <w:spacing w:val="13"/>
          <w:sz w:val="19"/>
          <w:szCs w:val="19"/>
        </w:rPr>
        <w:t>合同的控制方法分为主动控制和被动控制。主动控制是预先分析目标</w:t>
      </w:r>
      <w:r>
        <w:rPr>
          <w:spacing w:val="12"/>
          <w:sz w:val="19"/>
          <w:szCs w:val="19"/>
        </w:rPr>
        <w:t>偏离的可能性，拟订</w:t>
      </w:r>
      <w:r>
        <w:rPr>
          <w:sz w:val="19"/>
          <w:szCs w:val="19"/>
        </w:rPr>
        <w:t xml:space="preserve"> </w:t>
      </w:r>
      <w:r>
        <w:rPr>
          <w:spacing w:val="13"/>
          <w:sz w:val="19"/>
          <w:szCs w:val="19"/>
        </w:rPr>
        <w:t>和采取预防性措施，以保证目标得以实现；被动控制是从合</w:t>
      </w:r>
      <w:r>
        <w:rPr>
          <w:spacing w:val="12"/>
          <w:sz w:val="19"/>
          <w:szCs w:val="19"/>
        </w:rPr>
        <w:t>同的执行中发现偏差，对偏差采取</w:t>
      </w:r>
      <w:r>
        <w:rPr>
          <w:sz w:val="19"/>
          <w:szCs w:val="19"/>
        </w:rPr>
        <w:t xml:space="preserve"> </w:t>
      </w:r>
      <w:r>
        <w:rPr>
          <w:spacing w:val="5"/>
          <w:sz w:val="19"/>
          <w:szCs w:val="19"/>
        </w:rPr>
        <w:t>措施及时纠正的控制方式。</w:t>
      </w:r>
    </w:p>
    <w:p w14:paraId="69E6E39C">
      <w:pPr>
        <w:pStyle w:val="2"/>
        <w:spacing w:before="45" w:line="219" w:lineRule="auto"/>
        <w:ind w:left="399"/>
        <w:rPr>
          <w:sz w:val="19"/>
          <w:szCs w:val="19"/>
        </w:rPr>
      </w:pPr>
      <w:r>
        <w:rPr>
          <w:spacing w:val="8"/>
          <w:sz w:val="19"/>
          <w:szCs w:val="19"/>
        </w:rPr>
        <w:t>合同控制的首要内容是对合同实施情况进行追踪，追踪的对象包括：</w:t>
      </w:r>
    </w:p>
    <w:p w14:paraId="1460824D">
      <w:pPr>
        <w:pStyle w:val="2"/>
        <w:spacing w:before="73" w:line="219" w:lineRule="auto"/>
        <w:ind w:left="399"/>
        <w:rPr>
          <w:sz w:val="19"/>
          <w:szCs w:val="19"/>
        </w:rPr>
      </w:pPr>
      <w:r>
        <w:rPr>
          <w:spacing w:val="12"/>
          <w:sz w:val="19"/>
          <w:szCs w:val="19"/>
        </w:rPr>
        <w:t>●具体的合同事件。包括项目的质量、工期、成本。</w:t>
      </w:r>
    </w:p>
    <w:p w14:paraId="10B52ABF">
      <w:pPr>
        <w:pStyle w:val="2"/>
        <w:spacing w:before="106" w:line="219" w:lineRule="auto"/>
        <w:ind w:left="399"/>
        <w:rPr>
          <w:sz w:val="19"/>
          <w:szCs w:val="19"/>
        </w:rPr>
      </w:pPr>
      <w:r>
        <w:rPr>
          <w:spacing w:val="11"/>
          <w:sz w:val="19"/>
          <w:szCs w:val="19"/>
        </w:rPr>
        <w:t>●承建单位的工作。对承建单位的项目缺陷提出整改意见，并责成改进。</w:t>
      </w:r>
    </w:p>
    <w:p w14:paraId="79844594">
      <w:pPr>
        <w:pStyle w:val="2"/>
        <w:spacing w:before="94" w:line="270" w:lineRule="auto"/>
        <w:ind w:left="688" w:right="304" w:hanging="289"/>
        <w:rPr>
          <w:sz w:val="19"/>
          <w:szCs w:val="19"/>
        </w:rPr>
      </w:pPr>
      <w:r>
        <w:rPr>
          <w:spacing w:val="13"/>
          <w:sz w:val="19"/>
          <w:szCs w:val="19"/>
        </w:rPr>
        <w:t>●业主单位的工作。例如，业主单位是否及时下达命令，是否及时对承建单位的问题做出</w:t>
      </w:r>
      <w:r>
        <w:rPr>
          <w:spacing w:val="4"/>
          <w:sz w:val="19"/>
          <w:szCs w:val="19"/>
        </w:rPr>
        <w:t xml:space="preserve"> </w:t>
      </w:r>
      <w:r>
        <w:rPr>
          <w:spacing w:val="7"/>
          <w:sz w:val="19"/>
          <w:szCs w:val="19"/>
        </w:rPr>
        <w:t>答复，以及是否及时支付项目款项。</w:t>
      </w:r>
    </w:p>
    <w:p w14:paraId="4DEB40AD">
      <w:pPr>
        <w:pStyle w:val="2"/>
        <w:spacing w:before="95" w:line="274" w:lineRule="auto"/>
        <w:ind w:left="688" w:right="318" w:hanging="289"/>
        <w:rPr>
          <w:sz w:val="19"/>
          <w:szCs w:val="19"/>
        </w:rPr>
      </w:pPr>
      <w:r>
        <w:rPr>
          <w:spacing w:val="18"/>
          <w:sz w:val="19"/>
          <w:szCs w:val="19"/>
        </w:rPr>
        <w:t>●总体情况。例如，整体项目的秩序如何，已完工项目是否通过验收，有无大的项目事</w:t>
      </w:r>
      <w:r>
        <w:rPr>
          <w:spacing w:val="3"/>
          <w:sz w:val="19"/>
          <w:szCs w:val="19"/>
        </w:rPr>
        <w:t xml:space="preserve"> </w:t>
      </w:r>
      <w:r>
        <w:rPr>
          <w:spacing w:val="7"/>
          <w:sz w:val="19"/>
          <w:szCs w:val="19"/>
        </w:rPr>
        <w:t>故，进度是否出现拖期，计划和实际成本有无大的偏差等。</w:t>
      </w:r>
    </w:p>
    <w:p w14:paraId="08598CF8">
      <w:pPr>
        <w:pStyle w:val="2"/>
        <w:spacing w:before="105" w:line="297" w:lineRule="auto"/>
        <w:ind w:right="231" w:firstLine="399"/>
        <w:jc w:val="both"/>
        <w:rPr>
          <w:sz w:val="19"/>
          <w:szCs w:val="19"/>
        </w:rPr>
      </w:pPr>
      <w:r>
        <w:rPr>
          <w:spacing w:val="15"/>
          <w:sz w:val="19"/>
          <w:szCs w:val="19"/>
        </w:rPr>
        <w:t>通过追踪收集、整理能够反映出实际状况的各种资料和数据，例如进度报表、质量报告、</w:t>
      </w:r>
      <w:r>
        <w:rPr>
          <w:sz w:val="19"/>
          <w:szCs w:val="19"/>
        </w:rPr>
        <w:t xml:space="preserve"> </w:t>
      </w:r>
      <w:r>
        <w:rPr>
          <w:spacing w:val="13"/>
          <w:sz w:val="19"/>
          <w:szCs w:val="19"/>
        </w:rPr>
        <w:t>成本和费用收支报表等，将这些信息与工程目标、合同文件进行对比分析</w:t>
      </w:r>
      <w:r>
        <w:rPr>
          <w:spacing w:val="12"/>
          <w:sz w:val="19"/>
          <w:szCs w:val="19"/>
        </w:rPr>
        <w:t>，对偏差进行处理和</w:t>
      </w:r>
      <w:r>
        <w:rPr>
          <w:sz w:val="19"/>
          <w:szCs w:val="19"/>
        </w:rPr>
        <w:t xml:space="preserve">  </w:t>
      </w:r>
      <w:r>
        <w:rPr>
          <w:spacing w:val="14"/>
          <w:sz w:val="19"/>
          <w:szCs w:val="19"/>
        </w:rPr>
        <w:t>调整。偏差处理和调整可以采取管理措施，例如派遣得力的管理人员；也可以采取技术措施，</w:t>
      </w:r>
      <w:r>
        <w:rPr>
          <w:spacing w:val="9"/>
          <w:sz w:val="19"/>
          <w:szCs w:val="19"/>
        </w:rPr>
        <w:t xml:space="preserve"> </w:t>
      </w:r>
      <w:r>
        <w:rPr>
          <w:spacing w:val="13"/>
          <w:sz w:val="19"/>
          <w:szCs w:val="19"/>
        </w:rPr>
        <w:t>例如采取更有效的实施方案或新技术；还可以采取经济措施对工作人</w:t>
      </w:r>
      <w:r>
        <w:rPr>
          <w:spacing w:val="12"/>
          <w:sz w:val="19"/>
          <w:szCs w:val="19"/>
        </w:rPr>
        <w:t>员进行经济激励。在各种</w:t>
      </w:r>
      <w:r>
        <w:rPr>
          <w:sz w:val="19"/>
          <w:szCs w:val="19"/>
        </w:rPr>
        <w:t xml:space="preserve">  </w:t>
      </w:r>
      <w:r>
        <w:rPr>
          <w:spacing w:val="9"/>
          <w:sz w:val="19"/>
          <w:szCs w:val="19"/>
        </w:rPr>
        <w:t>补救措施都无法达到目的时，最有效的措施是合同措施，例如找出承建单位或业主单位的责任，</w:t>
      </w:r>
      <w:r>
        <w:rPr>
          <w:spacing w:val="15"/>
          <w:sz w:val="19"/>
          <w:szCs w:val="19"/>
        </w:rPr>
        <w:t xml:space="preserve"> </w:t>
      </w:r>
      <w:r>
        <w:rPr>
          <w:spacing w:val="6"/>
          <w:sz w:val="19"/>
          <w:szCs w:val="19"/>
        </w:rPr>
        <w:t>建议通过索赔降低受损方的损失。</w:t>
      </w:r>
    </w:p>
    <w:p w14:paraId="6B3DFA79">
      <w:pPr>
        <w:spacing w:before="120" w:line="223" w:lineRule="auto"/>
        <w:ind w:left="402"/>
        <w:rPr>
          <w:rFonts w:ascii="楷体" w:hAnsi="楷体" w:eastAsia="楷体" w:cs="楷体"/>
          <w:sz w:val="19"/>
          <w:szCs w:val="19"/>
        </w:rPr>
      </w:pPr>
      <w:r>
        <w:rPr>
          <w:rFonts w:ascii="楷体" w:hAnsi="楷体" w:eastAsia="楷体" w:cs="楷体"/>
          <w:b/>
          <w:bCs/>
          <w:spacing w:val="12"/>
          <w:sz w:val="19"/>
          <w:szCs w:val="19"/>
        </w:rPr>
        <w:t>3)履约管理的保证——合同监督</w:t>
      </w:r>
    </w:p>
    <w:p w14:paraId="1F1162B1">
      <w:pPr>
        <w:pStyle w:val="2"/>
        <w:spacing w:before="67" w:line="295" w:lineRule="auto"/>
        <w:ind w:right="231" w:firstLine="399"/>
        <w:jc w:val="both"/>
        <w:rPr>
          <w:sz w:val="19"/>
          <w:szCs w:val="19"/>
        </w:rPr>
      </w:pPr>
      <w:r>
        <w:rPr>
          <w:spacing w:val="13"/>
          <w:sz w:val="19"/>
          <w:szCs w:val="19"/>
        </w:rPr>
        <w:t>合同监督就是要经常对合同条款与实际实施情况进行比对，以便</w:t>
      </w:r>
      <w:r>
        <w:rPr>
          <w:spacing w:val="12"/>
          <w:sz w:val="19"/>
          <w:szCs w:val="19"/>
        </w:rPr>
        <w:t>根据合同来掌握项目的进</w:t>
      </w:r>
      <w:r>
        <w:rPr>
          <w:sz w:val="19"/>
          <w:szCs w:val="19"/>
        </w:rPr>
        <w:t xml:space="preserve">  </w:t>
      </w:r>
      <w:r>
        <w:rPr>
          <w:spacing w:val="10"/>
          <w:sz w:val="19"/>
          <w:szCs w:val="19"/>
        </w:rPr>
        <w:t>展。保证设计、开发、实施的精确性，并符合合同要求。合同监督的另一个重要的</w:t>
      </w:r>
      <w:r>
        <w:rPr>
          <w:spacing w:val="9"/>
          <w:sz w:val="19"/>
          <w:szCs w:val="19"/>
        </w:rPr>
        <w:t>内容是检查、</w:t>
      </w:r>
      <w:r>
        <w:rPr>
          <w:sz w:val="19"/>
          <w:szCs w:val="19"/>
        </w:rPr>
        <w:t xml:space="preserve"> </w:t>
      </w:r>
      <w:r>
        <w:rPr>
          <w:spacing w:val="13"/>
          <w:sz w:val="19"/>
          <w:szCs w:val="19"/>
        </w:rPr>
        <w:t>解释双方来往的信函和文件，以及会议记录、业主单位指示等，因为这些内容对合同管理是非</w:t>
      </w:r>
      <w:r>
        <w:rPr>
          <w:spacing w:val="4"/>
          <w:sz w:val="19"/>
          <w:szCs w:val="19"/>
        </w:rPr>
        <w:t xml:space="preserve"> </w:t>
      </w:r>
      <w:r>
        <w:rPr>
          <w:spacing w:val="2"/>
          <w:sz w:val="19"/>
          <w:szCs w:val="19"/>
        </w:rPr>
        <w:t>常重要的。</w:t>
      </w:r>
    </w:p>
    <w:p w14:paraId="6CFEA120">
      <w:pPr>
        <w:pStyle w:val="2"/>
        <w:spacing w:before="35" w:line="219" w:lineRule="auto"/>
        <w:ind w:left="399"/>
        <w:rPr>
          <w:sz w:val="19"/>
          <w:szCs w:val="19"/>
        </w:rPr>
      </w:pPr>
      <w:r>
        <w:rPr>
          <w:spacing w:val="6"/>
          <w:sz w:val="19"/>
          <w:szCs w:val="19"/>
        </w:rPr>
        <w:t>合同的监督管理的具体工作体现在如下几个方面：</w:t>
      </w:r>
    </w:p>
    <w:p w14:paraId="3C0E0BF0">
      <w:pPr>
        <w:pStyle w:val="2"/>
        <w:spacing w:before="94" w:line="261" w:lineRule="auto"/>
        <w:ind w:left="688" w:right="299" w:hanging="289"/>
        <w:rPr>
          <w:sz w:val="19"/>
          <w:szCs w:val="19"/>
        </w:rPr>
      </w:pPr>
      <w:r>
        <w:rPr>
          <w:spacing w:val="13"/>
          <w:sz w:val="19"/>
          <w:szCs w:val="19"/>
        </w:rPr>
        <w:t>●建立合同及信息管理制度，各方对项目的所有指令、批复、报告均以书面形式进行，并</w:t>
      </w:r>
      <w:r>
        <w:rPr>
          <w:spacing w:val="10"/>
          <w:sz w:val="19"/>
          <w:szCs w:val="19"/>
        </w:rPr>
        <w:t xml:space="preserve"> </w:t>
      </w:r>
      <w:r>
        <w:rPr>
          <w:spacing w:val="2"/>
          <w:sz w:val="19"/>
          <w:szCs w:val="19"/>
        </w:rPr>
        <w:t>全部归档。</w:t>
      </w:r>
    </w:p>
    <w:p w14:paraId="15479D8E">
      <w:pPr>
        <w:pStyle w:val="2"/>
        <w:spacing w:before="83" w:line="219" w:lineRule="auto"/>
        <w:ind w:left="399"/>
        <w:rPr>
          <w:sz w:val="19"/>
          <w:szCs w:val="19"/>
        </w:rPr>
      </w:pPr>
      <w:r>
        <w:rPr>
          <w:spacing w:val="12"/>
          <w:sz w:val="19"/>
          <w:szCs w:val="19"/>
        </w:rPr>
        <w:t>●跟踪检查合同的执行情况，督促各方严格</w:t>
      </w:r>
      <w:r>
        <w:rPr>
          <w:spacing w:val="11"/>
          <w:sz w:val="19"/>
          <w:szCs w:val="19"/>
        </w:rPr>
        <w:t>履行合同。</w:t>
      </w:r>
    </w:p>
    <w:p w14:paraId="6BC5F6A5">
      <w:pPr>
        <w:pStyle w:val="2"/>
        <w:spacing w:before="96" w:line="219" w:lineRule="auto"/>
        <w:ind w:left="399"/>
        <w:rPr>
          <w:sz w:val="19"/>
          <w:szCs w:val="19"/>
        </w:rPr>
      </w:pPr>
      <w:r>
        <w:rPr>
          <w:spacing w:val="11"/>
          <w:sz w:val="19"/>
          <w:szCs w:val="19"/>
        </w:rPr>
        <w:t>●严格按规定的程序和时限对合同工期的延误和延期进</w:t>
      </w:r>
      <w:r>
        <w:rPr>
          <w:spacing w:val="10"/>
          <w:sz w:val="19"/>
          <w:szCs w:val="19"/>
        </w:rPr>
        <w:t>行审核确认。</w:t>
      </w:r>
    </w:p>
    <w:p w14:paraId="1D33B913">
      <w:pPr>
        <w:pStyle w:val="2"/>
        <w:spacing w:before="95" w:line="219" w:lineRule="auto"/>
        <w:ind w:left="399"/>
        <w:rPr>
          <w:sz w:val="19"/>
          <w:szCs w:val="19"/>
        </w:rPr>
      </w:pPr>
      <w:r>
        <w:rPr>
          <w:spacing w:val="11"/>
          <w:sz w:val="19"/>
          <w:szCs w:val="19"/>
        </w:rPr>
        <w:t>●严格按规定的程序和时限对合同变更、索赔等事宜进</w:t>
      </w:r>
      <w:r>
        <w:rPr>
          <w:spacing w:val="10"/>
          <w:sz w:val="19"/>
          <w:szCs w:val="19"/>
        </w:rPr>
        <w:t>行审核确认。</w:t>
      </w:r>
    </w:p>
    <w:p w14:paraId="6031F975">
      <w:pPr>
        <w:pStyle w:val="2"/>
        <w:spacing w:before="94" w:line="219" w:lineRule="auto"/>
        <w:ind w:left="399"/>
        <w:rPr>
          <w:sz w:val="19"/>
          <w:szCs w:val="19"/>
        </w:rPr>
      </w:pPr>
      <w:r>
        <w:rPr>
          <w:spacing w:val="11"/>
          <w:sz w:val="19"/>
          <w:szCs w:val="19"/>
        </w:rPr>
        <w:t>●根据合同约定，审核承建单位提交的支付申请，签发付款凭证。</w:t>
      </w:r>
    </w:p>
    <w:p w14:paraId="2F77E9CA">
      <w:pPr>
        <w:pStyle w:val="2"/>
        <w:spacing w:before="75" w:line="269" w:lineRule="auto"/>
        <w:ind w:left="688" w:right="318" w:hanging="289"/>
        <w:rPr>
          <w:sz w:val="19"/>
          <w:szCs w:val="19"/>
        </w:rPr>
      </w:pPr>
      <w:r>
        <w:rPr>
          <w:spacing w:val="13"/>
          <w:sz w:val="19"/>
          <w:szCs w:val="19"/>
        </w:rPr>
        <w:t>●对项目质量、数量、内容等任何形式的变动，均须总监理工程师</w:t>
      </w:r>
      <w:r>
        <w:rPr>
          <w:spacing w:val="12"/>
          <w:sz w:val="19"/>
          <w:szCs w:val="19"/>
        </w:rPr>
        <w:t>审核同意，并报业主单</w:t>
      </w:r>
      <w:r>
        <w:rPr>
          <w:sz w:val="19"/>
          <w:szCs w:val="19"/>
        </w:rPr>
        <w:t xml:space="preserve"> </w:t>
      </w:r>
      <w:r>
        <w:rPr>
          <w:spacing w:val="7"/>
          <w:sz w:val="19"/>
          <w:szCs w:val="19"/>
        </w:rPr>
        <w:t>位批准后，项目变更通知书方能生效。</w:t>
      </w:r>
    </w:p>
    <w:p w14:paraId="39E3ADF3">
      <w:pPr>
        <w:pStyle w:val="2"/>
        <w:spacing w:before="96" w:line="219" w:lineRule="auto"/>
        <w:ind w:left="399"/>
        <w:rPr>
          <w:sz w:val="19"/>
          <w:szCs w:val="19"/>
        </w:rPr>
      </w:pPr>
      <w:r>
        <w:rPr>
          <w:spacing w:val="11"/>
          <w:sz w:val="19"/>
          <w:szCs w:val="19"/>
        </w:rPr>
        <w:t>●及时、详尽记录不可抗力发生时的现场情况。</w:t>
      </w:r>
    </w:p>
    <w:p w14:paraId="0412E5DC">
      <w:pPr>
        <w:pStyle w:val="2"/>
        <w:spacing w:before="95" w:line="219" w:lineRule="auto"/>
        <w:ind w:left="399"/>
        <w:rPr>
          <w:sz w:val="19"/>
          <w:szCs w:val="19"/>
        </w:rPr>
      </w:pPr>
      <w:r>
        <w:rPr>
          <w:spacing w:val="11"/>
          <w:sz w:val="19"/>
          <w:szCs w:val="19"/>
        </w:rPr>
        <w:t>●协调、处理合同争端，及时记录和纠正承建单位的违约行为。</w:t>
      </w:r>
    </w:p>
    <w:p w14:paraId="2EAA1CCE">
      <w:pPr>
        <w:spacing w:line="219" w:lineRule="auto"/>
        <w:rPr>
          <w:sz w:val="19"/>
          <w:szCs w:val="19"/>
        </w:rPr>
        <w:sectPr>
          <w:pgSz w:w="10280" w:h="13340"/>
          <w:pgMar w:top="390" w:right="612" w:bottom="400" w:left="1040" w:header="0" w:footer="0" w:gutter="0"/>
          <w:cols w:space="720" w:num="1"/>
        </w:sectPr>
      </w:pPr>
    </w:p>
    <w:p w14:paraId="1714BEB8">
      <w:pPr>
        <w:pStyle w:val="2"/>
        <w:spacing w:before="78" w:line="219" w:lineRule="auto"/>
        <w:rPr>
          <w:sz w:val="20"/>
          <w:szCs w:val="20"/>
        </w:rPr>
      </w:pPr>
      <w:r>
        <w:rPr>
          <w:rFonts w:ascii="Times New Roman" w:hAnsi="Times New Roman" w:eastAsia="Times New Roman" w:cs="Times New Roman"/>
          <w:spacing w:val="-2"/>
          <w:sz w:val="20"/>
          <w:szCs w:val="20"/>
        </w:rPr>
        <w:t xml:space="preserve">306              </w:t>
      </w:r>
      <w:r>
        <w:rPr>
          <w:spacing w:val="-2"/>
          <w:sz w:val="20"/>
          <w:szCs w:val="20"/>
        </w:rPr>
        <w:t>信息系统监理师教程(第2版)</w:t>
      </w:r>
    </w:p>
    <w:p w14:paraId="38148894">
      <w:pPr>
        <w:spacing w:line="330" w:lineRule="auto"/>
        <w:rPr>
          <w:rFonts w:ascii="Arial"/>
          <w:sz w:val="21"/>
        </w:rPr>
      </w:pPr>
    </w:p>
    <w:p w14:paraId="71E4035B">
      <w:pPr>
        <w:spacing w:before="65" w:line="223" w:lineRule="auto"/>
        <w:ind w:left="759"/>
        <w:rPr>
          <w:rFonts w:ascii="楷体" w:hAnsi="楷体" w:eastAsia="楷体" w:cs="楷体"/>
          <w:sz w:val="20"/>
          <w:szCs w:val="20"/>
        </w:rPr>
      </w:pPr>
      <w:bookmarkStart w:id="649" w:name="bookmark634"/>
      <w:bookmarkEnd w:id="649"/>
      <w:r>
        <w:rPr>
          <w:rFonts w:ascii="楷体" w:hAnsi="楷体" w:eastAsia="楷体" w:cs="楷体"/>
          <w:spacing w:val="5"/>
          <w:sz w:val="20"/>
          <w:szCs w:val="20"/>
        </w:rPr>
        <w:t>4)履约管理的重点是项目索赔管理</w:t>
      </w:r>
    </w:p>
    <w:p w14:paraId="7214C0BF">
      <w:pPr>
        <w:pStyle w:val="2"/>
        <w:spacing w:before="62" w:line="296" w:lineRule="auto"/>
        <w:ind w:left="369" w:right="31" w:firstLine="389"/>
        <w:jc w:val="both"/>
        <w:rPr>
          <w:sz w:val="20"/>
          <w:szCs w:val="20"/>
        </w:rPr>
      </w:pPr>
      <w:r>
        <w:rPr>
          <w:spacing w:val="3"/>
          <w:sz w:val="20"/>
          <w:szCs w:val="20"/>
        </w:rPr>
        <w:t>在信息系统工程建设市场中，竞争非常激烈。由于信息系统工程的高技</w:t>
      </w:r>
      <w:r>
        <w:rPr>
          <w:spacing w:val="2"/>
          <w:sz w:val="20"/>
          <w:szCs w:val="20"/>
        </w:rPr>
        <w:t>术特性，许多业主</w:t>
      </w:r>
      <w:r>
        <w:rPr>
          <w:sz w:val="20"/>
          <w:szCs w:val="20"/>
        </w:rPr>
        <w:t xml:space="preserve"> </w:t>
      </w:r>
      <w:r>
        <w:rPr>
          <w:spacing w:val="3"/>
          <w:sz w:val="20"/>
          <w:szCs w:val="20"/>
        </w:rPr>
        <w:t>单位对信息技术的了解有限，合同在实施过程中的不确定性较多，对信息系</w:t>
      </w:r>
      <w:r>
        <w:rPr>
          <w:spacing w:val="2"/>
          <w:sz w:val="20"/>
          <w:szCs w:val="20"/>
        </w:rPr>
        <w:t>统工程的合同理解</w:t>
      </w:r>
      <w:r>
        <w:rPr>
          <w:sz w:val="20"/>
          <w:szCs w:val="20"/>
        </w:rPr>
        <w:t xml:space="preserve"> </w:t>
      </w:r>
      <w:r>
        <w:rPr>
          <w:spacing w:val="-2"/>
          <w:sz w:val="20"/>
          <w:szCs w:val="20"/>
        </w:rPr>
        <w:t>很容易出现争议，这些因素都可能导致合同履行困难。</w:t>
      </w:r>
    </w:p>
    <w:p w14:paraId="40B5E676">
      <w:pPr>
        <w:pStyle w:val="2"/>
        <w:spacing w:before="7" w:line="296" w:lineRule="auto"/>
        <w:ind w:left="369" w:right="24" w:firstLine="389"/>
        <w:jc w:val="both"/>
        <w:rPr>
          <w:sz w:val="20"/>
          <w:szCs w:val="20"/>
        </w:rPr>
      </w:pPr>
      <w:r>
        <w:rPr>
          <w:spacing w:val="3"/>
          <w:sz w:val="20"/>
          <w:szCs w:val="20"/>
        </w:rPr>
        <w:t>索赔管理是信息系统工程合同管理工作中的一个重要环节，包括索赔和反索赔。由于索赔</w:t>
      </w:r>
      <w:r>
        <w:rPr>
          <w:spacing w:val="10"/>
          <w:sz w:val="20"/>
          <w:szCs w:val="20"/>
        </w:rPr>
        <w:t xml:space="preserve"> </w:t>
      </w:r>
      <w:r>
        <w:rPr>
          <w:spacing w:val="3"/>
          <w:sz w:val="20"/>
          <w:szCs w:val="20"/>
        </w:rPr>
        <w:t>和反索赔没有一个明确的标准，只能以实际情况为依据进行实事求是的评价分析，从中找出索</w:t>
      </w:r>
      <w:r>
        <w:rPr>
          <w:sz w:val="20"/>
          <w:szCs w:val="20"/>
        </w:rPr>
        <w:t xml:space="preserve"> </w:t>
      </w:r>
      <w:r>
        <w:rPr>
          <w:spacing w:val="-1"/>
          <w:sz w:val="20"/>
          <w:szCs w:val="20"/>
        </w:rPr>
        <w:t>赔的理由和条件。如果档案管理得不好，索</w:t>
      </w:r>
      <w:r>
        <w:rPr>
          <w:spacing w:val="-2"/>
          <w:sz w:val="20"/>
          <w:szCs w:val="20"/>
        </w:rPr>
        <w:t>赔工作就很难开展。</w:t>
      </w:r>
    </w:p>
    <w:p w14:paraId="55B83484">
      <w:pPr>
        <w:pStyle w:val="2"/>
        <w:spacing w:before="7" w:line="287" w:lineRule="auto"/>
        <w:ind w:left="369" w:right="13" w:firstLine="389"/>
        <w:jc w:val="both"/>
        <w:rPr>
          <w:sz w:val="20"/>
          <w:szCs w:val="20"/>
        </w:rPr>
      </w:pPr>
      <w:r>
        <w:rPr>
          <w:spacing w:val="-1"/>
          <w:sz w:val="20"/>
          <w:szCs w:val="20"/>
        </w:rPr>
        <w:t>项目索赔是在合同的履行过程中，合同一方因对方不</w:t>
      </w:r>
      <w:r>
        <w:rPr>
          <w:spacing w:val="-2"/>
          <w:sz w:val="20"/>
          <w:szCs w:val="20"/>
        </w:rPr>
        <w:t>履行合同所设定的义务而遭受损失时，</w:t>
      </w:r>
      <w:r>
        <w:rPr>
          <w:sz w:val="20"/>
          <w:szCs w:val="20"/>
        </w:rPr>
        <w:t xml:space="preserve"> </w:t>
      </w:r>
      <w:r>
        <w:rPr>
          <w:spacing w:val="3"/>
          <w:sz w:val="20"/>
          <w:szCs w:val="20"/>
        </w:rPr>
        <w:t>向对方提出的赔偿要求。索赔的内容包括：根据权利而提出的要求；索赔的款项；</w:t>
      </w:r>
      <w:r>
        <w:rPr>
          <w:spacing w:val="2"/>
          <w:sz w:val="20"/>
          <w:szCs w:val="20"/>
        </w:rPr>
        <w:t>根据权利而</w:t>
      </w:r>
      <w:r>
        <w:rPr>
          <w:sz w:val="20"/>
          <w:szCs w:val="20"/>
        </w:rPr>
        <w:t xml:space="preserve"> </w:t>
      </w:r>
      <w:r>
        <w:rPr>
          <w:spacing w:val="-4"/>
          <w:sz w:val="20"/>
          <w:szCs w:val="20"/>
        </w:rPr>
        <w:t>提出法律上的要求。</w:t>
      </w:r>
    </w:p>
    <w:p w14:paraId="679B0799">
      <w:pPr>
        <w:pStyle w:val="2"/>
        <w:spacing w:before="29" w:line="286" w:lineRule="auto"/>
        <w:ind w:left="369" w:right="28" w:firstLine="389"/>
        <w:jc w:val="both"/>
        <w:rPr>
          <w:sz w:val="20"/>
          <w:szCs w:val="20"/>
        </w:rPr>
      </w:pPr>
      <w:r>
        <w:rPr>
          <w:spacing w:val="3"/>
          <w:sz w:val="20"/>
          <w:szCs w:val="20"/>
        </w:rPr>
        <w:t>项目索赔遵循索赔程序，在索赔证据确凿的条件下，就可以根据合同向承建单位或业主单</w:t>
      </w:r>
      <w:r>
        <w:rPr>
          <w:spacing w:val="10"/>
          <w:sz w:val="20"/>
          <w:szCs w:val="20"/>
        </w:rPr>
        <w:t xml:space="preserve"> </w:t>
      </w:r>
      <w:r>
        <w:rPr>
          <w:spacing w:val="3"/>
          <w:sz w:val="20"/>
          <w:szCs w:val="20"/>
        </w:rPr>
        <w:t>位提出索赔并得到损失的补偿。因而，合同管理是索赔管理的依据，依据合同条款</w:t>
      </w:r>
      <w:r>
        <w:rPr>
          <w:spacing w:val="2"/>
          <w:sz w:val="20"/>
          <w:szCs w:val="20"/>
        </w:rPr>
        <w:t>明确而清楚</w:t>
      </w:r>
      <w:r>
        <w:rPr>
          <w:sz w:val="20"/>
          <w:szCs w:val="20"/>
        </w:rPr>
        <w:t xml:space="preserve"> </w:t>
      </w:r>
      <w:r>
        <w:rPr>
          <w:spacing w:val="-4"/>
          <w:sz w:val="20"/>
          <w:szCs w:val="20"/>
        </w:rPr>
        <w:t>的说明，项目索赔才能成立。</w:t>
      </w:r>
    </w:p>
    <w:p w14:paraId="34D17F6B">
      <w:pPr>
        <w:pStyle w:val="2"/>
        <w:spacing w:before="9" w:line="289" w:lineRule="auto"/>
        <w:ind w:left="369" w:right="20" w:firstLine="389"/>
        <w:jc w:val="both"/>
        <w:rPr>
          <w:sz w:val="20"/>
          <w:szCs w:val="20"/>
        </w:rPr>
      </w:pPr>
      <w:r>
        <w:rPr>
          <w:spacing w:val="3"/>
          <w:sz w:val="20"/>
          <w:szCs w:val="20"/>
        </w:rPr>
        <w:t>监理工程师在信息系统工程合同管理的过程中，应弄清各类合同中</w:t>
      </w:r>
      <w:r>
        <w:rPr>
          <w:spacing w:val="2"/>
          <w:sz w:val="20"/>
          <w:szCs w:val="20"/>
        </w:rPr>
        <w:t>的每一项内容，因为合</w:t>
      </w:r>
      <w:r>
        <w:rPr>
          <w:sz w:val="20"/>
          <w:szCs w:val="20"/>
        </w:rPr>
        <w:t xml:space="preserve"> </w:t>
      </w:r>
      <w:r>
        <w:rPr>
          <w:spacing w:val="1"/>
          <w:sz w:val="20"/>
          <w:szCs w:val="20"/>
        </w:rPr>
        <w:t>同是项目的核心，特别是大型项目，因实施时间较长，</w:t>
      </w:r>
      <w:r>
        <w:rPr>
          <w:spacing w:val="-15"/>
          <w:sz w:val="20"/>
          <w:szCs w:val="20"/>
        </w:rPr>
        <w:t xml:space="preserve"> </w:t>
      </w:r>
      <w:r>
        <w:rPr>
          <w:spacing w:val="1"/>
          <w:sz w:val="20"/>
          <w:szCs w:val="20"/>
        </w:rPr>
        <w:t>一定要用文件记录代替口头协议。项目</w:t>
      </w:r>
      <w:r>
        <w:rPr>
          <w:sz w:val="20"/>
          <w:szCs w:val="20"/>
        </w:rPr>
        <w:t xml:space="preserve"> </w:t>
      </w:r>
      <w:r>
        <w:rPr>
          <w:spacing w:val="3"/>
          <w:sz w:val="20"/>
          <w:szCs w:val="20"/>
        </w:rPr>
        <w:t>细节文件的记录应包括：信件、会议记录、业主单位的规定、指示、更换方案</w:t>
      </w:r>
      <w:r>
        <w:rPr>
          <w:spacing w:val="2"/>
          <w:sz w:val="20"/>
          <w:szCs w:val="20"/>
        </w:rPr>
        <w:t>的书面记录及特</w:t>
      </w:r>
      <w:r>
        <w:rPr>
          <w:sz w:val="20"/>
          <w:szCs w:val="20"/>
        </w:rPr>
        <w:t xml:space="preserve"> </w:t>
      </w:r>
      <w:r>
        <w:rPr>
          <w:spacing w:val="-5"/>
          <w:sz w:val="20"/>
          <w:szCs w:val="20"/>
        </w:rPr>
        <w:t>定的现场情况等。</w:t>
      </w:r>
    </w:p>
    <w:p w14:paraId="6ADE4D6F">
      <w:pPr>
        <w:pStyle w:val="2"/>
        <w:spacing w:before="8" w:line="281" w:lineRule="auto"/>
        <w:ind w:left="369" w:right="14" w:firstLine="389"/>
        <w:jc w:val="both"/>
        <w:rPr>
          <w:sz w:val="20"/>
          <w:szCs w:val="20"/>
        </w:rPr>
      </w:pPr>
      <w:r>
        <w:rPr>
          <w:spacing w:val="3"/>
          <w:sz w:val="20"/>
          <w:szCs w:val="20"/>
        </w:rPr>
        <w:t>在信息系统工程实施过程中，项目监理机构合同管理人员要认真研究合同条件，</w:t>
      </w:r>
      <w:r>
        <w:rPr>
          <w:spacing w:val="2"/>
          <w:sz w:val="20"/>
          <w:szCs w:val="20"/>
        </w:rPr>
        <w:t>关注信息</w:t>
      </w:r>
      <w:r>
        <w:rPr>
          <w:sz w:val="20"/>
          <w:szCs w:val="20"/>
        </w:rPr>
        <w:t xml:space="preserve"> </w:t>
      </w:r>
      <w:r>
        <w:rPr>
          <w:spacing w:val="3"/>
          <w:sz w:val="20"/>
          <w:szCs w:val="20"/>
        </w:rPr>
        <w:t>系统工程建设动态，在合同履行出现困难时，积极找寻索赔依据，计算出索赔费用，及时提出</w:t>
      </w:r>
      <w:r>
        <w:rPr>
          <w:spacing w:val="9"/>
          <w:sz w:val="20"/>
          <w:szCs w:val="20"/>
        </w:rPr>
        <w:t xml:space="preserve"> </w:t>
      </w:r>
      <w:r>
        <w:rPr>
          <w:spacing w:val="3"/>
          <w:sz w:val="20"/>
          <w:szCs w:val="20"/>
        </w:rPr>
        <w:t>合同索赔建议，做好索赔的协调工作。在分包合同履行中，监理机构也应加强合</w:t>
      </w:r>
      <w:r>
        <w:rPr>
          <w:spacing w:val="2"/>
          <w:sz w:val="20"/>
          <w:szCs w:val="20"/>
        </w:rPr>
        <w:t>同管理，积极</w:t>
      </w:r>
      <w:r>
        <w:rPr>
          <w:sz w:val="20"/>
          <w:szCs w:val="20"/>
        </w:rPr>
        <w:t xml:space="preserve"> </w:t>
      </w:r>
      <w:r>
        <w:rPr>
          <w:spacing w:val="3"/>
          <w:sz w:val="20"/>
          <w:szCs w:val="20"/>
        </w:rPr>
        <w:t xml:space="preserve">进行合同交底及合同履行的跟踪管理工作，在实施过程中注意正确履行监理的责任，严格控制 </w:t>
      </w:r>
      <w:r>
        <w:rPr>
          <w:spacing w:val="-4"/>
          <w:sz w:val="20"/>
          <w:szCs w:val="20"/>
        </w:rPr>
        <w:t>索赔和反索赔事件的发生。</w:t>
      </w:r>
    </w:p>
    <w:p w14:paraId="15046C8A">
      <w:pPr>
        <w:pStyle w:val="2"/>
        <w:spacing w:before="59" w:line="286" w:lineRule="auto"/>
        <w:ind w:left="369" w:right="16" w:firstLine="389"/>
        <w:jc w:val="both"/>
        <w:rPr>
          <w:sz w:val="20"/>
          <w:szCs w:val="20"/>
        </w:rPr>
      </w:pPr>
      <w:r>
        <w:rPr>
          <w:spacing w:val="-1"/>
          <w:sz w:val="20"/>
          <w:szCs w:val="20"/>
        </w:rPr>
        <w:t>总之，随着市场经济的不断发展，信息系统工程</w:t>
      </w:r>
      <w:r>
        <w:rPr>
          <w:spacing w:val="-2"/>
          <w:sz w:val="20"/>
          <w:szCs w:val="20"/>
        </w:rPr>
        <w:t>建设的市场不断规范，信息产业不断发展，</w:t>
      </w:r>
      <w:r>
        <w:rPr>
          <w:sz w:val="20"/>
          <w:szCs w:val="20"/>
        </w:rPr>
        <w:t xml:space="preserve"> </w:t>
      </w:r>
      <w:r>
        <w:rPr>
          <w:spacing w:val="3"/>
          <w:sz w:val="20"/>
          <w:szCs w:val="20"/>
        </w:rPr>
        <w:t>质量管理和意识的不断增强，合同管理的水平将不断提高和完善。有效的合同管理能使</w:t>
      </w:r>
      <w:r>
        <w:rPr>
          <w:spacing w:val="2"/>
          <w:sz w:val="20"/>
          <w:szCs w:val="20"/>
        </w:rPr>
        <w:t>妨碍双</w:t>
      </w:r>
      <w:r>
        <w:rPr>
          <w:sz w:val="20"/>
          <w:szCs w:val="20"/>
        </w:rPr>
        <w:t xml:space="preserve"> </w:t>
      </w:r>
      <w:r>
        <w:rPr>
          <w:spacing w:val="-1"/>
          <w:sz w:val="20"/>
          <w:szCs w:val="20"/>
        </w:rPr>
        <w:t>方关系的事件得到很好的解决，这样才能更好地实现信息系统工程建设项目监理工作的目标。</w:t>
      </w:r>
    </w:p>
    <w:p w14:paraId="35BE490F">
      <w:pPr>
        <w:pStyle w:val="2"/>
        <w:spacing w:before="108" w:line="223" w:lineRule="auto"/>
        <w:ind w:left="762"/>
        <w:rPr>
          <w:rFonts w:ascii="黑体" w:hAnsi="黑体" w:eastAsia="黑体" w:cs="黑体"/>
          <w:sz w:val="20"/>
          <w:szCs w:val="20"/>
        </w:rPr>
      </w:pPr>
      <w:r>
        <w:rPr>
          <w:b/>
          <w:bCs/>
          <w:color w:val="007CCF"/>
          <w:spacing w:val="-1"/>
          <w:sz w:val="20"/>
          <w:szCs w:val="20"/>
        </w:rPr>
        <w:t>3.</w:t>
      </w:r>
      <w:r>
        <w:rPr>
          <w:rFonts w:ascii="黑体" w:hAnsi="黑体" w:eastAsia="黑体" w:cs="黑体"/>
          <w:b/>
          <w:bCs/>
          <w:color w:val="007CCF"/>
          <w:spacing w:val="-1"/>
          <w:sz w:val="20"/>
          <w:szCs w:val="20"/>
        </w:rPr>
        <w:t>合同的档案管理</w:t>
      </w:r>
    </w:p>
    <w:p w14:paraId="7673BF57">
      <w:pPr>
        <w:pStyle w:val="2"/>
        <w:spacing w:before="142" w:line="277" w:lineRule="auto"/>
        <w:ind w:left="369" w:firstLine="389"/>
        <w:jc w:val="both"/>
        <w:rPr>
          <w:sz w:val="20"/>
          <w:szCs w:val="20"/>
        </w:rPr>
      </w:pPr>
      <w:r>
        <w:rPr>
          <w:spacing w:val="3"/>
          <w:sz w:val="20"/>
          <w:szCs w:val="20"/>
        </w:rPr>
        <w:t>合同的档案管理，即合同文件管理，是整个合同管理的基础。所有与合同有关的文件都是</w:t>
      </w:r>
      <w:r>
        <w:rPr>
          <w:spacing w:val="12"/>
          <w:sz w:val="20"/>
          <w:szCs w:val="20"/>
        </w:rPr>
        <w:t xml:space="preserve"> </w:t>
      </w:r>
      <w:r>
        <w:rPr>
          <w:spacing w:val="4"/>
          <w:sz w:val="20"/>
          <w:szCs w:val="20"/>
        </w:rPr>
        <w:t>重要文字依据，合同管理人员必须及时填写并妥善保存</w:t>
      </w:r>
      <w:r>
        <w:rPr>
          <w:spacing w:val="3"/>
          <w:sz w:val="20"/>
          <w:szCs w:val="20"/>
        </w:rPr>
        <w:t>经有关方面签证的文件和单据，并建立</w:t>
      </w:r>
      <w:r>
        <w:rPr>
          <w:sz w:val="20"/>
          <w:szCs w:val="20"/>
        </w:rPr>
        <w:t xml:space="preserve"> </w:t>
      </w:r>
      <w:r>
        <w:rPr>
          <w:spacing w:val="-2"/>
          <w:sz w:val="20"/>
          <w:szCs w:val="20"/>
        </w:rPr>
        <w:t>合同档案数据库，以免在合同履行中发生纠纷时缺少有关的文字证据。</w:t>
      </w:r>
    </w:p>
    <w:p w14:paraId="12F57ECE">
      <w:pPr>
        <w:pStyle w:val="2"/>
        <w:spacing w:before="29" w:line="219" w:lineRule="auto"/>
        <w:ind w:left="759"/>
        <w:rPr>
          <w:sz w:val="20"/>
          <w:szCs w:val="20"/>
        </w:rPr>
      </w:pPr>
      <w:r>
        <w:rPr>
          <w:spacing w:val="-2"/>
          <w:sz w:val="20"/>
          <w:szCs w:val="20"/>
        </w:rPr>
        <w:t>信息系统工程合同档案包含多方面的文件，概括起来主要有：</w:t>
      </w:r>
    </w:p>
    <w:p w14:paraId="6AE44CB9">
      <w:pPr>
        <w:pStyle w:val="2"/>
        <w:spacing w:before="71" w:line="219" w:lineRule="auto"/>
        <w:ind w:left="759"/>
        <w:rPr>
          <w:sz w:val="20"/>
          <w:szCs w:val="20"/>
        </w:rPr>
      </w:pPr>
      <w:r>
        <w:rPr>
          <w:spacing w:val="1"/>
          <w:sz w:val="20"/>
          <w:szCs w:val="20"/>
        </w:rPr>
        <w:t>(1)业主单位负责提供的实施、开发所需的技术资料、数据及图纸等；</w:t>
      </w:r>
    </w:p>
    <w:p w14:paraId="0A380EE5">
      <w:pPr>
        <w:pStyle w:val="2"/>
        <w:spacing w:before="73" w:line="219" w:lineRule="auto"/>
        <w:ind w:left="759"/>
        <w:rPr>
          <w:sz w:val="20"/>
          <w:szCs w:val="20"/>
        </w:rPr>
      </w:pPr>
      <w:r>
        <w:rPr>
          <w:spacing w:val="1"/>
          <w:sz w:val="20"/>
          <w:szCs w:val="20"/>
        </w:rPr>
        <w:t>(2)业主单位负责供应的设备、材料及软件到位时间和规格、数量、质量情况的备忘录；</w:t>
      </w:r>
    </w:p>
    <w:p w14:paraId="7E244D60">
      <w:pPr>
        <w:pStyle w:val="2"/>
        <w:spacing w:before="73" w:line="219" w:lineRule="auto"/>
        <w:ind w:left="759"/>
        <w:rPr>
          <w:sz w:val="20"/>
          <w:szCs w:val="20"/>
        </w:rPr>
      </w:pPr>
      <w:r>
        <w:rPr>
          <w:spacing w:val="1"/>
          <w:sz w:val="20"/>
          <w:szCs w:val="20"/>
        </w:rPr>
        <w:t>(3)综合布线或网络系统集成中隐蔽工程的检查验收记录；</w:t>
      </w:r>
    </w:p>
    <w:p w14:paraId="4D5DF855">
      <w:pPr>
        <w:pStyle w:val="2"/>
        <w:spacing w:before="63" w:line="219" w:lineRule="auto"/>
        <w:ind w:left="759"/>
        <w:rPr>
          <w:sz w:val="20"/>
          <w:szCs w:val="20"/>
        </w:rPr>
      </w:pPr>
      <w:r>
        <w:rPr>
          <w:spacing w:val="8"/>
          <w:sz w:val="20"/>
          <w:szCs w:val="20"/>
        </w:rPr>
        <w:t>(4)质量事故(如有的话)鉴定证书及其采取的处理措</w:t>
      </w:r>
      <w:r>
        <w:rPr>
          <w:spacing w:val="7"/>
          <w:sz w:val="20"/>
          <w:szCs w:val="20"/>
        </w:rPr>
        <w:t>施记录；</w:t>
      </w:r>
    </w:p>
    <w:p w14:paraId="759BF02E">
      <w:pPr>
        <w:pStyle w:val="2"/>
        <w:spacing w:before="74" w:line="219" w:lineRule="auto"/>
        <w:ind w:left="759"/>
        <w:rPr>
          <w:sz w:val="20"/>
          <w:szCs w:val="20"/>
        </w:rPr>
      </w:pPr>
      <w:r>
        <w:rPr>
          <w:spacing w:val="1"/>
          <w:sz w:val="20"/>
          <w:szCs w:val="20"/>
        </w:rPr>
        <w:t>(5)项目中间环节交工的验收文件；</w:t>
      </w:r>
    </w:p>
    <w:p w14:paraId="167FE9A1">
      <w:pPr>
        <w:pStyle w:val="2"/>
        <w:spacing w:before="71" w:line="219" w:lineRule="auto"/>
        <w:ind w:left="759"/>
        <w:rPr>
          <w:sz w:val="20"/>
          <w:szCs w:val="20"/>
        </w:rPr>
      </w:pPr>
      <w:r>
        <w:rPr>
          <w:spacing w:val="2"/>
          <w:sz w:val="20"/>
          <w:szCs w:val="20"/>
        </w:rPr>
        <w:t>(6)项目进度加快或工期缩短及提前竣工收益分享协议；</w:t>
      </w:r>
    </w:p>
    <w:p w14:paraId="47F81D2D">
      <w:pPr>
        <w:spacing w:line="219" w:lineRule="auto"/>
        <w:rPr>
          <w:sz w:val="20"/>
          <w:szCs w:val="20"/>
        </w:rPr>
        <w:sectPr>
          <w:pgSz w:w="10300" w:h="13470"/>
          <w:pgMar w:top="400" w:right="1051" w:bottom="400" w:left="530" w:header="0" w:footer="0" w:gutter="0"/>
          <w:cols w:space="720" w:num="1"/>
        </w:sectPr>
      </w:pPr>
    </w:p>
    <w:p w14:paraId="20E8D3D8">
      <w:pPr>
        <w:pStyle w:val="2"/>
        <w:spacing w:before="76" w:line="219" w:lineRule="auto"/>
        <w:jc w:val="right"/>
        <w:rPr>
          <w:rFonts w:ascii="Times New Roman" w:hAnsi="Times New Roman" w:eastAsia="Times New Roman" w:cs="Times New Roman"/>
          <w:sz w:val="19"/>
          <w:szCs w:val="19"/>
        </w:rPr>
      </w:pPr>
      <w:r>
        <w:rPr>
          <w:spacing w:val="4"/>
          <w:sz w:val="19"/>
          <w:szCs w:val="19"/>
        </w:rPr>
        <w:t>第13章</w:t>
      </w:r>
      <w:r>
        <w:rPr>
          <w:spacing w:val="38"/>
          <w:sz w:val="19"/>
          <w:szCs w:val="19"/>
        </w:rPr>
        <w:t xml:space="preserve"> </w:t>
      </w:r>
      <w:r>
        <w:rPr>
          <w:spacing w:val="4"/>
          <w:sz w:val="19"/>
          <w:szCs w:val="19"/>
        </w:rPr>
        <w:t>合同管理</w:t>
      </w:r>
      <w:r>
        <w:rPr>
          <w:spacing w:val="9"/>
          <w:sz w:val="19"/>
          <w:szCs w:val="19"/>
        </w:rPr>
        <w:t xml:space="preserve">      </w:t>
      </w:r>
      <w:r>
        <w:rPr>
          <w:rFonts w:ascii="Times New Roman" w:hAnsi="Times New Roman" w:eastAsia="Times New Roman" w:cs="Times New Roman"/>
          <w:spacing w:val="4"/>
          <w:sz w:val="19"/>
          <w:szCs w:val="19"/>
        </w:rPr>
        <w:t>307</w:t>
      </w:r>
    </w:p>
    <w:p w14:paraId="5FF88C76">
      <w:pPr>
        <w:spacing w:line="322" w:lineRule="auto"/>
        <w:rPr>
          <w:rFonts w:ascii="Arial"/>
          <w:sz w:val="21"/>
        </w:rPr>
      </w:pPr>
    </w:p>
    <w:p w14:paraId="4E45746F">
      <w:pPr>
        <w:pStyle w:val="2"/>
        <w:spacing w:before="61" w:line="219" w:lineRule="auto"/>
        <w:ind w:left="399"/>
        <w:rPr>
          <w:sz w:val="19"/>
          <w:szCs w:val="19"/>
        </w:rPr>
      </w:pPr>
      <w:r>
        <w:rPr>
          <w:spacing w:val="10"/>
          <w:sz w:val="19"/>
          <w:szCs w:val="19"/>
        </w:rPr>
        <w:t>(7)与项目质量、结算等有关的资料和数据；</w:t>
      </w:r>
    </w:p>
    <w:p w14:paraId="6326CC98">
      <w:pPr>
        <w:pStyle w:val="2"/>
        <w:spacing w:before="103" w:line="274" w:lineRule="auto"/>
        <w:ind w:right="310" w:firstLine="399"/>
        <w:rPr>
          <w:sz w:val="19"/>
          <w:szCs w:val="19"/>
        </w:rPr>
      </w:pPr>
      <w:r>
        <w:rPr>
          <w:spacing w:val="15"/>
          <w:sz w:val="19"/>
          <w:szCs w:val="19"/>
        </w:rPr>
        <w:t>(8)业主单位、承建单位代表和总监理工程师定期会谈的记录，业主单位</w:t>
      </w:r>
      <w:r>
        <w:rPr>
          <w:spacing w:val="14"/>
          <w:sz w:val="19"/>
          <w:szCs w:val="19"/>
        </w:rPr>
        <w:t>或总监理工程师</w:t>
      </w:r>
      <w:r>
        <w:rPr>
          <w:sz w:val="19"/>
          <w:szCs w:val="19"/>
        </w:rPr>
        <w:t xml:space="preserve"> </w:t>
      </w:r>
      <w:r>
        <w:rPr>
          <w:spacing w:val="13"/>
          <w:sz w:val="19"/>
          <w:szCs w:val="19"/>
        </w:rPr>
        <w:t>的书面指令，业主单位、承建单位双方与监理单位的来往信函，包括与合同有关的各种实施进</w:t>
      </w:r>
      <w:r>
        <w:rPr>
          <w:spacing w:val="3"/>
          <w:sz w:val="19"/>
          <w:szCs w:val="19"/>
        </w:rPr>
        <w:t xml:space="preserve"> 度报表等。</w:t>
      </w:r>
    </w:p>
    <w:p w14:paraId="7BC56EC5">
      <w:pPr>
        <w:pStyle w:val="2"/>
        <w:spacing w:before="105" w:line="278" w:lineRule="auto"/>
        <w:ind w:right="320" w:firstLine="399"/>
        <w:rPr>
          <w:sz w:val="19"/>
          <w:szCs w:val="19"/>
        </w:rPr>
      </w:pPr>
      <w:r>
        <w:rPr>
          <w:spacing w:val="13"/>
          <w:sz w:val="19"/>
          <w:szCs w:val="19"/>
        </w:rPr>
        <w:t>合同档案的管理对象包括两类合同，即业主单位与监理单位之间签订的监理合同管理，以</w:t>
      </w:r>
      <w:r>
        <w:rPr>
          <w:sz w:val="19"/>
          <w:szCs w:val="19"/>
        </w:rPr>
        <w:t xml:space="preserve"> </w:t>
      </w:r>
      <w:r>
        <w:rPr>
          <w:spacing w:val="7"/>
          <w:sz w:val="19"/>
          <w:szCs w:val="19"/>
        </w:rPr>
        <w:t>及业主单位与承建单位签订的承建合同管理。</w:t>
      </w:r>
    </w:p>
    <w:p w14:paraId="1A93D698">
      <w:pPr>
        <w:pStyle w:val="2"/>
        <w:spacing w:before="48" w:line="219" w:lineRule="auto"/>
        <w:ind w:left="399"/>
        <w:rPr>
          <w:sz w:val="19"/>
          <w:szCs w:val="19"/>
        </w:rPr>
      </w:pPr>
      <w:r>
        <w:rPr>
          <w:spacing w:val="5"/>
          <w:sz w:val="19"/>
          <w:szCs w:val="19"/>
        </w:rPr>
        <w:t>合同档案的管理方法包括以下内容：</w:t>
      </w:r>
    </w:p>
    <w:p w14:paraId="748F3C69">
      <w:pPr>
        <w:pStyle w:val="2"/>
        <w:spacing w:before="84" w:line="219" w:lineRule="auto"/>
        <w:ind w:left="399"/>
        <w:rPr>
          <w:sz w:val="19"/>
          <w:szCs w:val="19"/>
        </w:rPr>
      </w:pPr>
      <w:r>
        <w:rPr>
          <w:spacing w:val="11"/>
          <w:sz w:val="19"/>
          <w:szCs w:val="19"/>
        </w:rPr>
        <w:t>(1)建立监理工作的合同档案管理体系。</w:t>
      </w:r>
    </w:p>
    <w:p w14:paraId="19656D21">
      <w:pPr>
        <w:pStyle w:val="2"/>
        <w:spacing w:before="103" w:line="302" w:lineRule="auto"/>
        <w:ind w:right="308" w:firstLine="399"/>
        <w:rPr>
          <w:sz w:val="19"/>
          <w:szCs w:val="19"/>
        </w:rPr>
      </w:pPr>
      <w:r>
        <w:rPr>
          <w:spacing w:val="13"/>
          <w:sz w:val="19"/>
          <w:szCs w:val="19"/>
        </w:rPr>
        <w:t>合同档案管理体系，就是监理单位从上向下建立起一支专业管理队伍，</w:t>
      </w:r>
      <w:r>
        <w:rPr>
          <w:spacing w:val="12"/>
          <w:sz w:val="19"/>
          <w:szCs w:val="19"/>
        </w:rPr>
        <w:t>实行系统的合同管</w:t>
      </w:r>
      <w:r>
        <w:rPr>
          <w:sz w:val="19"/>
          <w:szCs w:val="19"/>
        </w:rPr>
        <w:t xml:space="preserve"> </w:t>
      </w:r>
      <w:r>
        <w:rPr>
          <w:spacing w:val="13"/>
          <w:sz w:val="19"/>
          <w:szCs w:val="19"/>
        </w:rPr>
        <w:t>理。作为独立法人的监理单位，其建立的合同档案专门的管理机构是内部管理机构。各项目监</w:t>
      </w:r>
      <w:r>
        <w:rPr>
          <w:spacing w:val="4"/>
          <w:sz w:val="19"/>
          <w:szCs w:val="19"/>
        </w:rPr>
        <w:t xml:space="preserve"> </w:t>
      </w:r>
      <w:r>
        <w:rPr>
          <w:spacing w:val="9"/>
          <w:sz w:val="19"/>
          <w:szCs w:val="19"/>
        </w:rPr>
        <w:t>理机构也设立专职合同管理人员，在业务上隶属于企业合同档案管理的专门机构。</w:t>
      </w:r>
    </w:p>
    <w:p w14:paraId="7C4DCBC9">
      <w:pPr>
        <w:pStyle w:val="2"/>
        <w:spacing w:before="29" w:line="269" w:lineRule="auto"/>
        <w:ind w:right="326" w:firstLine="399"/>
        <w:rPr>
          <w:sz w:val="19"/>
          <w:szCs w:val="19"/>
        </w:rPr>
      </w:pPr>
      <w:r>
        <w:rPr>
          <w:spacing w:val="13"/>
          <w:sz w:val="19"/>
          <w:szCs w:val="19"/>
        </w:rPr>
        <w:t>监理单位在建立合同档案专门管理机构的同时，应制定合同档案管理办</w:t>
      </w:r>
      <w:r>
        <w:rPr>
          <w:spacing w:val="12"/>
          <w:sz w:val="19"/>
          <w:szCs w:val="19"/>
        </w:rPr>
        <w:t>法，将合同档案管</w:t>
      </w:r>
      <w:r>
        <w:rPr>
          <w:sz w:val="19"/>
          <w:szCs w:val="19"/>
        </w:rPr>
        <w:t xml:space="preserve"> </w:t>
      </w:r>
      <w:r>
        <w:rPr>
          <w:spacing w:val="8"/>
          <w:sz w:val="19"/>
          <w:szCs w:val="19"/>
        </w:rPr>
        <w:t>理系统的职责、权利和分工用内部管理规定的形式确立下来。</w:t>
      </w:r>
    </w:p>
    <w:p w14:paraId="70846FEA">
      <w:pPr>
        <w:pStyle w:val="2"/>
        <w:spacing w:before="54" w:line="295" w:lineRule="auto"/>
        <w:ind w:right="262" w:firstLine="399"/>
        <w:rPr>
          <w:sz w:val="19"/>
          <w:szCs w:val="19"/>
        </w:rPr>
      </w:pPr>
      <w:r>
        <w:rPr>
          <w:spacing w:val="13"/>
          <w:sz w:val="19"/>
          <w:szCs w:val="19"/>
        </w:rPr>
        <w:t>合同档案的管理是一个非常细致的工作，在制定合同档案管理实施细则时，需要</w:t>
      </w:r>
      <w:r>
        <w:rPr>
          <w:spacing w:val="12"/>
          <w:sz w:val="19"/>
          <w:szCs w:val="19"/>
        </w:rPr>
        <w:t>对合同档</w:t>
      </w:r>
      <w:r>
        <w:rPr>
          <w:sz w:val="19"/>
          <w:szCs w:val="19"/>
        </w:rPr>
        <w:t xml:space="preserve"> </w:t>
      </w:r>
      <w:r>
        <w:rPr>
          <w:spacing w:val="13"/>
          <w:sz w:val="19"/>
          <w:szCs w:val="19"/>
        </w:rPr>
        <w:t>案的管理目的、管理范围、管理方式进行规定，进而进一步规定合同</w:t>
      </w:r>
      <w:r>
        <w:rPr>
          <w:spacing w:val="12"/>
          <w:sz w:val="19"/>
          <w:szCs w:val="19"/>
        </w:rPr>
        <w:t>档案的管理体制、合同档</w:t>
      </w:r>
      <w:r>
        <w:rPr>
          <w:sz w:val="19"/>
          <w:szCs w:val="19"/>
        </w:rPr>
        <w:t xml:space="preserve"> </w:t>
      </w:r>
      <w:r>
        <w:rPr>
          <w:spacing w:val="14"/>
          <w:sz w:val="19"/>
          <w:szCs w:val="19"/>
        </w:rPr>
        <w:t>案的管理机构与人员责任、文件材料的形成和归档方式、合同档案的整理、合同档案的保管、</w:t>
      </w:r>
      <w:r>
        <w:rPr>
          <w:spacing w:val="10"/>
          <w:sz w:val="19"/>
          <w:szCs w:val="19"/>
        </w:rPr>
        <w:t xml:space="preserve"> </w:t>
      </w:r>
      <w:r>
        <w:rPr>
          <w:spacing w:val="6"/>
          <w:sz w:val="19"/>
          <w:szCs w:val="19"/>
        </w:rPr>
        <w:t>合同档案的鉴定与统计等内容。</w:t>
      </w:r>
    </w:p>
    <w:p w14:paraId="6E6B2901">
      <w:pPr>
        <w:pStyle w:val="2"/>
        <w:spacing w:before="48" w:line="219" w:lineRule="auto"/>
        <w:ind w:left="399"/>
        <w:rPr>
          <w:sz w:val="19"/>
          <w:szCs w:val="19"/>
        </w:rPr>
      </w:pPr>
      <w:r>
        <w:rPr>
          <w:spacing w:val="11"/>
          <w:sz w:val="19"/>
          <w:szCs w:val="19"/>
        </w:rPr>
        <w:t>(2)制定监理工作的合同档案管理制度。</w:t>
      </w:r>
    </w:p>
    <w:p w14:paraId="7CA34BB7">
      <w:pPr>
        <w:pStyle w:val="2"/>
        <w:spacing w:before="114" w:line="269" w:lineRule="auto"/>
        <w:ind w:right="303" w:firstLine="399"/>
        <w:rPr>
          <w:sz w:val="19"/>
          <w:szCs w:val="19"/>
        </w:rPr>
      </w:pPr>
      <w:r>
        <w:rPr>
          <w:spacing w:val="13"/>
          <w:sz w:val="19"/>
          <w:szCs w:val="19"/>
        </w:rPr>
        <w:t>除了有专门的合同档案管理机构外，监理单位还必须建立一套完善、可行、合理的合同档</w:t>
      </w:r>
      <w:r>
        <w:rPr>
          <w:spacing w:val="16"/>
          <w:sz w:val="19"/>
          <w:szCs w:val="19"/>
        </w:rPr>
        <w:t xml:space="preserve"> </w:t>
      </w:r>
      <w:r>
        <w:rPr>
          <w:spacing w:val="4"/>
          <w:sz w:val="19"/>
          <w:szCs w:val="19"/>
        </w:rPr>
        <w:t>案管理制度。这些制度包括：</w:t>
      </w:r>
    </w:p>
    <w:p w14:paraId="602E0A24">
      <w:pPr>
        <w:pStyle w:val="2"/>
        <w:spacing w:before="67" w:line="281" w:lineRule="auto"/>
        <w:ind w:left="669" w:right="320" w:hanging="270"/>
        <w:rPr>
          <w:sz w:val="19"/>
          <w:szCs w:val="19"/>
        </w:rPr>
      </w:pPr>
      <w:r>
        <w:rPr>
          <w:spacing w:val="18"/>
          <w:sz w:val="19"/>
          <w:szCs w:val="19"/>
        </w:rPr>
        <w:t>●合同的审查批准制度。针对监理合同的管理，监理单位在监理合同签订前还应实行审</w:t>
      </w:r>
      <w:r>
        <w:rPr>
          <w:spacing w:val="11"/>
          <w:sz w:val="19"/>
          <w:szCs w:val="19"/>
        </w:rPr>
        <w:t xml:space="preserve"> </w:t>
      </w:r>
      <w:r>
        <w:rPr>
          <w:spacing w:val="10"/>
          <w:sz w:val="19"/>
          <w:szCs w:val="19"/>
        </w:rPr>
        <w:t>查、批准制度，即在各业务部门会签后，送交合同专门管理机构或法律顾问审查，再报</w:t>
      </w:r>
      <w:r>
        <w:rPr>
          <w:spacing w:val="17"/>
          <w:sz w:val="19"/>
          <w:szCs w:val="19"/>
        </w:rPr>
        <w:t xml:space="preserve"> </w:t>
      </w:r>
      <w:r>
        <w:rPr>
          <w:spacing w:val="10"/>
          <w:sz w:val="19"/>
          <w:szCs w:val="19"/>
        </w:rPr>
        <w:t>请法人代表签署意见，明确表示同意对外正式签订合同。通过严格的手续，使合同签订</w:t>
      </w:r>
      <w:r>
        <w:rPr>
          <w:spacing w:val="18"/>
          <w:sz w:val="19"/>
          <w:szCs w:val="19"/>
        </w:rPr>
        <w:t xml:space="preserve"> </w:t>
      </w:r>
      <w:r>
        <w:rPr>
          <w:spacing w:val="5"/>
          <w:sz w:val="19"/>
          <w:szCs w:val="19"/>
        </w:rPr>
        <w:t>的基础更加牢靠。</w:t>
      </w:r>
    </w:p>
    <w:p w14:paraId="6F0305A1">
      <w:pPr>
        <w:pStyle w:val="2"/>
        <w:spacing w:before="105" w:line="293" w:lineRule="auto"/>
        <w:ind w:left="574" w:right="282" w:hanging="175"/>
        <w:rPr>
          <w:sz w:val="19"/>
          <w:szCs w:val="19"/>
        </w:rPr>
      </w:pPr>
      <w:r>
        <w:rPr>
          <w:spacing w:val="13"/>
          <w:sz w:val="19"/>
          <w:szCs w:val="19"/>
        </w:rPr>
        <w:t>●印章管理制度。针对监理合同的管理，监理合同专用章是代表企业</w:t>
      </w:r>
      <w:r>
        <w:rPr>
          <w:spacing w:val="12"/>
          <w:sz w:val="19"/>
          <w:szCs w:val="19"/>
        </w:rPr>
        <w:t>在经营活动中对外行</w:t>
      </w:r>
      <w:r>
        <w:rPr>
          <w:sz w:val="19"/>
          <w:szCs w:val="19"/>
        </w:rPr>
        <w:t xml:space="preserve"> </w:t>
      </w:r>
      <w:r>
        <w:rPr>
          <w:spacing w:val="13"/>
          <w:sz w:val="19"/>
          <w:szCs w:val="19"/>
        </w:rPr>
        <w:t>使权力、承担义务、签订合同的凭证。因此，企业对合同专用章的使用、保管要有严格</w:t>
      </w:r>
      <w:r>
        <w:rPr>
          <w:spacing w:val="18"/>
          <w:sz w:val="19"/>
          <w:szCs w:val="19"/>
        </w:rPr>
        <w:t xml:space="preserve"> </w:t>
      </w:r>
      <w:r>
        <w:rPr>
          <w:spacing w:val="13"/>
          <w:sz w:val="19"/>
          <w:szCs w:val="19"/>
        </w:rPr>
        <w:t>的规定，要建立合同专用章使用登记记录，合同专用章要由合同管理人员专门保管、签</w:t>
      </w:r>
      <w:r>
        <w:rPr>
          <w:spacing w:val="18"/>
          <w:sz w:val="19"/>
          <w:szCs w:val="19"/>
        </w:rPr>
        <w:t xml:space="preserve"> </w:t>
      </w:r>
      <w:r>
        <w:rPr>
          <w:spacing w:val="13"/>
          <w:sz w:val="19"/>
          <w:szCs w:val="19"/>
        </w:rPr>
        <w:t>印，实行专章专用，尤其不准在空白合同上加盖印章。凡外出签订合同，应由合同专用</w:t>
      </w:r>
      <w:r>
        <w:rPr>
          <w:spacing w:val="12"/>
          <w:sz w:val="19"/>
          <w:szCs w:val="19"/>
        </w:rPr>
        <w:t xml:space="preserve"> </w:t>
      </w:r>
      <w:r>
        <w:rPr>
          <w:spacing w:val="13"/>
          <w:sz w:val="19"/>
          <w:szCs w:val="19"/>
        </w:rPr>
        <w:t>章的管理人员与办理签约的人一同前往签约。如合同专用章管理人员利用合同专用章谋</w:t>
      </w:r>
      <w:r>
        <w:rPr>
          <w:spacing w:val="18"/>
          <w:sz w:val="19"/>
          <w:szCs w:val="19"/>
        </w:rPr>
        <w:t xml:space="preserve"> </w:t>
      </w:r>
      <w:r>
        <w:rPr>
          <w:spacing w:val="13"/>
          <w:sz w:val="19"/>
          <w:szCs w:val="19"/>
        </w:rPr>
        <w:t>取个人私利，应追究其行政或法律责任。另外，需要监理工程师注意的是，在实践过程</w:t>
      </w:r>
      <w:r>
        <w:rPr>
          <w:spacing w:val="16"/>
          <w:sz w:val="19"/>
          <w:szCs w:val="19"/>
        </w:rPr>
        <w:t xml:space="preserve"> </w:t>
      </w:r>
      <w:r>
        <w:rPr>
          <w:spacing w:val="13"/>
          <w:sz w:val="19"/>
          <w:szCs w:val="19"/>
        </w:rPr>
        <w:t>中有很多承建合同、监理合同或协议等合同文件，因为没有完全执行合同全过程有效管</w:t>
      </w:r>
      <w:r>
        <w:rPr>
          <w:sz w:val="19"/>
          <w:szCs w:val="19"/>
        </w:rPr>
        <w:t xml:space="preserve"> </w:t>
      </w:r>
      <w:r>
        <w:rPr>
          <w:spacing w:val="15"/>
          <w:sz w:val="19"/>
          <w:szCs w:val="19"/>
        </w:rPr>
        <w:t>理，尤其是合同法定代表人或委托代理人未签章或签字、合同</w:t>
      </w:r>
      <w:r>
        <w:rPr>
          <w:spacing w:val="14"/>
          <w:sz w:val="19"/>
          <w:szCs w:val="19"/>
        </w:rPr>
        <w:t>签署日期未明确或空白，</w:t>
      </w:r>
      <w:r>
        <w:rPr>
          <w:sz w:val="19"/>
          <w:szCs w:val="19"/>
        </w:rPr>
        <w:t xml:space="preserve"> </w:t>
      </w:r>
      <w:r>
        <w:rPr>
          <w:spacing w:val="19"/>
          <w:sz w:val="19"/>
          <w:szCs w:val="19"/>
        </w:rPr>
        <w:t>造成合同履约困难或后续难以认定该合同的有效性等情形，间接造成了该合同被视为</w:t>
      </w:r>
      <w:r>
        <w:rPr>
          <w:sz w:val="19"/>
          <w:szCs w:val="19"/>
        </w:rPr>
        <w:t xml:space="preserve"> </w:t>
      </w:r>
      <w:r>
        <w:rPr>
          <w:spacing w:val="-3"/>
          <w:sz w:val="19"/>
          <w:szCs w:val="19"/>
        </w:rPr>
        <w:t>“无效合同”。</w:t>
      </w:r>
    </w:p>
    <w:p w14:paraId="36F3E78D">
      <w:pPr>
        <w:pStyle w:val="2"/>
        <w:spacing w:before="161" w:line="270" w:lineRule="auto"/>
        <w:ind w:left="669" w:right="327" w:hanging="270"/>
        <w:rPr>
          <w:sz w:val="19"/>
          <w:szCs w:val="19"/>
        </w:rPr>
      </w:pPr>
      <w:r>
        <w:rPr>
          <w:spacing w:val="13"/>
          <w:sz w:val="19"/>
          <w:szCs w:val="19"/>
        </w:rPr>
        <w:t>●合同的统计考察制度。合同统计考察制度就是利用科学方法、利用</w:t>
      </w:r>
      <w:r>
        <w:rPr>
          <w:spacing w:val="12"/>
          <w:sz w:val="19"/>
          <w:szCs w:val="19"/>
        </w:rPr>
        <w:t>统计数字反馈合同订</w:t>
      </w:r>
      <w:r>
        <w:rPr>
          <w:sz w:val="19"/>
          <w:szCs w:val="19"/>
        </w:rPr>
        <w:t xml:space="preserve"> </w:t>
      </w:r>
      <w:bookmarkStart w:id="650" w:name="bookmark635"/>
      <w:bookmarkEnd w:id="650"/>
      <w:r>
        <w:rPr>
          <w:spacing w:val="11"/>
          <w:sz w:val="19"/>
          <w:szCs w:val="19"/>
        </w:rPr>
        <w:t>立及履行情况。通过对统计数字的分析，总结经验，找出教训，为企业经营决策提供重</w:t>
      </w:r>
    </w:p>
    <w:p w14:paraId="63718402">
      <w:pPr>
        <w:spacing w:line="270" w:lineRule="auto"/>
        <w:rPr>
          <w:sz w:val="19"/>
          <w:szCs w:val="19"/>
        </w:rPr>
        <w:sectPr>
          <w:pgSz w:w="10290" w:h="13310"/>
          <w:pgMar w:top="400" w:right="622" w:bottom="400" w:left="1030" w:header="0" w:footer="0" w:gutter="0"/>
          <w:cols w:space="720" w:num="1"/>
        </w:sectPr>
      </w:pPr>
    </w:p>
    <w:p w14:paraId="2809F456">
      <w:pPr>
        <w:pStyle w:val="2"/>
        <w:spacing w:before="97" w:line="219" w:lineRule="auto"/>
        <w:rPr>
          <w:sz w:val="19"/>
          <w:szCs w:val="19"/>
        </w:rPr>
      </w:pPr>
      <w:r>
        <w:rPr>
          <w:rFonts w:ascii="Times New Roman" w:hAnsi="Times New Roman" w:eastAsia="Times New Roman" w:cs="Times New Roman"/>
          <w:spacing w:val="4"/>
          <w:sz w:val="19"/>
          <w:szCs w:val="19"/>
        </w:rPr>
        <w:t xml:space="preserve">308              </w:t>
      </w:r>
      <w:r>
        <w:rPr>
          <w:spacing w:val="4"/>
          <w:sz w:val="19"/>
          <w:szCs w:val="19"/>
        </w:rPr>
        <w:t>信息系统监</w:t>
      </w:r>
      <w:r>
        <w:rPr>
          <w:spacing w:val="3"/>
          <w:sz w:val="19"/>
          <w:szCs w:val="19"/>
        </w:rPr>
        <w:t>理师教程(第2版)</w:t>
      </w:r>
    </w:p>
    <w:p w14:paraId="3DBBCC5F">
      <w:pPr>
        <w:spacing w:line="329" w:lineRule="auto"/>
        <w:rPr>
          <w:rFonts w:ascii="Arial"/>
          <w:sz w:val="21"/>
        </w:rPr>
      </w:pPr>
    </w:p>
    <w:p w14:paraId="5D2650D8">
      <w:pPr>
        <w:pStyle w:val="2"/>
        <w:spacing w:before="62" w:line="219" w:lineRule="auto"/>
        <w:ind w:left="1060"/>
        <w:rPr>
          <w:sz w:val="19"/>
          <w:szCs w:val="19"/>
        </w:rPr>
      </w:pPr>
      <w:r>
        <w:rPr>
          <w:spacing w:val="9"/>
          <w:sz w:val="19"/>
          <w:szCs w:val="19"/>
        </w:rPr>
        <w:t>要的依据。合同统计的内容一般包括中标率、谈判成功率、合同履行率等指标。</w:t>
      </w:r>
    </w:p>
    <w:p w14:paraId="656FDE48">
      <w:pPr>
        <w:pStyle w:val="2"/>
        <w:spacing w:before="96" w:line="295" w:lineRule="auto"/>
        <w:ind w:left="1060" w:right="4" w:hanging="270"/>
        <w:rPr>
          <w:sz w:val="19"/>
          <w:szCs w:val="19"/>
        </w:rPr>
      </w:pPr>
      <w:r>
        <w:rPr>
          <w:spacing w:val="19"/>
          <w:sz w:val="19"/>
          <w:szCs w:val="19"/>
        </w:rPr>
        <w:t>●合同的信息管理制度。监理工作涉及的合同种类多</w:t>
      </w:r>
      <w:r>
        <w:rPr>
          <w:spacing w:val="18"/>
          <w:sz w:val="19"/>
          <w:szCs w:val="19"/>
        </w:rPr>
        <w:t>，数量大，变更频繁，人为管理效</w:t>
      </w:r>
      <w:r>
        <w:rPr>
          <w:sz w:val="19"/>
          <w:szCs w:val="19"/>
        </w:rPr>
        <w:t xml:space="preserve"> </w:t>
      </w:r>
      <w:r>
        <w:rPr>
          <w:spacing w:val="17"/>
          <w:sz w:val="19"/>
          <w:szCs w:val="19"/>
        </w:rPr>
        <w:t>率低，可能还会出错，必须借助先进的手段建</w:t>
      </w:r>
      <w:r>
        <w:rPr>
          <w:spacing w:val="16"/>
          <w:sz w:val="19"/>
          <w:szCs w:val="19"/>
        </w:rPr>
        <w:t>立计算机信息系统来管理，才能达到档</w:t>
      </w:r>
      <w:r>
        <w:rPr>
          <w:sz w:val="19"/>
          <w:szCs w:val="19"/>
        </w:rPr>
        <w:t xml:space="preserve"> </w:t>
      </w:r>
      <w:r>
        <w:rPr>
          <w:spacing w:val="17"/>
          <w:sz w:val="19"/>
          <w:szCs w:val="19"/>
        </w:rPr>
        <w:t>案化、信息化。计算机信息系统能保证正确分析合同管理情况，适应中国经济的发展</w:t>
      </w:r>
      <w:r>
        <w:rPr>
          <w:sz w:val="19"/>
          <w:szCs w:val="19"/>
        </w:rPr>
        <w:t xml:space="preserve"> </w:t>
      </w:r>
      <w:r>
        <w:rPr>
          <w:spacing w:val="4"/>
          <w:sz w:val="19"/>
          <w:szCs w:val="19"/>
        </w:rPr>
        <w:t>趋势。</w:t>
      </w:r>
    </w:p>
    <w:p w14:paraId="304AC454">
      <w:pPr>
        <w:pStyle w:val="2"/>
        <w:spacing w:before="104" w:line="219" w:lineRule="auto"/>
        <w:ind w:left="790"/>
        <w:rPr>
          <w:sz w:val="19"/>
          <w:szCs w:val="19"/>
        </w:rPr>
      </w:pPr>
      <w:r>
        <w:rPr>
          <w:spacing w:val="11"/>
          <w:sz w:val="19"/>
          <w:szCs w:val="19"/>
        </w:rPr>
        <w:t>(3)监理工程师必须掌握合同管理的知识。</w:t>
      </w:r>
    </w:p>
    <w:p w14:paraId="7A09EB62">
      <w:pPr>
        <w:pStyle w:val="2"/>
        <w:spacing w:before="84" w:line="308" w:lineRule="auto"/>
        <w:ind w:left="390" w:right="28" w:firstLine="399"/>
        <w:rPr>
          <w:sz w:val="19"/>
          <w:szCs w:val="19"/>
        </w:rPr>
      </w:pPr>
      <w:r>
        <w:rPr>
          <w:spacing w:val="13"/>
          <w:sz w:val="19"/>
          <w:szCs w:val="19"/>
        </w:rPr>
        <w:t>监理工程师是项目监理的实施者，信息系统工程监理的主要依</w:t>
      </w:r>
      <w:r>
        <w:rPr>
          <w:spacing w:val="12"/>
          <w:sz w:val="19"/>
          <w:szCs w:val="19"/>
        </w:rPr>
        <w:t>据在于合同，掌握合同管理</w:t>
      </w:r>
      <w:r>
        <w:rPr>
          <w:sz w:val="19"/>
          <w:szCs w:val="19"/>
        </w:rPr>
        <w:t xml:space="preserve"> </w:t>
      </w:r>
      <w:r>
        <w:rPr>
          <w:spacing w:val="8"/>
          <w:sz w:val="19"/>
          <w:szCs w:val="19"/>
        </w:rPr>
        <w:t>的有关知识是顺利开展信息系统工程监理工作必</w:t>
      </w:r>
      <w:r>
        <w:rPr>
          <w:spacing w:val="7"/>
          <w:sz w:val="19"/>
          <w:szCs w:val="19"/>
        </w:rPr>
        <w:t>备的素质。</w:t>
      </w:r>
    </w:p>
    <w:p w14:paraId="59885854">
      <w:pPr>
        <w:pStyle w:val="2"/>
        <w:spacing w:before="16" w:line="219" w:lineRule="auto"/>
        <w:ind w:left="790"/>
        <w:rPr>
          <w:sz w:val="19"/>
          <w:szCs w:val="19"/>
        </w:rPr>
      </w:pPr>
      <w:r>
        <w:rPr>
          <w:spacing w:val="10"/>
          <w:sz w:val="19"/>
          <w:szCs w:val="19"/>
        </w:rPr>
        <w:t>(4)合同档案管理的具体工作。包括以下几个方面：</w:t>
      </w:r>
    </w:p>
    <w:p w14:paraId="5AE1729A">
      <w:pPr>
        <w:pStyle w:val="2"/>
        <w:spacing w:before="95" w:line="219" w:lineRule="auto"/>
        <w:ind w:left="790"/>
        <w:rPr>
          <w:sz w:val="19"/>
          <w:szCs w:val="19"/>
        </w:rPr>
      </w:pPr>
      <w:r>
        <w:rPr>
          <w:spacing w:val="10"/>
          <w:sz w:val="19"/>
          <w:szCs w:val="19"/>
        </w:rPr>
        <w:t>●收集、整理、统计、保管监理工作在各项活动中的全部档案，清点库存。</w:t>
      </w:r>
    </w:p>
    <w:p w14:paraId="026EF140">
      <w:pPr>
        <w:pStyle w:val="2"/>
        <w:spacing w:before="106" w:line="287" w:lineRule="auto"/>
        <w:ind w:left="1060" w:right="5" w:hanging="270"/>
        <w:rPr>
          <w:sz w:val="19"/>
          <w:szCs w:val="19"/>
        </w:rPr>
      </w:pPr>
      <w:r>
        <w:rPr>
          <w:spacing w:val="13"/>
          <w:sz w:val="19"/>
          <w:szCs w:val="19"/>
        </w:rPr>
        <w:t>●按有关规定做好档案留存与销毁的鉴定工作。鉴定工作由监理单位有关负责人、资产清</w:t>
      </w:r>
      <w:r>
        <w:rPr>
          <w:spacing w:val="11"/>
          <w:sz w:val="19"/>
          <w:szCs w:val="19"/>
        </w:rPr>
        <w:t xml:space="preserve"> </w:t>
      </w:r>
      <w:r>
        <w:rPr>
          <w:spacing w:val="12"/>
          <w:sz w:val="19"/>
          <w:szCs w:val="19"/>
        </w:rPr>
        <w:t>算机构负责人、主要业务部门负责人和档案部</w:t>
      </w:r>
      <w:r>
        <w:rPr>
          <w:spacing w:val="11"/>
          <w:sz w:val="19"/>
          <w:szCs w:val="19"/>
        </w:rPr>
        <w:t>门负责人等组成的鉴定小组主持，对档案</w:t>
      </w:r>
      <w:r>
        <w:rPr>
          <w:sz w:val="19"/>
          <w:szCs w:val="19"/>
        </w:rPr>
        <w:t xml:space="preserve"> </w:t>
      </w:r>
      <w:r>
        <w:rPr>
          <w:spacing w:val="4"/>
          <w:sz w:val="19"/>
          <w:szCs w:val="19"/>
        </w:rPr>
        <w:t>进行直接鉴定。</w:t>
      </w:r>
    </w:p>
    <w:p w14:paraId="789E9684">
      <w:pPr>
        <w:pStyle w:val="2"/>
        <w:spacing w:before="82" w:line="287" w:lineRule="auto"/>
        <w:ind w:left="1060" w:right="6" w:hanging="270"/>
        <w:rPr>
          <w:sz w:val="19"/>
          <w:szCs w:val="19"/>
        </w:rPr>
      </w:pPr>
      <w:r>
        <w:rPr>
          <w:spacing w:val="13"/>
          <w:sz w:val="19"/>
          <w:szCs w:val="19"/>
        </w:rPr>
        <w:t>●对拟销毁的档案建立销毁清册，经监理单位负责人和企业资产清算机构负责人审核，由</w:t>
      </w:r>
      <w:r>
        <w:rPr>
          <w:spacing w:val="4"/>
          <w:sz w:val="19"/>
          <w:szCs w:val="19"/>
        </w:rPr>
        <w:t xml:space="preserve"> </w:t>
      </w:r>
      <w:r>
        <w:rPr>
          <w:spacing w:val="12"/>
          <w:sz w:val="19"/>
          <w:szCs w:val="19"/>
        </w:rPr>
        <w:t>业主单位主管部门批准，方可销毁。销毁档</w:t>
      </w:r>
      <w:r>
        <w:rPr>
          <w:spacing w:val="11"/>
          <w:sz w:val="19"/>
          <w:szCs w:val="19"/>
        </w:rPr>
        <w:t>案须二人以上监督销毁，并在销毁清册上签</w:t>
      </w:r>
      <w:r>
        <w:rPr>
          <w:sz w:val="19"/>
          <w:szCs w:val="19"/>
        </w:rPr>
        <w:t xml:space="preserve"> </w:t>
      </w:r>
      <w:r>
        <w:rPr>
          <w:spacing w:val="5"/>
          <w:sz w:val="19"/>
          <w:szCs w:val="19"/>
        </w:rPr>
        <w:t>字。销毁清册永久保存。</w:t>
      </w:r>
    </w:p>
    <w:p w14:paraId="45AEFDFB">
      <w:pPr>
        <w:pStyle w:val="2"/>
        <w:spacing w:before="105" w:line="219" w:lineRule="auto"/>
        <w:ind w:left="790"/>
        <w:rPr>
          <w:sz w:val="19"/>
          <w:szCs w:val="19"/>
        </w:rPr>
      </w:pPr>
      <w:r>
        <w:rPr>
          <w:spacing w:val="12"/>
          <w:sz w:val="19"/>
          <w:szCs w:val="19"/>
        </w:rPr>
        <w:t>●按照档案的去向分别编制移交和寄存档案的目</w:t>
      </w:r>
      <w:r>
        <w:rPr>
          <w:spacing w:val="11"/>
          <w:sz w:val="19"/>
          <w:szCs w:val="19"/>
        </w:rPr>
        <w:t>录。</w:t>
      </w:r>
    </w:p>
    <w:p w14:paraId="6FCF9F7B">
      <w:pPr>
        <w:pStyle w:val="2"/>
        <w:spacing w:before="233" w:line="219" w:lineRule="auto"/>
        <w:ind w:left="393"/>
        <w:rPr>
          <w:sz w:val="25"/>
          <w:szCs w:val="25"/>
        </w:rPr>
      </w:pPr>
      <w:bookmarkStart w:id="651" w:name="bookmark636"/>
      <w:bookmarkEnd w:id="651"/>
      <w:r>
        <w:rPr>
          <w:b/>
          <w:bCs/>
          <w:color w:val="006DDA"/>
          <w:spacing w:val="-15"/>
          <w:sz w:val="25"/>
          <w:szCs w:val="25"/>
        </w:rPr>
        <w:t>13.2.3</w:t>
      </w:r>
      <w:r>
        <w:rPr>
          <w:color w:val="006DDA"/>
          <w:spacing w:val="61"/>
          <w:sz w:val="25"/>
          <w:szCs w:val="25"/>
        </w:rPr>
        <w:t xml:space="preserve"> </w:t>
      </w:r>
      <w:r>
        <w:rPr>
          <w:b/>
          <w:bCs/>
          <w:color w:val="006DDA"/>
          <w:spacing w:val="-15"/>
          <w:sz w:val="25"/>
          <w:szCs w:val="25"/>
        </w:rPr>
        <w:t>信息系统工程合同管理的原则</w:t>
      </w:r>
    </w:p>
    <w:p w14:paraId="27E27A06">
      <w:pPr>
        <w:pStyle w:val="2"/>
        <w:spacing w:before="184" w:line="293" w:lineRule="auto"/>
        <w:ind w:left="390" w:firstLine="399"/>
        <w:jc w:val="both"/>
        <w:rPr>
          <w:sz w:val="19"/>
          <w:szCs w:val="19"/>
        </w:rPr>
      </w:pPr>
      <w:r>
        <w:rPr>
          <w:spacing w:val="19"/>
          <w:sz w:val="19"/>
          <w:szCs w:val="19"/>
        </w:rPr>
        <w:t>合同管理的原则是指监理单位在信息系统工程监理过程中针对各类</w:t>
      </w:r>
      <w:r>
        <w:rPr>
          <w:spacing w:val="18"/>
          <w:sz w:val="19"/>
          <w:szCs w:val="19"/>
        </w:rPr>
        <w:t>合同的管理须遵循的</w:t>
      </w:r>
      <w:r>
        <w:rPr>
          <w:sz w:val="19"/>
          <w:szCs w:val="19"/>
        </w:rPr>
        <w:t xml:space="preserve"> </w:t>
      </w:r>
      <w:r>
        <w:rPr>
          <w:spacing w:val="13"/>
          <w:sz w:val="19"/>
          <w:szCs w:val="19"/>
        </w:rPr>
        <w:t>宗旨，贯穿合同管理的全过程，包括事前预控原则、实时纠偏原则、充分协商原则和公正处理</w:t>
      </w:r>
      <w:r>
        <w:rPr>
          <w:spacing w:val="2"/>
          <w:sz w:val="19"/>
          <w:szCs w:val="19"/>
        </w:rPr>
        <w:t xml:space="preserve"> </w:t>
      </w:r>
      <w:r>
        <w:rPr>
          <w:spacing w:val="4"/>
          <w:sz w:val="19"/>
          <w:szCs w:val="19"/>
        </w:rPr>
        <w:t>原则。</w:t>
      </w:r>
    </w:p>
    <w:p w14:paraId="6263F9A8">
      <w:pPr>
        <w:pStyle w:val="2"/>
        <w:spacing w:before="142" w:line="222" w:lineRule="auto"/>
        <w:ind w:left="792"/>
        <w:rPr>
          <w:rFonts w:ascii="黑体" w:hAnsi="黑体" w:eastAsia="黑体" w:cs="黑体"/>
          <w:sz w:val="19"/>
          <w:szCs w:val="19"/>
        </w:rPr>
      </w:pPr>
      <w:r>
        <w:rPr>
          <w:b/>
          <w:bCs/>
          <w:color w:val="0081E4"/>
          <w:spacing w:val="5"/>
          <w:sz w:val="19"/>
          <w:szCs w:val="19"/>
        </w:rPr>
        <w:t>1.</w:t>
      </w:r>
      <w:r>
        <w:rPr>
          <w:rFonts w:ascii="黑体" w:hAnsi="黑体" w:eastAsia="黑体" w:cs="黑体"/>
          <w:b/>
          <w:bCs/>
          <w:color w:val="0081E4"/>
          <w:spacing w:val="5"/>
          <w:sz w:val="19"/>
          <w:szCs w:val="19"/>
        </w:rPr>
        <w:t>事前预控原则</w:t>
      </w:r>
    </w:p>
    <w:p w14:paraId="53A759BE">
      <w:pPr>
        <w:pStyle w:val="2"/>
        <w:spacing w:before="135" w:line="298" w:lineRule="auto"/>
        <w:ind w:left="390" w:right="11" w:firstLine="399"/>
        <w:rPr>
          <w:sz w:val="19"/>
          <w:szCs w:val="19"/>
        </w:rPr>
      </w:pPr>
      <w:r>
        <w:rPr>
          <w:spacing w:val="13"/>
          <w:sz w:val="19"/>
          <w:szCs w:val="19"/>
        </w:rPr>
        <w:t>事前预控的目的是进行项目风险预测，并采取相应的防范性对策，尽量减少承建单位提出</w:t>
      </w:r>
      <w:r>
        <w:rPr>
          <w:spacing w:val="5"/>
          <w:sz w:val="19"/>
          <w:szCs w:val="19"/>
        </w:rPr>
        <w:t xml:space="preserve"> 索赔的可能。具体内容包括：</w:t>
      </w:r>
    </w:p>
    <w:p w14:paraId="03BFA9AD">
      <w:pPr>
        <w:pStyle w:val="2"/>
        <w:spacing w:before="28" w:line="260" w:lineRule="auto"/>
        <w:ind w:left="390" w:firstLine="399"/>
        <w:rPr>
          <w:sz w:val="19"/>
          <w:szCs w:val="19"/>
        </w:rPr>
      </w:pPr>
      <w:r>
        <w:rPr>
          <w:spacing w:val="15"/>
          <w:sz w:val="19"/>
          <w:szCs w:val="19"/>
        </w:rPr>
        <w:t>(1)熟悉设计图纸、设计要求、标底，分析合同构成因素，明确项目费用最容易产生投资</w:t>
      </w:r>
      <w:r>
        <w:rPr>
          <w:spacing w:val="18"/>
          <w:sz w:val="19"/>
          <w:szCs w:val="19"/>
        </w:rPr>
        <w:t xml:space="preserve"> </w:t>
      </w:r>
      <w:r>
        <w:rPr>
          <w:spacing w:val="7"/>
          <w:sz w:val="19"/>
          <w:szCs w:val="19"/>
        </w:rPr>
        <w:t>变化的部分和环节，从而明确投资控制的重点。</w:t>
      </w:r>
    </w:p>
    <w:p w14:paraId="7F466B24">
      <w:pPr>
        <w:pStyle w:val="2"/>
        <w:spacing w:before="94" w:line="219" w:lineRule="auto"/>
        <w:ind w:left="790"/>
        <w:rPr>
          <w:sz w:val="19"/>
          <w:szCs w:val="19"/>
        </w:rPr>
      </w:pPr>
      <w:r>
        <w:rPr>
          <w:spacing w:val="11"/>
          <w:sz w:val="19"/>
          <w:szCs w:val="19"/>
        </w:rPr>
        <w:t>(2)预测项目风险及可能发生索赔的诱因，制定防范对策，减少索赔的发生。</w:t>
      </w:r>
    </w:p>
    <w:p w14:paraId="60B31F51">
      <w:pPr>
        <w:pStyle w:val="2"/>
        <w:spacing w:before="65" w:line="265" w:lineRule="auto"/>
        <w:ind w:left="390" w:right="3" w:firstLine="399"/>
        <w:rPr>
          <w:sz w:val="19"/>
          <w:szCs w:val="19"/>
        </w:rPr>
      </w:pPr>
      <w:r>
        <w:rPr>
          <w:spacing w:val="15"/>
          <w:sz w:val="19"/>
          <w:szCs w:val="19"/>
        </w:rPr>
        <w:t>(3)按照合同规定的条件，监督业主单位如期提供实施现场，使承建单位能如期开工、正</w:t>
      </w:r>
      <w:r>
        <w:rPr>
          <w:spacing w:val="14"/>
          <w:sz w:val="19"/>
          <w:szCs w:val="19"/>
        </w:rPr>
        <w:t xml:space="preserve"> </w:t>
      </w:r>
      <w:r>
        <w:rPr>
          <w:spacing w:val="7"/>
          <w:sz w:val="19"/>
          <w:szCs w:val="19"/>
        </w:rPr>
        <w:t>常实施、连续实施，不要违约造成索赔条件。</w:t>
      </w:r>
    </w:p>
    <w:p w14:paraId="7F4EAF96">
      <w:pPr>
        <w:pStyle w:val="2"/>
        <w:spacing w:before="83" w:line="261" w:lineRule="auto"/>
        <w:ind w:left="390" w:right="1" w:firstLine="399"/>
        <w:rPr>
          <w:sz w:val="19"/>
          <w:szCs w:val="19"/>
        </w:rPr>
      </w:pPr>
      <w:r>
        <w:rPr>
          <w:spacing w:val="15"/>
          <w:sz w:val="19"/>
          <w:szCs w:val="19"/>
        </w:rPr>
        <w:t>(4)按合同要求，监督业主单位如期、如质、如量地供应由业主单位负责的材料、设备到</w:t>
      </w:r>
      <w:r>
        <w:rPr>
          <w:spacing w:val="17"/>
          <w:sz w:val="19"/>
          <w:szCs w:val="19"/>
        </w:rPr>
        <w:t xml:space="preserve"> </w:t>
      </w:r>
      <w:r>
        <w:rPr>
          <w:spacing w:val="6"/>
          <w:sz w:val="19"/>
          <w:szCs w:val="19"/>
        </w:rPr>
        <w:t>现场，不要违约造成索赔条件。</w:t>
      </w:r>
    </w:p>
    <w:p w14:paraId="79616549">
      <w:pPr>
        <w:pStyle w:val="2"/>
        <w:spacing w:before="83" w:line="219" w:lineRule="auto"/>
        <w:ind w:left="790"/>
        <w:rPr>
          <w:sz w:val="19"/>
          <w:szCs w:val="19"/>
        </w:rPr>
      </w:pPr>
      <w:r>
        <w:rPr>
          <w:spacing w:val="11"/>
          <w:sz w:val="19"/>
          <w:szCs w:val="19"/>
        </w:rPr>
        <w:t>(5)按合同要求，监督业主单位及时提供设计图纸等技术资料，不要违约造成索赔条件。</w:t>
      </w:r>
    </w:p>
    <w:p w14:paraId="3FCE4F94">
      <w:pPr>
        <w:pStyle w:val="2"/>
        <w:spacing w:before="172" w:line="222" w:lineRule="auto"/>
        <w:ind w:left="792"/>
        <w:rPr>
          <w:rFonts w:ascii="黑体" w:hAnsi="黑体" w:eastAsia="黑体" w:cs="黑体"/>
          <w:sz w:val="19"/>
          <w:szCs w:val="19"/>
        </w:rPr>
      </w:pPr>
      <w:r>
        <w:rPr>
          <w:b/>
          <w:bCs/>
          <w:color w:val="0075CF"/>
          <w:spacing w:val="9"/>
          <w:sz w:val="19"/>
          <w:szCs w:val="19"/>
        </w:rPr>
        <w:t>2.</w:t>
      </w:r>
      <w:r>
        <w:rPr>
          <w:rFonts w:ascii="黑体" w:hAnsi="黑体" w:eastAsia="黑体" w:cs="黑体"/>
          <w:b/>
          <w:bCs/>
          <w:color w:val="0075CF"/>
          <w:spacing w:val="9"/>
          <w:sz w:val="19"/>
          <w:szCs w:val="19"/>
        </w:rPr>
        <w:t>实时纠偏原则</w:t>
      </w:r>
    </w:p>
    <w:p w14:paraId="291227BB">
      <w:pPr>
        <w:pStyle w:val="2"/>
        <w:spacing w:before="135" w:line="219" w:lineRule="auto"/>
        <w:ind w:right="4"/>
        <w:jc w:val="right"/>
        <w:rPr>
          <w:sz w:val="19"/>
          <w:szCs w:val="19"/>
        </w:rPr>
      </w:pPr>
      <w:r>
        <w:rPr>
          <w:spacing w:val="13"/>
          <w:sz w:val="19"/>
          <w:szCs w:val="19"/>
        </w:rPr>
        <w:t>实时纠偏是指监理单位在实施过程中，应及时纠正、发现承建单位的错误和不当的做法及</w:t>
      </w:r>
    </w:p>
    <w:p w14:paraId="25E3F7EA">
      <w:pPr>
        <w:spacing w:line="219" w:lineRule="auto"/>
        <w:rPr>
          <w:sz w:val="19"/>
          <w:szCs w:val="19"/>
        </w:rPr>
        <w:sectPr>
          <w:pgSz w:w="10300" w:h="13410"/>
          <w:pgMar w:top="400" w:right="1065" w:bottom="400" w:left="509" w:header="0" w:footer="0" w:gutter="0"/>
          <w:cols w:space="720" w:num="1"/>
        </w:sectPr>
      </w:pPr>
    </w:p>
    <w:p w14:paraId="0B0B3B91">
      <w:pPr>
        <w:pStyle w:val="2"/>
        <w:jc w:val="right"/>
        <w:rPr>
          <w:rFonts w:ascii="Times New Roman" w:hAnsi="Times New Roman" w:eastAsia="Times New Roman" w:cs="Times New Roman"/>
          <w:sz w:val="19"/>
          <w:szCs w:val="19"/>
        </w:rPr>
      </w:pPr>
      <w:r>
        <w:rPr>
          <w:spacing w:val="7"/>
          <w:sz w:val="19"/>
          <w:szCs w:val="19"/>
        </w:rPr>
        <w:t>第13章</w:t>
      </w:r>
      <w:r>
        <w:rPr>
          <w:spacing w:val="45"/>
          <w:sz w:val="19"/>
          <w:szCs w:val="19"/>
        </w:rPr>
        <w:t xml:space="preserve"> </w:t>
      </w:r>
      <w:r>
        <w:rPr>
          <w:spacing w:val="7"/>
          <w:sz w:val="19"/>
          <w:szCs w:val="19"/>
        </w:rPr>
        <w:t>合同管理</w:t>
      </w:r>
      <w:r>
        <w:rPr>
          <w:spacing w:val="39"/>
          <w:sz w:val="19"/>
          <w:szCs w:val="19"/>
        </w:rPr>
        <w:t xml:space="preserve"> </w:t>
      </w:r>
      <w:r>
        <w:rPr>
          <w:position w:val="-14"/>
          <w:sz w:val="19"/>
          <w:szCs w:val="19"/>
        </w:rPr>
        <w:drawing>
          <wp:inline distT="0" distB="0" distL="0" distR="0">
            <wp:extent cx="292100" cy="26606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202"/>
                    <a:stretch>
                      <a:fillRect/>
                    </a:stretch>
                  </pic:blipFill>
                  <pic:spPr>
                    <a:xfrm>
                      <a:off x="0" y="0"/>
                      <a:ext cx="292118" cy="266655"/>
                    </a:xfrm>
                    <a:prstGeom prst="rect">
                      <a:avLst/>
                    </a:prstGeom>
                  </pic:spPr>
                </pic:pic>
              </a:graphicData>
            </a:graphic>
          </wp:inline>
        </w:drawing>
      </w:r>
      <w:r>
        <w:rPr>
          <w:rFonts w:ascii="Times New Roman" w:hAnsi="Times New Roman" w:eastAsia="Times New Roman" w:cs="Times New Roman"/>
          <w:spacing w:val="7"/>
          <w:sz w:val="19"/>
          <w:szCs w:val="19"/>
        </w:rPr>
        <w:t>309</w:t>
      </w:r>
    </w:p>
    <w:p w14:paraId="6F246D6C">
      <w:pPr>
        <w:pStyle w:val="2"/>
        <w:spacing w:before="297" w:line="298" w:lineRule="auto"/>
        <w:ind w:right="307"/>
        <w:rPr>
          <w:sz w:val="19"/>
          <w:szCs w:val="19"/>
        </w:rPr>
      </w:pPr>
      <w:r>
        <w:rPr>
          <w:spacing w:val="13"/>
          <w:sz w:val="19"/>
          <w:szCs w:val="19"/>
        </w:rPr>
        <w:t>一些违反信息系统工程合同约定的行为。例如，项目进度慢、产品有质量缺陷等问</w:t>
      </w:r>
      <w:r>
        <w:rPr>
          <w:spacing w:val="12"/>
          <w:sz w:val="19"/>
          <w:szCs w:val="19"/>
        </w:rPr>
        <w:t>题，实时向</w:t>
      </w:r>
      <w:r>
        <w:rPr>
          <w:sz w:val="19"/>
          <w:szCs w:val="19"/>
        </w:rPr>
        <w:t xml:space="preserve"> </w:t>
      </w:r>
      <w:r>
        <w:rPr>
          <w:spacing w:val="7"/>
          <w:sz w:val="19"/>
          <w:szCs w:val="19"/>
        </w:rPr>
        <w:t>相关方提出意见和建议，必要时可向业主单位提出。</w:t>
      </w:r>
    </w:p>
    <w:p w14:paraId="22A35DBB">
      <w:pPr>
        <w:pStyle w:val="2"/>
        <w:spacing w:before="113" w:line="222" w:lineRule="auto"/>
        <w:ind w:left="392"/>
        <w:rPr>
          <w:rFonts w:ascii="黑体" w:hAnsi="黑体" w:eastAsia="黑体" w:cs="黑体"/>
          <w:sz w:val="19"/>
          <w:szCs w:val="19"/>
        </w:rPr>
      </w:pPr>
      <w:r>
        <w:rPr>
          <w:b/>
          <w:bCs/>
          <w:color w:val="007FE1"/>
          <w:spacing w:val="7"/>
          <w:sz w:val="19"/>
          <w:szCs w:val="19"/>
        </w:rPr>
        <w:t>3.</w:t>
      </w:r>
      <w:r>
        <w:rPr>
          <w:rFonts w:ascii="黑体" w:hAnsi="黑体" w:eastAsia="黑体" w:cs="黑体"/>
          <w:b/>
          <w:bCs/>
          <w:color w:val="007FE1"/>
          <w:spacing w:val="7"/>
          <w:sz w:val="19"/>
          <w:szCs w:val="19"/>
        </w:rPr>
        <w:t>充分协商原则</w:t>
      </w:r>
    </w:p>
    <w:p w14:paraId="71669CC0">
      <w:pPr>
        <w:pStyle w:val="2"/>
        <w:spacing w:before="156" w:line="304" w:lineRule="auto"/>
        <w:ind w:right="252" w:firstLine="390"/>
        <w:jc w:val="both"/>
        <w:rPr>
          <w:sz w:val="19"/>
          <w:szCs w:val="19"/>
        </w:rPr>
      </w:pPr>
      <w:r>
        <w:rPr>
          <w:spacing w:val="15"/>
          <w:sz w:val="19"/>
          <w:szCs w:val="19"/>
        </w:rPr>
        <w:t>在合同管理过程中，如果合同双方因合同的履行发生争议，例</w:t>
      </w:r>
      <w:r>
        <w:rPr>
          <w:spacing w:val="14"/>
          <w:sz w:val="19"/>
          <w:szCs w:val="19"/>
        </w:rPr>
        <w:t>如项目变更、延期的提出，</w:t>
      </w:r>
      <w:r>
        <w:rPr>
          <w:sz w:val="19"/>
          <w:szCs w:val="19"/>
        </w:rPr>
        <w:t xml:space="preserve"> </w:t>
      </w:r>
      <w:r>
        <w:rPr>
          <w:spacing w:val="13"/>
          <w:sz w:val="19"/>
          <w:szCs w:val="19"/>
        </w:rPr>
        <w:t>合同一方提出索赔要求等，监理工程师应认真研究分析报告，充分听取</w:t>
      </w:r>
      <w:r>
        <w:rPr>
          <w:spacing w:val="12"/>
          <w:sz w:val="19"/>
          <w:szCs w:val="19"/>
        </w:rPr>
        <w:t>业主单位和承建单位的</w:t>
      </w:r>
      <w:r>
        <w:rPr>
          <w:sz w:val="19"/>
          <w:szCs w:val="19"/>
        </w:rPr>
        <w:t xml:space="preserve"> </w:t>
      </w:r>
      <w:r>
        <w:rPr>
          <w:spacing w:val="13"/>
          <w:sz w:val="19"/>
          <w:szCs w:val="19"/>
        </w:rPr>
        <w:t>意见，主动与双方协商，力求取得一致同意的结果。这样做</w:t>
      </w:r>
      <w:r>
        <w:rPr>
          <w:spacing w:val="12"/>
          <w:sz w:val="19"/>
          <w:szCs w:val="19"/>
        </w:rPr>
        <w:t>不仅能圆满处理好双方争端，也有</w:t>
      </w:r>
      <w:r>
        <w:rPr>
          <w:sz w:val="19"/>
          <w:szCs w:val="19"/>
        </w:rPr>
        <w:t xml:space="preserve"> </w:t>
      </w:r>
      <w:r>
        <w:rPr>
          <w:spacing w:val="9"/>
          <w:sz w:val="19"/>
          <w:szCs w:val="19"/>
        </w:rPr>
        <w:t>利于顺利履行和完成合同。当然，在协商不成的情况下监理工程师有权做出监理决定。</w:t>
      </w:r>
    </w:p>
    <w:p w14:paraId="0409F3F1">
      <w:pPr>
        <w:pStyle w:val="2"/>
        <w:spacing w:before="93" w:line="222" w:lineRule="auto"/>
        <w:ind w:left="392"/>
        <w:rPr>
          <w:rFonts w:ascii="黑体" w:hAnsi="黑体" w:eastAsia="黑体" w:cs="黑体"/>
          <w:sz w:val="19"/>
          <w:szCs w:val="19"/>
        </w:rPr>
      </w:pPr>
      <w:r>
        <w:rPr>
          <w:b/>
          <w:bCs/>
          <w:color w:val="0069BB"/>
          <w:spacing w:val="9"/>
          <w:sz w:val="19"/>
          <w:szCs w:val="19"/>
        </w:rPr>
        <w:t>4.</w:t>
      </w:r>
      <w:r>
        <w:rPr>
          <w:rFonts w:ascii="黑体" w:hAnsi="黑体" w:eastAsia="黑体" w:cs="黑体"/>
          <w:b/>
          <w:bCs/>
          <w:color w:val="0069BB"/>
          <w:spacing w:val="9"/>
          <w:sz w:val="19"/>
          <w:szCs w:val="19"/>
        </w:rPr>
        <w:t>公正处理原则</w:t>
      </w:r>
    </w:p>
    <w:p w14:paraId="6FC1BF34">
      <w:pPr>
        <w:pStyle w:val="2"/>
        <w:spacing w:before="173" w:line="293" w:lineRule="auto"/>
        <w:ind w:right="252" w:firstLine="390"/>
        <w:jc w:val="both"/>
        <w:rPr>
          <w:sz w:val="19"/>
          <w:szCs w:val="19"/>
        </w:rPr>
      </w:pPr>
      <w:r>
        <w:rPr>
          <w:spacing w:val="10"/>
          <w:sz w:val="19"/>
          <w:szCs w:val="19"/>
        </w:rPr>
        <w:t>监理工程师在进行合同管理时，应恪守职业道德，本</w:t>
      </w:r>
      <w:r>
        <w:rPr>
          <w:spacing w:val="9"/>
          <w:sz w:val="19"/>
          <w:szCs w:val="19"/>
        </w:rPr>
        <w:t>着客观、公正的态度，以事实为依据，</w:t>
      </w:r>
      <w:r>
        <w:rPr>
          <w:sz w:val="19"/>
          <w:szCs w:val="19"/>
        </w:rPr>
        <w:t xml:space="preserve"> </w:t>
      </w:r>
      <w:r>
        <w:rPr>
          <w:spacing w:val="13"/>
          <w:sz w:val="19"/>
          <w:szCs w:val="19"/>
        </w:rPr>
        <w:t>以合同为准绳，做出公正的决定。例如，在索赔过程中，合理的索赔</w:t>
      </w:r>
      <w:r>
        <w:rPr>
          <w:spacing w:val="12"/>
          <w:sz w:val="19"/>
          <w:szCs w:val="19"/>
        </w:rPr>
        <w:t>应予以批准，不合理的索</w:t>
      </w:r>
      <w:r>
        <w:rPr>
          <w:sz w:val="19"/>
          <w:szCs w:val="19"/>
        </w:rPr>
        <w:t xml:space="preserve"> </w:t>
      </w:r>
      <w:r>
        <w:rPr>
          <w:spacing w:val="3"/>
          <w:sz w:val="19"/>
          <w:szCs w:val="19"/>
        </w:rPr>
        <w:t>赔应予以驳回。</w:t>
      </w:r>
    </w:p>
    <w:p w14:paraId="303E91EF">
      <w:pPr>
        <w:pStyle w:val="2"/>
        <w:spacing w:before="35" w:line="293" w:lineRule="auto"/>
        <w:ind w:right="282" w:firstLine="390"/>
        <w:jc w:val="both"/>
        <w:rPr>
          <w:sz w:val="19"/>
          <w:szCs w:val="19"/>
        </w:rPr>
      </w:pPr>
      <w:r>
        <w:rPr>
          <w:spacing w:val="12"/>
          <w:sz w:val="19"/>
          <w:szCs w:val="19"/>
        </w:rPr>
        <w:t>合同管理的这几项原则，贯穿合同管理的整个过程。当然，在实际监理工作中可能还会遇</w:t>
      </w:r>
      <w:r>
        <w:rPr>
          <w:spacing w:val="18"/>
          <w:sz w:val="19"/>
          <w:szCs w:val="19"/>
        </w:rPr>
        <w:t xml:space="preserve"> </w:t>
      </w:r>
      <w:r>
        <w:rPr>
          <w:spacing w:val="9"/>
          <w:sz w:val="19"/>
          <w:szCs w:val="19"/>
        </w:rPr>
        <w:t>到更多更复杂的问题，每个监理人员都应本着实事求是的态度</w:t>
      </w:r>
      <w:r>
        <w:rPr>
          <w:spacing w:val="8"/>
          <w:sz w:val="19"/>
          <w:szCs w:val="19"/>
        </w:rPr>
        <w:t>，遵循合同管理的几项基本原则，</w:t>
      </w:r>
      <w:r>
        <w:rPr>
          <w:sz w:val="19"/>
          <w:szCs w:val="19"/>
        </w:rPr>
        <w:t xml:space="preserve"> </w:t>
      </w:r>
      <w:r>
        <w:rPr>
          <w:spacing w:val="3"/>
          <w:sz w:val="19"/>
          <w:szCs w:val="19"/>
        </w:rPr>
        <w:t>做好监理工作。</w:t>
      </w:r>
    </w:p>
    <w:p w14:paraId="24375706">
      <w:pPr>
        <w:spacing w:line="289" w:lineRule="auto"/>
        <w:rPr>
          <w:rFonts w:ascii="Arial"/>
          <w:sz w:val="21"/>
        </w:rPr>
      </w:pPr>
    </w:p>
    <w:p w14:paraId="748D5605">
      <w:pPr>
        <w:pStyle w:val="2"/>
        <w:spacing w:before="95" w:line="222" w:lineRule="auto"/>
        <w:ind w:left="53"/>
        <w:rPr>
          <w:rFonts w:ascii="黑体" w:hAnsi="黑体" w:eastAsia="黑体" w:cs="黑体"/>
          <w:sz w:val="29"/>
          <w:szCs w:val="29"/>
        </w:rPr>
      </w:pPr>
      <w:r>
        <w:rPr>
          <w:b/>
          <w:bCs/>
          <w:color w:val="0065DA"/>
          <w:spacing w:val="-14"/>
          <w:sz w:val="29"/>
          <w:szCs w:val="29"/>
        </w:rPr>
        <w:t>13.3</w:t>
      </w:r>
      <w:r>
        <w:rPr>
          <w:color w:val="0065DA"/>
          <w:spacing w:val="107"/>
          <w:sz w:val="29"/>
          <w:szCs w:val="29"/>
        </w:rPr>
        <w:t xml:space="preserve"> </w:t>
      </w:r>
      <w:r>
        <w:rPr>
          <w:rFonts w:ascii="黑体" w:hAnsi="黑体" w:eastAsia="黑体" w:cs="黑体"/>
          <w:b/>
          <w:bCs/>
          <w:color w:val="0065DA"/>
          <w:spacing w:val="-14"/>
          <w:sz w:val="29"/>
          <w:szCs w:val="29"/>
        </w:rPr>
        <w:t>合同索赔的处理</w:t>
      </w:r>
    </w:p>
    <w:p w14:paraId="423FBC5E">
      <w:pPr>
        <w:pStyle w:val="2"/>
        <w:spacing w:before="261" w:line="297" w:lineRule="auto"/>
        <w:ind w:right="231" w:firstLine="390"/>
        <w:jc w:val="both"/>
        <w:rPr>
          <w:sz w:val="19"/>
          <w:szCs w:val="19"/>
        </w:rPr>
      </w:pPr>
      <w:r>
        <w:rPr>
          <w:spacing w:val="13"/>
          <w:sz w:val="19"/>
          <w:szCs w:val="19"/>
        </w:rPr>
        <w:t>索赔是指在合同履行过程中，对于并非自己</w:t>
      </w:r>
      <w:r>
        <w:rPr>
          <w:spacing w:val="12"/>
          <w:sz w:val="19"/>
          <w:szCs w:val="19"/>
        </w:rPr>
        <w:t>的过错，而是应由对方或双方承担责任的情况</w:t>
      </w:r>
      <w:r>
        <w:rPr>
          <w:sz w:val="19"/>
          <w:szCs w:val="19"/>
        </w:rPr>
        <w:t xml:space="preserve">  </w:t>
      </w:r>
      <w:r>
        <w:rPr>
          <w:spacing w:val="14"/>
          <w:sz w:val="19"/>
          <w:szCs w:val="19"/>
        </w:rPr>
        <w:t>造成的实际损失向对方提出经济补偿和(或)时间补偿的要求。索赔的依据关系到索</w:t>
      </w:r>
      <w:r>
        <w:rPr>
          <w:spacing w:val="13"/>
          <w:sz w:val="19"/>
          <w:szCs w:val="19"/>
        </w:rPr>
        <w:t>赔的成败，</w:t>
      </w:r>
      <w:r>
        <w:rPr>
          <w:sz w:val="19"/>
          <w:szCs w:val="19"/>
        </w:rPr>
        <w:t xml:space="preserve"> </w:t>
      </w:r>
      <w:r>
        <w:rPr>
          <w:spacing w:val="13"/>
          <w:sz w:val="19"/>
          <w:szCs w:val="19"/>
        </w:rPr>
        <w:t>证据不足、依据不够或没有证据，则索赔不成立，亦不会</w:t>
      </w:r>
      <w:r>
        <w:rPr>
          <w:spacing w:val="12"/>
          <w:sz w:val="19"/>
          <w:szCs w:val="19"/>
        </w:rPr>
        <w:t>成功。索赔应通过索赔方向对方发起</w:t>
      </w:r>
      <w:r>
        <w:rPr>
          <w:sz w:val="19"/>
          <w:szCs w:val="19"/>
        </w:rPr>
        <w:t xml:space="preserve">  </w:t>
      </w:r>
      <w:r>
        <w:rPr>
          <w:spacing w:val="13"/>
          <w:sz w:val="19"/>
          <w:szCs w:val="19"/>
        </w:rPr>
        <w:t>索赔处理程序来进行，信息系统工程建设项目中，索赔</w:t>
      </w:r>
      <w:r>
        <w:rPr>
          <w:spacing w:val="12"/>
          <w:sz w:val="19"/>
          <w:szCs w:val="19"/>
        </w:rPr>
        <w:t>处理程序通常是指承建单位向业主单位</w:t>
      </w:r>
      <w:r>
        <w:rPr>
          <w:sz w:val="19"/>
          <w:szCs w:val="19"/>
        </w:rPr>
        <w:t xml:space="preserve">  </w:t>
      </w:r>
      <w:r>
        <w:rPr>
          <w:spacing w:val="10"/>
          <w:sz w:val="19"/>
          <w:szCs w:val="19"/>
        </w:rPr>
        <w:t>提出索赔意向，调查干扰事件，寻找索赔理由和证据，计算索赔值，起草索赔报告</w:t>
      </w:r>
      <w:r>
        <w:rPr>
          <w:spacing w:val="9"/>
          <w:sz w:val="19"/>
          <w:szCs w:val="19"/>
        </w:rPr>
        <w:t>，通过谈判、</w:t>
      </w:r>
      <w:r>
        <w:rPr>
          <w:sz w:val="19"/>
          <w:szCs w:val="19"/>
        </w:rPr>
        <w:t xml:space="preserve"> </w:t>
      </w:r>
      <w:r>
        <w:rPr>
          <w:spacing w:val="5"/>
          <w:sz w:val="19"/>
          <w:szCs w:val="19"/>
        </w:rPr>
        <w:t>调解或仲裁，最终解决索赔争议。</w:t>
      </w:r>
    </w:p>
    <w:p w14:paraId="08BEADE8">
      <w:pPr>
        <w:pStyle w:val="2"/>
        <w:spacing w:before="37" w:line="285" w:lineRule="auto"/>
        <w:ind w:right="310" w:firstLine="390"/>
        <w:jc w:val="both"/>
        <w:rPr>
          <w:sz w:val="19"/>
          <w:szCs w:val="19"/>
        </w:rPr>
      </w:pPr>
      <w:r>
        <w:rPr>
          <w:spacing w:val="13"/>
          <w:sz w:val="19"/>
          <w:szCs w:val="19"/>
        </w:rPr>
        <w:t>监理工程师可以通过工程款审批、工期变更来控制投资，预防并处理好费用索赔，努力使</w:t>
      </w:r>
      <w:r>
        <w:rPr>
          <w:spacing w:val="1"/>
          <w:sz w:val="19"/>
          <w:szCs w:val="19"/>
        </w:rPr>
        <w:t xml:space="preserve"> </w:t>
      </w:r>
      <w:r>
        <w:rPr>
          <w:spacing w:val="13"/>
          <w:sz w:val="19"/>
          <w:szCs w:val="19"/>
        </w:rPr>
        <w:t>实际发生的费用不超过计划投资，还可以从组织、经济、技术、合同等多方</w:t>
      </w:r>
      <w:r>
        <w:rPr>
          <w:spacing w:val="12"/>
          <w:sz w:val="19"/>
          <w:szCs w:val="19"/>
        </w:rPr>
        <w:t>面采取措施来控制</w:t>
      </w:r>
      <w:r>
        <w:rPr>
          <w:sz w:val="19"/>
          <w:szCs w:val="19"/>
        </w:rPr>
        <w:t xml:space="preserve"> </w:t>
      </w:r>
      <w:r>
        <w:rPr>
          <w:spacing w:val="13"/>
          <w:sz w:val="19"/>
          <w:szCs w:val="19"/>
        </w:rPr>
        <w:t>投资。监理工程师在处理索赔时，应根据索赔依据的基本要求，</w:t>
      </w:r>
      <w:r>
        <w:rPr>
          <w:spacing w:val="12"/>
          <w:sz w:val="19"/>
          <w:szCs w:val="19"/>
        </w:rPr>
        <w:t>协助索赔方搜集和整理索赔依</w:t>
      </w:r>
      <w:r>
        <w:rPr>
          <w:sz w:val="19"/>
          <w:szCs w:val="19"/>
        </w:rPr>
        <w:t xml:space="preserve"> </w:t>
      </w:r>
      <w:r>
        <w:rPr>
          <w:spacing w:val="6"/>
          <w:sz w:val="19"/>
          <w:szCs w:val="19"/>
        </w:rPr>
        <w:t>据，并发起索赔处理程序。</w:t>
      </w:r>
    </w:p>
    <w:p w14:paraId="09136FB8">
      <w:pPr>
        <w:pStyle w:val="2"/>
        <w:spacing w:before="207" w:line="219" w:lineRule="auto"/>
        <w:ind w:left="2"/>
        <w:rPr>
          <w:sz w:val="26"/>
          <w:szCs w:val="26"/>
        </w:rPr>
      </w:pPr>
      <w:r>
        <w:rPr>
          <w:b/>
          <w:bCs/>
          <w:color w:val="006FDF"/>
          <w:spacing w:val="-26"/>
          <w:sz w:val="26"/>
          <w:szCs w:val="26"/>
        </w:rPr>
        <w:t>13.3.1</w:t>
      </w:r>
      <w:r>
        <w:rPr>
          <w:color w:val="006FDF"/>
          <w:spacing w:val="99"/>
          <w:sz w:val="26"/>
          <w:szCs w:val="26"/>
        </w:rPr>
        <w:t xml:space="preserve"> </w:t>
      </w:r>
      <w:r>
        <w:rPr>
          <w:b/>
          <w:bCs/>
          <w:color w:val="006FDF"/>
          <w:spacing w:val="-26"/>
          <w:sz w:val="26"/>
          <w:szCs w:val="26"/>
        </w:rPr>
        <w:t>索赔概述</w:t>
      </w:r>
    </w:p>
    <w:p w14:paraId="22A2B995">
      <w:pPr>
        <w:pStyle w:val="2"/>
        <w:spacing w:before="160" w:line="288" w:lineRule="auto"/>
        <w:ind w:right="306" w:firstLine="390"/>
        <w:jc w:val="both"/>
        <w:rPr>
          <w:sz w:val="19"/>
          <w:szCs w:val="19"/>
        </w:rPr>
      </w:pPr>
      <w:r>
        <w:rPr>
          <w:spacing w:val="13"/>
          <w:sz w:val="19"/>
          <w:szCs w:val="19"/>
        </w:rPr>
        <w:t>索赔是指在合同履行过程中，对于并非自己的过错，而是应由对方或双方承担责任的情况</w:t>
      </w:r>
      <w:r>
        <w:rPr>
          <w:sz w:val="19"/>
          <w:szCs w:val="19"/>
        </w:rPr>
        <w:t xml:space="preserve"> </w:t>
      </w:r>
      <w:r>
        <w:rPr>
          <w:spacing w:val="17"/>
          <w:sz w:val="19"/>
          <w:szCs w:val="19"/>
        </w:rPr>
        <w:t>造成的实际损失向对方提出经济补偿和(或)时间补偿的要求。由于实施现场地质条件、气候</w:t>
      </w:r>
      <w:r>
        <w:rPr>
          <w:spacing w:val="9"/>
          <w:sz w:val="19"/>
          <w:szCs w:val="19"/>
        </w:rPr>
        <w:t xml:space="preserve"> </w:t>
      </w:r>
      <w:r>
        <w:rPr>
          <w:spacing w:val="13"/>
          <w:sz w:val="19"/>
          <w:szCs w:val="19"/>
        </w:rPr>
        <w:t>条件等环境条件变化，实施进度、物价的变化，以及合同条款、规范、</w:t>
      </w:r>
      <w:r>
        <w:rPr>
          <w:spacing w:val="12"/>
          <w:sz w:val="19"/>
          <w:szCs w:val="19"/>
        </w:rPr>
        <w:t>标准文件和实施图纸的</w:t>
      </w:r>
      <w:r>
        <w:rPr>
          <w:sz w:val="19"/>
          <w:szCs w:val="19"/>
        </w:rPr>
        <w:t xml:space="preserve"> </w:t>
      </w:r>
      <w:r>
        <w:rPr>
          <w:spacing w:val="13"/>
          <w:sz w:val="19"/>
          <w:szCs w:val="19"/>
        </w:rPr>
        <w:t>变更、差异、延误等因素的影响，使得工程承包中不可避免地出现索赔，它是工程实</w:t>
      </w:r>
      <w:r>
        <w:rPr>
          <w:spacing w:val="12"/>
          <w:sz w:val="19"/>
          <w:szCs w:val="19"/>
        </w:rPr>
        <w:t>施过程中</w:t>
      </w:r>
      <w:r>
        <w:rPr>
          <w:sz w:val="19"/>
          <w:szCs w:val="19"/>
        </w:rPr>
        <w:t xml:space="preserve"> </w:t>
      </w:r>
      <w:r>
        <w:rPr>
          <w:spacing w:val="13"/>
          <w:sz w:val="19"/>
          <w:szCs w:val="19"/>
        </w:rPr>
        <w:t>的正常现象。在实际工作中，索赔是双向的，业主单位和承建单</w:t>
      </w:r>
      <w:r>
        <w:rPr>
          <w:spacing w:val="12"/>
          <w:sz w:val="19"/>
          <w:szCs w:val="19"/>
        </w:rPr>
        <w:t>位都可能提出索赔要求。如果</w:t>
      </w:r>
      <w:r>
        <w:rPr>
          <w:sz w:val="19"/>
          <w:szCs w:val="19"/>
        </w:rPr>
        <w:t xml:space="preserve"> </w:t>
      </w:r>
      <w:r>
        <w:rPr>
          <w:spacing w:val="13"/>
          <w:sz w:val="19"/>
          <w:szCs w:val="19"/>
        </w:rPr>
        <w:t>业主单位索赔数量较小，相对处理方便，可以通过冲账、</w:t>
      </w:r>
      <w:r>
        <w:rPr>
          <w:spacing w:val="12"/>
          <w:sz w:val="19"/>
          <w:szCs w:val="19"/>
        </w:rPr>
        <w:t>扣拨项目款、扣保证金等实现对承建</w:t>
      </w:r>
      <w:r>
        <w:rPr>
          <w:sz w:val="19"/>
          <w:szCs w:val="19"/>
        </w:rPr>
        <w:t xml:space="preserve"> </w:t>
      </w:r>
      <w:r>
        <w:rPr>
          <w:spacing w:val="13"/>
          <w:sz w:val="19"/>
          <w:szCs w:val="19"/>
        </w:rPr>
        <w:t>单位的索赔；而承建单位对业主单位的索赔则比较困难。</w:t>
      </w:r>
      <w:r>
        <w:rPr>
          <w:spacing w:val="12"/>
          <w:sz w:val="19"/>
          <w:szCs w:val="19"/>
        </w:rPr>
        <w:t>通常情况下，索赔是指承建单位在合</w:t>
      </w:r>
    </w:p>
    <w:p w14:paraId="1762E212">
      <w:pPr>
        <w:spacing w:line="288" w:lineRule="auto"/>
        <w:rPr>
          <w:sz w:val="19"/>
          <w:szCs w:val="19"/>
        </w:rPr>
        <w:sectPr>
          <w:pgSz w:w="10280" w:h="13310"/>
          <w:pgMar w:top="350" w:right="572" w:bottom="400" w:left="1080" w:header="0" w:footer="0" w:gutter="0"/>
          <w:cols w:space="720" w:num="1"/>
        </w:sectPr>
      </w:pPr>
    </w:p>
    <w:p w14:paraId="3F1EFAFD">
      <w:pPr>
        <w:pStyle w:val="2"/>
        <w:spacing w:before="107" w:line="219" w:lineRule="auto"/>
        <w:rPr>
          <w:sz w:val="19"/>
          <w:szCs w:val="19"/>
        </w:rPr>
      </w:pPr>
      <w:r>
        <w:rPr>
          <w:rFonts w:ascii="Times New Roman" w:hAnsi="Times New Roman" w:eastAsia="Times New Roman" w:cs="Times New Roman"/>
          <w:spacing w:val="4"/>
          <w:position w:val="1"/>
          <w:sz w:val="19"/>
          <w:szCs w:val="19"/>
        </w:rPr>
        <w:t xml:space="preserve">310              </w:t>
      </w:r>
      <w:r>
        <w:rPr>
          <w:spacing w:val="4"/>
          <w:sz w:val="19"/>
          <w:szCs w:val="19"/>
        </w:rPr>
        <w:t>信息系统监理师教程(第2版)</w:t>
      </w:r>
    </w:p>
    <w:p w14:paraId="55B4C263">
      <w:pPr>
        <w:spacing w:line="340" w:lineRule="auto"/>
        <w:rPr>
          <w:rFonts w:ascii="Arial"/>
          <w:sz w:val="21"/>
        </w:rPr>
      </w:pPr>
    </w:p>
    <w:p w14:paraId="2CF91719">
      <w:pPr>
        <w:pStyle w:val="2"/>
        <w:spacing w:before="62" w:line="302" w:lineRule="auto"/>
        <w:ind w:left="390" w:right="55"/>
        <w:jc w:val="both"/>
        <w:rPr>
          <w:sz w:val="19"/>
          <w:szCs w:val="19"/>
        </w:rPr>
      </w:pPr>
      <w:r>
        <w:rPr>
          <w:spacing w:val="13"/>
          <w:sz w:val="19"/>
          <w:szCs w:val="19"/>
        </w:rPr>
        <w:t>同实施过程中，对非自身原因造成的项目延期、费用增加而要求业主单</w:t>
      </w:r>
      <w:r>
        <w:rPr>
          <w:spacing w:val="12"/>
          <w:sz w:val="19"/>
          <w:szCs w:val="19"/>
        </w:rPr>
        <w:t>位给予补偿损失的一种</w:t>
      </w:r>
      <w:r>
        <w:rPr>
          <w:sz w:val="19"/>
          <w:szCs w:val="19"/>
        </w:rPr>
        <w:t xml:space="preserve"> </w:t>
      </w:r>
      <w:r>
        <w:rPr>
          <w:spacing w:val="13"/>
          <w:sz w:val="19"/>
          <w:szCs w:val="19"/>
        </w:rPr>
        <w:t>权利要求。而业主单位对于属于承建单位应承担责任的，且实际发生了的损失，向承建单位要</w:t>
      </w:r>
      <w:r>
        <w:rPr>
          <w:spacing w:val="15"/>
          <w:sz w:val="19"/>
          <w:szCs w:val="19"/>
        </w:rPr>
        <w:t xml:space="preserve"> </w:t>
      </w:r>
      <w:r>
        <w:rPr>
          <w:spacing w:val="6"/>
          <w:sz w:val="19"/>
          <w:szCs w:val="19"/>
        </w:rPr>
        <w:t>求赔偿，称为反索赔。</w:t>
      </w:r>
    </w:p>
    <w:p w14:paraId="41081231">
      <w:pPr>
        <w:pStyle w:val="2"/>
        <w:spacing w:before="38" w:line="303" w:lineRule="auto"/>
        <w:ind w:left="390" w:firstLine="399"/>
        <w:jc w:val="both"/>
        <w:rPr>
          <w:sz w:val="19"/>
          <w:szCs w:val="19"/>
        </w:rPr>
      </w:pPr>
      <w:r>
        <w:rPr>
          <w:spacing w:val="14"/>
          <w:sz w:val="19"/>
          <w:szCs w:val="19"/>
        </w:rPr>
        <w:t>索赔的性质属于经济补偿行为，而不是惩罚，索赔属于</w:t>
      </w:r>
      <w:r>
        <w:rPr>
          <w:spacing w:val="13"/>
          <w:sz w:val="19"/>
          <w:szCs w:val="19"/>
        </w:rPr>
        <w:t>正确履行合同的正当权利要求。索</w:t>
      </w:r>
      <w:r>
        <w:rPr>
          <w:sz w:val="19"/>
          <w:szCs w:val="19"/>
        </w:rPr>
        <w:t xml:space="preserve"> </w:t>
      </w:r>
      <w:r>
        <w:rPr>
          <w:spacing w:val="15"/>
          <w:sz w:val="19"/>
          <w:szCs w:val="19"/>
        </w:rPr>
        <w:t>赔方所受到的损害，与索赔方的行为并不一定存在法律上的因果关</w:t>
      </w:r>
      <w:r>
        <w:rPr>
          <w:spacing w:val="14"/>
          <w:sz w:val="19"/>
          <w:szCs w:val="19"/>
        </w:rPr>
        <w:t>系。导致索赔事件的发生，</w:t>
      </w:r>
      <w:r>
        <w:rPr>
          <w:sz w:val="19"/>
          <w:szCs w:val="19"/>
        </w:rPr>
        <w:t xml:space="preserve"> </w:t>
      </w:r>
      <w:r>
        <w:rPr>
          <w:spacing w:val="13"/>
          <w:sz w:val="19"/>
          <w:szCs w:val="19"/>
        </w:rPr>
        <w:t>可能是一定行为造成的，也可能是不可抗力事件引起的，可能是</w:t>
      </w:r>
      <w:r>
        <w:rPr>
          <w:spacing w:val="12"/>
          <w:sz w:val="19"/>
          <w:szCs w:val="19"/>
        </w:rPr>
        <w:t>对方当事人的行为导致的，也</w:t>
      </w:r>
      <w:r>
        <w:rPr>
          <w:sz w:val="19"/>
          <w:szCs w:val="19"/>
        </w:rPr>
        <w:t xml:space="preserve">  </w:t>
      </w:r>
      <w:r>
        <w:rPr>
          <w:spacing w:val="13"/>
          <w:sz w:val="19"/>
          <w:szCs w:val="19"/>
        </w:rPr>
        <w:t>可能是任何第三方行为所导致的。索赔在一般情况下都可</w:t>
      </w:r>
      <w:r>
        <w:rPr>
          <w:spacing w:val="12"/>
          <w:sz w:val="19"/>
          <w:szCs w:val="19"/>
        </w:rPr>
        <w:t>以通过协商方式友好解决，若双方无</w:t>
      </w:r>
      <w:r>
        <w:rPr>
          <w:sz w:val="19"/>
          <w:szCs w:val="19"/>
        </w:rPr>
        <w:t xml:space="preserve">  </w:t>
      </w:r>
      <w:r>
        <w:rPr>
          <w:spacing w:val="7"/>
          <w:sz w:val="19"/>
          <w:szCs w:val="19"/>
        </w:rPr>
        <w:t>法达成妥协时，争议可通过仲裁解决。</w:t>
      </w:r>
    </w:p>
    <w:p w14:paraId="27BDD5CE">
      <w:pPr>
        <w:pStyle w:val="2"/>
        <w:spacing w:before="126" w:line="222" w:lineRule="auto"/>
        <w:ind w:left="792"/>
        <w:rPr>
          <w:rFonts w:ascii="黑体" w:hAnsi="黑体" w:eastAsia="黑体" w:cs="黑体"/>
          <w:sz w:val="19"/>
          <w:szCs w:val="19"/>
        </w:rPr>
      </w:pPr>
      <w:bookmarkStart w:id="652" w:name="bookmark637"/>
      <w:bookmarkEnd w:id="652"/>
      <w:r>
        <w:rPr>
          <w:b/>
          <w:bCs/>
          <w:color w:val="0076C5"/>
          <w:spacing w:val="3"/>
          <w:sz w:val="19"/>
          <w:szCs w:val="19"/>
        </w:rPr>
        <w:t>1.</w:t>
      </w:r>
      <w:r>
        <w:rPr>
          <w:rFonts w:ascii="黑体" w:hAnsi="黑体" w:eastAsia="黑体" w:cs="黑体"/>
          <w:b/>
          <w:bCs/>
          <w:color w:val="0076C5"/>
          <w:spacing w:val="3"/>
          <w:sz w:val="19"/>
          <w:szCs w:val="19"/>
        </w:rPr>
        <w:t>索赔</w:t>
      </w:r>
    </w:p>
    <w:p w14:paraId="1888A762">
      <w:pPr>
        <w:pStyle w:val="2"/>
        <w:spacing w:before="155" w:line="219" w:lineRule="auto"/>
        <w:ind w:left="790"/>
        <w:rPr>
          <w:sz w:val="19"/>
          <w:szCs w:val="19"/>
        </w:rPr>
      </w:pPr>
      <w:r>
        <w:rPr>
          <w:spacing w:val="9"/>
          <w:sz w:val="19"/>
          <w:szCs w:val="19"/>
        </w:rPr>
        <w:t>虽然项目索赔并不是发生在每个信息系统工程中，但项目索赔具有以下特</w:t>
      </w:r>
      <w:r>
        <w:rPr>
          <w:spacing w:val="8"/>
          <w:sz w:val="19"/>
          <w:szCs w:val="19"/>
        </w:rPr>
        <w:t>征。</w:t>
      </w:r>
    </w:p>
    <w:p w14:paraId="7281E178">
      <w:pPr>
        <w:spacing w:before="180" w:line="223" w:lineRule="auto"/>
        <w:ind w:left="790"/>
        <w:rPr>
          <w:rFonts w:ascii="楷体" w:hAnsi="楷体" w:eastAsia="楷体" w:cs="楷体"/>
          <w:sz w:val="19"/>
          <w:szCs w:val="19"/>
        </w:rPr>
      </w:pPr>
      <w:r>
        <w:rPr>
          <w:rFonts w:ascii="楷体" w:hAnsi="楷体" w:eastAsia="楷体" w:cs="楷体"/>
          <w:spacing w:val="14"/>
          <w:sz w:val="19"/>
          <w:szCs w:val="19"/>
        </w:rPr>
        <w:t>1)索赔是合同管理的重要环节</w:t>
      </w:r>
    </w:p>
    <w:p w14:paraId="4354A708">
      <w:pPr>
        <w:pStyle w:val="2"/>
        <w:spacing w:before="73" w:line="295" w:lineRule="auto"/>
        <w:ind w:left="390" w:right="51" w:firstLine="399"/>
        <w:rPr>
          <w:sz w:val="19"/>
          <w:szCs w:val="19"/>
        </w:rPr>
      </w:pPr>
      <w:r>
        <w:rPr>
          <w:spacing w:val="13"/>
          <w:sz w:val="19"/>
          <w:szCs w:val="19"/>
        </w:rPr>
        <w:t>索赔和合同管理有直接的联系，合同是索赔的依据。整个索赔处理的过程就是执</w:t>
      </w:r>
      <w:r>
        <w:rPr>
          <w:spacing w:val="12"/>
          <w:sz w:val="19"/>
          <w:szCs w:val="19"/>
        </w:rPr>
        <w:t>行合同的</w:t>
      </w:r>
      <w:r>
        <w:rPr>
          <w:sz w:val="19"/>
          <w:szCs w:val="19"/>
        </w:rPr>
        <w:t xml:space="preserve"> </w:t>
      </w:r>
      <w:r>
        <w:rPr>
          <w:spacing w:val="14"/>
          <w:sz w:val="19"/>
          <w:szCs w:val="19"/>
        </w:rPr>
        <w:t>过程，从项目开工后，合同人员就必须将每</w:t>
      </w:r>
      <w:r>
        <w:rPr>
          <w:spacing w:val="13"/>
          <w:sz w:val="19"/>
          <w:szCs w:val="19"/>
        </w:rPr>
        <w:t>日的实施合同的情况与原合同分析对比，若出现索</w:t>
      </w:r>
      <w:r>
        <w:rPr>
          <w:sz w:val="19"/>
          <w:szCs w:val="19"/>
        </w:rPr>
        <w:t xml:space="preserve"> </w:t>
      </w:r>
      <w:r>
        <w:rPr>
          <w:spacing w:val="13"/>
          <w:sz w:val="19"/>
          <w:szCs w:val="19"/>
        </w:rPr>
        <w:t>赔事件，就应当研究是否提出索赔。索赔的依据在于日常合同管理的证据，想索赔就必须加强</w:t>
      </w:r>
      <w:r>
        <w:rPr>
          <w:spacing w:val="15"/>
          <w:sz w:val="19"/>
          <w:szCs w:val="19"/>
        </w:rPr>
        <w:t xml:space="preserve"> </w:t>
      </w:r>
      <w:r>
        <w:rPr>
          <w:spacing w:val="4"/>
          <w:sz w:val="19"/>
          <w:szCs w:val="19"/>
        </w:rPr>
        <w:t>合同管理。</w:t>
      </w:r>
    </w:p>
    <w:p w14:paraId="21EEFE52">
      <w:pPr>
        <w:spacing w:before="133" w:line="223" w:lineRule="auto"/>
        <w:ind w:left="790"/>
        <w:rPr>
          <w:rFonts w:ascii="楷体" w:hAnsi="楷体" w:eastAsia="楷体" w:cs="楷体"/>
          <w:sz w:val="19"/>
          <w:szCs w:val="19"/>
        </w:rPr>
      </w:pPr>
      <w:r>
        <w:rPr>
          <w:rFonts w:ascii="楷体" w:hAnsi="楷体" w:eastAsia="楷体" w:cs="楷体"/>
          <w:spacing w:val="13"/>
          <w:sz w:val="19"/>
          <w:szCs w:val="19"/>
        </w:rPr>
        <w:t>2)索赔有利于业主单位、承建单位双方自身素质和管理水平的提高</w:t>
      </w:r>
    </w:p>
    <w:p w14:paraId="2444D933">
      <w:pPr>
        <w:pStyle w:val="2"/>
        <w:spacing w:before="83" w:line="297" w:lineRule="auto"/>
        <w:ind w:left="390" w:firstLine="399"/>
        <w:rPr>
          <w:sz w:val="19"/>
          <w:szCs w:val="19"/>
        </w:rPr>
      </w:pPr>
      <w:r>
        <w:rPr>
          <w:spacing w:val="13"/>
          <w:sz w:val="19"/>
          <w:szCs w:val="19"/>
        </w:rPr>
        <w:t>项目建设索赔直接关系到业主单位和承建单位的双方利益，索赔</w:t>
      </w:r>
      <w:r>
        <w:rPr>
          <w:spacing w:val="12"/>
          <w:sz w:val="19"/>
          <w:szCs w:val="19"/>
        </w:rPr>
        <w:t>和处理索赔的过程实质上</w:t>
      </w:r>
      <w:r>
        <w:rPr>
          <w:sz w:val="19"/>
          <w:szCs w:val="19"/>
        </w:rPr>
        <w:t xml:space="preserve">  </w:t>
      </w:r>
      <w:r>
        <w:rPr>
          <w:spacing w:val="13"/>
          <w:sz w:val="19"/>
          <w:szCs w:val="19"/>
        </w:rPr>
        <w:t xml:space="preserve">是双方管理水平的综合体现。作为业主单位，为使项目顺利进行，如期完成，早日投产取得收 </w:t>
      </w:r>
      <w:r>
        <w:rPr>
          <w:spacing w:val="15"/>
          <w:sz w:val="19"/>
          <w:szCs w:val="19"/>
        </w:rPr>
        <w:t>益，就必须加强自身管理，做好资金、技术等各项有关工作，保证项</w:t>
      </w:r>
      <w:r>
        <w:rPr>
          <w:spacing w:val="14"/>
          <w:sz w:val="19"/>
          <w:szCs w:val="19"/>
        </w:rPr>
        <w:t>目中各项问题及时解决；</w:t>
      </w:r>
      <w:r>
        <w:rPr>
          <w:sz w:val="19"/>
          <w:szCs w:val="19"/>
        </w:rPr>
        <w:t xml:space="preserve"> </w:t>
      </w:r>
      <w:r>
        <w:rPr>
          <w:spacing w:val="13"/>
          <w:sz w:val="19"/>
          <w:szCs w:val="19"/>
        </w:rPr>
        <w:t>作为承建单位，要实现合同目标，取得索赔，争取自己应得的利益，就必须加强各项基础管理</w:t>
      </w:r>
      <w:r>
        <w:rPr>
          <w:spacing w:val="12"/>
          <w:sz w:val="19"/>
          <w:szCs w:val="19"/>
        </w:rPr>
        <w:t xml:space="preserve"> </w:t>
      </w:r>
      <w:r>
        <w:rPr>
          <w:spacing w:val="13"/>
          <w:sz w:val="19"/>
          <w:szCs w:val="19"/>
        </w:rPr>
        <w:t>工作，对项目的质量、进度、变更等进行更严格、更细致的管理，进而推</w:t>
      </w:r>
      <w:r>
        <w:rPr>
          <w:spacing w:val="12"/>
          <w:sz w:val="19"/>
          <w:szCs w:val="19"/>
        </w:rPr>
        <w:t>动行业管理的加强与</w:t>
      </w:r>
      <w:r>
        <w:rPr>
          <w:sz w:val="19"/>
          <w:szCs w:val="19"/>
        </w:rPr>
        <w:t xml:space="preserve">  </w:t>
      </w:r>
      <w:r>
        <w:rPr>
          <w:spacing w:val="8"/>
          <w:sz w:val="19"/>
          <w:szCs w:val="19"/>
        </w:rPr>
        <w:t>提高。</w:t>
      </w:r>
    </w:p>
    <w:p w14:paraId="2501C54F">
      <w:pPr>
        <w:spacing w:before="123" w:line="223" w:lineRule="auto"/>
        <w:ind w:left="790"/>
        <w:rPr>
          <w:rFonts w:ascii="楷体" w:hAnsi="楷体" w:eastAsia="楷体" w:cs="楷体"/>
          <w:sz w:val="19"/>
          <w:szCs w:val="19"/>
        </w:rPr>
      </w:pPr>
      <w:r>
        <w:rPr>
          <w:rFonts w:ascii="楷体" w:hAnsi="楷体" w:eastAsia="楷体" w:cs="楷体"/>
          <w:spacing w:val="15"/>
          <w:sz w:val="19"/>
          <w:szCs w:val="19"/>
        </w:rPr>
        <w:t>3)索赔是合同双方利益的体现</w:t>
      </w:r>
    </w:p>
    <w:p w14:paraId="3944DCFB">
      <w:pPr>
        <w:pStyle w:val="2"/>
        <w:spacing w:before="84" w:line="297" w:lineRule="auto"/>
        <w:ind w:left="390" w:firstLine="399"/>
        <w:rPr>
          <w:sz w:val="19"/>
          <w:szCs w:val="19"/>
        </w:rPr>
      </w:pPr>
      <w:r>
        <w:rPr>
          <w:spacing w:val="13"/>
          <w:sz w:val="19"/>
          <w:szCs w:val="19"/>
        </w:rPr>
        <w:t>从某种意义上讲，索赔是一种风险费用的转移或再分配，如果承建单</w:t>
      </w:r>
      <w:r>
        <w:rPr>
          <w:spacing w:val="12"/>
          <w:sz w:val="19"/>
          <w:szCs w:val="19"/>
        </w:rPr>
        <w:t>位利用索赔的方法使</w:t>
      </w:r>
      <w:r>
        <w:rPr>
          <w:sz w:val="19"/>
          <w:szCs w:val="19"/>
        </w:rPr>
        <w:t xml:space="preserve">  </w:t>
      </w:r>
      <w:r>
        <w:rPr>
          <w:spacing w:val="13"/>
          <w:sz w:val="19"/>
          <w:szCs w:val="19"/>
        </w:rPr>
        <w:t>自己的损失得到尽可能的补偿，就会降低项目报价中的风</w:t>
      </w:r>
      <w:r>
        <w:rPr>
          <w:spacing w:val="12"/>
          <w:sz w:val="19"/>
          <w:szCs w:val="19"/>
        </w:rPr>
        <w:t>险费用，从而使业主单位得到相对较</w:t>
      </w:r>
      <w:r>
        <w:rPr>
          <w:sz w:val="19"/>
          <w:szCs w:val="19"/>
        </w:rPr>
        <w:t xml:space="preserve">  </w:t>
      </w:r>
      <w:r>
        <w:rPr>
          <w:spacing w:val="10"/>
          <w:sz w:val="19"/>
          <w:szCs w:val="19"/>
        </w:rPr>
        <w:t>低的报价，当项目实施中发生这种费用时可以按实际支出给予补偿，也使项目造价</w:t>
      </w:r>
      <w:r>
        <w:rPr>
          <w:spacing w:val="9"/>
          <w:sz w:val="19"/>
          <w:szCs w:val="19"/>
        </w:rPr>
        <w:t>更趋于合理。</w:t>
      </w:r>
      <w:r>
        <w:rPr>
          <w:sz w:val="19"/>
          <w:szCs w:val="19"/>
        </w:rPr>
        <w:t xml:space="preserve"> </w:t>
      </w:r>
      <w:r>
        <w:rPr>
          <w:spacing w:val="13"/>
          <w:sz w:val="19"/>
          <w:szCs w:val="19"/>
        </w:rPr>
        <w:t>作为承建单位，要取得索赔，保证自己应得的利益，就必须做到自己不违约，全力保证</w:t>
      </w:r>
      <w:r>
        <w:rPr>
          <w:spacing w:val="12"/>
          <w:sz w:val="19"/>
          <w:szCs w:val="19"/>
        </w:rPr>
        <w:t>项目质</w:t>
      </w:r>
      <w:r>
        <w:rPr>
          <w:sz w:val="19"/>
          <w:szCs w:val="19"/>
        </w:rPr>
        <w:t xml:space="preserve"> </w:t>
      </w:r>
      <w:r>
        <w:rPr>
          <w:spacing w:val="13"/>
          <w:sz w:val="19"/>
          <w:szCs w:val="19"/>
        </w:rPr>
        <w:t>量和进度，实现合同目标。同样，作为业主单位，也可以通</w:t>
      </w:r>
      <w:r>
        <w:rPr>
          <w:spacing w:val="12"/>
          <w:sz w:val="19"/>
          <w:szCs w:val="19"/>
        </w:rPr>
        <w:t>过索赔的处理和解决，来保证自己</w:t>
      </w:r>
      <w:r>
        <w:rPr>
          <w:sz w:val="19"/>
          <w:szCs w:val="19"/>
        </w:rPr>
        <w:t xml:space="preserve">  </w:t>
      </w:r>
      <w:r>
        <w:rPr>
          <w:spacing w:val="5"/>
          <w:sz w:val="19"/>
          <w:szCs w:val="19"/>
        </w:rPr>
        <w:t>的合法权益。</w:t>
      </w:r>
    </w:p>
    <w:p w14:paraId="3B598C91">
      <w:pPr>
        <w:spacing w:before="113" w:line="224" w:lineRule="auto"/>
        <w:ind w:left="790"/>
        <w:rPr>
          <w:rFonts w:ascii="楷体" w:hAnsi="楷体" w:eastAsia="楷体" w:cs="楷体"/>
          <w:sz w:val="19"/>
          <w:szCs w:val="19"/>
        </w:rPr>
      </w:pPr>
      <w:r>
        <w:rPr>
          <w:rFonts w:ascii="楷体" w:hAnsi="楷体" w:eastAsia="楷体" w:cs="楷体"/>
          <w:spacing w:val="15"/>
          <w:sz w:val="19"/>
          <w:szCs w:val="19"/>
        </w:rPr>
        <w:t>4)索赔是挽回成本损失的重要手段</w:t>
      </w:r>
    </w:p>
    <w:p w14:paraId="1D1C5DBA">
      <w:pPr>
        <w:pStyle w:val="2"/>
        <w:spacing w:before="94" w:line="282" w:lineRule="auto"/>
        <w:ind w:left="390" w:right="50" w:firstLine="399"/>
        <w:rPr>
          <w:sz w:val="19"/>
          <w:szCs w:val="19"/>
        </w:rPr>
      </w:pPr>
      <w:r>
        <w:rPr>
          <w:spacing w:val="13"/>
          <w:sz w:val="19"/>
          <w:szCs w:val="19"/>
        </w:rPr>
        <w:t>在合同实施过程中，由于项目的主客观条件发生了与原合同不一致的情况，使承</w:t>
      </w:r>
      <w:r>
        <w:rPr>
          <w:spacing w:val="12"/>
          <w:sz w:val="19"/>
          <w:szCs w:val="19"/>
        </w:rPr>
        <w:t>建单位的</w:t>
      </w:r>
      <w:r>
        <w:rPr>
          <w:sz w:val="19"/>
          <w:szCs w:val="19"/>
        </w:rPr>
        <w:t xml:space="preserve"> </w:t>
      </w:r>
      <w:r>
        <w:rPr>
          <w:spacing w:val="13"/>
          <w:sz w:val="19"/>
          <w:szCs w:val="19"/>
        </w:rPr>
        <w:t>实际项目成本增加，承建单位为了挽回损失，通过索赔加以解决。显然，</w:t>
      </w:r>
      <w:r>
        <w:rPr>
          <w:spacing w:val="12"/>
          <w:sz w:val="19"/>
          <w:szCs w:val="19"/>
        </w:rPr>
        <w:t>索赔是以赔偿实际损</w:t>
      </w:r>
      <w:r>
        <w:rPr>
          <w:sz w:val="19"/>
          <w:szCs w:val="19"/>
        </w:rPr>
        <w:t xml:space="preserve"> </w:t>
      </w:r>
      <w:r>
        <w:rPr>
          <w:spacing w:val="9"/>
          <w:sz w:val="19"/>
          <w:szCs w:val="19"/>
        </w:rPr>
        <w:t>失为原则的，承建单位必须准确地提供整个项目成本的分析和</w:t>
      </w:r>
      <w:r>
        <w:rPr>
          <w:spacing w:val="8"/>
          <w:sz w:val="19"/>
          <w:szCs w:val="19"/>
        </w:rPr>
        <w:t>管理，以便确定挽回损失的数量。</w:t>
      </w:r>
    </w:p>
    <w:p w14:paraId="795DEC86">
      <w:pPr>
        <w:pStyle w:val="2"/>
        <w:spacing w:before="125" w:line="222" w:lineRule="auto"/>
        <w:ind w:left="792"/>
        <w:rPr>
          <w:rFonts w:ascii="黑体" w:hAnsi="黑体" w:eastAsia="黑体" w:cs="黑体"/>
          <w:sz w:val="19"/>
          <w:szCs w:val="19"/>
        </w:rPr>
      </w:pPr>
      <w:r>
        <w:rPr>
          <w:b/>
          <w:bCs/>
          <w:color w:val="006EB8"/>
          <w:spacing w:val="10"/>
          <w:sz w:val="19"/>
          <w:szCs w:val="19"/>
        </w:rPr>
        <w:t>2.</w:t>
      </w:r>
      <w:r>
        <w:rPr>
          <w:rFonts w:ascii="黑体" w:hAnsi="黑体" w:eastAsia="黑体" w:cs="黑体"/>
          <w:b/>
          <w:bCs/>
          <w:color w:val="006EB8"/>
          <w:spacing w:val="10"/>
          <w:sz w:val="19"/>
          <w:szCs w:val="19"/>
        </w:rPr>
        <w:t>反索赔</w:t>
      </w:r>
    </w:p>
    <w:p w14:paraId="6A990616">
      <w:pPr>
        <w:pStyle w:val="2"/>
        <w:spacing w:before="146" w:line="219" w:lineRule="auto"/>
        <w:ind w:right="19"/>
        <w:jc w:val="right"/>
        <w:rPr>
          <w:sz w:val="19"/>
          <w:szCs w:val="19"/>
        </w:rPr>
      </w:pPr>
      <w:r>
        <w:rPr>
          <w:spacing w:val="14"/>
          <w:sz w:val="19"/>
          <w:szCs w:val="19"/>
        </w:rPr>
        <w:t>反索赔是指业主单位向承建单位提出的索赔。业主单位向承建单位索赔的主要途径包括：</w:t>
      </w:r>
    </w:p>
    <w:p w14:paraId="1DB4F845">
      <w:pPr>
        <w:spacing w:line="219" w:lineRule="auto"/>
        <w:rPr>
          <w:sz w:val="19"/>
          <w:szCs w:val="19"/>
        </w:rPr>
        <w:sectPr>
          <w:pgSz w:w="10300" w:h="13430"/>
          <w:pgMar w:top="400" w:right="1024" w:bottom="400" w:left="489" w:header="0" w:footer="0" w:gutter="0"/>
          <w:cols w:space="720" w:num="1"/>
        </w:sectPr>
      </w:pPr>
    </w:p>
    <w:p w14:paraId="615AD712">
      <w:pPr>
        <w:spacing w:line="37" w:lineRule="exact"/>
      </w:pPr>
    </w:p>
    <w:p w14:paraId="0B8B0C9F">
      <w:pPr>
        <w:spacing w:line="37" w:lineRule="exact"/>
        <w:sectPr>
          <w:pgSz w:w="10290" w:h="13260"/>
          <w:pgMar w:top="400" w:right="525" w:bottom="400" w:left="1049" w:header="0" w:footer="0" w:gutter="0"/>
          <w:cols w:equalWidth="0" w:num="1">
            <w:col w:w="8715"/>
          </w:cols>
        </w:sectPr>
      </w:pPr>
    </w:p>
    <w:p w14:paraId="1C724BB8">
      <w:pPr>
        <w:pStyle w:val="2"/>
        <w:spacing w:before="39" w:line="219" w:lineRule="auto"/>
        <w:ind w:left="6200"/>
        <w:rPr>
          <w:sz w:val="20"/>
          <w:szCs w:val="20"/>
        </w:rPr>
      </w:pPr>
      <w:r>
        <w:rPr>
          <w:spacing w:val="2"/>
          <w:sz w:val="20"/>
          <w:szCs w:val="20"/>
        </w:rPr>
        <w:t>第13章</w:t>
      </w:r>
      <w:r>
        <w:rPr>
          <w:spacing w:val="19"/>
          <w:sz w:val="20"/>
          <w:szCs w:val="20"/>
        </w:rPr>
        <w:t xml:space="preserve"> </w:t>
      </w:r>
      <w:r>
        <w:rPr>
          <w:spacing w:val="2"/>
          <w:sz w:val="20"/>
          <w:szCs w:val="20"/>
        </w:rPr>
        <w:t>合同管理</w:t>
      </w:r>
    </w:p>
    <w:p w14:paraId="451C3A8B">
      <w:pPr>
        <w:spacing w:line="14" w:lineRule="auto"/>
        <w:rPr>
          <w:rFonts w:ascii="Arial"/>
          <w:sz w:val="2"/>
        </w:rPr>
      </w:pPr>
      <w:r>
        <w:rPr>
          <w:rFonts w:ascii="Arial" w:hAnsi="Arial" w:eastAsia="Arial" w:cs="Arial"/>
          <w:sz w:val="2"/>
          <w:szCs w:val="2"/>
        </w:rPr>
        <w:br w:type="column"/>
      </w:r>
    </w:p>
    <w:p w14:paraId="693CFF52">
      <w:pPr>
        <w:spacing w:before="136" w:line="175" w:lineRule="exact"/>
        <w:jc w:val="right"/>
        <w:rPr>
          <w:rFonts w:ascii="Times New Roman" w:hAnsi="Times New Roman" w:eastAsia="Times New Roman" w:cs="Times New Roman"/>
          <w:sz w:val="25"/>
          <w:szCs w:val="25"/>
        </w:rPr>
      </w:pPr>
      <w:r>
        <w:rPr>
          <w:rFonts w:ascii="Times New Roman" w:hAnsi="Times New Roman" w:eastAsia="Times New Roman" w:cs="Times New Roman"/>
          <w:spacing w:val="-4"/>
          <w:position w:val="-3"/>
          <w:sz w:val="25"/>
          <w:szCs w:val="25"/>
        </w:rPr>
        <w:t>311</w:t>
      </w:r>
    </w:p>
    <w:p w14:paraId="2669DFFB">
      <w:pPr>
        <w:spacing w:line="175" w:lineRule="exact"/>
        <w:rPr>
          <w:rFonts w:ascii="Times New Roman" w:hAnsi="Times New Roman" w:eastAsia="Times New Roman" w:cs="Times New Roman"/>
          <w:sz w:val="25"/>
          <w:szCs w:val="25"/>
        </w:rPr>
        <w:sectPr>
          <w:type w:val="continuous"/>
          <w:pgSz w:w="10290" w:h="13260"/>
          <w:pgMar w:top="400" w:right="525" w:bottom="400" w:left="1049" w:header="0" w:footer="0" w:gutter="0"/>
          <w:cols w:equalWidth="0" w:num="2">
            <w:col w:w="7895" w:space="100"/>
            <w:col w:w="720"/>
          </w:cols>
        </w:sectPr>
      </w:pPr>
    </w:p>
    <w:p w14:paraId="35D58E55">
      <w:pPr>
        <w:spacing w:line="261" w:lineRule="auto"/>
        <w:rPr>
          <w:rFonts w:ascii="Arial"/>
          <w:sz w:val="21"/>
        </w:rPr>
      </w:pPr>
    </w:p>
    <w:p w14:paraId="7D2E9056">
      <w:pPr>
        <w:pStyle w:val="2"/>
        <w:spacing w:before="65" w:line="281" w:lineRule="auto"/>
        <w:ind w:right="366"/>
        <w:rPr>
          <w:sz w:val="20"/>
          <w:szCs w:val="20"/>
        </w:rPr>
      </w:pPr>
      <w:r>
        <w:rPr>
          <w:spacing w:val="9"/>
          <w:sz w:val="20"/>
          <w:szCs w:val="20"/>
        </w:rPr>
        <w:t>一是减少或防止可能产生的索赔；二是反索</w:t>
      </w:r>
      <w:r>
        <w:rPr>
          <w:spacing w:val="8"/>
          <w:sz w:val="20"/>
          <w:szCs w:val="20"/>
        </w:rPr>
        <w:t>赔，对抗(平衡)承建单位的索赔要求。业主单位</w:t>
      </w:r>
      <w:r>
        <w:rPr>
          <w:sz w:val="20"/>
          <w:szCs w:val="20"/>
        </w:rPr>
        <w:t xml:space="preserve"> </w:t>
      </w:r>
      <w:r>
        <w:rPr>
          <w:spacing w:val="-3"/>
          <w:sz w:val="20"/>
          <w:szCs w:val="20"/>
        </w:rPr>
        <w:t>向承建单位提出索赔的情况包括以下几种。</w:t>
      </w:r>
    </w:p>
    <w:p w14:paraId="14B7FEB1">
      <w:pPr>
        <w:spacing w:before="96" w:line="224" w:lineRule="auto"/>
        <w:ind w:left="399"/>
        <w:rPr>
          <w:rFonts w:ascii="楷体" w:hAnsi="楷体" w:eastAsia="楷体" w:cs="楷体"/>
          <w:sz w:val="20"/>
          <w:szCs w:val="20"/>
        </w:rPr>
      </w:pPr>
      <w:r>
        <w:rPr>
          <w:rFonts w:ascii="楷体" w:hAnsi="楷体" w:eastAsia="楷体" w:cs="楷体"/>
          <w:spacing w:val="9"/>
          <w:sz w:val="20"/>
          <w:szCs w:val="20"/>
        </w:rPr>
        <w:t>1)工期延误反索赔</w:t>
      </w:r>
    </w:p>
    <w:p w14:paraId="376F4BE6">
      <w:pPr>
        <w:pStyle w:val="2"/>
        <w:spacing w:before="90" w:line="281" w:lineRule="auto"/>
        <w:ind w:right="376" w:firstLine="399"/>
        <w:rPr>
          <w:sz w:val="20"/>
          <w:szCs w:val="20"/>
        </w:rPr>
      </w:pPr>
      <w:r>
        <w:rPr>
          <w:spacing w:val="3"/>
          <w:sz w:val="20"/>
          <w:szCs w:val="20"/>
        </w:rPr>
        <w:t>工期延误反索赔指工期延误属于承建单位的责任时，业主单位对承建单位进行索赔，即由</w:t>
      </w:r>
      <w:r>
        <w:rPr>
          <w:spacing w:val="5"/>
          <w:sz w:val="20"/>
          <w:szCs w:val="20"/>
        </w:rPr>
        <w:t xml:space="preserve"> </w:t>
      </w:r>
      <w:r>
        <w:rPr>
          <w:spacing w:val="1"/>
          <w:sz w:val="20"/>
          <w:szCs w:val="20"/>
        </w:rPr>
        <w:t>承建单位支付延期竣工违约金。业主单位在确定违约金的费率时，</w:t>
      </w:r>
      <w:r>
        <w:rPr>
          <w:sz w:val="20"/>
          <w:szCs w:val="20"/>
        </w:rPr>
        <w:t xml:space="preserve"> 一般要考虑以下因素：业主 </w:t>
      </w:r>
      <w:r>
        <w:rPr>
          <w:spacing w:val="3"/>
          <w:sz w:val="20"/>
          <w:szCs w:val="20"/>
        </w:rPr>
        <w:t>单位盈利损失；项目拖期带来的附加监理费；由于本项目拖期竣工不能使用造成的损失。违约</w:t>
      </w:r>
      <w:r>
        <w:rPr>
          <w:spacing w:val="13"/>
          <w:sz w:val="20"/>
          <w:szCs w:val="20"/>
        </w:rPr>
        <w:t xml:space="preserve"> </w:t>
      </w:r>
      <w:r>
        <w:rPr>
          <w:spacing w:val="1"/>
          <w:sz w:val="20"/>
          <w:szCs w:val="20"/>
        </w:rPr>
        <w:t>金的计算方法在每个合同文件中均有具体规定，</w:t>
      </w:r>
      <w:r>
        <w:rPr>
          <w:spacing w:val="-14"/>
          <w:sz w:val="20"/>
          <w:szCs w:val="20"/>
        </w:rPr>
        <w:t xml:space="preserve"> </w:t>
      </w:r>
      <w:r>
        <w:rPr>
          <w:spacing w:val="1"/>
          <w:sz w:val="20"/>
          <w:szCs w:val="20"/>
        </w:rPr>
        <w:t>一般按每延误一天赔偿一定的款额计算，累计</w:t>
      </w:r>
      <w:r>
        <w:rPr>
          <w:sz w:val="20"/>
          <w:szCs w:val="20"/>
        </w:rPr>
        <w:t xml:space="preserve"> </w:t>
      </w:r>
      <w:r>
        <w:rPr>
          <w:spacing w:val="3"/>
          <w:sz w:val="20"/>
          <w:szCs w:val="20"/>
        </w:rPr>
        <w:t>赔偿额一般不超过原合同总额的10%。</w:t>
      </w:r>
    </w:p>
    <w:p w14:paraId="526F4440">
      <w:pPr>
        <w:spacing w:before="125" w:line="224" w:lineRule="auto"/>
        <w:ind w:left="399"/>
        <w:rPr>
          <w:rFonts w:ascii="楷体" w:hAnsi="楷体" w:eastAsia="楷体" w:cs="楷体"/>
          <w:sz w:val="20"/>
          <w:szCs w:val="20"/>
        </w:rPr>
      </w:pPr>
      <w:r>
        <w:rPr>
          <w:rFonts w:ascii="楷体" w:hAnsi="楷体" w:eastAsia="楷体" w:cs="楷体"/>
          <w:spacing w:val="12"/>
          <w:sz w:val="20"/>
          <w:szCs w:val="20"/>
        </w:rPr>
        <w:t>2)实施缺陷索赔</w:t>
      </w:r>
    </w:p>
    <w:p w14:paraId="33E42E4C">
      <w:pPr>
        <w:pStyle w:val="2"/>
        <w:spacing w:before="59" w:line="280" w:lineRule="auto"/>
        <w:ind w:right="314" w:firstLine="399"/>
        <w:rPr>
          <w:sz w:val="20"/>
          <w:szCs w:val="20"/>
        </w:rPr>
      </w:pPr>
      <w:r>
        <w:rPr>
          <w:spacing w:val="3"/>
          <w:sz w:val="20"/>
          <w:szCs w:val="20"/>
        </w:rPr>
        <w:t>实施缺陷索赔指承建单位的实施质量不符合实施技术规程的要求，或使用的设备和材料不</w:t>
      </w:r>
      <w:r>
        <w:rPr>
          <w:spacing w:val="13"/>
          <w:sz w:val="20"/>
          <w:szCs w:val="20"/>
        </w:rPr>
        <w:t xml:space="preserve"> </w:t>
      </w:r>
      <w:r>
        <w:rPr>
          <w:spacing w:val="3"/>
          <w:sz w:val="20"/>
          <w:szCs w:val="20"/>
        </w:rPr>
        <w:t xml:space="preserve">符合合同规定，或在保修期未满以前未完成应该负责补修的项目时，业主单位有权向承建单位 </w:t>
      </w:r>
      <w:r>
        <w:rPr>
          <w:sz w:val="20"/>
          <w:szCs w:val="20"/>
        </w:rPr>
        <w:t xml:space="preserve">追究责任。如果承建单位未在规定的期限内完成修补工作，业主单位有权雇佣他人来完成工作， </w:t>
      </w:r>
      <w:r>
        <w:rPr>
          <w:spacing w:val="-3"/>
          <w:sz w:val="20"/>
          <w:szCs w:val="20"/>
        </w:rPr>
        <w:t>发生的费用由承建单位承担。</w:t>
      </w:r>
    </w:p>
    <w:p w14:paraId="06DFB530">
      <w:pPr>
        <w:spacing w:before="122" w:line="224" w:lineRule="auto"/>
        <w:ind w:left="402"/>
        <w:rPr>
          <w:rFonts w:ascii="楷体" w:hAnsi="楷体" w:eastAsia="楷体" w:cs="楷体"/>
          <w:sz w:val="20"/>
          <w:szCs w:val="20"/>
        </w:rPr>
      </w:pPr>
      <w:r>
        <w:rPr>
          <w:rFonts w:ascii="楷体" w:hAnsi="楷体" w:eastAsia="楷体" w:cs="楷体"/>
          <w:b/>
          <w:bCs/>
          <w:spacing w:val="3"/>
          <w:sz w:val="20"/>
          <w:szCs w:val="20"/>
        </w:rPr>
        <w:t>3)对指定分包人的付款索赔</w:t>
      </w:r>
    </w:p>
    <w:p w14:paraId="128F5E93">
      <w:pPr>
        <w:pStyle w:val="2"/>
        <w:spacing w:before="73" w:line="287" w:lineRule="auto"/>
        <w:ind w:right="388" w:firstLine="399"/>
        <w:jc w:val="both"/>
        <w:rPr>
          <w:sz w:val="20"/>
          <w:szCs w:val="20"/>
        </w:rPr>
      </w:pPr>
      <w:r>
        <w:rPr>
          <w:spacing w:val="3"/>
          <w:sz w:val="20"/>
          <w:szCs w:val="20"/>
        </w:rPr>
        <w:t>对指定分包人的付款索赔指项目承建单位未能提供已向指定分包人付款的合理证明时，业</w:t>
      </w:r>
      <w:r>
        <w:rPr>
          <w:spacing w:val="8"/>
          <w:sz w:val="20"/>
          <w:szCs w:val="20"/>
        </w:rPr>
        <w:t xml:space="preserve"> </w:t>
      </w:r>
      <w:r>
        <w:rPr>
          <w:spacing w:val="6"/>
          <w:sz w:val="20"/>
          <w:szCs w:val="20"/>
        </w:rPr>
        <w:t>主单位可以直接按照监理工程师的证明书，将</w:t>
      </w:r>
      <w:r>
        <w:rPr>
          <w:spacing w:val="5"/>
          <w:sz w:val="20"/>
          <w:szCs w:val="20"/>
        </w:rPr>
        <w:t>承建单位未付给指定分包人的所有款项(扣除保</w:t>
      </w:r>
      <w:r>
        <w:rPr>
          <w:sz w:val="20"/>
          <w:szCs w:val="20"/>
        </w:rPr>
        <w:t xml:space="preserve"> </w:t>
      </w:r>
      <w:r>
        <w:rPr>
          <w:spacing w:val="2"/>
          <w:sz w:val="20"/>
          <w:szCs w:val="20"/>
        </w:rPr>
        <w:t>留金)付给这个分包人，并从应付给承建单位的任何款项中如数扣回。</w:t>
      </w:r>
    </w:p>
    <w:p w14:paraId="1715D755">
      <w:pPr>
        <w:spacing w:before="84" w:line="223" w:lineRule="auto"/>
        <w:ind w:left="399"/>
        <w:rPr>
          <w:rFonts w:ascii="楷体" w:hAnsi="楷体" w:eastAsia="楷体" w:cs="楷体"/>
          <w:sz w:val="20"/>
          <w:szCs w:val="20"/>
        </w:rPr>
      </w:pPr>
      <w:r>
        <w:rPr>
          <w:rFonts w:ascii="楷体" w:hAnsi="楷体" w:eastAsia="楷体" w:cs="楷体"/>
          <w:spacing w:val="3"/>
          <w:sz w:val="20"/>
          <w:szCs w:val="20"/>
        </w:rPr>
        <w:t>4)业主单位合理终止合同或承建单位不正当放弃项目的索赔</w:t>
      </w:r>
    </w:p>
    <w:p w14:paraId="20F250C6">
      <w:pPr>
        <w:pStyle w:val="2"/>
        <w:spacing w:before="63" w:line="282" w:lineRule="auto"/>
        <w:ind w:right="352" w:firstLine="399"/>
        <w:rPr>
          <w:sz w:val="20"/>
          <w:szCs w:val="20"/>
        </w:rPr>
      </w:pPr>
      <w:r>
        <w:rPr>
          <w:spacing w:val="2"/>
          <w:sz w:val="20"/>
          <w:szCs w:val="20"/>
        </w:rPr>
        <w:t>如果业主单位合理地终止承建单位的承建，或者承建单位不合理地放弃项目，则业主单位</w:t>
      </w:r>
      <w:r>
        <w:rPr>
          <w:spacing w:val="8"/>
          <w:sz w:val="20"/>
          <w:szCs w:val="20"/>
        </w:rPr>
        <w:t xml:space="preserve"> </w:t>
      </w:r>
      <w:r>
        <w:rPr>
          <w:spacing w:val="-1"/>
          <w:sz w:val="20"/>
          <w:szCs w:val="20"/>
        </w:rPr>
        <w:t>有权从承建单位手中收回由新的承建单位完成全部项目所需的项目款与原合同未付部分的差额。</w:t>
      </w:r>
    </w:p>
    <w:p w14:paraId="20D465D0">
      <w:pPr>
        <w:pStyle w:val="2"/>
        <w:spacing w:before="176" w:line="219" w:lineRule="auto"/>
        <w:ind w:left="2"/>
        <w:rPr>
          <w:sz w:val="25"/>
          <w:szCs w:val="25"/>
        </w:rPr>
      </w:pPr>
      <w:r>
        <w:rPr>
          <w:b/>
          <w:bCs/>
          <w:color w:val="0067DE"/>
          <w:spacing w:val="-16"/>
          <w:sz w:val="25"/>
          <w:szCs w:val="25"/>
        </w:rPr>
        <w:t>13.3.2</w:t>
      </w:r>
      <w:r>
        <w:rPr>
          <w:color w:val="0067DE"/>
          <w:spacing w:val="-16"/>
          <w:sz w:val="25"/>
          <w:szCs w:val="25"/>
        </w:rPr>
        <w:t xml:space="preserve">  </w:t>
      </w:r>
      <w:r>
        <w:rPr>
          <w:b/>
          <w:bCs/>
          <w:color w:val="0067DE"/>
          <w:spacing w:val="-16"/>
          <w:sz w:val="25"/>
          <w:szCs w:val="25"/>
        </w:rPr>
        <w:t>索赔的依据</w:t>
      </w:r>
    </w:p>
    <w:p w14:paraId="3503C6A4">
      <w:pPr>
        <w:pStyle w:val="2"/>
        <w:spacing w:before="155" w:line="219" w:lineRule="auto"/>
        <w:ind w:left="399"/>
        <w:rPr>
          <w:sz w:val="20"/>
          <w:szCs w:val="20"/>
        </w:rPr>
      </w:pPr>
      <w:r>
        <w:rPr>
          <w:spacing w:val="-1"/>
          <w:sz w:val="20"/>
          <w:szCs w:val="20"/>
        </w:rPr>
        <w:t>费用索赔的依据关系到索赔的成败，证据不足、依据不够或没有证据</w:t>
      </w:r>
      <w:r>
        <w:rPr>
          <w:spacing w:val="-2"/>
          <w:sz w:val="20"/>
          <w:szCs w:val="20"/>
        </w:rPr>
        <w:t>，索赔是不成立的。</w:t>
      </w:r>
    </w:p>
    <w:p w14:paraId="53CF6A84">
      <w:pPr>
        <w:pStyle w:val="2"/>
        <w:spacing w:before="83" w:line="282" w:lineRule="auto"/>
        <w:ind w:left="399" w:right="2355"/>
        <w:rPr>
          <w:sz w:val="20"/>
          <w:szCs w:val="20"/>
        </w:rPr>
      </w:pPr>
      <w:r>
        <w:rPr>
          <w:spacing w:val="-2"/>
          <w:sz w:val="20"/>
          <w:szCs w:val="20"/>
        </w:rPr>
        <w:t>索赔依据的基本要求是：真实性，全面性，法律证明效力，及时性。</w:t>
      </w:r>
      <w:r>
        <w:rPr>
          <w:spacing w:val="18"/>
          <w:sz w:val="20"/>
          <w:szCs w:val="20"/>
        </w:rPr>
        <w:t xml:space="preserve"> </w:t>
      </w:r>
      <w:r>
        <w:rPr>
          <w:spacing w:val="-5"/>
          <w:sz w:val="20"/>
          <w:szCs w:val="20"/>
        </w:rPr>
        <w:t>监理单位处理费用索赔应依据下列内容：</w:t>
      </w:r>
    </w:p>
    <w:p w14:paraId="64E728B3">
      <w:pPr>
        <w:pStyle w:val="2"/>
        <w:spacing w:before="10" w:line="219" w:lineRule="auto"/>
        <w:ind w:left="399"/>
        <w:rPr>
          <w:sz w:val="20"/>
          <w:szCs w:val="20"/>
        </w:rPr>
      </w:pPr>
      <w:r>
        <w:rPr>
          <w:spacing w:val="1"/>
          <w:sz w:val="20"/>
          <w:szCs w:val="20"/>
        </w:rPr>
        <w:t>(1)国家有关的法律、法规和信息系统工程建设项目所在地的地方性法规，如民法典等。</w:t>
      </w:r>
    </w:p>
    <w:p w14:paraId="19BBEFBC">
      <w:pPr>
        <w:pStyle w:val="2"/>
        <w:spacing w:before="73" w:line="219" w:lineRule="auto"/>
        <w:ind w:left="399"/>
        <w:rPr>
          <w:sz w:val="20"/>
          <w:szCs w:val="20"/>
        </w:rPr>
      </w:pPr>
      <w:r>
        <w:rPr>
          <w:spacing w:val="1"/>
          <w:sz w:val="20"/>
          <w:szCs w:val="20"/>
        </w:rPr>
        <w:t>(2)国家、部门和地方有关信息系统工程的标准、规范和文件。</w:t>
      </w:r>
    </w:p>
    <w:p w14:paraId="7E2C6B98">
      <w:pPr>
        <w:pStyle w:val="2"/>
        <w:spacing w:before="72" w:line="219" w:lineRule="auto"/>
        <w:ind w:left="399"/>
        <w:rPr>
          <w:sz w:val="20"/>
          <w:szCs w:val="20"/>
        </w:rPr>
      </w:pPr>
      <w:r>
        <w:rPr>
          <w:spacing w:val="1"/>
          <w:sz w:val="20"/>
          <w:szCs w:val="20"/>
        </w:rPr>
        <w:t>(3)本项目的实施合同文件，包括招投标文件、合同文本及附件等。</w:t>
      </w:r>
    </w:p>
    <w:p w14:paraId="2234D5E7">
      <w:pPr>
        <w:pStyle w:val="2"/>
        <w:spacing w:before="53" w:line="257" w:lineRule="auto"/>
        <w:ind w:right="380" w:firstLine="399"/>
        <w:rPr>
          <w:sz w:val="20"/>
          <w:szCs w:val="20"/>
        </w:rPr>
      </w:pPr>
      <w:r>
        <w:rPr>
          <w:spacing w:val="6"/>
          <w:sz w:val="20"/>
          <w:szCs w:val="20"/>
        </w:rPr>
        <w:t>(4)实施合同履行过程中与索赔事件有关的凭证，包括来往文件、签证及</w:t>
      </w:r>
      <w:r>
        <w:rPr>
          <w:spacing w:val="5"/>
          <w:sz w:val="20"/>
          <w:szCs w:val="20"/>
        </w:rPr>
        <w:t>更改通知；各种</w:t>
      </w:r>
      <w:r>
        <w:rPr>
          <w:sz w:val="20"/>
          <w:szCs w:val="20"/>
        </w:rPr>
        <w:t xml:space="preserve"> </w:t>
      </w:r>
      <w:r>
        <w:rPr>
          <w:spacing w:val="-1"/>
          <w:sz w:val="20"/>
          <w:szCs w:val="20"/>
        </w:rPr>
        <w:t>会谈纪要；实施进度计划和实际实施进度表；实施现场项目文档；产品采购等。</w:t>
      </w:r>
    </w:p>
    <w:p w14:paraId="59039491">
      <w:pPr>
        <w:pStyle w:val="2"/>
        <w:spacing w:before="72" w:line="219" w:lineRule="auto"/>
        <w:ind w:left="399"/>
        <w:rPr>
          <w:sz w:val="20"/>
          <w:szCs w:val="20"/>
        </w:rPr>
      </w:pPr>
      <w:r>
        <w:rPr>
          <w:spacing w:val="2"/>
          <w:sz w:val="20"/>
          <w:szCs w:val="20"/>
        </w:rPr>
        <w:t>(5)其他相关文件，包括市场行情记录、各种会计核算资料等。</w:t>
      </w:r>
    </w:p>
    <w:p w14:paraId="210E9B72">
      <w:pPr>
        <w:pStyle w:val="2"/>
        <w:spacing w:before="213" w:line="219" w:lineRule="auto"/>
        <w:ind w:left="2"/>
        <w:rPr>
          <w:sz w:val="25"/>
          <w:szCs w:val="25"/>
        </w:rPr>
      </w:pPr>
      <w:r>
        <w:rPr>
          <w:b/>
          <w:bCs/>
          <w:color w:val="0067CF"/>
          <w:spacing w:val="-17"/>
          <w:sz w:val="25"/>
          <w:szCs w:val="25"/>
        </w:rPr>
        <w:t>13.3.3</w:t>
      </w:r>
      <w:r>
        <w:rPr>
          <w:color w:val="0067CF"/>
          <w:spacing w:val="-17"/>
          <w:sz w:val="25"/>
          <w:szCs w:val="25"/>
        </w:rPr>
        <w:t xml:space="preserve">  </w:t>
      </w:r>
      <w:r>
        <w:rPr>
          <w:b/>
          <w:bCs/>
          <w:color w:val="0067CF"/>
          <w:spacing w:val="-17"/>
          <w:sz w:val="25"/>
          <w:szCs w:val="25"/>
        </w:rPr>
        <w:t>索赔的处理</w:t>
      </w:r>
    </w:p>
    <w:p w14:paraId="6BCA0CD4">
      <w:pPr>
        <w:pStyle w:val="2"/>
        <w:spacing w:before="166" w:line="252" w:lineRule="auto"/>
        <w:ind w:right="383" w:firstLine="399"/>
        <w:jc w:val="both"/>
        <w:rPr>
          <w:sz w:val="20"/>
          <w:szCs w:val="20"/>
        </w:rPr>
      </w:pPr>
      <w:r>
        <w:rPr>
          <w:spacing w:val="3"/>
          <w:sz w:val="20"/>
          <w:szCs w:val="20"/>
        </w:rPr>
        <w:t>索赔处理程序是指承建单位向业主单位提出索赔意向，调查干扰事件，寻找索赔理由和证</w:t>
      </w:r>
      <w:r>
        <w:rPr>
          <w:spacing w:val="10"/>
          <w:sz w:val="20"/>
          <w:szCs w:val="20"/>
        </w:rPr>
        <w:t xml:space="preserve"> </w:t>
      </w:r>
      <w:r>
        <w:rPr>
          <w:spacing w:val="3"/>
          <w:sz w:val="20"/>
          <w:szCs w:val="20"/>
        </w:rPr>
        <w:t>据，计算索赔值，起草索赔报告，通过谈判、调解或仲裁，最终解决索赔争议。业主单位未能</w:t>
      </w:r>
      <w:r>
        <w:rPr>
          <w:spacing w:val="5"/>
          <w:sz w:val="20"/>
          <w:szCs w:val="20"/>
        </w:rPr>
        <w:t xml:space="preserve"> </w:t>
      </w:r>
      <w:r>
        <w:rPr>
          <w:spacing w:val="3"/>
          <w:sz w:val="20"/>
          <w:szCs w:val="20"/>
        </w:rPr>
        <w:t>按合同约定履行自己的各项义务，或发生错误以及应由业主单位承担的其他情况，造成工期延</w:t>
      </w:r>
    </w:p>
    <w:p w14:paraId="682B7826">
      <w:pPr>
        <w:spacing w:line="252" w:lineRule="auto"/>
        <w:rPr>
          <w:sz w:val="20"/>
          <w:szCs w:val="20"/>
        </w:rPr>
        <w:sectPr>
          <w:type w:val="continuous"/>
          <w:pgSz w:w="10290" w:h="13260"/>
          <w:pgMar w:top="400" w:right="525" w:bottom="400" w:left="1049" w:header="0" w:footer="0" w:gutter="0"/>
          <w:cols w:equalWidth="0" w:num="1">
            <w:col w:w="8715"/>
          </w:cols>
        </w:sectPr>
      </w:pPr>
    </w:p>
    <w:p w14:paraId="086398BC">
      <w:pPr>
        <w:pStyle w:val="2"/>
        <w:spacing w:before="87" w:line="220" w:lineRule="auto"/>
        <w:rPr>
          <w:sz w:val="19"/>
          <w:szCs w:val="19"/>
        </w:rPr>
      </w:pPr>
      <w:r>
        <w:rPr>
          <w:rFonts w:ascii="Times New Roman" w:hAnsi="Times New Roman" w:eastAsia="Times New Roman" w:cs="Times New Roman"/>
          <w:spacing w:val="3"/>
          <w:position w:val="-3"/>
          <w:sz w:val="23"/>
          <w:szCs w:val="23"/>
        </w:rPr>
        <w:t xml:space="preserve">312           </w:t>
      </w:r>
      <w:r>
        <w:rPr>
          <w:spacing w:val="3"/>
          <w:sz w:val="19"/>
          <w:szCs w:val="19"/>
        </w:rPr>
        <w:t>信息系统监理师教程(第2版)</w:t>
      </w:r>
    </w:p>
    <w:p w14:paraId="1B312BF3">
      <w:pPr>
        <w:spacing w:line="295" w:lineRule="auto"/>
        <w:rPr>
          <w:rFonts w:ascii="Arial"/>
          <w:sz w:val="21"/>
        </w:rPr>
      </w:pPr>
    </w:p>
    <w:p w14:paraId="3AEFC1F0">
      <w:pPr>
        <w:pStyle w:val="2"/>
        <w:spacing w:before="62" w:line="298" w:lineRule="auto"/>
        <w:ind w:left="379" w:right="1"/>
        <w:rPr>
          <w:sz w:val="19"/>
          <w:szCs w:val="19"/>
        </w:rPr>
      </w:pPr>
      <w:r>
        <w:rPr>
          <w:spacing w:val="17"/>
          <w:sz w:val="19"/>
          <w:szCs w:val="19"/>
        </w:rPr>
        <w:t>误和(或)承建单位不能及时得到合同价款及承建单位的其他经济损失，承建单位可按一定的</w:t>
      </w:r>
      <w:r>
        <w:rPr>
          <w:spacing w:val="6"/>
          <w:sz w:val="19"/>
          <w:szCs w:val="19"/>
        </w:rPr>
        <w:t xml:space="preserve"> </w:t>
      </w:r>
      <w:r>
        <w:rPr>
          <w:spacing w:val="8"/>
          <w:sz w:val="19"/>
          <w:szCs w:val="19"/>
        </w:rPr>
        <w:t>程序以书面形式向业主单位索赔。无论索赔还是反索赔，均遵循下述索赔处理程序。</w:t>
      </w:r>
    </w:p>
    <w:p w14:paraId="6C7E9185">
      <w:pPr>
        <w:pStyle w:val="2"/>
        <w:spacing w:before="16" w:line="317" w:lineRule="auto"/>
        <w:ind w:left="379" w:right="8" w:firstLine="389"/>
        <w:rPr>
          <w:sz w:val="19"/>
          <w:szCs w:val="19"/>
        </w:rPr>
      </w:pPr>
      <w:r>
        <w:rPr>
          <w:spacing w:val="13"/>
          <w:sz w:val="19"/>
          <w:szCs w:val="19"/>
        </w:rPr>
        <w:t>监理机构处理索赔的主要依据包括法律法规、勘察设计文件、承</w:t>
      </w:r>
      <w:r>
        <w:rPr>
          <w:spacing w:val="12"/>
          <w:sz w:val="19"/>
          <w:szCs w:val="19"/>
        </w:rPr>
        <w:t>建项目合同文件、项目建</w:t>
      </w:r>
      <w:r>
        <w:rPr>
          <w:sz w:val="19"/>
          <w:szCs w:val="19"/>
        </w:rPr>
        <w:t xml:space="preserve"> </w:t>
      </w:r>
      <w:r>
        <w:rPr>
          <w:spacing w:val="8"/>
          <w:sz w:val="19"/>
          <w:szCs w:val="19"/>
        </w:rPr>
        <w:t>设标准、索赔事件证据等。监理机构应协调业主单位和承建单位对索赔的意见达成一致。</w:t>
      </w:r>
    </w:p>
    <w:p w14:paraId="40342D26">
      <w:pPr>
        <w:pStyle w:val="2"/>
        <w:spacing w:before="85" w:line="222" w:lineRule="auto"/>
        <w:ind w:left="772"/>
        <w:rPr>
          <w:rFonts w:ascii="黑体" w:hAnsi="黑体" w:eastAsia="黑体" w:cs="黑体"/>
          <w:sz w:val="19"/>
          <w:szCs w:val="19"/>
        </w:rPr>
      </w:pPr>
      <w:r>
        <w:rPr>
          <w:b/>
          <w:bCs/>
          <w:color w:val="008ED6"/>
          <w:spacing w:val="8"/>
          <w:sz w:val="19"/>
          <w:szCs w:val="19"/>
        </w:rPr>
        <w:t>1.</w:t>
      </w:r>
      <w:r>
        <w:rPr>
          <w:rFonts w:ascii="黑体" w:hAnsi="黑体" w:eastAsia="黑体" w:cs="黑体"/>
          <w:b/>
          <w:bCs/>
          <w:color w:val="008ED6"/>
          <w:spacing w:val="8"/>
          <w:sz w:val="19"/>
          <w:szCs w:val="19"/>
        </w:rPr>
        <w:t>索赔处理程序</w:t>
      </w:r>
    </w:p>
    <w:p w14:paraId="2A3F464D">
      <w:pPr>
        <w:pStyle w:val="2"/>
        <w:spacing w:before="155" w:line="219" w:lineRule="auto"/>
        <w:ind w:left="769"/>
        <w:rPr>
          <w:sz w:val="19"/>
          <w:szCs w:val="19"/>
        </w:rPr>
      </w:pPr>
      <w:r>
        <w:rPr>
          <w:spacing w:val="5"/>
          <w:sz w:val="19"/>
          <w:szCs w:val="19"/>
        </w:rPr>
        <w:t>索赔处理程序具体如下：</w:t>
      </w:r>
    </w:p>
    <w:p w14:paraId="58434258">
      <w:pPr>
        <w:pStyle w:val="2"/>
        <w:spacing w:before="93" w:line="219" w:lineRule="auto"/>
        <w:ind w:left="769"/>
        <w:rPr>
          <w:sz w:val="19"/>
          <w:szCs w:val="19"/>
        </w:rPr>
      </w:pPr>
      <w:r>
        <w:rPr>
          <w:spacing w:val="10"/>
          <w:sz w:val="19"/>
          <w:szCs w:val="19"/>
        </w:rPr>
        <w:t>(1)申请方应在合同规定的期限内向监理机构提交索赔申请；</w:t>
      </w:r>
    </w:p>
    <w:p w14:paraId="146A93D0">
      <w:pPr>
        <w:pStyle w:val="2"/>
        <w:spacing w:before="96" w:line="219" w:lineRule="auto"/>
        <w:ind w:left="769"/>
        <w:rPr>
          <w:sz w:val="19"/>
          <w:szCs w:val="19"/>
        </w:rPr>
      </w:pPr>
      <w:r>
        <w:rPr>
          <w:spacing w:val="10"/>
          <w:sz w:val="19"/>
          <w:szCs w:val="19"/>
        </w:rPr>
        <w:t>(2)总监理工程师指定监理人员收集与索赔有关的资料；</w:t>
      </w:r>
    </w:p>
    <w:p w14:paraId="59D6BA1D">
      <w:pPr>
        <w:pStyle w:val="2"/>
        <w:spacing w:before="85" w:line="219" w:lineRule="auto"/>
        <w:ind w:left="769"/>
        <w:rPr>
          <w:sz w:val="19"/>
          <w:szCs w:val="19"/>
        </w:rPr>
      </w:pPr>
      <w:r>
        <w:rPr>
          <w:spacing w:val="10"/>
          <w:sz w:val="19"/>
          <w:szCs w:val="19"/>
        </w:rPr>
        <w:t>(3)总监理工程师进行索赔审查，与承建单位和业主单位协商索赔费用；</w:t>
      </w:r>
    </w:p>
    <w:p w14:paraId="00C5AB3E">
      <w:pPr>
        <w:pStyle w:val="2"/>
        <w:spacing w:before="84" w:line="270" w:lineRule="auto"/>
        <w:ind w:left="379" w:right="4" w:firstLine="389"/>
        <w:rPr>
          <w:sz w:val="19"/>
          <w:szCs w:val="19"/>
        </w:rPr>
      </w:pPr>
      <w:r>
        <w:rPr>
          <w:spacing w:val="15"/>
          <w:sz w:val="19"/>
          <w:szCs w:val="19"/>
        </w:rPr>
        <w:t>(4)总监理工程师应在承建合同规定的期限内签发索赔审批意见，或在承建合同</w:t>
      </w:r>
      <w:r>
        <w:rPr>
          <w:spacing w:val="14"/>
          <w:sz w:val="19"/>
          <w:szCs w:val="19"/>
        </w:rPr>
        <w:t>规定的期</w:t>
      </w:r>
      <w:r>
        <w:rPr>
          <w:sz w:val="19"/>
          <w:szCs w:val="19"/>
        </w:rPr>
        <w:t xml:space="preserve"> </w:t>
      </w:r>
      <w:r>
        <w:rPr>
          <w:spacing w:val="6"/>
          <w:sz w:val="19"/>
          <w:szCs w:val="19"/>
        </w:rPr>
        <w:t>限内发出要求申请方提交详细资料的监理意见；</w:t>
      </w:r>
    </w:p>
    <w:p w14:paraId="62080611">
      <w:pPr>
        <w:pStyle w:val="2"/>
        <w:spacing w:before="74" w:line="265" w:lineRule="auto"/>
        <w:ind w:left="379" w:right="20" w:firstLine="389"/>
        <w:rPr>
          <w:sz w:val="19"/>
          <w:szCs w:val="19"/>
        </w:rPr>
      </w:pPr>
      <w:r>
        <w:rPr>
          <w:spacing w:val="15"/>
          <w:sz w:val="19"/>
          <w:szCs w:val="19"/>
        </w:rPr>
        <w:t>(5)当申请方的索赔要求与项目延期要求</w:t>
      </w:r>
      <w:r>
        <w:rPr>
          <w:spacing w:val="14"/>
          <w:sz w:val="19"/>
          <w:szCs w:val="19"/>
        </w:rPr>
        <w:t>相关联时，总监理工程师应综合考虑费用索赔和</w:t>
      </w:r>
      <w:r>
        <w:rPr>
          <w:sz w:val="19"/>
          <w:szCs w:val="19"/>
        </w:rPr>
        <w:t xml:space="preserve"> </w:t>
      </w:r>
      <w:r>
        <w:rPr>
          <w:spacing w:val="7"/>
          <w:sz w:val="19"/>
          <w:szCs w:val="19"/>
        </w:rPr>
        <w:t>项目延期的关系，提出费用索赔和项目延期的建议。</w:t>
      </w:r>
    </w:p>
    <w:p w14:paraId="7D1490F0">
      <w:pPr>
        <w:pStyle w:val="2"/>
        <w:spacing w:before="181" w:line="221" w:lineRule="auto"/>
        <w:ind w:left="772"/>
        <w:rPr>
          <w:rFonts w:ascii="黑体" w:hAnsi="黑体" w:eastAsia="黑体" w:cs="黑体"/>
          <w:sz w:val="19"/>
          <w:szCs w:val="19"/>
        </w:rPr>
      </w:pPr>
      <w:r>
        <w:rPr>
          <w:b/>
          <w:bCs/>
          <w:color w:val="008EE1"/>
          <w:spacing w:val="9"/>
          <w:sz w:val="19"/>
          <w:szCs w:val="19"/>
        </w:rPr>
        <w:t>2.</w:t>
      </w:r>
      <w:r>
        <w:rPr>
          <w:rFonts w:ascii="黑体" w:hAnsi="黑体" w:eastAsia="黑体" w:cs="黑体"/>
          <w:b/>
          <w:bCs/>
          <w:color w:val="008EE1"/>
          <w:spacing w:val="9"/>
          <w:sz w:val="19"/>
          <w:szCs w:val="19"/>
        </w:rPr>
        <w:t>索赔报告的编写</w:t>
      </w:r>
    </w:p>
    <w:p w14:paraId="1E9472CD">
      <w:pPr>
        <w:spacing w:before="242" w:line="224" w:lineRule="auto"/>
        <w:ind w:left="769"/>
        <w:rPr>
          <w:rFonts w:ascii="楷体" w:hAnsi="楷体" w:eastAsia="楷体" w:cs="楷体"/>
          <w:sz w:val="19"/>
          <w:szCs w:val="19"/>
        </w:rPr>
      </w:pPr>
      <w:r>
        <w:rPr>
          <w:rFonts w:ascii="楷体" w:hAnsi="楷体" w:eastAsia="楷体" w:cs="楷体"/>
          <w:spacing w:val="19"/>
          <w:sz w:val="19"/>
          <w:szCs w:val="19"/>
        </w:rPr>
        <w:t>1)索赔报告的内容</w:t>
      </w:r>
    </w:p>
    <w:p w14:paraId="1482BB0E">
      <w:pPr>
        <w:pStyle w:val="2"/>
        <w:spacing w:before="62" w:line="307" w:lineRule="auto"/>
        <w:ind w:left="379" w:firstLine="389"/>
        <w:rPr>
          <w:sz w:val="19"/>
          <w:szCs w:val="19"/>
        </w:rPr>
      </w:pPr>
      <w:r>
        <w:rPr>
          <w:spacing w:val="13"/>
          <w:sz w:val="19"/>
          <w:szCs w:val="19"/>
        </w:rPr>
        <w:t>索赔报告的具体内容随索赔事件的性质和特点的不同而有所不同。但从报告的必要</w:t>
      </w:r>
      <w:r>
        <w:rPr>
          <w:spacing w:val="12"/>
          <w:sz w:val="19"/>
          <w:szCs w:val="19"/>
        </w:rPr>
        <w:t>内容与</w:t>
      </w:r>
      <w:r>
        <w:rPr>
          <w:sz w:val="19"/>
          <w:szCs w:val="19"/>
        </w:rPr>
        <w:t xml:space="preserve"> </w:t>
      </w:r>
      <w:r>
        <w:rPr>
          <w:spacing w:val="3"/>
          <w:sz w:val="19"/>
          <w:szCs w:val="19"/>
        </w:rPr>
        <w:t>文字结构方面而论， 一个完整的索赔报告应包括以下四个部分：</w:t>
      </w:r>
    </w:p>
    <w:p w14:paraId="55A821B5">
      <w:pPr>
        <w:pStyle w:val="2"/>
        <w:spacing w:before="1" w:line="261" w:lineRule="auto"/>
        <w:ind w:left="769" w:right="4781"/>
        <w:rPr>
          <w:sz w:val="19"/>
          <w:szCs w:val="19"/>
        </w:rPr>
      </w:pPr>
      <w:r>
        <w:rPr>
          <w:spacing w:val="5"/>
          <w:sz w:val="19"/>
          <w:szCs w:val="19"/>
        </w:rPr>
        <w:t>(1)总论部分。 一般包括以下内容：</w:t>
      </w:r>
      <w:r>
        <w:rPr>
          <w:spacing w:val="4"/>
          <w:sz w:val="19"/>
          <w:szCs w:val="19"/>
        </w:rPr>
        <w:t xml:space="preserve"> </w:t>
      </w:r>
      <w:r>
        <w:rPr>
          <w:spacing w:val="-12"/>
          <w:sz w:val="19"/>
          <w:szCs w:val="19"/>
        </w:rPr>
        <w:t>●</w:t>
      </w:r>
      <w:r>
        <w:rPr>
          <w:spacing w:val="-40"/>
          <w:sz w:val="19"/>
          <w:szCs w:val="19"/>
        </w:rPr>
        <w:t xml:space="preserve"> </w:t>
      </w:r>
      <w:r>
        <w:rPr>
          <w:spacing w:val="-12"/>
          <w:sz w:val="19"/>
          <w:szCs w:val="19"/>
        </w:rPr>
        <w:t>序</w:t>
      </w:r>
      <w:r>
        <w:rPr>
          <w:spacing w:val="-32"/>
          <w:sz w:val="19"/>
          <w:szCs w:val="19"/>
        </w:rPr>
        <w:t xml:space="preserve"> </w:t>
      </w:r>
      <w:r>
        <w:rPr>
          <w:spacing w:val="-12"/>
          <w:sz w:val="19"/>
          <w:szCs w:val="19"/>
        </w:rPr>
        <w:t>言</w:t>
      </w:r>
      <w:r>
        <w:rPr>
          <w:spacing w:val="-47"/>
          <w:sz w:val="19"/>
          <w:szCs w:val="19"/>
        </w:rPr>
        <w:t xml:space="preserve"> </w:t>
      </w:r>
      <w:r>
        <w:rPr>
          <w:spacing w:val="-12"/>
          <w:sz w:val="19"/>
          <w:szCs w:val="19"/>
        </w:rPr>
        <w:t>；</w:t>
      </w:r>
    </w:p>
    <w:p w14:paraId="37919EBB">
      <w:pPr>
        <w:pStyle w:val="2"/>
        <w:spacing w:before="92" w:line="219" w:lineRule="auto"/>
        <w:ind w:left="769"/>
        <w:rPr>
          <w:sz w:val="19"/>
          <w:szCs w:val="19"/>
        </w:rPr>
      </w:pPr>
      <w:r>
        <w:rPr>
          <w:spacing w:val="11"/>
          <w:sz w:val="19"/>
          <w:szCs w:val="19"/>
        </w:rPr>
        <w:t>●索赔事项概述；</w:t>
      </w:r>
    </w:p>
    <w:p w14:paraId="3585AF3C">
      <w:pPr>
        <w:pStyle w:val="2"/>
        <w:spacing w:before="115" w:line="219" w:lineRule="auto"/>
        <w:ind w:left="769"/>
        <w:rPr>
          <w:sz w:val="19"/>
          <w:szCs w:val="19"/>
        </w:rPr>
      </w:pPr>
      <w:r>
        <w:rPr>
          <w:spacing w:val="11"/>
          <w:sz w:val="19"/>
          <w:szCs w:val="19"/>
        </w:rPr>
        <w:t>●具体索赔要求；</w:t>
      </w:r>
    </w:p>
    <w:p w14:paraId="01999E2A">
      <w:pPr>
        <w:pStyle w:val="2"/>
        <w:spacing w:before="82" w:line="218" w:lineRule="auto"/>
        <w:ind w:left="769"/>
        <w:rPr>
          <w:sz w:val="19"/>
          <w:szCs w:val="19"/>
        </w:rPr>
      </w:pPr>
      <w:r>
        <w:rPr>
          <w:spacing w:val="12"/>
          <w:sz w:val="19"/>
          <w:szCs w:val="19"/>
        </w:rPr>
        <w:t>●索赔报告编写及审核人员名单。</w:t>
      </w:r>
    </w:p>
    <w:p w14:paraId="2213EFEA">
      <w:pPr>
        <w:pStyle w:val="2"/>
        <w:spacing w:before="88" w:line="294" w:lineRule="auto"/>
        <w:ind w:left="379" w:firstLine="389"/>
        <w:jc w:val="both"/>
        <w:rPr>
          <w:sz w:val="19"/>
          <w:szCs w:val="19"/>
        </w:rPr>
      </w:pPr>
      <w:r>
        <w:rPr>
          <w:spacing w:val="13"/>
          <w:sz w:val="19"/>
          <w:szCs w:val="19"/>
        </w:rPr>
        <w:t>文中首先应概要地论述索赔事件的发生日期与过程，承建单位为该索赔事件所付出的</w:t>
      </w:r>
      <w:r>
        <w:rPr>
          <w:spacing w:val="12"/>
          <w:sz w:val="19"/>
          <w:szCs w:val="19"/>
        </w:rPr>
        <w:t>努力</w:t>
      </w:r>
      <w:r>
        <w:rPr>
          <w:sz w:val="19"/>
          <w:szCs w:val="19"/>
        </w:rPr>
        <w:t xml:space="preserve"> </w:t>
      </w:r>
      <w:r>
        <w:rPr>
          <w:spacing w:val="12"/>
          <w:sz w:val="19"/>
          <w:szCs w:val="19"/>
        </w:rPr>
        <w:t>和附加开支，承建单位的具体索赔要求。在总论部分，附上索赔报告编写组主要人员及审核人</w:t>
      </w:r>
      <w:r>
        <w:rPr>
          <w:spacing w:val="14"/>
          <w:sz w:val="19"/>
          <w:szCs w:val="19"/>
        </w:rPr>
        <w:t xml:space="preserve"> </w:t>
      </w:r>
      <w:r>
        <w:rPr>
          <w:spacing w:val="13"/>
          <w:sz w:val="19"/>
          <w:szCs w:val="19"/>
        </w:rPr>
        <w:t>员的名单，注明有关人员的职称、职务及实施经验，</w:t>
      </w:r>
      <w:r>
        <w:rPr>
          <w:spacing w:val="12"/>
          <w:sz w:val="19"/>
          <w:szCs w:val="19"/>
        </w:rPr>
        <w:t>以表示该索赔报告的严肃性和权威性。总</w:t>
      </w:r>
      <w:r>
        <w:rPr>
          <w:sz w:val="19"/>
          <w:szCs w:val="19"/>
        </w:rPr>
        <w:t xml:space="preserve"> </w:t>
      </w:r>
      <w:r>
        <w:rPr>
          <w:spacing w:val="7"/>
          <w:sz w:val="19"/>
          <w:szCs w:val="19"/>
        </w:rPr>
        <w:t>论部分的阐述要简明扼要，说明问题。</w:t>
      </w:r>
    </w:p>
    <w:p w14:paraId="30F60E75">
      <w:pPr>
        <w:pStyle w:val="2"/>
        <w:spacing w:before="40" w:line="292" w:lineRule="auto"/>
        <w:ind w:left="379" w:right="1" w:firstLine="389"/>
        <w:jc w:val="both"/>
        <w:rPr>
          <w:sz w:val="19"/>
          <w:szCs w:val="19"/>
        </w:rPr>
      </w:pPr>
      <w:r>
        <w:rPr>
          <w:spacing w:val="15"/>
          <w:sz w:val="19"/>
          <w:szCs w:val="19"/>
        </w:rPr>
        <w:t>(2)根据部分。主要是说明自己具有的索赔权利，这是索赔能否成立的关键。根据部</w:t>
      </w:r>
      <w:r>
        <w:rPr>
          <w:spacing w:val="14"/>
          <w:sz w:val="19"/>
          <w:szCs w:val="19"/>
        </w:rPr>
        <w:t>分的</w:t>
      </w:r>
      <w:r>
        <w:rPr>
          <w:sz w:val="19"/>
          <w:szCs w:val="19"/>
        </w:rPr>
        <w:t xml:space="preserve"> </w:t>
      </w:r>
      <w:r>
        <w:rPr>
          <w:spacing w:val="12"/>
          <w:sz w:val="19"/>
          <w:szCs w:val="19"/>
        </w:rPr>
        <w:t>内容主要来自该项目的合同文件，并参照有关法律规定。该部分中承建单位应引用合同中的具</w:t>
      </w:r>
      <w:r>
        <w:rPr>
          <w:spacing w:val="17"/>
          <w:sz w:val="19"/>
          <w:szCs w:val="19"/>
        </w:rPr>
        <w:t xml:space="preserve"> </w:t>
      </w:r>
      <w:r>
        <w:rPr>
          <w:spacing w:val="8"/>
          <w:sz w:val="19"/>
          <w:szCs w:val="19"/>
        </w:rPr>
        <w:t>体条款，说明自己理应获得经济补偿或工期延</w:t>
      </w:r>
      <w:r>
        <w:rPr>
          <w:spacing w:val="7"/>
          <w:sz w:val="19"/>
          <w:szCs w:val="19"/>
        </w:rPr>
        <w:t>长。</w:t>
      </w:r>
    </w:p>
    <w:p w14:paraId="47999722">
      <w:pPr>
        <w:pStyle w:val="2"/>
        <w:spacing w:before="16" w:line="299" w:lineRule="auto"/>
        <w:ind w:left="379" w:right="6" w:firstLine="389"/>
        <w:rPr>
          <w:sz w:val="19"/>
          <w:szCs w:val="19"/>
        </w:rPr>
      </w:pPr>
      <w:r>
        <w:rPr>
          <w:spacing w:val="9"/>
          <w:sz w:val="19"/>
          <w:szCs w:val="19"/>
        </w:rPr>
        <w:t>根据部分的篇幅可能很大，其具体内容随各个索赔事件的特点而不同。</w:t>
      </w:r>
      <w:r>
        <w:rPr>
          <w:spacing w:val="53"/>
          <w:sz w:val="19"/>
          <w:szCs w:val="19"/>
        </w:rPr>
        <w:t xml:space="preserve"> </w:t>
      </w:r>
      <w:r>
        <w:rPr>
          <w:spacing w:val="9"/>
          <w:sz w:val="19"/>
          <w:szCs w:val="19"/>
        </w:rPr>
        <w:t>一般来说，根据部</w:t>
      </w:r>
      <w:r>
        <w:rPr>
          <w:sz w:val="19"/>
          <w:szCs w:val="19"/>
        </w:rPr>
        <w:t xml:space="preserve"> </w:t>
      </w:r>
      <w:r>
        <w:rPr>
          <w:spacing w:val="5"/>
          <w:sz w:val="19"/>
          <w:szCs w:val="19"/>
        </w:rPr>
        <w:t>分应包括以下内容：</w:t>
      </w:r>
    </w:p>
    <w:p w14:paraId="101DC74F">
      <w:pPr>
        <w:pStyle w:val="2"/>
        <w:spacing w:before="6" w:line="219" w:lineRule="auto"/>
        <w:ind w:left="769"/>
        <w:rPr>
          <w:sz w:val="19"/>
          <w:szCs w:val="19"/>
        </w:rPr>
      </w:pPr>
      <w:r>
        <w:rPr>
          <w:spacing w:val="12"/>
          <w:sz w:val="19"/>
          <w:szCs w:val="19"/>
        </w:rPr>
        <w:t>●索赔事件的发生情况；</w:t>
      </w:r>
    </w:p>
    <w:p w14:paraId="6A8D2788">
      <w:pPr>
        <w:pStyle w:val="2"/>
        <w:spacing w:before="104" w:line="219" w:lineRule="auto"/>
        <w:ind w:left="769"/>
        <w:rPr>
          <w:sz w:val="19"/>
          <w:szCs w:val="19"/>
        </w:rPr>
      </w:pPr>
      <w:r>
        <w:rPr>
          <w:spacing w:val="7"/>
          <w:sz w:val="19"/>
          <w:szCs w:val="19"/>
        </w:rPr>
        <w:t>●</w:t>
      </w:r>
      <w:r>
        <w:rPr>
          <w:spacing w:val="-43"/>
          <w:sz w:val="19"/>
          <w:szCs w:val="19"/>
        </w:rPr>
        <w:t xml:space="preserve"> </w:t>
      </w:r>
      <w:r>
        <w:rPr>
          <w:spacing w:val="7"/>
          <w:sz w:val="19"/>
          <w:szCs w:val="19"/>
        </w:rPr>
        <w:t>已递交索赔意向书的情况；</w:t>
      </w:r>
    </w:p>
    <w:p w14:paraId="03B14DC6">
      <w:pPr>
        <w:pStyle w:val="2"/>
        <w:spacing w:before="96" w:line="219" w:lineRule="auto"/>
        <w:ind w:left="769"/>
        <w:rPr>
          <w:sz w:val="19"/>
          <w:szCs w:val="19"/>
        </w:rPr>
      </w:pPr>
      <w:r>
        <w:rPr>
          <w:spacing w:val="12"/>
          <w:sz w:val="19"/>
          <w:szCs w:val="19"/>
        </w:rPr>
        <w:t>●索赔事件的处理过程；</w:t>
      </w:r>
    </w:p>
    <w:p w14:paraId="5D3856BE">
      <w:pPr>
        <w:pStyle w:val="2"/>
        <w:spacing w:before="84" w:line="219" w:lineRule="auto"/>
        <w:ind w:left="769"/>
        <w:rPr>
          <w:sz w:val="19"/>
          <w:szCs w:val="19"/>
        </w:rPr>
      </w:pPr>
      <w:r>
        <w:rPr>
          <w:spacing w:val="12"/>
          <w:sz w:val="19"/>
          <w:szCs w:val="19"/>
        </w:rPr>
        <w:t>●索赔要求的合同根据；</w:t>
      </w:r>
    </w:p>
    <w:p w14:paraId="42A6F560">
      <w:pPr>
        <w:spacing w:line="219" w:lineRule="auto"/>
        <w:rPr>
          <w:sz w:val="19"/>
          <w:szCs w:val="19"/>
        </w:rPr>
        <w:sectPr>
          <w:pgSz w:w="10300" w:h="13330"/>
          <w:pgMar w:top="400" w:right="1083" w:bottom="400" w:left="530" w:header="0" w:footer="0" w:gutter="0"/>
          <w:cols w:space="720" w:num="1"/>
        </w:sectPr>
      </w:pPr>
    </w:p>
    <w:p w14:paraId="3283898F">
      <w:pPr>
        <w:pStyle w:val="2"/>
        <w:spacing w:before="97" w:line="207" w:lineRule="auto"/>
        <w:jc w:val="right"/>
        <w:rPr>
          <w:rFonts w:ascii="Times New Roman" w:hAnsi="Times New Roman" w:eastAsia="Times New Roman" w:cs="Times New Roman"/>
          <w:sz w:val="32"/>
          <w:szCs w:val="32"/>
        </w:rPr>
      </w:pPr>
      <w:r>
        <w:rPr>
          <w:spacing w:val="-1"/>
          <w:position w:val="2"/>
          <w:sz w:val="20"/>
          <w:szCs w:val="20"/>
        </w:rPr>
        <w:t>第13章</w:t>
      </w:r>
      <w:r>
        <w:rPr>
          <w:spacing w:val="15"/>
          <w:position w:val="2"/>
          <w:sz w:val="20"/>
          <w:szCs w:val="20"/>
        </w:rPr>
        <w:t xml:space="preserve"> </w:t>
      </w:r>
      <w:r>
        <w:rPr>
          <w:spacing w:val="-1"/>
          <w:position w:val="2"/>
          <w:sz w:val="20"/>
          <w:szCs w:val="20"/>
        </w:rPr>
        <w:t>合同管理</w:t>
      </w:r>
      <w:r>
        <w:rPr>
          <w:spacing w:val="8"/>
          <w:position w:val="2"/>
          <w:sz w:val="20"/>
          <w:szCs w:val="20"/>
        </w:rPr>
        <w:t xml:space="preserve">     </w:t>
      </w:r>
      <w:r>
        <w:rPr>
          <w:rFonts w:ascii="Times New Roman" w:hAnsi="Times New Roman" w:eastAsia="Times New Roman" w:cs="Times New Roman"/>
          <w:b/>
          <w:bCs/>
          <w:color w:val="0084EA"/>
          <w:spacing w:val="-1"/>
          <w:position w:val="-5"/>
          <w:sz w:val="32"/>
          <w:szCs w:val="32"/>
        </w:rPr>
        <w:t>3</w:t>
      </w:r>
      <w:r>
        <w:rPr>
          <w:rFonts w:ascii="Times New Roman" w:hAnsi="Times New Roman" w:eastAsia="Times New Roman" w:cs="Times New Roman"/>
          <w:b/>
          <w:bCs/>
          <w:color w:val="0084EA"/>
          <w:spacing w:val="-22"/>
          <w:position w:val="-5"/>
          <w:sz w:val="32"/>
          <w:szCs w:val="32"/>
        </w:rPr>
        <w:t xml:space="preserve"> </w:t>
      </w:r>
      <w:r>
        <w:rPr>
          <w:rFonts w:ascii="Times New Roman" w:hAnsi="Times New Roman" w:eastAsia="Times New Roman" w:cs="Times New Roman"/>
          <w:b/>
          <w:bCs/>
          <w:spacing w:val="-25"/>
          <w:w w:val="85"/>
          <w:position w:val="-5"/>
          <w:sz w:val="32"/>
          <w:szCs w:val="32"/>
        </w:rPr>
        <w:t>1</w:t>
      </w:r>
      <w:r>
        <w:rPr>
          <w:rFonts w:ascii="Times New Roman" w:hAnsi="Times New Roman" w:eastAsia="Times New Roman" w:cs="Times New Roman"/>
          <w:b/>
          <w:bCs/>
          <w:spacing w:val="-19"/>
          <w:w w:val="85"/>
          <w:position w:val="-5"/>
          <w:sz w:val="32"/>
          <w:szCs w:val="32"/>
        </w:rPr>
        <w:t>3</w:t>
      </w:r>
    </w:p>
    <w:p w14:paraId="6C6101DB">
      <w:pPr>
        <w:pStyle w:val="2"/>
        <w:spacing w:before="272" w:line="219" w:lineRule="auto"/>
        <w:ind w:left="399"/>
        <w:rPr>
          <w:sz w:val="20"/>
          <w:szCs w:val="20"/>
        </w:rPr>
      </w:pPr>
      <w:r>
        <w:rPr>
          <w:spacing w:val="4"/>
          <w:sz w:val="20"/>
          <w:szCs w:val="20"/>
        </w:rPr>
        <w:t>●所附的证据资料。</w:t>
      </w:r>
    </w:p>
    <w:p w14:paraId="46327486">
      <w:pPr>
        <w:pStyle w:val="2"/>
        <w:spacing w:before="94" w:line="277" w:lineRule="auto"/>
        <w:ind w:right="373" w:firstLine="399"/>
        <w:rPr>
          <w:sz w:val="20"/>
          <w:szCs w:val="20"/>
        </w:rPr>
      </w:pPr>
      <w:r>
        <w:rPr>
          <w:spacing w:val="3"/>
          <w:sz w:val="20"/>
          <w:szCs w:val="20"/>
        </w:rPr>
        <w:t>在写法结构上，按照索赔事件发生、发展、处理和最终解决的过程编写，并明确全文引用</w:t>
      </w:r>
      <w:r>
        <w:rPr>
          <w:spacing w:val="6"/>
          <w:sz w:val="20"/>
          <w:szCs w:val="20"/>
        </w:rPr>
        <w:t xml:space="preserve"> </w:t>
      </w:r>
      <w:r>
        <w:rPr>
          <w:spacing w:val="3"/>
          <w:sz w:val="20"/>
          <w:szCs w:val="20"/>
        </w:rPr>
        <w:t>有关的合同条款，使业主单位和监理单位能够历史地、逻辑地了解索赔事件的始末，并充分认</w:t>
      </w:r>
      <w:r>
        <w:rPr>
          <w:spacing w:val="6"/>
          <w:sz w:val="20"/>
          <w:szCs w:val="20"/>
        </w:rPr>
        <w:t xml:space="preserve"> </w:t>
      </w:r>
      <w:r>
        <w:rPr>
          <w:spacing w:val="-4"/>
          <w:sz w:val="20"/>
          <w:szCs w:val="20"/>
        </w:rPr>
        <w:t>识该项索赔的合理性和合法性。</w:t>
      </w:r>
    </w:p>
    <w:p w14:paraId="6A4D36D5">
      <w:pPr>
        <w:pStyle w:val="2"/>
        <w:spacing w:before="40" w:line="286" w:lineRule="auto"/>
        <w:ind w:right="373" w:firstLine="399"/>
        <w:jc w:val="both"/>
        <w:rPr>
          <w:sz w:val="20"/>
          <w:szCs w:val="20"/>
        </w:rPr>
      </w:pPr>
      <w:r>
        <w:rPr>
          <w:spacing w:val="5"/>
          <w:sz w:val="20"/>
          <w:szCs w:val="20"/>
        </w:rPr>
        <w:t>(3)计算部分。索赔计算的目的，是以具体的计算方法和计算过程，说明自己应得经济补</w:t>
      </w:r>
      <w:r>
        <w:rPr>
          <w:spacing w:val="14"/>
          <w:sz w:val="20"/>
          <w:szCs w:val="20"/>
        </w:rPr>
        <w:t xml:space="preserve"> </w:t>
      </w:r>
      <w:r>
        <w:rPr>
          <w:spacing w:val="3"/>
          <w:sz w:val="20"/>
          <w:szCs w:val="20"/>
        </w:rPr>
        <w:t>偿的款额或延长时间。如果说根据部分的任务是解决索赔能否成立，那么计算部分的任务就是</w:t>
      </w:r>
      <w:r>
        <w:rPr>
          <w:spacing w:val="6"/>
          <w:sz w:val="20"/>
          <w:szCs w:val="20"/>
        </w:rPr>
        <w:t xml:space="preserve"> </w:t>
      </w:r>
      <w:r>
        <w:rPr>
          <w:spacing w:val="-2"/>
          <w:sz w:val="20"/>
          <w:szCs w:val="20"/>
        </w:rPr>
        <w:t>决定应得到多少索赔款额和工期。前者是定性的，后者是定量的。</w:t>
      </w:r>
    </w:p>
    <w:p w14:paraId="2EA8EDEF">
      <w:pPr>
        <w:pStyle w:val="2"/>
        <w:spacing w:before="9" w:line="219" w:lineRule="auto"/>
        <w:ind w:left="399"/>
        <w:rPr>
          <w:sz w:val="20"/>
          <w:szCs w:val="20"/>
        </w:rPr>
      </w:pPr>
      <w:r>
        <w:rPr>
          <w:spacing w:val="-3"/>
          <w:sz w:val="20"/>
          <w:szCs w:val="20"/>
        </w:rPr>
        <w:t>在款额计算部分，承建单位必须阐明下列问题：</w:t>
      </w:r>
    </w:p>
    <w:p w14:paraId="41E58DDF">
      <w:pPr>
        <w:pStyle w:val="2"/>
        <w:spacing w:before="72" w:line="219" w:lineRule="auto"/>
        <w:ind w:left="399"/>
        <w:rPr>
          <w:sz w:val="20"/>
          <w:szCs w:val="20"/>
        </w:rPr>
      </w:pPr>
      <w:r>
        <w:rPr>
          <w:spacing w:val="3"/>
          <w:sz w:val="20"/>
          <w:szCs w:val="20"/>
        </w:rPr>
        <w:t>●索赔款的要求总额；</w:t>
      </w:r>
    </w:p>
    <w:p w14:paraId="1A8AC1D7">
      <w:pPr>
        <w:pStyle w:val="2"/>
        <w:spacing w:before="113" w:line="219" w:lineRule="auto"/>
        <w:ind w:left="399"/>
        <w:rPr>
          <w:sz w:val="20"/>
          <w:szCs w:val="20"/>
        </w:rPr>
      </w:pPr>
      <w:r>
        <w:rPr>
          <w:spacing w:val="1"/>
          <w:sz w:val="20"/>
          <w:szCs w:val="20"/>
        </w:rPr>
        <w:t>●各项索赔款的计算，如额外开支的人工费、产品费、管理费和</w:t>
      </w:r>
      <w:r>
        <w:rPr>
          <w:sz w:val="20"/>
          <w:szCs w:val="20"/>
        </w:rPr>
        <w:t>所失利润；</w:t>
      </w:r>
    </w:p>
    <w:p w14:paraId="7886D098">
      <w:pPr>
        <w:pStyle w:val="2"/>
        <w:spacing w:before="61" w:line="219" w:lineRule="auto"/>
        <w:ind w:left="399"/>
        <w:rPr>
          <w:sz w:val="20"/>
          <w:szCs w:val="20"/>
        </w:rPr>
      </w:pPr>
      <w:r>
        <w:rPr>
          <w:spacing w:val="1"/>
          <w:sz w:val="20"/>
          <w:szCs w:val="20"/>
        </w:rPr>
        <w:t>●指明各项开支的计算依据及证据资料。</w:t>
      </w:r>
    </w:p>
    <w:p w14:paraId="0380326D">
      <w:pPr>
        <w:pStyle w:val="2"/>
        <w:spacing w:before="102" w:line="277" w:lineRule="auto"/>
        <w:ind w:right="372" w:firstLine="399"/>
        <w:rPr>
          <w:sz w:val="20"/>
          <w:szCs w:val="20"/>
        </w:rPr>
      </w:pPr>
      <w:r>
        <w:rPr>
          <w:spacing w:val="3"/>
          <w:sz w:val="20"/>
          <w:szCs w:val="20"/>
        </w:rPr>
        <w:t>承建单位应注意采用合适的计价方法。至于采用哪一种计价法，应根据索赔事件的特点及</w:t>
      </w:r>
      <w:r>
        <w:rPr>
          <w:spacing w:val="13"/>
          <w:sz w:val="20"/>
          <w:szCs w:val="20"/>
        </w:rPr>
        <w:t xml:space="preserve"> </w:t>
      </w:r>
      <w:r>
        <w:rPr>
          <w:spacing w:val="3"/>
          <w:sz w:val="20"/>
          <w:szCs w:val="20"/>
        </w:rPr>
        <w:t>自己所掌握的证据资料等因素来确定。其次，应注意每项开支款的</w:t>
      </w:r>
      <w:r>
        <w:rPr>
          <w:spacing w:val="2"/>
          <w:sz w:val="20"/>
          <w:szCs w:val="20"/>
        </w:rPr>
        <w:t>合理性，并指出相应的证据</w:t>
      </w:r>
      <w:r>
        <w:rPr>
          <w:sz w:val="20"/>
          <w:szCs w:val="20"/>
        </w:rPr>
        <w:t xml:space="preserve"> </w:t>
      </w:r>
      <w:r>
        <w:rPr>
          <w:spacing w:val="-2"/>
          <w:sz w:val="20"/>
          <w:szCs w:val="20"/>
        </w:rPr>
        <w:t>资料的名称及编号。切忌采用笼统的计价方法和不实的开支款额。</w:t>
      </w:r>
    </w:p>
    <w:p w14:paraId="2AD96989">
      <w:pPr>
        <w:pStyle w:val="2"/>
        <w:spacing w:before="41" w:line="262" w:lineRule="auto"/>
        <w:ind w:right="303" w:firstLine="399"/>
        <w:rPr>
          <w:sz w:val="20"/>
          <w:szCs w:val="20"/>
        </w:rPr>
      </w:pPr>
      <w:r>
        <w:rPr>
          <w:spacing w:val="2"/>
          <w:sz w:val="20"/>
          <w:szCs w:val="20"/>
        </w:rPr>
        <w:t>(4)证据部分。证据部分包括该索赔事件所涉及的一切证据资料，以及对这些证据的说明，</w:t>
      </w:r>
      <w:r>
        <w:rPr>
          <w:spacing w:val="17"/>
          <w:sz w:val="20"/>
          <w:szCs w:val="20"/>
        </w:rPr>
        <w:t xml:space="preserve"> </w:t>
      </w:r>
      <w:r>
        <w:rPr>
          <w:spacing w:val="-2"/>
          <w:sz w:val="20"/>
          <w:szCs w:val="20"/>
        </w:rPr>
        <w:t>证据是索赔报告的重要组成部分，没有翔实可靠的证据，索赔是不能成功的。</w:t>
      </w:r>
    </w:p>
    <w:p w14:paraId="1FF499BE">
      <w:pPr>
        <w:pStyle w:val="2"/>
        <w:spacing w:before="44" w:line="291" w:lineRule="auto"/>
        <w:ind w:right="353" w:firstLine="399"/>
        <w:rPr>
          <w:sz w:val="20"/>
          <w:szCs w:val="20"/>
        </w:rPr>
      </w:pPr>
      <w:r>
        <w:rPr>
          <w:spacing w:val="4"/>
          <w:sz w:val="20"/>
          <w:szCs w:val="20"/>
        </w:rPr>
        <w:t>索赔证据资料的范围很广，它可能包括项目实施过程中所涉及的有关政</w:t>
      </w:r>
      <w:r>
        <w:rPr>
          <w:spacing w:val="3"/>
          <w:sz w:val="20"/>
          <w:szCs w:val="20"/>
        </w:rPr>
        <w:t>治、经济、技术、</w:t>
      </w:r>
      <w:r>
        <w:rPr>
          <w:sz w:val="20"/>
          <w:szCs w:val="20"/>
        </w:rPr>
        <w:t xml:space="preserve"> </w:t>
      </w:r>
      <w:r>
        <w:rPr>
          <w:spacing w:val="-4"/>
          <w:sz w:val="20"/>
          <w:szCs w:val="20"/>
        </w:rPr>
        <w:t>财务资料，具体可进行如下分类：</w:t>
      </w:r>
    </w:p>
    <w:p w14:paraId="128886E2">
      <w:pPr>
        <w:pStyle w:val="2"/>
        <w:spacing w:before="8" w:line="264" w:lineRule="auto"/>
        <w:ind w:left="679" w:right="395" w:hanging="280"/>
        <w:rPr>
          <w:sz w:val="20"/>
          <w:szCs w:val="20"/>
        </w:rPr>
      </w:pPr>
      <w:r>
        <w:rPr>
          <w:spacing w:val="3"/>
          <w:sz w:val="20"/>
          <w:szCs w:val="20"/>
        </w:rPr>
        <w:t>●政治、经济资料。包括重大新闻报道记录，如地震以及其他重大</w:t>
      </w:r>
      <w:r>
        <w:rPr>
          <w:spacing w:val="2"/>
          <w:sz w:val="20"/>
          <w:szCs w:val="20"/>
        </w:rPr>
        <w:t>灾害等；重要经济政策</w:t>
      </w:r>
      <w:r>
        <w:rPr>
          <w:sz w:val="20"/>
          <w:szCs w:val="20"/>
        </w:rPr>
        <w:t xml:space="preserve"> </w:t>
      </w:r>
      <w:r>
        <w:rPr>
          <w:spacing w:val="1"/>
          <w:sz w:val="20"/>
          <w:szCs w:val="20"/>
        </w:rPr>
        <w:t>文件，如税收决定、海关规定、工资调整等；政府官员和</w:t>
      </w:r>
      <w:r>
        <w:rPr>
          <w:sz w:val="20"/>
          <w:szCs w:val="20"/>
        </w:rPr>
        <w:t xml:space="preserve">项目主管部门领导视察时的讲 </w:t>
      </w:r>
      <w:r>
        <w:rPr>
          <w:spacing w:val="-6"/>
          <w:sz w:val="20"/>
          <w:szCs w:val="20"/>
        </w:rPr>
        <w:t>话记录等。</w:t>
      </w:r>
    </w:p>
    <w:p w14:paraId="09666FBA">
      <w:pPr>
        <w:pStyle w:val="2"/>
        <w:spacing w:before="84" w:line="276" w:lineRule="auto"/>
        <w:ind w:left="679" w:right="394" w:hanging="280"/>
        <w:rPr>
          <w:sz w:val="20"/>
          <w:szCs w:val="20"/>
        </w:rPr>
      </w:pPr>
      <w:r>
        <w:rPr>
          <w:spacing w:val="3"/>
          <w:sz w:val="20"/>
          <w:szCs w:val="20"/>
        </w:rPr>
        <w:t>●实施现场记录报表及来往函件。包括监理工程师的指令，与业主</w:t>
      </w:r>
      <w:r>
        <w:rPr>
          <w:spacing w:val="2"/>
          <w:sz w:val="20"/>
          <w:szCs w:val="20"/>
        </w:rPr>
        <w:t>单位或监理工程师的来</w:t>
      </w:r>
      <w:r>
        <w:rPr>
          <w:sz w:val="20"/>
          <w:szCs w:val="20"/>
        </w:rPr>
        <w:t xml:space="preserve"> </w:t>
      </w:r>
      <w:r>
        <w:rPr>
          <w:spacing w:val="1"/>
          <w:sz w:val="20"/>
          <w:szCs w:val="20"/>
        </w:rPr>
        <w:t>往函件和电话记录，现场实施日志，每日出勤的人员和产品报表</w:t>
      </w:r>
      <w:r>
        <w:rPr>
          <w:sz w:val="20"/>
          <w:szCs w:val="20"/>
        </w:rPr>
        <w:t>，完工验收记录，实施 事故详细记录，实施会议记录，实施材料使用记录，实施质量检查</w:t>
      </w:r>
      <w:r>
        <w:rPr>
          <w:spacing w:val="-1"/>
          <w:sz w:val="20"/>
          <w:szCs w:val="20"/>
        </w:rPr>
        <w:t>记录，实施进度实况</w:t>
      </w:r>
      <w:r>
        <w:rPr>
          <w:sz w:val="20"/>
          <w:szCs w:val="20"/>
        </w:rPr>
        <w:t xml:space="preserve"> </w:t>
      </w:r>
      <w:r>
        <w:rPr>
          <w:spacing w:val="-2"/>
          <w:sz w:val="20"/>
          <w:szCs w:val="20"/>
        </w:rPr>
        <w:t>记录，实施图纸收发记录，索赔事件的详细记录，实施效率降低的记录等。</w:t>
      </w:r>
    </w:p>
    <w:p w14:paraId="7AA0B7FD">
      <w:pPr>
        <w:pStyle w:val="2"/>
        <w:spacing w:before="83" w:line="272" w:lineRule="auto"/>
        <w:ind w:left="679" w:right="353" w:hanging="280"/>
        <w:rPr>
          <w:sz w:val="20"/>
          <w:szCs w:val="20"/>
        </w:rPr>
      </w:pPr>
      <w:r>
        <w:rPr>
          <w:spacing w:val="3"/>
          <w:sz w:val="20"/>
          <w:szCs w:val="20"/>
        </w:rPr>
        <w:t>●项目财务报表。包括实施进度月报表及收款记录，索赔款月报表及</w:t>
      </w:r>
      <w:r>
        <w:rPr>
          <w:spacing w:val="2"/>
          <w:sz w:val="20"/>
          <w:szCs w:val="20"/>
        </w:rPr>
        <w:t>收款记录，产品、设</w:t>
      </w:r>
      <w:r>
        <w:rPr>
          <w:sz w:val="20"/>
          <w:szCs w:val="20"/>
        </w:rPr>
        <w:t xml:space="preserve"> </w:t>
      </w:r>
      <w:r>
        <w:rPr>
          <w:spacing w:val="2"/>
          <w:sz w:val="20"/>
          <w:szCs w:val="20"/>
        </w:rPr>
        <w:t>备及配件采购单，付款收据，收款单据，项目款及索赔款迟付记录，迟</w:t>
      </w:r>
      <w:r>
        <w:rPr>
          <w:spacing w:val="1"/>
          <w:sz w:val="20"/>
          <w:szCs w:val="20"/>
        </w:rPr>
        <w:t>付款利息报表，</w:t>
      </w:r>
      <w:r>
        <w:rPr>
          <w:sz w:val="20"/>
          <w:szCs w:val="20"/>
        </w:rPr>
        <w:t xml:space="preserve"> </w:t>
      </w:r>
      <w:r>
        <w:rPr>
          <w:spacing w:val="-2"/>
          <w:sz w:val="20"/>
          <w:szCs w:val="20"/>
        </w:rPr>
        <w:t>向分包商付款记录，会计日报表，会计总账，财务报告，会计来往信件及文件等。</w:t>
      </w:r>
    </w:p>
    <w:p w14:paraId="27FA676F">
      <w:pPr>
        <w:pStyle w:val="2"/>
        <w:spacing w:before="86" w:line="270" w:lineRule="auto"/>
        <w:ind w:right="382" w:firstLine="399"/>
        <w:jc w:val="both"/>
        <w:rPr>
          <w:sz w:val="20"/>
          <w:szCs w:val="20"/>
        </w:rPr>
      </w:pPr>
      <w:r>
        <w:rPr>
          <w:spacing w:val="3"/>
          <w:sz w:val="20"/>
          <w:szCs w:val="20"/>
        </w:rPr>
        <w:t>在引用证据时，要注意该证据的效力或可信程度，对重要的证据资料</w:t>
      </w:r>
      <w:r>
        <w:rPr>
          <w:spacing w:val="2"/>
          <w:sz w:val="20"/>
          <w:szCs w:val="20"/>
        </w:rPr>
        <w:t>最好附以文字证明或</w:t>
      </w:r>
      <w:r>
        <w:rPr>
          <w:sz w:val="20"/>
          <w:szCs w:val="20"/>
        </w:rPr>
        <w:t xml:space="preserve"> </w:t>
      </w:r>
      <w:r>
        <w:rPr>
          <w:spacing w:val="3"/>
          <w:sz w:val="20"/>
          <w:szCs w:val="20"/>
        </w:rPr>
        <w:t>确认件。例如，对一个重要的电话内容，仅附上自己的记录</w:t>
      </w:r>
      <w:r>
        <w:rPr>
          <w:spacing w:val="2"/>
          <w:sz w:val="20"/>
          <w:szCs w:val="20"/>
        </w:rPr>
        <w:t>是不够的，最好附上经过双方签字</w:t>
      </w:r>
      <w:r>
        <w:rPr>
          <w:sz w:val="20"/>
          <w:szCs w:val="20"/>
        </w:rPr>
        <w:t xml:space="preserve"> </w:t>
      </w:r>
      <w:r>
        <w:rPr>
          <w:spacing w:val="3"/>
          <w:sz w:val="20"/>
          <w:szCs w:val="20"/>
        </w:rPr>
        <w:t>确认的电话记录；或附上发给对方要求确认该电话记录的函件，即使对方未给复函，亦</w:t>
      </w:r>
      <w:r>
        <w:rPr>
          <w:spacing w:val="2"/>
          <w:sz w:val="20"/>
          <w:szCs w:val="20"/>
        </w:rPr>
        <w:t>可说明</w:t>
      </w:r>
      <w:r>
        <w:rPr>
          <w:sz w:val="20"/>
          <w:szCs w:val="20"/>
        </w:rPr>
        <w:t xml:space="preserve"> </w:t>
      </w:r>
      <w:r>
        <w:rPr>
          <w:spacing w:val="-2"/>
          <w:sz w:val="20"/>
          <w:szCs w:val="20"/>
        </w:rPr>
        <w:t>责任在对方，因为对方未复函确认或修改，按惯例应理解为他已默认。</w:t>
      </w:r>
    </w:p>
    <w:p w14:paraId="3D0661B0">
      <w:pPr>
        <w:spacing w:before="126" w:line="224" w:lineRule="auto"/>
        <w:ind w:left="399"/>
        <w:rPr>
          <w:rFonts w:ascii="楷体" w:hAnsi="楷体" w:eastAsia="楷体" w:cs="楷体"/>
          <w:sz w:val="20"/>
          <w:szCs w:val="20"/>
        </w:rPr>
      </w:pPr>
      <w:r>
        <w:rPr>
          <w:rFonts w:ascii="楷体" w:hAnsi="楷体" w:eastAsia="楷体" w:cs="楷体"/>
          <w:spacing w:val="5"/>
          <w:sz w:val="20"/>
          <w:szCs w:val="20"/>
        </w:rPr>
        <w:t>2)索赔报告编写的一般要求</w:t>
      </w:r>
    </w:p>
    <w:p w14:paraId="32A0B1DC">
      <w:pPr>
        <w:pStyle w:val="2"/>
        <w:spacing w:before="70" w:line="272" w:lineRule="auto"/>
        <w:ind w:right="372" w:firstLine="399"/>
        <w:rPr>
          <w:sz w:val="20"/>
          <w:szCs w:val="20"/>
        </w:rPr>
      </w:pPr>
      <w:r>
        <w:rPr>
          <w:spacing w:val="3"/>
          <w:sz w:val="20"/>
          <w:szCs w:val="20"/>
        </w:rPr>
        <w:t>索赔报告是具有法律效力的正规的书面文件。对重大项目的索赔，最好在律师或索赔专家</w:t>
      </w:r>
      <w:r>
        <w:rPr>
          <w:spacing w:val="13"/>
          <w:sz w:val="20"/>
          <w:szCs w:val="20"/>
        </w:rPr>
        <w:t xml:space="preserve"> </w:t>
      </w:r>
      <w:r>
        <w:rPr>
          <w:spacing w:val="-3"/>
          <w:sz w:val="20"/>
          <w:szCs w:val="20"/>
        </w:rPr>
        <w:t>的指导下进行。编写索赔报告一般有以下要</w:t>
      </w:r>
      <w:r>
        <w:rPr>
          <w:spacing w:val="-4"/>
          <w:sz w:val="20"/>
          <w:szCs w:val="20"/>
        </w:rPr>
        <w:t>求：</w:t>
      </w:r>
    </w:p>
    <w:p w14:paraId="35681703">
      <w:pPr>
        <w:pStyle w:val="2"/>
        <w:spacing w:before="20" w:line="218" w:lineRule="auto"/>
        <w:ind w:left="399"/>
        <w:rPr>
          <w:sz w:val="20"/>
          <w:szCs w:val="20"/>
        </w:rPr>
      </w:pPr>
      <w:r>
        <w:rPr>
          <w:spacing w:val="5"/>
          <w:sz w:val="20"/>
          <w:szCs w:val="20"/>
        </w:rPr>
        <w:t>(1)索赔事件应该真实。索赔报告中所提出的干扰事件，必须有可靠的证据来证明。对索</w:t>
      </w:r>
    </w:p>
    <w:p w14:paraId="1071EF4B">
      <w:pPr>
        <w:spacing w:line="218" w:lineRule="auto"/>
        <w:rPr>
          <w:sz w:val="20"/>
          <w:szCs w:val="20"/>
        </w:rPr>
        <w:sectPr>
          <w:pgSz w:w="10280" w:h="13260"/>
          <w:pgMar w:top="400" w:right="446" w:bottom="400" w:left="1129" w:header="0" w:footer="0" w:gutter="0"/>
          <w:cols w:space="720" w:num="1"/>
        </w:sectPr>
      </w:pPr>
    </w:p>
    <w:p w14:paraId="4B9843C4">
      <w:pPr>
        <w:pStyle w:val="2"/>
        <w:spacing w:before="98" w:line="219" w:lineRule="auto"/>
        <w:rPr>
          <w:sz w:val="20"/>
          <w:szCs w:val="20"/>
        </w:rPr>
      </w:pPr>
      <w:bookmarkStart w:id="653" w:name="bookmark638"/>
      <w:bookmarkEnd w:id="653"/>
      <w:r>
        <w:rPr>
          <w:rFonts w:ascii="Times New Roman" w:hAnsi="Times New Roman" w:eastAsia="Times New Roman" w:cs="Times New Roman"/>
          <w:b/>
          <w:bCs/>
          <w:spacing w:val="-1"/>
          <w:position w:val="1"/>
          <w:sz w:val="17"/>
          <w:szCs w:val="17"/>
        </w:rPr>
        <w:t xml:space="preserve">314                 </w:t>
      </w:r>
      <w:r>
        <w:rPr>
          <w:spacing w:val="-1"/>
          <w:sz w:val="20"/>
          <w:szCs w:val="20"/>
        </w:rPr>
        <w:t>信息系统监理师教程(第2版)</w:t>
      </w:r>
    </w:p>
    <w:p w14:paraId="401EB7D8">
      <w:pPr>
        <w:spacing w:line="303" w:lineRule="auto"/>
        <w:rPr>
          <w:rFonts w:ascii="Arial"/>
          <w:sz w:val="21"/>
        </w:rPr>
      </w:pPr>
    </w:p>
    <w:p w14:paraId="5F741541">
      <w:pPr>
        <w:pStyle w:val="2"/>
        <w:spacing w:before="65" w:line="218" w:lineRule="auto"/>
        <w:ind w:left="369"/>
        <w:rPr>
          <w:sz w:val="20"/>
          <w:szCs w:val="20"/>
        </w:rPr>
      </w:pPr>
      <w:r>
        <w:rPr>
          <w:spacing w:val="-2"/>
          <w:sz w:val="20"/>
          <w:szCs w:val="20"/>
        </w:rPr>
        <w:t>赔事件的叙述必须明确、肯定，不包含任何估计的猜测。</w:t>
      </w:r>
    </w:p>
    <w:p w14:paraId="5485DDB1">
      <w:pPr>
        <w:pStyle w:val="2"/>
        <w:spacing w:before="93" w:line="253" w:lineRule="auto"/>
        <w:ind w:left="369" w:right="62" w:firstLine="400"/>
        <w:rPr>
          <w:sz w:val="20"/>
          <w:szCs w:val="20"/>
        </w:rPr>
      </w:pPr>
      <w:r>
        <w:rPr>
          <w:spacing w:val="5"/>
          <w:sz w:val="20"/>
          <w:szCs w:val="20"/>
        </w:rPr>
        <w:t>(2)责任分析应清楚、准确、有根据。索赔报告应仔细分析事件的责任，明确指出索赔所</w:t>
      </w:r>
      <w:r>
        <w:rPr>
          <w:spacing w:val="6"/>
          <w:sz w:val="20"/>
          <w:szCs w:val="20"/>
        </w:rPr>
        <w:t xml:space="preserve"> </w:t>
      </w:r>
      <w:r>
        <w:rPr>
          <w:spacing w:val="-1"/>
          <w:sz w:val="20"/>
          <w:szCs w:val="20"/>
        </w:rPr>
        <w:t>依据的合同条款或法律条文，且说明承建单位的索赔是完全按照合同规定程序进行的。</w:t>
      </w:r>
    </w:p>
    <w:p w14:paraId="3A2399D9">
      <w:pPr>
        <w:pStyle w:val="2"/>
        <w:spacing w:before="82" w:line="269" w:lineRule="auto"/>
        <w:ind w:left="369" w:firstLine="400"/>
        <w:rPr>
          <w:sz w:val="20"/>
          <w:szCs w:val="20"/>
        </w:rPr>
      </w:pPr>
      <w:r>
        <w:rPr>
          <w:spacing w:val="5"/>
          <w:sz w:val="20"/>
          <w:szCs w:val="20"/>
        </w:rPr>
        <w:t>(3)充分论证事件造成承建单位的实际损失。索赔的原则是赔偿由事件引起的承建单位所</w:t>
      </w:r>
      <w:r>
        <w:rPr>
          <w:spacing w:val="6"/>
          <w:sz w:val="20"/>
          <w:szCs w:val="20"/>
        </w:rPr>
        <w:t xml:space="preserve"> </w:t>
      </w:r>
      <w:r>
        <w:rPr>
          <w:spacing w:val="3"/>
          <w:sz w:val="20"/>
          <w:szCs w:val="20"/>
        </w:rPr>
        <w:t>遭受的实际损失，所以索赔报告中应强调由于事件影响，使</w:t>
      </w:r>
      <w:r>
        <w:rPr>
          <w:spacing w:val="2"/>
          <w:sz w:val="20"/>
          <w:szCs w:val="20"/>
        </w:rPr>
        <w:t>承建单位在实施过程中所受到干扰</w:t>
      </w:r>
      <w:r>
        <w:rPr>
          <w:sz w:val="20"/>
          <w:szCs w:val="20"/>
        </w:rPr>
        <w:t xml:space="preserve"> </w:t>
      </w:r>
      <w:r>
        <w:rPr>
          <w:spacing w:val="-1"/>
          <w:sz w:val="20"/>
          <w:szCs w:val="20"/>
        </w:rPr>
        <w:t>的严重程度，以致工期拖延，费用增加，并充分论证事件影响与实际损失之间的直接因果关系，</w:t>
      </w:r>
      <w:r>
        <w:rPr>
          <w:spacing w:val="10"/>
          <w:sz w:val="20"/>
          <w:szCs w:val="20"/>
        </w:rPr>
        <w:t xml:space="preserve"> </w:t>
      </w:r>
      <w:r>
        <w:rPr>
          <w:spacing w:val="-1"/>
          <w:sz w:val="20"/>
          <w:szCs w:val="20"/>
        </w:rPr>
        <w:t>报告中还应说明承建单位为了减轻事件影响和损失已尽了最大的努力，采取了所能采用的措施。</w:t>
      </w:r>
    </w:p>
    <w:p w14:paraId="5A560980">
      <w:pPr>
        <w:pStyle w:val="2"/>
        <w:spacing w:before="95" w:line="253" w:lineRule="auto"/>
        <w:ind w:left="369" w:right="60" w:firstLine="400"/>
        <w:rPr>
          <w:sz w:val="20"/>
          <w:szCs w:val="20"/>
        </w:rPr>
      </w:pPr>
      <w:r>
        <w:rPr>
          <w:spacing w:val="5"/>
          <w:sz w:val="20"/>
          <w:szCs w:val="20"/>
        </w:rPr>
        <w:t>(4)索赔计算必须合理、正确。要采用合理的计算方法及数据，正确地计算出应取得的经</w:t>
      </w:r>
      <w:r>
        <w:rPr>
          <w:spacing w:val="7"/>
          <w:sz w:val="20"/>
          <w:szCs w:val="20"/>
        </w:rPr>
        <w:t xml:space="preserve"> </w:t>
      </w:r>
      <w:r>
        <w:rPr>
          <w:spacing w:val="-2"/>
          <w:sz w:val="20"/>
          <w:szCs w:val="20"/>
        </w:rPr>
        <w:t>济补偿款额或工期延长。计算中应力求避免漏项或重复，不出现计算上的错误。</w:t>
      </w:r>
    </w:p>
    <w:p w14:paraId="566AD9A8">
      <w:pPr>
        <w:pStyle w:val="2"/>
        <w:spacing w:before="83" w:line="269" w:lineRule="auto"/>
        <w:ind w:left="369" w:right="47" w:firstLine="400"/>
        <w:rPr>
          <w:sz w:val="20"/>
          <w:szCs w:val="20"/>
        </w:rPr>
      </w:pPr>
      <w:r>
        <w:rPr>
          <w:spacing w:val="6"/>
          <w:sz w:val="20"/>
          <w:szCs w:val="20"/>
        </w:rPr>
        <w:t>(5)文字要精练、条理要清楚、语气要中肯</w:t>
      </w:r>
      <w:r>
        <w:rPr>
          <w:spacing w:val="5"/>
          <w:sz w:val="20"/>
          <w:szCs w:val="20"/>
        </w:rPr>
        <w:t>。索赔报告必须简洁明了、条理清楚、结论明</w:t>
      </w:r>
      <w:r>
        <w:rPr>
          <w:sz w:val="20"/>
          <w:szCs w:val="20"/>
        </w:rPr>
        <w:t xml:space="preserve"> </w:t>
      </w:r>
      <w:r>
        <w:rPr>
          <w:spacing w:val="3"/>
          <w:sz w:val="20"/>
          <w:szCs w:val="20"/>
        </w:rPr>
        <w:t>确、有逻辑性。索赔证据和索赔值的计算应详细、清晰，没有差错又不显烦琐。语气措</w:t>
      </w:r>
      <w:r>
        <w:rPr>
          <w:spacing w:val="2"/>
          <w:sz w:val="20"/>
          <w:szCs w:val="20"/>
        </w:rPr>
        <w:t>辞应中</w:t>
      </w:r>
      <w:r>
        <w:rPr>
          <w:sz w:val="20"/>
          <w:szCs w:val="20"/>
        </w:rPr>
        <w:t xml:space="preserve"> </w:t>
      </w:r>
      <w:r>
        <w:rPr>
          <w:spacing w:val="-7"/>
          <w:sz w:val="20"/>
          <w:szCs w:val="20"/>
        </w:rPr>
        <w:t>肯，在论述事件的责任及索赔根据时，所用词语要肯定，忌用“大概”“一定程度”“可能”等词</w:t>
      </w:r>
      <w:r>
        <w:rPr>
          <w:spacing w:val="15"/>
          <w:sz w:val="20"/>
          <w:szCs w:val="20"/>
        </w:rPr>
        <w:t xml:space="preserve"> </w:t>
      </w:r>
      <w:r>
        <w:rPr>
          <w:spacing w:val="-1"/>
          <w:sz w:val="20"/>
          <w:szCs w:val="20"/>
        </w:rPr>
        <w:t>汇；在提出索赔要求时，语气要恳切，忌用强硬</w:t>
      </w:r>
      <w:r>
        <w:rPr>
          <w:spacing w:val="-2"/>
          <w:sz w:val="20"/>
          <w:szCs w:val="20"/>
        </w:rPr>
        <w:t>或命令式的口气。</w:t>
      </w:r>
    </w:p>
    <w:p w14:paraId="3978D26C">
      <w:pPr>
        <w:spacing w:before="166" w:line="223" w:lineRule="auto"/>
        <w:ind w:left="772"/>
        <w:rPr>
          <w:rFonts w:ascii="楷体" w:hAnsi="楷体" w:eastAsia="楷体" w:cs="楷体"/>
          <w:sz w:val="20"/>
          <w:szCs w:val="20"/>
        </w:rPr>
      </w:pPr>
      <w:r>
        <w:rPr>
          <w:rFonts w:ascii="楷体" w:hAnsi="楷体" w:eastAsia="楷体" w:cs="楷体"/>
          <w:b/>
          <w:bCs/>
          <w:spacing w:val="8"/>
          <w:sz w:val="20"/>
          <w:szCs w:val="20"/>
        </w:rPr>
        <w:t>3)索赔报告的审查</w:t>
      </w:r>
    </w:p>
    <w:p w14:paraId="40624B62">
      <w:pPr>
        <w:pStyle w:val="2"/>
        <w:spacing w:before="74" w:line="218" w:lineRule="auto"/>
        <w:ind w:left="770"/>
        <w:rPr>
          <w:sz w:val="20"/>
          <w:szCs w:val="20"/>
        </w:rPr>
      </w:pPr>
      <w:r>
        <w:rPr>
          <w:spacing w:val="-4"/>
          <w:sz w:val="20"/>
          <w:szCs w:val="20"/>
        </w:rPr>
        <w:t>索赔报告的审查具体包括以下内容：</w:t>
      </w:r>
    </w:p>
    <w:p w14:paraId="683E147F">
      <w:pPr>
        <w:pStyle w:val="2"/>
        <w:spacing w:before="89" w:line="273" w:lineRule="auto"/>
        <w:ind w:left="369" w:right="39" w:firstLine="400"/>
        <w:rPr>
          <w:sz w:val="20"/>
          <w:szCs w:val="20"/>
        </w:rPr>
      </w:pPr>
      <w:r>
        <w:rPr>
          <w:spacing w:val="6"/>
          <w:sz w:val="20"/>
          <w:szCs w:val="20"/>
        </w:rPr>
        <w:t>(1)监理工程师审核承建单位的索赔申请。接到承建单位的索赔</w:t>
      </w:r>
      <w:r>
        <w:rPr>
          <w:spacing w:val="5"/>
          <w:sz w:val="20"/>
          <w:szCs w:val="20"/>
        </w:rPr>
        <w:t>意向通知后，监理工程师</w:t>
      </w:r>
      <w:r>
        <w:rPr>
          <w:sz w:val="20"/>
          <w:szCs w:val="20"/>
        </w:rPr>
        <w:t xml:space="preserve"> </w:t>
      </w:r>
      <w:r>
        <w:rPr>
          <w:spacing w:val="3"/>
          <w:sz w:val="20"/>
          <w:szCs w:val="20"/>
        </w:rPr>
        <w:t>应建立自己的索赔档案，密切关注事件的影响，检查承建单</w:t>
      </w:r>
      <w:r>
        <w:rPr>
          <w:spacing w:val="2"/>
          <w:sz w:val="20"/>
          <w:szCs w:val="20"/>
        </w:rPr>
        <w:t>位的同期记录，随时就记录内容提</w:t>
      </w:r>
      <w:r>
        <w:rPr>
          <w:sz w:val="20"/>
          <w:szCs w:val="20"/>
        </w:rPr>
        <w:t xml:space="preserve"> </w:t>
      </w:r>
      <w:r>
        <w:rPr>
          <w:spacing w:val="3"/>
          <w:sz w:val="20"/>
          <w:szCs w:val="20"/>
        </w:rPr>
        <w:t>出自己的不同意见或希望应予以增加的记录项目。监理工程师审查与评估的关注点包括：费用</w:t>
      </w:r>
      <w:r>
        <w:rPr>
          <w:sz w:val="20"/>
          <w:szCs w:val="20"/>
        </w:rPr>
        <w:t xml:space="preserve"> </w:t>
      </w:r>
      <w:r>
        <w:rPr>
          <w:spacing w:val="3"/>
          <w:sz w:val="20"/>
          <w:szCs w:val="20"/>
        </w:rPr>
        <w:t>索赔申请报告的程序、时限符合合同要求；费用索赔申请报告的格式</w:t>
      </w:r>
      <w:r>
        <w:rPr>
          <w:spacing w:val="2"/>
          <w:sz w:val="20"/>
          <w:szCs w:val="20"/>
        </w:rPr>
        <w:t>和内容符合规定；费用索</w:t>
      </w:r>
      <w:r>
        <w:rPr>
          <w:sz w:val="20"/>
          <w:szCs w:val="20"/>
        </w:rPr>
        <w:t xml:space="preserve"> </w:t>
      </w:r>
      <w:r>
        <w:rPr>
          <w:spacing w:val="3"/>
          <w:sz w:val="20"/>
          <w:szCs w:val="20"/>
        </w:rPr>
        <w:t>赔申请的资料必须真实、齐全、手续完备；申请索赔的合同</w:t>
      </w:r>
      <w:r>
        <w:rPr>
          <w:spacing w:val="2"/>
          <w:sz w:val="20"/>
          <w:szCs w:val="20"/>
        </w:rPr>
        <w:t>依据、理由必须正确、充分；索赔</w:t>
      </w:r>
      <w:r>
        <w:rPr>
          <w:sz w:val="20"/>
          <w:szCs w:val="20"/>
        </w:rPr>
        <w:t xml:space="preserve"> </w:t>
      </w:r>
      <w:r>
        <w:rPr>
          <w:spacing w:val="-3"/>
          <w:sz w:val="20"/>
          <w:szCs w:val="20"/>
        </w:rPr>
        <w:t>金额的计算原则与方法必须合理、合法。</w:t>
      </w:r>
    </w:p>
    <w:p w14:paraId="47DB4897">
      <w:pPr>
        <w:pStyle w:val="2"/>
        <w:spacing w:before="81" w:line="275" w:lineRule="auto"/>
        <w:ind w:left="369" w:firstLine="400"/>
        <w:rPr>
          <w:sz w:val="20"/>
          <w:szCs w:val="20"/>
        </w:rPr>
      </w:pPr>
      <w:r>
        <w:rPr>
          <w:spacing w:val="5"/>
          <w:sz w:val="20"/>
          <w:szCs w:val="20"/>
        </w:rPr>
        <w:t>(2)在接到正式索赔报告后，认真研究承建单位报送的索赔资料。首先在不确定责任归属</w:t>
      </w:r>
      <w:r>
        <w:rPr>
          <w:spacing w:val="16"/>
          <w:sz w:val="20"/>
          <w:szCs w:val="20"/>
        </w:rPr>
        <w:t xml:space="preserve"> </w:t>
      </w:r>
      <w:r>
        <w:rPr>
          <w:spacing w:val="3"/>
          <w:sz w:val="20"/>
          <w:szCs w:val="20"/>
        </w:rPr>
        <w:t>的情况下，客观分析事件发生的原因，重温合同的有关条款，</w:t>
      </w:r>
      <w:r>
        <w:rPr>
          <w:spacing w:val="2"/>
          <w:sz w:val="20"/>
          <w:szCs w:val="20"/>
        </w:rPr>
        <w:t>研究承建单位的索赔证据，并查</w:t>
      </w:r>
      <w:r>
        <w:rPr>
          <w:sz w:val="20"/>
          <w:szCs w:val="20"/>
        </w:rPr>
        <w:t xml:space="preserve"> </w:t>
      </w:r>
      <w:r>
        <w:rPr>
          <w:spacing w:val="-1"/>
          <w:sz w:val="20"/>
          <w:szCs w:val="20"/>
        </w:rPr>
        <w:t>阅相应的同期记录。通过对事件的分析，监理工程师再依据合同条款划清责任界限，如有必要，</w:t>
      </w:r>
      <w:r>
        <w:rPr>
          <w:spacing w:val="10"/>
          <w:sz w:val="20"/>
          <w:szCs w:val="20"/>
        </w:rPr>
        <w:t xml:space="preserve"> </w:t>
      </w:r>
      <w:r>
        <w:rPr>
          <w:spacing w:val="3"/>
          <w:sz w:val="20"/>
          <w:szCs w:val="20"/>
        </w:rPr>
        <w:t>还可以要求承建单位进一步提供补充资料。尤其是对承建单位与</w:t>
      </w:r>
      <w:r>
        <w:rPr>
          <w:spacing w:val="2"/>
          <w:sz w:val="20"/>
          <w:szCs w:val="20"/>
        </w:rPr>
        <w:t>业主单位或监理单位都负有一</w:t>
      </w:r>
      <w:r>
        <w:rPr>
          <w:sz w:val="20"/>
          <w:szCs w:val="20"/>
        </w:rPr>
        <w:t xml:space="preserve"> </w:t>
      </w:r>
      <w:r>
        <w:rPr>
          <w:spacing w:val="3"/>
          <w:sz w:val="20"/>
          <w:szCs w:val="20"/>
        </w:rPr>
        <w:t>定责任的事件，更应划出各方应承担合同责任的比例。最后再</w:t>
      </w:r>
      <w:r>
        <w:rPr>
          <w:spacing w:val="2"/>
          <w:sz w:val="20"/>
          <w:szCs w:val="20"/>
        </w:rPr>
        <w:t>审查承建单位提出的索赔补偿要</w:t>
      </w:r>
      <w:r>
        <w:rPr>
          <w:sz w:val="20"/>
          <w:szCs w:val="20"/>
        </w:rPr>
        <w:t xml:space="preserve"> </w:t>
      </w:r>
      <w:r>
        <w:rPr>
          <w:spacing w:val="-2"/>
          <w:sz w:val="20"/>
          <w:szCs w:val="20"/>
        </w:rPr>
        <w:t>求，剔除其中的不合理部分，拟定自己计算的合理的索赔款额和工期延长天数。</w:t>
      </w:r>
    </w:p>
    <w:p w14:paraId="52E0887E">
      <w:pPr>
        <w:pStyle w:val="2"/>
        <w:spacing w:before="86" w:line="274" w:lineRule="auto"/>
        <w:ind w:left="369" w:right="57" w:firstLine="400"/>
        <w:rPr>
          <w:sz w:val="17"/>
          <w:szCs w:val="17"/>
        </w:rPr>
      </w:pPr>
      <w:r>
        <w:rPr>
          <w:spacing w:val="5"/>
          <w:sz w:val="20"/>
          <w:szCs w:val="20"/>
        </w:rPr>
        <w:t>(3)需要明确索赔成立条件，依据合同内涉及索赔原因的各条款内容，归纳出监理工程师</w:t>
      </w:r>
      <w:r>
        <w:rPr>
          <w:spacing w:val="9"/>
          <w:sz w:val="20"/>
          <w:szCs w:val="20"/>
        </w:rPr>
        <w:t xml:space="preserve"> </w:t>
      </w:r>
      <w:r>
        <w:rPr>
          <w:spacing w:val="3"/>
          <w:sz w:val="20"/>
          <w:szCs w:val="20"/>
        </w:rPr>
        <w:t>判定承建单位索赔成立的条件。具体条件为：与合同相对</w:t>
      </w:r>
      <w:r>
        <w:rPr>
          <w:spacing w:val="2"/>
          <w:sz w:val="20"/>
          <w:szCs w:val="20"/>
        </w:rPr>
        <w:t>照，事件已造成了承建单位成本的额</w:t>
      </w:r>
      <w:r>
        <w:rPr>
          <w:sz w:val="20"/>
          <w:szCs w:val="20"/>
        </w:rPr>
        <w:t xml:space="preserve"> </w:t>
      </w:r>
      <w:r>
        <w:rPr>
          <w:spacing w:val="3"/>
          <w:sz w:val="20"/>
          <w:szCs w:val="20"/>
        </w:rPr>
        <w:t>外支出，或直接工期损失；造成费用增加或工期损失的原因</w:t>
      </w:r>
      <w:r>
        <w:rPr>
          <w:spacing w:val="2"/>
          <w:sz w:val="20"/>
          <w:szCs w:val="20"/>
        </w:rPr>
        <w:t>，按合同约定不属于承建单位应承</w:t>
      </w:r>
      <w:r>
        <w:rPr>
          <w:sz w:val="20"/>
          <w:szCs w:val="20"/>
        </w:rPr>
        <w:t xml:space="preserve"> </w:t>
      </w:r>
      <w:r>
        <w:rPr>
          <w:spacing w:val="3"/>
          <w:sz w:val="20"/>
          <w:szCs w:val="20"/>
        </w:rPr>
        <w:t>担的行为责任或风险责任；承建单位按合同规定的程序，提</w:t>
      </w:r>
      <w:r>
        <w:rPr>
          <w:spacing w:val="2"/>
          <w:sz w:val="20"/>
          <w:szCs w:val="20"/>
        </w:rPr>
        <w:t>交了索赔意向通知和索赔报告。这</w:t>
      </w:r>
      <w:r>
        <w:rPr>
          <w:sz w:val="20"/>
          <w:szCs w:val="20"/>
        </w:rPr>
        <w:t xml:space="preserve"> </w:t>
      </w:r>
      <w:r>
        <w:rPr>
          <w:spacing w:val="3"/>
          <w:sz w:val="20"/>
          <w:szCs w:val="20"/>
        </w:rPr>
        <w:t>三个条件没有先后主次之分，应当同时具备。只有监理工程师认定</w:t>
      </w:r>
      <w:r>
        <w:rPr>
          <w:spacing w:val="2"/>
          <w:sz w:val="20"/>
          <w:szCs w:val="20"/>
        </w:rPr>
        <w:t>索赔成立后，才按一定程序</w:t>
      </w:r>
      <w:r>
        <w:rPr>
          <w:sz w:val="20"/>
          <w:szCs w:val="20"/>
        </w:rPr>
        <w:t xml:space="preserve"> </w:t>
      </w:r>
      <w:r>
        <w:rPr>
          <w:spacing w:val="13"/>
          <w:sz w:val="17"/>
          <w:szCs w:val="17"/>
        </w:rPr>
        <w:t>处理</w:t>
      </w:r>
      <w:r>
        <w:rPr>
          <w:spacing w:val="-36"/>
          <w:sz w:val="17"/>
          <w:szCs w:val="17"/>
        </w:rPr>
        <w:t xml:space="preserve"> </w:t>
      </w:r>
      <w:r>
        <w:rPr>
          <w:spacing w:val="13"/>
          <w:sz w:val="17"/>
          <w:szCs w:val="17"/>
        </w:rPr>
        <w:t>。</w:t>
      </w:r>
    </w:p>
    <w:p w14:paraId="73EF8473">
      <w:pPr>
        <w:pStyle w:val="2"/>
        <w:spacing w:before="110" w:line="269" w:lineRule="auto"/>
        <w:ind w:left="369" w:right="60" w:firstLine="400"/>
        <w:rPr>
          <w:sz w:val="20"/>
          <w:szCs w:val="20"/>
        </w:rPr>
      </w:pPr>
      <w:r>
        <w:rPr>
          <w:spacing w:val="5"/>
          <w:sz w:val="20"/>
          <w:szCs w:val="20"/>
        </w:rPr>
        <w:t>(4)当承建单位的费用索赔要求与项目延期要求相关联时，总监理工程师在做出费用索赔</w:t>
      </w:r>
      <w:r>
        <w:rPr>
          <w:spacing w:val="7"/>
          <w:sz w:val="20"/>
          <w:szCs w:val="20"/>
        </w:rPr>
        <w:t xml:space="preserve"> </w:t>
      </w:r>
      <w:r>
        <w:rPr>
          <w:spacing w:val="3"/>
          <w:sz w:val="20"/>
          <w:szCs w:val="20"/>
        </w:rPr>
        <w:t>的批准决定时，应与项目延期的批准联系起来，综合做出费</w:t>
      </w:r>
      <w:r>
        <w:rPr>
          <w:spacing w:val="2"/>
          <w:sz w:val="20"/>
          <w:szCs w:val="20"/>
        </w:rPr>
        <w:t>用索赔和项目延期的决定。由于承</w:t>
      </w:r>
      <w:r>
        <w:rPr>
          <w:sz w:val="20"/>
          <w:szCs w:val="20"/>
        </w:rPr>
        <w:t xml:space="preserve"> </w:t>
      </w:r>
      <w:r>
        <w:rPr>
          <w:spacing w:val="3"/>
          <w:sz w:val="20"/>
          <w:szCs w:val="20"/>
        </w:rPr>
        <w:t>建单位的原因造成业主单位的额外损失，业主单位向承</w:t>
      </w:r>
      <w:r>
        <w:rPr>
          <w:spacing w:val="2"/>
          <w:sz w:val="20"/>
          <w:szCs w:val="20"/>
        </w:rPr>
        <w:t>建单位提出费用反索赔时，总监理工程</w:t>
      </w:r>
      <w:r>
        <w:rPr>
          <w:sz w:val="20"/>
          <w:szCs w:val="20"/>
        </w:rPr>
        <w:t xml:space="preserve"> </w:t>
      </w:r>
      <w:r>
        <w:rPr>
          <w:spacing w:val="-1"/>
          <w:sz w:val="20"/>
          <w:szCs w:val="20"/>
        </w:rPr>
        <w:t>师在审查索赔报告后，应公正地与业主单位和承建单位进行协商，并及时做出答复。</w:t>
      </w:r>
    </w:p>
    <w:p w14:paraId="51F69ACC">
      <w:pPr>
        <w:spacing w:line="269" w:lineRule="auto"/>
        <w:rPr>
          <w:sz w:val="20"/>
          <w:szCs w:val="20"/>
        </w:rPr>
        <w:sectPr>
          <w:pgSz w:w="10300" w:h="13330"/>
          <w:pgMar w:top="400" w:right="1100" w:bottom="400" w:left="459" w:header="0" w:footer="0" w:gutter="0"/>
          <w:cols w:space="720" w:num="1"/>
        </w:sectPr>
      </w:pPr>
    </w:p>
    <w:p w14:paraId="7A7AE104">
      <w:pPr>
        <w:pStyle w:val="2"/>
        <w:jc w:val="right"/>
        <w:rPr>
          <w:rFonts w:ascii="Times New Roman" w:hAnsi="Times New Roman" w:eastAsia="Times New Roman" w:cs="Times New Roman"/>
          <w:sz w:val="20"/>
          <w:szCs w:val="20"/>
        </w:rPr>
      </w:pPr>
      <w:r>
        <w:rPr>
          <w:spacing w:val="-2"/>
          <w:sz w:val="20"/>
          <w:szCs w:val="20"/>
        </w:rPr>
        <w:t>第13章</w:t>
      </w:r>
      <w:r>
        <w:rPr>
          <w:spacing w:val="28"/>
          <w:sz w:val="20"/>
          <w:szCs w:val="20"/>
        </w:rPr>
        <w:t xml:space="preserve"> </w:t>
      </w:r>
      <w:r>
        <w:rPr>
          <w:spacing w:val="-2"/>
          <w:sz w:val="20"/>
          <w:szCs w:val="20"/>
        </w:rPr>
        <w:t>合同管理</w:t>
      </w:r>
      <w:r>
        <w:rPr>
          <w:spacing w:val="53"/>
          <w:sz w:val="20"/>
          <w:szCs w:val="20"/>
        </w:rPr>
        <w:t xml:space="preserve"> </w:t>
      </w:r>
      <w:r>
        <w:rPr>
          <w:position w:val="-8"/>
          <w:sz w:val="20"/>
          <w:szCs w:val="20"/>
        </w:rPr>
        <w:drawing>
          <wp:inline distT="0" distB="0" distL="0" distR="0">
            <wp:extent cx="241300" cy="19621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203"/>
                    <a:stretch>
                      <a:fillRect/>
                    </a:stretch>
                  </pic:blipFill>
                  <pic:spPr>
                    <a:xfrm>
                      <a:off x="0" y="0"/>
                      <a:ext cx="241306" cy="196798"/>
                    </a:xfrm>
                    <a:prstGeom prst="rect">
                      <a:avLst/>
                    </a:prstGeom>
                  </pic:spPr>
                </pic:pic>
              </a:graphicData>
            </a:graphic>
          </wp:inline>
        </w:drawing>
      </w:r>
      <w:r>
        <w:rPr>
          <w:rFonts w:ascii="Times New Roman" w:hAnsi="Times New Roman" w:eastAsia="Times New Roman" w:cs="Times New Roman"/>
          <w:color w:val="008EEE"/>
          <w:spacing w:val="-2"/>
          <w:position w:val="-3"/>
          <w:sz w:val="20"/>
          <w:szCs w:val="20"/>
        </w:rPr>
        <w:t xml:space="preserve">3  </w:t>
      </w:r>
      <w:r>
        <w:rPr>
          <w:rFonts w:ascii="Times New Roman" w:hAnsi="Times New Roman" w:eastAsia="Times New Roman" w:cs="Times New Roman"/>
          <w:spacing w:val="-2"/>
          <w:position w:val="-3"/>
          <w:sz w:val="20"/>
          <w:szCs w:val="20"/>
        </w:rPr>
        <w:t>15</w:t>
      </w:r>
    </w:p>
    <w:p w14:paraId="04D8DA92">
      <w:pPr>
        <w:spacing w:line="277" w:lineRule="auto"/>
        <w:rPr>
          <w:rFonts w:ascii="Arial"/>
          <w:sz w:val="21"/>
        </w:rPr>
      </w:pPr>
    </w:p>
    <w:p w14:paraId="52BACB30">
      <w:pPr>
        <w:pStyle w:val="2"/>
        <w:spacing w:before="65" w:line="222" w:lineRule="auto"/>
        <w:ind w:left="512"/>
        <w:rPr>
          <w:rFonts w:ascii="黑体" w:hAnsi="黑体" w:eastAsia="黑体" w:cs="黑体"/>
          <w:sz w:val="20"/>
          <w:szCs w:val="20"/>
        </w:rPr>
      </w:pPr>
      <w:r>
        <w:rPr>
          <w:b/>
          <w:bCs/>
          <w:color w:val="006DDB"/>
          <w:spacing w:val="-3"/>
          <w:sz w:val="20"/>
          <w:szCs w:val="20"/>
        </w:rPr>
        <w:t>3.</w:t>
      </w:r>
      <w:r>
        <w:rPr>
          <w:rFonts w:ascii="黑体" w:hAnsi="黑体" w:eastAsia="黑体" w:cs="黑体"/>
          <w:b/>
          <w:bCs/>
          <w:color w:val="006DDB"/>
          <w:spacing w:val="-3"/>
          <w:sz w:val="20"/>
          <w:szCs w:val="20"/>
        </w:rPr>
        <w:t>索赔事件处理的原则</w:t>
      </w:r>
    </w:p>
    <w:p w14:paraId="684EBC66">
      <w:pPr>
        <w:spacing w:before="231" w:line="226" w:lineRule="auto"/>
        <w:ind w:left="509"/>
        <w:rPr>
          <w:rFonts w:ascii="楷体" w:hAnsi="楷体" w:eastAsia="楷体" w:cs="楷体"/>
          <w:sz w:val="20"/>
          <w:szCs w:val="20"/>
        </w:rPr>
      </w:pPr>
      <w:r>
        <w:rPr>
          <w:rFonts w:ascii="楷体" w:hAnsi="楷体" w:eastAsia="楷体" w:cs="楷体"/>
          <w:spacing w:val="11"/>
          <w:sz w:val="20"/>
          <w:szCs w:val="20"/>
        </w:rPr>
        <w:t>1)预防为主的原则</w:t>
      </w:r>
    </w:p>
    <w:p w14:paraId="19A023BC">
      <w:pPr>
        <w:pStyle w:val="2"/>
        <w:spacing w:before="55" w:line="287" w:lineRule="auto"/>
        <w:ind w:left="100" w:right="328" w:firstLine="409"/>
        <w:rPr>
          <w:sz w:val="20"/>
          <w:szCs w:val="20"/>
        </w:rPr>
      </w:pPr>
      <w:r>
        <w:rPr>
          <w:spacing w:val="3"/>
          <w:sz w:val="20"/>
          <w:szCs w:val="20"/>
        </w:rPr>
        <w:t>任何索赔事件的出现，都会造成项目拖期或成本加大，增加履行合</w:t>
      </w:r>
      <w:r>
        <w:rPr>
          <w:spacing w:val="2"/>
          <w:sz w:val="20"/>
          <w:szCs w:val="20"/>
        </w:rPr>
        <w:t>同的困难，对于业主单</w:t>
      </w:r>
      <w:r>
        <w:rPr>
          <w:sz w:val="20"/>
          <w:szCs w:val="20"/>
        </w:rPr>
        <w:t xml:space="preserve"> </w:t>
      </w:r>
      <w:r>
        <w:rPr>
          <w:spacing w:val="3"/>
          <w:sz w:val="20"/>
          <w:szCs w:val="20"/>
        </w:rPr>
        <w:t>位和承建单位双方来说都是不利的。因此，监理工程师应努力从预防索赔发生着手，洞察项目</w:t>
      </w:r>
      <w:r>
        <w:rPr>
          <w:spacing w:val="4"/>
          <w:sz w:val="20"/>
          <w:szCs w:val="20"/>
        </w:rPr>
        <w:t xml:space="preserve"> </w:t>
      </w:r>
      <w:r>
        <w:rPr>
          <w:spacing w:val="-2"/>
          <w:sz w:val="20"/>
          <w:szCs w:val="20"/>
        </w:rPr>
        <w:t>实施中可能导致索赔的起因，防止或减少索赔事件的出现。</w:t>
      </w:r>
    </w:p>
    <w:p w14:paraId="318E41C3">
      <w:pPr>
        <w:spacing w:before="93" w:line="223" w:lineRule="auto"/>
        <w:ind w:left="509"/>
        <w:rPr>
          <w:rFonts w:ascii="楷体" w:hAnsi="楷体" w:eastAsia="楷体" w:cs="楷体"/>
          <w:sz w:val="20"/>
          <w:szCs w:val="20"/>
        </w:rPr>
      </w:pPr>
      <w:r>
        <w:rPr>
          <w:rFonts w:ascii="楷体" w:hAnsi="楷体" w:eastAsia="楷体" w:cs="楷体"/>
          <w:spacing w:val="9"/>
          <w:sz w:val="20"/>
          <w:szCs w:val="20"/>
        </w:rPr>
        <w:t>2)必须以合同为依据</w:t>
      </w:r>
    </w:p>
    <w:p w14:paraId="00A2DFF9">
      <w:pPr>
        <w:pStyle w:val="2"/>
        <w:spacing w:before="73" w:line="278" w:lineRule="auto"/>
        <w:ind w:left="100" w:right="329" w:firstLine="409"/>
        <w:rPr>
          <w:sz w:val="20"/>
          <w:szCs w:val="20"/>
        </w:rPr>
      </w:pPr>
      <w:r>
        <w:rPr>
          <w:spacing w:val="3"/>
          <w:sz w:val="20"/>
          <w:szCs w:val="20"/>
        </w:rPr>
        <w:t>遇到索赔事件时，监理工程师必须以完全独立的裁判人的身份，站在客观公正的立场</w:t>
      </w:r>
      <w:r>
        <w:rPr>
          <w:spacing w:val="2"/>
          <w:sz w:val="20"/>
          <w:szCs w:val="20"/>
        </w:rPr>
        <w:t>上审</w:t>
      </w:r>
      <w:r>
        <w:rPr>
          <w:sz w:val="20"/>
          <w:szCs w:val="20"/>
        </w:rPr>
        <w:t xml:space="preserve"> </w:t>
      </w:r>
      <w:r>
        <w:rPr>
          <w:spacing w:val="3"/>
          <w:sz w:val="20"/>
          <w:szCs w:val="20"/>
        </w:rPr>
        <w:t>查索赔要求的正当性。必须对合同条件、协议条款等有详细了解，以合同为依据</w:t>
      </w:r>
      <w:r>
        <w:rPr>
          <w:spacing w:val="2"/>
          <w:sz w:val="20"/>
          <w:szCs w:val="20"/>
        </w:rPr>
        <w:t>来公平处理合</w:t>
      </w:r>
      <w:r>
        <w:rPr>
          <w:sz w:val="20"/>
          <w:szCs w:val="20"/>
        </w:rPr>
        <w:t xml:space="preserve"> </w:t>
      </w:r>
      <w:r>
        <w:rPr>
          <w:spacing w:val="-6"/>
          <w:sz w:val="20"/>
          <w:szCs w:val="20"/>
        </w:rPr>
        <w:t>同双方的利益纠纷。</w:t>
      </w:r>
    </w:p>
    <w:p w14:paraId="137CEFF6">
      <w:pPr>
        <w:spacing w:before="113" w:line="224" w:lineRule="auto"/>
        <w:ind w:left="509"/>
        <w:rPr>
          <w:rFonts w:ascii="楷体" w:hAnsi="楷体" w:eastAsia="楷体" w:cs="楷体"/>
          <w:sz w:val="20"/>
          <w:szCs w:val="20"/>
        </w:rPr>
      </w:pPr>
      <w:r>
        <w:rPr>
          <w:rFonts w:ascii="楷体" w:hAnsi="楷体" w:eastAsia="楷体" w:cs="楷体"/>
          <w:spacing w:val="13"/>
          <w:sz w:val="20"/>
          <w:szCs w:val="20"/>
        </w:rPr>
        <w:t>3)公平合理原则</w:t>
      </w:r>
    </w:p>
    <w:p w14:paraId="35EDE0FB">
      <w:pPr>
        <w:pStyle w:val="2"/>
        <w:spacing w:before="91" w:line="264" w:lineRule="auto"/>
        <w:ind w:left="100" w:right="319" w:firstLine="409"/>
        <w:rPr>
          <w:sz w:val="20"/>
          <w:szCs w:val="20"/>
        </w:rPr>
      </w:pPr>
      <w:r>
        <w:rPr>
          <w:spacing w:val="3"/>
          <w:sz w:val="20"/>
          <w:szCs w:val="20"/>
        </w:rPr>
        <w:t>监理工程师处理索赔时，应恪守职业道德，以事实为依据，以合同为准绳，做出公正的决</w:t>
      </w:r>
      <w:r>
        <w:rPr>
          <w:spacing w:val="9"/>
          <w:sz w:val="20"/>
          <w:szCs w:val="20"/>
        </w:rPr>
        <w:t xml:space="preserve"> </w:t>
      </w:r>
      <w:r>
        <w:rPr>
          <w:spacing w:val="-2"/>
          <w:sz w:val="20"/>
          <w:szCs w:val="20"/>
        </w:rPr>
        <w:t>定。合理的索赔应予以批准，不合理的索赔应予以驳回。</w:t>
      </w:r>
    </w:p>
    <w:p w14:paraId="6A60624A">
      <w:pPr>
        <w:spacing w:before="115" w:line="224" w:lineRule="auto"/>
        <w:ind w:left="509"/>
        <w:rPr>
          <w:rFonts w:ascii="楷体" w:hAnsi="楷体" w:eastAsia="楷体" w:cs="楷体"/>
          <w:sz w:val="20"/>
          <w:szCs w:val="20"/>
        </w:rPr>
      </w:pPr>
      <w:r>
        <w:rPr>
          <w:rFonts w:ascii="楷体" w:hAnsi="楷体" w:eastAsia="楷体" w:cs="楷体"/>
          <w:spacing w:val="20"/>
          <w:sz w:val="20"/>
          <w:szCs w:val="20"/>
        </w:rPr>
        <w:t>4)协商原则</w:t>
      </w:r>
    </w:p>
    <w:p w14:paraId="642F4B2A">
      <w:pPr>
        <w:pStyle w:val="2"/>
        <w:spacing w:before="79" w:line="278" w:lineRule="auto"/>
        <w:ind w:left="100" w:right="246" w:firstLine="409"/>
        <w:rPr>
          <w:sz w:val="20"/>
          <w:szCs w:val="20"/>
        </w:rPr>
      </w:pPr>
      <w:r>
        <w:rPr>
          <w:spacing w:val="5"/>
          <w:sz w:val="20"/>
          <w:szCs w:val="20"/>
        </w:rPr>
        <w:t>监理工程师在处理索赔时，应认真研究索赔报告，充分听取业主单位和承建单位的意见，</w:t>
      </w:r>
      <w:r>
        <w:rPr>
          <w:spacing w:val="3"/>
          <w:sz w:val="20"/>
          <w:szCs w:val="20"/>
        </w:rPr>
        <w:t xml:space="preserve"> 主动与双方协商，力求取得一致同意的结果。这样做不仅能圆满处理好索赔事件</w:t>
      </w:r>
      <w:r>
        <w:rPr>
          <w:spacing w:val="2"/>
          <w:sz w:val="20"/>
          <w:szCs w:val="20"/>
        </w:rPr>
        <w:t>，也有利于顺</w:t>
      </w:r>
      <w:r>
        <w:rPr>
          <w:sz w:val="20"/>
          <w:szCs w:val="20"/>
        </w:rPr>
        <w:t xml:space="preserve">  </w:t>
      </w:r>
      <w:r>
        <w:rPr>
          <w:spacing w:val="-1"/>
          <w:sz w:val="20"/>
          <w:szCs w:val="20"/>
        </w:rPr>
        <w:t>利履行和完成合同。当然，在协商不成的情况下，监理工程师有权做出合理决</w:t>
      </w:r>
      <w:r>
        <w:rPr>
          <w:spacing w:val="-2"/>
          <w:sz w:val="20"/>
          <w:szCs w:val="20"/>
        </w:rPr>
        <w:t>定。</w:t>
      </w:r>
    </w:p>
    <w:p w14:paraId="25AAC68F">
      <w:pPr>
        <w:spacing w:before="106" w:line="226" w:lineRule="auto"/>
        <w:ind w:left="509"/>
        <w:rPr>
          <w:rFonts w:ascii="楷体" w:hAnsi="楷体" w:eastAsia="楷体" w:cs="楷体"/>
          <w:sz w:val="20"/>
          <w:szCs w:val="20"/>
        </w:rPr>
      </w:pPr>
      <w:r>
        <w:rPr>
          <w:rFonts w:ascii="楷体" w:hAnsi="楷体" w:eastAsia="楷体" w:cs="楷体"/>
          <w:spacing w:val="20"/>
          <w:sz w:val="20"/>
          <w:szCs w:val="20"/>
        </w:rPr>
        <w:t>5)授权原则</w:t>
      </w:r>
    </w:p>
    <w:p w14:paraId="0D011353">
      <w:pPr>
        <w:pStyle w:val="2"/>
        <w:spacing w:before="57" w:line="280" w:lineRule="auto"/>
        <w:ind w:left="100" w:right="294" w:firstLine="409"/>
        <w:rPr>
          <w:sz w:val="20"/>
          <w:szCs w:val="20"/>
        </w:rPr>
      </w:pPr>
      <w:r>
        <w:rPr>
          <w:spacing w:val="3"/>
          <w:sz w:val="20"/>
          <w:szCs w:val="20"/>
        </w:rPr>
        <w:t>监理工程师处理索赔事件，必须在合同规定、业主单位授权的权限之内，</w:t>
      </w:r>
      <w:r>
        <w:rPr>
          <w:spacing w:val="2"/>
          <w:sz w:val="20"/>
          <w:szCs w:val="20"/>
        </w:rPr>
        <w:t>当索赔金额或延</w:t>
      </w:r>
      <w:r>
        <w:rPr>
          <w:sz w:val="20"/>
          <w:szCs w:val="20"/>
        </w:rPr>
        <w:t xml:space="preserve"> </w:t>
      </w:r>
      <w:r>
        <w:rPr>
          <w:spacing w:val="-1"/>
          <w:sz w:val="20"/>
          <w:szCs w:val="20"/>
        </w:rPr>
        <w:t>长工期时间超出授权范围时，监理工程师应向业主单位报告，在取得新的授权后才能做出决定。</w:t>
      </w:r>
    </w:p>
    <w:p w14:paraId="5C9BF04A">
      <w:pPr>
        <w:spacing w:before="102" w:line="226" w:lineRule="auto"/>
        <w:ind w:left="509"/>
        <w:rPr>
          <w:rFonts w:ascii="楷体" w:hAnsi="楷体" w:eastAsia="楷体" w:cs="楷体"/>
          <w:sz w:val="20"/>
          <w:szCs w:val="20"/>
        </w:rPr>
      </w:pPr>
      <w:r>
        <w:rPr>
          <w:rFonts w:ascii="楷体" w:hAnsi="楷体" w:eastAsia="楷体" w:cs="楷体"/>
          <w:spacing w:val="9"/>
          <w:sz w:val="20"/>
          <w:szCs w:val="20"/>
        </w:rPr>
        <w:t>6)必须注意资料的积累</w:t>
      </w:r>
    </w:p>
    <w:p w14:paraId="1461B7D7">
      <w:pPr>
        <w:pStyle w:val="2"/>
        <w:spacing w:before="57" w:line="279" w:lineRule="auto"/>
        <w:ind w:left="100" w:right="266" w:firstLine="409"/>
        <w:rPr>
          <w:sz w:val="20"/>
          <w:szCs w:val="20"/>
        </w:rPr>
      </w:pPr>
      <w:r>
        <w:rPr>
          <w:spacing w:val="8"/>
          <w:sz w:val="20"/>
          <w:szCs w:val="20"/>
        </w:rPr>
        <w:t>积累一切可能涉及索赔论证的资料，同承建单位、业主单位进行的研究技术问题、进度</w:t>
      </w:r>
      <w:r>
        <w:rPr>
          <w:spacing w:val="6"/>
          <w:sz w:val="20"/>
          <w:szCs w:val="20"/>
        </w:rPr>
        <w:t xml:space="preserve"> </w:t>
      </w:r>
      <w:r>
        <w:rPr>
          <w:spacing w:val="5"/>
          <w:sz w:val="20"/>
          <w:szCs w:val="20"/>
        </w:rPr>
        <w:t>问题和其他重大问题的会议应当做好文字记录，并争取会</w:t>
      </w:r>
      <w:r>
        <w:rPr>
          <w:spacing w:val="4"/>
          <w:sz w:val="20"/>
          <w:szCs w:val="20"/>
        </w:rPr>
        <w:t>议参加者签字，作为正式文档资料。</w:t>
      </w:r>
      <w:r>
        <w:rPr>
          <w:sz w:val="20"/>
          <w:szCs w:val="20"/>
        </w:rPr>
        <w:t xml:space="preserve"> </w:t>
      </w:r>
      <w:r>
        <w:rPr>
          <w:spacing w:val="13"/>
          <w:sz w:val="20"/>
          <w:szCs w:val="20"/>
        </w:rPr>
        <w:t>同时还应建立业务往来的文件编号档案等业务记录制度，做到处理索赔时以事实和数据为</w:t>
      </w:r>
      <w:r>
        <w:rPr>
          <w:spacing w:val="12"/>
          <w:sz w:val="20"/>
          <w:szCs w:val="20"/>
        </w:rPr>
        <w:t xml:space="preserve"> </w:t>
      </w:r>
      <w:r>
        <w:rPr>
          <w:spacing w:val="-3"/>
          <w:sz w:val="20"/>
          <w:szCs w:val="20"/>
        </w:rPr>
        <w:t>依据。</w:t>
      </w:r>
    </w:p>
    <w:p w14:paraId="452C37B0">
      <w:pPr>
        <w:pStyle w:val="2"/>
        <w:spacing w:before="41" w:line="219" w:lineRule="auto"/>
        <w:ind w:left="509"/>
        <w:rPr>
          <w:sz w:val="20"/>
          <w:szCs w:val="20"/>
        </w:rPr>
      </w:pPr>
      <w:r>
        <w:rPr>
          <w:spacing w:val="7"/>
          <w:sz w:val="20"/>
          <w:szCs w:val="20"/>
        </w:rPr>
        <w:t>7)及时、合理地处理索赔</w:t>
      </w:r>
    </w:p>
    <w:p w14:paraId="2EFB2769">
      <w:pPr>
        <w:pStyle w:val="2"/>
        <w:spacing w:before="72" w:line="273" w:lineRule="auto"/>
        <w:ind w:right="312" w:firstLine="509"/>
        <w:rPr>
          <w:sz w:val="20"/>
          <w:szCs w:val="20"/>
        </w:rPr>
      </w:pPr>
      <w:r>
        <w:rPr>
          <w:spacing w:val="5"/>
          <w:sz w:val="20"/>
          <w:szCs w:val="20"/>
        </w:rPr>
        <w:t>索赔发生后必须依据合同的准则及时对单项索赔进行处理。</w:t>
      </w:r>
      <w:r>
        <w:rPr>
          <w:spacing w:val="49"/>
          <w:sz w:val="20"/>
          <w:szCs w:val="20"/>
        </w:rPr>
        <w:t xml:space="preserve"> </w:t>
      </w:r>
      <w:r>
        <w:rPr>
          <w:spacing w:val="5"/>
          <w:sz w:val="20"/>
          <w:szCs w:val="20"/>
        </w:rPr>
        <w:t>一般情况下，</w:t>
      </w:r>
      <w:r>
        <w:rPr>
          <w:spacing w:val="4"/>
          <w:sz w:val="20"/>
          <w:szCs w:val="20"/>
        </w:rPr>
        <w:t>不宜采用所谓</w:t>
      </w:r>
      <w:r>
        <w:rPr>
          <w:sz w:val="20"/>
          <w:szCs w:val="20"/>
        </w:rPr>
        <w:t xml:space="preserve"> </w:t>
      </w:r>
      <w:r>
        <w:rPr>
          <w:spacing w:val="-2"/>
          <w:sz w:val="20"/>
          <w:szCs w:val="20"/>
        </w:rPr>
        <w:t>“一揽子索赔”的处理方式。</w:t>
      </w:r>
    </w:p>
    <w:p w14:paraId="264FF34E">
      <w:pPr>
        <w:spacing w:line="273" w:lineRule="auto"/>
        <w:rPr>
          <w:rFonts w:ascii="Arial"/>
          <w:sz w:val="21"/>
        </w:rPr>
      </w:pPr>
    </w:p>
    <w:p w14:paraId="29D2EA83">
      <w:pPr>
        <w:pStyle w:val="2"/>
        <w:spacing w:before="92" w:line="222" w:lineRule="auto"/>
        <w:ind w:left="104"/>
        <w:rPr>
          <w:rFonts w:ascii="黑体" w:hAnsi="黑体" w:eastAsia="黑体" w:cs="黑体"/>
          <w:sz w:val="28"/>
          <w:szCs w:val="28"/>
        </w:rPr>
      </w:pPr>
      <w:r>
        <w:rPr>
          <w:b/>
          <w:bCs/>
          <w:color w:val="006AD5"/>
          <w:spacing w:val="-4"/>
          <w:sz w:val="28"/>
          <w:szCs w:val="28"/>
        </w:rPr>
        <w:t>13.4</w:t>
      </w:r>
      <w:r>
        <w:rPr>
          <w:color w:val="006AD5"/>
          <w:spacing w:val="-4"/>
          <w:sz w:val="28"/>
          <w:szCs w:val="28"/>
        </w:rPr>
        <w:t xml:space="preserve">  </w:t>
      </w:r>
      <w:r>
        <w:rPr>
          <w:rFonts w:ascii="黑体" w:hAnsi="黑体" w:eastAsia="黑体" w:cs="黑体"/>
          <w:b/>
          <w:bCs/>
          <w:color w:val="006AD5"/>
          <w:spacing w:val="-4"/>
          <w:sz w:val="28"/>
          <w:szCs w:val="28"/>
        </w:rPr>
        <w:t>合同争议的处理</w:t>
      </w:r>
    </w:p>
    <w:p w14:paraId="58F4F0A2">
      <w:pPr>
        <w:pStyle w:val="2"/>
        <w:spacing w:before="243" w:line="272" w:lineRule="auto"/>
        <w:ind w:left="100" w:right="317" w:firstLine="409"/>
        <w:jc w:val="both"/>
        <w:rPr>
          <w:sz w:val="20"/>
          <w:szCs w:val="20"/>
        </w:rPr>
      </w:pPr>
      <w:r>
        <w:rPr>
          <w:spacing w:val="3"/>
          <w:sz w:val="20"/>
          <w:szCs w:val="20"/>
        </w:rPr>
        <w:t>合同争议可以通过调解、向约定的仲裁委员会申请仲裁、向有管辖权的人民法院提起诉讼</w:t>
      </w:r>
      <w:r>
        <w:rPr>
          <w:spacing w:val="10"/>
          <w:sz w:val="20"/>
          <w:szCs w:val="20"/>
        </w:rPr>
        <w:t xml:space="preserve"> </w:t>
      </w:r>
      <w:r>
        <w:rPr>
          <w:spacing w:val="3"/>
          <w:sz w:val="20"/>
          <w:szCs w:val="20"/>
        </w:rPr>
        <w:t>等方式解决。监理工程师在合同签订时，应协助审核合同条款是否清晰明确表达</w:t>
      </w:r>
      <w:r>
        <w:rPr>
          <w:spacing w:val="2"/>
          <w:sz w:val="20"/>
          <w:szCs w:val="20"/>
        </w:rPr>
        <w:t>，避免出现语</w:t>
      </w:r>
      <w:r>
        <w:rPr>
          <w:sz w:val="20"/>
          <w:szCs w:val="20"/>
        </w:rPr>
        <w:t xml:space="preserve"> </w:t>
      </w:r>
      <w:r>
        <w:rPr>
          <w:spacing w:val="3"/>
          <w:sz w:val="20"/>
          <w:szCs w:val="20"/>
        </w:rPr>
        <w:t>义不清的条款。在合同的履行中应注意厘清双方的分工界面，即各自的权利和义务，并</w:t>
      </w:r>
      <w:r>
        <w:rPr>
          <w:spacing w:val="2"/>
          <w:sz w:val="20"/>
          <w:szCs w:val="20"/>
        </w:rPr>
        <w:t>监督双</w:t>
      </w:r>
      <w:r>
        <w:rPr>
          <w:sz w:val="20"/>
          <w:szCs w:val="20"/>
        </w:rPr>
        <w:t xml:space="preserve"> </w:t>
      </w:r>
      <w:r>
        <w:rPr>
          <w:spacing w:val="3"/>
          <w:sz w:val="20"/>
          <w:szCs w:val="20"/>
        </w:rPr>
        <w:t>方落实，尽可能降低争议发生的可能性。当争议发生时，应积极配合争议双方，</w:t>
      </w:r>
      <w:r>
        <w:rPr>
          <w:spacing w:val="2"/>
          <w:sz w:val="20"/>
          <w:szCs w:val="20"/>
        </w:rPr>
        <w:t>通过协商或合</w:t>
      </w:r>
      <w:r>
        <w:rPr>
          <w:sz w:val="20"/>
          <w:szCs w:val="20"/>
        </w:rPr>
        <w:t xml:space="preserve"> </w:t>
      </w:r>
      <w:r>
        <w:rPr>
          <w:spacing w:val="-5"/>
          <w:sz w:val="20"/>
          <w:szCs w:val="20"/>
        </w:rPr>
        <w:t>同中约定的方式来解决争议。</w:t>
      </w:r>
    </w:p>
    <w:p w14:paraId="4530625B">
      <w:pPr>
        <w:spacing w:line="272" w:lineRule="auto"/>
        <w:rPr>
          <w:sz w:val="20"/>
          <w:szCs w:val="20"/>
        </w:rPr>
        <w:sectPr>
          <w:pgSz w:w="10290" w:h="13250"/>
          <w:pgMar w:top="400" w:right="503" w:bottom="400" w:left="1030" w:header="0" w:footer="0" w:gutter="0"/>
          <w:cols w:space="720" w:num="1"/>
        </w:sectPr>
      </w:pPr>
    </w:p>
    <w:p w14:paraId="45EA83BE">
      <w:pPr>
        <w:spacing w:before="107" w:line="202" w:lineRule="exact"/>
        <w:rPr>
          <w:rFonts w:ascii="Times New Roman" w:hAnsi="Times New Roman" w:eastAsia="Times New Roman" w:cs="Times New Roman"/>
          <w:sz w:val="29"/>
          <w:szCs w:val="29"/>
        </w:rPr>
      </w:pPr>
      <w:r>
        <w:rPr>
          <w:rFonts w:ascii="Times New Roman" w:hAnsi="Times New Roman" w:eastAsia="Times New Roman" w:cs="Times New Roman"/>
          <w:b/>
          <w:bCs/>
          <w:spacing w:val="-21"/>
          <w:position w:val="-4"/>
          <w:sz w:val="29"/>
          <w:szCs w:val="29"/>
        </w:rPr>
        <w:t>31</w:t>
      </w:r>
      <w:r>
        <w:rPr>
          <w:rFonts w:ascii="Times New Roman" w:hAnsi="Times New Roman" w:eastAsia="Times New Roman" w:cs="Times New Roman"/>
          <w:b/>
          <w:bCs/>
          <w:color w:val="0094EB"/>
          <w:spacing w:val="-21"/>
          <w:position w:val="-4"/>
          <w:sz w:val="29"/>
          <w:szCs w:val="29"/>
        </w:rPr>
        <w:t>6</w:t>
      </w:r>
    </w:p>
    <w:p w14:paraId="6DB8F108">
      <w:pPr>
        <w:spacing w:line="14" w:lineRule="auto"/>
        <w:rPr>
          <w:rFonts w:ascii="Arial"/>
          <w:sz w:val="2"/>
        </w:rPr>
      </w:pPr>
      <w:r>
        <w:rPr>
          <w:rFonts w:ascii="Arial" w:hAnsi="Arial" w:eastAsia="Arial" w:cs="Arial"/>
          <w:sz w:val="2"/>
          <w:szCs w:val="2"/>
        </w:rPr>
        <w:br w:type="column"/>
      </w:r>
    </w:p>
    <w:p w14:paraId="1B9AC3DD">
      <w:pPr>
        <w:pStyle w:val="2"/>
        <w:spacing w:before="66" w:line="219" w:lineRule="auto"/>
        <w:rPr>
          <w:sz w:val="20"/>
          <w:szCs w:val="20"/>
        </w:rPr>
      </w:pPr>
      <w:r>
        <w:rPr>
          <w:spacing w:val="-1"/>
          <w:sz w:val="20"/>
          <w:szCs w:val="20"/>
        </w:rPr>
        <w:t>信息系统监理师教程(第2版)</w:t>
      </w:r>
    </w:p>
    <w:p w14:paraId="5C69105C">
      <w:pPr>
        <w:spacing w:line="219" w:lineRule="auto"/>
        <w:rPr>
          <w:sz w:val="20"/>
          <w:szCs w:val="20"/>
        </w:rPr>
        <w:sectPr>
          <w:pgSz w:w="10300" w:h="13320"/>
          <w:pgMar w:top="390" w:right="1089" w:bottom="400" w:left="430" w:header="0" w:footer="0" w:gutter="0"/>
          <w:cols w:equalWidth="0" w:num="2">
            <w:col w:w="880" w:space="100"/>
            <w:col w:w="7801"/>
          </w:cols>
        </w:sectPr>
      </w:pPr>
    </w:p>
    <w:p w14:paraId="78540F74">
      <w:pPr>
        <w:spacing w:line="283" w:lineRule="auto"/>
        <w:rPr>
          <w:rFonts w:ascii="Arial"/>
          <w:sz w:val="21"/>
        </w:rPr>
      </w:pPr>
      <w:r>
        <w:drawing>
          <wp:anchor distT="0" distB="0" distL="0" distR="0" simplePos="0" relativeHeight="251765760" behindDoc="0" locked="0" layoutInCell="1" allowOverlap="1">
            <wp:simplePos x="0" y="0"/>
            <wp:positionH relativeFrom="column">
              <wp:posOffset>234315</wp:posOffset>
            </wp:positionH>
            <wp:positionV relativeFrom="paragraph">
              <wp:posOffset>-196215</wp:posOffset>
            </wp:positionV>
            <wp:extent cx="273050" cy="196850"/>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204"/>
                    <a:stretch>
                      <a:fillRect/>
                    </a:stretch>
                  </pic:blipFill>
                  <pic:spPr>
                    <a:xfrm>
                      <a:off x="0" y="0"/>
                      <a:ext cx="273065" cy="196822"/>
                    </a:xfrm>
                    <a:prstGeom prst="rect">
                      <a:avLst/>
                    </a:prstGeom>
                  </pic:spPr>
                </pic:pic>
              </a:graphicData>
            </a:graphic>
          </wp:anchor>
        </w:drawing>
      </w:r>
    </w:p>
    <w:p w14:paraId="2F4BC69F">
      <w:pPr>
        <w:pStyle w:val="2"/>
        <w:spacing w:before="82" w:line="219" w:lineRule="auto"/>
        <w:ind w:left="373"/>
        <w:rPr>
          <w:sz w:val="25"/>
          <w:szCs w:val="25"/>
        </w:rPr>
      </w:pPr>
      <w:r>
        <w:rPr>
          <w:b/>
          <w:bCs/>
          <w:color w:val="0086EE"/>
          <w:spacing w:val="-14"/>
          <w:sz w:val="25"/>
          <w:szCs w:val="25"/>
        </w:rPr>
        <w:t>13.4.1</w:t>
      </w:r>
      <w:r>
        <w:rPr>
          <w:color w:val="0086EE"/>
          <w:spacing w:val="71"/>
          <w:sz w:val="25"/>
          <w:szCs w:val="25"/>
        </w:rPr>
        <w:t xml:space="preserve"> </w:t>
      </w:r>
      <w:r>
        <w:rPr>
          <w:b/>
          <w:bCs/>
          <w:color w:val="0086EE"/>
          <w:spacing w:val="-14"/>
          <w:sz w:val="25"/>
          <w:szCs w:val="25"/>
        </w:rPr>
        <w:t>合同争议概述</w:t>
      </w:r>
    </w:p>
    <w:p w14:paraId="2DC2CE1A">
      <w:pPr>
        <w:pStyle w:val="2"/>
        <w:spacing w:before="260" w:line="221" w:lineRule="auto"/>
        <w:ind w:left="762"/>
        <w:rPr>
          <w:rFonts w:ascii="黑体" w:hAnsi="黑体" w:eastAsia="黑体" w:cs="黑体"/>
          <w:sz w:val="20"/>
          <w:szCs w:val="20"/>
        </w:rPr>
      </w:pPr>
      <w:r>
        <w:rPr>
          <w:b/>
          <w:bCs/>
          <w:color w:val="007DD1"/>
          <w:spacing w:val="-2"/>
          <w:sz w:val="20"/>
          <w:szCs w:val="20"/>
        </w:rPr>
        <w:t>1.</w:t>
      </w:r>
      <w:r>
        <w:rPr>
          <w:rFonts w:ascii="黑体" w:hAnsi="黑体" w:eastAsia="黑体" w:cs="黑体"/>
          <w:b/>
          <w:bCs/>
          <w:color w:val="007DD1"/>
          <w:spacing w:val="-2"/>
          <w:sz w:val="20"/>
          <w:szCs w:val="20"/>
        </w:rPr>
        <w:t>合同争议的概念</w:t>
      </w:r>
    </w:p>
    <w:p w14:paraId="4941989A">
      <w:pPr>
        <w:pStyle w:val="2"/>
        <w:spacing w:before="158" w:line="281" w:lineRule="auto"/>
        <w:ind w:left="369" w:firstLine="389"/>
        <w:jc w:val="both"/>
        <w:rPr>
          <w:sz w:val="20"/>
          <w:szCs w:val="20"/>
        </w:rPr>
      </w:pPr>
      <w:r>
        <w:rPr>
          <w:spacing w:val="3"/>
          <w:sz w:val="20"/>
          <w:szCs w:val="20"/>
        </w:rPr>
        <w:t>所谓合同争议，是指合同当事人对于自己与他人之间的权利行使、义务履行与利益分配有</w:t>
      </w:r>
      <w:r>
        <w:rPr>
          <w:spacing w:val="6"/>
          <w:sz w:val="20"/>
          <w:szCs w:val="20"/>
        </w:rPr>
        <w:t xml:space="preserve">  </w:t>
      </w:r>
      <w:r>
        <w:rPr>
          <w:spacing w:val="3"/>
          <w:sz w:val="20"/>
          <w:szCs w:val="20"/>
        </w:rPr>
        <w:t>不同的观点、意见、请求的法律事实。具体地说，合同争议是指合同的当事人双方在签订、履</w:t>
      </w:r>
      <w:r>
        <w:rPr>
          <w:spacing w:val="14"/>
          <w:sz w:val="20"/>
          <w:szCs w:val="20"/>
        </w:rPr>
        <w:t xml:space="preserve"> </w:t>
      </w:r>
      <w:r>
        <w:rPr>
          <w:sz w:val="20"/>
          <w:szCs w:val="20"/>
        </w:rPr>
        <w:t>行和终止合同的过程中，对所订立的合同是否成立、生效、合同成立的时间、合同内容的解释、</w:t>
      </w:r>
      <w:r>
        <w:rPr>
          <w:spacing w:val="9"/>
          <w:sz w:val="20"/>
          <w:szCs w:val="20"/>
        </w:rPr>
        <w:t xml:space="preserve"> </w:t>
      </w:r>
      <w:r>
        <w:rPr>
          <w:spacing w:val="3"/>
          <w:sz w:val="20"/>
          <w:szCs w:val="20"/>
        </w:rPr>
        <w:t>合同的履行、合同责任的承担以及合同的变更、解除、转让等有关事项产生的纠纷。尽管合同</w:t>
      </w:r>
      <w:r>
        <w:rPr>
          <w:spacing w:val="2"/>
          <w:sz w:val="20"/>
          <w:szCs w:val="20"/>
        </w:rPr>
        <w:t xml:space="preserve">  </w:t>
      </w:r>
      <w:r>
        <w:rPr>
          <w:spacing w:val="3"/>
          <w:sz w:val="20"/>
          <w:szCs w:val="20"/>
        </w:rPr>
        <w:t>是在双方当事人意思表示一致的基础上订立的，但由于当事人所处地位不同，从不同的立场出</w:t>
      </w:r>
      <w:r>
        <w:rPr>
          <w:spacing w:val="10"/>
          <w:sz w:val="20"/>
          <w:szCs w:val="20"/>
        </w:rPr>
        <w:t xml:space="preserve"> </w:t>
      </w:r>
      <w:r>
        <w:rPr>
          <w:spacing w:val="-1"/>
          <w:sz w:val="20"/>
          <w:szCs w:val="20"/>
        </w:rPr>
        <w:t>发，对某些问题的认识往往会得出相互冲突的结论，因此，发生合同争议在所</w:t>
      </w:r>
      <w:r>
        <w:rPr>
          <w:spacing w:val="-2"/>
          <w:sz w:val="20"/>
          <w:szCs w:val="20"/>
        </w:rPr>
        <w:t>难免。</w:t>
      </w:r>
    </w:p>
    <w:p w14:paraId="304EE0E5">
      <w:pPr>
        <w:pStyle w:val="2"/>
        <w:spacing w:before="67" w:line="288" w:lineRule="auto"/>
        <w:ind w:left="369" w:right="20" w:firstLine="389"/>
        <w:jc w:val="both"/>
        <w:rPr>
          <w:sz w:val="17"/>
          <w:szCs w:val="17"/>
        </w:rPr>
      </w:pPr>
      <w:r>
        <w:rPr>
          <w:spacing w:val="3"/>
          <w:sz w:val="20"/>
          <w:szCs w:val="20"/>
        </w:rPr>
        <w:t>合同关系的实质是通过设定当事人的权利义务在合同当事人之间进行资源配置。而在法律</w:t>
      </w:r>
      <w:r>
        <w:rPr>
          <w:spacing w:val="10"/>
          <w:sz w:val="20"/>
          <w:szCs w:val="20"/>
        </w:rPr>
        <w:t xml:space="preserve"> </w:t>
      </w:r>
      <w:r>
        <w:rPr>
          <w:spacing w:val="6"/>
          <w:sz w:val="20"/>
          <w:szCs w:val="20"/>
        </w:rPr>
        <w:t>设定的权利框架中，权利与义务是互相对称的。</w:t>
      </w:r>
      <w:r>
        <w:rPr>
          <w:spacing w:val="51"/>
          <w:sz w:val="20"/>
          <w:szCs w:val="20"/>
        </w:rPr>
        <w:t xml:space="preserve"> </w:t>
      </w:r>
      <w:r>
        <w:rPr>
          <w:spacing w:val="6"/>
          <w:sz w:val="20"/>
          <w:szCs w:val="20"/>
        </w:rPr>
        <w:t>一方的权利即是另一方的义务，反之</w:t>
      </w:r>
      <w:r>
        <w:rPr>
          <w:spacing w:val="5"/>
          <w:sz w:val="20"/>
          <w:szCs w:val="20"/>
        </w:rPr>
        <w:t>亦然。</w:t>
      </w:r>
      <w:r>
        <w:rPr>
          <w:sz w:val="20"/>
          <w:szCs w:val="20"/>
        </w:rPr>
        <w:t xml:space="preserve"> </w:t>
      </w:r>
      <w:r>
        <w:rPr>
          <w:spacing w:val="10"/>
          <w:sz w:val="20"/>
          <w:szCs w:val="20"/>
        </w:rPr>
        <w:t>一旦义务人怠于或拒绝履行自己应尽的义务，则其与权利人之间</w:t>
      </w:r>
      <w:r>
        <w:rPr>
          <w:spacing w:val="9"/>
          <w:sz w:val="20"/>
          <w:szCs w:val="20"/>
        </w:rPr>
        <w:t>的法律纠纷势必在所难免。</w:t>
      </w:r>
      <w:r>
        <w:rPr>
          <w:sz w:val="20"/>
          <w:szCs w:val="20"/>
        </w:rPr>
        <w:t xml:space="preserve"> </w:t>
      </w:r>
      <w:r>
        <w:rPr>
          <w:spacing w:val="8"/>
          <w:sz w:val="20"/>
          <w:szCs w:val="20"/>
        </w:rPr>
        <w:t>在某些情况下，合同法律关系当事人都无意违反法律或者合同的约定，但由于他们对于引发</w:t>
      </w:r>
      <w:r>
        <w:rPr>
          <w:spacing w:val="17"/>
          <w:sz w:val="20"/>
          <w:szCs w:val="20"/>
        </w:rPr>
        <w:t xml:space="preserve"> </w:t>
      </w:r>
      <w:r>
        <w:rPr>
          <w:spacing w:val="3"/>
          <w:sz w:val="20"/>
          <w:szCs w:val="20"/>
        </w:rPr>
        <w:t>相互间法律关系的法律事实有着不同的看法和理解，也容易产生合同争议。在某些情况下，由</w:t>
      </w:r>
      <w:r>
        <w:rPr>
          <w:spacing w:val="9"/>
          <w:sz w:val="20"/>
          <w:szCs w:val="20"/>
        </w:rPr>
        <w:t xml:space="preserve"> </w:t>
      </w:r>
      <w:r>
        <w:rPr>
          <w:spacing w:val="3"/>
          <w:sz w:val="20"/>
          <w:szCs w:val="20"/>
        </w:rPr>
        <w:t>于合同立法中法律漏洞的存在，也会导致当事人对于合同法律关系和合同法律事实的</w:t>
      </w:r>
      <w:r>
        <w:rPr>
          <w:spacing w:val="2"/>
          <w:sz w:val="20"/>
          <w:szCs w:val="20"/>
        </w:rPr>
        <w:t>解释互不</w:t>
      </w:r>
      <w:r>
        <w:rPr>
          <w:sz w:val="20"/>
          <w:szCs w:val="20"/>
        </w:rPr>
        <w:t xml:space="preserve"> </w:t>
      </w:r>
      <w:r>
        <w:rPr>
          <w:spacing w:val="-6"/>
          <w:sz w:val="17"/>
          <w:szCs w:val="17"/>
        </w:rPr>
        <w:t>一</w:t>
      </w:r>
      <w:r>
        <w:rPr>
          <w:spacing w:val="-23"/>
          <w:sz w:val="17"/>
          <w:szCs w:val="17"/>
        </w:rPr>
        <w:t xml:space="preserve"> </w:t>
      </w:r>
      <w:r>
        <w:rPr>
          <w:spacing w:val="-6"/>
          <w:sz w:val="17"/>
          <w:szCs w:val="17"/>
        </w:rPr>
        <w:t>致</w:t>
      </w:r>
      <w:r>
        <w:rPr>
          <w:spacing w:val="-31"/>
          <w:sz w:val="17"/>
          <w:szCs w:val="17"/>
        </w:rPr>
        <w:t xml:space="preserve"> </w:t>
      </w:r>
      <w:r>
        <w:rPr>
          <w:spacing w:val="-6"/>
          <w:sz w:val="17"/>
          <w:szCs w:val="17"/>
        </w:rPr>
        <w:t>。</w:t>
      </w:r>
    </w:p>
    <w:p w14:paraId="7B21161E">
      <w:pPr>
        <w:pStyle w:val="2"/>
        <w:spacing w:before="54" w:line="219" w:lineRule="auto"/>
        <w:ind w:left="759"/>
        <w:rPr>
          <w:sz w:val="20"/>
          <w:szCs w:val="20"/>
        </w:rPr>
      </w:pPr>
      <w:r>
        <w:rPr>
          <w:spacing w:val="-1"/>
          <w:sz w:val="20"/>
          <w:szCs w:val="20"/>
        </w:rPr>
        <w:t>总之，有合同活动，就伴随着合同争议。丝毫不产生合同争议的市场经济社会是不存</w:t>
      </w:r>
      <w:r>
        <w:rPr>
          <w:spacing w:val="-2"/>
          <w:sz w:val="20"/>
          <w:szCs w:val="20"/>
        </w:rPr>
        <w:t>在的。</w:t>
      </w:r>
    </w:p>
    <w:p w14:paraId="23A4E9B1">
      <w:pPr>
        <w:pStyle w:val="2"/>
        <w:spacing w:before="173" w:line="222" w:lineRule="auto"/>
        <w:ind w:left="759"/>
        <w:rPr>
          <w:rFonts w:ascii="黑体" w:hAnsi="黑体" w:eastAsia="黑体" w:cs="黑体"/>
          <w:sz w:val="20"/>
          <w:szCs w:val="20"/>
        </w:rPr>
      </w:pPr>
      <w:r>
        <w:rPr>
          <w:color w:val="007CD0"/>
          <w:spacing w:val="3"/>
          <w:sz w:val="20"/>
          <w:szCs w:val="20"/>
        </w:rPr>
        <w:t>2.</w:t>
      </w:r>
      <w:r>
        <w:rPr>
          <w:rFonts w:ascii="黑体" w:hAnsi="黑体" w:eastAsia="黑体" w:cs="黑体"/>
          <w:color w:val="007CD0"/>
          <w:spacing w:val="3"/>
          <w:sz w:val="20"/>
          <w:szCs w:val="20"/>
        </w:rPr>
        <w:t>合同争议的特点</w:t>
      </w:r>
    </w:p>
    <w:p w14:paraId="4A4C8A24">
      <w:pPr>
        <w:pStyle w:val="2"/>
        <w:spacing w:before="139" w:line="264" w:lineRule="auto"/>
        <w:ind w:left="369" w:right="88" w:firstLine="389"/>
        <w:rPr>
          <w:sz w:val="20"/>
          <w:szCs w:val="20"/>
        </w:rPr>
      </w:pPr>
      <w:r>
        <w:rPr>
          <w:spacing w:val="3"/>
          <w:sz w:val="20"/>
          <w:szCs w:val="20"/>
        </w:rPr>
        <w:t>合同争议发生于合同的订立、履行、变更、解释，以及合同权利的行使过程中。如果某一</w:t>
      </w:r>
      <w:r>
        <w:rPr>
          <w:spacing w:val="13"/>
          <w:sz w:val="20"/>
          <w:szCs w:val="20"/>
        </w:rPr>
        <w:t xml:space="preserve"> </w:t>
      </w:r>
      <w:r>
        <w:rPr>
          <w:spacing w:val="-1"/>
          <w:sz w:val="20"/>
          <w:szCs w:val="20"/>
        </w:rPr>
        <w:t>争议虽然与合同有关系，但不是发生于上述过程中，</w:t>
      </w:r>
      <w:r>
        <w:rPr>
          <w:spacing w:val="-2"/>
          <w:sz w:val="20"/>
          <w:szCs w:val="20"/>
        </w:rPr>
        <w:t>就不构成合同争议。</w:t>
      </w:r>
    </w:p>
    <w:p w14:paraId="3B293394">
      <w:pPr>
        <w:pStyle w:val="2"/>
        <w:spacing w:before="38" w:line="304" w:lineRule="auto"/>
        <w:ind w:left="369" w:right="111" w:firstLine="389"/>
        <w:rPr>
          <w:sz w:val="17"/>
          <w:szCs w:val="17"/>
        </w:rPr>
      </w:pPr>
      <w:r>
        <w:rPr>
          <w:spacing w:val="3"/>
          <w:sz w:val="20"/>
          <w:szCs w:val="20"/>
        </w:rPr>
        <w:t>合同争议的主体双方须是合同法律关系的主体。此类主体既包括自</w:t>
      </w:r>
      <w:r>
        <w:rPr>
          <w:spacing w:val="2"/>
          <w:sz w:val="20"/>
          <w:szCs w:val="20"/>
        </w:rPr>
        <w:t>然人，也包括法人和其</w:t>
      </w:r>
      <w:r>
        <w:rPr>
          <w:sz w:val="20"/>
          <w:szCs w:val="20"/>
        </w:rPr>
        <w:t xml:space="preserve"> </w:t>
      </w:r>
      <w:r>
        <w:rPr>
          <w:spacing w:val="19"/>
          <w:sz w:val="17"/>
          <w:szCs w:val="17"/>
        </w:rPr>
        <w:t>他组织</w:t>
      </w:r>
      <w:r>
        <w:rPr>
          <w:spacing w:val="-43"/>
          <w:sz w:val="17"/>
          <w:szCs w:val="17"/>
        </w:rPr>
        <w:t xml:space="preserve"> </w:t>
      </w:r>
      <w:r>
        <w:rPr>
          <w:spacing w:val="19"/>
          <w:sz w:val="17"/>
          <w:szCs w:val="17"/>
        </w:rPr>
        <w:t>。</w:t>
      </w:r>
    </w:p>
    <w:p w14:paraId="1882D7B8">
      <w:pPr>
        <w:pStyle w:val="2"/>
        <w:spacing w:before="22" w:line="273" w:lineRule="auto"/>
        <w:ind w:left="369" w:right="110" w:firstLine="389"/>
        <w:rPr>
          <w:sz w:val="20"/>
          <w:szCs w:val="20"/>
        </w:rPr>
      </w:pPr>
      <w:r>
        <w:rPr>
          <w:spacing w:val="3"/>
          <w:sz w:val="20"/>
          <w:szCs w:val="20"/>
        </w:rPr>
        <w:t>合同争议的内容主要表现在争议主体对于导致合同法律关系产生、变</w:t>
      </w:r>
      <w:r>
        <w:rPr>
          <w:spacing w:val="2"/>
          <w:sz w:val="20"/>
          <w:szCs w:val="20"/>
        </w:rPr>
        <w:t>更与消灭的法律事实</w:t>
      </w:r>
      <w:r>
        <w:rPr>
          <w:sz w:val="20"/>
          <w:szCs w:val="20"/>
        </w:rPr>
        <w:t xml:space="preserve"> </w:t>
      </w:r>
      <w:r>
        <w:rPr>
          <w:spacing w:val="-3"/>
          <w:sz w:val="20"/>
          <w:szCs w:val="20"/>
        </w:rPr>
        <w:t>以及法律关系的内容有着不同的观点与看法。</w:t>
      </w:r>
    </w:p>
    <w:p w14:paraId="7DB2EF9C">
      <w:pPr>
        <w:pStyle w:val="2"/>
        <w:spacing w:before="167" w:line="219" w:lineRule="auto"/>
        <w:ind w:left="372"/>
        <w:rPr>
          <w:sz w:val="25"/>
          <w:szCs w:val="25"/>
        </w:rPr>
      </w:pPr>
      <w:r>
        <w:rPr>
          <w:b/>
          <w:bCs/>
          <w:color w:val="007AE6"/>
          <w:spacing w:val="-18"/>
          <w:sz w:val="25"/>
          <w:szCs w:val="25"/>
        </w:rPr>
        <w:t>13.4.2</w:t>
      </w:r>
      <w:r>
        <w:rPr>
          <w:color w:val="007AE6"/>
          <w:spacing w:val="-18"/>
          <w:sz w:val="25"/>
          <w:szCs w:val="25"/>
        </w:rPr>
        <w:t xml:space="preserve">  </w:t>
      </w:r>
      <w:r>
        <w:rPr>
          <w:b/>
          <w:bCs/>
          <w:color w:val="007AE6"/>
          <w:spacing w:val="-18"/>
          <w:sz w:val="25"/>
          <w:szCs w:val="25"/>
        </w:rPr>
        <w:t>合同争议的起因</w:t>
      </w:r>
    </w:p>
    <w:p w14:paraId="5B413B9C">
      <w:pPr>
        <w:pStyle w:val="2"/>
        <w:spacing w:before="251" w:line="222" w:lineRule="auto"/>
        <w:ind w:left="762"/>
        <w:rPr>
          <w:rFonts w:ascii="黑体" w:hAnsi="黑体" w:eastAsia="黑体" w:cs="黑体"/>
          <w:sz w:val="20"/>
          <w:szCs w:val="20"/>
        </w:rPr>
      </w:pPr>
      <w:r>
        <w:rPr>
          <w:b/>
          <w:bCs/>
          <w:color w:val="0075CF"/>
          <w:spacing w:val="-2"/>
          <w:sz w:val="20"/>
          <w:szCs w:val="20"/>
        </w:rPr>
        <w:t>1.</w:t>
      </w:r>
      <w:r>
        <w:rPr>
          <w:rFonts w:ascii="黑体" w:hAnsi="黑体" w:eastAsia="黑体" w:cs="黑体"/>
          <w:b/>
          <w:bCs/>
          <w:color w:val="0075CF"/>
          <w:spacing w:val="-2"/>
          <w:sz w:val="20"/>
          <w:szCs w:val="20"/>
        </w:rPr>
        <w:t>业主单位违约引起的合同争议</w:t>
      </w:r>
    </w:p>
    <w:p w14:paraId="4F53082C">
      <w:pPr>
        <w:pStyle w:val="2"/>
        <w:spacing w:before="153" w:line="277" w:lineRule="auto"/>
        <w:ind w:left="369" w:right="71" w:firstLine="389"/>
        <w:jc w:val="both"/>
        <w:rPr>
          <w:sz w:val="20"/>
          <w:szCs w:val="20"/>
        </w:rPr>
      </w:pPr>
      <w:r>
        <w:rPr>
          <w:spacing w:val="3"/>
          <w:sz w:val="20"/>
          <w:szCs w:val="20"/>
        </w:rPr>
        <w:t>当业主单位违约导致合同最终解除时，监理单位应就承建单位按实施合同规定应得到的款</w:t>
      </w:r>
      <w:r>
        <w:rPr>
          <w:spacing w:val="10"/>
          <w:sz w:val="20"/>
          <w:szCs w:val="20"/>
        </w:rPr>
        <w:t xml:space="preserve"> </w:t>
      </w:r>
      <w:r>
        <w:rPr>
          <w:spacing w:val="3"/>
          <w:sz w:val="20"/>
          <w:szCs w:val="20"/>
        </w:rPr>
        <w:t>项，与业主单位和承建单位进行协商，并应按合同的规定从下列应得的款项中确定承建单位应</w:t>
      </w:r>
      <w:r>
        <w:rPr>
          <w:spacing w:val="14"/>
          <w:sz w:val="20"/>
          <w:szCs w:val="20"/>
        </w:rPr>
        <w:t xml:space="preserve"> </w:t>
      </w:r>
      <w:r>
        <w:rPr>
          <w:spacing w:val="-3"/>
          <w:sz w:val="20"/>
          <w:szCs w:val="20"/>
        </w:rPr>
        <w:t>得到的全部款项，并书面通知业主单位和承建单位：</w:t>
      </w:r>
    </w:p>
    <w:p w14:paraId="176717DB">
      <w:pPr>
        <w:pStyle w:val="2"/>
        <w:spacing w:before="31" w:line="219" w:lineRule="auto"/>
        <w:ind w:left="759"/>
        <w:rPr>
          <w:sz w:val="20"/>
          <w:szCs w:val="20"/>
        </w:rPr>
      </w:pPr>
      <w:r>
        <w:rPr>
          <w:spacing w:val="1"/>
          <w:sz w:val="20"/>
          <w:szCs w:val="20"/>
        </w:rPr>
        <w:t>(1)承建单位已完成的项目工作量表中所列的各项工作所应得的款项；</w:t>
      </w:r>
    </w:p>
    <w:p w14:paraId="13D95200">
      <w:pPr>
        <w:pStyle w:val="2"/>
        <w:spacing w:before="71" w:line="219" w:lineRule="auto"/>
        <w:ind w:left="759"/>
        <w:rPr>
          <w:sz w:val="20"/>
          <w:szCs w:val="20"/>
        </w:rPr>
      </w:pPr>
      <w:r>
        <w:rPr>
          <w:spacing w:val="2"/>
          <w:sz w:val="20"/>
          <w:szCs w:val="20"/>
        </w:rPr>
        <w:t>(2)按批准的采购计划订购项目材料、设备、产</w:t>
      </w:r>
      <w:r>
        <w:rPr>
          <w:spacing w:val="1"/>
          <w:sz w:val="20"/>
          <w:szCs w:val="20"/>
        </w:rPr>
        <w:t>品的款项；</w:t>
      </w:r>
    </w:p>
    <w:p w14:paraId="6856B742">
      <w:pPr>
        <w:pStyle w:val="2"/>
        <w:spacing w:before="74" w:line="219" w:lineRule="auto"/>
        <w:ind w:left="759"/>
        <w:rPr>
          <w:sz w:val="20"/>
          <w:szCs w:val="20"/>
        </w:rPr>
      </w:pPr>
      <w:r>
        <w:rPr>
          <w:spacing w:val="2"/>
          <w:sz w:val="20"/>
          <w:szCs w:val="20"/>
        </w:rPr>
        <w:t>(3)承建单位所有人员的合理费用；</w:t>
      </w:r>
    </w:p>
    <w:p w14:paraId="1831C433">
      <w:pPr>
        <w:pStyle w:val="2"/>
        <w:spacing w:before="63" w:line="220" w:lineRule="auto"/>
        <w:ind w:left="759"/>
        <w:rPr>
          <w:sz w:val="20"/>
          <w:szCs w:val="20"/>
        </w:rPr>
      </w:pPr>
      <w:r>
        <w:rPr>
          <w:spacing w:val="5"/>
          <w:sz w:val="20"/>
          <w:szCs w:val="20"/>
        </w:rPr>
        <w:t>(4)合理的利润补偿；</w:t>
      </w:r>
    </w:p>
    <w:p w14:paraId="387E2335">
      <w:pPr>
        <w:pStyle w:val="2"/>
        <w:spacing w:before="62" w:line="184" w:lineRule="auto"/>
        <w:ind w:left="759"/>
        <w:rPr>
          <w:sz w:val="20"/>
          <w:szCs w:val="20"/>
        </w:rPr>
      </w:pPr>
      <w:r>
        <w:rPr>
          <w:spacing w:val="3"/>
          <w:sz w:val="20"/>
          <w:szCs w:val="20"/>
        </w:rPr>
        <w:t>(5)合同规定的业主单位应支付的违约金。</w:t>
      </w:r>
    </w:p>
    <w:p w14:paraId="510C3952">
      <w:pPr>
        <w:spacing w:line="184" w:lineRule="auto"/>
        <w:rPr>
          <w:sz w:val="20"/>
          <w:szCs w:val="20"/>
        </w:rPr>
        <w:sectPr>
          <w:type w:val="continuous"/>
          <w:pgSz w:w="10300" w:h="13320"/>
          <w:pgMar w:top="390" w:right="1089" w:bottom="400" w:left="430" w:header="0" w:footer="0" w:gutter="0"/>
          <w:cols w:equalWidth="0" w:num="1">
            <w:col w:w="8780"/>
          </w:cols>
        </w:sectPr>
      </w:pPr>
    </w:p>
    <w:p w14:paraId="463F2F37">
      <w:pPr>
        <w:pStyle w:val="2"/>
        <w:spacing w:before="67" w:line="220" w:lineRule="auto"/>
        <w:jc w:val="right"/>
        <w:rPr>
          <w:rFonts w:ascii="Times New Roman" w:hAnsi="Times New Roman" w:eastAsia="Times New Roman" w:cs="Times New Roman"/>
          <w:sz w:val="20"/>
          <w:szCs w:val="20"/>
        </w:rPr>
      </w:pPr>
      <w:r>
        <w:rPr>
          <w:sz w:val="20"/>
          <w:szCs w:val="20"/>
        </w:rPr>
        <w:t xml:space="preserve">第13章 合同管理      </w:t>
      </w:r>
      <w:r>
        <w:rPr>
          <w:rFonts w:ascii="Times New Roman" w:hAnsi="Times New Roman" w:eastAsia="Times New Roman" w:cs="Times New Roman"/>
          <w:position w:val="-2"/>
          <w:sz w:val="20"/>
          <w:szCs w:val="20"/>
        </w:rPr>
        <w:t>317</w:t>
      </w:r>
    </w:p>
    <w:p w14:paraId="1B7E7743">
      <w:pPr>
        <w:spacing w:line="296" w:lineRule="auto"/>
        <w:rPr>
          <w:rFonts w:ascii="Arial"/>
          <w:sz w:val="21"/>
        </w:rPr>
      </w:pPr>
    </w:p>
    <w:p w14:paraId="1D0B6F6D">
      <w:pPr>
        <w:pStyle w:val="2"/>
        <w:spacing w:before="65" w:line="222" w:lineRule="auto"/>
        <w:ind w:left="402"/>
        <w:rPr>
          <w:rFonts w:ascii="黑体" w:hAnsi="黑体" w:eastAsia="黑体" w:cs="黑体"/>
          <w:sz w:val="20"/>
          <w:szCs w:val="20"/>
        </w:rPr>
      </w:pPr>
      <w:r>
        <w:rPr>
          <w:b/>
          <w:bCs/>
          <w:color w:val="0078D5"/>
          <w:spacing w:val="-4"/>
          <w:sz w:val="20"/>
          <w:szCs w:val="20"/>
        </w:rPr>
        <w:t>2.</w:t>
      </w:r>
      <w:r>
        <w:rPr>
          <w:rFonts w:ascii="黑体" w:hAnsi="黑体" w:eastAsia="黑体" w:cs="黑体"/>
          <w:b/>
          <w:bCs/>
          <w:color w:val="0078D5"/>
          <w:spacing w:val="-4"/>
          <w:sz w:val="20"/>
          <w:szCs w:val="20"/>
        </w:rPr>
        <w:t>承建单位违约引起的合同争议</w:t>
      </w:r>
    </w:p>
    <w:p w14:paraId="5353A9A2">
      <w:pPr>
        <w:pStyle w:val="2"/>
        <w:spacing w:before="143" w:line="272" w:lineRule="auto"/>
        <w:ind w:right="313" w:firstLine="399"/>
        <w:rPr>
          <w:sz w:val="20"/>
          <w:szCs w:val="20"/>
        </w:rPr>
      </w:pPr>
      <w:r>
        <w:rPr>
          <w:spacing w:val="3"/>
          <w:sz w:val="20"/>
          <w:szCs w:val="20"/>
        </w:rPr>
        <w:t>由于承建单位违约导致合同终止后，监理单</w:t>
      </w:r>
      <w:r>
        <w:rPr>
          <w:spacing w:val="2"/>
          <w:sz w:val="20"/>
          <w:szCs w:val="20"/>
        </w:rPr>
        <w:t>位应按下列程序清理承建单位的应得款项或应</w:t>
      </w:r>
      <w:r>
        <w:rPr>
          <w:sz w:val="20"/>
          <w:szCs w:val="20"/>
        </w:rPr>
        <w:t xml:space="preserve"> </w:t>
      </w:r>
      <w:r>
        <w:rPr>
          <w:spacing w:val="-2"/>
          <w:sz w:val="20"/>
          <w:szCs w:val="20"/>
        </w:rPr>
        <w:t>偿还业主单位的相关款项，并书面通知业主单位和承建单位：</w:t>
      </w:r>
    </w:p>
    <w:p w14:paraId="20C04D7A">
      <w:pPr>
        <w:pStyle w:val="2"/>
        <w:spacing w:before="41" w:line="257" w:lineRule="auto"/>
        <w:ind w:right="291" w:firstLine="399"/>
        <w:rPr>
          <w:sz w:val="20"/>
          <w:szCs w:val="20"/>
        </w:rPr>
      </w:pPr>
      <w:r>
        <w:rPr>
          <w:spacing w:val="6"/>
          <w:sz w:val="20"/>
          <w:szCs w:val="20"/>
        </w:rPr>
        <w:t>(1)合同终止时，清理承建单位已按合同</w:t>
      </w:r>
      <w:r>
        <w:rPr>
          <w:spacing w:val="5"/>
          <w:sz w:val="20"/>
          <w:szCs w:val="20"/>
        </w:rPr>
        <w:t>规定实际完成的工作所应得的款项和已经得到支</w:t>
      </w:r>
      <w:r>
        <w:rPr>
          <w:sz w:val="20"/>
          <w:szCs w:val="20"/>
        </w:rPr>
        <w:t xml:space="preserve"> </w:t>
      </w:r>
      <w:r>
        <w:rPr>
          <w:spacing w:val="-9"/>
          <w:sz w:val="20"/>
          <w:szCs w:val="20"/>
        </w:rPr>
        <w:t>付的款项；</w:t>
      </w:r>
    </w:p>
    <w:p w14:paraId="6D392E90">
      <w:pPr>
        <w:pStyle w:val="2"/>
        <w:spacing w:before="70" w:line="218" w:lineRule="auto"/>
        <w:ind w:left="399"/>
        <w:rPr>
          <w:sz w:val="20"/>
          <w:szCs w:val="20"/>
        </w:rPr>
      </w:pPr>
      <w:r>
        <w:rPr>
          <w:spacing w:val="5"/>
          <w:sz w:val="20"/>
          <w:szCs w:val="20"/>
        </w:rPr>
        <w:t>(2)统计实施现场遗留的可再利用的产品</w:t>
      </w:r>
      <w:r>
        <w:rPr>
          <w:spacing w:val="4"/>
          <w:sz w:val="20"/>
          <w:szCs w:val="20"/>
        </w:rPr>
        <w:t>材料、设备的价值(对硬件、网络而言);</w:t>
      </w:r>
    </w:p>
    <w:p w14:paraId="5204AE16">
      <w:pPr>
        <w:pStyle w:val="2"/>
        <w:spacing w:before="76" w:line="253" w:lineRule="auto"/>
        <w:ind w:right="292" w:firstLine="399"/>
        <w:rPr>
          <w:sz w:val="20"/>
          <w:szCs w:val="20"/>
        </w:rPr>
      </w:pPr>
      <w:r>
        <w:rPr>
          <w:spacing w:val="5"/>
          <w:sz w:val="20"/>
          <w:szCs w:val="20"/>
        </w:rPr>
        <w:t>(3)对已完成项目进行检查和验收、移交项目资料、该部分项目的清理、质量缺陷修复等</w:t>
      </w:r>
      <w:r>
        <w:rPr>
          <w:spacing w:val="18"/>
          <w:sz w:val="20"/>
          <w:szCs w:val="20"/>
        </w:rPr>
        <w:t xml:space="preserve"> </w:t>
      </w:r>
      <w:r>
        <w:rPr>
          <w:spacing w:val="-8"/>
          <w:sz w:val="20"/>
          <w:szCs w:val="20"/>
        </w:rPr>
        <w:t>所需的费用；</w:t>
      </w:r>
    </w:p>
    <w:p w14:paraId="10C17924">
      <w:pPr>
        <w:pStyle w:val="2"/>
        <w:spacing w:before="82" w:line="219" w:lineRule="auto"/>
        <w:ind w:left="399"/>
        <w:rPr>
          <w:sz w:val="20"/>
          <w:szCs w:val="20"/>
        </w:rPr>
      </w:pPr>
      <w:r>
        <w:rPr>
          <w:spacing w:val="2"/>
          <w:sz w:val="20"/>
          <w:szCs w:val="20"/>
        </w:rPr>
        <w:t>(4)合同规定的承建单位应支付的违约金；</w:t>
      </w:r>
    </w:p>
    <w:p w14:paraId="6DA547B5">
      <w:pPr>
        <w:pStyle w:val="2"/>
        <w:spacing w:before="71" w:line="253" w:lineRule="auto"/>
        <w:ind w:right="294" w:firstLine="399"/>
        <w:rPr>
          <w:sz w:val="20"/>
          <w:szCs w:val="20"/>
        </w:rPr>
      </w:pPr>
      <w:r>
        <w:rPr>
          <w:spacing w:val="5"/>
          <w:sz w:val="20"/>
          <w:szCs w:val="20"/>
        </w:rPr>
        <w:t>(5)总监理工程师按照合同的规定，在与业主单位和承建单位协商后，书面提交承建单位</w:t>
      </w:r>
      <w:r>
        <w:rPr>
          <w:spacing w:val="16"/>
          <w:sz w:val="20"/>
          <w:szCs w:val="20"/>
        </w:rPr>
        <w:t xml:space="preserve"> </w:t>
      </w:r>
      <w:r>
        <w:rPr>
          <w:spacing w:val="-4"/>
          <w:sz w:val="20"/>
          <w:szCs w:val="20"/>
        </w:rPr>
        <w:t>应得款项或偿还业主单位款项的证明；</w:t>
      </w:r>
    </w:p>
    <w:p w14:paraId="587BC87F">
      <w:pPr>
        <w:pStyle w:val="2"/>
        <w:spacing w:before="82" w:line="253" w:lineRule="auto"/>
        <w:ind w:right="284" w:firstLine="399"/>
        <w:rPr>
          <w:sz w:val="20"/>
          <w:szCs w:val="20"/>
        </w:rPr>
      </w:pPr>
      <w:r>
        <w:rPr>
          <w:spacing w:val="6"/>
          <w:sz w:val="20"/>
          <w:szCs w:val="20"/>
        </w:rPr>
        <w:t>(6)由于不可抗力或非业主单位、承建单位原因导致合同</w:t>
      </w:r>
      <w:r>
        <w:rPr>
          <w:spacing w:val="5"/>
          <w:sz w:val="20"/>
          <w:szCs w:val="20"/>
        </w:rPr>
        <w:t>终止时，项目监理单位应按合同</w:t>
      </w:r>
      <w:r>
        <w:rPr>
          <w:sz w:val="20"/>
          <w:szCs w:val="20"/>
        </w:rPr>
        <w:t xml:space="preserve"> </w:t>
      </w:r>
      <w:r>
        <w:rPr>
          <w:spacing w:val="-3"/>
          <w:sz w:val="20"/>
          <w:szCs w:val="20"/>
        </w:rPr>
        <w:t>规定处理合同解除后的有关事宜。</w:t>
      </w:r>
    </w:p>
    <w:p w14:paraId="5AAA566C">
      <w:pPr>
        <w:pStyle w:val="2"/>
        <w:spacing w:before="252" w:line="219" w:lineRule="auto"/>
        <w:ind w:left="2"/>
        <w:rPr>
          <w:sz w:val="25"/>
          <w:szCs w:val="25"/>
        </w:rPr>
      </w:pPr>
      <w:r>
        <w:rPr>
          <w:b/>
          <w:bCs/>
          <w:color w:val="0071D5"/>
          <w:spacing w:val="-18"/>
          <w:sz w:val="25"/>
          <w:szCs w:val="25"/>
        </w:rPr>
        <w:t>13.4.3</w:t>
      </w:r>
      <w:r>
        <w:rPr>
          <w:color w:val="0071D5"/>
          <w:spacing w:val="102"/>
          <w:sz w:val="25"/>
          <w:szCs w:val="25"/>
        </w:rPr>
        <w:t xml:space="preserve"> </w:t>
      </w:r>
      <w:r>
        <w:rPr>
          <w:b/>
          <w:bCs/>
          <w:color w:val="0071D5"/>
          <w:spacing w:val="-18"/>
          <w:sz w:val="25"/>
          <w:szCs w:val="25"/>
        </w:rPr>
        <w:t>合同争议的调解</w:t>
      </w:r>
    </w:p>
    <w:p w14:paraId="2B1C63F1">
      <w:pPr>
        <w:pStyle w:val="2"/>
        <w:spacing w:before="260" w:line="222" w:lineRule="auto"/>
        <w:ind w:left="402"/>
        <w:rPr>
          <w:rFonts w:ascii="黑体" w:hAnsi="黑体" w:eastAsia="黑体" w:cs="黑体"/>
          <w:sz w:val="20"/>
          <w:szCs w:val="20"/>
        </w:rPr>
      </w:pPr>
      <w:r>
        <w:rPr>
          <w:b/>
          <w:bCs/>
          <w:color w:val="0070D3"/>
          <w:spacing w:val="-3"/>
          <w:sz w:val="20"/>
          <w:szCs w:val="20"/>
        </w:rPr>
        <w:t>1.</w:t>
      </w:r>
      <w:r>
        <w:rPr>
          <w:rFonts w:ascii="黑体" w:hAnsi="黑体" w:eastAsia="黑体" w:cs="黑体"/>
          <w:b/>
          <w:bCs/>
          <w:color w:val="0070D3"/>
          <w:spacing w:val="-3"/>
          <w:sz w:val="20"/>
          <w:szCs w:val="20"/>
        </w:rPr>
        <w:t>合同争议调解程序</w:t>
      </w:r>
    </w:p>
    <w:p w14:paraId="512EF8D2">
      <w:pPr>
        <w:pStyle w:val="2"/>
        <w:spacing w:before="134" w:line="272" w:lineRule="auto"/>
        <w:ind w:right="265" w:firstLine="399"/>
        <w:rPr>
          <w:sz w:val="20"/>
          <w:szCs w:val="20"/>
        </w:rPr>
      </w:pPr>
      <w:r>
        <w:rPr>
          <w:spacing w:val="-1"/>
          <w:sz w:val="20"/>
          <w:szCs w:val="20"/>
        </w:rPr>
        <w:t>按照合同要求，无论是承建单位还是业主单位，都应以</w:t>
      </w:r>
      <w:r>
        <w:rPr>
          <w:spacing w:val="-2"/>
          <w:sz w:val="20"/>
          <w:szCs w:val="20"/>
        </w:rPr>
        <w:t>书面形式向监理单位提出争议事宜，</w:t>
      </w:r>
      <w:r>
        <w:rPr>
          <w:sz w:val="20"/>
          <w:szCs w:val="20"/>
        </w:rPr>
        <w:t xml:space="preserve"> </w:t>
      </w:r>
      <w:r>
        <w:rPr>
          <w:spacing w:val="-2"/>
          <w:sz w:val="20"/>
          <w:szCs w:val="20"/>
        </w:rPr>
        <w:t>并呈一份副本给对方。监理单位接到合同争议</w:t>
      </w:r>
      <w:r>
        <w:rPr>
          <w:spacing w:val="-3"/>
          <w:sz w:val="20"/>
          <w:szCs w:val="20"/>
        </w:rPr>
        <w:t>调解要求后应进行以下工作：</w:t>
      </w:r>
    </w:p>
    <w:p w14:paraId="1830448F">
      <w:pPr>
        <w:pStyle w:val="2"/>
        <w:spacing w:before="41" w:line="219" w:lineRule="auto"/>
        <w:ind w:left="399"/>
        <w:rPr>
          <w:sz w:val="20"/>
          <w:szCs w:val="20"/>
        </w:rPr>
      </w:pPr>
      <w:r>
        <w:rPr>
          <w:spacing w:val="2"/>
          <w:sz w:val="20"/>
          <w:szCs w:val="20"/>
        </w:rPr>
        <w:t>(1)及时了解合同争议的全部情况，包括进行调</w:t>
      </w:r>
      <w:r>
        <w:rPr>
          <w:spacing w:val="1"/>
          <w:sz w:val="20"/>
          <w:szCs w:val="20"/>
        </w:rPr>
        <w:t>查和取证。</w:t>
      </w:r>
    </w:p>
    <w:p w14:paraId="3F407582">
      <w:pPr>
        <w:pStyle w:val="2"/>
        <w:spacing w:before="62" w:line="219" w:lineRule="auto"/>
        <w:ind w:left="399"/>
        <w:rPr>
          <w:sz w:val="20"/>
          <w:szCs w:val="20"/>
        </w:rPr>
      </w:pPr>
      <w:r>
        <w:rPr>
          <w:spacing w:val="3"/>
          <w:sz w:val="20"/>
          <w:szCs w:val="20"/>
        </w:rPr>
        <w:t>(2)及时与合同争议的双方进行磋商。</w:t>
      </w:r>
    </w:p>
    <w:p w14:paraId="544CE384">
      <w:pPr>
        <w:pStyle w:val="2"/>
        <w:spacing w:before="73" w:line="219" w:lineRule="auto"/>
        <w:ind w:left="399"/>
        <w:rPr>
          <w:sz w:val="20"/>
          <w:szCs w:val="20"/>
        </w:rPr>
      </w:pPr>
      <w:r>
        <w:rPr>
          <w:spacing w:val="1"/>
          <w:sz w:val="20"/>
          <w:szCs w:val="20"/>
        </w:rPr>
        <w:t>(3)在项目监理单位提出调解方案后，由总监理工程师进行争议调解。</w:t>
      </w:r>
    </w:p>
    <w:p w14:paraId="3B7F6AFD">
      <w:pPr>
        <w:pStyle w:val="2"/>
        <w:spacing w:before="73" w:line="252" w:lineRule="auto"/>
        <w:ind w:right="313" w:firstLine="399"/>
        <w:rPr>
          <w:sz w:val="20"/>
          <w:szCs w:val="20"/>
        </w:rPr>
      </w:pPr>
      <w:r>
        <w:rPr>
          <w:spacing w:val="5"/>
          <w:sz w:val="20"/>
          <w:szCs w:val="20"/>
        </w:rPr>
        <w:t>(4)当调解未能达成一致时，总监理工程师应在实施合同规定的期限内提出处理该</w:t>
      </w:r>
      <w:r>
        <w:rPr>
          <w:spacing w:val="4"/>
          <w:sz w:val="20"/>
          <w:szCs w:val="20"/>
        </w:rPr>
        <w:t>合同争</w:t>
      </w:r>
      <w:r>
        <w:rPr>
          <w:sz w:val="20"/>
          <w:szCs w:val="20"/>
        </w:rPr>
        <w:t xml:space="preserve"> </w:t>
      </w:r>
      <w:r>
        <w:rPr>
          <w:spacing w:val="-2"/>
          <w:sz w:val="20"/>
          <w:szCs w:val="20"/>
        </w:rPr>
        <w:t>议的意见，同时对争议做出监理决定，并将监理决定书面通知业主单位和承建单位。</w:t>
      </w:r>
    </w:p>
    <w:p w14:paraId="4940DAF8">
      <w:pPr>
        <w:pStyle w:val="2"/>
        <w:spacing w:before="92" w:line="244" w:lineRule="auto"/>
        <w:ind w:right="288" w:firstLine="399"/>
        <w:rPr>
          <w:sz w:val="20"/>
          <w:szCs w:val="20"/>
        </w:rPr>
      </w:pPr>
      <w:r>
        <w:rPr>
          <w:spacing w:val="6"/>
          <w:sz w:val="20"/>
          <w:szCs w:val="20"/>
        </w:rPr>
        <w:t>(5)争议事宜处理完毕，只要合同未被放弃或</w:t>
      </w:r>
      <w:r>
        <w:rPr>
          <w:spacing w:val="5"/>
          <w:sz w:val="20"/>
          <w:szCs w:val="20"/>
        </w:rPr>
        <w:t>终止，监理工程师应要求承建单位继续精心</w:t>
      </w:r>
      <w:r>
        <w:rPr>
          <w:sz w:val="20"/>
          <w:szCs w:val="20"/>
        </w:rPr>
        <w:t xml:space="preserve"> </w:t>
      </w:r>
      <w:r>
        <w:rPr>
          <w:spacing w:val="-1"/>
          <w:sz w:val="20"/>
          <w:szCs w:val="20"/>
        </w:rPr>
        <w:t>组织实施。当调解不成时，双方可以在合同专用条款内</w:t>
      </w:r>
      <w:r>
        <w:rPr>
          <w:spacing w:val="-2"/>
          <w:sz w:val="20"/>
          <w:szCs w:val="20"/>
        </w:rPr>
        <w:t>约定以下某一种方式解决争议：</w:t>
      </w:r>
    </w:p>
    <w:p w14:paraId="0D347FC4">
      <w:pPr>
        <w:pStyle w:val="2"/>
        <w:spacing w:before="72" w:line="219" w:lineRule="auto"/>
        <w:ind w:left="399"/>
        <w:rPr>
          <w:sz w:val="20"/>
          <w:szCs w:val="20"/>
        </w:rPr>
      </w:pPr>
      <w:r>
        <w:rPr>
          <w:sz w:val="20"/>
          <w:szCs w:val="20"/>
        </w:rPr>
        <w:t>●根据合同约定向约定的仲裁委员会申请仲裁；</w:t>
      </w:r>
    </w:p>
    <w:p w14:paraId="70DBB257">
      <w:pPr>
        <w:pStyle w:val="2"/>
        <w:spacing w:before="83" w:line="219" w:lineRule="auto"/>
        <w:ind w:left="399"/>
        <w:rPr>
          <w:sz w:val="20"/>
          <w:szCs w:val="20"/>
        </w:rPr>
      </w:pPr>
      <w:r>
        <w:rPr>
          <w:spacing w:val="3"/>
          <w:sz w:val="20"/>
          <w:szCs w:val="20"/>
        </w:rPr>
        <w:t>●向有管辖权的人民法院起诉。</w:t>
      </w:r>
    </w:p>
    <w:p w14:paraId="793A0A04">
      <w:pPr>
        <w:pStyle w:val="2"/>
        <w:spacing w:before="73" w:line="277" w:lineRule="auto"/>
        <w:ind w:right="291" w:firstLine="399"/>
        <w:jc w:val="both"/>
        <w:rPr>
          <w:sz w:val="20"/>
          <w:szCs w:val="20"/>
        </w:rPr>
      </w:pPr>
      <w:r>
        <w:rPr>
          <w:spacing w:val="3"/>
          <w:sz w:val="20"/>
          <w:szCs w:val="20"/>
        </w:rPr>
        <w:t>发生争议后，除非出现下列情况，双方都应继续履行合同，保证实施连接，保护好已完成</w:t>
      </w:r>
      <w:r>
        <w:rPr>
          <w:spacing w:val="1"/>
          <w:sz w:val="20"/>
          <w:szCs w:val="20"/>
        </w:rPr>
        <w:t xml:space="preserve"> </w:t>
      </w:r>
      <w:r>
        <w:rPr>
          <w:spacing w:val="3"/>
          <w:sz w:val="20"/>
          <w:szCs w:val="20"/>
        </w:rPr>
        <w:t>的项目现状：单方违约导致合同确已无法履行，双方协议停止实施；调解要求停止</w:t>
      </w:r>
      <w:r>
        <w:rPr>
          <w:spacing w:val="2"/>
          <w:sz w:val="20"/>
          <w:szCs w:val="20"/>
        </w:rPr>
        <w:t>实施，且为</w:t>
      </w:r>
      <w:r>
        <w:rPr>
          <w:sz w:val="20"/>
          <w:szCs w:val="20"/>
        </w:rPr>
        <w:t xml:space="preserve"> </w:t>
      </w:r>
      <w:r>
        <w:rPr>
          <w:spacing w:val="-2"/>
          <w:sz w:val="20"/>
          <w:szCs w:val="20"/>
        </w:rPr>
        <w:t>双方接受；仲裁机构要求停止实施；法院要求停止实施。</w:t>
      </w:r>
    </w:p>
    <w:p w14:paraId="3669EB95">
      <w:pPr>
        <w:pStyle w:val="2"/>
        <w:spacing w:before="106" w:line="222" w:lineRule="auto"/>
        <w:ind w:left="402"/>
        <w:rPr>
          <w:rFonts w:ascii="黑体" w:hAnsi="黑体" w:eastAsia="黑体" w:cs="黑体"/>
          <w:sz w:val="20"/>
          <w:szCs w:val="20"/>
        </w:rPr>
      </w:pPr>
      <w:r>
        <w:rPr>
          <w:b/>
          <w:bCs/>
          <w:color w:val="0079E3"/>
          <w:spacing w:val="-4"/>
          <w:sz w:val="20"/>
          <w:szCs w:val="20"/>
        </w:rPr>
        <w:t>2.</w:t>
      </w:r>
      <w:r>
        <w:rPr>
          <w:rFonts w:ascii="黑体" w:hAnsi="黑体" w:eastAsia="黑体" w:cs="黑体"/>
          <w:b/>
          <w:bCs/>
          <w:color w:val="0079E3"/>
          <w:spacing w:val="-4"/>
          <w:sz w:val="20"/>
          <w:szCs w:val="20"/>
        </w:rPr>
        <w:t>合同争议的处理和解决</w:t>
      </w:r>
    </w:p>
    <w:p w14:paraId="31FAA44D">
      <w:pPr>
        <w:pStyle w:val="2"/>
        <w:spacing w:before="132" w:line="272" w:lineRule="auto"/>
        <w:ind w:right="273" w:firstLine="399"/>
        <w:jc w:val="both"/>
        <w:rPr>
          <w:sz w:val="20"/>
          <w:szCs w:val="20"/>
        </w:rPr>
      </w:pPr>
      <w:r>
        <w:rPr>
          <w:spacing w:val="3"/>
          <w:sz w:val="20"/>
          <w:szCs w:val="20"/>
        </w:rPr>
        <w:t>无论是在实施过程中还是在项目竣工之后、在否定或终止本合同之前还是之后，如果业主 单位和承建单位之间存在关于合同或起因于合同，或因项目实施发生的任何</w:t>
      </w:r>
      <w:r>
        <w:rPr>
          <w:spacing w:val="2"/>
          <w:sz w:val="20"/>
          <w:szCs w:val="20"/>
        </w:rPr>
        <w:t>争议，包括对工程</w:t>
      </w:r>
      <w:r>
        <w:rPr>
          <w:sz w:val="20"/>
          <w:szCs w:val="20"/>
        </w:rPr>
        <w:t xml:space="preserve"> </w:t>
      </w:r>
      <w:r>
        <w:rPr>
          <w:spacing w:val="3"/>
          <w:sz w:val="20"/>
          <w:szCs w:val="20"/>
        </w:rPr>
        <w:t>师的任何意见、指令、证书或估价方面的任何争议、争议中的问题，首先应该以书面形式提交</w:t>
      </w:r>
      <w:r>
        <w:rPr>
          <w:spacing w:val="14"/>
          <w:sz w:val="20"/>
          <w:szCs w:val="20"/>
        </w:rPr>
        <w:t xml:space="preserve"> </w:t>
      </w:r>
      <w:r>
        <w:rPr>
          <w:spacing w:val="3"/>
          <w:sz w:val="20"/>
          <w:szCs w:val="20"/>
        </w:rPr>
        <w:t>工程师，并将一份副本提交另一方，并应说明此提交件是根据相关规定做出的。监理工</w:t>
      </w:r>
      <w:r>
        <w:rPr>
          <w:spacing w:val="2"/>
          <w:sz w:val="20"/>
          <w:szCs w:val="20"/>
        </w:rPr>
        <w:t>程师在</w:t>
      </w:r>
      <w:r>
        <w:rPr>
          <w:sz w:val="20"/>
          <w:szCs w:val="20"/>
        </w:rPr>
        <w:t xml:space="preserve"> </w:t>
      </w:r>
      <w:r>
        <w:rPr>
          <w:spacing w:val="3"/>
          <w:sz w:val="20"/>
          <w:szCs w:val="20"/>
        </w:rPr>
        <w:t>接到该提交件后在规定的时间之内将自己的裁定通知业主单位和承建单位。此裁定也</w:t>
      </w:r>
      <w:r>
        <w:rPr>
          <w:spacing w:val="2"/>
          <w:sz w:val="20"/>
          <w:szCs w:val="20"/>
        </w:rPr>
        <w:t>应说明是</w:t>
      </w:r>
    </w:p>
    <w:p w14:paraId="193BD030">
      <w:pPr>
        <w:spacing w:line="272" w:lineRule="auto"/>
        <w:rPr>
          <w:sz w:val="20"/>
          <w:szCs w:val="20"/>
        </w:rPr>
        <w:sectPr>
          <w:pgSz w:w="10290" w:h="13270"/>
          <w:pgMar w:top="400" w:right="568" w:bottom="400" w:left="1109" w:header="0" w:footer="0" w:gutter="0"/>
          <w:cols w:space="720" w:num="1"/>
        </w:sectPr>
      </w:pPr>
    </w:p>
    <w:p w14:paraId="1A745463">
      <w:pPr>
        <w:pStyle w:val="2"/>
        <w:spacing w:before="38" w:line="219" w:lineRule="auto"/>
        <w:rPr>
          <w:sz w:val="20"/>
          <w:szCs w:val="20"/>
        </w:rPr>
      </w:pPr>
      <w:bookmarkStart w:id="654" w:name="bookmark639"/>
      <w:bookmarkEnd w:id="654"/>
      <w:r>
        <w:rPr>
          <w:rFonts w:ascii="Times New Roman" w:hAnsi="Times New Roman" w:eastAsia="Times New Roman" w:cs="Times New Roman"/>
          <w:b/>
          <w:bCs/>
          <w:spacing w:val="-3"/>
          <w:sz w:val="20"/>
          <w:szCs w:val="20"/>
        </w:rPr>
        <w:t>318</w:t>
      </w:r>
      <w:r>
        <w:rPr>
          <w:rFonts w:ascii="Times New Roman" w:hAnsi="Times New Roman" w:eastAsia="Times New Roman" w:cs="Times New Roman"/>
          <w:b/>
          <w:bCs/>
          <w:spacing w:val="2"/>
          <w:sz w:val="20"/>
          <w:szCs w:val="20"/>
        </w:rPr>
        <w:t xml:space="preserve">             </w:t>
      </w:r>
      <w:r>
        <w:rPr>
          <w:spacing w:val="-3"/>
          <w:sz w:val="20"/>
          <w:szCs w:val="20"/>
        </w:rPr>
        <w:t>信息系统监理师教程(第2版)</w:t>
      </w:r>
    </w:p>
    <w:p w14:paraId="01567EEE">
      <w:pPr>
        <w:spacing w:line="305" w:lineRule="auto"/>
        <w:rPr>
          <w:rFonts w:ascii="Arial"/>
          <w:sz w:val="21"/>
        </w:rPr>
      </w:pPr>
    </w:p>
    <w:p w14:paraId="457AA186">
      <w:pPr>
        <w:pStyle w:val="2"/>
        <w:spacing w:before="65" w:line="219" w:lineRule="auto"/>
        <w:ind w:left="369"/>
        <w:rPr>
          <w:sz w:val="20"/>
          <w:szCs w:val="20"/>
        </w:rPr>
      </w:pPr>
      <w:r>
        <w:rPr>
          <w:spacing w:val="-3"/>
          <w:sz w:val="20"/>
          <w:szCs w:val="20"/>
        </w:rPr>
        <w:t>根据相关法律规定做出的。</w:t>
      </w:r>
    </w:p>
    <w:p w14:paraId="0276C995">
      <w:pPr>
        <w:pStyle w:val="2"/>
        <w:spacing w:before="79" w:line="292" w:lineRule="auto"/>
        <w:ind w:left="369" w:firstLine="410"/>
        <w:jc w:val="both"/>
        <w:rPr>
          <w:sz w:val="20"/>
          <w:szCs w:val="20"/>
        </w:rPr>
      </w:pPr>
      <w:r>
        <w:rPr>
          <w:spacing w:val="3"/>
          <w:sz w:val="20"/>
          <w:szCs w:val="20"/>
        </w:rPr>
        <w:t>除非本合同已否定或终止，承建单位无论在何种情况下都应继续完</w:t>
      </w:r>
      <w:r>
        <w:rPr>
          <w:spacing w:val="2"/>
          <w:sz w:val="20"/>
          <w:szCs w:val="20"/>
        </w:rPr>
        <w:t>成项目。在根据规定以</w:t>
      </w:r>
      <w:r>
        <w:rPr>
          <w:sz w:val="20"/>
          <w:szCs w:val="20"/>
        </w:rPr>
        <w:t xml:space="preserve">  友好方式解决或以仲裁裁决方式解决争议之前，承建单位和业主单位应执行监理工程师的裁</w:t>
      </w:r>
      <w:r>
        <w:rPr>
          <w:spacing w:val="-1"/>
          <w:sz w:val="20"/>
          <w:szCs w:val="20"/>
        </w:rPr>
        <w:t>定。</w:t>
      </w:r>
      <w:r>
        <w:rPr>
          <w:sz w:val="20"/>
          <w:szCs w:val="20"/>
        </w:rPr>
        <w:t xml:space="preserve"> </w:t>
      </w:r>
      <w:r>
        <w:rPr>
          <w:spacing w:val="3"/>
          <w:sz w:val="20"/>
          <w:szCs w:val="20"/>
        </w:rPr>
        <w:t>如果业主单位或承建单位不满意监理工程师的裁定，或监理</w:t>
      </w:r>
      <w:r>
        <w:rPr>
          <w:spacing w:val="2"/>
          <w:sz w:val="20"/>
          <w:szCs w:val="20"/>
        </w:rPr>
        <w:t>工程师在接到提交件规定时间内没</w:t>
      </w:r>
      <w:r>
        <w:rPr>
          <w:sz w:val="20"/>
          <w:szCs w:val="20"/>
        </w:rPr>
        <w:t xml:space="preserve">  </w:t>
      </w:r>
      <w:r>
        <w:rPr>
          <w:spacing w:val="3"/>
          <w:sz w:val="20"/>
          <w:szCs w:val="20"/>
        </w:rPr>
        <w:t>有通知自己的裁定，则业主单位或承建单位任何一方都可以在接到上</w:t>
      </w:r>
      <w:r>
        <w:rPr>
          <w:spacing w:val="2"/>
          <w:sz w:val="20"/>
          <w:szCs w:val="20"/>
        </w:rPr>
        <w:t>述裁定的通知后，在规定</w:t>
      </w:r>
      <w:r>
        <w:rPr>
          <w:sz w:val="20"/>
          <w:szCs w:val="20"/>
        </w:rPr>
        <w:t xml:space="preserve">  时间内或在此之前，或视情况而定，在诉讼时间期满后的规定时间内或在此之前，通知另一</w:t>
      </w:r>
      <w:r>
        <w:rPr>
          <w:spacing w:val="-1"/>
          <w:sz w:val="20"/>
          <w:szCs w:val="20"/>
        </w:rPr>
        <w:t>方，</w:t>
      </w:r>
      <w:r>
        <w:rPr>
          <w:sz w:val="20"/>
          <w:szCs w:val="20"/>
        </w:rPr>
        <w:t xml:space="preserve"> </w:t>
      </w:r>
      <w:r>
        <w:rPr>
          <w:spacing w:val="3"/>
          <w:sz w:val="20"/>
          <w:szCs w:val="20"/>
        </w:rPr>
        <w:t>给监理工程师一份副本供其参考，说明自己要根据规定对</w:t>
      </w:r>
      <w:r>
        <w:rPr>
          <w:spacing w:val="2"/>
          <w:sz w:val="20"/>
          <w:szCs w:val="20"/>
        </w:rPr>
        <w:t>争议中的问题开始仲裁的意向。该通</w:t>
      </w:r>
      <w:r>
        <w:rPr>
          <w:sz w:val="20"/>
          <w:szCs w:val="20"/>
        </w:rPr>
        <w:t xml:space="preserve">  </w:t>
      </w:r>
      <w:r>
        <w:rPr>
          <w:spacing w:val="-1"/>
          <w:sz w:val="20"/>
          <w:szCs w:val="20"/>
        </w:rPr>
        <w:t>知确立提出仲裁的一方按规定对争议中的问题开</w:t>
      </w:r>
      <w:r>
        <w:rPr>
          <w:spacing w:val="-2"/>
          <w:sz w:val="20"/>
          <w:szCs w:val="20"/>
        </w:rPr>
        <w:t>始仲裁的意向和权利。</w:t>
      </w:r>
    </w:p>
    <w:p w14:paraId="1141B27D">
      <w:pPr>
        <w:pStyle w:val="2"/>
        <w:spacing w:before="20" w:line="306" w:lineRule="auto"/>
        <w:ind w:left="369" w:right="89" w:firstLine="410"/>
        <w:jc w:val="both"/>
        <w:rPr>
          <w:sz w:val="16"/>
          <w:szCs w:val="16"/>
        </w:rPr>
      </w:pPr>
      <w:r>
        <w:rPr>
          <w:spacing w:val="8"/>
          <w:sz w:val="20"/>
          <w:szCs w:val="20"/>
        </w:rPr>
        <w:t>在总监理工程师签发合同争议处理意见后，业主单位或承建单位在合同规定</w:t>
      </w:r>
      <w:r>
        <w:rPr>
          <w:spacing w:val="7"/>
          <w:sz w:val="20"/>
          <w:szCs w:val="20"/>
        </w:rPr>
        <w:t>的期限内未</w:t>
      </w:r>
      <w:r>
        <w:rPr>
          <w:sz w:val="20"/>
          <w:szCs w:val="20"/>
        </w:rPr>
        <w:t xml:space="preserve"> </w:t>
      </w:r>
      <w:r>
        <w:rPr>
          <w:spacing w:val="3"/>
          <w:sz w:val="20"/>
          <w:szCs w:val="20"/>
        </w:rPr>
        <w:t>对合同争议处理决定提出异议，在符合实施合同的前提下，</w:t>
      </w:r>
      <w:r>
        <w:rPr>
          <w:spacing w:val="2"/>
          <w:sz w:val="20"/>
          <w:szCs w:val="20"/>
        </w:rPr>
        <w:t>此意见应成为最后的决定，双方应</w:t>
      </w:r>
      <w:r>
        <w:rPr>
          <w:sz w:val="20"/>
          <w:szCs w:val="20"/>
        </w:rPr>
        <w:t xml:space="preserve"> </w:t>
      </w:r>
      <w:r>
        <w:rPr>
          <w:spacing w:val="-6"/>
          <w:sz w:val="16"/>
          <w:szCs w:val="16"/>
        </w:rPr>
        <w:t>执</w:t>
      </w:r>
      <w:r>
        <w:rPr>
          <w:spacing w:val="-15"/>
          <w:sz w:val="16"/>
          <w:szCs w:val="16"/>
        </w:rPr>
        <w:t xml:space="preserve"> </w:t>
      </w:r>
      <w:r>
        <w:rPr>
          <w:spacing w:val="-6"/>
          <w:sz w:val="16"/>
          <w:szCs w:val="16"/>
        </w:rPr>
        <w:t>行</w:t>
      </w:r>
      <w:r>
        <w:rPr>
          <w:spacing w:val="-25"/>
          <w:sz w:val="16"/>
          <w:szCs w:val="16"/>
        </w:rPr>
        <w:t xml:space="preserve"> </w:t>
      </w:r>
      <w:r>
        <w:rPr>
          <w:spacing w:val="-6"/>
          <w:sz w:val="16"/>
          <w:szCs w:val="16"/>
        </w:rPr>
        <w:t>。</w:t>
      </w:r>
    </w:p>
    <w:p w14:paraId="795E4B41">
      <w:pPr>
        <w:pStyle w:val="2"/>
        <w:spacing w:before="31" w:line="272" w:lineRule="auto"/>
        <w:ind w:left="369" w:right="72" w:firstLine="410"/>
        <w:rPr>
          <w:sz w:val="20"/>
          <w:szCs w:val="20"/>
        </w:rPr>
      </w:pPr>
      <w:r>
        <w:rPr>
          <w:spacing w:val="3"/>
          <w:sz w:val="20"/>
          <w:szCs w:val="20"/>
        </w:rPr>
        <w:t>在合同争议的仲裁或诉讼过程中，监理单位在接到仲裁机关或法院要求提供有关证据的通</w:t>
      </w:r>
      <w:r>
        <w:rPr>
          <w:sz w:val="20"/>
          <w:szCs w:val="20"/>
        </w:rPr>
        <w:t xml:space="preserve"> </w:t>
      </w:r>
      <w:r>
        <w:rPr>
          <w:spacing w:val="-2"/>
          <w:sz w:val="20"/>
          <w:szCs w:val="20"/>
        </w:rPr>
        <w:t>知后，应公正地向仲裁机关或法院提供与争议有关的证据。</w:t>
      </w:r>
    </w:p>
    <w:p w14:paraId="11781FAC">
      <w:pPr>
        <w:pStyle w:val="2"/>
        <w:spacing w:before="20" w:line="291" w:lineRule="auto"/>
        <w:ind w:left="369" w:right="28" w:firstLine="410"/>
        <w:rPr>
          <w:sz w:val="20"/>
          <w:szCs w:val="20"/>
        </w:rPr>
      </w:pPr>
      <w:r>
        <w:rPr>
          <w:spacing w:val="-1"/>
          <w:sz w:val="20"/>
          <w:szCs w:val="20"/>
        </w:rPr>
        <w:t>无论是通过仲裁还是诉讼途径，任何一种争议解决方法都将对合同争议双方产生法律效力。</w:t>
      </w:r>
      <w:r>
        <w:rPr>
          <w:sz w:val="20"/>
          <w:szCs w:val="20"/>
        </w:rPr>
        <w:t xml:space="preserve"> </w:t>
      </w:r>
      <w:r>
        <w:rPr>
          <w:spacing w:val="-1"/>
          <w:sz w:val="20"/>
          <w:szCs w:val="20"/>
        </w:rPr>
        <w:t>当发生合同争议时，双方可以协商解决，或是通过</w:t>
      </w:r>
      <w:r>
        <w:rPr>
          <w:spacing w:val="-2"/>
          <w:sz w:val="20"/>
          <w:szCs w:val="20"/>
        </w:rPr>
        <w:t>合同中约定的方式来解决争议。</w:t>
      </w:r>
    </w:p>
    <w:p w14:paraId="176A141D">
      <w:pPr>
        <w:spacing w:line="276" w:lineRule="auto"/>
        <w:rPr>
          <w:rFonts w:ascii="Arial"/>
          <w:sz w:val="21"/>
        </w:rPr>
      </w:pPr>
    </w:p>
    <w:p w14:paraId="3F3BA86E">
      <w:pPr>
        <w:pStyle w:val="2"/>
        <w:spacing w:before="91" w:line="223" w:lineRule="auto"/>
        <w:ind w:left="373"/>
        <w:rPr>
          <w:rFonts w:ascii="黑体" w:hAnsi="黑体" w:eastAsia="黑体" w:cs="黑体"/>
          <w:sz w:val="28"/>
          <w:szCs w:val="28"/>
        </w:rPr>
      </w:pPr>
      <w:r>
        <w:rPr>
          <w:b/>
          <w:bCs/>
          <w:color w:val="0067CF"/>
          <w:spacing w:val="-7"/>
          <w:sz w:val="28"/>
          <w:szCs w:val="28"/>
        </w:rPr>
        <w:t>13.5</w:t>
      </w:r>
      <w:r>
        <w:rPr>
          <w:color w:val="0067CF"/>
          <w:spacing w:val="123"/>
          <w:sz w:val="28"/>
          <w:szCs w:val="28"/>
        </w:rPr>
        <w:t xml:space="preserve"> </w:t>
      </w:r>
      <w:r>
        <w:rPr>
          <w:rFonts w:ascii="黑体" w:hAnsi="黑体" w:eastAsia="黑体" w:cs="黑体"/>
          <w:b/>
          <w:bCs/>
          <w:color w:val="0067CF"/>
          <w:spacing w:val="-7"/>
          <w:sz w:val="28"/>
          <w:szCs w:val="28"/>
        </w:rPr>
        <w:t>合同违约的管理</w:t>
      </w:r>
    </w:p>
    <w:p w14:paraId="428D24E4">
      <w:pPr>
        <w:pStyle w:val="2"/>
        <w:spacing w:before="242" w:line="282" w:lineRule="auto"/>
        <w:ind w:left="369" w:right="88" w:firstLine="410"/>
        <w:rPr>
          <w:sz w:val="20"/>
          <w:szCs w:val="20"/>
        </w:rPr>
      </w:pPr>
      <w:r>
        <w:rPr>
          <w:spacing w:val="3"/>
          <w:sz w:val="20"/>
          <w:szCs w:val="20"/>
        </w:rPr>
        <w:t>在信息系统工程监理工作中，监理单位不仅需要</w:t>
      </w:r>
      <w:r>
        <w:rPr>
          <w:spacing w:val="2"/>
          <w:sz w:val="20"/>
          <w:szCs w:val="20"/>
        </w:rPr>
        <w:t>对承建单位违约进行管理，也需要对业主</w:t>
      </w:r>
      <w:r>
        <w:rPr>
          <w:sz w:val="20"/>
          <w:szCs w:val="20"/>
        </w:rPr>
        <w:t xml:space="preserve"> </w:t>
      </w:r>
      <w:r>
        <w:rPr>
          <w:spacing w:val="-3"/>
          <w:sz w:val="20"/>
          <w:szCs w:val="20"/>
        </w:rPr>
        <w:t>单位违约以及其他因素违约进行管理。</w:t>
      </w:r>
    </w:p>
    <w:p w14:paraId="7108D192">
      <w:pPr>
        <w:pStyle w:val="2"/>
        <w:spacing w:before="198" w:line="219" w:lineRule="auto"/>
        <w:ind w:left="372"/>
        <w:rPr>
          <w:sz w:val="25"/>
          <w:szCs w:val="25"/>
        </w:rPr>
      </w:pPr>
      <w:r>
        <w:rPr>
          <w:b/>
          <w:bCs/>
          <w:color w:val="006BC9"/>
          <w:spacing w:val="-18"/>
          <w:sz w:val="25"/>
          <w:szCs w:val="25"/>
        </w:rPr>
        <w:t>13.5.1</w:t>
      </w:r>
      <w:r>
        <w:rPr>
          <w:color w:val="006BC9"/>
          <w:spacing w:val="67"/>
          <w:sz w:val="25"/>
          <w:szCs w:val="25"/>
        </w:rPr>
        <w:t xml:space="preserve"> </w:t>
      </w:r>
      <w:r>
        <w:rPr>
          <w:b/>
          <w:bCs/>
          <w:color w:val="006BC9"/>
          <w:spacing w:val="-18"/>
          <w:sz w:val="25"/>
          <w:szCs w:val="25"/>
        </w:rPr>
        <w:t>合同违约概述</w:t>
      </w:r>
    </w:p>
    <w:p w14:paraId="20F62E3C">
      <w:pPr>
        <w:pStyle w:val="2"/>
        <w:spacing w:before="143" w:line="287" w:lineRule="auto"/>
        <w:ind w:left="369" w:right="83" w:firstLine="410"/>
        <w:rPr>
          <w:sz w:val="20"/>
          <w:szCs w:val="20"/>
        </w:rPr>
      </w:pPr>
      <w:r>
        <w:rPr>
          <w:spacing w:val="3"/>
          <w:sz w:val="20"/>
          <w:szCs w:val="20"/>
        </w:rPr>
        <w:t>合同违约是指合同一方或双方由于自身、第三方</w:t>
      </w:r>
      <w:r>
        <w:rPr>
          <w:spacing w:val="2"/>
          <w:sz w:val="20"/>
          <w:szCs w:val="20"/>
        </w:rPr>
        <w:t>或者不可抗力等因素违反合同中约定的义</w:t>
      </w:r>
      <w:r>
        <w:rPr>
          <w:sz w:val="20"/>
          <w:szCs w:val="20"/>
        </w:rPr>
        <w:t xml:space="preserve"> </w:t>
      </w:r>
      <w:r>
        <w:rPr>
          <w:spacing w:val="1"/>
          <w:sz w:val="20"/>
          <w:szCs w:val="20"/>
        </w:rPr>
        <w:t>务、法律直接规定的义务及法律原则和精神所要求的义务。</w:t>
      </w:r>
      <w:r>
        <w:rPr>
          <w:spacing w:val="-16"/>
          <w:sz w:val="20"/>
          <w:szCs w:val="20"/>
        </w:rPr>
        <w:t xml:space="preserve"> </w:t>
      </w:r>
      <w:r>
        <w:rPr>
          <w:spacing w:val="1"/>
          <w:sz w:val="20"/>
          <w:szCs w:val="20"/>
        </w:rPr>
        <w:t>一方合同违</w:t>
      </w:r>
      <w:r>
        <w:rPr>
          <w:sz w:val="20"/>
          <w:szCs w:val="20"/>
        </w:rPr>
        <w:t xml:space="preserve">约往往会给对方造成损 </w:t>
      </w:r>
      <w:r>
        <w:rPr>
          <w:spacing w:val="-1"/>
          <w:sz w:val="20"/>
          <w:szCs w:val="20"/>
        </w:rPr>
        <w:t>失，甚至使合同目的不能实现。因此，合同的</w:t>
      </w:r>
      <w:r>
        <w:rPr>
          <w:spacing w:val="-2"/>
          <w:sz w:val="20"/>
          <w:szCs w:val="20"/>
        </w:rPr>
        <w:t>违约方要承担违约责任。</w:t>
      </w:r>
    </w:p>
    <w:p w14:paraId="4AB041B6">
      <w:pPr>
        <w:pStyle w:val="2"/>
        <w:spacing w:before="19" w:line="219" w:lineRule="auto"/>
        <w:ind w:left="779"/>
        <w:rPr>
          <w:sz w:val="20"/>
          <w:szCs w:val="20"/>
        </w:rPr>
      </w:pPr>
      <w:r>
        <w:rPr>
          <w:spacing w:val="-3"/>
          <w:sz w:val="20"/>
          <w:szCs w:val="20"/>
        </w:rPr>
        <w:t>民法典对于合同违约责任有较为详细的规定，其中包括：</w:t>
      </w:r>
    </w:p>
    <w:p w14:paraId="04FEFBAA">
      <w:pPr>
        <w:pStyle w:val="2"/>
        <w:spacing w:before="63" w:line="290" w:lineRule="auto"/>
        <w:ind w:left="369" w:right="89" w:firstLine="410"/>
        <w:rPr>
          <w:sz w:val="20"/>
          <w:szCs w:val="20"/>
        </w:rPr>
      </w:pPr>
      <w:r>
        <w:rPr>
          <w:spacing w:val="4"/>
          <w:sz w:val="20"/>
          <w:szCs w:val="20"/>
        </w:rPr>
        <w:t>第五百七十七条</w:t>
      </w:r>
      <w:r>
        <w:rPr>
          <w:spacing w:val="46"/>
          <w:sz w:val="20"/>
          <w:szCs w:val="20"/>
        </w:rPr>
        <w:t xml:space="preserve"> </w:t>
      </w:r>
      <w:r>
        <w:rPr>
          <w:spacing w:val="4"/>
          <w:sz w:val="20"/>
          <w:szCs w:val="20"/>
        </w:rPr>
        <w:t>当事人一方不履行合同义务或者履行合同义务不符合约定的，应当承担</w:t>
      </w:r>
      <w:r>
        <w:rPr>
          <w:sz w:val="20"/>
          <w:szCs w:val="20"/>
        </w:rPr>
        <w:t xml:space="preserve"> </w:t>
      </w:r>
      <w:r>
        <w:rPr>
          <w:spacing w:val="-2"/>
          <w:sz w:val="20"/>
          <w:szCs w:val="20"/>
        </w:rPr>
        <w:t>继续履行、采取补救措施或者赔偿损失等违约责任。</w:t>
      </w:r>
    </w:p>
    <w:p w14:paraId="27B02E67">
      <w:pPr>
        <w:pStyle w:val="2"/>
        <w:spacing w:before="11" w:line="273" w:lineRule="auto"/>
        <w:ind w:left="369" w:right="90" w:firstLine="410"/>
        <w:rPr>
          <w:sz w:val="20"/>
          <w:szCs w:val="20"/>
        </w:rPr>
      </w:pPr>
      <w:r>
        <w:rPr>
          <w:spacing w:val="2"/>
          <w:sz w:val="20"/>
          <w:szCs w:val="20"/>
        </w:rPr>
        <w:t>第五百七十八条  当事人一方明确表示或者以自己的行为表明不履行合同义务的，对方可</w:t>
      </w:r>
      <w:r>
        <w:rPr>
          <w:spacing w:val="17"/>
          <w:sz w:val="20"/>
          <w:szCs w:val="20"/>
        </w:rPr>
        <w:t xml:space="preserve"> </w:t>
      </w:r>
      <w:r>
        <w:rPr>
          <w:spacing w:val="-3"/>
          <w:sz w:val="20"/>
          <w:szCs w:val="20"/>
        </w:rPr>
        <w:t>以在履行期限届满前请求其承担违约责任。</w:t>
      </w:r>
    </w:p>
    <w:p w14:paraId="3F132567">
      <w:pPr>
        <w:pStyle w:val="2"/>
        <w:spacing w:before="11" w:line="279" w:lineRule="auto"/>
        <w:ind w:left="369" w:right="19" w:firstLine="410"/>
        <w:jc w:val="both"/>
        <w:rPr>
          <w:sz w:val="20"/>
          <w:szCs w:val="20"/>
        </w:rPr>
      </w:pPr>
      <w:r>
        <w:rPr>
          <w:spacing w:val="3"/>
          <w:sz w:val="20"/>
          <w:szCs w:val="20"/>
        </w:rPr>
        <w:t>第五百九十条</w:t>
      </w:r>
      <w:r>
        <w:rPr>
          <w:sz w:val="20"/>
          <w:szCs w:val="20"/>
        </w:rPr>
        <w:t xml:space="preserve">  </w:t>
      </w:r>
      <w:r>
        <w:rPr>
          <w:spacing w:val="3"/>
          <w:sz w:val="20"/>
          <w:szCs w:val="20"/>
        </w:rPr>
        <w:t>当事人一方因不可抗力不能履行合</w:t>
      </w:r>
      <w:r>
        <w:rPr>
          <w:spacing w:val="2"/>
          <w:sz w:val="20"/>
          <w:szCs w:val="20"/>
        </w:rPr>
        <w:t>同的，根据不可抗力的影响，部分或者</w:t>
      </w:r>
      <w:r>
        <w:rPr>
          <w:spacing w:val="1"/>
          <w:sz w:val="20"/>
          <w:szCs w:val="20"/>
        </w:rPr>
        <w:t xml:space="preserve"> </w:t>
      </w:r>
      <w:r>
        <w:rPr>
          <w:spacing w:val="4"/>
          <w:sz w:val="20"/>
          <w:szCs w:val="20"/>
        </w:rPr>
        <w:t>全部免除责任，但是法律另有规定的除外。因不可抗力不能履行合同的，应当及时通知对方，</w:t>
      </w:r>
      <w:r>
        <w:rPr>
          <w:spacing w:val="15"/>
          <w:sz w:val="20"/>
          <w:szCs w:val="20"/>
        </w:rPr>
        <w:t xml:space="preserve"> </w:t>
      </w:r>
      <w:r>
        <w:rPr>
          <w:spacing w:val="3"/>
          <w:sz w:val="20"/>
          <w:szCs w:val="20"/>
        </w:rPr>
        <w:t>以减轻可能给对方造成的损失，并应当在合理期限内提供</w:t>
      </w:r>
      <w:r>
        <w:rPr>
          <w:spacing w:val="2"/>
          <w:sz w:val="20"/>
          <w:szCs w:val="20"/>
        </w:rPr>
        <w:t>证明。当事人延迟履行后发生不可抗</w:t>
      </w:r>
      <w:r>
        <w:rPr>
          <w:sz w:val="20"/>
          <w:szCs w:val="20"/>
        </w:rPr>
        <w:t xml:space="preserve"> </w:t>
      </w:r>
      <w:r>
        <w:rPr>
          <w:spacing w:val="-4"/>
          <w:sz w:val="20"/>
          <w:szCs w:val="20"/>
        </w:rPr>
        <w:t>力的，不免除其违约责任。</w:t>
      </w:r>
    </w:p>
    <w:p w14:paraId="2258B6E3">
      <w:pPr>
        <w:pStyle w:val="2"/>
        <w:spacing w:before="48" w:line="259" w:lineRule="auto"/>
        <w:ind w:left="369" w:right="60" w:firstLine="410"/>
        <w:jc w:val="both"/>
        <w:rPr>
          <w:sz w:val="20"/>
          <w:szCs w:val="20"/>
        </w:rPr>
      </w:pPr>
      <w:r>
        <w:rPr>
          <w:spacing w:val="3"/>
          <w:sz w:val="20"/>
          <w:szCs w:val="20"/>
        </w:rPr>
        <w:t>信息系统工程中的合同违约通常是指信息系统工程合同当事人一方或双方不履行或不适当</w:t>
      </w:r>
      <w:r>
        <w:rPr>
          <w:spacing w:val="10"/>
          <w:sz w:val="20"/>
          <w:szCs w:val="20"/>
        </w:rPr>
        <w:t xml:space="preserve"> </w:t>
      </w:r>
      <w:r>
        <w:rPr>
          <w:spacing w:val="3"/>
          <w:sz w:val="20"/>
          <w:szCs w:val="20"/>
        </w:rPr>
        <w:t>履行合同义务，应承担因此给对方造成经济损失的赔偿责任。在此，主要是指</w:t>
      </w:r>
      <w:r>
        <w:rPr>
          <w:spacing w:val="2"/>
          <w:sz w:val="20"/>
          <w:szCs w:val="20"/>
        </w:rPr>
        <w:t>业主单位的违约</w:t>
      </w:r>
      <w:r>
        <w:rPr>
          <w:sz w:val="20"/>
          <w:szCs w:val="20"/>
        </w:rPr>
        <w:t xml:space="preserve"> </w:t>
      </w:r>
      <w:r>
        <w:rPr>
          <w:spacing w:val="-2"/>
          <w:sz w:val="20"/>
          <w:szCs w:val="20"/>
        </w:rPr>
        <w:t>和承建单位的违约及其他不可抗力的违约。</w:t>
      </w:r>
    </w:p>
    <w:p w14:paraId="2BAAF7E3">
      <w:pPr>
        <w:spacing w:line="259" w:lineRule="auto"/>
        <w:rPr>
          <w:sz w:val="20"/>
          <w:szCs w:val="20"/>
        </w:rPr>
        <w:sectPr>
          <w:pgSz w:w="10310" w:h="13350"/>
          <w:pgMar w:top="400" w:right="1030" w:bottom="400" w:left="510" w:header="0" w:footer="0" w:gutter="0"/>
          <w:cols w:space="720" w:num="1"/>
        </w:sectPr>
      </w:pPr>
    </w:p>
    <w:p w14:paraId="47F7604D">
      <w:pPr>
        <w:pStyle w:val="2"/>
        <w:spacing w:before="56" w:line="219" w:lineRule="auto"/>
        <w:jc w:val="right"/>
        <w:rPr>
          <w:rFonts w:ascii="Times New Roman" w:hAnsi="Times New Roman" w:eastAsia="Times New Roman" w:cs="Times New Roman"/>
          <w:sz w:val="19"/>
          <w:szCs w:val="19"/>
        </w:rPr>
      </w:pPr>
      <w:r>
        <w:rPr>
          <w:spacing w:val="5"/>
          <w:sz w:val="19"/>
          <w:szCs w:val="19"/>
        </w:rPr>
        <w:t>第13章</w:t>
      </w:r>
      <w:r>
        <w:rPr>
          <w:spacing w:val="41"/>
          <w:sz w:val="19"/>
          <w:szCs w:val="19"/>
        </w:rPr>
        <w:t xml:space="preserve"> </w:t>
      </w:r>
      <w:r>
        <w:rPr>
          <w:spacing w:val="5"/>
          <w:sz w:val="19"/>
          <w:szCs w:val="19"/>
        </w:rPr>
        <w:t xml:space="preserve">合同管理      </w:t>
      </w:r>
      <w:r>
        <w:rPr>
          <w:rFonts w:ascii="Times New Roman" w:hAnsi="Times New Roman" w:eastAsia="Times New Roman" w:cs="Times New Roman"/>
          <w:spacing w:val="5"/>
          <w:sz w:val="19"/>
          <w:szCs w:val="19"/>
        </w:rPr>
        <w:t>319</w:t>
      </w:r>
    </w:p>
    <w:p w14:paraId="56CEEAC7">
      <w:pPr>
        <w:spacing w:line="311" w:lineRule="auto"/>
        <w:rPr>
          <w:rFonts w:ascii="Arial"/>
          <w:sz w:val="21"/>
        </w:rPr>
      </w:pPr>
    </w:p>
    <w:p w14:paraId="63529D7F">
      <w:pPr>
        <w:pStyle w:val="2"/>
        <w:spacing w:before="62" w:line="308" w:lineRule="auto"/>
        <w:ind w:right="306" w:firstLine="409"/>
        <w:rPr>
          <w:sz w:val="19"/>
          <w:szCs w:val="19"/>
        </w:rPr>
      </w:pPr>
      <w:r>
        <w:rPr>
          <w:spacing w:val="13"/>
          <w:sz w:val="19"/>
          <w:szCs w:val="19"/>
        </w:rPr>
        <w:t>监理单位在处理双方违约过程中，应当本着公正、公平与合理的原则，积</w:t>
      </w:r>
      <w:r>
        <w:rPr>
          <w:spacing w:val="12"/>
          <w:sz w:val="19"/>
          <w:szCs w:val="19"/>
        </w:rPr>
        <w:t>极协助、配合双</w:t>
      </w:r>
      <w:r>
        <w:rPr>
          <w:sz w:val="19"/>
          <w:szCs w:val="19"/>
        </w:rPr>
        <w:t xml:space="preserve"> </w:t>
      </w:r>
      <w:r>
        <w:rPr>
          <w:spacing w:val="6"/>
          <w:sz w:val="19"/>
          <w:szCs w:val="19"/>
        </w:rPr>
        <w:t>方解决违约纠纷。具体工作思路如下：</w:t>
      </w:r>
    </w:p>
    <w:p w14:paraId="690BEA33">
      <w:pPr>
        <w:pStyle w:val="2"/>
        <w:spacing w:before="6" w:line="266" w:lineRule="auto"/>
        <w:ind w:right="308" w:firstLine="409"/>
        <w:rPr>
          <w:sz w:val="19"/>
          <w:szCs w:val="19"/>
        </w:rPr>
      </w:pPr>
      <w:r>
        <w:rPr>
          <w:spacing w:val="15"/>
          <w:sz w:val="19"/>
          <w:szCs w:val="19"/>
        </w:rPr>
        <w:t>(1)在监理过程中发现违约事件可能发生时，应及时提醒有关方面，防</w:t>
      </w:r>
      <w:r>
        <w:rPr>
          <w:spacing w:val="14"/>
          <w:sz w:val="19"/>
          <w:szCs w:val="19"/>
        </w:rPr>
        <w:t>止或减少违约事件</w:t>
      </w:r>
      <w:r>
        <w:rPr>
          <w:sz w:val="19"/>
          <w:szCs w:val="19"/>
        </w:rPr>
        <w:t xml:space="preserve"> </w:t>
      </w:r>
      <w:r>
        <w:rPr>
          <w:spacing w:val="-1"/>
          <w:sz w:val="19"/>
          <w:szCs w:val="19"/>
        </w:rPr>
        <w:t>的发生；</w:t>
      </w:r>
    </w:p>
    <w:p w14:paraId="3FAF7A98">
      <w:pPr>
        <w:pStyle w:val="2"/>
        <w:spacing w:before="103" w:line="256" w:lineRule="auto"/>
        <w:ind w:right="221" w:firstLine="409"/>
        <w:rPr>
          <w:sz w:val="19"/>
          <w:szCs w:val="19"/>
        </w:rPr>
      </w:pPr>
      <w:r>
        <w:rPr>
          <w:spacing w:val="17"/>
          <w:sz w:val="19"/>
          <w:szCs w:val="19"/>
        </w:rPr>
        <w:t>(2)受损失方可向项目监理单位提出违约事件的申诉，监理工程师对违约事件进行调查、</w:t>
      </w:r>
      <w:r>
        <w:rPr>
          <w:sz w:val="19"/>
          <w:szCs w:val="19"/>
        </w:rPr>
        <w:t xml:space="preserve"> </w:t>
      </w:r>
      <w:r>
        <w:rPr>
          <w:spacing w:val="3"/>
          <w:sz w:val="19"/>
          <w:szCs w:val="19"/>
        </w:rPr>
        <w:t>分析，提出处理方案；</w:t>
      </w:r>
    </w:p>
    <w:p w14:paraId="0CA16B77">
      <w:pPr>
        <w:pStyle w:val="2"/>
        <w:spacing w:before="93" w:line="219" w:lineRule="auto"/>
        <w:ind w:left="409"/>
        <w:rPr>
          <w:sz w:val="19"/>
          <w:szCs w:val="19"/>
        </w:rPr>
      </w:pPr>
      <w:r>
        <w:rPr>
          <w:spacing w:val="11"/>
          <w:sz w:val="19"/>
          <w:szCs w:val="19"/>
        </w:rPr>
        <w:t>(3)对已发生的违约事件，要以事实为根据，以合同约定为准</w:t>
      </w:r>
      <w:r>
        <w:rPr>
          <w:spacing w:val="10"/>
          <w:sz w:val="19"/>
          <w:szCs w:val="19"/>
        </w:rPr>
        <w:t>绳，公平处理；</w:t>
      </w:r>
    </w:p>
    <w:p w14:paraId="5EBE41A6">
      <w:pPr>
        <w:pStyle w:val="2"/>
        <w:spacing w:before="72" w:line="271" w:lineRule="auto"/>
        <w:ind w:right="307" w:firstLine="409"/>
        <w:rPr>
          <w:sz w:val="19"/>
          <w:szCs w:val="19"/>
        </w:rPr>
      </w:pPr>
      <w:r>
        <w:rPr>
          <w:spacing w:val="15"/>
          <w:sz w:val="19"/>
          <w:szCs w:val="19"/>
        </w:rPr>
        <w:t>(4)在与双方协商一致的基础上，评估工期及费用损失的数量，由总监理</w:t>
      </w:r>
      <w:r>
        <w:rPr>
          <w:spacing w:val="14"/>
          <w:sz w:val="19"/>
          <w:szCs w:val="19"/>
        </w:rPr>
        <w:t>工程师签发必要</w:t>
      </w:r>
      <w:r>
        <w:rPr>
          <w:sz w:val="19"/>
          <w:szCs w:val="19"/>
        </w:rPr>
        <w:t xml:space="preserve"> </w:t>
      </w:r>
      <w:r>
        <w:rPr>
          <w:spacing w:val="15"/>
          <w:sz w:val="19"/>
          <w:szCs w:val="19"/>
        </w:rPr>
        <w:t>的凭证(例如监理通知);</w:t>
      </w:r>
    </w:p>
    <w:p w14:paraId="7F4EEF92">
      <w:pPr>
        <w:pStyle w:val="2"/>
        <w:spacing w:before="94" w:line="219" w:lineRule="auto"/>
        <w:ind w:left="409"/>
        <w:rPr>
          <w:sz w:val="19"/>
          <w:szCs w:val="19"/>
        </w:rPr>
      </w:pPr>
      <w:r>
        <w:rPr>
          <w:spacing w:val="11"/>
          <w:sz w:val="19"/>
          <w:szCs w:val="19"/>
        </w:rPr>
        <w:t>(5)处理违约事件应在认真听取各方意见、在与双方充分协商的基础上确定解决方案；</w:t>
      </w:r>
    </w:p>
    <w:p w14:paraId="135AA955">
      <w:pPr>
        <w:pStyle w:val="2"/>
        <w:spacing w:before="84" w:line="219" w:lineRule="auto"/>
        <w:ind w:left="409"/>
        <w:rPr>
          <w:sz w:val="19"/>
          <w:szCs w:val="19"/>
        </w:rPr>
      </w:pPr>
      <w:r>
        <w:rPr>
          <w:spacing w:val="11"/>
          <w:sz w:val="19"/>
          <w:szCs w:val="19"/>
        </w:rPr>
        <w:t>(6)由违约一方提出要全部或部分终止合同要求时，监理单位</w:t>
      </w:r>
      <w:r>
        <w:rPr>
          <w:spacing w:val="10"/>
          <w:sz w:val="19"/>
          <w:szCs w:val="19"/>
        </w:rPr>
        <w:t>应慎重处理。</w:t>
      </w:r>
    </w:p>
    <w:p w14:paraId="6EC20D68">
      <w:pPr>
        <w:pStyle w:val="2"/>
        <w:spacing w:before="254" w:line="219" w:lineRule="auto"/>
        <w:ind w:left="3"/>
        <w:rPr>
          <w:sz w:val="25"/>
          <w:szCs w:val="25"/>
        </w:rPr>
      </w:pPr>
      <w:r>
        <w:rPr>
          <w:b/>
          <w:bCs/>
          <w:color w:val="0075DD"/>
          <w:spacing w:val="-16"/>
          <w:sz w:val="25"/>
          <w:szCs w:val="25"/>
        </w:rPr>
        <w:t>13.5.2</w:t>
      </w:r>
      <w:r>
        <w:rPr>
          <w:color w:val="0075DD"/>
          <w:spacing w:val="88"/>
          <w:sz w:val="25"/>
          <w:szCs w:val="25"/>
        </w:rPr>
        <w:t xml:space="preserve"> </w:t>
      </w:r>
      <w:r>
        <w:rPr>
          <w:b/>
          <w:bCs/>
          <w:color w:val="0075DD"/>
          <w:spacing w:val="-16"/>
          <w:sz w:val="25"/>
          <w:szCs w:val="25"/>
        </w:rPr>
        <w:t>对业主单位违约的管理</w:t>
      </w:r>
    </w:p>
    <w:p w14:paraId="690FE0F4">
      <w:pPr>
        <w:pStyle w:val="2"/>
        <w:spacing w:before="164" w:line="297" w:lineRule="auto"/>
        <w:ind w:right="290" w:firstLine="409"/>
        <w:jc w:val="both"/>
        <w:rPr>
          <w:sz w:val="19"/>
          <w:szCs w:val="19"/>
        </w:rPr>
      </w:pPr>
      <w:r>
        <w:rPr>
          <w:spacing w:val="13"/>
          <w:sz w:val="19"/>
          <w:szCs w:val="19"/>
        </w:rPr>
        <w:t>业主单位违约是指业主单位不履行或不完全履行合同约定的义务</w:t>
      </w:r>
      <w:r>
        <w:rPr>
          <w:spacing w:val="12"/>
          <w:sz w:val="19"/>
          <w:szCs w:val="19"/>
        </w:rPr>
        <w:t>，无故不按时支付项目预</w:t>
      </w:r>
      <w:r>
        <w:rPr>
          <w:sz w:val="19"/>
          <w:szCs w:val="19"/>
        </w:rPr>
        <w:t xml:space="preserve"> </w:t>
      </w:r>
      <w:r>
        <w:rPr>
          <w:spacing w:val="18"/>
          <w:sz w:val="19"/>
          <w:szCs w:val="19"/>
        </w:rPr>
        <w:t>付款、项目款等情况，致使承建单位的实施(</w:t>
      </w:r>
      <w:r>
        <w:rPr>
          <w:spacing w:val="17"/>
          <w:sz w:val="19"/>
          <w:szCs w:val="19"/>
        </w:rPr>
        <w:t>可能包括设计单位的设计)无法进行或给对方单</w:t>
      </w:r>
      <w:r>
        <w:rPr>
          <w:sz w:val="19"/>
          <w:szCs w:val="19"/>
        </w:rPr>
        <w:t xml:space="preserve"> </w:t>
      </w:r>
      <w:r>
        <w:rPr>
          <w:spacing w:val="13"/>
          <w:sz w:val="19"/>
          <w:szCs w:val="19"/>
        </w:rPr>
        <w:t>位带来经济损失的行为。通常，业主单位有下列事实时，监理工程师应确认业主单位违约：业</w:t>
      </w:r>
      <w:r>
        <w:rPr>
          <w:spacing w:val="12"/>
          <w:sz w:val="19"/>
          <w:szCs w:val="19"/>
        </w:rPr>
        <w:t xml:space="preserve"> </w:t>
      </w:r>
      <w:r>
        <w:rPr>
          <w:spacing w:val="13"/>
          <w:sz w:val="19"/>
          <w:szCs w:val="19"/>
        </w:rPr>
        <w:t>主单位不按时支付项目预付款；业主单位不按合同约定支付项目款，导致实施无法进</w:t>
      </w:r>
      <w:r>
        <w:rPr>
          <w:spacing w:val="12"/>
          <w:sz w:val="19"/>
          <w:szCs w:val="19"/>
        </w:rPr>
        <w:t>行；业主</w:t>
      </w:r>
      <w:r>
        <w:rPr>
          <w:sz w:val="19"/>
          <w:szCs w:val="19"/>
        </w:rPr>
        <w:t xml:space="preserve"> </w:t>
      </w:r>
      <w:r>
        <w:rPr>
          <w:spacing w:val="13"/>
          <w:sz w:val="19"/>
          <w:szCs w:val="19"/>
        </w:rPr>
        <w:t>单位无正当理由不支付项目竣工结算款；业主单位不履行合同义务或不按合同约定履行义务的</w:t>
      </w:r>
      <w:r>
        <w:rPr>
          <w:spacing w:val="1"/>
          <w:sz w:val="19"/>
          <w:szCs w:val="19"/>
        </w:rPr>
        <w:t xml:space="preserve"> </w:t>
      </w:r>
      <w:r>
        <w:rPr>
          <w:spacing w:val="2"/>
          <w:sz w:val="19"/>
          <w:szCs w:val="19"/>
        </w:rPr>
        <w:t>其他情况。</w:t>
      </w:r>
    </w:p>
    <w:p w14:paraId="6775C5B4">
      <w:pPr>
        <w:pStyle w:val="2"/>
        <w:spacing w:before="65" w:line="283" w:lineRule="auto"/>
        <w:ind w:right="301" w:firstLine="409"/>
        <w:jc w:val="both"/>
        <w:rPr>
          <w:sz w:val="19"/>
          <w:szCs w:val="19"/>
        </w:rPr>
      </w:pPr>
      <w:r>
        <w:rPr>
          <w:spacing w:val="13"/>
          <w:sz w:val="19"/>
          <w:szCs w:val="19"/>
        </w:rPr>
        <w:t>当监理工程师收到因业主单位违约而提出的部分或全部终止合同</w:t>
      </w:r>
      <w:r>
        <w:rPr>
          <w:spacing w:val="12"/>
          <w:sz w:val="19"/>
          <w:szCs w:val="19"/>
        </w:rPr>
        <w:t>的通知后，应尽快深入进</w:t>
      </w:r>
      <w:r>
        <w:rPr>
          <w:sz w:val="19"/>
          <w:szCs w:val="19"/>
        </w:rPr>
        <w:t xml:space="preserve"> </w:t>
      </w:r>
      <w:r>
        <w:rPr>
          <w:spacing w:val="13"/>
          <w:sz w:val="19"/>
          <w:szCs w:val="19"/>
        </w:rPr>
        <w:t>行调查，收集有关资料，澄清事实。在调查了解的基础上，根据合同文件要求，同业主单位和</w:t>
      </w:r>
      <w:r>
        <w:rPr>
          <w:spacing w:val="1"/>
          <w:sz w:val="19"/>
          <w:szCs w:val="19"/>
        </w:rPr>
        <w:t xml:space="preserve"> </w:t>
      </w:r>
      <w:r>
        <w:rPr>
          <w:spacing w:val="7"/>
          <w:sz w:val="19"/>
          <w:szCs w:val="19"/>
        </w:rPr>
        <w:t>承建单位协商后，办理违约金的支付。</w:t>
      </w:r>
    </w:p>
    <w:p w14:paraId="3DB596F0">
      <w:pPr>
        <w:pStyle w:val="2"/>
        <w:spacing w:before="46" w:line="219" w:lineRule="auto"/>
        <w:ind w:left="409"/>
        <w:rPr>
          <w:sz w:val="19"/>
          <w:szCs w:val="19"/>
        </w:rPr>
      </w:pPr>
      <w:r>
        <w:rPr>
          <w:spacing w:val="7"/>
          <w:sz w:val="19"/>
          <w:szCs w:val="19"/>
        </w:rPr>
        <w:t>通常，业主单位违约包括以下几种情形。</w:t>
      </w:r>
    </w:p>
    <w:p w14:paraId="7B5BC810">
      <w:pPr>
        <w:pStyle w:val="2"/>
        <w:spacing w:before="86" w:line="219" w:lineRule="auto"/>
        <w:ind w:left="409"/>
        <w:rPr>
          <w:sz w:val="19"/>
          <w:szCs w:val="19"/>
        </w:rPr>
      </w:pPr>
      <w:r>
        <w:rPr>
          <w:spacing w:val="11"/>
          <w:sz w:val="19"/>
          <w:szCs w:val="19"/>
        </w:rPr>
        <w:t>(1)违反信息系统工程合同设计部分的责任。具体包括：</w:t>
      </w:r>
    </w:p>
    <w:p w14:paraId="3ECB250A">
      <w:pPr>
        <w:pStyle w:val="2"/>
        <w:spacing w:before="72" w:line="267" w:lineRule="auto"/>
        <w:ind w:right="288" w:firstLine="409"/>
        <w:rPr>
          <w:sz w:val="19"/>
          <w:szCs w:val="19"/>
        </w:rPr>
      </w:pPr>
      <w:r>
        <w:rPr>
          <w:spacing w:val="13"/>
          <w:sz w:val="19"/>
          <w:szCs w:val="19"/>
        </w:rPr>
        <w:t>①未按合同规定的时间提供有关设计的文件、资料及工作条件等，应承担由此造成承建单</w:t>
      </w:r>
      <w:r>
        <w:rPr>
          <w:spacing w:val="10"/>
          <w:sz w:val="19"/>
          <w:szCs w:val="19"/>
        </w:rPr>
        <w:t xml:space="preserve"> </w:t>
      </w:r>
      <w:r>
        <w:rPr>
          <w:spacing w:val="4"/>
          <w:sz w:val="19"/>
          <w:szCs w:val="19"/>
        </w:rPr>
        <w:t>位设计停工的损失；</w:t>
      </w:r>
    </w:p>
    <w:p w14:paraId="7ABF916F">
      <w:pPr>
        <w:pStyle w:val="2"/>
        <w:spacing w:before="81" w:line="262" w:lineRule="auto"/>
        <w:ind w:right="282" w:firstLine="409"/>
        <w:rPr>
          <w:sz w:val="19"/>
          <w:szCs w:val="19"/>
        </w:rPr>
      </w:pPr>
      <w:r>
        <w:rPr>
          <w:spacing w:val="13"/>
          <w:sz w:val="19"/>
          <w:szCs w:val="19"/>
        </w:rPr>
        <w:t>②由于改变计划或提供的资料不准确而造成设计返工或增加工作量，应按实际工作量增加</w:t>
      </w:r>
      <w:r>
        <w:rPr>
          <w:spacing w:val="16"/>
          <w:sz w:val="19"/>
          <w:szCs w:val="19"/>
        </w:rPr>
        <w:t xml:space="preserve"> </w:t>
      </w:r>
      <w:r>
        <w:rPr>
          <w:spacing w:val="2"/>
          <w:sz w:val="19"/>
          <w:szCs w:val="19"/>
        </w:rPr>
        <w:t>设计费用。</w:t>
      </w:r>
    </w:p>
    <w:p w14:paraId="0D7E1B4B">
      <w:pPr>
        <w:pStyle w:val="2"/>
        <w:spacing w:before="73" w:line="219" w:lineRule="auto"/>
        <w:ind w:left="409"/>
        <w:rPr>
          <w:sz w:val="19"/>
          <w:szCs w:val="19"/>
        </w:rPr>
      </w:pPr>
      <w:r>
        <w:rPr>
          <w:spacing w:val="11"/>
          <w:sz w:val="19"/>
          <w:szCs w:val="19"/>
        </w:rPr>
        <w:t>(2)违反信息系统工程合同实施部分的责任。具体包括：</w:t>
      </w:r>
    </w:p>
    <w:p w14:paraId="1475A029">
      <w:pPr>
        <w:pStyle w:val="2"/>
        <w:spacing w:before="72" w:line="266" w:lineRule="auto"/>
        <w:ind w:right="308" w:firstLine="409"/>
        <w:rPr>
          <w:sz w:val="19"/>
          <w:szCs w:val="19"/>
        </w:rPr>
      </w:pPr>
      <w:r>
        <w:rPr>
          <w:spacing w:val="13"/>
          <w:sz w:val="19"/>
          <w:szCs w:val="19"/>
        </w:rPr>
        <w:t>①未按合同规定的时间和要求提供实施场地、实施条件、技术资料、</w:t>
      </w:r>
      <w:r>
        <w:rPr>
          <w:spacing w:val="12"/>
          <w:sz w:val="19"/>
          <w:szCs w:val="19"/>
        </w:rPr>
        <w:t>设备、资金等，除将</w:t>
      </w:r>
      <w:r>
        <w:rPr>
          <w:sz w:val="19"/>
          <w:szCs w:val="19"/>
        </w:rPr>
        <w:t xml:space="preserve"> </w:t>
      </w:r>
      <w:r>
        <w:rPr>
          <w:spacing w:val="8"/>
          <w:sz w:val="19"/>
          <w:szCs w:val="19"/>
        </w:rPr>
        <w:t>项目日期顺延外，还应偿付承建单位因此造成停工、窝工的实际损失；</w:t>
      </w:r>
    </w:p>
    <w:p w14:paraId="06ADFCCD">
      <w:pPr>
        <w:pStyle w:val="2"/>
        <w:spacing w:before="73" w:line="217" w:lineRule="auto"/>
        <w:ind w:left="409"/>
        <w:rPr>
          <w:sz w:val="19"/>
          <w:szCs w:val="19"/>
        </w:rPr>
      </w:pPr>
      <w:r>
        <w:rPr>
          <w:spacing w:val="7"/>
          <w:sz w:val="19"/>
          <w:szCs w:val="19"/>
        </w:rPr>
        <w:t>②项目中途停建、缓建，应采取措施弥补或减少损失；</w:t>
      </w:r>
    </w:p>
    <w:p w14:paraId="3985F200">
      <w:pPr>
        <w:pStyle w:val="2"/>
        <w:spacing w:before="86" w:line="217" w:lineRule="auto"/>
        <w:ind w:left="409"/>
        <w:rPr>
          <w:sz w:val="19"/>
          <w:szCs w:val="19"/>
        </w:rPr>
      </w:pPr>
      <w:r>
        <w:rPr>
          <w:spacing w:val="7"/>
          <w:sz w:val="19"/>
          <w:szCs w:val="19"/>
        </w:rPr>
        <w:t>③验收或拨付项目费超过期限，应偿付逾期违约金。</w:t>
      </w:r>
    </w:p>
    <w:p w14:paraId="4DCFF7F2">
      <w:pPr>
        <w:pStyle w:val="2"/>
        <w:spacing w:before="68" w:line="292" w:lineRule="auto"/>
        <w:ind w:right="290" w:firstLine="409"/>
        <w:jc w:val="both"/>
        <w:rPr>
          <w:sz w:val="19"/>
          <w:szCs w:val="19"/>
        </w:rPr>
      </w:pPr>
      <w:r>
        <w:rPr>
          <w:spacing w:val="13"/>
          <w:sz w:val="19"/>
          <w:szCs w:val="19"/>
        </w:rPr>
        <w:t>当业主单位违约导致实施合同最终解除时，监理单位应就承建单位按实施合同规定</w:t>
      </w:r>
      <w:r>
        <w:rPr>
          <w:spacing w:val="12"/>
          <w:sz w:val="19"/>
          <w:szCs w:val="19"/>
        </w:rPr>
        <w:t>应得的</w:t>
      </w:r>
      <w:r>
        <w:rPr>
          <w:sz w:val="19"/>
          <w:szCs w:val="19"/>
        </w:rPr>
        <w:t xml:space="preserve"> </w:t>
      </w:r>
      <w:r>
        <w:rPr>
          <w:spacing w:val="13"/>
          <w:sz w:val="19"/>
          <w:szCs w:val="19"/>
        </w:rPr>
        <w:t xml:space="preserve">款项与业主单位和承建单位进行协商，并按实施合同的规定从下列应得的款项中确定承建单位 </w:t>
      </w:r>
      <w:r>
        <w:rPr>
          <w:spacing w:val="8"/>
          <w:sz w:val="19"/>
          <w:szCs w:val="19"/>
        </w:rPr>
        <w:t>应得到的全部款项，并书面通知业主单位和承建单位，具体包括：</w:t>
      </w:r>
    </w:p>
    <w:p w14:paraId="0BD153A3">
      <w:pPr>
        <w:pStyle w:val="2"/>
        <w:spacing w:before="38" w:line="217" w:lineRule="auto"/>
        <w:ind w:left="409"/>
        <w:rPr>
          <w:sz w:val="19"/>
          <w:szCs w:val="19"/>
        </w:rPr>
      </w:pPr>
      <w:r>
        <w:rPr>
          <w:spacing w:val="7"/>
          <w:sz w:val="19"/>
          <w:szCs w:val="19"/>
        </w:rPr>
        <w:t>①承建单位已完成的各项工作所应得的款项；</w:t>
      </w:r>
    </w:p>
    <w:p w14:paraId="5BA45A18">
      <w:pPr>
        <w:spacing w:line="217" w:lineRule="auto"/>
        <w:rPr>
          <w:sz w:val="19"/>
          <w:szCs w:val="19"/>
        </w:rPr>
        <w:sectPr>
          <w:pgSz w:w="10290" w:h="13300"/>
          <w:pgMar w:top="400" w:right="582" w:bottom="400" w:left="1080" w:header="0" w:footer="0" w:gutter="0"/>
          <w:cols w:space="720" w:num="1"/>
        </w:sectPr>
      </w:pPr>
    </w:p>
    <w:p w14:paraId="0940548A">
      <w:pPr>
        <w:pStyle w:val="2"/>
        <w:spacing w:before="77" w:line="219" w:lineRule="auto"/>
        <w:rPr>
          <w:sz w:val="19"/>
          <w:szCs w:val="19"/>
        </w:rPr>
      </w:pPr>
      <w:r>
        <w:rPr>
          <w:rFonts w:ascii="Times New Roman" w:hAnsi="Times New Roman" w:eastAsia="Times New Roman" w:cs="Times New Roman"/>
          <w:spacing w:val="3"/>
          <w:sz w:val="19"/>
          <w:szCs w:val="19"/>
        </w:rPr>
        <w:t xml:space="preserve">320              </w:t>
      </w:r>
      <w:r>
        <w:rPr>
          <w:spacing w:val="3"/>
          <w:sz w:val="19"/>
          <w:szCs w:val="19"/>
        </w:rPr>
        <w:t>信息系统监理师教程(第2版)</w:t>
      </w:r>
    </w:p>
    <w:p w14:paraId="4F471739">
      <w:pPr>
        <w:spacing w:line="338" w:lineRule="auto"/>
        <w:rPr>
          <w:rFonts w:ascii="Arial"/>
          <w:sz w:val="21"/>
        </w:rPr>
      </w:pPr>
    </w:p>
    <w:p w14:paraId="21588C89">
      <w:pPr>
        <w:pStyle w:val="2"/>
        <w:spacing w:before="62" w:line="217" w:lineRule="auto"/>
        <w:ind w:left="780"/>
        <w:rPr>
          <w:sz w:val="19"/>
          <w:szCs w:val="19"/>
        </w:rPr>
      </w:pPr>
      <w:r>
        <w:rPr>
          <w:spacing w:val="8"/>
          <w:sz w:val="19"/>
          <w:szCs w:val="19"/>
        </w:rPr>
        <w:t>②按合同规定采购并交付的设备、项目材料、软硬件产品的款项，合理的利润补偿；</w:t>
      </w:r>
    </w:p>
    <w:p w14:paraId="44D5F984">
      <w:pPr>
        <w:pStyle w:val="2"/>
        <w:spacing w:before="96" w:line="217" w:lineRule="auto"/>
        <w:ind w:left="780"/>
        <w:rPr>
          <w:sz w:val="19"/>
          <w:szCs w:val="19"/>
        </w:rPr>
      </w:pPr>
      <w:r>
        <w:rPr>
          <w:spacing w:val="7"/>
          <w:sz w:val="19"/>
          <w:szCs w:val="19"/>
        </w:rPr>
        <w:t>③实施合同规定的业主单位应支付的违约金。</w:t>
      </w:r>
    </w:p>
    <w:p w14:paraId="7311F39E">
      <w:pPr>
        <w:pStyle w:val="2"/>
        <w:spacing w:before="97" w:line="298" w:lineRule="auto"/>
        <w:ind w:left="370" w:firstLine="409"/>
        <w:rPr>
          <w:sz w:val="19"/>
          <w:szCs w:val="19"/>
        </w:rPr>
      </w:pPr>
      <w:r>
        <w:rPr>
          <w:spacing w:val="15"/>
          <w:sz w:val="19"/>
          <w:szCs w:val="19"/>
        </w:rPr>
        <w:t>在处理业主单位的违约过程中，监理单位应积极协助承建单位</w:t>
      </w:r>
      <w:r>
        <w:rPr>
          <w:spacing w:val="14"/>
          <w:sz w:val="19"/>
          <w:szCs w:val="19"/>
        </w:rPr>
        <w:t>，与业主单位沟通与配合，</w:t>
      </w:r>
      <w:r>
        <w:rPr>
          <w:sz w:val="19"/>
          <w:szCs w:val="19"/>
        </w:rPr>
        <w:t xml:space="preserve"> </w:t>
      </w:r>
      <w:r>
        <w:rPr>
          <w:spacing w:val="7"/>
          <w:sz w:val="19"/>
          <w:szCs w:val="19"/>
        </w:rPr>
        <w:t>公正合理地帮助解决因业主单位违约而给承建单位造成的损失。</w:t>
      </w:r>
    </w:p>
    <w:p w14:paraId="1A67A5DD">
      <w:pPr>
        <w:pStyle w:val="2"/>
        <w:spacing w:before="177" w:line="219" w:lineRule="auto"/>
        <w:ind w:left="373"/>
        <w:rPr>
          <w:sz w:val="25"/>
          <w:szCs w:val="25"/>
        </w:rPr>
      </w:pPr>
      <w:r>
        <w:rPr>
          <w:b/>
          <w:bCs/>
          <w:color w:val="0085DE"/>
          <w:spacing w:val="-17"/>
          <w:sz w:val="25"/>
          <w:szCs w:val="25"/>
        </w:rPr>
        <w:t>13.5.3</w:t>
      </w:r>
      <w:r>
        <w:rPr>
          <w:color w:val="0085DE"/>
          <w:spacing w:val="82"/>
          <w:sz w:val="25"/>
          <w:szCs w:val="25"/>
        </w:rPr>
        <w:t xml:space="preserve"> </w:t>
      </w:r>
      <w:r>
        <w:rPr>
          <w:b/>
          <w:bCs/>
          <w:color w:val="0085DE"/>
          <w:spacing w:val="-17"/>
          <w:sz w:val="25"/>
          <w:szCs w:val="25"/>
        </w:rPr>
        <w:t>对承建单位违约的管理</w:t>
      </w:r>
    </w:p>
    <w:p w14:paraId="17AE4207">
      <w:pPr>
        <w:pStyle w:val="2"/>
        <w:spacing w:before="182" w:line="295" w:lineRule="auto"/>
        <w:ind w:left="370" w:right="40" w:firstLine="409"/>
        <w:jc w:val="both"/>
        <w:rPr>
          <w:sz w:val="19"/>
          <w:szCs w:val="19"/>
        </w:rPr>
      </w:pPr>
      <w:r>
        <w:rPr>
          <w:spacing w:val="14"/>
          <w:sz w:val="19"/>
          <w:szCs w:val="19"/>
        </w:rPr>
        <w:t>承建单位的违约是指承建单位未能按照合同规定履行</w:t>
      </w:r>
      <w:r>
        <w:rPr>
          <w:spacing w:val="13"/>
          <w:sz w:val="19"/>
          <w:szCs w:val="19"/>
        </w:rPr>
        <w:t>或不完全履行合同约定的义务，出于</w:t>
      </w:r>
      <w:r>
        <w:rPr>
          <w:sz w:val="19"/>
          <w:szCs w:val="19"/>
        </w:rPr>
        <w:t xml:space="preserve"> </w:t>
      </w:r>
      <w:r>
        <w:rPr>
          <w:spacing w:val="9"/>
          <w:sz w:val="19"/>
          <w:szCs w:val="19"/>
        </w:rPr>
        <w:t>人为原因使项目质量达不到合同约定的质量标准，或者无视监理工程师的警告，</w:t>
      </w:r>
      <w:r>
        <w:rPr>
          <w:spacing w:val="72"/>
          <w:sz w:val="19"/>
          <w:szCs w:val="19"/>
        </w:rPr>
        <w:t xml:space="preserve"> </w:t>
      </w:r>
      <w:r>
        <w:rPr>
          <w:spacing w:val="9"/>
          <w:sz w:val="19"/>
          <w:szCs w:val="19"/>
        </w:rPr>
        <w:t>一贯公然忽视</w:t>
      </w:r>
      <w:r>
        <w:rPr>
          <w:sz w:val="19"/>
          <w:szCs w:val="19"/>
        </w:rPr>
        <w:t xml:space="preserve"> </w:t>
      </w:r>
      <w:r>
        <w:rPr>
          <w:spacing w:val="14"/>
          <w:sz w:val="19"/>
          <w:szCs w:val="19"/>
        </w:rPr>
        <w:t>合同规定的责任和义务，或者未经监理工程师同意，随意分包项目，</w:t>
      </w:r>
      <w:r>
        <w:rPr>
          <w:spacing w:val="13"/>
          <w:sz w:val="19"/>
          <w:szCs w:val="19"/>
        </w:rPr>
        <w:t>或将整个项目分包出去，</w:t>
      </w:r>
      <w:r>
        <w:rPr>
          <w:sz w:val="19"/>
          <w:szCs w:val="19"/>
        </w:rPr>
        <w:t xml:space="preserve"> </w:t>
      </w:r>
      <w:r>
        <w:rPr>
          <w:spacing w:val="4"/>
          <w:sz w:val="19"/>
          <w:szCs w:val="19"/>
        </w:rPr>
        <w:t>都视为承建单位的违约。</w:t>
      </w:r>
    </w:p>
    <w:p w14:paraId="1F31EFDA">
      <w:pPr>
        <w:pStyle w:val="2"/>
        <w:spacing w:before="153" w:line="221" w:lineRule="auto"/>
        <w:ind w:left="782"/>
        <w:rPr>
          <w:rFonts w:ascii="黑体" w:hAnsi="黑体" w:eastAsia="黑体" w:cs="黑体"/>
          <w:sz w:val="19"/>
          <w:szCs w:val="19"/>
        </w:rPr>
      </w:pPr>
      <w:r>
        <w:rPr>
          <w:b/>
          <w:bCs/>
          <w:color w:val="0076C6"/>
          <w:spacing w:val="5"/>
          <w:sz w:val="19"/>
          <w:szCs w:val="19"/>
        </w:rPr>
        <w:t>1.</w:t>
      </w:r>
      <w:r>
        <w:rPr>
          <w:rFonts w:ascii="黑体" w:hAnsi="黑体" w:eastAsia="黑体" w:cs="黑体"/>
          <w:b/>
          <w:bCs/>
          <w:color w:val="0076C6"/>
          <w:spacing w:val="5"/>
          <w:sz w:val="19"/>
          <w:szCs w:val="19"/>
        </w:rPr>
        <w:t>承建单位的违约责任</w:t>
      </w:r>
    </w:p>
    <w:p w14:paraId="689204B9">
      <w:pPr>
        <w:pStyle w:val="2"/>
        <w:spacing w:before="148" w:line="219" w:lineRule="auto"/>
        <w:ind w:left="780"/>
        <w:rPr>
          <w:sz w:val="19"/>
          <w:szCs w:val="19"/>
        </w:rPr>
      </w:pPr>
      <w:r>
        <w:rPr>
          <w:spacing w:val="6"/>
          <w:sz w:val="19"/>
          <w:szCs w:val="19"/>
        </w:rPr>
        <w:t>承建单位的违约责任具体如下：</w:t>
      </w:r>
    </w:p>
    <w:p w14:paraId="4AB5BA9D">
      <w:pPr>
        <w:pStyle w:val="2"/>
        <w:spacing w:before="75" w:line="280" w:lineRule="auto"/>
        <w:ind w:left="370" w:firstLine="409"/>
        <w:rPr>
          <w:sz w:val="19"/>
          <w:szCs w:val="19"/>
        </w:rPr>
      </w:pPr>
      <w:r>
        <w:rPr>
          <w:spacing w:val="17"/>
          <w:sz w:val="19"/>
          <w:szCs w:val="19"/>
        </w:rPr>
        <w:t>(1)承建单位违约导致项目质量不符合规定，业主单位有权要求</w:t>
      </w:r>
      <w:r>
        <w:rPr>
          <w:spacing w:val="16"/>
          <w:sz w:val="19"/>
          <w:szCs w:val="19"/>
        </w:rPr>
        <w:t>承建单位限期无偿返工、</w:t>
      </w:r>
      <w:r>
        <w:rPr>
          <w:sz w:val="19"/>
          <w:szCs w:val="19"/>
        </w:rPr>
        <w:t xml:space="preserve"> </w:t>
      </w:r>
      <w:r>
        <w:rPr>
          <w:spacing w:val="13"/>
          <w:sz w:val="19"/>
          <w:szCs w:val="19"/>
        </w:rPr>
        <w:t>完善，由此造成逾期交工的，应偿付逾期违约金，具体逾期违约金的支付标准</w:t>
      </w:r>
      <w:r>
        <w:rPr>
          <w:spacing w:val="12"/>
          <w:sz w:val="19"/>
          <w:szCs w:val="19"/>
        </w:rPr>
        <w:t>依照该实施合同</w:t>
      </w:r>
      <w:r>
        <w:rPr>
          <w:sz w:val="19"/>
          <w:szCs w:val="19"/>
        </w:rPr>
        <w:t xml:space="preserve">  </w:t>
      </w:r>
      <w:r>
        <w:rPr>
          <w:spacing w:val="3"/>
          <w:sz w:val="19"/>
          <w:szCs w:val="19"/>
        </w:rPr>
        <w:t>约定或相关规定执行；</w:t>
      </w:r>
    </w:p>
    <w:p w14:paraId="61314FEF">
      <w:pPr>
        <w:pStyle w:val="2"/>
        <w:spacing w:before="85" w:line="219" w:lineRule="auto"/>
        <w:ind w:left="780"/>
        <w:rPr>
          <w:sz w:val="19"/>
          <w:szCs w:val="19"/>
        </w:rPr>
      </w:pPr>
      <w:r>
        <w:rPr>
          <w:spacing w:val="11"/>
          <w:sz w:val="19"/>
          <w:szCs w:val="19"/>
        </w:rPr>
        <w:t>(2)项目未按规定期限全部竣工的，也应偿付逾期违约金。</w:t>
      </w:r>
    </w:p>
    <w:p w14:paraId="0302EC88">
      <w:pPr>
        <w:pStyle w:val="2"/>
        <w:spacing w:before="180" w:line="221" w:lineRule="auto"/>
        <w:ind w:left="782"/>
        <w:rPr>
          <w:rFonts w:ascii="黑体" w:hAnsi="黑体" w:eastAsia="黑体" w:cs="黑体"/>
          <w:sz w:val="19"/>
          <w:szCs w:val="19"/>
        </w:rPr>
      </w:pPr>
      <w:r>
        <w:rPr>
          <w:b/>
          <w:bCs/>
          <w:color w:val="008EE1"/>
          <w:spacing w:val="7"/>
          <w:sz w:val="19"/>
          <w:szCs w:val="19"/>
        </w:rPr>
        <w:t>2.</w:t>
      </w:r>
      <w:r>
        <w:rPr>
          <w:rFonts w:ascii="黑体" w:hAnsi="黑体" w:eastAsia="黑体" w:cs="黑体"/>
          <w:b/>
          <w:bCs/>
          <w:color w:val="008EE1"/>
          <w:spacing w:val="7"/>
          <w:sz w:val="19"/>
          <w:szCs w:val="19"/>
        </w:rPr>
        <w:t>监理工程师应采取的措施</w:t>
      </w:r>
    </w:p>
    <w:p w14:paraId="0FB9EE8F">
      <w:pPr>
        <w:pStyle w:val="2"/>
        <w:spacing w:before="156" w:line="219" w:lineRule="auto"/>
        <w:ind w:left="780"/>
        <w:rPr>
          <w:sz w:val="19"/>
          <w:szCs w:val="19"/>
        </w:rPr>
      </w:pPr>
      <w:r>
        <w:rPr>
          <w:spacing w:val="9"/>
          <w:sz w:val="19"/>
          <w:szCs w:val="19"/>
        </w:rPr>
        <w:t>监理工程师确认承建单位严重违约，业主单位已部分或</w:t>
      </w:r>
      <w:r>
        <w:rPr>
          <w:spacing w:val="8"/>
          <w:sz w:val="19"/>
          <w:szCs w:val="19"/>
        </w:rPr>
        <w:t>全部终止合同后，应采取如下措施：</w:t>
      </w:r>
    </w:p>
    <w:p w14:paraId="1B621026">
      <w:pPr>
        <w:pStyle w:val="2"/>
        <w:spacing w:before="76" w:line="269" w:lineRule="auto"/>
        <w:ind w:left="370" w:right="86" w:firstLine="409"/>
        <w:rPr>
          <w:sz w:val="19"/>
          <w:szCs w:val="19"/>
        </w:rPr>
      </w:pPr>
      <w:r>
        <w:rPr>
          <w:spacing w:val="17"/>
          <w:sz w:val="19"/>
          <w:szCs w:val="19"/>
        </w:rPr>
        <w:t>(1)指示承建单位将其为履行合同而签订的任何协议的利益(如软、硬件及各种配套</w:t>
      </w:r>
      <w:r>
        <w:rPr>
          <w:spacing w:val="16"/>
          <w:sz w:val="19"/>
          <w:szCs w:val="19"/>
        </w:rPr>
        <w:t>设施</w:t>
      </w:r>
      <w:r>
        <w:rPr>
          <w:sz w:val="19"/>
          <w:szCs w:val="19"/>
        </w:rPr>
        <w:t xml:space="preserve"> </w:t>
      </w:r>
      <w:r>
        <w:rPr>
          <w:spacing w:val="10"/>
          <w:sz w:val="19"/>
          <w:szCs w:val="19"/>
        </w:rPr>
        <w:t>的供应服务提供等)转让给业主单位；</w:t>
      </w:r>
    </w:p>
    <w:p w14:paraId="2408D6CD">
      <w:pPr>
        <w:pStyle w:val="2"/>
        <w:spacing w:before="75" w:line="270" w:lineRule="auto"/>
        <w:ind w:left="370" w:right="87" w:firstLine="409"/>
        <w:rPr>
          <w:sz w:val="19"/>
          <w:szCs w:val="19"/>
        </w:rPr>
      </w:pPr>
      <w:r>
        <w:rPr>
          <w:spacing w:val="15"/>
          <w:sz w:val="19"/>
          <w:szCs w:val="19"/>
        </w:rPr>
        <w:t>(2)认真调查并充分考虑业主单位因此受到的直</w:t>
      </w:r>
      <w:r>
        <w:rPr>
          <w:spacing w:val="14"/>
          <w:sz w:val="19"/>
          <w:szCs w:val="19"/>
        </w:rPr>
        <w:t>接和间接的费用影响后，办理并签发部分</w:t>
      </w:r>
      <w:r>
        <w:rPr>
          <w:sz w:val="19"/>
          <w:szCs w:val="19"/>
        </w:rPr>
        <w:t xml:space="preserve"> </w:t>
      </w:r>
      <w:r>
        <w:rPr>
          <w:spacing w:val="6"/>
          <w:sz w:val="19"/>
          <w:szCs w:val="19"/>
        </w:rPr>
        <w:t>或全部终止合同的支付证明。</w:t>
      </w:r>
    </w:p>
    <w:p w14:paraId="5325C1C3">
      <w:pPr>
        <w:pStyle w:val="2"/>
        <w:spacing w:before="234" w:line="219" w:lineRule="auto"/>
        <w:ind w:left="373"/>
        <w:rPr>
          <w:sz w:val="25"/>
          <w:szCs w:val="25"/>
        </w:rPr>
      </w:pPr>
      <w:r>
        <w:rPr>
          <w:b/>
          <w:bCs/>
          <w:color w:val="0078C8"/>
          <w:spacing w:val="-17"/>
          <w:sz w:val="25"/>
          <w:szCs w:val="25"/>
        </w:rPr>
        <w:t>13.5.4</w:t>
      </w:r>
      <w:r>
        <w:rPr>
          <w:color w:val="0078C8"/>
          <w:spacing w:val="-17"/>
          <w:sz w:val="25"/>
          <w:szCs w:val="25"/>
        </w:rPr>
        <w:t xml:space="preserve">  </w:t>
      </w:r>
      <w:r>
        <w:rPr>
          <w:b/>
          <w:bCs/>
          <w:color w:val="0078C8"/>
          <w:spacing w:val="-17"/>
          <w:sz w:val="25"/>
          <w:szCs w:val="25"/>
        </w:rPr>
        <w:t>对其他违约的管理</w:t>
      </w:r>
    </w:p>
    <w:p w14:paraId="2093C885">
      <w:pPr>
        <w:pStyle w:val="2"/>
        <w:spacing w:before="163" w:line="303" w:lineRule="auto"/>
        <w:ind w:left="370" w:right="86" w:firstLine="409"/>
        <w:jc w:val="both"/>
        <w:rPr>
          <w:sz w:val="19"/>
          <w:szCs w:val="19"/>
        </w:rPr>
      </w:pPr>
      <w:r>
        <w:rPr>
          <w:spacing w:val="15"/>
          <w:sz w:val="19"/>
          <w:szCs w:val="19"/>
        </w:rPr>
        <w:t>其他违约是指由于不可抗力的自然因素或非业主单位原因导致实施合同终止时(例</w:t>
      </w:r>
      <w:r>
        <w:rPr>
          <w:spacing w:val="14"/>
          <w:sz w:val="19"/>
          <w:szCs w:val="19"/>
        </w:rPr>
        <w:t>如相关</w:t>
      </w:r>
      <w:r>
        <w:rPr>
          <w:sz w:val="19"/>
          <w:szCs w:val="19"/>
        </w:rPr>
        <w:t xml:space="preserve"> </w:t>
      </w:r>
      <w:r>
        <w:rPr>
          <w:spacing w:val="12"/>
          <w:sz w:val="19"/>
          <w:szCs w:val="19"/>
        </w:rPr>
        <w:t>政策的变化导致合同必须终止等其他因素),监理单位应按实际合同规定处理合同解除后的有关</w:t>
      </w:r>
      <w:r>
        <w:rPr>
          <w:spacing w:val="13"/>
          <w:sz w:val="19"/>
          <w:szCs w:val="19"/>
        </w:rPr>
        <w:t xml:space="preserve"> </w:t>
      </w:r>
      <w:r>
        <w:rPr>
          <w:spacing w:val="4"/>
          <w:sz w:val="19"/>
          <w:szCs w:val="19"/>
        </w:rPr>
        <w:t>事宜。</w:t>
      </w:r>
    </w:p>
    <w:p w14:paraId="3AE227A6">
      <w:pPr>
        <w:pStyle w:val="2"/>
        <w:spacing w:before="8" w:line="287" w:lineRule="auto"/>
        <w:ind w:left="370" w:right="83" w:firstLine="409"/>
        <w:jc w:val="both"/>
        <w:rPr>
          <w:sz w:val="19"/>
          <w:szCs w:val="19"/>
        </w:rPr>
      </w:pPr>
      <w:r>
        <w:rPr>
          <w:spacing w:val="18"/>
          <w:sz w:val="19"/>
          <w:szCs w:val="19"/>
        </w:rPr>
        <w:t>不可抗力事件发生后，承建单位应立即通知监理单位，在力所能及的条件下</w:t>
      </w:r>
      <w:r>
        <w:rPr>
          <w:spacing w:val="17"/>
          <w:sz w:val="19"/>
          <w:szCs w:val="19"/>
        </w:rPr>
        <w:t>迅速采取措</w:t>
      </w:r>
      <w:r>
        <w:rPr>
          <w:sz w:val="19"/>
          <w:szCs w:val="19"/>
        </w:rPr>
        <w:t xml:space="preserve"> </w:t>
      </w:r>
      <w:r>
        <w:rPr>
          <w:spacing w:val="13"/>
          <w:sz w:val="19"/>
          <w:szCs w:val="19"/>
        </w:rPr>
        <w:t>施，尽力减少损失，业主单位应协助承建单位采取措施。例如，</w:t>
      </w:r>
      <w:r>
        <w:rPr>
          <w:spacing w:val="12"/>
          <w:sz w:val="19"/>
          <w:szCs w:val="19"/>
        </w:rPr>
        <w:t>不可抗力事件结束后的约定时</w:t>
      </w:r>
      <w:r>
        <w:rPr>
          <w:sz w:val="19"/>
          <w:szCs w:val="19"/>
        </w:rPr>
        <w:t xml:space="preserve"> </w:t>
      </w:r>
      <w:r>
        <w:rPr>
          <w:spacing w:val="22"/>
          <w:sz w:val="19"/>
          <w:szCs w:val="19"/>
        </w:rPr>
        <w:t>间(如48小时)内，承建单位向监理单位通报受害情况和损失情况，及预计清理和修复</w:t>
      </w:r>
      <w:r>
        <w:rPr>
          <w:spacing w:val="21"/>
          <w:sz w:val="19"/>
          <w:szCs w:val="19"/>
        </w:rPr>
        <w:t>的费</w:t>
      </w:r>
      <w:r>
        <w:rPr>
          <w:sz w:val="19"/>
          <w:szCs w:val="19"/>
        </w:rPr>
        <w:t xml:space="preserve"> </w:t>
      </w:r>
      <w:r>
        <w:rPr>
          <w:spacing w:val="20"/>
          <w:sz w:val="19"/>
          <w:szCs w:val="19"/>
        </w:rPr>
        <w:t>用。不可抗力事件持续发生，承建单位通常应每隔7天向监理单位报告一次受害情况。通常</w:t>
      </w:r>
      <w:r>
        <w:rPr>
          <w:spacing w:val="4"/>
          <w:sz w:val="19"/>
          <w:szCs w:val="19"/>
        </w:rPr>
        <w:t xml:space="preserve"> </w:t>
      </w:r>
      <w:r>
        <w:rPr>
          <w:spacing w:val="17"/>
          <w:sz w:val="19"/>
          <w:szCs w:val="19"/>
        </w:rPr>
        <w:t>在不可抗力事件结束后14天内，承建单位须向监理单位提交清理和修复费用的正式报告及有</w:t>
      </w:r>
      <w:r>
        <w:rPr>
          <w:spacing w:val="11"/>
          <w:sz w:val="19"/>
          <w:szCs w:val="19"/>
        </w:rPr>
        <w:t xml:space="preserve"> 关资料。</w:t>
      </w:r>
    </w:p>
    <w:p w14:paraId="218F1C39">
      <w:pPr>
        <w:pStyle w:val="2"/>
        <w:spacing w:before="75" w:line="298" w:lineRule="auto"/>
        <w:ind w:left="370" w:right="67" w:firstLine="409"/>
        <w:rPr>
          <w:sz w:val="19"/>
          <w:szCs w:val="19"/>
        </w:rPr>
      </w:pPr>
      <w:r>
        <w:rPr>
          <w:spacing w:val="13"/>
          <w:sz w:val="19"/>
          <w:szCs w:val="19"/>
        </w:rPr>
        <w:t>因不可抗力事件导致的费用及延误的工期，除合同另有约定外，通常由双方按以下方法分</w:t>
      </w:r>
      <w:r>
        <w:rPr>
          <w:sz w:val="19"/>
          <w:szCs w:val="19"/>
        </w:rPr>
        <w:t xml:space="preserve"> </w:t>
      </w:r>
      <w:r>
        <w:rPr>
          <w:spacing w:val="1"/>
          <w:sz w:val="19"/>
          <w:szCs w:val="19"/>
        </w:rPr>
        <w:t>别承担：</w:t>
      </w:r>
    </w:p>
    <w:p w14:paraId="5A55515F">
      <w:pPr>
        <w:pStyle w:val="2"/>
        <w:spacing w:before="6" w:line="219" w:lineRule="auto"/>
        <w:ind w:left="780"/>
        <w:rPr>
          <w:sz w:val="19"/>
          <w:szCs w:val="19"/>
        </w:rPr>
      </w:pPr>
      <w:r>
        <w:rPr>
          <w:spacing w:val="15"/>
          <w:sz w:val="19"/>
          <w:szCs w:val="19"/>
        </w:rPr>
        <w:t>(1)项目本身的损害、因项目损害导致第三方人员伤亡</w:t>
      </w:r>
      <w:r>
        <w:rPr>
          <w:spacing w:val="14"/>
          <w:sz w:val="19"/>
          <w:szCs w:val="19"/>
        </w:rPr>
        <w:t>和财产损失以及运至实施场地用于</w:t>
      </w:r>
    </w:p>
    <w:p w14:paraId="245EE4BE">
      <w:pPr>
        <w:spacing w:line="219" w:lineRule="auto"/>
        <w:rPr>
          <w:sz w:val="19"/>
          <w:szCs w:val="19"/>
        </w:rPr>
        <w:sectPr>
          <w:pgSz w:w="10300" w:h="13400"/>
          <w:pgMar w:top="400" w:right="1044" w:bottom="400" w:left="489" w:header="0" w:footer="0" w:gutter="0"/>
          <w:cols w:space="720" w:num="1"/>
        </w:sectPr>
      </w:pPr>
    </w:p>
    <w:p w14:paraId="7617EF2F">
      <w:pPr>
        <w:pStyle w:val="2"/>
        <w:spacing w:before="57" w:line="220" w:lineRule="auto"/>
        <w:jc w:val="right"/>
        <w:rPr>
          <w:rFonts w:ascii="Times New Roman" w:hAnsi="Times New Roman" w:eastAsia="Times New Roman" w:cs="Times New Roman"/>
          <w:sz w:val="20"/>
          <w:szCs w:val="20"/>
        </w:rPr>
      </w:pPr>
      <w:bookmarkStart w:id="655" w:name="bookmark640"/>
      <w:bookmarkEnd w:id="655"/>
      <w:r>
        <w:rPr>
          <w:sz w:val="20"/>
          <w:szCs w:val="20"/>
        </w:rPr>
        <w:t>第13章</w:t>
      </w:r>
      <w:r>
        <w:rPr>
          <w:spacing w:val="20"/>
          <w:sz w:val="20"/>
          <w:szCs w:val="20"/>
        </w:rPr>
        <w:t xml:space="preserve"> </w:t>
      </w:r>
      <w:r>
        <w:rPr>
          <w:sz w:val="20"/>
          <w:szCs w:val="20"/>
        </w:rPr>
        <w:t xml:space="preserve">合同管理      </w:t>
      </w:r>
      <w:r>
        <w:rPr>
          <w:rFonts w:ascii="Times New Roman" w:hAnsi="Times New Roman" w:eastAsia="Times New Roman" w:cs="Times New Roman"/>
          <w:position w:val="-3"/>
          <w:sz w:val="20"/>
          <w:szCs w:val="20"/>
        </w:rPr>
        <w:t>321</w:t>
      </w:r>
    </w:p>
    <w:p w14:paraId="65DAD063">
      <w:pPr>
        <w:spacing w:line="289" w:lineRule="auto"/>
        <w:rPr>
          <w:rFonts w:ascii="Arial"/>
          <w:sz w:val="21"/>
        </w:rPr>
      </w:pPr>
    </w:p>
    <w:p w14:paraId="3F2B6399">
      <w:pPr>
        <w:pStyle w:val="2"/>
        <w:spacing w:before="65" w:line="219" w:lineRule="auto"/>
        <w:rPr>
          <w:sz w:val="20"/>
          <w:szCs w:val="20"/>
        </w:rPr>
      </w:pPr>
      <w:r>
        <w:rPr>
          <w:spacing w:val="-3"/>
          <w:sz w:val="20"/>
          <w:szCs w:val="20"/>
        </w:rPr>
        <w:t>实施的材料和待安装的设备的损害，由业主单位承担；</w:t>
      </w:r>
    </w:p>
    <w:p w14:paraId="6D7A2B99">
      <w:pPr>
        <w:pStyle w:val="2"/>
        <w:spacing w:before="84" w:line="219" w:lineRule="auto"/>
        <w:ind w:left="410"/>
        <w:rPr>
          <w:sz w:val="20"/>
          <w:szCs w:val="20"/>
        </w:rPr>
      </w:pPr>
      <w:r>
        <w:rPr>
          <w:spacing w:val="1"/>
          <w:sz w:val="20"/>
          <w:szCs w:val="20"/>
        </w:rPr>
        <w:t>(2)业主单位、承建单位人员伤亡由其所在单位负责，并承担相应费用；</w:t>
      </w:r>
    </w:p>
    <w:p w14:paraId="5A1EFD08">
      <w:pPr>
        <w:pStyle w:val="2"/>
        <w:spacing w:before="82" w:line="219" w:lineRule="auto"/>
        <w:ind w:left="410"/>
        <w:rPr>
          <w:sz w:val="20"/>
          <w:szCs w:val="20"/>
        </w:rPr>
      </w:pPr>
      <w:r>
        <w:rPr>
          <w:spacing w:val="2"/>
          <w:sz w:val="20"/>
          <w:szCs w:val="20"/>
        </w:rPr>
        <w:t>(3)承建单位设备损坏及停工损失，由承建单位承担；</w:t>
      </w:r>
    </w:p>
    <w:p w14:paraId="221121B8">
      <w:pPr>
        <w:pStyle w:val="2"/>
        <w:spacing w:before="82" w:line="248" w:lineRule="auto"/>
        <w:ind w:right="289" w:firstLine="410"/>
        <w:rPr>
          <w:sz w:val="20"/>
          <w:szCs w:val="20"/>
        </w:rPr>
      </w:pPr>
      <w:r>
        <w:rPr>
          <w:spacing w:val="6"/>
          <w:sz w:val="20"/>
          <w:szCs w:val="20"/>
        </w:rPr>
        <w:t>(4)停工期间，承建单位应监理单位要求留在实施场地的必要的管理</w:t>
      </w:r>
      <w:r>
        <w:rPr>
          <w:spacing w:val="5"/>
          <w:sz w:val="20"/>
          <w:szCs w:val="20"/>
        </w:rPr>
        <w:t>人员及保卫人员的费</w:t>
      </w:r>
      <w:r>
        <w:rPr>
          <w:sz w:val="20"/>
          <w:szCs w:val="20"/>
        </w:rPr>
        <w:t xml:space="preserve"> </w:t>
      </w:r>
      <w:r>
        <w:rPr>
          <w:spacing w:val="-6"/>
          <w:sz w:val="20"/>
          <w:szCs w:val="20"/>
        </w:rPr>
        <w:t>用，由发包人承担；</w:t>
      </w:r>
    </w:p>
    <w:p w14:paraId="17E04604">
      <w:pPr>
        <w:pStyle w:val="2"/>
        <w:spacing w:before="82" w:line="219" w:lineRule="auto"/>
        <w:ind w:left="410"/>
        <w:rPr>
          <w:sz w:val="20"/>
          <w:szCs w:val="20"/>
        </w:rPr>
      </w:pPr>
      <w:r>
        <w:rPr>
          <w:spacing w:val="1"/>
          <w:sz w:val="20"/>
          <w:szCs w:val="20"/>
        </w:rPr>
        <w:t>(5)项目所需清理、修复费用，由业主单位承担；</w:t>
      </w:r>
    </w:p>
    <w:p w14:paraId="6816061B">
      <w:pPr>
        <w:pStyle w:val="2"/>
        <w:spacing w:before="74" w:line="220" w:lineRule="auto"/>
        <w:ind w:left="410"/>
        <w:rPr>
          <w:sz w:val="20"/>
          <w:szCs w:val="20"/>
        </w:rPr>
      </w:pPr>
      <w:r>
        <w:rPr>
          <w:spacing w:val="4"/>
          <w:sz w:val="20"/>
          <w:szCs w:val="20"/>
        </w:rPr>
        <w:t>(6)延误的工期相应顺延。</w:t>
      </w:r>
    </w:p>
    <w:p w14:paraId="7E6D0967">
      <w:pPr>
        <w:pStyle w:val="2"/>
        <w:spacing w:before="90" w:line="264" w:lineRule="auto"/>
        <w:ind w:right="314" w:firstLine="410"/>
        <w:rPr>
          <w:sz w:val="20"/>
          <w:szCs w:val="20"/>
        </w:rPr>
      </w:pPr>
      <w:r>
        <w:rPr>
          <w:spacing w:val="3"/>
          <w:sz w:val="20"/>
          <w:szCs w:val="20"/>
        </w:rPr>
        <w:t>监理单位应特别注意，因合同一方延迟履行合同后发生不可抗力</w:t>
      </w:r>
      <w:r>
        <w:rPr>
          <w:spacing w:val="2"/>
          <w:sz w:val="20"/>
          <w:szCs w:val="20"/>
        </w:rPr>
        <w:t>的，不能免除延迟履行方</w:t>
      </w:r>
      <w:r>
        <w:rPr>
          <w:sz w:val="20"/>
          <w:szCs w:val="20"/>
        </w:rPr>
        <w:t xml:space="preserve"> </w:t>
      </w:r>
      <w:r>
        <w:rPr>
          <w:spacing w:val="-3"/>
          <w:sz w:val="20"/>
          <w:szCs w:val="20"/>
        </w:rPr>
        <w:t>的相应责任，应承担因此造成的损失。</w:t>
      </w:r>
    </w:p>
    <w:p w14:paraId="3A87FF26">
      <w:pPr>
        <w:spacing w:line="310" w:lineRule="auto"/>
        <w:rPr>
          <w:rFonts w:ascii="Arial"/>
          <w:sz w:val="21"/>
        </w:rPr>
      </w:pPr>
    </w:p>
    <w:p w14:paraId="14F3E227">
      <w:pPr>
        <w:pStyle w:val="2"/>
        <w:spacing w:before="95" w:line="222" w:lineRule="auto"/>
        <w:ind w:left="3"/>
        <w:rPr>
          <w:rFonts w:ascii="黑体" w:hAnsi="黑体" w:eastAsia="黑体" w:cs="黑体"/>
          <w:sz w:val="29"/>
          <w:szCs w:val="29"/>
        </w:rPr>
      </w:pPr>
      <w:r>
        <w:rPr>
          <w:b/>
          <w:bCs/>
          <w:color w:val="0063D6"/>
          <w:spacing w:val="-10"/>
          <w:sz w:val="29"/>
          <w:szCs w:val="29"/>
        </w:rPr>
        <w:t>13.6</w:t>
      </w:r>
      <w:r>
        <w:rPr>
          <w:color w:val="0063D6"/>
          <w:spacing w:val="-10"/>
          <w:sz w:val="29"/>
          <w:szCs w:val="29"/>
        </w:rPr>
        <w:t xml:space="preserve">  </w:t>
      </w:r>
      <w:r>
        <w:rPr>
          <w:rFonts w:ascii="黑体" w:hAnsi="黑体" w:eastAsia="黑体" w:cs="黑体"/>
          <w:b/>
          <w:bCs/>
          <w:color w:val="0063D6"/>
          <w:spacing w:val="-10"/>
          <w:sz w:val="29"/>
          <w:szCs w:val="29"/>
        </w:rPr>
        <w:t>知识产权保护</w:t>
      </w:r>
    </w:p>
    <w:p w14:paraId="1FA1CBA2">
      <w:pPr>
        <w:pStyle w:val="2"/>
        <w:spacing w:before="243" w:line="319" w:lineRule="auto"/>
        <w:ind w:right="331" w:firstLine="410"/>
        <w:rPr>
          <w:sz w:val="17"/>
          <w:szCs w:val="17"/>
        </w:rPr>
      </w:pPr>
      <w:r>
        <w:rPr>
          <w:spacing w:val="7"/>
          <w:sz w:val="20"/>
          <w:szCs w:val="20"/>
        </w:rPr>
        <w:t>中国知识产权保护制度的筹备、酝酿始于20世纪70年代末期，是伴随着中国改革开放而</w:t>
      </w:r>
      <w:r>
        <w:rPr>
          <w:spacing w:val="9"/>
          <w:sz w:val="20"/>
          <w:szCs w:val="20"/>
        </w:rPr>
        <w:t xml:space="preserve"> </w:t>
      </w:r>
      <w:r>
        <w:rPr>
          <w:spacing w:val="21"/>
          <w:sz w:val="17"/>
          <w:szCs w:val="17"/>
        </w:rPr>
        <w:t>起步的。</w:t>
      </w:r>
    </w:p>
    <w:p w14:paraId="4C7EF97D">
      <w:pPr>
        <w:pStyle w:val="2"/>
        <w:spacing w:before="2" w:line="282" w:lineRule="auto"/>
        <w:ind w:right="221" w:firstLine="410"/>
        <w:jc w:val="both"/>
        <w:rPr>
          <w:sz w:val="20"/>
          <w:szCs w:val="20"/>
        </w:rPr>
      </w:pPr>
      <w:r>
        <w:rPr>
          <w:spacing w:val="8"/>
          <w:sz w:val="20"/>
          <w:szCs w:val="20"/>
        </w:rPr>
        <w:t>1982年出台的《中华人民共和国商标法》(简称“</w:t>
      </w:r>
      <w:r>
        <w:rPr>
          <w:spacing w:val="7"/>
          <w:sz w:val="20"/>
          <w:szCs w:val="20"/>
        </w:rPr>
        <w:t>商标法”)是中国内地的第一部知识产</w:t>
      </w:r>
      <w:r>
        <w:rPr>
          <w:sz w:val="20"/>
          <w:szCs w:val="20"/>
        </w:rPr>
        <w:t xml:space="preserve">  </w:t>
      </w:r>
      <w:r>
        <w:rPr>
          <w:spacing w:val="5"/>
          <w:sz w:val="20"/>
          <w:szCs w:val="20"/>
        </w:rPr>
        <w:t>权法律，标志着中国的知识产权保护制度开始建立。随着1984年《中华人民共和</w:t>
      </w:r>
      <w:r>
        <w:rPr>
          <w:spacing w:val="4"/>
          <w:sz w:val="20"/>
          <w:szCs w:val="20"/>
        </w:rPr>
        <w:t>国专利法》、</w:t>
      </w:r>
      <w:r>
        <w:rPr>
          <w:sz w:val="20"/>
          <w:szCs w:val="20"/>
        </w:rPr>
        <w:t xml:space="preserve"> </w:t>
      </w:r>
      <w:r>
        <w:rPr>
          <w:spacing w:val="7"/>
          <w:sz w:val="20"/>
          <w:szCs w:val="20"/>
        </w:rPr>
        <w:t>1990年《中华人民共和国著作权法》的推出，标志着我国知识产权保护制度的初步形成。之</w:t>
      </w:r>
      <w:r>
        <w:rPr>
          <w:spacing w:val="1"/>
          <w:sz w:val="20"/>
          <w:szCs w:val="20"/>
        </w:rPr>
        <w:t xml:space="preserve">  </w:t>
      </w:r>
      <w:r>
        <w:rPr>
          <w:spacing w:val="10"/>
          <w:sz w:val="20"/>
          <w:szCs w:val="20"/>
        </w:rPr>
        <w:t>后，于1997年颁布了《植物新品种保护条例</w:t>
      </w:r>
      <w:r>
        <w:rPr>
          <w:spacing w:val="9"/>
          <w:sz w:val="20"/>
          <w:szCs w:val="20"/>
        </w:rPr>
        <w:t>》,于2001年颁布了《集成电路布图设计保护条</w:t>
      </w:r>
      <w:r>
        <w:rPr>
          <w:sz w:val="20"/>
          <w:szCs w:val="20"/>
        </w:rPr>
        <w:t xml:space="preserve">  </w:t>
      </w:r>
      <w:r>
        <w:rPr>
          <w:spacing w:val="9"/>
          <w:sz w:val="20"/>
          <w:szCs w:val="20"/>
        </w:rPr>
        <w:t>例》和《计算机软件保护条例》,并陆续修订了著作权法(2001年、2010年、2021年)、专利</w:t>
      </w:r>
      <w:r>
        <w:rPr>
          <w:sz w:val="20"/>
          <w:szCs w:val="20"/>
        </w:rPr>
        <w:t xml:space="preserve">  </w:t>
      </w:r>
      <w:r>
        <w:rPr>
          <w:spacing w:val="16"/>
          <w:sz w:val="20"/>
          <w:szCs w:val="20"/>
        </w:rPr>
        <w:t>法(1992年、2000年、2008年、2020年)和商标法</w:t>
      </w:r>
      <w:r>
        <w:rPr>
          <w:spacing w:val="15"/>
          <w:sz w:val="20"/>
          <w:szCs w:val="20"/>
        </w:rPr>
        <w:t>(1993年、2001年、2013年、2019年),</w:t>
      </w:r>
      <w:r>
        <w:rPr>
          <w:sz w:val="20"/>
          <w:szCs w:val="20"/>
        </w:rPr>
        <w:t xml:space="preserve"> </w:t>
      </w:r>
      <w:r>
        <w:rPr>
          <w:spacing w:val="-2"/>
          <w:sz w:val="20"/>
          <w:szCs w:val="20"/>
        </w:rPr>
        <w:t>四十多年来，我国知识产权制度建设取得了举世瞩目的成绩。</w:t>
      </w:r>
    </w:p>
    <w:p w14:paraId="3B6996BB">
      <w:pPr>
        <w:pStyle w:val="2"/>
        <w:spacing w:before="49" w:line="268" w:lineRule="auto"/>
        <w:ind w:right="311" w:firstLine="410"/>
        <w:jc w:val="both"/>
        <w:rPr>
          <w:sz w:val="20"/>
          <w:szCs w:val="20"/>
        </w:rPr>
      </w:pPr>
      <w:r>
        <w:rPr>
          <w:spacing w:val="3"/>
          <w:sz w:val="20"/>
          <w:szCs w:val="20"/>
        </w:rPr>
        <w:t>在合同管理中，监理工程师要利用掌握的有关知识梳理合同中相关的知</w:t>
      </w:r>
      <w:r>
        <w:rPr>
          <w:spacing w:val="2"/>
          <w:sz w:val="20"/>
          <w:szCs w:val="20"/>
        </w:rPr>
        <w:t>识产权约定，分清</w:t>
      </w:r>
      <w:r>
        <w:rPr>
          <w:sz w:val="20"/>
          <w:szCs w:val="20"/>
        </w:rPr>
        <w:t xml:space="preserve"> </w:t>
      </w:r>
      <w:r>
        <w:rPr>
          <w:spacing w:val="3"/>
          <w:sz w:val="20"/>
          <w:szCs w:val="20"/>
        </w:rPr>
        <w:t>有关各方的知识产权，并在合同的执行过程中予以保护管理。在涉及知识产权纠纷时</w:t>
      </w:r>
      <w:r>
        <w:rPr>
          <w:spacing w:val="2"/>
          <w:sz w:val="20"/>
          <w:szCs w:val="20"/>
        </w:rPr>
        <w:t>，应该实</w:t>
      </w:r>
      <w:r>
        <w:rPr>
          <w:sz w:val="20"/>
          <w:szCs w:val="20"/>
        </w:rPr>
        <w:t xml:space="preserve"> </w:t>
      </w:r>
      <w:r>
        <w:rPr>
          <w:spacing w:val="-4"/>
          <w:sz w:val="20"/>
          <w:szCs w:val="20"/>
        </w:rPr>
        <w:t>事求是地提供有关证明、证据。</w:t>
      </w:r>
    </w:p>
    <w:p w14:paraId="60354357">
      <w:pPr>
        <w:pStyle w:val="2"/>
        <w:spacing w:before="256" w:line="219" w:lineRule="auto"/>
        <w:ind w:left="2"/>
        <w:rPr>
          <w:sz w:val="20"/>
          <w:szCs w:val="20"/>
        </w:rPr>
      </w:pPr>
      <w:r>
        <w:rPr>
          <w:b/>
          <w:bCs/>
          <w:color w:val="006EDC"/>
          <w:spacing w:val="23"/>
          <w:sz w:val="20"/>
          <w:szCs w:val="20"/>
        </w:rPr>
        <w:t>13.6.1</w:t>
      </w:r>
      <w:r>
        <w:rPr>
          <w:color w:val="006EDC"/>
          <w:spacing w:val="35"/>
          <w:sz w:val="20"/>
          <w:szCs w:val="20"/>
        </w:rPr>
        <w:t xml:space="preserve">  </w:t>
      </w:r>
      <w:r>
        <w:rPr>
          <w:b/>
          <w:bCs/>
          <w:color w:val="006EDC"/>
          <w:spacing w:val="23"/>
          <w:sz w:val="20"/>
          <w:szCs w:val="20"/>
        </w:rPr>
        <w:t>知识产权的基本概念及分类</w:t>
      </w:r>
    </w:p>
    <w:p w14:paraId="18E3A0FB">
      <w:pPr>
        <w:pStyle w:val="2"/>
        <w:spacing w:before="178" w:line="270" w:lineRule="auto"/>
        <w:ind w:right="285" w:firstLine="410"/>
        <w:rPr>
          <w:sz w:val="20"/>
          <w:szCs w:val="20"/>
        </w:rPr>
      </w:pPr>
      <w:r>
        <w:rPr>
          <w:spacing w:val="3"/>
          <w:sz w:val="20"/>
          <w:szCs w:val="20"/>
        </w:rPr>
        <w:t>知识产权指的是专利权、商标权、版权(也称著作权)、商</w:t>
      </w:r>
      <w:r>
        <w:rPr>
          <w:spacing w:val="2"/>
          <w:sz w:val="20"/>
          <w:szCs w:val="20"/>
        </w:rPr>
        <w:t>业秘密专有权等人们对自己创造</w:t>
      </w:r>
      <w:r>
        <w:rPr>
          <w:sz w:val="20"/>
          <w:szCs w:val="20"/>
        </w:rPr>
        <w:t xml:space="preserve"> </w:t>
      </w:r>
      <w:r>
        <w:rPr>
          <w:spacing w:val="3"/>
          <w:sz w:val="20"/>
          <w:szCs w:val="20"/>
        </w:rPr>
        <w:t>性的智力劳动成果所享有的民事权利。知识产权法就是保护这类民事权利的法律。这</w:t>
      </w:r>
      <w:r>
        <w:rPr>
          <w:spacing w:val="2"/>
          <w:sz w:val="20"/>
          <w:szCs w:val="20"/>
        </w:rPr>
        <w:t>些权利主</w:t>
      </w:r>
      <w:r>
        <w:rPr>
          <w:sz w:val="20"/>
          <w:szCs w:val="20"/>
        </w:rPr>
        <w:t xml:space="preserve"> </w:t>
      </w:r>
      <w:r>
        <w:rPr>
          <w:spacing w:val="-1"/>
          <w:sz w:val="20"/>
          <w:szCs w:val="20"/>
        </w:rPr>
        <w:t>要是财产权利。知识产权制度是智力成果所有人在一定的期限内依</w:t>
      </w:r>
      <w:r>
        <w:rPr>
          <w:spacing w:val="-2"/>
          <w:sz w:val="20"/>
          <w:szCs w:val="20"/>
        </w:rPr>
        <w:t>法对其智力成果享有独占权，</w:t>
      </w:r>
      <w:r>
        <w:rPr>
          <w:sz w:val="20"/>
          <w:szCs w:val="20"/>
        </w:rPr>
        <w:t xml:space="preserve"> </w:t>
      </w:r>
      <w:r>
        <w:rPr>
          <w:spacing w:val="-2"/>
          <w:sz w:val="20"/>
          <w:szCs w:val="20"/>
        </w:rPr>
        <w:t>并受到保护的法律制度。没有权利人的许可，任何人都不得擅自使用其智力成果。</w:t>
      </w:r>
    </w:p>
    <w:p w14:paraId="7685B832">
      <w:pPr>
        <w:pStyle w:val="2"/>
        <w:spacing w:before="59" w:line="263" w:lineRule="auto"/>
        <w:ind w:right="312" w:firstLine="410"/>
        <w:rPr>
          <w:sz w:val="20"/>
          <w:szCs w:val="20"/>
        </w:rPr>
      </w:pPr>
      <w:r>
        <w:rPr>
          <w:spacing w:val="3"/>
          <w:sz w:val="20"/>
          <w:szCs w:val="20"/>
        </w:rPr>
        <w:t>实施知识产权制度可以起到激励创新，保护人们的智力劳动成果，</w:t>
      </w:r>
      <w:r>
        <w:rPr>
          <w:spacing w:val="2"/>
          <w:sz w:val="20"/>
          <w:szCs w:val="20"/>
        </w:rPr>
        <w:t>并促进其转化为现实生</w:t>
      </w:r>
      <w:r>
        <w:rPr>
          <w:sz w:val="20"/>
          <w:szCs w:val="20"/>
        </w:rPr>
        <w:t xml:space="preserve"> </w:t>
      </w:r>
      <w:r>
        <w:rPr>
          <w:spacing w:val="-1"/>
          <w:sz w:val="20"/>
          <w:szCs w:val="20"/>
        </w:rPr>
        <w:t>产力的作用。它是一种推动科技进步、经济发展、文化繁荣的激励和保护机</w:t>
      </w:r>
      <w:r>
        <w:rPr>
          <w:spacing w:val="-2"/>
          <w:sz w:val="20"/>
          <w:szCs w:val="20"/>
        </w:rPr>
        <w:t>制。</w:t>
      </w:r>
    </w:p>
    <w:p w14:paraId="725F674D">
      <w:pPr>
        <w:pStyle w:val="2"/>
        <w:spacing w:before="41" w:line="277" w:lineRule="auto"/>
        <w:ind w:right="221" w:firstLine="410"/>
        <w:rPr>
          <w:sz w:val="20"/>
          <w:szCs w:val="20"/>
        </w:rPr>
      </w:pPr>
      <w:r>
        <w:rPr>
          <w:spacing w:val="5"/>
          <w:sz w:val="20"/>
          <w:szCs w:val="20"/>
        </w:rPr>
        <w:t>我国规定的知识产权包括作品、专利(发明、实用新型、外观设计)、商标、商业秘密等。</w:t>
      </w:r>
      <w:r>
        <w:rPr>
          <w:sz w:val="20"/>
          <w:szCs w:val="20"/>
        </w:rPr>
        <w:t xml:space="preserve"> </w:t>
      </w:r>
      <w:r>
        <w:rPr>
          <w:spacing w:val="3"/>
          <w:sz w:val="20"/>
          <w:szCs w:val="20"/>
        </w:rPr>
        <w:t>民法典第一百二十三条明确规定：民事主体依法享有知识产权。知识产权是权利人依法就下列</w:t>
      </w:r>
      <w:r>
        <w:rPr>
          <w:spacing w:val="1"/>
          <w:sz w:val="20"/>
          <w:szCs w:val="20"/>
        </w:rPr>
        <w:t xml:space="preserve">  </w:t>
      </w:r>
      <w:r>
        <w:rPr>
          <w:spacing w:val="-5"/>
          <w:sz w:val="20"/>
          <w:szCs w:val="20"/>
        </w:rPr>
        <w:t>客体享有的专有的权利：</w:t>
      </w:r>
    </w:p>
    <w:p w14:paraId="1F8D8BB0">
      <w:pPr>
        <w:pStyle w:val="2"/>
        <w:spacing w:before="20" w:line="220" w:lineRule="auto"/>
        <w:ind w:left="410"/>
        <w:rPr>
          <w:sz w:val="20"/>
          <w:szCs w:val="20"/>
        </w:rPr>
      </w:pPr>
      <w:r>
        <w:rPr>
          <w:spacing w:val="-2"/>
          <w:sz w:val="20"/>
          <w:szCs w:val="20"/>
        </w:rPr>
        <w:t>●</w:t>
      </w:r>
      <w:r>
        <w:rPr>
          <w:spacing w:val="-54"/>
          <w:sz w:val="20"/>
          <w:szCs w:val="20"/>
        </w:rPr>
        <w:t xml:space="preserve"> </w:t>
      </w:r>
      <w:r>
        <w:rPr>
          <w:spacing w:val="-2"/>
          <w:sz w:val="20"/>
          <w:szCs w:val="20"/>
        </w:rPr>
        <w:t>作品；</w:t>
      </w:r>
    </w:p>
    <w:p w14:paraId="31519B54">
      <w:pPr>
        <w:pStyle w:val="2"/>
        <w:spacing w:before="71" w:line="219" w:lineRule="auto"/>
        <w:ind w:left="410"/>
        <w:rPr>
          <w:sz w:val="20"/>
          <w:szCs w:val="20"/>
        </w:rPr>
      </w:pPr>
      <w:r>
        <w:rPr>
          <w:spacing w:val="2"/>
          <w:sz w:val="20"/>
          <w:szCs w:val="20"/>
        </w:rPr>
        <w:t>●发明、实用新型、外观设计；</w:t>
      </w:r>
    </w:p>
    <w:p w14:paraId="69942268">
      <w:pPr>
        <w:spacing w:line="219" w:lineRule="auto"/>
        <w:rPr>
          <w:sz w:val="20"/>
          <w:szCs w:val="20"/>
        </w:rPr>
        <w:sectPr>
          <w:pgSz w:w="10280" w:h="13300"/>
          <w:pgMar w:top="400" w:right="628" w:bottom="400" w:left="1019" w:header="0" w:footer="0" w:gutter="0"/>
          <w:cols w:space="720" w:num="1"/>
        </w:sectPr>
      </w:pPr>
    </w:p>
    <w:p w14:paraId="4BBBF50D">
      <w:pPr>
        <w:pStyle w:val="2"/>
        <w:spacing w:before="77" w:line="219" w:lineRule="auto"/>
        <w:rPr>
          <w:sz w:val="19"/>
          <w:szCs w:val="19"/>
        </w:rPr>
      </w:pPr>
      <w:r>
        <w:rPr>
          <w:rFonts w:ascii="Times New Roman" w:hAnsi="Times New Roman" w:eastAsia="Times New Roman" w:cs="Times New Roman"/>
          <w:spacing w:val="5"/>
          <w:sz w:val="19"/>
          <w:szCs w:val="19"/>
        </w:rPr>
        <w:t>322</w:t>
      </w:r>
      <w:r>
        <w:rPr>
          <w:rFonts w:ascii="Times New Roman" w:hAnsi="Times New Roman" w:eastAsia="Times New Roman" w:cs="Times New Roman"/>
          <w:sz w:val="19"/>
          <w:szCs w:val="19"/>
        </w:rPr>
        <w:t xml:space="preserve">               </w:t>
      </w:r>
      <w:r>
        <w:rPr>
          <w:spacing w:val="5"/>
          <w:sz w:val="19"/>
          <w:szCs w:val="19"/>
        </w:rPr>
        <w:t>信息系统监理师教程(第2版)</w:t>
      </w:r>
    </w:p>
    <w:p w14:paraId="646D02DD">
      <w:pPr>
        <w:spacing w:line="331" w:lineRule="auto"/>
        <w:rPr>
          <w:rFonts w:ascii="Arial"/>
          <w:sz w:val="21"/>
        </w:rPr>
      </w:pPr>
    </w:p>
    <w:p w14:paraId="0D6E98C6">
      <w:pPr>
        <w:pStyle w:val="2"/>
        <w:spacing w:before="62" w:line="220" w:lineRule="auto"/>
        <w:ind w:left="769"/>
        <w:rPr>
          <w:sz w:val="19"/>
          <w:szCs w:val="19"/>
        </w:rPr>
      </w:pPr>
      <w:r>
        <w:rPr>
          <w:spacing w:val="-11"/>
          <w:sz w:val="19"/>
          <w:szCs w:val="19"/>
        </w:rPr>
        <w:t>●</w:t>
      </w:r>
      <w:r>
        <w:rPr>
          <w:spacing w:val="-37"/>
          <w:sz w:val="19"/>
          <w:szCs w:val="19"/>
        </w:rPr>
        <w:t xml:space="preserve"> </w:t>
      </w:r>
      <w:r>
        <w:rPr>
          <w:spacing w:val="-11"/>
          <w:sz w:val="19"/>
          <w:szCs w:val="19"/>
        </w:rPr>
        <w:t>商</w:t>
      </w:r>
      <w:r>
        <w:rPr>
          <w:spacing w:val="-39"/>
          <w:sz w:val="19"/>
          <w:szCs w:val="19"/>
        </w:rPr>
        <w:t xml:space="preserve"> </w:t>
      </w:r>
      <w:r>
        <w:rPr>
          <w:spacing w:val="-11"/>
          <w:sz w:val="19"/>
          <w:szCs w:val="19"/>
        </w:rPr>
        <w:t>标</w:t>
      </w:r>
      <w:r>
        <w:rPr>
          <w:spacing w:val="-47"/>
          <w:sz w:val="19"/>
          <w:szCs w:val="19"/>
        </w:rPr>
        <w:t xml:space="preserve"> </w:t>
      </w:r>
      <w:r>
        <w:rPr>
          <w:spacing w:val="-11"/>
          <w:sz w:val="19"/>
          <w:szCs w:val="19"/>
        </w:rPr>
        <w:t>；</w:t>
      </w:r>
    </w:p>
    <w:p w14:paraId="65561240">
      <w:pPr>
        <w:pStyle w:val="2"/>
        <w:spacing w:before="113" w:line="220" w:lineRule="auto"/>
        <w:ind w:left="769"/>
        <w:rPr>
          <w:sz w:val="19"/>
          <w:szCs w:val="19"/>
        </w:rPr>
      </w:pPr>
      <w:r>
        <w:rPr>
          <w:spacing w:val="7"/>
          <w:sz w:val="19"/>
          <w:szCs w:val="19"/>
        </w:rPr>
        <w:t>●</w:t>
      </w:r>
      <w:r>
        <w:rPr>
          <w:spacing w:val="-54"/>
          <w:sz w:val="19"/>
          <w:szCs w:val="19"/>
        </w:rPr>
        <w:t xml:space="preserve"> </w:t>
      </w:r>
      <w:r>
        <w:rPr>
          <w:spacing w:val="7"/>
          <w:sz w:val="19"/>
          <w:szCs w:val="19"/>
        </w:rPr>
        <w:t>地理标志；</w:t>
      </w:r>
    </w:p>
    <w:p w14:paraId="36329931">
      <w:pPr>
        <w:pStyle w:val="2"/>
        <w:spacing w:before="83" w:line="219" w:lineRule="auto"/>
        <w:ind w:left="769"/>
        <w:rPr>
          <w:sz w:val="19"/>
          <w:szCs w:val="19"/>
        </w:rPr>
      </w:pPr>
      <w:r>
        <w:rPr>
          <w:spacing w:val="7"/>
          <w:sz w:val="19"/>
          <w:szCs w:val="19"/>
        </w:rPr>
        <w:t>●</w:t>
      </w:r>
      <w:r>
        <w:rPr>
          <w:spacing w:val="-54"/>
          <w:sz w:val="19"/>
          <w:szCs w:val="19"/>
        </w:rPr>
        <w:t xml:space="preserve"> </w:t>
      </w:r>
      <w:r>
        <w:rPr>
          <w:spacing w:val="7"/>
          <w:sz w:val="19"/>
          <w:szCs w:val="19"/>
        </w:rPr>
        <w:t>商业秘密；</w:t>
      </w:r>
    </w:p>
    <w:p w14:paraId="6D47C145">
      <w:pPr>
        <w:pStyle w:val="2"/>
        <w:spacing w:before="103" w:line="219" w:lineRule="auto"/>
        <w:ind w:left="769"/>
        <w:rPr>
          <w:sz w:val="19"/>
          <w:szCs w:val="19"/>
        </w:rPr>
      </w:pPr>
      <w:r>
        <w:rPr>
          <w:spacing w:val="12"/>
          <w:sz w:val="19"/>
          <w:szCs w:val="19"/>
        </w:rPr>
        <w:t>●集成电路布图设计；</w:t>
      </w:r>
    </w:p>
    <w:p w14:paraId="4B8528CB">
      <w:pPr>
        <w:pStyle w:val="2"/>
        <w:spacing w:before="115" w:line="219" w:lineRule="auto"/>
        <w:ind w:left="769"/>
        <w:rPr>
          <w:sz w:val="19"/>
          <w:szCs w:val="19"/>
        </w:rPr>
      </w:pPr>
      <w:r>
        <w:rPr>
          <w:spacing w:val="10"/>
          <w:sz w:val="19"/>
          <w:szCs w:val="19"/>
        </w:rPr>
        <w:t>●</w:t>
      </w:r>
      <w:r>
        <w:rPr>
          <w:spacing w:val="-51"/>
          <w:sz w:val="19"/>
          <w:szCs w:val="19"/>
        </w:rPr>
        <w:t xml:space="preserve"> </w:t>
      </w:r>
      <w:r>
        <w:rPr>
          <w:spacing w:val="10"/>
          <w:sz w:val="19"/>
          <w:szCs w:val="19"/>
        </w:rPr>
        <w:t>植物新品种；</w:t>
      </w:r>
    </w:p>
    <w:p w14:paraId="32719CCD">
      <w:pPr>
        <w:pStyle w:val="2"/>
        <w:spacing w:before="95" w:line="219" w:lineRule="auto"/>
        <w:ind w:left="769"/>
        <w:rPr>
          <w:sz w:val="19"/>
          <w:szCs w:val="19"/>
        </w:rPr>
      </w:pPr>
      <w:r>
        <w:rPr>
          <w:spacing w:val="12"/>
          <w:sz w:val="19"/>
          <w:szCs w:val="19"/>
        </w:rPr>
        <w:t>●法律规定的其他客体。</w:t>
      </w:r>
    </w:p>
    <w:p w14:paraId="64B05944">
      <w:pPr>
        <w:pStyle w:val="2"/>
        <w:spacing w:before="104" w:line="297" w:lineRule="auto"/>
        <w:ind w:left="389" w:right="60" w:firstLine="379"/>
        <w:rPr>
          <w:sz w:val="19"/>
          <w:szCs w:val="19"/>
        </w:rPr>
      </w:pPr>
      <w:r>
        <w:rPr>
          <w:spacing w:val="13"/>
          <w:sz w:val="19"/>
          <w:szCs w:val="19"/>
        </w:rPr>
        <w:t>其中，作品、专利、商标、商业秘密及集成电路布图设计与信息系统建设工程经常涉及的</w:t>
      </w:r>
      <w:r>
        <w:rPr>
          <w:spacing w:val="16"/>
          <w:sz w:val="19"/>
          <w:szCs w:val="19"/>
        </w:rPr>
        <w:t xml:space="preserve"> </w:t>
      </w:r>
      <w:r>
        <w:rPr>
          <w:spacing w:val="8"/>
          <w:sz w:val="19"/>
          <w:szCs w:val="19"/>
        </w:rPr>
        <w:t>知识产权息息相关，以下将对这部分的定义和概念分别进行介绍。</w:t>
      </w:r>
    </w:p>
    <w:p w14:paraId="6BB47BA3">
      <w:pPr>
        <w:pStyle w:val="2"/>
        <w:spacing w:before="125" w:line="222" w:lineRule="auto"/>
        <w:ind w:left="772"/>
        <w:rPr>
          <w:rFonts w:ascii="黑体" w:hAnsi="黑体" w:eastAsia="黑体" w:cs="黑体"/>
          <w:sz w:val="19"/>
          <w:szCs w:val="19"/>
        </w:rPr>
      </w:pPr>
      <w:r>
        <w:rPr>
          <w:b/>
          <w:bCs/>
          <w:color w:val="088CD9"/>
          <w:spacing w:val="-6"/>
          <w:sz w:val="19"/>
          <w:szCs w:val="19"/>
        </w:rPr>
        <w:t>1.</w:t>
      </w:r>
      <w:r>
        <w:rPr>
          <w:rFonts w:ascii="黑体" w:hAnsi="黑体" w:eastAsia="黑体" w:cs="黑体"/>
          <w:b/>
          <w:bCs/>
          <w:color w:val="088CD9"/>
          <w:spacing w:val="-6"/>
          <w:sz w:val="19"/>
          <w:szCs w:val="19"/>
        </w:rPr>
        <w:t>作</w:t>
      </w:r>
      <w:r>
        <w:rPr>
          <w:rFonts w:ascii="黑体" w:hAnsi="黑体" w:eastAsia="黑体" w:cs="黑体"/>
          <w:color w:val="088CD9"/>
          <w:spacing w:val="-12"/>
          <w:sz w:val="19"/>
          <w:szCs w:val="19"/>
        </w:rPr>
        <w:t xml:space="preserve"> </w:t>
      </w:r>
      <w:r>
        <w:rPr>
          <w:rFonts w:ascii="黑体" w:hAnsi="黑体" w:eastAsia="黑体" w:cs="黑体"/>
          <w:b/>
          <w:bCs/>
          <w:color w:val="088CD9"/>
          <w:spacing w:val="-6"/>
          <w:sz w:val="19"/>
          <w:szCs w:val="19"/>
        </w:rPr>
        <w:t>品</w:t>
      </w:r>
    </w:p>
    <w:p w14:paraId="25622187">
      <w:pPr>
        <w:pStyle w:val="2"/>
        <w:spacing w:before="166" w:line="288" w:lineRule="auto"/>
        <w:ind w:left="389" w:right="74" w:firstLine="284"/>
        <w:rPr>
          <w:sz w:val="19"/>
          <w:szCs w:val="19"/>
        </w:rPr>
      </w:pPr>
      <w:r>
        <w:rPr>
          <w:spacing w:val="10"/>
          <w:sz w:val="19"/>
          <w:szCs w:val="19"/>
        </w:rPr>
        <w:t>《中华人民共和国著作权法》第三条规定，著作权法所称的作品，是指文学、艺术和科学领</w:t>
      </w:r>
      <w:r>
        <w:rPr>
          <w:spacing w:val="13"/>
          <w:sz w:val="19"/>
          <w:szCs w:val="19"/>
        </w:rPr>
        <w:t xml:space="preserve"> </w:t>
      </w:r>
      <w:r>
        <w:rPr>
          <w:spacing w:val="7"/>
          <w:sz w:val="19"/>
          <w:szCs w:val="19"/>
        </w:rPr>
        <w:t>域内具有独创性并能以一定形式表现的智力成果，包括：</w:t>
      </w:r>
    </w:p>
    <w:p w14:paraId="144D1AC7">
      <w:pPr>
        <w:pStyle w:val="2"/>
        <w:spacing w:before="27" w:line="219" w:lineRule="auto"/>
        <w:ind w:left="769"/>
        <w:rPr>
          <w:sz w:val="19"/>
          <w:szCs w:val="19"/>
        </w:rPr>
      </w:pPr>
      <w:r>
        <w:rPr>
          <w:spacing w:val="9"/>
          <w:sz w:val="19"/>
          <w:szCs w:val="19"/>
        </w:rPr>
        <w:t>(</w:t>
      </w:r>
      <w:r>
        <w:rPr>
          <w:spacing w:val="-53"/>
          <w:sz w:val="19"/>
          <w:szCs w:val="19"/>
        </w:rPr>
        <w:t xml:space="preserve"> </w:t>
      </w:r>
      <w:r>
        <w:rPr>
          <w:spacing w:val="9"/>
          <w:sz w:val="19"/>
          <w:szCs w:val="19"/>
        </w:rPr>
        <w:t>一)文字作品；</w:t>
      </w:r>
    </w:p>
    <w:p w14:paraId="32E04B88">
      <w:pPr>
        <w:pStyle w:val="2"/>
        <w:spacing w:before="85" w:line="220" w:lineRule="auto"/>
        <w:ind w:left="769"/>
        <w:rPr>
          <w:sz w:val="19"/>
          <w:szCs w:val="19"/>
        </w:rPr>
      </w:pPr>
      <w:r>
        <w:rPr>
          <w:spacing w:val="14"/>
          <w:sz w:val="19"/>
          <w:szCs w:val="19"/>
        </w:rPr>
        <w:t>(二)口述作品；</w:t>
      </w:r>
    </w:p>
    <w:p w14:paraId="7C5BE87B">
      <w:pPr>
        <w:pStyle w:val="2"/>
        <w:spacing w:before="93" w:line="219" w:lineRule="auto"/>
        <w:ind w:left="769"/>
        <w:rPr>
          <w:sz w:val="19"/>
          <w:szCs w:val="19"/>
        </w:rPr>
      </w:pPr>
      <w:r>
        <w:rPr>
          <w:spacing w:val="11"/>
          <w:sz w:val="19"/>
          <w:szCs w:val="19"/>
        </w:rPr>
        <w:t>(三)音乐、戏剧、曲艺、舞蹈、杂技艺术作品；</w:t>
      </w:r>
    </w:p>
    <w:p w14:paraId="6530C704">
      <w:pPr>
        <w:pStyle w:val="2"/>
        <w:spacing w:before="95" w:line="219" w:lineRule="auto"/>
        <w:ind w:left="769"/>
        <w:rPr>
          <w:sz w:val="19"/>
          <w:szCs w:val="19"/>
        </w:rPr>
      </w:pPr>
      <w:r>
        <w:rPr>
          <w:spacing w:val="13"/>
          <w:sz w:val="19"/>
          <w:szCs w:val="19"/>
        </w:rPr>
        <w:t>(四)美术、建筑作品；</w:t>
      </w:r>
    </w:p>
    <w:p w14:paraId="27285974">
      <w:pPr>
        <w:pStyle w:val="2"/>
        <w:spacing w:before="85" w:line="220" w:lineRule="auto"/>
        <w:ind w:left="769"/>
        <w:rPr>
          <w:sz w:val="19"/>
          <w:szCs w:val="19"/>
        </w:rPr>
      </w:pPr>
      <w:r>
        <w:rPr>
          <w:spacing w:val="14"/>
          <w:sz w:val="19"/>
          <w:szCs w:val="19"/>
        </w:rPr>
        <w:t>(五)摄影作品；</w:t>
      </w:r>
    </w:p>
    <w:p w14:paraId="7865C758">
      <w:pPr>
        <w:pStyle w:val="2"/>
        <w:spacing w:before="93" w:line="220" w:lineRule="auto"/>
        <w:ind w:left="769"/>
        <w:rPr>
          <w:sz w:val="19"/>
          <w:szCs w:val="19"/>
        </w:rPr>
      </w:pPr>
      <w:r>
        <w:rPr>
          <w:spacing w:val="14"/>
          <w:sz w:val="19"/>
          <w:szCs w:val="19"/>
        </w:rPr>
        <w:t>(六)视听作品；</w:t>
      </w:r>
    </w:p>
    <w:p w14:paraId="4557123B">
      <w:pPr>
        <w:pStyle w:val="2"/>
        <w:spacing w:before="84" w:line="219" w:lineRule="auto"/>
        <w:ind w:left="769"/>
        <w:rPr>
          <w:sz w:val="19"/>
          <w:szCs w:val="19"/>
        </w:rPr>
      </w:pPr>
      <w:r>
        <w:rPr>
          <w:spacing w:val="10"/>
          <w:sz w:val="19"/>
          <w:szCs w:val="19"/>
        </w:rPr>
        <w:t>(七)工程设计图、产品设计图、地图、示意图等图形作品和模型作品；</w:t>
      </w:r>
    </w:p>
    <w:p w14:paraId="1B79A4E0">
      <w:pPr>
        <w:pStyle w:val="2"/>
        <w:spacing w:before="83" w:line="219" w:lineRule="auto"/>
        <w:ind w:left="769"/>
        <w:rPr>
          <w:sz w:val="19"/>
          <w:szCs w:val="19"/>
        </w:rPr>
      </w:pPr>
      <w:r>
        <w:rPr>
          <w:spacing w:val="15"/>
          <w:sz w:val="19"/>
          <w:szCs w:val="19"/>
        </w:rPr>
        <w:t>(八)计算机软件；</w:t>
      </w:r>
    </w:p>
    <w:p w14:paraId="762E12FA">
      <w:pPr>
        <w:pStyle w:val="2"/>
        <w:spacing w:before="96" w:line="219" w:lineRule="auto"/>
        <w:ind w:left="769"/>
        <w:rPr>
          <w:sz w:val="19"/>
          <w:szCs w:val="19"/>
        </w:rPr>
      </w:pPr>
      <w:r>
        <w:rPr>
          <w:spacing w:val="12"/>
          <w:sz w:val="19"/>
          <w:szCs w:val="19"/>
        </w:rPr>
        <w:t>(九)符合作品特征的其他智力成果。</w:t>
      </w:r>
    </w:p>
    <w:p w14:paraId="7AA185CC">
      <w:pPr>
        <w:pStyle w:val="2"/>
        <w:spacing w:before="73" w:line="294" w:lineRule="auto"/>
        <w:ind w:left="389" w:firstLine="379"/>
        <w:jc w:val="both"/>
        <w:rPr>
          <w:sz w:val="19"/>
          <w:szCs w:val="19"/>
        </w:rPr>
      </w:pPr>
      <w:r>
        <w:rPr>
          <w:spacing w:val="23"/>
          <w:sz w:val="19"/>
          <w:szCs w:val="19"/>
        </w:rPr>
        <w:t>监理人员应对信息系统工程中是否包含上述作品内容，尤其是第(七)项和第(八)</w:t>
      </w:r>
      <w:r>
        <w:rPr>
          <w:spacing w:val="22"/>
          <w:sz w:val="19"/>
          <w:szCs w:val="19"/>
        </w:rPr>
        <w:t>项内</w:t>
      </w:r>
      <w:r>
        <w:rPr>
          <w:sz w:val="19"/>
          <w:szCs w:val="19"/>
        </w:rPr>
        <w:t xml:space="preserve"> </w:t>
      </w:r>
      <w:r>
        <w:rPr>
          <w:spacing w:val="13"/>
          <w:sz w:val="19"/>
          <w:szCs w:val="19"/>
        </w:rPr>
        <w:t>容进行梳理，并予以保护和管理。尤其要依照信息系统工程建设合</w:t>
      </w:r>
      <w:r>
        <w:rPr>
          <w:spacing w:val="12"/>
          <w:sz w:val="19"/>
          <w:szCs w:val="19"/>
        </w:rPr>
        <w:t>同依法行事，确保合同规定</w:t>
      </w:r>
      <w:r>
        <w:rPr>
          <w:sz w:val="19"/>
          <w:szCs w:val="19"/>
        </w:rPr>
        <w:t xml:space="preserve"> </w:t>
      </w:r>
      <w:r>
        <w:rPr>
          <w:spacing w:val="19"/>
          <w:sz w:val="19"/>
          <w:szCs w:val="19"/>
        </w:rPr>
        <w:t>的利益方权益得到保护。若涉及工程/项目建设实际过程中可能有的(</w:t>
      </w:r>
      <w:r>
        <w:rPr>
          <w:spacing w:val="18"/>
          <w:sz w:val="19"/>
          <w:szCs w:val="19"/>
        </w:rPr>
        <w:t>一)、(五)、(六)等也</w:t>
      </w:r>
      <w:r>
        <w:rPr>
          <w:sz w:val="19"/>
          <w:szCs w:val="19"/>
        </w:rPr>
        <w:t xml:space="preserve"> </w:t>
      </w:r>
      <w:r>
        <w:rPr>
          <w:spacing w:val="9"/>
          <w:sz w:val="19"/>
          <w:szCs w:val="19"/>
        </w:rPr>
        <w:t>要施以必要的关注，例如实施方案、工作报告、项目现场实施过程记录照片、会议视频材料等。</w:t>
      </w:r>
    </w:p>
    <w:p w14:paraId="5EFB181E">
      <w:pPr>
        <w:pStyle w:val="2"/>
        <w:spacing w:before="167" w:line="222" w:lineRule="auto"/>
        <w:ind w:left="772"/>
        <w:rPr>
          <w:rFonts w:ascii="黑体" w:hAnsi="黑体" w:eastAsia="黑体" w:cs="黑体"/>
          <w:sz w:val="19"/>
          <w:szCs w:val="19"/>
        </w:rPr>
      </w:pPr>
      <w:r>
        <w:rPr>
          <w:b/>
          <w:bCs/>
          <w:color w:val="007ED3"/>
          <w:sz w:val="19"/>
          <w:szCs w:val="19"/>
        </w:rPr>
        <w:t>2.</w:t>
      </w:r>
      <w:r>
        <w:rPr>
          <w:rFonts w:ascii="黑体" w:hAnsi="黑体" w:eastAsia="黑体" w:cs="黑体"/>
          <w:b/>
          <w:bCs/>
          <w:color w:val="007ED3"/>
          <w:sz w:val="19"/>
          <w:szCs w:val="19"/>
        </w:rPr>
        <w:t>专</w:t>
      </w:r>
      <w:r>
        <w:rPr>
          <w:rFonts w:ascii="黑体" w:hAnsi="黑体" w:eastAsia="黑体" w:cs="黑体"/>
          <w:color w:val="007ED3"/>
          <w:spacing w:val="-42"/>
          <w:sz w:val="19"/>
          <w:szCs w:val="19"/>
        </w:rPr>
        <w:t xml:space="preserve"> </w:t>
      </w:r>
      <w:r>
        <w:rPr>
          <w:rFonts w:ascii="黑体" w:hAnsi="黑体" w:eastAsia="黑体" w:cs="黑体"/>
          <w:b/>
          <w:bCs/>
          <w:color w:val="007ED3"/>
          <w:sz w:val="19"/>
          <w:szCs w:val="19"/>
        </w:rPr>
        <w:t>利</w:t>
      </w:r>
    </w:p>
    <w:p w14:paraId="4491B6E6">
      <w:pPr>
        <w:pStyle w:val="2"/>
        <w:spacing w:before="125" w:line="306" w:lineRule="auto"/>
        <w:ind w:left="389" w:right="74" w:firstLine="284"/>
        <w:rPr>
          <w:sz w:val="19"/>
          <w:szCs w:val="19"/>
        </w:rPr>
      </w:pPr>
      <w:r>
        <w:rPr>
          <w:spacing w:val="10"/>
          <w:sz w:val="19"/>
          <w:szCs w:val="19"/>
        </w:rPr>
        <w:t>《中华人民共和国专利法》第二条规定：专利法所称的发明创造是指发明、实用新型和外观</w:t>
      </w:r>
      <w:r>
        <w:rPr>
          <w:spacing w:val="14"/>
          <w:sz w:val="19"/>
          <w:szCs w:val="19"/>
        </w:rPr>
        <w:t xml:space="preserve"> </w:t>
      </w:r>
      <w:r>
        <w:rPr>
          <w:spacing w:val="7"/>
          <w:sz w:val="19"/>
          <w:szCs w:val="19"/>
        </w:rPr>
        <w:t>设计。专利分为发明专利、实用新型专利和外观设计专利。</w:t>
      </w:r>
    </w:p>
    <w:p w14:paraId="2D2F8852">
      <w:pPr>
        <w:pStyle w:val="2"/>
        <w:spacing w:before="1" w:line="219" w:lineRule="auto"/>
        <w:ind w:left="769"/>
        <w:rPr>
          <w:sz w:val="19"/>
          <w:szCs w:val="19"/>
        </w:rPr>
      </w:pPr>
      <w:r>
        <w:rPr>
          <w:spacing w:val="8"/>
          <w:sz w:val="19"/>
          <w:szCs w:val="19"/>
        </w:rPr>
        <w:t>发明，是指对产品、方法或者其改进所提出的新的技术方</w:t>
      </w:r>
      <w:r>
        <w:rPr>
          <w:spacing w:val="7"/>
          <w:sz w:val="19"/>
          <w:szCs w:val="19"/>
        </w:rPr>
        <w:t>案。</w:t>
      </w:r>
    </w:p>
    <w:p w14:paraId="58E5A11C">
      <w:pPr>
        <w:pStyle w:val="2"/>
        <w:spacing w:before="74" w:line="219" w:lineRule="auto"/>
        <w:ind w:left="769"/>
        <w:rPr>
          <w:sz w:val="19"/>
          <w:szCs w:val="19"/>
        </w:rPr>
      </w:pPr>
      <w:r>
        <w:rPr>
          <w:spacing w:val="8"/>
          <w:sz w:val="19"/>
          <w:szCs w:val="19"/>
        </w:rPr>
        <w:t>实用新型，是指对产品的形状、构造或者其结合所提出的适于实用的新的技术方案。</w:t>
      </w:r>
    </w:p>
    <w:p w14:paraId="0E652F6C">
      <w:pPr>
        <w:pStyle w:val="2"/>
        <w:spacing w:before="85" w:line="288" w:lineRule="auto"/>
        <w:ind w:left="389" w:right="79" w:firstLine="379"/>
        <w:rPr>
          <w:sz w:val="19"/>
          <w:szCs w:val="19"/>
        </w:rPr>
      </w:pPr>
      <w:r>
        <w:rPr>
          <w:spacing w:val="13"/>
          <w:sz w:val="19"/>
          <w:szCs w:val="19"/>
        </w:rPr>
        <w:t>外观设计，是指对产品的整体或者局部的形状、图案或者其结合以及色彩与形状</w:t>
      </w:r>
      <w:r>
        <w:rPr>
          <w:spacing w:val="12"/>
          <w:sz w:val="19"/>
          <w:szCs w:val="19"/>
        </w:rPr>
        <w:t>、图案的</w:t>
      </w:r>
      <w:r>
        <w:rPr>
          <w:sz w:val="19"/>
          <w:szCs w:val="19"/>
        </w:rPr>
        <w:t xml:space="preserve"> </w:t>
      </w:r>
      <w:r>
        <w:rPr>
          <w:spacing w:val="8"/>
          <w:sz w:val="19"/>
          <w:szCs w:val="19"/>
        </w:rPr>
        <w:t>结合所作出的富有美感并适于工业应用的新设</w:t>
      </w:r>
      <w:r>
        <w:rPr>
          <w:spacing w:val="7"/>
          <w:sz w:val="19"/>
          <w:szCs w:val="19"/>
        </w:rPr>
        <w:t>计。</w:t>
      </w:r>
    </w:p>
    <w:p w14:paraId="5CAF86DF">
      <w:pPr>
        <w:pStyle w:val="2"/>
        <w:spacing w:before="123" w:line="222" w:lineRule="auto"/>
        <w:ind w:left="772"/>
        <w:rPr>
          <w:rFonts w:ascii="黑体" w:hAnsi="黑体" w:eastAsia="黑体" w:cs="黑体"/>
          <w:sz w:val="19"/>
          <w:szCs w:val="19"/>
        </w:rPr>
      </w:pPr>
      <w:r>
        <w:rPr>
          <w:b/>
          <w:bCs/>
          <w:color w:val="008AE6"/>
          <w:sz w:val="19"/>
          <w:szCs w:val="19"/>
        </w:rPr>
        <w:t>3.</w:t>
      </w:r>
      <w:r>
        <w:rPr>
          <w:color w:val="008AE6"/>
          <w:spacing w:val="-44"/>
          <w:sz w:val="19"/>
          <w:szCs w:val="19"/>
        </w:rPr>
        <w:t xml:space="preserve"> </w:t>
      </w:r>
      <w:r>
        <w:rPr>
          <w:rFonts w:ascii="黑体" w:hAnsi="黑体" w:eastAsia="黑体" w:cs="黑体"/>
          <w:b/>
          <w:bCs/>
          <w:color w:val="008AE6"/>
          <w:sz w:val="19"/>
          <w:szCs w:val="19"/>
        </w:rPr>
        <w:t>商标</w:t>
      </w:r>
    </w:p>
    <w:p w14:paraId="77DAA14F">
      <w:pPr>
        <w:pStyle w:val="2"/>
        <w:spacing w:before="136" w:line="219" w:lineRule="auto"/>
        <w:ind w:left="674"/>
        <w:rPr>
          <w:sz w:val="19"/>
          <w:szCs w:val="19"/>
        </w:rPr>
      </w:pPr>
      <w:r>
        <w:rPr>
          <w:spacing w:val="6"/>
          <w:sz w:val="19"/>
          <w:szCs w:val="19"/>
        </w:rPr>
        <w:t>《中华人民共和国商标法》有如下规定：</w:t>
      </w:r>
    </w:p>
    <w:p w14:paraId="0EE42DA5">
      <w:pPr>
        <w:pStyle w:val="2"/>
        <w:spacing w:before="95" w:line="278" w:lineRule="auto"/>
        <w:ind w:left="389" w:right="66" w:firstLine="379"/>
        <w:rPr>
          <w:sz w:val="19"/>
          <w:szCs w:val="19"/>
        </w:rPr>
      </w:pPr>
      <w:r>
        <w:rPr>
          <w:spacing w:val="15"/>
          <w:sz w:val="19"/>
          <w:szCs w:val="19"/>
        </w:rPr>
        <w:t>第三条</w:t>
      </w:r>
      <w:r>
        <w:rPr>
          <w:spacing w:val="42"/>
          <w:sz w:val="19"/>
          <w:szCs w:val="19"/>
        </w:rPr>
        <w:t xml:space="preserve"> </w:t>
      </w:r>
      <w:r>
        <w:rPr>
          <w:spacing w:val="15"/>
          <w:sz w:val="19"/>
          <w:szCs w:val="19"/>
        </w:rPr>
        <w:t>经商标局核准注册的商标为注册商标，包括商品商标、服务商标和集体商标、证</w:t>
      </w:r>
      <w:r>
        <w:rPr>
          <w:sz w:val="19"/>
          <w:szCs w:val="19"/>
        </w:rPr>
        <w:t xml:space="preserve"> </w:t>
      </w:r>
      <w:r>
        <w:rPr>
          <w:spacing w:val="8"/>
          <w:sz w:val="19"/>
          <w:szCs w:val="19"/>
        </w:rPr>
        <w:t>明商标；商标注册人享有商标专用权，受法律保护。</w:t>
      </w:r>
    </w:p>
    <w:p w14:paraId="3331C427">
      <w:pPr>
        <w:spacing w:line="278" w:lineRule="auto"/>
        <w:rPr>
          <w:sz w:val="19"/>
          <w:szCs w:val="19"/>
        </w:rPr>
        <w:sectPr>
          <w:pgSz w:w="10300" w:h="13400"/>
          <w:pgMar w:top="400" w:right="995" w:bottom="400" w:left="540" w:header="0" w:footer="0" w:gutter="0"/>
          <w:cols w:space="720" w:num="1"/>
        </w:sectPr>
      </w:pPr>
    </w:p>
    <w:p w14:paraId="68468D72">
      <w:pPr>
        <w:pStyle w:val="2"/>
        <w:spacing w:before="66" w:line="219" w:lineRule="auto"/>
        <w:jc w:val="right"/>
        <w:rPr>
          <w:rFonts w:ascii="Times New Roman" w:hAnsi="Times New Roman" w:eastAsia="Times New Roman" w:cs="Times New Roman"/>
          <w:sz w:val="19"/>
          <w:szCs w:val="19"/>
        </w:rPr>
      </w:pPr>
      <w:r>
        <w:rPr>
          <w:spacing w:val="17"/>
          <w:sz w:val="19"/>
          <w:szCs w:val="19"/>
        </w:rPr>
        <w:t>第13章合同管理</w:t>
      </w:r>
      <w:r>
        <w:rPr>
          <w:spacing w:val="7"/>
          <w:sz w:val="19"/>
          <w:szCs w:val="19"/>
        </w:rPr>
        <w:t xml:space="preserve">      </w:t>
      </w:r>
      <w:r>
        <w:rPr>
          <w:rFonts w:ascii="Times New Roman" w:hAnsi="Times New Roman" w:eastAsia="Times New Roman" w:cs="Times New Roman"/>
          <w:spacing w:val="17"/>
          <w:sz w:val="19"/>
          <w:szCs w:val="19"/>
        </w:rPr>
        <w:t>323</w:t>
      </w:r>
    </w:p>
    <w:p w14:paraId="248A1704">
      <w:pPr>
        <w:spacing w:line="312" w:lineRule="auto"/>
        <w:rPr>
          <w:rFonts w:ascii="Arial"/>
          <w:sz w:val="21"/>
        </w:rPr>
      </w:pPr>
    </w:p>
    <w:p w14:paraId="5FE80788">
      <w:pPr>
        <w:pStyle w:val="2"/>
        <w:spacing w:before="61" w:line="306" w:lineRule="auto"/>
        <w:ind w:right="329" w:firstLine="410"/>
        <w:rPr>
          <w:sz w:val="19"/>
          <w:szCs w:val="19"/>
        </w:rPr>
      </w:pPr>
      <w:r>
        <w:rPr>
          <w:spacing w:val="12"/>
          <w:sz w:val="19"/>
          <w:szCs w:val="19"/>
        </w:rPr>
        <w:t>商标法所称集体商标，是指以团体、协会或者其他组织名义注册，供该组织成员在商</w:t>
      </w:r>
      <w:r>
        <w:rPr>
          <w:spacing w:val="11"/>
          <w:sz w:val="19"/>
          <w:szCs w:val="19"/>
        </w:rPr>
        <w:t>事活</w:t>
      </w:r>
      <w:r>
        <w:rPr>
          <w:sz w:val="19"/>
          <w:szCs w:val="19"/>
        </w:rPr>
        <w:t xml:space="preserve"> </w:t>
      </w:r>
      <w:r>
        <w:rPr>
          <w:spacing w:val="8"/>
          <w:sz w:val="19"/>
          <w:szCs w:val="19"/>
        </w:rPr>
        <w:t>动中使用，以表明使用者在该组织中的成员</w:t>
      </w:r>
      <w:r>
        <w:rPr>
          <w:spacing w:val="7"/>
          <w:sz w:val="19"/>
          <w:szCs w:val="19"/>
        </w:rPr>
        <w:t>资格的标志。</w:t>
      </w:r>
    </w:p>
    <w:p w14:paraId="04452171">
      <w:pPr>
        <w:pStyle w:val="2"/>
        <w:spacing w:line="302" w:lineRule="auto"/>
        <w:ind w:right="300" w:firstLine="410"/>
        <w:rPr>
          <w:sz w:val="19"/>
          <w:szCs w:val="19"/>
        </w:rPr>
      </w:pPr>
      <w:r>
        <w:rPr>
          <w:spacing w:val="12"/>
          <w:sz w:val="19"/>
          <w:szCs w:val="19"/>
        </w:rPr>
        <w:t>商标法所称证明商标，是指由对某种商品或者服务具有监督能力的组织所控制，而由该组</w:t>
      </w:r>
      <w:r>
        <w:rPr>
          <w:spacing w:val="17"/>
          <w:sz w:val="19"/>
          <w:szCs w:val="19"/>
        </w:rPr>
        <w:t xml:space="preserve"> </w:t>
      </w:r>
      <w:r>
        <w:rPr>
          <w:spacing w:val="13"/>
          <w:sz w:val="19"/>
          <w:szCs w:val="19"/>
        </w:rPr>
        <w:t>织以外的单位或者个人使用于其商品或者服务，用以证明该商品或者服务的</w:t>
      </w:r>
      <w:r>
        <w:rPr>
          <w:spacing w:val="12"/>
          <w:sz w:val="19"/>
          <w:szCs w:val="19"/>
        </w:rPr>
        <w:t>原产地、原料、制</w:t>
      </w:r>
      <w:r>
        <w:rPr>
          <w:sz w:val="19"/>
          <w:szCs w:val="19"/>
        </w:rPr>
        <w:t xml:space="preserve"> </w:t>
      </w:r>
      <w:r>
        <w:rPr>
          <w:spacing w:val="8"/>
          <w:sz w:val="19"/>
          <w:szCs w:val="19"/>
        </w:rPr>
        <w:t>造方法、质量或者其他特定品质的标志。</w:t>
      </w:r>
    </w:p>
    <w:p w14:paraId="7ACB148E">
      <w:pPr>
        <w:pStyle w:val="2"/>
        <w:spacing w:before="37" w:line="219" w:lineRule="auto"/>
        <w:ind w:left="410"/>
        <w:rPr>
          <w:sz w:val="19"/>
          <w:szCs w:val="19"/>
        </w:rPr>
      </w:pPr>
      <w:r>
        <w:rPr>
          <w:spacing w:val="9"/>
          <w:sz w:val="19"/>
          <w:szCs w:val="19"/>
        </w:rPr>
        <w:t>集体商标、证明商标注册和管理的特殊事项，由国务院</w:t>
      </w:r>
      <w:r>
        <w:rPr>
          <w:spacing w:val="8"/>
          <w:sz w:val="19"/>
          <w:szCs w:val="19"/>
        </w:rPr>
        <w:t>工商行政管理部门规定。</w:t>
      </w:r>
    </w:p>
    <w:p w14:paraId="5A84257D">
      <w:pPr>
        <w:pStyle w:val="2"/>
        <w:spacing w:before="75" w:line="292" w:lineRule="auto"/>
        <w:ind w:right="287" w:firstLine="410"/>
        <w:rPr>
          <w:sz w:val="19"/>
          <w:szCs w:val="19"/>
        </w:rPr>
      </w:pPr>
      <w:r>
        <w:rPr>
          <w:spacing w:val="18"/>
          <w:sz w:val="19"/>
          <w:szCs w:val="19"/>
        </w:rPr>
        <w:t>第八条任何能够将自然人、法人或者其他组织的商品与他人的商品区</w:t>
      </w:r>
      <w:r>
        <w:rPr>
          <w:spacing w:val="17"/>
          <w:sz w:val="19"/>
          <w:szCs w:val="19"/>
        </w:rPr>
        <w:t>别开的标志，包括</w:t>
      </w:r>
      <w:r>
        <w:rPr>
          <w:sz w:val="19"/>
          <w:szCs w:val="19"/>
        </w:rPr>
        <w:t xml:space="preserve"> </w:t>
      </w:r>
      <w:r>
        <w:rPr>
          <w:spacing w:val="13"/>
          <w:sz w:val="19"/>
          <w:szCs w:val="19"/>
        </w:rPr>
        <w:t>文字、图形、字母、数字、三维标志、颜色组合和声音等，以及上述要素的组合，均可以作为</w:t>
      </w:r>
      <w:r>
        <w:rPr>
          <w:spacing w:val="5"/>
          <w:sz w:val="19"/>
          <w:szCs w:val="19"/>
        </w:rPr>
        <w:t xml:space="preserve"> </w:t>
      </w:r>
      <w:r>
        <w:rPr>
          <w:spacing w:val="6"/>
          <w:sz w:val="19"/>
          <w:szCs w:val="19"/>
        </w:rPr>
        <w:t>商标申请注册。</w:t>
      </w:r>
    </w:p>
    <w:p w14:paraId="4855961D">
      <w:pPr>
        <w:pStyle w:val="2"/>
        <w:spacing w:before="48" w:line="219" w:lineRule="auto"/>
        <w:ind w:left="410"/>
        <w:rPr>
          <w:sz w:val="19"/>
          <w:szCs w:val="19"/>
        </w:rPr>
      </w:pPr>
      <w:r>
        <w:rPr>
          <w:spacing w:val="13"/>
          <w:sz w:val="19"/>
          <w:szCs w:val="19"/>
        </w:rPr>
        <w:t>第九条</w:t>
      </w:r>
      <w:r>
        <w:rPr>
          <w:spacing w:val="6"/>
          <w:sz w:val="19"/>
          <w:szCs w:val="19"/>
        </w:rPr>
        <w:t xml:space="preserve">  </w:t>
      </w:r>
      <w:r>
        <w:rPr>
          <w:spacing w:val="13"/>
          <w:sz w:val="19"/>
          <w:szCs w:val="19"/>
        </w:rPr>
        <w:t>申请注册的商标，应当有显著特征，便于识别，并不得与他人在先取得的合法权</w:t>
      </w:r>
    </w:p>
    <w:p w14:paraId="057F1B29">
      <w:pPr>
        <w:pStyle w:val="2"/>
        <w:spacing w:before="86" w:line="221" w:lineRule="auto"/>
        <w:rPr>
          <w:sz w:val="19"/>
          <w:szCs w:val="19"/>
        </w:rPr>
      </w:pPr>
      <w:r>
        <w:rPr>
          <w:spacing w:val="5"/>
          <w:sz w:val="19"/>
          <w:szCs w:val="19"/>
        </w:rPr>
        <w:t>利相冲突。</w:t>
      </w:r>
    </w:p>
    <w:p w14:paraId="6646A6C6">
      <w:pPr>
        <w:pStyle w:val="2"/>
        <w:spacing w:before="187" w:line="221" w:lineRule="auto"/>
        <w:ind w:left="412"/>
        <w:rPr>
          <w:rFonts w:ascii="黑体" w:hAnsi="黑体" w:eastAsia="黑体" w:cs="黑体"/>
          <w:sz w:val="19"/>
          <w:szCs w:val="19"/>
        </w:rPr>
      </w:pPr>
      <w:r>
        <w:rPr>
          <w:b/>
          <w:bCs/>
          <w:color w:val="0081D8"/>
          <w:spacing w:val="6"/>
          <w:sz w:val="19"/>
          <w:szCs w:val="19"/>
        </w:rPr>
        <w:t>4.</w:t>
      </w:r>
      <w:r>
        <w:rPr>
          <w:rFonts w:ascii="黑体" w:hAnsi="黑体" w:eastAsia="黑体" w:cs="黑体"/>
          <w:b/>
          <w:bCs/>
          <w:color w:val="0081D8"/>
          <w:spacing w:val="6"/>
          <w:sz w:val="19"/>
          <w:szCs w:val="19"/>
        </w:rPr>
        <w:t>商业秘密</w:t>
      </w:r>
    </w:p>
    <w:p w14:paraId="37FAF672">
      <w:pPr>
        <w:pStyle w:val="2"/>
        <w:spacing w:before="155" w:line="293" w:lineRule="auto"/>
        <w:ind w:right="302" w:firstLine="315"/>
        <w:jc w:val="both"/>
        <w:rPr>
          <w:sz w:val="19"/>
          <w:szCs w:val="19"/>
        </w:rPr>
      </w:pPr>
      <w:r>
        <w:rPr>
          <w:spacing w:val="10"/>
          <w:sz w:val="19"/>
          <w:szCs w:val="19"/>
        </w:rPr>
        <w:t>《中华人民共和国反不正当竞争法》规定：商业秘密</w:t>
      </w:r>
      <w:r>
        <w:rPr>
          <w:spacing w:val="9"/>
          <w:sz w:val="19"/>
          <w:szCs w:val="19"/>
        </w:rPr>
        <w:t>，是指不为公众所知悉、具有商业价值</w:t>
      </w:r>
      <w:r>
        <w:rPr>
          <w:sz w:val="19"/>
          <w:szCs w:val="19"/>
        </w:rPr>
        <w:t xml:space="preserve"> </w:t>
      </w:r>
      <w:r>
        <w:rPr>
          <w:spacing w:val="13"/>
          <w:sz w:val="19"/>
          <w:szCs w:val="19"/>
        </w:rPr>
        <w:t>并经权利人采取相应保密措施的技术信息、经营信息等商业信息。民法</w:t>
      </w:r>
      <w:r>
        <w:rPr>
          <w:spacing w:val="12"/>
          <w:sz w:val="19"/>
          <w:szCs w:val="19"/>
        </w:rPr>
        <w:t>典第一百二十三条明确</w:t>
      </w:r>
      <w:r>
        <w:rPr>
          <w:sz w:val="19"/>
          <w:szCs w:val="19"/>
        </w:rPr>
        <w:t xml:space="preserve"> </w:t>
      </w:r>
      <w:r>
        <w:rPr>
          <w:spacing w:val="6"/>
          <w:sz w:val="19"/>
          <w:szCs w:val="19"/>
        </w:rPr>
        <w:t>将商业秘密列为知识产权的客体。</w:t>
      </w:r>
    </w:p>
    <w:p w14:paraId="4F8DBC0B">
      <w:pPr>
        <w:pStyle w:val="2"/>
        <w:spacing w:before="133" w:line="222" w:lineRule="auto"/>
        <w:ind w:left="412"/>
        <w:rPr>
          <w:rFonts w:ascii="黑体" w:hAnsi="黑体" w:eastAsia="黑体" w:cs="黑体"/>
          <w:sz w:val="19"/>
          <w:szCs w:val="19"/>
        </w:rPr>
      </w:pPr>
      <w:r>
        <w:rPr>
          <w:b/>
          <w:bCs/>
          <w:color w:val="0077D3"/>
          <w:spacing w:val="5"/>
          <w:sz w:val="19"/>
          <w:szCs w:val="19"/>
        </w:rPr>
        <w:t>5.</w:t>
      </w:r>
      <w:r>
        <w:rPr>
          <w:rFonts w:ascii="黑体" w:hAnsi="黑体" w:eastAsia="黑体" w:cs="黑体"/>
          <w:b/>
          <w:bCs/>
          <w:color w:val="0077D3"/>
          <w:spacing w:val="5"/>
          <w:sz w:val="19"/>
          <w:szCs w:val="19"/>
        </w:rPr>
        <w:t>集成电路布图设计</w:t>
      </w:r>
    </w:p>
    <w:p w14:paraId="1B88FCB8">
      <w:pPr>
        <w:pStyle w:val="2"/>
        <w:spacing w:before="145" w:line="293" w:lineRule="auto"/>
        <w:ind w:right="307" w:firstLine="315"/>
        <w:jc w:val="both"/>
        <w:rPr>
          <w:sz w:val="19"/>
          <w:szCs w:val="19"/>
        </w:rPr>
      </w:pPr>
      <w:r>
        <w:rPr>
          <w:spacing w:val="10"/>
          <w:sz w:val="19"/>
          <w:szCs w:val="19"/>
        </w:rPr>
        <w:t>《集成电路布图设计保护条例》第二条规定：集成电路布图设计，是指集成电</w:t>
      </w:r>
      <w:r>
        <w:rPr>
          <w:spacing w:val="9"/>
          <w:sz w:val="19"/>
          <w:szCs w:val="19"/>
        </w:rPr>
        <w:t>路中至少有一</w:t>
      </w:r>
      <w:r>
        <w:rPr>
          <w:sz w:val="19"/>
          <w:szCs w:val="19"/>
        </w:rPr>
        <w:t xml:space="preserve"> </w:t>
      </w:r>
      <w:r>
        <w:rPr>
          <w:spacing w:val="13"/>
          <w:sz w:val="19"/>
          <w:szCs w:val="19"/>
        </w:rPr>
        <w:t>个是有源元件的两个以上元件和部分或者全部互连线路的</w:t>
      </w:r>
      <w:r>
        <w:rPr>
          <w:spacing w:val="12"/>
          <w:sz w:val="19"/>
          <w:szCs w:val="19"/>
        </w:rPr>
        <w:t>三维配置，或者为制造集成电路而准</w:t>
      </w:r>
      <w:r>
        <w:rPr>
          <w:sz w:val="19"/>
          <w:szCs w:val="19"/>
        </w:rPr>
        <w:t xml:space="preserve"> </w:t>
      </w:r>
      <w:r>
        <w:rPr>
          <w:spacing w:val="3"/>
          <w:sz w:val="19"/>
          <w:szCs w:val="19"/>
        </w:rPr>
        <w:t>备的上述三维配置。</w:t>
      </w:r>
    </w:p>
    <w:p w14:paraId="4453B510">
      <w:pPr>
        <w:pStyle w:val="2"/>
        <w:spacing w:before="26" w:line="297" w:lineRule="auto"/>
        <w:ind w:right="278" w:firstLine="410"/>
        <w:jc w:val="both"/>
        <w:rPr>
          <w:sz w:val="19"/>
          <w:szCs w:val="19"/>
        </w:rPr>
      </w:pPr>
      <w:r>
        <w:rPr>
          <w:spacing w:val="12"/>
          <w:sz w:val="19"/>
          <w:szCs w:val="19"/>
        </w:rPr>
        <w:t>集成电路布图设计实质上是一种图形设计，但它并非工业品外观设计，不能适用专利法保</w:t>
      </w:r>
      <w:r>
        <w:rPr>
          <w:spacing w:val="17"/>
          <w:sz w:val="19"/>
          <w:szCs w:val="19"/>
        </w:rPr>
        <w:t xml:space="preserve"> </w:t>
      </w:r>
      <w:r>
        <w:rPr>
          <w:spacing w:val="13"/>
          <w:sz w:val="19"/>
          <w:szCs w:val="19"/>
        </w:rPr>
        <w:t>护。同时，它也不是一定思想的表达形式，也不具备艺术性，因而</w:t>
      </w:r>
      <w:r>
        <w:rPr>
          <w:spacing w:val="12"/>
          <w:sz w:val="19"/>
          <w:szCs w:val="19"/>
        </w:rPr>
        <w:t>不在作品之列，不能采用著</w:t>
      </w:r>
      <w:r>
        <w:rPr>
          <w:sz w:val="19"/>
          <w:szCs w:val="19"/>
        </w:rPr>
        <w:t xml:space="preserve"> </w:t>
      </w:r>
      <w:r>
        <w:rPr>
          <w:spacing w:val="12"/>
          <w:sz w:val="19"/>
          <w:szCs w:val="19"/>
        </w:rPr>
        <w:t>作权法加以保护。因此，需要专门的条例对集成电路布图权利人的相关权利进行保护。2001年</w:t>
      </w:r>
      <w:r>
        <w:rPr>
          <w:spacing w:val="1"/>
          <w:sz w:val="19"/>
          <w:szCs w:val="19"/>
        </w:rPr>
        <w:t xml:space="preserve"> </w:t>
      </w:r>
      <w:r>
        <w:rPr>
          <w:spacing w:val="23"/>
          <w:sz w:val="19"/>
          <w:szCs w:val="19"/>
        </w:rPr>
        <w:t>3月28日国务院通过了《集成电路布图设计保护条</w:t>
      </w:r>
      <w:r>
        <w:rPr>
          <w:spacing w:val="22"/>
          <w:sz w:val="19"/>
          <w:szCs w:val="19"/>
        </w:rPr>
        <w:t>例》,于2001年10月1日生效。根据《集</w:t>
      </w:r>
      <w:r>
        <w:rPr>
          <w:sz w:val="19"/>
          <w:szCs w:val="19"/>
        </w:rPr>
        <w:t xml:space="preserve"> </w:t>
      </w:r>
      <w:r>
        <w:rPr>
          <w:spacing w:val="17"/>
          <w:sz w:val="19"/>
          <w:szCs w:val="19"/>
        </w:rPr>
        <w:t>成电路布图设计保护条例》,特制定《集成电路布图设计保护条例实施细则</w:t>
      </w:r>
      <w:r>
        <w:rPr>
          <w:spacing w:val="16"/>
          <w:sz w:val="19"/>
          <w:szCs w:val="19"/>
        </w:rPr>
        <w:t>》,自2001年10月</w:t>
      </w:r>
      <w:r>
        <w:rPr>
          <w:sz w:val="19"/>
          <w:szCs w:val="19"/>
        </w:rPr>
        <w:t xml:space="preserve"> </w:t>
      </w:r>
      <w:r>
        <w:rPr>
          <w:spacing w:val="9"/>
          <w:sz w:val="19"/>
          <w:szCs w:val="19"/>
        </w:rPr>
        <w:t>1日起施行。</w:t>
      </w:r>
    </w:p>
    <w:p w14:paraId="215CA44B">
      <w:pPr>
        <w:pStyle w:val="2"/>
        <w:spacing w:before="185" w:line="219" w:lineRule="auto"/>
        <w:ind w:left="2"/>
        <w:rPr>
          <w:sz w:val="25"/>
          <w:szCs w:val="25"/>
        </w:rPr>
      </w:pPr>
      <w:r>
        <w:rPr>
          <w:b/>
          <w:bCs/>
          <w:color w:val="0080E3"/>
          <w:spacing w:val="-18"/>
          <w:sz w:val="25"/>
          <w:szCs w:val="25"/>
        </w:rPr>
        <w:t>13.6.2</w:t>
      </w:r>
      <w:r>
        <w:rPr>
          <w:color w:val="0080E3"/>
          <w:spacing w:val="92"/>
          <w:sz w:val="25"/>
          <w:szCs w:val="25"/>
        </w:rPr>
        <w:t xml:space="preserve"> </w:t>
      </w:r>
      <w:r>
        <w:rPr>
          <w:b/>
          <w:bCs/>
          <w:color w:val="0080E3"/>
          <w:spacing w:val="-18"/>
          <w:sz w:val="25"/>
          <w:szCs w:val="25"/>
        </w:rPr>
        <w:t>知识产权的保护</w:t>
      </w:r>
    </w:p>
    <w:p w14:paraId="266AB315">
      <w:pPr>
        <w:pStyle w:val="2"/>
        <w:spacing w:before="153" w:line="296" w:lineRule="auto"/>
        <w:ind w:right="222" w:firstLine="410"/>
        <w:jc w:val="both"/>
        <w:rPr>
          <w:sz w:val="19"/>
          <w:szCs w:val="19"/>
        </w:rPr>
      </w:pPr>
      <w:r>
        <w:rPr>
          <w:spacing w:val="13"/>
          <w:sz w:val="19"/>
          <w:szCs w:val="19"/>
        </w:rPr>
        <w:t>知识产权管理和保护涉及各行业，贯穿在创造、利</w:t>
      </w:r>
      <w:r>
        <w:rPr>
          <w:spacing w:val="12"/>
          <w:sz w:val="19"/>
          <w:szCs w:val="19"/>
        </w:rPr>
        <w:t>用和保护知识产权的各个环节，与知识</w:t>
      </w:r>
      <w:r>
        <w:rPr>
          <w:sz w:val="19"/>
          <w:szCs w:val="19"/>
        </w:rPr>
        <w:t xml:space="preserve">  </w:t>
      </w:r>
      <w:r>
        <w:rPr>
          <w:spacing w:val="14"/>
          <w:sz w:val="19"/>
          <w:szCs w:val="19"/>
        </w:rPr>
        <w:t>产权有关的管理部门很多。专利(发明、实用新型和外观设计)由国家知识产权局专利局管理，</w:t>
      </w:r>
      <w:r>
        <w:rPr>
          <w:spacing w:val="15"/>
          <w:sz w:val="19"/>
          <w:szCs w:val="19"/>
        </w:rPr>
        <w:t xml:space="preserve"> </w:t>
      </w:r>
      <w:r>
        <w:rPr>
          <w:spacing w:val="18"/>
          <w:sz w:val="19"/>
          <w:szCs w:val="19"/>
        </w:rPr>
        <w:t>商标由国家知识产权局商标局管理，作品(版权</w:t>
      </w:r>
      <w:r>
        <w:rPr>
          <w:spacing w:val="17"/>
          <w:sz w:val="19"/>
          <w:szCs w:val="19"/>
        </w:rPr>
        <w:t>)由国家版权局管理，商业秘密由公安部门负</w:t>
      </w:r>
      <w:r>
        <w:rPr>
          <w:sz w:val="19"/>
          <w:szCs w:val="19"/>
        </w:rPr>
        <w:t xml:space="preserve">  </w:t>
      </w:r>
      <w:r>
        <w:rPr>
          <w:spacing w:val="13"/>
          <w:sz w:val="19"/>
          <w:szCs w:val="19"/>
        </w:rPr>
        <w:t>责，地理标志由国家知识产权局管理，植物新品种由国家林业和草原局管</w:t>
      </w:r>
      <w:r>
        <w:rPr>
          <w:spacing w:val="12"/>
          <w:sz w:val="19"/>
          <w:szCs w:val="19"/>
        </w:rPr>
        <w:t>理等。不同种类的知</w:t>
      </w:r>
      <w:r>
        <w:rPr>
          <w:sz w:val="19"/>
          <w:szCs w:val="19"/>
        </w:rPr>
        <w:t xml:space="preserve">  </w:t>
      </w:r>
      <w:r>
        <w:rPr>
          <w:spacing w:val="6"/>
          <w:sz w:val="19"/>
          <w:szCs w:val="19"/>
        </w:rPr>
        <w:t>识产权由各分属职能部门管理。</w:t>
      </w:r>
    </w:p>
    <w:p w14:paraId="21A22A96">
      <w:pPr>
        <w:pStyle w:val="2"/>
        <w:spacing w:before="104" w:line="222" w:lineRule="auto"/>
        <w:ind w:left="412"/>
        <w:rPr>
          <w:rFonts w:ascii="黑体" w:hAnsi="黑体" w:eastAsia="黑体" w:cs="黑体"/>
          <w:sz w:val="19"/>
          <w:szCs w:val="19"/>
        </w:rPr>
      </w:pPr>
      <w:r>
        <w:rPr>
          <w:b/>
          <w:bCs/>
          <w:color w:val="0882CA"/>
          <w:spacing w:val="6"/>
          <w:sz w:val="19"/>
          <w:szCs w:val="19"/>
        </w:rPr>
        <w:t>1.</w:t>
      </w:r>
      <w:r>
        <w:rPr>
          <w:rFonts w:ascii="黑体" w:hAnsi="黑体" w:eastAsia="黑体" w:cs="黑体"/>
          <w:b/>
          <w:bCs/>
          <w:color w:val="0882CA"/>
          <w:spacing w:val="6"/>
          <w:sz w:val="19"/>
          <w:szCs w:val="19"/>
        </w:rPr>
        <w:t>知识产权保护的范围</w:t>
      </w:r>
    </w:p>
    <w:p w14:paraId="51C1B0BA">
      <w:pPr>
        <w:pStyle w:val="2"/>
        <w:spacing w:before="165" w:line="278" w:lineRule="auto"/>
        <w:ind w:right="284" w:firstLine="410"/>
        <w:rPr>
          <w:sz w:val="19"/>
          <w:szCs w:val="19"/>
        </w:rPr>
      </w:pPr>
      <w:r>
        <w:rPr>
          <w:spacing w:val="13"/>
          <w:sz w:val="19"/>
          <w:szCs w:val="19"/>
        </w:rPr>
        <w:t>信息系统工程中所包含的知识产权多为专利、计算机软件著作权和商业秘密等，下面就信</w:t>
      </w:r>
      <w:r>
        <w:rPr>
          <w:spacing w:val="5"/>
          <w:sz w:val="19"/>
          <w:szCs w:val="19"/>
        </w:rPr>
        <w:t xml:space="preserve"> </w:t>
      </w:r>
      <w:r>
        <w:rPr>
          <w:spacing w:val="8"/>
          <w:sz w:val="19"/>
          <w:szCs w:val="19"/>
        </w:rPr>
        <w:t>息系统工程中可能包含的知识产权保护范围分别予以介绍。</w:t>
      </w:r>
    </w:p>
    <w:p w14:paraId="24F629E0">
      <w:pPr>
        <w:spacing w:line="278" w:lineRule="auto"/>
        <w:rPr>
          <w:sz w:val="19"/>
          <w:szCs w:val="19"/>
        </w:rPr>
        <w:sectPr>
          <w:pgSz w:w="10280" w:h="13290"/>
          <w:pgMar w:top="400" w:right="642" w:bottom="400" w:left="1019" w:header="0" w:footer="0" w:gutter="0"/>
          <w:cols w:space="720" w:num="1"/>
        </w:sectPr>
      </w:pPr>
    </w:p>
    <w:p w14:paraId="4790C2A7">
      <w:pPr>
        <w:pStyle w:val="2"/>
        <w:spacing w:before="77" w:line="219" w:lineRule="auto"/>
        <w:rPr>
          <w:sz w:val="19"/>
          <w:szCs w:val="19"/>
        </w:rPr>
      </w:pPr>
      <w:r>
        <w:rPr>
          <w:rFonts w:ascii="Times New Roman" w:hAnsi="Times New Roman" w:eastAsia="Times New Roman" w:cs="Times New Roman"/>
          <w:spacing w:val="4"/>
          <w:position w:val="-1"/>
          <w:sz w:val="19"/>
          <w:szCs w:val="19"/>
        </w:rPr>
        <w:t xml:space="preserve">324              </w:t>
      </w:r>
      <w:r>
        <w:rPr>
          <w:spacing w:val="4"/>
          <w:sz w:val="19"/>
          <w:szCs w:val="19"/>
        </w:rPr>
        <w:t>信息系统监</w:t>
      </w:r>
      <w:r>
        <w:rPr>
          <w:spacing w:val="3"/>
          <w:sz w:val="19"/>
          <w:szCs w:val="19"/>
        </w:rPr>
        <w:t>理师教程(第2版)</w:t>
      </w:r>
    </w:p>
    <w:p w14:paraId="38E4B8E9">
      <w:pPr>
        <w:spacing w:line="333" w:lineRule="auto"/>
        <w:rPr>
          <w:rFonts w:ascii="Arial"/>
          <w:sz w:val="21"/>
        </w:rPr>
      </w:pPr>
    </w:p>
    <w:p w14:paraId="5CD7293C">
      <w:pPr>
        <w:spacing w:before="62" w:line="223" w:lineRule="auto"/>
        <w:ind w:left="762"/>
        <w:rPr>
          <w:rFonts w:ascii="楷体" w:hAnsi="楷体" w:eastAsia="楷体" w:cs="楷体"/>
          <w:sz w:val="19"/>
          <w:szCs w:val="19"/>
        </w:rPr>
      </w:pPr>
      <w:r>
        <w:rPr>
          <w:rFonts w:ascii="楷体" w:hAnsi="楷体" w:eastAsia="楷体" w:cs="楷体"/>
          <w:b/>
          <w:bCs/>
          <w:spacing w:val="-9"/>
          <w:sz w:val="19"/>
          <w:szCs w:val="19"/>
        </w:rPr>
        <w:t>1</w:t>
      </w:r>
      <w:r>
        <w:rPr>
          <w:rFonts w:ascii="楷体" w:hAnsi="楷体" w:eastAsia="楷体" w:cs="楷体"/>
          <w:spacing w:val="-44"/>
          <w:sz w:val="19"/>
          <w:szCs w:val="19"/>
        </w:rPr>
        <w:t xml:space="preserve"> </w:t>
      </w:r>
      <w:r>
        <w:rPr>
          <w:rFonts w:ascii="楷体" w:hAnsi="楷体" w:eastAsia="楷体" w:cs="楷体"/>
          <w:b/>
          <w:bCs/>
          <w:spacing w:val="-9"/>
          <w:sz w:val="19"/>
          <w:szCs w:val="19"/>
        </w:rPr>
        <w:t>)</w:t>
      </w:r>
      <w:r>
        <w:rPr>
          <w:rFonts w:ascii="楷体" w:hAnsi="楷体" w:eastAsia="楷体" w:cs="楷体"/>
          <w:spacing w:val="-47"/>
          <w:sz w:val="19"/>
          <w:szCs w:val="19"/>
        </w:rPr>
        <w:t xml:space="preserve"> </w:t>
      </w:r>
      <w:r>
        <w:rPr>
          <w:rFonts w:ascii="楷体" w:hAnsi="楷体" w:eastAsia="楷体" w:cs="楷体"/>
          <w:b/>
          <w:bCs/>
          <w:spacing w:val="-9"/>
          <w:sz w:val="19"/>
          <w:szCs w:val="19"/>
        </w:rPr>
        <w:t>作</w:t>
      </w:r>
      <w:r>
        <w:rPr>
          <w:rFonts w:ascii="楷体" w:hAnsi="楷体" w:eastAsia="楷体" w:cs="楷体"/>
          <w:spacing w:val="-33"/>
          <w:sz w:val="19"/>
          <w:szCs w:val="19"/>
        </w:rPr>
        <w:t xml:space="preserve"> </w:t>
      </w:r>
      <w:r>
        <w:rPr>
          <w:rFonts w:ascii="楷体" w:hAnsi="楷体" w:eastAsia="楷体" w:cs="楷体"/>
          <w:b/>
          <w:bCs/>
          <w:spacing w:val="-9"/>
          <w:sz w:val="19"/>
          <w:szCs w:val="19"/>
        </w:rPr>
        <w:t>品</w:t>
      </w:r>
    </w:p>
    <w:p w14:paraId="6C55C5A6">
      <w:pPr>
        <w:pStyle w:val="2"/>
        <w:spacing w:before="89" w:line="306" w:lineRule="auto"/>
        <w:ind w:left="349" w:right="11" w:firstLine="410"/>
        <w:jc w:val="both"/>
        <w:rPr>
          <w:sz w:val="19"/>
          <w:szCs w:val="19"/>
        </w:rPr>
      </w:pPr>
      <w:r>
        <w:rPr>
          <w:spacing w:val="13"/>
          <w:sz w:val="19"/>
          <w:szCs w:val="19"/>
        </w:rPr>
        <w:t>信息系统工程中所涉及的作品主要为计算机软件，计算机软件作品的保护遵循国务院颁发</w:t>
      </w:r>
      <w:r>
        <w:rPr>
          <w:spacing w:val="10"/>
          <w:sz w:val="19"/>
          <w:szCs w:val="19"/>
        </w:rPr>
        <w:t xml:space="preserve"> </w:t>
      </w:r>
      <w:r>
        <w:rPr>
          <w:spacing w:val="8"/>
          <w:sz w:val="19"/>
          <w:szCs w:val="19"/>
        </w:rPr>
        <w:t>的《计算机软件保护条例》。计算机软件，是指计算机程序及其有关文档。计算机程序，是指为</w:t>
      </w:r>
      <w:r>
        <w:rPr>
          <w:spacing w:val="2"/>
          <w:sz w:val="19"/>
          <w:szCs w:val="19"/>
        </w:rPr>
        <w:t xml:space="preserve"> </w:t>
      </w:r>
      <w:r>
        <w:rPr>
          <w:spacing w:val="13"/>
          <w:sz w:val="19"/>
          <w:szCs w:val="19"/>
        </w:rPr>
        <w:t>了得到某种结果而可以由计算机等具有信息处理能力的装置执行的代码化指令序列，或者可以</w:t>
      </w:r>
      <w:r>
        <w:rPr>
          <w:spacing w:val="3"/>
          <w:sz w:val="19"/>
          <w:szCs w:val="19"/>
        </w:rPr>
        <w:t xml:space="preserve"> </w:t>
      </w:r>
      <w:r>
        <w:rPr>
          <w:spacing w:val="13"/>
          <w:sz w:val="19"/>
          <w:szCs w:val="19"/>
        </w:rPr>
        <w:t>被自动转换成代码化指令序列的符号化指令序列或者符号化语句序列。同一计算机程序的源程</w:t>
      </w:r>
      <w:r>
        <w:rPr>
          <w:spacing w:val="12"/>
          <w:sz w:val="19"/>
          <w:szCs w:val="19"/>
        </w:rPr>
        <w:t xml:space="preserve"> </w:t>
      </w:r>
      <w:r>
        <w:rPr>
          <w:spacing w:val="13"/>
          <w:sz w:val="19"/>
          <w:szCs w:val="19"/>
        </w:rPr>
        <w:t>序和目标程序为同一作品。文档，是指用来描述程序的内容、组成、设计、功能规格、开发情</w:t>
      </w:r>
      <w:r>
        <w:rPr>
          <w:spacing w:val="15"/>
          <w:sz w:val="19"/>
          <w:szCs w:val="19"/>
        </w:rPr>
        <w:t xml:space="preserve"> </w:t>
      </w:r>
      <w:r>
        <w:rPr>
          <w:spacing w:val="9"/>
          <w:sz w:val="19"/>
          <w:szCs w:val="19"/>
        </w:rPr>
        <w:t>况、测试结果及使用方法的文字资料和图表等，如程序设计说明书、流程图、用户手册等。</w:t>
      </w:r>
    </w:p>
    <w:p w14:paraId="0AE75A18">
      <w:pPr>
        <w:spacing w:before="106" w:line="225" w:lineRule="auto"/>
        <w:ind w:left="760"/>
        <w:rPr>
          <w:rFonts w:ascii="楷体" w:hAnsi="楷体" w:eastAsia="楷体" w:cs="楷体"/>
          <w:sz w:val="19"/>
          <w:szCs w:val="19"/>
        </w:rPr>
      </w:pPr>
      <w:r>
        <w:rPr>
          <w:rFonts w:ascii="楷体" w:hAnsi="楷体" w:eastAsia="楷体" w:cs="楷体"/>
          <w:spacing w:val="15"/>
          <w:sz w:val="19"/>
          <w:szCs w:val="19"/>
        </w:rPr>
        <w:t>2)发明、实用新型和外观设计</w:t>
      </w:r>
    </w:p>
    <w:p w14:paraId="0EFF25D1">
      <w:pPr>
        <w:pStyle w:val="2"/>
        <w:spacing w:before="90" w:line="288" w:lineRule="auto"/>
        <w:ind w:left="349" w:right="13" w:firstLine="410"/>
        <w:rPr>
          <w:sz w:val="19"/>
          <w:szCs w:val="19"/>
        </w:rPr>
      </w:pPr>
      <w:r>
        <w:rPr>
          <w:spacing w:val="13"/>
          <w:sz w:val="19"/>
          <w:szCs w:val="19"/>
        </w:rPr>
        <w:t>发明或者实用新型专利权的保护范围以其权利要求的内容为准，说明书及附图可以用于解</w:t>
      </w:r>
      <w:r>
        <w:rPr>
          <w:spacing w:val="8"/>
          <w:sz w:val="19"/>
          <w:szCs w:val="19"/>
        </w:rPr>
        <w:t xml:space="preserve"> </w:t>
      </w:r>
      <w:r>
        <w:rPr>
          <w:spacing w:val="3"/>
          <w:sz w:val="19"/>
          <w:szCs w:val="19"/>
        </w:rPr>
        <w:t>释权利要求的内容。</w:t>
      </w:r>
    </w:p>
    <w:p w14:paraId="61168C1D">
      <w:pPr>
        <w:pStyle w:val="2"/>
        <w:spacing w:before="46" w:line="279" w:lineRule="auto"/>
        <w:ind w:left="349" w:firstLine="410"/>
        <w:rPr>
          <w:sz w:val="19"/>
          <w:szCs w:val="19"/>
        </w:rPr>
      </w:pPr>
      <w:r>
        <w:rPr>
          <w:spacing w:val="14"/>
          <w:sz w:val="19"/>
          <w:szCs w:val="19"/>
        </w:rPr>
        <w:t>外观设计专利权的保护范围以表示在图片或者照片</w:t>
      </w:r>
      <w:r>
        <w:rPr>
          <w:spacing w:val="13"/>
          <w:sz w:val="19"/>
          <w:szCs w:val="19"/>
        </w:rPr>
        <w:t>中的该产品的外观设计为准，简要说明</w:t>
      </w:r>
      <w:r>
        <w:rPr>
          <w:sz w:val="19"/>
          <w:szCs w:val="19"/>
        </w:rPr>
        <w:t xml:space="preserve"> </w:t>
      </w:r>
      <w:r>
        <w:rPr>
          <w:spacing w:val="7"/>
          <w:sz w:val="19"/>
          <w:szCs w:val="19"/>
        </w:rPr>
        <w:t>可以用于解释图片或者照片所表示的该产品的外观设计。</w:t>
      </w:r>
    </w:p>
    <w:p w14:paraId="2008CBAB">
      <w:pPr>
        <w:spacing w:before="125" w:line="224" w:lineRule="auto"/>
        <w:ind w:left="760"/>
        <w:rPr>
          <w:rFonts w:ascii="楷体" w:hAnsi="楷体" w:eastAsia="楷体" w:cs="楷体"/>
          <w:sz w:val="19"/>
          <w:szCs w:val="19"/>
        </w:rPr>
      </w:pPr>
      <w:r>
        <w:rPr>
          <w:rFonts w:ascii="楷体" w:hAnsi="楷体" w:eastAsia="楷体" w:cs="楷体"/>
          <w:spacing w:val="-7"/>
          <w:sz w:val="19"/>
          <w:szCs w:val="19"/>
        </w:rPr>
        <w:t>3</w:t>
      </w:r>
      <w:r>
        <w:rPr>
          <w:rFonts w:ascii="楷体" w:hAnsi="楷体" w:eastAsia="楷体" w:cs="楷体"/>
          <w:spacing w:val="-42"/>
          <w:sz w:val="19"/>
          <w:szCs w:val="19"/>
        </w:rPr>
        <w:t xml:space="preserve"> </w:t>
      </w:r>
      <w:r>
        <w:rPr>
          <w:rFonts w:ascii="楷体" w:hAnsi="楷体" w:eastAsia="楷体" w:cs="楷体"/>
          <w:spacing w:val="-7"/>
          <w:sz w:val="19"/>
          <w:szCs w:val="19"/>
        </w:rPr>
        <w:t>)</w:t>
      </w:r>
      <w:r>
        <w:rPr>
          <w:rFonts w:ascii="楷体" w:hAnsi="楷体" w:eastAsia="楷体" w:cs="楷体"/>
          <w:spacing w:val="-31"/>
          <w:sz w:val="19"/>
          <w:szCs w:val="19"/>
        </w:rPr>
        <w:t xml:space="preserve"> </w:t>
      </w:r>
      <w:r>
        <w:rPr>
          <w:rFonts w:ascii="楷体" w:hAnsi="楷体" w:eastAsia="楷体" w:cs="楷体"/>
          <w:spacing w:val="-7"/>
          <w:sz w:val="19"/>
          <w:szCs w:val="19"/>
        </w:rPr>
        <w:t>商</w:t>
      </w:r>
      <w:r>
        <w:rPr>
          <w:rFonts w:ascii="楷体" w:hAnsi="楷体" w:eastAsia="楷体" w:cs="楷体"/>
          <w:spacing w:val="-38"/>
          <w:sz w:val="19"/>
          <w:szCs w:val="19"/>
        </w:rPr>
        <w:t xml:space="preserve"> </w:t>
      </w:r>
      <w:r>
        <w:rPr>
          <w:rFonts w:ascii="楷体" w:hAnsi="楷体" w:eastAsia="楷体" w:cs="楷体"/>
          <w:spacing w:val="-7"/>
          <w:sz w:val="19"/>
          <w:szCs w:val="19"/>
        </w:rPr>
        <w:t>标</w:t>
      </w:r>
    </w:p>
    <w:p w14:paraId="6C8FE53E">
      <w:pPr>
        <w:pStyle w:val="2"/>
        <w:spacing w:before="71" w:line="311" w:lineRule="auto"/>
        <w:ind w:left="349" w:right="30" w:firstLine="315"/>
        <w:rPr>
          <w:sz w:val="19"/>
          <w:szCs w:val="19"/>
        </w:rPr>
      </w:pPr>
      <w:r>
        <w:rPr>
          <w:spacing w:val="21"/>
          <w:sz w:val="19"/>
          <w:szCs w:val="19"/>
        </w:rPr>
        <w:t>《中华人民共和国商标法》第五十七条规定，有下列行</w:t>
      </w:r>
      <w:r>
        <w:rPr>
          <w:spacing w:val="20"/>
          <w:sz w:val="19"/>
          <w:szCs w:val="19"/>
        </w:rPr>
        <w:t>为之一的，均属侵犯注册商标专</w:t>
      </w:r>
      <w:r>
        <w:rPr>
          <w:sz w:val="19"/>
          <w:szCs w:val="19"/>
        </w:rPr>
        <w:t xml:space="preserve"> </w:t>
      </w:r>
      <w:r>
        <w:rPr>
          <w:spacing w:val="1"/>
          <w:sz w:val="19"/>
          <w:szCs w:val="19"/>
        </w:rPr>
        <w:t>用权：</w:t>
      </w:r>
    </w:p>
    <w:p w14:paraId="2CBB3D8D">
      <w:pPr>
        <w:pStyle w:val="2"/>
        <w:spacing w:before="1" w:line="219" w:lineRule="auto"/>
        <w:ind w:left="760"/>
        <w:rPr>
          <w:sz w:val="19"/>
          <w:szCs w:val="19"/>
        </w:rPr>
      </w:pPr>
      <w:r>
        <w:rPr>
          <w:spacing w:val="10"/>
          <w:sz w:val="19"/>
          <w:szCs w:val="19"/>
        </w:rPr>
        <w:t>(一)未经商标注册人的许可，在同一种商品上使用与其注册商标相同的商标的；</w:t>
      </w:r>
    </w:p>
    <w:p w14:paraId="779F9C9D">
      <w:pPr>
        <w:pStyle w:val="2"/>
        <w:spacing w:before="74" w:line="265" w:lineRule="auto"/>
        <w:ind w:left="349" w:right="32" w:firstLine="410"/>
        <w:rPr>
          <w:sz w:val="19"/>
          <w:szCs w:val="19"/>
        </w:rPr>
      </w:pPr>
      <w:r>
        <w:rPr>
          <w:spacing w:val="12"/>
          <w:sz w:val="19"/>
          <w:szCs w:val="19"/>
        </w:rPr>
        <w:t>(二)未经商标注册人的许可，在同一种商品上使用与其注册商标近似的商标，或者在类似</w:t>
      </w:r>
      <w:r>
        <w:rPr>
          <w:spacing w:val="17"/>
          <w:sz w:val="19"/>
          <w:szCs w:val="19"/>
        </w:rPr>
        <w:t xml:space="preserve"> </w:t>
      </w:r>
      <w:r>
        <w:rPr>
          <w:spacing w:val="7"/>
          <w:sz w:val="19"/>
          <w:szCs w:val="19"/>
        </w:rPr>
        <w:t>商品上使用与其注册商标相同或者近似的商标，容易导致混淆的；</w:t>
      </w:r>
    </w:p>
    <w:p w14:paraId="7C49595A">
      <w:pPr>
        <w:pStyle w:val="2"/>
        <w:spacing w:before="95" w:line="219" w:lineRule="auto"/>
        <w:ind w:left="760"/>
        <w:rPr>
          <w:sz w:val="19"/>
          <w:szCs w:val="19"/>
        </w:rPr>
      </w:pPr>
      <w:r>
        <w:rPr>
          <w:spacing w:val="11"/>
          <w:sz w:val="19"/>
          <w:szCs w:val="19"/>
        </w:rPr>
        <w:t>(三)销售侵犯注册商标专用权的商品的；</w:t>
      </w:r>
    </w:p>
    <w:p w14:paraId="7993211F">
      <w:pPr>
        <w:pStyle w:val="2"/>
        <w:spacing w:before="85" w:line="220" w:lineRule="auto"/>
        <w:ind w:left="760"/>
        <w:rPr>
          <w:sz w:val="19"/>
          <w:szCs w:val="19"/>
        </w:rPr>
      </w:pPr>
      <w:r>
        <w:rPr>
          <w:spacing w:val="10"/>
          <w:sz w:val="19"/>
          <w:szCs w:val="19"/>
        </w:rPr>
        <w:t>(四)伪造、擅自制造他人注册商标标识或者销售伪造、擅自制造的注册商标标识的；</w:t>
      </w:r>
    </w:p>
    <w:p w14:paraId="57AC6BE5">
      <w:pPr>
        <w:pStyle w:val="2"/>
        <w:spacing w:before="83" w:line="219" w:lineRule="auto"/>
        <w:ind w:left="760"/>
        <w:rPr>
          <w:sz w:val="19"/>
          <w:szCs w:val="19"/>
        </w:rPr>
      </w:pPr>
      <w:r>
        <w:rPr>
          <w:spacing w:val="10"/>
          <w:sz w:val="19"/>
          <w:szCs w:val="19"/>
        </w:rPr>
        <w:t>(五)未经商标注册人同意，更换其注册商标并将该更换商标的商品又投入市场的；</w:t>
      </w:r>
    </w:p>
    <w:p w14:paraId="54757DEA">
      <w:pPr>
        <w:pStyle w:val="2"/>
        <w:spacing w:before="84" w:line="262" w:lineRule="auto"/>
        <w:ind w:left="349" w:right="30" w:firstLine="410"/>
        <w:rPr>
          <w:sz w:val="19"/>
          <w:szCs w:val="19"/>
        </w:rPr>
      </w:pPr>
      <w:r>
        <w:rPr>
          <w:spacing w:val="23"/>
          <w:sz w:val="19"/>
          <w:szCs w:val="19"/>
        </w:rPr>
        <w:t>(六)故意为侵犯他人商标专用权行为提供便利条件，帮助他人实施侵犯商标专用权行</w:t>
      </w:r>
      <w:r>
        <w:rPr>
          <w:spacing w:val="4"/>
          <w:sz w:val="19"/>
          <w:szCs w:val="19"/>
        </w:rPr>
        <w:t xml:space="preserve"> </w:t>
      </w:r>
      <w:r>
        <w:rPr>
          <w:spacing w:val="1"/>
          <w:sz w:val="19"/>
          <w:szCs w:val="19"/>
        </w:rPr>
        <w:t>为的；</w:t>
      </w:r>
    </w:p>
    <w:p w14:paraId="7FC520A4">
      <w:pPr>
        <w:pStyle w:val="2"/>
        <w:spacing w:before="81" w:line="219" w:lineRule="auto"/>
        <w:ind w:left="760"/>
        <w:rPr>
          <w:sz w:val="19"/>
          <w:szCs w:val="19"/>
        </w:rPr>
      </w:pPr>
      <w:r>
        <w:rPr>
          <w:spacing w:val="11"/>
          <w:sz w:val="19"/>
          <w:szCs w:val="19"/>
        </w:rPr>
        <w:t>(七)给他人的注册商标专用权造成其他损害的。</w:t>
      </w:r>
    </w:p>
    <w:p w14:paraId="57D876F3">
      <w:pPr>
        <w:spacing w:before="202" w:line="224" w:lineRule="auto"/>
        <w:ind w:left="760"/>
        <w:rPr>
          <w:rFonts w:ascii="楷体" w:hAnsi="楷体" w:eastAsia="楷体" w:cs="楷体"/>
          <w:sz w:val="19"/>
          <w:szCs w:val="19"/>
        </w:rPr>
      </w:pPr>
      <w:r>
        <w:rPr>
          <w:rFonts w:ascii="楷体" w:hAnsi="楷体" w:eastAsia="楷体" w:cs="楷体"/>
          <w:spacing w:val="23"/>
          <w:sz w:val="19"/>
          <w:szCs w:val="19"/>
        </w:rPr>
        <w:t>4)商业秘密</w:t>
      </w:r>
    </w:p>
    <w:p w14:paraId="3405CB49">
      <w:pPr>
        <w:pStyle w:val="2"/>
        <w:spacing w:before="63" w:line="301" w:lineRule="auto"/>
        <w:ind w:left="349" w:right="40" w:firstLine="315"/>
        <w:rPr>
          <w:sz w:val="19"/>
          <w:szCs w:val="19"/>
        </w:rPr>
      </w:pPr>
      <w:r>
        <w:rPr>
          <w:spacing w:val="20"/>
          <w:sz w:val="19"/>
          <w:szCs w:val="19"/>
        </w:rPr>
        <w:t>《中华人民共和国反不正当竞争法》第九条规定，经营者不得实施下列侵犯商业秘密的</w:t>
      </w:r>
      <w:r>
        <w:rPr>
          <w:spacing w:val="13"/>
          <w:sz w:val="19"/>
          <w:szCs w:val="19"/>
        </w:rPr>
        <w:t xml:space="preserve"> </w:t>
      </w:r>
      <w:r>
        <w:rPr>
          <w:spacing w:val="1"/>
          <w:sz w:val="19"/>
          <w:szCs w:val="19"/>
        </w:rPr>
        <w:t>行为：</w:t>
      </w:r>
    </w:p>
    <w:p w14:paraId="65E252AB">
      <w:pPr>
        <w:pStyle w:val="2"/>
        <w:spacing w:line="219" w:lineRule="auto"/>
        <w:ind w:left="760"/>
        <w:rPr>
          <w:sz w:val="19"/>
          <w:szCs w:val="19"/>
        </w:rPr>
      </w:pPr>
      <w:r>
        <w:rPr>
          <w:spacing w:val="11"/>
          <w:sz w:val="19"/>
          <w:szCs w:val="19"/>
        </w:rPr>
        <w:t>(一)以盗窃、贿赂、欺诈、胁迫、电子侵入或者其</w:t>
      </w:r>
      <w:r>
        <w:rPr>
          <w:spacing w:val="10"/>
          <w:sz w:val="19"/>
          <w:szCs w:val="19"/>
        </w:rPr>
        <w:t>他不正当手段获取权利人的商业秘密；</w:t>
      </w:r>
    </w:p>
    <w:p w14:paraId="6AC80701">
      <w:pPr>
        <w:pStyle w:val="2"/>
        <w:spacing w:before="94" w:line="219" w:lineRule="auto"/>
        <w:ind w:left="760"/>
        <w:rPr>
          <w:sz w:val="19"/>
          <w:szCs w:val="19"/>
        </w:rPr>
      </w:pPr>
      <w:r>
        <w:rPr>
          <w:spacing w:val="10"/>
          <w:sz w:val="19"/>
          <w:szCs w:val="19"/>
        </w:rPr>
        <w:t>(二)披露、使用或者允许他人使用以前项手段获取的权利人的商业秘密；</w:t>
      </w:r>
    </w:p>
    <w:p w14:paraId="5C52F8D3">
      <w:pPr>
        <w:pStyle w:val="2"/>
        <w:spacing w:before="85" w:line="260" w:lineRule="auto"/>
        <w:ind w:left="349" w:right="30" w:firstLine="410"/>
        <w:rPr>
          <w:sz w:val="19"/>
          <w:szCs w:val="19"/>
        </w:rPr>
      </w:pPr>
      <w:r>
        <w:rPr>
          <w:spacing w:val="12"/>
          <w:sz w:val="19"/>
          <w:szCs w:val="19"/>
        </w:rPr>
        <w:t>(三)违反保密义务或者违反权利人有关保守商业秘密的要求，披露、使用或者允许他人使</w:t>
      </w:r>
      <w:r>
        <w:rPr>
          <w:spacing w:val="18"/>
          <w:sz w:val="19"/>
          <w:szCs w:val="19"/>
        </w:rPr>
        <w:t xml:space="preserve"> </w:t>
      </w:r>
      <w:r>
        <w:rPr>
          <w:spacing w:val="5"/>
          <w:sz w:val="19"/>
          <w:szCs w:val="19"/>
        </w:rPr>
        <w:t>用其所掌握的商业秘密；</w:t>
      </w:r>
    </w:p>
    <w:p w14:paraId="248BC621">
      <w:pPr>
        <w:pStyle w:val="2"/>
        <w:spacing w:before="85" w:line="255" w:lineRule="auto"/>
        <w:ind w:left="349" w:right="32" w:firstLine="410"/>
        <w:rPr>
          <w:sz w:val="19"/>
          <w:szCs w:val="19"/>
        </w:rPr>
      </w:pPr>
      <w:r>
        <w:rPr>
          <w:spacing w:val="18"/>
          <w:sz w:val="19"/>
          <w:szCs w:val="19"/>
        </w:rPr>
        <w:t>(四)教唆、引诱、帮助他人违反保密义务或者违反</w:t>
      </w:r>
      <w:r>
        <w:rPr>
          <w:spacing w:val="17"/>
          <w:sz w:val="19"/>
          <w:szCs w:val="19"/>
        </w:rPr>
        <w:t>权利人有关保守商业秘密的要求，获</w:t>
      </w:r>
      <w:r>
        <w:rPr>
          <w:sz w:val="19"/>
          <w:szCs w:val="19"/>
        </w:rPr>
        <w:t xml:space="preserve"> </w:t>
      </w:r>
      <w:r>
        <w:rPr>
          <w:spacing w:val="8"/>
          <w:sz w:val="19"/>
          <w:szCs w:val="19"/>
        </w:rPr>
        <w:t>取、披露、使用或者允许他人使用权利人的商业秘密。</w:t>
      </w:r>
    </w:p>
    <w:p w14:paraId="4D847DA7">
      <w:pPr>
        <w:pStyle w:val="2"/>
        <w:spacing w:before="76" w:line="287" w:lineRule="auto"/>
        <w:ind w:left="349" w:right="33" w:firstLine="410"/>
        <w:rPr>
          <w:sz w:val="19"/>
          <w:szCs w:val="19"/>
        </w:rPr>
      </w:pPr>
      <w:r>
        <w:rPr>
          <w:spacing w:val="18"/>
          <w:sz w:val="19"/>
          <w:szCs w:val="19"/>
        </w:rPr>
        <w:t>经营者以外的其他自然人、法人和非法人组织实施前款所列违法行为的，视为侵犯商业</w:t>
      </w:r>
      <w:r>
        <w:rPr>
          <w:spacing w:val="1"/>
          <w:sz w:val="19"/>
          <w:szCs w:val="19"/>
        </w:rPr>
        <w:t xml:space="preserve"> 秘密。</w:t>
      </w:r>
    </w:p>
    <w:p w14:paraId="2EDB66DD">
      <w:pPr>
        <w:pStyle w:val="2"/>
        <w:spacing w:before="27" w:line="219" w:lineRule="auto"/>
        <w:ind w:right="31"/>
        <w:jc w:val="right"/>
        <w:rPr>
          <w:sz w:val="19"/>
          <w:szCs w:val="19"/>
        </w:rPr>
      </w:pPr>
      <w:r>
        <w:rPr>
          <w:spacing w:val="18"/>
          <w:sz w:val="19"/>
          <w:szCs w:val="19"/>
        </w:rPr>
        <w:t>第三人明知或应知的涉及商业秘密权利人的员工、前员工或者其他单位、个人，实施本</w:t>
      </w:r>
    </w:p>
    <w:p w14:paraId="615063D8">
      <w:pPr>
        <w:spacing w:line="219" w:lineRule="auto"/>
        <w:rPr>
          <w:sz w:val="19"/>
          <w:szCs w:val="19"/>
        </w:rPr>
        <w:sectPr>
          <w:pgSz w:w="10300" w:h="13390"/>
          <w:pgMar w:top="400" w:right="1029" w:bottom="400" w:left="570" w:header="0" w:footer="0" w:gutter="0"/>
          <w:cols w:space="720" w:num="1"/>
        </w:sectPr>
      </w:pPr>
    </w:p>
    <w:p w14:paraId="37E30F58">
      <w:pPr>
        <w:pStyle w:val="2"/>
        <w:spacing w:before="66" w:line="219" w:lineRule="auto"/>
        <w:jc w:val="right"/>
        <w:rPr>
          <w:rFonts w:ascii="Times New Roman" w:hAnsi="Times New Roman" w:eastAsia="Times New Roman" w:cs="Times New Roman"/>
          <w:sz w:val="19"/>
          <w:szCs w:val="19"/>
        </w:rPr>
      </w:pPr>
      <w:r>
        <w:rPr>
          <w:spacing w:val="6"/>
          <w:sz w:val="19"/>
          <w:szCs w:val="19"/>
        </w:rPr>
        <w:t>第13章</w:t>
      </w:r>
      <w:r>
        <w:rPr>
          <w:spacing w:val="37"/>
          <w:w w:val="101"/>
          <w:sz w:val="19"/>
          <w:szCs w:val="19"/>
        </w:rPr>
        <w:t xml:space="preserve"> </w:t>
      </w:r>
      <w:r>
        <w:rPr>
          <w:spacing w:val="6"/>
          <w:sz w:val="19"/>
          <w:szCs w:val="19"/>
        </w:rPr>
        <w:t>合同管理</w:t>
      </w:r>
      <w:r>
        <w:rPr>
          <w:spacing w:val="7"/>
          <w:sz w:val="19"/>
          <w:szCs w:val="19"/>
        </w:rPr>
        <w:t xml:space="preserve">      </w:t>
      </w:r>
      <w:r>
        <w:rPr>
          <w:rFonts w:ascii="Times New Roman" w:hAnsi="Times New Roman" w:eastAsia="Times New Roman" w:cs="Times New Roman"/>
          <w:spacing w:val="6"/>
          <w:position w:val="1"/>
          <w:sz w:val="19"/>
          <w:szCs w:val="19"/>
        </w:rPr>
        <w:t>325</w:t>
      </w:r>
    </w:p>
    <w:p w14:paraId="719DDA15">
      <w:pPr>
        <w:spacing w:line="302" w:lineRule="auto"/>
        <w:rPr>
          <w:rFonts w:ascii="Arial"/>
          <w:sz w:val="21"/>
        </w:rPr>
      </w:pPr>
    </w:p>
    <w:p w14:paraId="37D8F2DD">
      <w:pPr>
        <w:pStyle w:val="2"/>
        <w:spacing w:before="62" w:line="278" w:lineRule="auto"/>
        <w:ind w:right="330"/>
        <w:rPr>
          <w:sz w:val="19"/>
          <w:szCs w:val="19"/>
        </w:rPr>
      </w:pPr>
      <w:r>
        <w:rPr>
          <w:spacing w:val="13"/>
          <w:sz w:val="19"/>
          <w:szCs w:val="19"/>
        </w:rPr>
        <w:t>条第一款所列违法行为，仍获取、披露、使用或者允</w:t>
      </w:r>
      <w:r>
        <w:rPr>
          <w:spacing w:val="12"/>
          <w:sz w:val="19"/>
          <w:szCs w:val="19"/>
        </w:rPr>
        <w:t>许他人使用该商业秘密的，视为侵犯商业</w:t>
      </w:r>
      <w:r>
        <w:rPr>
          <w:sz w:val="19"/>
          <w:szCs w:val="19"/>
        </w:rPr>
        <w:t xml:space="preserve"> </w:t>
      </w:r>
      <w:r>
        <w:rPr>
          <w:spacing w:val="8"/>
          <w:sz w:val="19"/>
          <w:szCs w:val="19"/>
        </w:rPr>
        <w:t>秘密。</w:t>
      </w:r>
    </w:p>
    <w:p w14:paraId="775D0C39">
      <w:pPr>
        <w:spacing w:before="122" w:line="226" w:lineRule="auto"/>
        <w:ind w:left="402"/>
        <w:rPr>
          <w:rFonts w:ascii="楷体" w:hAnsi="楷体" w:eastAsia="楷体" w:cs="楷体"/>
          <w:sz w:val="19"/>
          <w:szCs w:val="19"/>
        </w:rPr>
      </w:pPr>
      <w:r>
        <w:rPr>
          <w:rFonts w:ascii="楷体" w:hAnsi="楷体" w:eastAsia="楷体" w:cs="楷体"/>
          <w:b/>
          <w:bCs/>
          <w:spacing w:val="15"/>
          <w:sz w:val="19"/>
          <w:szCs w:val="19"/>
        </w:rPr>
        <w:t>5)集成电路布图设计</w:t>
      </w:r>
    </w:p>
    <w:p w14:paraId="018EBD64">
      <w:pPr>
        <w:pStyle w:val="2"/>
        <w:spacing w:before="91" w:line="297" w:lineRule="auto"/>
        <w:ind w:right="326" w:firstLine="399"/>
        <w:rPr>
          <w:sz w:val="19"/>
          <w:szCs w:val="19"/>
        </w:rPr>
      </w:pPr>
      <w:r>
        <w:rPr>
          <w:spacing w:val="13"/>
          <w:sz w:val="19"/>
          <w:szCs w:val="19"/>
        </w:rPr>
        <w:t>受保护的布图设计应当具有独创性，即该布图设计是创作者自己的智力</w:t>
      </w:r>
      <w:r>
        <w:rPr>
          <w:spacing w:val="12"/>
          <w:sz w:val="19"/>
          <w:szCs w:val="19"/>
        </w:rPr>
        <w:t>劳动成果，并且在</w:t>
      </w:r>
      <w:r>
        <w:rPr>
          <w:sz w:val="19"/>
          <w:szCs w:val="19"/>
        </w:rPr>
        <w:t xml:space="preserve"> </w:t>
      </w:r>
      <w:r>
        <w:rPr>
          <w:spacing w:val="9"/>
          <w:sz w:val="19"/>
          <w:szCs w:val="19"/>
        </w:rPr>
        <w:t>其创作时该布图设计在布图设计创作者和集成电路制造者中不是公认的常规设计。</w:t>
      </w:r>
    </w:p>
    <w:p w14:paraId="76CF2188">
      <w:pPr>
        <w:pStyle w:val="2"/>
        <w:spacing w:before="28" w:line="219" w:lineRule="auto"/>
        <w:ind w:left="399"/>
        <w:rPr>
          <w:sz w:val="19"/>
          <w:szCs w:val="19"/>
        </w:rPr>
      </w:pPr>
      <w:r>
        <w:rPr>
          <w:spacing w:val="9"/>
          <w:sz w:val="19"/>
          <w:szCs w:val="19"/>
        </w:rPr>
        <w:t>对布图设计的保护，不延及思想、处理过程、操作方法或者数学概念等。</w:t>
      </w:r>
    </w:p>
    <w:p w14:paraId="7E9DB7F3">
      <w:pPr>
        <w:pStyle w:val="2"/>
        <w:spacing w:before="105" w:line="260" w:lineRule="auto"/>
        <w:ind w:right="309" w:firstLine="399"/>
        <w:rPr>
          <w:sz w:val="19"/>
          <w:szCs w:val="19"/>
        </w:rPr>
      </w:pPr>
      <w:r>
        <w:rPr>
          <w:spacing w:val="19"/>
          <w:sz w:val="19"/>
          <w:szCs w:val="19"/>
        </w:rPr>
        <w:t>其他诸如地理标志、植物新品种等类型的知识产权，</w:t>
      </w:r>
      <w:r>
        <w:rPr>
          <w:spacing w:val="18"/>
          <w:sz w:val="19"/>
          <w:szCs w:val="19"/>
        </w:rPr>
        <w:t>因信息系统工程中较少涉及，不再</w:t>
      </w:r>
      <w:r>
        <w:rPr>
          <w:sz w:val="19"/>
          <w:szCs w:val="19"/>
        </w:rPr>
        <w:t xml:space="preserve"> </w:t>
      </w:r>
      <w:r>
        <w:rPr>
          <w:spacing w:val="6"/>
          <w:sz w:val="19"/>
          <w:szCs w:val="19"/>
        </w:rPr>
        <w:t>一一赘述。</w:t>
      </w:r>
    </w:p>
    <w:p w14:paraId="5CFFF274">
      <w:pPr>
        <w:pStyle w:val="2"/>
        <w:spacing w:before="141" w:line="222" w:lineRule="auto"/>
        <w:ind w:left="402"/>
        <w:rPr>
          <w:rFonts w:ascii="黑体" w:hAnsi="黑体" w:eastAsia="黑体" w:cs="黑体"/>
          <w:sz w:val="19"/>
          <w:szCs w:val="19"/>
        </w:rPr>
      </w:pPr>
      <w:r>
        <w:rPr>
          <w:b/>
          <w:bCs/>
          <w:color w:val="0070D3"/>
          <w:spacing w:val="6"/>
          <w:sz w:val="19"/>
          <w:szCs w:val="19"/>
        </w:rPr>
        <w:t>2.</w:t>
      </w:r>
      <w:r>
        <w:rPr>
          <w:rFonts w:ascii="黑体" w:hAnsi="黑体" w:eastAsia="黑体" w:cs="黑体"/>
          <w:b/>
          <w:bCs/>
          <w:color w:val="0070D3"/>
          <w:spacing w:val="6"/>
          <w:sz w:val="19"/>
          <w:szCs w:val="19"/>
        </w:rPr>
        <w:t>知识产权保护的意义</w:t>
      </w:r>
    </w:p>
    <w:p w14:paraId="5073D90C">
      <w:pPr>
        <w:pStyle w:val="2"/>
        <w:spacing w:before="165" w:line="297" w:lineRule="auto"/>
        <w:ind w:right="262" w:firstLine="304"/>
        <w:jc w:val="both"/>
        <w:rPr>
          <w:sz w:val="19"/>
          <w:szCs w:val="19"/>
        </w:rPr>
      </w:pPr>
      <w:r>
        <w:rPr>
          <w:spacing w:val="11"/>
          <w:sz w:val="19"/>
          <w:szCs w:val="19"/>
        </w:rPr>
        <w:t>“知识经济”时代的来临表明人类社会的发展已经</w:t>
      </w:r>
      <w:r>
        <w:rPr>
          <w:spacing w:val="10"/>
          <w:sz w:val="19"/>
          <w:szCs w:val="19"/>
        </w:rPr>
        <w:t>到了依靠知识和智慧、依靠技术创新产生</w:t>
      </w:r>
      <w:r>
        <w:rPr>
          <w:sz w:val="19"/>
          <w:szCs w:val="19"/>
        </w:rPr>
        <w:t xml:space="preserve"> </w:t>
      </w:r>
      <w:r>
        <w:rPr>
          <w:spacing w:val="9"/>
          <w:sz w:val="19"/>
          <w:szCs w:val="19"/>
        </w:rPr>
        <w:t>的经济优势为主导的时代；作为知识和智力成果的科学技术成为推动人类社会发展的首要因素，</w:t>
      </w:r>
      <w:r>
        <w:rPr>
          <w:spacing w:val="15"/>
          <w:sz w:val="19"/>
          <w:szCs w:val="19"/>
        </w:rPr>
        <w:t xml:space="preserve"> </w:t>
      </w:r>
      <w:r>
        <w:rPr>
          <w:spacing w:val="13"/>
          <w:sz w:val="19"/>
          <w:szCs w:val="19"/>
        </w:rPr>
        <w:t>知识产权制度则是对科学技术成果提供保障和规范的体系</w:t>
      </w:r>
      <w:r>
        <w:rPr>
          <w:spacing w:val="12"/>
          <w:sz w:val="19"/>
          <w:szCs w:val="19"/>
        </w:rPr>
        <w:t>。生产力的发展，使得社会发展的源</w:t>
      </w:r>
      <w:r>
        <w:rPr>
          <w:sz w:val="19"/>
          <w:szCs w:val="19"/>
        </w:rPr>
        <w:t xml:space="preserve"> </w:t>
      </w:r>
      <w:r>
        <w:rPr>
          <w:spacing w:val="13"/>
          <w:sz w:val="19"/>
          <w:szCs w:val="19"/>
        </w:rPr>
        <w:t>泉从过去的资源、资本占有的多少转到了以技术创新能力为</w:t>
      </w:r>
      <w:r>
        <w:rPr>
          <w:spacing w:val="12"/>
          <w:sz w:val="19"/>
          <w:szCs w:val="19"/>
        </w:rPr>
        <w:t>核心的知识产权获得与拥有的多寡</w:t>
      </w:r>
      <w:r>
        <w:rPr>
          <w:sz w:val="19"/>
          <w:szCs w:val="19"/>
        </w:rPr>
        <w:t xml:space="preserve"> </w:t>
      </w:r>
      <w:r>
        <w:rPr>
          <w:spacing w:val="13"/>
          <w:sz w:val="19"/>
          <w:szCs w:val="19"/>
        </w:rPr>
        <w:t>上来。当今，技术对经济发展的贡献所占的份额越来越大，技术优势成为主要的生产要素和获</w:t>
      </w:r>
      <w:r>
        <w:rPr>
          <w:spacing w:val="4"/>
          <w:sz w:val="19"/>
          <w:szCs w:val="19"/>
        </w:rPr>
        <w:t xml:space="preserve"> </w:t>
      </w:r>
      <w:r>
        <w:rPr>
          <w:spacing w:val="5"/>
          <w:sz w:val="19"/>
          <w:szCs w:val="19"/>
        </w:rPr>
        <w:t>得竞争优势的基础。</w:t>
      </w:r>
    </w:p>
    <w:p w14:paraId="069A0EF9">
      <w:pPr>
        <w:pStyle w:val="2"/>
        <w:spacing w:before="57" w:line="292" w:lineRule="auto"/>
        <w:ind w:right="317" w:firstLine="399"/>
        <w:jc w:val="both"/>
        <w:rPr>
          <w:sz w:val="19"/>
          <w:szCs w:val="19"/>
        </w:rPr>
      </w:pPr>
      <w:r>
        <w:rPr>
          <w:spacing w:val="13"/>
          <w:sz w:val="19"/>
          <w:szCs w:val="19"/>
        </w:rPr>
        <w:t>知识产权保护的经济价值主要体现在对高新技术的占有上，这种智慧</w:t>
      </w:r>
      <w:r>
        <w:rPr>
          <w:spacing w:val="12"/>
          <w:sz w:val="19"/>
          <w:szCs w:val="19"/>
        </w:rPr>
        <w:t>创造活动将成为最有</w:t>
      </w:r>
      <w:r>
        <w:rPr>
          <w:sz w:val="19"/>
          <w:szCs w:val="19"/>
        </w:rPr>
        <w:t xml:space="preserve"> </w:t>
      </w:r>
      <w:r>
        <w:rPr>
          <w:spacing w:val="13"/>
          <w:sz w:val="19"/>
          <w:szCs w:val="19"/>
        </w:rPr>
        <w:t>价值的财产形式，对这种智慧创造活动的确定是知识产权制度，其价值被界定为知</w:t>
      </w:r>
      <w:r>
        <w:rPr>
          <w:spacing w:val="12"/>
          <w:sz w:val="19"/>
          <w:szCs w:val="19"/>
        </w:rPr>
        <w:t>识产权。因</w:t>
      </w:r>
      <w:r>
        <w:rPr>
          <w:sz w:val="19"/>
          <w:szCs w:val="19"/>
        </w:rPr>
        <w:t xml:space="preserve"> </w:t>
      </w:r>
      <w:r>
        <w:rPr>
          <w:spacing w:val="8"/>
          <w:sz w:val="19"/>
          <w:szCs w:val="19"/>
        </w:rPr>
        <w:t>此，科学技术对经济的突出贡献必然导致知识产权的凸显。</w:t>
      </w:r>
    </w:p>
    <w:p w14:paraId="6FB54352">
      <w:pPr>
        <w:pStyle w:val="2"/>
        <w:spacing w:before="40" w:line="292" w:lineRule="auto"/>
        <w:ind w:right="242" w:firstLine="399"/>
        <w:jc w:val="both"/>
        <w:rPr>
          <w:sz w:val="19"/>
          <w:szCs w:val="19"/>
        </w:rPr>
      </w:pPr>
      <w:r>
        <w:rPr>
          <w:spacing w:val="14"/>
          <w:sz w:val="19"/>
          <w:szCs w:val="19"/>
        </w:rPr>
        <w:t>发达国家在传统生产领域中的竞争力正在逐渐削弱。在今天纷纷利用其积累的技术优势，</w:t>
      </w:r>
      <w:r>
        <w:rPr>
          <w:spacing w:val="18"/>
          <w:sz w:val="19"/>
          <w:szCs w:val="19"/>
        </w:rPr>
        <w:t xml:space="preserve"> </w:t>
      </w:r>
      <w:r>
        <w:rPr>
          <w:spacing w:val="13"/>
          <w:sz w:val="19"/>
          <w:szCs w:val="19"/>
        </w:rPr>
        <w:t>寻求新的竞争优势。发达国家因其在高新技术的优势而强调知识产权。中国加入了</w:t>
      </w:r>
      <w:r>
        <w:rPr>
          <w:spacing w:val="12"/>
          <w:sz w:val="19"/>
          <w:szCs w:val="19"/>
        </w:rPr>
        <w:t>“世界贸易</w:t>
      </w:r>
      <w:r>
        <w:rPr>
          <w:sz w:val="19"/>
          <w:szCs w:val="19"/>
        </w:rPr>
        <w:t xml:space="preserve">  </w:t>
      </w:r>
      <w:r>
        <w:rPr>
          <w:spacing w:val="6"/>
          <w:sz w:val="19"/>
          <w:szCs w:val="19"/>
        </w:rPr>
        <w:t>组织”</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World</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Trade</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Organization</w:t>
      </w:r>
      <w:r>
        <w:rPr>
          <w:rFonts w:ascii="Times New Roman" w:hAnsi="Times New Roman" w:eastAsia="Times New Roman" w:cs="Times New Roman"/>
          <w:spacing w:val="6"/>
          <w:sz w:val="19"/>
          <w:szCs w:val="19"/>
        </w:rPr>
        <w:t>,</w:t>
      </w:r>
      <w:r>
        <w:rPr>
          <w:rFonts w:ascii="Times New Roman" w:hAnsi="Times New Roman" w:eastAsia="Times New Roman" w:cs="Times New Roman"/>
          <w:sz w:val="19"/>
          <w:szCs w:val="19"/>
        </w:rPr>
        <w:t>WTO</w:t>
      </w:r>
      <w:r>
        <w:rPr>
          <w:rFonts w:ascii="Times New Roman" w:hAnsi="Times New Roman" w:eastAsia="Times New Roman" w:cs="Times New Roman"/>
          <w:spacing w:val="6"/>
          <w:sz w:val="19"/>
          <w:szCs w:val="19"/>
        </w:rPr>
        <w:t xml:space="preserve">), </w:t>
      </w:r>
      <w:r>
        <w:rPr>
          <w:spacing w:val="6"/>
          <w:sz w:val="19"/>
          <w:szCs w:val="19"/>
        </w:rPr>
        <w:t>就要遵守其规则，在</w:t>
      </w:r>
      <w:r>
        <w:rPr>
          <w:rFonts w:ascii="Times New Roman" w:hAnsi="Times New Roman" w:eastAsia="Times New Roman" w:cs="Times New Roman"/>
          <w:sz w:val="19"/>
          <w:szCs w:val="19"/>
        </w:rPr>
        <w:t>WTO</w:t>
      </w:r>
      <w:r>
        <w:rPr>
          <w:rFonts w:ascii="Times New Roman" w:hAnsi="Times New Roman" w:eastAsia="Times New Roman" w:cs="Times New Roman"/>
          <w:spacing w:val="33"/>
          <w:sz w:val="19"/>
          <w:szCs w:val="19"/>
        </w:rPr>
        <w:t xml:space="preserve"> </w:t>
      </w:r>
      <w:r>
        <w:rPr>
          <w:spacing w:val="6"/>
          <w:sz w:val="19"/>
          <w:szCs w:val="19"/>
        </w:rPr>
        <w:t>规则</w:t>
      </w:r>
      <w:r>
        <w:rPr>
          <w:spacing w:val="5"/>
          <w:sz w:val="19"/>
          <w:szCs w:val="19"/>
        </w:rPr>
        <w:t>中，知识产权与货物、</w:t>
      </w:r>
      <w:r>
        <w:rPr>
          <w:sz w:val="19"/>
          <w:szCs w:val="19"/>
        </w:rPr>
        <w:t xml:space="preserve"> </w:t>
      </w:r>
      <w:r>
        <w:rPr>
          <w:spacing w:val="8"/>
          <w:sz w:val="19"/>
          <w:szCs w:val="19"/>
        </w:rPr>
        <w:t>服务贸易并列，是发达国家为自身利益的考虑，也反</w:t>
      </w:r>
      <w:r>
        <w:rPr>
          <w:spacing w:val="7"/>
          <w:sz w:val="19"/>
          <w:szCs w:val="19"/>
        </w:rPr>
        <w:t>映了一种趋势。</w:t>
      </w:r>
    </w:p>
    <w:p w14:paraId="7AC4ABA5">
      <w:pPr>
        <w:pStyle w:val="2"/>
        <w:spacing w:before="14" w:line="299" w:lineRule="auto"/>
        <w:ind w:right="261" w:firstLine="399"/>
        <w:jc w:val="both"/>
        <w:rPr>
          <w:sz w:val="19"/>
          <w:szCs w:val="19"/>
        </w:rPr>
      </w:pPr>
      <w:r>
        <w:rPr>
          <w:spacing w:val="11"/>
          <w:sz w:val="19"/>
          <w:szCs w:val="19"/>
        </w:rPr>
        <w:t>随着我国加入</w:t>
      </w:r>
      <w:r>
        <w:rPr>
          <w:rFonts w:ascii="Times New Roman" w:hAnsi="Times New Roman" w:eastAsia="Times New Roman" w:cs="Times New Roman"/>
          <w:sz w:val="19"/>
          <w:szCs w:val="19"/>
        </w:rPr>
        <w:t>WTO</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 xml:space="preserve">    </w:t>
      </w:r>
      <w:r>
        <w:rPr>
          <w:spacing w:val="11"/>
          <w:sz w:val="19"/>
          <w:szCs w:val="19"/>
        </w:rPr>
        <w:t>国内企业已经切切实实参与到开放的、全球市场的竞争</w:t>
      </w:r>
      <w:r>
        <w:rPr>
          <w:spacing w:val="10"/>
          <w:sz w:val="19"/>
          <w:szCs w:val="19"/>
        </w:rPr>
        <w:t>中，企业面临</w:t>
      </w:r>
      <w:r>
        <w:rPr>
          <w:spacing w:val="2"/>
          <w:sz w:val="19"/>
          <w:szCs w:val="19"/>
        </w:rPr>
        <w:t xml:space="preserve"> </w:t>
      </w:r>
      <w:r>
        <w:rPr>
          <w:spacing w:val="13"/>
          <w:sz w:val="19"/>
          <w:szCs w:val="19"/>
        </w:rPr>
        <w:t>的来自各方面的竞争压力会越来越多。现代市场竞争环境的特征决定了企</w:t>
      </w:r>
      <w:r>
        <w:rPr>
          <w:spacing w:val="12"/>
          <w:sz w:val="19"/>
          <w:szCs w:val="19"/>
        </w:rPr>
        <w:t>业在技术创新方面的</w:t>
      </w:r>
      <w:r>
        <w:rPr>
          <w:sz w:val="19"/>
          <w:szCs w:val="19"/>
        </w:rPr>
        <w:t xml:space="preserve"> </w:t>
      </w:r>
      <w:r>
        <w:rPr>
          <w:spacing w:val="9"/>
          <w:sz w:val="19"/>
          <w:szCs w:val="19"/>
        </w:rPr>
        <w:t>竞争居于首要的地位。作为知识经济的代表，企业对技术创新和研究开发的巨大投入有目共睹，</w:t>
      </w:r>
      <w:r>
        <w:rPr>
          <w:spacing w:val="15"/>
          <w:sz w:val="19"/>
          <w:szCs w:val="19"/>
        </w:rPr>
        <w:t xml:space="preserve"> </w:t>
      </w:r>
      <w:r>
        <w:rPr>
          <w:spacing w:val="13"/>
          <w:sz w:val="19"/>
          <w:szCs w:val="19"/>
        </w:rPr>
        <w:t>由此对知识产权的重视被提升到了空前的高度。世界知识产权组织</w:t>
      </w:r>
      <w:r>
        <w:rPr>
          <w:spacing w:val="-56"/>
          <w:sz w:val="19"/>
          <w:szCs w:val="19"/>
        </w:rPr>
        <w:t xml:space="preserve"> </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WIPO</w:t>
      </w:r>
      <w:r>
        <w:rPr>
          <w:rFonts w:ascii="Times New Roman" w:hAnsi="Times New Roman" w:eastAsia="Times New Roman" w:cs="Times New Roman"/>
          <w:spacing w:val="13"/>
          <w:sz w:val="19"/>
          <w:szCs w:val="19"/>
        </w:rPr>
        <w:t xml:space="preserve">)1999   </w:t>
      </w:r>
      <w:r>
        <w:rPr>
          <w:rFonts w:ascii="Times New Roman" w:hAnsi="Times New Roman" w:eastAsia="Times New Roman" w:cs="Times New Roman"/>
          <w:spacing w:val="12"/>
          <w:sz w:val="19"/>
          <w:szCs w:val="19"/>
        </w:rPr>
        <w:t xml:space="preserve">  </w:t>
      </w:r>
      <w:r>
        <w:rPr>
          <w:spacing w:val="12"/>
          <w:sz w:val="19"/>
          <w:szCs w:val="19"/>
        </w:rPr>
        <w:t>年的报告提</w:t>
      </w:r>
      <w:r>
        <w:rPr>
          <w:sz w:val="19"/>
          <w:szCs w:val="19"/>
        </w:rPr>
        <w:t xml:space="preserve"> </w:t>
      </w:r>
      <w:r>
        <w:rPr>
          <w:spacing w:val="12"/>
          <w:sz w:val="19"/>
          <w:szCs w:val="19"/>
        </w:rPr>
        <w:t>出：21世纪，知识产权将以前所未有的地位在社会发展中担任重要的角色。得出这一结论的依</w:t>
      </w:r>
      <w:r>
        <w:rPr>
          <w:spacing w:val="16"/>
          <w:sz w:val="19"/>
          <w:szCs w:val="19"/>
        </w:rPr>
        <w:t xml:space="preserve"> </w:t>
      </w:r>
      <w:r>
        <w:rPr>
          <w:spacing w:val="12"/>
          <w:sz w:val="19"/>
          <w:szCs w:val="19"/>
        </w:rPr>
        <w:t>据之一，就是技术的创新从根本上改变了以往利用劳动力、资本等获得高额利润的方式，而是</w:t>
      </w:r>
      <w:r>
        <w:rPr>
          <w:spacing w:val="8"/>
          <w:sz w:val="19"/>
          <w:szCs w:val="19"/>
        </w:rPr>
        <w:t xml:space="preserve">  </w:t>
      </w:r>
      <w:r>
        <w:rPr>
          <w:spacing w:val="14"/>
          <w:sz w:val="19"/>
          <w:szCs w:val="19"/>
        </w:rPr>
        <w:t>通过知识的运用推动技术创新谋求发展，知识产权制度是对这种技术创新的成果的有力保证，</w:t>
      </w:r>
      <w:r>
        <w:rPr>
          <w:spacing w:val="10"/>
          <w:sz w:val="19"/>
          <w:szCs w:val="19"/>
        </w:rPr>
        <w:t xml:space="preserve"> </w:t>
      </w:r>
      <w:r>
        <w:rPr>
          <w:spacing w:val="7"/>
          <w:sz w:val="19"/>
          <w:szCs w:val="19"/>
        </w:rPr>
        <w:t>在知识产权方面的竞争与争夺便成为今天市场竞争的显著表现。</w:t>
      </w:r>
    </w:p>
    <w:p w14:paraId="60CD9CDC">
      <w:pPr>
        <w:pStyle w:val="2"/>
        <w:spacing w:before="31" w:line="287" w:lineRule="auto"/>
        <w:ind w:right="322" w:firstLine="399"/>
        <w:jc w:val="both"/>
        <w:rPr>
          <w:sz w:val="19"/>
          <w:szCs w:val="19"/>
        </w:rPr>
      </w:pPr>
      <w:r>
        <w:rPr>
          <w:spacing w:val="13"/>
          <w:sz w:val="19"/>
          <w:szCs w:val="19"/>
        </w:rPr>
        <w:t>针对信息系统工程建设和应用本身的特点，知识产权保护的意义</w:t>
      </w:r>
      <w:r>
        <w:rPr>
          <w:spacing w:val="12"/>
          <w:sz w:val="19"/>
          <w:szCs w:val="19"/>
        </w:rPr>
        <w:t>还在于新技术，尤其是数</w:t>
      </w:r>
      <w:r>
        <w:rPr>
          <w:sz w:val="19"/>
          <w:szCs w:val="19"/>
        </w:rPr>
        <w:t xml:space="preserve"> </w:t>
      </w:r>
      <w:r>
        <w:rPr>
          <w:spacing w:val="13"/>
          <w:sz w:val="19"/>
          <w:szCs w:val="19"/>
        </w:rPr>
        <w:t>字技术与网络带来的新问题上。网络传输中涉及版权产品的无形销售，</w:t>
      </w:r>
      <w:r>
        <w:rPr>
          <w:spacing w:val="12"/>
          <w:sz w:val="19"/>
          <w:szCs w:val="19"/>
        </w:rPr>
        <w:t>就必然产生版权保护的</w:t>
      </w:r>
      <w:r>
        <w:rPr>
          <w:sz w:val="19"/>
          <w:szCs w:val="19"/>
        </w:rPr>
        <w:t xml:space="preserve"> </w:t>
      </w:r>
      <w:r>
        <w:rPr>
          <w:spacing w:val="17"/>
          <w:sz w:val="19"/>
          <w:szCs w:val="19"/>
        </w:rPr>
        <w:t>新问题。而更值得重视的是，它还必将产生(而且已经产生)在网上的商标及其他商业标识保</w:t>
      </w:r>
      <w:r>
        <w:rPr>
          <w:spacing w:val="8"/>
          <w:sz w:val="19"/>
          <w:szCs w:val="19"/>
        </w:rPr>
        <w:t xml:space="preserve"> </w:t>
      </w:r>
      <w:r>
        <w:rPr>
          <w:spacing w:val="13"/>
          <w:sz w:val="19"/>
          <w:szCs w:val="19"/>
        </w:rPr>
        <w:t>护、商誉保护、商品化形象保护，乃至商业秘密保护等方面诸</w:t>
      </w:r>
      <w:r>
        <w:rPr>
          <w:spacing w:val="12"/>
          <w:sz w:val="19"/>
          <w:szCs w:val="19"/>
        </w:rPr>
        <w:t>多与传统保护有所不同或根本不</w:t>
      </w:r>
      <w:r>
        <w:rPr>
          <w:sz w:val="19"/>
          <w:szCs w:val="19"/>
        </w:rPr>
        <w:t xml:space="preserve"> </w:t>
      </w:r>
      <w:r>
        <w:rPr>
          <w:spacing w:val="2"/>
          <w:sz w:val="19"/>
          <w:szCs w:val="19"/>
        </w:rPr>
        <w:t>同的问题。</w:t>
      </w:r>
    </w:p>
    <w:p w14:paraId="58A29AE0">
      <w:pPr>
        <w:pStyle w:val="2"/>
        <w:spacing w:before="51" w:line="219" w:lineRule="auto"/>
        <w:ind w:left="399"/>
        <w:rPr>
          <w:sz w:val="19"/>
          <w:szCs w:val="19"/>
        </w:rPr>
      </w:pPr>
      <w:r>
        <w:rPr>
          <w:spacing w:val="13"/>
          <w:sz w:val="19"/>
          <w:szCs w:val="19"/>
        </w:rPr>
        <w:t>近年来，我国的知识产权事业得到长足发展。民法典的颁布，为保护知识产权提供了基础</w:t>
      </w:r>
    </w:p>
    <w:p w14:paraId="1867ECC9">
      <w:pPr>
        <w:spacing w:line="219" w:lineRule="auto"/>
        <w:rPr>
          <w:sz w:val="19"/>
          <w:szCs w:val="19"/>
        </w:rPr>
        <w:sectPr>
          <w:pgSz w:w="10280" w:h="13260"/>
          <w:pgMar w:top="400" w:right="562" w:bottom="400" w:left="1080" w:header="0" w:footer="0" w:gutter="0"/>
          <w:cols w:space="720" w:num="1"/>
        </w:sectPr>
      </w:pPr>
    </w:p>
    <w:p w14:paraId="3F802350">
      <w:pPr>
        <w:pStyle w:val="2"/>
        <w:spacing w:before="68" w:line="219" w:lineRule="auto"/>
        <w:rPr>
          <w:sz w:val="20"/>
          <w:szCs w:val="20"/>
        </w:rPr>
      </w:pPr>
      <w:bookmarkStart w:id="656" w:name="bookmark641"/>
      <w:bookmarkEnd w:id="656"/>
      <w:r>
        <w:rPr>
          <w:rFonts w:ascii="Times New Roman" w:hAnsi="Times New Roman" w:eastAsia="Times New Roman" w:cs="Times New Roman"/>
          <w:spacing w:val="-1"/>
          <w:position w:val="1"/>
          <w:sz w:val="17"/>
          <w:szCs w:val="17"/>
        </w:rPr>
        <w:t xml:space="preserve">326                 </w:t>
      </w:r>
      <w:r>
        <w:rPr>
          <w:spacing w:val="-1"/>
          <w:sz w:val="20"/>
          <w:szCs w:val="20"/>
        </w:rPr>
        <w:t>信息系统</w:t>
      </w:r>
      <w:r>
        <w:rPr>
          <w:spacing w:val="-2"/>
          <w:sz w:val="20"/>
          <w:szCs w:val="20"/>
        </w:rPr>
        <w:t>监理师教程(第2版)</w:t>
      </w:r>
    </w:p>
    <w:p w14:paraId="671C169D">
      <w:pPr>
        <w:spacing w:line="293" w:lineRule="auto"/>
        <w:rPr>
          <w:rFonts w:ascii="Arial"/>
          <w:sz w:val="21"/>
        </w:rPr>
      </w:pPr>
    </w:p>
    <w:p w14:paraId="0E52D635">
      <w:pPr>
        <w:pStyle w:val="2"/>
        <w:spacing w:before="65" w:line="291" w:lineRule="auto"/>
        <w:ind w:left="370"/>
        <w:jc w:val="both"/>
        <w:rPr>
          <w:sz w:val="20"/>
          <w:szCs w:val="20"/>
        </w:rPr>
      </w:pPr>
      <w:r>
        <w:rPr>
          <w:spacing w:val="4"/>
          <w:sz w:val="20"/>
          <w:szCs w:val="20"/>
        </w:rPr>
        <w:t>性的法律保障。2021年9月，党中央、国务院印发</w:t>
      </w:r>
      <w:r>
        <w:rPr>
          <w:spacing w:val="3"/>
          <w:sz w:val="20"/>
          <w:szCs w:val="20"/>
        </w:rPr>
        <w:t>《知识产权强国建设纲要(2021—2035年)》,</w:t>
      </w:r>
      <w:r>
        <w:rPr>
          <w:sz w:val="20"/>
          <w:szCs w:val="20"/>
        </w:rPr>
        <w:t xml:space="preserve"> </w:t>
      </w:r>
      <w:r>
        <w:rPr>
          <w:spacing w:val="-2"/>
          <w:sz w:val="20"/>
          <w:szCs w:val="20"/>
        </w:rPr>
        <w:t>对知识产权强国建设作出全面部署。《关于新形势下加快知识产权强国建设的若干意见》《关于</w:t>
      </w:r>
      <w:r>
        <w:rPr>
          <w:spacing w:val="4"/>
          <w:sz w:val="20"/>
          <w:szCs w:val="20"/>
        </w:rPr>
        <w:t xml:space="preserve"> </w:t>
      </w:r>
      <w:r>
        <w:rPr>
          <w:spacing w:val="-2"/>
          <w:sz w:val="20"/>
          <w:szCs w:val="20"/>
        </w:rPr>
        <w:t>强化知识产权保护的意见》《“十四五”国家知识产权保护和运用规划》等一系列重要文件的出</w:t>
      </w:r>
      <w:r>
        <w:rPr>
          <w:spacing w:val="16"/>
          <w:sz w:val="20"/>
          <w:szCs w:val="20"/>
        </w:rPr>
        <w:t xml:space="preserve"> </w:t>
      </w:r>
      <w:r>
        <w:rPr>
          <w:spacing w:val="3"/>
          <w:sz w:val="20"/>
          <w:szCs w:val="20"/>
        </w:rPr>
        <w:t>台，为知识产权保护工作确定了任务书、绘制了路线图、列出了时间表。标志</w:t>
      </w:r>
      <w:r>
        <w:rPr>
          <w:spacing w:val="2"/>
          <w:sz w:val="20"/>
          <w:szCs w:val="20"/>
        </w:rPr>
        <w:t>着我国知识产权</w:t>
      </w:r>
      <w:r>
        <w:rPr>
          <w:sz w:val="20"/>
          <w:szCs w:val="20"/>
        </w:rPr>
        <w:t xml:space="preserve"> </w:t>
      </w:r>
      <w:r>
        <w:rPr>
          <w:spacing w:val="-4"/>
          <w:sz w:val="20"/>
          <w:szCs w:val="20"/>
        </w:rPr>
        <w:t>事业进入新的发展阶段。</w:t>
      </w:r>
    </w:p>
    <w:p w14:paraId="18B45250">
      <w:pPr>
        <w:pStyle w:val="2"/>
        <w:spacing w:before="36" w:line="219" w:lineRule="auto"/>
        <w:ind w:left="770"/>
        <w:rPr>
          <w:sz w:val="20"/>
          <w:szCs w:val="20"/>
        </w:rPr>
      </w:pPr>
      <w:r>
        <w:rPr>
          <w:spacing w:val="-3"/>
          <w:sz w:val="20"/>
          <w:szCs w:val="20"/>
        </w:rPr>
        <w:t>总结起来，知识产权保护的意义有如下三点：</w:t>
      </w:r>
    </w:p>
    <w:p w14:paraId="5F12AE1F">
      <w:pPr>
        <w:pStyle w:val="2"/>
        <w:spacing w:before="61" w:line="257" w:lineRule="auto"/>
        <w:ind w:left="370" w:right="51" w:firstLine="399"/>
        <w:rPr>
          <w:sz w:val="20"/>
          <w:szCs w:val="20"/>
        </w:rPr>
      </w:pPr>
      <w:r>
        <w:rPr>
          <w:spacing w:val="6"/>
          <w:sz w:val="20"/>
          <w:szCs w:val="20"/>
        </w:rPr>
        <w:t>(1)激励创新与发展。知识产权保护为创</w:t>
      </w:r>
      <w:r>
        <w:rPr>
          <w:spacing w:val="5"/>
          <w:sz w:val="20"/>
          <w:szCs w:val="20"/>
        </w:rPr>
        <w:t>作者和发明家提供了合理的利益回报，从而鼓励</w:t>
      </w:r>
      <w:r>
        <w:rPr>
          <w:sz w:val="20"/>
          <w:szCs w:val="20"/>
        </w:rPr>
        <w:t xml:space="preserve"> </w:t>
      </w:r>
      <w:r>
        <w:rPr>
          <w:spacing w:val="-1"/>
          <w:sz w:val="20"/>
          <w:szCs w:val="20"/>
        </w:rPr>
        <w:t>他们进行更多的创新和研究。这对于推动科技进步、文化繁荣和社会经济发展至关重要。</w:t>
      </w:r>
    </w:p>
    <w:p w14:paraId="622CC16A">
      <w:pPr>
        <w:pStyle w:val="2"/>
        <w:spacing w:before="64" w:line="276" w:lineRule="auto"/>
        <w:ind w:left="370" w:right="11" w:firstLine="399"/>
        <w:rPr>
          <w:sz w:val="20"/>
          <w:szCs w:val="20"/>
        </w:rPr>
      </w:pPr>
      <w:r>
        <w:rPr>
          <w:spacing w:val="1"/>
          <w:sz w:val="20"/>
          <w:szCs w:val="20"/>
        </w:rPr>
        <w:t>(2)维护竞争秩序。知识产权保护有助于维护市场的正常竞争秩序，防止不正当竞争行为，</w:t>
      </w:r>
      <w:r>
        <w:rPr>
          <w:spacing w:val="18"/>
          <w:sz w:val="20"/>
          <w:szCs w:val="20"/>
        </w:rPr>
        <w:t xml:space="preserve"> </w:t>
      </w:r>
      <w:r>
        <w:rPr>
          <w:spacing w:val="4"/>
          <w:sz w:val="20"/>
          <w:szCs w:val="20"/>
        </w:rPr>
        <w:t>如侵犯专利、盗版、抄袭等。通过保护创作者和发明家的权益，可以确保在公平</w:t>
      </w:r>
      <w:r>
        <w:rPr>
          <w:spacing w:val="3"/>
          <w:sz w:val="20"/>
          <w:szCs w:val="20"/>
        </w:rPr>
        <w:t>竞争环境下，</w:t>
      </w:r>
      <w:r>
        <w:rPr>
          <w:sz w:val="20"/>
          <w:szCs w:val="20"/>
        </w:rPr>
        <w:t xml:space="preserve"> </w:t>
      </w:r>
      <w:r>
        <w:rPr>
          <w:spacing w:val="-3"/>
          <w:sz w:val="20"/>
          <w:szCs w:val="20"/>
        </w:rPr>
        <w:t>各企业和个人能够充分发挥其潜力。</w:t>
      </w:r>
    </w:p>
    <w:p w14:paraId="13709508">
      <w:pPr>
        <w:pStyle w:val="2"/>
        <w:spacing w:before="53" w:line="285" w:lineRule="auto"/>
        <w:ind w:left="370" w:right="50" w:firstLine="399"/>
        <w:rPr>
          <w:sz w:val="17"/>
          <w:szCs w:val="17"/>
        </w:rPr>
      </w:pPr>
      <w:r>
        <w:rPr>
          <w:spacing w:val="6"/>
          <w:sz w:val="20"/>
          <w:szCs w:val="20"/>
        </w:rPr>
        <w:t>(3)推动国际交流与合作。知识产权保护是实</w:t>
      </w:r>
      <w:r>
        <w:rPr>
          <w:spacing w:val="5"/>
          <w:sz w:val="20"/>
          <w:szCs w:val="20"/>
        </w:rPr>
        <w:t>现全球经济一体化的重要基础。加强知识产</w:t>
      </w:r>
      <w:r>
        <w:rPr>
          <w:sz w:val="20"/>
          <w:szCs w:val="20"/>
        </w:rPr>
        <w:t xml:space="preserve"> </w:t>
      </w:r>
      <w:r>
        <w:rPr>
          <w:spacing w:val="3"/>
          <w:sz w:val="20"/>
          <w:szCs w:val="20"/>
        </w:rPr>
        <w:t>权保护有助于促进跨国合作与交流，引入国际先进技术，提高整体产业水平。同</w:t>
      </w:r>
      <w:r>
        <w:rPr>
          <w:spacing w:val="2"/>
          <w:sz w:val="20"/>
          <w:szCs w:val="20"/>
        </w:rPr>
        <w:t>时，对外国投</w:t>
      </w:r>
      <w:r>
        <w:rPr>
          <w:sz w:val="20"/>
          <w:szCs w:val="20"/>
        </w:rPr>
        <w:t xml:space="preserve"> </w:t>
      </w:r>
      <w:r>
        <w:rPr>
          <w:spacing w:val="3"/>
          <w:sz w:val="20"/>
          <w:szCs w:val="20"/>
        </w:rPr>
        <w:t>资者和企业来说，一个良好的知识产权保护环境也是他们在其他国家投资、开</w:t>
      </w:r>
      <w:r>
        <w:rPr>
          <w:spacing w:val="2"/>
          <w:sz w:val="20"/>
          <w:szCs w:val="20"/>
        </w:rPr>
        <w:t>展业务的重要考</w:t>
      </w:r>
      <w:r>
        <w:rPr>
          <w:sz w:val="20"/>
          <w:szCs w:val="20"/>
        </w:rPr>
        <w:t xml:space="preserve"> </w:t>
      </w:r>
      <w:r>
        <w:rPr>
          <w:spacing w:val="21"/>
          <w:sz w:val="17"/>
          <w:szCs w:val="17"/>
        </w:rPr>
        <w:t>虑因素。</w:t>
      </w:r>
    </w:p>
    <w:p w14:paraId="3E39C952">
      <w:pPr>
        <w:pStyle w:val="2"/>
        <w:spacing w:before="156" w:line="221" w:lineRule="auto"/>
        <w:ind w:left="772"/>
        <w:rPr>
          <w:rFonts w:ascii="黑体" w:hAnsi="黑体" w:eastAsia="黑体" w:cs="黑体"/>
          <w:sz w:val="20"/>
          <w:szCs w:val="20"/>
        </w:rPr>
      </w:pPr>
      <w:r>
        <w:rPr>
          <w:b/>
          <w:bCs/>
          <w:color w:val="0082CE"/>
          <w:spacing w:val="-2"/>
          <w:sz w:val="20"/>
          <w:szCs w:val="20"/>
        </w:rPr>
        <w:t>3.</w:t>
      </w:r>
      <w:r>
        <w:rPr>
          <w:rFonts w:ascii="黑体" w:hAnsi="黑体" w:eastAsia="黑体" w:cs="黑体"/>
          <w:b/>
          <w:bCs/>
          <w:color w:val="0082CE"/>
          <w:spacing w:val="-2"/>
          <w:sz w:val="20"/>
          <w:szCs w:val="20"/>
        </w:rPr>
        <w:t>知识产权保护的方法</w:t>
      </w:r>
    </w:p>
    <w:p w14:paraId="24390FE8">
      <w:pPr>
        <w:spacing w:before="230" w:line="223" w:lineRule="auto"/>
        <w:ind w:left="770"/>
        <w:rPr>
          <w:rFonts w:ascii="楷体" w:hAnsi="楷体" w:eastAsia="楷体" w:cs="楷体"/>
          <w:sz w:val="20"/>
          <w:szCs w:val="20"/>
        </w:rPr>
      </w:pPr>
      <w:r>
        <w:rPr>
          <w:rFonts w:ascii="楷体" w:hAnsi="楷体" w:eastAsia="楷体" w:cs="楷体"/>
          <w:spacing w:val="9"/>
          <w:sz w:val="20"/>
          <w:szCs w:val="20"/>
        </w:rPr>
        <w:t>1)知识产权管理体制</w:t>
      </w:r>
    </w:p>
    <w:p w14:paraId="50BA54E0">
      <w:pPr>
        <w:pStyle w:val="2"/>
        <w:spacing w:before="51" w:line="289" w:lineRule="auto"/>
        <w:ind w:left="370" w:right="51" w:firstLine="399"/>
        <w:rPr>
          <w:sz w:val="20"/>
          <w:szCs w:val="20"/>
        </w:rPr>
      </w:pPr>
      <w:r>
        <w:rPr>
          <w:spacing w:val="3"/>
          <w:sz w:val="20"/>
          <w:szCs w:val="20"/>
        </w:rPr>
        <w:t>企业通常是通过建立相应的知识产权管理体制实现对本企业知识产权的保护，知识产权管 理体制随企业的管理侧重点不同而不同，有的着眼于服务创新，有的力图防范知识</w:t>
      </w:r>
      <w:r>
        <w:rPr>
          <w:spacing w:val="2"/>
          <w:sz w:val="20"/>
          <w:szCs w:val="20"/>
        </w:rPr>
        <w:t>产权法律风</w:t>
      </w:r>
      <w:r>
        <w:rPr>
          <w:sz w:val="20"/>
          <w:szCs w:val="20"/>
        </w:rPr>
        <w:t xml:space="preserve"> </w:t>
      </w:r>
      <w:r>
        <w:rPr>
          <w:spacing w:val="3"/>
          <w:sz w:val="20"/>
          <w:szCs w:val="20"/>
        </w:rPr>
        <w:t>险，有的争取知识产权资产的保值增值，总的来说都是为了企业知识产权利益的最大</w:t>
      </w:r>
      <w:r>
        <w:rPr>
          <w:spacing w:val="2"/>
          <w:sz w:val="20"/>
          <w:szCs w:val="20"/>
        </w:rPr>
        <w:t>化，从而</w:t>
      </w:r>
      <w:r>
        <w:rPr>
          <w:sz w:val="20"/>
          <w:szCs w:val="20"/>
        </w:rPr>
        <w:t xml:space="preserve"> </w:t>
      </w:r>
      <w:r>
        <w:rPr>
          <w:spacing w:val="-1"/>
          <w:sz w:val="20"/>
          <w:szCs w:val="20"/>
        </w:rPr>
        <w:t>为企业赢得竞争优势，实现企业的使命。典型</w:t>
      </w:r>
      <w:r>
        <w:rPr>
          <w:spacing w:val="-2"/>
          <w:sz w:val="20"/>
          <w:szCs w:val="20"/>
        </w:rPr>
        <w:t>的企业知识产权管理体制包括如下几类：</w:t>
      </w:r>
    </w:p>
    <w:p w14:paraId="387B09FF">
      <w:pPr>
        <w:pStyle w:val="2"/>
        <w:spacing w:before="30" w:line="219" w:lineRule="auto"/>
        <w:ind w:left="770"/>
        <w:rPr>
          <w:sz w:val="20"/>
          <w:szCs w:val="20"/>
        </w:rPr>
      </w:pPr>
      <w:r>
        <w:rPr>
          <w:spacing w:val="4"/>
          <w:sz w:val="20"/>
          <w:szCs w:val="20"/>
        </w:rPr>
        <w:t>●集中管理体制。</w:t>
      </w:r>
    </w:p>
    <w:p w14:paraId="1CE5AEFF">
      <w:pPr>
        <w:pStyle w:val="2"/>
        <w:spacing w:before="61" w:line="280" w:lineRule="auto"/>
        <w:ind w:left="370" w:right="45" w:firstLine="399"/>
        <w:rPr>
          <w:sz w:val="20"/>
          <w:szCs w:val="20"/>
        </w:rPr>
      </w:pPr>
      <w:r>
        <w:rPr>
          <w:spacing w:val="3"/>
          <w:sz w:val="20"/>
          <w:szCs w:val="20"/>
        </w:rPr>
        <w:t>全公司的知识产权管理部门按照统一的知识产权政策进行运作，最大限度地保护总公司的</w:t>
      </w:r>
      <w:r>
        <w:rPr>
          <w:spacing w:val="7"/>
          <w:sz w:val="20"/>
          <w:szCs w:val="20"/>
        </w:rPr>
        <w:t xml:space="preserve"> </w:t>
      </w:r>
      <w:r>
        <w:rPr>
          <w:spacing w:val="3"/>
          <w:sz w:val="20"/>
          <w:szCs w:val="20"/>
        </w:rPr>
        <w:t>整体利益，使得企业在开发、制造、买卖产品的活动中能够工作顺畅，主要体现在知识产权的</w:t>
      </w:r>
      <w:r>
        <w:rPr>
          <w:spacing w:val="1"/>
          <w:sz w:val="20"/>
          <w:szCs w:val="20"/>
        </w:rPr>
        <w:t xml:space="preserve"> </w:t>
      </w:r>
      <w:r>
        <w:rPr>
          <w:spacing w:val="3"/>
          <w:sz w:val="20"/>
          <w:szCs w:val="20"/>
        </w:rPr>
        <w:t>转移、授权、授权的管理方式上。通常是研究开发的费用由总公司预付给子公司，而专利权与</w:t>
      </w:r>
      <w:r>
        <w:rPr>
          <w:spacing w:val="2"/>
          <w:sz w:val="20"/>
          <w:szCs w:val="20"/>
        </w:rPr>
        <w:t xml:space="preserve"> </w:t>
      </w:r>
      <w:r>
        <w:rPr>
          <w:spacing w:val="-2"/>
          <w:sz w:val="20"/>
          <w:szCs w:val="20"/>
        </w:rPr>
        <w:t>授权后的所有事宜全部由总公司知识产权管理部门统筹负责。</w:t>
      </w:r>
    </w:p>
    <w:p w14:paraId="497E49C6">
      <w:pPr>
        <w:pStyle w:val="2"/>
        <w:spacing w:before="49" w:line="219" w:lineRule="auto"/>
        <w:ind w:left="770"/>
        <w:rPr>
          <w:sz w:val="20"/>
          <w:szCs w:val="20"/>
        </w:rPr>
      </w:pPr>
      <w:r>
        <w:rPr>
          <w:spacing w:val="4"/>
          <w:sz w:val="20"/>
          <w:szCs w:val="20"/>
        </w:rPr>
        <w:t>●分散管理体制。</w:t>
      </w:r>
    </w:p>
    <w:p w14:paraId="49995C48">
      <w:pPr>
        <w:pStyle w:val="2"/>
        <w:spacing w:before="71" w:line="283" w:lineRule="auto"/>
        <w:ind w:left="370" w:right="27" w:firstLine="399"/>
        <w:rPr>
          <w:sz w:val="20"/>
          <w:szCs w:val="20"/>
        </w:rPr>
      </w:pPr>
      <w:r>
        <w:rPr>
          <w:spacing w:val="3"/>
          <w:sz w:val="20"/>
          <w:szCs w:val="20"/>
        </w:rPr>
        <w:t xml:space="preserve">分散管理体制要做到充分授权，其含义是在知识产权本部统一管理下的充分授权。分散管 </w:t>
      </w:r>
      <w:r>
        <w:rPr>
          <w:spacing w:val="-1"/>
          <w:sz w:val="20"/>
          <w:szCs w:val="20"/>
        </w:rPr>
        <w:t>理是针对各研究所和委员会而言，其优点是各事业部及研究所根</w:t>
      </w:r>
      <w:r>
        <w:rPr>
          <w:spacing w:val="-2"/>
          <w:sz w:val="20"/>
          <w:szCs w:val="20"/>
        </w:rPr>
        <w:t>据产品特性限制专利申请件数，</w:t>
      </w:r>
      <w:r>
        <w:rPr>
          <w:sz w:val="20"/>
          <w:szCs w:val="20"/>
        </w:rPr>
        <w:t xml:space="preserve"> </w:t>
      </w:r>
      <w:r>
        <w:rPr>
          <w:spacing w:val="3"/>
          <w:sz w:val="20"/>
          <w:szCs w:val="20"/>
        </w:rPr>
        <w:t>决定知识产权的预算。但取得专利后，如何运用知识产权、处理纠纷、对外谈判、</w:t>
      </w:r>
      <w:r>
        <w:rPr>
          <w:spacing w:val="2"/>
          <w:sz w:val="20"/>
          <w:szCs w:val="20"/>
        </w:rPr>
        <w:t>提出异议等</w:t>
      </w:r>
      <w:r>
        <w:rPr>
          <w:sz w:val="20"/>
          <w:szCs w:val="20"/>
        </w:rPr>
        <w:t xml:space="preserve"> </w:t>
      </w:r>
      <w:r>
        <w:rPr>
          <w:spacing w:val="3"/>
          <w:sz w:val="20"/>
          <w:szCs w:val="20"/>
        </w:rPr>
        <w:t>事务由知识产权本部统一管理，如日本东芝公司。东芝公司除设有国内知识产权体</w:t>
      </w:r>
      <w:r>
        <w:rPr>
          <w:spacing w:val="2"/>
          <w:sz w:val="20"/>
          <w:szCs w:val="20"/>
        </w:rPr>
        <w:t>系外，还设</w:t>
      </w:r>
      <w:r>
        <w:rPr>
          <w:sz w:val="20"/>
          <w:szCs w:val="20"/>
        </w:rPr>
        <w:t xml:space="preserve"> </w:t>
      </w:r>
      <w:r>
        <w:rPr>
          <w:spacing w:val="1"/>
          <w:sz w:val="20"/>
          <w:szCs w:val="20"/>
        </w:rPr>
        <w:t>有海外知识产权体系。海外知识产权体系也分两部分：</w:t>
      </w:r>
      <w:r>
        <w:rPr>
          <w:spacing w:val="-21"/>
          <w:sz w:val="20"/>
          <w:szCs w:val="20"/>
        </w:rPr>
        <w:t xml:space="preserve"> </w:t>
      </w:r>
      <w:r>
        <w:rPr>
          <w:spacing w:val="1"/>
          <w:sz w:val="20"/>
          <w:szCs w:val="20"/>
        </w:rPr>
        <w:t>一部分在华盛顿、西海岸设立专利</w:t>
      </w:r>
      <w:r>
        <w:rPr>
          <w:sz w:val="20"/>
          <w:szCs w:val="20"/>
        </w:rPr>
        <w:t xml:space="preserve">事务 </w:t>
      </w:r>
      <w:r>
        <w:rPr>
          <w:spacing w:val="3"/>
          <w:sz w:val="20"/>
          <w:szCs w:val="20"/>
        </w:rPr>
        <w:t>所；一部分在欧美子公司内设知识产权委员会，负责制定当地企业知识产权管理规则，定</w:t>
      </w:r>
      <w:r>
        <w:rPr>
          <w:spacing w:val="2"/>
          <w:sz w:val="20"/>
          <w:szCs w:val="20"/>
        </w:rPr>
        <w:t>期讨</w:t>
      </w:r>
      <w:r>
        <w:rPr>
          <w:sz w:val="20"/>
          <w:szCs w:val="20"/>
        </w:rPr>
        <w:t xml:space="preserve"> </w:t>
      </w:r>
      <w:r>
        <w:rPr>
          <w:spacing w:val="3"/>
          <w:sz w:val="20"/>
          <w:szCs w:val="20"/>
        </w:rPr>
        <w:t>论知识产权问题。知识产权本部则通过各委员会、研究会协调各事业部之间的联</w:t>
      </w:r>
      <w:r>
        <w:rPr>
          <w:spacing w:val="2"/>
          <w:sz w:val="20"/>
          <w:szCs w:val="20"/>
        </w:rPr>
        <w:t>系，同时，对</w:t>
      </w:r>
      <w:r>
        <w:rPr>
          <w:sz w:val="20"/>
          <w:szCs w:val="20"/>
        </w:rPr>
        <w:t xml:space="preserve"> </w:t>
      </w:r>
      <w:r>
        <w:rPr>
          <w:spacing w:val="-2"/>
          <w:sz w:val="20"/>
          <w:szCs w:val="20"/>
        </w:rPr>
        <w:t>各事业部负责知识产权工作的人选有决定权。</w:t>
      </w:r>
    </w:p>
    <w:p w14:paraId="074F05CE">
      <w:pPr>
        <w:pStyle w:val="2"/>
        <w:spacing w:before="19" w:line="219" w:lineRule="auto"/>
        <w:ind w:left="770"/>
        <w:rPr>
          <w:sz w:val="20"/>
          <w:szCs w:val="20"/>
        </w:rPr>
      </w:pPr>
      <w:r>
        <w:rPr>
          <w:spacing w:val="2"/>
          <w:sz w:val="20"/>
          <w:szCs w:val="20"/>
        </w:rPr>
        <w:t>●分门别类进行知识产权管理。</w:t>
      </w:r>
    </w:p>
    <w:p w14:paraId="65771F28">
      <w:pPr>
        <w:spacing w:line="219" w:lineRule="auto"/>
        <w:rPr>
          <w:sz w:val="20"/>
          <w:szCs w:val="20"/>
        </w:rPr>
        <w:sectPr>
          <w:pgSz w:w="10300" w:h="13330"/>
          <w:pgMar w:top="400" w:right="1067" w:bottom="400" w:left="489" w:header="0" w:footer="0" w:gutter="0"/>
          <w:cols w:space="720" w:num="1"/>
        </w:sectPr>
      </w:pPr>
    </w:p>
    <w:p w14:paraId="7966B8A9">
      <w:pPr>
        <w:pStyle w:val="2"/>
        <w:spacing w:before="66" w:line="229" w:lineRule="auto"/>
        <w:jc w:val="right"/>
        <w:rPr>
          <w:rFonts w:ascii="Times New Roman" w:hAnsi="Times New Roman" w:eastAsia="Times New Roman" w:cs="Times New Roman"/>
          <w:sz w:val="19"/>
          <w:szCs w:val="19"/>
        </w:rPr>
      </w:pPr>
      <w:bookmarkStart w:id="657" w:name="bookmark642"/>
      <w:bookmarkEnd w:id="657"/>
      <w:r>
        <w:rPr>
          <w:spacing w:val="5"/>
          <w:sz w:val="19"/>
          <w:szCs w:val="19"/>
        </w:rPr>
        <w:t>第13章</w:t>
      </w:r>
      <w:r>
        <w:rPr>
          <w:spacing w:val="44"/>
          <w:sz w:val="19"/>
          <w:szCs w:val="19"/>
        </w:rPr>
        <w:t xml:space="preserve"> </w:t>
      </w:r>
      <w:r>
        <w:rPr>
          <w:spacing w:val="5"/>
          <w:sz w:val="19"/>
          <w:szCs w:val="19"/>
        </w:rPr>
        <w:t>合同管理</w:t>
      </w:r>
      <w:r>
        <w:rPr>
          <w:spacing w:val="2"/>
          <w:sz w:val="19"/>
          <w:szCs w:val="19"/>
        </w:rPr>
        <w:t xml:space="preserve">      </w:t>
      </w:r>
      <w:r>
        <w:rPr>
          <w:rFonts w:ascii="Times New Roman" w:hAnsi="Times New Roman" w:eastAsia="Times New Roman" w:cs="Times New Roman"/>
          <w:color w:val="008AF5"/>
          <w:spacing w:val="5"/>
          <w:position w:val="-4"/>
          <w:sz w:val="19"/>
          <w:szCs w:val="19"/>
        </w:rPr>
        <w:t xml:space="preserve">3 </w:t>
      </w:r>
      <w:r>
        <w:rPr>
          <w:rFonts w:ascii="Times New Roman" w:hAnsi="Times New Roman" w:eastAsia="Times New Roman" w:cs="Times New Roman"/>
          <w:spacing w:val="5"/>
          <w:position w:val="-4"/>
          <w:sz w:val="19"/>
          <w:szCs w:val="19"/>
        </w:rPr>
        <w:t>27</w:t>
      </w:r>
    </w:p>
    <w:p w14:paraId="0950E0AA">
      <w:pPr>
        <w:spacing w:line="284" w:lineRule="auto"/>
        <w:rPr>
          <w:rFonts w:ascii="Arial"/>
          <w:sz w:val="21"/>
        </w:rPr>
      </w:pPr>
    </w:p>
    <w:p w14:paraId="43018DC2">
      <w:pPr>
        <w:pStyle w:val="2"/>
        <w:spacing w:before="62" w:line="297" w:lineRule="auto"/>
        <w:ind w:right="308" w:firstLine="399"/>
        <w:jc w:val="both"/>
        <w:rPr>
          <w:sz w:val="19"/>
          <w:szCs w:val="19"/>
        </w:rPr>
      </w:pPr>
      <w:r>
        <w:rPr>
          <w:spacing w:val="13"/>
          <w:sz w:val="19"/>
          <w:szCs w:val="19"/>
        </w:rPr>
        <w:t>按照技术类别、产品类别管理知识产权。实</w:t>
      </w:r>
      <w:r>
        <w:rPr>
          <w:spacing w:val="12"/>
          <w:sz w:val="19"/>
          <w:szCs w:val="19"/>
        </w:rPr>
        <w:t>行按技术类别管理专利，这样可以避免同类技</w:t>
      </w:r>
      <w:r>
        <w:rPr>
          <w:sz w:val="19"/>
          <w:szCs w:val="19"/>
        </w:rPr>
        <w:t xml:space="preserve"> </w:t>
      </w:r>
      <w:r>
        <w:rPr>
          <w:spacing w:val="12"/>
          <w:sz w:val="19"/>
          <w:szCs w:val="19"/>
        </w:rPr>
        <w:t>术的重复开发，并通过设立法务部配合各事业部的产品策略对专利进行管理。知识产权法务部</w:t>
      </w:r>
      <w:r>
        <w:rPr>
          <w:spacing w:val="17"/>
          <w:sz w:val="19"/>
          <w:szCs w:val="19"/>
        </w:rPr>
        <w:t xml:space="preserve"> </w:t>
      </w:r>
      <w:r>
        <w:rPr>
          <w:spacing w:val="13"/>
          <w:sz w:val="19"/>
          <w:szCs w:val="19"/>
        </w:rPr>
        <w:t>集中管理授权后的所有事宜，包括权利的运用、谈判、诉讼等。法务部通过派本部门人员参加</w:t>
      </w:r>
      <w:r>
        <w:rPr>
          <w:sz w:val="19"/>
          <w:szCs w:val="19"/>
        </w:rPr>
        <w:t xml:space="preserve"> </w:t>
      </w:r>
      <w:r>
        <w:rPr>
          <w:spacing w:val="13"/>
          <w:sz w:val="19"/>
          <w:szCs w:val="19"/>
        </w:rPr>
        <w:t>公司内各事业部组成的产品法务会，或根据各项问</w:t>
      </w:r>
      <w:r>
        <w:rPr>
          <w:spacing w:val="12"/>
          <w:sz w:val="19"/>
          <w:szCs w:val="19"/>
        </w:rPr>
        <w:t>题组成的作业部会议，了解技术、产品的相</w:t>
      </w:r>
      <w:r>
        <w:rPr>
          <w:sz w:val="19"/>
          <w:szCs w:val="19"/>
        </w:rPr>
        <w:t xml:space="preserve"> </w:t>
      </w:r>
      <w:r>
        <w:rPr>
          <w:spacing w:val="13"/>
          <w:sz w:val="19"/>
          <w:szCs w:val="19"/>
        </w:rPr>
        <w:t xml:space="preserve">关情况，使法务体制贯穿产品开发、生产和销售的各个阶段，利用知识产权的法规，提高解决 </w:t>
      </w:r>
      <w:r>
        <w:rPr>
          <w:spacing w:val="4"/>
          <w:sz w:val="19"/>
          <w:szCs w:val="19"/>
        </w:rPr>
        <w:t>问题的效力。</w:t>
      </w:r>
    </w:p>
    <w:p w14:paraId="0E8AA4F3">
      <w:pPr>
        <w:spacing w:before="130" w:line="223" w:lineRule="auto"/>
        <w:ind w:left="402"/>
        <w:rPr>
          <w:rFonts w:ascii="楷体" w:hAnsi="楷体" w:eastAsia="楷体" w:cs="楷体"/>
          <w:sz w:val="19"/>
          <w:szCs w:val="19"/>
        </w:rPr>
      </w:pPr>
      <w:r>
        <w:rPr>
          <w:rFonts w:ascii="楷体" w:hAnsi="楷体" w:eastAsia="楷体" w:cs="楷体"/>
          <w:b/>
          <w:bCs/>
          <w:spacing w:val="15"/>
          <w:sz w:val="19"/>
          <w:szCs w:val="19"/>
        </w:rPr>
        <w:t>2)知识产权管理制度</w:t>
      </w:r>
    </w:p>
    <w:p w14:paraId="0BB547A7">
      <w:pPr>
        <w:pStyle w:val="2"/>
        <w:spacing w:before="95" w:line="293" w:lineRule="auto"/>
        <w:ind w:right="328" w:firstLine="399"/>
        <w:jc w:val="both"/>
        <w:rPr>
          <w:sz w:val="19"/>
          <w:szCs w:val="19"/>
        </w:rPr>
      </w:pPr>
      <w:r>
        <w:rPr>
          <w:spacing w:val="13"/>
          <w:sz w:val="19"/>
          <w:szCs w:val="19"/>
        </w:rPr>
        <w:t>知识产权管理制度涉及范围十分广泛，主要集中在产权的归属、奖励机制、知识产权的运</w:t>
      </w:r>
      <w:r>
        <w:rPr>
          <w:sz w:val="19"/>
          <w:szCs w:val="19"/>
        </w:rPr>
        <w:t xml:space="preserve"> </w:t>
      </w:r>
      <w:r>
        <w:rPr>
          <w:spacing w:val="13"/>
          <w:sz w:val="19"/>
          <w:szCs w:val="19"/>
        </w:rPr>
        <w:t>用、知识产权纠纷的处理以及知识产权教育等方面。由于各企业情况不同，在</w:t>
      </w:r>
      <w:r>
        <w:rPr>
          <w:spacing w:val="12"/>
          <w:sz w:val="19"/>
          <w:szCs w:val="19"/>
        </w:rPr>
        <w:t>制定管理制度上</w:t>
      </w:r>
      <w:r>
        <w:rPr>
          <w:sz w:val="19"/>
          <w:szCs w:val="19"/>
        </w:rPr>
        <w:t xml:space="preserve"> </w:t>
      </w:r>
      <w:r>
        <w:rPr>
          <w:spacing w:val="3"/>
          <w:sz w:val="19"/>
          <w:szCs w:val="19"/>
        </w:rPr>
        <w:t>各有侧重。</w:t>
      </w:r>
    </w:p>
    <w:p w14:paraId="47E47F38">
      <w:pPr>
        <w:pStyle w:val="2"/>
        <w:spacing w:before="206" w:line="219" w:lineRule="auto"/>
        <w:ind w:left="2"/>
        <w:rPr>
          <w:sz w:val="25"/>
          <w:szCs w:val="25"/>
        </w:rPr>
      </w:pPr>
      <w:r>
        <w:rPr>
          <w:b/>
          <w:bCs/>
          <w:color w:val="0063D6"/>
          <w:spacing w:val="-17"/>
          <w:sz w:val="25"/>
          <w:szCs w:val="25"/>
        </w:rPr>
        <w:t>13.6.3</w:t>
      </w:r>
      <w:r>
        <w:rPr>
          <w:color w:val="0063D6"/>
          <w:spacing w:val="-17"/>
          <w:sz w:val="25"/>
          <w:szCs w:val="25"/>
        </w:rPr>
        <w:t xml:space="preserve">  </w:t>
      </w:r>
      <w:r>
        <w:rPr>
          <w:b/>
          <w:bCs/>
          <w:color w:val="0063D6"/>
          <w:spacing w:val="-17"/>
          <w:sz w:val="25"/>
          <w:szCs w:val="25"/>
        </w:rPr>
        <w:t>知识产权保护的监理</w:t>
      </w:r>
    </w:p>
    <w:p w14:paraId="4A2FCB2B">
      <w:pPr>
        <w:pStyle w:val="2"/>
        <w:spacing w:before="174" w:line="292" w:lineRule="auto"/>
        <w:ind w:right="261" w:firstLine="399"/>
        <w:jc w:val="both"/>
        <w:rPr>
          <w:sz w:val="19"/>
          <w:szCs w:val="19"/>
        </w:rPr>
      </w:pPr>
      <w:r>
        <w:rPr>
          <w:spacing w:val="15"/>
          <w:sz w:val="19"/>
          <w:szCs w:val="19"/>
        </w:rPr>
        <w:t>信息系统工程在需求方案、集成方案、选型采购、软件设计等</w:t>
      </w:r>
      <w:r>
        <w:rPr>
          <w:spacing w:val="14"/>
          <w:sz w:val="19"/>
          <w:szCs w:val="19"/>
        </w:rPr>
        <w:t>方面涉及较多的知识产权，</w:t>
      </w:r>
      <w:r>
        <w:rPr>
          <w:sz w:val="19"/>
          <w:szCs w:val="19"/>
        </w:rPr>
        <w:t xml:space="preserve"> </w:t>
      </w:r>
      <w:r>
        <w:rPr>
          <w:spacing w:val="13"/>
          <w:sz w:val="19"/>
          <w:szCs w:val="19"/>
        </w:rPr>
        <w:t>应该在有关合同中约定知识产权相关事项，并加以管理。知识产权保护的管理应该坚持全过程</w:t>
      </w:r>
      <w:r>
        <w:rPr>
          <w:spacing w:val="12"/>
          <w:sz w:val="19"/>
          <w:szCs w:val="19"/>
        </w:rPr>
        <w:t xml:space="preserve"> </w:t>
      </w:r>
      <w:r>
        <w:rPr>
          <w:spacing w:val="7"/>
          <w:sz w:val="19"/>
          <w:szCs w:val="19"/>
        </w:rPr>
        <w:t>的管理。知识产权保护的监理工作包括以下几个方面。</w:t>
      </w:r>
    </w:p>
    <w:p w14:paraId="16E515B8">
      <w:pPr>
        <w:pStyle w:val="2"/>
        <w:spacing w:before="126" w:line="222" w:lineRule="auto"/>
        <w:ind w:left="402"/>
        <w:rPr>
          <w:rFonts w:ascii="黑体" w:hAnsi="黑体" w:eastAsia="黑体" w:cs="黑体"/>
          <w:sz w:val="19"/>
          <w:szCs w:val="19"/>
        </w:rPr>
      </w:pPr>
      <w:r>
        <w:rPr>
          <w:b/>
          <w:bCs/>
          <w:color w:val="006BD6"/>
          <w:spacing w:val="6"/>
          <w:sz w:val="19"/>
          <w:szCs w:val="19"/>
        </w:rPr>
        <w:t>1.</w:t>
      </w:r>
      <w:r>
        <w:rPr>
          <w:rFonts w:ascii="黑体" w:hAnsi="黑体" w:eastAsia="黑体" w:cs="黑体"/>
          <w:b/>
          <w:bCs/>
          <w:color w:val="006BD6"/>
          <w:spacing w:val="6"/>
          <w:sz w:val="19"/>
          <w:szCs w:val="19"/>
        </w:rPr>
        <w:t>树立为业主单位和承建单位维权的意识</w:t>
      </w:r>
    </w:p>
    <w:p w14:paraId="7591C069">
      <w:pPr>
        <w:pStyle w:val="2"/>
        <w:spacing w:before="154" w:line="302" w:lineRule="auto"/>
        <w:ind w:right="324" w:firstLine="399"/>
        <w:jc w:val="both"/>
        <w:rPr>
          <w:sz w:val="19"/>
          <w:szCs w:val="19"/>
        </w:rPr>
      </w:pPr>
      <w:r>
        <w:rPr>
          <w:spacing w:val="13"/>
          <w:sz w:val="19"/>
          <w:szCs w:val="19"/>
        </w:rPr>
        <w:t>在信息系统工程建设项目的实施和应用过程</w:t>
      </w:r>
      <w:r>
        <w:rPr>
          <w:spacing w:val="12"/>
          <w:sz w:val="19"/>
          <w:szCs w:val="19"/>
        </w:rPr>
        <w:t>中，监理单位要树立为业主单位和承建单位维</w:t>
      </w:r>
      <w:r>
        <w:rPr>
          <w:sz w:val="19"/>
          <w:szCs w:val="19"/>
        </w:rPr>
        <w:t xml:space="preserve"> </w:t>
      </w:r>
      <w:r>
        <w:rPr>
          <w:spacing w:val="13"/>
          <w:sz w:val="19"/>
          <w:szCs w:val="19"/>
        </w:rPr>
        <w:t>权的意识。同时，业主单位、承建单位也要自觉自愿地建立知识产权保护意识，不仅要</w:t>
      </w:r>
      <w:r>
        <w:rPr>
          <w:spacing w:val="12"/>
          <w:sz w:val="19"/>
          <w:szCs w:val="19"/>
        </w:rPr>
        <w:t>维护自</w:t>
      </w:r>
      <w:r>
        <w:rPr>
          <w:sz w:val="19"/>
          <w:szCs w:val="19"/>
        </w:rPr>
        <w:t xml:space="preserve"> </w:t>
      </w:r>
      <w:r>
        <w:rPr>
          <w:spacing w:val="9"/>
          <w:sz w:val="19"/>
          <w:szCs w:val="19"/>
        </w:rPr>
        <w:t>身的权益，也要维护对方的权益，知识产权保护是信息系统工程建设各方的共同</w:t>
      </w:r>
      <w:r>
        <w:rPr>
          <w:spacing w:val="8"/>
          <w:sz w:val="19"/>
          <w:szCs w:val="19"/>
        </w:rPr>
        <w:t>责任与义务。</w:t>
      </w:r>
    </w:p>
    <w:p w14:paraId="0E301324">
      <w:pPr>
        <w:pStyle w:val="2"/>
        <w:spacing w:before="94" w:line="222" w:lineRule="auto"/>
        <w:ind w:left="402"/>
        <w:rPr>
          <w:rFonts w:ascii="黑体" w:hAnsi="黑体" w:eastAsia="黑体" w:cs="黑体"/>
          <w:sz w:val="19"/>
          <w:szCs w:val="19"/>
        </w:rPr>
      </w:pPr>
      <w:r>
        <w:rPr>
          <w:b/>
          <w:bCs/>
          <w:color w:val="006EDC"/>
          <w:spacing w:val="7"/>
          <w:sz w:val="19"/>
          <w:szCs w:val="19"/>
        </w:rPr>
        <w:t>2.</w:t>
      </w:r>
      <w:r>
        <w:rPr>
          <w:rFonts w:ascii="黑体" w:hAnsi="黑体" w:eastAsia="黑体" w:cs="黑体"/>
          <w:b/>
          <w:bCs/>
          <w:color w:val="006EDC"/>
          <w:spacing w:val="7"/>
          <w:sz w:val="19"/>
          <w:szCs w:val="19"/>
        </w:rPr>
        <w:t>建议业主单位制定知识产权管理制度</w:t>
      </w:r>
    </w:p>
    <w:p w14:paraId="2A8DD130">
      <w:pPr>
        <w:pStyle w:val="2"/>
        <w:spacing w:before="165" w:line="288" w:lineRule="auto"/>
        <w:ind w:right="331" w:firstLine="399"/>
        <w:rPr>
          <w:sz w:val="19"/>
          <w:szCs w:val="19"/>
        </w:rPr>
      </w:pPr>
      <w:r>
        <w:rPr>
          <w:spacing w:val="13"/>
          <w:sz w:val="19"/>
          <w:szCs w:val="19"/>
        </w:rPr>
        <w:t>在知识产权保护管理方面，监理要建议业主单位制定知识产权管理制度，让业主</w:t>
      </w:r>
      <w:r>
        <w:rPr>
          <w:spacing w:val="12"/>
          <w:sz w:val="19"/>
          <w:szCs w:val="19"/>
        </w:rPr>
        <w:t>单位明白</w:t>
      </w:r>
      <w:r>
        <w:rPr>
          <w:sz w:val="19"/>
          <w:szCs w:val="19"/>
        </w:rPr>
        <w:t xml:space="preserve"> </w:t>
      </w:r>
      <w:r>
        <w:rPr>
          <w:spacing w:val="6"/>
          <w:sz w:val="19"/>
          <w:szCs w:val="19"/>
        </w:rPr>
        <w:t>建立知识产权制度的意义所在，具体包括：</w:t>
      </w:r>
    </w:p>
    <w:p w14:paraId="4880EC9F">
      <w:pPr>
        <w:pStyle w:val="2"/>
        <w:spacing w:before="7" w:line="270" w:lineRule="auto"/>
        <w:ind w:right="343" w:firstLine="399"/>
        <w:rPr>
          <w:sz w:val="19"/>
          <w:szCs w:val="19"/>
        </w:rPr>
      </w:pPr>
      <w:r>
        <w:rPr>
          <w:spacing w:val="15"/>
          <w:sz w:val="19"/>
          <w:szCs w:val="19"/>
        </w:rPr>
        <w:t>(1)适应知识经济发展的要求，对于政府可以提高服务意</w:t>
      </w:r>
      <w:r>
        <w:rPr>
          <w:spacing w:val="14"/>
          <w:sz w:val="19"/>
          <w:szCs w:val="19"/>
        </w:rPr>
        <w:t>识，对于企业可以全面提升核心</w:t>
      </w:r>
      <w:r>
        <w:rPr>
          <w:sz w:val="19"/>
          <w:szCs w:val="19"/>
        </w:rPr>
        <w:t xml:space="preserve"> </w:t>
      </w:r>
      <w:r>
        <w:rPr>
          <w:spacing w:val="5"/>
          <w:sz w:val="19"/>
          <w:szCs w:val="19"/>
        </w:rPr>
        <w:t>竞争力，确保企业长期竞争优势；</w:t>
      </w:r>
    </w:p>
    <w:p w14:paraId="40CB6063">
      <w:pPr>
        <w:pStyle w:val="2"/>
        <w:spacing w:before="85" w:line="260" w:lineRule="auto"/>
        <w:ind w:right="347" w:firstLine="399"/>
        <w:rPr>
          <w:sz w:val="19"/>
          <w:szCs w:val="19"/>
        </w:rPr>
      </w:pPr>
      <w:r>
        <w:rPr>
          <w:spacing w:val="15"/>
          <w:sz w:val="19"/>
          <w:szCs w:val="19"/>
        </w:rPr>
        <w:t>(2)可以防范以及应对同行竞争企业侵害自己的</w:t>
      </w:r>
      <w:r>
        <w:rPr>
          <w:spacing w:val="14"/>
          <w:sz w:val="19"/>
          <w:szCs w:val="19"/>
        </w:rPr>
        <w:t>知识产权，避免降低甚至失去自身的竞争</w:t>
      </w:r>
      <w:r>
        <w:rPr>
          <w:sz w:val="19"/>
          <w:szCs w:val="19"/>
        </w:rPr>
        <w:t xml:space="preserve"> </w:t>
      </w:r>
      <w:r>
        <w:rPr>
          <w:spacing w:val="-2"/>
          <w:sz w:val="19"/>
          <w:szCs w:val="19"/>
        </w:rPr>
        <w:t>优势；</w:t>
      </w:r>
    </w:p>
    <w:p w14:paraId="405D6EE8">
      <w:pPr>
        <w:pStyle w:val="2"/>
        <w:spacing w:before="75" w:line="219" w:lineRule="auto"/>
        <w:ind w:left="399"/>
        <w:rPr>
          <w:sz w:val="19"/>
          <w:szCs w:val="19"/>
        </w:rPr>
      </w:pPr>
      <w:r>
        <w:rPr>
          <w:spacing w:val="10"/>
          <w:sz w:val="19"/>
          <w:szCs w:val="19"/>
        </w:rPr>
        <w:t>(3)降低潜在的侵犯他人知识产权的法律风险，以免被拖入不必要的诉讼纠纷；</w:t>
      </w:r>
    </w:p>
    <w:p w14:paraId="17838D19">
      <w:pPr>
        <w:pStyle w:val="2"/>
        <w:spacing w:before="83" w:line="256" w:lineRule="auto"/>
        <w:ind w:right="343" w:firstLine="399"/>
        <w:rPr>
          <w:sz w:val="19"/>
          <w:szCs w:val="19"/>
        </w:rPr>
      </w:pPr>
      <w:r>
        <w:rPr>
          <w:spacing w:val="15"/>
          <w:sz w:val="19"/>
          <w:szCs w:val="19"/>
        </w:rPr>
        <w:t>(4)成为企业新的、潜在的利润增长点，通过知识产权交</w:t>
      </w:r>
      <w:r>
        <w:rPr>
          <w:spacing w:val="14"/>
          <w:sz w:val="19"/>
          <w:szCs w:val="19"/>
        </w:rPr>
        <w:t>易等策略实现其资本扩张与市场</w:t>
      </w:r>
      <w:r>
        <w:rPr>
          <w:sz w:val="19"/>
          <w:szCs w:val="19"/>
        </w:rPr>
        <w:t xml:space="preserve"> </w:t>
      </w:r>
      <w:r>
        <w:rPr>
          <w:spacing w:val="8"/>
          <w:sz w:val="19"/>
          <w:szCs w:val="19"/>
        </w:rPr>
        <w:t>垄断。</w:t>
      </w:r>
    </w:p>
    <w:p w14:paraId="6E5DF5E2">
      <w:pPr>
        <w:pStyle w:val="2"/>
        <w:spacing w:before="75" w:line="292" w:lineRule="auto"/>
        <w:ind w:right="347" w:firstLine="399"/>
        <w:jc w:val="both"/>
        <w:rPr>
          <w:sz w:val="19"/>
          <w:szCs w:val="19"/>
        </w:rPr>
      </w:pPr>
      <w:r>
        <w:rPr>
          <w:spacing w:val="8"/>
          <w:sz w:val="19"/>
          <w:szCs w:val="19"/>
        </w:rPr>
        <w:t>业主单位的知识产权管理制度，</w:t>
      </w:r>
      <w:r>
        <w:rPr>
          <w:spacing w:val="80"/>
          <w:sz w:val="19"/>
          <w:szCs w:val="19"/>
        </w:rPr>
        <w:t xml:space="preserve"> </w:t>
      </w:r>
      <w:r>
        <w:rPr>
          <w:spacing w:val="8"/>
          <w:sz w:val="19"/>
          <w:szCs w:val="19"/>
        </w:rPr>
        <w:t>一般应该从人事管理、档案管理、权利维护、反侵权措施</w:t>
      </w:r>
      <w:r>
        <w:rPr>
          <w:sz w:val="19"/>
          <w:szCs w:val="19"/>
        </w:rPr>
        <w:t xml:space="preserve"> </w:t>
      </w:r>
      <w:r>
        <w:rPr>
          <w:spacing w:val="12"/>
          <w:sz w:val="19"/>
          <w:szCs w:val="19"/>
        </w:rPr>
        <w:t>等多方面建立综合的防御、维护、反侵权体系。但是，由于每个业主单位所在的行业、规模等</w:t>
      </w:r>
      <w:r>
        <w:rPr>
          <w:spacing w:val="15"/>
          <w:sz w:val="19"/>
          <w:szCs w:val="19"/>
        </w:rPr>
        <w:t xml:space="preserve"> </w:t>
      </w:r>
      <w:r>
        <w:rPr>
          <w:spacing w:val="8"/>
          <w:sz w:val="19"/>
          <w:szCs w:val="19"/>
        </w:rPr>
        <w:t>因素都存在差异性，因此，应当结合自己的特点制定一套适合自己需要的知识产权管理制度。</w:t>
      </w:r>
    </w:p>
    <w:p w14:paraId="5EAA3874">
      <w:pPr>
        <w:pStyle w:val="2"/>
        <w:spacing w:before="103" w:line="221" w:lineRule="auto"/>
        <w:ind w:left="402"/>
        <w:rPr>
          <w:rFonts w:ascii="黑体" w:hAnsi="黑体" w:eastAsia="黑体" w:cs="黑体"/>
          <w:sz w:val="19"/>
          <w:szCs w:val="19"/>
        </w:rPr>
      </w:pPr>
      <w:r>
        <w:rPr>
          <w:b/>
          <w:bCs/>
          <w:color w:val="006BC9"/>
          <w:spacing w:val="7"/>
          <w:sz w:val="19"/>
          <w:szCs w:val="19"/>
        </w:rPr>
        <w:t>3.</w:t>
      </w:r>
      <w:r>
        <w:rPr>
          <w:rFonts w:ascii="黑体" w:hAnsi="黑体" w:eastAsia="黑体" w:cs="黑体"/>
          <w:b/>
          <w:bCs/>
          <w:color w:val="006BC9"/>
          <w:spacing w:val="7"/>
          <w:sz w:val="19"/>
          <w:szCs w:val="19"/>
        </w:rPr>
        <w:t>监督承建单位实施知识产权管理制度</w:t>
      </w:r>
    </w:p>
    <w:p w14:paraId="53D24723">
      <w:pPr>
        <w:pStyle w:val="2"/>
        <w:spacing w:before="146" w:line="298" w:lineRule="auto"/>
        <w:ind w:right="325" w:firstLine="399"/>
        <w:rPr>
          <w:sz w:val="19"/>
          <w:szCs w:val="19"/>
        </w:rPr>
      </w:pPr>
      <w:r>
        <w:rPr>
          <w:spacing w:val="13"/>
          <w:sz w:val="19"/>
          <w:szCs w:val="19"/>
        </w:rPr>
        <w:t>监理单位要通过日常的检查和教育，使那些对知识产权保护不够重视的承建单位逐步认识</w:t>
      </w:r>
      <w:r>
        <w:rPr>
          <w:spacing w:val="2"/>
          <w:sz w:val="19"/>
          <w:szCs w:val="19"/>
        </w:rPr>
        <w:t xml:space="preserve"> </w:t>
      </w:r>
      <w:r>
        <w:rPr>
          <w:spacing w:val="6"/>
          <w:sz w:val="19"/>
          <w:szCs w:val="19"/>
        </w:rPr>
        <w:t>到知识产权保护的意义和重要性。</w:t>
      </w:r>
    </w:p>
    <w:p w14:paraId="7E805726">
      <w:pPr>
        <w:spacing w:line="298" w:lineRule="auto"/>
        <w:rPr>
          <w:sz w:val="19"/>
          <w:szCs w:val="19"/>
        </w:rPr>
        <w:sectPr>
          <w:pgSz w:w="10280" w:h="13290"/>
          <w:pgMar w:top="400" w:right="553" w:bottom="400" w:left="1080" w:header="0" w:footer="0" w:gutter="0"/>
          <w:cols w:space="720" w:num="1"/>
        </w:sectPr>
      </w:pPr>
    </w:p>
    <w:p w14:paraId="3697578F">
      <w:pPr>
        <w:pStyle w:val="2"/>
        <w:spacing w:before="58" w:line="219" w:lineRule="auto"/>
        <w:rPr>
          <w:sz w:val="20"/>
          <w:szCs w:val="20"/>
        </w:rPr>
      </w:pPr>
      <w:r>
        <w:rPr>
          <w:rFonts w:ascii="Times New Roman" w:hAnsi="Times New Roman" w:eastAsia="Times New Roman" w:cs="Times New Roman"/>
          <w:spacing w:val="-1"/>
          <w:position w:val="-3"/>
          <w:sz w:val="20"/>
          <w:szCs w:val="20"/>
        </w:rPr>
        <w:t>328</w:t>
      </w:r>
      <w:r>
        <w:rPr>
          <w:rFonts w:ascii="Times New Roman" w:hAnsi="Times New Roman" w:eastAsia="Times New Roman" w:cs="Times New Roman"/>
          <w:spacing w:val="2"/>
          <w:position w:val="-3"/>
          <w:sz w:val="20"/>
          <w:szCs w:val="20"/>
        </w:rPr>
        <w:t xml:space="preserve">             </w:t>
      </w:r>
      <w:r>
        <w:rPr>
          <w:spacing w:val="-1"/>
          <w:sz w:val="20"/>
          <w:szCs w:val="20"/>
        </w:rPr>
        <w:t>信息系统监理师教程(第2版)</w:t>
      </w:r>
    </w:p>
    <w:p w14:paraId="5B1ADE06">
      <w:pPr>
        <w:spacing w:line="285" w:lineRule="auto"/>
        <w:rPr>
          <w:rFonts w:ascii="Arial"/>
          <w:sz w:val="21"/>
        </w:rPr>
      </w:pPr>
    </w:p>
    <w:p w14:paraId="2B6BC357">
      <w:pPr>
        <w:spacing w:before="65" w:line="223" w:lineRule="auto"/>
        <w:ind w:left="780"/>
        <w:rPr>
          <w:rFonts w:ascii="楷体" w:hAnsi="楷体" w:eastAsia="楷体" w:cs="楷体"/>
          <w:sz w:val="20"/>
          <w:szCs w:val="20"/>
        </w:rPr>
      </w:pPr>
      <w:r>
        <w:rPr>
          <w:rFonts w:ascii="楷体" w:hAnsi="楷体" w:eastAsia="楷体" w:cs="楷体"/>
          <w:spacing w:val="8"/>
          <w:sz w:val="20"/>
          <w:szCs w:val="20"/>
        </w:rPr>
        <w:t>1)软件著作权保护</w:t>
      </w:r>
    </w:p>
    <w:p w14:paraId="074A2195">
      <w:pPr>
        <w:pStyle w:val="2"/>
        <w:spacing w:before="81" w:line="283" w:lineRule="auto"/>
        <w:ind w:left="380" w:right="70" w:firstLine="399"/>
        <w:rPr>
          <w:sz w:val="20"/>
          <w:szCs w:val="20"/>
        </w:rPr>
      </w:pPr>
      <w:r>
        <w:rPr>
          <w:spacing w:val="3"/>
          <w:sz w:val="20"/>
          <w:szCs w:val="20"/>
        </w:rPr>
        <w:t>侵犯软件著作权是最常见的知识产权侵权行为之一。从法律角度讲，保护软件著作权可以</w:t>
      </w:r>
      <w:r>
        <w:rPr>
          <w:spacing w:val="2"/>
          <w:sz w:val="20"/>
          <w:szCs w:val="20"/>
        </w:rPr>
        <w:t xml:space="preserve"> </w:t>
      </w:r>
      <w:r>
        <w:rPr>
          <w:spacing w:val="-6"/>
          <w:sz w:val="20"/>
          <w:szCs w:val="20"/>
        </w:rPr>
        <w:t>通过以下办法进行：</w:t>
      </w:r>
    </w:p>
    <w:p w14:paraId="6C28E8C9">
      <w:pPr>
        <w:pStyle w:val="2"/>
        <w:spacing w:before="28" w:line="219" w:lineRule="auto"/>
        <w:ind w:left="780"/>
        <w:rPr>
          <w:sz w:val="20"/>
          <w:szCs w:val="20"/>
        </w:rPr>
      </w:pPr>
      <w:r>
        <w:rPr>
          <w:spacing w:val="2"/>
          <w:sz w:val="20"/>
          <w:szCs w:val="20"/>
        </w:rPr>
        <w:t>●及时进行软件著作权登记。</w:t>
      </w:r>
    </w:p>
    <w:p w14:paraId="198B72E0">
      <w:pPr>
        <w:pStyle w:val="2"/>
        <w:spacing w:before="93" w:line="219" w:lineRule="auto"/>
        <w:ind w:left="780"/>
        <w:rPr>
          <w:sz w:val="20"/>
          <w:szCs w:val="20"/>
        </w:rPr>
      </w:pPr>
      <w:r>
        <w:rPr>
          <w:spacing w:val="1"/>
          <w:sz w:val="20"/>
          <w:szCs w:val="20"/>
        </w:rPr>
        <w:t>●开展软件盗版状况调查，摸清盗版环节的要害部位。</w:t>
      </w:r>
    </w:p>
    <w:p w14:paraId="5EAA0A6E">
      <w:pPr>
        <w:pStyle w:val="2"/>
        <w:spacing w:before="81" w:line="267" w:lineRule="auto"/>
        <w:ind w:left="1080" w:right="60" w:hanging="300"/>
        <w:rPr>
          <w:sz w:val="20"/>
          <w:szCs w:val="20"/>
        </w:rPr>
      </w:pPr>
      <w:r>
        <w:rPr>
          <w:spacing w:val="3"/>
          <w:sz w:val="20"/>
          <w:szCs w:val="20"/>
        </w:rPr>
        <w:t>●请求司法部门介入，对侵权进行行政查处与处罚，也可以选择向法院提起诉讼，追究侵</w:t>
      </w:r>
      <w:r>
        <w:rPr>
          <w:spacing w:val="12"/>
          <w:sz w:val="20"/>
          <w:szCs w:val="20"/>
        </w:rPr>
        <w:t xml:space="preserve"> </w:t>
      </w:r>
      <w:r>
        <w:rPr>
          <w:spacing w:val="-4"/>
          <w:sz w:val="20"/>
          <w:szCs w:val="20"/>
        </w:rPr>
        <w:t>权人的法律责任。</w:t>
      </w:r>
    </w:p>
    <w:p w14:paraId="4527AC72">
      <w:pPr>
        <w:spacing w:before="170" w:line="224" w:lineRule="auto"/>
        <w:ind w:left="780"/>
        <w:rPr>
          <w:rFonts w:ascii="楷体" w:hAnsi="楷体" w:eastAsia="楷体" w:cs="楷体"/>
          <w:sz w:val="20"/>
          <w:szCs w:val="20"/>
        </w:rPr>
      </w:pPr>
      <w:r>
        <w:rPr>
          <w:rFonts w:ascii="楷体" w:hAnsi="楷体" w:eastAsia="楷体" w:cs="楷体"/>
          <w:spacing w:val="5"/>
          <w:sz w:val="20"/>
          <w:szCs w:val="20"/>
        </w:rPr>
        <w:t>2)专利权、商标和集成电路布图设计保护</w:t>
      </w:r>
    </w:p>
    <w:p w14:paraId="49B3FDAD">
      <w:pPr>
        <w:pStyle w:val="2"/>
        <w:spacing w:before="71" w:line="291" w:lineRule="auto"/>
        <w:ind w:left="380" w:right="53" w:firstLine="399"/>
        <w:rPr>
          <w:sz w:val="20"/>
          <w:szCs w:val="20"/>
        </w:rPr>
      </w:pPr>
      <w:r>
        <w:rPr>
          <w:spacing w:val="3"/>
          <w:sz w:val="20"/>
          <w:szCs w:val="20"/>
        </w:rPr>
        <w:t>对于信息系统工程建设中所研发的新产品或使用的新方法，应建议相关方及时申请专利和</w:t>
      </w:r>
      <w:r>
        <w:rPr>
          <w:spacing w:val="18"/>
          <w:sz w:val="20"/>
          <w:szCs w:val="20"/>
        </w:rPr>
        <w:t xml:space="preserve"> </w:t>
      </w:r>
      <w:r>
        <w:rPr>
          <w:spacing w:val="-5"/>
          <w:sz w:val="20"/>
          <w:szCs w:val="20"/>
        </w:rPr>
        <w:t>商标等进行保护。具体包括：</w:t>
      </w:r>
    </w:p>
    <w:p w14:paraId="42658A8F">
      <w:pPr>
        <w:pStyle w:val="2"/>
        <w:spacing w:before="9" w:line="286" w:lineRule="auto"/>
        <w:ind w:left="1080" w:right="90" w:hanging="300"/>
        <w:rPr>
          <w:sz w:val="17"/>
          <w:szCs w:val="17"/>
        </w:rPr>
      </w:pPr>
      <w:r>
        <w:rPr>
          <w:spacing w:val="8"/>
          <w:sz w:val="20"/>
          <w:szCs w:val="20"/>
        </w:rPr>
        <w:t>●及时对符合条件的需要保护的产品或方法进行专利申请，包括发明、实</w:t>
      </w:r>
      <w:r>
        <w:rPr>
          <w:spacing w:val="7"/>
          <w:sz w:val="20"/>
          <w:szCs w:val="20"/>
        </w:rPr>
        <w:t>用新型和外观</w:t>
      </w:r>
      <w:r>
        <w:rPr>
          <w:sz w:val="20"/>
          <w:szCs w:val="20"/>
        </w:rPr>
        <w:t xml:space="preserve"> </w:t>
      </w:r>
      <w:r>
        <w:rPr>
          <w:spacing w:val="13"/>
          <w:sz w:val="17"/>
          <w:szCs w:val="17"/>
        </w:rPr>
        <w:t>设计</w:t>
      </w:r>
      <w:r>
        <w:rPr>
          <w:spacing w:val="-36"/>
          <w:sz w:val="17"/>
          <w:szCs w:val="17"/>
        </w:rPr>
        <w:t xml:space="preserve"> </w:t>
      </w:r>
      <w:r>
        <w:rPr>
          <w:spacing w:val="13"/>
          <w:sz w:val="17"/>
          <w:szCs w:val="17"/>
        </w:rPr>
        <w:t>。</w:t>
      </w:r>
    </w:p>
    <w:p w14:paraId="614570B2">
      <w:pPr>
        <w:pStyle w:val="2"/>
        <w:spacing w:before="77" w:line="219" w:lineRule="auto"/>
        <w:ind w:left="780"/>
        <w:rPr>
          <w:sz w:val="20"/>
          <w:szCs w:val="20"/>
        </w:rPr>
      </w:pPr>
      <w:r>
        <w:rPr>
          <w:spacing w:val="1"/>
          <w:sz w:val="20"/>
          <w:szCs w:val="20"/>
        </w:rPr>
        <w:t>●及时对需要保护的产品的名称进行商标注册。</w:t>
      </w:r>
    </w:p>
    <w:p w14:paraId="11140FDC">
      <w:pPr>
        <w:pStyle w:val="2"/>
        <w:spacing w:before="82" w:line="286" w:lineRule="auto"/>
        <w:ind w:left="380" w:right="54" w:firstLine="399"/>
        <w:jc w:val="both"/>
        <w:rPr>
          <w:sz w:val="20"/>
          <w:szCs w:val="20"/>
        </w:rPr>
      </w:pPr>
      <w:r>
        <w:rPr>
          <w:spacing w:val="3"/>
          <w:sz w:val="20"/>
          <w:szCs w:val="20"/>
        </w:rPr>
        <w:t>对于具有独创性的集成电路布图设计，即该布图设计是创作者自己的智力劳动成果，并且</w:t>
      </w:r>
      <w:r>
        <w:rPr>
          <w:spacing w:val="11"/>
          <w:sz w:val="20"/>
          <w:szCs w:val="20"/>
        </w:rPr>
        <w:t xml:space="preserve"> </w:t>
      </w:r>
      <w:r>
        <w:rPr>
          <w:spacing w:val="3"/>
          <w:sz w:val="20"/>
          <w:szCs w:val="20"/>
        </w:rPr>
        <w:t>在其创作时该布图设计在布图设计创作者和集成电路制造者中不是公认的常规设计，应建议相</w:t>
      </w:r>
      <w:r>
        <w:rPr>
          <w:spacing w:val="12"/>
          <w:sz w:val="20"/>
          <w:szCs w:val="20"/>
        </w:rPr>
        <w:t xml:space="preserve"> </w:t>
      </w:r>
      <w:r>
        <w:rPr>
          <w:spacing w:val="-2"/>
          <w:sz w:val="20"/>
          <w:szCs w:val="20"/>
        </w:rPr>
        <w:t>关方及时进行集成电路布图设计登记，以保护相关权益。</w:t>
      </w:r>
    </w:p>
    <w:p w14:paraId="6372D93B">
      <w:pPr>
        <w:spacing w:before="98" w:line="224" w:lineRule="auto"/>
        <w:ind w:left="780"/>
        <w:rPr>
          <w:rFonts w:ascii="楷体" w:hAnsi="楷体" w:eastAsia="楷体" w:cs="楷体"/>
          <w:sz w:val="20"/>
          <w:szCs w:val="20"/>
        </w:rPr>
      </w:pPr>
      <w:r>
        <w:rPr>
          <w:rFonts w:ascii="楷体" w:hAnsi="楷体" w:eastAsia="楷体" w:cs="楷体"/>
          <w:spacing w:val="15"/>
          <w:sz w:val="20"/>
          <w:szCs w:val="20"/>
        </w:rPr>
        <w:t>3)商业秘密保护</w:t>
      </w:r>
    </w:p>
    <w:p w14:paraId="44703338">
      <w:pPr>
        <w:pStyle w:val="2"/>
        <w:spacing w:before="79" w:line="219" w:lineRule="auto"/>
        <w:ind w:left="780"/>
        <w:rPr>
          <w:sz w:val="20"/>
          <w:szCs w:val="20"/>
        </w:rPr>
      </w:pPr>
      <w:r>
        <w:rPr>
          <w:spacing w:val="-4"/>
          <w:sz w:val="20"/>
          <w:szCs w:val="20"/>
        </w:rPr>
        <w:t>商业秘密保护可以从以下几个方面入手：</w:t>
      </w:r>
    </w:p>
    <w:p w14:paraId="0E93602E">
      <w:pPr>
        <w:pStyle w:val="2"/>
        <w:spacing w:before="73" w:line="219" w:lineRule="auto"/>
        <w:ind w:left="780"/>
        <w:rPr>
          <w:sz w:val="20"/>
          <w:szCs w:val="20"/>
        </w:rPr>
      </w:pPr>
      <w:r>
        <w:rPr>
          <w:spacing w:val="1"/>
          <w:sz w:val="20"/>
          <w:szCs w:val="20"/>
        </w:rPr>
        <w:t>●制定知识产权保护规章制度，对员工进行相关教育宣传。</w:t>
      </w:r>
    </w:p>
    <w:p w14:paraId="192EA210">
      <w:pPr>
        <w:pStyle w:val="2"/>
        <w:spacing w:before="84" w:line="219" w:lineRule="auto"/>
        <w:ind w:left="780"/>
        <w:rPr>
          <w:sz w:val="20"/>
          <w:szCs w:val="20"/>
        </w:rPr>
      </w:pPr>
      <w:r>
        <w:rPr>
          <w:spacing w:val="1"/>
          <w:sz w:val="20"/>
          <w:szCs w:val="20"/>
        </w:rPr>
        <w:t>●与员工签订知识产权保护、商业秘密保护协议，约定违约赔偿金。</w:t>
      </w:r>
    </w:p>
    <w:p w14:paraId="5918C345">
      <w:pPr>
        <w:pStyle w:val="2"/>
        <w:spacing w:before="80" w:line="288" w:lineRule="auto"/>
        <w:ind w:left="1080" w:right="51" w:hanging="300"/>
        <w:rPr>
          <w:sz w:val="20"/>
          <w:szCs w:val="20"/>
        </w:rPr>
      </w:pPr>
      <w:r>
        <w:rPr>
          <w:spacing w:val="3"/>
          <w:sz w:val="20"/>
          <w:szCs w:val="20"/>
        </w:rPr>
        <w:t>●对于公司中即将离职的高级管理人员、财务负责人、高级技术人员或容易接触到商业秘</w:t>
      </w:r>
      <w:r>
        <w:rPr>
          <w:spacing w:val="12"/>
          <w:sz w:val="20"/>
          <w:szCs w:val="20"/>
        </w:rPr>
        <w:t xml:space="preserve"> </w:t>
      </w:r>
      <w:r>
        <w:rPr>
          <w:spacing w:val="1"/>
          <w:sz w:val="20"/>
          <w:szCs w:val="20"/>
        </w:rPr>
        <w:t>密的其他员工，如市场、销售、项目、产品经理、财税人员、采购等，</w:t>
      </w:r>
      <w:r>
        <w:rPr>
          <w:sz w:val="20"/>
          <w:szCs w:val="20"/>
        </w:rPr>
        <w:t xml:space="preserve">建议在离职前商 </w:t>
      </w:r>
      <w:r>
        <w:rPr>
          <w:spacing w:val="3"/>
          <w:sz w:val="20"/>
          <w:szCs w:val="20"/>
        </w:rPr>
        <w:t>讨签订《竞业协议》,以要求该员工在离职后的一定期限内，不得在生产同类产品、经</w:t>
      </w:r>
      <w:r>
        <w:rPr>
          <w:spacing w:val="13"/>
          <w:sz w:val="20"/>
          <w:szCs w:val="20"/>
        </w:rPr>
        <w:t xml:space="preserve"> </w:t>
      </w:r>
      <w:r>
        <w:rPr>
          <w:spacing w:val="1"/>
          <w:sz w:val="20"/>
          <w:szCs w:val="20"/>
        </w:rPr>
        <w:t>营同类业务或有其他竞争关系的用人单位内任职，也不得自己生产与原单位有竞争关系</w:t>
      </w:r>
      <w:r>
        <w:rPr>
          <w:sz w:val="20"/>
          <w:szCs w:val="20"/>
        </w:rPr>
        <w:t xml:space="preserve"> </w:t>
      </w:r>
      <w:r>
        <w:rPr>
          <w:spacing w:val="-4"/>
          <w:sz w:val="20"/>
          <w:szCs w:val="20"/>
        </w:rPr>
        <w:t>的同类产品或经营同类业务。</w:t>
      </w:r>
    </w:p>
    <w:p w14:paraId="4D9895C4">
      <w:pPr>
        <w:pStyle w:val="2"/>
        <w:spacing w:before="63" w:line="276" w:lineRule="auto"/>
        <w:ind w:left="1080" w:right="61" w:hanging="300"/>
        <w:rPr>
          <w:sz w:val="20"/>
          <w:szCs w:val="20"/>
        </w:rPr>
      </w:pPr>
      <w:r>
        <w:rPr>
          <w:spacing w:val="7"/>
          <w:sz w:val="20"/>
          <w:szCs w:val="20"/>
        </w:rPr>
        <w:t>●需要特别注意的是，为了信息系统工程建设的需要，由业主单位提供给承建单位的资</w:t>
      </w:r>
      <w:r>
        <w:rPr>
          <w:spacing w:val="18"/>
          <w:sz w:val="20"/>
          <w:szCs w:val="20"/>
        </w:rPr>
        <w:t xml:space="preserve"> </w:t>
      </w:r>
      <w:r>
        <w:rPr>
          <w:spacing w:val="1"/>
          <w:sz w:val="20"/>
          <w:szCs w:val="20"/>
        </w:rPr>
        <w:t>料，例如招标文件、图纸、进度要求等，也可能有与承建单位</w:t>
      </w:r>
      <w:r>
        <w:rPr>
          <w:sz w:val="20"/>
          <w:szCs w:val="20"/>
        </w:rPr>
        <w:t xml:space="preserve">相关的保密约定，需要提 </w:t>
      </w:r>
      <w:r>
        <w:rPr>
          <w:spacing w:val="-4"/>
          <w:sz w:val="20"/>
          <w:szCs w:val="20"/>
        </w:rPr>
        <w:t>醒承建单位注意遵守。</w:t>
      </w:r>
    </w:p>
    <w:p w14:paraId="51611E76">
      <w:pPr>
        <w:spacing w:before="137" w:line="223" w:lineRule="auto"/>
        <w:ind w:left="780"/>
        <w:rPr>
          <w:rFonts w:ascii="楷体" w:hAnsi="楷体" w:eastAsia="楷体" w:cs="楷体"/>
          <w:sz w:val="20"/>
          <w:szCs w:val="20"/>
        </w:rPr>
      </w:pPr>
      <w:r>
        <w:rPr>
          <w:rFonts w:ascii="楷体" w:hAnsi="楷体" w:eastAsia="楷体" w:cs="楷体"/>
          <w:spacing w:val="8"/>
          <w:sz w:val="20"/>
          <w:szCs w:val="20"/>
        </w:rPr>
        <w:t>4)防止侵犯他人知识产权</w:t>
      </w:r>
    </w:p>
    <w:p w14:paraId="1E4413F1">
      <w:pPr>
        <w:pStyle w:val="2"/>
        <w:spacing w:before="84" w:line="268" w:lineRule="auto"/>
        <w:ind w:left="380" w:right="62" w:firstLine="399"/>
        <w:jc w:val="both"/>
        <w:rPr>
          <w:sz w:val="20"/>
          <w:szCs w:val="20"/>
        </w:rPr>
      </w:pPr>
      <w:r>
        <w:rPr>
          <w:spacing w:val="3"/>
          <w:sz w:val="20"/>
          <w:szCs w:val="20"/>
        </w:rPr>
        <w:t>信息系统工程建设的监理过程中，在建议相关方加强知识产权保护的同时，也要及时提醒</w:t>
      </w:r>
      <w:r>
        <w:rPr>
          <w:spacing w:val="10"/>
          <w:sz w:val="20"/>
          <w:szCs w:val="20"/>
        </w:rPr>
        <w:t xml:space="preserve"> </w:t>
      </w:r>
      <w:r>
        <w:rPr>
          <w:spacing w:val="3"/>
          <w:sz w:val="20"/>
          <w:szCs w:val="20"/>
        </w:rPr>
        <w:t xml:space="preserve">其不得侵犯他人的知识产权。典型的侵犯他人知识产权的案例是使用盗版软件，盗版软件从性 </w:t>
      </w:r>
      <w:r>
        <w:rPr>
          <w:spacing w:val="-1"/>
          <w:sz w:val="20"/>
          <w:szCs w:val="20"/>
        </w:rPr>
        <w:t>质上看是对他人智力劳动成果的掠夺，是对知识产权制</w:t>
      </w:r>
      <w:r>
        <w:rPr>
          <w:spacing w:val="-2"/>
          <w:sz w:val="20"/>
          <w:szCs w:val="20"/>
        </w:rPr>
        <w:t>度的公然破坏。</w:t>
      </w:r>
    </w:p>
    <w:p w14:paraId="0957BB3D">
      <w:pPr>
        <w:pStyle w:val="2"/>
        <w:spacing w:before="36" w:line="278" w:lineRule="auto"/>
        <w:ind w:left="380" w:firstLine="399"/>
        <w:jc w:val="both"/>
        <w:rPr>
          <w:sz w:val="20"/>
          <w:szCs w:val="20"/>
        </w:rPr>
      </w:pPr>
      <w:r>
        <w:rPr>
          <w:spacing w:val="5"/>
          <w:sz w:val="20"/>
          <w:szCs w:val="20"/>
        </w:rPr>
        <w:t>从经济学的角度看，这种掠夺和破坏违背了市场公平竞争的原则，扰乱了市</w:t>
      </w:r>
      <w:r>
        <w:rPr>
          <w:spacing w:val="4"/>
          <w:sz w:val="20"/>
          <w:szCs w:val="20"/>
        </w:rPr>
        <w:t>场经济秩序。</w:t>
      </w:r>
      <w:r>
        <w:rPr>
          <w:sz w:val="20"/>
          <w:szCs w:val="20"/>
        </w:rPr>
        <w:t xml:space="preserve"> </w:t>
      </w:r>
      <w:r>
        <w:rPr>
          <w:spacing w:val="3"/>
          <w:sz w:val="20"/>
          <w:szCs w:val="20"/>
        </w:rPr>
        <w:t>要使承建单位认识到，自己不应使用盗版软件进行信息系统工程应用软件的开发，也不应在信</w:t>
      </w:r>
      <w:r>
        <w:rPr>
          <w:spacing w:val="9"/>
          <w:sz w:val="20"/>
          <w:szCs w:val="20"/>
        </w:rPr>
        <w:t xml:space="preserve"> </w:t>
      </w:r>
      <w:r>
        <w:rPr>
          <w:spacing w:val="-1"/>
          <w:sz w:val="20"/>
          <w:szCs w:val="20"/>
        </w:rPr>
        <w:t>息系统工程实施中使用盗版软件。同时也要注意避免侵犯他人专利、</w:t>
      </w:r>
      <w:r>
        <w:rPr>
          <w:spacing w:val="-2"/>
          <w:sz w:val="20"/>
          <w:szCs w:val="20"/>
        </w:rPr>
        <w:t>商标等知识产权。</w:t>
      </w:r>
    </w:p>
    <w:p w14:paraId="62B07A88">
      <w:pPr>
        <w:spacing w:line="278" w:lineRule="auto"/>
        <w:rPr>
          <w:sz w:val="20"/>
          <w:szCs w:val="20"/>
        </w:rPr>
        <w:sectPr>
          <w:pgSz w:w="10300" w:h="13400"/>
          <w:pgMar w:top="400" w:right="1049" w:bottom="400" w:left="479" w:header="0" w:footer="0" w:gutter="0"/>
          <w:cols w:space="720" w:num="1"/>
        </w:sectPr>
      </w:pPr>
    </w:p>
    <w:p w14:paraId="28C6E2B8">
      <w:pPr>
        <w:pStyle w:val="2"/>
        <w:jc w:val="right"/>
        <w:rPr>
          <w:rFonts w:ascii="Times New Roman" w:hAnsi="Times New Roman" w:eastAsia="Times New Roman" w:cs="Times New Roman"/>
          <w:sz w:val="26"/>
          <w:szCs w:val="26"/>
        </w:rPr>
      </w:pPr>
      <w:r>
        <w:rPr>
          <w:spacing w:val="-2"/>
          <w:position w:val="1"/>
          <w:sz w:val="20"/>
          <w:szCs w:val="20"/>
        </w:rPr>
        <w:t>第13章 合同管理</w:t>
      </w:r>
      <w:r>
        <w:rPr>
          <w:spacing w:val="13"/>
          <w:position w:val="1"/>
          <w:sz w:val="20"/>
          <w:szCs w:val="20"/>
        </w:rPr>
        <w:t xml:space="preserve"> </w:t>
      </w:r>
      <w:r>
        <w:rPr>
          <w:position w:val="-8"/>
          <w:sz w:val="20"/>
          <w:szCs w:val="20"/>
        </w:rPr>
        <w:drawing>
          <wp:inline distT="0" distB="0" distL="0" distR="0">
            <wp:extent cx="317500" cy="24066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205"/>
                    <a:stretch>
                      <a:fillRect/>
                    </a:stretch>
                  </pic:blipFill>
                  <pic:spPr>
                    <a:xfrm>
                      <a:off x="0" y="0"/>
                      <a:ext cx="317512" cy="241288"/>
                    </a:xfrm>
                    <a:prstGeom prst="rect">
                      <a:avLst/>
                    </a:prstGeom>
                  </pic:spPr>
                </pic:pic>
              </a:graphicData>
            </a:graphic>
          </wp:inline>
        </w:drawing>
      </w:r>
      <w:r>
        <w:rPr>
          <w:rFonts w:ascii="Times New Roman" w:hAnsi="Times New Roman" w:eastAsia="Times New Roman" w:cs="Times New Roman"/>
          <w:spacing w:val="-2"/>
          <w:position w:val="-5"/>
          <w:sz w:val="26"/>
          <w:szCs w:val="26"/>
        </w:rPr>
        <w:t>329</w:t>
      </w:r>
    </w:p>
    <w:p w14:paraId="4FC41A4B">
      <w:pPr>
        <w:pStyle w:val="2"/>
        <w:spacing w:before="297" w:line="222" w:lineRule="auto"/>
        <w:ind w:left="382"/>
        <w:rPr>
          <w:rFonts w:ascii="黑体" w:hAnsi="黑体" w:eastAsia="黑体" w:cs="黑体"/>
          <w:sz w:val="20"/>
          <w:szCs w:val="20"/>
        </w:rPr>
      </w:pPr>
      <w:bookmarkStart w:id="658" w:name="bookmark643"/>
      <w:bookmarkEnd w:id="658"/>
      <w:r>
        <w:rPr>
          <w:b/>
          <w:bCs/>
          <w:color w:val="006DCD"/>
          <w:spacing w:val="-2"/>
          <w:sz w:val="20"/>
          <w:szCs w:val="20"/>
        </w:rPr>
        <w:t>4.</w:t>
      </w:r>
      <w:r>
        <w:rPr>
          <w:rFonts w:ascii="黑体" w:hAnsi="黑体" w:eastAsia="黑体" w:cs="黑体"/>
          <w:b/>
          <w:bCs/>
          <w:color w:val="006DCD"/>
          <w:spacing w:val="-2"/>
          <w:sz w:val="20"/>
          <w:szCs w:val="20"/>
        </w:rPr>
        <w:t>实施知识产权保护的监理措施</w:t>
      </w:r>
    </w:p>
    <w:p w14:paraId="7D24FD9D">
      <w:pPr>
        <w:spacing w:before="229" w:line="224" w:lineRule="auto"/>
        <w:ind w:left="380"/>
        <w:rPr>
          <w:rFonts w:ascii="楷体" w:hAnsi="楷体" w:eastAsia="楷体" w:cs="楷体"/>
          <w:sz w:val="20"/>
          <w:szCs w:val="20"/>
        </w:rPr>
      </w:pPr>
      <w:r>
        <w:rPr>
          <w:rFonts w:ascii="楷体" w:hAnsi="楷体" w:eastAsia="楷体" w:cs="楷体"/>
          <w:spacing w:val="16"/>
          <w:sz w:val="20"/>
          <w:szCs w:val="20"/>
        </w:rPr>
        <w:t>1)政策措施</w:t>
      </w:r>
    </w:p>
    <w:p w14:paraId="1BB84913">
      <w:pPr>
        <w:pStyle w:val="2"/>
        <w:spacing w:before="67" w:line="292" w:lineRule="auto"/>
        <w:ind w:right="360" w:firstLine="380"/>
        <w:rPr>
          <w:sz w:val="20"/>
          <w:szCs w:val="20"/>
        </w:rPr>
      </w:pPr>
      <w:r>
        <w:rPr>
          <w:spacing w:val="9"/>
          <w:sz w:val="20"/>
          <w:szCs w:val="20"/>
        </w:rPr>
        <w:t>2021年9月，党中央、国务院印发《知识产权强国建设纲要(2021-2035年)》,对知识产</w:t>
      </w:r>
      <w:r>
        <w:rPr>
          <w:spacing w:val="7"/>
          <w:sz w:val="20"/>
          <w:szCs w:val="20"/>
        </w:rPr>
        <w:t xml:space="preserve"> </w:t>
      </w:r>
      <w:r>
        <w:rPr>
          <w:spacing w:val="2"/>
          <w:sz w:val="20"/>
          <w:szCs w:val="20"/>
        </w:rPr>
        <w:t>权强国建设作出全面部署。其中提到建设激励创新发展的知识产权市场运行机制，完善以企业</w:t>
      </w:r>
      <w:r>
        <w:rPr>
          <w:spacing w:val="13"/>
          <w:sz w:val="20"/>
          <w:szCs w:val="20"/>
        </w:rPr>
        <w:t xml:space="preserve"> </w:t>
      </w:r>
      <w:r>
        <w:rPr>
          <w:spacing w:val="3"/>
          <w:sz w:val="20"/>
          <w:szCs w:val="20"/>
        </w:rPr>
        <w:t>为主体、市场为导向的高质量创造机制。以质量和价值为标准，改革完善知识</w:t>
      </w:r>
      <w:r>
        <w:rPr>
          <w:spacing w:val="2"/>
          <w:sz w:val="20"/>
          <w:szCs w:val="20"/>
        </w:rPr>
        <w:t>产权考核评价机</w:t>
      </w:r>
      <w:r>
        <w:rPr>
          <w:sz w:val="20"/>
          <w:szCs w:val="20"/>
        </w:rPr>
        <w:t xml:space="preserve"> </w:t>
      </w:r>
      <w:r>
        <w:rPr>
          <w:spacing w:val="3"/>
          <w:sz w:val="20"/>
          <w:szCs w:val="20"/>
        </w:rPr>
        <w:t>制。引导市场主体发挥专利、商标、版权等多种类型知识产权组合效应，培育一批知</w:t>
      </w:r>
      <w:r>
        <w:rPr>
          <w:spacing w:val="2"/>
          <w:sz w:val="20"/>
          <w:szCs w:val="20"/>
        </w:rPr>
        <w:t>识产权竞</w:t>
      </w:r>
      <w:r>
        <w:rPr>
          <w:sz w:val="20"/>
          <w:szCs w:val="20"/>
        </w:rPr>
        <w:t xml:space="preserve"> </w:t>
      </w:r>
      <w:r>
        <w:rPr>
          <w:spacing w:val="3"/>
          <w:sz w:val="20"/>
          <w:szCs w:val="20"/>
        </w:rPr>
        <w:t>争力强的世界一流企业。深化实施中小企业知识产</w:t>
      </w:r>
      <w:r>
        <w:rPr>
          <w:spacing w:val="2"/>
          <w:sz w:val="20"/>
          <w:szCs w:val="20"/>
        </w:rPr>
        <w:t>权战略推进工程。优化国家科技计划项目的</w:t>
      </w:r>
      <w:r>
        <w:rPr>
          <w:sz w:val="20"/>
          <w:szCs w:val="20"/>
        </w:rPr>
        <w:t xml:space="preserve"> </w:t>
      </w:r>
      <w:r>
        <w:rPr>
          <w:spacing w:val="3"/>
          <w:sz w:val="20"/>
          <w:szCs w:val="20"/>
        </w:rPr>
        <w:t>知识产权管理。因此，监理单位应建议业主单位和承建单位响应国家的专利战</w:t>
      </w:r>
      <w:r>
        <w:rPr>
          <w:spacing w:val="2"/>
          <w:sz w:val="20"/>
          <w:szCs w:val="20"/>
        </w:rPr>
        <w:t>略，把知识产权</w:t>
      </w:r>
      <w:r>
        <w:rPr>
          <w:sz w:val="20"/>
          <w:szCs w:val="20"/>
        </w:rPr>
        <w:t xml:space="preserve"> </w:t>
      </w:r>
      <w:r>
        <w:rPr>
          <w:spacing w:val="-1"/>
          <w:sz w:val="20"/>
          <w:szCs w:val="20"/>
        </w:rPr>
        <w:t>管理动态地纳入科技计划实施全过程，并根据计划实施各环节的不同特点分别提出相应要求。</w:t>
      </w:r>
    </w:p>
    <w:p w14:paraId="15209D0C">
      <w:pPr>
        <w:pStyle w:val="2"/>
        <w:spacing w:before="10" w:line="279" w:lineRule="auto"/>
        <w:ind w:right="361" w:firstLine="380"/>
        <w:rPr>
          <w:sz w:val="20"/>
          <w:szCs w:val="20"/>
        </w:rPr>
      </w:pPr>
      <w:r>
        <w:rPr>
          <w:spacing w:val="3"/>
          <w:sz w:val="20"/>
          <w:szCs w:val="20"/>
        </w:rPr>
        <w:t>在计划项目指南编制和申请立项过程中，计划管理部门和申请者对国内外知识产权状况应</w:t>
      </w:r>
      <w:r>
        <w:rPr>
          <w:sz w:val="20"/>
          <w:szCs w:val="20"/>
        </w:rPr>
        <w:t xml:space="preserve"> </w:t>
      </w:r>
      <w:r>
        <w:rPr>
          <w:spacing w:val="3"/>
          <w:sz w:val="20"/>
          <w:szCs w:val="20"/>
        </w:rPr>
        <w:t>当进行调查分析，作为确定研究开发路线和知识产权</w:t>
      </w:r>
      <w:r>
        <w:rPr>
          <w:spacing w:val="2"/>
          <w:sz w:val="20"/>
          <w:szCs w:val="20"/>
        </w:rPr>
        <w:t>工作重点的依据，避免研究开发盲目性和</w:t>
      </w:r>
      <w:r>
        <w:rPr>
          <w:sz w:val="20"/>
          <w:szCs w:val="20"/>
        </w:rPr>
        <w:t xml:space="preserve"> </w:t>
      </w:r>
      <w:r>
        <w:rPr>
          <w:spacing w:val="3"/>
          <w:sz w:val="20"/>
          <w:szCs w:val="20"/>
        </w:rPr>
        <w:t>低水平重复。项目申请单位应当在项目建议书中写明项目拟达到的知识产权目标</w:t>
      </w:r>
      <w:r>
        <w:rPr>
          <w:spacing w:val="2"/>
          <w:sz w:val="20"/>
          <w:szCs w:val="20"/>
        </w:rPr>
        <w:t>，包括通过研</w:t>
      </w:r>
      <w:r>
        <w:rPr>
          <w:sz w:val="20"/>
          <w:szCs w:val="20"/>
        </w:rPr>
        <w:t xml:space="preserve"> </w:t>
      </w:r>
      <w:r>
        <w:rPr>
          <w:spacing w:val="-2"/>
          <w:sz w:val="20"/>
          <w:szCs w:val="20"/>
        </w:rPr>
        <w:t>究开发所能获取的知识产权的类型、数量及其获得的阶段。</w:t>
      </w:r>
    </w:p>
    <w:p w14:paraId="4545B6EC">
      <w:pPr>
        <w:pStyle w:val="2"/>
        <w:spacing w:before="59" w:line="219" w:lineRule="auto"/>
        <w:ind w:left="380"/>
        <w:rPr>
          <w:sz w:val="20"/>
          <w:szCs w:val="20"/>
        </w:rPr>
      </w:pPr>
      <w:r>
        <w:rPr>
          <w:spacing w:val="-3"/>
          <w:sz w:val="20"/>
          <w:szCs w:val="20"/>
        </w:rPr>
        <w:t>在项目执行过程中，要做好以下几个方面的工作：</w:t>
      </w:r>
    </w:p>
    <w:p w14:paraId="0A0C4AEE">
      <w:pPr>
        <w:pStyle w:val="2"/>
        <w:spacing w:before="74" w:line="219" w:lineRule="auto"/>
        <w:ind w:left="380"/>
        <w:rPr>
          <w:sz w:val="20"/>
          <w:szCs w:val="20"/>
        </w:rPr>
      </w:pPr>
      <w:r>
        <w:rPr>
          <w:spacing w:val="1"/>
          <w:sz w:val="20"/>
          <w:szCs w:val="20"/>
        </w:rPr>
        <w:t>●指定专人负责项目的知识产权工作。</w:t>
      </w:r>
    </w:p>
    <w:p w14:paraId="6366D5AC">
      <w:pPr>
        <w:pStyle w:val="2"/>
        <w:spacing w:before="103" w:line="276" w:lineRule="auto"/>
        <w:ind w:left="669" w:right="378" w:hanging="289"/>
        <w:rPr>
          <w:sz w:val="20"/>
          <w:szCs w:val="20"/>
        </w:rPr>
      </w:pPr>
      <w:r>
        <w:rPr>
          <w:spacing w:val="3"/>
          <w:sz w:val="20"/>
          <w:szCs w:val="20"/>
        </w:rPr>
        <w:t>●对项目执行中形成的资料、数据的保管和使用，对专利申请、植物新品种登记、软件登</w:t>
      </w:r>
      <w:r>
        <w:rPr>
          <w:spacing w:val="2"/>
          <w:sz w:val="20"/>
          <w:szCs w:val="20"/>
        </w:rPr>
        <w:t xml:space="preserve"> </w:t>
      </w:r>
      <w:r>
        <w:rPr>
          <w:spacing w:val="1"/>
          <w:sz w:val="20"/>
          <w:szCs w:val="20"/>
        </w:rPr>
        <w:t>记等保护手续的履行等，要做出明确规定，使项目实施各阶段所产生</w:t>
      </w:r>
      <w:r>
        <w:rPr>
          <w:sz w:val="20"/>
          <w:szCs w:val="20"/>
        </w:rPr>
        <w:t xml:space="preserve">的各种形式的成果 </w:t>
      </w:r>
      <w:r>
        <w:rPr>
          <w:spacing w:val="1"/>
          <w:sz w:val="20"/>
          <w:szCs w:val="20"/>
        </w:rPr>
        <w:t>能够及时、准确、有效地得到保护。对可能形成专利的科研项目</w:t>
      </w:r>
      <w:r>
        <w:rPr>
          <w:sz w:val="20"/>
          <w:szCs w:val="20"/>
        </w:rPr>
        <w:t xml:space="preserve">，要建立论文发表登记 </w:t>
      </w:r>
      <w:r>
        <w:rPr>
          <w:spacing w:val="-2"/>
          <w:sz w:val="20"/>
          <w:szCs w:val="20"/>
        </w:rPr>
        <w:t>审查制度，以保证科研成果能够符合专利新颖性审查。</w:t>
      </w:r>
    </w:p>
    <w:p w14:paraId="44149E5C">
      <w:pPr>
        <w:pStyle w:val="2"/>
        <w:spacing w:before="74" w:line="273" w:lineRule="auto"/>
        <w:ind w:left="669" w:right="377" w:hanging="289"/>
        <w:rPr>
          <w:sz w:val="20"/>
          <w:szCs w:val="20"/>
        </w:rPr>
      </w:pPr>
      <w:r>
        <w:rPr>
          <w:spacing w:val="3"/>
          <w:sz w:val="20"/>
          <w:szCs w:val="20"/>
        </w:rPr>
        <w:t>●要求承建单位处理好项目执行中涉及的其他成果的关系，确保计划项目成果的知识产权</w:t>
      </w:r>
      <w:r>
        <w:rPr>
          <w:sz w:val="20"/>
          <w:szCs w:val="20"/>
        </w:rPr>
        <w:t xml:space="preserve"> </w:t>
      </w:r>
      <w:r>
        <w:rPr>
          <w:spacing w:val="1"/>
          <w:sz w:val="20"/>
          <w:szCs w:val="20"/>
        </w:rPr>
        <w:t>权属清晰。例如，须购入技术的，与技术转让方的权利利益关系；与第</w:t>
      </w:r>
      <w:r>
        <w:rPr>
          <w:sz w:val="20"/>
          <w:szCs w:val="20"/>
        </w:rPr>
        <w:t xml:space="preserve">三方合作或向第 </w:t>
      </w:r>
      <w:r>
        <w:rPr>
          <w:spacing w:val="-2"/>
          <w:sz w:val="20"/>
          <w:szCs w:val="20"/>
        </w:rPr>
        <w:t>三方委托时，与第三方的权利利益关系等。</w:t>
      </w:r>
    </w:p>
    <w:p w14:paraId="61DC2CD7">
      <w:pPr>
        <w:pStyle w:val="2"/>
        <w:spacing w:before="71" w:line="270" w:lineRule="auto"/>
        <w:ind w:left="669" w:right="381" w:hanging="289"/>
        <w:rPr>
          <w:sz w:val="20"/>
          <w:szCs w:val="20"/>
        </w:rPr>
      </w:pPr>
      <w:r>
        <w:rPr>
          <w:spacing w:val="3"/>
          <w:sz w:val="20"/>
          <w:szCs w:val="20"/>
        </w:rPr>
        <w:t>●规定项目承建单位随时跟踪该领域的知识产权动态，例如，发生原拟定的技术目标已被</w:t>
      </w:r>
      <w:r>
        <w:rPr>
          <w:sz w:val="20"/>
          <w:szCs w:val="20"/>
        </w:rPr>
        <w:t xml:space="preserve"> </w:t>
      </w:r>
      <w:r>
        <w:rPr>
          <w:spacing w:val="1"/>
          <w:sz w:val="20"/>
          <w:szCs w:val="20"/>
        </w:rPr>
        <w:t>申请知识产权保护，应当报请计划管理单位及时向科技行政管</w:t>
      </w:r>
      <w:r>
        <w:rPr>
          <w:sz w:val="20"/>
          <w:szCs w:val="20"/>
        </w:rPr>
        <w:t xml:space="preserve">理部门报告，重新调整研 </w:t>
      </w:r>
      <w:r>
        <w:rPr>
          <w:spacing w:val="-7"/>
          <w:sz w:val="20"/>
          <w:szCs w:val="20"/>
        </w:rPr>
        <w:t>究开发方案。</w:t>
      </w:r>
    </w:p>
    <w:p w14:paraId="75CFE741">
      <w:pPr>
        <w:pStyle w:val="2"/>
        <w:spacing w:before="93" w:line="264" w:lineRule="auto"/>
        <w:ind w:left="669" w:right="376" w:hanging="289"/>
        <w:rPr>
          <w:sz w:val="20"/>
          <w:szCs w:val="20"/>
        </w:rPr>
      </w:pPr>
      <w:r>
        <w:rPr>
          <w:spacing w:val="3"/>
          <w:sz w:val="20"/>
          <w:szCs w:val="20"/>
        </w:rPr>
        <w:t>●对参与项目人员应当进行知识产权知识培训，并就项目的知识产权归属、资料数据保管</w:t>
      </w:r>
      <w:r>
        <w:rPr>
          <w:spacing w:val="2"/>
          <w:sz w:val="20"/>
          <w:szCs w:val="20"/>
        </w:rPr>
        <w:t xml:space="preserve"> </w:t>
      </w:r>
      <w:r>
        <w:rPr>
          <w:spacing w:val="1"/>
          <w:sz w:val="20"/>
          <w:szCs w:val="20"/>
        </w:rPr>
        <w:t>与使用、技术秘密的保密义务等签订协议。计划管理部门将对承建单位的</w:t>
      </w:r>
      <w:r>
        <w:rPr>
          <w:sz w:val="20"/>
          <w:szCs w:val="20"/>
        </w:rPr>
        <w:t xml:space="preserve">知识产权工作 </w:t>
      </w:r>
      <w:r>
        <w:rPr>
          <w:spacing w:val="-4"/>
          <w:sz w:val="20"/>
          <w:szCs w:val="20"/>
        </w:rPr>
        <w:t>情况进行监督检查。</w:t>
      </w:r>
    </w:p>
    <w:p w14:paraId="07A6C6FF">
      <w:pPr>
        <w:spacing w:before="171" w:line="227" w:lineRule="auto"/>
        <w:ind w:left="380"/>
        <w:rPr>
          <w:rFonts w:ascii="楷体" w:hAnsi="楷体" w:eastAsia="楷体" w:cs="楷体"/>
          <w:sz w:val="20"/>
          <w:szCs w:val="20"/>
        </w:rPr>
      </w:pPr>
      <w:r>
        <w:rPr>
          <w:rFonts w:ascii="楷体" w:hAnsi="楷体" w:eastAsia="楷体" w:cs="楷体"/>
          <w:spacing w:val="16"/>
          <w:sz w:val="20"/>
          <w:szCs w:val="20"/>
        </w:rPr>
        <w:t>2)技术措施</w:t>
      </w:r>
    </w:p>
    <w:p w14:paraId="19A2BC78">
      <w:pPr>
        <w:pStyle w:val="2"/>
        <w:spacing w:before="48" w:line="279" w:lineRule="auto"/>
        <w:ind w:right="381" w:firstLine="380"/>
        <w:rPr>
          <w:sz w:val="20"/>
          <w:szCs w:val="20"/>
        </w:rPr>
      </w:pPr>
      <w:r>
        <w:rPr>
          <w:spacing w:val="9"/>
          <w:sz w:val="20"/>
          <w:szCs w:val="20"/>
        </w:rPr>
        <w:t>根据</w:t>
      </w:r>
      <w:r>
        <w:rPr>
          <w:rFonts w:ascii="Times New Roman" w:hAnsi="Times New Roman" w:eastAsia="Times New Roman" w:cs="Times New Roman"/>
          <w:sz w:val="20"/>
          <w:szCs w:val="20"/>
        </w:rPr>
        <w:t>GB</w:t>
      </w:r>
      <w:r>
        <w:rPr>
          <w:rFonts w:ascii="Times New Roman" w:hAnsi="Times New Roman" w:eastAsia="Times New Roman" w:cs="Times New Roman"/>
          <w:spacing w:val="9"/>
          <w:sz w:val="20"/>
          <w:szCs w:val="20"/>
        </w:rPr>
        <w:t>/T</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9"/>
          <w:sz w:val="20"/>
          <w:szCs w:val="20"/>
        </w:rPr>
        <w:t>19668.1</w:t>
      </w:r>
      <w:r>
        <w:rPr>
          <w:spacing w:val="9"/>
          <w:sz w:val="20"/>
          <w:szCs w:val="20"/>
        </w:rPr>
        <w:t>《信息技术服务监理第1部分：总则》的要求，在监理运行周期的各</w:t>
      </w:r>
      <w:r>
        <w:rPr>
          <w:sz w:val="20"/>
          <w:szCs w:val="20"/>
        </w:rPr>
        <w:t xml:space="preserve"> </w:t>
      </w:r>
      <w:r>
        <w:rPr>
          <w:spacing w:val="2"/>
          <w:sz w:val="20"/>
          <w:szCs w:val="20"/>
        </w:rPr>
        <w:t>部分，应根据信息系统工程特点，对知识产权进行管理。因此，在项目监理的整个过程中，监</w:t>
      </w:r>
      <w:r>
        <w:rPr>
          <w:spacing w:val="15"/>
          <w:sz w:val="20"/>
          <w:szCs w:val="20"/>
        </w:rPr>
        <w:t xml:space="preserve"> </w:t>
      </w:r>
      <w:r>
        <w:rPr>
          <w:spacing w:val="2"/>
          <w:sz w:val="20"/>
          <w:szCs w:val="20"/>
        </w:rPr>
        <w:t>理单位应当对业主单位和承建单位有关技术方案、软件源代码及有关技术秘密等涉及知识产权</w:t>
      </w:r>
      <w:r>
        <w:rPr>
          <w:spacing w:val="14"/>
          <w:sz w:val="20"/>
          <w:szCs w:val="20"/>
        </w:rPr>
        <w:t xml:space="preserve"> </w:t>
      </w:r>
      <w:r>
        <w:rPr>
          <w:spacing w:val="-3"/>
          <w:sz w:val="20"/>
          <w:szCs w:val="20"/>
        </w:rPr>
        <w:t>的内容进行检查、监督和保护。具体监理措施包括：</w:t>
      </w:r>
    </w:p>
    <w:p w14:paraId="6E7E1B87">
      <w:pPr>
        <w:pStyle w:val="2"/>
        <w:spacing w:before="29" w:line="219" w:lineRule="auto"/>
        <w:ind w:left="380"/>
        <w:rPr>
          <w:sz w:val="20"/>
          <w:szCs w:val="20"/>
        </w:rPr>
      </w:pPr>
      <w:r>
        <w:rPr>
          <w:spacing w:val="2"/>
          <w:sz w:val="20"/>
          <w:szCs w:val="20"/>
        </w:rPr>
        <w:t>●保护业主单位的知识产权权益。</w:t>
      </w:r>
    </w:p>
    <w:p w14:paraId="6333EB74">
      <w:pPr>
        <w:pStyle w:val="2"/>
        <w:spacing w:before="73" w:line="281" w:lineRule="auto"/>
        <w:ind w:right="374" w:firstLine="380"/>
        <w:rPr>
          <w:sz w:val="20"/>
          <w:szCs w:val="20"/>
        </w:rPr>
      </w:pPr>
      <w:r>
        <w:rPr>
          <w:spacing w:val="3"/>
          <w:sz w:val="20"/>
          <w:szCs w:val="20"/>
        </w:rPr>
        <w:t>监理单位应根据信息系统工程建设项目的性质审查承建单位的资质，要求承建单位遵守知</w:t>
      </w:r>
      <w:r>
        <w:rPr>
          <w:spacing w:val="7"/>
          <w:sz w:val="20"/>
          <w:szCs w:val="20"/>
        </w:rPr>
        <w:t xml:space="preserve"> </w:t>
      </w:r>
      <w:r>
        <w:rPr>
          <w:spacing w:val="-1"/>
          <w:sz w:val="20"/>
          <w:szCs w:val="20"/>
        </w:rPr>
        <w:t>识产权保护的相关法律法规，确保在项目实施过程中采用正版软件，坚决不使用盗版软件。</w:t>
      </w:r>
    </w:p>
    <w:p w14:paraId="150E7CCF">
      <w:pPr>
        <w:spacing w:line="281" w:lineRule="auto"/>
        <w:rPr>
          <w:sz w:val="20"/>
          <w:szCs w:val="20"/>
        </w:rPr>
        <w:sectPr>
          <w:pgSz w:w="10280" w:h="13300"/>
          <w:pgMar w:top="400" w:right="509" w:bottom="400" w:left="1089" w:header="0" w:footer="0" w:gutter="0"/>
          <w:cols w:space="720" w:num="1"/>
        </w:sectPr>
      </w:pPr>
    </w:p>
    <w:p w14:paraId="693FF922">
      <w:pPr>
        <w:pStyle w:val="2"/>
        <w:spacing w:before="117" w:line="219" w:lineRule="auto"/>
        <w:rPr>
          <w:sz w:val="19"/>
          <w:szCs w:val="19"/>
        </w:rPr>
      </w:pPr>
      <w:r>
        <w:rPr>
          <w:rFonts w:ascii="Times New Roman" w:hAnsi="Times New Roman" w:eastAsia="Times New Roman" w:cs="Times New Roman"/>
          <w:spacing w:val="4"/>
          <w:sz w:val="19"/>
          <w:szCs w:val="19"/>
        </w:rPr>
        <w:t xml:space="preserve">330              </w:t>
      </w:r>
      <w:r>
        <w:rPr>
          <w:spacing w:val="4"/>
          <w:sz w:val="19"/>
          <w:szCs w:val="19"/>
        </w:rPr>
        <w:t>信息系统监</w:t>
      </w:r>
      <w:r>
        <w:rPr>
          <w:spacing w:val="3"/>
          <w:sz w:val="19"/>
          <w:szCs w:val="19"/>
        </w:rPr>
        <w:t>理师教程(第2版)</w:t>
      </w:r>
    </w:p>
    <w:p w14:paraId="6ED2D016">
      <w:pPr>
        <w:spacing w:line="320" w:lineRule="auto"/>
        <w:rPr>
          <w:rFonts w:ascii="Arial"/>
          <w:sz w:val="21"/>
        </w:rPr>
      </w:pPr>
    </w:p>
    <w:p w14:paraId="64AECF9D">
      <w:pPr>
        <w:pStyle w:val="2"/>
        <w:spacing w:before="61" w:line="307" w:lineRule="auto"/>
        <w:ind w:left="380" w:firstLine="399"/>
        <w:rPr>
          <w:sz w:val="19"/>
          <w:szCs w:val="19"/>
        </w:rPr>
      </w:pPr>
      <w:r>
        <w:rPr>
          <w:spacing w:val="15"/>
          <w:sz w:val="19"/>
          <w:szCs w:val="19"/>
        </w:rPr>
        <w:t>在工程终验前，监理单位应检查所完成的信息系统中，承建单位是否提供了非正版软件。</w:t>
      </w:r>
      <w:r>
        <w:rPr>
          <w:spacing w:val="9"/>
          <w:sz w:val="19"/>
          <w:szCs w:val="19"/>
        </w:rPr>
        <w:t xml:space="preserve"> </w:t>
      </w:r>
      <w:r>
        <w:rPr>
          <w:spacing w:val="8"/>
          <w:sz w:val="19"/>
          <w:szCs w:val="19"/>
        </w:rPr>
        <w:t>如提供了非正版软件，监理单位可出具监理意见并跟踪整改。</w:t>
      </w:r>
    </w:p>
    <w:p w14:paraId="09A45593">
      <w:pPr>
        <w:pStyle w:val="2"/>
        <w:spacing w:before="18" w:line="219" w:lineRule="auto"/>
        <w:ind w:left="780"/>
        <w:rPr>
          <w:sz w:val="19"/>
          <w:szCs w:val="19"/>
        </w:rPr>
      </w:pPr>
      <w:r>
        <w:rPr>
          <w:spacing w:val="12"/>
          <w:sz w:val="19"/>
          <w:szCs w:val="19"/>
        </w:rPr>
        <w:t>●项目文档的知识产权保护控制。</w:t>
      </w:r>
    </w:p>
    <w:p w14:paraId="41893B6F">
      <w:pPr>
        <w:pStyle w:val="2"/>
        <w:spacing w:before="95" w:line="302" w:lineRule="auto"/>
        <w:ind w:left="380" w:right="66" w:firstLine="399"/>
        <w:rPr>
          <w:sz w:val="19"/>
          <w:szCs w:val="19"/>
        </w:rPr>
      </w:pPr>
      <w:r>
        <w:rPr>
          <w:spacing w:val="14"/>
          <w:sz w:val="19"/>
          <w:szCs w:val="19"/>
        </w:rPr>
        <w:t>监理单位协助业主单位在承建合同中明确知识</w:t>
      </w:r>
      <w:r>
        <w:rPr>
          <w:spacing w:val="13"/>
          <w:sz w:val="19"/>
          <w:szCs w:val="19"/>
        </w:rPr>
        <w:t>产权及其相关资源如何所有或共享，建立严</w:t>
      </w:r>
      <w:r>
        <w:rPr>
          <w:sz w:val="19"/>
          <w:szCs w:val="19"/>
        </w:rPr>
        <w:t xml:space="preserve"> </w:t>
      </w:r>
      <w:r>
        <w:rPr>
          <w:spacing w:val="13"/>
          <w:sz w:val="19"/>
          <w:szCs w:val="19"/>
        </w:rPr>
        <w:t>格的项目资料管理制度，从制度上保护项目各方的知识产权。对工程中各方提出保密要求的信</w:t>
      </w:r>
      <w:r>
        <w:rPr>
          <w:sz w:val="19"/>
          <w:szCs w:val="19"/>
        </w:rPr>
        <w:t xml:space="preserve"> </w:t>
      </w:r>
      <w:r>
        <w:rPr>
          <w:spacing w:val="7"/>
          <w:sz w:val="19"/>
          <w:szCs w:val="19"/>
        </w:rPr>
        <w:t>息实施保密，加强知识产权的保护。</w:t>
      </w:r>
    </w:p>
    <w:p w14:paraId="1F974BB9">
      <w:pPr>
        <w:pStyle w:val="2"/>
        <w:spacing w:before="27" w:line="219" w:lineRule="auto"/>
        <w:ind w:left="780"/>
        <w:rPr>
          <w:sz w:val="19"/>
          <w:szCs w:val="19"/>
        </w:rPr>
      </w:pPr>
      <w:r>
        <w:rPr>
          <w:spacing w:val="12"/>
          <w:sz w:val="19"/>
          <w:szCs w:val="19"/>
        </w:rPr>
        <w:t>●外购软件的知识产权保护控制。</w:t>
      </w:r>
    </w:p>
    <w:p w14:paraId="2822891A">
      <w:pPr>
        <w:pStyle w:val="2"/>
        <w:spacing w:before="115" w:line="302" w:lineRule="auto"/>
        <w:ind w:left="380" w:right="64" w:firstLine="399"/>
        <w:rPr>
          <w:sz w:val="19"/>
          <w:szCs w:val="19"/>
        </w:rPr>
      </w:pPr>
      <w:r>
        <w:rPr>
          <w:spacing w:val="13"/>
          <w:sz w:val="19"/>
          <w:szCs w:val="19"/>
        </w:rPr>
        <w:t>监理单位要在外购软件订单之前，对采购软件的用户数、许可证书数和软件升级年限做好</w:t>
      </w:r>
      <w:r>
        <w:rPr>
          <w:sz w:val="19"/>
          <w:szCs w:val="19"/>
        </w:rPr>
        <w:t xml:space="preserve"> </w:t>
      </w:r>
      <w:r>
        <w:rPr>
          <w:spacing w:val="13"/>
          <w:sz w:val="19"/>
          <w:szCs w:val="19"/>
        </w:rPr>
        <w:t>事前检查，维护项目各方的权利。与此同时，监理单位要检查非自主产权软件的使用权合法文</w:t>
      </w:r>
      <w:r>
        <w:rPr>
          <w:spacing w:val="16"/>
          <w:sz w:val="19"/>
          <w:szCs w:val="19"/>
        </w:rPr>
        <w:t xml:space="preserve"> </w:t>
      </w:r>
      <w:r>
        <w:rPr>
          <w:spacing w:val="4"/>
          <w:sz w:val="19"/>
          <w:szCs w:val="19"/>
        </w:rPr>
        <w:t>件和证明。</w:t>
      </w:r>
    </w:p>
    <w:p w14:paraId="090EAE17">
      <w:pPr>
        <w:pStyle w:val="2"/>
        <w:spacing w:before="28" w:line="219" w:lineRule="auto"/>
        <w:ind w:left="780"/>
        <w:rPr>
          <w:sz w:val="19"/>
          <w:szCs w:val="19"/>
        </w:rPr>
      </w:pPr>
      <w:r>
        <w:rPr>
          <w:spacing w:val="12"/>
          <w:sz w:val="19"/>
          <w:szCs w:val="19"/>
        </w:rPr>
        <w:t>●待开发软件的知识产权保护控制。</w:t>
      </w:r>
    </w:p>
    <w:p w14:paraId="13E993E0">
      <w:pPr>
        <w:pStyle w:val="2"/>
        <w:spacing w:before="74" w:line="317" w:lineRule="auto"/>
        <w:ind w:left="380" w:right="80" w:firstLine="399"/>
        <w:rPr>
          <w:sz w:val="19"/>
          <w:szCs w:val="19"/>
        </w:rPr>
      </w:pPr>
      <w:r>
        <w:rPr>
          <w:spacing w:val="13"/>
          <w:sz w:val="19"/>
          <w:szCs w:val="19"/>
        </w:rPr>
        <w:t>监理单位要及时提醒业主单位在承建合同中明确规定知识产权归属，避免产生不必要的知</w:t>
      </w:r>
      <w:r>
        <w:rPr>
          <w:spacing w:val="6"/>
          <w:sz w:val="19"/>
          <w:szCs w:val="19"/>
        </w:rPr>
        <w:t xml:space="preserve"> </w:t>
      </w:r>
      <w:r>
        <w:rPr>
          <w:spacing w:val="2"/>
          <w:sz w:val="19"/>
          <w:szCs w:val="19"/>
        </w:rPr>
        <w:t>识产权纠纷。</w:t>
      </w:r>
    </w:p>
    <w:p w14:paraId="5759AAF6">
      <w:pPr>
        <w:spacing w:line="317" w:lineRule="auto"/>
        <w:rPr>
          <w:sz w:val="19"/>
          <w:szCs w:val="19"/>
        </w:rPr>
        <w:sectPr>
          <w:pgSz w:w="10300" w:h="13410"/>
          <w:pgMar w:top="400" w:right="1014" w:bottom="400" w:left="499" w:header="0" w:footer="0" w:gutter="0"/>
          <w:cols w:space="720" w:num="1"/>
        </w:sectPr>
      </w:pPr>
    </w:p>
    <w:p w14:paraId="755438FB">
      <w:pPr>
        <w:spacing w:line="264" w:lineRule="auto"/>
        <w:rPr>
          <w:rFonts w:ascii="Arial"/>
          <w:sz w:val="21"/>
        </w:rPr>
      </w:pPr>
    </w:p>
    <w:p w14:paraId="50EBF40D">
      <w:pPr>
        <w:spacing w:line="264" w:lineRule="auto"/>
        <w:rPr>
          <w:rFonts w:ascii="Arial"/>
          <w:sz w:val="21"/>
        </w:rPr>
      </w:pPr>
    </w:p>
    <w:p w14:paraId="65A982DB">
      <w:pPr>
        <w:spacing w:line="265" w:lineRule="auto"/>
        <w:rPr>
          <w:rFonts w:ascii="Arial"/>
          <w:sz w:val="21"/>
        </w:rPr>
      </w:pPr>
      <w:r>
        <w:drawing>
          <wp:anchor distT="0" distB="0" distL="0" distR="0" simplePos="0" relativeHeight="251766784" behindDoc="0" locked="0" layoutInCell="1" allowOverlap="1">
            <wp:simplePos x="0" y="0"/>
            <wp:positionH relativeFrom="column">
              <wp:posOffset>4616450</wp:posOffset>
            </wp:positionH>
            <wp:positionV relativeFrom="paragraph">
              <wp:posOffset>207645</wp:posOffset>
            </wp:positionV>
            <wp:extent cx="666750" cy="31750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206"/>
                    <a:stretch>
                      <a:fillRect/>
                    </a:stretch>
                  </pic:blipFill>
                  <pic:spPr>
                    <a:xfrm>
                      <a:off x="0" y="0"/>
                      <a:ext cx="666749" cy="317466"/>
                    </a:xfrm>
                    <a:prstGeom prst="rect">
                      <a:avLst/>
                    </a:prstGeom>
                  </pic:spPr>
                </pic:pic>
              </a:graphicData>
            </a:graphic>
          </wp:anchor>
        </w:drawing>
      </w:r>
    </w:p>
    <w:p w14:paraId="16B3E66D">
      <w:pPr>
        <w:spacing w:before="130" w:line="222" w:lineRule="auto"/>
        <w:ind w:left="2485"/>
        <w:rPr>
          <w:rFonts w:ascii="黑体" w:hAnsi="黑体" w:eastAsia="黑体" w:cs="黑体"/>
          <w:sz w:val="40"/>
          <w:szCs w:val="40"/>
        </w:rPr>
      </w:pPr>
      <w:r>
        <w:rPr>
          <w:rFonts w:ascii="黑体" w:hAnsi="黑体" w:eastAsia="黑体" w:cs="黑体"/>
          <w:b/>
          <w:bCs/>
          <w:color w:val="0069E1"/>
          <w:spacing w:val="16"/>
          <w:sz w:val="40"/>
          <w:szCs w:val="40"/>
        </w:rPr>
        <w:t>第14章</w:t>
      </w:r>
      <w:r>
        <w:rPr>
          <w:rFonts w:ascii="黑体" w:hAnsi="黑体" w:eastAsia="黑体" w:cs="黑体"/>
          <w:color w:val="0069E1"/>
          <w:spacing w:val="7"/>
          <w:sz w:val="40"/>
          <w:szCs w:val="40"/>
        </w:rPr>
        <w:t xml:space="preserve">  </w:t>
      </w:r>
      <w:r>
        <w:rPr>
          <w:rFonts w:ascii="黑体" w:hAnsi="黑体" w:eastAsia="黑体" w:cs="黑体"/>
          <w:b/>
          <w:bCs/>
          <w:color w:val="0069E1"/>
          <w:spacing w:val="16"/>
          <w:sz w:val="40"/>
          <w:szCs w:val="40"/>
        </w:rPr>
        <w:t>信息管理</w:t>
      </w:r>
    </w:p>
    <w:p w14:paraId="1E2DBB3B">
      <w:pPr>
        <w:spacing w:line="349" w:lineRule="auto"/>
        <w:rPr>
          <w:rFonts w:ascii="Arial"/>
          <w:sz w:val="21"/>
        </w:rPr>
      </w:pPr>
    </w:p>
    <w:p w14:paraId="3A772A81">
      <w:pPr>
        <w:spacing w:line="350" w:lineRule="auto"/>
        <w:rPr>
          <w:rFonts w:ascii="Arial"/>
          <w:sz w:val="21"/>
        </w:rPr>
      </w:pPr>
    </w:p>
    <w:p w14:paraId="69EC6DC9">
      <w:pPr>
        <w:pStyle w:val="2"/>
        <w:spacing w:before="65" w:line="282" w:lineRule="auto"/>
        <w:ind w:right="83" w:firstLine="409"/>
        <w:rPr>
          <w:sz w:val="20"/>
          <w:szCs w:val="20"/>
        </w:rPr>
      </w:pPr>
      <w:r>
        <w:rPr>
          <w:spacing w:val="3"/>
          <w:sz w:val="20"/>
          <w:szCs w:val="20"/>
        </w:rPr>
        <w:t>监理工程师在开展监理工作时要不断地预测或发现问题，不断地进行规划、决策、执</w:t>
      </w:r>
      <w:r>
        <w:rPr>
          <w:spacing w:val="2"/>
          <w:sz w:val="20"/>
          <w:szCs w:val="20"/>
        </w:rPr>
        <w:t>行和</w:t>
      </w:r>
      <w:r>
        <w:rPr>
          <w:sz w:val="20"/>
          <w:szCs w:val="20"/>
        </w:rPr>
        <w:t xml:space="preserve"> </w:t>
      </w:r>
      <w:r>
        <w:rPr>
          <w:spacing w:val="-2"/>
          <w:sz w:val="20"/>
          <w:szCs w:val="20"/>
        </w:rPr>
        <w:t>检查，而做好这些工作离不开相应的信息支持。</w:t>
      </w:r>
    </w:p>
    <w:p w14:paraId="27AF5BB8">
      <w:pPr>
        <w:pStyle w:val="2"/>
        <w:spacing w:before="17" w:line="268" w:lineRule="auto"/>
        <w:ind w:right="88" w:firstLine="409"/>
        <w:jc w:val="both"/>
        <w:rPr>
          <w:sz w:val="20"/>
          <w:szCs w:val="20"/>
        </w:rPr>
      </w:pPr>
      <w:r>
        <w:rPr>
          <w:spacing w:val="3"/>
          <w:sz w:val="20"/>
          <w:szCs w:val="20"/>
        </w:rPr>
        <w:t>信息管理是信息系统工程监理工作中的重要监理内容，监理单位通</w:t>
      </w:r>
      <w:r>
        <w:rPr>
          <w:spacing w:val="2"/>
          <w:sz w:val="20"/>
          <w:szCs w:val="20"/>
        </w:rPr>
        <w:t>过信息管理，为监理单</w:t>
      </w:r>
      <w:r>
        <w:rPr>
          <w:sz w:val="20"/>
          <w:szCs w:val="20"/>
        </w:rPr>
        <w:t xml:space="preserve"> </w:t>
      </w:r>
      <w:r>
        <w:rPr>
          <w:spacing w:val="3"/>
          <w:sz w:val="20"/>
          <w:szCs w:val="20"/>
        </w:rPr>
        <w:t>位在信息系统工程中进行质量控制、进度控制、投资控制、合同管理、文档资料管理</w:t>
      </w:r>
      <w:r>
        <w:rPr>
          <w:spacing w:val="2"/>
          <w:sz w:val="20"/>
          <w:szCs w:val="20"/>
        </w:rPr>
        <w:t>和组织协</w:t>
      </w:r>
      <w:r>
        <w:rPr>
          <w:sz w:val="20"/>
          <w:szCs w:val="20"/>
        </w:rPr>
        <w:t xml:space="preserve"> </w:t>
      </w:r>
      <w:r>
        <w:rPr>
          <w:spacing w:val="-2"/>
          <w:sz w:val="20"/>
          <w:szCs w:val="20"/>
        </w:rPr>
        <w:t>调提供信息支持。</w:t>
      </w:r>
    </w:p>
    <w:p w14:paraId="19624C49">
      <w:pPr>
        <w:pStyle w:val="2"/>
        <w:spacing w:before="59" w:line="299" w:lineRule="auto"/>
        <w:ind w:right="19" w:firstLine="409"/>
        <w:rPr>
          <w:sz w:val="20"/>
          <w:szCs w:val="20"/>
        </w:rPr>
      </w:pPr>
      <w:r>
        <w:rPr>
          <w:spacing w:val="5"/>
          <w:sz w:val="20"/>
          <w:szCs w:val="20"/>
        </w:rPr>
        <w:t>监理工程师应熟知信息系统工程中信息管理的概念、</w:t>
      </w:r>
      <w:r>
        <w:rPr>
          <w:spacing w:val="4"/>
          <w:sz w:val="20"/>
          <w:szCs w:val="20"/>
        </w:rPr>
        <w:t>信息的分类，参与监理文档的管理，</w:t>
      </w:r>
      <w:r>
        <w:rPr>
          <w:sz w:val="20"/>
          <w:szCs w:val="20"/>
        </w:rPr>
        <w:t xml:space="preserve"> </w:t>
      </w:r>
      <w:r>
        <w:rPr>
          <w:spacing w:val="4"/>
          <w:sz w:val="20"/>
          <w:szCs w:val="20"/>
        </w:rPr>
        <w:t>熟练掌握监理文件(日志、周报、月报、专题报告、总结报告等)的内容、作用和</w:t>
      </w:r>
      <w:r>
        <w:rPr>
          <w:spacing w:val="3"/>
          <w:sz w:val="20"/>
          <w:szCs w:val="20"/>
        </w:rPr>
        <w:t>填写方法。</w:t>
      </w:r>
    </w:p>
    <w:p w14:paraId="0268EA2B">
      <w:pPr>
        <w:spacing w:line="244" w:lineRule="auto"/>
        <w:rPr>
          <w:rFonts w:ascii="Arial"/>
          <w:sz w:val="21"/>
        </w:rPr>
      </w:pPr>
    </w:p>
    <w:p w14:paraId="2BD0312D">
      <w:pPr>
        <w:pStyle w:val="2"/>
        <w:spacing w:before="94" w:line="221" w:lineRule="auto"/>
        <w:ind w:left="3"/>
        <w:rPr>
          <w:rFonts w:ascii="黑体" w:hAnsi="黑体" w:eastAsia="黑体" w:cs="黑体"/>
          <w:sz w:val="29"/>
          <w:szCs w:val="29"/>
        </w:rPr>
      </w:pPr>
      <w:r>
        <w:rPr>
          <w:b/>
          <w:bCs/>
          <w:color w:val="006AD5"/>
          <w:spacing w:val="-17"/>
          <w:sz w:val="29"/>
          <w:szCs w:val="29"/>
        </w:rPr>
        <w:t>14.1</w:t>
      </w:r>
      <w:r>
        <w:rPr>
          <w:color w:val="006AD5"/>
          <w:spacing w:val="27"/>
          <w:sz w:val="29"/>
          <w:szCs w:val="29"/>
        </w:rPr>
        <w:t xml:space="preserve">  </w:t>
      </w:r>
      <w:r>
        <w:rPr>
          <w:rFonts w:ascii="黑体" w:hAnsi="黑体" w:eastAsia="黑体" w:cs="黑体"/>
          <w:b/>
          <w:bCs/>
          <w:color w:val="006AD5"/>
          <w:spacing w:val="-17"/>
          <w:sz w:val="29"/>
          <w:szCs w:val="29"/>
        </w:rPr>
        <w:t>信息系统工程的信息与信息管理</w:t>
      </w:r>
    </w:p>
    <w:p w14:paraId="7965B15B">
      <w:pPr>
        <w:pStyle w:val="2"/>
        <w:spacing w:before="254" w:line="287" w:lineRule="auto"/>
        <w:ind w:right="19" w:firstLine="409"/>
        <w:jc w:val="both"/>
        <w:rPr>
          <w:sz w:val="20"/>
          <w:szCs w:val="20"/>
        </w:rPr>
      </w:pPr>
      <w:r>
        <w:rPr>
          <w:sz w:val="20"/>
          <w:szCs w:val="20"/>
        </w:rPr>
        <w:t>在信息系统工程建设过程中，能及时、准确</w:t>
      </w:r>
      <w:r>
        <w:rPr>
          <w:spacing w:val="-1"/>
          <w:sz w:val="20"/>
          <w:szCs w:val="20"/>
        </w:rPr>
        <w:t>、完善地掌握与信息系统工程有关的大量信息，</w:t>
      </w:r>
      <w:r>
        <w:rPr>
          <w:sz w:val="20"/>
          <w:szCs w:val="20"/>
        </w:rPr>
        <w:t xml:space="preserve"> </w:t>
      </w:r>
      <w:r>
        <w:rPr>
          <w:spacing w:val="3"/>
          <w:sz w:val="20"/>
          <w:szCs w:val="20"/>
        </w:rPr>
        <w:t>处理和管理好各类工程建设信息，是信息系统工程建设项目管理的重要工作内容</w:t>
      </w:r>
      <w:r>
        <w:rPr>
          <w:spacing w:val="2"/>
          <w:sz w:val="20"/>
          <w:szCs w:val="20"/>
        </w:rPr>
        <w:t>，也是监理单</w:t>
      </w:r>
      <w:r>
        <w:rPr>
          <w:sz w:val="20"/>
          <w:szCs w:val="20"/>
        </w:rPr>
        <w:t xml:space="preserve"> </w:t>
      </w:r>
      <w:r>
        <w:rPr>
          <w:spacing w:val="-4"/>
          <w:sz w:val="20"/>
          <w:szCs w:val="20"/>
        </w:rPr>
        <w:t>位的重要监理内容。</w:t>
      </w:r>
    </w:p>
    <w:p w14:paraId="2E755793">
      <w:pPr>
        <w:pStyle w:val="2"/>
        <w:spacing w:before="168" w:line="219" w:lineRule="auto"/>
        <w:ind w:left="2"/>
        <w:rPr>
          <w:sz w:val="25"/>
          <w:szCs w:val="25"/>
        </w:rPr>
      </w:pPr>
      <w:r>
        <w:rPr>
          <w:b/>
          <w:bCs/>
          <w:color w:val="006FDE"/>
          <w:spacing w:val="-18"/>
          <w:sz w:val="25"/>
          <w:szCs w:val="25"/>
        </w:rPr>
        <w:t>14.1.1</w:t>
      </w:r>
      <w:r>
        <w:rPr>
          <w:color w:val="006FDE"/>
          <w:spacing w:val="92"/>
          <w:sz w:val="25"/>
          <w:szCs w:val="25"/>
        </w:rPr>
        <w:t xml:space="preserve"> </w:t>
      </w:r>
      <w:r>
        <w:rPr>
          <w:b/>
          <w:bCs/>
          <w:color w:val="006FDE"/>
          <w:spacing w:val="-18"/>
          <w:sz w:val="25"/>
          <w:szCs w:val="25"/>
        </w:rPr>
        <w:t>信息系统工程中的信息</w:t>
      </w:r>
    </w:p>
    <w:p w14:paraId="6A2191CE">
      <w:pPr>
        <w:pStyle w:val="2"/>
        <w:spacing w:before="185" w:line="276" w:lineRule="auto"/>
        <w:ind w:firstLine="409"/>
        <w:jc w:val="both"/>
        <w:rPr>
          <w:sz w:val="20"/>
          <w:szCs w:val="20"/>
        </w:rPr>
      </w:pPr>
      <w:r>
        <w:rPr>
          <w:spacing w:val="8"/>
          <w:sz w:val="20"/>
          <w:szCs w:val="20"/>
        </w:rPr>
        <w:t>信息系统工程中的信息是对各相关方(例如业主单位、承</w:t>
      </w:r>
      <w:r>
        <w:rPr>
          <w:spacing w:val="7"/>
          <w:sz w:val="20"/>
          <w:szCs w:val="20"/>
        </w:rPr>
        <w:t>建单位、监理单位和供货厂商、</w:t>
      </w:r>
      <w:r>
        <w:rPr>
          <w:sz w:val="20"/>
          <w:szCs w:val="20"/>
        </w:rPr>
        <w:t xml:space="preserve"> </w:t>
      </w:r>
      <w:r>
        <w:rPr>
          <w:spacing w:val="5"/>
          <w:sz w:val="20"/>
          <w:szCs w:val="20"/>
        </w:rPr>
        <w:t xml:space="preserve">招标公司、分包公司等)参与项目建设、项目管理、项目监理提供决策支持的可靠依据，包括  </w:t>
      </w:r>
      <w:r>
        <w:rPr>
          <w:spacing w:val="-1"/>
          <w:sz w:val="20"/>
          <w:szCs w:val="20"/>
        </w:rPr>
        <w:t>项目建议书、可行性研究报告、设计说明书、运维服务协议，以及实</w:t>
      </w:r>
      <w:r>
        <w:rPr>
          <w:spacing w:val="-2"/>
          <w:sz w:val="20"/>
          <w:szCs w:val="20"/>
        </w:rPr>
        <w:t>施标准等。</w:t>
      </w:r>
    </w:p>
    <w:p w14:paraId="2E0F8FE3">
      <w:pPr>
        <w:pStyle w:val="2"/>
        <w:spacing w:before="24" w:line="270" w:lineRule="auto"/>
        <w:ind w:right="88" w:firstLine="409"/>
        <w:jc w:val="both"/>
        <w:rPr>
          <w:sz w:val="20"/>
          <w:szCs w:val="20"/>
        </w:rPr>
      </w:pPr>
      <w:r>
        <w:rPr>
          <w:spacing w:val="3"/>
          <w:sz w:val="20"/>
          <w:szCs w:val="20"/>
        </w:rPr>
        <w:t>信息系统工程中的信息与工程项目的数据及资料等，既相互关联，又有一</w:t>
      </w:r>
      <w:r>
        <w:rPr>
          <w:spacing w:val="2"/>
          <w:sz w:val="20"/>
          <w:szCs w:val="20"/>
        </w:rPr>
        <w:t>定的区别。数据</w:t>
      </w:r>
      <w:r>
        <w:rPr>
          <w:sz w:val="20"/>
          <w:szCs w:val="20"/>
        </w:rPr>
        <w:t xml:space="preserve"> </w:t>
      </w:r>
      <w:r>
        <w:rPr>
          <w:spacing w:val="3"/>
          <w:sz w:val="20"/>
          <w:szCs w:val="20"/>
        </w:rPr>
        <w:t>是反映客观事物特征的描述，例如文字、数值、语言、图表等，是人们用统计方</w:t>
      </w:r>
      <w:r>
        <w:rPr>
          <w:spacing w:val="2"/>
          <w:sz w:val="20"/>
          <w:szCs w:val="20"/>
        </w:rPr>
        <w:t>法经收集而获</w:t>
      </w:r>
      <w:r>
        <w:rPr>
          <w:sz w:val="20"/>
          <w:szCs w:val="20"/>
        </w:rPr>
        <w:t xml:space="preserve"> </w:t>
      </w:r>
      <w:r>
        <w:rPr>
          <w:spacing w:val="3"/>
          <w:sz w:val="20"/>
          <w:szCs w:val="20"/>
        </w:rPr>
        <w:t>得的；信息是人们所收集的数据、资料经加工处理后，对特定事物具有一定的现</w:t>
      </w:r>
      <w:r>
        <w:rPr>
          <w:spacing w:val="2"/>
          <w:sz w:val="20"/>
          <w:szCs w:val="20"/>
        </w:rPr>
        <w:t>实或潜在的价</w:t>
      </w:r>
      <w:r>
        <w:rPr>
          <w:sz w:val="20"/>
          <w:szCs w:val="20"/>
        </w:rPr>
        <w:t xml:space="preserve"> </w:t>
      </w:r>
      <w:r>
        <w:rPr>
          <w:spacing w:val="1"/>
          <w:sz w:val="20"/>
          <w:szCs w:val="20"/>
        </w:rPr>
        <w:t>值，且对人们的决策具有一定支持的载体。表14-1展示了数据与信息的区别。</w:t>
      </w:r>
    </w:p>
    <w:p w14:paraId="1229DB82">
      <w:pPr>
        <w:spacing w:before="125" w:line="222" w:lineRule="auto"/>
        <w:ind w:left="3062"/>
        <w:rPr>
          <w:rFonts w:ascii="黑体" w:hAnsi="黑体" w:eastAsia="黑体" w:cs="黑体"/>
          <w:sz w:val="20"/>
          <w:szCs w:val="20"/>
        </w:rPr>
      </w:pPr>
      <w:r>
        <w:rPr>
          <w:rFonts w:ascii="黑体" w:hAnsi="黑体" w:eastAsia="黑体" w:cs="黑体"/>
          <w:b/>
          <w:bCs/>
          <w:spacing w:val="-14"/>
          <w:sz w:val="20"/>
          <w:szCs w:val="20"/>
        </w:rPr>
        <w:t>表14-1</w:t>
      </w:r>
      <w:r>
        <w:rPr>
          <w:rFonts w:ascii="黑体" w:hAnsi="黑体" w:eastAsia="黑体" w:cs="黑体"/>
          <w:spacing w:val="65"/>
          <w:sz w:val="20"/>
          <w:szCs w:val="20"/>
        </w:rPr>
        <w:t xml:space="preserve"> </w:t>
      </w:r>
      <w:r>
        <w:rPr>
          <w:rFonts w:ascii="黑体" w:hAnsi="黑体" w:eastAsia="黑体" w:cs="黑体"/>
          <w:b/>
          <w:bCs/>
          <w:spacing w:val="-14"/>
          <w:sz w:val="20"/>
          <w:szCs w:val="20"/>
        </w:rPr>
        <w:t>数据与信息的区别</w:t>
      </w:r>
    </w:p>
    <w:p w14:paraId="066E4B6B">
      <w:pPr>
        <w:spacing w:line="110" w:lineRule="exact"/>
      </w:pPr>
    </w:p>
    <w:tbl>
      <w:tblPr>
        <w:tblStyle w:val="5"/>
        <w:tblW w:w="83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50"/>
        <w:gridCol w:w="4389"/>
      </w:tblGrid>
      <w:tr w14:paraId="460A1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3950" w:type="dxa"/>
            <w:tcBorders>
              <w:left w:val="nil"/>
            </w:tcBorders>
            <w:vAlign w:val="top"/>
          </w:tcPr>
          <w:p w14:paraId="4E6F3CAE">
            <w:pPr>
              <w:pStyle w:val="6"/>
              <w:spacing w:before="79" w:line="219" w:lineRule="auto"/>
              <w:ind w:left="1792"/>
              <w:rPr>
                <w:sz w:val="18"/>
                <w:szCs w:val="18"/>
              </w:rPr>
            </w:pPr>
            <w:r>
              <w:rPr>
                <w:b/>
                <w:bCs/>
                <w:spacing w:val="-5"/>
                <w:sz w:val="18"/>
                <w:szCs w:val="18"/>
              </w:rPr>
              <w:t>数据</w:t>
            </w:r>
          </w:p>
        </w:tc>
        <w:tc>
          <w:tcPr>
            <w:tcW w:w="4389" w:type="dxa"/>
            <w:tcBorders>
              <w:right w:val="nil"/>
            </w:tcBorders>
            <w:vAlign w:val="top"/>
          </w:tcPr>
          <w:p w14:paraId="06449ABC">
            <w:pPr>
              <w:pStyle w:val="6"/>
              <w:spacing w:before="79" w:line="219" w:lineRule="auto"/>
              <w:ind w:left="1997"/>
              <w:rPr>
                <w:sz w:val="18"/>
                <w:szCs w:val="18"/>
              </w:rPr>
            </w:pPr>
            <w:r>
              <w:rPr>
                <w:b/>
                <w:bCs/>
                <w:spacing w:val="-4"/>
                <w:sz w:val="18"/>
                <w:szCs w:val="18"/>
              </w:rPr>
              <w:t>信息</w:t>
            </w:r>
          </w:p>
        </w:tc>
      </w:tr>
      <w:tr w14:paraId="60774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3950" w:type="dxa"/>
            <w:tcBorders>
              <w:left w:val="nil"/>
            </w:tcBorders>
            <w:vAlign w:val="top"/>
          </w:tcPr>
          <w:p w14:paraId="776EB968">
            <w:pPr>
              <w:pStyle w:val="6"/>
              <w:spacing w:before="189" w:line="219" w:lineRule="auto"/>
              <w:ind w:left="49"/>
              <w:rPr>
                <w:sz w:val="18"/>
                <w:szCs w:val="18"/>
              </w:rPr>
            </w:pPr>
            <w:r>
              <w:rPr>
                <w:spacing w:val="-1"/>
                <w:sz w:val="18"/>
                <w:szCs w:val="18"/>
              </w:rPr>
              <w:t>数据是无组织和未经提炼的事实</w:t>
            </w:r>
          </w:p>
        </w:tc>
        <w:tc>
          <w:tcPr>
            <w:tcW w:w="4389" w:type="dxa"/>
            <w:tcBorders>
              <w:right w:val="nil"/>
            </w:tcBorders>
            <w:vAlign w:val="top"/>
          </w:tcPr>
          <w:p w14:paraId="29BA8297">
            <w:pPr>
              <w:pStyle w:val="6"/>
              <w:spacing w:before="78" w:line="235" w:lineRule="auto"/>
              <w:ind w:left="24" w:right="235" w:hanging="9"/>
              <w:rPr>
                <w:sz w:val="18"/>
                <w:szCs w:val="18"/>
              </w:rPr>
            </w:pPr>
            <w:r>
              <w:rPr>
                <w:spacing w:val="-1"/>
                <w:sz w:val="18"/>
                <w:szCs w:val="18"/>
              </w:rPr>
              <w:t>信息是在有意义的上下文中呈现的经过处理的、有组</w:t>
            </w:r>
            <w:r>
              <w:rPr>
                <w:spacing w:val="14"/>
                <w:sz w:val="18"/>
                <w:szCs w:val="18"/>
              </w:rPr>
              <w:t xml:space="preserve"> </w:t>
            </w:r>
            <w:r>
              <w:rPr>
                <w:spacing w:val="2"/>
                <w:sz w:val="18"/>
                <w:szCs w:val="18"/>
              </w:rPr>
              <w:t>织的数据</w:t>
            </w:r>
          </w:p>
        </w:tc>
      </w:tr>
      <w:tr w14:paraId="53C99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3950" w:type="dxa"/>
            <w:tcBorders>
              <w:left w:val="nil"/>
            </w:tcBorders>
            <w:vAlign w:val="top"/>
          </w:tcPr>
          <w:p w14:paraId="37F35008">
            <w:pPr>
              <w:pStyle w:val="6"/>
              <w:spacing w:before="72" w:line="238" w:lineRule="auto"/>
              <w:ind w:left="49" w:right="103" w:firstLine="20"/>
              <w:rPr>
                <w:sz w:val="18"/>
                <w:szCs w:val="18"/>
              </w:rPr>
            </w:pPr>
            <w:r>
              <w:rPr>
                <w:spacing w:val="-1"/>
                <w:sz w:val="18"/>
                <w:szCs w:val="18"/>
              </w:rPr>
              <w:t>数据是一个单独的单位，其中包含不具有任何特</w:t>
            </w:r>
            <w:r>
              <w:rPr>
                <w:spacing w:val="11"/>
                <w:sz w:val="18"/>
                <w:szCs w:val="18"/>
              </w:rPr>
              <w:t xml:space="preserve"> </w:t>
            </w:r>
            <w:r>
              <w:rPr>
                <w:spacing w:val="-2"/>
                <w:sz w:val="18"/>
                <w:szCs w:val="18"/>
              </w:rPr>
              <w:t>定含义的原材料</w:t>
            </w:r>
          </w:p>
        </w:tc>
        <w:tc>
          <w:tcPr>
            <w:tcW w:w="4389" w:type="dxa"/>
            <w:tcBorders>
              <w:right w:val="nil"/>
            </w:tcBorders>
            <w:vAlign w:val="top"/>
          </w:tcPr>
          <w:p w14:paraId="46E66C8E">
            <w:pPr>
              <w:pStyle w:val="6"/>
              <w:spacing w:before="192" w:line="219" w:lineRule="auto"/>
              <w:ind w:left="25"/>
              <w:rPr>
                <w:sz w:val="18"/>
                <w:szCs w:val="18"/>
              </w:rPr>
            </w:pPr>
            <w:r>
              <w:rPr>
                <w:spacing w:val="-1"/>
                <w:sz w:val="18"/>
                <w:szCs w:val="18"/>
              </w:rPr>
              <w:t>信息是一组共同具有逻辑意义的数据</w:t>
            </w:r>
          </w:p>
        </w:tc>
      </w:tr>
      <w:tr w14:paraId="02E9F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3950" w:type="dxa"/>
            <w:tcBorders>
              <w:left w:val="nil"/>
            </w:tcBorders>
            <w:vAlign w:val="top"/>
          </w:tcPr>
          <w:p w14:paraId="5F2E546A">
            <w:pPr>
              <w:pStyle w:val="6"/>
              <w:spacing w:before="84" w:line="219" w:lineRule="auto"/>
              <w:ind w:left="49"/>
              <w:rPr>
                <w:sz w:val="18"/>
                <w:szCs w:val="18"/>
              </w:rPr>
            </w:pPr>
            <w:r>
              <w:rPr>
                <w:spacing w:val="1"/>
                <w:sz w:val="18"/>
                <w:szCs w:val="18"/>
              </w:rPr>
              <w:t>数据不依赖于信息</w:t>
            </w:r>
          </w:p>
        </w:tc>
        <w:tc>
          <w:tcPr>
            <w:tcW w:w="4389" w:type="dxa"/>
            <w:tcBorders>
              <w:right w:val="nil"/>
            </w:tcBorders>
            <w:vAlign w:val="top"/>
          </w:tcPr>
          <w:p w14:paraId="59446EC9">
            <w:pPr>
              <w:pStyle w:val="6"/>
              <w:spacing w:before="85" w:line="219" w:lineRule="auto"/>
              <w:ind w:left="25"/>
              <w:rPr>
                <w:sz w:val="18"/>
                <w:szCs w:val="18"/>
              </w:rPr>
            </w:pPr>
            <w:r>
              <w:rPr>
                <w:spacing w:val="-1"/>
                <w:sz w:val="18"/>
                <w:szCs w:val="18"/>
              </w:rPr>
              <w:t>信息取决于数据</w:t>
            </w:r>
          </w:p>
        </w:tc>
      </w:tr>
      <w:tr w14:paraId="272B7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3950" w:type="dxa"/>
            <w:tcBorders>
              <w:left w:val="nil"/>
            </w:tcBorders>
            <w:vAlign w:val="top"/>
          </w:tcPr>
          <w:p w14:paraId="0CF03641">
            <w:pPr>
              <w:pStyle w:val="6"/>
              <w:spacing w:before="86" w:line="219" w:lineRule="auto"/>
              <w:ind w:left="49"/>
              <w:rPr>
                <w:sz w:val="18"/>
                <w:szCs w:val="18"/>
              </w:rPr>
            </w:pPr>
            <w:r>
              <w:rPr>
                <w:spacing w:val="-1"/>
                <w:sz w:val="18"/>
                <w:szCs w:val="18"/>
              </w:rPr>
              <w:t>仅靠原始数据不足以做出决策</w:t>
            </w:r>
          </w:p>
        </w:tc>
        <w:tc>
          <w:tcPr>
            <w:tcW w:w="4389" w:type="dxa"/>
            <w:tcBorders>
              <w:right w:val="nil"/>
            </w:tcBorders>
            <w:vAlign w:val="top"/>
          </w:tcPr>
          <w:p w14:paraId="325D1E3E">
            <w:pPr>
              <w:pStyle w:val="6"/>
              <w:spacing w:before="86" w:line="219" w:lineRule="auto"/>
              <w:ind w:left="25"/>
              <w:rPr>
                <w:sz w:val="18"/>
                <w:szCs w:val="18"/>
              </w:rPr>
            </w:pPr>
            <w:r>
              <w:rPr>
                <w:spacing w:val="-1"/>
                <w:sz w:val="18"/>
                <w:szCs w:val="18"/>
              </w:rPr>
              <w:t>信息足以做出决策</w:t>
            </w:r>
          </w:p>
        </w:tc>
      </w:tr>
    </w:tbl>
    <w:p w14:paraId="63B854BF">
      <w:pPr>
        <w:pStyle w:val="2"/>
        <w:spacing w:before="223" w:line="219" w:lineRule="auto"/>
        <w:ind w:left="409"/>
        <w:rPr>
          <w:sz w:val="20"/>
          <w:szCs w:val="20"/>
        </w:rPr>
      </w:pPr>
      <w:r>
        <w:rPr>
          <w:spacing w:val="3"/>
          <w:sz w:val="20"/>
          <w:szCs w:val="20"/>
        </w:rPr>
        <w:t>因此，数据与信息的关系是：数据是信息的载体，信息是数据的内涵；只</w:t>
      </w:r>
      <w:r>
        <w:rPr>
          <w:spacing w:val="2"/>
          <w:sz w:val="20"/>
          <w:szCs w:val="20"/>
        </w:rPr>
        <w:t>有当数据经加工</w:t>
      </w:r>
    </w:p>
    <w:p w14:paraId="506727A2">
      <w:pPr>
        <w:spacing w:line="219" w:lineRule="auto"/>
        <w:rPr>
          <w:sz w:val="20"/>
          <w:szCs w:val="20"/>
        </w:rPr>
        <w:sectPr>
          <w:pgSz w:w="10280" w:h="13300"/>
          <w:pgMar w:top="400" w:right="750" w:bottom="400" w:left="1120" w:header="0" w:footer="0" w:gutter="0"/>
          <w:cols w:space="720" w:num="1"/>
        </w:sectPr>
      </w:pPr>
    </w:p>
    <w:p w14:paraId="0A21EB53">
      <w:pPr>
        <w:spacing w:line="97" w:lineRule="exact"/>
      </w:pPr>
    </w:p>
    <w:p w14:paraId="0BCB9186">
      <w:pPr>
        <w:spacing w:line="97" w:lineRule="exact"/>
        <w:sectPr>
          <w:pgSz w:w="10300" w:h="13410"/>
          <w:pgMar w:top="400" w:right="1020" w:bottom="400" w:left="509" w:header="0" w:footer="0" w:gutter="0"/>
          <w:cols w:equalWidth="0" w:num="1">
            <w:col w:w="8771"/>
          </w:cols>
        </w:sectPr>
      </w:pPr>
    </w:p>
    <w:p w14:paraId="5A0F5DA8">
      <w:pPr>
        <w:pStyle w:val="2"/>
        <w:spacing w:line="219" w:lineRule="auto"/>
        <w:rPr>
          <w:sz w:val="19"/>
          <w:szCs w:val="19"/>
        </w:rPr>
      </w:pPr>
      <w:r>
        <w:rPr>
          <w:rFonts w:ascii="Times New Roman" w:hAnsi="Times New Roman" w:eastAsia="Times New Roman" w:cs="Times New Roman"/>
          <w:spacing w:val="5"/>
          <w:sz w:val="19"/>
          <w:szCs w:val="19"/>
        </w:rPr>
        <w:t>332</w:t>
      </w:r>
      <w:r>
        <w:rPr>
          <w:rFonts w:ascii="Times New Roman" w:hAnsi="Times New Roman" w:eastAsia="Times New Roman" w:cs="Times New Roman"/>
          <w:spacing w:val="2"/>
          <w:sz w:val="19"/>
          <w:szCs w:val="19"/>
        </w:rPr>
        <w:t xml:space="preserve">              </w:t>
      </w:r>
      <w:r>
        <w:rPr>
          <w:spacing w:val="5"/>
          <w:sz w:val="19"/>
          <w:szCs w:val="19"/>
        </w:rPr>
        <w:t>信息系统监理师教程(第2版)</w:t>
      </w:r>
    </w:p>
    <w:p w14:paraId="79E449BE">
      <w:pPr>
        <w:spacing w:line="328" w:lineRule="auto"/>
        <w:rPr>
          <w:rFonts w:ascii="Arial"/>
          <w:sz w:val="21"/>
        </w:rPr>
      </w:pPr>
    </w:p>
    <w:p w14:paraId="7C33D3A6">
      <w:pPr>
        <w:pStyle w:val="2"/>
        <w:spacing w:before="62" w:line="302" w:lineRule="auto"/>
        <w:ind w:left="350" w:right="160"/>
        <w:rPr>
          <w:sz w:val="19"/>
          <w:szCs w:val="19"/>
        </w:rPr>
      </w:pPr>
      <w:r>
        <w:rPr>
          <w:spacing w:val="10"/>
          <w:sz w:val="19"/>
          <w:szCs w:val="19"/>
        </w:rPr>
        <w:t>处理后，具有确定价值而对决策产生支持时，数据才有可能</w:t>
      </w:r>
      <w:r>
        <w:rPr>
          <w:spacing w:val="8"/>
          <w:sz w:val="19"/>
          <w:szCs w:val="19"/>
        </w:rPr>
        <w:t xml:space="preserve"> </w:t>
      </w:r>
      <w:r>
        <w:rPr>
          <w:spacing w:val="10"/>
          <w:sz w:val="19"/>
          <w:szCs w:val="19"/>
        </w:rPr>
        <w:t>成为信息。图14-1呈现了数据与信息的关系。</w:t>
      </w:r>
    </w:p>
    <w:p w14:paraId="35B10D85">
      <w:pPr>
        <w:pStyle w:val="2"/>
        <w:spacing w:line="307" w:lineRule="auto"/>
        <w:ind w:left="350" w:right="155" w:firstLine="419"/>
        <w:rPr>
          <w:sz w:val="19"/>
          <w:szCs w:val="19"/>
        </w:rPr>
      </w:pPr>
      <w:r>
        <w:rPr>
          <w:spacing w:val="9"/>
          <w:sz w:val="19"/>
          <w:szCs w:val="19"/>
        </w:rPr>
        <w:t>由于信息系统工程建设项目及其技术经济的特点，信息</w:t>
      </w:r>
      <w:r>
        <w:rPr>
          <w:spacing w:val="17"/>
          <w:sz w:val="19"/>
          <w:szCs w:val="19"/>
        </w:rPr>
        <w:t xml:space="preserve"> </w:t>
      </w:r>
      <w:r>
        <w:rPr>
          <w:spacing w:val="6"/>
          <w:sz w:val="19"/>
          <w:szCs w:val="19"/>
        </w:rPr>
        <w:t>系统工程信息具有如下的特点：</w:t>
      </w:r>
    </w:p>
    <w:p w14:paraId="1B258D75">
      <w:pPr>
        <w:pStyle w:val="2"/>
        <w:spacing w:before="18" w:line="277" w:lineRule="auto"/>
        <w:ind w:left="350" w:right="162" w:firstLine="419"/>
        <w:rPr>
          <w:sz w:val="19"/>
          <w:szCs w:val="19"/>
        </w:rPr>
      </w:pPr>
      <w:r>
        <w:rPr>
          <w:spacing w:val="21"/>
          <w:sz w:val="19"/>
          <w:szCs w:val="19"/>
        </w:rPr>
        <w:t>(1)现实性。现实性是信息系统工程信息的最基本性</w:t>
      </w:r>
      <w:r>
        <w:rPr>
          <w:spacing w:val="7"/>
          <w:sz w:val="19"/>
          <w:szCs w:val="19"/>
        </w:rPr>
        <w:t xml:space="preserve"> </w:t>
      </w:r>
      <w:r>
        <w:rPr>
          <w:spacing w:val="9"/>
          <w:sz w:val="19"/>
          <w:szCs w:val="19"/>
        </w:rPr>
        <w:t>质。如果信息失真，不仅没有任何可利用的价值，反而会造</w:t>
      </w:r>
      <w:r>
        <w:rPr>
          <w:spacing w:val="2"/>
          <w:sz w:val="19"/>
          <w:szCs w:val="19"/>
        </w:rPr>
        <w:t xml:space="preserve"> </w:t>
      </w:r>
      <w:r>
        <w:rPr>
          <w:spacing w:val="5"/>
          <w:sz w:val="19"/>
          <w:szCs w:val="19"/>
        </w:rPr>
        <w:t>成建设决策失误。</w:t>
      </w:r>
    </w:p>
    <w:p w14:paraId="3E60CE4F">
      <w:pPr>
        <w:pStyle w:val="2"/>
        <w:spacing w:before="93" w:line="284" w:lineRule="auto"/>
        <w:ind w:left="350" w:right="176" w:firstLine="419"/>
        <w:rPr>
          <w:sz w:val="19"/>
          <w:szCs w:val="19"/>
        </w:rPr>
      </w:pPr>
      <w:r>
        <w:rPr>
          <w:spacing w:val="12"/>
          <w:sz w:val="19"/>
          <w:szCs w:val="19"/>
        </w:rPr>
        <w:t>(2)适时性。适时性反映了信息系统工程信息具有突出</w:t>
      </w:r>
      <w:r>
        <w:rPr>
          <w:spacing w:val="7"/>
          <w:sz w:val="19"/>
          <w:szCs w:val="19"/>
        </w:rPr>
        <w:t xml:space="preserve"> </w:t>
      </w:r>
      <w:r>
        <w:rPr>
          <w:spacing w:val="9"/>
          <w:sz w:val="19"/>
          <w:szCs w:val="19"/>
        </w:rPr>
        <w:t>的时间性的特点。某一信息对某一目标是适用的，但随着项</w:t>
      </w:r>
      <w:r>
        <w:rPr>
          <w:spacing w:val="7"/>
          <w:sz w:val="19"/>
          <w:szCs w:val="19"/>
        </w:rPr>
        <w:t xml:space="preserve"> </w:t>
      </w:r>
      <w:r>
        <w:rPr>
          <w:spacing w:val="9"/>
          <w:sz w:val="19"/>
          <w:szCs w:val="19"/>
        </w:rPr>
        <w:t>目进程，该信息的价值将逐步降低或完全丧失。因此，信息</w:t>
      </w:r>
      <w:r>
        <w:rPr>
          <w:spacing w:val="8"/>
          <w:sz w:val="19"/>
          <w:szCs w:val="19"/>
        </w:rPr>
        <w:t xml:space="preserve"> </w:t>
      </w:r>
      <w:r>
        <w:rPr>
          <w:spacing w:val="9"/>
          <w:sz w:val="19"/>
          <w:szCs w:val="19"/>
        </w:rPr>
        <w:t>的适时性是反映信息现实性的关键，对决策的有效性起着重</w:t>
      </w:r>
      <w:r>
        <w:rPr>
          <w:spacing w:val="4"/>
          <w:sz w:val="19"/>
          <w:szCs w:val="19"/>
        </w:rPr>
        <w:t xml:space="preserve"> </w:t>
      </w:r>
      <w:r>
        <w:rPr>
          <w:spacing w:val="2"/>
          <w:sz w:val="19"/>
          <w:szCs w:val="19"/>
        </w:rPr>
        <w:t>大的影响。</w:t>
      </w:r>
    </w:p>
    <w:p w14:paraId="2E83E24D">
      <w:pPr>
        <w:spacing w:line="14" w:lineRule="auto"/>
        <w:rPr>
          <w:rFonts w:ascii="Arial"/>
          <w:sz w:val="2"/>
        </w:rPr>
      </w:pPr>
      <w:r>
        <w:rPr>
          <w:rFonts w:ascii="Arial" w:hAnsi="Arial" w:eastAsia="Arial" w:cs="Arial"/>
          <w:sz w:val="2"/>
          <w:szCs w:val="2"/>
        </w:rPr>
        <w:br w:type="column"/>
      </w:r>
    </w:p>
    <w:p w14:paraId="097CD217">
      <w:pPr>
        <w:spacing w:line="258" w:lineRule="auto"/>
        <w:rPr>
          <w:rFonts w:ascii="Arial"/>
          <w:sz w:val="21"/>
        </w:rPr>
      </w:pPr>
    </w:p>
    <w:p w14:paraId="5AC84AE4">
      <w:pPr>
        <w:spacing w:line="259" w:lineRule="auto"/>
        <w:rPr>
          <w:rFonts w:ascii="Arial"/>
          <w:sz w:val="21"/>
        </w:rPr>
      </w:pPr>
    </w:p>
    <w:p w14:paraId="0B93BC51">
      <w:pPr>
        <w:pStyle w:val="2"/>
        <w:spacing w:line="3160" w:lineRule="exact"/>
      </w:pPr>
      <w:r>
        <w:rPr>
          <w:position w:val="-63"/>
        </w:rPr>
        <w:pict>
          <v:group id="_x0000_s1493" o:spid="_x0000_s1493" o:spt="203" style="height:158.05pt;width:147.55pt;" coordsize="2951,3161">
            <o:lock v:ext="edit"/>
            <v:shape id="_x0000_s1494" o:spid="_x0000_s1494" o:spt="75" type="#_x0000_t75" style="position:absolute;left:0;top:0;height:3161;width:2951;" filled="f" stroked="f" coordsize="21600,21600">
              <v:path/>
              <v:fill on="f" focussize="0,0"/>
              <v:stroke on="f"/>
              <v:imagedata r:id="rId207" o:title=""/>
              <o:lock v:ext="edit" aspectratio="t"/>
            </v:shape>
            <v:shape id="_x0000_s1495" o:spid="_x0000_s1495" o:spt="202" type="#_x0000_t202" style="position:absolute;left:-20;top:-20;height:3201;width:2991;" filled="f" stroked="f" coordsize="21600,21600">
              <v:path/>
              <v:fill on="f" focussize="0,0"/>
              <v:stroke on="f"/>
              <v:imagedata o:title=""/>
              <o:lock v:ext="edit" aspectratio="f"/>
              <v:textbox inset="0mm,0mm,0mm,0mm">
                <w:txbxContent>
                  <w:p w14:paraId="6924A5ED">
                    <w:pPr>
                      <w:spacing w:before="227" w:line="229" w:lineRule="auto"/>
                      <w:ind w:left="249"/>
                      <w:rPr>
                        <w:rFonts w:ascii="宋体" w:hAnsi="宋体" w:eastAsia="宋体" w:cs="宋体"/>
                        <w:sz w:val="19"/>
                        <w:szCs w:val="19"/>
                      </w:rPr>
                    </w:pPr>
                    <w:r>
                      <w:rPr>
                        <w:rFonts w:ascii="宋体" w:hAnsi="宋体" w:eastAsia="宋体" w:cs="宋体"/>
                        <w:spacing w:val="-4"/>
                        <w:position w:val="1"/>
                        <w:sz w:val="19"/>
                        <w:szCs w:val="19"/>
                      </w:rPr>
                      <w:t>数据</w:t>
                    </w:r>
                    <w:r>
                      <w:rPr>
                        <w:rFonts w:ascii="宋体" w:hAnsi="宋体" w:eastAsia="宋体" w:cs="宋体"/>
                        <w:spacing w:val="3"/>
                        <w:position w:val="1"/>
                        <w:sz w:val="19"/>
                        <w:szCs w:val="19"/>
                      </w:rPr>
                      <w:t xml:space="preserve">       </w:t>
                    </w:r>
                    <w:r>
                      <w:rPr>
                        <w:rFonts w:ascii="宋体" w:hAnsi="宋体" w:eastAsia="宋体" w:cs="宋体"/>
                        <w:spacing w:val="-4"/>
                        <w:sz w:val="19"/>
                        <w:szCs w:val="19"/>
                      </w:rPr>
                      <w:t>数据</w:t>
                    </w:r>
                    <w:r>
                      <w:rPr>
                        <w:rFonts w:ascii="宋体" w:hAnsi="宋体" w:eastAsia="宋体" w:cs="宋体"/>
                        <w:spacing w:val="3"/>
                        <w:sz w:val="19"/>
                        <w:szCs w:val="19"/>
                      </w:rPr>
                      <w:t xml:space="preserve">       </w:t>
                    </w:r>
                    <w:r>
                      <w:rPr>
                        <w:rFonts w:ascii="宋体" w:hAnsi="宋体" w:eastAsia="宋体" w:cs="宋体"/>
                        <w:spacing w:val="-4"/>
                        <w:position w:val="-1"/>
                        <w:sz w:val="19"/>
                        <w:szCs w:val="19"/>
                      </w:rPr>
                      <w:t>数据</w:t>
                    </w:r>
                  </w:p>
                  <w:p w14:paraId="44D7041E">
                    <w:pPr>
                      <w:spacing w:line="324" w:lineRule="auto"/>
                      <w:rPr>
                        <w:rFonts w:ascii="Arial"/>
                        <w:sz w:val="21"/>
                      </w:rPr>
                    </w:pPr>
                  </w:p>
                  <w:p w14:paraId="24F029B4">
                    <w:pPr>
                      <w:spacing w:line="324" w:lineRule="auto"/>
                      <w:rPr>
                        <w:rFonts w:ascii="Arial"/>
                        <w:sz w:val="21"/>
                      </w:rPr>
                    </w:pPr>
                  </w:p>
                  <w:p w14:paraId="14342462">
                    <w:pPr>
                      <w:spacing w:before="62" w:line="204" w:lineRule="auto"/>
                      <w:ind w:left="1160"/>
                      <w:rPr>
                        <w:rFonts w:ascii="宋体" w:hAnsi="宋体" w:eastAsia="宋体" w:cs="宋体"/>
                        <w:sz w:val="19"/>
                        <w:szCs w:val="19"/>
                      </w:rPr>
                    </w:pPr>
                    <w:r>
                      <w:rPr>
                        <w:rFonts w:ascii="宋体" w:hAnsi="宋体" w:eastAsia="宋体" w:cs="宋体"/>
                        <w:spacing w:val="-2"/>
                        <w:sz w:val="19"/>
                        <w:szCs w:val="19"/>
                      </w:rPr>
                      <w:t>处理(归纳、</w:t>
                    </w:r>
                  </w:p>
                  <w:p w14:paraId="32FF83E5">
                    <w:pPr>
                      <w:spacing w:line="213" w:lineRule="auto"/>
                      <w:ind w:left="1179"/>
                      <w:rPr>
                        <w:rFonts w:ascii="宋体" w:hAnsi="宋体" w:eastAsia="宋体" w:cs="宋体"/>
                        <w:sz w:val="19"/>
                        <w:szCs w:val="19"/>
                      </w:rPr>
                    </w:pPr>
                    <w:r>
                      <w:rPr>
                        <w:rFonts w:ascii="宋体" w:hAnsi="宋体" w:eastAsia="宋体" w:cs="宋体"/>
                        <w:spacing w:val="-18"/>
                        <w:sz w:val="19"/>
                        <w:szCs w:val="19"/>
                      </w:rPr>
                      <w:t>统计、分类、</w:t>
                    </w:r>
                  </w:p>
                  <w:p w14:paraId="574263C9">
                    <w:pPr>
                      <w:spacing w:line="219" w:lineRule="auto"/>
                      <w:ind w:left="1340"/>
                      <w:rPr>
                        <w:rFonts w:ascii="宋体" w:hAnsi="宋体" w:eastAsia="宋体" w:cs="宋体"/>
                        <w:sz w:val="19"/>
                        <w:szCs w:val="19"/>
                      </w:rPr>
                    </w:pPr>
                    <w:r>
                      <w:rPr>
                        <w:rFonts w:ascii="宋体" w:hAnsi="宋体" w:eastAsia="宋体" w:cs="宋体"/>
                        <w:spacing w:val="-2"/>
                        <w:sz w:val="19"/>
                        <w:szCs w:val="19"/>
                      </w:rPr>
                      <w:t>计算等)</w:t>
                    </w:r>
                  </w:p>
                  <w:p w14:paraId="2C2EE8F9">
                    <w:pPr>
                      <w:spacing w:line="265" w:lineRule="auto"/>
                      <w:rPr>
                        <w:rFonts w:ascii="Arial"/>
                        <w:sz w:val="21"/>
                      </w:rPr>
                    </w:pPr>
                  </w:p>
                  <w:p w14:paraId="01697AF6">
                    <w:pPr>
                      <w:spacing w:line="266" w:lineRule="auto"/>
                      <w:rPr>
                        <w:rFonts w:ascii="Arial"/>
                        <w:sz w:val="21"/>
                      </w:rPr>
                    </w:pPr>
                  </w:p>
                  <w:p w14:paraId="2F6210D8">
                    <w:pPr>
                      <w:spacing w:line="266" w:lineRule="auto"/>
                      <w:rPr>
                        <w:rFonts w:ascii="Arial"/>
                        <w:sz w:val="21"/>
                      </w:rPr>
                    </w:pPr>
                  </w:p>
                  <w:p w14:paraId="07163949">
                    <w:pPr>
                      <w:spacing w:before="62" w:line="219" w:lineRule="auto"/>
                      <w:ind w:left="1480"/>
                      <w:rPr>
                        <w:rFonts w:ascii="宋体" w:hAnsi="宋体" w:eastAsia="宋体" w:cs="宋体"/>
                        <w:sz w:val="19"/>
                        <w:szCs w:val="19"/>
                      </w:rPr>
                    </w:pPr>
                    <w:r>
                      <w:rPr>
                        <w:rFonts w:ascii="宋体" w:hAnsi="宋体" w:eastAsia="宋体" w:cs="宋体"/>
                        <w:spacing w:val="-2"/>
                        <w:sz w:val="19"/>
                        <w:szCs w:val="19"/>
                      </w:rPr>
                      <w:t>信息</w:t>
                    </w:r>
                  </w:p>
                </w:txbxContent>
              </v:textbox>
            </v:shape>
            <w10:wrap type="none"/>
            <w10:anchorlock/>
          </v:group>
        </w:pict>
      </w:r>
    </w:p>
    <w:p w14:paraId="43014B7D">
      <w:pPr>
        <w:pStyle w:val="2"/>
        <w:spacing w:before="107" w:line="219" w:lineRule="auto"/>
        <w:ind w:left="380"/>
        <w:rPr>
          <w:sz w:val="19"/>
          <w:szCs w:val="19"/>
        </w:rPr>
      </w:pPr>
      <w:r>
        <w:rPr>
          <w:spacing w:val="-7"/>
          <w:sz w:val="19"/>
          <w:szCs w:val="19"/>
        </w:rPr>
        <w:t>图14-1</w:t>
      </w:r>
      <w:r>
        <w:rPr>
          <w:spacing w:val="90"/>
          <w:sz w:val="19"/>
          <w:szCs w:val="19"/>
        </w:rPr>
        <w:t xml:space="preserve"> </w:t>
      </w:r>
      <w:r>
        <w:rPr>
          <w:spacing w:val="-7"/>
          <w:sz w:val="19"/>
          <w:szCs w:val="19"/>
        </w:rPr>
        <w:t>数据与信息的关系</w:t>
      </w:r>
    </w:p>
    <w:p w14:paraId="2E12CD60">
      <w:pPr>
        <w:spacing w:line="219" w:lineRule="auto"/>
        <w:rPr>
          <w:sz w:val="19"/>
          <w:szCs w:val="19"/>
        </w:rPr>
        <w:sectPr>
          <w:type w:val="continuous"/>
          <w:pgSz w:w="10300" w:h="13410"/>
          <w:pgMar w:top="400" w:right="1020" w:bottom="400" w:left="509" w:header="0" w:footer="0" w:gutter="0"/>
          <w:cols w:equalWidth="0" w:num="2">
            <w:col w:w="5721" w:space="100"/>
            <w:col w:w="2951"/>
          </w:cols>
        </w:sectPr>
      </w:pPr>
    </w:p>
    <w:p w14:paraId="473E08D2">
      <w:pPr>
        <w:pStyle w:val="2"/>
        <w:spacing w:before="110" w:line="270" w:lineRule="auto"/>
        <w:ind w:left="350" w:right="89" w:firstLine="419"/>
        <w:rPr>
          <w:sz w:val="19"/>
          <w:szCs w:val="19"/>
        </w:rPr>
      </w:pPr>
      <w:r>
        <w:rPr>
          <w:spacing w:val="15"/>
          <w:sz w:val="19"/>
          <w:szCs w:val="19"/>
        </w:rPr>
        <w:t>(3)复杂性。现代信息系统工程信息量大，形式多样，相互关系复杂。不同</w:t>
      </w:r>
      <w:r>
        <w:rPr>
          <w:spacing w:val="14"/>
          <w:sz w:val="19"/>
          <w:szCs w:val="19"/>
        </w:rPr>
        <w:t>的工程主体在</w:t>
      </w:r>
      <w:r>
        <w:rPr>
          <w:sz w:val="19"/>
          <w:szCs w:val="19"/>
        </w:rPr>
        <w:t xml:space="preserve"> </w:t>
      </w:r>
      <w:r>
        <w:rPr>
          <w:spacing w:val="7"/>
          <w:sz w:val="19"/>
          <w:szCs w:val="19"/>
        </w:rPr>
        <w:t>不同的建设阶段所需的信息量和信息的类型也不尽相同。</w:t>
      </w:r>
    </w:p>
    <w:p w14:paraId="485277DB">
      <w:pPr>
        <w:pStyle w:val="2"/>
        <w:spacing w:before="73" w:line="269" w:lineRule="auto"/>
        <w:ind w:left="350" w:right="112" w:firstLine="419"/>
        <w:rPr>
          <w:sz w:val="19"/>
          <w:szCs w:val="19"/>
        </w:rPr>
      </w:pPr>
      <w:r>
        <w:rPr>
          <w:spacing w:val="14"/>
          <w:sz w:val="19"/>
          <w:szCs w:val="19"/>
        </w:rPr>
        <w:t>(4)共用性。某些信息系统工程信息能为多种项目主体所共有、所共用，但对各项目主体</w:t>
      </w:r>
      <w:r>
        <w:rPr>
          <w:spacing w:val="12"/>
          <w:sz w:val="19"/>
          <w:szCs w:val="19"/>
        </w:rPr>
        <w:t xml:space="preserve"> </w:t>
      </w:r>
      <w:r>
        <w:rPr>
          <w:spacing w:val="6"/>
          <w:sz w:val="19"/>
          <w:szCs w:val="19"/>
        </w:rPr>
        <w:t>的实施行为支持来说，其价值有所不同。</w:t>
      </w:r>
    </w:p>
    <w:p w14:paraId="71B43012">
      <w:pPr>
        <w:pStyle w:val="2"/>
        <w:spacing w:before="86" w:line="219" w:lineRule="auto"/>
        <w:ind w:left="770"/>
        <w:rPr>
          <w:sz w:val="19"/>
          <w:szCs w:val="19"/>
        </w:rPr>
      </w:pPr>
      <w:r>
        <w:rPr>
          <w:spacing w:val="11"/>
          <w:sz w:val="19"/>
          <w:szCs w:val="19"/>
        </w:rPr>
        <w:t>(5)增值性。信息如果经过分析和处理，</w:t>
      </w:r>
      <w:r>
        <w:rPr>
          <w:spacing w:val="10"/>
          <w:sz w:val="19"/>
          <w:szCs w:val="19"/>
        </w:rPr>
        <w:t>往往会产生新的信息，使信息得到增值。</w:t>
      </w:r>
    </w:p>
    <w:p w14:paraId="33832B3A">
      <w:pPr>
        <w:pStyle w:val="2"/>
        <w:spacing w:before="235" w:line="219" w:lineRule="auto"/>
        <w:ind w:left="352"/>
        <w:rPr>
          <w:sz w:val="25"/>
          <w:szCs w:val="25"/>
        </w:rPr>
      </w:pPr>
      <w:r>
        <w:rPr>
          <w:b/>
          <w:bCs/>
          <w:color w:val="007DD1"/>
          <w:spacing w:val="-16"/>
          <w:sz w:val="25"/>
          <w:szCs w:val="25"/>
        </w:rPr>
        <w:t>14.1.2</w:t>
      </w:r>
      <w:r>
        <w:rPr>
          <w:color w:val="007DD1"/>
          <w:spacing w:val="-16"/>
          <w:sz w:val="25"/>
          <w:szCs w:val="25"/>
        </w:rPr>
        <w:t xml:space="preserve">  </w:t>
      </w:r>
      <w:r>
        <w:rPr>
          <w:b/>
          <w:bCs/>
          <w:color w:val="007DD1"/>
          <w:spacing w:val="-16"/>
          <w:sz w:val="25"/>
          <w:szCs w:val="25"/>
        </w:rPr>
        <w:t>信息系统工程信息管理</w:t>
      </w:r>
    </w:p>
    <w:p w14:paraId="26DC510B">
      <w:pPr>
        <w:pStyle w:val="2"/>
        <w:spacing w:before="194" w:line="292" w:lineRule="auto"/>
        <w:ind w:left="350" w:right="56" w:firstLine="419"/>
        <w:jc w:val="both"/>
        <w:rPr>
          <w:sz w:val="19"/>
          <w:szCs w:val="19"/>
        </w:rPr>
      </w:pPr>
      <w:r>
        <w:rPr>
          <w:spacing w:val="14"/>
          <w:sz w:val="19"/>
          <w:szCs w:val="19"/>
        </w:rPr>
        <w:t>信息系统工程信息管理是及时向决策者提供相关信息的过</w:t>
      </w:r>
      <w:r>
        <w:rPr>
          <w:spacing w:val="13"/>
          <w:sz w:val="19"/>
          <w:szCs w:val="19"/>
        </w:rPr>
        <w:t>程，涵盖了用于创建和使用信息</w:t>
      </w:r>
      <w:r>
        <w:rPr>
          <w:sz w:val="19"/>
          <w:szCs w:val="19"/>
        </w:rPr>
        <w:t xml:space="preserve"> </w:t>
      </w:r>
      <w:r>
        <w:rPr>
          <w:spacing w:val="13"/>
          <w:sz w:val="19"/>
          <w:szCs w:val="19"/>
        </w:rPr>
        <w:t>系统工程信息的所有系统和流程。信息管理的目标是在正确的地点和</w:t>
      </w:r>
      <w:r>
        <w:rPr>
          <w:spacing w:val="12"/>
          <w:sz w:val="19"/>
          <w:szCs w:val="19"/>
        </w:rPr>
        <w:t>正确的时间将正确的信息</w:t>
      </w:r>
      <w:r>
        <w:rPr>
          <w:sz w:val="19"/>
          <w:szCs w:val="19"/>
        </w:rPr>
        <w:t xml:space="preserve"> </w:t>
      </w:r>
      <w:r>
        <w:rPr>
          <w:spacing w:val="4"/>
          <w:sz w:val="19"/>
          <w:szCs w:val="19"/>
        </w:rPr>
        <w:t>传递给正确的主体。</w:t>
      </w:r>
    </w:p>
    <w:p w14:paraId="4FBE0CA6">
      <w:pPr>
        <w:pStyle w:val="2"/>
        <w:spacing w:before="27" w:line="296" w:lineRule="auto"/>
        <w:ind w:left="350" w:right="83" w:firstLine="419"/>
        <w:jc w:val="both"/>
        <w:rPr>
          <w:sz w:val="19"/>
          <w:szCs w:val="19"/>
        </w:rPr>
      </w:pPr>
      <w:r>
        <w:rPr>
          <w:spacing w:val="13"/>
          <w:sz w:val="19"/>
          <w:szCs w:val="19"/>
        </w:rPr>
        <w:t>信息系统工程建设项目在实施过程中，参建各方必须了解开发进度、存在的问题和预</w:t>
      </w:r>
      <w:r>
        <w:rPr>
          <w:spacing w:val="12"/>
          <w:sz w:val="19"/>
          <w:szCs w:val="19"/>
        </w:rPr>
        <w:t>期目</w:t>
      </w:r>
      <w:r>
        <w:rPr>
          <w:sz w:val="19"/>
          <w:szCs w:val="19"/>
        </w:rPr>
        <w:t xml:space="preserve"> </w:t>
      </w:r>
      <w:r>
        <w:rPr>
          <w:spacing w:val="13"/>
          <w:sz w:val="19"/>
          <w:szCs w:val="19"/>
        </w:rPr>
        <w:t>标。每一阶段计划安排的定期报告提供了项目的可见性。定期报告还提醒各参建单位注意对该</w:t>
      </w:r>
      <w:r>
        <w:rPr>
          <w:spacing w:val="5"/>
          <w:sz w:val="19"/>
          <w:szCs w:val="19"/>
        </w:rPr>
        <w:t xml:space="preserve"> </w:t>
      </w:r>
      <w:r>
        <w:rPr>
          <w:spacing w:val="13"/>
          <w:sz w:val="19"/>
          <w:szCs w:val="19"/>
        </w:rPr>
        <w:t>项目承担的责任以及该单位效率的重要性。开发文档规</w:t>
      </w:r>
      <w:r>
        <w:rPr>
          <w:spacing w:val="12"/>
          <w:sz w:val="19"/>
          <w:szCs w:val="19"/>
        </w:rPr>
        <w:t>定若干个检查点和进度表，使参建单位</w:t>
      </w:r>
      <w:r>
        <w:rPr>
          <w:sz w:val="19"/>
          <w:szCs w:val="19"/>
        </w:rPr>
        <w:t xml:space="preserve"> </w:t>
      </w:r>
      <w:r>
        <w:rPr>
          <w:spacing w:val="13"/>
          <w:sz w:val="19"/>
          <w:szCs w:val="19"/>
        </w:rPr>
        <w:t>可以评定项目的进度，如果开发文档有遗漏，不完善，或</w:t>
      </w:r>
      <w:r>
        <w:rPr>
          <w:spacing w:val="12"/>
          <w:sz w:val="19"/>
          <w:szCs w:val="19"/>
        </w:rPr>
        <w:t>内容陈旧，则管理者将失去跟踪和控</w:t>
      </w:r>
      <w:r>
        <w:rPr>
          <w:sz w:val="19"/>
          <w:szCs w:val="19"/>
        </w:rPr>
        <w:t xml:space="preserve"> </w:t>
      </w:r>
      <w:r>
        <w:rPr>
          <w:spacing w:val="4"/>
          <w:sz w:val="19"/>
          <w:szCs w:val="19"/>
        </w:rPr>
        <w:t>制项目的重要依据。</w:t>
      </w:r>
    </w:p>
    <w:p w14:paraId="2BA7E425">
      <w:pPr>
        <w:pStyle w:val="2"/>
        <w:spacing w:before="36" w:line="297" w:lineRule="auto"/>
        <w:ind w:left="350" w:right="83" w:firstLine="419"/>
        <w:jc w:val="both"/>
        <w:rPr>
          <w:sz w:val="19"/>
          <w:szCs w:val="19"/>
        </w:rPr>
      </w:pPr>
      <w:r>
        <w:rPr>
          <w:spacing w:val="13"/>
          <w:sz w:val="19"/>
          <w:szCs w:val="19"/>
        </w:rPr>
        <w:t>信息系统工程通常被划分成若干个任务，并</w:t>
      </w:r>
      <w:r>
        <w:rPr>
          <w:spacing w:val="12"/>
          <w:sz w:val="19"/>
          <w:szCs w:val="19"/>
        </w:rPr>
        <w:t>由不同的单位去完成，信息管理是各任务之间</w:t>
      </w:r>
      <w:r>
        <w:rPr>
          <w:sz w:val="19"/>
          <w:szCs w:val="19"/>
        </w:rPr>
        <w:t xml:space="preserve"> </w:t>
      </w:r>
      <w:r>
        <w:rPr>
          <w:spacing w:val="13"/>
          <w:sz w:val="19"/>
          <w:szCs w:val="19"/>
        </w:rPr>
        <w:t>联系的凭证。例如，在软件工程项目中，业主单位组织专家进行项目评估、建立和制定项目目</w:t>
      </w:r>
      <w:r>
        <w:rPr>
          <w:spacing w:val="12"/>
          <w:sz w:val="19"/>
          <w:szCs w:val="19"/>
        </w:rPr>
        <w:t xml:space="preserve"> </w:t>
      </w:r>
      <w:r>
        <w:rPr>
          <w:spacing w:val="13"/>
          <w:sz w:val="19"/>
          <w:szCs w:val="19"/>
        </w:rPr>
        <w:t>标和要求。承建单位的分析人员阐述系统需求，设计人员为程序员制定总体</w:t>
      </w:r>
      <w:r>
        <w:rPr>
          <w:spacing w:val="12"/>
          <w:sz w:val="19"/>
          <w:szCs w:val="19"/>
        </w:rPr>
        <w:t>设计，程序员编制</w:t>
      </w:r>
      <w:r>
        <w:rPr>
          <w:sz w:val="19"/>
          <w:szCs w:val="19"/>
        </w:rPr>
        <w:t xml:space="preserve"> </w:t>
      </w:r>
      <w:r>
        <w:rPr>
          <w:spacing w:val="13"/>
          <w:sz w:val="19"/>
          <w:szCs w:val="19"/>
        </w:rPr>
        <w:t>详细的程序代码，测试人员测试系统的功能和性能，质量保</w:t>
      </w:r>
      <w:r>
        <w:rPr>
          <w:spacing w:val="12"/>
          <w:sz w:val="19"/>
          <w:szCs w:val="19"/>
        </w:rPr>
        <w:t>证专家和审核人员对整个系统性能</w:t>
      </w:r>
      <w:r>
        <w:rPr>
          <w:sz w:val="19"/>
          <w:szCs w:val="19"/>
        </w:rPr>
        <w:t xml:space="preserve"> </w:t>
      </w:r>
      <w:r>
        <w:rPr>
          <w:spacing w:val="13"/>
          <w:sz w:val="19"/>
          <w:szCs w:val="19"/>
        </w:rPr>
        <w:t>和功能的完整性进行评价，负责维护的系统运维人员对各</w:t>
      </w:r>
      <w:r>
        <w:rPr>
          <w:spacing w:val="12"/>
          <w:sz w:val="19"/>
          <w:szCs w:val="19"/>
        </w:rPr>
        <w:t>种操作或某些功能进行改进。监理单</w:t>
      </w:r>
      <w:r>
        <w:rPr>
          <w:sz w:val="19"/>
          <w:szCs w:val="19"/>
        </w:rPr>
        <w:t xml:space="preserve"> </w:t>
      </w:r>
      <w:r>
        <w:rPr>
          <w:spacing w:val="7"/>
          <w:sz w:val="19"/>
          <w:szCs w:val="19"/>
        </w:rPr>
        <w:t>位对项目各层面的实施情况、质量、进度、成本等进行控制。</w:t>
      </w:r>
    </w:p>
    <w:p w14:paraId="681C8620">
      <w:pPr>
        <w:pStyle w:val="2"/>
        <w:spacing w:before="19" w:line="272" w:lineRule="auto"/>
        <w:ind w:left="350" w:right="92" w:firstLine="419"/>
        <w:jc w:val="both"/>
        <w:rPr>
          <w:sz w:val="19"/>
          <w:szCs w:val="19"/>
        </w:rPr>
      </w:pPr>
      <w:r>
        <w:rPr>
          <w:spacing w:val="13"/>
          <w:sz w:val="19"/>
          <w:szCs w:val="19"/>
        </w:rPr>
        <w:t>这些单位间的信息沟通是通过文档资料的复制、分发和引用等方</w:t>
      </w:r>
      <w:r>
        <w:rPr>
          <w:spacing w:val="12"/>
          <w:sz w:val="19"/>
          <w:szCs w:val="19"/>
        </w:rPr>
        <w:t>式而实现的，因而任务之</w:t>
      </w:r>
      <w:r>
        <w:rPr>
          <w:sz w:val="19"/>
          <w:szCs w:val="19"/>
        </w:rPr>
        <w:t xml:space="preserve"> </w:t>
      </w:r>
      <w:r>
        <w:rPr>
          <w:spacing w:val="13"/>
          <w:sz w:val="19"/>
          <w:szCs w:val="19"/>
        </w:rPr>
        <w:t>间的联系是文档的一个重要功能。大多数系统开发方法为任务的联系规定了一些正式文档。分</w:t>
      </w:r>
      <w:r>
        <w:rPr>
          <w:spacing w:val="3"/>
          <w:sz w:val="19"/>
          <w:szCs w:val="19"/>
        </w:rPr>
        <w:t xml:space="preserve"> </w:t>
      </w:r>
      <w:r>
        <w:rPr>
          <w:spacing w:val="18"/>
          <w:sz w:val="19"/>
          <w:szCs w:val="19"/>
        </w:rPr>
        <w:t>析人员向设计人员提供正式需求规格说明文档，设计人员向程序员</w:t>
      </w:r>
      <w:r>
        <w:rPr>
          <w:spacing w:val="17"/>
          <w:sz w:val="19"/>
          <w:szCs w:val="19"/>
        </w:rPr>
        <w:t>提供正式设计规格说明文</w:t>
      </w:r>
      <w:r>
        <w:rPr>
          <w:sz w:val="19"/>
          <w:szCs w:val="19"/>
        </w:rPr>
        <w:t xml:space="preserve"> </w:t>
      </w:r>
      <w:r>
        <w:rPr>
          <w:spacing w:val="4"/>
          <w:sz w:val="19"/>
          <w:szCs w:val="19"/>
        </w:rPr>
        <w:t>档等。</w:t>
      </w:r>
    </w:p>
    <w:p w14:paraId="10CDA632">
      <w:pPr>
        <w:spacing w:line="272" w:lineRule="auto"/>
        <w:rPr>
          <w:sz w:val="19"/>
          <w:szCs w:val="19"/>
        </w:rPr>
        <w:sectPr>
          <w:type w:val="continuous"/>
          <w:pgSz w:w="10300" w:h="13410"/>
          <w:pgMar w:top="400" w:right="1020" w:bottom="400" w:left="509" w:header="0" w:footer="0" w:gutter="0"/>
          <w:cols w:equalWidth="0" w:num="1">
            <w:col w:w="8771"/>
          </w:cols>
        </w:sectPr>
      </w:pPr>
    </w:p>
    <w:p w14:paraId="301DCEB5">
      <w:pPr>
        <w:pStyle w:val="2"/>
        <w:jc w:val="right"/>
        <w:rPr>
          <w:rFonts w:ascii="Times New Roman" w:hAnsi="Times New Roman" w:eastAsia="Times New Roman" w:cs="Times New Roman"/>
          <w:sz w:val="19"/>
          <w:szCs w:val="19"/>
        </w:rPr>
      </w:pPr>
      <w:r>
        <w:rPr>
          <w:spacing w:val="5"/>
          <w:sz w:val="19"/>
          <w:szCs w:val="19"/>
        </w:rPr>
        <w:t>第14章</w:t>
      </w:r>
      <w:r>
        <w:rPr>
          <w:spacing w:val="37"/>
          <w:sz w:val="19"/>
          <w:szCs w:val="19"/>
        </w:rPr>
        <w:t xml:space="preserve"> </w:t>
      </w:r>
      <w:r>
        <w:rPr>
          <w:spacing w:val="5"/>
          <w:sz w:val="19"/>
          <w:szCs w:val="19"/>
        </w:rPr>
        <w:t>信息管理</w:t>
      </w:r>
      <w:r>
        <w:rPr>
          <w:spacing w:val="49"/>
          <w:sz w:val="19"/>
          <w:szCs w:val="19"/>
        </w:rPr>
        <w:t xml:space="preserve"> </w:t>
      </w:r>
      <w:r>
        <w:rPr>
          <w:position w:val="-13"/>
          <w:sz w:val="19"/>
          <w:szCs w:val="19"/>
        </w:rPr>
        <w:drawing>
          <wp:inline distT="0" distB="0" distL="0" distR="0">
            <wp:extent cx="292100" cy="260350"/>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208"/>
                    <a:stretch>
                      <a:fillRect/>
                    </a:stretch>
                  </pic:blipFill>
                  <pic:spPr>
                    <a:xfrm>
                      <a:off x="0" y="0"/>
                      <a:ext cx="292119" cy="260377"/>
                    </a:xfrm>
                    <a:prstGeom prst="rect">
                      <a:avLst/>
                    </a:prstGeom>
                  </pic:spPr>
                </pic:pic>
              </a:graphicData>
            </a:graphic>
          </wp:inline>
        </w:drawing>
      </w:r>
      <w:r>
        <w:rPr>
          <w:rFonts w:ascii="Times New Roman" w:hAnsi="Times New Roman" w:eastAsia="Times New Roman" w:cs="Times New Roman"/>
          <w:spacing w:val="5"/>
          <w:position w:val="-2"/>
          <w:sz w:val="19"/>
          <w:szCs w:val="19"/>
        </w:rPr>
        <w:t>333</w:t>
      </w:r>
    </w:p>
    <w:p w14:paraId="1EEC8E73">
      <w:pPr>
        <w:pStyle w:val="2"/>
        <w:spacing w:before="276" w:line="219" w:lineRule="auto"/>
        <w:ind w:left="3"/>
        <w:rPr>
          <w:sz w:val="25"/>
          <w:szCs w:val="25"/>
        </w:rPr>
      </w:pPr>
      <w:r>
        <w:rPr>
          <w:b/>
          <w:bCs/>
          <w:color w:val="0069D3"/>
          <w:spacing w:val="-16"/>
          <w:sz w:val="25"/>
          <w:szCs w:val="25"/>
        </w:rPr>
        <w:t>14.1.3</w:t>
      </w:r>
      <w:r>
        <w:rPr>
          <w:color w:val="0069D3"/>
          <w:spacing w:val="98"/>
          <w:sz w:val="25"/>
          <w:szCs w:val="25"/>
        </w:rPr>
        <w:t xml:space="preserve"> </w:t>
      </w:r>
      <w:r>
        <w:rPr>
          <w:b/>
          <w:bCs/>
          <w:color w:val="0069D3"/>
          <w:spacing w:val="-16"/>
          <w:sz w:val="25"/>
          <w:szCs w:val="25"/>
        </w:rPr>
        <w:t>监理信息管理工作的作用及重要性</w:t>
      </w:r>
    </w:p>
    <w:p w14:paraId="225B3115">
      <w:pPr>
        <w:pStyle w:val="2"/>
        <w:spacing w:before="270" w:line="222" w:lineRule="auto"/>
        <w:ind w:left="402"/>
        <w:rPr>
          <w:rFonts w:ascii="黑体" w:hAnsi="黑体" w:eastAsia="黑体" w:cs="黑体"/>
          <w:sz w:val="19"/>
          <w:szCs w:val="19"/>
        </w:rPr>
      </w:pPr>
      <w:r>
        <w:rPr>
          <w:b/>
          <w:bCs/>
          <w:color w:val="0068D0"/>
          <w:spacing w:val="7"/>
          <w:sz w:val="19"/>
          <w:szCs w:val="19"/>
        </w:rPr>
        <w:t>1.</w:t>
      </w:r>
      <w:r>
        <w:rPr>
          <w:rFonts w:ascii="黑体" w:hAnsi="黑体" w:eastAsia="黑体" w:cs="黑体"/>
          <w:b/>
          <w:bCs/>
          <w:color w:val="0068D0"/>
          <w:spacing w:val="7"/>
          <w:sz w:val="19"/>
          <w:szCs w:val="19"/>
        </w:rPr>
        <w:t>监理信息管理工作的作用</w:t>
      </w:r>
    </w:p>
    <w:p w14:paraId="29FC9DDD">
      <w:pPr>
        <w:pStyle w:val="2"/>
        <w:spacing w:before="163" w:line="297" w:lineRule="auto"/>
        <w:ind w:right="292" w:firstLine="400"/>
        <w:jc w:val="both"/>
        <w:rPr>
          <w:sz w:val="19"/>
          <w:szCs w:val="19"/>
        </w:rPr>
      </w:pPr>
      <w:r>
        <w:rPr>
          <w:spacing w:val="13"/>
          <w:sz w:val="19"/>
          <w:szCs w:val="19"/>
        </w:rPr>
        <w:t>监理单位进行信息管理的目的是促使承建单位通过有效的工程</w:t>
      </w:r>
      <w:r>
        <w:rPr>
          <w:spacing w:val="12"/>
          <w:sz w:val="19"/>
          <w:szCs w:val="19"/>
        </w:rPr>
        <w:t>建设信息规划及其组织管理</w:t>
      </w:r>
      <w:r>
        <w:rPr>
          <w:sz w:val="19"/>
          <w:szCs w:val="19"/>
        </w:rPr>
        <w:t xml:space="preserve"> </w:t>
      </w:r>
      <w:r>
        <w:rPr>
          <w:spacing w:val="12"/>
          <w:sz w:val="19"/>
          <w:szCs w:val="19"/>
        </w:rPr>
        <w:t>活动，使项目相关方能及时、准确地获得有关的工程建设信息，以便为项目建设全过程或各阶</w:t>
      </w:r>
      <w:r>
        <w:rPr>
          <w:spacing w:val="5"/>
          <w:sz w:val="19"/>
          <w:szCs w:val="19"/>
        </w:rPr>
        <w:t xml:space="preserve"> </w:t>
      </w:r>
      <w:r>
        <w:rPr>
          <w:spacing w:val="13"/>
          <w:sz w:val="19"/>
          <w:szCs w:val="19"/>
        </w:rPr>
        <w:t>段提供决策所需要的可靠信息。另外，通过对信息系统工程建设项目监</w:t>
      </w:r>
      <w:r>
        <w:rPr>
          <w:spacing w:val="12"/>
          <w:sz w:val="19"/>
          <w:szCs w:val="19"/>
        </w:rPr>
        <w:t>理过程信息的采集、加</w:t>
      </w:r>
      <w:r>
        <w:rPr>
          <w:sz w:val="19"/>
          <w:szCs w:val="19"/>
        </w:rPr>
        <w:t xml:space="preserve"> </w:t>
      </w:r>
      <w:r>
        <w:rPr>
          <w:spacing w:val="12"/>
          <w:sz w:val="19"/>
          <w:szCs w:val="19"/>
        </w:rPr>
        <w:t>工和处理，为监理工程师的决策提供依据，以便对工程的投资、进度、质量进行控制，同时也</w:t>
      </w:r>
      <w:r>
        <w:rPr>
          <w:spacing w:val="8"/>
          <w:sz w:val="19"/>
          <w:szCs w:val="19"/>
        </w:rPr>
        <w:t xml:space="preserve"> </w:t>
      </w:r>
      <w:r>
        <w:rPr>
          <w:spacing w:val="13"/>
          <w:sz w:val="19"/>
          <w:szCs w:val="19"/>
        </w:rPr>
        <w:t>为确定索赔的内容、金额和反索赔提供确凿的事实依据。因</w:t>
      </w:r>
      <w:r>
        <w:rPr>
          <w:spacing w:val="12"/>
          <w:sz w:val="19"/>
          <w:szCs w:val="19"/>
        </w:rPr>
        <w:t>此，信息管理是监理工作的一项重</w:t>
      </w:r>
      <w:r>
        <w:rPr>
          <w:sz w:val="19"/>
          <w:szCs w:val="19"/>
        </w:rPr>
        <w:t xml:space="preserve"> </w:t>
      </w:r>
      <w:r>
        <w:rPr>
          <w:spacing w:val="3"/>
          <w:sz w:val="19"/>
          <w:szCs w:val="19"/>
        </w:rPr>
        <w:t>要内容。</w:t>
      </w:r>
    </w:p>
    <w:p w14:paraId="51A32B9F">
      <w:pPr>
        <w:pStyle w:val="2"/>
        <w:spacing w:before="47" w:line="302" w:lineRule="auto"/>
        <w:ind w:right="297" w:firstLine="400"/>
        <w:jc w:val="both"/>
        <w:rPr>
          <w:sz w:val="19"/>
          <w:szCs w:val="19"/>
        </w:rPr>
      </w:pPr>
      <w:r>
        <w:rPr>
          <w:spacing w:val="12"/>
          <w:sz w:val="19"/>
          <w:szCs w:val="19"/>
        </w:rPr>
        <w:t>承建单位对信息系统工程信息的收集和管理很重要，但在实际工作中，该项工作通常没有</w:t>
      </w:r>
      <w:r>
        <w:rPr>
          <w:spacing w:val="10"/>
          <w:sz w:val="19"/>
          <w:szCs w:val="19"/>
        </w:rPr>
        <w:t xml:space="preserve"> </w:t>
      </w:r>
      <w:r>
        <w:rPr>
          <w:spacing w:val="13"/>
          <w:sz w:val="19"/>
          <w:szCs w:val="19"/>
        </w:rPr>
        <w:t>引起承建单位乃至业主单位的足够重视。承建单位移交的资</w:t>
      </w:r>
      <w:r>
        <w:rPr>
          <w:spacing w:val="12"/>
          <w:sz w:val="19"/>
          <w:szCs w:val="19"/>
        </w:rPr>
        <w:t>料不齐全、内容不翔实是信息系统</w:t>
      </w:r>
      <w:r>
        <w:rPr>
          <w:sz w:val="19"/>
          <w:szCs w:val="19"/>
        </w:rPr>
        <w:t xml:space="preserve"> </w:t>
      </w:r>
      <w:r>
        <w:rPr>
          <w:spacing w:val="4"/>
          <w:sz w:val="19"/>
          <w:szCs w:val="19"/>
        </w:rPr>
        <w:t>工程中普遍存在的现象。</w:t>
      </w:r>
    </w:p>
    <w:p w14:paraId="6C459BE2">
      <w:pPr>
        <w:pStyle w:val="2"/>
        <w:spacing w:before="104" w:line="222" w:lineRule="auto"/>
        <w:ind w:left="402"/>
        <w:rPr>
          <w:rFonts w:ascii="黑体" w:hAnsi="黑体" w:eastAsia="黑体" w:cs="黑体"/>
          <w:sz w:val="19"/>
          <w:szCs w:val="19"/>
        </w:rPr>
      </w:pPr>
      <w:r>
        <w:rPr>
          <w:b/>
          <w:bCs/>
          <w:color w:val="0071D5"/>
          <w:spacing w:val="7"/>
          <w:sz w:val="19"/>
          <w:szCs w:val="19"/>
        </w:rPr>
        <w:t>2.</w:t>
      </w:r>
      <w:r>
        <w:rPr>
          <w:rFonts w:ascii="黑体" w:hAnsi="黑体" w:eastAsia="黑体" w:cs="黑体"/>
          <w:b/>
          <w:bCs/>
          <w:color w:val="0071D5"/>
          <w:spacing w:val="7"/>
          <w:sz w:val="19"/>
          <w:szCs w:val="19"/>
        </w:rPr>
        <w:t>监理信息管理工作的重要性</w:t>
      </w:r>
    </w:p>
    <w:p w14:paraId="4613E303">
      <w:pPr>
        <w:pStyle w:val="2"/>
        <w:spacing w:before="164" w:line="219" w:lineRule="auto"/>
        <w:ind w:left="400"/>
        <w:rPr>
          <w:sz w:val="19"/>
          <w:szCs w:val="19"/>
        </w:rPr>
      </w:pPr>
      <w:r>
        <w:rPr>
          <w:spacing w:val="8"/>
          <w:sz w:val="19"/>
          <w:szCs w:val="19"/>
        </w:rPr>
        <w:t>监理信息管理工作的重要性主要体现在以下几个方面。</w:t>
      </w:r>
    </w:p>
    <w:p w14:paraId="5DC4C7E5">
      <w:pPr>
        <w:pStyle w:val="2"/>
        <w:spacing w:before="86" w:line="219" w:lineRule="auto"/>
        <w:ind w:left="400"/>
        <w:rPr>
          <w:sz w:val="19"/>
          <w:szCs w:val="19"/>
        </w:rPr>
      </w:pPr>
      <w:r>
        <w:rPr>
          <w:spacing w:val="11"/>
          <w:sz w:val="19"/>
          <w:szCs w:val="19"/>
        </w:rPr>
        <w:t>(1)信息是项目监理不可缺少的资源。</w:t>
      </w:r>
    </w:p>
    <w:p w14:paraId="5FA9A1AC">
      <w:pPr>
        <w:pStyle w:val="2"/>
        <w:spacing w:before="96" w:line="296" w:lineRule="auto"/>
        <w:ind w:right="212" w:firstLine="400"/>
        <w:rPr>
          <w:sz w:val="19"/>
          <w:szCs w:val="19"/>
        </w:rPr>
      </w:pPr>
      <w:r>
        <w:rPr>
          <w:spacing w:val="10"/>
          <w:sz w:val="19"/>
          <w:szCs w:val="19"/>
        </w:rPr>
        <w:t>信息系统工程建设项目的建设过程，实际上是人、财、物、技术、设备等资</w:t>
      </w:r>
      <w:r>
        <w:rPr>
          <w:spacing w:val="9"/>
          <w:sz w:val="19"/>
          <w:szCs w:val="19"/>
        </w:rPr>
        <w:t>源投入的过程，</w:t>
      </w:r>
      <w:r>
        <w:rPr>
          <w:sz w:val="19"/>
          <w:szCs w:val="19"/>
        </w:rPr>
        <w:t xml:space="preserve"> </w:t>
      </w:r>
      <w:r>
        <w:rPr>
          <w:spacing w:val="13"/>
          <w:sz w:val="19"/>
          <w:szCs w:val="19"/>
        </w:rPr>
        <w:t>想要高效、优质、低耗地完成工程建设任务，必须通过信</w:t>
      </w:r>
      <w:r>
        <w:rPr>
          <w:spacing w:val="12"/>
          <w:sz w:val="19"/>
          <w:szCs w:val="19"/>
        </w:rPr>
        <w:t>息的收集、加工、处理和应用实现对</w:t>
      </w:r>
      <w:r>
        <w:rPr>
          <w:sz w:val="19"/>
          <w:szCs w:val="19"/>
        </w:rPr>
        <w:t xml:space="preserve">  </w:t>
      </w:r>
      <w:r>
        <w:rPr>
          <w:spacing w:val="13"/>
          <w:sz w:val="19"/>
          <w:szCs w:val="19"/>
        </w:rPr>
        <w:t>上述资源的规划和控制。项目监理的主要作用就是通过对信息的掌握来</w:t>
      </w:r>
      <w:r>
        <w:rPr>
          <w:spacing w:val="12"/>
          <w:sz w:val="19"/>
          <w:szCs w:val="19"/>
        </w:rPr>
        <w:t>规划及调节上述资源的</w:t>
      </w:r>
      <w:r>
        <w:rPr>
          <w:sz w:val="19"/>
          <w:szCs w:val="19"/>
        </w:rPr>
        <w:t xml:space="preserve">  </w:t>
      </w:r>
      <w:r>
        <w:rPr>
          <w:spacing w:val="12"/>
          <w:sz w:val="19"/>
          <w:szCs w:val="19"/>
        </w:rPr>
        <w:t>数量、方向、速度和目标，使上述资源按照一定的规划运动，实现工程建设的投资、进度和质</w:t>
      </w:r>
      <w:r>
        <w:rPr>
          <w:spacing w:val="9"/>
          <w:sz w:val="19"/>
          <w:szCs w:val="19"/>
        </w:rPr>
        <w:t xml:space="preserve">  </w:t>
      </w:r>
      <w:r>
        <w:rPr>
          <w:spacing w:val="3"/>
          <w:sz w:val="19"/>
          <w:szCs w:val="19"/>
        </w:rPr>
        <w:t>量目标。</w:t>
      </w:r>
    </w:p>
    <w:p w14:paraId="44D1B757">
      <w:pPr>
        <w:pStyle w:val="2"/>
        <w:spacing w:before="26" w:line="219" w:lineRule="auto"/>
        <w:ind w:left="400"/>
        <w:rPr>
          <w:sz w:val="19"/>
          <w:szCs w:val="19"/>
        </w:rPr>
      </w:pPr>
      <w:r>
        <w:rPr>
          <w:spacing w:val="12"/>
          <w:sz w:val="19"/>
          <w:szCs w:val="19"/>
        </w:rPr>
        <w:t>(2)信息是监理工程师实施控制的基础。</w:t>
      </w:r>
    </w:p>
    <w:p w14:paraId="74194580">
      <w:pPr>
        <w:pStyle w:val="2"/>
        <w:spacing w:before="74" w:line="293" w:lineRule="auto"/>
        <w:ind w:right="298" w:firstLine="400"/>
        <w:rPr>
          <w:sz w:val="19"/>
          <w:szCs w:val="19"/>
        </w:rPr>
      </w:pPr>
      <w:r>
        <w:rPr>
          <w:spacing w:val="12"/>
          <w:sz w:val="19"/>
          <w:szCs w:val="19"/>
        </w:rPr>
        <w:t>监督控制是信息系统工程建设项目管理的主要手段。监督控制的主要任务是将计划目标与</w:t>
      </w:r>
      <w:r>
        <w:rPr>
          <w:spacing w:val="16"/>
          <w:sz w:val="19"/>
          <w:szCs w:val="19"/>
        </w:rPr>
        <w:t xml:space="preserve"> </w:t>
      </w:r>
      <w:r>
        <w:rPr>
          <w:spacing w:val="13"/>
          <w:sz w:val="19"/>
          <w:szCs w:val="19"/>
        </w:rPr>
        <w:t>实际目标进行分析比较，找出差异和产生问题的原因，采</w:t>
      </w:r>
      <w:r>
        <w:rPr>
          <w:spacing w:val="12"/>
          <w:sz w:val="19"/>
          <w:szCs w:val="19"/>
        </w:rPr>
        <w:t>取措施排除和预防偏差，保证项目建</w:t>
      </w:r>
      <w:r>
        <w:rPr>
          <w:sz w:val="19"/>
          <w:szCs w:val="19"/>
        </w:rPr>
        <w:t xml:space="preserve"> </w:t>
      </w:r>
      <w:r>
        <w:rPr>
          <w:spacing w:val="5"/>
          <w:sz w:val="19"/>
          <w:szCs w:val="19"/>
        </w:rPr>
        <w:t>设目标的实现。</w:t>
      </w:r>
    </w:p>
    <w:p w14:paraId="5D3B91B5">
      <w:pPr>
        <w:pStyle w:val="2"/>
        <w:spacing w:before="25" w:line="292" w:lineRule="auto"/>
        <w:ind w:right="232" w:firstLine="400"/>
        <w:jc w:val="both"/>
        <w:rPr>
          <w:sz w:val="19"/>
          <w:szCs w:val="19"/>
        </w:rPr>
      </w:pPr>
      <w:r>
        <w:rPr>
          <w:spacing w:val="9"/>
          <w:sz w:val="19"/>
          <w:szCs w:val="19"/>
        </w:rPr>
        <w:t>为了有效地控制项目的质量、进度、投资三大目标，监理工程师应当掌握项目建设的质量、</w:t>
      </w:r>
      <w:r>
        <w:rPr>
          <w:spacing w:val="13"/>
          <w:sz w:val="19"/>
          <w:szCs w:val="19"/>
        </w:rPr>
        <w:t xml:space="preserve"> 进度、投资目标的计划值和实际值。只有掌握了这两方面的信</w:t>
      </w:r>
      <w:r>
        <w:rPr>
          <w:spacing w:val="12"/>
          <w:sz w:val="19"/>
          <w:szCs w:val="19"/>
        </w:rPr>
        <w:t>息，监理工程师才能实施控制工</w:t>
      </w:r>
      <w:r>
        <w:rPr>
          <w:sz w:val="19"/>
          <w:szCs w:val="19"/>
        </w:rPr>
        <w:t xml:space="preserve"> </w:t>
      </w:r>
      <w:r>
        <w:rPr>
          <w:spacing w:val="8"/>
          <w:sz w:val="19"/>
          <w:szCs w:val="19"/>
        </w:rPr>
        <w:t>作。因此，从控制角度讲，如果没有信息，监理工程师就无法实施正确的监督。</w:t>
      </w:r>
    </w:p>
    <w:p w14:paraId="247046D7">
      <w:pPr>
        <w:pStyle w:val="2"/>
        <w:spacing w:before="28" w:line="219" w:lineRule="auto"/>
        <w:ind w:left="400"/>
        <w:rPr>
          <w:sz w:val="19"/>
          <w:szCs w:val="19"/>
        </w:rPr>
      </w:pPr>
      <w:r>
        <w:rPr>
          <w:spacing w:val="11"/>
          <w:sz w:val="19"/>
          <w:szCs w:val="19"/>
        </w:rPr>
        <w:t>(3)信息是进行项目决策的依据。</w:t>
      </w:r>
    </w:p>
    <w:p w14:paraId="10105B24">
      <w:pPr>
        <w:pStyle w:val="2"/>
        <w:spacing w:before="83" w:line="296" w:lineRule="auto"/>
        <w:ind w:right="276" w:firstLine="400"/>
        <w:rPr>
          <w:sz w:val="19"/>
          <w:szCs w:val="19"/>
        </w:rPr>
      </w:pPr>
      <w:r>
        <w:rPr>
          <w:spacing w:val="18"/>
          <w:sz w:val="19"/>
          <w:szCs w:val="19"/>
        </w:rPr>
        <w:t>信息系统工程建设项目监理决策的正确与否，将直接影响建设总目标的实现，而影响决</w:t>
      </w:r>
      <w:r>
        <w:rPr>
          <w:spacing w:val="2"/>
          <w:sz w:val="19"/>
          <w:szCs w:val="19"/>
        </w:rPr>
        <w:t xml:space="preserve"> </w:t>
      </w:r>
      <w:r>
        <w:rPr>
          <w:spacing w:val="18"/>
          <w:sz w:val="19"/>
          <w:szCs w:val="19"/>
        </w:rPr>
        <w:t>策正确与否的主要因素之一就是信息。如果没有可靠、正确的信息做依据，监理工程师就不</w:t>
      </w:r>
      <w:r>
        <w:rPr>
          <w:spacing w:val="9"/>
          <w:sz w:val="19"/>
          <w:szCs w:val="19"/>
        </w:rPr>
        <w:t xml:space="preserve"> </w:t>
      </w:r>
      <w:r>
        <w:rPr>
          <w:spacing w:val="18"/>
          <w:sz w:val="19"/>
          <w:szCs w:val="19"/>
        </w:rPr>
        <w:t>能做出正确的决策。例如，实施阶段支付工程进度款时，监理</w:t>
      </w:r>
      <w:r>
        <w:rPr>
          <w:spacing w:val="17"/>
          <w:sz w:val="19"/>
          <w:szCs w:val="19"/>
        </w:rPr>
        <w:t>工程师只有在掌握有关合同规</w:t>
      </w:r>
      <w:r>
        <w:rPr>
          <w:sz w:val="19"/>
          <w:szCs w:val="19"/>
        </w:rPr>
        <w:t xml:space="preserve"> </w:t>
      </w:r>
      <w:r>
        <w:rPr>
          <w:spacing w:val="13"/>
          <w:sz w:val="19"/>
          <w:szCs w:val="19"/>
        </w:rPr>
        <w:t>定及实际实施状况等信息后，才能决定是否支付或支付多少等。因此，</w:t>
      </w:r>
      <w:r>
        <w:rPr>
          <w:spacing w:val="12"/>
          <w:sz w:val="19"/>
          <w:szCs w:val="19"/>
        </w:rPr>
        <w:t>信息是项目正确决策的</w:t>
      </w:r>
      <w:r>
        <w:rPr>
          <w:sz w:val="19"/>
          <w:szCs w:val="19"/>
        </w:rPr>
        <w:t xml:space="preserve"> </w:t>
      </w:r>
      <w:r>
        <w:rPr>
          <w:spacing w:val="1"/>
          <w:sz w:val="19"/>
          <w:szCs w:val="19"/>
        </w:rPr>
        <w:t>依据。</w:t>
      </w:r>
    </w:p>
    <w:p w14:paraId="6DAE8A83">
      <w:pPr>
        <w:pStyle w:val="2"/>
        <w:spacing w:before="9" w:line="219" w:lineRule="auto"/>
        <w:ind w:left="400"/>
        <w:rPr>
          <w:sz w:val="19"/>
          <w:szCs w:val="19"/>
        </w:rPr>
      </w:pPr>
      <w:r>
        <w:rPr>
          <w:spacing w:val="12"/>
          <w:sz w:val="19"/>
          <w:szCs w:val="19"/>
        </w:rPr>
        <w:t>(4)信息是监理工程师协调项目相关方之间关系的</w:t>
      </w:r>
      <w:r>
        <w:rPr>
          <w:spacing w:val="11"/>
          <w:sz w:val="19"/>
          <w:szCs w:val="19"/>
        </w:rPr>
        <w:t>纽带。</w:t>
      </w:r>
    </w:p>
    <w:p w14:paraId="104908A0">
      <w:pPr>
        <w:pStyle w:val="2"/>
        <w:spacing w:before="94" w:line="278" w:lineRule="auto"/>
        <w:ind w:right="298" w:firstLine="400"/>
        <w:rPr>
          <w:sz w:val="19"/>
          <w:szCs w:val="19"/>
        </w:rPr>
      </w:pPr>
      <w:r>
        <w:rPr>
          <w:spacing w:val="13"/>
          <w:sz w:val="19"/>
          <w:szCs w:val="19"/>
        </w:rPr>
        <w:t>信息系统工程建设项目涉及众多单位，例如上级主管政府部门、业</w:t>
      </w:r>
      <w:r>
        <w:rPr>
          <w:spacing w:val="12"/>
          <w:sz w:val="19"/>
          <w:szCs w:val="19"/>
        </w:rPr>
        <w:t>主单位、监理单位、设</w:t>
      </w:r>
      <w:r>
        <w:rPr>
          <w:sz w:val="19"/>
          <w:szCs w:val="19"/>
        </w:rPr>
        <w:t xml:space="preserve"> </w:t>
      </w:r>
      <w:r>
        <w:rPr>
          <w:spacing w:val="13"/>
          <w:sz w:val="19"/>
          <w:szCs w:val="19"/>
        </w:rPr>
        <w:t>计单位、实施单位和设备供应单位等，这些单位都会对项</w:t>
      </w:r>
      <w:r>
        <w:rPr>
          <w:spacing w:val="12"/>
          <w:sz w:val="19"/>
          <w:szCs w:val="19"/>
        </w:rPr>
        <w:t>目目标的实现带来一定影响。要使这</w:t>
      </w:r>
    </w:p>
    <w:p w14:paraId="7BFF8F40">
      <w:pPr>
        <w:spacing w:line="278" w:lineRule="auto"/>
        <w:rPr>
          <w:sz w:val="19"/>
          <w:szCs w:val="19"/>
        </w:rPr>
        <w:sectPr>
          <w:pgSz w:w="10280" w:h="13270"/>
          <w:pgMar w:top="369" w:right="532" w:bottom="400" w:left="1139" w:header="0" w:footer="0" w:gutter="0"/>
          <w:cols w:space="720" w:num="1"/>
        </w:sectPr>
      </w:pPr>
    </w:p>
    <w:p w14:paraId="4CC9A1C3">
      <w:pPr>
        <w:pStyle w:val="2"/>
        <w:rPr>
          <w:sz w:val="20"/>
          <w:szCs w:val="20"/>
        </w:rPr>
      </w:pPr>
      <w:r>
        <w:rPr>
          <w:rFonts w:ascii="Times New Roman" w:hAnsi="Times New Roman" w:eastAsia="Times New Roman" w:cs="Times New Roman"/>
          <w:spacing w:val="-2"/>
          <w:position w:val="-4"/>
          <w:sz w:val="20"/>
          <w:szCs w:val="20"/>
        </w:rPr>
        <w:t xml:space="preserve">334 </w:t>
      </w:r>
      <w:r>
        <w:rPr>
          <w:position w:val="-9"/>
          <w:sz w:val="20"/>
          <w:szCs w:val="20"/>
        </w:rPr>
        <w:drawing>
          <wp:inline distT="0" distB="0" distL="0" distR="0">
            <wp:extent cx="266065" cy="2025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209"/>
                    <a:stretch>
                      <a:fillRect/>
                    </a:stretch>
                  </pic:blipFill>
                  <pic:spPr>
                    <a:xfrm>
                      <a:off x="0" y="0"/>
                      <a:ext cx="266656" cy="203131"/>
                    </a:xfrm>
                    <a:prstGeom prst="rect">
                      <a:avLst/>
                    </a:prstGeom>
                  </pic:spPr>
                </pic:pic>
              </a:graphicData>
            </a:graphic>
          </wp:inline>
        </w:drawing>
      </w:r>
      <w:r>
        <w:rPr>
          <w:rFonts w:ascii="Times New Roman" w:hAnsi="Times New Roman" w:eastAsia="Times New Roman" w:cs="Times New Roman"/>
          <w:position w:val="-4"/>
          <w:sz w:val="20"/>
          <w:szCs w:val="20"/>
        </w:rPr>
        <w:t xml:space="preserve">    </w:t>
      </w:r>
      <w:r>
        <w:rPr>
          <w:spacing w:val="-2"/>
          <w:sz w:val="20"/>
          <w:szCs w:val="20"/>
        </w:rPr>
        <w:t>信息系统监理师教程(第2版)</w:t>
      </w:r>
    </w:p>
    <w:p w14:paraId="2F3CF9C0">
      <w:pPr>
        <w:spacing w:line="281" w:lineRule="auto"/>
        <w:rPr>
          <w:rFonts w:ascii="Arial"/>
          <w:sz w:val="21"/>
        </w:rPr>
      </w:pPr>
    </w:p>
    <w:p w14:paraId="5FA9627D">
      <w:pPr>
        <w:pStyle w:val="2"/>
        <w:spacing w:before="65" w:line="274" w:lineRule="auto"/>
        <w:ind w:left="340" w:right="54"/>
        <w:rPr>
          <w:sz w:val="20"/>
          <w:szCs w:val="20"/>
        </w:rPr>
      </w:pPr>
      <w:r>
        <w:rPr>
          <w:spacing w:val="4"/>
          <w:sz w:val="20"/>
          <w:szCs w:val="20"/>
        </w:rPr>
        <w:t>些单位协调一致，就必须通过信息将他们组织起</w:t>
      </w:r>
      <w:r>
        <w:rPr>
          <w:spacing w:val="3"/>
          <w:sz w:val="20"/>
          <w:szCs w:val="20"/>
        </w:rPr>
        <w:t>来，处理好各方面的关系，协调好他们之间的</w:t>
      </w:r>
      <w:r>
        <w:rPr>
          <w:sz w:val="20"/>
          <w:szCs w:val="20"/>
        </w:rPr>
        <w:t xml:space="preserve"> </w:t>
      </w:r>
      <w:r>
        <w:rPr>
          <w:spacing w:val="-4"/>
          <w:sz w:val="20"/>
          <w:szCs w:val="20"/>
        </w:rPr>
        <w:t>活动，实现建设目标。</w:t>
      </w:r>
    </w:p>
    <w:p w14:paraId="2D5576EF">
      <w:pPr>
        <w:pStyle w:val="2"/>
        <w:spacing w:before="36" w:line="282" w:lineRule="auto"/>
        <w:ind w:left="340" w:firstLine="400"/>
        <w:rPr>
          <w:sz w:val="20"/>
          <w:szCs w:val="20"/>
        </w:rPr>
      </w:pPr>
      <w:r>
        <w:rPr>
          <w:spacing w:val="5"/>
          <w:sz w:val="20"/>
          <w:szCs w:val="20"/>
        </w:rPr>
        <w:t>总之，信息渗透了信息系统工程监理工作的各个方面，是工程监理活动不可缺少的要素。</w:t>
      </w:r>
      <w:r>
        <w:rPr>
          <w:spacing w:val="4"/>
          <w:sz w:val="20"/>
          <w:szCs w:val="20"/>
        </w:rPr>
        <w:t xml:space="preserve"> </w:t>
      </w:r>
      <w:r>
        <w:rPr>
          <w:spacing w:val="-2"/>
          <w:sz w:val="20"/>
          <w:szCs w:val="20"/>
        </w:rPr>
        <w:t>同其他资源一样，信息是十分重要和宝贵的资源，必须充分地开发和利用。</w:t>
      </w:r>
    </w:p>
    <w:p w14:paraId="19407B96">
      <w:pPr>
        <w:spacing w:line="302" w:lineRule="auto"/>
        <w:rPr>
          <w:rFonts w:ascii="Arial"/>
          <w:sz w:val="21"/>
        </w:rPr>
      </w:pPr>
    </w:p>
    <w:p w14:paraId="6C05A0AA">
      <w:pPr>
        <w:pStyle w:val="2"/>
        <w:spacing w:before="91" w:line="221" w:lineRule="auto"/>
        <w:ind w:left="344"/>
        <w:rPr>
          <w:rFonts w:ascii="黑体" w:hAnsi="黑体" w:eastAsia="黑体" w:cs="黑体"/>
          <w:sz w:val="28"/>
          <w:szCs w:val="28"/>
        </w:rPr>
      </w:pPr>
      <w:r>
        <w:rPr>
          <w:b/>
          <w:bCs/>
          <w:color w:val="0075DC"/>
          <w:spacing w:val="-7"/>
          <w:sz w:val="28"/>
          <w:szCs w:val="28"/>
        </w:rPr>
        <w:t>14.2</w:t>
      </w:r>
      <w:r>
        <w:rPr>
          <w:color w:val="0075DC"/>
          <w:spacing w:val="128"/>
          <w:sz w:val="28"/>
          <w:szCs w:val="28"/>
        </w:rPr>
        <w:t xml:space="preserve"> </w:t>
      </w:r>
      <w:r>
        <w:rPr>
          <w:rFonts w:ascii="黑体" w:hAnsi="黑体" w:eastAsia="黑体" w:cs="黑体"/>
          <w:b/>
          <w:bCs/>
          <w:color w:val="0075DC"/>
          <w:spacing w:val="-7"/>
          <w:sz w:val="28"/>
          <w:szCs w:val="28"/>
        </w:rPr>
        <w:t>信息资料管理方法</w:t>
      </w:r>
    </w:p>
    <w:p w14:paraId="6092EFBF">
      <w:pPr>
        <w:pStyle w:val="2"/>
        <w:spacing w:before="256" w:line="282" w:lineRule="auto"/>
        <w:ind w:left="340" w:right="122" w:firstLine="400"/>
        <w:rPr>
          <w:sz w:val="20"/>
          <w:szCs w:val="20"/>
        </w:rPr>
      </w:pPr>
      <w:r>
        <w:rPr>
          <w:spacing w:val="2"/>
          <w:sz w:val="20"/>
          <w:szCs w:val="20"/>
        </w:rPr>
        <w:t>本节从信息系统工程信息资料的划分、监理信息资料管理方法和制定文档编制策略三个方</w:t>
      </w:r>
      <w:r>
        <w:rPr>
          <w:sz w:val="20"/>
          <w:szCs w:val="20"/>
        </w:rPr>
        <w:t xml:space="preserve"> </w:t>
      </w:r>
      <w:r>
        <w:rPr>
          <w:spacing w:val="-2"/>
          <w:sz w:val="20"/>
          <w:szCs w:val="20"/>
        </w:rPr>
        <w:t>面介绍监理在信息管理过程中的通用方法。</w:t>
      </w:r>
    </w:p>
    <w:p w14:paraId="032040E5">
      <w:pPr>
        <w:pStyle w:val="2"/>
        <w:spacing w:before="209" w:line="219" w:lineRule="auto"/>
        <w:ind w:left="343"/>
        <w:rPr>
          <w:sz w:val="25"/>
          <w:szCs w:val="25"/>
        </w:rPr>
      </w:pPr>
      <w:r>
        <w:rPr>
          <w:b/>
          <w:bCs/>
          <w:color w:val="006EDC"/>
          <w:spacing w:val="-16"/>
          <w:sz w:val="25"/>
          <w:szCs w:val="25"/>
        </w:rPr>
        <w:t>14.2.1</w:t>
      </w:r>
      <w:r>
        <w:rPr>
          <w:color w:val="006EDC"/>
          <w:spacing w:val="91"/>
          <w:sz w:val="25"/>
          <w:szCs w:val="25"/>
        </w:rPr>
        <w:t xml:space="preserve"> </w:t>
      </w:r>
      <w:r>
        <w:rPr>
          <w:b/>
          <w:bCs/>
          <w:color w:val="006EDC"/>
          <w:spacing w:val="-16"/>
          <w:sz w:val="25"/>
          <w:szCs w:val="25"/>
        </w:rPr>
        <w:t>信息系统工程信息资料的划分</w:t>
      </w:r>
    </w:p>
    <w:p w14:paraId="1DA27E84">
      <w:pPr>
        <w:pStyle w:val="2"/>
        <w:spacing w:before="145" w:line="286" w:lineRule="auto"/>
        <w:ind w:left="340" w:right="30" w:firstLine="400"/>
        <w:jc w:val="both"/>
        <w:rPr>
          <w:sz w:val="20"/>
          <w:szCs w:val="20"/>
        </w:rPr>
      </w:pPr>
      <w:r>
        <w:rPr>
          <w:spacing w:val="4"/>
          <w:sz w:val="20"/>
          <w:szCs w:val="20"/>
        </w:rPr>
        <w:t>为了便于管理信息系统工程建设项目的信息，可以将其按照工程建设信息的性质、用途、</w:t>
      </w:r>
      <w:r>
        <w:rPr>
          <w:spacing w:val="12"/>
          <w:sz w:val="20"/>
          <w:szCs w:val="20"/>
        </w:rPr>
        <w:t xml:space="preserve"> </w:t>
      </w:r>
      <w:r>
        <w:rPr>
          <w:spacing w:val="3"/>
          <w:sz w:val="20"/>
          <w:szCs w:val="20"/>
        </w:rPr>
        <w:t>载体和工程阶段进行分类，便于充分、合理、有效地利</w:t>
      </w:r>
      <w:r>
        <w:rPr>
          <w:spacing w:val="2"/>
          <w:sz w:val="20"/>
          <w:szCs w:val="20"/>
        </w:rPr>
        <w:t>用各种工程建设信息，为信息系统工程</w:t>
      </w:r>
      <w:r>
        <w:rPr>
          <w:sz w:val="20"/>
          <w:szCs w:val="20"/>
        </w:rPr>
        <w:t xml:space="preserve"> </w:t>
      </w:r>
      <w:r>
        <w:rPr>
          <w:spacing w:val="-2"/>
          <w:sz w:val="20"/>
          <w:szCs w:val="20"/>
        </w:rPr>
        <w:t>建设项目管理或工程监理提供可靠的决策支持。</w:t>
      </w:r>
    </w:p>
    <w:p w14:paraId="054C5E31">
      <w:pPr>
        <w:pStyle w:val="2"/>
        <w:spacing w:before="106" w:line="222" w:lineRule="auto"/>
        <w:ind w:left="742"/>
        <w:rPr>
          <w:rFonts w:ascii="黑体" w:hAnsi="黑体" w:eastAsia="黑体" w:cs="黑体"/>
          <w:sz w:val="20"/>
          <w:szCs w:val="20"/>
        </w:rPr>
      </w:pPr>
      <w:r>
        <w:rPr>
          <w:b/>
          <w:bCs/>
          <w:color w:val="007BCD"/>
          <w:spacing w:val="-4"/>
          <w:sz w:val="20"/>
          <w:szCs w:val="20"/>
        </w:rPr>
        <w:t>1.</w:t>
      </w:r>
      <w:r>
        <w:rPr>
          <w:rFonts w:ascii="黑体" w:hAnsi="黑体" w:eastAsia="黑体" w:cs="黑体"/>
          <w:b/>
          <w:bCs/>
          <w:color w:val="007BCD"/>
          <w:spacing w:val="-4"/>
          <w:sz w:val="20"/>
          <w:szCs w:val="20"/>
        </w:rPr>
        <w:t>按工程建设信息的性质划分</w:t>
      </w:r>
    </w:p>
    <w:p w14:paraId="030BD786">
      <w:pPr>
        <w:pStyle w:val="2"/>
        <w:spacing w:before="144" w:line="219" w:lineRule="auto"/>
        <w:ind w:left="740"/>
        <w:rPr>
          <w:sz w:val="20"/>
          <w:szCs w:val="20"/>
        </w:rPr>
      </w:pPr>
      <w:r>
        <w:rPr>
          <w:spacing w:val="-2"/>
          <w:sz w:val="20"/>
          <w:szCs w:val="20"/>
        </w:rPr>
        <w:t>按照工程建设信息的性质，可将信息资料分为</w:t>
      </w:r>
      <w:r>
        <w:rPr>
          <w:spacing w:val="-3"/>
          <w:sz w:val="20"/>
          <w:szCs w:val="20"/>
        </w:rPr>
        <w:t>以下两种：</w:t>
      </w:r>
    </w:p>
    <w:p w14:paraId="4895FF71">
      <w:pPr>
        <w:pStyle w:val="2"/>
        <w:spacing w:before="73" w:line="219" w:lineRule="auto"/>
        <w:ind w:left="740"/>
        <w:rPr>
          <w:sz w:val="20"/>
          <w:szCs w:val="20"/>
        </w:rPr>
      </w:pPr>
      <w:r>
        <w:rPr>
          <w:spacing w:val="8"/>
          <w:sz w:val="20"/>
          <w:szCs w:val="20"/>
        </w:rPr>
        <w:t>(1)引导信息。</w:t>
      </w:r>
    </w:p>
    <w:p w14:paraId="6A6B909C">
      <w:pPr>
        <w:pStyle w:val="2"/>
        <w:spacing w:before="63" w:line="301" w:lineRule="auto"/>
        <w:ind w:left="340" w:right="29" w:firstLine="400"/>
        <w:rPr>
          <w:sz w:val="17"/>
          <w:szCs w:val="17"/>
        </w:rPr>
      </w:pPr>
      <w:r>
        <w:rPr>
          <w:spacing w:val="-1"/>
          <w:sz w:val="20"/>
          <w:szCs w:val="20"/>
        </w:rPr>
        <w:t>引导信息用于指导人们的正确行为，以便有效地从事工程项目建设中的各种技术经济活动。</w:t>
      </w:r>
      <w:r>
        <w:rPr>
          <w:spacing w:val="9"/>
          <w:sz w:val="20"/>
          <w:szCs w:val="20"/>
        </w:rPr>
        <w:t xml:space="preserve"> </w:t>
      </w:r>
      <w:r>
        <w:rPr>
          <w:spacing w:val="3"/>
          <w:sz w:val="20"/>
          <w:szCs w:val="20"/>
        </w:rPr>
        <w:t>引导信息包括实施方案、实施组织设计、各种技术经济措施，以及设计变更</w:t>
      </w:r>
      <w:r>
        <w:rPr>
          <w:spacing w:val="2"/>
          <w:sz w:val="20"/>
          <w:szCs w:val="20"/>
        </w:rPr>
        <w:t>通知、技术标准和</w:t>
      </w:r>
      <w:r>
        <w:rPr>
          <w:sz w:val="20"/>
          <w:szCs w:val="20"/>
        </w:rPr>
        <w:t xml:space="preserve"> </w:t>
      </w:r>
      <w:r>
        <w:rPr>
          <w:spacing w:val="19"/>
          <w:sz w:val="17"/>
          <w:szCs w:val="17"/>
        </w:rPr>
        <w:t>规程等</w:t>
      </w:r>
      <w:r>
        <w:rPr>
          <w:spacing w:val="-43"/>
          <w:sz w:val="17"/>
          <w:szCs w:val="17"/>
        </w:rPr>
        <w:t xml:space="preserve"> </w:t>
      </w:r>
      <w:r>
        <w:rPr>
          <w:spacing w:val="19"/>
          <w:sz w:val="17"/>
          <w:szCs w:val="17"/>
        </w:rPr>
        <w:t>。</w:t>
      </w:r>
    </w:p>
    <w:p w14:paraId="0FC292FA">
      <w:pPr>
        <w:pStyle w:val="2"/>
        <w:spacing w:before="30" w:line="219" w:lineRule="auto"/>
        <w:ind w:left="740"/>
        <w:rPr>
          <w:sz w:val="20"/>
          <w:szCs w:val="20"/>
        </w:rPr>
      </w:pPr>
      <w:r>
        <w:rPr>
          <w:spacing w:val="8"/>
          <w:sz w:val="20"/>
          <w:szCs w:val="20"/>
        </w:rPr>
        <w:t>(2)辨识信息。</w:t>
      </w:r>
    </w:p>
    <w:p w14:paraId="43D023A7">
      <w:pPr>
        <w:pStyle w:val="2"/>
        <w:spacing w:before="64" w:line="277" w:lineRule="auto"/>
        <w:ind w:left="340" w:right="91" w:firstLine="400"/>
        <w:rPr>
          <w:sz w:val="20"/>
          <w:szCs w:val="20"/>
        </w:rPr>
      </w:pPr>
      <w:r>
        <w:rPr>
          <w:spacing w:val="2"/>
          <w:sz w:val="20"/>
          <w:szCs w:val="20"/>
        </w:rPr>
        <w:t>辨识信息可以用于指导人们正确认识工程项目建设中各类事物的性能、特征和效果，例如</w:t>
      </w:r>
      <w:r>
        <w:rPr>
          <w:spacing w:val="5"/>
          <w:sz w:val="20"/>
          <w:szCs w:val="20"/>
        </w:rPr>
        <w:t xml:space="preserve"> </w:t>
      </w:r>
      <w:r>
        <w:rPr>
          <w:spacing w:val="3"/>
          <w:sz w:val="20"/>
          <w:szCs w:val="20"/>
        </w:rPr>
        <w:t>软件环境、硬件环境、设备等的出厂证明书，技术合格证书</w:t>
      </w:r>
      <w:r>
        <w:rPr>
          <w:spacing w:val="2"/>
          <w:sz w:val="20"/>
          <w:szCs w:val="20"/>
        </w:rPr>
        <w:t>，试验检验报告，中间产品和最终</w:t>
      </w:r>
      <w:r>
        <w:rPr>
          <w:sz w:val="20"/>
          <w:szCs w:val="20"/>
        </w:rPr>
        <w:t xml:space="preserve"> </w:t>
      </w:r>
      <w:r>
        <w:rPr>
          <w:spacing w:val="-4"/>
          <w:sz w:val="20"/>
          <w:szCs w:val="20"/>
        </w:rPr>
        <w:t>产品的检查验收签证等。</w:t>
      </w:r>
    </w:p>
    <w:p w14:paraId="6C7493AF">
      <w:pPr>
        <w:pStyle w:val="2"/>
        <w:spacing w:before="38" w:line="303" w:lineRule="auto"/>
        <w:ind w:left="340" w:right="91" w:firstLine="400"/>
        <w:rPr>
          <w:sz w:val="17"/>
          <w:szCs w:val="17"/>
        </w:rPr>
      </w:pPr>
      <w:r>
        <w:rPr>
          <w:spacing w:val="3"/>
          <w:sz w:val="20"/>
          <w:szCs w:val="20"/>
        </w:rPr>
        <w:t>对工程项目建设中的某些信息，例如需求分析、技术方案等，既属</w:t>
      </w:r>
      <w:r>
        <w:rPr>
          <w:spacing w:val="2"/>
          <w:sz w:val="20"/>
          <w:szCs w:val="20"/>
        </w:rPr>
        <w:t>于引导信息，也属于辨</w:t>
      </w:r>
      <w:r>
        <w:rPr>
          <w:sz w:val="20"/>
          <w:szCs w:val="20"/>
        </w:rPr>
        <w:t xml:space="preserve"> </w:t>
      </w:r>
      <w:r>
        <w:rPr>
          <w:spacing w:val="19"/>
          <w:sz w:val="17"/>
          <w:szCs w:val="17"/>
        </w:rPr>
        <w:t>识信息</w:t>
      </w:r>
      <w:r>
        <w:rPr>
          <w:spacing w:val="-43"/>
          <w:sz w:val="17"/>
          <w:szCs w:val="17"/>
        </w:rPr>
        <w:t xml:space="preserve"> </w:t>
      </w:r>
      <w:r>
        <w:rPr>
          <w:spacing w:val="19"/>
          <w:sz w:val="17"/>
          <w:szCs w:val="17"/>
        </w:rPr>
        <w:t>。</w:t>
      </w:r>
    </w:p>
    <w:p w14:paraId="287D7BBE">
      <w:pPr>
        <w:pStyle w:val="2"/>
        <w:spacing w:before="119" w:line="222" w:lineRule="auto"/>
        <w:ind w:left="742"/>
        <w:rPr>
          <w:rFonts w:ascii="黑体" w:hAnsi="黑体" w:eastAsia="黑体" w:cs="黑体"/>
          <w:sz w:val="20"/>
          <w:szCs w:val="20"/>
        </w:rPr>
      </w:pPr>
      <w:r>
        <w:rPr>
          <w:b/>
          <w:bCs/>
          <w:color w:val="0078C8"/>
          <w:spacing w:val="-4"/>
          <w:sz w:val="20"/>
          <w:szCs w:val="20"/>
        </w:rPr>
        <w:t>2.</w:t>
      </w:r>
      <w:r>
        <w:rPr>
          <w:rFonts w:ascii="黑体" w:hAnsi="黑体" w:eastAsia="黑体" w:cs="黑体"/>
          <w:b/>
          <w:bCs/>
          <w:color w:val="0078C8"/>
          <w:spacing w:val="-4"/>
          <w:sz w:val="20"/>
          <w:szCs w:val="20"/>
        </w:rPr>
        <w:t>按工程建设信息的用途划分</w:t>
      </w:r>
    </w:p>
    <w:p w14:paraId="283771F9">
      <w:pPr>
        <w:pStyle w:val="2"/>
        <w:spacing w:before="132" w:line="219" w:lineRule="auto"/>
        <w:ind w:left="740"/>
        <w:rPr>
          <w:sz w:val="20"/>
          <w:szCs w:val="20"/>
        </w:rPr>
      </w:pPr>
      <w:r>
        <w:rPr>
          <w:spacing w:val="-2"/>
          <w:sz w:val="20"/>
          <w:szCs w:val="20"/>
        </w:rPr>
        <w:t>按照工程建设信息的用途，可将信息资料分为</w:t>
      </w:r>
      <w:r>
        <w:rPr>
          <w:spacing w:val="-3"/>
          <w:sz w:val="20"/>
          <w:szCs w:val="20"/>
        </w:rPr>
        <w:t>以下几种：</w:t>
      </w:r>
    </w:p>
    <w:p w14:paraId="126C6F34">
      <w:pPr>
        <w:pStyle w:val="2"/>
        <w:spacing w:before="65" w:line="219" w:lineRule="auto"/>
        <w:ind w:left="740"/>
        <w:rPr>
          <w:sz w:val="20"/>
          <w:szCs w:val="20"/>
        </w:rPr>
      </w:pPr>
      <w:r>
        <w:rPr>
          <w:spacing w:val="5"/>
          <w:sz w:val="20"/>
          <w:szCs w:val="20"/>
        </w:rPr>
        <w:t>(1)投资控制信息。</w:t>
      </w:r>
    </w:p>
    <w:p w14:paraId="61E430BB">
      <w:pPr>
        <w:pStyle w:val="2"/>
        <w:spacing w:before="61" w:line="279" w:lineRule="auto"/>
        <w:ind w:left="340" w:firstLine="400"/>
        <w:rPr>
          <w:sz w:val="20"/>
          <w:szCs w:val="20"/>
        </w:rPr>
      </w:pPr>
      <w:r>
        <w:rPr>
          <w:spacing w:val="3"/>
          <w:sz w:val="20"/>
          <w:szCs w:val="20"/>
        </w:rPr>
        <w:t>投资控制信息包括：费用规划信息，例如投资计划、投资估算、工程预算等；</w:t>
      </w:r>
      <w:r>
        <w:rPr>
          <w:spacing w:val="2"/>
          <w:sz w:val="20"/>
          <w:szCs w:val="20"/>
        </w:rPr>
        <w:t>实际费用信</w:t>
      </w:r>
      <w:r>
        <w:rPr>
          <w:sz w:val="20"/>
          <w:szCs w:val="20"/>
        </w:rPr>
        <w:t xml:space="preserve">  息，例如各类费用支出凭证、工程变更情况、工程结算签证，以及物价指数、人工、软件环</w:t>
      </w:r>
      <w:r>
        <w:rPr>
          <w:spacing w:val="-1"/>
          <w:sz w:val="20"/>
          <w:szCs w:val="20"/>
        </w:rPr>
        <w:t>境、</w:t>
      </w:r>
      <w:r>
        <w:rPr>
          <w:sz w:val="20"/>
          <w:szCs w:val="20"/>
        </w:rPr>
        <w:t xml:space="preserve"> </w:t>
      </w:r>
      <w:r>
        <w:rPr>
          <w:spacing w:val="5"/>
          <w:sz w:val="20"/>
          <w:szCs w:val="20"/>
        </w:rPr>
        <w:t>硬件设备等的市场价格等；投资控制的分析比较信息，例如费用的历史经验数</w:t>
      </w:r>
      <w:r>
        <w:rPr>
          <w:spacing w:val="4"/>
          <w:sz w:val="20"/>
          <w:szCs w:val="20"/>
        </w:rPr>
        <w:t>据、现行数据、</w:t>
      </w:r>
      <w:r>
        <w:rPr>
          <w:sz w:val="20"/>
          <w:szCs w:val="20"/>
        </w:rPr>
        <w:t xml:space="preserve"> </w:t>
      </w:r>
      <w:r>
        <w:rPr>
          <w:spacing w:val="-2"/>
          <w:sz w:val="20"/>
          <w:szCs w:val="20"/>
        </w:rPr>
        <w:t>预测数据及经济与财务分析的评价数据等。</w:t>
      </w:r>
    </w:p>
    <w:p w14:paraId="7D3A6D6B">
      <w:pPr>
        <w:pStyle w:val="2"/>
        <w:spacing w:before="32" w:line="219" w:lineRule="auto"/>
        <w:ind w:left="740"/>
        <w:rPr>
          <w:sz w:val="20"/>
          <w:szCs w:val="20"/>
        </w:rPr>
      </w:pPr>
      <w:r>
        <w:rPr>
          <w:spacing w:val="5"/>
          <w:sz w:val="20"/>
          <w:szCs w:val="20"/>
        </w:rPr>
        <w:t>(2)进度控制信息。</w:t>
      </w:r>
    </w:p>
    <w:p w14:paraId="0F42E985">
      <w:pPr>
        <w:pStyle w:val="2"/>
        <w:spacing w:before="63" w:line="281" w:lineRule="auto"/>
        <w:ind w:left="340" w:right="55" w:firstLine="400"/>
        <w:rPr>
          <w:sz w:val="20"/>
          <w:szCs w:val="20"/>
        </w:rPr>
      </w:pPr>
      <w:r>
        <w:rPr>
          <w:spacing w:val="3"/>
          <w:sz w:val="20"/>
          <w:szCs w:val="20"/>
        </w:rPr>
        <w:t>进度控制信息包括：项目进度规划，例如总进度计划、分目标进</w:t>
      </w:r>
      <w:r>
        <w:rPr>
          <w:spacing w:val="2"/>
          <w:sz w:val="20"/>
          <w:szCs w:val="20"/>
        </w:rPr>
        <w:t>度计划、各实施阶段的进</w:t>
      </w:r>
      <w:r>
        <w:rPr>
          <w:sz w:val="20"/>
          <w:szCs w:val="20"/>
        </w:rPr>
        <w:t xml:space="preserve"> </w:t>
      </w:r>
      <w:r>
        <w:rPr>
          <w:spacing w:val="4"/>
          <w:sz w:val="20"/>
          <w:szCs w:val="20"/>
        </w:rPr>
        <w:t>度计划、单项工程及单位工程实施进度计划、</w:t>
      </w:r>
      <w:r>
        <w:rPr>
          <w:spacing w:val="3"/>
          <w:sz w:val="20"/>
          <w:szCs w:val="20"/>
        </w:rPr>
        <w:t>资金及物资供应计划、劳动力及设备的配置计划</w:t>
      </w:r>
    </w:p>
    <w:p w14:paraId="09F565FF">
      <w:pPr>
        <w:spacing w:line="281" w:lineRule="auto"/>
        <w:rPr>
          <w:sz w:val="20"/>
          <w:szCs w:val="20"/>
        </w:rPr>
        <w:sectPr>
          <w:pgSz w:w="10300" w:h="13340"/>
          <w:pgMar w:top="400" w:right="1049" w:bottom="400" w:left="509" w:header="0" w:footer="0" w:gutter="0"/>
          <w:cols w:space="720" w:num="1"/>
        </w:sectPr>
      </w:pPr>
    </w:p>
    <w:p w14:paraId="198306D0">
      <w:pPr>
        <w:pStyle w:val="2"/>
        <w:jc w:val="right"/>
        <w:rPr>
          <w:rFonts w:ascii="Times New Roman" w:hAnsi="Times New Roman" w:eastAsia="Times New Roman" w:cs="Times New Roman"/>
          <w:sz w:val="17"/>
          <w:szCs w:val="17"/>
        </w:rPr>
      </w:pPr>
      <w:r>
        <w:rPr>
          <w:spacing w:val="6"/>
          <w:sz w:val="19"/>
          <w:szCs w:val="19"/>
        </w:rPr>
        <w:t>第14章</w:t>
      </w:r>
      <w:r>
        <w:rPr>
          <w:spacing w:val="40"/>
          <w:sz w:val="19"/>
          <w:szCs w:val="19"/>
        </w:rPr>
        <w:t xml:space="preserve"> </w:t>
      </w:r>
      <w:r>
        <w:rPr>
          <w:spacing w:val="6"/>
          <w:sz w:val="19"/>
          <w:szCs w:val="19"/>
        </w:rPr>
        <w:t xml:space="preserve">信息管理 </w:t>
      </w:r>
      <w:r>
        <w:rPr>
          <w:position w:val="-11"/>
          <w:sz w:val="19"/>
          <w:szCs w:val="19"/>
        </w:rPr>
        <w:drawing>
          <wp:inline distT="0" distB="0" distL="0" distR="0">
            <wp:extent cx="311150" cy="241300"/>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210"/>
                    <a:stretch>
                      <a:fillRect/>
                    </a:stretch>
                  </pic:blipFill>
                  <pic:spPr>
                    <a:xfrm>
                      <a:off x="0" y="0"/>
                      <a:ext cx="311156" cy="241359"/>
                    </a:xfrm>
                    <a:prstGeom prst="rect">
                      <a:avLst/>
                    </a:prstGeom>
                  </pic:spPr>
                </pic:pic>
              </a:graphicData>
            </a:graphic>
          </wp:inline>
        </w:drawing>
      </w:r>
      <w:r>
        <w:rPr>
          <w:rFonts w:ascii="Times New Roman" w:hAnsi="Times New Roman" w:eastAsia="Times New Roman" w:cs="Times New Roman"/>
          <w:spacing w:val="6"/>
          <w:position w:val="1"/>
          <w:sz w:val="17"/>
          <w:szCs w:val="17"/>
        </w:rPr>
        <w:t>335</w:t>
      </w:r>
    </w:p>
    <w:p w14:paraId="554BDBC0">
      <w:pPr>
        <w:spacing w:line="264" w:lineRule="auto"/>
        <w:rPr>
          <w:rFonts w:ascii="Arial"/>
          <w:sz w:val="21"/>
        </w:rPr>
      </w:pPr>
    </w:p>
    <w:p w14:paraId="43219B05">
      <w:pPr>
        <w:pStyle w:val="2"/>
        <w:spacing w:before="62" w:line="307" w:lineRule="auto"/>
        <w:ind w:right="260"/>
        <w:rPr>
          <w:sz w:val="19"/>
          <w:szCs w:val="19"/>
        </w:rPr>
      </w:pPr>
      <w:r>
        <w:rPr>
          <w:spacing w:val="13"/>
          <w:sz w:val="19"/>
          <w:szCs w:val="19"/>
        </w:rPr>
        <w:t xml:space="preserve">等；工程实际进度的统计信息，例如项目日志、实际完成工程量、实际完成工作量等；进度控 </w:t>
      </w:r>
      <w:r>
        <w:rPr>
          <w:spacing w:val="7"/>
          <w:sz w:val="19"/>
          <w:szCs w:val="19"/>
        </w:rPr>
        <w:t>制比较信息，例如工期定额、项目进展等。</w:t>
      </w:r>
    </w:p>
    <w:p w14:paraId="7A72051D">
      <w:pPr>
        <w:pStyle w:val="2"/>
        <w:spacing w:before="7" w:line="219" w:lineRule="auto"/>
        <w:ind w:left="400"/>
        <w:rPr>
          <w:sz w:val="19"/>
          <w:szCs w:val="19"/>
        </w:rPr>
      </w:pPr>
      <w:r>
        <w:rPr>
          <w:spacing w:val="14"/>
          <w:sz w:val="19"/>
          <w:szCs w:val="19"/>
        </w:rPr>
        <w:t>(3)质量控制信息。</w:t>
      </w:r>
    </w:p>
    <w:p w14:paraId="2192B45C">
      <w:pPr>
        <w:pStyle w:val="2"/>
        <w:spacing w:before="83" w:line="296" w:lineRule="auto"/>
        <w:ind w:right="246" w:firstLine="400"/>
        <w:rPr>
          <w:sz w:val="19"/>
          <w:szCs w:val="19"/>
        </w:rPr>
      </w:pPr>
      <w:r>
        <w:rPr>
          <w:spacing w:val="13"/>
          <w:sz w:val="19"/>
          <w:szCs w:val="19"/>
        </w:rPr>
        <w:t>质量控制信息包括：项目实体质量信息，例如质量检查、测试数据、隐蔽验收记录、质量</w:t>
      </w:r>
      <w:r>
        <w:rPr>
          <w:sz w:val="19"/>
          <w:szCs w:val="19"/>
        </w:rPr>
        <w:t xml:space="preserve"> </w:t>
      </w:r>
      <w:r>
        <w:rPr>
          <w:spacing w:val="13"/>
          <w:sz w:val="19"/>
          <w:szCs w:val="19"/>
        </w:rPr>
        <w:t>事故处理报告，以及材料、设备质量证明及技术验证单等；信息系统工程建设项目的功能及使</w:t>
      </w:r>
      <w:r>
        <w:rPr>
          <w:spacing w:val="15"/>
          <w:sz w:val="19"/>
          <w:szCs w:val="19"/>
        </w:rPr>
        <w:t xml:space="preserve"> </w:t>
      </w:r>
      <w:r>
        <w:rPr>
          <w:spacing w:val="13"/>
          <w:sz w:val="19"/>
          <w:szCs w:val="19"/>
        </w:rPr>
        <w:t xml:space="preserve">用价值信息，例如有关标准和规范，质量目标指标，设计文件、资料、说明等；信息系统工程 </w:t>
      </w:r>
      <w:r>
        <w:rPr>
          <w:spacing w:val="14"/>
          <w:sz w:val="19"/>
          <w:szCs w:val="19"/>
        </w:rPr>
        <w:t>建设项目的工作质量信息，例如质量体系文件，质量管理工作</w:t>
      </w:r>
      <w:r>
        <w:rPr>
          <w:spacing w:val="13"/>
          <w:sz w:val="19"/>
          <w:szCs w:val="19"/>
        </w:rPr>
        <w:t>制度，质量管理的考核制度，质</w:t>
      </w:r>
      <w:r>
        <w:rPr>
          <w:sz w:val="19"/>
          <w:szCs w:val="19"/>
        </w:rPr>
        <w:t xml:space="preserve"> </w:t>
      </w:r>
      <w:r>
        <w:rPr>
          <w:spacing w:val="7"/>
          <w:sz w:val="19"/>
          <w:szCs w:val="19"/>
        </w:rPr>
        <w:t>量管理工作的组织制度等。</w:t>
      </w:r>
    </w:p>
    <w:p w14:paraId="505A1063">
      <w:pPr>
        <w:pStyle w:val="2"/>
        <w:spacing w:before="77" w:line="219" w:lineRule="auto"/>
        <w:ind w:left="400"/>
        <w:rPr>
          <w:sz w:val="19"/>
          <w:szCs w:val="19"/>
        </w:rPr>
      </w:pPr>
      <w:r>
        <w:rPr>
          <w:spacing w:val="14"/>
          <w:sz w:val="19"/>
          <w:szCs w:val="19"/>
        </w:rPr>
        <w:t>(4)合同管理信息。</w:t>
      </w:r>
    </w:p>
    <w:p w14:paraId="121518A4">
      <w:pPr>
        <w:pStyle w:val="2"/>
        <w:spacing w:before="65" w:line="302" w:lineRule="auto"/>
        <w:ind w:right="222" w:firstLine="400"/>
        <w:rPr>
          <w:sz w:val="19"/>
          <w:szCs w:val="19"/>
        </w:rPr>
      </w:pPr>
      <w:r>
        <w:rPr>
          <w:spacing w:val="9"/>
          <w:sz w:val="19"/>
          <w:szCs w:val="19"/>
        </w:rPr>
        <w:t>合同管理信息包括：合同管理法规，例如招标投标法、民法典等；信息系统工程合同文本，</w:t>
      </w:r>
      <w:r>
        <w:rPr>
          <w:spacing w:val="14"/>
          <w:sz w:val="19"/>
          <w:szCs w:val="19"/>
        </w:rPr>
        <w:t xml:space="preserve"> </w:t>
      </w:r>
      <w:r>
        <w:rPr>
          <w:spacing w:val="13"/>
          <w:sz w:val="19"/>
          <w:szCs w:val="19"/>
        </w:rPr>
        <w:t>例如设计合同、实施合同、采购合同等；合同实施信息，例如合同执行情况、合同变更、签证</w:t>
      </w:r>
      <w:r>
        <w:rPr>
          <w:spacing w:val="14"/>
          <w:sz w:val="19"/>
          <w:szCs w:val="19"/>
        </w:rPr>
        <w:t xml:space="preserve"> </w:t>
      </w:r>
      <w:r>
        <w:rPr>
          <w:spacing w:val="6"/>
          <w:sz w:val="19"/>
          <w:szCs w:val="19"/>
        </w:rPr>
        <w:t>记录、工程索赔等。</w:t>
      </w:r>
    </w:p>
    <w:p w14:paraId="5F13CBF8">
      <w:pPr>
        <w:pStyle w:val="2"/>
        <w:spacing w:before="27" w:line="219" w:lineRule="auto"/>
        <w:ind w:left="400"/>
        <w:rPr>
          <w:sz w:val="19"/>
          <w:szCs w:val="19"/>
        </w:rPr>
      </w:pPr>
      <w:r>
        <w:rPr>
          <w:spacing w:val="14"/>
          <w:sz w:val="19"/>
          <w:szCs w:val="19"/>
        </w:rPr>
        <w:t>(5)组织协调信息。</w:t>
      </w:r>
    </w:p>
    <w:p w14:paraId="6AFEF22C">
      <w:pPr>
        <w:pStyle w:val="2"/>
        <w:spacing w:before="75" w:line="302" w:lineRule="auto"/>
        <w:ind w:right="278" w:firstLine="400"/>
        <w:rPr>
          <w:sz w:val="19"/>
          <w:szCs w:val="19"/>
        </w:rPr>
      </w:pPr>
      <w:r>
        <w:rPr>
          <w:spacing w:val="13"/>
          <w:sz w:val="19"/>
          <w:szCs w:val="19"/>
        </w:rPr>
        <w:t>组织协调信息包括：工程质量调整及信息系统工程建设项目调整的指令；工程建设合同变</w:t>
      </w:r>
      <w:r>
        <w:rPr>
          <w:sz w:val="19"/>
          <w:szCs w:val="19"/>
        </w:rPr>
        <w:t xml:space="preserve"> </w:t>
      </w:r>
      <w:r>
        <w:rPr>
          <w:spacing w:val="13"/>
          <w:sz w:val="19"/>
          <w:szCs w:val="19"/>
        </w:rPr>
        <w:t>更及其协议书；政府及主管部门对工程项目建设过程中的指令、审批文件；与信息</w:t>
      </w:r>
      <w:r>
        <w:rPr>
          <w:spacing w:val="12"/>
          <w:sz w:val="19"/>
          <w:szCs w:val="19"/>
        </w:rPr>
        <w:t>系统工程有</w:t>
      </w:r>
      <w:r>
        <w:rPr>
          <w:sz w:val="19"/>
          <w:szCs w:val="19"/>
        </w:rPr>
        <w:t xml:space="preserve"> </w:t>
      </w:r>
      <w:r>
        <w:rPr>
          <w:spacing w:val="6"/>
          <w:sz w:val="19"/>
          <w:szCs w:val="19"/>
        </w:rPr>
        <w:t>关的法规及技术标准。</w:t>
      </w:r>
    </w:p>
    <w:p w14:paraId="1A344CA6">
      <w:pPr>
        <w:pStyle w:val="2"/>
        <w:spacing w:before="28" w:line="219" w:lineRule="auto"/>
        <w:ind w:left="400"/>
        <w:rPr>
          <w:sz w:val="19"/>
          <w:szCs w:val="19"/>
        </w:rPr>
      </w:pPr>
      <w:r>
        <w:rPr>
          <w:spacing w:val="12"/>
          <w:sz w:val="19"/>
          <w:szCs w:val="19"/>
        </w:rPr>
        <w:t>(6)其他用途的信息。</w:t>
      </w:r>
    </w:p>
    <w:p w14:paraId="4FCC4AFB">
      <w:pPr>
        <w:pStyle w:val="2"/>
        <w:spacing w:before="94" w:line="288" w:lineRule="auto"/>
        <w:ind w:right="260" w:firstLine="400"/>
        <w:rPr>
          <w:sz w:val="19"/>
          <w:szCs w:val="19"/>
        </w:rPr>
      </w:pPr>
      <w:r>
        <w:rPr>
          <w:spacing w:val="14"/>
          <w:sz w:val="19"/>
          <w:szCs w:val="19"/>
        </w:rPr>
        <w:t>其他用途的信息是除上述五类用途的信息外</w:t>
      </w:r>
      <w:r>
        <w:rPr>
          <w:spacing w:val="13"/>
          <w:sz w:val="19"/>
          <w:szCs w:val="19"/>
        </w:rPr>
        <w:t>，对信息系统工程建设项目决策提供辅助支持</w:t>
      </w:r>
      <w:r>
        <w:rPr>
          <w:sz w:val="19"/>
          <w:szCs w:val="19"/>
        </w:rPr>
        <w:t xml:space="preserve"> </w:t>
      </w:r>
      <w:r>
        <w:rPr>
          <w:spacing w:val="7"/>
          <w:sz w:val="19"/>
          <w:szCs w:val="19"/>
        </w:rPr>
        <w:t>的某些其他信息，例如工程中的往来函件等。</w:t>
      </w:r>
    </w:p>
    <w:p w14:paraId="48D2F16E">
      <w:pPr>
        <w:pStyle w:val="2"/>
        <w:spacing w:before="113" w:line="222" w:lineRule="auto"/>
        <w:ind w:left="402"/>
        <w:rPr>
          <w:rFonts w:ascii="黑体" w:hAnsi="黑体" w:eastAsia="黑体" w:cs="黑体"/>
          <w:sz w:val="19"/>
          <w:szCs w:val="19"/>
        </w:rPr>
      </w:pPr>
      <w:r>
        <w:rPr>
          <w:b/>
          <w:bCs/>
          <w:color w:val="0071D5"/>
          <w:spacing w:val="7"/>
          <w:sz w:val="19"/>
          <w:szCs w:val="19"/>
        </w:rPr>
        <w:t>3.</w:t>
      </w:r>
      <w:r>
        <w:rPr>
          <w:rFonts w:ascii="黑体" w:hAnsi="黑体" w:eastAsia="黑体" w:cs="黑体"/>
          <w:b/>
          <w:bCs/>
          <w:color w:val="0071D5"/>
          <w:spacing w:val="7"/>
          <w:sz w:val="19"/>
          <w:szCs w:val="19"/>
        </w:rPr>
        <w:t>按工程建设信息的载体划分</w:t>
      </w:r>
    </w:p>
    <w:p w14:paraId="2F3F9CE1">
      <w:pPr>
        <w:pStyle w:val="2"/>
        <w:spacing w:before="145" w:line="219" w:lineRule="auto"/>
        <w:ind w:left="400"/>
        <w:rPr>
          <w:sz w:val="19"/>
          <w:szCs w:val="19"/>
        </w:rPr>
      </w:pPr>
      <w:r>
        <w:rPr>
          <w:spacing w:val="7"/>
          <w:sz w:val="19"/>
          <w:szCs w:val="19"/>
        </w:rPr>
        <w:t>按照工程建设信息的载体，可将信息资料分为以下几种：</w:t>
      </w:r>
    </w:p>
    <w:p w14:paraId="6AF36091">
      <w:pPr>
        <w:pStyle w:val="2"/>
        <w:spacing w:before="86" w:line="219" w:lineRule="auto"/>
        <w:ind w:left="400"/>
        <w:rPr>
          <w:sz w:val="19"/>
          <w:szCs w:val="19"/>
        </w:rPr>
      </w:pPr>
      <w:r>
        <w:rPr>
          <w:spacing w:val="12"/>
          <w:sz w:val="19"/>
          <w:szCs w:val="19"/>
        </w:rPr>
        <w:t>(1)文字信息；</w:t>
      </w:r>
    </w:p>
    <w:p w14:paraId="6136B715">
      <w:pPr>
        <w:pStyle w:val="2"/>
        <w:spacing w:before="84" w:line="219" w:lineRule="auto"/>
        <w:ind w:left="400"/>
        <w:rPr>
          <w:sz w:val="19"/>
          <w:szCs w:val="19"/>
        </w:rPr>
      </w:pPr>
      <w:r>
        <w:rPr>
          <w:spacing w:val="12"/>
          <w:sz w:val="19"/>
          <w:szCs w:val="19"/>
        </w:rPr>
        <w:t>(2)语言信息；</w:t>
      </w:r>
    </w:p>
    <w:p w14:paraId="7AE4D2DE">
      <w:pPr>
        <w:pStyle w:val="2"/>
        <w:spacing w:before="85" w:line="219" w:lineRule="auto"/>
        <w:ind w:left="400"/>
        <w:rPr>
          <w:sz w:val="19"/>
          <w:szCs w:val="19"/>
        </w:rPr>
      </w:pPr>
      <w:r>
        <w:rPr>
          <w:spacing w:val="12"/>
          <w:sz w:val="19"/>
          <w:szCs w:val="19"/>
        </w:rPr>
        <w:t>(3)符号及图表信息；</w:t>
      </w:r>
    </w:p>
    <w:p w14:paraId="1EDC375F">
      <w:pPr>
        <w:pStyle w:val="2"/>
        <w:spacing w:before="84" w:line="219" w:lineRule="auto"/>
        <w:ind w:left="400"/>
        <w:rPr>
          <w:sz w:val="19"/>
          <w:szCs w:val="19"/>
        </w:rPr>
      </w:pPr>
      <w:r>
        <w:rPr>
          <w:spacing w:val="15"/>
          <w:sz w:val="19"/>
          <w:szCs w:val="19"/>
        </w:rPr>
        <w:t>(4)视频信息等。</w:t>
      </w:r>
    </w:p>
    <w:p w14:paraId="763DB9E1">
      <w:pPr>
        <w:pStyle w:val="2"/>
        <w:spacing w:before="181" w:line="222" w:lineRule="auto"/>
        <w:ind w:left="402"/>
        <w:rPr>
          <w:rFonts w:ascii="黑体" w:hAnsi="黑体" w:eastAsia="黑体" w:cs="黑体"/>
          <w:sz w:val="19"/>
          <w:szCs w:val="19"/>
        </w:rPr>
      </w:pPr>
      <w:r>
        <w:rPr>
          <w:b/>
          <w:bCs/>
          <w:color w:val="0073D8"/>
          <w:spacing w:val="7"/>
          <w:sz w:val="19"/>
          <w:szCs w:val="19"/>
        </w:rPr>
        <w:t>4.</w:t>
      </w:r>
      <w:r>
        <w:rPr>
          <w:rFonts w:ascii="黑体" w:hAnsi="黑体" w:eastAsia="黑体" w:cs="黑体"/>
          <w:b/>
          <w:bCs/>
          <w:color w:val="0073D8"/>
          <w:spacing w:val="7"/>
          <w:sz w:val="19"/>
          <w:szCs w:val="19"/>
        </w:rPr>
        <w:t>按工程阶段划分</w:t>
      </w:r>
    </w:p>
    <w:p w14:paraId="634405B3">
      <w:pPr>
        <w:pStyle w:val="2"/>
        <w:spacing w:before="134" w:line="219" w:lineRule="auto"/>
        <w:ind w:left="400"/>
        <w:rPr>
          <w:sz w:val="19"/>
          <w:szCs w:val="19"/>
        </w:rPr>
      </w:pPr>
      <w:r>
        <w:rPr>
          <w:spacing w:val="6"/>
          <w:sz w:val="19"/>
          <w:szCs w:val="19"/>
        </w:rPr>
        <w:t>按照工程阶段，可将信息资料分为以下几种：</w:t>
      </w:r>
    </w:p>
    <w:p w14:paraId="76981566">
      <w:pPr>
        <w:pStyle w:val="2"/>
        <w:spacing w:before="86" w:line="219" w:lineRule="auto"/>
        <w:ind w:left="400"/>
        <w:rPr>
          <w:sz w:val="19"/>
          <w:szCs w:val="19"/>
        </w:rPr>
      </w:pPr>
      <w:r>
        <w:rPr>
          <w:spacing w:val="11"/>
          <w:sz w:val="19"/>
          <w:szCs w:val="19"/>
        </w:rPr>
        <w:t>(1)招标及准备阶段的信息，例如投资前期的决策信息、招标投标信息等；</w:t>
      </w:r>
    </w:p>
    <w:p w14:paraId="54FD2FDB">
      <w:pPr>
        <w:pStyle w:val="2"/>
        <w:spacing w:before="85" w:line="219" w:lineRule="auto"/>
        <w:ind w:left="400"/>
        <w:rPr>
          <w:sz w:val="19"/>
          <w:szCs w:val="19"/>
        </w:rPr>
      </w:pPr>
      <w:r>
        <w:rPr>
          <w:spacing w:val="12"/>
          <w:sz w:val="19"/>
          <w:szCs w:val="19"/>
        </w:rPr>
        <w:t>(2)设计阶段的信息；</w:t>
      </w:r>
    </w:p>
    <w:p w14:paraId="3AF397B0">
      <w:pPr>
        <w:pStyle w:val="2"/>
        <w:spacing w:before="84" w:line="219" w:lineRule="auto"/>
        <w:ind w:left="400"/>
        <w:rPr>
          <w:sz w:val="19"/>
          <w:szCs w:val="19"/>
        </w:rPr>
      </w:pPr>
      <w:r>
        <w:rPr>
          <w:spacing w:val="12"/>
          <w:sz w:val="19"/>
          <w:szCs w:val="19"/>
        </w:rPr>
        <w:t>(3)实施阶段的信息；</w:t>
      </w:r>
    </w:p>
    <w:p w14:paraId="22FCCE85">
      <w:pPr>
        <w:pStyle w:val="2"/>
        <w:spacing w:before="75" w:line="219" w:lineRule="auto"/>
        <w:ind w:left="400"/>
        <w:rPr>
          <w:sz w:val="19"/>
          <w:szCs w:val="19"/>
        </w:rPr>
      </w:pPr>
      <w:r>
        <w:rPr>
          <w:spacing w:val="12"/>
          <w:sz w:val="19"/>
          <w:szCs w:val="19"/>
        </w:rPr>
        <w:t>(4)验收阶段的信息；</w:t>
      </w:r>
    </w:p>
    <w:p w14:paraId="5AB5C9BA">
      <w:pPr>
        <w:pStyle w:val="2"/>
        <w:spacing w:before="85" w:line="219" w:lineRule="auto"/>
        <w:ind w:left="400"/>
        <w:rPr>
          <w:sz w:val="19"/>
          <w:szCs w:val="19"/>
        </w:rPr>
      </w:pPr>
      <w:r>
        <w:rPr>
          <w:spacing w:val="12"/>
          <w:sz w:val="19"/>
          <w:szCs w:val="19"/>
        </w:rPr>
        <w:t>(5)运行维护阶段的信息等。</w:t>
      </w:r>
    </w:p>
    <w:p w14:paraId="5B96DD65">
      <w:pPr>
        <w:pStyle w:val="2"/>
        <w:spacing w:before="233" w:line="219" w:lineRule="auto"/>
        <w:ind w:left="3"/>
        <w:rPr>
          <w:sz w:val="25"/>
          <w:szCs w:val="25"/>
        </w:rPr>
      </w:pPr>
      <w:r>
        <w:rPr>
          <w:b/>
          <w:bCs/>
          <w:color w:val="0070E1"/>
          <w:spacing w:val="-18"/>
          <w:sz w:val="25"/>
          <w:szCs w:val="25"/>
        </w:rPr>
        <w:t>14.2.2</w:t>
      </w:r>
      <w:r>
        <w:rPr>
          <w:color w:val="0070E1"/>
          <w:spacing w:val="111"/>
          <w:sz w:val="25"/>
          <w:szCs w:val="25"/>
        </w:rPr>
        <w:t xml:space="preserve"> </w:t>
      </w:r>
      <w:r>
        <w:rPr>
          <w:b/>
          <w:bCs/>
          <w:color w:val="0070E1"/>
          <w:spacing w:val="-18"/>
          <w:sz w:val="25"/>
          <w:szCs w:val="25"/>
        </w:rPr>
        <w:t>监理信息资料管理方法</w:t>
      </w:r>
    </w:p>
    <w:p w14:paraId="451FCC1A">
      <w:pPr>
        <w:pStyle w:val="2"/>
        <w:spacing w:before="153" w:line="289" w:lineRule="auto"/>
        <w:ind w:right="257" w:firstLine="400"/>
        <w:rPr>
          <w:sz w:val="19"/>
          <w:szCs w:val="19"/>
        </w:rPr>
      </w:pPr>
      <w:r>
        <w:rPr>
          <w:spacing w:val="14"/>
          <w:sz w:val="19"/>
          <w:szCs w:val="19"/>
        </w:rPr>
        <w:t>监理信息资料包含文件、档案、往来信息等原始的</w:t>
      </w:r>
      <w:r>
        <w:rPr>
          <w:spacing w:val="13"/>
          <w:sz w:val="19"/>
          <w:szCs w:val="19"/>
        </w:rPr>
        <w:t>纸质或电子的材料。监理文档是监理工</w:t>
      </w:r>
      <w:r>
        <w:rPr>
          <w:sz w:val="19"/>
          <w:szCs w:val="19"/>
        </w:rPr>
        <w:t xml:space="preserve"> </w:t>
      </w:r>
      <w:r>
        <w:rPr>
          <w:spacing w:val="9"/>
          <w:sz w:val="19"/>
          <w:szCs w:val="19"/>
        </w:rPr>
        <w:t>作信息的重要载体，也是监理单位的工作成果之一，对监理单位和业主单位都有重要作用。</w:t>
      </w:r>
    </w:p>
    <w:p w14:paraId="2BEC7FB0">
      <w:pPr>
        <w:spacing w:line="289" w:lineRule="auto"/>
        <w:rPr>
          <w:sz w:val="19"/>
          <w:szCs w:val="19"/>
        </w:rPr>
        <w:sectPr>
          <w:pgSz w:w="10290" w:h="13290"/>
          <w:pgMar w:top="339" w:right="621" w:bottom="400" w:left="1069" w:header="0" w:footer="0" w:gutter="0"/>
          <w:cols w:space="720" w:num="1"/>
        </w:sectPr>
      </w:pPr>
    </w:p>
    <w:p w14:paraId="2EE219CE">
      <w:pPr>
        <w:pStyle w:val="2"/>
        <w:spacing w:before="58" w:line="219" w:lineRule="auto"/>
        <w:rPr>
          <w:sz w:val="20"/>
          <w:szCs w:val="20"/>
        </w:rPr>
      </w:pPr>
      <w:r>
        <w:rPr>
          <w:rFonts w:ascii="Times New Roman" w:hAnsi="Times New Roman" w:eastAsia="Times New Roman" w:cs="Times New Roman"/>
          <w:b/>
          <w:bCs/>
          <w:spacing w:val="-1"/>
          <w:sz w:val="17"/>
          <w:szCs w:val="17"/>
        </w:rPr>
        <w:t xml:space="preserve">336                 </w:t>
      </w:r>
      <w:r>
        <w:rPr>
          <w:spacing w:val="-1"/>
          <w:sz w:val="20"/>
          <w:szCs w:val="20"/>
        </w:rPr>
        <w:t>信息系统监理师教程(第2版)</w:t>
      </w:r>
    </w:p>
    <w:p w14:paraId="2B711817">
      <w:pPr>
        <w:spacing w:line="341" w:lineRule="auto"/>
        <w:rPr>
          <w:rFonts w:ascii="Arial"/>
          <w:sz w:val="21"/>
        </w:rPr>
      </w:pPr>
    </w:p>
    <w:p w14:paraId="2AE64990">
      <w:pPr>
        <w:spacing w:before="65" w:line="222" w:lineRule="auto"/>
        <w:ind w:left="772"/>
        <w:rPr>
          <w:rFonts w:ascii="黑体" w:hAnsi="黑体" w:eastAsia="黑体" w:cs="黑体"/>
          <w:sz w:val="20"/>
          <w:szCs w:val="20"/>
        </w:rPr>
      </w:pPr>
      <w:r>
        <w:rPr>
          <w:rFonts w:ascii="黑体" w:hAnsi="黑体" w:eastAsia="黑体" w:cs="黑体"/>
          <w:b/>
          <w:bCs/>
          <w:color w:val="0091E5"/>
          <w:spacing w:val="-4"/>
          <w:sz w:val="20"/>
          <w:szCs w:val="20"/>
        </w:rPr>
        <w:t>1.文档管理的作用</w:t>
      </w:r>
    </w:p>
    <w:p w14:paraId="61651EB0">
      <w:pPr>
        <w:pStyle w:val="2"/>
        <w:spacing w:before="153" w:line="219" w:lineRule="auto"/>
        <w:ind w:left="769"/>
        <w:rPr>
          <w:sz w:val="20"/>
          <w:szCs w:val="20"/>
        </w:rPr>
      </w:pPr>
      <w:r>
        <w:rPr>
          <w:spacing w:val="-2"/>
          <w:sz w:val="20"/>
          <w:szCs w:val="20"/>
        </w:rPr>
        <w:t>项目的文档管理既是业主单位的需要，也是监理单位自身的需要。</w:t>
      </w:r>
    </w:p>
    <w:p w14:paraId="5572726D">
      <w:pPr>
        <w:pStyle w:val="2"/>
        <w:spacing w:before="71" w:line="277" w:lineRule="auto"/>
        <w:ind w:left="369" w:right="70" w:firstLine="399"/>
        <w:rPr>
          <w:sz w:val="20"/>
          <w:szCs w:val="20"/>
        </w:rPr>
      </w:pPr>
      <w:r>
        <w:rPr>
          <w:spacing w:val="2"/>
          <w:sz w:val="20"/>
          <w:szCs w:val="20"/>
        </w:rPr>
        <w:t>首先，对文档进行有效管理是业主单位的要求。业主单位在将工程监理的任务委托给监理</w:t>
      </w:r>
      <w:r>
        <w:rPr>
          <w:spacing w:val="17"/>
          <w:sz w:val="20"/>
          <w:szCs w:val="20"/>
        </w:rPr>
        <w:t xml:space="preserve"> </w:t>
      </w:r>
      <w:r>
        <w:rPr>
          <w:spacing w:val="3"/>
          <w:sz w:val="20"/>
          <w:szCs w:val="20"/>
        </w:rPr>
        <w:t>单位以后，并不是不管不问了，他还需要时时关注工程的实施情况，而能够使其对工程进展情</w:t>
      </w:r>
      <w:r>
        <w:rPr>
          <w:spacing w:val="15"/>
          <w:sz w:val="20"/>
          <w:szCs w:val="20"/>
        </w:rPr>
        <w:t xml:space="preserve"> </w:t>
      </w:r>
      <w:r>
        <w:rPr>
          <w:spacing w:val="-2"/>
          <w:sz w:val="20"/>
          <w:szCs w:val="20"/>
        </w:rPr>
        <w:t>况了解得比较清楚的媒介之一就是监理文档。</w:t>
      </w:r>
    </w:p>
    <w:p w14:paraId="67B562E9">
      <w:pPr>
        <w:pStyle w:val="2"/>
        <w:spacing w:before="50" w:line="291" w:lineRule="auto"/>
        <w:ind w:left="369" w:right="86" w:firstLine="399"/>
        <w:jc w:val="both"/>
        <w:rPr>
          <w:sz w:val="20"/>
          <w:szCs w:val="20"/>
        </w:rPr>
      </w:pPr>
      <w:r>
        <w:rPr>
          <w:sz w:val="20"/>
          <w:szCs w:val="20"/>
        </w:rPr>
        <w:t>其次，高效的文档管理也是监理单位自身的需要。原因主要包括： 一是为了成功对工程进</w:t>
      </w:r>
      <w:r>
        <w:rPr>
          <w:spacing w:val="16"/>
          <w:sz w:val="20"/>
          <w:szCs w:val="20"/>
        </w:rPr>
        <w:t xml:space="preserve"> </w:t>
      </w:r>
      <w:r>
        <w:rPr>
          <w:spacing w:val="3"/>
          <w:sz w:val="20"/>
          <w:szCs w:val="20"/>
        </w:rPr>
        <w:t>行监理，必须有一套严谨的文档分类管理办法，这样工程的详细情况才可能被监理机构</w:t>
      </w:r>
      <w:r>
        <w:rPr>
          <w:spacing w:val="2"/>
          <w:sz w:val="20"/>
          <w:szCs w:val="20"/>
        </w:rPr>
        <w:t>准确掌</w:t>
      </w:r>
      <w:r>
        <w:rPr>
          <w:sz w:val="20"/>
          <w:szCs w:val="20"/>
        </w:rPr>
        <w:t xml:space="preserve"> </w:t>
      </w:r>
      <w:r>
        <w:rPr>
          <w:spacing w:val="3"/>
          <w:sz w:val="20"/>
          <w:szCs w:val="20"/>
        </w:rPr>
        <w:t>握，从而为业主单位所准确掌握；二是监理单位需要对监理人员的工作情况进行考核，以决定</w:t>
      </w:r>
      <w:r>
        <w:rPr>
          <w:sz w:val="20"/>
          <w:szCs w:val="20"/>
        </w:rPr>
        <w:t xml:space="preserve"> </w:t>
      </w:r>
      <w:r>
        <w:rPr>
          <w:spacing w:val="3"/>
          <w:sz w:val="20"/>
          <w:szCs w:val="20"/>
        </w:rPr>
        <w:t>人员的报酬和对职位进行奖惩升降，而这些最主要的依据就是监理文档；三</w:t>
      </w:r>
      <w:r>
        <w:rPr>
          <w:spacing w:val="2"/>
          <w:sz w:val="20"/>
          <w:szCs w:val="20"/>
        </w:rPr>
        <w:t>是监理文档是监理</w:t>
      </w:r>
      <w:r>
        <w:rPr>
          <w:sz w:val="20"/>
          <w:szCs w:val="20"/>
        </w:rPr>
        <w:t xml:space="preserve"> </w:t>
      </w:r>
      <w:r>
        <w:rPr>
          <w:spacing w:val="1"/>
          <w:sz w:val="20"/>
          <w:szCs w:val="20"/>
        </w:rPr>
        <w:t>工作经验最好的总结，是监理工作最好的培训</w:t>
      </w:r>
      <w:r>
        <w:rPr>
          <w:sz w:val="20"/>
          <w:szCs w:val="20"/>
        </w:rPr>
        <w:t xml:space="preserve">资料，从培养人员的角度上来说， 一套完善的文 </w:t>
      </w:r>
      <w:r>
        <w:rPr>
          <w:spacing w:val="-4"/>
          <w:sz w:val="20"/>
          <w:szCs w:val="20"/>
        </w:rPr>
        <w:t>档管理制度非常必要。</w:t>
      </w:r>
    </w:p>
    <w:p w14:paraId="7EC3C908">
      <w:pPr>
        <w:pStyle w:val="2"/>
        <w:spacing w:before="7" w:line="283" w:lineRule="auto"/>
        <w:ind w:left="369" w:firstLine="399"/>
        <w:jc w:val="both"/>
        <w:rPr>
          <w:sz w:val="20"/>
          <w:szCs w:val="20"/>
        </w:rPr>
      </w:pPr>
      <w:r>
        <w:rPr>
          <w:spacing w:val="-1"/>
          <w:sz w:val="20"/>
          <w:szCs w:val="20"/>
        </w:rPr>
        <w:t>项目文档管理工作应由监理单位承担，应选配素质高、责任心强的监理人员进行文档管理，</w:t>
      </w:r>
      <w:r>
        <w:rPr>
          <w:spacing w:val="9"/>
          <w:sz w:val="20"/>
          <w:szCs w:val="20"/>
        </w:rPr>
        <w:t xml:space="preserve"> </w:t>
      </w:r>
      <w:r>
        <w:rPr>
          <w:spacing w:val="3"/>
          <w:sz w:val="20"/>
          <w:szCs w:val="20"/>
        </w:rPr>
        <w:t>负责做好以下各方面文档的收集、整理、立卷、保管工作。文档管理由监理单位</w:t>
      </w:r>
      <w:r>
        <w:rPr>
          <w:spacing w:val="2"/>
          <w:sz w:val="20"/>
          <w:szCs w:val="20"/>
        </w:rPr>
        <w:t>负责，承建单</w:t>
      </w:r>
      <w:r>
        <w:rPr>
          <w:sz w:val="20"/>
          <w:szCs w:val="20"/>
        </w:rPr>
        <w:t xml:space="preserve">  </w:t>
      </w:r>
      <w:r>
        <w:rPr>
          <w:spacing w:val="4"/>
          <w:sz w:val="20"/>
          <w:szCs w:val="20"/>
        </w:rPr>
        <w:t>位也必须保存与之相关的文档副本。送档的资</w:t>
      </w:r>
      <w:r>
        <w:rPr>
          <w:spacing w:val="3"/>
          <w:sz w:val="20"/>
          <w:szCs w:val="20"/>
        </w:rPr>
        <w:t>料应做到格式规范、内容完备、条理清楚，手写</w:t>
      </w:r>
      <w:r>
        <w:rPr>
          <w:sz w:val="20"/>
          <w:szCs w:val="20"/>
        </w:rPr>
        <w:t xml:space="preserve"> </w:t>
      </w:r>
      <w:r>
        <w:rPr>
          <w:spacing w:val="2"/>
          <w:sz w:val="20"/>
          <w:szCs w:val="20"/>
        </w:rPr>
        <w:t>的应用碳素墨水工整书写；所有资料必须分期、分区、分类(同行业信息、素材、样盘、合同、</w:t>
      </w:r>
      <w:r>
        <w:rPr>
          <w:spacing w:val="5"/>
          <w:sz w:val="20"/>
          <w:szCs w:val="20"/>
        </w:rPr>
        <w:t xml:space="preserve"> </w:t>
      </w:r>
      <w:r>
        <w:rPr>
          <w:spacing w:val="6"/>
          <w:sz w:val="20"/>
          <w:szCs w:val="20"/>
        </w:rPr>
        <w:t>协议等)管理，时刻保证资料与实际情况的统一；负责</w:t>
      </w:r>
      <w:r>
        <w:rPr>
          <w:spacing w:val="5"/>
          <w:sz w:val="20"/>
          <w:szCs w:val="20"/>
        </w:rPr>
        <w:t>文档管理人员必须遵守保密原则，确保</w:t>
      </w:r>
      <w:r>
        <w:rPr>
          <w:sz w:val="20"/>
          <w:szCs w:val="20"/>
        </w:rPr>
        <w:t xml:space="preserve">  </w:t>
      </w:r>
      <w:r>
        <w:rPr>
          <w:spacing w:val="5"/>
          <w:sz w:val="20"/>
          <w:szCs w:val="20"/>
        </w:rPr>
        <w:t>各方信息不流失；做好监理日记及工程大事记；做好合同批复等各类往来文件的批复与存档；</w:t>
      </w:r>
      <w:r>
        <w:rPr>
          <w:spacing w:val="4"/>
          <w:sz w:val="20"/>
          <w:szCs w:val="20"/>
        </w:rPr>
        <w:t xml:space="preserve"> </w:t>
      </w:r>
      <w:r>
        <w:rPr>
          <w:spacing w:val="3"/>
          <w:sz w:val="20"/>
          <w:szCs w:val="20"/>
        </w:rPr>
        <w:t>做好项目协调会、技术专题会的会议记录；管理好项目期间的各类技术文档；提交竣</w:t>
      </w:r>
      <w:r>
        <w:rPr>
          <w:spacing w:val="2"/>
          <w:sz w:val="20"/>
          <w:szCs w:val="20"/>
        </w:rPr>
        <w:t>工文档清</w:t>
      </w:r>
      <w:r>
        <w:rPr>
          <w:sz w:val="20"/>
          <w:szCs w:val="20"/>
        </w:rPr>
        <w:t xml:space="preserve">  </w:t>
      </w:r>
      <w:r>
        <w:rPr>
          <w:spacing w:val="-3"/>
          <w:sz w:val="20"/>
          <w:szCs w:val="20"/>
        </w:rPr>
        <w:t>单，并且检查文档的合格性。</w:t>
      </w:r>
    </w:p>
    <w:p w14:paraId="2E12EF1B">
      <w:pPr>
        <w:pStyle w:val="2"/>
        <w:spacing w:before="165" w:line="222" w:lineRule="auto"/>
        <w:ind w:left="772"/>
        <w:rPr>
          <w:rFonts w:ascii="黑体" w:hAnsi="黑体" w:eastAsia="黑体" w:cs="黑体"/>
          <w:sz w:val="20"/>
          <w:szCs w:val="20"/>
        </w:rPr>
      </w:pPr>
      <w:r>
        <w:rPr>
          <w:b/>
          <w:bCs/>
          <w:color w:val="0083DB"/>
          <w:spacing w:val="-2"/>
          <w:sz w:val="20"/>
          <w:szCs w:val="20"/>
        </w:rPr>
        <w:t>2.</w:t>
      </w:r>
      <w:r>
        <w:rPr>
          <w:rFonts w:ascii="黑体" w:hAnsi="黑体" w:eastAsia="黑体" w:cs="黑体"/>
          <w:b/>
          <w:bCs/>
          <w:color w:val="0083DB"/>
          <w:spacing w:val="-2"/>
          <w:sz w:val="20"/>
          <w:szCs w:val="20"/>
        </w:rPr>
        <w:t>文档管理的注意事项</w:t>
      </w:r>
    </w:p>
    <w:p w14:paraId="757FEBF4">
      <w:pPr>
        <w:pStyle w:val="2"/>
        <w:spacing w:before="144" w:line="219" w:lineRule="auto"/>
        <w:ind w:left="769"/>
        <w:rPr>
          <w:sz w:val="20"/>
          <w:szCs w:val="20"/>
        </w:rPr>
      </w:pPr>
      <w:r>
        <w:rPr>
          <w:spacing w:val="-4"/>
          <w:sz w:val="20"/>
          <w:szCs w:val="20"/>
        </w:rPr>
        <w:t>文档管理的注意事项具体包括：</w:t>
      </w:r>
    </w:p>
    <w:p w14:paraId="0EE7B01D">
      <w:pPr>
        <w:pStyle w:val="2"/>
        <w:spacing w:before="63" w:line="257" w:lineRule="auto"/>
        <w:ind w:left="369" w:right="100" w:firstLine="399"/>
        <w:rPr>
          <w:sz w:val="20"/>
          <w:szCs w:val="20"/>
        </w:rPr>
      </w:pPr>
      <w:r>
        <w:rPr>
          <w:spacing w:val="5"/>
          <w:sz w:val="20"/>
          <w:szCs w:val="20"/>
        </w:rPr>
        <w:t>(1)文档的格式应该统一。最好能够结合监理单位自身的管理信息系统和监理工程项目管</w:t>
      </w:r>
      <w:r>
        <w:rPr>
          <w:spacing w:val="8"/>
          <w:sz w:val="20"/>
          <w:szCs w:val="20"/>
        </w:rPr>
        <w:t xml:space="preserve"> </w:t>
      </w:r>
      <w:r>
        <w:rPr>
          <w:spacing w:val="-1"/>
          <w:sz w:val="20"/>
          <w:szCs w:val="20"/>
        </w:rPr>
        <w:t>理系统或规定，统一定义文档格式，这样做的好</w:t>
      </w:r>
      <w:r>
        <w:rPr>
          <w:spacing w:val="-2"/>
          <w:sz w:val="20"/>
          <w:szCs w:val="20"/>
        </w:rPr>
        <w:t>处是便于进行管理。</w:t>
      </w:r>
    </w:p>
    <w:p w14:paraId="42174E08">
      <w:pPr>
        <w:pStyle w:val="2"/>
        <w:spacing w:before="81" w:line="248" w:lineRule="auto"/>
        <w:ind w:left="369" w:right="84" w:firstLine="399"/>
        <w:rPr>
          <w:sz w:val="20"/>
          <w:szCs w:val="20"/>
        </w:rPr>
      </w:pPr>
      <w:r>
        <w:rPr>
          <w:spacing w:val="6"/>
          <w:sz w:val="20"/>
          <w:szCs w:val="20"/>
        </w:rPr>
        <w:t>(2)文档版本的管理。新的版本出来后，旧的版本应</w:t>
      </w:r>
      <w:r>
        <w:rPr>
          <w:spacing w:val="5"/>
          <w:sz w:val="20"/>
          <w:szCs w:val="20"/>
        </w:rPr>
        <w:t>该进行相应改变，同时彻底从在行的</w:t>
      </w:r>
      <w:r>
        <w:rPr>
          <w:sz w:val="20"/>
          <w:szCs w:val="20"/>
        </w:rPr>
        <w:t xml:space="preserve"> </w:t>
      </w:r>
      <w:r>
        <w:rPr>
          <w:spacing w:val="-1"/>
          <w:sz w:val="20"/>
          <w:szCs w:val="20"/>
        </w:rPr>
        <w:t>管理库中清除，以保持文档版本的统一。</w:t>
      </w:r>
    </w:p>
    <w:p w14:paraId="768D837A">
      <w:pPr>
        <w:pStyle w:val="2"/>
        <w:spacing w:before="73" w:line="258" w:lineRule="auto"/>
        <w:ind w:left="369" w:right="40" w:firstLine="399"/>
        <w:rPr>
          <w:sz w:val="20"/>
          <w:szCs w:val="20"/>
        </w:rPr>
      </w:pPr>
      <w:r>
        <w:rPr>
          <w:spacing w:val="7"/>
          <w:sz w:val="20"/>
          <w:szCs w:val="20"/>
        </w:rPr>
        <w:t>(3)关于文档的存档标准。文档的存档标准是指某一类型的文</w:t>
      </w:r>
      <w:r>
        <w:rPr>
          <w:spacing w:val="6"/>
          <w:sz w:val="20"/>
          <w:szCs w:val="20"/>
        </w:rPr>
        <w:t>档究竟应该保存多长时间，</w:t>
      </w:r>
      <w:r>
        <w:rPr>
          <w:sz w:val="20"/>
          <w:szCs w:val="20"/>
        </w:rPr>
        <w:t xml:space="preserve"> </w:t>
      </w:r>
      <w:r>
        <w:rPr>
          <w:spacing w:val="-1"/>
          <w:sz w:val="20"/>
          <w:szCs w:val="20"/>
        </w:rPr>
        <w:t>这个问题应该由监理单位根据国家档案管理相关的要求统一进行规</w:t>
      </w:r>
      <w:r>
        <w:rPr>
          <w:spacing w:val="-2"/>
          <w:sz w:val="20"/>
          <w:szCs w:val="20"/>
        </w:rPr>
        <w:t>定。</w:t>
      </w:r>
    </w:p>
    <w:p w14:paraId="34BE6BCA">
      <w:pPr>
        <w:pStyle w:val="2"/>
        <w:spacing w:before="178" w:line="222" w:lineRule="auto"/>
        <w:ind w:left="772"/>
        <w:rPr>
          <w:rFonts w:ascii="黑体" w:hAnsi="黑体" w:eastAsia="黑体" w:cs="黑体"/>
          <w:sz w:val="20"/>
          <w:szCs w:val="20"/>
        </w:rPr>
      </w:pPr>
      <w:r>
        <w:rPr>
          <w:b/>
          <w:bCs/>
          <w:color w:val="0078C8"/>
          <w:spacing w:val="-2"/>
          <w:sz w:val="20"/>
          <w:szCs w:val="20"/>
        </w:rPr>
        <w:t>3.</w:t>
      </w:r>
      <w:r>
        <w:rPr>
          <w:rFonts w:ascii="黑体" w:hAnsi="黑体" w:eastAsia="黑体" w:cs="黑体"/>
          <w:b/>
          <w:bCs/>
          <w:color w:val="0078C8"/>
          <w:spacing w:val="-2"/>
          <w:sz w:val="20"/>
          <w:szCs w:val="20"/>
        </w:rPr>
        <w:t>归集监理信息资料时的注意事项</w:t>
      </w:r>
    </w:p>
    <w:p w14:paraId="3B3E5510">
      <w:pPr>
        <w:pStyle w:val="2"/>
        <w:spacing w:before="114" w:line="219" w:lineRule="auto"/>
        <w:ind w:left="769"/>
        <w:rPr>
          <w:sz w:val="20"/>
          <w:szCs w:val="20"/>
        </w:rPr>
      </w:pPr>
      <w:r>
        <w:rPr>
          <w:spacing w:val="-4"/>
          <w:sz w:val="20"/>
          <w:szCs w:val="20"/>
        </w:rPr>
        <w:t>归集监理信息资料时应注意以下事项：</w:t>
      </w:r>
    </w:p>
    <w:p w14:paraId="7A53971A">
      <w:pPr>
        <w:pStyle w:val="2"/>
        <w:spacing w:before="73" w:line="219" w:lineRule="auto"/>
        <w:ind w:left="769"/>
        <w:rPr>
          <w:sz w:val="20"/>
          <w:szCs w:val="20"/>
        </w:rPr>
      </w:pPr>
      <w:r>
        <w:rPr>
          <w:spacing w:val="1"/>
          <w:sz w:val="20"/>
          <w:szCs w:val="20"/>
        </w:rPr>
        <w:t>(1)监理信息资料应及时整理、真实完整、分类有序；</w:t>
      </w:r>
    </w:p>
    <w:p w14:paraId="52CD443C">
      <w:pPr>
        <w:pStyle w:val="2"/>
        <w:spacing w:before="62" w:line="219" w:lineRule="auto"/>
        <w:ind w:left="769"/>
        <w:rPr>
          <w:sz w:val="20"/>
          <w:szCs w:val="20"/>
        </w:rPr>
      </w:pPr>
      <w:r>
        <w:rPr>
          <w:spacing w:val="2"/>
          <w:sz w:val="20"/>
          <w:szCs w:val="20"/>
        </w:rPr>
        <w:t>(2)监理信息资料的管理应由总监理工程师负责，并指定专人具体实施；</w:t>
      </w:r>
    </w:p>
    <w:p w14:paraId="3AF90082">
      <w:pPr>
        <w:pStyle w:val="2"/>
        <w:spacing w:before="83" w:line="219" w:lineRule="auto"/>
        <w:ind w:left="769"/>
        <w:rPr>
          <w:sz w:val="20"/>
          <w:szCs w:val="20"/>
        </w:rPr>
      </w:pPr>
      <w:r>
        <w:rPr>
          <w:spacing w:val="1"/>
          <w:sz w:val="20"/>
          <w:szCs w:val="20"/>
        </w:rPr>
        <w:t>(3)监理信息资料应在各阶段监理工作结束后及时整理归档；</w:t>
      </w:r>
    </w:p>
    <w:p w14:paraId="28AAD2F8">
      <w:pPr>
        <w:pStyle w:val="2"/>
        <w:spacing w:before="73" w:line="219" w:lineRule="auto"/>
        <w:ind w:left="769"/>
        <w:rPr>
          <w:sz w:val="20"/>
          <w:szCs w:val="20"/>
        </w:rPr>
      </w:pPr>
      <w:r>
        <w:rPr>
          <w:spacing w:val="2"/>
          <w:sz w:val="20"/>
          <w:szCs w:val="20"/>
        </w:rPr>
        <w:t>(4)监理档案的编制及保存应按有关规定执行。</w:t>
      </w:r>
    </w:p>
    <w:p w14:paraId="58D084CA">
      <w:pPr>
        <w:pStyle w:val="2"/>
        <w:spacing w:before="148" w:line="222" w:lineRule="auto"/>
        <w:ind w:left="772"/>
        <w:rPr>
          <w:rFonts w:ascii="黑体" w:hAnsi="黑体" w:eastAsia="黑体" w:cs="黑体"/>
          <w:sz w:val="20"/>
          <w:szCs w:val="20"/>
        </w:rPr>
      </w:pPr>
      <w:r>
        <w:rPr>
          <w:b/>
          <w:bCs/>
          <w:color w:val="0078D5"/>
          <w:spacing w:val="-1"/>
          <w:sz w:val="20"/>
          <w:szCs w:val="20"/>
        </w:rPr>
        <w:t>4.</w:t>
      </w:r>
      <w:r>
        <w:rPr>
          <w:rFonts w:ascii="黑体" w:hAnsi="黑体" w:eastAsia="黑体" w:cs="黑体"/>
          <w:b/>
          <w:bCs/>
          <w:color w:val="0078D5"/>
          <w:spacing w:val="-1"/>
          <w:sz w:val="20"/>
          <w:szCs w:val="20"/>
        </w:rPr>
        <w:t>建立监理档案的原则</w:t>
      </w:r>
    </w:p>
    <w:p w14:paraId="1042F616">
      <w:pPr>
        <w:pStyle w:val="2"/>
        <w:spacing w:before="144" w:line="219" w:lineRule="auto"/>
        <w:ind w:left="769"/>
        <w:rPr>
          <w:sz w:val="20"/>
          <w:szCs w:val="20"/>
        </w:rPr>
      </w:pPr>
      <w:r>
        <w:rPr>
          <w:spacing w:val="-8"/>
          <w:sz w:val="20"/>
          <w:szCs w:val="20"/>
        </w:rPr>
        <w:t>监理信息资料归集后，应该建立工程监理档案进行管理，监理单</w:t>
      </w:r>
      <w:r>
        <w:rPr>
          <w:spacing w:val="-8"/>
          <w:sz w:val="20"/>
          <w:szCs w:val="20"/>
          <w:u w:val="single" w:color="auto"/>
        </w:rPr>
        <w:t>位建立监理</w:t>
      </w:r>
      <w:r>
        <w:rPr>
          <w:spacing w:val="-8"/>
          <w:sz w:val="20"/>
          <w:szCs w:val="20"/>
        </w:rPr>
        <w:t>档案的原则如下：</w:t>
      </w:r>
    </w:p>
    <w:p w14:paraId="38392209">
      <w:pPr>
        <w:spacing w:line="219" w:lineRule="auto"/>
        <w:rPr>
          <w:sz w:val="20"/>
          <w:szCs w:val="20"/>
        </w:rPr>
        <w:sectPr>
          <w:pgSz w:w="10300" w:h="13390"/>
          <w:pgMar w:top="400" w:right="999" w:bottom="400" w:left="520" w:header="0" w:footer="0" w:gutter="0"/>
          <w:cols w:space="720" w:num="1"/>
        </w:sectPr>
      </w:pPr>
    </w:p>
    <w:p w14:paraId="6AA05805">
      <w:pPr>
        <w:pStyle w:val="2"/>
        <w:spacing w:before="56" w:line="219" w:lineRule="auto"/>
        <w:jc w:val="right"/>
        <w:rPr>
          <w:rFonts w:ascii="Times New Roman" w:hAnsi="Times New Roman" w:eastAsia="Times New Roman" w:cs="Times New Roman"/>
          <w:sz w:val="19"/>
          <w:szCs w:val="19"/>
        </w:rPr>
      </w:pPr>
      <w:r>
        <w:rPr>
          <w:spacing w:val="5"/>
          <w:sz w:val="19"/>
          <w:szCs w:val="19"/>
        </w:rPr>
        <w:t>第14章</w:t>
      </w:r>
      <w:r>
        <w:rPr>
          <w:spacing w:val="37"/>
          <w:sz w:val="19"/>
          <w:szCs w:val="19"/>
        </w:rPr>
        <w:t xml:space="preserve"> </w:t>
      </w:r>
      <w:r>
        <w:rPr>
          <w:spacing w:val="5"/>
          <w:sz w:val="19"/>
          <w:szCs w:val="19"/>
        </w:rPr>
        <w:t>信息管理</w:t>
      </w:r>
      <w:r>
        <w:rPr>
          <w:spacing w:val="9"/>
          <w:sz w:val="19"/>
          <w:szCs w:val="19"/>
        </w:rPr>
        <w:t xml:space="preserve">      </w:t>
      </w:r>
      <w:r>
        <w:rPr>
          <w:rFonts w:ascii="Times New Roman" w:hAnsi="Times New Roman" w:eastAsia="Times New Roman" w:cs="Times New Roman"/>
          <w:spacing w:val="5"/>
          <w:position w:val="1"/>
          <w:sz w:val="19"/>
          <w:szCs w:val="19"/>
        </w:rPr>
        <w:t>337</w:t>
      </w:r>
    </w:p>
    <w:p w14:paraId="2894423D">
      <w:pPr>
        <w:spacing w:line="312" w:lineRule="auto"/>
        <w:rPr>
          <w:rFonts w:ascii="Arial"/>
          <w:sz w:val="21"/>
        </w:rPr>
      </w:pPr>
    </w:p>
    <w:p w14:paraId="7C45E413">
      <w:pPr>
        <w:pStyle w:val="2"/>
        <w:spacing w:before="62" w:line="265" w:lineRule="auto"/>
        <w:ind w:right="296" w:firstLine="409"/>
        <w:rPr>
          <w:sz w:val="19"/>
          <w:szCs w:val="19"/>
        </w:rPr>
      </w:pPr>
      <w:r>
        <w:rPr>
          <w:spacing w:val="15"/>
          <w:sz w:val="19"/>
          <w:szCs w:val="19"/>
        </w:rPr>
        <w:t>(1)为了进一步提高建设监理工作水平，促进工程建设监理工作的程序化、规范化、科学</w:t>
      </w:r>
      <w:r>
        <w:rPr>
          <w:spacing w:val="4"/>
          <w:sz w:val="19"/>
          <w:szCs w:val="19"/>
        </w:rPr>
        <w:t xml:space="preserve"> </w:t>
      </w:r>
      <w:r>
        <w:rPr>
          <w:spacing w:val="7"/>
          <w:sz w:val="19"/>
          <w:szCs w:val="19"/>
        </w:rPr>
        <w:t>化，监理单位应要求各部门认真做好监理信息资料的管理工作；</w:t>
      </w:r>
    </w:p>
    <w:p w14:paraId="00F1E9D4">
      <w:pPr>
        <w:pStyle w:val="2"/>
        <w:spacing w:before="84" w:line="270" w:lineRule="auto"/>
        <w:ind w:right="296" w:firstLine="409"/>
        <w:rPr>
          <w:sz w:val="19"/>
          <w:szCs w:val="19"/>
        </w:rPr>
      </w:pPr>
      <w:r>
        <w:rPr>
          <w:spacing w:val="15"/>
          <w:sz w:val="19"/>
          <w:szCs w:val="19"/>
        </w:rPr>
        <w:t>(2)工程监理档案应与工程形象进度同步建立，按类别及时整理归档，要求真实齐全、纸</w:t>
      </w:r>
      <w:r>
        <w:rPr>
          <w:spacing w:val="4"/>
          <w:sz w:val="19"/>
          <w:szCs w:val="19"/>
        </w:rPr>
        <w:t xml:space="preserve"> </w:t>
      </w:r>
      <w:r>
        <w:rPr>
          <w:spacing w:val="6"/>
          <w:sz w:val="19"/>
          <w:szCs w:val="19"/>
        </w:rPr>
        <w:t>张统一，编有检索目录，便于查询；</w:t>
      </w:r>
    </w:p>
    <w:p w14:paraId="60B39872">
      <w:pPr>
        <w:pStyle w:val="2"/>
        <w:spacing w:before="73" w:line="275" w:lineRule="auto"/>
        <w:ind w:right="300" w:firstLine="409"/>
        <w:rPr>
          <w:sz w:val="19"/>
          <w:szCs w:val="19"/>
        </w:rPr>
      </w:pPr>
      <w:r>
        <w:rPr>
          <w:spacing w:val="20"/>
          <w:sz w:val="19"/>
          <w:szCs w:val="19"/>
        </w:rPr>
        <w:t>(3)全面推广计算机辅助管理，实现监理信息处理的规范化，提高监理工作效率和管理</w:t>
      </w:r>
      <w:r>
        <w:rPr>
          <w:spacing w:val="10"/>
          <w:sz w:val="19"/>
          <w:szCs w:val="19"/>
        </w:rPr>
        <w:t xml:space="preserve"> </w:t>
      </w:r>
      <w:r>
        <w:rPr>
          <w:spacing w:val="4"/>
          <w:sz w:val="19"/>
          <w:szCs w:val="19"/>
        </w:rPr>
        <w:t>水平。</w:t>
      </w:r>
    </w:p>
    <w:p w14:paraId="5DD277C1">
      <w:pPr>
        <w:pStyle w:val="2"/>
        <w:spacing w:before="170" w:line="221" w:lineRule="auto"/>
        <w:ind w:left="412"/>
        <w:rPr>
          <w:rFonts w:ascii="黑体" w:hAnsi="黑体" w:eastAsia="黑体" w:cs="黑体"/>
          <w:sz w:val="19"/>
          <w:szCs w:val="19"/>
        </w:rPr>
      </w:pPr>
      <w:r>
        <w:rPr>
          <w:b/>
          <w:bCs/>
          <w:color w:val="0074DA"/>
          <w:spacing w:val="6"/>
          <w:sz w:val="19"/>
          <w:szCs w:val="19"/>
        </w:rPr>
        <w:t>5.</w:t>
      </w:r>
      <w:r>
        <w:rPr>
          <w:rFonts w:ascii="黑体" w:hAnsi="黑体" w:eastAsia="黑体" w:cs="黑体"/>
          <w:b/>
          <w:bCs/>
          <w:color w:val="0074DA"/>
          <w:spacing w:val="6"/>
          <w:sz w:val="19"/>
          <w:szCs w:val="19"/>
        </w:rPr>
        <w:t>监理单位对文档工作的责任</w:t>
      </w:r>
    </w:p>
    <w:p w14:paraId="143E0E96">
      <w:pPr>
        <w:pStyle w:val="2"/>
        <w:spacing w:before="146" w:line="306" w:lineRule="auto"/>
        <w:ind w:right="251" w:firstLine="409"/>
        <w:rPr>
          <w:sz w:val="19"/>
          <w:szCs w:val="19"/>
        </w:rPr>
      </w:pPr>
      <w:r>
        <w:rPr>
          <w:spacing w:val="9"/>
          <w:sz w:val="19"/>
          <w:szCs w:val="19"/>
        </w:rPr>
        <w:t>监理单位要认识到正式或非正式文档都是重要的，还要认识到文档工作必须包括文档计划、</w:t>
      </w:r>
      <w:r>
        <w:rPr>
          <w:spacing w:val="4"/>
          <w:sz w:val="19"/>
          <w:szCs w:val="19"/>
        </w:rPr>
        <w:t xml:space="preserve"> </w:t>
      </w:r>
      <w:r>
        <w:rPr>
          <w:spacing w:val="7"/>
          <w:sz w:val="19"/>
          <w:szCs w:val="19"/>
        </w:rPr>
        <w:t>编写、修改、形成、分发和维护等各个方面。</w:t>
      </w:r>
    </w:p>
    <w:p w14:paraId="71D98176">
      <w:pPr>
        <w:pStyle w:val="2"/>
        <w:spacing w:line="302" w:lineRule="auto"/>
        <w:ind w:right="232" w:firstLine="409"/>
        <w:jc w:val="both"/>
        <w:rPr>
          <w:sz w:val="19"/>
          <w:szCs w:val="19"/>
        </w:rPr>
      </w:pPr>
      <w:r>
        <w:rPr>
          <w:spacing w:val="10"/>
          <w:sz w:val="19"/>
          <w:szCs w:val="19"/>
        </w:rPr>
        <w:t>监理单位应严格要求信息系统工程人员和编制组完成</w:t>
      </w:r>
      <w:r>
        <w:rPr>
          <w:spacing w:val="9"/>
          <w:sz w:val="19"/>
          <w:szCs w:val="19"/>
        </w:rPr>
        <w:t>文档编制，并且在策略、标准、规程、</w:t>
      </w:r>
      <w:r>
        <w:rPr>
          <w:sz w:val="19"/>
          <w:szCs w:val="19"/>
        </w:rPr>
        <w:t xml:space="preserve"> </w:t>
      </w:r>
      <w:r>
        <w:rPr>
          <w:spacing w:val="13"/>
          <w:sz w:val="19"/>
          <w:szCs w:val="19"/>
        </w:rPr>
        <w:t>资源分配和编制计划方面给予支持，还应为编写文档的人员提供指导和</w:t>
      </w:r>
      <w:r>
        <w:rPr>
          <w:spacing w:val="12"/>
          <w:sz w:val="19"/>
          <w:szCs w:val="19"/>
        </w:rPr>
        <w:t>实际鼓励，并使各种资</w:t>
      </w:r>
      <w:r>
        <w:rPr>
          <w:sz w:val="19"/>
          <w:szCs w:val="19"/>
        </w:rPr>
        <w:t xml:space="preserve">  </w:t>
      </w:r>
      <w:r>
        <w:rPr>
          <w:spacing w:val="5"/>
          <w:sz w:val="19"/>
          <w:szCs w:val="19"/>
        </w:rPr>
        <w:t>源有效地用于文档开发。</w:t>
      </w:r>
    </w:p>
    <w:p w14:paraId="73699045">
      <w:pPr>
        <w:pStyle w:val="2"/>
        <w:spacing w:before="29" w:line="220" w:lineRule="auto"/>
        <w:ind w:left="409"/>
        <w:rPr>
          <w:sz w:val="19"/>
          <w:szCs w:val="19"/>
        </w:rPr>
      </w:pPr>
      <w:r>
        <w:rPr>
          <w:spacing w:val="3"/>
          <w:sz w:val="19"/>
          <w:szCs w:val="19"/>
        </w:rPr>
        <w:t>监理单位的主要职责包括：</w:t>
      </w:r>
    </w:p>
    <w:p w14:paraId="73D9F098">
      <w:pPr>
        <w:pStyle w:val="2"/>
        <w:spacing w:before="83" w:line="219" w:lineRule="auto"/>
        <w:ind w:left="409"/>
        <w:rPr>
          <w:sz w:val="19"/>
          <w:szCs w:val="19"/>
        </w:rPr>
      </w:pPr>
      <w:r>
        <w:rPr>
          <w:spacing w:val="10"/>
          <w:sz w:val="19"/>
          <w:szCs w:val="19"/>
        </w:rPr>
        <w:t>(1)建立编制、登记、出版、分发系统文档和软件文档的各种策略；</w:t>
      </w:r>
    </w:p>
    <w:p w14:paraId="5C0E4887">
      <w:pPr>
        <w:pStyle w:val="2"/>
        <w:spacing w:before="84" w:line="219" w:lineRule="auto"/>
        <w:ind w:left="409"/>
        <w:rPr>
          <w:sz w:val="19"/>
          <w:szCs w:val="19"/>
        </w:rPr>
      </w:pPr>
      <w:r>
        <w:rPr>
          <w:spacing w:val="10"/>
          <w:sz w:val="19"/>
          <w:szCs w:val="19"/>
        </w:rPr>
        <w:t>(2)把文档计划作为整个开发工作的一个组成部分；</w:t>
      </w:r>
    </w:p>
    <w:p w14:paraId="31A6FEF2">
      <w:pPr>
        <w:pStyle w:val="2"/>
        <w:spacing w:before="95" w:line="219" w:lineRule="auto"/>
        <w:ind w:left="409"/>
        <w:rPr>
          <w:sz w:val="19"/>
          <w:szCs w:val="19"/>
        </w:rPr>
      </w:pPr>
      <w:r>
        <w:rPr>
          <w:spacing w:val="10"/>
          <w:sz w:val="19"/>
          <w:szCs w:val="19"/>
        </w:rPr>
        <w:t>(3)建立确定文档质量、测试质量和评审质量的各种方法的规程；</w:t>
      </w:r>
    </w:p>
    <w:p w14:paraId="1792662A">
      <w:pPr>
        <w:pStyle w:val="2"/>
        <w:spacing w:before="95" w:line="219" w:lineRule="auto"/>
        <w:ind w:left="409"/>
        <w:rPr>
          <w:sz w:val="19"/>
          <w:szCs w:val="19"/>
        </w:rPr>
      </w:pPr>
      <w:r>
        <w:rPr>
          <w:spacing w:val="10"/>
          <w:sz w:val="19"/>
          <w:szCs w:val="19"/>
        </w:rPr>
        <w:t>(4)为文档的各个方面确定和准备各种标准和指南；</w:t>
      </w:r>
    </w:p>
    <w:p w14:paraId="2082B974">
      <w:pPr>
        <w:pStyle w:val="2"/>
        <w:spacing w:before="84" w:line="219" w:lineRule="auto"/>
        <w:ind w:left="409"/>
        <w:rPr>
          <w:sz w:val="19"/>
          <w:szCs w:val="19"/>
        </w:rPr>
      </w:pPr>
      <w:r>
        <w:rPr>
          <w:spacing w:val="10"/>
          <w:sz w:val="19"/>
          <w:szCs w:val="19"/>
        </w:rPr>
        <w:t>(5)积极支持文档工作以形成在开发工作中自觉编制文档的团队风气；</w:t>
      </w:r>
    </w:p>
    <w:p w14:paraId="6673BCF3">
      <w:pPr>
        <w:pStyle w:val="2"/>
        <w:spacing w:before="85" w:line="219" w:lineRule="auto"/>
        <w:ind w:left="409"/>
        <w:rPr>
          <w:sz w:val="19"/>
          <w:szCs w:val="19"/>
        </w:rPr>
      </w:pPr>
      <w:r>
        <w:rPr>
          <w:spacing w:val="10"/>
          <w:sz w:val="19"/>
          <w:szCs w:val="19"/>
        </w:rPr>
        <w:t>(6)不断检查已建立起来的过程，以保证符合策略和各种规程，并遵守有关标准和指南。</w:t>
      </w:r>
    </w:p>
    <w:p w14:paraId="127F740F">
      <w:pPr>
        <w:pStyle w:val="2"/>
        <w:spacing w:before="180" w:line="222" w:lineRule="auto"/>
        <w:ind w:left="412"/>
        <w:rPr>
          <w:rFonts w:ascii="黑体" w:hAnsi="黑体" w:eastAsia="黑体" w:cs="黑体"/>
          <w:sz w:val="19"/>
          <w:szCs w:val="19"/>
        </w:rPr>
      </w:pPr>
      <w:r>
        <w:rPr>
          <w:b/>
          <w:bCs/>
          <w:color w:val="0071E3"/>
          <w:spacing w:val="8"/>
          <w:sz w:val="19"/>
          <w:szCs w:val="19"/>
        </w:rPr>
        <w:t>6.</w:t>
      </w:r>
      <w:r>
        <w:rPr>
          <w:rFonts w:ascii="黑体" w:hAnsi="黑体" w:eastAsia="黑体" w:cs="黑体"/>
          <w:b/>
          <w:bCs/>
          <w:color w:val="0071E3"/>
          <w:spacing w:val="8"/>
          <w:sz w:val="19"/>
          <w:szCs w:val="19"/>
        </w:rPr>
        <w:t>监理单位在项目实施前应决定的事项</w:t>
      </w:r>
    </w:p>
    <w:p w14:paraId="614FB048">
      <w:pPr>
        <w:pStyle w:val="2"/>
        <w:spacing w:before="146" w:line="219" w:lineRule="auto"/>
        <w:ind w:left="409"/>
        <w:rPr>
          <w:sz w:val="19"/>
          <w:szCs w:val="19"/>
        </w:rPr>
      </w:pPr>
      <w:r>
        <w:rPr>
          <w:spacing w:val="6"/>
          <w:sz w:val="19"/>
          <w:szCs w:val="19"/>
        </w:rPr>
        <w:t>监理单位在项目实施前应对以下事项做出决定：</w:t>
      </w:r>
    </w:p>
    <w:p w14:paraId="36E68236">
      <w:pPr>
        <w:pStyle w:val="2"/>
        <w:spacing w:before="85" w:line="219" w:lineRule="auto"/>
        <w:ind w:left="409"/>
        <w:rPr>
          <w:sz w:val="19"/>
          <w:szCs w:val="19"/>
        </w:rPr>
      </w:pPr>
      <w:r>
        <w:rPr>
          <w:spacing w:val="10"/>
          <w:sz w:val="19"/>
          <w:szCs w:val="19"/>
        </w:rPr>
        <w:t>(1)要求哪些类型的文档；</w:t>
      </w:r>
    </w:p>
    <w:p w14:paraId="312C2A86">
      <w:pPr>
        <w:pStyle w:val="2"/>
        <w:spacing w:before="83" w:line="219" w:lineRule="auto"/>
        <w:ind w:left="409"/>
        <w:rPr>
          <w:sz w:val="19"/>
          <w:szCs w:val="19"/>
        </w:rPr>
      </w:pPr>
      <w:r>
        <w:rPr>
          <w:spacing w:val="11"/>
          <w:sz w:val="19"/>
          <w:szCs w:val="19"/>
        </w:rPr>
        <w:t>(2)提供多少种文档；</w:t>
      </w:r>
    </w:p>
    <w:p w14:paraId="14FEAA57">
      <w:pPr>
        <w:pStyle w:val="2"/>
        <w:spacing w:before="86" w:line="219" w:lineRule="auto"/>
        <w:ind w:left="409"/>
        <w:rPr>
          <w:sz w:val="19"/>
          <w:szCs w:val="19"/>
        </w:rPr>
      </w:pPr>
      <w:r>
        <w:rPr>
          <w:spacing w:val="11"/>
          <w:sz w:val="19"/>
          <w:szCs w:val="19"/>
        </w:rPr>
        <w:t>(3)文档包含的内容；</w:t>
      </w:r>
    </w:p>
    <w:p w14:paraId="7FC233D4">
      <w:pPr>
        <w:pStyle w:val="2"/>
        <w:spacing w:before="84" w:line="219" w:lineRule="auto"/>
        <w:ind w:left="409"/>
        <w:rPr>
          <w:sz w:val="19"/>
          <w:szCs w:val="19"/>
        </w:rPr>
      </w:pPr>
      <w:r>
        <w:rPr>
          <w:spacing w:val="11"/>
          <w:sz w:val="19"/>
          <w:szCs w:val="19"/>
        </w:rPr>
        <w:t>(4)达到何种级别的质量水平；</w:t>
      </w:r>
    </w:p>
    <w:p w14:paraId="1AB7F83C">
      <w:pPr>
        <w:pStyle w:val="2"/>
        <w:spacing w:before="75" w:line="219" w:lineRule="auto"/>
        <w:ind w:left="409"/>
        <w:rPr>
          <w:sz w:val="19"/>
          <w:szCs w:val="19"/>
        </w:rPr>
      </w:pPr>
      <w:r>
        <w:rPr>
          <w:spacing w:val="12"/>
          <w:sz w:val="19"/>
          <w:szCs w:val="19"/>
        </w:rPr>
        <w:t>(5)何时产生何种文档；</w:t>
      </w:r>
    </w:p>
    <w:p w14:paraId="269177E4">
      <w:pPr>
        <w:pStyle w:val="2"/>
        <w:spacing w:before="85" w:line="219" w:lineRule="auto"/>
        <w:ind w:left="409"/>
        <w:rPr>
          <w:sz w:val="19"/>
          <w:szCs w:val="19"/>
        </w:rPr>
      </w:pPr>
      <w:r>
        <w:rPr>
          <w:spacing w:val="10"/>
          <w:sz w:val="19"/>
          <w:szCs w:val="19"/>
        </w:rPr>
        <w:t>(6)如何保存、维护文档以及如何进行通信；</w:t>
      </w:r>
    </w:p>
    <w:p w14:paraId="2B5FD21D">
      <w:pPr>
        <w:pStyle w:val="2"/>
        <w:spacing w:before="82" w:line="261" w:lineRule="auto"/>
        <w:ind w:right="279" w:firstLine="409"/>
        <w:rPr>
          <w:sz w:val="19"/>
          <w:szCs w:val="19"/>
        </w:rPr>
      </w:pPr>
      <w:r>
        <w:rPr>
          <w:spacing w:val="16"/>
          <w:sz w:val="19"/>
          <w:szCs w:val="19"/>
        </w:rPr>
        <w:t>(7)如果一个项目合同是有效的，应要求文档</w:t>
      </w:r>
      <w:r>
        <w:rPr>
          <w:spacing w:val="15"/>
          <w:sz w:val="19"/>
          <w:szCs w:val="19"/>
        </w:rPr>
        <w:t>满足所接受的标准，并规定所提供的文档类</w:t>
      </w:r>
      <w:r>
        <w:rPr>
          <w:sz w:val="19"/>
          <w:szCs w:val="19"/>
        </w:rPr>
        <w:t xml:space="preserve"> </w:t>
      </w:r>
      <w:r>
        <w:rPr>
          <w:spacing w:val="7"/>
          <w:sz w:val="19"/>
          <w:szCs w:val="19"/>
        </w:rPr>
        <w:t>型、每种文档的质量水平以及评审和通过的规程。</w:t>
      </w:r>
    </w:p>
    <w:p w14:paraId="597F1DD3">
      <w:pPr>
        <w:pStyle w:val="2"/>
        <w:spacing w:before="244" w:line="219" w:lineRule="auto"/>
        <w:ind w:left="3"/>
        <w:rPr>
          <w:sz w:val="25"/>
          <w:szCs w:val="25"/>
        </w:rPr>
      </w:pPr>
      <w:r>
        <w:rPr>
          <w:b/>
          <w:bCs/>
          <w:color w:val="0063E6"/>
          <w:spacing w:val="-17"/>
          <w:sz w:val="25"/>
          <w:szCs w:val="25"/>
        </w:rPr>
        <w:t>14.2.3</w:t>
      </w:r>
      <w:r>
        <w:rPr>
          <w:color w:val="0063E6"/>
          <w:spacing w:val="78"/>
          <w:sz w:val="25"/>
          <w:szCs w:val="25"/>
        </w:rPr>
        <w:t xml:space="preserve"> </w:t>
      </w:r>
      <w:r>
        <w:rPr>
          <w:b/>
          <w:bCs/>
          <w:color w:val="0063E6"/>
          <w:spacing w:val="-17"/>
          <w:sz w:val="25"/>
          <w:szCs w:val="25"/>
        </w:rPr>
        <w:t>制定文档编制策略</w:t>
      </w:r>
    </w:p>
    <w:p w14:paraId="4DF85217">
      <w:pPr>
        <w:pStyle w:val="2"/>
        <w:spacing w:before="133" w:line="301" w:lineRule="auto"/>
        <w:ind w:right="281" w:firstLine="409"/>
        <w:rPr>
          <w:sz w:val="19"/>
          <w:szCs w:val="19"/>
        </w:rPr>
      </w:pPr>
      <w:r>
        <w:rPr>
          <w:spacing w:val="13"/>
          <w:sz w:val="19"/>
          <w:szCs w:val="19"/>
        </w:rPr>
        <w:t>信息系统工程建设项目的文档编制策略由监理单位主持制定，对其他单位或项目实施人员</w:t>
      </w:r>
      <w:r>
        <w:rPr>
          <w:spacing w:val="18"/>
          <w:sz w:val="19"/>
          <w:szCs w:val="19"/>
        </w:rPr>
        <w:t xml:space="preserve"> </w:t>
      </w:r>
      <w:r>
        <w:rPr>
          <w:spacing w:val="6"/>
          <w:sz w:val="19"/>
          <w:szCs w:val="19"/>
        </w:rPr>
        <w:t>提供指导。</w:t>
      </w:r>
    </w:p>
    <w:p w14:paraId="1B66E8B7">
      <w:pPr>
        <w:pStyle w:val="2"/>
        <w:spacing w:before="2" w:line="297" w:lineRule="auto"/>
        <w:ind w:right="277" w:firstLine="409"/>
        <w:rPr>
          <w:sz w:val="19"/>
          <w:szCs w:val="19"/>
        </w:rPr>
      </w:pPr>
      <w:r>
        <w:rPr>
          <w:spacing w:val="14"/>
          <w:sz w:val="19"/>
          <w:szCs w:val="19"/>
        </w:rPr>
        <w:t>一般来说，文档编制策略陈述要明确，并通告到</w:t>
      </w:r>
      <w:r>
        <w:rPr>
          <w:spacing w:val="13"/>
          <w:sz w:val="19"/>
          <w:szCs w:val="19"/>
        </w:rPr>
        <w:t>每个人，以便理解它，进而使每个人贯彻</w:t>
      </w:r>
      <w:r>
        <w:rPr>
          <w:sz w:val="19"/>
          <w:szCs w:val="19"/>
        </w:rPr>
        <w:t xml:space="preserve"> </w:t>
      </w:r>
      <w:r>
        <w:rPr>
          <w:spacing w:val="7"/>
          <w:sz w:val="19"/>
          <w:szCs w:val="19"/>
        </w:rPr>
        <w:t>实施该策略。支持有效文档编制策略的基本条件是：</w:t>
      </w:r>
    </w:p>
    <w:p w14:paraId="4C777015">
      <w:pPr>
        <w:pStyle w:val="2"/>
        <w:spacing w:before="29" w:line="219" w:lineRule="auto"/>
        <w:ind w:left="409"/>
        <w:rPr>
          <w:sz w:val="19"/>
          <w:szCs w:val="19"/>
        </w:rPr>
      </w:pPr>
      <w:r>
        <w:rPr>
          <w:spacing w:val="12"/>
          <w:sz w:val="19"/>
          <w:szCs w:val="19"/>
        </w:rPr>
        <w:t>(1)文档需要覆盖整个项目生存期。</w:t>
      </w:r>
    </w:p>
    <w:p w14:paraId="62727475">
      <w:pPr>
        <w:spacing w:line="219" w:lineRule="auto"/>
        <w:rPr>
          <w:sz w:val="19"/>
          <w:szCs w:val="19"/>
        </w:rPr>
        <w:sectPr>
          <w:pgSz w:w="10280" w:h="13310"/>
          <w:pgMar w:top="400" w:right="582" w:bottom="400" w:left="1070" w:header="0" w:footer="0" w:gutter="0"/>
          <w:cols w:space="720" w:num="1"/>
        </w:sectPr>
      </w:pPr>
    </w:p>
    <w:p w14:paraId="57FAA7ED">
      <w:pPr>
        <w:pStyle w:val="2"/>
        <w:spacing w:before="87" w:line="219" w:lineRule="auto"/>
        <w:rPr>
          <w:sz w:val="19"/>
          <w:szCs w:val="19"/>
        </w:rPr>
      </w:pPr>
      <w:r>
        <w:rPr>
          <w:rFonts w:ascii="Times New Roman" w:hAnsi="Times New Roman" w:eastAsia="Times New Roman" w:cs="Times New Roman"/>
          <w:spacing w:val="4"/>
          <w:sz w:val="19"/>
          <w:szCs w:val="19"/>
        </w:rPr>
        <w:t xml:space="preserve">338              </w:t>
      </w:r>
      <w:r>
        <w:rPr>
          <w:spacing w:val="4"/>
          <w:sz w:val="19"/>
          <w:szCs w:val="19"/>
        </w:rPr>
        <w:t>信息系统监理师教程(第2版)</w:t>
      </w:r>
    </w:p>
    <w:p w14:paraId="4F26131B">
      <w:pPr>
        <w:spacing w:line="309" w:lineRule="auto"/>
        <w:rPr>
          <w:rFonts w:ascii="Arial"/>
          <w:sz w:val="21"/>
        </w:rPr>
      </w:pPr>
    </w:p>
    <w:p w14:paraId="0D990DF9">
      <w:pPr>
        <w:pStyle w:val="2"/>
        <w:spacing w:before="62" w:line="321" w:lineRule="auto"/>
        <w:ind w:left="379" w:right="83" w:firstLine="390"/>
        <w:rPr>
          <w:sz w:val="19"/>
          <w:szCs w:val="19"/>
        </w:rPr>
      </w:pPr>
      <w:r>
        <w:rPr>
          <w:spacing w:val="13"/>
          <w:sz w:val="19"/>
          <w:szCs w:val="19"/>
        </w:rPr>
        <w:t xml:space="preserve">在项目早期阶段就要求有文档，而且在整个项目生存期中必须是可用的和可维护的。在项 </w:t>
      </w:r>
      <w:r>
        <w:rPr>
          <w:spacing w:val="8"/>
          <w:sz w:val="19"/>
          <w:szCs w:val="19"/>
        </w:rPr>
        <w:t>目完成后，文档应满足系统的使用、维护、增强、转换或传输要求。</w:t>
      </w:r>
    </w:p>
    <w:p w14:paraId="23F31AA1">
      <w:pPr>
        <w:pStyle w:val="2"/>
        <w:spacing w:line="219" w:lineRule="auto"/>
        <w:ind w:left="769"/>
        <w:rPr>
          <w:sz w:val="19"/>
          <w:szCs w:val="19"/>
        </w:rPr>
      </w:pPr>
      <w:r>
        <w:rPr>
          <w:spacing w:val="13"/>
          <w:sz w:val="19"/>
          <w:szCs w:val="19"/>
        </w:rPr>
        <w:t>(2)文档应是可管理的。</w:t>
      </w:r>
    </w:p>
    <w:p w14:paraId="5F4E88FF">
      <w:pPr>
        <w:pStyle w:val="2"/>
        <w:spacing w:before="93" w:line="299" w:lineRule="auto"/>
        <w:ind w:left="379" w:right="68" w:firstLine="390"/>
        <w:rPr>
          <w:sz w:val="19"/>
          <w:szCs w:val="19"/>
        </w:rPr>
      </w:pPr>
      <w:r>
        <w:rPr>
          <w:spacing w:val="14"/>
          <w:sz w:val="19"/>
          <w:szCs w:val="19"/>
        </w:rPr>
        <w:t>指导和控制文档的获得与维护，监理单位应准备文档产品、进度</w:t>
      </w:r>
      <w:r>
        <w:rPr>
          <w:spacing w:val="13"/>
          <w:sz w:val="19"/>
          <w:szCs w:val="19"/>
        </w:rPr>
        <w:t>、可靠性、资源、质量保</w:t>
      </w:r>
      <w:r>
        <w:rPr>
          <w:sz w:val="19"/>
          <w:szCs w:val="19"/>
        </w:rPr>
        <w:t xml:space="preserve"> </w:t>
      </w:r>
      <w:r>
        <w:rPr>
          <w:spacing w:val="5"/>
          <w:sz w:val="19"/>
          <w:szCs w:val="19"/>
        </w:rPr>
        <w:t>证和评审规程的详细计划大纲。</w:t>
      </w:r>
    </w:p>
    <w:p w14:paraId="224F9A79">
      <w:pPr>
        <w:pStyle w:val="2"/>
        <w:spacing w:before="16" w:line="219" w:lineRule="auto"/>
        <w:ind w:left="769"/>
        <w:rPr>
          <w:sz w:val="19"/>
          <w:szCs w:val="19"/>
        </w:rPr>
      </w:pPr>
      <w:r>
        <w:rPr>
          <w:spacing w:val="12"/>
          <w:sz w:val="19"/>
          <w:szCs w:val="19"/>
        </w:rPr>
        <w:t>(3)文档应适合于其读者。</w:t>
      </w:r>
    </w:p>
    <w:p w14:paraId="5012E035">
      <w:pPr>
        <w:pStyle w:val="2"/>
        <w:spacing w:before="94" w:line="302" w:lineRule="auto"/>
        <w:ind w:left="379" w:right="86" w:firstLine="390"/>
        <w:rPr>
          <w:sz w:val="19"/>
          <w:szCs w:val="19"/>
        </w:rPr>
      </w:pPr>
      <w:r>
        <w:rPr>
          <w:spacing w:val="13"/>
          <w:sz w:val="19"/>
          <w:szCs w:val="19"/>
        </w:rPr>
        <w:t>读者可能是监理单位人员、业主单位人员、无计算机经验的专业人员、维护人员、文书人</w:t>
      </w:r>
      <w:r>
        <w:rPr>
          <w:spacing w:val="10"/>
          <w:sz w:val="19"/>
          <w:szCs w:val="19"/>
        </w:rPr>
        <w:t xml:space="preserve"> </w:t>
      </w:r>
      <w:r>
        <w:rPr>
          <w:spacing w:val="13"/>
          <w:sz w:val="19"/>
          <w:szCs w:val="19"/>
        </w:rPr>
        <w:t>员等。根据任务的执行，他们要求不同的文档表示和不同的详细程度。针对</w:t>
      </w:r>
      <w:r>
        <w:rPr>
          <w:spacing w:val="12"/>
          <w:sz w:val="19"/>
          <w:szCs w:val="19"/>
        </w:rPr>
        <w:t>不同的读者，监理</w:t>
      </w:r>
      <w:r>
        <w:rPr>
          <w:sz w:val="19"/>
          <w:szCs w:val="19"/>
        </w:rPr>
        <w:t xml:space="preserve"> </w:t>
      </w:r>
      <w:r>
        <w:rPr>
          <w:spacing w:val="5"/>
          <w:sz w:val="19"/>
          <w:szCs w:val="19"/>
        </w:rPr>
        <w:t>单位应负责设计不同类型的文档。</w:t>
      </w:r>
    </w:p>
    <w:p w14:paraId="40F06E61">
      <w:pPr>
        <w:pStyle w:val="2"/>
        <w:spacing w:before="28" w:line="219" w:lineRule="auto"/>
        <w:ind w:left="769"/>
        <w:rPr>
          <w:sz w:val="19"/>
          <w:szCs w:val="19"/>
        </w:rPr>
      </w:pPr>
      <w:r>
        <w:rPr>
          <w:spacing w:val="11"/>
          <w:sz w:val="19"/>
          <w:szCs w:val="19"/>
        </w:rPr>
        <w:t>(4)文档效应应贯穿项目的整个实施过程。</w:t>
      </w:r>
    </w:p>
    <w:p w14:paraId="5528A3E2">
      <w:pPr>
        <w:pStyle w:val="2"/>
        <w:spacing w:before="84" w:line="299" w:lineRule="auto"/>
        <w:ind w:left="379" w:right="84" w:firstLine="390"/>
        <w:rPr>
          <w:sz w:val="19"/>
          <w:szCs w:val="19"/>
        </w:rPr>
      </w:pPr>
      <w:r>
        <w:rPr>
          <w:spacing w:val="13"/>
          <w:sz w:val="19"/>
          <w:szCs w:val="19"/>
        </w:rPr>
        <w:t>在信息系统工程的整个过程中，应充分体现文档的作用和限制，即文档应指导全部项目实</w:t>
      </w:r>
      <w:r>
        <w:rPr>
          <w:spacing w:val="12"/>
          <w:sz w:val="19"/>
          <w:szCs w:val="19"/>
        </w:rPr>
        <w:t xml:space="preserve"> </w:t>
      </w:r>
      <w:r>
        <w:rPr>
          <w:spacing w:val="6"/>
          <w:sz w:val="19"/>
          <w:szCs w:val="19"/>
        </w:rPr>
        <w:t>施过程。</w:t>
      </w:r>
    </w:p>
    <w:p w14:paraId="2FCD4518">
      <w:pPr>
        <w:pStyle w:val="2"/>
        <w:spacing w:before="25" w:line="219" w:lineRule="auto"/>
        <w:ind w:left="769"/>
        <w:rPr>
          <w:sz w:val="19"/>
          <w:szCs w:val="19"/>
        </w:rPr>
      </w:pPr>
      <w:r>
        <w:rPr>
          <w:spacing w:val="11"/>
          <w:sz w:val="19"/>
          <w:szCs w:val="19"/>
        </w:rPr>
        <w:t>(5)文档标准应被标识和使用。</w:t>
      </w:r>
    </w:p>
    <w:p w14:paraId="4312C2F1">
      <w:pPr>
        <w:pStyle w:val="2"/>
        <w:spacing w:before="93" w:line="219" w:lineRule="auto"/>
        <w:ind w:left="769"/>
        <w:rPr>
          <w:sz w:val="19"/>
          <w:szCs w:val="19"/>
        </w:rPr>
      </w:pPr>
      <w:r>
        <w:rPr>
          <w:spacing w:val="9"/>
          <w:sz w:val="19"/>
          <w:szCs w:val="19"/>
        </w:rPr>
        <w:t>应尽可能地采纳现行标准，若没有合适的现</w:t>
      </w:r>
      <w:r>
        <w:rPr>
          <w:spacing w:val="8"/>
          <w:sz w:val="19"/>
          <w:szCs w:val="19"/>
        </w:rPr>
        <w:t>行标准，必要时应研制适用的标准或指南。</w:t>
      </w:r>
    </w:p>
    <w:p w14:paraId="24F0CA6A">
      <w:pPr>
        <w:pStyle w:val="2"/>
        <w:spacing w:before="76" w:line="219" w:lineRule="auto"/>
        <w:ind w:left="769"/>
        <w:rPr>
          <w:sz w:val="19"/>
          <w:szCs w:val="19"/>
        </w:rPr>
      </w:pPr>
      <w:r>
        <w:rPr>
          <w:spacing w:val="13"/>
          <w:sz w:val="19"/>
          <w:szCs w:val="19"/>
        </w:rPr>
        <w:t>(6)应规定支持工具。</w:t>
      </w:r>
    </w:p>
    <w:p w14:paraId="7305B04D">
      <w:pPr>
        <w:pStyle w:val="2"/>
        <w:spacing w:before="105" w:line="219" w:lineRule="auto"/>
        <w:ind w:left="769"/>
        <w:rPr>
          <w:sz w:val="19"/>
          <w:szCs w:val="19"/>
        </w:rPr>
      </w:pPr>
      <w:r>
        <w:rPr>
          <w:spacing w:val="8"/>
          <w:sz w:val="19"/>
          <w:szCs w:val="19"/>
        </w:rPr>
        <w:t>工具有助于开发和维护项目文档，尽可能要求所使用的工具是经济的、可行的。</w:t>
      </w:r>
    </w:p>
    <w:p w14:paraId="618574EA">
      <w:pPr>
        <w:spacing w:line="325" w:lineRule="auto"/>
        <w:rPr>
          <w:rFonts w:ascii="Arial"/>
          <w:sz w:val="21"/>
        </w:rPr>
      </w:pPr>
    </w:p>
    <w:p w14:paraId="56ACE516">
      <w:pPr>
        <w:pStyle w:val="2"/>
        <w:spacing w:before="95" w:line="221" w:lineRule="auto"/>
        <w:ind w:left="383"/>
        <w:rPr>
          <w:rFonts w:ascii="黑体" w:hAnsi="黑体" w:eastAsia="黑体" w:cs="黑体"/>
          <w:sz w:val="29"/>
          <w:szCs w:val="29"/>
        </w:rPr>
      </w:pPr>
      <w:r>
        <w:rPr>
          <w:b/>
          <w:bCs/>
          <w:color w:val="0076BB"/>
          <w:spacing w:val="-13"/>
          <w:sz w:val="29"/>
          <w:szCs w:val="29"/>
        </w:rPr>
        <w:t>14.3</w:t>
      </w:r>
      <w:r>
        <w:rPr>
          <w:color w:val="0076BB"/>
          <w:spacing w:val="-13"/>
          <w:sz w:val="29"/>
          <w:szCs w:val="29"/>
        </w:rPr>
        <w:t xml:space="preserve">  </w:t>
      </w:r>
      <w:r>
        <w:rPr>
          <w:rFonts w:ascii="黑体" w:hAnsi="黑体" w:eastAsia="黑体" w:cs="黑体"/>
          <w:b/>
          <w:bCs/>
          <w:color w:val="0076BB"/>
          <w:spacing w:val="-13"/>
          <w:sz w:val="29"/>
          <w:szCs w:val="29"/>
        </w:rPr>
        <w:t>监理相关信息分类</w:t>
      </w:r>
    </w:p>
    <w:p w14:paraId="7BE1AB83">
      <w:pPr>
        <w:spacing w:before="109"/>
      </w:pPr>
    </w:p>
    <w:p w14:paraId="20394D42">
      <w:pPr>
        <w:sectPr>
          <w:pgSz w:w="10310" w:h="13410"/>
          <w:pgMar w:top="400" w:right="1005" w:bottom="400" w:left="520" w:header="0" w:footer="0" w:gutter="0"/>
          <w:cols w:equalWidth="0" w:num="1">
            <w:col w:w="8785"/>
          </w:cols>
        </w:sectPr>
      </w:pPr>
    </w:p>
    <w:p w14:paraId="0667C6E1">
      <w:pPr>
        <w:pStyle w:val="2"/>
        <w:spacing w:before="1" w:line="220" w:lineRule="auto"/>
        <w:ind w:left="772"/>
        <w:rPr>
          <w:rFonts w:ascii="黑体" w:hAnsi="黑体" w:eastAsia="黑体" w:cs="黑体"/>
          <w:sz w:val="19"/>
          <w:szCs w:val="19"/>
        </w:rPr>
      </w:pPr>
      <w:r>
        <w:rPr>
          <w:b/>
          <w:bCs/>
          <w:color w:val="0070BB"/>
          <w:spacing w:val="6"/>
          <w:sz w:val="19"/>
          <w:szCs w:val="19"/>
        </w:rPr>
        <w:t>1.</w:t>
      </w:r>
      <w:r>
        <w:rPr>
          <w:rFonts w:ascii="黑体" w:hAnsi="黑体" w:eastAsia="黑体" w:cs="黑体"/>
          <w:b/>
          <w:bCs/>
          <w:color w:val="0070BB"/>
          <w:spacing w:val="6"/>
          <w:sz w:val="19"/>
          <w:szCs w:val="19"/>
        </w:rPr>
        <w:t>按项目参与单位分类</w:t>
      </w:r>
    </w:p>
    <w:p w14:paraId="59611EE8">
      <w:pPr>
        <w:pStyle w:val="2"/>
        <w:spacing w:before="167" w:line="293" w:lineRule="auto"/>
        <w:ind w:left="379" w:right="55" w:firstLine="390"/>
        <w:jc w:val="both"/>
        <w:rPr>
          <w:sz w:val="19"/>
          <w:szCs w:val="19"/>
        </w:rPr>
      </w:pPr>
      <w:r>
        <w:rPr>
          <w:spacing w:val="10"/>
          <w:sz w:val="19"/>
          <w:szCs w:val="19"/>
        </w:rPr>
        <w:t>信息系统工程监理相关信息按照项目参与单位可以</w:t>
      </w:r>
      <w:r>
        <w:rPr>
          <w:spacing w:val="2"/>
          <w:sz w:val="19"/>
          <w:szCs w:val="19"/>
        </w:rPr>
        <w:t xml:space="preserve">  </w:t>
      </w:r>
      <w:r>
        <w:rPr>
          <w:spacing w:val="13"/>
          <w:sz w:val="19"/>
          <w:szCs w:val="19"/>
        </w:rPr>
        <w:t>划分为业主单位信息、承建单位信息、监理单位信息，</w:t>
      </w:r>
      <w:r>
        <w:rPr>
          <w:spacing w:val="1"/>
          <w:sz w:val="19"/>
          <w:szCs w:val="19"/>
        </w:rPr>
        <w:t xml:space="preserve"> </w:t>
      </w:r>
      <w:r>
        <w:rPr>
          <w:spacing w:val="10"/>
          <w:sz w:val="19"/>
          <w:szCs w:val="19"/>
        </w:rPr>
        <w:t>如图14-2所示。</w:t>
      </w:r>
    </w:p>
    <w:p w14:paraId="69D115C6">
      <w:pPr>
        <w:pStyle w:val="2"/>
        <w:spacing w:before="37" w:line="275" w:lineRule="auto"/>
        <w:ind w:left="379" w:right="135" w:firstLine="390"/>
        <w:rPr>
          <w:sz w:val="19"/>
          <w:szCs w:val="19"/>
        </w:rPr>
      </w:pPr>
      <w:r>
        <w:rPr>
          <w:spacing w:val="13"/>
          <w:sz w:val="19"/>
          <w:szCs w:val="19"/>
        </w:rPr>
        <w:t>(1)业主单位信息：是指业主单位在项目中发送给</w:t>
      </w:r>
      <w:r>
        <w:rPr>
          <w:spacing w:val="12"/>
          <w:sz w:val="19"/>
          <w:szCs w:val="19"/>
        </w:rPr>
        <w:t xml:space="preserve"> </w:t>
      </w:r>
      <w:r>
        <w:rPr>
          <w:spacing w:val="9"/>
          <w:sz w:val="19"/>
          <w:szCs w:val="19"/>
        </w:rPr>
        <w:t>有关单位的指令、通知、函件等与项目有关的所有信息</w:t>
      </w:r>
      <w:r>
        <w:rPr>
          <w:spacing w:val="17"/>
          <w:sz w:val="19"/>
          <w:szCs w:val="19"/>
        </w:rPr>
        <w:t xml:space="preserve"> </w:t>
      </w:r>
      <w:r>
        <w:rPr>
          <w:spacing w:val="5"/>
          <w:sz w:val="19"/>
          <w:szCs w:val="19"/>
        </w:rPr>
        <w:t>总称。</w:t>
      </w:r>
    </w:p>
    <w:p w14:paraId="5317266B">
      <w:pPr>
        <w:pStyle w:val="2"/>
        <w:spacing w:before="99" w:line="256" w:lineRule="auto"/>
        <w:ind w:left="379" w:right="140" w:firstLine="390"/>
        <w:rPr>
          <w:sz w:val="19"/>
          <w:szCs w:val="19"/>
        </w:rPr>
      </w:pPr>
      <w:r>
        <w:rPr>
          <w:spacing w:val="13"/>
          <w:sz w:val="19"/>
          <w:szCs w:val="19"/>
        </w:rPr>
        <w:t>(2)承建单位信息：是指承建单位在项目中发送给</w:t>
      </w:r>
      <w:r>
        <w:rPr>
          <w:spacing w:val="12"/>
          <w:sz w:val="19"/>
          <w:szCs w:val="19"/>
        </w:rPr>
        <w:t xml:space="preserve"> </w:t>
      </w:r>
      <w:r>
        <w:rPr>
          <w:spacing w:val="9"/>
          <w:sz w:val="19"/>
          <w:szCs w:val="19"/>
        </w:rPr>
        <w:t>有关单位的计划、方案、通知、报告、请示等与项目有</w:t>
      </w:r>
      <w:r>
        <w:rPr>
          <w:spacing w:val="12"/>
          <w:sz w:val="19"/>
          <w:szCs w:val="19"/>
        </w:rPr>
        <w:t xml:space="preserve"> </w:t>
      </w:r>
      <w:r>
        <w:rPr>
          <w:spacing w:val="5"/>
          <w:sz w:val="19"/>
          <w:szCs w:val="19"/>
        </w:rPr>
        <w:t>关的所有信息总称。</w:t>
      </w:r>
    </w:p>
    <w:p w14:paraId="3F345E32">
      <w:pPr>
        <w:spacing w:line="14" w:lineRule="auto"/>
        <w:rPr>
          <w:rFonts w:ascii="Arial"/>
          <w:sz w:val="2"/>
        </w:rPr>
      </w:pPr>
      <w:r>
        <w:rPr>
          <w:rFonts w:ascii="Arial" w:hAnsi="Arial" w:eastAsia="Arial" w:cs="Arial"/>
          <w:sz w:val="2"/>
          <w:szCs w:val="2"/>
        </w:rPr>
        <w:br w:type="column"/>
      </w:r>
    </w:p>
    <w:p w14:paraId="4FA41275">
      <w:pPr>
        <w:spacing w:line="333" w:lineRule="auto"/>
        <w:rPr>
          <w:rFonts w:ascii="Arial"/>
          <w:sz w:val="21"/>
        </w:rPr>
      </w:pPr>
    </w:p>
    <w:p w14:paraId="6A07AA4D">
      <w:pPr>
        <w:pStyle w:val="2"/>
        <w:spacing w:line="2050" w:lineRule="exact"/>
      </w:pPr>
      <w:r>
        <w:rPr>
          <w:position w:val="-40"/>
        </w:rPr>
        <w:pict>
          <v:group id="_x0000_s1496" o:spid="_x0000_s1496" o:spt="203" style="height:102.5pt;width:168.05pt;" coordsize="3361,2050">
            <o:lock v:ext="edit"/>
            <v:shape id="_x0000_s1497" o:spid="_x0000_s1497" o:spt="75" type="#_x0000_t75" style="position:absolute;left:0;top:0;height:2050;width:3361;" filled="f" stroked="f" coordsize="21600,21600">
              <v:path/>
              <v:fill on="f" focussize="0,0"/>
              <v:stroke on="f"/>
              <v:imagedata r:id="rId211" o:title=""/>
              <o:lock v:ext="edit" aspectratio="t"/>
            </v:shape>
            <v:shape id="_x0000_s1498" o:spid="_x0000_s1498" o:spt="202" type="#_x0000_t202" style="position:absolute;left:-20;top:-20;height:2090;width:3401;" filled="f" stroked="f" coordsize="21600,21600">
              <v:path/>
              <v:fill on="f" focussize="0,0"/>
              <v:stroke on="f"/>
              <v:imagedata o:title=""/>
              <o:lock v:ext="edit" aspectratio="f"/>
              <v:textbox inset="0mm,0mm,0mm,0mm">
                <w:txbxContent>
                  <w:p w14:paraId="6BAEC91B">
                    <w:pPr>
                      <w:spacing w:before="267" w:line="219" w:lineRule="auto"/>
                      <w:ind w:left="749"/>
                      <w:rPr>
                        <w:rFonts w:ascii="宋体" w:hAnsi="宋体" w:eastAsia="宋体" w:cs="宋体"/>
                        <w:sz w:val="19"/>
                        <w:szCs w:val="19"/>
                      </w:rPr>
                    </w:pPr>
                    <w:r>
                      <w:rPr>
                        <w:rFonts w:ascii="宋体" w:hAnsi="宋体" w:eastAsia="宋体" w:cs="宋体"/>
                        <w:spacing w:val="-17"/>
                        <w:sz w:val="19"/>
                        <w:szCs w:val="19"/>
                      </w:rPr>
                      <w:t>信息系统工程监理相关信息</w:t>
                    </w:r>
                  </w:p>
                  <w:p w14:paraId="032921B6">
                    <w:pPr>
                      <w:spacing w:line="274" w:lineRule="auto"/>
                      <w:rPr>
                        <w:rFonts w:ascii="Arial"/>
                        <w:sz w:val="21"/>
                      </w:rPr>
                    </w:pPr>
                  </w:p>
                  <w:p w14:paraId="5E798178">
                    <w:pPr>
                      <w:spacing w:line="275" w:lineRule="auto"/>
                      <w:rPr>
                        <w:rFonts w:ascii="Arial"/>
                        <w:sz w:val="21"/>
                      </w:rPr>
                    </w:pPr>
                  </w:p>
                  <w:p w14:paraId="6CC5A2F0">
                    <w:pPr>
                      <w:spacing w:before="62" w:line="219" w:lineRule="auto"/>
                      <w:ind w:left="370"/>
                      <w:rPr>
                        <w:rFonts w:ascii="宋体" w:hAnsi="宋体" w:eastAsia="宋体" w:cs="宋体"/>
                        <w:sz w:val="19"/>
                        <w:szCs w:val="19"/>
                      </w:rPr>
                    </w:pPr>
                    <w:r>
                      <w:rPr>
                        <w:rFonts w:ascii="宋体" w:hAnsi="宋体" w:eastAsia="宋体" w:cs="宋体"/>
                        <w:spacing w:val="-13"/>
                        <w:sz w:val="19"/>
                        <w:szCs w:val="19"/>
                      </w:rPr>
                      <w:t>业主单位信息      承建单位信息</w:t>
                    </w:r>
                  </w:p>
                  <w:p w14:paraId="2F387945">
                    <w:pPr>
                      <w:spacing w:line="271" w:lineRule="auto"/>
                      <w:rPr>
                        <w:rFonts w:ascii="Arial"/>
                        <w:sz w:val="21"/>
                      </w:rPr>
                    </w:pPr>
                  </w:p>
                  <w:p w14:paraId="6D730C13">
                    <w:pPr>
                      <w:spacing w:before="61" w:line="219" w:lineRule="auto"/>
                      <w:ind w:left="1209"/>
                      <w:rPr>
                        <w:rFonts w:ascii="宋体" w:hAnsi="宋体" w:eastAsia="宋体" w:cs="宋体"/>
                        <w:sz w:val="19"/>
                        <w:szCs w:val="19"/>
                      </w:rPr>
                    </w:pPr>
                    <w:r>
                      <w:rPr>
                        <w:rFonts w:ascii="宋体" w:hAnsi="宋体" w:eastAsia="宋体" w:cs="宋体"/>
                        <w:spacing w:val="-15"/>
                        <w:sz w:val="19"/>
                        <w:szCs w:val="19"/>
                      </w:rPr>
                      <w:t>监理单位信息</w:t>
                    </w:r>
                  </w:p>
                </w:txbxContent>
              </v:textbox>
            </v:shape>
            <w10:wrap type="none"/>
            <w10:anchorlock/>
          </v:group>
        </w:pict>
      </w:r>
    </w:p>
    <w:p w14:paraId="6BB9F4F2">
      <w:pPr>
        <w:pStyle w:val="2"/>
        <w:spacing w:before="97" w:line="287" w:lineRule="auto"/>
        <w:ind w:left="1499" w:right="140" w:hanging="1339"/>
        <w:rPr>
          <w:sz w:val="19"/>
          <w:szCs w:val="19"/>
        </w:rPr>
      </w:pPr>
      <w:r>
        <w:rPr>
          <w:spacing w:val="-8"/>
          <w:sz w:val="19"/>
          <w:szCs w:val="19"/>
        </w:rPr>
        <w:t>图14-2</w:t>
      </w:r>
      <w:r>
        <w:rPr>
          <w:spacing w:val="82"/>
          <w:sz w:val="19"/>
          <w:szCs w:val="19"/>
        </w:rPr>
        <w:t xml:space="preserve"> </w:t>
      </w:r>
      <w:r>
        <w:rPr>
          <w:spacing w:val="-8"/>
          <w:sz w:val="19"/>
          <w:szCs w:val="19"/>
        </w:rPr>
        <w:t>信息系统工程监理相关信息的</w:t>
      </w:r>
      <w:r>
        <w:rPr>
          <w:sz w:val="19"/>
          <w:szCs w:val="19"/>
        </w:rPr>
        <w:t xml:space="preserve"> </w:t>
      </w:r>
      <w:r>
        <w:rPr>
          <w:spacing w:val="-3"/>
          <w:sz w:val="19"/>
          <w:szCs w:val="19"/>
        </w:rPr>
        <w:t>分类</w:t>
      </w:r>
    </w:p>
    <w:p w14:paraId="3A8FABEA">
      <w:pPr>
        <w:spacing w:line="287" w:lineRule="auto"/>
        <w:rPr>
          <w:sz w:val="19"/>
          <w:szCs w:val="19"/>
        </w:rPr>
        <w:sectPr>
          <w:type w:val="continuous"/>
          <w:pgSz w:w="10310" w:h="13410"/>
          <w:pgMar w:top="400" w:right="1005" w:bottom="400" w:left="520" w:header="0" w:footer="0" w:gutter="0"/>
          <w:cols w:equalWidth="0" w:num="2">
            <w:col w:w="5310" w:space="100"/>
            <w:col w:w="3375"/>
          </w:cols>
        </w:sectPr>
      </w:pPr>
    </w:p>
    <w:p w14:paraId="1669C23C">
      <w:pPr>
        <w:pStyle w:val="2"/>
        <w:spacing w:before="130" w:line="278" w:lineRule="auto"/>
        <w:ind w:left="379" w:right="85" w:firstLine="390"/>
        <w:rPr>
          <w:sz w:val="19"/>
          <w:szCs w:val="19"/>
        </w:rPr>
      </w:pPr>
      <w:r>
        <w:rPr>
          <w:spacing w:val="15"/>
          <w:sz w:val="19"/>
          <w:szCs w:val="19"/>
        </w:rPr>
        <w:t>(3)监理单位信息：是指监理单位在监理工作中收集、产生、记录、整理的与监理工作有</w:t>
      </w:r>
      <w:r>
        <w:rPr>
          <w:spacing w:val="13"/>
          <w:sz w:val="19"/>
          <w:szCs w:val="19"/>
        </w:rPr>
        <w:t xml:space="preserve"> </w:t>
      </w:r>
      <w:r>
        <w:rPr>
          <w:spacing w:val="5"/>
          <w:sz w:val="19"/>
          <w:szCs w:val="19"/>
        </w:rPr>
        <w:t>关的所有信息总称。</w:t>
      </w:r>
    </w:p>
    <w:p w14:paraId="3B31E6FC">
      <w:pPr>
        <w:pStyle w:val="2"/>
        <w:spacing w:before="123" w:line="221" w:lineRule="auto"/>
        <w:ind w:left="772"/>
        <w:rPr>
          <w:rFonts w:ascii="黑体" w:hAnsi="黑体" w:eastAsia="黑体" w:cs="黑体"/>
          <w:sz w:val="19"/>
          <w:szCs w:val="19"/>
        </w:rPr>
      </w:pPr>
      <w:r>
        <w:rPr>
          <w:b/>
          <w:bCs/>
          <w:color w:val="007DD1"/>
          <w:spacing w:val="6"/>
          <w:sz w:val="19"/>
          <w:szCs w:val="19"/>
        </w:rPr>
        <w:t>2.</w:t>
      </w:r>
      <w:r>
        <w:rPr>
          <w:rFonts w:ascii="黑体" w:hAnsi="黑体" w:eastAsia="黑体" w:cs="黑体"/>
          <w:b/>
          <w:bCs/>
          <w:color w:val="007DD1"/>
          <w:spacing w:val="6"/>
          <w:sz w:val="19"/>
          <w:szCs w:val="19"/>
        </w:rPr>
        <w:t>按工程建设阶段分类</w:t>
      </w:r>
    </w:p>
    <w:p w14:paraId="634F5FDD">
      <w:pPr>
        <w:pStyle w:val="2"/>
        <w:spacing w:before="157" w:line="238" w:lineRule="auto"/>
        <w:ind w:left="379" w:firstLine="390"/>
        <w:rPr>
          <w:sz w:val="19"/>
          <w:szCs w:val="19"/>
        </w:rPr>
      </w:pPr>
      <w:r>
        <w:rPr>
          <w:spacing w:val="15"/>
          <w:sz w:val="19"/>
          <w:szCs w:val="19"/>
        </w:rPr>
        <w:t>信息系统工程监理相关信息按照工程建设阶段可以划分为招标阶段信息、设计阶段信息、</w:t>
      </w:r>
      <w:r>
        <w:rPr>
          <w:spacing w:val="18"/>
          <w:sz w:val="19"/>
          <w:szCs w:val="19"/>
        </w:rPr>
        <w:t xml:space="preserve"> </w:t>
      </w:r>
      <w:r>
        <w:rPr>
          <w:spacing w:val="10"/>
          <w:sz w:val="19"/>
          <w:szCs w:val="19"/>
        </w:rPr>
        <w:t>实施阶段信息、验收阶段信息，如表14-2所示。</w:t>
      </w:r>
    </w:p>
    <w:p w14:paraId="001D657F">
      <w:pPr>
        <w:spacing w:line="238" w:lineRule="auto"/>
        <w:rPr>
          <w:sz w:val="19"/>
          <w:szCs w:val="19"/>
        </w:rPr>
        <w:sectPr>
          <w:type w:val="continuous"/>
          <w:pgSz w:w="10310" w:h="13410"/>
          <w:pgMar w:top="400" w:right="1005" w:bottom="400" w:left="520" w:header="0" w:footer="0" w:gutter="0"/>
          <w:cols w:equalWidth="0" w:num="1">
            <w:col w:w="8785"/>
          </w:cols>
        </w:sectPr>
      </w:pPr>
    </w:p>
    <w:p w14:paraId="5971F3D5">
      <w:pPr>
        <w:pStyle w:val="2"/>
        <w:jc w:val="right"/>
        <w:rPr>
          <w:rFonts w:ascii="Times New Roman" w:hAnsi="Times New Roman" w:eastAsia="Times New Roman" w:cs="Times New Roman"/>
          <w:sz w:val="17"/>
          <w:szCs w:val="17"/>
        </w:rPr>
      </w:pPr>
      <w:r>
        <w:rPr>
          <w:spacing w:val="4"/>
          <w:sz w:val="19"/>
          <w:szCs w:val="19"/>
        </w:rPr>
        <w:t>第14章</w:t>
      </w:r>
      <w:r>
        <w:rPr>
          <w:spacing w:val="39"/>
          <w:sz w:val="19"/>
          <w:szCs w:val="19"/>
        </w:rPr>
        <w:t xml:space="preserve"> </w:t>
      </w:r>
      <w:r>
        <w:rPr>
          <w:spacing w:val="4"/>
          <w:sz w:val="19"/>
          <w:szCs w:val="19"/>
        </w:rPr>
        <w:t>信息管理</w:t>
      </w:r>
      <w:r>
        <w:rPr>
          <w:spacing w:val="19"/>
          <w:sz w:val="19"/>
          <w:szCs w:val="19"/>
        </w:rPr>
        <w:t xml:space="preserve"> </w:t>
      </w:r>
      <w:r>
        <w:rPr>
          <w:position w:val="-10"/>
          <w:sz w:val="19"/>
          <w:szCs w:val="19"/>
        </w:rPr>
        <w:drawing>
          <wp:inline distT="0" distB="0" distL="0" distR="0">
            <wp:extent cx="311150" cy="2406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212"/>
                    <a:stretch>
                      <a:fillRect/>
                    </a:stretch>
                  </pic:blipFill>
                  <pic:spPr>
                    <a:xfrm>
                      <a:off x="0" y="0"/>
                      <a:ext cx="311156" cy="241287"/>
                    </a:xfrm>
                    <a:prstGeom prst="rect">
                      <a:avLst/>
                    </a:prstGeom>
                  </pic:spPr>
                </pic:pic>
              </a:graphicData>
            </a:graphic>
          </wp:inline>
        </w:drawing>
      </w:r>
      <w:r>
        <w:rPr>
          <w:rFonts w:ascii="Times New Roman" w:hAnsi="Times New Roman" w:eastAsia="Times New Roman" w:cs="Times New Roman"/>
          <w:spacing w:val="4"/>
          <w:position w:val="1"/>
          <w:sz w:val="17"/>
          <w:szCs w:val="17"/>
        </w:rPr>
        <w:t>339</w:t>
      </w:r>
    </w:p>
    <w:p w14:paraId="1CED6967">
      <w:pPr>
        <w:spacing w:line="269" w:lineRule="auto"/>
        <w:rPr>
          <w:rFonts w:ascii="Arial"/>
          <w:sz w:val="21"/>
        </w:rPr>
      </w:pPr>
    </w:p>
    <w:p w14:paraId="361AA65E">
      <w:pPr>
        <w:spacing w:before="62" w:line="221" w:lineRule="auto"/>
        <w:ind w:left="2702"/>
        <w:rPr>
          <w:rFonts w:ascii="黑体" w:hAnsi="黑体" w:eastAsia="黑体" w:cs="黑体"/>
          <w:sz w:val="19"/>
          <w:szCs w:val="19"/>
        </w:rPr>
      </w:pPr>
      <w:r>
        <w:rPr>
          <w:rFonts w:ascii="黑体" w:hAnsi="黑体" w:eastAsia="黑体" w:cs="黑体"/>
          <w:b/>
          <w:bCs/>
          <w:spacing w:val="-9"/>
          <w:sz w:val="19"/>
          <w:szCs w:val="19"/>
        </w:rPr>
        <w:t>表14-2</w:t>
      </w:r>
      <w:r>
        <w:rPr>
          <w:rFonts w:ascii="黑体" w:hAnsi="黑体" w:eastAsia="黑体" w:cs="黑体"/>
          <w:spacing w:val="96"/>
          <w:sz w:val="19"/>
          <w:szCs w:val="19"/>
        </w:rPr>
        <w:t xml:space="preserve"> </w:t>
      </w:r>
      <w:r>
        <w:rPr>
          <w:rFonts w:ascii="黑体" w:hAnsi="黑体" w:eastAsia="黑体" w:cs="黑体"/>
          <w:b/>
          <w:bCs/>
          <w:spacing w:val="-9"/>
          <w:sz w:val="19"/>
          <w:szCs w:val="19"/>
        </w:rPr>
        <w:t>项目各建设阶段及信息分类</w:t>
      </w:r>
    </w:p>
    <w:p w14:paraId="5C65032F">
      <w:pPr>
        <w:spacing w:line="114" w:lineRule="exact"/>
      </w:pPr>
    </w:p>
    <w:tbl>
      <w:tblPr>
        <w:tblStyle w:val="5"/>
        <w:tblW w:w="83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9"/>
        <w:gridCol w:w="2540"/>
        <w:gridCol w:w="4100"/>
      </w:tblGrid>
      <w:tr w14:paraId="2122F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4219" w:type="dxa"/>
            <w:gridSpan w:val="2"/>
            <w:tcBorders>
              <w:left w:val="nil"/>
            </w:tcBorders>
            <w:vAlign w:val="top"/>
          </w:tcPr>
          <w:p w14:paraId="5FB49C3F">
            <w:pPr>
              <w:pStyle w:val="6"/>
              <w:spacing w:before="80" w:line="220" w:lineRule="auto"/>
              <w:ind w:left="1582"/>
            </w:pPr>
            <w:r>
              <w:rPr>
                <w:b/>
                <w:bCs/>
                <w:spacing w:val="-4"/>
              </w:rPr>
              <w:t>项目建设阶段</w:t>
            </w:r>
          </w:p>
        </w:tc>
        <w:tc>
          <w:tcPr>
            <w:tcW w:w="4100" w:type="dxa"/>
            <w:tcBorders>
              <w:right w:val="nil"/>
            </w:tcBorders>
            <w:vAlign w:val="top"/>
          </w:tcPr>
          <w:p w14:paraId="6D03075F">
            <w:pPr>
              <w:pStyle w:val="6"/>
              <w:spacing w:before="80" w:line="219" w:lineRule="auto"/>
              <w:ind w:left="1678"/>
            </w:pPr>
            <w:r>
              <w:rPr>
                <w:b/>
                <w:bCs/>
                <w:spacing w:val="-4"/>
              </w:rPr>
              <w:t>信息分类</w:t>
            </w:r>
          </w:p>
        </w:tc>
      </w:tr>
      <w:tr w14:paraId="04189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8" w:hRule="atLeast"/>
        </w:trPr>
        <w:tc>
          <w:tcPr>
            <w:tcW w:w="1679" w:type="dxa"/>
            <w:tcBorders>
              <w:left w:val="nil"/>
            </w:tcBorders>
            <w:vAlign w:val="top"/>
          </w:tcPr>
          <w:p w14:paraId="25605458">
            <w:pPr>
              <w:spacing w:line="336" w:lineRule="auto"/>
              <w:rPr>
                <w:rFonts w:ascii="Arial"/>
                <w:sz w:val="21"/>
              </w:rPr>
            </w:pPr>
          </w:p>
          <w:p w14:paraId="12875ADD">
            <w:pPr>
              <w:spacing w:line="337" w:lineRule="auto"/>
              <w:rPr>
                <w:rFonts w:ascii="Arial"/>
                <w:sz w:val="21"/>
              </w:rPr>
            </w:pPr>
          </w:p>
          <w:p w14:paraId="02D0CD4B">
            <w:pPr>
              <w:pStyle w:val="6"/>
              <w:spacing w:before="62" w:line="220" w:lineRule="auto"/>
              <w:ind w:left="359"/>
            </w:pPr>
            <w:r>
              <w:rPr>
                <w:spacing w:val="2"/>
              </w:rPr>
              <w:t>项目准备期</w:t>
            </w:r>
          </w:p>
        </w:tc>
        <w:tc>
          <w:tcPr>
            <w:tcW w:w="2540" w:type="dxa"/>
            <w:vAlign w:val="top"/>
          </w:tcPr>
          <w:p w14:paraId="615CA6F8">
            <w:pPr>
              <w:spacing w:line="336" w:lineRule="auto"/>
              <w:rPr>
                <w:rFonts w:ascii="Arial"/>
                <w:sz w:val="21"/>
              </w:rPr>
            </w:pPr>
          </w:p>
          <w:p w14:paraId="477F3F34">
            <w:pPr>
              <w:spacing w:line="337" w:lineRule="auto"/>
              <w:rPr>
                <w:rFonts w:ascii="Arial"/>
                <w:sz w:val="21"/>
              </w:rPr>
            </w:pPr>
          </w:p>
          <w:p w14:paraId="4F3037C6">
            <w:pPr>
              <w:pStyle w:val="6"/>
              <w:spacing w:before="62" w:line="220" w:lineRule="auto"/>
              <w:ind w:left="456"/>
            </w:pPr>
            <w:r>
              <w:rPr>
                <w:spacing w:val="-1"/>
              </w:rPr>
              <w:t>招标阶段/准备阶段</w:t>
            </w:r>
          </w:p>
        </w:tc>
        <w:tc>
          <w:tcPr>
            <w:tcW w:w="4100" w:type="dxa"/>
            <w:tcBorders>
              <w:right w:val="nil"/>
            </w:tcBorders>
            <w:vAlign w:val="top"/>
          </w:tcPr>
          <w:p w14:paraId="6F7E8EED">
            <w:pPr>
              <w:pStyle w:val="6"/>
              <w:spacing w:before="68" w:line="219" w:lineRule="auto"/>
              <w:ind w:left="15"/>
            </w:pPr>
            <w:r>
              <w:rPr>
                <w:spacing w:val="-2"/>
              </w:rPr>
              <w:t>招标文件</w:t>
            </w:r>
          </w:p>
          <w:p w14:paraId="0F1613B0">
            <w:pPr>
              <w:pStyle w:val="6"/>
              <w:spacing w:before="34" w:line="219" w:lineRule="auto"/>
              <w:ind w:left="15"/>
            </w:pPr>
            <w:r>
              <w:rPr>
                <w:spacing w:val="-2"/>
              </w:rPr>
              <w:t>投标文件</w:t>
            </w:r>
          </w:p>
          <w:p w14:paraId="6CE10B6D">
            <w:pPr>
              <w:pStyle w:val="6"/>
              <w:spacing w:before="63" w:line="219" w:lineRule="auto"/>
              <w:ind w:left="15"/>
            </w:pPr>
            <w:r>
              <w:rPr>
                <w:spacing w:val="2"/>
              </w:rPr>
              <w:t>中标通知书</w:t>
            </w:r>
          </w:p>
          <w:p w14:paraId="019A1DAD">
            <w:pPr>
              <w:pStyle w:val="6"/>
              <w:spacing w:before="44" w:line="261" w:lineRule="auto"/>
              <w:ind w:left="15" w:right="2756"/>
            </w:pPr>
            <w:r>
              <w:rPr>
                <w:spacing w:val="-2"/>
              </w:rPr>
              <w:t>承建合同及附件</w:t>
            </w:r>
            <w:r>
              <w:rPr>
                <w:spacing w:val="5"/>
              </w:rPr>
              <w:t xml:space="preserve"> </w:t>
            </w:r>
            <w:r>
              <w:rPr>
                <w:spacing w:val="3"/>
              </w:rPr>
              <w:t>项目计划</w:t>
            </w:r>
          </w:p>
          <w:p w14:paraId="6FE1D13E">
            <w:pPr>
              <w:pStyle w:val="6"/>
              <w:spacing w:before="5" w:line="220" w:lineRule="auto"/>
              <w:ind w:left="15"/>
            </w:pPr>
            <w:r>
              <w:rPr>
                <w:spacing w:val="-3"/>
              </w:rPr>
              <w:t>其他</w:t>
            </w:r>
          </w:p>
        </w:tc>
      </w:tr>
      <w:tr w14:paraId="28EDC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7" w:hRule="atLeast"/>
        </w:trPr>
        <w:tc>
          <w:tcPr>
            <w:tcW w:w="1679" w:type="dxa"/>
            <w:vMerge w:val="restart"/>
            <w:tcBorders>
              <w:left w:val="nil"/>
              <w:bottom w:val="nil"/>
            </w:tcBorders>
            <w:vAlign w:val="top"/>
          </w:tcPr>
          <w:p w14:paraId="41C58D34">
            <w:pPr>
              <w:spacing w:line="262" w:lineRule="auto"/>
              <w:rPr>
                <w:rFonts w:ascii="Arial"/>
                <w:sz w:val="21"/>
              </w:rPr>
            </w:pPr>
          </w:p>
          <w:p w14:paraId="77388AD6">
            <w:pPr>
              <w:spacing w:line="262" w:lineRule="auto"/>
              <w:rPr>
                <w:rFonts w:ascii="Arial"/>
                <w:sz w:val="21"/>
              </w:rPr>
            </w:pPr>
          </w:p>
          <w:p w14:paraId="28B73EA1">
            <w:pPr>
              <w:spacing w:line="262" w:lineRule="auto"/>
              <w:rPr>
                <w:rFonts w:ascii="Arial"/>
                <w:sz w:val="21"/>
              </w:rPr>
            </w:pPr>
          </w:p>
          <w:p w14:paraId="3A9D8301">
            <w:pPr>
              <w:spacing w:line="263" w:lineRule="auto"/>
              <w:rPr>
                <w:rFonts w:ascii="Arial"/>
                <w:sz w:val="21"/>
              </w:rPr>
            </w:pPr>
          </w:p>
          <w:p w14:paraId="28D8CD26">
            <w:pPr>
              <w:spacing w:line="263" w:lineRule="auto"/>
              <w:rPr>
                <w:rFonts w:ascii="Arial"/>
                <w:sz w:val="21"/>
              </w:rPr>
            </w:pPr>
          </w:p>
          <w:p w14:paraId="316B84FF">
            <w:pPr>
              <w:spacing w:line="263" w:lineRule="auto"/>
              <w:rPr>
                <w:rFonts w:ascii="Arial"/>
                <w:sz w:val="21"/>
              </w:rPr>
            </w:pPr>
          </w:p>
          <w:p w14:paraId="0084DC4E">
            <w:pPr>
              <w:spacing w:line="263" w:lineRule="auto"/>
              <w:rPr>
                <w:rFonts w:ascii="Arial"/>
                <w:sz w:val="21"/>
              </w:rPr>
            </w:pPr>
          </w:p>
          <w:p w14:paraId="3EC58FD6">
            <w:pPr>
              <w:pStyle w:val="6"/>
              <w:spacing w:before="62" w:line="220" w:lineRule="auto"/>
              <w:ind w:left="359"/>
            </w:pPr>
            <w:r>
              <w:rPr>
                <w:spacing w:val="2"/>
              </w:rPr>
              <w:t>项目实施期</w:t>
            </w:r>
          </w:p>
        </w:tc>
        <w:tc>
          <w:tcPr>
            <w:tcW w:w="2540" w:type="dxa"/>
            <w:vAlign w:val="top"/>
          </w:tcPr>
          <w:p w14:paraId="5508B3FA">
            <w:pPr>
              <w:spacing w:line="281" w:lineRule="auto"/>
              <w:rPr>
                <w:rFonts w:ascii="Arial"/>
                <w:sz w:val="21"/>
              </w:rPr>
            </w:pPr>
          </w:p>
          <w:p w14:paraId="7FF2D9B4">
            <w:pPr>
              <w:spacing w:line="281" w:lineRule="auto"/>
              <w:rPr>
                <w:rFonts w:ascii="Arial"/>
                <w:sz w:val="21"/>
              </w:rPr>
            </w:pPr>
          </w:p>
          <w:p w14:paraId="67FAB035">
            <w:pPr>
              <w:spacing w:line="282" w:lineRule="auto"/>
              <w:rPr>
                <w:rFonts w:ascii="Arial"/>
                <w:sz w:val="21"/>
              </w:rPr>
            </w:pPr>
          </w:p>
          <w:p w14:paraId="7ACEF379">
            <w:pPr>
              <w:pStyle w:val="6"/>
              <w:spacing w:before="62" w:line="221" w:lineRule="auto"/>
              <w:ind w:left="886"/>
            </w:pPr>
            <w:r>
              <w:rPr>
                <w:spacing w:val="-2"/>
              </w:rPr>
              <w:t>设计阶段</w:t>
            </w:r>
          </w:p>
        </w:tc>
        <w:tc>
          <w:tcPr>
            <w:tcW w:w="4100" w:type="dxa"/>
            <w:tcBorders>
              <w:right w:val="nil"/>
            </w:tcBorders>
            <w:vAlign w:val="top"/>
          </w:tcPr>
          <w:p w14:paraId="719323E6">
            <w:pPr>
              <w:pStyle w:val="6"/>
              <w:spacing w:before="109" w:line="219" w:lineRule="auto"/>
              <w:ind w:left="15"/>
            </w:pPr>
            <w:r>
              <w:rPr>
                <w:spacing w:val="1"/>
              </w:rPr>
              <w:t>需求规格说明书/功能界定书</w:t>
            </w:r>
          </w:p>
          <w:p w14:paraId="55C95C6C">
            <w:pPr>
              <w:pStyle w:val="6"/>
              <w:spacing w:before="44" w:line="219" w:lineRule="auto"/>
              <w:ind w:left="15"/>
            </w:pPr>
            <w:r>
              <w:rPr>
                <w:spacing w:val="-1"/>
              </w:rPr>
              <w:t>概要设计说明书</w:t>
            </w:r>
          </w:p>
          <w:p w14:paraId="4F4B06A9">
            <w:pPr>
              <w:pStyle w:val="6"/>
              <w:spacing w:before="44" w:line="219" w:lineRule="auto"/>
              <w:ind w:left="15"/>
            </w:pPr>
            <w:r>
              <w:rPr>
                <w:spacing w:val="1"/>
              </w:rPr>
              <w:t>详细设计说明书</w:t>
            </w:r>
          </w:p>
          <w:p w14:paraId="59CF64A7">
            <w:pPr>
              <w:pStyle w:val="6"/>
              <w:spacing w:before="54" w:line="252" w:lineRule="auto"/>
              <w:ind w:left="15" w:right="2546"/>
            </w:pPr>
            <w:r>
              <w:rPr>
                <w:spacing w:val="1"/>
              </w:rPr>
              <w:t>数据库设计说明书</w:t>
            </w:r>
            <w:r>
              <w:rPr>
                <w:spacing w:val="3"/>
              </w:rPr>
              <w:t xml:space="preserve"> 测试计划</w:t>
            </w:r>
          </w:p>
          <w:p w14:paraId="151E332C">
            <w:pPr>
              <w:pStyle w:val="6"/>
              <w:spacing w:before="23" w:line="250" w:lineRule="auto"/>
              <w:ind w:left="15" w:right="3304"/>
            </w:pPr>
            <w:r>
              <w:rPr>
                <w:spacing w:val="3"/>
              </w:rPr>
              <w:t>验收计划</w:t>
            </w:r>
            <w:r>
              <w:rPr>
                <w:spacing w:val="1"/>
              </w:rPr>
              <w:t xml:space="preserve"> </w:t>
            </w:r>
            <w:r>
              <w:rPr>
                <w:spacing w:val="-3"/>
              </w:rPr>
              <w:t>其他</w:t>
            </w:r>
          </w:p>
        </w:tc>
      </w:tr>
      <w:tr w14:paraId="74653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7" w:hRule="atLeast"/>
        </w:trPr>
        <w:tc>
          <w:tcPr>
            <w:tcW w:w="1679" w:type="dxa"/>
            <w:vMerge w:val="continue"/>
            <w:tcBorders>
              <w:top w:val="nil"/>
              <w:left w:val="nil"/>
            </w:tcBorders>
            <w:vAlign w:val="top"/>
          </w:tcPr>
          <w:p w14:paraId="5068A6B0">
            <w:pPr>
              <w:rPr>
                <w:rFonts w:ascii="Arial"/>
                <w:sz w:val="21"/>
              </w:rPr>
            </w:pPr>
          </w:p>
        </w:tc>
        <w:tc>
          <w:tcPr>
            <w:tcW w:w="2540" w:type="dxa"/>
            <w:vAlign w:val="top"/>
          </w:tcPr>
          <w:p w14:paraId="0DA11F38">
            <w:pPr>
              <w:spacing w:line="279" w:lineRule="auto"/>
              <w:rPr>
                <w:rFonts w:ascii="Arial"/>
                <w:sz w:val="21"/>
              </w:rPr>
            </w:pPr>
          </w:p>
          <w:p w14:paraId="6B3A76EB">
            <w:pPr>
              <w:spacing w:line="279" w:lineRule="auto"/>
              <w:rPr>
                <w:rFonts w:ascii="Arial"/>
                <w:sz w:val="21"/>
              </w:rPr>
            </w:pPr>
          </w:p>
          <w:p w14:paraId="1BF7548C">
            <w:pPr>
              <w:spacing w:line="279" w:lineRule="auto"/>
              <w:rPr>
                <w:rFonts w:ascii="Arial"/>
                <w:sz w:val="21"/>
              </w:rPr>
            </w:pPr>
          </w:p>
          <w:p w14:paraId="46F570F3">
            <w:pPr>
              <w:pStyle w:val="6"/>
              <w:spacing w:before="62" w:line="220" w:lineRule="auto"/>
              <w:ind w:left="886"/>
            </w:pPr>
            <w:r>
              <w:rPr>
                <w:spacing w:val="-3"/>
              </w:rPr>
              <w:t>实施阶段</w:t>
            </w:r>
          </w:p>
        </w:tc>
        <w:tc>
          <w:tcPr>
            <w:tcW w:w="4100" w:type="dxa"/>
            <w:tcBorders>
              <w:right w:val="nil"/>
            </w:tcBorders>
            <w:vAlign w:val="top"/>
          </w:tcPr>
          <w:p w14:paraId="0224CEE9">
            <w:pPr>
              <w:pStyle w:val="6"/>
              <w:spacing w:before="104" w:line="257" w:lineRule="auto"/>
              <w:ind w:left="15" w:right="2378"/>
            </w:pPr>
            <w:r>
              <w:rPr>
                <w:spacing w:val="-2"/>
              </w:rPr>
              <w:t>各单位质量作业记录</w:t>
            </w:r>
            <w:r>
              <w:rPr>
                <w:spacing w:val="7"/>
              </w:rPr>
              <w:t xml:space="preserve"> </w:t>
            </w:r>
            <w:r>
              <w:rPr>
                <w:spacing w:val="-2"/>
              </w:rPr>
              <w:t>设备到货验收记录</w:t>
            </w:r>
          </w:p>
          <w:p w14:paraId="7CB2C140">
            <w:pPr>
              <w:pStyle w:val="6"/>
              <w:spacing w:before="19" w:line="255" w:lineRule="auto"/>
              <w:ind w:left="15" w:right="2930"/>
              <w:jc w:val="both"/>
            </w:pPr>
            <w:r>
              <w:rPr>
                <w:spacing w:val="-2"/>
              </w:rPr>
              <w:t>设备安装记录</w:t>
            </w:r>
            <w:r>
              <w:t xml:space="preserve"> </w:t>
            </w:r>
            <w:r>
              <w:rPr>
                <w:spacing w:val="-2"/>
              </w:rPr>
              <w:t>软件开发记录</w:t>
            </w:r>
            <w:r>
              <w:rPr>
                <w:spacing w:val="1"/>
              </w:rPr>
              <w:t xml:space="preserve"> </w:t>
            </w:r>
            <w:r>
              <w:rPr>
                <w:spacing w:val="-2"/>
              </w:rPr>
              <w:t>软件测试记录</w:t>
            </w:r>
            <w:r>
              <w:rPr>
                <w:spacing w:val="1"/>
              </w:rPr>
              <w:t xml:space="preserve"> 系统错误记录 </w:t>
            </w:r>
            <w:r>
              <w:rPr>
                <w:spacing w:val="-3"/>
              </w:rPr>
              <w:t>其他</w:t>
            </w:r>
          </w:p>
        </w:tc>
      </w:tr>
      <w:tr w14:paraId="366C7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1679" w:type="dxa"/>
            <w:tcBorders>
              <w:left w:val="nil"/>
            </w:tcBorders>
            <w:vAlign w:val="top"/>
          </w:tcPr>
          <w:p w14:paraId="07574DC2">
            <w:pPr>
              <w:spacing w:line="432" w:lineRule="auto"/>
              <w:rPr>
                <w:rFonts w:ascii="Arial"/>
                <w:sz w:val="21"/>
              </w:rPr>
            </w:pPr>
          </w:p>
          <w:p w14:paraId="0F7D9FA5">
            <w:pPr>
              <w:pStyle w:val="6"/>
              <w:spacing w:before="62" w:line="219" w:lineRule="auto"/>
              <w:ind w:left="359"/>
            </w:pPr>
            <w:r>
              <w:rPr>
                <w:spacing w:val="2"/>
              </w:rPr>
              <w:t>项目竣工期</w:t>
            </w:r>
          </w:p>
        </w:tc>
        <w:tc>
          <w:tcPr>
            <w:tcW w:w="2540" w:type="dxa"/>
            <w:vAlign w:val="top"/>
          </w:tcPr>
          <w:p w14:paraId="32D68A57">
            <w:pPr>
              <w:spacing w:line="432" w:lineRule="auto"/>
              <w:rPr>
                <w:rFonts w:ascii="Arial"/>
                <w:sz w:val="21"/>
              </w:rPr>
            </w:pPr>
          </w:p>
          <w:p w14:paraId="5D16DB1F">
            <w:pPr>
              <w:pStyle w:val="6"/>
              <w:spacing w:before="62" w:line="219" w:lineRule="auto"/>
              <w:ind w:left="886"/>
            </w:pPr>
            <w:r>
              <w:rPr>
                <w:spacing w:val="-2"/>
              </w:rPr>
              <w:t>验收阶段</w:t>
            </w:r>
          </w:p>
        </w:tc>
        <w:tc>
          <w:tcPr>
            <w:tcW w:w="4100" w:type="dxa"/>
            <w:tcBorders>
              <w:right w:val="nil"/>
            </w:tcBorders>
            <w:vAlign w:val="top"/>
          </w:tcPr>
          <w:p w14:paraId="7B4D8086">
            <w:pPr>
              <w:pStyle w:val="6"/>
              <w:spacing w:before="95" w:line="258" w:lineRule="auto"/>
              <w:ind w:left="15" w:right="3305"/>
            </w:pPr>
            <w:r>
              <w:rPr>
                <w:spacing w:val="3"/>
              </w:rPr>
              <w:t>测试报告</w:t>
            </w:r>
            <w:r>
              <w:t xml:space="preserve"> </w:t>
            </w:r>
            <w:r>
              <w:rPr>
                <w:spacing w:val="-2"/>
              </w:rPr>
              <w:t>验收报告</w:t>
            </w:r>
          </w:p>
          <w:p w14:paraId="082FAC12">
            <w:pPr>
              <w:pStyle w:val="6"/>
              <w:spacing w:before="17" w:line="233" w:lineRule="auto"/>
              <w:ind w:left="15" w:right="2545"/>
            </w:pPr>
            <w:r>
              <w:rPr>
                <w:spacing w:val="1"/>
              </w:rPr>
              <w:t>工程竣工总结报告</w:t>
            </w:r>
            <w:r>
              <w:rPr>
                <w:spacing w:val="4"/>
              </w:rPr>
              <w:t xml:space="preserve"> </w:t>
            </w:r>
            <w:r>
              <w:rPr>
                <w:spacing w:val="-3"/>
              </w:rPr>
              <w:t>其他</w:t>
            </w:r>
          </w:p>
        </w:tc>
      </w:tr>
    </w:tbl>
    <w:p w14:paraId="18C14834">
      <w:pPr>
        <w:pStyle w:val="2"/>
        <w:spacing w:before="168" w:line="221" w:lineRule="auto"/>
        <w:ind w:left="402"/>
        <w:rPr>
          <w:rFonts w:ascii="黑体" w:hAnsi="黑体" w:eastAsia="黑体" w:cs="黑体"/>
          <w:sz w:val="19"/>
          <w:szCs w:val="19"/>
        </w:rPr>
      </w:pPr>
      <w:r>
        <w:rPr>
          <w:b/>
          <w:bCs/>
          <w:color w:val="00589C"/>
          <w:spacing w:val="7"/>
          <w:sz w:val="19"/>
          <w:szCs w:val="19"/>
        </w:rPr>
        <w:t>3.</w:t>
      </w:r>
      <w:r>
        <w:rPr>
          <w:rFonts w:ascii="黑体" w:hAnsi="黑体" w:eastAsia="黑体" w:cs="黑体"/>
          <w:b/>
          <w:bCs/>
          <w:color w:val="00589C"/>
          <w:spacing w:val="7"/>
          <w:sz w:val="19"/>
          <w:szCs w:val="19"/>
        </w:rPr>
        <w:t>按监理角度分类</w:t>
      </w:r>
    </w:p>
    <w:p w14:paraId="7C7F4877">
      <w:pPr>
        <w:pStyle w:val="2"/>
        <w:spacing w:before="155" w:line="219" w:lineRule="auto"/>
        <w:ind w:left="399"/>
        <w:rPr>
          <w:sz w:val="19"/>
          <w:szCs w:val="19"/>
        </w:rPr>
      </w:pPr>
      <w:r>
        <w:rPr>
          <w:spacing w:val="8"/>
          <w:sz w:val="19"/>
          <w:szCs w:val="19"/>
        </w:rPr>
        <w:t>信息系统工程监理相关信息按照监理角度可以划分为以下几种：</w:t>
      </w:r>
    </w:p>
    <w:p w14:paraId="7758E294">
      <w:pPr>
        <w:pStyle w:val="2"/>
        <w:spacing w:before="86" w:line="219" w:lineRule="auto"/>
        <w:ind w:left="399"/>
        <w:rPr>
          <w:sz w:val="19"/>
          <w:szCs w:val="19"/>
        </w:rPr>
      </w:pPr>
      <w:r>
        <w:rPr>
          <w:spacing w:val="12"/>
          <w:sz w:val="19"/>
          <w:szCs w:val="19"/>
        </w:rPr>
        <w:t>(1)总控类文档；</w:t>
      </w:r>
    </w:p>
    <w:p w14:paraId="3A3D8EC7">
      <w:pPr>
        <w:pStyle w:val="2"/>
        <w:spacing w:before="74" w:line="219" w:lineRule="auto"/>
        <w:ind w:left="399"/>
        <w:rPr>
          <w:sz w:val="19"/>
          <w:szCs w:val="19"/>
        </w:rPr>
      </w:pPr>
      <w:r>
        <w:rPr>
          <w:spacing w:val="12"/>
          <w:sz w:val="19"/>
          <w:szCs w:val="19"/>
        </w:rPr>
        <w:t>(2)监理实施类文档；</w:t>
      </w:r>
    </w:p>
    <w:p w14:paraId="62E8E44F">
      <w:pPr>
        <w:pStyle w:val="2"/>
        <w:spacing w:before="85" w:line="219" w:lineRule="auto"/>
        <w:ind w:left="399"/>
        <w:rPr>
          <w:sz w:val="19"/>
          <w:szCs w:val="19"/>
        </w:rPr>
      </w:pPr>
      <w:r>
        <w:rPr>
          <w:spacing w:val="23"/>
          <w:sz w:val="19"/>
          <w:szCs w:val="19"/>
        </w:rPr>
        <w:t>(3)监理回复(批复)类文档；</w:t>
      </w:r>
    </w:p>
    <w:p w14:paraId="60D463DE">
      <w:pPr>
        <w:pStyle w:val="2"/>
        <w:spacing w:before="84" w:line="219" w:lineRule="auto"/>
        <w:ind w:left="399"/>
        <w:rPr>
          <w:sz w:val="19"/>
          <w:szCs w:val="19"/>
        </w:rPr>
      </w:pPr>
      <w:r>
        <w:rPr>
          <w:spacing w:val="13"/>
          <w:sz w:val="19"/>
          <w:szCs w:val="19"/>
        </w:rPr>
        <w:t>(4)监理日志及内部文档。</w:t>
      </w:r>
    </w:p>
    <w:p w14:paraId="6137F391">
      <w:pPr>
        <w:spacing w:line="309" w:lineRule="auto"/>
        <w:rPr>
          <w:rFonts w:ascii="Arial"/>
          <w:sz w:val="21"/>
        </w:rPr>
      </w:pPr>
    </w:p>
    <w:p w14:paraId="29973D52">
      <w:pPr>
        <w:pStyle w:val="2"/>
        <w:spacing w:before="92" w:line="222" w:lineRule="auto"/>
        <w:ind w:left="13"/>
        <w:rPr>
          <w:rFonts w:ascii="黑体" w:hAnsi="黑体" w:eastAsia="黑体" w:cs="黑体"/>
          <w:sz w:val="28"/>
          <w:szCs w:val="28"/>
        </w:rPr>
      </w:pPr>
      <w:r>
        <w:rPr>
          <w:b/>
          <w:bCs/>
          <w:color w:val="0083E8"/>
          <w:spacing w:val="-7"/>
          <w:sz w:val="28"/>
          <w:szCs w:val="28"/>
        </w:rPr>
        <w:t>14.4</w:t>
      </w:r>
      <w:r>
        <w:rPr>
          <w:color w:val="0083E8"/>
          <w:spacing w:val="-7"/>
          <w:sz w:val="28"/>
          <w:szCs w:val="28"/>
        </w:rPr>
        <w:t xml:space="preserve">  </w:t>
      </w:r>
      <w:r>
        <w:rPr>
          <w:rFonts w:ascii="黑体" w:hAnsi="黑体" w:eastAsia="黑体" w:cs="黑体"/>
          <w:b/>
          <w:bCs/>
          <w:color w:val="0083E8"/>
          <w:spacing w:val="-7"/>
          <w:sz w:val="28"/>
          <w:szCs w:val="28"/>
        </w:rPr>
        <w:t>监理信息管理工作</w:t>
      </w:r>
    </w:p>
    <w:p w14:paraId="7BF2501A">
      <w:pPr>
        <w:pStyle w:val="2"/>
        <w:spacing w:before="265" w:line="292" w:lineRule="auto"/>
        <w:ind w:left="9" w:right="243" w:firstLine="389"/>
        <w:jc w:val="both"/>
        <w:rPr>
          <w:sz w:val="19"/>
          <w:szCs w:val="19"/>
        </w:rPr>
      </w:pPr>
      <w:r>
        <w:rPr>
          <w:spacing w:val="8"/>
          <w:sz w:val="19"/>
          <w:szCs w:val="19"/>
        </w:rPr>
        <w:t>监理单位的信息管理工作是指收集并整理本工程的监理信息，作为信息系统工程监理信息的</w:t>
      </w:r>
      <w:r>
        <w:rPr>
          <w:spacing w:val="3"/>
          <w:sz w:val="19"/>
          <w:szCs w:val="19"/>
        </w:rPr>
        <w:t xml:space="preserve"> </w:t>
      </w:r>
      <w:r>
        <w:rPr>
          <w:spacing w:val="8"/>
          <w:sz w:val="19"/>
          <w:szCs w:val="19"/>
        </w:rPr>
        <w:t>一部分；督促承建单位建立管理信息系统，在工程项目建设的各个阶段，对所产生的、</w:t>
      </w:r>
      <w:r>
        <w:rPr>
          <w:spacing w:val="7"/>
          <w:sz w:val="19"/>
          <w:szCs w:val="19"/>
        </w:rPr>
        <w:t>面向信息</w:t>
      </w:r>
      <w:r>
        <w:rPr>
          <w:sz w:val="19"/>
          <w:szCs w:val="19"/>
        </w:rPr>
        <w:t xml:space="preserve"> </w:t>
      </w:r>
      <w:r>
        <w:rPr>
          <w:spacing w:val="8"/>
          <w:sz w:val="19"/>
          <w:szCs w:val="19"/>
        </w:rPr>
        <w:t>系统工程建设项目管理业务的信息进行收集、加工、储存、传输、使用、整理和</w:t>
      </w:r>
      <w:r>
        <w:rPr>
          <w:spacing w:val="7"/>
          <w:sz w:val="19"/>
          <w:szCs w:val="19"/>
        </w:rPr>
        <w:t>维护；协助业主</w:t>
      </w:r>
    </w:p>
    <w:p w14:paraId="0BFF258E">
      <w:pPr>
        <w:spacing w:line="292" w:lineRule="auto"/>
        <w:rPr>
          <w:sz w:val="19"/>
          <w:szCs w:val="19"/>
        </w:rPr>
        <w:sectPr>
          <w:pgSz w:w="10290" w:h="13300"/>
          <w:pgMar w:top="350" w:right="631" w:bottom="400" w:left="1090" w:header="0" w:footer="0" w:gutter="0"/>
          <w:cols w:space="720" w:num="1"/>
        </w:sectPr>
      </w:pPr>
    </w:p>
    <w:p w14:paraId="2392FFF3">
      <w:pPr>
        <w:pStyle w:val="2"/>
        <w:spacing w:before="117" w:line="219" w:lineRule="auto"/>
        <w:rPr>
          <w:sz w:val="18"/>
          <w:szCs w:val="18"/>
        </w:rPr>
      </w:pPr>
      <w:r>
        <w:rPr>
          <w:rFonts w:ascii="Times New Roman" w:hAnsi="Times New Roman" w:eastAsia="Times New Roman" w:cs="Times New Roman"/>
          <w:spacing w:val="13"/>
          <w:sz w:val="18"/>
          <w:szCs w:val="18"/>
        </w:rPr>
        <w:t>340</w:t>
      </w:r>
      <w:r>
        <w:rPr>
          <w:rFonts w:ascii="Times New Roman" w:hAnsi="Times New Roman" w:eastAsia="Times New Roman" w:cs="Times New Roman"/>
          <w:spacing w:val="2"/>
          <w:sz w:val="18"/>
          <w:szCs w:val="18"/>
        </w:rPr>
        <w:t xml:space="preserve">               </w:t>
      </w:r>
      <w:r>
        <w:rPr>
          <w:spacing w:val="13"/>
          <w:sz w:val="18"/>
          <w:szCs w:val="18"/>
        </w:rPr>
        <w:t>信息系统监理师教程(第2版)</w:t>
      </w:r>
    </w:p>
    <w:p w14:paraId="531508A1">
      <w:pPr>
        <w:spacing w:line="365" w:lineRule="auto"/>
        <w:rPr>
          <w:rFonts w:ascii="Arial"/>
          <w:sz w:val="21"/>
        </w:rPr>
      </w:pPr>
    </w:p>
    <w:p w14:paraId="4E119CB9">
      <w:pPr>
        <w:pStyle w:val="2"/>
        <w:spacing w:before="59" w:line="219" w:lineRule="auto"/>
        <w:ind w:left="369"/>
        <w:rPr>
          <w:sz w:val="18"/>
          <w:szCs w:val="18"/>
        </w:rPr>
      </w:pPr>
      <w:r>
        <w:rPr>
          <w:spacing w:val="19"/>
          <w:sz w:val="18"/>
          <w:szCs w:val="18"/>
        </w:rPr>
        <w:t>单位建立信息管理制度，接收信息系统工程信息资料，对这些资料进行归整、保管和使用。</w:t>
      </w:r>
    </w:p>
    <w:p w14:paraId="487402FC">
      <w:pPr>
        <w:pStyle w:val="2"/>
        <w:spacing w:before="255" w:line="219" w:lineRule="auto"/>
        <w:ind w:left="373"/>
        <w:rPr>
          <w:sz w:val="23"/>
          <w:szCs w:val="23"/>
        </w:rPr>
      </w:pPr>
      <w:r>
        <w:rPr>
          <w:b/>
          <w:bCs/>
          <w:color w:val="0087E2"/>
          <w:spacing w:val="-2"/>
          <w:sz w:val="23"/>
          <w:szCs w:val="23"/>
        </w:rPr>
        <w:t>14.4.1</w:t>
      </w:r>
      <w:r>
        <w:rPr>
          <w:color w:val="0087E2"/>
          <w:spacing w:val="110"/>
          <w:sz w:val="23"/>
          <w:szCs w:val="23"/>
        </w:rPr>
        <w:t xml:space="preserve"> </w:t>
      </w:r>
      <w:r>
        <w:rPr>
          <w:b/>
          <w:bCs/>
          <w:color w:val="0087E2"/>
          <w:spacing w:val="-2"/>
          <w:sz w:val="23"/>
          <w:szCs w:val="23"/>
        </w:rPr>
        <w:t>总控类文档</w:t>
      </w:r>
    </w:p>
    <w:p w14:paraId="719273A3">
      <w:pPr>
        <w:pStyle w:val="2"/>
        <w:spacing w:before="208" w:line="309" w:lineRule="auto"/>
        <w:ind w:left="369" w:right="35" w:firstLine="419"/>
        <w:jc w:val="both"/>
        <w:rPr>
          <w:sz w:val="18"/>
          <w:szCs w:val="18"/>
        </w:rPr>
      </w:pPr>
      <w:r>
        <w:rPr>
          <w:spacing w:val="24"/>
          <w:sz w:val="18"/>
          <w:szCs w:val="18"/>
        </w:rPr>
        <w:t>总控类文档是指项目相关方的承建合同、设计方案、技术方</w:t>
      </w:r>
      <w:r>
        <w:rPr>
          <w:spacing w:val="23"/>
          <w:sz w:val="18"/>
          <w:szCs w:val="18"/>
        </w:rPr>
        <w:t>案、项目组织实施方案、项目</w:t>
      </w:r>
      <w:r>
        <w:rPr>
          <w:sz w:val="18"/>
          <w:szCs w:val="18"/>
        </w:rPr>
        <w:t xml:space="preserve"> </w:t>
      </w:r>
      <w:r>
        <w:rPr>
          <w:spacing w:val="23"/>
          <w:sz w:val="18"/>
          <w:szCs w:val="18"/>
        </w:rPr>
        <w:t>进度计划、质量保证计划、采购计划、监理大纲、监理规划及监理实施细则等文档。其他文档</w:t>
      </w:r>
      <w:r>
        <w:rPr>
          <w:sz w:val="18"/>
          <w:szCs w:val="18"/>
        </w:rPr>
        <w:t xml:space="preserve"> </w:t>
      </w:r>
      <w:r>
        <w:rPr>
          <w:spacing w:val="17"/>
          <w:sz w:val="18"/>
          <w:szCs w:val="18"/>
        </w:rPr>
        <w:t>逻辑上都是从总控类文档派生出来的。</w:t>
      </w:r>
    </w:p>
    <w:p w14:paraId="4714330D">
      <w:pPr>
        <w:pStyle w:val="2"/>
        <w:spacing w:before="204" w:line="219" w:lineRule="auto"/>
        <w:ind w:left="372"/>
        <w:rPr>
          <w:sz w:val="23"/>
          <w:szCs w:val="23"/>
        </w:rPr>
      </w:pPr>
      <w:r>
        <w:rPr>
          <w:b/>
          <w:bCs/>
          <w:color w:val="007CD0"/>
          <w:spacing w:val="-2"/>
          <w:sz w:val="23"/>
          <w:szCs w:val="23"/>
        </w:rPr>
        <w:t>14.4.2</w:t>
      </w:r>
      <w:r>
        <w:rPr>
          <w:color w:val="007CD0"/>
          <w:spacing w:val="-2"/>
          <w:sz w:val="23"/>
          <w:szCs w:val="23"/>
        </w:rPr>
        <w:t xml:space="preserve">  </w:t>
      </w:r>
      <w:r>
        <w:rPr>
          <w:b/>
          <w:bCs/>
          <w:color w:val="007CD0"/>
          <w:spacing w:val="-2"/>
          <w:sz w:val="23"/>
          <w:szCs w:val="23"/>
        </w:rPr>
        <w:t>监理实施类文档</w:t>
      </w:r>
    </w:p>
    <w:p w14:paraId="300DCF41">
      <w:pPr>
        <w:pStyle w:val="2"/>
        <w:spacing w:before="219" w:line="318" w:lineRule="auto"/>
        <w:ind w:left="369" w:firstLine="419"/>
        <w:jc w:val="both"/>
        <w:rPr>
          <w:sz w:val="18"/>
          <w:szCs w:val="18"/>
        </w:rPr>
      </w:pPr>
      <w:r>
        <w:rPr>
          <w:spacing w:val="28"/>
          <w:sz w:val="18"/>
          <w:szCs w:val="18"/>
        </w:rPr>
        <w:t>监理实施类文档(工程作业记录)主要包括：工程变更监</w:t>
      </w:r>
      <w:r>
        <w:rPr>
          <w:spacing w:val="27"/>
          <w:sz w:val="18"/>
          <w:szCs w:val="18"/>
        </w:rPr>
        <w:t>理文档、工程进度监理文档、工</w:t>
      </w:r>
      <w:r>
        <w:rPr>
          <w:sz w:val="18"/>
          <w:szCs w:val="18"/>
        </w:rPr>
        <w:t xml:space="preserve"> </w:t>
      </w:r>
      <w:r>
        <w:rPr>
          <w:spacing w:val="22"/>
          <w:sz w:val="18"/>
          <w:szCs w:val="18"/>
        </w:rPr>
        <w:t>程质量监理文档、监理报告(监理日报、监理周报、监理月报、专题报告、工程验收监理报告、</w:t>
      </w:r>
      <w:r>
        <w:rPr>
          <w:spacing w:val="5"/>
          <w:sz w:val="18"/>
          <w:szCs w:val="18"/>
        </w:rPr>
        <w:t xml:space="preserve"> </w:t>
      </w:r>
      <w:r>
        <w:rPr>
          <w:spacing w:val="24"/>
          <w:sz w:val="18"/>
          <w:szCs w:val="18"/>
        </w:rPr>
        <w:t>监理总结报告)等。</w:t>
      </w:r>
    </w:p>
    <w:p w14:paraId="615047B0">
      <w:pPr>
        <w:pStyle w:val="2"/>
        <w:spacing w:before="105" w:line="222" w:lineRule="auto"/>
        <w:ind w:left="792"/>
        <w:rPr>
          <w:rFonts w:ascii="黑体" w:hAnsi="黑体" w:eastAsia="黑体" w:cs="黑体"/>
          <w:sz w:val="18"/>
          <w:szCs w:val="18"/>
        </w:rPr>
      </w:pPr>
      <w:r>
        <w:rPr>
          <w:b/>
          <w:bCs/>
          <w:color w:val="0088E4"/>
          <w:spacing w:val="17"/>
          <w:sz w:val="18"/>
          <w:szCs w:val="18"/>
        </w:rPr>
        <w:t>1.</w:t>
      </w:r>
      <w:r>
        <w:rPr>
          <w:rFonts w:ascii="黑体" w:hAnsi="黑体" w:eastAsia="黑体" w:cs="黑体"/>
          <w:b/>
          <w:bCs/>
          <w:color w:val="0088E4"/>
          <w:spacing w:val="17"/>
          <w:sz w:val="18"/>
          <w:szCs w:val="18"/>
        </w:rPr>
        <w:t>工程变更监理文档</w:t>
      </w:r>
    </w:p>
    <w:p w14:paraId="77D75235">
      <w:pPr>
        <w:pStyle w:val="2"/>
        <w:spacing w:before="157" w:line="323" w:lineRule="auto"/>
        <w:ind w:left="369" w:firstLine="419"/>
        <w:jc w:val="both"/>
        <w:rPr>
          <w:sz w:val="18"/>
          <w:szCs w:val="18"/>
        </w:rPr>
      </w:pPr>
      <w:r>
        <w:rPr>
          <w:spacing w:val="23"/>
          <w:sz w:val="18"/>
          <w:szCs w:val="18"/>
        </w:rPr>
        <w:t>所有已评审通过的文件，包括评审项目开发计划、需求分析说明书、数据需求说明书、概</w:t>
      </w:r>
      <w:r>
        <w:rPr>
          <w:sz w:val="18"/>
          <w:szCs w:val="18"/>
        </w:rPr>
        <w:t xml:space="preserve"> </w:t>
      </w:r>
      <w:r>
        <w:rPr>
          <w:spacing w:val="25"/>
          <w:sz w:val="18"/>
          <w:szCs w:val="18"/>
        </w:rPr>
        <w:t>要设计说明书、详细设计说明书、数据库设计说明书、用户手册、操作手册、</w:t>
      </w:r>
      <w:r>
        <w:rPr>
          <w:spacing w:val="24"/>
          <w:sz w:val="18"/>
          <w:szCs w:val="18"/>
        </w:rPr>
        <w:t>模块开发卷宗、</w:t>
      </w:r>
      <w:r>
        <w:rPr>
          <w:sz w:val="18"/>
          <w:szCs w:val="18"/>
        </w:rPr>
        <w:t xml:space="preserve"> </w:t>
      </w:r>
      <w:r>
        <w:rPr>
          <w:spacing w:val="23"/>
          <w:sz w:val="18"/>
          <w:szCs w:val="18"/>
        </w:rPr>
        <w:t>测试方案、测试计划、测试分析报告、开发进度月报、项目开发总结报告等，</w:t>
      </w:r>
      <w:r>
        <w:rPr>
          <w:spacing w:val="22"/>
          <w:sz w:val="18"/>
          <w:szCs w:val="18"/>
        </w:rPr>
        <w:t>如果在实际开发</w:t>
      </w:r>
      <w:r>
        <w:rPr>
          <w:sz w:val="18"/>
          <w:szCs w:val="18"/>
        </w:rPr>
        <w:t xml:space="preserve">  </w:t>
      </w:r>
      <w:r>
        <w:rPr>
          <w:spacing w:val="23"/>
          <w:sz w:val="18"/>
          <w:szCs w:val="18"/>
        </w:rPr>
        <w:t>过程中承建单位需要变更某项内容，须经监理对其提出的变更内容和变更方案</w:t>
      </w:r>
      <w:r>
        <w:rPr>
          <w:spacing w:val="22"/>
          <w:sz w:val="18"/>
          <w:szCs w:val="18"/>
        </w:rPr>
        <w:t>进行评审，并提</w:t>
      </w:r>
      <w:r>
        <w:rPr>
          <w:sz w:val="18"/>
          <w:szCs w:val="18"/>
        </w:rPr>
        <w:t xml:space="preserve">  </w:t>
      </w:r>
      <w:r>
        <w:rPr>
          <w:spacing w:val="16"/>
          <w:sz w:val="18"/>
          <w:szCs w:val="18"/>
        </w:rPr>
        <w:t>出监理意见，经三方确认后实施。</w:t>
      </w:r>
    </w:p>
    <w:p w14:paraId="1124891E">
      <w:pPr>
        <w:pStyle w:val="2"/>
        <w:spacing w:before="82" w:line="222" w:lineRule="auto"/>
        <w:ind w:left="792"/>
        <w:rPr>
          <w:rFonts w:ascii="黑体" w:hAnsi="黑体" w:eastAsia="黑体" w:cs="黑体"/>
          <w:sz w:val="18"/>
          <w:szCs w:val="18"/>
        </w:rPr>
      </w:pPr>
      <w:r>
        <w:rPr>
          <w:b/>
          <w:bCs/>
          <w:color w:val="007CD0"/>
          <w:spacing w:val="17"/>
          <w:sz w:val="18"/>
          <w:szCs w:val="18"/>
        </w:rPr>
        <w:t>2.</w:t>
      </w:r>
      <w:r>
        <w:rPr>
          <w:rFonts w:ascii="黑体" w:hAnsi="黑体" w:eastAsia="黑体" w:cs="黑体"/>
          <w:b/>
          <w:bCs/>
          <w:color w:val="007CD0"/>
          <w:spacing w:val="17"/>
          <w:sz w:val="18"/>
          <w:szCs w:val="18"/>
        </w:rPr>
        <w:t>工程进度监理文档</w:t>
      </w:r>
    </w:p>
    <w:p w14:paraId="2EC214C4">
      <w:pPr>
        <w:pStyle w:val="2"/>
        <w:spacing w:before="187" w:line="309" w:lineRule="auto"/>
        <w:ind w:left="369" w:right="63" w:firstLine="419"/>
        <w:rPr>
          <w:sz w:val="18"/>
          <w:szCs w:val="18"/>
        </w:rPr>
      </w:pPr>
      <w:r>
        <w:rPr>
          <w:spacing w:val="23"/>
          <w:sz w:val="18"/>
          <w:szCs w:val="18"/>
        </w:rPr>
        <w:t>工程项目的进度控制是工程监理的重要内容。监理单位对工程项目的进度控制主要是</w:t>
      </w:r>
      <w:r>
        <w:rPr>
          <w:spacing w:val="22"/>
          <w:sz w:val="18"/>
          <w:szCs w:val="18"/>
        </w:rPr>
        <w:t>通过</w:t>
      </w:r>
      <w:r>
        <w:rPr>
          <w:sz w:val="18"/>
          <w:szCs w:val="18"/>
        </w:rPr>
        <w:t xml:space="preserve"> </w:t>
      </w:r>
      <w:r>
        <w:rPr>
          <w:spacing w:val="23"/>
          <w:sz w:val="18"/>
          <w:szCs w:val="18"/>
        </w:rPr>
        <w:t>进度监督、检查、协调、纠偏等一系列控制工作，使工程进度趋于正常。工程进度监</w:t>
      </w:r>
      <w:r>
        <w:rPr>
          <w:spacing w:val="22"/>
          <w:sz w:val="18"/>
          <w:szCs w:val="18"/>
        </w:rPr>
        <w:t>理文档主</w:t>
      </w:r>
      <w:r>
        <w:rPr>
          <w:sz w:val="18"/>
          <w:szCs w:val="18"/>
        </w:rPr>
        <w:t xml:space="preserve"> </w:t>
      </w:r>
      <w:r>
        <w:rPr>
          <w:spacing w:val="18"/>
          <w:sz w:val="18"/>
          <w:szCs w:val="18"/>
        </w:rPr>
        <w:t>要包含进度监理和进度纠偏两部分，如果监理意见认为存在进度偏差，则必须包含进度纠偏。</w:t>
      </w:r>
    </w:p>
    <w:p w14:paraId="0B65F240">
      <w:pPr>
        <w:pStyle w:val="2"/>
        <w:spacing w:before="17" w:line="323" w:lineRule="auto"/>
        <w:ind w:left="369" w:right="84" w:firstLine="419"/>
        <w:rPr>
          <w:sz w:val="18"/>
          <w:szCs w:val="18"/>
        </w:rPr>
      </w:pPr>
      <w:r>
        <w:rPr>
          <w:spacing w:val="22"/>
          <w:sz w:val="18"/>
          <w:szCs w:val="18"/>
        </w:rPr>
        <w:t>在进度监理过程中，监理工程师对某一工程阶段的进度情况进行客观描述，由总监理工程</w:t>
      </w:r>
      <w:r>
        <w:rPr>
          <w:spacing w:val="17"/>
          <w:sz w:val="18"/>
          <w:szCs w:val="18"/>
        </w:rPr>
        <w:t xml:space="preserve"> 师组织对进度情况进行评审和分析，并提出进度监理意见。</w:t>
      </w:r>
    </w:p>
    <w:p w14:paraId="649735C0">
      <w:pPr>
        <w:pStyle w:val="2"/>
        <w:spacing w:before="1" w:line="319" w:lineRule="auto"/>
        <w:ind w:left="369" w:right="75" w:firstLine="419"/>
        <w:rPr>
          <w:sz w:val="18"/>
          <w:szCs w:val="18"/>
        </w:rPr>
      </w:pPr>
      <w:r>
        <w:rPr>
          <w:spacing w:val="23"/>
          <w:sz w:val="18"/>
          <w:szCs w:val="18"/>
        </w:rPr>
        <w:t>如有进度纠偏的意见，须经三方确认后实施，监理单位应</w:t>
      </w:r>
      <w:r>
        <w:rPr>
          <w:spacing w:val="22"/>
          <w:sz w:val="18"/>
          <w:szCs w:val="18"/>
        </w:rPr>
        <w:t>同时把纠偏过程纳入进度监理和</w:t>
      </w:r>
      <w:r>
        <w:rPr>
          <w:sz w:val="18"/>
          <w:szCs w:val="18"/>
        </w:rPr>
        <w:t xml:space="preserve"> </w:t>
      </w:r>
      <w:r>
        <w:rPr>
          <w:spacing w:val="23"/>
          <w:sz w:val="18"/>
          <w:szCs w:val="18"/>
        </w:rPr>
        <w:t>质量监理范围之内。工程进度纠偏监理主要对纠偏效果和纠偏过程进行审核，如仍未达到计划</w:t>
      </w:r>
      <w:r>
        <w:rPr>
          <w:sz w:val="18"/>
          <w:szCs w:val="18"/>
        </w:rPr>
        <w:t xml:space="preserve"> </w:t>
      </w:r>
      <w:r>
        <w:rPr>
          <w:spacing w:val="14"/>
          <w:sz w:val="18"/>
          <w:szCs w:val="18"/>
        </w:rPr>
        <w:t>目标，则还应继续提出纠偏措施。</w:t>
      </w:r>
    </w:p>
    <w:p w14:paraId="3FF86AF0">
      <w:pPr>
        <w:pStyle w:val="2"/>
        <w:spacing w:before="92" w:line="222" w:lineRule="auto"/>
        <w:ind w:left="792"/>
        <w:rPr>
          <w:rFonts w:ascii="黑体" w:hAnsi="黑体" w:eastAsia="黑体" w:cs="黑体"/>
          <w:sz w:val="18"/>
          <w:szCs w:val="18"/>
        </w:rPr>
      </w:pPr>
      <w:r>
        <w:rPr>
          <w:b/>
          <w:bCs/>
          <w:color w:val="0281D6"/>
          <w:spacing w:val="17"/>
          <w:sz w:val="18"/>
          <w:szCs w:val="18"/>
        </w:rPr>
        <w:t>3.</w:t>
      </w:r>
      <w:r>
        <w:rPr>
          <w:rFonts w:ascii="黑体" w:hAnsi="黑体" w:eastAsia="黑体" w:cs="黑体"/>
          <w:b/>
          <w:bCs/>
          <w:color w:val="0281D6"/>
          <w:spacing w:val="17"/>
          <w:sz w:val="18"/>
          <w:szCs w:val="18"/>
        </w:rPr>
        <w:t>工程质量监理文档</w:t>
      </w:r>
    </w:p>
    <w:p w14:paraId="1B2AD89A">
      <w:pPr>
        <w:pStyle w:val="2"/>
        <w:spacing w:before="178" w:line="306" w:lineRule="auto"/>
        <w:ind w:left="369" w:firstLine="419"/>
        <w:jc w:val="both"/>
        <w:rPr>
          <w:sz w:val="18"/>
          <w:szCs w:val="18"/>
        </w:rPr>
      </w:pPr>
      <w:r>
        <w:rPr>
          <w:spacing w:val="25"/>
          <w:sz w:val="18"/>
          <w:szCs w:val="18"/>
        </w:rPr>
        <w:t>过程控制和检测技术是进行工程质量控制的主要手段</w:t>
      </w:r>
      <w:r>
        <w:rPr>
          <w:spacing w:val="24"/>
          <w:sz w:val="18"/>
          <w:szCs w:val="18"/>
        </w:rPr>
        <w:t>。过程控制依靠检测、分析、评审、</w:t>
      </w:r>
      <w:r>
        <w:rPr>
          <w:sz w:val="18"/>
          <w:szCs w:val="18"/>
        </w:rPr>
        <w:t xml:space="preserve"> </w:t>
      </w:r>
      <w:r>
        <w:rPr>
          <w:spacing w:val="23"/>
          <w:sz w:val="18"/>
          <w:szCs w:val="18"/>
        </w:rPr>
        <w:t>回归修改、再测试的循环来实现。检测技术是进行过程控制的基础。工程质量监</w:t>
      </w:r>
      <w:r>
        <w:rPr>
          <w:spacing w:val="22"/>
          <w:sz w:val="18"/>
          <w:szCs w:val="18"/>
        </w:rPr>
        <w:t>理文档主要包</w:t>
      </w:r>
      <w:r>
        <w:rPr>
          <w:sz w:val="18"/>
          <w:szCs w:val="18"/>
        </w:rPr>
        <w:t xml:space="preserve">  </w:t>
      </w:r>
      <w:r>
        <w:rPr>
          <w:spacing w:val="23"/>
          <w:sz w:val="18"/>
          <w:szCs w:val="18"/>
        </w:rPr>
        <w:t>含两部分：质量监理和回归情况监理。如果监理意见认为存在质量缺陷，则必</w:t>
      </w:r>
      <w:r>
        <w:rPr>
          <w:spacing w:val="22"/>
          <w:sz w:val="18"/>
          <w:szCs w:val="18"/>
        </w:rPr>
        <w:t>须包含回归情况</w:t>
      </w:r>
      <w:r>
        <w:rPr>
          <w:sz w:val="18"/>
          <w:szCs w:val="18"/>
        </w:rPr>
        <w:t xml:space="preserve">  </w:t>
      </w:r>
      <w:r>
        <w:rPr>
          <w:spacing w:val="13"/>
          <w:sz w:val="18"/>
          <w:szCs w:val="18"/>
        </w:rPr>
        <w:t>监理。</w:t>
      </w:r>
    </w:p>
    <w:p w14:paraId="0C04FA6D">
      <w:pPr>
        <w:pStyle w:val="2"/>
        <w:spacing w:before="36" w:line="219" w:lineRule="auto"/>
        <w:jc w:val="right"/>
        <w:rPr>
          <w:sz w:val="18"/>
          <w:szCs w:val="18"/>
        </w:rPr>
      </w:pPr>
      <w:r>
        <w:rPr>
          <w:spacing w:val="20"/>
          <w:sz w:val="18"/>
          <w:szCs w:val="18"/>
        </w:rPr>
        <w:t>在质量监理过程中，总监理工程师组织对检</w:t>
      </w:r>
      <w:r>
        <w:rPr>
          <w:spacing w:val="19"/>
          <w:sz w:val="18"/>
          <w:szCs w:val="18"/>
        </w:rPr>
        <w:t>测情况进行评审和分析，并提出质量监理意见。</w:t>
      </w:r>
    </w:p>
    <w:p w14:paraId="06590041">
      <w:pPr>
        <w:pStyle w:val="2"/>
        <w:spacing w:before="96" w:line="309" w:lineRule="auto"/>
        <w:ind w:left="369" w:right="62" w:firstLine="419"/>
        <w:rPr>
          <w:sz w:val="18"/>
          <w:szCs w:val="18"/>
        </w:rPr>
      </w:pPr>
      <w:r>
        <w:rPr>
          <w:spacing w:val="23"/>
          <w:sz w:val="18"/>
          <w:szCs w:val="18"/>
        </w:rPr>
        <w:t>在监理过程中发现质量问题，经三方确认监理意见后由承建</w:t>
      </w:r>
      <w:r>
        <w:rPr>
          <w:spacing w:val="22"/>
          <w:sz w:val="18"/>
          <w:szCs w:val="18"/>
        </w:rPr>
        <w:t>单位进行修改，监理单位应同</w:t>
      </w:r>
      <w:r>
        <w:rPr>
          <w:sz w:val="18"/>
          <w:szCs w:val="18"/>
        </w:rPr>
        <w:t xml:space="preserve"> </w:t>
      </w:r>
      <w:r>
        <w:rPr>
          <w:spacing w:val="23"/>
          <w:sz w:val="18"/>
          <w:szCs w:val="18"/>
        </w:rPr>
        <w:t>时把修改过程纳入进度监理和质量监理范围之内。工程质量回归监理主要对修改结果和修改过</w:t>
      </w:r>
      <w:r>
        <w:rPr>
          <w:spacing w:val="13"/>
          <w:sz w:val="18"/>
          <w:szCs w:val="18"/>
        </w:rPr>
        <w:t xml:space="preserve"> </w:t>
      </w:r>
      <w:r>
        <w:rPr>
          <w:spacing w:val="19"/>
          <w:sz w:val="18"/>
          <w:szCs w:val="18"/>
        </w:rPr>
        <w:t>程进行审核，如仍未达到计划目标，则还应继续提出修改</w:t>
      </w:r>
      <w:r>
        <w:rPr>
          <w:spacing w:val="18"/>
          <w:sz w:val="18"/>
          <w:szCs w:val="18"/>
        </w:rPr>
        <w:t>措施。</w:t>
      </w:r>
    </w:p>
    <w:p w14:paraId="629748E1">
      <w:pPr>
        <w:spacing w:line="309" w:lineRule="auto"/>
        <w:rPr>
          <w:sz w:val="18"/>
          <w:szCs w:val="18"/>
        </w:rPr>
        <w:sectPr>
          <w:pgSz w:w="10300" w:h="13420"/>
          <w:pgMar w:top="400" w:right="1009" w:bottom="400" w:left="520" w:header="0" w:footer="0" w:gutter="0"/>
          <w:cols w:space="720" w:num="1"/>
        </w:sectPr>
      </w:pPr>
    </w:p>
    <w:p w14:paraId="0CC619C8">
      <w:pPr>
        <w:pStyle w:val="2"/>
        <w:spacing w:before="16" w:line="219" w:lineRule="auto"/>
        <w:ind w:left="6209"/>
        <w:rPr>
          <w:sz w:val="20"/>
          <w:szCs w:val="20"/>
        </w:rPr>
      </w:pPr>
      <w:r>
        <w:rPr>
          <w:spacing w:val="1"/>
          <w:sz w:val="20"/>
          <w:szCs w:val="20"/>
        </w:rPr>
        <w:t>第14章</w:t>
      </w:r>
      <w:r>
        <w:rPr>
          <w:spacing w:val="18"/>
          <w:sz w:val="20"/>
          <w:szCs w:val="20"/>
        </w:rPr>
        <w:t xml:space="preserve"> </w:t>
      </w:r>
      <w:r>
        <w:rPr>
          <w:spacing w:val="1"/>
          <w:sz w:val="20"/>
          <w:szCs w:val="20"/>
        </w:rPr>
        <w:t>信息管理</w:t>
      </w:r>
    </w:p>
    <w:p w14:paraId="63BD5550">
      <w:pPr>
        <w:spacing w:line="14" w:lineRule="auto"/>
        <w:rPr>
          <w:rFonts w:ascii="Arial"/>
          <w:sz w:val="2"/>
        </w:rPr>
      </w:pPr>
      <w:r>
        <w:rPr>
          <w:rFonts w:ascii="Arial" w:hAnsi="Arial" w:eastAsia="Arial" w:cs="Arial"/>
          <w:sz w:val="2"/>
          <w:szCs w:val="2"/>
        </w:rPr>
        <w:br w:type="column"/>
      </w:r>
    </w:p>
    <w:p w14:paraId="7F431759">
      <w:pPr>
        <w:pStyle w:val="2"/>
        <w:spacing w:before="115" w:line="184" w:lineRule="auto"/>
        <w:jc w:val="right"/>
        <w:rPr>
          <w:rFonts w:ascii="Times New Roman" w:hAnsi="Times New Roman" w:eastAsia="Times New Roman" w:cs="Times New Roman"/>
          <w:sz w:val="20"/>
          <w:szCs w:val="20"/>
        </w:rPr>
      </w:pPr>
      <w:r>
        <w:rPr>
          <w:color w:val="009EEE"/>
          <w:spacing w:val="-10"/>
          <w:sz w:val="20"/>
          <w:szCs w:val="20"/>
        </w:rPr>
        <w:t>■</w:t>
      </w:r>
      <w:r>
        <w:rPr>
          <w:color w:val="009EEE"/>
          <w:sz w:val="20"/>
          <w:szCs w:val="20"/>
        </w:rPr>
        <w:t xml:space="preserve"> </w:t>
      </w:r>
      <w:r>
        <w:rPr>
          <w:rFonts w:ascii="Times New Roman" w:hAnsi="Times New Roman" w:eastAsia="Times New Roman" w:cs="Times New Roman"/>
          <w:spacing w:val="-10"/>
          <w:sz w:val="20"/>
          <w:szCs w:val="20"/>
        </w:rPr>
        <w:t>341</w:t>
      </w:r>
    </w:p>
    <w:p w14:paraId="52346770">
      <w:pPr>
        <w:spacing w:line="184" w:lineRule="auto"/>
        <w:rPr>
          <w:rFonts w:ascii="Times New Roman" w:hAnsi="Times New Roman" w:eastAsia="Times New Roman" w:cs="Times New Roman"/>
          <w:sz w:val="20"/>
          <w:szCs w:val="20"/>
        </w:rPr>
        <w:sectPr>
          <w:pgSz w:w="10280" w:h="13300"/>
          <w:pgMar w:top="400" w:right="608" w:bottom="400" w:left="1040" w:header="0" w:footer="0" w:gutter="0"/>
          <w:cols w:equalWidth="0" w:num="2">
            <w:col w:w="7812" w:space="100"/>
            <w:col w:w="720"/>
          </w:cols>
        </w:sectPr>
      </w:pPr>
    </w:p>
    <w:p w14:paraId="19915EF3">
      <w:pPr>
        <w:spacing w:line="251" w:lineRule="auto"/>
        <w:rPr>
          <w:rFonts w:ascii="Arial"/>
          <w:sz w:val="21"/>
        </w:rPr>
      </w:pPr>
    </w:p>
    <w:p w14:paraId="616C041B">
      <w:pPr>
        <w:pStyle w:val="2"/>
        <w:spacing w:before="65" w:line="222" w:lineRule="auto"/>
        <w:ind w:left="412"/>
        <w:rPr>
          <w:rFonts w:ascii="黑体" w:hAnsi="黑体" w:eastAsia="黑体" w:cs="黑体"/>
          <w:sz w:val="20"/>
          <w:szCs w:val="20"/>
        </w:rPr>
      </w:pPr>
      <w:r>
        <w:rPr>
          <w:b/>
          <w:bCs/>
          <w:color w:val="0077E0"/>
          <w:spacing w:val="3"/>
          <w:sz w:val="20"/>
          <w:szCs w:val="20"/>
        </w:rPr>
        <w:t>4.</w:t>
      </w:r>
      <w:r>
        <w:rPr>
          <w:rFonts w:ascii="黑体" w:hAnsi="黑体" w:eastAsia="黑体" w:cs="黑体"/>
          <w:b/>
          <w:bCs/>
          <w:color w:val="0077E0"/>
          <w:spacing w:val="3"/>
          <w:sz w:val="20"/>
          <w:szCs w:val="20"/>
        </w:rPr>
        <w:t>工程监理日报/周报</w:t>
      </w:r>
    </w:p>
    <w:p w14:paraId="3D804E0A">
      <w:pPr>
        <w:pStyle w:val="2"/>
        <w:spacing w:before="172" w:line="264" w:lineRule="auto"/>
        <w:ind w:right="305" w:firstLine="409"/>
        <w:rPr>
          <w:sz w:val="20"/>
          <w:szCs w:val="20"/>
        </w:rPr>
      </w:pPr>
      <w:r>
        <w:rPr>
          <w:spacing w:val="5"/>
          <w:sz w:val="20"/>
          <w:szCs w:val="20"/>
        </w:rPr>
        <w:t>工程监理日报/周报由监理工程师根据实际需要每日/每周编写，主要针对每日/每周工程</w:t>
      </w:r>
      <w:r>
        <w:rPr>
          <w:spacing w:val="15"/>
          <w:sz w:val="20"/>
          <w:szCs w:val="20"/>
        </w:rPr>
        <w:t xml:space="preserve"> </w:t>
      </w:r>
      <w:r>
        <w:rPr>
          <w:spacing w:val="-1"/>
          <w:sz w:val="20"/>
          <w:szCs w:val="20"/>
        </w:rPr>
        <w:t>进度、工程质量、合同管理及其他事项进行综合分析，并提出必要的</w:t>
      </w:r>
      <w:r>
        <w:rPr>
          <w:spacing w:val="-2"/>
          <w:sz w:val="20"/>
          <w:szCs w:val="20"/>
        </w:rPr>
        <w:t>意见。</w:t>
      </w:r>
    </w:p>
    <w:p w14:paraId="5A4CC020">
      <w:pPr>
        <w:pStyle w:val="2"/>
        <w:spacing w:before="144" w:line="222" w:lineRule="auto"/>
        <w:ind w:left="412"/>
        <w:rPr>
          <w:rFonts w:ascii="黑体" w:hAnsi="黑体" w:eastAsia="黑体" w:cs="黑体"/>
          <w:sz w:val="20"/>
          <w:szCs w:val="20"/>
        </w:rPr>
      </w:pPr>
      <w:r>
        <w:rPr>
          <w:b/>
          <w:bCs/>
          <w:color w:val="0066CC"/>
          <w:spacing w:val="-5"/>
          <w:sz w:val="20"/>
          <w:szCs w:val="20"/>
        </w:rPr>
        <w:t>5.</w:t>
      </w:r>
      <w:r>
        <w:rPr>
          <w:rFonts w:ascii="黑体" w:hAnsi="黑体" w:eastAsia="黑体" w:cs="黑体"/>
          <w:b/>
          <w:bCs/>
          <w:color w:val="0066CC"/>
          <w:spacing w:val="-5"/>
          <w:sz w:val="20"/>
          <w:szCs w:val="20"/>
        </w:rPr>
        <w:t>工程监理月报</w:t>
      </w:r>
    </w:p>
    <w:p w14:paraId="5F62CB7D">
      <w:pPr>
        <w:pStyle w:val="2"/>
        <w:spacing w:before="132" w:line="287" w:lineRule="auto"/>
        <w:ind w:right="302" w:firstLine="409"/>
        <w:jc w:val="both"/>
        <w:rPr>
          <w:sz w:val="20"/>
          <w:szCs w:val="20"/>
        </w:rPr>
      </w:pPr>
      <w:r>
        <w:rPr>
          <w:spacing w:val="2"/>
          <w:sz w:val="20"/>
          <w:szCs w:val="20"/>
        </w:rPr>
        <w:t>工程监理月报由总监理工程师组织编写，由各相关专业监理工程师参加，对本月的工程进</w:t>
      </w:r>
      <w:r>
        <w:rPr>
          <w:spacing w:val="18"/>
          <w:sz w:val="20"/>
          <w:szCs w:val="20"/>
        </w:rPr>
        <w:t xml:space="preserve"> </w:t>
      </w:r>
      <w:r>
        <w:rPr>
          <w:spacing w:val="3"/>
          <w:sz w:val="20"/>
          <w:szCs w:val="20"/>
        </w:rPr>
        <w:t>度、工程质量、合同管理及其他事项进行综合分析，总结本月监理结论，并提出下月的监理计</w:t>
      </w:r>
      <w:r>
        <w:rPr>
          <w:spacing w:val="5"/>
          <w:sz w:val="20"/>
          <w:szCs w:val="20"/>
        </w:rPr>
        <w:t xml:space="preserve"> </w:t>
      </w:r>
      <w:r>
        <w:rPr>
          <w:spacing w:val="-3"/>
          <w:sz w:val="20"/>
          <w:szCs w:val="20"/>
        </w:rPr>
        <w:t>划。一般来说，监理月报应包含以下要素：</w:t>
      </w:r>
    </w:p>
    <w:p w14:paraId="4F48D8E4">
      <w:pPr>
        <w:pStyle w:val="2"/>
        <w:spacing w:before="27" w:line="219" w:lineRule="auto"/>
        <w:ind w:left="409"/>
        <w:rPr>
          <w:sz w:val="20"/>
          <w:szCs w:val="20"/>
        </w:rPr>
      </w:pPr>
      <w:r>
        <w:rPr>
          <w:spacing w:val="1"/>
          <w:sz w:val="20"/>
          <w:szCs w:val="20"/>
        </w:rPr>
        <w:t>(1)工程概况：包括本月进行的工程情况，如有工程外包，则包括相应的承包单位情况；</w:t>
      </w:r>
    </w:p>
    <w:p w14:paraId="3552C870">
      <w:pPr>
        <w:pStyle w:val="2"/>
        <w:spacing w:before="73" w:line="219" w:lineRule="auto"/>
        <w:ind w:left="409"/>
        <w:rPr>
          <w:sz w:val="20"/>
          <w:szCs w:val="20"/>
        </w:rPr>
      </w:pPr>
      <w:r>
        <w:rPr>
          <w:spacing w:val="1"/>
          <w:sz w:val="20"/>
          <w:szCs w:val="20"/>
        </w:rPr>
        <w:t>(2)监理工作统计：统计本月的监理情况，包括监理会议、监理实施等情况；</w:t>
      </w:r>
    </w:p>
    <w:p w14:paraId="1A590D51">
      <w:pPr>
        <w:pStyle w:val="2"/>
        <w:spacing w:before="73" w:line="287" w:lineRule="auto"/>
        <w:ind w:right="304" w:firstLine="409"/>
        <w:rPr>
          <w:sz w:val="16"/>
          <w:szCs w:val="16"/>
        </w:rPr>
      </w:pPr>
      <w:r>
        <w:rPr>
          <w:spacing w:val="11"/>
          <w:sz w:val="20"/>
          <w:szCs w:val="20"/>
        </w:rPr>
        <w:t>(3)工程质量控制：综合本月的质量控制情况，包括测试</w:t>
      </w:r>
      <w:r>
        <w:rPr>
          <w:spacing w:val="10"/>
          <w:sz w:val="20"/>
          <w:szCs w:val="20"/>
        </w:rPr>
        <w:t>结论、质量事故、模块修改过</w:t>
      </w:r>
      <w:r>
        <w:rPr>
          <w:sz w:val="20"/>
          <w:szCs w:val="20"/>
        </w:rPr>
        <w:t xml:space="preserve"> </w:t>
      </w:r>
      <w:r>
        <w:rPr>
          <w:spacing w:val="-5"/>
          <w:sz w:val="16"/>
          <w:szCs w:val="16"/>
        </w:rPr>
        <w:t>程</w:t>
      </w:r>
      <w:r>
        <w:rPr>
          <w:spacing w:val="-16"/>
          <w:sz w:val="16"/>
          <w:szCs w:val="16"/>
        </w:rPr>
        <w:t xml:space="preserve"> </w:t>
      </w:r>
      <w:r>
        <w:rPr>
          <w:spacing w:val="-5"/>
          <w:sz w:val="16"/>
          <w:szCs w:val="16"/>
        </w:rPr>
        <w:t>等</w:t>
      </w:r>
      <w:r>
        <w:rPr>
          <w:spacing w:val="-23"/>
          <w:sz w:val="16"/>
          <w:szCs w:val="16"/>
        </w:rPr>
        <w:t xml:space="preserve"> </w:t>
      </w:r>
      <w:r>
        <w:rPr>
          <w:spacing w:val="-5"/>
          <w:sz w:val="16"/>
          <w:szCs w:val="16"/>
        </w:rPr>
        <w:t>；</w:t>
      </w:r>
    </w:p>
    <w:p w14:paraId="128AE03A">
      <w:pPr>
        <w:pStyle w:val="2"/>
        <w:spacing w:before="81" w:line="262" w:lineRule="auto"/>
        <w:ind w:right="304" w:firstLine="409"/>
        <w:rPr>
          <w:sz w:val="20"/>
          <w:szCs w:val="20"/>
        </w:rPr>
      </w:pPr>
      <w:r>
        <w:rPr>
          <w:spacing w:val="5"/>
          <w:sz w:val="20"/>
          <w:szCs w:val="20"/>
        </w:rPr>
        <w:t>(4)工程进度控制：综合本月的工程进度情况，包含完成情况及分析、实际进度与计划进</w:t>
      </w:r>
      <w:r>
        <w:rPr>
          <w:spacing w:val="16"/>
          <w:sz w:val="20"/>
          <w:szCs w:val="20"/>
        </w:rPr>
        <w:t xml:space="preserve"> </w:t>
      </w:r>
      <w:r>
        <w:rPr>
          <w:spacing w:val="-3"/>
          <w:sz w:val="20"/>
          <w:szCs w:val="20"/>
        </w:rPr>
        <w:t>度的比较、纠偏实施情况、工程变更等；</w:t>
      </w:r>
    </w:p>
    <w:p w14:paraId="3DD26F0C">
      <w:pPr>
        <w:pStyle w:val="2"/>
        <w:spacing w:before="73" w:line="248" w:lineRule="auto"/>
        <w:ind w:right="211" w:firstLine="409"/>
        <w:rPr>
          <w:sz w:val="20"/>
          <w:szCs w:val="20"/>
        </w:rPr>
      </w:pPr>
      <w:r>
        <w:rPr>
          <w:spacing w:val="3"/>
          <w:sz w:val="20"/>
          <w:szCs w:val="20"/>
        </w:rPr>
        <w:t>(5)管理协调：综合本月的合同管理、综合协调情况，包含</w:t>
      </w:r>
      <w:r>
        <w:rPr>
          <w:spacing w:val="2"/>
          <w:sz w:val="20"/>
          <w:szCs w:val="20"/>
        </w:rPr>
        <w:t>有无新签合同、合同履行情况、</w:t>
      </w:r>
      <w:r>
        <w:rPr>
          <w:sz w:val="20"/>
          <w:szCs w:val="20"/>
        </w:rPr>
        <w:t xml:space="preserve"> </w:t>
      </w:r>
      <w:r>
        <w:rPr>
          <w:spacing w:val="-4"/>
          <w:sz w:val="20"/>
          <w:szCs w:val="20"/>
        </w:rPr>
        <w:t>合同纠纷、双方工作关系情况等；</w:t>
      </w:r>
    </w:p>
    <w:p w14:paraId="75820BBA">
      <w:pPr>
        <w:pStyle w:val="2"/>
        <w:spacing w:before="90" w:line="250" w:lineRule="auto"/>
        <w:ind w:right="303" w:firstLine="409"/>
        <w:rPr>
          <w:sz w:val="20"/>
          <w:szCs w:val="20"/>
        </w:rPr>
      </w:pPr>
      <w:r>
        <w:rPr>
          <w:spacing w:val="5"/>
          <w:sz w:val="20"/>
          <w:szCs w:val="20"/>
        </w:rPr>
        <w:t>(6)监理总评价：对本月工程质量、进度、协调的各方面情况进行综合性评价，并提出存</w:t>
      </w:r>
      <w:r>
        <w:rPr>
          <w:spacing w:val="17"/>
          <w:sz w:val="20"/>
          <w:szCs w:val="20"/>
        </w:rPr>
        <w:t xml:space="preserve"> </w:t>
      </w:r>
      <w:r>
        <w:rPr>
          <w:spacing w:val="-6"/>
          <w:sz w:val="20"/>
          <w:szCs w:val="20"/>
        </w:rPr>
        <w:t>在的问题和建议；</w:t>
      </w:r>
    </w:p>
    <w:p w14:paraId="7F5CCBA9">
      <w:pPr>
        <w:pStyle w:val="2"/>
        <w:spacing w:before="81" w:line="219" w:lineRule="auto"/>
        <w:ind w:left="409"/>
        <w:rPr>
          <w:sz w:val="20"/>
          <w:szCs w:val="20"/>
        </w:rPr>
      </w:pPr>
      <w:r>
        <w:rPr>
          <w:spacing w:val="2"/>
          <w:sz w:val="20"/>
          <w:szCs w:val="20"/>
        </w:rPr>
        <w:t>(7)下月监理计划：对下月监理工作提出计划，指导各</w:t>
      </w:r>
      <w:r>
        <w:rPr>
          <w:spacing w:val="1"/>
          <w:sz w:val="20"/>
          <w:szCs w:val="20"/>
        </w:rPr>
        <w:t>监理工程师工作。</w:t>
      </w:r>
    </w:p>
    <w:p w14:paraId="289050A8">
      <w:pPr>
        <w:pStyle w:val="2"/>
        <w:spacing w:before="158" w:line="222" w:lineRule="auto"/>
        <w:ind w:left="412"/>
        <w:rPr>
          <w:rFonts w:ascii="黑体" w:hAnsi="黑体" w:eastAsia="黑体" w:cs="黑体"/>
          <w:sz w:val="20"/>
          <w:szCs w:val="20"/>
        </w:rPr>
      </w:pPr>
      <w:r>
        <w:rPr>
          <w:b/>
          <w:bCs/>
          <w:color w:val="006BCA"/>
          <w:spacing w:val="-1"/>
          <w:sz w:val="20"/>
          <w:szCs w:val="20"/>
        </w:rPr>
        <w:t>6.</w:t>
      </w:r>
      <w:r>
        <w:rPr>
          <w:rFonts w:ascii="黑体" w:hAnsi="黑体" w:eastAsia="黑体" w:cs="黑体"/>
          <w:b/>
          <w:bCs/>
          <w:color w:val="006BCA"/>
          <w:spacing w:val="-1"/>
          <w:sz w:val="20"/>
          <w:szCs w:val="20"/>
        </w:rPr>
        <w:t>工程验收监理报告</w:t>
      </w:r>
    </w:p>
    <w:p w14:paraId="0F06FE48">
      <w:pPr>
        <w:pStyle w:val="2"/>
        <w:spacing w:before="142" w:line="272" w:lineRule="auto"/>
        <w:ind w:right="262" w:firstLine="409"/>
        <w:jc w:val="both"/>
        <w:rPr>
          <w:sz w:val="20"/>
          <w:szCs w:val="20"/>
        </w:rPr>
      </w:pPr>
      <w:r>
        <w:rPr>
          <w:spacing w:val="3"/>
          <w:sz w:val="20"/>
          <w:szCs w:val="20"/>
        </w:rPr>
        <w:t>工程验收监理报告是信息系统工程建设项目验</w:t>
      </w:r>
      <w:r>
        <w:rPr>
          <w:spacing w:val="2"/>
          <w:sz w:val="20"/>
          <w:szCs w:val="20"/>
        </w:rPr>
        <w:t>收阶段产生的主要监理文件，此阶段的主要</w:t>
      </w:r>
      <w:r>
        <w:rPr>
          <w:sz w:val="20"/>
          <w:szCs w:val="20"/>
        </w:rPr>
        <w:t xml:space="preserve"> </w:t>
      </w:r>
      <w:r>
        <w:rPr>
          <w:spacing w:val="3"/>
          <w:sz w:val="20"/>
          <w:szCs w:val="20"/>
        </w:rPr>
        <w:t>监理工作是监督合同各方做好竣工准备工作，组织三方对工程系统进行验收测试，以检验系统</w:t>
      </w:r>
      <w:r>
        <w:rPr>
          <w:spacing w:val="5"/>
          <w:sz w:val="20"/>
          <w:szCs w:val="20"/>
        </w:rPr>
        <w:t xml:space="preserve"> </w:t>
      </w:r>
      <w:r>
        <w:rPr>
          <w:spacing w:val="-1"/>
          <w:sz w:val="20"/>
          <w:szCs w:val="20"/>
        </w:rPr>
        <w:t>及软硬件设备等是否达到设计要求。验收采用定量或定性分析方法，针对问题进行分析和研究，</w:t>
      </w:r>
      <w:r>
        <w:rPr>
          <w:spacing w:val="10"/>
          <w:sz w:val="20"/>
          <w:szCs w:val="20"/>
        </w:rPr>
        <w:t xml:space="preserve"> </w:t>
      </w:r>
      <w:r>
        <w:rPr>
          <w:spacing w:val="3"/>
          <w:sz w:val="20"/>
          <w:szCs w:val="20"/>
        </w:rPr>
        <w:t>最后提出监理报告，因此工程验收监理报告包含验收测试结论与分析。工程验收监理报告必须</w:t>
      </w:r>
      <w:r>
        <w:rPr>
          <w:spacing w:val="6"/>
          <w:sz w:val="20"/>
          <w:szCs w:val="20"/>
        </w:rPr>
        <w:t xml:space="preserve"> </w:t>
      </w:r>
      <w:r>
        <w:rPr>
          <w:spacing w:val="-7"/>
          <w:sz w:val="20"/>
          <w:szCs w:val="20"/>
        </w:rPr>
        <w:t>包含以下要素：</w:t>
      </w:r>
    </w:p>
    <w:p w14:paraId="443306F1">
      <w:pPr>
        <w:pStyle w:val="2"/>
        <w:spacing w:before="57" w:line="258" w:lineRule="auto"/>
        <w:ind w:right="261" w:firstLine="409"/>
        <w:rPr>
          <w:sz w:val="20"/>
          <w:szCs w:val="20"/>
        </w:rPr>
      </w:pPr>
      <w:r>
        <w:rPr>
          <w:spacing w:val="7"/>
          <w:sz w:val="20"/>
          <w:szCs w:val="20"/>
        </w:rPr>
        <w:t>(1)工程竣工准备。评估承建单位准备的</w:t>
      </w:r>
      <w:r>
        <w:rPr>
          <w:spacing w:val="6"/>
          <w:sz w:val="20"/>
          <w:szCs w:val="20"/>
        </w:rPr>
        <w:t>技术资料、文档、基础数据等是否准确、齐全，</w:t>
      </w:r>
      <w:r>
        <w:rPr>
          <w:sz w:val="20"/>
          <w:szCs w:val="20"/>
        </w:rPr>
        <w:t xml:space="preserve"> </w:t>
      </w:r>
      <w:r>
        <w:rPr>
          <w:spacing w:val="-3"/>
          <w:sz w:val="20"/>
          <w:szCs w:val="20"/>
        </w:rPr>
        <w:t>其他竣工准备工作是否完备。</w:t>
      </w:r>
    </w:p>
    <w:p w14:paraId="15C9C143">
      <w:pPr>
        <w:pStyle w:val="2"/>
        <w:spacing w:before="73" w:line="219" w:lineRule="auto"/>
        <w:ind w:left="409"/>
        <w:rPr>
          <w:sz w:val="20"/>
          <w:szCs w:val="20"/>
        </w:rPr>
      </w:pPr>
      <w:r>
        <w:rPr>
          <w:spacing w:val="1"/>
          <w:sz w:val="20"/>
          <w:szCs w:val="20"/>
        </w:rPr>
        <w:t>(2)验收测试方案与规范。组织三方确定验收测试方案、测试案例、测试工具的使用等。</w:t>
      </w:r>
    </w:p>
    <w:p w14:paraId="14200E38">
      <w:pPr>
        <w:pStyle w:val="2"/>
        <w:spacing w:before="71" w:line="258" w:lineRule="auto"/>
        <w:ind w:right="297" w:firstLine="409"/>
        <w:rPr>
          <w:sz w:val="20"/>
          <w:szCs w:val="20"/>
        </w:rPr>
      </w:pPr>
      <w:r>
        <w:rPr>
          <w:spacing w:val="5"/>
          <w:sz w:val="20"/>
          <w:szCs w:val="20"/>
        </w:rPr>
        <w:t>(3)测试结果与分析(测试记录)。依照验收测试方案实施测试工作得到的测试结果，报告</w:t>
      </w:r>
      <w:r>
        <w:rPr>
          <w:spacing w:val="18"/>
          <w:sz w:val="20"/>
          <w:szCs w:val="20"/>
        </w:rPr>
        <w:t xml:space="preserve"> </w:t>
      </w:r>
      <w:r>
        <w:rPr>
          <w:spacing w:val="3"/>
          <w:sz w:val="20"/>
          <w:szCs w:val="20"/>
        </w:rPr>
        <w:t>内容包括业务测试和性能测试，并对原始测试结果进行必要的技术分析，内</w:t>
      </w:r>
      <w:r>
        <w:rPr>
          <w:spacing w:val="2"/>
          <w:sz w:val="20"/>
          <w:szCs w:val="20"/>
        </w:rPr>
        <w:t>容包括各种分析图</w:t>
      </w:r>
      <w:r>
        <w:rPr>
          <w:sz w:val="20"/>
          <w:szCs w:val="20"/>
        </w:rPr>
        <w:t xml:space="preserve"> </w:t>
      </w:r>
      <w:r>
        <w:rPr>
          <w:spacing w:val="-4"/>
          <w:sz w:val="20"/>
          <w:szCs w:val="20"/>
        </w:rPr>
        <w:t>表、文字说明等。</w:t>
      </w:r>
    </w:p>
    <w:p w14:paraId="281BA484">
      <w:pPr>
        <w:pStyle w:val="2"/>
        <w:spacing w:before="72" w:line="264" w:lineRule="auto"/>
        <w:ind w:right="300" w:firstLine="409"/>
        <w:rPr>
          <w:sz w:val="20"/>
          <w:szCs w:val="20"/>
        </w:rPr>
      </w:pPr>
      <w:r>
        <w:rPr>
          <w:spacing w:val="6"/>
          <w:sz w:val="20"/>
          <w:szCs w:val="20"/>
        </w:rPr>
        <w:t>(4)验收测试报告。根据测试结果对各项指</w:t>
      </w:r>
      <w:r>
        <w:rPr>
          <w:spacing w:val="5"/>
          <w:sz w:val="20"/>
          <w:szCs w:val="20"/>
        </w:rPr>
        <w:t>标是否达到工程设计要求做综合性说明，对工</w:t>
      </w:r>
      <w:r>
        <w:rPr>
          <w:sz w:val="20"/>
          <w:szCs w:val="20"/>
        </w:rPr>
        <w:t xml:space="preserve"> </w:t>
      </w:r>
      <w:r>
        <w:rPr>
          <w:spacing w:val="3"/>
          <w:sz w:val="20"/>
          <w:szCs w:val="20"/>
        </w:rPr>
        <w:t>程中存在或可能存在的问题进行分析和归纳，确定需要返工修改的部分，以及对返工修改部分</w:t>
      </w:r>
      <w:r>
        <w:rPr>
          <w:spacing w:val="5"/>
          <w:sz w:val="20"/>
          <w:szCs w:val="20"/>
        </w:rPr>
        <w:t xml:space="preserve"> </w:t>
      </w:r>
      <w:r>
        <w:rPr>
          <w:spacing w:val="-7"/>
          <w:sz w:val="20"/>
          <w:szCs w:val="20"/>
        </w:rPr>
        <w:t>回归测试的情况。</w:t>
      </w:r>
    </w:p>
    <w:p w14:paraId="3F968C39">
      <w:pPr>
        <w:pStyle w:val="2"/>
        <w:spacing w:before="161" w:line="224" w:lineRule="auto"/>
        <w:ind w:left="412"/>
        <w:rPr>
          <w:rFonts w:ascii="黑体" w:hAnsi="黑体" w:eastAsia="黑体" w:cs="黑体"/>
          <w:sz w:val="20"/>
          <w:szCs w:val="20"/>
        </w:rPr>
      </w:pPr>
      <w:r>
        <w:rPr>
          <w:b/>
          <w:bCs/>
          <w:color w:val="0069D2"/>
          <w:spacing w:val="-1"/>
          <w:sz w:val="20"/>
          <w:szCs w:val="20"/>
        </w:rPr>
        <w:t>7.</w:t>
      </w:r>
      <w:r>
        <w:rPr>
          <w:rFonts w:ascii="黑体" w:hAnsi="黑体" w:eastAsia="黑体" w:cs="黑体"/>
          <w:b/>
          <w:bCs/>
          <w:color w:val="0069D2"/>
          <w:spacing w:val="-1"/>
          <w:sz w:val="20"/>
          <w:szCs w:val="20"/>
        </w:rPr>
        <w:t>监理总结报告</w:t>
      </w:r>
    </w:p>
    <w:p w14:paraId="14BA05F3">
      <w:pPr>
        <w:pStyle w:val="2"/>
        <w:spacing w:before="138" w:line="184" w:lineRule="auto"/>
        <w:ind w:left="409"/>
        <w:rPr>
          <w:sz w:val="20"/>
          <w:szCs w:val="20"/>
        </w:rPr>
      </w:pPr>
      <w:r>
        <w:rPr>
          <w:spacing w:val="3"/>
          <w:sz w:val="20"/>
          <w:szCs w:val="20"/>
        </w:rPr>
        <w:t>监理总结报告由总</w:t>
      </w:r>
      <w:r>
        <w:rPr>
          <w:spacing w:val="3"/>
          <w:sz w:val="20"/>
          <w:szCs w:val="20"/>
          <w:u w:val="single" w:color="auto"/>
        </w:rPr>
        <w:t>监理工</w:t>
      </w:r>
      <w:r>
        <w:rPr>
          <w:spacing w:val="3"/>
          <w:sz w:val="20"/>
          <w:szCs w:val="20"/>
        </w:rPr>
        <w:t>程师组织编写，由各相关专业监理工程师参加，综合各工程月报</w:t>
      </w:r>
    </w:p>
    <w:p w14:paraId="063E82CD">
      <w:pPr>
        <w:spacing w:line="184" w:lineRule="auto"/>
        <w:rPr>
          <w:sz w:val="20"/>
          <w:szCs w:val="20"/>
        </w:rPr>
        <w:sectPr>
          <w:type w:val="continuous"/>
          <w:pgSz w:w="10280" w:h="13300"/>
          <w:pgMar w:top="400" w:right="608" w:bottom="400" w:left="1040" w:header="0" w:footer="0" w:gutter="0"/>
          <w:cols w:equalWidth="0" w:num="1">
            <w:col w:w="8632"/>
          </w:cols>
        </w:sectPr>
      </w:pPr>
    </w:p>
    <w:p w14:paraId="4612C38A">
      <w:pPr>
        <w:pStyle w:val="2"/>
        <w:spacing w:before="88" w:line="219" w:lineRule="auto"/>
        <w:rPr>
          <w:sz w:val="19"/>
          <w:szCs w:val="19"/>
        </w:rPr>
      </w:pPr>
      <w:bookmarkStart w:id="659" w:name="bookmark644"/>
      <w:bookmarkEnd w:id="659"/>
      <w:r>
        <w:rPr>
          <w:rFonts w:ascii="Times New Roman" w:hAnsi="Times New Roman" w:eastAsia="Times New Roman" w:cs="Times New Roman"/>
          <w:spacing w:val="4"/>
          <w:sz w:val="19"/>
          <w:szCs w:val="19"/>
        </w:rPr>
        <w:t xml:space="preserve">342              </w:t>
      </w:r>
      <w:r>
        <w:rPr>
          <w:spacing w:val="4"/>
          <w:sz w:val="19"/>
          <w:szCs w:val="19"/>
        </w:rPr>
        <w:t>信息系统监理师教程(第2版)</w:t>
      </w:r>
    </w:p>
    <w:p w14:paraId="4E20F0F8">
      <w:pPr>
        <w:spacing w:line="330" w:lineRule="auto"/>
        <w:rPr>
          <w:rFonts w:ascii="Arial"/>
          <w:sz w:val="21"/>
        </w:rPr>
      </w:pPr>
    </w:p>
    <w:p w14:paraId="38584EAE">
      <w:pPr>
        <w:pStyle w:val="2"/>
        <w:spacing w:before="62" w:line="315" w:lineRule="auto"/>
        <w:ind w:left="379" w:right="17"/>
        <w:rPr>
          <w:sz w:val="19"/>
          <w:szCs w:val="19"/>
        </w:rPr>
      </w:pPr>
      <w:r>
        <w:rPr>
          <w:spacing w:val="14"/>
          <w:sz w:val="19"/>
          <w:szCs w:val="19"/>
        </w:rPr>
        <w:t>和所有的监理资料，对工程进度、工程质量、合同管理及其他事项进行综合</w:t>
      </w:r>
      <w:r>
        <w:rPr>
          <w:spacing w:val="13"/>
          <w:sz w:val="19"/>
          <w:szCs w:val="19"/>
        </w:rPr>
        <w:t>分析，总结出整体</w:t>
      </w:r>
      <w:r>
        <w:rPr>
          <w:sz w:val="19"/>
          <w:szCs w:val="19"/>
        </w:rPr>
        <w:t xml:space="preserve"> </w:t>
      </w:r>
      <w:r>
        <w:rPr>
          <w:spacing w:val="7"/>
          <w:sz w:val="19"/>
          <w:szCs w:val="19"/>
        </w:rPr>
        <w:t>监理结论。工程监理总结报告应重点包含以下内容：</w:t>
      </w:r>
    </w:p>
    <w:p w14:paraId="06FCC1EB">
      <w:pPr>
        <w:pStyle w:val="2"/>
        <w:spacing w:before="20" w:line="219" w:lineRule="auto"/>
        <w:jc w:val="right"/>
        <w:rPr>
          <w:sz w:val="19"/>
          <w:szCs w:val="19"/>
        </w:rPr>
      </w:pPr>
      <w:r>
        <w:rPr>
          <w:spacing w:val="11"/>
          <w:sz w:val="19"/>
          <w:szCs w:val="19"/>
        </w:rPr>
        <w:t>(1)工程概况。对工程的整体情况进行概要介绍，包括相应的承包单位、开发背景等情况。</w:t>
      </w:r>
    </w:p>
    <w:p w14:paraId="485A89C2">
      <w:pPr>
        <w:pStyle w:val="2"/>
        <w:spacing w:before="74" w:line="219" w:lineRule="auto"/>
        <w:ind w:left="779"/>
        <w:rPr>
          <w:sz w:val="19"/>
          <w:szCs w:val="19"/>
        </w:rPr>
      </w:pPr>
      <w:r>
        <w:rPr>
          <w:spacing w:val="11"/>
          <w:sz w:val="19"/>
          <w:szCs w:val="19"/>
        </w:rPr>
        <w:t>(2)监理工作统计。统计所有的监理情况，包括监理会议、监理实施等情况。</w:t>
      </w:r>
    </w:p>
    <w:p w14:paraId="7457FF0A">
      <w:pPr>
        <w:pStyle w:val="2"/>
        <w:spacing w:before="105" w:line="219" w:lineRule="auto"/>
        <w:jc w:val="right"/>
        <w:rPr>
          <w:sz w:val="19"/>
          <w:szCs w:val="19"/>
        </w:rPr>
      </w:pPr>
      <w:r>
        <w:rPr>
          <w:spacing w:val="11"/>
          <w:sz w:val="19"/>
          <w:szCs w:val="19"/>
        </w:rPr>
        <w:t>(3)工程质量综述。综合分析质量控制情况，包括测试结论、质量事故、模块修改过程等。</w:t>
      </w:r>
    </w:p>
    <w:p w14:paraId="35023FFA">
      <w:pPr>
        <w:pStyle w:val="2"/>
        <w:spacing w:before="84" w:line="265" w:lineRule="auto"/>
        <w:ind w:left="379" w:right="44" w:firstLine="399"/>
        <w:rPr>
          <w:sz w:val="19"/>
          <w:szCs w:val="19"/>
        </w:rPr>
      </w:pPr>
      <w:r>
        <w:rPr>
          <w:spacing w:val="15"/>
          <w:sz w:val="19"/>
          <w:szCs w:val="19"/>
        </w:rPr>
        <w:t>(4)工程进度综述。综合分析工程进度情况，包含完成情况及分析、实际进度与计划进度</w:t>
      </w:r>
      <w:r>
        <w:rPr>
          <w:spacing w:val="14"/>
          <w:sz w:val="19"/>
          <w:szCs w:val="19"/>
        </w:rPr>
        <w:t xml:space="preserve"> </w:t>
      </w:r>
      <w:r>
        <w:rPr>
          <w:spacing w:val="7"/>
          <w:sz w:val="19"/>
          <w:szCs w:val="19"/>
        </w:rPr>
        <w:t>的比较、纠偏实施情况、工程变更等。</w:t>
      </w:r>
    </w:p>
    <w:p w14:paraId="6D35B0AE">
      <w:pPr>
        <w:pStyle w:val="2"/>
        <w:spacing w:before="96" w:line="255" w:lineRule="auto"/>
        <w:ind w:left="379" w:right="46" w:firstLine="399"/>
        <w:rPr>
          <w:sz w:val="19"/>
          <w:szCs w:val="19"/>
        </w:rPr>
      </w:pPr>
      <w:r>
        <w:rPr>
          <w:spacing w:val="15"/>
          <w:sz w:val="19"/>
          <w:szCs w:val="19"/>
        </w:rPr>
        <w:t>(5)管理协调综述。综合分析合同管理、综合协调情况，包含有无新签分包合同、合同履</w:t>
      </w:r>
      <w:r>
        <w:rPr>
          <w:spacing w:val="12"/>
          <w:sz w:val="19"/>
          <w:szCs w:val="19"/>
        </w:rPr>
        <w:t xml:space="preserve"> </w:t>
      </w:r>
      <w:r>
        <w:rPr>
          <w:spacing w:val="7"/>
          <w:sz w:val="19"/>
          <w:szCs w:val="19"/>
        </w:rPr>
        <w:t>行情况、合同纠纷、双方工作关系情况等。</w:t>
      </w:r>
    </w:p>
    <w:p w14:paraId="0113272C">
      <w:pPr>
        <w:pStyle w:val="2"/>
        <w:spacing w:before="102" w:line="266" w:lineRule="auto"/>
        <w:ind w:left="379" w:right="46" w:firstLine="399"/>
        <w:rPr>
          <w:sz w:val="19"/>
          <w:szCs w:val="19"/>
        </w:rPr>
      </w:pPr>
      <w:r>
        <w:rPr>
          <w:spacing w:val="15"/>
          <w:sz w:val="19"/>
          <w:szCs w:val="19"/>
        </w:rPr>
        <w:t>(6)监理总体评价。对整体的工程质量、进度、协调的各方面情况进行综合性评价，并提</w:t>
      </w:r>
      <w:r>
        <w:rPr>
          <w:spacing w:val="12"/>
          <w:sz w:val="19"/>
          <w:szCs w:val="19"/>
        </w:rPr>
        <w:t xml:space="preserve"> </w:t>
      </w:r>
      <w:r>
        <w:rPr>
          <w:spacing w:val="4"/>
          <w:sz w:val="19"/>
          <w:szCs w:val="19"/>
        </w:rPr>
        <w:t>出存在的问题和建议。</w:t>
      </w:r>
    </w:p>
    <w:p w14:paraId="5A497154">
      <w:pPr>
        <w:pStyle w:val="2"/>
        <w:spacing w:before="244" w:line="219" w:lineRule="auto"/>
        <w:ind w:left="382"/>
        <w:rPr>
          <w:sz w:val="25"/>
          <w:szCs w:val="25"/>
        </w:rPr>
      </w:pPr>
      <w:r>
        <w:rPr>
          <w:b/>
          <w:bCs/>
          <w:color w:val="0087D6"/>
          <w:spacing w:val="-3"/>
          <w:sz w:val="25"/>
          <w:szCs w:val="25"/>
        </w:rPr>
        <w:t>14.4.3</w:t>
      </w:r>
      <w:r>
        <w:rPr>
          <w:color w:val="0087D6"/>
          <w:spacing w:val="102"/>
          <w:sz w:val="25"/>
          <w:szCs w:val="25"/>
        </w:rPr>
        <w:t xml:space="preserve"> </w:t>
      </w:r>
      <w:r>
        <w:rPr>
          <w:b/>
          <w:bCs/>
          <w:color w:val="0087D6"/>
          <w:spacing w:val="-3"/>
          <w:sz w:val="25"/>
          <w:szCs w:val="25"/>
        </w:rPr>
        <w:t>监理回复(批复)类文档</w:t>
      </w:r>
    </w:p>
    <w:p w14:paraId="3A82DD80">
      <w:pPr>
        <w:pStyle w:val="2"/>
        <w:spacing w:before="173" w:line="298" w:lineRule="auto"/>
        <w:ind w:left="379" w:right="75" w:firstLine="399"/>
        <w:rPr>
          <w:sz w:val="19"/>
          <w:szCs w:val="19"/>
        </w:rPr>
      </w:pPr>
      <w:r>
        <w:rPr>
          <w:spacing w:val="13"/>
          <w:sz w:val="19"/>
          <w:szCs w:val="19"/>
        </w:rPr>
        <w:t>监理回复类文档是指监理单位在收到承建单位</w:t>
      </w:r>
      <w:r>
        <w:rPr>
          <w:spacing w:val="12"/>
          <w:sz w:val="19"/>
          <w:szCs w:val="19"/>
        </w:rPr>
        <w:t>或者业主单位的工程文档时，由监理单位负</w:t>
      </w:r>
      <w:r>
        <w:rPr>
          <w:sz w:val="19"/>
          <w:szCs w:val="19"/>
        </w:rPr>
        <w:t xml:space="preserve"> </w:t>
      </w:r>
      <w:r>
        <w:rPr>
          <w:spacing w:val="6"/>
          <w:sz w:val="19"/>
          <w:szCs w:val="19"/>
        </w:rPr>
        <w:t>责回复或批复意见的文件。</w:t>
      </w:r>
    </w:p>
    <w:p w14:paraId="0A335DC6">
      <w:pPr>
        <w:pStyle w:val="2"/>
        <w:spacing w:before="17" w:line="298" w:lineRule="auto"/>
        <w:ind w:left="379" w:right="82" w:firstLine="399"/>
        <w:rPr>
          <w:sz w:val="19"/>
          <w:szCs w:val="19"/>
        </w:rPr>
      </w:pPr>
      <w:r>
        <w:rPr>
          <w:spacing w:val="12"/>
          <w:sz w:val="19"/>
          <w:szCs w:val="19"/>
        </w:rPr>
        <w:t>监理的主要回复文档可分为：总体监理意见、工程监理意见、培训监理意见、专题监理意</w:t>
      </w:r>
      <w:r>
        <w:rPr>
          <w:spacing w:val="13"/>
          <w:sz w:val="19"/>
          <w:szCs w:val="19"/>
        </w:rPr>
        <w:t xml:space="preserve"> </w:t>
      </w:r>
      <w:r>
        <w:rPr>
          <w:spacing w:val="7"/>
          <w:sz w:val="19"/>
          <w:szCs w:val="19"/>
        </w:rPr>
        <w:t>见、其他监理意见、提交资料回复单等。</w:t>
      </w:r>
    </w:p>
    <w:p w14:paraId="47878066">
      <w:pPr>
        <w:pStyle w:val="2"/>
        <w:spacing w:before="176" w:line="219" w:lineRule="auto"/>
        <w:ind w:left="382"/>
        <w:rPr>
          <w:sz w:val="25"/>
          <w:szCs w:val="25"/>
        </w:rPr>
      </w:pPr>
      <w:r>
        <w:rPr>
          <w:b/>
          <w:bCs/>
          <w:color w:val="0086E0"/>
          <w:spacing w:val="-18"/>
          <w:sz w:val="25"/>
          <w:szCs w:val="25"/>
        </w:rPr>
        <w:t>14.4.4</w:t>
      </w:r>
      <w:r>
        <w:rPr>
          <w:color w:val="0086E0"/>
          <w:spacing w:val="104"/>
          <w:sz w:val="25"/>
          <w:szCs w:val="25"/>
        </w:rPr>
        <w:t xml:space="preserve"> </w:t>
      </w:r>
      <w:r>
        <w:rPr>
          <w:b/>
          <w:bCs/>
          <w:color w:val="0086E0"/>
          <w:spacing w:val="-18"/>
          <w:sz w:val="25"/>
          <w:szCs w:val="25"/>
        </w:rPr>
        <w:t>监理日志及内部文档</w:t>
      </w:r>
    </w:p>
    <w:p w14:paraId="0C408CD5">
      <w:pPr>
        <w:pStyle w:val="2"/>
        <w:spacing w:before="175" w:line="297" w:lineRule="auto"/>
        <w:ind w:left="379" w:right="86" w:firstLine="399"/>
        <w:rPr>
          <w:sz w:val="19"/>
          <w:szCs w:val="19"/>
        </w:rPr>
      </w:pPr>
      <w:r>
        <w:rPr>
          <w:spacing w:val="12"/>
          <w:sz w:val="19"/>
          <w:szCs w:val="19"/>
        </w:rPr>
        <w:t>监理工作日志主要记录现场监理工作情况，例如当天的大事、要事、活动以及监理资源投</w:t>
      </w:r>
      <w:r>
        <w:rPr>
          <w:spacing w:val="9"/>
          <w:sz w:val="19"/>
          <w:szCs w:val="19"/>
        </w:rPr>
        <w:t xml:space="preserve"> </w:t>
      </w:r>
      <w:r>
        <w:rPr>
          <w:spacing w:val="7"/>
          <w:sz w:val="19"/>
          <w:szCs w:val="19"/>
        </w:rPr>
        <w:t>入情况。监理日志由现场监理工程师编写。</w:t>
      </w:r>
    </w:p>
    <w:p w14:paraId="5DFFE3FA">
      <w:pPr>
        <w:pStyle w:val="2"/>
        <w:spacing w:before="28" w:line="219" w:lineRule="auto"/>
        <w:ind w:left="779"/>
        <w:rPr>
          <w:sz w:val="19"/>
          <w:szCs w:val="19"/>
        </w:rPr>
      </w:pPr>
      <w:r>
        <w:rPr>
          <w:spacing w:val="9"/>
          <w:sz w:val="19"/>
          <w:szCs w:val="19"/>
        </w:rPr>
        <w:t>内部文档是监理单位为开展工作在监理单位内部发</w:t>
      </w:r>
      <w:r>
        <w:rPr>
          <w:spacing w:val="8"/>
          <w:sz w:val="19"/>
          <w:szCs w:val="19"/>
        </w:rPr>
        <w:t>行的各种文件。</w:t>
      </w:r>
    </w:p>
    <w:p w14:paraId="34E27122">
      <w:pPr>
        <w:pStyle w:val="2"/>
        <w:spacing w:before="234" w:line="219" w:lineRule="auto"/>
        <w:ind w:left="382"/>
        <w:rPr>
          <w:sz w:val="25"/>
          <w:szCs w:val="25"/>
        </w:rPr>
      </w:pPr>
      <w:r>
        <w:rPr>
          <w:b/>
          <w:bCs/>
          <w:color w:val="0088E3"/>
          <w:spacing w:val="-16"/>
          <w:sz w:val="25"/>
          <w:szCs w:val="25"/>
        </w:rPr>
        <w:t>14.4.5</w:t>
      </w:r>
      <w:r>
        <w:rPr>
          <w:color w:val="0088E3"/>
          <w:spacing w:val="99"/>
          <w:sz w:val="25"/>
          <w:szCs w:val="25"/>
        </w:rPr>
        <w:t xml:space="preserve"> </w:t>
      </w:r>
      <w:r>
        <w:rPr>
          <w:b/>
          <w:bCs/>
          <w:color w:val="0088E3"/>
          <w:spacing w:val="-16"/>
          <w:sz w:val="25"/>
          <w:szCs w:val="25"/>
        </w:rPr>
        <w:t>监理信息管理示例</w:t>
      </w:r>
    </w:p>
    <w:p w14:paraId="1B9316C6">
      <w:pPr>
        <w:pStyle w:val="2"/>
        <w:spacing w:before="173" w:line="298" w:lineRule="auto"/>
        <w:ind w:left="379" w:right="84" w:firstLine="399"/>
        <w:rPr>
          <w:sz w:val="19"/>
          <w:szCs w:val="19"/>
        </w:rPr>
      </w:pPr>
      <w:r>
        <w:rPr>
          <w:spacing w:val="17"/>
          <w:sz w:val="19"/>
          <w:szCs w:val="19"/>
        </w:rPr>
        <w:t>以某信息系统工程建设项目(含信息网络系统及信息应用系统)为例，监理单位在信息管</w:t>
      </w:r>
      <w:r>
        <w:rPr>
          <w:spacing w:val="6"/>
          <w:sz w:val="19"/>
          <w:szCs w:val="19"/>
        </w:rPr>
        <w:t xml:space="preserve"> </w:t>
      </w:r>
      <w:r>
        <w:rPr>
          <w:spacing w:val="7"/>
          <w:sz w:val="19"/>
          <w:szCs w:val="19"/>
        </w:rPr>
        <w:t>理过程中，对以下文档进行了重点管理。</w:t>
      </w:r>
    </w:p>
    <w:p w14:paraId="53712A1F">
      <w:pPr>
        <w:pStyle w:val="2"/>
        <w:spacing w:before="114" w:line="222" w:lineRule="auto"/>
        <w:ind w:left="782"/>
        <w:rPr>
          <w:rFonts w:ascii="黑体" w:hAnsi="黑体" w:eastAsia="黑体" w:cs="黑体"/>
          <w:sz w:val="19"/>
          <w:szCs w:val="19"/>
        </w:rPr>
      </w:pPr>
      <w:r>
        <w:rPr>
          <w:b/>
          <w:bCs/>
          <w:color w:val="28A5EE"/>
          <w:spacing w:val="6"/>
          <w:sz w:val="19"/>
          <w:szCs w:val="19"/>
        </w:rPr>
        <w:t>1.</w:t>
      </w:r>
      <w:r>
        <w:rPr>
          <w:rFonts w:ascii="黑体" w:hAnsi="黑体" w:eastAsia="黑体" w:cs="黑体"/>
          <w:b/>
          <w:bCs/>
          <w:color w:val="28A5EE"/>
          <w:spacing w:val="6"/>
          <w:sz w:val="19"/>
          <w:szCs w:val="19"/>
        </w:rPr>
        <w:t>监理单位产出文档</w:t>
      </w:r>
    </w:p>
    <w:p w14:paraId="33CA1425">
      <w:pPr>
        <w:pStyle w:val="2"/>
        <w:spacing w:before="146" w:line="219" w:lineRule="auto"/>
        <w:ind w:left="779"/>
        <w:rPr>
          <w:sz w:val="19"/>
          <w:szCs w:val="19"/>
        </w:rPr>
      </w:pPr>
      <w:r>
        <w:rPr>
          <w:spacing w:val="10"/>
          <w:sz w:val="19"/>
          <w:szCs w:val="19"/>
        </w:rPr>
        <w:t>监理单位产出文档如表14-3所示。</w:t>
      </w:r>
    </w:p>
    <w:p w14:paraId="46A3941C">
      <w:pPr>
        <w:spacing w:before="150" w:line="222" w:lineRule="auto"/>
        <w:ind w:left="3272"/>
        <w:rPr>
          <w:rFonts w:ascii="黑体" w:hAnsi="黑体" w:eastAsia="黑体" w:cs="黑体"/>
          <w:sz w:val="19"/>
          <w:szCs w:val="19"/>
        </w:rPr>
      </w:pPr>
      <w:r>
        <w:rPr>
          <w:rFonts w:ascii="黑体" w:hAnsi="黑体" w:eastAsia="黑体" w:cs="黑体"/>
          <w:b/>
          <w:bCs/>
          <w:spacing w:val="-8"/>
          <w:sz w:val="19"/>
          <w:szCs w:val="19"/>
        </w:rPr>
        <w:t>表14-3</w:t>
      </w:r>
      <w:r>
        <w:rPr>
          <w:rFonts w:ascii="黑体" w:hAnsi="黑体" w:eastAsia="黑体" w:cs="黑体"/>
          <w:spacing w:val="-8"/>
          <w:sz w:val="19"/>
          <w:szCs w:val="19"/>
        </w:rPr>
        <w:t xml:space="preserve">  </w:t>
      </w:r>
      <w:r>
        <w:rPr>
          <w:rFonts w:ascii="黑体" w:hAnsi="黑体" w:eastAsia="黑体" w:cs="黑体"/>
          <w:b/>
          <w:bCs/>
          <w:spacing w:val="-8"/>
          <w:sz w:val="19"/>
          <w:szCs w:val="19"/>
        </w:rPr>
        <w:t>监理单位产出文档列表</w:t>
      </w:r>
    </w:p>
    <w:p w14:paraId="3276B875">
      <w:pPr>
        <w:spacing w:line="113" w:lineRule="exact"/>
      </w:pPr>
    </w:p>
    <w:tbl>
      <w:tblPr>
        <w:tblStyle w:val="5"/>
        <w:tblW w:w="8320" w:type="dxa"/>
        <w:tblInd w:w="3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0"/>
        <w:gridCol w:w="2080"/>
        <w:gridCol w:w="2500"/>
        <w:gridCol w:w="2800"/>
      </w:tblGrid>
      <w:tr w14:paraId="5637A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940" w:type="dxa"/>
            <w:tcBorders>
              <w:left w:val="nil"/>
            </w:tcBorders>
            <w:vAlign w:val="top"/>
          </w:tcPr>
          <w:p w14:paraId="7D722ED0">
            <w:pPr>
              <w:pStyle w:val="6"/>
              <w:spacing w:before="80" w:line="221" w:lineRule="auto"/>
              <w:ind w:left="292"/>
              <w:rPr>
                <w:sz w:val="18"/>
                <w:szCs w:val="18"/>
              </w:rPr>
            </w:pPr>
            <w:r>
              <w:rPr>
                <w:b/>
                <w:bCs/>
                <w:spacing w:val="-4"/>
                <w:sz w:val="18"/>
                <w:szCs w:val="18"/>
              </w:rPr>
              <w:t>序号</w:t>
            </w:r>
          </w:p>
        </w:tc>
        <w:tc>
          <w:tcPr>
            <w:tcW w:w="2080" w:type="dxa"/>
            <w:vAlign w:val="top"/>
          </w:tcPr>
          <w:p w14:paraId="4161B095">
            <w:pPr>
              <w:pStyle w:val="6"/>
              <w:spacing w:before="79" w:line="219" w:lineRule="auto"/>
              <w:ind w:left="857"/>
              <w:rPr>
                <w:sz w:val="18"/>
                <w:szCs w:val="18"/>
              </w:rPr>
            </w:pPr>
            <w:r>
              <w:rPr>
                <w:b/>
                <w:bCs/>
                <w:spacing w:val="-5"/>
                <w:sz w:val="18"/>
                <w:szCs w:val="18"/>
              </w:rPr>
              <w:t>分类</w:t>
            </w:r>
          </w:p>
        </w:tc>
        <w:tc>
          <w:tcPr>
            <w:tcW w:w="2500" w:type="dxa"/>
            <w:vAlign w:val="top"/>
          </w:tcPr>
          <w:p w14:paraId="436DB853">
            <w:pPr>
              <w:pStyle w:val="6"/>
              <w:spacing w:before="79" w:line="219" w:lineRule="auto"/>
              <w:ind w:left="887"/>
              <w:rPr>
                <w:sz w:val="18"/>
                <w:szCs w:val="18"/>
              </w:rPr>
            </w:pPr>
            <w:r>
              <w:rPr>
                <w:b/>
                <w:bCs/>
                <w:spacing w:val="-4"/>
                <w:sz w:val="18"/>
                <w:szCs w:val="18"/>
              </w:rPr>
              <w:t>文件名称</w:t>
            </w:r>
          </w:p>
        </w:tc>
        <w:tc>
          <w:tcPr>
            <w:tcW w:w="2800" w:type="dxa"/>
            <w:tcBorders>
              <w:right w:val="nil"/>
            </w:tcBorders>
            <w:vAlign w:val="top"/>
          </w:tcPr>
          <w:p w14:paraId="21E4A851">
            <w:pPr>
              <w:pStyle w:val="6"/>
              <w:spacing w:before="79" w:line="219" w:lineRule="auto"/>
              <w:ind w:left="1037"/>
              <w:rPr>
                <w:sz w:val="18"/>
                <w:szCs w:val="18"/>
              </w:rPr>
            </w:pPr>
            <w:r>
              <w:rPr>
                <w:b/>
                <w:bCs/>
                <w:spacing w:val="-4"/>
                <w:sz w:val="18"/>
                <w:szCs w:val="18"/>
              </w:rPr>
              <w:t>文件编号</w:t>
            </w:r>
          </w:p>
        </w:tc>
      </w:tr>
      <w:tr w14:paraId="7A2B6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40" w:type="dxa"/>
            <w:tcBorders>
              <w:left w:val="nil"/>
            </w:tcBorders>
            <w:vAlign w:val="top"/>
          </w:tcPr>
          <w:p w14:paraId="00F87D59">
            <w:pPr>
              <w:pStyle w:val="6"/>
              <w:spacing w:before="124" w:line="184" w:lineRule="auto"/>
              <w:ind w:left="420"/>
              <w:rPr>
                <w:sz w:val="18"/>
                <w:szCs w:val="18"/>
              </w:rPr>
            </w:pPr>
            <w:r>
              <w:rPr>
                <w:sz w:val="18"/>
                <w:szCs w:val="18"/>
              </w:rPr>
              <w:t>1</w:t>
            </w:r>
          </w:p>
        </w:tc>
        <w:tc>
          <w:tcPr>
            <w:tcW w:w="2080" w:type="dxa"/>
            <w:vMerge w:val="restart"/>
            <w:tcBorders>
              <w:bottom w:val="nil"/>
            </w:tcBorders>
            <w:vAlign w:val="top"/>
          </w:tcPr>
          <w:p w14:paraId="54575EF9">
            <w:pPr>
              <w:spacing w:line="348" w:lineRule="auto"/>
              <w:rPr>
                <w:rFonts w:ascii="Arial"/>
                <w:sz w:val="21"/>
              </w:rPr>
            </w:pPr>
          </w:p>
          <w:p w14:paraId="7BCEE807">
            <w:pPr>
              <w:spacing w:line="348" w:lineRule="auto"/>
              <w:rPr>
                <w:rFonts w:ascii="Arial"/>
                <w:sz w:val="21"/>
              </w:rPr>
            </w:pPr>
          </w:p>
          <w:p w14:paraId="28DA18F0">
            <w:pPr>
              <w:pStyle w:val="6"/>
              <w:spacing w:before="59" w:line="219" w:lineRule="auto"/>
              <w:ind w:left="584"/>
              <w:rPr>
                <w:sz w:val="18"/>
                <w:szCs w:val="18"/>
              </w:rPr>
            </w:pPr>
            <w:r>
              <w:rPr>
                <w:spacing w:val="2"/>
                <w:sz w:val="18"/>
                <w:szCs w:val="18"/>
              </w:rPr>
              <w:t>总控类文档</w:t>
            </w:r>
          </w:p>
        </w:tc>
        <w:tc>
          <w:tcPr>
            <w:tcW w:w="2500" w:type="dxa"/>
            <w:vAlign w:val="top"/>
          </w:tcPr>
          <w:p w14:paraId="43B4F38B">
            <w:pPr>
              <w:pStyle w:val="6"/>
              <w:spacing w:before="79" w:line="220" w:lineRule="auto"/>
              <w:ind w:left="884"/>
              <w:rPr>
                <w:sz w:val="18"/>
                <w:szCs w:val="18"/>
              </w:rPr>
            </w:pPr>
            <w:r>
              <w:rPr>
                <w:spacing w:val="-2"/>
                <w:sz w:val="18"/>
                <w:szCs w:val="18"/>
              </w:rPr>
              <w:t>监理大纲</w:t>
            </w:r>
          </w:p>
        </w:tc>
        <w:tc>
          <w:tcPr>
            <w:tcW w:w="2800" w:type="dxa"/>
            <w:tcBorders>
              <w:right w:val="nil"/>
            </w:tcBorders>
            <w:vAlign w:val="top"/>
          </w:tcPr>
          <w:p w14:paraId="4F2ABCDA">
            <w:pPr>
              <w:pStyle w:val="6"/>
              <w:spacing w:before="77" w:line="218" w:lineRule="auto"/>
              <w:ind w:left="714"/>
              <w:rPr>
                <w:sz w:val="18"/>
                <w:szCs w:val="18"/>
              </w:rPr>
            </w:pPr>
            <w:r>
              <w:rPr>
                <w:spacing w:val="-1"/>
                <w:sz w:val="18"/>
                <w:szCs w:val="18"/>
              </w:rPr>
              <w:t>JL-101-****-###</w:t>
            </w:r>
          </w:p>
        </w:tc>
      </w:tr>
      <w:tr w14:paraId="2F8FD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940" w:type="dxa"/>
            <w:tcBorders>
              <w:left w:val="nil"/>
            </w:tcBorders>
            <w:vAlign w:val="top"/>
          </w:tcPr>
          <w:p w14:paraId="54A0D82D">
            <w:pPr>
              <w:pStyle w:val="6"/>
              <w:spacing w:before="116" w:line="183" w:lineRule="auto"/>
              <w:ind w:left="420"/>
              <w:rPr>
                <w:sz w:val="18"/>
                <w:szCs w:val="18"/>
              </w:rPr>
            </w:pPr>
            <w:r>
              <w:rPr>
                <w:sz w:val="18"/>
                <w:szCs w:val="18"/>
              </w:rPr>
              <w:t>2</w:t>
            </w:r>
          </w:p>
        </w:tc>
        <w:tc>
          <w:tcPr>
            <w:tcW w:w="2080" w:type="dxa"/>
            <w:vMerge w:val="continue"/>
            <w:tcBorders>
              <w:top w:val="nil"/>
              <w:bottom w:val="nil"/>
            </w:tcBorders>
            <w:vAlign w:val="top"/>
          </w:tcPr>
          <w:p w14:paraId="72CBDFC5">
            <w:pPr>
              <w:rPr>
                <w:rFonts w:ascii="Arial"/>
                <w:sz w:val="21"/>
              </w:rPr>
            </w:pPr>
          </w:p>
        </w:tc>
        <w:tc>
          <w:tcPr>
            <w:tcW w:w="2500" w:type="dxa"/>
            <w:vAlign w:val="top"/>
          </w:tcPr>
          <w:p w14:paraId="1E910F7C">
            <w:pPr>
              <w:pStyle w:val="6"/>
              <w:spacing w:before="72" w:line="221" w:lineRule="auto"/>
              <w:ind w:left="884"/>
              <w:rPr>
                <w:sz w:val="18"/>
                <w:szCs w:val="18"/>
              </w:rPr>
            </w:pPr>
            <w:r>
              <w:rPr>
                <w:spacing w:val="4"/>
                <w:sz w:val="18"/>
                <w:szCs w:val="18"/>
              </w:rPr>
              <w:t>监理合同</w:t>
            </w:r>
          </w:p>
        </w:tc>
        <w:tc>
          <w:tcPr>
            <w:tcW w:w="2800" w:type="dxa"/>
            <w:tcBorders>
              <w:right w:val="nil"/>
            </w:tcBorders>
            <w:vAlign w:val="top"/>
          </w:tcPr>
          <w:p w14:paraId="6E322CF7">
            <w:pPr>
              <w:pStyle w:val="6"/>
              <w:spacing w:before="68" w:line="218" w:lineRule="auto"/>
              <w:ind w:left="714"/>
              <w:rPr>
                <w:sz w:val="18"/>
                <w:szCs w:val="18"/>
              </w:rPr>
            </w:pPr>
            <w:r>
              <w:rPr>
                <w:spacing w:val="-1"/>
                <w:sz w:val="18"/>
                <w:szCs w:val="18"/>
              </w:rPr>
              <w:t>JL-102-****-###</w:t>
            </w:r>
          </w:p>
        </w:tc>
      </w:tr>
      <w:tr w14:paraId="55A80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940" w:type="dxa"/>
            <w:tcBorders>
              <w:left w:val="nil"/>
            </w:tcBorders>
            <w:vAlign w:val="top"/>
          </w:tcPr>
          <w:p w14:paraId="12A05C0D">
            <w:pPr>
              <w:pStyle w:val="6"/>
              <w:spacing w:before="127" w:line="183" w:lineRule="auto"/>
              <w:ind w:left="420"/>
              <w:rPr>
                <w:sz w:val="18"/>
                <w:szCs w:val="18"/>
              </w:rPr>
            </w:pPr>
            <w:r>
              <w:rPr>
                <w:sz w:val="18"/>
                <w:szCs w:val="18"/>
              </w:rPr>
              <w:t>3</w:t>
            </w:r>
          </w:p>
        </w:tc>
        <w:tc>
          <w:tcPr>
            <w:tcW w:w="2080" w:type="dxa"/>
            <w:vMerge w:val="continue"/>
            <w:tcBorders>
              <w:top w:val="nil"/>
              <w:bottom w:val="nil"/>
            </w:tcBorders>
            <w:vAlign w:val="top"/>
          </w:tcPr>
          <w:p w14:paraId="0ACBCFD1">
            <w:pPr>
              <w:rPr>
                <w:rFonts w:ascii="Arial"/>
                <w:sz w:val="21"/>
              </w:rPr>
            </w:pPr>
          </w:p>
        </w:tc>
        <w:tc>
          <w:tcPr>
            <w:tcW w:w="2500" w:type="dxa"/>
            <w:vAlign w:val="top"/>
          </w:tcPr>
          <w:p w14:paraId="414A6AF8">
            <w:pPr>
              <w:pStyle w:val="6"/>
              <w:spacing w:before="83" w:line="221" w:lineRule="auto"/>
              <w:ind w:left="884"/>
              <w:rPr>
                <w:sz w:val="18"/>
                <w:szCs w:val="18"/>
              </w:rPr>
            </w:pPr>
            <w:r>
              <w:rPr>
                <w:spacing w:val="3"/>
                <w:sz w:val="18"/>
                <w:szCs w:val="18"/>
              </w:rPr>
              <w:t>监理规划</w:t>
            </w:r>
          </w:p>
        </w:tc>
        <w:tc>
          <w:tcPr>
            <w:tcW w:w="2800" w:type="dxa"/>
            <w:tcBorders>
              <w:right w:val="nil"/>
            </w:tcBorders>
            <w:vAlign w:val="top"/>
          </w:tcPr>
          <w:p w14:paraId="6BE0CEF7">
            <w:pPr>
              <w:pStyle w:val="6"/>
              <w:spacing w:before="79" w:line="218" w:lineRule="auto"/>
              <w:ind w:left="714"/>
              <w:rPr>
                <w:sz w:val="18"/>
                <w:szCs w:val="18"/>
              </w:rPr>
            </w:pPr>
            <w:r>
              <w:rPr>
                <w:spacing w:val="-1"/>
                <w:sz w:val="18"/>
                <w:szCs w:val="18"/>
              </w:rPr>
              <w:t>JL-103-****-###</w:t>
            </w:r>
          </w:p>
        </w:tc>
      </w:tr>
      <w:tr w14:paraId="32C85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940" w:type="dxa"/>
            <w:tcBorders>
              <w:left w:val="nil"/>
            </w:tcBorders>
            <w:vAlign w:val="top"/>
          </w:tcPr>
          <w:p w14:paraId="08D8EF5D">
            <w:pPr>
              <w:pStyle w:val="6"/>
              <w:spacing w:before="129" w:line="183" w:lineRule="auto"/>
              <w:ind w:left="420"/>
              <w:rPr>
                <w:sz w:val="18"/>
                <w:szCs w:val="18"/>
              </w:rPr>
            </w:pPr>
            <w:r>
              <w:rPr>
                <w:sz w:val="18"/>
                <w:szCs w:val="18"/>
              </w:rPr>
              <w:t>4</w:t>
            </w:r>
          </w:p>
        </w:tc>
        <w:tc>
          <w:tcPr>
            <w:tcW w:w="2080" w:type="dxa"/>
            <w:vMerge w:val="continue"/>
            <w:tcBorders>
              <w:top w:val="nil"/>
              <w:bottom w:val="nil"/>
            </w:tcBorders>
            <w:vAlign w:val="top"/>
          </w:tcPr>
          <w:p w14:paraId="08ED7855">
            <w:pPr>
              <w:rPr>
                <w:rFonts w:ascii="Arial"/>
                <w:sz w:val="21"/>
              </w:rPr>
            </w:pPr>
          </w:p>
        </w:tc>
        <w:tc>
          <w:tcPr>
            <w:tcW w:w="2500" w:type="dxa"/>
            <w:vAlign w:val="top"/>
          </w:tcPr>
          <w:p w14:paraId="31F110CD">
            <w:pPr>
              <w:pStyle w:val="6"/>
              <w:spacing w:before="83" w:line="220" w:lineRule="auto"/>
              <w:ind w:left="705"/>
              <w:rPr>
                <w:sz w:val="18"/>
                <w:szCs w:val="18"/>
              </w:rPr>
            </w:pPr>
            <w:r>
              <w:rPr>
                <w:spacing w:val="2"/>
                <w:sz w:val="18"/>
                <w:szCs w:val="18"/>
              </w:rPr>
              <w:t>监理实施细则</w:t>
            </w:r>
          </w:p>
        </w:tc>
        <w:tc>
          <w:tcPr>
            <w:tcW w:w="2800" w:type="dxa"/>
            <w:tcBorders>
              <w:right w:val="nil"/>
            </w:tcBorders>
            <w:vAlign w:val="top"/>
          </w:tcPr>
          <w:p w14:paraId="4CD44720">
            <w:pPr>
              <w:pStyle w:val="6"/>
              <w:spacing w:before="81" w:line="218" w:lineRule="auto"/>
              <w:ind w:left="714"/>
              <w:rPr>
                <w:sz w:val="18"/>
                <w:szCs w:val="18"/>
              </w:rPr>
            </w:pPr>
            <w:r>
              <w:rPr>
                <w:spacing w:val="-1"/>
                <w:sz w:val="18"/>
                <w:szCs w:val="18"/>
              </w:rPr>
              <w:t>JL-104-****-###</w:t>
            </w:r>
          </w:p>
        </w:tc>
      </w:tr>
      <w:tr w14:paraId="274DC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940" w:type="dxa"/>
            <w:tcBorders>
              <w:left w:val="nil"/>
            </w:tcBorders>
            <w:vAlign w:val="top"/>
          </w:tcPr>
          <w:p w14:paraId="19476E14">
            <w:pPr>
              <w:pStyle w:val="6"/>
              <w:spacing w:before="132" w:line="182" w:lineRule="auto"/>
              <w:ind w:left="420"/>
              <w:rPr>
                <w:sz w:val="18"/>
                <w:szCs w:val="18"/>
              </w:rPr>
            </w:pPr>
            <w:r>
              <w:rPr>
                <w:sz w:val="18"/>
                <w:szCs w:val="18"/>
              </w:rPr>
              <w:t>5</w:t>
            </w:r>
          </w:p>
        </w:tc>
        <w:tc>
          <w:tcPr>
            <w:tcW w:w="2080" w:type="dxa"/>
            <w:vMerge w:val="continue"/>
            <w:tcBorders>
              <w:top w:val="nil"/>
            </w:tcBorders>
            <w:vAlign w:val="top"/>
          </w:tcPr>
          <w:p w14:paraId="62D0F000">
            <w:pPr>
              <w:rPr>
                <w:rFonts w:ascii="Arial"/>
                <w:sz w:val="21"/>
              </w:rPr>
            </w:pPr>
          </w:p>
        </w:tc>
        <w:tc>
          <w:tcPr>
            <w:tcW w:w="2500" w:type="dxa"/>
            <w:vAlign w:val="top"/>
          </w:tcPr>
          <w:p w14:paraId="47CE1428">
            <w:pPr>
              <w:pStyle w:val="6"/>
              <w:spacing w:before="83" w:line="218" w:lineRule="auto"/>
              <w:ind w:left="705"/>
              <w:rPr>
                <w:sz w:val="18"/>
                <w:szCs w:val="18"/>
              </w:rPr>
            </w:pPr>
            <w:r>
              <w:rPr>
                <w:spacing w:val="2"/>
                <w:sz w:val="18"/>
                <w:szCs w:val="18"/>
              </w:rPr>
              <w:t>监理总结报告</w:t>
            </w:r>
          </w:p>
        </w:tc>
        <w:tc>
          <w:tcPr>
            <w:tcW w:w="2800" w:type="dxa"/>
            <w:tcBorders>
              <w:right w:val="nil"/>
            </w:tcBorders>
            <w:vAlign w:val="top"/>
          </w:tcPr>
          <w:p w14:paraId="4983ACAC">
            <w:pPr>
              <w:pStyle w:val="6"/>
              <w:spacing w:before="83" w:line="218" w:lineRule="auto"/>
              <w:ind w:left="714"/>
              <w:rPr>
                <w:sz w:val="18"/>
                <w:szCs w:val="18"/>
              </w:rPr>
            </w:pPr>
            <w:r>
              <w:rPr>
                <w:spacing w:val="-1"/>
                <w:sz w:val="18"/>
                <w:szCs w:val="18"/>
              </w:rPr>
              <w:t>JL-105-****-###</w:t>
            </w:r>
          </w:p>
        </w:tc>
      </w:tr>
    </w:tbl>
    <w:p w14:paraId="19C8D5A2">
      <w:pPr>
        <w:rPr>
          <w:rFonts w:ascii="Arial"/>
          <w:sz w:val="21"/>
        </w:rPr>
      </w:pPr>
    </w:p>
    <w:p w14:paraId="5568F0D2">
      <w:pPr>
        <w:rPr>
          <w:rFonts w:ascii="Arial" w:hAnsi="Arial" w:eastAsia="Arial" w:cs="Arial"/>
          <w:sz w:val="21"/>
          <w:szCs w:val="21"/>
        </w:rPr>
        <w:sectPr>
          <w:pgSz w:w="10300" w:h="13420"/>
          <w:pgMar w:top="400" w:right="1025" w:bottom="400" w:left="520" w:header="0" w:footer="0" w:gutter="0"/>
          <w:cols w:space="720" w:num="1"/>
        </w:sectPr>
      </w:pPr>
    </w:p>
    <w:p w14:paraId="4934EC61">
      <w:pPr>
        <w:pStyle w:val="2"/>
        <w:jc w:val="right"/>
        <w:rPr>
          <w:rFonts w:ascii="Times New Roman" w:hAnsi="Times New Roman" w:eastAsia="Times New Roman" w:cs="Times New Roman"/>
          <w:sz w:val="19"/>
          <w:szCs w:val="19"/>
        </w:rPr>
      </w:pPr>
      <w:bookmarkStart w:id="660" w:name="bookmark645"/>
      <w:bookmarkEnd w:id="660"/>
      <w:r>
        <w:rPr>
          <w:spacing w:val="5"/>
          <w:sz w:val="19"/>
          <w:szCs w:val="19"/>
        </w:rPr>
        <w:t>第14章</w:t>
      </w:r>
      <w:r>
        <w:rPr>
          <w:spacing w:val="42"/>
          <w:sz w:val="19"/>
          <w:szCs w:val="19"/>
        </w:rPr>
        <w:t xml:space="preserve"> </w:t>
      </w:r>
      <w:r>
        <w:rPr>
          <w:spacing w:val="5"/>
          <w:sz w:val="19"/>
          <w:szCs w:val="19"/>
        </w:rPr>
        <w:t>信息管理</w:t>
      </w:r>
      <w:r>
        <w:rPr>
          <w:spacing w:val="28"/>
          <w:w w:val="101"/>
          <w:sz w:val="19"/>
          <w:szCs w:val="19"/>
        </w:rPr>
        <w:t xml:space="preserve"> </w:t>
      </w:r>
      <w:r>
        <w:rPr>
          <w:position w:val="-9"/>
          <w:sz w:val="19"/>
          <w:szCs w:val="19"/>
        </w:rPr>
        <w:drawing>
          <wp:inline distT="0" distB="0" distL="0" distR="0">
            <wp:extent cx="304800" cy="241300"/>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213"/>
                    <a:stretch>
                      <a:fillRect/>
                    </a:stretch>
                  </pic:blipFill>
                  <pic:spPr>
                    <a:xfrm>
                      <a:off x="0" y="0"/>
                      <a:ext cx="304818" cy="241300"/>
                    </a:xfrm>
                    <a:prstGeom prst="rect">
                      <a:avLst/>
                    </a:prstGeom>
                  </pic:spPr>
                </pic:pic>
              </a:graphicData>
            </a:graphic>
          </wp:inline>
        </w:drawing>
      </w:r>
      <w:r>
        <w:rPr>
          <w:rFonts w:ascii="Times New Roman" w:hAnsi="Times New Roman" w:eastAsia="Times New Roman" w:cs="Times New Roman"/>
          <w:b/>
          <w:bCs/>
          <w:spacing w:val="5"/>
          <w:position w:val="-2"/>
          <w:sz w:val="19"/>
          <w:szCs w:val="19"/>
        </w:rPr>
        <w:t>343</w:t>
      </w:r>
    </w:p>
    <w:p w14:paraId="03F791FC">
      <w:pPr>
        <w:spacing w:line="297" w:lineRule="auto"/>
        <w:rPr>
          <w:rFonts w:ascii="Arial"/>
          <w:sz w:val="21"/>
        </w:rPr>
      </w:pPr>
    </w:p>
    <w:p w14:paraId="275F7056">
      <w:pPr>
        <w:pStyle w:val="2"/>
        <w:spacing w:before="59" w:line="220" w:lineRule="auto"/>
        <w:ind w:left="7769"/>
        <w:rPr>
          <w:sz w:val="18"/>
          <w:szCs w:val="18"/>
        </w:rPr>
      </w:pPr>
      <w:r>
        <w:rPr>
          <w:spacing w:val="9"/>
          <w:sz w:val="18"/>
          <w:szCs w:val="18"/>
        </w:rPr>
        <w:t>(续表)</w:t>
      </w:r>
    </w:p>
    <w:p w14:paraId="132E710E">
      <w:pPr>
        <w:spacing w:line="52" w:lineRule="exact"/>
      </w:pPr>
    </w:p>
    <w:tbl>
      <w:tblPr>
        <w:tblStyle w:val="5"/>
        <w:tblW w:w="8319"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0"/>
        <w:gridCol w:w="2080"/>
        <w:gridCol w:w="2499"/>
        <w:gridCol w:w="2800"/>
      </w:tblGrid>
      <w:tr w14:paraId="4E38E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940" w:type="dxa"/>
            <w:tcBorders>
              <w:left w:val="nil"/>
            </w:tcBorders>
            <w:vAlign w:val="top"/>
          </w:tcPr>
          <w:p w14:paraId="1CC5C226">
            <w:pPr>
              <w:pStyle w:val="6"/>
              <w:spacing w:before="80" w:line="221" w:lineRule="auto"/>
              <w:ind w:left="292"/>
              <w:rPr>
                <w:sz w:val="18"/>
                <w:szCs w:val="18"/>
              </w:rPr>
            </w:pPr>
            <w:r>
              <w:rPr>
                <w:b/>
                <w:bCs/>
                <w:spacing w:val="-4"/>
                <w:sz w:val="18"/>
                <w:szCs w:val="18"/>
              </w:rPr>
              <w:t>序号</w:t>
            </w:r>
          </w:p>
        </w:tc>
        <w:tc>
          <w:tcPr>
            <w:tcW w:w="2080" w:type="dxa"/>
            <w:vAlign w:val="top"/>
          </w:tcPr>
          <w:p w14:paraId="0C868F88">
            <w:pPr>
              <w:pStyle w:val="6"/>
              <w:spacing w:before="79" w:line="219" w:lineRule="auto"/>
              <w:ind w:left="857"/>
              <w:rPr>
                <w:sz w:val="18"/>
                <w:szCs w:val="18"/>
              </w:rPr>
            </w:pPr>
            <w:r>
              <w:rPr>
                <w:b/>
                <w:bCs/>
                <w:spacing w:val="-5"/>
                <w:sz w:val="18"/>
                <w:szCs w:val="18"/>
              </w:rPr>
              <w:t>分类</w:t>
            </w:r>
          </w:p>
        </w:tc>
        <w:tc>
          <w:tcPr>
            <w:tcW w:w="2499" w:type="dxa"/>
            <w:vAlign w:val="top"/>
          </w:tcPr>
          <w:p w14:paraId="2C2C3820">
            <w:pPr>
              <w:pStyle w:val="6"/>
              <w:spacing w:before="79" w:line="219" w:lineRule="auto"/>
              <w:ind w:left="887"/>
              <w:rPr>
                <w:sz w:val="18"/>
                <w:szCs w:val="18"/>
              </w:rPr>
            </w:pPr>
            <w:r>
              <w:rPr>
                <w:b/>
                <w:bCs/>
                <w:spacing w:val="-4"/>
                <w:sz w:val="18"/>
                <w:szCs w:val="18"/>
              </w:rPr>
              <w:t>文件名称</w:t>
            </w:r>
          </w:p>
        </w:tc>
        <w:tc>
          <w:tcPr>
            <w:tcW w:w="2800" w:type="dxa"/>
            <w:tcBorders>
              <w:right w:val="nil"/>
            </w:tcBorders>
            <w:vAlign w:val="top"/>
          </w:tcPr>
          <w:p w14:paraId="6741D7C1">
            <w:pPr>
              <w:pStyle w:val="6"/>
              <w:spacing w:before="79" w:line="219" w:lineRule="auto"/>
              <w:ind w:left="1038"/>
              <w:rPr>
                <w:sz w:val="18"/>
                <w:szCs w:val="18"/>
              </w:rPr>
            </w:pPr>
            <w:r>
              <w:rPr>
                <w:b/>
                <w:bCs/>
                <w:spacing w:val="-4"/>
                <w:sz w:val="18"/>
                <w:szCs w:val="18"/>
              </w:rPr>
              <w:t>文件编号</w:t>
            </w:r>
          </w:p>
        </w:tc>
      </w:tr>
      <w:tr w14:paraId="2A231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78C89D3D">
            <w:pPr>
              <w:pStyle w:val="6"/>
              <w:spacing w:before="124" w:line="183" w:lineRule="auto"/>
              <w:ind w:left="420"/>
              <w:rPr>
                <w:sz w:val="18"/>
                <w:szCs w:val="18"/>
              </w:rPr>
            </w:pPr>
            <w:r>
              <w:rPr>
                <w:sz w:val="18"/>
                <w:szCs w:val="18"/>
              </w:rPr>
              <w:t>6</w:t>
            </w:r>
          </w:p>
        </w:tc>
        <w:tc>
          <w:tcPr>
            <w:tcW w:w="2080" w:type="dxa"/>
            <w:vAlign w:val="top"/>
          </w:tcPr>
          <w:p w14:paraId="77F61622">
            <w:pPr>
              <w:pStyle w:val="6"/>
              <w:spacing w:before="78" w:line="219" w:lineRule="auto"/>
              <w:ind w:left="585"/>
              <w:rPr>
                <w:sz w:val="18"/>
                <w:szCs w:val="18"/>
              </w:rPr>
            </w:pPr>
            <w:r>
              <w:rPr>
                <w:spacing w:val="2"/>
                <w:sz w:val="18"/>
                <w:szCs w:val="18"/>
              </w:rPr>
              <w:t>回应类文档</w:t>
            </w:r>
          </w:p>
        </w:tc>
        <w:tc>
          <w:tcPr>
            <w:tcW w:w="2499" w:type="dxa"/>
            <w:vAlign w:val="top"/>
          </w:tcPr>
          <w:p w14:paraId="62F8051E">
            <w:pPr>
              <w:pStyle w:val="6"/>
              <w:spacing w:before="78" w:line="220" w:lineRule="auto"/>
              <w:ind w:left="614"/>
              <w:rPr>
                <w:sz w:val="18"/>
                <w:szCs w:val="18"/>
              </w:rPr>
            </w:pPr>
            <w:r>
              <w:rPr>
                <w:spacing w:val="-1"/>
                <w:sz w:val="18"/>
                <w:szCs w:val="18"/>
              </w:rPr>
              <w:t>提交资料回复单</w:t>
            </w:r>
          </w:p>
        </w:tc>
        <w:tc>
          <w:tcPr>
            <w:tcW w:w="2800" w:type="dxa"/>
            <w:tcBorders>
              <w:right w:val="nil"/>
            </w:tcBorders>
            <w:vAlign w:val="top"/>
          </w:tcPr>
          <w:p w14:paraId="2B94A5C4">
            <w:pPr>
              <w:pStyle w:val="6"/>
              <w:spacing w:before="76" w:line="218" w:lineRule="auto"/>
              <w:ind w:left="715"/>
              <w:rPr>
                <w:sz w:val="18"/>
                <w:szCs w:val="18"/>
              </w:rPr>
            </w:pPr>
            <w:r>
              <w:rPr>
                <w:spacing w:val="-1"/>
                <w:sz w:val="18"/>
                <w:szCs w:val="18"/>
              </w:rPr>
              <w:t>JL-106-****-###</w:t>
            </w:r>
          </w:p>
        </w:tc>
      </w:tr>
      <w:tr w14:paraId="77456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6C5BC336">
            <w:pPr>
              <w:pStyle w:val="6"/>
              <w:spacing w:before="125" w:line="182" w:lineRule="auto"/>
              <w:ind w:left="420"/>
              <w:rPr>
                <w:sz w:val="18"/>
                <w:szCs w:val="18"/>
              </w:rPr>
            </w:pPr>
            <w:r>
              <w:rPr>
                <w:sz w:val="18"/>
                <w:szCs w:val="18"/>
              </w:rPr>
              <w:t>7</w:t>
            </w:r>
          </w:p>
        </w:tc>
        <w:tc>
          <w:tcPr>
            <w:tcW w:w="2080" w:type="dxa"/>
            <w:vAlign w:val="top"/>
          </w:tcPr>
          <w:p w14:paraId="23E07E15">
            <w:pPr>
              <w:pStyle w:val="6"/>
              <w:spacing w:before="78" w:line="219" w:lineRule="auto"/>
              <w:ind w:left="674"/>
              <w:rPr>
                <w:sz w:val="18"/>
                <w:szCs w:val="18"/>
              </w:rPr>
            </w:pPr>
            <w:r>
              <w:rPr>
                <w:spacing w:val="3"/>
                <w:sz w:val="18"/>
                <w:szCs w:val="18"/>
              </w:rPr>
              <w:t>内部文档</w:t>
            </w:r>
          </w:p>
        </w:tc>
        <w:tc>
          <w:tcPr>
            <w:tcW w:w="2499" w:type="dxa"/>
            <w:vAlign w:val="top"/>
          </w:tcPr>
          <w:p w14:paraId="1C8F87C4">
            <w:pPr>
              <w:pStyle w:val="6"/>
              <w:spacing w:before="83" w:line="224" w:lineRule="auto"/>
              <w:ind w:left="884"/>
              <w:rPr>
                <w:sz w:val="18"/>
                <w:szCs w:val="18"/>
              </w:rPr>
            </w:pPr>
            <w:r>
              <w:rPr>
                <w:spacing w:val="-2"/>
                <w:sz w:val="18"/>
                <w:szCs w:val="18"/>
              </w:rPr>
              <w:t>监理日志</w:t>
            </w:r>
          </w:p>
        </w:tc>
        <w:tc>
          <w:tcPr>
            <w:tcW w:w="2800" w:type="dxa"/>
            <w:tcBorders>
              <w:right w:val="nil"/>
            </w:tcBorders>
            <w:vAlign w:val="top"/>
          </w:tcPr>
          <w:p w14:paraId="0751609E">
            <w:pPr>
              <w:pStyle w:val="6"/>
              <w:spacing w:before="76" w:line="218" w:lineRule="auto"/>
              <w:ind w:left="715"/>
              <w:rPr>
                <w:sz w:val="18"/>
                <w:szCs w:val="18"/>
              </w:rPr>
            </w:pPr>
            <w:r>
              <w:rPr>
                <w:spacing w:val="-1"/>
                <w:sz w:val="18"/>
                <w:szCs w:val="18"/>
              </w:rPr>
              <w:t>JL-107-****-###</w:t>
            </w:r>
          </w:p>
        </w:tc>
      </w:tr>
      <w:tr w14:paraId="5FCB6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40" w:type="dxa"/>
            <w:tcBorders>
              <w:left w:val="nil"/>
            </w:tcBorders>
            <w:vAlign w:val="top"/>
          </w:tcPr>
          <w:p w14:paraId="3D92DF4E">
            <w:pPr>
              <w:pStyle w:val="6"/>
              <w:spacing w:before="134" w:line="183" w:lineRule="auto"/>
              <w:ind w:left="420"/>
              <w:rPr>
                <w:sz w:val="18"/>
                <w:szCs w:val="18"/>
              </w:rPr>
            </w:pPr>
            <w:r>
              <w:rPr>
                <w:sz w:val="18"/>
                <w:szCs w:val="18"/>
              </w:rPr>
              <w:t>8</w:t>
            </w:r>
          </w:p>
        </w:tc>
        <w:tc>
          <w:tcPr>
            <w:tcW w:w="2080" w:type="dxa"/>
            <w:vMerge w:val="restart"/>
            <w:tcBorders>
              <w:bottom w:val="nil"/>
            </w:tcBorders>
            <w:vAlign w:val="top"/>
          </w:tcPr>
          <w:p w14:paraId="66588380">
            <w:pPr>
              <w:spacing w:line="268" w:lineRule="auto"/>
              <w:rPr>
                <w:rFonts w:ascii="Arial"/>
                <w:sz w:val="21"/>
              </w:rPr>
            </w:pPr>
          </w:p>
          <w:p w14:paraId="31A1BC5D">
            <w:pPr>
              <w:spacing w:line="268" w:lineRule="auto"/>
              <w:rPr>
                <w:rFonts w:ascii="Arial"/>
                <w:sz w:val="21"/>
              </w:rPr>
            </w:pPr>
          </w:p>
          <w:p w14:paraId="775403A3">
            <w:pPr>
              <w:spacing w:line="268" w:lineRule="auto"/>
              <w:rPr>
                <w:rFonts w:ascii="Arial"/>
                <w:sz w:val="21"/>
              </w:rPr>
            </w:pPr>
          </w:p>
          <w:p w14:paraId="5CCAFA3A">
            <w:pPr>
              <w:spacing w:line="269" w:lineRule="auto"/>
              <w:rPr>
                <w:rFonts w:ascii="Arial"/>
                <w:sz w:val="21"/>
              </w:rPr>
            </w:pPr>
          </w:p>
          <w:p w14:paraId="4D3E8831">
            <w:pPr>
              <w:pStyle w:val="6"/>
              <w:spacing w:before="58" w:line="219" w:lineRule="auto"/>
              <w:ind w:left="585"/>
              <w:rPr>
                <w:sz w:val="18"/>
                <w:szCs w:val="18"/>
              </w:rPr>
            </w:pPr>
            <w:r>
              <w:rPr>
                <w:spacing w:val="2"/>
                <w:sz w:val="18"/>
                <w:szCs w:val="18"/>
              </w:rPr>
              <w:t>综合性文档</w:t>
            </w:r>
          </w:p>
        </w:tc>
        <w:tc>
          <w:tcPr>
            <w:tcW w:w="2499" w:type="dxa"/>
            <w:vAlign w:val="top"/>
          </w:tcPr>
          <w:p w14:paraId="1458BC42">
            <w:pPr>
              <w:pStyle w:val="6"/>
              <w:spacing w:before="88" w:line="219" w:lineRule="auto"/>
              <w:ind w:left="884"/>
              <w:rPr>
                <w:sz w:val="18"/>
                <w:szCs w:val="18"/>
              </w:rPr>
            </w:pPr>
            <w:r>
              <w:rPr>
                <w:spacing w:val="-2"/>
                <w:sz w:val="18"/>
                <w:szCs w:val="18"/>
              </w:rPr>
              <w:t>监理月报</w:t>
            </w:r>
          </w:p>
        </w:tc>
        <w:tc>
          <w:tcPr>
            <w:tcW w:w="2800" w:type="dxa"/>
            <w:tcBorders>
              <w:right w:val="nil"/>
            </w:tcBorders>
            <w:vAlign w:val="top"/>
          </w:tcPr>
          <w:p w14:paraId="58398A3F">
            <w:pPr>
              <w:pStyle w:val="6"/>
              <w:spacing w:before="86" w:line="218" w:lineRule="auto"/>
              <w:ind w:left="715"/>
              <w:rPr>
                <w:sz w:val="18"/>
                <w:szCs w:val="18"/>
              </w:rPr>
            </w:pPr>
            <w:r>
              <w:rPr>
                <w:spacing w:val="-1"/>
                <w:sz w:val="18"/>
                <w:szCs w:val="18"/>
              </w:rPr>
              <w:t>JL-001-****-###</w:t>
            </w:r>
          </w:p>
        </w:tc>
      </w:tr>
      <w:tr w14:paraId="27862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7DEDA202">
            <w:pPr>
              <w:pStyle w:val="6"/>
              <w:spacing w:before="125" w:line="183" w:lineRule="auto"/>
              <w:ind w:left="420"/>
              <w:rPr>
                <w:sz w:val="18"/>
                <w:szCs w:val="18"/>
              </w:rPr>
            </w:pPr>
            <w:r>
              <w:rPr>
                <w:sz w:val="18"/>
                <w:szCs w:val="18"/>
              </w:rPr>
              <w:t>9</w:t>
            </w:r>
          </w:p>
        </w:tc>
        <w:tc>
          <w:tcPr>
            <w:tcW w:w="2080" w:type="dxa"/>
            <w:vMerge w:val="continue"/>
            <w:tcBorders>
              <w:top w:val="nil"/>
              <w:bottom w:val="nil"/>
            </w:tcBorders>
            <w:vAlign w:val="top"/>
          </w:tcPr>
          <w:p w14:paraId="237D1833">
            <w:pPr>
              <w:rPr>
                <w:rFonts w:ascii="Arial"/>
                <w:sz w:val="21"/>
              </w:rPr>
            </w:pPr>
          </w:p>
        </w:tc>
        <w:tc>
          <w:tcPr>
            <w:tcW w:w="2499" w:type="dxa"/>
            <w:vAlign w:val="top"/>
          </w:tcPr>
          <w:p w14:paraId="2E391B72">
            <w:pPr>
              <w:pStyle w:val="6"/>
              <w:spacing w:before="79" w:line="219" w:lineRule="auto"/>
              <w:ind w:left="884"/>
              <w:rPr>
                <w:sz w:val="18"/>
                <w:szCs w:val="18"/>
              </w:rPr>
            </w:pPr>
            <w:r>
              <w:rPr>
                <w:spacing w:val="-2"/>
                <w:sz w:val="18"/>
                <w:szCs w:val="18"/>
              </w:rPr>
              <w:t>监理周报</w:t>
            </w:r>
          </w:p>
        </w:tc>
        <w:tc>
          <w:tcPr>
            <w:tcW w:w="2800" w:type="dxa"/>
            <w:tcBorders>
              <w:right w:val="nil"/>
            </w:tcBorders>
            <w:vAlign w:val="top"/>
          </w:tcPr>
          <w:p w14:paraId="40723708">
            <w:pPr>
              <w:pStyle w:val="6"/>
              <w:spacing w:before="77" w:line="218" w:lineRule="auto"/>
              <w:ind w:left="715"/>
              <w:rPr>
                <w:sz w:val="18"/>
                <w:szCs w:val="18"/>
              </w:rPr>
            </w:pPr>
            <w:r>
              <w:rPr>
                <w:spacing w:val="-1"/>
                <w:sz w:val="18"/>
                <w:szCs w:val="18"/>
              </w:rPr>
              <w:t>JL-002-****-###</w:t>
            </w:r>
          </w:p>
        </w:tc>
      </w:tr>
      <w:tr w14:paraId="46C7B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40" w:type="dxa"/>
            <w:tcBorders>
              <w:left w:val="nil"/>
            </w:tcBorders>
            <w:vAlign w:val="top"/>
          </w:tcPr>
          <w:p w14:paraId="3BBAC182">
            <w:pPr>
              <w:pStyle w:val="6"/>
              <w:spacing w:before="134" w:line="184" w:lineRule="auto"/>
              <w:ind w:left="380"/>
              <w:rPr>
                <w:sz w:val="18"/>
                <w:szCs w:val="18"/>
              </w:rPr>
            </w:pPr>
            <w:r>
              <w:rPr>
                <w:spacing w:val="-6"/>
                <w:sz w:val="18"/>
                <w:szCs w:val="18"/>
              </w:rPr>
              <w:t>10</w:t>
            </w:r>
          </w:p>
        </w:tc>
        <w:tc>
          <w:tcPr>
            <w:tcW w:w="2080" w:type="dxa"/>
            <w:vMerge w:val="continue"/>
            <w:tcBorders>
              <w:top w:val="nil"/>
              <w:bottom w:val="nil"/>
            </w:tcBorders>
            <w:vAlign w:val="top"/>
          </w:tcPr>
          <w:p w14:paraId="18CBB60C">
            <w:pPr>
              <w:rPr>
                <w:rFonts w:ascii="Arial"/>
                <w:sz w:val="21"/>
              </w:rPr>
            </w:pPr>
          </w:p>
        </w:tc>
        <w:tc>
          <w:tcPr>
            <w:tcW w:w="2499" w:type="dxa"/>
            <w:vAlign w:val="top"/>
          </w:tcPr>
          <w:p w14:paraId="0DE59EE4">
            <w:pPr>
              <w:pStyle w:val="6"/>
              <w:spacing w:before="87" w:line="218" w:lineRule="auto"/>
              <w:ind w:left="705"/>
              <w:rPr>
                <w:sz w:val="18"/>
                <w:szCs w:val="18"/>
              </w:rPr>
            </w:pPr>
            <w:r>
              <w:rPr>
                <w:spacing w:val="2"/>
                <w:sz w:val="18"/>
                <w:szCs w:val="18"/>
              </w:rPr>
              <w:t>专题监理报告</w:t>
            </w:r>
          </w:p>
        </w:tc>
        <w:tc>
          <w:tcPr>
            <w:tcW w:w="2800" w:type="dxa"/>
            <w:tcBorders>
              <w:right w:val="nil"/>
            </w:tcBorders>
            <w:vAlign w:val="top"/>
          </w:tcPr>
          <w:p w14:paraId="0DF36ED3">
            <w:pPr>
              <w:pStyle w:val="6"/>
              <w:spacing w:before="87" w:line="218" w:lineRule="auto"/>
              <w:ind w:left="715"/>
              <w:rPr>
                <w:sz w:val="18"/>
                <w:szCs w:val="18"/>
              </w:rPr>
            </w:pPr>
            <w:r>
              <w:rPr>
                <w:spacing w:val="-1"/>
                <w:sz w:val="18"/>
                <w:szCs w:val="18"/>
              </w:rPr>
              <w:t>JL-003-****-###</w:t>
            </w:r>
          </w:p>
        </w:tc>
      </w:tr>
      <w:tr w14:paraId="67DB1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40" w:type="dxa"/>
            <w:tcBorders>
              <w:left w:val="nil"/>
            </w:tcBorders>
            <w:vAlign w:val="top"/>
          </w:tcPr>
          <w:p w14:paraId="5195EBE2">
            <w:pPr>
              <w:pStyle w:val="6"/>
              <w:spacing w:before="114" w:line="184" w:lineRule="auto"/>
              <w:ind w:left="380"/>
              <w:rPr>
                <w:sz w:val="18"/>
                <w:szCs w:val="18"/>
              </w:rPr>
            </w:pPr>
            <w:r>
              <w:rPr>
                <w:spacing w:val="-6"/>
                <w:sz w:val="18"/>
                <w:szCs w:val="18"/>
              </w:rPr>
              <w:t>11</w:t>
            </w:r>
          </w:p>
        </w:tc>
        <w:tc>
          <w:tcPr>
            <w:tcW w:w="2080" w:type="dxa"/>
            <w:vMerge w:val="continue"/>
            <w:tcBorders>
              <w:top w:val="nil"/>
              <w:bottom w:val="nil"/>
            </w:tcBorders>
            <w:vAlign w:val="top"/>
          </w:tcPr>
          <w:p w14:paraId="7C7C299C">
            <w:pPr>
              <w:rPr>
                <w:rFonts w:ascii="Arial"/>
                <w:sz w:val="21"/>
              </w:rPr>
            </w:pPr>
          </w:p>
        </w:tc>
        <w:tc>
          <w:tcPr>
            <w:tcW w:w="2499" w:type="dxa"/>
            <w:vAlign w:val="top"/>
          </w:tcPr>
          <w:p w14:paraId="59D47CCF">
            <w:pPr>
              <w:pStyle w:val="6"/>
              <w:spacing w:before="68" w:line="219" w:lineRule="auto"/>
              <w:ind w:left="525"/>
              <w:rPr>
                <w:sz w:val="18"/>
                <w:szCs w:val="18"/>
              </w:rPr>
            </w:pPr>
            <w:r>
              <w:rPr>
                <w:spacing w:val="-1"/>
                <w:sz w:val="18"/>
                <w:szCs w:val="18"/>
              </w:rPr>
              <w:t>监理工作会议纪要</w:t>
            </w:r>
          </w:p>
        </w:tc>
        <w:tc>
          <w:tcPr>
            <w:tcW w:w="2800" w:type="dxa"/>
            <w:tcBorders>
              <w:right w:val="nil"/>
            </w:tcBorders>
            <w:vAlign w:val="top"/>
          </w:tcPr>
          <w:p w14:paraId="27111833">
            <w:pPr>
              <w:pStyle w:val="6"/>
              <w:spacing w:before="67" w:line="218" w:lineRule="auto"/>
              <w:ind w:left="715"/>
              <w:rPr>
                <w:sz w:val="18"/>
                <w:szCs w:val="18"/>
              </w:rPr>
            </w:pPr>
            <w:r>
              <w:rPr>
                <w:spacing w:val="-1"/>
                <w:sz w:val="18"/>
                <w:szCs w:val="18"/>
              </w:rPr>
              <w:t>JL-004-****-###</w:t>
            </w:r>
          </w:p>
        </w:tc>
      </w:tr>
      <w:tr w14:paraId="06296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40" w:type="dxa"/>
            <w:tcBorders>
              <w:left w:val="nil"/>
            </w:tcBorders>
            <w:vAlign w:val="top"/>
          </w:tcPr>
          <w:p w14:paraId="5854C6EA">
            <w:pPr>
              <w:pStyle w:val="6"/>
              <w:spacing w:before="134" w:line="184" w:lineRule="auto"/>
              <w:ind w:left="380"/>
              <w:rPr>
                <w:sz w:val="18"/>
                <w:szCs w:val="18"/>
              </w:rPr>
            </w:pPr>
            <w:r>
              <w:rPr>
                <w:spacing w:val="-6"/>
                <w:sz w:val="18"/>
                <w:szCs w:val="18"/>
              </w:rPr>
              <w:t>12</w:t>
            </w:r>
          </w:p>
        </w:tc>
        <w:tc>
          <w:tcPr>
            <w:tcW w:w="2080" w:type="dxa"/>
            <w:vMerge w:val="continue"/>
            <w:tcBorders>
              <w:top w:val="nil"/>
              <w:bottom w:val="nil"/>
            </w:tcBorders>
            <w:vAlign w:val="top"/>
          </w:tcPr>
          <w:p w14:paraId="137559E8">
            <w:pPr>
              <w:rPr>
                <w:rFonts w:ascii="Arial"/>
                <w:sz w:val="21"/>
              </w:rPr>
            </w:pPr>
          </w:p>
        </w:tc>
        <w:tc>
          <w:tcPr>
            <w:tcW w:w="2499" w:type="dxa"/>
            <w:vAlign w:val="top"/>
          </w:tcPr>
          <w:p w14:paraId="504A6FEB">
            <w:pPr>
              <w:pStyle w:val="6"/>
              <w:spacing w:before="88" w:line="219" w:lineRule="auto"/>
              <w:ind w:left="705"/>
              <w:rPr>
                <w:sz w:val="18"/>
                <w:szCs w:val="18"/>
              </w:rPr>
            </w:pPr>
            <w:r>
              <w:rPr>
                <w:spacing w:val="-1"/>
                <w:sz w:val="18"/>
                <w:szCs w:val="18"/>
              </w:rPr>
              <w:t>评审会议纪要</w:t>
            </w:r>
          </w:p>
        </w:tc>
        <w:tc>
          <w:tcPr>
            <w:tcW w:w="2800" w:type="dxa"/>
            <w:tcBorders>
              <w:right w:val="nil"/>
            </w:tcBorders>
            <w:vAlign w:val="top"/>
          </w:tcPr>
          <w:p w14:paraId="1E23BE42">
            <w:pPr>
              <w:pStyle w:val="6"/>
              <w:spacing w:before="87" w:line="218" w:lineRule="auto"/>
              <w:ind w:left="715"/>
              <w:rPr>
                <w:sz w:val="18"/>
                <w:szCs w:val="18"/>
              </w:rPr>
            </w:pPr>
            <w:r>
              <w:rPr>
                <w:spacing w:val="-1"/>
                <w:sz w:val="18"/>
                <w:szCs w:val="18"/>
              </w:rPr>
              <w:t>JL-005-****-###</w:t>
            </w:r>
          </w:p>
        </w:tc>
      </w:tr>
      <w:tr w14:paraId="0C994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40" w:type="dxa"/>
            <w:tcBorders>
              <w:left w:val="nil"/>
            </w:tcBorders>
            <w:vAlign w:val="top"/>
          </w:tcPr>
          <w:p w14:paraId="00A26191">
            <w:pPr>
              <w:pStyle w:val="6"/>
              <w:spacing w:before="124" w:line="184" w:lineRule="auto"/>
              <w:ind w:left="380"/>
              <w:rPr>
                <w:sz w:val="18"/>
                <w:szCs w:val="18"/>
              </w:rPr>
            </w:pPr>
            <w:r>
              <w:rPr>
                <w:spacing w:val="-6"/>
                <w:sz w:val="18"/>
                <w:szCs w:val="18"/>
              </w:rPr>
              <w:t>13</w:t>
            </w:r>
          </w:p>
        </w:tc>
        <w:tc>
          <w:tcPr>
            <w:tcW w:w="2080" w:type="dxa"/>
            <w:vMerge w:val="continue"/>
            <w:tcBorders>
              <w:top w:val="nil"/>
              <w:bottom w:val="nil"/>
            </w:tcBorders>
            <w:vAlign w:val="top"/>
          </w:tcPr>
          <w:p w14:paraId="2E21D833">
            <w:pPr>
              <w:rPr>
                <w:rFonts w:ascii="Arial"/>
                <w:sz w:val="21"/>
              </w:rPr>
            </w:pPr>
          </w:p>
        </w:tc>
        <w:tc>
          <w:tcPr>
            <w:tcW w:w="2499" w:type="dxa"/>
            <w:vAlign w:val="top"/>
          </w:tcPr>
          <w:p w14:paraId="61707E4A">
            <w:pPr>
              <w:pStyle w:val="6"/>
              <w:spacing w:before="79" w:line="219" w:lineRule="auto"/>
              <w:ind w:left="525"/>
              <w:rPr>
                <w:sz w:val="18"/>
                <w:szCs w:val="18"/>
              </w:rPr>
            </w:pPr>
            <w:r>
              <w:rPr>
                <w:spacing w:val="-1"/>
                <w:sz w:val="18"/>
                <w:szCs w:val="18"/>
              </w:rPr>
              <w:t>监理工程师通知单</w:t>
            </w:r>
          </w:p>
        </w:tc>
        <w:tc>
          <w:tcPr>
            <w:tcW w:w="2800" w:type="dxa"/>
            <w:tcBorders>
              <w:right w:val="nil"/>
            </w:tcBorders>
            <w:vAlign w:val="top"/>
          </w:tcPr>
          <w:p w14:paraId="7184FEDD">
            <w:pPr>
              <w:pStyle w:val="6"/>
              <w:spacing w:before="77" w:line="218" w:lineRule="auto"/>
              <w:ind w:left="715"/>
              <w:rPr>
                <w:sz w:val="18"/>
                <w:szCs w:val="18"/>
              </w:rPr>
            </w:pPr>
            <w:r>
              <w:rPr>
                <w:spacing w:val="-1"/>
                <w:sz w:val="18"/>
                <w:szCs w:val="18"/>
              </w:rPr>
              <w:t>JL-006-****-###</w:t>
            </w:r>
          </w:p>
        </w:tc>
      </w:tr>
      <w:tr w14:paraId="5BEA2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40" w:type="dxa"/>
            <w:tcBorders>
              <w:left w:val="nil"/>
            </w:tcBorders>
            <w:vAlign w:val="top"/>
          </w:tcPr>
          <w:p w14:paraId="75A112E6">
            <w:pPr>
              <w:pStyle w:val="6"/>
              <w:spacing w:before="135" w:line="184" w:lineRule="auto"/>
              <w:ind w:left="380"/>
              <w:rPr>
                <w:sz w:val="18"/>
                <w:szCs w:val="18"/>
              </w:rPr>
            </w:pPr>
            <w:r>
              <w:rPr>
                <w:spacing w:val="-6"/>
                <w:sz w:val="18"/>
                <w:szCs w:val="18"/>
              </w:rPr>
              <w:t>14</w:t>
            </w:r>
          </w:p>
        </w:tc>
        <w:tc>
          <w:tcPr>
            <w:tcW w:w="2080" w:type="dxa"/>
            <w:vMerge w:val="continue"/>
            <w:tcBorders>
              <w:top w:val="nil"/>
            </w:tcBorders>
            <w:vAlign w:val="top"/>
          </w:tcPr>
          <w:p w14:paraId="2D11AE0F">
            <w:pPr>
              <w:rPr>
                <w:rFonts w:ascii="Arial"/>
                <w:sz w:val="21"/>
              </w:rPr>
            </w:pPr>
          </w:p>
        </w:tc>
        <w:tc>
          <w:tcPr>
            <w:tcW w:w="2499" w:type="dxa"/>
            <w:vAlign w:val="top"/>
          </w:tcPr>
          <w:p w14:paraId="7FA38AF8">
            <w:pPr>
              <w:pStyle w:val="6"/>
              <w:spacing w:before="89" w:line="219" w:lineRule="auto"/>
              <w:ind w:left="794"/>
              <w:rPr>
                <w:sz w:val="18"/>
                <w:szCs w:val="18"/>
              </w:rPr>
            </w:pPr>
            <w:r>
              <w:rPr>
                <w:spacing w:val="-2"/>
                <w:sz w:val="18"/>
                <w:szCs w:val="18"/>
              </w:rPr>
              <w:t>工程暂停令</w:t>
            </w:r>
          </w:p>
        </w:tc>
        <w:tc>
          <w:tcPr>
            <w:tcW w:w="2800" w:type="dxa"/>
            <w:tcBorders>
              <w:right w:val="nil"/>
            </w:tcBorders>
            <w:vAlign w:val="top"/>
          </w:tcPr>
          <w:p w14:paraId="7DB38D91">
            <w:pPr>
              <w:pStyle w:val="6"/>
              <w:spacing w:before="88" w:line="218" w:lineRule="auto"/>
              <w:ind w:left="715"/>
              <w:rPr>
                <w:sz w:val="18"/>
                <w:szCs w:val="18"/>
              </w:rPr>
            </w:pPr>
            <w:r>
              <w:rPr>
                <w:spacing w:val="-1"/>
                <w:sz w:val="18"/>
                <w:szCs w:val="18"/>
              </w:rPr>
              <w:t>JL-007-****-###</w:t>
            </w:r>
          </w:p>
        </w:tc>
      </w:tr>
      <w:tr w14:paraId="470C3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77EC3111">
            <w:pPr>
              <w:pStyle w:val="6"/>
              <w:spacing w:before="125" w:line="184" w:lineRule="auto"/>
              <w:ind w:left="380"/>
              <w:rPr>
                <w:sz w:val="18"/>
                <w:szCs w:val="18"/>
              </w:rPr>
            </w:pPr>
            <w:r>
              <w:rPr>
                <w:spacing w:val="-6"/>
                <w:sz w:val="18"/>
                <w:szCs w:val="18"/>
              </w:rPr>
              <w:t>15</w:t>
            </w:r>
          </w:p>
        </w:tc>
        <w:tc>
          <w:tcPr>
            <w:tcW w:w="2080" w:type="dxa"/>
            <w:vMerge w:val="restart"/>
            <w:tcBorders>
              <w:bottom w:val="nil"/>
            </w:tcBorders>
            <w:vAlign w:val="top"/>
          </w:tcPr>
          <w:p w14:paraId="54B85E7C">
            <w:pPr>
              <w:spacing w:line="358" w:lineRule="auto"/>
              <w:rPr>
                <w:rFonts w:ascii="Arial"/>
                <w:sz w:val="21"/>
              </w:rPr>
            </w:pPr>
          </w:p>
          <w:p w14:paraId="3FA8480F">
            <w:pPr>
              <w:spacing w:line="359" w:lineRule="auto"/>
              <w:rPr>
                <w:rFonts w:ascii="Arial"/>
                <w:sz w:val="21"/>
              </w:rPr>
            </w:pPr>
          </w:p>
          <w:p w14:paraId="4F923B63">
            <w:pPr>
              <w:pStyle w:val="6"/>
              <w:spacing w:before="59" w:line="219" w:lineRule="auto"/>
              <w:ind w:left="315"/>
              <w:rPr>
                <w:sz w:val="18"/>
                <w:szCs w:val="18"/>
              </w:rPr>
            </w:pPr>
            <w:r>
              <w:rPr>
                <w:spacing w:val="1"/>
                <w:sz w:val="18"/>
                <w:szCs w:val="18"/>
              </w:rPr>
              <w:t>招标阶段监理文档</w:t>
            </w:r>
          </w:p>
        </w:tc>
        <w:tc>
          <w:tcPr>
            <w:tcW w:w="2499" w:type="dxa"/>
            <w:vAlign w:val="top"/>
          </w:tcPr>
          <w:p w14:paraId="51D34F2B">
            <w:pPr>
              <w:pStyle w:val="6"/>
              <w:spacing w:before="78" w:line="218" w:lineRule="auto"/>
              <w:ind w:left="525"/>
              <w:rPr>
                <w:sz w:val="18"/>
                <w:szCs w:val="18"/>
              </w:rPr>
            </w:pPr>
            <w:r>
              <w:rPr>
                <w:spacing w:val="-1"/>
                <w:sz w:val="18"/>
                <w:szCs w:val="18"/>
              </w:rPr>
              <w:t>招标文件评价记录</w:t>
            </w:r>
          </w:p>
        </w:tc>
        <w:tc>
          <w:tcPr>
            <w:tcW w:w="2800" w:type="dxa"/>
            <w:tcBorders>
              <w:right w:val="nil"/>
            </w:tcBorders>
            <w:vAlign w:val="top"/>
          </w:tcPr>
          <w:p w14:paraId="48574445">
            <w:pPr>
              <w:pStyle w:val="6"/>
              <w:spacing w:before="78" w:line="218" w:lineRule="auto"/>
              <w:ind w:left="715"/>
              <w:rPr>
                <w:sz w:val="18"/>
                <w:szCs w:val="18"/>
              </w:rPr>
            </w:pPr>
            <w:r>
              <w:rPr>
                <w:spacing w:val="-1"/>
                <w:sz w:val="18"/>
                <w:szCs w:val="18"/>
              </w:rPr>
              <w:t>JL-011-****-###</w:t>
            </w:r>
          </w:p>
        </w:tc>
      </w:tr>
      <w:tr w14:paraId="24C37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40" w:type="dxa"/>
            <w:tcBorders>
              <w:left w:val="nil"/>
            </w:tcBorders>
            <w:vAlign w:val="top"/>
          </w:tcPr>
          <w:p w14:paraId="45F88F68">
            <w:pPr>
              <w:pStyle w:val="6"/>
              <w:spacing w:before="135" w:line="184" w:lineRule="auto"/>
              <w:ind w:left="380"/>
              <w:rPr>
                <w:sz w:val="18"/>
                <w:szCs w:val="18"/>
              </w:rPr>
            </w:pPr>
            <w:r>
              <w:rPr>
                <w:spacing w:val="-6"/>
                <w:sz w:val="18"/>
                <w:szCs w:val="18"/>
              </w:rPr>
              <w:t>16</w:t>
            </w:r>
          </w:p>
        </w:tc>
        <w:tc>
          <w:tcPr>
            <w:tcW w:w="2080" w:type="dxa"/>
            <w:vMerge w:val="continue"/>
            <w:tcBorders>
              <w:top w:val="nil"/>
              <w:bottom w:val="nil"/>
            </w:tcBorders>
            <w:vAlign w:val="top"/>
          </w:tcPr>
          <w:p w14:paraId="354D5A66">
            <w:pPr>
              <w:rPr>
                <w:rFonts w:ascii="Arial"/>
                <w:sz w:val="21"/>
              </w:rPr>
            </w:pPr>
          </w:p>
        </w:tc>
        <w:tc>
          <w:tcPr>
            <w:tcW w:w="2499" w:type="dxa"/>
            <w:vAlign w:val="top"/>
          </w:tcPr>
          <w:p w14:paraId="73D6BD2D">
            <w:pPr>
              <w:pStyle w:val="6"/>
              <w:spacing w:before="88" w:line="218" w:lineRule="auto"/>
              <w:ind w:left="525"/>
              <w:rPr>
                <w:sz w:val="18"/>
                <w:szCs w:val="18"/>
              </w:rPr>
            </w:pPr>
            <w:r>
              <w:rPr>
                <w:spacing w:val="-2"/>
                <w:sz w:val="18"/>
                <w:szCs w:val="18"/>
              </w:rPr>
              <w:t>投标文件评价记录</w:t>
            </w:r>
          </w:p>
        </w:tc>
        <w:tc>
          <w:tcPr>
            <w:tcW w:w="2800" w:type="dxa"/>
            <w:tcBorders>
              <w:right w:val="nil"/>
            </w:tcBorders>
            <w:vAlign w:val="top"/>
          </w:tcPr>
          <w:p w14:paraId="1F8DF326">
            <w:pPr>
              <w:pStyle w:val="6"/>
              <w:spacing w:before="88" w:line="218" w:lineRule="auto"/>
              <w:ind w:left="715"/>
              <w:rPr>
                <w:sz w:val="18"/>
                <w:szCs w:val="18"/>
              </w:rPr>
            </w:pPr>
            <w:r>
              <w:rPr>
                <w:spacing w:val="-1"/>
                <w:sz w:val="18"/>
                <w:szCs w:val="18"/>
              </w:rPr>
              <w:t>JL-012-****-###</w:t>
            </w:r>
          </w:p>
        </w:tc>
      </w:tr>
      <w:tr w14:paraId="5621E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40" w:type="dxa"/>
            <w:tcBorders>
              <w:left w:val="nil"/>
            </w:tcBorders>
            <w:vAlign w:val="top"/>
          </w:tcPr>
          <w:p w14:paraId="1721229C">
            <w:pPr>
              <w:pStyle w:val="6"/>
              <w:spacing w:before="126" w:line="184" w:lineRule="auto"/>
              <w:ind w:left="380"/>
              <w:rPr>
                <w:sz w:val="18"/>
                <w:szCs w:val="18"/>
              </w:rPr>
            </w:pPr>
            <w:r>
              <w:rPr>
                <w:spacing w:val="-6"/>
                <w:sz w:val="18"/>
                <w:szCs w:val="18"/>
              </w:rPr>
              <w:t>17</w:t>
            </w:r>
          </w:p>
        </w:tc>
        <w:tc>
          <w:tcPr>
            <w:tcW w:w="2080" w:type="dxa"/>
            <w:vMerge w:val="continue"/>
            <w:tcBorders>
              <w:top w:val="nil"/>
              <w:bottom w:val="nil"/>
            </w:tcBorders>
            <w:vAlign w:val="top"/>
          </w:tcPr>
          <w:p w14:paraId="17FFC8F4">
            <w:pPr>
              <w:rPr>
                <w:rFonts w:ascii="Arial"/>
                <w:sz w:val="21"/>
              </w:rPr>
            </w:pPr>
          </w:p>
        </w:tc>
        <w:tc>
          <w:tcPr>
            <w:tcW w:w="2499" w:type="dxa"/>
            <w:vAlign w:val="top"/>
          </w:tcPr>
          <w:p w14:paraId="3EB1D722">
            <w:pPr>
              <w:pStyle w:val="6"/>
              <w:spacing w:before="81" w:line="220" w:lineRule="auto"/>
              <w:ind w:left="614"/>
              <w:rPr>
                <w:sz w:val="18"/>
                <w:szCs w:val="18"/>
              </w:rPr>
            </w:pPr>
            <w:r>
              <w:rPr>
                <w:spacing w:val="-1"/>
                <w:sz w:val="18"/>
                <w:szCs w:val="18"/>
              </w:rPr>
              <w:t>开标过程确认表</w:t>
            </w:r>
          </w:p>
        </w:tc>
        <w:tc>
          <w:tcPr>
            <w:tcW w:w="2800" w:type="dxa"/>
            <w:tcBorders>
              <w:right w:val="nil"/>
            </w:tcBorders>
            <w:vAlign w:val="top"/>
          </w:tcPr>
          <w:p w14:paraId="7206530F">
            <w:pPr>
              <w:pStyle w:val="6"/>
              <w:spacing w:before="79" w:line="218" w:lineRule="auto"/>
              <w:ind w:left="715"/>
              <w:rPr>
                <w:sz w:val="18"/>
                <w:szCs w:val="18"/>
              </w:rPr>
            </w:pPr>
            <w:r>
              <w:rPr>
                <w:spacing w:val="-1"/>
                <w:sz w:val="18"/>
                <w:szCs w:val="18"/>
              </w:rPr>
              <w:t>JL-013-****-###</w:t>
            </w:r>
          </w:p>
        </w:tc>
      </w:tr>
      <w:tr w14:paraId="745CC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40" w:type="dxa"/>
            <w:tcBorders>
              <w:left w:val="nil"/>
            </w:tcBorders>
            <w:vAlign w:val="top"/>
          </w:tcPr>
          <w:p w14:paraId="303DA52A">
            <w:pPr>
              <w:pStyle w:val="6"/>
              <w:spacing w:before="126" w:line="184" w:lineRule="auto"/>
              <w:ind w:left="380"/>
              <w:rPr>
                <w:sz w:val="18"/>
                <w:szCs w:val="18"/>
              </w:rPr>
            </w:pPr>
            <w:r>
              <w:rPr>
                <w:spacing w:val="-6"/>
                <w:sz w:val="18"/>
                <w:szCs w:val="18"/>
              </w:rPr>
              <w:t>18</w:t>
            </w:r>
          </w:p>
        </w:tc>
        <w:tc>
          <w:tcPr>
            <w:tcW w:w="2080" w:type="dxa"/>
            <w:vMerge w:val="continue"/>
            <w:tcBorders>
              <w:top w:val="nil"/>
              <w:bottom w:val="nil"/>
            </w:tcBorders>
            <w:vAlign w:val="top"/>
          </w:tcPr>
          <w:p w14:paraId="3D4D155D">
            <w:pPr>
              <w:rPr>
                <w:rFonts w:ascii="Arial"/>
                <w:sz w:val="21"/>
              </w:rPr>
            </w:pPr>
          </w:p>
        </w:tc>
        <w:tc>
          <w:tcPr>
            <w:tcW w:w="2499" w:type="dxa"/>
            <w:vAlign w:val="top"/>
          </w:tcPr>
          <w:p w14:paraId="3C1DB164">
            <w:pPr>
              <w:pStyle w:val="6"/>
              <w:spacing w:before="81" w:line="220" w:lineRule="auto"/>
              <w:ind w:left="614"/>
              <w:rPr>
                <w:sz w:val="18"/>
                <w:szCs w:val="18"/>
              </w:rPr>
            </w:pPr>
            <w:r>
              <w:rPr>
                <w:spacing w:val="-2"/>
                <w:sz w:val="18"/>
                <w:szCs w:val="18"/>
              </w:rPr>
              <w:t>工程合同评审表</w:t>
            </w:r>
          </w:p>
        </w:tc>
        <w:tc>
          <w:tcPr>
            <w:tcW w:w="2800" w:type="dxa"/>
            <w:tcBorders>
              <w:right w:val="nil"/>
            </w:tcBorders>
            <w:vAlign w:val="top"/>
          </w:tcPr>
          <w:p w14:paraId="6E06CABC">
            <w:pPr>
              <w:pStyle w:val="6"/>
              <w:spacing w:before="79" w:line="218" w:lineRule="auto"/>
              <w:ind w:left="715"/>
              <w:rPr>
                <w:sz w:val="18"/>
                <w:szCs w:val="18"/>
              </w:rPr>
            </w:pPr>
            <w:r>
              <w:rPr>
                <w:spacing w:val="-1"/>
                <w:sz w:val="18"/>
                <w:szCs w:val="18"/>
              </w:rPr>
              <w:t>JL-014-****-###</w:t>
            </w:r>
          </w:p>
        </w:tc>
      </w:tr>
      <w:tr w14:paraId="2C702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18F3CB3D">
            <w:pPr>
              <w:pStyle w:val="6"/>
              <w:spacing w:before="127" w:line="184" w:lineRule="auto"/>
              <w:ind w:left="380"/>
              <w:rPr>
                <w:sz w:val="18"/>
                <w:szCs w:val="18"/>
              </w:rPr>
            </w:pPr>
            <w:r>
              <w:rPr>
                <w:spacing w:val="-6"/>
                <w:sz w:val="18"/>
                <w:szCs w:val="18"/>
              </w:rPr>
              <w:t>19</w:t>
            </w:r>
          </w:p>
        </w:tc>
        <w:tc>
          <w:tcPr>
            <w:tcW w:w="2080" w:type="dxa"/>
            <w:vMerge w:val="continue"/>
            <w:tcBorders>
              <w:top w:val="nil"/>
            </w:tcBorders>
            <w:vAlign w:val="top"/>
          </w:tcPr>
          <w:p w14:paraId="5F007B69">
            <w:pPr>
              <w:rPr>
                <w:rFonts w:ascii="Arial"/>
                <w:sz w:val="21"/>
              </w:rPr>
            </w:pPr>
          </w:p>
        </w:tc>
        <w:tc>
          <w:tcPr>
            <w:tcW w:w="2499" w:type="dxa"/>
            <w:vAlign w:val="top"/>
          </w:tcPr>
          <w:p w14:paraId="22EC6B8C">
            <w:pPr>
              <w:pStyle w:val="6"/>
              <w:spacing w:before="82" w:line="219" w:lineRule="auto"/>
              <w:ind w:left="344"/>
              <w:rPr>
                <w:sz w:val="18"/>
                <w:szCs w:val="18"/>
              </w:rPr>
            </w:pPr>
            <w:r>
              <w:rPr>
                <w:spacing w:val="-1"/>
                <w:sz w:val="18"/>
                <w:szCs w:val="18"/>
              </w:rPr>
              <w:t>质量保证资料检查记录</w:t>
            </w:r>
          </w:p>
        </w:tc>
        <w:tc>
          <w:tcPr>
            <w:tcW w:w="2800" w:type="dxa"/>
            <w:tcBorders>
              <w:right w:val="nil"/>
            </w:tcBorders>
            <w:vAlign w:val="top"/>
          </w:tcPr>
          <w:p w14:paraId="3EE5D8F3">
            <w:pPr>
              <w:pStyle w:val="6"/>
              <w:spacing w:before="80" w:line="218" w:lineRule="auto"/>
              <w:ind w:left="715"/>
              <w:rPr>
                <w:sz w:val="18"/>
                <w:szCs w:val="18"/>
              </w:rPr>
            </w:pPr>
            <w:r>
              <w:rPr>
                <w:spacing w:val="-1"/>
                <w:sz w:val="18"/>
                <w:szCs w:val="18"/>
              </w:rPr>
              <w:t>JL-015-****-###</w:t>
            </w:r>
          </w:p>
        </w:tc>
      </w:tr>
      <w:tr w14:paraId="4464C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6A514ED6">
            <w:pPr>
              <w:pStyle w:val="6"/>
              <w:spacing w:before="128" w:line="183" w:lineRule="auto"/>
              <w:ind w:left="380"/>
              <w:rPr>
                <w:sz w:val="18"/>
                <w:szCs w:val="18"/>
              </w:rPr>
            </w:pPr>
            <w:r>
              <w:rPr>
                <w:spacing w:val="-3"/>
                <w:sz w:val="18"/>
                <w:szCs w:val="18"/>
              </w:rPr>
              <w:t>20</w:t>
            </w:r>
          </w:p>
        </w:tc>
        <w:tc>
          <w:tcPr>
            <w:tcW w:w="2080" w:type="dxa"/>
            <w:vMerge w:val="restart"/>
            <w:tcBorders>
              <w:bottom w:val="nil"/>
            </w:tcBorders>
            <w:vAlign w:val="top"/>
          </w:tcPr>
          <w:p w14:paraId="499E38F8">
            <w:pPr>
              <w:spacing w:line="371" w:lineRule="auto"/>
              <w:rPr>
                <w:rFonts w:ascii="Arial"/>
                <w:sz w:val="21"/>
              </w:rPr>
            </w:pPr>
          </w:p>
          <w:p w14:paraId="101832A6">
            <w:pPr>
              <w:pStyle w:val="6"/>
              <w:spacing w:before="59" w:line="219" w:lineRule="auto"/>
              <w:ind w:left="315"/>
              <w:rPr>
                <w:sz w:val="18"/>
                <w:szCs w:val="18"/>
              </w:rPr>
            </w:pPr>
            <w:r>
              <w:rPr>
                <w:spacing w:val="1"/>
                <w:sz w:val="18"/>
                <w:szCs w:val="18"/>
              </w:rPr>
              <w:t>设计阶段监理文档</w:t>
            </w:r>
          </w:p>
        </w:tc>
        <w:tc>
          <w:tcPr>
            <w:tcW w:w="2499" w:type="dxa"/>
            <w:vAlign w:val="top"/>
          </w:tcPr>
          <w:p w14:paraId="667A6FE8">
            <w:pPr>
              <w:pStyle w:val="6"/>
              <w:spacing w:before="82" w:line="219" w:lineRule="auto"/>
              <w:ind w:left="435"/>
              <w:rPr>
                <w:sz w:val="18"/>
                <w:szCs w:val="18"/>
              </w:rPr>
            </w:pPr>
            <w:r>
              <w:rPr>
                <w:spacing w:val="-1"/>
                <w:sz w:val="18"/>
                <w:szCs w:val="18"/>
              </w:rPr>
              <w:t>软件开发文档审核表</w:t>
            </w:r>
          </w:p>
        </w:tc>
        <w:tc>
          <w:tcPr>
            <w:tcW w:w="2800" w:type="dxa"/>
            <w:tcBorders>
              <w:right w:val="nil"/>
            </w:tcBorders>
            <w:vAlign w:val="top"/>
          </w:tcPr>
          <w:p w14:paraId="28F2138C">
            <w:pPr>
              <w:pStyle w:val="6"/>
              <w:spacing w:before="80" w:line="218" w:lineRule="auto"/>
              <w:ind w:left="715"/>
              <w:rPr>
                <w:sz w:val="18"/>
                <w:szCs w:val="18"/>
              </w:rPr>
            </w:pPr>
            <w:r>
              <w:rPr>
                <w:spacing w:val="-1"/>
                <w:sz w:val="18"/>
                <w:szCs w:val="18"/>
              </w:rPr>
              <w:t>JL-021-****-###</w:t>
            </w:r>
          </w:p>
        </w:tc>
      </w:tr>
      <w:tr w14:paraId="437E3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40" w:type="dxa"/>
            <w:tcBorders>
              <w:left w:val="nil"/>
            </w:tcBorders>
            <w:vAlign w:val="top"/>
          </w:tcPr>
          <w:p w14:paraId="37145920">
            <w:pPr>
              <w:pStyle w:val="6"/>
              <w:spacing w:before="127" w:line="184" w:lineRule="auto"/>
              <w:ind w:left="380"/>
              <w:rPr>
                <w:sz w:val="18"/>
                <w:szCs w:val="18"/>
              </w:rPr>
            </w:pPr>
            <w:r>
              <w:rPr>
                <w:spacing w:val="-3"/>
                <w:sz w:val="18"/>
                <w:szCs w:val="18"/>
              </w:rPr>
              <w:t>21</w:t>
            </w:r>
          </w:p>
        </w:tc>
        <w:tc>
          <w:tcPr>
            <w:tcW w:w="2080" w:type="dxa"/>
            <w:vMerge w:val="continue"/>
            <w:tcBorders>
              <w:top w:val="nil"/>
              <w:bottom w:val="nil"/>
            </w:tcBorders>
            <w:vAlign w:val="top"/>
          </w:tcPr>
          <w:p w14:paraId="4A2EB64F">
            <w:pPr>
              <w:rPr>
                <w:rFonts w:ascii="Arial"/>
                <w:sz w:val="21"/>
              </w:rPr>
            </w:pPr>
          </w:p>
        </w:tc>
        <w:tc>
          <w:tcPr>
            <w:tcW w:w="2499" w:type="dxa"/>
            <w:vAlign w:val="top"/>
          </w:tcPr>
          <w:p w14:paraId="5BBA2E11">
            <w:pPr>
              <w:pStyle w:val="6"/>
              <w:spacing w:before="82" w:line="219" w:lineRule="auto"/>
              <w:ind w:left="255"/>
              <w:rPr>
                <w:sz w:val="18"/>
                <w:szCs w:val="18"/>
              </w:rPr>
            </w:pPr>
            <w:r>
              <w:rPr>
                <w:spacing w:val="-1"/>
                <w:sz w:val="18"/>
                <w:szCs w:val="18"/>
              </w:rPr>
              <w:t>软件开发进度计划检查表</w:t>
            </w:r>
          </w:p>
        </w:tc>
        <w:tc>
          <w:tcPr>
            <w:tcW w:w="2800" w:type="dxa"/>
            <w:tcBorders>
              <w:right w:val="nil"/>
            </w:tcBorders>
            <w:vAlign w:val="top"/>
          </w:tcPr>
          <w:p w14:paraId="4B289113">
            <w:pPr>
              <w:pStyle w:val="6"/>
              <w:spacing w:before="80" w:line="218" w:lineRule="auto"/>
              <w:ind w:left="715"/>
              <w:rPr>
                <w:sz w:val="18"/>
                <w:szCs w:val="18"/>
              </w:rPr>
            </w:pPr>
            <w:r>
              <w:rPr>
                <w:spacing w:val="-1"/>
                <w:sz w:val="18"/>
                <w:szCs w:val="18"/>
              </w:rPr>
              <w:t>JL-022-****-###</w:t>
            </w:r>
          </w:p>
        </w:tc>
      </w:tr>
      <w:tr w14:paraId="23210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22819802">
            <w:pPr>
              <w:pStyle w:val="6"/>
              <w:spacing w:before="129" w:line="183" w:lineRule="auto"/>
              <w:ind w:left="380"/>
              <w:rPr>
                <w:sz w:val="18"/>
                <w:szCs w:val="18"/>
              </w:rPr>
            </w:pPr>
            <w:r>
              <w:rPr>
                <w:spacing w:val="-3"/>
                <w:sz w:val="18"/>
                <w:szCs w:val="18"/>
              </w:rPr>
              <w:t>22</w:t>
            </w:r>
          </w:p>
        </w:tc>
        <w:tc>
          <w:tcPr>
            <w:tcW w:w="2080" w:type="dxa"/>
            <w:vMerge w:val="continue"/>
            <w:tcBorders>
              <w:top w:val="nil"/>
            </w:tcBorders>
            <w:vAlign w:val="top"/>
          </w:tcPr>
          <w:p w14:paraId="092D90DF">
            <w:pPr>
              <w:rPr>
                <w:rFonts w:ascii="Arial"/>
                <w:sz w:val="21"/>
              </w:rPr>
            </w:pPr>
          </w:p>
        </w:tc>
        <w:tc>
          <w:tcPr>
            <w:tcW w:w="2499" w:type="dxa"/>
            <w:vAlign w:val="top"/>
          </w:tcPr>
          <w:p w14:paraId="5AC1DCA3">
            <w:pPr>
              <w:pStyle w:val="6"/>
              <w:spacing w:before="84" w:line="220" w:lineRule="auto"/>
              <w:ind w:left="435"/>
              <w:rPr>
                <w:sz w:val="18"/>
                <w:szCs w:val="18"/>
              </w:rPr>
            </w:pPr>
            <w:r>
              <w:rPr>
                <w:spacing w:val="-1"/>
                <w:sz w:val="18"/>
                <w:szCs w:val="18"/>
              </w:rPr>
              <w:t>工程设计方案审核表</w:t>
            </w:r>
          </w:p>
        </w:tc>
        <w:tc>
          <w:tcPr>
            <w:tcW w:w="2800" w:type="dxa"/>
            <w:tcBorders>
              <w:right w:val="nil"/>
            </w:tcBorders>
            <w:vAlign w:val="top"/>
          </w:tcPr>
          <w:p w14:paraId="6D59A71D">
            <w:pPr>
              <w:pStyle w:val="6"/>
              <w:spacing w:before="81" w:line="218" w:lineRule="auto"/>
              <w:ind w:left="715"/>
              <w:rPr>
                <w:sz w:val="18"/>
                <w:szCs w:val="18"/>
              </w:rPr>
            </w:pPr>
            <w:r>
              <w:rPr>
                <w:spacing w:val="-1"/>
                <w:sz w:val="18"/>
                <w:szCs w:val="18"/>
              </w:rPr>
              <w:t>JL-023-****-###</w:t>
            </w:r>
          </w:p>
        </w:tc>
      </w:tr>
      <w:tr w14:paraId="7D466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40" w:type="dxa"/>
            <w:tcBorders>
              <w:left w:val="nil"/>
            </w:tcBorders>
            <w:vAlign w:val="top"/>
          </w:tcPr>
          <w:p w14:paraId="0A918A63">
            <w:pPr>
              <w:pStyle w:val="6"/>
              <w:spacing w:before="129" w:line="183" w:lineRule="auto"/>
              <w:ind w:left="380"/>
              <w:rPr>
                <w:sz w:val="18"/>
                <w:szCs w:val="18"/>
              </w:rPr>
            </w:pPr>
            <w:r>
              <w:rPr>
                <w:spacing w:val="-3"/>
                <w:sz w:val="18"/>
                <w:szCs w:val="18"/>
              </w:rPr>
              <w:t>23</w:t>
            </w:r>
          </w:p>
        </w:tc>
        <w:tc>
          <w:tcPr>
            <w:tcW w:w="2080" w:type="dxa"/>
            <w:vMerge w:val="restart"/>
            <w:tcBorders>
              <w:bottom w:val="nil"/>
            </w:tcBorders>
            <w:vAlign w:val="top"/>
          </w:tcPr>
          <w:p w14:paraId="7FBDC059">
            <w:pPr>
              <w:spacing w:line="293" w:lineRule="auto"/>
              <w:rPr>
                <w:rFonts w:ascii="Arial"/>
                <w:sz w:val="21"/>
              </w:rPr>
            </w:pPr>
          </w:p>
          <w:p w14:paraId="371828B3">
            <w:pPr>
              <w:spacing w:line="293" w:lineRule="auto"/>
              <w:rPr>
                <w:rFonts w:ascii="Arial"/>
                <w:sz w:val="21"/>
              </w:rPr>
            </w:pPr>
          </w:p>
          <w:p w14:paraId="69FE8911">
            <w:pPr>
              <w:spacing w:line="293" w:lineRule="auto"/>
              <w:rPr>
                <w:rFonts w:ascii="Arial"/>
                <w:sz w:val="21"/>
              </w:rPr>
            </w:pPr>
          </w:p>
          <w:p w14:paraId="799F8A10">
            <w:pPr>
              <w:pStyle w:val="6"/>
              <w:spacing w:before="59" w:line="219" w:lineRule="auto"/>
              <w:ind w:left="315"/>
              <w:rPr>
                <w:sz w:val="18"/>
                <w:szCs w:val="18"/>
              </w:rPr>
            </w:pPr>
            <w:r>
              <w:rPr>
                <w:spacing w:val="1"/>
                <w:sz w:val="18"/>
                <w:szCs w:val="18"/>
              </w:rPr>
              <w:t>实施阶段监理文档</w:t>
            </w:r>
          </w:p>
        </w:tc>
        <w:tc>
          <w:tcPr>
            <w:tcW w:w="2499" w:type="dxa"/>
            <w:vAlign w:val="top"/>
          </w:tcPr>
          <w:p w14:paraId="51ACA772">
            <w:pPr>
              <w:pStyle w:val="6"/>
              <w:spacing w:before="81" w:line="218" w:lineRule="auto"/>
              <w:ind w:left="525"/>
              <w:rPr>
                <w:sz w:val="18"/>
                <w:szCs w:val="18"/>
              </w:rPr>
            </w:pPr>
            <w:r>
              <w:rPr>
                <w:spacing w:val="1"/>
                <w:sz w:val="18"/>
                <w:szCs w:val="18"/>
              </w:rPr>
              <w:t>设备开箱检验报告</w:t>
            </w:r>
          </w:p>
        </w:tc>
        <w:tc>
          <w:tcPr>
            <w:tcW w:w="2800" w:type="dxa"/>
            <w:tcBorders>
              <w:right w:val="nil"/>
            </w:tcBorders>
            <w:vAlign w:val="top"/>
          </w:tcPr>
          <w:p w14:paraId="45D5BC7D">
            <w:pPr>
              <w:pStyle w:val="6"/>
              <w:spacing w:before="81" w:line="218" w:lineRule="auto"/>
              <w:ind w:left="715"/>
              <w:rPr>
                <w:sz w:val="18"/>
                <w:szCs w:val="18"/>
              </w:rPr>
            </w:pPr>
            <w:r>
              <w:rPr>
                <w:spacing w:val="-1"/>
                <w:sz w:val="18"/>
                <w:szCs w:val="18"/>
              </w:rPr>
              <w:t>JL-031-****-###</w:t>
            </w:r>
          </w:p>
        </w:tc>
      </w:tr>
      <w:tr w14:paraId="23EC1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60C8A02F">
            <w:pPr>
              <w:pStyle w:val="6"/>
              <w:spacing w:before="130" w:line="183" w:lineRule="auto"/>
              <w:ind w:left="380"/>
              <w:rPr>
                <w:sz w:val="18"/>
                <w:szCs w:val="18"/>
              </w:rPr>
            </w:pPr>
            <w:r>
              <w:rPr>
                <w:spacing w:val="-3"/>
                <w:sz w:val="18"/>
                <w:szCs w:val="18"/>
              </w:rPr>
              <w:t>24</w:t>
            </w:r>
          </w:p>
        </w:tc>
        <w:tc>
          <w:tcPr>
            <w:tcW w:w="2080" w:type="dxa"/>
            <w:vMerge w:val="continue"/>
            <w:tcBorders>
              <w:top w:val="nil"/>
              <w:bottom w:val="nil"/>
            </w:tcBorders>
            <w:vAlign w:val="top"/>
          </w:tcPr>
          <w:p w14:paraId="76D304DE">
            <w:pPr>
              <w:rPr>
                <w:rFonts w:ascii="Arial"/>
                <w:sz w:val="21"/>
              </w:rPr>
            </w:pPr>
          </w:p>
        </w:tc>
        <w:tc>
          <w:tcPr>
            <w:tcW w:w="2499" w:type="dxa"/>
            <w:vAlign w:val="top"/>
          </w:tcPr>
          <w:p w14:paraId="713593E6">
            <w:pPr>
              <w:pStyle w:val="6"/>
              <w:spacing w:before="84" w:line="220" w:lineRule="auto"/>
              <w:ind w:left="525"/>
              <w:rPr>
                <w:sz w:val="18"/>
                <w:szCs w:val="18"/>
              </w:rPr>
            </w:pPr>
            <w:r>
              <w:rPr>
                <w:spacing w:val="-2"/>
                <w:sz w:val="18"/>
                <w:szCs w:val="18"/>
              </w:rPr>
              <w:t>设备安装调试记录</w:t>
            </w:r>
          </w:p>
        </w:tc>
        <w:tc>
          <w:tcPr>
            <w:tcW w:w="2800" w:type="dxa"/>
            <w:tcBorders>
              <w:right w:val="nil"/>
            </w:tcBorders>
            <w:vAlign w:val="top"/>
          </w:tcPr>
          <w:p w14:paraId="7916F135">
            <w:pPr>
              <w:pStyle w:val="6"/>
              <w:spacing w:before="82" w:line="218" w:lineRule="auto"/>
              <w:ind w:left="715"/>
              <w:rPr>
                <w:sz w:val="18"/>
                <w:szCs w:val="18"/>
              </w:rPr>
            </w:pPr>
            <w:r>
              <w:rPr>
                <w:spacing w:val="-1"/>
                <w:sz w:val="18"/>
                <w:szCs w:val="18"/>
              </w:rPr>
              <w:t>JL-032-****-###</w:t>
            </w:r>
          </w:p>
        </w:tc>
      </w:tr>
      <w:tr w14:paraId="07095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40" w:type="dxa"/>
            <w:tcBorders>
              <w:left w:val="nil"/>
            </w:tcBorders>
            <w:vAlign w:val="top"/>
          </w:tcPr>
          <w:p w14:paraId="6D10228D">
            <w:pPr>
              <w:pStyle w:val="6"/>
              <w:spacing w:before="130" w:line="183" w:lineRule="auto"/>
              <w:ind w:left="380"/>
              <w:rPr>
                <w:sz w:val="18"/>
                <w:szCs w:val="18"/>
              </w:rPr>
            </w:pPr>
            <w:r>
              <w:rPr>
                <w:spacing w:val="-3"/>
                <w:sz w:val="18"/>
                <w:szCs w:val="18"/>
              </w:rPr>
              <w:t>25</w:t>
            </w:r>
          </w:p>
        </w:tc>
        <w:tc>
          <w:tcPr>
            <w:tcW w:w="2080" w:type="dxa"/>
            <w:vMerge w:val="continue"/>
            <w:tcBorders>
              <w:top w:val="nil"/>
              <w:bottom w:val="nil"/>
            </w:tcBorders>
            <w:vAlign w:val="top"/>
          </w:tcPr>
          <w:p w14:paraId="10A08E90">
            <w:pPr>
              <w:rPr>
                <w:rFonts w:ascii="Arial"/>
                <w:sz w:val="21"/>
              </w:rPr>
            </w:pPr>
          </w:p>
        </w:tc>
        <w:tc>
          <w:tcPr>
            <w:tcW w:w="2499" w:type="dxa"/>
            <w:vAlign w:val="top"/>
          </w:tcPr>
          <w:p w14:paraId="313E2AE6">
            <w:pPr>
              <w:pStyle w:val="6"/>
              <w:spacing w:before="84" w:line="219" w:lineRule="auto"/>
              <w:ind w:left="525"/>
              <w:rPr>
                <w:sz w:val="18"/>
                <w:szCs w:val="18"/>
              </w:rPr>
            </w:pPr>
            <w:r>
              <w:rPr>
                <w:spacing w:val="-2"/>
                <w:sz w:val="18"/>
                <w:szCs w:val="18"/>
              </w:rPr>
              <w:t>软件安装调试记录</w:t>
            </w:r>
          </w:p>
        </w:tc>
        <w:tc>
          <w:tcPr>
            <w:tcW w:w="2800" w:type="dxa"/>
            <w:tcBorders>
              <w:right w:val="nil"/>
            </w:tcBorders>
            <w:vAlign w:val="top"/>
          </w:tcPr>
          <w:p w14:paraId="267D68BE">
            <w:pPr>
              <w:pStyle w:val="6"/>
              <w:spacing w:before="82" w:line="218" w:lineRule="auto"/>
              <w:ind w:left="715"/>
              <w:rPr>
                <w:sz w:val="18"/>
                <w:szCs w:val="18"/>
              </w:rPr>
            </w:pPr>
            <w:r>
              <w:rPr>
                <w:spacing w:val="-1"/>
                <w:sz w:val="18"/>
                <w:szCs w:val="18"/>
              </w:rPr>
              <w:t>JL-033-****-###</w:t>
            </w:r>
          </w:p>
        </w:tc>
      </w:tr>
      <w:tr w14:paraId="47CE1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40" w:type="dxa"/>
            <w:tcBorders>
              <w:left w:val="nil"/>
            </w:tcBorders>
            <w:vAlign w:val="top"/>
          </w:tcPr>
          <w:p w14:paraId="0DEC67E0">
            <w:pPr>
              <w:pStyle w:val="6"/>
              <w:spacing w:before="131" w:line="183" w:lineRule="auto"/>
              <w:ind w:left="380"/>
              <w:rPr>
                <w:sz w:val="18"/>
                <w:szCs w:val="18"/>
              </w:rPr>
            </w:pPr>
            <w:r>
              <w:rPr>
                <w:spacing w:val="-3"/>
                <w:sz w:val="18"/>
                <w:szCs w:val="18"/>
              </w:rPr>
              <w:t>26</w:t>
            </w:r>
          </w:p>
        </w:tc>
        <w:tc>
          <w:tcPr>
            <w:tcW w:w="2080" w:type="dxa"/>
            <w:vMerge w:val="continue"/>
            <w:tcBorders>
              <w:top w:val="nil"/>
              <w:bottom w:val="nil"/>
            </w:tcBorders>
            <w:vAlign w:val="top"/>
          </w:tcPr>
          <w:p w14:paraId="05313313">
            <w:pPr>
              <w:rPr>
                <w:rFonts w:ascii="Arial"/>
                <w:sz w:val="21"/>
              </w:rPr>
            </w:pPr>
          </w:p>
        </w:tc>
        <w:tc>
          <w:tcPr>
            <w:tcW w:w="2499" w:type="dxa"/>
            <w:vAlign w:val="top"/>
          </w:tcPr>
          <w:p w14:paraId="2834B029">
            <w:pPr>
              <w:pStyle w:val="6"/>
              <w:spacing w:before="85" w:line="219" w:lineRule="auto"/>
              <w:ind w:left="435"/>
              <w:rPr>
                <w:sz w:val="18"/>
                <w:szCs w:val="18"/>
              </w:rPr>
            </w:pPr>
            <w:r>
              <w:rPr>
                <w:spacing w:val="-1"/>
                <w:sz w:val="18"/>
                <w:szCs w:val="18"/>
              </w:rPr>
              <w:t>工程进度计划检查表</w:t>
            </w:r>
          </w:p>
        </w:tc>
        <w:tc>
          <w:tcPr>
            <w:tcW w:w="2800" w:type="dxa"/>
            <w:tcBorders>
              <w:right w:val="nil"/>
            </w:tcBorders>
            <w:vAlign w:val="top"/>
          </w:tcPr>
          <w:p w14:paraId="43D80346">
            <w:pPr>
              <w:pStyle w:val="6"/>
              <w:spacing w:before="83" w:line="218" w:lineRule="auto"/>
              <w:ind w:left="715"/>
              <w:rPr>
                <w:sz w:val="18"/>
                <w:szCs w:val="18"/>
              </w:rPr>
            </w:pPr>
            <w:r>
              <w:rPr>
                <w:spacing w:val="-1"/>
                <w:sz w:val="18"/>
                <w:szCs w:val="18"/>
              </w:rPr>
              <w:t>JL-034-****-###</w:t>
            </w:r>
          </w:p>
        </w:tc>
      </w:tr>
      <w:tr w14:paraId="3569E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40" w:type="dxa"/>
            <w:tcBorders>
              <w:left w:val="nil"/>
            </w:tcBorders>
            <w:vAlign w:val="top"/>
          </w:tcPr>
          <w:p w14:paraId="19E67094">
            <w:pPr>
              <w:pStyle w:val="6"/>
              <w:spacing w:before="131" w:line="183" w:lineRule="auto"/>
              <w:ind w:left="380"/>
              <w:rPr>
                <w:sz w:val="18"/>
                <w:szCs w:val="18"/>
              </w:rPr>
            </w:pPr>
            <w:r>
              <w:rPr>
                <w:spacing w:val="-3"/>
                <w:sz w:val="18"/>
                <w:szCs w:val="18"/>
              </w:rPr>
              <w:t>27</w:t>
            </w:r>
          </w:p>
        </w:tc>
        <w:tc>
          <w:tcPr>
            <w:tcW w:w="2080" w:type="dxa"/>
            <w:vMerge w:val="continue"/>
            <w:tcBorders>
              <w:top w:val="nil"/>
              <w:bottom w:val="nil"/>
            </w:tcBorders>
            <w:vAlign w:val="top"/>
          </w:tcPr>
          <w:p w14:paraId="2853AAF9">
            <w:pPr>
              <w:rPr>
                <w:rFonts w:ascii="Arial"/>
                <w:sz w:val="21"/>
              </w:rPr>
            </w:pPr>
          </w:p>
        </w:tc>
        <w:tc>
          <w:tcPr>
            <w:tcW w:w="2499" w:type="dxa"/>
            <w:vAlign w:val="top"/>
          </w:tcPr>
          <w:p w14:paraId="43F04796">
            <w:pPr>
              <w:pStyle w:val="6"/>
              <w:spacing w:before="83" w:line="218" w:lineRule="auto"/>
              <w:ind w:left="344"/>
              <w:rPr>
                <w:sz w:val="18"/>
                <w:szCs w:val="18"/>
              </w:rPr>
            </w:pPr>
            <w:r>
              <w:rPr>
                <w:spacing w:val="1"/>
                <w:sz w:val="18"/>
                <w:szCs w:val="18"/>
              </w:rPr>
              <w:t>项目付款阶段验收报告</w:t>
            </w:r>
          </w:p>
        </w:tc>
        <w:tc>
          <w:tcPr>
            <w:tcW w:w="2800" w:type="dxa"/>
            <w:tcBorders>
              <w:right w:val="nil"/>
            </w:tcBorders>
            <w:vAlign w:val="top"/>
          </w:tcPr>
          <w:p w14:paraId="5DA4B398">
            <w:pPr>
              <w:pStyle w:val="6"/>
              <w:spacing w:before="83" w:line="218" w:lineRule="auto"/>
              <w:ind w:left="715"/>
              <w:rPr>
                <w:sz w:val="18"/>
                <w:szCs w:val="18"/>
              </w:rPr>
            </w:pPr>
            <w:r>
              <w:rPr>
                <w:spacing w:val="-1"/>
                <w:sz w:val="18"/>
                <w:szCs w:val="18"/>
              </w:rPr>
              <w:t>JL-035-****-###</w:t>
            </w:r>
          </w:p>
        </w:tc>
      </w:tr>
      <w:tr w14:paraId="33457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40" w:type="dxa"/>
            <w:tcBorders>
              <w:left w:val="nil"/>
            </w:tcBorders>
            <w:vAlign w:val="top"/>
          </w:tcPr>
          <w:p w14:paraId="102A4AB3">
            <w:pPr>
              <w:pStyle w:val="6"/>
              <w:spacing w:before="131" w:line="183" w:lineRule="auto"/>
              <w:ind w:left="380"/>
              <w:rPr>
                <w:sz w:val="18"/>
                <w:szCs w:val="18"/>
              </w:rPr>
            </w:pPr>
            <w:r>
              <w:rPr>
                <w:spacing w:val="-3"/>
                <w:sz w:val="18"/>
                <w:szCs w:val="18"/>
              </w:rPr>
              <w:t>28</w:t>
            </w:r>
          </w:p>
        </w:tc>
        <w:tc>
          <w:tcPr>
            <w:tcW w:w="2080" w:type="dxa"/>
            <w:vMerge w:val="continue"/>
            <w:tcBorders>
              <w:top w:val="nil"/>
            </w:tcBorders>
            <w:vAlign w:val="top"/>
          </w:tcPr>
          <w:p w14:paraId="1ACF2754">
            <w:pPr>
              <w:rPr>
                <w:rFonts w:ascii="Arial"/>
                <w:sz w:val="21"/>
              </w:rPr>
            </w:pPr>
          </w:p>
        </w:tc>
        <w:tc>
          <w:tcPr>
            <w:tcW w:w="2499" w:type="dxa"/>
            <w:vAlign w:val="top"/>
          </w:tcPr>
          <w:p w14:paraId="0CFF0BE6">
            <w:pPr>
              <w:pStyle w:val="6"/>
              <w:spacing w:before="85" w:line="219" w:lineRule="auto"/>
              <w:ind w:left="344"/>
              <w:rPr>
                <w:sz w:val="18"/>
                <w:szCs w:val="18"/>
              </w:rPr>
            </w:pPr>
            <w:r>
              <w:rPr>
                <w:spacing w:val="-1"/>
                <w:sz w:val="18"/>
                <w:szCs w:val="18"/>
              </w:rPr>
              <w:t>合同阶段性支付申请表</w:t>
            </w:r>
          </w:p>
        </w:tc>
        <w:tc>
          <w:tcPr>
            <w:tcW w:w="2800" w:type="dxa"/>
            <w:tcBorders>
              <w:right w:val="nil"/>
            </w:tcBorders>
            <w:vAlign w:val="top"/>
          </w:tcPr>
          <w:p w14:paraId="384538FE">
            <w:pPr>
              <w:pStyle w:val="6"/>
              <w:spacing w:before="83" w:line="218" w:lineRule="auto"/>
              <w:ind w:left="715"/>
              <w:rPr>
                <w:sz w:val="18"/>
                <w:szCs w:val="18"/>
              </w:rPr>
            </w:pPr>
            <w:r>
              <w:rPr>
                <w:spacing w:val="-1"/>
                <w:sz w:val="18"/>
                <w:szCs w:val="18"/>
              </w:rPr>
              <w:t>JL-036-****-###</w:t>
            </w:r>
          </w:p>
        </w:tc>
      </w:tr>
      <w:tr w14:paraId="2FDB2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40" w:type="dxa"/>
            <w:tcBorders>
              <w:left w:val="nil"/>
            </w:tcBorders>
            <w:vAlign w:val="top"/>
          </w:tcPr>
          <w:p w14:paraId="0064C182">
            <w:pPr>
              <w:pStyle w:val="6"/>
              <w:spacing w:before="131" w:line="183" w:lineRule="auto"/>
              <w:ind w:left="380"/>
              <w:rPr>
                <w:sz w:val="18"/>
                <w:szCs w:val="18"/>
              </w:rPr>
            </w:pPr>
            <w:r>
              <w:rPr>
                <w:spacing w:val="-3"/>
                <w:sz w:val="18"/>
                <w:szCs w:val="18"/>
              </w:rPr>
              <w:t>29</w:t>
            </w:r>
          </w:p>
        </w:tc>
        <w:tc>
          <w:tcPr>
            <w:tcW w:w="2080" w:type="dxa"/>
            <w:vMerge w:val="restart"/>
            <w:tcBorders>
              <w:bottom w:val="nil"/>
            </w:tcBorders>
            <w:vAlign w:val="top"/>
          </w:tcPr>
          <w:p w14:paraId="49FBA25B">
            <w:pPr>
              <w:spacing w:line="364" w:lineRule="auto"/>
              <w:rPr>
                <w:rFonts w:ascii="Arial"/>
                <w:sz w:val="21"/>
              </w:rPr>
            </w:pPr>
          </w:p>
          <w:p w14:paraId="23EF9486">
            <w:pPr>
              <w:pStyle w:val="6"/>
              <w:spacing w:before="59" w:line="219" w:lineRule="auto"/>
              <w:ind w:left="315"/>
              <w:rPr>
                <w:sz w:val="18"/>
                <w:szCs w:val="18"/>
              </w:rPr>
            </w:pPr>
            <w:r>
              <w:rPr>
                <w:spacing w:val="-1"/>
                <w:sz w:val="18"/>
                <w:szCs w:val="18"/>
              </w:rPr>
              <w:t>验收阶段监理文档</w:t>
            </w:r>
          </w:p>
        </w:tc>
        <w:tc>
          <w:tcPr>
            <w:tcW w:w="2499" w:type="dxa"/>
            <w:vAlign w:val="top"/>
          </w:tcPr>
          <w:p w14:paraId="76C45E7B">
            <w:pPr>
              <w:pStyle w:val="6"/>
              <w:spacing w:before="85" w:line="219" w:lineRule="auto"/>
              <w:ind w:left="435"/>
              <w:rPr>
                <w:sz w:val="18"/>
                <w:szCs w:val="18"/>
              </w:rPr>
            </w:pPr>
            <w:r>
              <w:rPr>
                <w:spacing w:val="-1"/>
                <w:sz w:val="18"/>
                <w:szCs w:val="18"/>
              </w:rPr>
              <w:t>工程验收方案审核表</w:t>
            </w:r>
          </w:p>
        </w:tc>
        <w:tc>
          <w:tcPr>
            <w:tcW w:w="2800" w:type="dxa"/>
            <w:tcBorders>
              <w:right w:val="nil"/>
            </w:tcBorders>
            <w:vAlign w:val="top"/>
          </w:tcPr>
          <w:p w14:paraId="706F623B">
            <w:pPr>
              <w:pStyle w:val="6"/>
              <w:spacing w:before="83" w:line="218" w:lineRule="auto"/>
              <w:ind w:left="715"/>
              <w:rPr>
                <w:sz w:val="18"/>
                <w:szCs w:val="18"/>
              </w:rPr>
            </w:pPr>
            <w:r>
              <w:rPr>
                <w:spacing w:val="-1"/>
                <w:sz w:val="18"/>
                <w:szCs w:val="18"/>
              </w:rPr>
              <w:t>JL-041-****-###</w:t>
            </w:r>
          </w:p>
        </w:tc>
      </w:tr>
      <w:tr w14:paraId="219C1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40" w:type="dxa"/>
            <w:tcBorders>
              <w:left w:val="nil"/>
            </w:tcBorders>
            <w:vAlign w:val="top"/>
          </w:tcPr>
          <w:p w14:paraId="759AD08E">
            <w:pPr>
              <w:pStyle w:val="6"/>
              <w:spacing w:before="132" w:line="183" w:lineRule="auto"/>
              <w:ind w:left="380"/>
              <w:rPr>
                <w:sz w:val="18"/>
                <w:szCs w:val="18"/>
              </w:rPr>
            </w:pPr>
            <w:r>
              <w:rPr>
                <w:spacing w:val="-3"/>
                <w:sz w:val="18"/>
                <w:szCs w:val="18"/>
              </w:rPr>
              <w:t>30</w:t>
            </w:r>
          </w:p>
        </w:tc>
        <w:tc>
          <w:tcPr>
            <w:tcW w:w="2080" w:type="dxa"/>
            <w:vMerge w:val="continue"/>
            <w:tcBorders>
              <w:top w:val="nil"/>
              <w:bottom w:val="nil"/>
            </w:tcBorders>
            <w:vAlign w:val="top"/>
          </w:tcPr>
          <w:p w14:paraId="26202DEA">
            <w:pPr>
              <w:rPr>
                <w:rFonts w:ascii="Arial"/>
                <w:sz w:val="21"/>
              </w:rPr>
            </w:pPr>
          </w:p>
        </w:tc>
        <w:tc>
          <w:tcPr>
            <w:tcW w:w="2499" w:type="dxa"/>
            <w:vAlign w:val="top"/>
          </w:tcPr>
          <w:p w14:paraId="13DD57D8">
            <w:pPr>
              <w:pStyle w:val="6"/>
              <w:spacing w:before="84" w:line="218" w:lineRule="auto"/>
              <w:ind w:left="884"/>
              <w:rPr>
                <w:sz w:val="18"/>
                <w:szCs w:val="18"/>
              </w:rPr>
            </w:pPr>
            <w:r>
              <w:rPr>
                <w:spacing w:val="-2"/>
                <w:sz w:val="18"/>
                <w:szCs w:val="18"/>
              </w:rPr>
              <w:t>初验报告</w:t>
            </w:r>
          </w:p>
        </w:tc>
        <w:tc>
          <w:tcPr>
            <w:tcW w:w="2800" w:type="dxa"/>
            <w:tcBorders>
              <w:right w:val="nil"/>
            </w:tcBorders>
            <w:vAlign w:val="top"/>
          </w:tcPr>
          <w:p w14:paraId="06751132">
            <w:pPr>
              <w:pStyle w:val="6"/>
              <w:spacing w:before="84" w:line="218" w:lineRule="auto"/>
              <w:ind w:left="715"/>
              <w:rPr>
                <w:sz w:val="18"/>
                <w:szCs w:val="18"/>
              </w:rPr>
            </w:pPr>
            <w:r>
              <w:rPr>
                <w:spacing w:val="-1"/>
                <w:sz w:val="18"/>
                <w:szCs w:val="18"/>
              </w:rPr>
              <w:t>JL-042-****-###</w:t>
            </w:r>
          </w:p>
        </w:tc>
      </w:tr>
      <w:tr w14:paraId="0EDB4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40" w:type="dxa"/>
            <w:tcBorders>
              <w:left w:val="nil"/>
            </w:tcBorders>
            <w:vAlign w:val="top"/>
          </w:tcPr>
          <w:p w14:paraId="23654F44">
            <w:pPr>
              <w:pStyle w:val="6"/>
              <w:spacing w:before="131" w:line="184" w:lineRule="auto"/>
              <w:ind w:left="380"/>
              <w:rPr>
                <w:sz w:val="18"/>
                <w:szCs w:val="18"/>
              </w:rPr>
            </w:pPr>
            <w:r>
              <w:rPr>
                <w:spacing w:val="-3"/>
                <w:sz w:val="18"/>
                <w:szCs w:val="18"/>
              </w:rPr>
              <w:t>31</w:t>
            </w:r>
          </w:p>
        </w:tc>
        <w:tc>
          <w:tcPr>
            <w:tcW w:w="2080" w:type="dxa"/>
            <w:vMerge w:val="continue"/>
            <w:tcBorders>
              <w:top w:val="nil"/>
            </w:tcBorders>
            <w:vAlign w:val="top"/>
          </w:tcPr>
          <w:p w14:paraId="5A2EF0C3">
            <w:pPr>
              <w:rPr>
                <w:rFonts w:ascii="Arial"/>
                <w:sz w:val="21"/>
              </w:rPr>
            </w:pPr>
          </w:p>
        </w:tc>
        <w:tc>
          <w:tcPr>
            <w:tcW w:w="2499" w:type="dxa"/>
            <w:vAlign w:val="top"/>
          </w:tcPr>
          <w:p w14:paraId="4AFA685A">
            <w:pPr>
              <w:pStyle w:val="6"/>
              <w:spacing w:before="84" w:line="218" w:lineRule="auto"/>
              <w:ind w:left="884"/>
              <w:rPr>
                <w:sz w:val="18"/>
                <w:szCs w:val="18"/>
              </w:rPr>
            </w:pPr>
            <w:r>
              <w:rPr>
                <w:spacing w:val="-2"/>
                <w:sz w:val="18"/>
                <w:szCs w:val="18"/>
              </w:rPr>
              <w:t>验收报告</w:t>
            </w:r>
          </w:p>
        </w:tc>
        <w:tc>
          <w:tcPr>
            <w:tcW w:w="2800" w:type="dxa"/>
            <w:tcBorders>
              <w:right w:val="nil"/>
            </w:tcBorders>
            <w:vAlign w:val="top"/>
          </w:tcPr>
          <w:p w14:paraId="750947C9">
            <w:pPr>
              <w:pStyle w:val="6"/>
              <w:spacing w:before="84" w:line="218" w:lineRule="auto"/>
              <w:ind w:left="715"/>
              <w:rPr>
                <w:sz w:val="18"/>
                <w:szCs w:val="18"/>
              </w:rPr>
            </w:pPr>
            <w:r>
              <w:rPr>
                <w:spacing w:val="-1"/>
                <w:sz w:val="18"/>
                <w:szCs w:val="18"/>
              </w:rPr>
              <w:t>JL-043-****-###</w:t>
            </w:r>
          </w:p>
        </w:tc>
      </w:tr>
      <w:tr w14:paraId="6EADD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40" w:type="dxa"/>
            <w:tcBorders>
              <w:left w:val="nil"/>
            </w:tcBorders>
            <w:vAlign w:val="top"/>
          </w:tcPr>
          <w:p w14:paraId="3A7C4870">
            <w:pPr>
              <w:pStyle w:val="6"/>
              <w:spacing w:before="133" w:line="183" w:lineRule="auto"/>
              <w:ind w:left="380"/>
              <w:rPr>
                <w:sz w:val="18"/>
                <w:szCs w:val="18"/>
              </w:rPr>
            </w:pPr>
            <w:r>
              <w:rPr>
                <w:spacing w:val="-3"/>
                <w:sz w:val="18"/>
                <w:szCs w:val="18"/>
              </w:rPr>
              <w:t>32</w:t>
            </w:r>
          </w:p>
        </w:tc>
        <w:tc>
          <w:tcPr>
            <w:tcW w:w="2080" w:type="dxa"/>
            <w:vMerge w:val="restart"/>
            <w:tcBorders>
              <w:bottom w:val="nil"/>
            </w:tcBorders>
            <w:vAlign w:val="top"/>
          </w:tcPr>
          <w:p w14:paraId="01D5470F">
            <w:pPr>
              <w:pStyle w:val="6"/>
              <w:spacing w:before="257" w:line="219" w:lineRule="auto"/>
              <w:ind w:left="224"/>
              <w:rPr>
                <w:sz w:val="18"/>
                <w:szCs w:val="18"/>
              </w:rPr>
            </w:pPr>
            <w:r>
              <w:rPr>
                <w:spacing w:val="1"/>
                <w:sz w:val="18"/>
                <w:szCs w:val="18"/>
              </w:rPr>
              <w:t>缺陷责任期监理文档</w:t>
            </w:r>
          </w:p>
        </w:tc>
        <w:tc>
          <w:tcPr>
            <w:tcW w:w="2499" w:type="dxa"/>
            <w:vAlign w:val="top"/>
          </w:tcPr>
          <w:p w14:paraId="21E9B198">
            <w:pPr>
              <w:pStyle w:val="6"/>
              <w:spacing w:before="87" w:line="219" w:lineRule="auto"/>
              <w:ind w:left="255"/>
              <w:rPr>
                <w:sz w:val="18"/>
                <w:szCs w:val="18"/>
              </w:rPr>
            </w:pPr>
            <w:r>
              <w:rPr>
                <w:spacing w:val="-1"/>
                <w:sz w:val="18"/>
                <w:szCs w:val="18"/>
              </w:rPr>
              <w:t>项目各阶段培训检查记录</w:t>
            </w:r>
          </w:p>
        </w:tc>
        <w:tc>
          <w:tcPr>
            <w:tcW w:w="2800" w:type="dxa"/>
            <w:tcBorders>
              <w:right w:val="nil"/>
            </w:tcBorders>
            <w:vAlign w:val="top"/>
          </w:tcPr>
          <w:p w14:paraId="4F692FEA">
            <w:pPr>
              <w:pStyle w:val="6"/>
              <w:spacing w:before="85" w:line="218" w:lineRule="auto"/>
              <w:ind w:left="715"/>
              <w:rPr>
                <w:sz w:val="18"/>
                <w:szCs w:val="18"/>
              </w:rPr>
            </w:pPr>
            <w:r>
              <w:rPr>
                <w:spacing w:val="-1"/>
                <w:sz w:val="18"/>
                <w:szCs w:val="18"/>
              </w:rPr>
              <w:t>JL-051-****-###</w:t>
            </w:r>
          </w:p>
        </w:tc>
      </w:tr>
      <w:tr w14:paraId="5E3AB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940" w:type="dxa"/>
            <w:tcBorders>
              <w:left w:val="nil"/>
            </w:tcBorders>
            <w:vAlign w:val="top"/>
          </w:tcPr>
          <w:p w14:paraId="0AF9C4F8">
            <w:pPr>
              <w:pStyle w:val="6"/>
              <w:spacing w:before="133" w:line="183" w:lineRule="auto"/>
              <w:ind w:left="380"/>
              <w:rPr>
                <w:sz w:val="18"/>
                <w:szCs w:val="18"/>
              </w:rPr>
            </w:pPr>
            <w:r>
              <w:rPr>
                <w:spacing w:val="-3"/>
                <w:sz w:val="18"/>
                <w:szCs w:val="18"/>
              </w:rPr>
              <w:t>33</w:t>
            </w:r>
          </w:p>
        </w:tc>
        <w:tc>
          <w:tcPr>
            <w:tcW w:w="2080" w:type="dxa"/>
            <w:vMerge w:val="continue"/>
            <w:tcBorders>
              <w:top w:val="nil"/>
            </w:tcBorders>
            <w:vAlign w:val="top"/>
          </w:tcPr>
          <w:p w14:paraId="3081E1F1">
            <w:pPr>
              <w:rPr>
                <w:rFonts w:ascii="Arial"/>
                <w:sz w:val="21"/>
              </w:rPr>
            </w:pPr>
          </w:p>
        </w:tc>
        <w:tc>
          <w:tcPr>
            <w:tcW w:w="2499" w:type="dxa"/>
            <w:vAlign w:val="top"/>
          </w:tcPr>
          <w:p w14:paraId="77255F55">
            <w:pPr>
              <w:pStyle w:val="6"/>
              <w:spacing w:before="87" w:line="219" w:lineRule="auto"/>
              <w:ind w:left="344"/>
              <w:rPr>
                <w:sz w:val="18"/>
                <w:szCs w:val="18"/>
              </w:rPr>
            </w:pPr>
            <w:r>
              <w:rPr>
                <w:spacing w:val="-1"/>
                <w:sz w:val="18"/>
                <w:szCs w:val="18"/>
              </w:rPr>
              <w:t>缺陷责任期服务检查表</w:t>
            </w:r>
          </w:p>
        </w:tc>
        <w:tc>
          <w:tcPr>
            <w:tcW w:w="2800" w:type="dxa"/>
            <w:tcBorders>
              <w:right w:val="nil"/>
            </w:tcBorders>
            <w:vAlign w:val="top"/>
          </w:tcPr>
          <w:p w14:paraId="6A040970">
            <w:pPr>
              <w:pStyle w:val="6"/>
              <w:spacing w:before="85" w:line="218" w:lineRule="auto"/>
              <w:ind w:left="715"/>
              <w:rPr>
                <w:sz w:val="18"/>
                <w:szCs w:val="18"/>
              </w:rPr>
            </w:pPr>
            <w:r>
              <w:rPr>
                <w:spacing w:val="-1"/>
                <w:sz w:val="18"/>
                <w:szCs w:val="18"/>
              </w:rPr>
              <w:t>JL-052-****-###</w:t>
            </w:r>
          </w:p>
        </w:tc>
      </w:tr>
    </w:tbl>
    <w:p w14:paraId="33FA4910">
      <w:pPr>
        <w:pStyle w:val="2"/>
        <w:spacing w:before="168" w:line="222" w:lineRule="auto"/>
        <w:ind w:left="402"/>
        <w:rPr>
          <w:rFonts w:ascii="黑体" w:hAnsi="黑体" w:eastAsia="黑体" w:cs="黑体"/>
          <w:sz w:val="19"/>
          <w:szCs w:val="19"/>
        </w:rPr>
      </w:pPr>
      <w:r>
        <w:rPr>
          <w:b/>
          <w:bCs/>
          <w:color w:val="0081D8"/>
          <w:spacing w:val="10"/>
          <w:sz w:val="19"/>
          <w:szCs w:val="19"/>
        </w:rPr>
        <w:t>2.</w:t>
      </w:r>
      <w:r>
        <w:rPr>
          <w:rFonts w:ascii="黑体" w:hAnsi="黑体" w:eastAsia="黑体" w:cs="黑体"/>
          <w:b/>
          <w:bCs/>
          <w:color w:val="0081D8"/>
          <w:spacing w:val="10"/>
          <w:sz w:val="19"/>
          <w:szCs w:val="19"/>
        </w:rPr>
        <w:t>监理工作控制文档</w:t>
      </w:r>
    </w:p>
    <w:p w14:paraId="67203431">
      <w:pPr>
        <w:pStyle w:val="2"/>
        <w:spacing w:before="145" w:line="289" w:lineRule="auto"/>
        <w:ind w:right="217" w:firstLine="399"/>
        <w:rPr>
          <w:sz w:val="19"/>
          <w:szCs w:val="19"/>
        </w:rPr>
      </w:pPr>
      <w:r>
        <w:rPr>
          <w:spacing w:val="9"/>
          <w:sz w:val="19"/>
          <w:szCs w:val="19"/>
        </w:rPr>
        <w:t>工作表格是监理单位内部质量体系运行过程中的记录，序号带◆者为涉及具体项目的文件，</w:t>
      </w:r>
      <w:r>
        <w:rPr>
          <w:spacing w:val="13"/>
          <w:sz w:val="19"/>
          <w:szCs w:val="19"/>
        </w:rPr>
        <w:t xml:space="preserve"> </w:t>
      </w:r>
      <w:r>
        <w:rPr>
          <w:spacing w:val="11"/>
          <w:sz w:val="19"/>
          <w:szCs w:val="19"/>
        </w:rPr>
        <w:t>如表14-4所示。</w:t>
      </w:r>
    </w:p>
    <w:p w14:paraId="410C37D5">
      <w:pPr>
        <w:spacing w:line="289" w:lineRule="auto"/>
        <w:rPr>
          <w:sz w:val="19"/>
          <w:szCs w:val="19"/>
        </w:rPr>
        <w:sectPr>
          <w:pgSz w:w="10290" w:h="13310"/>
          <w:pgMar w:top="339" w:right="608" w:bottom="400" w:left="1090" w:header="0" w:footer="0" w:gutter="0"/>
          <w:cols w:space="720" w:num="1"/>
        </w:sectPr>
      </w:pPr>
    </w:p>
    <w:p w14:paraId="1C238712">
      <w:pPr>
        <w:pStyle w:val="2"/>
        <w:rPr>
          <w:sz w:val="18"/>
          <w:szCs w:val="18"/>
        </w:rPr>
      </w:pPr>
      <w:r>
        <w:rPr>
          <w:rFonts w:ascii="Times New Roman" w:hAnsi="Times New Roman" w:eastAsia="Times New Roman" w:cs="Times New Roman"/>
          <w:spacing w:val="10"/>
          <w:position w:val="-2"/>
          <w:sz w:val="22"/>
          <w:szCs w:val="22"/>
        </w:rPr>
        <w:t xml:space="preserve">344 </w:t>
      </w:r>
      <w:r>
        <w:rPr>
          <w:position w:val="-11"/>
          <w:sz w:val="22"/>
          <w:szCs w:val="22"/>
        </w:rPr>
        <w:drawing>
          <wp:inline distT="0" distB="0" distL="0" distR="0">
            <wp:extent cx="285750" cy="25400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214"/>
                    <a:stretch>
                      <a:fillRect/>
                    </a:stretch>
                  </pic:blipFill>
                  <pic:spPr>
                    <a:xfrm>
                      <a:off x="0" y="0"/>
                      <a:ext cx="285754" cy="254031"/>
                    </a:xfrm>
                    <a:prstGeom prst="rect">
                      <a:avLst/>
                    </a:prstGeom>
                  </pic:spPr>
                </pic:pic>
              </a:graphicData>
            </a:graphic>
          </wp:inline>
        </w:drawing>
      </w:r>
      <w:r>
        <w:rPr>
          <w:rFonts w:ascii="Times New Roman" w:hAnsi="Times New Roman" w:eastAsia="Times New Roman" w:cs="Times New Roman"/>
          <w:spacing w:val="26"/>
          <w:w w:val="101"/>
          <w:position w:val="-2"/>
          <w:sz w:val="22"/>
          <w:szCs w:val="22"/>
        </w:rPr>
        <w:t xml:space="preserve">  </w:t>
      </w:r>
      <w:r>
        <w:rPr>
          <w:spacing w:val="10"/>
          <w:sz w:val="18"/>
          <w:szCs w:val="18"/>
        </w:rPr>
        <w:t>信息系统监理师教程(第2版)</w:t>
      </w:r>
    </w:p>
    <w:p w14:paraId="4C67BAE1">
      <w:pPr>
        <w:spacing w:line="293" w:lineRule="auto"/>
        <w:rPr>
          <w:rFonts w:ascii="Arial"/>
          <w:sz w:val="21"/>
        </w:rPr>
      </w:pPr>
    </w:p>
    <w:p w14:paraId="4111E429">
      <w:pPr>
        <w:spacing w:before="58" w:line="222" w:lineRule="auto"/>
        <w:ind w:left="3252"/>
        <w:rPr>
          <w:rFonts w:ascii="黑体" w:hAnsi="黑体" w:eastAsia="黑体" w:cs="黑体"/>
          <w:sz w:val="18"/>
          <w:szCs w:val="18"/>
        </w:rPr>
      </w:pPr>
      <w:bookmarkStart w:id="661" w:name="bookmark646"/>
      <w:bookmarkEnd w:id="661"/>
      <w:r>
        <w:rPr>
          <w:rFonts w:ascii="黑体" w:hAnsi="黑体" w:eastAsia="黑体" w:cs="黑体"/>
          <w:b/>
          <w:bCs/>
          <w:spacing w:val="-1"/>
          <w:sz w:val="18"/>
          <w:szCs w:val="18"/>
        </w:rPr>
        <w:t>表14-4</w:t>
      </w:r>
      <w:r>
        <w:rPr>
          <w:rFonts w:ascii="黑体" w:hAnsi="黑体" w:eastAsia="黑体" w:cs="黑体"/>
          <w:spacing w:val="79"/>
          <w:w w:val="101"/>
          <w:sz w:val="18"/>
          <w:szCs w:val="18"/>
        </w:rPr>
        <w:t xml:space="preserve"> </w:t>
      </w:r>
      <w:r>
        <w:rPr>
          <w:rFonts w:ascii="黑体" w:hAnsi="黑体" w:eastAsia="黑体" w:cs="黑体"/>
          <w:b/>
          <w:bCs/>
          <w:spacing w:val="-1"/>
          <w:sz w:val="18"/>
          <w:szCs w:val="18"/>
        </w:rPr>
        <w:t>监理工作控制文档列表</w:t>
      </w:r>
    </w:p>
    <w:p w14:paraId="27AFA6FE">
      <w:pPr>
        <w:spacing w:line="104" w:lineRule="exact"/>
      </w:pPr>
    </w:p>
    <w:tbl>
      <w:tblPr>
        <w:tblStyle w:val="5"/>
        <w:tblW w:w="8329" w:type="dxa"/>
        <w:tblInd w:w="3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0"/>
        <w:gridCol w:w="3509"/>
        <w:gridCol w:w="3670"/>
      </w:tblGrid>
      <w:tr w14:paraId="0D6FB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150" w:type="dxa"/>
            <w:tcBorders>
              <w:left w:val="nil"/>
            </w:tcBorders>
            <w:vAlign w:val="top"/>
          </w:tcPr>
          <w:p w14:paraId="219D0C70">
            <w:pPr>
              <w:pStyle w:val="6"/>
              <w:spacing w:before="81" w:line="221" w:lineRule="auto"/>
              <w:ind w:left="382"/>
            </w:pPr>
            <w:r>
              <w:rPr>
                <w:b/>
                <w:bCs/>
                <w:spacing w:val="-4"/>
              </w:rPr>
              <w:t>序号</w:t>
            </w:r>
          </w:p>
        </w:tc>
        <w:tc>
          <w:tcPr>
            <w:tcW w:w="3509" w:type="dxa"/>
            <w:vAlign w:val="top"/>
          </w:tcPr>
          <w:p w14:paraId="1D69B3C9">
            <w:pPr>
              <w:pStyle w:val="6"/>
              <w:spacing w:before="80" w:line="219" w:lineRule="auto"/>
              <w:ind w:left="927"/>
            </w:pPr>
            <w:r>
              <w:rPr>
                <w:b/>
                <w:bCs/>
                <w:spacing w:val="1"/>
              </w:rPr>
              <w:t>工作表格名(含编号)</w:t>
            </w:r>
          </w:p>
        </w:tc>
        <w:tc>
          <w:tcPr>
            <w:tcW w:w="3670" w:type="dxa"/>
            <w:tcBorders>
              <w:right w:val="nil"/>
            </w:tcBorders>
            <w:vAlign w:val="top"/>
          </w:tcPr>
          <w:p w14:paraId="7783B506">
            <w:pPr>
              <w:pStyle w:val="6"/>
              <w:spacing w:before="80" w:line="219" w:lineRule="auto"/>
              <w:ind w:left="1478"/>
            </w:pPr>
            <w:r>
              <w:rPr>
                <w:b/>
                <w:bCs/>
                <w:spacing w:val="-4"/>
              </w:rPr>
              <w:t>文件类别</w:t>
            </w:r>
          </w:p>
        </w:tc>
      </w:tr>
      <w:tr w14:paraId="4E58F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6E95B0D1">
            <w:pPr>
              <w:pStyle w:val="6"/>
              <w:spacing w:before="126" w:line="184" w:lineRule="auto"/>
              <w:ind w:left="519"/>
            </w:pPr>
            <w:r>
              <w:t>1</w:t>
            </w:r>
          </w:p>
        </w:tc>
        <w:tc>
          <w:tcPr>
            <w:tcW w:w="3509" w:type="dxa"/>
            <w:vAlign w:val="top"/>
          </w:tcPr>
          <w:p w14:paraId="45F18311">
            <w:pPr>
              <w:pStyle w:val="6"/>
              <w:spacing w:before="78" w:line="219" w:lineRule="auto"/>
              <w:ind w:left="44"/>
            </w:pPr>
            <w:r>
              <w:rPr>
                <w:spacing w:val="3"/>
              </w:rPr>
              <w:t>发放/回收登记表(</w:t>
            </w:r>
            <w:r>
              <w:t>ZD</w:t>
            </w:r>
            <w:r>
              <w:rPr>
                <w:spacing w:val="3"/>
              </w:rPr>
              <w:t>-001)</w:t>
            </w:r>
          </w:p>
        </w:tc>
        <w:tc>
          <w:tcPr>
            <w:tcW w:w="3670" w:type="dxa"/>
            <w:tcBorders>
              <w:right w:val="nil"/>
            </w:tcBorders>
            <w:vAlign w:val="top"/>
          </w:tcPr>
          <w:p w14:paraId="4264A3A5">
            <w:pPr>
              <w:pStyle w:val="6"/>
              <w:spacing w:before="78" w:line="219" w:lineRule="auto"/>
              <w:ind w:left="35"/>
            </w:pPr>
            <w:r>
              <w:rPr>
                <w:spacing w:val="1"/>
              </w:rPr>
              <w:t>文件控制程序</w:t>
            </w:r>
          </w:p>
        </w:tc>
      </w:tr>
      <w:tr w14:paraId="21C7A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359736DE">
            <w:pPr>
              <w:pStyle w:val="6"/>
              <w:spacing w:before="127" w:line="183" w:lineRule="auto"/>
              <w:ind w:left="519"/>
            </w:pPr>
            <w:r>
              <w:t>2</w:t>
            </w:r>
          </w:p>
        </w:tc>
        <w:tc>
          <w:tcPr>
            <w:tcW w:w="3509" w:type="dxa"/>
            <w:vAlign w:val="top"/>
          </w:tcPr>
          <w:p w14:paraId="56F93D18">
            <w:pPr>
              <w:pStyle w:val="6"/>
              <w:spacing w:before="78" w:line="219" w:lineRule="auto"/>
              <w:ind w:left="44"/>
            </w:pPr>
            <w:r>
              <w:rPr>
                <w:spacing w:val="3"/>
              </w:rPr>
              <w:t>文件补领单(</w:t>
            </w:r>
            <w:r>
              <w:t>ZD</w:t>
            </w:r>
            <w:r>
              <w:rPr>
                <w:spacing w:val="3"/>
              </w:rPr>
              <w:t>-002)</w:t>
            </w:r>
          </w:p>
        </w:tc>
        <w:tc>
          <w:tcPr>
            <w:tcW w:w="3670" w:type="dxa"/>
            <w:tcBorders>
              <w:right w:val="nil"/>
            </w:tcBorders>
            <w:vAlign w:val="top"/>
          </w:tcPr>
          <w:p w14:paraId="2FB79544">
            <w:pPr>
              <w:pStyle w:val="6"/>
              <w:spacing w:before="78" w:line="219" w:lineRule="auto"/>
              <w:ind w:left="35"/>
            </w:pPr>
            <w:r>
              <w:rPr>
                <w:spacing w:val="1"/>
              </w:rPr>
              <w:t>文件控制程序</w:t>
            </w:r>
          </w:p>
        </w:tc>
      </w:tr>
      <w:tr w14:paraId="487FB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50" w:type="dxa"/>
            <w:tcBorders>
              <w:left w:val="nil"/>
            </w:tcBorders>
            <w:vAlign w:val="top"/>
          </w:tcPr>
          <w:p w14:paraId="013ABE87">
            <w:pPr>
              <w:pStyle w:val="6"/>
              <w:spacing w:before="117" w:line="183" w:lineRule="auto"/>
              <w:ind w:left="519"/>
            </w:pPr>
            <w:r>
              <w:t>3</w:t>
            </w:r>
          </w:p>
        </w:tc>
        <w:tc>
          <w:tcPr>
            <w:tcW w:w="3509" w:type="dxa"/>
            <w:vAlign w:val="top"/>
          </w:tcPr>
          <w:p w14:paraId="48AD21ED">
            <w:pPr>
              <w:pStyle w:val="6"/>
              <w:spacing w:before="68" w:line="219" w:lineRule="auto"/>
              <w:ind w:left="44"/>
            </w:pPr>
            <w:r>
              <w:rPr>
                <w:spacing w:val="3"/>
              </w:rPr>
              <w:t>受控文件清单(</w:t>
            </w:r>
            <w:r>
              <w:t>ZD</w:t>
            </w:r>
            <w:r>
              <w:rPr>
                <w:spacing w:val="3"/>
              </w:rPr>
              <w:t>-003)</w:t>
            </w:r>
          </w:p>
        </w:tc>
        <w:tc>
          <w:tcPr>
            <w:tcW w:w="3670" w:type="dxa"/>
            <w:tcBorders>
              <w:right w:val="nil"/>
            </w:tcBorders>
            <w:vAlign w:val="top"/>
          </w:tcPr>
          <w:p w14:paraId="41DA47B2">
            <w:pPr>
              <w:pStyle w:val="6"/>
              <w:spacing w:before="68" w:line="219" w:lineRule="auto"/>
              <w:ind w:left="35"/>
            </w:pPr>
            <w:r>
              <w:rPr>
                <w:spacing w:val="1"/>
              </w:rPr>
              <w:t>文件控制程序</w:t>
            </w:r>
          </w:p>
        </w:tc>
      </w:tr>
      <w:tr w14:paraId="1A9EF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5260870E">
            <w:pPr>
              <w:pStyle w:val="6"/>
              <w:spacing w:before="128" w:line="183" w:lineRule="auto"/>
              <w:ind w:left="519"/>
            </w:pPr>
            <w:r>
              <w:t>4</w:t>
            </w:r>
          </w:p>
        </w:tc>
        <w:tc>
          <w:tcPr>
            <w:tcW w:w="3509" w:type="dxa"/>
            <w:vAlign w:val="top"/>
          </w:tcPr>
          <w:p w14:paraId="56B89487">
            <w:pPr>
              <w:pStyle w:val="6"/>
              <w:spacing w:before="79" w:line="219" w:lineRule="auto"/>
              <w:ind w:left="44"/>
            </w:pPr>
            <w:r>
              <w:rPr>
                <w:spacing w:val="3"/>
              </w:rPr>
              <w:t>文件更改申请单(</w:t>
            </w:r>
            <w:r>
              <w:t>ZD</w:t>
            </w:r>
            <w:r>
              <w:rPr>
                <w:spacing w:val="3"/>
              </w:rPr>
              <w:t>-004)</w:t>
            </w:r>
          </w:p>
        </w:tc>
        <w:tc>
          <w:tcPr>
            <w:tcW w:w="3670" w:type="dxa"/>
            <w:tcBorders>
              <w:right w:val="nil"/>
            </w:tcBorders>
            <w:vAlign w:val="top"/>
          </w:tcPr>
          <w:p w14:paraId="08AEACD6">
            <w:pPr>
              <w:pStyle w:val="6"/>
              <w:spacing w:before="79" w:line="219" w:lineRule="auto"/>
              <w:ind w:left="35"/>
            </w:pPr>
            <w:r>
              <w:rPr>
                <w:spacing w:val="1"/>
              </w:rPr>
              <w:t>文件控制程序</w:t>
            </w:r>
          </w:p>
        </w:tc>
      </w:tr>
      <w:tr w14:paraId="17CA7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08F08387">
            <w:pPr>
              <w:pStyle w:val="6"/>
              <w:spacing w:before="129" w:line="182" w:lineRule="auto"/>
              <w:ind w:left="519"/>
            </w:pPr>
            <w:r>
              <w:t>5</w:t>
            </w:r>
          </w:p>
        </w:tc>
        <w:tc>
          <w:tcPr>
            <w:tcW w:w="3509" w:type="dxa"/>
            <w:vAlign w:val="top"/>
          </w:tcPr>
          <w:p w14:paraId="0DE666E1">
            <w:pPr>
              <w:pStyle w:val="6"/>
              <w:spacing w:before="79" w:line="219" w:lineRule="auto"/>
              <w:ind w:left="44"/>
            </w:pPr>
            <w:r>
              <w:rPr>
                <w:spacing w:val="3"/>
              </w:rPr>
              <w:t>文件更改通知单(</w:t>
            </w:r>
            <w:r>
              <w:t>ZD</w:t>
            </w:r>
            <w:r>
              <w:rPr>
                <w:spacing w:val="3"/>
              </w:rPr>
              <w:t>-005)</w:t>
            </w:r>
          </w:p>
        </w:tc>
        <w:tc>
          <w:tcPr>
            <w:tcW w:w="3670" w:type="dxa"/>
            <w:tcBorders>
              <w:right w:val="nil"/>
            </w:tcBorders>
            <w:vAlign w:val="top"/>
          </w:tcPr>
          <w:p w14:paraId="26E5FA51">
            <w:pPr>
              <w:pStyle w:val="6"/>
              <w:spacing w:before="79" w:line="219" w:lineRule="auto"/>
              <w:ind w:left="35"/>
            </w:pPr>
            <w:r>
              <w:rPr>
                <w:spacing w:val="1"/>
              </w:rPr>
              <w:t>文件控制程序</w:t>
            </w:r>
          </w:p>
        </w:tc>
      </w:tr>
      <w:tr w14:paraId="561DE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5B5A3FA1">
            <w:pPr>
              <w:pStyle w:val="6"/>
              <w:spacing w:before="128" w:line="183" w:lineRule="auto"/>
              <w:ind w:left="519"/>
            </w:pPr>
            <w:r>
              <w:t>6</w:t>
            </w:r>
          </w:p>
        </w:tc>
        <w:tc>
          <w:tcPr>
            <w:tcW w:w="3509" w:type="dxa"/>
            <w:vAlign w:val="top"/>
          </w:tcPr>
          <w:p w14:paraId="4E18BC5E">
            <w:pPr>
              <w:pStyle w:val="6"/>
              <w:spacing w:before="79" w:line="219" w:lineRule="auto"/>
              <w:ind w:left="44"/>
            </w:pPr>
            <w:r>
              <w:rPr>
                <w:spacing w:val="3"/>
              </w:rPr>
              <w:t>作废文件登记表(</w:t>
            </w:r>
            <w:r>
              <w:t>ZD</w:t>
            </w:r>
            <w:r>
              <w:rPr>
                <w:spacing w:val="3"/>
              </w:rPr>
              <w:t>-006)</w:t>
            </w:r>
          </w:p>
        </w:tc>
        <w:tc>
          <w:tcPr>
            <w:tcW w:w="3670" w:type="dxa"/>
            <w:tcBorders>
              <w:right w:val="nil"/>
            </w:tcBorders>
            <w:vAlign w:val="top"/>
          </w:tcPr>
          <w:p w14:paraId="64232929">
            <w:pPr>
              <w:pStyle w:val="6"/>
              <w:spacing w:before="79" w:line="219" w:lineRule="auto"/>
              <w:ind w:left="35"/>
            </w:pPr>
            <w:r>
              <w:rPr>
                <w:spacing w:val="1"/>
              </w:rPr>
              <w:t>文件控制程序</w:t>
            </w:r>
          </w:p>
        </w:tc>
      </w:tr>
      <w:tr w14:paraId="16DDF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30ABC9A5">
            <w:pPr>
              <w:pStyle w:val="6"/>
              <w:spacing w:before="129" w:line="182" w:lineRule="auto"/>
              <w:ind w:left="519"/>
            </w:pPr>
            <w:r>
              <w:t>7</w:t>
            </w:r>
          </w:p>
        </w:tc>
        <w:tc>
          <w:tcPr>
            <w:tcW w:w="3509" w:type="dxa"/>
            <w:vAlign w:val="top"/>
          </w:tcPr>
          <w:p w14:paraId="5A77E3F8">
            <w:pPr>
              <w:pStyle w:val="6"/>
              <w:spacing w:before="79" w:line="219" w:lineRule="auto"/>
              <w:ind w:left="44"/>
            </w:pPr>
            <w:r>
              <w:rPr>
                <w:spacing w:val="3"/>
              </w:rPr>
              <w:t>文件更改清单(</w:t>
            </w:r>
            <w:r>
              <w:t>ZD</w:t>
            </w:r>
            <w:r>
              <w:rPr>
                <w:spacing w:val="3"/>
              </w:rPr>
              <w:t>-007)</w:t>
            </w:r>
          </w:p>
        </w:tc>
        <w:tc>
          <w:tcPr>
            <w:tcW w:w="3670" w:type="dxa"/>
            <w:tcBorders>
              <w:right w:val="nil"/>
            </w:tcBorders>
            <w:vAlign w:val="top"/>
          </w:tcPr>
          <w:p w14:paraId="7B4B4924">
            <w:pPr>
              <w:pStyle w:val="6"/>
              <w:spacing w:before="79" w:line="219" w:lineRule="auto"/>
              <w:ind w:left="35"/>
            </w:pPr>
            <w:r>
              <w:rPr>
                <w:spacing w:val="1"/>
              </w:rPr>
              <w:t>文件控制程序</w:t>
            </w:r>
          </w:p>
        </w:tc>
      </w:tr>
      <w:tr w14:paraId="1F751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4353DDA7">
            <w:pPr>
              <w:pStyle w:val="6"/>
              <w:spacing w:before="128" w:line="183" w:lineRule="auto"/>
              <w:ind w:left="519"/>
            </w:pPr>
            <w:r>
              <w:t>8</w:t>
            </w:r>
          </w:p>
        </w:tc>
        <w:tc>
          <w:tcPr>
            <w:tcW w:w="3509" w:type="dxa"/>
            <w:vAlign w:val="top"/>
          </w:tcPr>
          <w:p w14:paraId="2A443B67">
            <w:pPr>
              <w:pStyle w:val="6"/>
              <w:spacing w:before="79" w:line="219" w:lineRule="auto"/>
              <w:ind w:left="44"/>
            </w:pPr>
            <w:r>
              <w:rPr>
                <w:spacing w:val="3"/>
              </w:rPr>
              <w:t>文件批阅单(</w:t>
            </w:r>
            <w:r>
              <w:t>ZD</w:t>
            </w:r>
            <w:r>
              <w:rPr>
                <w:spacing w:val="3"/>
              </w:rPr>
              <w:t>-008)</w:t>
            </w:r>
          </w:p>
        </w:tc>
        <w:tc>
          <w:tcPr>
            <w:tcW w:w="3670" w:type="dxa"/>
            <w:tcBorders>
              <w:right w:val="nil"/>
            </w:tcBorders>
            <w:vAlign w:val="top"/>
          </w:tcPr>
          <w:p w14:paraId="4B2C1846">
            <w:pPr>
              <w:pStyle w:val="6"/>
              <w:spacing w:before="79" w:line="219" w:lineRule="auto"/>
              <w:ind w:left="35"/>
            </w:pPr>
            <w:r>
              <w:rPr>
                <w:spacing w:val="1"/>
              </w:rPr>
              <w:t>文件控制程序</w:t>
            </w:r>
          </w:p>
        </w:tc>
      </w:tr>
      <w:tr w14:paraId="6A0CF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50" w:type="dxa"/>
            <w:tcBorders>
              <w:left w:val="nil"/>
            </w:tcBorders>
            <w:vAlign w:val="top"/>
          </w:tcPr>
          <w:p w14:paraId="64012D0C">
            <w:pPr>
              <w:pStyle w:val="6"/>
              <w:spacing w:before="118" w:line="183" w:lineRule="auto"/>
              <w:ind w:left="519"/>
            </w:pPr>
            <w:r>
              <w:t>9</w:t>
            </w:r>
          </w:p>
        </w:tc>
        <w:tc>
          <w:tcPr>
            <w:tcW w:w="3509" w:type="dxa"/>
            <w:vAlign w:val="top"/>
          </w:tcPr>
          <w:p w14:paraId="7A527C3E">
            <w:pPr>
              <w:pStyle w:val="6"/>
              <w:spacing w:before="68" w:line="219" w:lineRule="auto"/>
              <w:ind w:left="44"/>
            </w:pPr>
            <w:r>
              <w:rPr>
                <w:spacing w:val="3"/>
              </w:rPr>
              <w:t>文件借阅申请表(</w:t>
            </w:r>
            <w:r>
              <w:t>ZD</w:t>
            </w:r>
            <w:r>
              <w:rPr>
                <w:spacing w:val="3"/>
              </w:rPr>
              <w:t>-009)</w:t>
            </w:r>
          </w:p>
        </w:tc>
        <w:tc>
          <w:tcPr>
            <w:tcW w:w="3670" w:type="dxa"/>
            <w:tcBorders>
              <w:right w:val="nil"/>
            </w:tcBorders>
            <w:vAlign w:val="top"/>
          </w:tcPr>
          <w:p w14:paraId="4D287815">
            <w:pPr>
              <w:pStyle w:val="6"/>
              <w:spacing w:before="69" w:line="219" w:lineRule="auto"/>
              <w:ind w:left="35"/>
            </w:pPr>
            <w:r>
              <w:rPr>
                <w:spacing w:val="1"/>
              </w:rPr>
              <w:t>文件控制程序</w:t>
            </w:r>
          </w:p>
        </w:tc>
      </w:tr>
      <w:tr w14:paraId="45593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70336E60">
            <w:pPr>
              <w:pStyle w:val="6"/>
              <w:spacing w:before="128" w:line="184" w:lineRule="auto"/>
              <w:ind w:left="479"/>
            </w:pPr>
            <w:r>
              <w:rPr>
                <w:spacing w:val="-6"/>
              </w:rPr>
              <w:t>10</w:t>
            </w:r>
          </w:p>
        </w:tc>
        <w:tc>
          <w:tcPr>
            <w:tcW w:w="3509" w:type="dxa"/>
            <w:vAlign w:val="top"/>
          </w:tcPr>
          <w:p w14:paraId="53E2ED3B">
            <w:pPr>
              <w:pStyle w:val="6"/>
              <w:spacing w:before="81" w:line="220" w:lineRule="auto"/>
              <w:ind w:left="44"/>
            </w:pPr>
            <w:r>
              <w:rPr>
                <w:spacing w:val="2"/>
              </w:rPr>
              <w:t>在用质量记录清单(</w:t>
            </w:r>
            <w:r>
              <w:t>ZD</w:t>
            </w:r>
            <w:r>
              <w:rPr>
                <w:spacing w:val="2"/>
              </w:rPr>
              <w:t>-010)</w:t>
            </w:r>
          </w:p>
        </w:tc>
        <w:tc>
          <w:tcPr>
            <w:tcW w:w="3670" w:type="dxa"/>
            <w:tcBorders>
              <w:right w:val="nil"/>
            </w:tcBorders>
            <w:vAlign w:val="top"/>
          </w:tcPr>
          <w:p w14:paraId="24029C6E">
            <w:pPr>
              <w:pStyle w:val="6"/>
              <w:spacing w:before="81" w:line="220" w:lineRule="auto"/>
              <w:ind w:left="35"/>
            </w:pPr>
            <w:r>
              <w:rPr>
                <w:spacing w:val="1"/>
              </w:rPr>
              <w:t>纪录控制程序</w:t>
            </w:r>
          </w:p>
        </w:tc>
      </w:tr>
      <w:tr w14:paraId="6BD0B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50" w:type="dxa"/>
            <w:tcBorders>
              <w:left w:val="nil"/>
            </w:tcBorders>
            <w:vAlign w:val="top"/>
          </w:tcPr>
          <w:p w14:paraId="4845153D">
            <w:pPr>
              <w:pStyle w:val="6"/>
              <w:spacing w:before="118" w:line="184" w:lineRule="auto"/>
              <w:ind w:left="479"/>
            </w:pPr>
            <w:r>
              <w:rPr>
                <w:spacing w:val="-6"/>
              </w:rPr>
              <w:t>11</w:t>
            </w:r>
          </w:p>
        </w:tc>
        <w:tc>
          <w:tcPr>
            <w:tcW w:w="3509" w:type="dxa"/>
            <w:vAlign w:val="top"/>
          </w:tcPr>
          <w:p w14:paraId="104A749E">
            <w:pPr>
              <w:pStyle w:val="6"/>
              <w:spacing w:before="70" w:line="219" w:lineRule="auto"/>
              <w:ind w:left="44"/>
            </w:pPr>
            <w:r>
              <w:rPr>
                <w:spacing w:val="2"/>
              </w:rPr>
              <w:t>质量记录归档统计表(</w:t>
            </w:r>
            <w:r>
              <w:t>ZD</w:t>
            </w:r>
            <w:r>
              <w:rPr>
                <w:spacing w:val="2"/>
              </w:rPr>
              <w:t>-011)</w:t>
            </w:r>
          </w:p>
        </w:tc>
        <w:tc>
          <w:tcPr>
            <w:tcW w:w="3670" w:type="dxa"/>
            <w:tcBorders>
              <w:right w:val="nil"/>
            </w:tcBorders>
            <w:vAlign w:val="top"/>
          </w:tcPr>
          <w:p w14:paraId="60149EF2">
            <w:pPr>
              <w:pStyle w:val="6"/>
              <w:spacing w:before="71" w:line="220" w:lineRule="auto"/>
              <w:ind w:left="35"/>
            </w:pPr>
            <w:r>
              <w:rPr>
                <w:spacing w:val="1"/>
              </w:rPr>
              <w:t>纪录控制程序</w:t>
            </w:r>
          </w:p>
        </w:tc>
      </w:tr>
      <w:tr w14:paraId="03E2D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50" w:type="dxa"/>
            <w:tcBorders>
              <w:left w:val="nil"/>
            </w:tcBorders>
            <w:vAlign w:val="top"/>
          </w:tcPr>
          <w:p w14:paraId="2C124CB5">
            <w:pPr>
              <w:pStyle w:val="6"/>
              <w:spacing w:before="118" w:line="184" w:lineRule="auto"/>
              <w:ind w:left="479"/>
            </w:pPr>
            <w:r>
              <w:rPr>
                <w:spacing w:val="-6"/>
              </w:rPr>
              <w:t>12</w:t>
            </w:r>
          </w:p>
        </w:tc>
        <w:tc>
          <w:tcPr>
            <w:tcW w:w="3509" w:type="dxa"/>
            <w:vAlign w:val="top"/>
          </w:tcPr>
          <w:p w14:paraId="64BF2983">
            <w:pPr>
              <w:pStyle w:val="6"/>
              <w:spacing w:before="71" w:line="220" w:lineRule="auto"/>
              <w:ind w:left="44"/>
            </w:pPr>
            <w:r>
              <w:rPr>
                <w:spacing w:val="2"/>
              </w:rPr>
              <w:t>质量记录销毁审批表(</w:t>
            </w:r>
            <w:r>
              <w:t>ZD</w:t>
            </w:r>
            <w:r>
              <w:rPr>
                <w:spacing w:val="2"/>
              </w:rPr>
              <w:t>-012)</w:t>
            </w:r>
          </w:p>
        </w:tc>
        <w:tc>
          <w:tcPr>
            <w:tcW w:w="3670" w:type="dxa"/>
            <w:tcBorders>
              <w:right w:val="nil"/>
            </w:tcBorders>
            <w:vAlign w:val="top"/>
          </w:tcPr>
          <w:p w14:paraId="0307BABD">
            <w:pPr>
              <w:pStyle w:val="6"/>
              <w:spacing w:before="71" w:line="220" w:lineRule="auto"/>
              <w:ind w:left="35"/>
            </w:pPr>
            <w:r>
              <w:rPr>
                <w:spacing w:val="1"/>
              </w:rPr>
              <w:t>纪录控制程序</w:t>
            </w:r>
          </w:p>
        </w:tc>
      </w:tr>
      <w:tr w14:paraId="6E9C7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50" w:type="dxa"/>
            <w:tcBorders>
              <w:left w:val="nil"/>
            </w:tcBorders>
            <w:vAlign w:val="top"/>
          </w:tcPr>
          <w:p w14:paraId="42AFD224">
            <w:pPr>
              <w:pStyle w:val="6"/>
              <w:spacing w:before="119" w:line="184" w:lineRule="auto"/>
              <w:ind w:left="479"/>
            </w:pPr>
            <w:r>
              <w:rPr>
                <w:spacing w:val="-6"/>
              </w:rPr>
              <w:t>13</w:t>
            </w:r>
          </w:p>
        </w:tc>
        <w:tc>
          <w:tcPr>
            <w:tcW w:w="3509" w:type="dxa"/>
            <w:vAlign w:val="top"/>
          </w:tcPr>
          <w:p w14:paraId="50AF211F">
            <w:pPr>
              <w:pStyle w:val="6"/>
              <w:spacing w:before="71" w:line="219" w:lineRule="auto"/>
              <w:ind w:left="44"/>
            </w:pPr>
            <w:r>
              <w:rPr>
                <w:spacing w:val="3"/>
              </w:rPr>
              <w:t>管理评审计划(</w:t>
            </w:r>
            <w:r>
              <w:t>ZD</w:t>
            </w:r>
            <w:r>
              <w:rPr>
                <w:spacing w:val="3"/>
              </w:rPr>
              <w:t>-013)</w:t>
            </w:r>
          </w:p>
        </w:tc>
        <w:tc>
          <w:tcPr>
            <w:tcW w:w="3670" w:type="dxa"/>
            <w:tcBorders>
              <w:right w:val="nil"/>
            </w:tcBorders>
            <w:vAlign w:val="top"/>
          </w:tcPr>
          <w:p w14:paraId="49097D2D">
            <w:pPr>
              <w:pStyle w:val="6"/>
              <w:spacing w:before="71" w:line="219" w:lineRule="auto"/>
              <w:ind w:left="35"/>
            </w:pPr>
            <w:r>
              <w:rPr>
                <w:spacing w:val="1"/>
              </w:rPr>
              <w:t>管理评审控制程序</w:t>
            </w:r>
          </w:p>
        </w:tc>
      </w:tr>
      <w:tr w14:paraId="35F46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150" w:type="dxa"/>
            <w:tcBorders>
              <w:left w:val="nil"/>
            </w:tcBorders>
            <w:vAlign w:val="top"/>
          </w:tcPr>
          <w:p w14:paraId="323C636B">
            <w:pPr>
              <w:pStyle w:val="6"/>
              <w:spacing w:before="129" w:line="184" w:lineRule="auto"/>
              <w:ind w:left="479"/>
            </w:pPr>
            <w:r>
              <w:rPr>
                <w:spacing w:val="-6"/>
              </w:rPr>
              <w:t>14</w:t>
            </w:r>
          </w:p>
        </w:tc>
        <w:tc>
          <w:tcPr>
            <w:tcW w:w="3509" w:type="dxa"/>
            <w:vAlign w:val="top"/>
          </w:tcPr>
          <w:p w14:paraId="64AB49A0">
            <w:pPr>
              <w:pStyle w:val="6"/>
              <w:spacing w:before="81" w:line="219" w:lineRule="auto"/>
              <w:ind w:left="44"/>
            </w:pPr>
            <w:r>
              <w:rPr>
                <w:spacing w:val="3"/>
              </w:rPr>
              <w:t>管理评审通知单(</w:t>
            </w:r>
            <w:r>
              <w:t>ZD</w:t>
            </w:r>
            <w:r>
              <w:rPr>
                <w:spacing w:val="3"/>
              </w:rPr>
              <w:t>-014)</w:t>
            </w:r>
          </w:p>
        </w:tc>
        <w:tc>
          <w:tcPr>
            <w:tcW w:w="3670" w:type="dxa"/>
            <w:tcBorders>
              <w:right w:val="nil"/>
            </w:tcBorders>
            <w:vAlign w:val="top"/>
          </w:tcPr>
          <w:p w14:paraId="576DEC93">
            <w:pPr>
              <w:pStyle w:val="6"/>
              <w:spacing w:before="81" w:line="219" w:lineRule="auto"/>
              <w:ind w:left="35"/>
            </w:pPr>
            <w:r>
              <w:rPr>
                <w:spacing w:val="1"/>
              </w:rPr>
              <w:t>管理评审控制程序</w:t>
            </w:r>
          </w:p>
        </w:tc>
      </w:tr>
      <w:tr w14:paraId="51254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50" w:type="dxa"/>
            <w:tcBorders>
              <w:left w:val="nil"/>
            </w:tcBorders>
            <w:vAlign w:val="top"/>
          </w:tcPr>
          <w:p w14:paraId="32C630EB">
            <w:pPr>
              <w:pStyle w:val="6"/>
              <w:spacing w:before="120" w:line="184" w:lineRule="auto"/>
              <w:ind w:left="479"/>
            </w:pPr>
            <w:r>
              <w:rPr>
                <w:spacing w:val="-6"/>
              </w:rPr>
              <w:t>15</w:t>
            </w:r>
          </w:p>
        </w:tc>
        <w:tc>
          <w:tcPr>
            <w:tcW w:w="3509" w:type="dxa"/>
            <w:vAlign w:val="top"/>
          </w:tcPr>
          <w:p w14:paraId="77AD54A4">
            <w:pPr>
              <w:pStyle w:val="6"/>
              <w:spacing w:before="71" w:line="219" w:lineRule="auto"/>
              <w:ind w:left="44"/>
            </w:pPr>
            <w:r>
              <w:rPr>
                <w:spacing w:val="2"/>
              </w:rPr>
              <w:t>管理评审会议纪要(</w:t>
            </w:r>
            <w:r>
              <w:t>ZD</w:t>
            </w:r>
            <w:r>
              <w:rPr>
                <w:spacing w:val="2"/>
              </w:rPr>
              <w:t>-015)</w:t>
            </w:r>
          </w:p>
        </w:tc>
        <w:tc>
          <w:tcPr>
            <w:tcW w:w="3670" w:type="dxa"/>
            <w:tcBorders>
              <w:right w:val="nil"/>
            </w:tcBorders>
            <w:vAlign w:val="top"/>
          </w:tcPr>
          <w:p w14:paraId="55462B4F">
            <w:pPr>
              <w:pStyle w:val="6"/>
              <w:spacing w:before="72" w:line="219" w:lineRule="auto"/>
              <w:ind w:left="35"/>
            </w:pPr>
            <w:r>
              <w:rPr>
                <w:spacing w:val="1"/>
              </w:rPr>
              <w:t>管理评审控制程序</w:t>
            </w:r>
          </w:p>
        </w:tc>
      </w:tr>
      <w:tr w14:paraId="23528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50" w:type="dxa"/>
            <w:tcBorders>
              <w:left w:val="nil"/>
            </w:tcBorders>
            <w:vAlign w:val="top"/>
          </w:tcPr>
          <w:p w14:paraId="70868B9A">
            <w:pPr>
              <w:pStyle w:val="6"/>
              <w:spacing w:before="120" w:line="184" w:lineRule="auto"/>
              <w:ind w:left="479"/>
            </w:pPr>
            <w:r>
              <w:rPr>
                <w:spacing w:val="-6"/>
              </w:rPr>
              <w:t>16</w:t>
            </w:r>
          </w:p>
        </w:tc>
        <w:tc>
          <w:tcPr>
            <w:tcW w:w="3509" w:type="dxa"/>
            <w:vAlign w:val="top"/>
          </w:tcPr>
          <w:p w14:paraId="27D6A4E6">
            <w:pPr>
              <w:pStyle w:val="6"/>
              <w:spacing w:before="71" w:line="218" w:lineRule="auto"/>
              <w:ind w:left="44"/>
            </w:pPr>
            <w:r>
              <w:rPr>
                <w:spacing w:val="3"/>
              </w:rPr>
              <w:t>管理评审报告(</w:t>
            </w:r>
            <w:r>
              <w:t>ZD</w:t>
            </w:r>
            <w:r>
              <w:rPr>
                <w:spacing w:val="3"/>
              </w:rPr>
              <w:t>-016)</w:t>
            </w:r>
          </w:p>
        </w:tc>
        <w:tc>
          <w:tcPr>
            <w:tcW w:w="3670" w:type="dxa"/>
            <w:tcBorders>
              <w:right w:val="nil"/>
            </w:tcBorders>
            <w:vAlign w:val="top"/>
          </w:tcPr>
          <w:p w14:paraId="1B1DE279">
            <w:pPr>
              <w:pStyle w:val="6"/>
              <w:spacing w:before="72" w:line="219" w:lineRule="auto"/>
              <w:ind w:left="35"/>
            </w:pPr>
            <w:r>
              <w:rPr>
                <w:spacing w:val="1"/>
              </w:rPr>
              <w:t>管理评审控制程序</w:t>
            </w:r>
          </w:p>
        </w:tc>
      </w:tr>
      <w:tr w14:paraId="1A0A0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50" w:type="dxa"/>
            <w:tcBorders>
              <w:left w:val="nil"/>
            </w:tcBorders>
            <w:vAlign w:val="top"/>
          </w:tcPr>
          <w:p w14:paraId="05971559">
            <w:pPr>
              <w:pStyle w:val="6"/>
              <w:spacing w:before="121" w:line="184" w:lineRule="auto"/>
              <w:ind w:left="479"/>
            </w:pPr>
            <w:r>
              <w:rPr>
                <w:spacing w:val="-6"/>
              </w:rPr>
              <w:t>17</w:t>
            </w:r>
          </w:p>
        </w:tc>
        <w:tc>
          <w:tcPr>
            <w:tcW w:w="3509" w:type="dxa"/>
            <w:vAlign w:val="top"/>
          </w:tcPr>
          <w:p w14:paraId="40EF8A79">
            <w:pPr>
              <w:pStyle w:val="6"/>
              <w:spacing w:before="73" w:line="219" w:lineRule="auto"/>
              <w:ind w:left="44"/>
            </w:pPr>
            <w:r>
              <w:rPr>
                <w:spacing w:val="3"/>
              </w:rPr>
              <w:t>年度培训计划(</w:t>
            </w:r>
            <w:r>
              <w:t>ZD</w:t>
            </w:r>
            <w:r>
              <w:rPr>
                <w:spacing w:val="3"/>
              </w:rPr>
              <w:t>-017)</w:t>
            </w:r>
          </w:p>
        </w:tc>
        <w:tc>
          <w:tcPr>
            <w:tcW w:w="3670" w:type="dxa"/>
            <w:tcBorders>
              <w:right w:val="nil"/>
            </w:tcBorders>
            <w:vAlign w:val="top"/>
          </w:tcPr>
          <w:p w14:paraId="0E023377">
            <w:pPr>
              <w:pStyle w:val="6"/>
              <w:spacing w:before="73" w:line="219" w:lineRule="auto"/>
              <w:ind w:left="35"/>
            </w:pPr>
            <w:r>
              <w:rPr>
                <w:spacing w:val="1"/>
              </w:rPr>
              <w:t>人力资源控制程序</w:t>
            </w:r>
          </w:p>
        </w:tc>
      </w:tr>
      <w:tr w14:paraId="53F61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2185754B">
            <w:pPr>
              <w:pStyle w:val="6"/>
              <w:spacing w:before="131" w:line="184" w:lineRule="auto"/>
              <w:ind w:left="479"/>
            </w:pPr>
            <w:r>
              <w:rPr>
                <w:spacing w:val="-6"/>
              </w:rPr>
              <w:t>18</w:t>
            </w:r>
          </w:p>
        </w:tc>
        <w:tc>
          <w:tcPr>
            <w:tcW w:w="3509" w:type="dxa"/>
            <w:vAlign w:val="top"/>
          </w:tcPr>
          <w:p w14:paraId="46190B92">
            <w:pPr>
              <w:pStyle w:val="6"/>
              <w:spacing w:before="84" w:line="220" w:lineRule="auto"/>
              <w:ind w:left="44"/>
            </w:pPr>
            <w:r>
              <w:rPr>
                <w:spacing w:val="3"/>
              </w:rPr>
              <w:t>培训需求表(</w:t>
            </w:r>
            <w:r>
              <w:t>ZD</w:t>
            </w:r>
            <w:r>
              <w:rPr>
                <w:spacing w:val="3"/>
              </w:rPr>
              <w:t>-018)</w:t>
            </w:r>
          </w:p>
        </w:tc>
        <w:tc>
          <w:tcPr>
            <w:tcW w:w="3670" w:type="dxa"/>
            <w:tcBorders>
              <w:right w:val="nil"/>
            </w:tcBorders>
            <w:vAlign w:val="top"/>
          </w:tcPr>
          <w:p w14:paraId="4701E96A">
            <w:pPr>
              <w:pStyle w:val="6"/>
              <w:spacing w:before="83" w:line="219" w:lineRule="auto"/>
              <w:ind w:left="35"/>
            </w:pPr>
            <w:r>
              <w:rPr>
                <w:spacing w:val="1"/>
              </w:rPr>
              <w:t>人力资源控制程序</w:t>
            </w:r>
          </w:p>
        </w:tc>
      </w:tr>
      <w:tr w14:paraId="44C77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50" w:type="dxa"/>
            <w:tcBorders>
              <w:left w:val="nil"/>
            </w:tcBorders>
            <w:vAlign w:val="top"/>
          </w:tcPr>
          <w:p w14:paraId="2D732D39">
            <w:pPr>
              <w:pStyle w:val="6"/>
              <w:spacing w:before="121" w:line="184" w:lineRule="auto"/>
              <w:ind w:left="479"/>
            </w:pPr>
            <w:r>
              <w:rPr>
                <w:spacing w:val="-6"/>
              </w:rPr>
              <w:t>19</w:t>
            </w:r>
          </w:p>
        </w:tc>
        <w:tc>
          <w:tcPr>
            <w:tcW w:w="3509" w:type="dxa"/>
            <w:vAlign w:val="top"/>
          </w:tcPr>
          <w:p w14:paraId="2AB13B3F">
            <w:pPr>
              <w:pStyle w:val="6"/>
              <w:spacing w:before="73" w:line="219" w:lineRule="auto"/>
              <w:ind w:left="44"/>
            </w:pPr>
            <w:r>
              <w:rPr>
                <w:spacing w:val="3"/>
              </w:rPr>
              <w:t>员工培训档案(</w:t>
            </w:r>
            <w:r>
              <w:t>ZD</w:t>
            </w:r>
            <w:r>
              <w:rPr>
                <w:spacing w:val="3"/>
              </w:rPr>
              <w:t>-019)</w:t>
            </w:r>
          </w:p>
        </w:tc>
        <w:tc>
          <w:tcPr>
            <w:tcW w:w="3670" w:type="dxa"/>
            <w:tcBorders>
              <w:right w:val="nil"/>
            </w:tcBorders>
            <w:vAlign w:val="top"/>
          </w:tcPr>
          <w:p w14:paraId="08397D05">
            <w:pPr>
              <w:pStyle w:val="6"/>
              <w:spacing w:before="73" w:line="219" w:lineRule="auto"/>
              <w:ind w:left="35"/>
            </w:pPr>
            <w:r>
              <w:rPr>
                <w:spacing w:val="1"/>
              </w:rPr>
              <w:t>人力资源控制程序</w:t>
            </w:r>
          </w:p>
        </w:tc>
      </w:tr>
      <w:tr w14:paraId="77BD5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50" w:type="dxa"/>
            <w:tcBorders>
              <w:left w:val="nil"/>
            </w:tcBorders>
            <w:vAlign w:val="top"/>
          </w:tcPr>
          <w:p w14:paraId="746385B7">
            <w:pPr>
              <w:pStyle w:val="6"/>
              <w:spacing w:before="122" w:line="183" w:lineRule="auto"/>
              <w:ind w:left="479"/>
            </w:pPr>
            <w:r>
              <w:rPr>
                <w:spacing w:val="-3"/>
              </w:rPr>
              <w:t>20</w:t>
            </w:r>
          </w:p>
        </w:tc>
        <w:tc>
          <w:tcPr>
            <w:tcW w:w="3509" w:type="dxa"/>
            <w:vAlign w:val="top"/>
          </w:tcPr>
          <w:p w14:paraId="5CDE4BD5">
            <w:pPr>
              <w:pStyle w:val="6"/>
              <w:spacing w:before="74" w:line="220" w:lineRule="auto"/>
              <w:ind w:left="44"/>
            </w:pPr>
            <w:r>
              <w:rPr>
                <w:spacing w:val="3"/>
              </w:rPr>
              <w:t>培训成绩汇总表(</w:t>
            </w:r>
            <w:r>
              <w:t>ZD</w:t>
            </w:r>
            <w:r>
              <w:rPr>
                <w:spacing w:val="3"/>
              </w:rPr>
              <w:t>-020)</w:t>
            </w:r>
          </w:p>
        </w:tc>
        <w:tc>
          <w:tcPr>
            <w:tcW w:w="3670" w:type="dxa"/>
            <w:tcBorders>
              <w:right w:val="nil"/>
            </w:tcBorders>
            <w:vAlign w:val="top"/>
          </w:tcPr>
          <w:p w14:paraId="0D8EDB7A">
            <w:pPr>
              <w:pStyle w:val="6"/>
              <w:spacing w:before="73" w:line="219" w:lineRule="auto"/>
              <w:ind w:left="35"/>
            </w:pPr>
            <w:r>
              <w:rPr>
                <w:spacing w:val="1"/>
              </w:rPr>
              <w:t>人力资源控制程序</w:t>
            </w:r>
          </w:p>
        </w:tc>
      </w:tr>
      <w:tr w14:paraId="22566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50" w:type="dxa"/>
            <w:tcBorders>
              <w:left w:val="nil"/>
            </w:tcBorders>
            <w:vAlign w:val="top"/>
          </w:tcPr>
          <w:p w14:paraId="2CFE4052">
            <w:pPr>
              <w:pStyle w:val="6"/>
              <w:spacing w:before="132" w:line="184" w:lineRule="auto"/>
              <w:ind w:left="479"/>
            </w:pPr>
            <w:r>
              <w:rPr>
                <w:spacing w:val="-3"/>
              </w:rPr>
              <w:t>21</w:t>
            </w:r>
          </w:p>
        </w:tc>
        <w:tc>
          <w:tcPr>
            <w:tcW w:w="3509" w:type="dxa"/>
            <w:vAlign w:val="top"/>
          </w:tcPr>
          <w:p w14:paraId="6B4D8CE8">
            <w:pPr>
              <w:pStyle w:val="6"/>
              <w:spacing w:before="83" w:line="218" w:lineRule="auto"/>
              <w:ind w:left="44"/>
            </w:pPr>
            <w:r>
              <w:rPr>
                <w:spacing w:val="3"/>
              </w:rPr>
              <w:t>培训效果评估表(</w:t>
            </w:r>
            <w:r>
              <w:t>ZD</w:t>
            </w:r>
            <w:r>
              <w:rPr>
                <w:spacing w:val="3"/>
              </w:rPr>
              <w:t>-021)</w:t>
            </w:r>
          </w:p>
        </w:tc>
        <w:tc>
          <w:tcPr>
            <w:tcW w:w="3670" w:type="dxa"/>
            <w:tcBorders>
              <w:right w:val="nil"/>
            </w:tcBorders>
            <w:vAlign w:val="top"/>
          </w:tcPr>
          <w:p w14:paraId="271C3B5C">
            <w:pPr>
              <w:pStyle w:val="6"/>
              <w:spacing w:before="84" w:line="219" w:lineRule="auto"/>
              <w:ind w:left="35"/>
            </w:pPr>
            <w:r>
              <w:rPr>
                <w:spacing w:val="1"/>
              </w:rPr>
              <w:t>人力资源控制程序</w:t>
            </w:r>
          </w:p>
        </w:tc>
      </w:tr>
      <w:tr w14:paraId="150F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150" w:type="dxa"/>
            <w:tcBorders>
              <w:left w:val="nil"/>
            </w:tcBorders>
            <w:vAlign w:val="top"/>
          </w:tcPr>
          <w:p w14:paraId="0F0D5675">
            <w:pPr>
              <w:spacing w:line="449" w:lineRule="auto"/>
              <w:rPr>
                <w:rFonts w:ascii="Arial"/>
                <w:sz w:val="21"/>
              </w:rPr>
            </w:pPr>
          </w:p>
          <w:p w14:paraId="77A49F6A">
            <w:pPr>
              <w:pStyle w:val="6"/>
              <w:spacing w:before="62" w:line="183" w:lineRule="auto"/>
              <w:ind w:left="479"/>
            </w:pPr>
            <w:r>
              <w:rPr>
                <w:spacing w:val="-3"/>
              </w:rPr>
              <w:t>22</w:t>
            </w:r>
          </w:p>
        </w:tc>
        <w:tc>
          <w:tcPr>
            <w:tcW w:w="3509" w:type="dxa"/>
            <w:vAlign w:val="top"/>
          </w:tcPr>
          <w:p w14:paraId="2A3A7D86">
            <w:pPr>
              <w:spacing w:line="399" w:lineRule="auto"/>
              <w:rPr>
                <w:rFonts w:ascii="Arial"/>
                <w:sz w:val="21"/>
              </w:rPr>
            </w:pPr>
          </w:p>
          <w:p w14:paraId="2E8611E1">
            <w:pPr>
              <w:pStyle w:val="6"/>
              <w:spacing w:before="62" w:line="219" w:lineRule="auto"/>
              <w:ind w:left="44"/>
            </w:pPr>
            <w:r>
              <w:rPr>
                <w:spacing w:val="3"/>
              </w:rPr>
              <w:t>采购申请单(</w:t>
            </w:r>
            <w:r>
              <w:t>ZD</w:t>
            </w:r>
            <w:r>
              <w:rPr>
                <w:spacing w:val="3"/>
              </w:rPr>
              <w:t>-022)</w:t>
            </w:r>
          </w:p>
        </w:tc>
        <w:tc>
          <w:tcPr>
            <w:tcW w:w="3670" w:type="dxa"/>
            <w:tcBorders>
              <w:right w:val="nil"/>
            </w:tcBorders>
            <w:vAlign w:val="top"/>
          </w:tcPr>
          <w:p w14:paraId="72088816">
            <w:pPr>
              <w:pStyle w:val="6"/>
              <w:spacing w:before="55" w:line="220" w:lineRule="auto"/>
              <w:ind w:left="35"/>
            </w:pPr>
            <w:r>
              <w:rPr>
                <w:spacing w:val="1"/>
              </w:rPr>
              <w:t>工作环境控制程序</w:t>
            </w:r>
          </w:p>
          <w:p w14:paraId="1C95A3EF">
            <w:pPr>
              <w:pStyle w:val="6"/>
              <w:spacing w:before="53" w:line="248" w:lineRule="auto"/>
              <w:ind w:left="35" w:right="26"/>
            </w:pPr>
            <w:r>
              <w:rPr>
                <w:spacing w:val="-1"/>
              </w:rPr>
              <w:t>信息系统工程监理服务设计和开发控制程序</w:t>
            </w:r>
            <w:r>
              <w:rPr>
                <w:spacing w:val="10"/>
              </w:rPr>
              <w:t xml:space="preserve"> </w:t>
            </w:r>
            <w:r>
              <w:rPr>
                <w:spacing w:val="-1"/>
              </w:rPr>
              <w:t>采购控制程序</w:t>
            </w:r>
          </w:p>
          <w:p w14:paraId="18B832B8">
            <w:pPr>
              <w:pStyle w:val="6"/>
              <w:spacing w:before="28" w:line="209" w:lineRule="auto"/>
              <w:ind w:left="35"/>
            </w:pPr>
            <w:r>
              <w:rPr>
                <w:spacing w:val="-1"/>
              </w:rPr>
              <w:t>信息系统工程监理服务提供控制程序</w:t>
            </w:r>
          </w:p>
        </w:tc>
      </w:tr>
      <w:tr w14:paraId="55F35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50" w:type="dxa"/>
            <w:tcBorders>
              <w:left w:val="nil"/>
            </w:tcBorders>
            <w:vAlign w:val="top"/>
          </w:tcPr>
          <w:p w14:paraId="7ACBA7F5">
            <w:pPr>
              <w:pStyle w:val="6"/>
              <w:spacing w:before="124" w:line="183" w:lineRule="auto"/>
              <w:ind w:left="479"/>
            </w:pPr>
            <w:r>
              <w:rPr>
                <w:spacing w:val="-3"/>
              </w:rPr>
              <w:t>23</w:t>
            </w:r>
          </w:p>
        </w:tc>
        <w:tc>
          <w:tcPr>
            <w:tcW w:w="3509" w:type="dxa"/>
            <w:vAlign w:val="top"/>
          </w:tcPr>
          <w:p w14:paraId="69C6A963">
            <w:pPr>
              <w:pStyle w:val="6"/>
              <w:spacing w:before="75" w:line="219" w:lineRule="auto"/>
              <w:ind w:left="44"/>
            </w:pPr>
            <w:r>
              <w:rPr>
                <w:spacing w:val="3"/>
              </w:rPr>
              <w:t>设施管理卡(</w:t>
            </w:r>
            <w:r>
              <w:t>ZD</w:t>
            </w:r>
            <w:r>
              <w:rPr>
                <w:spacing w:val="3"/>
              </w:rPr>
              <w:t>-023)</w:t>
            </w:r>
          </w:p>
        </w:tc>
        <w:tc>
          <w:tcPr>
            <w:tcW w:w="3670" w:type="dxa"/>
            <w:tcBorders>
              <w:right w:val="nil"/>
            </w:tcBorders>
            <w:vAlign w:val="top"/>
          </w:tcPr>
          <w:p w14:paraId="2DF6B563">
            <w:pPr>
              <w:pStyle w:val="6"/>
              <w:spacing w:before="76" w:line="220" w:lineRule="auto"/>
              <w:ind w:left="35"/>
            </w:pPr>
            <w:r>
              <w:rPr>
                <w:spacing w:val="1"/>
              </w:rPr>
              <w:t>工作环境控制程序</w:t>
            </w:r>
          </w:p>
        </w:tc>
      </w:tr>
      <w:tr w14:paraId="59B6D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50" w:type="dxa"/>
            <w:tcBorders>
              <w:left w:val="nil"/>
            </w:tcBorders>
            <w:vAlign w:val="top"/>
          </w:tcPr>
          <w:p w14:paraId="2015EBF1">
            <w:pPr>
              <w:pStyle w:val="6"/>
              <w:spacing w:before="124" w:line="183" w:lineRule="auto"/>
              <w:ind w:left="479"/>
            </w:pPr>
            <w:r>
              <w:rPr>
                <w:spacing w:val="-3"/>
              </w:rPr>
              <w:t>24</w:t>
            </w:r>
          </w:p>
        </w:tc>
        <w:tc>
          <w:tcPr>
            <w:tcW w:w="3509" w:type="dxa"/>
            <w:vAlign w:val="top"/>
          </w:tcPr>
          <w:p w14:paraId="402CB9DA">
            <w:pPr>
              <w:pStyle w:val="6"/>
              <w:spacing w:before="75" w:line="219" w:lineRule="auto"/>
              <w:ind w:left="44"/>
            </w:pPr>
            <w:r>
              <w:rPr>
                <w:spacing w:val="3"/>
              </w:rPr>
              <w:t>生产设施一览表(</w:t>
            </w:r>
            <w:r>
              <w:t>ZD</w:t>
            </w:r>
            <w:r>
              <w:rPr>
                <w:spacing w:val="3"/>
              </w:rPr>
              <w:t>-024)</w:t>
            </w:r>
          </w:p>
        </w:tc>
        <w:tc>
          <w:tcPr>
            <w:tcW w:w="3670" w:type="dxa"/>
            <w:tcBorders>
              <w:right w:val="nil"/>
            </w:tcBorders>
            <w:vAlign w:val="top"/>
          </w:tcPr>
          <w:p w14:paraId="21717D97">
            <w:pPr>
              <w:pStyle w:val="6"/>
              <w:spacing w:before="76" w:line="220" w:lineRule="auto"/>
              <w:ind w:left="35"/>
            </w:pPr>
            <w:r>
              <w:rPr>
                <w:spacing w:val="1"/>
              </w:rPr>
              <w:t>工作环境控制程序</w:t>
            </w:r>
          </w:p>
        </w:tc>
      </w:tr>
      <w:tr w14:paraId="5CE00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50" w:type="dxa"/>
            <w:tcBorders>
              <w:left w:val="nil"/>
            </w:tcBorders>
            <w:vAlign w:val="top"/>
          </w:tcPr>
          <w:p w14:paraId="3347637C">
            <w:pPr>
              <w:pStyle w:val="6"/>
              <w:spacing w:before="125" w:line="183" w:lineRule="auto"/>
              <w:ind w:left="479"/>
            </w:pPr>
            <w:r>
              <w:rPr>
                <w:spacing w:val="-3"/>
              </w:rPr>
              <w:t>25</w:t>
            </w:r>
          </w:p>
        </w:tc>
        <w:tc>
          <w:tcPr>
            <w:tcW w:w="3509" w:type="dxa"/>
            <w:vAlign w:val="top"/>
          </w:tcPr>
          <w:p w14:paraId="436E0527">
            <w:pPr>
              <w:pStyle w:val="6"/>
              <w:spacing w:before="76" w:line="219" w:lineRule="auto"/>
              <w:ind w:left="44"/>
            </w:pPr>
            <w:r>
              <w:rPr>
                <w:spacing w:val="3"/>
              </w:rPr>
              <w:t>设施检修单(</w:t>
            </w:r>
            <w:r>
              <w:t>ZD</w:t>
            </w:r>
            <w:r>
              <w:rPr>
                <w:spacing w:val="3"/>
              </w:rPr>
              <w:t>-025)</w:t>
            </w:r>
          </w:p>
        </w:tc>
        <w:tc>
          <w:tcPr>
            <w:tcW w:w="3670" w:type="dxa"/>
            <w:tcBorders>
              <w:right w:val="nil"/>
            </w:tcBorders>
            <w:vAlign w:val="top"/>
          </w:tcPr>
          <w:p w14:paraId="0064A881">
            <w:pPr>
              <w:pStyle w:val="6"/>
              <w:spacing w:before="77" w:line="220" w:lineRule="auto"/>
              <w:ind w:left="35"/>
            </w:pPr>
            <w:r>
              <w:rPr>
                <w:spacing w:val="1"/>
              </w:rPr>
              <w:t>工作环境控制程序</w:t>
            </w:r>
          </w:p>
        </w:tc>
      </w:tr>
      <w:tr w14:paraId="4BAF6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50" w:type="dxa"/>
            <w:tcBorders>
              <w:left w:val="nil"/>
            </w:tcBorders>
            <w:vAlign w:val="top"/>
          </w:tcPr>
          <w:p w14:paraId="3502F7E9">
            <w:pPr>
              <w:pStyle w:val="6"/>
              <w:spacing w:before="125" w:line="179" w:lineRule="auto"/>
              <w:ind w:left="479"/>
            </w:pPr>
            <w:r>
              <w:rPr>
                <w:spacing w:val="-3"/>
              </w:rPr>
              <w:t>26</w:t>
            </w:r>
          </w:p>
        </w:tc>
        <w:tc>
          <w:tcPr>
            <w:tcW w:w="3509" w:type="dxa"/>
            <w:vAlign w:val="top"/>
          </w:tcPr>
          <w:p w14:paraId="4B6BB8E3">
            <w:pPr>
              <w:pStyle w:val="6"/>
              <w:spacing w:before="76" w:line="219" w:lineRule="auto"/>
              <w:ind w:left="44"/>
            </w:pPr>
            <w:r>
              <w:rPr>
                <w:spacing w:val="3"/>
              </w:rPr>
              <w:t>设施报废单(</w:t>
            </w:r>
            <w:r>
              <w:t>ZD</w:t>
            </w:r>
            <w:r>
              <w:rPr>
                <w:spacing w:val="3"/>
              </w:rPr>
              <w:t>-026)</w:t>
            </w:r>
          </w:p>
        </w:tc>
        <w:tc>
          <w:tcPr>
            <w:tcW w:w="3670" w:type="dxa"/>
            <w:tcBorders>
              <w:right w:val="nil"/>
            </w:tcBorders>
            <w:vAlign w:val="top"/>
          </w:tcPr>
          <w:p w14:paraId="46ED0310">
            <w:pPr>
              <w:pStyle w:val="6"/>
              <w:spacing w:before="77" w:line="220" w:lineRule="auto"/>
              <w:ind w:left="35"/>
            </w:pPr>
            <w:r>
              <w:rPr>
                <w:spacing w:val="1"/>
              </w:rPr>
              <w:t>工作环境控制程序</w:t>
            </w:r>
          </w:p>
        </w:tc>
      </w:tr>
      <w:tr w14:paraId="24857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150" w:type="dxa"/>
            <w:tcBorders>
              <w:left w:val="nil"/>
            </w:tcBorders>
            <w:vAlign w:val="top"/>
          </w:tcPr>
          <w:p w14:paraId="6DF29E56">
            <w:pPr>
              <w:pStyle w:val="6"/>
              <w:spacing w:before="245" w:line="183" w:lineRule="auto"/>
              <w:ind w:left="479"/>
            </w:pPr>
            <w:r>
              <w:rPr>
                <w:spacing w:val="-3"/>
              </w:rPr>
              <w:t>27</w:t>
            </w:r>
          </w:p>
        </w:tc>
        <w:tc>
          <w:tcPr>
            <w:tcW w:w="3509" w:type="dxa"/>
            <w:vAlign w:val="top"/>
          </w:tcPr>
          <w:p w14:paraId="6D250287">
            <w:pPr>
              <w:pStyle w:val="6"/>
              <w:spacing w:before="195" w:line="219" w:lineRule="auto"/>
              <w:ind w:left="44"/>
            </w:pPr>
            <w:r>
              <w:rPr>
                <w:spacing w:val="3"/>
              </w:rPr>
              <w:t>合格供方名单(</w:t>
            </w:r>
            <w:r>
              <w:t>ZD</w:t>
            </w:r>
            <w:r>
              <w:rPr>
                <w:spacing w:val="3"/>
              </w:rPr>
              <w:t>-027)</w:t>
            </w:r>
          </w:p>
        </w:tc>
        <w:tc>
          <w:tcPr>
            <w:tcW w:w="3670" w:type="dxa"/>
            <w:tcBorders>
              <w:right w:val="nil"/>
            </w:tcBorders>
            <w:vAlign w:val="top"/>
          </w:tcPr>
          <w:p w14:paraId="1C98041D">
            <w:pPr>
              <w:pStyle w:val="6"/>
              <w:spacing w:before="67" w:line="234" w:lineRule="auto"/>
              <w:ind w:left="35" w:right="2097"/>
            </w:pPr>
            <w:r>
              <w:rPr>
                <w:spacing w:val="1"/>
              </w:rPr>
              <w:t>工作环境控制程序</w:t>
            </w:r>
            <w:r>
              <w:rPr>
                <w:spacing w:val="2"/>
              </w:rPr>
              <w:t xml:space="preserve"> </w:t>
            </w:r>
            <w:r>
              <w:rPr>
                <w:spacing w:val="-1"/>
              </w:rPr>
              <w:t>采购控制程序</w:t>
            </w:r>
          </w:p>
        </w:tc>
      </w:tr>
      <w:tr w14:paraId="6FC5F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150" w:type="dxa"/>
            <w:tcBorders>
              <w:left w:val="nil"/>
            </w:tcBorders>
            <w:vAlign w:val="top"/>
          </w:tcPr>
          <w:p w14:paraId="6D941AD1">
            <w:pPr>
              <w:pStyle w:val="6"/>
              <w:spacing w:before="236" w:line="183" w:lineRule="auto"/>
              <w:ind w:left="479"/>
            </w:pPr>
            <w:r>
              <w:rPr>
                <w:spacing w:val="-3"/>
              </w:rPr>
              <w:t>28</w:t>
            </w:r>
          </w:p>
        </w:tc>
        <w:tc>
          <w:tcPr>
            <w:tcW w:w="3509" w:type="dxa"/>
            <w:vAlign w:val="top"/>
          </w:tcPr>
          <w:p w14:paraId="72DB20D8">
            <w:pPr>
              <w:pStyle w:val="6"/>
              <w:spacing w:before="188" w:line="220" w:lineRule="auto"/>
              <w:ind w:left="44"/>
            </w:pPr>
            <w:r>
              <w:rPr>
                <w:spacing w:val="3"/>
              </w:rPr>
              <w:t>合同评审表(</w:t>
            </w:r>
            <w:r>
              <w:t>ZD</w:t>
            </w:r>
            <w:r>
              <w:rPr>
                <w:spacing w:val="3"/>
              </w:rPr>
              <w:t>-028)</w:t>
            </w:r>
          </w:p>
        </w:tc>
        <w:tc>
          <w:tcPr>
            <w:tcW w:w="3670" w:type="dxa"/>
            <w:tcBorders>
              <w:right w:val="nil"/>
            </w:tcBorders>
            <w:vAlign w:val="top"/>
          </w:tcPr>
          <w:p w14:paraId="0D45EDF9">
            <w:pPr>
              <w:pStyle w:val="6"/>
              <w:spacing w:before="66" w:line="227" w:lineRule="auto"/>
              <w:ind w:left="35" w:right="596"/>
            </w:pPr>
            <w:r>
              <w:rPr>
                <w:spacing w:val="-1"/>
              </w:rPr>
              <w:t>信息系统工程监理服务策划控制程序</w:t>
            </w:r>
            <w:r>
              <w:rPr>
                <w:spacing w:val="7"/>
              </w:rPr>
              <w:t xml:space="preserve"> </w:t>
            </w:r>
            <w:r>
              <w:t>需求分析和合同评审控制程序</w:t>
            </w:r>
          </w:p>
        </w:tc>
      </w:tr>
    </w:tbl>
    <w:p w14:paraId="6E6F092B">
      <w:pPr>
        <w:rPr>
          <w:rFonts w:ascii="Arial"/>
          <w:sz w:val="21"/>
        </w:rPr>
      </w:pPr>
    </w:p>
    <w:p w14:paraId="64A08312">
      <w:pPr>
        <w:rPr>
          <w:rFonts w:ascii="Arial" w:hAnsi="Arial" w:eastAsia="Arial" w:cs="Arial"/>
          <w:sz w:val="21"/>
          <w:szCs w:val="21"/>
        </w:rPr>
        <w:sectPr>
          <w:pgSz w:w="10300" w:h="13420"/>
          <w:pgMar w:top="349" w:right="1100" w:bottom="400" w:left="520" w:header="0" w:footer="0" w:gutter="0"/>
          <w:cols w:space="720" w:num="1"/>
        </w:sectPr>
      </w:pPr>
    </w:p>
    <w:p w14:paraId="69553A01">
      <w:pPr>
        <w:pStyle w:val="2"/>
        <w:jc w:val="right"/>
        <w:rPr>
          <w:rFonts w:ascii="Times New Roman" w:hAnsi="Times New Roman" w:eastAsia="Times New Roman" w:cs="Times New Roman"/>
          <w:sz w:val="19"/>
          <w:szCs w:val="19"/>
        </w:rPr>
      </w:pPr>
      <w:r>
        <w:rPr>
          <w:spacing w:val="6"/>
          <w:sz w:val="19"/>
          <w:szCs w:val="19"/>
        </w:rPr>
        <w:t>第14章</w:t>
      </w:r>
      <w:r>
        <w:rPr>
          <w:spacing w:val="44"/>
          <w:sz w:val="19"/>
          <w:szCs w:val="19"/>
        </w:rPr>
        <w:t xml:space="preserve"> </w:t>
      </w:r>
      <w:r>
        <w:rPr>
          <w:spacing w:val="6"/>
          <w:sz w:val="19"/>
          <w:szCs w:val="19"/>
        </w:rPr>
        <w:t xml:space="preserve">信息管理 </w:t>
      </w:r>
      <w:r>
        <w:rPr>
          <w:position w:val="-9"/>
          <w:sz w:val="19"/>
          <w:szCs w:val="19"/>
        </w:rPr>
        <w:drawing>
          <wp:inline distT="0" distB="0" distL="0" distR="0">
            <wp:extent cx="304165" cy="241300"/>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215"/>
                    <a:stretch>
                      <a:fillRect/>
                    </a:stretch>
                  </pic:blipFill>
                  <pic:spPr>
                    <a:xfrm>
                      <a:off x="0" y="0"/>
                      <a:ext cx="304782" cy="241300"/>
                    </a:xfrm>
                    <a:prstGeom prst="rect">
                      <a:avLst/>
                    </a:prstGeom>
                  </pic:spPr>
                </pic:pic>
              </a:graphicData>
            </a:graphic>
          </wp:inline>
        </w:drawing>
      </w:r>
      <w:r>
        <w:rPr>
          <w:rFonts w:ascii="Times New Roman" w:hAnsi="Times New Roman" w:eastAsia="Times New Roman" w:cs="Times New Roman"/>
          <w:b/>
          <w:bCs/>
          <w:spacing w:val="6"/>
          <w:position w:val="-1"/>
          <w:sz w:val="19"/>
          <w:szCs w:val="19"/>
        </w:rPr>
        <w:t>345</w:t>
      </w:r>
    </w:p>
    <w:p w14:paraId="22668516">
      <w:pPr>
        <w:spacing w:line="255" w:lineRule="auto"/>
        <w:rPr>
          <w:rFonts w:ascii="Arial"/>
          <w:sz w:val="21"/>
        </w:rPr>
      </w:pPr>
    </w:p>
    <w:p w14:paraId="02DE05E8">
      <w:pPr>
        <w:pStyle w:val="2"/>
        <w:spacing w:before="61" w:line="220" w:lineRule="auto"/>
        <w:ind w:left="7759"/>
        <w:rPr>
          <w:sz w:val="19"/>
          <w:szCs w:val="19"/>
        </w:rPr>
      </w:pPr>
      <w:r>
        <w:rPr>
          <w:spacing w:val="5"/>
          <w:sz w:val="19"/>
          <w:szCs w:val="19"/>
        </w:rPr>
        <w:t>(续表)</w:t>
      </w:r>
    </w:p>
    <w:p w14:paraId="2AB1F34F">
      <w:pPr>
        <w:spacing w:line="70" w:lineRule="exact"/>
      </w:pPr>
    </w:p>
    <w:tbl>
      <w:tblPr>
        <w:tblStyle w:val="5"/>
        <w:tblW w:w="832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0"/>
        <w:gridCol w:w="3510"/>
        <w:gridCol w:w="3670"/>
      </w:tblGrid>
      <w:tr w14:paraId="5196F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140" w:type="dxa"/>
            <w:tcBorders>
              <w:left w:val="nil"/>
            </w:tcBorders>
            <w:vAlign w:val="top"/>
          </w:tcPr>
          <w:p w14:paraId="565D50B3">
            <w:pPr>
              <w:pStyle w:val="6"/>
              <w:spacing w:before="81" w:line="221" w:lineRule="auto"/>
              <w:ind w:left="382"/>
            </w:pPr>
            <w:r>
              <w:rPr>
                <w:b/>
                <w:bCs/>
                <w:spacing w:val="-4"/>
              </w:rPr>
              <w:t>序号</w:t>
            </w:r>
          </w:p>
        </w:tc>
        <w:tc>
          <w:tcPr>
            <w:tcW w:w="3510" w:type="dxa"/>
            <w:vAlign w:val="top"/>
          </w:tcPr>
          <w:p w14:paraId="4690A718">
            <w:pPr>
              <w:pStyle w:val="6"/>
              <w:spacing w:before="80" w:line="219" w:lineRule="auto"/>
              <w:ind w:left="907"/>
            </w:pPr>
            <w:r>
              <w:rPr>
                <w:b/>
                <w:bCs/>
                <w:spacing w:val="1"/>
              </w:rPr>
              <w:t>工作表格名(含编号)</w:t>
            </w:r>
          </w:p>
        </w:tc>
        <w:tc>
          <w:tcPr>
            <w:tcW w:w="3670" w:type="dxa"/>
            <w:tcBorders>
              <w:right w:val="nil"/>
            </w:tcBorders>
            <w:vAlign w:val="top"/>
          </w:tcPr>
          <w:p w14:paraId="4AE6E1E5">
            <w:pPr>
              <w:pStyle w:val="6"/>
              <w:spacing w:before="80" w:line="219" w:lineRule="auto"/>
              <w:ind w:left="1487"/>
            </w:pPr>
            <w:r>
              <w:rPr>
                <w:b/>
                <w:bCs/>
                <w:spacing w:val="-4"/>
              </w:rPr>
              <w:t>文件类别</w:t>
            </w:r>
          </w:p>
        </w:tc>
      </w:tr>
      <w:tr w14:paraId="5FA57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40" w:type="dxa"/>
            <w:tcBorders>
              <w:left w:val="nil"/>
            </w:tcBorders>
            <w:vAlign w:val="top"/>
          </w:tcPr>
          <w:p w14:paraId="6F62533A">
            <w:pPr>
              <w:pStyle w:val="6"/>
              <w:spacing w:before="92" w:line="231" w:lineRule="auto"/>
              <w:ind w:left="379"/>
            </w:pPr>
            <w:r>
              <w:rPr>
                <w:spacing w:val="-2"/>
              </w:rPr>
              <w:t>29◆</w:t>
            </w:r>
          </w:p>
        </w:tc>
        <w:tc>
          <w:tcPr>
            <w:tcW w:w="3510" w:type="dxa"/>
            <w:vAlign w:val="top"/>
          </w:tcPr>
          <w:p w14:paraId="12149206">
            <w:pPr>
              <w:pStyle w:val="6"/>
              <w:spacing w:before="79" w:line="220" w:lineRule="auto"/>
              <w:ind w:left="54"/>
            </w:pPr>
            <w:r>
              <w:rPr>
                <w:spacing w:val="3"/>
              </w:rPr>
              <w:t>监理方案评审表(</w:t>
            </w:r>
            <w:r>
              <w:t>ZD</w:t>
            </w:r>
            <w:r>
              <w:rPr>
                <w:spacing w:val="3"/>
              </w:rPr>
              <w:t>-029)</w:t>
            </w:r>
          </w:p>
        </w:tc>
        <w:tc>
          <w:tcPr>
            <w:tcW w:w="3670" w:type="dxa"/>
            <w:tcBorders>
              <w:right w:val="nil"/>
            </w:tcBorders>
            <w:vAlign w:val="top"/>
          </w:tcPr>
          <w:p w14:paraId="09F2A975">
            <w:pPr>
              <w:pStyle w:val="6"/>
              <w:spacing w:before="78" w:line="219" w:lineRule="auto"/>
              <w:ind w:left="35"/>
            </w:pPr>
            <w:r>
              <w:rPr>
                <w:spacing w:val="-1"/>
              </w:rPr>
              <w:t>信息系统工程监理服务策划控制程序</w:t>
            </w:r>
          </w:p>
        </w:tc>
      </w:tr>
      <w:tr w14:paraId="1E927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40" w:type="dxa"/>
            <w:tcBorders>
              <w:left w:val="nil"/>
            </w:tcBorders>
            <w:vAlign w:val="top"/>
          </w:tcPr>
          <w:p w14:paraId="773FA188">
            <w:pPr>
              <w:pStyle w:val="6"/>
              <w:spacing w:before="82" w:line="230" w:lineRule="auto"/>
              <w:ind w:left="379"/>
            </w:pPr>
            <w:r>
              <w:rPr>
                <w:spacing w:val="-2"/>
              </w:rPr>
              <w:t>30◆</w:t>
            </w:r>
          </w:p>
        </w:tc>
        <w:tc>
          <w:tcPr>
            <w:tcW w:w="3510" w:type="dxa"/>
            <w:vAlign w:val="top"/>
          </w:tcPr>
          <w:p w14:paraId="1DAD848B">
            <w:pPr>
              <w:pStyle w:val="6"/>
              <w:spacing w:before="69" w:line="220" w:lineRule="auto"/>
              <w:ind w:left="54"/>
            </w:pPr>
            <w:r>
              <w:rPr>
                <w:spacing w:val="2"/>
              </w:rPr>
              <w:t>监理实施细则评审表(</w:t>
            </w:r>
            <w:r>
              <w:t>ZD</w:t>
            </w:r>
            <w:r>
              <w:rPr>
                <w:spacing w:val="2"/>
              </w:rPr>
              <w:t>-030)</w:t>
            </w:r>
          </w:p>
        </w:tc>
        <w:tc>
          <w:tcPr>
            <w:tcW w:w="3670" w:type="dxa"/>
            <w:tcBorders>
              <w:right w:val="nil"/>
            </w:tcBorders>
            <w:vAlign w:val="top"/>
          </w:tcPr>
          <w:p w14:paraId="445F69B3">
            <w:pPr>
              <w:pStyle w:val="6"/>
              <w:spacing w:before="68" w:line="219" w:lineRule="auto"/>
              <w:ind w:left="35"/>
            </w:pPr>
            <w:r>
              <w:rPr>
                <w:spacing w:val="-1"/>
              </w:rPr>
              <w:t>信息系统工程监理服务策划控制程序</w:t>
            </w:r>
          </w:p>
        </w:tc>
      </w:tr>
      <w:tr w14:paraId="6103C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40" w:type="dxa"/>
            <w:tcBorders>
              <w:left w:val="nil"/>
            </w:tcBorders>
            <w:vAlign w:val="top"/>
          </w:tcPr>
          <w:p w14:paraId="44CBFB29">
            <w:pPr>
              <w:pStyle w:val="6"/>
              <w:spacing w:before="127" w:line="184" w:lineRule="auto"/>
              <w:ind w:left="470"/>
            </w:pPr>
            <w:r>
              <w:rPr>
                <w:spacing w:val="-3"/>
              </w:rPr>
              <w:t>31</w:t>
            </w:r>
          </w:p>
        </w:tc>
        <w:tc>
          <w:tcPr>
            <w:tcW w:w="3510" w:type="dxa"/>
            <w:vAlign w:val="top"/>
          </w:tcPr>
          <w:p w14:paraId="68F09015">
            <w:pPr>
              <w:pStyle w:val="6"/>
              <w:spacing w:before="78" w:line="218" w:lineRule="auto"/>
              <w:ind w:left="54"/>
            </w:pPr>
            <w:r>
              <w:rPr>
                <w:spacing w:val="2"/>
              </w:rPr>
              <w:t>监理总结报告评审表(</w:t>
            </w:r>
            <w:r>
              <w:t>ZD</w:t>
            </w:r>
            <w:r>
              <w:rPr>
                <w:spacing w:val="2"/>
              </w:rPr>
              <w:t>-031)</w:t>
            </w:r>
          </w:p>
        </w:tc>
        <w:tc>
          <w:tcPr>
            <w:tcW w:w="3670" w:type="dxa"/>
            <w:tcBorders>
              <w:right w:val="nil"/>
            </w:tcBorders>
            <w:vAlign w:val="top"/>
          </w:tcPr>
          <w:p w14:paraId="58295ADE">
            <w:pPr>
              <w:pStyle w:val="6"/>
              <w:spacing w:before="79" w:line="219" w:lineRule="auto"/>
              <w:ind w:left="35"/>
            </w:pPr>
            <w:r>
              <w:rPr>
                <w:spacing w:val="-1"/>
              </w:rPr>
              <w:t>信息系统工程监理服务策划控制程序</w:t>
            </w:r>
          </w:p>
        </w:tc>
      </w:tr>
      <w:tr w14:paraId="72017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40" w:type="dxa"/>
            <w:tcBorders>
              <w:left w:val="nil"/>
            </w:tcBorders>
            <w:vAlign w:val="top"/>
          </w:tcPr>
          <w:p w14:paraId="77CE6DF3">
            <w:pPr>
              <w:pStyle w:val="6"/>
              <w:spacing w:before="128" w:line="183" w:lineRule="auto"/>
              <w:ind w:left="470"/>
            </w:pPr>
            <w:r>
              <w:rPr>
                <w:spacing w:val="-3"/>
              </w:rPr>
              <w:t>32</w:t>
            </w:r>
          </w:p>
        </w:tc>
        <w:tc>
          <w:tcPr>
            <w:tcW w:w="3510" w:type="dxa"/>
            <w:vAlign w:val="top"/>
          </w:tcPr>
          <w:p w14:paraId="3A7F175A">
            <w:pPr>
              <w:pStyle w:val="6"/>
              <w:spacing w:before="79" w:line="219" w:lineRule="auto"/>
              <w:ind w:left="54"/>
            </w:pPr>
            <w:r>
              <w:rPr>
                <w:spacing w:val="3"/>
              </w:rPr>
              <w:t>立项申请表(</w:t>
            </w:r>
            <w:r>
              <w:t>ZD</w:t>
            </w:r>
            <w:r>
              <w:rPr>
                <w:spacing w:val="3"/>
              </w:rPr>
              <w:t>-032)</w:t>
            </w:r>
          </w:p>
        </w:tc>
        <w:tc>
          <w:tcPr>
            <w:tcW w:w="3670" w:type="dxa"/>
            <w:tcBorders>
              <w:right w:val="nil"/>
            </w:tcBorders>
            <w:vAlign w:val="top"/>
          </w:tcPr>
          <w:p w14:paraId="6315B48A">
            <w:pPr>
              <w:pStyle w:val="6"/>
              <w:spacing w:before="80" w:line="220" w:lineRule="auto"/>
              <w:ind w:left="35"/>
            </w:pPr>
            <w:r>
              <w:t>需求分析和合同评审控制程序</w:t>
            </w:r>
          </w:p>
        </w:tc>
      </w:tr>
      <w:tr w14:paraId="5B356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40" w:type="dxa"/>
            <w:tcBorders>
              <w:left w:val="nil"/>
            </w:tcBorders>
            <w:vAlign w:val="top"/>
          </w:tcPr>
          <w:p w14:paraId="7A578BC2">
            <w:pPr>
              <w:pStyle w:val="6"/>
              <w:spacing w:before="118" w:line="183" w:lineRule="auto"/>
              <w:ind w:left="470"/>
            </w:pPr>
            <w:r>
              <w:rPr>
                <w:spacing w:val="-3"/>
              </w:rPr>
              <w:t>33</w:t>
            </w:r>
          </w:p>
        </w:tc>
        <w:tc>
          <w:tcPr>
            <w:tcW w:w="3510" w:type="dxa"/>
            <w:vAlign w:val="top"/>
          </w:tcPr>
          <w:p w14:paraId="4A309A43">
            <w:pPr>
              <w:pStyle w:val="6"/>
              <w:spacing w:before="70" w:line="220" w:lineRule="auto"/>
              <w:ind w:left="54"/>
            </w:pPr>
            <w:r>
              <w:rPr>
                <w:spacing w:val="3"/>
              </w:rPr>
              <w:t>设计评审表(</w:t>
            </w:r>
            <w:r>
              <w:t>ZD</w:t>
            </w:r>
            <w:r>
              <w:rPr>
                <w:spacing w:val="3"/>
              </w:rPr>
              <w:t>-033)</w:t>
            </w:r>
          </w:p>
        </w:tc>
        <w:tc>
          <w:tcPr>
            <w:tcW w:w="3670" w:type="dxa"/>
            <w:tcBorders>
              <w:right w:val="nil"/>
            </w:tcBorders>
            <w:vAlign w:val="top"/>
          </w:tcPr>
          <w:p w14:paraId="12F2DB39">
            <w:pPr>
              <w:pStyle w:val="6"/>
              <w:spacing w:before="69" w:line="219" w:lineRule="auto"/>
              <w:ind w:left="35"/>
            </w:pPr>
            <w:r>
              <w:rPr>
                <w:spacing w:val="-1"/>
              </w:rPr>
              <w:t>信息系统工程监理服务设计和开发控制程序</w:t>
            </w:r>
          </w:p>
        </w:tc>
      </w:tr>
      <w:tr w14:paraId="55B39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40" w:type="dxa"/>
            <w:tcBorders>
              <w:left w:val="nil"/>
            </w:tcBorders>
            <w:vAlign w:val="top"/>
          </w:tcPr>
          <w:p w14:paraId="55426BF8">
            <w:pPr>
              <w:pStyle w:val="6"/>
              <w:spacing w:before="239" w:line="183" w:lineRule="auto"/>
              <w:ind w:left="470"/>
            </w:pPr>
            <w:r>
              <w:rPr>
                <w:spacing w:val="-3"/>
              </w:rPr>
              <w:t>34</w:t>
            </w:r>
          </w:p>
        </w:tc>
        <w:tc>
          <w:tcPr>
            <w:tcW w:w="3510" w:type="dxa"/>
            <w:vAlign w:val="top"/>
          </w:tcPr>
          <w:p w14:paraId="714B1A12">
            <w:pPr>
              <w:pStyle w:val="6"/>
              <w:spacing w:before="190" w:line="219" w:lineRule="auto"/>
              <w:ind w:left="54"/>
            </w:pPr>
            <w:r>
              <w:rPr>
                <w:spacing w:val="3"/>
              </w:rPr>
              <w:t>设备验收单(</w:t>
            </w:r>
            <w:r>
              <w:t>ZD</w:t>
            </w:r>
            <w:r>
              <w:rPr>
                <w:spacing w:val="3"/>
              </w:rPr>
              <w:t>-034)</w:t>
            </w:r>
          </w:p>
        </w:tc>
        <w:tc>
          <w:tcPr>
            <w:tcW w:w="3670" w:type="dxa"/>
            <w:tcBorders>
              <w:right w:val="nil"/>
            </w:tcBorders>
            <w:vAlign w:val="top"/>
          </w:tcPr>
          <w:p w14:paraId="22D1FDA5">
            <w:pPr>
              <w:pStyle w:val="6"/>
              <w:spacing w:before="71" w:line="237" w:lineRule="auto"/>
              <w:ind w:left="35" w:right="2098"/>
            </w:pPr>
            <w:r>
              <w:rPr>
                <w:spacing w:val="1"/>
              </w:rPr>
              <w:t>工作环境控制程序</w:t>
            </w:r>
            <w:r>
              <w:rPr>
                <w:spacing w:val="2"/>
              </w:rPr>
              <w:t xml:space="preserve"> </w:t>
            </w:r>
            <w:r>
              <w:rPr>
                <w:spacing w:val="-1"/>
              </w:rPr>
              <w:t>采购控制程序</w:t>
            </w:r>
          </w:p>
        </w:tc>
      </w:tr>
      <w:tr w14:paraId="7264E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140" w:type="dxa"/>
            <w:tcBorders>
              <w:left w:val="nil"/>
            </w:tcBorders>
            <w:vAlign w:val="top"/>
          </w:tcPr>
          <w:p w14:paraId="27D655BC">
            <w:pPr>
              <w:pStyle w:val="6"/>
              <w:spacing w:before="205" w:line="232" w:lineRule="auto"/>
              <w:ind w:left="379"/>
            </w:pPr>
            <w:r>
              <w:rPr>
                <w:spacing w:val="-2"/>
              </w:rPr>
              <w:t>35◆</w:t>
            </w:r>
          </w:p>
        </w:tc>
        <w:tc>
          <w:tcPr>
            <w:tcW w:w="3510" w:type="dxa"/>
            <w:vAlign w:val="top"/>
          </w:tcPr>
          <w:p w14:paraId="43779DD7">
            <w:pPr>
              <w:pStyle w:val="6"/>
              <w:spacing w:before="190" w:line="218" w:lineRule="auto"/>
              <w:ind w:left="54"/>
            </w:pPr>
            <w:r>
              <w:rPr>
                <w:spacing w:val="2"/>
              </w:rPr>
              <w:t>监理服务质量评价表(</w:t>
            </w:r>
            <w:r>
              <w:t>ZD</w:t>
            </w:r>
            <w:r>
              <w:rPr>
                <w:spacing w:val="2"/>
              </w:rPr>
              <w:t>-035)</w:t>
            </w:r>
          </w:p>
        </w:tc>
        <w:tc>
          <w:tcPr>
            <w:tcW w:w="3670" w:type="dxa"/>
            <w:tcBorders>
              <w:right w:val="nil"/>
            </w:tcBorders>
            <w:vAlign w:val="top"/>
          </w:tcPr>
          <w:p w14:paraId="5C7B6EE5">
            <w:pPr>
              <w:pStyle w:val="6"/>
              <w:spacing w:before="71" w:line="232" w:lineRule="auto"/>
              <w:ind w:left="35" w:right="597"/>
            </w:pPr>
            <w:r>
              <w:rPr>
                <w:spacing w:val="-1"/>
              </w:rPr>
              <w:t>信息系统工程监理服务提供控制程序</w:t>
            </w:r>
            <w:r>
              <w:rPr>
                <w:spacing w:val="7"/>
              </w:rPr>
              <w:t xml:space="preserve"> </w:t>
            </w:r>
            <w:r>
              <w:rPr>
                <w:spacing w:val="-1"/>
              </w:rPr>
              <w:t>监视和测量控制程序</w:t>
            </w:r>
          </w:p>
        </w:tc>
      </w:tr>
      <w:tr w14:paraId="1DF62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40" w:type="dxa"/>
            <w:tcBorders>
              <w:left w:val="nil"/>
            </w:tcBorders>
            <w:vAlign w:val="top"/>
          </w:tcPr>
          <w:p w14:paraId="27E18693">
            <w:pPr>
              <w:pStyle w:val="6"/>
              <w:spacing w:before="206" w:line="232" w:lineRule="auto"/>
              <w:ind w:left="379"/>
            </w:pPr>
            <w:r>
              <w:rPr>
                <w:spacing w:val="-2"/>
              </w:rPr>
              <w:t>36◆</w:t>
            </w:r>
          </w:p>
        </w:tc>
        <w:tc>
          <w:tcPr>
            <w:tcW w:w="3510" w:type="dxa"/>
            <w:vAlign w:val="top"/>
          </w:tcPr>
          <w:p w14:paraId="25A3DA9B">
            <w:pPr>
              <w:pStyle w:val="6"/>
              <w:spacing w:before="192" w:line="219" w:lineRule="auto"/>
              <w:ind w:left="54"/>
            </w:pPr>
            <w:r>
              <w:rPr>
                <w:spacing w:val="2"/>
              </w:rPr>
              <w:t>顾客满意度调查表(</w:t>
            </w:r>
            <w:r>
              <w:t>ZD</w:t>
            </w:r>
            <w:r>
              <w:rPr>
                <w:spacing w:val="2"/>
              </w:rPr>
              <w:t>-036)</w:t>
            </w:r>
          </w:p>
        </w:tc>
        <w:tc>
          <w:tcPr>
            <w:tcW w:w="3670" w:type="dxa"/>
            <w:tcBorders>
              <w:right w:val="nil"/>
            </w:tcBorders>
            <w:vAlign w:val="top"/>
          </w:tcPr>
          <w:p w14:paraId="58464C9F">
            <w:pPr>
              <w:pStyle w:val="6"/>
              <w:spacing w:before="81" w:line="232" w:lineRule="auto"/>
              <w:ind w:left="35" w:right="597"/>
            </w:pPr>
            <w:r>
              <w:rPr>
                <w:spacing w:val="-1"/>
              </w:rPr>
              <w:t>信息系统工程监理服务提供控制程序</w:t>
            </w:r>
            <w:r>
              <w:rPr>
                <w:spacing w:val="7"/>
              </w:rPr>
              <w:t xml:space="preserve"> </w:t>
            </w:r>
            <w:r>
              <w:rPr>
                <w:spacing w:val="-1"/>
              </w:rPr>
              <w:t>顾客满意度测量控制程序</w:t>
            </w:r>
          </w:p>
        </w:tc>
      </w:tr>
      <w:tr w14:paraId="5A059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40" w:type="dxa"/>
            <w:tcBorders>
              <w:left w:val="nil"/>
            </w:tcBorders>
            <w:vAlign w:val="top"/>
          </w:tcPr>
          <w:p w14:paraId="721A53D4">
            <w:pPr>
              <w:pStyle w:val="6"/>
              <w:spacing w:before="97" w:line="225" w:lineRule="auto"/>
              <w:ind w:left="379"/>
            </w:pPr>
            <w:r>
              <w:rPr>
                <w:spacing w:val="-2"/>
              </w:rPr>
              <w:t>37◆</w:t>
            </w:r>
          </w:p>
        </w:tc>
        <w:tc>
          <w:tcPr>
            <w:tcW w:w="3510" w:type="dxa"/>
            <w:vAlign w:val="top"/>
          </w:tcPr>
          <w:p w14:paraId="27A1E6EB">
            <w:pPr>
              <w:pStyle w:val="6"/>
              <w:spacing w:before="84" w:line="220" w:lineRule="auto"/>
              <w:ind w:left="54"/>
            </w:pPr>
            <w:r>
              <w:rPr>
                <w:spacing w:val="2"/>
              </w:rPr>
              <w:t>监理项目人员分配表(</w:t>
            </w:r>
            <w:r>
              <w:t>ZD</w:t>
            </w:r>
            <w:r>
              <w:rPr>
                <w:spacing w:val="2"/>
              </w:rPr>
              <w:t>-037)</w:t>
            </w:r>
          </w:p>
        </w:tc>
        <w:tc>
          <w:tcPr>
            <w:tcW w:w="3670" w:type="dxa"/>
            <w:tcBorders>
              <w:right w:val="nil"/>
            </w:tcBorders>
            <w:vAlign w:val="top"/>
          </w:tcPr>
          <w:p w14:paraId="14EB5008">
            <w:pPr>
              <w:pStyle w:val="6"/>
              <w:spacing w:before="82" w:line="219" w:lineRule="auto"/>
              <w:ind w:left="35"/>
            </w:pPr>
            <w:r>
              <w:rPr>
                <w:spacing w:val="-1"/>
              </w:rPr>
              <w:t>信息系统工程监理服务提供控制程序</w:t>
            </w:r>
          </w:p>
        </w:tc>
      </w:tr>
      <w:tr w14:paraId="76672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40" w:type="dxa"/>
            <w:tcBorders>
              <w:left w:val="nil"/>
            </w:tcBorders>
            <w:vAlign w:val="top"/>
          </w:tcPr>
          <w:p w14:paraId="14E49D42">
            <w:pPr>
              <w:pStyle w:val="6"/>
              <w:spacing w:before="123" w:line="183" w:lineRule="auto"/>
              <w:ind w:left="470"/>
            </w:pPr>
            <w:r>
              <w:rPr>
                <w:spacing w:val="-3"/>
              </w:rPr>
              <w:t>38</w:t>
            </w:r>
          </w:p>
        </w:tc>
        <w:tc>
          <w:tcPr>
            <w:tcW w:w="3510" w:type="dxa"/>
            <w:vAlign w:val="top"/>
          </w:tcPr>
          <w:p w14:paraId="36233C3F">
            <w:pPr>
              <w:pStyle w:val="6"/>
              <w:spacing w:before="74" w:line="219" w:lineRule="auto"/>
              <w:ind w:left="54"/>
            </w:pPr>
            <w:r>
              <w:rPr>
                <w:spacing w:val="3"/>
              </w:rPr>
              <w:t>设备检定记录(</w:t>
            </w:r>
            <w:r>
              <w:t>ZD</w:t>
            </w:r>
            <w:r>
              <w:rPr>
                <w:spacing w:val="3"/>
              </w:rPr>
              <w:t>-038)</w:t>
            </w:r>
          </w:p>
        </w:tc>
        <w:tc>
          <w:tcPr>
            <w:tcW w:w="3670" w:type="dxa"/>
            <w:tcBorders>
              <w:right w:val="nil"/>
            </w:tcBorders>
            <w:vAlign w:val="top"/>
          </w:tcPr>
          <w:p w14:paraId="26280038">
            <w:pPr>
              <w:pStyle w:val="6"/>
              <w:spacing w:before="75" w:line="220" w:lineRule="auto"/>
              <w:ind w:left="35"/>
            </w:pPr>
            <w:r>
              <w:rPr>
                <w:spacing w:val="-1"/>
              </w:rPr>
              <w:t>监视和测量装置控制程序</w:t>
            </w:r>
          </w:p>
        </w:tc>
      </w:tr>
      <w:tr w14:paraId="7D72C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40" w:type="dxa"/>
            <w:tcBorders>
              <w:left w:val="nil"/>
            </w:tcBorders>
            <w:vAlign w:val="top"/>
          </w:tcPr>
          <w:p w14:paraId="09DD91F3">
            <w:pPr>
              <w:pStyle w:val="6"/>
              <w:spacing w:before="243" w:line="183" w:lineRule="auto"/>
              <w:ind w:left="470"/>
            </w:pPr>
            <w:r>
              <w:rPr>
                <w:spacing w:val="-3"/>
              </w:rPr>
              <w:t>39</w:t>
            </w:r>
          </w:p>
        </w:tc>
        <w:tc>
          <w:tcPr>
            <w:tcW w:w="3510" w:type="dxa"/>
            <w:vAlign w:val="top"/>
          </w:tcPr>
          <w:p w14:paraId="7B58576C">
            <w:pPr>
              <w:pStyle w:val="6"/>
              <w:spacing w:before="195" w:line="220" w:lineRule="auto"/>
              <w:ind w:left="54"/>
            </w:pPr>
            <w:r>
              <w:rPr>
                <w:spacing w:val="3"/>
              </w:rPr>
              <w:t>纠正措施处理单(</w:t>
            </w:r>
            <w:r>
              <w:t>ZD</w:t>
            </w:r>
            <w:r>
              <w:rPr>
                <w:spacing w:val="3"/>
              </w:rPr>
              <w:t>-039)</w:t>
            </w:r>
          </w:p>
        </w:tc>
        <w:tc>
          <w:tcPr>
            <w:tcW w:w="3670" w:type="dxa"/>
            <w:tcBorders>
              <w:right w:val="nil"/>
            </w:tcBorders>
            <w:vAlign w:val="top"/>
          </w:tcPr>
          <w:p w14:paraId="27D51721">
            <w:pPr>
              <w:pStyle w:val="6"/>
              <w:spacing w:before="84" w:line="219" w:lineRule="auto"/>
              <w:ind w:left="35"/>
            </w:pPr>
            <w:r>
              <w:rPr>
                <w:spacing w:val="1"/>
              </w:rPr>
              <w:t>管理评审控制程序</w:t>
            </w:r>
          </w:p>
          <w:p w14:paraId="601612FF">
            <w:pPr>
              <w:pStyle w:val="6"/>
              <w:spacing w:before="54" w:line="189" w:lineRule="auto"/>
              <w:ind w:left="35"/>
            </w:pPr>
            <w:r>
              <w:rPr>
                <w:spacing w:val="-1"/>
              </w:rPr>
              <w:t>顾客满意度测量控制程序</w:t>
            </w:r>
          </w:p>
        </w:tc>
      </w:tr>
      <w:tr w14:paraId="6BC58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40" w:type="dxa"/>
            <w:tcBorders>
              <w:left w:val="nil"/>
            </w:tcBorders>
            <w:vAlign w:val="top"/>
          </w:tcPr>
          <w:p w14:paraId="1955DC37">
            <w:pPr>
              <w:pStyle w:val="6"/>
              <w:spacing w:before="244" w:line="183" w:lineRule="auto"/>
              <w:ind w:left="470"/>
            </w:pPr>
            <w:r>
              <w:rPr>
                <w:spacing w:val="-2"/>
              </w:rPr>
              <w:t>40</w:t>
            </w:r>
          </w:p>
        </w:tc>
        <w:tc>
          <w:tcPr>
            <w:tcW w:w="3510" w:type="dxa"/>
            <w:vAlign w:val="top"/>
          </w:tcPr>
          <w:p w14:paraId="49E29E47">
            <w:pPr>
              <w:pStyle w:val="6"/>
              <w:spacing w:before="196" w:line="220" w:lineRule="auto"/>
              <w:ind w:left="54"/>
            </w:pPr>
            <w:r>
              <w:rPr>
                <w:spacing w:val="3"/>
              </w:rPr>
              <w:t>预防措施处理单(</w:t>
            </w:r>
            <w:r>
              <w:t>ZD</w:t>
            </w:r>
            <w:r>
              <w:rPr>
                <w:spacing w:val="3"/>
              </w:rPr>
              <w:t>-040)</w:t>
            </w:r>
          </w:p>
        </w:tc>
        <w:tc>
          <w:tcPr>
            <w:tcW w:w="3670" w:type="dxa"/>
            <w:tcBorders>
              <w:right w:val="nil"/>
            </w:tcBorders>
            <w:vAlign w:val="top"/>
          </w:tcPr>
          <w:p w14:paraId="6A9871DD">
            <w:pPr>
              <w:pStyle w:val="6"/>
              <w:spacing w:before="75" w:line="219" w:lineRule="auto"/>
              <w:ind w:left="35"/>
            </w:pPr>
            <w:r>
              <w:rPr>
                <w:spacing w:val="1"/>
              </w:rPr>
              <w:t>管理评审控制程序</w:t>
            </w:r>
          </w:p>
          <w:p w14:paraId="150EA466">
            <w:pPr>
              <w:pStyle w:val="6"/>
              <w:spacing w:before="53" w:line="198" w:lineRule="auto"/>
              <w:ind w:left="35"/>
            </w:pPr>
            <w:r>
              <w:rPr>
                <w:spacing w:val="-1"/>
              </w:rPr>
              <w:t>顾客满意度测量控制程序</w:t>
            </w:r>
          </w:p>
        </w:tc>
      </w:tr>
      <w:tr w14:paraId="22B9C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0" w:type="dxa"/>
            <w:tcBorders>
              <w:left w:val="nil"/>
            </w:tcBorders>
            <w:vAlign w:val="top"/>
          </w:tcPr>
          <w:p w14:paraId="2E1AE701">
            <w:pPr>
              <w:pStyle w:val="6"/>
              <w:spacing w:before="124" w:line="180" w:lineRule="auto"/>
              <w:ind w:left="470"/>
            </w:pPr>
            <w:r>
              <w:rPr>
                <w:spacing w:val="-2"/>
              </w:rPr>
              <w:t>41</w:t>
            </w:r>
          </w:p>
        </w:tc>
        <w:tc>
          <w:tcPr>
            <w:tcW w:w="3510" w:type="dxa"/>
            <w:vAlign w:val="top"/>
          </w:tcPr>
          <w:p w14:paraId="6F9378CE">
            <w:pPr>
              <w:pStyle w:val="6"/>
              <w:spacing w:before="76" w:line="219" w:lineRule="auto"/>
              <w:ind w:left="54"/>
            </w:pPr>
            <w:r>
              <w:rPr>
                <w:spacing w:val="2"/>
              </w:rPr>
              <w:t>内部质量审核计划(</w:t>
            </w:r>
            <w:r>
              <w:t>ZD</w:t>
            </w:r>
            <w:r>
              <w:rPr>
                <w:spacing w:val="2"/>
              </w:rPr>
              <w:t>-041)</w:t>
            </w:r>
          </w:p>
        </w:tc>
        <w:tc>
          <w:tcPr>
            <w:tcW w:w="3670" w:type="dxa"/>
            <w:tcBorders>
              <w:right w:val="nil"/>
            </w:tcBorders>
            <w:vAlign w:val="top"/>
          </w:tcPr>
          <w:p w14:paraId="03E400C1">
            <w:pPr>
              <w:pStyle w:val="6"/>
              <w:spacing w:before="76" w:line="219" w:lineRule="auto"/>
              <w:ind w:left="35"/>
            </w:pPr>
            <w:r>
              <w:rPr>
                <w:spacing w:val="1"/>
              </w:rPr>
              <w:t>内部审核控制程序</w:t>
            </w:r>
          </w:p>
        </w:tc>
      </w:tr>
      <w:tr w14:paraId="794D4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40" w:type="dxa"/>
            <w:tcBorders>
              <w:left w:val="nil"/>
            </w:tcBorders>
            <w:vAlign w:val="top"/>
          </w:tcPr>
          <w:p w14:paraId="0070674A">
            <w:pPr>
              <w:pStyle w:val="6"/>
              <w:spacing w:before="125" w:line="183" w:lineRule="auto"/>
              <w:ind w:left="470"/>
            </w:pPr>
            <w:r>
              <w:rPr>
                <w:spacing w:val="-2"/>
              </w:rPr>
              <w:t>42</w:t>
            </w:r>
          </w:p>
        </w:tc>
        <w:tc>
          <w:tcPr>
            <w:tcW w:w="3510" w:type="dxa"/>
            <w:vAlign w:val="top"/>
          </w:tcPr>
          <w:p w14:paraId="15AC61CF">
            <w:pPr>
              <w:pStyle w:val="6"/>
              <w:spacing w:before="75" w:line="218" w:lineRule="auto"/>
              <w:ind w:left="54"/>
            </w:pPr>
            <w:r>
              <w:rPr>
                <w:spacing w:val="2"/>
              </w:rPr>
              <w:t>内审不符合项报告(</w:t>
            </w:r>
            <w:r>
              <w:t>ZD</w:t>
            </w:r>
            <w:r>
              <w:rPr>
                <w:spacing w:val="2"/>
              </w:rPr>
              <w:t>-042)</w:t>
            </w:r>
          </w:p>
        </w:tc>
        <w:tc>
          <w:tcPr>
            <w:tcW w:w="3670" w:type="dxa"/>
            <w:tcBorders>
              <w:right w:val="nil"/>
            </w:tcBorders>
            <w:vAlign w:val="top"/>
          </w:tcPr>
          <w:p w14:paraId="6930EF97">
            <w:pPr>
              <w:pStyle w:val="6"/>
              <w:spacing w:before="76" w:line="219" w:lineRule="auto"/>
              <w:ind w:left="35"/>
            </w:pPr>
            <w:r>
              <w:rPr>
                <w:spacing w:val="1"/>
              </w:rPr>
              <w:t>内部审核控制程序</w:t>
            </w:r>
          </w:p>
        </w:tc>
      </w:tr>
      <w:tr w14:paraId="1BDAD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40" w:type="dxa"/>
            <w:tcBorders>
              <w:left w:val="nil"/>
            </w:tcBorders>
            <w:vAlign w:val="top"/>
          </w:tcPr>
          <w:p w14:paraId="165D599A">
            <w:pPr>
              <w:pStyle w:val="6"/>
              <w:spacing w:before="135" w:line="183" w:lineRule="auto"/>
              <w:ind w:left="470"/>
            </w:pPr>
            <w:r>
              <w:rPr>
                <w:spacing w:val="-2"/>
              </w:rPr>
              <w:t>43</w:t>
            </w:r>
          </w:p>
        </w:tc>
        <w:tc>
          <w:tcPr>
            <w:tcW w:w="3510" w:type="dxa"/>
            <w:vAlign w:val="top"/>
          </w:tcPr>
          <w:p w14:paraId="3D446461">
            <w:pPr>
              <w:pStyle w:val="6"/>
              <w:spacing w:before="85" w:line="218" w:lineRule="auto"/>
              <w:ind w:left="54"/>
            </w:pPr>
            <w:r>
              <w:rPr>
                <w:spacing w:val="2"/>
              </w:rPr>
              <w:t>内部质量审核报告(</w:t>
            </w:r>
            <w:r>
              <w:t>ZD</w:t>
            </w:r>
            <w:r>
              <w:rPr>
                <w:spacing w:val="2"/>
              </w:rPr>
              <w:t>-043)</w:t>
            </w:r>
          </w:p>
        </w:tc>
        <w:tc>
          <w:tcPr>
            <w:tcW w:w="3670" w:type="dxa"/>
            <w:tcBorders>
              <w:right w:val="nil"/>
            </w:tcBorders>
            <w:vAlign w:val="top"/>
          </w:tcPr>
          <w:p w14:paraId="54C951E0">
            <w:pPr>
              <w:pStyle w:val="6"/>
              <w:spacing w:before="86" w:line="219" w:lineRule="auto"/>
              <w:ind w:left="35"/>
            </w:pPr>
            <w:r>
              <w:rPr>
                <w:spacing w:val="1"/>
              </w:rPr>
              <w:t>内部审核控制程序</w:t>
            </w:r>
          </w:p>
        </w:tc>
      </w:tr>
      <w:tr w14:paraId="63518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0" w:type="dxa"/>
            <w:tcBorders>
              <w:left w:val="nil"/>
            </w:tcBorders>
            <w:vAlign w:val="top"/>
          </w:tcPr>
          <w:p w14:paraId="345D7215">
            <w:pPr>
              <w:pStyle w:val="6"/>
              <w:spacing w:before="125" w:line="179" w:lineRule="auto"/>
              <w:ind w:left="470"/>
            </w:pPr>
            <w:r>
              <w:rPr>
                <w:spacing w:val="-2"/>
              </w:rPr>
              <w:t>44</w:t>
            </w:r>
          </w:p>
        </w:tc>
        <w:tc>
          <w:tcPr>
            <w:tcW w:w="3510" w:type="dxa"/>
            <w:vAlign w:val="top"/>
          </w:tcPr>
          <w:p w14:paraId="711AE3C9">
            <w:pPr>
              <w:pStyle w:val="6"/>
              <w:spacing w:before="76" w:line="219" w:lineRule="auto"/>
              <w:ind w:left="54"/>
            </w:pPr>
            <w:r>
              <w:rPr>
                <w:spacing w:val="2"/>
              </w:rPr>
              <w:t>内部质量审核检查表(</w:t>
            </w:r>
            <w:r>
              <w:t>ZD</w:t>
            </w:r>
            <w:r>
              <w:rPr>
                <w:spacing w:val="2"/>
              </w:rPr>
              <w:t>-044)</w:t>
            </w:r>
          </w:p>
        </w:tc>
        <w:tc>
          <w:tcPr>
            <w:tcW w:w="3670" w:type="dxa"/>
            <w:tcBorders>
              <w:right w:val="nil"/>
            </w:tcBorders>
            <w:vAlign w:val="top"/>
          </w:tcPr>
          <w:p w14:paraId="691B1696">
            <w:pPr>
              <w:pStyle w:val="6"/>
              <w:spacing w:before="76" w:line="219" w:lineRule="auto"/>
              <w:ind w:left="35"/>
            </w:pPr>
            <w:r>
              <w:rPr>
                <w:spacing w:val="1"/>
              </w:rPr>
              <w:t>内部审核控制程序</w:t>
            </w:r>
          </w:p>
        </w:tc>
      </w:tr>
      <w:tr w14:paraId="61015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40" w:type="dxa"/>
            <w:tcBorders>
              <w:left w:val="nil"/>
            </w:tcBorders>
            <w:vAlign w:val="top"/>
          </w:tcPr>
          <w:p w14:paraId="14453A19">
            <w:pPr>
              <w:pStyle w:val="6"/>
              <w:spacing w:before="125" w:line="183" w:lineRule="auto"/>
              <w:ind w:left="470"/>
            </w:pPr>
            <w:r>
              <w:rPr>
                <w:spacing w:val="-2"/>
              </w:rPr>
              <w:t>45</w:t>
            </w:r>
          </w:p>
        </w:tc>
        <w:tc>
          <w:tcPr>
            <w:tcW w:w="3510" w:type="dxa"/>
            <w:vAlign w:val="top"/>
          </w:tcPr>
          <w:p w14:paraId="3889E1B1">
            <w:pPr>
              <w:pStyle w:val="6"/>
              <w:spacing w:before="76" w:line="219" w:lineRule="auto"/>
              <w:ind w:left="54"/>
            </w:pPr>
            <w:r>
              <w:rPr>
                <w:spacing w:val="2"/>
              </w:rPr>
              <w:t>不合格项目评审记录(</w:t>
            </w:r>
            <w:r>
              <w:t>ZD</w:t>
            </w:r>
            <w:r>
              <w:rPr>
                <w:spacing w:val="2"/>
              </w:rPr>
              <w:t>-045)</w:t>
            </w:r>
          </w:p>
        </w:tc>
        <w:tc>
          <w:tcPr>
            <w:tcW w:w="3670" w:type="dxa"/>
            <w:tcBorders>
              <w:right w:val="nil"/>
            </w:tcBorders>
            <w:vAlign w:val="top"/>
          </w:tcPr>
          <w:p w14:paraId="628360E4">
            <w:pPr>
              <w:pStyle w:val="6"/>
              <w:spacing w:before="76" w:line="219" w:lineRule="auto"/>
              <w:ind w:left="35"/>
            </w:pPr>
            <w:r>
              <w:rPr>
                <w:spacing w:val="1"/>
              </w:rPr>
              <w:t>不合格品控制程序</w:t>
            </w:r>
          </w:p>
        </w:tc>
      </w:tr>
      <w:tr w14:paraId="5B80F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0" w:type="dxa"/>
            <w:tcBorders>
              <w:left w:val="nil"/>
            </w:tcBorders>
            <w:vAlign w:val="top"/>
          </w:tcPr>
          <w:p w14:paraId="671D6FDF">
            <w:pPr>
              <w:pStyle w:val="6"/>
              <w:spacing w:before="125" w:line="179" w:lineRule="auto"/>
              <w:ind w:left="470"/>
            </w:pPr>
            <w:r>
              <w:rPr>
                <w:spacing w:val="-2"/>
              </w:rPr>
              <w:t>46</w:t>
            </w:r>
          </w:p>
        </w:tc>
        <w:tc>
          <w:tcPr>
            <w:tcW w:w="3510" w:type="dxa"/>
            <w:vAlign w:val="top"/>
          </w:tcPr>
          <w:p w14:paraId="7893191F">
            <w:pPr>
              <w:pStyle w:val="6"/>
              <w:spacing w:before="75" w:line="218" w:lineRule="auto"/>
              <w:ind w:left="54"/>
            </w:pPr>
            <w:r>
              <w:rPr>
                <w:spacing w:val="2"/>
              </w:rPr>
              <w:t>不合格项目报告单(</w:t>
            </w:r>
            <w:r>
              <w:t>ZD</w:t>
            </w:r>
            <w:r>
              <w:rPr>
                <w:spacing w:val="2"/>
              </w:rPr>
              <w:t>-046)</w:t>
            </w:r>
          </w:p>
        </w:tc>
        <w:tc>
          <w:tcPr>
            <w:tcW w:w="3670" w:type="dxa"/>
            <w:tcBorders>
              <w:right w:val="nil"/>
            </w:tcBorders>
            <w:vAlign w:val="top"/>
          </w:tcPr>
          <w:p w14:paraId="0FC4BCAE">
            <w:pPr>
              <w:pStyle w:val="6"/>
              <w:spacing w:before="76" w:line="219" w:lineRule="auto"/>
              <w:ind w:left="35"/>
            </w:pPr>
            <w:r>
              <w:rPr>
                <w:spacing w:val="1"/>
              </w:rPr>
              <w:t>不合格品控制程序</w:t>
            </w:r>
          </w:p>
        </w:tc>
      </w:tr>
      <w:tr w14:paraId="181B5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140" w:type="dxa"/>
            <w:tcBorders>
              <w:left w:val="nil"/>
            </w:tcBorders>
            <w:vAlign w:val="top"/>
          </w:tcPr>
          <w:p w14:paraId="04F8CF05">
            <w:pPr>
              <w:pStyle w:val="6"/>
              <w:spacing w:before="125" w:line="183" w:lineRule="auto"/>
              <w:ind w:left="470"/>
            </w:pPr>
            <w:r>
              <w:rPr>
                <w:spacing w:val="-2"/>
              </w:rPr>
              <w:t>47</w:t>
            </w:r>
          </w:p>
        </w:tc>
        <w:tc>
          <w:tcPr>
            <w:tcW w:w="3510" w:type="dxa"/>
            <w:vAlign w:val="top"/>
          </w:tcPr>
          <w:p w14:paraId="2808C8D7">
            <w:pPr>
              <w:pStyle w:val="6"/>
              <w:spacing w:before="76" w:line="219" w:lineRule="auto"/>
              <w:ind w:left="54"/>
            </w:pPr>
            <w:r>
              <w:rPr>
                <w:spacing w:val="2"/>
              </w:rPr>
              <w:t>不合格项目复检记录(</w:t>
            </w:r>
            <w:r>
              <w:t>ZD</w:t>
            </w:r>
            <w:r>
              <w:rPr>
                <w:spacing w:val="2"/>
              </w:rPr>
              <w:t>-047)</w:t>
            </w:r>
          </w:p>
        </w:tc>
        <w:tc>
          <w:tcPr>
            <w:tcW w:w="3670" w:type="dxa"/>
            <w:tcBorders>
              <w:right w:val="nil"/>
            </w:tcBorders>
            <w:vAlign w:val="top"/>
          </w:tcPr>
          <w:p w14:paraId="4022CD2A">
            <w:pPr>
              <w:pStyle w:val="6"/>
              <w:spacing w:before="76" w:line="219" w:lineRule="auto"/>
              <w:ind w:left="35"/>
            </w:pPr>
            <w:r>
              <w:rPr>
                <w:spacing w:val="1"/>
              </w:rPr>
              <w:t>不合格品控制程序</w:t>
            </w:r>
          </w:p>
        </w:tc>
      </w:tr>
      <w:tr w14:paraId="3D6B2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40" w:type="dxa"/>
            <w:tcBorders>
              <w:left w:val="nil"/>
            </w:tcBorders>
            <w:vAlign w:val="top"/>
          </w:tcPr>
          <w:p w14:paraId="465F0BEA">
            <w:pPr>
              <w:pStyle w:val="6"/>
              <w:spacing w:before="126" w:line="183" w:lineRule="auto"/>
              <w:ind w:left="470"/>
            </w:pPr>
            <w:r>
              <w:rPr>
                <w:spacing w:val="-2"/>
              </w:rPr>
              <w:t>48</w:t>
            </w:r>
          </w:p>
        </w:tc>
        <w:tc>
          <w:tcPr>
            <w:tcW w:w="3510" w:type="dxa"/>
            <w:vAlign w:val="top"/>
          </w:tcPr>
          <w:p w14:paraId="6DCDAE6C">
            <w:pPr>
              <w:pStyle w:val="6"/>
              <w:spacing w:before="77" w:line="219" w:lineRule="auto"/>
              <w:ind w:left="54"/>
            </w:pPr>
            <w:r>
              <w:rPr>
                <w:spacing w:val="3"/>
              </w:rPr>
              <w:t>质量数据收集表(</w:t>
            </w:r>
            <w:r>
              <w:t>ZD</w:t>
            </w:r>
            <w:r>
              <w:rPr>
                <w:spacing w:val="3"/>
              </w:rPr>
              <w:t>-048)</w:t>
            </w:r>
          </w:p>
        </w:tc>
        <w:tc>
          <w:tcPr>
            <w:tcW w:w="3670" w:type="dxa"/>
            <w:tcBorders>
              <w:right w:val="nil"/>
            </w:tcBorders>
            <w:vAlign w:val="top"/>
          </w:tcPr>
          <w:p w14:paraId="6E7756F8">
            <w:pPr>
              <w:pStyle w:val="6"/>
              <w:spacing w:before="77" w:line="219" w:lineRule="auto"/>
              <w:ind w:left="35"/>
            </w:pPr>
            <w:r>
              <w:rPr>
                <w:spacing w:val="1"/>
              </w:rPr>
              <w:t>数据分析控制程序</w:t>
            </w:r>
          </w:p>
        </w:tc>
      </w:tr>
      <w:tr w14:paraId="6DCE2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40" w:type="dxa"/>
            <w:tcBorders>
              <w:left w:val="nil"/>
            </w:tcBorders>
            <w:vAlign w:val="top"/>
          </w:tcPr>
          <w:p w14:paraId="6B766AD6">
            <w:pPr>
              <w:pStyle w:val="6"/>
              <w:spacing w:before="126" w:line="183" w:lineRule="auto"/>
              <w:ind w:left="470"/>
            </w:pPr>
            <w:r>
              <w:rPr>
                <w:spacing w:val="-2"/>
              </w:rPr>
              <w:t>49</w:t>
            </w:r>
          </w:p>
        </w:tc>
        <w:tc>
          <w:tcPr>
            <w:tcW w:w="3510" w:type="dxa"/>
            <w:vAlign w:val="top"/>
          </w:tcPr>
          <w:p w14:paraId="143E3D67">
            <w:pPr>
              <w:pStyle w:val="6"/>
              <w:spacing w:before="77" w:line="219" w:lineRule="auto"/>
              <w:ind w:left="54"/>
            </w:pPr>
            <w:r>
              <w:rPr>
                <w:spacing w:val="2"/>
              </w:rPr>
              <w:t>质量数据统计和分析表(</w:t>
            </w:r>
            <w:r>
              <w:t>ZD</w:t>
            </w:r>
            <w:r>
              <w:rPr>
                <w:spacing w:val="2"/>
              </w:rPr>
              <w:t>-049)</w:t>
            </w:r>
          </w:p>
        </w:tc>
        <w:tc>
          <w:tcPr>
            <w:tcW w:w="3670" w:type="dxa"/>
            <w:tcBorders>
              <w:right w:val="nil"/>
            </w:tcBorders>
            <w:vAlign w:val="top"/>
          </w:tcPr>
          <w:p w14:paraId="7E9DCBEF">
            <w:pPr>
              <w:pStyle w:val="6"/>
              <w:spacing w:before="77" w:line="219" w:lineRule="auto"/>
              <w:ind w:left="35"/>
            </w:pPr>
            <w:r>
              <w:rPr>
                <w:spacing w:val="1"/>
              </w:rPr>
              <w:t>数据分析控制程序</w:t>
            </w:r>
          </w:p>
        </w:tc>
      </w:tr>
      <w:tr w14:paraId="5FB66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0" w:type="dxa"/>
            <w:tcBorders>
              <w:left w:val="nil"/>
            </w:tcBorders>
            <w:vAlign w:val="top"/>
          </w:tcPr>
          <w:p w14:paraId="4AD59638">
            <w:pPr>
              <w:pStyle w:val="6"/>
              <w:spacing w:before="126" w:line="178" w:lineRule="auto"/>
              <w:ind w:left="470"/>
            </w:pPr>
            <w:r>
              <w:rPr>
                <w:spacing w:val="-3"/>
              </w:rPr>
              <w:t>50</w:t>
            </w:r>
          </w:p>
        </w:tc>
        <w:tc>
          <w:tcPr>
            <w:tcW w:w="3510" w:type="dxa"/>
            <w:vAlign w:val="top"/>
          </w:tcPr>
          <w:p w14:paraId="5CE0548D">
            <w:pPr>
              <w:pStyle w:val="6"/>
              <w:spacing w:before="78" w:line="220" w:lineRule="auto"/>
              <w:ind w:left="54"/>
            </w:pPr>
            <w:r>
              <w:rPr>
                <w:spacing w:val="3"/>
              </w:rPr>
              <w:t>纠正措施要求表(</w:t>
            </w:r>
            <w:r>
              <w:t>ZD</w:t>
            </w:r>
            <w:r>
              <w:rPr>
                <w:spacing w:val="3"/>
              </w:rPr>
              <w:t>-050)</w:t>
            </w:r>
          </w:p>
        </w:tc>
        <w:tc>
          <w:tcPr>
            <w:tcW w:w="3670" w:type="dxa"/>
            <w:tcBorders>
              <w:right w:val="nil"/>
            </w:tcBorders>
            <w:vAlign w:val="top"/>
          </w:tcPr>
          <w:p w14:paraId="033F575F">
            <w:pPr>
              <w:pStyle w:val="6"/>
              <w:spacing w:before="78" w:line="220" w:lineRule="auto"/>
              <w:ind w:left="35"/>
            </w:pPr>
            <w:r>
              <w:rPr>
                <w:spacing w:val="1"/>
              </w:rPr>
              <w:t>纠正措施控制程序</w:t>
            </w:r>
          </w:p>
        </w:tc>
      </w:tr>
      <w:tr w14:paraId="4B21A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40" w:type="dxa"/>
            <w:tcBorders>
              <w:left w:val="nil"/>
            </w:tcBorders>
            <w:vAlign w:val="top"/>
          </w:tcPr>
          <w:p w14:paraId="16060734">
            <w:pPr>
              <w:pStyle w:val="6"/>
              <w:spacing w:before="125" w:line="184" w:lineRule="auto"/>
              <w:ind w:left="470"/>
            </w:pPr>
            <w:r>
              <w:rPr>
                <w:spacing w:val="-3"/>
              </w:rPr>
              <w:t>51</w:t>
            </w:r>
          </w:p>
        </w:tc>
        <w:tc>
          <w:tcPr>
            <w:tcW w:w="3510" w:type="dxa"/>
            <w:vAlign w:val="top"/>
          </w:tcPr>
          <w:p w14:paraId="6E038230">
            <w:pPr>
              <w:pStyle w:val="6"/>
              <w:spacing w:before="78" w:line="220" w:lineRule="auto"/>
              <w:ind w:left="54"/>
            </w:pPr>
            <w:r>
              <w:rPr>
                <w:spacing w:val="3"/>
              </w:rPr>
              <w:t>预防措施要求表(</w:t>
            </w:r>
            <w:r>
              <w:t>ZD</w:t>
            </w:r>
            <w:r>
              <w:rPr>
                <w:spacing w:val="3"/>
              </w:rPr>
              <w:t>-051)</w:t>
            </w:r>
          </w:p>
        </w:tc>
        <w:tc>
          <w:tcPr>
            <w:tcW w:w="3670" w:type="dxa"/>
            <w:tcBorders>
              <w:right w:val="nil"/>
            </w:tcBorders>
            <w:vAlign w:val="top"/>
          </w:tcPr>
          <w:p w14:paraId="5D5A5741">
            <w:pPr>
              <w:pStyle w:val="6"/>
              <w:spacing w:before="78" w:line="220" w:lineRule="auto"/>
              <w:ind w:left="35"/>
            </w:pPr>
            <w:r>
              <w:rPr>
                <w:spacing w:val="1"/>
              </w:rPr>
              <w:t>预防措施控制程序</w:t>
            </w:r>
          </w:p>
        </w:tc>
      </w:tr>
      <w:tr w14:paraId="024AA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140" w:type="dxa"/>
            <w:tcBorders>
              <w:left w:val="nil"/>
            </w:tcBorders>
            <w:vAlign w:val="top"/>
          </w:tcPr>
          <w:p w14:paraId="2AFEBBA7">
            <w:pPr>
              <w:pStyle w:val="6"/>
              <w:spacing w:before="91" w:line="226" w:lineRule="auto"/>
              <w:ind w:left="379"/>
            </w:pPr>
            <w:r>
              <w:rPr>
                <w:spacing w:val="-2"/>
              </w:rPr>
              <w:t>52◆</w:t>
            </w:r>
          </w:p>
        </w:tc>
        <w:tc>
          <w:tcPr>
            <w:tcW w:w="3510" w:type="dxa"/>
            <w:vAlign w:val="top"/>
          </w:tcPr>
          <w:p w14:paraId="1ED6E03C">
            <w:pPr>
              <w:pStyle w:val="6"/>
              <w:spacing w:before="76" w:line="219" w:lineRule="auto"/>
              <w:ind w:left="54"/>
            </w:pPr>
            <w:r>
              <w:rPr>
                <w:spacing w:val="2"/>
              </w:rPr>
              <w:t>监理项目总监理工程师授权书(</w:t>
            </w:r>
            <w:r>
              <w:t>ZD</w:t>
            </w:r>
            <w:r>
              <w:rPr>
                <w:spacing w:val="2"/>
              </w:rPr>
              <w:t>-052)</w:t>
            </w:r>
          </w:p>
        </w:tc>
        <w:tc>
          <w:tcPr>
            <w:tcW w:w="3670" w:type="dxa"/>
            <w:tcBorders>
              <w:right w:val="nil"/>
            </w:tcBorders>
            <w:vAlign w:val="top"/>
          </w:tcPr>
          <w:p w14:paraId="0CEB77F8">
            <w:pPr>
              <w:pStyle w:val="6"/>
              <w:spacing w:before="76" w:line="219" w:lineRule="auto"/>
              <w:ind w:left="35"/>
            </w:pPr>
            <w:r>
              <w:rPr>
                <w:spacing w:val="-1"/>
              </w:rPr>
              <w:t>信息系统工程监理服务提供控制程序</w:t>
            </w:r>
          </w:p>
        </w:tc>
      </w:tr>
    </w:tbl>
    <w:p w14:paraId="6CC1AB5F">
      <w:pPr>
        <w:pStyle w:val="2"/>
        <w:spacing w:before="168" w:line="222" w:lineRule="auto"/>
        <w:ind w:left="412"/>
        <w:rPr>
          <w:rFonts w:ascii="黑体" w:hAnsi="黑体" w:eastAsia="黑体" w:cs="黑体"/>
          <w:sz w:val="19"/>
          <w:szCs w:val="19"/>
        </w:rPr>
      </w:pPr>
      <w:r>
        <w:rPr>
          <w:b/>
          <w:bCs/>
          <w:color w:val="006DCD"/>
          <w:spacing w:val="8"/>
          <w:sz w:val="19"/>
          <w:szCs w:val="19"/>
        </w:rPr>
        <w:t>3.</w:t>
      </w:r>
      <w:r>
        <w:rPr>
          <w:rFonts w:ascii="黑体" w:hAnsi="黑体" w:eastAsia="黑体" w:cs="黑体"/>
          <w:b/>
          <w:bCs/>
          <w:color w:val="006DCD"/>
          <w:spacing w:val="8"/>
          <w:sz w:val="19"/>
          <w:szCs w:val="19"/>
        </w:rPr>
        <w:t>承建单位待审文档</w:t>
      </w:r>
    </w:p>
    <w:p w14:paraId="3119DB1E">
      <w:pPr>
        <w:pStyle w:val="2"/>
        <w:spacing w:before="124" w:line="307" w:lineRule="auto"/>
        <w:ind w:right="257" w:firstLine="409"/>
        <w:rPr>
          <w:sz w:val="19"/>
          <w:szCs w:val="19"/>
        </w:rPr>
      </w:pPr>
      <w:r>
        <w:rPr>
          <w:spacing w:val="13"/>
          <w:sz w:val="19"/>
          <w:szCs w:val="19"/>
        </w:rPr>
        <w:t>监理单位在不同的监理阶段需要审核承建单位提供的待审文档，项目不同，待审</w:t>
      </w:r>
      <w:r>
        <w:rPr>
          <w:spacing w:val="12"/>
          <w:sz w:val="19"/>
          <w:szCs w:val="19"/>
        </w:rPr>
        <w:t>的文档种</w:t>
      </w:r>
      <w:r>
        <w:rPr>
          <w:sz w:val="19"/>
          <w:szCs w:val="19"/>
        </w:rPr>
        <w:t xml:space="preserve"> </w:t>
      </w:r>
      <w:r>
        <w:rPr>
          <w:spacing w:val="10"/>
          <w:sz w:val="19"/>
          <w:szCs w:val="19"/>
        </w:rPr>
        <w:t>类也不同，表14-5展示了本项目的承建单位待审文档。</w:t>
      </w:r>
    </w:p>
    <w:p w14:paraId="2519F80D">
      <w:pPr>
        <w:spacing w:line="307" w:lineRule="auto"/>
        <w:rPr>
          <w:sz w:val="19"/>
          <w:szCs w:val="19"/>
        </w:rPr>
        <w:sectPr>
          <w:pgSz w:w="10280" w:h="13310"/>
          <w:pgMar w:top="350" w:right="588" w:bottom="400" w:left="1110" w:header="0" w:footer="0" w:gutter="0"/>
          <w:cols w:space="720" w:num="1"/>
        </w:sectPr>
      </w:pPr>
    </w:p>
    <w:p w14:paraId="28A2C1A0">
      <w:pPr>
        <w:pStyle w:val="2"/>
        <w:rPr>
          <w:sz w:val="19"/>
          <w:szCs w:val="19"/>
        </w:rPr>
      </w:pPr>
      <w:r>
        <w:rPr>
          <w:rFonts w:ascii="Times New Roman" w:hAnsi="Times New Roman" w:eastAsia="Times New Roman" w:cs="Times New Roman"/>
          <w:b/>
          <w:bCs/>
          <w:spacing w:val="4"/>
          <w:sz w:val="19"/>
          <w:szCs w:val="19"/>
        </w:rPr>
        <w:t>346</w:t>
      </w:r>
      <w:r>
        <w:rPr>
          <w:rFonts w:ascii="Times New Roman" w:hAnsi="Times New Roman" w:eastAsia="Times New Roman" w:cs="Times New Roman"/>
          <w:b/>
          <w:bCs/>
          <w:spacing w:val="35"/>
          <w:sz w:val="19"/>
          <w:szCs w:val="19"/>
        </w:rPr>
        <w:t xml:space="preserve"> </w:t>
      </w:r>
      <w:r>
        <w:rPr>
          <w:position w:val="-10"/>
          <w:sz w:val="19"/>
          <w:szCs w:val="19"/>
        </w:rPr>
        <w:drawing>
          <wp:inline distT="0" distB="0" distL="0" distR="0">
            <wp:extent cx="278765" cy="247650"/>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216"/>
                    <a:stretch>
                      <a:fillRect/>
                    </a:stretch>
                  </pic:blipFill>
                  <pic:spPr>
                    <a:xfrm>
                      <a:off x="0" y="0"/>
                      <a:ext cx="279344" cy="247654"/>
                    </a:xfrm>
                    <a:prstGeom prst="rect">
                      <a:avLst/>
                    </a:prstGeom>
                  </pic:spPr>
                </pic:pic>
              </a:graphicData>
            </a:graphic>
          </wp:inline>
        </w:drawing>
      </w:r>
      <w:r>
        <w:rPr>
          <w:rFonts w:ascii="Times New Roman" w:hAnsi="Times New Roman" w:eastAsia="Times New Roman" w:cs="Times New Roman"/>
          <w:b/>
          <w:bCs/>
          <w:spacing w:val="12"/>
          <w:w w:val="101"/>
          <w:sz w:val="19"/>
          <w:szCs w:val="19"/>
        </w:rPr>
        <w:t xml:space="preserve">   </w:t>
      </w:r>
      <w:r>
        <w:rPr>
          <w:spacing w:val="4"/>
          <w:sz w:val="19"/>
          <w:szCs w:val="19"/>
        </w:rPr>
        <w:t>信息系统监理师教程(第2版)</w:t>
      </w:r>
    </w:p>
    <w:p w14:paraId="6BE16FC3">
      <w:pPr>
        <w:spacing w:line="280" w:lineRule="auto"/>
        <w:rPr>
          <w:rFonts w:ascii="Arial"/>
          <w:sz w:val="21"/>
        </w:rPr>
      </w:pPr>
    </w:p>
    <w:p w14:paraId="486796A3">
      <w:pPr>
        <w:spacing w:before="62" w:line="222" w:lineRule="auto"/>
        <w:ind w:left="3152"/>
        <w:rPr>
          <w:rFonts w:ascii="黑体" w:hAnsi="黑体" w:eastAsia="黑体" w:cs="黑体"/>
          <w:sz w:val="19"/>
          <w:szCs w:val="19"/>
        </w:rPr>
      </w:pPr>
      <w:bookmarkStart w:id="662" w:name="bookmark647"/>
      <w:bookmarkEnd w:id="662"/>
      <w:r>
        <w:rPr>
          <w:rFonts w:ascii="黑体" w:hAnsi="黑体" w:eastAsia="黑体" w:cs="黑体"/>
          <w:b/>
          <w:bCs/>
          <w:spacing w:val="-7"/>
          <w:sz w:val="19"/>
          <w:szCs w:val="19"/>
        </w:rPr>
        <w:t>表14-5</w:t>
      </w:r>
      <w:r>
        <w:rPr>
          <w:rFonts w:ascii="黑体" w:hAnsi="黑体" w:eastAsia="黑体" w:cs="黑体"/>
          <w:spacing w:val="62"/>
          <w:sz w:val="19"/>
          <w:szCs w:val="19"/>
        </w:rPr>
        <w:t xml:space="preserve"> </w:t>
      </w:r>
      <w:r>
        <w:rPr>
          <w:rFonts w:ascii="黑体" w:hAnsi="黑体" w:eastAsia="黑体" w:cs="黑体"/>
          <w:b/>
          <w:bCs/>
          <w:spacing w:val="-7"/>
          <w:sz w:val="19"/>
          <w:szCs w:val="19"/>
        </w:rPr>
        <w:t>某项目承建单位待审文档</w:t>
      </w:r>
    </w:p>
    <w:p w14:paraId="2730A0BC">
      <w:pPr>
        <w:spacing w:line="112" w:lineRule="exact"/>
      </w:pPr>
    </w:p>
    <w:tbl>
      <w:tblPr>
        <w:tblStyle w:val="5"/>
        <w:tblW w:w="8340" w:type="dxa"/>
        <w:tblInd w:w="3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0"/>
        <w:gridCol w:w="2080"/>
        <w:gridCol w:w="2510"/>
        <w:gridCol w:w="2800"/>
      </w:tblGrid>
      <w:tr w14:paraId="2EFFE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950" w:type="dxa"/>
            <w:tcBorders>
              <w:left w:val="nil"/>
            </w:tcBorders>
            <w:vAlign w:val="top"/>
          </w:tcPr>
          <w:p w14:paraId="281F0ACF">
            <w:pPr>
              <w:pStyle w:val="6"/>
              <w:spacing w:before="80" w:line="221" w:lineRule="auto"/>
              <w:ind w:left="292"/>
              <w:rPr>
                <w:sz w:val="18"/>
                <w:szCs w:val="18"/>
              </w:rPr>
            </w:pPr>
            <w:r>
              <w:rPr>
                <w:b/>
                <w:bCs/>
                <w:spacing w:val="-4"/>
                <w:sz w:val="18"/>
                <w:szCs w:val="18"/>
              </w:rPr>
              <w:t>序号</w:t>
            </w:r>
          </w:p>
        </w:tc>
        <w:tc>
          <w:tcPr>
            <w:tcW w:w="2080" w:type="dxa"/>
            <w:vAlign w:val="top"/>
          </w:tcPr>
          <w:p w14:paraId="1EB29ED3">
            <w:pPr>
              <w:pStyle w:val="6"/>
              <w:spacing w:before="79" w:line="219" w:lineRule="auto"/>
              <w:ind w:left="857"/>
              <w:rPr>
                <w:sz w:val="18"/>
                <w:szCs w:val="18"/>
              </w:rPr>
            </w:pPr>
            <w:r>
              <w:rPr>
                <w:b/>
                <w:bCs/>
                <w:spacing w:val="-5"/>
                <w:sz w:val="18"/>
                <w:szCs w:val="18"/>
              </w:rPr>
              <w:t>分类</w:t>
            </w:r>
          </w:p>
        </w:tc>
        <w:tc>
          <w:tcPr>
            <w:tcW w:w="2510" w:type="dxa"/>
            <w:vAlign w:val="top"/>
          </w:tcPr>
          <w:p w14:paraId="7532E6A9">
            <w:pPr>
              <w:pStyle w:val="6"/>
              <w:spacing w:before="79" w:line="219" w:lineRule="auto"/>
              <w:ind w:left="887"/>
              <w:rPr>
                <w:sz w:val="18"/>
                <w:szCs w:val="18"/>
              </w:rPr>
            </w:pPr>
            <w:r>
              <w:rPr>
                <w:b/>
                <w:bCs/>
                <w:spacing w:val="-4"/>
                <w:sz w:val="18"/>
                <w:szCs w:val="18"/>
              </w:rPr>
              <w:t>文件名称</w:t>
            </w:r>
          </w:p>
        </w:tc>
        <w:tc>
          <w:tcPr>
            <w:tcW w:w="2800" w:type="dxa"/>
            <w:tcBorders>
              <w:right w:val="nil"/>
            </w:tcBorders>
            <w:vAlign w:val="top"/>
          </w:tcPr>
          <w:p w14:paraId="00D14FDD">
            <w:pPr>
              <w:pStyle w:val="6"/>
              <w:spacing w:before="79" w:line="219" w:lineRule="auto"/>
              <w:ind w:left="1037"/>
              <w:rPr>
                <w:sz w:val="18"/>
                <w:szCs w:val="18"/>
              </w:rPr>
            </w:pPr>
            <w:r>
              <w:rPr>
                <w:b/>
                <w:bCs/>
                <w:spacing w:val="-4"/>
                <w:sz w:val="18"/>
                <w:szCs w:val="18"/>
              </w:rPr>
              <w:t>文件编号</w:t>
            </w:r>
          </w:p>
        </w:tc>
      </w:tr>
      <w:tr w14:paraId="17DA2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50" w:type="dxa"/>
            <w:tcBorders>
              <w:left w:val="nil"/>
            </w:tcBorders>
            <w:vAlign w:val="top"/>
          </w:tcPr>
          <w:p w14:paraId="21775669">
            <w:pPr>
              <w:pStyle w:val="6"/>
              <w:spacing w:before="123" w:line="184" w:lineRule="auto"/>
              <w:ind w:left="430"/>
              <w:rPr>
                <w:sz w:val="18"/>
                <w:szCs w:val="18"/>
              </w:rPr>
            </w:pPr>
            <w:r>
              <w:rPr>
                <w:sz w:val="18"/>
                <w:szCs w:val="18"/>
              </w:rPr>
              <w:t>1</w:t>
            </w:r>
          </w:p>
        </w:tc>
        <w:tc>
          <w:tcPr>
            <w:tcW w:w="2080" w:type="dxa"/>
            <w:vMerge w:val="restart"/>
            <w:tcBorders>
              <w:bottom w:val="nil"/>
            </w:tcBorders>
            <w:vAlign w:val="top"/>
          </w:tcPr>
          <w:p w14:paraId="38B86970">
            <w:pPr>
              <w:spacing w:line="357" w:lineRule="auto"/>
              <w:rPr>
                <w:rFonts w:ascii="Arial"/>
                <w:sz w:val="21"/>
              </w:rPr>
            </w:pPr>
          </w:p>
          <w:p w14:paraId="318F51CC">
            <w:pPr>
              <w:pStyle w:val="6"/>
              <w:spacing w:before="59" w:line="219" w:lineRule="auto"/>
              <w:ind w:left="315"/>
              <w:rPr>
                <w:sz w:val="18"/>
                <w:szCs w:val="18"/>
              </w:rPr>
            </w:pPr>
            <w:r>
              <w:rPr>
                <w:spacing w:val="1"/>
                <w:sz w:val="18"/>
                <w:szCs w:val="18"/>
              </w:rPr>
              <w:t>招标阶段待审文档</w:t>
            </w:r>
          </w:p>
        </w:tc>
        <w:tc>
          <w:tcPr>
            <w:tcW w:w="2510" w:type="dxa"/>
            <w:vAlign w:val="top"/>
          </w:tcPr>
          <w:p w14:paraId="044858C7">
            <w:pPr>
              <w:pStyle w:val="6"/>
              <w:spacing w:before="78" w:line="219" w:lineRule="auto"/>
              <w:ind w:left="885"/>
              <w:rPr>
                <w:sz w:val="18"/>
                <w:szCs w:val="18"/>
              </w:rPr>
            </w:pPr>
            <w:r>
              <w:rPr>
                <w:spacing w:val="-2"/>
                <w:sz w:val="18"/>
                <w:szCs w:val="18"/>
              </w:rPr>
              <w:t>投标申请</w:t>
            </w:r>
          </w:p>
        </w:tc>
        <w:tc>
          <w:tcPr>
            <w:tcW w:w="2800" w:type="dxa"/>
            <w:tcBorders>
              <w:right w:val="nil"/>
            </w:tcBorders>
            <w:vAlign w:val="top"/>
          </w:tcPr>
          <w:p w14:paraId="6944926A">
            <w:pPr>
              <w:pStyle w:val="6"/>
              <w:spacing w:before="76" w:line="218" w:lineRule="auto"/>
              <w:ind w:left="715"/>
              <w:rPr>
                <w:sz w:val="18"/>
                <w:szCs w:val="18"/>
              </w:rPr>
            </w:pPr>
            <w:r>
              <w:rPr>
                <w:spacing w:val="-1"/>
                <w:sz w:val="18"/>
                <w:szCs w:val="18"/>
              </w:rPr>
              <w:t>CJ-001-****-###</w:t>
            </w:r>
          </w:p>
        </w:tc>
      </w:tr>
      <w:tr w14:paraId="25A55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50" w:type="dxa"/>
            <w:tcBorders>
              <w:left w:val="nil"/>
            </w:tcBorders>
            <w:vAlign w:val="top"/>
          </w:tcPr>
          <w:p w14:paraId="40AE6965">
            <w:pPr>
              <w:pStyle w:val="6"/>
              <w:spacing w:before="125" w:line="183" w:lineRule="auto"/>
              <w:ind w:left="430"/>
              <w:rPr>
                <w:sz w:val="18"/>
                <w:szCs w:val="18"/>
              </w:rPr>
            </w:pPr>
            <w:r>
              <w:rPr>
                <w:sz w:val="18"/>
                <w:szCs w:val="18"/>
              </w:rPr>
              <w:t>2</w:t>
            </w:r>
          </w:p>
        </w:tc>
        <w:tc>
          <w:tcPr>
            <w:tcW w:w="2080" w:type="dxa"/>
            <w:vMerge w:val="continue"/>
            <w:tcBorders>
              <w:top w:val="nil"/>
              <w:bottom w:val="nil"/>
            </w:tcBorders>
            <w:vAlign w:val="top"/>
          </w:tcPr>
          <w:p w14:paraId="6983D200">
            <w:pPr>
              <w:rPr>
                <w:rFonts w:ascii="Arial"/>
                <w:sz w:val="21"/>
              </w:rPr>
            </w:pPr>
          </w:p>
        </w:tc>
        <w:tc>
          <w:tcPr>
            <w:tcW w:w="2510" w:type="dxa"/>
            <w:vAlign w:val="top"/>
          </w:tcPr>
          <w:p w14:paraId="6AFC2BD4">
            <w:pPr>
              <w:pStyle w:val="6"/>
              <w:spacing w:before="79" w:line="219" w:lineRule="auto"/>
              <w:ind w:left="345"/>
              <w:rPr>
                <w:sz w:val="18"/>
                <w:szCs w:val="18"/>
              </w:rPr>
            </w:pPr>
            <w:r>
              <w:rPr>
                <w:spacing w:val="2"/>
                <w:sz w:val="18"/>
                <w:szCs w:val="18"/>
              </w:rPr>
              <w:t>投标单位投标文件资质</w:t>
            </w:r>
          </w:p>
        </w:tc>
        <w:tc>
          <w:tcPr>
            <w:tcW w:w="2800" w:type="dxa"/>
            <w:tcBorders>
              <w:right w:val="nil"/>
            </w:tcBorders>
            <w:vAlign w:val="top"/>
          </w:tcPr>
          <w:p w14:paraId="00343680">
            <w:pPr>
              <w:pStyle w:val="6"/>
              <w:spacing w:before="77" w:line="218" w:lineRule="auto"/>
              <w:ind w:left="715"/>
              <w:rPr>
                <w:sz w:val="18"/>
                <w:szCs w:val="18"/>
              </w:rPr>
            </w:pPr>
            <w:r>
              <w:rPr>
                <w:spacing w:val="-1"/>
                <w:sz w:val="18"/>
                <w:szCs w:val="18"/>
              </w:rPr>
              <w:t>CJ-002-****-###</w:t>
            </w:r>
          </w:p>
        </w:tc>
      </w:tr>
      <w:tr w14:paraId="22A36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50" w:type="dxa"/>
            <w:tcBorders>
              <w:left w:val="nil"/>
            </w:tcBorders>
            <w:vAlign w:val="top"/>
          </w:tcPr>
          <w:p w14:paraId="440F1183">
            <w:pPr>
              <w:pStyle w:val="6"/>
              <w:spacing w:before="125" w:line="183" w:lineRule="auto"/>
              <w:ind w:left="430"/>
              <w:rPr>
                <w:sz w:val="18"/>
                <w:szCs w:val="18"/>
              </w:rPr>
            </w:pPr>
            <w:r>
              <w:rPr>
                <w:sz w:val="18"/>
                <w:szCs w:val="18"/>
              </w:rPr>
              <w:t>3</w:t>
            </w:r>
          </w:p>
        </w:tc>
        <w:tc>
          <w:tcPr>
            <w:tcW w:w="2080" w:type="dxa"/>
            <w:vMerge w:val="continue"/>
            <w:tcBorders>
              <w:top w:val="nil"/>
            </w:tcBorders>
            <w:vAlign w:val="top"/>
          </w:tcPr>
          <w:p w14:paraId="5D987561">
            <w:pPr>
              <w:rPr>
                <w:rFonts w:ascii="Arial"/>
                <w:sz w:val="21"/>
              </w:rPr>
            </w:pPr>
          </w:p>
        </w:tc>
        <w:tc>
          <w:tcPr>
            <w:tcW w:w="2510" w:type="dxa"/>
            <w:vAlign w:val="top"/>
          </w:tcPr>
          <w:p w14:paraId="39884DEC">
            <w:pPr>
              <w:pStyle w:val="6"/>
              <w:spacing w:before="79" w:line="219" w:lineRule="auto"/>
              <w:ind w:left="885"/>
              <w:rPr>
                <w:sz w:val="18"/>
                <w:szCs w:val="18"/>
              </w:rPr>
            </w:pPr>
            <w:r>
              <w:rPr>
                <w:spacing w:val="-2"/>
                <w:sz w:val="18"/>
                <w:szCs w:val="18"/>
              </w:rPr>
              <w:t>投标文件</w:t>
            </w:r>
          </w:p>
        </w:tc>
        <w:tc>
          <w:tcPr>
            <w:tcW w:w="2800" w:type="dxa"/>
            <w:tcBorders>
              <w:right w:val="nil"/>
            </w:tcBorders>
            <w:vAlign w:val="top"/>
          </w:tcPr>
          <w:p w14:paraId="449A53CD">
            <w:pPr>
              <w:pStyle w:val="6"/>
              <w:spacing w:before="77" w:line="218" w:lineRule="auto"/>
              <w:ind w:left="715"/>
              <w:rPr>
                <w:sz w:val="18"/>
                <w:szCs w:val="18"/>
              </w:rPr>
            </w:pPr>
            <w:r>
              <w:rPr>
                <w:spacing w:val="-1"/>
                <w:sz w:val="18"/>
                <w:szCs w:val="18"/>
              </w:rPr>
              <w:t>CJ-003-****-###</w:t>
            </w:r>
          </w:p>
        </w:tc>
      </w:tr>
      <w:tr w14:paraId="66888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50" w:type="dxa"/>
            <w:tcBorders>
              <w:left w:val="nil"/>
            </w:tcBorders>
            <w:vAlign w:val="top"/>
          </w:tcPr>
          <w:p w14:paraId="4CBD0207">
            <w:pPr>
              <w:pStyle w:val="6"/>
              <w:spacing w:before="135" w:line="183" w:lineRule="auto"/>
              <w:ind w:left="430"/>
              <w:rPr>
                <w:sz w:val="18"/>
                <w:szCs w:val="18"/>
              </w:rPr>
            </w:pPr>
            <w:r>
              <w:rPr>
                <w:sz w:val="18"/>
                <w:szCs w:val="18"/>
              </w:rPr>
              <w:t>4</w:t>
            </w:r>
          </w:p>
        </w:tc>
        <w:tc>
          <w:tcPr>
            <w:tcW w:w="2080" w:type="dxa"/>
            <w:vMerge w:val="restart"/>
            <w:tcBorders>
              <w:bottom w:val="nil"/>
            </w:tcBorders>
            <w:vAlign w:val="top"/>
          </w:tcPr>
          <w:p w14:paraId="0E408113">
            <w:pPr>
              <w:spacing w:line="295" w:lineRule="auto"/>
              <w:rPr>
                <w:rFonts w:ascii="Arial"/>
                <w:sz w:val="21"/>
              </w:rPr>
            </w:pPr>
          </w:p>
          <w:p w14:paraId="10A88918">
            <w:pPr>
              <w:spacing w:line="295" w:lineRule="auto"/>
              <w:rPr>
                <w:rFonts w:ascii="Arial"/>
                <w:sz w:val="21"/>
              </w:rPr>
            </w:pPr>
          </w:p>
          <w:p w14:paraId="2972F291">
            <w:pPr>
              <w:spacing w:line="295" w:lineRule="auto"/>
              <w:rPr>
                <w:rFonts w:ascii="Arial"/>
                <w:sz w:val="21"/>
              </w:rPr>
            </w:pPr>
          </w:p>
          <w:p w14:paraId="7320C6EA">
            <w:pPr>
              <w:pStyle w:val="6"/>
              <w:spacing w:before="59" w:line="219" w:lineRule="auto"/>
              <w:ind w:left="315"/>
              <w:rPr>
                <w:sz w:val="18"/>
                <w:szCs w:val="18"/>
              </w:rPr>
            </w:pPr>
            <w:r>
              <w:rPr>
                <w:spacing w:val="1"/>
                <w:sz w:val="18"/>
                <w:szCs w:val="18"/>
              </w:rPr>
              <w:t>设计阶段待审文档</w:t>
            </w:r>
          </w:p>
        </w:tc>
        <w:tc>
          <w:tcPr>
            <w:tcW w:w="2510" w:type="dxa"/>
            <w:vAlign w:val="top"/>
          </w:tcPr>
          <w:p w14:paraId="3FC2A97B">
            <w:pPr>
              <w:pStyle w:val="6"/>
              <w:spacing w:before="89" w:line="219" w:lineRule="auto"/>
              <w:ind w:left="525"/>
              <w:rPr>
                <w:sz w:val="18"/>
                <w:szCs w:val="18"/>
              </w:rPr>
            </w:pPr>
            <w:r>
              <w:rPr>
                <w:spacing w:val="-2"/>
                <w:sz w:val="18"/>
                <w:szCs w:val="18"/>
              </w:rPr>
              <w:t>工程设计技术方案</w:t>
            </w:r>
          </w:p>
        </w:tc>
        <w:tc>
          <w:tcPr>
            <w:tcW w:w="2800" w:type="dxa"/>
            <w:tcBorders>
              <w:right w:val="nil"/>
            </w:tcBorders>
            <w:vAlign w:val="top"/>
          </w:tcPr>
          <w:p w14:paraId="60140A57">
            <w:pPr>
              <w:pStyle w:val="6"/>
              <w:spacing w:before="87" w:line="218" w:lineRule="auto"/>
              <w:ind w:left="715"/>
              <w:rPr>
                <w:sz w:val="18"/>
                <w:szCs w:val="18"/>
              </w:rPr>
            </w:pPr>
            <w:r>
              <w:rPr>
                <w:spacing w:val="-1"/>
                <w:sz w:val="18"/>
                <w:szCs w:val="18"/>
              </w:rPr>
              <w:t>CJ-004-****-###</w:t>
            </w:r>
          </w:p>
        </w:tc>
      </w:tr>
      <w:tr w14:paraId="36F42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50" w:type="dxa"/>
            <w:tcBorders>
              <w:left w:val="nil"/>
            </w:tcBorders>
            <w:vAlign w:val="top"/>
          </w:tcPr>
          <w:p w14:paraId="54C5B351">
            <w:pPr>
              <w:pStyle w:val="6"/>
              <w:spacing w:before="127" w:line="182" w:lineRule="auto"/>
              <w:ind w:left="430"/>
              <w:rPr>
                <w:sz w:val="18"/>
                <w:szCs w:val="18"/>
              </w:rPr>
            </w:pPr>
            <w:r>
              <w:rPr>
                <w:sz w:val="18"/>
                <w:szCs w:val="18"/>
              </w:rPr>
              <w:t>5</w:t>
            </w:r>
          </w:p>
        </w:tc>
        <w:tc>
          <w:tcPr>
            <w:tcW w:w="2080" w:type="dxa"/>
            <w:vMerge w:val="continue"/>
            <w:tcBorders>
              <w:top w:val="nil"/>
              <w:bottom w:val="nil"/>
            </w:tcBorders>
            <w:vAlign w:val="top"/>
          </w:tcPr>
          <w:p w14:paraId="7A5CC472">
            <w:pPr>
              <w:rPr>
                <w:rFonts w:ascii="Arial"/>
                <w:sz w:val="21"/>
              </w:rPr>
            </w:pPr>
          </w:p>
        </w:tc>
        <w:tc>
          <w:tcPr>
            <w:tcW w:w="2510" w:type="dxa"/>
            <w:vAlign w:val="top"/>
          </w:tcPr>
          <w:p w14:paraId="3C6C640D">
            <w:pPr>
              <w:pStyle w:val="6"/>
              <w:spacing w:before="80" w:line="219" w:lineRule="auto"/>
              <w:ind w:left="525"/>
              <w:rPr>
                <w:sz w:val="18"/>
                <w:szCs w:val="18"/>
              </w:rPr>
            </w:pPr>
            <w:r>
              <w:rPr>
                <w:spacing w:val="-2"/>
                <w:sz w:val="18"/>
                <w:szCs w:val="18"/>
              </w:rPr>
              <w:t>工程施工技术方案</w:t>
            </w:r>
          </w:p>
        </w:tc>
        <w:tc>
          <w:tcPr>
            <w:tcW w:w="2800" w:type="dxa"/>
            <w:tcBorders>
              <w:right w:val="nil"/>
            </w:tcBorders>
            <w:vAlign w:val="top"/>
          </w:tcPr>
          <w:p w14:paraId="4F50BFB7">
            <w:pPr>
              <w:pStyle w:val="6"/>
              <w:spacing w:before="78" w:line="218" w:lineRule="auto"/>
              <w:ind w:left="715"/>
              <w:rPr>
                <w:sz w:val="18"/>
                <w:szCs w:val="18"/>
              </w:rPr>
            </w:pPr>
            <w:r>
              <w:rPr>
                <w:spacing w:val="-1"/>
                <w:sz w:val="18"/>
                <w:szCs w:val="18"/>
              </w:rPr>
              <w:t>CJ-005-****-###</w:t>
            </w:r>
          </w:p>
        </w:tc>
      </w:tr>
      <w:tr w14:paraId="43C99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50" w:type="dxa"/>
            <w:tcBorders>
              <w:left w:val="nil"/>
            </w:tcBorders>
            <w:vAlign w:val="top"/>
          </w:tcPr>
          <w:p w14:paraId="04D4F7DA">
            <w:pPr>
              <w:pStyle w:val="6"/>
              <w:spacing w:before="126" w:line="183" w:lineRule="auto"/>
              <w:ind w:left="430"/>
              <w:rPr>
                <w:sz w:val="18"/>
                <w:szCs w:val="18"/>
              </w:rPr>
            </w:pPr>
            <w:r>
              <w:rPr>
                <w:sz w:val="18"/>
                <w:szCs w:val="18"/>
              </w:rPr>
              <w:t>6</w:t>
            </w:r>
          </w:p>
        </w:tc>
        <w:tc>
          <w:tcPr>
            <w:tcW w:w="2080" w:type="dxa"/>
            <w:vMerge w:val="continue"/>
            <w:tcBorders>
              <w:top w:val="nil"/>
              <w:bottom w:val="nil"/>
            </w:tcBorders>
            <w:vAlign w:val="top"/>
          </w:tcPr>
          <w:p w14:paraId="0DBD4953">
            <w:pPr>
              <w:rPr>
                <w:rFonts w:ascii="Arial"/>
                <w:sz w:val="21"/>
              </w:rPr>
            </w:pPr>
          </w:p>
        </w:tc>
        <w:tc>
          <w:tcPr>
            <w:tcW w:w="2510" w:type="dxa"/>
            <w:vAlign w:val="top"/>
          </w:tcPr>
          <w:p w14:paraId="2269E0D5">
            <w:pPr>
              <w:pStyle w:val="6"/>
              <w:spacing w:before="80" w:line="220" w:lineRule="auto"/>
              <w:ind w:left="705"/>
              <w:rPr>
                <w:sz w:val="18"/>
                <w:szCs w:val="18"/>
              </w:rPr>
            </w:pPr>
            <w:r>
              <w:rPr>
                <w:spacing w:val="2"/>
                <w:sz w:val="18"/>
                <w:szCs w:val="18"/>
              </w:rPr>
              <w:t>工程进度计划</w:t>
            </w:r>
          </w:p>
        </w:tc>
        <w:tc>
          <w:tcPr>
            <w:tcW w:w="2800" w:type="dxa"/>
            <w:tcBorders>
              <w:right w:val="nil"/>
            </w:tcBorders>
            <w:vAlign w:val="top"/>
          </w:tcPr>
          <w:p w14:paraId="788ECF7B">
            <w:pPr>
              <w:pStyle w:val="6"/>
              <w:spacing w:before="78" w:line="218" w:lineRule="auto"/>
              <w:ind w:left="715"/>
              <w:rPr>
                <w:sz w:val="18"/>
                <w:szCs w:val="18"/>
              </w:rPr>
            </w:pPr>
            <w:r>
              <w:rPr>
                <w:spacing w:val="-1"/>
                <w:sz w:val="18"/>
                <w:szCs w:val="18"/>
              </w:rPr>
              <w:t>CJ-006-****-###</w:t>
            </w:r>
          </w:p>
        </w:tc>
      </w:tr>
      <w:tr w14:paraId="19AB7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50" w:type="dxa"/>
            <w:tcBorders>
              <w:left w:val="nil"/>
            </w:tcBorders>
            <w:vAlign w:val="top"/>
          </w:tcPr>
          <w:p w14:paraId="4F7E12E7">
            <w:pPr>
              <w:pStyle w:val="6"/>
              <w:spacing w:before="127" w:line="182" w:lineRule="auto"/>
              <w:ind w:left="430"/>
              <w:rPr>
                <w:sz w:val="18"/>
                <w:szCs w:val="18"/>
              </w:rPr>
            </w:pPr>
            <w:r>
              <w:rPr>
                <w:sz w:val="18"/>
                <w:szCs w:val="18"/>
              </w:rPr>
              <w:t>7</w:t>
            </w:r>
          </w:p>
        </w:tc>
        <w:tc>
          <w:tcPr>
            <w:tcW w:w="2080" w:type="dxa"/>
            <w:vMerge w:val="continue"/>
            <w:tcBorders>
              <w:top w:val="nil"/>
              <w:bottom w:val="nil"/>
            </w:tcBorders>
            <w:vAlign w:val="top"/>
          </w:tcPr>
          <w:p w14:paraId="3D3A8402">
            <w:pPr>
              <w:rPr>
                <w:rFonts w:ascii="Arial"/>
                <w:sz w:val="21"/>
              </w:rPr>
            </w:pPr>
          </w:p>
        </w:tc>
        <w:tc>
          <w:tcPr>
            <w:tcW w:w="2510" w:type="dxa"/>
            <w:vAlign w:val="top"/>
          </w:tcPr>
          <w:p w14:paraId="5B067282">
            <w:pPr>
              <w:pStyle w:val="6"/>
              <w:spacing w:before="81" w:line="220" w:lineRule="auto"/>
              <w:ind w:left="525"/>
              <w:rPr>
                <w:sz w:val="18"/>
                <w:szCs w:val="18"/>
              </w:rPr>
            </w:pPr>
            <w:r>
              <w:rPr>
                <w:spacing w:val="1"/>
                <w:sz w:val="18"/>
                <w:szCs w:val="18"/>
              </w:rPr>
              <w:t>工程实施组织结构</w:t>
            </w:r>
          </w:p>
        </w:tc>
        <w:tc>
          <w:tcPr>
            <w:tcW w:w="2800" w:type="dxa"/>
            <w:tcBorders>
              <w:right w:val="nil"/>
            </w:tcBorders>
            <w:vAlign w:val="top"/>
          </w:tcPr>
          <w:p w14:paraId="3510CA16">
            <w:pPr>
              <w:pStyle w:val="6"/>
              <w:spacing w:before="78" w:line="218" w:lineRule="auto"/>
              <w:ind w:left="715"/>
              <w:rPr>
                <w:sz w:val="18"/>
                <w:szCs w:val="18"/>
              </w:rPr>
            </w:pPr>
            <w:r>
              <w:rPr>
                <w:spacing w:val="-1"/>
                <w:sz w:val="18"/>
                <w:szCs w:val="18"/>
              </w:rPr>
              <w:t>CJ-007-****-###</w:t>
            </w:r>
          </w:p>
        </w:tc>
      </w:tr>
      <w:tr w14:paraId="19474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50" w:type="dxa"/>
            <w:tcBorders>
              <w:left w:val="nil"/>
            </w:tcBorders>
            <w:vAlign w:val="top"/>
          </w:tcPr>
          <w:p w14:paraId="574FDA23">
            <w:pPr>
              <w:pStyle w:val="6"/>
              <w:spacing w:before="137" w:line="183" w:lineRule="auto"/>
              <w:ind w:left="430"/>
              <w:rPr>
                <w:sz w:val="18"/>
                <w:szCs w:val="18"/>
              </w:rPr>
            </w:pPr>
            <w:r>
              <w:rPr>
                <w:sz w:val="18"/>
                <w:szCs w:val="18"/>
              </w:rPr>
              <w:t>8</w:t>
            </w:r>
          </w:p>
        </w:tc>
        <w:tc>
          <w:tcPr>
            <w:tcW w:w="2080" w:type="dxa"/>
            <w:vMerge w:val="continue"/>
            <w:tcBorders>
              <w:top w:val="nil"/>
              <w:bottom w:val="nil"/>
            </w:tcBorders>
            <w:vAlign w:val="top"/>
          </w:tcPr>
          <w:p w14:paraId="152B972D">
            <w:pPr>
              <w:rPr>
                <w:rFonts w:ascii="Arial"/>
                <w:sz w:val="21"/>
              </w:rPr>
            </w:pPr>
          </w:p>
        </w:tc>
        <w:tc>
          <w:tcPr>
            <w:tcW w:w="2510" w:type="dxa"/>
            <w:vAlign w:val="top"/>
          </w:tcPr>
          <w:p w14:paraId="1B55DCDA">
            <w:pPr>
              <w:pStyle w:val="6"/>
              <w:spacing w:before="91" w:line="219" w:lineRule="auto"/>
              <w:ind w:left="525"/>
              <w:rPr>
                <w:sz w:val="18"/>
                <w:szCs w:val="18"/>
              </w:rPr>
            </w:pPr>
            <w:r>
              <w:rPr>
                <w:spacing w:val="1"/>
                <w:sz w:val="18"/>
                <w:szCs w:val="18"/>
              </w:rPr>
              <w:t>工程任务分解计划</w:t>
            </w:r>
          </w:p>
        </w:tc>
        <w:tc>
          <w:tcPr>
            <w:tcW w:w="2800" w:type="dxa"/>
            <w:tcBorders>
              <w:right w:val="nil"/>
            </w:tcBorders>
            <w:vAlign w:val="top"/>
          </w:tcPr>
          <w:p w14:paraId="31A31B46">
            <w:pPr>
              <w:pStyle w:val="6"/>
              <w:spacing w:before="89" w:line="218" w:lineRule="auto"/>
              <w:ind w:left="715"/>
              <w:rPr>
                <w:sz w:val="18"/>
                <w:szCs w:val="18"/>
              </w:rPr>
            </w:pPr>
            <w:r>
              <w:rPr>
                <w:spacing w:val="-1"/>
                <w:sz w:val="18"/>
                <w:szCs w:val="18"/>
              </w:rPr>
              <w:t>CJ-008-****-###</w:t>
            </w:r>
          </w:p>
        </w:tc>
      </w:tr>
      <w:tr w14:paraId="42C14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50" w:type="dxa"/>
            <w:tcBorders>
              <w:left w:val="nil"/>
            </w:tcBorders>
            <w:vAlign w:val="top"/>
          </w:tcPr>
          <w:p w14:paraId="359E8EDF">
            <w:pPr>
              <w:pStyle w:val="6"/>
              <w:spacing w:before="117" w:line="183" w:lineRule="auto"/>
              <w:ind w:left="430"/>
              <w:rPr>
                <w:sz w:val="18"/>
                <w:szCs w:val="18"/>
              </w:rPr>
            </w:pPr>
            <w:r>
              <w:rPr>
                <w:sz w:val="18"/>
                <w:szCs w:val="18"/>
              </w:rPr>
              <w:t>9</w:t>
            </w:r>
          </w:p>
        </w:tc>
        <w:tc>
          <w:tcPr>
            <w:tcW w:w="2080" w:type="dxa"/>
            <w:vMerge w:val="continue"/>
            <w:tcBorders>
              <w:top w:val="nil"/>
            </w:tcBorders>
            <w:vAlign w:val="top"/>
          </w:tcPr>
          <w:p w14:paraId="7A651435">
            <w:pPr>
              <w:rPr>
                <w:rFonts w:ascii="Arial"/>
                <w:sz w:val="21"/>
              </w:rPr>
            </w:pPr>
          </w:p>
        </w:tc>
        <w:tc>
          <w:tcPr>
            <w:tcW w:w="2510" w:type="dxa"/>
            <w:vAlign w:val="top"/>
          </w:tcPr>
          <w:p w14:paraId="2EA96156">
            <w:pPr>
              <w:pStyle w:val="6"/>
              <w:spacing w:before="71" w:line="220" w:lineRule="auto"/>
              <w:ind w:left="525"/>
              <w:rPr>
                <w:sz w:val="18"/>
                <w:szCs w:val="18"/>
              </w:rPr>
            </w:pPr>
            <w:r>
              <w:rPr>
                <w:spacing w:val="1"/>
                <w:sz w:val="18"/>
                <w:szCs w:val="18"/>
              </w:rPr>
              <w:t>工程资金分解计划</w:t>
            </w:r>
          </w:p>
        </w:tc>
        <w:tc>
          <w:tcPr>
            <w:tcW w:w="2800" w:type="dxa"/>
            <w:tcBorders>
              <w:right w:val="nil"/>
            </w:tcBorders>
            <w:vAlign w:val="top"/>
          </w:tcPr>
          <w:p w14:paraId="12F64E3B">
            <w:pPr>
              <w:pStyle w:val="6"/>
              <w:spacing w:before="69" w:line="218" w:lineRule="auto"/>
              <w:ind w:left="715"/>
              <w:rPr>
                <w:sz w:val="18"/>
                <w:szCs w:val="18"/>
              </w:rPr>
            </w:pPr>
            <w:r>
              <w:rPr>
                <w:spacing w:val="-1"/>
                <w:sz w:val="18"/>
                <w:szCs w:val="18"/>
              </w:rPr>
              <w:t>CJ-009-****-###</w:t>
            </w:r>
          </w:p>
        </w:tc>
      </w:tr>
      <w:tr w14:paraId="65670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50" w:type="dxa"/>
            <w:tcBorders>
              <w:left w:val="nil"/>
            </w:tcBorders>
            <w:vAlign w:val="top"/>
          </w:tcPr>
          <w:p w14:paraId="67D6E9AB">
            <w:pPr>
              <w:pStyle w:val="6"/>
              <w:spacing w:before="136" w:line="184" w:lineRule="auto"/>
              <w:ind w:left="380"/>
              <w:rPr>
                <w:sz w:val="18"/>
                <w:szCs w:val="18"/>
              </w:rPr>
            </w:pPr>
            <w:r>
              <w:rPr>
                <w:spacing w:val="-6"/>
                <w:sz w:val="18"/>
                <w:szCs w:val="18"/>
              </w:rPr>
              <w:t>10</w:t>
            </w:r>
          </w:p>
        </w:tc>
        <w:tc>
          <w:tcPr>
            <w:tcW w:w="2080" w:type="dxa"/>
            <w:vMerge w:val="restart"/>
            <w:tcBorders>
              <w:bottom w:val="nil"/>
            </w:tcBorders>
            <w:vAlign w:val="top"/>
          </w:tcPr>
          <w:p w14:paraId="4936BA7F">
            <w:pPr>
              <w:spacing w:line="264" w:lineRule="auto"/>
              <w:rPr>
                <w:rFonts w:ascii="Arial"/>
                <w:sz w:val="21"/>
              </w:rPr>
            </w:pPr>
          </w:p>
          <w:p w14:paraId="368DD979">
            <w:pPr>
              <w:spacing w:line="264" w:lineRule="auto"/>
              <w:rPr>
                <w:rFonts w:ascii="Arial"/>
                <w:sz w:val="21"/>
              </w:rPr>
            </w:pPr>
          </w:p>
          <w:p w14:paraId="40F9612E">
            <w:pPr>
              <w:spacing w:line="264" w:lineRule="auto"/>
              <w:rPr>
                <w:rFonts w:ascii="Arial"/>
                <w:sz w:val="21"/>
              </w:rPr>
            </w:pPr>
          </w:p>
          <w:p w14:paraId="04225AFB">
            <w:pPr>
              <w:spacing w:line="264" w:lineRule="auto"/>
              <w:rPr>
                <w:rFonts w:ascii="Arial"/>
                <w:sz w:val="21"/>
              </w:rPr>
            </w:pPr>
          </w:p>
          <w:p w14:paraId="301C4647">
            <w:pPr>
              <w:pStyle w:val="6"/>
              <w:spacing w:before="59" w:line="219" w:lineRule="auto"/>
              <w:ind w:left="315"/>
              <w:rPr>
                <w:sz w:val="18"/>
                <w:szCs w:val="18"/>
              </w:rPr>
            </w:pPr>
            <w:r>
              <w:rPr>
                <w:spacing w:val="1"/>
                <w:sz w:val="18"/>
                <w:szCs w:val="18"/>
              </w:rPr>
              <w:t>实施阶段待审文档</w:t>
            </w:r>
          </w:p>
        </w:tc>
        <w:tc>
          <w:tcPr>
            <w:tcW w:w="2510" w:type="dxa"/>
            <w:vAlign w:val="top"/>
          </w:tcPr>
          <w:p w14:paraId="13AA6829">
            <w:pPr>
              <w:pStyle w:val="6"/>
              <w:spacing w:before="91" w:line="219" w:lineRule="auto"/>
              <w:ind w:left="525"/>
              <w:rPr>
                <w:sz w:val="18"/>
                <w:szCs w:val="18"/>
              </w:rPr>
            </w:pPr>
            <w:r>
              <w:rPr>
                <w:spacing w:val="-2"/>
                <w:sz w:val="18"/>
                <w:szCs w:val="18"/>
              </w:rPr>
              <w:t>设备开箱检验清单</w:t>
            </w:r>
          </w:p>
        </w:tc>
        <w:tc>
          <w:tcPr>
            <w:tcW w:w="2800" w:type="dxa"/>
            <w:tcBorders>
              <w:right w:val="nil"/>
            </w:tcBorders>
            <w:vAlign w:val="top"/>
          </w:tcPr>
          <w:p w14:paraId="71335804">
            <w:pPr>
              <w:pStyle w:val="6"/>
              <w:spacing w:before="89" w:line="218" w:lineRule="auto"/>
              <w:ind w:left="715"/>
              <w:rPr>
                <w:sz w:val="18"/>
                <w:szCs w:val="18"/>
              </w:rPr>
            </w:pPr>
            <w:r>
              <w:rPr>
                <w:spacing w:val="-1"/>
                <w:sz w:val="18"/>
                <w:szCs w:val="18"/>
              </w:rPr>
              <w:t>CJ-010-****-###</w:t>
            </w:r>
          </w:p>
        </w:tc>
      </w:tr>
      <w:tr w14:paraId="53C56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50" w:type="dxa"/>
            <w:tcBorders>
              <w:left w:val="nil"/>
            </w:tcBorders>
            <w:vAlign w:val="top"/>
          </w:tcPr>
          <w:p w14:paraId="3DA646A9">
            <w:pPr>
              <w:pStyle w:val="6"/>
              <w:spacing w:before="126" w:line="184" w:lineRule="auto"/>
              <w:ind w:left="380"/>
              <w:rPr>
                <w:sz w:val="18"/>
                <w:szCs w:val="18"/>
              </w:rPr>
            </w:pPr>
            <w:r>
              <w:rPr>
                <w:spacing w:val="-6"/>
                <w:sz w:val="18"/>
                <w:szCs w:val="18"/>
              </w:rPr>
              <w:t>11</w:t>
            </w:r>
          </w:p>
        </w:tc>
        <w:tc>
          <w:tcPr>
            <w:tcW w:w="2080" w:type="dxa"/>
            <w:vMerge w:val="continue"/>
            <w:tcBorders>
              <w:top w:val="nil"/>
              <w:bottom w:val="nil"/>
            </w:tcBorders>
            <w:vAlign w:val="top"/>
          </w:tcPr>
          <w:p w14:paraId="31F8596F">
            <w:pPr>
              <w:rPr>
                <w:rFonts w:ascii="Arial"/>
                <w:sz w:val="21"/>
              </w:rPr>
            </w:pPr>
          </w:p>
        </w:tc>
        <w:tc>
          <w:tcPr>
            <w:tcW w:w="2510" w:type="dxa"/>
            <w:vAlign w:val="top"/>
          </w:tcPr>
          <w:p w14:paraId="50CD5313">
            <w:pPr>
              <w:pStyle w:val="6"/>
              <w:spacing w:before="81" w:line="220" w:lineRule="auto"/>
              <w:ind w:left="525"/>
              <w:rPr>
                <w:sz w:val="18"/>
                <w:szCs w:val="18"/>
              </w:rPr>
            </w:pPr>
            <w:r>
              <w:rPr>
                <w:spacing w:val="-2"/>
                <w:sz w:val="18"/>
                <w:szCs w:val="18"/>
              </w:rPr>
              <w:t>设备安装调试记录</w:t>
            </w:r>
          </w:p>
        </w:tc>
        <w:tc>
          <w:tcPr>
            <w:tcW w:w="2800" w:type="dxa"/>
            <w:tcBorders>
              <w:right w:val="nil"/>
            </w:tcBorders>
            <w:vAlign w:val="top"/>
          </w:tcPr>
          <w:p w14:paraId="20C55DCD">
            <w:pPr>
              <w:pStyle w:val="6"/>
              <w:spacing w:before="79" w:line="218" w:lineRule="auto"/>
              <w:ind w:left="715"/>
              <w:rPr>
                <w:sz w:val="18"/>
                <w:szCs w:val="18"/>
              </w:rPr>
            </w:pPr>
            <w:r>
              <w:rPr>
                <w:spacing w:val="-1"/>
                <w:sz w:val="18"/>
                <w:szCs w:val="18"/>
              </w:rPr>
              <w:t>CJ-011-****-###</w:t>
            </w:r>
          </w:p>
        </w:tc>
      </w:tr>
      <w:tr w14:paraId="1B66F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50" w:type="dxa"/>
            <w:tcBorders>
              <w:left w:val="nil"/>
            </w:tcBorders>
            <w:vAlign w:val="top"/>
          </w:tcPr>
          <w:p w14:paraId="21215BE6">
            <w:pPr>
              <w:pStyle w:val="6"/>
              <w:spacing w:before="127" w:line="184" w:lineRule="auto"/>
              <w:ind w:left="380"/>
              <w:rPr>
                <w:sz w:val="18"/>
                <w:szCs w:val="18"/>
              </w:rPr>
            </w:pPr>
            <w:r>
              <w:rPr>
                <w:spacing w:val="-6"/>
                <w:sz w:val="18"/>
                <w:szCs w:val="18"/>
              </w:rPr>
              <w:t>12</w:t>
            </w:r>
          </w:p>
        </w:tc>
        <w:tc>
          <w:tcPr>
            <w:tcW w:w="2080" w:type="dxa"/>
            <w:vMerge w:val="continue"/>
            <w:tcBorders>
              <w:top w:val="nil"/>
              <w:bottom w:val="nil"/>
            </w:tcBorders>
            <w:vAlign w:val="top"/>
          </w:tcPr>
          <w:p w14:paraId="28A30909">
            <w:pPr>
              <w:rPr>
                <w:rFonts w:ascii="Arial"/>
                <w:sz w:val="21"/>
              </w:rPr>
            </w:pPr>
          </w:p>
        </w:tc>
        <w:tc>
          <w:tcPr>
            <w:tcW w:w="2510" w:type="dxa"/>
            <w:vAlign w:val="top"/>
          </w:tcPr>
          <w:p w14:paraId="19DA2294">
            <w:pPr>
              <w:pStyle w:val="6"/>
              <w:spacing w:before="82" w:line="219" w:lineRule="auto"/>
              <w:ind w:left="525"/>
              <w:rPr>
                <w:sz w:val="18"/>
                <w:szCs w:val="18"/>
              </w:rPr>
            </w:pPr>
            <w:r>
              <w:rPr>
                <w:spacing w:val="-2"/>
                <w:sz w:val="18"/>
                <w:szCs w:val="18"/>
              </w:rPr>
              <w:t>软件安装调试记录</w:t>
            </w:r>
          </w:p>
        </w:tc>
        <w:tc>
          <w:tcPr>
            <w:tcW w:w="2800" w:type="dxa"/>
            <w:tcBorders>
              <w:right w:val="nil"/>
            </w:tcBorders>
            <w:vAlign w:val="top"/>
          </w:tcPr>
          <w:p w14:paraId="59DA4CCF">
            <w:pPr>
              <w:pStyle w:val="6"/>
              <w:spacing w:before="80" w:line="218" w:lineRule="auto"/>
              <w:ind w:left="715"/>
              <w:rPr>
                <w:sz w:val="18"/>
                <w:szCs w:val="18"/>
              </w:rPr>
            </w:pPr>
            <w:r>
              <w:rPr>
                <w:spacing w:val="-1"/>
                <w:sz w:val="18"/>
                <w:szCs w:val="18"/>
              </w:rPr>
              <w:t>CJ-012-****-###</w:t>
            </w:r>
          </w:p>
        </w:tc>
      </w:tr>
      <w:tr w14:paraId="5C27F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50" w:type="dxa"/>
            <w:tcBorders>
              <w:left w:val="nil"/>
            </w:tcBorders>
            <w:vAlign w:val="top"/>
          </w:tcPr>
          <w:p w14:paraId="7B3F36E5">
            <w:pPr>
              <w:pStyle w:val="6"/>
              <w:spacing w:before="128" w:line="184" w:lineRule="auto"/>
              <w:ind w:left="380"/>
              <w:rPr>
                <w:sz w:val="18"/>
                <w:szCs w:val="18"/>
              </w:rPr>
            </w:pPr>
            <w:r>
              <w:rPr>
                <w:spacing w:val="-6"/>
                <w:sz w:val="18"/>
                <w:szCs w:val="18"/>
              </w:rPr>
              <w:t>13</w:t>
            </w:r>
          </w:p>
        </w:tc>
        <w:tc>
          <w:tcPr>
            <w:tcW w:w="2080" w:type="dxa"/>
            <w:vMerge w:val="continue"/>
            <w:tcBorders>
              <w:top w:val="nil"/>
              <w:bottom w:val="nil"/>
            </w:tcBorders>
            <w:vAlign w:val="top"/>
          </w:tcPr>
          <w:p w14:paraId="17F7E64F">
            <w:pPr>
              <w:rPr>
                <w:rFonts w:ascii="Arial"/>
                <w:sz w:val="21"/>
              </w:rPr>
            </w:pPr>
          </w:p>
        </w:tc>
        <w:tc>
          <w:tcPr>
            <w:tcW w:w="2510" w:type="dxa"/>
            <w:vAlign w:val="top"/>
          </w:tcPr>
          <w:p w14:paraId="5C8656DD">
            <w:pPr>
              <w:pStyle w:val="6"/>
              <w:spacing w:before="83" w:line="219" w:lineRule="auto"/>
              <w:ind w:left="705"/>
              <w:rPr>
                <w:sz w:val="18"/>
                <w:szCs w:val="18"/>
              </w:rPr>
            </w:pPr>
            <w:r>
              <w:rPr>
                <w:spacing w:val="-2"/>
                <w:sz w:val="18"/>
                <w:szCs w:val="18"/>
              </w:rPr>
              <w:t>工程进度报表</w:t>
            </w:r>
          </w:p>
        </w:tc>
        <w:tc>
          <w:tcPr>
            <w:tcW w:w="2800" w:type="dxa"/>
            <w:tcBorders>
              <w:right w:val="nil"/>
            </w:tcBorders>
            <w:vAlign w:val="top"/>
          </w:tcPr>
          <w:p w14:paraId="2498D6E9">
            <w:pPr>
              <w:pStyle w:val="6"/>
              <w:spacing w:before="81" w:line="218" w:lineRule="auto"/>
              <w:ind w:left="715"/>
              <w:rPr>
                <w:sz w:val="18"/>
                <w:szCs w:val="18"/>
              </w:rPr>
            </w:pPr>
            <w:r>
              <w:rPr>
                <w:spacing w:val="-1"/>
                <w:sz w:val="18"/>
                <w:szCs w:val="18"/>
              </w:rPr>
              <w:t>CJ-013-****-###</w:t>
            </w:r>
          </w:p>
        </w:tc>
      </w:tr>
      <w:tr w14:paraId="00168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50" w:type="dxa"/>
            <w:tcBorders>
              <w:left w:val="nil"/>
            </w:tcBorders>
            <w:vAlign w:val="top"/>
          </w:tcPr>
          <w:p w14:paraId="22533804">
            <w:pPr>
              <w:pStyle w:val="6"/>
              <w:spacing w:before="118" w:line="184" w:lineRule="auto"/>
              <w:ind w:left="380"/>
              <w:rPr>
                <w:sz w:val="18"/>
                <w:szCs w:val="18"/>
              </w:rPr>
            </w:pPr>
            <w:r>
              <w:rPr>
                <w:spacing w:val="-6"/>
                <w:sz w:val="18"/>
                <w:szCs w:val="18"/>
              </w:rPr>
              <w:t>14</w:t>
            </w:r>
          </w:p>
        </w:tc>
        <w:tc>
          <w:tcPr>
            <w:tcW w:w="2080" w:type="dxa"/>
            <w:vMerge w:val="continue"/>
            <w:tcBorders>
              <w:top w:val="nil"/>
              <w:bottom w:val="nil"/>
            </w:tcBorders>
            <w:vAlign w:val="top"/>
          </w:tcPr>
          <w:p w14:paraId="5B806F93">
            <w:pPr>
              <w:rPr>
                <w:rFonts w:ascii="Arial"/>
                <w:sz w:val="21"/>
              </w:rPr>
            </w:pPr>
          </w:p>
        </w:tc>
        <w:tc>
          <w:tcPr>
            <w:tcW w:w="2510" w:type="dxa"/>
            <w:vAlign w:val="top"/>
          </w:tcPr>
          <w:p w14:paraId="6B7F2E51">
            <w:pPr>
              <w:pStyle w:val="6"/>
              <w:spacing w:before="73" w:line="220" w:lineRule="auto"/>
              <w:ind w:left="435"/>
              <w:rPr>
                <w:sz w:val="18"/>
                <w:szCs w:val="18"/>
              </w:rPr>
            </w:pPr>
            <w:r>
              <w:rPr>
                <w:spacing w:val="-1"/>
                <w:sz w:val="18"/>
                <w:szCs w:val="18"/>
              </w:rPr>
              <w:t>工程阶段性测试结果</w:t>
            </w:r>
          </w:p>
        </w:tc>
        <w:tc>
          <w:tcPr>
            <w:tcW w:w="2800" w:type="dxa"/>
            <w:tcBorders>
              <w:right w:val="nil"/>
            </w:tcBorders>
            <w:vAlign w:val="top"/>
          </w:tcPr>
          <w:p w14:paraId="4B892DCD">
            <w:pPr>
              <w:pStyle w:val="6"/>
              <w:spacing w:before="71" w:line="218" w:lineRule="auto"/>
              <w:ind w:left="715"/>
              <w:rPr>
                <w:sz w:val="18"/>
                <w:szCs w:val="18"/>
              </w:rPr>
            </w:pPr>
            <w:r>
              <w:rPr>
                <w:spacing w:val="-1"/>
                <w:sz w:val="18"/>
                <w:szCs w:val="18"/>
              </w:rPr>
              <w:t>CJ-014-****-###</w:t>
            </w:r>
          </w:p>
        </w:tc>
      </w:tr>
      <w:tr w14:paraId="29A31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50" w:type="dxa"/>
            <w:tcBorders>
              <w:left w:val="nil"/>
            </w:tcBorders>
            <w:vAlign w:val="top"/>
          </w:tcPr>
          <w:p w14:paraId="3B574DF8">
            <w:pPr>
              <w:pStyle w:val="6"/>
              <w:spacing w:before="138" w:line="184" w:lineRule="auto"/>
              <w:ind w:left="380"/>
              <w:rPr>
                <w:sz w:val="18"/>
                <w:szCs w:val="18"/>
              </w:rPr>
            </w:pPr>
            <w:r>
              <w:rPr>
                <w:spacing w:val="-6"/>
                <w:sz w:val="18"/>
                <w:szCs w:val="18"/>
              </w:rPr>
              <w:t>15</w:t>
            </w:r>
          </w:p>
        </w:tc>
        <w:tc>
          <w:tcPr>
            <w:tcW w:w="2080" w:type="dxa"/>
            <w:vMerge w:val="continue"/>
            <w:tcBorders>
              <w:top w:val="nil"/>
              <w:bottom w:val="nil"/>
            </w:tcBorders>
            <w:vAlign w:val="top"/>
          </w:tcPr>
          <w:p w14:paraId="088D1EB5">
            <w:pPr>
              <w:rPr>
                <w:rFonts w:ascii="Arial"/>
                <w:sz w:val="21"/>
              </w:rPr>
            </w:pPr>
          </w:p>
        </w:tc>
        <w:tc>
          <w:tcPr>
            <w:tcW w:w="2510" w:type="dxa"/>
            <w:vAlign w:val="top"/>
          </w:tcPr>
          <w:p w14:paraId="05E4D6FB">
            <w:pPr>
              <w:pStyle w:val="6"/>
              <w:spacing w:before="93" w:line="219" w:lineRule="auto"/>
              <w:ind w:left="345"/>
              <w:rPr>
                <w:sz w:val="18"/>
                <w:szCs w:val="18"/>
              </w:rPr>
            </w:pPr>
            <w:r>
              <w:rPr>
                <w:spacing w:val="-1"/>
                <w:sz w:val="18"/>
                <w:szCs w:val="18"/>
              </w:rPr>
              <w:t>项目付款阶段验收申请</w:t>
            </w:r>
          </w:p>
        </w:tc>
        <w:tc>
          <w:tcPr>
            <w:tcW w:w="2800" w:type="dxa"/>
            <w:tcBorders>
              <w:right w:val="nil"/>
            </w:tcBorders>
            <w:vAlign w:val="top"/>
          </w:tcPr>
          <w:p w14:paraId="2E070ECE">
            <w:pPr>
              <w:pStyle w:val="6"/>
              <w:spacing w:before="91" w:line="218" w:lineRule="auto"/>
              <w:ind w:left="715"/>
              <w:rPr>
                <w:sz w:val="18"/>
                <w:szCs w:val="18"/>
              </w:rPr>
            </w:pPr>
            <w:r>
              <w:rPr>
                <w:spacing w:val="-1"/>
                <w:sz w:val="18"/>
                <w:szCs w:val="18"/>
              </w:rPr>
              <w:t>CJ-015-****-###</w:t>
            </w:r>
          </w:p>
        </w:tc>
      </w:tr>
      <w:tr w14:paraId="79D39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50" w:type="dxa"/>
            <w:tcBorders>
              <w:left w:val="nil"/>
            </w:tcBorders>
            <w:vAlign w:val="top"/>
          </w:tcPr>
          <w:p w14:paraId="66211248">
            <w:pPr>
              <w:pStyle w:val="6"/>
              <w:spacing w:before="128" w:line="184" w:lineRule="auto"/>
              <w:ind w:left="380"/>
              <w:rPr>
                <w:sz w:val="18"/>
                <w:szCs w:val="18"/>
              </w:rPr>
            </w:pPr>
            <w:r>
              <w:rPr>
                <w:spacing w:val="-6"/>
                <w:sz w:val="18"/>
                <w:szCs w:val="18"/>
              </w:rPr>
              <w:t>16</w:t>
            </w:r>
          </w:p>
        </w:tc>
        <w:tc>
          <w:tcPr>
            <w:tcW w:w="2080" w:type="dxa"/>
            <w:vMerge w:val="continue"/>
            <w:tcBorders>
              <w:top w:val="nil"/>
            </w:tcBorders>
            <w:vAlign w:val="top"/>
          </w:tcPr>
          <w:p w14:paraId="06283EAD">
            <w:pPr>
              <w:rPr>
                <w:rFonts w:ascii="Arial"/>
                <w:sz w:val="21"/>
              </w:rPr>
            </w:pPr>
          </w:p>
        </w:tc>
        <w:tc>
          <w:tcPr>
            <w:tcW w:w="2510" w:type="dxa"/>
            <w:vAlign w:val="top"/>
          </w:tcPr>
          <w:p w14:paraId="426B5C20">
            <w:pPr>
              <w:pStyle w:val="6"/>
              <w:spacing w:before="83" w:line="219" w:lineRule="auto"/>
              <w:ind w:left="345"/>
              <w:rPr>
                <w:sz w:val="18"/>
                <w:szCs w:val="18"/>
              </w:rPr>
            </w:pPr>
            <w:r>
              <w:rPr>
                <w:spacing w:val="-1"/>
                <w:sz w:val="18"/>
                <w:szCs w:val="18"/>
              </w:rPr>
              <w:t>合同阶段性支付申请表</w:t>
            </w:r>
          </w:p>
        </w:tc>
        <w:tc>
          <w:tcPr>
            <w:tcW w:w="2800" w:type="dxa"/>
            <w:tcBorders>
              <w:right w:val="nil"/>
            </w:tcBorders>
            <w:vAlign w:val="top"/>
          </w:tcPr>
          <w:p w14:paraId="7A2F73B7">
            <w:pPr>
              <w:pStyle w:val="6"/>
              <w:spacing w:before="81" w:line="218" w:lineRule="auto"/>
              <w:ind w:left="715"/>
              <w:rPr>
                <w:sz w:val="18"/>
                <w:szCs w:val="18"/>
              </w:rPr>
            </w:pPr>
            <w:r>
              <w:rPr>
                <w:spacing w:val="-1"/>
                <w:sz w:val="18"/>
                <w:szCs w:val="18"/>
              </w:rPr>
              <w:t>CJ-016-****-###</w:t>
            </w:r>
          </w:p>
        </w:tc>
      </w:tr>
      <w:tr w14:paraId="3E902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50" w:type="dxa"/>
            <w:tcBorders>
              <w:left w:val="nil"/>
            </w:tcBorders>
            <w:vAlign w:val="top"/>
          </w:tcPr>
          <w:p w14:paraId="573E6742">
            <w:pPr>
              <w:pStyle w:val="6"/>
              <w:spacing w:before="129" w:line="184" w:lineRule="auto"/>
              <w:ind w:left="380"/>
              <w:rPr>
                <w:sz w:val="18"/>
                <w:szCs w:val="18"/>
              </w:rPr>
            </w:pPr>
            <w:r>
              <w:rPr>
                <w:spacing w:val="-6"/>
                <w:sz w:val="18"/>
                <w:szCs w:val="18"/>
              </w:rPr>
              <w:t>17</w:t>
            </w:r>
          </w:p>
        </w:tc>
        <w:tc>
          <w:tcPr>
            <w:tcW w:w="2080" w:type="dxa"/>
            <w:vMerge w:val="restart"/>
            <w:tcBorders>
              <w:bottom w:val="nil"/>
            </w:tcBorders>
            <w:vAlign w:val="top"/>
          </w:tcPr>
          <w:p w14:paraId="3F04DD18">
            <w:pPr>
              <w:spacing w:line="271" w:lineRule="auto"/>
              <w:rPr>
                <w:rFonts w:ascii="Arial"/>
                <w:sz w:val="21"/>
              </w:rPr>
            </w:pPr>
          </w:p>
          <w:p w14:paraId="21AD3091">
            <w:pPr>
              <w:spacing w:line="271" w:lineRule="auto"/>
              <w:rPr>
                <w:rFonts w:ascii="Arial"/>
                <w:sz w:val="21"/>
              </w:rPr>
            </w:pPr>
          </w:p>
          <w:p w14:paraId="38651E85">
            <w:pPr>
              <w:pStyle w:val="6"/>
              <w:spacing w:before="59" w:line="219" w:lineRule="auto"/>
              <w:ind w:left="315"/>
              <w:rPr>
                <w:sz w:val="18"/>
                <w:szCs w:val="18"/>
              </w:rPr>
            </w:pPr>
            <w:r>
              <w:rPr>
                <w:spacing w:val="-1"/>
                <w:sz w:val="18"/>
                <w:szCs w:val="18"/>
              </w:rPr>
              <w:t>验收阶段待审文档</w:t>
            </w:r>
          </w:p>
        </w:tc>
        <w:tc>
          <w:tcPr>
            <w:tcW w:w="2510" w:type="dxa"/>
            <w:vAlign w:val="top"/>
          </w:tcPr>
          <w:p w14:paraId="53E00122">
            <w:pPr>
              <w:pStyle w:val="6"/>
              <w:spacing w:before="84" w:line="219" w:lineRule="auto"/>
              <w:ind w:left="705"/>
              <w:rPr>
                <w:sz w:val="18"/>
                <w:szCs w:val="18"/>
              </w:rPr>
            </w:pPr>
            <w:r>
              <w:rPr>
                <w:spacing w:val="-2"/>
                <w:sz w:val="18"/>
                <w:szCs w:val="18"/>
              </w:rPr>
              <w:t>工程验收方案</w:t>
            </w:r>
          </w:p>
        </w:tc>
        <w:tc>
          <w:tcPr>
            <w:tcW w:w="2800" w:type="dxa"/>
            <w:tcBorders>
              <w:right w:val="nil"/>
            </w:tcBorders>
            <w:vAlign w:val="top"/>
          </w:tcPr>
          <w:p w14:paraId="5CADEE1A">
            <w:pPr>
              <w:pStyle w:val="6"/>
              <w:spacing w:before="82" w:line="218" w:lineRule="auto"/>
              <w:ind w:left="715"/>
              <w:rPr>
                <w:sz w:val="18"/>
                <w:szCs w:val="18"/>
              </w:rPr>
            </w:pPr>
            <w:r>
              <w:rPr>
                <w:spacing w:val="-1"/>
                <w:sz w:val="18"/>
                <w:szCs w:val="18"/>
              </w:rPr>
              <w:t>CJ-017-****-###</w:t>
            </w:r>
          </w:p>
        </w:tc>
      </w:tr>
      <w:tr w14:paraId="716EC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50" w:type="dxa"/>
            <w:tcBorders>
              <w:left w:val="nil"/>
            </w:tcBorders>
            <w:vAlign w:val="top"/>
          </w:tcPr>
          <w:p w14:paraId="3759777F">
            <w:pPr>
              <w:pStyle w:val="6"/>
              <w:spacing w:before="129" w:line="184" w:lineRule="auto"/>
              <w:ind w:left="380"/>
              <w:rPr>
                <w:sz w:val="18"/>
                <w:szCs w:val="18"/>
              </w:rPr>
            </w:pPr>
            <w:r>
              <w:rPr>
                <w:spacing w:val="-6"/>
                <w:sz w:val="18"/>
                <w:szCs w:val="18"/>
              </w:rPr>
              <w:t>18</w:t>
            </w:r>
          </w:p>
        </w:tc>
        <w:tc>
          <w:tcPr>
            <w:tcW w:w="2080" w:type="dxa"/>
            <w:vMerge w:val="continue"/>
            <w:tcBorders>
              <w:top w:val="nil"/>
              <w:bottom w:val="nil"/>
            </w:tcBorders>
            <w:vAlign w:val="top"/>
          </w:tcPr>
          <w:p w14:paraId="44B8300B">
            <w:pPr>
              <w:rPr>
                <w:rFonts w:ascii="Arial"/>
                <w:sz w:val="21"/>
              </w:rPr>
            </w:pPr>
          </w:p>
        </w:tc>
        <w:tc>
          <w:tcPr>
            <w:tcW w:w="2510" w:type="dxa"/>
            <w:vAlign w:val="top"/>
          </w:tcPr>
          <w:p w14:paraId="67585B39">
            <w:pPr>
              <w:pStyle w:val="6"/>
              <w:spacing w:before="83" w:line="219" w:lineRule="auto"/>
              <w:ind w:left="345"/>
              <w:rPr>
                <w:sz w:val="18"/>
                <w:szCs w:val="18"/>
              </w:rPr>
            </w:pPr>
            <w:r>
              <w:rPr>
                <w:spacing w:val="3"/>
                <w:sz w:val="18"/>
                <w:szCs w:val="18"/>
              </w:rPr>
              <w:t>工程技术文档(说明书)</w:t>
            </w:r>
          </w:p>
        </w:tc>
        <w:tc>
          <w:tcPr>
            <w:tcW w:w="2800" w:type="dxa"/>
            <w:tcBorders>
              <w:right w:val="nil"/>
            </w:tcBorders>
            <w:vAlign w:val="top"/>
          </w:tcPr>
          <w:p w14:paraId="2A201147">
            <w:pPr>
              <w:pStyle w:val="6"/>
              <w:spacing w:before="82" w:line="218" w:lineRule="auto"/>
              <w:ind w:left="715"/>
              <w:rPr>
                <w:sz w:val="18"/>
                <w:szCs w:val="18"/>
              </w:rPr>
            </w:pPr>
            <w:r>
              <w:rPr>
                <w:spacing w:val="-1"/>
                <w:sz w:val="18"/>
                <w:szCs w:val="18"/>
              </w:rPr>
              <w:t>CJ-018-****-###</w:t>
            </w:r>
          </w:p>
        </w:tc>
      </w:tr>
      <w:tr w14:paraId="24BBD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950" w:type="dxa"/>
            <w:tcBorders>
              <w:left w:val="nil"/>
            </w:tcBorders>
            <w:vAlign w:val="top"/>
          </w:tcPr>
          <w:p w14:paraId="35AE8709">
            <w:pPr>
              <w:pStyle w:val="6"/>
              <w:spacing w:before="130" w:line="184" w:lineRule="auto"/>
              <w:ind w:left="380"/>
              <w:rPr>
                <w:sz w:val="18"/>
                <w:szCs w:val="18"/>
              </w:rPr>
            </w:pPr>
            <w:r>
              <w:rPr>
                <w:spacing w:val="-6"/>
                <w:sz w:val="18"/>
                <w:szCs w:val="18"/>
              </w:rPr>
              <w:t>19</w:t>
            </w:r>
          </w:p>
        </w:tc>
        <w:tc>
          <w:tcPr>
            <w:tcW w:w="2080" w:type="dxa"/>
            <w:vMerge w:val="continue"/>
            <w:tcBorders>
              <w:top w:val="nil"/>
              <w:bottom w:val="nil"/>
            </w:tcBorders>
            <w:vAlign w:val="top"/>
          </w:tcPr>
          <w:p w14:paraId="7F1C0647">
            <w:pPr>
              <w:rPr>
                <w:rFonts w:ascii="Arial"/>
                <w:sz w:val="21"/>
              </w:rPr>
            </w:pPr>
          </w:p>
        </w:tc>
        <w:tc>
          <w:tcPr>
            <w:tcW w:w="2510" w:type="dxa"/>
            <w:vAlign w:val="top"/>
          </w:tcPr>
          <w:p w14:paraId="38D388C0">
            <w:pPr>
              <w:pStyle w:val="6"/>
              <w:spacing w:before="83" w:line="218" w:lineRule="auto"/>
              <w:ind w:left="705"/>
              <w:rPr>
                <w:sz w:val="18"/>
                <w:szCs w:val="18"/>
              </w:rPr>
            </w:pPr>
            <w:r>
              <w:rPr>
                <w:spacing w:val="-1"/>
                <w:sz w:val="18"/>
                <w:szCs w:val="18"/>
              </w:rPr>
              <w:t>初验申请报告</w:t>
            </w:r>
          </w:p>
        </w:tc>
        <w:tc>
          <w:tcPr>
            <w:tcW w:w="2800" w:type="dxa"/>
            <w:tcBorders>
              <w:right w:val="nil"/>
            </w:tcBorders>
            <w:vAlign w:val="top"/>
          </w:tcPr>
          <w:p w14:paraId="5EC435D5">
            <w:pPr>
              <w:pStyle w:val="6"/>
              <w:spacing w:before="83" w:line="218" w:lineRule="auto"/>
              <w:ind w:left="715"/>
              <w:rPr>
                <w:sz w:val="18"/>
                <w:szCs w:val="18"/>
              </w:rPr>
            </w:pPr>
            <w:r>
              <w:rPr>
                <w:spacing w:val="-1"/>
                <w:sz w:val="18"/>
                <w:szCs w:val="18"/>
              </w:rPr>
              <w:t>CJ-019-****-###</w:t>
            </w:r>
          </w:p>
        </w:tc>
      </w:tr>
      <w:tr w14:paraId="4195C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50" w:type="dxa"/>
            <w:tcBorders>
              <w:left w:val="nil"/>
            </w:tcBorders>
            <w:vAlign w:val="top"/>
          </w:tcPr>
          <w:p w14:paraId="109BB88D">
            <w:pPr>
              <w:pStyle w:val="6"/>
              <w:spacing w:before="131" w:line="183" w:lineRule="auto"/>
              <w:ind w:left="380"/>
              <w:rPr>
                <w:sz w:val="18"/>
                <w:szCs w:val="18"/>
              </w:rPr>
            </w:pPr>
            <w:r>
              <w:rPr>
                <w:spacing w:val="-3"/>
                <w:sz w:val="18"/>
                <w:szCs w:val="18"/>
              </w:rPr>
              <w:t>20</w:t>
            </w:r>
          </w:p>
        </w:tc>
        <w:tc>
          <w:tcPr>
            <w:tcW w:w="2080" w:type="dxa"/>
            <w:vMerge w:val="continue"/>
            <w:tcBorders>
              <w:top w:val="nil"/>
            </w:tcBorders>
            <w:vAlign w:val="top"/>
          </w:tcPr>
          <w:p w14:paraId="0102405F">
            <w:pPr>
              <w:rPr>
                <w:rFonts w:ascii="Arial"/>
                <w:sz w:val="21"/>
              </w:rPr>
            </w:pPr>
          </w:p>
        </w:tc>
        <w:tc>
          <w:tcPr>
            <w:tcW w:w="2510" w:type="dxa"/>
            <w:vAlign w:val="top"/>
          </w:tcPr>
          <w:p w14:paraId="586068D5">
            <w:pPr>
              <w:pStyle w:val="6"/>
              <w:spacing w:before="83" w:line="218" w:lineRule="auto"/>
              <w:ind w:left="705"/>
              <w:rPr>
                <w:sz w:val="18"/>
                <w:szCs w:val="18"/>
              </w:rPr>
            </w:pPr>
            <w:r>
              <w:rPr>
                <w:spacing w:val="-1"/>
                <w:sz w:val="18"/>
                <w:szCs w:val="18"/>
              </w:rPr>
              <w:t>验收申请报告</w:t>
            </w:r>
          </w:p>
        </w:tc>
        <w:tc>
          <w:tcPr>
            <w:tcW w:w="2800" w:type="dxa"/>
            <w:tcBorders>
              <w:right w:val="nil"/>
            </w:tcBorders>
            <w:vAlign w:val="top"/>
          </w:tcPr>
          <w:p w14:paraId="4F2BDFF5">
            <w:pPr>
              <w:pStyle w:val="6"/>
              <w:spacing w:before="83" w:line="218" w:lineRule="auto"/>
              <w:ind w:left="715"/>
              <w:rPr>
                <w:sz w:val="18"/>
                <w:szCs w:val="18"/>
              </w:rPr>
            </w:pPr>
            <w:r>
              <w:rPr>
                <w:spacing w:val="-1"/>
                <w:sz w:val="18"/>
                <w:szCs w:val="18"/>
              </w:rPr>
              <w:t>CJ-020-****-###</w:t>
            </w:r>
          </w:p>
        </w:tc>
      </w:tr>
      <w:tr w14:paraId="5B8ED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950" w:type="dxa"/>
            <w:tcBorders>
              <w:left w:val="nil"/>
            </w:tcBorders>
            <w:vAlign w:val="top"/>
          </w:tcPr>
          <w:p w14:paraId="7F912295">
            <w:pPr>
              <w:pStyle w:val="6"/>
              <w:spacing w:before="131" w:line="184" w:lineRule="auto"/>
              <w:ind w:left="380"/>
              <w:rPr>
                <w:sz w:val="18"/>
                <w:szCs w:val="18"/>
              </w:rPr>
            </w:pPr>
            <w:r>
              <w:rPr>
                <w:spacing w:val="-3"/>
                <w:sz w:val="18"/>
                <w:szCs w:val="18"/>
              </w:rPr>
              <w:t>21</w:t>
            </w:r>
          </w:p>
        </w:tc>
        <w:tc>
          <w:tcPr>
            <w:tcW w:w="2080" w:type="dxa"/>
            <w:vMerge w:val="restart"/>
            <w:tcBorders>
              <w:bottom w:val="nil"/>
            </w:tcBorders>
            <w:vAlign w:val="top"/>
          </w:tcPr>
          <w:p w14:paraId="1F042724">
            <w:pPr>
              <w:pStyle w:val="6"/>
              <w:spacing w:before="256" w:line="219" w:lineRule="auto"/>
              <w:ind w:left="225"/>
              <w:rPr>
                <w:sz w:val="18"/>
                <w:szCs w:val="18"/>
              </w:rPr>
            </w:pPr>
            <w:r>
              <w:rPr>
                <w:spacing w:val="1"/>
                <w:sz w:val="18"/>
                <w:szCs w:val="18"/>
              </w:rPr>
              <w:t>缺陷责任期监理文档</w:t>
            </w:r>
          </w:p>
        </w:tc>
        <w:tc>
          <w:tcPr>
            <w:tcW w:w="2510" w:type="dxa"/>
            <w:vAlign w:val="top"/>
          </w:tcPr>
          <w:p w14:paraId="2A277750">
            <w:pPr>
              <w:pStyle w:val="6"/>
              <w:spacing w:before="87" w:line="220" w:lineRule="auto"/>
              <w:ind w:left="435"/>
              <w:rPr>
                <w:sz w:val="18"/>
                <w:szCs w:val="18"/>
              </w:rPr>
            </w:pPr>
            <w:r>
              <w:rPr>
                <w:spacing w:val="1"/>
                <w:sz w:val="18"/>
                <w:szCs w:val="18"/>
              </w:rPr>
              <w:t>项目各阶段培训计划</w:t>
            </w:r>
          </w:p>
        </w:tc>
        <w:tc>
          <w:tcPr>
            <w:tcW w:w="2800" w:type="dxa"/>
            <w:tcBorders>
              <w:right w:val="nil"/>
            </w:tcBorders>
            <w:vAlign w:val="top"/>
          </w:tcPr>
          <w:p w14:paraId="36177E18">
            <w:pPr>
              <w:pStyle w:val="6"/>
              <w:spacing w:before="84" w:line="218" w:lineRule="auto"/>
              <w:ind w:left="715"/>
              <w:rPr>
                <w:sz w:val="18"/>
                <w:szCs w:val="18"/>
              </w:rPr>
            </w:pPr>
            <w:r>
              <w:rPr>
                <w:spacing w:val="-1"/>
                <w:sz w:val="18"/>
                <w:szCs w:val="18"/>
              </w:rPr>
              <w:t>CJ-021-****-###</w:t>
            </w:r>
          </w:p>
        </w:tc>
      </w:tr>
      <w:tr w14:paraId="62B0B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950" w:type="dxa"/>
            <w:tcBorders>
              <w:left w:val="nil"/>
            </w:tcBorders>
            <w:vAlign w:val="top"/>
          </w:tcPr>
          <w:p w14:paraId="67F69BC6">
            <w:pPr>
              <w:pStyle w:val="6"/>
              <w:spacing w:before="133" w:line="183" w:lineRule="auto"/>
              <w:ind w:left="380"/>
              <w:rPr>
                <w:sz w:val="18"/>
                <w:szCs w:val="18"/>
              </w:rPr>
            </w:pPr>
            <w:r>
              <w:rPr>
                <w:spacing w:val="-3"/>
                <w:sz w:val="18"/>
                <w:szCs w:val="18"/>
              </w:rPr>
              <w:t>22</w:t>
            </w:r>
          </w:p>
        </w:tc>
        <w:tc>
          <w:tcPr>
            <w:tcW w:w="2080" w:type="dxa"/>
            <w:vMerge w:val="continue"/>
            <w:tcBorders>
              <w:top w:val="nil"/>
            </w:tcBorders>
            <w:vAlign w:val="top"/>
          </w:tcPr>
          <w:p w14:paraId="4FC5A9C1">
            <w:pPr>
              <w:rPr>
                <w:rFonts w:ascii="Arial"/>
                <w:sz w:val="21"/>
              </w:rPr>
            </w:pPr>
          </w:p>
        </w:tc>
        <w:tc>
          <w:tcPr>
            <w:tcW w:w="2510" w:type="dxa"/>
            <w:vAlign w:val="top"/>
          </w:tcPr>
          <w:p w14:paraId="2774D2B3">
            <w:pPr>
              <w:pStyle w:val="6"/>
              <w:spacing w:before="87" w:line="219" w:lineRule="auto"/>
              <w:ind w:left="345"/>
              <w:rPr>
                <w:sz w:val="18"/>
                <w:szCs w:val="18"/>
              </w:rPr>
            </w:pPr>
            <w:r>
              <w:rPr>
                <w:spacing w:val="-1"/>
                <w:sz w:val="18"/>
                <w:szCs w:val="18"/>
              </w:rPr>
              <w:t>缺陷责任期服务检查表</w:t>
            </w:r>
          </w:p>
        </w:tc>
        <w:tc>
          <w:tcPr>
            <w:tcW w:w="2800" w:type="dxa"/>
            <w:tcBorders>
              <w:right w:val="nil"/>
            </w:tcBorders>
            <w:vAlign w:val="top"/>
          </w:tcPr>
          <w:p w14:paraId="5D5C4695">
            <w:pPr>
              <w:pStyle w:val="6"/>
              <w:spacing w:before="85" w:line="218" w:lineRule="auto"/>
              <w:ind w:left="715"/>
              <w:rPr>
                <w:sz w:val="18"/>
                <w:szCs w:val="18"/>
              </w:rPr>
            </w:pPr>
            <w:r>
              <w:rPr>
                <w:spacing w:val="-1"/>
                <w:sz w:val="18"/>
                <w:szCs w:val="18"/>
              </w:rPr>
              <w:t>CJ-022-****-###</w:t>
            </w:r>
          </w:p>
        </w:tc>
      </w:tr>
    </w:tbl>
    <w:p w14:paraId="200E760D">
      <w:pPr>
        <w:pStyle w:val="2"/>
        <w:spacing w:before="231" w:line="295" w:lineRule="auto"/>
        <w:ind w:left="320" w:right="41" w:firstLine="420"/>
        <w:jc w:val="both"/>
        <w:rPr>
          <w:sz w:val="19"/>
          <w:szCs w:val="19"/>
        </w:rPr>
      </w:pPr>
      <w:r>
        <w:rPr>
          <w:spacing w:val="13"/>
          <w:sz w:val="19"/>
          <w:szCs w:val="19"/>
        </w:rPr>
        <w:t>承建单位应及时提供完善的工程文档，包括网络设备连接物理、</w:t>
      </w:r>
      <w:r>
        <w:rPr>
          <w:spacing w:val="12"/>
          <w:sz w:val="19"/>
          <w:szCs w:val="19"/>
        </w:rPr>
        <w:t>逻辑结构图，网络设备配</w:t>
      </w:r>
      <w:r>
        <w:rPr>
          <w:sz w:val="19"/>
          <w:szCs w:val="19"/>
        </w:rPr>
        <w:t xml:space="preserve"> </w:t>
      </w:r>
      <w:r>
        <w:rPr>
          <w:spacing w:val="13"/>
          <w:sz w:val="19"/>
          <w:szCs w:val="19"/>
        </w:rPr>
        <w:t>置、服务器、终端、网管设备的配置，综合布线方案，</w:t>
      </w:r>
      <w:r>
        <w:rPr>
          <w:spacing w:val="12"/>
          <w:sz w:val="19"/>
          <w:szCs w:val="19"/>
        </w:rPr>
        <w:t>传输介质的选型、综合布线系统品牌选</w:t>
      </w:r>
      <w:r>
        <w:rPr>
          <w:sz w:val="19"/>
          <w:szCs w:val="19"/>
        </w:rPr>
        <w:t xml:space="preserve"> </w:t>
      </w:r>
      <w:r>
        <w:rPr>
          <w:spacing w:val="13"/>
          <w:sz w:val="19"/>
          <w:szCs w:val="19"/>
        </w:rPr>
        <w:t>择、价格表等，以及所有计算机和网络设备的中文简明安装、使用、日常维护、管理、出错处</w:t>
      </w:r>
      <w:r>
        <w:rPr>
          <w:spacing w:val="4"/>
          <w:sz w:val="19"/>
          <w:szCs w:val="19"/>
        </w:rPr>
        <w:t xml:space="preserve"> </w:t>
      </w:r>
      <w:r>
        <w:rPr>
          <w:spacing w:val="8"/>
          <w:sz w:val="19"/>
          <w:szCs w:val="19"/>
        </w:rPr>
        <w:t>理手册。监理工程师有权对这些文档内容的完整性、正确性进行检查。</w:t>
      </w:r>
    </w:p>
    <w:p w14:paraId="69D232D7">
      <w:pPr>
        <w:pStyle w:val="2"/>
        <w:spacing w:before="25" w:line="295" w:lineRule="auto"/>
        <w:ind w:left="320" w:right="5" w:firstLine="420"/>
        <w:jc w:val="both"/>
        <w:rPr>
          <w:sz w:val="19"/>
          <w:szCs w:val="19"/>
        </w:rPr>
      </w:pPr>
      <w:r>
        <w:rPr>
          <w:spacing w:val="13"/>
          <w:sz w:val="19"/>
          <w:szCs w:val="19"/>
        </w:rPr>
        <w:t>承建单位应按照工程承包合同提供的图纸，在实施过程中，根据</w:t>
      </w:r>
      <w:r>
        <w:rPr>
          <w:spacing w:val="12"/>
          <w:sz w:val="19"/>
          <w:szCs w:val="19"/>
        </w:rPr>
        <w:t>实际情况的变化，对设计</w:t>
      </w:r>
      <w:r>
        <w:rPr>
          <w:sz w:val="19"/>
          <w:szCs w:val="19"/>
        </w:rPr>
        <w:t xml:space="preserve"> </w:t>
      </w:r>
      <w:r>
        <w:rPr>
          <w:spacing w:val="13"/>
          <w:sz w:val="19"/>
          <w:szCs w:val="19"/>
        </w:rPr>
        <w:t>方案做出修改，并及时向监理单位、业主单位等进行信息传递。承建单位应对整个工程的实施</w:t>
      </w:r>
      <w:r>
        <w:rPr>
          <w:spacing w:val="5"/>
          <w:sz w:val="19"/>
          <w:szCs w:val="19"/>
        </w:rPr>
        <w:t xml:space="preserve"> </w:t>
      </w:r>
      <w:r>
        <w:rPr>
          <w:spacing w:val="9"/>
          <w:sz w:val="19"/>
          <w:szCs w:val="19"/>
        </w:rPr>
        <w:t>过程予以记录，形成工程实施日志。监理工程师有权对日志的真实性和内容的完整性予以检查，</w:t>
      </w:r>
      <w:r>
        <w:rPr>
          <w:spacing w:val="5"/>
          <w:sz w:val="19"/>
          <w:szCs w:val="19"/>
        </w:rPr>
        <w:t xml:space="preserve"> </w:t>
      </w:r>
      <w:r>
        <w:rPr>
          <w:spacing w:val="8"/>
          <w:sz w:val="19"/>
          <w:szCs w:val="19"/>
        </w:rPr>
        <w:t>对内容不符部分，承建单位应予以及时改正。</w:t>
      </w:r>
    </w:p>
    <w:p w14:paraId="1981BAFE">
      <w:pPr>
        <w:pStyle w:val="2"/>
        <w:spacing w:before="17" w:line="298" w:lineRule="auto"/>
        <w:ind w:left="320" w:right="21" w:firstLine="420"/>
        <w:rPr>
          <w:sz w:val="19"/>
          <w:szCs w:val="19"/>
        </w:rPr>
      </w:pPr>
      <w:r>
        <w:rPr>
          <w:spacing w:val="8"/>
          <w:sz w:val="19"/>
          <w:szCs w:val="19"/>
        </w:rPr>
        <w:t>按照国家档案管理相关规定及业主单位的要求，信息系统工程竣工</w:t>
      </w:r>
      <w:r>
        <w:rPr>
          <w:spacing w:val="7"/>
          <w:sz w:val="19"/>
          <w:szCs w:val="19"/>
        </w:rPr>
        <w:t>验收时要提供齐全的竣工</w:t>
      </w:r>
      <w:r>
        <w:rPr>
          <w:sz w:val="19"/>
          <w:szCs w:val="19"/>
        </w:rPr>
        <w:t xml:space="preserve"> </w:t>
      </w:r>
      <w:r>
        <w:rPr>
          <w:spacing w:val="9"/>
          <w:sz w:val="19"/>
          <w:szCs w:val="19"/>
        </w:rPr>
        <w:t>资料，经过分析整理、编制归档。监理工程师在对信息系统工程实体和</w:t>
      </w:r>
      <w:r>
        <w:rPr>
          <w:spacing w:val="8"/>
          <w:sz w:val="19"/>
          <w:szCs w:val="19"/>
        </w:rPr>
        <w:t>应用软件系统进行全面验</w:t>
      </w:r>
    </w:p>
    <w:p w14:paraId="20E055BE">
      <w:pPr>
        <w:spacing w:line="298" w:lineRule="auto"/>
        <w:rPr>
          <w:sz w:val="19"/>
          <w:szCs w:val="19"/>
        </w:rPr>
        <w:sectPr>
          <w:pgSz w:w="10300" w:h="13430"/>
          <w:pgMar w:top="360" w:right="1110" w:bottom="400" w:left="499" w:header="0" w:footer="0" w:gutter="0"/>
          <w:cols w:space="720" w:num="1"/>
        </w:sectPr>
      </w:pPr>
    </w:p>
    <w:p w14:paraId="53E162A1">
      <w:pPr>
        <w:pStyle w:val="2"/>
        <w:spacing w:before="66" w:line="219" w:lineRule="auto"/>
        <w:jc w:val="right"/>
        <w:rPr>
          <w:rFonts w:ascii="Times New Roman" w:hAnsi="Times New Roman" w:eastAsia="Times New Roman" w:cs="Times New Roman"/>
          <w:sz w:val="17"/>
          <w:szCs w:val="17"/>
        </w:rPr>
      </w:pPr>
      <w:bookmarkStart w:id="663" w:name="bookmark648"/>
      <w:bookmarkEnd w:id="663"/>
      <w:r>
        <w:rPr>
          <w:sz w:val="20"/>
          <w:szCs w:val="20"/>
        </w:rPr>
        <w:t>第14章</w:t>
      </w:r>
      <w:r>
        <w:rPr>
          <w:spacing w:val="19"/>
          <w:sz w:val="20"/>
          <w:szCs w:val="20"/>
        </w:rPr>
        <w:t xml:space="preserve"> </w:t>
      </w:r>
      <w:r>
        <w:rPr>
          <w:sz w:val="20"/>
          <w:szCs w:val="20"/>
        </w:rPr>
        <w:t>信息管理</w:t>
      </w:r>
      <w:r>
        <w:rPr>
          <w:spacing w:val="3"/>
          <w:sz w:val="20"/>
          <w:szCs w:val="20"/>
        </w:rPr>
        <w:t xml:space="preserve">      </w:t>
      </w:r>
      <w:r>
        <w:rPr>
          <w:rFonts w:ascii="Times New Roman" w:hAnsi="Times New Roman" w:eastAsia="Times New Roman" w:cs="Times New Roman"/>
          <w:position w:val="1"/>
          <w:sz w:val="17"/>
          <w:szCs w:val="17"/>
        </w:rPr>
        <w:t>347</w:t>
      </w:r>
    </w:p>
    <w:p w14:paraId="3B17254B">
      <w:pPr>
        <w:spacing w:line="306" w:lineRule="auto"/>
        <w:rPr>
          <w:rFonts w:ascii="Arial"/>
          <w:sz w:val="21"/>
        </w:rPr>
      </w:pPr>
    </w:p>
    <w:p w14:paraId="2AD092B4">
      <w:pPr>
        <w:pStyle w:val="2"/>
        <w:spacing w:before="65" w:line="277" w:lineRule="auto"/>
        <w:ind w:right="282"/>
        <w:jc w:val="both"/>
        <w:rPr>
          <w:sz w:val="20"/>
          <w:szCs w:val="20"/>
        </w:rPr>
      </w:pPr>
      <w:r>
        <w:rPr>
          <w:spacing w:val="-2"/>
          <w:sz w:val="20"/>
          <w:szCs w:val="20"/>
        </w:rPr>
        <w:t>收之前，首先要对全套完整的工程资料和文档进行全面验收。督促承建单位及时整理必须报</w:t>
      </w:r>
      <w:r>
        <w:rPr>
          <w:spacing w:val="-3"/>
          <w:sz w:val="20"/>
          <w:szCs w:val="20"/>
        </w:rPr>
        <w:t>送的</w:t>
      </w:r>
      <w:r>
        <w:rPr>
          <w:sz w:val="20"/>
          <w:szCs w:val="20"/>
        </w:rPr>
        <w:t xml:space="preserve"> </w:t>
      </w:r>
      <w:r>
        <w:rPr>
          <w:spacing w:val="8"/>
          <w:sz w:val="20"/>
          <w:szCs w:val="20"/>
        </w:rPr>
        <w:t>信息系统的设计方案、设计图纸、设备/软件/材</w:t>
      </w:r>
      <w:r>
        <w:rPr>
          <w:spacing w:val="7"/>
          <w:sz w:val="20"/>
          <w:szCs w:val="20"/>
        </w:rPr>
        <w:t>料等的验收文档、施工记录、检测报告、竣</w:t>
      </w:r>
      <w:r>
        <w:rPr>
          <w:sz w:val="20"/>
          <w:szCs w:val="20"/>
        </w:rPr>
        <w:t xml:space="preserve"> </w:t>
      </w:r>
      <w:r>
        <w:rPr>
          <w:spacing w:val="1"/>
          <w:sz w:val="20"/>
          <w:szCs w:val="20"/>
        </w:rPr>
        <w:t>工图纸、软件文档和源代码，经监理单位检查、审核后，签字并加盖公章，移交业主单位。</w:t>
      </w:r>
    </w:p>
    <w:p w14:paraId="4AEF27F3">
      <w:pPr>
        <w:pStyle w:val="2"/>
        <w:spacing w:before="125" w:line="221" w:lineRule="auto"/>
        <w:ind w:left="412"/>
        <w:rPr>
          <w:rFonts w:ascii="黑体" w:hAnsi="黑体" w:eastAsia="黑体" w:cs="黑体"/>
          <w:sz w:val="20"/>
          <w:szCs w:val="20"/>
        </w:rPr>
      </w:pPr>
      <w:r>
        <w:rPr>
          <w:b/>
          <w:bCs/>
          <w:color w:val="0074CE"/>
          <w:spacing w:val="-3"/>
          <w:sz w:val="20"/>
          <w:szCs w:val="20"/>
        </w:rPr>
        <w:t>4.</w:t>
      </w:r>
      <w:r>
        <w:rPr>
          <w:rFonts w:ascii="黑体" w:hAnsi="黑体" w:eastAsia="黑体" w:cs="黑体"/>
          <w:b/>
          <w:bCs/>
          <w:color w:val="0074CE"/>
          <w:spacing w:val="-3"/>
          <w:sz w:val="20"/>
          <w:szCs w:val="20"/>
        </w:rPr>
        <w:t>承建单位信息网络系统文档</w:t>
      </w:r>
    </w:p>
    <w:p w14:paraId="6A48A1DF">
      <w:pPr>
        <w:pStyle w:val="2"/>
        <w:spacing w:before="155" w:line="279" w:lineRule="auto"/>
        <w:ind w:right="198" w:firstLine="409"/>
        <w:jc w:val="both"/>
        <w:rPr>
          <w:sz w:val="20"/>
          <w:szCs w:val="20"/>
        </w:rPr>
      </w:pPr>
      <w:r>
        <w:rPr>
          <w:sz w:val="20"/>
          <w:szCs w:val="20"/>
        </w:rPr>
        <w:t>信息网络系统工程技术文档是信息网络系统在其生命周期(即方案、设</w:t>
      </w:r>
      <w:r>
        <w:rPr>
          <w:spacing w:val="-1"/>
          <w:sz w:val="20"/>
          <w:szCs w:val="20"/>
        </w:rPr>
        <w:t>计、实施、调试、验</w:t>
      </w:r>
      <w:r>
        <w:rPr>
          <w:sz w:val="20"/>
          <w:szCs w:val="20"/>
        </w:rPr>
        <w:t xml:space="preserve">  </w:t>
      </w:r>
      <w:r>
        <w:rPr>
          <w:spacing w:val="-2"/>
          <w:sz w:val="20"/>
          <w:szCs w:val="20"/>
        </w:rPr>
        <w:t>收和维护等)全过程的记录和依据，其中部分文件具有法律效</w:t>
      </w:r>
      <w:r>
        <w:rPr>
          <w:spacing w:val="-3"/>
          <w:sz w:val="20"/>
          <w:szCs w:val="20"/>
        </w:rPr>
        <w:t>力，是工程管理最重要的内容之一。</w:t>
      </w:r>
      <w:r>
        <w:rPr>
          <w:sz w:val="20"/>
          <w:szCs w:val="20"/>
        </w:rPr>
        <w:t xml:space="preserve"> </w:t>
      </w:r>
      <w:r>
        <w:rPr>
          <w:spacing w:val="3"/>
          <w:sz w:val="20"/>
          <w:szCs w:val="20"/>
        </w:rPr>
        <w:t>为保证各阶段技术文件的质量和完整性，监理单位应协助业</w:t>
      </w:r>
      <w:r>
        <w:rPr>
          <w:spacing w:val="2"/>
          <w:sz w:val="20"/>
          <w:szCs w:val="20"/>
        </w:rPr>
        <w:t>主单位和承建单位规范计算机网络</w:t>
      </w:r>
      <w:r>
        <w:rPr>
          <w:sz w:val="20"/>
          <w:szCs w:val="20"/>
        </w:rPr>
        <w:t xml:space="preserve">  工程技术文档的编制。本项目中各阶段应输出的信息网络系统工程技术文档如表14-6所示。</w:t>
      </w:r>
    </w:p>
    <w:p w14:paraId="271658EC">
      <w:pPr>
        <w:spacing w:before="136" w:line="221" w:lineRule="auto"/>
        <w:ind w:left="2712"/>
        <w:rPr>
          <w:rFonts w:ascii="黑体" w:hAnsi="黑体" w:eastAsia="黑体" w:cs="黑体"/>
          <w:sz w:val="20"/>
          <w:szCs w:val="20"/>
        </w:rPr>
      </w:pPr>
      <w:r>
        <w:rPr>
          <w:rFonts w:ascii="黑体" w:hAnsi="黑体" w:eastAsia="黑体" w:cs="黑体"/>
          <w:b/>
          <w:bCs/>
          <w:spacing w:val="-17"/>
          <w:sz w:val="20"/>
          <w:szCs w:val="20"/>
        </w:rPr>
        <w:t>表14-6</w:t>
      </w:r>
      <w:r>
        <w:rPr>
          <w:rFonts w:ascii="黑体" w:hAnsi="黑体" w:eastAsia="黑体" w:cs="黑体"/>
          <w:spacing w:val="80"/>
          <w:sz w:val="20"/>
          <w:szCs w:val="20"/>
        </w:rPr>
        <w:t xml:space="preserve"> </w:t>
      </w:r>
      <w:r>
        <w:rPr>
          <w:rFonts w:ascii="黑体" w:hAnsi="黑体" w:eastAsia="黑体" w:cs="黑体"/>
          <w:b/>
          <w:bCs/>
          <w:spacing w:val="-17"/>
          <w:sz w:val="20"/>
          <w:szCs w:val="20"/>
        </w:rPr>
        <w:t>信息网络系统工程技术文档</w:t>
      </w:r>
    </w:p>
    <w:p w14:paraId="0B3A10AD">
      <w:pPr>
        <w:spacing w:line="102" w:lineRule="exact"/>
      </w:pPr>
    </w:p>
    <w:tbl>
      <w:tblPr>
        <w:tblStyle w:val="5"/>
        <w:tblW w:w="836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90"/>
        <w:gridCol w:w="1790"/>
        <w:gridCol w:w="730"/>
        <w:gridCol w:w="730"/>
        <w:gridCol w:w="730"/>
        <w:gridCol w:w="730"/>
        <w:gridCol w:w="720"/>
        <w:gridCol w:w="640"/>
      </w:tblGrid>
      <w:tr w14:paraId="1D619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290" w:type="dxa"/>
            <w:vMerge w:val="restart"/>
            <w:tcBorders>
              <w:left w:val="nil"/>
              <w:bottom w:val="nil"/>
            </w:tcBorders>
            <w:vAlign w:val="top"/>
          </w:tcPr>
          <w:p w14:paraId="299EE2ED">
            <w:pPr>
              <w:pStyle w:val="6"/>
              <w:spacing w:before="230" w:line="220" w:lineRule="auto"/>
              <w:ind w:left="782"/>
              <w:rPr>
                <w:sz w:val="18"/>
                <w:szCs w:val="18"/>
              </w:rPr>
            </w:pPr>
            <w:r>
              <w:rPr>
                <w:b/>
                <w:bCs/>
                <w:spacing w:val="-4"/>
                <w:sz w:val="18"/>
                <w:szCs w:val="18"/>
              </w:rPr>
              <w:t>工程阶段</w:t>
            </w:r>
          </w:p>
        </w:tc>
        <w:tc>
          <w:tcPr>
            <w:tcW w:w="1790" w:type="dxa"/>
            <w:vMerge w:val="restart"/>
            <w:tcBorders>
              <w:bottom w:val="nil"/>
            </w:tcBorders>
            <w:vAlign w:val="top"/>
          </w:tcPr>
          <w:p w14:paraId="5F89C000">
            <w:pPr>
              <w:pStyle w:val="6"/>
              <w:spacing w:before="229" w:line="219" w:lineRule="auto"/>
              <w:ind w:left="527"/>
              <w:rPr>
                <w:sz w:val="18"/>
                <w:szCs w:val="18"/>
              </w:rPr>
            </w:pPr>
            <w:r>
              <w:rPr>
                <w:b/>
                <w:bCs/>
                <w:spacing w:val="-4"/>
                <w:sz w:val="18"/>
                <w:szCs w:val="18"/>
              </w:rPr>
              <w:t>文件名称</w:t>
            </w:r>
          </w:p>
        </w:tc>
        <w:tc>
          <w:tcPr>
            <w:tcW w:w="2190" w:type="dxa"/>
            <w:gridSpan w:val="3"/>
            <w:vAlign w:val="top"/>
          </w:tcPr>
          <w:p w14:paraId="4134C849">
            <w:pPr>
              <w:pStyle w:val="6"/>
              <w:spacing w:before="70" w:line="220" w:lineRule="auto"/>
              <w:ind w:left="747"/>
              <w:rPr>
                <w:sz w:val="18"/>
                <w:szCs w:val="18"/>
              </w:rPr>
            </w:pPr>
            <w:r>
              <w:rPr>
                <w:b/>
                <w:bCs/>
                <w:spacing w:val="-4"/>
                <w:sz w:val="18"/>
                <w:szCs w:val="18"/>
              </w:rPr>
              <w:t>业主单位</w:t>
            </w:r>
          </w:p>
        </w:tc>
        <w:tc>
          <w:tcPr>
            <w:tcW w:w="2090" w:type="dxa"/>
            <w:gridSpan w:val="3"/>
            <w:tcBorders>
              <w:right w:val="nil"/>
            </w:tcBorders>
            <w:vAlign w:val="top"/>
          </w:tcPr>
          <w:p w14:paraId="436006EA">
            <w:pPr>
              <w:pStyle w:val="6"/>
              <w:spacing w:before="69" w:line="219" w:lineRule="auto"/>
              <w:ind w:left="667"/>
              <w:rPr>
                <w:sz w:val="18"/>
                <w:szCs w:val="18"/>
              </w:rPr>
            </w:pPr>
            <w:r>
              <w:rPr>
                <w:b/>
                <w:bCs/>
                <w:spacing w:val="-4"/>
                <w:sz w:val="18"/>
                <w:szCs w:val="18"/>
              </w:rPr>
              <w:t>承建单位</w:t>
            </w:r>
          </w:p>
        </w:tc>
      </w:tr>
      <w:tr w14:paraId="2FFC5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290" w:type="dxa"/>
            <w:vMerge w:val="continue"/>
            <w:tcBorders>
              <w:top w:val="nil"/>
              <w:left w:val="nil"/>
            </w:tcBorders>
            <w:vAlign w:val="top"/>
          </w:tcPr>
          <w:p w14:paraId="09BA2CDF">
            <w:pPr>
              <w:rPr>
                <w:rFonts w:ascii="Arial"/>
                <w:sz w:val="21"/>
              </w:rPr>
            </w:pPr>
          </w:p>
        </w:tc>
        <w:tc>
          <w:tcPr>
            <w:tcW w:w="1790" w:type="dxa"/>
            <w:vMerge w:val="continue"/>
            <w:tcBorders>
              <w:top w:val="nil"/>
            </w:tcBorders>
            <w:vAlign w:val="top"/>
          </w:tcPr>
          <w:p w14:paraId="5AA6BC96">
            <w:pPr>
              <w:rPr>
                <w:rFonts w:ascii="Arial"/>
                <w:sz w:val="21"/>
              </w:rPr>
            </w:pPr>
          </w:p>
        </w:tc>
        <w:tc>
          <w:tcPr>
            <w:tcW w:w="730" w:type="dxa"/>
            <w:vAlign w:val="top"/>
          </w:tcPr>
          <w:p w14:paraId="7BA11291">
            <w:pPr>
              <w:pStyle w:val="6"/>
              <w:spacing w:before="66" w:line="220" w:lineRule="auto"/>
              <w:ind w:left="177"/>
              <w:rPr>
                <w:sz w:val="18"/>
                <w:szCs w:val="18"/>
              </w:rPr>
            </w:pPr>
            <w:r>
              <w:rPr>
                <w:b/>
                <w:bCs/>
                <w:spacing w:val="-4"/>
                <w:sz w:val="18"/>
                <w:szCs w:val="18"/>
              </w:rPr>
              <w:t>提交</w:t>
            </w:r>
          </w:p>
        </w:tc>
        <w:tc>
          <w:tcPr>
            <w:tcW w:w="730" w:type="dxa"/>
            <w:vAlign w:val="top"/>
          </w:tcPr>
          <w:p w14:paraId="2D0BDC7C">
            <w:pPr>
              <w:pStyle w:val="6"/>
              <w:spacing w:before="64" w:line="219" w:lineRule="auto"/>
              <w:ind w:left="177"/>
              <w:rPr>
                <w:sz w:val="18"/>
                <w:szCs w:val="18"/>
              </w:rPr>
            </w:pPr>
            <w:r>
              <w:rPr>
                <w:b/>
                <w:bCs/>
                <w:spacing w:val="-4"/>
                <w:sz w:val="18"/>
                <w:szCs w:val="18"/>
              </w:rPr>
              <w:t>会签</w:t>
            </w:r>
          </w:p>
        </w:tc>
        <w:tc>
          <w:tcPr>
            <w:tcW w:w="730" w:type="dxa"/>
            <w:vAlign w:val="top"/>
          </w:tcPr>
          <w:p w14:paraId="10191E99">
            <w:pPr>
              <w:pStyle w:val="6"/>
              <w:spacing w:before="66" w:line="220" w:lineRule="auto"/>
              <w:ind w:left="177"/>
              <w:rPr>
                <w:sz w:val="18"/>
                <w:szCs w:val="18"/>
              </w:rPr>
            </w:pPr>
            <w:r>
              <w:rPr>
                <w:b/>
                <w:bCs/>
                <w:spacing w:val="1"/>
                <w:sz w:val="18"/>
                <w:szCs w:val="18"/>
              </w:rPr>
              <w:t>审定</w:t>
            </w:r>
          </w:p>
        </w:tc>
        <w:tc>
          <w:tcPr>
            <w:tcW w:w="730" w:type="dxa"/>
            <w:vAlign w:val="top"/>
          </w:tcPr>
          <w:p w14:paraId="42514FE7">
            <w:pPr>
              <w:pStyle w:val="6"/>
              <w:spacing w:before="66" w:line="220" w:lineRule="auto"/>
              <w:ind w:left="177"/>
              <w:rPr>
                <w:sz w:val="18"/>
                <w:szCs w:val="18"/>
              </w:rPr>
            </w:pPr>
            <w:r>
              <w:rPr>
                <w:b/>
                <w:bCs/>
                <w:spacing w:val="-4"/>
                <w:sz w:val="18"/>
                <w:szCs w:val="18"/>
              </w:rPr>
              <w:t>提交</w:t>
            </w:r>
          </w:p>
        </w:tc>
        <w:tc>
          <w:tcPr>
            <w:tcW w:w="720" w:type="dxa"/>
            <w:vAlign w:val="top"/>
          </w:tcPr>
          <w:p w14:paraId="6D9E8B9E">
            <w:pPr>
              <w:pStyle w:val="6"/>
              <w:spacing w:before="64" w:line="219" w:lineRule="auto"/>
              <w:ind w:left="177"/>
              <w:rPr>
                <w:sz w:val="18"/>
                <w:szCs w:val="18"/>
              </w:rPr>
            </w:pPr>
            <w:r>
              <w:rPr>
                <w:b/>
                <w:bCs/>
                <w:spacing w:val="-4"/>
                <w:sz w:val="18"/>
                <w:szCs w:val="18"/>
              </w:rPr>
              <w:t>会签</w:t>
            </w:r>
          </w:p>
        </w:tc>
        <w:tc>
          <w:tcPr>
            <w:tcW w:w="640" w:type="dxa"/>
            <w:tcBorders>
              <w:right w:val="nil"/>
            </w:tcBorders>
            <w:vAlign w:val="top"/>
          </w:tcPr>
          <w:p w14:paraId="59F9DB18">
            <w:pPr>
              <w:pStyle w:val="6"/>
              <w:spacing w:before="66" w:line="220" w:lineRule="auto"/>
              <w:ind w:left="137"/>
              <w:rPr>
                <w:sz w:val="18"/>
                <w:szCs w:val="18"/>
              </w:rPr>
            </w:pPr>
            <w:r>
              <w:rPr>
                <w:b/>
                <w:bCs/>
                <w:spacing w:val="1"/>
                <w:sz w:val="18"/>
                <w:szCs w:val="18"/>
              </w:rPr>
              <w:t>审定</w:t>
            </w:r>
          </w:p>
        </w:tc>
      </w:tr>
      <w:tr w14:paraId="60DC9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290" w:type="dxa"/>
            <w:vMerge w:val="restart"/>
            <w:tcBorders>
              <w:left w:val="nil"/>
              <w:bottom w:val="nil"/>
            </w:tcBorders>
            <w:vAlign w:val="top"/>
          </w:tcPr>
          <w:p w14:paraId="52C12CE7">
            <w:pPr>
              <w:pStyle w:val="6"/>
              <w:spacing w:before="229" w:line="220" w:lineRule="auto"/>
              <w:ind w:left="239"/>
              <w:rPr>
                <w:sz w:val="18"/>
                <w:szCs w:val="18"/>
              </w:rPr>
            </w:pPr>
            <w:r>
              <w:rPr>
                <w:spacing w:val="-2"/>
                <w:sz w:val="18"/>
                <w:szCs w:val="18"/>
              </w:rPr>
              <w:t>一、系统方案设计阶段</w:t>
            </w:r>
          </w:p>
        </w:tc>
        <w:tc>
          <w:tcPr>
            <w:tcW w:w="1790" w:type="dxa"/>
            <w:vAlign w:val="top"/>
          </w:tcPr>
          <w:p w14:paraId="61E7E567">
            <w:pPr>
              <w:pStyle w:val="6"/>
              <w:spacing w:before="68" w:line="219" w:lineRule="auto"/>
              <w:ind w:left="435"/>
              <w:rPr>
                <w:sz w:val="18"/>
                <w:szCs w:val="18"/>
              </w:rPr>
            </w:pPr>
            <w:r>
              <w:rPr>
                <w:spacing w:val="2"/>
                <w:sz w:val="18"/>
                <w:szCs w:val="18"/>
              </w:rPr>
              <w:t>系统需求书</w:t>
            </w:r>
          </w:p>
        </w:tc>
        <w:tc>
          <w:tcPr>
            <w:tcW w:w="730" w:type="dxa"/>
            <w:vAlign w:val="top"/>
          </w:tcPr>
          <w:p w14:paraId="1F330C5B">
            <w:pPr>
              <w:pStyle w:val="6"/>
              <w:spacing w:before="87" w:line="217" w:lineRule="auto"/>
              <w:ind w:left="264"/>
              <w:rPr>
                <w:sz w:val="18"/>
                <w:szCs w:val="18"/>
              </w:rPr>
            </w:pPr>
            <w:r>
              <w:rPr>
                <w:sz w:val="18"/>
                <w:szCs w:val="18"/>
              </w:rPr>
              <w:t>√</w:t>
            </w:r>
          </w:p>
        </w:tc>
        <w:tc>
          <w:tcPr>
            <w:tcW w:w="730" w:type="dxa"/>
            <w:vAlign w:val="top"/>
          </w:tcPr>
          <w:p w14:paraId="632B9A03">
            <w:pPr>
              <w:rPr>
                <w:rFonts w:ascii="Arial"/>
                <w:sz w:val="21"/>
              </w:rPr>
            </w:pPr>
          </w:p>
        </w:tc>
        <w:tc>
          <w:tcPr>
            <w:tcW w:w="730" w:type="dxa"/>
            <w:vAlign w:val="top"/>
          </w:tcPr>
          <w:p w14:paraId="70F8FB3B">
            <w:pPr>
              <w:rPr>
                <w:rFonts w:ascii="Arial"/>
                <w:sz w:val="21"/>
              </w:rPr>
            </w:pPr>
          </w:p>
        </w:tc>
        <w:tc>
          <w:tcPr>
            <w:tcW w:w="730" w:type="dxa"/>
            <w:vAlign w:val="top"/>
          </w:tcPr>
          <w:p w14:paraId="560DEFB4">
            <w:pPr>
              <w:rPr>
                <w:rFonts w:ascii="Arial"/>
                <w:sz w:val="21"/>
              </w:rPr>
            </w:pPr>
          </w:p>
        </w:tc>
        <w:tc>
          <w:tcPr>
            <w:tcW w:w="720" w:type="dxa"/>
            <w:vAlign w:val="top"/>
          </w:tcPr>
          <w:p w14:paraId="5D3DD811">
            <w:pPr>
              <w:rPr>
                <w:rFonts w:ascii="Arial"/>
                <w:sz w:val="21"/>
              </w:rPr>
            </w:pPr>
          </w:p>
        </w:tc>
        <w:tc>
          <w:tcPr>
            <w:tcW w:w="640" w:type="dxa"/>
            <w:tcBorders>
              <w:right w:val="nil"/>
            </w:tcBorders>
            <w:vAlign w:val="top"/>
          </w:tcPr>
          <w:p w14:paraId="25A11008">
            <w:pPr>
              <w:rPr>
                <w:rFonts w:ascii="Arial"/>
                <w:sz w:val="21"/>
              </w:rPr>
            </w:pPr>
          </w:p>
        </w:tc>
      </w:tr>
      <w:tr w14:paraId="244E3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290" w:type="dxa"/>
            <w:vMerge w:val="continue"/>
            <w:tcBorders>
              <w:top w:val="nil"/>
              <w:left w:val="nil"/>
            </w:tcBorders>
            <w:vAlign w:val="top"/>
          </w:tcPr>
          <w:p w14:paraId="48A5E7A7">
            <w:pPr>
              <w:rPr>
                <w:rFonts w:ascii="Arial"/>
                <w:sz w:val="21"/>
              </w:rPr>
            </w:pPr>
          </w:p>
        </w:tc>
        <w:tc>
          <w:tcPr>
            <w:tcW w:w="1790" w:type="dxa"/>
            <w:vAlign w:val="top"/>
          </w:tcPr>
          <w:p w14:paraId="2B488758">
            <w:pPr>
              <w:pStyle w:val="6"/>
              <w:spacing w:before="69" w:line="219" w:lineRule="auto"/>
              <w:ind w:left="254"/>
              <w:rPr>
                <w:sz w:val="18"/>
                <w:szCs w:val="18"/>
              </w:rPr>
            </w:pPr>
            <w:r>
              <w:rPr>
                <w:spacing w:val="1"/>
                <w:sz w:val="18"/>
                <w:szCs w:val="18"/>
              </w:rPr>
              <w:t>系统方案设计书</w:t>
            </w:r>
          </w:p>
        </w:tc>
        <w:tc>
          <w:tcPr>
            <w:tcW w:w="730" w:type="dxa"/>
            <w:vAlign w:val="top"/>
          </w:tcPr>
          <w:p w14:paraId="77B112EE">
            <w:pPr>
              <w:rPr>
                <w:rFonts w:ascii="Arial"/>
                <w:sz w:val="21"/>
              </w:rPr>
            </w:pPr>
          </w:p>
        </w:tc>
        <w:tc>
          <w:tcPr>
            <w:tcW w:w="730" w:type="dxa"/>
            <w:vAlign w:val="top"/>
          </w:tcPr>
          <w:p w14:paraId="5C113FF1">
            <w:pPr>
              <w:rPr>
                <w:rFonts w:ascii="Arial"/>
                <w:sz w:val="21"/>
              </w:rPr>
            </w:pPr>
          </w:p>
        </w:tc>
        <w:tc>
          <w:tcPr>
            <w:tcW w:w="730" w:type="dxa"/>
            <w:vAlign w:val="top"/>
          </w:tcPr>
          <w:p w14:paraId="7AEEAAC5">
            <w:pPr>
              <w:pStyle w:val="6"/>
              <w:spacing w:before="88" w:line="216" w:lineRule="auto"/>
              <w:ind w:left="265"/>
              <w:rPr>
                <w:sz w:val="18"/>
                <w:szCs w:val="18"/>
              </w:rPr>
            </w:pPr>
            <w:r>
              <w:rPr>
                <w:sz w:val="18"/>
                <w:szCs w:val="18"/>
              </w:rPr>
              <w:t>√</w:t>
            </w:r>
          </w:p>
        </w:tc>
        <w:tc>
          <w:tcPr>
            <w:tcW w:w="730" w:type="dxa"/>
            <w:vAlign w:val="top"/>
          </w:tcPr>
          <w:p w14:paraId="11BD2878">
            <w:pPr>
              <w:pStyle w:val="6"/>
              <w:spacing w:before="88" w:line="216" w:lineRule="auto"/>
              <w:ind w:left="265"/>
              <w:rPr>
                <w:sz w:val="18"/>
                <w:szCs w:val="18"/>
              </w:rPr>
            </w:pPr>
            <w:r>
              <w:rPr>
                <w:sz w:val="18"/>
                <w:szCs w:val="18"/>
              </w:rPr>
              <w:t>√</w:t>
            </w:r>
          </w:p>
        </w:tc>
        <w:tc>
          <w:tcPr>
            <w:tcW w:w="720" w:type="dxa"/>
            <w:vAlign w:val="top"/>
          </w:tcPr>
          <w:p w14:paraId="10BAFCFC">
            <w:pPr>
              <w:pStyle w:val="6"/>
              <w:spacing w:before="88" w:line="216" w:lineRule="auto"/>
              <w:ind w:left="264"/>
              <w:rPr>
                <w:sz w:val="18"/>
                <w:szCs w:val="18"/>
              </w:rPr>
            </w:pPr>
            <w:r>
              <w:rPr>
                <w:sz w:val="18"/>
                <w:szCs w:val="18"/>
              </w:rPr>
              <w:t>√</w:t>
            </w:r>
          </w:p>
        </w:tc>
        <w:tc>
          <w:tcPr>
            <w:tcW w:w="640" w:type="dxa"/>
            <w:tcBorders>
              <w:right w:val="nil"/>
            </w:tcBorders>
            <w:vAlign w:val="top"/>
          </w:tcPr>
          <w:p w14:paraId="7BC405C3">
            <w:pPr>
              <w:rPr>
                <w:rFonts w:ascii="Arial"/>
                <w:sz w:val="21"/>
              </w:rPr>
            </w:pPr>
          </w:p>
        </w:tc>
      </w:tr>
      <w:tr w14:paraId="4A96B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2290" w:type="dxa"/>
            <w:vMerge w:val="restart"/>
            <w:tcBorders>
              <w:left w:val="nil"/>
              <w:bottom w:val="nil"/>
            </w:tcBorders>
            <w:vAlign w:val="top"/>
          </w:tcPr>
          <w:p w14:paraId="63B5DFF2">
            <w:pPr>
              <w:pStyle w:val="6"/>
              <w:spacing w:before="231" w:line="219" w:lineRule="auto"/>
              <w:ind w:left="239"/>
              <w:rPr>
                <w:sz w:val="18"/>
                <w:szCs w:val="18"/>
              </w:rPr>
            </w:pPr>
            <w:r>
              <w:rPr>
                <w:spacing w:val="-1"/>
                <w:sz w:val="18"/>
                <w:szCs w:val="18"/>
              </w:rPr>
              <w:t>二、系统初步设计阶段</w:t>
            </w:r>
          </w:p>
        </w:tc>
        <w:tc>
          <w:tcPr>
            <w:tcW w:w="1790" w:type="dxa"/>
            <w:vAlign w:val="top"/>
          </w:tcPr>
          <w:p w14:paraId="0B3530DC">
            <w:pPr>
              <w:pStyle w:val="6"/>
              <w:spacing w:before="70" w:line="219" w:lineRule="auto"/>
              <w:ind w:left="254"/>
              <w:rPr>
                <w:sz w:val="18"/>
                <w:szCs w:val="18"/>
              </w:rPr>
            </w:pPr>
            <w:r>
              <w:rPr>
                <w:spacing w:val="1"/>
                <w:sz w:val="18"/>
                <w:szCs w:val="18"/>
              </w:rPr>
              <w:t>系统设计任务书</w:t>
            </w:r>
          </w:p>
        </w:tc>
        <w:tc>
          <w:tcPr>
            <w:tcW w:w="730" w:type="dxa"/>
            <w:vAlign w:val="top"/>
          </w:tcPr>
          <w:p w14:paraId="38F80A85">
            <w:pPr>
              <w:pStyle w:val="6"/>
              <w:spacing w:before="89" w:line="216" w:lineRule="auto"/>
              <w:ind w:left="264"/>
              <w:rPr>
                <w:sz w:val="18"/>
                <w:szCs w:val="18"/>
              </w:rPr>
            </w:pPr>
            <w:r>
              <w:rPr>
                <w:sz w:val="18"/>
                <w:szCs w:val="18"/>
              </w:rPr>
              <w:t>√</w:t>
            </w:r>
          </w:p>
        </w:tc>
        <w:tc>
          <w:tcPr>
            <w:tcW w:w="730" w:type="dxa"/>
            <w:vAlign w:val="top"/>
          </w:tcPr>
          <w:p w14:paraId="1F416590">
            <w:pPr>
              <w:rPr>
                <w:rFonts w:ascii="Arial"/>
                <w:sz w:val="21"/>
              </w:rPr>
            </w:pPr>
          </w:p>
        </w:tc>
        <w:tc>
          <w:tcPr>
            <w:tcW w:w="730" w:type="dxa"/>
            <w:vAlign w:val="top"/>
          </w:tcPr>
          <w:p w14:paraId="2BEC25CA">
            <w:pPr>
              <w:rPr>
                <w:rFonts w:ascii="Arial"/>
                <w:sz w:val="21"/>
              </w:rPr>
            </w:pPr>
          </w:p>
        </w:tc>
        <w:tc>
          <w:tcPr>
            <w:tcW w:w="730" w:type="dxa"/>
            <w:vAlign w:val="top"/>
          </w:tcPr>
          <w:p w14:paraId="65B1D008">
            <w:pPr>
              <w:rPr>
                <w:rFonts w:ascii="Arial"/>
                <w:sz w:val="21"/>
              </w:rPr>
            </w:pPr>
          </w:p>
        </w:tc>
        <w:tc>
          <w:tcPr>
            <w:tcW w:w="720" w:type="dxa"/>
            <w:vAlign w:val="top"/>
          </w:tcPr>
          <w:p w14:paraId="2E83F19B">
            <w:pPr>
              <w:rPr>
                <w:rFonts w:ascii="Arial"/>
                <w:sz w:val="21"/>
              </w:rPr>
            </w:pPr>
          </w:p>
        </w:tc>
        <w:tc>
          <w:tcPr>
            <w:tcW w:w="640" w:type="dxa"/>
            <w:tcBorders>
              <w:right w:val="nil"/>
            </w:tcBorders>
            <w:vAlign w:val="top"/>
          </w:tcPr>
          <w:p w14:paraId="2C9472B3">
            <w:pPr>
              <w:rPr>
                <w:rFonts w:ascii="Arial"/>
                <w:sz w:val="21"/>
              </w:rPr>
            </w:pPr>
          </w:p>
        </w:tc>
      </w:tr>
      <w:tr w14:paraId="7ECDB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290" w:type="dxa"/>
            <w:vMerge w:val="continue"/>
            <w:tcBorders>
              <w:top w:val="nil"/>
              <w:left w:val="nil"/>
            </w:tcBorders>
            <w:vAlign w:val="top"/>
          </w:tcPr>
          <w:p w14:paraId="57A2476E">
            <w:pPr>
              <w:rPr>
                <w:rFonts w:ascii="Arial"/>
                <w:sz w:val="21"/>
              </w:rPr>
            </w:pPr>
          </w:p>
        </w:tc>
        <w:tc>
          <w:tcPr>
            <w:tcW w:w="1790" w:type="dxa"/>
            <w:vAlign w:val="top"/>
          </w:tcPr>
          <w:p w14:paraId="7FE7BB35">
            <w:pPr>
              <w:pStyle w:val="6"/>
              <w:spacing w:before="70" w:line="219" w:lineRule="auto"/>
              <w:ind w:left="254"/>
              <w:rPr>
                <w:sz w:val="18"/>
                <w:szCs w:val="18"/>
              </w:rPr>
            </w:pPr>
            <w:r>
              <w:rPr>
                <w:spacing w:val="1"/>
                <w:sz w:val="18"/>
                <w:szCs w:val="18"/>
              </w:rPr>
              <w:t>系统初步设计书</w:t>
            </w:r>
          </w:p>
        </w:tc>
        <w:tc>
          <w:tcPr>
            <w:tcW w:w="730" w:type="dxa"/>
            <w:vAlign w:val="top"/>
          </w:tcPr>
          <w:p w14:paraId="676614DB">
            <w:pPr>
              <w:rPr>
                <w:rFonts w:ascii="Arial"/>
                <w:sz w:val="21"/>
              </w:rPr>
            </w:pPr>
          </w:p>
        </w:tc>
        <w:tc>
          <w:tcPr>
            <w:tcW w:w="730" w:type="dxa"/>
            <w:vAlign w:val="top"/>
          </w:tcPr>
          <w:p w14:paraId="735B2733">
            <w:pPr>
              <w:rPr>
                <w:rFonts w:ascii="Arial"/>
                <w:sz w:val="21"/>
              </w:rPr>
            </w:pPr>
          </w:p>
        </w:tc>
        <w:tc>
          <w:tcPr>
            <w:tcW w:w="730" w:type="dxa"/>
            <w:vAlign w:val="top"/>
          </w:tcPr>
          <w:p w14:paraId="4DF22DC0">
            <w:pPr>
              <w:pStyle w:val="6"/>
              <w:spacing w:before="89" w:line="215" w:lineRule="auto"/>
              <w:ind w:left="265"/>
              <w:rPr>
                <w:sz w:val="18"/>
                <w:szCs w:val="18"/>
              </w:rPr>
            </w:pPr>
            <w:r>
              <w:rPr>
                <w:sz w:val="18"/>
                <w:szCs w:val="18"/>
              </w:rPr>
              <w:t>√</w:t>
            </w:r>
          </w:p>
        </w:tc>
        <w:tc>
          <w:tcPr>
            <w:tcW w:w="730" w:type="dxa"/>
            <w:vAlign w:val="top"/>
          </w:tcPr>
          <w:p w14:paraId="34294CEC">
            <w:pPr>
              <w:pStyle w:val="6"/>
              <w:spacing w:before="89" w:line="215" w:lineRule="auto"/>
              <w:ind w:left="265"/>
              <w:rPr>
                <w:sz w:val="18"/>
                <w:szCs w:val="18"/>
              </w:rPr>
            </w:pPr>
            <w:r>
              <w:rPr>
                <w:sz w:val="18"/>
                <w:szCs w:val="18"/>
              </w:rPr>
              <w:t>√</w:t>
            </w:r>
          </w:p>
        </w:tc>
        <w:tc>
          <w:tcPr>
            <w:tcW w:w="720" w:type="dxa"/>
            <w:vAlign w:val="top"/>
          </w:tcPr>
          <w:p w14:paraId="579EB4D8">
            <w:pPr>
              <w:pStyle w:val="6"/>
              <w:spacing w:before="89" w:line="215" w:lineRule="auto"/>
              <w:ind w:left="264"/>
              <w:rPr>
                <w:sz w:val="18"/>
                <w:szCs w:val="18"/>
              </w:rPr>
            </w:pPr>
            <w:r>
              <w:rPr>
                <w:sz w:val="18"/>
                <w:szCs w:val="18"/>
              </w:rPr>
              <w:t>√</w:t>
            </w:r>
          </w:p>
        </w:tc>
        <w:tc>
          <w:tcPr>
            <w:tcW w:w="640" w:type="dxa"/>
            <w:tcBorders>
              <w:right w:val="nil"/>
            </w:tcBorders>
            <w:vAlign w:val="top"/>
          </w:tcPr>
          <w:p w14:paraId="0874F459">
            <w:pPr>
              <w:rPr>
                <w:rFonts w:ascii="Arial"/>
                <w:sz w:val="21"/>
              </w:rPr>
            </w:pPr>
          </w:p>
        </w:tc>
      </w:tr>
      <w:tr w14:paraId="46A14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2290" w:type="dxa"/>
            <w:vMerge w:val="restart"/>
            <w:tcBorders>
              <w:left w:val="nil"/>
              <w:bottom w:val="nil"/>
            </w:tcBorders>
            <w:vAlign w:val="top"/>
          </w:tcPr>
          <w:p w14:paraId="04147174">
            <w:pPr>
              <w:spacing w:line="316" w:lineRule="auto"/>
              <w:rPr>
                <w:rFonts w:ascii="Arial"/>
                <w:sz w:val="21"/>
              </w:rPr>
            </w:pPr>
          </w:p>
          <w:p w14:paraId="0D1D504F">
            <w:pPr>
              <w:spacing w:line="316" w:lineRule="auto"/>
              <w:rPr>
                <w:rFonts w:ascii="Arial"/>
                <w:sz w:val="21"/>
              </w:rPr>
            </w:pPr>
          </w:p>
          <w:p w14:paraId="54F362E8">
            <w:pPr>
              <w:spacing w:line="317" w:lineRule="auto"/>
              <w:rPr>
                <w:rFonts w:ascii="Arial"/>
                <w:sz w:val="21"/>
              </w:rPr>
            </w:pPr>
          </w:p>
          <w:p w14:paraId="16F8A7F5">
            <w:pPr>
              <w:pStyle w:val="6"/>
              <w:spacing w:before="58" w:line="221" w:lineRule="auto"/>
              <w:ind w:left="239"/>
              <w:rPr>
                <w:sz w:val="18"/>
                <w:szCs w:val="18"/>
              </w:rPr>
            </w:pPr>
            <w:r>
              <w:rPr>
                <w:spacing w:val="-1"/>
                <w:sz w:val="18"/>
                <w:szCs w:val="18"/>
              </w:rPr>
              <w:t>三、系统深化设计阶段</w:t>
            </w:r>
          </w:p>
        </w:tc>
        <w:tc>
          <w:tcPr>
            <w:tcW w:w="1790" w:type="dxa"/>
            <w:vAlign w:val="top"/>
          </w:tcPr>
          <w:p w14:paraId="0E30AC94">
            <w:pPr>
              <w:pStyle w:val="6"/>
              <w:spacing w:before="73" w:line="221" w:lineRule="auto"/>
              <w:ind w:left="615"/>
              <w:rPr>
                <w:sz w:val="18"/>
                <w:szCs w:val="18"/>
              </w:rPr>
            </w:pPr>
            <w:r>
              <w:rPr>
                <w:spacing w:val="5"/>
                <w:sz w:val="18"/>
                <w:szCs w:val="18"/>
              </w:rPr>
              <w:t>系统图</w:t>
            </w:r>
          </w:p>
        </w:tc>
        <w:tc>
          <w:tcPr>
            <w:tcW w:w="730" w:type="dxa"/>
            <w:vAlign w:val="top"/>
          </w:tcPr>
          <w:p w14:paraId="0D221BD9">
            <w:pPr>
              <w:rPr>
                <w:rFonts w:ascii="Arial"/>
                <w:sz w:val="21"/>
              </w:rPr>
            </w:pPr>
          </w:p>
        </w:tc>
        <w:tc>
          <w:tcPr>
            <w:tcW w:w="730" w:type="dxa"/>
            <w:vAlign w:val="top"/>
          </w:tcPr>
          <w:p w14:paraId="2CC6D848">
            <w:pPr>
              <w:rPr>
                <w:rFonts w:ascii="Arial"/>
                <w:sz w:val="21"/>
              </w:rPr>
            </w:pPr>
          </w:p>
        </w:tc>
        <w:tc>
          <w:tcPr>
            <w:tcW w:w="730" w:type="dxa"/>
            <w:vAlign w:val="top"/>
          </w:tcPr>
          <w:p w14:paraId="4476E273">
            <w:pPr>
              <w:pStyle w:val="6"/>
              <w:spacing w:before="90" w:line="215" w:lineRule="auto"/>
              <w:ind w:left="265"/>
              <w:rPr>
                <w:sz w:val="18"/>
                <w:szCs w:val="18"/>
              </w:rPr>
            </w:pPr>
            <w:r>
              <w:rPr>
                <w:sz w:val="18"/>
                <w:szCs w:val="18"/>
              </w:rPr>
              <w:t>√</w:t>
            </w:r>
          </w:p>
        </w:tc>
        <w:tc>
          <w:tcPr>
            <w:tcW w:w="730" w:type="dxa"/>
            <w:vAlign w:val="top"/>
          </w:tcPr>
          <w:p w14:paraId="3B6FB2BA">
            <w:pPr>
              <w:pStyle w:val="6"/>
              <w:spacing w:before="90" w:line="215" w:lineRule="auto"/>
              <w:ind w:left="265"/>
              <w:rPr>
                <w:sz w:val="18"/>
                <w:szCs w:val="18"/>
              </w:rPr>
            </w:pPr>
            <w:r>
              <w:rPr>
                <w:sz w:val="18"/>
                <w:szCs w:val="18"/>
              </w:rPr>
              <w:t>√</w:t>
            </w:r>
          </w:p>
        </w:tc>
        <w:tc>
          <w:tcPr>
            <w:tcW w:w="720" w:type="dxa"/>
            <w:vAlign w:val="top"/>
          </w:tcPr>
          <w:p w14:paraId="14AE5366">
            <w:pPr>
              <w:pStyle w:val="6"/>
              <w:spacing w:before="90" w:line="215" w:lineRule="auto"/>
              <w:ind w:left="264"/>
              <w:rPr>
                <w:sz w:val="18"/>
                <w:szCs w:val="18"/>
              </w:rPr>
            </w:pPr>
            <w:r>
              <w:rPr>
                <w:sz w:val="18"/>
                <w:szCs w:val="18"/>
              </w:rPr>
              <w:t>√</w:t>
            </w:r>
          </w:p>
        </w:tc>
        <w:tc>
          <w:tcPr>
            <w:tcW w:w="640" w:type="dxa"/>
            <w:tcBorders>
              <w:right w:val="nil"/>
            </w:tcBorders>
            <w:vAlign w:val="top"/>
          </w:tcPr>
          <w:p w14:paraId="6CB279D5">
            <w:pPr>
              <w:rPr>
                <w:rFonts w:ascii="Arial"/>
                <w:sz w:val="21"/>
              </w:rPr>
            </w:pPr>
          </w:p>
        </w:tc>
      </w:tr>
      <w:tr w14:paraId="56C15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290" w:type="dxa"/>
            <w:vMerge w:val="continue"/>
            <w:tcBorders>
              <w:top w:val="nil"/>
              <w:left w:val="nil"/>
              <w:bottom w:val="nil"/>
            </w:tcBorders>
            <w:vAlign w:val="top"/>
          </w:tcPr>
          <w:p w14:paraId="59A3C92A">
            <w:pPr>
              <w:rPr>
                <w:rFonts w:ascii="Arial"/>
                <w:sz w:val="21"/>
              </w:rPr>
            </w:pPr>
          </w:p>
        </w:tc>
        <w:tc>
          <w:tcPr>
            <w:tcW w:w="1790" w:type="dxa"/>
            <w:vAlign w:val="top"/>
          </w:tcPr>
          <w:p w14:paraId="63487EDC">
            <w:pPr>
              <w:pStyle w:val="6"/>
              <w:spacing w:before="72" w:line="220" w:lineRule="auto"/>
              <w:ind w:left="435"/>
              <w:rPr>
                <w:sz w:val="18"/>
                <w:szCs w:val="18"/>
              </w:rPr>
            </w:pPr>
            <w:r>
              <w:rPr>
                <w:spacing w:val="3"/>
                <w:sz w:val="18"/>
                <w:szCs w:val="18"/>
              </w:rPr>
              <w:t>系统接线图</w:t>
            </w:r>
          </w:p>
        </w:tc>
        <w:tc>
          <w:tcPr>
            <w:tcW w:w="730" w:type="dxa"/>
            <w:vAlign w:val="top"/>
          </w:tcPr>
          <w:p w14:paraId="2E495CCA">
            <w:pPr>
              <w:rPr>
                <w:rFonts w:ascii="Arial"/>
                <w:sz w:val="21"/>
              </w:rPr>
            </w:pPr>
          </w:p>
        </w:tc>
        <w:tc>
          <w:tcPr>
            <w:tcW w:w="730" w:type="dxa"/>
            <w:vAlign w:val="top"/>
          </w:tcPr>
          <w:p w14:paraId="1492ED98">
            <w:pPr>
              <w:rPr>
                <w:rFonts w:ascii="Arial"/>
                <w:sz w:val="21"/>
              </w:rPr>
            </w:pPr>
          </w:p>
        </w:tc>
        <w:tc>
          <w:tcPr>
            <w:tcW w:w="730" w:type="dxa"/>
            <w:vAlign w:val="top"/>
          </w:tcPr>
          <w:p w14:paraId="57297194">
            <w:pPr>
              <w:pStyle w:val="6"/>
              <w:spacing w:before="90" w:line="214" w:lineRule="auto"/>
              <w:ind w:left="265"/>
              <w:rPr>
                <w:sz w:val="18"/>
                <w:szCs w:val="18"/>
              </w:rPr>
            </w:pPr>
            <w:r>
              <w:rPr>
                <w:sz w:val="18"/>
                <w:szCs w:val="18"/>
              </w:rPr>
              <w:t>√</w:t>
            </w:r>
          </w:p>
        </w:tc>
        <w:tc>
          <w:tcPr>
            <w:tcW w:w="730" w:type="dxa"/>
            <w:vAlign w:val="top"/>
          </w:tcPr>
          <w:p w14:paraId="35741B54">
            <w:pPr>
              <w:pStyle w:val="6"/>
              <w:spacing w:before="90" w:line="214" w:lineRule="auto"/>
              <w:ind w:left="265"/>
              <w:rPr>
                <w:sz w:val="18"/>
                <w:szCs w:val="18"/>
              </w:rPr>
            </w:pPr>
            <w:r>
              <w:rPr>
                <w:sz w:val="18"/>
                <w:szCs w:val="18"/>
              </w:rPr>
              <w:t>√</w:t>
            </w:r>
          </w:p>
        </w:tc>
        <w:tc>
          <w:tcPr>
            <w:tcW w:w="720" w:type="dxa"/>
            <w:vAlign w:val="top"/>
          </w:tcPr>
          <w:p w14:paraId="2656A3DB">
            <w:pPr>
              <w:pStyle w:val="6"/>
              <w:spacing w:before="90" w:line="214" w:lineRule="auto"/>
              <w:ind w:left="264"/>
              <w:rPr>
                <w:sz w:val="18"/>
                <w:szCs w:val="18"/>
              </w:rPr>
            </w:pPr>
            <w:r>
              <w:rPr>
                <w:sz w:val="18"/>
                <w:szCs w:val="18"/>
              </w:rPr>
              <w:t>√</w:t>
            </w:r>
          </w:p>
        </w:tc>
        <w:tc>
          <w:tcPr>
            <w:tcW w:w="640" w:type="dxa"/>
            <w:tcBorders>
              <w:right w:val="nil"/>
            </w:tcBorders>
            <w:vAlign w:val="top"/>
          </w:tcPr>
          <w:p w14:paraId="496343B2">
            <w:pPr>
              <w:rPr>
                <w:rFonts w:ascii="Arial"/>
                <w:sz w:val="21"/>
              </w:rPr>
            </w:pPr>
          </w:p>
        </w:tc>
      </w:tr>
      <w:tr w14:paraId="6631E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290" w:type="dxa"/>
            <w:vMerge w:val="continue"/>
            <w:tcBorders>
              <w:top w:val="nil"/>
              <w:left w:val="nil"/>
              <w:bottom w:val="nil"/>
            </w:tcBorders>
            <w:vAlign w:val="top"/>
          </w:tcPr>
          <w:p w14:paraId="02376AEA">
            <w:pPr>
              <w:rPr>
                <w:rFonts w:ascii="Arial"/>
                <w:sz w:val="21"/>
              </w:rPr>
            </w:pPr>
          </w:p>
        </w:tc>
        <w:tc>
          <w:tcPr>
            <w:tcW w:w="1790" w:type="dxa"/>
            <w:vAlign w:val="top"/>
          </w:tcPr>
          <w:p w14:paraId="54AB619E">
            <w:pPr>
              <w:pStyle w:val="6"/>
              <w:spacing w:before="63" w:line="219" w:lineRule="auto"/>
              <w:ind w:left="345"/>
              <w:rPr>
                <w:sz w:val="18"/>
                <w:szCs w:val="18"/>
              </w:rPr>
            </w:pPr>
            <w:r>
              <w:rPr>
                <w:spacing w:val="2"/>
                <w:sz w:val="18"/>
                <w:szCs w:val="18"/>
              </w:rPr>
              <w:t>系统验收细则</w:t>
            </w:r>
          </w:p>
        </w:tc>
        <w:tc>
          <w:tcPr>
            <w:tcW w:w="730" w:type="dxa"/>
            <w:vAlign w:val="top"/>
          </w:tcPr>
          <w:p w14:paraId="5C35F459">
            <w:pPr>
              <w:rPr>
                <w:rFonts w:ascii="Arial"/>
                <w:sz w:val="21"/>
              </w:rPr>
            </w:pPr>
          </w:p>
        </w:tc>
        <w:tc>
          <w:tcPr>
            <w:tcW w:w="730" w:type="dxa"/>
            <w:vAlign w:val="top"/>
          </w:tcPr>
          <w:p w14:paraId="25E6D89A">
            <w:pPr>
              <w:rPr>
                <w:rFonts w:ascii="Arial"/>
                <w:sz w:val="21"/>
              </w:rPr>
            </w:pPr>
          </w:p>
        </w:tc>
        <w:tc>
          <w:tcPr>
            <w:tcW w:w="730" w:type="dxa"/>
            <w:vAlign w:val="top"/>
          </w:tcPr>
          <w:p w14:paraId="38B30CE2">
            <w:pPr>
              <w:pStyle w:val="6"/>
              <w:spacing w:before="81" w:line="214" w:lineRule="auto"/>
              <w:ind w:left="265"/>
              <w:rPr>
                <w:sz w:val="18"/>
                <w:szCs w:val="18"/>
              </w:rPr>
            </w:pPr>
            <w:r>
              <w:rPr>
                <w:sz w:val="18"/>
                <w:szCs w:val="18"/>
              </w:rPr>
              <w:t>√</w:t>
            </w:r>
          </w:p>
        </w:tc>
        <w:tc>
          <w:tcPr>
            <w:tcW w:w="730" w:type="dxa"/>
            <w:vAlign w:val="top"/>
          </w:tcPr>
          <w:p w14:paraId="4AA0802F">
            <w:pPr>
              <w:pStyle w:val="6"/>
              <w:spacing w:before="81" w:line="214" w:lineRule="auto"/>
              <w:ind w:left="265"/>
              <w:rPr>
                <w:sz w:val="18"/>
                <w:szCs w:val="18"/>
              </w:rPr>
            </w:pPr>
            <w:r>
              <w:rPr>
                <w:sz w:val="18"/>
                <w:szCs w:val="18"/>
              </w:rPr>
              <w:t>√</w:t>
            </w:r>
          </w:p>
        </w:tc>
        <w:tc>
          <w:tcPr>
            <w:tcW w:w="720" w:type="dxa"/>
            <w:vAlign w:val="top"/>
          </w:tcPr>
          <w:p w14:paraId="7B7EC736">
            <w:pPr>
              <w:pStyle w:val="6"/>
              <w:spacing w:before="81" w:line="214" w:lineRule="auto"/>
              <w:ind w:left="264"/>
              <w:rPr>
                <w:sz w:val="18"/>
                <w:szCs w:val="18"/>
              </w:rPr>
            </w:pPr>
            <w:r>
              <w:rPr>
                <w:sz w:val="18"/>
                <w:szCs w:val="18"/>
              </w:rPr>
              <w:t>√</w:t>
            </w:r>
          </w:p>
        </w:tc>
        <w:tc>
          <w:tcPr>
            <w:tcW w:w="640" w:type="dxa"/>
            <w:tcBorders>
              <w:right w:val="nil"/>
            </w:tcBorders>
            <w:vAlign w:val="top"/>
          </w:tcPr>
          <w:p w14:paraId="51C811D4">
            <w:pPr>
              <w:rPr>
                <w:rFonts w:ascii="Arial"/>
                <w:sz w:val="21"/>
              </w:rPr>
            </w:pPr>
          </w:p>
        </w:tc>
      </w:tr>
      <w:tr w14:paraId="046DB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2290" w:type="dxa"/>
            <w:vMerge w:val="continue"/>
            <w:tcBorders>
              <w:top w:val="nil"/>
              <w:left w:val="nil"/>
              <w:bottom w:val="nil"/>
            </w:tcBorders>
            <w:vAlign w:val="top"/>
          </w:tcPr>
          <w:p w14:paraId="3321A297">
            <w:pPr>
              <w:rPr>
                <w:rFonts w:ascii="Arial"/>
                <w:sz w:val="21"/>
              </w:rPr>
            </w:pPr>
          </w:p>
        </w:tc>
        <w:tc>
          <w:tcPr>
            <w:tcW w:w="1790" w:type="dxa"/>
            <w:vAlign w:val="top"/>
          </w:tcPr>
          <w:p w14:paraId="43387E4D">
            <w:pPr>
              <w:pStyle w:val="6"/>
              <w:spacing w:before="73" w:line="220" w:lineRule="auto"/>
              <w:ind w:left="254"/>
              <w:rPr>
                <w:sz w:val="18"/>
                <w:szCs w:val="18"/>
              </w:rPr>
            </w:pPr>
            <w:r>
              <w:rPr>
                <w:spacing w:val="2"/>
                <w:sz w:val="18"/>
                <w:szCs w:val="18"/>
              </w:rPr>
              <w:t>网络地址分配图</w:t>
            </w:r>
          </w:p>
        </w:tc>
        <w:tc>
          <w:tcPr>
            <w:tcW w:w="730" w:type="dxa"/>
            <w:vAlign w:val="top"/>
          </w:tcPr>
          <w:p w14:paraId="51AE8078">
            <w:pPr>
              <w:rPr>
                <w:rFonts w:ascii="Arial"/>
                <w:sz w:val="21"/>
              </w:rPr>
            </w:pPr>
          </w:p>
        </w:tc>
        <w:tc>
          <w:tcPr>
            <w:tcW w:w="730" w:type="dxa"/>
            <w:vAlign w:val="top"/>
          </w:tcPr>
          <w:p w14:paraId="3E60C636">
            <w:pPr>
              <w:rPr>
                <w:rFonts w:ascii="Arial"/>
                <w:sz w:val="21"/>
              </w:rPr>
            </w:pPr>
          </w:p>
        </w:tc>
        <w:tc>
          <w:tcPr>
            <w:tcW w:w="730" w:type="dxa"/>
            <w:vAlign w:val="top"/>
          </w:tcPr>
          <w:p w14:paraId="5178EC59">
            <w:pPr>
              <w:pStyle w:val="6"/>
              <w:spacing w:before="91" w:line="214" w:lineRule="auto"/>
              <w:ind w:left="265"/>
              <w:rPr>
                <w:sz w:val="18"/>
                <w:szCs w:val="18"/>
              </w:rPr>
            </w:pPr>
            <w:r>
              <w:rPr>
                <w:sz w:val="18"/>
                <w:szCs w:val="18"/>
              </w:rPr>
              <w:t>√</w:t>
            </w:r>
          </w:p>
        </w:tc>
        <w:tc>
          <w:tcPr>
            <w:tcW w:w="730" w:type="dxa"/>
            <w:vAlign w:val="top"/>
          </w:tcPr>
          <w:p w14:paraId="0E54E4AE">
            <w:pPr>
              <w:pStyle w:val="6"/>
              <w:spacing w:before="91" w:line="214" w:lineRule="auto"/>
              <w:ind w:left="265"/>
              <w:rPr>
                <w:sz w:val="18"/>
                <w:szCs w:val="18"/>
              </w:rPr>
            </w:pPr>
            <w:r>
              <w:rPr>
                <w:sz w:val="18"/>
                <w:szCs w:val="18"/>
              </w:rPr>
              <w:t>√</w:t>
            </w:r>
          </w:p>
        </w:tc>
        <w:tc>
          <w:tcPr>
            <w:tcW w:w="720" w:type="dxa"/>
            <w:vAlign w:val="top"/>
          </w:tcPr>
          <w:p w14:paraId="5CB4A43F">
            <w:pPr>
              <w:pStyle w:val="6"/>
              <w:spacing w:before="91" w:line="214" w:lineRule="auto"/>
              <w:ind w:left="264"/>
              <w:rPr>
                <w:sz w:val="18"/>
                <w:szCs w:val="18"/>
              </w:rPr>
            </w:pPr>
            <w:r>
              <w:rPr>
                <w:sz w:val="18"/>
                <w:szCs w:val="18"/>
              </w:rPr>
              <w:t>√</w:t>
            </w:r>
          </w:p>
        </w:tc>
        <w:tc>
          <w:tcPr>
            <w:tcW w:w="640" w:type="dxa"/>
            <w:tcBorders>
              <w:right w:val="nil"/>
            </w:tcBorders>
            <w:vAlign w:val="top"/>
          </w:tcPr>
          <w:p w14:paraId="58314C0A">
            <w:pPr>
              <w:rPr>
                <w:rFonts w:ascii="Arial"/>
                <w:sz w:val="21"/>
              </w:rPr>
            </w:pPr>
          </w:p>
        </w:tc>
      </w:tr>
      <w:tr w14:paraId="5AC4C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290" w:type="dxa"/>
            <w:vMerge w:val="continue"/>
            <w:tcBorders>
              <w:top w:val="nil"/>
              <w:left w:val="nil"/>
              <w:bottom w:val="nil"/>
            </w:tcBorders>
            <w:vAlign w:val="top"/>
          </w:tcPr>
          <w:p w14:paraId="1F62FFED">
            <w:pPr>
              <w:rPr>
                <w:rFonts w:ascii="Arial"/>
                <w:sz w:val="21"/>
              </w:rPr>
            </w:pPr>
          </w:p>
        </w:tc>
        <w:tc>
          <w:tcPr>
            <w:tcW w:w="1790" w:type="dxa"/>
            <w:vAlign w:val="top"/>
          </w:tcPr>
          <w:p w14:paraId="0811009F">
            <w:pPr>
              <w:pStyle w:val="6"/>
              <w:spacing w:before="63" w:line="220" w:lineRule="auto"/>
              <w:ind w:left="435"/>
              <w:rPr>
                <w:sz w:val="18"/>
                <w:szCs w:val="18"/>
              </w:rPr>
            </w:pPr>
            <w:r>
              <w:rPr>
                <w:spacing w:val="3"/>
                <w:sz w:val="18"/>
                <w:szCs w:val="18"/>
              </w:rPr>
              <w:t>子网规划图</w:t>
            </w:r>
          </w:p>
        </w:tc>
        <w:tc>
          <w:tcPr>
            <w:tcW w:w="730" w:type="dxa"/>
            <w:vAlign w:val="top"/>
          </w:tcPr>
          <w:p w14:paraId="0BA57264">
            <w:pPr>
              <w:rPr>
                <w:rFonts w:ascii="Arial"/>
                <w:sz w:val="21"/>
              </w:rPr>
            </w:pPr>
          </w:p>
        </w:tc>
        <w:tc>
          <w:tcPr>
            <w:tcW w:w="730" w:type="dxa"/>
            <w:vAlign w:val="top"/>
          </w:tcPr>
          <w:p w14:paraId="71973879">
            <w:pPr>
              <w:rPr>
                <w:rFonts w:ascii="Arial"/>
                <w:sz w:val="21"/>
              </w:rPr>
            </w:pPr>
          </w:p>
        </w:tc>
        <w:tc>
          <w:tcPr>
            <w:tcW w:w="730" w:type="dxa"/>
            <w:vAlign w:val="top"/>
          </w:tcPr>
          <w:p w14:paraId="15DD5305">
            <w:pPr>
              <w:pStyle w:val="6"/>
              <w:spacing w:before="81" w:line="214" w:lineRule="auto"/>
              <w:ind w:left="265"/>
              <w:rPr>
                <w:sz w:val="18"/>
                <w:szCs w:val="18"/>
              </w:rPr>
            </w:pPr>
            <w:r>
              <w:rPr>
                <w:sz w:val="18"/>
                <w:szCs w:val="18"/>
              </w:rPr>
              <w:t>√</w:t>
            </w:r>
          </w:p>
        </w:tc>
        <w:tc>
          <w:tcPr>
            <w:tcW w:w="730" w:type="dxa"/>
            <w:vAlign w:val="top"/>
          </w:tcPr>
          <w:p w14:paraId="7D6AF5F9">
            <w:pPr>
              <w:pStyle w:val="6"/>
              <w:spacing w:before="81" w:line="214" w:lineRule="auto"/>
              <w:ind w:left="265"/>
              <w:rPr>
                <w:sz w:val="18"/>
                <w:szCs w:val="18"/>
              </w:rPr>
            </w:pPr>
            <w:r>
              <w:rPr>
                <w:sz w:val="18"/>
                <w:szCs w:val="18"/>
              </w:rPr>
              <w:t>√</w:t>
            </w:r>
          </w:p>
        </w:tc>
        <w:tc>
          <w:tcPr>
            <w:tcW w:w="720" w:type="dxa"/>
            <w:vAlign w:val="top"/>
          </w:tcPr>
          <w:p w14:paraId="77B1E204">
            <w:pPr>
              <w:pStyle w:val="6"/>
              <w:spacing w:before="81" w:line="214" w:lineRule="auto"/>
              <w:ind w:left="264"/>
              <w:rPr>
                <w:sz w:val="18"/>
                <w:szCs w:val="18"/>
              </w:rPr>
            </w:pPr>
            <w:r>
              <w:rPr>
                <w:sz w:val="18"/>
                <w:szCs w:val="18"/>
              </w:rPr>
              <w:t>√</w:t>
            </w:r>
          </w:p>
        </w:tc>
        <w:tc>
          <w:tcPr>
            <w:tcW w:w="640" w:type="dxa"/>
            <w:tcBorders>
              <w:right w:val="nil"/>
            </w:tcBorders>
            <w:vAlign w:val="top"/>
          </w:tcPr>
          <w:p w14:paraId="7A1BBC7E">
            <w:pPr>
              <w:rPr>
                <w:rFonts w:ascii="Arial"/>
                <w:sz w:val="21"/>
              </w:rPr>
            </w:pPr>
          </w:p>
        </w:tc>
      </w:tr>
      <w:tr w14:paraId="0DB30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2290" w:type="dxa"/>
            <w:vMerge w:val="continue"/>
            <w:tcBorders>
              <w:top w:val="nil"/>
              <w:left w:val="nil"/>
              <w:bottom w:val="nil"/>
            </w:tcBorders>
            <w:vAlign w:val="top"/>
          </w:tcPr>
          <w:p w14:paraId="49C4B78D">
            <w:pPr>
              <w:rPr>
                <w:rFonts w:ascii="Arial"/>
                <w:sz w:val="21"/>
              </w:rPr>
            </w:pPr>
          </w:p>
        </w:tc>
        <w:tc>
          <w:tcPr>
            <w:tcW w:w="1790" w:type="dxa"/>
            <w:vAlign w:val="top"/>
          </w:tcPr>
          <w:p w14:paraId="6B184E71">
            <w:pPr>
              <w:pStyle w:val="6"/>
              <w:spacing w:before="74" w:line="221" w:lineRule="auto"/>
              <w:ind w:left="435"/>
              <w:rPr>
                <w:sz w:val="18"/>
                <w:szCs w:val="18"/>
              </w:rPr>
            </w:pPr>
            <w:r>
              <w:rPr>
                <w:spacing w:val="-2"/>
                <w:sz w:val="18"/>
                <w:szCs w:val="18"/>
              </w:rPr>
              <w:t>设备配置表</w:t>
            </w:r>
          </w:p>
        </w:tc>
        <w:tc>
          <w:tcPr>
            <w:tcW w:w="730" w:type="dxa"/>
            <w:vAlign w:val="top"/>
          </w:tcPr>
          <w:p w14:paraId="58F9A1AA">
            <w:pPr>
              <w:rPr>
                <w:rFonts w:ascii="Arial"/>
                <w:sz w:val="21"/>
              </w:rPr>
            </w:pPr>
          </w:p>
        </w:tc>
        <w:tc>
          <w:tcPr>
            <w:tcW w:w="730" w:type="dxa"/>
            <w:vAlign w:val="top"/>
          </w:tcPr>
          <w:p w14:paraId="45752155">
            <w:pPr>
              <w:rPr>
                <w:rFonts w:ascii="Arial"/>
                <w:sz w:val="21"/>
              </w:rPr>
            </w:pPr>
          </w:p>
        </w:tc>
        <w:tc>
          <w:tcPr>
            <w:tcW w:w="730" w:type="dxa"/>
            <w:vAlign w:val="top"/>
          </w:tcPr>
          <w:p w14:paraId="61DE1094">
            <w:pPr>
              <w:pStyle w:val="6"/>
              <w:spacing w:before="91" w:line="214" w:lineRule="auto"/>
              <w:ind w:left="265"/>
              <w:rPr>
                <w:sz w:val="18"/>
                <w:szCs w:val="18"/>
              </w:rPr>
            </w:pPr>
            <w:r>
              <w:rPr>
                <w:sz w:val="18"/>
                <w:szCs w:val="18"/>
              </w:rPr>
              <w:t>√</w:t>
            </w:r>
          </w:p>
        </w:tc>
        <w:tc>
          <w:tcPr>
            <w:tcW w:w="730" w:type="dxa"/>
            <w:vAlign w:val="top"/>
          </w:tcPr>
          <w:p w14:paraId="0A3F8EAE">
            <w:pPr>
              <w:pStyle w:val="6"/>
              <w:spacing w:before="91" w:line="214" w:lineRule="auto"/>
              <w:ind w:left="265"/>
              <w:rPr>
                <w:sz w:val="18"/>
                <w:szCs w:val="18"/>
              </w:rPr>
            </w:pPr>
            <w:r>
              <w:rPr>
                <w:sz w:val="18"/>
                <w:szCs w:val="18"/>
              </w:rPr>
              <w:t>√</w:t>
            </w:r>
          </w:p>
        </w:tc>
        <w:tc>
          <w:tcPr>
            <w:tcW w:w="720" w:type="dxa"/>
            <w:vAlign w:val="top"/>
          </w:tcPr>
          <w:p w14:paraId="19E2CA23">
            <w:pPr>
              <w:pStyle w:val="6"/>
              <w:spacing w:before="91" w:line="214" w:lineRule="auto"/>
              <w:ind w:left="264"/>
              <w:rPr>
                <w:sz w:val="18"/>
                <w:szCs w:val="18"/>
              </w:rPr>
            </w:pPr>
            <w:r>
              <w:rPr>
                <w:sz w:val="18"/>
                <w:szCs w:val="18"/>
              </w:rPr>
              <w:t>√</w:t>
            </w:r>
          </w:p>
        </w:tc>
        <w:tc>
          <w:tcPr>
            <w:tcW w:w="640" w:type="dxa"/>
            <w:tcBorders>
              <w:right w:val="nil"/>
            </w:tcBorders>
            <w:vAlign w:val="top"/>
          </w:tcPr>
          <w:p w14:paraId="6AF2D5AF">
            <w:pPr>
              <w:rPr>
                <w:rFonts w:ascii="Arial"/>
                <w:sz w:val="21"/>
              </w:rPr>
            </w:pPr>
          </w:p>
        </w:tc>
      </w:tr>
      <w:tr w14:paraId="71C5C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2290" w:type="dxa"/>
            <w:vMerge w:val="continue"/>
            <w:tcBorders>
              <w:top w:val="nil"/>
              <w:left w:val="nil"/>
            </w:tcBorders>
            <w:vAlign w:val="top"/>
          </w:tcPr>
          <w:p w14:paraId="58B64A40">
            <w:pPr>
              <w:rPr>
                <w:rFonts w:ascii="Arial"/>
                <w:sz w:val="21"/>
              </w:rPr>
            </w:pPr>
          </w:p>
        </w:tc>
        <w:tc>
          <w:tcPr>
            <w:tcW w:w="1790" w:type="dxa"/>
            <w:vAlign w:val="top"/>
          </w:tcPr>
          <w:p w14:paraId="1EB577CB">
            <w:pPr>
              <w:pStyle w:val="6"/>
              <w:spacing w:before="63" w:line="220" w:lineRule="auto"/>
              <w:ind w:left="254"/>
              <w:rPr>
                <w:sz w:val="18"/>
                <w:szCs w:val="18"/>
              </w:rPr>
            </w:pPr>
            <w:r>
              <w:rPr>
                <w:spacing w:val="-2"/>
                <w:sz w:val="18"/>
                <w:szCs w:val="18"/>
              </w:rPr>
              <w:t>安全策略及配置</w:t>
            </w:r>
          </w:p>
        </w:tc>
        <w:tc>
          <w:tcPr>
            <w:tcW w:w="730" w:type="dxa"/>
            <w:vAlign w:val="top"/>
          </w:tcPr>
          <w:p w14:paraId="57D822EF">
            <w:pPr>
              <w:rPr>
                <w:rFonts w:ascii="Arial"/>
                <w:sz w:val="21"/>
              </w:rPr>
            </w:pPr>
          </w:p>
        </w:tc>
        <w:tc>
          <w:tcPr>
            <w:tcW w:w="730" w:type="dxa"/>
            <w:vAlign w:val="top"/>
          </w:tcPr>
          <w:p w14:paraId="002FF3A0">
            <w:pPr>
              <w:rPr>
                <w:rFonts w:ascii="Arial"/>
                <w:sz w:val="21"/>
              </w:rPr>
            </w:pPr>
          </w:p>
        </w:tc>
        <w:tc>
          <w:tcPr>
            <w:tcW w:w="730" w:type="dxa"/>
            <w:vAlign w:val="top"/>
          </w:tcPr>
          <w:p w14:paraId="665B464D">
            <w:pPr>
              <w:pStyle w:val="6"/>
              <w:spacing w:before="81" w:line="213" w:lineRule="auto"/>
              <w:ind w:left="265"/>
              <w:rPr>
                <w:sz w:val="18"/>
                <w:szCs w:val="18"/>
              </w:rPr>
            </w:pPr>
            <w:r>
              <w:rPr>
                <w:sz w:val="18"/>
                <w:szCs w:val="18"/>
              </w:rPr>
              <w:t>√</w:t>
            </w:r>
          </w:p>
        </w:tc>
        <w:tc>
          <w:tcPr>
            <w:tcW w:w="730" w:type="dxa"/>
            <w:vAlign w:val="top"/>
          </w:tcPr>
          <w:p w14:paraId="152D2671">
            <w:pPr>
              <w:pStyle w:val="6"/>
              <w:spacing w:before="81" w:line="213" w:lineRule="auto"/>
              <w:ind w:left="265"/>
              <w:rPr>
                <w:sz w:val="18"/>
                <w:szCs w:val="18"/>
              </w:rPr>
            </w:pPr>
            <w:r>
              <w:rPr>
                <w:sz w:val="18"/>
                <w:szCs w:val="18"/>
              </w:rPr>
              <w:t>√</w:t>
            </w:r>
          </w:p>
        </w:tc>
        <w:tc>
          <w:tcPr>
            <w:tcW w:w="720" w:type="dxa"/>
            <w:vAlign w:val="top"/>
          </w:tcPr>
          <w:p w14:paraId="4E11C7FB">
            <w:pPr>
              <w:pStyle w:val="6"/>
              <w:spacing w:before="81" w:line="213" w:lineRule="auto"/>
              <w:ind w:left="264"/>
              <w:rPr>
                <w:sz w:val="18"/>
                <w:szCs w:val="18"/>
              </w:rPr>
            </w:pPr>
            <w:r>
              <w:rPr>
                <w:sz w:val="18"/>
                <w:szCs w:val="18"/>
              </w:rPr>
              <w:t>√</w:t>
            </w:r>
          </w:p>
        </w:tc>
        <w:tc>
          <w:tcPr>
            <w:tcW w:w="640" w:type="dxa"/>
            <w:tcBorders>
              <w:right w:val="nil"/>
            </w:tcBorders>
            <w:vAlign w:val="top"/>
          </w:tcPr>
          <w:p w14:paraId="2B9C6FEE">
            <w:pPr>
              <w:rPr>
                <w:rFonts w:ascii="Arial"/>
                <w:sz w:val="21"/>
              </w:rPr>
            </w:pPr>
          </w:p>
        </w:tc>
      </w:tr>
      <w:tr w14:paraId="311BE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290" w:type="dxa"/>
            <w:vMerge w:val="restart"/>
            <w:tcBorders>
              <w:left w:val="nil"/>
              <w:bottom w:val="nil"/>
            </w:tcBorders>
            <w:vAlign w:val="top"/>
          </w:tcPr>
          <w:p w14:paraId="0AE787A0">
            <w:pPr>
              <w:pStyle w:val="6"/>
              <w:spacing w:before="235" w:line="221" w:lineRule="auto"/>
              <w:ind w:left="420"/>
              <w:rPr>
                <w:sz w:val="18"/>
                <w:szCs w:val="18"/>
              </w:rPr>
            </w:pPr>
            <w:r>
              <w:rPr>
                <w:sz w:val="18"/>
                <w:szCs w:val="18"/>
              </w:rPr>
              <w:t>四、系统施工阶段</w:t>
            </w:r>
          </w:p>
        </w:tc>
        <w:tc>
          <w:tcPr>
            <w:tcW w:w="1790" w:type="dxa"/>
            <w:vAlign w:val="top"/>
          </w:tcPr>
          <w:p w14:paraId="062CA48C">
            <w:pPr>
              <w:pStyle w:val="6"/>
              <w:spacing w:before="74" w:line="219" w:lineRule="auto"/>
              <w:ind w:left="345"/>
              <w:rPr>
                <w:sz w:val="18"/>
                <w:szCs w:val="18"/>
              </w:rPr>
            </w:pPr>
            <w:r>
              <w:rPr>
                <w:spacing w:val="-1"/>
                <w:sz w:val="18"/>
                <w:szCs w:val="18"/>
              </w:rPr>
              <w:t>施工管理文件</w:t>
            </w:r>
          </w:p>
        </w:tc>
        <w:tc>
          <w:tcPr>
            <w:tcW w:w="730" w:type="dxa"/>
            <w:vAlign w:val="top"/>
          </w:tcPr>
          <w:p w14:paraId="2BE01EEF">
            <w:pPr>
              <w:rPr>
                <w:rFonts w:ascii="Arial"/>
                <w:sz w:val="21"/>
              </w:rPr>
            </w:pPr>
          </w:p>
        </w:tc>
        <w:tc>
          <w:tcPr>
            <w:tcW w:w="730" w:type="dxa"/>
            <w:vAlign w:val="top"/>
          </w:tcPr>
          <w:p w14:paraId="3C604B89">
            <w:pPr>
              <w:rPr>
                <w:rFonts w:ascii="Arial"/>
                <w:sz w:val="21"/>
              </w:rPr>
            </w:pPr>
          </w:p>
        </w:tc>
        <w:tc>
          <w:tcPr>
            <w:tcW w:w="730" w:type="dxa"/>
            <w:vAlign w:val="top"/>
          </w:tcPr>
          <w:p w14:paraId="708F8368">
            <w:pPr>
              <w:pStyle w:val="6"/>
              <w:spacing w:before="92" w:line="212" w:lineRule="auto"/>
              <w:ind w:left="265"/>
              <w:rPr>
                <w:sz w:val="18"/>
                <w:szCs w:val="18"/>
              </w:rPr>
            </w:pPr>
            <w:r>
              <w:rPr>
                <w:sz w:val="18"/>
                <w:szCs w:val="18"/>
              </w:rPr>
              <w:t>√</w:t>
            </w:r>
          </w:p>
        </w:tc>
        <w:tc>
          <w:tcPr>
            <w:tcW w:w="730" w:type="dxa"/>
            <w:vAlign w:val="top"/>
          </w:tcPr>
          <w:p w14:paraId="50BE80BD">
            <w:pPr>
              <w:pStyle w:val="6"/>
              <w:spacing w:before="92" w:line="212" w:lineRule="auto"/>
              <w:ind w:left="265"/>
              <w:rPr>
                <w:sz w:val="18"/>
                <w:szCs w:val="18"/>
              </w:rPr>
            </w:pPr>
            <w:r>
              <w:rPr>
                <w:sz w:val="18"/>
                <w:szCs w:val="18"/>
              </w:rPr>
              <w:t>√</w:t>
            </w:r>
          </w:p>
        </w:tc>
        <w:tc>
          <w:tcPr>
            <w:tcW w:w="720" w:type="dxa"/>
            <w:vAlign w:val="top"/>
          </w:tcPr>
          <w:p w14:paraId="601561E6">
            <w:pPr>
              <w:pStyle w:val="6"/>
              <w:spacing w:before="92" w:line="212" w:lineRule="auto"/>
              <w:ind w:left="264"/>
              <w:rPr>
                <w:sz w:val="18"/>
                <w:szCs w:val="18"/>
              </w:rPr>
            </w:pPr>
            <w:r>
              <w:rPr>
                <w:sz w:val="18"/>
                <w:szCs w:val="18"/>
              </w:rPr>
              <w:t>√</w:t>
            </w:r>
          </w:p>
        </w:tc>
        <w:tc>
          <w:tcPr>
            <w:tcW w:w="640" w:type="dxa"/>
            <w:tcBorders>
              <w:right w:val="nil"/>
            </w:tcBorders>
            <w:vAlign w:val="top"/>
          </w:tcPr>
          <w:p w14:paraId="5EC42A41">
            <w:pPr>
              <w:rPr>
                <w:rFonts w:ascii="Arial"/>
                <w:sz w:val="21"/>
              </w:rPr>
            </w:pPr>
          </w:p>
        </w:tc>
      </w:tr>
      <w:tr w14:paraId="0CF14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2290" w:type="dxa"/>
            <w:vMerge w:val="continue"/>
            <w:tcBorders>
              <w:top w:val="nil"/>
              <w:left w:val="nil"/>
            </w:tcBorders>
            <w:vAlign w:val="top"/>
          </w:tcPr>
          <w:p w14:paraId="7E7C0E86">
            <w:pPr>
              <w:rPr>
                <w:rFonts w:ascii="Arial"/>
                <w:sz w:val="21"/>
              </w:rPr>
            </w:pPr>
          </w:p>
        </w:tc>
        <w:tc>
          <w:tcPr>
            <w:tcW w:w="1790" w:type="dxa"/>
            <w:vAlign w:val="top"/>
          </w:tcPr>
          <w:p w14:paraId="34ED4C24">
            <w:pPr>
              <w:pStyle w:val="6"/>
              <w:spacing w:before="75" w:line="219" w:lineRule="auto"/>
              <w:ind w:left="345"/>
              <w:rPr>
                <w:sz w:val="18"/>
                <w:szCs w:val="18"/>
              </w:rPr>
            </w:pPr>
            <w:r>
              <w:rPr>
                <w:spacing w:val="-2"/>
                <w:sz w:val="18"/>
                <w:szCs w:val="18"/>
              </w:rPr>
              <w:t>设计变更文件</w:t>
            </w:r>
          </w:p>
        </w:tc>
        <w:tc>
          <w:tcPr>
            <w:tcW w:w="730" w:type="dxa"/>
            <w:vAlign w:val="top"/>
          </w:tcPr>
          <w:p w14:paraId="7A373EFB">
            <w:pPr>
              <w:rPr>
                <w:rFonts w:ascii="Arial"/>
                <w:sz w:val="21"/>
              </w:rPr>
            </w:pPr>
          </w:p>
        </w:tc>
        <w:tc>
          <w:tcPr>
            <w:tcW w:w="730" w:type="dxa"/>
            <w:vAlign w:val="top"/>
          </w:tcPr>
          <w:p w14:paraId="26B0D59C">
            <w:pPr>
              <w:rPr>
                <w:rFonts w:ascii="Arial"/>
                <w:sz w:val="21"/>
              </w:rPr>
            </w:pPr>
          </w:p>
        </w:tc>
        <w:tc>
          <w:tcPr>
            <w:tcW w:w="730" w:type="dxa"/>
            <w:vAlign w:val="top"/>
          </w:tcPr>
          <w:p w14:paraId="29ABAE6D">
            <w:pPr>
              <w:pStyle w:val="6"/>
              <w:spacing w:before="93" w:line="212" w:lineRule="auto"/>
              <w:ind w:left="265"/>
              <w:rPr>
                <w:sz w:val="18"/>
                <w:szCs w:val="18"/>
              </w:rPr>
            </w:pPr>
            <w:r>
              <w:rPr>
                <w:sz w:val="18"/>
                <w:szCs w:val="18"/>
              </w:rPr>
              <w:t>√</w:t>
            </w:r>
          </w:p>
        </w:tc>
        <w:tc>
          <w:tcPr>
            <w:tcW w:w="730" w:type="dxa"/>
            <w:vAlign w:val="top"/>
          </w:tcPr>
          <w:p w14:paraId="067B3E6D">
            <w:pPr>
              <w:pStyle w:val="6"/>
              <w:spacing w:before="93" w:line="212" w:lineRule="auto"/>
              <w:ind w:left="265"/>
              <w:rPr>
                <w:sz w:val="18"/>
                <w:szCs w:val="18"/>
              </w:rPr>
            </w:pPr>
            <w:r>
              <w:rPr>
                <w:sz w:val="18"/>
                <w:szCs w:val="18"/>
              </w:rPr>
              <w:t>√</w:t>
            </w:r>
          </w:p>
        </w:tc>
        <w:tc>
          <w:tcPr>
            <w:tcW w:w="720" w:type="dxa"/>
            <w:vAlign w:val="top"/>
          </w:tcPr>
          <w:p w14:paraId="7E17B29D">
            <w:pPr>
              <w:pStyle w:val="6"/>
              <w:spacing w:before="93" w:line="212" w:lineRule="auto"/>
              <w:ind w:left="264"/>
              <w:rPr>
                <w:sz w:val="18"/>
                <w:szCs w:val="18"/>
              </w:rPr>
            </w:pPr>
            <w:r>
              <w:rPr>
                <w:sz w:val="18"/>
                <w:szCs w:val="18"/>
              </w:rPr>
              <w:t>√</w:t>
            </w:r>
          </w:p>
        </w:tc>
        <w:tc>
          <w:tcPr>
            <w:tcW w:w="640" w:type="dxa"/>
            <w:tcBorders>
              <w:right w:val="nil"/>
            </w:tcBorders>
            <w:vAlign w:val="top"/>
          </w:tcPr>
          <w:p w14:paraId="4FF047A7">
            <w:pPr>
              <w:rPr>
                <w:rFonts w:ascii="Arial"/>
                <w:sz w:val="21"/>
              </w:rPr>
            </w:pPr>
          </w:p>
        </w:tc>
      </w:tr>
      <w:tr w14:paraId="6B191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290" w:type="dxa"/>
            <w:vMerge w:val="restart"/>
            <w:tcBorders>
              <w:left w:val="nil"/>
              <w:bottom w:val="nil"/>
            </w:tcBorders>
            <w:vAlign w:val="top"/>
          </w:tcPr>
          <w:p w14:paraId="63EAD926">
            <w:pPr>
              <w:spacing w:line="315" w:lineRule="auto"/>
              <w:rPr>
                <w:rFonts w:ascii="Arial"/>
                <w:sz w:val="21"/>
              </w:rPr>
            </w:pPr>
          </w:p>
          <w:p w14:paraId="744F70E9">
            <w:pPr>
              <w:pStyle w:val="6"/>
              <w:spacing w:before="59" w:line="221" w:lineRule="auto"/>
              <w:ind w:left="420"/>
              <w:rPr>
                <w:sz w:val="18"/>
                <w:szCs w:val="18"/>
              </w:rPr>
            </w:pPr>
            <w:r>
              <w:rPr>
                <w:spacing w:val="-2"/>
                <w:sz w:val="18"/>
                <w:szCs w:val="18"/>
              </w:rPr>
              <w:t>五、系统测试阶段</w:t>
            </w:r>
          </w:p>
        </w:tc>
        <w:tc>
          <w:tcPr>
            <w:tcW w:w="1790" w:type="dxa"/>
            <w:vAlign w:val="top"/>
          </w:tcPr>
          <w:p w14:paraId="4305F1FA">
            <w:pPr>
              <w:pStyle w:val="6"/>
              <w:spacing w:before="63" w:line="218" w:lineRule="auto"/>
              <w:ind w:left="165"/>
              <w:rPr>
                <w:sz w:val="18"/>
                <w:szCs w:val="18"/>
              </w:rPr>
            </w:pPr>
            <w:r>
              <w:rPr>
                <w:spacing w:val="1"/>
                <w:sz w:val="18"/>
                <w:szCs w:val="18"/>
              </w:rPr>
              <w:t>系统测试分析报告</w:t>
            </w:r>
          </w:p>
        </w:tc>
        <w:tc>
          <w:tcPr>
            <w:tcW w:w="730" w:type="dxa"/>
            <w:vAlign w:val="top"/>
          </w:tcPr>
          <w:p w14:paraId="70922164">
            <w:pPr>
              <w:rPr>
                <w:rFonts w:ascii="Arial"/>
                <w:sz w:val="21"/>
              </w:rPr>
            </w:pPr>
          </w:p>
        </w:tc>
        <w:tc>
          <w:tcPr>
            <w:tcW w:w="730" w:type="dxa"/>
            <w:vAlign w:val="top"/>
          </w:tcPr>
          <w:p w14:paraId="40EDD2E8">
            <w:pPr>
              <w:rPr>
                <w:rFonts w:ascii="Arial"/>
                <w:sz w:val="21"/>
              </w:rPr>
            </w:pPr>
          </w:p>
        </w:tc>
        <w:tc>
          <w:tcPr>
            <w:tcW w:w="730" w:type="dxa"/>
            <w:vAlign w:val="top"/>
          </w:tcPr>
          <w:p w14:paraId="252E7A90">
            <w:pPr>
              <w:pStyle w:val="6"/>
              <w:spacing w:before="83" w:line="212" w:lineRule="auto"/>
              <w:ind w:left="265"/>
              <w:rPr>
                <w:sz w:val="18"/>
                <w:szCs w:val="18"/>
              </w:rPr>
            </w:pPr>
            <w:r>
              <w:rPr>
                <w:sz w:val="18"/>
                <w:szCs w:val="18"/>
              </w:rPr>
              <w:t>√</w:t>
            </w:r>
          </w:p>
        </w:tc>
        <w:tc>
          <w:tcPr>
            <w:tcW w:w="730" w:type="dxa"/>
            <w:vAlign w:val="top"/>
          </w:tcPr>
          <w:p w14:paraId="44A0532E">
            <w:pPr>
              <w:pStyle w:val="6"/>
              <w:spacing w:before="83" w:line="212" w:lineRule="auto"/>
              <w:ind w:left="265"/>
              <w:rPr>
                <w:sz w:val="18"/>
                <w:szCs w:val="18"/>
              </w:rPr>
            </w:pPr>
            <w:r>
              <w:rPr>
                <w:sz w:val="18"/>
                <w:szCs w:val="18"/>
              </w:rPr>
              <w:t>√</w:t>
            </w:r>
          </w:p>
        </w:tc>
        <w:tc>
          <w:tcPr>
            <w:tcW w:w="720" w:type="dxa"/>
            <w:vAlign w:val="top"/>
          </w:tcPr>
          <w:p w14:paraId="6117F5E3">
            <w:pPr>
              <w:pStyle w:val="6"/>
              <w:spacing w:before="83" w:line="212" w:lineRule="auto"/>
              <w:ind w:left="264"/>
              <w:rPr>
                <w:sz w:val="18"/>
                <w:szCs w:val="18"/>
              </w:rPr>
            </w:pPr>
            <w:r>
              <w:rPr>
                <w:sz w:val="18"/>
                <w:szCs w:val="18"/>
              </w:rPr>
              <w:t>√</w:t>
            </w:r>
          </w:p>
        </w:tc>
        <w:tc>
          <w:tcPr>
            <w:tcW w:w="640" w:type="dxa"/>
            <w:tcBorders>
              <w:right w:val="nil"/>
            </w:tcBorders>
            <w:vAlign w:val="top"/>
          </w:tcPr>
          <w:p w14:paraId="42D9DE37">
            <w:pPr>
              <w:rPr>
                <w:rFonts w:ascii="Arial"/>
                <w:sz w:val="21"/>
              </w:rPr>
            </w:pPr>
          </w:p>
        </w:tc>
      </w:tr>
      <w:tr w14:paraId="70D37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290" w:type="dxa"/>
            <w:vMerge w:val="continue"/>
            <w:tcBorders>
              <w:top w:val="nil"/>
              <w:left w:val="nil"/>
              <w:bottom w:val="nil"/>
            </w:tcBorders>
            <w:vAlign w:val="top"/>
          </w:tcPr>
          <w:p w14:paraId="631F4B6F">
            <w:pPr>
              <w:rPr>
                <w:rFonts w:ascii="Arial"/>
                <w:sz w:val="21"/>
              </w:rPr>
            </w:pPr>
          </w:p>
        </w:tc>
        <w:tc>
          <w:tcPr>
            <w:tcW w:w="1790" w:type="dxa"/>
            <w:vAlign w:val="top"/>
          </w:tcPr>
          <w:p w14:paraId="2750CC8A">
            <w:pPr>
              <w:pStyle w:val="6"/>
              <w:spacing w:before="65" w:line="219" w:lineRule="auto"/>
              <w:ind w:left="345"/>
              <w:rPr>
                <w:sz w:val="18"/>
                <w:szCs w:val="18"/>
              </w:rPr>
            </w:pPr>
            <w:r>
              <w:rPr>
                <w:spacing w:val="-2"/>
                <w:sz w:val="18"/>
                <w:szCs w:val="18"/>
              </w:rPr>
              <w:t>设计变更文件</w:t>
            </w:r>
          </w:p>
        </w:tc>
        <w:tc>
          <w:tcPr>
            <w:tcW w:w="730" w:type="dxa"/>
            <w:vAlign w:val="top"/>
          </w:tcPr>
          <w:p w14:paraId="00140D5E">
            <w:pPr>
              <w:rPr>
                <w:rFonts w:ascii="Arial"/>
                <w:sz w:val="21"/>
              </w:rPr>
            </w:pPr>
          </w:p>
        </w:tc>
        <w:tc>
          <w:tcPr>
            <w:tcW w:w="730" w:type="dxa"/>
            <w:vAlign w:val="top"/>
          </w:tcPr>
          <w:p w14:paraId="045CA432">
            <w:pPr>
              <w:rPr>
                <w:rFonts w:ascii="Arial"/>
                <w:sz w:val="21"/>
              </w:rPr>
            </w:pPr>
          </w:p>
        </w:tc>
        <w:tc>
          <w:tcPr>
            <w:tcW w:w="730" w:type="dxa"/>
            <w:vAlign w:val="top"/>
          </w:tcPr>
          <w:p w14:paraId="36F26424">
            <w:pPr>
              <w:pStyle w:val="6"/>
              <w:spacing w:before="83" w:line="212" w:lineRule="auto"/>
              <w:ind w:left="265"/>
              <w:rPr>
                <w:sz w:val="18"/>
                <w:szCs w:val="18"/>
              </w:rPr>
            </w:pPr>
            <w:r>
              <w:rPr>
                <w:sz w:val="18"/>
                <w:szCs w:val="18"/>
              </w:rPr>
              <w:t>√</w:t>
            </w:r>
          </w:p>
        </w:tc>
        <w:tc>
          <w:tcPr>
            <w:tcW w:w="730" w:type="dxa"/>
            <w:vAlign w:val="top"/>
          </w:tcPr>
          <w:p w14:paraId="06BCF707">
            <w:pPr>
              <w:pStyle w:val="6"/>
              <w:spacing w:before="83" w:line="212" w:lineRule="auto"/>
              <w:ind w:left="265"/>
              <w:rPr>
                <w:sz w:val="18"/>
                <w:szCs w:val="18"/>
              </w:rPr>
            </w:pPr>
            <w:r>
              <w:rPr>
                <w:sz w:val="18"/>
                <w:szCs w:val="18"/>
              </w:rPr>
              <w:t>√</w:t>
            </w:r>
          </w:p>
        </w:tc>
        <w:tc>
          <w:tcPr>
            <w:tcW w:w="720" w:type="dxa"/>
            <w:vAlign w:val="top"/>
          </w:tcPr>
          <w:p w14:paraId="594FD4F6">
            <w:pPr>
              <w:pStyle w:val="6"/>
              <w:spacing w:before="83" w:line="212" w:lineRule="auto"/>
              <w:ind w:left="264"/>
              <w:rPr>
                <w:sz w:val="18"/>
                <w:szCs w:val="18"/>
              </w:rPr>
            </w:pPr>
            <w:r>
              <w:rPr>
                <w:sz w:val="18"/>
                <w:szCs w:val="18"/>
              </w:rPr>
              <w:t>√</w:t>
            </w:r>
          </w:p>
        </w:tc>
        <w:tc>
          <w:tcPr>
            <w:tcW w:w="640" w:type="dxa"/>
            <w:tcBorders>
              <w:right w:val="nil"/>
            </w:tcBorders>
            <w:vAlign w:val="top"/>
          </w:tcPr>
          <w:p w14:paraId="431EC033">
            <w:pPr>
              <w:rPr>
                <w:rFonts w:ascii="Arial"/>
                <w:sz w:val="21"/>
              </w:rPr>
            </w:pPr>
          </w:p>
        </w:tc>
      </w:tr>
      <w:tr w14:paraId="2B84C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290" w:type="dxa"/>
            <w:vMerge w:val="continue"/>
            <w:tcBorders>
              <w:top w:val="nil"/>
              <w:left w:val="nil"/>
            </w:tcBorders>
            <w:vAlign w:val="top"/>
          </w:tcPr>
          <w:p w14:paraId="64C368A5">
            <w:pPr>
              <w:rPr>
                <w:rFonts w:ascii="Arial"/>
                <w:sz w:val="21"/>
              </w:rPr>
            </w:pPr>
          </w:p>
        </w:tc>
        <w:tc>
          <w:tcPr>
            <w:tcW w:w="1790" w:type="dxa"/>
            <w:vAlign w:val="top"/>
          </w:tcPr>
          <w:p w14:paraId="530EF2D8">
            <w:pPr>
              <w:pStyle w:val="6"/>
              <w:spacing w:before="65" w:line="219" w:lineRule="auto"/>
              <w:ind w:left="345"/>
              <w:rPr>
                <w:sz w:val="18"/>
                <w:szCs w:val="18"/>
              </w:rPr>
            </w:pPr>
            <w:r>
              <w:rPr>
                <w:spacing w:val="-2"/>
                <w:sz w:val="18"/>
                <w:szCs w:val="18"/>
              </w:rPr>
              <w:t>系统培训文件</w:t>
            </w:r>
          </w:p>
        </w:tc>
        <w:tc>
          <w:tcPr>
            <w:tcW w:w="730" w:type="dxa"/>
            <w:vAlign w:val="top"/>
          </w:tcPr>
          <w:p w14:paraId="7300BA21">
            <w:pPr>
              <w:rPr>
                <w:rFonts w:ascii="Arial"/>
                <w:sz w:val="21"/>
              </w:rPr>
            </w:pPr>
          </w:p>
        </w:tc>
        <w:tc>
          <w:tcPr>
            <w:tcW w:w="730" w:type="dxa"/>
            <w:vAlign w:val="top"/>
          </w:tcPr>
          <w:p w14:paraId="7C19CB0C">
            <w:pPr>
              <w:rPr>
                <w:rFonts w:ascii="Arial"/>
                <w:sz w:val="21"/>
              </w:rPr>
            </w:pPr>
          </w:p>
        </w:tc>
        <w:tc>
          <w:tcPr>
            <w:tcW w:w="730" w:type="dxa"/>
            <w:vAlign w:val="top"/>
          </w:tcPr>
          <w:p w14:paraId="4D0D9492">
            <w:pPr>
              <w:pStyle w:val="6"/>
              <w:spacing w:before="83" w:line="212" w:lineRule="auto"/>
              <w:ind w:left="265"/>
              <w:rPr>
                <w:sz w:val="18"/>
                <w:szCs w:val="18"/>
              </w:rPr>
            </w:pPr>
            <w:r>
              <w:rPr>
                <w:sz w:val="18"/>
                <w:szCs w:val="18"/>
              </w:rPr>
              <w:t>√</w:t>
            </w:r>
          </w:p>
        </w:tc>
        <w:tc>
          <w:tcPr>
            <w:tcW w:w="730" w:type="dxa"/>
            <w:vAlign w:val="top"/>
          </w:tcPr>
          <w:p w14:paraId="77DA4E15">
            <w:pPr>
              <w:pStyle w:val="6"/>
              <w:spacing w:before="83" w:line="212" w:lineRule="auto"/>
              <w:ind w:left="265"/>
              <w:rPr>
                <w:sz w:val="18"/>
                <w:szCs w:val="18"/>
              </w:rPr>
            </w:pPr>
            <w:r>
              <w:rPr>
                <w:sz w:val="18"/>
                <w:szCs w:val="18"/>
              </w:rPr>
              <w:t>√</w:t>
            </w:r>
          </w:p>
        </w:tc>
        <w:tc>
          <w:tcPr>
            <w:tcW w:w="720" w:type="dxa"/>
            <w:vAlign w:val="top"/>
          </w:tcPr>
          <w:p w14:paraId="7600F9FD">
            <w:pPr>
              <w:pStyle w:val="6"/>
              <w:spacing w:before="83" w:line="212" w:lineRule="auto"/>
              <w:ind w:left="264"/>
              <w:rPr>
                <w:sz w:val="18"/>
                <w:szCs w:val="18"/>
              </w:rPr>
            </w:pPr>
            <w:r>
              <w:rPr>
                <w:sz w:val="18"/>
                <w:szCs w:val="18"/>
              </w:rPr>
              <w:t>√</w:t>
            </w:r>
          </w:p>
        </w:tc>
        <w:tc>
          <w:tcPr>
            <w:tcW w:w="640" w:type="dxa"/>
            <w:tcBorders>
              <w:right w:val="nil"/>
            </w:tcBorders>
            <w:vAlign w:val="top"/>
          </w:tcPr>
          <w:p w14:paraId="26027264">
            <w:pPr>
              <w:rPr>
                <w:rFonts w:ascii="Arial"/>
                <w:sz w:val="21"/>
              </w:rPr>
            </w:pPr>
          </w:p>
        </w:tc>
      </w:tr>
      <w:tr w14:paraId="035B7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290" w:type="dxa"/>
            <w:vMerge w:val="restart"/>
            <w:tcBorders>
              <w:left w:val="nil"/>
              <w:bottom w:val="nil"/>
            </w:tcBorders>
            <w:vAlign w:val="top"/>
          </w:tcPr>
          <w:p w14:paraId="09ECA737">
            <w:pPr>
              <w:pStyle w:val="6"/>
              <w:spacing w:before="225" w:line="220" w:lineRule="auto"/>
              <w:ind w:left="59"/>
              <w:rPr>
                <w:sz w:val="18"/>
                <w:szCs w:val="18"/>
              </w:rPr>
            </w:pPr>
            <w:r>
              <w:rPr>
                <w:spacing w:val="-1"/>
                <w:sz w:val="18"/>
                <w:szCs w:val="18"/>
              </w:rPr>
              <w:t>六、系统初验及试运行阶段</w:t>
            </w:r>
          </w:p>
        </w:tc>
        <w:tc>
          <w:tcPr>
            <w:tcW w:w="1790" w:type="dxa"/>
            <w:vAlign w:val="top"/>
          </w:tcPr>
          <w:p w14:paraId="452E4F80">
            <w:pPr>
              <w:pStyle w:val="6"/>
              <w:spacing w:before="73" w:line="218" w:lineRule="auto"/>
              <w:ind w:left="165"/>
              <w:rPr>
                <w:sz w:val="18"/>
                <w:szCs w:val="18"/>
              </w:rPr>
            </w:pPr>
            <w:r>
              <w:rPr>
                <w:spacing w:val="1"/>
                <w:sz w:val="18"/>
                <w:szCs w:val="18"/>
              </w:rPr>
              <w:t>系统初步验收报告</w:t>
            </w:r>
          </w:p>
        </w:tc>
        <w:tc>
          <w:tcPr>
            <w:tcW w:w="730" w:type="dxa"/>
            <w:vAlign w:val="top"/>
          </w:tcPr>
          <w:p w14:paraId="5D3E915F">
            <w:pPr>
              <w:rPr>
                <w:rFonts w:ascii="Arial"/>
                <w:sz w:val="21"/>
              </w:rPr>
            </w:pPr>
          </w:p>
        </w:tc>
        <w:tc>
          <w:tcPr>
            <w:tcW w:w="730" w:type="dxa"/>
            <w:vAlign w:val="top"/>
          </w:tcPr>
          <w:p w14:paraId="44B1172A">
            <w:pPr>
              <w:rPr>
                <w:rFonts w:ascii="Arial"/>
                <w:sz w:val="21"/>
              </w:rPr>
            </w:pPr>
          </w:p>
        </w:tc>
        <w:tc>
          <w:tcPr>
            <w:tcW w:w="730" w:type="dxa"/>
            <w:vAlign w:val="top"/>
          </w:tcPr>
          <w:p w14:paraId="2BB078E3">
            <w:pPr>
              <w:pStyle w:val="6"/>
              <w:spacing w:before="93" w:line="211" w:lineRule="auto"/>
              <w:ind w:left="265"/>
              <w:rPr>
                <w:sz w:val="18"/>
                <w:szCs w:val="18"/>
              </w:rPr>
            </w:pPr>
            <w:r>
              <w:rPr>
                <w:sz w:val="18"/>
                <w:szCs w:val="18"/>
              </w:rPr>
              <w:t>√</w:t>
            </w:r>
          </w:p>
        </w:tc>
        <w:tc>
          <w:tcPr>
            <w:tcW w:w="730" w:type="dxa"/>
            <w:vAlign w:val="top"/>
          </w:tcPr>
          <w:p w14:paraId="4B085971">
            <w:pPr>
              <w:pStyle w:val="6"/>
              <w:spacing w:before="93" w:line="211" w:lineRule="auto"/>
              <w:ind w:left="265"/>
              <w:rPr>
                <w:sz w:val="18"/>
                <w:szCs w:val="18"/>
              </w:rPr>
            </w:pPr>
            <w:r>
              <w:rPr>
                <w:sz w:val="18"/>
                <w:szCs w:val="18"/>
              </w:rPr>
              <w:t>√</w:t>
            </w:r>
          </w:p>
        </w:tc>
        <w:tc>
          <w:tcPr>
            <w:tcW w:w="720" w:type="dxa"/>
            <w:vAlign w:val="top"/>
          </w:tcPr>
          <w:p w14:paraId="0FA7D458">
            <w:pPr>
              <w:pStyle w:val="6"/>
              <w:spacing w:before="93" w:line="211" w:lineRule="auto"/>
              <w:ind w:left="264"/>
              <w:rPr>
                <w:sz w:val="18"/>
                <w:szCs w:val="18"/>
              </w:rPr>
            </w:pPr>
            <w:r>
              <w:rPr>
                <w:sz w:val="18"/>
                <w:szCs w:val="18"/>
              </w:rPr>
              <w:t>√</w:t>
            </w:r>
          </w:p>
        </w:tc>
        <w:tc>
          <w:tcPr>
            <w:tcW w:w="640" w:type="dxa"/>
            <w:tcBorders>
              <w:right w:val="nil"/>
            </w:tcBorders>
            <w:vAlign w:val="top"/>
          </w:tcPr>
          <w:p w14:paraId="609AA6A9">
            <w:pPr>
              <w:rPr>
                <w:rFonts w:ascii="Arial"/>
                <w:sz w:val="21"/>
              </w:rPr>
            </w:pPr>
          </w:p>
        </w:tc>
      </w:tr>
      <w:tr w14:paraId="14512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290" w:type="dxa"/>
            <w:vMerge w:val="continue"/>
            <w:tcBorders>
              <w:top w:val="nil"/>
              <w:left w:val="nil"/>
            </w:tcBorders>
            <w:vAlign w:val="top"/>
          </w:tcPr>
          <w:p w14:paraId="16AEDD64">
            <w:pPr>
              <w:rPr>
                <w:rFonts w:ascii="Arial"/>
                <w:sz w:val="21"/>
              </w:rPr>
            </w:pPr>
          </w:p>
        </w:tc>
        <w:tc>
          <w:tcPr>
            <w:tcW w:w="1790" w:type="dxa"/>
            <w:vAlign w:val="top"/>
          </w:tcPr>
          <w:p w14:paraId="21926845">
            <w:pPr>
              <w:pStyle w:val="6"/>
              <w:spacing w:before="66" w:line="219" w:lineRule="auto"/>
              <w:ind w:left="74"/>
              <w:rPr>
                <w:sz w:val="18"/>
                <w:szCs w:val="18"/>
              </w:rPr>
            </w:pPr>
            <w:r>
              <w:rPr>
                <w:spacing w:val="-2"/>
                <w:sz w:val="18"/>
                <w:szCs w:val="18"/>
              </w:rPr>
              <w:t>系统移交清单及文件</w:t>
            </w:r>
          </w:p>
        </w:tc>
        <w:tc>
          <w:tcPr>
            <w:tcW w:w="730" w:type="dxa"/>
            <w:vAlign w:val="top"/>
          </w:tcPr>
          <w:p w14:paraId="4129096F">
            <w:pPr>
              <w:rPr>
                <w:rFonts w:ascii="Arial"/>
                <w:sz w:val="21"/>
              </w:rPr>
            </w:pPr>
          </w:p>
        </w:tc>
        <w:tc>
          <w:tcPr>
            <w:tcW w:w="730" w:type="dxa"/>
            <w:vAlign w:val="top"/>
          </w:tcPr>
          <w:p w14:paraId="5EBA5176">
            <w:pPr>
              <w:rPr>
                <w:rFonts w:ascii="Arial"/>
                <w:sz w:val="21"/>
              </w:rPr>
            </w:pPr>
          </w:p>
        </w:tc>
        <w:tc>
          <w:tcPr>
            <w:tcW w:w="730" w:type="dxa"/>
            <w:vAlign w:val="top"/>
          </w:tcPr>
          <w:p w14:paraId="14A88FA8">
            <w:pPr>
              <w:pStyle w:val="6"/>
              <w:spacing w:before="84" w:line="211" w:lineRule="auto"/>
              <w:ind w:left="265"/>
              <w:rPr>
                <w:sz w:val="18"/>
                <w:szCs w:val="18"/>
              </w:rPr>
            </w:pPr>
            <w:r>
              <w:rPr>
                <w:sz w:val="18"/>
                <w:szCs w:val="18"/>
              </w:rPr>
              <w:t>√</w:t>
            </w:r>
          </w:p>
        </w:tc>
        <w:tc>
          <w:tcPr>
            <w:tcW w:w="730" w:type="dxa"/>
            <w:vAlign w:val="top"/>
          </w:tcPr>
          <w:p w14:paraId="03E8FF55">
            <w:pPr>
              <w:pStyle w:val="6"/>
              <w:spacing w:before="84" w:line="211" w:lineRule="auto"/>
              <w:ind w:left="265"/>
              <w:rPr>
                <w:sz w:val="18"/>
                <w:szCs w:val="18"/>
              </w:rPr>
            </w:pPr>
            <w:r>
              <w:rPr>
                <w:sz w:val="18"/>
                <w:szCs w:val="18"/>
              </w:rPr>
              <w:t>√</w:t>
            </w:r>
          </w:p>
        </w:tc>
        <w:tc>
          <w:tcPr>
            <w:tcW w:w="720" w:type="dxa"/>
            <w:vAlign w:val="top"/>
          </w:tcPr>
          <w:p w14:paraId="5301EBFA">
            <w:pPr>
              <w:pStyle w:val="6"/>
              <w:spacing w:before="84" w:line="211" w:lineRule="auto"/>
              <w:ind w:left="264"/>
              <w:rPr>
                <w:sz w:val="18"/>
                <w:szCs w:val="18"/>
              </w:rPr>
            </w:pPr>
            <w:r>
              <w:rPr>
                <w:sz w:val="18"/>
                <w:szCs w:val="18"/>
              </w:rPr>
              <w:t>√</w:t>
            </w:r>
          </w:p>
        </w:tc>
        <w:tc>
          <w:tcPr>
            <w:tcW w:w="640" w:type="dxa"/>
            <w:tcBorders>
              <w:right w:val="nil"/>
            </w:tcBorders>
            <w:vAlign w:val="top"/>
          </w:tcPr>
          <w:p w14:paraId="26B6E38C">
            <w:pPr>
              <w:rPr>
                <w:rFonts w:ascii="Arial"/>
                <w:sz w:val="21"/>
              </w:rPr>
            </w:pPr>
          </w:p>
        </w:tc>
      </w:tr>
      <w:tr w14:paraId="3745E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290" w:type="dxa"/>
            <w:tcBorders>
              <w:left w:val="nil"/>
            </w:tcBorders>
            <w:vAlign w:val="top"/>
          </w:tcPr>
          <w:p w14:paraId="7771B7A1">
            <w:pPr>
              <w:pStyle w:val="6"/>
              <w:spacing w:before="76" w:line="219" w:lineRule="auto"/>
              <w:ind w:left="420"/>
              <w:rPr>
                <w:sz w:val="18"/>
                <w:szCs w:val="18"/>
              </w:rPr>
            </w:pPr>
            <w:r>
              <w:rPr>
                <w:spacing w:val="-1"/>
                <w:sz w:val="18"/>
                <w:szCs w:val="18"/>
              </w:rPr>
              <w:t>七、系统验收阶段</w:t>
            </w:r>
          </w:p>
        </w:tc>
        <w:tc>
          <w:tcPr>
            <w:tcW w:w="1790" w:type="dxa"/>
            <w:vAlign w:val="top"/>
          </w:tcPr>
          <w:p w14:paraId="16600E93">
            <w:pPr>
              <w:pStyle w:val="6"/>
              <w:spacing w:before="74" w:line="218" w:lineRule="auto"/>
              <w:ind w:left="345"/>
              <w:rPr>
                <w:sz w:val="18"/>
                <w:szCs w:val="18"/>
              </w:rPr>
            </w:pPr>
            <w:r>
              <w:rPr>
                <w:spacing w:val="2"/>
                <w:sz w:val="18"/>
                <w:szCs w:val="18"/>
              </w:rPr>
              <w:t>系统验收报告</w:t>
            </w:r>
          </w:p>
        </w:tc>
        <w:tc>
          <w:tcPr>
            <w:tcW w:w="730" w:type="dxa"/>
            <w:vAlign w:val="top"/>
          </w:tcPr>
          <w:p w14:paraId="5967C153">
            <w:pPr>
              <w:rPr>
                <w:rFonts w:ascii="Arial"/>
                <w:sz w:val="21"/>
              </w:rPr>
            </w:pPr>
          </w:p>
        </w:tc>
        <w:tc>
          <w:tcPr>
            <w:tcW w:w="730" w:type="dxa"/>
            <w:vAlign w:val="top"/>
          </w:tcPr>
          <w:p w14:paraId="405305C7">
            <w:pPr>
              <w:rPr>
                <w:rFonts w:ascii="Arial"/>
                <w:sz w:val="21"/>
              </w:rPr>
            </w:pPr>
          </w:p>
        </w:tc>
        <w:tc>
          <w:tcPr>
            <w:tcW w:w="730" w:type="dxa"/>
            <w:vAlign w:val="top"/>
          </w:tcPr>
          <w:p w14:paraId="4DCDAD05">
            <w:pPr>
              <w:pStyle w:val="6"/>
              <w:spacing w:before="94" w:line="210" w:lineRule="auto"/>
              <w:ind w:left="265"/>
              <w:rPr>
                <w:sz w:val="18"/>
                <w:szCs w:val="18"/>
              </w:rPr>
            </w:pPr>
            <w:r>
              <w:rPr>
                <w:sz w:val="18"/>
                <w:szCs w:val="18"/>
              </w:rPr>
              <w:t>√</w:t>
            </w:r>
          </w:p>
        </w:tc>
        <w:tc>
          <w:tcPr>
            <w:tcW w:w="730" w:type="dxa"/>
            <w:vAlign w:val="top"/>
          </w:tcPr>
          <w:p w14:paraId="2D3D4A57">
            <w:pPr>
              <w:pStyle w:val="6"/>
              <w:spacing w:before="94" w:line="210" w:lineRule="auto"/>
              <w:ind w:left="265"/>
              <w:rPr>
                <w:sz w:val="18"/>
                <w:szCs w:val="18"/>
              </w:rPr>
            </w:pPr>
            <w:r>
              <w:rPr>
                <w:sz w:val="18"/>
                <w:szCs w:val="18"/>
              </w:rPr>
              <w:t>√</w:t>
            </w:r>
          </w:p>
        </w:tc>
        <w:tc>
          <w:tcPr>
            <w:tcW w:w="720" w:type="dxa"/>
            <w:vAlign w:val="top"/>
          </w:tcPr>
          <w:p w14:paraId="3BE8DBA2">
            <w:pPr>
              <w:pStyle w:val="6"/>
              <w:spacing w:before="94" w:line="210" w:lineRule="auto"/>
              <w:ind w:left="264"/>
              <w:rPr>
                <w:sz w:val="18"/>
                <w:szCs w:val="18"/>
              </w:rPr>
            </w:pPr>
            <w:r>
              <w:rPr>
                <w:sz w:val="18"/>
                <w:szCs w:val="18"/>
              </w:rPr>
              <w:t>√</w:t>
            </w:r>
          </w:p>
        </w:tc>
        <w:tc>
          <w:tcPr>
            <w:tcW w:w="640" w:type="dxa"/>
            <w:tcBorders>
              <w:right w:val="nil"/>
            </w:tcBorders>
            <w:vAlign w:val="top"/>
          </w:tcPr>
          <w:p w14:paraId="096694B7">
            <w:pPr>
              <w:rPr>
                <w:rFonts w:ascii="Arial"/>
                <w:sz w:val="21"/>
              </w:rPr>
            </w:pPr>
          </w:p>
        </w:tc>
      </w:tr>
      <w:tr w14:paraId="47C7C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290" w:type="dxa"/>
            <w:vMerge w:val="restart"/>
            <w:tcBorders>
              <w:left w:val="nil"/>
              <w:bottom w:val="nil"/>
            </w:tcBorders>
            <w:vAlign w:val="top"/>
          </w:tcPr>
          <w:p w14:paraId="6F0674F1">
            <w:pPr>
              <w:spacing w:line="317" w:lineRule="auto"/>
              <w:rPr>
                <w:rFonts w:ascii="Arial"/>
                <w:sz w:val="21"/>
              </w:rPr>
            </w:pPr>
          </w:p>
          <w:p w14:paraId="1A774043">
            <w:pPr>
              <w:pStyle w:val="6"/>
              <w:spacing w:before="58" w:line="220" w:lineRule="auto"/>
              <w:ind w:left="420"/>
              <w:rPr>
                <w:sz w:val="18"/>
                <w:szCs w:val="18"/>
              </w:rPr>
            </w:pPr>
            <w:r>
              <w:rPr>
                <w:spacing w:val="-2"/>
                <w:sz w:val="18"/>
                <w:szCs w:val="18"/>
              </w:rPr>
              <w:t>八、系统维护阶段</w:t>
            </w:r>
          </w:p>
        </w:tc>
        <w:tc>
          <w:tcPr>
            <w:tcW w:w="1790" w:type="dxa"/>
            <w:vAlign w:val="top"/>
          </w:tcPr>
          <w:p w14:paraId="77118BA6">
            <w:pPr>
              <w:pStyle w:val="6"/>
              <w:spacing w:before="67" w:line="219" w:lineRule="auto"/>
              <w:ind w:left="345"/>
              <w:rPr>
                <w:sz w:val="18"/>
                <w:szCs w:val="18"/>
              </w:rPr>
            </w:pPr>
            <w:r>
              <w:rPr>
                <w:spacing w:val="1"/>
                <w:sz w:val="18"/>
                <w:szCs w:val="18"/>
              </w:rPr>
              <w:t>系统管理制度</w:t>
            </w:r>
          </w:p>
        </w:tc>
        <w:tc>
          <w:tcPr>
            <w:tcW w:w="730" w:type="dxa"/>
            <w:vAlign w:val="top"/>
          </w:tcPr>
          <w:p w14:paraId="7DB31B03">
            <w:pPr>
              <w:pStyle w:val="6"/>
              <w:spacing w:before="85" w:line="210" w:lineRule="auto"/>
              <w:ind w:left="264"/>
              <w:rPr>
                <w:sz w:val="18"/>
                <w:szCs w:val="18"/>
              </w:rPr>
            </w:pPr>
            <w:r>
              <w:rPr>
                <w:sz w:val="18"/>
                <w:szCs w:val="18"/>
              </w:rPr>
              <w:t>√</w:t>
            </w:r>
          </w:p>
        </w:tc>
        <w:tc>
          <w:tcPr>
            <w:tcW w:w="730" w:type="dxa"/>
            <w:vAlign w:val="top"/>
          </w:tcPr>
          <w:p w14:paraId="5085B252">
            <w:pPr>
              <w:rPr>
                <w:rFonts w:ascii="Arial"/>
                <w:sz w:val="21"/>
              </w:rPr>
            </w:pPr>
          </w:p>
        </w:tc>
        <w:tc>
          <w:tcPr>
            <w:tcW w:w="730" w:type="dxa"/>
            <w:vAlign w:val="top"/>
          </w:tcPr>
          <w:p w14:paraId="4BF477E1">
            <w:pPr>
              <w:rPr>
                <w:rFonts w:ascii="Arial"/>
                <w:sz w:val="21"/>
              </w:rPr>
            </w:pPr>
          </w:p>
        </w:tc>
        <w:tc>
          <w:tcPr>
            <w:tcW w:w="730" w:type="dxa"/>
            <w:vAlign w:val="top"/>
          </w:tcPr>
          <w:p w14:paraId="4CCCD280">
            <w:pPr>
              <w:rPr>
                <w:rFonts w:ascii="Arial"/>
                <w:sz w:val="21"/>
              </w:rPr>
            </w:pPr>
          </w:p>
        </w:tc>
        <w:tc>
          <w:tcPr>
            <w:tcW w:w="720" w:type="dxa"/>
            <w:vAlign w:val="top"/>
          </w:tcPr>
          <w:p w14:paraId="4EA0DBE5">
            <w:pPr>
              <w:pStyle w:val="6"/>
              <w:spacing w:before="85" w:line="210" w:lineRule="auto"/>
              <w:ind w:left="264"/>
              <w:rPr>
                <w:sz w:val="18"/>
                <w:szCs w:val="18"/>
              </w:rPr>
            </w:pPr>
            <w:r>
              <w:rPr>
                <w:sz w:val="18"/>
                <w:szCs w:val="18"/>
              </w:rPr>
              <w:t>√</w:t>
            </w:r>
          </w:p>
        </w:tc>
        <w:tc>
          <w:tcPr>
            <w:tcW w:w="640" w:type="dxa"/>
            <w:tcBorders>
              <w:right w:val="nil"/>
            </w:tcBorders>
            <w:vAlign w:val="top"/>
          </w:tcPr>
          <w:p w14:paraId="6C84787C">
            <w:pPr>
              <w:rPr>
                <w:rFonts w:ascii="Arial"/>
                <w:sz w:val="21"/>
              </w:rPr>
            </w:pPr>
          </w:p>
        </w:tc>
      </w:tr>
      <w:tr w14:paraId="69183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2290" w:type="dxa"/>
            <w:vMerge w:val="continue"/>
            <w:tcBorders>
              <w:top w:val="nil"/>
              <w:left w:val="nil"/>
              <w:bottom w:val="nil"/>
            </w:tcBorders>
            <w:vAlign w:val="top"/>
          </w:tcPr>
          <w:p w14:paraId="2ECB6D29">
            <w:pPr>
              <w:rPr>
                <w:rFonts w:ascii="Arial"/>
                <w:sz w:val="21"/>
              </w:rPr>
            </w:pPr>
          </w:p>
        </w:tc>
        <w:tc>
          <w:tcPr>
            <w:tcW w:w="1790" w:type="dxa"/>
            <w:vAlign w:val="top"/>
          </w:tcPr>
          <w:p w14:paraId="21CBFBA1">
            <w:pPr>
              <w:pStyle w:val="6"/>
              <w:spacing w:before="67" w:line="220" w:lineRule="auto"/>
              <w:ind w:left="345"/>
              <w:rPr>
                <w:sz w:val="18"/>
                <w:szCs w:val="18"/>
              </w:rPr>
            </w:pPr>
            <w:r>
              <w:rPr>
                <w:spacing w:val="-2"/>
                <w:sz w:val="18"/>
                <w:szCs w:val="18"/>
              </w:rPr>
              <w:t>系统运行记录</w:t>
            </w:r>
          </w:p>
        </w:tc>
        <w:tc>
          <w:tcPr>
            <w:tcW w:w="730" w:type="dxa"/>
            <w:vAlign w:val="top"/>
          </w:tcPr>
          <w:p w14:paraId="0EB33C83">
            <w:pPr>
              <w:pStyle w:val="6"/>
              <w:spacing w:before="85" w:line="209" w:lineRule="auto"/>
              <w:ind w:left="264"/>
              <w:rPr>
                <w:sz w:val="18"/>
                <w:szCs w:val="18"/>
              </w:rPr>
            </w:pPr>
            <w:r>
              <w:rPr>
                <w:sz w:val="18"/>
                <w:szCs w:val="18"/>
              </w:rPr>
              <w:t>√</w:t>
            </w:r>
          </w:p>
        </w:tc>
        <w:tc>
          <w:tcPr>
            <w:tcW w:w="730" w:type="dxa"/>
            <w:vAlign w:val="top"/>
          </w:tcPr>
          <w:p w14:paraId="791292ED">
            <w:pPr>
              <w:rPr>
                <w:rFonts w:ascii="Arial"/>
                <w:sz w:val="21"/>
              </w:rPr>
            </w:pPr>
          </w:p>
        </w:tc>
        <w:tc>
          <w:tcPr>
            <w:tcW w:w="730" w:type="dxa"/>
            <w:vAlign w:val="top"/>
          </w:tcPr>
          <w:p w14:paraId="0E54FF85">
            <w:pPr>
              <w:rPr>
                <w:rFonts w:ascii="Arial"/>
                <w:sz w:val="21"/>
              </w:rPr>
            </w:pPr>
          </w:p>
        </w:tc>
        <w:tc>
          <w:tcPr>
            <w:tcW w:w="730" w:type="dxa"/>
            <w:vAlign w:val="top"/>
          </w:tcPr>
          <w:p w14:paraId="3FCB5C9B">
            <w:pPr>
              <w:rPr>
                <w:rFonts w:ascii="Arial"/>
                <w:sz w:val="21"/>
              </w:rPr>
            </w:pPr>
          </w:p>
        </w:tc>
        <w:tc>
          <w:tcPr>
            <w:tcW w:w="720" w:type="dxa"/>
            <w:vAlign w:val="top"/>
          </w:tcPr>
          <w:p w14:paraId="746DA77B">
            <w:pPr>
              <w:rPr>
                <w:rFonts w:ascii="Arial"/>
                <w:sz w:val="21"/>
              </w:rPr>
            </w:pPr>
          </w:p>
        </w:tc>
        <w:tc>
          <w:tcPr>
            <w:tcW w:w="640" w:type="dxa"/>
            <w:tcBorders>
              <w:right w:val="nil"/>
            </w:tcBorders>
            <w:vAlign w:val="top"/>
          </w:tcPr>
          <w:p w14:paraId="59D987BD">
            <w:pPr>
              <w:pStyle w:val="6"/>
              <w:spacing w:before="85" w:line="209" w:lineRule="auto"/>
              <w:ind w:left="225"/>
              <w:rPr>
                <w:sz w:val="18"/>
                <w:szCs w:val="18"/>
              </w:rPr>
            </w:pPr>
            <w:r>
              <w:rPr>
                <w:sz w:val="18"/>
                <w:szCs w:val="18"/>
              </w:rPr>
              <w:t>√</w:t>
            </w:r>
          </w:p>
        </w:tc>
      </w:tr>
      <w:tr w14:paraId="4B427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290" w:type="dxa"/>
            <w:vMerge w:val="continue"/>
            <w:tcBorders>
              <w:top w:val="nil"/>
              <w:left w:val="nil"/>
            </w:tcBorders>
            <w:vAlign w:val="top"/>
          </w:tcPr>
          <w:p w14:paraId="46B4792E">
            <w:pPr>
              <w:rPr>
                <w:rFonts w:ascii="Arial"/>
                <w:sz w:val="21"/>
              </w:rPr>
            </w:pPr>
          </w:p>
        </w:tc>
        <w:tc>
          <w:tcPr>
            <w:tcW w:w="1790" w:type="dxa"/>
            <w:vAlign w:val="top"/>
          </w:tcPr>
          <w:p w14:paraId="203FF778">
            <w:pPr>
              <w:pStyle w:val="6"/>
              <w:spacing w:before="68" w:line="219" w:lineRule="auto"/>
              <w:ind w:left="165"/>
              <w:rPr>
                <w:sz w:val="18"/>
                <w:szCs w:val="18"/>
              </w:rPr>
            </w:pPr>
            <w:r>
              <w:rPr>
                <w:spacing w:val="-2"/>
                <w:sz w:val="18"/>
                <w:szCs w:val="18"/>
              </w:rPr>
              <w:t>系统维护保修记录</w:t>
            </w:r>
          </w:p>
        </w:tc>
        <w:tc>
          <w:tcPr>
            <w:tcW w:w="730" w:type="dxa"/>
            <w:vAlign w:val="top"/>
          </w:tcPr>
          <w:p w14:paraId="13F7A91B">
            <w:pPr>
              <w:rPr>
                <w:rFonts w:ascii="Arial"/>
                <w:sz w:val="21"/>
              </w:rPr>
            </w:pPr>
          </w:p>
        </w:tc>
        <w:tc>
          <w:tcPr>
            <w:tcW w:w="730" w:type="dxa"/>
            <w:vAlign w:val="top"/>
          </w:tcPr>
          <w:p w14:paraId="0D8D3DE4">
            <w:pPr>
              <w:rPr>
                <w:rFonts w:ascii="Arial"/>
                <w:sz w:val="21"/>
              </w:rPr>
            </w:pPr>
          </w:p>
        </w:tc>
        <w:tc>
          <w:tcPr>
            <w:tcW w:w="730" w:type="dxa"/>
            <w:vAlign w:val="top"/>
          </w:tcPr>
          <w:p w14:paraId="3E371D79">
            <w:pPr>
              <w:pStyle w:val="6"/>
              <w:spacing w:before="86" w:line="214" w:lineRule="auto"/>
              <w:ind w:left="265"/>
              <w:rPr>
                <w:sz w:val="18"/>
                <w:szCs w:val="18"/>
              </w:rPr>
            </w:pPr>
            <w:r>
              <w:rPr>
                <w:sz w:val="18"/>
                <w:szCs w:val="18"/>
              </w:rPr>
              <w:t>√</w:t>
            </w:r>
          </w:p>
        </w:tc>
        <w:tc>
          <w:tcPr>
            <w:tcW w:w="730" w:type="dxa"/>
            <w:vAlign w:val="top"/>
          </w:tcPr>
          <w:p w14:paraId="76FFBBE4">
            <w:pPr>
              <w:pStyle w:val="6"/>
              <w:spacing w:before="86" w:line="214" w:lineRule="auto"/>
              <w:ind w:left="265"/>
              <w:rPr>
                <w:sz w:val="18"/>
                <w:szCs w:val="18"/>
              </w:rPr>
            </w:pPr>
            <w:r>
              <w:rPr>
                <w:sz w:val="18"/>
                <w:szCs w:val="18"/>
              </w:rPr>
              <w:t>√</w:t>
            </w:r>
          </w:p>
        </w:tc>
        <w:tc>
          <w:tcPr>
            <w:tcW w:w="720" w:type="dxa"/>
            <w:vAlign w:val="top"/>
          </w:tcPr>
          <w:p w14:paraId="167950A1">
            <w:pPr>
              <w:pStyle w:val="6"/>
              <w:spacing w:before="86" w:line="214" w:lineRule="auto"/>
              <w:ind w:left="264"/>
              <w:rPr>
                <w:sz w:val="18"/>
                <w:szCs w:val="18"/>
              </w:rPr>
            </w:pPr>
            <w:r>
              <w:rPr>
                <w:sz w:val="18"/>
                <w:szCs w:val="18"/>
              </w:rPr>
              <w:t>√</w:t>
            </w:r>
          </w:p>
        </w:tc>
        <w:tc>
          <w:tcPr>
            <w:tcW w:w="640" w:type="dxa"/>
            <w:tcBorders>
              <w:right w:val="nil"/>
            </w:tcBorders>
            <w:vAlign w:val="top"/>
          </w:tcPr>
          <w:p w14:paraId="3B54E5BC">
            <w:pPr>
              <w:rPr>
                <w:rFonts w:ascii="Arial"/>
                <w:sz w:val="21"/>
              </w:rPr>
            </w:pPr>
          </w:p>
        </w:tc>
      </w:tr>
    </w:tbl>
    <w:p w14:paraId="4500613F">
      <w:pPr>
        <w:pStyle w:val="2"/>
        <w:spacing w:before="243" w:line="273" w:lineRule="auto"/>
        <w:ind w:right="257" w:firstLine="409"/>
        <w:rPr>
          <w:sz w:val="20"/>
          <w:szCs w:val="20"/>
        </w:rPr>
      </w:pPr>
      <w:r>
        <w:rPr>
          <w:spacing w:val="3"/>
          <w:sz w:val="20"/>
          <w:szCs w:val="20"/>
        </w:rPr>
        <w:t>为了便于监督和控制承建单位对项目建设过程中技术和管理文档的编制和管理，监理单位</w:t>
      </w:r>
      <w:r>
        <w:rPr>
          <w:spacing w:val="10"/>
          <w:sz w:val="20"/>
          <w:szCs w:val="20"/>
        </w:rPr>
        <w:t xml:space="preserve"> </w:t>
      </w:r>
      <w:r>
        <w:rPr>
          <w:spacing w:val="3"/>
          <w:sz w:val="20"/>
          <w:szCs w:val="20"/>
        </w:rPr>
        <w:t>应该对承建单位有明确的要求。下面以信息网络系统工程建设过程中技术文档的编制和管理为</w:t>
      </w:r>
    </w:p>
    <w:p w14:paraId="64B89CD8">
      <w:pPr>
        <w:spacing w:line="273" w:lineRule="auto"/>
        <w:rPr>
          <w:sz w:val="20"/>
          <w:szCs w:val="20"/>
        </w:rPr>
        <w:sectPr>
          <w:pgSz w:w="10290" w:h="13300"/>
          <w:pgMar w:top="400" w:right="561" w:bottom="400" w:left="1130" w:header="0" w:footer="0" w:gutter="0"/>
          <w:cols w:space="720" w:num="1"/>
        </w:sectPr>
      </w:pPr>
    </w:p>
    <w:p w14:paraId="0A3C9C8E">
      <w:pPr>
        <w:pStyle w:val="2"/>
        <w:spacing w:before="98" w:line="219" w:lineRule="auto"/>
        <w:rPr>
          <w:sz w:val="20"/>
          <w:szCs w:val="20"/>
        </w:rPr>
      </w:pPr>
      <w:r>
        <w:rPr>
          <w:rFonts w:ascii="Times New Roman" w:hAnsi="Times New Roman" w:eastAsia="Times New Roman" w:cs="Times New Roman"/>
          <w:spacing w:val="-2"/>
          <w:sz w:val="20"/>
          <w:szCs w:val="20"/>
        </w:rPr>
        <w:t xml:space="preserve">348              </w:t>
      </w:r>
      <w:r>
        <w:rPr>
          <w:spacing w:val="-2"/>
          <w:sz w:val="20"/>
          <w:szCs w:val="20"/>
        </w:rPr>
        <w:t>信息系统监理师教程(</w:t>
      </w:r>
      <w:r>
        <w:rPr>
          <w:spacing w:val="-3"/>
          <w:sz w:val="20"/>
          <w:szCs w:val="20"/>
        </w:rPr>
        <w:t>第2版)</w:t>
      </w:r>
    </w:p>
    <w:p w14:paraId="69A79478">
      <w:pPr>
        <w:spacing w:line="324" w:lineRule="auto"/>
        <w:rPr>
          <w:rFonts w:ascii="Arial"/>
          <w:sz w:val="21"/>
        </w:rPr>
      </w:pPr>
    </w:p>
    <w:p w14:paraId="690D5F1B">
      <w:pPr>
        <w:pStyle w:val="2"/>
        <w:spacing w:before="65" w:line="219" w:lineRule="auto"/>
        <w:ind w:left="360"/>
        <w:rPr>
          <w:sz w:val="20"/>
          <w:szCs w:val="20"/>
        </w:rPr>
      </w:pPr>
      <w:r>
        <w:rPr>
          <w:spacing w:val="-2"/>
          <w:sz w:val="20"/>
          <w:szCs w:val="20"/>
        </w:rPr>
        <w:t>例，介绍监理单位应对工程技术文档提出的编制及内容要求。</w:t>
      </w:r>
    </w:p>
    <w:p w14:paraId="1A17E9CB">
      <w:pPr>
        <w:spacing w:before="159" w:line="223" w:lineRule="auto"/>
        <w:ind w:left="750"/>
        <w:rPr>
          <w:rFonts w:ascii="楷体" w:hAnsi="楷体" w:eastAsia="楷体" w:cs="楷体"/>
          <w:sz w:val="20"/>
          <w:szCs w:val="20"/>
        </w:rPr>
      </w:pPr>
      <w:r>
        <w:rPr>
          <w:rFonts w:ascii="楷体" w:hAnsi="楷体" w:eastAsia="楷体" w:cs="楷体"/>
          <w:spacing w:val="14"/>
          <w:sz w:val="20"/>
          <w:szCs w:val="20"/>
        </w:rPr>
        <w:t>1)系统需求书</w:t>
      </w:r>
    </w:p>
    <w:p w14:paraId="4051E907">
      <w:pPr>
        <w:pStyle w:val="2"/>
        <w:spacing w:before="73" w:line="219" w:lineRule="auto"/>
        <w:ind w:left="750"/>
        <w:rPr>
          <w:sz w:val="20"/>
          <w:szCs w:val="20"/>
        </w:rPr>
      </w:pPr>
      <w:r>
        <w:rPr>
          <w:spacing w:val="9"/>
          <w:sz w:val="20"/>
          <w:szCs w:val="20"/>
        </w:rPr>
        <w:t>(1)说明。</w:t>
      </w:r>
    </w:p>
    <w:p w14:paraId="7B6DACA0">
      <w:pPr>
        <w:pStyle w:val="2"/>
        <w:spacing w:before="80" w:line="273" w:lineRule="auto"/>
        <w:ind w:left="360" w:firstLine="389"/>
        <w:rPr>
          <w:sz w:val="20"/>
          <w:szCs w:val="20"/>
        </w:rPr>
      </w:pPr>
      <w:r>
        <w:rPr>
          <w:spacing w:val="3"/>
          <w:sz w:val="20"/>
          <w:szCs w:val="20"/>
        </w:rPr>
        <w:t>需求书是业主单位根据计算机网络系统用途、功能要求和有关文件，</w:t>
      </w:r>
      <w:r>
        <w:rPr>
          <w:spacing w:val="2"/>
          <w:sz w:val="20"/>
          <w:szCs w:val="20"/>
        </w:rPr>
        <w:t>委托进行计算机网络</w:t>
      </w:r>
      <w:r>
        <w:rPr>
          <w:sz w:val="20"/>
          <w:szCs w:val="20"/>
        </w:rPr>
        <w:t xml:space="preserve"> </w:t>
      </w:r>
      <w:r>
        <w:rPr>
          <w:spacing w:val="-4"/>
          <w:sz w:val="20"/>
          <w:szCs w:val="20"/>
        </w:rPr>
        <w:t>方案设计的任务书。</w:t>
      </w:r>
    </w:p>
    <w:p w14:paraId="3AC91ABF">
      <w:pPr>
        <w:pStyle w:val="2"/>
        <w:spacing w:before="40" w:line="219" w:lineRule="auto"/>
        <w:ind w:left="750"/>
        <w:rPr>
          <w:sz w:val="20"/>
          <w:szCs w:val="20"/>
        </w:rPr>
      </w:pPr>
      <w:r>
        <w:rPr>
          <w:spacing w:val="3"/>
          <w:sz w:val="20"/>
          <w:szCs w:val="20"/>
        </w:rPr>
        <w:t>(2)内容要求。具体包括：</w:t>
      </w:r>
    </w:p>
    <w:p w14:paraId="0C3207E0">
      <w:pPr>
        <w:pStyle w:val="2"/>
        <w:spacing w:before="93" w:line="219" w:lineRule="auto"/>
        <w:ind w:left="750"/>
        <w:rPr>
          <w:sz w:val="20"/>
          <w:szCs w:val="20"/>
        </w:rPr>
      </w:pPr>
      <w:r>
        <w:rPr>
          <w:sz w:val="20"/>
          <w:szCs w:val="20"/>
        </w:rPr>
        <w:t>●工程概况：使用条件和环境概况，现有设备概况。</w:t>
      </w:r>
    </w:p>
    <w:p w14:paraId="29E866AB">
      <w:pPr>
        <w:pStyle w:val="2"/>
        <w:spacing w:before="93" w:line="219" w:lineRule="auto"/>
        <w:ind w:left="750"/>
        <w:rPr>
          <w:sz w:val="20"/>
          <w:szCs w:val="20"/>
        </w:rPr>
      </w:pPr>
      <w:r>
        <w:rPr>
          <w:spacing w:val="2"/>
          <w:sz w:val="20"/>
          <w:szCs w:val="20"/>
        </w:rPr>
        <w:t>●技术要求：系统功能和应用。</w:t>
      </w:r>
    </w:p>
    <w:p w14:paraId="4FB4FFD1">
      <w:pPr>
        <w:pStyle w:val="2"/>
        <w:spacing w:before="92" w:line="219" w:lineRule="auto"/>
        <w:ind w:left="750"/>
        <w:rPr>
          <w:sz w:val="20"/>
          <w:szCs w:val="20"/>
        </w:rPr>
      </w:pPr>
      <w:r>
        <w:rPr>
          <w:spacing w:val="1"/>
          <w:sz w:val="20"/>
          <w:szCs w:val="20"/>
        </w:rPr>
        <w:t>(3)其他可具备的内容。具体包括：</w:t>
      </w:r>
    </w:p>
    <w:p w14:paraId="6658C879">
      <w:pPr>
        <w:pStyle w:val="2"/>
        <w:spacing w:before="74" w:line="220" w:lineRule="auto"/>
        <w:ind w:left="750"/>
        <w:rPr>
          <w:sz w:val="20"/>
          <w:szCs w:val="20"/>
        </w:rPr>
      </w:pPr>
      <w:r>
        <w:rPr>
          <w:spacing w:val="2"/>
          <w:sz w:val="20"/>
          <w:szCs w:val="20"/>
        </w:rPr>
        <w:t>●建筑及已有网络的设计图纸。</w:t>
      </w:r>
    </w:p>
    <w:p w14:paraId="4DD4051A">
      <w:pPr>
        <w:pStyle w:val="2"/>
        <w:spacing w:before="101" w:line="219" w:lineRule="auto"/>
        <w:ind w:left="750"/>
        <w:rPr>
          <w:sz w:val="20"/>
          <w:szCs w:val="20"/>
        </w:rPr>
      </w:pPr>
      <w:r>
        <w:rPr>
          <w:spacing w:val="3"/>
          <w:sz w:val="20"/>
          <w:szCs w:val="20"/>
        </w:rPr>
        <w:t>●其他有关技术文件和资料。</w:t>
      </w:r>
    </w:p>
    <w:p w14:paraId="18AACDFC">
      <w:pPr>
        <w:spacing w:before="137" w:line="223" w:lineRule="auto"/>
        <w:ind w:left="750"/>
        <w:rPr>
          <w:rFonts w:ascii="楷体" w:hAnsi="楷体" w:eastAsia="楷体" w:cs="楷体"/>
          <w:sz w:val="20"/>
          <w:szCs w:val="20"/>
        </w:rPr>
      </w:pPr>
      <w:r>
        <w:rPr>
          <w:rFonts w:ascii="楷体" w:hAnsi="楷体" w:eastAsia="楷体" w:cs="楷体"/>
          <w:spacing w:val="12"/>
          <w:sz w:val="20"/>
          <w:szCs w:val="20"/>
        </w:rPr>
        <w:t>2)系统方案设计书</w:t>
      </w:r>
    </w:p>
    <w:p w14:paraId="6D9944A3">
      <w:pPr>
        <w:pStyle w:val="2"/>
        <w:spacing w:before="84" w:line="219" w:lineRule="auto"/>
        <w:ind w:left="750"/>
        <w:rPr>
          <w:sz w:val="20"/>
          <w:szCs w:val="20"/>
        </w:rPr>
      </w:pPr>
      <w:r>
        <w:rPr>
          <w:spacing w:val="13"/>
          <w:sz w:val="20"/>
          <w:szCs w:val="20"/>
        </w:rPr>
        <w:t>(1)说明。</w:t>
      </w:r>
    </w:p>
    <w:p w14:paraId="7EEBDEAD">
      <w:pPr>
        <w:pStyle w:val="2"/>
        <w:spacing w:before="81" w:line="219" w:lineRule="auto"/>
        <w:ind w:left="750"/>
        <w:rPr>
          <w:sz w:val="20"/>
          <w:szCs w:val="20"/>
        </w:rPr>
      </w:pPr>
      <w:r>
        <w:rPr>
          <w:spacing w:val="-1"/>
          <w:sz w:val="20"/>
          <w:szCs w:val="20"/>
        </w:rPr>
        <w:t>系统方案设计书是承建单位根据系统需求书，提供系统规</w:t>
      </w:r>
      <w:r>
        <w:rPr>
          <w:spacing w:val="-2"/>
          <w:sz w:val="20"/>
          <w:szCs w:val="20"/>
        </w:rPr>
        <w:t>划的可行性方案。</w:t>
      </w:r>
    </w:p>
    <w:p w14:paraId="6499E726">
      <w:pPr>
        <w:pStyle w:val="2"/>
        <w:spacing w:before="84" w:line="219" w:lineRule="auto"/>
        <w:ind w:left="750"/>
        <w:rPr>
          <w:sz w:val="20"/>
          <w:szCs w:val="20"/>
        </w:rPr>
      </w:pPr>
      <w:r>
        <w:rPr>
          <w:spacing w:val="3"/>
          <w:sz w:val="20"/>
          <w:szCs w:val="20"/>
        </w:rPr>
        <w:t>(2)内容要求。具体包括：</w:t>
      </w:r>
    </w:p>
    <w:p w14:paraId="3AC9A022">
      <w:pPr>
        <w:pStyle w:val="2"/>
        <w:spacing w:before="73" w:line="219" w:lineRule="auto"/>
        <w:ind w:left="750"/>
        <w:rPr>
          <w:sz w:val="20"/>
          <w:szCs w:val="20"/>
        </w:rPr>
      </w:pPr>
      <w:r>
        <w:rPr>
          <w:spacing w:val="1"/>
          <w:sz w:val="20"/>
          <w:szCs w:val="20"/>
        </w:rPr>
        <w:t>●规划设计：系统总体功能，系统总体框图</w:t>
      </w:r>
      <w:r>
        <w:rPr>
          <w:sz w:val="20"/>
          <w:szCs w:val="20"/>
        </w:rPr>
        <w:t>，系统设计标准，主要设备技术指标。</w:t>
      </w:r>
    </w:p>
    <w:p w14:paraId="7EAE7C09">
      <w:pPr>
        <w:pStyle w:val="2"/>
        <w:spacing w:before="93" w:line="219" w:lineRule="auto"/>
        <w:ind w:left="750"/>
        <w:rPr>
          <w:sz w:val="20"/>
          <w:szCs w:val="20"/>
        </w:rPr>
      </w:pPr>
      <w:r>
        <w:rPr>
          <w:sz w:val="20"/>
          <w:szCs w:val="20"/>
        </w:rPr>
        <w:t>●系统概算：系统主要设备、辅料、安装和服务等概算。</w:t>
      </w:r>
    </w:p>
    <w:p w14:paraId="62EA9BBC">
      <w:pPr>
        <w:spacing w:before="158" w:line="223" w:lineRule="auto"/>
        <w:ind w:left="750"/>
        <w:rPr>
          <w:rFonts w:ascii="楷体" w:hAnsi="楷体" w:eastAsia="楷体" w:cs="楷体"/>
          <w:sz w:val="20"/>
          <w:szCs w:val="20"/>
        </w:rPr>
      </w:pPr>
      <w:r>
        <w:rPr>
          <w:rFonts w:ascii="楷体" w:hAnsi="楷体" w:eastAsia="楷体" w:cs="楷体"/>
          <w:spacing w:val="9"/>
          <w:sz w:val="20"/>
          <w:szCs w:val="20"/>
        </w:rPr>
        <w:t>3)系统设计任务书</w:t>
      </w:r>
    </w:p>
    <w:p w14:paraId="751C75AD">
      <w:pPr>
        <w:pStyle w:val="2"/>
        <w:spacing w:before="73" w:line="219" w:lineRule="auto"/>
        <w:ind w:left="750"/>
        <w:rPr>
          <w:sz w:val="20"/>
          <w:szCs w:val="20"/>
        </w:rPr>
      </w:pPr>
      <w:r>
        <w:rPr>
          <w:spacing w:val="13"/>
          <w:sz w:val="20"/>
          <w:szCs w:val="20"/>
        </w:rPr>
        <w:t>(1)说明。</w:t>
      </w:r>
    </w:p>
    <w:p w14:paraId="2C0E2C35">
      <w:pPr>
        <w:pStyle w:val="2"/>
        <w:spacing w:before="71" w:line="283" w:lineRule="auto"/>
        <w:ind w:left="360" w:right="2" w:firstLine="389"/>
        <w:rPr>
          <w:sz w:val="20"/>
          <w:szCs w:val="20"/>
        </w:rPr>
      </w:pPr>
      <w:r>
        <w:rPr>
          <w:spacing w:val="3"/>
          <w:sz w:val="20"/>
          <w:szCs w:val="20"/>
        </w:rPr>
        <w:t>系统设计任务书是业主单位要求承建单位根据计算机网络系统用</w:t>
      </w:r>
      <w:r>
        <w:rPr>
          <w:spacing w:val="2"/>
          <w:sz w:val="20"/>
          <w:szCs w:val="20"/>
        </w:rPr>
        <w:t>途和有关文件，对计算机</w:t>
      </w:r>
      <w:r>
        <w:rPr>
          <w:sz w:val="20"/>
          <w:szCs w:val="20"/>
        </w:rPr>
        <w:t xml:space="preserve"> </w:t>
      </w:r>
      <w:r>
        <w:rPr>
          <w:spacing w:val="-2"/>
          <w:sz w:val="20"/>
          <w:szCs w:val="20"/>
        </w:rPr>
        <w:t>网络系统的初步设计和实施组织设计提出的具</w:t>
      </w:r>
      <w:r>
        <w:rPr>
          <w:spacing w:val="-3"/>
          <w:sz w:val="20"/>
          <w:szCs w:val="20"/>
        </w:rPr>
        <w:t>体要求。</w:t>
      </w:r>
    </w:p>
    <w:p w14:paraId="23CCDD1A">
      <w:pPr>
        <w:pStyle w:val="2"/>
        <w:spacing w:before="19" w:line="219" w:lineRule="auto"/>
        <w:ind w:left="750"/>
        <w:rPr>
          <w:sz w:val="20"/>
          <w:szCs w:val="20"/>
        </w:rPr>
      </w:pPr>
      <w:r>
        <w:rPr>
          <w:spacing w:val="3"/>
          <w:sz w:val="20"/>
          <w:szCs w:val="20"/>
        </w:rPr>
        <w:t>(2)内容要求。具体包括：</w:t>
      </w:r>
    </w:p>
    <w:p w14:paraId="6FB17A97">
      <w:pPr>
        <w:pStyle w:val="2"/>
        <w:spacing w:before="82" w:line="219" w:lineRule="auto"/>
        <w:ind w:left="750"/>
        <w:rPr>
          <w:sz w:val="20"/>
          <w:szCs w:val="20"/>
        </w:rPr>
      </w:pPr>
      <w:r>
        <w:rPr>
          <w:spacing w:val="1"/>
          <w:sz w:val="20"/>
          <w:szCs w:val="20"/>
        </w:rPr>
        <w:t>●工程概况：系统概况，实施概况，设备概况。</w:t>
      </w:r>
    </w:p>
    <w:p w14:paraId="3913EC3B">
      <w:pPr>
        <w:pStyle w:val="2"/>
        <w:spacing w:before="82" w:line="219" w:lineRule="auto"/>
        <w:ind w:left="750"/>
        <w:rPr>
          <w:sz w:val="20"/>
          <w:szCs w:val="20"/>
        </w:rPr>
      </w:pPr>
      <w:r>
        <w:rPr>
          <w:spacing w:val="1"/>
          <w:sz w:val="20"/>
          <w:szCs w:val="20"/>
        </w:rPr>
        <w:t>●计算机网络系统技术要求：系统功能，系统构成，主要设备技</w:t>
      </w:r>
      <w:r>
        <w:rPr>
          <w:sz w:val="20"/>
          <w:szCs w:val="20"/>
        </w:rPr>
        <w:t>术指标。</w:t>
      </w:r>
    </w:p>
    <w:p w14:paraId="0F436622">
      <w:pPr>
        <w:pStyle w:val="2"/>
        <w:spacing w:before="92" w:line="258" w:lineRule="auto"/>
        <w:ind w:left="1049" w:right="1" w:hanging="299"/>
        <w:rPr>
          <w:sz w:val="20"/>
          <w:szCs w:val="20"/>
        </w:rPr>
      </w:pPr>
      <w:r>
        <w:rPr>
          <w:spacing w:val="8"/>
          <w:sz w:val="20"/>
          <w:szCs w:val="20"/>
        </w:rPr>
        <w:t>●工程实施要求：承建单位的组织机构和人员，工程设计图，有关文件和资料，工程进</w:t>
      </w:r>
      <w:r>
        <w:rPr>
          <w:spacing w:val="3"/>
          <w:sz w:val="20"/>
          <w:szCs w:val="20"/>
        </w:rPr>
        <w:t xml:space="preserve"> </w:t>
      </w:r>
      <w:r>
        <w:rPr>
          <w:spacing w:val="-2"/>
          <w:sz w:val="20"/>
          <w:szCs w:val="20"/>
        </w:rPr>
        <w:t>度，用户培训，系统验收，系统保修和维护。</w:t>
      </w:r>
    </w:p>
    <w:p w14:paraId="7DC30556">
      <w:pPr>
        <w:pStyle w:val="2"/>
        <w:spacing w:before="83" w:line="219" w:lineRule="auto"/>
        <w:ind w:left="750"/>
        <w:rPr>
          <w:sz w:val="20"/>
          <w:szCs w:val="20"/>
        </w:rPr>
      </w:pPr>
      <w:r>
        <w:rPr>
          <w:spacing w:val="1"/>
          <w:sz w:val="20"/>
          <w:szCs w:val="20"/>
        </w:rPr>
        <w:t>(3)其他可具备的内容。具体包括：</w:t>
      </w:r>
    </w:p>
    <w:p w14:paraId="456675CC">
      <w:pPr>
        <w:pStyle w:val="2"/>
        <w:spacing w:before="73" w:line="220" w:lineRule="auto"/>
        <w:ind w:left="750"/>
        <w:rPr>
          <w:sz w:val="20"/>
          <w:szCs w:val="20"/>
        </w:rPr>
      </w:pPr>
      <w:r>
        <w:rPr>
          <w:spacing w:val="3"/>
          <w:sz w:val="20"/>
          <w:szCs w:val="20"/>
        </w:rPr>
        <w:t>●建筑工程设计图纸。</w:t>
      </w:r>
    </w:p>
    <w:p w14:paraId="302362D2">
      <w:pPr>
        <w:pStyle w:val="2"/>
        <w:spacing w:before="71" w:line="219" w:lineRule="auto"/>
        <w:ind w:left="750"/>
        <w:rPr>
          <w:sz w:val="20"/>
          <w:szCs w:val="20"/>
        </w:rPr>
      </w:pPr>
      <w:r>
        <w:rPr>
          <w:spacing w:val="3"/>
          <w:sz w:val="20"/>
          <w:szCs w:val="20"/>
        </w:rPr>
        <w:t>●其他有关技术文件和资料。</w:t>
      </w:r>
    </w:p>
    <w:p w14:paraId="6FBD1763">
      <w:pPr>
        <w:spacing w:before="158" w:line="223" w:lineRule="auto"/>
        <w:ind w:left="750"/>
        <w:rPr>
          <w:rFonts w:ascii="楷体" w:hAnsi="楷体" w:eastAsia="楷体" w:cs="楷体"/>
          <w:sz w:val="20"/>
          <w:szCs w:val="20"/>
        </w:rPr>
      </w:pPr>
      <w:r>
        <w:rPr>
          <w:rFonts w:ascii="楷体" w:hAnsi="楷体" w:eastAsia="楷体" w:cs="楷体"/>
          <w:spacing w:val="9"/>
          <w:sz w:val="20"/>
          <w:szCs w:val="20"/>
        </w:rPr>
        <w:t>4)系统初步设计书</w:t>
      </w:r>
    </w:p>
    <w:p w14:paraId="33F9887B">
      <w:pPr>
        <w:pStyle w:val="2"/>
        <w:spacing w:before="73" w:line="219" w:lineRule="auto"/>
        <w:ind w:left="750"/>
        <w:rPr>
          <w:sz w:val="20"/>
          <w:szCs w:val="20"/>
        </w:rPr>
      </w:pPr>
      <w:r>
        <w:rPr>
          <w:spacing w:val="13"/>
          <w:sz w:val="20"/>
          <w:szCs w:val="20"/>
        </w:rPr>
        <w:t>(1)说明。</w:t>
      </w:r>
    </w:p>
    <w:p w14:paraId="1364D9BE">
      <w:pPr>
        <w:pStyle w:val="2"/>
        <w:spacing w:before="72" w:line="219" w:lineRule="auto"/>
        <w:ind w:left="750"/>
        <w:rPr>
          <w:sz w:val="20"/>
          <w:szCs w:val="20"/>
        </w:rPr>
      </w:pPr>
      <w:r>
        <w:rPr>
          <w:spacing w:val="-1"/>
          <w:sz w:val="20"/>
          <w:szCs w:val="20"/>
        </w:rPr>
        <w:t>系统初步设计书是承建单位根据系统设计任务书所提供的系统初步设计和工程实施方</w:t>
      </w:r>
      <w:r>
        <w:rPr>
          <w:spacing w:val="-2"/>
          <w:sz w:val="20"/>
          <w:szCs w:val="20"/>
        </w:rPr>
        <w:t>案。</w:t>
      </w:r>
    </w:p>
    <w:p w14:paraId="3DCC6D29">
      <w:pPr>
        <w:pStyle w:val="2"/>
        <w:spacing w:before="64" w:line="219" w:lineRule="auto"/>
        <w:ind w:left="750"/>
        <w:rPr>
          <w:sz w:val="20"/>
          <w:szCs w:val="20"/>
        </w:rPr>
      </w:pPr>
      <w:r>
        <w:rPr>
          <w:spacing w:val="3"/>
          <w:sz w:val="20"/>
          <w:szCs w:val="20"/>
        </w:rPr>
        <w:t>(2)内容要求。具体包括：</w:t>
      </w:r>
    </w:p>
    <w:p w14:paraId="2360BCC3">
      <w:pPr>
        <w:pStyle w:val="2"/>
        <w:spacing w:before="81" w:line="219" w:lineRule="auto"/>
        <w:ind w:left="750"/>
        <w:rPr>
          <w:sz w:val="20"/>
          <w:szCs w:val="20"/>
        </w:rPr>
      </w:pPr>
      <w:r>
        <w:rPr>
          <w:spacing w:val="1"/>
          <w:sz w:val="20"/>
          <w:szCs w:val="20"/>
        </w:rPr>
        <w:t>●设计总述：系统总体功能，系统总体框图，系统设计依据和技</w:t>
      </w:r>
      <w:r>
        <w:rPr>
          <w:sz w:val="20"/>
          <w:szCs w:val="20"/>
        </w:rPr>
        <w:t>术标准。</w:t>
      </w:r>
    </w:p>
    <w:p w14:paraId="0ED8AA3B">
      <w:pPr>
        <w:pStyle w:val="2"/>
        <w:spacing w:before="63" w:line="258" w:lineRule="auto"/>
        <w:ind w:left="1039" w:right="1" w:hanging="289"/>
        <w:rPr>
          <w:sz w:val="20"/>
          <w:szCs w:val="20"/>
        </w:rPr>
      </w:pPr>
      <w:r>
        <w:rPr>
          <w:spacing w:val="3"/>
          <w:sz w:val="20"/>
          <w:szCs w:val="20"/>
        </w:rPr>
        <w:t>●系统设计：系统功能，系统设计及配置，系统图，平面布置图</w:t>
      </w:r>
      <w:r>
        <w:rPr>
          <w:spacing w:val="2"/>
          <w:sz w:val="20"/>
          <w:szCs w:val="20"/>
        </w:rPr>
        <w:t>，系统配置，机房、接地</w:t>
      </w:r>
      <w:r>
        <w:rPr>
          <w:sz w:val="20"/>
          <w:szCs w:val="20"/>
        </w:rPr>
        <w:t xml:space="preserve"> </w:t>
      </w:r>
      <w:r>
        <w:rPr>
          <w:spacing w:val="-3"/>
          <w:sz w:val="20"/>
          <w:szCs w:val="20"/>
        </w:rPr>
        <w:t>等有关设计，主要设备技术指标。</w:t>
      </w:r>
    </w:p>
    <w:p w14:paraId="48D1720D">
      <w:pPr>
        <w:spacing w:line="258" w:lineRule="auto"/>
        <w:rPr>
          <w:sz w:val="20"/>
          <w:szCs w:val="20"/>
        </w:rPr>
        <w:sectPr>
          <w:pgSz w:w="10290" w:h="13420"/>
          <w:pgMar w:top="400" w:right="1130" w:bottom="400" w:left="499" w:header="0" w:footer="0" w:gutter="0"/>
          <w:cols w:space="720" w:num="1"/>
        </w:sectPr>
      </w:pPr>
    </w:p>
    <w:p w14:paraId="26D790E6">
      <w:pPr>
        <w:pStyle w:val="2"/>
        <w:jc w:val="right"/>
        <w:rPr>
          <w:rFonts w:ascii="Times New Roman" w:hAnsi="Times New Roman" w:eastAsia="Times New Roman" w:cs="Times New Roman"/>
          <w:sz w:val="16"/>
          <w:szCs w:val="16"/>
        </w:rPr>
      </w:pPr>
      <w:r>
        <w:rPr>
          <w:spacing w:val="7"/>
          <w:sz w:val="19"/>
          <w:szCs w:val="19"/>
        </w:rPr>
        <w:t>第14章</w:t>
      </w:r>
      <w:r>
        <w:rPr>
          <w:spacing w:val="37"/>
          <w:sz w:val="19"/>
          <w:szCs w:val="19"/>
        </w:rPr>
        <w:t xml:space="preserve"> </w:t>
      </w:r>
      <w:r>
        <w:rPr>
          <w:spacing w:val="7"/>
          <w:sz w:val="19"/>
          <w:szCs w:val="19"/>
        </w:rPr>
        <w:t>信息管理</w:t>
      </w:r>
      <w:r>
        <w:rPr>
          <w:spacing w:val="28"/>
          <w:sz w:val="19"/>
          <w:szCs w:val="19"/>
        </w:rPr>
        <w:t xml:space="preserve"> </w:t>
      </w:r>
      <w:r>
        <w:rPr>
          <w:position w:val="-11"/>
          <w:sz w:val="19"/>
          <w:szCs w:val="19"/>
        </w:rPr>
        <w:drawing>
          <wp:inline distT="0" distB="0" distL="0" distR="0">
            <wp:extent cx="304800" cy="24066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217"/>
                    <a:stretch>
                      <a:fillRect/>
                    </a:stretch>
                  </pic:blipFill>
                  <pic:spPr>
                    <a:xfrm>
                      <a:off x="0" y="0"/>
                      <a:ext cx="304848" cy="241249"/>
                    </a:xfrm>
                    <a:prstGeom prst="rect">
                      <a:avLst/>
                    </a:prstGeom>
                  </pic:spPr>
                </pic:pic>
              </a:graphicData>
            </a:graphic>
          </wp:inline>
        </w:drawing>
      </w:r>
      <w:r>
        <w:rPr>
          <w:rFonts w:ascii="Times New Roman" w:hAnsi="Times New Roman" w:eastAsia="Times New Roman" w:cs="Times New Roman"/>
          <w:spacing w:val="7"/>
          <w:sz w:val="16"/>
          <w:szCs w:val="16"/>
        </w:rPr>
        <w:t>349</w:t>
      </w:r>
    </w:p>
    <w:p w14:paraId="1ADE66CC">
      <w:pPr>
        <w:spacing w:line="273" w:lineRule="auto"/>
        <w:rPr>
          <w:rFonts w:ascii="Arial"/>
          <w:sz w:val="21"/>
        </w:rPr>
      </w:pPr>
    </w:p>
    <w:p w14:paraId="2E4D0ECE">
      <w:pPr>
        <w:pStyle w:val="2"/>
        <w:spacing w:before="62" w:line="275" w:lineRule="auto"/>
        <w:ind w:left="689" w:right="275" w:hanging="289"/>
        <w:rPr>
          <w:sz w:val="19"/>
          <w:szCs w:val="19"/>
        </w:rPr>
      </w:pPr>
      <w:r>
        <w:rPr>
          <w:spacing w:val="12"/>
          <w:sz w:val="19"/>
          <w:szCs w:val="19"/>
        </w:rPr>
        <w:t>●工程实施规划：人员组织结构，工程进度计划，各工程工作内容和工作界面，工程质量</w:t>
      </w:r>
      <w:r>
        <w:rPr>
          <w:spacing w:val="18"/>
          <w:sz w:val="19"/>
          <w:szCs w:val="19"/>
        </w:rPr>
        <w:t xml:space="preserve"> </w:t>
      </w:r>
      <w:r>
        <w:rPr>
          <w:spacing w:val="7"/>
          <w:sz w:val="19"/>
          <w:szCs w:val="19"/>
        </w:rPr>
        <w:t>保证措施，系统验收标准，系统保修和维护措施。</w:t>
      </w:r>
    </w:p>
    <w:p w14:paraId="21F9BC12">
      <w:pPr>
        <w:pStyle w:val="2"/>
        <w:spacing w:before="94" w:line="219" w:lineRule="auto"/>
        <w:ind w:left="400"/>
        <w:rPr>
          <w:sz w:val="19"/>
          <w:szCs w:val="19"/>
        </w:rPr>
      </w:pPr>
      <w:r>
        <w:rPr>
          <w:spacing w:val="11"/>
          <w:sz w:val="19"/>
          <w:szCs w:val="19"/>
        </w:rPr>
        <w:t>●系统概算：系统设备及辅料概算，安装、服务和培训概算。</w:t>
      </w:r>
    </w:p>
    <w:p w14:paraId="7096B030">
      <w:pPr>
        <w:spacing w:before="169" w:line="223" w:lineRule="auto"/>
        <w:ind w:left="400"/>
        <w:rPr>
          <w:rFonts w:ascii="楷体" w:hAnsi="楷体" w:eastAsia="楷体" w:cs="楷体"/>
          <w:sz w:val="19"/>
          <w:szCs w:val="19"/>
        </w:rPr>
      </w:pPr>
      <w:r>
        <w:rPr>
          <w:rFonts w:ascii="楷体" w:hAnsi="楷体" w:eastAsia="楷体" w:cs="楷体"/>
          <w:spacing w:val="29"/>
          <w:sz w:val="19"/>
          <w:szCs w:val="19"/>
        </w:rPr>
        <w:t>5)系统图(网络拓扑图)</w:t>
      </w:r>
    </w:p>
    <w:p w14:paraId="6CBA2F21">
      <w:pPr>
        <w:pStyle w:val="2"/>
        <w:spacing w:before="95" w:line="219" w:lineRule="auto"/>
        <w:ind w:left="400"/>
        <w:rPr>
          <w:sz w:val="19"/>
          <w:szCs w:val="19"/>
        </w:rPr>
      </w:pPr>
      <w:r>
        <w:rPr>
          <w:spacing w:val="18"/>
          <w:sz w:val="19"/>
          <w:szCs w:val="19"/>
        </w:rPr>
        <w:t>(1)说明。</w:t>
      </w:r>
    </w:p>
    <w:p w14:paraId="4BB33F9F">
      <w:pPr>
        <w:pStyle w:val="2"/>
        <w:spacing w:before="83" w:line="219" w:lineRule="auto"/>
        <w:ind w:left="400"/>
        <w:rPr>
          <w:sz w:val="19"/>
          <w:szCs w:val="19"/>
        </w:rPr>
      </w:pPr>
      <w:r>
        <w:rPr>
          <w:spacing w:val="8"/>
          <w:sz w:val="19"/>
          <w:szCs w:val="19"/>
        </w:rPr>
        <w:t>系统图是用简单的文字和图形描述系统之间的相互关系，以达到形象和易于理解的目的。</w:t>
      </w:r>
    </w:p>
    <w:p w14:paraId="07093852">
      <w:pPr>
        <w:pStyle w:val="2"/>
        <w:spacing w:before="96" w:line="219" w:lineRule="auto"/>
        <w:ind w:left="400"/>
        <w:rPr>
          <w:sz w:val="19"/>
          <w:szCs w:val="19"/>
        </w:rPr>
      </w:pPr>
      <w:r>
        <w:rPr>
          <w:spacing w:val="10"/>
          <w:sz w:val="19"/>
          <w:szCs w:val="19"/>
        </w:rPr>
        <w:t>(2)内容要求。具体包括：</w:t>
      </w:r>
    </w:p>
    <w:p w14:paraId="2E6EDAF8">
      <w:pPr>
        <w:pStyle w:val="2"/>
        <w:spacing w:before="85" w:line="219" w:lineRule="auto"/>
        <w:ind w:left="400"/>
        <w:rPr>
          <w:sz w:val="19"/>
          <w:szCs w:val="19"/>
        </w:rPr>
      </w:pPr>
      <w:r>
        <w:rPr>
          <w:spacing w:val="11"/>
          <w:sz w:val="19"/>
          <w:szCs w:val="19"/>
        </w:rPr>
        <w:t>●描述系统工作各个组成部分。</w:t>
      </w:r>
    </w:p>
    <w:p w14:paraId="32D4AB48">
      <w:pPr>
        <w:pStyle w:val="2"/>
        <w:spacing w:before="94" w:line="219" w:lineRule="auto"/>
        <w:ind w:left="400"/>
        <w:rPr>
          <w:sz w:val="19"/>
          <w:szCs w:val="19"/>
        </w:rPr>
      </w:pPr>
      <w:r>
        <w:rPr>
          <w:spacing w:val="10"/>
          <w:sz w:val="19"/>
          <w:szCs w:val="19"/>
        </w:rPr>
        <w:t>●描述系统工作各个组成部分之间的关系。</w:t>
      </w:r>
    </w:p>
    <w:p w14:paraId="12D111A0">
      <w:pPr>
        <w:pStyle w:val="2"/>
        <w:spacing w:before="105" w:line="220" w:lineRule="auto"/>
        <w:ind w:left="400"/>
        <w:rPr>
          <w:sz w:val="19"/>
          <w:szCs w:val="19"/>
        </w:rPr>
      </w:pPr>
      <w:r>
        <w:rPr>
          <w:spacing w:val="13"/>
          <w:sz w:val="19"/>
          <w:szCs w:val="19"/>
        </w:rPr>
        <w:t>●其他必要的描述。</w:t>
      </w:r>
    </w:p>
    <w:p w14:paraId="435D492F">
      <w:pPr>
        <w:spacing w:before="169" w:line="223" w:lineRule="auto"/>
        <w:ind w:left="400"/>
        <w:rPr>
          <w:rFonts w:ascii="楷体" w:hAnsi="楷体" w:eastAsia="楷体" w:cs="楷体"/>
          <w:sz w:val="19"/>
          <w:szCs w:val="19"/>
        </w:rPr>
      </w:pPr>
      <w:r>
        <w:rPr>
          <w:rFonts w:ascii="楷体" w:hAnsi="楷体" w:eastAsia="楷体" w:cs="楷体"/>
          <w:spacing w:val="24"/>
          <w:sz w:val="19"/>
          <w:szCs w:val="19"/>
        </w:rPr>
        <w:t>6)系统接线图</w:t>
      </w:r>
    </w:p>
    <w:p w14:paraId="6D61D878">
      <w:pPr>
        <w:pStyle w:val="2"/>
        <w:spacing w:before="85" w:line="219" w:lineRule="auto"/>
        <w:ind w:left="400"/>
        <w:rPr>
          <w:sz w:val="19"/>
          <w:szCs w:val="19"/>
        </w:rPr>
      </w:pPr>
      <w:r>
        <w:rPr>
          <w:spacing w:val="18"/>
          <w:sz w:val="19"/>
          <w:szCs w:val="19"/>
        </w:rPr>
        <w:t>(1)说明。</w:t>
      </w:r>
    </w:p>
    <w:p w14:paraId="1F730AA2">
      <w:pPr>
        <w:pStyle w:val="2"/>
        <w:spacing w:before="95" w:line="219" w:lineRule="auto"/>
        <w:ind w:left="400"/>
        <w:rPr>
          <w:sz w:val="19"/>
          <w:szCs w:val="19"/>
        </w:rPr>
      </w:pPr>
      <w:r>
        <w:rPr>
          <w:spacing w:val="7"/>
          <w:sz w:val="19"/>
          <w:szCs w:val="19"/>
        </w:rPr>
        <w:t>系统接线图是以图元的方式来描述系统信号端子的接线关系。</w:t>
      </w:r>
    </w:p>
    <w:p w14:paraId="44F4FFB5">
      <w:pPr>
        <w:pStyle w:val="2"/>
        <w:spacing w:before="84" w:line="219" w:lineRule="auto"/>
        <w:ind w:left="400"/>
        <w:rPr>
          <w:sz w:val="19"/>
          <w:szCs w:val="19"/>
        </w:rPr>
      </w:pPr>
      <w:r>
        <w:rPr>
          <w:spacing w:val="12"/>
          <w:sz w:val="19"/>
          <w:szCs w:val="19"/>
        </w:rPr>
        <w:t>(2)内容要求。具体包括：</w:t>
      </w:r>
    </w:p>
    <w:p w14:paraId="49825101">
      <w:pPr>
        <w:pStyle w:val="2"/>
        <w:spacing w:before="95" w:line="219" w:lineRule="auto"/>
        <w:ind w:left="400"/>
        <w:rPr>
          <w:sz w:val="19"/>
          <w:szCs w:val="19"/>
        </w:rPr>
      </w:pPr>
      <w:r>
        <w:rPr>
          <w:spacing w:val="11"/>
          <w:sz w:val="19"/>
          <w:szCs w:val="19"/>
        </w:rPr>
        <w:t>●端子的编号和说明。</w:t>
      </w:r>
    </w:p>
    <w:p w14:paraId="1CF797F6">
      <w:pPr>
        <w:pStyle w:val="2"/>
        <w:spacing w:before="94" w:line="219" w:lineRule="auto"/>
        <w:ind w:left="400"/>
        <w:rPr>
          <w:sz w:val="19"/>
          <w:szCs w:val="19"/>
        </w:rPr>
      </w:pPr>
      <w:r>
        <w:rPr>
          <w:spacing w:val="11"/>
          <w:sz w:val="19"/>
          <w:szCs w:val="19"/>
        </w:rPr>
        <w:t>●接线与端子编号的对应关系。</w:t>
      </w:r>
    </w:p>
    <w:p w14:paraId="789BF07B">
      <w:pPr>
        <w:pStyle w:val="2"/>
        <w:spacing w:before="106" w:line="220" w:lineRule="auto"/>
        <w:ind w:left="400"/>
        <w:rPr>
          <w:sz w:val="19"/>
          <w:szCs w:val="19"/>
        </w:rPr>
      </w:pPr>
      <w:r>
        <w:rPr>
          <w:spacing w:val="13"/>
          <w:sz w:val="19"/>
          <w:szCs w:val="19"/>
        </w:rPr>
        <w:t>●其他必要的描述。</w:t>
      </w:r>
    </w:p>
    <w:p w14:paraId="127894D3">
      <w:pPr>
        <w:spacing w:before="168" w:line="223" w:lineRule="auto"/>
        <w:ind w:left="400"/>
        <w:rPr>
          <w:rFonts w:ascii="楷体" w:hAnsi="楷体" w:eastAsia="楷体" w:cs="楷体"/>
          <w:sz w:val="19"/>
          <w:szCs w:val="19"/>
        </w:rPr>
      </w:pPr>
      <w:r>
        <w:rPr>
          <w:rFonts w:ascii="楷体" w:hAnsi="楷体" w:eastAsia="楷体" w:cs="楷体"/>
          <w:spacing w:val="21"/>
          <w:sz w:val="19"/>
          <w:szCs w:val="19"/>
        </w:rPr>
        <w:t>7)系统验收细则</w:t>
      </w:r>
    </w:p>
    <w:p w14:paraId="04736F37">
      <w:pPr>
        <w:pStyle w:val="2"/>
        <w:spacing w:before="75" w:line="219" w:lineRule="auto"/>
        <w:ind w:left="400"/>
        <w:rPr>
          <w:sz w:val="19"/>
          <w:szCs w:val="19"/>
        </w:rPr>
      </w:pPr>
      <w:r>
        <w:rPr>
          <w:spacing w:val="18"/>
          <w:sz w:val="19"/>
          <w:szCs w:val="19"/>
        </w:rPr>
        <w:t>(1)说明。</w:t>
      </w:r>
    </w:p>
    <w:p w14:paraId="76F1BB43">
      <w:pPr>
        <w:pStyle w:val="2"/>
        <w:spacing w:before="95" w:line="219" w:lineRule="auto"/>
        <w:ind w:left="400"/>
        <w:rPr>
          <w:sz w:val="19"/>
          <w:szCs w:val="19"/>
        </w:rPr>
      </w:pPr>
      <w:r>
        <w:rPr>
          <w:spacing w:val="9"/>
          <w:sz w:val="19"/>
          <w:szCs w:val="19"/>
        </w:rPr>
        <w:t>系统验收细则是对系统各项配置、功能和性能</w:t>
      </w:r>
      <w:r>
        <w:rPr>
          <w:spacing w:val="8"/>
          <w:sz w:val="19"/>
          <w:szCs w:val="19"/>
        </w:rPr>
        <w:t>等指标进行测试的详细内容。</w:t>
      </w:r>
    </w:p>
    <w:p w14:paraId="433B3D44">
      <w:pPr>
        <w:pStyle w:val="2"/>
        <w:spacing w:before="84" w:line="219" w:lineRule="auto"/>
        <w:ind w:left="400"/>
        <w:rPr>
          <w:sz w:val="19"/>
          <w:szCs w:val="19"/>
        </w:rPr>
      </w:pPr>
      <w:r>
        <w:rPr>
          <w:spacing w:val="10"/>
          <w:sz w:val="19"/>
          <w:szCs w:val="19"/>
        </w:rPr>
        <w:t>(2)内容要求。具体包括：</w:t>
      </w:r>
    </w:p>
    <w:p w14:paraId="02EFDE89">
      <w:pPr>
        <w:pStyle w:val="2"/>
        <w:spacing w:before="75" w:line="219" w:lineRule="auto"/>
        <w:ind w:left="400"/>
        <w:rPr>
          <w:sz w:val="19"/>
          <w:szCs w:val="19"/>
        </w:rPr>
      </w:pPr>
      <w:r>
        <w:rPr>
          <w:spacing w:val="11"/>
          <w:sz w:val="19"/>
          <w:szCs w:val="19"/>
        </w:rPr>
        <w:t>●配置测试：硬件配置测试、硬件外观检查、软件配置测试。</w:t>
      </w:r>
    </w:p>
    <w:p w14:paraId="35D693CD">
      <w:pPr>
        <w:pStyle w:val="2"/>
        <w:spacing w:before="96" w:line="221" w:lineRule="auto"/>
        <w:ind w:left="400"/>
        <w:rPr>
          <w:sz w:val="19"/>
          <w:szCs w:val="19"/>
        </w:rPr>
      </w:pPr>
      <w:r>
        <w:rPr>
          <w:spacing w:val="9"/>
          <w:sz w:val="19"/>
          <w:szCs w:val="19"/>
        </w:rPr>
        <w:t>●</w:t>
      </w:r>
      <w:r>
        <w:rPr>
          <w:spacing w:val="-56"/>
          <w:sz w:val="19"/>
          <w:szCs w:val="19"/>
        </w:rPr>
        <w:t xml:space="preserve"> </w:t>
      </w:r>
      <w:r>
        <w:rPr>
          <w:spacing w:val="9"/>
          <w:sz w:val="19"/>
          <w:szCs w:val="19"/>
        </w:rPr>
        <w:t>功能测试。</w:t>
      </w:r>
    </w:p>
    <w:p w14:paraId="2594271C">
      <w:pPr>
        <w:pStyle w:val="2"/>
        <w:spacing w:before="102" w:line="221" w:lineRule="auto"/>
        <w:ind w:left="400"/>
        <w:rPr>
          <w:sz w:val="19"/>
          <w:szCs w:val="19"/>
        </w:rPr>
      </w:pPr>
      <w:r>
        <w:rPr>
          <w:spacing w:val="9"/>
          <w:sz w:val="19"/>
          <w:szCs w:val="19"/>
        </w:rPr>
        <w:t>●</w:t>
      </w:r>
      <w:r>
        <w:rPr>
          <w:spacing w:val="-56"/>
          <w:sz w:val="19"/>
          <w:szCs w:val="19"/>
        </w:rPr>
        <w:t xml:space="preserve"> </w:t>
      </w:r>
      <w:r>
        <w:rPr>
          <w:spacing w:val="9"/>
          <w:sz w:val="19"/>
          <w:szCs w:val="19"/>
        </w:rPr>
        <w:t>性能测试。</w:t>
      </w:r>
    </w:p>
    <w:p w14:paraId="1A8ACF2B">
      <w:pPr>
        <w:pStyle w:val="2"/>
        <w:spacing w:before="82" w:line="220" w:lineRule="auto"/>
        <w:ind w:left="400"/>
        <w:rPr>
          <w:sz w:val="19"/>
          <w:szCs w:val="19"/>
        </w:rPr>
      </w:pPr>
      <w:r>
        <w:rPr>
          <w:spacing w:val="13"/>
          <w:sz w:val="19"/>
          <w:szCs w:val="19"/>
        </w:rPr>
        <w:t>●其他必要的测试。</w:t>
      </w:r>
    </w:p>
    <w:p w14:paraId="5669F435">
      <w:pPr>
        <w:spacing w:before="169" w:line="223" w:lineRule="auto"/>
        <w:ind w:left="400"/>
        <w:rPr>
          <w:rFonts w:ascii="楷体" w:hAnsi="楷体" w:eastAsia="楷体" w:cs="楷体"/>
          <w:sz w:val="19"/>
          <w:szCs w:val="19"/>
        </w:rPr>
      </w:pPr>
      <w:r>
        <w:rPr>
          <w:rFonts w:ascii="楷体" w:hAnsi="楷体" w:eastAsia="楷体" w:cs="楷体"/>
          <w:spacing w:val="18"/>
          <w:sz w:val="19"/>
          <w:szCs w:val="19"/>
        </w:rPr>
        <w:t>8)实施管理文件</w:t>
      </w:r>
    </w:p>
    <w:p w14:paraId="35A6670C">
      <w:pPr>
        <w:pStyle w:val="2"/>
        <w:spacing w:before="75" w:line="219" w:lineRule="auto"/>
        <w:ind w:left="400"/>
        <w:rPr>
          <w:sz w:val="19"/>
          <w:szCs w:val="19"/>
        </w:rPr>
      </w:pPr>
      <w:r>
        <w:rPr>
          <w:spacing w:val="18"/>
          <w:sz w:val="19"/>
          <w:szCs w:val="19"/>
        </w:rPr>
        <w:t>(1)说明。</w:t>
      </w:r>
    </w:p>
    <w:p w14:paraId="391E356D">
      <w:pPr>
        <w:pStyle w:val="2"/>
        <w:spacing w:before="74" w:line="319" w:lineRule="auto"/>
        <w:ind w:right="248" w:firstLine="400"/>
        <w:rPr>
          <w:sz w:val="16"/>
          <w:szCs w:val="16"/>
        </w:rPr>
      </w:pPr>
      <w:r>
        <w:rPr>
          <w:spacing w:val="13"/>
          <w:sz w:val="19"/>
          <w:szCs w:val="19"/>
        </w:rPr>
        <w:t>实施管理文件是在系统实施阶段所产生的各类管理文件，它是实施管理流程和管理记录的</w:t>
      </w:r>
      <w:r>
        <w:rPr>
          <w:spacing w:val="6"/>
          <w:sz w:val="19"/>
          <w:szCs w:val="19"/>
        </w:rPr>
        <w:t xml:space="preserve"> </w:t>
      </w:r>
      <w:r>
        <w:rPr>
          <w:spacing w:val="-5"/>
          <w:sz w:val="16"/>
          <w:szCs w:val="16"/>
        </w:rPr>
        <w:t>文</w:t>
      </w:r>
      <w:r>
        <w:rPr>
          <w:spacing w:val="-13"/>
          <w:sz w:val="16"/>
          <w:szCs w:val="16"/>
        </w:rPr>
        <w:t xml:space="preserve"> </w:t>
      </w:r>
      <w:r>
        <w:rPr>
          <w:spacing w:val="-5"/>
          <w:sz w:val="16"/>
          <w:szCs w:val="16"/>
        </w:rPr>
        <w:t>档</w:t>
      </w:r>
      <w:r>
        <w:rPr>
          <w:spacing w:val="-20"/>
          <w:sz w:val="16"/>
          <w:szCs w:val="16"/>
        </w:rPr>
        <w:t xml:space="preserve"> </w:t>
      </w:r>
      <w:r>
        <w:rPr>
          <w:spacing w:val="-5"/>
          <w:sz w:val="16"/>
          <w:szCs w:val="16"/>
        </w:rPr>
        <w:t>。</w:t>
      </w:r>
    </w:p>
    <w:p w14:paraId="26FD958B">
      <w:pPr>
        <w:pStyle w:val="2"/>
        <w:spacing w:before="26" w:line="219" w:lineRule="auto"/>
        <w:ind w:left="400"/>
        <w:rPr>
          <w:sz w:val="19"/>
          <w:szCs w:val="19"/>
        </w:rPr>
      </w:pPr>
      <w:r>
        <w:rPr>
          <w:spacing w:val="10"/>
          <w:sz w:val="19"/>
          <w:szCs w:val="19"/>
        </w:rPr>
        <w:t>(2)内容要求。具体包括：</w:t>
      </w:r>
    </w:p>
    <w:p w14:paraId="4046B148">
      <w:pPr>
        <w:pStyle w:val="2"/>
        <w:spacing w:before="73" w:line="219" w:lineRule="auto"/>
        <w:ind w:left="400"/>
        <w:rPr>
          <w:sz w:val="19"/>
          <w:szCs w:val="19"/>
        </w:rPr>
      </w:pPr>
      <w:r>
        <w:rPr>
          <w:spacing w:val="11"/>
          <w:sz w:val="19"/>
          <w:szCs w:val="19"/>
        </w:rPr>
        <w:t>●现场管理机构和人员；</w:t>
      </w:r>
    </w:p>
    <w:p w14:paraId="680F2C93">
      <w:pPr>
        <w:pStyle w:val="2"/>
        <w:spacing w:before="96" w:line="219" w:lineRule="auto"/>
        <w:ind w:left="400"/>
        <w:rPr>
          <w:sz w:val="19"/>
          <w:szCs w:val="19"/>
        </w:rPr>
      </w:pPr>
      <w:r>
        <w:rPr>
          <w:spacing w:val="10"/>
          <w:sz w:val="19"/>
          <w:szCs w:val="19"/>
        </w:rPr>
        <w:t>●系统总体和各子系统实施形象进度表；</w:t>
      </w:r>
    </w:p>
    <w:p w14:paraId="50BCEC47">
      <w:pPr>
        <w:pStyle w:val="2"/>
        <w:spacing w:before="94" w:line="219" w:lineRule="auto"/>
        <w:ind w:left="400"/>
        <w:rPr>
          <w:sz w:val="19"/>
          <w:szCs w:val="19"/>
        </w:rPr>
      </w:pPr>
      <w:r>
        <w:rPr>
          <w:spacing w:val="11"/>
          <w:sz w:val="19"/>
          <w:szCs w:val="19"/>
        </w:rPr>
        <w:t>●工程进度控制文件；</w:t>
      </w:r>
    </w:p>
    <w:p w14:paraId="5CED81FB">
      <w:pPr>
        <w:pStyle w:val="2"/>
        <w:spacing w:before="85" w:line="219" w:lineRule="auto"/>
        <w:ind w:left="400"/>
        <w:rPr>
          <w:sz w:val="19"/>
          <w:szCs w:val="19"/>
        </w:rPr>
      </w:pPr>
      <w:r>
        <w:rPr>
          <w:spacing w:val="11"/>
          <w:sz w:val="19"/>
          <w:szCs w:val="19"/>
        </w:rPr>
        <w:t>●工程质量管理文件；</w:t>
      </w:r>
    </w:p>
    <w:p w14:paraId="4E641CBD">
      <w:pPr>
        <w:pStyle w:val="2"/>
        <w:spacing w:before="95" w:line="219" w:lineRule="auto"/>
        <w:ind w:left="400"/>
        <w:rPr>
          <w:sz w:val="19"/>
          <w:szCs w:val="19"/>
        </w:rPr>
      </w:pPr>
      <w:r>
        <w:rPr>
          <w:spacing w:val="14"/>
          <w:sz w:val="19"/>
          <w:szCs w:val="19"/>
        </w:rPr>
        <w:t>●实施流程和方法文件；</w:t>
      </w:r>
    </w:p>
    <w:p w14:paraId="0C388056">
      <w:pPr>
        <w:spacing w:line="219" w:lineRule="auto"/>
        <w:rPr>
          <w:sz w:val="19"/>
          <w:szCs w:val="19"/>
        </w:rPr>
        <w:sectPr>
          <w:pgSz w:w="10280" w:h="13270"/>
          <w:pgMar w:top="350" w:right="566" w:bottom="400" w:left="1139" w:header="0" w:footer="0" w:gutter="0"/>
          <w:cols w:space="720" w:num="1"/>
        </w:sectPr>
      </w:pPr>
    </w:p>
    <w:p w14:paraId="56063176">
      <w:pPr>
        <w:pStyle w:val="2"/>
        <w:spacing w:before="87" w:line="219" w:lineRule="auto"/>
        <w:rPr>
          <w:sz w:val="19"/>
          <w:szCs w:val="19"/>
        </w:rPr>
      </w:pPr>
      <w:bookmarkStart w:id="664" w:name="bookmark649"/>
      <w:bookmarkEnd w:id="664"/>
      <w:r>
        <w:rPr>
          <w:rFonts w:ascii="Times New Roman" w:hAnsi="Times New Roman" w:eastAsia="Times New Roman" w:cs="Times New Roman"/>
          <w:spacing w:val="4"/>
          <w:position w:val="2"/>
          <w:sz w:val="17"/>
          <w:szCs w:val="17"/>
        </w:rPr>
        <w:t xml:space="preserve">350                </w:t>
      </w:r>
      <w:r>
        <w:rPr>
          <w:spacing w:val="4"/>
          <w:sz w:val="19"/>
          <w:szCs w:val="19"/>
        </w:rPr>
        <w:t>信息</w:t>
      </w:r>
      <w:r>
        <w:rPr>
          <w:spacing w:val="3"/>
          <w:sz w:val="19"/>
          <w:szCs w:val="19"/>
        </w:rPr>
        <w:t>系统监理师教程(第2版)</w:t>
      </w:r>
    </w:p>
    <w:p w14:paraId="71D8EDB8">
      <w:pPr>
        <w:spacing w:line="340" w:lineRule="auto"/>
        <w:rPr>
          <w:rFonts w:ascii="Arial"/>
          <w:sz w:val="21"/>
        </w:rPr>
      </w:pPr>
    </w:p>
    <w:p w14:paraId="08D89C91">
      <w:pPr>
        <w:pStyle w:val="2"/>
        <w:spacing w:before="62" w:line="219" w:lineRule="auto"/>
        <w:ind w:left="739"/>
        <w:rPr>
          <w:sz w:val="19"/>
          <w:szCs w:val="19"/>
        </w:rPr>
      </w:pPr>
      <w:r>
        <w:rPr>
          <w:spacing w:val="10"/>
          <w:sz w:val="19"/>
          <w:szCs w:val="19"/>
        </w:rPr>
        <w:t>●实施质量记录文件；</w:t>
      </w:r>
    </w:p>
    <w:p w14:paraId="2D2AC3AB">
      <w:pPr>
        <w:pStyle w:val="2"/>
        <w:spacing w:before="94" w:line="219" w:lineRule="auto"/>
        <w:ind w:left="739"/>
        <w:rPr>
          <w:sz w:val="19"/>
          <w:szCs w:val="19"/>
        </w:rPr>
      </w:pPr>
      <w:r>
        <w:rPr>
          <w:spacing w:val="10"/>
          <w:sz w:val="19"/>
          <w:szCs w:val="19"/>
        </w:rPr>
        <w:t>●技术文档管理文件；</w:t>
      </w:r>
    </w:p>
    <w:p w14:paraId="7942B265">
      <w:pPr>
        <w:pStyle w:val="2"/>
        <w:spacing w:before="104" w:line="219" w:lineRule="auto"/>
        <w:ind w:left="739"/>
        <w:rPr>
          <w:sz w:val="19"/>
          <w:szCs w:val="19"/>
        </w:rPr>
      </w:pPr>
      <w:r>
        <w:rPr>
          <w:spacing w:val="10"/>
          <w:sz w:val="19"/>
          <w:szCs w:val="19"/>
        </w:rPr>
        <w:t>●现场设备检验和保护记录；</w:t>
      </w:r>
    </w:p>
    <w:p w14:paraId="41346284">
      <w:pPr>
        <w:pStyle w:val="2"/>
        <w:spacing w:before="105" w:line="219" w:lineRule="auto"/>
        <w:ind w:left="739"/>
        <w:rPr>
          <w:sz w:val="19"/>
          <w:szCs w:val="19"/>
        </w:rPr>
      </w:pPr>
      <w:r>
        <w:rPr>
          <w:spacing w:val="10"/>
          <w:sz w:val="19"/>
          <w:szCs w:val="19"/>
        </w:rPr>
        <w:t>●现场管理和控制的各类表格；</w:t>
      </w:r>
    </w:p>
    <w:p w14:paraId="4E50BD45">
      <w:pPr>
        <w:pStyle w:val="2"/>
        <w:spacing w:before="94" w:line="219" w:lineRule="auto"/>
        <w:ind w:left="739"/>
        <w:rPr>
          <w:sz w:val="19"/>
          <w:szCs w:val="19"/>
        </w:rPr>
      </w:pPr>
      <w:r>
        <w:rPr>
          <w:spacing w:val="12"/>
          <w:sz w:val="19"/>
          <w:szCs w:val="19"/>
        </w:rPr>
        <w:t>●其他有关管理文件。</w:t>
      </w:r>
    </w:p>
    <w:p w14:paraId="344D4E2B">
      <w:pPr>
        <w:spacing w:before="195" w:line="227" w:lineRule="auto"/>
        <w:ind w:left="739"/>
        <w:rPr>
          <w:rFonts w:ascii="楷体" w:hAnsi="楷体" w:eastAsia="楷体" w:cs="楷体"/>
          <w:sz w:val="19"/>
          <w:szCs w:val="19"/>
        </w:rPr>
      </w:pPr>
      <w:r>
        <w:rPr>
          <w:rFonts w:ascii="楷体" w:hAnsi="楷体" w:eastAsia="楷体" w:cs="楷体"/>
          <w:spacing w:val="19"/>
          <w:sz w:val="19"/>
          <w:szCs w:val="19"/>
        </w:rPr>
        <w:t>9)设计变更文件</w:t>
      </w:r>
    </w:p>
    <w:p w14:paraId="2E58EB55">
      <w:pPr>
        <w:pStyle w:val="2"/>
        <w:spacing w:before="76" w:line="219" w:lineRule="auto"/>
        <w:ind w:left="739"/>
        <w:rPr>
          <w:sz w:val="19"/>
          <w:szCs w:val="19"/>
        </w:rPr>
      </w:pPr>
      <w:r>
        <w:rPr>
          <w:spacing w:val="19"/>
          <w:sz w:val="19"/>
          <w:szCs w:val="19"/>
        </w:rPr>
        <w:t>(1)说明。</w:t>
      </w:r>
    </w:p>
    <w:p w14:paraId="31D3B2D5">
      <w:pPr>
        <w:pStyle w:val="2"/>
        <w:spacing w:before="95" w:line="219" w:lineRule="auto"/>
        <w:jc w:val="right"/>
        <w:rPr>
          <w:sz w:val="19"/>
          <w:szCs w:val="19"/>
        </w:rPr>
      </w:pPr>
      <w:r>
        <w:rPr>
          <w:spacing w:val="9"/>
          <w:sz w:val="19"/>
          <w:szCs w:val="19"/>
        </w:rPr>
        <w:t>设计变更文件是在工程实施中根据业主单位要</w:t>
      </w:r>
      <w:r>
        <w:rPr>
          <w:spacing w:val="8"/>
          <w:sz w:val="19"/>
          <w:szCs w:val="19"/>
        </w:rPr>
        <w:t>求或有关情况对设计变更的说明和记录。</w:t>
      </w:r>
    </w:p>
    <w:p w14:paraId="444AA844">
      <w:pPr>
        <w:pStyle w:val="2"/>
        <w:spacing w:before="85" w:line="219" w:lineRule="auto"/>
        <w:ind w:left="739"/>
        <w:rPr>
          <w:sz w:val="19"/>
          <w:szCs w:val="19"/>
        </w:rPr>
      </w:pPr>
      <w:r>
        <w:rPr>
          <w:spacing w:val="12"/>
          <w:sz w:val="19"/>
          <w:szCs w:val="19"/>
        </w:rPr>
        <w:t>(2)内容要求。具体包括：</w:t>
      </w:r>
    </w:p>
    <w:p w14:paraId="2CEDBB0A">
      <w:pPr>
        <w:pStyle w:val="2"/>
        <w:spacing w:before="95" w:line="221" w:lineRule="auto"/>
        <w:ind w:left="739"/>
        <w:rPr>
          <w:sz w:val="19"/>
          <w:szCs w:val="19"/>
        </w:rPr>
      </w:pPr>
      <w:r>
        <w:rPr>
          <w:spacing w:val="7"/>
          <w:sz w:val="19"/>
          <w:szCs w:val="19"/>
        </w:rPr>
        <w:t>●</w:t>
      </w:r>
      <w:r>
        <w:rPr>
          <w:spacing w:val="-54"/>
          <w:sz w:val="19"/>
          <w:szCs w:val="19"/>
        </w:rPr>
        <w:t xml:space="preserve"> </w:t>
      </w:r>
      <w:r>
        <w:rPr>
          <w:spacing w:val="7"/>
          <w:sz w:val="19"/>
          <w:szCs w:val="19"/>
        </w:rPr>
        <w:t>变更原因；</w:t>
      </w:r>
    </w:p>
    <w:p w14:paraId="76CEDF19">
      <w:pPr>
        <w:pStyle w:val="2"/>
        <w:spacing w:before="102" w:line="219" w:lineRule="auto"/>
        <w:ind w:left="739"/>
        <w:rPr>
          <w:sz w:val="19"/>
          <w:szCs w:val="19"/>
        </w:rPr>
      </w:pPr>
      <w:r>
        <w:rPr>
          <w:spacing w:val="10"/>
          <w:sz w:val="19"/>
          <w:szCs w:val="19"/>
        </w:rPr>
        <w:t>●变更详细设计和说明；</w:t>
      </w:r>
    </w:p>
    <w:p w14:paraId="09BA7CC1">
      <w:pPr>
        <w:pStyle w:val="2"/>
        <w:spacing w:before="94" w:line="219" w:lineRule="auto"/>
        <w:ind w:left="739"/>
        <w:rPr>
          <w:sz w:val="19"/>
          <w:szCs w:val="19"/>
        </w:rPr>
      </w:pPr>
      <w:r>
        <w:rPr>
          <w:spacing w:val="9"/>
          <w:sz w:val="19"/>
          <w:szCs w:val="19"/>
        </w:rPr>
        <w:t>●变更偏差表，用以说明变更后系统的功能和性能；</w:t>
      </w:r>
    </w:p>
    <w:p w14:paraId="07A439C4">
      <w:pPr>
        <w:pStyle w:val="2"/>
        <w:spacing w:before="95" w:line="219" w:lineRule="auto"/>
        <w:ind w:left="739"/>
        <w:rPr>
          <w:sz w:val="19"/>
          <w:szCs w:val="19"/>
        </w:rPr>
      </w:pPr>
      <w:r>
        <w:rPr>
          <w:spacing w:val="12"/>
          <w:sz w:val="19"/>
          <w:szCs w:val="19"/>
        </w:rPr>
        <w:t>●其他必要的设计变更说明。</w:t>
      </w:r>
    </w:p>
    <w:p w14:paraId="6987FC1E">
      <w:pPr>
        <w:spacing w:before="180" w:line="223" w:lineRule="auto"/>
        <w:ind w:left="739"/>
        <w:rPr>
          <w:rFonts w:ascii="楷体" w:hAnsi="楷体" w:eastAsia="楷体" w:cs="楷体"/>
          <w:sz w:val="19"/>
          <w:szCs w:val="19"/>
        </w:rPr>
      </w:pPr>
      <w:r>
        <w:rPr>
          <w:rFonts w:ascii="楷体" w:hAnsi="楷体" w:eastAsia="楷体" w:cs="楷体"/>
          <w:spacing w:val="14"/>
          <w:sz w:val="19"/>
          <w:szCs w:val="19"/>
        </w:rPr>
        <w:t>10)系统调试分析报告</w:t>
      </w:r>
    </w:p>
    <w:p w14:paraId="21C888F7">
      <w:pPr>
        <w:pStyle w:val="2"/>
        <w:spacing w:before="75" w:line="219" w:lineRule="auto"/>
        <w:ind w:left="739"/>
        <w:rPr>
          <w:sz w:val="19"/>
          <w:szCs w:val="19"/>
        </w:rPr>
      </w:pPr>
      <w:r>
        <w:rPr>
          <w:spacing w:val="19"/>
          <w:sz w:val="19"/>
          <w:szCs w:val="19"/>
        </w:rPr>
        <w:t>(1)说明。</w:t>
      </w:r>
    </w:p>
    <w:p w14:paraId="6D40293C">
      <w:pPr>
        <w:pStyle w:val="2"/>
        <w:spacing w:before="105" w:line="219" w:lineRule="auto"/>
        <w:ind w:left="739"/>
        <w:rPr>
          <w:sz w:val="19"/>
          <w:szCs w:val="19"/>
        </w:rPr>
      </w:pPr>
      <w:r>
        <w:rPr>
          <w:spacing w:val="8"/>
          <w:sz w:val="19"/>
          <w:szCs w:val="19"/>
        </w:rPr>
        <w:t>系统调试文件是系统进行调试的内容方法和结果的文件。</w:t>
      </w:r>
    </w:p>
    <w:p w14:paraId="40646C12">
      <w:pPr>
        <w:pStyle w:val="2"/>
        <w:spacing w:before="84" w:line="219" w:lineRule="auto"/>
        <w:ind w:left="739"/>
        <w:rPr>
          <w:sz w:val="19"/>
          <w:szCs w:val="19"/>
        </w:rPr>
      </w:pPr>
      <w:r>
        <w:rPr>
          <w:spacing w:val="12"/>
          <w:sz w:val="19"/>
          <w:szCs w:val="19"/>
        </w:rPr>
        <w:t>(2)内容要求。具体包括：</w:t>
      </w:r>
    </w:p>
    <w:p w14:paraId="128E1FC2">
      <w:pPr>
        <w:pStyle w:val="2"/>
        <w:spacing w:before="85" w:line="219" w:lineRule="auto"/>
        <w:ind w:left="739"/>
        <w:rPr>
          <w:sz w:val="19"/>
          <w:szCs w:val="19"/>
        </w:rPr>
      </w:pPr>
      <w:r>
        <w:rPr>
          <w:spacing w:val="9"/>
          <w:sz w:val="19"/>
          <w:szCs w:val="19"/>
        </w:rPr>
        <w:t>●</w:t>
      </w:r>
      <w:r>
        <w:rPr>
          <w:spacing w:val="-53"/>
          <w:sz w:val="19"/>
          <w:szCs w:val="19"/>
        </w:rPr>
        <w:t xml:space="preserve"> </w:t>
      </w:r>
      <w:r>
        <w:rPr>
          <w:spacing w:val="9"/>
          <w:sz w:val="19"/>
          <w:szCs w:val="19"/>
        </w:rPr>
        <w:t>系统调试说明；</w:t>
      </w:r>
    </w:p>
    <w:p w14:paraId="0DB6D705">
      <w:pPr>
        <w:pStyle w:val="2"/>
        <w:spacing w:before="93" w:line="219" w:lineRule="auto"/>
        <w:ind w:left="739"/>
        <w:rPr>
          <w:sz w:val="19"/>
          <w:szCs w:val="19"/>
        </w:rPr>
      </w:pPr>
      <w:r>
        <w:rPr>
          <w:spacing w:val="10"/>
          <w:sz w:val="19"/>
          <w:szCs w:val="19"/>
        </w:rPr>
        <w:t>●系统调试依据和标准；</w:t>
      </w:r>
    </w:p>
    <w:p w14:paraId="194FC8BC">
      <w:pPr>
        <w:pStyle w:val="2"/>
        <w:spacing w:before="106" w:line="219" w:lineRule="auto"/>
        <w:ind w:left="739"/>
        <w:rPr>
          <w:sz w:val="19"/>
          <w:szCs w:val="19"/>
        </w:rPr>
      </w:pPr>
      <w:r>
        <w:rPr>
          <w:spacing w:val="10"/>
          <w:sz w:val="19"/>
          <w:szCs w:val="19"/>
        </w:rPr>
        <w:t>●系统调试内容、调试方法和结果记录；</w:t>
      </w:r>
    </w:p>
    <w:p w14:paraId="0089F2A4">
      <w:pPr>
        <w:pStyle w:val="2"/>
        <w:spacing w:before="95" w:line="219" w:lineRule="auto"/>
        <w:ind w:left="739"/>
        <w:rPr>
          <w:sz w:val="19"/>
          <w:szCs w:val="19"/>
        </w:rPr>
      </w:pPr>
      <w:r>
        <w:rPr>
          <w:spacing w:val="10"/>
          <w:sz w:val="19"/>
          <w:szCs w:val="19"/>
        </w:rPr>
        <w:t>●系统之间联调内容、联调方法和结果记录；</w:t>
      </w:r>
    </w:p>
    <w:p w14:paraId="66183A1D">
      <w:pPr>
        <w:pStyle w:val="2"/>
        <w:spacing w:before="95" w:line="221" w:lineRule="auto"/>
        <w:ind w:left="739"/>
        <w:rPr>
          <w:sz w:val="19"/>
          <w:szCs w:val="19"/>
        </w:rPr>
      </w:pPr>
      <w:r>
        <w:rPr>
          <w:spacing w:val="10"/>
          <w:sz w:val="19"/>
          <w:szCs w:val="19"/>
        </w:rPr>
        <w:t>●</w:t>
      </w:r>
      <w:r>
        <w:rPr>
          <w:spacing w:val="-52"/>
          <w:sz w:val="19"/>
          <w:szCs w:val="19"/>
        </w:rPr>
        <w:t xml:space="preserve"> </w:t>
      </w:r>
      <w:r>
        <w:rPr>
          <w:spacing w:val="10"/>
          <w:sz w:val="19"/>
          <w:szCs w:val="19"/>
        </w:rPr>
        <w:t>调试结论；</w:t>
      </w:r>
    </w:p>
    <w:p w14:paraId="706BEB95">
      <w:pPr>
        <w:pStyle w:val="2"/>
        <w:spacing w:before="102" w:line="219" w:lineRule="auto"/>
        <w:ind w:left="739"/>
        <w:rPr>
          <w:sz w:val="19"/>
          <w:szCs w:val="19"/>
        </w:rPr>
      </w:pPr>
      <w:r>
        <w:rPr>
          <w:spacing w:val="9"/>
          <w:sz w:val="19"/>
          <w:szCs w:val="19"/>
        </w:rPr>
        <w:t>●</w:t>
      </w:r>
      <w:r>
        <w:rPr>
          <w:spacing w:val="-54"/>
          <w:sz w:val="19"/>
          <w:szCs w:val="19"/>
        </w:rPr>
        <w:t xml:space="preserve"> </w:t>
      </w:r>
      <w:r>
        <w:rPr>
          <w:spacing w:val="9"/>
          <w:sz w:val="19"/>
          <w:szCs w:val="19"/>
        </w:rPr>
        <w:t>调试组签字；</w:t>
      </w:r>
    </w:p>
    <w:p w14:paraId="7D86AB3C">
      <w:pPr>
        <w:pStyle w:val="2"/>
        <w:spacing w:before="85" w:line="219" w:lineRule="auto"/>
        <w:ind w:left="739"/>
        <w:rPr>
          <w:sz w:val="19"/>
          <w:szCs w:val="19"/>
        </w:rPr>
      </w:pPr>
      <w:r>
        <w:rPr>
          <w:spacing w:val="12"/>
          <w:sz w:val="19"/>
          <w:szCs w:val="19"/>
        </w:rPr>
        <w:t>●其他必要的系统调试说明。</w:t>
      </w:r>
    </w:p>
    <w:p w14:paraId="0189A1B5">
      <w:pPr>
        <w:pStyle w:val="2"/>
        <w:spacing w:before="174" w:line="219" w:lineRule="auto"/>
        <w:ind w:left="739"/>
        <w:rPr>
          <w:sz w:val="19"/>
          <w:szCs w:val="19"/>
        </w:rPr>
      </w:pPr>
      <w:r>
        <w:rPr>
          <w:spacing w:val="17"/>
          <w:sz w:val="19"/>
          <w:szCs w:val="19"/>
        </w:rPr>
        <w:t>11)系统培训文件</w:t>
      </w:r>
    </w:p>
    <w:p w14:paraId="1727B1D9">
      <w:pPr>
        <w:pStyle w:val="2"/>
        <w:spacing w:before="95" w:line="219" w:lineRule="auto"/>
        <w:ind w:left="739"/>
        <w:rPr>
          <w:sz w:val="19"/>
          <w:szCs w:val="19"/>
        </w:rPr>
      </w:pPr>
      <w:r>
        <w:rPr>
          <w:spacing w:val="19"/>
          <w:sz w:val="19"/>
          <w:szCs w:val="19"/>
        </w:rPr>
        <w:t>(1)说明。</w:t>
      </w:r>
    </w:p>
    <w:p w14:paraId="5C088A22">
      <w:pPr>
        <w:pStyle w:val="2"/>
        <w:spacing w:before="94" w:line="219" w:lineRule="auto"/>
        <w:ind w:left="739"/>
        <w:rPr>
          <w:sz w:val="19"/>
          <w:szCs w:val="19"/>
        </w:rPr>
      </w:pPr>
      <w:r>
        <w:rPr>
          <w:spacing w:val="7"/>
          <w:sz w:val="19"/>
          <w:szCs w:val="19"/>
        </w:rPr>
        <w:t>系统培训文件是对系统操作和管理人员进行培训的文字资料。</w:t>
      </w:r>
    </w:p>
    <w:p w14:paraId="18297007">
      <w:pPr>
        <w:pStyle w:val="2"/>
        <w:spacing w:before="85" w:line="219" w:lineRule="auto"/>
        <w:ind w:left="739"/>
        <w:rPr>
          <w:sz w:val="19"/>
          <w:szCs w:val="19"/>
        </w:rPr>
      </w:pPr>
      <w:r>
        <w:rPr>
          <w:spacing w:val="12"/>
          <w:sz w:val="19"/>
          <w:szCs w:val="19"/>
        </w:rPr>
        <w:t>(2)内容要求。具体包括：</w:t>
      </w:r>
    </w:p>
    <w:p w14:paraId="0E2F795F">
      <w:pPr>
        <w:pStyle w:val="2"/>
        <w:spacing w:before="75" w:line="220" w:lineRule="auto"/>
        <w:ind w:left="739"/>
        <w:rPr>
          <w:sz w:val="19"/>
          <w:szCs w:val="19"/>
        </w:rPr>
      </w:pPr>
      <w:r>
        <w:rPr>
          <w:spacing w:val="9"/>
          <w:sz w:val="19"/>
          <w:szCs w:val="19"/>
        </w:rPr>
        <w:t>●</w:t>
      </w:r>
      <w:r>
        <w:rPr>
          <w:spacing w:val="-53"/>
          <w:sz w:val="19"/>
          <w:szCs w:val="19"/>
        </w:rPr>
        <w:t xml:space="preserve"> </w:t>
      </w:r>
      <w:r>
        <w:rPr>
          <w:spacing w:val="9"/>
          <w:sz w:val="19"/>
          <w:szCs w:val="19"/>
        </w:rPr>
        <w:t>系统培训大纲；</w:t>
      </w:r>
    </w:p>
    <w:p w14:paraId="76C05059">
      <w:pPr>
        <w:pStyle w:val="2"/>
        <w:spacing w:before="93" w:line="219" w:lineRule="auto"/>
        <w:ind w:left="739"/>
        <w:rPr>
          <w:sz w:val="19"/>
          <w:szCs w:val="19"/>
        </w:rPr>
      </w:pPr>
      <w:r>
        <w:rPr>
          <w:spacing w:val="10"/>
          <w:sz w:val="19"/>
          <w:szCs w:val="19"/>
        </w:rPr>
        <w:t>●系统设备、设计文件和图纸等资料；</w:t>
      </w:r>
    </w:p>
    <w:p w14:paraId="74980E98">
      <w:pPr>
        <w:pStyle w:val="2"/>
        <w:spacing w:before="95" w:line="219" w:lineRule="auto"/>
        <w:ind w:left="739"/>
        <w:rPr>
          <w:sz w:val="19"/>
          <w:szCs w:val="19"/>
        </w:rPr>
      </w:pPr>
      <w:r>
        <w:rPr>
          <w:spacing w:val="9"/>
          <w:sz w:val="19"/>
          <w:szCs w:val="19"/>
        </w:rPr>
        <w:t>●</w:t>
      </w:r>
      <w:r>
        <w:rPr>
          <w:spacing w:val="-53"/>
          <w:sz w:val="19"/>
          <w:szCs w:val="19"/>
        </w:rPr>
        <w:t xml:space="preserve"> </w:t>
      </w:r>
      <w:r>
        <w:rPr>
          <w:spacing w:val="9"/>
          <w:sz w:val="19"/>
          <w:szCs w:val="19"/>
        </w:rPr>
        <w:t>系统日常操作；</w:t>
      </w:r>
    </w:p>
    <w:p w14:paraId="69EC9538">
      <w:pPr>
        <w:pStyle w:val="2"/>
        <w:spacing w:before="95" w:line="220" w:lineRule="auto"/>
        <w:ind w:left="739"/>
        <w:rPr>
          <w:sz w:val="19"/>
          <w:szCs w:val="19"/>
        </w:rPr>
      </w:pPr>
      <w:r>
        <w:rPr>
          <w:spacing w:val="9"/>
          <w:sz w:val="19"/>
          <w:szCs w:val="19"/>
        </w:rPr>
        <w:t>●</w:t>
      </w:r>
      <w:r>
        <w:rPr>
          <w:spacing w:val="-53"/>
          <w:sz w:val="19"/>
          <w:szCs w:val="19"/>
        </w:rPr>
        <w:t xml:space="preserve"> </w:t>
      </w:r>
      <w:r>
        <w:rPr>
          <w:spacing w:val="9"/>
          <w:sz w:val="19"/>
          <w:szCs w:val="19"/>
        </w:rPr>
        <w:t>系统例行维护；</w:t>
      </w:r>
    </w:p>
    <w:p w14:paraId="79BB05E4">
      <w:pPr>
        <w:pStyle w:val="2"/>
        <w:spacing w:before="83" w:line="219" w:lineRule="auto"/>
        <w:ind w:left="739"/>
        <w:rPr>
          <w:sz w:val="19"/>
          <w:szCs w:val="19"/>
        </w:rPr>
      </w:pPr>
      <w:r>
        <w:rPr>
          <w:spacing w:val="10"/>
          <w:sz w:val="19"/>
          <w:szCs w:val="19"/>
        </w:rPr>
        <w:t>●</w:t>
      </w:r>
      <w:r>
        <w:rPr>
          <w:spacing w:val="-61"/>
          <w:sz w:val="19"/>
          <w:szCs w:val="19"/>
        </w:rPr>
        <w:t xml:space="preserve"> </w:t>
      </w:r>
      <w:r>
        <w:rPr>
          <w:spacing w:val="10"/>
          <w:sz w:val="19"/>
          <w:szCs w:val="19"/>
        </w:rPr>
        <w:t>系统故障处理。</w:t>
      </w:r>
    </w:p>
    <w:p w14:paraId="13B4E33B">
      <w:pPr>
        <w:spacing w:before="170" w:line="223" w:lineRule="auto"/>
        <w:ind w:left="739"/>
        <w:rPr>
          <w:rFonts w:ascii="楷体" w:hAnsi="楷体" w:eastAsia="楷体" w:cs="楷体"/>
          <w:sz w:val="19"/>
          <w:szCs w:val="19"/>
        </w:rPr>
      </w:pPr>
      <w:r>
        <w:rPr>
          <w:rFonts w:ascii="楷体" w:hAnsi="楷体" w:eastAsia="楷体" w:cs="楷体"/>
          <w:spacing w:val="14"/>
          <w:sz w:val="19"/>
          <w:szCs w:val="19"/>
        </w:rPr>
        <w:t>12)系统初步验收报告</w:t>
      </w:r>
    </w:p>
    <w:p w14:paraId="6A579143">
      <w:pPr>
        <w:spacing w:line="223" w:lineRule="auto"/>
        <w:rPr>
          <w:rFonts w:ascii="楷体" w:hAnsi="楷体" w:eastAsia="楷体" w:cs="楷体"/>
          <w:sz w:val="19"/>
          <w:szCs w:val="19"/>
        </w:rPr>
        <w:sectPr>
          <w:footerReference r:id="rId7" w:type="default"/>
          <w:pgSz w:w="10300" w:h="13360"/>
          <w:pgMar w:top="400" w:right="1484" w:bottom="1083" w:left="530" w:header="0" w:footer="856" w:gutter="0"/>
          <w:cols w:space="720" w:num="1"/>
        </w:sectPr>
      </w:pPr>
    </w:p>
    <w:p w14:paraId="665328B2">
      <w:pPr>
        <w:pStyle w:val="2"/>
        <w:spacing w:before="96" w:line="219" w:lineRule="auto"/>
        <w:ind w:left="6210"/>
        <w:rPr>
          <w:sz w:val="19"/>
          <w:szCs w:val="19"/>
        </w:rPr>
      </w:pPr>
      <w:bookmarkStart w:id="665" w:name="bookmark650"/>
      <w:bookmarkEnd w:id="665"/>
      <w:r>
        <w:rPr>
          <w:spacing w:val="8"/>
          <w:sz w:val="19"/>
          <w:szCs w:val="19"/>
        </w:rPr>
        <w:t>第14章</w:t>
      </w:r>
      <w:r>
        <w:rPr>
          <w:spacing w:val="36"/>
          <w:sz w:val="19"/>
          <w:szCs w:val="19"/>
        </w:rPr>
        <w:t xml:space="preserve"> </w:t>
      </w:r>
      <w:r>
        <w:rPr>
          <w:spacing w:val="8"/>
          <w:sz w:val="19"/>
          <w:szCs w:val="19"/>
        </w:rPr>
        <w:t>信息管理</w:t>
      </w:r>
    </w:p>
    <w:p w14:paraId="0451B6CC">
      <w:pPr>
        <w:spacing w:line="18" w:lineRule="exact"/>
      </w:pPr>
    </w:p>
    <w:p w14:paraId="0B8BE24B">
      <w:pPr>
        <w:spacing w:line="14" w:lineRule="auto"/>
        <w:rPr>
          <w:rFonts w:ascii="Arial"/>
          <w:sz w:val="2"/>
        </w:rPr>
      </w:pPr>
      <w:r>
        <w:rPr>
          <w:rFonts w:ascii="Arial" w:hAnsi="Arial" w:eastAsia="Arial" w:cs="Arial"/>
          <w:sz w:val="2"/>
          <w:szCs w:val="2"/>
        </w:rPr>
        <w:br w:type="column"/>
      </w:r>
    </w:p>
    <w:p w14:paraId="7E706D8F">
      <w:pPr>
        <w:spacing w:before="130" w:line="188" w:lineRule="auto"/>
        <w:ind w:left="2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351</w:t>
      </w:r>
    </w:p>
    <w:p w14:paraId="6278DEAB">
      <w:pPr>
        <w:spacing w:line="188" w:lineRule="auto"/>
        <w:rPr>
          <w:rFonts w:ascii="Times New Roman" w:hAnsi="Times New Roman" w:eastAsia="Times New Roman" w:cs="Times New Roman"/>
          <w:sz w:val="17"/>
          <w:szCs w:val="17"/>
        </w:rPr>
        <w:sectPr>
          <w:footerReference r:id="rId8" w:type="default"/>
          <w:pgSz w:w="10290" w:h="13280"/>
          <w:pgMar w:top="400" w:right="149" w:bottom="400" w:left="1090" w:header="0" w:footer="0" w:gutter="0"/>
          <w:cols w:equalWidth="0" w:num="2">
            <w:col w:w="8330" w:space="0"/>
            <w:col w:w="720"/>
          </w:cols>
        </w:sectPr>
      </w:pPr>
    </w:p>
    <w:p w14:paraId="265C5930">
      <w:pPr>
        <w:spacing w:line="292" w:lineRule="auto"/>
        <w:rPr>
          <w:rFonts w:ascii="Arial"/>
          <w:sz w:val="21"/>
        </w:rPr>
      </w:pPr>
      <w:r>
        <w:drawing>
          <wp:anchor distT="0" distB="0" distL="0" distR="0" simplePos="0" relativeHeight="251767808" behindDoc="0" locked="0" layoutInCell="1" allowOverlap="1">
            <wp:simplePos x="0" y="0"/>
            <wp:positionH relativeFrom="column">
              <wp:posOffset>5009515</wp:posOffset>
            </wp:positionH>
            <wp:positionV relativeFrom="paragraph">
              <wp:posOffset>-203200</wp:posOffset>
            </wp:positionV>
            <wp:extent cx="279400" cy="20320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218"/>
                    <a:stretch>
                      <a:fillRect/>
                    </a:stretch>
                  </pic:blipFill>
                  <pic:spPr>
                    <a:xfrm>
                      <a:off x="0" y="0"/>
                      <a:ext cx="279400" cy="203146"/>
                    </a:xfrm>
                    <a:prstGeom prst="rect">
                      <a:avLst/>
                    </a:prstGeom>
                  </pic:spPr>
                </pic:pic>
              </a:graphicData>
            </a:graphic>
          </wp:anchor>
        </w:drawing>
      </w:r>
    </w:p>
    <w:p w14:paraId="21743365">
      <w:pPr>
        <w:pStyle w:val="2"/>
        <w:spacing w:before="62" w:line="329" w:lineRule="auto"/>
        <w:ind w:right="751" w:firstLine="399"/>
        <w:rPr>
          <w:sz w:val="17"/>
          <w:szCs w:val="17"/>
        </w:rPr>
      </w:pPr>
      <w:r>
        <w:rPr>
          <w:spacing w:val="13"/>
          <w:sz w:val="19"/>
          <w:szCs w:val="19"/>
        </w:rPr>
        <w:t>系统初步验收报告是系统实施结束后，试运</w:t>
      </w:r>
      <w:r>
        <w:rPr>
          <w:spacing w:val="12"/>
          <w:sz w:val="19"/>
          <w:szCs w:val="19"/>
        </w:rPr>
        <w:t>行前的系统初步验收的内容、方法和结果的记</w:t>
      </w:r>
      <w:r>
        <w:rPr>
          <w:sz w:val="19"/>
          <w:szCs w:val="19"/>
        </w:rPr>
        <w:t xml:space="preserve"> </w:t>
      </w:r>
      <w:r>
        <w:rPr>
          <w:spacing w:val="21"/>
          <w:sz w:val="17"/>
          <w:szCs w:val="17"/>
        </w:rPr>
        <w:t>录文件。</w:t>
      </w:r>
    </w:p>
    <w:p w14:paraId="48083D71">
      <w:pPr>
        <w:pStyle w:val="2"/>
        <w:spacing w:line="219" w:lineRule="auto"/>
        <w:ind w:left="399"/>
        <w:rPr>
          <w:sz w:val="19"/>
          <w:szCs w:val="19"/>
        </w:rPr>
      </w:pPr>
      <w:r>
        <w:rPr>
          <w:spacing w:val="11"/>
          <w:sz w:val="19"/>
          <w:szCs w:val="19"/>
        </w:rPr>
        <w:t>(2)内容要求。具体包括：</w:t>
      </w:r>
    </w:p>
    <w:p w14:paraId="0EC01F13">
      <w:pPr>
        <w:pStyle w:val="2"/>
        <w:spacing w:before="84" w:line="219" w:lineRule="auto"/>
        <w:ind w:left="399"/>
        <w:rPr>
          <w:sz w:val="19"/>
          <w:szCs w:val="19"/>
        </w:rPr>
      </w:pPr>
      <w:r>
        <w:rPr>
          <w:spacing w:val="11"/>
          <w:sz w:val="19"/>
          <w:szCs w:val="19"/>
        </w:rPr>
        <w:t>●系统初步验收大纲；</w:t>
      </w:r>
    </w:p>
    <w:p w14:paraId="6CD7B08C">
      <w:pPr>
        <w:pStyle w:val="2"/>
        <w:spacing w:before="103" w:line="219" w:lineRule="auto"/>
        <w:ind w:left="399"/>
        <w:rPr>
          <w:sz w:val="19"/>
          <w:szCs w:val="19"/>
        </w:rPr>
      </w:pPr>
      <w:r>
        <w:rPr>
          <w:spacing w:val="10"/>
          <w:sz w:val="19"/>
          <w:szCs w:val="19"/>
        </w:rPr>
        <w:t>●系统初步验收依据和标准；</w:t>
      </w:r>
    </w:p>
    <w:p w14:paraId="32DC6F6D">
      <w:pPr>
        <w:pStyle w:val="2"/>
        <w:spacing w:before="96" w:line="219" w:lineRule="auto"/>
        <w:ind w:left="399"/>
        <w:rPr>
          <w:sz w:val="19"/>
          <w:szCs w:val="19"/>
        </w:rPr>
      </w:pPr>
      <w:r>
        <w:rPr>
          <w:spacing w:val="10"/>
          <w:sz w:val="19"/>
          <w:szCs w:val="19"/>
        </w:rPr>
        <w:t>●系统初步验收内容、方法和记录；</w:t>
      </w:r>
    </w:p>
    <w:p w14:paraId="5F9CEEC6">
      <w:pPr>
        <w:pStyle w:val="2"/>
        <w:spacing w:before="94" w:line="219" w:lineRule="auto"/>
        <w:ind w:left="399"/>
        <w:rPr>
          <w:sz w:val="19"/>
          <w:szCs w:val="19"/>
        </w:rPr>
      </w:pPr>
      <w:r>
        <w:rPr>
          <w:spacing w:val="10"/>
          <w:sz w:val="19"/>
          <w:szCs w:val="19"/>
        </w:rPr>
        <w:t>●系统配置验收、系统功能验收；</w:t>
      </w:r>
    </w:p>
    <w:p w14:paraId="4EE89A2E">
      <w:pPr>
        <w:pStyle w:val="2"/>
        <w:spacing w:before="95" w:line="219" w:lineRule="auto"/>
        <w:ind w:left="399"/>
        <w:rPr>
          <w:sz w:val="19"/>
          <w:szCs w:val="19"/>
        </w:rPr>
      </w:pPr>
      <w:r>
        <w:rPr>
          <w:spacing w:val="6"/>
          <w:sz w:val="19"/>
          <w:szCs w:val="19"/>
        </w:rPr>
        <w:t>●</w:t>
      </w:r>
      <w:r>
        <w:rPr>
          <w:spacing w:val="-58"/>
          <w:sz w:val="19"/>
          <w:szCs w:val="19"/>
        </w:rPr>
        <w:t xml:space="preserve"> </w:t>
      </w:r>
      <w:r>
        <w:rPr>
          <w:spacing w:val="6"/>
          <w:sz w:val="19"/>
          <w:szCs w:val="19"/>
        </w:rPr>
        <w:t>验收结论；</w:t>
      </w:r>
    </w:p>
    <w:p w14:paraId="3D4671ED">
      <w:pPr>
        <w:pStyle w:val="2"/>
        <w:spacing w:before="104" w:line="219" w:lineRule="auto"/>
        <w:ind w:left="399"/>
        <w:rPr>
          <w:sz w:val="19"/>
          <w:szCs w:val="19"/>
        </w:rPr>
      </w:pPr>
      <w:r>
        <w:rPr>
          <w:spacing w:val="7"/>
          <w:sz w:val="19"/>
          <w:szCs w:val="19"/>
        </w:rPr>
        <w:t>●</w:t>
      </w:r>
      <w:r>
        <w:rPr>
          <w:spacing w:val="-60"/>
          <w:sz w:val="19"/>
          <w:szCs w:val="19"/>
        </w:rPr>
        <w:t xml:space="preserve"> </w:t>
      </w:r>
      <w:r>
        <w:rPr>
          <w:spacing w:val="7"/>
          <w:sz w:val="19"/>
          <w:szCs w:val="19"/>
        </w:rPr>
        <w:t>验收组签字；</w:t>
      </w:r>
    </w:p>
    <w:p w14:paraId="00B19FAF">
      <w:pPr>
        <w:pStyle w:val="2"/>
        <w:spacing w:before="105" w:line="219" w:lineRule="auto"/>
        <w:ind w:left="399"/>
        <w:rPr>
          <w:sz w:val="19"/>
          <w:szCs w:val="19"/>
        </w:rPr>
      </w:pPr>
      <w:r>
        <w:rPr>
          <w:spacing w:val="12"/>
          <w:sz w:val="19"/>
          <w:szCs w:val="19"/>
        </w:rPr>
        <w:t>●其他必要的验收说明。</w:t>
      </w:r>
    </w:p>
    <w:p w14:paraId="5AABED17">
      <w:pPr>
        <w:pStyle w:val="2"/>
        <w:spacing w:before="175" w:line="219" w:lineRule="auto"/>
        <w:ind w:left="399"/>
        <w:rPr>
          <w:sz w:val="19"/>
          <w:szCs w:val="19"/>
        </w:rPr>
      </w:pPr>
      <w:r>
        <w:rPr>
          <w:spacing w:val="14"/>
          <w:sz w:val="19"/>
          <w:szCs w:val="19"/>
        </w:rPr>
        <w:t>13)系统移交清单和文件</w:t>
      </w:r>
    </w:p>
    <w:p w14:paraId="7480377B">
      <w:pPr>
        <w:pStyle w:val="2"/>
        <w:spacing w:before="94" w:line="219" w:lineRule="auto"/>
        <w:ind w:left="399"/>
        <w:rPr>
          <w:sz w:val="19"/>
          <w:szCs w:val="19"/>
        </w:rPr>
      </w:pPr>
      <w:r>
        <w:rPr>
          <w:spacing w:val="16"/>
          <w:sz w:val="19"/>
          <w:szCs w:val="19"/>
        </w:rPr>
        <w:t>(1)说明。</w:t>
      </w:r>
    </w:p>
    <w:p w14:paraId="52813EBF">
      <w:pPr>
        <w:pStyle w:val="2"/>
        <w:spacing w:before="84" w:line="219" w:lineRule="auto"/>
        <w:ind w:left="399"/>
        <w:rPr>
          <w:sz w:val="19"/>
          <w:szCs w:val="19"/>
        </w:rPr>
      </w:pPr>
      <w:r>
        <w:rPr>
          <w:spacing w:val="8"/>
          <w:sz w:val="19"/>
          <w:szCs w:val="19"/>
        </w:rPr>
        <w:t>系统移交清单和文件是系统移交时，必须提供的移交清单和清单中所列的所有文件和资料。</w:t>
      </w:r>
    </w:p>
    <w:p w14:paraId="40EE5701">
      <w:pPr>
        <w:pStyle w:val="2"/>
        <w:spacing w:before="96" w:line="219" w:lineRule="auto"/>
        <w:ind w:left="399"/>
        <w:rPr>
          <w:sz w:val="19"/>
          <w:szCs w:val="19"/>
        </w:rPr>
      </w:pPr>
      <w:r>
        <w:rPr>
          <w:spacing w:val="11"/>
          <w:sz w:val="19"/>
          <w:szCs w:val="19"/>
        </w:rPr>
        <w:t>(2)内容要求。具体包括：</w:t>
      </w:r>
    </w:p>
    <w:p w14:paraId="70DC4E27">
      <w:pPr>
        <w:pStyle w:val="2"/>
        <w:spacing w:before="84" w:line="219" w:lineRule="auto"/>
        <w:ind w:left="399"/>
        <w:rPr>
          <w:sz w:val="19"/>
          <w:szCs w:val="19"/>
        </w:rPr>
      </w:pPr>
      <w:r>
        <w:rPr>
          <w:spacing w:val="10"/>
          <w:sz w:val="19"/>
          <w:szCs w:val="19"/>
        </w:rPr>
        <w:t>●全套工程图纸和有关文件资料；</w:t>
      </w:r>
    </w:p>
    <w:p w14:paraId="231FC8E9">
      <w:pPr>
        <w:pStyle w:val="2"/>
        <w:spacing w:before="95" w:line="220" w:lineRule="auto"/>
        <w:ind w:left="399"/>
        <w:rPr>
          <w:sz w:val="19"/>
          <w:szCs w:val="19"/>
        </w:rPr>
      </w:pPr>
      <w:r>
        <w:rPr>
          <w:spacing w:val="11"/>
          <w:sz w:val="19"/>
          <w:szCs w:val="19"/>
        </w:rPr>
        <w:t>●系统用户手册；</w:t>
      </w:r>
    </w:p>
    <w:p w14:paraId="551868FB">
      <w:pPr>
        <w:pStyle w:val="2"/>
        <w:spacing w:before="103" w:line="219" w:lineRule="auto"/>
        <w:ind w:left="399"/>
        <w:rPr>
          <w:sz w:val="19"/>
          <w:szCs w:val="19"/>
        </w:rPr>
      </w:pPr>
      <w:r>
        <w:rPr>
          <w:spacing w:val="11"/>
          <w:sz w:val="19"/>
          <w:szCs w:val="19"/>
        </w:rPr>
        <w:t>●系统操作手册；</w:t>
      </w:r>
    </w:p>
    <w:p w14:paraId="1A9837D8">
      <w:pPr>
        <w:pStyle w:val="2"/>
        <w:spacing w:before="94" w:line="219" w:lineRule="auto"/>
        <w:ind w:left="399"/>
        <w:rPr>
          <w:sz w:val="19"/>
          <w:szCs w:val="19"/>
        </w:rPr>
      </w:pPr>
      <w:r>
        <w:rPr>
          <w:spacing w:val="9"/>
          <w:sz w:val="19"/>
          <w:szCs w:val="19"/>
        </w:rPr>
        <w:t>●</w:t>
      </w:r>
      <w:r>
        <w:rPr>
          <w:spacing w:val="-55"/>
          <w:sz w:val="19"/>
          <w:szCs w:val="19"/>
        </w:rPr>
        <w:t xml:space="preserve"> </w:t>
      </w:r>
      <w:r>
        <w:rPr>
          <w:spacing w:val="9"/>
          <w:sz w:val="19"/>
          <w:szCs w:val="19"/>
        </w:rPr>
        <w:t>产品说明书；</w:t>
      </w:r>
    </w:p>
    <w:p w14:paraId="4D41B418">
      <w:pPr>
        <w:pStyle w:val="2"/>
        <w:spacing w:before="96" w:line="219" w:lineRule="auto"/>
        <w:ind w:left="399"/>
        <w:rPr>
          <w:sz w:val="19"/>
          <w:szCs w:val="19"/>
        </w:rPr>
      </w:pPr>
      <w:r>
        <w:rPr>
          <w:spacing w:val="12"/>
          <w:sz w:val="19"/>
          <w:szCs w:val="19"/>
        </w:rPr>
        <w:t>●系统保修和维护文件；</w:t>
      </w:r>
    </w:p>
    <w:p w14:paraId="2B671876">
      <w:pPr>
        <w:pStyle w:val="2"/>
        <w:spacing w:before="104" w:line="219" w:lineRule="auto"/>
        <w:ind w:left="399"/>
        <w:rPr>
          <w:sz w:val="19"/>
          <w:szCs w:val="19"/>
        </w:rPr>
      </w:pPr>
      <w:r>
        <w:rPr>
          <w:spacing w:val="12"/>
          <w:sz w:val="19"/>
          <w:szCs w:val="19"/>
        </w:rPr>
        <w:t>●其他必要移交的有关文件。</w:t>
      </w:r>
    </w:p>
    <w:p w14:paraId="514F5C55">
      <w:pPr>
        <w:spacing w:before="160" w:line="223" w:lineRule="auto"/>
        <w:ind w:left="399"/>
        <w:rPr>
          <w:rFonts w:ascii="楷体" w:hAnsi="楷体" w:eastAsia="楷体" w:cs="楷体"/>
          <w:sz w:val="19"/>
          <w:szCs w:val="19"/>
        </w:rPr>
      </w:pPr>
      <w:r>
        <w:rPr>
          <w:rFonts w:ascii="楷体" w:hAnsi="楷体" w:eastAsia="楷体" w:cs="楷体"/>
          <w:spacing w:val="15"/>
          <w:sz w:val="19"/>
          <w:szCs w:val="19"/>
        </w:rPr>
        <w:t>14)系统验收报告</w:t>
      </w:r>
    </w:p>
    <w:p w14:paraId="66CE0410">
      <w:pPr>
        <w:pStyle w:val="2"/>
        <w:spacing w:before="85" w:line="219" w:lineRule="auto"/>
        <w:ind w:left="399"/>
        <w:rPr>
          <w:sz w:val="19"/>
          <w:szCs w:val="19"/>
        </w:rPr>
      </w:pPr>
      <w:r>
        <w:rPr>
          <w:spacing w:val="16"/>
          <w:sz w:val="19"/>
          <w:szCs w:val="19"/>
        </w:rPr>
        <w:t>(1)说明。</w:t>
      </w:r>
    </w:p>
    <w:p w14:paraId="0ED3F5EB">
      <w:pPr>
        <w:pStyle w:val="2"/>
        <w:spacing w:before="94" w:line="279" w:lineRule="auto"/>
        <w:ind w:right="714" w:firstLine="399"/>
        <w:rPr>
          <w:sz w:val="19"/>
          <w:szCs w:val="19"/>
        </w:rPr>
      </w:pPr>
      <w:r>
        <w:rPr>
          <w:spacing w:val="13"/>
          <w:sz w:val="19"/>
          <w:szCs w:val="19"/>
        </w:rPr>
        <w:t>系统验收报告是系统在初验和试运行的基础上，进行系统投入正式运行前的最终验收的内</w:t>
      </w:r>
      <w:r>
        <w:rPr>
          <w:spacing w:val="18"/>
          <w:sz w:val="19"/>
          <w:szCs w:val="19"/>
        </w:rPr>
        <w:t xml:space="preserve"> </w:t>
      </w:r>
      <w:r>
        <w:rPr>
          <w:spacing w:val="6"/>
          <w:sz w:val="19"/>
          <w:szCs w:val="19"/>
        </w:rPr>
        <w:t>容、方法和结果的记录文件。</w:t>
      </w:r>
    </w:p>
    <w:p w14:paraId="6F3AB6A9">
      <w:pPr>
        <w:pStyle w:val="2"/>
        <w:spacing w:before="37" w:line="219" w:lineRule="auto"/>
        <w:ind w:left="399"/>
        <w:rPr>
          <w:sz w:val="19"/>
          <w:szCs w:val="19"/>
        </w:rPr>
      </w:pPr>
      <w:r>
        <w:rPr>
          <w:spacing w:val="11"/>
          <w:sz w:val="19"/>
          <w:szCs w:val="19"/>
        </w:rPr>
        <w:t>(2)内容要求。具体包括：</w:t>
      </w:r>
    </w:p>
    <w:p w14:paraId="408D2557">
      <w:pPr>
        <w:pStyle w:val="2"/>
        <w:spacing w:before="84" w:line="219" w:lineRule="auto"/>
        <w:ind w:left="399"/>
        <w:rPr>
          <w:sz w:val="19"/>
          <w:szCs w:val="19"/>
        </w:rPr>
      </w:pPr>
      <w:r>
        <w:rPr>
          <w:spacing w:val="12"/>
          <w:sz w:val="19"/>
          <w:szCs w:val="19"/>
        </w:rPr>
        <w:t>●系统验收大纲和说明；</w:t>
      </w:r>
    </w:p>
    <w:p w14:paraId="03211537">
      <w:pPr>
        <w:pStyle w:val="2"/>
        <w:spacing w:before="95" w:line="219" w:lineRule="auto"/>
        <w:ind w:left="399"/>
        <w:rPr>
          <w:sz w:val="19"/>
          <w:szCs w:val="19"/>
        </w:rPr>
      </w:pPr>
      <w:r>
        <w:rPr>
          <w:spacing w:val="16"/>
          <w:sz w:val="19"/>
          <w:szCs w:val="19"/>
        </w:rPr>
        <w:t>●系统试运行记录(包括系统变更和修改记录);</w:t>
      </w:r>
    </w:p>
    <w:p w14:paraId="21D97BE4">
      <w:pPr>
        <w:pStyle w:val="2"/>
        <w:spacing w:before="93" w:line="219" w:lineRule="auto"/>
        <w:ind w:left="399"/>
        <w:rPr>
          <w:sz w:val="19"/>
          <w:szCs w:val="19"/>
        </w:rPr>
      </w:pPr>
      <w:r>
        <w:rPr>
          <w:spacing w:val="12"/>
          <w:sz w:val="19"/>
          <w:szCs w:val="19"/>
        </w:rPr>
        <w:t>●系统验收依据和标准；</w:t>
      </w:r>
    </w:p>
    <w:p w14:paraId="63AE3437">
      <w:pPr>
        <w:pStyle w:val="2"/>
        <w:spacing w:before="96" w:line="219" w:lineRule="auto"/>
        <w:ind w:left="399"/>
        <w:rPr>
          <w:sz w:val="19"/>
          <w:szCs w:val="19"/>
        </w:rPr>
      </w:pPr>
      <w:r>
        <w:rPr>
          <w:spacing w:val="11"/>
          <w:sz w:val="19"/>
          <w:szCs w:val="19"/>
        </w:rPr>
        <w:t>●系统验收内容、验收方法和验收记录：配置验收、功能验收、性能验收；</w:t>
      </w:r>
    </w:p>
    <w:p w14:paraId="5FB46052">
      <w:pPr>
        <w:pStyle w:val="2"/>
        <w:spacing w:before="85" w:line="219" w:lineRule="auto"/>
        <w:ind w:left="399"/>
        <w:rPr>
          <w:sz w:val="19"/>
          <w:szCs w:val="19"/>
        </w:rPr>
      </w:pPr>
      <w:r>
        <w:rPr>
          <w:spacing w:val="6"/>
          <w:sz w:val="19"/>
          <w:szCs w:val="19"/>
        </w:rPr>
        <w:t>●</w:t>
      </w:r>
      <w:r>
        <w:rPr>
          <w:spacing w:val="-58"/>
          <w:sz w:val="19"/>
          <w:szCs w:val="19"/>
        </w:rPr>
        <w:t xml:space="preserve"> </w:t>
      </w:r>
      <w:r>
        <w:rPr>
          <w:spacing w:val="6"/>
          <w:sz w:val="19"/>
          <w:szCs w:val="19"/>
        </w:rPr>
        <w:t>验收结论；</w:t>
      </w:r>
    </w:p>
    <w:p w14:paraId="3811A11B">
      <w:pPr>
        <w:pStyle w:val="2"/>
        <w:spacing w:before="84" w:line="219" w:lineRule="auto"/>
        <w:ind w:left="399"/>
        <w:rPr>
          <w:sz w:val="19"/>
          <w:szCs w:val="19"/>
        </w:rPr>
      </w:pPr>
      <w:r>
        <w:rPr>
          <w:spacing w:val="9"/>
          <w:sz w:val="19"/>
          <w:szCs w:val="19"/>
        </w:rPr>
        <w:t>●</w:t>
      </w:r>
      <w:r>
        <w:rPr>
          <w:spacing w:val="-55"/>
          <w:sz w:val="19"/>
          <w:szCs w:val="19"/>
        </w:rPr>
        <w:t xml:space="preserve"> </w:t>
      </w:r>
      <w:r>
        <w:rPr>
          <w:spacing w:val="9"/>
          <w:sz w:val="19"/>
          <w:szCs w:val="19"/>
        </w:rPr>
        <w:t>验收组签字；</w:t>
      </w:r>
    </w:p>
    <w:p w14:paraId="1DB65D25">
      <w:pPr>
        <w:pStyle w:val="2"/>
        <w:spacing w:before="105" w:line="219" w:lineRule="auto"/>
        <w:ind w:left="399"/>
        <w:rPr>
          <w:sz w:val="19"/>
          <w:szCs w:val="19"/>
        </w:rPr>
      </w:pPr>
      <w:r>
        <w:rPr>
          <w:spacing w:val="12"/>
          <w:sz w:val="19"/>
          <w:szCs w:val="19"/>
        </w:rPr>
        <w:t>●其他必要的验收说明。</w:t>
      </w:r>
    </w:p>
    <w:p w14:paraId="4E6F870C">
      <w:pPr>
        <w:spacing w:before="160" w:line="223" w:lineRule="auto"/>
        <w:ind w:left="399"/>
        <w:rPr>
          <w:rFonts w:ascii="楷体" w:hAnsi="楷体" w:eastAsia="楷体" w:cs="楷体"/>
          <w:sz w:val="19"/>
          <w:szCs w:val="19"/>
        </w:rPr>
      </w:pPr>
      <w:r>
        <w:rPr>
          <w:rFonts w:ascii="楷体" w:hAnsi="楷体" w:eastAsia="楷体" w:cs="楷体"/>
          <w:spacing w:val="15"/>
          <w:sz w:val="19"/>
          <w:szCs w:val="19"/>
        </w:rPr>
        <w:t>15)系统管理制度</w:t>
      </w:r>
    </w:p>
    <w:p w14:paraId="536C0D04">
      <w:pPr>
        <w:pStyle w:val="2"/>
        <w:spacing w:before="85" w:line="219" w:lineRule="auto"/>
        <w:ind w:left="399"/>
        <w:rPr>
          <w:sz w:val="19"/>
          <w:szCs w:val="19"/>
        </w:rPr>
      </w:pPr>
      <w:r>
        <w:rPr>
          <w:spacing w:val="16"/>
          <w:sz w:val="19"/>
          <w:szCs w:val="19"/>
        </w:rPr>
        <w:t>(1)说明。</w:t>
      </w:r>
    </w:p>
    <w:p w14:paraId="58B4DA5C">
      <w:pPr>
        <w:pStyle w:val="2"/>
        <w:spacing w:before="74" w:line="184" w:lineRule="auto"/>
        <w:ind w:left="399"/>
        <w:rPr>
          <w:sz w:val="19"/>
          <w:szCs w:val="19"/>
        </w:rPr>
      </w:pPr>
      <w:r>
        <w:rPr>
          <w:spacing w:val="7"/>
          <w:sz w:val="19"/>
          <w:szCs w:val="19"/>
        </w:rPr>
        <w:t>系统管理制度是系统日常维护和管理的规章制度。</w:t>
      </w:r>
    </w:p>
    <w:p w14:paraId="70CCB8D9">
      <w:pPr>
        <w:spacing w:line="184" w:lineRule="auto"/>
        <w:rPr>
          <w:sz w:val="19"/>
          <w:szCs w:val="19"/>
        </w:rPr>
        <w:sectPr>
          <w:type w:val="continuous"/>
          <w:pgSz w:w="10290" w:h="13280"/>
          <w:pgMar w:top="400" w:right="149" w:bottom="400" w:left="1090" w:header="0" w:footer="0" w:gutter="0"/>
          <w:cols w:equalWidth="0" w:num="1">
            <w:col w:w="9051"/>
          </w:cols>
        </w:sectPr>
      </w:pPr>
    </w:p>
    <w:p w14:paraId="28C99C84">
      <w:pPr>
        <w:pStyle w:val="2"/>
        <w:spacing w:before="97" w:line="219" w:lineRule="auto"/>
        <w:rPr>
          <w:sz w:val="19"/>
          <w:szCs w:val="19"/>
        </w:rPr>
      </w:pPr>
      <w:r>
        <w:rPr>
          <w:rFonts w:ascii="Times New Roman" w:hAnsi="Times New Roman" w:eastAsia="Times New Roman" w:cs="Times New Roman"/>
          <w:spacing w:val="3"/>
          <w:position w:val="1"/>
          <w:sz w:val="17"/>
          <w:szCs w:val="17"/>
        </w:rPr>
        <w:t xml:space="preserve">352                </w:t>
      </w:r>
      <w:r>
        <w:rPr>
          <w:spacing w:val="3"/>
          <w:sz w:val="19"/>
          <w:szCs w:val="19"/>
        </w:rPr>
        <w:t>信息系统监理师教程(第2版)</w:t>
      </w:r>
    </w:p>
    <w:p w14:paraId="5B52C551">
      <w:pPr>
        <w:spacing w:line="340" w:lineRule="auto"/>
        <w:rPr>
          <w:rFonts w:ascii="Arial"/>
          <w:sz w:val="21"/>
        </w:rPr>
      </w:pPr>
    </w:p>
    <w:p w14:paraId="41BEB19A">
      <w:pPr>
        <w:pStyle w:val="2"/>
        <w:spacing w:before="62" w:line="219" w:lineRule="auto"/>
        <w:ind w:left="760"/>
        <w:rPr>
          <w:sz w:val="19"/>
          <w:szCs w:val="19"/>
        </w:rPr>
      </w:pPr>
      <w:r>
        <w:rPr>
          <w:spacing w:val="10"/>
          <w:sz w:val="19"/>
          <w:szCs w:val="19"/>
        </w:rPr>
        <w:t>(2)内容要求。具体包括：</w:t>
      </w:r>
    </w:p>
    <w:p w14:paraId="06FC67AB">
      <w:pPr>
        <w:pStyle w:val="2"/>
        <w:spacing w:before="84" w:line="219" w:lineRule="auto"/>
        <w:ind w:left="760"/>
        <w:rPr>
          <w:sz w:val="19"/>
          <w:szCs w:val="19"/>
        </w:rPr>
      </w:pPr>
      <w:r>
        <w:rPr>
          <w:spacing w:val="9"/>
          <w:sz w:val="19"/>
          <w:szCs w:val="19"/>
        </w:rPr>
        <w:t>●系统设备文件和资料的管理规定；</w:t>
      </w:r>
    </w:p>
    <w:p w14:paraId="34473543">
      <w:pPr>
        <w:pStyle w:val="2"/>
        <w:spacing w:before="104" w:line="219" w:lineRule="auto"/>
        <w:ind w:left="760"/>
        <w:rPr>
          <w:sz w:val="19"/>
          <w:szCs w:val="19"/>
        </w:rPr>
      </w:pPr>
      <w:r>
        <w:rPr>
          <w:spacing w:val="10"/>
          <w:sz w:val="19"/>
          <w:szCs w:val="19"/>
        </w:rPr>
        <w:t>●系统日常操作规定；</w:t>
      </w:r>
    </w:p>
    <w:p w14:paraId="72AF5E42">
      <w:pPr>
        <w:pStyle w:val="2"/>
        <w:spacing w:before="95" w:line="220" w:lineRule="auto"/>
        <w:ind w:left="760"/>
        <w:rPr>
          <w:sz w:val="19"/>
          <w:szCs w:val="19"/>
        </w:rPr>
      </w:pPr>
      <w:r>
        <w:rPr>
          <w:spacing w:val="10"/>
          <w:sz w:val="19"/>
          <w:szCs w:val="19"/>
        </w:rPr>
        <w:t>●系统日常维护规定；</w:t>
      </w:r>
    </w:p>
    <w:p w14:paraId="63C492CC">
      <w:pPr>
        <w:pStyle w:val="2"/>
        <w:spacing w:before="103" w:line="219" w:lineRule="auto"/>
        <w:ind w:left="760"/>
        <w:rPr>
          <w:sz w:val="19"/>
          <w:szCs w:val="19"/>
        </w:rPr>
      </w:pPr>
      <w:r>
        <w:rPr>
          <w:spacing w:val="10"/>
          <w:sz w:val="19"/>
          <w:szCs w:val="19"/>
        </w:rPr>
        <w:t>●系统事故紧急处理程序；</w:t>
      </w:r>
    </w:p>
    <w:p w14:paraId="1E4CBD30">
      <w:pPr>
        <w:pStyle w:val="2"/>
        <w:spacing w:before="104" w:line="219" w:lineRule="auto"/>
        <w:ind w:left="760"/>
        <w:rPr>
          <w:sz w:val="19"/>
          <w:szCs w:val="19"/>
        </w:rPr>
      </w:pPr>
      <w:r>
        <w:rPr>
          <w:spacing w:val="9"/>
          <w:sz w:val="19"/>
          <w:szCs w:val="19"/>
        </w:rPr>
        <w:t>●内部机房出入、环境和设备使用等管理规定；</w:t>
      </w:r>
    </w:p>
    <w:p w14:paraId="004A04F9">
      <w:pPr>
        <w:pStyle w:val="2"/>
        <w:spacing w:before="94" w:line="219" w:lineRule="auto"/>
        <w:ind w:left="760"/>
        <w:rPr>
          <w:sz w:val="19"/>
          <w:szCs w:val="19"/>
        </w:rPr>
      </w:pPr>
      <w:r>
        <w:rPr>
          <w:spacing w:val="10"/>
          <w:sz w:val="19"/>
          <w:szCs w:val="19"/>
        </w:rPr>
        <w:t>●其他有关系统和机房管理规定。</w:t>
      </w:r>
    </w:p>
    <w:p w14:paraId="149E933B">
      <w:pPr>
        <w:spacing w:before="181" w:line="223" w:lineRule="auto"/>
        <w:ind w:left="760"/>
        <w:rPr>
          <w:rFonts w:ascii="楷体" w:hAnsi="楷体" w:eastAsia="楷体" w:cs="楷体"/>
          <w:sz w:val="19"/>
          <w:szCs w:val="19"/>
        </w:rPr>
      </w:pPr>
      <w:r>
        <w:rPr>
          <w:rFonts w:ascii="楷体" w:hAnsi="楷体" w:eastAsia="楷体" w:cs="楷体"/>
          <w:spacing w:val="16"/>
          <w:sz w:val="19"/>
          <w:szCs w:val="19"/>
        </w:rPr>
        <w:t>16)系统运行记录</w:t>
      </w:r>
    </w:p>
    <w:p w14:paraId="42E5630C">
      <w:pPr>
        <w:pStyle w:val="2"/>
        <w:spacing w:before="86" w:line="219" w:lineRule="auto"/>
        <w:ind w:left="760"/>
        <w:rPr>
          <w:sz w:val="19"/>
          <w:szCs w:val="19"/>
        </w:rPr>
      </w:pPr>
      <w:r>
        <w:rPr>
          <w:spacing w:val="21"/>
          <w:sz w:val="19"/>
          <w:szCs w:val="19"/>
        </w:rPr>
        <w:t>(1)说明。</w:t>
      </w:r>
    </w:p>
    <w:p w14:paraId="660DC332">
      <w:pPr>
        <w:pStyle w:val="2"/>
        <w:spacing w:before="103" w:line="219" w:lineRule="auto"/>
        <w:ind w:left="760"/>
        <w:rPr>
          <w:sz w:val="19"/>
          <w:szCs w:val="19"/>
        </w:rPr>
      </w:pPr>
      <w:r>
        <w:rPr>
          <w:spacing w:val="8"/>
          <w:sz w:val="19"/>
          <w:szCs w:val="19"/>
        </w:rPr>
        <w:t>系统运行记录是对系统运行所做的定制记录，以作为维护和保修的依据。</w:t>
      </w:r>
    </w:p>
    <w:p w14:paraId="682C3E76">
      <w:pPr>
        <w:pStyle w:val="2"/>
        <w:spacing w:before="86" w:line="219" w:lineRule="auto"/>
        <w:ind w:left="760"/>
        <w:rPr>
          <w:sz w:val="19"/>
          <w:szCs w:val="19"/>
        </w:rPr>
      </w:pPr>
      <w:r>
        <w:rPr>
          <w:spacing w:val="10"/>
          <w:sz w:val="19"/>
          <w:szCs w:val="19"/>
        </w:rPr>
        <w:t>(2)内容要求。具体包括：</w:t>
      </w:r>
    </w:p>
    <w:p w14:paraId="2CD2F680">
      <w:pPr>
        <w:pStyle w:val="2"/>
        <w:spacing w:before="85" w:line="219" w:lineRule="auto"/>
        <w:ind w:left="760"/>
        <w:rPr>
          <w:sz w:val="19"/>
          <w:szCs w:val="19"/>
        </w:rPr>
      </w:pPr>
      <w:r>
        <w:rPr>
          <w:spacing w:val="10"/>
          <w:sz w:val="19"/>
          <w:szCs w:val="19"/>
        </w:rPr>
        <w:t>●系统各类重要运行参数日常记录；</w:t>
      </w:r>
    </w:p>
    <w:p w14:paraId="6C89750B">
      <w:pPr>
        <w:pStyle w:val="2"/>
        <w:spacing w:before="104" w:line="219" w:lineRule="auto"/>
        <w:ind w:left="760"/>
        <w:rPr>
          <w:sz w:val="19"/>
          <w:szCs w:val="19"/>
        </w:rPr>
      </w:pPr>
      <w:r>
        <w:rPr>
          <w:spacing w:val="10"/>
          <w:sz w:val="19"/>
          <w:szCs w:val="19"/>
        </w:rPr>
        <w:t>●系统运行环境参数记录；</w:t>
      </w:r>
    </w:p>
    <w:p w14:paraId="0DA6F0A2">
      <w:pPr>
        <w:pStyle w:val="2"/>
        <w:spacing w:before="105" w:line="219" w:lineRule="auto"/>
        <w:ind w:left="760"/>
        <w:rPr>
          <w:sz w:val="19"/>
          <w:szCs w:val="19"/>
        </w:rPr>
      </w:pPr>
      <w:r>
        <w:rPr>
          <w:spacing w:val="11"/>
          <w:sz w:val="19"/>
          <w:szCs w:val="19"/>
        </w:rPr>
        <w:t>●系统异常记录；</w:t>
      </w:r>
    </w:p>
    <w:p w14:paraId="107A3B55">
      <w:pPr>
        <w:pStyle w:val="2"/>
        <w:spacing w:before="85" w:line="220" w:lineRule="auto"/>
        <w:ind w:left="760"/>
        <w:rPr>
          <w:sz w:val="19"/>
          <w:szCs w:val="19"/>
        </w:rPr>
      </w:pPr>
      <w:r>
        <w:rPr>
          <w:spacing w:val="12"/>
          <w:sz w:val="19"/>
          <w:szCs w:val="19"/>
        </w:rPr>
        <w:t>●其他必要的系统运行记录。</w:t>
      </w:r>
    </w:p>
    <w:p w14:paraId="1D0C1725">
      <w:pPr>
        <w:spacing w:before="178" w:line="223" w:lineRule="auto"/>
        <w:ind w:left="760"/>
        <w:rPr>
          <w:rFonts w:ascii="楷体" w:hAnsi="楷体" w:eastAsia="楷体" w:cs="楷体"/>
          <w:sz w:val="19"/>
          <w:szCs w:val="19"/>
        </w:rPr>
      </w:pPr>
      <w:r>
        <w:rPr>
          <w:rFonts w:ascii="楷体" w:hAnsi="楷体" w:eastAsia="楷体" w:cs="楷体"/>
          <w:spacing w:val="15"/>
          <w:sz w:val="19"/>
          <w:szCs w:val="19"/>
        </w:rPr>
        <w:t>17)系统维护保修记录</w:t>
      </w:r>
    </w:p>
    <w:p w14:paraId="556B9CD8">
      <w:pPr>
        <w:pStyle w:val="2"/>
        <w:spacing w:before="85" w:line="219" w:lineRule="auto"/>
        <w:ind w:left="760"/>
        <w:rPr>
          <w:sz w:val="19"/>
          <w:szCs w:val="19"/>
        </w:rPr>
      </w:pPr>
      <w:r>
        <w:rPr>
          <w:spacing w:val="16"/>
          <w:sz w:val="19"/>
          <w:szCs w:val="19"/>
        </w:rPr>
        <w:t>(1)说明。</w:t>
      </w:r>
    </w:p>
    <w:p w14:paraId="75528D32">
      <w:pPr>
        <w:pStyle w:val="2"/>
        <w:spacing w:before="94" w:line="219" w:lineRule="auto"/>
        <w:ind w:left="760"/>
        <w:rPr>
          <w:sz w:val="19"/>
          <w:szCs w:val="19"/>
        </w:rPr>
      </w:pPr>
      <w:r>
        <w:rPr>
          <w:spacing w:val="9"/>
          <w:sz w:val="19"/>
          <w:szCs w:val="19"/>
        </w:rPr>
        <w:t>系统维护保修记录是系统进行保修和维护时所做的记录，以作为系统保修和维护的依据。</w:t>
      </w:r>
    </w:p>
    <w:p w14:paraId="335CFF17">
      <w:pPr>
        <w:pStyle w:val="2"/>
        <w:spacing w:before="86" w:line="219" w:lineRule="auto"/>
        <w:ind w:left="760"/>
        <w:rPr>
          <w:sz w:val="19"/>
          <w:szCs w:val="19"/>
        </w:rPr>
      </w:pPr>
      <w:r>
        <w:rPr>
          <w:spacing w:val="10"/>
          <w:sz w:val="19"/>
          <w:szCs w:val="19"/>
        </w:rPr>
        <w:t>(2)内容要求。具体包括：</w:t>
      </w:r>
    </w:p>
    <w:p w14:paraId="54A441C0">
      <w:pPr>
        <w:pStyle w:val="2"/>
        <w:spacing w:before="84" w:line="219" w:lineRule="auto"/>
        <w:ind w:left="760"/>
        <w:rPr>
          <w:sz w:val="19"/>
          <w:szCs w:val="19"/>
        </w:rPr>
      </w:pPr>
      <w:r>
        <w:rPr>
          <w:spacing w:val="10"/>
          <w:sz w:val="19"/>
          <w:szCs w:val="19"/>
        </w:rPr>
        <w:t>●系统保修和维护计划；</w:t>
      </w:r>
    </w:p>
    <w:p w14:paraId="330ED2F1">
      <w:pPr>
        <w:pStyle w:val="2"/>
        <w:spacing w:before="95" w:line="219" w:lineRule="auto"/>
        <w:ind w:left="760"/>
        <w:rPr>
          <w:sz w:val="19"/>
          <w:szCs w:val="19"/>
        </w:rPr>
      </w:pPr>
      <w:r>
        <w:rPr>
          <w:spacing w:val="10"/>
          <w:sz w:val="19"/>
          <w:szCs w:val="19"/>
        </w:rPr>
        <w:t>●系统定期维护保修记录；</w:t>
      </w:r>
    </w:p>
    <w:p w14:paraId="3A277C08">
      <w:pPr>
        <w:pStyle w:val="2"/>
        <w:spacing w:before="95" w:line="219" w:lineRule="auto"/>
        <w:ind w:left="760"/>
        <w:rPr>
          <w:sz w:val="19"/>
          <w:szCs w:val="19"/>
        </w:rPr>
      </w:pPr>
      <w:r>
        <w:rPr>
          <w:spacing w:val="10"/>
          <w:sz w:val="19"/>
          <w:szCs w:val="19"/>
        </w:rPr>
        <w:t>●系统故障原因分析；</w:t>
      </w:r>
    </w:p>
    <w:p w14:paraId="46DFF784">
      <w:pPr>
        <w:pStyle w:val="2"/>
        <w:spacing w:before="104" w:line="219" w:lineRule="auto"/>
        <w:ind w:left="760"/>
        <w:rPr>
          <w:sz w:val="19"/>
          <w:szCs w:val="19"/>
        </w:rPr>
      </w:pPr>
      <w:r>
        <w:rPr>
          <w:spacing w:val="10"/>
          <w:sz w:val="19"/>
          <w:szCs w:val="19"/>
        </w:rPr>
        <w:t>●系统部件修理或更换记录；</w:t>
      </w:r>
    </w:p>
    <w:p w14:paraId="39E10125">
      <w:pPr>
        <w:pStyle w:val="2"/>
        <w:spacing w:before="85" w:line="219" w:lineRule="auto"/>
        <w:ind w:left="760"/>
        <w:rPr>
          <w:sz w:val="19"/>
          <w:szCs w:val="19"/>
        </w:rPr>
      </w:pPr>
      <w:r>
        <w:rPr>
          <w:spacing w:val="10"/>
          <w:sz w:val="19"/>
          <w:szCs w:val="19"/>
        </w:rPr>
        <w:t>●系统设置更改记录；</w:t>
      </w:r>
    </w:p>
    <w:p w14:paraId="7A581D77">
      <w:pPr>
        <w:pStyle w:val="2"/>
        <w:spacing w:before="104" w:line="219" w:lineRule="auto"/>
        <w:ind w:left="760"/>
        <w:rPr>
          <w:sz w:val="19"/>
          <w:szCs w:val="19"/>
        </w:rPr>
      </w:pPr>
      <w:r>
        <w:rPr>
          <w:spacing w:val="10"/>
          <w:sz w:val="19"/>
          <w:szCs w:val="19"/>
        </w:rPr>
        <w:t>●系统软件、硬件升级记录；</w:t>
      </w:r>
    </w:p>
    <w:p w14:paraId="2BAC2CD9">
      <w:pPr>
        <w:pStyle w:val="2"/>
        <w:spacing w:before="95" w:line="219" w:lineRule="auto"/>
        <w:ind w:left="760"/>
        <w:rPr>
          <w:sz w:val="19"/>
          <w:szCs w:val="19"/>
        </w:rPr>
      </w:pPr>
      <w:r>
        <w:rPr>
          <w:spacing w:val="10"/>
          <w:sz w:val="19"/>
          <w:szCs w:val="19"/>
        </w:rPr>
        <w:t>●其他系统保修维护记录。</w:t>
      </w:r>
    </w:p>
    <w:p w14:paraId="57E75FC3">
      <w:pPr>
        <w:pStyle w:val="2"/>
        <w:spacing w:before="180" w:line="221" w:lineRule="auto"/>
        <w:ind w:left="762"/>
        <w:rPr>
          <w:rFonts w:ascii="黑体" w:hAnsi="黑体" w:eastAsia="黑体" w:cs="黑体"/>
          <w:sz w:val="19"/>
          <w:szCs w:val="19"/>
        </w:rPr>
      </w:pPr>
      <w:r>
        <w:rPr>
          <w:b/>
          <w:bCs/>
          <w:color w:val="0084C7"/>
          <w:spacing w:val="8"/>
          <w:sz w:val="19"/>
          <w:szCs w:val="19"/>
        </w:rPr>
        <w:t>5.</w:t>
      </w:r>
      <w:r>
        <w:rPr>
          <w:rFonts w:ascii="黑体" w:hAnsi="黑体" w:eastAsia="黑体" w:cs="黑体"/>
          <w:b/>
          <w:bCs/>
          <w:color w:val="0084C7"/>
          <w:spacing w:val="8"/>
          <w:sz w:val="19"/>
          <w:szCs w:val="19"/>
        </w:rPr>
        <w:t>承建单位信息应用系统文档</w:t>
      </w:r>
    </w:p>
    <w:p w14:paraId="65C17BC1">
      <w:pPr>
        <w:pStyle w:val="2"/>
        <w:spacing w:before="153" w:line="294" w:lineRule="auto"/>
        <w:ind w:left="370" w:firstLine="389"/>
        <w:jc w:val="both"/>
        <w:rPr>
          <w:sz w:val="19"/>
          <w:szCs w:val="19"/>
        </w:rPr>
      </w:pPr>
      <w:r>
        <w:rPr>
          <w:spacing w:val="8"/>
          <w:sz w:val="19"/>
          <w:szCs w:val="19"/>
        </w:rPr>
        <w:t>根据</w:t>
      </w:r>
      <w:r>
        <w:rPr>
          <w:rFonts w:ascii="Times New Roman" w:hAnsi="Times New Roman" w:eastAsia="Times New Roman" w:cs="Times New Roman"/>
          <w:sz w:val="19"/>
          <w:szCs w:val="19"/>
        </w:rPr>
        <w:t>GB</w:t>
      </w:r>
      <w:r>
        <w:rPr>
          <w:rFonts w:ascii="Times New Roman" w:hAnsi="Times New Roman" w:eastAsia="Times New Roman" w:cs="Times New Roman"/>
          <w:spacing w:val="8"/>
          <w:sz w:val="19"/>
          <w:szCs w:val="19"/>
        </w:rPr>
        <w:t>/T8567</w:t>
      </w:r>
      <w:r>
        <w:rPr>
          <w:spacing w:val="8"/>
          <w:sz w:val="19"/>
          <w:szCs w:val="19"/>
        </w:rPr>
        <w:t>《 计算机软件文档编制规</w:t>
      </w:r>
      <w:r>
        <w:rPr>
          <w:spacing w:val="7"/>
          <w:sz w:val="19"/>
          <w:szCs w:val="19"/>
        </w:rPr>
        <w:t>范》,软件从构思之日起，经过开发成功投入使用，</w:t>
      </w:r>
      <w:r>
        <w:rPr>
          <w:sz w:val="19"/>
          <w:szCs w:val="19"/>
        </w:rPr>
        <w:t xml:space="preserve"> </w:t>
      </w:r>
      <w:r>
        <w:rPr>
          <w:spacing w:val="11"/>
          <w:sz w:val="19"/>
          <w:szCs w:val="19"/>
        </w:rPr>
        <w:t>直到最后决定停止使用并被另一项软件代替之时止，被认为是该软件的一</w:t>
      </w:r>
      <w:r>
        <w:rPr>
          <w:spacing w:val="10"/>
          <w:sz w:val="19"/>
          <w:szCs w:val="19"/>
        </w:rPr>
        <w:t>个生存周期。 一般来</w:t>
      </w:r>
      <w:r>
        <w:rPr>
          <w:sz w:val="19"/>
          <w:szCs w:val="19"/>
        </w:rPr>
        <w:t xml:space="preserve"> </w:t>
      </w:r>
      <w:r>
        <w:rPr>
          <w:spacing w:val="6"/>
          <w:sz w:val="19"/>
          <w:szCs w:val="19"/>
        </w:rPr>
        <w:t>说，软件生存周期可以分成以下六个阶段：</w:t>
      </w:r>
    </w:p>
    <w:p w14:paraId="0E393B32">
      <w:pPr>
        <w:pStyle w:val="2"/>
        <w:spacing w:before="25" w:line="219" w:lineRule="auto"/>
        <w:ind w:left="760"/>
        <w:rPr>
          <w:sz w:val="19"/>
          <w:szCs w:val="19"/>
        </w:rPr>
      </w:pPr>
      <w:r>
        <w:rPr>
          <w:spacing w:val="11"/>
          <w:sz w:val="19"/>
          <w:szCs w:val="19"/>
        </w:rPr>
        <w:t>(1)可行性与计划研究阶段；</w:t>
      </w:r>
    </w:p>
    <w:p w14:paraId="4B66B470">
      <w:pPr>
        <w:pStyle w:val="2"/>
        <w:spacing w:before="76" w:line="220" w:lineRule="auto"/>
        <w:ind w:left="760"/>
        <w:rPr>
          <w:sz w:val="19"/>
          <w:szCs w:val="19"/>
        </w:rPr>
      </w:pPr>
      <w:r>
        <w:rPr>
          <w:spacing w:val="12"/>
          <w:sz w:val="19"/>
          <w:szCs w:val="19"/>
        </w:rPr>
        <w:t>(2)需求分析阶段；</w:t>
      </w:r>
    </w:p>
    <w:p w14:paraId="01CF91CD">
      <w:pPr>
        <w:pStyle w:val="2"/>
        <w:spacing w:before="85" w:line="221" w:lineRule="auto"/>
        <w:ind w:left="760"/>
        <w:rPr>
          <w:sz w:val="19"/>
          <w:szCs w:val="19"/>
        </w:rPr>
      </w:pPr>
      <w:r>
        <w:rPr>
          <w:spacing w:val="13"/>
          <w:sz w:val="19"/>
          <w:szCs w:val="19"/>
        </w:rPr>
        <w:t>(3)设计阶段；</w:t>
      </w:r>
    </w:p>
    <w:p w14:paraId="468F6171">
      <w:pPr>
        <w:pStyle w:val="2"/>
        <w:spacing w:before="82" w:line="220" w:lineRule="auto"/>
        <w:ind w:left="760"/>
        <w:rPr>
          <w:sz w:val="19"/>
          <w:szCs w:val="19"/>
        </w:rPr>
      </w:pPr>
      <w:r>
        <w:rPr>
          <w:spacing w:val="16"/>
          <w:sz w:val="19"/>
          <w:szCs w:val="19"/>
        </w:rPr>
        <w:t>(4)实现阶段；</w:t>
      </w:r>
    </w:p>
    <w:p w14:paraId="455E5204">
      <w:pPr>
        <w:pStyle w:val="2"/>
        <w:spacing w:before="74" w:line="221" w:lineRule="auto"/>
        <w:ind w:left="760"/>
        <w:rPr>
          <w:sz w:val="19"/>
          <w:szCs w:val="19"/>
        </w:rPr>
      </w:pPr>
      <w:r>
        <w:rPr>
          <w:spacing w:val="16"/>
          <w:sz w:val="19"/>
          <w:szCs w:val="19"/>
        </w:rPr>
        <w:t>(5)测试阶段；</w:t>
      </w:r>
    </w:p>
    <w:p w14:paraId="23868184">
      <w:pPr>
        <w:spacing w:line="221" w:lineRule="auto"/>
        <w:rPr>
          <w:sz w:val="19"/>
          <w:szCs w:val="19"/>
        </w:rPr>
        <w:sectPr>
          <w:pgSz w:w="10290" w:h="13370"/>
          <w:pgMar w:top="400" w:right="1055" w:bottom="400" w:left="499" w:header="0" w:footer="0" w:gutter="0"/>
          <w:cols w:space="720" w:num="1"/>
        </w:sectPr>
      </w:pPr>
    </w:p>
    <w:p w14:paraId="6CA8E882">
      <w:pPr>
        <w:pStyle w:val="2"/>
        <w:jc w:val="right"/>
        <w:rPr>
          <w:rFonts w:ascii="Times New Roman" w:hAnsi="Times New Roman" w:eastAsia="Times New Roman" w:cs="Times New Roman"/>
          <w:sz w:val="17"/>
          <w:szCs w:val="17"/>
        </w:rPr>
      </w:pPr>
      <w:r>
        <w:rPr>
          <w:spacing w:val="2"/>
          <w:sz w:val="20"/>
          <w:szCs w:val="20"/>
        </w:rPr>
        <w:t xml:space="preserve">第14章 信息管理 </w:t>
      </w:r>
      <w:r>
        <w:rPr>
          <w:position w:val="-10"/>
          <w:sz w:val="20"/>
          <w:szCs w:val="20"/>
        </w:rPr>
        <w:drawing>
          <wp:inline distT="0" distB="0" distL="0" distR="0">
            <wp:extent cx="317500" cy="23431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219"/>
                    <a:stretch>
                      <a:fillRect/>
                    </a:stretch>
                  </pic:blipFill>
                  <pic:spPr>
                    <a:xfrm>
                      <a:off x="0" y="0"/>
                      <a:ext cx="317512" cy="234946"/>
                    </a:xfrm>
                    <a:prstGeom prst="rect">
                      <a:avLst/>
                    </a:prstGeom>
                  </pic:spPr>
                </pic:pic>
              </a:graphicData>
            </a:graphic>
          </wp:inline>
        </w:drawing>
      </w:r>
      <w:r>
        <w:rPr>
          <w:rFonts w:ascii="Times New Roman" w:hAnsi="Times New Roman" w:eastAsia="Times New Roman" w:cs="Times New Roman"/>
          <w:b/>
          <w:bCs/>
          <w:spacing w:val="2"/>
          <w:sz w:val="17"/>
          <w:szCs w:val="17"/>
        </w:rPr>
        <w:t>353</w:t>
      </w:r>
    </w:p>
    <w:p w14:paraId="78DB19E6">
      <w:pPr>
        <w:spacing w:line="262" w:lineRule="auto"/>
        <w:rPr>
          <w:rFonts w:ascii="Arial"/>
          <w:sz w:val="21"/>
        </w:rPr>
      </w:pPr>
    </w:p>
    <w:p w14:paraId="2B20E2F9">
      <w:pPr>
        <w:pStyle w:val="2"/>
        <w:spacing w:before="65" w:line="220" w:lineRule="auto"/>
        <w:ind w:left="409"/>
        <w:rPr>
          <w:sz w:val="20"/>
          <w:szCs w:val="20"/>
        </w:rPr>
      </w:pPr>
      <w:r>
        <w:rPr>
          <w:spacing w:val="5"/>
          <w:sz w:val="20"/>
          <w:szCs w:val="20"/>
        </w:rPr>
        <w:t>(6)运行与维护阶段。</w:t>
      </w:r>
    </w:p>
    <w:p w14:paraId="32CBB622">
      <w:pPr>
        <w:pStyle w:val="2"/>
        <w:spacing w:before="68" w:line="280" w:lineRule="auto"/>
        <w:ind w:right="264" w:firstLine="409"/>
        <w:rPr>
          <w:sz w:val="20"/>
          <w:szCs w:val="20"/>
        </w:rPr>
      </w:pPr>
      <w:r>
        <w:rPr>
          <w:spacing w:val="3"/>
          <w:sz w:val="20"/>
          <w:szCs w:val="20"/>
        </w:rPr>
        <w:t>在信息应用系统建设工程中，监理应督促承建单位注意文档的编写工作，以确保每一阶段</w:t>
      </w:r>
      <w:r>
        <w:rPr>
          <w:spacing w:val="9"/>
          <w:sz w:val="20"/>
          <w:szCs w:val="20"/>
        </w:rPr>
        <w:t xml:space="preserve"> </w:t>
      </w:r>
      <w:r>
        <w:rPr>
          <w:spacing w:val="2"/>
          <w:sz w:val="20"/>
          <w:szCs w:val="20"/>
        </w:rPr>
        <w:t>的结果都能得到清楚的描述和审查。</w:t>
      </w:r>
      <w:r>
        <w:rPr>
          <w:spacing w:val="-58"/>
          <w:sz w:val="20"/>
          <w:szCs w:val="20"/>
        </w:rPr>
        <w:t xml:space="preserve"> </w:t>
      </w:r>
      <w:r>
        <w:rPr>
          <w:spacing w:val="2"/>
          <w:sz w:val="20"/>
          <w:szCs w:val="20"/>
        </w:rPr>
        <w:t>一般来说，在软件的生存周期中应产生</w:t>
      </w:r>
      <w:r>
        <w:rPr>
          <w:spacing w:val="1"/>
          <w:sz w:val="20"/>
          <w:szCs w:val="20"/>
        </w:rPr>
        <w:t>18种基本文档，可</w:t>
      </w:r>
      <w:r>
        <w:rPr>
          <w:sz w:val="20"/>
          <w:szCs w:val="20"/>
        </w:rPr>
        <w:t xml:space="preserve"> </w:t>
      </w:r>
      <w:r>
        <w:rPr>
          <w:spacing w:val="3"/>
          <w:sz w:val="20"/>
          <w:szCs w:val="20"/>
        </w:rPr>
        <w:t>以根据项目的规模、特点、复杂性等将其中某些文档合并成一个文档或扩展为多个文</w:t>
      </w:r>
      <w:r>
        <w:rPr>
          <w:spacing w:val="2"/>
          <w:sz w:val="20"/>
          <w:szCs w:val="20"/>
        </w:rPr>
        <w:t>档，其主</w:t>
      </w:r>
      <w:r>
        <w:rPr>
          <w:sz w:val="20"/>
          <w:szCs w:val="20"/>
        </w:rPr>
        <w:t xml:space="preserve"> 要输出阶段通常如表14-7所示。</w:t>
      </w:r>
    </w:p>
    <w:p w14:paraId="2AF2734E">
      <w:pPr>
        <w:spacing w:before="134" w:line="221" w:lineRule="auto"/>
        <w:ind w:left="2722"/>
        <w:rPr>
          <w:rFonts w:ascii="黑体" w:hAnsi="黑体" w:eastAsia="黑体" w:cs="黑体"/>
          <w:sz w:val="20"/>
          <w:szCs w:val="20"/>
        </w:rPr>
      </w:pPr>
      <w:r>
        <w:rPr>
          <w:rFonts w:ascii="黑体" w:hAnsi="黑体" w:eastAsia="黑体" w:cs="黑体"/>
          <w:b/>
          <w:bCs/>
          <w:spacing w:val="-16"/>
          <w:sz w:val="20"/>
          <w:szCs w:val="20"/>
        </w:rPr>
        <w:t>表14-7</w:t>
      </w:r>
      <w:r>
        <w:rPr>
          <w:rFonts w:ascii="黑体" w:hAnsi="黑体" w:eastAsia="黑体" w:cs="黑体"/>
          <w:spacing w:val="63"/>
          <w:sz w:val="20"/>
          <w:szCs w:val="20"/>
        </w:rPr>
        <w:t xml:space="preserve"> </w:t>
      </w:r>
      <w:r>
        <w:rPr>
          <w:rFonts w:ascii="黑体" w:hAnsi="黑体" w:eastAsia="黑体" w:cs="黑体"/>
          <w:b/>
          <w:bCs/>
          <w:spacing w:val="-16"/>
          <w:sz w:val="20"/>
          <w:szCs w:val="20"/>
        </w:rPr>
        <w:t>承建单位信息应用系统文档</w:t>
      </w:r>
    </w:p>
    <w:p w14:paraId="48C8703E">
      <w:pPr>
        <w:spacing w:line="102" w:lineRule="exact"/>
      </w:pPr>
    </w:p>
    <w:tbl>
      <w:tblPr>
        <w:tblStyle w:val="5"/>
        <w:tblW w:w="832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00"/>
        <w:gridCol w:w="910"/>
        <w:gridCol w:w="1180"/>
        <w:gridCol w:w="770"/>
        <w:gridCol w:w="770"/>
        <w:gridCol w:w="760"/>
        <w:gridCol w:w="1330"/>
      </w:tblGrid>
      <w:tr w14:paraId="153BC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2600" w:type="dxa"/>
            <w:tcBorders>
              <w:left w:val="nil"/>
            </w:tcBorders>
            <w:vAlign w:val="top"/>
          </w:tcPr>
          <w:p w14:paraId="7CDB18B5">
            <w:pPr>
              <w:pStyle w:val="6"/>
              <w:spacing w:before="50" w:line="219" w:lineRule="auto"/>
              <w:ind w:left="1122"/>
            </w:pPr>
            <w:r>
              <w:rPr>
                <w:b/>
                <w:bCs/>
                <w:spacing w:val="-5"/>
              </w:rPr>
              <w:t>文档</w:t>
            </w:r>
          </w:p>
        </w:tc>
        <w:tc>
          <w:tcPr>
            <w:tcW w:w="910" w:type="dxa"/>
            <w:vAlign w:val="top"/>
          </w:tcPr>
          <w:p w14:paraId="486709DF">
            <w:pPr>
              <w:pStyle w:val="6"/>
              <w:spacing w:before="51" w:line="221" w:lineRule="auto"/>
              <w:ind w:left="277"/>
            </w:pPr>
            <w:r>
              <w:rPr>
                <w:b/>
                <w:bCs/>
                <w:spacing w:val="-4"/>
              </w:rPr>
              <w:t>计划</w:t>
            </w:r>
          </w:p>
        </w:tc>
        <w:tc>
          <w:tcPr>
            <w:tcW w:w="1180" w:type="dxa"/>
            <w:vAlign w:val="top"/>
          </w:tcPr>
          <w:p w14:paraId="10597E7F">
            <w:pPr>
              <w:pStyle w:val="6"/>
              <w:spacing w:before="50" w:line="220" w:lineRule="auto"/>
              <w:ind w:left="237"/>
            </w:pPr>
            <w:r>
              <w:rPr>
                <w:b/>
                <w:bCs/>
                <w:spacing w:val="-2"/>
              </w:rPr>
              <w:t>需求分析</w:t>
            </w:r>
          </w:p>
        </w:tc>
        <w:tc>
          <w:tcPr>
            <w:tcW w:w="770" w:type="dxa"/>
            <w:vAlign w:val="top"/>
          </w:tcPr>
          <w:p w14:paraId="59BAB9D4">
            <w:pPr>
              <w:pStyle w:val="6"/>
              <w:spacing w:before="51" w:line="221" w:lineRule="auto"/>
              <w:ind w:left="197"/>
            </w:pPr>
            <w:r>
              <w:rPr>
                <w:b/>
                <w:bCs/>
                <w:spacing w:val="-5"/>
              </w:rPr>
              <w:t>设计</w:t>
            </w:r>
          </w:p>
        </w:tc>
        <w:tc>
          <w:tcPr>
            <w:tcW w:w="770" w:type="dxa"/>
            <w:vAlign w:val="top"/>
          </w:tcPr>
          <w:p w14:paraId="0A387495">
            <w:pPr>
              <w:pStyle w:val="6"/>
              <w:spacing w:before="50" w:line="220" w:lineRule="auto"/>
              <w:ind w:left="197"/>
            </w:pPr>
            <w:r>
              <w:rPr>
                <w:b/>
                <w:bCs/>
                <w:spacing w:val="-5"/>
              </w:rPr>
              <w:t>实现</w:t>
            </w:r>
          </w:p>
        </w:tc>
        <w:tc>
          <w:tcPr>
            <w:tcW w:w="760" w:type="dxa"/>
            <w:vAlign w:val="top"/>
          </w:tcPr>
          <w:p w14:paraId="6650A67B">
            <w:pPr>
              <w:pStyle w:val="6"/>
              <w:spacing w:before="51" w:line="221" w:lineRule="auto"/>
              <w:ind w:left="187"/>
            </w:pPr>
            <w:r>
              <w:rPr>
                <w:b/>
                <w:bCs/>
                <w:spacing w:val="-5"/>
              </w:rPr>
              <w:t>测试</w:t>
            </w:r>
          </w:p>
        </w:tc>
        <w:tc>
          <w:tcPr>
            <w:tcW w:w="1330" w:type="dxa"/>
            <w:tcBorders>
              <w:right w:val="nil"/>
            </w:tcBorders>
            <w:vAlign w:val="top"/>
          </w:tcPr>
          <w:p w14:paraId="3FEBF50D">
            <w:pPr>
              <w:pStyle w:val="6"/>
              <w:spacing w:before="50" w:line="220" w:lineRule="auto"/>
              <w:ind w:left="207"/>
            </w:pPr>
            <w:r>
              <w:rPr>
                <w:b/>
                <w:bCs/>
                <w:spacing w:val="-4"/>
              </w:rPr>
              <w:t>运行与维护</w:t>
            </w:r>
          </w:p>
        </w:tc>
      </w:tr>
      <w:tr w14:paraId="6912B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600" w:type="dxa"/>
            <w:tcBorders>
              <w:left w:val="nil"/>
            </w:tcBorders>
            <w:vAlign w:val="top"/>
          </w:tcPr>
          <w:p w14:paraId="074977EA">
            <w:pPr>
              <w:pStyle w:val="6"/>
              <w:spacing w:before="47" w:line="218" w:lineRule="auto"/>
              <w:ind w:left="49"/>
            </w:pPr>
            <w:r>
              <w:rPr>
                <w:spacing w:val="1"/>
              </w:rPr>
              <w:t>可行性分析(研究)报告</w:t>
            </w:r>
          </w:p>
        </w:tc>
        <w:tc>
          <w:tcPr>
            <w:tcW w:w="910" w:type="dxa"/>
            <w:vAlign w:val="top"/>
          </w:tcPr>
          <w:p w14:paraId="69A6F654">
            <w:pPr>
              <w:spacing w:before="30" w:line="231" w:lineRule="exact"/>
              <w:ind w:firstLine="114"/>
            </w:pPr>
            <w:r>
              <w:rPr>
                <w:position w:val="-4"/>
              </w:rPr>
              <w:drawing>
                <wp:inline distT="0" distB="0" distL="0" distR="0">
                  <wp:extent cx="405765" cy="14605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220"/>
                          <a:stretch>
                            <a:fillRect/>
                          </a:stretch>
                        </pic:blipFill>
                        <pic:spPr>
                          <a:xfrm>
                            <a:off x="0" y="0"/>
                            <a:ext cx="406355" cy="146081"/>
                          </a:xfrm>
                          <a:prstGeom prst="rect">
                            <a:avLst/>
                          </a:prstGeom>
                        </pic:spPr>
                      </pic:pic>
                    </a:graphicData>
                  </a:graphic>
                </wp:inline>
              </w:drawing>
            </w:r>
          </w:p>
        </w:tc>
        <w:tc>
          <w:tcPr>
            <w:tcW w:w="1180" w:type="dxa"/>
            <w:vAlign w:val="top"/>
          </w:tcPr>
          <w:p w14:paraId="62D51DC3">
            <w:pPr>
              <w:rPr>
                <w:rFonts w:ascii="Arial"/>
                <w:sz w:val="21"/>
              </w:rPr>
            </w:pPr>
          </w:p>
        </w:tc>
        <w:tc>
          <w:tcPr>
            <w:tcW w:w="770" w:type="dxa"/>
            <w:vAlign w:val="top"/>
          </w:tcPr>
          <w:p w14:paraId="663C321E">
            <w:pPr>
              <w:rPr>
                <w:rFonts w:ascii="Arial"/>
                <w:sz w:val="21"/>
              </w:rPr>
            </w:pPr>
          </w:p>
        </w:tc>
        <w:tc>
          <w:tcPr>
            <w:tcW w:w="770" w:type="dxa"/>
            <w:vAlign w:val="top"/>
          </w:tcPr>
          <w:p w14:paraId="14C6BD5E">
            <w:pPr>
              <w:rPr>
                <w:rFonts w:ascii="Arial"/>
                <w:sz w:val="21"/>
              </w:rPr>
            </w:pPr>
          </w:p>
        </w:tc>
        <w:tc>
          <w:tcPr>
            <w:tcW w:w="760" w:type="dxa"/>
            <w:vAlign w:val="top"/>
          </w:tcPr>
          <w:p w14:paraId="39BDA36E">
            <w:pPr>
              <w:rPr>
                <w:rFonts w:ascii="Arial"/>
                <w:sz w:val="21"/>
              </w:rPr>
            </w:pPr>
          </w:p>
        </w:tc>
        <w:tc>
          <w:tcPr>
            <w:tcW w:w="1330" w:type="dxa"/>
            <w:tcBorders>
              <w:right w:val="nil"/>
            </w:tcBorders>
            <w:vAlign w:val="top"/>
          </w:tcPr>
          <w:p w14:paraId="16BC3835">
            <w:pPr>
              <w:rPr>
                <w:rFonts w:ascii="Arial"/>
                <w:sz w:val="21"/>
              </w:rPr>
            </w:pPr>
          </w:p>
        </w:tc>
      </w:tr>
      <w:tr w14:paraId="6A871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600" w:type="dxa"/>
            <w:tcBorders>
              <w:left w:val="nil"/>
            </w:tcBorders>
            <w:vAlign w:val="top"/>
          </w:tcPr>
          <w:p w14:paraId="66D9C9E5">
            <w:pPr>
              <w:pStyle w:val="6"/>
              <w:spacing w:before="59" w:line="219" w:lineRule="auto"/>
              <w:ind w:left="49"/>
            </w:pPr>
            <w:r>
              <w:rPr>
                <w:spacing w:val="2"/>
              </w:rPr>
              <w:t>软件开发计划</w:t>
            </w:r>
          </w:p>
        </w:tc>
        <w:tc>
          <w:tcPr>
            <w:tcW w:w="910" w:type="dxa"/>
            <w:vAlign w:val="top"/>
          </w:tcPr>
          <w:p w14:paraId="0909627D">
            <w:pPr>
              <w:spacing w:before="21" w:line="240" w:lineRule="exact"/>
              <w:ind w:firstLine="114"/>
            </w:pPr>
            <w:r>
              <w:rPr>
                <w:position w:val="-4"/>
              </w:rPr>
              <w:drawing>
                <wp:inline distT="0" distB="0" distL="0" distR="0">
                  <wp:extent cx="405765" cy="152400"/>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221"/>
                          <a:stretch>
                            <a:fillRect/>
                          </a:stretch>
                        </pic:blipFill>
                        <pic:spPr>
                          <a:xfrm>
                            <a:off x="0" y="0"/>
                            <a:ext cx="406355" cy="152411"/>
                          </a:xfrm>
                          <a:prstGeom prst="rect">
                            <a:avLst/>
                          </a:prstGeom>
                        </pic:spPr>
                      </pic:pic>
                    </a:graphicData>
                  </a:graphic>
                </wp:inline>
              </w:drawing>
            </w:r>
          </w:p>
        </w:tc>
        <w:tc>
          <w:tcPr>
            <w:tcW w:w="1180" w:type="dxa"/>
            <w:vAlign w:val="top"/>
          </w:tcPr>
          <w:p w14:paraId="64ADB4AC">
            <w:pPr>
              <w:rPr>
                <w:rFonts w:ascii="Arial"/>
                <w:sz w:val="21"/>
              </w:rPr>
            </w:pPr>
          </w:p>
        </w:tc>
        <w:tc>
          <w:tcPr>
            <w:tcW w:w="770" w:type="dxa"/>
            <w:vAlign w:val="top"/>
          </w:tcPr>
          <w:p w14:paraId="73EA87A5">
            <w:pPr>
              <w:rPr>
                <w:rFonts w:ascii="Arial"/>
                <w:sz w:val="21"/>
              </w:rPr>
            </w:pPr>
          </w:p>
        </w:tc>
        <w:tc>
          <w:tcPr>
            <w:tcW w:w="770" w:type="dxa"/>
            <w:vAlign w:val="top"/>
          </w:tcPr>
          <w:p w14:paraId="0E666017">
            <w:pPr>
              <w:rPr>
                <w:rFonts w:ascii="Arial"/>
                <w:sz w:val="21"/>
              </w:rPr>
            </w:pPr>
          </w:p>
        </w:tc>
        <w:tc>
          <w:tcPr>
            <w:tcW w:w="760" w:type="dxa"/>
            <w:vAlign w:val="top"/>
          </w:tcPr>
          <w:p w14:paraId="3A1B0293">
            <w:pPr>
              <w:rPr>
                <w:rFonts w:ascii="Arial"/>
                <w:sz w:val="21"/>
              </w:rPr>
            </w:pPr>
          </w:p>
        </w:tc>
        <w:tc>
          <w:tcPr>
            <w:tcW w:w="1330" w:type="dxa"/>
            <w:tcBorders>
              <w:right w:val="nil"/>
            </w:tcBorders>
            <w:vAlign w:val="top"/>
          </w:tcPr>
          <w:p w14:paraId="0C5F25B9">
            <w:pPr>
              <w:rPr>
                <w:rFonts w:ascii="Arial"/>
                <w:sz w:val="21"/>
              </w:rPr>
            </w:pPr>
          </w:p>
        </w:tc>
      </w:tr>
      <w:tr w14:paraId="581A1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600" w:type="dxa"/>
            <w:tcBorders>
              <w:left w:val="nil"/>
            </w:tcBorders>
            <w:vAlign w:val="top"/>
          </w:tcPr>
          <w:p w14:paraId="5674B46E">
            <w:pPr>
              <w:pStyle w:val="6"/>
              <w:spacing w:before="49" w:line="219" w:lineRule="auto"/>
              <w:ind w:left="49"/>
            </w:pPr>
            <w:r>
              <w:rPr>
                <w:spacing w:val="1"/>
              </w:rPr>
              <w:t>软件配置管理计划</w:t>
            </w:r>
          </w:p>
        </w:tc>
        <w:tc>
          <w:tcPr>
            <w:tcW w:w="910" w:type="dxa"/>
            <w:vAlign w:val="top"/>
          </w:tcPr>
          <w:p w14:paraId="4FB83263">
            <w:pPr>
              <w:spacing w:before="22" w:line="239" w:lineRule="exact"/>
              <w:ind w:firstLine="114"/>
            </w:pPr>
            <w:r>
              <w:rPr>
                <w:position w:val="-4"/>
              </w:rPr>
              <w:drawing>
                <wp:inline distT="0" distB="0" distL="0" distR="0">
                  <wp:extent cx="405765" cy="15176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222"/>
                          <a:stretch>
                            <a:fillRect/>
                          </a:stretch>
                        </pic:blipFill>
                        <pic:spPr>
                          <a:xfrm>
                            <a:off x="0" y="0"/>
                            <a:ext cx="406355" cy="152326"/>
                          </a:xfrm>
                          <a:prstGeom prst="rect">
                            <a:avLst/>
                          </a:prstGeom>
                        </pic:spPr>
                      </pic:pic>
                    </a:graphicData>
                  </a:graphic>
                </wp:inline>
              </w:drawing>
            </w:r>
          </w:p>
        </w:tc>
        <w:tc>
          <w:tcPr>
            <w:tcW w:w="1180" w:type="dxa"/>
            <w:vAlign w:val="top"/>
          </w:tcPr>
          <w:p w14:paraId="09610626">
            <w:pPr>
              <w:rPr>
                <w:rFonts w:ascii="Arial"/>
                <w:sz w:val="21"/>
              </w:rPr>
            </w:pPr>
          </w:p>
        </w:tc>
        <w:tc>
          <w:tcPr>
            <w:tcW w:w="770" w:type="dxa"/>
            <w:vAlign w:val="top"/>
          </w:tcPr>
          <w:p w14:paraId="1BF02F2F">
            <w:pPr>
              <w:rPr>
                <w:rFonts w:ascii="Arial"/>
                <w:sz w:val="21"/>
              </w:rPr>
            </w:pPr>
          </w:p>
        </w:tc>
        <w:tc>
          <w:tcPr>
            <w:tcW w:w="770" w:type="dxa"/>
            <w:vAlign w:val="top"/>
          </w:tcPr>
          <w:p w14:paraId="6E94D208">
            <w:pPr>
              <w:rPr>
                <w:rFonts w:ascii="Arial"/>
                <w:sz w:val="21"/>
              </w:rPr>
            </w:pPr>
          </w:p>
        </w:tc>
        <w:tc>
          <w:tcPr>
            <w:tcW w:w="760" w:type="dxa"/>
            <w:vAlign w:val="top"/>
          </w:tcPr>
          <w:p w14:paraId="7D9A581B">
            <w:pPr>
              <w:rPr>
                <w:rFonts w:ascii="Arial"/>
                <w:sz w:val="21"/>
              </w:rPr>
            </w:pPr>
          </w:p>
        </w:tc>
        <w:tc>
          <w:tcPr>
            <w:tcW w:w="1330" w:type="dxa"/>
            <w:tcBorders>
              <w:right w:val="nil"/>
            </w:tcBorders>
            <w:vAlign w:val="top"/>
          </w:tcPr>
          <w:p w14:paraId="0C891F15">
            <w:pPr>
              <w:rPr>
                <w:rFonts w:ascii="Arial"/>
                <w:sz w:val="21"/>
              </w:rPr>
            </w:pPr>
          </w:p>
        </w:tc>
      </w:tr>
      <w:tr w14:paraId="72459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600" w:type="dxa"/>
            <w:tcBorders>
              <w:left w:val="nil"/>
            </w:tcBorders>
            <w:vAlign w:val="top"/>
          </w:tcPr>
          <w:p w14:paraId="2C92B87C">
            <w:pPr>
              <w:pStyle w:val="6"/>
              <w:spacing w:before="60" w:line="219" w:lineRule="auto"/>
              <w:ind w:left="49"/>
            </w:pPr>
            <w:r>
              <w:rPr>
                <w:spacing w:val="1"/>
              </w:rPr>
              <w:t>软件质量保证计划</w:t>
            </w:r>
          </w:p>
        </w:tc>
        <w:tc>
          <w:tcPr>
            <w:tcW w:w="910" w:type="dxa"/>
            <w:vAlign w:val="top"/>
          </w:tcPr>
          <w:p w14:paraId="26D7FBB5">
            <w:pPr>
              <w:spacing w:before="22" w:line="250" w:lineRule="exact"/>
              <w:ind w:firstLine="114"/>
            </w:pPr>
            <w:r>
              <w:rPr>
                <w:position w:val="-4"/>
              </w:rPr>
              <w:drawing>
                <wp:inline distT="0" distB="0" distL="0" distR="0">
                  <wp:extent cx="405765" cy="15811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223"/>
                          <a:stretch>
                            <a:fillRect/>
                          </a:stretch>
                        </pic:blipFill>
                        <pic:spPr>
                          <a:xfrm>
                            <a:off x="0" y="0"/>
                            <a:ext cx="406355" cy="158740"/>
                          </a:xfrm>
                          <a:prstGeom prst="rect">
                            <a:avLst/>
                          </a:prstGeom>
                        </pic:spPr>
                      </pic:pic>
                    </a:graphicData>
                  </a:graphic>
                </wp:inline>
              </w:drawing>
            </w:r>
          </w:p>
        </w:tc>
        <w:tc>
          <w:tcPr>
            <w:tcW w:w="1180" w:type="dxa"/>
            <w:vAlign w:val="top"/>
          </w:tcPr>
          <w:p w14:paraId="11C05529">
            <w:pPr>
              <w:rPr>
                <w:rFonts w:ascii="Arial"/>
                <w:sz w:val="21"/>
              </w:rPr>
            </w:pPr>
          </w:p>
        </w:tc>
        <w:tc>
          <w:tcPr>
            <w:tcW w:w="770" w:type="dxa"/>
            <w:vAlign w:val="top"/>
          </w:tcPr>
          <w:p w14:paraId="6497936D">
            <w:pPr>
              <w:rPr>
                <w:rFonts w:ascii="Arial"/>
                <w:sz w:val="21"/>
              </w:rPr>
            </w:pPr>
          </w:p>
        </w:tc>
        <w:tc>
          <w:tcPr>
            <w:tcW w:w="770" w:type="dxa"/>
            <w:vAlign w:val="top"/>
          </w:tcPr>
          <w:p w14:paraId="768CEAB8">
            <w:pPr>
              <w:rPr>
                <w:rFonts w:ascii="Arial"/>
                <w:sz w:val="21"/>
              </w:rPr>
            </w:pPr>
          </w:p>
        </w:tc>
        <w:tc>
          <w:tcPr>
            <w:tcW w:w="760" w:type="dxa"/>
            <w:vAlign w:val="top"/>
          </w:tcPr>
          <w:p w14:paraId="1C6C1ED5">
            <w:pPr>
              <w:rPr>
                <w:rFonts w:ascii="Arial"/>
                <w:sz w:val="21"/>
              </w:rPr>
            </w:pPr>
          </w:p>
        </w:tc>
        <w:tc>
          <w:tcPr>
            <w:tcW w:w="1330" w:type="dxa"/>
            <w:tcBorders>
              <w:right w:val="nil"/>
            </w:tcBorders>
            <w:vAlign w:val="top"/>
          </w:tcPr>
          <w:p w14:paraId="3C518A70">
            <w:pPr>
              <w:rPr>
                <w:rFonts w:ascii="Arial"/>
                <w:sz w:val="21"/>
              </w:rPr>
            </w:pPr>
          </w:p>
        </w:tc>
      </w:tr>
      <w:tr w14:paraId="66AB2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600" w:type="dxa"/>
            <w:tcBorders>
              <w:left w:val="nil"/>
            </w:tcBorders>
            <w:vAlign w:val="top"/>
          </w:tcPr>
          <w:p w14:paraId="02A20D74">
            <w:pPr>
              <w:pStyle w:val="6"/>
              <w:spacing w:before="50" w:line="219" w:lineRule="auto"/>
              <w:ind w:left="49"/>
            </w:pPr>
            <w:r>
              <w:rPr>
                <w:spacing w:val="2"/>
              </w:rPr>
              <w:t>软件需求规格说明</w:t>
            </w:r>
          </w:p>
        </w:tc>
        <w:tc>
          <w:tcPr>
            <w:tcW w:w="910" w:type="dxa"/>
            <w:vAlign w:val="top"/>
          </w:tcPr>
          <w:p w14:paraId="4B8A95C8">
            <w:pPr>
              <w:rPr>
                <w:rFonts w:ascii="Arial"/>
                <w:sz w:val="21"/>
              </w:rPr>
            </w:pPr>
          </w:p>
        </w:tc>
        <w:tc>
          <w:tcPr>
            <w:tcW w:w="1180" w:type="dxa"/>
            <w:vAlign w:val="top"/>
          </w:tcPr>
          <w:p w14:paraId="25C6790B">
            <w:pPr>
              <w:rPr>
                <w:rFonts w:ascii="Arial"/>
                <w:sz w:val="21"/>
              </w:rPr>
            </w:pPr>
          </w:p>
        </w:tc>
        <w:tc>
          <w:tcPr>
            <w:tcW w:w="770" w:type="dxa"/>
            <w:vAlign w:val="top"/>
          </w:tcPr>
          <w:p w14:paraId="55F098AD">
            <w:pPr>
              <w:rPr>
                <w:rFonts w:ascii="Arial"/>
                <w:sz w:val="21"/>
              </w:rPr>
            </w:pPr>
          </w:p>
        </w:tc>
        <w:tc>
          <w:tcPr>
            <w:tcW w:w="770" w:type="dxa"/>
            <w:vAlign w:val="top"/>
          </w:tcPr>
          <w:p w14:paraId="067EF7BF">
            <w:pPr>
              <w:rPr>
                <w:rFonts w:ascii="Arial"/>
                <w:sz w:val="21"/>
              </w:rPr>
            </w:pPr>
          </w:p>
        </w:tc>
        <w:tc>
          <w:tcPr>
            <w:tcW w:w="760" w:type="dxa"/>
            <w:vAlign w:val="top"/>
          </w:tcPr>
          <w:p w14:paraId="630F8FA9">
            <w:pPr>
              <w:rPr>
                <w:rFonts w:ascii="Arial"/>
                <w:sz w:val="21"/>
              </w:rPr>
            </w:pPr>
          </w:p>
        </w:tc>
        <w:tc>
          <w:tcPr>
            <w:tcW w:w="1330" w:type="dxa"/>
            <w:tcBorders>
              <w:right w:val="nil"/>
            </w:tcBorders>
            <w:vAlign w:val="top"/>
          </w:tcPr>
          <w:p w14:paraId="64ACDE70">
            <w:pPr>
              <w:rPr>
                <w:rFonts w:ascii="Arial"/>
                <w:sz w:val="21"/>
              </w:rPr>
            </w:pPr>
          </w:p>
        </w:tc>
      </w:tr>
      <w:tr w14:paraId="24C29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600" w:type="dxa"/>
            <w:tcBorders>
              <w:left w:val="nil"/>
            </w:tcBorders>
            <w:vAlign w:val="top"/>
          </w:tcPr>
          <w:p w14:paraId="7CEE99BC">
            <w:pPr>
              <w:pStyle w:val="6"/>
              <w:spacing w:before="51" w:line="211" w:lineRule="auto"/>
              <w:ind w:left="49"/>
            </w:pPr>
            <w:r>
              <w:rPr>
                <w:spacing w:val="2"/>
              </w:rPr>
              <w:t>接口需求规格说明</w:t>
            </w:r>
          </w:p>
        </w:tc>
        <w:tc>
          <w:tcPr>
            <w:tcW w:w="910" w:type="dxa"/>
            <w:vAlign w:val="top"/>
          </w:tcPr>
          <w:p w14:paraId="046A2370">
            <w:pPr>
              <w:rPr>
                <w:rFonts w:ascii="Arial"/>
                <w:sz w:val="21"/>
              </w:rPr>
            </w:pPr>
          </w:p>
        </w:tc>
        <w:tc>
          <w:tcPr>
            <w:tcW w:w="1180" w:type="dxa"/>
            <w:vAlign w:val="top"/>
          </w:tcPr>
          <w:p w14:paraId="2A6C3A32">
            <w:pPr>
              <w:rPr>
                <w:rFonts w:ascii="Arial"/>
                <w:sz w:val="21"/>
              </w:rPr>
            </w:pPr>
          </w:p>
        </w:tc>
        <w:tc>
          <w:tcPr>
            <w:tcW w:w="770" w:type="dxa"/>
            <w:vAlign w:val="top"/>
          </w:tcPr>
          <w:p w14:paraId="0A27782E">
            <w:pPr>
              <w:rPr>
                <w:rFonts w:ascii="Arial"/>
                <w:sz w:val="21"/>
              </w:rPr>
            </w:pPr>
          </w:p>
        </w:tc>
        <w:tc>
          <w:tcPr>
            <w:tcW w:w="770" w:type="dxa"/>
            <w:vAlign w:val="top"/>
          </w:tcPr>
          <w:p w14:paraId="2A9E67B9">
            <w:pPr>
              <w:rPr>
                <w:rFonts w:ascii="Arial"/>
                <w:sz w:val="21"/>
              </w:rPr>
            </w:pPr>
          </w:p>
        </w:tc>
        <w:tc>
          <w:tcPr>
            <w:tcW w:w="760" w:type="dxa"/>
            <w:vAlign w:val="top"/>
          </w:tcPr>
          <w:p w14:paraId="2AD31398">
            <w:pPr>
              <w:rPr>
                <w:rFonts w:ascii="Arial"/>
                <w:sz w:val="21"/>
              </w:rPr>
            </w:pPr>
          </w:p>
        </w:tc>
        <w:tc>
          <w:tcPr>
            <w:tcW w:w="1330" w:type="dxa"/>
            <w:tcBorders>
              <w:right w:val="nil"/>
            </w:tcBorders>
            <w:vAlign w:val="top"/>
          </w:tcPr>
          <w:p w14:paraId="1BA11A04">
            <w:pPr>
              <w:rPr>
                <w:rFonts w:ascii="Arial"/>
                <w:sz w:val="21"/>
              </w:rPr>
            </w:pPr>
          </w:p>
        </w:tc>
      </w:tr>
      <w:tr w14:paraId="49CB3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600" w:type="dxa"/>
            <w:tcBorders>
              <w:left w:val="nil"/>
            </w:tcBorders>
            <w:vAlign w:val="top"/>
          </w:tcPr>
          <w:p w14:paraId="6F6262E5">
            <w:pPr>
              <w:pStyle w:val="6"/>
              <w:spacing w:before="52" w:line="219" w:lineRule="auto"/>
              <w:ind w:left="49"/>
            </w:pPr>
            <w:r>
              <w:rPr>
                <w:spacing w:val="2"/>
              </w:rPr>
              <w:t>系统/子系统设计说明</w:t>
            </w:r>
          </w:p>
        </w:tc>
        <w:tc>
          <w:tcPr>
            <w:tcW w:w="910" w:type="dxa"/>
            <w:vAlign w:val="top"/>
          </w:tcPr>
          <w:p w14:paraId="57239ECA">
            <w:pPr>
              <w:rPr>
                <w:rFonts w:ascii="Arial"/>
                <w:sz w:val="21"/>
              </w:rPr>
            </w:pPr>
          </w:p>
        </w:tc>
        <w:tc>
          <w:tcPr>
            <w:tcW w:w="1180" w:type="dxa"/>
            <w:vAlign w:val="top"/>
          </w:tcPr>
          <w:p w14:paraId="42FEA610">
            <w:pPr>
              <w:rPr>
                <w:rFonts w:ascii="Arial"/>
                <w:sz w:val="21"/>
              </w:rPr>
            </w:pPr>
          </w:p>
        </w:tc>
        <w:tc>
          <w:tcPr>
            <w:tcW w:w="770" w:type="dxa"/>
            <w:vAlign w:val="top"/>
          </w:tcPr>
          <w:p w14:paraId="7DC75039">
            <w:pPr>
              <w:rPr>
                <w:rFonts w:ascii="Arial"/>
                <w:sz w:val="21"/>
              </w:rPr>
            </w:pPr>
          </w:p>
        </w:tc>
        <w:tc>
          <w:tcPr>
            <w:tcW w:w="770" w:type="dxa"/>
            <w:vAlign w:val="top"/>
          </w:tcPr>
          <w:p w14:paraId="3E5A6E50">
            <w:pPr>
              <w:rPr>
                <w:rFonts w:ascii="Arial"/>
                <w:sz w:val="21"/>
              </w:rPr>
            </w:pPr>
          </w:p>
        </w:tc>
        <w:tc>
          <w:tcPr>
            <w:tcW w:w="760" w:type="dxa"/>
            <w:vAlign w:val="top"/>
          </w:tcPr>
          <w:p w14:paraId="27EA465F">
            <w:pPr>
              <w:rPr>
                <w:rFonts w:ascii="Arial"/>
                <w:sz w:val="21"/>
              </w:rPr>
            </w:pPr>
          </w:p>
        </w:tc>
        <w:tc>
          <w:tcPr>
            <w:tcW w:w="1330" w:type="dxa"/>
            <w:tcBorders>
              <w:right w:val="nil"/>
            </w:tcBorders>
            <w:vAlign w:val="top"/>
          </w:tcPr>
          <w:p w14:paraId="625224EB">
            <w:pPr>
              <w:rPr>
                <w:rFonts w:ascii="Arial"/>
                <w:sz w:val="21"/>
              </w:rPr>
            </w:pPr>
          </w:p>
        </w:tc>
      </w:tr>
      <w:tr w14:paraId="0453F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2600" w:type="dxa"/>
            <w:tcBorders>
              <w:left w:val="nil"/>
            </w:tcBorders>
            <w:vAlign w:val="top"/>
          </w:tcPr>
          <w:p w14:paraId="11654B27">
            <w:pPr>
              <w:pStyle w:val="6"/>
              <w:spacing w:before="63" w:line="219" w:lineRule="auto"/>
              <w:ind w:left="49"/>
            </w:pPr>
            <w:r>
              <w:rPr>
                <w:spacing w:val="2"/>
              </w:rPr>
              <w:t>软件(结构)设计说明</w:t>
            </w:r>
          </w:p>
        </w:tc>
        <w:tc>
          <w:tcPr>
            <w:tcW w:w="910" w:type="dxa"/>
            <w:vAlign w:val="top"/>
          </w:tcPr>
          <w:p w14:paraId="6957AAB8">
            <w:pPr>
              <w:rPr>
                <w:rFonts w:ascii="Arial"/>
                <w:sz w:val="21"/>
              </w:rPr>
            </w:pPr>
          </w:p>
        </w:tc>
        <w:tc>
          <w:tcPr>
            <w:tcW w:w="1180" w:type="dxa"/>
            <w:vAlign w:val="top"/>
          </w:tcPr>
          <w:p w14:paraId="6041095C">
            <w:pPr>
              <w:rPr>
                <w:rFonts w:ascii="Arial"/>
                <w:sz w:val="21"/>
              </w:rPr>
            </w:pPr>
          </w:p>
        </w:tc>
        <w:tc>
          <w:tcPr>
            <w:tcW w:w="770" w:type="dxa"/>
            <w:vAlign w:val="top"/>
          </w:tcPr>
          <w:p w14:paraId="6E2A4064">
            <w:pPr>
              <w:rPr>
                <w:rFonts w:ascii="Arial"/>
                <w:sz w:val="21"/>
              </w:rPr>
            </w:pPr>
          </w:p>
        </w:tc>
        <w:tc>
          <w:tcPr>
            <w:tcW w:w="770" w:type="dxa"/>
            <w:vAlign w:val="top"/>
          </w:tcPr>
          <w:p w14:paraId="43DDDAC1">
            <w:pPr>
              <w:rPr>
                <w:rFonts w:ascii="Arial"/>
                <w:sz w:val="21"/>
              </w:rPr>
            </w:pPr>
          </w:p>
        </w:tc>
        <w:tc>
          <w:tcPr>
            <w:tcW w:w="760" w:type="dxa"/>
            <w:vAlign w:val="top"/>
          </w:tcPr>
          <w:p w14:paraId="7B66C629">
            <w:pPr>
              <w:rPr>
                <w:rFonts w:ascii="Arial"/>
                <w:sz w:val="21"/>
              </w:rPr>
            </w:pPr>
          </w:p>
        </w:tc>
        <w:tc>
          <w:tcPr>
            <w:tcW w:w="1330" w:type="dxa"/>
            <w:tcBorders>
              <w:right w:val="nil"/>
            </w:tcBorders>
            <w:vAlign w:val="top"/>
          </w:tcPr>
          <w:p w14:paraId="5C68DB0B">
            <w:pPr>
              <w:rPr>
                <w:rFonts w:ascii="Arial"/>
                <w:sz w:val="21"/>
              </w:rPr>
            </w:pPr>
          </w:p>
        </w:tc>
      </w:tr>
      <w:tr w14:paraId="22141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600" w:type="dxa"/>
            <w:tcBorders>
              <w:left w:val="nil"/>
            </w:tcBorders>
            <w:vAlign w:val="top"/>
          </w:tcPr>
          <w:p w14:paraId="61FB7636">
            <w:pPr>
              <w:pStyle w:val="6"/>
              <w:spacing w:before="53" w:line="219" w:lineRule="auto"/>
              <w:ind w:left="49"/>
            </w:pPr>
            <w:r>
              <w:rPr>
                <w:spacing w:val="3"/>
              </w:rPr>
              <w:t>接口设计说明</w:t>
            </w:r>
          </w:p>
        </w:tc>
        <w:tc>
          <w:tcPr>
            <w:tcW w:w="910" w:type="dxa"/>
            <w:vAlign w:val="top"/>
          </w:tcPr>
          <w:p w14:paraId="40A4512C">
            <w:pPr>
              <w:rPr>
                <w:rFonts w:ascii="Arial"/>
                <w:sz w:val="21"/>
              </w:rPr>
            </w:pPr>
          </w:p>
        </w:tc>
        <w:tc>
          <w:tcPr>
            <w:tcW w:w="1180" w:type="dxa"/>
            <w:vAlign w:val="top"/>
          </w:tcPr>
          <w:p w14:paraId="4E681EB3">
            <w:pPr>
              <w:rPr>
                <w:rFonts w:ascii="Arial"/>
                <w:sz w:val="21"/>
              </w:rPr>
            </w:pPr>
          </w:p>
        </w:tc>
        <w:tc>
          <w:tcPr>
            <w:tcW w:w="770" w:type="dxa"/>
            <w:vAlign w:val="top"/>
          </w:tcPr>
          <w:p w14:paraId="13C5FEF2">
            <w:pPr>
              <w:rPr>
                <w:rFonts w:ascii="Arial"/>
                <w:sz w:val="21"/>
              </w:rPr>
            </w:pPr>
          </w:p>
        </w:tc>
        <w:tc>
          <w:tcPr>
            <w:tcW w:w="770" w:type="dxa"/>
            <w:vAlign w:val="top"/>
          </w:tcPr>
          <w:p w14:paraId="06FB56CD">
            <w:pPr>
              <w:rPr>
                <w:rFonts w:ascii="Arial"/>
                <w:sz w:val="21"/>
              </w:rPr>
            </w:pPr>
          </w:p>
        </w:tc>
        <w:tc>
          <w:tcPr>
            <w:tcW w:w="760" w:type="dxa"/>
            <w:vAlign w:val="top"/>
          </w:tcPr>
          <w:p w14:paraId="24B3B41D">
            <w:pPr>
              <w:rPr>
                <w:rFonts w:ascii="Arial"/>
                <w:sz w:val="21"/>
              </w:rPr>
            </w:pPr>
          </w:p>
        </w:tc>
        <w:tc>
          <w:tcPr>
            <w:tcW w:w="1330" w:type="dxa"/>
            <w:tcBorders>
              <w:right w:val="nil"/>
            </w:tcBorders>
            <w:vAlign w:val="top"/>
          </w:tcPr>
          <w:p w14:paraId="033D5FB5">
            <w:pPr>
              <w:rPr>
                <w:rFonts w:ascii="Arial"/>
                <w:sz w:val="21"/>
              </w:rPr>
            </w:pPr>
          </w:p>
        </w:tc>
      </w:tr>
      <w:tr w14:paraId="5A1AE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600" w:type="dxa"/>
            <w:tcBorders>
              <w:left w:val="nil"/>
            </w:tcBorders>
            <w:vAlign w:val="top"/>
          </w:tcPr>
          <w:p w14:paraId="64475536">
            <w:pPr>
              <w:pStyle w:val="6"/>
              <w:spacing w:before="54" w:line="219" w:lineRule="auto"/>
              <w:ind w:left="49"/>
            </w:pPr>
            <w:r>
              <w:rPr>
                <w:spacing w:val="1"/>
              </w:rPr>
              <w:t>数据库(顶层)设计说明</w:t>
            </w:r>
          </w:p>
        </w:tc>
        <w:tc>
          <w:tcPr>
            <w:tcW w:w="910" w:type="dxa"/>
            <w:vAlign w:val="top"/>
          </w:tcPr>
          <w:p w14:paraId="1BE36230">
            <w:pPr>
              <w:rPr>
                <w:rFonts w:ascii="Arial"/>
                <w:sz w:val="21"/>
              </w:rPr>
            </w:pPr>
          </w:p>
        </w:tc>
        <w:tc>
          <w:tcPr>
            <w:tcW w:w="1180" w:type="dxa"/>
            <w:vAlign w:val="top"/>
          </w:tcPr>
          <w:p w14:paraId="7863AB88">
            <w:pPr>
              <w:rPr>
                <w:rFonts w:ascii="Arial"/>
                <w:sz w:val="21"/>
              </w:rPr>
            </w:pPr>
          </w:p>
        </w:tc>
        <w:tc>
          <w:tcPr>
            <w:tcW w:w="770" w:type="dxa"/>
            <w:vAlign w:val="top"/>
          </w:tcPr>
          <w:p w14:paraId="1F1486FE">
            <w:pPr>
              <w:rPr>
                <w:rFonts w:ascii="Arial"/>
                <w:sz w:val="21"/>
              </w:rPr>
            </w:pPr>
          </w:p>
        </w:tc>
        <w:tc>
          <w:tcPr>
            <w:tcW w:w="770" w:type="dxa"/>
            <w:vAlign w:val="top"/>
          </w:tcPr>
          <w:p w14:paraId="46CF0AD9">
            <w:pPr>
              <w:rPr>
                <w:rFonts w:ascii="Arial"/>
                <w:sz w:val="21"/>
              </w:rPr>
            </w:pPr>
          </w:p>
        </w:tc>
        <w:tc>
          <w:tcPr>
            <w:tcW w:w="760" w:type="dxa"/>
            <w:vAlign w:val="top"/>
          </w:tcPr>
          <w:p w14:paraId="72BF1825">
            <w:pPr>
              <w:rPr>
                <w:rFonts w:ascii="Arial"/>
                <w:sz w:val="21"/>
              </w:rPr>
            </w:pPr>
          </w:p>
        </w:tc>
        <w:tc>
          <w:tcPr>
            <w:tcW w:w="1330" w:type="dxa"/>
            <w:tcBorders>
              <w:right w:val="nil"/>
            </w:tcBorders>
            <w:vAlign w:val="top"/>
          </w:tcPr>
          <w:p w14:paraId="6127B508">
            <w:pPr>
              <w:rPr>
                <w:rFonts w:ascii="Arial"/>
                <w:sz w:val="21"/>
              </w:rPr>
            </w:pPr>
          </w:p>
        </w:tc>
      </w:tr>
      <w:tr w14:paraId="277A0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600" w:type="dxa"/>
            <w:tcBorders>
              <w:left w:val="nil"/>
            </w:tcBorders>
            <w:vAlign w:val="top"/>
          </w:tcPr>
          <w:p w14:paraId="7B12E919">
            <w:pPr>
              <w:pStyle w:val="6"/>
              <w:spacing w:before="55" w:line="217" w:lineRule="auto"/>
              <w:ind w:left="49"/>
            </w:pPr>
            <w:r>
              <w:rPr>
                <w:spacing w:val="-2"/>
              </w:rPr>
              <w:t>用户手册</w:t>
            </w:r>
          </w:p>
        </w:tc>
        <w:tc>
          <w:tcPr>
            <w:tcW w:w="910" w:type="dxa"/>
            <w:vAlign w:val="top"/>
          </w:tcPr>
          <w:p w14:paraId="51641E16">
            <w:pPr>
              <w:rPr>
                <w:rFonts w:ascii="Arial"/>
                <w:sz w:val="21"/>
              </w:rPr>
            </w:pPr>
          </w:p>
        </w:tc>
        <w:tc>
          <w:tcPr>
            <w:tcW w:w="1180" w:type="dxa"/>
            <w:vAlign w:val="top"/>
          </w:tcPr>
          <w:p w14:paraId="2FE0C987">
            <w:pPr>
              <w:rPr>
                <w:rFonts w:ascii="Arial"/>
                <w:sz w:val="21"/>
              </w:rPr>
            </w:pPr>
          </w:p>
        </w:tc>
        <w:tc>
          <w:tcPr>
            <w:tcW w:w="770" w:type="dxa"/>
            <w:vAlign w:val="top"/>
          </w:tcPr>
          <w:p w14:paraId="00E8900A">
            <w:pPr>
              <w:rPr>
                <w:rFonts w:ascii="Arial"/>
                <w:sz w:val="21"/>
              </w:rPr>
            </w:pPr>
          </w:p>
        </w:tc>
        <w:tc>
          <w:tcPr>
            <w:tcW w:w="770" w:type="dxa"/>
            <w:vAlign w:val="top"/>
          </w:tcPr>
          <w:p w14:paraId="33EDE078">
            <w:pPr>
              <w:rPr>
                <w:rFonts w:ascii="Arial"/>
                <w:sz w:val="21"/>
              </w:rPr>
            </w:pPr>
          </w:p>
        </w:tc>
        <w:tc>
          <w:tcPr>
            <w:tcW w:w="760" w:type="dxa"/>
            <w:vAlign w:val="top"/>
          </w:tcPr>
          <w:p w14:paraId="536EDD72">
            <w:pPr>
              <w:rPr>
                <w:rFonts w:ascii="Arial"/>
                <w:sz w:val="21"/>
              </w:rPr>
            </w:pPr>
          </w:p>
        </w:tc>
        <w:tc>
          <w:tcPr>
            <w:tcW w:w="1330" w:type="dxa"/>
            <w:tcBorders>
              <w:right w:val="nil"/>
            </w:tcBorders>
            <w:vAlign w:val="top"/>
          </w:tcPr>
          <w:p w14:paraId="65C86250">
            <w:pPr>
              <w:rPr>
                <w:rFonts w:ascii="Arial"/>
                <w:sz w:val="21"/>
              </w:rPr>
            </w:pPr>
          </w:p>
        </w:tc>
      </w:tr>
      <w:tr w14:paraId="1E13D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600" w:type="dxa"/>
            <w:tcBorders>
              <w:left w:val="nil"/>
            </w:tcBorders>
            <w:vAlign w:val="top"/>
          </w:tcPr>
          <w:p w14:paraId="1D90786E">
            <w:pPr>
              <w:pStyle w:val="6"/>
              <w:spacing w:before="55" w:line="217" w:lineRule="auto"/>
              <w:ind w:left="49"/>
            </w:pPr>
            <w:r>
              <w:rPr>
                <w:spacing w:val="-2"/>
              </w:rPr>
              <w:t>操作手册</w:t>
            </w:r>
          </w:p>
        </w:tc>
        <w:tc>
          <w:tcPr>
            <w:tcW w:w="910" w:type="dxa"/>
            <w:vAlign w:val="top"/>
          </w:tcPr>
          <w:p w14:paraId="6210E0C9">
            <w:pPr>
              <w:rPr>
                <w:rFonts w:ascii="Arial"/>
                <w:sz w:val="21"/>
              </w:rPr>
            </w:pPr>
          </w:p>
        </w:tc>
        <w:tc>
          <w:tcPr>
            <w:tcW w:w="1180" w:type="dxa"/>
            <w:vAlign w:val="top"/>
          </w:tcPr>
          <w:p w14:paraId="736CC1AE">
            <w:pPr>
              <w:rPr>
                <w:rFonts w:ascii="Arial"/>
                <w:sz w:val="21"/>
              </w:rPr>
            </w:pPr>
          </w:p>
        </w:tc>
        <w:tc>
          <w:tcPr>
            <w:tcW w:w="770" w:type="dxa"/>
            <w:vAlign w:val="top"/>
          </w:tcPr>
          <w:p w14:paraId="48B63421">
            <w:pPr>
              <w:rPr>
                <w:rFonts w:ascii="Arial"/>
                <w:sz w:val="21"/>
              </w:rPr>
            </w:pPr>
          </w:p>
        </w:tc>
        <w:tc>
          <w:tcPr>
            <w:tcW w:w="770" w:type="dxa"/>
            <w:vAlign w:val="top"/>
          </w:tcPr>
          <w:p w14:paraId="1D040D80">
            <w:pPr>
              <w:rPr>
                <w:rFonts w:ascii="Arial"/>
                <w:sz w:val="21"/>
              </w:rPr>
            </w:pPr>
          </w:p>
        </w:tc>
        <w:tc>
          <w:tcPr>
            <w:tcW w:w="760" w:type="dxa"/>
            <w:vAlign w:val="top"/>
          </w:tcPr>
          <w:p w14:paraId="63D61A2F">
            <w:pPr>
              <w:rPr>
                <w:rFonts w:ascii="Arial"/>
                <w:sz w:val="21"/>
              </w:rPr>
            </w:pPr>
          </w:p>
        </w:tc>
        <w:tc>
          <w:tcPr>
            <w:tcW w:w="1330" w:type="dxa"/>
            <w:tcBorders>
              <w:right w:val="nil"/>
            </w:tcBorders>
            <w:vAlign w:val="top"/>
          </w:tcPr>
          <w:p w14:paraId="41D83F2C">
            <w:pPr>
              <w:rPr>
                <w:rFonts w:ascii="Arial"/>
                <w:sz w:val="21"/>
              </w:rPr>
            </w:pPr>
          </w:p>
        </w:tc>
      </w:tr>
      <w:tr w14:paraId="534BE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600" w:type="dxa"/>
            <w:tcBorders>
              <w:left w:val="nil"/>
            </w:tcBorders>
            <w:vAlign w:val="top"/>
          </w:tcPr>
          <w:p w14:paraId="4D72B688">
            <w:pPr>
              <w:pStyle w:val="6"/>
              <w:spacing w:before="57" w:line="216" w:lineRule="auto"/>
              <w:ind w:left="49"/>
            </w:pPr>
            <w:r>
              <w:rPr>
                <w:spacing w:val="3"/>
              </w:rPr>
              <w:t>测试计划</w:t>
            </w:r>
          </w:p>
        </w:tc>
        <w:tc>
          <w:tcPr>
            <w:tcW w:w="910" w:type="dxa"/>
            <w:vAlign w:val="top"/>
          </w:tcPr>
          <w:p w14:paraId="63632FD1">
            <w:pPr>
              <w:rPr>
                <w:rFonts w:ascii="Arial"/>
                <w:sz w:val="21"/>
              </w:rPr>
            </w:pPr>
          </w:p>
        </w:tc>
        <w:tc>
          <w:tcPr>
            <w:tcW w:w="1180" w:type="dxa"/>
            <w:vAlign w:val="top"/>
          </w:tcPr>
          <w:p w14:paraId="2E26318A">
            <w:pPr>
              <w:rPr>
                <w:rFonts w:ascii="Arial"/>
                <w:sz w:val="21"/>
              </w:rPr>
            </w:pPr>
          </w:p>
        </w:tc>
        <w:tc>
          <w:tcPr>
            <w:tcW w:w="770" w:type="dxa"/>
            <w:vAlign w:val="top"/>
          </w:tcPr>
          <w:p w14:paraId="57F3E995">
            <w:pPr>
              <w:rPr>
                <w:rFonts w:ascii="Arial"/>
                <w:sz w:val="21"/>
              </w:rPr>
            </w:pPr>
          </w:p>
        </w:tc>
        <w:tc>
          <w:tcPr>
            <w:tcW w:w="770" w:type="dxa"/>
            <w:vAlign w:val="top"/>
          </w:tcPr>
          <w:p w14:paraId="5A634FA6">
            <w:pPr>
              <w:rPr>
                <w:rFonts w:ascii="Arial"/>
                <w:sz w:val="21"/>
              </w:rPr>
            </w:pPr>
          </w:p>
        </w:tc>
        <w:tc>
          <w:tcPr>
            <w:tcW w:w="760" w:type="dxa"/>
            <w:vAlign w:val="top"/>
          </w:tcPr>
          <w:p w14:paraId="66AB7388">
            <w:pPr>
              <w:rPr>
                <w:rFonts w:ascii="Arial"/>
                <w:sz w:val="21"/>
              </w:rPr>
            </w:pPr>
          </w:p>
        </w:tc>
        <w:tc>
          <w:tcPr>
            <w:tcW w:w="1330" w:type="dxa"/>
            <w:tcBorders>
              <w:right w:val="nil"/>
            </w:tcBorders>
            <w:vAlign w:val="top"/>
          </w:tcPr>
          <w:p w14:paraId="446A586C">
            <w:pPr>
              <w:rPr>
                <w:rFonts w:ascii="Arial"/>
                <w:sz w:val="21"/>
              </w:rPr>
            </w:pPr>
          </w:p>
        </w:tc>
      </w:tr>
      <w:tr w14:paraId="565A3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600" w:type="dxa"/>
            <w:tcBorders>
              <w:left w:val="nil"/>
            </w:tcBorders>
            <w:vAlign w:val="top"/>
          </w:tcPr>
          <w:p w14:paraId="62592F07">
            <w:pPr>
              <w:pStyle w:val="6"/>
              <w:spacing w:before="54" w:line="209" w:lineRule="auto"/>
              <w:ind w:left="49"/>
            </w:pPr>
            <w:r>
              <w:rPr>
                <w:spacing w:val="3"/>
              </w:rPr>
              <w:t>测试报告</w:t>
            </w:r>
          </w:p>
        </w:tc>
        <w:tc>
          <w:tcPr>
            <w:tcW w:w="910" w:type="dxa"/>
            <w:vAlign w:val="top"/>
          </w:tcPr>
          <w:p w14:paraId="281AAF13">
            <w:pPr>
              <w:rPr>
                <w:rFonts w:ascii="Arial"/>
                <w:sz w:val="21"/>
              </w:rPr>
            </w:pPr>
          </w:p>
        </w:tc>
        <w:tc>
          <w:tcPr>
            <w:tcW w:w="1180" w:type="dxa"/>
            <w:vAlign w:val="top"/>
          </w:tcPr>
          <w:p w14:paraId="5D32D761">
            <w:pPr>
              <w:rPr>
                <w:rFonts w:ascii="Arial"/>
                <w:sz w:val="21"/>
              </w:rPr>
            </w:pPr>
          </w:p>
        </w:tc>
        <w:tc>
          <w:tcPr>
            <w:tcW w:w="770" w:type="dxa"/>
            <w:vAlign w:val="top"/>
          </w:tcPr>
          <w:p w14:paraId="2BC479E8">
            <w:pPr>
              <w:rPr>
                <w:rFonts w:ascii="Arial"/>
                <w:sz w:val="21"/>
              </w:rPr>
            </w:pPr>
          </w:p>
        </w:tc>
        <w:tc>
          <w:tcPr>
            <w:tcW w:w="770" w:type="dxa"/>
            <w:vAlign w:val="top"/>
          </w:tcPr>
          <w:p w14:paraId="7D0EFA3C">
            <w:pPr>
              <w:rPr>
                <w:rFonts w:ascii="Arial"/>
                <w:sz w:val="21"/>
              </w:rPr>
            </w:pPr>
          </w:p>
        </w:tc>
        <w:tc>
          <w:tcPr>
            <w:tcW w:w="760" w:type="dxa"/>
            <w:vAlign w:val="top"/>
          </w:tcPr>
          <w:p w14:paraId="242476AC">
            <w:pPr>
              <w:rPr>
                <w:rFonts w:ascii="Arial"/>
                <w:sz w:val="21"/>
              </w:rPr>
            </w:pPr>
          </w:p>
        </w:tc>
        <w:tc>
          <w:tcPr>
            <w:tcW w:w="1330" w:type="dxa"/>
            <w:tcBorders>
              <w:right w:val="nil"/>
            </w:tcBorders>
            <w:vAlign w:val="top"/>
          </w:tcPr>
          <w:p w14:paraId="7C5ACCA0">
            <w:pPr>
              <w:rPr>
                <w:rFonts w:ascii="Arial"/>
                <w:sz w:val="21"/>
              </w:rPr>
            </w:pPr>
          </w:p>
        </w:tc>
      </w:tr>
      <w:tr w14:paraId="6805E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600" w:type="dxa"/>
            <w:tcBorders>
              <w:left w:val="nil"/>
            </w:tcBorders>
            <w:vAlign w:val="top"/>
          </w:tcPr>
          <w:p w14:paraId="04CD7544">
            <w:pPr>
              <w:pStyle w:val="6"/>
              <w:spacing w:before="56" w:line="216" w:lineRule="auto"/>
              <w:ind w:left="49"/>
            </w:pPr>
            <w:r>
              <w:rPr>
                <w:spacing w:val="-2"/>
              </w:rPr>
              <w:t>开发进度月报</w:t>
            </w:r>
          </w:p>
        </w:tc>
        <w:tc>
          <w:tcPr>
            <w:tcW w:w="2090" w:type="dxa"/>
            <w:gridSpan w:val="2"/>
            <w:vAlign w:val="top"/>
          </w:tcPr>
          <w:p w14:paraId="6A212E37">
            <w:pPr>
              <w:rPr>
                <w:rFonts w:ascii="Arial"/>
                <w:sz w:val="21"/>
              </w:rPr>
            </w:pPr>
          </w:p>
        </w:tc>
        <w:tc>
          <w:tcPr>
            <w:tcW w:w="770" w:type="dxa"/>
            <w:vAlign w:val="top"/>
          </w:tcPr>
          <w:p w14:paraId="137DFEEC">
            <w:pPr>
              <w:rPr>
                <w:rFonts w:ascii="Arial"/>
                <w:sz w:val="21"/>
              </w:rPr>
            </w:pPr>
          </w:p>
        </w:tc>
        <w:tc>
          <w:tcPr>
            <w:tcW w:w="770" w:type="dxa"/>
            <w:vAlign w:val="top"/>
          </w:tcPr>
          <w:p w14:paraId="766DAE13">
            <w:pPr>
              <w:rPr>
                <w:rFonts w:ascii="Arial"/>
                <w:sz w:val="21"/>
              </w:rPr>
            </w:pPr>
          </w:p>
        </w:tc>
        <w:tc>
          <w:tcPr>
            <w:tcW w:w="760" w:type="dxa"/>
            <w:vAlign w:val="top"/>
          </w:tcPr>
          <w:p w14:paraId="628B7211">
            <w:pPr>
              <w:rPr>
                <w:rFonts w:ascii="Arial"/>
                <w:sz w:val="21"/>
              </w:rPr>
            </w:pPr>
          </w:p>
        </w:tc>
        <w:tc>
          <w:tcPr>
            <w:tcW w:w="1330" w:type="dxa"/>
            <w:tcBorders>
              <w:right w:val="nil"/>
            </w:tcBorders>
            <w:vAlign w:val="top"/>
          </w:tcPr>
          <w:p w14:paraId="430C2B0C">
            <w:pPr>
              <w:rPr>
                <w:rFonts w:ascii="Arial"/>
                <w:sz w:val="21"/>
              </w:rPr>
            </w:pPr>
          </w:p>
        </w:tc>
      </w:tr>
      <w:tr w14:paraId="78092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600" w:type="dxa"/>
            <w:tcBorders>
              <w:left w:val="nil"/>
            </w:tcBorders>
            <w:vAlign w:val="top"/>
          </w:tcPr>
          <w:p w14:paraId="6F6A17BB">
            <w:pPr>
              <w:pStyle w:val="6"/>
              <w:spacing w:before="56" w:line="217" w:lineRule="auto"/>
              <w:ind w:left="49"/>
            </w:pPr>
            <w:r>
              <w:rPr>
                <w:spacing w:val="1"/>
              </w:rPr>
              <w:t>项目开发总结报告</w:t>
            </w:r>
          </w:p>
        </w:tc>
        <w:tc>
          <w:tcPr>
            <w:tcW w:w="910" w:type="dxa"/>
            <w:vAlign w:val="top"/>
          </w:tcPr>
          <w:p w14:paraId="2F23A8EC">
            <w:pPr>
              <w:rPr>
                <w:rFonts w:ascii="Arial"/>
                <w:sz w:val="21"/>
              </w:rPr>
            </w:pPr>
          </w:p>
        </w:tc>
        <w:tc>
          <w:tcPr>
            <w:tcW w:w="1180" w:type="dxa"/>
            <w:vAlign w:val="top"/>
          </w:tcPr>
          <w:p w14:paraId="2C63D09C">
            <w:pPr>
              <w:rPr>
                <w:rFonts w:ascii="Arial"/>
                <w:sz w:val="21"/>
              </w:rPr>
            </w:pPr>
          </w:p>
        </w:tc>
        <w:tc>
          <w:tcPr>
            <w:tcW w:w="770" w:type="dxa"/>
            <w:vAlign w:val="top"/>
          </w:tcPr>
          <w:p w14:paraId="7AAC3549">
            <w:pPr>
              <w:rPr>
                <w:rFonts w:ascii="Arial"/>
                <w:sz w:val="21"/>
              </w:rPr>
            </w:pPr>
          </w:p>
        </w:tc>
        <w:tc>
          <w:tcPr>
            <w:tcW w:w="770" w:type="dxa"/>
            <w:vAlign w:val="top"/>
          </w:tcPr>
          <w:p w14:paraId="5041FC05">
            <w:pPr>
              <w:rPr>
                <w:rFonts w:ascii="Arial"/>
                <w:sz w:val="21"/>
              </w:rPr>
            </w:pPr>
          </w:p>
        </w:tc>
        <w:tc>
          <w:tcPr>
            <w:tcW w:w="760" w:type="dxa"/>
            <w:vAlign w:val="top"/>
          </w:tcPr>
          <w:p w14:paraId="1170DE9A">
            <w:pPr>
              <w:rPr>
                <w:rFonts w:ascii="Arial"/>
                <w:sz w:val="21"/>
              </w:rPr>
            </w:pPr>
          </w:p>
        </w:tc>
        <w:tc>
          <w:tcPr>
            <w:tcW w:w="1330" w:type="dxa"/>
            <w:tcBorders>
              <w:right w:val="nil"/>
            </w:tcBorders>
            <w:vAlign w:val="top"/>
          </w:tcPr>
          <w:p w14:paraId="11FDB895">
            <w:pPr>
              <w:rPr>
                <w:rFonts w:ascii="Arial"/>
                <w:sz w:val="21"/>
              </w:rPr>
            </w:pPr>
          </w:p>
        </w:tc>
      </w:tr>
      <w:tr w14:paraId="58ACB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600" w:type="dxa"/>
            <w:tcBorders>
              <w:left w:val="nil"/>
            </w:tcBorders>
            <w:vAlign w:val="top"/>
          </w:tcPr>
          <w:p w14:paraId="13AFE7E1">
            <w:pPr>
              <w:pStyle w:val="6"/>
              <w:spacing w:before="57" w:line="206" w:lineRule="auto"/>
              <w:ind w:left="49"/>
            </w:pPr>
            <w:r>
              <w:rPr>
                <w:spacing w:val="2"/>
              </w:rPr>
              <w:t>软件产品规格说明</w:t>
            </w:r>
          </w:p>
        </w:tc>
        <w:tc>
          <w:tcPr>
            <w:tcW w:w="910" w:type="dxa"/>
            <w:vAlign w:val="top"/>
          </w:tcPr>
          <w:p w14:paraId="44F00CE5">
            <w:pPr>
              <w:rPr>
                <w:rFonts w:ascii="Arial"/>
                <w:sz w:val="21"/>
              </w:rPr>
            </w:pPr>
          </w:p>
        </w:tc>
        <w:tc>
          <w:tcPr>
            <w:tcW w:w="1180" w:type="dxa"/>
            <w:vAlign w:val="top"/>
          </w:tcPr>
          <w:p w14:paraId="063179F7">
            <w:pPr>
              <w:rPr>
                <w:rFonts w:ascii="Arial"/>
                <w:sz w:val="21"/>
              </w:rPr>
            </w:pPr>
          </w:p>
        </w:tc>
        <w:tc>
          <w:tcPr>
            <w:tcW w:w="770" w:type="dxa"/>
            <w:vAlign w:val="top"/>
          </w:tcPr>
          <w:p w14:paraId="6264A36D">
            <w:pPr>
              <w:rPr>
                <w:rFonts w:ascii="Arial"/>
                <w:sz w:val="21"/>
              </w:rPr>
            </w:pPr>
          </w:p>
        </w:tc>
        <w:tc>
          <w:tcPr>
            <w:tcW w:w="770" w:type="dxa"/>
            <w:vAlign w:val="top"/>
          </w:tcPr>
          <w:p w14:paraId="4FDAF199">
            <w:pPr>
              <w:rPr>
                <w:rFonts w:ascii="Arial"/>
                <w:sz w:val="21"/>
              </w:rPr>
            </w:pPr>
          </w:p>
        </w:tc>
        <w:tc>
          <w:tcPr>
            <w:tcW w:w="760" w:type="dxa"/>
            <w:vAlign w:val="top"/>
          </w:tcPr>
          <w:p w14:paraId="4CE9231D">
            <w:pPr>
              <w:rPr>
                <w:rFonts w:ascii="Arial"/>
                <w:sz w:val="21"/>
              </w:rPr>
            </w:pPr>
          </w:p>
        </w:tc>
        <w:tc>
          <w:tcPr>
            <w:tcW w:w="1330" w:type="dxa"/>
            <w:tcBorders>
              <w:right w:val="nil"/>
            </w:tcBorders>
            <w:vAlign w:val="top"/>
          </w:tcPr>
          <w:p w14:paraId="5F6E32F6">
            <w:pPr>
              <w:rPr>
                <w:rFonts w:ascii="Arial"/>
                <w:sz w:val="21"/>
              </w:rPr>
            </w:pPr>
          </w:p>
        </w:tc>
      </w:tr>
      <w:tr w14:paraId="3B156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2600" w:type="dxa"/>
            <w:tcBorders>
              <w:left w:val="nil"/>
            </w:tcBorders>
            <w:vAlign w:val="top"/>
          </w:tcPr>
          <w:p w14:paraId="43997A8C">
            <w:pPr>
              <w:pStyle w:val="6"/>
              <w:spacing w:before="56" w:line="219" w:lineRule="auto"/>
              <w:ind w:left="49"/>
            </w:pPr>
            <w:r>
              <w:rPr>
                <w:spacing w:val="3"/>
              </w:rPr>
              <w:t>软件版本说明</w:t>
            </w:r>
          </w:p>
        </w:tc>
        <w:tc>
          <w:tcPr>
            <w:tcW w:w="910" w:type="dxa"/>
            <w:vAlign w:val="top"/>
          </w:tcPr>
          <w:p w14:paraId="789A578C">
            <w:pPr>
              <w:rPr>
                <w:rFonts w:ascii="Arial"/>
                <w:sz w:val="21"/>
              </w:rPr>
            </w:pPr>
          </w:p>
        </w:tc>
        <w:tc>
          <w:tcPr>
            <w:tcW w:w="1180" w:type="dxa"/>
            <w:vAlign w:val="top"/>
          </w:tcPr>
          <w:p w14:paraId="5D3C1431">
            <w:pPr>
              <w:rPr>
                <w:rFonts w:ascii="Arial"/>
                <w:sz w:val="21"/>
              </w:rPr>
            </w:pPr>
          </w:p>
        </w:tc>
        <w:tc>
          <w:tcPr>
            <w:tcW w:w="770" w:type="dxa"/>
            <w:vAlign w:val="top"/>
          </w:tcPr>
          <w:p w14:paraId="5C94AEF0">
            <w:pPr>
              <w:rPr>
                <w:rFonts w:ascii="Arial"/>
                <w:sz w:val="21"/>
              </w:rPr>
            </w:pPr>
          </w:p>
        </w:tc>
        <w:tc>
          <w:tcPr>
            <w:tcW w:w="770" w:type="dxa"/>
            <w:vAlign w:val="top"/>
          </w:tcPr>
          <w:p w14:paraId="7C0FFB08">
            <w:pPr>
              <w:rPr>
                <w:rFonts w:ascii="Arial"/>
                <w:sz w:val="21"/>
              </w:rPr>
            </w:pPr>
          </w:p>
        </w:tc>
        <w:tc>
          <w:tcPr>
            <w:tcW w:w="760" w:type="dxa"/>
            <w:vAlign w:val="top"/>
          </w:tcPr>
          <w:p w14:paraId="2D0D04A7">
            <w:pPr>
              <w:rPr>
                <w:rFonts w:ascii="Arial"/>
                <w:sz w:val="21"/>
              </w:rPr>
            </w:pPr>
          </w:p>
        </w:tc>
        <w:tc>
          <w:tcPr>
            <w:tcW w:w="1330" w:type="dxa"/>
            <w:tcBorders>
              <w:right w:val="nil"/>
            </w:tcBorders>
            <w:vAlign w:val="top"/>
          </w:tcPr>
          <w:p w14:paraId="17C19C99">
            <w:pPr>
              <w:rPr>
                <w:rFonts w:ascii="Arial"/>
                <w:sz w:val="21"/>
              </w:rPr>
            </w:pPr>
          </w:p>
        </w:tc>
      </w:tr>
    </w:tbl>
    <w:p w14:paraId="2CB75D2C">
      <w:pPr>
        <w:pStyle w:val="2"/>
        <w:spacing w:before="212" w:line="281" w:lineRule="auto"/>
        <w:ind w:right="240" w:firstLine="409"/>
        <w:jc w:val="both"/>
        <w:rPr>
          <w:sz w:val="20"/>
          <w:szCs w:val="20"/>
        </w:rPr>
      </w:pPr>
      <w:r>
        <w:rPr>
          <w:spacing w:val="-1"/>
          <w:sz w:val="20"/>
          <w:szCs w:val="20"/>
        </w:rPr>
        <w:t>需要注意的是，软件文档编制后往往不是一成不变的，需要根据项目的</w:t>
      </w:r>
      <w:r>
        <w:rPr>
          <w:spacing w:val="-2"/>
          <w:sz w:val="20"/>
          <w:szCs w:val="20"/>
        </w:rPr>
        <w:t>推进情况进行调整、</w:t>
      </w:r>
      <w:r>
        <w:rPr>
          <w:sz w:val="20"/>
          <w:szCs w:val="20"/>
        </w:rPr>
        <w:t xml:space="preserve"> </w:t>
      </w:r>
      <w:r>
        <w:rPr>
          <w:spacing w:val="3"/>
          <w:sz w:val="20"/>
          <w:szCs w:val="20"/>
        </w:rPr>
        <w:t>细化和完善。例如，软件开发计划应在计划阶段输出，明确项目目标、范围、预算和</w:t>
      </w:r>
      <w:r>
        <w:rPr>
          <w:spacing w:val="2"/>
          <w:sz w:val="20"/>
          <w:szCs w:val="20"/>
        </w:rPr>
        <w:t>工期；在</w:t>
      </w:r>
      <w:r>
        <w:rPr>
          <w:sz w:val="20"/>
          <w:szCs w:val="20"/>
        </w:rPr>
        <w:t xml:space="preserve"> </w:t>
      </w:r>
      <w:r>
        <w:rPr>
          <w:spacing w:val="3"/>
          <w:sz w:val="20"/>
          <w:szCs w:val="20"/>
        </w:rPr>
        <w:t>需求阶段确认并细化需求，进一步调整计划；设计阶段根据系统架构和模块设计对计</w:t>
      </w:r>
      <w:r>
        <w:rPr>
          <w:spacing w:val="2"/>
          <w:sz w:val="20"/>
          <w:szCs w:val="20"/>
        </w:rPr>
        <w:t>划进行完</w:t>
      </w:r>
      <w:r>
        <w:rPr>
          <w:sz w:val="20"/>
          <w:szCs w:val="20"/>
        </w:rPr>
        <w:t xml:space="preserve"> </w:t>
      </w:r>
      <w:r>
        <w:rPr>
          <w:spacing w:val="3"/>
          <w:sz w:val="20"/>
          <w:szCs w:val="20"/>
        </w:rPr>
        <w:t>善；编码阶段基于代码实现情况持续更新计划；测试阶段按照测试进度调整计划。总</w:t>
      </w:r>
      <w:r>
        <w:rPr>
          <w:spacing w:val="2"/>
          <w:sz w:val="20"/>
          <w:szCs w:val="20"/>
        </w:rPr>
        <w:t>之，应在</w:t>
      </w:r>
      <w:r>
        <w:rPr>
          <w:sz w:val="20"/>
          <w:szCs w:val="20"/>
        </w:rPr>
        <w:t xml:space="preserve"> </w:t>
      </w:r>
      <w:r>
        <w:rPr>
          <w:spacing w:val="-1"/>
          <w:sz w:val="20"/>
          <w:szCs w:val="20"/>
        </w:rPr>
        <w:t>每个阶段不断修订和完善软件开发计划，以</w:t>
      </w:r>
      <w:r>
        <w:rPr>
          <w:spacing w:val="-2"/>
          <w:sz w:val="20"/>
          <w:szCs w:val="20"/>
        </w:rPr>
        <w:t>保证项目顺利推进。</w:t>
      </w:r>
    </w:p>
    <w:p w14:paraId="772EB2C8">
      <w:pPr>
        <w:pStyle w:val="2"/>
        <w:spacing w:before="19" w:line="277" w:lineRule="auto"/>
        <w:ind w:right="232" w:firstLine="409"/>
        <w:jc w:val="both"/>
        <w:rPr>
          <w:sz w:val="20"/>
          <w:szCs w:val="20"/>
        </w:rPr>
      </w:pPr>
      <w:r>
        <w:rPr>
          <w:spacing w:val="-1"/>
          <w:sz w:val="20"/>
          <w:szCs w:val="20"/>
        </w:rPr>
        <w:t>鉴于软件开发是具有创造性的脑力劳动，也鉴于不同软件在规模上和复杂程度上差别极大，</w:t>
      </w:r>
      <w:r>
        <w:rPr>
          <w:sz w:val="20"/>
          <w:szCs w:val="20"/>
        </w:rPr>
        <w:t xml:space="preserve"> </w:t>
      </w:r>
      <w:r>
        <w:rPr>
          <w:spacing w:val="3"/>
          <w:sz w:val="20"/>
          <w:szCs w:val="20"/>
        </w:rPr>
        <w:t>在文档编制工作中允许一定的灵活性。</w:t>
      </w:r>
      <w:r>
        <w:rPr>
          <w:spacing w:val="-50"/>
          <w:sz w:val="20"/>
          <w:szCs w:val="20"/>
        </w:rPr>
        <w:t xml:space="preserve"> </w:t>
      </w:r>
      <w:r>
        <w:rPr>
          <w:spacing w:val="3"/>
          <w:sz w:val="20"/>
          <w:szCs w:val="20"/>
        </w:rPr>
        <w:t>一般来说，当项目的规模、复杂性和失败风险</w:t>
      </w:r>
      <w:r>
        <w:rPr>
          <w:spacing w:val="2"/>
          <w:sz w:val="20"/>
          <w:szCs w:val="20"/>
        </w:rPr>
        <w:t>增大时，</w:t>
      </w:r>
      <w:r>
        <w:rPr>
          <w:sz w:val="20"/>
          <w:szCs w:val="20"/>
        </w:rPr>
        <w:t xml:space="preserve"> </w:t>
      </w:r>
      <w:r>
        <w:rPr>
          <w:spacing w:val="-1"/>
          <w:sz w:val="20"/>
          <w:szCs w:val="20"/>
        </w:rPr>
        <w:t>文档编制的范围、管理手续和详细程度将随之增加；反之，则</w:t>
      </w:r>
      <w:r>
        <w:rPr>
          <w:spacing w:val="-2"/>
          <w:sz w:val="20"/>
          <w:szCs w:val="20"/>
        </w:rPr>
        <w:t>可适当减少。</w:t>
      </w:r>
    </w:p>
    <w:p w14:paraId="601AEA08">
      <w:pPr>
        <w:pStyle w:val="2"/>
        <w:spacing w:before="16" w:line="278" w:lineRule="auto"/>
        <w:ind w:right="281" w:firstLine="409"/>
        <w:jc w:val="both"/>
        <w:rPr>
          <w:sz w:val="20"/>
          <w:szCs w:val="20"/>
        </w:rPr>
      </w:pPr>
      <w:r>
        <w:rPr>
          <w:spacing w:val="3"/>
          <w:sz w:val="20"/>
          <w:szCs w:val="20"/>
        </w:rPr>
        <w:t>一个信息应用系统的承建单位应根据本单位经营的应用软件的专业领域</w:t>
      </w:r>
      <w:r>
        <w:rPr>
          <w:spacing w:val="2"/>
          <w:sz w:val="20"/>
          <w:szCs w:val="20"/>
        </w:rPr>
        <w:t>和本单位的管理能</w:t>
      </w:r>
      <w:r>
        <w:rPr>
          <w:sz w:val="20"/>
          <w:szCs w:val="20"/>
        </w:rPr>
        <w:t xml:space="preserve"> </w:t>
      </w:r>
      <w:r>
        <w:rPr>
          <w:spacing w:val="3"/>
          <w:sz w:val="20"/>
          <w:szCs w:val="20"/>
        </w:rPr>
        <w:t>力，制定对文档编制要求的实施规定，主要包括：在不同的条件下应该形成哪些</w:t>
      </w:r>
      <w:r>
        <w:rPr>
          <w:spacing w:val="2"/>
          <w:sz w:val="20"/>
          <w:szCs w:val="20"/>
        </w:rPr>
        <w:t>文档，以及这</w:t>
      </w:r>
      <w:r>
        <w:rPr>
          <w:sz w:val="20"/>
          <w:szCs w:val="20"/>
        </w:rPr>
        <w:t xml:space="preserve"> </w:t>
      </w:r>
      <w:r>
        <w:rPr>
          <w:spacing w:val="-2"/>
          <w:sz w:val="20"/>
          <w:szCs w:val="20"/>
        </w:rPr>
        <w:t>些文档的详细程度。</w:t>
      </w:r>
    </w:p>
    <w:p w14:paraId="5C499D03">
      <w:pPr>
        <w:spacing w:line="278" w:lineRule="auto"/>
        <w:rPr>
          <w:sz w:val="20"/>
          <w:szCs w:val="20"/>
        </w:rPr>
        <w:sectPr>
          <w:pgSz w:w="10280" w:h="13290"/>
          <w:pgMar w:top="390" w:right="587" w:bottom="400" w:left="1089" w:header="0" w:footer="0" w:gutter="0"/>
          <w:cols w:space="720" w:num="1"/>
        </w:sectPr>
      </w:pPr>
    </w:p>
    <w:p w14:paraId="15115D49">
      <w:pPr>
        <w:pStyle w:val="2"/>
        <w:spacing w:before="97" w:line="219" w:lineRule="auto"/>
        <w:rPr>
          <w:sz w:val="19"/>
          <w:szCs w:val="19"/>
        </w:rPr>
      </w:pPr>
      <w:bookmarkStart w:id="666" w:name="bookmark651"/>
      <w:bookmarkEnd w:id="666"/>
      <w:r>
        <w:rPr>
          <w:rFonts w:ascii="Times New Roman" w:hAnsi="Times New Roman" w:eastAsia="Times New Roman" w:cs="Times New Roman"/>
          <w:spacing w:val="4"/>
          <w:sz w:val="19"/>
          <w:szCs w:val="19"/>
        </w:rPr>
        <w:t>354</w:t>
      </w:r>
      <w:r>
        <w:rPr>
          <w:rFonts w:ascii="Times New Roman" w:hAnsi="Times New Roman" w:eastAsia="Times New Roman" w:cs="Times New Roman"/>
          <w:spacing w:val="1"/>
          <w:sz w:val="19"/>
          <w:szCs w:val="19"/>
        </w:rPr>
        <w:t xml:space="preserve">               </w:t>
      </w:r>
      <w:r>
        <w:rPr>
          <w:spacing w:val="4"/>
          <w:sz w:val="19"/>
          <w:szCs w:val="19"/>
        </w:rPr>
        <w:t>信息系统监理师教程(第2版)</w:t>
      </w:r>
    </w:p>
    <w:p w14:paraId="33F1DAE5">
      <w:pPr>
        <w:spacing w:line="330" w:lineRule="auto"/>
        <w:rPr>
          <w:rFonts w:ascii="Arial"/>
          <w:sz w:val="21"/>
        </w:rPr>
      </w:pPr>
    </w:p>
    <w:p w14:paraId="7EF7ACB4">
      <w:pPr>
        <w:pStyle w:val="2"/>
        <w:spacing w:before="62" w:line="325" w:lineRule="auto"/>
        <w:ind w:left="390" w:right="6" w:firstLine="389"/>
        <w:jc w:val="both"/>
        <w:rPr>
          <w:sz w:val="15"/>
          <w:szCs w:val="15"/>
        </w:rPr>
      </w:pPr>
      <w:r>
        <w:rPr>
          <w:spacing w:val="13"/>
          <w:sz w:val="19"/>
          <w:szCs w:val="19"/>
        </w:rPr>
        <w:t>对于一个具体的信息应用系统工程建设项目，项目负责人应根据上述实施规定，确定文档</w:t>
      </w:r>
      <w:r>
        <w:rPr>
          <w:spacing w:val="15"/>
          <w:sz w:val="19"/>
          <w:szCs w:val="19"/>
        </w:rPr>
        <w:t xml:space="preserve"> </w:t>
      </w:r>
      <w:r>
        <w:rPr>
          <w:spacing w:val="20"/>
          <w:sz w:val="19"/>
          <w:szCs w:val="19"/>
        </w:rPr>
        <w:t>编制计划(可以包含在软件开发计划中),并将每项工作落实到人。文档编制</w:t>
      </w:r>
      <w:r>
        <w:rPr>
          <w:spacing w:val="19"/>
          <w:sz w:val="19"/>
          <w:szCs w:val="19"/>
        </w:rPr>
        <w:t>计划的主要内容</w:t>
      </w:r>
      <w:r>
        <w:rPr>
          <w:sz w:val="19"/>
          <w:szCs w:val="19"/>
        </w:rPr>
        <w:t xml:space="preserve"> </w:t>
      </w:r>
      <w:r>
        <w:rPr>
          <w:spacing w:val="-4"/>
          <w:sz w:val="15"/>
          <w:szCs w:val="15"/>
        </w:rPr>
        <w:t>包</w:t>
      </w:r>
      <w:r>
        <w:rPr>
          <w:spacing w:val="-7"/>
          <w:sz w:val="15"/>
          <w:szCs w:val="15"/>
        </w:rPr>
        <w:t xml:space="preserve"> </w:t>
      </w:r>
      <w:r>
        <w:rPr>
          <w:spacing w:val="-4"/>
          <w:sz w:val="15"/>
          <w:szCs w:val="15"/>
        </w:rPr>
        <w:t>括</w:t>
      </w:r>
      <w:r>
        <w:rPr>
          <w:spacing w:val="-13"/>
          <w:sz w:val="15"/>
          <w:szCs w:val="15"/>
        </w:rPr>
        <w:t xml:space="preserve"> </w:t>
      </w:r>
      <w:r>
        <w:rPr>
          <w:spacing w:val="-4"/>
          <w:sz w:val="15"/>
          <w:szCs w:val="15"/>
        </w:rPr>
        <w:t>：</w:t>
      </w:r>
    </w:p>
    <w:p w14:paraId="4EA64C40">
      <w:pPr>
        <w:pStyle w:val="2"/>
        <w:spacing w:before="35" w:line="219" w:lineRule="auto"/>
        <w:ind w:left="780"/>
        <w:rPr>
          <w:sz w:val="19"/>
          <w:szCs w:val="19"/>
        </w:rPr>
      </w:pPr>
      <w:r>
        <w:rPr>
          <w:spacing w:val="10"/>
          <w:sz w:val="19"/>
          <w:szCs w:val="19"/>
        </w:rPr>
        <w:t>(1)应该编制哪几种文档，详细程度如何；</w:t>
      </w:r>
    </w:p>
    <w:p w14:paraId="1A6F384D">
      <w:pPr>
        <w:pStyle w:val="2"/>
        <w:spacing w:before="96" w:line="219" w:lineRule="auto"/>
        <w:ind w:left="780"/>
        <w:rPr>
          <w:sz w:val="19"/>
          <w:szCs w:val="19"/>
        </w:rPr>
      </w:pPr>
      <w:r>
        <w:rPr>
          <w:spacing w:val="10"/>
          <w:sz w:val="19"/>
          <w:szCs w:val="19"/>
        </w:rPr>
        <w:t>(2)各文档的编制负责人和进度要求；</w:t>
      </w:r>
    </w:p>
    <w:p w14:paraId="0A752BCE">
      <w:pPr>
        <w:pStyle w:val="2"/>
        <w:spacing w:before="104" w:line="219" w:lineRule="auto"/>
        <w:ind w:left="780"/>
        <w:rPr>
          <w:sz w:val="19"/>
          <w:szCs w:val="19"/>
        </w:rPr>
      </w:pPr>
      <w:r>
        <w:rPr>
          <w:spacing w:val="11"/>
          <w:sz w:val="19"/>
          <w:szCs w:val="19"/>
        </w:rPr>
        <w:t>(3)审查、批准的负责人和时间进度安排；</w:t>
      </w:r>
    </w:p>
    <w:p w14:paraId="49A489C5">
      <w:pPr>
        <w:pStyle w:val="2"/>
        <w:spacing w:before="95" w:line="219" w:lineRule="auto"/>
        <w:ind w:left="780"/>
        <w:rPr>
          <w:sz w:val="19"/>
          <w:szCs w:val="19"/>
        </w:rPr>
      </w:pPr>
      <w:r>
        <w:rPr>
          <w:spacing w:val="11"/>
          <w:sz w:val="19"/>
          <w:szCs w:val="19"/>
        </w:rPr>
        <w:t>(4)在开发周期内，各文档的维护修改和管理的负责人，以及批准手续。</w:t>
      </w:r>
    </w:p>
    <w:p w14:paraId="1131F620">
      <w:pPr>
        <w:pStyle w:val="2"/>
        <w:spacing w:before="83" w:line="219" w:lineRule="auto"/>
        <w:ind w:left="780"/>
        <w:rPr>
          <w:sz w:val="19"/>
          <w:szCs w:val="19"/>
        </w:rPr>
      </w:pPr>
      <w:r>
        <w:rPr>
          <w:spacing w:val="10"/>
          <w:sz w:val="19"/>
          <w:szCs w:val="19"/>
        </w:rPr>
        <w:t>表14-8展示了本项目信息应用系统文档在项目各阶段质量控制的具体案例。</w:t>
      </w:r>
    </w:p>
    <w:p w14:paraId="5D60C7E4">
      <w:pPr>
        <w:spacing w:before="162" w:line="221" w:lineRule="auto"/>
        <w:ind w:left="2992"/>
        <w:rPr>
          <w:rFonts w:ascii="黑体" w:hAnsi="黑体" w:eastAsia="黑体" w:cs="黑体"/>
          <w:sz w:val="19"/>
          <w:szCs w:val="19"/>
        </w:rPr>
      </w:pPr>
      <w:r>
        <w:rPr>
          <w:rFonts w:ascii="黑体" w:hAnsi="黑体" w:eastAsia="黑体" w:cs="黑体"/>
          <w:b/>
          <w:bCs/>
          <w:spacing w:val="-9"/>
          <w:sz w:val="19"/>
          <w:szCs w:val="19"/>
        </w:rPr>
        <w:t>表14-8</w:t>
      </w:r>
      <w:r>
        <w:rPr>
          <w:rFonts w:ascii="黑体" w:hAnsi="黑体" w:eastAsia="黑体" w:cs="黑体"/>
          <w:spacing w:val="88"/>
          <w:sz w:val="19"/>
          <w:szCs w:val="19"/>
        </w:rPr>
        <w:t xml:space="preserve"> </w:t>
      </w:r>
      <w:r>
        <w:rPr>
          <w:rFonts w:ascii="黑体" w:hAnsi="黑体" w:eastAsia="黑体" w:cs="黑体"/>
          <w:b/>
          <w:bCs/>
          <w:spacing w:val="-9"/>
          <w:sz w:val="19"/>
          <w:szCs w:val="19"/>
        </w:rPr>
        <w:t>信息应用系统文档的质量控制</w:t>
      </w:r>
    </w:p>
    <w:p w14:paraId="1F702525">
      <w:pPr>
        <w:spacing w:line="104" w:lineRule="exact"/>
      </w:pPr>
    </w:p>
    <w:tbl>
      <w:tblPr>
        <w:tblStyle w:val="5"/>
        <w:tblW w:w="8329" w:type="dxa"/>
        <w:tblInd w:w="3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0"/>
        <w:gridCol w:w="4460"/>
        <w:gridCol w:w="1420"/>
        <w:gridCol w:w="1419"/>
      </w:tblGrid>
      <w:tr w14:paraId="598C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1030" w:type="dxa"/>
            <w:tcBorders>
              <w:left w:val="nil"/>
            </w:tcBorders>
            <w:vAlign w:val="top"/>
          </w:tcPr>
          <w:p w14:paraId="0B47DE87">
            <w:pPr>
              <w:pStyle w:val="6"/>
              <w:spacing w:before="61" w:line="221" w:lineRule="auto"/>
              <w:ind w:left="322"/>
            </w:pPr>
            <w:r>
              <w:rPr>
                <w:b/>
                <w:bCs/>
                <w:spacing w:val="-6"/>
              </w:rPr>
              <w:t>阶段</w:t>
            </w:r>
          </w:p>
        </w:tc>
        <w:tc>
          <w:tcPr>
            <w:tcW w:w="4460" w:type="dxa"/>
            <w:vAlign w:val="top"/>
          </w:tcPr>
          <w:p w14:paraId="34E99971">
            <w:pPr>
              <w:pStyle w:val="6"/>
              <w:spacing w:before="60" w:line="220" w:lineRule="auto"/>
              <w:ind w:left="1707"/>
            </w:pPr>
            <w:r>
              <w:rPr>
                <w:b/>
                <w:bCs/>
                <w:spacing w:val="-4"/>
              </w:rPr>
              <w:t>质量控制要点</w:t>
            </w:r>
          </w:p>
        </w:tc>
        <w:tc>
          <w:tcPr>
            <w:tcW w:w="1420" w:type="dxa"/>
            <w:vAlign w:val="top"/>
          </w:tcPr>
          <w:p w14:paraId="44EF4EBE">
            <w:pPr>
              <w:pStyle w:val="6"/>
              <w:spacing w:before="60" w:line="220" w:lineRule="auto"/>
              <w:ind w:left="187"/>
            </w:pPr>
            <w:r>
              <w:rPr>
                <w:b/>
                <w:bCs/>
                <w:spacing w:val="-4"/>
              </w:rPr>
              <w:t>质量控制手段</w:t>
            </w:r>
          </w:p>
        </w:tc>
        <w:tc>
          <w:tcPr>
            <w:tcW w:w="1419" w:type="dxa"/>
            <w:tcBorders>
              <w:right w:val="nil"/>
            </w:tcBorders>
            <w:vAlign w:val="top"/>
          </w:tcPr>
          <w:p w14:paraId="7EB6A4EE">
            <w:pPr>
              <w:pStyle w:val="6"/>
              <w:spacing w:before="60" w:line="219" w:lineRule="auto"/>
              <w:ind w:left="367"/>
            </w:pPr>
            <w:r>
              <w:rPr>
                <w:b/>
                <w:bCs/>
                <w:spacing w:val="-4"/>
              </w:rPr>
              <w:t>验收方式</w:t>
            </w:r>
          </w:p>
        </w:tc>
      </w:tr>
      <w:tr w14:paraId="42ADE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7" w:hRule="atLeast"/>
        </w:trPr>
        <w:tc>
          <w:tcPr>
            <w:tcW w:w="1030" w:type="dxa"/>
            <w:tcBorders>
              <w:left w:val="nil"/>
            </w:tcBorders>
            <w:vAlign w:val="top"/>
          </w:tcPr>
          <w:p w14:paraId="629F1E29">
            <w:pPr>
              <w:spacing w:line="336" w:lineRule="auto"/>
              <w:rPr>
                <w:rFonts w:ascii="Arial"/>
                <w:sz w:val="21"/>
              </w:rPr>
            </w:pPr>
          </w:p>
          <w:p w14:paraId="69F884A2">
            <w:pPr>
              <w:spacing w:line="336" w:lineRule="auto"/>
              <w:rPr>
                <w:rFonts w:ascii="Arial"/>
                <w:sz w:val="21"/>
              </w:rPr>
            </w:pPr>
          </w:p>
          <w:p w14:paraId="7D9F8F36">
            <w:pPr>
              <w:pStyle w:val="6"/>
              <w:spacing w:before="62" w:line="220" w:lineRule="auto"/>
              <w:ind w:left="129"/>
            </w:pPr>
            <w:r>
              <w:rPr>
                <w:spacing w:val="2"/>
              </w:rPr>
              <w:t>需求分析</w:t>
            </w:r>
          </w:p>
        </w:tc>
        <w:tc>
          <w:tcPr>
            <w:tcW w:w="4460" w:type="dxa"/>
            <w:vAlign w:val="top"/>
          </w:tcPr>
          <w:p w14:paraId="3CEAAE0A">
            <w:pPr>
              <w:pStyle w:val="6"/>
              <w:spacing w:before="67" w:line="219" w:lineRule="auto"/>
              <w:ind w:left="54"/>
            </w:pPr>
            <w:r>
              <w:rPr>
                <w:spacing w:val="1"/>
              </w:rPr>
              <w:t>(1)调研提纲，包括调研的对象、内容、程序和</w:t>
            </w:r>
            <w:r>
              <w:t>时间</w:t>
            </w:r>
          </w:p>
          <w:p w14:paraId="2449E727">
            <w:pPr>
              <w:pStyle w:val="6"/>
              <w:spacing w:before="32" w:line="251" w:lineRule="auto"/>
              <w:ind w:left="54"/>
            </w:pPr>
            <w:r>
              <w:rPr>
                <w:spacing w:val="-3"/>
              </w:rPr>
              <w:t>(2)需求分析报告，包括业务流程图、数据流程图、软</w:t>
            </w:r>
            <w:r>
              <w:rPr>
                <w:spacing w:val="4"/>
              </w:rPr>
              <w:t xml:space="preserve"> </w:t>
            </w:r>
            <w:r>
              <w:rPr>
                <w:spacing w:val="-1"/>
              </w:rPr>
              <w:t>件规格说明书和初步用户手册</w:t>
            </w:r>
          </w:p>
          <w:p w14:paraId="41E7FAED">
            <w:pPr>
              <w:pStyle w:val="6"/>
              <w:spacing w:before="14" w:line="256" w:lineRule="auto"/>
              <w:ind w:left="34" w:firstLine="9"/>
            </w:pPr>
            <w:r>
              <w:rPr>
                <w:spacing w:val="-3"/>
              </w:rPr>
              <w:t>(3)软件规格说明书，包括系统目标、软件功能描述、</w:t>
            </w:r>
            <w:r>
              <w:rPr>
                <w:spacing w:val="14"/>
              </w:rPr>
              <w:t xml:space="preserve"> </w:t>
            </w:r>
            <w:r>
              <w:rPr>
                <w:spacing w:val="-10"/>
              </w:rPr>
              <w:t>软件性能和软件安全需求说明、软件规则描述和关键数</w:t>
            </w:r>
            <w:r>
              <w:rPr>
                <w:spacing w:val="4"/>
              </w:rPr>
              <w:t xml:space="preserve">  </w:t>
            </w:r>
            <w:r>
              <w:rPr>
                <w:spacing w:val="-2"/>
              </w:rPr>
              <w:t>据项的编码标准</w:t>
            </w:r>
          </w:p>
        </w:tc>
        <w:tc>
          <w:tcPr>
            <w:tcW w:w="1420" w:type="dxa"/>
            <w:vAlign w:val="top"/>
          </w:tcPr>
          <w:p w14:paraId="68C3A4C4">
            <w:pPr>
              <w:spacing w:line="281" w:lineRule="auto"/>
              <w:rPr>
                <w:rFonts w:ascii="Arial"/>
                <w:sz w:val="21"/>
              </w:rPr>
            </w:pPr>
          </w:p>
          <w:p w14:paraId="4B398169">
            <w:pPr>
              <w:spacing w:line="281" w:lineRule="auto"/>
              <w:rPr>
                <w:rFonts w:ascii="Arial"/>
                <w:sz w:val="21"/>
              </w:rPr>
            </w:pPr>
          </w:p>
          <w:p w14:paraId="49652C52">
            <w:pPr>
              <w:pStyle w:val="6"/>
              <w:spacing w:before="62" w:line="226" w:lineRule="auto"/>
              <w:ind w:left="4"/>
            </w:pPr>
            <w:r>
              <w:rPr>
                <w:spacing w:val="10"/>
              </w:rPr>
              <w:t>业主单位确认、</w:t>
            </w:r>
            <w:r>
              <w:rPr>
                <w:spacing w:val="4"/>
              </w:rPr>
              <w:t xml:space="preserve"> </w:t>
            </w:r>
            <w:r>
              <w:rPr>
                <w:spacing w:val="1"/>
              </w:rPr>
              <w:t>技术评审</w:t>
            </w:r>
          </w:p>
        </w:tc>
        <w:tc>
          <w:tcPr>
            <w:tcW w:w="1419" w:type="dxa"/>
            <w:tcBorders>
              <w:right w:val="nil"/>
            </w:tcBorders>
            <w:vAlign w:val="top"/>
          </w:tcPr>
          <w:p w14:paraId="6BB69F9B">
            <w:pPr>
              <w:spacing w:line="281" w:lineRule="auto"/>
              <w:rPr>
                <w:rFonts w:ascii="Arial"/>
                <w:sz w:val="21"/>
              </w:rPr>
            </w:pPr>
          </w:p>
          <w:p w14:paraId="58054A44">
            <w:pPr>
              <w:spacing w:line="282" w:lineRule="auto"/>
              <w:rPr>
                <w:rFonts w:ascii="Arial"/>
                <w:sz w:val="21"/>
              </w:rPr>
            </w:pPr>
          </w:p>
          <w:p w14:paraId="037CA81F">
            <w:pPr>
              <w:pStyle w:val="6"/>
              <w:spacing w:before="62" w:line="239" w:lineRule="auto"/>
              <w:ind w:left="14"/>
            </w:pPr>
            <w:r>
              <w:rPr>
                <w:spacing w:val="9"/>
              </w:rPr>
              <w:t>业主单位签字、</w:t>
            </w:r>
            <w:r>
              <w:rPr>
                <w:spacing w:val="5"/>
              </w:rPr>
              <w:t xml:space="preserve"> </w:t>
            </w:r>
            <w:r>
              <w:rPr>
                <w:spacing w:val="-4"/>
              </w:rPr>
              <w:t>评审意见</w:t>
            </w:r>
          </w:p>
        </w:tc>
      </w:tr>
      <w:tr w14:paraId="6E8A4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 w:hRule="atLeast"/>
        </w:trPr>
        <w:tc>
          <w:tcPr>
            <w:tcW w:w="1030" w:type="dxa"/>
            <w:tcBorders>
              <w:left w:val="nil"/>
            </w:tcBorders>
            <w:vAlign w:val="top"/>
          </w:tcPr>
          <w:p w14:paraId="72DBA149">
            <w:pPr>
              <w:spacing w:line="268" w:lineRule="auto"/>
              <w:rPr>
                <w:rFonts w:ascii="Arial"/>
                <w:sz w:val="21"/>
              </w:rPr>
            </w:pPr>
          </w:p>
          <w:p w14:paraId="2F88FA8E">
            <w:pPr>
              <w:pStyle w:val="6"/>
              <w:spacing w:before="62" w:line="221" w:lineRule="auto"/>
              <w:ind w:left="129"/>
            </w:pPr>
            <w:r>
              <w:rPr>
                <w:spacing w:val="-3"/>
              </w:rPr>
              <w:t>系统设计</w:t>
            </w:r>
          </w:p>
        </w:tc>
        <w:tc>
          <w:tcPr>
            <w:tcW w:w="4460" w:type="dxa"/>
            <w:vAlign w:val="top"/>
          </w:tcPr>
          <w:p w14:paraId="4953EE15">
            <w:pPr>
              <w:pStyle w:val="6"/>
              <w:spacing w:before="68" w:line="246" w:lineRule="auto"/>
              <w:ind w:left="24" w:firstLine="49"/>
              <w:jc w:val="both"/>
            </w:pPr>
            <w:r>
              <w:rPr>
                <w:spacing w:val="-8"/>
              </w:rPr>
              <w:t>系统详细设计报告，包括数据字典、功能模块划分、功</w:t>
            </w:r>
            <w:r>
              <w:rPr>
                <w:spacing w:val="6"/>
              </w:rPr>
              <w:t xml:space="preserve"> </w:t>
            </w:r>
            <w:r>
              <w:rPr>
                <w:spacing w:val="-6"/>
              </w:rPr>
              <w:t>能模块说明、模块接口说明、与现行系统接口说明、界</w:t>
            </w:r>
            <w:r>
              <w:rPr>
                <w:spacing w:val="3"/>
              </w:rPr>
              <w:t xml:space="preserve"> </w:t>
            </w:r>
            <w:r>
              <w:rPr>
                <w:spacing w:val="1"/>
              </w:rPr>
              <w:t>面设计、编程规范、测试标准</w:t>
            </w:r>
          </w:p>
        </w:tc>
        <w:tc>
          <w:tcPr>
            <w:tcW w:w="1420" w:type="dxa"/>
            <w:vAlign w:val="top"/>
          </w:tcPr>
          <w:p w14:paraId="6CDCDFD8">
            <w:pPr>
              <w:spacing w:line="267" w:lineRule="auto"/>
              <w:rPr>
                <w:rFonts w:ascii="Arial"/>
                <w:sz w:val="21"/>
              </w:rPr>
            </w:pPr>
          </w:p>
          <w:p w14:paraId="7F4ECA81">
            <w:pPr>
              <w:pStyle w:val="6"/>
              <w:spacing w:before="62" w:line="219" w:lineRule="auto"/>
              <w:ind w:left="4"/>
            </w:pPr>
            <w:r>
              <w:rPr>
                <w:spacing w:val="4"/>
              </w:rPr>
              <w:t>技术评审</w:t>
            </w:r>
          </w:p>
        </w:tc>
        <w:tc>
          <w:tcPr>
            <w:tcW w:w="1419" w:type="dxa"/>
            <w:tcBorders>
              <w:right w:val="nil"/>
            </w:tcBorders>
            <w:vAlign w:val="top"/>
          </w:tcPr>
          <w:p w14:paraId="1D43D75E">
            <w:pPr>
              <w:spacing w:line="267" w:lineRule="auto"/>
              <w:rPr>
                <w:rFonts w:ascii="Arial"/>
                <w:sz w:val="21"/>
              </w:rPr>
            </w:pPr>
          </w:p>
          <w:p w14:paraId="37049BCB">
            <w:pPr>
              <w:pStyle w:val="6"/>
              <w:spacing w:before="62" w:line="219" w:lineRule="auto"/>
              <w:ind w:left="14"/>
            </w:pPr>
            <w:r>
              <w:rPr>
                <w:spacing w:val="-2"/>
              </w:rPr>
              <w:t>评审意见</w:t>
            </w:r>
          </w:p>
        </w:tc>
      </w:tr>
      <w:tr w14:paraId="6A082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30" w:type="dxa"/>
            <w:tcBorders>
              <w:left w:val="nil"/>
            </w:tcBorders>
            <w:vAlign w:val="top"/>
          </w:tcPr>
          <w:p w14:paraId="61DE3A04">
            <w:pPr>
              <w:pStyle w:val="6"/>
              <w:spacing w:before="193" w:line="219" w:lineRule="auto"/>
              <w:ind w:left="129"/>
            </w:pPr>
            <w:r>
              <w:rPr>
                <w:spacing w:val="3"/>
              </w:rPr>
              <w:t>程序编写</w:t>
            </w:r>
          </w:p>
        </w:tc>
        <w:tc>
          <w:tcPr>
            <w:tcW w:w="4460" w:type="dxa"/>
            <w:vAlign w:val="top"/>
          </w:tcPr>
          <w:p w14:paraId="68A799CB">
            <w:pPr>
              <w:pStyle w:val="6"/>
              <w:spacing w:before="72" w:line="219" w:lineRule="auto"/>
              <w:ind w:left="54"/>
            </w:pPr>
            <w:r>
              <w:rPr>
                <w:spacing w:val="2"/>
              </w:rPr>
              <w:t>(1)编程的时间控制</w:t>
            </w:r>
          </w:p>
          <w:p w14:paraId="58620FFA">
            <w:pPr>
              <w:pStyle w:val="6"/>
              <w:spacing w:before="34" w:line="219" w:lineRule="auto"/>
              <w:ind w:left="54"/>
            </w:pPr>
            <w:r>
              <w:rPr>
                <w:spacing w:val="2"/>
              </w:rPr>
              <w:t>(2)编程计划</w:t>
            </w:r>
          </w:p>
        </w:tc>
        <w:tc>
          <w:tcPr>
            <w:tcW w:w="1420" w:type="dxa"/>
            <w:vAlign w:val="top"/>
          </w:tcPr>
          <w:p w14:paraId="57B534FB">
            <w:pPr>
              <w:pStyle w:val="6"/>
              <w:spacing w:before="81" w:line="232" w:lineRule="auto"/>
              <w:ind w:left="4" w:right="80"/>
            </w:pPr>
            <w:r>
              <w:rPr>
                <w:spacing w:val="-1"/>
              </w:rPr>
              <w:t>进度报告、技术</w:t>
            </w:r>
            <w:r>
              <w:t xml:space="preserve"> </w:t>
            </w:r>
            <w:r>
              <w:rPr>
                <w:spacing w:val="8"/>
              </w:rPr>
              <w:t>评审</w:t>
            </w:r>
          </w:p>
        </w:tc>
        <w:tc>
          <w:tcPr>
            <w:tcW w:w="1419" w:type="dxa"/>
            <w:tcBorders>
              <w:right w:val="nil"/>
            </w:tcBorders>
            <w:vAlign w:val="top"/>
          </w:tcPr>
          <w:p w14:paraId="5B8CE5C8">
            <w:pPr>
              <w:pStyle w:val="6"/>
              <w:spacing w:before="91" w:line="227" w:lineRule="auto"/>
              <w:ind w:left="14" w:right="22" w:firstLine="30"/>
            </w:pPr>
            <w:r>
              <w:rPr>
                <w:spacing w:val="2"/>
              </w:rPr>
              <w:t>监理意见、评审</w:t>
            </w:r>
            <w:r>
              <w:rPr>
                <w:spacing w:val="1"/>
              </w:rPr>
              <w:t xml:space="preserve"> </w:t>
            </w:r>
            <w:r>
              <w:rPr>
                <w:spacing w:val="4"/>
              </w:rPr>
              <w:t>意见</w:t>
            </w:r>
          </w:p>
        </w:tc>
      </w:tr>
      <w:tr w14:paraId="437FD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 w:hRule="atLeast"/>
        </w:trPr>
        <w:tc>
          <w:tcPr>
            <w:tcW w:w="1030" w:type="dxa"/>
            <w:tcBorders>
              <w:left w:val="nil"/>
            </w:tcBorders>
            <w:vAlign w:val="top"/>
          </w:tcPr>
          <w:p w14:paraId="11FF0BCB">
            <w:pPr>
              <w:spacing w:line="271" w:lineRule="auto"/>
              <w:rPr>
                <w:rFonts w:ascii="Arial"/>
                <w:sz w:val="21"/>
              </w:rPr>
            </w:pPr>
          </w:p>
          <w:p w14:paraId="06B7E29D">
            <w:pPr>
              <w:pStyle w:val="6"/>
              <w:spacing w:before="62" w:line="221" w:lineRule="auto"/>
              <w:ind w:left="129"/>
            </w:pPr>
            <w:r>
              <w:rPr>
                <w:spacing w:val="-3"/>
              </w:rPr>
              <w:t>系统测试</w:t>
            </w:r>
          </w:p>
        </w:tc>
        <w:tc>
          <w:tcPr>
            <w:tcW w:w="4460" w:type="dxa"/>
            <w:vAlign w:val="top"/>
          </w:tcPr>
          <w:p w14:paraId="6296339D">
            <w:pPr>
              <w:pStyle w:val="6"/>
              <w:spacing w:before="82" w:line="219" w:lineRule="auto"/>
              <w:ind w:left="54"/>
            </w:pPr>
            <w:r>
              <w:t>(1)培训安排、培训教材、培训考核</w:t>
            </w:r>
          </w:p>
          <w:p w14:paraId="536E82D3">
            <w:pPr>
              <w:pStyle w:val="6"/>
              <w:spacing w:before="25" w:line="219" w:lineRule="auto"/>
              <w:ind w:left="54"/>
            </w:pPr>
            <w:r>
              <w:rPr>
                <w:spacing w:val="2"/>
              </w:rPr>
              <w:t>(2)测试模型</w:t>
            </w:r>
          </w:p>
          <w:p w14:paraId="71373A4D">
            <w:pPr>
              <w:pStyle w:val="6"/>
              <w:spacing w:before="76" w:line="187" w:lineRule="auto"/>
              <w:ind w:left="54"/>
            </w:pPr>
            <w:r>
              <w:rPr>
                <w:spacing w:val="2"/>
              </w:rPr>
              <w:t>(3)测试用例</w:t>
            </w:r>
          </w:p>
        </w:tc>
        <w:tc>
          <w:tcPr>
            <w:tcW w:w="1420" w:type="dxa"/>
            <w:vAlign w:val="top"/>
          </w:tcPr>
          <w:p w14:paraId="238FB092">
            <w:pPr>
              <w:spacing w:line="270" w:lineRule="auto"/>
              <w:rPr>
                <w:rFonts w:ascii="Arial"/>
                <w:sz w:val="21"/>
              </w:rPr>
            </w:pPr>
          </w:p>
          <w:p w14:paraId="145BC157">
            <w:pPr>
              <w:pStyle w:val="6"/>
              <w:spacing w:before="62" w:line="219" w:lineRule="auto"/>
              <w:ind w:left="4"/>
            </w:pPr>
            <w:r>
              <w:rPr>
                <w:spacing w:val="4"/>
              </w:rPr>
              <w:t>技术评审</w:t>
            </w:r>
          </w:p>
        </w:tc>
        <w:tc>
          <w:tcPr>
            <w:tcW w:w="1419" w:type="dxa"/>
            <w:tcBorders>
              <w:right w:val="nil"/>
            </w:tcBorders>
            <w:vAlign w:val="top"/>
          </w:tcPr>
          <w:p w14:paraId="349895C4">
            <w:pPr>
              <w:spacing w:line="270" w:lineRule="auto"/>
              <w:rPr>
                <w:rFonts w:ascii="Arial"/>
                <w:sz w:val="21"/>
              </w:rPr>
            </w:pPr>
          </w:p>
          <w:p w14:paraId="701203C3">
            <w:pPr>
              <w:pStyle w:val="6"/>
              <w:spacing w:before="62" w:line="219" w:lineRule="auto"/>
              <w:ind w:left="14"/>
            </w:pPr>
            <w:r>
              <w:rPr>
                <w:spacing w:val="-2"/>
              </w:rPr>
              <w:t>评审意见</w:t>
            </w:r>
          </w:p>
        </w:tc>
      </w:tr>
      <w:tr w14:paraId="55592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030" w:type="dxa"/>
            <w:tcBorders>
              <w:left w:val="nil"/>
            </w:tcBorders>
            <w:vAlign w:val="top"/>
          </w:tcPr>
          <w:p w14:paraId="0FF8F09C">
            <w:pPr>
              <w:pStyle w:val="6"/>
              <w:spacing w:before="56" w:line="216" w:lineRule="auto"/>
              <w:ind w:left="39"/>
            </w:pPr>
            <w:r>
              <w:rPr>
                <w:spacing w:val="1"/>
              </w:rPr>
              <w:t>系统试运行</w:t>
            </w:r>
          </w:p>
        </w:tc>
        <w:tc>
          <w:tcPr>
            <w:tcW w:w="4460" w:type="dxa"/>
            <w:vAlign w:val="top"/>
          </w:tcPr>
          <w:p w14:paraId="7ABA22A0">
            <w:pPr>
              <w:pStyle w:val="6"/>
              <w:spacing w:before="55" w:line="217" w:lineRule="auto"/>
              <w:ind w:left="54"/>
            </w:pPr>
            <w:r>
              <w:rPr>
                <w:spacing w:val="1"/>
              </w:rPr>
              <w:t>出现问题的修改</w:t>
            </w:r>
          </w:p>
        </w:tc>
        <w:tc>
          <w:tcPr>
            <w:tcW w:w="1420" w:type="dxa"/>
            <w:vAlign w:val="top"/>
          </w:tcPr>
          <w:p w14:paraId="4E59F0FE">
            <w:pPr>
              <w:pStyle w:val="6"/>
              <w:spacing w:before="56" w:line="216" w:lineRule="auto"/>
              <w:ind w:left="4"/>
            </w:pPr>
            <w:r>
              <w:rPr>
                <w:spacing w:val="-2"/>
              </w:rPr>
              <w:t>汇总问题清单</w:t>
            </w:r>
          </w:p>
        </w:tc>
        <w:tc>
          <w:tcPr>
            <w:tcW w:w="1419" w:type="dxa"/>
            <w:tcBorders>
              <w:right w:val="nil"/>
            </w:tcBorders>
            <w:vAlign w:val="top"/>
          </w:tcPr>
          <w:p w14:paraId="701C1A05">
            <w:pPr>
              <w:pStyle w:val="6"/>
              <w:spacing w:before="55" w:line="217" w:lineRule="auto"/>
              <w:ind w:left="14"/>
            </w:pPr>
            <w:r>
              <w:rPr>
                <w:spacing w:val="-1"/>
              </w:rPr>
              <w:t>程序修改确认</w:t>
            </w:r>
          </w:p>
        </w:tc>
      </w:tr>
      <w:tr w14:paraId="15CB2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030" w:type="dxa"/>
            <w:tcBorders>
              <w:left w:val="nil"/>
            </w:tcBorders>
            <w:vAlign w:val="top"/>
          </w:tcPr>
          <w:p w14:paraId="444E857A">
            <w:pPr>
              <w:pStyle w:val="6"/>
              <w:spacing w:before="196" w:line="219" w:lineRule="auto"/>
              <w:ind w:left="129"/>
            </w:pPr>
            <w:r>
              <w:rPr>
                <w:spacing w:val="-3"/>
              </w:rPr>
              <w:t>系统验收</w:t>
            </w:r>
          </w:p>
        </w:tc>
        <w:tc>
          <w:tcPr>
            <w:tcW w:w="4460" w:type="dxa"/>
            <w:vAlign w:val="top"/>
          </w:tcPr>
          <w:p w14:paraId="278708F8">
            <w:pPr>
              <w:pStyle w:val="6"/>
              <w:spacing w:before="67" w:line="219" w:lineRule="auto"/>
              <w:ind w:left="54"/>
            </w:pPr>
            <w:r>
              <w:rPr>
                <w:spacing w:val="1"/>
              </w:rPr>
              <w:t>(1)竣工文件</w:t>
            </w:r>
          </w:p>
          <w:p w14:paraId="2CBFC3F0">
            <w:pPr>
              <w:pStyle w:val="6"/>
              <w:spacing w:before="43" w:line="212" w:lineRule="auto"/>
              <w:ind w:left="54"/>
            </w:pPr>
            <w:r>
              <w:rPr>
                <w:spacing w:val="2"/>
              </w:rPr>
              <w:t>(2)验收报告</w:t>
            </w:r>
          </w:p>
        </w:tc>
        <w:tc>
          <w:tcPr>
            <w:tcW w:w="1420" w:type="dxa"/>
            <w:vAlign w:val="top"/>
          </w:tcPr>
          <w:p w14:paraId="10FCC471">
            <w:pPr>
              <w:pStyle w:val="6"/>
              <w:spacing w:before="196" w:line="219" w:lineRule="auto"/>
              <w:ind w:left="4"/>
            </w:pPr>
            <w:r>
              <w:rPr>
                <w:spacing w:val="2"/>
              </w:rPr>
              <w:t>参加验收工作</w:t>
            </w:r>
          </w:p>
        </w:tc>
        <w:tc>
          <w:tcPr>
            <w:tcW w:w="1419" w:type="dxa"/>
            <w:tcBorders>
              <w:right w:val="nil"/>
            </w:tcBorders>
            <w:vAlign w:val="top"/>
          </w:tcPr>
          <w:p w14:paraId="11589AE8">
            <w:pPr>
              <w:pStyle w:val="6"/>
              <w:spacing w:before="196" w:line="219" w:lineRule="auto"/>
              <w:ind w:left="14"/>
            </w:pPr>
            <w:r>
              <w:rPr>
                <w:spacing w:val="-2"/>
              </w:rPr>
              <w:t>监理意见</w:t>
            </w:r>
          </w:p>
        </w:tc>
      </w:tr>
    </w:tbl>
    <w:p w14:paraId="1135FD4E">
      <w:pPr>
        <w:rPr>
          <w:rFonts w:ascii="Arial"/>
          <w:sz w:val="21"/>
        </w:rPr>
      </w:pPr>
    </w:p>
    <w:p w14:paraId="0C48CC11">
      <w:pPr>
        <w:rPr>
          <w:rFonts w:ascii="Arial" w:hAnsi="Arial" w:eastAsia="Arial" w:cs="Arial"/>
          <w:sz w:val="21"/>
          <w:szCs w:val="21"/>
        </w:rPr>
        <w:sectPr>
          <w:pgSz w:w="10300" w:h="13400"/>
          <w:pgMar w:top="400" w:right="1090" w:bottom="400" w:left="489" w:header="0" w:footer="0" w:gutter="0"/>
          <w:cols w:space="720" w:num="1"/>
        </w:sectPr>
      </w:pPr>
    </w:p>
    <w:p w14:paraId="122F4D39">
      <w:pPr>
        <w:spacing w:line="266" w:lineRule="auto"/>
        <w:rPr>
          <w:rFonts w:ascii="Arial"/>
          <w:sz w:val="21"/>
        </w:rPr>
      </w:pPr>
    </w:p>
    <w:p w14:paraId="579938BF">
      <w:pPr>
        <w:spacing w:line="266" w:lineRule="auto"/>
        <w:rPr>
          <w:rFonts w:ascii="Arial"/>
          <w:sz w:val="21"/>
        </w:rPr>
      </w:pPr>
    </w:p>
    <w:p w14:paraId="1CAB3F5E">
      <w:pPr>
        <w:spacing w:line="266" w:lineRule="auto"/>
        <w:rPr>
          <w:rFonts w:ascii="Arial"/>
          <w:sz w:val="21"/>
        </w:rPr>
      </w:pPr>
    </w:p>
    <w:p w14:paraId="51D83CB1">
      <w:pPr>
        <w:spacing w:before="127" w:line="231" w:lineRule="auto"/>
        <w:ind w:left="9"/>
        <w:rPr>
          <w:sz w:val="39"/>
          <w:szCs w:val="39"/>
        </w:rPr>
      </w:pPr>
      <w:r>
        <w:rPr>
          <w:rFonts w:ascii="黑体" w:hAnsi="黑体" w:eastAsia="黑体" w:cs="黑体"/>
          <w:color w:val="006AE5"/>
          <w:position w:val="-4"/>
          <w:sz w:val="39"/>
          <w:szCs w:val="39"/>
        </w:rPr>
        <w:drawing>
          <wp:inline distT="0" distB="0" distL="0" distR="0">
            <wp:extent cx="634365" cy="260350"/>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224"/>
                    <a:stretch>
                      <a:fillRect/>
                    </a:stretch>
                  </pic:blipFill>
                  <pic:spPr>
                    <a:xfrm>
                      <a:off x="0" y="0"/>
                      <a:ext cx="634988" cy="260374"/>
                    </a:xfrm>
                    <a:prstGeom prst="rect">
                      <a:avLst/>
                    </a:prstGeom>
                  </pic:spPr>
                </pic:pic>
              </a:graphicData>
            </a:graphic>
          </wp:inline>
        </w:drawing>
      </w:r>
      <w:r>
        <w:rPr>
          <w:rFonts w:ascii="黑体" w:hAnsi="黑体" w:eastAsia="黑体" w:cs="黑体"/>
          <w:color w:val="006AE5"/>
          <w:spacing w:val="17"/>
          <w:sz w:val="39"/>
          <w:szCs w:val="39"/>
        </w:rPr>
        <w:t xml:space="preserve">       </w:t>
      </w:r>
      <w:r>
        <w:rPr>
          <w:rFonts w:ascii="黑体" w:hAnsi="黑体" w:eastAsia="黑体" w:cs="黑体"/>
          <w:b/>
          <w:bCs/>
          <w:color w:val="006AE5"/>
          <w:spacing w:val="18"/>
          <w:sz w:val="39"/>
          <w:szCs w:val="39"/>
        </w:rPr>
        <w:t>第15章</w:t>
      </w:r>
      <w:r>
        <w:rPr>
          <w:rFonts w:ascii="黑体" w:hAnsi="黑体" w:eastAsia="黑体" w:cs="黑体"/>
          <w:color w:val="006AE5"/>
          <w:spacing w:val="13"/>
          <w:sz w:val="39"/>
          <w:szCs w:val="39"/>
        </w:rPr>
        <w:t xml:space="preserve">  </w:t>
      </w:r>
      <w:r>
        <w:rPr>
          <w:rFonts w:ascii="黑体" w:hAnsi="黑体" w:eastAsia="黑体" w:cs="黑体"/>
          <w:b/>
          <w:bCs/>
          <w:color w:val="006AE5"/>
          <w:spacing w:val="18"/>
          <w:sz w:val="39"/>
          <w:szCs w:val="39"/>
        </w:rPr>
        <w:t>组织协调</w:t>
      </w:r>
      <w:r>
        <w:rPr>
          <w:rFonts w:ascii="黑体" w:hAnsi="黑体" w:eastAsia="黑体" w:cs="黑体"/>
          <w:color w:val="006AE5"/>
          <w:spacing w:val="18"/>
          <w:sz w:val="39"/>
          <w:szCs w:val="39"/>
        </w:rPr>
        <w:t xml:space="preserve">       </w:t>
      </w:r>
      <w:r>
        <w:rPr>
          <w:position w:val="-5"/>
          <w:sz w:val="39"/>
          <w:szCs w:val="39"/>
        </w:rPr>
        <w:drawing>
          <wp:inline distT="0" distB="0" distL="0" distR="0">
            <wp:extent cx="628650" cy="26035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225"/>
                    <a:stretch>
                      <a:fillRect/>
                    </a:stretch>
                  </pic:blipFill>
                  <pic:spPr>
                    <a:xfrm>
                      <a:off x="0" y="0"/>
                      <a:ext cx="628650" cy="260374"/>
                    </a:xfrm>
                    <a:prstGeom prst="rect">
                      <a:avLst/>
                    </a:prstGeom>
                  </pic:spPr>
                </pic:pic>
              </a:graphicData>
            </a:graphic>
          </wp:inline>
        </w:drawing>
      </w:r>
    </w:p>
    <w:p w14:paraId="6DF77484">
      <w:pPr>
        <w:spacing w:line="244" w:lineRule="auto"/>
        <w:rPr>
          <w:rFonts w:ascii="Arial"/>
          <w:sz w:val="21"/>
        </w:rPr>
      </w:pPr>
    </w:p>
    <w:p w14:paraId="51009C83">
      <w:pPr>
        <w:spacing w:line="245" w:lineRule="auto"/>
        <w:rPr>
          <w:rFonts w:ascii="Arial"/>
          <w:sz w:val="21"/>
        </w:rPr>
      </w:pPr>
    </w:p>
    <w:p w14:paraId="23C11B81">
      <w:pPr>
        <w:spacing w:line="245" w:lineRule="auto"/>
        <w:rPr>
          <w:rFonts w:ascii="Arial"/>
          <w:sz w:val="21"/>
        </w:rPr>
      </w:pPr>
    </w:p>
    <w:p w14:paraId="28DFE66F">
      <w:pPr>
        <w:pStyle w:val="2"/>
        <w:spacing w:before="61" w:line="296" w:lineRule="auto"/>
        <w:ind w:right="9" w:firstLine="419"/>
        <w:jc w:val="both"/>
        <w:rPr>
          <w:sz w:val="19"/>
          <w:szCs w:val="19"/>
        </w:rPr>
      </w:pPr>
      <w:r>
        <w:rPr>
          <w:spacing w:val="13"/>
          <w:sz w:val="19"/>
          <w:szCs w:val="19"/>
        </w:rPr>
        <w:t>组织协调是成功实现项目目标、顺利开展项目工作不可缺少的方法和手段，是重要的</w:t>
      </w:r>
      <w:r>
        <w:rPr>
          <w:spacing w:val="12"/>
          <w:sz w:val="19"/>
          <w:szCs w:val="19"/>
        </w:rPr>
        <w:t>监理</w:t>
      </w:r>
      <w:r>
        <w:rPr>
          <w:sz w:val="19"/>
          <w:szCs w:val="19"/>
        </w:rPr>
        <w:t xml:space="preserve"> </w:t>
      </w:r>
      <w:r>
        <w:rPr>
          <w:spacing w:val="13"/>
          <w:sz w:val="19"/>
          <w:szCs w:val="19"/>
        </w:rPr>
        <w:t>措施之一。协调就是联结、联合、调和所有的活动及力量，使工程各方配合得当，其目的是促</w:t>
      </w:r>
      <w:r>
        <w:rPr>
          <w:spacing w:val="5"/>
          <w:sz w:val="19"/>
          <w:szCs w:val="19"/>
        </w:rPr>
        <w:t xml:space="preserve"> </w:t>
      </w:r>
      <w:r>
        <w:rPr>
          <w:spacing w:val="13"/>
          <w:sz w:val="19"/>
          <w:szCs w:val="19"/>
        </w:rPr>
        <w:t>使工程各方协同一致，实现预定的工程目标。信息系统是由各类人员、物质、信息等构成的人 为组织系统。信息系统工程建设项目的协调一般包括三类协调工作：人员与人员间的协调、系</w:t>
      </w:r>
      <w:r>
        <w:rPr>
          <w:spacing w:val="3"/>
          <w:sz w:val="19"/>
          <w:szCs w:val="19"/>
        </w:rPr>
        <w:t xml:space="preserve"> </w:t>
      </w:r>
      <w:r>
        <w:rPr>
          <w:spacing w:val="8"/>
          <w:sz w:val="19"/>
          <w:szCs w:val="19"/>
        </w:rPr>
        <w:t>统与系统之间的协调、系统与环境的协调。</w:t>
      </w:r>
    </w:p>
    <w:p w14:paraId="2398541D">
      <w:pPr>
        <w:pStyle w:val="2"/>
        <w:spacing w:before="55" w:line="292" w:lineRule="auto"/>
        <w:ind w:right="3" w:firstLine="419"/>
        <w:jc w:val="both"/>
        <w:rPr>
          <w:sz w:val="19"/>
          <w:szCs w:val="19"/>
        </w:rPr>
      </w:pPr>
      <w:r>
        <w:rPr>
          <w:spacing w:val="13"/>
          <w:sz w:val="19"/>
          <w:szCs w:val="19"/>
        </w:rPr>
        <w:t>组织协调涉及业主单位、承建单位等多方关系，它贯穿信息系统工程建设的全过程，贯穿</w:t>
      </w:r>
      <w:r>
        <w:rPr>
          <w:spacing w:val="6"/>
          <w:sz w:val="19"/>
          <w:szCs w:val="19"/>
        </w:rPr>
        <w:t xml:space="preserve"> </w:t>
      </w:r>
      <w:r>
        <w:rPr>
          <w:spacing w:val="13"/>
          <w:sz w:val="19"/>
          <w:szCs w:val="19"/>
        </w:rPr>
        <w:t xml:space="preserve">监理活动的全过程。作为监理工程师，应该熟悉组织协调的基本内容和要求，掌握组织协调监 </w:t>
      </w:r>
      <w:r>
        <w:rPr>
          <w:spacing w:val="5"/>
          <w:sz w:val="19"/>
          <w:szCs w:val="19"/>
        </w:rPr>
        <w:t>理工作的基本技能。</w:t>
      </w:r>
    </w:p>
    <w:p w14:paraId="215AE6D1">
      <w:pPr>
        <w:spacing w:line="280" w:lineRule="auto"/>
        <w:rPr>
          <w:rFonts w:ascii="Arial"/>
          <w:sz w:val="21"/>
        </w:rPr>
      </w:pPr>
    </w:p>
    <w:p w14:paraId="5C92D348">
      <w:pPr>
        <w:pStyle w:val="2"/>
        <w:spacing w:before="94" w:line="221" w:lineRule="auto"/>
        <w:ind w:left="3"/>
        <w:rPr>
          <w:rFonts w:ascii="黑体" w:hAnsi="黑体" w:eastAsia="黑体" w:cs="黑体"/>
          <w:sz w:val="29"/>
          <w:szCs w:val="29"/>
        </w:rPr>
      </w:pPr>
      <w:r>
        <w:rPr>
          <w:b/>
          <w:bCs/>
          <w:color w:val="006BD7"/>
          <w:spacing w:val="-13"/>
          <w:sz w:val="29"/>
          <w:szCs w:val="29"/>
        </w:rPr>
        <w:t>15.1</w:t>
      </w:r>
      <w:r>
        <w:rPr>
          <w:color w:val="006BD7"/>
          <w:spacing w:val="-13"/>
          <w:sz w:val="29"/>
          <w:szCs w:val="29"/>
        </w:rPr>
        <w:t xml:space="preserve">  </w:t>
      </w:r>
      <w:r>
        <w:rPr>
          <w:rFonts w:ascii="黑体" w:hAnsi="黑体" w:eastAsia="黑体" w:cs="黑体"/>
          <w:b/>
          <w:bCs/>
          <w:color w:val="006BD7"/>
          <w:spacing w:val="-13"/>
          <w:sz w:val="29"/>
          <w:szCs w:val="29"/>
        </w:rPr>
        <w:t>组织协调的概念与内容</w:t>
      </w:r>
    </w:p>
    <w:p w14:paraId="23834CB0">
      <w:pPr>
        <w:pStyle w:val="2"/>
        <w:spacing w:before="265" w:line="293" w:lineRule="auto"/>
        <w:ind w:right="7" w:firstLine="419"/>
        <w:jc w:val="both"/>
        <w:rPr>
          <w:sz w:val="19"/>
          <w:szCs w:val="19"/>
        </w:rPr>
      </w:pPr>
      <w:r>
        <w:rPr>
          <w:spacing w:val="13"/>
          <w:sz w:val="19"/>
          <w:szCs w:val="19"/>
        </w:rPr>
        <w:t>所谓协调，就是指联结、联合、调和所有的活动及力量。在项目管理中，将协调或协调管</w:t>
      </w:r>
      <w:r>
        <w:rPr>
          <w:spacing w:val="2"/>
          <w:sz w:val="19"/>
          <w:szCs w:val="19"/>
        </w:rPr>
        <w:t xml:space="preserve"> </w:t>
      </w:r>
      <w:r>
        <w:rPr>
          <w:spacing w:val="11"/>
          <w:sz w:val="19"/>
          <w:szCs w:val="19"/>
        </w:rPr>
        <w:t>理称为“界面管理”,即主动协调相互作用的若干系统间能量、物质和信</w:t>
      </w:r>
      <w:r>
        <w:rPr>
          <w:spacing w:val="10"/>
          <w:sz w:val="19"/>
          <w:szCs w:val="19"/>
        </w:rPr>
        <w:t>息的交换，以实现系统</w:t>
      </w:r>
      <w:r>
        <w:rPr>
          <w:sz w:val="19"/>
          <w:szCs w:val="19"/>
        </w:rPr>
        <w:t xml:space="preserve"> </w:t>
      </w:r>
      <w:r>
        <w:rPr>
          <w:spacing w:val="-1"/>
          <w:sz w:val="19"/>
          <w:szCs w:val="19"/>
        </w:rPr>
        <w:t>目标的活动。</w:t>
      </w:r>
    </w:p>
    <w:p w14:paraId="105D130B">
      <w:pPr>
        <w:pStyle w:val="2"/>
        <w:spacing w:before="195" w:line="219" w:lineRule="auto"/>
        <w:ind w:left="2"/>
        <w:rPr>
          <w:sz w:val="25"/>
          <w:szCs w:val="25"/>
        </w:rPr>
      </w:pPr>
      <w:r>
        <w:rPr>
          <w:b/>
          <w:bCs/>
          <w:color w:val="0073E6"/>
          <w:spacing w:val="-19"/>
          <w:sz w:val="25"/>
          <w:szCs w:val="25"/>
        </w:rPr>
        <w:t>15.1.1</w:t>
      </w:r>
      <w:r>
        <w:rPr>
          <w:color w:val="0073E6"/>
          <w:spacing w:val="81"/>
          <w:sz w:val="25"/>
          <w:szCs w:val="25"/>
        </w:rPr>
        <w:t xml:space="preserve"> </w:t>
      </w:r>
      <w:r>
        <w:rPr>
          <w:b/>
          <w:bCs/>
          <w:color w:val="0073E6"/>
          <w:spacing w:val="-19"/>
          <w:sz w:val="25"/>
          <w:szCs w:val="25"/>
        </w:rPr>
        <w:t>组织协调的概念</w:t>
      </w:r>
    </w:p>
    <w:p w14:paraId="1EA3151C">
      <w:pPr>
        <w:pStyle w:val="2"/>
        <w:spacing w:before="174" w:line="278" w:lineRule="auto"/>
        <w:ind w:firstLine="419"/>
        <w:rPr>
          <w:sz w:val="19"/>
          <w:szCs w:val="19"/>
        </w:rPr>
      </w:pPr>
      <w:r>
        <w:rPr>
          <w:spacing w:val="13"/>
          <w:sz w:val="19"/>
          <w:szCs w:val="19"/>
        </w:rPr>
        <w:t>把信息系统工程建设项目作为一个系统来看，组织协调的对象可分为系统内部的协调和系</w:t>
      </w:r>
      <w:r>
        <w:rPr>
          <w:spacing w:val="9"/>
          <w:sz w:val="19"/>
          <w:szCs w:val="19"/>
        </w:rPr>
        <w:t xml:space="preserve"> 统外部的协调两大部分。系统外部的协调又可分为具有合同因素的协调和非合同因素的协调。</w:t>
      </w:r>
    </w:p>
    <w:p w14:paraId="7B184336">
      <w:pPr>
        <w:pStyle w:val="2"/>
        <w:spacing w:before="124" w:line="221" w:lineRule="auto"/>
        <w:ind w:left="422"/>
        <w:rPr>
          <w:rFonts w:ascii="黑体" w:hAnsi="黑体" w:eastAsia="黑体" w:cs="黑体"/>
          <w:sz w:val="19"/>
          <w:szCs w:val="19"/>
        </w:rPr>
      </w:pPr>
      <w:r>
        <w:rPr>
          <w:b/>
          <w:bCs/>
          <w:color w:val="0069D3"/>
          <w:spacing w:val="6"/>
          <w:sz w:val="19"/>
          <w:szCs w:val="19"/>
        </w:rPr>
        <w:t>1.</w:t>
      </w:r>
      <w:r>
        <w:rPr>
          <w:rFonts w:ascii="黑体" w:hAnsi="黑体" w:eastAsia="黑体" w:cs="黑体"/>
          <w:b/>
          <w:bCs/>
          <w:color w:val="0069D3"/>
          <w:spacing w:val="6"/>
          <w:sz w:val="19"/>
          <w:szCs w:val="19"/>
        </w:rPr>
        <w:t>组织协调包括多方的协调问题</w:t>
      </w:r>
    </w:p>
    <w:p w14:paraId="574D3098">
      <w:pPr>
        <w:pStyle w:val="2"/>
        <w:spacing w:before="167" w:line="286" w:lineRule="auto"/>
        <w:ind w:right="2" w:firstLine="419"/>
        <w:jc w:val="both"/>
        <w:rPr>
          <w:sz w:val="19"/>
          <w:szCs w:val="19"/>
        </w:rPr>
      </w:pPr>
      <w:r>
        <w:rPr>
          <w:spacing w:val="13"/>
          <w:sz w:val="19"/>
          <w:szCs w:val="19"/>
        </w:rPr>
        <w:t>例如，当设计方案的概算结果超过投资估算结果时，监理单位要与业主单位沟通，也要与</w:t>
      </w:r>
      <w:r>
        <w:rPr>
          <w:spacing w:val="7"/>
          <w:sz w:val="19"/>
          <w:szCs w:val="19"/>
        </w:rPr>
        <w:t xml:space="preserve"> </w:t>
      </w:r>
      <w:r>
        <w:rPr>
          <w:spacing w:val="13"/>
          <w:sz w:val="19"/>
          <w:szCs w:val="19"/>
        </w:rPr>
        <w:t>承建单位进行协调，达到满足业主单位对项目功能和使用的要求，力求费用不超过限定的投资</w:t>
      </w:r>
      <w:r>
        <w:rPr>
          <w:sz w:val="19"/>
          <w:szCs w:val="19"/>
        </w:rPr>
        <w:t xml:space="preserve"> </w:t>
      </w:r>
      <w:r>
        <w:rPr>
          <w:spacing w:val="13"/>
          <w:sz w:val="19"/>
          <w:szCs w:val="19"/>
        </w:rPr>
        <w:t>额度；当工程建设进度延迟，监理单位就要与承建单位进行协调，或增加人员投入，或修改实</w:t>
      </w:r>
      <w:r>
        <w:rPr>
          <w:spacing w:val="15"/>
          <w:sz w:val="19"/>
          <w:szCs w:val="19"/>
        </w:rPr>
        <w:t xml:space="preserve"> </w:t>
      </w:r>
      <w:r>
        <w:rPr>
          <w:spacing w:val="14"/>
          <w:sz w:val="19"/>
          <w:szCs w:val="19"/>
        </w:rPr>
        <w:t>施计划，或调整进度目标，确保项目的如期完</w:t>
      </w:r>
      <w:r>
        <w:rPr>
          <w:spacing w:val="13"/>
          <w:sz w:val="19"/>
          <w:szCs w:val="19"/>
        </w:rPr>
        <w:t>成；当发现承建单位的管理人员不称职，给信息</w:t>
      </w:r>
      <w:r>
        <w:rPr>
          <w:sz w:val="19"/>
          <w:szCs w:val="19"/>
        </w:rPr>
        <w:t xml:space="preserve"> </w:t>
      </w:r>
      <w:r>
        <w:rPr>
          <w:spacing w:val="9"/>
          <w:sz w:val="19"/>
          <w:szCs w:val="19"/>
        </w:rPr>
        <w:t>系统工程控制目标造成影响时，监理单位要与承建单位进行协调，调整力</w:t>
      </w:r>
      <w:r>
        <w:rPr>
          <w:spacing w:val="8"/>
          <w:sz w:val="19"/>
          <w:szCs w:val="19"/>
        </w:rPr>
        <w:t>量。</w:t>
      </w:r>
    </w:p>
    <w:p w14:paraId="077C04BC">
      <w:pPr>
        <w:pStyle w:val="2"/>
        <w:spacing w:before="145" w:line="222" w:lineRule="auto"/>
        <w:ind w:left="422"/>
        <w:rPr>
          <w:rFonts w:ascii="黑体" w:hAnsi="黑体" w:eastAsia="黑体" w:cs="黑体"/>
          <w:sz w:val="19"/>
          <w:szCs w:val="19"/>
        </w:rPr>
      </w:pPr>
      <w:r>
        <w:rPr>
          <w:b/>
          <w:bCs/>
          <w:color w:val="006AD4"/>
          <w:spacing w:val="7"/>
          <w:sz w:val="19"/>
          <w:szCs w:val="19"/>
        </w:rPr>
        <w:t>2.</w:t>
      </w:r>
      <w:r>
        <w:rPr>
          <w:rFonts w:ascii="黑体" w:hAnsi="黑体" w:eastAsia="黑体" w:cs="黑体"/>
          <w:b/>
          <w:bCs/>
          <w:color w:val="006AD4"/>
          <w:spacing w:val="7"/>
          <w:sz w:val="19"/>
          <w:szCs w:val="19"/>
        </w:rPr>
        <w:t>组织协调包括监理单位内部的协调</w:t>
      </w:r>
    </w:p>
    <w:p w14:paraId="67E1BDC1">
      <w:pPr>
        <w:pStyle w:val="2"/>
        <w:spacing w:before="133" w:line="299" w:lineRule="auto"/>
        <w:ind w:right="11" w:firstLine="419"/>
        <w:rPr>
          <w:sz w:val="19"/>
          <w:szCs w:val="19"/>
        </w:rPr>
      </w:pPr>
      <w:r>
        <w:rPr>
          <w:spacing w:val="13"/>
          <w:sz w:val="19"/>
          <w:szCs w:val="19"/>
        </w:rPr>
        <w:t>例如，总监理工程师与各专业监理工程师之间、各专业监理工程师之间、监理单位与</w:t>
      </w:r>
      <w:r>
        <w:rPr>
          <w:spacing w:val="12"/>
          <w:sz w:val="19"/>
          <w:szCs w:val="19"/>
        </w:rPr>
        <w:t>监理</w:t>
      </w:r>
      <w:r>
        <w:rPr>
          <w:sz w:val="19"/>
          <w:szCs w:val="19"/>
        </w:rPr>
        <w:t xml:space="preserve"> </w:t>
      </w:r>
      <w:r>
        <w:rPr>
          <w:spacing w:val="3"/>
          <w:sz w:val="19"/>
          <w:szCs w:val="19"/>
        </w:rPr>
        <w:t>人员之间的协调。</w:t>
      </w:r>
    </w:p>
    <w:p w14:paraId="5C0DF5E7">
      <w:pPr>
        <w:pStyle w:val="2"/>
        <w:spacing w:before="155" w:line="219" w:lineRule="auto"/>
        <w:ind w:left="2"/>
        <w:rPr>
          <w:sz w:val="25"/>
          <w:szCs w:val="25"/>
        </w:rPr>
      </w:pPr>
      <w:r>
        <w:rPr>
          <w:b/>
          <w:bCs/>
          <w:color w:val="007AE6"/>
          <w:spacing w:val="-19"/>
          <w:sz w:val="25"/>
          <w:szCs w:val="25"/>
        </w:rPr>
        <w:t>15.1.2</w:t>
      </w:r>
      <w:r>
        <w:rPr>
          <w:color w:val="007AE6"/>
          <w:spacing w:val="89"/>
          <w:sz w:val="25"/>
          <w:szCs w:val="25"/>
        </w:rPr>
        <w:t xml:space="preserve"> </w:t>
      </w:r>
      <w:r>
        <w:rPr>
          <w:b/>
          <w:bCs/>
          <w:color w:val="007AE6"/>
          <w:spacing w:val="-19"/>
          <w:sz w:val="25"/>
          <w:szCs w:val="25"/>
        </w:rPr>
        <w:t>系统内部的协调</w:t>
      </w:r>
    </w:p>
    <w:p w14:paraId="27120F26">
      <w:pPr>
        <w:pStyle w:val="2"/>
        <w:spacing w:before="174" w:line="288" w:lineRule="auto"/>
        <w:ind w:right="9" w:firstLine="419"/>
        <w:rPr>
          <w:sz w:val="19"/>
          <w:szCs w:val="19"/>
        </w:rPr>
      </w:pPr>
      <w:r>
        <w:rPr>
          <w:spacing w:val="13"/>
          <w:sz w:val="19"/>
          <w:szCs w:val="19"/>
        </w:rPr>
        <w:t>所谓系统内部的协调，是指一个信息系统工程建设项目内部各种关系的协调，如内部的人</w:t>
      </w:r>
      <w:r>
        <w:rPr>
          <w:sz w:val="19"/>
          <w:szCs w:val="19"/>
        </w:rPr>
        <w:t xml:space="preserve"> </w:t>
      </w:r>
      <w:r>
        <w:rPr>
          <w:spacing w:val="13"/>
          <w:sz w:val="19"/>
          <w:szCs w:val="19"/>
        </w:rPr>
        <w:t>际关系、内部的组织关系、内部的需求关系以及其他的关系等。系统内部关系协调主要包括以</w:t>
      </w:r>
    </w:p>
    <w:p w14:paraId="678F40DE">
      <w:pPr>
        <w:spacing w:line="288" w:lineRule="auto"/>
        <w:rPr>
          <w:sz w:val="19"/>
          <w:szCs w:val="19"/>
        </w:rPr>
        <w:sectPr>
          <w:pgSz w:w="10290" w:h="13300"/>
          <w:pgMar w:top="400" w:right="862" w:bottom="400" w:left="1080" w:header="0" w:footer="0" w:gutter="0"/>
          <w:cols w:space="720" w:num="1"/>
        </w:sectPr>
      </w:pPr>
    </w:p>
    <w:p w14:paraId="4A5A6885">
      <w:pPr>
        <w:pStyle w:val="2"/>
        <w:spacing w:before="128" w:line="219" w:lineRule="auto"/>
        <w:rPr>
          <w:sz w:val="19"/>
          <w:szCs w:val="19"/>
        </w:rPr>
      </w:pPr>
      <w:r>
        <w:rPr>
          <w:rFonts w:ascii="Times New Roman" w:hAnsi="Times New Roman" w:eastAsia="Times New Roman" w:cs="Times New Roman"/>
          <w:b/>
          <w:bCs/>
          <w:spacing w:val="4"/>
          <w:sz w:val="19"/>
          <w:szCs w:val="19"/>
        </w:rPr>
        <w:t xml:space="preserve">356              </w:t>
      </w:r>
      <w:r>
        <w:rPr>
          <w:spacing w:val="4"/>
          <w:sz w:val="19"/>
          <w:szCs w:val="19"/>
        </w:rPr>
        <w:t>信息系统监</w:t>
      </w:r>
      <w:r>
        <w:rPr>
          <w:spacing w:val="3"/>
          <w:sz w:val="19"/>
          <w:szCs w:val="19"/>
        </w:rPr>
        <w:t>理师教程(第2版)</w:t>
      </w:r>
    </w:p>
    <w:p w14:paraId="7F8CF454">
      <w:pPr>
        <w:spacing w:line="319" w:lineRule="auto"/>
        <w:rPr>
          <w:rFonts w:ascii="Arial"/>
          <w:sz w:val="21"/>
        </w:rPr>
      </w:pPr>
    </w:p>
    <w:p w14:paraId="490B03A4">
      <w:pPr>
        <w:pStyle w:val="2"/>
        <w:spacing w:before="62" w:line="219" w:lineRule="auto"/>
        <w:ind w:left="370"/>
        <w:rPr>
          <w:sz w:val="19"/>
          <w:szCs w:val="19"/>
        </w:rPr>
      </w:pPr>
      <w:r>
        <w:rPr>
          <w:sz w:val="19"/>
          <w:szCs w:val="19"/>
        </w:rPr>
        <w:t>下几个方面。</w:t>
      </w:r>
    </w:p>
    <w:p w14:paraId="7FC21ED3">
      <w:pPr>
        <w:pStyle w:val="2"/>
        <w:spacing w:before="191" w:line="221" w:lineRule="auto"/>
        <w:ind w:left="772"/>
        <w:rPr>
          <w:rFonts w:ascii="黑体" w:hAnsi="黑体" w:eastAsia="黑体" w:cs="黑体"/>
          <w:sz w:val="19"/>
          <w:szCs w:val="19"/>
        </w:rPr>
      </w:pPr>
      <w:bookmarkStart w:id="667" w:name="bookmark652"/>
      <w:bookmarkEnd w:id="667"/>
      <w:r>
        <w:rPr>
          <w:b/>
          <w:bCs/>
          <w:color w:val="007FCA"/>
          <w:spacing w:val="5"/>
          <w:sz w:val="19"/>
          <w:szCs w:val="19"/>
        </w:rPr>
        <w:t>1.</w:t>
      </w:r>
      <w:r>
        <w:rPr>
          <w:rFonts w:ascii="黑体" w:hAnsi="黑体" w:eastAsia="黑体" w:cs="黑体"/>
          <w:b/>
          <w:bCs/>
          <w:color w:val="007FCA"/>
          <w:spacing w:val="5"/>
          <w:sz w:val="19"/>
          <w:szCs w:val="19"/>
        </w:rPr>
        <w:t>系统内部人际关系的协调</w:t>
      </w:r>
    </w:p>
    <w:p w14:paraId="16C2CC9B">
      <w:pPr>
        <w:pStyle w:val="2"/>
        <w:spacing w:before="155" w:line="303" w:lineRule="auto"/>
        <w:ind w:left="370" w:right="80" w:firstLine="399"/>
        <w:jc w:val="both"/>
        <w:rPr>
          <w:sz w:val="19"/>
          <w:szCs w:val="19"/>
        </w:rPr>
      </w:pPr>
      <w:r>
        <w:rPr>
          <w:spacing w:val="13"/>
          <w:sz w:val="19"/>
          <w:szCs w:val="19"/>
        </w:rPr>
        <w:t>如何提高每个人的工作效率，这在很大程度上取决于人际关系的协调程度，所以监理</w:t>
      </w:r>
      <w:r>
        <w:rPr>
          <w:spacing w:val="12"/>
          <w:sz w:val="19"/>
          <w:szCs w:val="19"/>
        </w:rPr>
        <w:t>工程</w:t>
      </w:r>
      <w:r>
        <w:rPr>
          <w:sz w:val="19"/>
          <w:szCs w:val="19"/>
        </w:rPr>
        <w:t xml:space="preserve"> </w:t>
      </w:r>
      <w:r>
        <w:rPr>
          <w:spacing w:val="13"/>
          <w:sz w:val="19"/>
          <w:szCs w:val="19"/>
        </w:rPr>
        <w:t>师首先应注意做好人际关系的协调工作，充分调动系统内部各个组成部分的积极性</w:t>
      </w:r>
      <w:r>
        <w:rPr>
          <w:spacing w:val="12"/>
          <w:sz w:val="19"/>
          <w:szCs w:val="19"/>
        </w:rPr>
        <w:t>，这样才能</w:t>
      </w:r>
      <w:r>
        <w:rPr>
          <w:sz w:val="19"/>
          <w:szCs w:val="19"/>
        </w:rPr>
        <w:t xml:space="preserve"> </w:t>
      </w:r>
      <w:r>
        <w:rPr>
          <w:spacing w:val="6"/>
          <w:sz w:val="19"/>
          <w:szCs w:val="19"/>
        </w:rPr>
        <w:t>保证工程项目顺利地开发与实施。</w:t>
      </w:r>
    </w:p>
    <w:p w14:paraId="482590A2">
      <w:pPr>
        <w:pStyle w:val="2"/>
        <w:spacing w:before="25" w:line="302" w:lineRule="auto"/>
        <w:ind w:left="370" w:right="15" w:firstLine="399"/>
        <w:jc w:val="both"/>
        <w:rPr>
          <w:sz w:val="19"/>
          <w:szCs w:val="19"/>
        </w:rPr>
      </w:pPr>
      <w:r>
        <w:rPr>
          <w:spacing w:val="15"/>
          <w:sz w:val="19"/>
          <w:szCs w:val="19"/>
        </w:rPr>
        <w:t>任何协调工作最终都表现为人与人之间的沟通，而良好的人际</w:t>
      </w:r>
      <w:r>
        <w:rPr>
          <w:spacing w:val="14"/>
          <w:sz w:val="19"/>
          <w:szCs w:val="19"/>
        </w:rPr>
        <w:t>关系可以使双方相互信赖，</w:t>
      </w:r>
      <w:r>
        <w:rPr>
          <w:sz w:val="19"/>
          <w:szCs w:val="19"/>
        </w:rPr>
        <w:t xml:space="preserve"> </w:t>
      </w:r>
      <w:r>
        <w:rPr>
          <w:spacing w:val="13"/>
          <w:sz w:val="19"/>
          <w:szCs w:val="19"/>
        </w:rPr>
        <w:t>相互支持，容易沟通，同时人际关系的渗透和扩散性反过来能更加提高监理工作的效</w:t>
      </w:r>
      <w:r>
        <w:rPr>
          <w:spacing w:val="12"/>
          <w:sz w:val="19"/>
          <w:szCs w:val="19"/>
        </w:rPr>
        <w:t>率。和谐</w:t>
      </w:r>
      <w:r>
        <w:rPr>
          <w:sz w:val="19"/>
          <w:szCs w:val="19"/>
        </w:rPr>
        <w:t xml:space="preserve"> </w:t>
      </w:r>
      <w:r>
        <w:rPr>
          <w:spacing w:val="6"/>
          <w:sz w:val="19"/>
          <w:szCs w:val="19"/>
        </w:rPr>
        <w:t>的人际关系是做好监理工作的基础。</w:t>
      </w:r>
    </w:p>
    <w:p w14:paraId="69754A7E">
      <w:pPr>
        <w:pStyle w:val="2"/>
        <w:spacing w:before="113" w:line="221" w:lineRule="auto"/>
        <w:ind w:left="772"/>
        <w:rPr>
          <w:rFonts w:ascii="黑体" w:hAnsi="黑体" w:eastAsia="黑体" w:cs="黑体"/>
          <w:sz w:val="19"/>
          <w:szCs w:val="19"/>
        </w:rPr>
      </w:pPr>
      <w:r>
        <w:rPr>
          <w:b/>
          <w:bCs/>
          <w:color w:val="0085DF"/>
          <w:spacing w:val="7"/>
          <w:sz w:val="19"/>
          <w:szCs w:val="19"/>
        </w:rPr>
        <w:t>2.</w:t>
      </w:r>
      <w:r>
        <w:rPr>
          <w:rFonts w:ascii="黑体" w:hAnsi="黑体" w:eastAsia="黑体" w:cs="黑体"/>
          <w:b/>
          <w:bCs/>
          <w:color w:val="0085DF"/>
          <w:spacing w:val="7"/>
          <w:sz w:val="19"/>
          <w:szCs w:val="19"/>
        </w:rPr>
        <w:t>系统内部组织关系的协调</w:t>
      </w:r>
    </w:p>
    <w:p w14:paraId="2CBB3397">
      <w:pPr>
        <w:pStyle w:val="2"/>
        <w:spacing w:before="158" w:line="305" w:lineRule="auto"/>
        <w:ind w:left="370" w:right="14" w:firstLine="399"/>
        <w:jc w:val="both"/>
        <w:rPr>
          <w:sz w:val="19"/>
          <w:szCs w:val="19"/>
        </w:rPr>
      </w:pPr>
      <w:r>
        <w:rPr>
          <w:spacing w:val="14"/>
          <w:sz w:val="19"/>
          <w:szCs w:val="19"/>
        </w:rPr>
        <w:t xml:space="preserve">这里说的组织，是指工程项目中若干个项目组(对应完成各个子系统)。组织关系的协调， </w:t>
      </w:r>
      <w:r>
        <w:rPr>
          <w:spacing w:val="13"/>
          <w:sz w:val="19"/>
          <w:szCs w:val="19"/>
        </w:rPr>
        <w:t>则是指要使这些项目组都能从整个项目的质量、进度和投资控制的目标出发，并积极主动地完</w:t>
      </w:r>
      <w:r>
        <w:rPr>
          <w:spacing w:val="15"/>
          <w:sz w:val="19"/>
          <w:szCs w:val="19"/>
        </w:rPr>
        <w:t xml:space="preserve"> </w:t>
      </w:r>
      <w:r>
        <w:rPr>
          <w:spacing w:val="13"/>
          <w:sz w:val="19"/>
          <w:szCs w:val="19"/>
        </w:rPr>
        <w:t>成本组的工作，使整个项目处于有序的良性</w:t>
      </w:r>
      <w:r>
        <w:rPr>
          <w:spacing w:val="12"/>
          <w:sz w:val="19"/>
          <w:szCs w:val="19"/>
        </w:rPr>
        <w:t>状态。组织关系的协调，可以通过经常开一些工作</w:t>
      </w:r>
      <w:r>
        <w:rPr>
          <w:sz w:val="19"/>
          <w:szCs w:val="19"/>
        </w:rPr>
        <w:t xml:space="preserve">  </w:t>
      </w:r>
      <w:r>
        <w:rPr>
          <w:spacing w:val="13"/>
          <w:sz w:val="19"/>
          <w:szCs w:val="19"/>
        </w:rPr>
        <w:t>例会、业务碰头会来实现。会议后应输出会议纪要，以及采用信息传递卡等有效方式来沟通信</w:t>
      </w:r>
      <w:r>
        <w:rPr>
          <w:sz w:val="19"/>
          <w:szCs w:val="19"/>
        </w:rPr>
        <w:t xml:space="preserve"> </w:t>
      </w:r>
      <w:r>
        <w:rPr>
          <w:spacing w:val="8"/>
          <w:sz w:val="19"/>
          <w:szCs w:val="19"/>
        </w:rPr>
        <w:t>息，这样可使局部的单位了解全局，消除误会，服从并适应全局的需</w:t>
      </w:r>
      <w:r>
        <w:rPr>
          <w:spacing w:val="7"/>
          <w:sz w:val="19"/>
          <w:szCs w:val="19"/>
        </w:rPr>
        <w:t>要。</w:t>
      </w:r>
    </w:p>
    <w:p w14:paraId="0E5ED2AE">
      <w:pPr>
        <w:pStyle w:val="2"/>
        <w:spacing w:before="19" w:line="219" w:lineRule="auto"/>
        <w:ind w:left="770"/>
        <w:rPr>
          <w:sz w:val="19"/>
          <w:szCs w:val="19"/>
        </w:rPr>
      </w:pPr>
      <w:r>
        <w:rPr>
          <w:spacing w:val="8"/>
          <w:sz w:val="19"/>
          <w:szCs w:val="19"/>
        </w:rPr>
        <w:t>通过及时有效地进行组织关系的协调，可避免资源浪费，节省人力、物力和财力。</w:t>
      </w:r>
    </w:p>
    <w:p w14:paraId="0505DCE7">
      <w:pPr>
        <w:pStyle w:val="2"/>
        <w:spacing w:before="190" w:line="221" w:lineRule="auto"/>
        <w:ind w:left="772"/>
        <w:rPr>
          <w:rFonts w:ascii="黑体" w:hAnsi="黑体" w:eastAsia="黑体" w:cs="黑体"/>
          <w:sz w:val="19"/>
          <w:szCs w:val="19"/>
        </w:rPr>
      </w:pPr>
      <w:r>
        <w:rPr>
          <w:b/>
          <w:bCs/>
          <w:color w:val="0071C9"/>
          <w:spacing w:val="5"/>
          <w:sz w:val="19"/>
          <w:szCs w:val="19"/>
        </w:rPr>
        <w:t>3.</w:t>
      </w:r>
      <w:r>
        <w:rPr>
          <w:rFonts w:ascii="黑体" w:hAnsi="黑体" w:eastAsia="黑体" w:cs="黑体"/>
          <w:b/>
          <w:bCs/>
          <w:color w:val="0071C9"/>
          <w:spacing w:val="5"/>
          <w:sz w:val="19"/>
          <w:szCs w:val="19"/>
        </w:rPr>
        <w:t>系统内部需求关系的协调</w:t>
      </w:r>
    </w:p>
    <w:p w14:paraId="085C44D6">
      <w:pPr>
        <w:pStyle w:val="2"/>
        <w:spacing w:before="137" w:line="298" w:lineRule="auto"/>
        <w:ind w:left="370" w:right="78" w:firstLine="399"/>
        <w:rPr>
          <w:sz w:val="19"/>
          <w:szCs w:val="19"/>
        </w:rPr>
      </w:pPr>
      <w:r>
        <w:rPr>
          <w:spacing w:val="13"/>
          <w:sz w:val="19"/>
          <w:szCs w:val="19"/>
        </w:rPr>
        <w:t>系统内部需求关系的协调是指在项目实施中，对人员需求、材料需求、硬件设备和软件需</w:t>
      </w:r>
      <w:r>
        <w:rPr>
          <w:spacing w:val="3"/>
          <w:sz w:val="19"/>
          <w:szCs w:val="19"/>
        </w:rPr>
        <w:t xml:space="preserve"> </w:t>
      </w:r>
      <w:r>
        <w:rPr>
          <w:spacing w:val="8"/>
          <w:sz w:val="19"/>
          <w:szCs w:val="19"/>
        </w:rPr>
        <w:t>求、其他资源需求进行的协调，以达到内部需求的平衡，实现内部资源的合理</w:t>
      </w:r>
      <w:r>
        <w:rPr>
          <w:spacing w:val="7"/>
          <w:sz w:val="19"/>
          <w:szCs w:val="19"/>
        </w:rPr>
        <w:t>配置。</w:t>
      </w:r>
    </w:p>
    <w:p w14:paraId="55FA26DB">
      <w:pPr>
        <w:spacing w:line="186" w:lineRule="exact"/>
      </w:pPr>
    </w:p>
    <w:p w14:paraId="52CCFE22">
      <w:pPr>
        <w:spacing w:line="186" w:lineRule="exact"/>
        <w:sectPr>
          <w:pgSz w:w="10300" w:h="13410"/>
          <w:pgMar w:top="400" w:right="1020" w:bottom="400" w:left="509" w:header="0" w:footer="0" w:gutter="0"/>
          <w:cols w:equalWidth="0" w:num="1">
            <w:col w:w="8771"/>
          </w:cols>
        </w:sectPr>
      </w:pPr>
    </w:p>
    <w:p w14:paraId="6101D65B">
      <w:pPr>
        <w:pStyle w:val="2"/>
        <w:spacing w:line="219" w:lineRule="auto"/>
        <w:ind w:left="372"/>
        <w:rPr>
          <w:sz w:val="25"/>
          <w:szCs w:val="25"/>
        </w:rPr>
      </w:pPr>
      <w:r>
        <w:rPr>
          <w:b/>
          <w:bCs/>
          <w:color w:val="0073C1"/>
          <w:spacing w:val="-20"/>
          <w:sz w:val="25"/>
          <w:szCs w:val="25"/>
        </w:rPr>
        <w:t>15.1.3</w:t>
      </w:r>
      <w:r>
        <w:rPr>
          <w:color w:val="0073C1"/>
          <w:spacing w:val="8"/>
          <w:sz w:val="25"/>
          <w:szCs w:val="25"/>
        </w:rPr>
        <w:t xml:space="preserve">  </w:t>
      </w:r>
      <w:r>
        <w:rPr>
          <w:b/>
          <w:bCs/>
          <w:color w:val="0073C1"/>
          <w:spacing w:val="-20"/>
          <w:sz w:val="25"/>
          <w:szCs w:val="25"/>
        </w:rPr>
        <w:t>系统外部的协调</w:t>
      </w:r>
    </w:p>
    <w:p w14:paraId="417E9452">
      <w:pPr>
        <w:pStyle w:val="2"/>
        <w:spacing w:before="154" w:line="296" w:lineRule="auto"/>
        <w:ind w:left="370" w:right="165" w:firstLine="399"/>
        <w:jc w:val="both"/>
        <w:rPr>
          <w:sz w:val="19"/>
          <w:szCs w:val="19"/>
        </w:rPr>
      </w:pPr>
      <w:r>
        <w:rPr>
          <w:spacing w:val="23"/>
          <w:sz w:val="19"/>
          <w:szCs w:val="19"/>
        </w:rPr>
        <w:t>所谓系统外部的协调，是指信息系统</w:t>
      </w:r>
      <w:r>
        <w:rPr>
          <w:sz w:val="19"/>
          <w:szCs w:val="19"/>
        </w:rPr>
        <w:t xml:space="preserve"> </w:t>
      </w:r>
      <w:r>
        <w:rPr>
          <w:spacing w:val="10"/>
          <w:sz w:val="19"/>
          <w:szCs w:val="19"/>
        </w:rPr>
        <w:t>工程建设项目整个活动过程以外的关系的协</w:t>
      </w:r>
      <w:r>
        <w:rPr>
          <w:spacing w:val="9"/>
          <w:sz w:val="19"/>
          <w:szCs w:val="19"/>
        </w:rPr>
        <w:t xml:space="preserve"> </w:t>
      </w:r>
      <w:r>
        <w:rPr>
          <w:spacing w:val="10"/>
          <w:sz w:val="19"/>
          <w:szCs w:val="19"/>
        </w:rPr>
        <w:t>调，其中又以是否具有合同关系为界限，划</w:t>
      </w:r>
      <w:r>
        <w:rPr>
          <w:spacing w:val="13"/>
          <w:sz w:val="19"/>
          <w:szCs w:val="19"/>
        </w:rPr>
        <w:t xml:space="preserve"> </w:t>
      </w:r>
      <w:r>
        <w:rPr>
          <w:spacing w:val="10"/>
          <w:sz w:val="19"/>
          <w:szCs w:val="19"/>
        </w:rPr>
        <w:t>分为具有合同因素的协调和不具有合同因素</w:t>
      </w:r>
      <w:r>
        <w:rPr>
          <w:spacing w:val="7"/>
          <w:sz w:val="19"/>
          <w:szCs w:val="19"/>
        </w:rPr>
        <w:t xml:space="preserve"> </w:t>
      </w:r>
      <w:r>
        <w:rPr>
          <w:spacing w:val="13"/>
          <w:sz w:val="19"/>
          <w:szCs w:val="19"/>
        </w:rPr>
        <w:t>(即非合同因素)的协调，如图15-1所示。</w:t>
      </w:r>
    </w:p>
    <w:p w14:paraId="62E6C53A">
      <w:pPr>
        <w:pStyle w:val="2"/>
        <w:spacing w:before="165" w:line="222" w:lineRule="auto"/>
        <w:ind w:left="772"/>
        <w:rPr>
          <w:rFonts w:ascii="黑体" w:hAnsi="黑体" w:eastAsia="黑体" w:cs="黑体"/>
          <w:sz w:val="19"/>
          <w:szCs w:val="19"/>
        </w:rPr>
      </w:pPr>
      <w:r>
        <w:rPr>
          <w:b/>
          <w:bCs/>
          <w:color w:val="0079D7"/>
          <w:spacing w:val="5"/>
          <w:sz w:val="19"/>
          <w:szCs w:val="19"/>
        </w:rPr>
        <w:t>1.</w:t>
      </w:r>
      <w:r>
        <w:rPr>
          <w:rFonts w:ascii="黑体" w:hAnsi="黑体" w:eastAsia="黑体" w:cs="黑体"/>
          <w:b/>
          <w:bCs/>
          <w:color w:val="0079D7"/>
          <w:spacing w:val="5"/>
          <w:sz w:val="19"/>
          <w:szCs w:val="19"/>
        </w:rPr>
        <w:t>具有合同因素的协调</w:t>
      </w:r>
    </w:p>
    <w:p w14:paraId="089F0E3E">
      <w:pPr>
        <w:pStyle w:val="2"/>
        <w:spacing w:before="135" w:line="262" w:lineRule="auto"/>
        <w:ind w:left="370" w:right="160" w:firstLine="399"/>
        <w:jc w:val="both"/>
        <w:rPr>
          <w:sz w:val="19"/>
          <w:szCs w:val="19"/>
        </w:rPr>
      </w:pPr>
      <w:r>
        <w:rPr>
          <w:spacing w:val="23"/>
          <w:sz w:val="19"/>
          <w:szCs w:val="19"/>
        </w:rPr>
        <w:t>组织协调应该是全面的。具有合同因</w:t>
      </w:r>
      <w:r>
        <w:rPr>
          <w:spacing w:val="10"/>
          <w:sz w:val="19"/>
          <w:szCs w:val="19"/>
        </w:rPr>
        <w:t xml:space="preserve"> </w:t>
      </w:r>
      <w:r>
        <w:rPr>
          <w:spacing w:val="15"/>
          <w:sz w:val="19"/>
          <w:szCs w:val="19"/>
        </w:rPr>
        <w:t>素的协调主要是业主单位与承建单位(即实</w:t>
      </w:r>
      <w:r>
        <w:rPr>
          <w:spacing w:val="8"/>
          <w:sz w:val="19"/>
          <w:szCs w:val="19"/>
        </w:rPr>
        <w:t xml:space="preserve"> </w:t>
      </w:r>
      <w:r>
        <w:rPr>
          <w:spacing w:val="20"/>
          <w:sz w:val="19"/>
          <w:szCs w:val="19"/>
        </w:rPr>
        <w:t>施、开发方)、业主单位与设计单位(某些</w:t>
      </w:r>
    </w:p>
    <w:p w14:paraId="027B16B9">
      <w:pPr>
        <w:spacing w:line="14" w:lineRule="auto"/>
        <w:rPr>
          <w:rFonts w:ascii="Arial"/>
          <w:sz w:val="2"/>
        </w:rPr>
      </w:pPr>
      <w:r>
        <w:rPr>
          <w:rFonts w:ascii="Arial" w:hAnsi="Arial" w:eastAsia="Arial" w:cs="Arial"/>
          <w:sz w:val="2"/>
          <w:szCs w:val="2"/>
        </w:rPr>
        <w:br w:type="column"/>
      </w:r>
    </w:p>
    <w:p w14:paraId="7B0D8EC7">
      <w:pPr>
        <w:pStyle w:val="2"/>
        <w:spacing w:before="182" w:line="2580" w:lineRule="exact"/>
      </w:pPr>
      <w:r>
        <w:rPr>
          <w:position w:val="-51"/>
        </w:rPr>
        <w:pict>
          <v:group id="_x0000_s1499" o:spid="_x0000_s1499" o:spt="203" style="height:129pt;width:216.05pt;" coordsize="4321,2580">
            <o:lock v:ext="edit"/>
            <v:shape id="_x0000_s1500" o:spid="_x0000_s1500" o:spt="75" type="#_x0000_t75" style="position:absolute;left:0;top:0;height:2580;width:4321;" filled="f" stroked="f" coordsize="21600,21600">
              <v:path/>
              <v:fill on="f" focussize="0,0"/>
              <v:stroke on="f"/>
              <v:imagedata r:id="rId226" o:title=""/>
              <o:lock v:ext="edit" aspectratio="t"/>
            </v:shape>
            <v:shape id="_x0000_s1501" o:spid="_x0000_s1501" o:spt="202" type="#_x0000_t202" style="position:absolute;left:1230;top:97;height:2400;width:2972;" filled="f" stroked="f" coordsize="21600,21600">
              <v:path/>
              <v:fill on="f" focussize="0,0"/>
              <v:stroke on="f"/>
              <v:imagedata o:title=""/>
              <o:lock v:ext="edit" aspectratio="f"/>
              <v:textbox inset="0mm,0mm,0mm,0mm">
                <w:txbxContent>
                  <w:p w14:paraId="3DB25213">
                    <w:pPr>
                      <w:spacing w:before="20" w:line="219" w:lineRule="auto"/>
                      <w:ind w:left="20"/>
                      <w:rPr>
                        <w:rFonts w:ascii="宋体" w:hAnsi="宋体" w:eastAsia="宋体" w:cs="宋体"/>
                        <w:sz w:val="19"/>
                        <w:szCs w:val="19"/>
                      </w:rPr>
                    </w:pPr>
                    <w:r>
                      <w:rPr>
                        <w:rFonts w:ascii="宋体" w:hAnsi="宋体" w:eastAsia="宋体" w:cs="宋体"/>
                        <w:spacing w:val="-16"/>
                        <w:sz w:val="19"/>
                        <w:szCs w:val="19"/>
                      </w:rPr>
                      <w:t>系统外部关系协调</w:t>
                    </w:r>
                  </w:p>
                  <w:p w14:paraId="32619E42">
                    <w:pPr>
                      <w:spacing w:line="479" w:lineRule="auto"/>
                      <w:rPr>
                        <w:rFonts w:ascii="Arial"/>
                        <w:sz w:val="21"/>
                      </w:rPr>
                    </w:pPr>
                  </w:p>
                  <w:p w14:paraId="628060E9">
                    <w:pPr>
                      <w:spacing w:before="62" w:line="219" w:lineRule="auto"/>
                      <w:ind w:left="870"/>
                      <w:rPr>
                        <w:rFonts w:ascii="宋体" w:hAnsi="宋体" w:eastAsia="宋体" w:cs="宋体"/>
                        <w:sz w:val="19"/>
                        <w:szCs w:val="19"/>
                      </w:rPr>
                    </w:pPr>
                    <w:r>
                      <w:rPr>
                        <w:rFonts w:ascii="宋体" w:hAnsi="宋体" w:eastAsia="宋体" w:cs="宋体"/>
                        <w:spacing w:val="-15"/>
                        <w:sz w:val="19"/>
                        <w:szCs w:val="19"/>
                      </w:rPr>
                      <w:t>非合同因素的协调</w:t>
                    </w:r>
                  </w:p>
                  <w:p w14:paraId="00C669DA">
                    <w:pPr>
                      <w:spacing w:line="478" w:lineRule="auto"/>
                      <w:rPr>
                        <w:rFonts w:ascii="Arial"/>
                        <w:sz w:val="21"/>
                      </w:rPr>
                    </w:pPr>
                  </w:p>
                  <w:p w14:paraId="06304053">
                    <w:pPr>
                      <w:spacing w:before="62" w:line="202" w:lineRule="auto"/>
                      <w:ind w:left="1010" w:right="20" w:firstLine="49"/>
                      <w:rPr>
                        <w:rFonts w:ascii="宋体" w:hAnsi="宋体" w:eastAsia="宋体" w:cs="宋体"/>
                        <w:sz w:val="19"/>
                        <w:szCs w:val="19"/>
                      </w:rPr>
                    </w:pPr>
                    <w:r>
                      <w:rPr>
                        <w:rFonts w:ascii="宋体" w:hAnsi="宋体" w:eastAsia="宋体" w:cs="宋体"/>
                        <w:spacing w:val="-19"/>
                        <w:sz w:val="19"/>
                        <w:szCs w:val="19"/>
                      </w:rPr>
                      <w:t>与社会团体主管部门机构</w:t>
                    </w:r>
                    <w:r>
                      <w:rPr>
                        <w:rFonts w:ascii="宋体" w:hAnsi="宋体" w:eastAsia="宋体" w:cs="宋体"/>
                        <w:spacing w:val="9"/>
                        <w:sz w:val="19"/>
                        <w:szCs w:val="19"/>
                      </w:rPr>
                      <w:t xml:space="preserve"> </w:t>
                    </w:r>
                    <w:r>
                      <w:rPr>
                        <w:rFonts w:ascii="宋体" w:hAnsi="宋体" w:eastAsia="宋体" w:cs="宋体"/>
                        <w:color w:val="0285D1"/>
                        <w:spacing w:val="15"/>
                        <w:sz w:val="19"/>
                        <w:szCs w:val="19"/>
                      </w:rPr>
                      <w:t>协</w:t>
                    </w:r>
                    <w:r>
                      <w:rPr>
                        <w:rFonts w:ascii="宋体" w:hAnsi="宋体" w:eastAsia="宋体" w:cs="宋体"/>
                        <w:spacing w:val="15"/>
                        <w:sz w:val="19"/>
                        <w:szCs w:val="19"/>
                      </w:rPr>
                      <w:t>调</w:t>
                    </w:r>
                  </w:p>
                  <w:p w14:paraId="53C1A016">
                    <w:pPr>
                      <w:spacing w:before="1" w:line="213" w:lineRule="auto"/>
                      <w:ind w:left="1059" w:right="187"/>
                      <w:rPr>
                        <w:rFonts w:ascii="宋体" w:hAnsi="宋体" w:eastAsia="宋体" w:cs="宋体"/>
                        <w:sz w:val="19"/>
                        <w:szCs w:val="19"/>
                      </w:rPr>
                    </w:pPr>
                    <w:r>
                      <w:rPr>
                        <w:rFonts w:ascii="宋体" w:hAnsi="宋体" w:eastAsia="宋体" w:cs="宋体"/>
                        <w:spacing w:val="-18"/>
                        <w:sz w:val="19"/>
                        <w:szCs w:val="19"/>
                      </w:rPr>
                      <w:t>与服务部门和传媒协调</w:t>
                    </w:r>
                    <w:r>
                      <w:rPr>
                        <w:rFonts w:ascii="宋体" w:hAnsi="宋体" w:eastAsia="宋体" w:cs="宋体"/>
                        <w:spacing w:val="3"/>
                        <w:sz w:val="19"/>
                        <w:szCs w:val="19"/>
                      </w:rPr>
                      <w:t xml:space="preserve"> </w:t>
                    </w:r>
                    <w:r>
                      <w:rPr>
                        <w:rFonts w:ascii="宋体" w:hAnsi="宋体" w:eastAsia="宋体" w:cs="宋体"/>
                        <w:spacing w:val="-17"/>
                        <w:sz w:val="19"/>
                        <w:szCs w:val="19"/>
                      </w:rPr>
                      <w:t>与社会团体协调</w:t>
                    </w:r>
                  </w:p>
                </w:txbxContent>
              </v:textbox>
            </v:shape>
            <v:shape id="_x0000_s1502" o:spid="_x0000_s1502" o:spt="202" type="#_x0000_t202" style="position:absolute;left:40;top:1647;height:630;width:1775;" filled="f" stroked="f" coordsize="21600,21600">
              <v:path/>
              <v:fill on="f" focussize="0,0"/>
              <v:stroke on="f"/>
              <v:imagedata o:title=""/>
              <o:lock v:ext="edit" aspectratio="f"/>
              <v:textbox inset="0mm,0mm,0mm,0mm">
                <w:txbxContent>
                  <w:p w14:paraId="6702DA3D">
                    <w:pPr>
                      <w:spacing w:before="20" w:line="194" w:lineRule="auto"/>
                      <w:ind w:left="20" w:right="187"/>
                      <w:rPr>
                        <w:rFonts w:ascii="宋体" w:hAnsi="宋体" w:eastAsia="宋体" w:cs="宋体"/>
                        <w:sz w:val="19"/>
                        <w:szCs w:val="19"/>
                      </w:rPr>
                    </w:pPr>
                    <w:r>
                      <w:rPr>
                        <w:rFonts w:ascii="宋体" w:hAnsi="宋体" w:eastAsia="宋体" w:cs="宋体"/>
                        <w:spacing w:val="-16"/>
                        <w:sz w:val="19"/>
                        <w:szCs w:val="19"/>
                      </w:rPr>
                      <w:t>业主单位与承建单位</w:t>
                    </w:r>
                    <w:r>
                      <w:rPr>
                        <w:rFonts w:ascii="宋体" w:hAnsi="宋体" w:eastAsia="宋体" w:cs="宋体"/>
                        <w:sz w:val="19"/>
                        <w:szCs w:val="19"/>
                      </w:rPr>
                      <w:t xml:space="preserve"> </w:t>
                    </w:r>
                    <w:r>
                      <w:rPr>
                        <w:rFonts w:ascii="宋体" w:hAnsi="宋体" w:eastAsia="宋体" w:cs="宋体"/>
                        <w:spacing w:val="-3"/>
                        <w:sz w:val="19"/>
                        <w:szCs w:val="19"/>
                      </w:rPr>
                      <w:t>协调</w:t>
                    </w:r>
                  </w:p>
                  <w:p w14:paraId="29F57992">
                    <w:pPr>
                      <w:spacing w:line="218" w:lineRule="auto"/>
                      <w:ind w:left="20"/>
                      <w:rPr>
                        <w:rFonts w:ascii="宋体" w:hAnsi="宋体" w:eastAsia="宋体" w:cs="宋体"/>
                        <w:sz w:val="19"/>
                        <w:szCs w:val="19"/>
                      </w:rPr>
                    </w:pPr>
                    <w:r>
                      <w:rPr>
                        <w:rFonts w:ascii="宋体" w:hAnsi="宋体" w:eastAsia="宋体" w:cs="宋体"/>
                        <w:spacing w:val="-15"/>
                        <w:sz w:val="19"/>
                        <w:szCs w:val="19"/>
                      </w:rPr>
                      <w:t>业主单位与供应商协调</w:t>
                    </w:r>
                  </w:p>
                </w:txbxContent>
              </v:textbox>
            </v:shape>
            <v:shape id="_x0000_s1503" o:spid="_x0000_s1503" o:spt="202" type="#_x0000_t202" style="position:absolute;left:190;top:867;height:230;width:1595;" filled="f" stroked="f" coordsize="21600,21600">
              <v:path/>
              <v:fill on="f" focussize="0,0"/>
              <v:stroke on="f"/>
              <v:imagedata o:title=""/>
              <o:lock v:ext="edit" aspectratio="f"/>
              <v:textbox inset="0mm,0mm,0mm,0mm">
                <w:txbxContent>
                  <w:p w14:paraId="24627C18">
                    <w:pPr>
                      <w:spacing w:before="20" w:line="219" w:lineRule="auto"/>
                      <w:ind w:right="2"/>
                      <w:jc w:val="right"/>
                      <w:rPr>
                        <w:rFonts w:ascii="宋体" w:hAnsi="宋体" w:eastAsia="宋体" w:cs="宋体"/>
                        <w:sz w:val="19"/>
                        <w:szCs w:val="19"/>
                      </w:rPr>
                    </w:pPr>
                    <w:r>
                      <w:rPr>
                        <w:rFonts w:ascii="宋体" w:hAnsi="宋体" w:eastAsia="宋体" w:cs="宋体"/>
                        <w:spacing w:val="-16"/>
                        <w:sz w:val="19"/>
                        <w:szCs w:val="19"/>
                      </w:rPr>
                      <w:t>具有合同因素的协调</w:t>
                    </w:r>
                  </w:p>
                </w:txbxContent>
              </v:textbox>
            </v:shape>
            <w10:wrap type="none"/>
            <w10:anchorlock/>
          </v:group>
        </w:pict>
      </w:r>
    </w:p>
    <w:p w14:paraId="5C691D5E">
      <w:pPr>
        <w:pStyle w:val="2"/>
        <w:spacing w:before="68" w:line="219" w:lineRule="auto"/>
        <w:ind w:left="990"/>
        <w:rPr>
          <w:sz w:val="19"/>
          <w:szCs w:val="19"/>
        </w:rPr>
      </w:pPr>
      <w:r>
        <w:rPr>
          <w:spacing w:val="-8"/>
          <w:sz w:val="19"/>
          <w:szCs w:val="19"/>
        </w:rPr>
        <w:t>图15-1</w:t>
      </w:r>
      <w:r>
        <w:rPr>
          <w:spacing w:val="83"/>
          <w:w w:val="101"/>
          <w:sz w:val="19"/>
          <w:szCs w:val="19"/>
        </w:rPr>
        <w:t xml:space="preserve"> </w:t>
      </w:r>
      <w:r>
        <w:rPr>
          <w:spacing w:val="-8"/>
          <w:sz w:val="19"/>
          <w:szCs w:val="19"/>
        </w:rPr>
        <w:t>系统外部的协调分类</w:t>
      </w:r>
    </w:p>
    <w:p w14:paraId="5BF88488">
      <w:pPr>
        <w:spacing w:line="219" w:lineRule="auto"/>
        <w:rPr>
          <w:sz w:val="19"/>
          <w:szCs w:val="19"/>
        </w:rPr>
        <w:sectPr>
          <w:type w:val="continuous"/>
          <w:pgSz w:w="10300" w:h="13410"/>
          <w:pgMar w:top="400" w:right="1020" w:bottom="400" w:left="509" w:header="0" w:footer="0" w:gutter="0"/>
          <w:cols w:equalWidth="0" w:num="2">
            <w:col w:w="4351" w:space="100"/>
            <w:col w:w="4321"/>
          </w:cols>
        </w:sectPr>
      </w:pPr>
    </w:p>
    <w:p w14:paraId="16139466">
      <w:pPr>
        <w:pStyle w:val="2"/>
        <w:spacing w:before="96" w:line="302" w:lineRule="auto"/>
        <w:ind w:left="370" w:right="82"/>
        <w:rPr>
          <w:sz w:val="19"/>
          <w:szCs w:val="19"/>
        </w:rPr>
      </w:pPr>
      <w:r>
        <w:rPr>
          <w:spacing w:val="13"/>
          <w:sz w:val="19"/>
          <w:szCs w:val="19"/>
        </w:rPr>
        <w:t>项目可能存在的必要设计过程需求),以及业主单</w:t>
      </w:r>
      <w:r>
        <w:rPr>
          <w:spacing w:val="12"/>
          <w:sz w:val="19"/>
          <w:szCs w:val="19"/>
        </w:rPr>
        <w:t>位与相关产品的供货商等关系的协调。他们之</w:t>
      </w:r>
      <w:r>
        <w:rPr>
          <w:sz w:val="19"/>
          <w:szCs w:val="19"/>
        </w:rPr>
        <w:t xml:space="preserve"> </w:t>
      </w:r>
      <w:r>
        <w:rPr>
          <w:spacing w:val="8"/>
          <w:sz w:val="19"/>
          <w:szCs w:val="19"/>
        </w:rPr>
        <w:t>间的关系可能均具有合同性质，也可能是间</w:t>
      </w:r>
      <w:r>
        <w:rPr>
          <w:spacing w:val="7"/>
          <w:sz w:val="19"/>
          <w:szCs w:val="19"/>
        </w:rPr>
        <w:t>接合同性质。</w:t>
      </w:r>
    </w:p>
    <w:p w14:paraId="45F2BEED">
      <w:pPr>
        <w:pStyle w:val="2"/>
        <w:spacing w:before="2" w:line="272" w:lineRule="auto"/>
        <w:ind w:left="370" w:right="79" w:firstLine="399"/>
        <w:jc w:val="both"/>
        <w:rPr>
          <w:sz w:val="19"/>
          <w:szCs w:val="19"/>
        </w:rPr>
      </w:pPr>
      <w:r>
        <w:rPr>
          <w:spacing w:val="13"/>
          <w:sz w:val="19"/>
          <w:szCs w:val="19"/>
        </w:rPr>
        <w:t>对于系统外部关系中具有合同因素的协调，主要是协调业主单位与承建单位的关系。由于</w:t>
      </w:r>
      <w:r>
        <w:rPr>
          <w:spacing w:val="2"/>
          <w:sz w:val="19"/>
          <w:szCs w:val="19"/>
        </w:rPr>
        <w:t xml:space="preserve"> </w:t>
      </w:r>
      <w:r>
        <w:rPr>
          <w:spacing w:val="13"/>
          <w:sz w:val="19"/>
          <w:szCs w:val="19"/>
        </w:rPr>
        <w:t>双方签订合同后，在整个实施与开发过程中必然会产生各种矛盾，监理工程师作为信</w:t>
      </w:r>
      <w:r>
        <w:rPr>
          <w:spacing w:val="12"/>
          <w:sz w:val="19"/>
          <w:szCs w:val="19"/>
        </w:rPr>
        <w:t>息系统工</w:t>
      </w:r>
      <w:r>
        <w:rPr>
          <w:sz w:val="19"/>
          <w:szCs w:val="19"/>
        </w:rPr>
        <w:t xml:space="preserve"> </w:t>
      </w:r>
      <w:r>
        <w:rPr>
          <w:spacing w:val="13"/>
          <w:sz w:val="19"/>
          <w:szCs w:val="19"/>
        </w:rPr>
        <w:t>程建设的第三方，应该本着公正原则进行协商，正确协调好各种矛盾。在不同的阶段</w:t>
      </w:r>
      <w:r>
        <w:rPr>
          <w:spacing w:val="12"/>
          <w:sz w:val="19"/>
          <w:szCs w:val="19"/>
        </w:rPr>
        <w:t>，需要协</w:t>
      </w:r>
      <w:r>
        <w:rPr>
          <w:sz w:val="19"/>
          <w:szCs w:val="19"/>
        </w:rPr>
        <w:t xml:space="preserve"> </w:t>
      </w:r>
      <w:r>
        <w:rPr>
          <w:spacing w:val="13"/>
          <w:sz w:val="19"/>
          <w:szCs w:val="19"/>
        </w:rPr>
        <w:t>调的内容也不尽相同，如实施和设计阶段的协调、实施和开发阶段的协调、交工验收</w:t>
      </w:r>
      <w:r>
        <w:rPr>
          <w:spacing w:val="12"/>
          <w:sz w:val="19"/>
          <w:szCs w:val="19"/>
        </w:rPr>
        <w:t>阶段的协</w:t>
      </w:r>
    </w:p>
    <w:p w14:paraId="334E0E0E">
      <w:pPr>
        <w:spacing w:line="272" w:lineRule="auto"/>
        <w:rPr>
          <w:sz w:val="19"/>
          <w:szCs w:val="19"/>
        </w:rPr>
        <w:sectPr>
          <w:type w:val="continuous"/>
          <w:pgSz w:w="10300" w:h="13410"/>
          <w:pgMar w:top="400" w:right="1020" w:bottom="400" w:left="509" w:header="0" w:footer="0" w:gutter="0"/>
          <w:cols w:equalWidth="0" w:num="1">
            <w:col w:w="8771"/>
          </w:cols>
        </w:sectPr>
      </w:pPr>
    </w:p>
    <w:p w14:paraId="31359CA0">
      <w:pPr>
        <w:pStyle w:val="2"/>
        <w:spacing w:before="87" w:line="207" w:lineRule="auto"/>
        <w:jc w:val="right"/>
        <w:rPr>
          <w:rFonts w:ascii="Times New Roman" w:hAnsi="Times New Roman" w:eastAsia="Times New Roman" w:cs="Times New Roman"/>
          <w:sz w:val="32"/>
          <w:szCs w:val="32"/>
        </w:rPr>
      </w:pPr>
      <w:bookmarkStart w:id="668" w:name="bookmark653"/>
      <w:bookmarkEnd w:id="668"/>
      <w:r>
        <w:rPr>
          <w:position w:val="2"/>
          <w:sz w:val="20"/>
          <w:szCs w:val="20"/>
        </w:rPr>
        <w:t>第15章</w:t>
      </w:r>
      <w:r>
        <w:rPr>
          <w:spacing w:val="18"/>
          <w:position w:val="2"/>
          <w:sz w:val="20"/>
          <w:szCs w:val="20"/>
        </w:rPr>
        <w:t xml:space="preserve"> </w:t>
      </w:r>
      <w:r>
        <w:rPr>
          <w:position w:val="2"/>
          <w:sz w:val="20"/>
          <w:szCs w:val="20"/>
        </w:rPr>
        <w:t>组织协调</w:t>
      </w:r>
      <w:r>
        <w:rPr>
          <w:spacing w:val="18"/>
          <w:position w:val="2"/>
          <w:sz w:val="20"/>
          <w:szCs w:val="20"/>
        </w:rPr>
        <w:t xml:space="preserve">     </w:t>
      </w:r>
      <w:r>
        <w:rPr>
          <w:rFonts w:ascii="Times New Roman" w:hAnsi="Times New Roman" w:eastAsia="Times New Roman" w:cs="Times New Roman"/>
          <w:spacing w:val="-27"/>
          <w:w w:val="89"/>
          <w:position w:val="-5"/>
          <w:sz w:val="32"/>
          <w:szCs w:val="32"/>
        </w:rPr>
        <w:t>35</w:t>
      </w:r>
      <w:r>
        <w:rPr>
          <w:rFonts w:ascii="Times New Roman" w:hAnsi="Times New Roman" w:eastAsia="Times New Roman" w:cs="Times New Roman"/>
          <w:spacing w:val="-15"/>
          <w:w w:val="89"/>
          <w:position w:val="-5"/>
          <w:sz w:val="32"/>
          <w:szCs w:val="32"/>
        </w:rPr>
        <w:t>7</w:t>
      </w:r>
    </w:p>
    <w:p w14:paraId="46D6EC19">
      <w:pPr>
        <w:pStyle w:val="2"/>
        <w:spacing w:before="293" w:line="219" w:lineRule="auto"/>
        <w:rPr>
          <w:sz w:val="20"/>
          <w:szCs w:val="20"/>
        </w:rPr>
      </w:pPr>
      <w:r>
        <w:rPr>
          <w:spacing w:val="-3"/>
          <w:sz w:val="20"/>
          <w:szCs w:val="20"/>
        </w:rPr>
        <w:t>调、总包与分包商之间关系的协调等。</w:t>
      </w:r>
    </w:p>
    <w:p w14:paraId="33548116">
      <w:pPr>
        <w:pStyle w:val="2"/>
        <w:spacing w:before="52" w:line="287" w:lineRule="auto"/>
        <w:ind w:right="371" w:firstLine="409"/>
        <w:jc w:val="both"/>
        <w:rPr>
          <w:sz w:val="20"/>
          <w:szCs w:val="20"/>
        </w:rPr>
      </w:pPr>
      <w:r>
        <w:rPr>
          <w:spacing w:val="3"/>
          <w:sz w:val="20"/>
          <w:szCs w:val="20"/>
        </w:rPr>
        <w:t>此外，还有业主单位与供应商关系的协调，以及业主</w:t>
      </w:r>
      <w:r>
        <w:rPr>
          <w:spacing w:val="2"/>
          <w:sz w:val="20"/>
          <w:szCs w:val="20"/>
        </w:rPr>
        <w:t>单位与设计单位关系的协调。在此讨</w:t>
      </w:r>
      <w:r>
        <w:rPr>
          <w:sz w:val="20"/>
          <w:szCs w:val="20"/>
        </w:rPr>
        <w:t xml:space="preserve"> </w:t>
      </w:r>
      <w:r>
        <w:rPr>
          <w:spacing w:val="3"/>
          <w:sz w:val="20"/>
          <w:szCs w:val="20"/>
        </w:rPr>
        <w:t>论广义的沟通与协调，将具有合同因素的协调分为监理所涉及的合同事务方面的协调和信息流</w:t>
      </w:r>
      <w:r>
        <w:rPr>
          <w:spacing w:val="5"/>
          <w:sz w:val="20"/>
          <w:szCs w:val="20"/>
        </w:rPr>
        <w:t xml:space="preserve"> </w:t>
      </w:r>
      <w:r>
        <w:rPr>
          <w:spacing w:val="-11"/>
          <w:sz w:val="20"/>
          <w:szCs w:val="20"/>
        </w:rPr>
        <w:t>向沟通。</w:t>
      </w:r>
    </w:p>
    <w:p w14:paraId="50272465">
      <w:pPr>
        <w:pStyle w:val="2"/>
        <w:spacing w:before="134" w:line="222" w:lineRule="auto"/>
        <w:ind w:left="412"/>
        <w:rPr>
          <w:rFonts w:ascii="黑体" w:hAnsi="黑体" w:eastAsia="黑体" w:cs="黑体"/>
          <w:sz w:val="20"/>
          <w:szCs w:val="20"/>
        </w:rPr>
      </w:pPr>
      <w:r>
        <w:rPr>
          <w:b/>
          <w:bCs/>
          <w:color w:val="0075D0"/>
          <w:spacing w:val="-5"/>
          <w:sz w:val="20"/>
          <w:szCs w:val="20"/>
        </w:rPr>
        <w:t>2.</w:t>
      </w:r>
      <w:r>
        <w:rPr>
          <w:rFonts w:ascii="黑体" w:hAnsi="黑体" w:eastAsia="黑体" w:cs="黑体"/>
          <w:b/>
          <w:bCs/>
          <w:color w:val="0075D0"/>
          <w:spacing w:val="-5"/>
          <w:sz w:val="20"/>
          <w:szCs w:val="20"/>
        </w:rPr>
        <w:t>非合同因素的协调</w:t>
      </w:r>
    </w:p>
    <w:p w14:paraId="249D69B8">
      <w:pPr>
        <w:pStyle w:val="2"/>
        <w:spacing w:before="123" w:line="286" w:lineRule="auto"/>
        <w:ind w:right="391" w:firstLine="409"/>
        <w:rPr>
          <w:sz w:val="20"/>
          <w:szCs w:val="20"/>
        </w:rPr>
      </w:pPr>
      <w:r>
        <w:rPr>
          <w:spacing w:val="3"/>
          <w:sz w:val="20"/>
          <w:szCs w:val="20"/>
        </w:rPr>
        <w:t>在信息系统工程建设过程中，业主单位与承建</w:t>
      </w:r>
      <w:r>
        <w:rPr>
          <w:spacing w:val="2"/>
          <w:sz w:val="20"/>
          <w:szCs w:val="20"/>
        </w:rPr>
        <w:t>单位签订合同或修改合同期间，所进行的大</w:t>
      </w:r>
      <w:r>
        <w:rPr>
          <w:sz w:val="20"/>
          <w:szCs w:val="20"/>
        </w:rPr>
        <w:t xml:space="preserve"> </w:t>
      </w:r>
      <w:r>
        <w:rPr>
          <w:spacing w:val="3"/>
          <w:sz w:val="20"/>
          <w:szCs w:val="20"/>
        </w:rPr>
        <w:t>量磋商只是组织协调工作的一部分。但是，要做好全面</w:t>
      </w:r>
      <w:r>
        <w:rPr>
          <w:spacing w:val="2"/>
          <w:sz w:val="20"/>
          <w:szCs w:val="20"/>
        </w:rPr>
        <w:t>的项目建设组织协调工作，除了合同方</w:t>
      </w:r>
      <w:r>
        <w:rPr>
          <w:sz w:val="20"/>
          <w:szCs w:val="20"/>
        </w:rPr>
        <w:t xml:space="preserve"> </w:t>
      </w:r>
      <w:r>
        <w:rPr>
          <w:spacing w:val="-1"/>
          <w:sz w:val="20"/>
          <w:szCs w:val="20"/>
        </w:rPr>
        <w:t>面的组织协调外，还有许多被称为非合同因素或非合同活动的组织协</w:t>
      </w:r>
      <w:r>
        <w:rPr>
          <w:spacing w:val="-2"/>
          <w:sz w:val="20"/>
          <w:szCs w:val="20"/>
        </w:rPr>
        <w:t>调工作。</w:t>
      </w:r>
    </w:p>
    <w:p w14:paraId="40692A6D">
      <w:pPr>
        <w:pStyle w:val="2"/>
        <w:spacing w:before="19" w:line="282" w:lineRule="auto"/>
        <w:ind w:right="320" w:firstLine="409"/>
        <w:rPr>
          <w:sz w:val="20"/>
          <w:szCs w:val="20"/>
        </w:rPr>
      </w:pPr>
      <w:r>
        <w:rPr>
          <w:spacing w:val="4"/>
          <w:sz w:val="20"/>
          <w:szCs w:val="20"/>
        </w:rPr>
        <w:t>非合同因素的协调与具有合同因素的协调相比，涉及的范围更广，可能遇到的问题更多，</w:t>
      </w:r>
      <w:r>
        <w:rPr>
          <w:spacing w:val="13"/>
          <w:sz w:val="20"/>
          <w:szCs w:val="20"/>
        </w:rPr>
        <w:t xml:space="preserve"> </w:t>
      </w:r>
      <w:r>
        <w:rPr>
          <w:spacing w:val="-1"/>
          <w:sz w:val="20"/>
          <w:szCs w:val="20"/>
        </w:rPr>
        <w:t>监理单位的协调工作量更大、更复杂，而这些往往不是事先签好合同就可以进行约束的。</w:t>
      </w:r>
    </w:p>
    <w:p w14:paraId="7D070C92">
      <w:pPr>
        <w:pStyle w:val="2"/>
        <w:spacing w:before="16" w:line="282" w:lineRule="auto"/>
        <w:ind w:right="370" w:firstLine="409"/>
        <w:rPr>
          <w:sz w:val="20"/>
          <w:szCs w:val="20"/>
        </w:rPr>
      </w:pPr>
      <w:r>
        <w:rPr>
          <w:spacing w:val="3"/>
          <w:sz w:val="20"/>
          <w:szCs w:val="20"/>
        </w:rPr>
        <w:t>非合同因素的协调工作涉及社会团体、新闻媒体、服务</w:t>
      </w:r>
      <w:r>
        <w:rPr>
          <w:spacing w:val="2"/>
          <w:sz w:val="20"/>
          <w:szCs w:val="20"/>
        </w:rPr>
        <w:t>单位、金融机构等。它们虽然在信</w:t>
      </w:r>
      <w:r>
        <w:rPr>
          <w:sz w:val="20"/>
          <w:szCs w:val="20"/>
        </w:rPr>
        <w:t xml:space="preserve"> </w:t>
      </w:r>
      <w:r>
        <w:rPr>
          <w:spacing w:val="3"/>
          <w:sz w:val="20"/>
          <w:szCs w:val="20"/>
        </w:rPr>
        <w:t>息系统工程建设项目中与业主单位和承建单位无合同关系，但</w:t>
      </w:r>
      <w:r>
        <w:rPr>
          <w:spacing w:val="2"/>
          <w:sz w:val="20"/>
          <w:szCs w:val="20"/>
        </w:rPr>
        <w:t>它们对项目建设的某些方面、某</w:t>
      </w:r>
      <w:r>
        <w:rPr>
          <w:sz w:val="20"/>
          <w:szCs w:val="20"/>
        </w:rPr>
        <w:t xml:space="preserve"> </w:t>
      </w:r>
      <w:r>
        <w:rPr>
          <w:spacing w:val="3"/>
          <w:sz w:val="20"/>
          <w:szCs w:val="20"/>
        </w:rPr>
        <w:t>些场合却起着一定的控制、监督和支持的作用，甚至起着</w:t>
      </w:r>
      <w:r>
        <w:rPr>
          <w:spacing w:val="2"/>
          <w:sz w:val="20"/>
          <w:szCs w:val="20"/>
        </w:rPr>
        <w:t>很大的决定性作用，因此其作用不可</w:t>
      </w:r>
      <w:r>
        <w:rPr>
          <w:sz w:val="20"/>
          <w:szCs w:val="20"/>
        </w:rPr>
        <w:t xml:space="preserve"> </w:t>
      </w:r>
      <w:r>
        <w:rPr>
          <w:spacing w:val="3"/>
          <w:sz w:val="20"/>
          <w:szCs w:val="20"/>
        </w:rPr>
        <w:t>低估。例如，项目建设的资金运转离不开银行，业主单位和承建单位均须通过它们的开户银行</w:t>
      </w:r>
      <w:r>
        <w:rPr>
          <w:spacing w:val="6"/>
          <w:sz w:val="20"/>
          <w:szCs w:val="20"/>
        </w:rPr>
        <w:t xml:space="preserve"> </w:t>
      </w:r>
      <w:r>
        <w:rPr>
          <w:spacing w:val="3"/>
          <w:sz w:val="20"/>
          <w:szCs w:val="20"/>
        </w:rPr>
        <w:t>结算各种款项，正常的手续是将项目的合同副本报送开户银</w:t>
      </w:r>
      <w:r>
        <w:rPr>
          <w:spacing w:val="2"/>
          <w:sz w:val="20"/>
          <w:szCs w:val="20"/>
        </w:rPr>
        <w:t>行备案，经开户行审查同意后作为</w:t>
      </w:r>
      <w:r>
        <w:rPr>
          <w:sz w:val="20"/>
          <w:szCs w:val="20"/>
        </w:rPr>
        <w:t xml:space="preserve"> </w:t>
      </w:r>
      <w:r>
        <w:rPr>
          <w:spacing w:val="-2"/>
          <w:sz w:val="20"/>
          <w:szCs w:val="20"/>
        </w:rPr>
        <w:t>拨付工程款的依据。若遇到开户银行不配合，就将耽误工程款的拨付。</w:t>
      </w:r>
    </w:p>
    <w:p w14:paraId="41423458">
      <w:pPr>
        <w:pStyle w:val="2"/>
        <w:spacing w:before="59" w:line="292" w:lineRule="auto"/>
        <w:ind w:right="391" w:firstLine="409"/>
        <w:rPr>
          <w:sz w:val="20"/>
          <w:szCs w:val="20"/>
        </w:rPr>
      </w:pPr>
      <w:r>
        <w:rPr>
          <w:spacing w:val="3"/>
          <w:sz w:val="20"/>
          <w:szCs w:val="20"/>
        </w:rPr>
        <w:t>因此，如果这方面的关系协调得不好，就会</w:t>
      </w:r>
      <w:r>
        <w:rPr>
          <w:spacing w:val="2"/>
          <w:sz w:val="20"/>
          <w:szCs w:val="20"/>
        </w:rPr>
        <w:t>影响信息系统工程建设项目的进度。而这方面</w:t>
      </w:r>
      <w:r>
        <w:rPr>
          <w:sz w:val="20"/>
          <w:szCs w:val="20"/>
        </w:rPr>
        <w:t xml:space="preserve"> </w:t>
      </w:r>
      <w:r>
        <w:rPr>
          <w:spacing w:val="-1"/>
          <w:sz w:val="20"/>
          <w:szCs w:val="20"/>
        </w:rPr>
        <w:t>的协调工作仅靠监理单位是难以有效进行的，需要各有关管理</w:t>
      </w:r>
      <w:r>
        <w:rPr>
          <w:spacing w:val="-2"/>
          <w:sz w:val="20"/>
          <w:szCs w:val="20"/>
        </w:rPr>
        <w:t>部门和业主单位的大力配合。</w:t>
      </w:r>
    </w:p>
    <w:p w14:paraId="2C6A9620">
      <w:pPr>
        <w:pStyle w:val="2"/>
        <w:spacing w:before="157" w:line="219" w:lineRule="auto"/>
        <w:ind w:left="2"/>
        <w:rPr>
          <w:sz w:val="25"/>
          <w:szCs w:val="25"/>
        </w:rPr>
      </w:pPr>
      <w:r>
        <w:rPr>
          <w:b/>
          <w:bCs/>
          <w:color w:val="007BE8"/>
          <w:spacing w:val="-17"/>
          <w:sz w:val="25"/>
          <w:szCs w:val="25"/>
        </w:rPr>
        <w:t>15.1.4</w:t>
      </w:r>
      <w:r>
        <w:rPr>
          <w:color w:val="007BE8"/>
          <w:spacing w:val="109"/>
          <w:sz w:val="25"/>
          <w:szCs w:val="25"/>
        </w:rPr>
        <w:t xml:space="preserve"> </w:t>
      </w:r>
      <w:r>
        <w:rPr>
          <w:b/>
          <w:bCs/>
          <w:color w:val="007BE8"/>
          <w:spacing w:val="-17"/>
          <w:sz w:val="25"/>
          <w:szCs w:val="25"/>
        </w:rPr>
        <w:t>社团关系的协调</w:t>
      </w:r>
    </w:p>
    <w:p w14:paraId="15259241">
      <w:pPr>
        <w:pStyle w:val="2"/>
        <w:spacing w:before="262" w:line="222" w:lineRule="auto"/>
        <w:ind w:left="412"/>
        <w:rPr>
          <w:rFonts w:ascii="黑体" w:hAnsi="黑体" w:eastAsia="黑体" w:cs="黑体"/>
          <w:sz w:val="20"/>
          <w:szCs w:val="20"/>
        </w:rPr>
      </w:pPr>
      <w:r>
        <w:rPr>
          <w:b/>
          <w:bCs/>
          <w:color w:val="0071C9"/>
          <w:spacing w:val="-4"/>
          <w:sz w:val="20"/>
          <w:szCs w:val="20"/>
        </w:rPr>
        <w:t>1.</w:t>
      </w:r>
      <w:r>
        <w:rPr>
          <w:rFonts w:ascii="黑体" w:hAnsi="黑体" w:eastAsia="黑体" w:cs="黑体"/>
          <w:b/>
          <w:bCs/>
          <w:color w:val="0071C9"/>
          <w:spacing w:val="-4"/>
          <w:sz w:val="20"/>
          <w:szCs w:val="20"/>
        </w:rPr>
        <w:t>社会团体内部关系</w:t>
      </w:r>
    </w:p>
    <w:p w14:paraId="257BBB28">
      <w:pPr>
        <w:pStyle w:val="2"/>
        <w:spacing w:before="121" w:line="283" w:lineRule="auto"/>
        <w:ind w:right="383" w:firstLine="409"/>
        <w:rPr>
          <w:sz w:val="20"/>
          <w:szCs w:val="20"/>
        </w:rPr>
      </w:pPr>
      <w:r>
        <w:rPr>
          <w:spacing w:val="3"/>
          <w:sz w:val="20"/>
          <w:szCs w:val="20"/>
        </w:rPr>
        <w:t>社会团体是一个人际关系系统，它包括上下级之间、同级之间、</w:t>
      </w:r>
      <w:r>
        <w:rPr>
          <w:spacing w:val="2"/>
          <w:sz w:val="20"/>
          <w:szCs w:val="20"/>
        </w:rPr>
        <w:t>同一部门内部职员之间以</w:t>
      </w:r>
      <w:r>
        <w:rPr>
          <w:sz w:val="20"/>
          <w:szCs w:val="20"/>
        </w:rPr>
        <w:t xml:space="preserve"> </w:t>
      </w:r>
      <w:r>
        <w:rPr>
          <w:spacing w:val="-3"/>
          <w:sz w:val="20"/>
          <w:szCs w:val="20"/>
        </w:rPr>
        <w:t>及不同部门的职员之间的关系。</w:t>
      </w:r>
    </w:p>
    <w:p w14:paraId="570CBF5D">
      <w:pPr>
        <w:spacing w:before="94" w:line="223" w:lineRule="auto"/>
        <w:ind w:left="409"/>
        <w:rPr>
          <w:rFonts w:ascii="楷体" w:hAnsi="楷体" w:eastAsia="楷体" w:cs="楷体"/>
          <w:sz w:val="20"/>
          <w:szCs w:val="20"/>
        </w:rPr>
      </w:pPr>
      <w:r>
        <w:rPr>
          <w:rFonts w:ascii="楷体" w:hAnsi="楷体" w:eastAsia="楷体" w:cs="楷体"/>
          <w:spacing w:val="7"/>
          <w:sz w:val="20"/>
          <w:szCs w:val="20"/>
        </w:rPr>
        <w:t>1)上下级关系系统</w:t>
      </w:r>
    </w:p>
    <w:p w14:paraId="1D9D5304">
      <w:pPr>
        <w:pStyle w:val="2"/>
        <w:spacing w:before="72" w:line="273" w:lineRule="auto"/>
        <w:ind w:right="339" w:firstLine="409"/>
        <w:rPr>
          <w:sz w:val="20"/>
          <w:szCs w:val="20"/>
        </w:rPr>
      </w:pPr>
      <w:r>
        <w:rPr>
          <w:spacing w:val="3"/>
          <w:sz w:val="20"/>
          <w:szCs w:val="20"/>
        </w:rPr>
        <w:t>上级是同一组织系统中等级较高的组织或人员</w:t>
      </w:r>
      <w:r>
        <w:rPr>
          <w:spacing w:val="2"/>
          <w:sz w:val="20"/>
          <w:szCs w:val="20"/>
        </w:rPr>
        <w:t>，下级是同一组织系统中等级较低的组织或</w:t>
      </w:r>
      <w:r>
        <w:rPr>
          <w:sz w:val="20"/>
          <w:szCs w:val="20"/>
        </w:rPr>
        <w:t xml:space="preserve"> </w:t>
      </w:r>
      <w:r>
        <w:rPr>
          <w:spacing w:val="-1"/>
          <w:sz w:val="20"/>
          <w:szCs w:val="20"/>
        </w:rPr>
        <w:t>人员。这里的上下级关系系统是领导者与被领导者之间的关系系统，包括上级部门与下级部门、</w:t>
      </w:r>
      <w:r>
        <w:rPr>
          <w:spacing w:val="2"/>
          <w:sz w:val="20"/>
          <w:szCs w:val="20"/>
        </w:rPr>
        <w:t xml:space="preserve"> </w:t>
      </w:r>
      <w:r>
        <w:rPr>
          <w:spacing w:val="3"/>
          <w:sz w:val="20"/>
          <w:szCs w:val="20"/>
        </w:rPr>
        <w:t>同一部门内领导者与被领导者之间的关系。这种关系是一种双重</w:t>
      </w:r>
      <w:r>
        <w:rPr>
          <w:spacing w:val="2"/>
          <w:sz w:val="20"/>
          <w:szCs w:val="20"/>
        </w:rPr>
        <w:t>结构的纵向关系。从角色角度</w:t>
      </w:r>
      <w:r>
        <w:rPr>
          <w:sz w:val="20"/>
          <w:szCs w:val="20"/>
        </w:rPr>
        <w:t xml:space="preserve"> </w:t>
      </w:r>
      <w:r>
        <w:rPr>
          <w:spacing w:val="3"/>
          <w:sz w:val="20"/>
          <w:szCs w:val="20"/>
        </w:rPr>
        <w:t>看，它既是上下有序、层次分明的等级关系，又是相互尊重、人格平</w:t>
      </w:r>
      <w:r>
        <w:rPr>
          <w:spacing w:val="2"/>
          <w:sz w:val="20"/>
          <w:szCs w:val="20"/>
        </w:rPr>
        <w:t>等的非等级关系。从工作</w:t>
      </w:r>
      <w:r>
        <w:rPr>
          <w:sz w:val="20"/>
          <w:szCs w:val="20"/>
        </w:rPr>
        <w:t xml:space="preserve"> </w:t>
      </w:r>
      <w:r>
        <w:rPr>
          <w:spacing w:val="3"/>
          <w:sz w:val="20"/>
          <w:szCs w:val="20"/>
        </w:rPr>
        <w:t>角度看，它既是下级服从上级的关系，又是鼓励下级自主自强、开拓创新的关系</w:t>
      </w:r>
      <w:r>
        <w:rPr>
          <w:spacing w:val="2"/>
          <w:sz w:val="20"/>
          <w:szCs w:val="20"/>
        </w:rPr>
        <w:t>。上下级关系</w:t>
      </w:r>
      <w:r>
        <w:rPr>
          <w:sz w:val="20"/>
          <w:szCs w:val="20"/>
        </w:rPr>
        <w:t xml:space="preserve"> </w:t>
      </w:r>
      <w:r>
        <w:rPr>
          <w:spacing w:val="3"/>
          <w:sz w:val="20"/>
          <w:szCs w:val="20"/>
        </w:rPr>
        <w:t>在社会团体中起着传递信息、监督控制、协调关系等功能。这</w:t>
      </w:r>
      <w:r>
        <w:rPr>
          <w:spacing w:val="2"/>
          <w:sz w:val="20"/>
          <w:szCs w:val="20"/>
        </w:rPr>
        <w:t>些功能与社会团体行政机关的工</w:t>
      </w:r>
      <w:r>
        <w:rPr>
          <w:sz w:val="20"/>
          <w:szCs w:val="20"/>
        </w:rPr>
        <w:t xml:space="preserve"> </w:t>
      </w:r>
      <w:r>
        <w:rPr>
          <w:spacing w:val="-2"/>
          <w:sz w:val="20"/>
          <w:szCs w:val="20"/>
        </w:rPr>
        <w:t>作效率密切相关。在现代社会，纵向的上下级关系仍是一种不可忽视的人际关系。</w:t>
      </w:r>
    </w:p>
    <w:p w14:paraId="54C56999">
      <w:pPr>
        <w:spacing w:before="146" w:line="223" w:lineRule="auto"/>
        <w:ind w:left="409"/>
        <w:rPr>
          <w:rFonts w:ascii="楷体" w:hAnsi="楷体" w:eastAsia="楷体" w:cs="楷体"/>
          <w:sz w:val="20"/>
          <w:szCs w:val="20"/>
        </w:rPr>
      </w:pPr>
      <w:r>
        <w:rPr>
          <w:rFonts w:ascii="楷体" w:hAnsi="楷体" w:eastAsia="楷体" w:cs="楷体"/>
          <w:spacing w:val="8"/>
          <w:sz w:val="20"/>
          <w:szCs w:val="20"/>
        </w:rPr>
        <w:t>2)领导者之间的关系系统</w:t>
      </w:r>
    </w:p>
    <w:p w14:paraId="1EEE8622">
      <w:pPr>
        <w:pStyle w:val="2"/>
        <w:spacing w:before="63" w:line="280" w:lineRule="auto"/>
        <w:ind w:right="385" w:firstLine="409"/>
        <w:rPr>
          <w:sz w:val="20"/>
          <w:szCs w:val="20"/>
        </w:rPr>
      </w:pPr>
      <w:r>
        <w:rPr>
          <w:spacing w:val="3"/>
          <w:sz w:val="20"/>
          <w:szCs w:val="20"/>
        </w:rPr>
        <w:t>这是同一组织中担任领导职务的人之间的关系</w:t>
      </w:r>
      <w:r>
        <w:rPr>
          <w:spacing w:val="2"/>
          <w:sz w:val="20"/>
          <w:szCs w:val="20"/>
        </w:rPr>
        <w:t>系统，其中包括该组织中不同部门的领导者</w:t>
      </w:r>
      <w:r>
        <w:rPr>
          <w:sz w:val="20"/>
          <w:szCs w:val="20"/>
        </w:rPr>
        <w:t xml:space="preserve"> </w:t>
      </w:r>
      <w:r>
        <w:rPr>
          <w:spacing w:val="3"/>
          <w:sz w:val="20"/>
          <w:szCs w:val="20"/>
        </w:rPr>
        <w:t>之间的关系。如果把领导者视为一个权力群体，那么他们之间的关系具有</w:t>
      </w:r>
      <w:r>
        <w:rPr>
          <w:spacing w:val="2"/>
          <w:sz w:val="20"/>
          <w:szCs w:val="20"/>
        </w:rPr>
        <w:t>影响社会团体目标的</w:t>
      </w:r>
      <w:r>
        <w:rPr>
          <w:sz w:val="20"/>
          <w:szCs w:val="20"/>
        </w:rPr>
        <w:t xml:space="preserve"> </w:t>
      </w:r>
      <w:r>
        <w:rPr>
          <w:spacing w:val="3"/>
          <w:sz w:val="20"/>
          <w:szCs w:val="20"/>
        </w:rPr>
        <w:t>能力；而如果把他们视为一个地位阶层，那么他们之间</w:t>
      </w:r>
      <w:r>
        <w:rPr>
          <w:spacing w:val="2"/>
          <w:sz w:val="20"/>
          <w:szCs w:val="20"/>
        </w:rPr>
        <w:t>的关系可以影响社会团体内部其他各方</w:t>
      </w:r>
      <w:r>
        <w:rPr>
          <w:sz w:val="20"/>
          <w:szCs w:val="20"/>
        </w:rPr>
        <w:t xml:space="preserve"> </w:t>
      </w:r>
      <w:r>
        <w:rPr>
          <w:spacing w:val="-2"/>
          <w:sz w:val="20"/>
          <w:szCs w:val="20"/>
        </w:rPr>
        <w:t>面的关系。</w:t>
      </w:r>
    </w:p>
    <w:p w14:paraId="1D6CD011">
      <w:pPr>
        <w:spacing w:line="280" w:lineRule="auto"/>
        <w:rPr>
          <w:sz w:val="20"/>
          <w:szCs w:val="20"/>
        </w:rPr>
        <w:sectPr>
          <w:pgSz w:w="10280" w:h="13290"/>
          <w:pgMar w:top="400" w:right="489" w:bottom="400" w:left="1089" w:header="0" w:footer="0" w:gutter="0"/>
          <w:cols w:space="720" w:num="1"/>
        </w:sectPr>
      </w:pPr>
    </w:p>
    <w:p w14:paraId="088D6874">
      <w:pPr>
        <w:pStyle w:val="2"/>
        <w:spacing w:before="118" w:line="219" w:lineRule="auto"/>
        <w:rPr>
          <w:sz w:val="20"/>
          <w:szCs w:val="20"/>
        </w:rPr>
      </w:pPr>
      <w:r>
        <w:rPr>
          <w:rFonts w:ascii="Times New Roman" w:hAnsi="Times New Roman" w:eastAsia="Times New Roman" w:cs="Times New Roman"/>
          <w:spacing w:val="-2"/>
          <w:position w:val="1"/>
          <w:sz w:val="17"/>
          <w:szCs w:val="17"/>
        </w:rPr>
        <w:t xml:space="preserve">358                  </w:t>
      </w:r>
      <w:r>
        <w:rPr>
          <w:spacing w:val="-2"/>
          <w:sz w:val="20"/>
          <w:szCs w:val="20"/>
        </w:rPr>
        <w:t>信息系统监理师教程(第2版)</w:t>
      </w:r>
    </w:p>
    <w:p w14:paraId="3E5AF533">
      <w:pPr>
        <w:spacing w:line="320" w:lineRule="auto"/>
        <w:rPr>
          <w:rFonts w:ascii="Arial"/>
          <w:sz w:val="21"/>
        </w:rPr>
      </w:pPr>
    </w:p>
    <w:p w14:paraId="04690039">
      <w:pPr>
        <w:spacing w:before="65" w:line="223" w:lineRule="auto"/>
        <w:ind w:left="759"/>
        <w:rPr>
          <w:rFonts w:ascii="楷体" w:hAnsi="楷体" w:eastAsia="楷体" w:cs="楷体"/>
          <w:sz w:val="20"/>
          <w:szCs w:val="20"/>
        </w:rPr>
      </w:pPr>
      <w:r>
        <w:rPr>
          <w:rFonts w:ascii="楷体" w:hAnsi="楷体" w:eastAsia="楷体" w:cs="楷体"/>
          <w:spacing w:val="7"/>
          <w:sz w:val="20"/>
          <w:szCs w:val="20"/>
        </w:rPr>
        <w:t>3)同事之间的关系系统</w:t>
      </w:r>
    </w:p>
    <w:p w14:paraId="6C2B29BB">
      <w:pPr>
        <w:pStyle w:val="2"/>
        <w:spacing w:before="76" w:line="291" w:lineRule="auto"/>
        <w:ind w:left="359" w:right="19" w:firstLine="399"/>
        <w:jc w:val="both"/>
        <w:rPr>
          <w:sz w:val="20"/>
          <w:szCs w:val="20"/>
        </w:rPr>
      </w:pPr>
      <w:r>
        <w:rPr>
          <w:spacing w:val="4"/>
          <w:sz w:val="20"/>
          <w:szCs w:val="20"/>
        </w:rPr>
        <w:t>同事关系有广义和狭义之分。广义的同事关系是指一个工作单位里所有成员之间的关系，</w:t>
      </w:r>
      <w:r>
        <w:rPr>
          <w:spacing w:val="2"/>
          <w:sz w:val="20"/>
          <w:szCs w:val="20"/>
        </w:rPr>
        <w:t xml:space="preserve"> </w:t>
      </w:r>
      <w:r>
        <w:rPr>
          <w:spacing w:val="3"/>
          <w:sz w:val="20"/>
          <w:szCs w:val="20"/>
        </w:rPr>
        <w:t>包括上下级关系和同级关系。狭义的同事关系是指担负非领导职务的人员之间的关系。这里所</w:t>
      </w:r>
      <w:r>
        <w:rPr>
          <w:spacing w:val="13"/>
          <w:sz w:val="20"/>
          <w:szCs w:val="20"/>
        </w:rPr>
        <w:t xml:space="preserve"> </w:t>
      </w:r>
      <w:r>
        <w:rPr>
          <w:spacing w:val="3"/>
          <w:sz w:val="20"/>
          <w:szCs w:val="20"/>
        </w:rPr>
        <w:t>说的同事关系是指社会团体中担负非领导职务的人员间的关系，包括不同部门和本部门非领导</w:t>
      </w:r>
      <w:r>
        <w:rPr>
          <w:sz w:val="20"/>
          <w:szCs w:val="20"/>
        </w:rPr>
        <w:t xml:space="preserve"> </w:t>
      </w:r>
      <w:r>
        <w:rPr>
          <w:spacing w:val="3"/>
          <w:sz w:val="20"/>
          <w:szCs w:val="20"/>
        </w:rPr>
        <w:t>者之间的关系。任何单位或部门，领导者总是占少数，被领导者占多数，被领导</w:t>
      </w:r>
      <w:r>
        <w:rPr>
          <w:spacing w:val="2"/>
          <w:sz w:val="20"/>
          <w:szCs w:val="20"/>
        </w:rPr>
        <w:t>者之间的交往</w:t>
      </w:r>
      <w:r>
        <w:rPr>
          <w:sz w:val="20"/>
          <w:szCs w:val="20"/>
        </w:rPr>
        <w:t xml:space="preserve"> </w:t>
      </w:r>
      <w:r>
        <w:rPr>
          <w:spacing w:val="3"/>
          <w:sz w:val="20"/>
          <w:szCs w:val="20"/>
        </w:rPr>
        <w:t>更普遍。因此，社会团体中的同事关系也应予以重视并处理好，良好的素质有助</w:t>
      </w:r>
      <w:r>
        <w:rPr>
          <w:spacing w:val="2"/>
          <w:sz w:val="20"/>
          <w:szCs w:val="20"/>
        </w:rPr>
        <w:t>于交往双方建</w:t>
      </w:r>
      <w:r>
        <w:rPr>
          <w:sz w:val="20"/>
          <w:szCs w:val="20"/>
        </w:rPr>
        <w:t xml:space="preserve"> </w:t>
      </w:r>
      <w:r>
        <w:rPr>
          <w:spacing w:val="5"/>
          <w:sz w:val="20"/>
          <w:szCs w:val="20"/>
        </w:rPr>
        <w:t>立良好的人际关系。另一方面，在交往中形成的人际关系</w:t>
      </w:r>
      <w:r>
        <w:rPr>
          <w:spacing w:val="4"/>
          <w:sz w:val="20"/>
          <w:szCs w:val="20"/>
        </w:rPr>
        <w:t>，通过相互影响和各自的情感体验，</w:t>
      </w:r>
      <w:r>
        <w:rPr>
          <w:sz w:val="20"/>
          <w:szCs w:val="20"/>
        </w:rPr>
        <w:t xml:space="preserve"> </w:t>
      </w:r>
      <w:r>
        <w:rPr>
          <w:spacing w:val="-1"/>
          <w:sz w:val="20"/>
          <w:szCs w:val="20"/>
        </w:rPr>
        <w:t>直接在思想道德和科学文化方面作用于参加交往的每一</w:t>
      </w:r>
      <w:r>
        <w:rPr>
          <w:spacing w:val="-2"/>
          <w:sz w:val="20"/>
          <w:szCs w:val="20"/>
        </w:rPr>
        <w:t>个人。</w:t>
      </w:r>
    </w:p>
    <w:p w14:paraId="4CA6FC8F">
      <w:pPr>
        <w:pStyle w:val="2"/>
        <w:spacing w:before="135" w:line="221" w:lineRule="auto"/>
        <w:ind w:left="762"/>
        <w:rPr>
          <w:rFonts w:ascii="黑体" w:hAnsi="黑体" w:eastAsia="黑体" w:cs="黑体"/>
          <w:sz w:val="20"/>
          <w:szCs w:val="20"/>
        </w:rPr>
      </w:pPr>
      <w:r>
        <w:rPr>
          <w:b/>
          <w:bCs/>
          <w:color w:val="0083C5"/>
          <w:spacing w:val="1"/>
          <w:sz w:val="20"/>
          <w:szCs w:val="20"/>
        </w:rPr>
        <w:t>2.</w:t>
      </w:r>
      <w:r>
        <w:rPr>
          <w:rFonts w:ascii="黑体" w:hAnsi="黑体" w:eastAsia="黑体" w:cs="黑体"/>
          <w:b/>
          <w:bCs/>
          <w:color w:val="0083C5"/>
          <w:spacing w:val="1"/>
          <w:sz w:val="20"/>
          <w:szCs w:val="20"/>
        </w:rPr>
        <w:t>主要特征</w:t>
      </w:r>
    </w:p>
    <w:p w14:paraId="687C0289">
      <w:pPr>
        <w:pStyle w:val="2"/>
        <w:spacing w:before="133" w:line="282" w:lineRule="auto"/>
        <w:ind w:left="359" w:right="109" w:firstLine="399"/>
        <w:rPr>
          <w:sz w:val="20"/>
          <w:szCs w:val="20"/>
        </w:rPr>
      </w:pPr>
      <w:r>
        <w:rPr>
          <w:spacing w:val="3"/>
          <w:sz w:val="20"/>
          <w:szCs w:val="20"/>
        </w:rPr>
        <w:t>社会团体人际关系与其他单位人际关系相比，其</w:t>
      </w:r>
      <w:r>
        <w:rPr>
          <w:spacing w:val="2"/>
          <w:sz w:val="20"/>
          <w:szCs w:val="20"/>
        </w:rPr>
        <w:t>特征既有共性方面又有个性方面。总体而</w:t>
      </w:r>
      <w:r>
        <w:rPr>
          <w:sz w:val="20"/>
          <w:szCs w:val="20"/>
        </w:rPr>
        <w:t xml:space="preserve"> </w:t>
      </w:r>
      <w:r>
        <w:rPr>
          <w:spacing w:val="-2"/>
          <w:sz w:val="20"/>
          <w:szCs w:val="20"/>
        </w:rPr>
        <w:t>言，社会团体人际关系的主要特征有如下几个方面。</w:t>
      </w:r>
    </w:p>
    <w:p w14:paraId="420A0911">
      <w:pPr>
        <w:spacing w:before="96" w:line="223" w:lineRule="auto"/>
        <w:ind w:left="759"/>
        <w:rPr>
          <w:rFonts w:ascii="楷体" w:hAnsi="楷体" w:eastAsia="楷体" w:cs="楷体"/>
          <w:sz w:val="20"/>
          <w:szCs w:val="20"/>
        </w:rPr>
      </w:pPr>
      <w:r>
        <w:rPr>
          <w:rFonts w:ascii="楷体" w:hAnsi="楷体" w:eastAsia="楷体" w:cs="楷体"/>
          <w:spacing w:val="11"/>
          <w:sz w:val="20"/>
          <w:szCs w:val="20"/>
        </w:rPr>
        <w:t>1)权力交往关系</w:t>
      </w:r>
    </w:p>
    <w:p w14:paraId="29A7CC73">
      <w:pPr>
        <w:pStyle w:val="2"/>
        <w:spacing w:before="84" w:line="282" w:lineRule="auto"/>
        <w:ind w:left="359" w:firstLine="399"/>
        <w:rPr>
          <w:sz w:val="20"/>
          <w:szCs w:val="20"/>
        </w:rPr>
      </w:pPr>
      <w:r>
        <w:rPr>
          <w:spacing w:val="2"/>
          <w:sz w:val="20"/>
          <w:szCs w:val="20"/>
        </w:rPr>
        <w:t>社会团体担负着实施一定目的的职能。要有效地行使这些职能，就必须在社会团体行政机</w:t>
      </w:r>
      <w:r>
        <w:rPr>
          <w:spacing w:val="9"/>
          <w:sz w:val="20"/>
          <w:szCs w:val="20"/>
        </w:rPr>
        <w:t xml:space="preserve">  </w:t>
      </w:r>
      <w:r>
        <w:rPr>
          <w:spacing w:val="3"/>
          <w:sz w:val="20"/>
          <w:szCs w:val="20"/>
        </w:rPr>
        <w:t>关内部进行合理的事权划分。因此，社会团体行政机关的人员尽管所处的职位各</w:t>
      </w:r>
      <w:r>
        <w:rPr>
          <w:spacing w:val="2"/>
          <w:sz w:val="20"/>
          <w:szCs w:val="20"/>
        </w:rPr>
        <w:t>不相同，但都</w:t>
      </w:r>
      <w:r>
        <w:rPr>
          <w:sz w:val="20"/>
          <w:szCs w:val="20"/>
        </w:rPr>
        <w:t xml:space="preserve">  </w:t>
      </w:r>
      <w:r>
        <w:rPr>
          <w:spacing w:val="3"/>
          <w:sz w:val="20"/>
          <w:szCs w:val="20"/>
        </w:rPr>
        <w:t>拥有一定的权力。当人们在社会机构中占据权势地位和支配地位时，他们就有了权力，</w:t>
      </w:r>
      <w:r>
        <w:rPr>
          <w:spacing w:val="2"/>
          <w:sz w:val="20"/>
          <w:szCs w:val="20"/>
        </w:rPr>
        <w:t>而一旦</w:t>
      </w:r>
      <w:r>
        <w:rPr>
          <w:sz w:val="20"/>
          <w:szCs w:val="20"/>
        </w:rPr>
        <w:t xml:space="preserve">  </w:t>
      </w:r>
      <w:r>
        <w:rPr>
          <w:spacing w:val="3"/>
          <w:sz w:val="20"/>
          <w:szCs w:val="20"/>
        </w:rPr>
        <w:t>他们占据这种地位，不管他们有所作为还是无所作为，都会使人感到权力的存在。从</w:t>
      </w:r>
      <w:r>
        <w:rPr>
          <w:spacing w:val="2"/>
          <w:sz w:val="20"/>
          <w:szCs w:val="20"/>
        </w:rPr>
        <w:t>这个意义</w:t>
      </w:r>
      <w:r>
        <w:rPr>
          <w:sz w:val="20"/>
          <w:szCs w:val="20"/>
        </w:rPr>
        <w:t xml:space="preserve">  </w:t>
      </w:r>
      <w:r>
        <w:rPr>
          <w:spacing w:val="3"/>
          <w:sz w:val="20"/>
          <w:szCs w:val="20"/>
        </w:rPr>
        <w:t>上说，社会团体内部是一个权力系统。由于工作的需要，居于这个系统中的人必</w:t>
      </w:r>
      <w:r>
        <w:rPr>
          <w:spacing w:val="2"/>
          <w:sz w:val="20"/>
          <w:szCs w:val="20"/>
        </w:rPr>
        <w:t>然发生权力交</w:t>
      </w:r>
      <w:r>
        <w:rPr>
          <w:sz w:val="20"/>
          <w:szCs w:val="20"/>
        </w:rPr>
        <w:t xml:space="preserve">  往关系，这种以权力交往为内容的人际关系体现着社会团体人员之间那种特定的支配与被支配、</w:t>
      </w:r>
      <w:r>
        <w:rPr>
          <w:spacing w:val="8"/>
          <w:sz w:val="20"/>
          <w:szCs w:val="20"/>
        </w:rPr>
        <w:t xml:space="preserve"> </w:t>
      </w:r>
      <w:r>
        <w:rPr>
          <w:spacing w:val="-1"/>
          <w:sz w:val="20"/>
          <w:szCs w:val="20"/>
        </w:rPr>
        <w:t>管理与被管理、领导与被领导的纵向社会关系以及分工与合作的</w:t>
      </w:r>
      <w:r>
        <w:rPr>
          <w:spacing w:val="-2"/>
          <w:sz w:val="20"/>
          <w:szCs w:val="20"/>
        </w:rPr>
        <w:t>横向平行关系。</w:t>
      </w:r>
    </w:p>
    <w:p w14:paraId="004A1D48">
      <w:pPr>
        <w:spacing w:before="136" w:line="223" w:lineRule="auto"/>
        <w:ind w:left="759"/>
        <w:rPr>
          <w:rFonts w:ascii="楷体" w:hAnsi="楷体" w:eastAsia="楷体" w:cs="楷体"/>
          <w:sz w:val="20"/>
          <w:szCs w:val="20"/>
        </w:rPr>
      </w:pPr>
      <w:r>
        <w:rPr>
          <w:rFonts w:ascii="楷体" w:hAnsi="楷体" w:eastAsia="楷体" w:cs="楷体"/>
          <w:spacing w:val="14"/>
          <w:sz w:val="20"/>
          <w:szCs w:val="20"/>
        </w:rPr>
        <w:t>2)多重交往关系</w:t>
      </w:r>
    </w:p>
    <w:p w14:paraId="67C10A09">
      <w:pPr>
        <w:pStyle w:val="2"/>
        <w:spacing w:before="75" w:line="283" w:lineRule="auto"/>
        <w:ind w:left="359" w:right="20" w:firstLine="399"/>
        <w:rPr>
          <w:sz w:val="20"/>
          <w:szCs w:val="20"/>
        </w:rPr>
      </w:pPr>
      <w:r>
        <w:rPr>
          <w:spacing w:val="3"/>
          <w:sz w:val="20"/>
          <w:szCs w:val="20"/>
        </w:rPr>
        <w:t>从组织角度看，社会团体存在着多种多样的人际关系，除了上下级关系、领导者之间的关</w:t>
      </w:r>
      <w:r>
        <w:rPr>
          <w:spacing w:val="1"/>
          <w:sz w:val="20"/>
          <w:szCs w:val="20"/>
        </w:rPr>
        <w:t xml:space="preserve"> </w:t>
      </w:r>
      <w:r>
        <w:rPr>
          <w:spacing w:val="3"/>
          <w:sz w:val="20"/>
          <w:szCs w:val="20"/>
        </w:rPr>
        <w:t>系、同事关系外，还有同学关系、同乡关系、战友关系、朋友关系、亲属关系</w:t>
      </w:r>
      <w:r>
        <w:rPr>
          <w:spacing w:val="2"/>
          <w:sz w:val="20"/>
          <w:szCs w:val="20"/>
        </w:rPr>
        <w:t>等。这些关系概</w:t>
      </w:r>
      <w:r>
        <w:rPr>
          <w:sz w:val="20"/>
          <w:szCs w:val="20"/>
        </w:rPr>
        <w:t xml:space="preserve"> </w:t>
      </w:r>
      <w:r>
        <w:rPr>
          <w:spacing w:val="3"/>
          <w:sz w:val="20"/>
          <w:szCs w:val="20"/>
        </w:rPr>
        <w:t>括起来可分为两类：一是正式组织意义上的关系，包括等级关系和职业关系；二是非正</w:t>
      </w:r>
      <w:r>
        <w:rPr>
          <w:spacing w:val="2"/>
          <w:sz w:val="20"/>
          <w:szCs w:val="20"/>
        </w:rPr>
        <w:t>式组织</w:t>
      </w:r>
      <w:r>
        <w:rPr>
          <w:sz w:val="20"/>
          <w:szCs w:val="20"/>
        </w:rPr>
        <w:t xml:space="preserve"> 意义上的关系，包括平等关系和情感关系。前类是工作关系，是非情</w:t>
      </w:r>
      <w:r>
        <w:rPr>
          <w:spacing w:val="-1"/>
          <w:sz w:val="20"/>
          <w:szCs w:val="20"/>
        </w:rPr>
        <w:t>感性的；后类是私人关系。</w:t>
      </w:r>
      <w:r>
        <w:rPr>
          <w:sz w:val="20"/>
          <w:szCs w:val="20"/>
        </w:rPr>
        <w:t xml:space="preserve"> </w:t>
      </w:r>
      <w:r>
        <w:rPr>
          <w:spacing w:val="3"/>
          <w:sz w:val="20"/>
          <w:szCs w:val="20"/>
        </w:rPr>
        <w:t>在社会团体行政机关中，这两类关系常常交织在一起，使得社会团体行政机关</w:t>
      </w:r>
      <w:r>
        <w:rPr>
          <w:spacing w:val="2"/>
          <w:sz w:val="20"/>
          <w:szCs w:val="20"/>
        </w:rPr>
        <w:t>人际关系呈现纷</w:t>
      </w:r>
      <w:r>
        <w:rPr>
          <w:sz w:val="20"/>
          <w:szCs w:val="20"/>
        </w:rPr>
        <w:t xml:space="preserve"> </w:t>
      </w:r>
      <w:r>
        <w:rPr>
          <w:spacing w:val="5"/>
          <w:sz w:val="20"/>
          <w:szCs w:val="20"/>
        </w:rPr>
        <w:t>繁复杂的特性。从个人方面看，由于一个人往往同时具</w:t>
      </w:r>
      <w:r>
        <w:rPr>
          <w:spacing w:val="4"/>
          <w:sz w:val="20"/>
          <w:szCs w:val="20"/>
        </w:rPr>
        <w:t>有多种角色，如政治角色、职务角色、</w:t>
      </w:r>
      <w:r>
        <w:rPr>
          <w:sz w:val="20"/>
          <w:szCs w:val="20"/>
        </w:rPr>
        <w:t xml:space="preserve"> </w:t>
      </w:r>
      <w:r>
        <w:rPr>
          <w:spacing w:val="3"/>
          <w:sz w:val="20"/>
          <w:szCs w:val="20"/>
        </w:rPr>
        <w:t>男女角色等，这些角色便构成了一个人的角色集。所以，社会团体人际关系就不是一种单一的</w:t>
      </w:r>
      <w:r>
        <w:rPr>
          <w:spacing w:val="1"/>
          <w:sz w:val="20"/>
          <w:szCs w:val="20"/>
        </w:rPr>
        <w:t xml:space="preserve"> </w:t>
      </w:r>
      <w:r>
        <w:rPr>
          <w:spacing w:val="3"/>
          <w:sz w:val="20"/>
          <w:szCs w:val="20"/>
        </w:rPr>
        <w:t>关系，而是角色集间的多重关系。例如，在两个具有上下级关系的人员之间，可能同</w:t>
      </w:r>
      <w:r>
        <w:rPr>
          <w:spacing w:val="2"/>
          <w:sz w:val="20"/>
          <w:szCs w:val="20"/>
        </w:rPr>
        <w:t>时还存在</w:t>
      </w:r>
      <w:r>
        <w:rPr>
          <w:sz w:val="20"/>
          <w:szCs w:val="20"/>
        </w:rPr>
        <w:t xml:space="preserve"> </w:t>
      </w:r>
      <w:r>
        <w:rPr>
          <w:spacing w:val="-2"/>
          <w:sz w:val="20"/>
          <w:szCs w:val="20"/>
        </w:rPr>
        <w:t>着同乡关系、亲属关系、代际关系等其他关系。</w:t>
      </w:r>
    </w:p>
    <w:p w14:paraId="44D193DD">
      <w:pPr>
        <w:spacing w:before="124" w:line="223" w:lineRule="auto"/>
        <w:ind w:left="759"/>
        <w:rPr>
          <w:rFonts w:ascii="楷体" w:hAnsi="楷体" w:eastAsia="楷体" w:cs="楷体"/>
          <w:sz w:val="20"/>
          <w:szCs w:val="20"/>
        </w:rPr>
      </w:pPr>
      <w:r>
        <w:rPr>
          <w:rFonts w:ascii="楷体" w:hAnsi="楷体" w:eastAsia="楷体" w:cs="楷体"/>
          <w:spacing w:val="14"/>
          <w:sz w:val="20"/>
          <w:szCs w:val="20"/>
        </w:rPr>
        <w:t>3)隐秘交往关系</w:t>
      </w:r>
    </w:p>
    <w:p w14:paraId="5409FF11">
      <w:pPr>
        <w:pStyle w:val="2"/>
        <w:spacing w:before="62" w:line="281" w:lineRule="auto"/>
        <w:ind w:left="359" w:right="68" w:firstLine="399"/>
        <w:rPr>
          <w:sz w:val="20"/>
          <w:szCs w:val="20"/>
        </w:rPr>
      </w:pPr>
      <w:r>
        <w:rPr>
          <w:spacing w:val="3"/>
          <w:sz w:val="20"/>
          <w:szCs w:val="20"/>
        </w:rPr>
        <w:t>这是就社会团体中人际关系的透明度而言的。人际关系透明度是人际关系的性质特点和交</w:t>
      </w:r>
      <w:r>
        <w:rPr>
          <w:sz w:val="20"/>
          <w:szCs w:val="20"/>
        </w:rPr>
        <w:t xml:space="preserve"> </w:t>
      </w:r>
      <w:r>
        <w:rPr>
          <w:spacing w:val="3"/>
          <w:sz w:val="20"/>
          <w:szCs w:val="20"/>
        </w:rPr>
        <w:t>往特性为人们所清楚认识的程度，它分为内在和外在两个方面。内在透明度是人际关系</w:t>
      </w:r>
      <w:r>
        <w:rPr>
          <w:spacing w:val="2"/>
          <w:sz w:val="20"/>
          <w:szCs w:val="20"/>
        </w:rPr>
        <w:t>交往双</w:t>
      </w:r>
      <w:r>
        <w:rPr>
          <w:sz w:val="20"/>
          <w:szCs w:val="20"/>
        </w:rPr>
        <w:t xml:space="preserve"> </w:t>
      </w:r>
      <w:r>
        <w:rPr>
          <w:spacing w:val="3"/>
          <w:sz w:val="20"/>
          <w:szCs w:val="20"/>
        </w:rPr>
        <w:t>方对其关系的性质特点和交往特性，以及对对方的个人特点和个人行为方式的认识程度。外在</w:t>
      </w:r>
      <w:r>
        <w:rPr>
          <w:spacing w:val="17"/>
          <w:sz w:val="20"/>
          <w:szCs w:val="20"/>
        </w:rPr>
        <w:t xml:space="preserve"> </w:t>
      </w:r>
      <w:r>
        <w:rPr>
          <w:spacing w:val="3"/>
          <w:sz w:val="20"/>
          <w:szCs w:val="20"/>
        </w:rPr>
        <w:t>透明度是人际交往双方的关系和交往特点为他人所了解的程度。人际关系透明度不足或缺乏透</w:t>
      </w:r>
      <w:r>
        <w:rPr>
          <w:spacing w:val="13"/>
          <w:sz w:val="20"/>
          <w:szCs w:val="20"/>
        </w:rPr>
        <w:t xml:space="preserve"> </w:t>
      </w:r>
      <w:r>
        <w:rPr>
          <w:spacing w:val="-4"/>
          <w:sz w:val="20"/>
          <w:szCs w:val="20"/>
        </w:rPr>
        <w:t>明度，就构成了人际交往的隐秘性。</w:t>
      </w:r>
    </w:p>
    <w:p w14:paraId="47E60ACC">
      <w:pPr>
        <w:spacing w:line="281" w:lineRule="auto"/>
        <w:rPr>
          <w:sz w:val="20"/>
          <w:szCs w:val="20"/>
        </w:rPr>
        <w:sectPr>
          <w:pgSz w:w="10300" w:h="13420"/>
          <w:pgMar w:top="400" w:right="1010" w:bottom="400" w:left="520" w:header="0" w:footer="0" w:gutter="0"/>
          <w:cols w:space="720" w:num="1"/>
        </w:sectPr>
      </w:pPr>
    </w:p>
    <w:p w14:paraId="504035C2">
      <w:pPr>
        <w:pStyle w:val="2"/>
        <w:jc w:val="right"/>
        <w:rPr>
          <w:rFonts w:ascii="Times New Roman" w:hAnsi="Times New Roman" w:eastAsia="Times New Roman" w:cs="Times New Roman"/>
          <w:sz w:val="20"/>
          <w:szCs w:val="20"/>
        </w:rPr>
      </w:pPr>
      <w:r>
        <w:rPr>
          <w:spacing w:val="-1"/>
          <w:sz w:val="20"/>
          <w:szCs w:val="20"/>
        </w:rPr>
        <w:t>第15章</w:t>
      </w:r>
      <w:r>
        <w:rPr>
          <w:spacing w:val="18"/>
          <w:sz w:val="20"/>
          <w:szCs w:val="20"/>
        </w:rPr>
        <w:t xml:space="preserve"> </w:t>
      </w:r>
      <w:r>
        <w:rPr>
          <w:spacing w:val="-1"/>
          <w:sz w:val="20"/>
          <w:szCs w:val="20"/>
        </w:rPr>
        <w:t>组织协调</w:t>
      </w:r>
      <w:r>
        <w:rPr>
          <w:spacing w:val="23"/>
          <w:sz w:val="20"/>
          <w:szCs w:val="20"/>
        </w:rPr>
        <w:t xml:space="preserve"> </w:t>
      </w:r>
      <w:r>
        <w:rPr>
          <w:position w:val="-11"/>
          <w:sz w:val="20"/>
          <w:szCs w:val="20"/>
        </w:rPr>
        <w:drawing>
          <wp:inline distT="0" distB="0" distL="0" distR="0">
            <wp:extent cx="298450" cy="241300"/>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227"/>
                    <a:stretch>
                      <a:fillRect/>
                    </a:stretch>
                  </pic:blipFill>
                  <pic:spPr>
                    <a:xfrm>
                      <a:off x="0" y="0"/>
                      <a:ext cx="298479" cy="241333"/>
                    </a:xfrm>
                    <a:prstGeom prst="rect">
                      <a:avLst/>
                    </a:prstGeom>
                  </pic:spPr>
                </pic:pic>
              </a:graphicData>
            </a:graphic>
          </wp:inline>
        </w:drawing>
      </w:r>
      <w:r>
        <w:rPr>
          <w:rFonts w:ascii="Times New Roman" w:hAnsi="Times New Roman" w:eastAsia="Times New Roman" w:cs="Times New Roman"/>
          <w:spacing w:val="-1"/>
          <w:position w:val="-4"/>
          <w:sz w:val="20"/>
          <w:szCs w:val="20"/>
        </w:rPr>
        <w:t>359</w:t>
      </w:r>
    </w:p>
    <w:p w14:paraId="6BE06C81">
      <w:pPr>
        <w:spacing w:line="243" w:lineRule="auto"/>
        <w:rPr>
          <w:rFonts w:ascii="Arial"/>
          <w:sz w:val="21"/>
        </w:rPr>
      </w:pPr>
    </w:p>
    <w:p w14:paraId="12B5794C">
      <w:pPr>
        <w:pStyle w:val="2"/>
        <w:spacing w:before="91" w:line="222" w:lineRule="auto"/>
        <w:ind w:left="104"/>
        <w:rPr>
          <w:rFonts w:ascii="黑体" w:hAnsi="黑体" w:eastAsia="黑体" w:cs="黑体"/>
          <w:sz w:val="28"/>
          <w:szCs w:val="28"/>
        </w:rPr>
      </w:pPr>
      <w:r>
        <w:rPr>
          <w:b/>
          <w:bCs/>
          <w:color w:val="006DDA"/>
          <w:spacing w:val="-7"/>
          <w:sz w:val="28"/>
          <w:szCs w:val="28"/>
        </w:rPr>
        <w:t>15.2</w:t>
      </w:r>
      <w:r>
        <w:rPr>
          <w:color w:val="006DDA"/>
          <w:spacing w:val="21"/>
          <w:sz w:val="28"/>
          <w:szCs w:val="28"/>
        </w:rPr>
        <w:t xml:space="preserve">  </w:t>
      </w:r>
      <w:r>
        <w:rPr>
          <w:rFonts w:ascii="黑体" w:hAnsi="黑体" w:eastAsia="黑体" w:cs="黑体"/>
          <w:b/>
          <w:bCs/>
          <w:color w:val="006DDA"/>
          <w:spacing w:val="-7"/>
          <w:sz w:val="28"/>
          <w:szCs w:val="28"/>
        </w:rPr>
        <w:t>组织协调的基本原则</w:t>
      </w:r>
    </w:p>
    <w:p w14:paraId="058AD737">
      <w:pPr>
        <w:spacing w:line="284" w:lineRule="auto"/>
        <w:rPr>
          <w:rFonts w:ascii="Arial"/>
          <w:sz w:val="21"/>
        </w:rPr>
      </w:pPr>
    </w:p>
    <w:p w14:paraId="2EC242C2">
      <w:pPr>
        <w:pStyle w:val="2"/>
        <w:spacing w:before="65" w:line="221" w:lineRule="auto"/>
        <w:ind w:left="512"/>
        <w:rPr>
          <w:rFonts w:ascii="黑体" w:hAnsi="黑体" w:eastAsia="黑体" w:cs="黑体"/>
          <w:sz w:val="20"/>
          <w:szCs w:val="20"/>
        </w:rPr>
      </w:pPr>
      <w:r>
        <w:rPr>
          <w:b/>
          <w:bCs/>
          <w:color w:val="0074DA"/>
          <w:spacing w:val="-5"/>
          <w:sz w:val="20"/>
          <w:szCs w:val="20"/>
        </w:rPr>
        <w:t>1.</w:t>
      </w:r>
      <w:r>
        <w:rPr>
          <w:rFonts w:ascii="黑体" w:hAnsi="黑体" w:eastAsia="黑体" w:cs="黑体"/>
          <w:b/>
          <w:bCs/>
          <w:color w:val="0074DA"/>
          <w:spacing w:val="-5"/>
          <w:sz w:val="20"/>
          <w:szCs w:val="20"/>
        </w:rPr>
        <w:t>公平、公正、独立原则</w:t>
      </w:r>
    </w:p>
    <w:p w14:paraId="428FB7F3">
      <w:pPr>
        <w:pStyle w:val="2"/>
        <w:spacing w:before="126" w:line="288" w:lineRule="auto"/>
        <w:ind w:left="99" w:right="291" w:firstLine="410"/>
        <w:jc w:val="both"/>
        <w:rPr>
          <w:sz w:val="20"/>
          <w:szCs w:val="20"/>
        </w:rPr>
      </w:pPr>
      <w:r>
        <w:rPr>
          <w:spacing w:val="3"/>
          <w:sz w:val="20"/>
          <w:szCs w:val="20"/>
        </w:rPr>
        <w:t>在监理活动中体现公平、公正、独立的原则，就是在解决业</w:t>
      </w:r>
      <w:r>
        <w:rPr>
          <w:spacing w:val="2"/>
          <w:sz w:val="20"/>
          <w:szCs w:val="20"/>
        </w:rPr>
        <w:t>主单位与承建单位可能发生的</w:t>
      </w:r>
      <w:r>
        <w:rPr>
          <w:sz w:val="20"/>
          <w:szCs w:val="20"/>
        </w:rPr>
        <w:t xml:space="preserve"> </w:t>
      </w:r>
      <w:r>
        <w:rPr>
          <w:spacing w:val="-1"/>
          <w:sz w:val="20"/>
          <w:szCs w:val="20"/>
        </w:rPr>
        <w:t>意见不统一或纠纷时，绝不能因为监理单位是受业主单位的委托而故意偏袒业主单位，</w:t>
      </w:r>
      <w:r>
        <w:rPr>
          <w:spacing w:val="69"/>
          <w:sz w:val="20"/>
          <w:szCs w:val="20"/>
        </w:rPr>
        <w:t xml:space="preserve"> </w:t>
      </w:r>
      <w:r>
        <w:rPr>
          <w:spacing w:val="-1"/>
          <w:sz w:val="20"/>
          <w:szCs w:val="20"/>
        </w:rPr>
        <w:t>一定要</w:t>
      </w:r>
      <w:r>
        <w:rPr>
          <w:sz w:val="20"/>
          <w:szCs w:val="20"/>
        </w:rPr>
        <w:t xml:space="preserve"> 坚持“一碗水端平”,该是谁的责任就由谁来承担，该维护哪方的权益就维护哪方的权益。这样</w:t>
      </w:r>
      <w:r>
        <w:rPr>
          <w:spacing w:val="9"/>
          <w:sz w:val="20"/>
          <w:szCs w:val="20"/>
        </w:rPr>
        <w:t xml:space="preserve"> </w:t>
      </w:r>
      <w:r>
        <w:rPr>
          <w:spacing w:val="-2"/>
          <w:sz w:val="20"/>
          <w:szCs w:val="20"/>
        </w:rPr>
        <w:t>做既会得到业主单位的理解和支持，也会得到承建单位</w:t>
      </w:r>
      <w:r>
        <w:rPr>
          <w:spacing w:val="-3"/>
          <w:sz w:val="20"/>
          <w:szCs w:val="20"/>
        </w:rPr>
        <w:t>的拥护和欢迎。</w:t>
      </w:r>
    </w:p>
    <w:p w14:paraId="387D6816">
      <w:pPr>
        <w:pStyle w:val="2"/>
        <w:spacing w:before="21" w:line="220" w:lineRule="auto"/>
        <w:ind w:left="510"/>
        <w:rPr>
          <w:sz w:val="20"/>
          <w:szCs w:val="20"/>
        </w:rPr>
      </w:pPr>
      <w:r>
        <w:rPr>
          <w:spacing w:val="-4"/>
          <w:sz w:val="20"/>
          <w:szCs w:val="20"/>
        </w:rPr>
        <w:t>公平、公正、独立原则体现在：</w:t>
      </w:r>
    </w:p>
    <w:p w14:paraId="535A5404">
      <w:pPr>
        <w:pStyle w:val="2"/>
        <w:spacing w:before="90" w:line="274" w:lineRule="auto"/>
        <w:ind w:left="99" w:right="221" w:firstLine="410"/>
        <w:rPr>
          <w:sz w:val="20"/>
          <w:szCs w:val="20"/>
        </w:rPr>
      </w:pPr>
      <w:r>
        <w:rPr>
          <w:spacing w:val="2"/>
          <w:sz w:val="20"/>
          <w:szCs w:val="20"/>
        </w:rPr>
        <w:t>(1)监理单位应是独立的第三方，不能同时既做信息系统工程的监理，又做系统集成业务。</w:t>
      </w:r>
      <w:r>
        <w:rPr>
          <w:spacing w:val="6"/>
          <w:sz w:val="20"/>
          <w:szCs w:val="20"/>
        </w:rPr>
        <w:t xml:space="preserve"> </w:t>
      </w:r>
      <w:r>
        <w:rPr>
          <w:spacing w:val="3"/>
          <w:sz w:val="20"/>
          <w:szCs w:val="20"/>
        </w:rPr>
        <w:t>否则，在做监理工作时，可以很方便地获得其他承建单位的关键技术或思路，</w:t>
      </w:r>
      <w:r>
        <w:rPr>
          <w:spacing w:val="2"/>
          <w:sz w:val="20"/>
          <w:szCs w:val="20"/>
        </w:rPr>
        <w:t>若在其他的项目</w:t>
      </w:r>
      <w:r>
        <w:rPr>
          <w:sz w:val="20"/>
          <w:szCs w:val="20"/>
        </w:rPr>
        <w:t xml:space="preserve">  集成中得到应用，显然是不公平的，甚至可能是违法的；如果是做系统集成未果，转而做监理， </w:t>
      </w:r>
      <w:r>
        <w:rPr>
          <w:spacing w:val="4"/>
          <w:sz w:val="20"/>
          <w:szCs w:val="20"/>
        </w:rPr>
        <w:t>用自己的集成思路和技术水平要求承建单位修改技术方案或指导实施开发过程，显然不合理，</w:t>
      </w:r>
      <w:r>
        <w:rPr>
          <w:spacing w:val="15"/>
          <w:sz w:val="20"/>
          <w:szCs w:val="20"/>
        </w:rPr>
        <w:t xml:space="preserve"> </w:t>
      </w:r>
      <w:r>
        <w:rPr>
          <w:spacing w:val="-5"/>
          <w:sz w:val="20"/>
          <w:szCs w:val="20"/>
        </w:rPr>
        <w:t>也是不公平的。</w:t>
      </w:r>
    </w:p>
    <w:p w14:paraId="2CBC0990">
      <w:pPr>
        <w:pStyle w:val="2"/>
        <w:spacing w:before="56" w:line="270" w:lineRule="auto"/>
        <w:ind w:left="99" w:right="305" w:firstLine="410"/>
        <w:rPr>
          <w:sz w:val="20"/>
          <w:szCs w:val="20"/>
        </w:rPr>
      </w:pPr>
      <w:r>
        <w:rPr>
          <w:spacing w:val="5"/>
          <w:sz w:val="20"/>
          <w:szCs w:val="20"/>
        </w:rPr>
        <w:t>(2)监理单位在处理事务时，敢于坚持正确观点，实事求是，不唯上级领导和业主单位的</w:t>
      </w:r>
      <w:r>
        <w:rPr>
          <w:spacing w:val="4"/>
          <w:sz w:val="20"/>
          <w:szCs w:val="20"/>
        </w:rPr>
        <w:t xml:space="preserve"> </w:t>
      </w:r>
      <w:r>
        <w:rPr>
          <w:spacing w:val="3"/>
          <w:sz w:val="20"/>
          <w:szCs w:val="20"/>
        </w:rPr>
        <w:t>意见是从。同时也要坚持对问题的分析，敢于亮明观点，对</w:t>
      </w:r>
      <w:r>
        <w:rPr>
          <w:spacing w:val="2"/>
          <w:sz w:val="20"/>
          <w:szCs w:val="20"/>
        </w:rPr>
        <w:t>承建单位的不合理或不科学的要求</w:t>
      </w:r>
      <w:r>
        <w:rPr>
          <w:sz w:val="20"/>
          <w:szCs w:val="20"/>
        </w:rPr>
        <w:t xml:space="preserve"> </w:t>
      </w:r>
      <w:r>
        <w:rPr>
          <w:spacing w:val="-4"/>
          <w:sz w:val="20"/>
          <w:szCs w:val="20"/>
        </w:rPr>
        <w:t>坚决提出改进意见。</w:t>
      </w:r>
    </w:p>
    <w:p w14:paraId="50573448">
      <w:pPr>
        <w:pStyle w:val="2"/>
        <w:spacing w:before="63" w:line="261" w:lineRule="auto"/>
        <w:ind w:left="100" w:right="305" w:firstLine="410"/>
        <w:rPr>
          <w:sz w:val="20"/>
          <w:szCs w:val="20"/>
        </w:rPr>
      </w:pPr>
      <w:r>
        <w:rPr>
          <w:spacing w:val="5"/>
          <w:sz w:val="20"/>
          <w:szCs w:val="20"/>
        </w:rPr>
        <w:t>(3)监理单位在处理实际监理事务中，要有大局观，要全面地分析和思考，保持对问题的</w:t>
      </w:r>
      <w:r>
        <w:rPr>
          <w:spacing w:val="4"/>
          <w:sz w:val="20"/>
          <w:szCs w:val="20"/>
        </w:rPr>
        <w:t xml:space="preserve"> </w:t>
      </w:r>
      <w:r>
        <w:rPr>
          <w:spacing w:val="-2"/>
          <w:sz w:val="20"/>
          <w:szCs w:val="20"/>
        </w:rPr>
        <w:t>综合分析能力，不要被表面现象或局部问题所干扰。</w:t>
      </w:r>
    </w:p>
    <w:p w14:paraId="7D67F0AD">
      <w:pPr>
        <w:pStyle w:val="2"/>
        <w:spacing w:before="83" w:line="270" w:lineRule="auto"/>
        <w:ind w:left="99" w:right="307" w:firstLine="410"/>
        <w:rPr>
          <w:sz w:val="20"/>
          <w:szCs w:val="20"/>
        </w:rPr>
      </w:pPr>
      <w:r>
        <w:rPr>
          <w:spacing w:val="5"/>
          <w:sz w:val="20"/>
          <w:szCs w:val="20"/>
        </w:rPr>
        <w:t>(4)信息系统工程涉及的技术一日千里、变化快，监理工程师在不断提高个人的专业技能</w:t>
      </w:r>
      <w:r>
        <w:rPr>
          <w:sz w:val="20"/>
          <w:szCs w:val="20"/>
        </w:rPr>
        <w:t xml:space="preserve"> </w:t>
      </w:r>
      <w:r>
        <w:rPr>
          <w:spacing w:val="3"/>
          <w:sz w:val="20"/>
          <w:szCs w:val="20"/>
        </w:rPr>
        <w:t>并在实践中不断丰富个人的从业经验的同时，也要不断提高</w:t>
      </w:r>
      <w:r>
        <w:rPr>
          <w:spacing w:val="2"/>
          <w:sz w:val="20"/>
          <w:szCs w:val="20"/>
        </w:rPr>
        <w:t>对相关知识的综合应用能力，对事</w:t>
      </w:r>
      <w:r>
        <w:rPr>
          <w:sz w:val="20"/>
          <w:szCs w:val="20"/>
        </w:rPr>
        <w:t xml:space="preserve"> </w:t>
      </w:r>
      <w:r>
        <w:rPr>
          <w:spacing w:val="3"/>
          <w:sz w:val="20"/>
          <w:szCs w:val="20"/>
        </w:rPr>
        <w:t>务熟练的判断能力和处理能力，更要学会把专业知识和相关的技术规</w:t>
      </w:r>
      <w:r>
        <w:rPr>
          <w:spacing w:val="2"/>
          <w:sz w:val="20"/>
          <w:szCs w:val="20"/>
        </w:rPr>
        <w:t>范、法规、法律等运用到</w:t>
      </w:r>
      <w:r>
        <w:rPr>
          <w:sz w:val="20"/>
          <w:szCs w:val="20"/>
        </w:rPr>
        <w:t xml:space="preserve"> </w:t>
      </w:r>
      <w:r>
        <w:rPr>
          <w:spacing w:val="-5"/>
          <w:sz w:val="20"/>
          <w:szCs w:val="20"/>
        </w:rPr>
        <w:t>监理实践活动中。</w:t>
      </w:r>
    </w:p>
    <w:p w14:paraId="294C6693">
      <w:pPr>
        <w:pStyle w:val="2"/>
        <w:spacing w:before="53" w:line="279" w:lineRule="auto"/>
        <w:ind w:right="294" w:firstLine="510"/>
        <w:jc w:val="both"/>
        <w:rPr>
          <w:sz w:val="20"/>
          <w:szCs w:val="20"/>
        </w:rPr>
      </w:pPr>
      <w:r>
        <w:rPr>
          <w:spacing w:val="8"/>
          <w:sz w:val="20"/>
          <w:szCs w:val="20"/>
        </w:rPr>
        <w:t>从事信息系统工程监理活动，应当遵循守法、公平、公正、独立的原则。监理单位在信</w:t>
      </w:r>
      <w:r>
        <w:rPr>
          <w:sz w:val="20"/>
          <w:szCs w:val="20"/>
        </w:rPr>
        <w:t xml:space="preserve"> </w:t>
      </w:r>
      <w:r>
        <w:rPr>
          <w:spacing w:val="5"/>
          <w:sz w:val="20"/>
          <w:szCs w:val="20"/>
        </w:rPr>
        <w:t>息系统工程建设中处理任何监理事务都应遵照这个原则。监理人员在个人行为规范上，更要有</w:t>
      </w:r>
      <w:r>
        <w:rPr>
          <w:spacing w:val="4"/>
          <w:sz w:val="20"/>
          <w:szCs w:val="20"/>
        </w:rPr>
        <w:t xml:space="preserve"> </w:t>
      </w:r>
      <w:r>
        <w:rPr>
          <w:spacing w:val="1"/>
          <w:sz w:val="20"/>
          <w:szCs w:val="20"/>
        </w:rPr>
        <w:t>“守法、诚信、公正、科学”的意识，并将其作为个人行为</w:t>
      </w:r>
      <w:r>
        <w:rPr>
          <w:sz w:val="20"/>
          <w:szCs w:val="20"/>
        </w:rPr>
        <w:t xml:space="preserve">准则，因为监理人员是代表监理单位 </w:t>
      </w:r>
      <w:r>
        <w:rPr>
          <w:spacing w:val="2"/>
          <w:sz w:val="20"/>
          <w:szCs w:val="20"/>
        </w:rPr>
        <w:t>这个集体来行使监理责任的，而不仅仅是个人的行为。</w:t>
      </w:r>
    </w:p>
    <w:p w14:paraId="41615307">
      <w:pPr>
        <w:pStyle w:val="2"/>
        <w:spacing w:before="135" w:line="222" w:lineRule="auto"/>
        <w:ind w:left="512"/>
        <w:rPr>
          <w:rFonts w:ascii="黑体" w:hAnsi="黑体" w:eastAsia="黑体" w:cs="黑体"/>
          <w:sz w:val="20"/>
          <w:szCs w:val="20"/>
        </w:rPr>
      </w:pPr>
      <w:r>
        <w:rPr>
          <w:b/>
          <w:bCs/>
          <w:color w:val="0475E7"/>
          <w:spacing w:val="3"/>
          <w:sz w:val="20"/>
          <w:szCs w:val="20"/>
        </w:rPr>
        <w:t>2.</w:t>
      </w:r>
      <w:r>
        <w:rPr>
          <w:rFonts w:ascii="黑体" w:hAnsi="黑体" w:eastAsia="黑体" w:cs="黑体"/>
          <w:b/>
          <w:bCs/>
          <w:color w:val="0475E7"/>
          <w:spacing w:val="3"/>
          <w:sz w:val="20"/>
          <w:szCs w:val="20"/>
        </w:rPr>
        <w:t>守法原则</w:t>
      </w:r>
    </w:p>
    <w:p w14:paraId="3CC0F93B">
      <w:pPr>
        <w:pStyle w:val="2"/>
        <w:spacing w:before="112" w:line="291" w:lineRule="auto"/>
        <w:ind w:left="99" w:right="241" w:firstLine="410"/>
        <w:rPr>
          <w:sz w:val="20"/>
          <w:szCs w:val="20"/>
        </w:rPr>
      </w:pPr>
      <w:r>
        <w:rPr>
          <w:spacing w:val="-1"/>
          <w:sz w:val="20"/>
          <w:szCs w:val="20"/>
        </w:rPr>
        <w:t>对于任何一个具有民事行为能力的单位或个人，起码的行为准则就是遵纪守法，依法经营，</w:t>
      </w:r>
      <w:r>
        <w:rPr>
          <w:spacing w:val="9"/>
          <w:sz w:val="20"/>
          <w:szCs w:val="20"/>
        </w:rPr>
        <w:t xml:space="preserve"> </w:t>
      </w:r>
      <w:r>
        <w:rPr>
          <w:spacing w:val="-2"/>
          <w:sz w:val="20"/>
          <w:szCs w:val="20"/>
        </w:rPr>
        <w:t>依法办事。在信息系统工程监理活动中，守法的具体体现是：</w:t>
      </w:r>
    </w:p>
    <w:p w14:paraId="68B15F70">
      <w:pPr>
        <w:pStyle w:val="2"/>
        <w:spacing w:before="11" w:line="219" w:lineRule="auto"/>
        <w:ind w:left="510"/>
        <w:rPr>
          <w:sz w:val="20"/>
          <w:szCs w:val="20"/>
        </w:rPr>
      </w:pPr>
      <w:r>
        <w:rPr>
          <w:spacing w:val="2"/>
          <w:sz w:val="20"/>
          <w:szCs w:val="20"/>
        </w:rPr>
        <w:t>(1)监理只在核定的业务范围内开展相应的监理工</w:t>
      </w:r>
      <w:r>
        <w:rPr>
          <w:spacing w:val="1"/>
          <w:sz w:val="20"/>
          <w:szCs w:val="20"/>
        </w:rPr>
        <w:t>作；</w:t>
      </w:r>
    </w:p>
    <w:p w14:paraId="7B39968D">
      <w:pPr>
        <w:pStyle w:val="2"/>
        <w:spacing w:before="43" w:line="257" w:lineRule="auto"/>
        <w:ind w:left="100" w:right="312" w:firstLine="410"/>
        <w:rPr>
          <w:sz w:val="20"/>
          <w:szCs w:val="20"/>
        </w:rPr>
      </w:pPr>
      <w:r>
        <w:rPr>
          <w:spacing w:val="2"/>
          <w:sz w:val="20"/>
          <w:szCs w:val="20"/>
        </w:rPr>
        <w:t>(2)与业主单位的监理合同具备法律效力， 一旦生效就要严格地遵照执行和践约，不得无</w:t>
      </w:r>
      <w:r>
        <w:rPr>
          <w:spacing w:val="15"/>
          <w:sz w:val="20"/>
          <w:szCs w:val="20"/>
        </w:rPr>
        <w:t xml:space="preserve"> </w:t>
      </w:r>
      <w:r>
        <w:rPr>
          <w:spacing w:val="-2"/>
          <w:sz w:val="20"/>
          <w:szCs w:val="20"/>
        </w:rPr>
        <w:t>故或故意违背承诺，否则可能将是违法行为，要承担相应的责任；</w:t>
      </w:r>
    </w:p>
    <w:p w14:paraId="5CFCEE8E">
      <w:pPr>
        <w:pStyle w:val="2"/>
        <w:spacing w:before="83" w:line="248" w:lineRule="auto"/>
        <w:ind w:left="100" w:right="270" w:firstLine="410"/>
        <w:rPr>
          <w:sz w:val="20"/>
          <w:szCs w:val="20"/>
        </w:rPr>
      </w:pPr>
      <w:r>
        <w:rPr>
          <w:spacing w:val="6"/>
          <w:sz w:val="20"/>
          <w:szCs w:val="20"/>
        </w:rPr>
        <w:t>(3)自觉遵守业主单位所在地政府颁布的有关信息系统工程建设的法律、法规要求，并主</w:t>
      </w:r>
      <w:r>
        <w:rPr>
          <w:sz w:val="20"/>
          <w:szCs w:val="20"/>
        </w:rPr>
        <w:t xml:space="preserve"> </w:t>
      </w:r>
      <w:r>
        <w:rPr>
          <w:spacing w:val="-3"/>
          <w:sz w:val="20"/>
          <w:szCs w:val="20"/>
        </w:rPr>
        <w:t>动接受当地有关部门的指导和监督管理；</w:t>
      </w:r>
    </w:p>
    <w:p w14:paraId="4D07970C">
      <w:pPr>
        <w:pStyle w:val="2"/>
        <w:spacing w:before="71" w:line="219" w:lineRule="auto"/>
        <w:ind w:left="510"/>
        <w:rPr>
          <w:sz w:val="20"/>
          <w:szCs w:val="20"/>
        </w:rPr>
      </w:pPr>
      <w:r>
        <w:rPr>
          <w:spacing w:val="2"/>
          <w:sz w:val="20"/>
          <w:szCs w:val="20"/>
        </w:rPr>
        <w:t>(4)遵守业主单位的有关行政管理、经济管理、技术管理等方面的规</w:t>
      </w:r>
      <w:r>
        <w:rPr>
          <w:spacing w:val="1"/>
          <w:sz w:val="20"/>
          <w:szCs w:val="20"/>
        </w:rPr>
        <w:t>章制度要求。</w:t>
      </w:r>
    </w:p>
    <w:p w14:paraId="04E88807">
      <w:pPr>
        <w:spacing w:line="219" w:lineRule="auto"/>
        <w:rPr>
          <w:sz w:val="20"/>
          <w:szCs w:val="20"/>
        </w:rPr>
        <w:sectPr>
          <w:pgSz w:w="10290" w:h="13270"/>
          <w:pgMar w:top="319" w:right="618" w:bottom="400" w:left="949" w:header="0" w:footer="0" w:gutter="0"/>
          <w:cols w:space="720" w:num="1"/>
        </w:sectPr>
      </w:pPr>
    </w:p>
    <w:p w14:paraId="29B4A756">
      <w:pPr>
        <w:pStyle w:val="2"/>
        <w:spacing w:before="38" w:line="219" w:lineRule="auto"/>
        <w:rPr>
          <w:sz w:val="20"/>
          <w:szCs w:val="20"/>
        </w:rPr>
      </w:pPr>
      <w:r>
        <w:rPr>
          <w:rFonts w:ascii="Times New Roman" w:hAnsi="Times New Roman" w:eastAsia="Times New Roman" w:cs="Times New Roman"/>
          <w:spacing w:val="-2"/>
          <w:position w:val="1"/>
          <w:sz w:val="20"/>
          <w:szCs w:val="20"/>
        </w:rPr>
        <w:t xml:space="preserve">360              </w:t>
      </w:r>
      <w:r>
        <w:rPr>
          <w:spacing w:val="-2"/>
          <w:sz w:val="20"/>
          <w:szCs w:val="20"/>
        </w:rPr>
        <w:t>信息系统监理师教程(</w:t>
      </w:r>
      <w:r>
        <w:rPr>
          <w:spacing w:val="-3"/>
          <w:sz w:val="20"/>
          <w:szCs w:val="20"/>
        </w:rPr>
        <w:t>第2版)</w:t>
      </w:r>
    </w:p>
    <w:p w14:paraId="7BB7835A">
      <w:pPr>
        <w:spacing w:line="321" w:lineRule="auto"/>
        <w:rPr>
          <w:rFonts w:ascii="Arial"/>
          <w:sz w:val="21"/>
        </w:rPr>
      </w:pPr>
    </w:p>
    <w:p w14:paraId="003AE33E">
      <w:pPr>
        <w:pStyle w:val="2"/>
        <w:spacing w:before="65" w:line="222" w:lineRule="auto"/>
        <w:ind w:left="762"/>
        <w:rPr>
          <w:rFonts w:ascii="黑体" w:hAnsi="黑体" w:eastAsia="黑体" w:cs="黑体"/>
          <w:sz w:val="20"/>
          <w:szCs w:val="20"/>
        </w:rPr>
      </w:pPr>
      <w:bookmarkStart w:id="669" w:name="bookmark654"/>
      <w:bookmarkEnd w:id="669"/>
      <w:r>
        <w:rPr>
          <w:b/>
          <w:bCs/>
          <w:color w:val="008ADB"/>
          <w:spacing w:val="-2"/>
          <w:sz w:val="20"/>
          <w:szCs w:val="20"/>
        </w:rPr>
        <w:t>3.</w:t>
      </w:r>
      <w:r>
        <w:rPr>
          <w:rFonts w:ascii="黑体" w:hAnsi="黑体" w:eastAsia="黑体" w:cs="黑体"/>
          <w:b/>
          <w:bCs/>
          <w:color w:val="008ADB"/>
          <w:spacing w:val="-2"/>
          <w:sz w:val="20"/>
          <w:szCs w:val="20"/>
        </w:rPr>
        <w:t>诚信原则</w:t>
      </w:r>
    </w:p>
    <w:p w14:paraId="26FFFD6F">
      <w:pPr>
        <w:pStyle w:val="2"/>
        <w:spacing w:before="141" w:line="282" w:lineRule="auto"/>
        <w:ind w:left="340" w:right="92" w:firstLine="419"/>
        <w:jc w:val="both"/>
        <w:rPr>
          <w:sz w:val="20"/>
          <w:szCs w:val="20"/>
        </w:rPr>
      </w:pPr>
      <w:r>
        <w:rPr>
          <w:spacing w:val="3"/>
          <w:sz w:val="20"/>
          <w:szCs w:val="20"/>
        </w:rPr>
        <w:t>诚信就是忠诚老实，为人做事守信用，诚信是做人的基</w:t>
      </w:r>
      <w:r>
        <w:rPr>
          <w:spacing w:val="2"/>
          <w:sz w:val="20"/>
          <w:szCs w:val="20"/>
        </w:rPr>
        <w:t>本品德，也是考核任何一个单位信</w:t>
      </w:r>
      <w:r>
        <w:rPr>
          <w:sz w:val="20"/>
          <w:szCs w:val="20"/>
        </w:rPr>
        <w:t xml:space="preserve"> </w:t>
      </w:r>
      <w:r>
        <w:rPr>
          <w:spacing w:val="3"/>
          <w:sz w:val="20"/>
          <w:szCs w:val="20"/>
        </w:rPr>
        <w:t>誉的核心内容。诚信原则要求一切市场参加者在不损害他人利益和社会公益的前提下</w:t>
      </w:r>
      <w:r>
        <w:rPr>
          <w:spacing w:val="2"/>
          <w:sz w:val="20"/>
          <w:szCs w:val="20"/>
        </w:rPr>
        <w:t>追求自己</w:t>
      </w:r>
      <w:r>
        <w:rPr>
          <w:sz w:val="20"/>
          <w:szCs w:val="20"/>
        </w:rPr>
        <w:t xml:space="preserve"> </w:t>
      </w:r>
      <w:r>
        <w:rPr>
          <w:spacing w:val="3"/>
          <w:sz w:val="20"/>
          <w:szCs w:val="20"/>
        </w:rPr>
        <w:t>的利益，目的是在当事人之间的利益关系和当事人与社会之间的利益关系中实</w:t>
      </w:r>
      <w:r>
        <w:rPr>
          <w:spacing w:val="2"/>
          <w:sz w:val="20"/>
          <w:szCs w:val="20"/>
        </w:rPr>
        <w:t>现平衡，并维持</w:t>
      </w:r>
      <w:r>
        <w:rPr>
          <w:sz w:val="20"/>
          <w:szCs w:val="20"/>
        </w:rPr>
        <w:t xml:space="preserve"> </w:t>
      </w:r>
      <w:r>
        <w:rPr>
          <w:spacing w:val="3"/>
          <w:sz w:val="20"/>
          <w:szCs w:val="20"/>
        </w:rPr>
        <w:t>市场道德秩序。法律绝不允许靠损害他人利益和社会利益获得利益。诚信原则并没有固定</w:t>
      </w:r>
      <w:r>
        <w:rPr>
          <w:spacing w:val="2"/>
          <w:sz w:val="20"/>
          <w:szCs w:val="20"/>
        </w:rPr>
        <w:t>的意</w:t>
      </w:r>
      <w:r>
        <w:rPr>
          <w:sz w:val="20"/>
          <w:szCs w:val="20"/>
        </w:rPr>
        <w:t xml:space="preserve"> </w:t>
      </w:r>
      <w:r>
        <w:rPr>
          <w:spacing w:val="3"/>
          <w:sz w:val="20"/>
          <w:szCs w:val="20"/>
        </w:rPr>
        <w:t>义，但作为民法最重要的原则，其含义不能从语义的角度来理解，它属于一般条款，外延和内</w:t>
      </w:r>
      <w:r>
        <w:rPr>
          <w:spacing w:val="12"/>
          <w:sz w:val="20"/>
          <w:szCs w:val="20"/>
        </w:rPr>
        <w:t xml:space="preserve"> </w:t>
      </w:r>
      <w:r>
        <w:rPr>
          <w:spacing w:val="-6"/>
          <w:sz w:val="20"/>
          <w:szCs w:val="20"/>
        </w:rPr>
        <w:t>涵都不确定。</w:t>
      </w:r>
    </w:p>
    <w:p w14:paraId="01A19CA8">
      <w:pPr>
        <w:pStyle w:val="2"/>
        <w:spacing w:before="58" w:line="282" w:lineRule="auto"/>
        <w:ind w:left="340" w:right="111" w:firstLine="419"/>
        <w:rPr>
          <w:sz w:val="20"/>
          <w:szCs w:val="20"/>
        </w:rPr>
      </w:pPr>
      <w:r>
        <w:rPr>
          <w:spacing w:val="2"/>
          <w:sz w:val="20"/>
          <w:szCs w:val="20"/>
        </w:rPr>
        <w:t>诚信是市场经济活动中的道德准则。市场经济条件下，每一个有劳动能力的人，都应当通</w:t>
      </w:r>
      <w:r>
        <w:rPr>
          <w:spacing w:val="18"/>
          <w:sz w:val="20"/>
          <w:szCs w:val="20"/>
        </w:rPr>
        <w:t xml:space="preserve"> </w:t>
      </w:r>
      <w:r>
        <w:rPr>
          <w:spacing w:val="-3"/>
          <w:sz w:val="20"/>
          <w:szCs w:val="20"/>
        </w:rPr>
        <w:t>过市场交换获取利益和生活资料。</w:t>
      </w:r>
    </w:p>
    <w:p w14:paraId="0870F637">
      <w:pPr>
        <w:pStyle w:val="2"/>
        <w:spacing w:before="114" w:line="221" w:lineRule="auto"/>
        <w:ind w:left="762"/>
        <w:rPr>
          <w:rFonts w:ascii="黑体" w:hAnsi="黑体" w:eastAsia="黑体" w:cs="黑体"/>
          <w:sz w:val="20"/>
          <w:szCs w:val="20"/>
        </w:rPr>
      </w:pPr>
      <w:r>
        <w:rPr>
          <w:b/>
          <w:bCs/>
          <w:color w:val="008FE3"/>
          <w:spacing w:val="1"/>
          <w:sz w:val="20"/>
          <w:szCs w:val="20"/>
        </w:rPr>
        <w:t>4.</w:t>
      </w:r>
      <w:r>
        <w:rPr>
          <w:rFonts w:ascii="黑体" w:hAnsi="黑体" w:eastAsia="黑体" w:cs="黑体"/>
          <w:b/>
          <w:bCs/>
          <w:color w:val="008FE3"/>
          <w:spacing w:val="1"/>
          <w:sz w:val="20"/>
          <w:szCs w:val="20"/>
        </w:rPr>
        <w:t>科学原则</w:t>
      </w:r>
    </w:p>
    <w:p w14:paraId="1955CFF2">
      <w:pPr>
        <w:pStyle w:val="2"/>
        <w:spacing w:before="129" w:line="283" w:lineRule="auto"/>
        <w:ind w:left="340" w:right="59" w:firstLine="419"/>
        <w:jc w:val="both"/>
        <w:rPr>
          <w:sz w:val="20"/>
          <w:szCs w:val="20"/>
        </w:rPr>
      </w:pPr>
      <w:r>
        <w:rPr>
          <w:spacing w:val="10"/>
          <w:sz w:val="20"/>
          <w:szCs w:val="20"/>
        </w:rPr>
        <w:t>所谓科学原则，就是在监理实践中，要依据科学的方案(例如监理规划),运用科学的手</w:t>
      </w:r>
      <w:r>
        <w:rPr>
          <w:spacing w:val="7"/>
          <w:sz w:val="20"/>
          <w:szCs w:val="20"/>
        </w:rPr>
        <w:t xml:space="preserve"> </w:t>
      </w:r>
      <w:r>
        <w:rPr>
          <w:spacing w:val="19"/>
          <w:sz w:val="20"/>
          <w:szCs w:val="20"/>
        </w:rPr>
        <w:t>段(例如测试设备或测试工具软件),采取科学的办法(例如收集数</w:t>
      </w:r>
      <w:r>
        <w:rPr>
          <w:spacing w:val="18"/>
          <w:sz w:val="20"/>
          <w:szCs w:val="20"/>
        </w:rPr>
        <w:t>据),并在项目结束后，</w:t>
      </w:r>
      <w:r>
        <w:rPr>
          <w:sz w:val="20"/>
          <w:szCs w:val="20"/>
        </w:rPr>
        <w:t xml:space="preserve"> </w:t>
      </w:r>
      <w:r>
        <w:rPr>
          <w:spacing w:val="8"/>
          <w:sz w:val="20"/>
          <w:szCs w:val="20"/>
        </w:rPr>
        <w:t>进行科学的总结(例如信息归纳整理)。监理要用科学的思维、科学</w:t>
      </w:r>
      <w:r>
        <w:rPr>
          <w:spacing w:val="7"/>
          <w:sz w:val="20"/>
          <w:szCs w:val="20"/>
        </w:rPr>
        <w:t>的方法，对核心问题有预</w:t>
      </w:r>
      <w:r>
        <w:rPr>
          <w:sz w:val="20"/>
          <w:szCs w:val="20"/>
        </w:rPr>
        <w:t xml:space="preserve"> </w:t>
      </w:r>
      <w:r>
        <w:rPr>
          <w:spacing w:val="8"/>
          <w:sz w:val="20"/>
          <w:szCs w:val="20"/>
        </w:rPr>
        <w:t>先控制措施上的认识，凡事要有证据，处理业务一定要有可靠的依据和凭证，判断问题时尽</w:t>
      </w:r>
      <w:r>
        <w:rPr>
          <w:spacing w:val="1"/>
          <w:sz w:val="20"/>
          <w:szCs w:val="20"/>
        </w:rPr>
        <w:t xml:space="preserve"> </w:t>
      </w:r>
      <w:r>
        <w:rPr>
          <w:spacing w:val="9"/>
          <w:sz w:val="20"/>
          <w:szCs w:val="20"/>
        </w:rPr>
        <w:t>量用数据说服业主单位或承建单位，必要时，</w:t>
      </w:r>
      <w:r>
        <w:rPr>
          <w:spacing w:val="69"/>
          <w:sz w:val="20"/>
          <w:szCs w:val="20"/>
        </w:rPr>
        <w:t xml:space="preserve"> </w:t>
      </w:r>
      <w:r>
        <w:rPr>
          <w:spacing w:val="9"/>
          <w:sz w:val="20"/>
          <w:szCs w:val="20"/>
        </w:rPr>
        <w:t>一定以书面材料</w:t>
      </w:r>
      <w:r>
        <w:rPr>
          <w:spacing w:val="8"/>
          <w:sz w:val="20"/>
          <w:szCs w:val="20"/>
        </w:rPr>
        <w:t>(例如专题监理报告)说明立</w:t>
      </w:r>
      <w:r>
        <w:rPr>
          <w:sz w:val="20"/>
          <w:szCs w:val="20"/>
        </w:rPr>
        <w:t xml:space="preserve"> </w:t>
      </w:r>
      <w:r>
        <w:rPr>
          <w:spacing w:val="-6"/>
          <w:sz w:val="20"/>
          <w:szCs w:val="20"/>
        </w:rPr>
        <w:t>场和观点。</w:t>
      </w:r>
    </w:p>
    <w:p w14:paraId="6D91EE9B">
      <w:pPr>
        <w:spacing w:line="334" w:lineRule="auto"/>
        <w:rPr>
          <w:rFonts w:ascii="Arial"/>
          <w:sz w:val="21"/>
        </w:rPr>
      </w:pPr>
    </w:p>
    <w:p w14:paraId="143B5AF1">
      <w:pPr>
        <w:pStyle w:val="2"/>
        <w:spacing w:before="88" w:line="222" w:lineRule="auto"/>
        <w:ind w:left="343"/>
        <w:rPr>
          <w:rFonts w:ascii="黑体" w:hAnsi="黑体" w:eastAsia="黑体" w:cs="黑体"/>
          <w:sz w:val="27"/>
          <w:szCs w:val="27"/>
        </w:rPr>
      </w:pPr>
      <w:r>
        <w:rPr>
          <w:b/>
          <w:bCs/>
          <w:color w:val="007ED2"/>
          <w:spacing w:val="1"/>
          <w:sz w:val="27"/>
          <w:szCs w:val="27"/>
        </w:rPr>
        <w:t>15.3</w:t>
      </w:r>
      <w:r>
        <w:rPr>
          <w:color w:val="007ED2"/>
          <w:spacing w:val="20"/>
          <w:sz w:val="27"/>
          <w:szCs w:val="27"/>
        </w:rPr>
        <w:t xml:space="preserve">  </w:t>
      </w:r>
      <w:r>
        <w:rPr>
          <w:rFonts w:ascii="黑体" w:hAnsi="黑体" w:eastAsia="黑体" w:cs="黑体"/>
          <w:b/>
          <w:bCs/>
          <w:color w:val="007ED2"/>
          <w:spacing w:val="1"/>
          <w:sz w:val="27"/>
          <w:szCs w:val="27"/>
        </w:rPr>
        <w:t>监理组织协调工作</w:t>
      </w:r>
    </w:p>
    <w:p w14:paraId="6BF6E910">
      <w:pPr>
        <w:pStyle w:val="2"/>
        <w:spacing w:before="248" w:line="280" w:lineRule="auto"/>
        <w:ind w:left="340" w:right="112" w:firstLine="419"/>
        <w:rPr>
          <w:sz w:val="20"/>
          <w:szCs w:val="20"/>
        </w:rPr>
      </w:pPr>
      <w:r>
        <w:rPr>
          <w:spacing w:val="2"/>
          <w:sz w:val="20"/>
          <w:szCs w:val="20"/>
        </w:rPr>
        <w:t>监理组织协调工作的目标是使项目各方充分协作，有效地执行承建合同。组织协调的监理</w:t>
      </w:r>
      <w:r>
        <w:rPr>
          <w:spacing w:val="18"/>
          <w:sz w:val="20"/>
          <w:szCs w:val="20"/>
        </w:rPr>
        <w:t xml:space="preserve"> </w:t>
      </w:r>
      <w:r>
        <w:rPr>
          <w:spacing w:val="-2"/>
          <w:sz w:val="20"/>
          <w:szCs w:val="20"/>
        </w:rPr>
        <w:t>方法主要有监理会议、监理报告和沟通协调。</w:t>
      </w:r>
    </w:p>
    <w:p w14:paraId="7BF61D0C">
      <w:pPr>
        <w:pStyle w:val="2"/>
        <w:spacing w:before="14" w:line="281" w:lineRule="auto"/>
        <w:ind w:left="340" w:right="110" w:firstLine="419"/>
        <w:rPr>
          <w:sz w:val="20"/>
          <w:szCs w:val="20"/>
        </w:rPr>
      </w:pPr>
      <w:r>
        <w:rPr>
          <w:spacing w:val="3"/>
          <w:sz w:val="20"/>
          <w:szCs w:val="20"/>
        </w:rPr>
        <w:t>只有进行有效的组织协调，项目组内各子系</w:t>
      </w:r>
      <w:r>
        <w:rPr>
          <w:spacing w:val="2"/>
          <w:sz w:val="20"/>
          <w:szCs w:val="20"/>
        </w:rPr>
        <w:t>统、各专业、各项资源以及时间、空间等方面</w:t>
      </w:r>
      <w:r>
        <w:rPr>
          <w:sz w:val="20"/>
          <w:szCs w:val="20"/>
        </w:rPr>
        <w:t xml:space="preserve"> </w:t>
      </w:r>
      <w:r>
        <w:rPr>
          <w:spacing w:val="-3"/>
          <w:sz w:val="20"/>
          <w:szCs w:val="20"/>
        </w:rPr>
        <w:t>才能实现有机的配合，确保项目成为一体化运行的整体。</w:t>
      </w:r>
    </w:p>
    <w:p w14:paraId="2902E226">
      <w:pPr>
        <w:pStyle w:val="2"/>
        <w:spacing w:before="168" w:line="219" w:lineRule="auto"/>
        <w:ind w:left="342"/>
        <w:rPr>
          <w:sz w:val="27"/>
          <w:szCs w:val="27"/>
        </w:rPr>
      </w:pPr>
      <w:r>
        <w:rPr>
          <w:b/>
          <w:bCs/>
          <w:color w:val="0092E7"/>
          <w:spacing w:val="-32"/>
          <w:sz w:val="27"/>
          <w:szCs w:val="27"/>
        </w:rPr>
        <w:t>15.3.1</w:t>
      </w:r>
      <w:r>
        <w:rPr>
          <w:color w:val="0092E7"/>
          <w:spacing w:val="94"/>
          <w:sz w:val="27"/>
          <w:szCs w:val="27"/>
        </w:rPr>
        <w:t xml:space="preserve"> </w:t>
      </w:r>
      <w:r>
        <w:rPr>
          <w:b/>
          <w:bCs/>
          <w:color w:val="0092E7"/>
          <w:spacing w:val="-32"/>
          <w:sz w:val="27"/>
          <w:szCs w:val="27"/>
        </w:rPr>
        <w:t>监理会议</w:t>
      </w:r>
    </w:p>
    <w:p w14:paraId="652AF3A4">
      <w:pPr>
        <w:spacing w:before="248" w:line="221" w:lineRule="auto"/>
        <w:ind w:left="762"/>
        <w:rPr>
          <w:rFonts w:ascii="黑体" w:hAnsi="黑体" w:eastAsia="黑体" w:cs="黑体"/>
          <w:sz w:val="20"/>
          <w:szCs w:val="20"/>
        </w:rPr>
      </w:pPr>
      <w:r>
        <w:rPr>
          <w:rFonts w:ascii="黑体" w:hAnsi="黑体" w:eastAsia="黑体" w:cs="黑体"/>
          <w:b/>
          <w:bCs/>
          <w:color w:val="0084C7"/>
          <w:spacing w:val="-5"/>
          <w:sz w:val="20"/>
          <w:szCs w:val="20"/>
        </w:rPr>
        <w:t>1.一般组织原则</w:t>
      </w:r>
    </w:p>
    <w:p w14:paraId="08782110">
      <w:pPr>
        <w:pStyle w:val="2"/>
        <w:spacing w:before="133" w:line="278" w:lineRule="auto"/>
        <w:ind w:left="340" w:right="110" w:firstLine="419"/>
        <w:jc w:val="both"/>
        <w:rPr>
          <w:sz w:val="20"/>
          <w:szCs w:val="20"/>
        </w:rPr>
      </w:pPr>
      <w:r>
        <w:rPr>
          <w:spacing w:val="3"/>
          <w:sz w:val="20"/>
          <w:szCs w:val="20"/>
        </w:rPr>
        <w:t>会议是把项目有关各方的负责人或联系人团</w:t>
      </w:r>
      <w:r>
        <w:rPr>
          <w:spacing w:val="2"/>
          <w:sz w:val="20"/>
          <w:szCs w:val="20"/>
        </w:rPr>
        <w:t>结在一起的重要机制。会议不仅可以使项目建</w:t>
      </w:r>
      <w:r>
        <w:rPr>
          <w:sz w:val="20"/>
          <w:szCs w:val="20"/>
        </w:rPr>
        <w:t xml:space="preserve"> </w:t>
      </w:r>
      <w:r>
        <w:rPr>
          <w:spacing w:val="3"/>
          <w:sz w:val="20"/>
          <w:szCs w:val="20"/>
        </w:rPr>
        <w:t>设有关信息全方位地畅通与流转，而且提供了某种程度上的社会联系，它有助于提</w:t>
      </w:r>
      <w:r>
        <w:rPr>
          <w:spacing w:val="2"/>
          <w:sz w:val="20"/>
          <w:szCs w:val="20"/>
        </w:rPr>
        <w:t>醒出席会议</w:t>
      </w:r>
      <w:r>
        <w:rPr>
          <w:sz w:val="20"/>
          <w:szCs w:val="20"/>
        </w:rPr>
        <w:t xml:space="preserve"> </w:t>
      </w:r>
      <w:r>
        <w:rPr>
          <w:spacing w:val="-6"/>
          <w:sz w:val="20"/>
          <w:szCs w:val="20"/>
        </w:rPr>
        <w:t>的人认识到“每一个人都是项目团队的一员”。</w:t>
      </w:r>
    </w:p>
    <w:p w14:paraId="213F7D36">
      <w:pPr>
        <w:spacing w:before="97" w:line="226" w:lineRule="auto"/>
        <w:ind w:left="759"/>
        <w:rPr>
          <w:rFonts w:ascii="楷体" w:hAnsi="楷体" w:eastAsia="楷体" w:cs="楷体"/>
          <w:sz w:val="20"/>
          <w:szCs w:val="20"/>
        </w:rPr>
      </w:pPr>
      <w:r>
        <w:rPr>
          <w:rFonts w:ascii="楷体" w:hAnsi="楷体" w:eastAsia="楷体" w:cs="楷体"/>
          <w:spacing w:val="11"/>
          <w:sz w:val="20"/>
          <w:szCs w:val="20"/>
        </w:rPr>
        <w:t>1)会议成功的原则</w:t>
      </w:r>
    </w:p>
    <w:p w14:paraId="230329EC">
      <w:pPr>
        <w:pStyle w:val="2"/>
        <w:spacing w:before="64" w:line="281" w:lineRule="auto"/>
        <w:ind w:left="340" w:firstLine="419"/>
        <w:rPr>
          <w:sz w:val="20"/>
          <w:szCs w:val="20"/>
        </w:rPr>
      </w:pPr>
      <w:r>
        <w:rPr>
          <w:spacing w:val="3"/>
          <w:sz w:val="20"/>
          <w:szCs w:val="20"/>
        </w:rPr>
        <w:t>举行会议成功的关键原则是：确保每个人到</w:t>
      </w:r>
      <w:r>
        <w:rPr>
          <w:spacing w:val="2"/>
          <w:sz w:val="20"/>
          <w:szCs w:val="20"/>
        </w:rPr>
        <w:t>场、议程恰当和领导与会。为了保证每个人都</w:t>
      </w:r>
      <w:r>
        <w:rPr>
          <w:sz w:val="20"/>
          <w:szCs w:val="20"/>
        </w:rPr>
        <w:t xml:space="preserve">  </w:t>
      </w:r>
      <w:r>
        <w:rPr>
          <w:spacing w:val="3"/>
          <w:sz w:val="20"/>
          <w:szCs w:val="20"/>
        </w:rPr>
        <w:t>出席，要把会议作为每个人日程的固定项目。如果没有讨论的议题就取消会议</w:t>
      </w:r>
      <w:r>
        <w:rPr>
          <w:spacing w:val="2"/>
          <w:sz w:val="20"/>
          <w:szCs w:val="20"/>
        </w:rPr>
        <w:t>。开好会议要把</w:t>
      </w:r>
      <w:r>
        <w:rPr>
          <w:sz w:val="20"/>
          <w:szCs w:val="20"/>
        </w:rPr>
        <w:t xml:space="preserve">  </w:t>
      </w:r>
      <w:r>
        <w:rPr>
          <w:spacing w:val="3"/>
          <w:sz w:val="20"/>
          <w:szCs w:val="20"/>
        </w:rPr>
        <w:t>议程的项目保持在所需的最低数量，以确保每一个人都掌握最重要的事件、议题</w:t>
      </w:r>
      <w:r>
        <w:rPr>
          <w:spacing w:val="2"/>
          <w:sz w:val="20"/>
          <w:szCs w:val="20"/>
        </w:rPr>
        <w:t>和问题的最新</w:t>
      </w:r>
      <w:r>
        <w:rPr>
          <w:sz w:val="20"/>
          <w:szCs w:val="20"/>
        </w:rPr>
        <w:t xml:space="preserve">  </w:t>
      </w:r>
      <w:r>
        <w:rPr>
          <w:spacing w:val="1"/>
          <w:sz w:val="20"/>
          <w:szCs w:val="20"/>
        </w:rPr>
        <w:t>动向。会议的组织者要确保在符合会议议程、达到会议效果的前</w:t>
      </w:r>
      <w:r>
        <w:rPr>
          <w:sz w:val="20"/>
          <w:szCs w:val="20"/>
        </w:rPr>
        <w:t>提下，尽可能让会议简短精练。 没有必要的长会，其会议效果将适得其反。领导的与会作用是会议的结</w:t>
      </w:r>
      <w:r>
        <w:rPr>
          <w:spacing w:val="-1"/>
          <w:sz w:val="20"/>
          <w:szCs w:val="20"/>
        </w:rPr>
        <w:t>果得到落实的重要保证。</w:t>
      </w:r>
    </w:p>
    <w:p w14:paraId="70358BB5">
      <w:pPr>
        <w:spacing w:line="281" w:lineRule="auto"/>
        <w:rPr>
          <w:sz w:val="20"/>
          <w:szCs w:val="20"/>
        </w:rPr>
        <w:sectPr>
          <w:pgSz w:w="10300" w:h="13340"/>
          <w:pgMar w:top="400" w:right="1000" w:bottom="400" w:left="530" w:header="0" w:footer="0" w:gutter="0"/>
          <w:cols w:space="720" w:num="1"/>
        </w:sectPr>
      </w:pPr>
    </w:p>
    <w:p w14:paraId="78701DFF">
      <w:pPr>
        <w:spacing w:line="77" w:lineRule="auto"/>
        <w:rPr>
          <w:rFonts w:ascii="Arial"/>
          <w:sz w:val="2"/>
        </w:rPr>
      </w:pPr>
    </w:p>
    <w:p w14:paraId="586B3208">
      <w:pPr>
        <w:spacing w:line="77" w:lineRule="auto"/>
        <w:rPr>
          <w:rFonts w:ascii="Arial" w:hAnsi="Arial" w:eastAsia="Arial" w:cs="Arial"/>
          <w:sz w:val="2"/>
          <w:szCs w:val="2"/>
        </w:rPr>
        <w:sectPr>
          <w:pgSz w:w="10280" w:h="13300"/>
          <w:pgMar w:top="400" w:right="508" w:bottom="400" w:left="1139" w:header="0" w:footer="0" w:gutter="0"/>
          <w:cols w:equalWidth="0" w:num="1">
            <w:col w:w="8632"/>
          </w:cols>
        </w:sectPr>
      </w:pPr>
    </w:p>
    <w:p w14:paraId="3E99D66A">
      <w:pPr>
        <w:pStyle w:val="2"/>
        <w:spacing w:before="39" w:line="219" w:lineRule="auto"/>
        <w:ind w:left="6210"/>
        <w:rPr>
          <w:sz w:val="20"/>
          <w:szCs w:val="20"/>
        </w:rPr>
      </w:pPr>
      <w:bookmarkStart w:id="670" w:name="bookmark655"/>
      <w:bookmarkEnd w:id="670"/>
      <w:r>
        <w:rPr>
          <w:sz w:val="20"/>
          <w:szCs w:val="20"/>
        </w:rPr>
        <w:t>第15章</w:t>
      </w:r>
      <w:r>
        <w:rPr>
          <w:spacing w:val="25"/>
          <w:sz w:val="20"/>
          <w:szCs w:val="20"/>
        </w:rPr>
        <w:t xml:space="preserve"> </w:t>
      </w:r>
      <w:r>
        <w:rPr>
          <w:sz w:val="20"/>
          <w:szCs w:val="20"/>
        </w:rPr>
        <w:t>组织协调</w:t>
      </w:r>
    </w:p>
    <w:p w14:paraId="51395DC2">
      <w:pPr>
        <w:spacing w:line="14" w:lineRule="auto"/>
        <w:rPr>
          <w:rFonts w:ascii="Arial"/>
          <w:sz w:val="2"/>
        </w:rPr>
      </w:pPr>
      <w:r>
        <w:rPr>
          <w:rFonts w:ascii="Arial" w:hAnsi="Arial" w:eastAsia="Arial" w:cs="Arial"/>
          <w:sz w:val="2"/>
          <w:szCs w:val="2"/>
        </w:rPr>
        <w:br w:type="column"/>
      </w:r>
    </w:p>
    <w:p w14:paraId="1F7855F0">
      <w:pPr>
        <w:pStyle w:val="2"/>
        <w:spacing w:before="137" w:line="184" w:lineRule="auto"/>
        <w:jc w:val="right"/>
        <w:rPr>
          <w:rFonts w:ascii="Times New Roman" w:hAnsi="Times New Roman" w:eastAsia="Times New Roman" w:cs="Times New Roman"/>
          <w:sz w:val="20"/>
          <w:szCs w:val="20"/>
        </w:rPr>
      </w:pPr>
      <w:r>
        <w:rPr>
          <w:color w:val="0092F4"/>
          <w:spacing w:val="-10"/>
          <w:sz w:val="20"/>
          <w:szCs w:val="20"/>
        </w:rPr>
        <w:t>■</w:t>
      </w:r>
      <w:r>
        <w:rPr>
          <w:color w:val="0092F4"/>
          <w:spacing w:val="60"/>
          <w:sz w:val="20"/>
          <w:szCs w:val="20"/>
        </w:rPr>
        <w:t xml:space="preserve"> </w:t>
      </w:r>
      <w:r>
        <w:rPr>
          <w:rFonts w:ascii="Times New Roman" w:hAnsi="Times New Roman" w:eastAsia="Times New Roman" w:cs="Times New Roman"/>
          <w:spacing w:val="-10"/>
          <w:sz w:val="20"/>
          <w:szCs w:val="20"/>
        </w:rPr>
        <w:t>361</w:t>
      </w:r>
    </w:p>
    <w:p w14:paraId="14DD5DAC">
      <w:pPr>
        <w:spacing w:line="184" w:lineRule="auto"/>
        <w:rPr>
          <w:rFonts w:ascii="Times New Roman" w:hAnsi="Times New Roman" w:eastAsia="Times New Roman" w:cs="Times New Roman"/>
          <w:sz w:val="20"/>
          <w:szCs w:val="20"/>
        </w:rPr>
        <w:sectPr>
          <w:type w:val="continuous"/>
          <w:pgSz w:w="10280" w:h="13300"/>
          <w:pgMar w:top="400" w:right="508" w:bottom="400" w:left="1139" w:header="0" w:footer="0" w:gutter="0"/>
          <w:cols w:equalWidth="0" w:num="2">
            <w:col w:w="7812" w:space="100"/>
            <w:col w:w="720"/>
          </w:cols>
        </w:sectPr>
      </w:pPr>
    </w:p>
    <w:p w14:paraId="1E4C0A9C">
      <w:pPr>
        <w:spacing w:line="244" w:lineRule="auto"/>
        <w:rPr>
          <w:rFonts w:ascii="Arial"/>
          <w:sz w:val="21"/>
        </w:rPr>
      </w:pPr>
    </w:p>
    <w:p w14:paraId="6EDE61BA">
      <w:pPr>
        <w:spacing w:before="65" w:line="227" w:lineRule="auto"/>
        <w:ind w:left="380"/>
        <w:rPr>
          <w:rFonts w:ascii="楷体" w:hAnsi="楷体" w:eastAsia="楷体" w:cs="楷体"/>
          <w:sz w:val="20"/>
          <w:szCs w:val="20"/>
        </w:rPr>
      </w:pPr>
      <w:r>
        <w:rPr>
          <w:rFonts w:ascii="楷体" w:hAnsi="楷体" w:eastAsia="楷体" w:cs="楷体"/>
          <w:spacing w:val="8"/>
          <w:sz w:val="20"/>
          <w:szCs w:val="20"/>
        </w:rPr>
        <w:t>2)确保会议成功的措施</w:t>
      </w:r>
    </w:p>
    <w:p w14:paraId="238E8ED3">
      <w:pPr>
        <w:pStyle w:val="2"/>
        <w:spacing w:before="74" w:line="219" w:lineRule="auto"/>
        <w:ind w:left="380"/>
        <w:rPr>
          <w:sz w:val="20"/>
          <w:szCs w:val="20"/>
        </w:rPr>
      </w:pPr>
      <w:r>
        <w:rPr>
          <w:spacing w:val="-2"/>
          <w:sz w:val="20"/>
          <w:szCs w:val="20"/>
        </w:rPr>
        <w:t>召集或主持会议可以采取多种措施以确保会议有效，包括以下具体的措施：</w:t>
      </w:r>
    </w:p>
    <w:p w14:paraId="060E17A9">
      <w:pPr>
        <w:pStyle w:val="2"/>
        <w:spacing w:before="72" w:line="219" w:lineRule="auto"/>
        <w:ind w:left="380"/>
        <w:rPr>
          <w:sz w:val="20"/>
          <w:szCs w:val="20"/>
        </w:rPr>
      </w:pPr>
      <w:r>
        <w:rPr>
          <w:spacing w:val="1"/>
          <w:sz w:val="20"/>
          <w:szCs w:val="20"/>
        </w:rPr>
        <w:t>(1)会前的准备措施。具体包括：</w:t>
      </w:r>
    </w:p>
    <w:p w14:paraId="26E41AF9">
      <w:pPr>
        <w:pStyle w:val="2"/>
        <w:spacing w:before="72" w:line="261" w:lineRule="auto"/>
        <w:ind w:left="669" w:right="330" w:hanging="289"/>
        <w:rPr>
          <w:sz w:val="20"/>
          <w:szCs w:val="20"/>
        </w:rPr>
      </w:pPr>
      <w:r>
        <w:rPr>
          <w:spacing w:val="3"/>
          <w:sz w:val="20"/>
          <w:szCs w:val="20"/>
        </w:rPr>
        <w:t>●确定会议目的。该会议是为了交流信息、计划、收集情况或意见、制定决策、说服或宣</w:t>
      </w:r>
      <w:r>
        <w:rPr>
          <w:spacing w:val="2"/>
          <w:sz w:val="20"/>
          <w:szCs w:val="20"/>
        </w:rPr>
        <w:t xml:space="preserve"> </w:t>
      </w:r>
      <w:r>
        <w:rPr>
          <w:spacing w:val="-2"/>
          <w:sz w:val="20"/>
          <w:szCs w:val="20"/>
        </w:rPr>
        <w:t>扬、解决问题，还是为了评估项目进展情况。</w:t>
      </w:r>
    </w:p>
    <w:p w14:paraId="445AB51E">
      <w:pPr>
        <w:pStyle w:val="2"/>
        <w:spacing w:before="105" w:line="275" w:lineRule="auto"/>
        <w:ind w:left="669" w:right="324" w:hanging="289"/>
        <w:rPr>
          <w:sz w:val="17"/>
          <w:szCs w:val="17"/>
        </w:rPr>
      </w:pPr>
      <w:r>
        <w:rPr>
          <w:spacing w:val="14"/>
          <w:sz w:val="20"/>
          <w:szCs w:val="20"/>
        </w:rPr>
        <w:t>●确定谁需要参加会议，说明会议目的。参加会议的人数应是能达到会议目的的最少</w:t>
      </w:r>
      <w:r>
        <w:rPr>
          <w:spacing w:val="8"/>
          <w:sz w:val="20"/>
          <w:szCs w:val="20"/>
        </w:rPr>
        <w:t xml:space="preserve"> </w:t>
      </w:r>
      <w:r>
        <w:rPr>
          <w:spacing w:val="13"/>
          <w:sz w:val="17"/>
          <w:szCs w:val="17"/>
        </w:rPr>
        <w:t>人数</w:t>
      </w:r>
      <w:r>
        <w:rPr>
          <w:spacing w:val="-36"/>
          <w:sz w:val="17"/>
          <w:szCs w:val="17"/>
        </w:rPr>
        <w:t xml:space="preserve"> </w:t>
      </w:r>
      <w:r>
        <w:rPr>
          <w:spacing w:val="13"/>
          <w:sz w:val="17"/>
          <w:szCs w:val="17"/>
        </w:rPr>
        <w:t>。</w:t>
      </w:r>
    </w:p>
    <w:p w14:paraId="67189AE9">
      <w:pPr>
        <w:pStyle w:val="2"/>
        <w:spacing w:before="99" w:line="254" w:lineRule="auto"/>
        <w:ind w:left="669" w:right="333" w:hanging="289"/>
        <w:rPr>
          <w:sz w:val="20"/>
          <w:szCs w:val="20"/>
        </w:rPr>
      </w:pPr>
      <w:r>
        <w:rPr>
          <w:spacing w:val="6"/>
          <w:sz w:val="20"/>
          <w:szCs w:val="20"/>
        </w:rPr>
        <w:t>●事先将会议议程表分发给参加会议者。议程表包</w:t>
      </w:r>
      <w:r>
        <w:rPr>
          <w:spacing w:val="5"/>
          <w:sz w:val="20"/>
          <w:szCs w:val="20"/>
        </w:rPr>
        <w:t>括会议目的、包含的主题(应按重要性</w:t>
      </w:r>
      <w:r>
        <w:rPr>
          <w:sz w:val="20"/>
          <w:szCs w:val="20"/>
        </w:rPr>
        <w:t xml:space="preserve"> </w:t>
      </w:r>
      <w:r>
        <w:rPr>
          <w:spacing w:val="1"/>
          <w:sz w:val="20"/>
          <w:szCs w:val="20"/>
        </w:rPr>
        <w:t>大小列出)。</w:t>
      </w:r>
    </w:p>
    <w:p w14:paraId="3B305E8B">
      <w:pPr>
        <w:pStyle w:val="2"/>
        <w:spacing w:before="89" w:line="219" w:lineRule="auto"/>
        <w:ind w:left="380"/>
        <w:rPr>
          <w:sz w:val="20"/>
          <w:szCs w:val="20"/>
        </w:rPr>
      </w:pPr>
      <w:r>
        <w:rPr>
          <w:spacing w:val="3"/>
          <w:sz w:val="20"/>
          <w:szCs w:val="20"/>
        </w:rPr>
        <w:t>(2)会议过程把握的原则。具体如下：</w:t>
      </w:r>
    </w:p>
    <w:p w14:paraId="6E8DD95C">
      <w:pPr>
        <w:pStyle w:val="2"/>
        <w:spacing w:before="83" w:line="219" w:lineRule="auto"/>
        <w:ind w:left="380"/>
        <w:rPr>
          <w:sz w:val="20"/>
          <w:szCs w:val="20"/>
        </w:rPr>
      </w:pPr>
      <w:r>
        <w:rPr>
          <w:spacing w:val="6"/>
          <w:sz w:val="20"/>
          <w:szCs w:val="20"/>
        </w:rPr>
        <w:t>●准时开始会议。</w:t>
      </w:r>
    </w:p>
    <w:p w14:paraId="2AF54B41">
      <w:pPr>
        <w:pStyle w:val="2"/>
        <w:spacing w:before="94" w:line="219" w:lineRule="auto"/>
        <w:ind w:left="380"/>
        <w:rPr>
          <w:sz w:val="20"/>
          <w:szCs w:val="20"/>
        </w:rPr>
      </w:pPr>
      <w:r>
        <w:rPr>
          <w:spacing w:val="1"/>
          <w:sz w:val="20"/>
          <w:szCs w:val="20"/>
        </w:rPr>
        <w:t>●指定记录员详细记录，方便以后查阅。</w:t>
      </w:r>
    </w:p>
    <w:p w14:paraId="24E24DF1">
      <w:pPr>
        <w:pStyle w:val="2"/>
        <w:spacing w:before="82" w:line="219" w:lineRule="auto"/>
        <w:ind w:left="380"/>
        <w:rPr>
          <w:sz w:val="20"/>
          <w:szCs w:val="20"/>
        </w:rPr>
      </w:pPr>
      <w:r>
        <w:rPr>
          <w:spacing w:val="1"/>
          <w:sz w:val="20"/>
          <w:szCs w:val="20"/>
        </w:rPr>
        <w:t>●准确把控会议的目的，执行会议和议程。</w:t>
      </w:r>
    </w:p>
    <w:p w14:paraId="6271ED1F">
      <w:pPr>
        <w:pStyle w:val="2"/>
        <w:spacing w:before="92" w:line="219" w:lineRule="auto"/>
        <w:ind w:left="380"/>
        <w:rPr>
          <w:sz w:val="20"/>
          <w:szCs w:val="20"/>
        </w:rPr>
      </w:pPr>
      <w:r>
        <w:rPr>
          <w:spacing w:val="1"/>
          <w:sz w:val="20"/>
          <w:szCs w:val="20"/>
        </w:rPr>
        <w:t>●确保会议效率。应保证会议在计划时间内顺利进行。</w:t>
      </w:r>
    </w:p>
    <w:p w14:paraId="642D175F">
      <w:pPr>
        <w:pStyle w:val="2"/>
        <w:spacing w:before="93" w:line="253" w:lineRule="auto"/>
        <w:ind w:left="669" w:right="333" w:hanging="289"/>
        <w:rPr>
          <w:sz w:val="20"/>
          <w:szCs w:val="20"/>
        </w:rPr>
      </w:pPr>
      <w:r>
        <w:rPr>
          <w:spacing w:val="3"/>
          <w:sz w:val="20"/>
          <w:szCs w:val="20"/>
        </w:rPr>
        <w:t>●会议要达成预期结果或形成会议决议。会议结束时总结会议成果，并确保所有参加者对</w:t>
      </w:r>
      <w:r>
        <w:rPr>
          <w:sz w:val="20"/>
          <w:szCs w:val="20"/>
        </w:rPr>
        <w:t xml:space="preserve"> </w:t>
      </w:r>
      <w:r>
        <w:rPr>
          <w:spacing w:val="-2"/>
          <w:sz w:val="20"/>
          <w:szCs w:val="20"/>
        </w:rPr>
        <w:t>所有决策和行动项目有一个清楚的了解。</w:t>
      </w:r>
    </w:p>
    <w:p w14:paraId="39FCC8E4">
      <w:pPr>
        <w:pStyle w:val="2"/>
        <w:spacing w:before="82" w:line="271" w:lineRule="auto"/>
        <w:ind w:left="669" w:right="332" w:hanging="289"/>
        <w:rPr>
          <w:sz w:val="20"/>
          <w:szCs w:val="20"/>
        </w:rPr>
      </w:pPr>
      <w:r>
        <w:rPr>
          <w:spacing w:val="3"/>
          <w:sz w:val="20"/>
          <w:szCs w:val="20"/>
        </w:rPr>
        <w:t>●尽量不要超过会议原定的计划时间。与会者可能有其他约会或者其他系列会议。如果没</w:t>
      </w:r>
      <w:r>
        <w:rPr>
          <w:spacing w:val="1"/>
          <w:sz w:val="20"/>
          <w:szCs w:val="20"/>
        </w:rPr>
        <w:t xml:space="preserve"> </w:t>
      </w:r>
      <w:r>
        <w:rPr>
          <w:spacing w:val="-1"/>
          <w:sz w:val="20"/>
          <w:szCs w:val="20"/>
        </w:rPr>
        <w:t>有讲完所有议程，最好让涉及这些细目的人另</w:t>
      </w:r>
      <w:r>
        <w:rPr>
          <w:spacing w:val="-2"/>
          <w:sz w:val="20"/>
          <w:szCs w:val="20"/>
        </w:rPr>
        <w:t>开一个会议。</w:t>
      </w:r>
    </w:p>
    <w:p w14:paraId="6FFE0038">
      <w:pPr>
        <w:pStyle w:val="2"/>
        <w:spacing w:before="60" w:line="263" w:lineRule="auto"/>
        <w:ind w:left="669" w:right="331" w:hanging="289"/>
        <w:rPr>
          <w:sz w:val="20"/>
          <w:szCs w:val="20"/>
        </w:rPr>
      </w:pPr>
      <w:r>
        <w:rPr>
          <w:spacing w:val="6"/>
          <w:sz w:val="20"/>
          <w:szCs w:val="20"/>
        </w:rPr>
        <w:t>●评价会议进程。会议结束时，应评价会议进程，公开</w:t>
      </w:r>
      <w:r>
        <w:rPr>
          <w:spacing w:val="5"/>
          <w:sz w:val="20"/>
          <w:szCs w:val="20"/>
        </w:rPr>
        <w:t>讨论发生了什么,并决定是否做些</w:t>
      </w:r>
      <w:r>
        <w:rPr>
          <w:sz w:val="20"/>
          <w:szCs w:val="20"/>
        </w:rPr>
        <w:t xml:space="preserve"> </w:t>
      </w:r>
      <w:r>
        <w:rPr>
          <w:spacing w:val="-3"/>
          <w:sz w:val="20"/>
          <w:szCs w:val="20"/>
        </w:rPr>
        <w:t>调整，以提高以后会议的有效性。</w:t>
      </w:r>
    </w:p>
    <w:p w14:paraId="475481E9">
      <w:pPr>
        <w:pStyle w:val="2"/>
        <w:spacing w:before="93" w:line="219" w:lineRule="auto"/>
        <w:ind w:left="380"/>
        <w:rPr>
          <w:sz w:val="20"/>
          <w:szCs w:val="20"/>
        </w:rPr>
      </w:pPr>
      <w:r>
        <w:rPr>
          <w:spacing w:val="3"/>
          <w:sz w:val="20"/>
          <w:szCs w:val="20"/>
        </w:rPr>
        <w:t>(3)会议结果的落实原则。具体如下：公众号：项目管理课堂</w:t>
      </w:r>
    </w:p>
    <w:p w14:paraId="7A1B54E9">
      <w:pPr>
        <w:pStyle w:val="2"/>
        <w:spacing w:before="63" w:line="219" w:lineRule="auto"/>
        <w:ind w:left="380"/>
        <w:rPr>
          <w:sz w:val="20"/>
          <w:szCs w:val="20"/>
        </w:rPr>
      </w:pPr>
      <w:r>
        <w:rPr>
          <w:spacing w:val="5"/>
          <w:sz w:val="20"/>
          <w:szCs w:val="20"/>
        </w:rPr>
        <w:t>●在会后24小时之内形成会议纪要，适时公布会议成果。</w:t>
      </w:r>
    </w:p>
    <w:p w14:paraId="68A28664">
      <w:pPr>
        <w:pStyle w:val="2"/>
        <w:spacing w:before="73" w:line="262" w:lineRule="auto"/>
        <w:ind w:left="669" w:right="333" w:hanging="289"/>
        <w:rPr>
          <w:sz w:val="20"/>
          <w:szCs w:val="20"/>
        </w:rPr>
      </w:pPr>
      <w:r>
        <w:rPr>
          <w:spacing w:val="3"/>
          <w:sz w:val="20"/>
          <w:szCs w:val="20"/>
        </w:rPr>
        <w:t>●会议决议或总结文件应该简洁，应明确所做出的决定性意见，并列出行动细目，包括谁</w:t>
      </w:r>
      <w:r>
        <w:rPr>
          <w:sz w:val="20"/>
          <w:szCs w:val="20"/>
        </w:rPr>
        <w:t xml:space="preserve"> </w:t>
      </w:r>
      <w:r>
        <w:rPr>
          <w:spacing w:val="-3"/>
          <w:sz w:val="20"/>
          <w:szCs w:val="20"/>
        </w:rPr>
        <w:t>负责、预计完工时间和预期的交付物等。</w:t>
      </w:r>
    </w:p>
    <w:p w14:paraId="1DFA9314">
      <w:pPr>
        <w:pStyle w:val="2"/>
        <w:spacing w:before="169" w:line="222" w:lineRule="auto"/>
        <w:ind w:left="382"/>
        <w:rPr>
          <w:rFonts w:ascii="黑体" w:hAnsi="黑体" w:eastAsia="黑体" w:cs="黑体"/>
          <w:sz w:val="20"/>
          <w:szCs w:val="20"/>
        </w:rPr>
      </w:pPr>
      <w:r>
        <w:rPr>
          <w:b/>
          <w:bCs/>
          <w:color w:val="006EDD"/>
          <w:sz w:val="20"/>
          <w:szCs w:val="20"/>
        </w:rPr>
        <w:t>2.</w:t>
      </w:r>
      <w:r>
        <w:rPr>
          <w:rFonts w:ascii="黑体" w:hAnsi="黑体" w:eastAsia="黑体" w:cs="黑体"/>
          <w:b/>
          <w:bCs/>
          <w:color w:val="006EDD"/>
          <w:sz w:val="20"/>
          <w:szCs w:val="20"/>
        </w:rPr>
        <w:t>项目监理例会</w:t>
      </w:r>
    </w:p>
    <w:p w14:paraId="7FC26D7C">
      <w:pPr>
        <w:pStyle w:val="2"/>
        <w:spacing w:before="122" w:line="282" w:lineRule="auto"/>
        <w:ind w:right="332" w:firstLine="380"/>
        <w:rPr>
          <w:sz w:val="20"/>
          <w:szCs w:val="20"/>
        </w:rPr>
      </w:pPr>
      <w:r>
        <w:rPr>
          <w:spacing w:val="3"/>
          <w:sz w:val="20"/>
          <w:szCs w:val="20"/>
        </w:rPr>
        <w:t>项目监理例会是履约各方沟通情况、交流信息、协调处理、研究解决合同履行中存在的各</w:t>
      </w:r>
      <w:r>
        <w:rPr>
          <w:spacing w:val="1"/>
          <w:sz w:val="20"/>
          <w:szCs w:val="20"/>
        </w:rPr>
        <w:t xml:space="preserve"> </w:t>
      </w:r>
      <w:r>
        <w:rPr>
          <w:spacing w:val="-2"/>
          <w:sz w:val="20"/>
          <w:szCs w:val="20"/>
        </w:rPr>
        <w:t>方面问题，由工程监理单位总监理工程师组织与主持的例行工作会议。</w:t>
      </w:r>
    </w:p>
    <w:p w14:paraId="2166D652">
      <w:pPr>
        <w:pStyle w:val="2"/>
        <w:spacing w:before="19" w:line="268" w:lineRule="auto"/>
        <w:ind w:right="261" w:firstLine="380"/>
        <w:rPr>
          <w:sz w:val="20"/>
          <w:szCs w:val="20"/>
        </w:rPr>
      </w:pPr>
      <w:r>
        <w:rPr>
          <w:spacing w:val="3"/>
          <w:sz w:val="20"/>
          <w:szCs w:val="20"/>
        </w:rPr>
        <w:t>项目监理例会的参加单位及人员通常包括：总监理工程师、总监理工程师代表、相关</w:t>
      </w:r>
      <w:r>
        <w:rPr>
          <w:spacing w:val="2"/>
          <w:sz w:val="20"/>
          <w:szCs w:val="20"/>
        </w:rPr>
        <w:t>监理</w:t>
      </w:r>
      <w:r>
        <w:rPr>
          <w:sz w:val="20"/>
          <w:szCs w:val="20"/>
        </w:rPr>
        <w:t xml:space="preserve"> </w:t>
      </w:r>
      <w:r>
        <w:rPr>
          <w:spacing w:val="4"/>
          <w:sz w:val="20"/>
          <w:szCs w:val="20"/>
        </w:rPr>
        <w:t>工程师；承建单位项目经理、技术负责人及有关专业技术人员；业主单位驻现场代表人员等。</w:t>
      </w:r>
      <w:r>
        <w:rPr>
          <w:spacing w:val="5"/>
          <w:sz w:val="20"/>
          <w:szCs w:val="20"/>
        </w:rPr>
        <w:t xml:space="preserve"> </w:t>
      </w:r>
      <w:r>
        <w:rPr>
          <w:spacing w:val="-1"/>
          <w:sz w:val="20"/>
          <w:szCs w:val="20"/>
        </w:rPr>
        <w:t>根据会议议题的需要，还可邀请设计单位、分包单位及其他有关单位的人员参加。</w:t>
      </w:r>
    </w:p>
    <w:p w14:paraId="7783A1D2">
      <w:pPr>
        <w:pStyle w:val="2"/>
        <w:spacing w:before="131" w:line="247" w:lineRule="auto"/>
        <w:ind w:left="380" w:right="5508"/>
        <w:rPr>
          <w:sz w:val="20"/>
          <w:szCs w:val="20"/>
        </w:rPr>
      </w:pPr>
      <w:r>
        <w:rPr>
          <w:rFonts w:ascii="楷体" w:hAnsi="楷体" w:eastAsia="楷体" w:cs="楷体"/>
          <w:spacing w:val="5"/>
          <w:sz w:val="20"/>
          <w:szCs w:val="20"/>
        </w:rPr>
        <w:t>1)项目监理例会的主要议题</w:t>
      </w:r>
      <w:r>
        <w:rPr>
          <w:rFonts w:ascii="楷体" w:hAnsi="楷体" w:eastAsia="楷体" w:cs="楷体"/>
          <w:spacing w:val="3"/>
          <w:sz w:val="20"/>
          <w:szCs w:val="20"/>
        </w:rPr>
        <w:t xml:space="preserve">   </w:t>
      </w:r>
      <w:r>
        <w:rPr>
          <w:spacing w:val="-5"/>
          <w:sz w:val="20"/>
          <w:szCs w:val="20"/>
        </w:rPr>
        <w:t>项目监理例会的主要议题包括：</w:t>
      </w:r>
    </w:p>
    <w:p w14:paraId="0CC36D11">
      <w:pPr>
        <w:pStyle w:val="2"/>
        <w:spacing w:before="64" w:line="258" w:lineRule="auto"/>
        <w:ind w:right="332" w:firstLine="380"/>
        <w:rPr>
          <w:sz w:val="20"/>
          <w:szCs w:val="20"/>
        </w:rPr>
      </w:pPr>
      <w:r>
        <w:rPr>
          <w:spacing w:val="5"/>
          <w:sz w:val="20"/>
          <w:szCs w:val="20"/>
        </w:rPr>
        <w:t>(1)检查和通报项目进度计划完成情况，确定下一阶段进度目标，研究承建单位人力、设</w:t>
      </w:r>
      <w:r>
        <w:rPr>
          <w:spacing w:val="18"/>
          <w:sz w:val="20"/>
          <w:szCs w:val="20"/>
        </w:rPr>
        <w:t xml:space="preserve"> </w:t>
      </w:r>
      <w:r>
        <w:rPr>
          <w:spacing w:val="-6"/>
          <w:sz w:val="20"/>
          <w:szCs w:val="20"/>
        </w:rPr>
        <w:t>备投入情况和实现目标的措施；</w:t>
      </w:r>
    </w:p>
    <w:p w14:paraId="1030819C">
      <w:pPr>
        <w:pStyle w:val="2"/>
        <w:spacing w:before="51" w:line="259" w:lineRule="auto"/>
        <w:ind w:right="334" w:firstLine="380"/>
        <w:rPr>
          <w:sz w:val="17"/>
          <w:szCs w:val="17"/>
        </w:rPr>
      </w:pPr>
      <w:r>
        <w:rPr>
          <w:spacing w:val="5"/>
          <w:sz w:val="20"/>
          <w:szCs w:val="20"/>
        </w:rPr>
        <w:t>(2)通报项目实施质量的检查情况和技术规范实施情况等，针对存在的质量问题提出改进</w:t>
      </w:r>
      <w:r>
        <w:rPr>
          <w:spacing w:val="16"/>
          <w:sz w:val="20"/>
          <w:szCs w:val="20"/>
        </w:rPr>
        <w:t xml:space="preserve"> </w:t>
      </w:r>
      <w:r>
        <w:rPr>
          <w:spacing w:val="19"/>
          <w:sz w:val="17"/>
          <w:szCs w:val="17"/>
        </w:rPr>
        <w:t>措施要求；</w:t>
      </w:r>
    </w:p>
    <w:p w14:paraId="7887F219">
      <w:pPr>
        <w:spacing w:line="259" w:lineRule="auto"/>
        <w:rPr>
          <w:sz w:val="17"/>
          <w:szCs w:val="17"/>
        </w:rPr>
        <w:sectPr>
          <w:type w:val="continuous"/>
          <w:pgSz w:w="10280" w:h="13300"/>
          <w:pgMar w:top="400" w:right="508" w:bottom="400" w:left="1139" w:header="0" w:footer="0" w:gutter="0"/>
          <w:cols w:equalWidth="0" w:num="1">
            <w:col w:w="8632"/>
          </w:cols>
        </w:sectPr>
      </w:pPr>
    </w:p>
    <w:p w14:paraId="4706D491">
      <w:pPr>
        <w:pStyle w:val="2"/>
        <w:spacing w:before="48" w:line="219" w:lineRule="auto"/>
        <w:rPr>
          <w:sz w:val="20"/>
          <w:szCs w:val="20"/>
        </w:rPr>
      </w:pPr>
      <w:r>
        <w:rPr>
          <w:rFonts w:ascii="Times New Roman" w:hAnsi="Times New Roman" w:eastAsia="Times New Roman" w:cs="Times New Roman"/>
          <w:spacing w:val="-4"/>
          <w:sz w:val="20"/>
          <w:szCs w:val="20"/>
        </w:rPr>
        <w:t>362</w:t>
      </w:r>
      <w:r>
        <w:rPr>
          <w:rFonts w:ascii="Times New Roman" w:hAnsi="Times New Roman" w:eastAsia="Times New Roman" w:cs="Times New Roman"/>
          <w:spacing w:val="3"/>
          <w:sz w:val="20"/>
          <w:szCs w:val="20"/>
        </w:rPr>
        <w:t xml:space="preserve">             </w:t>
      </w:r>
      <w:r>
        <w:rPr>
          <w:spacing w:val="-4"/>
          <w:sz w:val="20"/>
          <w:szCs w:val="20"/>
        </w:rPr>
        <w:t>信息系统监理师教程(第2版)</w:t>
      </w:r>
    </w:p>
    <w:p w14:paraId="5702D927">
      <w:pPr>
        <w:spacing w:line="344" w:lineRule="auto"/>
        <w:rPr>
          <w:rFonts w:ascii="Arial"/>
          <w:sz w:val="21"/>
        </w:rPr>
      </w:pPr>
    </w:p>
    <w:p w14:paraId="4841F5FF">
      <w:pPr>
        <w:pStyle w:val="2"/>
        <w:spacing w:before="65" w:line="219" w:lineRule="auto"/>
        <w:ind w:left="729"/>
        <w:rPr>
          <w:sz w:val="20"/>
          <w:szCs w:val="20"/>
        </w:rPr>
      </w:pPr>
      <w:r>
        <w:rPr>
          <w:spacing w:val="1"/>
          <w:sz w:val="20"/>
          <w:szCs w:val="20"/>
        </w:rPr>
        <w:t>(3)检查上次会议议定事项的落实情况，检查未完成事项并分析原因；</w:t>
      </w:r>
    </w:p>
    <w:p w14:paraId="27F0BF35">
      <w:pPr>
        <w:pStyle w:val="2"/>
        <w:spacing w:before="64" w:line="219" w:lineRule="auto"/>
        <w:ind w:left="729"/>
        <w:rPr>
          <w:sz w:val="20"/>
          <w:szCs w:val="20"/>
        </w:rPr>
      </w:pPr>
      <w:r>
        <w:rPr>
          <w:spacing w:val="2"/>
          <w:sz w:val="20"/>
          <w:szCs w:val="20"/>
        </w:rPr>
        <w:t>(4)分包单位的管理和协调问题；</w:t>
      </w:r>
    </w:p>
    <w:p w14:paraId="74EB9B3F">
      <w:pPr>
        <w:pStyle w:val="2"/>
        <w:spacing w:before="102" w:line="219" w:lineRule="auto"/>
        <w:ind w:left="729"/>
        <w:rPr>
          <w:sz w:val="20"/>
          <w:szCs w:val="20"/>
        </w:rPr>
      </w:pPr>
      <w:r>
        <w:rPr>
          <w:spacing w:val="1"/>
          <w:sz w:val="20"/>
          <w:szCs w:val="20"/>
        </w:rPr>
        <w:t>(5)项目款支付的核定及财务支付中的有关问题；</w:t>
      </w:r>
    </w:p>
    <w:p w14:paraId="2D43DB33">
      <w:pPr>
        <w:pStyle w:val="2"/>
        <w:spacing w:before="62" w:line="219" w:lineRule="auto"/>
        <w:ind w:left="729"/>
        <w:rPr>
          <w:sz w:val="20"/>
          <w:szCs w:val="20"/>
        </w:rPr>
      </w:pPr>
      <w:r>
        <w:rPr>
          <w:spacing w:val="1"/>
          <w:sz w:val="20"/>
          <w:szCs w:val="20"/>
        </w:rPr>
        <w:t>(6)接收和审查承建单位提交的相关项目文档；</w:t>
      </w:r>
    </w:p>
    <w:p w14:paraId="5AAA4B16">
      <w:pPr>
        <w:pStyle w:val="2"/>
        <w:spacing w:before="83" w:line="219" w:lineRule="auto"/>
        <w:ind w:left="729"/>
        <w:rPr>
          <w:sz w:val="20"/>
          <w:szCs w:val="20"/>
        </w:rPr>
      </w:pPr>
      <w:r>
        <w:rPr>
          <w:spacing w:val="3"/>
          <w:sz w:val="20"/>
          <w:szCs w:val="20"/>
        </w:rPr>
        <w:t>(7)监理提交相关监理文档；</w:t>
      </w:r>
    </w:p>
    <w:p w14:paraId="6E5C63E8">
      <w:pPr>
        <w:pStyle w:val="2"/>
        <w:spacing w:before="82" w:line="219" w:lineRule="auto"/>
        <w:ind w:left="729"/>
        <w:rPr>
          <w:sz w:val="20"/>
          <w:szCs w:val="20"/>
        </w:rPr>
      </w:pPr>
      <w:r>
        <w:rPr>
          <w:spacing w:val="3"/>
          <w:sz w:val="20"/>
          <w:szCs w:val="20"/>
        </w:rPr>
        <w:t>(8)解决项目变更的相关事宜；</w:t>
      </w:r>
    </w:p>
    <w:p w14:paraId="2D44E7EC">
      <w:pPr>
        <w:pStyle w:val="2"/>
        <w:spacing w:before="83" w:line="219" w:lineRule="auto"/>
        <w:ind w:left="729"/>
        <w:rPr>
          <w:sz w:val="20"/>
          <w:szCs w:val="20"/>
        </w:rPr>
      </w:pPr>
      <w:r>
        <w:rPr>
          <w:spacing w:val="1"/>
          <w:sz w:val="20"/>
          <w:szCs w:val="20"/>
        </w:rPr>
        <w:t>(9)违约、工期、费用索赔的意向及处理情况；</w:t>
      </w:r>
    </w:p>
    <w:p w14:paraId="221DC1B5">
      <w:pPr>
        <w:pStyle w:val="2"/>
        <w:spacing w:before="83" w:line="219" w:lineRule="auto"/>
        <w:ind w:left="729"/>
        <w:rPr>
          <w:sz w:val="20"/>
          <w:szCs w:val="20"/>
        </w:rPr>
      </w:pPr>
      <w:r>
        <w:rPr>
          <w:spacing w:val="3"/>
          <w:sz w:val="20"/>
          <w:szCs w:val="20"/>
        </w:rPr>
        <w:t>(10)解决需要协调的其他有关事项。</w:t>
      </w:r>
    </w:p>
    <w:p w14:paraId="44EB23AE">
      <w:pPr>
        <w:spacing w:before="158" w:line="227" w:lineRule="auto"/>
        <w:ind w:left="732"/>
        <w:rPr>
          <w:rFonts w:ascii="楷体" w:hAnsi="楷体" w:eastAsia="楷体" w:cs="楷体"/>
          <w:sz w:val="20"/>
          <w:szCs w:val="20"/>
        </w:rPr>
      </w:pPr>
      <w:r>
        <w:rPr>
          <w:rFonts w:ascii="楷体" w:hAnsi="楷体" w:eastAsia="楷体" w:cs="楷体"/>
          <w:b/>
          <w:bCs/>
          <w:spacing w:val="14"/>
          <w:sz w:val="20"/>
          <w:szCs w:val="20"/>
        </w:rPr>
        <w:t>2)会议准备</w:t>
      </w:r>
    </w:p>
    <w:p w14:paraId="73E72333">
      <w:pPr>
        <w:pStyle w:val="2"/>
        <w:spacing w:before="67" w:line="219" w:lineRule="auto"/>
        <w:ind w:left="729"/>
        <w:rPr>
          <w:sz w:val="20"/>
          <w:szCs w:val="20"/>
        </w:rPr>
      </w:pPr>
      <w:r>
        <w:rPr>
          <w:spacing w:val="-2"/>
          <w:sz w:val="20"/>
          <w:szCs w:val="20"/>
        </w:rPr>
        <w:t>项目监理单位应及时收集汇总有关情况，为召开会议做好准备。具体包括：</w:t>
      </w:r>
    </w:p>
    <w:p w14:paraId="41E1AF38">
      <w:pPr>
        <w:pStyle w:val="2"/>
        <w:spacing w:before="83" w:line="219" w:lineRule="auto"/>
        <w:ind w:left="729"/>
        <w:rPr>
          <w:sz w:val="20"/>
          <w:szCs w:val="20"/>
        </w:rPr>
      </w:pPr>
      <w:r>
        <w:rPr>
          <w:spacing w:val="1"/>
          <w:sz w:val="20"/>
          <w:szCs w:val="20"/>
        </w:rPr>
        <w:t>(1)了解上次会议的落实情况和存在的问题；</w:t>
      </w:r>
    </w:p>
    <w:p w14:paraId="7FD78B89">
      <w:pPr>
        <w:pStyle w:val="2"/>
        <w:spacing w:before="83" w:line="219" w:lineRule="auto"/>
        <w:ind w:left="729"/>
        <w:rPr>
          <w:sz w:val="20"/>
          <w:szCs w:val="20"/>
        </w:rPr>
      </w:pPr>
      <w:r>
        <w:rPr>
          <w:spacing w:val="1"/>
          <w:sz w:val="20"/>
          <w:szCs w:val="20"/>
        </w:rPr>
        <w:t>(2)准备会议资料、确定有关事项的处理原则；</w:t>
      </w:r>
    </w:p>
    <w:p w14:paraId="01C47DDC">
      <w:pPr>
        <w:pStyle w:val="2"/>
        <w:spacing w:before="72" w:line="219" w:lineRule="auto"/>
        <w:ind w:left="729"/>
        <w:rPr>
          <w:sz w:val="20"/>
          <w:szCs w:val="20"/>
        </w:rPr>
      </w:pPr>
      <w:r>
        <w:rPr>
          <w:spacing w:val="2"/>
          <w:sz w:val="20"/>
          <w:szCs w:val="20"/>
        </w:rPr>
        <w:t>(3)与有关方面通报情况、交换意见，督促相</w:t>
      </w:r>
      <w:r>
        <w:rPr>
          <w:spacing w:val="1"/>
          <w:sz w:val="20"/>
          <w:szCs w:val="20"/>
        </w:rPr>
        <w:t>关方做好准备。</w:t>
      </w:r>
    </w:p>
    <w:p w14:paraId="3A9EB04F">
      <w:pPr>
        <w:spacing w:before="163" w:line="227" w:lineRule="auto"/>
        <w:ind w:left="729"/>
        <w:rPr>
          <w:rFonts w:ascii="楷体" w:hAnsi="楷体" w:eastAsia="楷体" w:cs="楷体"/>
          <w:sz w:val="20"/>
          <w:szCs w:val="20"/>
        </w:rPr>
      </w:pPr>
      <w:r>
        <w:rPr>
          <w:rFonts w:ascii="楷体" w:hAnsi="楷体" w:eastAsia="楷体" w:cs="楷体"/>
          <w:spacing w:val="6"/>
          <w:sz w:val="20"/>
          <w:szCs w:val="20"/>
        </w:rPr>
        <w:t>3)会议纪要的记录、签认和分发</w:t>
      </w:r>
    </w:p>
    <w:p w14:paraId="6C967FA3">
      <w:pPr>
        <w:pStyle w:val="2"/>
        <w:spacing w:before="54" w:line="282" w:lineRule="auto"/>
        <w:ind w:left="339" w:right="61" w:firstLine="389"/>
        <w:rPr>
          <w:sz w:val="20"/>
          <w:szCs w:val="20"/>
        </w:rPr>
      </w:pPr>
      <w:r>
        <w:rPr>
          <w:spacing w:val="3"/>
          <w:sz w:val="20"/>
          <w:szCs w:val="20"/>
        </w:rPr>
        <w:t>项目监理例会的内容通常由指定的监理人员记录，除笔记以外，会根据</w:t>
      </w:r>
      <w:r>
        <w:rPr>
          <w:spacing w:val="2"/>
          <w:sz w:val="20"/>
          <w:szCs w:val="20"/>
        </w:rPr>
        <w:t>实际情况使用数码</w:t>
      </w:r>
      <w:r>
        <w:rPr>
          <w:sz w:val="20"/>
          <w:szCs w:val="20"/>
        </w:rPr>
        <w:t xml:space="preserve"> </w:t>
      </w:r>
      <w:r>
        <w:rPr>
          <w:spacing w:val="-2"/>
          <w:sz w:val="20"/>
          <w:szCs w:val="20"/>
        </w:rPr>
        <w:t>相机、摄像设备、录音笔和笔记本电脑等设备进行辅助记录和演示。</w:t>
      </w:r>
    </w:p>
    <w:p w14:paraId="4B12F990">
      <w:pPr>
        <w:pStyle w:val="2"/>
        <w:spacing w:before="29" w:line="219" w:lineRule="auto"/>
        <w:ind w:left="729"/>
        <w:rPr>
          <w:sz w:val="20"/>
          <w:szCs w:val="20"/>
        </w:rPr>
      </w:pPr>
      <w:r>
        <w:rPr>
          <w:spacing w:val="-2"/>
          <w:sz w:val="20"/>
          <w:szCs w:val="20"/>
        </w:rPr>
        <w:t>会议纪要由监理工程师根据会议记录整理，主要内容包括：</w:t>
      </w:r>
    </w:p>
    <w:p w14:paraId="38881B12">
      <w:pPr>
        <w:pStyle w:val="2"/>
        <w:spacing w:before="73" w:line="219" w:lineRule="auto"/>
        <w:ind w:left="729"/>
        <w:rPr>
          <w:sz w:val="20"/>
          <w:szCs w:val="20"/>
        </w:rPr>
      </w:pPr>
      <w:r>
        <w:rPr>
          <w:spacing w:val="5"/>
          <w:sz w:val="20"/>
          <w:szCs w:val="20"/>
        </w:rPr>
        <w:t>(1)会议地点和时间；</w:t>
      </w:r>
    </w:p>
    <w:p w14:paraId="64325DE5">
      <w:pPr>
        <w:pStyle w:val="2"/>
        <w:spacing w:before="83" w:line="219" w:lineRule="auto"/>
        <w:ind w:left="729"/>
        <w:rPr>
          <w:sz w:val="20"/>
          <w:szCs w:val="20"/>
        </w:rPr>
      </w:pPr>
      <w:r>
        <w:rPr>
          <w:spacing w:val="5"/>
          <w:sz w:val="20"/>
          <w:szCs w:val="20"/>
        </w:rPr>
        <w:t>(2)会议主持人；</w:t>
      </w:r>
    </w:p>
    <w:p w14:paraId="28773CC9">
      <w:pPr>
        <w:pStyle w:val="2"/>
        <w:spacing w:before="84" w:line="219" w:lineRule="auto"/>
        <w:ind w:left="729"/>
        <w:rPr>
          <w:sz w:val="20"/>
          <w:szCs w:val="20"/>
        </w:rPr>
      </w:pPr>
      <w:r>
        <w:rPr>
          <w:spacing w:val="2"/>
          <w:sz w:val="20"/>
          <w:szCs w:val="20"/>
        </w:rPr>
        <w:t>(3)出席者姓名、隶属单位、职务；</w:t>
      </w:r>
    </w:p>
    <w:p w14:paraId="793540B6">
      <w:pPr>
        <w:pStyle w:val="2"/>
        <w:spacing w:before="71" w:line="219" w:lineRule="auto"/>
        <w:ind w:left="729"/>
        <w:rPr>
          <w:sz w:val="20"/>
          <w:szCs w:val="20"/>
        </w:rPr>
      </w:pPr>
      <w:r>
        <w:rPr>
          <w:spacing w:val="6"/>
          <w:sz w:val="20"/>
          <w:szCs w:val="20"/>
        </w:rPr>
        <w:t>(4)会议内容和决议事项(包括负责落实单位</w:t>
      </w:r>
      <w:r>
        <w:rPr>
          <w:spacing w:val="5"/>
          <w:sz w:val="20"/>
          <w:szCs w:val="20"/>
        </w:rPr>
        <w:t>、负责人和时限要求);</w:t>
      </w:r>
    </w:p>
    <w:p w14:paraId="45651CE1">
      <w:pPr>
        <w:pStyle w:val="2"/>
        <w:spacing w:before="75" w:line="220" w:lineRule="auto"/>
        <w:ind w:left="729"/>
        <w:rPr>
          <w:sz w:val="20"/>
          <w:szCs w:val="20"/>
        </w:rPr>
      </w:pPr>
      <w:r>
        <w:rPr>
          <w:spacing w:val="8"/>
          <w:sz w:val="20"/>
          <w:szCs w:val="20"/>
        </w:rPr>
        <w:t>(5)其他事项。</w:t>
      </w:r>
    </w:p>
    <w:p w14:paraId="08C0F303">
      <w:pPr>
        <w:pStyle w:val="2"/>
        <w:spacing w:before="70" w:line="282" w:lineRule="auto"/>
        <w:ind w:left="339" w:right="63" w:firstLine="389"/>
        <w:rPr>
          <w:sz w:val="20"/>
          <w:szCs w:val="20"/>
        </w:rPr>
      </w:pPr>
      <w:r>
        <w:rPr>
          <w:spacing w:val="3"/>
          <w:sz w:val="20"/>
          <w:szCs w:val="20"/>
        </w:rPr>
        <w:t>会议纪要的内容应真实，简明扼要。纪要经总监理工程师签认，发</w:t>
      </w:r>
      <w:r>
        <w:rPr>
          <w:spacing w:val="2"/>
          <w:sz w:val="20"/>
          <w:szCs w:val="20"/>
        </w:rPr>
        <w:t>放到项目有关各方，并</w:t>
      </w:r>
      <w:r>
        <w:rPr>
          <w:sz w:val="20"/>
          <w:szCs w:val="20"/>
        </w:rPr>
        <w:t xml:space="preserve"> </w:t>
      </w:r>
      <w:r>
        <w:rPr>
          <w:spacing w:val="-2"/>
          <w:sz w:val="20"/>
          <w:szCs w:val="20"/>
        </w:rPr>
        <w:t>应有签收手续。会议纪要中的议定事项，有关方面应在规定的时限内</w:t>
      </w:r>
      <w:r>
        <w:rPr>
          <w:spacing w:val="-3"/>
          <w:sz w:val="20"/>
          <w:szCs w:val="20"/>
        </w:rPr>
        <w:t>落实。</w:t>
      </w:r>
    </w:p>
    <w:p w14:paraId="0437D191">
      <w:pPr>
        <w:pStyle w:val="2"/>
        <w:spacing w:before="116" w:line="222" w:lineRule="auto"/>
        <w:ind w:left="732"/>
        <w:rPr>
          <w:rFonts w:ascii="黑体" w:hAnsi="黑体" w:eastAsia="黑体" w:cs="黑体"/>
          <w:sz w:val="20"/>
          <w:szCs w:val="20"/>
        </w:rPr>
      </w:pPr>
      <w:r>
        <w:rPr>
          <w:b/>
          <w:bCs/>
          <w:color w:val="0076DE"/>
          <w:spacing w:val="-2"/>
          <w:sz w:val="20"/>
          <w:szCs w:val="20"/>
        </w:rPr>
        <w:t>3.</w:t>
      </w:r>
      <w:r>
        <w:rPr>
          <w:rFonts w:ascii="黑体" w:hAnsi="黑体" w:eastAsia="黑体" w:cs="黑体"/>
          <w:b/>
          <w:bCs/>
          <w:color w:val="0076DE"/>
          <w:spacing w:val="-2"/>
          <w:sz w:val="20"/>
          <w:szCs w:val="20"/>
        </w:rPr>
        <w:t>监理专题会议</w:t>
      </w:r>
    </w:p>
    <w:p w14:paraId="31E0F5D6">
      <w:pPr>
        <w:pStyle w:val="2"/>
        <w:spacing w:before="144" w:line="279" w:lineRule="auto"/>
        <w:ind w:left="339" w:right="57" w:firstLine="389"/>
        <w:jc w:val="both"/>
        <w:rPr>
          <w:sz w:val="20"/>
          <w:szCs w:val="20"/>
        </w:rPr>
      </w:pPr>
      <w:r>
        <w:rPr>
          <w:spacing w:val="3"/>
          <w:sz w:val="20"/>
          <w:szCs w:val="20"/>
        </w:rPr>
        <w:t>专题会议是为解决专门问题而召开的会议，由总监理工程师或授权监</w:t>
      </w:r>
      <w:r>
        <w:rPr>
          <w:spacing w:val="2"/>
          <w:sz w:val="20"/>
          <w:szCs w:val="20"/>
        </w:rPr>
        <w:t>理工程师主持。专题</w:t>
      </w:r>
      <w:r>
        <w:rPr>
          <w:sz w:val="20"/>
          <w:szCs w:val="20"/>
        </w:rPr>
        <w:t xml:space="preserve"> </w:t>
      </w:r>
      <w:r>
        <w:rPr>
          <w:spacing w:val="2"/>
          <w:sz w:val="20"/>
          <w:szCs w:val="20"/>
        </w:rPr>
        <w:t>会议应认真做好会前准备。监理工程师要认真做好会议记录，并整理会议纪要，由总监理工程</w:t>
      </w:r>
      <w:r>
        <w:rPr>
          <w:spacing w:val="13"/>
          <w:sz w:val="20"/>
          <w:szCs w:val="20"/>
        </w:rPr>
        <w:t xml:space="preserve"> </w:t>
      </w:r>
      <w:r>
        <w:rPr>
          <w:spacing w:val="7"/>
          <w:sz w:val="20"/>
          <w:szCs w:val="20"/>
        </w:rPr>
        <w:t>师签认，发给项目有关方面。专题会议通常包括技术讨论会、现场(项目组织)协调会、紧急</w:t>
      </w:r>
      <w:r>
        <w:rPr>
          <w:spacing w:val="16"/>
          <w:sz w:val="20"/>
          <w:szCs w:val="20"/>
        </w:rPr>
        <w:t xml:space="preserve"> </w:t>
      </w:r>
      <w:r>
        <w:rPr>
          <w:spacing w:val="8"/>
          <w:sz w:val="20"/>
          <w:szCs w:val="20"/>
        </w:rPr>
        <w:t>事件协调会和技术(或方案)评审会等。</w:t>
      </w:r>
    </w:p>
    <w:p w14:paraId="28B72D0C">
      <w:pPr>
        <w:pStyle w:val="2"/>
        <w:spacing w:before="20" w:line="277" w:lineRule="auto"/>
        <w:ind w:left="339" w:right="55" w:firstLine="389"/>
        <w:rPr>
          <w:sz w:val="20"/>
          <w:szCs w:val="20"/>
        </w:rPr>
      </w:pPr>
      <w:r>
        <w:rPr>
          <w:spacing w:val="3"/>
          <w:sz w:val="20"/>
          <w:szCs w:val="20"/>
        </w:rPr>
        <w:t>监理单位通常会依据现场工程进度情况，定期或不定期召开不同</w:t>
      </w:r>
      <w:r>
        <w:rPr>
          <w:spacing w:val="2"/>
          <w:sz w:val="20"/>
          <w:szCs w:val="20"/>
        </w:rPr>
        <w:t>层级的现场协调会，解决</w:t>
      </w:r>
      <w:r>
        <w:rPr>
          <w:sz w:val="20"/>
          <w:szCs w:val="20"/>
        </w:rPr>
        <w:t xml:space="preserve"> </w:t>
      </w:r>
      <w:r>
        <w:rPr>
          <w:spacing w:val="3"/>
          <w:sz w:val="20"/>
          <w:szCs w:val="20"/>
        </w:rPr>
        <w:t>工作过程中的相互配合问题。在协调会上通报重大</w:t>
      </w:r>
      <w:r>
        <w:rPr>
          <w:spacing w:val="2"/>
          <w:sz w:val="20"/>
          <w:szCs w:val="20"/>
        </w:rPr>
        <w:t>变更事项，解决业主单位与承建单位之间的</w:t>
      </w:r>
      <w:r>
        <w:rPr>
          <w:sz w:val="20"/>
          <w:szCs w:val="20"/>
        </w:rPr>
        <w:t xml:space="preserve"> </w:t>
      </w:r>
      <w:r>
        <w:rPr>
          <w:spacing w:val="-1"/>
          <w:sz w:val="20"/>
          <w:szCs w:val="20"/>
        </w:rPr>
        <w:t>重大协调配合问题，通报进度状况，处理工作中的交接、场地与公用设施使用的矛盾。</w:t>
      </w:r>
    </w:p>
    <w:p w14:paraId="04B4ED7D">
      <w:pPr>
        <w:pStyle w:val="2"/>
        <w:spacing w:before="19" w:line="283" w:lineRule="auto"/>
        <w:ind w:left="339" w:right="62" w:firstLine="389"/>
        <w:rPr>
          <w:sz w:val="20"/>
          <w:szCs w:val="20"/>
        </w:rPr>
      </w:pPr>
      <w:r>
        <w:rPr>
          <w:spacing w:val="3"/>
          <w:sz w:val="20"/>
          <w:szCs w:val="20"/>
        </w:rPr>
        <w:t>对于因突发性变更事件引起的进度问题，监理单位会召开紧急事件协</w:t>
      </w:r>
      <w:r>
        <w:rPr>
          <w:spacing w:val="2"/>
          <w:sz w:val="20"/>
          <w:szCs w:val="20"/>
        </w:rPr>
        <w:t>调会，督促各方采取</w:t>
      </w:r>
      <w:r>
        <w:rPr>
          <w:sz w:val="20"/>
          <w:szCs w:val="20"/>
        </w:rPr>
        <w:t xml:space="preserve"> </w:t>
      </w:r>
      <w:r>
        <w:rPr>
          <w:spacing w:val="-1"/>
          <w:sz w:val="20"/>
          <w:szCs w:val="20"/>
        </w:rPr>
        <w:t>应急措施赶上进度要求，以便项目的开发能</w:t>
      </w:r>
      <w:r>
        <w:rPr>
          <w:spacing w:val="-2"/>
          <w:sz w:val="20"/>
          <w:szCs w:val="20"/>
        </w:rPr>
        <w:t>以预期的进度完成。</w:t>
      </w:r>
    </w:p>
    <w:p w14:paraId="6A54F6A5">
      <w:pPr>
        <w:pStyle w:val="2"/>
        <w:spacing w:before="18" w:line="264" w:lineRule="auto"/>
        <w:ind w:left="339" w:firstLine="389"/>
        <w:rPr>
          <w:sz w:val="20"/>
          <w:szCs w:val="20"/>
        </w:rPr>
      </w:pPr>
      <w:r>
        <w:rPr>
          <w:spacing w:val="4"/>
          <w:sz w:val="20"/>
          <w:szCs w:val="20"/>
        </w:rPr>
        <w:t>根据项目的实际情况，在承建单位完成关键</w:t>
      </w:r>
      <w:r>
        <w:rPr>
          <w:spacing w:val="3"/>
          <w:sz w:val="20"/>
          <w:szCs w:val="20"/>
        </w:rPr>
        <w:t>阶段的工作时，监理将及时组织专家，会同业</w:t>
      </w:r>
      <w:r>
        <w:rPr>
          <w:sz w:val="20"/>
          <w:szCs w:val="20"/>
        </w:rPr>
        <w:t xml:space="preserve"> </w:t>
      </w:r>
      <w:r>
        <w:rPr>
          <w:spacing w:val="-1"/>
          <w:sz w:val="20"/>
          <w:szCs w:val="20"/>
        </w:rPr>
        <w:t>主单位对阶段成果进行评审，以便在评审通过后能使承建单位及时转入下一阶段的工作实施中。</w:t>
      </w:r>
    </w:p>
    <w:p w14:paraId="3E98C3BC">
      <w:pPr>
        <w:spacing w:line="264" w:lineRule="auto"/>
        <w:rPr>
          <w:sz w:val="20"/>
          <w:szCs w:val="20"/>
        </w:rPr>
        <w:sectPr>
          <w:pgSz w:w="10290" w:h="13410"/>
          <w:pgMar w:top="400" w:right="1098" w:bottom="400" w:left="490" w:header="0" w:footer="0" w:gutter="0"/>
          <w:cols w:space="720" w:num="1"/>
        </w:sectPr>
      </w:pPr>
    </w:p>
    <w:p w14:paraId="172F7974">
      <w:pPr>
        <w:pStyle w:val="2"/>
        <w:spacing w:before="76" w:line="219" w:lineRule="auto"/>
        <w:jc w:val="right"/>
        <w:rPr>
          <w:rFonts w:ascii="Times New Roman" w:hAnsi="Times New Roman" w:eastAsia="Times New Roman" w:cs="Times New Roman"/>
          <w:sz w:val="16"/>
          <w:szCs w:val="16"/>
        </w:rPr>
      </w:pPr>
      <w:r>
        <w:rPr>
          <w:sz w:val="20"/>
          <w:szCs w:val="20"/>
        </w:rPr>
        <w:t>第15章</w:t>
      </w:r>
      <w:r>
        <w:rPr>
          <w:spacing w:val="28"/>
          <w:sz w:val="20"/>
          <w:szCs w:val="20"/>
        </w:rPr>
        <w:t xml:space="preserve"> </w:t>
      </w:r>
      <w:r>
        <w:rPr>
          <w:sz w:val="20"/>
          <w:szCs w:val="20"/>
        </w:rPr>
        <w:t>组织协调</w:t>
      </w:r>
      <w:r>
        <w:rPr>
          <w:spacing w:val="18"/>
          <w:sz w:val="20"/>
          <w:szCs w:val="20"/>
        </w:rPr>
        <w:t xml:space="preserve">     </w:t>
      </w:r>
      <w:r>
        <w:rPr>
          <w:rFonts w:ascii="Times New Roman" w:hAnsi="Times New Roman" w:eastAsia="Times New Roman" w:cs="Times New Roman"/>
          <w:sz w:val="16"/>
          <w:szCs w:val="16"/>
        </w:rPr>
        <w:t>363</w:t>
      </w:r>
    </w:p>
    <w:p w14:paraId="2C9061ED">
      <w:pPr>
        <w:spacing w:line="287" w:lineRule="auto"/>
        <w:rPr>
          <w:rFonts w:ascii="Arial"/>
          <w:sz w:val="21"/>
        </w:rPr>
      </w:pPr>
    </w:p>
    <w:p w14:paraId="239BC46A">
      <w:pPr>
        <w:pStyle w:val="2"/>
        <w:spacing w:before="81" w:line="218" w:lineRule="auto"/>
        <w:ind w:left="2"/>
        <w:rPr>
          <w:sz w:val="25"/>
          <w:szCs w:val="25"/>
        </w:rPr>
      </w:pPr>
      <w:r>
        <w:rPr>
          <w:b/>
          <w:bCs/>
          <w:color w:val="0074E9"/>
          <w:spacing w:val="-17"/>
          <w:sz w:val="25"/>
          <w:szCs w:val="25"/>
        </w:rPr>
        <w:t>15.3.2</w:t>
      </w:r>
      <w:r>
        <w:rPr>
          <w:color w:val="0074E9"/>
          <w:spacing w:val="-17"/>
          <w:sz w:val="25"/>
          <w:szCs w:val="25"/>
        </w:rPr>
        <w:t xml:space="preserve">  </w:t>
      </w:r>
      <w:r>
        <w:rPr>
          <w:b/>
          <w:bCs/>
          <w:color w:val="0074E9"/>
          <w:spacing w:val="-17"/>
          <w:sz w:val="25"/>
          <w:szCs w:val="25"/>
        </w:rPr>
        <w:t>监理报告</w:t>
      </w:r>
    </w:p>
    <w:p w14:paraId="744DD58F">
      <w:pPr>
        <w:pStyle w:val="2"/>
        <w:spacing w:before="167" w:line="281" w:lineRule="auto"/>
        <w:ind w:right="203" w:firstLine="399"/>
        <w:jc w:val="both"/>
        <w:rPr>
          <w:sz w:val="20"/>
          <w:szCs w:val="20"/>
        </w:rPr>
      </w:pPr>
      <w:r>
        <w:rPr>
          <w:spacing w:val="3"/>
          <w:sz w:val="20"/>
          <w:szCs w:val="20"/>
        </w:rPr>
        <w:t>建立项目的监理汇报制度是保证工程顺利进行的有效方法，可以使</w:t>
      </w:r>
      <w:r>
        <w:rPr>
          <w:spacing w:val="2"/>
          <w:sz w:val="20"/>
          <w:szCs w:val="20"/>
        </w:rPr>
        <w:t>工程实施处于透明的可</w:t>
      </w:r>
      <w:r>
        <w:rPr>
          <w:sz w:val="20"/>
          <w:szCs w:val="20"/>
        </w:rPr>
        <w:t xml:space="preserve"> </w:t>
      </w:r>
      <w:r>
        <w:rPr>
          <w:spacing w:val="3"/>
          <w:sz w:val="20"/>
          <w:szCs w:val="20"/>
        </w:rPr>
        <w:t>监控状态。作为信息系统工程建设的承建单位，有责任定期或不定期向业主单位及监理单位提</w:t>
      </w:r>
      <w:r>
        <w:rPr>
          <w:spacing w:val="4"/>
          <w:sz w:val="20"/>
          <w:szCs w:val="20"/>
        </w:rPr>
        <w:t xml:space="preserve"> </w:t>
      </w:r>
      <w:r>
        <w:rPr>
          <w:spacing w:val="3"/>
          <w:sz w:val="20"/>
          <w:szCs w:val="20"/>
        </w:rPr>
        <w:t>交工程进展情况报告，同时提交下一阶段的工程实施计划，监理单位协同业主单位审核该工程</w:t>
      </w:r>
      <w:r>
        <w:rPr>
          <w:spacing w:val="2"/>
          <w:sz w:val="20"/>
          <w:szCs w:val="20"/>
        </w:rPr>
        <w:t xml:space="preserve"> </w:t>
      </w:r>
      <w:r>
        <w:rPr>
          <w:spacing w:val="4"/>
          <w:sz w:val="20"/>
          <w:szCs w:val="20"/>
        </w:rPr>
        <w:t xml:space="preserve">的进度与质量，向业主单位提交监理意见并反馈给承建单位，以此建立项目各方密切的联络， </w:t>
      </w:r>
      <w:r>
        <w:rPr>
          <w:spacing w:val="-2"/>
          <w:sz w:val="20"/>
          <w:szCs w:val="20"/>
        </w:rPr>
        <w:t>保证项目有计划、有步骤、稳妥地向前推进实施。</w:t>
      </w:r>
    </w:p>
    <w:p w14:paraId="42C3A28C">
      <w:pPr>
        <w:pStyle w:val="2"/>
        <w:spacing w:before="57" w:line="283" w:lineRule="auto"/>
        <w:ind w:right="262" w:firstLine="399"/>
        <w:rPr>
          <w:sz w:val="20"/>
          <w:szCs w:val="20"/>
        </w:rPr>
      </w:pPr>
      <w:r>
        <w:rPr>
          <w:spacing w:val="3"/>
          <w:sz w:val="20"/>
          <w:szCs w:val="20"/>
        </w:rPr>
        <w:t>监理单位据此将定期或不定期地向业主单位提供监理周报、月报、书面</w:t>
      </w:r>
      <w:r>
        <w:rPr>
          <w:spacing w:val="2"/>
          <w:sz w:val="20"/>
          <w:szCs w:val="20"/>
        </w:rPr>
        <w:t>通知回复等监理文</w:t>
      </w:r>
      <w:r>
        <w:rPr>
          <w:sz w:val="20"/>
          <w:szCs w:val="20"/>
        </w:rPr>
        <w:t xml:space="preserve"> </w:t>
      </w:r>
      <w:r>
        <w:rPr>
          <w:spacing w:val="-1"/>
          <w:sz w:val="20"/>
          <w:szCs w:val="20"/>
        </w:rPr>
        <w:t>件，这些文件包含了监理过程中对项目实施的控制和管理的</w:t>
      </w:r>
      <w:r>
        <w:rPr>
          <w:spacing w:val="-2"/>
          <w:sz w:val="20"/>
          <w:szCs w:val="20"/>
        </w:rPr>
        <w:t>有关信息。</w:t>
      </w:r>
    </w:p>
    <w:p w14:paraId="65649082">
      <w:pPr>
        <w:pStyle w:val="2"/>
        <w:spacing w:before="96" w:line="219" w:lineRule="auto"/>
        <w:ind w:left="402"/>
        <w:rPr>
          <w:sz w:val="20"/>
          <w:szCs w:val="20"/>
        </w:rPr>
      </w:pPr>
      <w:r>
        <w:rPr>
          <w:b/>
          <w:bCs/>
          <w:color w:val="0071D4"/>
          <w:spacing w:val="-3"/>
          <w:sz w:val="20"/>
          <w:szCs w:val="20"/>
        </w:rPr>
        <w:t>1.定期的监理日报、周报、月报</w:t>
      </w:r>
    </w:p>
    <w:p w14:paraId="78D79513">
      <w:pPr>
        <w:pStyle w:val="2"/>
        <w:spacing w:before="156" w:line="306" w:lineRule="auto"/>
        <w:ind w:right="241" w:firstLine="399"/>
        <w:jc w:val="both"/>
        <w:rPr>
          <w:sz w:val="16"/>
          <w:szCs w:val="16"/>
        </w:rPr>
      </w:pPr>
      <w:r>
        <w:rPr>
          <w:spacing w:val="8"/>
          <w:sz w:val="20"/>
          <w:szCs w:val="20"/>
        </w:rPr>
        <w:t>监理单位通常按时向业主单位提交监理日报、周报和月报。周报的提交时间一般是每周</w:t>
      </w:r>
      <w:r>
        <w:rPr>
          <w:spacing w:val="18"/>
          <w:sz w:val="20"/>
          <w:szCs w:val="20"/>
        </w:rPr>
        <w:t xml:space="preserve"> </w:t>
      </w:r>
      <w:r>
        <w:rPr>
          <w:spacing w:val="3"/>
          <w:sz w:val="20"/>
          <w:szCs w:val="20"/>
        </w:rPr>
        <w:t>的周一上午，周报是对上一周监理工作的总结。月报的提交时间一般为每个月开始的第一个星</w:t>
      </w:r>
      <w:r>
        <w:rPr>
          <w:spacing w:val="7"/>
          <w:sz w:val="20"/>
          <w:szCs w:val="20"/>
        </w:rPr>
        <w:t xml:space="preserve"> </w:t>
      </w:r>
      <w:r>
        <w:rPr>
          <w:spacing w:val="-12"/>
          <w:sz w:val="16"/>
          <w:szCs w:val="16"/>
        </w:rPr>
        <w:t>期</w:t>
      </w:r>
      <w:r>
        <w:rPr>
          <w:spacing w:val="12"/>
          <w:sz w:val="16"/>
          <w:szCs w:val="16"/>
        </w:rPr>
        <w:t xml:space="preserve"> </w:t>
      </w:r>
      <w:r>
        <w:rPr>
          <w:spacing w:val="-12"/>
          <w:sz w:val="16"/>
          <w:szCs w:val="16"/>
        </w:rPr>
        <w:t>内</w:t>
      </w:r>
      <w:r>
        <w:rPr>
          <w:spacing w:val="-14"/>
          <w:sz w:val="16"/>
          <w:szCs w:val="16"/>
        </w:rPr>
        <w:t xml:space="preserve"> </w:t>
      </w:r>
      <w:r>
        <w:rPr>
          <w:spacing w:val="-12"/>
          <w:sz w:val="16"/>
          <w:szCs w:val="16"/>
        </w:rPr>
        <w:t>。</w:t>
      </w:r>
    </w:p>
    <w:p w14:paraId="103EF540">
      <w:pPr>
        <w:pStyle w:val="2"/>
        <w:spacing w:before="107" w:line="222" w:lineRule="auto"/>
        <w:ind w:left="402"/>
        <w:rPr>
          <w:rFonts w:ascii="黑体" w:hAnsi="黑体" w:eastAsia="黑体" w:cs="黑体"/>
          <w:sz w:val="20"/>
          <w:szCs w:val="20"/>
        </w:rPr>
      </w:pPr>
      <w:r>
        <w:rPr>
          <w:b/>
          <w:bCs/>
          <w:color w:val="0072D6"/>
          <w:spacing w:val="-2"/>
          <w:sz w:val="20"/>
          <w:szCs w:val="20"/>
        </w:rPr>
        <w:t>2.</w:t>
      </w:r>
      <w:r>
        <w:rPr>
          <w:rFonts w:ascii="黑体" w:hAnsi="黑体" w:eastAsia="黑体" w:cs="黑体"/>
          <w:b/>
          <w:bCs/>
          <w:color w:val="0072D6"/>
          <w:spacing w:val="-2"/>
          <w:sz w:val="20"/>
          <w:szCs w:val="20"/>
        </w:rPr>
        <w:t>不定期监理工作报告</w:t>
      </w:r>
    </w:p>
    <w:p w14:paraId="550F2238">
      <w:pPr>
        <w:pStyle w:val="2"/>
        <w:spacing w:before="152" w:line="218" w:lineRule="auto"/>
        <w:ind w:left="399"/>
        <w:rPr>
          <w:sz w:val="20"/>
          <w:szCs w:val="20"/>
        </w:rPr>
      </w:pPr>
      <w:r>
        <w:rPr>
          <w:spacing w:val="-2"/>
          <w:sz w:val="20"/>
          <w:szCs w:val="20"/>
        </w:rPr>
        <w:t>监理单位会向业主单位不定期提交以下监理工作报告：</w:t>
      </w:r>
    </w:p>
    <w:p w14:paraId="4DBC44A4">
      <w:pPr>
        <w:pStyle w:val="2"/>
        <w:spacing w:before="85" w:line="219" w:lineRule="auto"/>
        <w:ind w:left="399"/>
        <w:rPr>
          <w:sz w:val="20"/>
          <w:szCs w:val="20"/>
        </w:rPr>
      </w:pPr>
      <w:r>
        <w:rPr>
          <w:spacing w:val="2"/>
          <w:sz w:val="20"/>
          <w:szCs w:val="20"/>
        </w:rPr>
        <w:t>(1)关于项目优化设计、项目变更的建议；</w:t>
      </w:r>
    </w:p>
    <w:p w14:paraId="244C454F">
      <w:pPr>
        <w:pStyle w:val="2"/>
        <w:spacing w:before="73" w:line="220" w:lineRule="auto"/>
        <w:ind w:left="399"/>
        <w:rPr>
          <w:sz w:val="20"/>
          <w:szCs w:val="20"/>
        </w:rPr>
      </w:pPr>
      <w:r>
        <w:rPr>
          <w:spacing w:val="2"/>
          <w:sz w:val="20"/>
          <w:szCs w:val="20"/>
        </w:rPr>
        <w:t>(2)投资情况分析预测及资金、资源的合理配置和投入的建议；</w:t>
      </w:r>
    </w:p>
    <w:p w14:paraId="1E79AEDF">
      <w:pPr>
        <w:pStyle w:val="2"/>
        <w:spacing w:before="80" w:line="218" w:lineRule="auto"/>
        <w:ind w:left="399"/>
        <w:rPr>
          <w:sz w:val="20"/>
          <w:szCs w:val="20"/>
        </w:rPr>
      </w:pPr>
      <w:r>
        <w:rPr>
          <w:spacing w:val="2"/>
          <w:sz w:val="20"/>
          <w:szCs w:val="20"/>
        </w:rPr>
        <w:t>(3)各阶段的测试报告和评价说明；</w:t>
      </w:r>
    </w:p>
    <w:p w14:paraId="77E3BCA7">
      <w:pPr>
        <w:pStyle w:val="2"/>
        <w:spacing w:before="84" w:line="218" w:lineRule="auto"/>
        <w:ind w:left="399"/>
        <w:rPr>
          <w:sz w:val="20"/>
          <w:szCs w:val="20"/>
        </w:rPr>
      </w:pPr>
      <w:r>
        <w:rPr>
          <w:spacing w:val="3"/>
          <w:sz w:val="20"/>
          <w:szCs w:val="20"/>
        </w:rPr>
        <w:t>(4)项目进度预测分析报告；</w:t>
      </w:r>
    </w:p>
    <w:p w14:paraId="3F65F289">
      <w:pPr>
        <w:pStyle w:val="2"/>
        <w:spacing w:before="74" w:line="218" w:lineRule="auto"/>
        <w:ind w:left="399"/>
        <w:rPr>
          <w:sz w:val="20"/>
          <w:szCs w:val="20"/>
        </w:rPr>
      </w:pPr>
      <w:r>
        <w:rPr>
          <w:spacing w:val="3"/>
          <w:sz w:val="20"/>
          <w:szCs w:val="20"/>
        </w:rPr>
        <w:t>(5)监理业务范围内的专题报告。</w:t>
      </w:r>
    </w:p>
    <w:p w14:paraId="19147904">
      <w:pPr>
        <w:pStyle w:val="2"/>
        <w:spacing w:before="141" w:line="222" w:lineRule="auto"/>
        <w:ind w:left="402"/>
        <w:rPr>
          <w:rFonts w:ascii="黑体" w:hAnsi="黑体" w:eastAsia="黑体" w:cs="黑体"/>
          <w:sz w:val="20"/>
          <w:szCs w:val="20"/>
        </w:rPr>
      </w:pPr>
      <w:r>
        <w:rPr>
          <w:b/>
          <w:bCs/>
          <w:color w:val="0073D9"/>
          <w:spacing w:val="-2"/>
          <w:sz w:val="20"/>
          <w:szCs w:val="20"/>
        </w:rPr>
        <w:t>3.</w:t>
      </w:r>
      <w:r>
        <w:rPr>
          <w:rFonts w:ascii="黑体" w:hAnsi="黑体" w:eastAsia="黑体" w:cs="黑体"/>
          <w:b/>
          <w:bCs/>
          <w:color w:val="0073D9"/>
          <w:spacing w:val="-2"/>
          <w:sz w:val="20"/>
          <w:szCs w:val="20"/>
        </w:rPr>
        <w:t>监理通知与回复</w:t>
      </w:r>
    </w:p>
    <w:p w14:paraId="399EB44D">
      <w:pPr>
        <w:pStyle w:val="2"/>
        <w:spacing w:before="153" w:line="281" w:lineRule="auto"/>
        <w:ind w:right="237" w:firstLine="399"/>
        <w:jc w:val="both"/>
        <w:rPr>
          <w:sz w:val="20"/>
          <w:szCs w:val="20"/>
        </w:rPr>
      </w:pPr>
      <w:r>
        <w:rPr>
          <w:spacing w:val="3"/>
          <w:sz w:val="20"/>
          <w:szCs w:val="20"/>
        </w:rPr>
        <w:t>在监理实施过程中，监理单位与业主单位的联系均以书面函件为准。在不做出紧急监理时</w:t>
      </w:r>
      <w:r>
        <w:rPr>
          <w:spacing w:val="14"/>
          <w:sz w:val="20"/>
          <w:szCs w:val="20"/>
        </w:rPr>
        <w:t xml:space="preserve"> </w:t>
      </w:r>
      <w:r>
        <w:rPr>
          <w:spacing w:val="3"/>
          <w:sz w:val="20"/>
          <w:szCs w:val="20"/>
        </w:rPr>
        <w:t>可能导致人身、设备或项目事故的情况下，可以先口头或电话通知，事后在约定时间内补做书</w:t>
      </w:r>
      <w:r>
        <w:rPr>
          <w:spacing w:val="9"/>
          <w:sz w:val="20"/>
          <w:szCs w:val="20"/>
        </w:rPr>
        <w:t xml:space="preserve"> </w:t>
      </w:r>
      <w:r>
        <w:rPr>
          <w:spacing w:val="3"/>
          <w:sz w:val="20"/>
          <w:szCs w:val="20"/>
        </w:rPr>
        <w:t>面通知。以监理联系单、监理通知单、监理回复或批复的形式让信息在业主单位、监理单位与</w:t>
      </w:r>
      <w:r>
        <w:rPr>
          <w:spacing w:val="12"/>
          <w:sz w:val="20"/>
          <w:szCs w:val="20"/>
        </w:rPr>
        <w:t xml:space="preserve"> </w:t>
      </w:r>
      <w:r>
        <w:rPr>
          <w:spacing w:val="3"/>
          <w:sz w:val="20"/>
          <w:szCs w:val="20"/>
        </w:rPr>
        <w:t xml:space="preserve">承建单位之间，在各单位内部人员之间流动，协调大家的思想与行动，以保证项目的总目标得 </w:t>
      </w:r>
      <w:r>
        <w:rPr>
          <w:spacing w:val="-3"/>
          <w:sz w:val="20"/>
          <w:szCs w:val="20"/>
        </w:rPr>
        <w:t>以实现。要使这一形式有效地发挥作用，监理通知与回复应做到：</w:t>
      </w:r>
    </w:p>
    <w:p w14:paraId="72A2012C">
      <w:pPr>
        <w:pStyle w:val="2"/>
        <w:spacing w:before="17" w:line="219" w:lineRule="auto"/>
        <w:ind w:left="399"/>
        <w:rPr>
          <w:sz w:val="20"/>
          <w:szCs w:val="20"/>
        </w:rPr>
      </w:pPr>
      <w:r>
        <w:rPr>
          <w:spacing w:val="2"/>
          <w:sz w:val="20"/>
          <w:szCs w:val="20"/>
        </w:rPr>
        <w:t>(1)简洁，即只包含受众需要了解的观点；</w:t>
      </w:r>
    </w:p>
    <w:p w14:paraId="4DDACFD7">
      <w:pPr>
        <w:pStyle w:val="2"/>
        <w:spacing w:before="74" w:line="219" w:lineRule="auto"/>
        <w:ind w:left="399"/>
        <w:rPr>
          <w:sz w:val="20"/>
          <w:szCs w:val="20"/>
        </w:rPr>
      </w:pPr>
      <w:r>
        <w:rPr>
          <w:spacing w:val="2"/>
          <w:sz w:val="20"/>
          <w:szCs w:val="20"/>
        </w:rPr>
        <w:t>(2)完整，即要包含受众需要了解的全部观点；</w:t>
      </w:r>
    </w:p>
    <w:p w14:paraId="21AF63C5">
      <w:pPr>
        <w:pStyle w:val="2"/>
        <w:spacing w:before="72" w:line="219" w:lineRule="auto"/>
        <w:ind w:left="399"/>
        <w:rPr>
          <w:sz w:val="20"/>
          <w:szCs w:val="20"/>
        </w:rPr>
      </w:pPr>
      <w:r>
        <w:rPr>
          <w:spacing w:val="2"/>
          <w:sz w:val="20"/>
          <w:szCs w:val="20"/>
        </w:rPr>
        <w:t>(3)结构化，即必须以一定的结构形式，把要传递的观点清晰地传递给受众。</w:t>
      </w:r>
    </w:p>
    <w:p w14:paraId="5D7BCF58">
      <w:pPr>
        <w:pStyle w:val="2"/>
        <w:spacing w:before="140" w:line="222" w:lineRule="auto"/>
        <w:ind w:left="402"/>
        <w:rPr>
          <w:rFonts w:ascii="黑体" w:hAnsi="黑体" w:eastAsia="黑体" w:cs="黑体"/>
          <w:sz w:val="20"/>
          <w:szCs w:val="20"/>
        </w:rPr>
      </w:pPr>
      <w:r>
        <w:rPr>
          <w:b/>
          <w:bCs/>
          <w:color w:val="0082E6"/>
          <w:spacing w:val="-2"/>
          <w:sz w:val="20"/>
          <w:szCs w:val="20"/>
        </w:rPr>
        <w:t>4.</w:t>
      </w:r>
      <w:r>
        <w:rPr>
          <w:rFonts w:ascii="黑体" w:hAnsi="黑体" w:eastAsia="黑体" w:cs="黑体"/>
          <w:b/>
          <w:bCs/>
          <w:color w:val="0082E6"/>
          <w:spacing w:val="-2"/>
          <w:sz w:val="20"/>
          <w:szCs w:val="20"/>
        </w:rPr>
        <w:t>日常监理文件</w:t>
      </w:r>
    </w:p>
    <w:p w14:paraId="76717B64">
      <w:pPr>
        <w:pStyle w:val="2"/>
        <w:spacing w:before="142" w:line="219" w:lineRule="auto"/>
        <w:ind w:left="399"/>
        <w:rPr>
          <w:sz w:val="20"/>
          <w:szCs w:val="20"/>
        </w:rPr>
      </w:pPr>
      <w:r>
        <w:rPr>
          <w:spacing w:val="-3"/>
          <w:sz w:val="20"/>
          <w:szCs w:val="20"/>
        </w:rPr>
        <w:t>监理单位会及时向业主单位提交以下日常监理文件：</w:t>
      </w:r>
    </w:p>
    <w:p w14:paraId="70ED790B">
      <w:pPr>
        <w:pStyle w:val="2"/>
        <w:spacing w:before="64" w:line="287" w:lineRule="auto"/>
        <w:ind w:right="245" w:firstLine="399"/>
        <w:rPr>
          <w:sz w:val="16"/>
          <w:szCs w:val="16"/>
        </w:rPr>
      </w:pPr>
      <w:r>
        <w:rPr>
          <w:spacing w:val="6"/>
          <w:sz w:val="20"/>
          <w:szCs w:val="20"/>
        </w:rPr>
        <w:t>(1)监理日志及实施大事记，监理单位会认真做好监理日</w:t>
      </w:r>
      <w:r>
        <w:rPr>
          <w:spacing w:val="5"/>
          <w:sz w:val="20"/>
          <w:szCs w:val="20"/>
        </w:rPr>
        <w:t>志，保持其及时性、完整性和连</w:t>
      </w:r>
      <w:r>
        <w:rPr>
          <w:sz w:val="20"/>
          <w:szCs w:val="20"/>
        </w:rPr>
        <w:t xml:space="preserve"> </w:t>
      </w:r>
      <w:r>
        <w:rPr>
          <w:spacing w:val="-6"/>
          <w:sz w:val="16"/>
          <w:szCs w:val="16"/>
        </w:rPr>
        <w:t>续</w:t>
      </w:r>
      <w:r>
        <w:rPr>
          <w:spacing w:val="-14"/>
          <w:sz w:val="16"/>
          <w:szCs w:val="16"/>
        </w:rPr>
        <w:t xml:space="preserve"> </w:t>
      </w:r>
      <w:r>
        <w:rPr>
          <w:spacing w:val="-6"/>
          <w:sz w:val="16"/>
          <w:szCs w:val="16"/>
        </w:rPr>
        <w:t>性</w:t>
      </w:r>
      <w:r>
        <w:rPr>
          <w:spacing w:val="-22"/>
          <w:sz w:val="16"/>
          <w:szCs w:val="16"/>
        </w:rPr>
        <w:t xml:space="preserve"> </w:t>
      </w:r>
      <w:r>
        <w:rPr>
          <w:spacing w:val="-6"/>
          <w:sz w:val="16"/>
          <w:szCs w:val="16"/>
        </w:rPr>
        <w:t>；</w:t>
      </w:r>
    </w:p>
    <w:p w14:paraId="30322F6F">
      <w:pPr>
        <w:pStyle w:val="2"/>
        <w:spacing w:before="80" w:line="219" w:lineRule="auto"/>
        <w:ind w:left="399"/>
        <w:rPr>
          <w:sz w:val="20"/>
          <w:szCs w:val="20"/>
        </w:rPr>
      </w:pPr>
      <w:r>
        <w:rPr>
          <w:spacing w:val="3"/>
          <w:sz w:val="20"/>
          <w:szCs w:val="20"/>
        </w:rPr>
        <w:t>(2)实施计划批复文件；</w:t>
      </w:r>
    </w:p>
    <w:p w14:paraId="6D3599BE">
      <w:pPr>
        <w:pStyle w:val="2"/>
        <w:spacing w:before="63" w:line="219" w:lineRule="auto"/>
        <w:ind w:left="399"/>
        <w:rPr>
          <w:sz w:val="20"/>
          <w:szCs w:val="20"/>
        </w:rPr>
      </w:pPr>
      <w:r>
        <w:rPr>
          <w:spacing w:val="3"/>
          <w:sz w:val="20"/>
          <w:szCs w:val="20"/>
        </w:rPr>
        <w:t>(3)实施措施批复文件；</w:t>
      </w:r>
    </w:p>
    <w:p w14:paraId="5C9DD0FD">
      <w:pPr>
        <w:spacing w:line="219" w:lineRule="auto"/>
        <w:rPr>
          <w:sz w:val="20"/>
          <w:szCs w:val="20"/>
        </w:rPr>
        <w:sectPr>
          <w:pgSz w:w="10290" w:h="13290"/>
          <w:pgMar w:top="400" w:right="556" w:bottom="400" w:left="1159" w:header="0" w:footer="0" w:gutter="0"/>
          <w:cols w:space="720" w:num="1"/>
        </w:sectPr>
      </w:pPr>
    </w:p>
    <w:p w14:paraId="4C276125">
      <w:pPr>
        <w:pStyle w:val="2"/>
        <w:spacing w:before="98" w:line="219" w:lineRule="auto"/>
        <w:rPr>
          <w:sz w:val="20"/>
          <w:szCs w:val="20"/>
        </w:rPr>
      </w:pPr>
      <w:r>
        <w:rPr>
          <w:rFonts w:ascii="Times New Roman" w:hAnsi="Times New Roman" w:eastAsia="Times New Roman" w:cs="Times New Roman"/>
          <w:spacing w:val="-4"/>
          <w:position w:val="-1"/>
          <w:sz w:val="20"/>
          <w:szCs w:val="20"/>
        </w:rPr>
        <w:t>364</w:t>
      </w:r>
      <w:r>
        <w:rPr>
          <w:rFonts w:ascii="Times New Roman" w:hAnsi="Times New Roman" w:eastAsia="Times New Roman" w:cs="Times New Roman"/>
          <w:spacing w:val="1"/>
          <w:position w:val="-1"/>
          <w:sz w:val="20"/>
          <w:szCs w:val="20"/>
        </w:rPr>
        <w:t xml:space="preserve">             </w:t>
      </w:r>
      <w:r>
        <w:rPr>
          <w:spacing w:val="-4"/>
          <w:sz w:val="20"/>
          <w:szCs w:val="20"/>
        </w:rPr>
        <w:t>信息系统监理师教程(第2版)</w:t>
      </w:r>
    </w:p>
    <w:p w14:paraId="2C1EE7B9">
      <w:pPr>
        <w:spacing w:line="315" w:lineRule="auto"/>
        <w:rPr>
          <w:rFonts w:ascii="Arial"/>
          <w:sz w:val="21"/>
        </w:rPr>
      </w:pPr>
    </w:p>
    <w:p w14:paraId="03FD0B5A">
      <w:pPr>
        <w:pStyle w:val="2"/>
        <w:spacing w:before="65" w:line="219" w:lineRule="auto"/>
        <w:ind w:left="719"/>
        <w:rPr>
          <w:sz w:val="20"/>
          <w:szCs w:val="20"/>
        </w:rPr>
      </w:pPr>
      <w:r>
        <w:rPr>
          <w:spacing w:val="3"/>
          <w:sz w:val="20"/>
          <w:szCs w:val="20"/>
        </w:rPr>
        <w:t>(4)实施进度调整批复文件；</w:t>
      </w:r>
    </w:p>
    <w:p w14:paraId="05F464DC">
      <w:pPr>
        <w:pStyle w:val="2"/>
        <w:spacing w:before="82" w:line="219" w:lineRule="auto"/>
        <w:ind w:left="719"/>
        <w:rPr>
          <w:sz w:val="20"/>
          <w:szCs w:val="20"/>
        </w:rPr>
      </w:pPr>
      <w:r>
        <w:rPr>
          <w:spacing w:val="3"/>
          <w:sz w:val="20"/>
          <w:szCs w:val="20"/>
        </w:rPr>
        <w:t>(5)进度款支付确认文件；</w:t>
      </w:r>
    </w:p>
    <w:p w14:paraId="2EB3553F">
      <w:pPr>
        <w:pStyle w:val="2"/>
        <w:spacing w:before="82" w:line="219" w:lineRule="auto"/>
        <w:ind w:left="719"/>
        <w:rPr>
          <w:sz w:val="20"/>
          <w:szCs w:val="20"/>
        </w:rPr>
      </w:pPr>
      <w:r>
        <w:rPr>
          <w:spacing w:val="1"/>
          <w:sz w:val="20"/>
          <w:szCs w:val="20"/>
        </w:rPr>
        <w:t>(6)索赔受理、调查及处理文件；</w:t>
      </w:r>
    </w:p>
    <w:p w14:paraId="13AF1961">
      <w:pPr>
        <w:pStyle w:val="2"/>
        <w:spacing w:before="92" w:line="219" w:lineRule="auto"/>
        <w:ind w:left="719"/>
        <w:rPr>
          <w:sz w:val="20"/>
          <w:szCs w:val="20"/>
        </w:rPr>
      </w:pPr>
      <w:r>
        <w:rPr>
          <w:spacing w:val="2"/>
          <w:sz w:val="20"/>
          <w:szCs w:val="20"/>
        </w:rPr>
        <w:t>(7)监理协调会议纪要文件；</w:t>
      </w:r>
    </w:p>
    <w:p w14:paraId="4A3F7C40">
      <w:pPr>
        <w:pStyle w:val="2"/>
        <w:spacing w:before="84" w:line="219" w:lineRule="auto"/>
        <w:ind w:left="719"/>
        <w:rPr>
          <w:sz w:val="20"/>
          <w:szCs w:val="20"/>
        </w:rPr>
      </w:pPr>
      <w:r>
        <w:rPr>
          <w:spacing w:val="3"/>
          <w:sz w:val="20"/>
          <w:szCs w:val="20"/>
        </w:rPr>
        <w:t>(8)其他监理业务往来文件。</w:t>
      </w:r>
    </w:p>
    <w:p w14:paraId="3623D852">
      <w:pPr>
        <w:pStyle w:val="2"/>
        <w:spacing w:before="148" w:line="221" w:lineRule="auto"/>
        <w:ind w:left="722"/>
        <w:rPr>
          <w:rFonts w:ascii="黑体" w:hAnsi="黑体" w:eastAsia="黑体" w:cs="黑体"/>
          <w:sz w:val="20"/>
          <w:szCs w:val="20"/>
        </w:rPr>
      </w:pPr>
      <w:r>
        <w:rPr>
          <w:b/>
          <w:bCs/>
          <w:color w:val="0071D4"/>
          <w:spacing w:val="-3"/>
          <w:sz w:val="20"/>
          <w:szCs w:val="20"/>
        </w:rPr>
        <w:t>5.</w:t>
      </w:r>
      <w:r>
        <w:rPr>
          <w:rFonts w:ascii="黑体" w:hAnsi="黑体" w:eastAsia="黑体" w:cs="黑体"/>
          <w:b/>
          <w:bCs/>
          <w:color w:val="0071D4"/>
          <w:spacing w:val="-3"/>
          <w:sz w:val="20"/>
          <w:szCs w:val="20"/>
        </w:rPr>
        <w:t>监理实施类文档</w:t>
      </w:r>
    </w:p>
    <w:p w14:paraId="45782A21">
      <w:pPr>
        <w:pStyle w:val="2"/>
        <w:spacing w:before="165" w:line="289" w:lineRule="auto"/>
        <w:ind w:left="310" w:right="51" w:firstLine="409"/>
        <w:rPr>
          <w:sz w:val="20"/>
          <w:szCs w:val="20"/>
        </w:rPr>
      </w:pPr>
      <w:r>
        <w:rPr>
          <w:spacing w:val="8"/>
          <w:sz w:val="20"/>
          <w:szCs w:val="20"/>
        </w:rPr>
        <w:t>监理实施类文档(工程作业记录)主要包括：项目变更控制文档、进度控制文档、质量控</w:t>
      </w:r>
      <w:r>
        <w:rPr>
          <w:spacing w:val="15"/>
          <w:sz w:val="20"/>
          <w:szCs w:val="20"/>
        </w:rPr>
        <w:t xml:space="preserve"> </w:t>
      </w:r>
      <w:r>
        <w:rPr>
          <w:spacing w:val="2"/>
          <w:sz w:val="20"/>
          <w:szCs w:val="20"/>
        </w:rPr>
        <w:t>制文档、监理报告(监理日报、监理月报、专题报告、监理总结报告)、项目验收报告等。</w:t>
      </w:r>
    </w:p>
    <w:p w14:paraId="1F613C52">
      <w:pPr>
        <w:pStyle w:val="2"/>
        <w:spacing w:before="163" w:line="220" w:lineRule="auto"/>
        <w:ind w:left="313"/>
        <w:rPr>
          <w:sz w:val="26"/>
          <w:szCs w:val="26"/>
        </w:rPr>
      </w:pPr>
      <w:bookmarkStart w:id="671" w:name="bookmark656"/>
      <w:bookmarkEnd w:id="671"/>
      <w:r>
        <w:rPr>
          <w:b/>
          <w:bCs/>
          <w:color w:val="007AD9"/>
          <w:spacing w:val="-23"/>
          <w:sz w:val="26"/>
          <w:szCs w:val="26"/>
        </w:rPr>
        <w:t>15.3.3</w:t>
      </w:r>
      <w:r>
        <w:rPr>
          <w:color w:val="007AD9"/>
          <w:spacing w:val="84"/>
          <w:sz w:val="26"/>
          <w:szCs w:val="26"/>
        </w:rPr>
        <w:t xml:space="preserve"> </w:t>
      </w:r>
      <w:r>
        <w:rPr>
          <w:b/>
          <w:bCs/>
          <w:color w:val="007AD9"/>
          <w:spacing w:val="-23"/>
          <w:sz w:val="26"/>
          <w:szCs w:val="26"/>
        </w:rPr>
        <w:t>沟通协调</w:t>
      </w:r>
    </w:p>
    <w:p w14:paraId="781833B9">
      <w:pPr>
        <w:pStyle w:val="2"/>
        <w:spacing w:before="159" w:line="280" w:lineRule="auto"/>
        <w:ind w:left="310" w:right="20" w:firstLine="409"/>
        <w:jc w:val="both"/>
        <w:rPr>
          <w:sz w:val="20"/>
          <w:szCs w:val="20"/>
        </w:rPr>
      </w:pPr>
      <w:r>
        <w:rPr>
          <w:spacing w:val="3"/>
          <w:sz w:val="20"/>
          <w:szCs w:val="20"/>
        </w:rPr>
        <w:t>面对我国现阶段政府、企业人际关系的现状，作为协调方的监理单位，</w:t>
      </w:r>
      <w:r>
        <w:rPr>
          <w:spacing w:val="2"/>
          <w:sz w:val="20"/>
          <w:szCs w:val="20"/>
        </w:rPr>
        <w:t>在进行信息系统工</w:t>
      </w:r>
      <w:r>
        <w:rPr>
          <w:sz w:val="20"/>
          <w:szCs w:val="20"/>
        </w:rPr>
        <w:t xml:space="preserve"> </w:t>
      </w:r>
      <w:r>
        <w:rPr>
          <w:spacing w:val="3"/>
          <w:sz w:val="20"/>
          <w:szCs w:val="20"/>
        </w:rPr>
        <w:t>程监理的过程中，必须建立有效的沟通机制。沟通对人际关系的和谐和建立是十</w:t>
      </w:r>
      <w:r>
        <w:rPr>
          <w:spacing w:val="2"/>
          <w:sz w:val="20"/>
          <w:szCs w:val="20"/>
        </w:rPr>
        <w:t>分必要的，可</w:t>
      </w:r>
      <w:r>
        <w:rPr>
          <w:sz w:val="20"/>
          <w:szCs w:val="20"/>
        </w:rPr>
        <w:t xml:space="preserve"> </w:t>
      </w:r>
      <w:r>
        <w:rPr>
          <w:spacing w:val="-1"/>
          <w:sz w:val="20"/>
          <w:szCs w:val="20"/>
        </w:rPr>
        <w:t>以鼓励项目建设过程涉及的各方相互间和内部进行有效的沟通，利用人际沟通影响行为的杠杆，</w:t>
      </w:r>
      <w:r>
        <w:rPr>
          <w:spacing w:val="11"/>
          <w:sz w:val="20"/>
          <w:szCs w:val="20"/>
        </w:rPr>
        <w:t xml:space="preserve"> </w:t>
      </w:r>
      <w:r>
        <w:rPr>
          <w:spacing w:val="-2"/>
          <w:sz w:val="20"/>
          <w:szCs w:val="20"/>
        </w:rPr>
        <w:t>努力克服影响人际沟通的障碍，实施双向沟通。</w:t>
      </w:r>
    </w:p>
    <w:p w14:paraId="22C6FA51">
      <w:pPr>
        <w:pStyle w:val="2"/>
        <w:spacing w:before="58" w:line="273" w:lineRule="auto"/>
        <w:ind w:left="310" w:right="63" w:firstLine="409"/>
        <w:rPr>
          <w:sz w:val="20"/>
          <w:szCs w:val="20"/>
        </w:rPr>
      </w:pPr>
      <w:r>
        <w:rPr>
          <w:spacing w:val="3"/>
          <w:sz w:val="20"/>
          <w:szCs w:val="20"/>
        </w:rPr>
        <w:t>监理工程师在与信息系统工程建设的相关单位和相关人员进行沟通和协调时，应该对</w:t>
      </w:r>
      <w:r>
        <w:rPr>
          <w:spacing w:val="2"/>
          <w:sz w:val="20"/>
          <w:szCs w:val="20"/>
        </w:rPr>
        <w:t>下列</w:t>
      </w:r>
      <w:r>
        <w:rPr>
          <w:sz w:val="20"/>
          <w:szCs w:val="20"/>
        </w:rPr>
        <w:t xml:space="preserve"> </w:t>
      </w:r>
      <w:r>
        <w:rPr>
          <w:spacing w:val="-7"/>
          <w:sz w:val="20"/>
          <w:szCs w:val="20"/>
        </w:rPr>
        <w:t>内容有一定的把握。</w:t>
      </w:r>
    </w:p>
    <w:p w14:paraId="513C75CD">
      <w:pPr>
        <w:pStyle w:val="2"/>
        <w:spacing w:before="115" w:line="222" w:lineRule="auto"/>
        <w:ind w:left="722"/>
        <w:rPr>
          <w:rFonts w:ascii="黑体" w:hAnsi="黑体" w:eastAsia="黑体" w:cs="黑体"/>
          <w:sz w:val="20"/>
          <w:szCs w:val="20"/>
        </w:rPr>
      </w:pPr>
      <w:r>
        <w:rPr>
          <w:b/>
          <w:bCs/>
          <w:color w:val="007DDD"/>
          <w:spacing w:val="-3"/>
          <w:sz w:val="20"/>
          <w:szCs w:val="20"/>
        </w:rPr>
        <w:t>1.</w:t>
      </w:r>
      <w:r>
        <w:rPr>
          <w:rFonts w:ascii="黑体" w:hAnsi="黑体" w:eastAsia="黑体" w:cs="黑体"/>
          <w:b/>
          <w:bCs/>
          <w:color w:val="007DDD"/>
          <w:spacing w:val="-3"/>
          <w:sz w:val="20"/>
          <w:szCs w:val="20"/>
        </w:rPr>
        <w:t>排除第一印象的干扰</w:t>
      </w:r>
    </w:p>
    <w:p w14:paraId="7C198EE0">
      <w:pPr>
        <w:pStyle w:val="2"/>
        <w:spacing w:before="132" w:line="291" w:lineRule="auto"/>
        <w:ind w:left="310" w:firstLine="409"/>
        <w:jc w:val="both"/>
        <w:rPr>
          <w:sz w:val="20"/>
          <w:szCs w:val="20"/>
        </w:rPr>
      </w:pPr>
      <w:r>
        <w:rPr>
          <w:spacing w:val="5"/>
          <w:sz w:val="20"/>
          <w:szCs w:val="20"/>
        </w:rPr>
        <w:t>通常情况下，人们容易根据初次见面时对对方仪表、</w:t>
      </w:r>
      <w:r>
        <w:rPr>
          <w:spacing w:val="4"/>
          <w:sz w:val="20"/>
          <w:szCs w:val="20"/>
        </w:rPr>
        <w:t>风度形成的第一印象将其加以归类，</w:t>
      </w:r>
      <w:r>
        <w:rPr>
          <w:sz w:val="20"/>
          <w:szCs w:val="20"/>
        </w:rPr>
        <w:t xml:space="preserve"> </w:t>
      </w:r>
      <w:r>
        <w:rPr>
          <w:spacing w:val="3"/>
          <w:sz w:val="20"/>
          <w:szCs w:val="20"/>
        </w:rPr>
        <w:t>然后再以这一类别系统中人的总体特点，对这个人加以推论并做出判断，因而往往会产生“以</w:t>
      </w:r>
      <w:r>
        <w:rPr>
          <w:spacing w:val="4"/>
          <w:sz w:val="20"/>
          <w:szCs w:val="20"/>
        </w:rPr>
        <w:t xml:space="preserve"> </w:t>
      </w:r>
      <w:r>
        <w:rPr>
          <w:spacing w:val="3"/>
          <w:sz w:val="20"/>
          <w:szCs w:val="20"/>
        </w:rPr>
        <w:t>偏概全”“爱屋及乌”的偏差。监理工程师要把握认知偏差的规律，防止处理</w:t>
      </w:r>
      <w:r>
        <w:rPr>
          <w:spacing w:val="2"/>
          <w:sz w:val="20"/>
          <w:szCs w:val="20"/>
        </w:rPr>
        <w:t>事情时被假象所</w:t>
      </w:r>
      <w:r>
        <w:rPr>
          <w:sz w:val="20"/>
          <w:szCs w:val="20"/>
        </w:rPr>
        <w:t xml:space="preserve"> </w:t>
      </w:r>
      <w:r>
        <w:rPr>
          <w:spacing w:val="-3"/>
          <w:sz w:val="20"/>
          <w:szCs w:val="20"/>
        </w:rPr>
        <w:t>迷惑。</w:t>
      </w:r>
    </w:p>
    <w:p w14:paraId="6D9825A2">
      <w:pPr>
        <w:pStyle w:val="2"/>
        <w:spacing w:before="3" w:line="280" w:lineRule="auto"/>
        <w:ind w:left="310" w:right="65" w:firstLine="409"/>
        <w:jc w:val="both"/>
        <w:rPr>
          <w:sz w:val="20"/>
          <w:szCs w:val="20"/>
        </w:rPr>
      </w:pPr>
      <w:r>
        <w:rPr>
          <w:spacing w:val="3"/>
          <w:sz w:val="20"/>
          <w:szCs w:val="20"/>
        </w:rPr>
        <w:t>监理工程师还要注意情绪效应的产生。在第一印象形成过程中，沟通</w:t>
      </w:r>
      <w:r>
        <w:rPr>
          <w:spacing w:val="2"/>
          <w:sz w:val="20"/>
          <w:szCs w:val="20"/>
        </w:rPr>
        <w:t>主体当时的情绪状态</w:t>
      </w:r>
      <w:r>
        <w:rPr>
          <w:sz w:val="20"/>
          <w:szCs w:val="20"/>
        </w:rPr>
        <w:t xml:space="preserve"> </w:t>
      </w:r>
      <w:r>
        <w:rPr>
          <w:spacing w:val="3"/>
          <w:sz w:val="20"/>
          <w:szCs w:val="20"/>
        </w:rPr>
        <w:t>可以影响对方对其今后的评价。第一次接触时，沟通主体的喜怒哀乐对于对方关</w:t>
      </w:r>
      <w:r>
        <w:rPr>
          <w:spacing w:val="2"/>
          <w:sz w:val="20"/>
          <w:szCs w:val="20"/>
        </w:rPr>
        <w:t>系的建立或对</w:t>
      </w:r>
      <w:r>
        <w:rPr>
          <w:sz w:val="20"/>
          <w:szCs w:val="20"/>
        </w:rPr>
        <w:t xml:space="preserve"> </w:t>
      </w:r>
      <w:r>
        <w:rPr>
          <w:spacing w:val="3"/>
          <w:sz w:val="20"/>
          <w:szCs w:val="20"/>
        </w:rPr>
        <w:t>于对方的评价可能产生不可思议的差异。与此同时</w:t>
      </w:r>
      <w:r>
        <w:rPr>
          <w:spacing w:val="2"/>
          <w:sz w:val="20"/>
          <w:szCs w:val="20"/>
        </w:rPr>
        <w:t>，还可能产生“情绪传染”的心理效果。沟</w:t>
      </w:r>
      <w:r>
        <w:rPr>
          <w:sz w:val="20"/>
          <w:szCs w:val="20"/>
        </w:rPr>
        <w:t xml:space="preserve"> </w:t>
      </w:r>
      <w:r>
        <w:rPr>
          <w:spacing w:val="3"/>
          <w:sz w:val="20"/>
          <w:szCs w:val="20"/>
        </w:rPr>
        <w:t>通主体情绪异常，也可能引起对方不良态度的反应，因而影响良好人际关系的建立。所以，创</w:t>
      </w:r>
      <w:r>
        <w:rPr>
          <w:sz w:val="20"/>
          <w:szCs w:val="20"/>
        </w:rPr>
        <w:t xml:space="preserve"> </w:t>
      </w:r>
      <w:r>
        <w:rPr>
          <w:spacing w:val="-1"/>
          <w:sz w:val="20"/>
          <w:szCs w:val="20"/>
        </w:rPr>
        <w:t>造良好的交往环境、时机，以维护彼此的良好心境，也是维持人际关系正常的重要一环。</w:t>
      </w:r>
    </w:p>
    <w:p w14:paraId="18C05D65">
      <w:pPr>
        <w:pStyle w:val="2"/>
        <w:spacing w:before="138" w:line="222" w:lineRule="auto"/>
        <w:ind w:left="722"/>
        <w:rPr>
          <w:rFonts w:ascii="黑体" w:hAnsi="黑体" w:eastAsia="黑体" w:cs="黑体"/>
          <w:sz w:val="20"/>
          <w:szCs w:val="20"/>
        </w:rPr>
      </w:pPr>
      <w:r>
        <w:rPr>
          <w:b/>
          <w:bCs/>
          <w:color w:val="0073CC"/>
          <w:spacing w:val="-2"/>
          <w:sz w:val="20"/>
          <w:szCs w:val="20"/>
        </w:rPr>
        <w:t>2.</w:t>
      </w:r>
      <w:r>
        <w:rPr>
          <w:rFonts w:ascii="黑体" w:hAnsi="黑体" w:eastAsia="黑体" w:cs="黑体"/>
          <w:b/>
          <w:bCs/>
          <w:color w:val="0073CC"/>
          <w:spacing w:val="-2"/>
          <w:sz w:val="20"/>
          <w:szCs w:val="20"/>
        </w:rPr>
        <w:t>把握人际关系认知的规律</w:t>
      </w:r>
    </w:p>
    <w:p w14:paraId="68CA0215">
      <w:pPr>
        <w:pStyle w:val="2"/>
        <w:spacing w:before="133" w:line="277" w:lineRule="auto"/>
        <w:ind w:left="310" w:right="71" w:firstLine="409"/>
        <w:jc w:val="both"/>
        <w:rPr>
          <w:sz w:val="20"/>
          <w:szCs w:val="20"/>
        </w:rPr>
      </w:pPr>
      <w:r>
        <w:rPr>
          <w:spacing w:val="3"/>
          <w:sz w:val="20"/>
          <w:szCs w:val="20"/>
        </w:rPr>
        <w:t>监理工程师要认识人与人之间吸引的重要性。影响人与人之间吸</w:t>
      </w:r>
      <w:r>
        <w:rPr>
          <w:spacing w:val="2"/>
          <w:sz w:val="20"/>
          <w:szCs w:val="20"/>
        </w:rPr>
        <w:t>引的因素很多。人的相互</w:t>
      </w:r>
      <w:r>
        <w:rPr>
          <w:sz w:val="20"/>
          <w:szCs w:val="20"/>
        </w:rPr>
        <w:t xml:space="preserve"> </w:t>
      </w:r>
      <w:r>
        <w:rPr>
          <w:spacing w:val="8"/>
          <w:sz w:val="20"/>
          <w:szCs w:val="20"/>
        </w:rPr>
        <w:t>感知与理解，人与人之间的喜爱(吸引力与好感)、</w:t>
      </w:r>
      <w:r>
        <w:rPr>
          <w:spacing w:val="7"/>
          <w:sz w:val="20"/>
          <w:szCs w:val="20"/>
        </w:rPr>
        <w:t>相互影响与行为(包括角色行为)是人际交</w:t>
      </w:r>
      <w:r>
        <w:rPr>
          <w:sz w:val="20"/>
          <w:szCs w:val="20"/>
        </w:rPr>
        <w:t xml:space="preserve"> </w:t>
      </w:r>
      <w:r>
        <w:rPr>
          <w:spacing w:val="-1"/>
          <w:sz w:val="20"/>
          <w:szCs w:val="20"/>
        </w:rPr>
        <w:t>往的重要影响因素。人与人之间的喜爱是人际关系稳定性、深度、亲密性的主要调节器。</w:t>
      </w:r>
    </w:p>
    <w:p w14:paraId="778EBB8F">
      <w:pPr>
        <w:pStyle w:val="2"/>
        <w:spacing w:before="41" w:line="276" w:lineRule="auto"/>
        <w:ind w:left="310" w:right="70" w:firstLine="409"/>
        <w:jc w:val="both"/>
        <w:rPr>
          <w:sz w:val="20"/>
          <w:szCs w:val="20"/>
        </w:rPr>
      </w:pPr>
      <w:r>
        <w:rPr>
          <w:spacing w:val="3"/>
          <w:sz w:val="20"/>
          <w:szCs w:val="20"/>
        </w:rPr>
        <w:t>监理工程师要把握人际知觉的规律。人际知觉是指对人与人相互关系</w:t>
      </w:r>
      <w:r>
        <w:rPr>
          <w:spacing w:val="2"/>
          <w:sz w:val="20"/>
          <w:szCs w:val="20"/>
        </w:rPr>
        <w:t>的认知。判断人际关</w:t>
      </w:r>
      <w:r>
        <w:rPr>
          <w:sz w:val="20"/>
          <w:szCs w:val="20"/>
        </w:rPr>
        <w:t xml:space="preserve"> </w:t>
      </w:r>
      <w:r>
        <w:rPr>
          <w:spacing w:val="3"/>
          <w:sz w:val="20"/>
          <w:szCs w:val="20"/>
        </w:rPr>
        <w:t>系时不但要了解对方的动机、性格以及人际关系特性，同时也需要了解对方与其他</w:t>
      </w:r>
      <w:r>
        <w:rPr>
          <w:spacing w:val="2"/>
          <w:sz w:val="20"/>
          <w:szCs w:val="20"/>
        </w:rPr>
        <w:t>人之间的关</w:t>
      </w:r>
      <w:r>
        <w:rPr>
          <w:sz w:val="20"/>
          <w:szCs w:val="20"/>
        </w:rPr>
        <w:t xml:space="preserve"> </w:t>
      </w:r>
      <w:r>
        <w:rPr>
          <w:spacing w:val="3"/>
          <w:sz w:val="20"/>
          <w:szCs w:val="20"/>
        </w:rPr>
        <w:t>系。这是由于在一个社会群体中，甲乙双方的相互关系绝不是仅仅受甲乙双方特</w:t>
      </w:r>
      <w:r>
        <w:rPr>
          <w:spacing w:val="2"/>
          <w:sz w:val="20"/>
          <w:szCs w:val="20"/>
        </w:rPr>
        <w:t>点的影响，往</w:t>
      </w:r>
      <w:r>
        <w:rPr>
          <w:sz w:val="20"/>
          <w:szCs w:val="20"/>
        </w:rPr>
        <w:t xml:space="preserve"> </w:t>
      </w:r>
      <w:r>
        <w:rPr>
          <w:spacing w:val="-3"/>
          <w:sz w:val="20"/>
          <w:szCs w:val="20"/>
        </w:rPr>
        <w:t>往还受到第三者乃至更多人的影响。</w:t>
      </w:r>
    </w:p>
    <w:p w14:paraId="64C19B4C">
      <w:pPr>
        <w:pStyle w:val="2"/>
        <w:spacing w:before="31" w:line="219" w:lineRule="auto"/>
        <w:ind w:left="719"/>
        <w:rPr>
          <w:sz w:val="20"/>
          <w:szCs w:val="20"/>
        </w:rPr>
      </w:pPr>
      <w:r>
        <w:rPr>
          <w:spacing w:val="3"/>
          <w:sz w:val="20"/>
          <w:szCs w:val="20"/>
        </w:rPr>
        <w:t>监理工程师也要把握角色知觉的客观规律。角色知觉不但包括对某人在社会上所扮演的角</w:t>
      </w:r>
    </w:p>
    <w:p w14:paraId="1D51AE39">
      <w:pPr>
        <w:spacing w:line="219" w:lineRule="auto"/>
        <w:rPr>
          <w:sz w:val="20"/>
          <w:szCs w:val="20"/>
        </w:rPr>
        <w:sectPr>
          <w:pgSz w:w="10290" w:h="13410"/>
          <w:pgMar w:top="400" w:right="1089" w:bottom="400" w:left="499" w:header="0" w:footer="0" w:gutter="0"/>
          <w:cols w:space="720" w:num="1"/>
        </w:sectPr>
      </w:pPr>
    </w:p>
    <w:p w14:paraId="4B4D6950">
      <w:pPr>
        <w:pStyle w:val="2"/>
        <w:spacing w:before="77" w:line="219" w:lineRule="auto"/>
        <w:jc w:val="right"/>
        <w:rPr>
          <w:rFonts w:ascii="Times New Roman" w:hAnsi="Times New Roman" w:eastAsia="Times New Roman" w:cs="Times New Roman"/>
          <w:sz w:val="17"/>
          <w:szCs w:val="17"/>
        </w:rPr>
      </w:pPr>
      <w:r>
        <w:rPr>
          <w:sz w:val="20"/>
          <w:szCs w:val="20"/>
        </w:rPr>
        <w:t>第15章</w:t>
      </w:r>
      <w:r>
        <w:rPr>
          <w:spacing w:val="22"/>
          <w:sz w:val="20"/>
          <w:szCs w:val="20"/>
        </w:rPr>
        <w:t xml:space="preserve"> </w:t>
      </w:r>
      <w:r>
        <w:rPr>
          <w:sz w:val="20"/>
          <w:szCs w:val="20"/>
        </w:rPr>
        <w:t xml:space="preserve">组织协调      </w:t>
      </w:r>
      <w:r>
        <w:rPr>
          <w:rFonts w:ascii="Times New Roman" w:hAnsi="Times New Roman" w:eastAsia="Times New Roman" w:cs="Times New Roman"/>
          <w:sz w:val="17"/>
          <w:szCs w:val="17"/>
        </w:rPr>
        <w:t>365</w:t>
      </w:r>
    </w:p>
    <w:p w14:paraId="16824693">
      <w:pPr>
        <w:spacing w:line="295" w:lineRule="auto"/>
        <w:rPr>
          <w:rFonts w:ascii="Arial"/>
          <w:sz w:val="21"/>
        </w:rPr>
      </w:pPr>
    </w:p>
    <w:p w14:paraId="7D4B790E">
      <w:pPr>
        <w:pStyle w:val="2"/>
        <w:spacing w:before="65" w:line="282" w:lineRule="auto"/>
        <w:ind w:right="262"/>
        <w:jc w:val="both"/>
        <w:rPr>
          <w:sz w:val="20"/>
          <w:szCs w:val="20"/>
        </w:rPr>
      </w:pPr>
      <w:r>
        <w:rPr>
          <w:spacing w:val="3"/>
          <w:sz w:val="20"/>
          <w:szCs w:val="20"/>
        </w:rPr>
        <w:t>色的认知与判断，同时也包括对角色的行为的社会标准的认识。每一个人在社会上</w:t>
      </w:r>
      <w:r>
        <w:rPr>
          <w:spacing w:val="2"/>
          <w:sz w:val="20"/>
          <w:szCs w:val="20"/>
        </w:rPr>
        <w:t>都扮演着各</w:t>
      </w:r>
      <w:r>
        <w:rPr>
          <w:sz w:val="20"/>
          <w:szCs w:val="20"/>
        </w:rPr>
        <w:t xml:space="preserve"> </w:t>
      </w:r>
      <w:r>
        <w:rPr>
          <w:spacing w:val="3"/>
          <w:sz w:val="20"/>
          <w:szCs w:val="20"/>
        </w:rPr>
        <w:t>种角色，而每一种角色都有其一定的行为标准。个人对此行为标准的认知决定了他在社会上的</w:t>
      </w:r>
      <w:r>
        <w:rPr>
          <w:spacing w:val="1"/>
          <w:sz w:val="20"/>
          <w:szCs w:val="20"/>
        </w:rPr>
        <w:t xml:space="preserve"> </w:t>
      </w:r>
      <w:r>
        <w:rPr>
          <w:spacing w:val="3"/>
          <w:sz w:val="20"/>
          <w:szCs w:val="20"/>
        </w:rPr>
        <w:t>行为。例如，上下级间的关系，在一般人的心目中自有其固定的方式。而这些交</w:t>
      </w:r>
      <w:r>
        <w:rPr>
          <w:spacing w:val="2"/>
          <w:sz w:val="20"/>
          <w:szCs w:val="20"/>
        </w:rPr>
        <w:t>往方式已被社</w:t>
      </w:r>
      <w:r>
        <w:rPr>
          <w:sz w:val="20"/>
          <w:szCs w:val="20"/>
        </w:rPr>
        <w:t xml:space="preserve"> </w:t>
      </w:r>
      <w:r>
        <w:rPr>
          <w:spacing w:val="1"/>
          <w:sz w:val="20"/>
          <w:szCs w:val="20"/>
        </w:rPr>
        <w:t>会历史地形成，并被一般人所认可。这样，在人际关系建立上，</w:t>
      </w:r>
      <w:r>
        <w:rPr>
          <w:spacing w:val="-23"/>
          <w:sz w:val="20"/>
          <w:szCs w:val="20"/>
        </w:rPr>
        <w:t xml:space="preserve"> </w:t>
      </w:r>
      <w:r>
        <w:rPr>
          <w:spacing w:val="1"/>
          <w:sz w:val="20"/>
          <w:szCs w:val="20"/>
        </w:rPr>
        <w:t>一旦情境的因素和角色的因素</w:t>
      </w:r>
      <w:r>
        <w:rPr>
          <w:sz w:val="20"/>
          <w:szCs w:val="20"/>
        </w:rPr>
        <w:t xml:space="preserve"> </w:t>
      </w:r>
      <w:r>
        <w:rPr>
          <w:spacing w:val="2"/>
          <w:sz w:val="20"/>
          <w:szCs w:val="20"/>
        </w:rPr>
        <w:t>被确定之后，两者之间的交往形态与人际关系也随之大体决定。所以当事人也就必须依照社会</w:t>
      </w:r>
      <w:r>
        <w:rPr>
          <w:spacing w:val="15"/>
          <w:sz w:val="20"/>
          <w:szCs w:val="20"/>
        </w:rPr>
        <w:t xml:space="preserve"> </w:t>
      </w:r>
      <w:r>
        <w:rPr>
          <w:spacing w:val="-4"/>
          <w:sz w:val="20"/>
          <w:szCs w:val="20"/>
        </w:rPr>
        <w:t>已经确定的关系来进行彼此交往。</w:t>
      </w:r>
    </w:p>
    <w:p w14:paraId="144733CC">
      <w:pPr>
        <w:pStyle w:val="2"/>
        <w:spacing w:before="67" w:line="287" w:lineRule="auto"/>
        <w:ind w:right="268" w:firstLine="399"/>
        <w:jc w:val="both"/>
        <w:rPr>
          <w:sz w:val="20"/>
          <w:szCs w:val="20"/>
        </w:rPr>
      </w:pPr>
      <w:r>
        <w:rPr>
          <w:spacing w:val="3"/>
          <w:sz w:val="20"/>
          <w:szCs w:val="20"/>
        </w:rPr>
        <w:t>监理工程师还要认识因果关系认知的规律。人们对外界简单的认知，并非对所认知的对象</w:t>
      </w:r>
      <w:r>
        <w:rPr>
          <w:sz w:val="20"/>
          <w:szCs w:val="20"/>
        </w:rPr>
        <w:t xml:space="preserve"> </w:t>
      </w:r>
      <w:r>
        <w:rPr>
          <w:spacing w:val="3"/>
          <w:sz w:val="20"/>
          <w:szCs w:val="20"/>
        </w:rPr>
        <w:t>做各种互不相关的个别反应，而是系统的、有组织意义的反应。同样地，人们对社</w:t>
      </w:r>
      <w:r>
        <w:rPr>
          <w:spacing w:val="2"/>
          <w:sz w:val="20"/>
          <w:szCs w:val="20"/>
        </w:rPr>
        <w:t>会上所发生</w:t>
      </w:r>
      <w:r>
        <w:rPr>
          <w:sz w:val="20"/>
          <w:szCs w:val="20"/>
        </w:rPr>
        <w:t xml:space="preserve"> </w:t>
      </w:r>
      <w:r>
        <w:rPr>
          <w:spacing w:val="-2"/>
          <w:sz w:val="20"/>
          <w:szCs w:val="20"/>
        </w:rPr>
        <w:t>的事件以及人际事件也存在着同样的现象，即将他们组成因果系统的倾向。</w:t>
      </w:r>
    </w:p>
    <w:p w14:paraId="42B092AA">
      <w:pPr>
        <w:pStyle w:val="2"/>
        <w:spacing w:before="95" w:line="222" w:lineRule="auto"/>
        <w:ind w:left="402"/>
        <w:rPr>
          <w:rFonts w:ascii="黑体" w:hAnsi="黑体" w:eastAsia="黑体" w:cs="黑体"/>
          <w:sz w:val="20"/>
          <w:szCs w:val="20"/>
        </w:rPr>
      </w:pPr>
      <w:r>
        <w:rPr>
          <w:b/>
          <w:bCs/>
          <w:color w:val="0075CF"/>
          <w:spacing w:val="-4"/>
          <w:sz w:val="20"/>
          <w:szCs w:val="20"/>
        </w:rPr>
        <w:t>3.</w:t>
      </w:r>
      <w:r>
        <w:rPr>
          <w:rFonts w:ascii="黑体" w:hAnsi="黑体" w:eastAsia="黑体" w:cs="黑体"/>
          <w:b/>
          <w:bCs/>
          <w:color w:val="0075CF"/>
          <w:spacing w:val="-4"/>
          <w:sz w:val="20"/>
          <w:szCs w:val="20"/>
        </w:rPr>
        <w:t>创造良好的人际交往条件</w:t>
      </w:r>
    </w:p>
    <w:p w14:paraId="0D0C7B8C">
      <w:pPr>
        <w:pStyle w:val="2"/>
        <w:spacing w:before="161" w:line="273" w:lineRule="auto"/>
        <w:ind w:right="270" w:firstLine="399"/>
        <w:rPr>
          <w:sz w:val="20"/>
          <w:szCs w:val="20"/>
        </w:rPr>
      </w:pPr>
      <w:r>
        <w:rPr>
          <w:spacing w:val="3"/>
          <w:sz w:val="20"/>
          <w:szCs w:val="20"/>
        </w:rPr>
        <w:t>监理工程师在从事监理工作，同业主单位和承建单位建立良好的人际关系时，还需要创造</w:t>
      </w:r>
      <w:r>
        <w:rPr>
          <w:sz w:val="20"/>
          <w:szCs w:val="20"/>
        </w:rPr>
        <w:t xml:space="preserve"> </w:t>
      </w:r>
      <w:r>
        <w:rPr>
          <w:spacing w:val="-2"/>
          <w:sz w:val="20"/>
          <w:szCs w:val="20"/>
        </w:rPr>
        <w:t>人际交往的条件。人际交往条件的形成往往受到以下因素的影响。</w:t>
      </w:r>
    </w:p>
    <w:p w14:paraId="336713DA">
      <w:pPr>
        <w:spacing w:before="107" w:line="225" w:lineRule="auto"/>
        <w:ind w:left="399"/>
        <w:rPr>
          <w:rFonts w:ascii="楷体" w:hAnsi="楷体" w:eastAsia="楷体" w:cs="楷体"/>
          <w:sz w:val="20"/>
          <w:szCs w:val="20"/>
        </w:rPr>
      </w:pPr>
      <w:r>
        <w:rPr>
          <w:rFonts w:ascii="楷体" w:hAnsi="楷体" w:eastAsia="楷体" w:cs="楷体"/>
          <w:spacing w:val="11"/>
          <w:sz w:val="20"/>
          <w:szCs w:val="20"/>
        </w:rPr>
        <w:t>1)外表问题</w:t>
      </w:r>
    </w:p>
    <w:p w14:paraId="7105A2C7">
      <w:pPr>
        <w:pStyle w:val="2"/>
        <w:spacing w:before="66" w:line="282" w:lineRule="auto"/>
        <w:ind w:right="197" w:firstLine="399"/>
        <w:rPr>
          <w:sz w:val="20"/>
          <w:szCs w:val="20"/>
        </w:rPr>
      </w:pPr>
      <w:r>
        <w:rPr>
          <w:spacing w:val="3"/>
          <w:sz w:val="20"/>
          <w:szCs w:val="20"/>
        </w:rPr>
        <w:t>从一般意义上来讲，一个人的外表是由先人遗传</w:t>
      </w:r>
      <w:r>
        <w:rPr>
          <w:spacing w:val="2"/>
          <w:sz w:val="20"/>
          <w:szCs w:val="20"/>
        </w:rPr>
        <w:t>素质形成和发展起来的，它不以个人的主</w:t>
      </w:r>
      <w:r>
        <w:rPr>
          <w:sz w:val="20"/>
          <w:szCs w:val="20"/>
        </w:rPr>
        <w:t xml:space="preserve">  </w:t>
      </w:r>
      <w:r>
        <w:rPr>
          <w:spacing w:val="3"/>
          <w:sz w:val="20"/>
          <w:szCs w:val="20"/>
        </w:rPr>
        <w:t>观愿望为转移。但一般人在判断别人时，从心理上无法消除由于别人外表产生的影响作</w:t>
      </w:r>
      <w:r>
        <w:rPr>
          <w:spacing w:val="2"/>
          <w:sz w:val="20"/>
          <w:szCs w:val="20"/>
        </w:rPr>
        <w:t>用。在</w:t>
      </w:r>
      <w:r>
        <w:rPr>
          <w:sz w:val="20"/>
          <w:szCs w:val="20"/>
        </w:rPr>
        <w:t xml:space="preserve"> </w:t>
      </w:r>
      <w:r>
        <w:rPr>
          <w:spacing w:val="3"/>
          <w:sz w:val="20"/>
          <w:szCs w:val="20"/>
        </w:rPr>
        <w:t>社会交往的过程中，外表因素往往有形或无形地影响着人与人之间相互关系的建</w:t>
      </w:r>
      <w:r>
        <w:rPr>
          <w:spacing w:val="2"/>
          <w:sz w:val="20"/>
          <w:szCs w:val="20"/>
        </w:rPr>
        <w:t>立和发展。研</w:t>
      </w:r>
      <w:r>
        <w:rPr>
          <w:sz w:val="20"/>
          <w:szCs w:val="20"/>
        </w:rPr>
        <w:t xml:space="preserve"> </w:t>
      </w:r>
      <w:r>
        <w:rPr>
          <w:spacing w:val="3"/>
          <w:sz w:val="20"/>
          <w:szCs w:val="20"/>
        </w:rPr>
        <w:t>究表明，外表越吸引人的人，也越容易为人所喜爱。但是，外表招人喜欢并不完全</w:t>
      </w:r>
      <w:r>
        <w:rPr>
          <w:spacing w:val="2"/>
          <w:sz w:val="20"/>
          <w:szCs w:val="20"/>
        </w:rPr>
        <w:t>取决于外表</w:t>
      </w:r>
      <w:r>
        <w:rPr>
          <w:sz w:val="20"/>
          <w:szCs w:val="20"/>
        </w:rPr>
        <w:t xml:space="preserve"> 的美，在人与人相互交往的过程中还存在着另外一种心理现象，即人们</w:t>
      </w:r>
      <w:r>
        <w:rPr>
          <w:spacing w:val="-1"/>
          <w:sz w:val="20"/>
          <w:szCs w:val="20"/>
        </w:rPr>
        <w:t>容易与那些与自己外表、</w:t>
      </w:r>
      <w:r>
        <w:rPr>
          <w:sz w:val="20"/>
          <w:szCs w:val="20"/>
        </w:rPr>
        <w:t xml:space="preserve"> </w:t>
      </w:r>
      <w:r>
        <w:rPr>
          <w:spacing w:val="-2"/>
          <w:sz w:val="20"/>
          <w:szCs w:val="20"/>
        </w:rPr>
        <w:t>风度相类似的人建立起良好的人际关系。</w:t>
      </w:r>
    </w:p>
    <w:p w14:paraId="0475832F">
      <w:pPr>
        <w:spacing w:before="142" w:line="229" w:lineRule="auto"/>
        <w:ind w:left="399"/>
        <w:rPr>
          <w:rFonts w:ascii="楷体" w:hAnsi="楷体" w:eastAsia="楷体" w:cs="楷体"/>
          <w:sz w:val="20"/>
          <w:szCs w:val="20"/>
        </w:rPr>
      </w:pPr>
      <w:r>
        <w:rPr>
          <w:rFonts w:ascii="楷体" w:hAnsi="楷体" w:eastAsia="楷体" w:cs="楷体"/>
          <w:spacing w:val="13"/>
          <w:sz w:val="20"/>
          <w:szCs w:val="20"/>
        </w:rPr>
        <w:t>2)态度的类似性</w:t>
      </w:r>
    </w:p>
    <w:p w14:paraId="64C081CF">
      <w:pPr>
        <w:pStyle w:val="2"/>
        <w:spacing w:before="60" w:line="273" w:lineRule="auto"/>
        <w:ind w:right="262" w:firstLine="399"/>
        <w:rPr>
          <w:sz w:val="20"/>
          <w:szCs w:val="20"/>
        </w:rPr>
      </w:pPr>
      <w:r>
        <w:rPr>
          <w:spacing w:val="3"/>
          <w:sz w:val="20"/>
          <w:szCs w:val="20"/>
        </w:rPr>
        <w:t>人与人如果具有共同的态度与价值观，则不但容易获得对方的支持和共鸣，同时也容易预</w:t>
      </w:r>
      <w:r>
        <w:rPr>
          <w:sz w:val="20"/>
          <w:szCs w:val="20"/>
        </w:rPr>
        <w:t xml:space="preserve"> </w:t>
      </w:r>
      <w:r>
        <w:rPr>
          <w:spacing w:val="3"/>
          <w:sz w:val="20"/>
          <w:szCs w:val="20"/>
        </w:rPr>
        <w:t>测对方的感情和反应倾向，因此在交互作用的过程中，彼此容易适应而建立起人际关系</w:t>
      </w:r>
      <w:r>
        <w:rPr>
          <w:spacing w:val="2"/>
          <w:sz w:val="20"/>
          <w:szCs w:val="20"/>
        </w:rPr>
        <w:t>。对于</w:t>
      </w:r>
      <w:r>
        <w:rPr>
          <w:sz w:val="20"/>
          <w:szCs w:val="20"/>
        </w:rPr>
        <w:t xml:space="preserve"> </w:t>
      </w:r>
      <w:r>
        <w:rPr>
          <w:spacing w:val="3"/>
          <w:sz w:val="20"/>
          <w:szCs w:val="20"/>
        </w:rPr>
        <w:t>与自身态度、价值观念相类似的人，与之争辩的机会较少。而且由于获得他们的支持</w:t>
      </w:r>
      <w:r>
        <w:rPr>
          <w:spacing w:val="2"/>
          <w:sz w:val="20"/>
          <w:szCs w:val="20"/>
        </w:rPr>
        <w:t>，往往容</w:t>
      </w:r>
      <w:r>
        <w:rPr>
          <w:sz w:val="20"/>
          <w:szCs w:val="20"/>
        </w:rPr>
        <w:t xml:space="preserve"> </w:t>
      </w:r>
      <w:r>
        <w:rPr>
          <w:spacing w:val="3"/>
          <w:sz w:val="20"/>
          <w:szCs w:val="20"/>
        </w:rPr>
        <w:t>易增强自信心。态度与价值观念的相类似也使人们得以维持一致和长久的友谊。因</w:t>
      </w:r>
      <w:r>
        <w:rPr>
          <w:spacing w:val="2"/>
          <w:sz w:val="20"/>
          <w:szCs w:val="20"/>
        </w:rPr>
        <w:t>而，与自己</w:t>
      </w:r>
      <w:r>
        <w:rPr>
          <w:sz w:val="20"/>
          <w:szCs w:val="20"/>
        </w:rPr>
        <w:t xml:space="preserve"> </w:t>
      </w:r>
      <w:r>
        <w:rPr>
          <w:spacing w:val="3"/>
          <w:sz w:val="20"/>
          <w:szCs w:val="20"/>
        </w:rPr>
        <w:t>具有态度类似性的人，就变得更加具有吸引力。另一方面，与自己态度及价值观念比较类似的</w:t>
      </w:r>
      <w:r>
        <w:rPr>
          <w:spacing w:val="1"/>
          <w:sz w:val="20"/>
          <w:szCs w:val="20"/>
        </w:rPr>
        <w:t xml:space="preserve"> </w:t>
      </w:r>
      <w:r>
        <w:rPr>
          <w:spacing w:val="3"/>
          <w:sz w:val="20"/>
          <w:szCs w:val="20"/>
        </w:rPr>
        <w:t>人，也比较能够正确地反映自己的能力、感情和信仰，因而也比较具有吸引力。</w:t>
      </w:r>
      <w:r>
        <w:rPr>
          <w:spacing w:val="2"/>
          <w:sz w:val="20"/>
          <w:szCs w:val="20"/>
        </w:rPr>
        <w:t>为此，大家都</w:t>
      </w:r>
      <w:r>
        <w:rPr>
          <w:sz w:val="20"/>
          <w:szCs w:val="20"/>
        </w:rPr>
        <w:t xml:space="preserve"> </w:t>
      </w:r>
      <w:r>
        <w:rPr>
          <w:spacing w:val="-4"/>
          <w:sz w:val="20"/>
          <w:szCs w:val="20"/>
        </w:rPr>
        <w:t>愿意找情趣相投的朋友。</w:t>
      </w:r>
    </w:p>
    <w:p w14:paraId="37831DDE">
      <w:pPr>
        <w:spacing w:before="164" w:line="224" w:lineRule="auto"/>
        <w:ind w:left="399"/>
        <w:rPr>
          <w:rFonts w:ascii="楷体" w:hAnsi="楷体" w:eastAsia="楷体" w:cs="楷体"/>
          <w:sz w:val="20"/>
          <w:szCs w:val="20"/>
        </w:rPr>
      </w:pPr>
      <w:r>
        <w:rPr>
          <w:rFonts w:ascii="楷体" w:hAnsi="楷体" w:eastAsia="楷体" w:cs="楷体"/>
          <w:spacing w:val="13"/>
          <w:sz w:val="20"/>
          <w:szCs w:val="20"/>
        </w:rPr>
        <w:t>3)需求的互补性</w:t>
      </w:r>
    </w:p>
    <w:p w14:paraId="1BB220E9">
      <w:pPr>
        <w:pStyle w:val="2"/>
        <w:spacing w:before="71" w:line="273" w:lineRule="auto"/>
        <w:ind w:right="177" w:firstLine="399"/>
        <w:rPr>
          <w:sz w:val="20"/>
          <w:szCs w:val="20"/>
        </w:rPr>
      </w:pPr>
      <w:r>
        <w:rPr>
          <w:spacing w:val="3"/>
          <w:sz w:val="20"/>
          <w:szCs w:val="20"/>
        </w:rPr>
        <w:t>需求的互补性是指双方在交往过程中获得互相满足的心理状态。它包括两个部分，即彼此</w:t>
      </w:r>
      <w:r>
        <w:rPr>
          <w:sz w:val="20"/>
          <w:szCs w:val="20"/>
        </w:rPr>
        <w:t xml:space="preserve">  </w:t>
      </w:r>
      <w:r>
        <w:rPr>
          <w:spacing w:val="3"/>
          <w:sz w:val="20"/>
          <w:szCs w:val="20"/>
        </w:rPr>
        <w:t>的社会增强作用的满足和彼此心理特性相反者的互补作用。人与人一开始交往，</w:t>
      </w:r>
      <w:r>
        <w:rPr>
          <w:spacing w:val="2"/>
          <w:sz w:val="20"/>
          <w:szCs w:val="20"/>
        </w:rPr>
        <w:t>其所建立的人</w:t>
      </w:r>
      <w:r>
        <w:rPr>
          <w:sz w:val="20"/>
          <w:szCs w:val="20"/>
        </w:rPr>
        <w:t xml:space="preserve">  </w:t>
      </w:r>
      <w:r>
        <w:rPr>
          <w:spacing w:val="3"/>
          <w:sz w:val="20"/>
          <w:szCs w:val="20"/>
        </w:rPr>
        <w:t>际关系是否得以持续或中途停断，有赖于彼此的社会增强作用，即个体能否透过</w:t>
      </w:r>
      <w:r>
        <w:rPr>
          <w:spacing w:val="2"/>
          <w:sz w:val="20"/>
          <w:szCs w:val="20"/>
        </w:rPr>
        <w:t>交互作用而获</w:t>
      </w:r>
      <w:r>
        <w:rPr>
          <w:sz w:val="20"/>
          <w:szCs w:val="20"/>
        </w:rPr>
        <w:t xml:space="preserve">  </w:t>
      </w:r>
      <w:r>
        <w:rPr>
          <w:spacing w:val="3"/>
          <w:sz w:val="20"/>
          <w:szCs w:val="20"/>
        </w:rPr>
        <w:t>得动机的满足。两人相处对双方都有助益，或彼此有友好的意愿，或彼此发现具有类似</w:t>
      </w:r>
      <w:r>
        <w:rPr>
          <w:spacing w:val="2"/>
          <w:sz w:val="20"/>
          <w:szCs w:val="20"/>
        </w:rPr>
        <w:t>的态度</w:t>
      </w:r>
      <w:r>
        <w:rPr>
          <w:sz w:val="20"/>
          <w:szCs w:val="20"/>
        </w:rPr>
        <w:t xml:space="preserve">  </w:t>
      </w:r>
      <w:r>
        <w:rPr>
          <w:spacing w:val="3"/>
          <w:sz w:val="20"/>
          <w:szCs w:val="20"/>
        </w:rPr>
        <w:t>时，两人的交互关系便有继续维持的可能。反之，若一方增加了另一方的不安，或</w:t>
      </w:r>
      <w:r>
        <w:rPr>
          <w:spacing w:val="2"/>
          <w:sz w:val="20"/>
          <w:szCs w:val="20"/>
        </w:rPr>
        <w:t>对另一方表</w:t>
      </w:r>
      <w:r>
        <w:rPr>
          <w:sz w:val="20"/>
          <w:szCs w:val="20"/>
        </w:rPr>
        <w:t xml:space="preserve">  </w:t>
      </w:r>
      <w:r>
        <w:rPr>
          <w:spacing w:val="3"/>
          <w:sz w:val="20"/>
          <w:szCs w:val="20"/>
        </w:rPr>
        <w:t>示不友善，则难以持续。两个人透过彼此交互作用所获得的报偿超过由此而来的</w:t>
      </w:r>
      <w:r>
        <w:rPr>
          <w:spacing w:val="2"/>
          <w:sz w:val="20"/>
          <w:szCs w:val="20"/>
        </w:rPr>
        <w:t>损失时，两人</w:t>
      </w:r>
      <w:r>
        <w:rPr>
          <w:sz w:val="20"/>
          <w:szCs w:val="20"/>
        </w:rPr>
        <w:t xml:space="preserve">  </w:t>
      </w:r>
      <w:r>
        <w:rPr>
          <w:spacing w:val="5"/>
          <w:sz w:val="20"/>
          <w:szCs w:val="20"/>
        </w:rPr>
        <w:t>之间的人际关系才得以维持。亲密的友谊关系，乃是彼此间以极少的损失可换取很多的报偿，</w:t>
      </w:r>
    </w:p>
    <w:p w14:paraId="2826CF40">
      <w:pPr>
        <w:spacing w:line="273" w:lineRule="auto"/>
        <w:rPr>
          <w:sz w:val="20"/>
          <w:szCs w:val="20"/>
        </w:rPr>
        <w:sectPr>
          <w:pgSz w:w="10290" w:h="13300"/>
          <w:pgMar w:top="400" w:right="571" w:bottom="400" w:left="1130" w:header="0" w:footer="0" w:gutter="0"/>
          <w:cols w:space="720" w:num="1"/>
        </w:sectPr>
      </w:pPr>
    </w:p>
    <w:p w14:paraId="29A39D96">
      <w:pPr>
        <w:pStyle w:val="2"/>
        <w:spacing w:before="117" w:line="219" w:lineRule="auto"/>
        <w:rPr>
          <w:sz w:val="19"/>
          <w:szCs w:val="19"/>
        </w:rPr>
      </w:pPr>
      <w:r>
        <w:rPr>
          <w:rFonts w:ascii="Times New Roman" w:hAnsi="Times New Roman" w:eastAsia="Times New Roman" w:cs="Times New Roman"/>
          <w:spacing w:val="3"/>
          <w:sz w:val="19"/>
          <w:szCs w:val="19"/>
        </w:rPr>
        <w:t xml:space="preserve">366              </w:t>
      </w:r>
      <w:r>
        <w:rPr>
          <w:spacing w:val="3"/>
          <w:sz w:val="19"/>
          <w:szCs w:val="19"/>
        </w:rPr>
        <w:t>信息系统监理师教程(第2版)</w:t>
      </w:r>
    </w:p>
    <w:p w14:paraId="6F9A8519">
      <w:pPr>
        <w:spacing w:line="310" w:lineRule="auto"/>
        <w:rPr>
          <w:rFonts w:ascii="Arial"/>
          <w:sz w:val="21"/>
        </w:rPr>
      </w:pPr>
    </w:p>
    <w:p w14:paraId="6D0B4FF4">
      <w:pPr>
        <w:pStyle w:val="2"/>
        <w:spacing w:before="62" w:line="317" w:lineRule="auto"/>
        <w:ind w:left="359" w:right="87"/>
        <w:rPr>
          <w:sz w:val="19"/>
          <w:szCs w:val="19"/>
        </w:rPr>
      </w:pPr>
      <w:r>
        <w:rPr>
          <w:spacing w:val="13"/>
          <w:sz w:val="19"/>
          <w:szCs w:val="19"/>
        </w:rPr>
        <w:t>亦即相互满足的状态。人与人不仅是具有共同特征者愿</w:t>
      </w:r>
      <w:r>
        <w:rPr>
          <w:spacing w:val="12"/>
          <w:sz w:val="19"/>
          <w:szCs w:val="19"/>
        </w:rPr>
        <w:t>意相聚在一起，彼此特性相反者亦有互</w:t>
      </w:r>
      <w:r>
        <w:rPr>
          <w:sz w:val="19"/>
          <w:szCs w:val="19"/>
        </w:rPr>
        <w:t xml:space="preserve"> </w:t>
      </w:r>
      <w:r>
        <w:rPr>
          <w:spacing w:val="8"/>
          <w:sz w:val="19"/>
          <w:szCs w:val="19"/>
        </w:rPr>
        <w:t>相吸引的现象。这种相互间的赞同与接纳，也是彼此间建立良好人际关系的心理条件。</w:t>
      </w:r>
    </w:p>
    <w:p w14:paraId="51D36ECE">
      <w:pPr>
        <w:spacing w:before="73" w:line="227" w:lineRule="auto"/>
        <w:ind w:left="762"/>
        <w:rPr>
          <w:rFonts w:ascii="楷体" w:hAnsi="楷体" w:eastAsia="楷体" w:cs="楷体"/>
          <w:sz w:val="19"/>
          <w:szCs w:val="19"/>
        </w:rPr>
      </w:pPr>
      <w:bookmarkStart w:id="672" w:name="bookmark657"/>
      <w:bookmarkEnd w:id="672"/>
      <w:r>
        <w:rPr>
          <w:rFonts w:ascii="楷体" w:hAnsi="楷体" w:eastAsia="楷体" w:cs="楷体"/>
          <w:b/>
          <w:bCs/>
          <w:spacing w:val="18"/>
          <w:sz w:val="19"/>
          <w:szCs w:val="19"/>
        </w:rPr>
        <w:t>4)时空上的接近</w:t>
      </w:r>
    </w:p>
    <w:p w14:paraId="35D6FAEC">
      <w:pPr>
        <w:pStyle w:val="2"/>
        <w:spacing w:before="111" w:line="298" w:lineRule="auto"/>
        <w:ind w:left="359" w:firstLine="400"/>
        <w:jc w:val="both"/>
        <w:rPr>
          <w:sz w:val="19"/>
          <w:szCs w:val="19"/>
        </w:rPr>
      </w:pPr>
      <w:r>
        <w:rPr>
          <w:spacing w:val="13"/>
          <w:sz w:val="19"/>
          <w:szCs w:val="19"/>
        </w:rPr>
        <w:t>时空上的接近往往是使人与人之间彼此熟悉、加深了解的一个客观外在条件。时空上的接</w:t>
      </w:r>
      <w:r>
        <w:rPr>
          <w:spacing w:val="9"/>
          <w:sz w:val="19"/>
          <w:szCs w:val="19"/>
        </w:rPr>
        <w:t xml:space="preserve"> </w:t>
      </w:r>
      <w:r>
        <w:rPr>
          <w:spacing w:val="13"/>
          <w:sz w:val="19"/>
          <w:szCs w:val="19"/>
        </w:rPr>
        <w:t>近往往表现在居住距离的远近和人与人之间相互交往频率</w:t>
      </w:r>
      <w:r>
        <w:rPr>
          <w:spacing w:val="12"/>
          <w:sz w:val="19"/>
          <w:szCs w:val="19"/>
        </w:rPr>
        <w:t>这两个方面。首先，距离的远近。人</w:t>
      </w:r>
      <w:r>
        <w:rPr>
          <w:sz w:val="19"/>
          <w:szCs w:val="19"/>
        </w:rPr>
        <w:t xml:space="preserve">  </w:t>
      </w:r>
      <w:r>
        <w:rPr>
          <w:spacing w:val="13"/>
          <w:sz w:val="19"/>
          <w:szCs w:val="19"/>
        </w:rPr>
        <w:t>与人凡是地理位置接近者，更容易自然地发生人际交互关系。例如，在</w:t>
      </w:r>
      <w:r>
        <w:rPr>
          <w:spacing w:val="12"/>
          <w:sz w:val="19"/>
          <w:szCs w:val="19"/>
        </w:rPr>
        <w:t>单位里办公位置邻近的</w:t>
      </w:r>
      <w:r>
        <w:rPr>
          <w:sz w:val="19"/>
          <w:szCs w:val="19"/>
        </w:rPr>
        <w:t xml:space="preserve">  </w:t>
      </w:r>
      <w:r>
        <w:rPr>
          <w:spacing w:val="13"/>
          <w:sz w:val="19"/>
          <w:szCs w:val="19"/>
        </w:rPr>
        <w:t>同事们，住宅接近的邻居们，彼此见面的机会多，自然</w:t>
      </w:r>
      <w:r>
        <w:rPr>
          <w:spacing w:val="12"/>
          <w:sz w:val="19"/>
          <w:szCs w:val="19"/>
        </w:rPr>
        <w:t>而然就容易建立人际关系。而距离较远</w:t>
      </w:r>
      <w:r>
        <w:rPr>
          <w:sz w:val="19"/>
          <w:szCs w:val="19"/>
        </w:rPr>
        <w:t xml:space="preserve">  </w:t>
      </w:r>
      <w:r>
        <w:rPr>
          <w:spacing w:val="13"/>
          <w:sz w:val="19"/>
          <w:szCs w:val="19"/>
        </w:rPr>
        <w:t>的人，其形成或继续友谊的机会就比较少。其次，相互交往的频率。人与</w:t>
      </w:r>
      <w:r>
        <w:rPr>
          <w:spacing w:val="12"/>
          <w:sz w:val="19"/>
          <w:szCs w:val="19"/>
        </w:rPr>
        <w:t>人或由于地理位置的</w:t>
      </w:r>
      <w:r>
        <w:rPr>
          <w:sz w:val="19"/>
          <w:szCs w:val="19"/>
        </w:rPr>
        <w:t xml:space="preserve">  </w:t>
      </w:r>
      <w:r>
        <w:rPr>
          <w:spacing w:val="15"/>
          <w:sz w:val="19"/>
          <w:szCs w:val="19"/>
        </w:rPr>
        <w:t>接近，或由于工作上的需要，相互交往的次数愈多，则愈容易具有</w:t>
      </w:r>
      <w:r>
        <w:rPr>
          <w:spacing w:val="14"/>
          <w:sz w:val="19"/>
          <w:szCs w:val="19"/>
        </w:rPr>
        <w:t>共同的经验，共同的话题。</w:t>
      </w:r>
      <w:r>
        <w:rPr>
          <w:sz w:val="19"/>
          <w:szCs w:val="19"/>
        </w:rPr>
        <w:t xml:space="preserve"> </w:t>
      </w:r>
      <w:r>
        <w:rPr>
          <w:spacing w:val="13"/>
          <w:sz w:val="19"/>
          <w:szCs w:val="19"/>
        </w:rPr>
        <w:t>而建立密切的人际关系，尤其是陌生人相处的初期，地理距离的</w:t>
      </w:r>
      <w:r>
        <w:rPr>
          <w:spacing w:val="12"/>
          <w:sz w:val="19"/>
          <w:szCs w:val="19"/>
        </w:rPr>
        <w:t>远近与交往的频繁程度，对于</w:t>
      </w:r>
      <w:r>
        <w:rPr>
          <w:sz w:val="19"/>
          <w:szCs w:val="19"/>
        </w:rPr>
        <w:t xml:space="preserve">  </w:t>
      </w:r>
      <w:r>
        <w:rPr>
          <w:spacing w:val="13"/>
          <w:sz w:val="19"/>
          <w:szCs w:val="19"/>
        </w:rPr>
        <w:t>建立人际关系具有决定性的作用。因此，与人为友必须主动拉近空间上</w:t>
      </w:r>
      <w:r>
        <w:rPr>
          <w:spacing w:val="12"/>
          <w:sz w:val="19"/>
          <w:szCs w:val="19"/>
        </w:rPr>
        <w:t>的距离，并采取积极的</w:t>
      </w:r>
      <w:r>
        <w:rPr>
          <w:sz w:val="19"/>
          <w:szCs w:val="19"/>
        </w:rPr>
        <w:t xml:space="preserve">  </w:t>
      </w:r>
      <w:r>
        <w:rPr>
          <w:spacing w:val="7"/>
          <w:sz w:val="19"/>
          <w:szCs w:val="19"/>
        </w:rPr>
        <w:t>态度加强交往，增加交往频率。否则，日久天长友情就会淡薄。</w:t>
      </w:r>
    </w:p>
    <w:p w14:paraId="289439ED">
      <w:pPr>
        <w:pStyle w:val="2"/>
        <w:spacing w:before="68" w:line="303" w:lineRule="auto"/>
        <w:ind w:left="359" w:right="84" w:firstLine="400"/>
        <w:jc w:val="both"/>
        <w:rPr>
          <w:sz w:val="19"/>
          <w:szCs w:val="19"/>
        </w:rPr>
      </w:pPr>
      <w:r>
        <w:rPr>
          <w:spacing w:val="12"/>
          <w:sz w:val="19"/>
          <w:szCs w:val="19"/>
        </w:rPr>
        <w:t>监理工作中的人际交往与协调并不是一件困难的事情，但是，良好的人际关系需要精心呵</w:t>
      </w:r>
      <w:r>
        <w:rPr>
          <w:spacing w:val="8"/>
          <w:sz w:val="19"/>
          <w:szCs w:val="19"/>
        </w:rPr>
        <w:t xml:space="preserve"> </w:t>
      </w:r>
      <w:r>
        <w:rPr>
          <w:spacing w:val="13"/>
          <w:sz w:val="19"/>
          <w:szCs w:val="19"/>
        </w:rPr>
        <w:t>护，需要运用科学的规律和艺术的方法去维系。充分认识和掌</w:t>
      </w:r>
      <w:r>
        <w:rPr>
          <w:spacing w:val="12"/>
          <w:sz w:val="19"/>
          <w:szCs w:val="19"/>
        </w:rPr>
        <w:t>握这种客观规律，可以使监理工</w:t>
      </w:r>
      <w:r>
        <w:rPr>
          <w:sz w:val="19"/>
          <w:szCs w:val="19"/>
        </w:rPr>
        <w:t xml:space="preserve"> </w:t>
      </w:r>
      <w:r>
        <w:rPr>
          <w:spacing w:val="2"/>
          <w:sz w:val="19"/>
          <w:szCs w:val="19"/>
        </w:rPr>
        <w:t>作事半功倍。</w:t>
      </w:r>
    </w:p>
    <w:p w14:paraId="62F077E3">
      <w:pPr>
        <w:spacing w:line="303" w:lineRule="auto"/>
        <w:rPr>
          <w:sz w:val="19"/>
          <w:szCs w:val="19"/>
        </w:rPr>
        <w:sectPr>
          <w:pgSz w:w="10310" w:h="13420"/>
          <w:pgMar w:top="400" w:right="1005" w:bottom="400" w:left="550" w:header="0" w:footer="0" w:gutter="0"/>
          <w:cols w:space="720" w:num="1"/>
        </w:sectPr>
      </w:pPr>
    </w:p>
    <w:p w14:paraId="23A786C4">
      <w:pPr>
        <w:spacing w:line="256" w:lineRule="auto"/>
        <w:rPr>
          <w:rFonts w:ascii="Arial"/>
          <w:sz w:val="21"/>
        </w:rPr>
      </w:pPr>
    </w:p>
    <w:p w14:paraId="3B34D021">
      <w:pPr>
        <w:spacing w:line="256" w:lineRule="auto"/>
        <w:rPr>
          <w:rFonts w:ascii="Arial"/>
          <w:sz w:val="21"/>
        </w:rPr>
      </w:pPr>
    </w:p>
    <w:p w14:paraId="7BCF42F3">
      <w:pPr>
        <w:spacing w:line="256" w:lineRule="auto"/>
        <w:rPr>
          <w:rFonts w:ascii="Arial"/>
          <w:sz w:val="21"/>
        </w:rPr>
      </w:pPr>
      <w:r>
        <w:drawing>
          <wp:anchor distT="0" distB="0" distL="0" distR="0" simplePos="0" relativeHeight="251768832" behindDoc="0" locked="0" layoutInCell="1" allowOverlap="1">
            <wp:simplePos x="0" y="0"/>
            <wp:positionH relativeFrom="column">
              <wp:posOffset>4628515</wp:posOffset>
            </wp:positionH>
            <wp:positionV relativeFrom="paragraph">
              <wp:posOffset>218440</wp:posOffset>
            </wp:positionV>
            <wp:extent cx="685800" cy="31115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228"/>
                    <a:stretch>
                      <a:fillRect/>
                    </a:stretch>
                  </pic:blipFill>
                  <pic:spPr>
                    <a:xfrm>
                      <a:off x="0" y="0"/>
                      <a:ext cx="685824" cy="311151"/>
                    </a:xfrm>
                    <a:prstGeom prst="rect">
                      <a:avLst/>
                    </a:prstGeom>
                  </pic:spPr>
                </pic:pic>
              </a:graphicData>
            </a:graphic>
          </wp:anchor>
        </w:drawing>
      </w:r>
    </w:p>
    <w:p w14:paraId="6E63192D">
      <w:pPr>
        <w:spacing w:before="127" w:line="231" w:lineRule="auto"/>
        <w:rPr>
          <w:rFonts w:ascii="黑体" w:hAnsi="黑体" w:eastAsia="黑体" w:cs="黑体"/>
          <w:sz w:val="39"/>
          <w:szCs w:val="39"/>
        </w:rPr>
      </w:pPr>
      <w:bookmarkStart w:id="673" w:name="bookmark658"/>
      <w:bookmarkEnd w:id="673"/>
      <w:r>
        <w:rPr>
          <w:rFonts w:ascii="黑体" w:hAnsi="黑体" w:eastAsia="黑体" w:cs="黑体"/>
          <w:color w:val="0063E6"/>
          <w:position w:val="-5"/>
          <w:sz w:val="39"/>
          <w:szCs w:val="39"/>
        </w:rPr>
        <w:drawing>
          <wp:inline distT="0" distB="0" distL="0" distR="0">
            <wp:extent cx="640715" cy="266065"/>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229"/>
                    <a:stretch>
                      <a:fillRect/>
                    </a:stretch>
                  </pic:blipFill>
                  <pic:spPr>
                    <a:xfrm>
                      <a:off x="0" y="0"/>
                      <a:ext cx="641326" cy="266676"/>
                    </a:xfrm>
                    <a:prstGeom prst="rect">
                      <a:avLst/>
                    </a:prstGeom>
                  </pic:spPr>
                </pic:pic>
              </a:graphicData>
            </a:graphic>
          </wp:inline>
        </w:drawing>
      </w:r>
      <w:r>
        <w:rPr>
          <w:rFonts w:ascii="黑体" w:hAnsi="黑体" w:eastAsia="黑体" w:cs="黑体"/>
          <w:color w:val="0063E6"/>
          <w:spacing w:val="16"/>
          <w:sz w:val="39"/>
          <w:szCs w:val="39"/>
        </w:rPr>
        <w:t xml:space="preserve">       </w:t>
      </w:r>
      <w:r>
        <w:rPr>
          <w:rFonts w:ascii="黑体" w:hAnsi="黑体" w:eastAsia="黑体" w:cs="黑体"/>
          <w:b/>
          <w:bCs/>
          <w:color w:val="0063E6"/>
          <w:spacing w:val="25"/>
          <w:sz w:val="39"/>
          <w:szCs w:val="39"/>
        </w:rPr>
        <w:t>第16章</w:t>
      </w:r>
      <w:r>
        <w:rPr>
          <w:rFonts w:ascii="黑体" w:hAnsi="黑体" w:eastAsia="黑体" w:cs="黑体"/>
          <w:color w:val="0063E6"/>
          <w:spacing w:val="4"/>
          <w:sz w:val="39"/>
          <w:szCs w:val="39"/>
        </w:rPr>
        <w:t xml:space="preserve">  </w:t>
      </w:r>
      <w:r>
        <w:rPr>
          <w:rFonts w:ascii="黑体" w:hAnsi="黑体" w:eastAsia="黑体" w:cs="黑体"/>
          <w:b/>
          <w:bCs/>
          <w:color w:val="0063E6"/>
          <w:spacing w:val="25"/>
          <w:sz w:val="39"/>
          <w:szCs w:val="39"/>
        </w:rPr>
        <w:t>项目管理</w:t>
      </w:r>
    </w:p>
    <w:p w14:paraId="318732B3">
      <w:pPr>
        <w:spacing w:line="244" w:lineRule="auto"/>
        <w:rPr>
          <w:rFonts w:ascii="Arial"/>
          <w:sz w:val="21"/>
        </w:rPr>
      </w:pPr>
    </w:p>
    <w:p w14:paraId="08D1D951">
      <w:pPr>
        <w:spacing w:line="244" w:lineRule="auto"/>
        <w:rPr>
          <w:rFonts w:ascii="Arial"/>
          <w:sz w:val="21"/>
        </w:rPr>
      </w:pPr>
    </w:p>
    <w:p w14:paraId="38B0CBB9">
      <w:pPr>
        <w:spacing w:line="245" w:lineRule="auto"/>
        <w:rPr>
          <w:rFonts w:ascii="Arial"/>
          <w:sz w:val="21"/>
        </w:rPr>
      </w:pPr>
    </w:p>
    <w:p w14:paraId="7745DBC0">
      <w:pPr>
        <w:pStyle w:val="2"/>
        <w:spacing w:before="65" w:line="282" w:lineRule="auto"/>
        <w:ind w:right="86" w:firstLine="409"/>
        <w:jc w:val="both"/>
        <w:rPr>
          <w:sz w:val="20"/>
          <w:szCs w:val="20"/>
        </w:rPr>
      </w:pPr>
      <w:r>
        <w:rPr>
          <w:spacing w:val="3"/>
          <w:sz w:val="20"/>
          <w:szCs w:val="20"/>
        </w:rPr>
        <w:t>项目管理是指在项目活动中运用专门的知识、技能、工具和方法，使项目能够在资源限定</w:t>
      </w:r>
      <w:r>
        <w:rPr>
          <w:spacing w:val="5"/>
          <w:sz w:val="20"/>
          <w:szCs w:val="20"/>
        </w:rPr>
        <w:t xml:space="preserve"> </w:t>
      </w:r>
      <w:r>
        <w:rPr>
          <w:spacing w:val="3"/>
          <w:sz w:val="20"/>
          <w:szCs w:val="20"/>
        </w:rPr>
        <w:t>条件下，实现或超过设定的需求和期望。在信息系统工程建设项目中，项目管理作为一个关键 环节，对于顺利推进项目、保证质量和进度、实现资源合理配置和成本控制具有至关重要的作</w:t>
      </w:r>
      <w:r>
        <w:rPr>
          <w:spacing w:val="9"/>
          <w:sz w:val="20"/>
          <w:szCs w:val="20"/>
        </w:rPr>
        <w:t xml:space="preserve"> </w:t>
      </w:r>
      <w:r>
        <w:rPr>
          <w:spacing w:val="3"/>
          <w:sz w:val="20"/>
          <w:szCs w:val="20"/>
        </w:rPr>
        <w:t>用。通过对项目计划、组织、协调、控制等方面的有效管理，还可以预防和解决项目实施中出</w:t>
      </w:r>
      <w:r>
        <w:rPr>
          <w:sz w:val="20"/>
          <w:szCs w:val="20"/>
        </w:rPr>
        <w:t xml:space="preserve"> </w:t>
      </w:r>
      <w:r>
        <w:rPr>
          <w:spacing w:val="3"/>
          <w:sz w:val="20"/>
          <w:szCs w:val="20"/>
        </w:rPr>
        <w:t>现的问题，从而降低风险并提高项目的成功率。因此，在信息系统工程建设项目中，监理工程</w:t>
      </w:r>
      <w:r>
        <w:rPr>
          <w:spacing w:val="2"/>
          <w:sz w:val="20"/>
          <w:szCs w:val="20"/>
        </w:rPr>
        <w:t xml:space="preserve"> </w:t>
      </w:r>
      <w:r>
        <w:rPr>
          <w:spacing w:val="3"/>
          <w:sz w:val="20"/>
          <w:szCs w:val="20"/>
        </w:rPr>
        <w:t>师了解通用的项目管理知识和技能有助于提高工程建设效率，在实际工作中更好地应对各种挑</w:t>
      </w:r>
      <w:r>
        <w:rPr>
          <w:spacing w:val="5"/>
          <w:sz w:val="20"/>
          <w:szCs w:val="20"/>
        </w:rPr>
        <w:t xml:space="preserve"> </w:t>
      </w:r>
      <w:r>
        <w:rPr>
          <w:spacing w:val="-4"/>
          <w:sz w:val="20"/>
          <w:szCs w:val="20"/>
        </w:rPr>
        <w:t>战，最终取得丰硕的监理成果。</w:t>
      </w:r>
    </w:p>
    <w:p w14:paraId="35F4E09A">
      <w:pPr>
        <w:spacing w:line="326" w:lineRule="auto"/>
        <w:rPr>
          <w:rFonts w:ascii="Arial"/>
          <w:sz w:val="21"/>
        </w:rPr>
      </w:pPr>
    </w:p>
    <w:p w14:paraId="2118E1D8">
      <w:pPr>
        <w:pStyle w:val="2"/>
        <w:spacing w:before="88" w:line="222" w:lineRule="auto"/>
        <w:ind w:left="3"/>
        <w:rPr>
          <w:rFonts w:ascii="黑体" w:hAnsi="黑体" w:eastAsia="黑体" w:cs="黑体"/>
          <w:sz w:val="27"/>
          <w:szCs w:val="27"/>
        </w:rPr>
      </w:pPr>
      <w:r>
        <w:rPr>
          <w:b/>
          <w:bCs/>
          <w:color w:val="0061E1"/>
          <w:spacing w:val="2"/>
          <w:sz w:val="27"/>
          <w:szCs w:val="27"/>
        </w:rPr>
        <w:t>16.1</w:t>
      </w:r>
      <w:r>
        <w:rPr>
          <w:color w:val="0061E1"/>
          <w:spacing w:val="2"/>
          <w:sz w:val="27"/>
          <w:szCs w:val="27"/>
        </w:rPr>
        <w:t xml:space="preserve">  </w:t>
      </w:r>
      <w:r>
        <w:rPr>
          <w:rFonts w:ascii="黑体" w:hAnsi="黑体" w:eastAsia="黑体" w:cs="黑体"/>
          <w:b/>
          <w:bCs/>
          <w:color w:val="0061E1"/>
          <w:spacing w:val="2"/>
          <w:sz w:val="27"/>
          <w:szCs w:val="27"/>
        </w:rPr>
        <w:t>项目及项目管理的重要性</w:t>
      </w:r>
    </w:p>
    <w:p w14:paraId="71D9F09F">
      <w:pPr>
        <w:pStyle w:val="2"/>
        <w:spacing w:before="288" w:line="277" w:lineRule="auto"/>
        <w:ind w:right="84" w:firstLine="409"/>
        <w:jc w:val="both"/>
        <w:rPr>
          <w:sz w:val="20"/>
          <w:szCs w:val="20"/>
        </w:rPr>
      </w:pPr>
      <w:r>
        <w:rPr>
          <w:spacing w:val="3"/>
          <w:sz w:val="20"/>
          <w:szCs w:val="20"/>
        </w:rPr>
        <w:t>项目管理是成功达成一系列目标相关活动的整体，包括策划、进度计划和维护组成项目的</w:t>
      </w:r>
      <w:r>
        <w:rPr>
          <w:spacing w:val="7"/>
          <w:sz w:val="20"/>
          <w:szCs w:val="20"/>
        </w:rPr>
        <w:t xml:space="preserve"> </w:t>
      </w:r>
      <w:r>
        <w:rPr>
          <w:spacing w:val="3"/>
          <w:sz w:val="20"/>
          <w:szCs w:val="20"/>
        </w:rPr>
        <w:t>活动进展。项目管理是信息系统工程建设项目顺利实施的重要保障，不仅以结果为导向，而且</w:t>
      </w:r>
      <w:r>
        <w:rPr>
          <w:spacing w:val="5"/>
          <w:sz w:val="20"/>
          <w:szCs w:val="20"/>
        </w:rPr>
        <w:t xml:space="preserve"> </w:t>
      </w:r>
      <w:r>
        <w:rPr>
          <w:spacing w:val="-2"/>
          <w:sz w:val="20"/>
          <w:szCs w:val="20"/>
        </w:rPr>
        <w:t>关注过程执行，是确保组织执行力的重要保证。</w:t>
      </w:r>
    </w:p>
    <w:p w14:paraId="1AEE22DF">
      <w:pPr>
        <w:pStyle w:val="2"/>
        <w:spacing w:before="178" w:line="220" w:lineRule="auto"/>
        <w:ind w:left="2"/>
        <w:rPr>
          <w:sz w:val="27"/>
          <w:szCs w:val="27"/>
        </w:rPr>
      </w:pPr>
      <w:r>
        <w:rPr>
          <w:b/>
          <w:bCs/>
          <w:color w:val="0069E3"/>
          <w:spacing w:val="-33"/>
          <w:sz w:val="27"/>
          <w:szCs w:val="27"/>
        </w:rPr>
        <w:t>16.1.1</w:t>
      </w:r>
      <w:r>
        <w:rPr>
          <w:color w:val="0069E3"/>
          <w:spacing w:val="96"/>
          <w:sz w:val="27"/>
          <w:szCs w:val="27"/>
        </w:rPr>
        <w:t xml:space="preserve"> </w:t>
      </w:r>
      <w:r>
        <w:rPr>
          <w:b/>
          <w:bCs/>
          <w:color w:val="0069E3"/>
          <w:spacing w:val="-33"/>
          <w:sz w:val="27"/>
          <w:szCs w:val="27"/>
        </w:rPr>
        <w:t>项目基础</w:t>
      </w:r>
    </w:p>
    <w:p w14:paraId="7785E19D">
      <w:pPr>
        <w:pStyle w:val="2"/>
        <w:spacing w:before="158" w:line="278" w:lineRule="auto"/>
        <w:ind w:right="71" w:firstLine="409"/>
        <w:jc w:val="both"/>
        <w:rPr>
          <w:sz w:val="20"/>
          <w:szCs w:val="20"/>
        </w:rPr>
      </w:pPr>
      <w:r>
        <w:rPr>
          <w:spacing w:val="4"/>
          <w:sz w:val="20"/>
          <w:szCs w:val="20"/>
        </w:rPr>
        <w:t>项目是人们通过努力，运用各种方法，将人力</w:t>
      </w:r>
      <w:r>
        <w:rPr>
          <w:spacing w:val="3"/>
          <w:sz w:val="20"/>
          <w:szCs w:val="20"/>
        </w:rPr>
        <w:t>、材料和财务等资源组织起来，根据商业模</w:t>
      </w:r>
      <w:r>
        <w:rPr>
          <w:sz w:val="20"/>
          <w:szCs w:val="20"/>
        </w:rPr>
        <w:t xml:space="preserve"> </w:t>
      </w:r>
      <w:r>
        <w:rPr>
          <w:spacing w:val="3"/>
          <w:sz w:val="20"/>
          <w:szCs w:val="20"/>
        </w:rPr>
        <w:t>式的相关策划安排，进行一项独立一次性或长期无限期的工作任务，以期达到由数量和质量指</w:t>
      </w:r>
      <w:r>
        <w:rPr>
          <w:spacing w:val="8"/>
          <w:sz w:val="20"/>
          <w:szCs w:val="20"/>
        </w:rPr>
        <w:t xml:space="preserve"> </w:t>
      </w:r>
      <w:r>
        <w:rPr>
          <w:spacing w:val="-5"/>
          <w:sz w:val="20"/>
          <w:szCs w:val="20"/>
        </w:rPr>
        <w:t>标所限定的目标。</w:t>
      </w:r>
    </w:p>
    <w:p w14:paraId="1E80E3BC">
      <w:pPr>
        <w:pStyle w:val="2"/>
        <w:spacing w:before="92" w:line="221" w:lineRule="auto"/>
        <w:ind w:left="412"/>
        <w:rPr>
          <w:rFonts w:ascii="黑体" w:hAnsi="黑体" w:eastAsia="黑体" w:cs="黑体"/>
          <w:sz w:val="20"/>
          <w:szCs w:val="20"/>
        </w:rPr>
      </w:pPr>
      <w:r>
        <w:rPr>
          <w:b/>
          <w:bCs/>
          <w:color w:val="0067CF"/>
          <w:spacing w:val="-5"/>
          <w:sz w:val="20"/>
          <w:szCs w:val="20"/>
        </w:rPr>
        <w:t>1.</w:t>
      </w:r>
      <w:r>
        <w:rPr>
          <w:rFonts w:ascii="黑体" w:hAnsi="黑体" w:eastAsia="黑体" w:cs="黑体"/>
          <w:b/>
          <w:bCs/>
          <w:color w:val="0067CF"/>
          <w:spacing w:val="-5"/>
          <w:sz w:val="20"/>
          <w:szCs w:val="20"/>
        </w:rPr>
        <w:t>独特的产品、服务或成果</w:t>
      </w:r>
    </w:p>
    <w:p w14:paraId="263D22EC">
      <w:pPr>
        <w:pStyle w:val="2"/>
        <w:spacing w:before="146" w:line="279" w:lineRule="auto"/>
        <w:ind w:right="90" w:firstLine="409"/>
        <w:jc w:val="both"/>
        <w:rPr>
          <w:sz w:val="20"/>
          <w:szCs w:val="20"/>
        </w:rPr>
      </w:pPr>
      <w:r>
        <w:rPr>
          <w:spacing w:val="3"/>
          <w:sz w:val="20"/>
          <w:szCs w:val="20"/>
        </w:rPr>
        <w:t>开展项目是为了通过可交付成果达成目标。目标是指工作所指向的结果、要取得的战略地</w:t>
      </w:r>
      <w:r>
        <w:rPr>
          <w:sz w:val="20"/>
          <w:szCs w:val="20"/>
        </w:rPr>
        <w:t xml:space="preserve"> </w:t>
      </w:r>
      <w:r>
        <w:rPr>
          <w:spacing w:val="3"/>
          <w:sz w:val="20"/>
          <w:szCs w:val="20"/>
        </w:rPr>
        <w:t>位、要达到的目的、要获得的成果、要生产的产品，或者要提供的服务。可交付成果是指在某</w:t>
      </w:r>
      <w:r>
        <w:rPr>
          <w:spacing w:val="5"/>
          <w:sz w:val="20"/>
          <w:szCs w:val="20"/>
        </w:rPr>
        <w:t xml:space="preserve"> </w:t>
      </w:r>
      <w:r>
        <w:rPr>
          <w:spacing w:val="3"/>
          <w:sz w:val="20"/>
          <w:szCs w:val="20"/>
        </w:rPr>
        <w:t>一过程、阶段或项目完成时，形成的独特并可验证的产品、成果或服务。可交付成果可能是有</w:t>
      </w:r>
      <w:r>
        <w:rPr>
          <w:spacing w:val="5"/>
          <w:sz w:val="20"/>
          <w:szCs w:val="20"/>
        </w:rPr>
        <w:t xml:space="preserve"> </w:t>
      </w:r>
      <w:r>
        <w:rPr>
          <w:spacing w:val="-1"/>
          <w:sz w:val="20"/>
          <w:szCs w:val="20"/>
        </w:rPr>
        <w:t>形的，也可能是无形的。实现项目目标可能会产生一个或多个可</w:t>
      </w:r>
      <w:r>
        <w:rPr>
          <w:spacing w:val="-2"/>
          <w:sz w:val="20"/>
          <w:szCs w:val="20"/>
        </w:rPr>
        <w:t>交付成果。</w:t>
      </w:r>
    </w:p>
    <w:p w14:paraId="63628C9A">
      <w:pPr>
        <w:pStyle w:val="2"/>
        <w:spacing w:before="39" w:line="268" w:lineRule="auto"/>
        <w:ind w:firstLine="409"/>
        <w:jc w:val="both"/>
        <w:rPr>
          <w:sz w:val="20"/>
          <w:szCs w:val="20"/>
        </w:rPr>
      </w:pPr>
      <w:r>
        <w:rPr>
          <w:sz w:val="20"/>
          <w:szCs w:val="20"/>
        </w:rPr>
        <w:t>某些项目可交付成果和活动中可能存在相同的元素，但这并不会改变项目本质上的独特性。</w:t>
      </w:r>
      <w:r>
        <w:rPr>
          <w:spacing w:val="9"/>
          <w:sz w:val="20"/>
          <w:szCs w:val="20"/>
        </w:rPr>
        <w:t xml:space="preserve"> </w:t>
      </w:r>
      <w:r>
        <w:rPr>
          <w:spacing w:val="3"/>
          <w:sz w:val="20"/>
          <w:szCs w:val="20"/>
        </w:rPr>
        <w:t>例如，即便采用相同或相似的语言或工具，由相同的团队来开发，但每个信息系统项目仍具备</w:t>
      </w:r>
      <w:r>
        <w:rPr>
          <w:spacing w:val="2"/>
          <w:sz w:val="20"/>
          <w:szCs w:val="20"/>
        </w:rPr>
        <w:t xml:space="preserve">  </w:t>
      </w:r>
      <w:r>
        <w:rPr>
          <w:spacing w:val="3"/>
          <w:sz w:val="20"/>
          <w:szCs w:val="20"/>
        </w:rPr>
        <w:t>独特性(例如需求、设计、运行环境、项目干系人都是独特的)。</w:t>
      </w:r>
    </w:p>
    <w:p w14:paraId="30FF4CF1">
      <w:pPr>
        <w:pStyle w:val="2"/>
        <w:spacing w:before="30" w:line="273" w:lineRule="auto"/>
        <w:ind w:right="91" w:firstLine="409"/>
        <w:rPr>
          <w:sz w:val="20"/>
          <w:szCs w:val="20"/>
        </w:rPr>
      </w:pPr>
      <w:r>
        <w:rPr>
          <w:spacing w:val="2"/>
          <w:sz w:val="20"/>
          <w:szCs w:val="20"/>
        </w:rPr>
        <w:t>项目可以在组织的任何层级上开展。</w:t>
      </w:r>
      <w:r>
        <w:rPr>
          <w:spacing w:val="-46"/>
          <w:sz w:val="20"/>
          <w:szCs w:val="20"/>
        </w:rPr>
        <w:t xml:space="preserve"> </w:t>
      </w:r>
      <w:r>
        <w:rPr>
          <w:spacing w:val="2"/>
          <w:sz w:val="20"/>
          <w:szCs w:val="20"/>
        </w:rPr>
        <w:t>一个项目可能只涉</w:t>
      </w:r>
      <w:r>
        <w:rPr>
          <w:spacing w:val="1"/>
          <w:sz w:val="20"/>
          <w:szCs w:val="20"/>
        </w:rPr>
        <w:t>及一个人，也可能涉及一组人；可</w:t>
      </w:r>
      <w:r>
        <w:rPr>
          <w:sz w:val="20"/>
          <w:szCs w:val="20"/>
        </w:rPr>
        <w:t xml:space="preserve"> </w:t>
      </w:r>
      <w:r>
        <w:rPr>
          <w:spacing w:val="-1"/>
          <w:sz w:val="20"/>
          <w:szCs w:val="20"/>
        </w:rPr>
        <w:t>能只涉及一个组织单元，也可能涉及多个组织的多个单元。</w:t>
      </w:r>
    </w:p>
    <w:p w14:paraId="446C0F32">
      <w:pPr>
        <w:pStyle w:val="2"/>
        <w:spacing w:before="115" w:line="222" w:lineRule="auto"/>
        <w:ind w:left="412"/>
        <w:rPr>
          <w:rFonts w:ascii="黑体" w:hAnsi="黑体" w:eastAsia="黑体" w:cs="黑体"/>
          <w:sz w:val="20"/>
          <w:szCs w:val="20"/>
        </w:rPr>
      </w:pPr>
      <w:r>
        <w:rPr>
          <w:b/>
          <w:bCs/>
          <w:color w:val="0061D0"/>
          <w:spacing w:val="-6"/>
          <w:sz w:val="20"/>
          <w:szCs w:val="20"/>
        </w:rPr>
        <w:t>2.</w:t>
      </w:r>
      <w:r>
        <w:rPr>
          <w:rFonts w:ascii="黑体" w:hAnsi="黑体" w:eastAsia="黑体" w:cs="黑体"/>
          <w:b/>
          <w:bCs/>
          <w:color w:val="0061D0"/>
          <w:spacing w:val="-6"/>
          <w:sz w:val="20"/>
          <w:szCs w:val="20"/>
        </w:rPr>
        <w:t>临时性工作</w:t>
      </w:r>
    </w:p>
    <w:p w14:paraId="0E95F111">
      <w:pPr>
        <w:pStyle w:val="2"/>
        <w:spacing w:before="143" w:line="271" w:lineRule="auto"/>
        <w:ind w:firstLine="409"/>
        <w:rPr>
          <w:sz w:val="20"/>
          <w:szCs w:val="20"/>
        </w:rPr>
      </w:pPr>
      <w:r>
        <w:rPr>
          <w:spacing w:val="5"/>
          <w:sz w:val="20"/>
          <w:szCs w:val="20"/>
        </w:rPr>
        <w:t>项目的临时性是指项目有明确的起点和终点。临时性并不一定意味着项目的持续时间短。</w:t>
      </w:r>
      <w:r>
        <w:rPr>
          <w:spacing w:val="14"/>
          <w:sz w:val="20"/>
          <w:szCs w:val="20"/>
        </w:rPr>
        <w:t xml:space="preserve"> </w:t>
      </w:r>
      <w:r>
        <w:rPr>
          <w:spacing w:val="-4"/>
          <w:sz w:val="20"/>
          <w:szCs w:val="20"/>
        </w:rPr>
        <w:t>项目可宣告结束的情况主要包括：</w:t>
      </w:r>
    </w:p>
    <w:p w14:paraId="3DFC3442">
      <w:pPr>
        <w:spacing w:line="271" w:lineRule="auto"/>
        <w:rPr>
          <w:sz w:val="20"/>
          <w:szCs w:val="20"/>
        </w:rPr>
        <w:sectPr>
          <w:pgSz w:w="10290" w:h="13290"/>
          <w:pgMar w:top="400" w:right="729" w:bottom="400" w:left="1140" w:header="0" w:footer="0" w:gutter="0"/>
          <w:cols w:space="720" w:num="1"/>
        </w:sectPr>
      </w:pPr>
    </w:p>
    <w:p w14:paraId="19E88EC8">
      <w:pPr>
        <w:pStyle w:val="2"/>
        <w:spacing w:before="107" w:line="219" w:lineRule="auto"/>
        <w:rPr>
          <w:sz w:val="19"/>
          <w:szCs w:val="19"/>
        </w:rPr>
      </w:pPr>
      <w:r>
        <w:rPr>
          <w:rFonts w:ascii="Times New Roman" w:hAnsi="Times New Roman" w:eastAsia="Times New Roman" w:cs="Times New Roman"/>
          <w:spacing w:val="3"/>
          <w:position w:val="-2"/>
          <w:sz w:val="19"/>
          <w:szCs w:val="19"/>
        </w:rPr>
        <w:t xml:space="preserve">368              </w:t>
      </w:r>
      <w:r>
        <w:rPr>
          <w:spacing w:val="3"/>
          <w:sz w:val="19"/>
          <w:szCs w:val="19"/>
        </w:rPr>
        <w:t>信息系统监理</w:t>
      </w:r>
      <w:r>
        <w:rPr>
          <w:spacing w:val="2"/>
          <w:sz w:val="19"/>
          <w:szCs w:val="19"/>
        </w:rPr>
        <w:t>师教程(第2版)</w:t>
      </w:r>
    </w:p>
    <w:p w14:paraId="0D2D9E5F">
      <w:pPr>
        <w:spacing w:line="325" w:lineRule="auto"/>
        <w:rPr>
          <w:rFonts w:ascii="Arial"/>
          <w:sz w:val="21"/>
        </w:rPr>
      </w:pPr>
    </w:p>
    <w:p w14:paraId="391F7710">
      <w:pPr>
        <w:pStyle w:val="2"/>
        <w:spacing w:before="62" w:line="220" w:lineRule="auto"/>
        <w:ind w:left="739"/>
        <w:rPr>
          <w:sz w:val="19"/>
          <w:szCs w:val="19"/>
        </w:rPr>
      </w:pPr>
      <w:r>
        <w:rPr>
          <w:spacing w:val="12"/>
          <w:sz w:val="19"/>
          <w:szCs w:val="19"/>
        </w:rPr>
        <w:t>(1)达成项目目标；</w:t>
      </w:r>
    </w:p>
    <w:p w14:paraId="000E8206">
      <w:pPr>
        <w:pStyle w:val="2"/>
        <w:spacing w:before="91" w:line="219" w:lineRule="auto"/>
        <w:ind w:left="739"/>
        <w:rPr>
          <w:sz w:val="19"/>
          <w:szCs w:val="19"/>
        </w:rPr>
      </w:pPr>
      <w:r>
        <w:rPr>
          <w:spacing w:val="11"/>
          <w:sz w:val="19"/>
          <w:szCs w:val="19"/>
        </w:rPr>
        <w:t>(2)不会或不能达到目标；</w:t>
      </w:r>
    </w:p>
    <w:p w14:paraId="2CA83E37">
      <w:pPr>
        <w:pStyle w:val="2"/>
        <w:spacing w:before="95" w:line="219" w:lineRule="auto"/>
        <w:ind w:left="739"/>
        <w:rPr>
          <w:sz w:val="19"/>
          <w:szCs w:val="19"/>
        </w:rPr>
      </w:pPr>
      <w:r>
        <w:rPr>
          <w:spacing w:val="11"/>
          <w:sz w:val="19"/>
          <w:szCs w:val="19"/>
        </w:rPr>
        <w:t>(3)项目资金耗尽或不再获得资金支持；</w:t>
      </w:r>
    </w:p>
    <w:p w14:paraId="48CA3F41">
      <w:pPr>
        <w:pStyle w:val="2"/>
        <w:spacing w:before="95" w:line="265" w:lineRule="auto"/>
        <w:ind w:left="349" w:right="32" w:firstLine="389"/>
        <w:rPr>
          <w:sz w:val="19"/>
          <w:szCs w:val="19"/>
        </w:rPr>
      </w:pPr>
      <w:r>
        <w:rPr>
          <w:spacing w:val="18"/>
          <w:sz w:val="19"/>
          <w:szCs w:val="19"/>
        </w:rPr>
        <w:t>(4)对项目的需求不复存在(例如，客户不再要求完成项目，战略或优先级的变更致使项</w:t>
      </w:r>
      <w:r>
        <w:rPr>
          <w:sz w:val="19"/>
          <w:szCs w:val="19"/>
        </w:rPr>
        <w:t xml:space="preserve"> </w:t>
      </w:r>
      <w:r>
        <w:rPr>
          <w:spacing w:val="7"/>
          <w:sz w:val="19"/>
          <w:szCs w:val="19"/>
        </w:rPr>
        <w:t>目终止，组织管理层下达终止项目的指示);</w:t>
      </w:r>
    </w:p>
    <w:p w14:paraId="785B9B41">
      <w:pPr>
        <w:pStyle w:val="2"/>
        <w:spacing w:before="85" w:line="219" w:lineRule="auto"/>
        <w:ind w:left="739"/>
        <w:rPr>
          <w:sz w:val="19"/>
          <w:szCs w:val="19"/>
        </w:rPr>
      </w:pPr>
      <w:r>
        <w:rPr>
          <w:spacing w:val="11"/>
          <w:sz w:val="19"/>
          <w:szCs w:val="19"/>
        </w:rPr>
        <w:t>(5)无法获得所需的人力或物力资源；</w:t>
      </w:r>
    </w:p>
    <w:p w14:paraId="0E7145D3">
      <w:pPr>
        <w:pStyle w:val="2"/>
        <w:spacing w:before="84" w:line="219" w:lineRule="auto"/>
        <w:ind w:left="739"/>
        <w:rPr>
          <w:sz w:val="19"/>
          <w:szCs w:val="19"/>
        </w:rPr>
      </w:pPr>
      <w:r>
        <w:rPr>
          <w:spacing w:val="11"/>
          <w:sz w:val="19"/>
          <w:szCs w:val="19"/>
        </w:rPr>
        <w:t>(6)出于法律或其他原因终止项目等。</w:t>
      </w:r>
    </w:p>
    <w:p w14:paraId="0762F490">
      <w:pPr>
        <w:pStyle w:val="2"/>
        <w:spacing w:before="123" w:line="219" w:lineRule="auto"/>
        <w:ind w:left="739"/>
        <w:rPr>
          <w:sz w:val="19"/>
          <w:szCs w:val="19"/>
        </w:rPr>
      </w:pPr>
      <w:r>
        <w:rPr>
          <w:spacing w:val="8"/>
          <w:sz w:val="19"/>
          <w:szCs w:val="19"/>
        </w:rPr>
        <w:t>虽然项目是临时性工作，但其可交付成果可能会在项目终止后依然存在。</w:t>
      </w:r>
    </w:p>
    <w:p w14:paraId="352EA3C7">
      <w:pPr>
        <w:spacing w:line="173" w:lineRule="exact"/>
      </w:pPr>
    </w:p>
    <w:p w14:paraId="4D20FA09">
      <w:pPr>
        <w:spacing w:line="173" w:lineRule="exact"/>
        <w:sectPr>
          <w:pgSz w:w="10290" w:h="13400"/>
          <w:pgMar w:top="400" w:right="1095" w:bottom="400" w:left="480" w:header="0" w:footer="0" w:gutter="0"/>
          <w:cols w:equalWidth="0" w:num="1">
            <w:col w:w="8715"/>
          </w:cols>
        </w:sectPr>
      </w:pPr>
    </w:p>
    <w:p w14:paraId="372BBEE5">
      <w:pPr>
        <w:pStyle w:val="2"/>
        <w:spacing w:line="221" w:lineRule="auto"/>
        <w:ind w:left="742"/>
        <w:rPr>
          <w:rFonts w:ascii="黑体" w:hAnsi="黑体" w:eastAsia="黑体" w:cs="黑体"/>
          <w:sz w:val="19"/>
          <w:szCs w:val="19"/>
        </w:rPr>
      </w:pPr>
      <w:r>
        <w:rPr>
          <w:b/>
          <w:bCs/>
          <w:color w:val="0080D6"/>
          <w:spacing w:val="8"/>
          <w:sz w:val="19"/>
          <w:szCs w:val="19"/>
        </w:rPr>
        <w:t>3.</w:t>
      </w:r>
      <w:r>
        <w:rPr>
          <w:rFonts w:ascii="黑体" w:hAnsi="黑体" w:eastAsia="黑体" w:cs="黑体"/>
          <w:b/>
          <w:bCs/>
          <w:color w:val="0080D6"/>
          <w:spacing w:val="8"/>
          <w:sz w:val="19"/>
          <w:szCs w:val="19"/>
        </w:rPr>
        <w:t>项目驱动变更</w:t>
      </w:r>
    </w:p>
    <w:p w14:paraId="475128B6">
      <w:pPr>
        <w:pStyle w:val="2"/>
        <w:spacing w:before="132" w:line="298" w:lineRule="auto"/>
        <w:ind w:left="349" w:right="81" w:firstLine="389"/>
        <w:rPr>
          <w:sz w:val="19"/>
          <w:szCs w:val="19"/>
        </w:rPr>
      </w:pPr>
      <w:r>
        <w:rPr>
          <w:spacing w:val="13"/>
          <w:sz w:val="19"/>
          <w:szCs w:val="19"/>
        </w:rPr>
        <w:t>项目驱动组织进行变更。从业务价值角度看，</w:t>
      </w:r>
      <w:r>
        <w:rPr>
          <w:spacing w:val="14"/>
          <w:sz w:val="19"/>
          <w:szCs w:val="19"/>
        </w:rPr>
        <w:t xml:space="preserve"> </w:t>
      </w:r>
      <w:r>
        <w:rPr>
          <w:spacing w:val="10"/>
          <w:sz w:val="19"/>
          <w:szCs w:val="19"/>
        </w:rPr>
        <w:t>项目旨在推动组织从一个状态转到另一个状态，从</w:t>
      </w:r>
      <w:r>
        <w:rPr>
          <w:spacing w:val="16"/>
          <w:sz w:val="19"/>
          <w:szCs w:val="19"/>
        </w:rPr>
        <w:t xml:space="preserve"> </w:t>
      </w:r>
      <w:r>
        <w:rPr>
          <w:spacing w:val="10"/>
          <w:sz w:val="19"/>
          <w:szCs w:val="19"/>
        </w:rPr>
        <w:t>而达成特定目标，获得更高的业务价值，如图16-1</w:t>
      </w:r>
      <w:r>
        <w:rPr>
          <w:spacing w:val="8"/>
          <w:sz w:val="19"/>
          <w:szCs w:val="19"/>
        </w:rPr>
        <w:t xml:space="preserve"> </w:t>
      </w:r>
      <w:r>
        <w:rPr>
          <w:spacing w:val="17"/>
          <w:sz w:val="19"/>
          <w:szCs w:val="19"/>
        </w:rPr>
        <w:t>所示。在项目开始之前，组织处于“当前状态”,</w:t>
      </w:r>
      <w:r>
        <w:rPr>
          <w:spacing w:val="8"/>
          <w:sz w:val="19"/>
          <w:szCs w:val="19"/>
        </w:rPr>
        <w:t xml:space="preserve"> </w:t>
      </w:r>
      <w:r>
        <w:rPr>
          <w:spacing w:val="11"/>
          <w:sz w:val="19"/>
          <w:szCs w:val="19"/>
        </w:rPr>
        <w:t>项目驱动变更是为了获得期望的结果，即“将来状</w:t>
      </w:r>
      <w:r>
        <w:rPr>
          <w:spacing w:val="15"/>
          <w:sz w:val="19"/>
          <w:szCs w:val="19"/>
        </w:rPr>
        <w:t xml:space="preserve"> </w:t>
      </w:r>
      <w:r>
        <w:rPr>
          <w:spacing w:val="12"/>
          <w:sz w:val="19"/>
          <w:szCs w:val="19"/>
        </w:rPr>
        <w:t>态”。通过成功完成一个或一系列项目，组织可以</w:t>
      </w:r>
      <w:r>
        <w:rPr>
          <w:spacing w:val="2"/>
          <w:sz w:val="19"/>
          <w:szCs w:val="19"/>
        </w:rPr>
        <w:t xml:space="preserve"> </w:t>
      </w:r>
      <w:r>
        <w:rPr>
          <w:spacing w:val="6"/>
          <w:sz w:val="19"/>
          <w:szCs w:val="19"/>
        </w:rPr>
        <w:t>实现将来状态并达成特定的目标。</w:t>
      </w:r>
    </w:p>
    <w:p w14:paraId="5C914CC2">
      <w:pPr>
        <w:pStyle w:val="2"/>
        <w:spacing w:before="163" w:line="221" w:lineRule="auto"/>
        <w:ind w:left="742"/>
        <w:rPr>
          <w:rFonts w:ascii="黑体" w:hAnsi="黑体" w:eastAsia="黑体" w:cs="黑体"/>
          <w:sz w:val="19"/>
          <w:szCs w:val="19"/>
        </w:rPr>
      </w:pPr>
      <w:r>
        <w:rPr>
          <w:b/>
          <w:bCs/>
          <w:color w:val="0082D9"/>
          <w:spacing w:val="8"/>
          <w:sz w:val="19"/>
          <w:szCs w:val="19"/>
        </w:rPr>
        <w:t>4.</w:t>
      </w:r>
      <w:r>
        <w:rPr>
          <w:rFonts w:ascii="黑体" w:hAnsi="黑体" w:eastAsia="黑体" w:cs="黑体"/>
          <w:b/>
          <w:bCs/>
          <w:color w:val="0082D9"/>
          <w:spacing w:val="8"/>
          <w:sz w:val="19"/>
          <w:szCs w:val="19"/>
        </w:rPr>
        <w:t>项目创造业务价值</w:t>
      </w:r>
    </w:p>
    <w:p w14:paraId="2588604B">
      <w:pPr>
        <w:pStyle w:val="2"/>
        <w:spacing w:before="154" w:line="323" w:lineRule="auto"/>
        <w:ind w:left="349" w:right="132" w:firstLine="389"/>
        <w:rPr>
          <w:sz w:val="16"/>
          <w:szCs w:val="16"/>
        </w:rPr>
      </w:pPr>
      <w:r>
        <w:rPr>
          <w:spacing w:val="17"/>
          <w:w w:val="115"/>
          <w:sz w:val="16"/>
          <w:szCs w:val="16"/>
        </w:rPr>
        <w:t>业务价值是从组织运营中获得的可量化的净效</w:t>
      </w:r>
      <w:r>
        <w:rPr>
          <w:spacing w:val="5"/>
          <w:sz w:val="16"/>
          <w:szCs w:val="16"/>
        </w:rPr>
        <w:t xml:space="preserve"> </w:t>
      </w:r>
      <w:r>
        <w:rPr>
          <w:spacing w:val="25"/>
          <w:sz w:val="16"/>
          <w:szCs w:val="16"/>
        </w:rPr>
        <w:t>益</w:t>
      </w:r>
      <w:r>
        <w:rPr>
          <w:spacing w:val="-15"/>
          <w:sz w:val="16"/>
          <w:szCs w:val="16"/>
        </w:rPr>
        <w:t xml:space="preserve"> </w:t>
      </w:r>
      <w:r>
        <w:rPr>
          <w:spacing w:val="25"/>
          <w:sz w:val="16"/>
          <w:szCs w:val="16"/>
        </w:rPr>
        <w:t>。</w:t>
      </w:r>
      <w:r>
        <w:rPr>
          <w:spacing w:val="-31"/>
          <w:sz w:val="16"/>
          <w:szCs w:val="16"/>
        </w:rPr>
        <w:t xml:space="preserve"> </w:t>
      </w:r>
      <w:r>
        <w:rPr>
          <w:spacing w:val="25"/>
          <w:sz w:val="16"/>
          <w:szCs w:val="16"/>
        </w:rPr>
        <w:t>在价值分析中</w:t>
      </w:r>
      <w:r>
        <w:rPr>
          <w:spacing w:val="-18"/>
          <w:sz w:val="16"/>
          <w:szCs w:val="16"/>
        </w:rPr>
        <w:t xml:space="preserve"> </w:t>
      </w:r>
      <w:r>
        <w:rPr>
          <w:spacing w:val="25"/>
          <w:sz w:val="16"/>
          <w:szCs w:val="16"/>
        </w:rPr>
        <w:t>，</w:t>
      </w:r>
      <w:r>
        <w:rPr>
          <w:spacing w:val="-31"/>
          <w:sz w:val="16"/>
          <w:szCs w:val="16"/>
        </w:rPr>
        <w:t xml:space="preserve"> </w:t>
      </w:r>
      <w:r>
        <w:rPr>
          <w:spacing w:val="25"/>
          <w:sz w:val="16"/>
          <w:szCs w:val="16"/>
        </w:rPr>
        <w:t>业务价值被视为回报</w:t>
      </w:r>
      <w:r>
        <w:rPr>
          <w:spacing w:val="-18"/>
          <w:sz w:val="16"/>
          <w:szCs w:val="16"/>
        </w:rPr>
        <w:t xml:space="preserve"> </w:t>
      </w:r>
      <w:r>
        <w:rPr>
          <w:spacing w:val="25"/>
          <w:sz w:val="16"/>
          <w:szCs w:val="16"/>
        </w:rPr>
        <w:t>，</w:t>
      </w:r>
      <w:r>
        <w:rPr>
          <w:spacing w:val="-18"/>
          <w:sz w:val="16"/>
          <w:szCs w:val="16"/>
        </w:rPr>
        <w:t xml:space="preserve"> </w:t>
      </w:r>
      <w:r>
        <w:rPr>
          <w:spacing w:val="25"/>
          <w:sz w:val="16"/>
          <w:szCs w:val="16"/>
        </w:rPr>
        <w:t>即</w:t>
      </w:r>
      <w:r>
        <w:rPr>
          <w:spacing w:val="24"/>
          <w:sz w:val="16"/>
          <w:szCs w:val="16"/>
        </w:rPr>
        <w:t>以某</w:t>
      </w:r>
    </w:p>
    <w:p w14:paraId="58FF0A93">
      <w:pPr>
        <w:spacing w:line="14" w:lineRule="auto"/>
        <w:rPr>
          <w:rFonts w:ascii="Arial"/>
          <w:sz w:val="2"/>
        </w:rPr>
      </w:pPr>
      <w:r>
        <w:rPr>
          <w:rFonts w:ascii="Arial" w:hAnsi="Arial" w:eastAsia="Arial" w:cs="Arial"/>
          <w:sz w:val="2"/>
          <w:szCs w:val="2"/>
        </w:rPr>
        <w:br w:type="column"/>
      </w:r>
    </w:p>
    <w:p w14:paraId="7AA08B83">
      <w:pPr>
        <w:spacing w:line="374" w:lineRule="auto"/>
        <w:rPr>
          <w:rFonts w:ascii="Arial"/>
          <w:sz w:val="21"/>
        </w:rPr>
      </w:pPr>
    </w:p>
    <w:p w14:paraId="7A36E627">
      <w:pPr>
        <w:pStyle w:val="2"/>
        <w:spacing w:line="2728" w:lineRule="exact"/>
      </w:pPr>
      <w:r>
        <w:rPr>
          <w:position w:val="-54"/>
        </w:rPr>
        <w:pict>
          <v:group id="_x0000_s1504" o:spid="_x0000_s1504" o:spt="203" style="height:136.4pt;width:185pt;" coordsize="3700,2727">
            <o:lock v:ext="edit"/>
            <v:shape id="_x0000_s1505" o:spid="_x0000_s1505" o:spt="75" type="#_x0000_t75" style="position:absolute;left:0;top:187;height:2540;width:3700;" filled="f" stroked="f" coordsize="21600,21600">
              <v:path/>
              <v:fill on="f" focussize="0,0"/>
              <v:stroke on="f"/>
              <v:imagedata r:id="rId230" o:title=""/>
              <o:lock v:ext="edit" aspectratio="t"/>
            </v:shape>
            <v:shape id="_x0000_s1506" o:spid="_x0000_s1506" o:spt="202" type="#_x0000_t202" style="position:absolute;left:69;top:-20;height:2757;width:3613;" filled="f" stroked="f" coordsize="21600,21600">
              <v:path/>
              <v:fill on="f" focussize="0,0"/>
              <v:stroke on="f"/>
              <v:imagedata o:title=""/>
              <o:lock v:ext="edit" aspectratio="f"/>
              <v:textbox inset="0mm,0mm,0mm,0mm">
                <w:txbxContent>
                  <w:p w14:paraId="7551E70E">
                    <w:pPr>
                      <w:spacing w:before="19" w:line="224" w:lineRule="auto"/>
                      <w:ind w:left="1619"/>
                      <w:rPr>
                        <w:rFonts w:ascii="宋体" w:hAnsi="宋体" w:eastAsia="宋体" w:cs="宋体"/>
                        <w:sz w:val="19"/>
                        <w:szCs w:val="19"/>
                      </w:rPr>
                    </w:pPr>
                    <w:r>
                      <w:rPr>
                        <w:rFonts w:ascii="宋体" w:hAnsi="宋体" w:eastAsia="宋体" w:cs="宋体"/>
                        <w:spacing w:val="-3"/>
                        <w:sz w:val="19"/>
                        <w:szCs w:val="19"/>
                      </w:rPr>
                      <w:t>组织</w:t>
                    </w:r>
                  </w:p>
                  <w:p w14:paraId="0075D146">
                    <w:pPr>
                      <w:spacing w:before="53" w:line="218" w:lineRule="auto"/>
                      <w:ind w:left="20"/>
                      <w:rPr>
                        <w:rFonts w:ascii="宋体" w:hAnsi="宋体" w:eastAsia="宋体" w:cs="宋体"/>
                        <w:sz w:val="19"/>
                        <w:szCs w:val="19"/>
                      </w:rPr>
                    </w:pPr>
                    <w:r>
                      <w:rPr>
                        <w:rFonts w:ascii="宋体" w:hAnsi="宋体" w:eastAsia="宋体" w:cs="宋体"/>
                        <w:spacing w:val="-14"/>
                        <w:sz w:val="19"/>
                        <w:szCs w:val="19"/>
                      </w:rPr>
                      <w:t>商业价值</w:t>
                    </w:r>
                  </w:p>
                  <w:p w14:paraId="6C7FC9FE">
                    <w:pPr>
                      <w:spacing w:line="253" w:lineRule="auto"/>
                      <w:rPr>
                        <w:rFonts w:ascii="Arial"/>
                        <w:sz w:val="21"/>
                      </w:rPr>
                    </w:pPr>
                  </w:p>
                  <w:p w14:paraId="325C427D">
                    <w:pPr>
                      <w:spacing w:before="62" w:line="219" w:lineRule="auto"/>
                      <w:ind w:left="2380"/>
                      <w:rPr>
                        <w:rFonts w:ascii="宋体" w:hAnsi="宋体" w:eastAsia="宋体" w:cs="宋体"/>
                        <w:sz w:val="19"/>
                        <w:szCs w:val="19"/>
                      </w:rPr>
                    </w:pPr>
                    <w:r>
                      <w:rPr>
                        <w:rFonts w:ascii="宋体" w:hAnsi="宋体" w:eastAsia="宋体" w:cs="宋体"/>
                        <w:spacing w:val="-12"/>
                        <w:sz w:val="19"/>
                        <w:szCs w:val="19"/>
                      </w:rPr>
                      <w:t>将来状态</w:t>
                    </w:r>
                  </w:p>
                  <w:p w14:paraId="562087B4">
                    <w:pPr>
                      <w:spacing w:before="17" w:line="260" w:lineRule="exact"/>
                      <w:ind w:firstLine="1640"/>
                    </w:pPr>
                    <w:r>
                      <w:rPr>
                        <w:position w:val="-5"/>
                      </w:rPr>
                      <w:drawing>
                        <wp:inline distT="0" distB="0" distL="0" distR="0">
                          <wp:extent cx="227965" cy="165100"/>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231"/>
                                  <a:stretch>
                                    <a:fillRect/>
                                  </a:stretch>
                                </pic:blipFill>
                                <pic:spPr>
                                  <a:xfrm>
                                    <a:off x="0" y="0"/>
                                    <a:ext cx="228564" cy="165159"/>
                                  </a:xfrm>
                                  <a:prstGeom prst="rect">
                                    <a:avLst/>
                                  </a:prstGeom>
                                </pic:spPr>
                              </pic:pic>
                            </a:graphicData>
                          </a:graphic>
                        </wp:inline>
                      </w:drawing>
                    </w:r>
                  </w:p>
                  <w:p w14:paraId="3AD815DA">
                    <w:pPr>
                      <w:spacing w:before="86" w:line="211" w:lineRule="auto"/>
                      <w:ind w:left="1619" w:right="1331" w:hanging="29"/>
                      <w:rPr>
                        <w:rFonts w:ascii="宋体" w:hAnsi="宋体" w:eastAsia="宋体" w:cs="宋体"/>
                        <w:sz w:val="19"/>
                        <w:szCs w:val="19"/>
                      </w:rPr>
                    </w:pPr>
                    <w:r>
                      <w:rPr>
                        <w:rFonts w:ascii="宋体" w:hAnsi="宋体" w:eastAsia="宋体" w:cs="宋体"/>
                        <w:spacing w:val="-17"/>
                        <w:sz w:val="19"/>
                        <w:szCs w:val="19"/>
                      </w:rPr>
                      <w:t>项目活动</w:t>
                    </w:r>
                    <w:r>
                      <w:rPr>
                        <w:rFonts w:ascii="宋体" w:hAnsi="宋体" w:eastAsia="宋体" w:cs="宋体"/>
                        <w:sz w:val="19"/>
                        <w:szCs w:val="19"/>
                      </w:rPr>
                      <w:t xml:space="preserve"> </w:t>
                    </w:r>
                    <w:r>
                      <w:rPr>
                        <w:rFonts w:ascii="宋体" w:hAnsi="宋体" w:eastAsia="宋体" w:cs="宋体"/>
                        <w:spacing w:val="-26"/>
                        <w:sz w:val="19"/>
                        <w:szCs w:val="19"/>
                      </w:rPr>
                      <w:t>·活动A</w:t>
                    </w:r>
                    <w:r>
                      <w:rPr>
                        <w:rFonts w:ascii="宋体" w:hAnsi="宋体" w:eastAsia="宋体" w:cs="宋体"/>
                        <w:sz w:val="19"/>
                        <w:szCs w:val="19"/>
                      </w:rPr>
                      <w:t xml:space="preserve">  </w:t>
                    </w:r>
                    <w:r>
                      <w:rPr>
                        <w:rFonts w:ascii="宋体" w:hAnsi="宋体" w:eastAsia="宋体" w:cs="宋体"/>
                        <w:spacing w:val="-29"/>
                        <w:sz w:val="19"/>
                        <w:szCs w:val="19"/>
                      </w:rPr>
                      <w:t>·活动B</w:t>
                    </w:r>
                    <w:r>
                      <w:rPr>
                        <w:rFonts w:ascii="宋体" w:hAnsi="宋体" w:eastAsia="宋体" w:cs="宋体"/>
                        <w:spacing w:val="1"/>
                        <w:sz w:val="19"/>
                        <w:szCs w:val="19"/>
                      </w:rPr>
                      <w:t xml:space="preserve">  </w:t>
                    </w:r>
                    <w:r>
                      <w:rPr>
                        <w:rFonts w:ascii="宋体" w:hAnsi="宋体" w:eastAsia="宋体" w:cs="宋体"/>
                        <w:spacing w:val="-25"/>
                        <w:sz w:val="19"/>
                        <w:szCs w:val="19"/>
                      </w:rPr>
                      <w:t>·活动C</w:t>
                    </w:r>
                  </w:p>
                  <w:p w14:paraId="7D8F2043">
                    <w:pPr>
                      <w:spacing w:before="55" w:line="50" w:lineRule="exact"/>
                      <w:ind w:firstLine="1580"/>
                    </w:pPr>
                    <w:r>
                      <w:drawing>
                        <wp:inline distT="0" distB="0" distL="0" distR="0">
                          <wp:extent cx="221615" cy="31115"/>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232"/>
                                  <a:stretch>
                                    <a:fillRect/>
                                  </a:stretch>
                                </pic:blipFill>
                                <pic:spPr>
                                  <a:xfrm>
                                    <a:off x="0" y="0"/>
                                    <a:ext cx="222226" cy="31738"/>
                                  </a:xfrm>
                                  <a:prstGeom prst="rect">
                                    <a:avLst/>
                                  </a:prstGeom>
                                </pic:spPr>
                              </pic:pic>
                            </a:graphicData>
                          </a:graphic>
                        </wp:inline>
                      </w:drawing>
                    </w:r>
                  </w:p>
                  <w:p w14:paraId="421AB406">
                    <w:pPr>
                      <w:spacing w:before="140" w:line="221" w:lineRule="auto"/>
                      <w:ind w:right="15"/>
                      <w:jc w:val="right"/>
                      <w:rPr>
                        <w:rFonts w:ascii="宋体" w:hAnsi="宋体" w:eastAsia="宋体" w:cs="宋体"/>
                        <w:sz w:val="19"/>
                        <w:szCs w:val="19"/>
                      </w:rPr>
                    </w:pPr>
                    <w:r>
                      <w:rPr>
                        <w:rFonts w:ascii="宋体" w:hAnsi="宋体" w:eastAsia="宋体" w:cs="宋体"/>
                        <w:color w:val="0081F2"/>
                        <w:spacing w:val="-21"/>
                        <w:sz w:val="19"/>
                        <w:szCs w:val="19"/>
                      </w:rPr>
                      <w:t>→</w:t>
                    </w:r>
                    <w:r>
                      <w:rPr>
                        <w:rFonts w:ascii="宋体" w:hAnsi="宋体" w:eastAsia="宋体" w:cs="宋体"/>
                        <w:spacing w:val="-21"/>
                        <w:sz w:val="19"/>
                        <w:szCs w:val="19"/>
                      </w:rPr>
                      <w:t>时间</w:t>
                    </w:r>
                  </w:p>
                </w:txbxContent>
              </v:textbox>
            </v:shape>
            <v:shape id="_x0000_s1507" o:spid="_x0000_s1507" o:spt="202" type="#_x0000_t202" style="position:absolute;left:689;top:1305;height:230;width:719;" filled="f" stroked="f" coordsize="21600,21600">
              <v:path/>
              <v:fill on="f" focussize="0,0"/>
              <v:stroke on="f"/>
              <v:imagedata o:title=""/>
              <o:lock v:ext="edit" aspectratio="f"/>
              <v:textbox inset="0mm,0mm,0mm,0mm">
                <w:txbxContent>
                  <w:p w14:paraId="25D0BD33">
                    <w:pPr>
                      <w:spacing w:before="20" w:line="219" w:lineRule="auto"/>
                      <w:jc w:val="right"/>
                      <w:rPr>
                        <w:rFonts w:ascii="宋体" w:hAnsi="宋体" w:eastAsia="宋体" w:cs="宋体"/>
                        <w:sz w:val="19"/>
                        <w:szCs w:val="19"/>
                      </w:rPr>
                    </w:pPr>
                    <w:r>
                      <w:rPr>
                        <w:rFonts w:ascii="宋体" w:hAnsi="宋体" w:eastAsia="宋体" w:cs="宋体"/>
                        <w:spacing w:val="-25"/>
                        <w:sz w:val="19"/>
                        <w:szCs w:val="19"/>
                      </w:rPr>
                      <w:t>当前</w:t>
                    </w:r>
                    <w:r>
                      <w:rPr>
                        <w:rFonts w:ascii="宋体" w:hAnsi="宋体" w:eastAsia="宋体" w:cs="宋体"/>
                        <w:spacing w:val="-24"/>
                        <w:sz w:val="19"/>
                        <w:szCs w:val="19"/>
                      </w:rPr>
                      <w:t>状</w:t>
                    </w:r>
                    <w:r>
                      <w:rPr>
                        <w:rFonts w:ascii="宋体" w:hAnsi="宋体" w:eastAsia="宋体" w:cs="宋体"/>
                        <w:spacing w:val="-10"/>
                        <w:sz w:val="19"/>
                        <w:szCs w:val="19"/>
                      </w:rPr>
                      <w:t>态</w:t>
                    </w:r>
                  </w:p>
                </w:txbxContent>
              </v:textbox>
            </v:shape>
            <w10:wrap type="none"/>
            <w10:anchorlock/>
          </v:group>
        </w:pict>
      </w:r>
    </w:p>
    <w:p w14:paraId="54BD0E24">
      <w:pPr>
        <w:pStyle w:val="2"/>
        <w:spacing w:before="146" w:line="219" w:lineRule="auto"/>
        <w:ind w:left="429"/>
        <w:rPr>
          <w:sz w:val="16"/>
          <w:szCs w:val="16"/>
        </w:rPr>
      </w:pPr>
      <w:r>
        <w:rPr>
          <w:spacing w:val="17"/>
          <w:sz w:val="16"/>
          <w:szCs w:val="16"/>
        </w:rPr>
        <w:t>图16-</w:t>
      </w:r>
      <w:r>
        <w:rPr>
          <w:spacing w:val="-37"/>
          <w:sz w:val="16"/>
          <w:szCs w:val="16"/>
        </w:rPr>
        <w:t xml:space="preserve"> </w:t>
      </w:r>
      <w:r>
        <w:rPr>
          <w:spacing w:val="17"/>
          <w:sz w:val="16"/>
          <w:szCs w:val="16"/>
        </w:rPr>
        <w:t>1</w:t>
      </w:r>
      <w:r>
        <w:rPr>
          <w:spacing w:val="1"/>
          <w:sz w:val="16"/>
          <w:szCs w:val="16"/>
        </w:rPr>
        <w:t xml:space="preserve">  </w:t>
      </w:r>
      <w:r>
        <w:rPr>
          <w:spacing w:val="17"/>
          <w:sz w:val="16"/>
          <w:szCs w:val="16"/>
        </w:rPr>
        <w:t>组织通过项目进行状态转换</w:t>
      </w:r>
    </w:p>
    <w:p w14:paraId="7A16DFC8">
      <w:pPr>
        <w:spacing w:line="219" w:lineRule="auto"/>
        <w:rPr>
          <w:sz w:val="16"/>
          <w:szCs w:val="16"/>
        </w:rPr>
        <w:sectPr>
          <w:type w:val="continuous"/>
          <w:pgSz w:w="10290" w:h="13400"/>
          <w:pgMar w:top="400" w:right="1095" w:bottom="400" w:left="480" w:header="0" w:footer="0" w:gutter="0"/>
          <w:cols w:equalWidth="0" w:num="2">
            <w:col w:w="4901" w:space="100"/>
            <w:col w:w="3715"/>
          </w:cols>
        </w:sectPr>
      </w:pPr>
    </w:p>
    <w:p w14:paraId="37CF0DE5">
      <w:pPr>
        <w:pStyle w:val="2"/>
        <w:spacing w:before="71" w:line="289" w:lineRule="auto"/>
        <w:ind w:left="349" w:right="36"/>
        <w:rPr>
          <w:sz w:val="19"/>
          <w:szCs w:val="19"/>
        </w:rPr>
      </w:pPr>
      <w:r>
        <w:rPr>
          <w:spacing w:val="13"/>
          <w:sz w:val="19"/>
          <w:szCs w:val="19"/>
        </w:rPr>
        <w:t>种投入换取时间、资金、货物或无形的回报。项目的业务价值指特定项目的成果能够为干系人</w:t>
      </w:r>
      <w:r>
        <w:rPr>
          <w:spacing w:val="4"/>
          <w:sz w:val="19"/>
          <w:szCs w:val="19"/>
        </w:rPr>
        <w:t xml:space="preserve"> </w:t>
      </w:r>
      <w:r>
        <w:rPr>
          <w:spacing w:val="2"/>
          <w:sz w:val="19"/>
          <w:szCs w:val="19"/>
        </w:rPr>
        <w:t>带来的效益。</w:t>
      </w:r>
    </w:p>
    <w:p w14:paraId="75DBF254">
      <w:pPr>
        <w:pStyle w:val="2"/>
        <w:spacing w:before="17" w:line="302" w:lineRule="auto"/>
        <w:ind w:left="349" w:firstLine="389"/>
        <w:jc w:val="both"/>
        <w:rPr>
          <w:sz w:val="19"/>
          <w:szCs w:val="19"/>
        </w:rPr>
      </w:pPr>
      <w:r>
        <w:rPr>
          <w:spacing w:val="9"/>
          <w:sz w:val="19"/>
          <w:szCs w:val="19"/>
        </w:rPr>
        <w:t>项目带来的效益可以是有形的、无形的或两者兼而有之。有形效益的例子包括：货币资产、</w:t>
      </w:r>
      <w:r>
        <w:rPr>
          <w:spacing w:val="13"/>
          <w:sz w:val="19"/>
          <w:szCs w:val="19"/>
        </w:rPr>
        <w:t xml:space="preserve"> 股东权益、公共事业、固定资产、工具、市</w:t>
      </w:r>
      <w:r>
        <w:rPr>
          <w:spacing w:val="12"/>
          <w:sz w:val="19"/>
          <w:szCs w:val="19"/>
        </w:rPr>
        <w:t>场份额等。无形效益的例子包括：商誉、声誉、商</w:t>
      </w:r>
      <w:r>
        <w:rPr>
          <w:sz w:val="19"/>
          <w:szCs w:val="19"/>
        </w:rPr>
        <w:t xml:space="preserve"> </w:t>
      </w:r>
      <w:r>
        <w:rPr>
          <w:spacing w:val="8"/>
          <w:sz w:val="19"/>
          <w:szCs w:val="19"/>
        </w:rPr>
        <w:t>标、公共利益、战略联盟、品牌认知度、工作效率等。</w:t>
      </w:r>
    </w:p>
    <w:p w14:paraId="5C16A031">
      <w:pPr>
        <w:pStyle w:val="2"/>
        <w:spacing w:before="103" w:line="221" w:lineRule="auto"/>
        <w:ind w:left="742"/>
        <w:rPr>
          <w:rFonts w:ascii="黑体" w:hAnsi="黑体" w:eastAsia="黑体" w:cs="黑体"/>
          <w:sz w:val="19"/>
          <w:szCs w:val="19"/>
        </w:rPr>
      </w:pPr>
      <w:r>
        <w:rPr>
          <w:b/>
          <w:bCs/>
          <w:color w:val="0083DB"/>
          <w:spacing w:val="8"/>
          <w:sz w:val="19"/>
          <w:szCs w:val="19"/>
        </w:rPr>
        <w:t>5.</w:t>
      </w:r>
      <w:r>
        <w:rPr>
          <w:rFonts w:ascii="黑体" w:hAnsi="黑体" w:eastAsia="黑体" w:cs="黑体"/>
          <w:b/>
          <w:bCs/>
          <w:color w:val="0083DB"/>
          <w:spacing w:val="8"/>
          <w:sz w:val="19"/>
          <w:szCs w:val="19"/>
        </w:rPr>
        <w:t>项目启动背景</w:t>
      </w:r>
    </w:p>
    <w:p w14:paraId="4DEA3E1E">
      <w:pPr>
        <w:pStyle w:val="2"/>
        <w:spacing w:before="168" w:line="285" w:lineRule="auto"/>
        <w:ind w:left="349" w:right="28" w:firstLine="389"/>
        <w:jc w:val="both"/>
        <w:rPr>
          <w:sz w:val="19"/>
          <w:szCs w:val="19"/>
        </w:rPr>
      </w:pPr>
      <w:r>
        <w:rPr>
          <w:spacing w:val="19"/>
          <w:sz w:val="19"/>
          <w:szCs w:val="19"/>
        </w:rPr>
        <w:t>促进项目创建的因素多种多样。组织领导者启动项目是为了应对影响该组织持续运营和</w:t>
      </w:r>
      <w:r>
        <w:rPr>
          <w:spacing w:val="2"/>
          <w:sz w:val="19"/>
          <w:szCs w:val="19"/>
        </w:rPr>
        <w:t xml:space="preserve"> </w:t>
      </w:r>
      <w:r>
        <w:rPr>
          <w:spacing w:val="13"/>
          <w:sz w:val="19"/>
          <w:szCs w:val="19"/>
        </w:rPr>
        <w:t>业务战略的因素。这些因素说明了项目的启动背景，它们最终应与组织的战略目标以及各个项</w:t>
      </w:r>
      <w:r>
        <w:rPr>
          <w:spacing w:val="8"/>
          <w:sz w:val="19"/>
          <w:szCs w:val="19"/>
        </w:rPr>
        <w:t xml:space="preserve"> </w:t>
      </w:r>
      <w:r>
        <w:rPr>
          <w:spacing w:val="16"/>
          <w:sz w:val="19"/>
          <w:szCs w:val="19"/>
        </w:rPr>
        <w:t xml:space="preserve">目的业务价值相关联。促进项目创建的因素大致可以归为以下四个基本类别，具体如表16-1 </w:t>
      </w:r>
      <w:r>
        <w:rPr>
          <w:spacing w:val="-2"/>
          <w:sz w:val="19"/>
          <w:szCs w:val="19"/>
        </w:rPr>
        <w:t>所示：</w:t>
      </w:r>
    </w:p>
    <w:p w14:paraId="59819583">
      <w:pPr>
        <w:pStyle w:val="2"/>
        <w:spacing w:before="44" w:line="219" w:lineRule="auto"/>
        <w:ind w:left="739"/>
        <w:rPr>
          <w:sz w:val="19"/>
          <w:szCs w:val="19"/>
        </w:rPr>
      </w:pPr>
      <w:r>
        <w:rPr>
          <w:spacing w:val="10"/>
          <w:sz w:val="19"/>
          <w:szCs w:val="19"/>
        </w:rPr>
        <w:t>(1)符合法律法规或社会需求；</w:t>
      </w:r>
    </w:p>
    <w:p w14:paraId="47BFAE7A">
      <w:pPr>
        <w:pStyle w:val="2"/>
        <w:spacing w:before="85" w:line="219" w:lineRule="auto"/>
        <w:ind w:left="739"/>
        <w:rPr>
          <w:sz w:val="19"/>
          <w:szCs w:val="19"/>
        </w:rPr>
      </w:pPr>
      <w:r>
        <w:rPr>
          <w:spacing w:val="10"/>
          <w:sz w:val="19"/>
          <w:szCs w:val="19"/>
        </w:rPr>
        <w:t>(2)满足干系人的要求或需求；</w:t>
      </w:r>
    </w:p>
    <w:p w14:paraId="39359592">
      <w:pPr>
        <w:pStyle w:val="2"/>
        <w:spacing w:before="86" w:line="219" w:lineRule="auto"/>
        <w:ind w:left="739"/>
        <w:rPr>
          <w:sz w:val="19"/>
          <w:szCs w:val="19"/>
        </w:rPr>
      </w:pPr>
      <w:r>
        <w:rPr>
          <w:spacing w:val="10"/>
          <w:sz w:val="19"/>
          <w:szCs w:val="19"/>
        </w:rPr>
        <w:t>(3)创造、改进或修复产品、过程或服务；</w:t>
      </w:r>
    </w:p>
    <w:p w14:paraId="279821C6">
      <w:pPr>
        <w:pStyle w:val="2"/>
        <w:spacing w:before="75" w:line="184" w:lineRule="auto"/>
        <w:ind w:left="739"/>
        <w:rPr>
          <w:sz w:val="19"/>
          <w:szCs w:val="19"/>
        </w:rPr>
      </w:pPr>
      <w:r>
        <w:rPr>
          <w:spacing w:val="13"/>
          <w:sz w:val="19"/>
          <w:szCs w:val="19"/>
        </w:rPr>
        <w:t>(4)执行、变更业务或技术战略。</w:t>
      </w:r>
    </w:p>
    <w:p w14:paraId="50AF9C89">
      <w:pPr>
        <w:spacing w:line="184" w:lineRule="auto"/>
        <w:rPr>
          <w:sz w:val="19"/>
          <w:szCs w:val="19"/>
        </w:rPr>
        <w:sectPr>
          <w:type w:val="continuous"/>
          <w:pgSz w:w="10290" w:h="13400"/>
          <w:pgMar w:top="400" w:right="1095" w:bottom="400" w:left="480" w:header="0" w:footer="0" w:gutter="0"/>
          <w:cols w:equalWidth="0" w:num="1">
            <w:col w:w="8715"/>
          </w:cols>
        </w:sectPr>
      </w:pPr>
    </w:p>
    <w:p w14:paraId="485D9FE4">
      <w:pPr>
        <w:pStyle w:val="2"/>
        <w:jc w:val="right"/>
        <w:rPr>
          <w:rFonts w:ascii="Times New Roman" w:hAnsi="Times New Roman" w:eastAsia="Times New Roman" w:cs="Times New Roman"/>
          <w:sz w:val="19"/>
          <w:szCs w:val="19"/>
        </w:rPr>
      </w:pPr>
      <w:r>
        <w:rPr>
          <w:spacing w:val="6"/>
          <w:sz w:val="19"/>
          <w:szCs w:val="19"/>
        </w:rPr>
        <w:t>第16章</w:t>
      </w:r>
      <w:r>
        <w:rPr>
          <w:spacing w:val="39"/>
          <w:sz w:val="19"/>
          <w:szCs w:val="19"/>
        </w:rPr>
        <w:t xml:space="preserve"> </w:t>
      </w:r>
      <w:r>
        <w:rPr>
          <w:spacing w:val="6"/>
          <w:sz w:val="19"/>
          <w:szCs w:val="19"/>
        </w:rPr>
        <w:t xml:space="preserve">项目管理 </w:t>
      </w:r>
      <w:r>
        <w:rPr>
          <w:position w:val="-11"/>
          <w:sz w:val="19"/>
          <w:szCs w:val="19"/>
        </w:rPr>
        <w:drawing>
          <wp:inline distT="0" distB="0" distL="0" distR="0">
            <wp:extent cx="317500" cy="240665"/>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233"/>
                    <a:stretch>
                      <a:fillRect/>
                    </a:stretch>
                  </pic:blipFill>
                  <pic:spPr>
                    <a:xfrm>
                      <a:off x="0" y="0"/>
                      <a:ext cx="317512" cy="241287"/>
                    </a:xfrm>
                    <a:prstGeom prst="rect">
                      <a:avLst/>
                    </a:prstGeom>
                  </pic:spPr>
                </pic:pic>
              </a:graphicData>
            </a:graphic>
          </wp:inline>
        </w:drawing>
      </w:r>
      <w:r>
        <w:rPr>
          <w:rFonts w:ascii="Times New Roman" w:hAnsi="Times New Roman" w:eastAsia="Times New Roman" w:cs="Times New Roman"/>
          <w:spacing w:val="6"/>
          <w:position w:val="1"/>
          <w:sz w:val="19"/>
          <w:szCs w:val="19"/>
        </w:rPr>
        <w:t>369</w:t>
      </w:r>
    </w:p>
    <w:p w14:paraId="4C78C85D">
      <w:pPr>
        <w:spacing w:line="260" w:lineRule="auto"/>
        <w:rPr>
          <w:rFonts w:ascii="Arial"/>
          <w:sz w:val="21"/>
        </w:rPr>
      </w:pPr>
    </w:p>
    <w:p w14:paraId="7A4E71D1">
      <w:pPr>
        <w:spacing w:before="62" w:line="222" w:lineRule="auto"/>
        <w:ind w:left="2972"/>
        <w:rPr>
          <w:rFonts w:ascii="黑体" w:hAnsi="黑体" w:eastAsia="黑体" w:cs="黑体"/>
          <w:sz w:val="19"/>
          <w:szCs w:val="19"/>
        </w:rPr>
      </w:pPr>
      <w:bookmarkStart w:id="674" w:name="bookmark659"/>
      <w:bookmarkEnd w:id="674"/>
      <w:r>
        <w:rPr>
          <w:rFonts w:ascii="黑体" w:hAnsi="黑体" w:eastAsia="黑体" w:cs="黑体"/>
          <w:b/>
          <w:bCs/>
          <w:spacing w:val="-8"/>
          <w:sz w:val="19"/>
          <w:szCs w:val="19"/>
        </w:rPr>
        <w:t>表16-1</w:t>
      </w:r>
      <w:r>
        <w:rPr>
          <w:rFonts w:ascii="黑体" w:hAnsi="黑体" w:eastAsia="黑体" w:cs="黑体"/>
          <w:spacing w:val="85"/>
          <w:sz w:val="19"/>
          <w:szCs w:val="19"/>
        </w:rPr>
        <w:t xml:space="preserve"> </w:t>
      </w:r>
      <w:r>
        <w:rPr>
          <w:rFonts w:ascii="黑体" w:hAnsi="黑体" w:eastAsia="黑体" w:cs="黑体"/>
          <w:b/>
          <w:bCs/>
          <w:spacing w:val="-8"/>
          <w:sz w:val="19"/>
          <w:szCs w:val="19"/>
        </w:rPr>
        <w:t>促成项目创建的因素</w:t>
      </w:r>
    </w:p>
    <w:p w14:paraId="6BFD6AF4">
      <w:pPr>
        <w:spacing w:line="112" w:lineRule="exact"/>
      </w:pPr>
    </w:p>
    <w:tbl>
      <w:tblPr>
        <w:tblStyle w:val="5"/>
        <w:tblW w:w="832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0"/>
        <w:gridCol w:w="3330"/>
        <w:gridCol w:w="850"/>
        <w:gridCol w:w="870"/>
        <w:gridCol w:w="1180"/>
        <w:gridCol w:w="890"/>
      </w:tblGrid>
      <w:tr w14:paraId="36F8E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1200" w:type="dxa"/>
            <w:tcBorders>
              <w:left w:val="nil"/>
            </w:tcBorders>
            <w:vAlign w:val="top"/>
          </w:tcPr>
          <w:p w14:paraId="56A8C083">
            <w:pPr>
              <w:spacing w:line="266" w:lineRule="auto"/>
              <w:rPr>
                <w:rFonts w:ascii="Arial"/>
                <w:sz w:val="21"/>
              </w:rPr>
            </w:pPr>
          </w:p>
          <w:p w14:paraId="3C8B8CAB">
            <w:pPr>
              <w:pStyle w:val="6"/>
              <w:spacing w:before="62" w:line="219" w:lineRule="auto"/>
              <w:ind w:left="222"/>
            </w:pPr>
            <w:r>
              <w:rPr>
                <w:b/>
                <w:bCs/>
                <w:spacing w:val="-4"/>
              </w:rPr>
              <w:t>特定因素</w:t>
            </w:r>
          </w:p>
        </w:tc>
        <w:tc>
          <w:tcPr>
            <w:tcW w:w="3330" w:type="dxa"/>
            <w:vAlign w:val="top"/>
          </w:tcPr>
          <w:p w14:paraId="6AD7A4C9">
            <w:pPr>
              <w:spacing w:line="266" w:lineRule="auto"/>
              <w:rPr>
                <w:rFonts w:ascii="Arial"/>
                <w:sz w:val="21"/>
              </w:rPr>
            </w:pPr>
          </w:p>
          <w:p w14:paraId="10A8239B">
            <w:pPr>
              <w:pStyle w:val="6"/>
              <w:spacing w:before="62" w:line="219" w:lineRule="auto"/>
              <w:ind w:left="1147"/>
            </w:pPr>
            <w:r>
              <w:rPr>
                <w:b/>
                <w:bCs/>
                <w:spacing w:val="-4"/>
              </w:rPr>
              <w:t>特定因素示例</w:t>
            </w:r>
          </w:p>
        </w:tc>
        <w:tc>
          <w:tcPr>
            <w:tcW w:w="850" w:type="dxa"/>
            <w:vAlign w:val="top"/>
          </w:tcPr>
          <w:p w14:paraId="2CF1FDE3">
            <w:pPr>
              <w:pStyle w:val="6"/>
              <w:spacing w:before="50" w:line="219" w:lineRule="auto"/>
              <w:ind w:left="37"/>
            </w:pPr>
            <w:r>
              <w:rPr>
                <w:b/>
                <w:bCs/>
                <w:spacing w:val="-4"/>
              </w:rPr>
              <w:t>符合法律</w:t>
            </w:r>
          </w:p>
          <w:p w14:paraId="37B1A98D">
            <w:pPr>
              <w:pStyle w:val="6"/>
              <w:spacing w:before="64" w:line="219" w:lineRule="auto"/>
              <w:ind w:left="37"/>
            </w:pPr>
            <w:r>
              <w:rPr>
                <w:b/>
                <w:bCs/>
                <w:spacing w:val="-4"/>
              </w:rPr>
              <w:t>法规或社</w:t>
            </w:r>
          </w:p>
          <w:p w14:paraId="6EA505E4">
            <w:pPr>
              <w:pStyle w:val="6"/>
              <w:spacing w:before="44" w:line="218" w:lineRule="auto"/>
              <w:ind w:left="137"/>
            </w:pPr>
            <w:r>
              <w:rPr>
                <w:b/>
                <w:bCs/>
                <w:spacing w:val="-4"/>
              </w:rPr>
              <w:t>会需求</w:t>
            </w:r>
          </w:p>
        </w:tc>
        <w:tc>
          <w:tcPr>
            <w:tcW w:w="870" w:type="dxa"/>
            <w:vAlign w:val="top"/>
          </w:tcPr>
          <w:p w14:paraId="3BA85F75">
            <w:pPr>
              <w:pStyle w:val="6"/>
              <w:spacing w:before="48" w:line="219" w:lineRule="auto"/>
              <w:ind w:left="47"/>
            </w:pPr>
            <w:r>
              <w:rPr>
                <w:b/>
                <w:bCs/>
                <w:spacing w:val="-4"/>
              </w:rPr>
              <w:t>满足干系</w:t>
            </w:r>
          </w:p>
          <w:p w14:paraId="5E7D372F">
            <w:pPr>
              <w:pStyle w:val="6"/>
              <w:spacing w:before="66" w:line="221" w:lineRule="auto"/>
              <w:ind w:left="47"/>
            </w:pPr>
            <w:r>
              <w:rPr>
                <w:b/>
                <w:bCs/>
                <w:spacing w:val="-4"/>
              </w:rPr>
              <w:t>人要求或</w:t>
            </w:r>
          </w:p>
          <w:p w14:paraId="0F601B30">
            <w:pPr>
              <w:pStyle w:val="6"/>
              <w:spacing w:before="42" w:line="217" w:lineRule="auto"/>
              <w:ind w:left="237"/>
            </w:pPr>
            <w:r>
              <w:rPr>
                <w:b/>
                <w:bCs/>
                <w:spacing w:val="-1"/>
              </w:rPr>
              <w:t>需求</w:t>
            </w:r>
          </w:p>
        </w:tc>
        <w:tc>
          <w:tcPr>
            <w:tcW w:w="1180" w:type="dxa"/>
            <w:vAlign w:val="top"/>
          </w:tcPr>
          <w:p w14:paraId="4395CA08">
            <w:pPr>
              <w:pStyle w:val="6"/>
              <w:spacing w:before="59" w:line="251" w:lineRule="auto"/>
              <w:ind w:left="17" w:firstLine="84"/>
            </w:pPr>
            <w:r>
              <w:rPr>
                <w:b/>
                <w:bCs/>
                <w:spacing w:val="-16"/>
              </w:rPr>
              <w:t>创造、改进</w:t>
            </w:r>
            <w:r>
              <w:t xml:space="preserve">   </w:t>
            </w:r>
            <w:r>
              <w:rPr>
                <w:b/>
                <w:bCs/>
              </w:rPr>
              <w:t>或修复产品、</w:t>
            </w:r>
            <w:r>
              <w:t xml:space="preserve"> </w:t>
            </w:r>
            <w:r>
              <w:rPr>
                <w:b/>
                <w:bCs/>
                <w:spacing w:val="1"/>
              </w:rPr>
              <w:t>过程或服务</w:t>
            </w:r>
          </w:p>
        </w:tc>
        <w:tc>
          <w:tcPr>
            <w:tcW w:w="890" w:type="dxa"/>
            <w:tcBorders>
              <w:right w:val="nil"/>
            </w:tcBorders>
            <w:vAlign w:val="top"/>
          </w:tcPr>
          <w:p w14:paraId="505B52A1">
            <w:pPr>
              <w:pStyle w:val="6"/>
              <w:spacing w:before="71" w:line="247" w:lineRule="auto"/>
              <w:ind w:left="57" w:right="74"/>
              <w:jc w:val="both"/>
            </w:pPr>
            <w:r>
              <w:rPr>
                <w:b/>
                <w:bCs/>
                <w:spacing w:val="-4"/>
              </w:rPr>
              <w:t>执行、变</w:t>
            </w:r>
            <w:r>
              <w:t xml:space="preserve"> </w:t>
            </w:r>
            <w:r>
              <w:rPr>
                <w:b/>
                <w:bCs/>
                <w:spacing w:val="-5"/>
              </w:rPr>
              <w:t>更业务或</w:t>
            </w:r>
            <w:r>
              <w:rPr>
                <w:spacing w:val="1"/>
              </w:rPr>
              <w:t xml:space="preserve"> </w:t>
            </w:r>
            <w:r>
              <w:rPr>
                <w:b/>
                <w:bCs/>
                <w:spacing w:val="-5"/>
              </w:rPr>
              <w:t>技术战略</w:t>
            </w:r>
          </w:p>
        </w:tc>
      </w:tr>
      <w:tr w14:paraId="419B5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200" w:type="dxa"/>
            <w:tcBorders>
              <w:left w:val="nil"/>
            </w:tcBorders>
            <w:vAlign w:val="top"/>
          </w:tcPr>
          <w:p w14:paraId="6B8D6306">
            <w:pPr>
              <w:spacing w:line="265" w:lineRule="auto"/>
              <w:rPr>
                <w:rFonts w:ascii="Arial"/>
                <w:sz w:val="21"/>
              </w:rPr>
            </w:pPr>
          </w:p>
          <w:p w14:paraId="02A13B65">
            <w:pPr>
              <w:pStyle w:val="6"/>
              <w:spacing w:before="62" w:line="219" w:lineRule="auto"/>
              <w:ind w:left="310"/>
            </w:pPr>
            <w:r>
              <w:rPr>
                <w:spacing w:val="-2"/>
              </w:rPr>
              <w:t>新技术</w:t>
            </w:r>
          </w:p>
        </w:tc>
        <w:tc>
          <w:tcPr>
            <w:tcW w:w="3330" w:type="dxa"/>
            <w:vAlign w:val="top"/>
          </w:tcPr>
          <w:p w14:paraId="062BDC5D">
            <w:pPr>
              <w:pStyle w:val="6"/>
              <w:spacing w:before="78" w:line="243" w:lineRule="auto"/>
              <w:ind w:left="55" w:right="24"/>
              <w:jc w:val="both"/>
            </w:pPr>
            <w:r>
              <w:rPr>
                <w:spacing w:val="-1"/>
              </w:rPr>
              <w:t>某电子公司批准一个新项目，在计算机</w:t>
            </w:r>
            <w:r>
              <w:rPr>
                <w:spacing w:val="8"/>
              </w:rPr>
              <w:t xml:space="preserve"> </w:t>
            </w:r>
            <w:r>
              <w:t>内存和电子技术发展的基础上，开发一</w:t>
            </w:r>
            <w:r>
              <w:rPr>
                <w:spacing w:val="9"/>
              </w:rPr>
              <w:t xml:space="preserve"> </w:t>
            </w:r>
            <w:r>
              <w:rPr>
                <w:spacing w:val="-1"/>
              </w:rPr>
              <w:t>种高速、廉价的小型笔记本电脑</w:t>
            </w:r>
          </w:p>
        </w:tc>
        <w:tc>
          <w:tcPr>
            <w:tcW w:w="850" w:type="dxa"/>
            <w:vAlign w:val="top"/>
          </w:tcPr>
          <w:p w14:paraId="1BB292CF">
            <w:pPr>
              <w:rPr>
                <w:rFonts w:ascii="Arial"/>
                <w:sz w:val="21"/>
              </w:rPr>
            </w:pPr>
          </w:p>
        </w:tc>
        <w:tc>
          <w:tcPr>
            <w:tcW w:w="870" w:type="dxa"/>
            <w:vAlign w:val="top"/>
          </w:tcPr>
          <w:p w14:paraId="4EB99881">
            <w:pPr>
              <w:rPr>
                <w:rFonts w:ascii="Arial"/>
                <w:sz w:val="21"/>
              </w:rPr>
            </w:pPr>
          </w:p>
        </w:tc>
        <w:tc>
          <w:tcPr>
            <w:tcW w:w="1180" w:type="dxa"/>
            <w:vAlign w:val="top"/>
          </w:tcPr>
          <w:p w14:paraId="61355DBA">
            <w:pPr>
              <w:spacing w:line="311" w:lineRule="auto"/>
              <w:rPr>
                <w:rFonts w:ascii="Arial"/>
                <w:sz w:val="21"/>
              </w:rPr>
            </w:pPr>
          </w:p>
          <w:p w14:paraId="100BF7E6">
            <w:pPr>
              <w:pStyle w:val="6"/>
              <w:spacing w:before="49" w:line="238" w:lineRule="auto"/>
              <w:ind w:left="505"/>
              <w:rPr>
                <w:sz w:val="15"/>
                <w:szCs w:val="15"/>
              </w:rPr>
            </w:pPr>
            <w:r>
              <w:rPr>
                <w:sz w:val="15"/>
                <w:szCs w:val="15"/>
              </w:rPr>
              <w:t>√</w:t>
            </w:r>
          </w:p>
        </w:tc>
        <w:tc>
          <w:tcPr>
            <w:tcW w:w="890" w:type="dxa"/>
            <w:tcBorders>
              <w:right w:val="nil"/>
            </w:tcBorders>
            <w:vAlign w:val="top"/>
          </w:tcPr>
          <w:p w14:paraId="4A7B5294">
            <w:pPr>
              <w:spacing w:line="311" w:lineRule="auto"/>
              <w:rPr>
                <w:rFonts w:ascii="Arial"/>
                <w:sz w:val="21"/>
              </w:rPr>
            </w:pPr>
          </w:p>
          <w:p w14:paraId="5C851F27">
            <w:pPr>
              <w:pStyle w:val="6"/>
              <w:spacing w:before="49" w:line="238" w:lineRule="auto"/>
              <w:ind w:left="365"/>
              <w:rPr>
                <w:sz w:val="15"/>
                <w:szCs w:val="15"/>
              </w:rPr>
            </w:pPr>
            <w:r>
              <w:rPr>
                <w:sz w:val="15"/>
                <w:szCs w:val="15"/>
              </w:rPr>
              <w:t>√</w:t>
            </w:r>
          </w:p>
        </w:tc>
      </w:tr>
      <w:tr w14:paraId="6ED2E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00" w:type="dxa"/>
            <w:tcBorders>
              <w:left w:val="nil"/>
            </w:tcBorders>
            <w:vAlign w:val="top"/>
          </w:tcPr>
          <w:p w14:paraId="23436A9A">
            <w:pPr>
              <w:pStyle w:val="6"/>
              <w:spacing w:before="189" w:line="219" w:lineRule="auto"/>
              <w:ind w:left="310"/>
            </w:pPr>
            <w:r>
              <w:rPr>
                <w:spacing w:val="5"/>
              </w:rPr>
              <w:t>竞争力</w:t>
            </w:r>
          </w:p>
        </w:tc>
        <w:tc>
          <w:tcPr>
            <w:tcW w:w="3330" w:type="dxa"/>
            <w:vAlign w:val="top"/>
          </w:tcPr>
          <w:p w14:paraId="2CFC15A5">
            <w:pPr>
              <w:pStyle w:val="6"/>
              <w:spacing w:before="69" w:line="238" w:lineRule="auto"/>
              <w:ind w:left="55" w:right="34" w:firstLine="9"/>
            </w:pPr>
            <w:r>
              <w:rPr>
                <w:spacing w:val="-1"/>
              </w:rPr>
              <w:t>为保持竞争力，产品价格要低于竞争对</w:t>
            </w:r>
            <w:r>
              <w:rPr>
                <w:spacing w:val="6"/>
              </w:rPr>
              <w:t xml:space="preserve"> </w:t>
            </w:r>
            <w:r>
              <w:rPr>
                <w:spacing w:val="-1"/>
              </w:rPr>
              <w:t>手的产品价格，需要降低生产成本</w:t>
            </w:r>
          </w:p>
        </w:tc>
        <w:tc>
          <w:tcPr>
            <w:tcW w:w="850" w:type="dxa"/>
            <w:vAlign w:val="top"/>
          </w:tcPr>
          <w:p w14:paraId="242AB5EA">
            <w:pPr>
              <w:rPr>
                <w:rFonts w:ascii="Arial"/>
                <w:sz w:val="21"/>
              </w:rPr>
            </w:pPr>
          </w:p>
        </w:tc>
        <w:tc>
          <w:tcPr>
            <w:tcW w:w="870" w:type="dxa"/>
            <w:vAlign w:val="top"/>
          </w:tcPr>
          <w:p w14:paraId="3DE908FB">
            <w:pPr>
              <w:rPr>
                <w:rFonts w:ascii="Arial"/>
                <w:sz w:val="21"/>
              </w:rPr>
            </w:pPr>
          </w:p>
        </w:tc>
        <w:tc>
          <w:tcPr>
            <w:tcW w:w="1180" w:type="dxa"/>
            <w:vAlign w:val="top"/>
          </w:tcPr>
          <w:p w14:paraId="6113A9BE">
            <w:pPr>
              <w:rPr>
                <w:rFonts w:ascii="Arial"/>
                <w:sz w:val="21"/>
              </w:rPr>
            </w:pPr>
          </w:p>
        </w:tc>
        <w:tc>
          <w:tcPr>
            <w:tcW w:w="890" w:type="dxa"/>
            <w:tcBorders>
              <w:right w:val="nil"/>
            </w:tcBorders>
            <w:vAlign w:val="top"/>
          </w:tcPr>
          <w:p w14:paraId="310E6625">
            <w:pPr>
              <w:pStyle w:val="6"/>
              <w:spacing w:before="223" w:line="238" w:lineRule="auto"/>
              <w:ind w:left="365"/>
              <w:rPr>
                <w:sz w:val="15"/>
                <w:szCs w:val="15"/>
              </w:rPr>
            </w:pPr>
            <w:r>
              <w:rPr>
                <w:sz w:val="15"/>
                <w:szCs w:val="15"/>
              </w:rPr>
              <w:t>√</w:t>
            </w:r>
          </w:p>
        </w:tc>
      </w:tr>
      <w:tr w14:paraId="32351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00" w:type="dxa"/>
            <w:tcBorders>
              <w:left w:val="nil"/>
            </w:tcBorders>
            <w:vAlign w:val="top"/>
          </w:tcPr>
          <w:p w14:paraId="41772BCF">
            <w:pPr>
              <w:pStyle w:val="6"/>
              <w:spacing w:before="189" w:line="219" w:lineRule="auto"/>
              <w:ind w:left="219"/>
            </w:pPr>
            <w:r>
              <w:rPr>
                <w:spacing w:val="-2"/>
              </w:rPr>
              <w:t>材料问题</w:t>
            </w:r>
          </w:p>
        </w:tc>
        <w:tc>
          <w:tcPr>
            <w:tcW w:w="3330" w:type="dxa"/>
            <w:vAlign w:val="top"/>
          </w:tcPr>
          <w:p w14:paraId="678076BD">
            <w:pPr>
              <w:pStyle w:val="6"/>
              <w:spacing w:before="81" w:line="232" w:lineRule="auto"/>
              <w:ind w:left="64" w:right="39" w:hanging="9"/>
            </w:pPr>
            <w:r>
              <w:rPr>
                <w:spacing w:val="-1"/>
              </w:rPr>
              <w:t>某市政桥梁的一些支撑构件出现裂缝，</w:t>
            </w:r>
            <w:r>
              <w:rPr>
                <w:spacing w:val="11"/>
              </w:rPr>
              <w:t xml:space="preserve"> </w:t>
            </w:r>
            <w:r>
              <w:t>因此需要实施一个项目来解决问题</w:t>
            </w:r>
          </w:p>
        </w:tc>
        <w:tc>
          <w:tcPr>
            <w:tcW w:w="850" w:type="dxa"/>
            <w:vAlign w:val="top"/>
          </w:tcPr>
          <w:p w14:paraId="79AE5FCA">
            <w:pPr>
              <w:pStyle w:val="6"/>
              <w:spacing w:before="224" w:line="238" w:lineRule="auto"/>
              <w:ind w:left="345"/>
              <w:rPr>
                <w:sz w:val="15"/>
                <w:szCs w:val="15"/>
              </w:rPr>
            </w:pPr>
            <w:r>
              <w:rPr>
                <w:sz w:val="15"/>
                <w:szCs w:val="15"/>
              </w:rPr>
              <w:t>√</w:t>
            </w:r>
          </w:p>
        </w:tc>
        <w:tc>
          <w:tcPr>
            <w:tcW w:w="870" w:type="dxa"/>
            <w:vAlign w:val="top"/>
          </w:tcPr>
          <w:p w14:paraId="6632ABFA">
            <w:pPr>
              <w:rPr>
                <w:rFonts w:ascii="Arial"/>
                <w:sz w:val="21"/>
              </w:rPr>
            </w:pPr>
          </w:p>
        </w:tc>
        <w:tc>
          <w:tcPr>
            <w:tcW w:w="1180" w:type="dxa"/>
            <w:vAlign w:val="top"/>
          </w:tcPr>
          <w:p w14:paraId="6476D93A">
            <w:pPr>
              <w:pStyle w:val="6"/>
              <w:spacing w:before="224" w:line="238" w:lineRule="auto"/>
              <w:ind w:left="505"/>
              <w:rPr>
                <w:sz w:val="15"/>
                <w:szCs w:val="15"/>
              </w:rPr>
            </w:pPr>
            <w:r>
              <w:rPr>
                <w:sz w:val="15"/>
                <w:szCs w:val="15"/>
              </w:rPr>
              <w:t>√</w:t>
            </w:r>
          </w:p>
        </w:tc>
        <w:tc>
          <w:tcPr>
            <w:tcW w:w="890" w:type="dxa"/>
            <w:tcBorders>
              <w:right w:val="nil"/>
            </w:tcBorders>
            <w:vAlign w:val="top"/>
          </w:tcPr>
          <w:p w14:paraId="1266283A">
            <w:pPr>
              <w:rPr>
                <w:rFonts w:ascii="Arial"/>
                <w:sz w:val="21"/>
              </w:rPr>
            </w:pPr>
          </w:p>
        </w:tc>
      </w:tr>
      <w:tr w14:paraId="64EA4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200" w:type="dxa"/>
            <w:tcBorders>
              <w:left w:val="nil"/>
            </w:tcBorders>
            <w:vAlign w:val="top"/>
          </w:tcPr>
          <w:p w14:paraId="2F95DA4E">
            <w:pPr>
              <w:pStyle w:val="6"/>
              <w:spacing w:before="191" w:line="219" w:lineRule="auto"/>
              <w:ind w:left="219"/>
            </w:pPr>
            <w:r>
              <w:rPr>
                <w:spacing w:val="-2"/>
              </w:rPr>
              <w:t>政策变革</w:t>
            </w:r>
          </w:p>
        </w:tc>
        <w:tc>
          <w:tcPr>
            <w:tcW w:w="3330" w:type="dxa"/>
            <w:vAlign w:val="top"/>
          </w:tcPr>
          <w:p w14:paraId="272E8F8B">
            <w:pPr>
              <w:pStyle w:val="6"/>
              <w:spacing w:before="71" w:line="232" w:lineRule="auto"/>
              <w:ind w:left="45" w:right="41" w:firstLine="9"/>
            </w:pPr>
            <w:r>
              <w:rPr>
                <w:spacing w:val="-1"/>
              </w:rPr>
              <w:t>在某新政策影响下，当前某项目经费发</w:t>
            </w:r>
            <w:r>
              <w:rPr>
                <w:spacing w:val="9"/>
              </w:rPr>
              <w:t xml:space="preserve"> </w:t>
            </w:r>
            <w:r>
              <w:rPr>
                <w:spacing w:val="-2"/>
              </w:rPr>
              <w:t>生变更</w:t>
            </w:r>
          </w:p>
        </w:tc>
        <w:tc>
          <w:tcPr>
            <w:tcW w:w="850" w:type="dxa"/>
            <w:vAlign w:val="top"/>
          </w:tcPr>
          <w:p w14:paraId="7C495BBB">
            <w:pPr>
              <w:rPr>
                <w:rFonts w:ascii="Arial"/>
                <w:sz w:val="21"/>
              </w:rPr>
            </w:pPr>
          </w:p>
        </w:tc>
        <w:tc>
          <w:tcPr>
            <w:tcW w:w="870" w:type="dxa"/>
            <w:vAlign w:val="top"/>
          </w:tcPr>
          <w:p w14:paraId="0197DED2">
            <w:pPr>
              <w:rPr>
                <w:rFonts w:ascii="Arial"/>
                <w:sz w:val="21"/>
              </w:rPr>
            </w:pPr>
          </w:p>
        </w:tc>
        <w:tc>
          <w:tcPr>
            <w:tcW w:w="1180" w:type="dxa"/>
            <w:vAlign w:val="top"/>
          </w:tcPr>
          <w:p w14:paraId="4413BCA3">
            <w:pPr>
              <w:rPr>
                <w:rFonts w:ascii="Arial"/>
                <w:sz w:val="21"/>
              </w:rPr>
            </w:pPr>
          </w:p>
        </w:tc>
        <w:tc>
          <w:tcPr>
            <w:tcW w:w="890" w:type="dxa"/>
            <w:tcBorders>
              <w:right w:val="nil"/>
            </w:tcBorders>
            <w:vAlign w:val="top"/>
          </w:tcPr>
          <w:p w14:paraId="3179E311">
            <w:pPr>
              <w:pStyle w:val="6"/>
              <w:spacing w:before="225" w:line="238" w:lineRule="auto"/>
              <w:ind w:left="365"/>
              <w:rPr>
                <w:sz w:val="15"/>
                <w:szCs w:val="15"/>
              </w:rPr>
            </w:pPr>
            <w:r>
              <w:rPr>
                <w:sz w:val="15"/>
                <w:szCs w:val="15"/>
              </w:rPr>
              <w:t>√</w:t>
            </w:r>
          </w:p>
        </w:tc>
      </w:tr>
      <w:tr w14:paraId="36647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200" w:type="dxa"/>
            <w:tcBorders>
              <w:left w:val="nil"/>
            </w:tcBorders>
            <w:vAlign w:val="top"/>
          </w:tcPr>
          <w:p w14:paraId="5521204B">
            <w:pPr>
              <w:pStyle w:val="6"/>
              <w:spacing w:before="192" w:line="219" w:lineRule="auto"/>
              <w:ind w:left="219"/>
            </w:pPr>
            <w:r>
              <w:rPr>
                <w:spacing w:val="2"/>
              </w:rPr>
              <w:t>市场需求</w:t>
            </w:r>
          </w:p>
        </w:tc>
        <w:tc>
          <w:tcPr>
            <w:tcW w:w="3330" w:type="dxa"/>
            <w:vAlign w:val="top"/>
          </w:tcPr>
          <w:p w14:paraId="441CD3E2">
            <w:pPr>
              <w:pStyle w:val="6"/>
              <w:spacing w:before="63" w:line="236" w:lineRule="auto"/>
              <w:ind w:left="55" w:right="44"/>
            </w:pPr>
            <w:r>
              <w:rPr>
                <w:spacing w:val="-1"/>
              </w:rPr>
              <w:t>为应对汽油紧缺，某汽车公司批准一个</w:t>
            </w:r>
            <w:r>
              <w:rPr>
                <w:spacing w:val="6"/>
              </w:rPr>
              <w:t xml:space="preserve"> </w:t>
            </w:r>
            <w:r>
              <w:rPr>
                <w:spacing w:val="3"/>
              </w:rPr>
              <w:t>低油耗车型的研发项目</w:t>
            </w:r>
          </w:p>
        </w:tc>
        <w:tc>
          <w:tcPr>
            <w:tcW w:w="850" w:type="dxa"/>
            <w:vAlign w:val="top"/>
          </w:tcPr>
          <w:p w14:paraId="5D97B286">
            <w:pPr>
              <w:rPr>
                <w:rFonts w:ascii="Arial"/>
                <w:sz w:val="21"/>
              </w:rPr>
            </w:pPr>
          </w:p>
        </w:tc>
        <w:tc>
          <w:tcPr>
            <w:tcW w:w="870" w:type="dxa"/>
            <w:vAlign w:val="top"/>
          </w:tcPr>
          <w:p w14:paraId="421B7697">
            <w:pPr>
              <w:pStyle w:val="6"/>
              <w:spacing w:before="226" w:line="238" w:lineRule="auto"/>
              <w:ind w:left="355"/>
              <w:rPr>
                <w:sz w:val="15"/>
                <w:szCs w:val="15"/>
              </w:rPr>
            </w:pPr>
            <w:r>
              <w:rPr>
                <w:sz w:val="15"/>
                <w:szCs w:val="15"/>
              </w:rPr>
              <w:t>√</w:t>
            </w:r>
          </w:p>
        </w:tc>
        <w:tc>
          <w:tcPr>
            <w:tcW w:w="1180" w:type="dxa"/>
            <w:vAlign w:val="top"/>
          </w:tcPr>
          <w:p w14:paraId="1DB7807D">
            <w:pPr>
              <w:pStyle w:val="6"/>
              <w:spacing w:before="226" w:line="238" w:lineRule="auto"/>
              <w:ind w:left="505"/>
              <w:rPr>
                <w:sz w:val="15"/>
                <w:szCs w:val="15"/>
              </w:rPr>
            </w:pPr>
            <w:r>
              <w:rPr>
                <w:sz w:val="15"/>
                <w:szCs w:val="15"/>
              </w:rPr>
              <w:t>√</w:t>
            </w:r>
          </w:p>
        </w:tc>
        <w:tc>
          <w:tcPr>
            <w:tcW w:w="890" w:type="dxa"/>
            <w:tcBorders>
              <w:right w:val="nil"/>
            </w:tcBorders>
            <w:vAlign w:val="top"/>
          </w:tcPr>
          <w:p w14:paraId="15CFC49A">
            <w:pPr>
              <w:pStyle w:val="6"/>
              <w:spacing w:before="226" w:line="238" w:lineRule="auto"/>
              <w:ind w:left="365"/>
              <w:rPr>
                <w:sz w:val="15"/>
                <w:szCs w:val="15"/>
              </w:rPr>
            </w:pPr>
            <w:r>
              <w:rPr>
                <w:sz w:val="15"/>
                <w:szCs w:val="15"/>
              </w:rPr>
              <w:t>√</w:t>
            </w:r>
          </w:p>
        </w:tc>
      </w:tr>
      <w:tr w14:paraId="1B6DF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200" w:type="dxa"/>
            <w:tcBorders>
              <w:left w:val="nil"/>
            </w:tcBorders>
            <w:vAlign w:val="top"/>
          </w:tcPr>
          <w:p w14:paraId="6BACBA1D">
            <w:pPr>
              <w:pStyle w:val="6"/>
              <w:spacing w:before="83" w:line="219" w:lineRule="auto"/>
              <w:ind w:left="219"/>
            </w:pPr>
            <w:r>
              <w:rPr>
                <w:spacing w:val="-2"/>
              </w:rPr>
              <w:t>经济变革</w:t>
            </w:r>
          </w:p>
        </w:tc>
        <w:tc>
          <w:tcPr>
            <w:tcW w:w="3330" w:type="dxa"/>
            <w:vAlign w:val="top"/>
          </w:tcPr>
          <w:p w14:paraId="071EC01B">
            <w:pPr>
              <w:pStyle w:val="6"/>
              <w:spacing w:before="83" w:line="219" w:lineRule="auto"/>
              <w:ind w:left="64"/>
            </w:pPr>
            <w:r>
              <w:rPr>
                <w:spacing w:val="-1"/>
              </w:rPr>
              <w:t>经济滑坡导致某项目优先级发生变更</w:t>
            </w:r>
          </w:p>
        </w:tc>
        <w:tc>
          <w:tcPr>
            <w:tcW w:w="850" w:type="dxa"/>
            <w:vAlign w:val="top"/>
          </w:tcPr>
          <w:p w14:paraId="12A0B83A">
            <w:pPr>
              <w:rPr>
                <w:rFonts w:ascii="Arial"/>
                <w:sz w:val="21"/>
              </w:rPr>
            </w:pPr>
          </w:p>
        </w:tc>
        <w:tc>
          <w:tcPr>
            <w:tcW w:w="870" w:type="dxa"/>
            <w:vAlign w:val="top"/>
          </w:tcPr>
          <w:p w14:paraId="6D5CFC1F">
            <w:pPr>
              <w:rPr>
                <w:rFonts w:ascii="Arial"/>
                <w:sz w:val="21"/>
              </w:rPr>
            </w:pPr>
          </w:p>
        </w:tc>
        <w:tc>
          <w:tcPr>
            <w:tcW w:w="1180" w:type="dxa"/>
            <w:vAlign w:val="top"/>
          </w:tcPr>
          <w:p w14:paraId="2AFDB48A">
            <w:pPr>
              <w:rPr>
                <w:rFonts w:ascii="Arial"/>
                <w:sz w:val="21"/>
              </w:rPr>
            </w:pPr>
          </w:p>
        </w:tc>
        <w:tc>
          <w:tcPr>
            <w:tcW w:w="890" w:type="dxa"/>
            <w:tcBorders>
              <w:right w:val="nil"/>
            </w:tcBorders>
            <w:vAlign w:val="top"/>
          </w:tcPr>
          <w:p w14:paraId="6A972AF4">
            <w:pPr>
              <w:pStyle w:val="6"/>
              <w:spacing w:before="117" w:line="238" w:lineRule="auto"/>
              <w:ind w:left="365"/>
              <w:rPr>
                <w:sz w:val="15"/>
                <w:szCs w:val="15"/>
              </w:rPr>
            </w:pPr>
            <w:r>
              <w:rPr>
                <w:sz w:val="15"/>
                <w:szCs w:val="15"/>
              </w:rPr>
              <w:t>√</w:t>
            </w:r>
          </w:p>
        </w:tc>
      </w:tr>
      <w:tr w14:paraId="5C4E7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00" w:type="dxa"/>
            <w:tcBorders>
              <w:left w:val="nil"/>
            </w:tcBorders>
            <w:vAlign w:val="top"/>
          </w:tcPr>
          <w:p w14:paraId="19377F3B">
            <w:pPr>
              <w:pStyle w:val="6"/>
              <w:spacing w:before="194" w:line="220" w:lineRule="auto"/>
              <w:ind w:left="219"/>
            </w:pPr>
            <w:r>
              <w:rPr>
                <w:spacing w:val="-2"/>
              </w:rPr>
              <w:t>客户要求</w:t>
            </w:r>
          </w:p>
        </w:tc>
        <w:tc>
          <w:tcPr>
            <w:tcW w:w="3330" w:type="dxa"/>
            <w:vAlign w:val="top"/>
          </w:tcPr>
          <w:p w14:paraId="075FA99F">
            <w:pPr>
              <w:pStyle w:val="6"/>
              <w:spacing w:before="73" w:line="236" w:lineRule="auto"/>
              <w:ind w:left="55" w:right="44"/>
            </w:pPr>
            <w:r>
              <w:rPr>
                <w:spacing w:val="-1"/>
              </w:rPr>
              <w:t>为了给新工业园区供电，某电力公司批</w:t>
            </w:r>
            <w:r>
              <w:rPr>
                <w:spacing w:val="6"/>
              </w:rPr>
              <w:t xml:space="preserve"> </w:t>
            </w:r>
            <w:r>
              <w:rPr>
                <w:spacing w:val="3"/>
              </w:rPr>
              <w:t>准一个新变电站建设项目</w:t>
            </w:r>
          </w:p>
        </w:tc>
        <w:tc>
          <w:tcPr>
            <w:tcW w:w="850" w:type="dxa"/>
            <w:vAlign w:val="top"/>
          </w:tcPr>
          <w:p w14:paraId="1B82893E">
            <w:pPr>
              <w:rPr>
                <w:rFonts w:ascii="Arial"/>
                <w:sz w:val="21"/>
              </w:rPr>
            </w:pPr>
          </w:p>
        </w:tc>
        <w:tc>
          <w:tcPr>
            <w:tcW w:w="870" w:type="dxa"/>
            <w:vAlign w:val="top"/>
          </w:tcPr>
          <w:p w14:paraId="03EE204B">
            <w:pPr>
              <w:pStyle w:val="6"/>
              <w:spacing w:before="227" w:line="238" w:lineRule="auto"/>
              <w:ind w:left="355"/>
              <w:rPr>
                <w:sz w:val="15"/>
                <w:szCs w:val="15"/>
              </w:rPr>
            </w:pPr>
            <w:r>
              <w:rPr>
                <w:sz w:val="15"/>
                <w:szCs w:val="15"/>
              </w:rPr>
              <w:t>√</w:t>
            </w:r>
          </w:p>
        </w:tc>
        <w:tc>
          <w:tcPr>
            <w:tcW w:w="1180" w:type="dxa"/>
            <w:vAlign w:val="top"/>
          </w:tcPr>
          <w:p w14:paraId="64EE485D">
            <w:pPr>
              <w:pStyle w:val="6"/>
              <w:spacing w:before="227" w:line="238" w:lineRule="auto"/>
              <w:ind w:left="505"/>
              <w:rPr>
                <w:sz w:val="15"/>
                <w:szCs w:val="15"/>
              </w:rPr>
            </w:pPr>
            <w:r>
              <w:rPr>
                <w:sz w:val="15"/>
                <w:szCs w:val="15"/>
              </w:rPr>
              <w:t>√</w:t>
            </w:r>
          </w:p>
        </w:tc>
        <w:tc>
          <w:tcPr>
            <w:tcW w:w="890" w:type="dxa"/>
            <w:tcBorders>
              <w:right w:val="nil"/>
            </w:tcBorders>
            <w:vAlign w:val="top"/>
          </w:tcPr>
          <w:p w14:paraId="11ABFC73">
            <w:pPr>
              <w:rPr>
                <w:rFonts w:ascii="Arial"/>
                <w:sz w:val="21"/>
              </w:rPr>
            </w:pPr>
          </w:p>
        </w:tc>
      </w:tr>
      <w:tr w14:paraId="693C7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200" w:type="dxa"/>
            <w:tcBorders>
              <w:left w:val="nil"/>
            </w:tcBorders>
            <w:vAlign w:val="top"/>
          </w:tcPr>
          <w:p w14:paraId="7B47945A">
            <w:pPr>
              <w:pStyle w:val="6"/>
              <w:spacing w:before="83" w:line="219" w:lineRule="auto"/>
              <w:ind w:left="120"/>
            </w:pPr>
            <w:r>
              <w:rPr>
                <w:spacing w:val="-2"/>
              </w:rPr>
              <w:t>干系人需求</w:t>
            </w:r>
          </w:p>
        </w:tc>
        <w:tc>
          <w:tcPr>
            <w:tcW w:w="3330" w:type="dxa"/>
            <w:vAlign w:val="top"/>
          </w:tcPr>
          <w:p w14:paraId="71D5C946">
            <w:pPr>
              <w:pStyle w:val="6"/>
              <w:spacing w:before="83" w:line="219" w:lineRule="auto"/>
              <w:ind w:left="55"/>
            </w:pPr>
            <w:r>
              <w:rPr>
                <w:spacing w:val="1"/>
              </w:rPr>
              <w:t>某干系人要求组织进行新的输出</w:t>
            </w:r>
          </w:p>
        </w:tc>
        <w:tc>
          <w:tcPr>
            <w:tcW w:w="850" w:type="dxa"/>
            <w:vAlign w:val="top"/>
          </w:tcPr>
          <w:p w14:paraId="6916F154">
            <w:pPr>
              <w:rPr>
                <w:rFonts w:ascii="Arial"/>
                <w:sz w:val="21"/>
              </w:rPr>
            </w:pPr>
          </w:p>
        </w:tc>
        <w:tc>
          <w:tcPr>
            <w:tcW w:w="870" w:type="dxa"/>
            <w:vAlign w:val="top"/>
          </w:tcPr>
          <w:p w14:paraId="23C6A4C6">
            <w:pPr>
              <w:pStyle w:val="6"/>
              <w:spacing w:before="118" w:line="238" w:lineRule="auto"/>
              <w:ind w:left="355"/>
              <w:rPr>
                <w:sz w:val="15"/>
                <w:szCs w:val="15"/>
              </w:rPr>
            </w:pPr>
            <w:r>
              <w:rPr>
                <w:sz w:val="15"/>
                <w:szCs w:val="15"/>
              </w:rPr>
              <w:t>√</w:t>
            </w:r>
          </w:p>
        </w:tc>
        <w:tc>
          <w:tcPr>
            <w:tcW w:w="1180" w:type="dxa"/>
            <w:vAlign w:val="top"/>
          </w:tcPr>
          <w:p w14:paraId="2D6ECFFA">
            <w:pPr>
              <w:rPr>
                <w:rFonts w:ascii="Arial"/>
                <w:sz w:val="21"/>
              </w:rPr>
            </w:pPr>
          </w:p>
        </w:tc>
        <w:tc>
          <w:tcPr>
            <w:tcW w:w="890" w:type="dxa"/>
            <w:tcBorders>
              <w:right w:val="nil"/>
            </w:tcBorders>
            <w:vAlign w:val="top"/>
          </w:tcPr>
          <w:p w14:paraId="0849E29D">
            <w:pPr>
              <w:rPr>
                <w:rFonts w:ascii="Arial"/>
                <w:sz w:val="21"/>
              </w:rPr>
            </w:pPr>
          </w:p>
        </w:tc>
      </w:tr>
      <w:tr w14:paraId="298D6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00" w:type="dxa"/>
            <w:tcBorders>
              <w:left w:val="nil"/>
            </w:tcBorders>
            <w:vAlign w:val="top"/>
          </w:tcPr>
          <w:p w14:paraId="227B8669">
            <w:pPr>
              <w:pStyle w:val="6"/>
              <w:spacing w:before="194" w:line="219" w:lineRule="auto"/>
              <w:ind w:left="219"/>
            </w:pPr>
            <w:r>
              <w:rPr>
                <w:spacing w:val="-2"/>
              </w:rPr>
              <w:t>法律要求</w:t>
            </w:r>
          </w:p>
        </w:tc>
        <w:tc>
          <w:tcPr>
            <w:tcW w:w="3330" w:type="dxa"/>
            <w:vAlign w:val="top"/>
          </w:tcPr>
          <w:p w14:paraId="14C0EDD2">
            <w:pPr>
              <w:pStyle w:val="6"/>
              <w:spacing w:before="75" w:line="235" w:lineRule="auto"/>
              <w:ind w:left="54" w:right="52" w:hanging="9"/>
            </w:pPr>
            <w:r>
              <w:rPr>
                <w:spacing w:val="-1"/>
              </w:rPr>
              <w:t>某化工制造商批准一个项目，为妥善处</w:t>
            </w:r>
            <w:r>
              <w:rPr>
                <w:spacing w:val="8"/>
              </w:rPr>
              <w:t xml:space="preserve"> </w:t>
            </w:r>
            <w:r>
              <w:rPr>
                <w:spacing w:val="-1"/>
              </w:rPr>
              <w:t>理一种新的有毒材料制定指南</w:t>
            </w:r>
          </w:p>
        </w:tc>
        <w:tc>
          <w:tcPr>
            <w:tcW w:w="850" w:type="dxa"/>
            <w:vAlign w:val="top"/>
          </w:tcPr>
          <w:p w14:paraId="44FC2521">
            <w:pPr>
              <w:pStyle w:val="6"/>
              <w:spacing w:before="228" w:line="238" w:lineRule="auto"/>
              <w:ind w:left="345"/>
              <w:rPr>
                <w:sz w:val="15"/>
                <w:szCs w:val="15"/>
              </w:rPr>
            </w:pPr>
            <w:r>
              <w:rPr>
                <w:sz w:val="15"/>
                <w:szCs w:val="15"/>
              </w:rPr>
              <w:t>√</w:t>
            </w:r>
          </w:p>
        </w:tc>
        <w:tc>
          <w:tcPr>
            <w:tcW w:w="870" w:type="dxa"/>
            <w:vAlign w:val="top"/>
          </w:tcPr>
          <w:p w14:paraId="4FC93399">
            <w:pPr>
              <w:rPr>
                <w:rFonts w:ascii="Arial"/>
                <w:sz w:val="21"/>
              </w:rPr>
            </w:pPr>
          </w:p>
        </w:tc>
        <w:tc>
          <w:tcPr>
            <w:tcW w:w="1180" w:type="dxa"/>
            <w:vAlign w:val="top"/>
          </w:tcPr>
          <w:p w14:paraId="42D5FA05">
            <w:pPr>
              <w:rPr>
                <w:rFonts w:ascii="Arial"/>
                <w:sz w:val="21"/>
              </w:rPr>
            </w:pPr>
          </w:p>
        </w:tc>
        <w:tc>
          <w:tcPr>
            <w:tcW w:w="890" w:type="dxa"/>
            <w:tcBorders>
              <w:right w:val="nil"/>
            </w:tcBorders>
            <w:vAlign w:val="top"/>
          </w:tcPr>
          <w:p w14:paraId="619DA1ED">
            <w:pPr>
              <w:rPr>
                <w:rFonts w:ascii="Arial"/>
                <w:sz w:val="21"/>
              </w:rPr>
            </w:pPr>
          </w:p>
        </w:tc>
      </w:tr>
      <w:tr w14:paraId="2FA65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200" w:type="dxa"/>
            <w:tcBorders>
              <w:left w:val="nil"/>
            </w:tcBorders>
            <w:vAlign w:val="top"/>
          </w:tcPr>
          <w:p w14:paraId="7EDC2408">
            <w:pPr>
              <w:pStyle w:val="6"/>
              <w:spacing w:before="185" w:line="219" w:lineRule="auto"/>
              <w:ind w:left="30"/>
            </w:pPr>
            <w:r>
              <w:rPr>
                <w:spacing w:val="-1"/>
              </w:rPr>
              <w:t>业务过程改进</w:t>
            </w:r>
          </w:p>
        </w:tc>
        <w:tc>
          <w:tcPr>
            <w:tcW w:w="3330" w:type="dxa"/>
            <w:vAlign w:val="top"/>
          </w:tcPr>
          <w:p w14:paraId="6FBD8781">
            <w:pPr>
              <w:pStyle w:val="6"/>
              <w:spacing w:before="53" w:line="236" w:lineRule="auto"/>
              <w:ind w:left="44" w:right="62" w:hanging="9"/>
            </w:pPr>
            <w:r>
              <w:rPr>
                <w:spacing w:val="-1"/>
              </w:rPr>
              <w:t>某组织实施一个运用精益六西格玛价值</w:t>
            </w:r>
            <w:r>
              <w:rPr>
                <w:spacing w:val="8"/>
              </w:rPr>
              <w:t xml:space="preserve"> </w:t>
            </w:r>
            <w:r>
              <w:rPr>
                <w:spacing w:val="7"/>
              </w:rPr>
              <w:t>流图的项目</w:t>
            </w:r>
          </w:p>
        </w:tc>
        <w:tc>
          <w:tcPr>
            <w:tcW w:w="850" w:type="dxa"/>
            <w:vAlign w:val="top"/>
          </w:tcPr>
          <w:p w14:paraId="0F201476">
            <w:pPr>
              <w:rPr>
                <w:rFonts w:ascii="Arial"/>
                <w:sz w:val="21"/>
              </w:rPr>
            </w:pPr>
          </w:p>
        </w:tc>
        <w:tc>
          <w:tcPr>
            <w:tcW w:w="870" w:type="dxa"/>
            <w:vAlign w:val="top"/>
          </w:tcPr>
          <w:p w14:paraId="07BF8213">
            <w:pPr>
              <w:rPr>
                <w:rFonts w:ascii="Arial"/>
                <w:sz w:val="21"/>
              </w:rPr>
            </w:pPr>
          </w:p>
        </w:tc>
        <w:tc>
          <w:tcPr>
            <w:tcW w:w="1180" w:type="dxa"/>
            <w:vAlign w:val="top"/>
          </w:tcPr>
          <w:p w14:paraId="528AB121">
            <w:pPr>
              <w:pStyle w:val="6"/>
              <w:spacing w:before="219" w:line="238" w:lineRule="auto"/>
              <w:ind w:left="505"/>
              <w:rPr>
                <w:sz w:val="15"/>
                <w:szCs w:val="15"/>
              </w:rPr>
            </w:pPr>
            <w:r>
              <w:rPr>
                <w:sz w:val="15"/>
                <w:szCs w:val="15"/>
              </w:rPr>
              <w:t>√</w:t>
            </w:r>
          </w:p>
        </w:tc>
        <w:tc>
          <w:tcPr>
            <w:tcW w:w="890" w:type="dxa"/>
            <w:tcBorders>
              <w:right w:val="nil"/>
            </w:tcBorders>
            <w:vAlign w:val="top"/>
          </w:tcPr>
          <w:p w14:paraId="33BA5586">
            <w:pPr>
              <w:rPr>
                <w:rFonts w:ascii="Arial"/>
                <w:sz w:val="21"/>
              </w:rPr>
            </w:pPr>
          </w:p>
        </w:tc>
      </w:tr>
      <w:tr w14:paraId="0C891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200" w:type="dxa"/>
            <w:tcBorders>
              <w:left w:val="nil"/>
            </w:tcBorders>
            <w:vAlign w:val="top"/>
          </w:tcPr>
          <w:p w14:paraId="300AB876">
            <w:pPr>
              <w:pStyle w:val="6"/>
              <w:spacing w:before="56" w:line="235" w:lineRule="auto"/>
              <w:ind w:left="310" w:right="18" w:hanging="280"/>
            </w:pPr>
            <w:r>
              <w:rPr>
                <w:spacing w:val="1"/>
              </w:rPr>
              <w:t>战略机会或业</w:t>
            </w:r>
            <w:r>
              <w:t xml:space="preserve"> </w:t>
            </w:r>
            <w:r>
              <w:rPr>
                <w:spacing w:val="-2"/>
              </w:rPr>
              <w:t>务需求</w:t>
            </w:r>
          </w:p>
        </w:tc>
        <w:tc>
          <w:tcPr>
            <w:tcW w:w="3330" w:type="dxa"/>
            <w:vAlign w:val="top"/>
          </w:tcPr>
          <w:p w14:paraId="2803A48A">
            <w:pPr>
              <w:pStyle w:val="6"/>
              <w:spacing w:before="66" w:line="230" w:lineRule="auto"/>
              <w:ind w:left="54" w:hanging="19"/>
            </w:pPr>
            <w:r>
              <w:rPr>
                <w:spacing w:val="-8"/>
              </w:rPr>
              <w:t>为增加收入，某培训公司批准一个项目，</w:t>
            </w:r>
            <w:r>
              <w:rPr>
                <w:spacing w:val="7"/>
              </w:rPr>
              <w:t xml:space="preserve"> </w:t>
            </w:r>
            <w:r>
              <w:rPr>
                <w:spacing w:val="-6"/>
              </w:rPr>
              <w:t>开发一门新课程</w:t>
            </w:r>
          </w:p>
        </w:tc>
        <w:tc>
          <w:tcPr>
            <w:tcW w:w="850" w:type="dxa"/>
            <w:vAlign w:val="top"/>
          </w:tcPr>
          <w:p w14:paraId="7920E4FB">
            <w:pPr>
              <w:rPr>
                <w:rFonts w:ascii="Arial"/>
                <w:sz w:val="21"/>
              </w:rPr>
            </w:pPr>
          </w:p>
        </w:tc>
        <w:tc>
          <w:tcPr>
            <w:tcW w:w="870" w:type="dxa"/>
            <w:vAlign w:val="top"/>
          </w:tcPr>
          <w:p w14:paraId="184BF990">
            <w:pPr>
              <w:rPr>
                <w:rFonts w:ascii="Arial"/>
                <w:sz w:val="21"/>
              </w:rPr>
            </w:pPr>
          </w:p>
        </w:tc>
        <w:tc>
          <w:tcPr>
            <w:tcW w:w="1180" w:type="dxa"/>
            <w:vAlign w:val="top"/>
          </w:tcPr>
          <w:p w14:paraId="7CCCCB26">
            <w:pPr>
              <w:pStyle w:val="6"/>
              <w:spacing w:before="220" w:line="238" w:lineRule="auto"/>
              <w:ind w:left="505"/>
              <w:rPr>
                <w:sz w:val="15"/>
                <w:szCs w:val="15"/>
              </w:rPr>
            </w:pPr>
            <w:r>
              <w:rPr>
                <w:sz w:val="15"/>
                <w:szCs w:val="15"/>
              </w:rPr>
              <w:t>√</w:t>
            </w:r>
          </w:p>
        </w:tc>
        <w:tc>
          <w:tcPr>
            <w:tcW w:w="890" w:type="dxa"/>
            <w:tcBorders>
              <w:right w:val="nil"/>
            </w:tcBorders>
            <w:vAlign w:val="top"/>
          </w:tcPr>
          <w:p w14:paraId="4FF2267C">
            <w:pPr>
              <w:pStyle w:val="6"/>
              <w:spacing w:before="220" w:line="238" w:lineRule="auto"/>
              <w:ind w:left="365"/>
              <w:rPr>
                <w:sz w:val="15"/>
                <w:szCs w:val="15"/>
              </w:rPr>
            </w:pPr>
            <w:r>
              <w:rPr>
                <w:sz w:val="15"/>
                <w:szCs w:val="15"/>
              </w:rPr>
              <w:t>√</w:t>
            </w:r>
          </w:p>
        </w:tc>
      </w:tr>
      <w:tr w14:paraId="440CA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200" w:type="dxa"/>
            <w:tcBorders>
              <w:left w:val="nil"/>
            </w:tcBorders>
            <w:vAlign w:val="top"/>
          </w:tcPr>
          <w:p w14:paraId="33BF90B1">
            <w:pPr>
              <w:spacing w:line="262" w:lineRule="auto"/>
              <w:rPr>
                <w:rFonts w:ascii="Arial"/>
                <w:sz w:val="21"/>
              </w:rPr>
            </w:pPr>
          </w:p>
          <w:p w14:paraId="02EE4F6C">
            <w:pPr>
              <w:pStyle w:val="6"/>
              <w:spacing w:before="61" w:line="219" w:lineRule="auto"/>
              <w:ind w:left="219"/>
            </w:pPr>
            <w:r>
              <w:rPr>
                <w:spacing w:val="-2"/>
              </w:rPr>
              <w:t>社会需要</w:t>
            </w:r>
          </w:p>
        </w:tc>
        <w:tc>
          <w:tcPr>
            <w:tcW w:w="3330" w:type="dxa"/>
            <w:vAlign w:val="top"/>
          </w:tcPr>
          <w:p w14:paraId="1FAFDA21">
            <w:pPr>
              <w:pStyle w:val="6"/>
              <w:spacing w:before="64" w:line="241" w:lineRule="auto"/>
              <w:ind w:left="35" w:right="34" w:firstLine="29"/>
              <w:jc w:val="both"/>
            </w:pPr>
            <w:r>
              <w:rPr>
                <w:spacing w:val="-1"/>
              </w:rPr>
              <w:t>为应对传染病频发，某发展中国家的非</w:t>
            </w:r>
            <w:r>
              <w:rPr>
                <w:spacing w:val="6"/>
              </w:rPr>
              <w:t xml:space="preserve"> </w:t>
            </w:r>
            <w:r>
              <w:rPr>
                <w:spacing w:val="-1"/>
              </w:rPr>
              <w:t>政府组织批准一个项目，为社区建设饮</w:t>
            </w:r>
            <w:r>
              <w:rPr>
                <w:spacing w:val="9"/>
              </w:rPr>
              <w:t xml:space="preserve"> </w:t>
            </w:r>
            <w:r>
              <w:t>用水系统和公共厕所，并开展卫生教育</w:t>
            </w:r>
          </w:p>
        </w:tc>
        <w:tc>
          <w:tcPr>
            <w:tcW w:w="850" w:type="dxa"/>
            <w:vAlign w:val="top"/>
          </w:tcPr>
          <w:p w14:paraId="5E9B66D1">
            <w:pPr>
              <w:rPr>
                <w:rFonts w:ascii="Arial"/>
                <w:sz w:val="21"/>
              </w:rPr>
            </w:pPr>
          </w:p>
        </w:tc>
        <w:tc>
          <w:tcPr>
            <w:tcW w:w="870" w:type="dxa"/>
            <w:vAlign w:val="top"/>
          </w:tcPr>
          <w:p w14:paraId="72B32578">
            <w:pPr>
              <w:spacing w:line="309" w:lineRule="auto"/>
              <w:rPr>
                <w:rFonts w:ascii="Arial"/>
                <w:sz w:val="21"/>
              </w:rPr>
            </w:pPr>
          </w:p>
          <w:p w14:paraId="27E7ADD4">
            <w:pPr>
              <w:pStyle w:val="6"/>
              <w:spacing w:before="49" w:line="238" w:lineRule="auto"/>
              <w:ind w:left="355"/>
              <w:rPr>
                <w:sz w:val="15"/>
                <w:szCs w:val="15"/>
              </w:rPr>
            </w:pPr>
            <w:r>
              <w:rPr>
                <w:sz w:val="15"/>
                <w:szCs w:val="15"/>
              </w:rPr>
              <w:t>√</w:t>
            </w:r>
          </w:p>
        </w:tc>
        <w:tc>
          <w:tcPr>
            <w:tcW w:w="1180" w:type="dxa"/>
            <w:vAlign w:val="top"/>
          </w:tcPr>
          <w:p w14:paraId="42C457B8">
            <w:pPr>
              <w:rPr>
                <w:rFonts w:ascii="Arial"/>
                <w:sz w:val="21"/>
              </w:rPr>
            </w:pPr>
          </w:p>
        </w:tc>
        <w:tc>
          <w:tcPr>
            <w:tcW w:w="890" w:type="dxa"/>
            <w:tcBorders>
              <w:right w:val="nil"/>
            </w:tcBorders>
            <w:vAlign w:val="top"/>
          </w:tcPr>
          <w:p w14:paraId="2D8D7E6A">
            <w:pPr>
              <w:rPr>
                <w:rFonts w:ascii="Arial"/>
                <w:sz w:val="21"/>
              </w:rPr>
            </w:pPr>
          </w:p>
        </w:tc>
      </w:tr>
      <w:tr w14:paraId="58954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200" w:type="dxa"/>
            <w:tcBorders>
              <w:left w:val="nil"/>
            </w:tcBorders>
            <w:vAlign w:val="top"/>
          </w:tcPr>
          <w:p w14:paraId="5DC64993">
            <w:pPr>
              <w:pStyle w:val="6"/>
              <w:spacing w:before="198" w:line="220" w:lineRule="auto"/>
              <w:ind w:left="219"/>
            </w:pPr>
            <w:r>
              <w:rPr>
                <w:spacing w:val="-2"/>
              </w:rPr>
              <w:t>环境需要</w:t>
            </w:r>
          </w:p>
        </w:tc>
        <w:tc>
          <w:tcPr>
            <w:tcW w:w="3330" w:type="dxa"/>
            <w:vAlign w:val="top"/>
          </w:tcPr>
          <w:p w14:paraId="315CBBCD">
            <w:pPr>
              <w:pStyle w:val="6"/>
              <w:spacing w:before="68" w:line="236" w:lineRule="auto"/>
              <w:ind w:left="45" w:firstLine="9"/>
            </w:pPr>
            <w:r>
              <w:rPr>
                <w:spacing w:val="-9"/>
              </w:rPr>
              <w:t>为减少污染，某上市公司批准一个项目，</w:t>
            </w:r>
            <w:r>
              <w:rPr>
                <w:spacing w:val="6"/>
              </w:rPr>
              <w:t xml:space="preserve"> </w:t>
            </w:r>
            <w:r>
              <w:rPr>
                <w:spacing w:val="-6"/>
              </w:rPr>
              <w:t>开创电动汽车共享服务</w:t>
            </w:r>
          </w:p>
        </w:tc>
        <w:tc>
          <w:tcPr>
            <w:tcW w:w="850" w:type="dxa"/>
            <w:vAlign w:val="top"/>
          </w:tcPr>
          <w:p w14:paraId="385CEC8A">
            <w:pPr>
              <w:rPr>
                <w:rFonts w:ascii="Arial"/>
                <w:sz w:val="21"/>
              </w:rPr>
            </w:pPr>
          </w:p>
        </w:tc>
        <w:tc>
          <w:tcPr>
            <w:tcW w:w="870" w:type="dxa"/>
            <w:vAlign w:val="top"/>
          </w:tcPr>
          <w:p w14:paraId="3197D5AC">
            <w:pPr>
              <w:rPr>
                <w:rFonts w:ascii="Arial"/>
                <w:sz w:val="21"/>
              </w:rPr>
            </w:pPr>
          </w:p>
        </w:tc>
        <w:tc>
          <w:tcPr>
            <w:tcW w:w="1180" w:type="dxa"/>
            <w:vAlign w:val="top"/>
          </w:tcPr>
          <w:p w14:paraId="3DCBC857">
            <w:pPr>
              <w:pStyle w:val="6"/>
              <w:spacing w:before="231" w:line="238" w:lineRule="auto"/>
              <w:ind w:left="505"/>
              <w:rPr>
                <w:sz w:val="15"/>
                <w:szCs w:val="15"/>
              </w:rPr>
            </w:pPr>
            <w:r>
              <w:rPr>
                <w:sz w:val="15"/>
                <w:szCs w:val="15"/>
              </w:rPr>
              <w:t>√</w:t>
            </w:r>
          </w:p>
        </w:tc>
        <w:tc>
          <w:tcPr>
            <w:tcW w:w="890" w:type="dxa"/>
            <w:tcBorders>
              <w:right w:val="nil"/>
            </w:tcBorders>
            <w:vAlign w:val="top"/>
          </w:tcPr>
          <w:p w14:paraId="78299E39">
            <w:pPr>
              <w:pStyle w:val="6"/>
              <w:spacing w:before="231" w:line="238" w:lineRule="auto"/>
              <w:ind w:left="365"/>
              <w:rPr>
                <w:sz w:val="15"/>
                <w:szCs w:val="15"/>
              </w:rPr>
            </w:pPr>
            <w:r>
              <w:rPr>
                <w:sz w:val="15"/>
                <w:szCs w:val="15"/>
              </w:rPr>
              <w:t>√</w:t>
            </w:r>
          </w:p>
        </w:tc>
      </w:tr>
    </w:tbl>
    <w:p w14:paraId="549FF932">
      <w:pPr>
        <w:pStyle w:val="2"/>
        <w:spacing w:before="232" w:line="220" w:lineRule="auto"/>
        <w:ind w:left="2"/>
        <w:rPr>
          <w:sz w:val="25"/>
          <w:szCs w:val="25"/>
        </w:rPr>
      </w:pPr>
      <w:r>
        <w:rPr>
          <w:b/>
          <w:bCs/>
          <w:color w:val="0065DA"/>
          <w:spacing w:val="-18"/>
          <w:sz w:val="25"/>
          <w:szCs w:val="25"/>
        </w:rPr>
        <w:t>16.1.2</w:t>
      </w:r>
      <w:r>
        <w:rPr>
          <w:color w:val="0065DA"/>
          <w:spacing w:val="-18"/>
          <w:sz w:val="25"/>
          <w:szCs w:val="25"/>
        </w:rPr>
        <w:t xml:space="preserve">  </w:t>
      </w:r>
      <w:r>
        <w:rPr>
          <w:b/>
          <w:bCs/>
          <w:color w:val="0065DA"/>
          <w:spacing w:val="-18"/>
          <w:sz w:val="25"/>
          <w:szCs w:val="25"/>
        </w:rPr>
        <w:t>项目成功的标准</w:t>
      </w:r>
    </w:p>
    <w:p w14:paraId="04148186">
      <w:pPr>
        <w:pStyle w:val="2"/>
        <w:spacing w:before="131" w:line="298" w:lineRule="auto"/>
        <w:ind w:right="270" w:firstLine="409"/>
        <w:jc w:val="both"/>
        <w:rPr>
          <w:sz w:val="19"/>
          <w:szCs w:val="19"/>
        </w:rPr>
      </w:pPr>
      <w:r>
        <w:rPr>
          <w:spacing w:val="13"/>
          <w:sz w:val="19"/>
          <w:szCs w:val="19"/>
        </w:rPr>
        <w:t>确定项目是否成功是项目管理中最常见的挑战之一。时间、成本、范围和质量等项目管理</w:t>
      </w:r>
      <w:r>
        <w:rPr>
          <w:spacing w:val="2"/>
          <w:sz w:val="19"/>
          <w:szCs w:val="19"/>
        </w:rPr>
        <w:t xml:space="preserve"> </w:t>
      </w:r>
      <w:r>
        <w:rPr>
          <w:spacing w:val="13"/>
          <w:sz w:val="19"/>
          <w:szCs w:val="19"/>
        </w:rPr>
        <w:t>测量指标，历来被视为确定项目是否成功的最重要的因素。确定项目是否成功还应考虑项目目</w:t>
      </w:r>
      <w:r>
        <w:rPr>
          <w:spacing w:val="12"/>
          <w:sz w:val="19"/>
          <w:szCs w:val="19"/>
        </w:rPr>
        <w:t xml:space="preserve"> </w:t>
      </w:r>
      <w:r>
        <w:rPr>
          <w:spacing w:val="4"/>
          <w:sz w:val="19"/>
          <w:szCs w:val="19"/>
        </w:rPr>
        <w:t>标的实现情况。</w:t>
      </w:r>
    </w:p>
    <w:p w14:paraId="632CED64">
      <w:pPr>
        <w:pStyle w:val="2"/>
        <w:spacing w:before="1" w:line="315" w:lineRule="auto"/>
        <w:ind w:right="269" w:firstLine="409"/>
        <w:rPr>
          <w:sz w:val="19"/>
          <w:szCs w:val="19"/>
        </w:rPr>
      </w:pPr>
      <w:r>
        <w:rPr>
          <w:spacing w:val="13"/>
          <w:sz w:val="19"/>
          <w:szCs w:val="19"/>
        </w:rPr>
        <w:t>明确记录项目目标并选择可测量的目标是项目成功的关键。主要干系人和项目经理应思考</w:t>
      </w:r>
      <w:r>
        <w:rPr>
          <w:spacing w:val="9"/>
          <w:sz w:val="19"/>
          <w:szCs w:val="19"/>
        </w:rPr>
        <w:t xml:space="preserve"> </w:t>
      </w:r>
      <w:r>
        <w:rPr>
          <w:spacing w:val="1"/>
          <w:sz w:val="19"/>
          <w:szCs w:val="19"/>
        </w:rPr>
        <w:t>三个问题：</w:t>
      </w:r>
    </w:p>
    <w:p w14:paraId="2BC4BA0C">
      <w:pPr>
        <w:pStyle w:val="2"/>
        <w:spacing w:before="1" w:line="218" w:lineRule="auto"/>
        <w:ind w:left="409"/>
        <w:rPr>
          <w:sz w:val="19"/>
          <w:szCs w:val="19"/>
        </w:rPr>
      </w:pPr>
      <w:r>
        <w:rPr>
          <w:spacing w:val="12"/>
          <w:sz w:val="19"/>
          <w:szCs w:val="19"/>
        </w:rPr>
        <w:t>(1)怎样才算项目成功；</w:t>
      </w:r>
    </w:p>
    <w:p w14:paraId="7487816F">
      <w:pPr>
        <w:pStyle w:val="2"/>
        <w:spacing w:before="74" w:line="218" w:lineRule="auto"/>
        <w:ind w:left="409"/>
        <w:rPr>
          <w:sz w:val="19"/>
          <w:szCs w:val="19"/>
        </w:rPr>
      </w:pPr>
      <w:r>
        <w:rPr>
          <w:spacing w:val="12"/>
          <w:sz w:val="19"/>
          <w:szCs w:val="19"/>
        </w:rPr>
        <w:t>(2)如何评估项目成功；</w:t>
      </w:r>
    </w:p>
    <w:p w14:paraId="35E95792">
      <w:pPr>
        <w:spacing w:line="218" w:lineRule="auto"/>
        <w:rPr>
          <w:sz w:val="19"/>
          <w:szCs w:val="19"/>
        </w:rPr>
        <w:sectPr>
          <w:pgSz w:w="10280" w:h="13300"/>
          <w:pgMar w:top="370" w:right="582" w:bottom="400" w:left="1089" w:header="0" w:footer="0" w:gutter="0"/>
          <w:cols w:space="720" w:num="1"/>
        </w:sectPr>
      </w:pPr>
    </w:p>
    <w:p w14:paraId="4F4B90AD">
      <w:pPr>
        <w:pStyle w:val="2"/>
        <w:spacing w:before="108" w:line="219" w:lineRule="auto"/>
        <w:rPr>
          <w:sz w:val="20"/>
          <w:szCs w:val="20"/>
        </w:rPr>
      </w:pPr>
      <w:r>
        <w:rPr>
          <w:rFonts w:ascii="Times New Roman" w:hAnsi="Times New Roman" w:eastAsia="Times New Roman" w:cs="Times New Roman"/>
          <w:spacing w:val="-2"/>
          <w:position w:val="1"/>
          <w:sz w:val="20"/>
          <w:szCs w:val="20"/>
        </w:rPr>
        <w:t xml:space="preserve">370              </w:t>
      </w:r>
      <w:r>
        <w:rPr>
          <w:spacing w:val="-2"/>
          <w:sz w:val="20"/>
          <w:szCs w:val="20"/>
        </w:rPr>
        <w:t>信息系统监理师教程(第2版)</w:t>
      </w:r>
    </w:p>
    <w:p w14:paraId="72D9E2D4">
      <w:pPr>
        <w:spacing w:line="324" w:lineRule="auto"/>
        <w:rPr>
          <w:rFonts w:ascii="Arial"/>
          <w:sz w:val="21"/>
        </w:rPr>
      </w:pPr>
    </w:p>
    <w:p w14:paraId="3F01694A">
      <w:pPr>
        <w:pStyle w:val="2"/>
        <w:spacing w:before="65" w:line="219" w:lineRule="auto"/>
        <w:ind w:left="749"/>
        <w:rPr>
          <w:sz w:val="20"/>
          <w:szCs w:val="20"/>
        </w:rPr>
      </w:pPr>
      <w:r>
        <w:rPr>
          <w:spacing w:val="3"/>
          <w:sz w:val="20"/>
          <w:szCs w:val="20"/>
        </w:rPr>
        <w:t>(3)哪些因素会影响项目成功。</w:t>
      </w:r>
    </w:p>
    <w:p w14:paraId="1E08562D">
      <w:pPr>
        <w:pStyle w:val="2"/>
        <w:spacing w:before="92" w:line="219" w:lineRule="auto"/>
        <w:ind w:left="749"/>
        <w:rPr>
          <w:sz w:val="20"/>
          <w:szCs w:val="20"/>
        </w:rPr>
      </w:pPr>
      <w:r>
        <w:rPr>
          <w:spacing w:val="-2"/>
          <w:sz w:val="20"/>
          <w:szCs w:val="20"/>
        </w:rPr>
        <w:t>主要干系人和项目经理应就这些问题达成共识并予以记录。</w:t>
      </w:r>
    </w:p>
    <w:p w14:paraId="0EEE8AA3">
      <w:pPr>
        <w:pStyle w:val="2"/>
        <w:spacing w:before="84" w:line="219" w:lineRule="auto"/>
        <w:ind w:right="29"/>
        <w:jc w:val="right"/>
        <w:rPr>
          <w:sz w:val="20"/>
          <w:szCs w:val="20"/>
        </w:rPr>
      </w:pPr>
      <w:r>
        <w:rPr>
          <w:spacing w:val="-1"/>
          <w:sz w:val="20"/>
          <w:szCs w:val="20"/>
        </w:rPr>
        <w:t>项目成功可能涉及与组织战略和业务成果交付相关的标准与目标，这些项目目标可能包括：</w:t>
      </w:r>
    </w:p>
    <w:p w14:paraId="7C077D34">
      <w:pPr>
        <w:pStyle w:val="2"/>
        <w:spacing w:before="72" w:line="219" w:lineRule="auto"/>
        <w:ind w:left="749"/>
        <w:rPr>
          <w:sz w:val="20"/>
          <w:szCs w:val="20"/>
        </w:rPr>
      </w:pPr>
      <w:r>
        <w:rPr>
          <w:spacing w:val="3"/>
          <w:sz w:val="20"/>
          <w:szCs w:val="20"/>
        </w:rPr>
        <w:t>(1)完成项目效益管理计划。</w:t>
      </w:r>
    </w:p>
    <w:p w14:paraId="324B69FE">
      <w:pPr>
        <w:pStyle w:val="2"/>
        <w:spacing w:before="81" w:line="255" w:lineRule="auto"/>
        <w:ind w:left="349" w:firstLine="399"/>
        <w:rPr>
          <w:sz w:val="20"/>
          <w:szCs w:val="20"/>
        </w:rPr>
      </w:pPr>
      <w:r>
        <w:rPr>
          <w:spacing w:val="2"/>
          <w:sz w:val="20"/>
          <w:szCs w:val="20"/>
        </w:rPr>
        <w:t>(2)达到可行性研究与论证中记录的已商定的财务测量指标。这些财务测量指标可能包括：</w:t>
      </w:r>
      <w:r>
        <w:rPr>
          <w:spacing w:val="16"/>
          <w:sz w:val="20"/>
          <w:szCs w:val="20"/>
        </w:rPr>
        <w:t xml:space="preserve"> </w:t>
      </w:r>
      <w:r>
        <w:rPr>
          <w:spacing w:val="5"/>
          <w:sz w:val="20"/>
          <w:szCs w:val="20"/>
        </w:rPr>
        <w:t>净现值</w:t>
      </w:r>
      <w:r>
        <w:rPr>
          <w:spacing w:val="-48"/>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NPV</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8"/>
          <w:sz w:val="20"/>
          <w:szCs w:val="20"/>
        </w:rPr>
        <w:t xml:space="preserve"> </w:t>
      </w:r>
      <w:r>
        <w:rPr>
          <w:spacing w:val="5"/>
          <w:sz w:val="20"/>
          <w:szCs w:val="20"/>
        </w:rPr>
        <w:t>、 投资回报率</w:t>
      </w:r>
      <w:r>
        <w:rPr>
          <w:spacing w:val="-50"/>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ROI</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8"/>
          <w:sz w:val="20"/>
          <w:szCs w:val="20"/>
        </w:rPr>
        <w:t xml:space="preserve"> </w:t>
      </w:r>
      <w:r>
        <w:rPr>
          <w:spacing w:val="5"/>
          <w:sz w:val="20"/>
          <w:szCs w:val="20"/>
        </w:rPr>
        <w:t>、</w:t>
      </w:r>
      <w:r>
        <w:rPr>
          <w:spacing w:val="31"/>
          <w:sz w:val="20"/>
          <w:szCs w:val="20"/>
        </w:rPr>
        <w:t xml:space="preserve"> </w:t>
      </w:r>
      <w:r>
        <w:rPr>
          <w:spacing w:val="5"/>
          <w:sz w:val="20"/>
          <w:szCs w:val="20"/>
        </w:rPr>
        <w:t>内部报酬率</w:t>
      </w:r>
      <w:r>
        <w:rPr>
          <w:spacing w:val="-4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IRR</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9"/>
          <w:sz w:val="20"/>
          <w:szCs w:val="20"/>
        </w:rPr>
        <w:t xml:space="preserve"> </w:t>
      </w:r>
      <w:r>
        <w:rPr>
          <w:spacing w:val="5"/>
          <w:sz w:val="20"/>
          <w:szCs w:val="20"/>
        </w:rPr>
        <w:t xml:space="preserve">、 </w:t>
      </w:r>
      <w:r>
        <w:rPr>
          <w:spacing w:val="4"/>
          <w:sz w:val="20"/>
          <w:szCs w:val="20"/>
        </w:rPr>
        <w:t>投资回收期</w:t>
      </w:r>
      <w:r>
        <w:rPr>
          <w:spacing w:val="-53"/>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PBP</w:t>
      </w:r>
      <w:r>
        <w:rPr>
          <w:rFonts w:ascii="Times New Roman" w:hAnsi="Times New Roman" w:eastAsia="Times New Roman" w:cs="Times New Roman"/>
          <w:spacing w:val="4"/>
          <w:sz w:val="20"/>
          <w:szCs w:val="20"/>
        </w:rPr>
        <w:t xml:space="preserve">)    </w:t>
      </w:r>
      <w:r>
        <w:rPr>
          <w:spacing w:val="4"/>
          <w:sz w:val="20"/>
          <w:szCs w:val="20"/>
        </w:rPr>
        <w:t>和效益成本比</w:t>
      </w:r>
      <w:r>
        <w:rPr>
          <w:sz w:val="20"/>
          <w:szCs w:val="20"/>
        </w:rPr>
        <w:t xml:space="preserve"> </w:t>
      </w:r>
      <w:bookmarkStart w:id="675" w:name="bookmark660"/>
      <w:bookmarkEnd w:id="675"/>
      <w:r>
        <w:rPr>
          <w:spacing w:val="-3"/>
          <w:sz w:val="20"/>
          <w:szCs w:val="20"/>
        </w:rPr>
        <w:t>率</w:t>
      </w:r>
      <w:r>
        <w:rPr>
          <w:spacing w:val="-19"/>
          <w:sz w:val="20"/>
          <w:szCs w:val="20"/>
        </w:rPr>
        <w:t xml:space="preserve"> </w:t>
      </w:r>
      <w:r>
        <w:rPr>
          <w:rFonts w:ascii="Times New Roman" w:hAnsi="Times New Roman" w:eastAsia="Times New Roman" w:cs="Times New Roman"/>
          <w:spacing w:val="-3"/>
          <w:sz w:val="20"/>
          <w:szCs w:val="20"/>
        </w:rPr>
        <w:t>(BCR)</w:t>
      </w:r>
      <w:r>
        <w:rPr>
          <w:spacing w:val="-3"/>
          <w:sz w:val="20"/>
          <w:szCs w:val="20"/>
        </w:rPr>
        <w:t>。</w:t>
      </w:r>
    </w:p>
    <w:p w14:paraId="03305E5B">
      <w:pPr>
        <w:pStyle w:val="2"/>
        <w:spacing w:before="121" w:line="219" w:lineRule="auto"/>
        <w:ind w:left="749"/>
        <w:rPr>
          <w:sz w:val="20"/>
          <w:szCs w:val="20"/>
        </w:rPr>
      </w:pPr>
      <w:r>
        <w:rPr>
          <w:spacing w:val="2"/>
          <w:sz w:val="20"/>
          <w:szCs w:val="20"/>
        </w:rPr>
        <w:t>(3)达到可行性研究与论证的非财务目标。</w:t>
      </w:r>
    </w:p>
    <w:p w14:paraId="1A975CC7">
      <w:pPr>
        <w:pStyle w:val="2"/>
        <w:spacing w:before="85" w:line="219" w:lineRule="auto"/>
        <w:ind w:left="749"/>
        <w:rPr>
          <w:sz w:val="20"/>
          <w:szCs w:val="20"/>
        </w:rPr>
      </w:pPr>
      <w:r>
        <w:rPr>
          <w:spacing w:val="-1"/>
          <w:sz w:val="20"/>
          <w:szCs w:val="20"/>
        </w:rPr>
        <w:t>(4)组织从“当前状态”成功转移到“将来状态”。</w:t>
      </w:r>
    </w:p>
    <w:p w14:paraId="3CB87814">
      <w:pPr>
        <w:pStyle w:val="2"/>
        <w:spacing w:before="82" w:line="219" w:lineRule="auto"/>
        <w:ind w:left="749"/>
        <w:rPr>
          <w:sz w:val="20"/>
          <w:szCs w:val="20"/>
        </w:rPr>
      </w:pPr>
      <w:r>
        <w:rPr>
          <w:spacing w:val="4"/>
          <w:sz w:val="20"/>
          <w:szCs w:val="20"/>
        </w:rPr>
        <w:t>(5)履行合同条款和条件。</w:t>
      </w:r>
    </w:p>
    <w:p w14:paraId="62C0CD64">
      <w:pPr>
        <w:pStyle w:val="2"/>
        <w:spacing w:before="84" w:line="220" w:lineRule="auto"/>
        <w:ind w:left="749"/>
        <w:rPr>
          <w:sz w:val="20"/>
          <w:szCs w:val="20"/>
        </w:rPr>
      </w:pPr>
      <w:r>
        <w:rPr>
          <w:spacing w:val="3"/>
          <w:sz w:val="20"/>
          <w:szCs w:val="20"/>
        </w:rPr>
        <w:t>(6)达到组织战略、目的和目标。</w:t>
      </w:r>
    </w:p>
    <w:p w14:paraId="5C0F2D51">
      <w:pPr>
        <w:pStyle w:val="2"/>
        <w:spacing w:before="69" w:line="219" w:lineRule="auto"/>
        <w:ind w:left="749"/>
        <w:rPr>
          <w:sz w:val="20"/>
          <w:szCs w:val="20"/>
        </w:rPr>
      </w:pPr>
      <w:r>
        <w:rPr>
          <w:spacing w:val="7"/>
          <w:sz w:val="20"/>
          <w:szCs w:val="20"/>
        </w:rPr>
        <w:t>(7)使干系人满意。</w:t>
      </w:r>
    </w:p>
    <w:p w14:paraId="159762C3">
      <w:pPr>
        <w:pStyle w:val="2"/>
        <w:spacing w:before="83" w:line="219" w:lineRule="auto"/>
        <w:ind w:left="749"/>
        <w:rPr>
          <w:sz w:val="20"/>
          <w:szCs w:val="20"/>
        </w:rPr>
      </w:pPr>
      <w:r>
        <w:rPr>
          <w:spacing w:val="6"/>
          <w:sz w:val="20"/>
          <w:szCs w:val="20"/>
        </w:rPr>
        <w:t>(8)可接受的客户/最终用户的采纳度。</w:t>
      </w:r>
    </w:p>
    <w:p w14:paraId="59862550">
      <w:pPr>
        <w:pStyle w:val="2"/>
        <w:spacing w:before="74" w:line="219" w:lineRule="auto"/>
        <w:ind w:left="749"/>
        <w:rPr>
          <w:sz w:val="20"/>
          <w:szCs w:val="20"/>
        </w:rPr>
      </w:pPr>
      <w:r>
        <w:rPr>
          <w:spacing w:val="2"/>
          <w:sz w:val="20"/>
          <w:szCs w:val="20"/>
        </w:rPr>
        <w:t>(9)将可交付成果整合到组织的运营环境中。</w:t>
      </w:r>
    </w:p>
    <w:p w14:paraId="0B78CB6E">
      <w:pPr>
        <w:pStyle w:val="2"/>
        <w:spacing w:before="73" w:line="219" w:lineRule="auto"/>
        <w:ind w:left="749"/>
        <w:rPr>
          <w:sz w:val="20"/>
          <w:szCs w:val="20"/>
        </w:rPr>
      </w:pPr>
      <w:r>
        <w:rPr>
          <w:spacing w:val="4"/>
          <w:sz w:val="20"/>
          <w:szCs w:val="20"/>
        </w:rPr>
        <w:t>(10)满足商定的交付质量。</w:t>
      </w:r>
    </w:p>
    <w:p w14:paraId="3ED4B7AE">
      <w:pPr>
        <w:pStyle w:val="2"/>
        <w:spacing w:before="73" w:line="219" w:lineRule="auto"/>
        <w:ind w:left="749"/>
        <w:rPr>
          <w:sz w:val="20"/>
          <w:szCs w:val="20"/>
        </w:rPr>
      </w:pPr>
      <w:r>
        <w:rPr>
          <w:spacing w:val="6"/>
          <w:sz w:val="20"/>
          <w:szCs w:val="20"/>
        </w:rPr>
        <w:t>(11)遵循治理规则。</w:t>
      </w:r>
    </w:p>
    <w:p w14:paraId="3BD65F04">
      <w:pPr>
        <w:pStyle w:val="2"/>
        <w:spacing w:before="83" w:line="219" w:lineRule="auto"/>
        <w:ind w:left="749"/>
        <w:rPr>
          <w:sz w:val="20"/>
          <w:szCs w:val="20"/>
        </w:rPr>
      </w:pPr>
      <w:r>
        <w:rPr>
          <w:spacing w:val="9"/>
          <w:sz w:val="20"/>
          <w:szCs w:val="20"/>
        </w:rPr>
        <w:t>(12)满足商定的其他成功标准或准则(例如过程产出率)等。</w:t>
      </w:r>
    </w:p>
    <w:p w14:paraId="5166BE90">
      <w:pPr>
        <w:pStyle w:val="2"/>
        <w:spacing w:before="71" w:line="289" w:lineRule="auto"/>
        <w:ind w:left="349" w:firstLine="399"/>
        <w:jc w:val="both"/>
        <w:rPr>
          <w:sz w:val="20"/>
          <w:szCs w:val="20"/>
        </w:rPr>
      </w:pPr>
      <w:r>
        <w:rPr>
          <w:spacing w:val="3"/>
          <w:sz w:val="20"/>
          <w:szCs w:val="20"/>
        </w:rPr>
        <w:t>为了取得项目成功，项目团队必须能够正确评估项目状况，平衡项目要求，并与干系人保</w:t>
      </w:r>
      <w:r>
        <w:rPr>
          <w:spacing w:val="8"/>
          <w:sz w:val="20"/>
          <w:szCs w:val="20"/>
        </w:rPr>
        <w:t xml:space="preserve"> </w:t>
      </w:r>
      <w:r>
        <w:rPr>
          <w:spacing w:val="5"/>
          <w:sz w:val="20"/>
          <w:szCs w:val="20"/>
        </w:rPr>
        <w:t>持积极沟通。如果项目能够与组织的战略方向持续保持一致，项目成功的概率</w:t>
      </w:r>
      <w:r>
        <w:rPr>
          <w:spacing w:val="4"/>
          <w:sz w:val="20"/>
          <w:szCs w:val="20"/>
        </w:rPr>
        <w:t>就会显著提高。</w:t>
      </w:r>
      <w:r>
        <w:rPr>
          <w:sz w:val="20"/>
          <w:szCs w:val="20"/>
        </w:rPr>
        <w:t xml:space="preserve"> </w:t>
      </w:r>
      <w:r>
        <w:rPr>
          <w:spacing w:val="3"/>
          <w:sz w:val="20"/>
          <w:szCs w:val="20"/>
        </w:rPr>
        <w:t>有可能一个项目从范围/进度/预算来看是成功的，但从业务角度来看并不成功，这是因为业务</w:t>
      </w:r>
      <w:r>
        <w:rPr>
          <w:spacing w:val="2"/>
          <w:sz w:val="20"/>
          <w:szCs w:val="20"/>
        </w:rPr>
        <w:t xml:space="preserve"> </w:t>
      </w:r>
      <w:r>
        <w:rPr>
          <w:spacing w:val="-3"/>
          <w:sz w:val="20"/>
          <w:szCs w:val="20"/>
        </w:rPr>
        <w:t>需求或市场环境在项目完成之前发生了变化。</w:t>
      </w:r>
    </w:p>
    <w:p w14:paraId="50DA314E">
      <w:pPr>
        <w:spacing w:line="250" w:lineRule="auto"/>
        <w:rPr>
          <w:rFonts w:ascii="Arial"/>
          <w:sz w:val="21"/>
        </w:rPr>
      </w:pPr>
    </w:p>
    <w:p w14:paraId="78EA5647">
      <w:pPr>
        <w:pStyle w:val="2"/>
        <w:spacing w:before="95" w:line="222" w:lineRule="auto"/>
        <w:ind w:left="354"/>
        <w:rPr>
          <w:rFonts w:ascii="黑体" w:hAnsi="黑体" w:eastAsia="黑体" w:cs="黑体"/>
          <w:sz w:val="29"/>
          <w:szCs w:val="29"/>
        </w:rPr>
      </w:pPr>
      <w:r>
        <w:rPr>
          <w:b/>
          <w:bCs/>
          <w:color w:val="0079CA"/>
          <w:spacing w:val="-9"/>
          <w:sz w:val="29"/>
          <w:szCs w:val="29"/>
        </w:rPr>
        <w:t>16.2</w:t>
      </w:r>
      <w:r>
        <w:rPr>
          <w:color w:val="0079CA"/>
          <w:spacing w:val="113"/>
          <w:sz w:val="29"/>
          <w:szCs w:val="29"/>
        </w:rPr>
        <w:t xml:space="preserve"> </w:t>
      </w:r>
      <w:r>
        <w:rPr>
          <w:rFonts w:ascii="黑体" w:hAnsi="黑体" w:eastAsia="黑体" w:cs="黑体"/>
          <w:b/>
          <w:bCs/>
          <w:color w:val="0079CA"/>
          <w:spacing w:val="-9"/>
          <w:sz w:val="29"/>
          <w:szCs w:val="29"/>
        </w:rPr>
        <w:t>项目环境</w:t>
      </w:r>
    </w:p>
    <w:p w14:paraId="7F09C8F8">
      <w:pPr>
        <w:pStyle w:val="2"/>
        <w:spacing w:before="262" w:line="287" w:lineRule="auto"/>
        <w:ind w:left="349" w:right="67" w:firstLine="399"/>
        <w:jc w:val="both"/>
        <w:rPr>
          <w:sz w:val="20"/>
          <w:szCs w:val="20"/>
        </w:rPr>
      </w:pPr>
      <w:r>
        <w:rPr>
          <w:spacing w:val="3"/>
          <w:sz w:val="20"/>
          <w:szCs w:val="20"/>
        </w:rPr>
        <w:t>项目运行时会受到项目所在的组织结构和治理框架的影响与制约。为有效且高效地开展项</w:t>
      </w:r>
      <w:r>
        <w:rPr>
          <w:spacing w:val="14"/>
          <w:sz w:val="20"/>
          <w:szCs w:val="20"/>
        </w:rPr>
        <w:t xml:space="preserve"> </w:t>
      </w:r>
      <w:r>
        <w:rPr>
          <w:spacing w:val="3"/>
          <w:sz w:val="20"/>
          <w:szCs w:val="20"/>
        </w:rPr>
        <w:t>目，项目经理需要了解组织内的组织机构及职责分配情况，帮助自己有效地</w:t>
      </w:r>
      <w:r>
        <w:rPr>
          <w:spacing w:val="2"/>
          <w:sz w:val="20"/>
          <w:szCs w:val="20"/>
        </w:rPr>
        <w:t>利用其权力、影响</w:t>
      </w:r>
      <w:r>
        <w:rPr>
          <w:sz w:val="20"/>
          <w:szCs w:val="20"/>
        </w:rPr>
        <w:t xml:space="preserve"> </w:t>
      </w:r>
      <w:r>
        <w:rPr>
          <w:spacing w:val="-2"/>
          <w:sz w:val="20"/>
          <w:szCs w:val="20"/>
        </w:rPr>
        <w:t>力、能力、领导力等，以便成功完成项目。</w:t>
      </w:r>
    </w:p>
    <w:p w14:paraId="57589DDB">
      <w:pPr>
        <w:pStyle w:val="2"/>
        <w:spacing w:before="7" w:line="287" w:lineRule="auto"/>
        <w:ind w:left="349" w:firstLine="399"/>
        <w:jc w:val="both"/>
        <w:rPr>
          <w:sz w:val="20"/>
          <w:szCs w:val="20"/>
        </w:rPr>
      </w:pPr>
      <w:r>
        <w:rPr>
          <w:spacing w:val="5"/>
          <w:sz w:val="20"/>
          <w:szCs w:val="20"/>
        </w:rPr>
        <w:t>组织内多种因素的交互影响创造出一个独特的组织系统，该组织系统会影响项目的运行，</w:t>
      </w:r>
      <w:r>
        <w:rPr>
          <w:spacing w:val="3"/>
          <w:sz w:val="20"/>
          <w:szCs w:val="20"/>
        </w:rPr>
        <w:t xml:space="preserve"> 并决定了组织系统内部人员的权力、影响力、利益、能力等，包括：治理框架、管理要素和组</w:t>
      </w:r>
      <w:r>
        <w:rPr>
          <w:spacing w:val="2"/>
          <w:sz w:val="20"/>
          <w:szCs w:val="20"/>
        </w:rPr>
        <w:t xml:space="preserve"> </w:t>
      </w:r>
      <w:r>
        <w:rPr>
          <w:spacing w:val="-6"/>
          <w:sz w:val="20"/>
          <w:szCs w:val="20"/>
        </w:rPr>
        <w:t>织结构类型。</w:t>
      </w:r>
    </w:p>
    <w:p w14:paraId="530D1722">
      <w:pPr>
        <w:pStyle w:val="2"/>
        <w:spacing w:before="85" w:line="222" w:lineRule="auto"/>
        <w:ind w:left="752"/>
        <w:rPr>
          <w:rFonts w:ascii="黑体" w:hAnsi="黑体" w:eastAsia="黑体" w:cs="黑体"/>
          <w:sz w:val="20"/>
          <w:szCs w:val="20"/>
        </w:rPr>
      </w:pPr>
      <w:r>
        <w:rPr>
          <w:b/>
          <w:bCs/>
          <w:color w:val="0096EE"/>
          <w:spacing w:val="-2"/>
          <w:sz w:val="20"/>
          <w:szCs w:val="20"/>
        </w:rPr>
        <w:t>1.</w:t>
      </w:r>
      <w:r>
        <w:rPr>
          <w:rFonts w:ascii="黑体" w:hAnsi="黑体" w:eastAsia="黑体" w:cs="黑体"/>
          <w:b/>
          <w:bCs/>
          <w:color w:val="0096EE"/>
          <w:spacing w:val="-2"/>
          <w:sz w:val="20"/>
          <w:szCs w:val="20"/>
        </w:rPr>
        <w:t>治理框架</w:t>
      </w:r>
    </w:p>
    <w:p w14:paraId="18EBE0DA">
      <w:pPr>
        <w:pStyle w:val="2"/>
        <w:spacing w:before="144" w:line="279" w:lineRule="auto"/>
        <w:ind w:left="349" w:right="69" w:firstLine="399"/>
        <w:jc w:val="both"/>
        <w:rPr>
          <w:sz w:val="20"/>
          <w:szCs w:val="20"/>
        </w:rPr>
      </w:pPr>
      <w:r>
        <w:rPr>
          <w:spacing w:val="3"/>
          <w:sz w:val="20"/>
          <w:szCs w:val="20"/>
        </w:rPr>
        <w:t>治理是在组织各层级上的组织性或结构性安排，旨在确定和影响组织成员的行为。治理是</w:t>
      </w:r>
      <w:r>
        <w:rPr>
          <w:spacing w:val="12"/>
          <w:sz w:val="20"/>
          <w:szCs w:val="20"/>
        </w:rPr>
        <w:t xml:space="preserve"> </w:t>
      </w:r>
      <w:r>
        <w:rPr>
          <w:spacing w:val="3"/>
          <w:sz w:val="20"/>
          <w:szCs w:val="20"/>
        </w:rPr>
        <w:t>一个多维度概念，需要考虑人员、角色、结构和政策，同时需要通过数据和反馈提供指导和监</w:t>
      </w:r>
      <w:r>
        <w:rPr>
          <w:spacing w:val="4"/>
          <w:sz w:val="20"/>
          <w:szCs w:val="20"/>
        </w:rPr>
        <w:t xml:space="preserve"> </w:t>
      </w:r>
      <w:r>
        <w:rPr>
          <w:spacing w:val="3"/>
          <w:sz w:val="20"/>
          <w:szCs w:val="20"/>
        </w:rPr>
        <w:t xml:space="preserve">督。治理框架是在组织内行使职权的框架，包括：规则、政策、程序、规范、关系、系统和过 </w:t>
      </w:r>
      <w:r>
        <w:rPr>
          <w:spacing w:val="-4"/>
          <w:sz w:val="20"/>
          <w:szCs w:val="20"/>
        </w:rPr>
        <w:t>程，该治理框架会影响以下内容：</w:t>
      </w:r>
    </w:p>
    <w:p w14:paraId="20A9D20C">
      <w:pPr>
        <w:pStyle w:val="2"/>
        <w:spacing w:before="11" w:line="220" w:lineRule="auto"/>
        <w:ind w:left="749"/>
        <w:rPr>
          <w:sz w:val="20"/>
          <w:szCs w:val="20"/>
        </w:rPr>
      </w:pPr>
      <w:r>
        <w:rPr>
          <w:spacing w:val="3"/>
          <w:sz w:val="20"/>
          <w:szCs w:val="20"/>
        </w:rPr>
        <w:t>(1)组织目标的设定和实现方式；</w:t>
      </w:r>
    </w:p>
    <w:p w14:paraId="37C1CE10">
      <w:pPr>
        <w:pStyle w:val="2"/>
        <w:spacing w:before="79" w:line="218" w:lineRule="auto"/>
        <w:ind w:left="749"/>
        <w:rPr>
          <w:sz w:val="20"/>
          <w:szCs w:val="20"/>
        </w:rPr>
      </w:pPr>
      <w:r>
        <w:rPr>
          <w:spacing w:val="4"/>
          <w:sz w:val="20"/>
          <w:szCs w:val="20"/>
        </w:rPr>
        <w:t>(2)风险监控和评估方式；</w:t>
      </w:r>
    </w:p>
    <w:p w14:paraId="1E9C9A5F">
      <w:pPr>
        <w:spacing w:line="218" w:lineRule="auto"/>
        <w:rPr>
          <w:sz w:val="20"/>
          <w:szCs w:val="20"/>
        </w:rPr>
        <w:sectPr>
          <w:pgSz w:w="10300" w:h="13410"/>
          <w:pgMar w:top="400" w:right="1019" w:bottom="400" w:left="530" w:header="0" w:footer="0" w:gutter="0"/>
          <w:cols w:space="720" w:num="1"/>
        </w:sectPr>
      </w:pPr>
    </w:p>
    <w:p w14:paraId="1DD5F8ED">
      <w:pPr>
        <w:pStyle w:val="2"/>
        <w:spacing w:before="86" w:line="219" w:lineRule="auto"/>
        <w:ind w:left="6189"/>
        <w:rPr>
          <w:sz w:val="20"/>
          <w:szCs w:val="20"/>
        </w:rPr>
      </w:pPr>
      <w:r>
        <w:rPr>
          <w:sz w:val="20"/>
          <w:szCs w:val="20"/>
        </w:rPr>
        <w:t>第16章</w:t>
      </w:r>
      <w:r>
        <w:rPr>
          <w:spacing w:val="17"/>
          <w:sz w:val="20"/>
          <w:szCs w:val="20"/>
        </w:rPr>
        <w:t xml:space="preserve"> </w:t>
      </w:r>
      <w:r>
        <w:rPr>
          <w:sz w:val="20"/>
          <w:szCs w:val="20"/>
        </w:rPr>
        <w:t>项目管理</w:t>
      </w:r>
    </w:p>
    <w:p w14:paraId="1407CCA5">
      <w:pPr>
        <w:spacing w:line="55" w:lineRule="exact"/>
      </w:pPr>
    </w:p>
    <w:p w14:paraId="638FC0D4">
      <w:pPr>
        <w:spacing w:line="14" w:lineRule="auto"/>
        <w:rPr>
          <w:rFonts w:ascii="Arial"/>
          <w:sz w:val="2"/>
        </w:rPr>
      </w:pPr>
      <w:r>
        <w:rPr>
          <w:rFonts w:ascii="Arial" w:hAnsi="Arial" w:eastAsia="Arial" w:cs="Arial"/>
          <w:sz w:val="2"/>
          <w:szCs w:val="2"/>
        </w:rPr>
        <w:br w:type="column"/>
      </w:r>
    </w:p>
    <w:p w14:paraId="464A5366">
      <w:pPr>
        <w:spacing w:before="128" w:line="188" w:lineRule="auto"/>
        <w:ind w:left="2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371</w:t>
      </w:r>
    </w:p>
    <w:p w14:paraId="1784C34E">
      <w:pPr>
        <w:spacing w:line="188" w:lineRule="auto"/>
        <w:rPr>
          <w:rFonts w:ascii="Times New Roman" w:hAnsi="Times New Roman" w:eastAsia="Times New Roman" w:cs="Times New Roman"/>
          <w:sz w:val="20"/>
          <w:szCs w:val="20"/>
        </w:rPr>
        <w:sectPr>
          <w:pgSz w:w="10290" w:h="13270"/>
          <w:pgMar w:top="350" w:right="179" w:bottom="400" w:left="1090" w:header="0" w:footer="0" w:gutter="0"/>
          <w:cols w:equalWidth="0" w:num="2">
            <w:col w:w="8301" w:space="0"/>
            <w:col w:w="720"/>
          </w:cols>
        </w:sectPr>
      </w:pPr>
    </w:p>
    <w:p w14:paraId="4466497B">
      <w:pPr>
        <w:spacing w:line="261" w:lineRule="auto"/>
        <w:rPr>
          <w:rFonts w:ascii="Arial"/>
          <w:sz w:val="21"/>
        </w:rPr>
      </w:pPr>
      <w:r>
        <w:drawing>
          <wp:anchor distT="0" distB="0" distL="0" distR="0" simplePos="0" relativeHeight="251769856" behindDoc="0" locked="0" layoutInCell="1" allowOverlap="1">
            <wp:simplePos x="0" y="0"/>
            <wp:positionH relativeFrom="column">
              <wp:posOffset>4971415</wp:posOffset>
            </wp:positionH>
            <wp:positionV relativeFrom="paragraph">
              <wp:posOffset>-240665</wp:posOffset>
            </wp:positionV>
            <wp:extent cx="298450" cy="24130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234"/>
                    <a:stretch>
                      <a:fillRect/>
                    </a:stretch>
                  </pic:blipFill>
                  <pic:spPr>
                    <a:xfrm>
                      <a:off x="0" y="0"/>
                      <a:ext cx="298479" cy="241249"/>
                    </a:xfrm>
                    <a:prstGeom prst="rect">
                      <a:avLst/>
                    </a:prstGeom>
                  </pic:spPr>
                </pic:pic>
              </a:graphicData>
            </a:graphic>
          </wp:anchor>
        </w:drawing>
      </w:r>
    </w:p>
    <w:p w14:paraId="21546BF8">
      <w:pPr>
        <w:pStyle w:val="2"/>
        <w:spacing w:before="65" w:line="219" w:lineRule="auto"/>
        <w:ind w:left="380"/>
        <w:rPr>
          <w:sz w:val="20"/>
          <w:szCs w:val="20"/>
        </w:rPr>
      </w:pPr>
      <w:r>
        <w:rPr>
          <w:spacing w:val="5"/>
          <w:sz w:val="20"/>
          <w:szCs w:val="20"/>
        </w:rPr>
        <w:t>(3)绩效优化方式。</w:t>
      </w:r>
    </w:p>
    <w:p w14:paraId="4919CA94">
      <w:pPr>
        <w:pStyle w:val="2"/>
        <w:spacing w:before="160" w:line="222" w:lineRule="auto"/>
        <w:ind w:left="382"/>
        <w:rPr>
          <w:rFonts w:ascii="黑体" w:hAnsi="黑体" w:eastAsia="黑体" w:cs="黑体"/>
          <w:sz w:val="20"/>
          <w:szCs w:val="20"/>
        </w:rPr>
      </w:pPr>
      <w:bookmarkStart w:id="676" w:name="bookmark661"/>
      <w:bookmarkEnd w:id="676"/>
      <w:r>
        <w:rPr>
          <w:b/>
          <w:bCs/>
          <w:color w:val="007EE0"/>
          <w:sz w:val="20"/>
          <w:szCs w:val="20"/>
        </w:rPr>
        <w:t>2.</w:t>
      </w:r>
      <w:r>
        <w:rPr>
          <w:rFonts w:ascii="黑体" w:hAnsi="黑体" w:eastAsia="黑体" w:cs="黑体"/>
          <w:b/>
          <w:bCs/>
          <w:color w:val="007EE0"/>
          <w:sz w:val="20"/>
          <w:szCs w:val="20"/>
        </w:rPr>
        <w:t>管理要素</w:t>
      </w:r>
    </w:p>
    <w:p w14:paraId="7D7DD6E7">
      <w:pPr>
        <w:pStyle w:val="2"/>
        <w:spacing w:before="132" w:line="282" w:lineRule="auto"/>
        <w:ind w:right="712" w:firstLine="380"/>
        <w:rPr>
          <w:sz w:val="20"/>
          <w:szCs w:val="20"/>
        </w:rPr>
      </w:pPr>
      <w:r>
        <w:rPr>
          <w:spacing w:val="3"/>
          <w:sz w:val="20"/>
          <w:szCs w:val="20"/>
        </w:rPr>
        <w:t>管理要素是组织内部关键职能部门或一般管理原则的组成部分。组织根据其选择的治理框</w:t>
      </w:r>
      <w:r>
        <w:rPr>
          <w:spacing w:val="9"/>
          <w:sz w:val="20"/>
          <w:szCs w:val="20"/>
        </w:rPr>
        <w:t xml:space="preserve"> </w:t>
      </w:r>
      <w:r>
        <w:rPr>
          <w:spacing w:val="-2"/>
          <w:sz w:val="20"/>
          <w:szCs w:val="20"/>
        </w:rPr>
        <w:t>架和组织结构类型确定一般的管理要素。组织的管理要素包括：</w:t>
      </w:r>
    </w:p>
    <w:p w14:paraId="1BEE8388">
      <w:pPr>
        <w:pStyle w:val="2"/>
        <w:spacing w:before="19" w:line="219" w:lineRule="auto"/>
        <w:ind w:left="380"/>
        <w:rPr>
          <w:sz w:val="20"/>
          <w:szCs w:val="20"/>
        </w:rPr>
      </w:pPr>
      <w:r>
        <w:rPr>
          <w:spacing w:val="1"/>
          <w:sz w:val="20"/>
          <w:szCs w:val="20"/>
        </w:rPr>
        <w:t>(1)部门，基于专业技能及其可用性开展工作；</w:t>
      </w:r>
    </w:p>
    <w:p w14:paraId="0A5C339D">
      <w:pPr>
        <w:pStyle w:val="2"/>
        <w:spacing w:before="73" w:line="219" w:lineRule="auto"/>
        <w:ind w:left="380"/>
        <w:rPr>
          <w:sz w:val="20"/>
          <w:szCs w:val="20"/>
        </w:rPr>
      </w:pPr>
      <w:r>
        <w:rPr>
          <w:spacing w:val="3"/>
          <w:sz w:val="20"/>
          <w:szCs w:val="20"/>
        </w:rPr>
        <w:t>(2)组织授予的工作职权；</w:t>
      </w:r>
    </w:p>
    <w:p w14:paraId="7B5EEC8F">
      <w:pPr>
        <w:pStyle w:val="2"/>
        <w:spacing w:before="93" w:line="219" w:lineRule="auto"/>
        <w:ind w:left="380"/>
        <w:rPr>
          <w:sz w:val="20"/>
          <w:szCs w:val="20"/>
        </w:rPr>
      </w:pPr>
      <w:r>
        <w:rPr>
          <w:spacing w:val="2"/>
          <w:sz w:val="20"/>
          <w:szCs w:val="20"/>
        </w:rPr>
        <w:t>(3)工作职责，用于开展组织根据技能和经验等属性合</w:t>
      </w:r>
      <w:r>
        <w:rPr>
          <w:spacing w:val="1"/>
          <w:sz w:val="20"/>
          <w:szCs w:val="20"/>
        </w:rPr>
        <w:t>理分派的工作任务；</w:t>
      </w:r>
    </w:p>
    <w:p w14:paraId="64F67A02">
      <w:pPr>
        <w:pStyle w:val="2"/>
        <w:spacing w:before="63" w:line="219" w:lineRule="auto"/>
        <w:ind w:left="380"/>
        <w:rPr>
          <w:sz w:val="20"/>
          <w:szCs w:val="20"/>
        </w:rPr>
      </w:pPr>
      <w:r>
        <w:rPr>
          <w:spacing w:val="8"/>
          <w:sz w:val="20"/>
          <w:szCs w:val="20"/>
        </w:rPr>
        <w:t>(4)行动纪律(例如尊重职权、人员和规定);</w:t>
      </w:r>
    </w:p>
    <w:p w14:paraId="5F9446AB">
      <w:pPr>
        <w:pStyle w:val="2"/>
        <w:spacing w:before="81" w:line="219" w:lineRule="auto"/>
        <w:ind w:left="380"/>
        <w:rPr>
          <w:sz w:val="20"/>
          <w:szCs w:val="20"/>
        </w:rPr>
      </w:pPr>
      <w:r>
        <w:rPr>
          <w:spacing w:val="5"/>
          <w:sz w:val="20"/>
          <w:szCs w:val="20"/>
        </w:rPr>
        <w:t>(5)统一指挥原则(例如对于一项行动或活动，仅由一个人发布指示);</w:t>
      </w:r>
    </w:p>
    <w:p w14:paraId="32854B6E">
      <w:pPr>
        <w:pStyle w:val="2"/>
        <w:spacing w:before="84" w:line="219" w:lineRule="auto"/>
        <w:ind w:left="380"/>
        <w:rPr>
          <w:sz w:val="20"/>
          <w:szCs w:val="20"/>
        </w:rPr>
      </w:pPr>
      <w:r>
        <w:rPr>
          <w:spacing w:val="5"/>
          <w:sz w:val="20"/>
          <w:szCs w:val="20"/>
        </w:rPr>
        <w:t>(6)统一领导原则(例如对服务于同一目标的一组活动，只能有一份</w:t>
      </w:r>
      <w:r>
        <w:rPr>
          <w:spacing w:val="4"/>
          <w:sz w:val="20"/>
          <w:szCs w:val="20"/>
        </w:rPr>
        <w:t>计划或一个领导);</w:t>
      </w:r>
    </w:p>
    <w:p w14:paraId="6B2E8E5A">
      <w:pPr>
        <w:pStyle w:val="2"/>
        <w:spacing w:before="73" w:line="219" w:lineRule="auto"/>
        <w:ind w:left="380"/>
        <w:rPr>
          <w:sz w:val="20"/>
          <w:szCs w:val="20"/>
        </w:rPr>
      </w:pPr>
      <w:r>
        <w:rPr>
          <w:spacing w:val="1"/>
          <w:sz w:val="20"/>
          <w:szCs w:val="20"/>
        </w:rPr>
        <w:t>(7)组织的总体目标优先于个人目标；</w:t>
      </w:r>
    </w:p>
    <w:p w14:paraId="117892B2">
      <w:pPr>
        <w:pStyle w:val="2"/>
        <w:spacing w:before="92" w:line="219" w:lineRule="auto"/>
        <w:ind w:left="380"/>
        <w:rPr>
          <w:sz w:val="20"/>
          <w:szCs w:val="20"/>
        </w:rPr>
      </w:pPr>
      <w:r>
        <w:rPr>
          <w:spacing w:val="4"/>
          <w:sz w:val="20"/>
          <w:szCs w:val="20"/>
        </w:rPr>
        <w:t>(8)支付合理的薪酬；</w:t>
      </w:r>
    </w:p>
    <w:p w14:paraId="69CCEB8B">
      <w:pPr>
        <w:pStyle w:val="2"/>
        <w:spacing w:before="63" w:line="219" w:lineRule="auto"/>
        <w:ind w:left="380"/>
        <w:rPr>
          <w:sz w:val="20"/>
          <w:szCs w:val="20"/>
        </w:rPr>
      </w:pPr>
      <w:r>
        <w:rPr>
          <w:spacing w:val="4"/>
          <w:sz w:val="20"/>
          <w:szCs w:val="20"/>
        </w:rPr>
        <w:t>(9)资源的优化使用；</w:t>
      </w:r>
    </w:p>
    <w:p w14:paraId="5812D9E9">
      <w:pPr>
        <w:pStyle w:val="2"/>
        <w:spacing w:before="83" w:line="219" w:lineRule="auto"/>
        <w:ind w:left="380"/>
        <w:rPr>
          <w:sz w:val="20"/>
          <w:szCs w:val="20"/>
        </w:rPr>
      </w:pPr>
      <w:r>
        <w:rPr>
          <w:spacing w:val="4"/>
          <w:sz w:val="20"/>
          <w:szCs w:val="20"/>
        </w:rPr>
        <w:t>(10)畅通的沟通渠道；</w:t>
      </w:r>
    </w:p>
    <w:p w14:paraId="07D41F7A">
      <w:pPr>
        <w:pStyle w:val="2"/>
        <w:spacing w:before="71" w:line="219" w:lineRule="auto"/>
        <w:ind w:left="380"/>
        <w:rPr>
          <w:sz w:val="20"/>
          <w:szCs w:val="20"/>
        </w:rPr>
      </w:pPr>
      <w:r>
        <w:rPr>
          <w:sz w:val="20"/>
          <w:szCs w:val="20"/>
        </w:rPr>
        <w:t>(11)在正确的时间让正确的人使用正确的材料做正确的事情；</w:t>
      </w:r>
    </w:p>
    <w:p w14:paraId="11C5AFEB">
      <w:pPr>
        <w:pStyle w:val="2"/>
        <w:spacing w:before="74" w:line="219" w:lineRule="auto"/>
        <w:ind w:left="380"/>
        <w:rPr>
          <w:sz w:val="20"/>
          <w:szCs w:val="20"/>
        </w:rPr>
      </w:pPr>
      <w:r>
        <w:rPr>
          <w:spacing w:val="1"/>
          <w:sz w:val="20"/>
          <w:szCs w:val="20"/>
        </w:rPr>
        <w:t>(12)公正、平等地对待所有员工；</w:t>
      </w:r>
    </w:p>
    <w:p w14:paraId="4BF44900">
      <w:pPr>
        <w:pStyle w:val="2"/>
        <w:spacing w:before="83" w:line="219" w:lineRule="auto"/>
        <w:ind w:left="380"/>
        <w:rPr>
          <w:sz w:val="20"/>
          <w:szCs w:val="20"/>
        </w:rPr>
      </w:pPr>
      <w:r>
        <w:rPr>
          <w:spacing w:val="4"/>
          <w:sz w:val="20"/>
          <w:szCs w:val="20"/>
        </w:rPr>
        <w:t>(13)明确的工作职位；</w:t>
      </w:r>
    </w:p>
    <w:p w14:paraId="74B9439A">
      <w:pPr>
        <w:pStyle w:val="2"/>
        <w:spacing w:before="73" w:line="220" w:lineRule="auto"/>
        <w:ind w:left="380"/>
        <w:rPr>
          <w:sz w:val="20"/>
          <w:szCs w:val="20"/>
        </w:rPr>
      </w:pPr>
      <w:r>
        <w:rPr>
          <w:spacing w:val="3"/>
          <w:sz w:val="20"/>
          <w:szCs w:val="20"/>
        </w:rPr>
        <w:t>(14)确保员工安全；</w:t>
      </w:r>
    </w:p>
    <w:p w14:paraId="1B01A30C">
      <w:pPr>
        <w:pStyle w:val="2"/>
        <w:spacing w:before="82" w:line="219" w:lineRule="auto"/>
        <w:ind w:left="380"/>
        <w:rPr>
          <w:sz w:val="20"/>
          <w:szCs w:val="20"/>
        </w:rPr>
      </w:pPr>
      <w:r>
        <w:rPr>
          <w:spacing w:val="1"/>
          <w:sz w:val="20"/>
          <w:szCs w:val="20"/>
        </w:rPr>
        <w:t>(15)允许任何员工参与计划和实施；</w:t>
      </w:r>
    </w:p>
    <w:p w14:paraId="3E1CA362">
      <w:pPr>
        <w:pStyle w:val="2"/>
        <w:spacing w:before="62" w:line="219" w:lineRule="auto"/>
        <w:ind w:left="380"/>
        <w:rPr>
          <w:sz w:val="20"/>
          <w:szCs w:val="20"/>
        </w:rPr>
      </w:pPr>
      <w:r>
        <w:rPr>
          <w:spacing w:val="6"/>
          <w:sz w:val="20"/>
          <w:szCs w:val="20"/>
        </w:rPr>
        <w:t>(16)保持员工士气。</w:t>
      </w:r>
    </w:p>
    <w:p w14:paraId="341FE35A">
      <w:pPr>
        <w:pStyle w:val="2"/>
        <w:spacing w:before="64" w:line="279" w:lineRule="auto"/>
        <w:ind w:right="620" w:firstLine="380"/>
        <w:jc w:val="both"/>
        <w:rPr>
          <w:sz w:val="20"/>
          <w:szCs w:val="20"/>
        </w:rPr>
      </w:pPr>
      <w:r>
        <w:rPr>
          <w:spacing w:val="3"/>
          <w:sz w:val="20"/>
          <w:szCs w:val="20"/>
        </w:rPr>
        <w:t>组织会将这些管理要素分配给相应的员工负责这些管理要素的落实。员工可以在不同的组</w:t>
      </w:r>
      <w:r>
        <w:rPr>
          <w:spacing w:val="4"/>
          <w:sz w:val="20"/>
          <w:szCs w:val="20"/>
        </w:rPr>
        <w:t xml:space="preserve">  </w:t>
      </w:r>
      <w:r>
        <w:rPr>
          <w:sz w:val="20"/>
          <w:szCs w:val="20"/>
        </w:rPr>
        <w:t xml:space="preserve">织结构中落实这些管理要素。例如，在层级式组织结构中，员工之间存在横向关系和纵向关系。 </w:t>
      </w:r>
      <w:r>
        <w:rPr>
          <w:spacing w:val="3"/>
          <w:sz w:val="20"/>
          <w:szCs w:val="20"/>
        </w:rPr>
        <w:t>纵向关系从一线管理层一直向上延伸到高级管理层。在特定的组</w:t>
      </w:r>
      <w:r>
        <w:rPr>
          <w:spacing w:val="2"/>
          <w:sz w:val="20"/>
          <w:szCs w:val="20"/>
        </w:rPr>
        <w:t>织结构中，需要赋予员工所在</w:t>
      </w:r>
      <w:r>
        <w:rPr>
          <w:sz w:val="20"/>
          <w:szCs w:val="20"/>
        </w:rPr>
        <w:t xml:space="preserve">  </w:t>
      </w:r>
      <w:r>
        <w:rPr>
          <w:spacing w:val="-2"/>
          <w:sz w:val="20"/>
          <w:szCs w:val="20"/>
        </w:rPr>
        <w:t>层级的职责和职权，才能保证员工在特定的组织结构之内落实相应的管理要素。</w:t>
      </w:r>
    </w:p>
    <w:p w14:paraId="6C7760C7">
      <w:pPr>
        <w:pStyle w:val="2"/>
        <w:spacing w:before="135" w:line="221" w:lineRule="auto"/>
        <w:ind w:left="382"/>
        <w:rPr>
          <w:rFonts w:ascii="黑体" w:hAnsi="黑体" w:eastAsia="黑体" w:cs="黑体"/>
          <w:sz w:val="20"/>
          <w:szCs w:val="20"/>
        </w:rPr>
      </w:pPr>
      <w:r>
        <w:rPr>
          <w:b/>
          <w:bCs/>
          <w:color w:val="0073D8"/>
          <w:spacing w:val="-2"/>
          <w:sz w:val="20"/>
          <w:szCs w:val="20"/>
        </w:rPr>
        <w:t>3.</w:t>
      </w:r>
      <w:r>
        <w:rPr>
          <w:rFonts w:ascii="黑体" w:hAnsi="黑体" w:eastAsia="黑体" w:cs="黑体"/>
          <w:b/>
          <w:bCs/>
          <w:color w:val="0073D8"/>
          <w:spacing w:val="-2"/>
          <w:sz w:val="20"/>
          <w:szCs w:val="20"/>
        </w:rPr>
        <w:t>组织结构类型</w:t>
      </w:r>
    </w:p>
    <w:p w14:paraId="425DD236">
      <w:pPr>
        <w:pStyle w:val="2"/>
        <w:spacing w:before="115" w:line="277" w:lineRule="auto"/>
        <w:ind w:right="650" w:firstLine="380"/>
        <w:jc w:val="both"/>
        <w:rPr>
          <w:sz w:val="20"/>
          <w:szCs w:val="20"/>
        </w:rPr>
      </w:pPr>
      <w:r>
        <w:rPr>
          <w:spacing w:val="5"/>
          <w:sz w:val="20"/>
          <w:szCs w:val="20"/>
        </w:rPr>
        <w:t>组织结构的形式或类型多种多样，组织在确定本组织选取并采用哪一种组</w:t>
      </w:r>
      <w:r>
        <w:rPr>
          <w:spacing w:val="4"/>
          <w:sz w:val="20"/>
          <w:szCs w:val="20"/>
        </w:rPr>
        <w:t>织结构类型时，</w:t>
      </w:r>
      <w:r>
        <w:rPr>
          <w:sz w:val="20"/>
          <w:szCs w:val="20"/>
        </w:rPr>
        <w:t xml:space="preserve"> </w:t>
      </w:r>
      <w:r>
        <w:rPr>
          <w:spacing w:val="3"/>
          <w:sz w:val="20"/>
          <w:szCs w:val="20"/>
        </w:rPr>
        <w:t>需要考虑各种可变因素，不存在适用于所有组织的通用的结构类型，特定组织最终选取和采用</w:t>
      </w:r>
      <w:r>
        <w:rPr>
          <w:sz w:val="20"/>
          <w:szCs w:val="20"/>
        </w:rPr>
        <w:t xml:space="preserve"> 的组织结构具有各自的独特性。几种常见的组织结构类型及其对项目的影响如表16-2所示。</w:t>
      </w:r>
    </w:p>
    <w:p w14:paraId="2C2EE28D">
      <w:pPr>
        <w:spacing w:before="96" w:line="222" w:lineRule="auto"/>
        <w:ind w:left="2872"/>
        <w:rPr>
          <w:rFonts w:ascii="黑体" w:hAnsi="黑体" w:eastAsia="黑体" w:cs="黑体"/>
          <w:sz w:val="20"/>
          <w:szCs w:val="20"/>
        </w:rPr>
      </w:pPr>
      <w:r>
        <w:rPr>
          <w:rFonts w:ascii="黑体" w:hAnsi="黑体" w:eastAsia="黑体" w:cs="黑体"/>
          <w:b/>
          <w:bCs/>
          <w:spacing w:val="-15"/>
          <w:sz w:val="20"/>
          <w:szCs w:val="20"/>
        </w:rPr>
        <w:t>表16-2</w:t>
      </w:r>
      <w:r>
        <w:rPr>
          <w:rFonts w:ascii="黑体" w:hAnsi="黑体" w:eastAsia="黑体" w:cs="黑体"/>
          <w:spacing w:val="60"/>
          <w:sz w:val="20"/>
          <w:szCs w:val="20"/>
        </w:rPr>
        <w:t xml:space="preserve"> </w:t>
      </w:r>
      <w:r>
        <w:rPr>
          <w:rFonts w:ascii="黑体" w:hAnsi="黑体" w:eastAsia="黑体" w:cs="黑体"/>
          <w:b/>
          <w:bCs/>
          <w:spacing w:val="-15"/>
          <w:sz w:val="20"/>
          <w:szCs w:val="20"/>
        </w:rPr>
        <w:t>组织结构对项目的影响</w:t>
      </w:r>
    </w:p>
    <w:p w14:paraId="4011D668">
      <w:pPr>
        <w:spacing w:line="111" w:lineRule="exact"/>
      </w:pPr>
    </w:p>
    <w:tbl>
      <w:tblPr>
        <w:tblStyle w:val="5"/>
        <w:tblW w:w="8319"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0"/>
        <w:gridCol w:w="1550"/>
        <w:gridCol w:w="830"/>
        <w:gridCol w:w="1950"/>
        <w:gridCol w:w="1019"/>
        <w:gridCol w:w="860"/>
        <w:gridCol w:w="840"/>
      </w:tblGrid>
      <w:tr w14:paraId="1A3120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9" w:hRule="atLeast"/>
        </w:trPr>
        <w:tc>
          <w:tcPr>
            <w:tcW w:w="1270" w:type="dxa"/>
            <w:vMerge w:val="restart"/>
            <w:tcBorders>
              <w:left w:val="nil"/>
              <w:bottom w:val="nil"/>
              <w:right w:val="single" w:color="000000" w:sz="4" w:space="0"/>
            </w:tcBorders>
            <w:vAlign w:val="top"/>
          </w:tcPr>
          <w:p w14:paraId="6BF01A6C">
            <w:pPr>
              <w:pStyle w:val="6"/>
              <w:spacing w:before="205" w:line="252" w:lineRule="auto"/>
              <w:ind w:left="362" w:right="371"/>
              <w:rPr>
                <w:sz w:val="18"/>
                <w:szCs w:val="18"/>
              </w:rPr>
            </w:pPr>
            <w:r>
              <w:rPr>
                <w:b/>
                <w:bCs/>
                <w:spacing w:val="-5"/>
                <w:sz w:val="18"/>
                <w:szCs w:val="18"/>
              </w:rPr>
              <w:t>组织结</w:t>
            </w:r>
            <w:r>
              <w:rPr>
                <w:sz w:val="18"/>
                <w:szCs w:val="18"/>
              </w:rPr>
              <w:t xml:space="preserve"> </w:t>
            </w:r>
            <w:r>
              <w:rPr>
                <w:b/>
                <w:bCs/>
                <w:spacing w:val="-5"/>
                <w:sz w:val="18"/>
                <w:szCs w:val="18"/>
              </w:rPr>
              <w:t>构类型</w:t>
            </w:r>
          </w:p>
        </w:tc>
        <w:tc>
          <w:tcPr>
            <w:tcW w:w="7049" w:type="dxa"/>
            <w:gridSpan w:val="6"/>
            <w:tcBorders>
              <w:left w:val="single" w:color="000000" w:sz="4" w:space="0"/>
              <w:right w:val="nil"/>
            </w:tcBorders>
            <w:vAlign w:val="top"/>
          </w:tcPr>
          <w:p w14:paraId="35755617">
            <w:pPr>
              <w:pStyle w:val="6"/>
              <w:spacing w:before="64" w:line="219" w:lineRule="auto"/>
              <w:ind w:left="3157"/>
              <w:rPr>
                <w:sz w:val="18"/>
                <w:szCs w:val="18"/>
              </w:rPr>
            </w:pPr>
            <w:r>
              <w:rPr>
                <w:b/>
                <w:bCs/>
                <w:spacing w:val="-4"/>
                <w:sz w:val="18"/>
                <w:szCs w:val="18"/>
              </w:rPr>
              <w:t>项目特征</w:t>
            </w:r>
          </w:p>
        </w:tc>
      </w:tr>
      <w:tr w14:paraId="78060A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3" w:hRule="atLeast"/>
        </w:trPr>
        <w:tc>
          <w:tcPr>
            <w:tcW w:w="1270" w:type="dxa"/>
            <w:vMerge w:val="continue"/>
            <w:tcBorders>
              <w:top w:val="nil"/>
              <w:left w:val="nil"/>
              <w:right w:val="single" w:color="000000" w:sz="4" w:space="0"/>
            </w:tcBorders>
            <w:vAlign w:val="top"/>
          </w:tcPr>
          <w:p w14:paraId="3159DC71">
            <w:pPr>
              <w:rPr>
                <w:rFonts w:ascii="Arial"/>
                <w:sz w:val="21"/>
              </w:rPr>
            </w:pPr>
          </w:p>
        </w:tc>
        <w:tc>
          <w:tcPr>
            <w:tcW w:w="1550" w:type="dxa"/>
            <w:tcBorders>
              <w:left w:val="single" w:color="000000" w:sz="4" w:space="0"/>
              <w:right w:val="single" w:color="000000" w:sz="4" w:space="0"/>
            </w:tcBorders>
            <w:vAlign w:val="top"/>
          </w:tcPr>
          <w:p w14:paraId="6F0002F6">
            <w:pPr>
              <w:pStyle w:val="6"/>
              <w:spacing w:before="180" w:line="220" w:lineRule="auto"/>
              <w:ind w:left="337"/>
              <w:rPr>
                <w:sz w:val="18"/>
                <w:szCs w:val="18"/>
              </w:rPr>
            </w:pPr>
            <w:r>
              <w:rPr>
                <w:b/>
                <w:bCs/>
                <w:spacing w:val="-4"/>
                <w:sz w:val="18"/>
                <w:szCs w:val="18"/>
              </w:rPr>
              <w:t>工作安排人</w:t>
            </w:r>
          </w:p>
        </w:tc>
        <w:tc>
          <w:tcPr>
            <w:tcW w:w="830" w:type="dxa"/>
            <w:tcBorders>
              <w:left w:val="single" w:color="000000" w:sz="4" w:space="0"/>
              <w:right w:val="single" w:color="000000" w:sz="4" w:space="0"/>
            </w:tcBorders>
            <w:vAlign w:val="top"/>
          </w:tcPr>
          <w:p w14:paraId="4F208E9C">
            <w:pPr>
              <w:pStyle w:val="6"/>
              <w:spacing w:before="51" w:line="244" w:lineRule="auto"/>
              <w:ind w:left="137" w:right="151"/>
              <w:rPr>
                <w:sz w:val="18"/>
                <w:szCs w:val="18"/>
              </w:rPr>
            </w:pPr>
            <w:r>
              <w:rPr>
                <w:b/>
                <w:bCs/>
                <w:spacing w:val="-6"/>
                <w:sz w:val="18"/>
                <w:szCs w:val="18"/>
              </w:rPr>
              <w:t>项目经</w:t>
            </w:r>
            <w:r>
              <w:rPr>
                <w:spacing w:val="1"/>
                <w:sz w:val="18"/>
                <w:szCs w:val="18"/>
              </w:rPr>
              <w:t xml:space="preserve"> </w:t>
            </w:r>
            <w:r>
              <w:rPr>
                <w:b/>
                <w:bCs/>
                <w:spacing w:val="-5"/>
                <w:sz w:val="18"/>
                <w:szCs w:val="18"/>
              </w:rPr>
              <w:t>理批准</w:t>
            </w:r>
          </w:p>
        </w:tc>
        <w:tc>
          <w:tcPr>
            <w:tcW w:w="1950" w:type="dxa"/>
            <w:tcBorders>
              <w:left w:val="single" w:color="000000" w:sz="4" w:space="0"/>
              <w:right w:val="single" w:color="000000" w:sz="4" w:space="0"/>
            </w:tcBorders>
            <w:vAlign w:val="top"/>
          </w:tcPr>
          <w:p w14:paraId="007B3843">
            <w:pPr>
              <w:pStyle w:val="6"/>
              <w:spacing w:before="180" w:line="218" w:lineRule="auto"/>
              <w:ind w:left="337"/>
              <w:rPr>
                <w:sz w:val="18"/>
                <w:szCs w:val="18"/>
              </w:rPr>
            </w:pPr>
            <w:r>
              <w:rPr>
                <w:b/>
                <w:bCs/>
                <w:spacing w:val="-4"/>
                <w:sz w:val="18"/>
                <w:szCs w:val="18"/>
              </w:rPr>
              <w:t>项目经理的角色</w:t>
            </w:r>
          </w:p>
        </w:tc>
        <w:tc>
          <w:tcPr>
            <w:tcW w:w="1019" w:type="dxa"/>
            <w:tcBorders>
              <w:left w:val="single" w:color="000000" w:sz="4" w:space="0"/>
              <w:right w:val="single" w:color="000000" w:sz="4" w:space="0"/>
            </w:tcBorders>
            <w:vAlign w:val="top"/>
          </w:tcPr>
          <w:p w14:paraId="05C40F75">
            <w:pPr>
              <w:pStyle w:val="6"/>
              <w:spacing w:before="181" w:line="221" w:lineRule="auto"/>
              <w:ind w:left="57"/>
              <w:rPr>
                <w:sz w:val="18"/>
                <w:szCs w:val="18"/>
              </w:rPr>
            </w:pPr>
            <w:r>
              <w:rPr>
                <w:b/>
                <w:bCs/>
                <w:spacing w:val="-5"/>
                <w:sz w:val="18"/>
                <w:szCs w:val="18"/>
              </w:rPr>
              <w:t>资源可用性</w:t>
            </w:r>
          </w:p>
        </w:tc>
        <w:tc>
          <w:tcPr>
            <w:tcW w:w="860" w:type="dxa"/>
            <w:tcBorders>
              <w:left w:val="single" w:color="000000" w:sz="4" w:space="0"/>
              <w:right w:val="single" w:color="000000" w:sz="4" w:space="0"/>
            </w:tcBorders>
            <w:vAlign w:val="top"/>
          </w:tcPr>
          <w:p w14:paraId="736F2AAE">
            <w:pPr>
              <w:pStyle w:val="6"/>
              <w:spacing w:before="50" w:line="219" w:lineRule="auto"/>
              <w:ind w:left="68"/>
              <w:rPr>
                <w:sz w:val="18"/>
                <w:szCs w:val="18"/>
              </w:rPr>
            </w:pPr>
            <w:r>
              <w:rPr>
                <w:b/>
                <w:bCs/>
                <w:spacing w:val="-4"/>
                <w:sz w:val="18"/>
                <w:szCs w:val="18"/>
              </w:rPr>
              <w:t>项目预算</w:t>
            </w:r>
          </w:p>
          <w:p w14:paraId="54CCF881">
            <w:pPr>
              <w:pStyle w:val="6"/>
              <w:spacing w:before="56" w:line="218" w:lineRule="auto"/>
              <w:ind w:left="158"/>
              <w:rPr>
                <w:sz w:val="18"/>
                <w:szCs w:val="18"/>
              </w:rPr>
            </w:pPr>
            <w:r>
              <w:rPr>
                <w:b/>
                <w:bCs/>
                <w:spacing w:val="-5"/>
                <w:sz w:val="18"/>
                <w:szCs w:val="18"/>
              </w:rPr>
              <w:t>管理人</w:t>
            </w:r>
          </w:p>
        </w:tc>
        <w:tc>
          <w:tcPr>
            <w:tcW w:w="840" w:type="dxa"/>
            <w:tcBorders>
              <w:left w:val="single" w:color="000000" w:sz="4" w:space="0"/>
              <w:right w:val="nil"/>
            </w:tcBorders>
            <w:vAlign w:val="top"/>
          </w:tcPr>
          <w:p w14:paraId="403A3F67">
            <w:pPr>
              <w:pStyle w:val="6"/>
              <w:spacing w:before="51" w:line="247" w:lineRule="auto"/>
              <w:ind w:left="237" w:right="66" w:hanging="179"/>
              <w:rPr>
                <w:sz w:val="18"/>
                <w:szCs w:val="18"/>
              </w:rPr>
            </w:pPr>
            <w:r>
              <w:rPr>
                <w:b/>
                <w:bCs/>
                <w:spacing w:val="-5"/>
                <w:sz w:val="18"/>
                <w:szCs w:val="18"/>
              </w:rPr>
              <w:t>项目管理</w:t>
            </w:r>
            <w:r>
              <w:rPr>
                <w:spacing w:val="1"/>
                <w:sz w:val="18"/>
                <w:szCs w:val="18"/>
              </w:rPr>
              <w:t xml:space="preserve"> </w:t>
            </w:r>
            <w:r>
              <w:rPr>
                <w:b/>
                <w:bCs/>
                <w:spacing w:val="7"/>
                <w:sz w:val="18"/>
                <w:szCs w:val="18"/>
              </w:rPr>
              <w:t>人员</w:t>
            </w:r>
          </w:p>
        </w:tc>
      </w:tr>
      <w:tr w14:paraId="3E3D4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1270" w:type="dxa"/>
            <w:tcBorders>
              <w:left w:val="nil"/>
              <w:right w:val="single" w:color="000000" w:sz="4" w:space="0"/>
            </w:tcBorders>
            <w:vAlign w:val="top"/>
          </w:tcPr>
          <w:p w14:paraId="1E2F88AD">
            <w:pPr>
              <w:pStyle w:val="6"/>
              <w:spacing w:before="53" w:line="251" w:lineRule="auto"/>
              <w:ind w:left="29" w:right="301" w:firstLine="20"/>
              <w:rPr>
                <w:sz w:val="18"/>
                <w:szCs w:val="18"/>
              </w:rPr>
            </w:pPr>
            <w:r>
              <w:rPr>
                <w:spacing w:val="2"/>
                <w:sz w:val="18"/>
                <w:szCs w:val="18"/>
              </w:rPr>
              <w:t xml:space="preserve">系统型或简 </w:t>
            </w:r>
            <w:r>
              <w:rPr>
                <w:spacing w:val="5"/>
                <w:sz w:val="18"/>
                <w:szCs w:val="18"/>
              </w:rPr>
              <w:t>单型</w:t>
            </w:r>
          </w:p>
        </w:tc>
        <w:tc>
          <w:tcPr>
            <w:tcW w:w="1550" w:type="dxa"/>
            <w:tcBorders>
              <w:left w:val="single" w:color="000000" w:sz="4" w:space="0"/>
              <w:right w:val="single" w:color="000000" w:sz="4" w:space="0"/>
            </w:tcBorders>
            <w:vAlign w:val="top"/>
          </w:tcPr>
          <w:p w14:paraId="03F7310F">
            <w:pPr>
              <w:pStyle w:val="6"/>
              <w:spacing w:before="65" w:line="245" w:lineRule="auto"/>
              <w:ind w:left="64" w:right="192"/>
              <w:rPr>
                <w:sz w:val="18"/>
                <w:szCs w:val="18"/>
              </w:rPr>
            </w:pPr>
            <w:r>
              <w:rPr>
                <w:spacing w:val="3"/>
                <w:sz w:val="18"/>
                <w:szCs w:val="18"/>
              </w:rPr>
              <w:t>灵活；人员并肩</w:t>
            </w:r>
            <w:r>
              <w:rPr>
                <w:sz w:val="18"/>
                <w:szCs w:val="18"/>
              </w:rPr>
              <w:t xml:space="preserve"> </w:t>
            </w:r>
            <w:r>
              <w:rPr>
                <w:spacing w:val="5"/>
                <w:sz w:val="18"/>
                <w:szCs w:val="18"/>
              </w:rPr>
              <w:t>工作</w:t>
            </w:r>
          </w:p>
        </w:tc>
        <w:tc>
          <w:tcPr>
            <w:tcW w:w="830" w:type="dxa"/>
            <w:tcBorders>
              <w:left w:val="single" w:color="000000" w:sz="4" w:space="0"/>
              <w:right w:val="single" w:color="000000" w:sz="4" w:space="0"/>
            </w:tcBorders>
            <w:vAlign w:val="top"/>
          </w:tcPr>
          <w:p w14:paraId="67DDF41A">
            <w:pPr>
              <w:pStyle w:val="6"/>
              <w:spacing w:before="195" w:line="220" w:lineRule="auto"/>
              <w:ind w:left="44"/>
              <w:rPr>
                <w:sz w:val="18"/>
                <w:szCs w:val="18"/>
              </w:rPr>
            </w:pPr>
            <w:r>
              <w:rPr>
                <w:spacing w:val="-2"/>
                <w:sz w:val="18"/>
                <w:szCs w:val="18"/>
              </w:rPr>
              <w:t>极少或无</w:t>
            </w:r>
          </w:p>
        </w:tc>
        <w:tc>
          <w:tcPr>
            <w:tcW w:w="1950" w:type="dxa"/>
            <w:tcBorders>
              <w:left w:val="single" w:color="000000" w:sz="4" w:space="0"/>
              <w:right w:val="single" w:color="000000" w:sz="4" w:space="0"/>
            </w:tcBorders>
            <w:vAlign w:val="top"/>
          </w:tcPr>
          <w:p w14:paraId="2E685ACC">
            <w:pPr>
              <w:pStyle w:val="6"/>
              <w:spacing w:before="63" w:line="246" w:lineRule="auto"/>
              <w:ind w:left="64" w:right="124" w:firstLine="50"/>
              <w:rPr>
                <w:sz w:val="18"/>
                <w:szCs w:val="18"/>
              </w:rPr>
            </w:pPr>
            <w:r>
              <w:rPr>
                <w:spacing w:val="-1"/>
                <w:sz w:val="18"/>
                <w:szCs w:val="18"/>
              </w:rPr>
              <w:t>兼职；工作角色(如协</w:t>
            </w:r>
            <w:r>
              <w:rPr>
                <w:sz w:val="18"/>
                <w:szCs w:val="18"/>
              </w:rPr>
              <w:t xml:space="preserve"> </w:t>
            </w:r>
            <w:r>
              <w:rPr>
                <w:spacing w:val="-1"/>
                <w:sz w:val="18"/>
                <w:szCs w:val="18"/>
              </w:rPr>
              <w:t>调员)指定与否不限</w:t>
            </w:r>
          </w:p>
        </w:tc>
        <w:tc>
          <w:tcPr>
            <w:tcW w:w="1019" w:type="dxa"/>
            <w:tcBorders>
              <w:left w:val="single" w:color="000000" w:sz="4" w:space="0"/>
              <w:right w:val="single" w:color="000000" w:sz="4" w:space="0"/>
            </w:tcBorders>
            <w:vAlign w:val="top"/>
          </w:tcPr>
          <w:p w14:paraId="719AC241">
            <w:pPr>
              <w:pStyle w:val="6"/>
              <w:spacing w:before="195" w:line="220" w:lineRule="auto"/>
              <w:ind w:left="144"/>
              <w:rPr>
                <w:sz w:val="18"/>
                <w:szCs w:val="18"/>
              </w:rPr>
            </w:pPr>
            <w:r>
              <w:rPr>
                <w:spacing w:val="-2"/>
                <w:sz w:val="18"/>
                <w:szCs w:val="18"/>
              </w:rPr>
              <w:t>极少或无</w:t>
            </w:r>
          </w:p>
        </w:tc>
        <w:tc>
          <w:tcPr>
            <w:tcW w:w="860" w:type="dxa"/>
            <w:tcBorders>
              <w:left w:val="single" w:color="000000" w:sz="4" w:space="0"/>
              <w:right w:val="single" w:color="000000" w:sz="4" w:space="0"/>
            </w:tcBorders>
            <w:vAlign w:val="top"/>
          </w:tcPr>
          <w:p w14:paraId="6286F401">
            <w:pPr>
              <w:pStyle w:val="6"/>
              <w:spacing w:before="64" w:line="219" w:lineRule="auto"/>
              <w:ind w:left="65"/>
              <w:rPr>
                <w:sz w:val="18"/>
                <w:szCs w:val="18"/>
              </w:rPr>
            </w:pPr>
            <w:r>
              <w:rPr>
                <w:spacing w:val="2"/>
                <w:sz w:val="18"/>
                <w:szCs w:val="18"/>
              </w:rPr>
              <w:t>负责人或</w:t>
            </w:r>
          </w:p>
          <w:p w14:paraId="20C5C9B9">
            <w:pPr>
              <w:pStyle w:val="6"/>
              <w:spacing w:before="56" w:line="214" w:lineRule="auto"/>
              <w:ind w:left="155"/>
              <w:rPr>
                <w:sz w:val="18"/>
                <w:szCs w:val="18"/>
              </w:rPr>
            </w:pPr>
            <w:r>
              <w:rPr>
                <w:spacing w:val="8"/>
                <w:sz w:val="18"/>
                <w:szCs w:val="18"/>
              </w:rPr>
              <w:t>操作员</w:t>
            </w:r>
          </w:p>
        </w:tc>
        <w:tc>
          <w:tcPr>
            <w:tcW w:w="840" w:type="dxa"/>
            <w:tcBorders>
              <w:left w:val="single" w:color="000000" w:sz="4" w:space="0"/>
              <w:right w:val="nil"/>
            </w:tcBorders>
            <w:vAlign w:val="top"/>
          </w:tcPr>
          <w:p w14:paraId="13606C45">
            <w:pPr>
              <w:pStyle w:val="6"/>
              <w:spacing w:before="195" w:line="220" w:lineRule="auto"/>
              <w:ind w:left="55"/>
              <w:rPr>
                <w:sz w:val="18"/>
                <w:szCs w:val="18"/>
              </w:rPr>
            </w:pPr>
            <w:r>
              <w:rPr>
                <w:spacing w:val="-2"/>
                <w:sz w:val="18"/>
                <w:szCs w:val="18"/>
              </w:rPr>
              <w:t>极少或无</w:t>
            </w:r>
          </w:p>
        </w:tc>
      </w:tr>
      <w:tr w14:paraId="2A3446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1270" w:type="dxa"/>
            <w:tcBorders>
              <w:left w:val="nil"/>
              <w:right w:val="single" w:color="000000" w:sz="4" w:space="0"/>
            </w:tcBorders>
            <w:vAlign w:val="top"/>
          </w:tcPr>
          <w:p w14:paraId="3D141F75">
            <w:pPr>
              <w:pStyle w:val="6"/>
              <w:spacing w:before="196" w:line="219" w:lineRule="auto"/>
              <w:ind w:left="89"/>
              <w:rPr>
                <w:sz w:val="18"/>
                <w:szCs w:val="18"/>
              </w:rPr>
            </w:pPr>
            <w:r>
              <w:rPr>
                <w:spacing w:val="5"/>
                <w:sz w:val="18"/>
                <w:szCs w:val="18"/>
              </w:rPr>
              <w:t>职能(集中式)</w:t>
            </w:r>
          </w:p>
        </w:tc>
        <w:tc>
          <w:tcPr>
            <w:tcW w:w="1550" w:type="dxa"/>
            <w:tcBorders>
              <w:left w:val="single" w:color="000000" w:sz="4" w:space="0"/>
              <w:right w:val="single" w:color="000000" w:sz="4" w:space="0"/>
            </w:tcBorders>
            <w:vAlign w:val="top"/>
          </w:tcPr>
          <w:p w14:paraId="6C1BEAA3">
            <w:pPr>
              <w:pStyle w:val="6"/>
              <w:spacing w:before="66" w:line="247" w:lineRule="auto"/>
              <w:ind w:left="64" w:right="175" w:firstLine="9"/>
              <w:rPr>
                <w:sz w:val="18"/>
                <w:szCs w:val="18"/>
              </w:rPr>
            </w:pPr>
            <w:r>
              <w:rPr>
                <w:spacing w:val="1"/>
                <w:sz w:val="18"/>
                <w:szCs w:val="18"/>
              </w:rPr>
              <w:t>正在进行的工作</w:t>
            </w:r>
            <w:r>
              <w:rPr>
                <w:spacing w:val="3"/>
                <w:sz w:val="18"/>
                <w:szCs w:val="18"/>
              </w:rPr>
              <w:t xml:space="preserve"> </w:t>
            </w:r>
            <w:r>
              <w:rPr>
                <w:spacing w:val="4"/>
                <w:sz w:val="18"/>
                <w:szCs w:val="18"/>
              </w:rPr>
              <w:t>(如设计、制造)</w:t>
            </w:r>
          </w:p>
        </w:tc>
        <w:tc>
          <w:tcPr>
            <w:tcW w:w="830" w:type="dxa"/>
            <w:tcBorders>
              <w:left w:val="single" w:color="000000" w:sz="4" w:space="0"/>
              <w:right w:val="single" w:color="000000" w:sz="4" w:space="0"/>
            </w:tcBorders>
            <w:vAlign w:val="top"/>
          </w:tcPr>
          <w:p w14:paraId="4E02F8A1">
            <w:pPr>
              <w:pStyle w:val="6"/>
              <w:spacing w:before="196" w:line="220" w:lineRule="auto"/>
              <w:ind w:left="44"/>
              <w:rPr>
                <w:sz w:val="18"/>
                <w:szCs w:val="18"/>
              </w:rPr>
            </w:pPr>
            <w:r>
              <w:rPr>
                <w:spacing w:val="-2"/>
                <w:sz w:val="18"/>
                <w:szCs w:val="18"/>
              </w:rPr>
              <w:t>极少或无</w:t>
            </w:r>
          </w:p>
        </w:tc>
        <w:tc>
          <w:tcPr>
            <w:tcW w:w="1950" w:type="dxa"/>
            <w:tcBorders>
              <w:left w:val="single" w:color="000000" w:sz="4" w:space="0"/>
              <w:right w:val="single" w:color="000000" w:sz="4" w:space="0"/>
            </w:tcBorders>
            <w:vAlign w:val="top"/>
          </w:tcPr>
          <w:p w14:paraId="7728C86B">
            <w:pPr>
              <w:pStyle w:val="6"/>
              <w:spacing w:before="66" w:line="247" w:lineRule="auto"/>
              <w:ind w:left="54" w:right="124" w:firstLine="59"/>
              <w:rPr>
                <w:sz w:val="18"/>
                <w:szCs w:val="18"/>
              </w:rPr>
            </w:pPr>
            <w:r>
              <w:rPr>
                <w:spacing w:val="-1"/>
                <w:sz w:val="18"/>
                <w:szCs w:val="18"/>
              </w:rPr>
              <w:t>兼职；工作角色(如协</w:t>
            </w:r>
            <w:r>
              <w:rPr>
                <w:sz w:val="18"/>
                <w:szCs w:val="18"/>
              </w:rPr>
              <w:t xml:space="preserve"> </w:t>
            </w:r>
            <w:r>
              <w:rPr>
                <w:spacing w:val="-1"/>
                <w:sz w:val="18"/>
                <w:szCs w:val="18"/>
              </w:rPr>
              <w:t>调员)指定与否不限</w:t>
            </w:r>
          </w:p>
        </w:tc>
        <w:tc>
          <w:tcPr>
            <w:tcW w:w="1019" w:type="dxa"/>
            <w:tcBorders>
              <w:left w:val="single" w:color="000000" w:sz="4" w:space="0"/>
              <w:right w:val="single" w:color="000000" w:sz="4" w:space="0"/>
            </w:tcBorders>
            <w:vAlign w:val="top"/>
          </w:tcPr>
          <w:p w14:paraId="51C12DD9">
            <w:pPr>
              <w:pStyle w:val="6"/>
              <w:spacing w:before="196" w:line="220" w:lineRule="auto"/>
              <w:ind w:left="144"/>
              <w:rPr>
                <w:sz w:val="18"/>
                <w:szCs w:val="18"/>
              </w:rPr>
            </w:pPr>
            <w:r>
              <w:rPr>
                <w:spacing w:val="-2"/>
                <w:sz w:val="18"/>
                <w:szCs w:val="18"/>
              </w:rPr>
              <w:t>极少或无</w:t>
            </w:r>
          </w:p>
        </w:tc>
        <w:tc>
          <w:tcPr>
            <w:tcW w:w="860" w:type="dxa"/>
            <w:tcBorders>
              <w:left w:val="single" w:color="000000" w:sz="4" w:space="0"/>
              <w:right w:val="single" w:color="000000" w:sz="4" w:space="0"/>
            </w:tcBorders>
            <w:vAlign w:val="top"/>
          </w:tcPr>
          <w:p w14:paraId="03EDD3F1">
            <w:pPr>
              <w:pStyle w:val="6"/>
              <w:spacing w:before="197" w:line="221" w:lineRule="auto"/>
              <w:ind w:left="65"/>
              <w:rPr>
                <w:sz w:val="18"/>
                <w:szCs w:val="18"/>
              </w:rPr>
            </w:pPr>
            <w:r>
              <w:rPr>
                <w:spacing w:val="-2"/>
                <w:sz w:val="18"/>
                <w:szCs w:val="18"/>
              </w:rPr>
              <w:t>职能经理</w:t>
            </w:r>
          </w:p>
        </w:tc>
        <w:tc>
          <w:tcPr>
            <w:tcW w:w="840" w:type="dxa"/>
            <w:tcBorders>
              <w:left w:val="single" w:color="000000" w:sz="4" w:space="0"/>
              <w:right w:val="nil"/>
            </w:tcBorders>
            <w:vAlign w:val="top"/>
          </w:tcPr>
          <w:p w14:paraId="1EB388C8">
            <w:pPr>
              <w:pStyle w:val="6"/>
              <w:spacing w:before="196" w:line="219" w:lineRule="auto"/>
              <w:ind w:left="235"/>
              <w:rPr>
                <w:sz w:val="18"/>
                <w:szCs w:val="18"/>
              </w:rPr>
            </w:pPr>
            <w:r>
              <w:rPr>
                <w:spacing w:val="-3"/>
                <w:sz w:val="18"/>
                <w:szCs w:val="18"/>
              </w:rPr>
              <w:t>兼职</w:t>
            </w:r>
          </w:p>
        </w:tc>
      </w:tr>
    </w:tbl>
    <w:p w14:paraId="162D5DC9">
      <w:pPr>
        <w:spacing w:line="14" w:lineRule="auto"/>
        <w:rPr>
          <w:rFonts w:ascii="Arial"/>
          <w:sz w:val="2"/>
        </w:rPr>
      </w:pPr>
    </w:p>
    <w:p w14:paraId="4B9913A4">
      <w:pPr>
        <w:spacing w:line="14" w:lineRule="auto"/>
        <w:rPr>
          <w:rFonts w:ascii="Arial" w:hAnsi="Arial" w:eastAsia="Arial" w:cs="Arial"/>
          <w:sz w:val="2"/>
          <w:szCs w:val="2"/>
        </w:rPr>
        <w:sectPr>
          <w:type w:val="continuous"/>
          <w:pgSz w:w="10290" w:h="13270"/>
          <w:pgMar w:top="350" w:right="179" w:bottom="400" w:left="1090" w:header="0" w:footer="0" w:gutter="0"/>
          <w:cols w:equalWidth="0" w:num="1">
            <w:col w:w="9021"/>
          </w:cols>
        </w:sectPr>
      </w:pPr>
    </w:p>
    <w:p w14:paraId="1F104CAF">
      <w:pPr>
        <w:pStyle w:val="2"/>
        <w:rPr>
          <w:sz w:val="19"/>
          <w:szCs w:val="19"/>
        </w:rPr>
      </w:pPr>
      <w:bookmarkStart w:id="677" w:name="bookmark662"/>
      <w:bookmarkEnd w:id="677"/>
      <w:r>
        <w:rPr>
          <w:rFonts w:ascii="Times New Roman" w:hAnsi="Times New Roman" w:eastAsia="Times New Roman" w:cs="Times New Roman"/>
          <w:spacing w:val="4"/>
          <w:sz w:val="17"/>
          <w:szCs w:val="17"/>
        </w:rPr>
        <w:t>372</w:t>
      </w:r>
      <w:r>
        <w:rPr>
          <w:rFonts w:ascii="Times New Roman" w:hAnsi="Times New Roman" w:eastAsia="Times New Roman" w:cs="Times New Roman"/>
          <w:spacing w:val="13"/>
          <w:w w:val="101"/>
          <w:sz w:val="17"/>
          <w:szCs w:val="17"/>
        </w:rPr>
        <w:t xml:space="preserve">  </w:t>
      </w:r>
      <w:r>
        <w:rPr>
          <w:position w:val="-10"/>
          <w:sz w:val="17"/>
          <w:szCs w:val="17"/>
        </w:rPr>
        <w:drawing>
          <wp:inline distT="0" distB="0" distL="0" distR="0">
            <wp:extent cx="304165" cy="24701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235"/>
                    <a:stretch>
                      <a:fillRect/>
                    </a:stretch>
                  </pic:blipFill>
                  <pic:spPr>
                    <a:xfrm>
                      <a:off x="0" y="0"/>
                      <a:ext cx="304787" cy="247636"/>
                    </a:xfrm>
                    <a:prstGeom prst="rect">
                      <a:avLst/>
                    </a:prstGeom>
                  </pic:spPr>
                </pic:pic>
              </a:graphicData>
            </a:graphic>
          </wp:inline>
        </w:drawing>
      </w:r>
      <w:r>
        <w:rPr>
          <w:rFonts w:ascii="Times New Roman" w:hAnsi="Times New Roman" w:eastAsia="Times New Roman" w:cs="Times New Roman"/>
          <w:spacing w:val="4"/>
          <w:sz w:val="17"/>
          <w:szCs w:val="17"/>
        </w:rPr>
        <w:t xml:space="preserve">   </w:t>
      </w:r>
      <w:r>
        <w:rPr>
          <w:spacing w:val="4"/>
          <w:sz w:val="19"/>
          <w:szCs w:val="19"/>
        </w:rPr>
        <w:t>信息系统监理师教程(第2版)</w:t>
      </w:r>
    </w:p>
    <w:p w14:paraId="3F8DB6B3">
      <w:pPr>
        <w:spacing w:line="284" w:lineRule="auto"/>
        <w:rPr>
          <w:rFonts w:ascii="Arial"/>
          <w:sz w:val="21"/>
        </w:rPr>
      </w:pPr>
    </w:p>
    <w:p w14:paraId="71EAC984">
      <w:pPr>
        <w:pStyle w:val="2"/>
        <w:spacing w:before="62" w:line="220" w:lineRule="auto"/>
        <w:jc w:val="right"/>
        <w:rPr>
          <w:sz w:val="19"/>
          <w:szCs w:val="19"/>
        </w:rPr>
      </w:pPr>
      <w:r>
        <w:rPr>
          <w:spacing w:val="5"/>
          <w:sz w:val="19"/>
          <w:szCs w:val="19"/>
        </w:rPr>
        <w:t>(续表)</w:t>
      </w:r>
    </w:p>
    <w:p w14:paraId="492EBEC3">
      <w:pPr>
        <w:spacing w:line="70" w:lineRule="exact"/>
      </w:pPr>
    </w:p>
    <w:tbl>
      <w:tblPr>
        <w:tblStyle w:val="5"/>
        <w:tblW w:w="8340" w:type="dxa"/>
        <w:tblInd w:w="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0"/>
        <w:gridCol w:w="1550"/>
        <w:gridCol w:w="840"/>
        <w:gridCol w:w="1930"/>
        <w:gridCol w:w="1030"/>
        <w:gridCol w:w="870"/>
        <w:gridCol w:w="840"/>
      </w:tblGrid>
      <w:tr w14:paraId="5BC3F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1280" w:type="dxa"/>
            <w:vMerge w:val="restart"/>
            <w:tcBorders>
              <w:left w:val="nil"/>
              <w:bottom w:val="nil"/>
            </w:tcBorders>
            <w:vAlign w:val="top"/>
          </w:tcPr>
          <w:p w14:paraId="7351BF90">
            <w:pPr>
              <w:pStyle w:val="6"/>
              <w:spacing w:before="221" w:line="257" w:lineRule="auto"/>
              <w:ind w:left="362" w:right="341" w:firstLine="9"/>
            </w:pPr>
            <w:r>
              <w:rPr>
                <w:b/>
                <w:bCs/>
                <w:spacing w:val="-6"/>
              </w:rPr>
              <w:t>组织结</w:t>
            </w:r>
            <w:r>
              <w:rPr>
                <w:spacing w:val="1"/>
              </w:rPr>
              <w:t xml:space="preserve"> </w:t>
            </w:r>
            <w:r>
              <w:rPr>
                <w:b/>
                <w:bCs/>
                <w:spacing w:val="-5"/>
              </w:rPr>
              <w:t>构类型</w:t>
            </w:r>
          </w:p>
        </w:tc>
        <w:tc>
          <w:tcPr>
            <w:tcW w:w="7060" w:type="dxa"/>
            <w:gridSpan w:val="6"/>
            <w:tcBorders>
              <w:right w:val="nil"/>
            </w:tcBorders>
            <w:vAlign w:val="top"/>
          </w:tcPr>
          <w:p w14:paraId="7F0598B5">
            <w:pPr>
              <w:pStyle w:val="6"/>
              <w:spacing w:before="60" w:line="219" w:lineRule="auto"/>
              <w:ind w:left="3157"/>
            </w:pPr>
            <w:r>
              <w:rPr>
                <w:b/>
                <w:bCs/>
                <w:spacing w:val="-4"/>
              </w:rPr>
              <w:t>项目特征</w:t>
            </w:r>
          </w:p>
        </w:tc>
      </w:tr>
      <w:tr w14:paraId="4C6B7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80" w:type="dxa"/>
            <w:vMerge w:val="continue"/>
            <w:tcBorders>
              <w:top w:val="nil"/>
              <w:left w:val="nil"/>
            </w:tcBorders>
            <w:vAlign w:val="top"/>
          </w:tcPr>
          <w:p w14:paraId="400075BB">
            <w:pPr>
              <w:rPr>
                <w:rFonts w:ascii="Arial"/>
                <w:sz w:val="21"/>
              </w:rPr>
            </w:pPr>
          </w:p>
        </w:tc>
        <w:tc>
          <w:tcPr>
            <w:tcW w:w="1550" w:type="dxa"/>
            <w:vAlign w:val="top"/>
          </w:tcPr>
          <w:p w14:paraId="56A17C85">
            <w:pPr>
              <w:pStyle w:val="6"/>
              <w:spacing w:before="186" w:line="220" w:lineRule="auto"/>
              <w:ind w:left="347"/>
            </w:pPr>
            <w:r>
              <w:rPr>
                <w:b/>
                <w:bCs/>
                <w:spacing w:val="-4"/>
              </w:rPr>
              <w:t>工作安排人</w:t>
            </w:r>
          </w:p>
        </w:tc>
        <w:tc>
          <w:tcPr>
            <w:tcW w:w="840" w:type="dxa"/>
            <w:vAlign w:val="top"/>
          </w:tcPr>
          <w:p w14:paraId="1FCA8979">
            <w:pPr>
              <w:pStyle w:val="6"/>
              <w:spacing w:before="56" w:line="244" w:lineRule="auto"/>
              <w:ind w:left="127" w:right="141"/>
            </w:pPr>
            <w:r>
              <w:rPr>
                <w:b/>
                <w:bCs/>
                <w:spacing w:val="-6"/>
              </w:rPr>
              <w:t>项目经</w:t>
            </w:r>
            <w:r>
              <w:t xml:space="preserve"> </w:t>
            </w:r>
            <w:r>
              <w:rPr>
                <w:b/>
                <w:bCs/>
                <w:spacing w:val="-6"/>
              </w:rPr>
              <w:t>理批准</w:t>
            </w:r>
          </w:p>
        </w:tc>
        <w:tc>
          <w:tcPr>
            <w:tcW w:w="1930" w:type="dxa"/>
            <w:vAlign w:val="top"/>
          </w:tcPr>
          <w:p w14:paraId="09AE0B16">
            <w:pPr>
              <w:pStyle w:val="6"/>
              <w:spacing w:before="184" w:line="219" w:lineRule="auto"/>
              <w:ind w:left="347"/>
            </w:pPr>
            <w:r>
              <w:rPr>
                <w:b/>
                <w:bCs/>
                <w:spacing w:val="-4"/>
              </w:rPr>
              <w:t>项目经理的角色</w:t>
            </w:r>
          </w:p>
        </w:tc>
        <w:tc>
          <w:tcPr>
            <w:tcW w:w="1030" w:type="dxa"/>
            <w:vAlign w:val="top"/>
          </w:tcPr>
          <w:p w14:paraId="7DA26290">
            <w:pPr>
              <w:pStyle w:val="6"/>
              <w:spacing w:before="187" w:line="221" w:lineRule="auto"/>
              <w:ind w:left="37"/>
            </w:pPr>
            <w:r>
              <w:rPr>
                <w:b/>
                <w:bCs/>
                <w:spacing w:val="-5"/>
              </w:rPr>
              <w:t>资源可用性</w:t>
            </w:r>
          </w:p>
        </w:tc>
        <w:tc>
          <w:tcPr>
            <w:tcW w:w="870" w:type="dxa"/>
            <w:vAlign w:val="top"/>
          </w:tcPr>
          <w:p w14:paraId="2BF33209">
            <w:pPr>
              <w:pStyle w:val="6"/>
              <w:spacing w:before="56" w:line="244" w:lineRule="auto"/>
              <w:ind w:left="147" w:right="62" w:hanging="100"/>
            </w:pPr>
            <w:r>
              <w:rPr>
                <w:b/>
                <w:bCs/>
                <w:spacing w:val="-5"/>
              </w:rPr>
              <w:t>项目预算</w:t>
            </w:r>
            <w:r>
              <w:t xml:space="preserve"> </w:t>
            </w:r>
            <w:r>
              <w:rPr>
                <w:b/>
                <w:bCs/>
                <w:spacing w:val="-5"/>
              </w:rPr>
              <w:t>管理人</w:t>
            </w:r>
          </w:p>
        </w:tc>
        <w:tc>
          <w:tcPr>
            <w:tcW w:w="840" w:type="dxa"/>
            <w:tcBorders>
              <w:right w:val="nil"/>
            </w:tcBorders>
            <w:vAlign w:val="top"/>
          </w:tcPr>
          <w:p w14:paraId="362976D3">
            <w:pPr>
              <w:pStyle w:val="6"/>
              <w:spacing w:before="54" w:line="242" w:lineRule="auto"/>
              <w:ind w:left="226" w:right="47" w:hanging="189"/>
            </w:pPr>
            <w:r>
              <w:rPr>
                <w:b/>
                <w:bCs/>
                <w:spacing w:val="-5"/>
              </w:rPr>
              <w:t>项目管理</w:t>
            </w:r>
            <w:r>
              <w:t xml:space="preserve"> </w:t>
            </w:r>
            <w:r>
              <w:rPr>
                <w:b/>
                <w:bCs/>
                <w:spacing w:val="8"/>
              </w:rPr>
              <w:t>人员</w:t>
            </w:r>
          </w:p>
        </w:tc>
      </w:tr>
      <w:tr w14:paraId="077A2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8" w:hRule="atLeast"/>
        </w:trPr>
        <w:tc>
          <w:tcPr>
            <w:tcW w:w="1280" w:type="dxa"/>
            <w:tcBorders>
              <w:left w:val="nil"/>
            </w:tcBorders>
            <w:vAlign w:val="top"/>
          </w:tcPr>
          <w:p w14:paraId="700E07CA">
            <w:pPr>
              <w:pStyle w:val="6"/>
              <w:spacing w:before="59" w:line="219" w:lineRule="auto"/>
              <w:ind w:left="59"/>
            </w:pPr>
            <w:r>
              <w:rPr>
                <w:spacing w:val="7"/>
              </w:rPr>
              <w:t>多部门</w:t>
            </w:r>
          </w:p>
          <w:p w14:paraId="4D10DE44">
            <w:pPr>
              <w:pStyle w:val="6"/>
              <w:spacing w:before="53" w:line="249" w:lineRule="auto"/>
              <w:ind w:left="49" w:firstLine="9"/>
              <w:jc w:val="both"/>
            </w:pPr>
            <w:r>
              <w:rPr>
                <w:spacing w:val="-3"/>
              </w:rPr>
              <w:t>(职能可复制，</w:t>
            </w:r>
            <w:r>
              <w:t xml:space="preserve"> </w:t>
            </w:r>
            <w:r>
              <w:rPr>
                <w:spacing w:val="-2"/>
              </w:rPr>
              <w:t>各部门几乎不</w:t>
            </w:r>
            <w:r>
              <w:rPr>
                <w:spacing w:val="1"/>
              </w:rPr>
              <w:t xml:space="preserve">  </w:t>
            </w:r>
            <w:r>
              <w:rPr>
                <w:spacing w:val="11"/>
              </w:rPr>
              <w:t>会集中)</w:t>
            </w:r>
          </w:p>
        </w:tc>
        <w:tc>
          <w:tcPr>
            <w:tcW w:w="1550" w:type="dxa"/>
            <w:vAlign w:val="top"/>
          </w:tcPr>
          <w:p w14:paraId="6FACCD30">
            <w:pPr>
              <w:pStyle w:val="6"/>
              <w:spacing w:before="58" w:line="255" w:lineRule="auto"/>
              <w:ind w:left="14" w:firstLine="28"/>
              <w:jc w:val="both"/>
            </w:pPr>
            <w:r>
              <w:rPr>
                <w:spacing w:val="-3"/>
              </w:rPr>
              <w:t>其中之一：产品；</w:t>
            </w:r>
            <w:r>
              <w:t xml:space="preserve"> </w:t>
            </w:r>
            <w:r>
              <w:rPr>
                <w:spacing w:val="-9"/>
              </w:rPr>
              <w:t>生产过程；项目组</w:t>
            </w:r>
            <w:r>
              <w:rPr>
                <w:spacing w:val="6"/>
              </w:rPr>
              <w:t xml:space="preserve"> </w:t>
            </w:r>
            <w:r>
              <w:rPr>
                <w:spacing w:val="-10"/>
              </w:rPr>
              <w:t>合；项目集；地理</w:t>
            </w:r>
            <w:r>
              <w:t xml:space="preserve">  </w:t>
            </w:r>
            <w:r>
              <w:rPr>
                <w:spacing w:val="-8"/>
              </w:rPr>
              <w:t>区域；客户类型</w:t>
            </w:r>
          </w:p>
        </w:tc>
        <w:tc>
          <w:tcPr>
            <w:tcW w:w="840" w:type="dxa"/>
            <w:vAlign w:val="top"/>
          </w:tcPr>
          <w:p w14:paraId="7CAC5DD3">
            <w:pPr>
              <w:spacing w:line="406" w:lineRule="auto"/>
              <w:rPr>
                <w:rFonts w:ascii="Arial"/>
                <w:sz w:val="21"/>
              </w:rPr>
            </w:pPr>
          </w:p>
          <w:p w14:paraId="26BC673A">
            <w:pPr>
              <w:pStyle w:val="6"/>
              <w:spacing w:before="61" w:line="220" w:lineRule="auto"/>
              <w:ind w:left="34"/>
            </w:pPr>
            <w:r>
              <w:rPr>
                <w:spacing w:val="-2"/>
              </w:rPr>
              <w:t>极少或无</w:t>
            </w:r>
          </w:p>
        </w:tc>
        <w:tc>
          <w:tcPr>
            <w:tcW w:w="1930" w:type="dxa"/>
            <w:vAlign w:val="top"/>
          </w:tcPr>
          <w:p w14:paraId="32DA4692">
            <w:pPr>
              <w:spacing w:line="276" w:lineRule="auto"/>
              <w:rPr>
                <w:rFonts w:ascii="Arial"/>
                <w:sz w:val="21"/>
              </w:rPr>
            </w:pPr>
          </w:p>
          <w:p w14:paraId="76E765DC">
            <w:pPr>
              <w:pStyle w:val="6"/>
              <w:spacing w:before="62" w:line="260" w:lineRule="auto"/>
              <w:ind w:left="34" w:right="90"/>
            </w:pPr>
            <w:r>
              <w:rPr>
                <w:spacing w:val="-2"/>
              </w:rPr>
              <w:t>兼职；工作角色(如协</w:t>
            </w:r>
            <w:r>
              <w:rPr>
                <w:spacing w:val="8"/>
              </w:rPr>
              <w:t xml:space="preserve"> </w:t>
            </w:r>
            <w:r>
              <w:rPr>
                <w:spacing w:val="1"/>
              </w:rPr>
              <w:t>调员)指定与否不限</w:t>
            </w:r>
          </w:p>
        </w:tc>
        <w:tc>
          <w:tcPr>
            <w:tcW w:w="1030" w:type="dxa"/>
            <w:vAlign w:val="top"/>
          </w:tcPr>
          <w:p w14:paraId="12974347">
            <w:pPr>
              <w:spacing w:line="406" w:lineRule="auto"/>
              <w:rPr>
                <w:rFonts w:ascii="Arial"/>
                <w:sz w:val="21"/>
              </w:rPr>
            </w:pPr>
          </w:p>
          <w:p w14:paraId="0EA55871">
            <w:pPr>
              <w:pStyle w:val="6"/>
              <w:spacing w:before="61" w:line="220" w:lineRule="auto"/>
              <w:ind w:left="124"/>
            </w:pPr>
            <w:r>
              <w:rPr>
                <w:spacing w:val="-2"/>
              </w:rPr>
              <w:t>极少或无</w:t>
            </w:r>
          </w:p>
        </w:tc>
        <w:tc>
          <w:tcPr>
            <w:tcW w:w="870" w:type="dxa"/>
            <w:vAlign w:val="top"/>
          </w:tcPr>
          <w:p w14:paraId="127D2DF0">
            <w:pPr>
              <w:spacing w:line="406" w:lineRule="auto"/>
              <w:rPr>
                <w:rFonts w:ascii="Arial"/>
                <w:sz w:val="21"/>
              </w:rPr>
            </w:pPr>
          </w:p>
          <w:p w14:paraId="6C36504D">
            <w:pPr>
              <w:pStyle w:val="6"/>
              <w:spacing w:before="62" w:line="221" w:lineRule="auto"/>
              <w:ind w:left="44"/>
            </w:pPr>
            <w:r>
              <w:rPr>
                <w:spacing w:val="-2"/>
              </w:rPr>
              <w:t>职能经理</w:t>
            </w:r>
          </w:p>
        </w:tc>
        <w:tc>
          <w:tcPr>
            <w:tcW w:w="840" w:type="dxa"/>
            <w:tcBorders>
              <w:right w:val="nil"/>
            </w:tcBorders>
            <w:vAlign w:val="top"/>
          </w:tcPr>
          <w:p w14:paraId="03B4FF6D">
            <w:pPr>
              <w:spacing w:line="405" w:lineRule="auto"/>
              <w:rPr>
                <w:rFonts w:ascii="Arial"/>
                <w:sz w:val="21"/>
              </w:rPr>
            </w:pPr>
          </w:p>
          <w:p w14:paraId="0787C211">
            <w:pPr>
              <w:pStyle w:val="6"/>
              <w:spacing w:before="62" w:line="219" w:lineRule="auto"/>
              <w:ind w:left="224"/>
            </w:pPr>
            <w:r>
              <w:rPr>
                <w:spacing w:val="5"/>
              </w:rPr>
              <w:t>兼职</w:t>
            </w:r>
          </w:p>
        </w:tc>
      </w:tr>
      <w:tr w14:paraId="5F961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280" w:type="dxa"/>
            <w:tcBorders>
              <w:left w:val="nil"/>
            </w:tcBorders>
            <w:vAlign w:val="top"/>
          </w:tcPr>
          <w:p w14:paraId="4126001D">
            <w:pPr>
              <w:spacing w:line="268" w:lineRule="auto"/>
              <w:rPr>
                <w:rFonts w:ascii="Arial"/>
                <w:sz w:val="21"/>
              </w:rPr>
            </w:pPr>
          </w:p>
          <w:p w14:paraId="6F49C80F">
            <w:pPr>
              <w:pStyle w:val="6"/>
              <w:spacing w:before="62" w:line="219" w:lineRule="auto"/>
              <w:ind w:left="59"/>
            </w:pPr>
            <w:r>
              <w:rPr>
                <w:spacing w:val="-2"/>
              </w:rPr>
              <w:t>矩阵一强</w:t>
            </w:r>
          </w:p>
        </w:tc>
        <w:tc>
          <w:tcPr>
            <w:tcW w:w="1550" w:type="dxa"/>
            <w:vAlign w:val="top"/>
          </w:tcPr>
          <w:p w14:paraId="5AFFEA15">
            <w:pPr>
              <w:pStyle w:val="6"/>
              <w:spacing w:before="70" w:line="249" w:lineRule="auto"/>
              <w:ind w:left="14" w:right="143" w:firstLine="39"/>
              <w:jc w:val="both"/>
            </w:pPr>
            <w:r>
              <w:rPr>
                <w:spacing w:val="1"/>
              </w:rPr>
              <w:t>按工作职能，项</w:t>
            </w:r>
            <w:r>
              <w:rPr>
                <w:spacing w:val="3"/>
              </w:rPr>
              <w:t xml:space="preserve"> </w:t>
            </w:r>
            <w:r>
              <w:rPr>
                <w:spacing w:val="1"/>
              </w:rPr>
              <w:t>目经理作为一个</w:t>
            </w:r>
            <w:r>
              <w:t xml:space="preserve"> </w:t>
            </w:r>
            <w:r>
              <w:rPr>
                <w:spacing w:val="-3"/>
              </w:rPr>
              <w:t>职能</w:t>
            </w:r>
          </w:p>
        </w:tc>
        <w:tc>
          <w:tcPr>
            <w:tcW w:w="840" w:type="dxa"/>
            <w:vAlign w:val="top"/>
          </w:tcPr>
          <w:p w14:paraId="533B1057">
            <w:pPr>
              <w:spacing w:line="268" w:lineRule="auto"/>
              <w:rPr>
                <w:rFonts w:ascii="Arial"/>
                <w:sz w:val="21"/>
              </w:rPr>
            </w:pPr>
          </w:p>
          <w:p w14:paraId="0144980E">
            <w:pPr>
              <w:pStyle w:val="6"/>
              <w:spacing w:before="62" w:line="219" w:lineRule="auto"/>
              <w:ind w:left="125"/>
            </w:pPr>
            <w:r>
              <w:rPr>
                <w:spacing w:val="2"/>
              </w:rPr>
              <w:t>中到高</w:t>
            </w:r>
          </w:p>
        </w:tc>
        <w:tc>
          <w:tcPr>
            <w:tcW w:w="1930" w:type="dxa"/>
            <w:vAlign w:val="top"/>
          </w:tcPr>
          <w:p w14:paraId="06B6B692">
            <w:pPr>
              <w:spacing w:line="267" w:lineRule="auto"/>
              <w:rPr>
                <w:rFonts w:ascii="Arial"/>
                <w:sz w:val="21"/>
              </w:rPr>
            </w:pPr>
          </w:p>
          <w:p w14:paraId="2BB5A855">
            <w:pPr>
              <w:pStyle w:val="6"/>
              <w:spacing w:before="61" w:line="219" w:lineRule="auto"/>
              <w:ind w:left="34"/>
            </w:pPr>
            <w:r>
              <w:rPr>
                <w:spacing w:val="-1"/>
              </w:rPr>
              <w:t>全职；指定工作角色</w:t>
            </w:r>
          </w:p>
        </w:tc>
        <w:tc>
          <w:tcPr>
            <w:tcW w:w="1030" w:type="dxa"/>
            <w:vAlign w:val="top"/>
          </w:tcPr>
          <w:p w14:paraId="6361C968">
            <w:pPr>
              <w:spacing w:line="268" w:lineRule="auto"/>
              <w:rPr>
                <w:rFonts w:ascii="Arial"/>
                <w:sz w:val="21"/>
              </w:rPr>
            </w:pPr>
          </w:p>
          <w:p w14:paraId="11AE8E5D">
            <w:pPr>
              <w:pStyle w:val="6"/>
              <w:spacing w:before="62" w:line="219" w:lineRule="auto"/>
              <w:ind w:left="225"/>
            </w:pPr>
            <w:r>
              <w:rPr>
                <w:spacing w:val="2"/>
              </w:rPr>
              <w:t>中到高</w:t>
            </w:r>
          </w:p>
        </w:tc>
        <w:tc>
          <w:tcPr>
            <w:tcW w:w="870" w:type="dxa"/>
            <w:vAlign w:val="top"/>
          </w:tcPr>
          <w:p w14:paraId="3B5737E9">
            <w:pPr>
              <w:spacing w:line="269" w:lineRule="auto"/>
              <w:rPr>
                <w:rFonts w:ascii="Arial"/>
                <w:sz w:val="21"/>
              </w:rPr>
            </w:pPr>
          </w:p>
          <w:p w14:paraId="4B22C786">
            <w:pPr>
              <w:pStyle w:val="6"/>
              <w:spacing w:before="61" w:line="220" w:lineRule="auto"/>
              <w:ind w:left="44"/>
            </w:pPr>
            <w:r>
              <w:rPr>
                <w:spacing w:val="-2"/>
              </w:rPr>
              <w:t>项目经理</w:t>
            </w:r>
          </w:p>
        </w:tc>
        <w:tc>
          <w:tcPr>
            <w:tcW w:w="840" w:type="dxa"/>
            <w:tcBorders>
              <w:right w:val="nil"/>
            </w:tcBorders>
            <w:vAlign w:val="top"/>
          </w:tcPr>
          <w:p w14:paraId="54AD12C2">
            <w:pPr>
              <w:spacing w:line="271" w:lineRule="auto"/>
              <w:rPr>
                <w:rFonts w:ascii="Arial"/>
                <w:sz w:val="21"/>
              </w:rPr>
            </w:pPr>
          </w:p>
          <w:p w14:paraId="32A80E82">
            <w:pPr>
              <w:pStyle w:val="6"/>
              <w:spacing w:before="62" w:line="223" w:lineRule="auto"/>
              <w:ind w:left="224"/>
            </w:pPr>
            <w:r>
              <w:rPr>
                <w:spacing w:val="-2"/>
              </w:rPr>
              <w:t>全职</w:t>
            </w:r>
          </w:p>
        </w:tc>
      </w:tr>
      <w:tr w14:paraId="10F24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280" w:type="dxa"/>
            <w:tcBorders>
              <w:left w:val="nil"/>
            </w:tcBorders>
            <w:vAlign w:val="top"/>
          </w:tcPr>
          <w:p w14:paraId="270D1414">
            <w:pPr>
              <w:spacing w:line="269" w:lineRule="auto"/>
              <w:rPr>
                <w:rFonts w:ascii="Arial"/>
                <w:sz w:val="21"/>
              </w:rPr>
            </w:pPr>
          </w:p>
          <w:p w14:paraId="3C64B663">
            <w:pPr>
              <w:pStyle w:val="6"/>
              <w:spacing w:before="62" w:line="219" w:lineRule="auto"/>
              <w:ind w:left="59"/>
            </w:pPr>
            <w:r>
              <w:rPr>
                <w:spacing w:val="4"/>
              </w:rPr>
              <w:t>矩阵一弱</w:t>
            </w:r>
          </w:p>
        </w:tc>
        <w:tc>
          <w:tcPr>
            <w:tcW w:w="1550" w:type="dxa"/>
            <w:vAlign w:val="top"/>
          </w:tcPr>
          <w:p w14:paraId="6ABCF18A">
            <w:pPr>
              <w:spacing w:line="269" w:lineRule="auto"/>
              <w:rPr>
                <w:rFonts w:ascii="Arial"/>
                <w:sz w:val="21"/>
              </w:rPr>
            </w:pPr>
          </w:p>
          <w:p w14:paraId="3F4F7272">
            <w:pPr>
              <w:pStyle w:val="6"/>
              <w:spacing w:before="62" w:line="220" w:lineRule="auto"/>
              <w:ind w:left="14"/>
            </w:pPr>
            <w:r>
              <w:rPr>
                <w:spacing w:val="-2"/>
              </w:rPr>
              <w:t>工作职能</w:t>
            </w:r>
          </w:p>
        </w:tc>
        <w:tc>
          <w:tcPr>
            <w:tcW w:w="840" w:type="dxa"/>
            <w:vAlign w:val="top"/>
          </w:tcPr>
          <w:p w14:paraId="586E5CCE">
            <w:pPr>
              <w:spacing w:line="270" w:lineRule="auto"/>
              <w:rPr>
                <w:rFonts w:ascii="Arial"/>
                <w:sz w:val="21"/>
              </w:rPr>
            </w:pPr>
          </w:p>
          <w:p w14:paraId="43D2E721">
            <w:pPr>
              <w:pStyle w:val="6"/>
              <w:spacing w:before="62" w:line="221" w:lineRule="auto"/>
              <w:ind w:left="314"/>
            </w:pPr>
            <w:r>
              <w:t>低</w:t>
            </w:r>
          </w:p>
        </w:tc>
        <w:tc>
          <w:tcPr>
            <w:tcW w:w="1930" w:type="dxa"/>
            <w:vAlign w:val="top"/>
          </w:tcPr>
          <w:p w14:paraId="0ADC696F">
            <w:pPr>
              <w:pStyle w:val="6"/>
              <w:spacing w:before="72" w:line="245" w:lineRule="auto"/>
              <w:ind w:left="34"/>
              <w:jc w:val="both"/>
            </w:pPr>
            <w:r>
              <w:rPr>
                <w:spacing w:val="-2"/>
              </w:rPr>
              <w:t>兼职；作为另一项工作</w:t>
            </w:r>
            <w:r>
              <w:rPr>
                <w:spacing w:val="4"/>
              </w:rPr>
              <w:t xml:space="preserve"> </w:t>
            </w:r>
            <w:r>
              <w:rPr>
                <w:spacing w:val="-3"/>
              </w:rPr>
              <w:t>的组成部分，并非指定</w:t>
            </w:r>
            <w:r>
              <w:rPr>
                <w:spacing w:val="1"/>
              </w:rPr>
              <w:t xml:space="preserve"> </w:t>
            </w:r>
            <w:r>
              <w:rPr>
                <w:spacing w:val="3"/>
              </w:rPr>
              <w:t>工作角色(如协调员)</w:t>
            </w:r>
          </w:p>
        </w:tc>
        <w:tc>
          <w:tcPr>
            <w:tcW w:w="1030" w:type="dxa"/>
            <w:vAlign w:val="top"/>
          </w:tcPr>
          <w:p w14:paraId="539EFB92">
            <w:pPr>
              <w:spacing w:line="270" w:lineRule="auto"/>
              <w:rPr>
                <w:rFonts w:ascii="Arial"/>
                <w:sz w:val="21"/>
              </w:rPr>
            </w:pPr>
          </w:p>
          <w:p w14:paraId="4B6D95DC">
            <w:pPr>
              <w:pStyle w:val="6"/>
              <w:spacing w:before="62" w:line="221" w:lineRule="auto"/>
              <w:ind w:left="414"/>
            </w:pPr>
            <w:r>
              <w:t>低</w:t>
            </w:r>
          </w:p>
        </w:tc>
        <w:tc>
          <w:tcPr>
            <w:tcW w:w="870" w:type="dxa"/>
            <w:vAlign w:val="top"/>
          </w:tcPr>
          <w:p w14:paraId="7C4D1173">
            <w:pPr>
              <w:spacing w:line="270" w:lineRule="auto"/>
              <w:rPr>
                <w:rFonts w:ascii="Arial"/>
                <w:sz w:val="21"/>
              </w:rPr>
            </w:pPr>
          </w:p>
          <w:p w14:paraId="3269F622">
            <w:pPr>
              <w:pStyle w:val="6"/>
              <w:spacing w:before="62" w:line="221" w:lineRule="auto"/>
              <w:ind w:left="44"/>
            </w:pPr>
            <w:r>
              <w:rPr>
                <w:spacing w:val="-2"/>
              </w:rPr>
              <w:t>职能经理</w:t>
            </w:r>
          </w:p>
        </w:tc>
        <w:tc>
          <w:tcPr>
            <w:tcW w:w="840" w:type="dxa"/>
            <w:tcBorders>
              <w:right w:val="nil"/>
            </w:tcBorders>
            <w:vAlign w:val="top"/>
          </w:tcPr>
          <w:p w14:paraId="1E818296">
            <w:pPr>
              <w:spacing w:line="269" w:lineRule="auto"/>
              <w:rPr>
                <w:rFonts w:ascii="Arial"/>
                <w:sz w:val="21"/>
              </w:rPr>
            </w:pPr>
          </w:p>
          <w:p w14:paraId="19814558">
            <w:pPr>
              <w:pStyle w:val="6"/>
              <w:spacing w:before="62" w:line="219" w:lineRule="auto"/>
              <w:ind w:left="224"/>
            </w:pPr>
            <w:r>
              <w:rPr>
                <w:spacing w:val="5"/>
              </w:rPr>
              <w:t>兼职</w:t>
            </w:r>
          </w:p>
        </w:tc>
      </w:tr>
      <w:tr w14:paraId="5F5F1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280" w:type="dxa"/>
            <w:tcBorders>
              <w:left w:val="nil"/>
            </w:tcBorders>
            <w:vAlign w:val="top"/>
          </w:tcPr>
          <w:p w14:paraId="76A952D4">
            <w:pPr>
              <w:spacing w:line="260" w:lineRule="auto"/>
              <w:rPr>
                <w:rFonts w:ascii="Arial"/>
                <w:sz w:val="21"/>
              </w:rPr>
            </w:pPr>
          </w:p>
          <w:p w14:paraId="42E81127">
            <w:pPr>
              <w:pStyle w:val="6"/>
              <w:spacing w:before="62" w:line="219" w:lineRule="auto"/>
              <w:ind w:left="59"/>
            </w:pPr>
            <w:r>
              <w:rPr>
                <w:spacing w:val="-2"/>
              </w:rPr>
              <w:t>矩阵一均衡</w:t>
            </w:r>
          </w:p>
        </w:tc>
        <w:tc>
          <w:tcPr>
            <w:tcW w:w="1550" w:type="dxa"/>
            <w:vAlign w:val="top"/>
          </w:tcPr>
          <w:p w14:paraId="64C92709">
            <w:pPr>
              <w:spacing w:line="260" w:lineRule="auto"/>
              <w:rPr>
                <w:rFonts w:ascii="Arial"/>
                <w:sz w:val="21"/>
              </w:rPr>
            </w:pPr>
          </w:p>
          <w:p w14:paraId="3BB22CD5">
            <w:pPr>
              <w:pStyle w:val="6"/>
              <w:spacing w:before="62" w:line="220" w:lineRule="auto"/>
              <w:ind w:left="14"/>
            </w:pPr>
            <w:r>
              <w:rPr>
                <w:spacing w:val="-2"/>
              </w:rPr>
              <w:t>工作职能</w:t>
            </w:r>
          </w:p>
        </w:tc>
        <w:tc>
          <w:tcPr>
            <w:tcW w:w="840" w:type="dxa"/>
            <w:vAlign w:val="top"/>
          </w:tcPr>
          <w:p w14:paraId="0662E4C9">
            <w:pPr>
              <w:spacing w:line="260" w:lineRule="auto"/>
              <w:rPr>
                <w:rFonts w:ascii="Arial"/>
                <w:sz w:val="21"/>
              </w:rPr>
            </w:pPr>
          </w:p>
          <w:p w14:paraId="175EAE35">
            <w:pPr>
              <w:pStyle w:val="6"/>
              <w:spacing w:before="62" w:line="220" w:lineRule="auto"/>
              <w:ind w:left="125"/>
            </w:pPr>
            <w:r>
              <w:rPr>
                <w:spacing w:val="6"/>
              </w:rPr>
              <w:t>低到中</w:t>
            </w:r>
          </w:p>
        </w:tc>
        <w:tc>
          <w:tcPr>
            <w:tcW w:w="1930" w:type="dxa"/>
            <w:vAlign w:val="top"/>
          </w:tcPr>
          <w:p w14:paraId="2B17D605">
            <w:pPr>
              <w:pStyle w:val="6"/>
              <w:spacing w:before="62" w:line="245" w:lineRule="auto"/>
              <w:ind w:left="34"/>
              <w:jc w:val="both"/>
            </w:pPr>
            <w:r>
              <w:rPr>
                <w:spacing w:val="-5"/>
              </w:rPr>
              <w:t>兼职；作为一种技能的</w:t>
            </w:r>
            <w:r>
              <w:rPr>
                <w:spacing w:val="2"/>
              </w:rPr>
              <w:t xml:space="preserve"> </w:t>
            </w:r>
            <w:r>
              <w:rPr>
                <w:spacing w:val="-5"/>
              </w:rPr>
              <w:t>嵌入职能，不可以是指</w:t>
            </w:r>
            <w:r>
              <w:rPr>
                <w:spacing w:val="3"/>
              </w:rPr>
              <w:t xml:space="preserve"> </w:t>
            </w:r>
            <w:r>
              <w:rPr>
                <w:spacing w:val="-2"/>
              </w:rPr>
              <w:t>定工作角色(如协调员)</w:t>
            </w:r>
          </w:p>
        </w:tc>
        <w:tc>
          <w:tcPr>
            <w:tcW w:w="1030" w:type="dxa"/>
            <w:vAlign w:val="top"/>
          </w:tcPr>
          <w:p w14:paraId="782BA80E">
            <w:pPr>
              <w:spacing w:line="260" w:lineRule="auto"/>
              <w:rPr>
                <w:rFonts w:ascii="Arial"/>
                <w:sz w:val="21"/>
              </w:rPr>
            </w:pPr>
          </w:p>
          <w:p w14:paraId="475B9F14">
            <w:pPr>
              <w:pStyle w:val="6"/>
              <w:spacing w:before="62" w:line="220" w:lineRule="auto"/>
              <w:ind w:left="225"/>
            </w:pPr>
            <w:r>
              <w:rPr>
                <w:spacing w:val="6"/>
              </w:rPr>
              <w:t>低到中</w:t>
            </w:r>
          </w:p>
        </w:tc>
        <w:tc>
          <w:tcPr>
            <w:tcW w:w="870" w:type="dxa"/>
            <w:vAlign w:val="top"/>
          </w:tcPr>
          <w:p w14:paraId="34CA232B">
            <w:pPr>
              <w:spacing w:line="263" w:lineRule="auto"/>
              <w:rPr>
                <w:rFonts w:ascii="Arial"/>
                <w:sz w:val="21"/>
              </w:rPr>
            </w:pPr>
          </w:p>
          <w:p w14:paraId="6AF3CC34">
            <w:pPr>
              <w:pStyle w:val="6"/>
              <w:spacing w:before="62" w:line="223" w:lineRule="auto"/>
              <w:ind w:left="234"/>
            </w:pPr>
            <w:r>
              <w:rPr>
                <w:spacing w:val="-3"/>
              </w:rPr>
              <w:t>混合</w:t>
            </w:r>
          </w:p>
        </w:tc>
        <w:tc>
          <w:tcPr>
            <w:tcW w:w="840" w:type="dxa"/>
            <w:tcBorders>
              <w:right w:val="nil"/>
            </w:tcBorders>
            <w:vAlign w:val="top"/>
          </w:tcPr>
          <w:p w14:paraId="5E92284D">
            <w:pPr>
              <w:spacing w:line="260" w:lineRule="auto"/>
              <w:rPr>
                <w:rFonts w:ascii="Arial"/>
                <w:sz w:val="21"/>
              </w:rPr>
            </w:pPr>
          </w:p>
          <w:p w14:paraId="6D40131B">
            <w:pPr>
              <w:pStyle w:val="6"/>
              <w:spacing w:before="62" w:line="219" w:lineRule="auto"/>
              <w:ind w:left="224"/>
            </w:pPr>
            <w:r>
              <w:rPr>
                <w:spacing w:val="5"/>
              </w:rPr>
              <w:t>兼职</w:t>
            </w:r>
          </w:p>
        </w:tc>
      </w:tr>
      <w:tr w14:paraId="734FB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280" w:type="dxa"/>
            <w:tcBorders>
              <w:left w:val="nil"/>
            </w:tcBorders>
            <w:vAlign w:val="top"/>
          </w:tcPr>
          <w:p w14:paraId="434BE497">
            <w:pPr>
              <w:pStyle w:val="6"/>
              <w:spacing w:before="75" w:line="220" w:lineRule="auto"/>
              <w:ind w:left="59"/>
            </w:pPr>
            <w:r>
              <w:rPr>
                <w:spacing w:val="4"/>
              </w:rPr>
              <w:t>项目导向</w:t>
            </w:r>
          </w:p>
          <w:p w14:paraId="60EF6A70">
            <w:pPr>
              <w:pStyle w:val="6"/>
              <w:spacing w:before="33" w:line="208" w:lineRule="auto"/>
              <w:ind w:left="69"/>
            </w:pPr>
            <w:r>
              <w:rPr>
                <w:spacing w:val="5"/>
              </w:rPr>
              <w:t>(复合、混合)</w:t>
            </w:r>
          </w:p>
        </w:tc>
        <w:tc>
          <w:tcPr>
            <w:tcW w:w="1550" w:type="dxa"/>
            <w:vAlign w:val="top"/>
          </w:tcPr>
          <w:p w14:paraId="4B4957C4">
            <w:pPr>
              <w:pStyle w:val="6"/>
              <w:spacing w:before="195" w:line="220" w:lineRule="auto"/>
              <w:ind w:left="14"/>
            </w:pPr>
            <w:r>
              <w:rPr>
                <w:spacing w:val="-6"/>
              </w:rPr>
              <w:t>项 目</w:t>
            </w:r>
          </w:p>
        </w:tc>
        <w:tc>
          <w:tcPr>
            <w:tcW w:w="840" w:type="dxa"/>
            <w:vAlign w:val="top"/>
          </w:tcPr>
          <w:p w14:paraId="02250A65">
            <w:pPr>
              <w:pStyle w:val="6"/>
              <w:spacing w:before="63" w:line="236" w:lineRule="auto"/>
              <w:ind w:left="224" w:right="26" w:hanging="190"/>
            </w:pPr>
            <w:r>
              <w:rPr>
                <w:spacing w:val="2"/>
              </w:rPr>
              <w:t>高到几乎</w:t>
            </w:r>
            <w:r>
              <w:t xml:space="preserve"> </w:t>
            </w:r>
            <w:r>
              <w:rPr>
                <w:spacing w:val="-2"/>
              </w:rPr>
              <w:t>全部</w:t>
            </w:r>
          </w:p>
        </w:tc>
        <w:tc>
          <w:tcPr>
            <w:tcW w:w="1930" w:type="dxa"/>
            <w:vAlign w:val="top"/>
          </w:tcPr>
          <w:p w14:paraId="176BC29E">
            <w:pPr>
              <w:pStyle w:val="6"/>
              <w:spacing w:before="193" w:line="219" w:lineRule="auto"/>
              <w:ind w:left="34"/>
            </w:pPr>
            <w:r>
              <w:rPr>
                <w:spacing w:val="-1"/>
              </w:rPr>
              <w:t>全职；指定工作角色</w:t>
            </w:r>
          </w:p>
        </w:tc>
        <w:tc>
          <w:tcPr>
            <w:tcW w:w="1030" w:type="dxa"/>
            <w:vAlign w:val="top"/>
          </w:tcPr>
          <w:p w14:paraId="3FB80F34">
            <w:pPr>
              <w:pStyle w:val="6"/>
              <w:spacing w:before="63" w:line="236" w:lineRule="auto"/>
              <w:ind w:left="314" w:right="126" w:hanging="190"/>
            </w:pPr>
            <w:r>
              <w:rPr>
                <w:spacing w:val="2"/>
              </w:rPr>
              <w:t>高到几乎</w:t>
            </w:r>
            <w:r>
              <w:t xml:space="preserve"> </w:t>
            </w:r>
            <w:r>
              <w:rPr>
                <w:spacing w:val="-2"/>
              </w:rPr>
              <w:t>全部</w:t>
            </w:r>
          </w:p>
        </w:tc>
        <w:tc>
          <w:tcPr>
            <w:tcW w:w="870" w:type="dxa"/>
            <w:vAlign w:val="top"/>
          </w:tcPr>
          <w:p w14:paraId="5D228334">
            <w:pPr>
              <w:pStyle w:val="6"/>
              <w:spacing w:before="195" w:line="220" w:lineRule="auto"/>
              <w:ind w:left="44"/>
            </w:pPr>
            <w:r>
              <w:rPr>
                <w:spacing w:val="-2"/>
              </w:rPr>
              <w:t>项目经理</w:t>
            </w:r>
          </w:p>
        </w:tc>
        <w:tc>
          <w:tcPr>
            <w:tcW w:w="840" w:type="dxa"/>
            <w:tcBorders>
              <w:right w:val="nil"/>
            </w:tcBorders>
            <w:vAlign w:val="top"/>
          </w:tcPr>
          <w:p w14:paraId="009AF9AC">
            <w:pPr>
              <w:pStyle w:val="6"/>
              <w:spacing w:before="198" w:line="223" w:lineRule="auto"/>
              <w:ind w:left="224"/>
            </w:pPr>
            <w:r>
              <w:rPr>
                <w:spacing w:val="-2"/>
              </w:rPr>
              <w:t>全职</w:t>
            </w:r>
          </w:p>
        </w:tc>
      </w:tr>
      <w:tr w14:paraId="0670E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80" w:type="dxa"/>
            <w:tcBorders>
              <w:left w:val="nil"/>
            </w:tcBorders>
            <w:vAlign w:val="top"/>
          </w:tcPr>
          <w:p w14:paraId="42368069">
            <w:pPr>
              <w:pStyle w:val="6"/>
              <w:spacing w:before="194" w:line="219" w:lineRule="auto"/>
              <w:ind w:left="59"/>
            </w:pPr>
            <w:r>
              <w:rPr>
                <w:spacing w:val="-3"/>
              </w:rPr>
              <w:t>虚拟</w:t>
            </w:r>
          </w:p>
        </w:tc>
        <w:tc>
          <w:tcPr>
            <w:tcW w:w="1550" w:type="dxa"/>
            <w:vAlign w:val="top"/>
          </w:tcPr>
          <w:p w14:paraId="0202F6C0">
            <w:pPr>
              <w:pStyle w:val="6"/>
              <w:spacing w:before="65"/>
              <w:ind w:left="14" w:firstLine="39"/>
            </w:pPr>
            <w:r>
              <w:rPr>
                <w:spacing w:val="-5"/>
              </w:rPr>
              <w:t>网络架构，带有与</w:t>
            </w:r>
            <w:r>
              <w:rPr>
                <w:spacing w:val="4"/>
              </w:rPr>
              <w:t xml:space="preserve"> </w:t>
            </w:r>
            <w:r>
              <w:t>他人联系的节点</w:t>
            </w:r>
          </w:p>
        </w:tc>
        <w:tc>
          <w:tcPr>
            <w:tcW w:w="840" w:type="dxa"/>
            <w:vAlign w:val="top"/>
          </w:tcPr>
          <w:p w14:paraId="0E37608E">
            <w:pPr>
              <w:pStyle w:val="6"/>
              <w:spacing w:before="196" w:line="220" w:lineRule="auto"/>
              <w:ind w:left="125"/>
            </w:pPr>
            <w:r>
              <w:rPr>
                <w:spacing w:val="6"/>
              </w:rPr>
              <w:t>低到中</w:t>
            </w:r>
          </w:p>
        </w:tc>
        <w:tc>
          <w:tcPr>
            <w:tcW w:w="1930" w:type="dxa"/>
            <w:vAlign w:val="top"/>
          </w:tcPr>
          <w:p w14:paraId="2E743730">
            <w:pPr>
              <w:pStyle w:val="6"/>
              <w:spacing w:before="195" w:line="219" w:lineRule="auto"/>
              <w:ind w:left="34"/>
            </w:pPr>
            <w:r>
              <w:rPr>
                <w:spacing w:val="-2"/>
              </w:rPr>
              <w:t>全职或兼职</w:t>
            </w:r>
          </w:p>
        </w:tc>
        <w:tc>
          <w:tcPr>
            <w:tcW w:w="1030" w:type="dxa"/>
            <w:vAlign w:val="top"/>
          </w:tcPr>
          <w:p w14:paraId="5ABFCFF9">
            <w:pPr>
              <w:pStyle w:val="6"/>
              <w:spacing w:before="196" w:line="220" w:lineRule="auto"/>
              <w:ind w:left="225"/>
            </w:pPr>
            <w:r>
              <w:rPr>
                <w:spacing w:val="6"/>
              </w:rPr>
              <w:t>低到中</w:t>
            </w:r>
          </w:p>
        </w:tc>
        <w:tc>
          <w:tcPr>
            <w:tcW w:w="870" w:type="dxa"/>
            <w:vAlign w:val="top"/>
          </w:tcPr>
          <w:p w14:paraId="4E6C7EED">
            <w:pPr>
              <w:pStyle w:val="6"/>
              <w:spacing w:before="199" w:line="223" w:lineRule="auto"/>
              <w:ind w:left="234"/>
            </w:pPr>
            <w:r>
              <w:rPr>
                <w:spacing w:val="-3"/>
              </w:rPr>
              <w:t>混合</w:t>
            </w:r>
          </w:p>
        </w:tc>
        <w:tc>
          <w:tcPr>
            <w:tcW w:w="840" w:type="dxa"/>
            <w:tcBorders>
              <w:right w:val="nil"/>
            </w:tcBorders>
            <w:vAlign w:val="top"/>
          </w:tcPr>
          <w:p w14:paraId="1AB5B403">
            <w:pPr>
              <w:pStyle w:val="6"/>
              <w:spacing w:before="58" w:line="243" w:lineRule="auto"/>
              <w:ind w:left="224" w:right="147" w:hanging="100"/>
            </w:pPr>
            <w:r>
              <w:rPr>
                <w:spacing w:val="-3"/>
              </w:rPr>
              <w:t>全职或</w:t>
            </w:r>
            <w:r>
              <w:t xml:space="preserve"> </w:t>
            </w:r>
            <w:r>
              <w:rPr>
                <w:spacing w:val="5"/>
              </w:rPr>
              <w:t>兼职</w:t>
            </w:r>
          </w:p>
        </w:tc>
      </w:tr>
      <w:tr w14:paraId="44D11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280" w:type="dxa"/>
            <w:tcBorders>
              <w:left w:val="nil"/>
            </w:tcBorders>
            <w:vAlign w:val="top"/>
          </w:tcPr>
          <w:p w14:paraId="2DE32EBF">
            <w:pPr>
              <w:pStyle w:val="6"/>
              <w:spacing w:before="59" w:line="213" w:lineRule="auto"/>
              <w:ind w:left="59"/>
            </w:pPr>
            <w:r>
              <w:rPr>
                <w:spacing w:val="4"/>
              </w:rPr>
              <w:t>混合型</w:t>
            </w:r>
          </w:p>
        </w:tc>
        <w:tc>
          <w:tcPr>
            <w:tcW w:w="1550" w:type="dxa"/>
            <w:vAlign w:val="top"/>
          </w:tcPr>
          <w:p w14:paraId="00320F0A">
            <w:pPr>
              <w:pStyle w:val="6"/>
              <w:spacing w:before="56" w:line="216" w:lineRule="auto"/>
              <w:ind w:left="14"/>
            </w:pPr>
            <w:r>
              <w:rPr>
                <w:spacing w:val="-2"/>
              </w:rPr>
              <w:t>其他类型的混合</w:t>
            </w:r>
          </w:p>
        </w:tc>
        <w:tc>
          <w:tcPr>
            <w:tcW w:w="840" w:type="dxa"/>
            <w:vAlign w:val="top"/>
          </w:tcPr>
          <w:p w14:paraId="4E4BADC6">
            <w:pPr>
              <w:pStyle w:val="6"/>
              <w:spacing w:before="59" w:line="213" w:lineRule="auto"/>
              <w:ind w:left="225"/>
            </w:pPr>
            <w:r>
              <w:rPr>
                <w:spacing w:val="-3"/>
              </w:rPr>
              <w:t>混合</w:t>
            </w:r>
          </w:p>
        </w:tc>
        <w:tc>
          <w:tcPr>
            <w:tcW w:w="1930" w:type="dxa"/>
            <w:vAlign w:val="top"/>
          </w:tcPr>
          <w:p w14:paraId="415DAEB4">
            <w:pPr>
              <w:pStyle w:val="6"/>
              <w:spacing w:before="59" w:line="213" w:lineRule="auto"/>
              <w:ind w:left="34"/>
            </w:pPr>
            <w:r>
              <w:rPr>
                <w:spacing w:val="-3"/>
              </w:rPr>
              <w:t>混合</w:t>
            </w:r>
          </w:p>
        </w:tc>
        <w:tc>
          <w:tcPr>
            <w:tcW w:w="1030" w:type="dxa"/>
            <w:vAlign w:val="top"/>
          </w:tcPr>
          <w:p w14:paraId="7A67B96C">
            <w:pPr>
              <w:pStyle w:val="6"/>
              <w:spacing w:before="59" w:line="213" w:lineRule="auto"/>
              <w:ind w:left="315"/>
            </w:pPr>
            <w:r>
              <w:rPr>
                <w:spacing w:val="-3"/>
              </w:rPr>
              <w:t>混合</w:t>
            </w:r>
          </w:p>
        </w:tc>
        <w:tc>
          <w:tcPr>
            <w:tcW w:w="870" w:type="dxa"/>
            <w:vAlign w:val="top"/>
          </w:tcPr>
          <w:p w14:paraId="08871C58">
            <w:pPr>
              <w:pStyle w:val="6"/>
              <w:spacing w:before="59" w:line="213" w:lineRule="auto"/>
              <w:ind w:left="234"/>
            </w:pPr>
            <w:r>
              <w:rPr>
                <w:spacing w:val="-3"/>
              </w:rPr>
              <w:t>混合</w:t>
            </w:r>
          </w:p>
        </w:tc>
        <w:tc>
          <w:tcPr>
            <w:tcW w:w="840" w:type="dxa"/>
            <w:tcBorders>
              <w:right w:val="nil"/>
            </w:tcBorders>
            <w:vAlign w:val="top"/>
          </w:tcPr>
          <w:p w14:paraId="0C959405">
            <w:pPr>
              <w:pStyle w:val="6"/>
              <w:spacing w:before="59" w:line="213" w:lineRule="auto"/>
              <w:ind w:left="224"/>
            </w:pPr>
            <w:r>
              <w:rPr>
                <w:spacing w:val="-3"/>
              </w:rPr>
              <w:t>混合</w:t>
            </w:r>
          </w:p>
        </w:tc>
      </w:tr>
      <w:tr w14:paraId="67AA0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280" w:type="dxa"/>
            <w:tcBorders>
              <w:left w:val="nil"/>
            </w:tcBorders>
            <w:vAlign w:val="top"/>
          </w:tcPr>
          <w:p w14:paraId="11A03DB1">
            <w:pPr>
              <w:pStyle w:val="6"/>
              <w:spacing w:before="246" w:line="183" w:lineRule="auto"/>
              <w:ind w:left="59"/>
            </w:pPr>
            <w:r>
              <w:rPr>
                <w:spacing w:val="-2"/>
              </w:rPr>
              <w:t>PMO</w:t>
            </w:r>
          </w:p>
        </w:tc>
        <w:tc>
          <w:tcPr>
            <w:tcW w:w="1550" w:type="dxa"/>
            <w:vAlign w:val="top"/>
          </w:tcPr>
          <w:p w14:paraId="30DFCD18">
            <w:pPr>
              <w:pStyle w:val="6"/>
              <w:spacing w:before="197" w:line="219" w:lineRule="auto"/>
              <w:ind w:left="14"/>
            </w:pPr>
            <w:r>
              <w:rPr>
                <w:spacing w:val="-2"/>
              </w:rPr>
              <w:t>其他类型的混合</w:t>
            </w:r>
          </w:p>
        </w:tc>
        <w:tc>
          <w:tcPr>
            <w:tcW w:w="840" w:type="dxa"/>
            <w:vAlign w:val="top"/>
          </w:tcPr>
          <w:p w14:paraId="4340392F">
            <w:pPr>
              <w:pStyle w:val="6"/>
              <w:spacing w:before="76" w:line="232" w:lineRule="auto"/>
              <w:ind w:left="224" w:right="26" w:hanging="190"/>
            </w:pPr>
            <w:r>
              <w:rPr>
                <w:spacing w:val="2"/>
              </w:rPr>
              <w:t>高到几乎</w:t>
            </w:r>
            <w:r>
              <w:t xml:space="preserve"> </w:t>
            </w:r>
            <w:r>
              <w:rPr>
                <w:spacing w:val="-2"/>
              </w:rPr>
              <w:t>全部</w:t>
            </w:r>
          </w:p>
        </w:tc>
        <w:tc>
          <w:tcPr>
            <w:tcW w:w="1930" w:type="dxa"/>
            <w:vAlign w:val="top"/>
          </w:tcPr>
          <w:p w14:paraId="649616BB">
            <w:pPr>
              <w:pStyle w:val="6"/>
              <w:spacing w:before="196" w:line="219" w:lineRule="auto"/>
              <w:ind w:left="34"/>
            </w:pPr>
            <w:r>
              <w:rPr>
                <w:spacing w:val="-1"/>
              </w:rPr>
              <w:t>全职；指定工作角色</w:t>
            </w:r>
          </w:p>
        </w:tc>
        <w:tc>
          <w:tcPr>
            <w:tcW w:w="1030" w:type="dxa"/>
            <w:vAlign w:val="top"/>
          </w:tcPr>
          <w:p w14:paraId="6901838F">
            <w:pPr>
              <w:pStyle w:val="6"/>
              <w:spacing w:before="57" w:line="241" w:lineRule="auto"/>
              <w:ind w:left="314" w:right="126" w:hanging="190"/>
            </w:pPr>
            <w:r>
              <w:rPr>
                <w:spacing w:val="2"/>
              </w:rPr>
              <w:t>高到几乎</w:t>
            </w:r>
            <w:r>
              <w:t xml:space="preserve"> </w:t>
            </w:r>
            <w:r>
              <w:rPr>
                <w:spacing w:val="-2"/>
              </w:rPr>
              <w:t>全部</w:t>
            </w:r>
          </w:p>
        </w:tc>
        <w:tc>
          <w:tcPr>
            <w:tcW w:w="870" w:type="dxa"/>
            <w:vAlign w:val="top"/>
          </w:tcPr>
          <w:p w14:paraId="77E47D82">
            <w:pPr>
              <w:pStyle w:val="6"/>
              <w:spacing w:before="198" w:line="220" w:lineRule="auto"/>
              <w:ind w:left="44"/>
            </w:pPr>
            <w:r>
              <w:rPr>
                <w:spacing w:val="-2"/>
              </w:rPr>
              <w:t>项目经理</w:t>
            </w:r>
          </w:p>
        </w:tc>
        <w:tc>
          <w:tcPr>
            <w:tcW w:w="840" w:type="dxa"/>
            <w:tcBorders>
              <w:right w:val="nil"/>
            </w:tcBorders>
            <w:vAlign w:val="top"/>
          </w:tcPr>
          <w:p w14:paraId="5106AF4F">
            <w:pPr>
              <w:pStyle w:val="6"/>
              <w:spacing w:before="201" w:line="223" w:lineRule="auto"/>
              <w:ind w:left="224"/>
            </w:pPr>
            <w:r>
              <w:rPr>
                <w:spacing w:val="-2"/>
              </w:rPr>
              <w:t>全职</w:t>
            </w:r>
          </w:p>
        </w:tc>
      </w:tr>
    </w:tbl>
    <w:p w14:paraId="6BDE03C4">
      <w:pPr>
        <w:pStyle w:val="2"/>
        <w:spacing w:before="232" w:line="292" w:lineRule="auto"/>
        <w:ind w:left="349" w:right="83" w:firstLine="389"/>
        <w:jc w:val="both"/>
        <w:rPr>
          <w:sz w:val="19"/>
          <w:szCs w:val="19"/>
        </w:rPr>
      </w:pPr>
      <w:r>
        <w:rPr>
          <w:spacing w:val="13"/>
          <w:sz w:val="19"/>
          <w:szCs w:val="19"/>
        </w:rPr>
        <w:t>在确定组织结构时，每个组织都需要考虑大量的因素。在最终分析中，每个因素的重要性</w:t>
      </w:r>
      <w:r>
        <w:rPr>
          <w:spacing w:val="9"/>
          <w:sz w:val="19"/>
          <w:szCs w:val="19"/>
        </w:rPr>
        <w:t xml:space="preserve"> </w:t>
      </w:r>
      <w:r>
        <w:rPr>
          <w:spacing w:val="13"/>
          <w:sz w:val="19"/>
          <w:szCs w:val="19"/>
        </w:rPr>
        <w:t>也各不相同。综合考虑各种因素及其价值，能够帮助组织决策者选择合适的</w:t>
      </w:r>
      <w:r>
        <w:rPr>
          <w:spacing w:val="12"/>
          <w:sz w:val="19"/>
          <w:szCs w:val="19"/>
        </w:rPr>
        <w:t>组织结构。选择组</w:t>
      </w:r>
      <w:r>
        <w:rPr>
          <w:sz w:val="19"/>
          <w:szCs w:val="19"/>
        </w:rPr>
        <w:t xml:space="preserve"> </w:t>
      </w:r>
      <w:r>
        <w:rPr>
          <w:spacing w:val="7"/>
          <w:sz w:val="19"/>
          <w:szCs w:val="19"/>
        </w:rPr>
        <w:t>织结构时应考虑的因素主要包括：</w:t>
      </w:r>
    </w:p>
    <w:p w14:paraId="201557FF">
      <w:pPr>
        <w:pStyle w:val="2"/>
        <w:spacing w:before="39" w:line="220" w:lineRule="auto"/>
        <w:ind w:left="739"/>
        <w:rPr>
          <w:sz w:val="19"/>
          <w:szCs w:val="19"/>
        </w:rPr>
      </w:pPr>
      <w:r>
        <w:rPr>
          <w:spacing w:val="11"/>
          <w:sz w:val="19"/>
          <w:szCs w:val="19"/>
        </w:rPr>
        <w:t>(1)与组织目标的一致性；</w:t>
      </w:r>
    </w:p>
    <w:p w14:paraId="15BEC2A5">
      <w:pPr>
        <w:pStyle w:val="2"/>
        <w:spacing w:before="83" w:line="219" w:lineRule="auto"/>
        <w:ind w:left="739"/>
        <w:rPr>
          <w:sz w:val="19"/>
          <w:szCs w:val="19"/>
        </w:rPr>
      </w:pPr>
      <w:r>
        <w:rPr>
          <w:spacing w:val="13"/>
          <w:sz w:val="19"/>
          <w:szCs w:val="19"/>
        </w:rPr>
        <w:t>(2)专业能力；</w:t>
      </w:r>
    </w:p>
    <w:p w14:paraId="08C5A64F">
      <w:pPr>
        <w:pStyle w:val="2"/>
        <w:spacing w:before="84" w:line="219" w:lineRule="auto"/>
        <w:ind w:left="739"/>
        <w:rPr>
          <w:sz w:val="19"/>
          <w:szCs w:val="19"/>
        </w:rPr>
      </w:pPr>
      <w:r>
        <w:rPr>
          <w:spacing w:val="11"/>
          <w:sz w:val="19"/>
          <w:szCs w:val="19"/>
        </w:rPr>
        <w:t>(3)控制、效率与效果的程度；</w:t>
      </w:r>
    </w:p>
    <w:p w14:paraId="372EBF3B">
      <w:pPr>
        <w:pStyle w:val="2"/>
        <w:spacing w:before="85" w:line="219" w:lineRule="auto"/>
        <w:ind w:left="739"/>
        <w:rPr>
          <w:sz w:val="19"/>
          <w:szCs w:val="19"/>
        </w:rPr>
      </w:pPr>
      <w:r>
        <w:rPr>
          <w:spacing w:val="11"/>
          <w:sz w:val="19"/>
          <w:szCs w:val="19"/>
        </w:rPr>
        <w:t>(4)明确的决策升级渠道；</w:t>
      </w:r>
    </w:p>
    <w:p w14:paraId="68C84A73">
      <w:pPr>
        <w:pStyle w:val="2"/>
        <w:spacing w:before="84" w:line="219" w:lineRule="auto"/>
        <w:ind w:left="739"/>
        <w:rPr>
          <w:sz w:val="19"/>
          <w:szCs w:val="19"/>
        </w:rPr>
      </w:pPr>
      <w:r>
        <w:rPr>
          <w:spacing w:val="11"/>
          <w:sz w:val="19"/>
          <w:szCs w:val="19"/>
        </w:rPr>
        <w:t>(5)明确的职权线和范围；</w:t>
      </w:r>
    </w:p>
    <w:p w14:paraId="7853BEB5">
      <w:pPr>
        <w:pStyle w:val="2"/>
        <w:spacing w:before="85" w:line="219" w:lineRule="auto"/>
        <w:ind w:left="739"/>
        <w:rPr>
          <w:sz w:val="19"/>
          <w:szCs w:val="19"/>
        </w:rPr>
      </w:pPr>
      <w:r>
        <w:rPr>
          <w:spacing w:val="12"/>
          <w:sz w:val="19"/>
          <w:szCs w:val="19"/>
        </w:rPr>
        <w:t>(6)授权方面的能力；</w:t>
      </w:r>
    </w:p>
    <w:p w14:paraId="64D40DD0">
      <w:pPr>
        <w:pStyle w:val="2"/>
        <w:spacing w:before="75" w:line="220" w:lineRule="auto"/>
        <w:ind w:left="739"/>
        <w:rPr>
          <w:sz w:val="19"/>
          <w:szCs w:val="19"/>
        </w:rPr>
      </w:pPr>
      <w:r>
        <w:rPr>
          <w:spacing w:val="13"/>
          <w:sz w:val="19"/>
          <w:szCs w:val="19"/>
        </w:rPr>
        <w:t>(7)终责分配；</w:t>
      </w:r>
    </w:p>
    <w:p w14:paraId="2ACC5A15">
      <w:pPr>
        <w:pStyle w:val="2"/>
        <w:spacing w:before="83" w:line="220" w:lineRule="auto"/>
        <w:ind w:left="739"/>
        <w:rPr>
          <w:sz w:val="19"/>
          <w:szCs w:val="19"/>
        </w:rPr>
      </w:pPr>
      <w:r>
        <w:rPr>
          <w:spacing w:val="13"/>
          <w:sz w:val="19"/>
          <w:szCs w:val="19"/>
        </w:rPr>
        <w:t>(8)职责分配；</w:t>
      </w:r>
    </w:p>
    <w:p w14:paraId="5573C910">
      <w:pPr>
        <w:pStyle w:val="2"/>
        <w:spacing w:before="74" w:line="220" w:lineRule="auto"/>
        <w:ind w:left="739"/>
        <w:rPr>
          <w:sz w:val="19"/>
          <w:szCs w:val="19"/>
        </w:rPr>
      </w:pPr>
      <w:r>
        <w:rPr>
          <w:spacing w:val="14"/>
          <w:sz w:val="19"/>
          <w:szCs w:val="19"/>
        </w:rPr>
        <w:t>(9)设计的灵活性；</w:t>
      </w:r>
    </w:p>
    <w:p w14:paraId="7F67BD09">
      <w:pPr>
        <w:pStyle w:val="2"/>
        <w:spacing w:before="82" w:line="219" w:lineRule="auto"/>
        <w:ind w:left="739"/>
        <w:rPr>
          <w:sz w:val="19"/>
          <w:szCs w:val="19"/>
        </w:rPr>
      </w:pPr>
      <w:r>
        <w:rPr>
          <w:spacing w:val="13"/>
          <w:sz w:val="19"/>
          <w:szCs w:val="19"/>
        </w:rPr>
        <w:t>(10)设计的简单性；</w:t>
      </w:r>
    </w:p>
    <w:p w14:paraId="72389FE3">
      <w:pPr>
        <w:pStyle w:val="2"/>
        <w:spacing w:before="86" w:line="219" w:lineRule="auto"/>
        <w:ind w:left="739"/>
        <w:rPr>
          <w:sz w:val="19"/>
          <w:szCs w:val="19"/>
        </w:rPr>
      </w:pPr>
      <w:r>
        <w:rPr>
          <w:spacing w:val="15"/>
          <w:sz w:val="19"/>
          <w:szCs w:val="19"/>
        </w:rPr>
        <w:t>(11)实施效率；</w:t>
      </w:r>
    </w:p>
    <w:p w14:paraId="2F64015E">
      <w:pPr>
        <w:spacing w:line="219" w:lineRule="auto"/>
        <w:rPr>
          <w:sz w:val="19"/>
          <w:szCs w:val="19"/>
        </w:rPr>
        <w:sectPr>
          <w:pgSz w:w="10300" w:h="13360"/>
          <w:pgMar w:top="319" w:right="1018" w:bottom="400" w:left="530" w:header="0" w:footer="0" w:gutter="0"/>
          <w:cols w:space="720" w:num="1"/>
        </w:sectPr>
      </w:pPr>
    </w:p>
    <w:p w14:paraId="6B33E5AC">
      <w:pPr>
        <w:pStyle w:val="2"/>
        <w:jc w:val="right"/>
        <w:rPr>
          <w:rFonts w:ascii="Times New Roman" w:hAnsi="Times New Roman" w:eastAsia="Times New Roman" w:cs="Times New Roman"/>
          <w:sz w:val="17"/>
          <w:szCs w:val="17"/>
        </w:rPr>
      </w:pPr>
      <w:r>
        <w:rPr>
          <w:spacing w:val="1"/>
          <w:sz w:val="20"/>
          <w:szCs w:val="20"/>
        </w:rPr>
        <w:t>第16章</w:t>
      </w:r>
      <w:r>
        <w:rPr>
          <w:spacing w:val="17"/>
          <w:sz w:val="20"/>
          <w:szCs w:val="20"/>
        </w:rPr>
        <w:t xml:space="preserve"> </w:t>
      </w:r>
      <w:r>
        <w:rPr>
          <w:spacing w:val="1"/>
          <w:sz w:val="20"/>
          <w:szCs w:val="20"/>
        </w:rPr>
        <w:t>项目管理</w:t>
      </w:r>
      <w:r>
        <w:rPr>
          <w:spacing w:val="33"/>
          <w:sz w:val="20"/>
          <w:szCs w:val="20"/>
        </w:rPr>
        <w:t xml:space="preserve"> </w:t>
      </w:r>
      <w:r>
        <w:rPr>
          <w:position w:val="-10"/>
          <w:sz w:val="20"/>
          <w:szCs w:val="20"/>
        </w:rPr>
        <w:drawing>
          <wp:inline distT="0" distB="0" distL="0" distR="0">
            <wp:extent cx="298450" cy="23431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236"/>
                    <a:stretch>
                      <a:fillRect/>
                    </a:stretch>
                  </pic:blipFill>
                  <pic:spPr>
                    <a:xfrm>
                      <a:off x="0" y="0"/>
                      <a:ext cx="298479" cy="234893"/>
                    </a:xfrm>
                    <a:prstGeom prst="rect">
                      <a:avLst/>
                    </a:prstGeom>
                  </pic:spPr>
                </pic:pic>
              </a:graphicData>
            </a:graphic>
          </wp:inline>
        </w:drawing>
      </w:r>
      <w:r>
        <w:rPr>
          <w:rFonts w:ascii="Times New Roman" w:hAnsi="Times New Roman" w:eastAsia="Times New Roman" w:cs="Times New Roman"/>
          <w:spacing w:val="1"/>
          <w:sz w:val="17"/>
          <w:szCs w:val="17"/>
        </w:rPr>
        <w:t>373</w:t>
      </w:r>
    </w:p>
    <w:p w14:paraId="51C237D0">
      <w:pPr>
        <w:spacing w:line="260" w:lineRule="auto"/>
        <w:rPr>
          <w:rFonts w:ascii="Arial"/>
          <w:sz w:val="21"/>
        </w:rPr>
      </w:pPr>
    </w:p>
    <w:p w14:paraId="0F103E00">
      <w:pPr>
        <w:pStyle w:val="2"/>
        <w:spacing w:before="65" w:line="219" w:lineRule="auto"/>
        <w:ind w:left="399"/>
        <w:rPr>
          <w:sz w:val="20"/>
          <w:szCs w:val="20"/>
        </w:rPr>
      </w:pPr>
      <w:bookmarkStart w:id="678" w:name="bookmark663"/>
      <w:bookmarkEnd w:id="678"/>
      <w:r>
        <w:rPr>
          <w:spacing w:val="4"/>
          <w:sz w:val="20"/>
          <w:szCs w:val="20"/>
        </w:rPr>
        <w:t>(12)成本考虑；</w:t>
      </w:r>
    </w:p>
    <w:p w14:paraId="27D26EBC">
      <w:pPr>
        <w:pStyle w:val="2"/>
        <w:spacing w:before="82" w:line="219" w:lineRule="auto"/>
        <w:ind w:left="399"/>
        <w:rPr>
          <w:sz w:val="20"/>
          <w:szCs w:val="20"/>
        </w:rPr>
      </w:pPr>
      <w:r>
        <w:rPr>
          <w:spacing w:val="6"/>
          <w:sz w:val="20"/>
          <w:szCs w:val="20"/>
        </w:rPr>
        <w:t>(13)物理位置(例如集中办公、区域办公、虚拟远程办公);</w:t>
      </w:r>
    </w:p>
    <w:p w14:paraId="5E04E713">
      <w:pPr>
        <w:pStyle w:val="2"/>
        <w:spacing w:before="74" w:line="219" w:lineRule="auto"/>
        <w:ind w:left="399"/>
        <w:rPr>
          <w:sz w:val="20"/>
          <w:szCs w:val="20"/>
        </w:rPr>
      </w:pPr>
      <w:r>
        <w:rPr>
          <w:spacing w:val="9"/>
          <w:sz w:val="20"/>
          <w:szCs w:val="20"/>
        </w:rPr>
        <w:t>(14)清晰地沟通(例如政策、工作状态、组织愿</w:t>
      </w:r>
      <w:r>
        <w:rPr>
          <w:spacing w:val="8"/>
          <w:sz w:val="20"/>
          <w:szCs w:val="20"/>
        </w:rPr>
        <w:t>景)等。</w:t>
      </w:r>
    </w:p>
    <w:p w14:paraId="4073E80D">
      <w:pPr>
        <w:pStyle w:val="2"/>
        <w:spacing w:before="147" w:line="221" w:lineRule="auto"/>
        <w:ind w:left="402"/>
        <w:rPr>
          <w:rFonts w:ascii="黑体" w:hAnsi="黑体" w:eastAsia="黑体" w:cs="黑体"/>
          <w:sz w:val="20"/>
          <w:szCs w:val="20"/>
        </w:rPr>
      </w:pPr>
      <w:r>
        <w:rPr>
          <w:b/>
          <w:bCs/>
          <w:color w:val="0082DA"/>
          <w:spacing w:val="-2"/>
          <w:sz w:val="20"/>
          <w:szCs w:val="20"/>
        </w:rPr>
        <w:t>4.</w:t>
      </w:r>
      <w:r>
        <w:rPr>
          <w:rFonts w:ascii="黑体" w:hAnsi="黑体" w:eastAsia="黑体" w:cs="黑体"/>
          <w:b/>
          <w:bCs/>
          <w:color w:val="0082DA"/>
          <w:spacing w:val="-2"/>
          <w:sz w:val="20"/>
          <w:szCs w:val="20"/>
        </w:rPr>
        <w:t>项目管理办公室</w:t>
      </w:r>
    </w:p>
    <w:p w14:paraId="48FB3D79">
      <w:pPr>
        <w:pStyle w:val="2"/>
        <w:spacing w:before="132" w:line="285" w:lineRule="auto"/>
        <w:ind w:right="207" w:firstLine="399"/>
        <w:jc w:val="both"/>
        <w:rPr>
          <w:sz w:val="20"/>
          <w:szCs w:val="20"/>
        </w:rPr>
      </w:pPr>
      <w:r>
        <w:rPr>
          <w:spacing w:val="5"/>
          <w:sz w:val="20"/>
          <w:szCs w:val="20"/>
        </w:rPr>
        <w:t>项目管理办公室</w:t>
      </w:r>
      <w:r>
        <w:rPr>
          <w:spacing w:val="-50"/>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Project</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Office</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PMO</w:t>
      </w:r>
      <w:r>
        <w:rPr>
          <w:rFonts w:ascii="Times New Roman" w:hAnsi="Times New Roman" w:eastAsia="Times New Roman" w:cs="Times New Roman"/>
          <w:spacing w:val="5"/>
          <w:sz w:val="20"/>
          <w:szCs w:val="20"/>
        </w:rPr>
        <w:t xml:space="preserve">) </w:t>
      </w:r>
      <w:r>
        <w:rPr>
          <w:spacing w:val="5"/>
          <w:sz w:val="20"/>
          <w:szCs w:val="20"/>
        </w:rPr>
        <w:t>是项目管理中常见</w:t>
      </w:r>
      <w:r>
        <w:rPr>
          <w:spacing w:val="4"/>
          <w:sz w:val="20"/>
          <w:szCs w:val="20"/>
        </w:rPr>
        <w:t>的一种组织结构，</w:t>
      </w:r>
      <w:r>
        <w:rPr>
          <w:sz w:val="20"/>
          <w:szCs w:val="20"/>
        </w:rPr>
        <w:t xml:space="preserve"> PMO</w:t>
      </w:r>
      <w:r>
        <w:rPr>
          <w:spacing w:val="75"/>
          <w:sz w:val="20"/>
          <w:szCs w:val="20"/>
        </w:rPr>
        <w:t xml:space="preserve"> </w:t>
      </w:r>
      <w:r>
        <w:rPr>
          <w:spacing w:val="2"/>
          <w:sz w:val="20"/>
          <w:szCs w:val="20"/>
        </w:rPr>
        <w:t>对与项目相关的治理过程进行标准化，并促进资源、方法论、工具和技</w:t>
      </w:r>
      <w:r>
        <w:rPr>
          <w:spacing w:val="1"/>
          <w:sz w:val="20"/>
          <w:szCs w:val="20"/>
        </w:rPr>
        <w:t>术共享。</w:t>
      </w:r>
      <w:r>
        <w:rPr>
          <w:spacing w:val="-40"/>
          <w:sz w:val="20"/>
          <w:szCs w:val="20"/>
        </w:rPr>
        <w:t xml:space="preserve"> </w:t>
      </w:r>
      <w:r>
        <w:rPr>
          <w:sz w:val="20"/>
          <w:szCs w:val="20"/>
        </w:rPr>
        <w:t>PMO</w:t>
      </w:r>
      <w:r>
        <w:rPr>
          <w:spacing w:val="1"/>
          <w:sz w:val="20"/>
          <w:szCs w:val="20"/>
        </w:rPr>
        <w:t xml:space="preserve">  的</w:t>
      </w:r>
      <w:r>
        <w:rPr>
          <w:sz w:val="20"/>
          <w:szCs w:val="20"/>
        </w:rPr>
        <w:t xml:space="preserve">  职责范围可大可小，小到提供项目管理支持服务，大到直接管理一个或多个项目。</w:t>
      </w:r>
      <w:r>
        <w:rPr>
          <w:rFonts w:ascii="Times New Roman" w:hAnsi="Times New Roman" w:eastAsia="Times New Roman" w:cs="Times New Roman"/>
          <w:sz w:val="20"/>
          <w:szCs w:val="20"/>
        </w:rPr>
        <w:t>PMO</w:t>
      </w:r>
      <w:r>
        <w:rPr>
          <w:rFonts w:ascii="Times New Roman" w:hAnsi="Times New Roman" w:eastAsia="Times New Roman" w:cs="Times New Roman"/>
          <w:spacing w:val="34"/>
          <w:sz w:val="20"/>
          <w:szCs w:val="20"/>
        </w:rPr>
        <w:t xml:space="preserve"> </w:t>
      </w:r>
      <w:r>
        <w:rPr>
          <w:sz w:val="20"/>
          <w:szCs w:val="20"/>
        </w:rPr>
        <w:t xml:space="preserve">的具体 </w:t>
      </w:r>
      <w:r>
        <w:rPr>
          <w:spacing w:val="-2"/>
          <w:sz w:val="20"/>
          <w:szCs w:val="20"/>
        </w:rPr>
        <w:t>形式、职能和结构取决于所在组织的需要。</w:t>
      </w:r>
    </w:p>
    <w:p w14:paraId="0E77B08E">
      <w:pPr>
        <w:pStyle w:val="2"/>
        <w:spacing w:before="37" w:line="219" w:lineRule="auto"/>
        <w:ind w:left="399"/>
        <w:rPr>
          <w:sz w:val="20"/>
          <w:szCs w:val="20"/>
        </w:rPr>
      </w:pPr>
      <w:r>
        <w:rPr>
          <w:spacing w:val="-1"/>
          <w:sz w:val="20"/>
          <w:szCs w:val="20"/>
        </w:rPr>
        <w:t>PMO</w:t>
      </w:r>
      <w:r>
        <w:rPr>
          <w:spacing w:val="55"/>
          <w:sz w:val="20"/>
          <w:szCs w:val="20"/>
        </w:rPr>
        <w:t xml:space="preserve"> </w:t>
      </w:r>
      <w:r>
        <w:rPr>
          <w:spacing w:val="-1"/>
          <w:sz w:val="20"/>
          <w:szCs w:val="20"/>
        </w:rPr>
        <w:t>有几种不同类型，他们对项目的控制和影响程</w:t>
      </w:r>
      <w:r>
        <w:rPr>
          <w:spacing w:val="-2"/>
          <w:sz w:val="20"/>
          <w:szCs w:val="20"/>
        </w:rPr>
        <w:t>度各不相同：</w:t>
      </w:r>
    </w:p>
    <w:p w14:paraId="61171FBA">
      <w:pPr>
        <w:pStyle w:val="2"/>
        <w:spacing w:before="62" w:line="258" w:lineRule="auto"/>
        <w:ind w:right="277" w:firstLine="399"/>
        <w:rPr>
          <w:sz w:val="20"/>
          <w:szCs w:val="20"/>
        </w:rPr>
      </w:pPr>
      <w:r>
        <w:rPr>
          <w:spacing w:val="-1"/>
          <w:sz w:val="20"/>
          <w:szCs w:val="20"/>
        </w:rPr>
        <w:t>(1)支持型。支持型</w:t>
      </w:r>
      <w:r>
        <w:rPr>
          <w:rFonts w:ascii="Times New Roman" w:hAnsi="Times New Roman" w:eastAsia="Times New Roman" w:cs="Times New Roman"/>
          <w:spacing w:val="-1"/>
          <w:sz w:val="20"/>
          <w:szCs w:val="20"/>
        </w:rPr>
        <w:t>PMO</w:t>
      </w:r>
      <w:r>
        <w:rPr>
          <w:rFonts w:ascii="Times New Roman" w:hAnsi="Times New Roman" w:eastAsia="Times New Roman" w:cs="Times New Roman"/>
          <w:spacing w:val="-11"/>
          <w:sz w:val="20"/>
          <w:szCs w:val="20"/>
        </w:rPr>
        <w:t xml:space="preserve"> </w:t>
      </w:r>
      <w:r>
        <w:rPr>
          <w:spacing w:val="-1"/>
          <w:sz w:val="20"/>
          <w:szCs w:val="20"/>
        </w:rPr>
        <w:t>担当顾问的角色，向项目提供模板</w:t>
      </w:r>
      <w:r>
        <w:rPr>
          <w:spacing w:val="-2"/>
          <w:sz w:val="20"/>
          <w:szCs w:val="20"/>
        </w:rPr>
        <w:t>、最佳实践、培训，以及来自其</w:t>
      </w:r>
      <w:r>
        <w:rPr>
          <w:sz w:val="20"/>
          <w:szCs w:val="20"/>
        </w:rPr>
        <w:t xml:space="preserve"> </w:t>
      </w:r>
      <w:r>
        <w:rPr>
          <w:spacing w:val="-4"/>
          <w:sz w:val="20"/>
          <w:szCs w:val="20"/>
        </w:rPr>
        <w:t>他项目的信息和经验教训。这种类型的PMO</w:t>
      </w:r>
      <w:r>
        <w:rPr>
          <w:spacing w:val="91"/>
          <w:sz w:val="20"/>
          <w:szCs w:val="20"/>
        </w:rPr>
        <w:t xml:space="preserve"> </w:t>
      </w:r>
      <w:r>
        <w:rPr>
          <w:spacing w:val="-4"/>
          <w:sz w:val="20"/>
          <w:szCs w:val="20"/>
        </w:rPr>
        <w:t>其实就是一个项目资源库，对项目的控制程度很低。</w:t>
      </w:r>
    </w:p>
    <w:p w14:paraId="3EACD706">
      <w:pPr>
        <w:pStyle w:val="2"/>
        <w:spacing w:before="93" w:line="257" w:lineRule="auto"/>
        <w:ind w:right="273" w:firstLine="399"/>
        <w:rPr>
          <w:sz w:val="20"/>
          <w:szCs w:val="20"/>
        </w:rPr>
      </w:pPr>
      <w:r>
        <w:rPr>
          <w:spacing w:val="9"/>
          <w:sz w:val="20"/>
          <w:szCs w:val="20"/>
        </w:rPr>
        <w:t>(2)控制型。控制型</w:t>
      </w:r>
      <w:r>
        <w:rPr>
          <w:rFonts w:ascii="Times New Roman" w:hAnsi="Times New Roman" w:eastAsia="Times New Roman" w:cs="Times New Roman"/>
          <w:sz w:val="20"/>
          <w:szCs w:val="20"/>
        </w:rPr>
        <w:t>PMO</w:t>
      </w:r>
      <w:r>
        <w:rPr>
          <w:rFonts w:ascii="Times New Roman" w:hAnsi="Times New Roman" w:eastAsia="Times New Roman" w:cs="Times New Roman"/>
          <w:spacing w:val="9"/>
          <w:sz w:val="20"/>
          <w:szCs w:val="20"/>
        </w:rPr>
        <w:t xml:space="preserve"> </w:t>
      </w:r>
      <w:r>
        <w:rPr>
          <w:spacing w:val="9"/>
          <w:sz w:val="20"/>
          <w:szCs w:val="20"/>
        </w:rPr>
        <w:t>不仅给项目提供支持，而且通过各种手段要求项目服从，</w:t>
      </w:r>
      <w:r>
        <w:rPr>
          <w:spacing w:val="8"/>
          <w:sz w:val="20"/>
          <w:szCs w:val="20"/>
        </w:rPr>
        <w:t>这种</w:t>
      </w:r>
      <w:r>
        <w:rPr>
          <w:sz w:val="20"/>
          <w:szCs w:val="20"/>
        </w:rPr>
        <w:t xml:space="preserve"> </w:t>
      </w:r>
      <w:r>
        <w:rPr>
          <w:spacing w:val="1"/>
          <w:sz w:val="20"/>
          <w:szCs w:val="20"/>
        </w:rPr>
        <w:t>类型的</w:t>
      </w:r>
      <w:r>
        <w:rPr>
          <w:rFonts w:ascii="Times New Roman" w:hAnsi="Times New Roman" w:eastAsia="Times New Roman" w:cs="Times New Roman"/>
          <w:sz w:val="20"/>
          <w:szCs w:val="20"/>
        </w:rPr>
        <w:t>PMO</w:t>
      </w:r>
      <w:r>
        <w:rPr>
          <w:rFonts w:ascii="Times New Roman" w:hAnsi="Times New Roman" w:eastAsia="Times New Roman" w:cs="Times New Roman"/>
          <w:spacing w:val="1"/>
          <w:sz w:val="20"/>
          <w:szCs w:val="20"/>
        </w:rPr>
        <w:t xml:space="preserve"> </w:t>
      </w:r>
      <w:r>
        <w:rPr>
          <w:spacing w:val="1"/>
          <w:sz w:val="20"/>
          <w:szCs w:val="20"/>
        </w:rPr>
        <w:t>对项目的控制程度中等。其可能要求项目：一是采用项目管理框架或方</w:t>
      </w:r>
      <w:r>
        <w:rPr>
          <w:sz w:val="20"/>
          <w:szCs w:val="20"/>
        </w:rPr>
        <w:t xml:space="preserve">法论；二是 </w:t>
      </w:r>
      <w:r>
        <w:rPr>
          <w:spacing w:val="-2"/>
          <w:sz w:val="20"/>
          <w:szCs w:val="20"/>
        </w:rPr>
        <w:t>使用特定的模板、格式和工具；三是遵从治理框架。</w:t>
      </w:r>
    </w:p>
    <w:p w14:paraId="033C9A5E">
      <w:pPr>
        <w:pStyle w:val="2"/>
        <w:spacing w:before="83" w:line="258" w:lineRule="auto"/>
        <w:ind w:right="273" w:firstLine="399"/>
        <w:rPr>
          <w:sz w:val="20"/>
          <w:szCs w:val="20"/>
        </w:rPr>
      </w:pPr>
      <w:r>
        <w:rPr>
          <w:spacing w:val="6"/>
          <w:sz w:val="20"/>
          <w:szCs w:val="20"/>
        </w:rPr>
        <w:t>(3)指令型。指令型</w:t>
      </w:r>
      <w:r>
        <w:rPr>
          <w:rFonts w:ascii="Times New Roman" w:hAnsi="Times New Roman" w:eastAsia="Times New Roman" w:cs="Times New Roman"/>
          <w:sz w:val="20"/>
          <w:szCs w:val="20"/>
        </w:rPr>
        <w:t>PMO</w:t>
      </w:r>
      <w:r>
        <w:rPr>
          <w:rFonts w:ascii="Times New Roman" w:hAnsi="Times New Roman" w:eastAsia="Times New Roman" w:cs="Times New Roman"/>
          <w:spacing w:val="26"/>
          <w:w w:val="101"/>
          <w:sz w:val="20"/>
          <w:szCs w:val="20"/>
        </w:rPr>
        <w:t xml:space="preserve"> </w:t>
      </w:r>
      <w:r>
        <w:rPr>
          <w:spacing w:val="6"/>
          <w:sz w:val="20"/>
          <w:szCs w:val="20"/>
        </w:rPr>
        <w:t>直接管理和控制项目。项目经理由</w:t>
      </w:r>
      <w:r>
        <w:rPr>
          <w:rFonts w:ascii="Times New Roman" w:hAnsi="Times New Roman" w:eastAsia="Times New Roman" w:cs="Times New Roman"/>
          <w:sz w:val="20"/>
          <w:szCs w:val="20"/>
        </w:rPr>
        <w:t>PMO</w:t>
      </w:r>
      <w:r>
        <w:rPr>
          <w:rFonts w:ascii="Times New Roman" w:hAnsi="Times New Roman" w:eastAsia="Times New Roman" w:cs="Times New Roman"/>
          <w:spacing w:val="20"/>
          <w:sz w:val="20"/>
          <w:szCs w:val="20"/>
        </w:rPr>
        <w:t xml:space="preserve"> </w:t>
      </w:r>
      <w:r>
        <w:rPr>
          <w:spacing w:val="6"/>
          <w:sz w:val="20"/>
          <w:szCs w:val="20"/>
        </w:rPr>
        <w:t>指定并向其报告。这种</w:t>
      </w:r>
      <w:r>
        <w:rPr>
          <w:sz w:val="20"/>
          <w:szCs w:val="20"/>
        </w:rPr>
        <w:t xml:space="preserve"> 类型的</w:t>
      </w:r>
      <w:r>
        <w:rPr>
          <w:rFonts w:ascii="Times New Roman" w:hAnsi="Times New Roman" w:eastAsia="Times New Roman" w:cs="Times New Roman"/>
          <w:sz w:val="20"/>
          <w:szCs w:val="20"/>
        </w:rPr>
        <w:t xml:space="preserve">PMO </w:t>
      </w:r>
      <w:r>
        <w:rPr>
          <w:sz w:val="20"/>
          <w:szCs w:val="20"/>
        </w:rPr>
        <w:t>对项目的控制程度很高。</w:t>
      </w:r>
    </w:p>
    <w:p w14:paraId="1ADC9DE1">
      <w:pPr>
        <w:pStyle w:val="2"/>
        <w:spacing w:before="61" w:line="278" w:lineRule="auto"/>
        <w:ind w:right="272" w:firstLine="399"/>
        <w:rPr>
          <w:sz w:val="20"/>
          <w:szCs w:val="20"/>
        </w:rPr>
      </w:pPr>
      <w:r>
        <w:rPr>
          <w:rFonts w:ascii="Times New Roman" w:hAnsi="Times New Roman" w:eastAsia="Times New Roman" w:cs="Times New Roman"/>
          <w:sz w:val="20"/>
          <w:szCs w:val="20"/>
        </w:rPr>
        <w:t>PMO</w:t>
      </w:r>
      <w:r>
        <w:rPr>
          <w:rFonts w:ascii="Times New Roman" w:hAnsi="Times New Roman" w:eastAsia="Times New Roman" w:cs="Times New Roman"/>
          <w:spacing w:val="-20"/>
          <w:sz w:val="20"/>
          <w:szCs w:val="20"/>
        </w:rPr>
        <w:t xml:space="preserve"> </w:t>
      </w:r>
      <w:r>
        <w:rPr>
          <w:spacing w:val="2"/>
          <w:sz w:val="20"/>
          <w:szCs w:val="20"/>
        </w:rPr>
        <w:t>还有可能承担整个组织范围的职责，在支持战略调整和</w:t>
      </w:r>
      <w:r>
        <w:rPr>
          <w:spacing w:val="1"/>
          <w:sz w:val="20"/>
          <w:szCs w:val="20"/>
        </w:rPr>
        <w:t>创造组织价值方面发挥重要的</w:t>
      </w:r>
      <w:r>
        <w:rPr>
          <w:sz w:val="20"/>
          <w:szCs w:val="20"/>
        </w:rPr>
        <w:t xml:space="preserve"> 作用。</w:t>
      </w:r>
      <w:r>
        <w:rPr>
          <w:rFonts w:ascii="Times New Roman" w:hAnsi="Times New Roman" w:eastAsia="Times New Roman" w:cs="Times New Roman"/>
          <w:sz w:val="20"/>
          <w:szCs w:val="20"/>
        </w:rPr>
        <w:t>PMO</w:t>
      </w:r>
      <w:r>
        <w:rPr>
          <w:rFonts w:ascii="Times New Roman" w:hAnsi="Times New Roman" w:eastAsia="Times New Roman" w:cs="Times New Roman"/>
          <w:spacing w:val="34"/>
          <w:w w:val="101"/>
          <w:sz w:val="20"/>
          <w:szCs w:val="20"/>
        </w:rPr>
        <w:t xml:space="preserve"> </w:t>
      </w:r>
      <w:r>
        <w:rPr>
          <w:sz w:val="20"/>
          <w:szCs w:val="20"/>
        </w:rPr>
        <w:t xml:space="preserve">从组织战略型项目中获取数据和信息，进行综合分析，评估高层战略目标的实现情 </w:t>
      </w:r>
      <w:r>
        <w:rPr>
          <w:spacing w:val="4"/>
          <w:sz w:val="20"/>
          <w:szCs w:val="20"/>
        </w:rPr>
        <w:t>况。</w:t>
      </w:r>
      <w:r>
        <w:rPr>
          <w:rFonts w:ascii="Times New Roman" w:hAnsi="Times New Roman" w:eastAsia="Times New Roman" w:cs="Times New Roman"/>
          <w:sz w:val="20"/>
          <w:szCs w:val="20"/>
        </w:rPr>
        <w:t>PMO</w:t>
      </w:r>
      <w:r>
        <w:rPr>
          <w:rFonts w:ascii="Times New Roman" w:hAnsi="Times New Roman" w:eastAsia="Times New Roman" w:cs="Times New Roman"/>
          <w:spacing w:val="19"/>
          <w:w w:val="101"/>
          <w:sz w:val="20"/>
          <w:szCs w:val="20"/>
        </w:rPr>
        <w:t xml:space="preserve"> </w:t>
      </w:r>
      <w:r>
        <w:rPr>
          <w:spacing w:val="4"/>
          <w:sz w:val="20"/>
          <w:szCs w:val="20"/>
        </w:rPr>
        <w:t>在组织的项目组合、项目集、项目与组织考评体系(如平衡计分卡)之间建立联系。</w:t>
      </w:r>
    </w:p>
    <w:p w14:paraId="5FC2FF85">
      <w:pPr>
        <w:pStyle w:val="2"/>
        <w:spacing w:before="38" w:line="219" w:lineRule="auto"/>
        <w:ind w:left="399"/>
        <w:rPr>
          <w:sz w:val="20"/>
          <w:szCs w:val="20"/>
        </w:rPr>
      </w:pPr>
      <w:r>
        <w:rPr>
          <w:rFonts w:ascii="Times New Roman" w:hAnsi="Times New Roman" w:eastAsia="Times New Roman" w:cs="Times New Roman"/>
          <w:spacing w:val="-1"/>
          <w:sz w:val="20"/>
          <w:szCs w:val="20"/>
        </w:rPr>
        <w:t xml:space="preserve">PMO </w:t>
      </w:r>
      <w:r>
        <w:rPr>
          <w:spacing w:val="-1"/>
          <w:sz w:val="20"/>
          <w:szCs w:val="20"/>
        </w:rPr>
        <w:t>只是把项目进行了集中管理，他所支持和管理的</w:t>
      </w:r>
      <w:r>
        <w:rPr>
          <w:spacing w:val="-2"/>
          <w:sz w:val="20"/>
          <w:szCs w:val="20"/>
        </w:rPr>
        <w:t>项目之间不一定彼此关联。</w:t>
      </w:r>
    </w:p>
    <w:p w14:paraId="5DEDD10B">
      <w:pPr>
        <w:pStyle w:val="2"/>
        <w:spacing w:before="83" w:line="263" w:lineRule="auto"/>
        <w:ind w:right="271" w:firstLine="399"/>
        <w:rPr>
          <w:sz w:val="20"/>
          <w:szCs w:val="20"/>
        </w:rPr>
      </w:pPr>
      <w:r>
        <w:rPr>
          <w:spacing w:val="1"/>
          <w:sz w:val="20"/>
          <w:szCs w:val="20"/>
        </w:rPr>
        <w:t>为了保证项目符合组织的业务目标，</w:t>
      </w:r>
      <w:r>
        <w:rPr>
          <w:rFonts w:ascii="Times New Roman" w:hAnsi="Times New Roman" w:eastAsia="Times New Roman" w:cs="Times New Roman"/>
          <w:sz w:val="20"/>
          <w:szCs w:val="20"/>
        </w:rPr>
        <w:t>PMO</w:t>
      </w:r>
      <w:r>
        <w:rPr>
          <w:rFonts w:ascii="Times New Roman" w:hAnsi="Times New Roman" w:eastAsia="Times New Roman" w:cs="Times New Roman"/>
          <w:spacing w:val="20"/>
          <w:sz w:val="20"/>
          <w:szCs w:val="20"/>
        </w:rPr>
        <w:t xml:space="preserve"> </w:t>
      </w:r>
      <w:r>
        <w:rPr>
          <w:spacing w:val="1"/>
          <w:sz w:val="20"/>
          <w:szCs w:val="20"/>
        </w:rPr>
        <w:t>有权在每个项</w:t>
      </w:r>
      <w:r>
        <w:rPr>
          <w:sz w:val="20"/>
          <w:szCs w:val="20"/>
        </w:rPr>
        <w:t xml:space="preserve">目的生命周期中充当重要干系人和 </w:t>
      </w:r>
      <w:r>
        <w:rPr>
          <w:spacing w:val="-2"/>
          <w:sz w:val="20"/>
          <w:szCs w:val="20"/>
        </w:rPr>
        <w:t>关键决策者。</w:t>
      </w:r>
      <w:r>
        <w:rPr>
          <w:rFonts w:ascii="Times New Roman" w:hAnsi="Times New Roman" w:eastAsia="Times New Roman" w:cs="Times New Roman"/>
          <w:spacing w:val="-2"/>
          <w:sz w:val="20"/>
          <w:szCs w:val="20"/>
        </w:rPr>
        <w:t>PMO</w:t>
      </w:r>
      <w:r>
        <w:rPr>
          <w:rFonts w:ascii="Times New Roman" w:hAnsi="Times New Roman" w:eastAsia="Times New Roman" w:cs="Times New Roman"/>
          <w:spacing w:val="20"/>
          <w:sz w:val="20"/>
          <w:szCs w:val="20"/>
        </w:rPr>
        <w:t xml:space="preserve"> </w:t>
      </w:r>
      <w:r>
        <w:rPr>
          <w:spacing w:val="-2"/>
          <w:sz w:val="20"/>
          <w:szCs w:val="20"/>
        </w:rPr>
        <w:t>可以提出建议、支持知识传递、终止项目，并根据需要采取其他行</w:t>
      </w:r>
      <w:r>
        <w:rPr>
          <w:spacing w:val="-3"/>
          <w:sz w:val="20"/>
          <w:szCs w:val="20"/>
        </w:rPr>
        <w:t>动。</w:t>
      </w:r>
    </w:p>
    <w:p w14:paraId="19A2EA66">
      <w:pPr>
        <w:pStyle w:val="2"/>
        <w:spacing w:before="39" w:line="282" w:lineRule="auto"/>
        <w:ind w:left="399" w:right="1578"/>
        <w:rPr>
          <w:sz w:val="20"/>
          <w:szCs w:val="20"/>
        </w:rPr>
      </w:pPr>
      <w:r>
        <w:rPr>
          <w:rFonts w:ascii="Times New Roman" w:hAnsi="Times New Roman" w:eastAsia="Times New Roman" w:cs="Times New Roman"/>
          <w:sz w:val="20"/>
          <w:szCs w:val="20"/>
        </w:rPr>
        <w:t>PMO</w:t>
      </w:r>
      <w:r>
        <w:rPr>
          <w:sz w:val="20"/>
          <w:szCs w:val="20"/>
        </w:rPr>
        <w:t>的一个主要职能是通过各种方式向项</w:t>
      </w:r>
      <w:r>
        <w:rPr>
          <w:spacing w:val="-1"/>
          <w:sz w:val="20"/>
          <w:szCs w:val="20"/>
        </w:rPr>
        <w:t>目经理提供支持，这些方式包括：</w:t>
      </w:r>
      <w:r>
        <w:rPr>
          <w:sz w:val="20"/>
          <w:szCs w:val="20"/>
        </w:rPr>
        <w:t xml:space="preserve"> </w:t>
      </w:r>
      <w:r>
        <w:rPr>
          <w:spacing w:val="-6"/>
          <w:sz w:val="20"/>
          <w:szCs w:val="20"/>
        </w:rPr>
        <w:t>(</w:t>
      </w:r>
      <w:r>
        <w:rPr>
          <w:spacing w:val="-18"/>
          <w:sz w:val="20"/>
          <w:szCs w:val="20"/>
        </w:rPr>
        <w:t xml:space="preserve"> </w:t>
      </w:r>
      <w:r>
        <w:rPr>
          <w:spacing w:val="-6"/>
          <w:sz w:val="20"/>
          <w:szCs w:val="20"/>
        </w:rPr>
        <w:t>1</w:t>
      </w:r>
      <w:r>
        <w:rPr>
          <w:spacing w:val="-44"/>
          <w:sz w:val="20"/>
          <w:szCs w:val="20"/>
        </w:rPr>
        <w:t xml:space="preserve"> </w:t>
      </w:r>
      <w:r>
        <w:rPr>
          <w:spacing w:val="-6"/>
          <w:sz w:val="20"/>
          <w:szCs w:val="20"/>
        </w:rPr>
        <w:t>)</w:t>
      </w:r>
      <w:r>
        <w:rPr>
          <w:spacing w:val="-46"/>
          <w:sz w:val="20"/>
          <w:szCs w:val="20"/>
        </w:rPr>
        <w:t xml:space="preserve"> </w:t>
      </w:r>
      <w:r>
        <w:rPr>
          <w:spacing w:val="-6"/>
          <w:sz w:val="20"/>
          <w:szCs w:val="20"/>
        </w:rPr>
        <w:t>对</w:t>
      </w:r>
      <w:r>
        <w:rPr>
          <w:rFonts w:ascii="Times New Roman" w:hAnsi="Times New Roman" w:eastAsia="Times New Roman" w:cs="Times New Roman"/>
          <w:spacing w:val="-6"/>
          <w:sz w:val="20"/>
          <w:szCs w:val="20"/>
        </w:rPr>
        <w:t>PMO</w:t>
      </w:r>
      <w:r>
        <w:rPr>
          <w:rFonts w:ascii="Times New Roman" w:hAnsi="Times New Roman" w:eastAsia="Times New Roman" w:cs="Times New Roman"/>
          <w:spacing w:val="20"/>
          <w:sz w:val="20"/>
          <w:szCs w:val="20"/>
        </w:rPr>
        <w:t xml:space="preserve"> </w:t>
      </w:r>
      <w:r>
        <w:rPr>
          <w:spacing w:val="-6"/>
          <w:sz w:val="20"/>
          <w:szCs w:val="20"/>
        </w:rPr>
        <w:t>所辖全部项目的共享资源进行管理；</w:t>
      </w:r>
    </w:p>
    <w:p w14:paraId="22A2AEEF">
      <w:pPr>
        <w:pStyle w:val="2"/>
        <w:spacing w:before="9" w:line="219" w:lineRule="auto"/>
        <w:ind w:left="399"/>
        <w:rPr>
          <w:sz w:val="20"/>
          <w:szCs w:val="20"/>
        </w:rPr>
      </w:pPr>
      <w:r>
        <w:rPr>
          <w:spacing w:val="1"/>
          <w:sz w:val="20"/>
          <w:szCs w:val="20"/>
        </w:rPr>
        <w:t>(2)识别和制定项目管理方法、最佳实践和标准；</w:t>
      </w:r>
    </w:p>
    <w:p w14:paraId="7CB343D7">
      <w:pPr>
        <w:pStyle w:val="2"/>
        <w:spacing w:before="84" w:line="220" w:lineRule="auto"/>
        <w:ind w:left="399"/>
        <w:rPr>
          <w:sz w:val="20"/>
          <w:szCs w:val="20"/>
        </w:rPr>
      </w:pPr>
      <w:r>
        <w:rPr>
          <w:spacing w:val="2"/>
          <w:sz w:val="20"/>
          <w:szCs w:val="20"/>
        </w:rPr>
        <w:t>(3)指导、辅导、培训和监督；</w:t>
      </w:r>
    </w:p>
    <w:p w14:paraId="2F04BBD9">
      <w:pPr>
        <w:pStyle w:val="2"/>
        <w:spacing w:before="60" w:line="219" w:lineRule="auto"/>
        <w:ind w:left="399"/>
        <w:rPr>
          <w:sz w:val="20"/>
          <w:szCs w:val="20"/>
        </w:rPr>
      </w:pPr>
      <w:r>
        <w:rPr>
          <w:spacing w:val="1"/>
          <w:sz w:val="20"/>
          <w:szCs w:val="20"/>
        </w:rPr>
        <w:t>(4)通过项目审计，监督项目对项目管理标准、政策、程序和模板的合规性；</w:t>
      </w:r>
    </w:p>
    <w:p w14:paraId="768BBA26">
      <w:pPr>
        <w:pStyle w:val="2"/>
        <w:spacing w:before="73" w:line="219" w:lineRule="auto"/>
        <w:ind w:left="399"/>
        <w:rPr>
          <w:sz w:val="20"/>
          <w:szCs w:val="20"/>
        </w:rPr>
      </w:pPr>
      <w:r>
        <w:rPr>
          <w:spacing w:val="5"/>
          <w:sz w:val="20"/>
          <w:szCs w:val="20"/>
        </w:rPr>
        <w:t>(5)制定和管理项目政策、程序、模板及其他共享的文件(组织过程资产);</w:t>
      </w:r>
    </w:p>
    <w:p w14:paraId="01A11514">
      <w:pPr>
        <w:pStyle w:val="2"/>
        <w:spacing w:before="74" w:line="219" w:lineRule="auto"/>
        <w:ind w:left="399"/>
        <w:rPr>
          <w:sz w:val="20"/>
          <w:szCs w:val="20"/>
        </w:rPr>
      </w:pPr>
      <w:r>
        <w:rPr>
          <w:spacing w:val="3"/>
          <w:sz w:val="20"/>
          <w:szCs w:val="20"/>
        </w:rPr>
        <w:t>(6)对跨项目的沟通进行协调等。</w:t>
      </w:r>
    </w:p>
    <w:p w14:paraId="7FBA3F07">
      <w:pPr>
        <w:spacing w:line="294" w:lineRule="auto"/>
        <w:rPr>
          <w:rFonts w:ascii="Arial"/>
          <w:sz w:val="21"/>
        </w:rPr>
      </w:pPr>
    </w:p>
    <w:p w14:paraId="08A08F3E">
      <w:pPr>
        <w:pStyle w:val="2"/>
        <w:spacing w:before="94" w:line="222" w:lineRule="auto"/>
        <w:ind w:left="4"/>
        <w:rPr>
          <w:rFonts w:ascii="黑体" w:hAnsi="黑体" w:eastAsia="黑体" w:cs="黑体"/>
          <w:sz w:val="29"/>
          <w:szCs w:val="29"/>
        </w:rPr>
      </w:pPr>
      <w:r>
        <w:rPr>
          <w:b/>
          <w:bCs/>
          <w:color w:val="006FDF"/>
          <w:spacing w:val="-10"/>
          <w:sz w:val="29"/>
          <w:szCs w:val="29"/>
        </w:rPr>
        <w:t>16.3</w:t>
      </w:r>
      <w:r>
        <w:rPr>
          <w:color w:val="006FDF"/>
          <w:spacing w:val="47"/>
          <w:sz w:val="29"/>
          <w:szCs w:val="29"/>
        </w:rPr>
        <w:t xml:space="preserve">   </w:t>
      </w:r>
      <w:r>
        <w:rPr>
          <w:b/>
          <w:bCs/>
          <w:color w:val="006FDF"/>
          <w:spacing w:val="-10"/>
          <w:sz w:val="29"/>
          <w:szCs w:val="29"/>
        </w:rPr>
        <w:t>PMBOK</w:t>
      </w:r>
      <w:r>
        <w:rPr>
          <w:rFonts w:ascii="黑体" w:hAnsi="黑体" w:eastAsia="黑体" w:cs="黑体"/>
          <w:b/>
          <w:bCs/>
          <w:color w:val="006FDF"/>
          <w:spacing w:val="-10"/>
          <w:sz w:val="29"/>
          <w:szCs w:val="29"/>
        </w:rPr>
        <w:t>项目管理知识体系</w:t>
      </w:r>
    </w:p>
    <w:p w14:paraId="0F29BC7C">
      <w:pPr>
        <w:pStyle w:val="2"/>
        <w:spacing w:before="229" w:line="285" w:lineRule="auto"/>
        <w:ind w:right="267" w:firstLine="399"/>
        <w:jc w:val="both"/>
        <w:rPr>
          <w:sz w:val="20"/>
          <w:szCs w:val="20"/>
        </w:rPr>
      </w:pPr>
      <w:r>
        <w:rPr>
          <w:rFonts w:ascii="Times New Roman" w:hAnsi="Times New Roman" w:eastAsia="Times New Roman" w:cs="Times New Roman"/>
          <w:sz w:val="20"/>
          <w:szCs w:val="20"/>
        </w:rPr>
        <w:t>PMBOK</w:t>
      </w:r>
      <w:r>
        <w:rPr>
          <w:rFonts w:ascii="Times New Roman" w:hAnsi="Times New Roman" w:eastAsia="Times New Roman" w:cs="Times New Roman"/>
          <w:spacing w:val="-9"/>
          <w:sz w:val="20"/>
          <w:szCs w:val="20"/>
        </w:rPr>
        <w:t xml:space="preserve"> </w:t>
      </w:r>
      <w:r>
        <w:rPr>
          <w:spacing w:val="5"/>
          <w:sz w:val="20"/>
          <w:szCs w:val="20"/>
        </w:rPr>
        <w:t>项目管理知识体系</w:t>
      </w:r>
      <w:r>
        <w:rPr>
          <w:spacing w:val="-5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Project</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z w:val="20"/>
          <w:szCs w:val="20"/>
        </w:rPr>
        <w:t>Body</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Knowledge</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PMBOK</w:t>
      </w:r>
      <w:r>
        <w:rPr>
          <w:rFonts w:ascii="Times New Roman" w:hAnsi="Times New Roman" w:eastAsia="Times New Roman" w:cs="Times New Roman"/>
          <w:spacing w:val="5"/>
          <w:sz w:val="20"/>
          <w:szCs w:val="20"/>
        </w:rPr>
        <w:t xml:space="preserve">) </w:t>
      </w:r>
      <w:r>
        <w:rPr>
          <w:spacing w:val="5"/>
          <w:sz w:val="20"/>
          <w:szCs w:val="20"/>
        </w:rPr>
        <w:t>是由美国</w:t>
      </w:r>
      <w:r>
        <w:rPr>
          <w:sz w:val="20"/>
          <w:szCs w:val="20"/>
        </w:rPr>
        <w:t xml:space="preserve"> </w:t>
      </w:r>
      <w:r>
        <w:rPr>
          <w:spacing w:val="-1"/>
          <w:sz w:val="20"/>
          <w:szCs w:val="20"/>
        </w:rPr>
        <w:t>项目管理协会(Project Management Institute</w:t>
      </w:r>
      <w:r>
        <w:rPr>
          <w:spacing w:val="-2"/>
          <w:sz w:val="20"/>
          <w:szCs w:val="20"/>
        </w:rPr>
        <w:t>,PMI)开发的一套描述项目管理专业范围的知识体</w:t>
      </w:r>
      <w:r>
        <w:rPr>
          <w:sz w:val="20"/>
          <w:szCs w:val="20"/>
        </w:rPr>
        <w:t xml:space="preserve"> </w:t>
      </w:r>
      <w:r>
        <w:rPr>
          <w:spacing w:val="3"/>
          <w:sz w:val="20"/>
          <w:szCs w:val="20"/>
        </w:rPr>
        <w:t>系，包含了对项目管理所需的知识、技能和工具的描述，是当前较为普遍的项目管</w:t>
      </w:r>
      <w:r>
        <w:rPr>
          <w:spacing w:val="2"/>
          <w:sz w:val="20"/>
          <w:szCs w:val="20"/>
        </w:rPr>
        <w:t>理方法。本</w:t>
      </w:r>
      <w:r>
        <w:rPr>
          <w:sz w:val="20"/>
          <w:szCs w:val="20"/>
        </w:rPr>
        <w:t xml:space="preserve"> 节以</w:t>
      </w:r>
      <w:r>
        <w:rPr>
          <w:rFonts w:ascii="Times New Roman" w:hAnsi="Times New Roman" w:eastAsia="Times New Roman" w:cs="Times New Roman"/>
          <w:sz w:val="20"/>
          <w:szCs w:val="20"/>
        </w:rPr>
        <w:t xml:space="preserve">PMBOK </w:t>
      </w:r>
      <w:r>
        <w:rPr>
          <w:sz w:val="20"/>
          <w:szCs w:val="20"/>
        </w:rPr>
        <w:t>为核心，介绍项目管理基本过程和管理知识领域，供监理工程师了解。</w:t>
      </w:r>
    </w:p>
    <w:p w14:paraId="66AE8D8C">
      <w:pPr>
        <w:spacing w:line="285" w:lineRule="auto"/>
        <w:rPr>
          <w:sz w:val="20"/>
          <w:szCs w:val="20"/>
        </w:rPr>
        <w:sectPr>
          <w:pgSz w:w="10290" w:h="13230"/>
          <w:pgMar w:top="320" w:right="581" w:bottom="400" w:left="1109" w:header="0" w:footer="0" w:gutter="0"/>
          <w:cols w:space="720" w:num="1"/>
        </w:sectPr>
      </w:pPr>
    </w:p>
    <w:p w14:paraId="0CA1D1E7">
      <w:pPr>
        <w:pStyle w:val="2"/>
        <w:spacing w:before="37" w:line="219" w:lineRule="auto"/>
        <w:rPr>
          <w:sz w:val="18"/>
          <w:szCs w:val="18"/>
        </w:rPr>
      </w:pPr>
      <w:r>
        <w:rPr>
          <w:rFonts w:ascii="Times New Roman" w:hAnsi="Times New Roman" w:eastAsia="Times New Roman" w:cs="Times New Roman"/>
          <w:spacing w:val="10"/>
          <w:position w:val="1"/>
          <w:sz w:val="18"/>
          <w:szCs w:val="18"/>
        </w:rPr>
        <w:t>374</w:t>
      </w:r>
      <w:r>
        <w:rPr>
          <w:rFonts w:ascii="Times New Roman" w:hAnsi="Times New Roman" w:eastAsia="Times New Roman" w:cs="Times New Roman"/>
          <w:spacing w:val="2"/>
          <w:position w:val="1"/>
          <w:sz w:val="18"/>
          <w:szCs w:val="18"/>
        </w:rPr>
        <w:t xml:space="preserve">               </w:t>
      </w:r>
      <w:r>
        <w:rPr>
          <w:spacing w:val="10"/>
          <w:sz w:val="18"/>
          <w:szCs w:val="18"/>
        </w:rPr>
        <w:t>信息系统监理师教程(第2版)</w:t>
      </w:r>
    </w:p>
    <w:p w14:paraId="2396AF5A">
      <w:pPr>
        <w:spacing w:line="293" w:lineRule="auto"/>
        <w:rPr>
          <w:rFonts w:ascii="Arial"/>
          <w:sz w:val="21"/>
        </w:rPr>
      </w:pPr>
    </w:p>
    <w:p w14:paraId="7AC90816">
      <w:pPr>
        <w:pStyle w:val="2"/>
        <w:spacing w:before="81" w:line="220" w:lineRule="auto"/>
        <w:ind w:left="352"/>
        <w:rPr>
          <w:sz w:val="25"/>
          <w:szCs w:val="25"/>
        </w:rPr>
      </w:pPr>
      <w:r>
        <w:rPr>
          <w:b/>
          <w:bCs/>
          <w:color w:val="006DB7"/>
          <w:spacing w:val="-16"/>
          <w:sz w:val="25"/>
          <w:szCs w:val="25"/>
        </w:rPr>
        <w:t>16.3.1</w:t>
      </w:r>
      <w:r>
        <w:rPr>
          <w:color w:val="006DB7"/>
          <w:spacing w:val="-16"/>
          <w:sz w:val="25"/>
          <w:szCs w:val="25"/>
        </w:rPr>
        <w:t xml:space="preserve">  </w:t>
      </w:r>
      <w:r>
        <w:rPr>
          <w:b/>
          <w:bCs/>
          <w:color w:val="006DB7"/>
          <w:spacing w:val="-16"/>
          <w:sz w:val="25"/>
          <w:szCs w:val="25"/>
        </w:rPr>
        <w:t>项目生命周期和项目阶段</w:t>
      </w:r>
    </w:p>
    <w:p w14:paraId="74A22358">
      <w:pPr>
        <w:pStyle w:val="2"/>
        <w:spacing w:before="288" w:line="222" w:lineRule="auto"/>
        <w:ind w:left="762"/>
        <w:rPr>
          <w:rFonts w:ascii="黑体" w:hAnsi="黑体" w:eastAsia="黑体" w:cs="黑体"/>
          <w:sz w:val="18"/>
          <w:szCs w:val="18"/>
        </w:rPr>
      </w:pPr>
      <w:r>
        <w:rPr>
          <w:b/>
          <w:bCs/>
          <w:color w:val="006BB3"/>
          <w:spacing w:val="15"/>
          <w:sz w:val="18"/>
          <w:szCs w:val="18"/>
        </w:rPr>
        <w:t>1.</w:t>
      </w:r>
      <w:r>
        <w:rPr>
          <w:rFonts w:ascii="黑体" w:hAnsi="黑体" w:eastAsia="黑体" w:cs="黑体"/>
          <w:b/>
          <w:bCs/>
          <w:color w:val="006BB3"/>
          <w:spacing w:val="15"/>
          <w:sz w:val="18"/>
          <w:szCs w:val="18"/>
        </w:rPr>
        <w:t>项目生命周期和项目阶段</w:t>
      </w:r>
    </w:p>
    <w:p w14:paraId="06341504">
      <w:pPr>
        <w:pStyle w:val="2"/>
        <w:spacing w:before="145" w:line="322" w:lineRule="auto"/>
        <w:ind w:left="349" w:firstLine="410"/>
        <w:rPr>
          <w:sz w:val="18"/>
          <w:szCs w:val="18"/>
        </w:rPr>
      </w:pPr>
      <w:r>
        <w:rPr>
          <w:spacing w:val="23"/>
          <w:sz w:val="18"/>
          <w:szCs w:val="18"/>
        </w:rPr>
        <w:t>项目生命周期指项目从启动到完成所经历的</w:t>
      </w:r>
      <w:r>
        <w:rPr>
          <w:spacing w:val="-54"/>
          <w:sz w:val="18"/>
          <w:szCs w:val="18"/>
        </w:rPr>
        <w:t xml:space="preserve"> </w:t>
      </w:r>
      <w:r>
        <w:rPr>
          <w:spacing w:val="23"/>
          <w:sz w:val="18"/>
          <w:szCs w:val="18"/>
        </w:rPr>
        <w:t>一</w:t>
      </w:r>
      <w:r>
        <w:rPr>
          <w:spacing w:val="-53"/>
          <w:sz w:val="18"/>
          <w:szCs w:val="18"/>
        </w:rPr>
        <w:t xml:space="preserve"> </w:t>
      </w:r>
      <w:r>
        <w:rPr>
          <w:spacing w:val="23"/>
          <w:sz w:val="18"/>
          <w:szCs w:val="18"/>
        </w:rPr>
        <w:t>系列阶段，这些阶</w:t>
      </w:r>
      <w:r>
        <w:rPr>
          <w:spacing w:val="22"/>
          <w:sz w:val="18"/>
          <w:szCs w:val="18"/>
        </w:rPr>
        <w:t>段之间的关系可以顺序、</w:t>
      </w:r>
      <w:r>
        <w:rPr>
          <w:sz w:val="18"/>
          <w:szCs w:val="18"/>
        </w:rPr>
        <w:t xml:space="preserve"> </w:t>
      </w:r>
      <w:r>
        <w:rPr>
          <w:spacing w:val="25"/>
          <w:sz w:val="18"/>
          <w:szCs w:val="18"/>
        </w:rPr>
        <w:t>迭代或交叠进行。它为项目管理提供了一个基本框架。</w:t>
      </w:r>
      <w:r>
        <w:rPr>
          <w:spacing w:val="24"/>
          <w:sz w:val="18"/>
          <w:szCs w:val="18"/>
        </w:rPr>
        <w:t>项目生命周期适用于任何类型的项目。</w:t>
      </w:r>
      <w:r>
        <w:rPr>
          <w:sz w:val="18"/>
          <w:szCs w:val="18"/>
        </w:rPr>
        <w:t xml:space="preserve"> </w:t>
      </w:r>
      <w:r>
        <w:rPr>
          <w:spacing w:val="23"/>
          <w:sz w:val="18"/>
          <w:szCs w:val="18"/>
        </w:rPr>
        <w:t>项目的规模和复杂性各不相同，但不论其大小繁简，</w:t>
      </w:r>
      <w:r>
        <w:rPr>
          <w:spacing w:val="22"/>
          <w:sz w:val="18"/>
          <w:szCs w:val="18"/>
        </w:rPr>
        <w:t>所有项目都呈现出包含四个项目阶段的通</w:t>
      </w:r>
      <w:r>
        <w:rPr>
          <w:sz w:val="18"/>
          <w:szCs w:val="18"/>
        </w:rPr>
        <w:t xml:space="preserve">  </w:t>
      </w:r>
      <w:r>
        <w:rPr>
          <w:spacing w:val="18"/>
          <w:sz w:val="18"/>
          <w:szCs w:val="18"/>
        </w:rPr>
        <w:t>用的生命周期结构，即启动项目、组织与准备、执行项目工作、结束项目。</w:t>
      </w:r>
    </w:p>
    <w:p w14:paraId="107A29E9">
      <w:pPr>
        <w:pStyle w:val="2"/>
        <w:spacing w:before="16" w:line="219" w:lineRule="auto"/>
        <w:ind w:left="760"/>
        <w:rPr>
          <w:sz w:val="18"/>
          <w:szCs w:val="18"/>
        </w:rPr>
      </w:pPr>
      <w:r>
        <w:rPr>
          <w:spacing w:val="15"/>
          <w:sz w:val="18"/>
          <w:szCs w:val="18"/>
        </w:rPr>
        <w:t>通用的生命周期结构具有以下特征：</w:t>
      </w:r>
    </w:p>
    <w:p w14:paraId="06D9A67D">
      <w:pPr>
        <w:pStyle w:val="2"/>
        <w:spacing w:before="94" w:line="316" w:lineRule="auto"/>
        <w:ind w:left="349" w:right="83" w:firstLine="410"/>
        <w:rPr>
          <w:sz w:val="18"/>
          <w:szCs w:val="18"/>
        </w:rPr>
      </w:pPr>
      <w:r>
        <w:rPr>
          <w:spacing w:val="24"/>
          <w:sz w:val="18"/>
          <w:szCs w:val="18"/>
        </w:rPr>
        <w:t>(1)成本与人力投入在开始时较低，在工作执行期间达到最高，并在项目快要结束时迅速</w:t>
      </w:r>
      <w:r>
        <w:rPr>
          <w:spacing w:val="5"/>
          <w:sz w:val="18"/>
          <w:szCs w:val="18"/>
        </w:rPr>
        <w:t xml:space="preserve"> </w:t>
      </w:r>
      <w:r>
        <w:rPr>
          <w:spacing w:val="17"/>
          <w:sz w:val="18"/>
          <w:szCs w:val="18"/>
        </w:rPr>
        <w:t>回落。这种典型的走势如图16-2所示。</w:t>
      </w:r>
    </w:p>
    <w:p w14:paraId="3A278DDB">
      <w:pPr>
        <w:pStyle w:val="2"/>
        <w:spacing w:before="58" w:line="3209" w:lineRule="exact"/>
        <w:ind w:firstLine="1680"/>
      </w:pPr>
      <w:r>
        <mc:AlternateContent>
          <mc:Choice Requires="wps">
            <w:drawing>
              <wp:anchor distT="0" distB="0" distL="0" distR="0" simplePos="0" relativeHeight="251771904" behindDoc="0" locked="0" layoutInCell="1" allowOverlap="1">
                <wp:simplePos x="0" y="0"/>
                <wp:positionH relativeFrom="column">
                  <wp:posOffset>848995</wp:posOffset>
                </wp:positionH>
                <wp:positionV relativeFrom="paragraph">
                  <wp:posOffset>821055</wp:posOffset>
                </wp:positionV>
                <wp:extent cx="1059815" cy="191135"/>
                <wp:effectExtent l="0" t="0" r="0" b="0"/>
                <wp:wrapNone/>
                <wp:docPr id="338" name="TextBox 338"/>
                <wp:cNvGraphicFramePr/>
                <a:graphic xmlns:a="http://schemas.openxmlformats.org/drawingml/2006/main">
                  <a:graphicData uri="http://schemas.microsoft.com/office/word/2010/wordprocessingShape">
                    <wps:wsp>
                      <wps:cNvSpPr txBox="1"/>
                      <wps:spPr>
                        <a:xfrm rot="16200000">
                          <a:off x="849423" y="821557"/>
                          <a:ext cx="1059814" cy="1911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B59C1AF">
                            <w:pPr>
                              <w:pStyle w:val="2"/>
                              <w:spacing w:before="54" w:line="219" w:lineRule="auto"/>
                              <w:ind w:left="20"/>
                              <w:rPr>
                                <w:sz w:val="19"/>
                                <w:szCs w:val="19"/>
                              </w:rPr>
                            </w:pPr>
                            <w:r>
                              <w:rPr>
                                <w:spacing w:val="-9"/>
                                <w:sz w:val="19"/>
                                <w:szCs w:val="19"/>
                              </w:rPr>
                              <w:t>成本与人力投入水平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8" o:spid="_x0000_s1026" o:spt="202" type="#_x0000_t202" style="position:absolute;left:0pt;margin-left:66.85pt;margin-top:64.65pt;height:15.05pt;width:83.45pt;rotation:-5898240f;z-index:251771904;mso-width-relative:page;mso-height-relative:page;" filled="f" stroked="f" coordsize="21600,21600" o:gfxdata="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HOKyR2QAAAAsBAAAP&#10;AAAAAAAAAAEAIAAAACIAAABkcnMvZG93bnJldi54bWxQSwECFAAUAAAACACHTuJATjNb5FACAACk&#10;BAAADgAAAAAAAAABACAAAAAoAQAAZHJzL2Uyb0RvYy54bWxQSwUGAAAAAAYABgBZAQAA6gUAAAAA&#10;">
                <v:fill on="f" focussize="0,0"/>
                <v:stroke on="f" weight="0pt" miterlimit="0" joinstyle="miter"/>
                <v:imagedata o:title=""/>
                <o:lock v:ext="edit" aspectratio="f"/>
                <v:textbox inset="0mm,0mm,0mm,0mm">
                  <w:txbxContent>
                    <w:p w14:paraId="2B59C1AF">
                      <w:pPr>
                        <w:pStyle w:val="2"/>
                        <w:spacing w:before="54" w:line="219" w:lineRule="auto"/>
                        <w:ind w:left="20"/>
                        <w:rPr>
                          <w:sz w:val="19"/>
                          <w:szCs w:val="19"/>
                        </w:rPr>
                      </w:pPr>
                      <w:r>
                        <w:rPr>
                          <w:spacing w:val="-9"/>
                          <w:sz w:val="19"/>
                          <w:szCs w:val="19"/>
                        </w:rPr>
                        <w:t>成本与人力投入水平</w:t>
                      </w:r>
                    </w:p>
                  </w:txbxContent>
                </v:textbox>
              </v:shape>
            </w:pict>
          </mc:Fallback>
        </mc:AlternateContent>
      </w:r>
      <w:r>
        <w:rPr>
          <w:position w:val="-64"/>
        </w:rPr>
        <w:pict>
          <v:group id="_x0000_s1508" o:spid="_x0000_s1508" o:spt="203" style="height:160.5pt;width:287.5pt;" coordsize="5750,3210">
            <o:lock v:ext="edit"/>
            <v:shape id="_x0000_s1509" o:spid="_x0000_s1509" o:spt="75" type="#_x0000_t75" style="position:absolute;left:0;top:0;height:3201;width:5750;" filled="f" stroked="f" coordsize="21600,21600">
              <v:path/>
              <v:fill on="f" focussize="0,0"/>
              <v:stroke on="f"/>
              <v:imagedata r:id="rId237" o:title=""/>
              <o:lock v:ext="edit" aspectratio="t"/>
            </v:shape>
            <v:shape id="_x0000_s1510" o:spid="_x0000_s1510" o:spt="202" type="#_x0000_t202" style="position:absolute;left:-20;top:207;height:3022;width:4002;" filled="f" stroked="f" coordsize="21600,21600">
              <v:path/>
              <v:fill on="f" focussize="0,0"/>
              <v:stroke on="f"/>
              <v:imagedata o:title=""/>
              <o:lock v:ext="edit" aspectratio="f"/>
              <v:textbox inset="0mm,0mm,0mm,0mm">
                <w:txbxContent>
                  <w:p w14:paraId="4EC4CB79">
                    <w:pPr>
                      <w:spacing w:before="20" w:line="219" w:lineRule="auto"/>
                      <w:ind w:right="15"/>
                      <w:jc w:val="right"/>
                      <w:rPr>
                        <w:rFonts w:ascii="宋体" w:hAnsi="宋体" w:eastAsia="宋体" w:cs="宋体"/>
                        <w:sz w:val="18"/>
                        <w:szCs w:val="18"/>
                      </w:rPr>
                    </w:pPr>
                    <w:r>
                      <w:rPr>
                        <w:rFonts w:ascii="宋体" w:hAnsi="宋体" w:eastAsia="宋体" w:cs="宋体"/>
                        <w:spacing w:val="-4"/>
                        <w:sz w:val="18"/>
                        <w:szCs w:val="18"/>
                      </w:rPr>
                      <w:t>执行项目工作</w:t>
                    </w:r>
                  </w:p>
                  <w:p w14:paraId="63040675">
                    <w:pPr>
                      <w:spacing w:line="269" w:lineRule="auto"/>
                      <w:rPr>
                        <w:rFonts w:ascii="Arial"/>
                        <w:sz w:val="21"/>
                      </w:rPr>
                    </w:pPr>
                  </w:p>
                  <w:p w14:paraId="5B827946">
                    <w:pPr>
                      <w:spacing w:line="269" w:lineRule="auto"/>
                      <w:rPr>
                        <w:rFonts w:ascii="Arial"/>
                        <w:sz w:val="21"/>
                      </w:rPr>
                    </w:pPr>
                  </w:p>
                  <w:p w14:paraId="438EC85D">
                    <w:pPr>
                      <w:spacing w:line="269" w:lineRule="auto"/>
                      <w:rPr>
                        <w:rFonts w:ascii="Arial"/>
                        <w:sz w:val="21"/>
                      </w:rPr>
                    </w:pPr>
                  </w:p>
                  <w:p w14:paraId="45945A24">
                    <w:pPr>
                      <w:spacing w:line="269" w:lineRule="auto"/>
                      <w:rPr>
                        <w:rFonts w:ascii="Arial"/>
                        <w:sz w:val="21"/>
                      </w:rPr>
                    </w:pPr>
                  </w:p>
                  <w:p w14:paraId="783FA52C">
                    <w:pPr>
                      <w:spacing w:line="269" w:lineRule="auto"/>
                      <w:rPr>
                        <w:rFonts w:ascii="Arial"/>
                        <w:sz w:val="21"/>
                      </w:rPr>
                    </w:pPr>
                  </w:p>
                  <w:p w14:paraId="2619382A">
                    <w:pPr>
                      <w:spacing w:line="269" w:lineRule="auto"/>
                      <w:rPr>
                        <w:rFonts w:ascii="Arial"/>
                        <w:sz w:val="21"/>
                      </w:rPr>
                    </w:pPr>
                  </w:p>
                  <w:p w14:paraId="59FA7A31">
                    <w:pPr>
                      <w:spacing w:line="270" w:lineRule="auto"/>
                      <w:rPr>
                        <w:rFonts w:ascii="Arial"/>
                        <w:sz w:val="21"/>
                      </w:rPr>
                    </w:pPr>
                  </w:p>
                  <w:p w14:paraId="694AD337">
                    <w:pPr>
                      <w:spacing w:line="270" w:lineRule="auto"/>
                      <w:rPr>
                        <w:rFonts w:ascii="Arial"/>
                        <w:sz w:val="21"/>
                      </w:rPr>
                    </w:pPr>
                  </w:p>
                  <w:p w14:paraId="4AAC828F">
                    <w:pPr>
                      <w:spacing w:before="59" w:line="190" w:lineRule="auto"/>
                      <w:ind w:left="88" w:right="1268" w:hanging="69"/>
                      <w:rPr>
                        <w:rFonts w:ascii="宋体" w:hAnsi="宋体" w:eastAsia="宋体" w:cs="宋体"/>
                        <w:sz w:val="18"/>
                        <w:szCs w:val="18"/>
                      </w:rPr>
                    </w:pPr>
                    <w:r>
                      <w:rPr>
                        <w:rFonts w:ascii="宋体" w:hAnsi="宋体" w:eastAsia="宋体" w:cs="宋体"/>
                        <w:spacing w:val="4"/>
                        <w:sz w:val="18"/>
                        <w:szCs w:val="18"/>
                      </w:rPr>
                      <w:t>项目管理</w:t>
                    </w:r>
                    <w:r>
                      <w:rPr>
                        <w:rFonts w:ascii="宋体" w:hAnsi="宋体" w:eastAsia="宋体" w:cs="宋体"/>
                        <w:spacing w:val="46"/>
                        <w:sz w:val="18"/>
                        <w:szCs w:val="18"/>
                      </w:rPr>
                      <w:t xml:space="preserve"> </w:t>
                    </w:r>
                    <w:r>
                      <w:rPr>
                        <w:rFonts w:ascii="宋体" w:hAnsi="宋体" w:eastAsia="宋体" w:cs="宋体"/>
                        <w:spacing w:val="4"/>
                        <w:sz w:val="18"/>
                        <w:szCs w:val="18"/>
                      </w:rPr>
                      <w:t>项目章程项目管理计划</w:t>
                    </w:r>
                    <w:r>
                      <w:rPr>
                        <w:rFonts w:ascii="宋体" w:hAnsi="宋体" w:eastAsia="宋体" w:cs="宋体"/>
                        <w:sz w:val="18"/>
                        <w:szCs w:val="18"/>
                      </w:rPr>
                      <w:t xml:space="preserve"> </w:t>
                    </w:r>
                    <w:r>
                      <w:rPr>
                        <w:rFonts w:ascii="宋体" w:hAnsi="宋体" w:eastAsia="宋体" w:cs="宋体"/>
                        <w:spacing w:val="-5"/>
                        <w:sz w:val="18"/>
                        <w:szCs w:val="18"/>
                      </w:rPr>
                      <w:t>的输出</w:t>
                    </w:r>
                  </w:p>
                  <w:p w14:paraId="60BBA823">
                    <w:pPr>
                      <w:spacing w:line="212" w:lineRule="auto"/>
                      <w:ind w:left="2939"/>
                      <w:rPr>
                        <w:rFonts w:ascii="宋体" w:hAnsi="宋体" w:eastAsia="宋体" w:cs="宋体"/>
                        <w:sz w:val="18"/>
                        <w:szCs w:val="18"/>
                      </w:rPr>
                    </w:pPr>
                    <w:r>
                      <w:rPr>
                        <w:rFonts w:ascii="宋体" w:hAnsi="宋体" w:eastAsia="宋体" w:cs="宋体"/>
                        <w:spacing w:val="4"/>
                        <w:sz w:val="18"/>
                        <w:szCs w:val="18"/>
                      </w:rPr>
                      <w:t>时间</w:t>
                    </w:r>
                    <w:r>
                      <w:rPr>
                        <w:rFonts w:ascii="宋体" w:hAnsi="宋体" w:eastAsia="宋体" w:cs="宋体"/>
                        <w:color w:val="005CAE"/>
                        <w:spacing w:val="4"/>
                        <w:sz w:val="18"/>
                        <w:szCs w:val="18"/>
                      </w:rPr>
                      <w:t>—→</w:t>
                    </w:r>
                  </w:p>
                </w:txbxContent>
              </v:textbox>
            </v:shape>
            <v:shape id="_x0000_s1511" o:spid="_x0000_s1511" o:spt="202" type="#_x0000_t202" style="position:absolute;left:789;top:157;height:430;width:1378;" filled="f" stroked="f" coordsize="21600,21600">
              <v:path/>
              <v:fill on="f" focussize="0,0"/>
              <v:stroke on="f"/>
              <v:imagedata o:title=""/>
              <o:lock v:ext="edit" aspectratio="f"/>
              <v:textbox inset="0mm,0mm,0mm,0mm">
                <w:txbxContent>
                  <w:p w14:paraId="5A453146">
                    <w:pPr>
                      <w:spacing w:before="20" w:line="197" w:lineRule="auto"/>
                      <w:ind w:left="20" w:right="20"/>
                      <w:rPr>
                        <w:rFonts w:ascii="宋体" w:hAnsi="宋体" w:eastAsia="宋体" w:cs="宋体"/>
                        <w:sz w:val="18"/>
                        <w:szCs w:val="18"/>
                      </w:rPr>
                    </w:pPr>
                    <w:r>
                      <w:rPr>
                        <w:rFonts w:ascii="宋体" w:hAnsi="宋体" w:eastAsia="宋体" w:cs="宋体"/>
                        <w:spacing w:val="-7"/>
                        <w:position w:val="3"/>
                        <w:sz w:val="18"/>
                        <w:szCs w:val="18"/>
                      </w:rPr>
                      <w:t>启动</w:t>
                    </w:r>
                    <w:r>
                      <w:rPr>
                        <w:rFonts w:ascii="宋体" w:hAnsi="宋体" w:eastAsia="宋体" w:cs="宋体"/>
                        <w:spacing w:val="36"/>
                        <w:position w:val="3"/>
                        <w:sz w:val="18"/>
                        <w:szCs w:val="18"/>
                      </w:rPr>
                      <w:t xml:space="preserve"> </w:t>
                    </w:r>
                    <w:r>
                      <w:rPr>
                        <w:rFonts w:ascii="宋体" w:hAnsi="宋体" w:eastAsia="宋体" w:cs="宋体"/>
                        <w:spacing w:val="-7"/>
                        <w:position w:val="-1"/>
                        <w:sz w:val="18"/>
                        <w:szCs w:val="18"/>
                      </w:rPr>
                      <w:t>组织与准备</w:t>
                    </w:r>
                    <w:r>
                      <w:rPr>
                        <w:rFonts w:ascii="宋体" w:hAnsi="宋体" w:eastAsia="宋体" w:cs="宋体"/>
                        <w:position w:val="-1"/>
                        <w:sz w:val="18"/>
                        <w:szCs w:val="18"/>
                      </w:rPr>
                      <w:t xml:space="preserve"> </w:t>
                    </w:r>
                    <w:r>
                      <w:rPr>
                        <w:rFonts w:ascii="宋体" w:hAnsi="宋体" w:eastAsia="宋体" w:cs="宋体"/>
                        <w:spacing w:val="-3"/>
                        <w:sz w:val="18"/>
                        <w:szCs w:val="18"/>
                      </w:rPr>
                      <w:t>项目</w:t>
                    </w:r>
                  </w:p>
                </w:txbxContent>
              </v:textbox>
            </v:shape>
            <v:shape id="_x0000_s1512" o:spid="_x0000_s1512" o:spt="202" type="#_x0000_t202" style="position:absolute;left:4019;top:2637;height:430;width:760;" filled="f" stroked="f" coordsize="21600,21600">
              <v:path/>
              <v:fill on="f" focussize="0,0"/>
              <v:stroke on="f"/>
              <v:imagedata o:title=""/>
              <o:lock v:ext="edit" aspectratio="f"/>
              <v:textbox inset="0mm,0mm,0mm,0mm">
                <w:txbxContent>
                  <w:p w14:paraId="314A0896">
                    <w:pPr>
                      <w:spacing w:before="20" w:line="217" w:lineRule="auto"/>
                      <w:ind w:left="29" w:right="20" w:hanging="9"/>
                      <w:rPr>
                        <w:rFonts w:ascii="宋体" w:hAnsi="宋体" w:eastAsia="宋体" w:cs="宋体"/>
                        <w:sz w:val="18"/>
                        <w:szCs w:val="18"/>
                      </w:rPr>
                    </w:pPr>
                    <w:r>
                      <w:rPr>
                        <w:rFonts w:ascii="宋体" w:hAnsi="宋体" w:eastAsia="宋体" w:cs="宋体"/>
                        <w:spacing w:val="-2"/>
                        <w:sz w:val="18"/>
                        <w:szCs w:val="18"/>
                      </w:rPr>
                      <w:t>验收的可</w:t>
                    </w:r>
                    <w:r>
                      <w:rPr>
                        <w:rFonts w:ascii="宋体" w:hAnsi="宋体" w:eastAsia="宋体" w:cs="宋体"/>
                        <w:sz w:val="18"/>
                        <w:szCs w:val="18"/>
                      </w:rPr>
                      <w:t xml:space="preserve"> </w:t>
                    </w:r>
                    <w:r>
                      <w:rPr>
                        <w:rFonts w:ascii="宋体" w:hAnsi="宋体" w:eastAsia="宋体" w:cs="宋体"/>
                        <w:spacing w:val="-3"/>
                        <w:sz w:val="18"/>
                        <w:szCs w:val="18"/>
                      </w:rPr>
                      <w:t>交付成果</w:t>
                    </w:r>
                  </w:p>
                </w:txbxContent>
              </v:textbox>
            </v:shape>
            <v:shape id="_x0000_s1513" o:spid="_x0000_s1513" o:spt="202" type="#_x0000_t202" style="position:absolute;left:4959;top:2637;height:430;width:750;" filled="f" stroked="f" coordsize="21600,21600">
              <v:path/>
              <v:fill on="f" focussize="0,0"/>
              <v:stroke on="f"/>
              <v:imagedata o:title=""/>
              <o:lock v:ext="edit" aspectratio="f"/>
              <v:textbox inset="0mm,0mm,0mm,0mm">
                <w:txbxContent>
                  <w:p w14:paraId="13011ED4">
                    <w:pPr>
                      <w:spacing w:before="20" w:line="217" w:lineRule="auto"/>
                      <w:ind w:left="20" w:right="20" w:firstLine="80"/>
                      <w:rPr>
                        <w:rFonts w:ascii="宋体" w:hAnsi="宋体" w:eastAsia="宋体" w:cs="宋体"/>
                        <w:sz w:val="18"/>
                        <w:szCs w:val="18"/>
                      </w:rPr>
                    </w:pPr>
                    <w:r>
                      <w:rPr>
                        <w:rFonts w:ascii="宋体" w:hAnsi="宋体" w:eastAsia="宋体" w:cs="宋体"/>
                        <w:spacing w:val="-3"/>
                        <w:sz w:val="18"/>
                        <w:szCs w:val="18"/>
                      </w:rPr>
                      <w:t>存档的</w:t>
                    </w:r>
                    <w:r>
                      <w:rPr>
                        <w:rFonts w:ascii="宋体" w:hAnsi="宋体" w:eastAsia="宋体" w:cs="宋体"/>
                        <w:sz w:val="18"/>
                        <w:szCs w:val="18"/>
                      </w:rPr>
                      <w:t xml:space="preserve">  </w:t>
                    </w:r>
                    <w:r>
                      <w:rPr>
                        <w:rFonts w:ascii="宋体" w:hAnsi="宋体" w:eastAsia="宋体" w:cs="宋体"/>
                        <w:spacing w:val="-3"/>
                        <w:sz w:val="18"/>
                        <w:szCs w:val="18"/>
                      </w:rPr>
                      <w:t>项目文件</w:t>
                    </w:r>
                  </w:p>
                </w:txbxContent>
              </v:textbox>
            </v:shape>
            <v:shape id="_x0000_s1514" o:spid="_x0000_s1514" o:spt="202" type="#_x0000_t202" style="position:absolute;left:4780;top:187;height:440;width:415;" filled="f" stroked="f" coordsize="21600,21600">
              <v:path/>
              <v:fill on="f" focussize="0,0"/>
              <v:stroke on="f"/>
              <v:imagedata o:title=""/>
              <o:lock v:ext="edit" aspectratio="f"/>
              <v:textbox inset="0mm,0mm,0mm,0mm">
                <w:txbxContent>
                  <w:p w14:paraId="347D3D6A">
                    <w:pPr>
                      <w:spacing w:before="20" w:line="223" w:lineRule="auto"/>
                      <w:ind w:left="20" w:right="20"/>
                      <w:rPr>
                        <w:rFonts w:ascii="宋体" w:hAnsi="宋体" w:eastAsia="宋体" w:cs="宋体"/>
                        <w:sz w:val="18"/>
                        <w:szCs w:val="18"/>
                      </w:rPr>
                    </w:pPr>
                    <w:r>
                      <w:rPr>
                        <w:rFonts w:ascii="宋体" w:hAnsi="宋体" w:eastAsia="宋体" w:cs="宋体"/>
                        <w:spacing w:val="-6"/>
                        <w:sz w:val="18"/>
                        <w:szCs w:val="18"/>
                      </w:rPr>
                      <w:t>结束</w:t>
                    </w:r>
                    <w:r>
                      <w:rPr>
                        <w:rFonts w:ascii="宋体" w:hAnsi="宋体" w:eastAsia="宋体" w:cs="宋体"/>
                        <w:sz w:val="18"/>
                        <w:szCs w:val="18"/>
                      </w:rPr>
                      <w:t xml:space="preserve"> </w:t>
                    </w:r>
                    <w:r>
                      <w:rPr>
                        <w:rFonts w:ascii="宋体" w:hAnsi="宋体" w:eastAsia="宋体" w:cs="宋体"/>
                        <w:spacing w:val="7"/>
                        <w:sz w:val="18"/>
                        <w:szCs w:val="18"/>
                      </w:rPr>
                      <w:t>项目</w:t>
                    </w:r>
                  </w:p>
                </w:txbxContent>
              </v:textbox>
            </v:shape>
            <w10:wrap type="none"/>
            <w10:anchorlock/>
          </v:group>
        </w:pict>
      </w:r>
    </w:p>
    <w:p w14:paraId="46B5BB4A">
      <w:pPr>
        <w:pStyle w:val="2"/>
        <w:spacing w:before="128" w:line="219" w:lineRule="auto"/>
        <w:ind w:left="2089"/>
        <w:rPr>
          <w:sz w:val="18"/>
          <w:szCs w:val="18"/>
        </w:rPr>
      </w:pPr>
      <w:r>
        <w:rPr>
          <w:sz w:val="18"/>
          <w:szCs w:val="18"/>
        </w:rPr>
        <w:t>图16-2</w:t>
      </w:r>
      <w:r>
        <w:rPr>
          <w:spacing w:val="72"/>
          <w:sz w:val="18"/>
          <w:szCs w:val="18"/>
        </w:rPr>
        <w:t xml:space="preserve"> </w:t>
      </w:r>
      <w:r>
        <w:rPr>
          <w:sz w:val="18"/>
          <w:szCs w:val="18"/>
        </w:rPr>
        <w:t>通用项目生命周期结构中典型的成本与人力投入水平</w:t>
      </w:r>
    </w:p>
    <w:p w14:paraId="441FB55A">
      <w:pPr>
        <w:pStyle w:val="2"/>
        <w:spacing w:before="226" w:line="310" w:lineRule="auto"/>
        <w:ind w:left="349" w:right="30" w:firstLine="410"/>
        <w:jc w:val="both"/>
        <w:rPr>
          <w:sz w:val="18"/>
          <w:szCs w:val="18"/>
        </w:rPr>
      </w:pPr>
      <w:r>
        <w:rPr>
          <w:spacing w:val="24"/>
          <w:sz w:val="18"/>
          <w:szCs w:val="18"/>
        </w:rPr>
        <w:t>(2)风险与不确定性在项目开始时最大，并在项目的整个生命周期中随着决策的制定与可</w:t>
      </w:r>
      <w:r>
        <w:rPr>
          <w:spacing w:val="6"/>
          <w:sz w:val="18"/>
          <w:szCs w:val="18"/>
        </w:rPr>
        <w:t xml:space="preserve"> </w:t>
      </w:r>
      <w:r>
        <w:rPr>
          <w:spacing w:val="19"/>
          <w:sz w:val="18"/>
          <w:szCs w:val="18"/>
        </w:rPr>
        <w:t>交付成果的验收而逐步降低，做出变更和纠正错误的成本随着项目越来越接近完成而显著增高，</w:t>
      </w:r>
      <w:r>
        <w:rPr>
          <w:spacing w:val="1"/>
          <w:sz w:val="18"/>
          <w:szCs w:val="18"/>
        </w:rPr>
        <w:t xml:space="preserve"> </w:t>
      </w:r>
      <w:r>
        <w:rPr>
          <w:spacing w:val="16"/>
          <w:sz w:val="18"/>
          <w:szCs w:val="18"/>
        </w:rPr>
        <w:t>如图16-3所示。</w:t>
      </w:r>
    </w:p>
    <w:p w14:paraId="0B00F8A6">
      <w:pPr>
        <w:pStyle w:val="2"/>
        <w:spacing w:before="107" w:line="2978" w:lineRule="exact"/>
        <w:ind w:firstLine="2130"/>
      </w:pPr>
      <w:r>
        <mc:AlternateContent>
          <mc:Choice Requires="wps">
            <w:drawing>
              <wp:anchor distT="0" distB="0" distL="0" distR="0" simplePos="0" relativeHeight="251770880" behindDoc="0" locked="0" layoutInCell="1" allowOverlap="1">
                <wp:simplePos x="0" y="0"/>
                <wp:positionH relativeFrom="column">
                  <wp:posOffset>1283970</wp:posOffset>
                </wp:positionH>
                <wp:positionV relativeFrom="paragraph">
                  <wp:posOffset>821690</wp:posOffset>
                </wp:positionV>
                <wp:extent cx="318770" cy="193040"/>
                <wp:effectExtent l="0" t="0" r="0" b="0"/>
                <wp:wrapNone/>
                <wp:docPr id="340" name="TextBox 340"/>
                <wp:cNvGraphicFramePr/>
                <a:graphic xmlns:a="http://schemas.openxmlformats.org/drawingml/2006/main">
                  <a:graphicData uri="http://schemas.microsoft.com/office/word/2010/wordprocessingShape">
                    <wps:wsp>
                      <wps:cNvSpPr txBox="1"/>
                      <wps:spPr>
                        <a:xfrm rot="16200000">
                          <a:off x="1284394" y="822141"/>
                          <a:ext cx="318770"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44B539">
                            <w:pPr>
                              <w:pStyle w:val="2"/>
                              <w:spacing w:before="56" w:line="220" w:lineRule="auto"/>
                              <w:ind w:left="20"/>
                              <w:rPr>
                                <w:sz w:val="19"/>
                                <w:szCs w:val="19"/>
                              </w:rPr>
                            </w:pPr>
                            <w:r>
                              <w:rPr>
                                <w:spacing w:val="-3"/>
                                <w:sz w:val="19"/>
                                <w:szCs w:val="19"/>
                              </w:rPr>
                              <w:t>程 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0" o:spid="_x0000_s1026" o:spt="202" type="#_x0000_t202" style="position:absolute;left:0pt;margin-left:101.1pt;margin-top:64.7pt;height:15.2pt;width:25.1pt;rotation:-5898240f;z-index:251770880;mso-width-relative:page;mso-height-relative:page;" filled="f" stroked="f" coordsize="21600,21600" o:gfxdata="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3zSbfdkAAAALAQAA&#10;DwAAAAAAAAABACAAAAAiAAAAZHJzL2Rvd25yZXYueG1sUEsBAhQAFAAAAAgAh07iQECOS3BRAgAA&#10;pAQAAA4AAAAAAAAAAQAgAAAAKAEAAGRycy9lMm9Eb2MueG1sUEsFBgAAAAAGAAYAWQEAAOsFAAAA&#10;AA==&#10;">
                <v:fill on="f" focussize="0,0"/>
                <v:stroke on="f" weight="0pt" miterlimit="0" joinstyle="miter"/>
                <v:imagedata o:title=""/>
                <o:lock v:ext="edit" aspectratio="f"/>
                <v:textbox inset="0mm,0mm,0mm,0mm">
                  <w:txbxContent>
                    <w:p w14:paraId="3644B539">
                      <w:pPr>
                        <w:pStyle w:val="2"/>
                        <w:spacing w:before="56" w:line="220" w:lineRule="auto"/>
                        <w:ind w:left="20"/>
                        <w:rPr>
                          <w:sz w:val="19"/>
                          <w:szCs w:val="19"/>
                        </w:rPr>
                      </w:pPr>
                      <w:r>
                        <w:rPr>
                          <w:spacing w:val="-3"/>
                          <w:sz w:val="19"/>
                          <w:szCs w:val="19"/>
                        </w:rPr>
                        <w:t>程 度</w:t>
                      </w:r>
                    </w:p>
                  </w:txbxContent>
                </v:textbox>
              </v:shape>
            </w:pict>
          </mc:Fallback>
        </mc:AlternateContent>
      </w:r>
      <w:r>
        <w:rPr>
          <w:position w:val="-59"/>
        </w:rPr>
        <w:pict>
          <v:group id="_x0000_s1515" o:spid="_x0000_s1515" o:spt="203" style="height:148.9pt;width:237.5pt;" coordsize="4750,2977">
            <o:lock v:ext="edit"/>
            <v:shape id="_x0000_s1516" o:spid="_x0000_s1516" o:spt="75" type="#_x0000_t75" style="position:absolute;left:0;top:0;height:2821;width:4750;" filled="f" stroked="f" coordsize="21600,21600">
              <v:path/>
              <v:fill on="f" focussize="0,0"/>
              <v:stroke on="f"/>
              <v:imagedata r:id="rId238" o:title=""/>
              <o:lock v:ext="edit" aspectratio="t"/>
            </v:shape>
            <v:shape id="_x0000_s1517" o:spid="_x0000_s1517" o:spt="202" type="#_x0000_t202" style="position:absolute;left:430;top:107;height:2890;width:3290;" filled="f" stroked="f" coordsize="21600,21600">
              <v:path/>
              <v:fill on="f" focussize="0,0"/>
              <v:stroke on="f"/>
              <v:imagedata o:title=""/>
              <o:lock v:ext="edit" aspectratio="f"/>
              <v:textbox inset="0mm,0mm,0mm,0mm">
                <w:txbxContent>
                  <w:p w14:paraId="7FE07D84">
                    <w:pPr>
                      <w:spacing w:before="20" w:line="220" w:lineRule="auto"/>
                      <w:ind w:left="20"/>
                      <w:rPr>
                        <w:rFonts w:ascii="宋体" w:hAnsi="宋体" w:eastAsia="宋体" w:cs="宋体"/>
                        <w:sz w:val="18"/>
                        <w:szCs w:val="18"/>
                      </w:rPr>
                    </w:pPr>
                    <w:r>
                      <w:rPr>
                        <w:rFonts w:ascii="宋体" w:hAnsi="宋体" w:eastAsia="宋体" w:cs="宋体"/>
                        <w:spacing w:val="-7"/>
                        <w:sz w:val="18"/>
                        <w:szCs w:val="18"/>
                      </w:rPr>
                      <w:t>风险与不确定性</w:t>
                    </w:r>
                  </w:p>
                  <w:p w14:paraId="1DC3D25A">
                    <w:pPr>
                      <w:spacing w:line="243" w:lineRule="auto"/>
                      <w:rPr>
                        <w:rFonts w:ascii="Arial"/>
                        <w:sz w:val="21"/>
                      </w:rPr>
                    </w:pPr>
                  </w:p>
                  <w:p w14:paraId="49532E1B">
                    <w:pPr>
                      <w:spacing w:line="243" w:lineRule="auto"/>
                      <w:rPr>
                        <w:rFonts w:ascii="Arial"/>
                        <w:sz w:val="21"/>
                      </w:rPr>
                    </w:pPr>
                  </w:p>
                  <w:p w14:paraId="758530F5">
                    <w:pPr>
                      <w:spacing w:line="243" w:lineRule="auto"/>
                      <w:rPr>
                        <w:rFonts w:ascii="Arial"/>
                        <w:sz w:val="21"/>
                      </w:rPr>
                    </w:pPr>
                  </w:p>
                  <w:p w14:paraId="38F09F2D">
                    <w:pPr>
                      <w:spacing w:line="243" w:lineRule="auto"/>
                      <w:rPr>
                        <w:rFonts w:ascii="Arial"/>
                        <w:sz w:val="21"/>
                      </w:rPr>
                    </w:pPr>
                  </w:p>
                  <w:p w14:paraId="00E6F840">
                    <w:pPr>
                      <w:spacing w:line="244" w:lineRule="auto"/>
                      <w:rPr>
                        <w:rFonts w:ascii="Arial"/>
                        <w:sz w:val="21"/>
                      </w:rPr>
                    </w:pPr>
                  </w:p>
                  <w:p w14:paraId="027F438E">
                    <w:pPr>
                      <w:spacing w:line="244" w:lineRule="auto"/>
                      <w:rPr>
                        <w:rFonts w:ascii="Arial"/>
                        <w:sz w:val="21"/>
                      </w:rPr>
                    </w:pPr>
                  </w:p>
                  <w:p w14:paraId="7DE7CC4D">
                    <w:pPr>
                      <w:spacing w:line="244" w:lineRule="auto"/>
                      <w:rPr>
                        <w:rFonts w:ascii="Arial"/>
                        <w:sz w:val="21"/>
                      </w:rPr>
                    </w:pPr>
                  </w:p>
                  <w:p w14:paraId="2FEAE282">
                    <w:pPr>
                      <w:spacing w:before="58" w:line="218" w:lineRule="auto"/>
                      <w:ind w:left="20"/>
                      <w:rPr>
                        <w:rFonts w:ascii="宋体" w:hAnsi="宋体" w:eastAsia="宋体" w:cs="宋体"/>
                        <w:sz w:val="18"/>
                        <w:szCs w:val="18"/>
                      </w:rPr>
                    </w:pPr>
                    <w:r>
                      <w:rPr>
                        <w:rFonts w:ascii="宋体" w:hAnsi="宋体" w:eastAsia="宋体" w:cs="宋体"/>
                        <w:spacing w:val="-6"/>
                        <w:sz w:val="18"/>
                        <w:szCs w:val="18"/>
                      </w:rPr>
                      <w:t>变更的代价</w:t>
                    </w:r>
                  </w:p>
                  <w:p w14:paraId="6D05E0D6">
                    <w:pPr>
                      <w:spacing w:line="408" w:lineRule="auto"/>
                      <w:rPr>
                        <w:rFonts w:ascii="Arial"/>
                        <w:sz w:val="21"/>
                      </w:rPr>
                    </w:pPr>
                  </w:p>
                  <w:p w14:paraId="731871D9">
                    <w:pPr>
                      <w:spacing w:before="59" w:line="220" w:lineRule="auto"/>
                      <w:ind w:left="1809"/>
                      <w:rPr>
                        <w:rFonts w:ascii="宋体" w:hAnsi="宋体" w:eastAsia="宋体" w:cs="宋体"/>
                        <w:sz w:val="18"/>
                        <w:szCs w:val="18"/>
                      </w:rPr>
                    </w:pPr>
                    <w:r>
                      <w:rPr>
                        <w:rFonts w:ascii="宋体" w:hAnsi="宋体" w:eastAsia="宋体" w:cs="宋体"/>
                        <w:spacing w:val="-19"/>
                        <w:sz w:val="18"/>
                        <w:szCs w:val="18"/>
                      </w:rPr>
                      <w:t>项目时间-</w:t>
                    </w:r>
                    <w:r>
                      <w:rPr>
                        <w:rFonts w:ascii="宋体" w:hAnsi="宋体" w:eastAsia="宋体" w:cs="宋体"/>
                        <w:sz w:val="18"/>
                        <w:szCs w:val="18"/>
                        <w:u w:val="single" w:color="auto"/>
                      </w:rPr>
                      <w:t xml:space="preserve">         </w:t>
                    </w:r>
                  </w:p>
                </w:txbxContent>
              </v:textbox>
            </v:shape>
            <v:shape id="_x0000_s1518" o:spid="_x0000_s1518" o:spt="202" type="#_x0000_t202" style="position:absolute;left:0;top:7;height:2763;width:213;" filled="f" stroked="f" coordsize="21600,21600">
              <v:path/>
              <v:fill on="f" focussize="0,0"/>
              <v:stroke on="f"/>
              <v:imagedata o:title=""/>
              <o:lock v:ext="edit" aspectratio="f"/>
              <v:textbox inset="0mm,0mm,0mm,0mm" style="layout-flow:vertical-ideographic;">
                <w:txbxContent>
                  <w:p w14:paraId="311DCC8A">
                    <w:pPr>
                      <w:spacing w:before="19" w:line="209" w:lineRule="auto"/>
                      <w:ind w:left="20"/>
                      <w:rPr>
                        <w:rFonts w:ascii="黑体" w:hAnsi="黑体" w:eastAsia="黑体" w:cs="黑体"/>
                        <w:sz w:val="18"/>
                        <w:szCs w:val="18"/>
                      </w:rPr>
                    </w:pPr>
                    <w:r>
                      <w:rPr>
                        <w:rFonts w:ascii="宋体" w:hAnsi="宋体" w:eastAsia="宋体" w:cs="宋体"/>
                        <w:spacing w:val="1"/>
                        <w:sz w:val="18"/>
                        <w:szCs w:val="18"/>
                      </w:rPr>
                      <w:t xml:space="preserve">高                     </w:t>
                    </w:r>
                    <w:r>
                      <w:rPr>
                        <w:rFonts w:ascii="宋体" w:hAnsi="宋体" w:eastAsia="宋体" w:cs="宋体"/>
                        <w:sz w:val="18"/>
                        <w:szCs w:val="18"/>
                      </w:rPr>
                      <w:t xml:space="preserve">     </w:t>
                    </w:r>
                    <w:r>
                      <w:rPr>
                        <w:rFonts w:ascii="黑体" w:hAnsi="黑体" w:eastAsia="黑体" w:cs="黑体"/>
                        <w:sz w:val="18"/>
                        <w:szCs w:val="18"/>
                      </w:rPr>
                      <w:t>低</w:t>
                    </w:r>
                  </w:p>
                </w:txbxContent>
              </v:textbox>
            </v:shape>
            <w10:wrap type="none"/>
            <w10:anchorlock/>
          </v:group>
        </w:pict>
      </w:r>
    </w:p>
    <w:p w14:paraId="0B2D90BE">
      <w:pPr>
        <w:pStyle w:val="2"/>
        <w:spacing w:before="148" w:line="218" w:lineRule="auto"/>
        <w:ind w:left="2150"/>
        <w:rPr>
          <w:sz w:val="18"/>
          <w:szCs w:val="18"/>
        </w:rPr>
      </w:pPr>
      <w:r>
        <w:rPr>
          <w:sz w:val="18"/>
          <w:szCs w:val="18"/>
        </w:rPr>
        <w:t>图16-3</w:t>
      </w:r>
      <w:r>
        <w:rPr>
          <w:spacing w:val="79"/>
          <w:sz w:val="18"/>
          <w:szCs w:val="18"/>
        </w:rPr>
        <w:t xml:space="preserve"> </w:t>
      </w:r>
      <w:r>
        <w:rPr>
          <w:sz w:val="18"/>
          <w:szCs w:val="18"/>
        </w:rPr>
        <w:t>风险与不确定性以及变更的代价</w:t>
      </w:r>
      <w:r>
        <w:rPr>
          <w:spacing w:val="-1"/>
          <w:sz w:val="18"/>
          <w:szCs w:val="18"/>
        </w:rPr>
        <w:t>随项目时间的变化</w:t>
      </w:r>
    </w:p>
    <w:p w14:paraId="3FE3161F">
      <w:pPr>
        <w:spacing w:line="218" w:lineRule="auto"/>
        <w:rPr>
          <w:sz w:val="18"/>
          <w:szCs w:val="18"/>
        </w:rPr>
        <w:sectPr>
          <w:pgSz w:w="10300" w:h="13280"/>
          <w:pgMar w:top="400" w:right="1079" w:bottom="400" w:left="479" w:header="0" w:footer="0" w:gutter="0"/>
          <w:cols w:space="720" w:num="1"/>
        </w:sectPr>
      </w:pPr>
    </w:p>
    <w:p w14:paraId="7C44E33C">
      <w:pPr>
        <w:pStyle w:val="2"/>
        <w:jc w:val="right"/>
        <w:rPr>
          <w:rFonts w:ascii="Times New Roman" w:hAnsi="Times New Roman" w:eastAsia="Times New Roman" w:cs="Times New Roman"/>
          <w:sz w:val="19"/>
          <w:szCs w:val="19"/>
        </w:rPr>
      </w:pPr>
      <w:bookmarkStart w:id="679" w:name="bookmark664"/>
      <w:bookmarkEnd w:id="679"/>
      <w:r>
        <w:rPr>
          <w:spacing w:val="3"/>
          <w:sz w:val="19"/>
          <w:szCs w:val="19"/>
        </w:rPr>
        <w:t>第16章</w:t>
      </w:r>
      <w:r>
        <w:rPr>
          <w:spacing w:val="39"/>
          <w:sz w:val="19"/>
          <w:szCs w:val="19"/>
        </w:rPr>
        <w:t xml:space="preserve"> </w:t>
      </w:r>
      <w:r>
        <w:rPr>
          <w:spacing w:val="3"/>
          <w:sz w:val="19"/>
          <w:szCs w:val="19"/>
        </w:rPr>
        <w:t>项目管理</w:t>
      </w:r>
      <w:r>
        <w:rPr>
          <w:spacing w:val="39"/>
          <w:sz w:val="19"/>
          <w:szCs w:val="19"/>
        </w:rPr>
        <w:t xml:space="preserve"> </w:t>
      </w:r>
      <w:r>
        <w:rPr>
          <w:position w:val="-10"/>
          <w:sz w:val="19"/>
          <w:szCs w:val="19"/>
        </w:rPr>
        <w:drawing>
          <wp:inline distT="0" distB="0" distL="0" distR="0">
            <wp:extent cx="304800" cy="23431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239"/>
                    <a:stretch>
                      <a:fillRect/>
                    </a:stretch>
                  </pic:blipFill>
                  <pic:spPr>
                    <a:xfrm>
                      <a:off x="0" y="0"/>
                      <a:ext cx="304817" cy="234946"/>
                    </a:xfrm>
                    <a:prstGeom prst="rect">
                      <a:avLst/>
                    </a:prstGeom>
                  </pic:spPr>
                </pic:pic>
              </a:graphicData>
            </a:graphic>
          </wp:inline>
        </w:drawing>
      </w:r>
      <w:r>
        <w:rPr>
          <w:rFonts w:ascii="Times New Roman" w:hAnsi="Times New Roman" w:eastAsia="Times New Roman" w:cs="Times New Roman"/>
          <w:spacing w:val="3"/>
          <w:position w:val="1"/>
          <w:sz w:val="19"/>
          <w:szCs w:val="19"/>
        </w:rPr>
        <w:t>375</w:t>
      </w:r>
    </w:p>
    <w:p w14:paraId="28FBBA34">
      <w:pPr>
        <w:spacing w:line="273" w:lineRule="auto"/>
        <w:rPr>
          <w:rFonts w:ascii="Arial"/>
          <w:sz w:val="21"/>
        </w:rPr>
      </w:pPr>
    </w:p>
    <w:p w14:paraId="7C195E3F">
      <w:pPr>
        <w:pStyle w:val="2"/>
        <w:spacing w:before="61" w:line="219" w:lineRule="auto"/>
        <w:ind w:left="410"/>
        <w:rPr>
          <w:sz w:val="19"/>
          <w:szCs w:val="19"/>
        </w:rPr>
      </w:pPr>
      <w:r>
        <w:rPr>
          <w:spacing w:val="8"/>
          <w:sz w:val="19"/>
          <w:szCs w:val="19"/>
        </w:rPr>
        <w:t>上述特征在几乎所有项目生命周期中都存在，但</w:t>
      </w:r>
      <w:r>
        <w:rPr>
          <w:spacing w:val="7"/>
          <w:sz w:val="19"/>
          <w:szCs w:val="19"/>
        </w:rPr>
        <w:t>是程度有所不同。</w:t>
      </w:r>
    </w:p>
    <w:p w14:paraId="5062CA79">
      <w:pPr>
        <w:pStyle w:val="2"/>
        <w:spacing w:before="74" w:line="305" w:lineRule="auto"/>
        <w:ind w:right="301" w:firstLine="410"/>
        <w:rPr>
          <w:sz w:val="19"/>
          <w:szCs w:val="19"/>
        </w:rPr>
      </w:pPr>
      <w:r>
        <w:rPr>
          <w:spacing w:val="13"/>
          <w:sz w:val="19"/>
          <w:szCs w:val="19"/>
        </w:rPr>
        <w:t>在通用生命周期结构的指导下，项目经理可以确定需要对</w:t>
      </w:r>
      <w:r>
        <w:rPr>
          <w:spacing w:val="12"/>
          <w:sz w:val="19"/>
          <w:szCs w:val="19"/>
        </w:rPr>
        <w:t>哪些可交付成果施加更为有力的</w:t>
      </w:r>
      <w:r>
        <w:rPr>
          <w:sz w:val="19"/>
          <w:szCs w:val="19"/>
        </w:rPr>
        <w:t xml:space="preserve"> </w:t>
      </w:r>
      <w:r>
        <w:rPr>
          <w:spacing w:val="13"/>
          <w:sz w:val="19"/>
          <w:szCs w:val="19"/>
        </w:rPr>
        <w:t>控制，或者哪些可交付成果完成之后才能完全确定项目范围。大型复杂项</w:t>
      </w:r>
      <w:r>
        <w:rPr>
          <w:spacing w:val="12"/>
          <w:sz w:val="19"/>
          <w:szCs w:val="19"/>
        </w:rPr>
        <w:t>目尤其需要这种特别</w:t>
      </w:r>
      <w:r>
        <w:rPr>
          <w:sz w:val="19"/>
          <w:szCs w:val="19"/>
        </w:rPr>
        <w:t xml:space="preserve"> </w:t>
      </w:r>
      <w:r>
        <w:rPr>
          <w:spacing w:val="13"/>
          <w:sz w:val="19"/>
          <w:szCs w:val="19"/>
        </w:rPr>
        <w:t>的控制。在这种情况下，项目经理需要将项目工作正式分</w:t>
      </w:r>
      <w:r>
        <w:rPr>
          <w:spacing w:val="12"/>
          <w:sz w:val="19"/>
          <w:szCs w:val="19"/>
        </w:rPr>
        <w:t>解为若干阶段，并根据项目特点采取</w:t>
      </w:r>
      <w:r>
        <w:rPr>
          <w:sz w:val="19"/>
          <w:szCs w:val="19"/>
        </w:rPr>
        <w:t xml:space="preserve"> </w:t>
      </w:r>
      <w:r>
        <w:rPr>
          <w:spacing w:val="5"/>
          <w:sz w:val="19"/>
          <w:szCs w:val="19"/>
        </w:rPr>
        <w:t>合适的方法进行控制。</w:t>
      </w:r>
    </w:p>
    <w:p w14:paraId="7AD19D07">
      <w:pPr>
        <w:pStyle w:val="2"/>
        <w:spacing w:before="131" w:line="221" w:lineRule="auto"/>
        <w:ind w:left="412"/>
        <w:rPr>
          <w:rFonts w:ascii="黑体" w:hAnsi="黑体" w:eastAsia="黑体" w:cs="黑体"/>
          <w:sz w:val="19"/>
          <w:szCs w:val="19"/>
        </w:rPr>
      </w:pPr>
      <w:r>
        <w:rPr>
          <w:b/>
          <w:bCs/>
          <w:color w:val="005DD8"/>
          <w:spacing w:val="7"/>
          <w:sz w:val="19"/>
          <w:szCs w:val="19"/>
        </w:rPr>
        <w:t>2.</w:t>
      </w:r>
      <w:r>
        <w:rPr>
          <w:rFonts w:ascii="黑体" w:hAnsi="黑体" w:eastAsia="黑体" w:cs="黑体"/>
          <w:b/>
          <w:bCs/>
          <w:color w:val="005DD8"/>
          <w:spacing w:val="7"/>
          <w:sz w:val="19"/>
          <w:szCs w:val="19"/>
        </w:rPr>
        <w:t>项目生命周期类型</w:t>
      </w:r>
    </w:p>
    <w:p w14:paraId="5DEA525F">
      <w:pPr>
        <w:pStyle w:val="2"/>
        <w:spacing w:before="125" w:line="302" w:lineRule="auto"/>
        <w:ind w:right="302" w:firstLine="410"/>
        <w:jc w:val="both"/>
        <w:rPr>
          <w:sz w:val="19"/>
          <w:szCs w:val="19"/>
        </w:rPr>
      </w:pPr>
      <w:r>
        <w:rPr>
          <w:spacing w:val="13"/>
          <w:sz w:val="19"/>
          <w:szCs w:val="19"/>
        </w:rPr>
        <w:t>项目生命周期通常与一个或多个阶段的产品</w:t>
      </w:r>
      <w:r>
        <w:rPr>
          <w:spacing w:val="12"/>
          <w:sz w:val="19"/>
          <w:szCs w:val="19"/>
        </w:rPr>
        <w:t>、服务或成果的开发相关，开发生命周期可分</w:t>
      </w:r>
      <w:r>
        <w:rPr>
          <w:sz w:val="19"/>
          <w:szCs w:val="19"/>
        </w:rPr>
        <w:t xml:space="preserve"> </w:t>
      </w:r>
      <w:r>
        <w:rPr>
          <w:spacing w:val="17"/>
          <w:sz w:val="19"/>
          <w:szCs w:val="19"/>
        </w:rPr>
        <w:t>为预测型(计划驱动型)、迭代型、增量型、适应型(敏捷型)和混合型多种类型，采用不同的</w:t>
      </w:r>
      <w:r>
        <w:rPr>
          <w:sz w:val="19"/>
          <w:szCs w:val="19"/>
        </w:rPr>
        <w:t xml:space="preserve"> </w:t>
      </w:r>
      <w:r>
        <w:rPr>
          <w:spacing w:val="8"/>
          <w:sz w:val="19"/>
          <w:szCs w:val="19"/>
        </w:rPr>
        <w:t>开发生命周期的项目会呈现出不同的项目生命周</w:t>
      </w:r>
      <w:r>
        <w:rPr>
          <w:spacing w:val="7"/>
          <w:sz w:val="19"/>
          <w:szCs w:val="19"/>
        </w:rPr>
        <w:t>期的特点。</w:t>
      </w:r>
    </w:p>
    <w:p w14:paraId="3906C68F">
      <w:pPr>
        <w:spacing w:line="106" w:lineRule="exact"/>
      </w:pPr>
    </w:p>
    <w:p w14:paraId="5ED2871D">
      <w:pPr>
        <w:spacing w:line="106" w:lineRule="exact"/>
        <w:sectPr>
          <w:pgSz w:w="10290" w:h="13290"/>
          <w:pgMar w:top="329" w:right="612" w:bottom="400" w:left="1059" w:header="0" w:footer="0" w:gutter="0"/>
          <w:cols w:equalWidth="0" w:num="1">
            <w:col w:w="8618"/>
          </w:cols>
        </w:sectPr>
      </w:pPr>
    </w:p>
    <w:p w14:paraId="65891696">
      <w:pPr>
        <w:spacing w:line="224" w:lineRule="auto"/>
        <w:ind w:left="410"/>
        <w:rPr>
          <w:rFonts w:ascii="楷体" w:hAnsi="楷体" w:eastAsia="楷体" w:cs="楷体"/>
          <w:sz w:val="19"/>
          <w:szCs w:val="19"/>
        </w:rPr>
      </w:pPr>
      <w:r>
        <w:rPr>
          <w:rFonts w:ascii="楷体" w:hAnsi="楷体" w:eastAsia="楷体" w:cs="楷体"/>
          <w:spacing w:val="17"/>
          <w:sz w:val="19"/>
          <w:szCs w:val="19"/>
        </w:rPr>
        <w:t>1)预测型生命周期</w:t>
      </w:r>
    </w:p>
    <w:p w14:paraId="128CC63B">
      <w:pPr>
        <w:pStyle w:val="2"/>
        <w:spacing w:before="78" w:line="290" w:lineRule="auto"/>
        <w:ind w:right="131" w:firstLine="410"/>
        <w:rPr>
          <w:sz w:val="19"/>
          <w:szCs w:val="19"/>
        </w:rPr>
      </w:pPr>
      <w:r>
        <w:rPr>
          <w:spacing w:val="12"/>
          <w:sz w:val="19"/>
          <w:szCs w:val="19"/>
        </w:rPr>
        <w:t>采用预测型开发方法的生命周期适用于已经充</w:t>
      </w:r>
      <w:r>
        <w:rPr>
          <w:spacing w:val="9"/>
          <w:sz w:val="19"/>
          <w:szCs w:val="19"/>
        </w:rPr>
        <w:t xml:space="preserve"> </w:t>
      </w:r>
      <w:r>
        <w:rPr>
          <w:spacing w:val="12"/>
          <w:sz w:val="19"/>
          <w:szCs w:val="19"/>
        </w:rPr>
        <w:t>分了解并明确确定需求的项目，又称为瀑布型生命</w:t>
      </w:r>
      <w:r>
        <w:rPr>
          <w:spacing w:val="13"/>
          <w:sz w:val="19"/>
          <w:szCs w:val="19"/>
        </w:rPr>
        <w:t xml:space="preserve"> 周期。在生命周期的早期阶段确定项目范围、时间</w:t>
      </w:r>
      <w:r>
        <w:rPr>
          <w:spacing w:val="1"/>
          <w:sz w:val="19"/>
          <w:szCs w:val="19"/>
        </w:rPr>
        <w:t xml:space="preserve"> </w:t>
      </w:r>
      <w:r>
        <w:rPr>
          <w:spacing w:val="12"/>
          <w:sz w:val="19"/>
          <w:szCs w:val="19"/>
        </w:rPr>
        <w:t>和成本，对任何范围的变更都要进行严格管理，每</w:t>
      </w:r>
      <w:r>
        <w:rPr>
          <w:spacing w:val="13"/>
          <w:sz w:val="19"/>
          <w:szCs w:val="19"/>
        </w:rPr>
        <w:t xml:space="preserve"> </w:t>
      </w:r>
      <w:r>
        <w:rPr>
          <w:spacing w:val="12"/>
          <w:sz w:val="19"/>
          <w:szCs w:val="19"/>
        </w:rPr>
        <w:t>个阶段只进行一次，每个阶段都侧重于某一特定类</w:t>
      </w:r>
      <w:r>
        <w:rPr>
          <w:spacing w:val="13"/>
          <w:sz w:val="19"/>
          <w:szCs w:val="19"/>
        </w:rPr>
        <w:t xml:space="preserve"> </w:t>
      </w:r>
      <w:r>
        <w:rPr>
          <w:spacing w:val="20"/>
          <w:sz w:val="19"/>
          <w:szCs w:val="19"/>
        </w:rPr>
        <w:t>型的工作，如图16-4所示。高度预测型项目范围</w:t>
      </w:r>
      <w:r>
        <w:rPr>
          <w:spacing w:val="16"/>
          <w:sz w:val="19"/>
          <w:szCs w:val="19"/>
        </w:rPr>
        <w:t xml:space="preserve"> </w:t>
      </w:r>
      <w:r>
        <w:rPr>
          <w:spacing w:val="12"/>
          <w:sz w:val="19"/>
          <w:szCs w:val="19"/>
        </w:rPr>
        <w:t>变更很少、干系人之间有高度共识。这类项目会受</w:t>
      </w:r>
      <w:r>
        <w:rPr>
          <w:spacing w:val="13"/>
          <w:sz w:val="19"/>
          <w:szCs w:val="19"/>
        </w:rPr>
        <w:t xml:space="preserve"> </w:t>
      </w:r>
      <w:r>
        <w:rPr>
          <w:spacing w:val="27"/>
          <w:sz w:val="19"/>
          <w:szCs w:val="19"/>
        </w:rPr>
        <w:t>益于前期的详细规划，但有些情况(例如增</w:t>
      </w:r>
      <w:r>
        <w:rPr>
          <w:spacing w:val="26"/>
          <w:sz w:val="19"/>
          <w:szCs w:val="19"/>
        </w:rPr>
        <w:t>加范</w:t>
      </w:r>
      <w:r>
        <w:rPr>
          <w:sz w:val="19"/>
          <w:szCs w:val="19"/>
        </w:rPr>
        <w:t xml:space="preserve"> </w:t>
      </w:r>
      <w:r>
        <w:rPr>
          <w:spacing w:val="17"/>
          <w:sz w:val="19"/>
          <w:szCs w:val="19"/>
        </w:rPr>
        <w:t>围、需求变化或市场变化)则会导致某些阶段重复</w:t>
      </w:r>
      <w:r>
        <w:rPr>
          <w:sz w:val="19"/>
          <w:szCs w:val="19"/>
        </w:rPr>
        <w:t xml:space="preserve"> </w:t>
      </w:r>
      <w:r>
        <w:rPr>
          <w:spacing w:val="8"/>
          <w:sz w:val="19"/>
          <w:szCs w:val="19"/>
        </w:rPr>
        <w:t>进行。</w:t>
      </w:r>
    </w:p>
    <w:p w14:paraId="544B5FF7">
      <w:pPr>
        <w:spacing w:line="14" w:lineRule="auto"/>
        <w:rPr>
          <w:rFonts w:ascii="Arial"/>
          <w:sz w:val="2"/>
        </w:rPr>
      </w:pPr>
      <w:r>
        <w:rPr>
          <w:rFonts w:ascii="Arial" w:hAnsi="Arial" w:eastAsia="Arial" w:cs="Arial"/>
          <w:sz w:val="2"/>
          <w:szCs w:val="2"/>
        </w:rPr>
        <w:br w:type="column"/>
      </w:r>
    </w:p>
    <w:p w14:paraId="62D4CA08">
      <w:pPr>
        <w:spacing w:line="252" w:lineRule="auto"/>
        <w:rPr>
          <w:rFonts w:ascii="Arial"/>
          <w:sz w:val="21"/>
        </w:rPr>
      </w:pPr>
    </w:p>
    <w:p w14:paraId="1FD8F3F8">
      <w:pPr>
        <w:pStyle w:val="2"/>
        <w:spacing w:line="2420" w:lineRule="exact"/>
      </w:pPr>
      <w:r>
        <w:rPr>
          <w:position w:val="-48"/>
        </w:rPr>
        <w:pict>
          <v:group id="_x0000_s1519" o:spid="_x0000_s1519" o:spt="203" style="height:121pt;width:185.5pt;" coordsize="3710,2420">
            <o:lock v:ext="edit"/>
            <v:shape id="_x0000_s1520" o:spid="_x0000_s1520" o:spt="75" type="#_x0000_t75" style="position:absolute;left:0;top:0;height:2420;width:3710;" filled="f" stroked="f" coordsize="21600,21600">
              <v:path/>
              <v:fill on="f" focussize="0,0"/>
              <v:stroke on="f"/>
              <v:imagedata r:id="rId240" o:title=""/>
              <o:lock v:ext="edit" aspectratio="t"/>
            </v:shape>
            <v:shape id="_x0000_s1024" o:spid="_x0000_s1024" o:spt="202" type="#_x0000_t202" style="position:absolute;left:-20;top:-20;height:2460;width:3750;" filled="f" stroked="f" coordsize="21600,21600">
              <v:path/>
              <v:fill on="f" focussize="0,0"/>
              <v:stroke on="f"/>
              <v:imagedata o:title=""/>
              <o:lock v:ext="edit" aspectratio="f"/>
              <v:textbox inset="0mm,0mm,0mm,0mm">
                <w:txbxContent>
                  <w:p w14:paraId="3EAA819D">
                    <w:pPr>
                      <w:spacing w:before="158" w:line="220" w:lineRule="auto"/>
                      <w:ind w:left="119"/>
                      <w:rPr>
                        <w:rFonts w:ascii="宋体" w:hAnsi="宋体" w:eastAsia="宋体" w:cs="宋体"/>
                        <w:sz w:val="19"/>
                        <w:szCs w:val="19"/>
                      </w:rPr>
                    </w:pPr>
                    <w:r>
                      <w:rPr>
                        <w:rFonts w:ascii="宋体" w:hAnsi="宋体" w:eastAsia="宋体" w:cs="宋体"/>
                        <w:spacing w:val="-10"/>
                        <w:sz w:val="19"/>
                        <w:szCs w:val="19"/>
                      </w:rPr>
                      <w:t>可行性</w:t>
                    </w:r>
                  </w:p>
                  <w:p w14:paraId="480CB202">
                    <w:pPr>
                      <w:spacing w:before="141" w:line="222" w:lineRule="auto"/>
                      <w:ind w:left="809"/>
                      <w:rPr>
                        <w:rFonts w:ascii="黑体" w:hAnsi="黑体" w:eastAsia="黑体" w:cs="黑体"/>
                        <w:sz w:val="19"/>
                        <w:szCs w:val="19"/>
                      </w:rPr>
                    </w:pPr>
                    <w:r>
                      <w:rPr>
                        <w:rFonts w:ascii="黑体" w:hAnsi="黑体" w:eastAsia="黑体" w:cs="黑体"/>
                        <w:spacing w:val="-3"/>
                        <w:sz w:val="19"/>
                        <w:szCs w:val="19"/>
                      </w:rPr>
                      <w:t>设计</w:t>
                    </w:r>
                  </w:p>
                  <w:p w14:paraId="5E14345C">
                    <w:pPr>
                      <w:spacing w:before="193" w:line="220" w:lineRule="auto"/>
                      <w:ind w:left="1399"/>
                      <w:rPr>
                        <w:rFonts w:ascii="宋体" w:hAnsi="宋体" w:eastAsia="宋体" w:cs="宋体"/>
                        <w:sz w:val="19"/>
                        <w:szCs w:val="19"/>
                      </w:rPr>
                    </w:pPr>
                    <w:r>
                      <w:rPr>
                        <w:rFonts w:ascii="宋体" w:hAnsi="宋体" w:eastAsia="宋体" w:cs="宋体"/>
                        <w:spacing w:val="-9"/>
                        <w:sz w:val="19"/>
                        <w:szCs w:val="19"/>
                      </w:rPr>
                      <w:t>构建</w:t>
                    </w:r>
                  </w:p>
                  <w:p w14:paraId="0B27DF92">
                    <w:pPr>
                      <w:spacing w:before="144" w:line="221" w:lineRule="auto"/>
                      <w:ind w:left="1969"/>
                      <w:rPr>
                        <w:rFonts w:ascii="宋体" w:hAnsi="宋体" w:eastAsia="宋体" w:cs="宋体"/>
                        <w:sz w:val="19"/>
                        <w:szCs w:val="19"/>
                      </w:rPr>
                    </w:pPr>
                    <w:r>
                      <w:rPr>
                        <w:rFonts w:ascii="宋体" w:hAnsi="宋体" w:eastAsia="宋体" w:cs="宋体"/>
                        <w:spacing w:val="-3"/>
                        <w:sz w:val="19"/>
                        <w:szCs w:val="19"/>
                      </w:rPr>
                      <w:t>测试</w:t>
                    </w:r>
                  </w:p>
                  <w:p w14:paraId="64561CBB">
                    <w:pPr>
                      <w:spacing w:before="141" w:line="219" w:lineRule="auto"/>
                      <w:ind w:left="2579"/>
                      <w:rPr>
                        <w:rFonts w:ascii="宋体" w:hAnsi="宋体" w:eastAsia="宋体" w:cs="宋体"/>
                        <w:sz w:val="19"/>
                        <w:szCs w:val="19"/>
                      </w:rPr>
                    </w:pPr>
                    <w:r>
                      <w:rPr>
                        <w:rFonts w:ascii="宋体" w:hAnsi="宋体" w:eastAsia="宋体" w:cs="宋体"/>
                        <w:spacing w:val="-3"/>
                        <w:sz w:val="19"/>
                        <w:szCs w:val="19"/>
                      </w:rPr>
                      <w:t>部署</w:t>
                    </w:r>
                  </w:p>
                  <w:p w14:paraId="28DD2851">
                    <w:pPr>
                      <w:spacing w:before="165" w:line="223" w:lineRule="auto"/>
                      <w:ind w:left="3179"/>
                      <w:rPr>
                        <w:rFonts w:ascii="黑体" w:hAnsi="黑体" w:eastAsia="黑体" w:cs="黑体"/>
                        <w:sz w:val="19"/>
                        <w:szCs w:val="19"/>
                      </w:rPr>
                    </w:pPr>
                    <w:r>
                      <w:rPr>
                        <w:rFonts w:ascii="黑体" w:hAnsi="黑体" w:eastAsia="黑体" w:cs="黑体"/>
                        <w:spacing w:val="-2"/>
                        <w:sz w:val="19"/>
                        <w:szCs w:val="19"/>
                      </w:rPr>
                      <w:t>收尾</w:t>
                    </w:r>
                  </w:p>
                </w:txbxContent>
              </v:textbox>
            </v:shape>
            <w10:wrap type="none"/>
            <w10:anchorlock/>
          </v:group>
        </w:pict>
      </w:r>
    </w:p>
    <w:p w14:paraId="2FBEB9EF">
      <w:pPr>
        <w:pStyle w:val="2"/>
        <w:spacing w:before="58" w:line="220" w:lineRule="auto"/>
        <w:ind w:left="849"/>
        <w:rPr>
          <w:sz w:val="19"/>
          <w:szCs w:val="19"/>
        </w:rPr>
      </w:pPr>
      <w:r>
        <w:rPr>
          <w:spacing w:val="-4"/>
          <w:sz w:val="19"/>
          <w:szCs w:val="19"/>
        </w:rPr>
        <w:t>图16-4</w:t>
      </w:r>
      <w:r>
        <w:rPr>
          <w:spacing w:val="51"/>
          <w:sz w:val="19"/>
          <w:szCs w:val="19"/>
        </w:rPr>
        <w:t xml:space="preserve"> </w:t>
      </w:r>
      <w:r>
        <w:rPr>
          <w:spacing w:val="-4"/>
          <w:sz w:val="19"/>
          <w:szCs w:val="19"/>
        </w:rPr>
        <w:t>预测型生命周期</w:t>
      </w:r>
    </w:p>
    <w:p w14:paraId="3B50603C">
      <w:pPr>
        <w:spacing w:line="220" w:lineRule="auto"/>
        <w:rPr>
          <w:sz w:val="19"/>
          <w:szCs w:val="19"/>
        </w:rPr>
        <w:sectPr>
          <w:type w:val="continuous"/>
          <w:pgSz w:w="10290" w:h="13290"/>
          <w:pgMar w:top="329" w:right="612" w:bottom="400" w:left="1059" w:header="0" w:footer="0" w:gutter="0"/>
          <w:cols w:equalWidth="0" w:num="2">
            <w:col w:w="4601" w:space="100"/>
            <w:col w:w="3918"/>
          </w:cols>
        </w:sectPr>
      </w:pPr>
    </w:p>
    <w:p w14:paraId="77EFBE9D">
      <w:pPr>
        <w:spacing w:before="247" w:line="224" w:lineRule="auto"/>
        <w:ind w:left="410"/>
        <w:rPr>
          <w:rFonts w:ascii="楷体" w:hAnsi="楷体" w:eastAsia="楷体" w:cs="楷体"/>
          <w:sz w:val="19"/>
          <w:szCs w:val="19"/>
        </w:rPr>
      </w:pPr>
      <w:r>
        <w:rPr>
          <w:rFonts w:ascii="楷体" w:hAnsi="楷体" w:eastAsia="楷体" w:cs="楷体"/>
          <w:spacing w:val="19"/>
          <w:sz w:val="19"/>
          <w:szCs w:val="19"/>
        </w:rPr>
        <w:t>2)迭代型生命周期</w:t>
      </w:r>
    </w:p>
    <w:p w14:paraId="150A71BC">
      <w:pPr>
        <w:pStyle w:val="2"/>
        <w:spacing w:before="72" w:line="298" w:lineRule="auto"/>
        <w:ind w:left="50" w:right="305" w:firstLine="360"/>
        <w:rPr>
          <w:sz w:val="19"/>
          <w:szCs w:val="19"/>
        </w:rPr>
      </w:pPr>
      <w:r>
        <w:rPr>
          <w:spacing w:val="13"/>
          <w:sz w:val="19"/>
          <w:szCs w:val="19"/>
        </w:rPr>
        <w:t>采用迭代型生命周期的项目范围通常在项目生命周</w:t>
      </w:r>
      <w:r>
        <w:rPr>
          <w:spacing w:val="12"/>
          <w:sz w:val="19"/>
          <w:szCs w:val="19"/>
        </w:rPr>
        <w:t>期的早期确定，但时间及成本会随着项</w:t>
      </w:r>
      <w:r>
        <w:rPr>
          <w:sz w:val="19"/>
          <w:szCs w:val="19"/>
        </w:rPr>
        <w:t xml:space="preserve"> </w:t>
      </w:r>
      <w:r>
        <w:rPr>
          <w:spacing w:val="9"/>
          <w:sz w:val="19"/>
          <w:szCs w:val="19"/>
        </w:rPr>
        <w:t>目团队对产品理解的不断深入而定期修改，如</w:t>
      </w:r>
      <w:r>
        <w:rPr>
          <w:spacing w:val="8"/>
          <w:sz w:val="19"/>
          <w:szCs w:val="19"/>
        </w:rPr>
        <w:t>图16-5所示。</w:t>
      </w:r>
    </w:p>
    <w:p w14:paraId="0C1FA5E9">
      <w:pPr>
        <w:pStyle w:val="2"/>
        <w:spacing w:before="69" w:line="2400" w:lineRule="exact"/>
        <w:ind w:firstLine="1740"/>
      </w:pPr>
      <w:r>
        <w:rPr>
          <w:position w:val="-48"/>
        </w:rPr>
        <w:pict>
          <v:group id="_x0000_s1521" o:spid="_x0000_s1521" o:spt="203" style="height:120.05pt;width:244.55pt;" coordsize="4891,2401">
            <o:lock v:ext="edit"/>
            <v:shape id="_x0000_s1522" o:spid="_x0000_s1522" o:spt="75" type="#_x0000_t75" style="position:absolute;left:0;top:0;height:2401;width:4891;" filled="f" stroked="f" coordsize="21600,21600">
              <v:path/>
              <v:fill on="f" focussize="0,0"/>
              <v:stroke on="f"/>
              <v:imagedata r:id="rId241" o:title=""/>
              <o:lock v:ext="edit" aspectratio="t"/>
            </v:shape>
            <v:shape id="_x0000_s1523" o:spid="_x0000_s1523" o:spt="202" type="#_x0000_t202" style="position:absolute;left:1830;top:97;height:2301;width:1901;" filled="f" stroked="f" coordsize="21600,21600">
              <v:path/>
              <v:fill on="f" focussize="0,0"/>
              <v:stroke on="f"/>
              <v:imagedata o:title=""/>
              <o:lock v:ext="edit" aspectratio="f"/>
              <v:textbox inset="0mm,0mm,0mm,0mm">
                <w:txbxContent>
                  <w:p w14:paraId="79B3BDA5">
                    <w:pPr>
                      <w:spacing w:before="20" w:line="219" w:lineRule="auto"/>
                      <w:ind w:left="809"/>
                      <w:rPr>
                        <w:rFonts w:ascii="宋体" w:hAnsi="宋体" w:eastAsia="宋体" w:cs="宋体"/>
                        <w:sz w:val="19"/>
                        <w:szCs w:val="19"/>
                      </w:rPr>
                    </w:pPr>
                    <w:r>
                      <w:rPr>
                        <w:rFonts w:ascii="宋体" w:hAnsi="宋体" w:eastAsia="宋体" w:cs="宋体"/>
                        <w:spacing w:val="-10"/>
                        <w:sz w:val="19"/>
                        <w:szCs w:val="19"/>
                      </w:rPr>
                      <w:t>迭代中</w:t>
                    </w:r>
                  </w:p>
                  <w:p w14:paraId="4349A8D9">
                    <w:pPr>
                      <w:spacing w:before="214" w:line="219" w:lineRule="auto"/>
                      <w:ind w:left="20"/>
                      <w:rPr>
                        <w:rFonts w:ascii="宋体" w:hAnsi="宋体" w:eastAsia="宋体" w:cs="宋体"/>
                        <w:sz w:val="19"/>
                        <w:szCs w:val="19"/>
                      </w:rPr>
                    </w:pPr>
                    <w:r>
                      <w:rPr>
                        <w:rFonts w:ascii="宋体" w:hAnsi="宋体" w:eastAsia="宋体" w:cs="宋体"/>
                        <w:spacing w:val="-11"/>
                        <w:sz w:val="19"/>
                        <w:szCs w:val="19"/>
                      </w:rPr>
                      <w:t>迭代周期</w:t>
                    </w:r>
                  </w:p>
                  <w:p w14:paraId="7E1CCB87">
                    <w:pPr>
                      <w:spacing w:line="328" w:lineRule="auto"/>
                      <w:rPr>
                        <w:rFonts w:ascii="Arial"/>
                        <w:sz w:val="21"/>
                      </w:rPr>
                    </w:pPr>
                  </w:p>
                  <w:p w14:paraId="0728A5FC">
                    <w:pPr>
                      <w:spacing w:before="62" w:line="431" w:lineRule="auto"/>
                      <w:ind w:left="749" w:right="473" w:firstLine="149"/>
                      <w:rPr>
                        <w:rFonts w:ascii="宋体" w:hAnsi="宋体" w:eastAsia="宋体" w:cs="宋体"/>
                        <w:sz w:val="19"/>
                        <w:szCs w:val="19"/>
                      </w:rPr>
                    </w:pPr>
                    <w:r>
                      <w:rPr>
                        <w:rFonts w:ascii="黑体" w:hAnsi="黑体" w:eastAsia="黑体" w:cs="黑体"/>
                        <w:spacing w:val="-5"/>
                        <w:sz w:val="19"/>
                        <w:szCs w:val="19"/>
                      </w:rPr>
                      <w:t>发布</w:t>
                    </w:r>
                    <w:r>
                      <w:rPr>
                        <w:rFonts w:ascii="黑体" w:hAnsi="黑体" w:eastAsia="黑体" w:cs="黑体"/>
                        <w:sz w:val="19"/>
                        <w:szCs w:val="19"/>
                      </w:rPr>
                      <w:t xml:space="preserve">  </w:t>
                    </w:r>
                    <w:r>
                      <w:rPr>
                        <w:rFonts w:ascii="宋体" w:hAnsi="宋体" w:eastAsia="宋体" w:cs="宋体"/>
                        <w:spacing w:val="-18"/>
                        <w:w w:val="98"/>
                        <w:sz w:val="19"/>
                        <w:szCs w:val="19"/>
                      </w:rPr>
                      <w:t>多次发布</w:t>
                    </w:r>
                  </w:p>
                  <w:p w14:paraId="047D61C1">
                    <w:pPr>
                      <w:spacing w:before="55" w:line="231" w:lineRule="auto"/>
                      <w:ind w:right="15"/>
                      <w:jc w:val="right"/>
                      <w:rPr>
                        <w:rFonts w:ascii="宋体" w:hAnsi="宋体" w:eastAsia="宋体" w:cs="宋体"/>
                        <w:sz w:val="19"/>
                        <w:szCs w:val="19"/>
                      </w:rPr>
                    </w:pPr>
                    <w:r>
                      <w:rPr>
                        <w:rFonts w:ascii="宋体" w:hAnsi="宋体" w:eastAsia="宋体" w:cs="宋体"/>
                        <w:spacing w:val="-4"/>
                        <w:position w:val="3"/>
                        <w:sz w:val="19"/>
                        <w:szCs w:val="19"/>
                      </w:rPr>
                      <w:t>开发</w:t>
                    </w:r>
                    <w:r>
                      <w:rPr>
                        <w:rFonts w:ascii="宋体" w:hAnsi="宋体" w:eastAsia="宋体" w:cs="宋体"/>
                        <w:spacing w:val="3"/>
                        <w:position w:val="3"/>
                        <w:sz w:val="19"/>
                        <w:szCs w:val="19"/>
                      </w:rPr>
                      <w:t xml:space="preserve">         </w:t>
                    </w:r>
                    <w:r>
                      <w:rPr>
                        <w:rFonts w:ascii="宋体" w:hAnsi="宋体" w:eastAsia="宋体" w:cs="宋体"/>
                        <w:spacing w:val="-4"/>
                        <w:position w:val="-3"/>
                        <w:sz w:val="19"/>
                        <w:szCs w:val="19"/>
                      </w:rPr>
                      <w:t>测试</w:t>
                    </w:r>
                  </w:p>
                </w:txbxContent>
              </v:textbox>
            </v:shape>
            <v:shape id="_x0000_s1524" o:spid="_x0000_s1524" o:spt="202" type="#_x0000_t202" style="position:absolute;left:80;top:2078;height:281;width:1463;" filled="f" stroked="f" coordsize="21600,21600">
              <v:path/>
              <v:fill on="f" focussize="0,0"/>
              <v:stroke on="f"/>
              <v:imagedata o:title=""/>
              <o:lock v:ext="edit" aspectratio="f"/>
              <v:textbox inset="0mm,0mm,0mm,0mm">
                <w:txbxContent>
                  <w:p w14:paraId="2DE85715">
                    <w:pPr>
                      <w:spacing w:before="20" w:line="231" w:lineRule="auto"/>
                      <w:ind w:left="20"/>
                      <w:rPr>
                        <w:rFonts w:ascii="宋体" w:hAnsi="宋体" w:eastAsia="宋体" w:cs="宋体"/>
                        <w:sz w:val="19"/>
                        <w:szCs w:val="19"/>
                      </w:rPr>
                    </w:pPr>
                    <w:r>
                      <w:rPr>
                        <w:rFonts w:ascii="宋体" w:hAnsi="宋体" w:eastAsia="宋体" w:cs="宋体"/>
                        <w:spacing w:val="-6"/>
                        <w:position w:val="2"/>
                        <w:sz w:val="19"/>
                        <w:szCs w:val="19"/>
                      </w:rPr>
                      <w:t>需求</w:t>
                    </w:r>
                    <w:r>
                      <w:rPr>
                        <w:rFonts w:ascii="宋体" w:hAnsi="宋体" w:eastAsia="宋体" w:cs="宋体"/>
                        <w:spacing w:val="3"/>
                        <w:position w:val="2"/>
                        <w:sz w:val="19"/>
                        <w:szCs w:val="19"/>
                      </w:rPr>
                      <w:t xml:space="preserve">       </w:t>
                    </w:r>
                    <w:r>
                      <w:rPr>
                        <w:rFonts w:ascii="宋体" w:hAnsi="宋体" w:eastAsia="宋体" w:cs="宋体"/>
                        <w:spacing w:val="-6"/>
                        <w:position w:val="-2"/>
                        <w:sz w:val="19"/>
                        <w:szCs w:val="19"/>
                      </w:rPr>
                      <w:t>计划</w:t>
                    </w:r>
                  </w:p>
                </w:txbxContent>
              </v:textbox>
            </v:shape>
            <v:shape id="_x0000_s1525" o:spid="_x0000_s1525" o:spt="202" type="#_x0000_t202" style="position:absolute;left:4249;top:97;height:230;width:564;" filled="f" stroked="f" coordsize="21600,21600">
              <v:path/>
              <v:fill on="f" focussize="0,0"/>
              <v:stroke on="f"/>
              <v:imagedata o:title=""/>
              <o:lock v:ext="edit" aspectratio="f"/>
              <v:textbox inset="0mm,0mm,0mm,0mm">
                <w:txbxContent>
                  <w:p w14:paraId="1DEE377C">
                    <w:pPr>
                      <w:spacing w:before="20" w:line="219" w:lineRule="auto"/>
                      <w:ind w:left="20"/>
                      <w:rPr>
                        <w:rFonts w:ascii="宋体" w:hAnsi="宋体" w:eastAsia="宋体" w:cs="宋体"/>
                        <w:sz w:val="19"/>
                        <w:szCs w:val="19"/>
                      </w:rPr>
                    </w:pPr>
                    <w:r>
                      <w:rPr>
                        <w:rFonts w:ascii="宋体" w:hAnsi="宋体" w:eastAsia="宋体" w:cs="宋体"/>
                        <w:spacing w:val="-11"/>
                        <w:sz w:val="19"/>
                        <w:szCs w:val="19"/>
                      </w:rPr>
                      <w:t>迭代后</w:t>
                    </w:r>
                  </w:p>
                </w:txbxContent>
              </v:textbox>
            </v:shape>
            <v:shape id="_x0000_s1526" o:spid="_x0000_s1526" o:spt="202" type="#_x0000_t202" style="position:absolute;left:609;top:97;height:230;width:560;" filled="f" stroked="f" coordsize="21600,21600">
              <v:path/>
              <v:fill on="f" focussize="0,0"/>
              <v:stroke on="f"/>
              <v:imagedata o:title=""/>
              <o:lock v:ext="edit" aspectratio="f"/>
              <v:textbox inset="0mm,0mm,0mm,0mm">
                <w:txbxContent>
                  <w:p w14:paraId="202FC285">
                    <w:pPr>
                      <w:spacing w:before="20" w:line="219" w:lineRule="auto"/>
                      <w:ind w:right="3"/>
                      <w:jc w:val="right"/>
                      <w:rPr>
                        <w:rFonts w:ascii="宋体" w:hAnsi="宋体" w:eastAsia="宋体" w:cs="宋体"/>
                        <w:sz w:val="19"/>
                        <w:szCs w:val="19"/>
                      </w:rPr>
                    </w:pPr>
                    <w:r>
                      <w:rPr>
                        <w:rFonts w:ascii="宋体" w:hAnsi="宋体" w:eastAsia="宋体" w:cs="宋体"/>
                        <w:spacing w:val="-12"/>
                        <w:sz w:val="19"/>
                        <w:szCs w:val="19"/>
                      </w:rPr>
                      <w:t>迭代前</w:t>
                    </w:r>
                  </w:p>
                </w:txbxContent>
              </v:textbox>
            </v:shape>
            <v:shape id="_x0000_s1527" o:spid="_x0000_s1527" o:spt="202" type="#_x0000_t202" style="position:absolute;left:4389;top:2118;height:230;width:394;" filled="f" stroked="f" coordsize="21600,21600">
              <v:path/>
              <v:fill on="f" focussize="0,0"/>
              <v:stroke on="f"/>
              <v:imagedata o:title=""/>
              <o:lock v:ext="edit" aspectratio="f"/>
              <v:textbox inset="0mm,0mm,0mm,0mm">
                <w:txbxContent>
                  <w:p w14:paraId="49106821">
                    <w:pPr>
                      <w:spacing w:before="20" w:line="220" w:lineRule="auto"/>
                      <w:ind w:left="20"/>
                      <w:rPr>
                        <w:rFonts w:ascii="宋体" w:hAnsi="宋体" w:eastAsia="宋体" w:cs="宋体"/>
                        <w:sz w:val="19"/>
                        <w:szCs w:val="19"/>
                      </w:rPr>
                    </w:pPr>
                    <w:r>
                      <w:rPr>
                        <w:rFonts w:ascii="宋体" w:hAnsi="宋体" w:eastAsia="宋体" w:cs="宋体"/>
                        <w:spacing w:val="-7"/>
                        <w:sz w:val="19"/>
                        <w:szCs w:val="19"/>
                      </w:rPr>
                      <w:t>回顾</w:t>
                    </w:r>
                  </w:p>
                </w:txbxContent>
              </v:textbox>
            </v:shape>
            <w10:wrap type="none"/>
            <w10:anchorlock/>
          </v:group>
        </w:pict>
      </w:r>
    </w:p>
    <w:p w14:paraId="2AC7167B">
      <w:pPr>
        <w:pStyle w:val="2"/>
        <w:spacing w:before="108" w:line="219" w:lineRule="auto"/>
        <w:ind w:left="3190"/>
        <w:rPr>
          <w:sz w:val="19"/>
          <w:szCs w:val="19"/>
        </w:rPr>
      </w:pPr>
      <w:r>
        <w:rPr>
          <w:spacing w:val="-7"/>
          <w:sz w:val="19"/>
          <w:szCs w:val="19"/>
        </w:rPr>
        <w:t>图16-5</w:t>
      </w:r>
      <w:r>
        <w:rPr>
          <w:spacing w:val="78"/>
          <w:sz w:val="19"/>
          <w:szCs w:val="19"/>
        </w:rPr>
        <w:t xml:space="preserve"> </w:t>
      </w:r>
      <w:r>
        <w:rPr>
          <w:spacing w:val="-7"/>
          <w:sz w:val="19"/>
          <w:szCs w:val="19"/>
        </w:rPr>
        <w:t>迭代型生命周期</w:t>
      </w:r>
    </w:p>
    <w:p w14:paraId="45BC83D5">
      <w:pPr>
        <w:spacing w:before="232" w:line="224" w:lineRule="auto"/>
        <w:ind w:left="410"/>
        <w:rPr>
          <w:rFonts w:ascii="楷体" w:hAnsi="楷体" w:eastAsia="楷体" w:cs="楷体"/>
          <w:sz w:val="19"/>
          <w:szCs w:val="19"/>
        </w:rPr>
      </w:pPr>
      <w:r>
        <w:rPr>
          <w:rFonts w:ascii="楷体" w:hAnsi="楷体" w:eastAsia="楷体" w:cs="楷体"/>
          <w:spacing w:val="19"/>
          <w:sz w:val="19"/>
          <w:szCs w:val="19"/>
        </w:rPr>
        <w:t>3)增量型生命周期</w:t>
      </w:r>
    </w:p>
    <w:p w14:paraId="7EFD0FE9">
      <w:pPr>
        <w:pStyle w:val="2"/>
        <w:spacing w:before="60" w:line="253" w:lineRule="auto"/>
        <w:ind w:right="287" w:firstLine="410"/>
        <w:rPr>
          <w:sz w:val="19"/>
          <w:szCs w:val="19"/>
        </w:rPr>
      </w:pPr>
      <w:r>
        <w:rPr>
          <w:spacing w:val="13"/>
          <w:sz w:val="19"/>
          <w:szCs w:val="19"/>
        </w:rPr>
        <w:t>采用增量型生命周期的项目通过在预定的时间区间</w:t>
      </w:r>
      <w:r>
        <w:rPr>
          <w:spacing w:val="12"/>
          <w:sz w:val="19"/>
          <w:szCs w:val="19"/>
        </w:rPr>
        <w:t>内渐进增加产品功能的一系列迭代来产</w:t>
      </w:r>
      <w:r>
        <w:rPr>
          <w:sz w:val="19"/>
          <w:szCs w:val="19"/>
        </w:rPr>
        <w:t xml:space="preserve"> </w:t>
      </w:r>
      <w:r>
        <w:rPr>
          <w:spacing w:val="13"/>
          <w:sz w:val="19"/>
          <w:szCs w:val="19"/>
        </w:rPr>
        <w:t>出可交付成果。只有在最后一次迭代之后，可交付成果具有了必要和足够的能力，才能被视为</w:t>
      </w:r>
    </w:p>
    <w:p w14:paraId="075DF09D">
      <w:pPr>
        <w:spacing w:line="253" w:lineRule="auto"/>
        <w:rPr>
          <w:sz w:val="19"/>
          <w:szCs w:val="19"/>
        </w:rPr>
        <w:sectPr>
          <w:type w:val="continuous"/>
          <w:pgSz w:w="10290" w:h="13290"/>
          <w:pgMar w:top="329" w:right="612" w:bottom="400" w:left="1059" w:header="0" w:footer="0" w:gutter="0"/>
          <w:cols w:equalWidth="0" w:num="1">
            <w:col w:w="8618"/>
          </w:cols>
        </w:sectPr>
      </w:pPr>
    </w:p>
    <w:p w14:paraId="435A62DA">
      <w:pPr>
        <w:pStyle w:val="2"/>
        <w:rPr>
          <w:sz w:val="18"/>
          <w:szCs w:val="18"/>
        </w:rPr>
      </w:pPr>
      <w:bookmarkStart w:id="680" w:name="bookmark665"/>
      <w:bookmarkEnd w:id="680"/>
      <w:r>
        <w:rPr>
          <w:rFonts w:ascii="Times New Roman" w:hAnsi="Times New Roman" w:eastAsia="Times New Roman" w:cs="Times New Roman"/>
          <w:spacing w:val="12"/>
          <w:position w:val="1"/>
          <w:sz w:val="18"/>
          <w:szCs w:val="18"/>
        </w:rPr>
        <w:t xml:space="preserve">376  </w:t>
      </w:r>
      <w:r>
        <w:rPr>
          <w:position w:val="-10"/>
          <w:sz w:val="18"/>
          <w:szCs w:val="18"/>
        </w:rPr>
        <w:drawing>
          <wp:inline distT="0" distB="0" distL="0" distR="0">
            <wp:extent cx="291465" cy="254000"/>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242"/>
                    <a:stretch>
                      <a:fillRect/>
                    </a:stretch>
                  </pic:blipFill>
                  <pic:spPr>
                    <a:xfrm>
                      <a:off x="0" y="0"/>
                      <a:ext cx="292076" cy="254031"/>
                    </a:xfrm>
                    <a:prstGeom prst="rect">
                      <a:avLst/>
                    </a:prstGeom>
                  </pic:spPr>
                </pic:pic>
              </a:graphicData>
            </a:graphic>
          </wp:inline>
        </w:drawing>
      </w:r>
      <w:r>
        <w:rPr>
          <w:rFonts w:ascii="Times New Roman" w:hAnsi="Times New Roman" w:eastAsia="Times New Roman" w:cs="Times New Roman"/>
          <w:spacing w:val="5"/>
          <w:position w:val="1"/>
          <w:sz w:val="18"/>
          <w:szCs w:val="18"/>
        </w:rPr>
        <w:t xml:space="preserve">   </w:t>
      </w:r>
      <w:r>
        <w:rPr>
          <w:spacing w:val="12"/>
          <w:sz w:val="18"/>
          <w:szCs w:val="18"/>
        </w:rPr>
        <w:t>信息系统监理师教程(第2版)</w:t>
      </w:r>
    </w:p>
    <w:p w14:paraId="7AB61C2C">
      <w:pPr>
        <w:spacing w:line="297" w:lineRule="auto"/>
        <w:rPr>
          <w:rFonts w:ascii="Arial"/>
          <w:sz w:val="21"/>
        </w:rPr>
      </w:pPr>
    </w:p>
    <w:p w14:paraId="2CA04C4B">
      <w:pPr>
        <w:pStyle w:val="2"/>
        <w:spacing w:before="58" w:line="219" w:lineRule="auto"/>
        <w:ind w:left="369"/>
        <w:rPr>
          <w:sz w:val="18"/>
          <w:szCs w:val="18"/>
        </w:rPr>
      </w:pPr>
      <w:r>
        <w:rPr>
          <w:spacing w:val="18"/>
          <w:sz w:val="18"/>
          <w:szCs w:val="18"/>
        </w:rPr>
        <w:t>完整的，如图16-6所示。</w:t>
      </w:r>
    </w:p>
    <w:p w14:paraId="491FBD74">
      <w:pPr>
        <w:spacing w:before="148" w:line="3050" w:lineRule="exact"/>
        <w:ind w:firstLine="1079"/>
      </w:pPr>
      <w:r>
        <w:rPr>
          <w:position w:val="-60"/>
        </w:rPr>
        <w:pict>
          <v:group id="_x0000_s1528" o:spid="_x0000_s1528" o:spt="203" style="height:152.5pt;width:342.55pt;" coordsize="6850,3050">
            <o:lock v:ext="edit"/>
            <v:shape id="_x0000_s1529" o:spid="_x0000_s1529" o:spt="75" type="#_x0000_t75" style="position:absolute;left:0;top:0;height:3050;width:6850;" filled="f" stroked="f" coordsize="21600,21600">
              <v:path/>
              <v:fill on="f" focussize="0,0"/>
              <v:stroke on="f"/>
              <v:imagedata r:id="rId243" o:title=""/>
              <o:lock v:ext="edit" aspectratio="t"/>
            </v:shape>
            <v:shape id="_x0000_s1530" o:spid="_x0000_s1530" o:spt="202" type="#_x0000_t202" style="position:absolute;left:259;top:205;height:2745;width:6304;" filled="f" stroked="f" coordsize="21600,21600">
              <v:path/>
              <v:fill on="f" focussize="0,0"/>
              <v:stroke on="f"/>
              <v:imagedata o:title=""/>
              <o:lock v:ext="edit" aspectratio="f"/>
              <v:textbox inset="0mm,0mm,0mm,0mm">
                <w:txbxContent>
                  <w:p w14:paraId="546B4AAD">
                    <w:pPr>
                      <w:spacing w:before="19" w:line="221" w:lineRule="auto"/>
                      <w:ind w:left="20"/>
                      <w:rPr>
                        <w:rFonts w:ascii="黑体" w:hAnsi="黑体" w:eastAsia="黑体" w:cs="黑体"/>
                        <w:sz w:val="18"/>
                        <w:szCs w:val="18"/>
                      </w:rPr>
                    </w:pPr>
                    <w:r>
                      <w:rPr>
                        <w:rFonts w:ascii="黑体" w:hAnsi="黑体" w:eastAsia="黑体" w:cs="黑体"/>
                        <w:spacing w:val="-2"/>
                        <w:sz w:val="18"/>
                        <w:szCs w:val="18"/>
                      </w:rPr>
                      <w:t>概念</w:t>
                    </w:r>
                  </w:p>
                  <w:p w14:paraId="078A71D8">
                    <w:pPr>
                      <w:spacing w:line="278" w:lineRule="auto"/>
                      <w:rPr>
                        <w:rFonts w:ascii="Arial"/>
                        <w:sz w:val="21"/>
                      </w:rPr>
                    </w:pPr>
                  </w:p>
                  <w:p w14:paraId="5642790B">
                    <w:pPr>
                      <w:spacing w:before="58" w:line="224" w:lineRule="auto"/>
                      <w:ind w:left="620"/>
                      <w:rPr>
                        <w:rFonts w:ascii="黑体" w:hAnsi="黑体" w:eastAsia="黑体" w:cs="黑体"/>
                        <w:sz w:val="18"/>
                        <w:szCs w:val="18"/>
                      </w:rPr>
                    </w:pPr>
                    <w:r>
                      <w:rPr>
                        <w:rFonts w:ascii="黑体" w:hAnsi="黑体" w:eastAsia="黑体" w:cs="黑体"/>
                        <w:spacing w:val="-2"/>
                        <w:sz w:val="18"/>
                        <w:szCs w:val="18"/>
                      </w:rPr>
                      <w:t>计划</w:t>
                    </w:r>
                  </w:p>
                  <w:p w14:paraId="0F94238D">
                    <w:pPr>
                      <w:spacing w:line="307" w:lineRule="auto"/>
                      <w:rPr>
                        <w:rFonts w:ascii="Arial"/>
                        <w:sz w:val="21"/>
                      </w:rPr>
                    </w:pPr>
                  </w:p>
                  <w:p w14:paraId="70B10597">
                    <w:pPr>
                      <w:spacing w:before="59" w:line="222" w:lineRule="auto"/>
                      <w:ind w:left="1260"/>
                      <w:rPr>
                        <w:rFonts w:ascii="黑体" w:hAnsi="黑体" w:eastAsia="黑体" w:cs="黑体"/>
                        <w:sz w:val="18"/>
                        <w:szCs w:val="18"/>
                      </w:rPr>
                    </w:pPr>
                    <w:r>
                      <w:rPr>
                        <w:rFonts w:ascii="黑体" w:hAnsi="黑体" w:eastAsia="黑体" w:cs="黑体"/>
                        <w:spacing w:val="-2"/>
                        <w:sz w:val="18"/>
                        <w:szCs w:val="18"/>
                      </w:rPr>
                      <w:t>设计</w:t>
                    </w:r>
                  </w:p>
                  <w:p w14:paraId="05F852D2">
                    <w:pPr>
                      <w:spacing w:line="317" w:lineRule="auto"/>
                      <w:rPr>
                        <w:rFonts w:ascii="Arial"/>
                        <w:sz w:val="21"/>
                      </w:rPr>
                    </w:pPr>
                  </w:p>
                  <w:p w14:paraId="56DB1AD7">
                    <w:pPr>
                      <w:spacing w:before="58" w:line="225" w:lineRule="auto"/>
                      <w:ind w:left="1880"/>
                      <w:rPr>
                        <w:rFonts w:ascii="黑体" w:hAnsi="黑体" w:eastAsia="黑体" w:cs="黑体"/>
                        <w:sz w:val="18"/>
                        <w:szCs w:val="18"/>
                      </w:rPr>
                    </w:pPr>
                    <w:r>
                      <w:rPr>
                        <w:rFonts w:ascii="黑体" w:hAnsi="黑体" w:eastAsia="黑体" w:cs="黑体"/>
                        <w:spacing w:val="-2"/>
                        <w:sz w:val="18"/>
                        <w:szCs w:val="18"/>
                      </w:rPr>
                      <w:t>构建</w:t>
                    </w:r>
                  </w:p>
                  <w:p w14:paraId="6BB728A3">
                    <w:pPr>
                      <w:spacing w:line="253" w:lineRule="auto"/>
                      <w:rPr>
                        <w:rFonts w:ascii="Arial"/>
                        <w:sz w:val="21"/>
                      </w:rPr>
                    </w:pPr>
                  </w:p>
                  <w:p w14:paraId="252D4A77">
                    <w:pPr>
                      <w:spacing w:line="253" w:lineRule="auto"/>
                      <w:rPr>
                        <w:rFonts w:ascii="Arial"/>
                        <w:sz w:val="21"/>
                      </w:rPr>
                    </w:pPr>
                  </w:p>
                  <w:p w14:paraId="566F7931">
                    <w:pPr>
                      <w:spacing w:before="59" w:line="223" w:lineRule="auto"/>
                      <w:ind w:right="16"/>
                      <w:jc w:val="right"/>
                      <w:rPr>
                        <w:rFonts w:ascii="黑体" w:hAnsi="黑体" w:eastAsia="黑体" w:cs="黑体"/>
                        <w:sz w:val="18"/>
                        <w:szCs w:val="18"/>
                      </w:rPr>
                    </w:pPr>
                    <w:r>
                      <w:rPr>
                        <w:rFonts w:ascii="黑体" w:hAnsi="黑体" w:eastAsia="黑体" w:cs="黑体"/>
                        <w:spacing w:val="-2"/>
                        <w:sz w:val="18"/>
                        <w:szCs w:val="18"/>
                      </w:rPr>
                      <w:t>收尾</w:t>
                    </w:r>
                  </w:p>
                </w:txbxContent>
              </v:textbox>
            </v:shape>
            <v:shape id="_x0000_s1531" o:spid="_x0000_s1531" o:spt="202" type="#_x0000_t202" style="position:absolute;left:4119;top:1940;height:222;width:395;" filled="f" stroked="f" coordsize="21600,21600">
              <v:path/>
              <v:fill on="f" focussize="0,0"/>
              <v:stroke on="f"/>
              <v:imagedata o:title=""/>
              <o:lock v:ext="edit" aspectratio="f"/>
              <v:textbox inset="0mm,0mm,0mm,0mm">
                <w:txbxContent>
                  <w:p w14:paraId="006E0564">
                    <w:pPr>
                      <w:spacing w:before="20" w:line="225" w:lineRule="auto"/>
                      <w:ind w:left="20"/>
                      <w:rPr>
                        <w:rFonts w:ascii="黑体" w:hAnsi="黑体" w:eastAsia="黑体" w:cs="黑体"/>
                        <w:sz w:val="18"/>
                        <w:szCs w:val="18"/>
                      </w:rPr>
                    </w:pPr>
                    <w:r>
                      <w:rPr>
                        <w:rFonts w:ascii="黑体" w:hAnsi="黑体" w:eastAsia="黑体" w:cs="黑体"/>
                        <w:spacing w:val="-2"/>
                        <w:sz w:val="18"/>
                        <w:szCs w:val="18"/>
                      </w:rPr>
                      <w:t>构建</w:t>
                    </w:r>
                  </w:p>
                </w:txbxContent>
              </v:textbox>
            </v:shape>
            <v:shape id="_x0000_s1532" o:spid="_x0000_s1532" o:spt="202" type="#_x0000_t202" style="position:absolute;left:6180;top:1940;height:222;width:395;" filled="f" stroked="f" coordsize="21600,21600">
              <v:path/>
              <v:fill on="f" focussize="0,0"/>
              <v:stroke on="f"/>
              <v:imagedata o:title=""/>
              <o:lock v:ext="edit" aspectratio="f"/>
              <v:textbox inset="0mm,0mm,0mm,0mm">
                <w:txbxContent>
                  <w:p w14:paraId="33AB797A">
                    <w:pPr>
                      <w:spacing w:before="20" w:line="225" w:lineRule="auto"/>
                      <w:ind w:left="20"/>
                      <w:rPr>
                        <w:rFonts w:ascii="黑体" w:hAnsi="黑体" w:eastAsia="黑体" w:cs="黑体"/>
                        <w:sz w:val="18"/>
                        <w:szCs w:val="18"/>
                      </w:rPr>
                    </w:pPr>
                    <w:r>
                      <w:rPr>
                        <w:rFonts w:ascii="黑体" w:hAnsi="黑体" w:eastAsia="黑体" w:cs="黑体"/>
                        <w:spacing w:val="-2"/>
                        <w:sz w:val="18"/>
                        <w:szCs w:val="18"/>
                      </w:rPr>
                      <w:t>构建</w:t>
                    </w:r>
                  </w:p>
                </w:txbxContent>
              </v:textbox>
            </v:shape>
            <v:shape id="_x0000_s1533" o:spid="_x0000_s1533" o:spt="202" type="#_x0000_t202" style="position:absolute;left:2849;top:759;height:222;width:392;" filled="f" stroked="f" coordsize="21600,21600">
              <v:path/>
              <v:fill on="f" focussize="0,0"/>
              <v:stroke on="f"/>
              <v:imagedata o:title=""/>
              <o:lock v:ext="edit" aspectratio="f"/>
              <v:textbox inset="0mm,0mm,0mm,0mm">
                <w:txbxContent>
                  <w:p w14:paraId="0DA3E7FA">
                    <w:pPr>
                      <w:spacing w:before="20" w:line="224" w:lineRule="auto"/>
                      <w:ind w:left="20"/>
                      <w:rPr>
                        <w:rFonts w:ascii="黑体" w:hAnsi="黑体" w:eastAsia="黑体" w:cs="黑体"/>
                        <w:sz w:val="18"/>
                        <w:szCs w:val="18"/>
                      </w:rPr>
                    </w:pPr>
                    <w:r>
                      <w:rPr>
                        <w:rFonts w:ascii="黑体" w:hAnsi="黑体" w:eastAsia="黑体" w:cs="黑体"/>
                        <w:spacing w:val="-2"/>
                        <w:sz w:val="18"/>
                        <w:szCs w:val="18"/>
                      </w:rPr>
                      <w:t>计划</w:t>
                    </w:r>
                  </w:p>
                </w:txbxContent>
              </v:textbox>
            </v:shape>
            <v:shape id="_x0000_s1534" o:spid="_x0000_s1534" o:spt="202" type="#_x0000_t202" style="position:absolute;left:4900;top:769;height:222;width:392;" filled="f" stroked="f" coordsize="21600,21600">
              <v:path/>
              <v:fill on="f" focussize="0,0"/>
              <v:stroke on="f"/>
              <v:imagedata o:title=""/>
              <o:lock v:ext="edit" aspectratio="f"/>
              <v:textbox inset="0mm,0mm,0mm,0mm">
                <w:txbxContent>
                  <w:p w14:paraId="0ACD47A3">
                    <w:pPr>
                      <w:spacing w:before="20" w:line="224" w:lineRule="auto"/>
                      <w:ind w:left="20"/>
                      <w:rPr>
                        <w:rFonts w:ascii="黑体" w:hAnsi="黑体" w:eastAsia="黑体" w:cs="黑体"/>
                        <w:sz w:val="18"/>
                        <w:szCs w:val="18"/>
                      </w:rPr>
                    </w:pPr>
                    <w:r>
                      <w:rPr>
                        <w:rFonts w:ascii="黑体" w:hAnsi="黑体" w:eastAsia="黑体" w:cs="黑体"/>
                        <w:spacing w:val="-2"/>
                        <w:sz w:val="18"/>
                        <w:szCs w:val="18"/>
                      </w:rPr>
                      <w:t>计划</w:t>
                    </w:r>
                  </w:p>
                </w:txbxContent>
              </v:textbox>
            </v:shape>
            <v:shape id="_x0000_s1535" o:spid="_x0000_s1535" o:spt="202" type="#_x0000_t202" style="position:absolute;left:3490;top:1346;height:222;width:392;" filled="f" stroked="f" coordsize="21600,21600">
              <v:path/>
              <v:fill on="f" focussize="0,0"/>
              <v:stroke on="f"/>
              <v:imagedata o:title=""/>
              <o:lock v:ext="edit" aspectratio="f"/>
              <v:textbox inset="0mm,0mm,0mm,0mm">
                <w:txbxContent>
                  <w:p w14:paraId="09BDA27C">
                    <w:pPr>
                      <w:spacing w:before="19" w:line="222" w:lineRule="auto"/>
                      <w:ind w:left="20"/>
                      <w:rPr>
                        <w:rFonts w:ascii="黑体" w:hAnsi="黑体" w:eastAsia="黑体" w:cs="黑体"/>
                        <w:sz w:val="18"/>
                        <w:szCs w:val="18"/>
                      </w:rPr>
                    </w:pPr>
                    <w:r>
                      <w:rPr>
                        <w:rFonts w:ascii="黑体" w:hAnsi="黑体" w:eastAsia="黑体" w:cs="黑体"/>
                        <w:spacing w:val="-2"/>
                        <w:sz w:val="18"/>
                        <w:szCs w:val="18"/>
                      </w:rPr>
                      <w:t>设计</w:t>
                    </w:r>
                  </w:p>
                </w:txbxContent>
              </v:textbox>
            </v:shape>
            <v:shape id="_x0000_s1536" o:spid="_x0000_s1536" o:spt="202" type="#_x0000_t202" style="position:absolute;left:5530;top:1346;height:222;width:392;" filled="f" stroked="f" coordsize="21600,21600">
              <v:path/>
              <v:fill on="f" focussize="0,0"/>
              <v:stroke on="f"/>
              <v:imagedata o:title=""/>
              <o:lock v:ext="edit" aspectratio="f"/>
              <v:textbox inset="0mm,0mm,0mm,0mm">
                <w:txbxContent>
                  <w:p w14:paraId="6AEC4992">
                    <w:pPr>
                      <w:spacing w:before="19" w:line="222" w:lineRule="auto"/>
                      <w:ind w:left="20"/>
                      <w:rPr>
                        <w:rFonts w:ascii="黑体" w:hAnsi="黑体" w:eastAsia="黑体" w:cs="黑体"/>
                        <w:sz w:val="18"/>
                        <w:szCs w:val="18"/>
                      </w:rPr>
                    </w:pPr>
                    <w:r>
                      <w:rPr>
                        <w:rFonts w:ascii="黑体" w:hAnsi="黑体" w:eastAsia="黑体" w:cs="黑体"/>
                        <w:spacing w:val="-2"/>
                        <w:sz w:val="18"/>
                        <w:szCs w:val="18"/>
                      </w:rPr>
                      <w:t>设计</w:t>
                    </w:r>
                  </w:p>
                </w:txbxContent>
              </v:textbox>
            </v:shape>
            <w10:wrap type="none"/>
            <w10:anchorlock/>
          </v:group>
        </w:pict>
      </w:r>
    </w:p>
    <w:p w14:paraId="714A40E9">
      <w:pPr>
        <w:pStyle w:val="2"/>
        <w:spacing w:before="128" w:line="220" w:lineRule="auto"/>
        <w:ind w:left="3539"/>
        <w:rPr>
          <w:sz w:val="18"/>
          <w:szCs w:val="18"/>
        </w:rPr>
      </w:pPr>
      <w:r>
        <w:rPr>
          <w:spacing w:val="-1"/>
          <w:sz w:val="18"/>
          <w:szCs w:val="18"/>
        </w:rPr>
        <w:t>图16-6</w:t>
      </w:r>
      <w:r>
        <w:rPr>
          <w:spacing w:val="74"/>
          <w:sz w:val="18"/>
          <w:szCs w:val="18"/>
        </w:rPr>
        <w:t xml:space="preserve"> </w:t>
      </w:r>
      <w:r>
        <w:rPr>
          <w:spacing w:val="-1"/>
          <w:sz w:val="18"/>
          <w:szCs w:val="18"/>
        </w:rPr>
        <w:t>增量型生命周期</w:t>
      </w:r>
    </w:p>
    <w:p w14:paraId="48EBBC6E">
      <w:pPr>
        <w:pStyle w:val="2"/>
        <w:spacing w:before="214" w:line="305" w:lineRule="auto"/>
        <w:ind w:left="369" w:right="8" w:firstLine="370"/>
        <w:rPr>
          <w:sz w:val="18"/>
          <w:szCs w:val="18"/>
        </w:rPr>
      </w:pPr>
      <w:r>
        <w:rPr>
          <w:spacing w:val="23"/>
          <w:sz w:val="18"/>
          <w:szCs w:val="18"/>
        </w:rPr>
        <w:t>迭代方法和增量方法的区别：迭代方法是通过一系列重复的循环活动来开发产品，而增量</w:t>
      </w:r>
      <w:r>
        <w:rPr>
          <w:spacing w:val="9"/>
          <w:sz w:val="18"/>
          <w:szCs w:val="18"/>
        </w:rPr>
        <w:t xml:space="preserve"> </w:t>
      </w:r>
      <w:r>
        <w:rPr>
          <w:spacing w:val="17"/>
          <w:sz w:val="18"/>
          <w:szCs w:val="18"/>
        </w:rPr>
        <w:t>方法是渐进地增加产品的功能。</w:t>
      </w:r>
    </w:p>
    <w:p w14:paraId="357F81B8">
      <w:pPr>
        <w:spacing w:before="103" w:line="224" w:lineRule="auto"/>
        <w:ind w:left="739"/>
        <w:rPr>
          <w:rFonts w:ascii="楷体" w:hAnsi="楷体" w:eastAsia="楷体" w:cs="楷体"/>
          <w:sz w:val="18"/>
          <w:szCs w:val="18"/>
        </w:rPr>
      </w:pPr>
      <w:r>
        <w:rPr>
          <w:rFonts w:ascii="楷体" w:hAnsi="楷体" w:eastAsia="楷体" w:cs="楷体"/>
          <w:spacing w:val="29"/>
          <w:sz w:val="18"/>
          <w:szCs w:val="18"/>
        </w:rPr>
        <w:t>4)适应型生命周期</w:t>
      </w:r>
    </w:p>
    <w:p w14:paraId="310F313E">
      <w:pPr>
        <w:pStyle w:val="2"/>
        <w:spacing w:before="91" w:line="314" w:lineRule="auto"/>
        <w:ind w:left="369" w:right="2" w:firstLine="370"/>
        <w:rPr>
          <w:sz w:val="18"/>
          <w:szCs w:val="18"/>
        </w:rPr>
      </w:pPr>
      <w:r>
        <w:rPr>
          <w:spacing w:val="22"/>
          <w:sz w:val="18"/>
          <w:szCs w:val="18"/>
        </w:rPr>
        <w:t>采用适应型开发方法的项目又称敏捷型或变更驱动型项目，适合于需求不确定，不断发展</w:t>
      </w:r>
      <w:r>
        <w:rPr>
          <w:spacing w:val="10"/>
          <w:sz w:val="18"/>
          <w:szCs w:val="18"/>
        </w:rPr>
        <w:t xml:space="preserve"> </w:t>
      </w:r>
      <w:r>
        <w:rPr>
          <w:spacing w:val="22"/>
          <w:sz w:val="18"/>
          <w:szCs w:val="18"/>
        </w:rPr>
        <w:t>变化的项目。通过多次迭代来开发可交付成果，并在迭代开始之前就得到了定义和批准，每次</w:t>
      </w:r>
      <w:r>
        <w:rPr>
          <w:spacing w:val="13"/>
          <w:sz w:val="18"/>
          <w:szCs w:val="18"/>
        </w:rPr>
        <w:t xml:space="preserve"> </w:t>
      </w:r>
      <w:r>
        <w:rPr>
          <w:spacing w:val="27"/>
          <w:sz w:val="18"/>
          <w:szCs w:val="18"/>
        </w:rPr>
        <w:t>迭代(有时称为“冲刺”)结束时，客户会对具有功能性的可交付物进</w:t>
      </w:r>
      <w:r>
        <w:rPr>
          <w:spacing w:val="26"/>
          <w:sz w:val="18"/>
          <w:szCs w:val="18"/>
        </w:rPr>
        <w:t>行审查。在审查时，关</w:t>
      </w:r>
      <w:r>
        <w:rPr>
          <w:sz w:val="18"/>
          <w:szCs w:val="18"/>
        </w:rPr>
        <w:t xml:space="preserve"> </w:t>
      </w:r>
      <w:r>
        <w:rPr>
          <w:spacing w:val="23"/>
          <w:sz w:val="18"/>
          <w:szCs w:val="18"/>
        </w:rPr>
        <w:t>键干系人会提供反馈，项目团队会更新项目待办</w:t>
      </w:r>
      <w:r>
        <w:rPr>
          <w:spacing w:val="22"/>
          <w:sz w:val="18"/>
          <w:szCs w:val="18"/>
        </w:rPr>
        <w:t>事项列表，以确定下一次迭代中特性和功能的</w:t>
      </w:r>
      <w:r>
        <w:rPr>
          <w:sz w:val="18"/>
          <w:szCs w:val="18"/>
        </w:rPr>
        <w:t xml:space="preserve"> </w:t>
      </w:r>
      <w:r>
        <w:rPr>
          <w:spacing w:val="21"/>
          <w:sz w:val="18"/>
          <w:szCs w:val="18"/>
        </w:rPr>
        <w:t>优先级，如图16-7所示。适应型项目生命周期的特点是，先基于初始需求制订一套高层级的计</w:t>
      </w:r>
      <w:r>
        <w:rPr>
          <w:spacing w:val="13"/>
          <w:sz w:val="18"/>
          <w:szCs w:val="18"/>
        </w:rPr>
        <w:t xml:space="preserve"> </w:t>
      </w:r>
      <w:r>
        <w:rPr>
          <w:spacing w:val="18"/>
          <w:sz w:val="18"/>
          <w:szCs w:val="18"/>
        </w:rPr>
        <w:t>划，再逐渐把需求细化到适合特定的规划周期所需的</w:t>
      </w:r>
      <w:r>
        <w:rPr>
          <w:spacing w:val="17"/>
          <w:sz w:val="18"/>
          <w:szCs w:val="18"/>
        </w:rPr>
        <w:t>详细程度。</w:t>
      </w:r>
    </w:p>
    <w:p w14:paraId="341C6F59">
      <w:pPr>
        <w:pStyle w:val="2"/>
        <w:spacing w:before="89" w:line="2630" w:lineRule="exact"/>
        <w:ind w:firstLine="1439"/>
      </w:pPr>
      <w:r>
        <w:rPr>
          <w:position w:val="-52"/>
        </w:rPr>
        <w:pict>
          <v:group id="_x0000_s1537" o:spid="_x0000_s1537" o:spt="203" style="height:131.55pt;width:308.05pt;" coordsize="6160,2631">
            <o:lock v:ext="edit"/>
            <v:shape id="_x0000_s1538" o:spid="_x0000_s1538" o:spt="75" type="#_x0000_t75" style="position:absolute;left:0;top:0;height:2631;width:6160;" filled="f" stroked="f" coordsize="21600,21600">
              <v:path/>
              <v:fill on="f" focussize="0,0"/>
              <v:stroke on="f"/>
              <v:imagedata r:id="rId244" o:title=""/>
              <o:lock v:ext="edit" aspectratio="t"/>
            </v:shape>
            <v:shape id="_x0000_s1539" o:spid="_x0000_s1539" o:spt="202" type="#_x0000_t202" style="position:absolute;left:179;top:277;height:2211;width:3493;" filled="f" stroked="f" coordsize="21600,21600">
              <v:path/>
              <v:fill on="f" focussize="0,0"/>
              <v:stroke on="f"/>
              <v:imagedata o:title=""/>
              <o:lock v:ext="edit" aspectratio="f"/>
              <v:textbox inset="0mm,0mm,0mm,0mm">
                <w:txbxContent>
                  <w:p w14:paraId="2AB3D329">
                    <w:pPr>
                      <w:spacing w:before="20" w:line="222" w:lineRule="auto"/>
                      <w:ind w:left="90" w:right="2584" w:hanging="70"/>
                      <w:rPr>
                        <w:rFonts w:ascii="宋体" w:hAnsi="宋体" w:eastAsia="宋体" w:cs="宋体"/>
                        <w:sz w:val="18"/>
                        <w:szCs w:val="18"/>
                      </w:rPr>
                    </w:pPr>
                    <w:r>
                      <w:rPr>
                        <w:rFonts w:ascii="宋体" w:hAnsi="宋体" w:eastAsia="宋体" w:cs="宋体"/>
                        <w:spacing w:val="-3"/>
                        <w:sz w:val="18"/>
                        <w:szCs w:val="18"/>
                      </w:rPr>
                      <w:t>定义项目和</w:t>
                    </w:r>
                    <w:r>
                      <w:rPr>
                        <w:rFonts w:ascii="宋体" w:hAnsi="宋体" w:eastAsia="宋体" w:cs="宋体"/>
                        <w:spacing w:val="2"/>
                        <w:sz w:val="18"/>
                        <w:szCs w:val="18"/>
                      </w:rPr>
                      <w:t xml:space="preserve"> </w:t>
                    </w:r>
                    <w:r>
                      <w:rPr>
                        <w:rFonts w:ascii="宋体" w:hAnsi="宋体" w:eastAsia="宋体" w:cs="宋体"/>
                        <w:spacing w:val="-2"/>
                        <w:sz w:val="18"/>
                        <w:szCs w:val="18"/>
                      </w:rPr>
                      <w:t>产品愿景</w:t>
                    </w:r>
                  </w:p>
                  <w:p w14:paraId="2CC93A1B">
                    <w:pPr>
                      <w:spacing w:line="385" w:lineRule="auto"/>
                      <w:rPr>
                        <w:rFonts w:ascii="Arial"/>
                        <w:sz w:val="21"/>
                      </w:rPr>
                    </w:pPr>
                  </w:p>
                  <w:p w14:paraId="2CB696CB">
                    <w:pPr>
                      <w:spacing w:before="59" w:line="222" w:lineRule="auto"/>
                      <w:ind w:right="18"/>
                      <w:jc w:val="right"/>
                      <w:rPr>
                        <w:rFonts w:ascii="黑体" w:hAnsi="黑体" w:eastAsia="黑体" w:cs="黑体"/>
                        <w:sz w:val="18"/>
                        <w:szCs w:val="18"/>
                      </w:rPr>
                    </w:pPr>
                    <w:r>
                      <w:rPr>
                        <w:rFonts w:ascii="黑体" w:hAnsi="黑体" w:eastAsia="黑体" w:cs="黑体"/>
                        <w:spacing w:val="1"/>
                        <w:sz w:val="18"/>
                        <w:szCs w:val="18"/>
                      </w:rPr>
                      <w:t>迭代1</w:t>
                    </w:r>
                    <w:r>
                      <w:rPr>
                        <w:rFonts w:ascii="黑体" w:hAnsi="黑体" w:eastAsia="黑体" w:cs="黑体"/>
                        <w:spacing w:val="3"/>
                        <w:sz w:val="18"/>
                        <w:szCs w:val="18"/>
                      </w:rPr>
                      <w:t xml:space="preserve">            </w:t>
                    </w:r>
                    <w:r>
                      <w:rPr>
                        <w:rFonts w:ascii="黑体" w:hAnsi="黑体" w:eastAsia="黑体" w:cs="黑体"/>
                        <w:spacing w:val="1"/>
                        <w:sz w:val="18"/>
                        <w:szCs w:val="18"/>
                      </w:rPr>
                      <w:t>迭代2</w:t>
                    </w:r>
                  </w:p>
                  <w:p w14:paraId="4FFB730B">
                    <w:pPr>
                      <w:spacing w:line="309" w:lineRule="auto"/>
                      <w:rPr>
                        <w:rFonts w:ascii="Arial"/>
                        <w:sz w:val="21"/>
                      </w:rPr>
                    </w:pPr>
                  </w:p>
                  <w:p w14:paraId="72CDA2DE">
                    <w:pPr>
                      <w:spacing w:line="310" w:lineRule="auto"/>
                      <w:rPr>
                        <w:rFonts w:ascii="Arial"/>
                        <w:sz w:val="21"/>
                      </w:rPr>
                    </w:pPr>
                  </w:p>
                  <w:p w14:paraId="3564195F">
                    <w:pPr>
                      <w:spacing w:before="59" w:line="218" w:lineRule="auto"/>
                      <w:ind w:left="2200" w:right="262"/>
                      <w:rPr>
                        <w:rFonts w:ascii="黑体" w:hAnsi="黑体" w:eastAsia="黑体" w:cs="黑体"/>
                        <w:sz w:val="18"/>
                        <w:szCs w:val="18"/>
                      </w:rPr>
                    </w:pPr>
                    <w:r>
                      <w:rPr>
                        <w:rFonts w:ascii="黑体" w:hAnsi="黑体" w:eastAsia="黑体" w:cs="黑体"/>
                        <w:spacing w:val="-9"/>
                        <w:sz w:val="18"/>
                        <w:szCs w:val="18"/>
                      </w:rPr>
                      <w:t>反馈的待办事</w:t>
                    </w:r>
                    <w:r>
                      <w:rPr>
                        <w:rFonts w:ascii="黑体" w:hAnsi="黑体" w:eastAsia="黑体" w:cs="黑体"/>
                        <w:spacing w:val="2"/>
                        <w:sz w:val="18"/>
                        <w:szCs w:val="18"/>
                      </w:rPr>
                      <w:t xml:space="preserve"> </w:t>
                    </w:r>
                    <w:r>
                      <w:rPr>
                        <w:rFonts w:ascii="黑体" w:hAnsi="黑体" w:eastAsia="黑体" w:cs="黑体"/>
                        <w:spacing w:val="-9"/>
                        <w:sz w:val="18"/>
                        <w:szCs w:val="18"/>
                      </w:rPr>
                      <w:t>项优先级排序</w:t>
                    </w:r>
                  </w:p>
                </w:txbxContent>
              </v:textbox>
            </v:shape>
            <v:shape id="_x0000_s1540" o:spid="_x0000_s1540" o:spt="202" type="#_x0000_t202" style="position:absolute;left:3979;top:2055;height:442;width:1070;" filled="f" stroked="f" coordsize="21600,21600">
              <v:path/>
              <v:fill on="f" focussize="0,0"/>
              <v:stroke on="f"/>
              <v:imagedata o:title=""/>
              <o:lock v:ext="edit" aspectratio="f"/>
              <v:textbox inset="0mm,0mm,0mm,0mm">
                <w:txbxContent>
                  <w:p w14:paraId="0139F00D">
                    <w:pPr>
                      <w:spacing w:before="20" w:line="223" w:lineRule="auto"/>
                      <w:ind w:left="30" w:right="20" w:hanging="10"/>
                      <w:rPr>
                        <w:rFonts w:ascii="黑体" w:hAnsi="黑体" w:eastAsia="黑体" w:cs="黑体"/>
                        <w:sz w:val="18"/>
                        <w:szCs w:val="18"/>
                      </w:rPr>
                    </w:pPr>
                    <w:r>
                      <w:rPr>
                        <w:rFonts w:ascii="黑体" w:hAnsi="黑体" w:eastAsia="黑体" w:cs="黑体"/>
                        <w:spacing w:val="-9"/>
                        <w:sz w:val="18"/>
                        <w:szCs w:val="18"/>
                      </w:rPr>
                      <w:t>反馈的待办事</w:t>
                    </w:r>
                    <w:r>
                      <w:rPr>
                        <w:rFonts w:ascii="黑体" w:hAnsi="黑体" w:eastAsia="黑体" w:cs="黑体"/>
                        <w:spacing w:val="2"/>
                        <w:sz w:val="18"/>
                        <w:szCs w:val="18"/>
                      </w:rPr>
                      <w:t xml:space="preserve"> </w:t>
                    </w:r>
                    <w:r>
                      <w:rPr>
                        <w:rFonts w:ascii="黑体" w:hAnsi="黑体" w:eastAsia="黑体" w:cs="黑体"/>
                        <w:spacing w:val="-10"/>
                        <w:sz w:val="18"/>
                        <w:szCs w:val="18"/>
                      </w:rPr>
                      <w:t>项优先级排序</w:t>
                    </w:r>
                  </w:p>
                </w:txbxContent>
              </v:textbox>
            </v:shape>
            <v:shape id="_x0000_s1541" o:spid="_x0000_s1541" o:spt="202" type="#_x0000_t202" style="position:absolute;left:4789;top:1157;height:222;width:482;" filled="f" stroked="f" coordsize="21600,21600">
              <v:path/>
              <v:fill on="f" focussize="0,0"/>
              <v:stroke on="f"/>
              <v:imagedata o:title=""/>
              <o:lock v:ext="edit" aspectratio="f"/>
              <v:textbox inset="0mm,0mm,0mm,0mm">
                <w:txbxContent>
                  <w:p w14:paraId="11F8A755">
                    <w:pPr>
                      <w:spacing w:before="20" w:line="222" w:lineRule="auto"/>
                      <w:ind w:left="20"/>
                      <w:rPr>
                        <w:rFonts w:ascii="黑体" w:hAnsi="黑体" w:eastAsia="黑体" w:cs="黑体"/>
                        <w:sz w:val="18"/>
                        <w:szCs w:val="18"/>
                      </w:rPr>
                    </w:pPr>
                    <w:r>
                      <w:rPr>
                        <w:rFonts w:ascii="黑体" w:hAnsi="黑体" w:eastAsia="黑体" w:cs="黑体"/>
                        <w:spacing w:val="-2"/>
                        <w:sz w:val="18"/>
                        <w:szCs w:val="18"/>
                      </w:rPr>
                      <w:t>迭代3</w:t>
                    </w:r>
                  </w:p>
                </w:txbxContent>
              </v:textbox>
            </v:shape>
            <w10:wrap type="none"/>
            <w10:anchorlock/>
          </v:group>
        </w:pict>
      </w:r>
    </w:p>
    <w:p w14:paraId="3B1F1C50">
      <w:pPr>
        <w:pStyle w:val="2"/>
        <w:spacing w:before="98" w:line="220" w:lineRule="auto"/>
        <w:ind w:left="3539"/>
        <w:rPr>
          <w:sz w:val="18"/>
          <w:szCs w:val="18"/>
        </w:rPr>
      </w:pPr>
      <w:r>
        <w:rPr>
          <w:spacing w:val="-1"/>
          <w:sz w:val="18"/>
          <w:szCs w:val="18"/>
        </w:rPr>
        <w:t>图16-7</w:t>
      </w:r>
      <w:r>
        <w:rPr>
          <w:spacing w:val="75"/>
          <w:sz w:val="18"/>
          <w:szCs w:val="18"/>
        </w:rPr>
        <w:t xml:space="preserve"> </w:t>
      </w:r>
      <w:r>
        <w:rPr>
          <w:spacing w:val="-1"/>
          <w:sz w:val="18"/>
          <w:szCs w:val="18"/>
        </w:rPr>
        <w:t>适应型生命周期</w:t>
      </w:r>
    </w:p>
    <w:p w14:paraId="7DCBD3C3">
      <w:pPr>
        <w:spacing w:before="282" w:line="224" w:lineRule="auto"/>
        <w:ind w:left="739"/>
        <w:rPr>
          <w:rFonts w:ascii="楷体" w:hAnsi="楷体" w:eastAsia="楷体" w:cs="楷体"/>
          <w:sz w:val="18"/>
          <w:szCs w:val="18"/>
        </w:rPr>
      </w:pPr>
      <w:r>
        <w:rPr>
          <w:rFonts w:ascii="楷体" w:hAnsi="楷体" w:eastAsia="楷体" w:cs="楷体"/>
          <w:spacing w:val="29"/>
          <w:sz w:val="18"/>
          <w:szCs w:val="18"/>
        </w:rPr>
        <w:t>5)混合型生命周期</w:t>
      </w:r>
    </w:p>
    <w:p w14:paraId="140A1189">
      <w:pPr>
        <w:pStyle w:val="2"/>
        <w:spacing w:before="103" w:line="301" w:lineRule="auto"/>
        <w:ind w:left="369" w:firstLine="370"/>
        <w:rPr>
          <w:sz w:val="18"/>
          <w:szCs w:val="18"/>
        </w:rPr>
      </w:pPr>
      <w:r>
        <w:rPr>
          <w:spacing w:val="22"/>
          <w:sz w:val="18"/>
          <w:szCs w:val="18"/>
        </w:rPr>
        <w:t>混合型生命周期是预测型生命周期和适应型生命周期的组合。项目生命周期具有复杂性和</w:t>
      </w:r>
      <w:r>
        <w:rPr>
          <w:spacing w:val="15"/>
          <w:sz w:val="18"/>
          <w:szCs w:val="18"/>
        </w:rPr>
        <w:t xml:space="preserve"> </w:t>
      </w:r>
      <w:r>
        <w:rPr>
          <w:spacing w:val="23"/>
          <w:sz w:val="18"/>
          <w:szCs w:val="18"/>
        </w:rPr>
        <w:t>多维性。特定项目的不同阶段往往采用不同的生命周</w:t>
      </w:r>
      <w:r>
        <w:rPr>
          <w:spacing w:val="22"/>
          <w:sz w:val="18"/>
          <w:szCs w:val="18"/>
        </w:rPr>
        <w:t>期，项目管理团队需要确定项目及其不同</w:t>
      </w:r>
      <w:r>
        <w:rPr>
          <w:sz w:val="18"/>
          <w:szCs w:val="18"/>
        </w:rPr>
        <w:t xml:space="preserve"> </w:t>
      </w:r>
      <w:r>
        <w:rPr>
          <w:spacing w:val="25"/>
          <w:sz w:val="18"/>
          <w:szCs w:val="18"/>
        </w:rPr>
        <w:t>阶段最适合的生命周期。各生命周期的联系与区别如表16-</w:t>
      </w:r>
      <w:r>
        <w:rPr>
          <w:spacing w:val="-41"/>
          <w:sz w:val="18"/>
          <w:szCs w:val="18"/>
        </w:rPr>
        <w:t xml:space="preserve"> </w:t>
      </w:r>
      <w:r>
        <w:rPr>
          <w:spacing w:val="25"/>
          <w:sz w:val="18"/>
          <w:szCs w:val="18"/>
        </w:rPr>
        <w:t>3所示。开发生命周期需要足够灵</w:t>
      </w:r>
      <w:r>
        <w:rPr>
          <w:sz w:val="18"/>
          <w:szCs w:val="18"/>
        </w:rPr>
        <w:t xml:space="preserve"> </w:t>
      </w:r>
      <w:r>
        <w:rPr>
          <w:spacing w:val="17"/>
          <w:sz w:val="18"/>
          <w:szCs w:val="18"/>
        </w:rPr>
        <w:t>活，才能够应对项目包含的各种因素。</w:t>
      </w:r>
    </w:p>
    <w:p w14:paraId="00F167B7">
      <w:pPr>
        <w:spacing w:line="301" w:lineRule="auto"/>
        <w:rPr>
          <w:sz w:val="18"/>
          <w:szCs w:val="18"/>
        </w:rPr>
        <w:sectPr>
          <w:pgSz w:w="10290" w:h="13420"/>
          <w:pgMar w:top="349" w:right="1083" w:bottom="400" w:left="530" w:header="0" w:footer="0" w:gutter="0"/>
          <w:cols w:space="720" w:num="1"/>
        </w:sectPr>
      </w:pPr>
    </w:p>
    <w:p w14:paraId="06CFB36E">
      <w:pPr>
        <w:pStyle w:val="2"/>
        <w:jc w:val="right"/>
        <w:rPr>
          <w:rFonts w:ascii="Times New Roman" w:hAnsi="Times New Roman" w:eastAsia="Times New Roman" w:cs="Times New Roman"/>
          <w:sz w:val="19"/>
          <w:szCs w:val="19"/>
        </w:rPr>
      </w:pPr>
      <w:r>
        <w:rPr>
          <w:spacing w:val="4"/>
          <w:sz w:val="19"/>
          <w:szCs w:val="19"/>
        </w:rPr>
        <w:t>第16章</w:t>
      </w:r>
      <w:r>
        <w:rPr>
          <w:spacing w:val="43"/>
          <w:sz w:val="19"/>
          <w:szCs w:val="19"/>
        </w:rPr>
        <w:t xml:space="preserve"> </w:t>
      </w:r>
      <w:r>
        <w:rPr>
          <w:spacing w:val="4"/>
          <w:sz w:val="19"/>
          <w:szCs w:val="19"/>
        </w:rPr>
        <w:t>项目管理</w:t>
      </w:r>
      <w:r>
        <w:rPr>
          <w:spacing w:val="29"/>
          <w:sz w:val="19"/>
          <w:szCs w:val="19"/>
        </w:rPr>
        <w:t xml:space="preserve"> </w:t>
      </w:r>
      <w:r>
        <w:rPr>
          <w:position w:val="-11"/>
          <w:sz w:val="19"/>
          <w:szCs w:val="19"/>
        </w:rPr>
        <w:drawing>
          <wp:inline distT="0" distB="0" distL="0" distR="0">
            <wp:extent cx="317500" cy="24066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245"/>
                    <a:stretch>
                      <a:fillRect/>
                    </a:stretch>
                  </pic:blipFill>
                  <pic:spPr>
                    <a:xfrm>
                      <a:off x="0" y="0"/>
                      <a:ext cx="317512" cy="241287"/>
                    </a:xfrm>
                    <a:prstGeom prst="rect">
                      <a:avLst/>
                    </a:prstGeom>
                  </pic:spPr>
                </pic:pic>
              </a:graphicData>
            </a:graphic>
          </wp:inline>
        </w:drawing>
      </w:r>
      <w:r>
        <w:rPr>
          <w:rFonts w:ascii="Times New Roman" w:hAnsi="Times New Roman" w:eastAsia="Times New Roman" w:cs="Times New Roman"/>
          <w:b/>
          <w:bCs/>
          <w:spacing w:val="4"/>
          <w:sz w:val="19"/>
          <w:szCs w:val="19"/>
        </w:rPr>
        <w:t>377</w:t>
      </w:r>
    </w:p>
    <w:p w14:paraId="7E903248">
      <w:pPr>
        <w:spacing w:line="260" w:lineRule="auto"/>
        <w:rPr>
          <w:rFonts w:ascii="Arial"/>
          <w:sz w:val="21"/>
        </w:rPr>
      </w:pPr>
    </w:p>
    <w:p w14:paraId="26E365D2">
      <w:pPr>
        <w:spacing w:before="62" w:line="222" w:lineRule="auto"/>
        <w:ind w:left="2632"/>
        <w:rPr>
          <w:rFonts w:ascii="黑体" w:hAnsi="黑体" w:eastAsia="黑体" w:cs="黑体"/>
          <w:sz w:val="19"/>
          <w:szCs w:val="19"/>
        </w:rPr>
      </w:pPr>
      <w:bookmarkStart w:id="681" w:name="bookmark666"/>
      <w:bookmarkEnd w:id="681"/>
      <w:r>
        <w:rPr>
          <w:rFonts w:ascii="黑体" w:hAnsi="黑体" w:eastAsia="黑体" w:cs="黑体"/>
          <w:b/>
          <w:bCs/>
          <w:spacing w:val="-8"/>
          <w:sz w:val="19"/>
          <w:szCs w:val="19"/>
        </w:rPr>
        <w:t>表16-3</w:t>
      </w:r>
      <w:r>
        <w:rPr>
          <w:rFonts w:ascii="黑体" w:hAnsi="黑体" w:eastAsia="黑体" w:cs="黑体"/>
          <w:spacing w:val="-8"/>
          <w:sz w:val="19"/>
          <w:szCs w:val="19"/>
        </w:rPr>
        <w:t xml:space="preserve">  </w:t>
      </w:r>
      <w:r>
        <w:rPr>
          <w:rFonts w:ascii="黑体" w:hAnsi="黑体" w:eastAsia="黑体" w:cs="黑体"/>
          <w:b/>
          <w:bCs/>
          <w:spacing w:val="-8"/>
          <w:sz w:val="19"/>
          <w:szCs w:val="19"/>
        </w:rPr>
        <w:t>各生命周期之间的联系与区别</w:t>
      </w:r>
    </w:p>
    <w:p w14:paraId="5D30EC7A">
      <w:pPr>
        <w:spacing w:line="112" w:lineRule="exact"/>
      </w:pPr>
    </w:p>
    <w:tbl>
      <w:tblPr>
        <w:tblStyle w:val="5"/>
        <w:tblW w:w="8335"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60"/>
        <w:gridCol w:w="1310"/>
        <w:gridCol w:w="1310"/>
        <w:gridCol w:w="2655"/>
      </w:tblGrid>
      <w:tr w14:paraId="6D043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3060" w:type="dxa"/>
            <w:tcBorders>
              <w:left w:val="nil"/>
            </w:tcBorders>
            <w:vAlign w:val="top"/>
          </w:tcPr>
          <w:p w14:paraId="23884465">
            <w:pPr>
              <w:pStyle w:val="6"/>
              <w:spacing w:before="50" w:line="220" w:lineRule="auto"/>
              <w:ind w:left="1262"/>
            </w:pPr>
            <w:r>
              <w:rPr>
                <w:b/>
                <w:bCs/>
                <w:spacing w:val="-4"/>
              </w:rPr>
              <w:t>预测型</w:t>
            </w:r>
          </w:p>
        </w:tc>
        <w:tc>
          <w:tcPr>
            <w:tcW w:w="1310" w:type="dxa"/>
            <w:vAlign w:val="top"/>
          </w:tcPr>
          <w:p w14:paraId="52C5EAC5">
            <w:pPr>
              <w:pStyle w:val="6"/>
              <w:spacing w:before="50" w:line="219" w:lineRule="auto"/>
              <w:ind w:left="387"/>
            </w:pPr>
            <w:r>
              <w:rPr>
                <w:b/>
                <w:bCs/>
                <w:spacing w:val="-4"/>
              </w:rPr>
              <w:t>迭代型</w:t>
            </w:r>
          </w:p>
        </w:tc>
        <w:tc>
          <w:tcPr>
            <w:tcW w:w="1310" w:type="dxa"/>
            <w:vAlign w:val="top"/>
          </w:tcPr>
          <w:p w14:paraId="6D8AF4A3">
            <w:pPr>
              <w:pStyle w:val="6"/>
              <w:spacing w:before="51" w:line="221" w:lineRule="auto"/>
              <w:ind w:left="377"/>
            </w:pPr>
            <w:r>
              <w:rPr>
                <w:b/>
                <w:bCs/>
                <w:spacing w:val="-4"/>
              </w:rPr>
              <w:t>增量型</w:t>
            </w:r>
          </w:p>
        </w:tc>
        <w:tc>
          <w:tcPr>
            <w:tcW w:w="2655" w:type="dxa"/>
            <w:tcBorders>
              <w:right w:val="nil"/>
            </w:tcBorders>
            <w:vAlign w:val="top"/>
          </w:tcPr>
          <w:p w14:paraId="743D2FCF">
            <w:pPr>
              <w:pStyle w:val="6"/>
              <w:spacing w:before="52" w:line="221" w:lineRule="auto"/>
              <w:ind w:left="1047"/>
            </w:pPr>
            <w:r>
              <w:rPr>
                <w:b/>
                <w:bCs/>
                <w:spacing w:val="-4"/>
              </w:rPr>
              <w:t>适应型</w:t>
            </w:r>
          </w:p>
        </w:tc>
      </w:tr>
      <w:tr w14:paraId="264D4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3060" w:type="dxa"/>
            <w:tcBorders>
              <w:left w:val="nil"/>
            </w:tcBorders>
            <w:vAlign w:val="top"/>
          </w:tcPr>
          <w:p w14:paraId="0A044DD1">
            <w:pPr>
              <w:pStyle w:val="6"/>
              <w:spacing w:before="58" w:line="219" w:lineRule="auto"/>
              <w:ind w:left="60"/>
            </w:pPr>
            <w:r>
              <w:rPr>
                <w:spacing w:val="1"/>
              </w:rPr>
              <w:t>需求在开发前预先确定</w:t>
            </w:r>
          </w:p>
        </w:tc>
        <w:tc>
          <w:tcPr>
            <w:tcW w:w="2620" w:type="dxa"/>
            <w:gridSpan w:val="2"/>
            <w:vAlign w:val="top"/>
          </w:tcPr>
          <w:p w14:paraId="2E30E2C4">
            <w:pPr>
              <w:pStyle w:val="6"/>
              <w:spacing w:before="58" w:line="219" w:lineRule="auto"/>
              <w:ind w:left="45"/>
            </w:pPr>
            <w:r>
              <w:t>需求在交付期间定期细化</w:t>
            </w:r>
          </w:p>
        </w:tc>
        <w:tc>
          <w:tcPr>
            <w:tcW w:w="2655" w:type="dxa"/>
            <w:tcBorders>
              <w:right w:val="nil"/>
            </w:tcBorders>
            <w:vAlign w:val="top"/>
          </w:tcPr>
          <w:p w14:paraId="1D699A65">
            <w:pPr>
              <w:pStyle w:val="6"/>
              <w:spacing w:before="58" w:line="219" w:lineRule="auto"/>
              <w:ind w:left="34"/>
            </w:pPr>
            <w:r>
              <w:t>需求在交付期间频繁细化</w:t>
            </w:r>
          </w:p>
        </w:tc>
      </w:tr>
      <w:tr w14:paraId="1E916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3060" w:type="dxa"/>
            <w:tcBorders>
              <w:left w:val="nil"/>
              <w:bottom w:val="nil"/>
            </w:tcBorders>
            <w:vAlign w:val="top"/>
          </w:tcPr>
          <w:p w14:paraId="697B0DE1">
            <w:pPr>
              <w:pStyle w:val="6"/>
              <w:spacing w:before="80" w:line="193" w:lineRule="auto"/>
              <w:jc w:val="right"/>
            </w:pPr>
            <w:r>
              <w:rPr>
                <w:spacing w:val="-3"/>
              </w:rPr>
              <w:t>针对最终可交付成果制定交付计划，</w:t>
            </w:r>
          </w:p>
        </w:tc>
        <w:tc>
          <w:tcPr>
            <w:tcW w:w="2620" w:type="dxa"/>
            <w:gridSpan w:val="2"/>
            <w:tcBorders>
              <w:bottom w:val="nil"/>
            </w:tcBorders>
            <w:vAlign w:val="top"/>
          </w:tcPr>
          <w:p w14:paraId="07766239">
            <w:pPr>
              <w:pStyle w:val="6"/>
              <w:spacing w:before="60" w:line="212" w:lineRule="auto"/>
              <w:ind w:left="45"/>
            </w:pPr>
            <w:r>
              <w:rPr>
                <w:spacing w:val="-1"/>
              </w:rPr>
              <w:t>分次交付整体项目或产品的各</w:t>
            </w:r>
          </w:p>
        </w:tc>
        <w:tc>
          <w:tcPr>
            <w:tcW w:w="2655" w:type="dxa"/>
            <w:tcBorders>
              <w:bottom w:val="nil"/>
              <w:right w:val="nil"/>
            </w:tcBorders>
            <w:vAlign w:val="top"/>
          </w:tcPr>
          <w:p w14:paraId="00E9E16A">
            <w:pPr>
              <w:pStyle w:val="6"/>
              <w:spacing w:before="49" w:line="218" w:lineRule="auto"/>
              <w:ind w:left="34"/>
            </w:pPr>
            <w:r>
              <w:rPr>
                <w:spacing w:val="-1"/>
              </w:rPr>
              <w:t>频繁交付对客户有价值的各个</w:t>
            </w:r>
          </w:p>
        </w:tc>
      </w:tr>
      <w:tr w14:paraId="62418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060" w:type="dxa"/>
            <w:tcBorders>
              <w:top w:val="nil"/>
              <w:left w:val="nil"/>
            </w:tcBorders>
            <w:vAlign w:val="top"/>
          </w:tcPr>
          <w:p w14:paraId="7538FA2C">
            <w:pPr>
              <w:pStyle w:val="6"/>
              <w:spacing w:before="51" w:line="201" w:lineRule="auto"/>
              <w:jc w:val="right"/>
            </w:pPr>
            <w:r>
              <w:rPr>
                <w:spacing w:val="-3"/>
              </w:rPr>
              <w:t>然后在项目结束时一次交付最终产品</w:t>
            </w:r>
          </w:p>
        </w:tc>
        <w:tc>
          <w:tcPr>
            <w:tcW w:w="2620" w:type="dxa"/>
            <w:gridSpan w:val="2"/>
            <w:tcBorders>
              <w:top w:val="nil"/>
            </w:tcBorders>
            <w:vAlign w:val="top"/>
          </w:tcPr>
          <w:p w14:paraId="6F6A23B2">
            <w:pPr>
              <w:pStyle w:val="6"/>
              <w:spacing w:before="41" w:line="210" w:lineRule="auto"/>
              <w:ind w:left="45"/>
            </w:pPr>
            <w:r>
              <w:rPr>
                <w:spacing w:val="-2"/>
              </w:rPr>
              <w:t>个子集</w:t>
            </w:r>
          </w:p>
        </w:tc>
        <w:tc>
          <w:tcPr>
            <w:tcW w:w="2655" w:type="dxa"/>
            <w:tcBorders>
              <w:top w:val="nil"/>
              <w:right w:val="nil"/>
            </w:tcBorders>
            <w:vAlign w:val="top"/>
          </w:tcPr>
          <w:p w14:paraId="49A37880">
            <w:pPr>
              <w:pStyle w:val="6"/>
              <w:spacing w:before="31" w:line="219" w:lineRule="auto"/>
              <w:ind w:left="34"/>
            </w:pPr>
            <w:r>
              <w:rPr>
                <w:spacing w:val="-3"/>
              </w:rPr>
              <w:t>子集</w:t>
            </w:r>
          </w:p>
        </w:tc>
      </w:tr>
      <w:tr w14:paraId="7A7AF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3060" w:type="dxa"/>
            <w:tcBorders>
              <w:left w:val="nil"/>
            </w:tcBorders>
            <w:vAlign w:val="top"/>
          </w:tcPr>
          <w:p w14:paraId="6D5F0C40">
            <w:pPr>
              <w:pStyle w:val="6"/>
              <w:spacing w:before="64" w:line="218" w:lineRule="auto"/>
              <w:ind w:left="60"/>
            </w:pPr>
            <w:r>
              <w:rPr>
                <w:spacing w:val="-2"/>
              </w:rPr>
              <w:t>尽量限制变更</w:t>
            </w:r>
          </w:p>
        </w:tc>
        <w:tc>
          <w:tcPr>
            <w:tcW w:w="2620" w:type="dxa"/>
            <w:gridSpan w:val="2"/>
            <w:vAlign w:val="top"/>
          </w:tcPr>
          <w:p w14:paraId="2F9D695E">
            <w:pPr>
              <w:pStyle w:val="6"/>
              <w:spacing w:before="64" w:line="218" w:lineRule="auto"/>
              <w:ind w:left="45"/>
            </w:pPr>
            <w:r>
              <w:rPr>
                <w:spacing w:val="4"/>
              </w:rPr>
              <w:t>定期把变更融入项目</w:t>
            </w:r>
          </w:p>
        </w:tc>
        <w:tc>
          <w:tcPr>
            <w:tcW w:w="2655" w:type="dxa"/>
            <w:tcBorders>
              <w:right w:val="nil"/>
            </w:tcBorders>
            <w:vAlign w:val="top"/>
          </w:tcPr>
          <w:p w14:paraId="0E014E46">
            <w:pPr>
              <w:pStyle w:val="6"/>
              <w:spacing w:before="63" w:line="219" w:lineRule="auto"/>
              <w:jc w:val="right"/>
            </w:pPr>
            <w:r>
              <w:rPr>
                <w:spacing w:val="-4"/>
              </w:rPr>
              <w:t>在交付期间实时把变更融入项目</w:t>
            </w:r>
          </w:p>
        </w:tc>
      </w:tr>
      <w:tr w14:paraId="07429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3060" w:type="dxa"/>
            <w:tcBorders>
              <w:left w:val="nil"/>
            </w:tcBorders>
            <w:vAlign w:val="top"/>
          </w:tcPr>
          <w:p w14:paraId="3ECDC174">
            <w:pPr>
              <w:pStyle w:val="6"/>
              <w:spacing w:before="53" w:line="219" w:lineRule="auto"/>
              <w:ind w:left="60"/>
            </w:pPr>
            <w:r>
              <w:rPr>
                <w:spacing w:val="1"/>
              </w:rPr>
              <w:t>关键干系人在特定里程碑点参与</w:t>
            </w:r>
          </w:p>
        </w:tc>
        <w:tc>
          <w:tcPr>
            <w:tcW w:w="2620" w:type="dxa"/>
            <w:gridSpan w:val="2"/>
            <w:vAlign w:val="top"/>
          </w:tcPr>
          <w:p w14:paraId="135B0380">
            <w:pPr>
              <w:pStyle w:val="6"/>
              <w:spacing w:before="53" w:line="219" w:lineRule="auto"/>
              <w:ind w:left="45"/>
            </w:pPr>
            <w:r>
              <w:rPr>
                <w:spacing w:val="1"/>
              </w:rPr>
              <w:t>关键干系人定期参与</w:t>
            </w:r>
          </w:p>
        </w:tc>
        <w:tc>
          <w:tcPr>
            <w:tcW w:w="2655" w:type="dxa"/>
            <w:tcBorders>
              <w:right w:val="nil"/>
            </w:tcBorders>
            <w:vAlign w:val="top"/>
          </w:tcPr>
          <w:p w14:paraId="7F40E4D8">
            <w:pPr>
              <w:pStyle w:val="6"/>
              <w:spacing w:before="53" w:line="219" w:lineRule="auto"/>
              <w:ind w:left="34"/>
            </w:pPr>
            <w:r>
              <w:rPr>
                <w:spacing w:val="1"/>
              </w:rPr>
              <w:t>关键干系人持续参与</w:t>
            </w:r>
          </w:p>
        </w:tc>
      </w:tr>
      <w:tr w14:paraId="1EC71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3060" w:type="dxa"/>
            <w:tcBorders>
              <w:left w:val="nil"/>
              <w:bottom w:val="nil"/>
            </w:tcBorders>
            <w:vAlign w:val="top"/>
          </w:tcPr>
          <w:p w14:paraId="5CC78EE3">
            <w:pPr>
              <w:pStyle w:val="6"/>
              <w:spacing w:before="85" w:line="204" w:lineRule="auto"/>
              <w:jc w:val="right"/>
            </w:pPr>
            <w:r>
              <w:rPr>
                <w:spacing w:val="-3"/>
              </w:rPr>
              <w:t>通过对基本已知的情况编制详细计划</w:t>
            </w:r>
          </w:p>
        </w:tc>
        <w:tc>
          <w:tcPr>
            <w:tcW w:w="2620" w:type="dxa"/>
            <w:gridSpan w:val="2"/>
            <w:tcBorders>
              <w:bottom w:val="nil"/>
            </w:tcBorders>
            <w:vAlign w:val="top"/>
          </w:tcPr>
          <w:p w14:paraId="782477CE">
            <w:pPr>
              <w:pStyle w:val="6"/>
              <w:spacing w:before="75" w:line="213" w:lineRule="auto"/>
              <w:ind w:left="35"/>
            </w:pPr>
            <w:r>
              <w:rPr>
                <w:spacing w:val="-1"/>
              </w:rPr>
              <w:t>通过用新信息逐渐细化计划来</w:t>
            </w:r>
          </w:p>
        </w:tc>
        <w:tc>
          <w:tcPr>
            <w:tcW w:w="2655" w:type="dxa"/>
            <w:tcBorders>
              <w:bottom w:val="nil"/>
              <w:right w:val="nil"/>
            </w:tcBorders>
            <w:vAlign w:val="top"/>
          </w:tcPr>
          <w:p w14:paraId="2FCB0D68">
            <w:pPr>
              <w:pStyle w:val="6"/>
              <w:spacing w:before="75" w:line="213" w:lineRule="auto"/>
              <w:ind w:left="34"/>
            </w:pPr>
            <w:r>
              <w:rPr>
                <w:spacing w:val="-5"/>
              </w:rPr>
              <w:t>随着需求和制约因素的显现而控</w:t>
            </w:r>
          </w:p>
        </w:tc>
      </w:tr>
      <w:tr w14:paraId="7B3B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060" w:type="dxa"/>
            <w:tcBorders>
              <w:top w:val="nil"/>
              <w:left w:val="nil"/>
            </w:tcBorders>
            <w:vAlign w:val="top"/>
          </w:tcPr>
          <w:p w14:paraId="2924876C">
            <w:pPr>
              <w:pStyle w:val="6"/>
              <w:spacing w:before="69" w:line="183" w:lineRule="auto"/>
              <w:ind w:left="60"/>
            </w:pPr>
            <w:r>
              <w:rPr>
                <w:spacing w:val="-1"/>
              </w:rPr>
              <w:t>来控制风险和成本</w:t>
            </w:r>
          </w:p>
        </w:tc>
        <w:tc>
          <w:tcPr>
            <w:tcW w:w="2620" w:type="dxa"/>
            <w:gridSpan w:val="2"/>
            <w:tcBorders>
              <w:top w:val="nil"/>
            </w:tcBorders>
            <w:vAlign w:val="top"/>
          </w:tcPr>
          <w:p w14:paraId="7866185E">
            <w:pPr>
              <w:pStyle w:val="6"/>
              <w:spacing w:before="50" w:line="202" w:lineRule="auto"/>
              <w:ind w:left="45"/>
            </w:pPr>
            <w:r>
              <w:rPr>
                <w:spacing w:val="-1"/>
              </w:rPr>
              <w:t>控制风险和成本</w:t>
            </w:r>
          </w:p>
        </w:tc>
        <w:tc>
          <w:tcPr>
            <w:tcW w:w="2655" w:type="dxa"/>
            <w:tcBorders>
              <w:top w:val="nil"/>
              <w:right w:val="nil"/>
            </w:tcBorders>
            <w:vAlign w:val="top"/>
          </w:tcPr>
          <w:p w14:paraId="75471454">
            <w:pPr>
              <w:pStyle w:val="6"/>
              <w:spacing w:before="50" w:line="202" w:lineRule="auto"/>
              <w:ind w:left="34"/>
            </w:pPr>
            <w:r>
              <w:rPr>
                <w:spacing w:val="-2"/>
              </w:rPr>
              <w:t>制风险和成本</w:t>
            </w:r>
          </w:p>
        </w:tc>
      </w:tr>
    </w:tbl>
    <w:p w14:paraId="4777AABD">
      <w:pPr>
        <w:pStyle w:val="2"/>
        <w:spacing w:before="221" w:line="219" w:lineRule="auto"/>
        <w:ind w:left="2"/>
        <w:rPr>
          <w:sz w:val="25"/>
          <w:szCs w:val="25"/>
        </w:rPr>
      </w:pPr>
      <w:r>
        <w:rPr>
          <w:b/>
          <w:bCs/>
          <w:color w:val="0064E8"/>
          <w:spacing w:val="-17"/>
          <w:sz w:val="25"/>
          <w:szCs w:val="25"/>
        </w:rPr>
        <w:t>16.3.2</w:t>
      </w:r>
      <w:r>
        <w:rPr>
          <w:color w:val="0064E8"/>
          <w:spacing w:val="-17"/>
          <w:sz w:val="25"/>
          <w:szCs w:val="25"/>
        </w:rPr>
        <w:t xml:space="preserve">  </w:t>
      </w:r>
      <w:r>
        <w:rPr>
          <w:b/>
          <w:bCs/>
          <w:color w:val="0064E8"/>
          <w:spacing w:val="-17"/>
          <w:sz w:val="25"/>
          <w:szCs w:val="25"/>
        </w:rPr>
        <w:t>项目管理过程组</w:t>
      </w:r>
    </w:p>
    <w:p w14:paraId="78A2B35C">
      <w:pPr>
        <w:pStyle w:val="2"/>
        <w:spacing w:before="165" w:line="304" w:lineRule="auto"/>
        <w:ind w:right="266" w:firstLine="409"/>
        <w:jc w:val="both"/>
        <w:rPr>
          <w:sz w:val="19"/>
          <w:szCs w:val="19"/>
        </w:rPr>
      </w:pPr>
      <w:r>
        <w:rPr>
          <w:spacing w:val="9"/>
          <w:sz w:val="19"/>
          <w:szCs w:val="19"/>
        </w:rPr>
        <w:t>项目管理过程组是为了达成项目的特定目标，对项目管理过程进行的逻辑上的</w:t>
      </w:r>
      <w:r>
        <w:rPr>
          <w:spacing w:val="8"/>
          <w:sz w:val="19"/>
          <w:szCs w:val="19"/>
        </w:rPr>
        <w:t>分组。注意，</w:t>
      </w:r>
      <w:r>
        <w:rPr>
          <w:sz w:val="19"/>
          <w:szCs w:val="19"/>
        </w:rPr>
        <w:t xml:space="preserve"> </w:t>
      </w:r>
      <w:r>
        <w:rPr>
          <w:spacing w:val="13"/>
          <w:sz w:val="19"/>
          <w:szCs w:val="19"/>
        </w:rPr>
        <w:t>项目管理过程组不同于项目阶段，项目管理过程组是为了管理项目，针对项目管理过程进行的</w:t>
      </w:r>
      <w:r>
        <w:rPr>
          <w:spacing w:val="10"/>
          <w:sz w:val="19"/>
          <w:szCs w:val="19"/>
        </w:rPr>
        <w:t xml:space="preserve"> </w:t>
      </w:r>
      <w:r>
        <w:rPr>
          <w:spacing w:val="13"/>
          <w:sz w:val="19"/>
          <w:szCs w:val="19"/>
        </w:rPr>
        <w:t>逻辑上的划分；项目阶段是项目从开始到结束所经历的一系列阶段，是一组具有逻辑关系的项</w:t>
      </w:r>
      <w:r>
        <w:rPr>
          <w:spacing w:val="8"/>
          <w:sz w:val="19"/>
          <w:szCs w:val="19"/>
        </w:rPr>
        <w:t xml:space="preserve"> 目活动的集合，通常以一个或多个可交付成果的完成</w:t>
      </w:r>
      <w:r>
        <w:rPr>
          <w:spacing w:val="7"/>
          <w:sz w:val="19"/>
          <w:szCs w:val="19"/>
        </w:rPr>
        <w:t>为结束的标志。</w:t>
      </w:r>
    </w:p>
    <w:p w14:paraId="7830E465">
      <w:pPr>
        <w:pStyle w:val="2"/>
        <w:spacing w:before="27" w:line="219" w:lineRule="auto"/>
        <w:ind w:left="409"/>
        <w:rPr>
          <w:sz w:val="19"/>
          <w:szCs w:val="19"/>
        </w:rPr>
      </w:pPr>
      <w:r>
        <w:rPr>
          <w:spacing w:val="6"/>
          <w:sz w:val="19"/>
          <w:szCs w:val="19"/>
        </w:rPr>
        <w:t>项目管理过程可分为以下五个项目管理过程组：</w:t>
      </w:r>
    </w:p>
    <w:p w14:paraId="209178CB">
      <w:pPr>
        <w:pStyle w:val="2"/>
        <w:spacing w:before="84" w:line="267" w:lineRule="auto"/>
        <w:ind w:right="297" w:firstLine="409"/>
        <w:rPr>
          <w:sz w:val="19"/>
          <w:szCs w:val="19"/>
        </w:rPr>
      </w:pPr>
      <w:r>
        <w:rPr>
          <w:spacing w:val="15"/>
          <w:sz w:val="19"/>
          <w:szCs w:val="19"/>
        </w:rPr>
        <w:t>(1)启动过程组：定义了新项目或现有项目的新阶段，启动过程组授权一个项目或阶段的</w:t>
      </w:r>
      <w:r>
        <w:rPr>
          <w:spacing w:val="8"/>
          <w:sz w:val="19"/>
          <w:szCs w:val="19"/>
        </w:rPr>
        <w:t xml:space="preserve"> </w:t>
      </w:r>
      <w:r>
        <w:rPr>
          <w:spacing w:val="4"/>
          <w:sz w:val="19"/>
          <w:szCs w:val="19"/>
        </w:rPr>
        <w:t>开始。</w:t>
      </w:r>
    </w:p>
    <w:p w14:paraId="451E4EEC">
      <w:pPr>
        <w:pStyle w:val="2"/>
        <w:spacing w:before="81" w:line="219" w:lineRule="auto"/>
        <w:ind w:left="409"/>
        <w:rPr>
          <w:sz w:val="19"/>
          <w:szCs w:val="19"/>
        </w:rPr>
      </w:pPr>
      <w:r>
        <w:rPr>
          <w:spacing w:val="10"/>
          <w:sz w:val="19"/>
          <w:szCs w:val="19"/>
        </w:rPr>
        <w:t>(2)规划过程组：明确项目范围、优化目标，并为实现目标制订行动计划。</w:t>
      </w:r>
    </w:p>
    <w:p w14:paraId="1EB52CDF">
      <w:pPr>
        <w:pStyle w:val="2"/>
        <w:spacing w:before="85" w:line="219" w:lineRule="auto"/>
        <w:ind w:left="409"/>
        <w:rPr>
          <w:sz w:val="19"/>
          <w:szCs w:val="19"/>
        </w:rPr>
      </w:pPr>
      <w:r>
        <w:rPr>
          <w:spacing w:val="11"/>
          <w:sz w:val="19"/>
          <w:szCs w:val="19"/>
        </w:rPr>
        <w:t>(3)执行过程组：完成项目管理计划中确</w:t>
      </w:r>
      <w:r>
        <w:rPr>
          <w:spacing w:val="10"/>
          <w:sz w:val="19"/>
          <w:szCs w:val="19"/>
        </w:rPr>
        <w:t>定的工作，以满足项目要求。</w:t>
      </w:r>
    </w:p>
    <w:p w14:paraId="4A71B110">
      <w:pPr>
        <w:pStyle w:val="2"/>
        <w:spacing w:before="85" w:line="219" w:lineRule="auto"/>
        <w:ind w:left="409"/>
        <w:rPr>
          <w:sz w:val="19"/>
          <w:szCs w:val="19"/>
        </w:rPr>
      </w:pPr>
      <w:r>
        <w:rPr>
          <w:spacing w:val="11"/>
          <w:sz w:val="19"/>
          <w:szCs w:val="19"/>
        </w:rPr>
        <w:t>(4)监控过程组：跟踪、审查和调整项目进展与绩效，识别并</w:t>
      </w:r>
      <w:r>
        <w:rPr>
          <w:spacing w:val="10"/>
          <w:sz w:val="19"/>
          <w:szCs w:val="19"/>
        </w:rPr>
        <w:t>启动相应变更。</w:t>
      </w:r>
    </w:p>
    <w:p w14:paraId="7E886483">
      <w:pPr>
        <w:pStyle w:val="2"/>
        <w:spacing w:before="94" w:line="219" w:lineRule="auto"/>
        <w:ind w:left="409"/>
        <w:rPr>
          <w:sz w:val="19"/>
          <w:szCs w:val="19"/>
        </w:rPr>
      </w:pPr>
      <w:r>
        <w:rPr>
          <w:spacing w:val="12"/>
          <w:sz w:val="19"/>
          <w:szCs w:val="19"/>
        </w:rPr>
        <w:t>(5)收尾过程组：正式完成或结束项目、阶段或合</w:t>
      </w:r>
      <w:r>
        <w:rPr>
          <w:spacing w:val="11"/>
          <w:sz w:val="19"/>
          <w:szCs w:val="19"/>
        </w:rPr>
        <w:t>同。</w:t>
      </w:r>
    </w:p>
    <w:p w14:paraId="36EA4AAD">
      <w:pPr>
        <w:pStyle w:val="2"/>
        <w:spacing w:before="64" w:line="295" w:lineRule="auto"/>
        <w:ind w:right="300" w:firstLine="409"/>
        <w:jc w:val="both"/>
        <w:rPr>
          <w:sz w:val="19"/>
          <w:szCs w:val="19"/>
        </w:rPr>
      </w:pPr>
      <w:r>
        <w:rPr>
          <w:spacing w:val="18"/>
          <w:sz w:val="19"/>
          <w:szCs w:val="19"/>
        </w:rPr>
        <w:t>一个过程组的输出通常成为另一个过程组的输入，或者成为项目或项目阶段的可交付成</w:t>
      </w:r>
      <w:r>
        <w:rPr>
          <w:spacing w:val="14"/>
          <w:sz w:val="19"/>
          <w:szCs w:val="19"/>
        </w:rPr>
        <w:t xml:space="preserve"> </w:t>
      </w:r>
      <w:r>
        <w:rPr>
          <w:spacing w:val="15"/>
          <w:sz w:val="19"/>
          <w:szCs w:val="19"/>
        </w:rPr>
        <w:t>果。例如，需要把规划过程组编制的项目管理计划和项目文档(如风险登记册、责任分配矩阵</w:t>
      </w:r>
      <w:r>
        <w:rPr>
          <w:spacing w:val="16"/>
          <w:sz w:val="19"/>
          <w:szCs w:val="19"/>
        </w:rPr>
        <w:t xml:space="preserve"> </w:t>
      </w:r>
      <w:r>
        <w:rPr>
          <w:spacing w:val="15"/>
          <w:sz w:val="19"/>
          <w:szCs w:val="19"/>
        </w:rPr>
        <w:t>等)及其更新，提供给执行过程组作为输入。各过程组在项目或阶段期间的</w:t>
      </w:r>
      <w:r>
        <w:rPr>
          <w:spacing w:val="14"/>
          <w:sz w:val="19"/>
          <w:szCs w:val="19"/>
        </w:rPr>
        <w:t>重叠关系如图16-8</w:t>
      </w:r>
      <w:r>
        <w:rPr>
          <w:sz w:val="19"/>
          <w:szCs w:val="19"/>
        </w:rPr>
        <w:t xml:space="preserve"> </w:t>
      </w:r>
      <w:r>
        <w:rPr>
          <w:spacing w:val="4"/>
          <w:sz w:val="19"/>
          <w:szCs w:val="19"/>
        </w:rPr>
        <w:t>所示。</w:t>
      </w:r>
    </w:p>
    <w:p w14:paraId="0C4C380D">
      <w:pPr>
        <w:pStyle w:val="2"/>
        <w:spacing w:before="58" w:line="2880" w:lineRule="exact"/>
        <w:ind w:firstLine="1150"/>
      </w:pPr>
      <w:r>
        <w:rPr>
          <w:position w:val="-57"/>
        </w:rPr>
        <w:pict>
          <v:group id="_x0000_s1542" o:spid="_x0000_s1542" o:spt="203" style="height:144pt;width:301pt;" coordsize="6020,2880">
            <o:lock v:ext="edit"/>
            <v:shape id="_x0000_s1543" o:spid="_x0000_s1543" o:spt="75" type="#_x0000_t75" style="position:absolute;left:0;top:0;height:2880;width:6020;" filled="f" stroked="f" coordsize="21600,21600">
              <v:path/>
              <v:fill on="f" focussize="0,0"/>
              <v:stroke on="f"/>
              <v:imagedata r:id="rId246" o:title=""/>
              <o:lock v:ext="edit" aspectratio="t"/>
            </v:shape>
            <v:shape id="_x0000_s1544" o:spid="_x0000_s1544" o:spt="202" type="#_x0000_t202" style="position:absolute;left:-20;top:-20;height:2920;width:6060;" filled="f" stroked="f" coordsize="21600,21600">
              <v:path/>
              <v:fill on="f" focussize="0,0"/>
              <v:stroke on="f"/>
              <v:imagedata o:title=""/>
              <o:lock v:ext="edit" aspectratio="f"/>
              <v:textbox inset="0mm,0mm,0mm,0mm">
                <w:txbxContent>
                  <w:p w14:paraId="5CBA597A">
                    <w:pPr>
                      <w:spacing w:line="276" w:lineRule="auto"/>
                      <w:rPr>
                        <w:rFonts w:ascii="Arial"/>
                        <w:sz w:val="21"/>
                      </w:rPr>
                    </w:pPr>
                  </w:p>
                  <w:p w14:paraId="1902A2D2">
                    <w:pPr>
                      <w:spacing w:line="276" w:lineRule="auto"/>
                      <w:rPr>
                        <w:rFonts w:ascii="Arial"/>
                        <w:sz w:val="21"/>
                      </w:rPr>
                    </w:pPr>
                  </w:p>
                  <w:p w14:paraId="4035C889">
                    <w:pPr>
                      <w:spacing w:before="62" w:line="219" w:lineRule="auto"/>
                      <w:ind w:left="1030"/>
                      <w:rPr>
                        <w:rFonts w:ascii="宋体" w:hAnsi="宋体" w:eastAsia="宋体" w:cs="宋体"/>
                        <w:sz w:val="19"/>
                        <w:szCs w:val="19"/>
                      </w:rPr>
                    </w:pPr>
                    <w:r>
                      <w:rPr>
                        <w:rFonts w:ascii="宋体" w:hAnsi="宋体" w:eastAsia="宋体" w:cs="宋体"/>
                        <w:spacing w:val="-8"/>
                        <w:sz w:val="19"/>
                        <w:szCs w:val="19"/>
                      </w:rPr>
                      <w:t>启动过程组规划过程组执行过程组   监控过程组收尾过程组</w:t>
                    </w:r>
                  </w:p>
                  <w:p w14:paraId="4992E77B">
                    <w:pPr>
                      <w:spacing w:line="420" w:lineRule="auto"/>
                      <w:rPr>
                        <w:rFonts w:ascii="Arial"/>
                        <w:sz w:val="21"/>
                      </w:rPr>
                    </w:pPr>
                  </w:p>
                  <w:p w14:paraId="46D670AD">
                    <w:pPr>
                      <w:spacing w:before="61" w:line="219" w:lineRule="auto"/>
                      <w:ind w:left="79"/>
                      <w:rPr>
                        <w:rFonts w:ascii="宋体" w:hAnsi="宋体" w:eastAsia="宋体" w:cs="宋体"/>
                        <w:sz w:val="19"/>
                        <w:szCs w:val="19"/>
                      </w:rPr>
                    </w:pPr>
                    <w:r>
                      <w:rPr>
                        <w:rFonts w:ascii="宋体" w:hAnsi="宋体" w:eastAsia="宋体" w:cs="宋体"/>
                        <w:spacing w:val="-16"/>
                        <w:sz w:val="19"/>
                        <w:szCs w:val="19"/>
                      </w:rPr>
                      <w:t>支持型活动</w:t>
                    </w:r>
                  </w:p>
                  <w:p w14:paraId="24740D9E">
                    <w:pPr>
                      <w:spacing w:line="253" w:lineRule="auto"/>
                      <w:rPr>
                        <w:rFonts w:ascii="Arial"/>
                        <w:sz w:val="21"/>
                      </w:rPr>
                    </w:pPr>
                  </w:p>
                  <w:p w14:paraId="0B201AE6">
                    <w:pPr>
                      <w:spacing w:line="254" w:lineRule="auto"/>
                      <w:rPr>
                        <w:rFonts w:ascii="Arial"/>
                        <w:sz w:val="21"/>
                      </w:rPr>
                    </w:pPr>
                  </w:p>
                  <w:p w14:paraId="58BF9900">
                    <w:pPr>
                      <w:spacing w:line="254" w:lineRule="auto"/>
                      <w:rPr>
                        <w:rFonts w:ascii="Arial"/>
                        <w:sz w:val="21"/>
                      </w:rPr>
                    </w:pPr>
                  </w:p>
                  <w:p w14:paraId="0B6E41B1">
                    <w:pPr>
                      <w:spacing w:line="254" w:lineRule="auto"/>
                      <w:rPr>
                        <w:rFonts w:ascii="Arial"/>
                        <w:sz w:val="21"/>
                      </w:rPr>
                    </w:pPr>
                  </w:p>
                  <w:p w14:paraId="4D4BC68A">
                    <w:pPr>
                      <w:spacing w:before="62" w:line="231" w:lineRule="auto"/>
                      <w:ind w:left="649"/>
                      <w:rPr>
                        <w:rFonts w:ascii="宋体" w:hAnsi="宋体" w:eastAsia="宋体" w:cs="宋体"/>
                        <w:sz w:val="19"/>
                        <w:szCs w:val="19"/>
                      </w:rPr>
                    </w:pPr>
                    <w:r>
                      <w:rPr>
                        <w:rFonts w:ascii="宋体" w:hAnsi="宋体" w:eastAsia="宋体" w:cs="宋体"/>
                        <w:spacing w:val="-7"/>
                        <w:sz w:val="19"/>
                        <w:szCs w:val="19"/>
                      </w:rPr>
                      <w:t>开始</w:t>
                    </w:r>
                    <w:r>
                      <w:rPr>
                        <w:rFonts w:ascii="宋体" w:hAnsi="宋体" w:eastAsia="宋体" w:cs="宋体"/>
                        <w:spacing w:val="3"/>
                        <w:sz w:val="19"/>
                        <w:szCs w:val="19"/>
                      </w:rPr>
                      <w:t xml:space="preserve">                       </w:t>
                    </w:r>
                    <w:r>
                      <w:rPr>
                        <w:rFonts w:ascii="宋体" w:hAnsi="宋体" w:eastAsia="宋体" w:cs="宋体"/>
                        <w:spacing w:val="-7"/>
                        <w:sz w:val="19"/>
                        <w:szCs w:val="19"/>
                      </w:rPr>
                      <w:t>时间</w:t>
                    </w:r>
                    <w:r>
                      <w:rPr>
                        <w:rFonts w:ascii="宋体" w:hAnsi="宋体" w:eastAsia="宋体" w:cs="宋体"/>
                        <w:sz w:val="19"/>
                        <w:szCs w:val="19"/>
                      </w:rPr>
                      <w:t xml:space="preserve">                     </w:t>
                    </w:r>
                    <w:r>
                      <w:rPr>
                        <w:rFonts w:ascii="宋体" w:hAnsi="宋体" w:eastAsia="宋体" w:cs="宋体"/>
                        <w:spacing w:val="-7"/>
                        <w:sz w:val="19"/>
                        <w:szCs w:val="19"/>
                      </w:rPr>
                      <w:t>完成</w:t>
                    </w:r>
                  </w:p>
                </w:txbxContent>
              </v:textbox>
            </v:shape>
            <w10:wrap type="none"/>
            <w10:anchorlock/>
          </v:group>
        </w:pict>
      </w:r>
    </w:p>
    <w:p w14:paraId="1223B57F">
      <w:pPr>
        <w:pStyle w:val="2"/>
        <w:spacing w:before="99" w:line="220" w:lineRule="auto"/>
        <w:ind w:left="2560"/>
        <w:rPr>
          <w:sz w:val="19"/>
          <w:szCs w:val="19"/>
        </w:rPr>
      </w:pPr>
      <w:r>
        <w:rPr>
          <w:spacing w:val="-8"/>
          <w:sz w:val="19"/>
          <w:szCs w:val="19"/>
        </w:rPr>
        <w:t>图16-8</w:t>
      </w:r>
      <w:r>
        <w:rPr>
          <w:spacing w:val="67"/>
          <w:sz w:val="19"/>
          <w:szCs w:val="19"/>
        </w:rPr>
        <w:t xml:space="preserve"> </w:t>
      </w:r>
      <w:r>
        <w:rPr>
          <w:spacing w:val="-8"/>
          <w:sz w:val="19"/>
          <w:szCs w:val="19"/>
        </w:rPr>
        <w:t>项目阶段中各过程组的相互作用</w:t>
      </w:r>
    </w:p>
    <w:p w14:paraId="4B2FA0BA">
      <w:pPr>
        <w:spacing w:line="220" w:lineRule="auto"/>
        <w:rPr>
          <w:sz w:val="19"/>
          <w:szCs w:val="19"/>
        </w:rPr>
        <w:sectPr>
          <w:pgSz w:w="10280" w:h="13300"/>
          <w:pgMar w:top="389" w:right="567" w:bottom="400" w:left="1080" w:header="0" w:footer="0" w:gutter="0"/>
          <w:cols w:space="720" w:num="1"/>
        </w:sectPr>
      </w:pPr>
    </w:p>
    <w:p w14:paraId="750CA645">
      <w:pPr>
        <w:pStyle w:val="2"/>
        <w:spacing w:before="108" w:line="219" w:lineRule="auto"/>
        <w:rPr>
          <w:sz w:val="20"/>
          <w:szCs w:val="20"/>
        </w:rPr>
      </w:pPr>
      <w:r>
        <w:rPr>
          <w:rFonts w:ascii="Times New Roman" w:hAnsi="Times New Roman" w:eastAsia="Times New Roman" w:cs="Times New Roman"/>
          <w:spacing w:val="-3"/>
          <w:sz w:val="20"/>
          <w:szCs w:val="20"/>
        </w:rPr>
        <w:t>378</w:t>
      </w:r>
      <w:r>
        <w:rPr>
          <w:rFonts w:ascii="Times New Roman" w:hAnsi="Times New Roman" w:eastAsia="Times New Roman" w:cs="Times New Roman"/>
          <w:spacing w:val="2"/>
          <w:sz w:val="20"/>
          <w:szCs w:val="20"/>
        </w:rPr>
        <w:t xml:space="preserve">             </w:t>
      </w:r>
      <w:r>
        <w:rPr>
          <w:spacing w:val="-3"/>
          <w:sz w:val="20"/>
          <w:szCs w:val="20"/>
        </w:rPr>
        <w:t>信息系统监理师教程(第2版)</w:t>
      </w:r>
    </w:p>
    <w:p w14:paraId="7066C405">
      <w:pPr>
        <w:spacing w:line="305" w:lineRule="auto"/>
        <w:rPr>
          <w:rFonts w:ascii="Arial"/>
          <w:sz w:val="21"/>
        </w:rPr>
      </w:pPr>
    </w:p>
    <w:p w14:paraId="11101E1D">
      <w:pPr>
        <w:pStyle w:val="2"/>
        <w:spacing w:before="65" w:line="300" w:lineRule="auto"/>
        <w:ind w:left="369" w:right="92" w:firstLine="390"/>
        <w:rPr>
          <w:sz w:val="20"/>
          <w:szCs w:val="20"/>
        </w:rPr>
      </w:pPr>
      <w:r>
        <w:rPr>
          <w:spacing w:val="3"/>
          <w:sz w:val="20"/>
          <w:szCs w:val="20"/>
        </w:rPr>
        <w:t>过程组中的各个过程会在每个阶段按需要重复开展，直到达到该阶段的完工标准。在适应</w:t>
      </w:r>
      <w:r>
        <w:rPr>
          <w:sz w:val="20"/>
          <w:szCs w:val="20"/>
        </w:rPr>
        <w:t xml:space="preserve"> </w:t>
      </w:r>
      <w:r>
        <w:rPr>
          <w:spacing w:val="-1"/>
          <w:sz w:val="20"/>
          <w:szCs w:val="20"/>
        </w:rPr>
        <w:t>型和高度适应型生命周期中，过程组之间相</w:t>
      </w:r>
      <w:r>
        <w:rPr>
          <w:spacing w:val="-2"/>
          <w:sz w:val="20"/>
          <w:szCs w:val="20"/>
        </w:rPr>
        <w:t>互作用的方式会有所不同。</w:t>
      </w:r>
    </w:p>
    <w:p w14:paraId="512F914C">
      <w:pPr>
        <w:pStyle w:val="2"/>
        <w:spacing w:before="116" w:line="222" w:lineRule="auto"/>
        <w:ind w:left="762"/>
        <w:rPr>
          <w:rFonts w:ascii="黑体" w:hAnsi="黑体" w:eastAsia="黑体" w:cs="黑体"/>
          <w:sz w:val="20"/>
          <w:szCs w:val="20"/>
        </w:rPr>
      </w:pPr>
      <w:bookmarkStart w:id="682" w:name="bookmark667"/>
      <w:bookmarkEnd w:id="682"/>
      <w:r>
        <w:rPr>
          <w:b/>
          <w:bCs/>
          <w:color w:val="004EB6"/>
          <w:spacing w:val="-4"/>
          <w:sz w:val="20"/>
          <w:szCs w:val="20"/>
        </w:rPr>
        <w:t>1.</w:t>
      </w:r>
      <w:r>
        <w:rPr>
          <w:rFonts w:ascii="黑体" w:hAnsi="黑体" w:eastAsia="黑体" w:cs="黑体"/>
          <w:b/>
          <w:bCs/>
          <w:color w:val="004EB6"/>
          <w:spacing w:val="-4"/>
          <w:sz w:val="20"/>
          <w:szCs w:val="20"/>
        </w:rPr>
        <w:t>适应型项目中的过程组</w:t>
      </w:r>
    </w:p>
    <w:p w14:paraId="2561B6F3">
      <w:pPr>
        <w:pStyle w:val="2"/>
        <w:spacing w:before="124" w:line="220" w:lineRule="auto"/>
        <w:ind w:left="759"/>
        <w:rPr>
          <w:sz w:val="20"/>
          <w:szCs w:val="20"/>
        </w:rPr>
      </w:pPr>
      <w:r>
        <w:rPr>
          <w:spacing w:val="-3"/>
          <w:sz w:val="20"/>
          <w:szCs w:val="20"/>
        </w:rPr>
        <w:t>适应型项目中，各过程组的情况具体如下：</w:t>
      </w:r>
    </w:p>
    <w:p w14:paraId="45A082F7">
      <w:pPr>
        <w:pStyle w:val="2"/>
        <w:spacing w:before="87" w:line="277" w:lineRule="auto"/>
        <w:ind w:left="369" w:right="20" w:firstLine="390"/>
        <w:rPr>
          <w:sz w:val="20"/>
          <w:szCs w:val="20"/>
        </w:rPr>
      </w:pPr>
      <w:r>
        <w:rPr>
          <w:spacing w:val="7"/>
          <w:sz w:val="20"/>
          <w:szCs w:val="20"/>
        </w:rPr>
        <w:t>(1)启动过程组：在采用适应型生命周期的项目上，启动过程通常要在每个迭代期开展。</w:t>
      </w:r>
      <w:r>
        <w:rPr>
          <w:spacing w:val="8"/>
          <w:sz w:val="20"/>
          <w:szCs w:val="20"/>
        </w:rPr>
        <w:t xml:space="preserve"> </w:t>
      </w:r>
      <w:r>
        <w:rPr>
          <w:spacing w:val="3"/>
          <w:sz w:val="20"/>
          <w:szCs w:val="20"/>
        </w:rPr>
        <w:t>适应型项目非常依赖知识丰富的干系人代表，他们要能够持</w:t>
      </w:r>
      <w:r>
        <w:rPr>
          <w:spacing w:val="2"/>
          <w:sz w:val="20"/>
          <w:szCs w:val="20"/>
        </w:rPr>
        <w:t>续地表达需要和意愿，并不断针对</w:t>
      </w:r>
      <w:r>
        <w:rPr>
          <w:sz w:val="20"/>
          <w:szCs w:val="20"/>
        </w:rPr>
        <w:t xml:space="preserve"> </w:t>
      </w:r>
      <w:r>
        <w:rPr>
          <w:spacing w:val="3"/>
          <w:sz w:val="20"/>
          <w:szCs w:val="20"/>
        </w:rPr>
        <w:t>新形成的可交付成果提出反馈意见。因此应该在项目开始时识别出这些关键干系人，以便在开</w:t>
      </w:r>
      <w:r>
        <w:rPr>
          <w:spacing w:val="5"/>
          <w:sz w:val="20"/>
          <w:szCs w:val="20"/>
        </w:rPr>
        <w:t xml:space="preserve"> </w:t>
      </w:r>
      <w:r>
        <w:rPr>
          <w:spacing w:val="3"/>
          <w:sz w:val="20"/>
          <w:szCs w:val="20"/>
        </w:rPr>
        <w:t>展执行和监控过程组时与他们频繁互动，获得的反馈意见能够确保项目交付出</w:t>
      </w:r>
      <w:r>
        <w:rPr>
          <w:spacing w:val="2"/>
          <w:sz w:val="20"/>
          <w:szCs w:val="20"/>
        </w:rPr>
        <w:t>正确的成果。同</w:t>
      </w:r>
      <w:r>
        <w:rPr>
          <w:sz w:val="20"/>
          <w:szCs w:val="20"/>
        </w:rPr>
        <w:t xml:space="preserve"> </w:t>
      </w:r>
      <w:r>
        <w:rPr>
          <w:spacing w:val="3"/>
          <w:sz w:val="20"/>
          <w:szCs w:val="20"/>
        </w:rPr>
        <w:t>时，随着项目进展，优先级和情况的动态变化，项目制约因素和项目成功的标准也会变化。因</w:t>
      </w:r>
      <w:r>
        <w:rPr>
          <w:spacing w:val="16"/>
          <w:sz w:val="20"/>
          <w:szCs w:val="20"/>
        </w:rPr>
        <w:t xml:space="preserve"> </w:t>
      </w:r>
      <w:r>
        <w:rPr>
          <w:spacing w:val="3"/>
          <w:sz w:val="20"/>
          <w:szCs w:val="20"/>
        </w:rPr>
        <w:t xml:space="preserve">此，需要定期开展启动过程，频繁回顾和重新确认项目章程，以确保项目在最新的制约因素内 </w:t>
      </w:r>
      <w:r>
        <w:rPr>
          <w:spacing w:val="-6"/>
          <w:sz w:val="20"/>
          <w:szCs w:val="20"/>
        </w:rPr>
        <w:t>向最新的目标推进。</w:t>
      </w:r>
    </w:p>
    <w:p w14:paraId="4498524F">
      <w:pPr>
        <w:pStyle w:val="2"/>
        <w:spacing w:before="112" w:line="275" w:lineRule="auto"/>
        <w:ind w:left="369" w:right="87" w:firstLine="390"/>
        <w:rPr>
          <w:sz w:val="20"/>
          <w:szCs w:val="20"/>
        </w:rPr>
      </w:pPr>
      <w:r>
        <w:rPr>
          <w:spacing w:val="5"/>
          <w:sz w:val="20"/>
          <w:szCs w:val="20"/>
        </w:rPr>
        <w:t>(2)规划过程组：在高度复杂和不确定的项目中，在采用适应型生命周期的项目上，应该</w:t>
      </w:r>
      <w:r>
        <w:rPr>
          <w:spacing w:val="18"/>
          <w:sz w:val="20"/>
          <w:szCs w:val="20"/>
        </w:rPr>
        <w:t xml:space="preserve"> </w:t>
      </w:r>
      <w:r>
        <w:rPr>
          <w:spacing w:val="3"/>
          <w:sz w:val="20"/>
          <w:szCs w:val="20"/>
        </w:rPr>
        <w:t>让尽可能多的团队成员和干系人参与到规划过程，以便依据广泛的信</w:t>
      </w:r>
      <w:r>
        <w:rPr>
          <w:spacing w:val="2"/>
          <w:sz w:val="20"/>
          <w:szCs w:val="20"/>
        </w:rPr>
        <w:t>息开展规划，降低不确定</w:t>
      </w:r>
      <w:r>
        <w:rPr>
          <w:sz w:val="20"/>
          <w:szCs w:val="20"/>
        </w:rPr>
        <w:t xml:space="preserve"> </w:t>
      </w:r>
      <w:r>
        <w:rPr>
          <w:spacing w:val="3"/>
          <w:sz w:val="20"/>
          <w:szCs w:val="20"/>
        </w:rPr>
        <w:t>性。高度预测型项目范围变更很少、干系人之间有高度共识</w:t>
      </w:r>
      <w:r>
        <w:rPr>
          <w:spacing w:val="2"/>
          <w:sz w:val="20"/>
          <w:szCs w:val="20"/>
        </w:rPr>
        <w:t>，这类项目会受益于前期的详细规</w:t>
      </w:r>
      <w:r>
        <w:rPr>
          <w:sz w:val="20"/>
          <w:szCs w:val="20"/>
        </w:rPr>
        <w:t xml:space="preserve"> </w:t>
      </w:r>
      <w:r>
        <w:rPr>
          <w:spacing w:val="3"/>
          <w:sz w:val="20"/>
          <w:szCs w:val="20"/>
        </w:rPr>
        <w:t>划。适应型项目生命周期的特点是先基于初始需求制订一</w:t>
      </w:r>
      <w:r>
        <w:rPr>
          <w:spacing w:val="2"/>
          <w:sz w:val="20"/>
          <w:szCs w:val="20"/>
        </w:rPr>
        <w:t>套高层级的计划，再逐渐把需求细化</w:t>
      </w:r>
      <w:r>
        <w:rPr>
          <w:sz w:val="20"/>
          <w:szCs w:val="20"/>
        </w:rPr>
        <w:t xml:space="preserve"> </w:t>
      </w:r>
      <w:r>
        <w:rPr>
          <w:spacing w:val="3"/>
          <w:sz w:val="20"/>
          <w:szCs w:val="20"/>
        </w:rPr>
        <w:t>到适合特定规划周期所需的详细程度。预测型和适应型生命周</w:t>
      </w:r>
      <w:r>
        <w:rPr>
          <w:spacing w:val="2"/>
          <w:sz w:val="20"/>
          <w:szCs w:val="20"/>
        </w:rPr>
        <w:t>期在规划阶段的主要区别在于做</w:t>
      </w:r>
      <w:r>
        <w:rPr>
          <w:sz w:val="20"/>
          <w:szCs w:val="20"/>
        </w:rPr>
        <w:t xml:space="preserve"> </w:t>
      </w:r>
      <w:r>
        <w:rPr>
          <w:spacing w:val="-3"/>
          <w:sz w:val="20"/>
          <w:szCs w:val="20"/>
        </w:rPr>
        <w:t>多少规划工作，以及什么时间做。</w:t>
      </w:r>
    </w:p>
    <w:p w14:paraId="2BA87DA0">
      <w:pPr>
        <w:pStyle w:val="2"/>
        <w:spacing w:before="101" w:line="273" w:lineRule="auto"/>
        <w:ind w:left="369" w:right="20" w:firstLine="390"/>
        <w:rPr>
          <w:sz w:val="20"/>
          <w:szCs w:val="20"/>
        </w:rPr>
      </w:pPr>
      <w:r>
        <w:rPr>
          <w:spacing w:val="6"/>
          <w:sz w:val="20"/>
          <w:szCs w:val="20"/>
        </w:rPr>
        <w:t>(3)执行过程组：在敏捷型或适应型项目生命</w:t>
      </w:r>
      <w:r>
        <w:rPr>
          <w:spacing w:val="5"/>
          <w:sz w:val="20"/>
          <w:szCs w:val="20"/>
        </w:rPr>
        <w:t>周期中，执行过程通过迭代对工作进行指导</w:t>
      </w:r>
      <w:r>
        <w:rPr>
          <w:sz w:val="20"/>
          <w:szCs w:val="20"/>
        </w:rPr>
        <w:t xml:space="preserve"> </w:t>
      </w:r>
      <w:r>
        <w:rPr>
          <w:spacing w:val="3"/>
          <w:sz w:val="20"/>
          <w:szCs w:val="20"/>
        </w:rPr>
        <w:t>和管理。每次迭代都是在一个很短的固定时间段内开展工作，</w:t>
      </w:r>
      <w:r>
        <w:rPr>
          <w:spacing w:val="2"/>
          <w:sz w:val="20"/>
          <w:szCs w:val="20"/>
        </w:rPr>
        <w:t>然后演示所完成的工作成果，有</w:t>
      </w:r>
      <w:r>
        <w:rPr>
          <w:sz w:val="20"/>
          <w:szCs w:val="20"/>
        </w:rPr>
        <w:t xml:space="preserve"> 关的干系人和团队基于演示来进行回顾性审查</w:t>
      </w:r>
      <w:r>
        <w:rPr>
          <w:spacing w:val="-1"/>
          <w:sz w:val="20"/>
          <w:szCs w:val="20"/>
        </w:rPr>
        <w:t>。这种演示和审查有助于对照计划检查进展情况，</w:t>
      </w:r>
      <w:r>
        <w:rPr>
          <w:sz w:val="20"/>
          <w:szCs w:val="20"/>
        </w:rPr>
        <w:t xml:space="preserve"> </w:t>
      </w:r>
      <w:r>
        <w:rPr>
          <w:spacing w:val="3"/>
          <w:sz w:val="20"/>
          <w:szCs w:val="20"/>
        </w:rPr>
        <w:t>确定是否有必要对项目范围、进度或执行过程做变更。进行回顾性</w:t>
      </w:r>
      <w:r>
        <w:rPr>
          <w:spacing w:val="2"/>
          <w:sz w:val="20"/>
          <w:szCs w:val="20"/>
        </w:rPr>
        <w:t>审查，有利于及时发现和讨</w:t>
      </w:r>
      <w:r>
        <w:rPr>
          <w:sz w:val="20"/>
          <w:szCs w:val="20"/>
        </w:rPr>
        <w:t xml:space="preserve"> </w:t>
      </w:r>
      <w:r>
        <w:rPr>
          <w:spacing w:val="-3"/>
          <w:sz w:val="20"/>
          <w:szCs w:val="20"/>
        </w:rPr>
        <w:t>论与执行方法有关的问题，以及提出改进建议。</w:t>
      </w:r>
    </w:p>
    <w:p w14:paraId="3DB39CB1">
      <w:pPr>
        <w:pStyle w:val="2"/>
        <w:spacing w:before="92" w:line="281" w:lineRule="auto"/>
        <w:ind w:left="369" w:right="61" w:firstLine="390"/>
        <w:jc w:val="both"/>
        <w:rPr>
          <w:sz w:val="20"/>
          <w:szCs w:val="20"/>
        </w:rPr>
      </w:pPr>
      <w:r>
        <w:rPr>
          <w:spacing w:val="3"/>
          <w:sz w:val="20"/>
          <w:szCs w:val="20"/>
        </w:rPr>
        <w:t>虽然工作是通过短期迭代进行的，但是也需要对照长期的项目交付时间框架对其进行跟踪</w:t>
      </w:r>
      <w:r>
        <w:rPr>
          <w:spacing w:val="2"/>
          <w:sz w:val="20"/>
          <w:szCs w:val="20"/>
        </w:rPr>
        <w:t xml:space="preserve"> </w:t>
      </w:r>
      <w:r>
        <w:rPr>
          <w:spacing w:val="3"/>
          <w:sz w:val="20"/>
          <w:szCs w:val="20"/>
        </w:rPr>
        <w:t>和管理。先在迭代期层面上追踪开发速度、成本支出、缺陷</w:t>
      </w:r>
      <w:r>
        <w:rPr>
          <w:spacing w:val="2"/>
          <w:sz w:val="20"/>
          <w:szCs w:val="20"/>
        </w:rPr>
        <w:t>率和团队能力的走势，再汇总并推</w:t>
      </w:r>
      <w:r>
        <w:rPr>
          <w:sz w:val="20"/>
          <w:szCs w:val="20"/>
        </w:rPr>
        <w:t xml:space="preserve"> </w:t>
      </w:r>
      <w:r>
        <w:rPr>
          <w:spacing w:val="3"/>
          <w:sz w:val="20"/>
          <w:szCs w:val="20"/>
        </w:rPr>
        <w:t>算到项目层面，来跟踪整体项目的完工绩效。高度适应型项目中，项目经理聚焦于高层级的目</w:t>
      </w:r>
      <w:r>
        <w:rPr>
          <w:spacing w:val="14"/>
          <w:sz w:val="20"/>
          <w:szCs w:val="20"/>
        </w:rPr>
        <w:t xml:space="preserve"> </w:t>
      </w:r>
      <w:r>
        <w:rPr>
          <w:spacing w:val="3"/>
          <w:sz w:val="20"/>
          <w:szCs w:val="20"/>
        </w:rPr>
        <w:t xml:space="preserve">标，并授权团队成员作为一个小组用最能实现目标的方式自行安排具体工作，有助于团队成员 </w:t>
      </w:r>
      <w:r>
        <w:rPr>
          <w:spacing w:val="-3"/>
          <w:sz w:val="20"/>
          <w:szCs w:val="20"/>
        </w:rPr>
        <w:t>高度投入，制订出切合实际的计划。</w:t>
      </w:r>
    </w:p>
    <w:p w14:paraId="438732C7">
      <w:pPr>
        <w:pStyle w:val="2"/>
        <w:spacing w:before="45" w:line="273" w:lineRule="auto"/>
        <w:ind w:left="369" w:firstLine="390"/>
        <w:jc w:val="both"/>
        <w:rPr>
          <w:sz w:val="20"/>
          <w:szCs w:val="20"/>
        </w:rPr>
      </w:pPr>
      <w:r>
        <w:rPr>
          <w:spacing w:val="5"/>
          <w:sz w:val="20"/>
          <w:szCs w:val="20"/>
        </w:rPr>
        <w:t>(4)监控过程组：在敏捷型或适应型项目生命周期中，监控过程通过维护未完成工作项的</w:t>
      </w:r>
      <w:r>
        <w:rPr>
          <w:spacing w:val="2"/>
          <w:sz w:val="20"/>
          <w:szCs w:val="20"/>
        </w:rPr>
        <w:t xml:space="preserve">  </w:t>
      </w:r>
      <w:r>
        <w:rPr>
          <w:spacing w:val="5"/>
          <w:sz w:val="20"/>
          <w:szCs w:val="20"/>
        </w:rPr>
        <w:t>清单，对进展和绩效进行跟踪、审查和调整。针对未完成的工作项，在项目团队的协助(分析</w:t>
      </w:r>
      <w:r>
        <w:rPr>
          <w:spacing w:val="1"/>
          <w:sz w:val="20"/>
          <w:szCs w:val="20"/>
        </w:rPr>
        <w:t xml:space="preserve">  </w:t>
      </w:r>
      <w:r>
        <w:rPr>
          <w:spacing w:val="5"/>
          <w:sz w:val="20"/>
          <w:szCs w:val="20"/>
        </w:rPr>
        <w:t>并提供有关技术依赖关系的信息)下，业务代表对未完成的工作项进行优先级排序，基于业务</w:t>
      </w:r>
      <w:r>
        <w:rPr>
          <w:spacing w:val="1"/>
          <w:sz w:val="20"/>
          <w:szCs w:val="20"/>
        </w:rPr>
        <w:t xml:space="preserve">  </w:t>
      </w:r>
      <w:r>
        <w:rPr>
          <w:spacing w:val="5"/>
          <w:sz w:val="20"/>
          <w:szCs w:val="20"/>
        </w:rPr>
        <w:t>优先级和团队能力，提取未完成工作项清单最前面的任务，供下一个迭代期完成</w:t>
      </w:r>
      <w:r>
        <w:rPr>
          <w:spacing w:val="4"/>
          <w:sz w:val="20"/>
          <w:szCs w:val="20"/>
        </w:rPr>
        <w:t>。针对变更，</w:t>
      </w:r>
      <w:r>
        <w:rPr>
          <w:sz w:val="20"/>
          <w:szCs w:val="20"/>
        </w:rPr>
        <w:t xml:space="preserve"> </w:t>
      </w:r>
      <w:r>
        <w:rPr>
          <w:spacing w:val="3"/>
          <w:sz w:val="20"/>
          <w:szCs w:val="20"/>
        </w:rPr>
        <w:t>业务代表在听取项目团队的技术意见之后，评审变更请求和缺陷报告，排</w:t>
      </w:r>
      <w:r>
        <w:rPr>
          <w:spacing w:val="2"/>
          <w:sz w:val="20"/>
          <w:szCs w:val="20"/>
        </w:rPr>
        <w:t>列所需变更或补救的</w:t>
      </w:r>
      <w:r>
        <w:rPr>
          <w:sz w:val="20"/>
          <w:szCs w:val="20"/>
        </w:rPr>
        <w:t xml:space="preserve">  </w:t>
      </w:r>
      <w:r>
        <w:rPr>
          <w:spacing w:val="-3"/>
          <w:sz w:val="20"/>
          <w:szCs w:val="20"/>
        </w:rPr>
        <w:t>优先级，列入未完成工作项清单。</w:t>
      </w:r>
    </w:p>
    <w:p w14:paraId="5E2520C3">
      <w:pPr>
        <w:pStyle w:val="2"/>
        <w:spacing w:before="89" w:line="270" w:lineRule="auto"/>
        <w:ind w:left="369" w:right="70" w:firstLine="390"/>
        <w:jc w:val="both"/>
        <w:rPr>
          <w:sz w:val="20"/>
          <w:szCs w:val="20"/>
        </w:rPr>
      </w:pPr>
      <w:r>
        <w:rPr>
          <w:spacing w:val="3"/>
          <w:sz w:val="20"/>
          <w:szCs w:val="20"/>
        </w:rPr>
        <w:t>这种把工作和变更列入同一张清单的做法，多应用于充满变更的项目环境。在这种项目环</w:t>
      </w:r>
      <w:r>
        <w:rPr>
          <w:spacing w:val="2"/>
          <w:sz w:val="20"/>
          <w:szCs w:val="20"/>
        </w:rPr>
        <w:t xml:space="preserve"> </w:t>
      </w:r>
      <w:r>
        <w:rPr>
          <w:spacing w:val="3"/>
          <w:sz w:val="20"/>
          <w:szCs w:val="20"/>
        </w:rPr>
        <w:t>境中，无法把变更从原先计划的工作中分离出来，所以把变更和原先的工作整合到一张未完成</w:t>
      </w:r>
      <w:r>
        <w:rPr>
          <w:spacing w:val="5"/>
          <w:sz w:val="20"/>
          <w:szCs w:val="20"/>
        </w:rPr>
        <w:t xml:space="preserve"> </w:t>
      </w:r>
      <w:r>
        <w:rPr>
          <w:spacing w:val="3"/>
          <w:sz w:val="20"/>
          <w:szCs w:val="20"/>
        </w:rPr>
        <w:t>工作项清单中，便于对全部工作进行重新排序，能够为干系</w:t>
      </w:r>
      <w:r>
        <w:rPr>
          <w:spacing w:val="2"/>
          <w:sz w:val="20"/>
          <w:szCs w:val="20"/>
        </w:rPr>
        <w:t>人管理和控制项目工作、实施变更</w:t>
      </w:r>
      <w:r>
        <w:rPr>
          <w:sz w:val="20"/>
          <w:szCs w:val="20"/>
        </w:rPr>
        <w:t xml:space="preserve"> </w:t>
      </w:r>
      <w:r>
        <w:rPr>
          <w:spacing w:val="-2"/>
          <w:sz w:val="20"/>
          <w:szCs w:val="20"/>
        </w:rPr>
        <w:t>控制和确认范围提供统一的平台。</w:t>
      </w:r>
    </w:p>
    <w:p w14:paraId="409359E2">
      <w:pPr>
        <w:spacing w:line="270" w:lineRule="auto"/>
        <w:rPr>
          <w:sz w:val="20"/>
          <w:szCs w:val="20"/>
        </w:rPr>
        <w:sectPr>
          <w:pgSz w:w="10310" w:h="13400"/>
          <w:pgMar w:top="400" w:right="1009" w:bottom="400" w:left="530" w:header="0" w:footer="0" w:gutter="0"/>
          <w:cols w:space="720" w:num="1"/>
        </w:sectPr>
      </w:pPr>
    </w:p>
    <w:p w14:paraId="4A6775CF">
      <w:pPr>
        <w:pStyle w:val="2"/>
        <w:spacing w:before="66" w:line="219" w:lineRule="auto"/>
        <w:jc w:val="right"/>
        <w:rPr>
          <w:rFonts w:ascii="Times New Roman" w:hAnsi="Times New Roman" w:eastAsia="Times New Roman" w:cs="Times New Roman"/>
          <w:sz w:val="19"/>
          <w:szCs w:val="19"/>
        </w:rPr>
      </w:pPr>
      <w:bookmarkStart w:id="683" w:name="bookmark668"/>
      <w:bookmarkEnd w:id="683"/>
      <w:r>
        <w:rPr>
          <w:spacing w:val="4"/>
          <w:sz w:val="19"/>
          <w:szCs w:val="19"/>
        </w:rPr>
        <w:t>第16章</w:t>
      </w:r>
      <w:r>
        <w:rPr>
          <w:spacing w:val="48"/>
          <w:sz w:val="19"/>
          <w:szCs w:val="19"/>
        </w:rPr>
        <w:t xml:space="preserve"> </w:t>
      </w:r>
      <w:r>
        <w:rPr>
          <w:spacing w:val="4"/>
          <w:sz w:val="19"/>
          <w:szCs w:val="19"/>
        </w:rPr>
        <w:t xml:space="preserve">项目管理      </w:t>
      </w:r>
      <w:r>
        <w:rPr>
          <w:rFonts w:ascii="Times New Roman" w:hAnsi="Times New Roman" w:eastAsia="Times New Roman" w:cs="Times New Roman"/>
          <w:spacing w:val="4"/>
          <w:position w:val="1"/>
          <w:sz w:val="19"/>
          <w:szCs w:val="19"/>
        </w:rPr>
        <w:t>379</w:t>
      </w:r>
    </w:p>
    <w:p w14:paraId="7DECE012">
      <w:pPr>
        <w:spacing w:line="303" w:lineRule="auto"/>
        <w:rPr>
          <w:rFonts w:ascii="Arial"/>
          <w:sz w:val="21"/>
        </w:rPr>
      </w:pPr>
    </w:p>
    <w:p w14:paraId="571B427D">
      <w:pPr>
        <w:pStyle w:val="2"/>
        <w:spacing w:before="62" w:line="303" w:lineRule="auto"/>
        <w:ind w:left="70" w:right="232" w:firstLine="410"/>
        <w:jc w:val="both"/>
        <w:rPr>
          <w:sz w:val="19"/>
          <w:szCs w:val="19"/>
        </w:rPr>
      </w:pPr>
      <w:r>
        <w:rPr>
          <w:spacing w:val="14"/>
          <w:sz w:val="19"/>
          <w:szCs w:val="19"/>
        </w:rPr>
        <w:t>随着排定了优先级的任务和变更从未完成工作项清单中提取出来，并通过迭代加以</w:t>
      </w:r>
      <w:r>
        <w:rPr>
          <w:spacing w:val="13"/>
          <w:sz w:val="19"/>
          <w:szCs w:val="19"/>
        </w:rPr>
        <w:t>完成，</w:t>
      </w:r>
      <w:r>
        <w:rPr>
          <w:sz w:val="19"/>
          <w:szCs w:val="19"/>
        </w:rPr>
        <w:t xml:space="preserve"> </w:t>
      </w:r>
      <w:r>
        <w:rPr>
          <w:spacing w:val="13"/>
          <w:sz w:val="19"/>
          <w:szCs w:val="19"/>
        </w:rPr>
        <w:t>就可以测算已完成工作的趋势和指标、变更工作量和缺陷率。通过在短期迭代</w:t>
      </w:r>
      <w:r>
        <w:rPr>
          <w:spacing w:val="12"/>
          <w:sz w:val="19"/>
          <w:szCs w:val="19"/>
        </w:rPr>
        <w:t>中频繁抽样，计</w:t>
      </w:r>
      <w:r>
        <w:rPr>
          <w:sz w:val="19"/>
          <w:szCs w:val="19"/>
        </w:rPr>
        <w:t xml:space="preserve"> </w:t>
      </w:r>
      <w:r>
        <w:rPr>
          <w:spacing w:val="13"/>
          <w:sz w:val="19"/>
          <w:szCs w:val="19"/>
        </w:rPr>
        <w:t>算变更影响的数量和缺陷补救工作量，就可以对照原来的范围来考察团队能力</w:t>
      </w:r>
      <w:r>
        <w:rPr>
          <w:spacing w:val="12"/>
          <w:sz w:val="19"/>
          <w:szCs w:val="19"/>
        </w:rPr>
        <w:t>和工作进展，进</w:t>
      </w:r>
      <w:r>
        <w:rPr>
          <w:sz w:val="19"/>
          <w:szCs w:val="19"/>
        </w:rPr>
        <w:t xml:space="preserve"> </w:t>
      </w:r>
      <w:r>
        <w:rPr>
          <w:spacing w:val="8"/>
          <w:sz w:val="19"/>
          <w:szCs w:val="19"/>
        </w:rPr>
        <w:t>而能够基于实际的进展速度和变更影响来估算项目成本、进度</w:t>
      </w:r>
      <w:r>
        <w:rPr>
          <w:spacing w:val="7"/>
          <w:sz w:val="19"/>
          <w:szCs w:val="19"/>
        </w:rPr>
        <w:t>和范围。</w:t>
      </w:r>
    </w:p>
    <w:p w14:paraId="000F653E">
      <w:pPr>
        <w:pStyle w:val="2"/>
        <w:spacing w:before="29" w:line="297" w:lineRule="auto"/>
        <w:ind w:left="70" w:right="192" w:firstLine="410"/>
        <w:rPr>
          <w:sz w:val="19"/>
          <w:szCs w:val="19"/>
        </w:rPr>
      </w:pPr>
      <w:r>
        <w:rPr>
          <w:spacing w:val="10"/>
          <w:sz w:val="19"/>
          <w:szCs w:val="19"/>
        </w:rPr>
        <w:t>应该借助趋势图表与项目干系人分享这些指标和预测，以便沟通进展情况、</w:t>
      </w:r>
      <w:r>
        <w:rPr>
          <w:spacing w:val="9"/>
          <w:sz w:val="19"/>
          <w:szCs w:val="19"/>
        </w:rPr>
        <w:t>共同面对问题、</w:t>
      </w:r>
      <w:r>
        <w:rPr>
          <w:sz w:val="19"/>
          <w:szCs w:val="19"/>
        </w:rPr>
        <w:t xml:space="preserve"> </w:t>
      </w:r>
      <w:r>
        <w:rPr>
          <w:spacing w:val="7"/>
          <w:sz w:val="19"/>
          <w:szCs w:val="19"/>
        </w:rPr>
        <w:t>推动持续改进，以及管理干系人期望。</w:t>
      </w:r>
    </w:p>
    <w:p w14:paraId="23B25A68">
      <w:pPr>
        <w:pStyle w:val="2"/>
        <w:spacing w:before="1" w:line="304" w:lineRule="auto"/>
        <w:ind w:left="70" w:right="232" w:firstLine="410"/>
        <w:jc w:val="both"/>
        <w:rPr>
          <w:sz w:val="19"/>
          <w:szCs w:val="19"/>
        </w:rPr>
      </w:pPr>
      <w:r>
        <w:rPr>
          <w:spacing w:val="16"/>
          <w:sz w:val="19"/>
          <w:szCs w:val="19"/>
        </w:rPr>
        <w:t>(5)收尾过程组：在敏捷型或适应型项目生命周期中，收尾过程对工作进行优先级排</w:t>
      </w:r>
      <w:r>
        <w:rPr>
          <w:spacing w:val="15"/>
          <w:sz w:val="19"/>
          <w:szCs w:val="19"/>
        </w:rPr>
        <w:t>序，</w:t>
      </w:r>
      <w:r>
        <w:rPr>
          <w:sz w:val="19"/>
          <w:szCs w:val="19"/>
        </w:rPr>
        <w:t xml:space="preserve"> </w:t>
      </w:r>
      <w:r>
        <w:rPr>
          <w:spacing w:val="13"/>
          <w:sz w:val="19"/>
          <w:szCs w:val="19"/>
        </w:rPr>
        <w:t>以便首先完成最具业务价值的工作。这样即便不得不提前关闭项目或阶段，也</w:t>
      </w:r>
      <w:r>
        <w:rPr>
          <w:spacing w:val="12"/>
          <w:sz w:val="19"/>
          <w:szCs w:val="19"/>
        </w:rPr>
        <w:t>很可能已经创造</w:t>
      </w:r>
      <w:r>
        <w:rPr>
          <w:sz w:val="19"/>
          <w:szCs w:val="19"/>
        </w:rPr>
        <w:t xml:space="preserve"> </w:t>
      </w:r>
      <w:r>
        <w:rPr>
          <w:spacing w:val="13"/>
          <w:sz w:val="19"/>
          <w:szCs w:val="19"/>
        </w:rPr>
        <w:t>出一些有用的业务价值。这就使得提前关闭不是一种归因于沉没成本的失败，而是</w:t>
      </w:r>
      <w:r>
        <w:rPr>
          <w:spacing w:val="12"/>
          <w:sz w:val="19"/>
          <w:szCs w:val="19"/>
        </w:rPr>
        <w:t>一种提前实</w:t>
      </w:r>
      <w:r>
        <w:rPr>
          <w:sz w:val="19"/>
          <w:szCs w:val="19"/>
        </w:rPr>
        <w:t xml:space="preserve"> </w:t>
      </w:r>
      <w:r>
        <w:rPr>
          <w:spacing w:val="8"/>
          <w:sz w:val="19"/>
          <w:szCs w:val="19"/>
        </w:rPr>
        <w:t>现收益、快速取得成功或验证某种业务的概念。</w:t>
      </w:r>
    </w:p>
    <w:p w14:paraId="51C0F9CF">
      <w:pPr>
        <w:pStyle w:val="2"/>
        <w:spacing w:before="103" w:line="222" w:lineRule="auto"/>
        <w:ind w:left="482"/>
        <w:rPr>
          <w:rFonts w:ascii="黑体" w:hAnsi="黑体" w:eastAsia="黑体" w:cs="黑体"/>
          <w:sz w:val="19"/>
          <w:szCs w:val="19"/>
        </w:rPr>
      </w:pPr>
      <w:r>
        <w:rPr>
          <w:b/>
          <w:bCs/>
          <w:color w:val="0056D9"/>
          <w:spacing w:val="7"/>
          <w:sz w:val="19"/>
          <w:szCs w:val="19"/>
        </w:rPr>
        <w:t>2.</w:t>
      </w:r>
      <w:r>
        <w:rPr>
          <w:rFonts w:ascii="黑体" w:hAnsi="黑体" w:eastAsia="黑体" w:cs="黑体"/>
          <w:b/>
          <w:bCs/>
          <w:color w:val="0056D9"/>
          <w:spacing w:val="7"/>
          <w:sz w:val="19"/>
          <w:szCs w:val="19"/>
        </w:rPr>
        <w:t>适应型项目中过程组之间的关系</w:t>
      </w:r>
    </w:p>
    <w:p w14:paraId="250609B3">
      <w:pPr>
        <w:pStyle w:val="2"/>
        <w:spacing w:before="176" w:line="220" w:lineRule="auto"/>
        <w:ind w:left="480"/>
        <w:rPr>
          <w:sz w:val="19"/>
          <w:szCs w:val="19"/>
        </w:rPr>
      </w:pPr>
      <w:r>
        <w:rPr>
          <w:spacing w:val="6"/>
          <w:sz w:val="19"/>
          <w:szCs w:val="19"/>
        </w:rPr>
        <w:t>适应型项目中，各过程组之间的关系具体如下：</w:t>
      </w:r>
    </w:p>
    <w:p w14:paraId="0A23E2B2">
      <w:pPr>
        <w:pStyle w:val="2"/>
        <w:spacing w:before="74" w:line="304" w:lineRule="auto"/>
        <w:ind w:left="70" w:right="252" w:firstLine="410"/>
        <w:rPr>
          <w:sz w:val="19"/>
          <w:szCs w:val="19"/>
        </w:rPr>
      </w:pPr>
      <w:r>
        <w:rPr>
          <w:spacing w:val="15"/>
          <w:sz w:val="19"/>
          <w:szCs w:val="19"/>
        </w:rPr>
        <w:t>(1)以迭代方式顺序开展的项目：适应型项目往往可分解为一系列按先</w:t>
      </w:r>
      <w:r>
        <w:rPr>
          <w:spacing w:val="14"/>
          <w:sz w:val="19"/>
          <w:szCs w:val="19"/>
        </w:rPr>
        <w:t>后顺序进行的、被</w:t>
      </w:r>
      <w:r>
        <w:rPr>
          <w:sz w:val="19"/>
          <w:szCs w:val="19"/>
        </w:rPr>
        <w:t xml:space="preserve"> </w:t>
      </w:r>
      <w:r>
        <w:rPr>
          <w:spacing w:val="13"/>
          <w:sz w:val="19"/>
          <w:szCs w:val="19"/>
        </w:rPr>
        <w:t>称为“迭代期”的阶段。在每个迭代期都要利用相关的项目管理过程，为了有效管理高度复杂</w:t>
      </w:r>
      <w:r>
        <w:rPr>
          <w:sz w:val="19"/>
          <w:szCs w:val="19"/>
        </w:rPr>
        <w:t xml:space="preserve"> </w:t>
      </w:r>
      <w:r>
        <w:rPr>
          <w:spacing w:val="9"/>
          <w:sz w:val="19"/>
          <w:szCs w:val="19"/>
        </w:rPr>
        <w:t>且充满不确定性和变更的项目，重复开展项目管理过程组会产生</w:t>
      </w:r>
      <w:r>
        <w:rPr>
          <w:spacing w:val="8"/>
          <w:sz w:val="19"/>
          <w:szCs w:val="19"/>
        </w:rPr>
        <w:t>管理费用，在迭代的各个阶段，</w:t>
      </w:r>
      <w:r>
        <w:rPr>
          <w:sz w:val="19"/>
          <w:szCs w:val="19"/>
        </w:rPr>
        <w:t xml:space="preserve"> </w:t>
      </w:r>
      <w:r>
        <w:rPr>
          <w:spacing w:val="10"/>
          <w:sz w:val="19"/>
          <w:szCs w:val="19"/>
        </w:rPr>
        <w:t>所需的投入水平如图16-9所示。</w:t>
      </w:r>
    </w:p>
    <w:p w14:paraId="021A9A0C">
      <w:pPr>
        <w:spacing w:line="283" w:lineRule="auto"/>
        <w:rPr>
          <w:rFonts w:ascii="Arial"/>
          <w:sz w:val="21"/>
        </w:rPr>
      </w:pPr>
    </w:p>
    <w:p w14:paraId="24CA68E5">
      <w:pPr>
        <w:pStyle w:val="2"/>
        <w:spacing w:before="62" w:line="212" w:lineRule="auto"/>
        <w:ind w:left="4110" w:right="3693"/>
        <w:rPr>
          <w:sz w:val="19"/>
          <w:szCs w:val="19"/>
        </w:rPr>
      </w:pPr>
      <w:r>
        <mc:AlternateContent>
          <mc:Choice Requires="wps">
            <w:drawing>
              <wp:anchor distT="0" distB="0" distL="0" distR="0" simplePos="0" relativeHeight="251779072" behindDoc="0" locked="0" layoutInCell="1" allowOverlap="1">
                <wp:simplePos x="0" y="0"/>
                <wp:positionH relativeFrom="column">
                  <wp:posOffset>24765</wp:posOffset>
                </wp:positionH>
                <wp:positionV relativeFrom="paragraph">
                  <wp:posOffset>219075</wp:posOffset>
                </wp:positionV>
                <wp:extent cx="462280" cy="209550"/>
                <wp:effectExtent l="0" t="0" r="0" b="0"/>
                <wp:wrapNone/>
                <wp:docPr id="348" name="TextBox 348"/>
                <wp:cNvGraphicFramePr/>
                <a:graphic xmlns:a="http://schemas.openxmlformats.org/drawingml/2006/main">
                  <a:graphicData uri="http://schemas.microsoft.com/office/word/2010/wordprocessingShape">
                    <wps:wsp>
                      <wps:cNvSpPr txBox="1"/>
                      <wps:spPr>
                        <a:xfrm rot="16200000">
                          <a:off x="25121" y="219684"/>
                          <a:ext cx="462280"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1804675">
                            <w:pPr>
                              <w:pStyle w:val="2"/>
                              <w:spacing w:before="60" w:line="219" w:lineRule="auto"/>
                              <w:jc w:val="right"/>
                              <w:rPr>
                                <w:sz w:val="21"/>
                                <w:szCs w:val="21"/>
                              </w:rPr>
                            </w:pPr>
                            <w:r>
                              <w:rPr>
                                <w:spacing w:val="-18"/>
                                <w:w w:val="89"/>
                                <w:sz w:val="21"/>
                                <w:szCs w:val="21"/>
                              </w:rPr>
                              <w:t>人力投</w:t>
                            </w:r>
                            <w:r>
                              <w:rPr>
                                <w:spacing w:val="-10"/>
                                <w:w w:val="89"/>
                                <w:sz w:val="21"/>
                                <w:szCs w:val="21"/>
                              </w:rPr>
                              <w:t>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8" o:spid="_x0000_s1026" o:spt="202" type="#_x0000_t202" style="position:absolute;left:0pt;margin-left:1.95pt;margin-top:17.25pt;height:16.5pt;width:36.4pt;rotation:-5898240f;z-index:251779072;mso-width-relative:page;mso-height-relative:page;" filled="f" stroked="f" coordsize="21600,21600" o:gfxdata="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DrBU9YAAAAGAQAADwAAAAAA&#10;AAABACAAAAAiAAAAZHJzL2Rvd25yZXYueG1sUEsBAhQAFAAAAAgAh07iQDOYG1dOAgAAogQAAA4A&#10;AAAAAAAAAQAgAAAAJQEAAGRycy9lMm9Eb2MueG1sUEsFBgAAAAAGAAYAWQEAAOUFAAAAAA==&#10;">
                <v:fill on="f" focussize="0,0"/>
                <v:stroke on="f" weight="0pt" miterlimit="0" joinstyle="miter"/>
                <v:imagedata o:title=""/>
                <o:lock v:ext="edit" aspectratio="f"/>
                <v:textbox inset="0mm,0mm,0mm,0mm">
                  <w:txbxContent>
                    <w:p w14:paraId="71804675">
                      <w:pPr>
                        <w:pStyle w:val="2"/>
                        <w:spacing w:before="60" w:line="219" w:lineRule="auto"/>
                        <w:jc w:val="right"/>
                        <w:rPr>
                          <w:sz w:val="21"/>
                          <w:szCs w:val="21"/>
                        </w:rPr>
                      </w:pPr>
                      <w:r>
                        <w:rPr>
                          <w:spacing w:val="-18"/>
                          <w:w w:val="89"/>
                          <w:sz w:val="21"/>
                          <w:szCs w:val="21"/>
                        </w:rPr>
                        <w:t>人力投</w:t>
                      </w:r>
                      <w:r>
                        <w:rPr>
                          <w:spacing w:val="-10"/>
                          <w:w w:val="89"/>
                          <w:sz w:val="21"/>
                          <w:szCs w:val="21"/>
                        </w:rPr>
                        <w:t>入</w:t>
                      </w:r>
                    </w:p>
                  </w:txbxContent>
                </v:textbox>
              </v:shape>
            </w:pict>
          </mc:Fallback>
        </mc:AlternateContent>
      </w:r>
      <w:r>
        <w:drawing>
          <wp:anchor distT="0" distB="0" distL="0" distR="0" simplePos="0" relativeHeight="251772928" behindDoc="1" locked="0" layoutInCell="1" allowOverlap="1">
            <wp:simplePos x="0" y="0"/>
            <wp:positionH relativeFrom="column">
              <wp:posOffset>0</wp:posOffset>
            </wp:positionH>
            <wp:positionV relativeFrom="paragraph">
              <wp:posOffset>-142875</wp:posOffset>
            </wp:positionV>
            <wp:extent cx="5346700" cy="1936750"/>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247"/>
                    <a:stretch>
                      <a:fillRect/>
                    </a:stretch>
                  </pic:blipFill>
                  <pic:spPr>
                    <a:xfrm>
                      <a:off x="0" y="0"/>
                      <a:ext cx="5346725" cy="1936721"/>
                    </a:xfrm>
                    <a:prstGeom prst="rect">
                      <a:avLst/>
                    </a:prstGeom>
                  </pic:spPr>
                </pic:pic>
              </a:graphicData>
            </a:graphic>
          </wp:anchor>
        </w:drawing>
      </w:r>
      <w:r>
        <w:rPr>
          <w:spacing w:val="-17"/>
          <w:w w:val="99"/>
          <w:sz w:val="19"/>
          <w:szCs w:val="19"/>
        </w:rPr>
        <w:t>每次迭代的</w:t>
      </w:r>
      <w:r>
        <w:rPr>
          <w:spacing w:val="7"/>
          <w:sz w:val="19"/>
          <w:szCs w:val="19"/>
        </w:rPr>
        <w:t xml:space="preserve"> </w:t>
      </w:r>
      <w:r>
        <w:rPr>
          <w:spacing w:val="-12"/>
          <w:sz w:val="19"/>
          <w:szCs w:val="19"/>
        </w:rPr>
        <w:t>人力投入</w:t>
      </w:r>
    </w:p>
    <w:p w14:paraId="37A0320F">
      <w:pPr>
        <w:spacing w:line="247" w:lineRule="auto"/>
        <w:rPr>
          <w:rFonts w:ascii="Arial"/>
          <w:sz w:val="21"/>
        </w:rPr>
      </w:pPr>
    </w:p>
    <w:p w14:paraId="1D129E17">
      <w:pPr>
        <w:spacing w:line="247" w:lineRule="auto"/>
        <w:rPr>
          <w:rFonts w:ascii="Arial"/>
          <w:sz w:val="21"/>
        </w:rPr>
      </w:pPr>
    </w:p>
    <w:p w14:paraId="466B8E63">
      <w:pPr>
        <w:pStyle w:val="2"/>
        <w:spacing w:before="46" w:line="201" w:lineRule="auto"/>
        <w:ind w:left="4980"/>
        <w:rPr>
          <w:sz w:val="14"/>
          <w:szCs w:val="14"/>
        </w:rPr>
      </w:pPr>
      <w:r>
        <w:pict>
          <v:shape id="_x0000_s1545" o:spid="_x0000_s1545" o:spt="202" type="#_x0000_t202" style="position:absolute;left:0pt;margin-left:348pt;margin-top:1.25pt;height:20.35pt;width:32.75pt;z-index:251776000;mso-width-relative:page;mso-height-relative:page;" filled="f" stroked="f" coordsize="21600,21600">
            <v:path/>
            <v:fill on="f" focussize="0,0"/>
            <v:stroke on="f"/>
            <v:imagedata o:title=""/>
            <o:lock v:ext="edit" aspectratio="f"/>
            <v:textbox inset="0mm,0mm,0mm,0mm">
              <w:txbxContent>
                <w:p w14:paraId="0601F94A">
                  <w:pPr>
                    <w:pStyle w:val="2"/>
                    <w:spacing w:before="20" w:line="220" w:lineRule="auto"/>
                    <w:ind w:left="20"/>
                    <w:rPr>
                      <w:sz w:val="14"/>
                      <w:szCs w:val="14"/>
                    </w:rPr>
                  </w:pPr>
                  <w:r>
                    <w:rPr>
                      <w:spacing w:val="13"/>
                      <w:sz w:val="14"/>
                      <w:szCs w:val="14"/>
                    </w:rPr>
                    <w:t>监控过程</w:t>
                  </w:r>
                </w:p>
                <w:p w14:paraId="55732B1B">
                  <w:pPr>
                    <w:pStyle w:val="2"/>
                    <w:spacing w:before="33" w:line="220" w:lineRule="auto"/>
                    <w:ind w:left="110"/>
                    <w:rPr>
                      <w:sz w:val="14"/>
                      <w:szCs w:val="14"/>
                    </w:rPr>
                  </w:pPr>
                  <w:r>
                    <w:rPr>
                      <w:color w:val="2475EE"/>
                      <w:spacing w:val="-11"/>
                      <w:w w:val="99"/>
                      <w:sz w:val="14"/>
                      <w:szCs w:val="14"/>
                    </w:rPr>
                    <w:t>观划这积</w:t>
                  </w:r>
                </w:p>
              </w:txbxContent>
            </v:textbox>
          </v:shape>
        </w:pict>
      </w:r>
      <w:r>
        <w:pict>
          <v:shape id="_x0000_s1546" o:spid="_x0000_s1546" o:spt="202" type="#_x0000_t202" style="position:absolute;left:0pt;margin-left:52.5pt;margin-top:1.75pt;height:20.35pt;width:31.75pt;z-index:251778048;mso-width-relative:page;mso-height-relative:page;" filled="f" stroked="f" coordsize="21600,21600">
            <v:path/>
            <v:fill on="f" focussize="0,0"/>
            <v:stroke on="f"/>
            <v:imagedata o:title=""/>
            <o:lock v:ext="edit" aspectratio="f"/>
            <v:textbox inset="0mm,0mm,0mm,0mm">
              <w:txbxContent>
                <w:p w14:paraId="2A851CE3">
                  <w:pPr>
                    <w:pStyle w:val="2"/>
                    <w:spacing w:before="20" w:line="220" w:lineRule="auto"/>
                    <w:ind w:left="20"/>
                    <w:rPr>
                      <w:sz w:val="14"/>
                      <w:szCs w:val="14"/>
                    </w:rPr>
                  </w:pPr>
                  <w:r>
                    <w:rPr>
                      <w:color w:val="246CA4"/>
                      <w:spacing w:val="8"/>
                      <w:sz w:val="14"/>
                      <w:szCs w:val="14"/>
                    </w:rPr>
                    <w:t>监控过程</w:t>
                  </w:r>
                </w:p>
                <w:p w14:paraId="509D6F5C">
                  <w:pPr>
                    <w:pStyle w:val="2"/>
                    <w:spacing w:before="33" w:line="220" w:lineRule="auto"/>
                    <w:ind w:left="69"/>
                    <w:rPr>
                      <w:sz w:val="14"/>
                      <w:szCs w:val="14"/>
                    </w:rPr>
                  </w:pPr>
                  <w:r>
                    <w:rPr>
                      <w:color w:val="2C75F4"/>
                      <w:spacing w:val="-6"/>
                      <w:sz w:val="14"/>
                      <w:szCs w:val="14"/>
                    </w:rPr>
                    <w:t>规刨过种</w:t>
                  </w:r>
                </w:p>
              </w:txbxContent>
            </v:textbox>
          </v:shape>
        </w:pict>
      </w:r>
      <w:r>
        <w:pict>
          <v:shape id="_x0000_s1547" o:spid="_x0000_s1547" o:spt="202" type="#_x0000_t202" style="position:absolute;left:0pt;margin-left:150.5pt;margin-top:1.75pt;height:19.85pt;width:32.75pt;z-index:251777024;mso-width-relative:page;mso-height-relative:page;" filled="f" stroked="f" coordsize="21600,21600">
            <v:path/>
            <v:fill on="f" focussize="0,0"/>
            <v:stroke on="f"/>
            <v:imagedata o:title=""/>
            <o:lock v:ext="edit" aspectratio="f"/>
            <v:textbox inset="0mm,0mm,0mm,0mm">
              <w:txbxContent>
                <w:p w14:paraId="4068EDC1">
                  <w:pPr>
                    <w:pStyle w:val="2"/>
                    <w:spacing w:before="20" w:line="220" w:lineRule="auto"/>
                    <w:ind w:left="20"/>
                    <w:rPr>
                      <w:sz w:val="14"/>
                      <w:szCs w:val="14"/>
                    </w:rPr>
                  </w:pPr>
                  <w:r>
                    <w:rPr>
                      <w:color w:val="154870"/>
                      <w:spacing w:val="13"/>
                      <w:sz w:val="14"/>
                      <w:szCs w:val="14"/>
                    </w:rPr>
                    <w:t>监控过程</w:t>
                  </w:r>
                </w:p>
                <w:p w14:paraId="483A5B4E">
                  <w:pPr>
                    <w:pStyle w:val="2"/>
                    <w:spacing w:before="23" w:line="220" w:lineRule="auto"/>
                    <w:ind w:left="109"/>
                    <w:rPr>
                      <w:sz w:val="14"/>
                      <w:szCs w:val="14"/>
                    </w:rPr>
                  </w:pPr>
                  <w:r>
                    <w:rPr>
                      <w:color w:val="357DEA"/>
                      <w:spacing w:val="-12"/>
                      <w:sz w:val="14"/>
                      <w:szCs w:val="14"/>
                    </w:rPr>
                    <w:t>既项过积</w:t>
                  </w:r>
                </w:p>
              </w:txbxContent>
            </v:textbox>
          </v:shape>
        </w:pict>
      </w:r>
      <w:r>
        <w:rPr>
          <w:color w:val="1C5384"/>
          <w:spacing w:val="13"/>
          <w:sz w:val="14"/>
          <w:szCs w:val="14"/>
        </w:rPr>
        <w:t>监控过程</w:t>
      </w:r>
    </w:p>
    <w:p w14:paraId="32F6D6EF">
      <w:pPr>
        <w:pStyle w:val="2"/>
        <w:spacing w:line="220" w:lineRule="auto"/>
        <w:ind w:left="5050"/>
        <w:rPr>
          <w:sz w:val="19"/>
          <w:szCs w:val="19"/>
        </w:rPr>
      </w:pPr>
      <w:r>
        <w:drawing>
          <wp:anchor distT="0" distB="0" distL="0" distR="0" simplePos="0" relativeHeight="251780096" behindDoc="0" locked="0" layoutInCell="1" allowOverlap="1">
            <wp:simplePos x="0" y="0"/>
            <wp:positionH relativeFrom="column">
              <wp:posOffset>253365</wp:posOffset>
            </wp:positionH>
            <wp:positionV relativeFrom="paragraph">
              <wp:posOffset>235585</wp:posOffset>
            </wp:positionV>
            <wp:extent cx="342900" cy="165100"/>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248"/>
                    <a:stretch>
                      <a:fillRect/>
                    </a:stretch>
                  </pic:blipFill>
                  <pic:spPr>
                    <a:xfrm>
                      <a:off x="0" y="0"/>
                      <a:ext cx="342905" cy="165109"/>
                    </a:xfrm>
                    <a:prstGeom prst="rect">
                      <a:avLst/>
                    </a:prstGeom>
                  </pic:spPr>
                </pic:pic>
              </a:graphicData>
            </a:graphic>
          </wp:anchor>
        </w:drawing>
      </w:r>
      <w:r>
        <w:drawing>
          <wp:anchor distT="0" distB="0" distL="0" distR="0" simplePos="0" relativeHeight="251773952" behindDoc="0" locked="0" layoutInCell="1" allowOverlap="1">
            <wp:simplePos x="0" y="0"/>
            <wp:positionH relativeFrom="column">
              <wp:posOffset>1098550</wp:posOffset>
            </wp:positionH>
            <wp:positionV relativeFrom="paragraph">
              <wp:posOffset>203835</wp:posOffset>
            </wp:positionV>
            <wp:extent cx="742950" cy="19685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249"/>
                    <a:stretch>
                      <a:fillRect/>
                    </a:stretch>
                  </pic:blipFill>
                  <pic:spPr>
                    <a:xfrm>
                      <a:off x="0" y="0"/>
                      <a:ext cx="742928" cy="196780"/>
                    </a:xfrm>
                    <a:prstGeom prst="rect">
                      <a:avLst/>
                    </a:prstGeom>
                  </pic:spPr>
                </pic:pic>
              </a:graphicData>
            </a:graphic>
          </wp:anchor>
        </w:drawing>
      </w:r>
      <w:r>
        <w:drawing>
          <wp:anchor distT="0" distB="0" distL="0" distR="0" simplePos="0" relativeHeight="251774976" behindDoc="0" locked="0" layoutInCell="1" allowOverlap="1">
            <wp:simplePos x="0" y="0"/>
            <wp:positionH relativeFrom="column">
              <wp:posOffset>2349500</wp:posOffset>
            </wp:positionH>
            <wp:positionV relativeFrom="paragraph">
              <wp:posOffset>216535</wp:posOffset>
            </wp:positionV>
            <wp:extent cx="736600" cy="18415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250"/>
                    <a:stretch>
                      <a:fillRect/>
                    </a:stretch>
                  </pic:blipFill>
                  <pic:spPr>
                    <a:xfrm>
                      <a:off x="0" y="0"/>
                      <a:ext cx="736596" cy="184112"/>
                    </a:xfrm>
                    <a:prstGeom prst="rect">
                      <a:avLst/>
                    </a:prstGeom>
                  </pic:spPr>
                </pic:pic>
              </a:graphicData>
            </a:graphic>
          </wp:anchor>
        </w:drawing>
      </w:r>
      <w:r>
        <w:rPr>
          <w:color w:val="3E83FC"/>
          <w:spacing w:val="-11"/>
          <w:sz w:val="19"/>
          <w:szCs w:val="19"/>
        </w:rPr>
        <w:t>厘过积</w:t>
      </w:r>
    </w:p>
    <w:p w14:paraId="35D03417">
      <w:pPr>
        <w:pStyle w:val="2"/>
        <w:spacing w:before="173" w:line="219" w:lineRule="auto"/>
        <w:ind w:left="5770"/>
        <w:rPr>
          <w:sz w:val="14"/>
          <w:szCs w:val="14"/>
        </w:rPr>
      </w:pPr>
      <w:r>
        <w:pict>
          <v:shape id="_x0000_s1548" o:spid="_x0000_s1548" o:spt="202" type="#_x0000_t202" style="position:absolute;left:0pt;margin-left:387pt;margin-top:6.25pt;height:16.9pt;width:16.4pt;z-index:251783168;mso-width-relative:page;mso-height-relative:page;" filled="f" stroked="f" coordsize="21600,21600">
            <v:path/>
            <v:fill on="f" focussize="0,0"/>
            <v:stroke on="f"/>
            <v:imagedata o:title=""/>
            <o:lock v:ext="edit" aspectratio="f"/>
            <v:textbox inset="0mm,0mm,0mm,0mm">
              <w:txbxContent>
                <w:p w14:paraId="7A988980">
                  <w:pPr>
                    <w:pStyle w:val="2"/>
                    <w:spacing w:before="20" w:line="219" w:lineRule="auto"/>
                    <w:ind w:left="20"/>
                    <w:rPr>
                      <w:sz w:val="25"/>
                      <w:szCs w:val="25"/>
                    </w:rPr>
                  </w:pPr>
                  <w:r>
                    <w:rPr>
                      <w:color w:val="0051F5"/>
                      <w:spacing w:val="-14"/>
                      <w:w w:val="87"/>
                      <w:sz w:val="25"/>
                      <w:szCs w:val="25"/>
                    </w:rPr>
                    <w:t>收</w:t>
                  </w:r>
                  <w:r>
                    <w:rPr>
                      <w:color w:val="0051F5"/>
                      <w:spacing w:val="-10"/>
                      <w:w w:val="87"/>
                      <w:sz w:val="25"/>
                      <w:szCs w:val="25"/>
                    </w:rPr>
                    <w:t>R</w:t>
                  </w:r>
                </w:p>
              </w:txbxContent>
            </v:textbox>
          </v:shape>
        </w:pict>
      </w:r>
      <w:r>
        <w:rPr>
          <w:spacing w:val="-11"/>
          <w:w w:val="97"/>
          <w:position w:val="-1"/>
          <w:sz w:val="19"/>
          <w:szCs w:val="19"/>
        </w:rPr>
        <w:t>收记过</w:t>
      </w:r>
      <w:r>
        <w:rPr>
          <w:spacing w:val="-24"/>
          <w:position w:val="-1"/>
          <w:sz w:val="19"/>
          <w:szCs w:val="19"/>
        </w:rPr>
        <w:t xml:space="preserve"> </w:t>
      </w:r>
      <w:r>
        <w:rPr>
          <w:color w:val="4A91EE"/>
          <w:spacing w:val="-11"/>
          <w:w w:val="97"/>
          <w:position w:val="1"/>
          <w:sz w:val="14"/>
          <w:szCs w:val="14"/>
        </w:rPr>
        <w:t>高动过粉</w:t>
      </w:r>
    </w:p>
    <w:p w14:paraId="393B19E9">
      <w:pPr>
        <w:spacing w:line="285" w:lineRule="auto"/>
        <w:rPr>
          <w:rFonts w:ascii="Arial"/>
          <w:sz w:val="21"/>
        </w:rPr>
      </w:pPr>
    </w:p>
    <w:p w14:paraId="780A34A0">
      <w:pPr>
        <w:pStyle w:val="2"/>
        <w:spacing w:before="46" w:line="220" w:lineRule="auto"/>
        <w:ind w:left="5080"/>
        <w:rPr>
          <w:sz w:val="14"/>
          <w:szCs w:val="14"/>
        </w:rPr>
      </w:pPr>
      <w:r>
        <w:pict>
          <v:shape id="_x0000_s1549" o:spid="_x0000_s1549" o:spt="202" type="#_x0000_t202" style="position:absolute;left:0pt;margin-left:352.5pt;margin-top:0.8pt;height:10.35pt;width:26.8pt;z-index:251784192;mso-width-relative:page;mso-height-relative:page;" filled="f" stroked="f" coordsize="21600,21600">
            <v:path/>
            <v:fill on="f" focussize="0,0"/>
            <v:stroke on="f"/>
            <v:imagedata o:title=""/>
            <o:lock v:ext="edit" aspectratio="f"/>
            <v:textbox inset="0mm,0mm,0mm,0mm">
              <w:txbxContent>
                <w:p w14:paraId="1365990E">
                  <w:pPr>
                    <w:pStyle w:val="2"/>
                    <w:spacing w:before="20" w:line="220" w:lineRule="auto"/>
                    <w:ind w:left="20"/>
                    <w:rPr>
                      <w:sz w:val="14"/>
                      <w:szCs w:val="14"/>
                    </w:rPr>
                  </w:pPr>
                  <w:r>
                    <w:rPr>
                      <w:color w:val="418FEA"/>
                      <w:spacing w:val="-14"/>
                      <w:sz w:val="14"/>
                      <w:szCs w:val="14"/>
                    </w:rPr>
                    <w:t>热行过</w:t>
                  </w:r>
                  <w:r>
                    <w:rPr>
                      <w:color w:val="418FEA"/>
                      <w:spacing w:val="-10"/>
                      <w:sz w:val="14"/>
                      <w:szCs w:val="14"/>
                    </w:rPr>
                    <w:t>化</w:t>
                  </w:r>
                </w:p>
              </w:txbxContent>
            </v:textbox>
          </v:shape>
        </w:pict>
      </w:r>
      <w:r>
        <w:pict>
          <v:shape id="_x0000_s1550" o:spid="_x0000_s1550" o:spt="202" type="#_x0000_t202" style="position:absolute;left:0pt;margin-left:155.5pt;margin-top:1.75pt;height:10.35pt;width:29.75pt;z-index:251782144;mso-width-relative:page;mso-height-relative:page;" filled="f" stroked="f" coordsize="21600,21600">
            <v:path/>
            <v:fill on="f" focussize="0,0"/>
            <v:stroke on="f"/>
            <v:imagedata o:title=""/>
            <o:lock v:ext="edit" aspectratio="f"/>
            <v:textbox inset="0mm,0mm,0mm,0mm">
              <w:txbxContent>
                <w:p w14:paraId="668CB5D0">
                  <w:pPr>
                    <w:pStyle w:val="2"/>
                    <w:spacing w:before="20" w:line="219" w:lineRule="auto"/>
                    <w:ind w:left="20"/>
                    <w:rPr>
                      <w:sz w:val="14"/>
                      <w:szCs w:val="14"/>
                    </w:rPr>
                  </w:pPr>
                  <w:r>
                    <w:rPr>
                      <w:color w:val="3981EE"/>
                      <w:spacing w:val="-2"/>
                      <w:sz w:val="14"/>
                      <w:szCs w:val="14"/>
                    </w:rPr>
                    <w:t>执行过保</w:t>
                  </w:r>
                </w:p>
              </w:txbxContent>
            </v:textbox>
          </v:shape>
        </w:pict>
      </w:r>
      <w:r>
        <w:pict>
          <v:shape id="_x0000_s1551" o:spid="_x0000_s1551" o:spt="202" type="#_x0000_t202" style="position:absolute;left:0pt;margin-left:56pt;margin-top:2.25pt;height:10.35pt;width:31.25pt;z-index:251781120;mso-width-relative:page;mso-height-relative:page;" filled="f" stroked="f" coordsize="21600,21600">
            <v:path/>
            <v:fill on="f" focussize="0,0"/>
            <v:stroke on="f"/>
            <v:imagedata o:title=""/>
            <o:lock v:ext="edit" aspectratio="f"/>
            <v:textbox inset="0mm,0mm,0mm,0mm">
              <w:txbxContent>
                <w:p w14:paraId="17E3FF35">
                  <w:pPr>
                    <w:pStyle w:val="2"/>
                    <w:spacing w:before="20" w:line="219" w:lineRule="auto"/>
                    <w:ind w:left="20"/>
                    <w:rPr>
                      <w:sz w:val="14"/>
                      <w:szCs w:val="14"/>
                    </w:rPr>
                  </w:pPr>
                  <w:r>
                    <w:rPr>
                      <w:color w:val="3C93EB"/>
                      <w:spacing w:val="6"/>
                      <w:sz w:val="14"/>
                      <w:szCs w:val="14"/>
                    </w:rPr>
                    <w:t>执行过程</w:t>
                  </w:r>
                </w:p>
              </w:txbxContent>
            </v:textbox>
          </v:shape>
        </w:pict>
      </w:r>
      <w:r>
        <w:rPr>
          <w:color w:val="3C88FA"/>
          <w:spacing w:val="-1"/>
          <w:sz w:val="14"/>
          <w:szCs w:val="14"/>
        </w:rPr>
        <w:t>扶行设利</w:t>
      </w:r>
    </w:p>
    <w:p w14:paraId="3AA81F43">
      <w:pPr>
        <w:spacing w:line="400" w:lineRule="auto"/>
        <w:rPr>
          <w:rFonts w:ascii="Arial"/>
          <w:sz w:val="21"/>
        </w:rPr>
      </w:pPr>
    </w:p>
    <w:p w14:paraId="0AA2E5F3">
      <w:pPr>
        <w:pStyle w:val="2"/>
        <w:spacing w:before="62" w:line="219" w:lineRule="auto"/>
        <w:ind w:left="3659"/>
        <w:rPr>
          <w:sz w:val="19"/>
          <w:szCs w:val="19"/>
        </w:rPr>
      </w:pPr>
      <w:r>
        <w:pict>
          <v:shape id="_x0000_s1552" o:spid="_x0000_s1552" o:spt="202" type="#_x0000_t202" style="position:absolute;left:0pt;margin-left:380.5pt;margin-top:0.7pt;height:13.4pt;width:20.2pt;z-index:251785216;mso-width-relative:page;mso-height-relative:page;" filled="f" stroked="f" coordsize="21600,21600">
            <v:path/>
            <v:fill on="f" focussize="0,0"/>
            <v:stroke on="f"/>
            <v:imagedata o:title=""/>
            <o:lock v:ext="edit" aspectratio="f"/>
            <v:textbox inset="0mm,0mm,0mm,0mm">
              <w:txbxContent>
                <w:p w14:paraId="2AFB6FA5">
                  <w:pPr>
                    <w:pStyle w:val="2"/>
                    <w:spacing w:before="20" w:line="221" w:lineRule="auto"/>
                    <w:ind w:left="20"/>
                    <w:rPr>
                      <w:sz w:val="19"/>
                      <w:szCs w:val="19"/>
                    </w:rPr>
                  </w:pPr>
                  <w:r>
                    <w:rPr>
                      <w:spacing w:val="-5"/>
                      <w:sz w:val="19"/>
                      <w:szCs w:val="19"/>
                    </w:rPr>
                    <w:t>时间</w:t>
                  </w:r>
                </w:p>
              </w:txbxContent>
            </v:textbox>
          </v:shape>
        </w:pict>
      </w:r>
      <w:r>
        <w:rPr>
          <w:spacing w:val="-14"/>
          <w:w w:val="98"/>
          <w:sz w:val="19"/>
          <w:szCs w:val="19"/>
        </w:rPr>
        <w:t>顺序迭代周期</w:t>
      </w:r>
    </w:p>
    <w:p w14:paraId="7BC3639C">
      <w:pPr>
        <w:pStyle w:val="2"/>
        <w:spacing w:before="65" w:line="219" w:lineRule="auto"/>
        <w:ind w:left="2180"/>
        <w:rPr>
          <w:sz w:val="19"/>
          <w:szCs w:val="19"/>
        </w:rPr>
      </w:pPr>
      <w:r>
        <w:rPr>
          <w:spacing w:val="-9"/>
          <w:sz w:val="19"/>
          <w:szCs w:val="19"/>
        </w:rPr>
        <w:t>图16-9</w:t>
      </w:r>
      <w:r>
        <w:rPr>
          <w:spacing w:val="88"/>
          <w:sz w:val="19"/>
          <w:szCs w:val="19"/>
        </w:rPr>
        <w:t xml:space="preserve"> </w:t>
      </w:r>
      <w:r>
        <w:rPr>
          <w:spacing w:val="-9"/>
          <w:sz w:val="19"/>
          <w:szCs w:val="19"/>
        </w:rPr>
        <w:t>以迭代方式顺序开展的项目的人力投入水平</w:t>
      </w:r>
    </w:p>
    <w:p w14:paraId="6D219C6C">
      <w:pPr>
        <w:spacing w:line="197" w:lineRule="exact"/>
      </w:pPr>
    </w:p>
    <w:p w14:paraId="4D0968D7">
      <w:pPr>
        <w:spacing w:line="197" w:lineRule="exact"/>
        <w:sectPr>
          <w:pgSz w:w="10280" w:h="13300"/>
          <w:pgMar w:top="400" w:right="552" w:bottom="400" w:left="1059" w:header="0" w:footer="0" w:gutter="0"/>
          <w:cols w:equalWidth="0" w:num="1">
            <w:col w:w="8668"/>
          </w:cols>
        </w:sectPr>
      </w:pPr>
    </w:p>
    <w:p w14:paraId="49777865">
      <w:pPr>
        <w:pStyle w:val="2"/>
        <w:spacing w:before="15" w:line="287" w:lineRule="auto"/>
        <w:ind w:left="70" w:right="197" w:firstLine="410"/>
        <w:jc w:val="both"/>
        <w:rPr>
          <w:sz w:val="19"/>
          <w:szCs w:val="19"/>
        </w:rPr>
      </w:pPr>
      <w:r>
        <w:rPr>
          <w:spacing w:val="13"/>
          <w:sz w:val="19"/>
          <w:szCs w:val="19"/>
        </w:rPr>
        <w:t>(2)持续反复开展的项目：高度适应型项目往往在整</w:t>
      </w:r>
      <w:r>
        <w:rPr>
          <w:spacing w:val="1"/>
          <w:sz w:val="19"/>
          <w:szCs w:val="19"/>
        </w:rPr>
        <w:t xml:space="preserve"> </w:t>
      </w:r>
      <w:r>
        <w:rPr>
          <w:spacing w:val="10"/>
          <w:sz w:val="19"/>
          <w:szCs w:val="19"/>
        </w:rPr>
        <w:t>个项目生命周期内持续实施所有的项目管理过程组。采用</w:t>
      </w:r>
      <w:r>
        <w:rPr>
          <w:spacing w:val="11"/>
          <w:sz w:val="19"/>
          <w:szCs w:val="19"/>
        </w:rPr>
        <w:t xml:space="preserve"> </w:t>
      </w:r>
      <w:r>
        <w:rPr>
          <w:spacing w:val="10"/>
          <w:sz w:val="19"/>
          <w:szCs w:val="19"/>
        </w:rPr>
        <w:t>这种方法，工作一旦开始计划就需根据新情况而改变，需</w:t>
      </w:r>
      <w:r>
        <w:rPr>
          <w:sz w:val="19"/>
          <w:szCs w:val="19"/>
        </w:rPr>
        <w:t xml:space="preserve"> </w:t>
      </w:r>
      <w:r>
        <w:rPr>
          <w:spacing w:val="9"/>
          <w:sz w:val="19"/>
          <w:szCs w:val="19"/>
        </w:rPr>
        <w:t>要不断调整和改进项目管理计划的所有要素。这种方法中</w:t>
      </w:r>
      <w:r>
        <w:rPr>
          <w:spacing w:val="14"/>
          <w:sz w:val="19"/>
          <w:szCs w:val="19"/>
        </w:rPr>
        <w:t xml:space="preserve"> </w:t>
      </w:r>
      <w:r>
        <w:rPr>
          <w:spacing w:val="9"/>
          <w:sz w:val="19"/>
          <w:szCs w:val="19"/>
        </w:rPr>
        <w:t>的过程组的相互作用如图16-10所示。</w:t>
      </w:r>
    </w:p>
    <w:p w14:paraId="62A08ECC">
      <w:pPr>
        <w:pStyle w:val="2"/>
        <w:spacing w:before="195" w:line="219" w:lineRule="auto"/>
        <w:ind w:left="73"/>
        <w:rPr>
          <w:sz w:val="25"/>
          <w:szCs w:val="25"/>
        </w:rPr>
      </w:pPr>
      <w:r>
        <w:rPr>
          <w:b/>
          <w:bCs/>
          <w:color w:val="004CE7"/>
          <w:spacing w:val="-18"/>
          <w:sz w:val="25"/>
          <w:szCs w:val="25"/>
        </w:rPr>
        <w:t>16.3.3</w:t>
      </w:r>
      <w:r>
        <w:rPr>
          <w:color w:val="004CE7"/>
          <w:spacing w:val="101"/>
          <w:sz w:val="25"/>
          <w:szCs w:val="25"/>
        </w:rPr>
        <w:t xml:space="preserve"> </w:t>
      </w:r>
      <w:r>
        <w:rPr>
          <w:b/>
          <w:bCs/>
          <w:color w:val="004CE7"/>
          <w:spacing w:val="-18"/>
          <w:sz w:val="25"/>
          <w:szCs w:val="25"/>
        </w:rPr>
        <w:t>项目管理原则</w:t>
      </w:r>
    </w:p>
    <w:p w14:paraId="48C0D5FA">
      <w:pPr>
        <w:pStyle w:val="2"/>
        <w:spacing w:before="184" w:line="219" w:lineRule="auto"/>
        <w:ind w:left="480"/>
        <w:rPr>
          <w:sz w:val="19"/>
          <w:szCs w:val="19"/>
        </w:rPr>
      </w:pPr>
      <w:r>
        <w:rPr>
          <w:spacing w:val="10"/>
          <w:sz w:val="19"/>
          <w:szCs w:val="19"/>
        </w:rPr>
        <w:t>项目管理原则用于指导项目参与者的行为，</w:t>
      </w:r>
      <w:r>
        <w:rPr>
          <w:spacing w:val="9"/>
          <w:sz w:val="19"/>
          <w:szCs w:val="19"/>
        </w:rPr>
        <w:t>这些原则</w:t>
      </w:r>
    </w:p>
    <w:p w14:paraId="4E985766">
      <w:pPr>
        <w:spacing w:line="14" w:lineRule="auto"/>
        <w:rPr>
          <w:rFonts w:ascii="Arial"/>
          <w:sz w:val="2"/>
        </w:rPr>
      </w:pPr>
      <w:r>
        <w:rPr>
          <w:rFonts w:ascii="Arial" w:hAnsi="Arial" w:eastAsia="Arial" w:cs="Arial"/>
          <w:sz w:val="2"/>
          <w:szCs w:val="2"/>
        </w:rPr>
        <w:br w:type="column"/>
      </w:r>
    </w:p>
    <w:p w14:paraId="7CEE2B06">
      <w:pPr>
        <w:pStyle w:val="2"/>
        <w:spacing w:line="1798" w:lineRule="exact"/>
      </w:pPr>
      <w:r>
        <w:rPr>
          <w:position w:val="-35"/>
        </w:rPr>
        <w:pict>
          <v:group id="_x0000_s1553" o:spid="_x0000_s1553" o:spt="203" style="height:90.05pt;width:150.05pt;" coordsize="3001,1801">
            <o:lock v:ext="edit"/>
            <v:shape id="_x0000_s1554" o:spid="_x0000_s1554" o:spt="75" type="#_x0000_t75" style="position:absolute;left:0;top:0;height:1801;width:3001;" filled="f" stroked="f" coordsize="21600,21600">
              <v:path/>
              <v:fill on="f" focussize="0,0"/>
              <v:stroke on="f"/>
              <v:imagedata r:id="rId251" o:title=""/>
              <o:lock v:ext="edit" aspectratio="t"/>
            </v:shape>
            <v:shape id="_x0000_s1555" o:spid="_x0000_s1555" o:spt="202" type="#_x0000_t202" style="position:absolute;left:-20;top:-20;height:1841;width:3041;" filled="f" stroked="f" coordsize="21600,21600">
              <v:path/>
              <v:fill on="f" focussize="0,0"/>
              <v:stroke on="f"/>
              <v:imagedata o:title=""/>
              <o:lock v:ext="edit" aspectratio="f"/>
              <v:textbox inset="0mm,0mm,0mm,0mm">
                <w:txbxContent>
                  <w:p w14:paraId="28C697DB">
                    <w:pPr>
                      <w:spacing w:line="433" w:lineRule="auto"/>
                      <w:rPr>
                        <w:rFonts w:ascii="Arial"/>
                        <w:sz w:val="21"/>
                      </w:rPr>
                    </w:pPr>
                  </w:p>
                  <w:p w14:paraId="6F58C9D0">
                    <w:pPr>
                      <w:spacing w:before="62" w:line="220" w:lineRule="auto"/>
                      <w:ind w:left="719"/>
                      <w:rPr>
                        <w:rFonts w:ascii="宋体" w:hAnsi="宋体" w:eastAsia="宋体" w:cs="宋体"/>
                        <w:sz w:val="19"/>
                        <w:szCs w:val="19"/>
                      </w:rPr>
                    </w:pPr>
                    <w:r>
                      <w:rPr>
                        <w:rFonts w:ascii="宋体" w:hAnsi="宋体" w:eastAsia="宋体" w:cs="宋体"/>
                        <w:color w:val="3F86E3"/>
                        <w:spacing w:val="-14"/>
                        <w:sz w:val="19"/>
                        <w:szCs w:val="19"/>
                      </w:rPr>
                      <w:t>启动过程</w:t>
                    </w:r>
                  </w:p>
                  <w:p w14:paraId="67F48B2B">
                    <w:pPr>
                      <w:spacing w:before="83" w:line="220" w:lineRule="auto"/>
                      <w:ind w:left="1069"/>
                      <w:rPr>
                        <w:rFonts w:ascii="宋体" w:hAnsi="宋体" w:eastAsia="宋体" w:cs="宋体"/>
                        <w:sz w:val="19"/>
                        <w:szCs w:val="19"/>
                      </w:rPr>
                    </w:pPr>
                    <w:r>
                      <w:rPr>
                        <w:rFonts w:ascii="宋体" w:hAnsi="宋体" w:eastAsia="宋体" w:cs="宋体"/>
                        <w:color w:val="498BEE"/>
                        <w:spacing w:val="-13"/>
                        <w:w w:val="97"/>
                        <w:sz w:val="19"/>
                        <w:szCs w:val="19"/>
                      </w:rPr>
                      <w:t>规划过程</w:t>
                    </w:r>
                  </w:p>
                  <w:p w14:paraId="492D51AF">
                    <w:pPr>
                      <w:spacing w:before="143" w:line="219" w:lineRule="auto"/>
                      <w:ind w:left="1390"/>
                      <w:rPr>
                        <w:rFonts w:ascii="宋体" w:hAnsi="宋体" w:eastAsia="宋体" w:cs="宋体"/>
                        <w:sz w:val="19"/>
                        <w:szCs w:val="19"/>
                      </w:rPr>
                    </w:pPr>
                    <w:r>
                      <w:rPr>
                        <w:rFonts w:ascii="宋体" w:hAnsi="宋体" w:eastAsia="宋体" w:cs="宋体"/>
                        <w:color w:val="4F8EFC"/>
                        <w:spacing w:val="-15"/>
                        <w:w w:val="99"/>
                        <w:sz w:val="19"/>
                        <w:szCs w:val="19"/>
                      </w:rPr>
                      <w:t>执行过程</w:t>
                    </w:r>
                  </w:p>
                  <w:p w14:paraId="70751BBE">
                    <w:pPr>
                      <w:spacing w:before="45" w:line="220" w:lineRule="auto"/>
                      <w:ind w:left="1710"/>
                      <w:rPr>
                        <w:rFonts w:ascii="宋体" w:hAnsi="宋体" w:eastAsia="宋体" w:cs="宋体"/>
                        <w:sz w:val="19"/>
                        <w:szCs w:val="19"/>
                      </w:rPr>
                    </w:pPr>
                    <w:r>
                      <w:rPr>
                        <w:rFonts w:ascii="宋体" w:hAnsi="宋体" w:eastAsia="宋体" w:cs="宋体"/>
                        <w:color w:val="2E74EE"/>
                        <w:spacing w:val="-14"/>
                        <w:sz w:val="19"/>
                        <w:szCs w:val="19"/>
                      </w:rPr>
                      <w:t>监控过程</w:t>
                    </w:r>
                  </w:p>
                </w:txbxContent>
              </v:textbox>
            </v:shape>
            <w10:wrap type="none"/>
            <w10:anchorlock/>
          </v:group>
        </w:pict>
      </w:r>
    </w:p>
    <w:p w14:paraId="7893D803">
      <w:pPr>
        <w:pStyle w:val="2"/>
        <w:spacing w:before="108" w:line="238" w:lineRule="auto"/>
        <w:ind w:left="1059" w:right="280" w:hanging="1040"/>
        <w:rPr>
          <w:sz w:val="19"/>
          <w:szCs w:val="19"/>
        </w:rPr>
      </w:pPr>
      <w:r>
        <w:rPr>
          <w:spacing w:val="-8"/>
          <w:sz w:val="19"/>
          <w:szCs w:val="19"/>
        </w:rPr>
        <w:t>图16-10  持续反复开展的项目过程组</w:t>
      </w:r>
      <w:r>
        <w:rPr>
          <w:spacing w:val="10"/>
          <w:sz w:val="19"/>
          <w:szCs w:val="19"/>
        </w:rPr>
        <w:t xml:space="preserve"> </w:t>
      </w:r>
      <w:r>
        <w:rPr>
          <w:spacing w:val="-6"/>
          <w:sz w:val="19"/>
          <w:szCs w:val="19"/>
        </w:rPr>
        <w:t>之间的关系</w:t>
      </w:r>
    </w:p>
    <w:p w14:paraId="610CF884">
      <w:pPr>
        <w:spacing w:line="238" w:lineRule="auto"/>
        <w:rPr>
          <w:sz w:val="19"/>
          <w:szCs w:val="19"/>
        </w:rPr>
        <w:sectPr>
          <w:type w:val="continuous"/>
          <w:pgSz w:w="10280" w:h="13300"/>
          <w:pgMar w:top="400" w:right="552" w:bottom="400" w:left="1059" w:header="0" w:footer="0" w:gutter="0"/>
          <w:cols w:equalWidth="0" w:num="2">
            <w:col w:w="5281" w:space="100"/>
            <w:col w:w="3288"/>
          </w:cols>
        </w:sectPr>
      </w:pPr>
    </w:p>
    <w:p w14:paraId="7CF7BF19">
      <w:pPr>
        <w:pStyle w:val="2"/>
        <w:spacing w:before="57" w:line="220" w:lineRule="auto"/>
        <w:rPr>
          <w:sz w:val="20"/>
          <w:szCs w:val="20"/>
        </w:rPr>
      </w:pPr>
      <w:bookmarkStart w:id="684" w:name="bookmark669"/>
      <w:bookmarkEnd w:id="684"/>
      <w:r>
        <w:rPr>
          <w:rFonts w:ascii="Times New Roman" w:hAnsi="Times New Roman" w:eastAsia="Times New Roman" w:cs="Times New Roman"/>
          <w:spacing w:val="-2"/>
          <w:position w:val="-3"/>
          <w:sz w:val="20"/>
          <w:szCs w:val="20"/>
        </w:rPr>
        <w:t xml:space="preserve">380              </w:t>
      </w:r>
      <w:r>
        <w:rPr>
          <w:spacing w:val="-2"/>
          <w:sz w:val="20"/>
          <w:szCs w:val="20"/>
        </w:rPr>
        <w:t>信息系统监理师教程(</w:t>
      </w:r>
      <w:r>
        <w:rPr>
          <w:spacing w:val="-3"/>
          <w:sz w:val="20"/>
          <w:szCs w:val="20"/>
        </w:rPr>
        <w:t>第2版)</w:t>
      </w:r>
    </w:p>
    <w:p w14:paraId="40709AAA">
      <w:pPr>
        <w:spacing w:line="320" w:lineRule="auto"/>
        <w:rPr>
          <w:rFonts w:ascii="Arial"/>
          <w:sz w:val="21"/>
        </w:rPr>
      </w:pPr>
    </w:p>
    <w:p w14:paraId="16497A34">
      <w:pPr>
        <w:pStyle w:val="2"/>
        <w:spacing w:before="65" w:line="219" w:lineRule="auto"/>
        <w:ind w:left="349"/>
        <w:rPr>
          <w:sz w:val="20"/>
          <w:szCs w:val="20"/>
        </w:rPr>
      </w:pPr>
      <w:r>
        <w:rPr>
          <w:spacing w:val="-2"/>
          <w:sz w:val="20"/>
          <w:szCs w:val="20"/>
        </w:rPr>
        <w:t>可以帮助参与项目的组织和个人在项目执行过程中保持一致性。原则包括：</w:t>
      </w:r>
    </w:p>
    <w:p w14:paraId="0FBF183E">
      <w:pPr>
        <w:pStyle w:val="2"/>
        <w:spacing w:before="61" w:line="219" w:lineRule="auto"/>
        <w:ind w:left="750"/>
        <w:rPr>
          <w:sz w:val="20"/>
          <w:szCs w:val="20"/>
        </w:rPr>
      </w:pPr>
      <w:r>
        <w:rPr>
          <w:spacing w:val="2"/>
          <w:sz w:val="20"/>
          <w:szCs w:val="20"/>
        </w:rPr>
        <w:t>(1)勤勉、尊重和关心他人；</w:t>
      </w:r>
    </w:p>
    <w:p w14:paraId="6C4DF5A5">
      <w:pPr>
        <w:pStyle w:val="2"/>
        <w:spacing w:before="104" w:line="220" w:lineRule="auto"/>
        <w:ind w:left="750"/>
        <w:rPr>
          <w:sz w:val="20"/>
          <w:szCs w:val="20"/>
        </w:rPr>
      </w:pPr>
      <w:r>
        <w:rPr>
          <w:spacing w:val="2"/>
          <w:sz w:val="20"/>
          <w:szCs w:val="20"/>
        </w:rPr>
        <w:t>(2)营造协作的项目团队环境；</w:t>
      </w:r>
    </w:p>
    <w:p w14:paraId="091218D1">
      <w:pPr>
        <w:pStyle w:val="2"/>
        <w:spacing w:before="59" w:line="219" w:lineRule="auto"/>
        <w:ind w:left="750"/>
        <w:rPr>
          <w:sz w:val="20"/>
          <w:szCs w:val="20"/>
        </w:rPr>
      </w:pPr>
      <w:r>
        <w:rPr>
          <w:spacing w:val="3"/>
          <w:sz w:val="20"/>
          <w:szCs w:val="20"/>
        </w:rPr>
        <w:t>(3)促进干系人有效参与；</w:t>
      </w:r>
    </w:p>
    <w:p w14:paraId="5B1631DB">
      <w:pPr>
        <w:pStyle w:val="2"/>
        <w:spacing w:before="92" w:line="218" w:lineRule="auto"/>
        <w:ind w:left="750"/>
        <w:rPr>
          <w:sz w:val="20"/>
          <w:szCs w:val="20"/>
        </w:rPr>
      </w:pPr>
      <w:r>
        <w:rPr>
          <w:spacing w:val="5"/>
          <w:sz w:val="20"/>
          <w:szCs w:val="20"/>
        </w:rPr>
        <w:t>(4)聚焦于价值；</w:t>
      </w:r>
    </w:p>
    <w:p w14:paraId="27281892">
      <w:pPr>
        <w:pStyle w:val="2"/>
        <w:spacing w:before="74" w:line="218" w:lineRule="auto"/>
        <w:ind w:left="750"/>
        <w:rPr>
          <w:sz w:val="20"/>
          <w:szCs w:val="20"/>
        </w:rPr>
      </w:pPr>
      <w:r>
        <w:rPr>
          <w:spacing w:val="1"/>
          <w:sz w:val="20"/>
          <w:szCs w:val="20"/>
        </w:rPr>
        <w:t>(5)识别、评估和响应系统交互；</w:t>
      </w:r>
    </w:p>
    <w:p w14:paraId="612804F9">
      <w:pPr>
        <w:pStyle w:val="2"/>
        <w:spacing w:before="76" w:line="219" w:lineRule="auto"/>
        <w:ind w:left="750"/>
        <w:rPr>
          <w:sz w:val="20"/>
          <w:szCs w:val="20"/>
        </w:rPr>
      </w:pPr>
      <w:r>
        <w:rPr>
          <w:spacing w:val="4"/>
          <w:sz w:val="20"/>
          <w:szCs w:val="20"/>
        </w:rPr>
        <w:t>(6)展现领导力行为；</w:t>
      </w:r>
    </w:p>
    <w:p w14:paraId="763C87C4">
      <w:pPr>
        <w:pStyle w:val="2"/>
        <w:spacing w:before="83" w:line="219" w:lineRule="auto"/>
        <w:ind w:left="750"/>
        <w:rPr>
          <w:sz w:val="20"/>
          <w:szCs w:val="20"/>
        </w:rPr>
      </w:pPr>
      <w:r>
        <w:rPr>
          <w:spacing w:val="3"/>
          <w:sz w:val="20"/>
          <w:szCs w:val="20"/>
        </w:rPr>
        <w:t>(7)根据环境进行裁剪；</w:t>
      </w:r>
    </w:p>
    <w:p w14:paraId="45554BC2">
      <w:pPr>
        <w:pStyle w:val="2"/>
        <w:spacing w:before="83" w:line="219" w:lineRule="auto"/>
        <w:ind w:left="750"/>
        <w:rPr>
          <w:sz w:val="20"/>
          <w:szCs w:val="20"/>
        </w:rPr>
      </w:pPr>
      <w:r>
        <w:rPr>
          <w:spacing w:val="1"/>
          <w:sz w:val="20"/>
          <w:szCs w:val="20"/>
        </w:rPr>
        <w:t>(8)将质量融入到过程和成果中；</w:t>
      </w:r>
    </w:p>
    <w:p w14:paraId="2A7DD475">
      <w:pPr>
        <w:pStyle w:val="2"/>
        <w:spacing w:before="82" w:line="219" w:lineRule="auto"/>
        <w:ind w:left="750"/>
        <w:rPr>
          <w:sz w:val="20"/>
          <w:szCs w:val="20"/>
        </w:rPr>
      </w:pPr>
      <w:r>
        <w:rPr>
          <w:spacing w:val="5"/>
          <w:sz w:val="20"/>
          <w:szCs w:val="20"/>
        </w:rPr>
        <w:t>(9)驾驭复杂性；</w:t>
      </w:r>
    </w:p>
    <w:p w14:paraId="60D752DC">
      <w:pPr>
        <w:pStyle w:val="2"/>
        <w:spacing w:before="83" w:line="219" w:lineRule="auto"/>
        <w:ind w:left="750"/>
        <w:rPr>
          <w:sz w:val="20"/>
          <w:szCs w:val="20"/>
        </w:rPr>
      </w:pPr>
      <w:r>
        <w:rPr>
          <w:spacing w:val="4"/>
          <w:sz w:val="20"/>
          <w:szCs w:val="20"/>
        </w:rPr>
        <w:t>(10)优化风险应对；</w:t>
      </w:r>
    </w:p>
    <w:p w14:paraId="1A80264C">
      <w:pPr>
        <w:pStyle w:val="2"/>
        <w:spacing w:before="73" w:line="219" w:lineRule="auto"/>
        <w:ind w:left="750"/>
        <w:rPr>
          <w:sz w:val="20"/>
          <w:szCs w:val="20"/>
        </w:rPr>
      </w:pPr>
      <w:r>
        <w:rPr>
          <w:spacing w:val="3"/>
          <w:sz w:val="20"/>
          <w:szCs w:val="20"/>
        </w:rPr>
        <w:t>(11)拥抱适应性和韧性；</w:t>
      </w:r>
    </w:p>
    <w:p w14:paraId="407F6AA5">
      <w:pPr>
        <w:pStyle w:val="2"/>
        <w:spacing w:before="82" w:line="219" w:lineRule="auto"/>
        <w:ind w:left="750"/>
        <w:rPr>
          <w:sz w:val="20"/>
          <w:szCs w:val="20"/>
        </w:rPr>
      </w:pPr>
      <w:r>
        <w:rPr>
          <w:spacing w:val="4"/>
          <w:sz w:val="20"/>
          <w:szCs w:val="20"/>
        </w:rPr>
        <w:t>(12)为实现目标而驱动变革。</w:t>
      </w:r>
    </w:p>
    <w:p w14:paraId="642C5A90">
      <w:pPr>
        <w:pStyle w:val="2"/>
        <w:spacing w:before="222" w:line="219" w:lineRule="auto"/>
        <w:ind w:left="352"/>
        <w:rPr>
          <w:sz w:val="25"/>
          <w:szCs w:val="25"/>
        </w:rPr>
      </w:pPr>
      <w:r>
        <w:rPr>
          <w:b/>
          <w:bCs/>
          <w:color w:val="0074DB"/>
          <w:spacing w:val="-17"/>
          <w:sz w:val="25"/>
          <w:szCs w:val="25"/>
        </w:rPr>
        <w:t>16.3.4</w:t>
      </w:r>
      <w:r>
        <w:rPr>
          <w:color w:val="0074DB"/>
          <w:spacing w:val="96"/>
          <w:sz w:val="25"/>
          <w:szCs w:val="25"/>
        </w:rPr>
        <w:t xml:space="preserve"> </w:t>
      </w:r>
      <w:r>
        <w:rPr>
          <w:b/>
          <w:bCs/>
          <w:color w:val="0074DB"/>
          <w:spacing w:val="-17"/>
          <w:sz w:val="25"/>
          <w:szCs w:val="25"/>
        </w:rPr>
        <w:t>项目管理知识领域</w:t>
      </w:r>
    </w:p>
    <w:p w14:paraId="5616234A">
      <w:pPr>
        <w:pStyle w:val="2"/>
        <w:spacing w:before="184" w:line="273" w:lineRule="auto"/>
        <w:ind w:left="349" w:firstLine="400"/>
        <w:rPr>
          <w:sz w:val="20"/>
          <w:szCs w:val="20"/>
        </w:rPr>
      </w:pPr>
      <w:r>
        <w:rPr>
          <w:sz w:val="20"/>
          <w:szCs w:val="20"/>
        </w:rPr>
        <w:t>知识领域指按所需知识内容来定义的项目管理领域，并用其所含过程、实践、输入、输</w:t>
      </w:r>
      <w:r>
        <w:rPr>
          <w:spacing w:val="-1"/>
          <w:sz w:val="20"/>
          <w:szCs w:val="20"/>
        </w:rPr>
        <w:t>出、</w:t>
      </w:r>
      <w:r>
        <w:rPr>
          <w:sz w:val="20"/>
          <w:szCs w:val="20"/>
        </w:rPr>
        <w:t xml:space="preserve"> </w:t>
      </w:r>
      <w:r>
        <w:rPr>
          <w:spacing w:val="-4"/>
          <w:sz w:val="20"/>
          <w:szCs w:val="20"/>
        </w:rPr>
        <w:t>工具和技术进行描述。</w:t>
      </w:r>
    </w:p>
    <w:p w14:paraId="7AEAF028">
      <w:pPr>
        <w:pStyle w:val="2"/>
        <w:spacing w:before="39" w:line="278" w:lineRule="auto"/>
        <w:ind w:left="349" w:right="70" w:firstLine="400"/>
        <w:jc w:val="both"/>
        <w:rPr>
          <w:sz w:val="20"/>
          <w:szCs w:val="20"/>
        </w:rPr>
      </w:pPr>
      <w:r>
        <w:rPr>
          <w:spacing w:val="3"/>
          <w:sz w:val="20"/>
          <w:szCs w:val="20"/>
        </w:rPr>
        <w:t>虽然知识领域相互联系，但从项目管理的角度来看，它们是分别定义的。</w:t>
      </w:r>
      <w:r>
        <w:rPr>
          <w:spacing w:val="2"/>
          <w:sz w:val="20"/>
          <w:szCs w:val="20"/>
        </w:rPr>
        <w:t>根据美国项目管</w:t>
      </w:r>
      <w:r>
        <w:rPr>
          <w:sz w:val="20"/>
          <w:szCs w:val="20"/>
        </w:rPr>
        <w:t xml:space="preserve"> </w:t>
      </w:r>
      <w:r>
        <w:rPr>
          <w:spacing w:val="3"/>
          <w:sz w:val="20"/>
          <w:szCs w:val="20"/>
        </w:rPr>
        <w:t>理协会出版的《项目管理知识体系指南》第六版，大多数情况下，大部分项目通常使用的十大</w:t>
      </w:r>
      <w:r>
        <w:rPr>
          <w:spacing w:val="5"/>
          <w:sz w:val="20"/>
          <w:szCs w:val="20"/>
        </w:rPr>
        <w:t xml:space="preserve"> </w:t>
      </w:r>
      <w:r>
        <w:rPr>
          <w:spacing w:val="-8"/>
          <w:sz w:val="20"/>
          <w:szCs w:val="20"/>
        </w:rPr>
        <w:t>知识领域包括：</w:t>
      </w:r>
    </w:p>
    <w:p w14:paraId="21BA65DF">
      <w:pPr>
        <w:pStyle w:val="2"/>
        <w:spacing w:before="17" w:line="267" w:lineRule="auto"/>
        <w:ind w:left="349" w:right="83" w:firstLine="400"/>
        <w:rPr>
          <w:sz w:val="20"/>
          <w:szCs w:val="20"/>
        </w:rPr>
      </w:pPr>
      <w:r>
        <w:rPr>
          <w:spacing w:val="16"/>
          <w:sz w:val="20"/>
          <w:szCs w:val="20"/>
        </w:rPr>
        <w:t>(1)项目整合管理。识别、定义、组合、统一和协调各项目管理过程组的各个过程和</w:t>
      </w:r>
      <w:r>
        <w:rPr>
          <w:spacing w:val="7"/>
          <w:sz w:val="20"/>
          <w:szCs w:val="20"/>
        </w:rPr>
        <w:t xml:space="preserve"> </w:t>
      </w:r>
      <w:r>
        <w:rPr>
          <w:spacing w:val="-3"/>
          <w:sz w:val="20"/>
          <w:szCs w:val="20"/>
        </w:rPr>
        <w:t>活动。</w:t>
      </w:r>
    </w:p>
    <w:p w14:paraId="7D64ACF4">
      <w:pPr>
        <w:pStyle w:val="2"/>
        <w:spacing w:before="61" w:line="219" w:lineRule="auto"/>
        <w:ind w:left="750"/>
        <w:rPr>
          <w:sz w:val="20"/>
          <w:szCs w:val="20"/>
        </w:rPr>
      </w:pPr>
      <w:r>
        <w:rPr>
          <w:spacing w:val="1"/>
          <w:sz w:val="20"/>
          <w:szCs w:val="20"/>
        </w:rPr>
        <w:t>(2)项目范围管理。确保项目做且只做所需的全部工作，以成功完成项目。</w:t>
      </w:r>
    </w:p>
    <w:p w14:paraId="2E78E445">
      <w:pPr>
        <w:pStyle w:val="2"/>
        <w:spacing w:before="83" w:line="219" w:lineRule="auto"/>
        <w:ind w:left="750"/>
        <w:rPr>
          <w:sz w:val="20"/>
          <w:szCs w:val="20"/>
        </w:rPr>
      </w:pPr>
      <w:r>
        <w:rPr>
          <w:spacing w:val="1"/>
          <w:sz w:val="20"/>
          <w:szCs w:val="20"/>
        </w:rPr>
        <w:t>(3)项目进度管理。管理项目按时完成所需的各个过程。</w:t>
      </w:r>
    </w:p>
    <w:p w14:paraId="4C303E15">
      <w:pPr>
        <w:pStyle w:val="2"/>
        <w:spacing w:before="61" w:line="258" w:lineRule="auto"/>
        <w:ind w:left="349" w:firstLine="400"/>
        <w:rPr>
          <w:sz w:val="20"/>
          <w:szCs w:val="20"/>
        </w:rPr>
      </w:pPr>
      <w:r>
        <w:rPr>
          <w:spacing w:val="8"/>
          <w:sz w:val="20"/>
          <w:szCs w:val="20"/>
        </w:rPr>
        <w:t>(4)项目成本管理。使项目在批准的预算</w:t>
      </w:r>
      <w:r>
        <w:rPr>
          <w:spacing w:val="7"/>
          <w:sz w:val="20"/>
          <w:szCs w:val="20"/>
        </w:rPr>
        <w:t>内完成而对成本进行规划、估算、预算、融资、</w:t>
      </w:r>
      <w:r>
        <w:rPr>
          <w:sz w:val="20"/>
          <w:szCs w:val="20"/>
        </w:rPr>
        <w:t xml:space="preserve"> </w:t>
      </w:r>
      <w:r>
        <w:rPr>
          <w:spacing w:val="-5"/>
          <w:sz w:val="20"/>
          <w:szCs w:val="20"/>
        </w:rPr>
        <w:t>筹资、管理和控制。</w:t>
      </w:r>
    </w:p>
    <w:p w14:paraId="07982746">
      <w:pPr>
        <w:pStyle w:val="2"/>
        <w:spacing w:before="72" w:line="257" w:lineRule="auto"/>
        <w:ind w:left="349" w:right="90" w:firstLine="400"/>
        <w:rPr>
          <w:sz w:val="20"/>
          <w:szCs w:val="20"/>
        </w:rPr>
      </w:pPr>
      <w:r>
        <w:rPr>
          <w:spacing w:val="5"/>
          <w:sz w:val="20"/>
          <w:szCs w:val="20"/>
        </w:rPr>
        <w:t>(5)项目质量管理。把组织的质量政策应用于规划、管理、控制项目和产品的质量，以满</w:t>
      </w:r>
      <w:r>
        <w:rPr>
          <w:spacing w:val="8"/>
          <w:sz w:val="20"/>
          <w:szCs w:val="20"/>
        </w:rPr>
        <w:t xml:space="preserve"> </w:t>
      </w:r>
      <w:r>
        <w:rPr>
          <w:spacing w:val="-5"/>
          <w:sz w:val="20"/>
          <w:szCs w:val="20"/>
        </w:rPr>
        <w:t>足干系人的期望。</w:t>
      </w:r>
    </w:p>
    <w:p w14:paraId="3DB12111">
      <w:pPr>
        <w:pStyle w:val="2"/>
        <w:spacing w:before="74" w:line="219" w:lineRule="auto"/>
        <w:ind w:left="750"/>
        <w:rPr>
          <w:sz w:val="20"/>
          <w:szCs w:val="20"/>
        </w:rPr>
      </w:pPr>
      <w:r>
        <w:rPr>
          <w:spacing w:val="1"/>
          <w:sz w:val="20"/>
          <w:szCs w:val="20"/>
        </w:rPr>
        <w:t>(6)项目资源管理。识别、获取和管理所需资源以成功完成项目。</w:t>
      </w:r>
    </w:p>
    <w:p w14:paraId="704860B9">
      <w:pPr>
        <w:pStyle w:val="2"/>
        <w:spacing w:before="61" w:line="258" w:lineRule="auto"/>
        <w:ind w:left="349" w:firstLine="400"/>
        <w:rPr>
          <w:sz w:val="20"/>
          <w:szCs w:val="20"/>
        </w:rPr>
      </w:pPr>
      <w:r>
        <w:rPr>
          <w:spacing w:val="8"/>
          <w:sz w:val="20"/>
          <w:szCs w:val="20"/>
        </w:rPr>
        <w:t>(7)项目沟通管理。确保项目信息及时且</w:t>
      </w:r>
      <w:r>
        <w:rPr>
          <w:spacing w:val="7"/>
          <w:sz w:val="20"/>
          <w:szCs w:val="20"/>
        </w:rPr>
        <w:t>恰当地规划、收集、生成、发布、存储、检索、</w:t>
      </w:r>
      <w:r>
        <w:rPr>
          <w:sz w:val="20"/>
          <w:szCs w:val="20"/>
        </w:rPr>
        <w:t xml:space="preserve"> </w:t>
      </w:r>
      <w:r>
        <w:rPr>
          <w:spacing w:val="-3"/>
          <w:sz w:val="20"/>
          <w:szCs w:val="20"/>
        </w:rPr>
        <w:t>管理、控制、监督和最终处置。</w:t>
      </w:r>
    </w:p>
    <w:p w14:paraId="290F9280">
      <w:pPr>
        <w:pStyle w:val="2"/>
        <w:spacing w:before="72" w:line="249" w:lineRule="auto"/>
        <w:ind w:left="349" w:right="91" w:firstLine="400"/>
        <w:rPr>
          <w:sz w:val="20"/>
          <w:szCs w:val="20"/>
        </w:rPr>
      </w:pPr>
      <w:r>
        <w:rPr>
          <w:spacing w:val="5"/>
          <w:sz w:val="20"/>
          <w:szCs w:val="20"/>
        </w:rPr>
        <w:t>(8)项目风险管理。规划风险管理、识别风险、开展风险分析、规划风险应对、实施风险</w:t>
      </w:r>
      <w:r>
        <w:rPr>
          <w:spacing w:val="7"/>
          <w:sz w:val="20"/>
          <w:szCs w:val="20"/>
        </w:rPr>
        <w:t xml:space="preserve"> </w:t>
      </w:r>
      <w:r>
        <w:rPr>
          <w:spacing w:val="-5"/>
          <w:sz w:val="20"/>
          <w:szCs w:val="20"/>
        </w:rPr>
        <w:t>应对和监督风险。</w:t>
      </w:r>
    </w:p>
    <w:p w14:paraId="7308811B">
      <w:pPr>
        <w:pStyle w:val="2"/>
        <w:spacing w:before="70" w:line="219" w:lineRule="auto"/>
        <w:ind w:left="750"/>
        <w:rPr>
          <w:sz w:val="20"/>
          <w:szCs w:val="20"/>
        </w:rPr>
      </w:pPr>
      <w:r>
        <w:rPr>
          <w:spacing w:val="1"/>
          <w:sz w:val="20"/>
          <w:szCs w:val="20"/>
        </w:rPr>
        <w:t>(9)项目采购管理。从项目团队外部采购或获取所需产品、服务或成果。</w:t>
      </w:r>
    </w:p>
    <w:p w14:paraId="72C0A3EB">
      <w:pPr>
        <w:pStyle w:val="2"/>
        <w:spacing w:before="74" w:line="252" w:lineRule="auto"/>
        <w:ind w:left="349" w:right="84" w:firstLine="400"/>
        <w:rPr>
          <w:sz w:val="20"/>
          <w:szCs w:val="20"/>
        </w:rPr>
      </w:pPr>
      <w:r>
        <w:rPr>
          <w:spacing w:val="3"/>
          <w:sz w:val="20"/>
          <w:szCs w:val="20"/>
        </w:rPr>
        <w:t>(10)项目干系人管理。识别影响或受项目影响的人员、团队或组织，</w:t>
      </w:r>
      <w:r>
        <w:rPr>
          <w:spacing w:val="2"/>
          <w:sz w:val="20"/>
          <w:szCs w:val="20"/>
        </w:rPr>
        <w:t>分析干系人对项目的</w:t>
      </w:r>
      <w:r>
        <w:rPr>
          <w:sz w:val="20"/>
          <w:szCs w:val="20"/>
        </w:rPr>
        <w:t xml:space="preserve"> </w:t>
      </w:r>
      <w:r>
        <w:rPr>
          <w:spacing w:val="-1"/>
          <w:sz w:val="20"/>
          <w:szCs w:val="20"/>
        </w:rPr>
        <w:t>期望和影响，制定合适的管理策略来有效调动干系人参与项</w:t>
      </w:r>
      <w:r>
        <w:rPr>
          <w:spacing w:val="-2"/>
          <w:sz w:val="20"/>
          <w:szCs w:val="20"/>
        </w:rPr>
        <w:t>目决策和执行。</w:t>
      </w:r>
    </w:p>
    <w:p w14:paraId="217D4519">
      <w:pPr>
        <w:pStyle w:val="2"/>
        <w:spacing w:before="64" w:line="219" w:lineRule="auto"/>
        <w:ind w:left="750"/>
        <w:rPr>
          <w:sz w:val="20"/>
          <w:szCs w:val="20"/>
        </w:rPr>
      </w:pPr>
      <w:r>
        <w:rPr>
          <w:spacing w:val="3"/>
          <w:sz w:val="20"/>
          <w:szCs w:val="20"/>
        </w:rPr>
        <w:t>某些项目可能需要一个或多个其他的知识领域，例如，建造项目可能需要财务管理或安全</w:t>
      </w:r>
    </w:p>
    <w:p w14:paraId="4D818E65">
      <w:pPr>
        <w:spacing w:line="219" w:lineRule="auto"/>
        <w:rPr>
          <w:sz w:val="20"/>
          <w:szCs w:val="20"/>
        </w:rPr>
        <w:sectPr>
          <w:pgSz w:w="10300" w:h="13390"/>
          <w:pgMar w:top="400" w:right="1049" w:bottom="400" w:left="499" w:header="0" w:footer="0" w:gutter="0"/>
          <w:cols w:space="720" w:num="1"/>
        </w:sectPr>
      </w:pPr>
    </w:p>
    <w:p w14:paraId="316EAF06">
      <w:pPr>
        <w:pStyle w:val="2"/>
        <w:jc w:val="right"/>
        <w:rPr>
          <w:rFonts w:ascii="Times New Roman" w:hAnsi="Times New Roman" w:eastAsia="Times New Roman" w:cs="Times New Roman"/>
          <w:sz w:val="18"/>
          <w:szCs w:val="18"/>
        </w:rPr>
      </w:pPr>
      <w:r>
        <w:rPr>
          <w:spacing w:val="11"/>
          <w:sz w:val="18"/>
          <w:szCs w:val="18"/>
        </w:rPr>
        <w:t>第16章</w:t>
      </w:r>
      <w:r>
        <w:rPr>
          <w:spacing w:val="56"/>
          <w:w w:val="101"/>
          <w:sz w:val="18"/>
          <w:szCs w:val="18"/>
        </w:rPr>
        <w:t xml:space="preserve"> </w:t>
      </w:r>
      <w:r>
        <w:rPr>
          <w:spacing w:val="11"/>
          <w:sz w:val="18"/>
          <w:szCs w:val="18"/>
        </w:rPr>
        <w:t>项目管理</w:t>
      </w:r>
      <w:r>
        <w:rPr>
          <w:spacing w:val="43"/>
          <w:sz w:val="18"/>
          <w:szCs w:val="18"/>
        </w:rPr>
        <w:t xml:space="preserve"> </w:t>
      </w:r>
      <w:r>
        <w:rPr>
          <w:position w:val="-10"/>
          <w:sz w:val="18"/>
          <w:szCs w:val="18"/>
        </w:rPr>
        <w:drawing>
          <wp:inline distT="0" distB="0" distL="0" distR="0">
            <wp:extent cx="304165" cy="241300"/>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252"/>
                    <a:stretch>
                      <a:fillRect/>
                    </a:stretch>
                  </pic:blipFill>
                  <pic:spPr>
                    <a:xfrm>
                      <a:off x="0" y="0"/>
                      <a:ext cx="304782" cy="241372"/>
                    </a:xfrm>
                    <a:prstGeom prst="rect">
                      <a:avLst/>
                    </a:prstGeom>
                  </pic:spPr>
                </pic:pic>
              </a:graphicData>
            </a:graphic>
          </wp:inline>
        </w:drawing>
      </w:r>
      <w:r>
        <w:rPr>
          <w:rFonts w:ascii="Times New Roman" w:hAnsi="Times New Roman" w:eastAsia="Times New Roman" w:cs="Times New Roman"/>
          <w:spacing w:val="11"/>
          <w:sz w:val="18"/>
          <w:szCs w:val="18"/>
        </w:rPr>
        <w:t>381</w:t>
      </w:r>
    </w:p>
    <w:p w14:paraId="47D75717">
      <w:pPr>
        <w:spacing w:line="307" w:lineRule="auto"/>
        <w:rPr>
          <w:rFonts w:ascii="Arial"/>
          <w:sz w:val="21"/>
        </w:rPr>
      </w:pPr>
    </w:p>
    <w:p w14:paraId="248E4544">
      <w:pPr>
        <w:pStyle w:val="2"/>
        <w:spacing w:before="58" w:line="219" w:lineRule="auto"/>
        <w:rPr>
          <w:sz w:val="18"/>
          <w:szCs w:val="18"/>
        </w:rPr>
      </w:pPr>
      <w:r>
        <w:rPr>
          <w:spacing w:val="19"/>
          <w:sz w:val="18"/>
          <w:szCs w:val="18"/>
        </w:rPr>
        <w:t>与健康管理。表16-4列出了项目管理五个过</w:t>
      </w:r>
      <w:r>
        <w:rPr>
          <w:spacing w:val="18"/>
          <w:sz w:val="18"/>
          <w:szCs w:val="18"/>
        </w:rPr>
        <w:t>程组和十大知识领域。</w:t>
      </w:r>
    </w:p>
    <w:p w14:paraId="04DC825A">
      <w:pPr>
        <w:pStyle w:val="2"/>
        <w:spacing w:before="173" w:line="219" w:lineRule="auto"/>
        <w:ind w:left="2332"/>
        <w:rPr>
          <w:sz w:val="18"/>
          <w:szCs w:val="18"/>
        </w:rPr>
      </w:pPr>
      <w:r>
        <w:rPr>
          <w:b/>
          <w:bCs/>
          <w:spacing w:val="-1"/>
          <w:sz w:val="18"/>
          <w:szCs w:val="18"/>
        </w:rPr>
        <w:t>表16-4</w:t>
      </w:r>
      <w:r>
        <w:rPr>
          <w:spacing w:val="80"/>
          <w:w w:val="101"/>
          <w:sz w:val="18"/>
          <w:szCs w:val="18"/>
        </w:rPr>
        <w:t xml:space="preserve"> </w:t>
      </w:r>
      <w:r>
        <w:rPr>
          <w:b/>
          <w:bCs/>
          <w:spacing w:val="-1"/>
          <w:sz w:val="18"/>
          <w:szCs w:val="18"/>
        </w:rPr>
        <w:t>项目管理五个过程组和十大知识领域</w:t>
      </w:r>
    </w:p>
    <w:p w14:paraId="0F1487F3">
      <w:pPr>
        <w:spacing w:line="126" w:lineRule="exact"/>
      </w:pPr>
    </w:p>
    <w:tbl>
      <w:tblPr>
        <w:tblStyle w:val="5"/>
        <w:tblW w:w="835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0"/>
        <w:gridCol w:w="1440"/>
        <w:gridCol w:w="1610"/>
        <w:gridCol w:w="1640"/>
        <w:gridCol w:w="1700"/>
        <w:gridCol w:w="1180"/>
      </w:tblGrid>
      <w:tr w14:paraId="7656A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780" w:type="dxa"/>
            <w:vMerge w:val="restart"/>
            <w:tcBorders>
              <w:left w:val="nil"/>
              <w:bottom w:val="nil"/>
            </w:tcBorders>
            <w:vAlign w:val="top"/>
          </w:tcPr>
          <w:p w14:paraId="06193D84">
            <w:pPr>
              <w:pStyle w:val="6"/>
              <w:spacing w:before="250" w:line="220" w:lineRule="auto"/>
              <w:jc w:val="right"/>
            </w:pPr>
            <w:r>
              <w:rPr>
                <w:b/>
                <w:bCs/>
                <w:spacing w:val="-5"/>
              </w:rPr>
              <w:t>知识领域</w:t>
            </w:r>
          </w:p>
        </w:tc>
        <w:tc>
          <w:tcPr>
            <w:tcW w:w="7570" w:type="dxa"/>
            <w:gridSpan w:val="5"/>
            <w:tcBorders>
              <w:right w:val="nil"/>
            </w:tcBorders>
            <w:vAlign w:val="top"/>
          </w:tcPr>
          <w:p w14:paraId="1043174A">
            <w:pPr>
              <w:pStyle w:val="6"/>
              <w:spacing w:before="70" w:line="219" w:lineRule="auto"/>
              <w:ind w:left="3137"/>
            </w:pPr>
            <w:r>
              <w:rPr>
                <w:b/>
                <w:bCs/>
                <w:spacing w:val="-4"/>
              </w:rPr>
              <w:t>项目管理过程组</w:t>
            </w:r>
          </w:p>
        </w:tc>
      </w:tr>
      <w:tr w14:paraId="7F8BB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780" w:type="dxa"/>
            <w:vMerge w:val="continue"/>
            <w:tcBorders>
              <w:top w:val="nil"/>
              <w:left w:val="nil"/>
            </w:tcBorders>
            <w:vAlign w:val="top"/>
          </w:tcPr>
          <w:p w14:paraId="47608C2E">
            <w:pPr>
              <w:rPr>
                <w:rFonts w:ascii="Arial"/>
                <w:sz w:val="21"/>
              </w:rPr>
            </w:pPr>
          </w:p>
        </w:tc>
        <w:tc>
          <w:tcPr>
            <w:tcW w:w="1440" w:type="dxa"/>
            <w:vAlign w:val="top"/>
          </w:tcPr>
          <w:p w14:paraId="4A398463">
            <w:pPr>
              <w:pStyle w:val="6"/>
              <w:spacing w:before="75" w:line="220" w:lineRule="auto"/>
              <w:ind w:left="287"/>
            </w:pPr>
            <w:r>
              <w:rPr>
                <w:b/>
                <w:bCs/>
                <w:spacing w:val="-4"/>
              </w:rPr>
              <w:t>启动过程组</w:t>
            </w:r>
          </w:p>
        </w:tc>
        <w:tc>
          <w:tcPr>
            <w:tcW w:w="1610" w:type="dxa"/>
            <w:vAlign w:val="top"/>
          </w:tcPr>
          <w:p w14:paraId="061F1109">
            <w:pPr>
              <w:pStyle w:val="6"/>
              <w:spacing w:before="75" w:line="220" w:lineRule="auto"/>
              <w:ind w:left="357"/>
            </w:pPr>
            <w:r>
              <w:rPr>
                <w:b/>
                <w:bCs/>
                <w:spacing w:val="-4"/>
              </w:rPr>
              <w:t>规划过程组</w:t>
            </w:r>
          </w:p>
        </w:tc>
        <w:tc>
          <w:tcPr>
            <w:tcW w:w="1640" w:type="dxa"/>
            <w:vAlign w:val="top"/>
          </w:tcPr>
          <w:p w14:paraId="1EAB33E2">
            <w:pPr>
              <w:pStyle w:val="6"/>
              <w:spacing w:before="75" w:line="219" w:lineRule="auto"/>
              <w:ind w:left="377"/>
            </w:pPr>
            <w:r>
              <w:rPr>
                <w:b/>
                <w:bCs/>
                <w:spacing w:val="-4"/>
              </w:rPr>
              <w:t>执行过程组</w:t>
            </w:r>
          </w:p>
        </w:tc>
        <w:tc>
          <w:tcPr>
            <w:tcW w:w="1700" w:type="dxa"/>
            <w:vAlign w:val="top"/>
          </w:tcPr>
          <w:p w14:paraId="6473DC04">
            <w:pPr>
              <w:pStyle w:val="6"/>
              <w:spacing w:before="75" w:line="220" w:lineRule="auto"/>
              <w:ind w:left="397"/>
            </w:pPr>
            <w:r>
              <w:rPr>
                <w:b/>
                <w:bCs/>
                <w:spacing w:val="-4"/>
              </w:rPr>
              <w:t>监控过程组</w:t>
            </w:r>
          </w:p>
        </w:tc>
        <w:tc>
          <w:tcPr>
            <w:tcW w:w="1180" w:type="dxa"/>
            <w:tcBorders>
              <w:right w:val="nil"/>
            </w:tcBorders>
            <w:vAlign w:val="top"/>
          </w:tcPr>
          <w:p w14:paraId="3B2EBE08">
            <w:pPr>
              <w:pStyle w:val="6"/>
              <w:spacing w:before="75" w:line="219" w:lineRule="auto"/>
              <w:ind w:left="107"/>
            </w:pPr>
            <w:r>
              <w:rPr>
                <w:b/>
                <w:bCs/>
                <w:spacing w:val="-5"/>
              </w:rPr>
              <w:t>收尾过程组</w:t>
            </w:r>
          </w:p>
        </w:tc>
      </w:tr>
      <w:tr w14:paraId="7E8D6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780" w:type="dxa"/>
            <w:tcBorders>
              <w:left w:val="nil"/>
            </w:tcBorders>
            <w:vAlign w:val="top"/>
          </w:tcPr>
          <w:p w14:paraId="5BBBA149">
            <w:pPr>
              <w:pStyle w:val="6"/>
              <w:spacing w:before="237" w:line="239" w:lineRule="auto"/>
              <w:ind w:left="199" w:right="5" w:hanging="180"/>
            </w:pPr>
            <w:r>
              <w:rPr>
                <w:spacing w:val="-3"/>
              </w:rPr>
              <w:t>项目整合</w:t>
            </w:r>
            <w:r>
              <w:t xml:space="preserve"> </w:t>
            </w:r>
            <w:r>
              <w:rPr>
                <w:spacing w:val="-3"/>
              </w:rPr>
              <w:t>管理</w:t>
            </w:r>
          </w:p>
        </w:tc>
        <w:tc>
          <w:tcPr>
            <w:tcW w:w="1440" w:type="dxa"/>
            <w:vAlign w:val="top"/>
          </w:tcPr>
          <w:p w14:paraId="6FB68BF3">
            <w:pPr>
              <w:spacing w:line="303" w:lineRule="auto"/>
              <w:rPr>
                <w:rFonts w:ascii="Arial"/>
                <w:sz w:val="21"/>
              </w:rPr>
            </w:pPr>
          </w:p>
          <w:p w14:paraId="026AF572">
            <w:pPr>
              <w:pStyle w:val="6"/>
              <w:spacing w:before="61" w:line="219" w:lineRule="auto"/>
              <w:ind w:left="24"/>
            </w:pPr>
            <w:r>
              <w:t>●制定项目章程</w:t>
            </w:r>
          </w:p>
        </w:tc>
        <w:tc>
          <w:tcPr>
            <w:tcW w:w="1610" w:type="dxa"/>
            <w:vAlign w:val="top"/>
          </w:tcPr>
          <w:p w14:paraId="62762872">
            <w:pPr>
              <w:pStyle w:val="6"/>
              <w:spacing w:before="247" w:line="228" w:lineRule="auto"/>
              <w:ind w:left="44" w:hanging="29"/>
            </w:pPr>
            <w:r>
              <w:rPr>
                <w:spacing w:val="-18"/>
              </w:rPr>
              <w:t>●</w:t>
            </w:r>
            <w:r>
              <w:rPr>
                <w:spacing w:val="-37"/>
              </w:rPr>
              <w:t xml:space="preserve"> </w:t>
            </w:r>
            <w:r>
              <w:rPr>
                <w:spacing w:val="-18"/>
              </w:rPr>
              <w:t>制</w:t>
            </w:r>
            <w:r>
              <w:rPr>
                <w:spacing w:val="-39"/>
              </w:rPr>
              <w:t xml:space="preserve"> </w:t>
            </w:r>
            <w:r>
              <w:rPr>
                <w:spacing w:val="-17"/>
              </w:rPr>
              <w:t>订</w:t>
            </w:r>
            <w:r>
              <w:rPr>
                <w:spacing w:val="-37"/>
              </w:rPr>
              <w:t xml:space="preserve"> </w:t>
            </w:r>
            <w:r>
              <w:rPr>
                <w:spacing w:val="-17"/>
              </w:rPr>
              <w:t>项 目</w:t>
            </w:r>
            <w:r>
              <w:rPr>
                <w:spacing w:val="-37"/>
              </w:rPr>
              <w:t xml:space="preserve"> </w:t>
            </w:r>
            <w:r>
              <w:rPr>
                <w:spacing w:val="-17"/>
              </w:rPr>
              <w:t>管</w:t>
            </w:r>
            <w:r>
              <w:rPr>
                <w:spacing w:val="-39"/>
              </w:rPr>
              <w:t xml:space="preserve"> </w:t>
            </w:r>
            <w:r>
              <w:rPr>
                <w:spacing w:val="-7"/>
              </w:rPr>
              <w:t>理</w:t>
            </w:r>
            <w:r>
              <w:t xml:space="preserve"> </w:t>
            </w:r>
            <w:r>
              <w:rPr>
                <w:spacing w:val="6"/>
              </w:rPr>
              <w:t>计划</w:t>
            </w:r>
          </w:p>
        </w:tc>
        <w:tc>
          <w:tcPr>
            <w:tcW w:w="1640" w:type="dxa"/>
            <w:vAlign w:val="top"/>
          </w:tcPr>
          <w:p w14:paraId="78CCF2B5">
            <w:pPr>
              <w:pStyle w:val="6"/>
              <w:spacing w:before="96" w:line="242" w:lineRule="auto"/>
              <w:ind w:left="65" w:right="223"/>
            </w:pPr>
            <w:r>
              <w:rPr>
                <w:spacing w:val="1"/>
              </w:rPr>
              <w:t>●指导与管理项</w:t>
            </w:r>
            <w:r>
              <w:rPr>
                <w:spacing w:val="3"/>
              </w:rPr>
              <w:t xml:space="preserve"> </w:t>
            </w:r>
            <w:r>
              <w:rPr>
                <w:spacing w:val="4"/>
              </w:rPr>
              <w:t>目工作</w:t>
            </w:r>
          </w:p>
          <w:p w14:paraId="59F8E8A5">
            <w:pPr>
              <w:pStyle w:val="6"/>
              <w:spacing w:before="53" w:line="219" w:lineRule="auto"/>
              <w:ind w:left="65"/>
            </w:pPr>
            <w:r>
              <w:rPr>
                <w:spacing w:val="1"/>
              </w:rPr>
              <w:t>●管理项目知识</w:t>
            </w:r>
          </w:p>
        </w:tc>
        <w:tc>
          <w:tcPr>
            <w:tcW w:w="1700" w:type="dxa"/>
            <w:vAlign w:val="top"/>
          </w:tcPr>
          <w:p w14:paraId="74EC8788">
            <w:pPr>
              <w:pStyle w:val="6"/>
              <w:spacing w:before="108" w:line="220" w:lineRule="auto"/>
              <w:ind w:left="25"/>
            </w:pPr>
            <w:r>
              <w:rPr>
                <w:spacing w:val="1"/>
              </w:rPr>
              <w:t>●监控项目工作</w:t>
            </w:r>
          </w:p>
          <w:p w14:paraId="017191C4">
            <w:pPr>
              <w:pStyle w:val="6"/>
              <w:spacing w:before="44" w:line="236" w:lineRule="auto"/>
              <w:ind w:left="25" w:right="316" w:firstLine="9"/>
            </w:pPr>
            <w:r>
              <w:rPr>
                <w:spacing w:val="1"/>
              </w:rPr>
              <w:t xml:space="preserve">●实施整体变更 </w:t>
            </w:r>
            <w:r>
              <w:rPr>
                <w:spacing w:val="8"/>
              </w:rPr>
              <w:t>控制</w:t>
            </w:r>
          </w:p>
        </w:tc>
        <w:tc>
          <w:tcPr>
            <w:tcW w:w="1180" w:type="dxa"/>
            <w:tcBorders>
              <w:right w:val="nil"/>
            </w:tcBorders>
            <w:vAlign w:val="top"/>
          </w:tcPr>
          <w:p w14:paraId="46C60B2B">
            <w:pPr>
              <w:pStyle w:val="6"/>
              <w:spacing w:before="238" w:line="251" w:lineRule="auto"/>
              <w:ind w:left="293" w:right="83" w:hanging="189"/>
            </w:pPr>
            <w:r>
              <w:rPr>
                <w:spacing w:val="7"/>
              </w:rPr>
              <w:t>●结束项目</w:t>
            </w:r>
            <w:r>
              <w:t xml:space="preserve"> </w:t>
            </w:r>
            <w:r>
              <w:rPr>
                <w:spacing w:val="-3"/>
              </w:rPr>
              <w:t>或阶段</w:t>
            </w:r>
          </w:p>
        </w:tc>
      </w:tr>
      <w:tr w14:paraId="35961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780" w:type="dxa"/>
            <w:tcBorders>
              <w:left w:val="nil"/>
            </w:tcBorders>
            <w:vAlign w:val="top"/>
          </w:tcPr>
          <w:p w14:paraId="4D5E8CD0">
            <w:pPr>
              <w:spacing w:line="266" w:lineRule="auto"/>
              <w:rPr>
                <w:rFonts w:ascii="Arial"/>
                <w:sz w:val="21"/>
              </w:rPr>
            </w:pPr>
          </w:p>
          <w:p w14:paraId="78517B4F">
            <w:pPr>
              <w:pStyle w:val="6"/>
              <w:spacing w:before="62" w:line="248" w:lineRule="auto"/>
              <w:ind w:left="193" w:hanging="174"/>
            </w:pPr>
            <w:r>
              <w:rPr>
                <w:spacing w:val="-2"/>
              </w:rPr>
              <w:t>项目范围</w:t>
            </w:r>
            <w:r>
              <w:rPr>
                <w:spacing w:val="2"/>
              </w:rPr>
              <w:t xml:space="preserve"> </w:t>
            </w:r>
            <w:r>
              <w:rPr>
                <w:spacing w:val="-6"/>
              </w:rPr>
              <w:t>管理</w:t>
            </w:r>
          </w:p>
        </w:tc>
        <w:tc>
          <w:tcPr>
            <w:tcW w:w="1440" w:type="dxa"/>
            <w:vAlign w:val="top"/>
          </w:tcPr>
          <w:p w14:paraId="5A8B6F55">
            <w:pPr>
              <w:rPr>
                <w:rFonts w:ascii="Arial"/>
                <w:sz w:val="21"/>
              </w:rPr>
            </w:pPr>
          </w:p>
        </w:tc>
        <w:tc>
          <w:tcPr>
            <w:tcW w:w="1610" w:type="dxa"/>
            <w:vAlign w:val="top"/>
          </w:tcPr>
          <w:p w14:paraId="5D9B53E4">
            <w:pPr>
              <w:pStyle w:val="6"/>
              <w:spacing w:before="78" w:line="219" w:lineRule="auto"/>
              <w:ind w:left="45"/>
            </w:pPr>
            <w:r>
              <w:t>●规划范围管理</w:t>
            </w:r>
          </w:p>
          <w:p w14:paraId="62F82D94">
            <w:pPr>
              <w:pStyle w:val="6"/>
              <w:spacing w:before="34" w:line="219" w:lineRule="auto"/>
              <w:ind w:left="45"/>
            </w:pPr>
            <w:r>
              <w:rPr>
                <w:spacing w:val="1"/>
              </w:rPr>
              <w:t>●收集需求</w:t>
            </w:r>
          </w:p>
          <w:p w14:paraId="37826CEE">
            <w:pPr>
              <w:pStyle w:val="6"/>
              <w:spacing w:before="55" w:line="220" w:lineRule="auto"/>
              <w:ind w:left="45"/>
            </w:pPr>
            <w:r>
              <w:rPr>
                <w:spacing w:val="3"/>
              </w:rPr>
              <w:t>●定义范围</w:t>
            </w:r>
          </w:p>
          <w:p w14:paraId="309CDD18">
            <w:pPr>
              <w:pStyle w:val="6"/>
              <w:spacing w:before="54" w:line="193" w:lineRule="auto"/>
              <w:ind w:left="45"/>
            </w:pPr>
            <w:r>
              <w:rPr>
                <w:spacing w:val="-8"/>
              </w:rPr>
              <w:t>●</w:t>
            </w:r>
            <w:r>
              <w:rPr>
                <w:spacing w:val="-43"/>
              </w:rPr>
              <w:t xml:space="preserve"> </w:t>
            </w:r>
            <w:r>
              <w:rPr>
                <w:spacing w:val="-8"/>
              </w:rPr>
              <w:t>创</w:t>
            </w:r>
            <w:r>
              <w:rPr>
                <w:spacing w:val="-41"/>
              </w:rPr>
              <w:t xml:space="preserve"> </w:t>
            </w:r>
            <w:r>
              <w:rPr>
                <w:spacing w:val="-8"/>
              </w:rPr>
              <w:t>建</w:t>
            </w:r>
            <w:r>
              <w:rPr>
                <w:spacing w:val="-49"/>
              </w:rPr>
              <w:t xml:space="preserve"> </w:t>
            </w:r>
            <w:r>
              <w:rPr>
                <w:spacing w:val="-8"/>
              </w:rPr>
              <w:t>W</w:t>
            </w:r>
            <w:r>
              <w:rPr>
                <w:spacing w:val="-48"/>
              </w:rPr>
              <w:t xml:space="preserve"> </w:t>
            </w:r>
            <w:r>
              <w:rPr>
                <w:spacing w:val="-8"/>
              </w:rPr>
              <w:t>B</w:t>
            </w:r>
            <w:r>
              <w:rPr>
                <w:spacing w:val="-43"/>
              </w:rPr>
              <w:t xml:space="preserve"> </w:t>
            </w:r>
            <w:r>
              <w:rPr>
                <w:spacing w:val="-8"/>
              </w:rPr>
              <w:t>S</w:t>
            </w:r>
          </w:p>
        </w:tc>
        <w:tc>
          <w:tcPr>
            <w:tcW w:w="1640" w:type="dxa"/>
            <w:vAlign w:val="top"/>
          </w:tcPr>
          <w:p w14:paraId="7DE68E0C">
            <w:pPr>
              <w:rPr>
                <w:rFonts w:ascii="Arial"/>
                <w:sz w:val="21"/>
              </w:rPr>
            </w:pPr>
          </w:p>
        </w:tc>
        <w:tc>
          <w:tcPr>
            <w:tcW w:w="1700" w:type="dxa"/>
            <w:vAlign w:val="top"/>
          </w:tcPr>
          <w:p w14:paraId="6A3B8C56">
            <w:pPr>
              <w:spacing w:line="276" w:lineRule="auto"/>
              <w:rPr>
                <w:rFonts w:ascii="Arial"/>
                <w:sz w:val="21"/>
              </w:rPr>
            </w:pPr>
          </w:p>
          <w:p w14:paraId="16861BB1">
            <w:pPr>
              <w:pStyle w:val="6"/>
              <w:spacing w:before="61" w:line="220" w:lineRule="auto"/>
              <w:ind w:left="25"/>
            </w:pPr>
            <w:r>
              <w:rPr>
                <w:spacing w:val="3"/>
              </w:rPr>
              <w:t>●确定范围</w:t>
            </w:r>
          </w:p>
          <w:p w14:paraId="1B060AB4">
            <w:pPr>
              <w:pStyle w:val="6"/>
              <w:spacing w:before="53" w:line="220" w:lineRule="auto"/>
              <w:ind w:left="25"/>
            </w:pPr>
            <w:r>
              <w:rPr>
                <w:spacing w:val="3"/>
              </w:rPr>
              <w:t>●控制范围</w:t>
            </w:r>
          </w:p>
        </w:tc>
        <w:tc>
          <w:tcPr>
            <w:tcW w:w="1180" w:type="dxa"/>
            <w:tcBorders>
              <w:right w:val="nil"/>
            </w:tcBorders>
            <w:vAlign w:val="top"/>
          </w:tcPr>
          <w:p w14:paraId="04A9B19B">
            <w:pPr>
              <w:rPr>
                <w:rFonts w:ascii="Arial"/>
                <w:sz w:val="21"/>
              </w:rPr>
            </w:pPr>
          </w:p>
        </w:tc>
      </w:tr>
      <w:tr w14:paraId="10E7B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8" w:hRule="atLeast"/>
        </w:trPr>
        <w:tc>
          <w:tcPr>
            <w:tcW w:w="780" w:type="dxa"/>
            <w:tcBorders>
              <w:left w:val="nil"/>
            </w:tcBorders>
            <w:vAlign w:val="top"/>
          </w:tcPr>
          <w:p w14:paraId="3ABE8A4E">
            <w:pPr>
              <w:spacing w:line="302" w:lineRule="auto"/>
              <w:rPr>
                <w:rFonts w:ascii="Arial"/>
                <w:sz w:val="21"/>
              </w:rPr>
            </w:pPr>
          </w:p>
          <w:p w14:paraId="1C683070">
            <w:pPr>
              <w:spacing w:line="303" w:lineRule="auto"/>
              <w:rPr>
                <w:rFonts w:ascii="Arial"/>
                <w:sz w:val="21"/>
              </w:rPr>
            </w:pPr>
          </w:p>
          <w:p w14:paraId="2481F3A6">
            <w:pPr>
              <w:pStyle w:val="6"/>
              <w:spacing w:before="62" w:line="248" w:lineRule="auto"/>
              <w:ind w:left="195" w:hanging="176"/>
            </w:pPr>
            <w:r>
              <w:rPr>
                <w:spacing w:val="-2"/>
              </w:rPr>
              <w:t>项目进度</w:t>
            </w:r>
            <w:r>
              <w:rPr>
                <w:spacing w:val="2"/>
              </w:rPr>
              <w:t xml:space="preserve"> </w:t>
            </w:r>
            <w:r>
              <w:rPr>
                <w:spacing w:val="-5"/>
              </w:rPr>
              <w:t>管理</w:t>
            </w:r>
          </w:p>
        </w:tc>
        <w:tc>
          <w:tcPr>
            <w:tcW w:w="1440" w:type="dxa"/>
            <w:vAlign w:val="top"/>
          </w:tcPr>
          <w:p w14:paraId="4108232F">
            <w:pPr>
              <w:rPr>
                <w:rFonts w:ascii="Arial"/>
                <w:sz w:val="21"/>
              </w:rPr>
            </w:pPr>
          </w:p>
        </w:tc>
        <w:tc>
          <w:tcPr>
            <w:tcW w:w="1610" w:type="dxa"/>
            <w:vAlign w:val="top"/>
          </w:tcPr>
          <w:p w14:paraId="53B693CD">
            <w:pPr>
              <w:pStyle w:val="6"/>
              <w:spacing w:before="120" w:line="219" w:lineRule="auto"/>
              <w:ind w:left="45"/>
            </w:pPr>
            <w:r>
              <w:t>●规划进度管理</w:t>
            </w:r>
          </w:p>
          <w:p w14:paraId="617A3B1F">
            <w:pPr>
              <w:pStyle w:val="6"/>
              <w:spacing w:before="65" w:line="220" w:lineRule="auto"/>
              <w:ind w:left="45"/>
            </w:pPr>
            <w:r>
              <w:rPr>
                <w:spacing w:val="2"/>
              </w:rPr>
              <w:t>●定义活动</w:t>
            </w:r>
          </w:p>
          <w:p w14:paraId="23964B41">
            <w:pPr>
              <w:pStyle w:val="6"/>
              <w:spacing w:before="43" w:line="220" w:lineRule="auto"/>
              <w:ind w:left="45"/>
            </w:pPr>
            <w:r>
              <w:rPr>
                <w:spacing w:val="1"/>
              </w:rPr>
              <w:t>●排列活动顺序</w:t>
            </w:r>
          </w:p>
          <w:p w14:paraId="2B362271">
            <w:pPr>
              <w:pStyle w:val="6"/>
              <w:spacing w:before="31" w:line="239" w:lineRule="auto"/>
              <w:ind w:left="305" w:right="205" w:hanging="250"/>
            </w:pPr>
            <w:r>
              <w:rPr>
                <w:spacing w:val="1"/>
              </w:rPr>
              <w:t xml:space="preserve">●估算活动持续 </w:t>
            </w:r>
            <w:r>
              <w:rPr>
                <w:spacing w:val="9"/>
              </w:rPr>
              <w:t>时间</w:t>
            </w:r>
          </w:p>
          <w:p w14:paraId="4140B5D8">
            <w:pPr>
              <w:pStyle w:val="6"/>
              <w:spacing w:before="70" w:line="220" w:lineRule="auto"/>
              <w:ind w:left="45"/>
            </w:pPr>
            <w:r>
              <w:rPr>
                <w:spacing w:val="1"/>
              </w:rPr>
              <w:t>●制订进度计划</w:t>
            </w:r>
          </w:p>
        </w:tc>
        <w:tc>
          <w:tcPr>
            <w:tcW w:w="1640" w:type="dxa"/>
            <w:vAlign w:val="top"/>
          </w:tcPr>
          <w:p w14:paraId="42401567">
            <w:pPr>
              <w:rPr>
                <w:rFonts w:ascii="Arial"/>
                <w:sz w:val="21"/>
              </w:rPr>
            </w:pPr>
          </w:p>
        </w:tc>
        <w:tc>
          <w:tcPr>
            <w:tcW w:w="1700" w:type="dxa"/>
            <w:vAlign w:val="top"/>
          </w:tcPr>
          <w:p w14:paraId="1A752CE2">
            <w:pPr>
              <w:spacing w:line="241" w:lineRule="auto"/>
              <w:rPr>
                <w:rFonts w:ascii="Arial"/>
                <w:sz w:val="21"/>
              </w:rPr>
            </w:pPr>
          </w:p>
          <w:p w14:paraId="1B6EB5CC">
            <w:pPr>
              <w:spacing w:line="241" w:lineRule="auto"/>
              <w:rPr>
                <w:rFonts w:ascii="Arial"/>
                <w:sz w:val="21"/>
              </w:rPr>
            </w:pPr>
          </w:p>
          <w:p w14:paraId="6FB208A5">
            <w:pPr>
              <w:spacing w:line="242" w:lineRule="auto"/>
              <w:rPr>
                <w:rFonts w:ascii="Arial"/>
                <w:sz w:val="21"/>
              </w:rPr>
            </w:pPr>
          </w:p>
          <w:p w14:paraId="1413C32D">
            <w:pPr>
              <w:pStyle w:val="6"/>
              <w:spacing w:before="61" w:line="220" w:lineRule="auto"/>
              <w:ind w:left="25"/>
            </w:pPr>
            <w:r>
              <w:rPr>
                <w:spacing w:val="2"/>
              </w:rPr>
              <w:t>●控制进度</w:t>
            </w:r>
          </w:p>
        </w:tc>
        <w:tc>
          <w:tcPr>
            <w:tcW w:w="1180" w:type="dxa"/>
            <w:tcBorders>
              <w:right w:val="nil"/>
            </w:tcBorders>
            <w:vAlign w:val="top"/>
          </w:tcPr>
          <w:p w14:paraId="29C0897A">
            <w:pPr>
              <w:rPr>
                <w:rFonts w:ascii="Arial"/>
                <w:sz w:val="21"/>
              </w:rPr>
            </w:pPr>
          </w:p>
        </w:tc>
      </w:tr>
      <w:tr w14:paraId="680BF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780" w:type="dxa"/>
            <w:tcBorders>
              <w:left w:val="nil"/>
            </w:tcBorders>
            <w:vAlign w:val="top"/>
          </w:tcPr>
          <w:p w14:paraId="732F5303">
            <w:pPr>
              <w:pStyle w:val="6"/>
              <w:spacing w:before="200" w:line="250" w:lineRule="auto"/>
              <w:ind w:left="199" w:right="5" w:hanging="180"/>
            </w:pPr>
            <w:r>
              <w:rPr>
                <w:spacing w:val="-3"/>
              </w:rPr>
              <w:t>项目成本</w:t>
            </w:r>
            <w:r>
              <w:t xml:space="preserve"> </w:t>
            </w:r>
            <w:r>
              <w:rPr>
                <w:spacing w:val="-3"/>
              </w:rPr>
              <w:t>管理</w:t>
            </w:r>
          </w:p>
        </w:tc>
        <w:tc>
          <w:tcPr>
            <w:tcW w:w="1440" w:type="dxa"/>
            <w:vAlign w:val="top"/>
          </w:tcPr>
          <w:p w14:paraId="3168E896">
            <w:pPr>
              <w:rPr>
                <w:rFonts w:ascii="Arial"/>
                <w:sz w:val="21"/>
              </w:rPr>
            </w:pPr>
          </w:p>
        </w:tc>
        <w:tc>
          <w:tcPr>
            <w:tcW w:w="1610" w:type="dxa"/>
            <w:vAlign w:val="top"/>
          </w:tcPr>
          <w:p w14:paraId="60840C43">
            <w:pPr>
              <w:pStyle w:val="6"/>
              <w:spacing w:before="80" w:line="219" w:lineRule="auto"/>
              <w:ind w:left="45"/>
            </w:pPr>
            <w:r>
              <w:t>●规划成本管理</w:t>
            </w:r>
          </w:p>
          <w:p w14:paraId="14792D69">
            <w:pPr>
              <w:pStyle w:val="6"/>
              <w:spacing w:before="34" w:line="218" w:lineRule="auto"/>
              <w:ind w:left="45"/>
            </w:pPr>
            <w:r>
              <w:rPr>
                <w:spacing w:val="1"/>
              </w:rPr>
              <w:t>●估算成本</w:t>
            </w:r>
          </w:p>
          <w:p w14:paraId="42B241D8">
            <w:pPr>
              <w:pStyle w:val="6"/>
              <w:spacing w:before="56" w:line="192" w:lineRule="auto"/>
              <w:ind w:left="45"/>
            </w:pPr>
            <w:r>
              <w:rPr>
                <w:spacing w:val="1"/>
              </w:rPr>
              <w:t>●制定预算</w:t>
            </w:r>
          </w:p>
        </w:tc>
        <w:tc>
          <w:tcPr>
            <w:tcW w:w="1640" w:type="dxa"/>
            <w:vAlign w:val="top"/>
          </w:tcPr>
          <w:p w14:paraId="25268244">
            <w:pPr>
              <w:rPr>
                <w:rFonts w:ascii="Arial"/>
                <w:sz w:val="21"/>
              </w:rPr>
            </w:pPr>
          </w:p>
        </w:tc>
        <w:tc>
          <w:tcPr>
            <w:tcW w:w="1700" w:type="dxa"/>
            <w:vAlign w:val="top"/>
          </w:tcPr>
          <w:p w14:paraId="62564965">
            <w:pPr>
              <w:spacing w:line="257" w:lineRule="auto"/>
              <w:rPr>
                <w:rFonts w:ascii="Arial"/>
                <w:sz w:val="21"/>
              </w:rPr>
            </w:pPr>
          </w:p>
          <w:p w14:paraId="748DCFB8">
            <w:pPr>
              <w:pStyle w:val="6"/>
              <w:spacing w:before="62" w:line="219" w:lineRule="auto"/>
              <w:ind w:left="25"/>
            </w:pPr>
            <w:r>
              <w:rPr>
                <w:spacing w:val="1"/>
              </w:rPr>
              <w:t>●控制成本</w:t>
            </w:r>
          </w:p>
        </w:tc>
        <w:tc>
          <w:tcPr>
            <w:tcW w:w="1180" w:type="dxa"/>
            <w:tcBorders>
              <w:right w:val="nil"/>
            </w:tcBorders>
            <w:vAlign w:val="top"/>
          </w:tcPr>
          <w:p w14:paraId="5D574FD1">
            <w:pPr>
              <w:rPr>
                <w:rFonts w:ascii="Arial"/>
                <w:sz w:val="21"/>
              </w:rPr>
            </w:pPr>
          </w:p>
        </w:tc>
      </w:tr>
      <w:tr w14:paraId="6191B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780" w:type="dxa"/>
            <w:tcBorders>
              <w:left w:val="nil"/>
            </w:tcBorders>
            <w:vAlign w:val="top"/>
          </w:tcPr>
          <w:p w14:paraId="42721878">
            <w:pPr>
              <w:pStyle w:val="6"/>
              <w:spacing w:before="73" w:line="231" w:lineRule="auto"/>
              <w:ind w:left="199" w:right="5" w:hanging="180"/>
            </w:pPr>
            <w:r>
              <w:rPr>
                <w:spacing w:val="-3"/>
              </w:rPr>
              <w:t>项目质量</w:t>
            </w:r>
            <w:r>
              <w:t xml:space="preserve"> </w:t>
            </w:r>
            <w:r>
              <w:rPr>
                <w:spacing w:val="-3"/>
              </w:rPr>
              <w:t>管理</w:t>
            </w:r>
          </w:p>
        </w:tc>
        <w:tc>
          <w:tcPr>
            <w:tcW w:w="1440" w:type="dxa"/>
            <w:vAlign w:val="top"/>
          </w:tcPr>
          <w:p w14:paraId="1989FE21">
            <w:pPr>
              <w:rPr>
                <w:rFonts w:ascii="Arial"/>
                <w:sz w:val="21"/>
              </w:rPr>
            </w:pPr>
          </w:p>
        </w:tc>
        <w:tc>
          <w:tcPr>
            <w:tcW w:w="1610" w:type="dxa"/>
            <w:vAlign w:val="top"/>
          </w:tcPr>
          <w:p w14:paraId="2EAEE035">
            <w:pPr>
              <w:pStyle w:val="6"/>
              <w:spacing w:before="192" w:line="219" w:lineRule="auto"/>
              <w:ind w:left="45"/>
            </w:pPr>
            <w:r>
              <w:t>●规划质量管理</w:t>
            </w:r>
          </w:p>
        </w:tc>
        <w:tc>
          <w:tcPr>
            <w:tcW w:w="1640" w:type="dxa"/>
            <w:vAlign w:val="top"/>
          </w:tcPr>
          <w:p w14:paraId="13875C0F">
            <w:pPr>
              <w:pStyle w:val="6"/>
              <w:spacing w:before="192" w:line="219" w:lineRule="auto"/>
              <w:ind w:left="65"/>
            </w:pPr>
            <w:r>
              <w:rPr>
                <w:spacing w:val="1"/>
              </w:rPr>
              <w:t>●管理质量</w:t>
            </w:r>
          </w:p>
        </w:tc>
        <w:tc>
          <w:tcPr>
            <w:tcW w:w="1700" w:type="dxa"/>
            <w:vAlign w:val="top"/>
          </w:tcPr>
          <w:p w14:paraId="137E77B9">
            <w:pPr>
              <w:pStyle w:val="6"/>
              <w:spacing w:before="193" w:line="220" w:lineRule="auto"/>
              <w:ind w:left="25"/>
            </w:pPr>
            <w:r>
              <w:rPr>
                <w:spacing w:val="1"/>
              </w:rPr>
              <w:t>●控制质量</w:t>
            </w:r>
          </w:p>
        </w:tc>
        <w:tc>
          <w:tcPr>
            <w:tcW w:w="1180" w:type="dxa"/>
            <w:tcBorders>
              <w:right w:val="nil"/>
            </w:tcBorders>
            <w:vAlign w:val="top"/>
          </w:tcPr>
          <w:p w14:paraId="402443E8">
            <w:pPr>
              <w:rPr>
                <w:rFonts w:ascii="Arial"/>
                <w:sz w:val="21"/>
              </w:rPr>
            </w:pPr>
          </w:p>
        </w:tc>
      </w:tr>
      <w:tr w14:paraId="3EB0A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780" w:type="dxa"/>
            <w:tcBorders>
              <w:left w:val="nil"/>
            </w:tcBorders>
            <w:vAlign w:val="top"/>
          </w:tcPr>
          <w:p w14:paraId="41BFB239">
            <w:pPr>
              <w:pStyle w:val="6"/>
              <w:spacing w:before="203" w:line="239" w:lineRule="auto"/>
              <w:ind w:left="199" w:right="5" w:hanging="180"/>
            </w:pPr>
            <w:r>
              <w:rPr>
                <w:spacing w:val="-3"/>
              </w:rPr>
              <w:t>项目资源</w:t>
            </w:r>
            <w:r>
              <w:t xml:space="preserve"> </w:t>
            </w:r>
            <w:r>
              <w:rPr>
                <w:spacing w:val="-3"/>
              </w:rPr>
              <w:t>管理</w:t>
            </w:r>
          </w:p>
        </w:tc>
        <w:tc>
          <w:tcPr>
            <w:tcW w:w="1440" w:type="dxa"/>
            <w:vAlign w:val="top"/>
          </w:tcPr>
          <w:p w14:paraId="77255B87">
            <w:pPr>
              <w:rPr>
                <w:rFonts w:ascii="Arial"/>
                <w:sz w:val="21"/>
              </w:rPr>
            </w:pPr>
          </w:p>
        </w:tc>
        <w:tc>
          <w:tcPr>
            <w:tcW w:w="1610" w:type="dxa"/>
            <w:vAlign w:val="top"/>
          </w:tcPr>
          <w:p w14:paraId="6B709A28">
            <w:pPr>
              <w:pStyle w:val="6"/>
              <w:spacing w:before="203" w:line="219" w:lineRule="auto"/>
              <w:ind w:left="45"/>
            </w:pPr>
            <w:r>
              <w:t>●规划资源管理</w:t>
            </w:r>
          </w:p>
          <w:p w14:paraId="09B5583B">
            <w:pPr>
              <w:pStyle w:val="6"/>
              <w:spacing w:before="52" w:line="218" w:lineRule="auto"/>
              <w:ind w:left="45"/>
            </w:pPr>
            <w:r>
              <w:rPr>
                <w:spacing w:val="1"/>
              </w:rPr>
              <w:t>●估算活动资源</w:t>
            </w:r>
          </w:p>
        </w:tc>
        <w:tc>
          <w:tcPr>
            <w:tcW w:w="1640" w:type="dxa"/>
            <w:vAlign w:val="top"/>
          </w:tcPr>
          <w:p w14:paraId="6477F2B3">
            <w:pPr>
              <w:pStyle w:val="6"/>
              <w:spacing w:before="74" w:line="219" w:lineRule="auto"/>
              <w:ind w:left="65"/>
            </w:pPr>
            <w:r>
              <w:rPr>
                <w:spacing w:val="1"/>
              </w:rPr>
              <w:t>●获取资源</w:t>
            </w:r>
          </w:p>
          <w:p w14:paraId="2041F95B">
            <w:pPr>
              <w:pStyle w:val="6"/>
              <w:spacing w:before="45" w:line="221" w:lineRule="auto"/>
              <w:ind w:left="65"/>
            </w:pPr>
            <w:r>
              <w:rPr>
                <w:spacing w:val="2"/>
              </w:rPr>
              <w:t>●建设团队</w:t>
            </w:r>
          </w:p>
          <w:p w14:paraId="2F119210">
            <w:pPr>
              <w:pStyle w:val="6"/>
              <w:spacing w:before="40" w:line="200" w:lineRule="auto"/>
              <w:ind w:left="65"/>
            </w:pPr>
            <w:r>
              <w:rPr>
                <w:spacing w:val="2"/>
              </w:rPr>
              <w:t>●管理团队</w:t>
            </w:r>
          </w:p>
        </w:tc>
        <w:tc>
          <w:tcPr>
            <w:tcW w:w="1700" w:type="dxa"/>
            <w:vAlign w:val="top"/>
          </w:tcPr>
          <w:p w14:paraId="24A298C4">
            <w:pPr>
              <w:spacing w:line="261" w:lineRule="auto"/>
              <w:rPr>
                <w:rFonts w:ascii="Arial"/>
                <w:sz w:val="21"/>
              </w:rPr>
            </w:pPr>
          </w:p>
          <w:p w14:paraId="5F05AE2B">
            <w:pPr>
              <w:pStyle w:val="6"/>
              <w:spacing w:before="61" w:line="220" w:lineRule="auto"/>
              <w:ind w:left="25"/>
            </w:pPr>
            <w:r>
              <w:rPr>
                <w:spacing w:val="1"/>
              </w:rPr>
              <w:t>●控制资源</w:t>
            </w:r>
          </w:p>
        </w:tc>
        <w:tc>
          <w:tcPr>
            <w:tcW w:w="1180" w:type="dxa"/>
            <w:tcBorders>
              <w:right w:val="nil"/>
            </w:tcBorders>
            <w:vAlign w:val="top"/>
          </w:tcPr>
          <w:p w14:paraId="4B38F251">
            <w:pPr>
              <w:rPr>
                <w:rFonts w:ascii="Arial"/>
                <w:sz w:val="21"/>
              </w:rPr>
            </w:pPr>
          </w:p>
        </w:tc>
      </w:tr>
      <w:tr w14:paraId="687ED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780" w:type="dxa"/>
            <w:tcBorders>
              <w:left w:val="nil"/>
            </w:tcBorders>
            <w:vAlign w:val="top"/>
          </w:tcPr>
          <w:p w14:paraId="0D7EEAD9">
            <w:pPr>
              <w:pStyle w:val="6"/>
              <w:spacing w:before="56" w:line="235" w:lineRule="auto"/>
              <w:ind w:left="199" w:right="5" w:hanging="180"/>
            </w:pPr>
            <w:r>
              <w:rPr>
                <w:spacing w:val="-3"/>
              </w:rPr>
              <w:t>项目沟通</w:t>
            </w:r>
            <w:r>
              <w:t xml:space="preserve"> </w:t>
            </w:r>
            <w:r>
              <w:rPr>
                <w:spacing w:val="-3"/>
              </w:rPr>
              <w:t>管理</w:t>
            </w:r>
          </w:p>
        </w:tc>
        <w:tc>
          <w:tcPr>
            <w:tcW w:w="1440" w:type="dxa"/>
            <w:vAlign w:val="top"/>
          </w:tcPr>
          <w:p w14:paraId="042C7145">
            <w:pPr>
              <w:rPr>
                <w:rFonts w:ascii="Arial"/>
                <w:sz w:val="21"/>
              </w:rPr>
            </w:pPr>
          </w:p>
        </w:tc>
        <w:tc>
          <w:tcPr>
            <w:tcW w:w="1610" w:type="dxa"/>
            <w:vAlign w:val="top"/>
          </w:tcPr>
          <w:p w14:paraId="3E78BF33">
            <w:pPr>
              <w:pStyle w:val="6"/>
              <w:spacing w:before="184" w:line="219" w:lineRule="auto"/>
              <w:ind w:left="45"/>
            </w:pPr>
            <w:r>
              <w:t>●规划沟通管理</w:t>
            </w:r>
          </w:p>
        </w:tc>
        <w:tc>
          <w:tcPr>
            <w:tcW w:w="1640" w:type="dxa"/>
            <w:vAlign w:val="top"/>
          </w:tcPr>
          <w:p w14:paraId="61BE7357">
            <w:pPr>
              <w:pStyle w:val="6"/>
              <w:spacing w:before="184" w:line="219" w:lineRule="auto"/>
              <w:ind w:left="65"/>
            </w:pPr>
            <w:r>
              <w:rPr>
                <w:spacing w:val="1"/>
              </w:rPr>
              <w:t>●管理沟通</w:t>
            </w:r>
          </w:p>
        </w:tc>
        <w:tc>
          <w:tcPr>
            <w:tcW w:w="1700" w:type="dxa"/>
            <w:vAlign w:val="top"/>
          </w:tcPr>
          <w:p w14:paraId="5152AACF">
            <w:pPr>
              <w:pStyle w:val="6"/>
              <w:spacing w:before="185" w:line="220" w:lineRule="auto"/>
              <w:ind w:left="25"/>
            </w:pPr>
            <w:r>
              <w:rPr>
                <w:spacing w:val="1"/>
              </w:rPr>
              <w:t>●监督沟通</w:t>
            </w:r>
          </w:p>
        </w:tc>
        <w:tc>
          <w:tcPr>
            <w:tcW w:w="1180" w:type="dxa"/>
            <w:tcBorders>
              <w:right w:val="nil"/>
            </w:tcBorders>
            <w:vAlign w:val="top"/>
          </w:tcPr>
          <w:p w14:paraId="700F96FA">
            <w:pPr>
              <w:rPr>
                <w:rFonts w:ascii="Arial"/>
                <w:sz w:val="21"/>
              </w:rPr>
            </w:pPr>
          </w:p>
        </w:tc>
      </w:tr>
      <w:tr w14:paraId="31651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8" w:hRule="atLeast"/>
        </w:trPr>
        <w:tc>
          <w:tcPr>
            <w:tcW w:w="780" w:type="dxa"/>
            <w:tcBorders>
              <w:left w:val="nil"/>
            </w:tcBorders>
            <w:vAlign w:val="top"/>
          </w:tcPr>
          <w:p w14:paraId="0237DC3D">
            <w:pPr>
              <w:spacing w:line="354" w:lineRule="auto"/>
              <w:rPr>
                <w:rFonts w:ascii="Arial"/>
                <w:sz w:val="21"/>
              </w:rPr>
            </w:pPr>
          </w:p>
          <w:p w14:paraId="1797707E">
            <w:pPr>
              <w:spacing w:line="354" w:lineRule="auto"/>
              <w:rPr>
                <w:rFonts w:ascii="Arial"/>
                <w:sz w:val="21"/>
              </w:rPr>
            </w:pPr>
          </w:p>
          <w:p w14:paraId="062C0AD4">
            <w:pPr>
              <w:pStyle w:val="6"/>
              <w:spacing w:before="62" w:line="231" w:lineRule="auto"/>
              <w:ind w:left="199" w:right="5" w:hanging="180"/>
            </w:pPr>
            <w:r>
              <w:rPr>
                <w:spacing w:val="-3"/>
              </w:rPr>
              <w:t>项目风险</w:t>
            </w:r>
            <w:r>
              <w:t xml:space="preserve"> </w:t>
            </w:r>
            <w:r>
              <w:rPr>
                <w:spacing w:val="-3"/>
              </w:rPr>
              <w:t>管理</w:t>
            </w:r>
          </w:p>
        </w:tc>
        <w:tc>
          <w:tcPr>
            <w:tcW w:w="1440" w:type="dxa"/>
            <w:vAlign w:val="top"/>
          </w:tcPr>
          <w:p w14:paraId="70C32414">
            <w:pPr>
              <w:rPr>
                <w:rFonts w:ascii="Arial"/>
                <w:sz w:val="21"/>
              </w:rPr>
            </w:pPr>
          </w:p>
        </w:tc>
        <w:tc>
          <w:tcPr>
            <w:tcW w:w="1610" w:type="dxa"/>
            <w:vAlign w:val="top"/>
          </w:tcPr>
          <w:p w14:paraId="5B652E2E">
            <w:pPr>
              <w:pStyle w:val="6"/>
              <w:spacing w:before="104" w:line="219" w:lineRule="auto"/>
              <w:ind w:left="45"/>
            </w:pPr>
            <w:r>
              <w:t>●规划风险管理</w:t>
            </w:r>
          </w:p>
          <w:p w14:paraId="2A9A5269">
            <w:pPr>
              <w:pStyle w:val="6"/>
              <w:spacing w:before="45" w:line="220" w:lineRule="auto"/>
              <w:ind w:left="45"/>
            </w:pPr>
            <w:r>
              <w:rPr>
                <w:spacing w:val="1"/>
              </w:rPr>
              <w:t>●识别风险</w:t>
            </w:r>
          </w:p>
          <w:p w14:paraId="35A32F3E">
            <w:pPr>
              <w:pStyle w:val="6"/>
              <w:spacing w:before="54" w:line="231" w:lineRule="auto"/>
              <w:ind w:left="303" w:hanging="269"/>
            </w:pPr>
            <w:r>
              <w:rPr>
                <w:spacing w:val="25"/>
              </w:rPr>
              <w:t>●</w:t>
            </w:r>
            <w:r>
              <w:rPr>
                <w:spacing w:val="-36"/>
              </w:rPr>
              <w:t xml:space="preserve"> </w:t>
            </w:r>
            <w:r>
              <w:rPr>
                <w:spacing w:val="25"/>
              </w:rPr>
              <w:t>实施定性风险</w:t>
            </w:r>
            <w:r>
              <w:t xml:space="preserve"> </w:t>
            </w:r>
            <w:r>
              <w:rPr>
                <w:spacing w:val="-3"/>
              </w:rPr>
              <w:t>分析</w:t>
            </w:r>
          </w:p>
          <w:p w14:paraId="19CABC9F">
            <w:pPr>
              <w:pStyle w:val="6"/>
              <w:spacing w:before="33" w:line="241" w:lineRule="auto"/>
              <w:ind w:left="304" w:right="216" w:hanging="259"/>
            </w:pPr>
            <w:r>
              <w:rPr>
                <w:spacing w:val="1"/>
              </w:rPr>
              <w:t>●实施定量风险</w:t>
            </w:r>
            <w:r>
              <w:t xml:space="preserve"> </w:t>
            </w:r>
            <w:r>
              <w:rPr>
                <w:spacing w:val="-3"/>
              </w:rPr>
              <w:t>分析</w:t>
            </w:r>
          </w:p>
          <w:p w14:paraId="753FAB91">
            <w:pPr>
              <w:pStyle w:val="6"/>
              <w:spacing w:before="54" w:line="220" w:lineRule="auto"/>
              <w:ind w:left="45"/>
            </w:pPr>
            <w:r>
              <w:rPr>
                <w:spacing w:val="1"/>
              </w:rPr>
              <w:t>●规划风险应对</w:t>
            </w:r>
          </w:p>
        </w:tc>
        <w:tc>
          <w:tcPr>
            <w:tcW w:w="1640" w:type="dxa"/>
            <w:vAlign w:val="top"/>
          </w:tcPr>
          <w:p w14:paraId="0F9277F7">
            <w:pPr>
              <w:spacing w:line="276" w:lineRule="auto"/>
              <w:rPr>
                <w:rFonts w:ascii="Arial"/>
                <w:sz w:val="21"/>
              </w:rPr>
            </w:pPr>
          </w:p>
          <w:p w14:paraId="1D39F830">
            <w:pPr>
              <w:spacing w:line="276" w:lineRule="auto"/>
              <w:rPr>
                <w:rFonts w:ascii="Arial"/>
                <w:sz w:val="21"/>
              </w:rPr>
            </w:pPr>
          </w:p>
          <w:p w14:paraId="52A62BA9">
            <w:pPr>
              <w:spacing w:line="276" w:lineRule="auto"/>
              <w:rPr>
                <w:rFonts w:ascii="Arial"/>
                <w:sz w:val="21"/>
              </w:rPr>
            </w:pPr>
          </w:p>
          <w:p w14:paraId="1A7C4B35">
            <w:pPr>
              <w:pStyle w:val="6"/>
              <w:spacing w:before="62" w:line="220" w:lineRule="auto"/>
              <w:ind w:left="65"/>
            </w:pPr>
            <w:r>
              <w:rPr>
                <w:spacing w:val="1"/>
              </w:rPr>
              <w:t>●实施风险应对</w:t>
            </w:r>
          </w:p>
        </w:tc>
        <w:tc>
          <w:tcPr>
            <w:tcW w:w="1700" w:type="dxa"/>
            <w:vAlign w:val="top"/>
          </w:tcPr>
          <w:p w14:paraId="1422A31E">
            <w:pPr>
              <w:spacing w:line="276" w:lineRule="auto"/>
              <w:rPr>
                <w:rFonts w:ascii="Arial"/>
                <w:sz w:val="21"/>
              </w:rPr>
            </w:pPr>
          </w:p>
          <w:p w14:paraId="276DE930">
            <w:pPr>
              <w:spacing w:line="276" w:lineRule="auto"/>
              <w:rPr>
                <w:rFonts w:ascii="Arial"/>
                <w:sz w:val="21"/>
              </w:rPr>
            </w:pPr>
          </w:p>
          <w:p w14:paraId="6A61D709">
            <w:pPr>
              <w:spacing w:line="276" w:lineRule="auto"/>
              <w:rPr>
                <w:rFonts w:ascii="Arial"/>
                <w:sz w:val="21"/>
              </w:rPr>
            </w:pPr>
          </w:p>
          <w:p w14:paraId="499958A3">
            <w:pPr>
              <w:pStyle w:val="6"/>
              <w:spacing w:before="62" w:line="220" w:lineRule="auto"/>
              <w:ind w:left="25"/>
            </w:pPr>
            <w:r>
              <w:rPr>
                <w:spacing w:val="1"/>
              </w:rPr>
              <w:t>●监督风险</w:t>
            </w:r>
          </w:p>
        </w:tc>
        <w:tc>
          <w:tcPr>
            <w:tcW w:w="1180" w:type="dxa"/>
            <w:tcBorders>
              <w:right w:val="nil"/>
            </w:tcBorders>
            <w:vAlign w:val="top"/>
          </w:tcPr>
          <w:p w14:paraId="3289624F">
            <w:pPr>
              <w:rPr>
                <w:rFonts w:ascii="Arial"/>
                <w:sz w:val="21"/>
              </w:rPr>
            </w:pPr>
          </w:p>
        </w:tc>
      </w:tr>
      <w:tr w14:paraId="3B0CE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780" w:type="dxa"/>
            <w:tcBorders>
              <w:left w:val="nil"/>
            </w:tcBorders>
            <w:vAlign w:val="top"/>
          </w:tcPr>
          <w:p w14:paraId="714700D5">
            <w:pPr>
              <w:pStyle w:val="6"/>
              <w:spacing w:before="65" w:line="230" w:lineRule="auto"/>
              <w:ind w:left="195" w:hanging="176"/>
            </w:pPr>
            <w:r>
              <w:rPr>
                <w:spacing w:val="-2"/>
              </w:rPr>
              <w:t>项目采购</w:t>
            </w:r>
            <w:r>
              <w:rPr>
                <w:spacing w:val="2"/>
              </w:rPr>
              <w:t xml:space="preserve"> </w:t>
            </w:r>
            <w:r>
              <w:rPr>
                <w:spacing w:val="-5"/>
              </w:rPr>
              <w:t>管理</w:t>
            </w:r>
          </w:p>
        </w:tc>
        <w:tc>
          <w:tcPr>
            <w:tcW w:w="1440" w:type="dxa"/>
            <w:vAlign w:val="top"/>
          </w:tcPr>
          <w:p w14:paraId="5A168636">
            <w:pPr>
              <w:rPr>
                <w:rFonts w:ascii="Arial"/>
                <w:sz w:val="21"/>
              </w:rPr>
            </w:pPr>
          </w:p>
        </w:tc>
        <w:tc>
          <w:tcPr>
            <w:tcW w:w="1610" w:type="dxa"/>
            <w:vAlign w:val="top"/>
          </w:tcPr>
          <w:p w14:paraId="6B02159F">
            <w:pPr>
              <w:pStyle w:val="6"/>
              <w:spacing w:before="185" w:line="219" w:lineRule="auto"/>
              <w:ind w:left="45"/>
            </w:pPr>
            <w:r>
              <w:t>●规划采购管理</w:t>
            </w:r>
          </w:p>
        </w:tc>
        <w:tc>
          <w:tcPr>
            <w:tcW w:w="1640" w:type="dxa"/>
            <w:vAlign w:val="top"/>
          </w:tcPr>
          <w:p w14:paraId="1C661B61">
            <w:pPr>
              <w:pStyle w:val="6"/>
              <w:spacing w:before="185" w:line="219" w:lineRule="auto"/>
              <w:ind w:left="65"/>
            </w:pPr>
            <w:r>
              <w:rPr>
                <w:spacing w:val="1"/>
              </w:rPr>
              <w:t>●实施采购</w:t>
            </w:r>
          </w:p>
        </w:tc>
        <w:tc>
          <w:tcPr>
            <w:tcW w:w="1700" w:type="dxa"/>
            <w:vAlign w:val="top"/>
          </w:tcPr>
          <w:p w14:paraId="6C3ABEE0">
            <w:pPr>
              <w:pStyle w:val="6"/>
              <w:spacing w:before="185" w:line="219" w:lineRule="auto"/>
              <w:ind w:left="25"/>
            </w:pPr>
            <w:r>
              <w:rPr>
                <w:spacing w:val="1"/>
              </w:rPr>
              <w:t>●控制采购</w:t>
            </w:r>
          </w:p>
        </w:tc>
        <w:tc>
          <w:tcPr>
            <w:tcW w:w="1180" w:type="dxa"/>
            <w:tcBorders>
              <w:right w:val="nil"/>
            </w:tcBorders>
            <w:vAlign w:val="top"/>
          </w:tcPr>
          <w:p w14:paraId="5980A278">
            <w:pPr>
              <w:rPr>
                <w:rFonts w:ascii="Arial"/>
                <w:sz w:val="21"/>
              </w:rPr>
            </w:pPr>
          </w:p>
        </w:tc>
      </w:tr>
      <w:tr w14:paraId="58BB4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780" w:type="dxa"/>
            <w:tcBorders>
              <w:left w:val="nil"/>
            </w:tcBorders>
            <w:vAlign w:val="top"/>
          </w:tcPr>
          <w:p w14:paraId="7126DBC6">
            <w:pPr>
              <w:pStyle w:val="6"/>
              <w:spacing w:before="66" w:line="232" w:lineRule="auto"/>
              <w:ind w:left="96" w:hanging="77"/>
            </w:pPr>
            <w:r>
              <w:rPr>
                <w:spacing w:val="-2"/>
              </w:rPr>
              <w:t>项目干系</w:t>
            </w:r>
            <w:r>
              <w:rPr>
                <w:spacing w:val="2"/>
              </w:rPr>
              <w:t xml:space="preserve"> </w:t>
            </w:r>
            <w:r>
              <w:rPr>
                <w:spacing w:val="-6"/>
              </w:rPr>
              <w:t>人管理</w:t>
            </w:r>
          </w:p>
        </w:tc>
        <w:tc>
          <w:tcPr>
            <w:tcW w:w="1440" w:type="dxa"/>
            <w:vAlign w:val="top"/>
          </w:tcPr>
          <w:p w14:paraId="62E91BCA">
            <w:pPr>
              <w:pStyle w:val="6"/>
              <w:spacing w:before="186" w:line="219" w:lineRule="auto"/>
              <w:ind w:left="45"/>
            </w:pPr>
            <w:r>
              <w:rPr>
                <w:spacing w:val="1"/>
              </w:rPr>
              <w:t>●识别干系人</w:t>
            </w:r>
          </w:p>
        </w:tc>
        <w:tc>
          <w:tcPr>
            <w:tcW w:w="1610" w:type="dxa"/>
            <w:vAlign w:val="top"/>
          </w:tcPr>
          <w:p w14:paraId="6C90F3FE">
            <w:pPr>
              <w:pStyle w:val="6"/>
              <w:spacing w:before="186" w:line="219" w:lineRule="auto"/>
              <w:ind w:left="45"/>
            </w:pPr>
            <w:r>
              <w:rPr>
                <w:spacing w:val="1"/>
              </w:rPr>
              <w:t>●规划干系人参与</w:t>
            </w:r>
          </w:p>
        </w:tc>
        <w:tc>
          <w:tcPr>
            <w:tcW w:w="1640" w:type="dxa"/>
            <w:vAlign w:val="top"/>
          </w:tcPr>
          <w:p w14:paraId="65198B82">
            <w:pPr>
              <w:pStyle w:val="6"/>
              <w:spacing w:before="186" w:line="219" w:lineRule="auto"/>
              <w:ind w:left="65"/>
            </w:pPr>
            <w:r>
              <w:rPr>
                <w:spacing w:val="1"/>
              </w:rPr>
              <w:t>●管理干系人参与</w:t>
            </w:r>
          </w:p>
        </w:tc>
        <w:tc>
          <w:tcPr>
            <w:tcW w:w="1700" w:type="dxa"/>
            <w:vAlign w:val="top"/>
          </w:tcPr>
          <w:p w14:paraId="1165794D">
            <w:pPr>
              <w:pStyle w:val="6"/>
              <w:spacing w:before="186" w:line="219" w:lineRule="auto"/>
              <w:ind w:left="25"/>
            </w:pPr>
            <w:r>
              <w:rPr>
                <w:spacing w:val="1"/>
              </w:rPr>
              <w:t>●监督干系人参与</w:t>
            </w:r>
          </w:p>
        </w:tc>
        <w:tc>
          <w:tcPr>
            <w:tcW w:w="1180" w:type="dxa"/>
            <w:tcBorders>
              <w:right w:val="nil"/>
            </w:tcBorders>
            <w:vAlign w:val="top"/>
          </w:tcPr>
          <w:p w14:paraId="28B2A8AB">
            <w:pPr>
              <w:rPr>
                <w:rFonts w:ascii="Arial"/>
                <w:sz w:val="21"/>
              </w:rPr>
            </w:pPr>
          </w:p>
        </w:tc>
      </w:tr>
    </w:tbl>
    <w:p w14:paraId="329D8AE0">
      <w:pPr>
        <w:rPr>
          <w:rFonts w:ascii="Arial"/>
          <w:sz w:val="21"/>
        </w:rPr>
      </w:pPr>
    </w:p>
    <w:p w14:paraId="636407B9">
      <w:pPr>
        <w:rPr>
          <w:rFonts w:ascii="Arial" w:hAnsi="Arial" w:eastAsia="Arial" w:cs="Arial"/>
          <w:sz w:val="21"/>
          <w:szCs w:val="21"/>
        </w:rPr>
        <w:sectPr>
          <w:pgSz w:w="10280" w:h="13300"/>
          <w:pgMar w:top="339" w:right="587" w:bottom="400" w:left="1110" w:header="0" w:footer="0" w:gutter="0"/>
          <w:cols w:space="720" w:num="1"/>
        </w:sectPr>
      </w:pPr>
    </w:p>
    <w:p w14:paraId="2B3D5E7D">
      <w:pPr>
        <w:pStyle w:val="2"/>
        <w:spacing w:before="107" w:line="219" w:lineRule="auto"/>
        <w:rPr>
          <w:sz w:val="19"/>
          <w:szCs w:val="19"/>
        </w:rPr>
      </w:pPr>
      <w:r>
        <w:rPr>
          <w:rFonts w:ascii="Times New Roman" w:hAnsi="Times New Roman" w:eastAsia="Times New Roman" w:cs="Times New Roman"/>
          <w:spacing w:val="3"/>
          <w:position w:val="1"/>
          <w:sz w:val="19"/>
          <w:szCs w:val="19"/>
        </w:rPr>
        <w:t xml:space="preserve">382              </w:t>
      </w:r>
      <w:r>
        <w:rPr>
          <w:spacing w:val="3"/>
          <w:sz w:val="19"/>
          <w:szCs w:val="19"/>
        </w:rPr>
        <w:t>信息系统监理师教程(第2版)</w:t>
      </w:r>
    </w:p>
    <w:p w14:paraId="3EB6D8BC">
      <w:pPr>
        <w:spacing w:line="279" w:lineRule="auto"/>
        <w:rPr>
          <w:rFonts w:ascii="Arial"/>
          <w:sz w:val="21"/>
        </w:rPr>
      </w:pPr>
    </w:p>
    <w:p w14:paraId="1C270D42">
      <w:pPr>
        <w:pStyle w:val="2"/>
        <w:spacing w:before="91" w:line="222" w:lineRule="auto"/>
        <w:ind w:left="363"/>
        <w:rPr>
          <w:rFonts w:ascii="黑体" w:hAnsi="黑体" w:eastAsia="黑体" w:cs="黑体"/>
          <w:sz w:val="28"/>
          <w:szCs w:val="28"/>
        </w:rPr>
      </w:pPr>
      <w:bookmarkStart w:id="685" w:name="bookmark670"/>
      <w:bookmarkEnd w:id="685"/>
      <w:r>
        <w:rPr>
          <w:b/>
          <w:bCs/>
          <w:color w:val="0062D3"/>
          <w:spacing w:val="-7"/>
          <w:sz w:val="28"/>
          <w:szCs w:val="28"/>
        </w:rPr>
        <w:t>16.4</w:t>
      </w:r>
      <w:r>
        <w:rPr>
          <w:color w:val="0062D3"/>
          <w:spacing w:val="-7"/>
          <w:sz w:val="28"/>
          <w:szCs w:val="28"/>
        </w:rPr>
        <w:t xml:space="preserve">  </w:t>
      </w:r>
      <w:r>
        <w:rPr>
          <w:rFonts w:ascii="黑体" w:hAnsi="黑体" w:eastAsia="黑体" w:cs="黑体"/>
          <w:b/>
          <w:bCs/>
          <w:color w:val="0062D3"/>
          <w:spacing w:val="-7"/>
          <w:sz w:val="28"/>
          <w:szCs w:val="28"/>
        </w:rPr>
        <w:t>项目管理与监理工作的关系</w:t>
      </w:r>
    </w:p>
    <w:p w14:paraId="1D66032B">
      <w:pPr>
        <w:pStyle w:val="2"/>
        <w:spacing w:before="274" w:line="326" w:lineRule="auto"/>
        <w:ind w:left="359" w:firstLine="379"/>
        <w:rPr>
          <w:sz w:val="19"/>
          <w:szCs w:val="19"/>
        </w:rPr>
      </w:pPr>
      <w:r>
        <w:rPr>
          <w:spacing w:val="13"/>
          <w:sz w:val="19"/>
          <w:szCs w:val="19"/>
        </w:rPr>
        <w:t>信息系统工程建设项目的实施涉及业主单位、承建单位、监理单位，三方都需要采用项目</w:t>
      </w:r>
      <w:r>
        <w:rPr>
          <w:spacing w:val="18"/>
          <w:sz w:val="19"/>
          <w:szCs w:val="19"/>
        </w:rPr>
        <w:t xml:space="preserve"> </w:t>
      </w:r>
      <w:r>
        <w:rPr>
          <w:spacing w:val="11"/>
          <w:sz w:val="19"/>
          <w:szCs w:val="19"/>
        </w:rPr>
        <w:t>管理的方法(简称“三方一法”)以完成其在项目实施中所肩负的责任。</w:t>
      </w:r>
    </w:p>
    <w:p w14:paraId="091B3B2F">
      <w:pPr>
        <w:pStyle w:val="2"/>
        <w:spacing w:line="219" w:lineRule="auto"/>
        <w:ind w:left="739"/>
        <w:rPr>
          <w:sz w:val="19"/>
          <w:szCs w:val="19"/>
        </w:rPr>
      </w:pPr>
      <w:r>
        <w:rPr>
          <w:spacing w:val="9"/>
          <w:sz w:val="19"/>
          <w:szCs w:val="19"/>
        </w:rPr>
        <w:t>图16-11是描述这“三方一法”关系的框架。</w:t>
      </w:r>
    </w:p>
    <w:p w14:paraId="41D2FB3B">
      <w:pPr>
        <w:pStyle w:val="2"/>
        <w:spacing w:before="245" w:line="220" w:lineRule="auto"/>
        <w:ind w:left="4169"/>
        <w:rPr>
          <w:sz w:val="19"/>
          <w:szCs w:val="19"/>
        </w:rPr>
      </w:pPr>
      <w:r>
        <w:drawing>
          <wp:anchor distT="0" distB="0" distL="0" distR="0" simplePos="0" relativeHeight="251786240" behindDoc="1" locked="0" layoutInCell="1" allowOverlap="1">
            <wp:simplePos x="0" y="0"/>
            <wp:positionH relativeFrom="column">
              <wp:posOffset>1847215</wp:posOffset>
            </wp:positionH>
            <wp:positionV relativeFrom="paragraph">
              <wp:posOffset>80010</wp:posOffset>
            </wp:positionV>
            <wp:extent cx="2006600" cy="1231900"/>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253"/>
                    <a:stretch>
                      <a:fillRect/>
                    </a:stretch>
                  </pic:blipFill>
                  <pic:spPr>
                    <a:xfrm>
                      <a:off x="0" y="0"/>
                      <a:ext cx="2006625" cy="1231831"/>
                    </a:xfrm>
                    <a:prstGeom prst="rect">
                      <a:avLst/>
                    </a:prstGeom>
                  </pic:spPr>
                </pic:pic>
              </a:graphicData>
            </a:graphic>
          </wp:anchor>
        </w:drawing>
      </w:r>
      <w:r>
        <w:rPr>
          <w:spacing w:val="-14"/>
          <w:sz w:val="19"/>
          <w:szCs w:val="19"/>
        </w:rPr>
        <w:t>业主单位</w:t>
      </w:r>
    </w:p>
    <w:p w14:paraId="0BC4E941">
      <w:pPr>
        <w:spacing w:line="419" w:lineRule="auto"/>
        <w:rPr>
          <w:rFonts w:ascii="Arial"/>
          <w:sz w:val="21"/>
        </w:rPr>
      </w:pPr>
    </w:p>
    <w:p w14:paraId="3A08833D">
      <w:pPr>
        <w:pStyle w:val="2"/>
        <w:spacing w:before="62" w:line="220" w:lineRule="auto"/>
        <w:ind w:left="3369"/>
        <w:rPr>
          <w:sz w:val="19"/>
          <w:szCs w:val="19"/>
        </w:rPr>
      </w:pPr>
      <w:r>
        <w:pict>
          <v:shape id="_x0000_s1556" o:spid="_x0000_s1556" o:spt="202" type="#_x0000_t202" style="position:absolute;left:0pt;margin-left:240.95pt;margin-top:2.05pt;height:13.3pt;width:35.85pt;z-index:251787264;mso-width-relative:page;mso-height-relative:page;" filled="f" stroked="f" coordsize="21600,21600">
            <v:path/>
            <v:fill on="f" focussize="0,0"/>
            <v:stroke on="f"/>
            <v:imagedata o:title=""/>
            <o:lock v:ext="edit" aspectratio="f"/>
            <v:textbox inset="0mm,0mm,0mm,0mm">
              <w:txbxContent>
                <w:p w14:paraId="4E9EB16C">
                  <w:pPr>
                    <w:pStyle w:val="2"/>
                    <w:spacing w:before="20" w:line="219" w:lineRule="auto"/>
                    <w:jc w:val="right"/>
                    <w:rPr>
                      <w:sz w:val="19"/>
                      <w:szCs w:val="19"/>
                    </w:rPr>
                  </w:pPr>
                  <w:r>
                    <w:rPr>
                      <w:spacing w:val="-16"/>
                      <w:w w:val="96"/>
                      <w:sz w:val="19"/>
                      <w:szCs w:val="19"/>
                    </w:rPr>
                    <w:t>承建单</w:t>
                  </w:r>
                  <w:r>
                    <w:rPr>
                      <w:spacing w:val="-8"/>
                      <w:w w:val="96"/>
                      <w:sz w:val="19"/>
                      <w:szCs w:val="19"/>
                    </w:rPr>
                    <w:t>位</w:t>
                  </w:r>
                </w:p>
              </w:txbxContent>
            </v:textbox>
          </v:shape>
        </w:pict>
      </w:r>
      <w:r>
        <w:rPr>
          <w:spacing w:val="-15"/>
          <w:w w:val="99"/>
          <w:sz w:val="19"/>
          <w:szCs w:val="19"/>
        </w:rPr>
        <w:t>监理单位</w:t>
      </w:r>
    </w:p>
    <w:p w14:paraId="3584D479">
      <w:pPr>
        <w:spacing w:line="428" w:lineRule="auto"/>
        <w:rPr>
          <w:rFonts w:ascii="Arial"/>
          <w:sz w:val="21"/>
        </w:rPr>
      </w:pPr>
    </w:p>
    <w:p w14:paraId="3AA60298">
      <w:pPr>
        <w:pStyle w:val="2"/>
        <w:spacing w:before="62" w:line="219" w:lineRule="auto"/>
        <w:ind w:left="4000"/>
        <w:rPr>
          <w:sz w:val="19"/>
          <w:szCs w:val="19"/>
        </w:rPr>
      </w:pPr>
      <w:r>
        <w:rPr>
          <w:spacing w:val="-18"/>
          <w:sz w:val="19"/>
          <w:szCs w:val="19"/>
        </w:rPr>
        <w:t>项目管理方法</w:t>
      </w:r>
    </w:p>
    <w:p w14:paraId="7E951A8D">
      <w:pPr>
        <w:pStyle w:val="2"/>
        <w:spacing w:before="265" w:line="220" w:lineRule="auto"/>
        <w:ind w:left="3489"/>
        <w:rPr>
          <w:sz w:val="19"/>
          <w:szCs w:val="19"/>
        </w:rPr>
      </w:pPr>
      <w:r>
        <w:rPr>
          <w:spacing w:val="-6"/>
          <w:sz w:val="19"/>
          <w:szCs w:val="19"/>
        </w:rPr>
        <w:t>图16-11</w:t>
      </w:r>
      <w:r>
        <w:rPr>
          <w:spacing w:val="59"/>
          <w:sz w:val="19"/>
          <w:szCs w:val="19"/>
        </w:rPr>
        <w:t xml:space="preserve"> </w:t>
      </w:r>
      <w:r>
        <w:rPr>
          <w:spacing w:val="-6"/>
          <w:sz w:val="19"/>
          <w:szCs w:val="19"/>
        </w:rPr>
        <w:t>三方一法关系图</w:t>
      </w:r>
    </w:p>
    <w:p w14:paraId="00193742">
      <w:pPr>
        <w:pStyle w:val="2"/>
        <w:spacing w:before="302" w:line="222" w:lineRule="auto"/>
        <w:ind w:left="739"/>
        <w:rPr>
          <w:rFonts w:ascii="黑体" w:hAnsi="黑体" w:eastAsia="黑体" w:cs="黑体"/>
          <w:sz w:val="19"/>
          <w:szCs w:val="19"/>
        </w:rPr>
      </w:pPr>
      <w:r>
        <w:rPr>
          <w:color w:val="0D8FE7"/>
          <w:spacing w:val="8"/>
          <w:sz w:val="19"/>
          <w:szCs w:val="19"/>
        </w:rPr>
        <w:t>1.</w:t>
      </w:r>
      <w:r>
        <w:rPr>
          <w:rFonts w:ascii="黑体" w:hAnsi="黑体" w:eastAsia="黑体" w:cs="黑体"/>
          <w:color w:val="0D8FE7"/>
          <w:spacing w:val="8"/>
          <w:sz w:val="19"/>
          <w:szCs w:val="19"/>
        </w:rPr>
        <w:t>业主单位与项目管理</w:t>
      </w:r>
    </w:p>
    <w:p w14:paraId="22749FA4">
      <w:pPr>
        <w:pStyle w:val="2"/>
        <w:spacing w:before="153" w:line="219" w:lineRule="auto"/>
        <w:ind w:left="739"/>
        <w:rPr>
          <w:sz w:val="19"/>
          <w:szCs w:val="19"/>
        </w:rPr>
      </w:pPr>
      <w:r>
        <w:rPr>
          <w:spacing w:val="5"/>
          <w:sz w:val="19"/>
          <w:szCs w:val="19"/>
        </w:rPr>
        <w:t>业主单位与项目管理的关系为：</w:t>
      </w:r>
    </w:p>
    <w:p w14:paraId="1519C2E6">
      <w:pPr>
        <w:pStyle w:val="2"/>
        <w:spacing w:before="85" w:line="219" w:lineRule="auto"/>
        <w:ind w:left="739"/>
        <w:rPr>
          <w:sz w:val="19"/>
          <w:szCs w:val="19"/>
        </w:rPr>
      </w:pPr>
      <w:r>
        <w:rPr>
          <w:spacing w:val="11"/>
          <w:sz w:val="19"/>
          <w:szCs w:val="19"/>
        </w:rPr>
        <w:t>(1)业主单位重点参与实施项目的立项管</w:t>
      </w:r>
      <w:r>
        <w:rPr>
          <w:spacing w:val="10"/>
          <w:sz w:val="19"/>
          <w:szCs w:val="19"/>
        </w:rPr>
        <w:t>理与验收管理工作；</w:t>
      </w:r>
    </w:p>
    <w:p w14:paraId="7BCEBFD1">
      <w:pPr>
        <w:pStyle w:val="2"/>
        <w:spacing w:before="94" w:line="219" w:lineRule="auto"/>
        <w:ind w:left="739"/>
        <w:rPr>
          <w:sz w:val="19"/>
          <w:szCs w:val="19"/>
        </w:rPr>
      </w:pPr>
      <w:r>
        <w:rPr>
          <w:spacing w:val="11"/>
          <w:sz w:val="19"/>
          <w:szCs w:val="19"/>
        </w:rPr>
        <w:t>(2)业主单位应密切关注整个项目管理过</w:t>
      </w:r>
      <w:r>
        <w:rPr>
          <w:spacing w:val="10"/>
          <w:sz w:val="19"/>
          <w:szCs w:val="19"/>
        </w:rPr>
        <w:t>程，并给出相关反馈意见。</w:t>
      </w:r>
    </w:p>
    <w:p w14:paraId="689F358F">
      <w:pPr>
        <w:pStyle w:val="2"/>
        <w:spacing w:before="181" w:line="222" w:lineRule="auto"/>
        <w:ind w:left="742"/>
        <w:rPr>
          <w:rFonts w:ascii="黑体" w:hAnsi="黑体" w:eastAsia="黑体" w:cs="黑体"/>
          <w:sz w:val="19"/>
          <w:szCs w:val="19"/>
        </w:rPr>
      </w:pPr>
      <w:r>
        <w:rPr>
          <w:b/>
          <w:bCs/>
          <w:color w:val="0067B7"/>
          <w:spacing w:val="6"/>
          <w:sz w:val="19"/>
          <w:szCs w:val="19"/>
        </w:rPr>
        <w:t>2.</w:t>
      </w:r>
      <w:r>
        <w:rPr>
          <w:rFonts w:ascii="黑体" w:hAnsi="黑体" w:eastAsia="黑体" w:cs="黑体"/>
          <w:b/>
          <w:bCs/>
          <w:color w:val="0067B7"/>
          <w:spacing w:val="6"/>
          <w:sz w:val="19"/>
          <w:szCs w:val="19"/>
        </w:rPr>
        <w:t>承建单位与项目管理</w:t>
      </w:r>
    </w:p>
    <w:p w14:paraId="1867B754">
      <w:pPr>
        <w:pStyle w:val="2"/>
        <w:spacing w:before="146" w:line="308" w:lineRule="auto"/>
        <w:ind w:left="359" w:right="27" w:firstLine="379"/>
        <w:rPr>
          <w:sz w:val="19"/>
          <w:szCs w:val="19"/>
        </w:rPr>
      </w:pPr>
      <w:r>
        <w:rPr>
          <w:spacing w:val="13"/>
          <w:sz w:val="19"/>
          <w:szCs w:val="19"/>
        </w:rPr>
        <w:t>除立项阶段的立项准备、立项申请、立项审批之外，项目管理过程</w:t>
      </w:r>
      <w:r>
        <w:rPr>
          <w:spacing w:val="12"/>
          <w:sz w:val="19"/>
          <w:szCs w:val="19"/>
        </w:rPr>
        <w:t>的其他要素都是承建单</w:t>
      </w:r>
      <w:r>
        <w:rPr>
          <w:sz w:val="19"/>
          <w:szCs w:val="19"/>
        </w:rPr>
        <w:t xml:space="preserve"> </w:t>
      </w:r>
      <w:r>
        <w:rPr>
          <w:spacing w:val="5"/>
          <w:sz w:val="19"/>
          <w:szCs w:val="19"/>
        </w:rPr>
        <w:t>位要重点实施的。</w:t>
      </w:r>
    </w:p>
    <w:p w14:paraId="0CC63093">
      <w:pPr>
        <w:pStyle w:val="2"/>
        <w:spacing w:before="91" w:line="222" w:lineRule="auto"/>
        <w:ind w:left="742"/>
        <w:rPr>
          <w:rFonts w:ascii="黑体" w:hAnsi="黑体" w:eastAsia="黑体" w:cs="黑体"/>
          <w:sz w:val="19"/>
          <w:szCs w:val="19"/>
        </w:rPr>
      </w:pPr>
      <w:r>
        <w:rPr>
          <w:b/>
          <w:bCs/>
          <w:color w:val="025DA3"/>
          <w:spacing w:val="6"/>
          <w:sz w:val="19"/>
          <w:szCs w:val="19"/>
        </w:rPr>
        <w:t>3.</w:t>
      </w:r>
      <w:r>
        <w:rPr>
          <w:rFonts w:ascii="黑体" w:hAnsi="黑体" w:eastAsia="黑体" w:cs="黑体"/>
          <w:b/>
          <w:bCs/>
          <w:color w:val="025DA3"/>
          <w:spacing w:val="6"/>
          <w:sz w:val="19"/>
          <w:szCs w:val="19"/>
        </w:rPr>
        <w:t>监理单位与项目管理</w:t>
      </w:r>
    </w:p>
    <w:p w14:paraId="53C7A63B">
      <w:pPr>
        <w:pStyle w:val="2"/>
        <w:spacing w:before="156" w:line="219" w:lineRule="auto"/>
        <w:ind w:left="739"/>
        <w:rPr>
          <w:sz w:val="19"/>
          <w:szCs w:val="19"/>
        </w:rPr>
      </w:pPr>
      <w:r>
        <w:rPr>
          <w:spacing w:val="8"/>
          <w:sz w:val="19"/>
          <w:szCs w:val="19"/>
        </w:rPr>
        <w:t>监理单位在信息系统工程建设项目中重点涉及的项目管</w:t>
      </w:r>
      <w:r>
        <w:rPr>
          <w:spacing w:val="7"/>
          <w:sz w:val="19"/>
          <w:szCs w:val="19"/>
        </w:rPr>
        <w:t>理工作包括：</w:t>
      </w:r>
    </w:p>
    <w:p w14:paraId="2B030FFE">
      <w:pPr>
        <w:pStyle w:val="2"/>
        <w:spacing w:before="83" w:line="219" w:lineRule="auto"/>
        <w:ind w:left="739"/>
        <w:rPr>
          <w:sz w:val="19"/>
          <w:szCs w:val="19"/>
        </w:rPr>
      </w:pPr>
      <w:r>
        <w:rPr>
          <w:spacing w:val="9"/>
          <w:sz w:val="19"/>
          <w:szCs w:val="19"/>
        </w:rPr>
        <w:t>(1)进度控制、成本控制、质量控制(“三控”);</w:t>
      </w:r>
    </w:p>
    <w:p w14:paraId="25EDDAC1">
      <w:pPr>
        <w:pStyle w:val="2"/>
        <w:spacing w:before="86" w:line="219" w:lineRule="auto"/>
        <w:ind w:left="739"/>
        <w:rPr>
          <w:sz w:val="19"/>
          <w:szCs w:val="19"/>
        </w:rPr>
      </w:pPr>
      <w:r>
        <w:rPr>
          <w:spacing w:val="8"/>
          <w:sz w:val="19"/>
          <w:szCs w:val="19"/>
        </w:rPr>
        <w:t>(2)合同管理、文档管理(“两管”);</w:t>
      </w:r>
    </w:p>
    <w:p w14:paraId="245CFC84">
      <w:pPr>
        <w:pStyle w:val="2"/>
        <w:spacing w:before="85" w:line="220" w:lineRule="auto"/>
        <w:ind w:left="739"/>
        <w:rPr>
          <w:sz w:val="19"/>
          <w:szCs w:val="19"/>
        </w:rPr>
      </w:pPr>
      <w:r>
        <w:rPr>
          <w:spacing w:val="10"/>
          <w:sz w:val="19"/>
          <w:szCs w:val="19"/>
        </w:rPr>
        <w:t>(3)沟通与协调(“一协调”);</w:t>
      </w:r>
    </w:p>
    <w:p w14:paraId="0297DBD8">
      <w:pPr>
        <w:pStyle w:val="2"/>
        <w:spacing w:before="92" w:line="218" w:lineRule="auto"/>
        <w:ind w:left="739"/>
        <w:rPr>
          <w:sz w:val="19"/>
          <w:szCs w:val="19"/>
        </w:rPr>
      </w:pPr>
      <w:r>
        <w:rPr>
          <w:spacing w:val="8"/>
          <w:sz w:val="19"/>
          <w:szCs w:val="19"/>
        </w:rPr>
        <w:t>(4)评估与验收(可融入“三控、两管、</w:t>
      </w:r>
      <w:r>
        <w:rPr>
          <w:spacing w:val="56"/>
          <w:sz w:val="19"/>
          <w:szCs w:val="19"/>
        </w:rPr>
        <w:t xml:space="preserve"> </w:t>
      </w:r>
      <w:r>
        <w:rPr>
          <w:spacing w:val="8"/>
          <w:sz w:val="19"/>
          <w:szCs w:val="19"/>
        </w:rPr>
        <w:t>一协调”中)。</w:t>
      </w:r>
    </w:p>
    <w:p w14:paraId="79543669">
      <w:pPr>
        <w:pStyle w:val="2"/>
        <w:spacing w:before="67" w:line="306" w:lineRule="auto"/>
        <w:ind w:left="359" w:right="25" w:firstLine="379"/>
        <w:rPr>
          <w:sz w:val="19"/>
          <w:szCs w:val="19"/>
        </w:rPr>
      </w:pPr>
      <w:r>
        <w:rPr>
          <w:spacing w:val="3"/>
          <w:sz w:val="19"/>
          <w:szCs w:val="19"/>
        </w:rPr>
        <w:t>监理单位还直接或间接涉及“项目组织与人员管理”“计划与执行管理”“执行与知</w:t>
      </w:r>
      <w:r>
        <w:rPr>
          <w:spacing w:val="2"/>
          <w:sz w:val="19"/>
          <w:szCs w:val="19"/>
        </w:rPr>
        <w:t>识产权管</w:t>
      </w:r>
      <w:r>
        <w:rPr>
          <w:sz w:val="19"/>
          <w:szCs w:val="19"/>
        </w:rPr>
        <w:t xml:space="preserve"> </w:t>
      </w:r>
      <w:r>
        <w:rPr>
          <w:spacing w:val="2"/>
          <w:sz w:val="19"/>
          <w:szCs w:val="19"/>
        </w:rPr>
        <w:t>理”等工作。</w:t>
      </w:r>
    </w:p>
    <w:p w14:paraId="6D79D15C">
      <w:pPr>
        <w:pStyle w:val="2"/>
        <w:spacing w:line="287" w:lineRule="auto"/>
        <w:ind w:left="359" w:right="28" w:firstLine="379"/>
        <w:rPr>
          <w:sz w:val="19"/>
          <w:szCs w:val="19"/>
        </w:rPr>
      </w:pPr>
      <w:r>
        <w:rPr>
          <w:spacing w:val="13"/>
          <w:sz w:val="19"/>
          <w:szCs w:val="19"/>
        </w:rPr>
        <w:t>如果业主单位与监理单位更早地合作，监理单位也可能与立项管</w:t>
      </w:r>
      <w:r>
        <w:rPr>
          <w:spacing w:val="12"/>
          <w:sz w:val="19"/>
          <w:szCs w:val="19"/>
        </w:rPr>
        <w:t>理有关。这时监理单位可</w:t>
      </w:r>
      <w:r>
        <w:rPr>
          <w:sz w:val="19"/>
          <w:szCs w:val="19"/>
        </w:rPr>
        <w:t xml:space="preserve"> </w:t>
      </w:r>
      <w:r>
        <w:rPr>
          <w:spacing w:val="9"/>
          <w:sz w:val="19"/>
          <w:szCs w:val="19"/>
        </w:rPr>
        <w:t>能是以咨询单位的身份介入信息系统工程建</w:t>
      </w:r>
      <w:r>
        <w:rPr>
          <w:spacing w:val="8"/>
          <w:sz w:val="19"/>
          <w:szCs w:val="19"/>
        </w:rPr>
        <w:t>设项目的招投标等立项活动的。</w:t>
      </w:r>
    </w:p>
    <w:p w14:paraId="25559384">
      <w:pPr>
        <w:spacing w:line="287" w:lineRule="auto"/>
        <w:rPr>
          <w:sz w:val="19"/>
          <w:szCs w:val="19"/>
        </w:rPr>
        <w:sectPr>
          <w:pgSz w:w="10300" w:h="13410"/>
          <w:pgMar w:top="400" w:right="1083" w:bottom="400" w:left="540" w:header="0" w:footer="0" w:gutter="0"/>
          <w:cols w:space="720" w:num="1"/>
        </w:sectPr>
      </w:pPr>
    </w:p>
    <w:p w14:paraId="3347BC74">
      <w:pPr>
        <w:spacing w:line="252" w:lineRule="auto"/>
        <w:rPr>
          <w:rFonts w:ascii="Arial"/>
          <w:sz w:val="21"/>
        </w:rPr>
      </w:pPr>
    </w:p>
    <w:p w14:paraId="074846F3">
      <w:pPr>
        <w:spacing w:line="252" w:lineRule="auto"/>
        <w:rPr>
          <w:rFonts w:ascii="Arial"/>
          <w:sz w:val="21"/>
        </w:rPr>
      </w:pPr>
    </w:p>
    <w:p w14:paraId="5F31BC6A">
      <w:pPr>
        <w:spacing w:line="252" w:lineRule="auto"/>
        <w:rPr>
          <w:rFonts w:ascii="Arial"/>
          <w:sz w:val="21"/>
        </w:rPr>
      </w:pPr>
    </w:p>
    <w:p w14:paraId="57A97233">
      <w:pPr>
        <w:spacing w:before="130" w:line="230" w:lineRule="auto"/>
        <w:ind w:left="2485"/>
        <w:rPr>
          <w:sz w:val="40"/>
          <w:szCs w:val="40"/>
        </w:rPr>
      </w:pPr>
      <w:bookmarkStart w:id="686" w:name="bookmark671"/>
      <w:bookmarkEnd w:id="686"/>
      <w:r>
        <w:rPr>
          <w:rFonts w:ascii="黑体" w:hAnsi="黑体" w:eastAsia="黑体" w:cs="黑体"/>
          <w:b/>
          <w:bCs/>
          <w:color w:val="005AF8"/>
          <w:spacing w:val="17"/>
          <w:sz w:val="40"/>
          <w:szCs w:val="40"/>
        </w:rPr>
        <w:t>第17章</w:t>
      </w:r>
      <w:r>
        <w:rPr>
          <w:rFonts w:ascii="黑体" w:hAnsi="黑体" w:eastAsia="黑体" w:cs="黑体"/>
          <w:color w:val="005AF8"/>
          <w:spacing w:val="195"/>
          <w:sz w:val="40"/>
          <w:szCs w:val="40"/>
        </w:rPr>
        <w:t xml:space="preserve"> </w:t>
      </w:r>
      <w:r>
        <w:rPr>
          <w:rFonts w:ascii="黑体" w:hAnsi="黑体" w:eastAsia="黑体" w:cs="黑体"/>
          <w:b/>
          <w:bCs/>
          <w:color w:val="005AF8"/>
          <w:spacing w:val="17"/>
          <w:sz w:val="40"/>
          <w:szCs w:val="40"/>
        </w:rPr>
        <w:t>变更控制</w:t>
      </w:r>
      <w:r>
        <w:rPr>
          <w:rFonts w:ascii="黑体" w:hAnsi="黑体" w:eastAsia="黑体" w:cs="黑体"/>
          <w:color w:val="005AF8"/>
          <w:spacing w:val="8"/>
          <w:sz w:val="40"/>
          <w:szCs w:val="40"/>
        </w:rPr>
        <w:t xml:space="preserve">       </w:t>
      </w:r>
      <w:r>
        <w:rPr>
          <w:position w:val="-4"/>
          <w:sz w:val="40"/>
          <w:szCs w:val="40"/>
        </w:rPr>
        <w:drawing>
          <wp:inline distT="0" distB="0" distL="0" distR="0">
            <wp:extent cx="634365" cy="260350"/>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254"/>
                    <a:stretch>
                      <a:fillRect/>
                    </a:stretch>
                  </pic:blipFill>
                  <pic:spPr>
                    <a:xfrm>
                      <a:off x="0" y="0"/>
                      <a:ext cx="634988" cy="260374"/>
                    </a:xfrm>
                    <a:prstGeom prst="rect">
                      <a:avLst/>
                    </a:prstGeom>
                  </pic:spPr>
                </pic:pic>
              </a:graphicData>
            </a:graphic>
          </wp:inline>
        </w:drawing>
      </w:r>
    </w:p>
    <w:p w14:paraId="3978E605">
      <w:pPr>
        <w:spacing w:line="242" w:lineRule="auto"/>
        <w:rPr>
          <w:rFonts w:ascii="Arial"/>
          <w:sz w:val="21"/>
        </w:rPr>
      </w:pPr>
    </w:p>
    <w:p w14:paraId="698B3311">
      <w:pPr>
        <w:spacing w:line="242" w:lineRule="auto"/>
        <w:rPr>
          <w:rFonts w:ascii="Arial"/>
          <w:sz w:val="21"/>
        </w:rPr>
      </w:pPr>
    </w:p>
    <w:p w14:paraId="73DCA69B">
      <w:pPr>
        <w:spacing w:line="243" w:lineRule="auto"/>
        <w:rPr>
          <w:rFonts w:ascii="Arial"/>
          <w:sz w:val="21"/>
        </w:rPr>
      </w:pPr>
    </w:p>
    <w:p w14:paraId="7755C233">
      <w:pPr>
        <w:pStyle w:val="2"/>
        <w:spacing w:before="65" w:line="281" w:lineRule="auto"/>
        <w:ind w:right="90" w:firstLine="410"/>
        <w:jc w:val="both"/>
        <w:rPr>
          <w:sz w:val="20"/>
          <w:szCs w:val="20"/>
        </w:rPr>
      </w:pPr>
      <w:r>
        <w:rPr>
          <w:spacing w:val="3"/>
          <w:sz w:val="20"/>
          <w:szCs w:val="20"/>
        </w:rPr>
        <w:t>在信息系统工程建设项目中，变更可能贯穿项目的整个生命周期，能够发生在项目的任何</w:t>
      </w:r>
      <w:r>
        <w:rPr>
          <w:spacing w:val="9"/>
          <w:sz w:val="20"/>
          <w:szCs w:val="20"/>
        </w:rPr>
        <w:t xml:space="preserve"> </w:t>
      </w:r>
      <w:r>
        <w:rPr>
          <w:spacing w:val="3"/>
          <w:sz w:val="20"/>
          <w:szCs w:val="20"/>
        </w:rPr>
        <w:t>阶段。不受控制的变更将带来巨大风险，甚至导致项目失败，因此变更控制也应在整个项目生</w:t>
      </w:r>
      <w:r>
        <w:rPr>
          <w:spacing w:val="15"/>
          <w:sz w:val="20"/>
          <w:szCs w:val="20"/>
        </w:rPr>
        <w:t xml:space="preserve"> </w:t>
      </w:r>
      <w:r>
        <w:rPr>
          <w:spacing w:val="3"/>
          <w:sz w:val="20"/>
          <w:szCs w:val="20"/>
        </w:rPr>
        <w:t>命周期中持续开展。变更控制是确保项目顺利进行并按照预定目标实现的重要环节。监理工程</w:t>
      </w:r>
      <w:r>
        <w:rPr>
          <w:spacing w:val="12"/>
          <w:sz w:val="20"/>
          <w:szCs w:val="20"/>
        </w:rPr>
        <w:t xml:space="preserve"> </w:t>
      </w:r>
      <w:r>
        <w:rPr>
          <w:spacing w:val="3"/>
          <w:sz w:val="20"/>
          <w:szCs w:val="20"/>
        </w:rPr>
        <w:t>师需要对变更控制过程进行严格把关，在信息系统工程建设项目中实施高效的变更控制，确保</w:t>
      </w:r>
      <w:r>
        <w:rPr>
          <w:spacing w:val="13"/>
          <w:sz w:val="20"/>
          <w:szCs w:val="20"/>
        </w:rPr>
        <w:t xml:space="preserve"> </w:t>
      </w:r>
      <w:r>
        <w:rPr>
          <w:spacing w:val="-3"/>
          <w:sz w:val="20"/>
          <w:szCs w:val="20"/>
        </w:rPr>
        <w:t>项目质量、进度和成本得到有效管理。</w:t>
      </w:r>
    </w:p>
    <w:p w14:paraId="51C57112">
      <w:pPr>
        <w:pStyle w:val="2"/>
        <w:spacing w:before="31" w:line="282" w:lineRule="auto"/>
        <w:ind w:firstLine="410"/>
        <w:jc w:val="both"/>
        <w:rPr>
          <w:sz w:val="20"/>
          <w:szCs w:val="20"/>
        </w:rPr>
      </w:pPr>
      <w:r>
        <w:rPr>
          <w:spacing w:val="3"/>
          <w:sz w:val="20"/>
          <w:szCs w:val="20"/>
        </w:rPr>
        <w:t>在变更控制过程中，监理工程师需要了解项目需求与目标，以便在变更控制过程中能够做</w:t>
      </w:r>
      <w:r>
        <w:rPr>
          <w:spacing w:val="6"/>
          <w:sz w:val="20"/>
          <w:szCs w:val="20"/>
        </w:rPr>
        <w:t xml:space="preserve">  </w:t>
      </w:r>
      <w:r>
        <w:rPr>
          <w:spacing w:val="3"/>
          <w:sz w:val="20"/>
          <w:szCs w:val="20"/>
        </w:rPr>
        <w:t>出正确的决策。变更请求需要经过严格的评估，包括对其影响范围、可行性、风险和紧急程度</w:t>
      </w:r>
      <w:r>
        <w:rPr>
          <w:spacing w:val="9"/>
          <w:sz w:val="20"/>
          <w:szCs w:val="20"/>
        </w:rPr>
        <w:t xml:space="preserve">  </w:t>
      </w:r>
      <w:r>
        <w:rPr>
          <w:spacing w:val="4"/>
          <w:sz w:val="20"/>
          <w:szCs w:val="20"/>
        </w:rPr>
        <w:t>的评估。在收到变更请求后，监理工程师应组织项</w:t>
      </w:r>
      <w:r>
        <w:rPr>
          <w:spacing w:val="3"/>
          <w:sz w:val="20"/>
          <w:szCs w:val="20"/>
        </w:rPr>
        <w:t>目各方进行详细的沟通与协调，确保所有相</w:t>
      </w:r>
      <w:r>
        <w:rPr>
          <w:sz w:val="20"/>
          <w:szCs w:val="20"/>
        </w:rPr>
        <w:t xml:space="preserve">  </w:t>
      </w:r>
      <w:r>
        <w:rPr>
          <w:spacing w:val="1"/>
          <w:sz w:val="20"/>
          <w:szCs w:val="20"/>
        </w:rPr>
        <w:t>关方都明确了解变更的背景、原因和目标。在变更实施阶段，监</w:t>
      </w:r>
      <w:r>
        <w:rPr>
          <w:sz w:val="20"/>
          <w:szCs w:val="20"/>
        </w:rPr>
        <w:t xml:space="preserve">理工程师要密切关注项目质量、 </w:t>
      </w:r>
      <w:r>
        <w:rPr>
          <w:spacing w:val="4"/>
          <w:sz w:val="20"/>
          <w:szCs w:val="20"/>
        </w:rPr>
        <w:t>进度和成本的实时状况，以确保变更措施得到有效执行。监理工程师还需要</w:t>
      </w:r>
      <w:r>
        <w:rPr>
          <w:spacing w:val="3"/>
          <w:sz w:val="20"/>
          <w:szCs w:val="20"/>
        </w:rPr>
        <w:t>注重变更控制过程</w:t>
      </w:r>
      <w:r>
        <w:rPr>
          <w:sz w:val="20"/>
          <w:szCs w:val="20"/>
        </w:rPr>
        <w:t xml:space="preserve"> </w:t>
      </w:r>
      <w:r>
        <w:rPr>
          <w:spacing w:val="3"/>
          <w:sz w:val="20"/>
          <w:szCs w:val="20"/>
        </w:rPr>
        <w:t>中的文档管理，确保所有变更请求、批准、拒绝和实施的记录完整、准确。这</w:t>
      </w:r>
      <w:r>
        <w:rPr>
          <w:spacing w:val="2"/>
          <w:sz w:val="20"/>
          <w:szCs w:val="20"/>
        </w:rPr>
        <w:t>有助于项目各方</w:t>
      </w:r>
      <w:r>
        <w:rPr>
          <w:sz w:val="20"/>
          <w:szCs w:val="20"/>
        </w:rPr>
        <w:t xml:space="preserve">  </w:t>
      </w:r>
      <w:r>
        <w:rPr>
          <w:spacing w:val="-2"/>
          <w:sz w:val="20"/>
          <w:szCs w:val="20"/>
        </w:rPr>
        <w:t>了解项目的整体情况，同时也为后期的项目总结和经验教训提供了宝贵资料。</w:t>
      </w:r>
    </w:p>
    <w:p w14:paraId="76E443E8">
      <w:pPr>
        <w:spacing w:line="314" w:lineRule="auto"/>
        <w:rPr>
          <w:rFonts w:ascii="Arial"/>
          <w:sz w:val="21"/>
        </w:rPr>
      </w:pPr>
    </w:p>
    <w:p w14:paraId="5FE101C1">
      <w:pPr>
        <w:pStyle w:val="2"/>
        <w:spacing w:before="91" w:line="221" w:lineRule="auto"/>
        <w:ind w:left="3"/>
        <w:rPr>
          <w:rFonts w:ascii="黑体" w:hAnsi="黑体" w:eastAsia="黑体" w:cs="黑体"/>
          <w:sz w:val="28"/>
          <w:szCs w:val="28"/>
        </w:rPr>
      </w:pPr>
      <w:r>
        <w:rPr>
          <w:b/>
          <w:bCs/>
          <w:color w:val="0058DD"/>
          <w:spacing w:val="-10"/>
          <w:sz w:val="28"/>
          <w:szCs w:val="28"/>
        </w:rPr>
        <w:t>17.1</w:t>
      </w:r>
      <w:r>
        <w:rPr>
          <w:color w:val="0058DD"/>
          <w:spacing w:val="25"/>
          <w:sz w:val="28"/>
          <w:szCs w:val="28"/>
        </w:rPr>
        <w:t xml:space="preserve">  </w:t>
      </w:r>
      <w:r>
        <w:rPr>
          <w:rFonts w:ascii="黑体" w:hAnsi="黑体" w:eastAsia="黑体" w:cs="黑体"/>
          <w:b/>
          <w:bCs/>
          <w:color w:val="0058DD"/>
          <w:spacing w:val="-10"/>
          <w:sz w:val="28"/>
          <w:szCs w:val="28"/>
        </w:rPr>
        <w:t>工程变更概述</w:t>
      </w:r>
    </w:p>
    <w:p w14:paraId="48F85E5A">
      <w:pPr>
        <w:pStyle w:val="2"/>
        <w:spacing w:before="276" w:line="281" w:lineRule="auto"/>
        <w:ind w:firstLine="410"/>
        <w:jc w:val="both"/>
        <w:rPr>
          <w:sz w:val="20"/>
          <w:szCs w:val="20"/>
        </w:rPr>
      </w:pPr>
      <w:r>
        <w:rPr>
          <w:spacing w:val="3"/>
          <w:sz w:val="20"/>
          <w:szCs w:val="20"/>
        </w:rPr>
        <w:t>工程变更是指在工程项目实施过程中，按照承建合同或其他约定程序对工程的设计和实施</w:t>
      </w:r>
      <w:r>
        <w:rPr>
          <w:spacing w:val="5"/>
          <w:sz w:val="20"/>
          <w:szCs w:val="20"/>
        </w:rPr>
        <w:t xml:space="preserve">  </w:t>
      </w:r>
      <w:r>
        <w:rPr>
          <w:spacing w:val="6"/>
          <w:sz w:val="20"/>
          <w:szCs w:val="20"/>
        </w:rPr>
        <w:t>做出的变更。变更是对任何正式受控的项目基准的修改</w:t>
      </w:r>
      <w:r>
        <w:rPr>
          <w:spacing w:val="5"/>
          <w:sz w:val="20"/>
          <w:szCs w:val="20"/>
        </w:rPr>
        <w:t>。项目基准包括经批准的可交付成果、</w:t>
      </w:r>
      <w:r>
        <w:rPr>
          <w:sz w:val="20"/>
          <w:szCs w:val="20"/>
        </w:rPr>
        <w:t xml:space="preserve"> </w:t>
      </w:r>
      <w:r>
        <w:rPr>
          <w:spacing w:val="4"/>
          <w:sz w:val="20"/>
          <w:szCs w:val="20"/>
        </w:rPr>
        <w:t>项目文档、项目计划等工作产品，只有通过正式的变更</w:t>
      </w:r>
      <w:r>
        <w:rPr>
          <w:spacing w:val="3"/>
          <w:sz w:val="20"/>
          <w:szCs w:val="20"/>
        </w:rPr>
        <w:t>控制程序才能进行变更。在工程的项目</w:t>
      </w:r>
      <w:r>
        <w:rPr>
          <w:sz w:val="20"/>
          <w:szCs w:val="20"/>
        </w:rPr>
        <w:t xml:space="preserve">  </w:t>
      </w:r>
      <w:r>
        <w:rPr>
          <w:spacing w:val="1"/>
          <w:sz w:val="20"/>
          <w:szCs w:val="20"/>
        </w:rPr>
        <w:t>基准确定之前，无须通过变更控制程序管理变更， 一旦确定了项目基准，就必须通过变更控制</w:t>
      </w:r>
      <w:r>
        <w:rPr>
          <w:spacing w:val="2"/>
          <w:sz w:val="20"/>
          <w:szCs w:val="20"/>
        </w:rPr>
        <w:t xml:space="preserve">  </w:t>
      </w:r>
      <w:r>
        <w:rPr>
          <w:spacing w:val="-1"/>
          <w:sz w:val="20"/>
          <w:szCs w:val="20"/>
        </w:rPr>
        <w:t>程序处理变更请求。工程变更关系到工程的成败，思想上要高度重视，行动上要严格控制。</w:t>
      </w:r>
    </w:p>
    <w:p w14:paraId="261B172D">
      <w:pPr>
        <w:pStyle w:val="2"/>
        <w:spacing w:before="30" w:line="270" w:lineRule="auto"/>
        <w:ind w:firstLine="410"/>
        <w:jc w:val="both"/>
        <w:rPr>
          <w:sz w:val="20"/>
          <w:szCs w:val="20"/>
        </w:rPr>
      </w:pPr>
      <w:r>
        <w:rPr>
          <w:spacing w:val="1"/>
          <w:sz w:val="20"/>
          <w:szCs w:val="20"/>
        </w:rPr>
        <w:t>在信息系统工程的建设过程中，由于项目环</w:t>
      </w:r>
      <w:r>
        <w:rPr>
          <w:sz w:val="20"/>
          <w:szCs w:val="20"/>
        </w:rPr>
        <w:t xml:space="preserve">境或者其他各种原因，项目的部分或全部需求、 </w:t>
      </w:r>
      <w:r>
        <w:rPr>
          <w:spacing w:val="3"/>
          <w:sz w:val="20"/>
          <w:szCs w:val="20"/>
        </w:rPr>
        <w:t>设计、工期、投资、合同、技术指标、集成方法等内容都可能发生变更。应在承建合同中对工</w:t>
      </w:r>
      <w:r>
        <w:rPr>
          <w:spacing w:val="8"/>
          <w:sz w:val="20"/>
          <w:szCs w:val="20"/>
        </w:rPr>
        <w:t xml:space="preserve">  </w:t>
      </w:r>
      <w:r>
        <w:rPr>
          <w:spacing w:val="3"/>
          <w:sz w:val="20"/>
          <w:szCs w:val="20"/>
        </w:rPr>
        <w:t>程变更的范围进行约定，并明确每一种变更应以哪种方式、哪种程序进行处理。对合同范围外</w:t>
      </w:r>
      <w:r>
        <w:rPr>
          <w:spacing w:val="9"/>
          <w:sz w:val="20"/>
          <w:szCs w:val="20"/>
        </w:rPr>
        <w:t xml:space="preserve">  </w:t>
      </w:r>
      <w:r>
        <w:rPr>
          <w:spacing w:val="-3"/>
          <w:sz w:val="20"/>
          <w:szCs w:val="20"/>
        </w:rPr>
        <w:t>的变更，可以注明另行协商并补签合同。</w:t>
      </w:r>
    </w:p>
    <w:p w14:paraId="3F294DA6">
      <w:pPr>
        <w:pStyle w:val="2"/>
        <w:spacing w:before="208" w:line="220" w:lineRule="auto"/>
        <w:ind w:left="3"/>
        <w:rPr>
          <w:sz w:val="25"/>
          <w:szCs w:val="25"/>
        </w:rPr>
      </w:pPr>
      <w:r>
        <w:rPr>
          <w:b/>
          <w:bCs/>
          <w:color w:val="0068DF"/>
          <w:spacing w:val="-18"/>
          <w:sz w:val="25"/>
          <w:szCs w:val="25"/>
        </w:rPr>
        <w:t>17.1.1</w:t>
      </w:r>
      <w:r>
        <w:rPr>
          <w:color w:val="0068DF"/>
          <w:spacing w:val="111"/>
          <w:sz w:val="25"/>
          <w:szCs w:val="25"/>
        </w:rPr>
        <w:t xml:space="preserve"> </w:t>
      </w:r>
      <w:r>
        <w:rPr>
          <w:b/>
          <w:bCs/>
          <w:color w:val="0068DF"/>
          <w:spacing w:val="-18"/>
          <w:sz w:val="25"/>
          <w:szCs w:val="25"/>
        </w:rPr>
        <w:t>工程变更的原因</w:t>
      </w:r>
    </w:p>
    <w:p w14:paraId="089BEEEA">
      <w:pPr>
        <w:pStyle w:val="2"/>
        <w:spacing w:before="173" w:line="279" w:lineRule="auto"/>
        <w:ind w:right="89" w:firstLine="410"/>
        <w:jc w:val="both"/>
        <w:rPr>
          <w:sz w:val="20"/>
          <w:szCs w:val="20"/>
        </w:rPr>
      </w:pPr>
      <w:r>
        <w:rPr>
          <w:spacing w:val="3"/>
          <w:sz w:val="20"/>
          <w:szCs w:val="20"/>
        </w:rPr>
        <w:t>引起工程变更的原因可能来自工程项目的内部，也可能来自外部环</w:t>
      </w:r>
      <w:r>
        <w:rPr>
          <w:spacing w:val="2"/>
          <w:sz w:val="20"/>
          <w:szCs w:val="20"/>
        </w:rPr>
        <w:t>境。变更的诱发一般分</w:t>
      </w:r>
      <w:r>
        <w:rPr>
          <w:sz w:val="20"/>
          <w:szCs w:val="20"/>
        </w:rPr>
        <w:t xml:space="preserve"> </w:t>
      </w:r>
      <w:r>
        <w:rPr>
          <w:spacing w:val="3"/>
          <w:sz w:val="20"/>
          <w:szCs w:val="20"/>
        </w:rPr>
        <w:t>为主动和被动两种。主动变更是主动发起的变更，常用于提高项目收益，包括减少投资、改进</w:t>
      </w:r>
      <w:r>
        <w:rPr>
          <w:spacing w:val="13"/>
          <w:sz w:val="20"/>
          <w:szCs w:val="20"/>
        </w:rPr>
        <w:t xml:space="preserve"> </w:t>
      </w:r>
      <w:r>
        <w:rPr>
          <w:spacing w:val="3"/>
          <w:sz w:val="20"/>
          <w:szCs w:val="20"/>
        </w:rPr>
        <w:t>方案以及提高项目的便捷性和有效性等；被动变更常见于项目范围变化、异常、错误和适应不</w:t>
      </w:r>
      <w:r>
        <w:rPr>
          <w:spacing w:val="17"/>
          <w:sz w:val="20"/>
          <w:szCs w:val="20"/>
        </w:rPr>
        <w:t xml:space="preserve"> </w:t>
      </w:r>
      <w:r>
        <w:rPr>
          <w:spacing w:val="-1"/>
          <w:sz w:val="20"/>
          <w:szCs w:val="20"/>
        </w:rPr>
        <w:t>断变化的环境等。实施变更的原因归根结底只有两个：引入新的收益或保护现有收益。</w:t>
      </w:r>
    </w:p>
    <w:p w14:paraId="5CF6AE17">
      <w:pPr>
        <w:pStyle w:val="2"/>
        <w:spacing w:line="291" w:lineRule="auto"/>
        <w:ind w:right="90" w:firstLine="410"/>
        <w:rPr>
          <w:sz w:val="20"/>
          <w:szCs w:val="20"/>
        </w:rPr>
      </w:pPr>
      <w:r>
        <w:rPr>
          <w:spacing w:val="3"/>
          <w:sz w:val="20"/>
          <w:szCs w:val="20"/>
        </w:rPr>
        <w:t>项目具有渐进明细的特点，很难在项目策划时就万事俱备或考虑周全。信息系统工程技术</w:t>
      </w:r>
      <w:r>
        <w:rPr>
          <w:spacing w:val="11"/>
          <w:sz w:val="20"/>
          <w:szCs w:val="20"/>
        </w:rPr>
        <w:t xml:space="preserve"> </w:t>
      </w:r>
      <w:r>
        <w:rPr>
          <w:spacing w:val="3"/>
          <w:sz w:val="20"/>
          <w:szCs w:val="20"/>
        </w:rPr>
        <w:t>更新快、需求变化频繁等特点也决定了其在实施过程中难免会遇到各种预料之外的变化，从而</w:t>
      </w:r>
    </w:p>
    <w:p w14:paraId="4F34407E">
      <w:pPr>
        <w:spacing w:line="291" w:lineRule="auto"/>
        <w:rPr>
          <w:sz w:val="20"/>
          <w:szCs w:val="20"/>
        </w:rPr>
        <w:sectPr>
          <w:pgSz w:w="10290" w:h="13300"/>
          <w:pgMar w:top="400" w:right="749" w:bottom="400" w:left="1109" w:header="0" w:footer="0" w:gutter="0"/>
          <w:cols w:space="720" w:num="1"/>
        </w:sectPr>
      </w:pPr>
    </w:p>
    <w:p w14:paraId="346DC2C4">
      <w:pPr>
        <w:pStyle w:val="2"/>
        <w:spacing w:before="87" w:line="219" w:lineRule="auto"/>
        <w:rPr>
          <w:sz w:val="19"/>
          <w:szCs w:val="19"/>
        </w:rPr>
      </w:pPr>
      <w:r>
        <w:rPr>
          <w:rFonts w:ascii="Times New Roman" w:hAnsi="Times New Roman" w:eastAsia="Times New Roman" w:cs="Times New Roman"/>
          <w:b/>
          <w:bCs/>
          <w:spacing w:val="3"/>
          <w:sz w:val="19"/>
          <w:szCs w:val="19"/>
        </w:rPr>
        <w:t xml:space="preserve">384              </w:t>
      </w:r>
      <w:r>
        <w:rPr>
          <w:spacing w:val="3"/>
          <w:sz w:val="19"/>
          <w:szCs w:val="19"/>
        </w:rPr>
        <w:t>信息系统监理师教程(第2版)</w:t>
      </w:r>
    </w:p>
    <w:p w14:paraId="65307EFA">
      <w:pPr>
        <w:spacing w:line="321" w:lineRule="auto"/>
        <w:rPr>
          <w:rFonts w:ascii="Arial"/>
          <w:sz w:val="21"/>
        </w:rPr>
      </w:pPr>
    </w:p>
    <w:p w14:paraId="37713B50">
      <w:pPr>
        <w:pStyle w:val="2"/>
        <w:spacing w:before="62" w:line="220" w:lineRule="auto"/>
        <w:ind w:left="359"/>
        <w:rPr>
          <w:sz w:val="19"/>
          <w:szCs w:val="19"/>
        </w:rPr>
      </w:pPr>
      <w:r>
        <w:rPr>
          <w:spacing w:val="7"/>
          <w:sz w:val="19"/>
          <w:szCs w:val="19"/>
        </w:rPr>
        <w:t>需要对项目进行调整和变更。</w:t>
      </w:r>
    </w:p>
    <w:p w14:paraId="5B62C8C6">
      <w:pPr>
        <w:pStyle w:val="2"/>
        <w:spacing w:before="93" w:line="219" w:lineRule="auto"/>
        <w:ind w:left="760"/>
        <w:rPr>
          <w:sz w:val="19"/>
          <w:szCs w:val="19"/>
        </w:rPr>
      </w:pPr>
      <w:r>
        <w:rPr>
          <w:spacing w:val="7"/>
          <w:sz w:val="19"/>
          <w:szCs w:val="19"/>
        </w:rPr>
        <w:t>一般情况下，造成信息系统工程变更的原因包括：</w:t>
      </w:r>
    </w:p>
    <w:p w14:paraId="27EBD654">
      <w:pPr>
        <w:pStyle w:val="2"/>
        <w:spacing w:before="94" w:line="219" w:lineRule="auto"/>
        <w:ind w:left="760"/>
        <w:rPr>
          <w:sz w:val="19"/>
          <w:szCs w:val="19"/>
        </w:rPr>
      </w:pPr>
      <w:r>
        <w:rPr>
          <w:spacing w:val="10"/>
          <w:sz w:val="19"/>
          <w:szCs w:val="19"/>
        </w:rPr>
        <w:t>(1)项目外部环境发生变化，例如法律法规、行业标准及政策变化；</w:t>
      </w:r>
    </w:p>
    <w:p w14:paraId="2B02E273">
      <w:pPr>
        <w:pStyle w:val="2"/>
        <w:spacing w:before="93" w:line="219" w:lineRule="auto"/>
        <w:ind w:left="760"/>
        <w:rPr>
          <w:sz w:val="19"/>
          <w:szCs w:val="19"/>
        </w:rPr>
      </w:pPr>
      <w:r>
        <w:rPr>
          <w:spacing w:val="10"/>
          <w:sz w:val="19"/>
          <w:szCs w:val="19"/>
        </w:rPr>
        <w:t>(2)发生风险事件，为应对风险采取必要的调整措</w:t>
      </w:r>
      <w:r>
        <w:rPr>
          <w:spacing w:val="9"/>
          <w:sz w:val="19"/>
          <w:szCs w:val="19"/>
        </w:rPr>
        <w:t>施；</w:t>
      </w:r>
    </w:p>
    <w:p w14:paraId="38CAD0F2">
      <w:pPr>
        <w:pStyle w:val="2"/>
        <w:spacing w:before="84" w:line="219" w:lineRule="auto"/>
        <w:ind w:left="760"/>
        <w:rPr>
          <w:sz w:val="19"/>
          <w:szCs w:val="19"/>
        </w:rPr>
      </w:pPr>
      <w:r>
        <w:rPr>
          <w:spacing w:val="10"/>
          <w:sz w:val="19"/>
          <w:szCs w:val="19"/>
        </w:rPr>
        <w:t>(3)业主单位由于机构重组等自身原因造成业务流程变化，或产生需求变化；</w:t>
      </w:r>
    </w:p>
    <w:p w14:paraId="7DE025E9">
      <w:pPr>
        <w:pStyle w:val="2"/>
        <w:spacing w:before="96" w:line="219" w:lineRule="auto"/>
        <w:ind w:left="760"/>
        <w:rPr>
          <w:sz w:val="19"/>
          <w:szCs w:val="19"/>
        </w:rPr>
      </w:pPr>
      <w:r>
        <w:rPr>
          <w:spacing w:val="10"/>
          <w:sz w:val="19"/>
          <w:szCs w:val="19"/>
        </w:rPr>
        <w:t>(4)承建单位根据业主单位的要求，适当地调整设计方案或实施方案；</w:t>
      </w:r>
    </w:p>
    <w:p w14:paraId="7E7F30AD">
      <w:pPr>
        <w:pStyle w:val="2"/>
        <w:spacing w:before="85" w:line="219" w:lineRule="auto"/>
        <w:ind w:left="760"/>
        <w:rPr>
          <w:sz w:val="19"/>
          <w:szCs w:val="19"/>
        </w:rPr>
      </w:pPr>
      <w:r>
        <w:rPr>
          <w:spacing w:val="11"/>
          <w:sz w:val="19"/>
          <w:szCs w:val="19"/>
        </w:rPr>
        <w:t>(5)项目范围的定义存在错误或遗漏；</w:t>
      </w:r>
    </w:p>
    <w:p w14:paraId="3AED4AF2">
      <w:pPr>
        <w:pStyle w:val="2"/>
        <w:spacing w:before="104" w:line="219" w:lineRule="auto"/>
        <w:ind w:left="760"/>
        <w:rPr>
          <w:sz w:val="19"/>
          <w:szCs w:val="19"/>
        </w:rPr>
      </w:pPr>
      <w:r>
        <w:rPr>
          <w:spacing w:val="11"/>
          <w:sz w:val="19"/>
          <w:szCs w:val="19"/>
        </w:rPr>
        <w:t>(6)项目需求分析、总体设计不够充分详</w:t>
      </w:r>
      <w:r>
        <w:rPr>
          <w:spacing w:val="10"/>
          <w:sz w:val="19"/>
          <w:szCs w:val="19"/>
        </w:rPr>
        <w:t>细，存在错误或遗漏；</w:t>
      </w:r>
    </w:p>
    <w:p w14:paraId="5F151A35">
      <w:pPr>
        <w:pStyle w:val="2"/>
        <w:spacing w:before="85" w:line="219" w:lineRule="auto"/>
        <w:ind w:left="760"/>
        <w:rPr>
          <w:sz w:val="19"/>
          <w:szCs w:val="19"/>
        </w:rPr>
      </w:pPr>
      <w:r>
        <w:rPr>
          <w:spacing w:val="10"/>
          <w:sz w:val="19"/>
          <w:szCs w:val="19"/>
        </w:rPr>
        <w:t>(7)项目执行过程与项目基准不一致带来的被动调</w:t>
      </w:r>
      <w:r>
        <w:rPr>
          <w:spacing w:val="9"/>
          <w:sz w:val="19"/>
          <w:szCs w:val="19"/>
        </w:rPr>
        <w:t>整；</w:t>
      </w:r>
    </w:p>
    <w:p w14:paraId="0EC3ED08">
      <w:pPr>
        <w:pStyle w:val="2"/>
        <w:spacing w:before="95" w:line="219" w:lineRule="auto"/>
        <w:ind w:left="760"/>
        <w:rPr>
          <w:sz w:val="19"/>
          <w:szCs w:val="19"/>
        </w:rPr>
      </w:pPr>
      <w:r>
        <w:rPr>
          <w:spacing w:val="10"/>
          <w:sz w:val="19"/>
          <w:szCs w:val="19"/>
        </w:rPr>
        <w:t>(8)使项目增值，例如出现新技术，设计人员提出了新的设计方案或实现手段。</w:t>
      </w:r>
    </w:p>
    <w:p w14:paraId="2284B18C">
      <w:pPr>
        <w:pStyle w:val="2"/>
        <w:spacing w:before="244" w:line="220" w:lineRule="auto"/>
        <w:ind w:left="362"/>
        <w:rPr>
          <w:sz w:val="25"/>
          <w:szCs w:val="25"/>
        </w:rPr>
      </w:pPr>
      <w:r>
        <w:rPr>
          <w:b/>
          <w:bCs/>
          <w:color w:val="0079E3"/>
          <w:spacing w:val="-17"/>
          <w:sz w:val="25"/>
          <w:szCs w:val="25"/>
        </w:rPr>
        <w:t>17.1.2</w:t>
      </w:r>
      <w:r>
        <w:rPr>
          <w:color w:val="0079E3"/>
          <w:spacing w:val="89"/>
          <w:sz w:val="25"/>
          <w:szCs w:val="25"/>
        </w:rPr>
        <w:t xml:space="preserve"> </w:t>
      </w:r>
      <w:r>
        <w:rPr>
          <w:b/>
          <w:bCs/>
          <w:color w:val="0079E3"/>
          <w:spacing w:val="-17"/>
          <w:sz w:val="25"/>
          <w:szCs w:val="25"/>
        </w:rPr>
        <w:t>工程变更的影响</w:t>
      </w:r>
    </w:p>
    <w:p w14:paraId="0D1E9125">
      <w:pPr>
        <w:pStyle w:val="2"/>
        <w:spacing w:before="172" w:line="219" w:lineRule="auto"/>
        <w:ind w:left="760"/>
        <w:rPr>
          <w:sz w:val="19"/>
          <w:szCs w:val="19"/>
        </w:rPr>
      </w:pPr>
      <w:r>
        <w:rPr>
          <w:spacing w:val="4"/>
          <w:sz w:val="19"/>
          <w:szCs w:val="19"/>
        </w:rPr>
        <w:t>工程变更主要带来以下影响：</w:t>
      </w:r>
    </w:p>
    <w:p w14:paraId="525AD306">
      <w:pPr>
        <w:pStyle w:val="2"/>
        <w:spacing w:before="95" w:line="220" w:lineRule="auto"/>
        <w:ind w:left="760"/>
        <w:rPr>
          <w:sz w:val="19"/>
          <w:szCs w:val="19"/>
        </w:rPr>
      </w:pPr>
      <w:r>
        <w:rPr>
          <w:spacing w:val="13"/>
          <w:sz w:val="19"/>
          <w:szCs w:val="19"/>
        </w:rPr>
        <w:t>(1)影响项目范围。</w:t>
      </w:r>
    </w:p>
    <w:p w14:paraId="7EFEE8D0">
      <w:pPr>
        <w:pStyle w:val="2"/>
        <w:spacing w:before="72" w:line="298" w:lineRule="auto"/>
        <w:ind w:left="359" w:right="87" w:firstLine="400"/>
        <w:rPr>
          <w:sz w:val="19"/>
          <w:szCs w:val="19"/>
        </w:rPr>
      </w:pPr>
      <w:r>
        <w:rPr>
          <w:spacing w:val="12"/>
          <w:sz w:val="19"/>
          <w:szCs w:val="19"/>
        </w:rPr>
        <w:t>变更可能导致项目范围出现变化，从而带来一系列诸如设计、实施、测试、验收等方案甚</w:t>
      </w:r>
      <w:r>
        <w:rPr>
          <w:spacing w:val="18"/>
          <w:sz w:val="19"/>
          <w:szCs w:val="19"/>
        </w:rPr>
        <w:t xml:space="preserve"> </w:t>
      </w:r>
      <w:r>
        <w:rPr>
          <w:spacing w:val="8"/>
          <w:sz w:val="19"/>
          <w:szCs w:val="19"/>
        </w:rPr>
        <w:t>至合同的变化，项目计划的大部分要素都需要围绕范围变化进行调整。</w:t>
      </w:r>
    </w:p>
    <w:p w14:paraId="354A7C0D">
      <w:pPr>
        <w:pStyle w:val="2"/>
        <w:spacing w:before="27" w:line="219" w:lineRule="auto"/>
        <w:ind w:left="760"/>
        <w:rPr>
          <w:sz w:val="19"/>
          <w:szCs w:val="19"/>
        </w:rPr>
      </w:pPr>
      <w:r>
        <w:rPr>
          <w:spacing w:val="11"/>
          <w:sz w:val="19"/>
          <w:szCs w:val="19"/>
        </w:rPr>
        <w:t>(2)影响工程进度、成本和质量。</w:t>
      </w:r>
    </w:p>
    <w:p w14:paraId="0FB232F0">
      <w:pPr>
        <w:pStyle w:val="2"/>
        <w:spacing w:before="75" w:line="297" w:lineRule="auto"/>
        <w:ind w:left="359" w:firstLine="400"/>
        <w:rPr>
          <w:sz w:val="19"/>
          <w:szCs w:val="19"/>
        </w:rPr>
      </w:pPr>
      <w:r>
        <w:rPr>
          <w:spacing w:val="10"/>
          <w:sz w:val="19"/>
          <w:szCs w:val="19"/>
        </w:rPr>
        <w:t>变更会导致进度的延迟或加快、成本的增加或减少，</w:t>
      </w:r>
      <w:r>
        <w:rPr>
          <w:spacing w:val="9"/>
          <w:sz w:val="19"/>
          <w:szCs w:val="19"/>
        </w:rPr>
        <w:t>以及质量的降低或提高。进度、成本、</w:t>
      </w:r>
      <w:r>
        <w:rPr>
          <w:sz w:val="19"/>
          <w:szCs w:val="19"/>
        </w:rPr>
        <w:t xml:space="preserve"> </w:t>
      </w:r>
      <w:r>
        <w:rPr>
          <w:spacing w:val="9"/>
          <w:sz w:val="19"/>
          <w:szCs w:val="19"/>
        </w:rPr>
        <w:t>质量是工程项目管理最重要的三个基本要素</w:t>
      </w:r>
      <w:r>
        <w:rPr>
          <w:spacing w:val="8"/>
          <w:sz w:val="19"/>
          <w:szCs w:val="19"/>
        </w:rPr>
        <w:t>，也是业主单位最关心的要素。</w:t>
      </w:r>
    </w:p>
    <w:p w14:paraId="35EF0A1A">
      <w:pPr>
        <w:pStyle w:val="2"/>
        <w:spacing w:before="29" w:line="219" w:lineRule="auto"/>
        <w:ind w:left="760"/>
        <w:rPr>
          <w:sz w:val="19"/>
          <w:szCs w:val="19"/>
        </w:rPr>
      </w:pPr>
      <w:r>
        <w:rPr>
          <w:spacing w:val="11"/>
          <w:sz w:val="19"/>
          <w:szCs w:val="19"/>
        </w:rPr>
        <w:t>(3)影响工程需要的生产要素的需求和配置。</w:t>
      </w:r>
    </w:p>
    <w:p w14:paraId="05843454">
      <w:pPr>
        <w:pStyle w:val="2"/>
        <w:spacing w:before="84" w:line="219" w:lineRule="auto"/>
        <w:ind w:left="760"/>
        <w:rPr>
          <w:sz w:val="19"/>
          <w:szCs w:val="19"/>
        </w:rPr>
      </w:pPr>
      <w:r>
        <w:rPr>
          <w:spacing w:val="-3"/>
          <w:sz w:val="19"/>
          <w:szCs w:val="19"/>
        </w:rPr>
        <w:t>变更可能会导致工程所需要的原材料、工具或设备等生产要素发生种类、数量、功效上的变化。</w:t>
      </w:r>
    </w:p>
    <w:p w14:paraId="4B66F2B1">
      <w:pPr>
        <w:pStyle w:val="2"/>
        <w:spacing w:before="86" w:line="220" w:lineRule="auto"/>
        <w:ind w:left="760"/>
        <w:rPr>
          <w:sz w:val="19"/>
          <w:szCs w:val="19"/>
        </w:rPr>
      </w:pPr>
      <w:r>
        <w:rPr>
          <w:spacing w:val="12"/>
          <w:sz w:val="19"/>
          <w:szCs w:val="19"/>
        </w:rPr>
        <w:t>(4)影响工程的组织和人员。</w:t>
      </w:r>
    </w:p>
    <w:p w14:paraId="554B5103">
      <w:pPr>
        <w:pStyle w:val="2"/>
        <w:spacing w:before="82" w:line="306" w:lineRule="auto"/>
        <w:ind w:left="359" w:right="86" w:firstLine="400"/>
        <w:rPr>
          <w:sz w:val="19"/>
          <w:szCs w:val="19"/>
        </w:rPr>
      </w:pPr>
      <w:r>
        <w:rPr>
          <w:spacing w:val="13"/>
          <w:sz w:val="19"/>
          <w:szCs w:val="19"/>
        </w:rPr>
        <w:t>变更可能会使工程的组织机构和人员发生变</w:t>
      </w:r>
      <w:r>
        <w:rPr>
          <w:spacing w:val="12"/>
          <w:sz w:val="19"/>
          <w:szCs w:val="19"/>
        </w:rPr>
        <w:t>化。如果工程采用了新技术，则需要增加掌握</w:t>
      </w:r>
      <w:r>
        <w:rPr>
          <w:sz w:val="19"/>
          <w:szCs w:val="19"/>
        </w:rPr>
        <w:t xml:space="preserve"> </w:t>
      </w:r>
      <w:r>
        <w:rPr>
          <w:spacing w:val="7"/>
          <w:sz w:val="19"/>
          <w:szCs w:val="19"/>
        </w:rPr>
        <w:t>相应新技术的人员。</w:t>
      </w:r>
    </w:p>
    <w:p w14:paraId="083E8DA3">
      <w:pPr>
        <w:pStyle w:val="2"/>
        <w:spacing w:before="1" w:line="218" w:lineRule="auto"/>
        <w:ind w:left="760"/>
        <w:rPr>
          <w:sz w:val="19"/>
          <w:szCs w:val="19"/>
        </w:rPr>
      </w:pPr>
      <w:r>
        <w:rPr>
          <w:spacing w:val="13"/>
          <w:sz w:val="19"/>
          <w:szCs w:val="19"/>
        </w:rPr>
        <w:t>(5)影响项目干系人。</w:t>
      </w:r>
    </w:p>
    <w:p w14:paraId="2B056689">
      <w:pPr>
        <w:pStyle w:val="2"/>
        <w:spacing w:before="84" w:line="293" w:lineRule="auto"/>
        <w:ind w:left="359" w:firstLine="400"/>
        <w:rPr>
          <w:sz w:val="19"/>
          <w:szCs w:val="19"/>
        </w:rPr>
      </w:pPr>
      <w:r>
        <w:rPr>
          <w:spacing w:val="12"/>
          <w:sz w:val="19"/>
          <w:szCs w:val="19"/>
        </w:rPr>
        <w:t>工程的变更会直接或间接地影响项目干系人的利益。例如，在某政府热线建设项目实施过</w:t>
      </w:r>
      <w:r>
        <w:rPr>
          <w:spacing w:val="9"/>
          <w:sz w:val="19"/>
          <w:szCs w:val="19"/>
        </w:rPr>
        <w:t xml:space="preserve">  </w:t>
      </w:r>
      <w:r>
        <w:rPr>
          <w:spacing w:val="14"/>
          <w:sz w:val="19"/>
          <w:szCs w:val="19"/>
        </w:rPr>
        <w:t>程中，主管部门增加了投诉回访功能，从而提高了项目最终用户(项目干系人之一)的满意度，</w:t>
      </w:r>
      <w:r>
        <w:rPr>
          <w:spacing w:val="5"/>
          <w:sz w:val="19"/>
          <w:szCs w:val="19"/>
        </w:rPr>
        <w:t xml:space="preserve"> </w:t>
      </w:r>
      <w:r>
        <w:rPr>
          <w:spacing w:val="8"/>
          <w:sz w:val="19"/>
          <w:szCs w:val="19"/>
        </w:rPr>
        <w:t>但也相应增加了项目业主单位在项目上线后投入的回访人员数量。</w:t>
      </w:r>
    </w:p>
    <w:p w14:paraId="2B947372">
      <w:pPr>
        <w:pStyle w:val="2"/>
        <w:spacing w:before="206" w:line="219" w:lineRule="auto"/>
        <w:ind w:left="362"/>
        <w:rPr>
          <w:sz w:val="25"/>
          <w:szCs w:val="25"/>
        </w:rPr>
      </w:pPr>
      <w:r>
        <w:rPr>
          <w:b/>
          <w:bCs/>
          <w:color w:val="006EDC"/>
          <w:spacing w:val="-19"/>
          <w:sz w:val="25"/>
          <w:szCs w:val="25"/>
        </w:rPr>
        <w:t>17.1.3</w:t>
      </w:r>
      <w:r>
        <w:rPr>
          <w:color w:val="006EDC"/>
          <w:spacing w:val="109"/>
          <w:sz w:val="25"/>
          <w:szCs w:val="25"/>
        </w:rPr>
        <w:t xml:space="preserve"> </w:t>
      </w:r>
      <w:r>
        <w:rPr>
          <w:b/>
          <w:bCs/>
          <w:color w:val="006EDC"/>
          <w:spacing w:val="-19"/>
          <w:sz w:val="25"/>
          <w:szCs w:val="25"/>
        </w:rPr>
        <w:t>工程变更的分类</w:t>
      </w:r>
    </w:p>
    <w:p w14:paraId="5D36FE55">
      <w:pPr>
        <w:pStyle w:val="2"/>
        <w:spacing w:before="144" w:line="296" w:lineRule="auto"/>
        <w:ind w:left="359" w:right="55" w:firstLine="400"/>
        <w:jc w:val="both"/>
        <w:rPr>
          <w:sz w:val="19"/>
          <w:szCs w:val="19"/>
        </w:rPr>
      </w:pPr>
      <w:r>
        <w:rPr>
          <w:spacing w:val="13"/>
          <w:sz w:val="19"/>
          <w:szCs w:val="19"/>
        </w:rPr>
        <w:t>变更分类的方式有很多，需要根据项目的类型、项目管理的模式与方法等确定</w:t>
      </w:r>
      <w:r>
        <w:rPr>
          <w:spacing w:val="12"/>
          <w:sz w:val="19"/>
          <w:szCs w:val="19"/>
        </w:rPr>
        <w:t>，例如应用</w:t>
      </w:r>
      <w:r>
        <w:rPr>
          <w:sz w:val="19"/>
          <w:szCs w:val="19"/>
        </w:rPr>
        <w:t xml:space="preserve"> </w:t>
      </w:r>
      <w:r>
        <w:rPr>
          <w:spacing w:val="6"/>
          <w:sz w:val="19"/>
          <w:szCs w:val="19"/>
        </w:rPr>
        <w:t>开发、系统集成、</w:t>
      </w:r>
      <w:r>
        <w:rPr>
          <w:spacing w:val="-35"/>
          <w:sz w:val="19"/>
          <w:szCs w:val="19"/>
        </w:rPr>
        <w:t xml:space="preserve"> </w:t>
      </w:r>
      <w:r>
        <w:rPr>
          <w:rFonts w:ascii="Times New Roman" w:hAnsi="Times New Roman" w:eastAsia="Times New Roman" w:cs="Times New Roman"/>
          <w:sz w:val="19"/>
          <w:szCs w:val="19"/>
        </w:rPr>
        <w:t>IT</w:t>
      </w:r>
      <w:r>
        <w:rPr>
          <w:rFonts w:ascii="Times New Roman" w:hAnsi="Times New Roman" w:eastAsia="Times New Roman" w:cs="Times New Roman"/>
          <w:spacing w:val="38"/>
          <w:w w:val="101"/>
          <w:sz w:val="19"/>
          <w:szCs w:val="19"/>
        </w:rPr>
        <w:t xml:space="preserve"> </w:t>
      </w:r>
      <w:r>
        <w:rPr>
          <w:spacing w:val="6"/>
          <w:sz w:val="19"/>
          <w:szCs w:val="19"/>
        </w:rPr>
        <w:t>咨</w:t>
      </w:r>
      <w:r>
        <w:rPr>
          <w:spacing w:val="-39"/>
          <w:sz w:val="19"/>
          <w:szCs w:val="19"/>
        </w:rPr>
        <w:t xml:space="preserve"> </w:t>
      </w:r>
      <w:r>
        <w:rPr>
          <w:spacing w:val="6"/>
          <w:sz w:val="19"/>
          <w:szCs w:val="19"/>
        </w:rPr>
        <w:t>询</w:t>
      </w:r>
      <w:r>
        <w:rPr>
          <w:spacing w:val="-47"/>
          <w:sz w:val="19"/>
          <w:szCs w:val="19"/>
        </w:rPr>
        <w:t xml:space="preserve"> </w:t>
      </w:r>
      <w:r>
        <w:rPr>
          <w:spacing w:val="6"/>
          <w:sz w:val="19"/>
          <w:szCs w:val="19"/>
        </w:rPr>
        <w:t>、</w:t>
      </w:r>
      <w:r>
        <w:rPr>
          <w:rFonts w:ascii="Times New Roman" w:hAnsi="Times New Roman" w:eastAsia="Times New Roman" w:cs="Times New Roman"/>
          <w:sz w:val="19"/>
          <w:szCs w:val="19"/>
        </w:rPr>
        <w:t>IT</w:t>
      </w:r>
      <w:r>
        <w:rPr>
          <w:rFonts w:ascii="Times New Roman" w:hAnsi="Times New Roman" w:eastAsia="Times New Roman" w:cs="Times New Roman"/>
          <w:spacing w:val="29"/>
          <w:sz w:val="19"/>
          <w:szCs w:val="19"/>
        </w:rPr>
        <w:t xml:space="preserve"> </w:t>
      </w:r>
      <w:r>
        <w:rPr>
          <w:spacing w:val="6"/>
          <w:sz w:val="19"/>
          <w:szCs w:val="19"/>
        </w:rPr>
        <w:t>运维等项目，业务形态各异，管理成熟度也有差距，可以细</w:t>
      </w:r>
      <w:r>
        <w:rPr>
          <w:spacing w:val="5"/>
          <w:sz w:val="19"/>
          <w:szCs w:val="19"/>
        </w:rPr>
        <w:t>化分</w:t>
      </w:r>
      <w:r>
        <w:rPr>
          <w:sz w:val="19"/>
          <w:szCs w:val="19"/>
        </w:rPr>
        <w:t xml:space="preserve"> </w:t>
      </w:r>
      <w:r>
        <w:rPr>
          <w:spacing w:val="13"/>
          <w:sz w:val="19"/>
          <w:szCs w:val="19"/>
        </w:rPr>
        <w:t>类，并对不同内容的变更采取不同的控制方法，通过不同的变更控制程序、不同的审批权限进</w:t>
      </w:r>
      <w:r>
        <w:rPr>
          <w:spacing w:val="3"/>
          <w:sz w:val="19"/>
          <w:szCs w:val="19"/>
        </w:rPr>
        <w:t xml:space="preserve"> </w:t>
      </w:r>
      <w:r>
        <w:rPr>
          <w:spacing w:val="13"/>
          <w:sz w:val="19"/>
          <w:szCs w:val="19"/>
        </w:rPr>
        <w:t>行控制。例如，弱电工程行业的常见分类方法为：范围变更、环境变更、设计变更、实施变更</w:t>
      </w:r>
      <w:r>
        <w:rPr>
          <w:spacing w:val="5"/>
          <w:sz w:val="19"/>
          <w:szCs w:val="19"/>
        </w:rPr>
        <w:t xml:space="preserve"> 和技术标准变更。</w:t>
      </w:r>
    </w:p>
    <w:p w14:paraId="638C24ED">
      <w:pPr>
        <w:pStyle w:val="2"/>
        <w:spacing w:before="28" w:line="278" w:lineRule="auto"/>
        <w:ind w:left="359" w:right="50" w:firstLine="400"/>
        <w:rPr>
          <w:sz w:val="19"/>
          <w:szCs w:val="19"/>
        </w:rPr>
      </w:pPr>
      <w:r>
        <w:rPr>
          <w:spacing w:val="13"/>
          <w:sz w:val="19"/>
          <w:szCs w:val="19"/>
        </w:rPr>
        <w:t>通常来说，根据变更的性质划分，可以分为重大变更、重要变更和一般变更。根据变更的</w:t>
      </w:r>
      <w:r>
        <w:rPr>
          <w:spacing w:val="16"/>
          <w:sz w:val="19"/>
          <w:szCs w:val="19"/>
        </w:rPr>
        <w:t xml:space="preserve"> </w:t>
      </w:r>
      <w:r>
        <w:rPr>
          <w:spacing w:val="8"/>
          <w:sz w:val="19"/>
          <w:szCs w:val="19"/>
        </w:rPr>
        <w:t>迫切性划分，可以分为紧急变更、非紧急变更。</w:t>
      </w:r>
    </w:p>
    <w:p w14:paraId="1D3D6471">
      <w:pPr>
        <w:spacing w:line="278" w:lineRule="auto"/>
        <w:rPr>
          <w:sz w:val="19"/>
          <w:szCs w:val="19"/>
        </w:rPr>
        <w:sectPr>
          <w:pgSz w:w="10300" w:h="13370"/>
          <w:pgMar w:top="400" w:right="1075" w:bottom="400" w:left="479" w:header="0" w:footer="0" w:gutter="0"/>
          <w:cols w:space="720" w:num="1"/>
        </w:sectPr>
      </w:pPr>
    </w:p>
    <w:p w14:paraId="28D4F33C">
      <w:pPr>
        <w:pStyle w:val="2"/>
        <w:spacing w:before="57" w:line="226" w:lineRule="auto"/>
        <w:jc w:val="right"/>
        <w:rPr>
          <w:sz w:val="19"/>
          <w:szCs w:val="19"/>
        </w:rPr>
      </w:pPr>
      <w:r>
        <w:rPr>
          <w:spacing w:val="-1"/>
          <w:position w:val="1"/>
          <w:sz w:val="19"/>
          <w:szCs w:val="19"/>
        </w:rPr>
        <w:t>第17章</w:t>
      </w:r>
      <w:r>
        <w:rPr>
          <w:spacing w:val="44"/>
          <w:position w:val="1"/>
          <w:sz w:val="19"/>
          <w:szCs w:val="19"/>
        </w:rPr>
        <w:t xml:space="preserve"> </w:t>
      </w:r>
      <w:r>
        <w:rPr>
          <w:spacing w:val="-1"/>
          <w:position w:val="1"/>
          <w:sz w:val="19"/>
          <w:szCs w:val="19"/>
        </w:rPr>
        <w:t>变更控制</w:t>
      </w:r>
      <w:r>
        <w:rPr>
          <w:spacing w:val="19"/>
          <w:position w:val="1"/>
          <w:sz w:val="19"/>
          <w:szCs w:val="19"/>
        </w:rPr>
        <w:t xml:space="preserve">   </w:t>
      </w:r>
      <w:r>
        <w:rPr>
          <w:color w:val="0080F0"/>
          <w:spacing w:val="-1"/>
          <w:position w:val="-3"/>
          <w:sz w:val="19"/>
          <w:szCs w:val="19"/>
        </w:rPr>
        <w:t>■</w:t>
      </w:r>
      <w:r>
        <w:rPr>
          <w:color w:val="0080F0"/>
          <w:spacing w:val="-27"/>
          <w:position w:val="-3"/>
          <w:sz w:val="19"/>
          <w:szCs w:val="19"/>
        </w:rPr>
        <w:t xml:space="preserve"> </w:t>
      </w:r>
      <w:r>
        <w:rPr>
          <w:rFonts w:ascii="Times New Roman" w:hAnsi="Times New Roman" w:eastAsia="Times New Roman" w:cs="Times New Roman"/>
          <w:spacing w:val="-1"/>
          <w:position w:val="-3"/>
          <w:sz w:val="19"/>
          <w:szCs w:val="19"/>
        </w:rPr>
        <w:t>385</w:t>
      </w:r>
      <w:r>
        <w:rPr>
          <w:rFonts w:ascii="Times New Roman" w:hAnsi="Times New Roman" w:eastAsia="Times New Roman" w:cs="Times New Roman"/>
          <w:spacing w:val="36"/>
          <w:position w:val="-3"/>
          <w:sz w:val="19"/>
          <w:szCs w:val="19"/>
        </w:rPr>
        <w:t xml:space="preserve"> </w:t>
      </w:r>
      <w:r>
        <w:rPr>
          <w:color w:val="0080F0"/>
          <w:spacing w:val="-1"/>
          <w:position w:val="-3"/>
          <w:sz w:val="19"/>
          <w:szCs w:val="19"/>
        </w:rPr>
        <w:t>|</w:t>
      </w:r>
    </w:p>
    <w:p w14:paraId="3DE04E8A">
      <w:pPr>
        <w:pStyle w:val="2"/>
        <w:spacing w:before="325" w:line="222" w:lineRule="auto"/>
        <w:ind w:left="3"/>
        <w:outlineLvl w:val="1"/>
        <w:rPr>
          <w:rFonts w:ascii="黑体" w:hAnsi="黑体" w:eastAsia="黑体" w:cs="黑体"/>
          <w:sz w:val="29"/>
          <w:szCs w:val="29"/>
        </w:rPr>
      </w:pPr>
      <w:bookmarkStart w:id="687" w:name="bookmark672"/>
      <w:bookmarkEnd w:id="687"/>
      <w:r>
        <w:rPr>
          <w:b/>
          <w:bCs/>
          <w:color w:val="005CD6"/>
          <w:spacing w:val="-12"/>
          <w:sz w:val="29"/>
          <w:szCs w:val="29"/>
        </w:rPr>
        <w:t>17.2</w:t>
      </w:r>
      <w:r>
        <w:rPr>
          <w:color w:val="005CD6"/>
          <w:spacing w:val="-12"/>
          <w:sz w:val="29"/>
          <w:szCs w:val="29"/>
        </w:rPr>
        <w:t xml:space="preserve">  </w:t>
      </w:r>
      <w:r>
        <w:rPr>
          <w:rFonts w:ascii="黑体" w:hAnsi="黑体" w:eastAsia="黑体" w:cs="黑体"/>
          <w:b/>
          <w:bCs/>
          <w:color w:val="005CD6"/>
          <w:spacing w:val="-12"/>
          <w:sz w:val="29"/>
          <w:szCs w:val="29"/>
        </w:rPr>
        <w:t>变更控制原则</w:t>
      </w:r>
    </w:p>
    <w:p w14:paraId="010A7DAD">
      <w:pPr>
        <w:pStyle w:val="2"/>
        <w:spacing w:before="253" w:line="302" w:lineRule="auto"/>
        <w:ind w:right="375" w:firstLine="410"/>
        <w:rPr>
          <w:sz w:val="19"/>
          <w:szCs w:val="19"/>
        </w:rPr>
      </w:pPr>
      <w:r>
        <w:rPr>
          <w:spacing w:val="14"/>
          <w:sz w:val="19"/>
          <w:szCs w:val="19"/>
        </w:rPr>
        <w:t>有些变更是积极的，有些变更是消极的。有些变更是必须做的，有些变更是无可奈何</w:t>
      </w:r>
      <w:r>
        <w:rPr>
          <w:spacing w:val="13"/>
          <w:sz w:val="19"/>
          <w:szCs w:val="19"/>
        </w:rPr>
        <w:t>的，</w:t>
      </w:r>
      <w:r>
        <w:rPr>
          <w:sz w:val="19"/>
          <w:szCs w:val="19"/>
        </w:rPr>
        <w:t xml:space="preserve"> </w:t>
      </w:r>
      <w:r>
        <w:rPr>
          <w:spacing w:val="13"/>
          <w:sz w:val="19"/>
          <w:szCs w:val="19"/>
        </w:rPr>
        <w:t>还有些变更是不必要的。监理工程师要对可能发生的变更保持预控能力，要有防</w:t>
      </w:r>
      <w:r>
        <w:rPr>
          <w:spacing w:val="12"/>
          <w:sz w:val="19"/>
          <w:szCs w:val="19"/>
        </w:rPr>
        <w:t>患于未然的应</w:t>
      </w:r>
      <w:r>
        <w:rPr>
          <w:sz w:val="19"/>
          <w:szCs w:val="19"/>
        </w:rPr>
        <w:t xml:space="preserve"> </w:t>
      </w:r>
      <w:r>
        <w:rPr>
          <w:spacing w:val="9"/>
          <w:sz w:val="19"/>
          <w:szCs w:val="19"/>
        </w:rPr>
        <w:t>对措施，要拒绝不必要的、随心所欲的变更，要减少</w:t>
      </w:r>
      <w:r>
        <w:rPr>
          <w:spacing w:val="8"/>
          <w:sz w:val="19"/>
          <w:szCs w:val="19"/>
        </w:rPr>
        <w:t>乃至控制变更带来的风险和负面影响。</w:t>
      </w:r>
    </w:p>
    <w:p w14:paraId="7062DB6D">
      <w:pPr>
        <w:pStyle w:val="2"/>
        <w:spacing w:before="16" w:line="298" w:lineRule="auto"/>
        <w:ind w:right="422" w:firstLine="410"/>
        <w:rPr>
          <w:sz w:val="19"/>
          <w:szCs w:val="19"/>
        </w:rPr>
      </w:pPr>
      <w:r>
        <w:rPr>
          <w:spacing w:val="13"/>
          <w:sz w:val="19"/>
          <w:szCs w:val="19"/>
        </w:rPr>
        <w:t>监理工程师既要对业主单位提出具体的建议，也要对承建单位提</w:t>
      </w:r>
      <w:r>
        <w:rPr>
          <w:spacing w:val="12"/>
          <w:sz w:val="19"/>
          <w:szCs w:val="19"/>
        </w:rPr>
        <w:t>出明确的要求，还要在变</w:t>
      </w:r>
      <w:r>
        <w:rPr>
          <w:sz w:val="19"/>
          <w:szCs w:val="19"/>
        </w:rPr>
        <w:t xml:space="preserve"> </w:t>
      </w:r>
      <w:r>
        <w:rPr>
          <w:spacing w:val="9"/>
          <w:sz w:val="19"/>
          <w:szCs w:val="19"/>
        </w:rPr>
        <w:t>更控制方面加强管理，对可能出现的变更实行及时有</w:t>
      </w:r>
      <w:r>
        <w:rPr>
          <w:spacing w:val="8"/>
          <w:sz w:val="19"/>
          <w:szCs w:val="19"/>
        </w:rPr>
        <w:t>效的控制，保障项目达到既定的目标。</w:t>
      </w:r>
    </w:p>
    <w:p w14:paraId="291214C0">
      <w:pPr>
        <w:pStyle w:val="2"/>
        <w:spacing w:before="27" w:line="219" w:lineRule="auto"/>
        <w:ind w:left="410"/>
        <w:rPr>
          <w:sz w:val="19"/>
          <w:szCs w:val="19"/>
        </w:rPr>
      </w:pPr>
      <w:r>
        <w:rPr>
          <w:spacing w:val="6"/>
          <w:sz w:val="19"/>
          <w:szCs w:val="19"/>
        </w:rPr>
        <w:t>通常监理在处理变更时应遵循以下原则：</w:t>
      </w:r>
    </w:p>
    <w:p w14:paraId="03035AE7">
      <w:pPr>
        <w:pStyle w:val="2"/>
        <w:spacing w:before="95" w:line="219" w:lineRule="auto"/>
        <w:ind w:left="410"/>
        <w:rPr>
          <w:sz w:val="19"/>
          <w:szCs w:val="19"/>
        </w:rPr>
      </w:pPr>
      <w:r>
        <w:rPr>
          <w:spacing w:val="13"/>
          <w:sz w:val="19"/>
          <w:szCs w:val="19"/>
        </w:rPr>
        <w:t>(1)快速响应变更申请。</w:t>
      </w:r>
    </w:p>
    <w:p w14:paraId="311B3B71">
      <w:pPr>
        <w:pStyle w:val="2"/>
        <w:spacing w:before="75" w:line="303" w:lineRule="auto"/>
        <w:ind w:right="335" w:firstLine="410"/>
        <w:rPr>
          <w:sz w:val="19"/>
          <w:szCs w:val="19"/>
        </w:rPr>
      </w:pPr>
      <w:r>
        <w:rPr>
          <w:spacing w:val="15"/>
          <w:sz w:val="19"/>
          <w:szCs w:val="19"/>
        </w:rPr>
        <w:t>在项目实施过程中，变更处理越早，损失越小；变更处理越迟，难度越大，损失也越大。</w:t>
      </w:r>
      <w:r>
        <w:rPr>
          <w:sz w:val="19"/>
          <w:szCs w:val="19"/>
        </w:rPr>
        <w:t xml:space="preserve"> </w:t>
      </w:r>
      <w:r>
        <w:rPr>
          <w:spacing w:val="13"/>
          <w:sz w:val="19"/>
          <w:szCs w:val="19"/>
        </w:rPr>
        <w:t>因此监理单位在接到变更申请之后，应快速按照变更控制程序进行处理，并迅速协商确定是否</w:t>
      </w:r>
      <w:r>
        <w:rPr>
          <w:sz w:val="19"/>
          <w:szCs w:val="19"/>
        </w:rPr>
        <w:t xml:space="preserve">  </w:t>
      </w:r>
      <w:r>
        <w:rPr>
          <w:spacing w:val="2"/>
          <w:sz w:val="19"/>
          <w:szCs w:val="19"/>
        </w:rPr>
        <w:t>可以变更。</w:t>
      </w:r>
    </w:p>
    <w:p w14:paraId="751E0EFD">
      <w:pPr>
        <w:pStyle w:val="2"/>
        <w:spacing w:before="14" w:line="219" w:lineRule="auto"/>
        <w:ind w:left="410"/>
        <w:rPr>
          <w:sz w:val="19"/>
          <w:szCs w:val="19"/>
        </w:rPr>
      </w:pPr>
      <w:r>
        <w:rPr>
          <w:spacing w:val="12"/>
          <w:sz w:val="19"/>
          <w:szCs w:val="19"/>
        </w:rPr>
        <w:t>(2)任何变更都要得到三方确认。</w:t>
      </w:r>
    </w:p>
    <w:p w14:paraId="39473BB9">
      <w:pPr>
        <w:pStyle w:val="2"/>
        <w:spacing w:before="84" w:line="298" w:lineRule="auto"/>
        <w:ind w:right="375" w:firstLine="410"/>
        <w:rPr>
          <w:sz w:val="19"/>
          <w:szCs w:val="19"/>
        </w:rPr>
      </w:pPr>
      <w:r>
        <w:rPr>
          <w:spacing w:val="13"/>
          <w:sz w:val="19"/>
          <w:szCs w:val="19"/>
        </w:rPr>
        <w:t>任何变更都要得到三方的书面确认，严禁擅自变更。仅获得任何一方或者两方同意就做出</w:t>
      </w:r>
      <w:r>
        <w:rPr>
          <w:spacing w:val="5"/>
          <w:sz w:val="19"/>
          <w:szCs w:val="19"/>
        </w:rPr>
        <w:t xml:space="preserve"> </w:t>
      </w:r>
      <w:r>
        <w:rPr>
          <w:spacing w:val="9"/>
          <w:sz w:val="19"/>
          <w:szCs w:val="19"/>
        </w:rPr>
        <w:t>变更而造成的损失，应由变更方承担。在变更文件得到三方签认的批准前，不得实施工程变更。</w:t>
      </w:r>
    </w:p>
    <w:p w14:paraId="63B64A51">
      <w:pPr>
        <w:pStyle w:val="2"/>
        <w:spacing w:before="27" w:line="219" w:lineRule="auto"/>
        <w:ind w:left="410"/>
        <w:rPr>
          <w:sz w:val="19"/>
          <w:szCs w:val="19"/>
        </w:rPr>
      </w:pPr>
      <w:r>
        <w:rPr>
          <w:spacing w:val="13"/>
          <w:sz w:val="19"/>
          <w:szCs w:val="19"/>
        </w:rPr>
        <w:t>(3)明确界定变更目标。</w:t>
      </w:r>
    </w:p>
    <w:p w14:paraId="66837B77">
      <w:pPr>
        <w:pStyle w:val="2"/>
        <w:spacing w:before="74" w:line="309" w:lineRule="auto"/>
        <w:ind w:right="355" w:firstLine="410"/>
        <w:rPr>
          <w:sz w:val="19"/>
          <w:szCs w:val="19"/>
        </w:rPr>
      </w:pPr>
      <w:r>
        <w:rPr>
          <w:spacing w:val="9"/>
          <w:sz w:val="19"/>
          <w:szCs w:val="19"/>
        </w:rPr>
        <w:t>如果变更后的项目目标模糊不清，在实施过程中就难以确定努力的方向，即使完成了项目，</w:t>
      </w:r>
      <w:r>
        <w:rPr>
          <w:spacing w:val="13"/>
          <w:sz w:val="19"/>
          <w:szCs w:val="19"/>
        </w:rPr>
        <w:t xml:space="preserve"> </w:t>
      </w:r>
      <w:r>
        <w:rPr>
          <w:spacing w:val="6"/>
          <w:sz w:val="19"/>
          <w:szCs w:val="19"/>
        </w:rPr>
        <w:t>也难以确定是否达到了变更的预期效果。</w:t>
      </w:r>
    </w:p>
    <w:p w14:paraId="5445743A">
      <w:pPr>
        <w:pStyle w:val="2"/>
        <w:spacing w:before="15" w:line="220" w:lineRule="auto"/>
        <w:ind w:left="410"/>
        <w:rPr>
          <w:sz w:val="19"/>
          <w:szCs w:val="19"/>
        </w:rPr>
      </w:pPr>
      <w:r>
        <w:rPr>
          <w:spacing w:val="13"/>
          <w:sz w:val="19"/>
          <w:szCs w:val="19"/>
        </w:rPr>
        <w:t>(4)防止变更范围蔓延。</w:t>
      </w:r>
    </w:p>
    <w:p w14:paraId="029416EC">
      <w:pPr>
        <w:pStyle w:val="2"/>
        <w:spacing w:before="73" w:line="219" w:lineRule="auto"/>
        <w:ind w:left="410"/>
        <w:rPr>
          <w:sz w:val="19"/>
          <w:szCs w:val="19"/>
        </w:rPr>
      </w:pPr>
      <w:r>
        <w:rPr>
          <w:spacing w:val="9"/>
          <w:sz w:val="19"/>
          <w:szCs w:val="19"/>
        </w:rPr>
        <w:t>变更范围要有明确的界定，而且三方对变更范</w:t>
      </w:r>
      <w:r>
        <w:rPr>
          <w:spacing w:val="8"/>
          <w:sz w:val="19"/>
          <w:szCs w:val="19"/>
        </w:rPr>
        <w:t>围的理解不能存在任何差异。</w:t>
      </w:r>
    </w:p>
    <w:p w14:paraId="555C6850">
      <w:pPr>
        <w:pStyle w:val="2"/>
        <w:spacing w:before="85" w:line="219" w:lineRule="auto"/>
        <w:ind w:left="410"/>
        <w:rPr>
          <w:sz w:val="19"/>
          <w:szCs w:val="19"/>
        </w:rPr>
      </w:pPr>
      <w:r>
        <w:rPr>
          <w:spacing w:val="13"/>
          <w:sz w:val="19"/>
          <w:szCs w:val="19"/>
        </w:rPr>
        <w:t>(5)三方都有权提出变更。</w:t>
      </w:r>
    </w:p>
    <w:p w14:paraId="7DCC01F7">
      <w:pPr>
        <w:pStyle w:val="2"/>
        <w:spacing w:before="95" w:line="278" w:lineRule="auto"/>
        <w:ind w:right="415" w:firstLine="410"/>
        <w:rPr>
          <w:sz w:val="19"/>
          <w:szCs w:val="19"/>
        </w:rPr>
      </w:pPr>
      <w:r>
        <w:rPr>
          <w:spacing w:val="13"/>
          <w:sz w:val="19"/>
          <w:szCs w:val="19"/>
        </w:rPr>
        <w:t>一般来说，承建单位和业主单位是变更的主要申请方，但监理单位也可以根据项</w:t>
      </w:r>
      <w:r>
        <w:rPr>
          <w:spacing w:val="12"/>
          <w:sz w:val="19"/>
          <w:szCs w:val="19"/>
        </w:rPr>
        <w:t>目实施的</w:t>
      </w:r>
      <w:r>
        <w:rPr>
          <w:sz w:val="19"/>
          <w:szCs w:val="19"/>
        </w:rPr>
        <w:t xml:space="preserve"> </w:t>
      </w:r>
      <w:r>
        <w:rPr>
          <w:spacing w:val="9"/>
          <w:sz w:val="19"/>
          <w:szCs w:val="19"/>
        </w:rPr>
        <w:t>情况提出变更。例如，在监理过程中发现设计方案存在缺陷，就应主</w:t>
      </w:r>
      <w:r>
        <w:rPr>
          <w:spacing w:val="8"/>
          <w:sz w:val="19"/>
          <w:szCs w:val="19"/>
        </w:rPr>
        <w:t>动提出变更申请。</w:t>
      </w:r>
    </w:p>
    <w:p w14:paraId="27A846BC">
      <w:pPr>
        <w:pStyle w:val="2"/>
        <w:spacing w:before="26" w:line="218" w:lineRule="auto"/>
        <w:ind w:left="410"/>
        <w:rPr>
          <w:sz w:val="19"/>
          <w:szCs w:val="19"/>
        </w:rPr>
      </w:pPr>
      <w:r>
        <w:rPr>
          <w:spacing w:val="16"/>
          <w:sz w:val="19"/>
          <w:szCs w:val="19"/>
        </w:rPr>
        <w:t>(6)加强变更评估。</w:t>
      </w:r>
    </w:p>
    <w:p w14:paraId="1CD5474A">
      <w:pPr>
        <w:pStyle w:val="2"/>
        <w:spacing w:before="85" w:line="295" w:lineRule="auto"/>
        <w:ind w:right="355" w:firstLine="410"/>
        <w:rPr>
          <w:sz w:val="19"/>
          <w:szCs w:val="19"/>
        </w:rPr>
      </w:pPr>
      <w:r>
        <w:rPr>
          <w:spacing w:val="13"/>
          <w:sz w:val="19"/>
          <w:szCs w:val="19"/>
        </w:rPr>
        <w:t>变更可能影响项目范围、进度、成本、质量、项目文档和项目计划的任何部分。如果不考</w:t>
      </w:r>
      <w:r>
        <w:rPr>
          <w:spacing w:val="8"/>
          <w:sz w:val="19"/>
          <w:szCs w:val="19"/>
        </w:rPr>
        <w:t xml:space="preserve"> </w:t>
      </w:r>
      <w:r>
        <w:rPr>
          <w:spacing w:val="13"/>
          <w:sz w:val="19"/>
          <w:szCs w:val="19"/>
        </w:rPr>
        <w:t>虑变更对项目整体的影响就开展变更，往往会带来或加剧项目风险。应该通过实</w:t>
      </w:r>
      <w:r>
        <w:rPr>
          <w:spacing w:val="12"/>
          <w:sz w:val="19"/>
          <w:szCs w:val="19"/>
        </w:rPr>
        <w:t>施整体变更控</w:t>
      </w:r>
      <w:r>
        <w:rPr>
          <w:sz w:val="19"/>
          <w:szCs w:val="19"/>
        </w:rPr>
        <w:t xml:space="preserve"> </w:t>
      </w:r>
      <w:r>
        <w:rPr>
          <w:spacing w:val="10"/>
          <w:sz w:val="19"/>
          <w:szCs w:val="19"/>
        </w:rPr>
        <w:t>制对变更请求进行审查和处理，多方面评估变更的风险，制</w:t>
      </w:r>
      <w:r>
        <w:rPr>
          <w:spacing w:val="9"/>
          <w:sz w:val="19"/>
          <w:szCs w:val="19"/>
        </w:rPr>
        <w:t>定相应的风险预防措施和处理措施，</w:t>
      </w:r>
      <w:r>
        <w:rPr>
          <w:sz w:val="19"/>
          <w:szCs w:val="19"/>
        </w:rPr>
        <w:t xml:space="preserve"> </w:t>
      </w:r>
      <w:r>
        <w:rPr>
          <w:spacing w:val="6"/>
          <w:sz w:val="19"/>
          <w:szCs w:val="19"/>
        </w:rPr>
        <w:t>并记录。</w:t>
      </w:r>
    </w:p>
    <w:p w14:paraId="30F28CD0">
      <w:pPr>
        <w:pStyle w:val="2"/>
        <w:spacing w:before="26" w:line="219" w:lineRule="auto"/>
        <w:ind w:left="410"/>
        <w:rPr>
          <w:sz w:val="19"/>
          <w:szCs w:val="19"/>
        </w:rPr>
      </w:pPr>
      <w:r>
        <w:rPr>
          <w:spacing w:val="13"/>
          <w:sz w:val="19"/>
          <w:szCs w:val="19"/>
        </w:rPr>
        <w:t>(7)及时公布变更信息。</w:t>
      </w:r>
    </w:p>
    <w:p w14:paraId="62311442">
      <w:pPr>
        <w:pStyle w:val="2"/>
        <w:spacing w:before="64" w:line="293" w:lineRule="auto"/>
        <w:ind w:right="421" w:firstLine="410"/>
        <w:rPr>
          <w:sz w:val="19"/>
          <w:szCs w:val="19"/>
        </w:rPr>
      </w:pPr>
      <w:r>
        <w:rPr>
          <w:spacing w:val="12"/>
          <w:sz w:val="19"/>
          <w:szCs w:val="19"/>
        </w:rPr>
        <w:t>只有项目的关键人员才清楚工程变更的全过程，其他人员并不了解变更的全面信息，因此</w:t>
      </w:r>
      <w:r>
        <w:rPr>
          <w:spacing w:val="8"/>
          <w:sz w:val="19"/>
          <w:szCs w:val="19"/>
        </w:rPr>
        <w:t xml:space="preserve"> </w:t>
      </w:r>
      <w:r>
        <w:rPr>
          <w:spacing w:val="13"/>
          <w:sz w:val="19"/>
          <w:szCs w:val="19"/>
        </w:rPr>
        <w:t>在做出变更决定时，应及时公布变更信息，以确保在部署变更之前，所有人员都能</w:t>
      </w:r>
      <w:r>
        <w:rPr>
          <w:spacing w:val="12"/>
          <w:sz w:val="19"/>
          <w:szCs w:val="19"/>
        </w:rPr>
        <w:t>做好充分准</w:t>
      </w:r>
      <w:r>
        <w:rPr>
          <w:sz w:val="19"/>
          <w:szCs w:val="19"/>
        </w:rPr>
        <w:t xml:space="preserve"> </w:t>
      </w:r>
      <w:r>
        <w:rPr>
          <w:spacing w:val="6"/>
          <w:sz w:val="19"/>
          <w:szCs w:val="19"/>
        </w:rPr>
        <w:t>备，及时调整工作，朝着新的方向努力。</w:t>
      </w:r>
    </w:p>
    <w:p w14:paraId="01C5E5A4">
      <w:pPr>
        <w:pStyle w:val="2"/>
        <w:spacing w:before="38" w:line="219" w:lineRule="auto"/>
        <w:ind w:left="410"/>
        <w:rPr>
          <w:sz w:val="19"/>
          <w:szCs w:val="19"/>
        </w:rPr>
      </w:pPr>
      <w:r>
        <w:rPr>
          <w:spacing w:val="13"/>
          <w:sz w:val="19"/>
          <w:szCs w:val="19"/>
        </w:rPr>
        <w:t>(8)选择冲击最小的方案。</w:t>
      </w:r>
    </w:p>
    <w:p w14:paraId="6A3D4D4E">
      <w:pPr>
        <w:pStyle w:val="2"/>
        <w:spacing w:before="65" w:line="292" w:lineRule="auto"/>
        <w:ind w:right="420" w:firstLine="410"/>
        <w:rPr>
          <w:sz w:val="19"/>
          <w:szCs w:val="19"/>
        </w:rPr>
      </w:pPr>
      <w:r>
        <w:rPr>
          <w:spacing w:val="13"/>
          <w:sz w:val="19"/>
          <w:szCs w:val="19"/>
        </w:rPr>
        <w:t>项目的范围、投资、工期是项目计划的主要因素，做出项目变更</w:t>
      </w:r>
      <w:r>
        <w:rPr>
          <w:spacing w:val="12"/>
          <w:sz w:val="19"/>
          <w:szCs w:val="19"/>
        </w:rPr>
        <w:t>时，力求在尽可能小的变</w:t>
      </w:r>
      <w:r>
        <w:rPr>
          <w:sz w:val="19"/>
          <w:szCs w:val="19"/>
        </w:rPr>
        <w:t xml:space="preserve"> </w:t>
      </w:r>
      <w:r>
        <w:rPr>
          <w:spacing w:val="13"/>
          <w:sz w:val="19"/>
          <w:szCs w:val="19"/>
        </w:rPr>
        <w:t>动幅度内对这些主要因素进行微调。如果它们发生较大的变动，就意味着项目计划被</w:t>
      </w:r>
      <w:r>
        <w:rPr>
          <w:spacing w:val="12"/>
          <w:sz w:val="19"/>
          <w:szCs w:val="19"/>
        </w:rPr>
        <w:t>彻底颠覆</w:t>
      </w:r>
      <w:r>
        <w:rPr>
          <w:sz w:val="19"/>
          <w:szCs w:val="19"/>
        </w:rPr>
        <w:t xml:space="preserve"> </w:t>
      </w:r>
      <w:r>
        <w:rPr>
          <w:spacing w:val="7"/>
          <w:sz w:val="19"/>
          <w:szCs w:val="19"/>
        </w:rPr>
        <w:t>或失效，可能使项目陷入瘫痪状态。</w:t>
      </w:r>
    </w:p>
    <w:p w14:paraId="2E06CAC2">
      <w:pPr>
        <w:spacing w:line="292" w:lineRule="auto"/>
        <w:rPr>
          <w:sz w:val="19"/>
          <w:szCs w:val="19"/>
        </w:rPr>
        <w:sectPr>
          <w:pgSz w:w="10280" w:h="13300"/>
          <w:pgMar w:top="400" w:right="479" w:bottom="400" w:left="1059" w:header="0" w:footer="0" w:gutter="0"/>
          <w:cols w:space="720" w:num="1"/>
        </w:sectPr>
      </w:pPr>
    </w:p>
    <w:p w14:paraId="2AE80924">
      <w:pPr>
        <w:pStyle w:val="2"/>
        <w:spacing w:before="77" w:line="219" w:lineRule="auto"/>
        <w:rPr>
          <w:sz w:val="19"/>
          <w:szCs w:val="19"/>
        </w:rPr>
      </w:pPr>
      <w:r>
        <w:rPr>
          <w:rFonts w:ascii="Times New Roman" w:hAnsi="Times New Roman" w:eastAsia="Times New Roman" w:cs="Times New Roman"/>
          <w:b/>
          <w:bCs/>
          <w:spacing w:val="3"/>
          <w:sz w:val="19"/>
          <w:szCs w:val="19"/>
        </w:rPr>
        <w:t xml:space="preserve">386              </w:t>
      </w:r>
      <w:r>
        <w:rPr>
          <w:spacing w:val="3"/>
          <w:sz w:val="19"/>
          <w:szCs w:val="19"/>
        </w:rPr>
        <w:t>信息系统监理师教程(第2版)</w:t>
      </w:r>
    </w:p>
    <w:p w14:paraId="257531F2">
      <w:pPr>
        <w:spacing w:line="275" w:lineRule="auto"/>
        <w:rPr>
          <w:rFonts w:ascii="Arial"/>
          <w:sz w:val="21"/>
        </w:rPr>
      </w:pPr>
    </w:p>
    <w:p w14:paraId="7C4BD1A3">
      <w:pPr>
        <w:pStyle w:val="2"/>
        <w:spacing w:before="95" w:line="221" w:lineRule="auto"/>
        <w:ind w:left="363"/>
        <w:rPr>
          <w:rFonts w:ascii="黑体" w:hAnsi="黑体" w:eastAsia="黑体" w:cs="黑体"/>
          <w:sz w:val="29"/>
          <w:szCs w:val="29"/>
        </w:rPr>
      </w:pPr>
      <w:bookmarkStart w:id="688" w:name="bookmark673"/>
      <w:bookmarkEnd w:id="688"/>
      <w:r>
        <w:rPr>
          <w:b/>
          <w:bCs/>
          <w:color w:val="0078E1"/>
          <w:spacing w:val="-15"/>
          <w:sz w:val="29"/>
          <w:szCs w:val="29"/>
        </w:rPr>
        <w:t>17.3</w:t>
      </w:r>
      <w:r>
        <w:rPr>
          <w:color w:val="0078E1"/>
          <w:spacing w:val="6"/>
          <w:sz w:val="29"/>
          <w:szCs w:val="29"/>
        </w:rPr>
        <w:t xml:space="preserve">  </w:t>
      </w:r>
      <w:r>
        <w:rPr>
          <w:rFonts w:ascii="黑体" w:hAnsi="黑体" w:eastAsia="黑体" w:cs="黑体"/>
          <w:b/>
          <w:bCs/>
          <w:color w:val="0078E1"/>
          <w:spacing w:val="-15"/>
          <w:sz w:val="29"/>
          <w:szCs w:val="29"/>
        </w:rPr>
        <w:t>变更控制方法</w:t>
      </w:r>
    </w:p>
    <w:p w14:paraId="287DA166">
      <w:pPr>
        <w:pStyle w:val="2"/>
        <w:spacing w:before="295" w:line="297" w:lineRule="auto"/>
        <w:ind w:left="360" w:right="88" w:firstLine="399"/>
        <w:rPr>
          <w:sz w:val="19"/>
          <w:szCs w:val="19"/>
        </w:rPr>
      </w:pPr>
      <w:r>
        <w:rPr>
          <w:spacing w:val="13"/>
          <w:sz w:val="19"/>
          <w:szCs w:val="19"/>
        </w:rPr>
        <w:t>信息系统工程建设项目的环境是变化的，项目自身也在不断变化。采用适当的变更控制方</w:t>
      </w:r>
      <w:r>
        <w:rPr>
          <w:sz w:val="19"/>
          <w:szCs w:val="19"/>
        </w:rPr>
        <w:t xml:space="preserve"> </w:t>
      </w:r>
      <w:r>
        <w:rPr>
          <w:spacing w:val="8"/>
          <w:sz w:val="19"/>
          <w:szCs w:val="19"/>
        </w:rPr>
        <w:t>法有效地控制变更，项目才能适应变化，在变化的环境中成功完成。</w:t>
      </w:r>
    </w:p>
    <w:p w14:paraId="210E7BFE">
      <w:pPr>
        <w:pStyle w:val="2"/>
        <w:spacing w:before="17" w:line="304" w:lineRule="auto"/>
        <w:ind w:left="360" w:firstLine="399"/>
        <w:rPr>
          <w:sz w:val="19"/>
          <w:szCs w:val="19"/>
        </w:rPr>
      </w:pPr>
      <w:r>
        <w:rPr>
          <w:spacing w:val="13"/>
          <w:sz w:val="19"/>
          <w:szCs w:val="19"/>
        </w:rPr>
        <w:t>变更控制方法用于识别、评估和控制任何潜在的及已经批准的变更。规模越大的项目，调</w:t>
      </w:r>
      <w:r>
        <w:rPr>
          <w:spacing w:val="3"/>
          <w:sz w:val="19"/>
          <w:szCs w:val="19"/>
        </w:rPr>
        <w:t xml:space="preserve">  </w:t>
      </w:r>
      <w:r>
        <w:rPr>
          <w:spacing w:val="10"/>
          <w:sz w:val="19"/>
          <w:szCs w:val="19"/>
        </w:rPr>
        <w:t>整项目基准的边际成本越高，随意调整项目可能带来诸多不良后果，包括基准失效、范围蔓延、</w:t>
      </w:r>
      <w:r>
        <w:rPr>
          <w:spacing w:val="4"/>
          <w:sz w:val="19"/>
          <w:szCs w:val="19"/>
        </w:rPr>
        <w:t xml:space="preserve"> </w:t>
      </w:r>
      <w:r>
        <w:rPr>
          <w:spacing w:val="13"/>
          <w:sz w:val="19"/>
          <w:szCs w:val="19"/>
        </w:rPr>
        <w:t>干系人冲突、资源浪费、项目执行情况混乱等。因此，即使在项目整体压力较大时，也需要确</w:t>
      </w:r>
      <w:r>
        <w:rPr>
          <w:sz w:val="19"/>
          <w:szCs w:val="19"/>
        </w:rPr>
        <w:t xml:space="preserve">  </w:t>
      </w:r>
      <w:r>
        <w:rPr>
          <w:spacing w:val="6"/>
          <w:sz w:val="19"/>
          <w:szCs w:val="19"/>
        </w:rPr>
        <w:t>保变更的识别、评估和控制过程规范化。</w:t>
      </w:r>
    </w:p>
    <w:p w14:paraId="13C4A568">
      <w:pPr>
        <w:pStyle w:val="2"/>
        <w:spacing w:before="159" w:line="220" w:lineRule="auto"/>
        <w:ind w:left="363"/>
        <w:rPr>
          <w:sz w:val="25"/>
          <w:szCs w:val="25"/>
        </w:rPr>
      </w:pPr>
      <w:r>
        <w:rPr>
          <w:b/>
          <w:bCs/>
          <w:color w:val="0072D6"/>
          <w:spacing w:val="-16"/>
          <w:sz w:val="25"/>
          <w:szCs w:val="25"/>
        </w:rPr>
        <w:t>17.3.1</w:t>
      </w:r>
      <w:r>
        <w:rPr>
          <w:color w:val="0072D6"/>
          <w:spacing w:val="66"/>
          <w:sz w:val="25"/>
          <w:szCs w:val="25"/>
        </w:rPr>
        <w:t xml:space="preserve"> </w:t>
      </w:r>
      <w:r>
        <w:rPr>
          <w:b/>
          <w:bCs/>
          <w:color w:val="0072D6"/>
          <w:spacing w:val="-16"/>
          <w:sz w:val="25"/>
          <w:szCs w:val="25"/>
        </w:rPr>
        <w:t>变更控制程序</w:t>
      </w:r>
    </w:p>
    <w:p w14:paraId="56433EC9">
      <w:pPr>
        <w:pStyle w:val="2"/>
        <w:spacing w:before="202" w:line="296" w:lineRule="auto"/>
        <w:ind w:left="360" w:right="67" w:firstLine="399"/>
        <w:jc w:val="both"/>
        <w:rPr>
          <w:sz w:val="19"/>
          <w:szCs w:val="19"/>
        </w:rPr>
      </w:pPr>
      <w:r>
        <w:rPr>
          <w:spacing w:val="13"/>
          <w:sz w:val="19"/>
          <w:szCs w:val="19"/>
        </w:rPr>
        <w:t>变更控制要保证工程变更按照既定的程序进行处理，变更控制程序通常在承建合同中进行</w:t>
      </w:r>
      <w:r>
        <w:rPr>
          <w:spacing w:val="1"/>
          <w:sz w:val="19"/>
          <w:szCs w:val="19"/>
        </w:rPr>
        <w:t xml:space="preserve"> </w:t>
      </w:r>
      <w:r>
        <w:rPr>
          <w:spacing w:val="13"/>
          <w:sz w:val="19"/>
          <w:szCs w:val="19"/>
        </w:rPr>
        <w:t>约定，所有工程变更都必须遵循变更控制程序。监理工程师在变更控制过程中，</w:t>
      </w:r>
      <w:r>
        <w:rPr>
          <w:spacing w:val="12"/>
          <w:sz w:val="19"/>
          <w:szCs w:val="19"/>
        </w:rPr>
        <w:t>要对工程变更</w:t>
      </w:r>
      <w:r>
        <w:rPr>
          <w:sz w:val="19"/>
          <w:szCs w:val="19"/>
        </w:rPr>
        <w:t xml:space="preserve"> </w:t>
      </w:r>
      <w:r>
        <w:rPr>
          <w:spacing w:val="13"/>
          <w:sz w:val="19"/>
          <w:szCs w:val="19"/>
        </w:rPr>
        <w:t>的必要性、合理性、可行性、经济性进行分析，要保障变更申请、审批及实</w:t>
      </w:r>
      <w:r>
        <w:rPr>
          <w:spacing w:val="12"/>
          <w:sz w:val="19"/>
          <w:szCs w:val="19"/>
        </w:rPr>
        <w:t>施符合变更控制程</w:t>
      </w:r>
      <w:r>
        <w:rPr>
          <w:sz w:val="19"/>
          <w:szCs w:val="19"/>
        </w:rPr>
        <w:t xml:space="preserve"> </w:t>
      </w:r>
      <w:r>
        <w:rPr>
          <w:spacing w:val="13"/>
          <w:sz w:val="19"/>
          <w:szCs w:val="19"/>
        </w:rPr>
        <w:t xml:space="preserve">序，要对该变更所引发的一系列变化无一遗漏地确认，对变更所产生的负面影响进行预测并提 </w:t>
      </w:r>
      <w:r>
        <w:rPr>
          <w:spacing w:val="6"/>
          <w:sz w:val="19"/>
          <w:szCs w:val="19"/>
        </w:rPr>
        <w:t>出必要的应对措施，以使风险降至最小。</w:t>
      </w:r>
    </w:p>
    <w:p w14:paraId="2E529CD1">
      <w:pPr>
        <w:pStyle w:val="2"/>
        <w:spacing w:before="67" w:line="219" w:lineRule="auto"/>
        <w:ind w:left="760"/>
        <w:rPr>
          <w:sz w:val="19"/>
          <w:szCs w:val="19"/>
        </w:rPr>
      </w:pPr>
      <w:r>
        <w:rPr>
          <w:spacing w:val="6"/>
          <w:sz w:val="19"/>
          <w:szCs w:val="19"/>
        </w:rPr>
        <w:t>一般来说，变更控制程序包括以下步骤。</w:t>
      </w:r>
    </w:p>
    <w:p w14:paraId="427BB557">
      <w:pPr>
        <w:pStyle w:val="2"/>
        <w:spacing w:before="161" w:line="222" w:lineRule="auto"/>
        <w:ind w:left="762"/>
        <w:rPr>
          <w:rFonts w:ascii="黑体" w:hAnsi="黑体" w:eastAsia="黑体" w:cs="黑体"/>
          <w:sz w:val="19"/>
          <w:szCs w:val="19"/>
        </w:rPr>
      </w:pPr>
      <w:r>
        <w:rPr>
          <w:b/>
          <w:bCs/>
          <w:color w:val="0070C6"/>
          <w:spacing w:val="6"/>
          <w:sz w:val="19"/>
          <w:szCs w:val="19"/>
        </w:rPr>
        <w:t>1.</w:t>
      </w:r>
      <w:r>
        <w:rPr>
          <w:rFonts w:ascii="黑体" w:hAnsi="黑体" w:eastAsia="黑体" w:cs="黑体"/>
          <w:b/>
          <w:bCs/>
          <w:color w:val="0070C6"/>
          <w:spacing w:val="6"/>
          <w:sz w:val="19"/>
          <w:szCs w:val="19"/>
        </w:rPr>
        <w:t>及时了解变化</w:t>
      </w:r>
    </w:p>
    <w:p w14:paraId="38765C5D">
      <w:pPr>
        <w:pStyle w:val="2"/>
        <w:spacing w:before="145" w:line="302" w:lineRule="auto"/>
        <w:ind w:left="360" w:right="61" w:firstLine="399"/>
        <w:jc w:val="both"/>
        <w:rPr>
          <w:sz w:val="19"/>
          <w:szCs w:val="19"/>
        </w:rPr>
      </w:pPr>
      <w:r>
        <w:rPr>
          <w:spacing w:val="13"/>
          <w:sz w:val="19"/>
          <w:szCs w:val="19"/>
        </w:rPr>
        <w:t>在项目实施过程中，监理工程师要经常关注与项目有关的主客观因素，及时发现和把握变</w:t>
      </w:r>
      <w:r>
        <w:rPr>
          <w:sz w:val="19"/>
          <w:szCs w:val="19"/>
        </w:rPr>
        <w:t xml:space="preserve"> </w:t>
      </w:r>
      <w:r>
        <w:rPr>
          <w:spacing w:val="14"/>
          <w:sz w:val="19"/>
          <w:szCs w:val="19"/>
        </w:rPr>
        <w:t>化，认真分析变化的性质，确定变化的影响</w:t>
      </w:r>
      <w:r>
        <w:rPr>
          <w:spacing w:val="13"/>
          <w:sz w:val="19"/>
          <w:szCs w:val="19"/>
        </w:rPr>
        <w:t>，适时地通报变化，要对整个项目的执行情况做到</w:t>
      </w:r>
      <w:r>
        <w:rPr>
          <w:sz w:val="19"/>
          <w:szCs w:val="19"/>
        </w:rPr>
        <w:t xml:space="preserve"> </w:t>
      </w:r>
      <w:r>
        <w:rPr>
          <w:spacing w:val="4"/>
          <w:sz w:val="19"/>
          <w:szCs w:val="19"/>
        </w:rPr>
        <w:t>心中有数。</w:t>
      </w:r>
    </w:p>
    <w:p w14:paraId="3590536E">
      <w:pPr>
        <w:pStyle w:val="2"/>
        <w:spacing w:before="114" w:line="222" w:lineRule="auto"/>
        <w:ind w:left="762"/>
        <w:rPr>
          <w:rFonts w:ascii="黑体" w:hAnsi="黑体" w:eastAsia="黑体" w:cs="黑体"/>
          <w:sz w:val="19"/>
          <w:szCs w:val="19"/>
        </w:rPr>
      </w:pPr>
      <w:r>
        <w:rPr>
          <w:b/>
          <w:bCs/>
          <w:color w:val="007BE8"/>
          <w:spacing w:val="7"/>
          <w:sz w:val="19"/>
          <w:szCs w:val="19"/>
        </w:rPr>
        <w:t>2.</w:t>
      </w:r>
      <w:r>
        <w:rPr>
          <w:rFonts w:ascii="黑体" w:hAnsi="黑体" w:eastAsia="黑体" w:cs="黑体"/>
          <w:b/>
          <w:bCs/>
          <w:color w:val="007BE8"/>
          <w:spacing w:val="7"/>
          <w:sz w:val="19"/>
          <w:szCs w:val="19"/>
        </w:rPr>
        <w:t>接受变更申请</w:t>
      </w:r>
    </w:p>
    <w:p w14:paraId="29C8CE47">
      <w:pPr>
        <w:pStyle w:val="2"/>
        <w:spacing w:before="146" w:line="294" w:lineRule="auto"/>
        <w:ind w:left="360" w:right="64" w:firstLine="399"/>
        <w:jc w:val="both"/>
        <w:rPr>
          <w:sz w:val="19"/>
          <w:szCs w:val="19"/>
        </w:rPr>
      </w:pPr>
      <w:r>
        <w:rPr>
          <w:spacing w:val="14"/>
          <w:sz w:val="19"/>
          <w:szCs w:val="19"/>
        </w:rPr>
        <w:t>变更申请单位提出变更申请，向总监理工程师提交</w:t>
      </w:r>
      <w:r>
        <w:rPr>
          <w:spacing w:val="13"/>
          <w:sz w:val="19"/>
          <w:szCs w:val="19"/>
        </w:rPr>
        <w:t>书面工程变更单，由总监理工程师组织</w:t>
      </w:r>
      <w:r>
        <w:rPr>
          <w:sz w:val="19"/>
          <w:szCs w:val="19"/>
        </w:rPr>
        <w:t xml:space="preserve"> </w:t>
      </w:r>
      <w:r>
        <w:rPr>
          <w:spacing w:val="13"/>
          <w:sz w:val="19"/>
          <w:szCs w:val="19"/>
        </w:rPr>
        <w:t>审核。工程变更单主要包括：变更原因，变更内容，并附工程变更情况说明。工</w:t>
      </w:r>
      <w:r>
        <w:rPr>
          <w:spacing w:val="12"/>
          <w:sz w:val="19"/>
          <w:szCs w:val="19"/>
        </w:rPr>
        <w:t>程变更情况说</w:t>
      </w:r>
      <w:r>
        <w:rPr>
          <w:sz w:val="19"/>
          <w:szCs w:val="19"/>
        </w:rPr>
        <w:t xml:space="preserve"> </w:t>
      </w:r>
      <w:r>
        <w:rPr>
          <w:spacing w:val="13"/>
          <w:sz w:val="19"/>
          <w:szCs w:val="19"/>
        </w:rPr>
        <w:t>明中可以包括变更情况描述、变更依据、变更前后的差别、变</w:t>
      </w:r>
      <w:r>
        <w:rPr>
          <w:spacing w:val="12"/>
          <w:sz w:val="19"/>
          <w:szCs w:val="19"/>
        </w:rPr>
        <w:t>更方案、变更影响和风险、证明</w:t>
      </w:r>
      <w:r>
        <w:rPr>
          <w:sz w:val="19"/>
          <w:szCs w:val="19"/>
        </w:rPr>
        <w:t xml:space="preserve"> </w:t>
      </w:r>
      <w:r>
        <w:rPr>
          <w:spacing w:val="4"/>
          <w:sz w:val="19"/>
          <w:szCs w:val="19"/>
        </w:rPr>
        <w:t>材料等内容。</w:t>
      </w:r>
    </w:p>
    <w:p w14:paraId="4E888FA3">
      <w:pPr>
        <w:pStyle w:val="2"/>
        <w:spacing w:before="38" w:line="299" w:lineRule="auto"/>
        <w:ind w:left="360" w:right="84" w:firstLine="399"/>
        <w:rPr>
          <w:sz w:val="19"/>
          <w:szCs w:val="19"/>
        </w:rPr>
      </w:pPr>
      <w:r>
        <w:rPr>
          <w:spacing w:val="13"/>
          <w:sz w:val="19"/>
          <w:szCs w:val="19"/>
        </w:rPr>
        <w:t>工程变更单应在预计可能变更的时间之前尽早提出。在特殊情况下，工程变更可以不受时</w:t>
      </w:r>
      <w:r>
        <w:rPr>
          <w:spacing w:val="2"/>
          <w:sz w:val="19"/>
          <w:szCs w:val="19"/>
        </w:rPr>
        <w:t xml:space="preserve"> </w:t>
      </w:r>
      <w:r>
        <w:rPr>
          <w:spacing w:val="4"/>
          <w:sz w:val="19"/>
          <w:szCs w:val="19"/>
        </w:rPr>
        <w:t>间的限制。</w:t>
      </w:r>
    </w:p>
    <w:p w14:paraId="5A93E6DB">
      <w:pPr>
        <w:pStyle w:val="2"/>
        <w:spacing w:before="102" w:line="222" w:lineRule="auto"/>
        <w:ind w:left="762"/>
        <w:rPr>
          <w:rFonts w:ascii="黑体" w:hAnsi="黑体" w:eastAsia="黑体" w:cs="黑体"/>
          <w:sz w:val="19"/>
          <w:szCs w:val="19"/>
        </w:rPr>
      </w:pPr>
      <w:r>
        <w:rPr>
          <w:b/>
          <w:bCs/>
          <w:color w:val="007AC2"/>
          <w:spacing w:val="9"/>
          <w:sz w:val="19"/>
          <w:szCs w:val="19"/>
        </w:rPr>
        <w:t>3.</w:t>
      </w:r>
      <w:r>
        <w:rPr>
          <w:rFonts w:ascii="黑体" w:hAnsi="黑体" w:eastAsia="黑体" w:cs="黑体"/>
          <w:b/>
          <w:bCs/>
          <w:color w:val="007AC2"/>
          <w:spacing w:val="9"/>
          <w:sz w:val="19"/>
          <w:szCs w:val="19"/>
        </w:rPr>
        <w:t>变更初审</w:t>
      </w:r>
    </w:p>
    <w:p w14:paraId="370B4C5E">
      <w:pPr>
        <w:pStyle w:val="2"/>
        <w:spacing w:before="144" w:line="219" w:lineRule="auto"/>
        <w:ind w:left="760"/>
        <w:rPr>
          <w:sz w:val="19"/>
          <w:szCs w:val="19"/>
        </w:rPr>
      </w:pPr>
      <w:r>
        <w:rPr>
          <w:spacing w:val="6"/>
          <w:sz w:val="19"/>
          <w:szCs w:val="19"/>
        </w:rPr>
        <w:t>监理机构进行变更初审的目的主要包括：</w:t>
      </w:r>
    </w:p>
    <w:p w14:paraId="0C81FDC8">
      <w:pPr>
        <w:pStyle w:val="2"/>
        <w:spacing w:before="86" w:line="219" w:lineRule="auto"/>
        <w:ind w:left="760"/>
        <w:rPr>
          <w:sz w:val="19"/>
          <w:szCs w:val="19"/>
        </w:rPr>
      </w:pPr>
      <w:r>
        <w:rPr>
          <w:spacing w:val="10"/>
          <w:sz w:val="19"/>
          <w:szCs w:val="19"/>
        </w:rPr>
        <w:t>(1)确认变更申请在承建合同约定的期限内提交；</w:t>
      </w:r>
    </w:p>
    <w:p w14:paraId="755F25E7">
      <w:pPr>
        <w:pStyle w:val="2"/>
        <w:spacing w:before="85" w:line="219" w:lineRule="auto"/>
        <w:ind w:left="760"/>
        <w:rPr>
          <w:sz w:val="19"/>
          <w:szCs w:val="19"/>
        </w:rPr>
      </w:pPr>
      <w:r>
        <w:rPr>
          <w:spacing w:val="10"/>
          <w:sz w:val="19"/>
          <w:szCs w:val="19"/>
        </w:rPr>
        <w:t>(2)了解变更的实际情况，收集相关资料或信息，证明资料真实、齐全；</w:t>
      </w:r>
    </w:p>
    <w:p w14:paraId="647E56DD">
      <w:pPr>
        <w:pStyle w:val="2"/>
        <w:spacing w:before="84" w:line="254" w:lineRule="auto"/>
        <w:ind w:left="360" w:right="19" w:firstLine="399"/>
        <w:rPr>
          <w:sz w:val="19"/>
          <w:szCs w:val="19"/>
        </w:rPr>
      </w:pPr>
      <w:r>
        <w:rPr>
          <w:spacing w:val="17"/>
          <w:sz w:val="19"/>
          <w:szCs w:val="19"/>
        </w:rPr>
        <w:t>(3)检查工程变更单的格式与完整性，包括申请文件填写齐全，</w:t>
      </w:r>
      <w:r>
        <w:rPr>
          <w:spacing w:val="16"/>
          <w:sz w:val="19"/>
          <w:szCs w:val="19"/>
        </w:rPr>
        <w:t>签字、印章手续完备等，</w:t>
      </w:r>
      <w:r>
        <w:rPr>
          <w:sz w:val="19"/>
          <w:szCs w:val="19"/>
        </w:rPr>
        <w:t xml:space="preserve"> </w:t>
      </w:r>
      <w:r>
        <w:rPr>
          <w:spacing w:val="7"/>
          <w:sz w:val="19"/>
          <w:szCs w:val="19"/>
        </w:rPr>
        <w:t>确保下一步变更评估所需的信息准备充分；</w:t>
      </w:r>
    </w:p>
    <w:p w14:paraId="2AF867CD">
      <w:pPr>
        <w:pStyle w:val="2"/>
        <w:spacing w:before="87" w:line="219" w:lineRule="auto"/>
        <w:ind w:left="760"/>
        <w:rPr>
          <w:sz w:val="19"/>
          <w:szCs w:val="19"/>
        </w:rPr>
      </w:pPr>
      <w:r>
        <w:rPr>
          <w:spacing w:val="13"/>
          <w:sz w:val="19"/>
          <w:szCs w:val="19"/>
        </w:rPr>
        <w:t>(4)明确界定变更的目标；</w:t>
      </w:r>
    </w:p>
    <w:p w14:paraId="1886BB3D">
      <w:pPr>
        <w:pStyle w:val="2"/>
        <w:spacing w:before="85" w:line="219" w:lineRule="auto"/>
        <w:ind w:left="760"/>
        <w:rPr>
          <w:sz w:val="19"/>
          <w:szCs w:val="19"/>
        </w:rPr>
      </w:pPr>
      <w:r>
        <w:rPr>
          <w:spacing w:val="15"/>
          <w:sz w:val="19"/>
          <w:szCs w:val="19"/>
        </w:rPr>
        <w:t>(5)根据收集的变更信息，对变更申请单位施加影响，确认变更的必要性，对于完全没有</w:t>
      </w:r>
    </w:p>
    <w:p w14:paraId="58269931">
      <w:pPr>
        <w:spacing w:line="219" w:lineRule="auto"/>
        <w:rPr>
          <w:sz w:val="19"/>
          <w:szCs w:val="19"/>
        </w:rPr>
        <w:sectPr>
          <w:pgSz w:w="10300" w:h="13380"/>
          <w:pgMar w:top="400" w:right="1024" w:bottom="400" w:left="509" w:header="0" w:footer="0" w:gutter="0"/>
          <w:cols w:space="720" w:num="1"/>
        </w:sectPr>
      </w:pPr>
    </w:p>
    <w:p w14:paraId="34D4FB8C">
      <w:pPr>
        <w:pStyle w:val="2"/>
        <w:jc w:val="right"/>
        <w:rPr>
          <w:sz w:val="19"/>
          <w:szCs w:val="19"/>
        </w:rPr>
      </w:pPr>
      <w:r>
        <w:rPr>
          <w:spacing w:val="6"/>
          <w:sz w:val="19"/>
          <w:szCs w:val="19"/>
        </w:rPr>
        <w:t>第17章</w:t>
      </w:r>
      <w:r>
        <w:rPr>
          <w:spacing w:val="39"/>
          <w:sz w:val="19"/>
          <w:szCs w:val="19"/>
        </w:rPr>
        <w:t xml:space="preserve"> </w:t>
      </w:r>
      <w:r>
        <w:rPr>
          <w:spacing w:val="6"/>
          <w:sz w:val="19"/>
          <w:szCs w:val="19"/>
        </w:rPr>
        <w:t xml:space="preserve">变更控制 </w:t>
      </w:r>
      <w:r>
        <w:rPr>
          <w:position w:val="-11"/>
          <w:sz w:val="19"/>
          <w:szCs w:val="19"/>
        </w:rPr>
        <w:drawing>
          <wp:inline distT="0" distB="0" distL="0" distR="0">
            <wp:extent cx="317500" cy="240665"/>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255"/>
                    <a:stretch>
                      <a:fillRect/>
                    </a:stretch>
                  </pic:blipFill>
                  <pic:spPr>
                    <a:xfrm>
                      <a:off x="0" y="0"/>
                      <a:ext cx="317512" cy="241287"/>
                    </a:xfrm>
                    <a:prstGeom prst="rect">
                      <a:avLst/>
                    </a:prstGeom>
                  </pic:spPr>
                </pic:pic>
              </a:graphicData>
            </a:graphic>
          </wp:inline>
        </w:drawing>
      </w:r>
      <w:r>
        <w:rPr>
          <w:rFonts w:ascii="Times New Roman" w:hAnsi="Times New Roman" w:eastAsia="Times New Roman" w:cs="Times New Roman"/>
          <w:spacing w:val="6"/>
          <w:sz w:val="19"/>
          <w:szCs w:val="19"/>
        </w:rPr>
        <w:t>387</w:t>
      </w:r>
      <w:r>
        <w:rPr>
          <w:rFonts w:ascii="Times New Roman" w:hAnsi="Times New Roman" w:eastAsia="Times New Roman" w:cs="Times New Roman"/>
          <w:spacing w:val="45"/>
          <w:sz w:val="19"/>
          <w:szCs w:val="19"/>
        </w:rPr>
        <w:t xml:space="preserve"> </w:t>
      </w:r>
      <w:r>
        <w:rPr>
          <w:position w:val="-8"/>
          <w:sz w:val="19"/>
          <w:szCs w:val="19"/>
        </w:rPr>
        <w:drawing>
          <wp:inline distT="0" distB="0" distL="0" distR="0">
            <wp:extent cx="304800" cy="20256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256"/>
                    <a:stretch>
                      <a:fillRect/>
                    </a:stretch>
                  </pic:blipFill>
                  <pic:spPr>
                    <a:xfrm>
                      <a:off x="0" y="0"/>
                      <a:ext cx="304848" cy="203199"/>
                    </a:xfrm>
                    <a:prstGeom prst="rect">
                      <a:avLst/>
                    </a:prstGeom>
                  </pic:spPr>
                </pic:pic>
              </a:graphicData>
            </a:graphic>
          </wp:inline>
        </w:drawing>
      </w:r>
    </w:p>
    <w:p w14:paraId="4B90044F">
      <w:pPr>
        <w:spacing w:line="254" w:lineRule="auto"/>
        <w:rPr>
          <w:rFonts w:ascii="Arial"/>
          <w:sz w:val="21"/>
        </w:rPr>
      </w:pPr>
    </w:p>
    <w:p w14:paraId="4D880F7B">
      <w:pPr>
        <w:pStyle w:val="2"/>
        <w:spacing w:before="62" w:line="315" w:lineRule="auto"/>
        <w:ind w:right="881"/>
        <w:rPr>
          <w:sz w:val="19"/>
          <w:szCs w:val="19"/>
        </w:rPr>
      </w:pPr>
      <w:r>
        <w:rPr>
          <w:spacing w:val="13"/>
          <w:sz w:val="19"/>
          <w:szCs w:val="19"/>
        </w:rPr>
        <w:t>必要的变更，可以驳回变更申请并给出监理意见，对于有</w:t>
      </w:r>
      <w:r>
        <w:rPr>
          <w:spacing w:val="12"/>
          <w:sz w:val="19"/>
          <w:szCs w:val="19"/>
        </w:rPr>
        <w:t>必要的变更，可以进一步进行变更分</w:t>
      </w:r>
      <w:r>
        <w:rPr>
          <w:sz w:val="19"/>
          <w:szCs w:val="19"/>
        </w:rPr>
        <w:t xml:space="preserve"> </w:t>
      </w:r>
      <w:r>
        <w:rPr>
          <w:spacing w:val="4"/>
          <w:sz w:val="19"/>
          <w:szCs w:val="19"/>
        </w:rPr>
        <w:t>析与评估。</w:t>
      </w:r>
    </w:p>
    <w:p w14:paraId="6E0C7B0C">
      <w:pPr>
        <w:pStyle w:val="2"/>
        <w:spacing w:before="97" w:line="222" w:lineRule="auto"/>
        <w:ind w:left="402"/>
        <w:rPr>
          <w:rFonts w:ascii="黑体" w:hAnsi="黑体" w:eastAsia="黑体" w:cs="黑体"/>
          <w:sz w:val="19"/>
          <w:szCs w:val="19"/>
        </w:rPr>
      </w:pPr>
      <w:r>
        <w:rPr>
          <w:b/>
          <w:bCs/>
          <w:color w:val="0069D3"/>
          <w:spacing w:val="7"/>
          <w:sz w:val="19"/>
          <w:szCs w:val="19"/>
        </w:rPr>
        <w:t>4.</w:t>
      </w:r>
      <w:r>
        <w:rPr>
          <w:rFonts w:ascii="黑体" w:hAnsi="黑体" w:eastAsia="黑体" w:cs="黑体"/>
          <w:b/>
          <w:bCs/>
          <w:color w:val="0069D3"/>
          <w:spacing w:val="7"/>
          <w:sz w:val="19"/>
          <w:szCs w:val="19"/>
        </w:rPr>
        <w:t>变更分析与评估</w:t>
      </w:r>
    </w:p>
    <w:p w14:paraId="306D4AD6">
      <w:pPr>
        <w:pStyle w:val="2"/>
        <w:spacing w:before="125" w:line="305" w:lineRule="auto"/>
        <w:ind w:right="844" w:firstLine="399"/>
        <w:rPr>
          <w:sz w:val="19"/>
          <w:szCs w:val="19"/>
        </w:rPr>
      </w:pPr>
      <w:r>
        <w:rPr>
          <w:spacing w:val="9"/>
          <w:sz w:val="19"/>
          <w:szCs w:val="19"/>
        </w:rPr>
        <w:t>总监理工程师应根据实际情况，参考变更文件及其他有</w:t>
      </w:r>
      <w:r>
        <w:rPr>
          <w:spacing w:val="8"/>
          <w:sz w:val="19"/>
          <w:szCs w:val="19"/>
        </w:rPr>
        <w:t>关资料，按照承建合同的有关条款，</w:t>
      </w:r>
      <w:r>
        <w:rPr>
          <w:sz w:val="19"/>
          <w:szCs w:val="19"/>
        </w:rPr>
        <w:t xml:space="preserve"> </w:t>
      </w:r>
      <w:r>
        <w:rPr>
          <w:spacing w:val="8"/>
          <w:sz w:val="19"/>
          <w:szCs w:val="19"/>
        </w:rPr>
        <w:t>对变更进行分析与评估，在工程变更单中签</w:t>
      </w:r>
      <w:r>
        <w:rPr>
          <w:spacing w:val="7"/>
          <w:sz w:val="19"/>
          <w:szCs w:val="19"/>
        </w:rPr>
        <w:t>署监理意见。</w:t>
      </w:r>
    </w:p>
    <w:p w14:paraId="1891441B">
      <w:pPr>
        <w:pStyle w:val="2"/>
        <w:spacing w:before="20" w:line="218" w:lineRule="auto"/>
        <w:ind w:left="399"/>
        <w:rPr>
          <w:sz w:val="19"/>
          <w:szCs w:val="19"/>
        </w:rPr>
      </w:pPr>
      <w:r>
        <w:rPr>
          <w:spacing w:val="4"/>
          <w:sz w:val="19"/>
          <w:szCs w:val="19"/>
        </w:rPr>
        <w:t>变更分析与评估的内容主要包括：</w:t>
      </w:r>
    </w:p>
    <w:p w14:paraId="77DC4223">
      <w:pPr>
        <w:pStyle w:val="2"/>
        <w:spacing w:before="87" w:line="220" w:lineRule="auto"/>
        <w:ind w:left="399"/>
        <w:rPr>
          <w:sz w:val="19"/>
          <w:szCs w:val="19"/>
        </w:rPr>
      </w:pPr>
      <w:r>
        <w:rPr>
          <w:spacing w:val="10"/>
          <w:sz w:val="19"/>
          <w:szCs w:val="19"/>
        </w:rPr>
        <w:t>(1)分析变更对工程项目的整体影响；</w:t>
      </w:r>
    </w:p>
    <w:p w14:paraId="438335AF">
      <w:pPr>
        <w:pStyle w:val="2"/>
        <w:spacing w:before="92" w:line="218" w:lineRule="auto"/>
        <w:ind w:left="399"/>
        <w:rPr>
          <w:sz w:val="19"/>
          <w:szCs w:val="19"/>
        </w:rPr>
      </w:pPr>
      <w:r>
        <w:rPr>
          <w:spacing w:val="11"/>
          <w:sz w:val="19"/>
          <w:szCs w:val="19"/>
        </w:rPr>
        <w:t>(2)评估变更的合理性；</w:t>
      </w:r>
    </w:p>
    <w:p w14:paraId="325F7A4C">
      <w:pPr>
        <w:pStyle w:val="2"/>
        <w:spacing w:before="95" w:line="218" w:lineRule="auto"/>
        <w:ind w:left="399"/>
        <w:rPr>
          <w:sz w:val="19"/>
          <w:szCs w:val="19"/>
        </w:rPr>
      </w:pPr>
      <w:r>
        <w:rPr>
          <w:spacing w:val="10"/>
          <w:sz w:val="19"/>
          <w:szCs w:val="19"/>
        </w:rPr>
        <w:t>(3)评估变更方案的可行性、合理性；</w:t>
      </w:r>
    </w:p>
    <w:p w14:paraId="7C8F0BB4">
      <w:pPr>
        <w:pStyle w:val="2"/>
        <w:spacing w:before="86" w:line="218" w:lineRule="auto"/>
        <w:ind w:left="399"/>
        <w:rPr>
          <w:sz w:val="19"/>
          <w:szCs w:val="19"/>
        </w:rPr>
      </w:pPr>
      <w:r>
        <w:rPr>
          <w:spacing w:val="11"/>
          <w:sz w:val="19"/>
          <w:szCs w:val="19"/>
        </w:rPr>
        <w:t>(4)评估变更工作量；</w:t>
      </w:r>
    </w:p>
    <w:p w14:paraId="3A5038D8">
      <w:pPr>
        <w:pStyle w:val="2"/>
        <w:spacing w:before="96" w:line="218" w:lineRule="auto"/>
        <w:ind w:left="399"/>
        <w:rPr>
          <w:sz w:val="19"/>
          <w:szCs w:val="19"/>
        </w:rPr>
      </w:pPr>
      <w:r>
        <w:rPr>
          <w:spacing w:val="11"/>
          <w:sz w:val="19"/>
          <w:szCs w:val="19"/>
        </w:rPr>
        <w:t>(5)评估变更费用和工期。</w:t>
      </w:r>
    </w:p>
    <w:p w14:paraId="587F1F14">
      <w:pPr>
        <w:pStyle w:val="2"/>
        <w:spacing w:before="97" w:line="291" w:lineRule="auto"/>
        <w:ind w:right="815" w:firstLine="399"/>
        <w:jc w:val="both"/>
        <w:rPr>
          <w:sz w:val="19"/>
          <w:szCs w:val="19"/>
        </w:rPr>
      </w:pPr>
      <w:r>
        <w:rPr>
          <w:spacing w:val="9"/>
          <w:sz w:val="19"/>
          <w:szCs w:val="19"/>
        </w:rPr>
        <w:t>总监理工程师应根据实际情况，参考变更文件及其他有关资料，按照项目合同的有关条款，</w:t>
      </w:r>
      <w:r>
        <w:rPr>
          <w:spacing w:val="13"/>
          <w:sz w:val="19"/>
          <w:szCs w:val="19"/>
        </w:rPr>
        <w:t xml:space="preserve"> 指定监理工程师完成下列工作后，对工程变更的费用和工</w:t>
      </w:r>
      <w:r>
        <w:rPr>
          <w:spacing w:val="12"/>
          <w:sz w:val="19"/>
          <w:szCs w:val="19"/>
        </w:rPr>
        <w:t>期做出评估：确定工程变更范围及其</w:t>
      </w:r>
      <w:r>
        <w:rPr>
          <w:sz w:val="19"/>
          <w:szCs w:val="19"/>
        </w:rPr>
        <w:t xml:space="preserve"> </w:t>
      </w:r>
      <w:r>
        <w:rPr>
          <w:spacing w:val="7"/>
          <w:sz w:val="19"/>
          <w:szCs w:val="19"/>
        </w:rPr>
        <w:t>实施难度，确定工程变更内容的工作量，确定工程变更的单价或总价。</w:t>
      </w:r>
    </w:p>
    <w:p w14:paraId="5D1E9655">
      <w:pPr>
        <w:pStyle w:val="2"/>
        <w:spacing w:before="147" w:line="221" w:lineRule="auto"/>
        <w:ind w:left="402"/>
        <w:rPr>
          <w:rFonts w:ascii="黑体" w:hAnsi="黑体" w:eastAsia="黑体" w:cs="黑体"/>
          <w:sz w:val="19"/>
          <w:szCs w:val="19"/>
        </w:rPr>
      </w:pPr>
      <w:r>
        <w:rPr>
          <w:b/>
          <w:bCs/>
          <w:color w:val="0059C0"/>
          <w:spacing w:val="7"/>
          <w:sz w:val="19"/>
          <w:szCs w:val="19"/>
        </w:rPr>
        <w:t>5.</w:t>
      </w:r>
      <w:r>
        <w:rPr>
          <w:rFonts w:ascii="黑体" w:hAnsi="黑体" w:eastAsia="黑体" w:cs="黑体"/>
          <w:b/>
          <w:bCs/>
          <w:color w:val="0059C0"/>
          <w:spacing w:val="7"/>
          <w:sz w:val="19"/>
          <w:szCs w:val="19"/>
        </w:rPr>
        <w:t>确定变更方案</w:t>
      </w:r>
    </w:p>
    <w:p w14:paraId="6155F093">
      <w:pPr>
        <w:pStyle w:val="2"/>
        <w:spacing w:before="146" w:line="294" w:lineRule="auto"/>
        <w:ind w:right="794" w:firstLine="399"/>
        <w:jc w:val="both"/>
        <w:rPr>
          <w:sz w:val="19"/>
          <w:szCs w:val="19"/>
        </w:rPr>
      </w:pPr>
      <w:r>
        <w:rPr>
          <w:spacing w:val="10"/>
          <w:sz w:val="19"/>
          <w:szCs w:val="19"/>
        </w:rPr>
        <w:t>总监理工程师组织三方进行协商和讨论，根据变更分析与评估的结果，确定最</w:t>
      </w:r>
      <w:r>
        <w:rPr>
          <w:spacing w:val="9"/>
          <w:sz w:val="19"/>
          <w:szCs w:val="19"/>
        </w:rPr>
        <w:t>优变更方案。</w:t>
      </w:r>
      <w:r>
        <w:rPr>
          <w:sz w:val="19"/>
          <w:szCs w:val="19"/>
        </w:rPr>
        <w:t xml:space="preserve"> </w:t>
      </w:r>
      <w:r>
        <w:rPr>
          <w:spacing w:val="18"/>
          <w:sz w:val="19"/>
          <w:szCs w:val="19"/>
        </w:rPr>
        <w:t>监理单位应协调业主单位、承建单位就变更的内容和方案达成一致，并在工程变更</w:t>
      </w:r>
      <w:r>
        <w:rPr>
          <w:spacing w:val="17"/>
          <w:sz w:val="19"/>
          <w:szCs w:val="19"/>
        </w:rPr>
        <w:t>单中予以</w:t>
      </w:r>
      <w:r>
        <w:rPr>
          <w:sz w:val="19"/>
          <w:szCs w:val="19"/>
        </w:rPr>
        <w:t xml:space="preserve">  </w:t>
      </w:r>
      <w:r>
        <w:rPr>
          <w:spacing w:val="8"/>
          <w:sz w:val="19"/>
          <w:szCs w:val="19"/>
        </w:rPr>
        <w:t>签认。</w:t>
      </w:r>
    </w:p>
    <w:p w14:paraId="17B95C27">
      <w:pPr>
        <w:pStyle w:val="2"/>
        <w:spacing w:before="11" w:line="293" w:lineRule="auto"/>
        <w:ind w:right="814" w:firstLine="399"/>
        <w:jc w:val="both"/>
        <w:rPr>
          <w:sz w:val="19"/>
          <w:szCs w:val="19"/>
        </w:rPr>
      </w:pPr>
      <w:r>
        <w:rPr>
          <w:spacing w:val="9"/>
          <w:sz w:val="19"/>
          <w:szCs w:val="19"/>
        </w:rPr>
        <w:t>对于一些较大或较关键的变更，可以召开变更方案论证会议，业主单位虽有最终的决策权，</w:t>
      </w:r>
      <w:r>
        <w:rPr>
          <w:spacing w:val="14"/>
          <w:sz w:val="19"/>
          <w:szCs w:val="19"/>
        </w:rPr>
        <w:t xml:space="preserve"> </w:t>
      </w:r>
      <w:r>
        <w:rPr>
          <w:spacing w:val="17"/>
          <w:sz w:val="19"/>
          <w:szCs w:val="19"/>
        </w:rPr>
        <w:t>但可能技术上并不专业，可以由变更顾问委员会(由相关技术和经济方面的专家组成)提供论</w:t>
      </w:r>
      <w:r>
        <w:rPr>
          <w:spacing w:val="10"/>
          <w:sz w:val="19"/>
          <w:szCs w:val="19"/>
        </w:rPr>
        <w:t xml:space="preserve"> </w:t>
      </w:r>
      <w:r>
        <w:rPr>
          <w:spacing w:val="8"/>
          <w:sz w:val="19"/>
          <w:szCs w:val="19"/>
        </w:rPr>
        <w:t>证意见。</w:t>
      </w:r>
    </w:p>
    <w:p w14:paraId="7B0BE8C0">
      <w:pPr>
        <w:pStyle w:val="2"/>
        <w:spacing w:before="38" w:line="219" w:lineRule="auto"/>
        <w:ind w:left="399"/>
        <w:rPr>
          <w:sz w:val="19"/>
          <w:szCs w:val="19"/>
        </w:rPr>
      </w:pPr>
      <w:r>
        <w:rPr>
          <w:spacing w:val="7"/>
          <w:sz w:val="19"/>
          <w:szCs w:val="19"/>
        </w:rPr>
        <w:t>在确定变更方案的过程中，三方仍有可能做出驳回变更的决定。</w:t>
      </w:r>
    </w:p>
    <w:p w14:paraId="658CE797">
      <w:pPr>
        <w:pStyle w:val="2"/>
        <w:spacing w:before="200" w:line="221" w:lineRule="auto"/>
        <w:ind w:left="402"/>
        <w:rPr>
          <w:rFonts w:ascii="黑体" w:hAnsi="黑体" w:eastAsia="黑体" w:cs="黑体"/>
          <w:sz w:val="19"/>
          <w:szCs w:val="19"/>
        </w:rPr>
      </w:pPr>
      <w:r>
        <w:rPr>
          <w:b/>
          <w:bCs/>
          <w:color w:val="006CD9"/>
          <w:spacing w:val="7"/>
          <w:sz w:val="19"/>
          <w:szCs w:val="19"/>
        </w:rPr>
        <w:t>6.</w:t>
      </w:r>
      <w:r>
        <w:rPr>
          <w:rFonts w:ascii="黑体" w:hAnsi="黑体" w:eastAsia="黑体" w:cs="黑体"/>
          <w:b/>
          <w:bCs/>
          <w:color w:val="006CD9"/>
          <w:spacing w:val="7"/>
          <w:sz w:val="19"/>
          <w:szCs w:val="19"/>
        </w:rPr>
        <w:t>签发工程变更单并公布变更</w:t>
      </w:r>
    </w:p>
    <w:p w14:paraId="793317C5">
      <w:pPr>
        <w:pStyle w:val="2"/>
        <w:spacing w:before="115" w:line="295" w:lineRule="auto"/>
        <w:ind w:right="815" w:firstLine="399"/>
        <w:jc w:val="both"/>
        <w:rPr>
          <w:sz w:val="19"/>
          <w:szCs w:val="19"/>
        </w:rPr>
      </w:pPr>
      <w:r>
        <w:rPr>
          <w:spacing w:val="13"/>
          <w:sz w:val="19"/>
          <w:szCs w:val="19"/>
        </w:rPr>
        <w:t>三方协商一致后，应把对变更申请批准或驳回的决定通知受此决定影响的每个干</w:t>
      </w:r>
      <w:r>
        <w:rPr>
          <w:spacing w:val="12"/>
          <w:sz w:val="19"/>
          <w:szCs w:val="19"/>
        </w:rPr>
        <w:t>系人。如</w:t>
      </w:r>
      <w:r>
        <w:rPr>
          <w:sz w:val="19"/>
          <w:szCs w:val="19"/>
        </w:rPr>
        <w:t xml:space="preserve"> </w:t>
      </w:r>
      <w:r>
        <w:rPr>
          <w:spacing w:val="14"/>
          <w:sz w:val="19"/>
          <w:szCs w:val="19"/>
        </w:rPr>
        <w:t>果变更申请得到批准，意味着项目基准将被调整，变更方案中的资源需求应及时到位。因此，</w:t>
      </w:r>
      <w:r>
        <w:rPr>
          <w:spacing w:val="9"/>
          <w:sz w:val="19"/>
          <w:szCs w:val="19"/>
        </w:rPr>
        <w:t xml:space="preserve"> </w:t>
      </w:r>
      <w:r>
        <w:rPr>
          <w:spacing w:val="13"/>
          <w:sz w:val="19"/>
          <w:szCs w:val="19"/>
        </w:rPr>
        <w:t>需要签发工程变更单，并把变更方案告知有关实施部门和实施人员，</w:t>
      </w:r>
      <w:r>
        <w:rPr>
          <w:spacing w:val="12"/>
          <w:sz w:val="19"/>
          <w:szCs w:val="19"/>
        </w:rPr>
        <w:t>为变更实施做好准备。如</w:t>
      </w:r>
      <w:r>
        <w:rPr>
          <w:sz w:val="19"/>
          <w:szCs w:val="19"/>
        </w:rPr>
        <w:t xml:space="preserve"> </w:t>
      </w:r>
      <w:r>
        <w:rPr>
          <w:spacing w:val="8"/>
          <w:sz w:val="19"/>
          <w:szCs w:val="19"/>
        </w:rPr>
        <w:t>果变更申请被驳回，应通知有关人员放弃该变更申请。</w:t>
      </w:r>
    </w:p>
    <w:p w14:paraId="1B967CB4">
      <w:pPr>
        <w:pStyle w:val="2"/>
        <w:spacing w:before="17" w:line="298" w:lineRule="auto"/>
        <w:ind w:right="882" w:firstLine="399"/>
        <w:rPr>
          <w:sz w:val="19"/>
          <w:szCs w:val="19"/>
        </w:rPr>
      </w:pPr>
      <w:r>
        <w:rPr>
          <w:spacing w:val="18"/>
          <w:sz w:val="19"/>
          <w:szCs w:val="19"/>
        </w:rPr>
        <w:t>监理工程师要格外关注沟通，以帮助变更涉及的相关人员履行职责，以及向相关方传达</w:t>
      </w:r>
      <w:r>
        <w:rPr>
          <w:spacing w:val="2"/>
          <w:sz w:val="19"/>
          <w:szCs w:val="19"/>
        </w:rPr>
        <w:t xml:space="preserve"> </w:t>
      </w:r>
      <w:r>
        <w:rPr>
          <w:spacing w:val="-2"/>
          <w:sz w:val="19"/>
          <w:szCs w:val="19"/>
        </w:rPr>
        <w:t>决定。</w:t>
      </w:r>
    </w:p>
    <w:p w14:paraId="51B71815">
      <w:pPr>
        <w:pStyle w:val="2"/>
        <w:spacing w:before="113" w:line="222" w:lineRule="auto"/>
        <w:ind w:left="402"/>
        <w:rPr>
          <w:rFonts w:ascii="黑体" w:hAnsi="黑体" w:eastAsia="黑体" w:cs="黑体"/>
          <w:sz w:val="19"/>
          <w:szCs w:val="19"/>
        </w:rPr>
      </w:pPr>
      <w:r>
        <w:rPr>
          <w:b/>
          <w:bCs/>
          <w:color w:val="1F86E1"/>
          <w:spacing w:val="7"/>
          <w:sz w:val="19"/>
          <w:szCs w:val="19"/>
        </w:rPr>
        <w:t>7.</w:t>
      </w:r>
      <w:r>
        <w:rPr>
          <w:rFonts w:ascii="黑体" w:hAnsi="黑体" w:eastAsia="黑体" w:cs="黑体"/>
          <w:b/>
          <w:bCs/>
          <w:color w:val="1F86E1"/>
          <w:spacing w:val="7"/>
          <w:sz w:val="19"/>
          <w:szCs w:val="19"/>
        </w:rPr>
        <w:t>监控变更实施</w:t>
      </w:r>
    </w:p>
    <w:p w14:paraId="5E5F62AD">
      <w:pPr>
        <w:pStyle w:val="2"/>
        <w:spacing w:before="136" w:line="219" w:lineRule="auto"/>
        <w:ind w:left="399"/>
        <w:rPr>
          <w:sz w:val="19"/>
          <w:szCs w:val="19"/>
        </w:rPr>
      </w:pPr>
      <w:r>
        <w:rPr>
          <w:spacing w:val="8"/>
          <w:sz w:val="19"/>
          <w:szCs w:val="19"/>
        </w:rPr>
        <w:t>监理单位应要求承建单位在工程变更单签发前不得实施工程变更。</w:t>
      </w:r>
    </w:p>
    <w:p w14:paraId="6C2CD3E5">
      <w:pPr>
        <w:pStyle w:val="2"/>
        <w:spacing w:before="62" w:line="295" w:lineRule="auto"/>
        <w:ind w:right="875" w:firstLine="399"/>
        <w:rPr>
          <w:sz w:val="19"/>
          <w:szCs w:val="19"/>
        </w:rPr>
      </w:pPr>
      <w:r>
        <w:rPr>
          <w:spacing w:val="13"/>
          <w:sz w:val="19"/>
          <w:szCs w:val="19"/>
        </w:rPr>
        <w:t>监理单位应根据工程变更单监督承建单位实施变更，如果发现异常</w:t>
      </w:r>
      <w:r>
        <w:rPr>
          <w:spacing w:val="12"/>
          <w:sz w:val="19"/>
          <w:szCs w:val="19"/>
        </w:rPr>
        <w:t>情况，要及时中止并重</w:t>
      </w:r>
      <w:r>
        <w:rPr>
          <w:sz w:val="19"/>
          <w:szCs w:val="19"/>
        </w:rPr>
        <w:t xml:space="preserve"> </w:t>
      </w:r>
      <w:r>
        <w:rPr>
          <w:spacing w:val="13"/>
          <w:sz w:val="19"/>
          <w:szCs w:val="19"/>
        </w:rPr>
        <w:t>新评估变更。项目基准按工程变更单调整后，需要确认资源配置是否及</w:t>
      </w:r>
      <w:r>
        <w:rPr>
          <w:spacing w:val="12"/>
          <w:sz w:val="19"/>
          <w:szCs w:val="19"/>
        </w:rPr>
        <w:t>时到位，若涉及人员的</w:t>
      </w:r>
      <w:r>
        <w:rPr>
          <w:sz w:val="19"/>
          <w:szCs w:val="19"/>
        </w:rPr>
        <w:t xml:space="preserve"> </w:t>
      </w:r>
      <w:r>
        <w:rPr>
          <w:spacing w:val="13"/>
          <w:sz w:val="19"/>
          <w:szCs w:val="19"/>
        </w:rPr>
        <w:t>调整，则需要更加关注。变更实施完成并经监理工程</w:t>
      </w:r>
      <w:r>
        <w:rPr>
          <w:spacing w:val="12"/>
          <w:sz w:val="19"/>
          <w:szCs w:val="19"/>
        </w:rPr>
        <w:t>师验收合格后，应按正常的支付程序办理</w:t>
      </w:r>
      <w:r>
        <w:rPr>
          <w:sz w:val="19"/>
          <w:szCs w:val="19"/>
        </w:rPr>
        <w:t xml:space="preserve"> </w:t>
      </w:r>
      <w:r>
        <w:rPr>
          <w:spacing w:val="4"/>
          <w:sz w:val="19"/>
          <w:szCs w:val="19"/>
        </w:rPr>
        <w:t>变更费用的支付手续。</w:t>
      </w:r>
    </w:p>
    <w:p w14:paraId="754A78FF">
      <w:pPr>
        <w:spacing w:line="295" w:lineRule="auto"/>
        <w:rPr>
          <w:sz w:val="19"/>
          <w:szCs w:val="19"/>
        </w:rPr>
        <w:sectPr>
          <w:pgSz w:w="10280" w:h="13300"/>
          <w:pgMar w:top="370" w:right="9" w:bottom="400" w:left="1080" w:header="0" w:footer="0" w:gutter="0"/>
          <w:cols w:space="720" w:num="1"/>
        </w:sectPr>
      </w:pPr>
    </w:p>
    <w:p w14:paraId="42548B2A">
      <w:pPr>
        <w:pStyle w:val="2"/>
        <w:spacing w:before="77" w:line="219" w:lineRule="auto"/>
        <w:rPr>
          <w:sz w:val="19"/>
          <w:szCs w:val="19"/>
        </w:rPr>
      </w:pPr>
      <w:r>
        <w:rPr>
          <w:rFonts w:ascii="Times New Roman" w:hAnsi="Times New Roman" w:eastAsia="Times New Roman" w:cs="Times New Roman"/>
          <w:b/>
          <w:bCs/>
          <w:spacing w:val="4"/>
          <w:sz w:val="19"/>
          <w:szCs w:val="19"/>
        </w:rPr>
        <w:t xml:space="preserve">388              </w:t>
      </w:r>
      <w:r>
        <w:rPr>
          <w:spacing w:val="4"/>
          <w:sz w:val="19"/>
          <w:szCs w:val="19"/>
        </w:rPr>
        <w:t>信息系统监</w:t>
      </w:r>
      <w:r>
        <w:rPr>
          <w:spacing w:val="3"/>
          <w:sz w:val="19"/>
          <w:szCs w:val="19"/>
        </w:rPr>
        <w:t>理师教程(第2版)</w:t>
      </w:r>
    </w:p>
    <w:p w14:paraId="4C5CE6C1">
      <w:pPr>
        <w:spacing w:line="331" w:lineRule="auto"/>
        <w:rPr>
          <w:rFonts w:ascii="Arial"/>
          <w:sz w:val="21"/>
        </w:rPr>
      </w:pPr>
    </w:p>
    <w:p w14:paraId="7C42A5B4">
      <w:pPr>
        <w:pStyle w:val="2"/>
        <w:spacing w:before="61" w:line="307" w:lineRule="auto"/>
        <w:ind w:left="360" w:right="88" w:firstLine="409"/>
        <w:rPr>
          <w:sz w:val="19"/>
          <w:szCs w:val="19"/>
        </w:rPr>
      </w:pPr>
      <w:r>
        <w:rPr>
          <w:spacing w:val="12"/>
          <w:sz w:val="19"/>
          <w:szCs w:val="19"/>
        </w:rPr>
        <w:t>监理单位应对工程变更过程及结果做工程备忘录，应妥善保存变更产生的相关文档，确保</w:t>
      </w:r>
      <w:r>
        <w:rPr>
          <w:spacing w:val="17"/>
          <w:sz w:val="19"/>
          <w:szCs w:val="19"/>
        </w:rPr>
        <w:t xml:space="preserve"> </w:t>
      </w:r>
      <w:r>
        <w:rPr>
          <w:spacing w:val="5"/>
          <w:sz w:val="19"/>
          <w:szCs w:val="19"/>
        </w:rPr>
        <w:t>其完整、及时、准确、清晰。</w:t>
      </w:r>
    </w:p>
    <w:p w14:paraId="3FB6B52C">
      <w:pPr>
        <w:pStyle w:val="2"/>
        <w:spacing w:before="103" w:line="221" w:lineRule="auto"/>
        <w:ind w:left="772"/>
        <w:rPr>
          <w:rFonts w:ascii="黑体" w:hAnsi="黑体" w:eastAsia="黑体" w:cs="黑体"/>
          <w:sz w:val="19"/>
          <w:szCs w:val="19"/>
        </w:rPr>
      </w:pPr>
      <w:bookmarkStart w:id="689" w:name="bookmark674"/>
      <w:bookmarkEnd w:id="689"/>
      <w:r>
        <w:rPr>
          <w:b/>
          <w:bCs/>
          <w:color w:val="007AD9"/>
          <w:spacing w:val="7"/>
          <w:sz w:val="19"/>
          <w:szCs w:val="19"/>
        </w:rPr>
        <w:t>8.</w:t>
      </w:r>
      <w:r>
        <w:rPr>
          <w:rFonts w:ascii="黑体" w:hAnsi="黑体" w:eastAsia="黑体" w:cs="黑体"/>
          <w:b/>
          <w:bCs/>
          <w:color w:val="007AD9"/>
          <w:spacing w:val="7"/>
          <w:sz w:val="19"/>
          <w:szCs w:val="19"/>
        </w:rPr>
        <w:t>变更效果评估</w:t>
      </w:r>
    </w:p>
    <w:p w14:paraId="5675976A">
      <w:pPr>
        <w:pStyle w:val="2"/>
        <w:spacing w:before="145" w:line="297" w:lineRule="auto"/>
        <w:ind w:left="770" w:right="159"/>
        <w:rPr>
          <w:sz w:val="19"/>
          <w:szCs w:val="19"/>
        </w:rPr>
      </w:pPr>
      <w:r>
        <w:rPr>
          <w:spacing w:val="1"/>
          <w:sz w:val="19"/>
          <w:szCs w:val="19"/>
        </w:rPr>
        <w:t>在变更实施结束后，要对变更效果进行分析和评估，判断变更后的项目是否已</w:t>
      </w:r>
      <w:r>
        <w:rPr>
          <w:sz w:val="19"/>
          <w:szCs w:val="19"/>
        </w:rPr>
        <w:t xml:space="preserve">纳入正常轨道。 </w:t>
      </w:r>
      <w:r>
        <w:rPr>
          <w:spacing w:val="7"/>
          <w:sz w:val="19"/>
          <w:szCs w:val="19"/>
        </w:rPr>
        <w:t>变更效果评估的首要依据是项目的基准，评估内容主要包括：</w:t>
      </w:r>
    </w:p>
    <w:p w14:paraId="2BE340FF">
      <w:pPr>
        <w:pStyle w:val="2"/>
        <w:spacing w:before="38" w:line="218" w:lineRule="auto"/>
        <w:ind w:left="770"/>
        <w:rPr>
          <w:sz w:val="19"/>
          <w:szCs w:val="19"/>
        </w:rPr>
      </w:pPr>
      <w:r>
        <w:rPr>
          <w:spacing w:val="11"/>
          <w:sz w:val="19"/>
          <w:szCs w:val="19"/>
        </w:rPr>
        <w:t>(1)结合变更的初衷，评估变更所要达到</w:t>
      </w:r>
      <w:r>
        <w:rPr>
          <w:spacing w:val="10"/>
          <w:sz w:val="19"/>
          <w:szCs w:val="19"/>
        </w:rPr>
        <w:t>的目的是否已达成；</w:t>
      </w:r>
    </w:p>
    <w:p w14:paraId="0B1D619A">
      <w:pPr>
        <w:pStyle w:val="2"/>
        <w:spacing w:before="106" w:line="218" w:lineRule="auto"/>
        <w:ind w:left="770"/>
        <w:rPr>
          <w:sz w:val="19"/>
          <w:szCs w:val="19"/>
        </w:rPr>
      </w:pPr>
      <w:r>
        <w:rPr>
          <w:spacing w:val="10"/>
          <w:sz w:val="19"/>
          <w:szCs w:val="19"/>
        </w:rPr>
        <w:t>(2)评估变更方案中的技术论证、经济论证内容与实施过程的差距，并推动解决；</w:t>
      </w:r>
    </w:p>
    <w:p w14:paraId="7E9CF9C8">
      <w:pPr>
        <w:pStyle w:val="2"/>
        <w:spacing w:before="75" w:line="281" w:lineRule="auto"/>
        <w:ind w:left="360" w:right="80" w:firstLine="409"/>
        <w:rPr>
          <w:sz w:val="19"/>
          <w:szCs w:val="19"/>
        </w:rPr>
      </w:pPr>
      <w:r>
        <w:rPr>
          <w:spacing w:val="15"/>
          <w:sz w:val="19"/>
          <w:szCs w:val="19"/>
        </w:rPr>
        <w:t>(3)评估变更的可能影响，变更的影响是多面的，既需要</w:t>
      </w:r>
      <w:r>
        <w:rPr>
          <w:spacing w:val="14"/>
          <w:sz w:val="19"/>
          <w:szCs w:val="19"/>
        </w:rPr>
        <w:t>对业主单位可视的成果、交付期</w:t>
      </w:r>
      <w:r>
        <w:rPr>
          <w:sz w:val="19"/>
          <w:szCs w:val="19"/>
        </w:rPr>
        <w:t xml:space="preserve"> </w:t>
      </w:r>
      <w:r>
        <w:rPr>
          <w:spacing w:val="13"/>
          <w:sz w:val="19"/>
          <w:szCs w:val="19"/>
        </w:rPr>
        <w:t>等的变更进行评估，也需要对业主单位不可视的项目内部工作的变更进</w:t>
      </w:r>
      <w:r>
        <w:rPr>
          <w:spacing w:val="12"/>
          <w:sz w:val="19"/>
          <w:szCs w:val="19"/>
        </w:rPr>
        <w:t>行评估，如承建单位的</w:t>
      </w:r>
      <w:r>
        <w:rPr>
          <w:sz w:val="19"/>
          <w:szCs w:val="19"/>
        </w:rPr>
        <w:t xml:space="preserve"> </w:t>
      </w:r>
      <w:r>
        <w:rPr>
          <w:spacing w:val="5"/>
          <w:sz w:val="19"/>
          <w:szCs w:val="19"/>
        </w:rPr>
        <w:t>人员分工、管理工作、资源配置等；</w:t>
      </w:r>
    </w:p>
    <w:p w14:paraId="7CF2013B">
      <w:pPr>
        <w:pStyle w:val="2"/>
        <w:spacing w:before="94" w:line="219" w:lineRule="auto"/>
        <w:ind w:left="770"/>
        <w:rPr>
          <w:sz w:val="19"/>
          <w:szCs w:val="19"/>
        </w:rPr>
      </w:pPr>
      <w:r>
        <w:rPr>
          <w:spacing w:val="11"/>
          <w:sz w:val="19"/>
          <w:szCs w:val="19"/>
        </w:rPr>
        <w:t>(4)基准管理，项目基准是变更的依据，每次变更通过评审后，</w:t>
      </w:r>
      <w:r>
        <w:rPr>
          <w:spacing w:val="10"/>
          <w:sz w:val="19"/>
          <w:szCs w:val="19"/>
        </w:rPr>
        <w:t>都需要更新项目基准。</w:t>
      </w:r>
    </w:p>
    <w:p w14:paraId="5AA86F5B">
      <w:pPr>
        <w:pStyle w:val="2"/>
        <w:spacing w:before="235" w:line="220" w:lineRule="auto"/>
        <w:ind w:left="362"/>
        <w:rPr>
          <w:sz w:val="25"/>
          <w:szCs w:val="25"/>
        </w:rPr>
      </w:pPr>
      <w:r>
        <w:rPr>
          <w:b/>
          <w:bCs/>
          <w:color w:val="0075DD"/>
          <w:spacing w:val="-17"/>
          <w:sz w:val="25"/>
          <w:szCs w:val="25"/>
        </w:rPr>
        <w:t>17.3.2</w:t>
      </w:r>
      <w:r>
        <w:rPr>
          <w:color w:val="0075DD"/>
          <w:spacing w:val="-17"/>
          <w:sz w:val="25"/>
          <w:szCs w:val="25"/>
        </w:rPr>
        <w:t xml:space="preserve">  </w:t>
      </w:r>
      <w:r>
        <w:rPr>
          <w:b/>
          <w:bCs/>
          <w:color w:val="0075DD"/>
          <w:spacing w:val="-17"/>
          <w:sz w:val="25"/>
          <w:szCs w:val="25"/>
        </w:rPr>
        <w:t>变更控制系统</w:t>
      </w:r>
    </w:p>
    <w:p w14:paraId="73A5BCDD">
      <w:pPr>
        <w:pStyle w:val="2"/>
        <w:spacing w:before="172" w:line="301" w:lineRule="auto"/>
        <w:ind w:left="360" w:right="85" w:firstLine="409"/>
        <w:jc w:val="both"/>
        <w:rPr>
          <w:sz w:val="19"/>
          <w:szCs w:val="19"/>
        </w:rPr>
      </w:pPr>
      <w:r>
        <w:rPr>
          <w:spacing w:val="13"/>
          <w:sz w:val="19"/>
          <w:szCs w:val="19"/>
        </w:rPr>
        <w:t>变更控制包括识别、记录、批准或驳回变更</w:t>
      </w:r>
      <w:r>
        <w:rPr>
          <w:spacing w:val="12"/>
          <w:sz w:val="19"/>
          <w:szCs w:val="19"/>
        </w:rPr>
        <w:t>。变更控制的实施程度取决于项目所在应用领</w:t>
      </w:r>
      <w:r>
        <w:rPr>
          <w:sz w:val="19"/>
          <w:szCs w:val="19"/>
        </w:rPr>
        <w:t xml:space="preserve"> </w:t>
      </w:r>
      <w:r>
        <w:rPr>
          <w:spacing w:val="13"/>
          <w:sz w:val="19"/>
          <w:szCs w:val="19"/>
        </w:rPr>
        <w:t>域、项目复杂程度、合同要求，以及项目所处的背景与环境</w:t>
      </w:r>
      <w:r>
        <w:rPr>
          <w:spacing w:val="12"/>
          <w:sz w:val="19"/>
          <w:szCs w:val="19"/>
        </w:rPr>
        <w:t>。要想控制好变更，必须有一个完</w:t>
      </w:r>
      <w:r>
        <w:rPr>
          <w:sz w:val="19"/>
          <w:szCs w:val="19"/>
        </w:rPr>
        <w:t xml:space="preserve"> </w:t>
      </w:r>
      <w:r>
        <w:rPr>
          <w:spacing w:val="7"/>
          <w:sz w:val="19"/>
          <w:szCs w:val="19"/>
        </w:rPr>
        <w:t>备的变更控制系统，用系统化的方法识别、评估和控制变更。</w:t>
      </w:r>
    </w:p>
    <w:p w14:paraId="6D57454A">
      <w:pPr>
        <w:pStyle w:val="2"/>
        <w:spacing w:before="11" w:line="302" w:lineRule="auto"/>
        <w:ind w:left="360" w:right="86" w:firstLine="409"/>
        <w:jc w:val="both"/>
        <w:rPr>
          <w:sz w:val="19"/>
          <w:szCs w:val="19"/>
        </w:rPr>
      </w:pPr>
      <w:r>
        <w:rPr>
          <w:spacing w:val="13"/>
          <w:sz w:val="19"/>
          <w:szCs w:val="19"/>
        </w:rPr>
        <w:t>变更控制系统是一个正式的文档化的过程，</w:t>
      </w:r>
      <w:r>
        <w:rPr>
          <w:spacing w:val="12"/>
          <w:sz w:val="19"/>
          <w:szCs w:val="19"/>
        </w:rPr>
        <w:t>用来描述项目应当怎样发生变更。这个系统还</w:t>
      </w:r>
      <w:r>
        <w:rPr>
          <w:sz w:val="19"/>
          <w:szCs w:val="19"/>
        </w:rPr>
        <w:t xml:space="preserve"> </w:t>
      </w:r>
      <w:r>
        <w:rPr>
          <w:spacing w:val="13"/>
          <w:sz w:val="19"/>
          <w:szCs w:val="19"/>
        </w:rPr>
        <w:t>反映了被授权做出变更的相应人员、要求的文件，以及项</w:t>
      </w:r>
      <w:r>
        <w:rPr>
          <w:spacing w:val="12"/>
          <w:sz w:val="19"/>
          <w:szCs w:val="19"/>
        </w:rPr>
        <w:t>目会用到的自动或人工监控系统。监</w:t>
      </w:r>
      <w:r>
        <w:rPr>
          <w:sz w:val="19"/>
          <w:szCs w:val="19"/>
        </w:rPr>
        <w:t xml:space="preserve"> </w:t>
      </w:r>
      <w:r>
        <w:rPr>
          <w:spacing w:val="8"/>
          <w:sz w:val="19"/>
          <w:szCs w:val="19"/>
        </w:rPr>
        <w:t>理工程师应建议业主单位在承建合同中写明变更控制系统的内容。</w:t>
      </w:r>
    </w:p>
    <w:p w14:paraId="54F122DA">
      <w:pPr>
        <w:pStyle w:val="2"/>
        <w:spacing w:before="28" w:line="220" w:lineRule="auto"/>
        <w:ind w:left="770"/>
        <w:rPr>
          <w:sz w:val="19"/>
          <w:szCs w:val="19"/>
        </w:rPr>
      </w:pPr>
      <w:r>
        <w:rPr>
          <w:spacing w:val="2"/>
          <w:sz w:val="19"/>
          <w:szCs w:val="19"/>
        </w:rPr>
        <w:t>变更控制系统包括：</w:t>
      </w:r>
    </w:p>
    <w:p w14:paraId="511F5464">
      <w:pPr>
        <w:pStyle w:val="2"/>
        <w:spacing w:before="83" w:line="274" w:lineRule="auto"/>
        <w:ind w:left="360" w:firstLine="409"/>
        <w:rPr>
          <w:sz w:val="19"/>
          <w:szCs w:val="19"/>
        </w:rPr>
      </w:pPr>
      <w:r>
        <w:rPr>
          <w:spacing w:val="17"/>
          <w:sz w:val="19"/>
          <w:szCs w:val="19"/>
        </w:rPr>
        <w:t>(1)变更控制委员会：负责审查、评价、批准或驳回变更，并记</w:t>
      </w:r>
      <w:r>
        <w:rPr>
          <w:spacing w:val="16"/>
          <w:sz w:val="19"/>
          <w:szCs w:val="19"/>
        </w:rPr>
        <w:t>录和传达变更处理决定。</w:t>
      </w:r>
      <w:r>
        <w:rPr>
          <w:sz w:val="19"/>
          <w:szCs w:val="19"/>
        </w:rPr>
        <w:t xml:space="preserve"> </w:t>
      </w:r>
      <w:r>
        <w:rPr>
          <w:spacing w:val="13"/>
          <w:sz w:val="19"/>
          <w:szCs w:val="19"/>
        </w:rPr>
        <w:t>变更控制委员会应为准备提交的变更申请提供指导，对</w:t>
      </w:r>
      <w:r>
        <w:rPr>
          <w:spacing w:val="12"/>
          <w:sz w:val="19"/>
          <w:szCs w:val="19"/>
        </w:rPr>
        <w:t>变更申请进行评估和审批，并管理经批</w:t>
      </w:r>
      <w:r>
        <w:rPr>
          <w:sz w:val="19"/>
          <w:szCs w:val="19"/>
        </w:rPr>
        <w:t xml:space="preserve">  </w:t>
      </w:r>
      <w:r>
        <w:rPr>
          <w:spacing w:val="7"/>
          <w:sz w:val="19"/>
          <w:szCs w:val="19"/>
        </w:rPr>
        <w:t>准的变更的实施过程，三方都应参与其中。</w:t>
      </w:r>
    </w:p>
    <w:p w14:paraId="7E73AAB1">
      <w:pPr>
        <w:pStyle w:val="2"/>
        <w:spacing w:before="84" w:line="264" w:lineRule="auto"/>
        <w:ind w:left="360" w:firstLine="409"/>
        <w:rPr>
          <w:sz w:val="19"/>
          <w:szCs w:val="19"/>
        </w:rPr>
      </w:pPr>
      <w:r>
        <w:rPr>
          <w:spacing w:val="17"/>
          <w:sz w:val="19"/>
          <w:szCs w:val="19"/>
        </w:rPr>
        <w:t>(2)变更控制程序：包括变更需遵循的步骤，以及如何批准和确</w:t>
      </w:r>
      <w:r>
        <w:rPr>
          <w:spacing w:val="16"/>
          <w:sz w:val="19"/>
          <w:szCs w:val="19"/>
        </w:rPr>
        <w:t>认变更，对变更从申请、</w:t>
      </w:r>
      <w:r>
        <w:rPr>
          <w:sz w:val="19"/>
          <w:szCs w:val="19"/>
        </w:rPr>
        <w:t xml:space="preserve"> </w:t>
      </w:r>
      <w:r>
        <w:rPr>
          <w:spacing w:val="7"/>
          <w:sz w:val="19"/>
          <w:szCs w:val="19"/>
        </w:rPr>
        <w:t>评估、批准到实施、完成的整个过程进行约定。</w:t>
      </w:r>
    </w:p>
    <w:p w14:paraId="62553C22">
      <w:pPr>
        <w:pStyle w:val="2"/>
        <w:spacing w:before="85" w:line="270" w:lineRule="auto"/>
        <w:ind w:left="360" w:firstLine="409"/>
        <w:rPr>
          <w:sz w:val="19"/>
          <w:szCs w:val="19"/>
        </w:rPr>
      </w:pPr>
      <w:r>
        <w:rPr>
          <w:spacing w:val="10"/>
          <w:sz w:val="19"/>
          <w:szCs w:val="19"/>
        </w:rPr>
        <w:t>(3)变更信息的沟通过程：运用书面的和口头的执行绩效报告进行变更的</w:t>
      </w:r>
      <w:r>
        <w:rPr>
          <w:spacing w:val="9"/>
          <w:sz w:val="19"/>
          <w:szCs w:val="19"/>
        </w:rPr>
        <w:t>确认和管理。应当</w:t>
      </w:r>
      <w:r>
        <w:rPr>
          <w:sz w:val="19"/>
          <w:szCs w:val="19"/>
        </w:rPr>
        <w:t xml:space="preserve">  </w:t>
      </w:r>
      <w:r>
        <w:rPr>
          <w:spacing w:val="5"/>
          <w:sz w:val="19"/>
          <w:szCs w:val="19"/>
        </w:rPr>
        <w:t>有一个良好的信息机制或信息系统，用于及时通知受变更影响的每一个人，同时监控变更的实施。</w:t>
      </w:r>
    </w:p>
    <w:p w14:paraId="65ADF842">
      <w:pPr>
        <w:pStyle w:val="2"/>
        <w:spacing w:before="215" w:line="219" w:lineRule="auto"/>
        <w:ind w:left="363"/>
        <w:rPr>
          <w:sz w:val="25"/>
          <w:szCs w:val="25"/>
        </w:rPr>
      </w:pPr>
      <w:r>
        <w:rPr>
          <w:b/>
          <w:bCs/>
          <w:color w:val="0069D2"/>
          <w:spacing w:val="-17"/>
          <w:sz w:val="25"/>
          <w:szCs w:val="25"/>
        </w:rPr>
        <w:t>17.3.3</w:t>
      </w:r>
      <w:r>
        <w:rPr>
          <w:color w:val="0069D2"/>
          <w:spacing w:val="71"/>
          <w:sz w:val="25"/>
          <w:szCs w:val="25"/>
        </w:rPr>
        <w:t xml:space="preserve"> </w:t>
      </w:r>
      <w:r>
        <w:rPr>
          <w:b/>
          <w:bCs/>
          <w:color w:val="0069D2"/>
          <w:spacing w:val="-17"/>
          <w:sz w:val="25"/>
          <w:szCs w:val="25"/>
        </w:rPr>
        <w:t>变更控制方法与技术</w:t>
      </w:r>
    </w:p>
    <w:p w14:paraId="473362CA">
      <w:pPr>
        <w:pStyle w:val="2"/>
        <w:spacing w:before="251" w:line="222" w:lineRule="auto"/>
        <w:ind w:left="772"/>
        <w:rPr>
          <w:rFonts w:ascii="黑体" w:hAnsi="黑体" w:eastAsia="黑体" w:cs="黑体"/>
          <w:sz w:val="19"/>
          <w:szCs w:val="19"/>
        </w:rPr>
      </w:pPr>
      <w:r>
        <w:rPr>
          <w:b/>
          <w:bCs/>
          <w:color w:val="0072D7"/>
          <w:spacing w:val="5"/>
          <w:sz w:val="19"/>
          <w:szCs w:val="19"/>
        </w:rPr>
        <w:t>1.</w:t>
      </w:r>
      <w:r>
        <w:rPr>
          <w:rFonts w:ascii="黑体" w:hAnsi="黑体" w:eastAsia="黑体" w:cs="黑体"/>
          <w:b/>
          <w:bCs/>
          <w:color w:val="0072D7"/>
          <w:spacing w:val="5"/>
          <w:sz w:val="19"/>
          <w:szCs w:val="19"/>
        </w:rPr>
        <w:t>专家判断</w:t>
      </w:r>
    </w:p>
    <w:p w14:paraId="77625280">
      <w:pPr>
        <w:pStyle w:val="2"/>
        <w:spacing w:before="154" w:line="289" w:lineRule="auto"/>
        <w:ind w:left="360" w:right="84" w:firstLine="409"/>
        <w:rPr>
          <w:sz w:val="19"/>
          <w:szCs w:val="19"/>
        </w:rPr>
      </w:pPr>
      <w:r>
        <w:rPr>
          <w:spacing w:val="13"/>
          <w:sz w:val="19"/>
          <w:szCs w:val="19"/>
        </w:rPr>
        <w:t>在变更分析与评估、变更论证、确定变更方案等环</w:t>
      </w:r>
      <w:r>
        <w:rPr>
          <w:spacing w:val="12"/>
          <w:sz w:val="19"/>
          <w:szCs w:val="19"/>
        </w:rPr>
        <w:t>节，应考虑征求具备以下相关专业知识</w:t>
      </w:r>
      <w:r>
        <w:rPr>
          <w:sz w:val="19"/>
          <w:szCs w:val="19"/>
        </w:rPr>
        <w:t xml:space="preserve"> </w:t>
      </w:r>
      <w:r>
        <w:rPr>
          <w:spacing w:val="6"/>
          <w:sz w:val="19"/>
          <w:szCs w:val="19"/>
        </w:rPr>
        <w:t>或接受过相关培训的个人或小组的意见：</w:t>
      </w:r>
    </w:p>
    <w:p w14:paraId="1EA54313">
      <w:pPr>
        <w:pStyle w:val="2"/>
        <w:spacing w:before="37" w:line="219" w:lineRule="auto"/>
        <w:ind w:left="770"/>
        <w:rPr>
          <w:sz w:val="19"/>
          <w:szCs w:val="19"/>
        </w:rPr>
      </w:pPr>
      <w:r>
        <w:rPr>
          <w:spacing w:val="11"/>
          <w:sz w:val="19"/>
          <w:szCs w:val="19"/>
        </w:rPr>
        <w:t>(1)关于项目所在行业以及项目涉及领域的业务、技术、商务知</w:t>
      </w:r>
      <w:r>
        <w:rPr>
          <w:spacing w:val="10"/>
          <w:sz w:val="19"/>
          <w:szCs w:val="19"/>
        </w:rPr>
        <w:t>识；</w:t>
      </w:r>
    </w:p>
    <w:p w14:paraId="303EA916">
      <w:pPr>
        <w:pStyle w:val="2"/>
        <w:spacing w:before="74" w:line="219" w:lineRule="auto"/>
        <w:ind w:left="770"/>
        <w:rPr>
          <w:sz w:val="19"/>
          <w:szCs w:val="19"/>
        </w:rPr>
      </w:pPr>
      <w:r>
        <w:rPr>
          <w:spacing w:val="14"/>
          <w:sz w:val="19"/>
          <w:szCs w:val="19"/>
        </w:rPr>
        <w:t>(2)法律法规；</w:t>
      </w:r>
    </w:p>
    <w:p w14:paraId="7C03BE20">
      <w:pPr>
        <w:pStyle w:val="2"/>
        <w:spacing w:before="85" w:line="220" w:lineRule="auto"/>
        <w:ind w:left="770"/>
        <w:rPr>
          <w:sz w:val="19"/>
          <w:szCs w:val="19"/>
        </w:rPr>
      </w:pPr>
      <w:r>
        <w:rPr>
          <w:spacing w:val="14"/>
          <w:sz w:val="19"/>
          <w:szCs w:val="19"/>
        </w:rPr>
        <w:t>(3)行业与标准；</w:t>
      </w:r>
    </w:p>
    <w:p w14:paraId="13AE0B61">
      <w:pPr>
        <w:pStyle w:val="2"/>
        <w:spacing w:before="73" w:line="219" w:lineRule="auto"/>
        <w:ind w:left="770"/>
        <w:rPr>
          <w:sz w:val="19"/>
          <w:szCs w:val="19"/>
        </w:rPr>
      </w:pPr>
      <w:r>
        <w:rPr>
          <w:spacing w:val="17"/>
          <w:sz w:val="19"/>
          <w:szCs w:val="19"/>
        </w:rPr>
        <w:t>(4)风险管理。</w:t>
      </w:r>
    </w:p>
    <w:p w14:paraId="62B42F04">
      <w:pPr>
        <w:spacing w:line="219" w:lineRule="auto"/>
        <w:rPr>
          <w:sz w:val="19"/>
          <w:szCs w:val="19"/>
        </w:rPr>
        <w:sectPr>
          <w:pgSz w:w="10300" w:h="13380"/>
          <w:pgMar w:top="400" w:right="1044" w:bottom="400" w:left="499" w:header="0" w:footer="0" w:gutter="0"/>
          <w:cols w:space="720" w:num="1"/>
        </w:sectPr>
      </w:pPr>
    </w:p>
    <w:p w14:paraId="06C5AEAD">
      <w:pPr>
        <w:pStyle w:val="2"/>
        <w:jc w:val="right"/>
        <w:rPr>
          <w:rFonts w:ascii="Times New Roman" w:hAnsi="Times New Roman" w:eastAsia="Times New Roman" w:cs="Times New Roman"/>
          <w:sz w:val="19"/>
          <w:szCs w:val="19"/>
        </w:rPr>
      </w:pPr>
      <w:r>
        <w:rPr>
          <w:spacing w:val="7"/>
          <w:sz w:val="19"/>
          <w:szCs w:val="19"/>
        </w:rPr>
        <w:t>第17章</w:t>
      </w:r>
      <w:r>
        <w:rPr>
          <w:spacing w:val="45"/>
          <w:sz w:val="19"/>
          <w:szCs w:val="19"/>
        </w:rPr>
        <w:t xml:space="preserve"> </w:t>
      </w:r>
      <w:r>
        <w:rPr>
          <w:spacing w:val="7"/>
          <w:sz w:val="19"/>
          <w:szCs w:val="19"/>
        </w:rPr>
        <w:t>变更控制</w:t>
      </w:r>
      <w:r>
        <w:rPr>
          <w:spacing w:val="-11"/>
          <w:sz w:val="19"/>
          <w:szCs w:val="19"/>
        </w:rPr>
        <w:t xml:space="preserve"> </w:t>
      </w:r>
      <w:r>
        <w:rPr>
          <w:position w:val="-10"/>
          <w:sz w:val="19"/>
          <w:szCs w:val="19"/>
        </w:rPr>
        <w:drawing>
          <wp:inline distT="0" distB="0" distL="0" distR="0">
            <wp:extent cx="310515" cy="234950"/>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257"/>
                    <a:stretch>
                      <a:fillRect/>
                    </a:stretch>
                  </pic:blipFill>
                  <pic:spPr>
                    <a:xfrm>
                      <a:off x="0" y="0"/>
                      <a:ext cx="311114" cy="234953"/>
                    </a:xfrm>
                    <a:prstGeom prst="rect">
                      <a:avLst/>
                    </a:prstGeom>
                  </pic:spPr>
                </pic:pic>
              </a:graphicData>
            </a:graphic>
          </wp:inline>
        </w:drawing>
      </w:r>
      <w:r>
        <w:rPr>
          <w:rFonts w:ascii="Times New Roman" w:hAnsi="Times New Roman" w:eastAsia="Times New Roman" w:cs="Times New Roman"/>
          <w:spacing w:val="7"/>
          <w:position w:val="1"/>
          <w:sz w:val="19"/>
          <w:szCs w:val="19"/>
        </w:rPr>
        <w:t>389</w:t>
      </w:r>
    </w:p>
    <w:p w14:paraId="7918FEF1">
      <w:pPr>
        <w:spacing w:line="280" w:lineRule="auto"/>
        <w:rPr>
          <w:rFonts w:ascii="Arial"/>
          <w:sz w:val="21"/>
        </w:rPr>
      </w:pPr>
    </w:p>
    <w:p w14:paraId="555D7F8C">
      <w:pPr>
        <w:pStyle w:val="2"/>
        <w:spacing w:before="62" w:line="222" w:lineRule="auto"/>
        <w:ind w:left="412"/>
        <w:rPr>
          <w:rFonts w:ascii="黑体" w:hAnsi="黑体" w:eastAsia="黑体" w:cs="黑体"/>
          <w:sz w:val="19"/>
          <w:szCs w:val="19"/>
        </w:rPr>
      </w:pPr>
      <w:bookmarkStart w:id="690" w:name="bookmark675"/>
      <w:bookmarkEnd w:id="690"/>
      <w:r>
        <w:rPr>
          <w:b/>
          <w:bCs/>
          <w:color w:val="0065CB"/>
          <w:spacing w:val="6"/>
          <w:sz w:val="19"/>
          <w:szCs w:val="19"/>
        </w:rPr>
        <w:t>2.</w:t>
      </w:r>
      <w:r>
        <w:rPr>
          <w:rFonts w:ascii="黑体" w:hAnsi="黑体" w:eastAsia="黑体" w:cs="黑体"/>
          <w:b/>
          <w:bCs/>
          <w:color w:val="0065CB"/>
          <w:spacing w:val="6"/>
          <w:sz w:val="19"/>
          <w:szCs w:val="19"/>
        </w:rPr>
        <w:t>变更控制工具</w:t>
      </w:r>
    </w:p>
    <w:p w14:paraId="48617FA8">
      <w:pPr>
        <w:pStyle w:val="2"/>
        <w:spacing w:before="175" w:line="219" w:lineRule="auto"/>
        <w:ind w:left="409"/>
        <w:rPr>
          <w:sz w:val="19"/>
          <w:szCs w:val="19"/>
        </w:rPr>
      </w:pPr>
      <w:r>
        <w:rPr>
          <w:spacing w:val="8"/>
          <w:sz w:val="19"/>
          <w:szCs w:val="19"/>
        </w:rPr>
        <w:t>为了便于控制变更，可以使用一些手动或自动化的工具。工具应支</w:t>
      </w:r>
      <w:r>
        <w:rPr>
          <w:spacing w:val="7"/>
          <w:sz w:val="19"/>
          <w:szCs w:val="19"/>
        </w:rPr>
        <w:t>持以下活动：</w:t>
      </w:r>
    </w:p>
    <w:p w14:paraId="0D71A4CE">
      <w:pPr>
        <w:pStyle w:val="2"/>
        <w:spacing w:before="85" w:line="220" w:lineRule="auto"/>
        <w:ind w:left="409"/>
        <w:rPr>
          <w:sz w:val="19"/>
          <w:szCs w:val="19"/>
        </w:rPr>
      </w:pPr>
      <w:r>
        <w:rPr>
          <w:spacing w:val="13"/>
          <w:sz w:val="19"/>
          <w:szCs w:val="19"/>
        </w:rPr>
        <w:t>(1)识别变更；</w:t>
      </w:r>
    </w:p>
    <w:p w14:paraId="48612479">
      <w:pPr>
        <w:pStyle w:val="2"/>
        <w:spacing w:before="84" w:line="221" w:lineRule="auto"/>
        <w:ind w:left="409"/>
        <w:rPr>
          <w:sz w:val="19"/>
          <w:szCs w:val="19"/>
        </w:rPr>
      </w:pPr>
      <w:r>
        <w:rPr>
          <w:spacing w:val="13"/>
          <w:sz w:val="19"/>
          <w:szCs w:val="19"/>
        </w:rPr>
        <w:t>(2)记录变更；</w:t>
      </w:r>
    </w:p>
    <w:p w14:paraId="4B0F8007">
      <w:pPr>
        <w:pStyle w:val="2"/>
        <w:spacing w:before="81" w:line="219" w:lineRule="auto"/>
        <w:ind w:left="409"/>
        <w:rPr>
          <w:sz w:val="19"/>
          <w:szCs w:val="19"/>
        </w:rPr>
      </w:pPr>
      <w:r>
        <w:rPr>
          <w:spacing w:val="12"/>
          <w:sz w:val="19"/>
          <w:szCs w:val="19"/>
        </w:rPr>
        <w:t>(3)做出变更决定；</w:t>
      </w:r>
    </w:p>
    <w:p w14:paraId="4A19AAE7">
      <w:pPr>
        <w:pStyle w:val="2"/>
        <w:spacing w:before="94" w:line="219" w:lineRule="auto"/>
        <w:ind w:left="409"/>
        <w:rPr>
          <w:sz w:val="19"/>
          <w:szCs w:val="19"/>
        </w:rPr>
      </w:pPr>
      <w:r>
        <w:rPr>
          <w:spacing w:val="10"/>
          <w:sz w:val="19"/>
          <w:szCs w:val="19"/>
        </w:rPr>
        <w:t>(4)管理变更申请和后续的决策；</w:t>
      </w:r>
    </w:p>
    <w:p w14:paraId="58A1185D">
      <w:pPr>
        <w:pStyle w:val="2"/>
        <w:spacing w:before="95" w:line="220" w:lineRule="auto"/>
        <w:ind w:left="409"/>
        <w:rPr>
          <w:sz w:val="19"/>
          <w:szCs w:val="19"/>
        </w:rPr>
      </w:pPr>
      <w:r>
        <w:rPr>
          <w:spacing w:val="12"/>
          <w:sz w:val="19"/>
          <w:szCs w:val="19"/>
        </w:rPr>
        <w:t>(5)监控变更实施。</w:t>
      </w:r>
    </w:p>
    <w:p w14:paraId="7793B3AA">
      <w:pPr>
        <w:pStyle w:val="2"/>
        <w:spacing w:before="180" w:line="222" w:lineRule="auto"/>
        <w:ind w:left="412"/>
        <w:rPr>
          <w:rFonts w:ascii="黑体" w:hAnsi="黑体" w:eastAsia="黑体" w:cs="黑体"/>
          <w:sz w:val="19"/>
          <w:szCs w:val="19"/>
        </w:rPr>
      </w:pPr>
      <w:r>
        <w:rPr>
          <w:b/>
          <w:bCs/>
          <w:color w:val="005BB6"/>
          <w:spacing w:val="8"/>
          <w:sz w:val="19"/>
          <w:szCs w:val="19"/>
        </w:rPr>
        <w:t>3.</w:t>
      </w:r>
      <w:r>
        <w:rPr>
          <w:rFonts w:ascii="黑体" w:hAnsi="黑体" w:eastAsia="黑体" w:cs="黑体"/>
          <w:b/>
          <w:bCs/>
          <w:color w:val="005BB6"/>
          <w:spacing w:val="8"/>
          <w:sz w:val="19"/>
          <w:szCs w:val="19"/>
        </w:rPr>
        <w:t>数据分析</w:t>
      </w:r>
    </w:p>
    <w:p w14:paraId="42F69C07">
      <w:pPr>
        <w:pStyle w:val="2"/>
        <w:spacing w:before="154" w:line="219" w:lineRule="auto"/>
        <w:ind w:left="409"/>
        <w:rPr>
          <w:sz w:val="19"/>
          <w:szCs w:val="19"/>
        </w:rPr>
      </w:pPr>
      <w:r>
        <w:rPr>
          <w:spacing w:val="12"/>
          <w:sz w:val="19"/>
          <w:szCs w:val="19"/>
        </w:rPr>
        <w:t>可用于变更控制的数据分析技术包括(但不限于):</w:t>
      </w:r>
    </w:p>
    <w:p w14:paraId="6991C156">
      <w:pPr>
        <w:pStyle w:val="2"/>
        <w:spacing w:before="93" w:line="218" w:lineRule="auto"/>
        <w:ind w:left="409"/>
        <w:rPr>
          <w:sz w:val="19"/>
          <w:szCs w:val="19"/>
        </w:rPr>
      </w:pPr>
      <w:r>
        <w:rPr>
          <w:spacing w:val="10"/>
          <w:sz w:val="19"/>
          <w:szCs w:val="19"/>
        </w:rPr>
        <w:t>(1)备选方案分析：用于评估变更申请，并决定哪些可接受、应否决或需修改；</w:t>
      </w:r>
    </w:p>
    <w:p w14:paraId="3FEDFCF9">
      <w:pPr>
        <w:pStyle w:val="2"/>
        <w:spacing w:before="96" w:line="219" w:lineRule="auto"/>
        <w:ind w:left="409"/>
        <w:rPr>
          <w:sz w:val="19"/>
          <w:szCs w:val="19"/>
        </w:rPr>
      </w:pPr>
      <w:r>
        <w:rPr>
          <w:spacing w:val="11"/>
          <w:sz w:val="19"/>
          <w:szCs w:val="19"/>
        </w:rPr>
        <w:t>(2)成本效益分析：有助于确定变更申请是否值得投入相关成本。</w:t>
      </w:r>
    </w:p>
    <w:p w14:paraId="5AA9B791">
      <w:pPr>
        <w:spacing w:before="182" w:line="222" w:lineRule="auto"/>
        <w:ind w:left="412"/>
        <w:rPr>
          <w:rFonts w:ascii="黑体" w:hAnsi="黑体" w:eastAsia="黑体" w:cs="黑体"/>
          <w:sz w:val="19"/>
          <w:szCs w:val="19"/>
        </w:rPr>
      </w:pPr>
      <w:r>
        <w:rPr>
          <w:rFonts w:ascii="黑体" w:hAnsi="黑体" w:eastAsia="黑体" w:cs="黑体"/>
          <w:b/>
          <w:bCs/>
          <w:color w:val="0063BB"/>
          <w:spacing w:val="13"/>
          <w:sz w:val="19"/>
          <w:szCs w:val="19"/>
        </w:rPr>
        <w:t>4.决策</w:t>
      </w:r>
    </w:p>
    <w:p w14:paraId="78621C5F">
      <w:pPr>
        <w:pStyle w:val="2"/>
        <w:spacing w:before="146" w:line="219" w:lineRule="auto"/>
        <w:ind w:left="409"/>
        <w:rPr>
          <w:sz w:val="19"/>
          <w:szCs w:val="19"/>
        </w:rPr>
      </w:pPr>
      <w:r>
        <w:rPr>
          <w:spacing w:val="12"/>
          <w:sz w:val="19"/>
          <w:szCs w:val="19"/>
        </w:rPr>
        <w:t>可用于变更控制的决策技术包括(但不限于):</w:t>
      </w:r>
    </w:p>
    <w:p w14:paraId="4FDE8573">
      <w:pPr>
        <w:pStyle w:val="2"/>
        <w:spacing w:before="92" w:line="261" w:lineRule="auto"/>
        <w:ind w:right="298" w:firstLine="409"/>
        <w:rPr>
          <w:sz w:val="19"/>
          <w:szCs w:val="19"/>
        </w:rPr>
      </w:pPr>
      <w:r>
        <w:rPr>
          <w:spacing w:val="15"/>
          <w:sz w:val="19"/>
          <w:szCs w:val="19"/>
        </w:rPr>
        <w:t>(1)投票：投票可以采取一致同意、大多数同意或相对多数同意原则，以决定是否批准或</w:t>
      </w:r>
      <w:r>
        <w:rPr>
          <w:spacing w:val="3"/>
          <w:sz w:val="19"/>
          <w:szCs w:val="19"/>
        </w:rPr>
        <w:t xml:space="preserve"> </w:t>
      </w:r>
      <w:r>
        <w:rPr>
          <w:spacing w:val="2"/>
          <w:sz w:val="19"/>
          <w:szCs w:val="19"/>
        </w:rPr>
        <w:t>驳回变更申请；</w:t>
      </w:r>
    </w:p>
    <w:p w14:paraId="26BD26BC">
      <w:pPr>
        <w:pStyle w:val="2"/>
        <w:spacing w:before="85" w:line="219" w:lineRule="auto"/>
        <w:ind w:left="409"/>
        <w:rPr>
          <w:sz w:val="19"/>
          <w:szCs w:val="19"/>
        </w:rPr>
      </w:pPr>
      <w:r>
        <w:rPr>
          <w:spacing w:val="10"/>
          <w:sz w:val="19"/>
          <w:szCs w:val="19"/>
        </w:rPr>
        <w:t>(2)独断型决策制定：由一个人负责为整个集体制定决策；</w:t>
      </w:r>
    </w:p>
    <w:p w14:paraId="25DE3705">
      <w:pPr>
        <w:pStyle w:val="2"/>
        <w:spacing w:before="82" w:line="271" w:lineRule="auto"/>
        <w:ind w:right="319" w:firstLine="409"/>
        <w:rPr>
          <w:sz w:val="19"/>
          <w:szCs w:val="19"/>
        </w:rPr>
      </w:pPr>
      <w:r>
        <w:rPr>
          <w:spacing w:val="15"/>
          <w:sz w:val="19"/>
          <w:szCs w:val="19"/>
        </w:rPr>
        <w:t>(3)多标准决策分析：借助决策矩阵，根据一系</w:t>
      </w:r>
      <w:r>
        <w:rPr>
          <w:spacing w:val="14"/>
          <w:sz w:val="19"/>
          <w:szCs w:val="19"/>
        </w:rPr>
        <w:t>列预定义的准则，用系统分析方法评估变</w:t>
      </w:r>
      <w:r>
        <w:rPr>
          <w:sz w:val="19"/>
          <w:szCs w:val="19"/>
        </w:rPr>
        <w:t xml:space="preserve"> </w:t>
      </w:r>
      <w:r>
        <w:rPr>
          <w:spacing w:val="3"/>
          <w:sz w:val="19"/>
          <w:szCs w:val="19"/>
        </w:rPr>
        <w:t>更申请。</w:t>
      </w:r>
    </w:p>
    <w:p w14:paraId="32B93CD6">
      <w:pPr>
        <w:pStyle w:val="2"/>
        <w:spacing w:before="161" w:line="222" w:lineRule="auto"/>
        <w:ind w:left="412"/>
        <w:rPr>
          <w:rFonts w:ascii="黑体" w:hAnsi="黑体" w:eastAsia="黑体" w:cs="黑体"/>
          <w:sz w:val="19"/>
          <w:szCs w:val="19"/>
        </w:rPr>
      </w:pPr>
      <w:r>
        <w:rPr>
          <w:b/>
          <w:bCs/>
          <w:color w:val="329AEA"/>
          <w:spacing w:val="8"/>
          <w:sz w:val="19"/>
          <w:szCs w:val="19"/>
        </w:rPr>
        <w:t>5.</w:t>
      </w:r>
      <w:r>
        <w:rPr>
          <w:rFonts w:ascii="黑体" w:hAnsi="黑体" w:eastAsia="黑体" w:cs="黑体"/>
          <w:b/>
          <w:bCs/>
          <w:color w:val="329AEA"/>
          <w:spacing w:val="8"/>
          <w:sz w:val="19"/>
          <w:szCs w:val="19"/>
        </w:rPr>
        <w:t>会议</w:t>
      </w:r>
    </w:p>
    <w:p w14:paraId="2E8AD114">
      <w:pPr>
        <w:pStyle w:val="2"/>
        <w:spacing w:before="155" w:line="292" w:lineRule="auto"/>
        <w:ind w:right="272" w:firstLine="409"/>
        <w:jc w:val="both"/>
        <w:rPr>
          <w:sz w:val="19"/>
          <w:szCs w:val="19"/>
        </w:rPr>
      </w:pPr>
      <w:r>
        <w:rPr>
          <w:spacing w:val="9"/>
          <w:sz w:val="19"/>
          <w:szCs w:val="19"/>
        </w:rPr>
        <w:t>监理工程师可以召集变更控制委员会参加变更控制会</w:t>
      </w:r>
      <w:r>
        <w:rPr>
          <w:spacing w:val="8"/>
          <w:sz w:val="19"/>
          <w:szCs w:val="19"/>
        </w:rPr>
        <w:t>。变更控制委员会负责审查变更申请，</w:t>
      </w:r>
      <w:r>
        <w:rPr>
          <w:sz w:val="19"/>
          <w:szCs w:val="19"/>
        </w:rPr>
        <w:t xml:space="preserve"> </w:t>
      </w:r>
      <w:r>
        <w:rPr>
          <w:spacing w:val="13"/>
          <w:sz w:val="19"/>
          <w:szCs w:val="19"/>
        </w:rPr>
        <w:t>评估变更的影响，讨论并提议变更实施的备选方案，最终</w:t>
      </w:r>
      <w:r>
        <w:rPr>
          <w:spacing w:val="12"/>
          <w:sz w:val="19"/>
          <w:szCs w:val="19"/>
        </w:rPr>
        <w:t>做出批准或驳回的决定。最后，将会</w:t>
      </w:r>
      <w:r>
        <w:rPr>
          <w:sz w:val="19"/>
          <w:szCs w:val="19"/>
        </w:rPr>
        <w:t xml:space="preserve"> </w:t>
      </w:r>
      <w:r>
        <w:rPr>
          <w:spacing w:val="6"/>
          <w:sz w:val="19"/>
          <w:szCs w:val="19"/>
        </w:rPr>
        <w:t>议决定传达给提出变更申请的单位。</w:t>
      </w:r>
    </w:p>
    <w:p w14:paraId="5C29CCB4">
      <w:pPr>
        <w:spacing w:line="254" w:lineRule="auto"/>
        <w:rPr>
          <w:rFonts w:ascii="Arial"/>
          <w:sz w:val="21"/>
        </w:rPr>
      </w:pPr>
    </w:p>
    <w:p w14:paraId="4AABA8B4">
      <w:pPr>
        <w:pStyle w:val="2"/>
        <w:spacing w:before="91" w:line="222" w:lineRule="auto"/>
        <w:ind w:left="4"/>
        <w:rPr>
          <w:rFonts w:ascii="黑体" w:hAnsi="黑体" w:eastAsia="黑体" w:cs="黑体"/>
          <w:sz w:val="28"/>
          <w:szCs w:val="28"/>
        </w:rPr>
      </w:pPr>
      <w:r>
        <w:rPr>
          <w:b/>
          <w:bCs/>
          <w:color w:val="004BAF"/>
          <w:spacing w:val="-5"/>
          <w:sz w:val="28"/>
          <w:szCs w:val="28"/>
        </w:rPr>
        <w:t>17.4</w:t>
      </w:r>
      <w:r>
        <w:rPr>
          <w:color w:val="004BAF"/>
          <w:spacing w:val="-5"/>
          <w:sz w:val="28"/>
          <w:szCs w:val="28"/>
        </w:rPr>
        <w:t xml:space="preserve">  </w:t>
      </w:r>
      <w:r>
        <w:rPr>
          <w:rFonts w:ascii="黑体" w:hAnsi="黑体" w:eastAsia="黑体" w:cs="黑体"/>
          <w:b/>
          <w:bCs/>
          <w:color w:val="004BAF"/>
          <w:spacing w:val="-5"/>
          <w:sz w:val="28"/>
          <w:szCs w:val="28"/>
        </w:rPr>
        <w:t>变更控制内容</w:t>
      </w:r>
    </w:p>
    <w:p w14:paraId="2A02D48D">
      <w:pPr>
        <w:pStyle w:val="2"/>
        <w:spacing w:before="276" w:line="292" w:lineRule="auto"/>
        <w:ind w:right="272" w:firstLine="409"/>
        <w:jc w:val="both"/>
        <w:rPr>
          <w:sz w:val="19"/>
          <w:szCs w:val="19"/>
        </w:rPr>
      </w:pPr>
      <w:r>
        <w:rPr>
          <w:spacing w:val="13"/>
          <w:sz w:val="19"/>
          <w:szCs w:val="19"/>
        </w:rPr>
        <w:t>在变更控制过程中，监理工程师需要重点关</w:t>
      </w:r>
      <w:r>
        <w:rPr>
          <w:spacing w:val="12"/>
          <w:sz w:val="19"/>
          <w:szCs w:val="19"/>
        </w:rPr>
        <w:t>注需求变更控制、进度变更控制、投资变更控</w:t>
      </w:r>
      <w:r>
        <w:rPr>
          <w:sz w:val="19"/>
          <w:szCs w:val="19"/>
        </w:rPr>
        <w:t xml:space="preserve"> </w:t>
      </w:r>
      <w:r>
        <w:rPr>
          <w:spacing w:val="9"/>
          <w:sz w:val="19"/>
          <w:szCs w:val="19"/>
        </w:rPr>
        <w:t>制和合同变更控制。除了变更处理过程、处理时限需要符合承建合同及变更控制程序的</w:t>
      </w:r>
      <w:r>
        <w:rPr>
          <w:spacing w:val="8"/>
          <w:sz w:val="19"/>
          <w:szCs w:val="19"/>
        </w:rPr>
        <w:t>要求外，</w:t>
      </w:r>
      <w:r>
        <w:rPr>
          <w:sz w:val="19"/>
          <w:szCs w:val="19"/>
        </w:rPr>
        <w:t xml:space="preserve"> </w:t>
      </w:r>
      <w:r>
        <w:rPr>
          <w:spacing w:val="6"/>
          <w:sz w:val="19"/>
          <w:szCs w:val="19"/>
        </w:rPr>
        <w:t>还应根据其特点控制变更。</w:t>
      </w:r>
    </w:p>
    <w:p w14:paraId="13B47118">
      <w:pPr>
        <w:pStyle w:val="2"/>
        <w:spacing w:before="158" w:line="220" w:lineRule="auto"/>
        <w:ind w:left="2"/>
        <w:rPr>
          <w:sz w:val="25"/>
          <w:szCs w:val="25"/>
        </w:rPr>
      </w:pPr>
      <w:r>
        <w:rPr>
          <w:b/>
          <w:bCs/>
          <w:color w:val="0057CB"/>
          <w:spacing w:val="-17"/>
          <w:sz w:val="25"/>
          <w:szCs w:val="25"/>
        </w:rPr>
        <w:t>17.4.1</w:t>
      </w:r>
      <w:r>
        <w:rPr>
          <w:color w:val="0057CB"/>
          <w:spacing w:val="107"/>
          <w:sz w:val="25"/>
          <w:szCs w:val="25"/>
        </w:rPr>
        <w:t xml:space="preserve"> </w:t>
      </w:r>
      <w:r>
        <w:rPr>
          <w:b/>
          <w:bCs/>
          <w:color w:val="0057CB"/>
          <w:spacing w:val="-17"/>
          <w:sz w:val="25"/>
          <w:szCs w:val="25"/>
        </w:rPr>
        <w:t>需求变更控制</w:t>
      </w:r>
    </w:p>
    <w:p w14:paraId="24128A79">
      <w:pPr>
        <w:spacing w:before="258" w:line="222" w:lineRule="auto"/>
        <w:ind w:left="412"/>
        <w:rPr>
          <w:rFonts w:ascii="黑体" w:hAnsi="黑体" w:eastAsia="黑体" w:cs="黑体"/>
          <w:sz w:val="19"/>
          <w:szCs w:val="19"/>
        </w:rPr>
      </w:pPr>
      <w:r>
        <w:rPr>
          <w:rFonts w:ascii="黑体" w:hAnsi="黑体" w:eastAsia="黑体" w:cs="黑体"/>
          <w:b/>
          <w:bCs/>
          <w:color w:val="005EB1"/>
          <w:spacing w:val="6"/>
          <w:sz w:val="19"/>
          <w:szCs w:val="19"/>
        </w:rPr>
        <w:t>1.需求变更控制的重要性</w:t>
      </w:r>
    </w:p>
    <w:p w14:paraId="170D1916">
      <w:pPr>
        <w:pStyle w:val="2"/>
        <w:spacing w:before="143" w:line="293" w:lineRule="auto"/>
        <w:ind w:right="298" w:firstLine="409"/>
        <w:jc w:val="both"/>
        <w:rPr>
          <w:sz w:val="19"/>
          <w:szCs w:val="19"/>
        </w:rPr>
      </w:pPr>
      <w:r>
        <w:rPr>
          <w:spacing w:val="13"/>
          <w:sz w:val="19"/>
          <w:szCs w:val="19"/>
        </w:rPr>
        <w:t>需求变更对项目成败有关键影响，通常会带</w:t>
      </w:r>
      <w:r>
        <w:rPr>
          <w:spacing w:val="12"/>
          <w:sz w:val="19"/>
          <w:szCs w:val="19"/>
        </w:rPr>
        <w:t>来方案变更、技术变更、人员变更等多方面变</w:t>
      </w:r>
      <w:r>
        <w:rPr>
          <w:sz w:val="19"/>
          <w:szCs w:val="19"/>
        </w:rPr>
        <w:t xml:space="preserve"> </w:t>
      </w:r>
      <w:r>
        <w:rPr>
          <w:spacing w:val="13"/>
          <w:sz w:val="19"/>
          <w:szCs w:val="19"/>
        </w:rPr>
        <w:t>更。在信息系统工程建设项目中，最常见的变更往往源于业主单位本身的需求或意愿。需求变</w:t>
      </w:r>
      <w:r>
        <w:rPr>
          <w:spacing w:val="4"/>
          <w:sz w:val="19"/>
          <w:szCs w:val="19"/>
        </w:rPr>
        <w:t xml:space="preserve"> </w:t>
      </w:r>
      <w:r>
        <w:rPr>
          <w:spacing w:val="13"/>
          <w:sz w:val="19"/>
          <w:szCs w:val="19"/>
        </w:rPr>
        <w:t>更并不可怕，可怕的是需求变更得不到控制，未经控制的需求变更很容易带来</w:t>
      </w:r>
      <w:r>
        <w:rPr>
          <w:spacing w:val="12"/>
          <w:sz w:val="19"/>
          <w:szCs w:val="19"/>
        </w:rPr>
        <w:t>范围蔓延，范围</w:t>
      </w:r>
    </w:p>
    <w:p w14:paraId="0B03180B">
      <w:pPr>
        <w:spacing w:line="293" w:lineRule="auto"/>
        <w:rPr>
          <w:sz w:val="19"/>
          <w:szCs w:val="19"/>
        </w:rPr>
        <w:sectPr>
          <w:pgSz w:w="10280" w:h="13300"/>
          <w:pgMar w:top="350" w:right="562" w:bottom="400" w:left="1089" w:header="0" w:footer="0" w:gutter="0"/>
          <w:cols w:space="720" w:num="1"/>
        </w:sectPr>
      </w:pPr>
    </w:p>
    <w:p w14:paraId="462C5D61">
      <w:pPr>
        <w:pStyle w:val="2"/>
        <w:spacing w:before="67" w:line="219" w:lineRule="auto"/>
        <w:rPr>
          <w:sz w:val="19"/>
          <w:szCs w:val="19"/>
        </w:rPr>
      </w:pPr>
      <w:r>
        <w:rPr>
          <w:rFonts w:ascii="Times New Roman" w:hAnsi="Times New Roman" w:eastAsia="Times New Roman" w:cs="Times New Roman"/>
          <w:b/>
          <w:bCs/>
          <w:spacing w:val="3"/>
          <w:sz w:val="19"/>
          <w:szCs w:val="19"/>
        </w:rPr>
        <w:t xml:space="preserve">390              </w:t>
      </w:r>
      <w:r>
        <w:rPr>
          <w:spacing w:val="3"/>
          <w:sz w:val="19"/>
          <w:szCs w:val="19"/>
        </w:rPr>
        <w:t>信息系统监理师教程(第2版)</w:t>
      </w:r>
    </w:p>
    <w:p w14:paraId="5C533B78">
      <w:pPr>
        <w:spacing w:line="339" w:lineRule="auto"/>
        <w:rPr>
          <w:rFonts w:ascii="Arial"/>
          <w:sz w:val="21"/>
        </w:rPr>
      </w:pPr>
    </w:p>
    <w:p w14:paraId="4905F586">
      <w:pPr>
        <w:pStyle w:val="2"/>
        <w:spacing w:before="62" w:line="219" w:lineRule="auto"/>
        <w:ind w:left="380"/>
        <w:rPr>
          <w:sz w:val="19"/>
          <w:szCs w:val="19"/>
        </w:rPr>
      </w:pPr>
      <w:r>
        <w:rPr>
          <w:spacing w:val="6"/>
          <w:sz w:val="19"/>
          <w:szCs w:val="19"/>
        </w:rPr>
        <w:t>蔓延则会造成不合理的工期延误及投资超预算。</w:t>
      </w:r>
    </w:p>
    <w:p w14:paraId="5509916C">
      <w:pPr>
        <w:pStyle w:val="2"/>
        <w:spacing w:before="74" w:line="308" w:lineRule="auto"/>
        <w:ind w:left="380" w:right="55" w:firstLine="389"/>
        <w:rPr>
          <w:sz w:val="19"/>
          <w:szCs w:val="19"/>
        </w:rPr>
      </w:pPr>
      <w:r>
        <w:rPr>
          <w:spacing w:val="13"/>
          <w:sz w:val="19"/>
          <w:szCs w:val="19"/>
        </w:rPr>
        <w:t>监理工程师应对需求变更进行充分的识别、评审和控制，提醒承建单位采取可控的方式做</w:t>
      </w:r>
      <w:r>
        <w:rPr>
          <w:spacing w:val="1"/>
          <w:sz w:val="19"/>
          <w:szCs w:val="19"/>
        </w:rPr>
        <w:t xml:space="preserve"> </w:t>
      </w:r>
      <w:r>
        <w:rPr>
          <w:spacing w:val="8"/>
          <w:sz w:val="19"/>
          <w:szCs w:val="19"/>
        </w:rPr>
        <w:t>好需求管理，确保需求变更及其带来的关联变化得到有效控制。</w:t>
      </w:r>
    </w:p>
    <w:p w14:paraId="7D5230D1">
      <w:pPr>
        <w:pStyle w:val="2"/>
        <w:spacing w:before="103" w:line="222" w:lineRule="auto"/>
        <w:ind w:left="772"/>
        <w:rPr>
          <w:rFonts w:ascii="黑体" w:hAnsi="黑体" w:eastAsia="黑体" w:cs="黑体"/>
          <w:sz w:val="19"/>
          <w:szCs w:val="19"/>
        </w:rPr>
      </w:pPr>
      <w:r>
        <w:rPr>
          <w:b/>
          <w:bCs/>
          <w:color w:val="0074CE"/>
          <w:spacing w:val="7"/>
          <w:sz w:val="19"/>
          <w:szCs w:val="19"/>
        </w:rPr>
        <w:t>2.</w:t>
      </w:r>
      <w:r>
        <w:rPr>
          <w:rFonts w:ascii="黑体" w:hAnsi="黑体" w:eastAsia="黑体" w:cs="黑体"/>
          <w:b/>
          <w:bCs/>
          <w:color w:val="0074CE"/>
          <w:spacing w:val="7"/>
          <w:sz w:val="19"/>
          <w:szCs w:val="19"/>
        </w:rPr>
        <w:t>需求变更的控制措施</w:t>
      </w:r>
    </w:p>
    <w:p w14:paraId="6C2CC21D">
      <w:pPr>
        <w:pStyle w:val="2"/>
        <w:spacing w:before="156" w:line="220" w:lineRule="auto"/>
        <w:ind w:left="770"/>
        <w:rPr>
          <w:sz w:val="19"/>
          <w:szCs w:val="19"/>
        </w:rPr>
      </w:pPr>
      <w:r>
        <w:rPr>
          <w:spacing w:val="5"/>
          <w:sz w:val="19"/>
          <w:szCs w:val="19"/>
        </w:rPr>
        <w:t>需求变更的控制措施主要包括：</w:t>
      </w:r>
    </w:p>
    <w:p w14:paraId="5048F95C">
      <w:pPr>
        <w:pStyle w:val="2"/>
        <w:spacing w:before="73" w:line="288" w:lineRule="auto"/>
        <w:ind w:left="380" w:firstLine="389"/>
        <w:rPr>
          <w:sz w:val="19"/>
          <w:szCs w:val="19"/>
        </w:rPr>
      </w:pPr>
      <w:r>
        <w:rPr>
          <w:spacing w:val="15"/>
          <w:sz w:val="19"/>
          <w:szCs w:val="19"/>
        </w:rPr>
        <w:t>(1)在项目招标阶段，监理工程师应做好需求确认和合同签订工作。需求基准文件定义的</w:t>
      </w:r>
      <w:r>
        <w:rPr>
          <w:spacing w:val="8"/>
          <w:sz w:val="19"/>
          <w:szCs w:val="19"/>
        </w:rPr>
        <w:t xml:space="preserve"> </w:t>
      </w:r>
      <w:r>
        <w:rPr>
          <w:spacing w:val="14"/>
          <w:sz w:val="19"/>
          <w:szCs w:val="19"/>
        </w:rPr>
        <w:t>范围应详细、清晰、经过业主单位确认。在签订承建合同时，可以建议增加相关条款，例如，</w:t>
      </w:r>
      <w:r>
        <w:rPr>
          <w:sz w:val="19"/>
          <w:szCs w:val="19"/>
        </w:rPr>
        <w:t xml:space="preserve"> </w:t>
      </w:r>
      <w:r>
        <w:rPr>
          <w:spacing w:val="13"/>
          <w:sz w:val="19"/>
          <w:szCs w:val="19"/>
        </w:rPr>
        <w:t>限定提出需求变更的时间，规定哪种情况的变更可以被接受或拒绝，需求变</w:t>
      </w:r>
      <w:r>
        <w:rPr>
          <w:spacing w:val="12"/>
          <w:sz w:val="19"/>
          <w:szCs w:val="19"/>
        </w:rPr>
        <w:t>更的控制程序和审</w:t>
      </w:r>
      <w:r>
        <w:rPr>
          <w:sz w:val="19"/>
          <w:szCs w:val="19"/>
        </w:rPr>
        <w:t xml:space="preserve"> </w:t>
      </w:r>
      <w:r>
        <w:rPr>
          <w:spacing w:val="2"/>
          <w:sz w:val="19"/>
          <w:szCs w:val="19"/>
        </w:rPr>
        <w:t>批权限等。</w:t>
      </w:r>
    </w:p>
    <w:p w14:paraId="4761C8F6">
      <w:pPr>
        <w:pStyle w:val="2"/>
        <w:spacing w:before="93" w:line="281" w:lineRule="auto"/>
        <w:ind w:left="380" w:right="55" w:firstLine="389"/>
        <w:rPr>
          <w:sz w:val="19"/>
          <w:szCs w:val="19"/>
        </w:rPr>
      </w:pPr>
      <w:r>
        <w:rPr>
          <w:spacing w:val="15"/>
          <w:sz w:val="19"/>
          <w:szCs w:val="19"/>
        </w:rPr>
        <w:t>(2)在项目实施阶段，监理工程师应确保按照约定的变更控制程序处理需求变更，需求变</w:t>
      </w:r>
      <w:r>
        <w:rPr>
          <w:spacing w:val="2"/>
          <w:sz w:val="19"/>
          <w:szCs w:val="19"/>
        </w:rPr>
        <w:t xml:space="preserve"> </w:t>
      </w:r>
      <w:r>
        <w:rPr>
          <w:spacing w:val="13"/>
          <w:sz w:val="19"/>
          <w:szCs w:val="19"/>
        </w:rPr>
        <w:t>更应合规、可控，尤其需要注意对需求变更的确认，需求变</w:t>
      </w:r>
      <w:r>
        <w:rPr>
          <w:spacing w:val="12"/>
          <w:sz w:val="19"/>
          <w:szCs w:val="19"/>
        </w:rPr>
        <w:t>更的内容也应及时反映在设计和实</w:t>
      </w:r>
      <w:r>
        <w:rPr>
          <w:sz w:val="19"/>
          <w:szCs w:val="19"/>
        </w:rPr>
        <w:t xml:space="preserve"> </w:t>
      </w:r>
      <w:r>
        <w:rPr>
          <w:spacing w:val="2"/>
          <w:sz w:val="19"/>
          <w:szCs w:val="19"/>
        </w:rPr>
        <w:t>施方案中。</w:t>
      </w:r>
    </w:p>
    <w:p w14:paraId="2368F0AB">
      <w:pPr>
        <w:pStyle w:val="2"/>
        <w:spacing w:before="83" w:line="219" w:lineRule="auto"/>
        <w:ind w:left="770"/>
        <w:rPr>
          <w:sz w:val="19"/>
          <w:szCs w:val="19"/>
        </w:rPr>
      </w:pPr>
      <w:r>
        <w:rPr>
          <w:spacing w:val="11"/>
          <w:sz w:val="19"/>
          <w:szCs w:val="19"/>
        </w:rPr>
        <w:t>(3)在项目验收阶段，监理工程师应确保</w:t>
      </w:r>
      <w:r>
        <w:rPr>
          <w:spacing w:val="10"/>
          <w:sz w:val="19"/>
          <w:szCs w:val="19"/>
        </w:rPr>
        <w:t>需求变更的内容反映在验收方案中。</w:t>
      </w:r>
    </w:p>
    <w:p w14:paraId="763B84CA">
      <w:pPr>
        <w:pStyle w:val="2"/>
        <w:spacing w:before="265" w:line="220" w:lineRule="auto"/>
        <w:ind w:left="383"/>
        <w:rPr>
          <w:sz w:val="25"/>
          <w:szCs w:val="25"/>
        </w:rPr>
      </w:pPr>
      <w:r>
        <w:rPr>
          <w:b/>
          <w:bCs/>
          <w:color w:val="0074E9"/>
          <w:spacing w:val="-16"/>
          <w:sz w:val="25"/>
          <w:szCs w:val="25"/>
        </w:rPr>
        <w:t>17.4.2</w:t>
      </w:r>
      <w:r>
        <w:rPr>
          <w:color w:val="0074E9"/>
          <w:spacing w:val="68"/>
          <w:sz w:val="25"/>
          <w:szCs w:val="25"/>
        </w:rPr>
        <w:t xml:space="preserve"> </w:t>
      </w:r>
      <w:r>
        <w:rPr>
          <w:b/>
          <w:bCs/>
          <w:color w:val="0074E9"/>
          <w:spacing w:val="-16"/>
          <w:sz w:val="25"/>
          <w:szCs w:val="25"/>
        </w:rPr>
        <w:t>进度变更控制</w:t>
      </w:r>
    </w:p>
    <w:p w14:paraId="5997AB63">
      <w:pPr>
        <w:pStyle w:val="2"/>
        <w:spacing w:before="151" w:line="298" w:lineRule="auto"/>
        <w:ind w:left="380" w:right="49" w:firstLine="389"/>
        <w:rPr>
          <w:sz w:val="19"/>
          <w:szCs w:val="19"/>
        </w:rPr>
      </w:pPr>
      <w:r>
        <w:rPr>
          <w:spacing w:val="13"/>
          <w:sz w:val="19"/>
          <w:szCs w:val="19"/>
        </w:rPr>
        <w:t>监理工程师应能够基于项目之前的执行情况预测进度，确定项目是否仍处于进度的公差区</w:t>
      </w:r>
      <w:r>
        <w:rPr>
          <w:spacing w:val="8"/>
          <w:sz w:val="19"/>
          <w:szCs w:val="19"/>
        </w:rPr>
        <w:t xml:space="preserve"> </w:t>
      </w:r>
      <w:r>
        <w:rPr>
          <w:spacing w:val="7"/>
          <w:sz w:val="19"/>
          <w:szCs w:val="19"/>
        </w:rPr>
        <w:t>间，并识别任何必要的变更，尽量减少进度变更。</w:t>
      </w:r>
    </w:p>
    <w:p w14:paraId="033F0112">
      <w:pPr>
        <w:pStyle w:val="2"/>
        <w:spacing w:before="18" w:line="219" w:lineRule="auto"/>
        <w:ind w:left="770"/>
        <w:rPr>
          <w:sz w:val="19"/>
          <w:szCs w:val="19"/>
        </w:rPr>
      </w:pPr>
      <w:r>
        <w:rPr>
          <w:spacing w:val="7"/>
          <w:sz w:val="19"/>
          <w:szCs w:val="19"/>
        </w:rPr>
        <w:t>监理工程师对进度变更的控制措施主要包括：</w:t>
      </w:r>
    </w:p>
    <w:p w14:paraId="39B1D90F">
      <w:pPr>
        <w:pStyle w:val="2"/>
        <w:spacing w:before="95" w:line="219" w:lineRule="auto"/>
        <w:ind w:left="770"/>
        <w:rPr>
          <w:sz w:val="19"/>
          <w:szCs w:val="19"/>
        </w:rPr>
      </w:pPr>
      <w:r>
        <w:rPr>
          <w:spacing w:val="11"/>
          <w:sz w:val="19"/>
          <w:szCs w:val="19"/>
        </w:rPr>
        <w:t>(1)判断项目进度的当前状态，识别变更</w:t>
      </w:r>
      <w:r>
        <w:rPr>
          <w:spacing w:val="10"/>
          <w:sz w:val="19"/>
          <w:szCs w:val="19"/>
        </w:rPr>
        <w:t>的可能性和必要性；</w:t>
      </w:r>
    </w:p>
    <w:p w14:paraId="1E0FAC75">
      <w:pPr>
        <w:pStyle w:val="2"/>
        <w:spacing w:before="84" w:line="219" w:lineRule="auto"/>
        <w:ind w:left="770"/>
        <w:rPr>
          <w:sz w:val="19"/>
          <w:szCs w:val="19"/>
        </w:rPr>
      </w:pPr>
      <w:r>
        <w:rPr>
          <w:spacing w:val="11"/>
          <w:sz w:val="19"/>
          <w:szCs w:val="19"/>
        </w:rPr>
        <w:t>(2)对可能造成进度变更的因素施加影响；</w:t>
      </w:r>
    </w:p>
    <w:p w14:paraId="0BC4EEB1">
      <w:pPr>
        <w:pStyle w:val="2"/>
        <w:spacing w:before="83" w:line="218" w:lineRule="auto"/>
        <w:ind w:left="770"/>
        <w:rPr>
          <w:sz w:val="19"/>
          <w:szCs w:val="19"/>
        </w:rPr>
      </w:pPr>
      <w:r>
        <w:rPr>
          <w:spacing w:val="11"/>
          <w:sz w:val="19"/>
          <w:szCs w:val="19"/>
        </w:rPr>
        <w:t>(3)查明进度是否已经改变，及时报告业</w:t>
      </w:r>
      <w:r>
        <w:rPr>
          <w:spacing w:val="10"/>
          <w:sz w:val="19"/>
          <w:szCs w:val="19"/>
        </w:rPr>
        <w:t>主单位并做工程备忘录；</w:t>
      </w:r>
    </w:p>
    <w:p w14:paraId="2ADDA78D">
      <w:pPr>
        <w:pStyle w:val="2"/>
        <w:spacing w:before="87" w:line="219" w:lineRule="auto"/>
        <w:ind w:left="770"/>
        <w:rPr>
          <w:sz w:val="19"/>
          <w:szCs w:val="19"/>
        </w:rPr>
      </w:pPr>
      <w:r>
        <w:rPr>
          <w:spacing w:val="10"/>
          <w:sz w:val="19"/>
          <w:szCs w:val="19"/>
        </w:rPr>
        <w:t>(4)确保按照约定的变更控制程序和时限要求处理进度变更。</w:t>
      </w:r>
    </w:p>
    <w:p w14:paraId="57940B30">
      <w:pPr>
        <w:pStyle w:val="2"/>
        <w:spacing w:before="105" w:line="219" w:lineRule="auto"/>
        <w:ind w:left="770"/>
        <w:rPr>
          <w:sz w:val="19"/>
          <w:szCs w:val="19"/>
        </w:rPr>
      </w:pPr>
      <w:r>
        <w:rPr>
          <w:spacing w:val="9"/>
          <w:sz w:val="19"/>
          <w:szCs w:val="19"/>
        </w:rPr>
        <w:t>项目延期、暂停、复工都可能造成进度变更，对这三种情形的处理方式如</w:t>
      </w:r>
      <w:r>
        <w:rPr>
          <w:spacing w:val="8"/>
          <w:sz w:val="19"/>
          <w:szCs w:val="19"/>
        </w:rPr>
        <w:t>下。</w:t>
      </w:r>
    </w:p>
    <w:p w14:paraId="23A34089">
      <w:pPr>
        <w:pStyle w:val="2"/>
        <w:spacing w:before="180" w:line="222" w:lineRule="auto"/>
        <w:ind w:left="772"/>
        <w:rPr>
          <w:rFonts w:ascii="黑体" w:hAnsi="黑体" w:eastAsia="黑体" w:cs="黑体"/>
          <w:sz w:val="19"/>
          <w:szCs w:val="19"/>
        </w:rPr>
      </w:pPr>
      <w:r>
        <w:rPr>
          <w:b/>
          <w:bCs/>
          <w:color w:val="0068D1"/>
          <w:spacing w:val="7"/>
          <w:sz w:val="19"/>
          <w:szCs w:val="19"/>
        </w:rPr>
        <w:t>1.</w:t>
      </w:r>
      <w:r>
        <w:rPr>
          <w:rFonts w:ascii="黑体" w:hAnsi="黑体" w:eastAsia="黑体" w:cs="黑体"/>
          <w:b/>
          <w:bCs/>
          <w:color w:val="0068D1"/>
          <w:spacing w:val="7"/>
          <w:sz w:val="19"/>
          <w:szCs w:val="19"/>
        </w:rPr>
        <w:t>项目延期</w:t>
      </w:r>
    </w:p>
    <w:p w14:paraId="416A0122">
      <w:pPr>
        <w:pStyle w:val="2"/>
        <w:spacing w:before="146" w:line="219" w:lineRule="auto"/>
        <w:ind w:left="770"/>
        <w:rPr>
          <w:sz w:val="19"/>
          <w:szCs w:val="19"/>
        </w:rPr>
      </w:pPr>
      <w:r>
        <w:rPr>
          <w:spacing w:val="7"/>
          <w:sz w:val="19"/>
          <w:szCs w:val="19"/>
        </w:rPr>
        <w:t>监理单位应按以下要点及时处理项目延期：</w:t>
      </w:r>
    </w:p>
    <w:p w14:paraId="5280C286">
      <w:pPr>
        <w:pStyle w:val="2"/>
        <w:spacing w:before="74" w:line="270" w:lineRule="auto"/>
        <w:ind w:left="380" w:right="54" w:firstLine="389"/>
        <w:rPr>
          <w:sz w:val="19"/>
          <w:szCs w:val="19"/>
        </w:rPr>
      </w:pPr>
      <w:r>
        <w:rPr>
          <w:spacing w:val="15"/>
          <w:sz w:val="19"/>
          <w:szCs w:val="19"/>
        </w:rPr>
        <w:t>(1)根据项目情况确认其合理性，并与业主单位、承建单位协商后，由总监理工程师对工</w:t>
      </w:r>
      <w:r>
        <w:rPr>
          <w:spacing w:val="4"/>
          <w:sz w:val="19"/>
          <w:szCs w:val="19"/>
        </w:rPr>
        <w:t xml:space="preserve"> 程延期申请予以确认；</w:t>
      </w:r>
    </w:p>
    <w:p w14:paraId="042B7F30">
      <w:pPr>
        <w:pStyle w:val="2"/>
        <w:spacing w:before="85" w:line="288" w:lineRule="auto"/>
        <w:ind w:left="380" w:right="57" w:firstLine="389"/>
        <w:rPr>
          <w:sz w:val="19"/>
          <w:szCs w:val="19"/>
        </w:rPr>
      </w:pPr>
      <w:r>
        <w:rPr>
          <w:spacing w:val="15"/>
          <w:sz w:val="19"/>
          <w:szCs w:val="19"/>
        </w:rPr>
        <w:t>(2)项目延期影响项目总体进度计划时，应要求承建单位修改项目总体进度计划，经三方</w:t>
      </w:r>
      <w:r>
        <w:rPr>
          <w:spacing w:val="1"/>
          <w:sz w:val="19"/>
          <w:szCs w:val="19"/>
        </w:rPr>
        <w:t xml:space="preserve"> </w:t>
      </w:r>
      <w:r>
        <w:rPr>
          <w:spacing w:val="5"/>
          <w:sz w:val="19"/>
          <w:szCs w:val="19"/>
        </w:rPr>
        <w:t>签认后，做工程备忘录。</w:t>
      </w:r>
    </w:p>
    <w:p w14:paraId="4BA850B2">
      <w:pPr>
        <w:pStyle w:val="2"/>
        <w:spacing w:before="15" w:line="218" w:lineRule="auto"/>
        <w:ind w:left="770"/>
        <w:rPr>
          <w:sz w:val="19"/>
          <w:szCs w:val="19"/>
        </w:rPr>
      </w:pPr>
      <w:r>
        <w:rPr>
          <w:spacing w:val="8"/>
          <w:sz w:val="19"/>
          <w:szCs w:val="19"/>
        </w:rPr>
        <w:t>对项目延期的监理要点及评估原则如下：</w:t>
      </w:r>
    </w:p>
    <w:p w14:paraId="33ACFBA6">
      <w:pPr>
        <w:pStyle w:val="2"/>
        <w:spacing w:before="90" w:line="221" w:lineRule="auto"/>
        <w:ind w:left="770"/>
        <w:rPr>
          <w:sz w:val="19"/>
          <w:szCs w:val="19"/>
        </w:rPr>
      </w:pPr>
      <w:r>
        <w:rPr>
          <w:spacing w:val="21"/>
          <w:sz w:val="19"/>
          <w:szCs w:val="19"/>
        </w:rPr>
        <w:t>(1)受理。</w:t>
      </w:r>
    </w:p>
    <w:p w14:paraId="0AE65BBE">
      <w:pPr>
        <w:pStyle w:val="2"/>
        <w:spacing w:before="80" w:line="219" w:lineRule="auto"/>
        <w:ind w:left="770"/>
        <w:rPr>
          <w:sz w:val="19"/>
          <w:szCs w:val="19"/>
        </w:rPr>
      </w:pPr>
      <w:r>
        <w:rPr>
          <w:spacing w:val="8"/>
          <w:sz w:val="19"/>
          <w:szCs w:val="19"/>
        </w:rPr>
        <w:t>监理单位应对承建合同规定的由下列原因造成的项目延期事件给予受</w:t>
      </w:r>
      <w:r>
        <w:rPr>
          <w:spacing w:val="7"/>
          <w:sz w:val="19"/>
          <w:szCs w:val="19"/>
        </w:rPr>
        <w:t>理：</w:t>
      </w:r>
    </w:p>
    <w:p w14:paraId="302E42A8">
      <w:pPr>
        <w:pStyle w:val="2"/>
        <w:spacing w:before="85" w:line="219" w:lineRule="auto"/>
        <w:ind w:left="770"/>
        <w:rPr>
          <w:sz w:val="19"/>
          <w:szCs w:val="19"/>
        </w:rPr>
      </w:pPr>
      <w:r>
        <w:rPr>
          <w:spacing w:val="10"/>
          <w:sz w:val="19"/>
          <w:szCs w:val="19"/>
        </w:rPr>
        <w:t>●非承建单位的责任使项目不能按原定工期开工；</w:t>
      </w:r>
    </w:p>
    <w:p w14:paraId="2407B2B1">
      <w:pPr>
        <w:pStyle w:val="2"/>
        <w:spacing w:before="85" w:line="220" w:lineRule="auto"/>
        <w:ind w:left="770"/>
        <w:rPr>
          <w:sz w:val="19"/>
          <w:szCs w:val="19"/>
        </w:rPr>
      </w:pPr>
      <w:r>
        <w:rPr>
          <w:spacing w:val="11"/>
          <w:sz w:val="19"/>
          <w:szCs w:val="19"/>
        </w:rPr>
        <w:t>●经批准的工程量变化和设计变更；</w:t>
      </w:r>
    </w:p>
    <w:p w14:paraId="6E26543A">
      <w:pPr>
        <w:pStyle w:val="2"/>
        <w:spacing w:before="82" w:line="219" w:lineRule="auto"/>
        <w:ind w:left="770"/>
        <w:rPr>
          <w:sz w:val="19"/>
          <w:szCs w:val="19"/>
        </w:rPr>
      </w:pPr>
      <w:r>
        <w:rPr>
          <w:spacing w:val="10"/>
          <w:sz w:val="19"/>
          <w:szCs w:val="19"/>
        </w:rPr>
        <w:t>●国家和地区有关部门正式发布的不可抗力事件；</w:t>
      </w:r>
    </w:p>
    <w:p w14:paraId="6B41DBE3">
      <w:pPr>
        <w:pStyle w:val="2"/>
        <w:spacing w:before="96" w:line="220" w:lineRule="auto"/>
        <w:ind w:left="770"/>
        <w:rPr>
          <w:sz w:val="19"/>
          <w:szCs w:val="19"/>
        </w:rPr>
      </w:pPr>
      <w:r>
        <w:rPr>
          <w:spacing w:val="12"/>
          <w:sz w:val="19"/>
          <w:szCs w:val="19"/>
        </w:rPr>
        <w:t>●业主单位同意工期相应顺延的其他情况。</w:t>
      </w:r>
    </w:p>
    <w:p w14:paraId="6EACC4AF">
      <w:pPr>
        <w:spacing w:line="220" w:lineRule="auto"/>
        <w:rPr>
          <w:sz w:val="19"/>
          <w:szCs w:val="19"/>
        </w:rPr>
        <w:sectPr>
          <w:pgSz w:w="10300" w:h="13370"/>
          <w:pgMar w:top="400" w:right="1054" w:bottom="400" w:left="499" w:header="0" w:footer="0" w:gutter="0"/>
          <w:cols w:space="720" w:num="1"/>
        </w:sectPr>
      </w:pPr>
    </w:p>
    <w:p w14:paraId="22F0E82E">
      <w:pPr>
        <w:pStyle w:val="2"/>
        <w:spacing w:before="77" w:line="219" w:lineRule="auto"/>
        <w:jc w:val="right"/>
        <w:rPr>
          <w:rFonts w:ascii="Times New Roman" w:hAnsi="Times New Roman" w:eastAsia="Times New Roman" w:cs="Times New Roman"/>
          <w:sz w:val="19"/>
          <w:szCs w:val="19"/>
        </w:rPr>
      </w:pPr>
      <w:bookmarkStart w:id="691" w:name="bookmark676"/>
      <w:bookmarkEnd w:id="691"/>
      <w:r>
        <w:rPr>
          <w:spacing w:val="5"/>
          <w:sz w:val="19"/>
          <w:szCs w:val="19"/>
        </w:rPr>
        <w:t>第17章</w:t>
      </w:r>
      <w:r>
        <w:rPr>
          <w:spacing w:val="39"/>
          <w:sz w:val="19"/>
          <w:szCs w:val="19"/>
        </w:rPr>
        <w:t xml:space="preserve"> </w:t>
      </w:r>
      <w:r>
        <w:rPr>
          <w:spacing w:val="5"/>
          <w:sz w:val="19"/>
          <w:szCs w:val="19"/>
        </w:rPr>
        <w:t>变更控制</w:t>
      </w:r>
      <w:r>
        <w:rPr>
          <w:spacing w:val="17"/>
          <w:sz w:val="19"/>
          <w:szCs w:val="19"/>
        </w:rPr>
        <w:t xml:space="preserve">     </w:t>
      </w:r>
      <w:r>
        <w:rPr>
          <w:rFonts w:ascii="Times New Roman" w:hAnsi="Times New Roman" w:eastAsia="Times New Roman" w:cs="Times New Roman"/>
          <w:color w:val="0080F1"/>
          <w:spacing w:val="5"/>
          <w:position w:val="-4"/>
          <w:sz w:val="19"/>
          <w:szCs w:val="19"/>
        </w:rPr>
        <w:t>3</w:t>
      </w:r>
      <w:r>
        <w:rPr>
          <w:rFonts w:ascii="Times New Roman" w:hAnsi="Times New Roman" w:eastAsia="Times New Roman" w:cs="Times New Roman"/>
          <w:color w:val="0080F1"/>
          <w:spacing w:val="19"/>
          <w:w w:val="101"/>
          <w:position w:val="-4"/>
          <w:sz w:val="19"/>
          <w:szCs w:val="19"/>
        </w:rPr>
        <w:t xml:space="preserve"> </w:t>
      </w:r>
      <w:r>
        <w:rPr>
          <w:rFonts w:ascii="Times New Roman" w:hAnsi="Times New Roman" w:eastAsia="Times New Roman" w:cs="Times New Roman"/>
          <w:spacing w:val="5"/>
          <w:position w:val="-4"/>
          <w:sz w:val="19"/>
          <w:szCs w:val="19"/>
        </w:rPr>
        <w:t>91</w:t>
      </w:r>
    </w:p>
    <w:p w14:paraId="5CA1FDE1">
      <w:pPr>
        <w:spacing w:line="268" w:lineRule="auto"/>
        <w:rPr>
          <w:rFonts w:ascii="Arial"/>
          <w:sz w:val="21"/>
        </w:rPr>
      </w:pPr>
    </w:p>
    <w:p w14:paraId="411F92F0">
      <w:pPr>
        <w:pStyle w:val="2"/>
        <w:spacing w:before="62" w:line="222" w:lineRule="auto"/>
        <w:ind w:left="409"/>
        <w:rPr>
          <w:sz w:val="19"/>
          <w:szCs w:val="19"/>
        </w:rPr>
      </w:pPr>
      <w:r>
        <w:rPr>
          <w:spacing w:val="19"/>
          <w:sz w:val="19"/>
          <w:szCs w:val="19"/>
        </w:rPr>
        <w:t>(2)处理。</w:t>
      </w:r>
    </w:p>
    <w:p w14:paraId="417BAB2A">
      <w:pPr>
        <w:pStyle w:val="2"/>
        <w:spacing w:before="98" w:line="219" w:lineRule="auto"/>
        <w:ind w:left="409"/>
        <w:rPr>
          <w:sz w:val="19"/>
          <w:szCs w:val="19"/>
        </w:rPr>
      </w:pPr>
      <w:r>
        <w:rPr>
          <w:spacing w:val="5"/>
          <w:sz w:val="19"/>
          <w:szCs w:val="19"/>
        </w:rPr>
        <w:t>对项目延期事件的处理过程如下：</w:t>
      </w:r>
    </w:p>
    <w:p w14:paraId="42FD1052">
      <w:pPr>
        <w:pStyle w:val="2"/>
        <w:spacing w:before="102" w:line="218" w:lineRule="auto"/>
        <w:ind w:left="409"/>
        <w:rPr>
          <w:sz w:val="19"/>
          <w:szCs w:val="19"/>
        </w:rPr>
      </w:pPr>
      <w:r>
        <w:rPr>
          <w:spacing w:val="11"/>
          <w:sz w:val="19"/>
          <w:szCs w:val="19"/>
        </w:rPr>
        <w:t>●项目延期事件发生后，承建单位应在合同约定期限内</w:t>
      </w:r>
      <w:r>
        <w:rPr>
          <w:spacing w:val="10"/>
          <w:sz w:val="19"/>
          <w:szCs w:val="19"/>
        </w:rPr>
        <w:t>提交工程延期意向报告；</w:t>
      </w:r>
    </w:p>
    <w:p w14:paraId="4E6BBB37">
      <w:pPr>
        <w:pStyle w:val="2"/>
        <w:spacing w:before="96" w:line="219" w:lineRule="auto"/>
        <w:ind w:left="409"/>
        <w:rPr>
          <w:sz w:val="19"/>
          <w:szCs w:val="19"/>
        </w:rPr>
      </w:pPr>
      <w:r>
        <w:rPr>
          <w:spacing w:val="10"/>
          <w:sz w:val="19"/>
          <w:szCs w:val="19"/>
        </w:rPr>
        <w:t>●承建单位应按合同约定提交有关项目延期的详细资料和证明材料；</w:t>
      </w:r>
    </w:p>
    <w:p w14:paraId="1E2E071A">
      <w:pPr>
        <w:pStyle w:val="2"/>
        <w:spacing w:before="115" w:line="219" w:lineRule="auto"/>
        <w:ind w:left="409"/>
        <w:rPr>
          <w:sz w:val="19"/>
          <w:szCs w:val="19"/>
        </w:rPr>
      </w:pPr>
      <w:r>
        <w:rPr>
          <w:spacing w:val="6"/>
          <w:sz w:val="19"/>
          <w:szCs w:val="19"/>
        </w:rPr>
        <w:t>●项目延期事件发生后，总监理工程师应对该事件进行分析、研究，对减少损失提出建议；</w:t>
      </w:r>
    </w:p>
    <w:p w14:paraId="694D5DD1">
      <w:pPr>
        <w:pStyle w:val="2"/>
        <w:spacing w:before="86" w:line="219" w:lineRule="auto"/>
        <w:ind w:left="409"/>
        <w:rPr>
          <w:sz w:val="19"/>
          <w:szCs w:val="19"/>
        </w:rPr>
      </w:pPr>
      <w:r>
        <w:rPr>
          <w:spacing w:val="11"/>
          <w:sz w:val="19"/>
          <w:szCs w:val="19"/>
        </w:rPr>
        <w:t>●项目延期事件终止后，承建单位应在合同约定的期限</w:t>
      </w:r>
      <w:r>
        <w:rPr>
          <w:spacing w:val="10"/>
          <w:sz w:val="19"/>
          <w:szCs w:val="19"/>
        </w:rPr>
        <w:t>内，提交工程延期申请；</w:t>
      </w:r>
    </w:p>
    <w:p w14:paraId="6EF39053">
      <w:pPr>
        <w:pStyle w:val="2"/>
        <w:spacing w:before="94" w:line="266" w:lineRule="auto"/>
        <w:ind w:left="688" w:right="323" w:hanging="279"/>
        <w:rPr>
          <w:sz w:val="19"/>
          <w:szCs w:val="19"/>
        </w:rPr>
      </w:pPr>
      <w:r>
        <w:rPr>
          <w:spacing w:val="13"/>
          <w:sz w:val="19"/>
          <w:szCs w:val="19"/>
        </w:rPr>
        <w:t>●在处理项目延期的过程中，监理工程师还</w:t>
      </w:r>
      <w:r>
        <w:rPr>
          <w:spacing w:val="12"/>
          <w:sz w:val="19"/>
          <w:szCs w:val="19"/>
        </w:rPr>
        <w:t>应书面通知承建单位采取必要的措施，降低对</w:t>
      </w:r>
      <w:r>
        <w:rPr>
          <w:sz w:val="19"/>
          <w:szCs w:val="19"/>
        </w:rPr>
        <w:t xml:space="preserve"> </w:t>
      </w:r>
      <w:r>
        <w:rPr>
          <w:spacing w:val="3"/>
          <w:sz w:val="19"/>
          <w:szCs w:val="19"/>
        </w:rPr>
        <w:t>项目的影响程度；</w:t>
      </w:r>
    </w:p>
    <w:p w14:paraId="44003BD3">
      <w:pPr>
        <w:pStyle w:val="2"/>
        <w:spacing w:before="101" w:line="267" w:lineRule="auto"/>
        <w:ind w:left="688" w:right="315" w:hanging="279"/>
        <w:rPr>
          <w:sz w:val="19"/>
          <w:szCs w:val="19"/>
        </w:rPr>
      </w:pPr>
      <w:r>
        <w:rPr>
          <w:spacing w:val="18"/>
          <w:sz w:val="19"/>
          <w:szCs w:val="19"/>
        </w:rPr>
        <w:t>●最终评估出的延期天数，在与业主单位协商一致后，由总监理工程师签发工程延期审</w:t>
      </w:r>
      <w:r>
        <w:rPr>
          <w:spacing w:val="1"/>
          <w:sz w:val="19"/>
          <w:szCs w:val="19"/>
        </w:rPr>
        <w:t xml:space="preserve"> </w:t>
      </w:r>
      <w:r>
        <w:rPr>
          <w:spacing w:val="5"/>
          <w:sz w:val="19"/>
          <w:szCs w:val="19"/>
        </w:rPr>
        <w:t>批表。</w:t>
      </w:r>
    </w:p>
    <w:p w14:paraId="656543AE">
      <w:pPr>
        <w:pStyle w:val="2"/>
        <w:spacing w:before="110" w:line="218" w:lineRule="auto"/>
        <w:ind w:left="409"/>
        <w:rPr>
          <w:sz w:val="19"/>
          <w:szCs w:val="19"/>
        </w:rPr>
      </w:pPr>
      <w:r>
        <w:rPr>
          <w:spacing w:val="14"/>
          <w:sz w:val="19"/>
          <w:szCs w:val="19"/>
        </w:rPr>
        <w:t>(3)监理评估原则。</w:t>
      </w:r>
    </w:p>
    <w:p w14:paraId="137419D0">
      <w:pPr>
        <w:pStyle w:val="2"/>
        <w:spacing w:before="86" w:line="218" w:lineRule="auto"/>
        <w:ind w:left="409"/>
        <w:rPr>
          <w:sz w:val="19"/>
          <w:szCs w:val="19"/>
        </w:rPr>
      </w:pPr>
      <w:r>
        <w:rPr>
          <w:spacing w:val="6"/>
          <w:sz w:val="19"/>
          <w:szCs w:val="19"/>
        </w:rPr>
        <w:t>对项目延期事件的监理评估原则具体如下：</w:t>
      </w:r>
    </w:p>
    <w:p w14:paraId="72B7322B">
      <w:pPr>
        <w:pStyle w:val="2"/>
        <w:spacing w:before="97" w:line="219" w:lineRule="auto"/>
        <w:ind w:left="409"/>
        <w:rPr>
          <w:sz w:val="19"/>
          <w:szCs w:val="19"/>
        </w:rPr>
      </w:pPr>
      <w:r>
        <w:rPr>
          <w:spacing w:val="11"/>
          <w:sz w:val="19"/>
          <w:szCs w:val="19"/>
        </w:rPr>
        <w:t>●确认项目延期事件属实；</w:t>
      </w:r>
    </w:p>
    <w:p w14:paraId="6C4E38E4">
      <w:pPr>
        <w:pStyle w:val="2"/>
        <w:spacing w:before="104" w:line="219" w:lineRule="auto"/>
        <w:ind w:left="409"/>
        <w:rPr>
          <w:sz w:val="19"/>
          <w:szCs w:val="19"/>
        </w:rPr>
      </w:pPr>
      <w:r>
        <w:rPr>
          <w:spacing w:val="9"/>
          <w:sz w:val="19"/>
          <w:szCs w:val="19"/>
        </w:rPr>
        <w:t>●工程延期申请依据的合同条款准确；</w:t>
      </w:r>
    </w:p>
    <w:p w14:paraId="5EF16AF1">
      <w:pPr>
        <w:pStyle w:val="2"/>
        <w:spacing w:before="106" w:line="219" w:lineRule="auto"/>
        <w:ind w:left="409"/>
        <w:rPr>
          <w:sz w:val="19"/>
          <w:szCs w:val="19"/>
        </w:rPr>
      </w:pPr>
      <w:r>
        <w:rPr>
          <w:spacing w:val="11"/>
          <w:sz w:val="19"/>
          <w:szCs w:val="19"/>
        </w:rPr>
        <w:t>●项目延期事件必须发生在被批准的进度计划的关键路径上。</w:t>
      </w:r>
    </w:p>
    <w:p w14:paraId="4356EC9B">
      <w:pPr>
        <w:pStyle w:val="2"/>
        <w:spacing w:before="190" w:line="222" w:lineRule="auto"/>
        <w:ind w:left="412"/>
        <w:rPr>
          <w:rFonts w:ascii="黑体" w:hAnsi="黑体" w:eastAsia="黑体" w:cs="黑体"/>
          <w:sz w:val="19"/>
          <w:szCs w:val="19"/>
        </w:rPr>
      </w:pPr>
      <w:r>
        <w:rPr>
          <w:b/>
          <w:bCs/>
          <w:color w:val="0056C8"/>
          <w:spacing w:val="8"/>
          <w:sz w:val="19"/>
          <w:szCs w:val="19"/>
        </w:rPr>
        <w:t>2.</w:t>
      </w:r>
      <w:r>
        <w:rPr>
          <w:rFonts w:ascii="黑体" w:hAnsi="黑体" w:eastAsia="黑体" w:cs="黑体"/>
          <w:b/>
          <w:bCs/>
          <w:color w:val="0056C8"/>
          <w:spacing w:val="8"/>
          <w:sz w:val="19"/>
          <w:szCs w:val="19"/>
        </w:rPr>
        <w:t>项目暂停与复工</w:t>
      </w:r>
    </w:p>
    <w:p w14:paraId="56E504A6">
      <w:pPr>
        <w:pStyle w:val="2"/>
        <w:spacing w:before="136" w:line="220" w:lineRule="auto"/>
        <w:ind w:left="409"/>
        <w:rPr>
          <w:sz w:val="19"/>
          <w:szCs w:val="19"/>
        </w:rPr>
      </w:pPr>
      <w:r>
        <w:rPr>
          <w:spacing w:val="16"/>
          <w:sz w:val="19"/>
          <w:szCs w:val="19"/>
        </w:rPr>
        <w:t>(1)项目暂停。</w:t>
      </w:r>
    </w:p>
    <w:p w14:paraId="47FC9F29">
      <w:pPr>
        <w:pStyle w:val="2"/>
        <w:spacing w:before="92" w:line="219" w:lineRule="auto"/>
        <w:ind w:left="409"/>
        <w:rPr>
          <w:sz w:val="19"/>
          <w:szCs w:val="19"/>
        </w:rPr>
      </w:pPr>
      <w:r>
        <w:rPr>
          <w:spacing w:val="7"/>
          <w:sz w:val="19"/>
          <w:szCs w:val="19"/>
        </w:rPr>
        <w:t>在下列情况发生时，总监理工程师可以签发暂停令：</w:t>
      </w:r>
    </w:p>
    <w:p w14:paraId="4559EF69">
      <w:pPr>
        <w:pStyle w:val="2"/>
        <w:spacing w:before="86" w:line="219" w:lineRule="auto"/>
        <w:ind w:left="409"/>
        <w:rPr>
          <w:sz w:val="19"/>
          <w:szCs w:val="19"/>
        </w:rPr>
      </w:pPr>
      <w:r>
        <w:rPr>
          <w:spacing w:val="9"/>
          <w:sz w:val="19"/>
          <w:szCs w:val="19"/>
        </w:rPr>
        <w:t>●应承建单位的要求，项目需要暂停实施时；</w:t>
      </w:r>
    </w:p>
    <w:p w14:paraId="6FA50012">
      <w:pPr>
        <w:pStyle w:val="2"/>
        <w:spacing w:before="95" w:line="220" w:lineRule="auto"/>
        <w:ind w:left="409"/>
        <w:rPr>
          <w:sz w:val="19"/>
          <w:szCs w:val="19"/>
        </w:rPr>
      </w:pPr>
      <w:r>
        <w:rPr>
          <w:spacing w:val="7"/>
          <w:sz w:val="19"/>
          <w:szCs w:val="19"/>
        </w:rPr>
        <w:t>●</w:t>
      </w:r>
      <w:r>
        <w:rPr>
          <w:spacing w:val="-41"/>
          <w:sz w:val="19"/>
          <w:szCs w:val="19"/>
        </w:rPr>
        <w:t xml:space="preserve"> </w:t>
      </w:r>
      <w:r>
        <w:rPr>
          <w:spacing w:val="7"/>
          <w:sz w:val="19"/>
          <w:szCs w:val="19"/>
        </w:rPr>
        <w:t>由于项目质量问题，必须进行停工处理时；</w:t>
      </w:r>
    </w:p>
    <w:p w14:paraId="0E5C78C0">
      <w:pPr>
        <w:pStyle w:val="2"/>
        <w:spacing w:before="93" w:line="219" w:lineRule="auto"/>
        <w:ind w:left="409"/>
        <w:rPr>
          <w:sz w:val="19"/>
          <w:szCs w:val="19"/>
        </w:rPr>
      </w:pPr>
      <w:r>
        <w:rPr>
          <w:spacing w:val="12"/>
          <w:sz w:val="19"/>
          <w:szCs w:val="19"/>
        </w:rPr>
        <w:t>●发生必须暂停实施的紧急事件时。</w:t>
      </w:r>
    </w:p>
    <w:p w14:paraId="70BF7A87">
      <w:pPr>
        <w:pStyle w:val="2"/>
        <w:spacing w:before="105" w:line="288" w:lineRule="auto"/>
        <w:ind w:right="325" w:firstLine="409"/>
        <w:rPr>
          <w:sz w:val="19"/>
          <w:szCs w:val="19"/>
        </w:rPr>
      </w:pPr>
      <w:r>
        <w:rPr>
          <w:spacing w:val="12"/>
          <w:sz w:val="19"/>
          <w:szCs w:val="19"/>
        </w:rPr>
        <w:t>在监理合同有约定或必要时，签发暂停令前，应征求业主单位意见；签发暂停令后，监理</w:t>
      </w:r>
      <w:r>
        <w:rPr>
          <w:spacing w:val="17"/>
          <w:sz w:val="19"/>
          <w:szCs w:val="19"/>
        </w:rPr>
        <w:t xml:space="preserve"> </w:t>
      </w:r>
      <w:r>
        <w:rPr>
          <w:spacing w:val="9"/>
          <w:sz w:val="19"/>
          <w:szCs w:val="19"/>
        </w:rPr>
        <w:t>工程师应协同有关单位按合同约定，处理好因项目暂停所诱发的各</w:t>
      </w:r>
      <w:r>
        <w:rPr>
          <w:spacing w:val="8"/>
          <w:sz w:val="19"/>
          <w:szCs w:val="19"/>
        </w:rPr>
        <w:t>类问题。</w:t>
      </w:r>
    </w:p>
    <w:p w14:paraId="7FEE18D9">
      <w:pPr>
        <w:pStyle w:val="2"/>
        <w:spacing w:before="17" w:line="220" w:lineRule="auto"/>
        <w:ind w:left="409"/>
        <w:rPr>
          <w:sz w:val="19"/>
          <w:szCs w:val="19"/>
        </w:rPr>
      </w:pPr>
      <w:r>
        <w:rPr>
          <w:spacing w:val="16"/>
          <w:sz w:val="19"/>
          <w:szCs w:val="19"/>
        </w:rPr>
        <w:t>(2)项目复工。</w:t>
      </w:r>
    </w:p>
    <w:p w14:paraId="52364479">
      <w:pPr>
        <w:pStyle w:val="2"/>
        <w:spacing w:before="93" w:line="219" w:lineRule="auto"/>
        <w:ind w:left="409"/>
        <w:rPr>
          <w:sz w:val="19"/>
          <w:szCs w:val="19"/>
        </w:rPr>
      </w:pPr>
      <w:r>
        <w:rPr>
          <w:spacing w:val="8"/>
          <w:sz w:val="19"/>
          <w:szCs w:val="19"/>
        </w:rPr>
        <w:t>在项目暂停后，经处理达到可以继续实施的条件时，复工办法如下：</w:t>
      </w:r>
    </w:p>
    <w:p w14:paraId="70639346">
      <w:pPr>
        <w:pStyle w:val="2"/>
        <w:spacing w:before="66" w:line="269" w:lineRule="auto"/>
        <w:ind w:left="688" w:right="313" w:hanging="279"/>
        <w:rPr>
          <w:sz w:val="19"/>
          <w:szCs w:val="19"/>
        </w:rPr>
      </w:pPr>
      <w:r>
        <w:rPr>
          <w:spacing w:val="18"/>
          <w:sz w:val="19"/>
          <w:szCs w:val="19"/>
        </w:rPr>
        <w:t>●如项目暂停是由于业主单位原因，或非承建单位原因时，监理工程师应在暂停原因消</w:t>
      </w:r>
      <w:r>
        <w:rPr>
          <w:spacing w:val="3"/>
          <w:sz w:val="19"/>
          <w:szCs w:val="19"/>
        </w:rPr>
        <w:t xml:space="preserve"> </w:t>
      </w:r>
      <w:r>
        <w:rPr>
          <w:spacing w:val="7"/>
          <w:sz w:val="19"/>
          <w:szCs w:val="19"/>
        </w:rPr>
        <w:t>失，具备复工条件时，及时签发复工令，指令承建单位复工；</w:t>
      </w:r>
    </w:p>
    <w:p w14:paraId="08F4F34C">
      <w:pPr>
        <w:pStyle w:val="2"/>
        <w:spacing w:before="95" w:line="265" w:lineRule="auto"/>
        <w:ind w:left="688" w:right="304" w:hanging="279"/>
        <w:rPr>
          <w:sz w:val="19"/>
          <w:szCs w:val="19"/>
        </w:rPr>
      </w:pPr>
      <w:r>
        <w:rPr>
          <w:spacing w:val="13"/>
          <w:sz w:val="19"/>
          <w:szCs w:val="19"/>
        </w:rPr>
        <w:t>●如项目暂停是由于承建单位原因，承建单位在具备复工条件时，应填写复工申请表报监</w:t>
      </w:r>
      <w:r>
        <w:rPr>
          <w:sz w:val="19"/>
          <w:szCs w:val="19"/>
        </w:rPr>
        <w:t xml:space="preserve"> </w:t>
      </w:r>
      <w:r>
        <w:rPr>
          <w:spacing w:val="6"/>
          <w:sz w:val="19"/>
          <w:szCs w:val="19"/>
        </w:rPr>
        <w:t>理单位审批，由总监理工程师签发审批意见；</w:t>
      </w:r>
    </w:p>
    <w:p w14:paraId="17839685">
      <w:pPr>
        <w:pStyle w:val="2"/>
        <w:spacing w:before="84" w:line="219" w:lineRule="auto"/>
        <w:ind w:left="409"/>
        <w:rPr>
          <w:sz w:val="19"/>
          <w:szCs w:val="19"/>
        </w:rPr>
      </w:pPr>
      <w:r>
        <w:rPr>
          <w:spacing w:val="11"/>
          <w:sz w:val="19"/>
          <w:szCs w:val="19"/>
        </w:rPr>
        <w:t>●承建单位在接到同意复工的指令后，才能继续实施项</w:t>
      </w:r>
      <w:r>
        <w:rPr>
          <w:spacing w:val="10"/>
          <w:sz w:val="19"/>
          <w:szCs w:val="19"/>
        </w:rPr>
        <w:t>目。</w:t>
      </w:r>
    </w:p>
    <w:p w14:paraId="30C278FC">
      <w:pPr>
        <w:pStyle w:val="2"/>
        <w:spacing w:before="245" w:line="220" w:lineRule="auto"/>
        <w:ind w:left="3"/>
        <w:rPr>
          <w:sz w:val="25"/>
          <w:szCs w:val="25"/>
        </w:rPr>
      </w:pPr>
      <w:r>
        <w:rPr>
          <w:b/>
          <w:bCs/>
          <w:color w:val="0064E7"/>
          <w:spacing w:val="-18"/>
          <w:sz w:val="25"/>
          <w:szCs w:val="25"/>
        </w:rPr>
        <w:t>17.4.3</w:t>
      </w:r>
      <w:r>
        <w:rPr>
          <w:color w:val="0064E7"/>
          <w:spacing w:val="109"/>
          <w:sz w:val="25"/>
          <w:szCs w:val="25"/>
        </w:rPr>
        <w:t xml:space="preserve"> </w:t>
      </w:r>
      <w:r>
        <w:rPr>
          <w:b/>
          <w:bCs/>
          <w:color w:val="0064E7"/>
          <w:spacing w:val="-18"/>
          <w:sz w:val="25"/>
          <w:szCs w:val="25"/>
        </w:rPr>
        <w:t>投资变更控制</w:t>
      </w:r>
    </w:p>
    <w:p w14:paraId="7D3C8287">
      <w:pPr>
        <w:pStyle w:val="2"/>
        <w:spacing w:before="153" w:line="293" w:lineRule="auto"/>
        <w:ind w:right="316" w:firstLine="409"/>
        <w:jc w:val="both"/>
        <w:rPr>
          <w:sz w:val="19"/>
          <w:szCs w:val="19"/>
        </w:rPr>
      </w:pPr>
      <w:r>
        <w:rPr>
          <w:spacing w:val="13"/>
          <w:sz w:val="19"/>
          <w:szCs w:val="19"/>
        </w:rPr>
        <w:t>监理工程师审查工程变更时，如果因为成本变更引起了投资</w:t>
      </w:r>
      <w:r>
        <w:rPr>
          <w:spacing w:val="12"/>
          <w:sz w:val="19"/>
          <w:szCs w:val="19"/>
        </w:rPr>
        <w:t>的变化，应按照承建合同的相</w:t>
      </w:r>
      <w:r>
        <w:rPr>
          <w:sz w:val="19"/>
          <w:szCs w:val="19"/>
        </w:rPr>
        <w:t xml:space="preserve"> </w:t>
      </w:r>
      <w:r>
        <w:rPr>
          <w:spacing w:val="13"/>
          <w:sz w:val="19"/>
          <w:szCs w:val="19"/>
        </w:rPr>
        <w:t>关条款执行。在合同中没有规定的，应在变更实施前与业主单</w:t>
      </w:r>
      <w:r>
        <w:rPr>
          <w:spacing w:val="12"/>
          <w:sz w:val="19"/>
          <w:szCs w:val="19"/>
        </w:rPr>
        <w:t>位、承建单位协商确定，并做工</w:t>
      </w:r>
      <w:r>
        <w:rPr>
          <w:sz w:val="19"/>
          <w:szCs w:val="19"/>
        </w:rPr>
        <w:t xml:space="preserve"> </w:t>
      </w:r>
      <w:r>
        <w:rPr>
          <w:spacing w:val="7"/>
          <w:sz w:val="19"/>
          <w:szCs w:val="19"/>
        </w:rPr>
        <w:t>程备忘录。</w:t>
      </w:r>
    </w:p>
    <w:p w14:paraId="638CDAED">
      <w:pPr>
        <w:pStyle w:val="2"/>
        <w:spacing w:before="24" w:line="219" w:lineRule="auto"/>
        <w:ind w:left="409"/>
        <w:rPr>
          <w:sz w:val="19"/>
          <w:szCs w:val="19"/>
        </w:rPr>
      </w:pPr>
      <w:r>
        <w:rPr>
          <w:spacing w:val="7"/>
          <w:sz w:val="19"/>
          <w:szCs w:val="19"/>
        </w:rPr>
        <w:t>对成本变更的控制措施主要包括：</w:t>
      </w:r>
    </w:p>
    <w:p w14:paraId="57FB67AF">
      <w:pPr>
        <w:spacing w:line="219" w:lineRule="auto"/>
        <w:rPr>
          <w:sz w:val="19"/>
          <w:szCs w:val="19"/>
        </w:rPr>
        <w:sectPr>
          <w:pgSz w:w="10290" w:h="13300"/>
          <w:pgMar w:top="400" w:right="637" w:bottom="400" w:left="1020" w:header="0" w:footer="0" w:gutter="0"/>
          <w:cols w:space="720" w:num="1"/>
        </w:sectPr>
      </w:pPr>
    </w:p>
    <w:p w14:paraId="01309988">
      <w:pPr>
        <w:pStyle w:val="2"/>
        <w:spacing w:before="58" w:line="219" w:lineRule="auto"/>
        <w:rPr>
          <w:sz w:val="20"/>
          <w:szCs w:val="20"/>
        </w:rPr>
      </w:pPr>
      <w:r>
        <w:rPr>
          <w:rFonts w:ascii="Times New Roman" w:hAnsi="Times New Roman" w:eastAsia="Times New Roman" w:cs="Times New Roman"/>
          <w:spacing w:val="-1"/>
          <w:position w:val="-4"/>
          <w:sz w:val="20"/>
          <w:szCs w:val="20"/>
        </w:rPr>
        <w:t>392</w:t>
      </w:r>
      <w:r>
        <w:rPr>
          <w:rFonts w:ascii="Times New Roman" w:hAnsi="Times New Roman" w:eastAsia="Times New Roman" w:cs="Times New Roman"/>
          <w:spacing w:val="2"/>
          <w:position w:val="-4"/>
          <w:sz w:val="20"/>
          <w:szCs w:val="20"/>
        </w:rPr>
        <w:t xml:space="preserve">             </w:t>
      </w:r>
      <w:r>
        <w:rPr>
          <w:spacing w:val="-1"/>
          <w:sz w:val="20"/>
          <w:szCs w:val="20"/>
        </w:rPr>
        <w:t>信息系统监理师教程(第2版)</w:t>
      </w:r>
    </w:p>
    <w:p w14:paraId="13561BFF">
      <w:pPr>
        <w:spacing w:line="299" w:lineRule="auto"/>
        <w:rPr>
          <w:rFonts w:ascii="Arial"/>
          <w:sz w:val="21"/>
        </w:rPr>
      </w:pPr>
    </w:p>
    <w:p w14:paraId="16B9CC6F">
      <w:pPr>
        <w:pStyle w:val="2"/>
        <w:spacing w:before="65" w:line="219" w:lineRule="auto"/>
        <w:ind w:left="780"/>
        <w:rPr>
          <w:sz w:val="20"/>
          <w:szCs w:val="20"/>
        </w:rPr>
      </w:pPr>
      <w:r>
        <w:rPr>
          <w:spacing w:val="1"/>
          <w:sz w:val="20"/>
          <w:szCs w:val="20"/>
        </w:rPr>
        <w:t>(1)对可能导致成本变更的因素施加影响；</w:t>
      </w:r>
    </w:p>
    <w:p w14:paraId="755774B8">
      <w:pPr>
        <w:pStyle w:val="2"/>
        <w:spacing w:before="72" w:line="219" w:lineRule="auto"/>
        <w:ind w:left="780"/>
        <w:rPr>
          <w:sz w:val="20"/>
          <w:szCs w:val="20"/>
        </w:rPr>
      </w:pPr>
      <w:r>
        <w:rPr>
          <w:spacing w:val="1"/>
          <w:sz w:val="20"/>
          <w:szCs w:val="20"/>
        </w:rPr>
        <w:t>(2)确保按照约定的变更控制程序处理成本变更；</w:t>
      </w:r>
    </w:p>
    <w:p w14:paraId="1A5AD3CC">
      <w:pPr>
        <w:pStyle w:val="2"/>
        <w:spacing w:before="92" w:line="219" w:lineRule="auto"/>
        <w:ind w:left="780"/>
        <w:rPr>
          <w:sz w:val="20"/>
          <w:szCs w:val="20"/>
        </w:rPr>
      </w:pPr>
      <w:r>
        <w:rPr>
          <w:spacing w:val="1"/>
          <w:sz w:val="20"/>
          <w:szCs w:val="20"/>
        </w:rPr>
        <w:t>(3)保证潜在的成本超支不超过授权的项目阶段投资和总体投资；</w:t>
      </w:r>
    </w:p>
    <w:p w14:paraId="44BEF531">
      <w:pPr>
        <w:pStyle w:val="2"/>
        <w:spacing w:before="62" w:line="219" w:lineRule="auto"/>
        <w:ind w:left="780"/>
        <w:rPr>
          <w:sz w:val="20"/>
          <w:szCs w:val="20"/>
        </w:rPr>
      </w:pPr>
      <w:r>
        <w:rPr>
          <w:sz w:val="20"/>
          <w:szCs w:val="20"/>
        </w:rPr>
        <w:t>(4)监督成本绩效，找出并准确记录所有的与成本基准的偏差；</w:t>
      </w:r>
    </w:p>
    <w:p w14:paraId="2A67C189">
      <w:pPr>
        <w:pStyle w:val="2"/>
        <w:spacing w:before="73" w:line="267" w:lineRule="auto"/>
        <w:ind w:left="379" w:firstLine="400"/>
        <w:rPr>
          <w:sz w:val="20"/>
          <w:szCs w:val="20"/>
        </w:rPr>
      </w:pPr>
      <w:r>
        <w:rPr>
          <w:spacing w:val="7"/>
          <w:sz w:val="20"/>
          <w:szCs w:val="20"/>
        </w:rPr>
        <w:t>(5)成本产生超出合理范围的正、负偏差时，应查明原因，大量的成本节余未必是好</w:t>
      </w:r>
      <w:r>
        <w:rPr>
          <w:spacing w:val="6"/>
          <w:sz w:val="20"/>
          <w:szCs w:val="20"/>
        </w:rPr>
        <w:t>事，</w:t>
      </w:r>
      <w:r>
        <w:rPr>
          <w:sz w:val="20"/>
          <w:szCs w:val="20"/>
        </w:rPr>
        <w:t xml:space="preserve"> </w:t>
      </w:r>
      <w:r>
        <w:rPr>
          <w:spacing w:val="-3"/>
          <w:sz w:val="20"/>
          <w:szCs w:val="20"/>
        </w:rPr>
        <w:t>可能潜藏计划无效、功能遗漏、质量下降等隐患；</w:t>
      </w:r>
    </w:p>
    <w:p w14:paraId="521FB6C9">
      <w:pPr>
        <w:pStyle w:val="2"/>
        <w:spacing w:before="61" w:line="218" w:lineRule="auto"/>
        <w:ind w:left="780"/>
        <w:rPr>
          <w:sz w:val="20"/>
          <w:szCs w:val="20"/>
        </w:rPr>
      </w:pPr>
      <w:r>
        <w:rPr>
          <w:spacing w:val="2"/>
          <w:sz w:val="20"/>
          <w:szCs w:val="20"/>
        </w:rPr>
        <w:t>(6)防止错误的、不恰当的或未批准的变更被纳入费用或资源使用报告中。</w:t>
      </w:r>
    </w:p>
    <w:p w14:paraId="7C048387">
      <w:pPr>
        <w:pStyle w:val="2"/>
        <w:spacing w:before="245" w:line="220" w:lineRule="auto"/>
        <w:ind w:left="382"/>
        <w:rPr>
          <w:sz w:val="25"/>
          <w:szCs w:val="25"/>
        </w:rPr>
      </w:pPr>
      <w:r>
        <w:rPr>
          <w:b/>
          <w:bCs/>
          <w:color w:val="0076C6"/>
          <w:spacing w:val="-16"/>
          <w:sz w:val="25"/>
          <w:szCs w:val="25"/>
        </w:rPr>
        <w:t>17.4.4</w:t>
      </w:r>
      <w:r>
        <w:rPr>
          <w:color w:val="0076C6"/>
          <w:spacing w:val="96"/>
          <w:sz w:val="25"/>
          <w:szCs w:val="25"/>
        </w:rPr>
        <w:t xml:space="preserve"> </w:t>
      </w:r>
      <w:r>
        <w:rPr>
          <w:b/>
          <w:bCs/>
          <w:color w:val="0076C6"/>
          <w:spacing w:val="-16"/>
          <w:sz w:val="25"/>
          <w:szCs w:val="25"/>
        </w:rPr>
        <w:t>合同变更控制</w:t>
      </w:r>
    </w:p>
    <w:p w14:paraId="4EF3F4BD">
      <w:pPr>
        <w:pStyle w:val="2"/>
        <w:spacing w:before="162" w:line="329" w:lineRule="auto"/>
        <w:ind w:left="379" w:right="65" w:firstLine="400"/>
        <w:rPr>
          <w:sz w:val="16"/>
          <w:szCs w:val="16"/>
        </w:rPr>
      </w:pPr>
      <w:r>
        <w:rPr>
          <w:spacing w:val="3"/>
          <w:sz w:val="20"/>
          <w:szCs w:val="20"/>
        </w:rPr>
        <w:t>合同变更是指由于一定的法律事实而改变合同内容和标的的法律行为。它的一般</w:t>
      </w:r>
      <w:r>
        <w:rPr>
          <w:spacing w:val="2"/>
          <w:sz w:val="20"/>
          <w:szCs w:val="20"/>
        </w:rPr>
        <w:t>特征有如</w:t>
      </w:r>
      <w:r>
        <w:rPr>
          <w:sz w:val="20"/>
          <w:szCs w:val="20"/>
        </w:rPr>
        <w:t xml:space="preserve"> </w:t>
      </w:r>
      <w:r>
        <w:rPr>
          <w:spacing w:val="-9"/>
          <w:sz w:val="16"/>
          <w:szCs w:val="16"/>
        </w:rPr>
        <w:t>下</w:t>
      </w:r>
      <w:r>
        <w:rPr>
          <w:spacing w:val="-22"/>
          <w:sz w:val="16"/>
          <w:szCs w:val="16"/>
        </w:rPr>
        <w:t xml:space="preserve"> </w:t>
      </w:r>
      <w:r>
        <w:rPr>
          <w:spacing w:val="-9"/>
          <w:sz w:val="16"/>
          <w:szCs w:val="16"/>
        </w:rPr>
        <w:t>几</w:t>
      </w:r>
      <w:r>
        <w:rPr>
          <w:spacing w:val="-16"/>
          <w:sz w:val="16"/>
          <w:szCs w:val="16"/>
        </w:rPr>
        <w:t xml:space="preserve"> </w:t>
      </w:r>
      <w:r>
        <w:rPr>
          <w:spacing w:val="-9"/>
          <w:sz w:val="16"/>
          <w:szCs w:val="16"/>
        </w:rPr>
        <w:t>点</w:t>
      </w:r>
      <w:r>
        <w:rPr>
          <w:spacing w:val="-31"/>
          <w:sz w:val="16"/>
          <w:szCs w:val="16"/>
        </w:rPr>
        <w:t xml:space="preserve"> </w:t>
      </w:r>
      <w:r>
        <w:rPr>
          <w:spacing w:val="-9"/>
          <w:sz w:val="16"/>
          <w:szCs w:val="16"/>
        </w:rPr>
        <w:t>：</w:t>
      </w:r>
    </w:p>
    <w:p w14:paraId="3764CFB1">
      <w:pPr>
        <w:pStyle w:val="2"/>
        <w:spacing w:line="220" w:lineRule="auto"/>
        <w:ind w:left="780"/>
        <w:rPr>
          <w:sz w:val="20"/>
          <w:szCs w:val="20"/>
        </w:rPr>
      </w:pPr>
      <w:r>
        <w:rPr>
          <w:spacing w:val="3"/>
          <w:sz w:val="20"/>
          <w:szCs w:val="20"/>
        </w:rPr>
        <w:t>(1)合同的双方当事人必须协商一致；</w:t>
      </w:r>
    </w:p>
    <w:p w14:paraId="26A45919">
      <w:pPr>
        <w:pStyle w:val="2"/>
        <w:spacing w:before="81" w:line="219" w:lineRule="auto"/>
        <w:ind w:left="780"/>
        <w:rPr>
          <w:sz w:val="20"/>
          <w:szCs w:val="20"/>
        </w:rPr>
      </w:pPr>
      <w:r>
        <w:rPr>
          <w:spacing w:val="1"/>
          <w:sz w:val="20"/>
          <w:szCs w:val="20"/>
        </w:rPr>
        <w:t>(2)对合同变更的内容约定不明确的，推定为未变更；</w:t>
      </w:r>
    </w:p>
    <w:p w14:paraId="61A2B625">
      <w:pPr>
        <w:pStyle w:val="2"/>
        <w:spacing w:before="73" w:line="219" w:lineRule="auto"/>
        <w:ind w:left="780"/>
        <w:rPr>
          <w:sz w:val="20"/>
          <w:szCs w:val="20"/>
        </w:rPr>
      </w:pPr>
      <w:r>
        <w:rPr>
          <w:spacing w:val="1"/>
          <w:sz w:val="20"/>
          <w:szCs w:val="20"/>
        </w:rPr>
        <w:t>(3)合同变更的法律后果是将产生新的债权和债务关系。</w:t>
      </w:r>
    </w:p>
    <w:p w14:paraId="4F0C184E">
      <w:pPr>
        <w:pStyle w:val="2"/>
        <w:spacing w:before="61" w:line="287" w:lineRule="auto"/>
        <w:ind w:left="379" w:right="69" w:firstLine="400"/>
        <w:jc w:val="both"/>
        <w:rPr>
          <w:sz w:val="20"/>
          <w:szCs w:val="20"/>
        </w:rPr>
      </w:pPr>
      <w:r>
        <w:rPr>
          <w:spacing w:val="3"/>
          <w:sz w:val="20"/>
          <w:szCs w:val="20"/>
        </w:rPr>
        <w:t>合同变更需要遵循已定义的合同变更控制程序。合同变更控制是规定</w:t>
      </w:r>
      <w:r>
        <w:rPr>
          <w:spacing w:val="2"/>
          <w:sz w:val="20"/>
          <w:szCs w:val="20"/>
        </w:rPr>
        <w:t>合同修改的过程，包</w:t>
      </w:r>
      <w:r>
        <w:rPr>
          <w:sz w:val="20"/>
          <w:szCs w:val="20"/>
        </w:rPr>
        <w:t xml:space="preserve"> </w:t>
      </w:r>
      <w:r>
        <w:rPr>
          <w:spacing w:val="3"/>
          <w:sz w:val="20"/>
          <w:szCs w:val="20"/>
        </w:rPr>
        <w:t>括文书工作、跟踪系统、争议解决程序以及批准变更所需的审</w:t>
      </w:r>
      <w:r>
        <w:rPr>
          <w:spacing w:val="2"/>
          <w:sz w:val="20"/>
          <w:szCs w:val="20"/>
        </w:rPr>
        <w:t>批层次。合同变更控制应当与整</w:t>
      </w:r>
      <w:r>
        <w:rPr>
          <w:sz w:val="20"/>
          <w:szCs w:val="20"/>
        </w:rPr>
        <w:t xml:space="preserve"> </w:t>
      </w:r>
      <w:r>
        <w:rPr>
          <w:spacing w:val="-4"/>
          <w:sz w:val="20"/>
          <w:szCs w:val="20"/>
        </w:rPr>
        <w:t>体变更控制结合起来。</w:t>
      </w:r>
    </w:p>
    <w:p w14:paraId="652F137F">
      <w:pPr>
        <w:pStyle w:val="2"/>
        <w:spacing w:before="26" w:line="280" w:lineRule="auto"/>
        <w:ind w:left="379" w:firstLine="400"/>
        <w:jc w:val="both"/>
        <w:rPr>
          <w:sz w:val="20"/>
          <w:szCs w:val="20"/>
        </w:rPr>
      </w:pPr>
      <w:r>
        <w:rPr>
          <w:spacing w:val="5"/>
          <w:sz w:val="20"/>
          <w:szCs w:val="20"/>
        </w:rPr>
        <w:t>监理单位应按照合同及法规的要求，及时协助业主单</w:t>
      </w:r>
      <w:r>
        <w:rPr>
          <w:spacing w:val="4"/>
          <w:sz w:val="20"/>
          <w:szCs w:val="20"/>
        </w:rPr>
        <w:t>位或承建单位处理合同变更的申请，</w:t>
      </w:r>
      <w:r>
        <w:rPr>
          <w:sz w:val="20"/>
          <w:szCs w:val="20"/>
        </w:rPr>
        <w:t xml:space="preserve"> </w:t>
      </w:r>
      <w:r>
        <w:rPr>
          <w:spacing w:val="1"/>
          <w:sz w:val="20"/>
          <w:szCs w:val="20"/>
        </w:rPr>
        <w:t>协助保持合同、协议及其附件内容的时效性、</w:t>
      </w:r>
      <w:r>
        <w:rPr>
          <w:spacing w:val="-14"/>
          <w:sz w:val="20"/>
          <w:szCs w:val="20"/>
        </w:rPr>
        <w:t xml:space="preserve"> </w:t>
      </w:r>
      <w:r>
        <w:rPr>
          <w:spacing w:val="1"/>
          <w:sz w:val="20"/>
          <w:szCs w:val="20"/>
        </w:rPr>
        <w:t>一致性。由于监理工作涉及的合同种类多，数量</w:t>
      </w:r>
      <w:r>
        <w:rPr>
          <w:sz w:val="20"/>
          <w:szCs w:val="20"/>
        </w:rPr>
        <w:t xml:space="preserve"> </w:t>
      </w:r>
      <w:r>
        <w:rPr>
          <w:spacing w:val="3"/>
          <w:sz w:val="20"/>
          <w:szCs w:val="20"/>
        </w:rPr>
        <w:t>大，变更频繁，人为管理效率低，可能还会出错，应当建立信</w:t>
      </w:r>
      <w:r>
        <w:rPr>
          <w:spacing w:val="2"/>
          <w:sz w:val="20"/>
          <w:szCs w:val="20"/>
        </w:rPr>
        <w:t>息系统进行管理，才能达到档案</w:t>
      </w:r>
      <w:r>
        <w:rPr>
          <w:sz w:val="20"/>
          <w:szCs w:val="20"/>
        </w:rPr>
        <w:t xml:space="preserve"> </w:t>
      </w:r>
      <w:r>
        <w:rPr>
          <w:spacing w:val="-3"/>
          <w:sz w:val="20"/>
          <w:szCs w:val="20"/>
        </w:rPr>
        <w:t>化、信息化，确保正确分析合同管理情况。</w:t>
      </w:r>
    </w:p>
    <w:p w14:paraId="35CD6DD5">
      <w:pPr>
        <w:pStyle w:val="2"/>
        <w:spacing w:before="125" w:line="222" w:lineRule="auto"/>
        <w:ind w:left="782"/>
        <w:rPr>
          <w:rFonts w:ascii="黑体" w:hAnsi="黑体" w:eastAsia="黑体" w:cs="黑体"/>
          <w:sz w:val="20"/>
          <w:szCs w:val="20"/>
        </w:rPr>
      </w:pPr>
      <w:r>
        <w:rPr>
          <w:b/>
          <w:bCs/>
          <w:color w:val="0082DA"/>
          <w:spacing w:val="-2"/>
          <w:sz w:val="20"/>
          <w:szCs w:val="20"/>
        </w:rPr>
        <w:t>1.</w:t>
      </w:r>
      <w:r>
        <w:rPr>
          <w:rFonts w:ascii="黑体" w:hAnsi="黑体" w:eastAsia="黑体" w:cs="黑体"/>
          <w:b/>
          <w:bCs/>
          <w:color w:val="0082DA"/>
          <w:spacing w:val="-2"/>
          <w:sz w:val="20"/>
          <w:szCs w:val="20"/>
        </w:rPr>
        <w:t>合同变更的条件</w:t>
      </w:r>
    </w:p>
    <w:p w14:paraId="4EF05408">
      <w:pPr>
        <w:pStyle w:val="2"/>
        <w:spacing w:before="153" w:line="219" w:lineRule="auto"/>
        <w:ind w:left="780"/>
        <w:rPr>
          <w:sz w:val="20"/>
          <w:szCs w:val="20"/>
        </w:rPr>
      </w:pPr>
      <w:r>
        <w:rPr>
          <w:spacing w:val="-4"/>
          <w:sz w:val="20"/>
          <w:szCs w:val="20"/>
        </w:rPr>
        <w:t>一般必须具有下列条件才能变更合同：</w:t>
      </w:r>
    </w:p>
    <w:p w14:paraId="14ADC9D7">
      <w:pPr>
        <w:pStyle w:val="2"/>
        <w:spacing w:before="72" w:line="219" w:lineRule="auto"/>
        <w:ind w:left="780"/>
        <w:rPr>
          <w:sz w:val="20"/>
          <w:szCs w:val="20"/>
        </w:rPr>
      </w:pPr>
      <w:r>
        <w:rPr>
          <w:spacing w:val="2"/>
          <w:sz w:val="20"/>
          <w:szCs w:val="20"/>
        </w:rPr>
        <w:t>(1)双方当事人确实自愿协商同意，并且不</w:t>
      </w:r>
      <w:r>
        <w:rPr>
          <w:spacing w:val="1"/>
          <w:sz w:val="20"/>
          <w:szCs w:val="20"/>
        </w:rPr>
        <w:t>因此而损害国家利益和社会公共利益的；</w:t>
      </w:r>
    </w:p>
    <w:p w14:paraId="2DE48503">
      <w:pPr>
        <w:pStyle w:val="2"/>
        <w:spacing w:before="75" w:line="219" w:lineRule="auto"/>
        <w:ind w:left="780"/>
        <w:rPr>
          <w:sz w:val="20"/>
          <w:szCs w:val="20"/>
        </w:rPr>
      </w:pPr>
      <w:r>
        <w:rPr>
          <w:spacing w:val="1"/>
          <w:sz w:val="20"/>
          <w:szCs w:val="20"/>
        </w:rPr>
        <w:t>(2)由于不可抗力致使合同的全部义务不能履行；</w:t>
      </w:r>
    </w:p>
    <w:p w14:paraId="113C1070">
      <w:pPr>
        <w:pStyle w:val="2"/>
        <w:spacing w:before="82" w:line="219" w:lineRule="auto"/>
        <w:ind w:left="780"/>
        <w:rPr>
          <w:sz w:val="20"/>
          <w:szCs w:val="20"/>
        </w:rPr>
      </w:pPr>
      <w:r>
        <w:rPr>
          <w:spacing w:val="-5"/>
          <w:sz w:val="20"/>
          <w:szCs w:val="20"/>
        </w:rPr>
        <w:t>(3)由于另一方在合同约定的期限内没有履行合同，且</w:t>
      </w:r>
      <w:r>
        <w:rPr>
          <w:spacing w:val="-6"/>
          <w:sz w:val="20"/>
          <w:szCs w:val="20"/>
        </w:rPr>
        <w:t>在被允许的推迟履行期限内仍未履行；</w:t>
      </w:r>
    </w:p>
    <w:p w14:paraId="4B271207">
      <w:pPr>
        <w:pStyle w:val="2"/>
        <w:spacing w:before="71" w:line="282" w:lineRule="auto"/>
        <w:ind w:left="379" w:right="67" w:firstLine="400"/>
        <w:rPr>
          <w:sz w:val="16"/>
          <w:szCs w:val="16"/>
        </w:rPr>
      </w:pPr>
      <w:r>
        <w:rPr>
          <w:spacing w:val="11"/>
          <w:sz w:val="20"/>
          <w:szCs w:val="20"/>
        </w:rPr>
        <w:t>(4)合同的变更给另一方当事人造成损失的，除</w:t>
      </w:r>
      <w:r>
        <w:rPr>
          <w:spacing w:val="10"/>
          <w:sz w:val="20"/>
          <w:szCs w:val="20"/>
        </w:rPr>
        <w:t>依法可以免责的以外，应由责任方负责</w:t>
      </w:r>
      <w:r>
        <w:rPr>
          <w:sz w:val="20"/>
          <w:szCs w:val="20"/>
        </w:rPr>
        <w:t xml:space="preserve"> </w:t>
      </w:r>
      <w:r>
        <w:rPr>
          <w:spacing w:val="-4"/>
          <w:sz w:val="16"/>
          <w:szCs w:val="16"/>
        </w:rPr>
        <w:t>赔</w:t>
      </w:r>
      <w:r>
        <w:rPr>
          <w:spacing w:val="-25"/>
          <w:sz w:val="16"/>
          <w:szCs w:val="16"/>
        </w:rPr>
        <w:t xml:space="preserve"> </w:t>
      </w:r>
      <w:r>
        <w:rPr>
          <w:spacing w:val="-4"/>
          <w:sz w:val="16"/>
          <w:szCs w:val="16"/>
        </w:rPr>
        <w:t>偿</w:t>
      </w:r>
      <w:r>
        <w:rPr>
          <w:spacing w:val="-31"/>
          <w:sz w:val="16"/>
          <w:szCs w:val="16"/>
        </w:rPr>
        <w:t xml:space="preserve"> </w:t>
      </w:r>
      <w:r>
        <w:rPr>
          <w:spacing w:val="-4"/>
          <w:sz w:val="16"/>
          <w:szCs w:val="16"/>
        </w:rPr>
        <w:t>。</w:t>
      </w:r>
    </w:p>
    <w:p w14:paraId="0AF7E67E">
      <w:pPr>
        <w:pStyle w:val="2"/>
        <w:spacing w:before="157" w:line="221" w:lineRule="auto"/>
        <w:ind w:left="782"/>
        <w:rPr>
          <w:rFonts w:ascii="黑体" w:hAnsi="黑体" w:eastAsia="黑体" w:cs="黑体"/>
          <w:sz w:val="20"/>
          <w:szCs w:val="20"/>
        </w:rPr>
      </w:pPr>
      <w:r>
        <w:rPr>
          <w:b/>
          <w:bCs/>
          <w:color w:val="2398E7"/>
          <w:spacing w:val="-3"/>
          <w:sz w:val="20"/>
          <w:szCs w:val="20"/>
        </w:rPr>
        <w:t>2.</w:t>
      </w:r>
      <w:r>
        <w:rPr>
          <w:rFonts w:ascii="黑体" w:hAnsi="黑体" w:eastAsia="黑体" w:cs="黑体"/>
          <w:b/>
          <w:bCs/>
          <w:color w:val="2398E7"/>
          <w:spacing w:val="-3"/>
          <w:sz w:val="20"/>
          <w:szCs w:val="20"/>
        </w:rPr>
        <w:t>合同变更的一般程序</w:t>
      </w:r>
    </w:p>
    <w:p w14:paraId="63B02280">
      <w:pPr>
        <w:pStyle w:val="2"/>
        <w:spacing w:before="146" w:line="220" w:lineRule="auto"/>
        <w:ind w:left="780"/>
        <w:rPr>
          <w:sz w:val="20"/>
          <w:szCs w:val="20"/>
        </w:rPr>
      </w:pPr>
      <w:r>
        <w:rPr>
          <w:spacing w:val="-4"/>
          <w:sz w:val="20"/>
          <w:szCs w:val="20"/>
        </w:rPr>
        <w:t>合同变更的一般程序具体如下：</w:t>
      </w:r>
    </w:p>
    <w:p w14:paraId="1148409E">
      <w:pPr>
        <w:pStyle w:val="2"/>
        <w:spacing w:before="70" w:line="219" w:lineRule="auto"/>
        <w:ind w:left="780"/>
        <w:rPr>
          <w:sz w:val="20"/>
          <w:szCs w:val="20"/>
        </w:rPr>
      </w:pPr>
      <w:r>
        <w:rPr>
          <w:spacing w:val="1"/>
          <w:sz w:val="20"/>
          <w:szCs w:val="20"/>
        </w:rPr>
        <w:t>(1)当事人一方要求变更合同时，应当首先向另一方用书面的形式提出；</w:t>
      </w:r>
    </w:p>
    <w:p w14:paraId="54B12FDF">
      <w:pPr>
        <w:pStyle w:val="2"/>
        <w:spacing w:before="63" w:line="253" w:lineRule="auto"/>
        <w:ind w:left="379" w:right="59" w:firstLine="400"/>
        <w:rPr>
          <w:sz w:val="20"/>
          <w:szCs w:val="20"/>
        </w:rPr>
      </w:pPr>
      <w:r>
        <w:rPr>
          <w:spacing w:val="6"/>
          <w:sz w:val="20"/>
          <w:szCs w:val="20"/>
        </w:rPr>
        <w:t>(2)另一方当事人在接到有关变更项目合</w:t>
      </w:r>
      <w:r>
        <w:rPr>
          <w:spacing w:val="5"/>
          <w:sz w:val="20"/>
          <w:szCs w:val="20"/>
        </w:rPr>
        <w:t>同的建议后，应及时做出书面答复，如同意，即</w:t>
      </w:r>
      <w:r>
        <w:rPr>
          <w:sz w:val="20"/>
          <w:szCs w:val="20"/>
        </w:rPr>
        <w:t xml:space="preserve"> </w:t>
      </w:r>
      <w:r>
        <w:rPr>
          <w:spacing w:val="-4"/>
          <w:sz w:val="20"/>
          <w:szCs w:val="20"/>
        </w:rPr>
        <w:t>表明承建合同的变更发生法律效力；</w:t>
      </w:r>
    </w:p>
    <w:p w14:paraId="1C167CF8">
      <w:pPr>
        <w:pStyle w:val="2"/>
        <w:spacing w:before="51" w:line="282" w:lineRule="auto"/>
        <w:ind w:left="379" w:right="68" w:firstLine="400"/>
        <w:rPr>
          <w:sz w:val="16"/>
          <w:szCs w:val="16"/>
        </w:rPr>
      </w:pPr>
      <w:r>
        <w:rPr>
          <w:spacing w:val="5"/>
          <w:sz w:val="20"/>
          <w:szCs w:val="20"/>
        </w:rPr>
        <w:t>(3)变更合同的建议与答复，必须在双方协议的期限之内，或者在法律或法令规定的期限</w:t>
      </w:r>
      <w:r>
        <w:rPr>
          <w:spacing w:val="10"/>
          <w:sz w:val="20"/>
          <w:szCs w:val="20"/>
        </w:rPr>
        <w:t xml:space="preserve"> </w:t>
      </w:r>
      <w:r>
        <w:rPr>
          <w:spacing w:val="-12"/>
          <w:sz w:val="16"/>
          <w:szCs w:val="16"/>
        </w:rPr>
        <w:t>之</w:t>
      </w:r>
      <w:r>
        <w:rPr>
          <w:spacing w:val="4"/>
          <w:sz w:val="16"/>
          <w:szCs w:val="16"/>
        </w:rPr>
        <w:t xml:space="preserve"> </w:t>
      </w:r>
      <w:r>
        <w:rPr>
          <w:spacing w:val="-12"/>
          <w:sz w:val="16"/>
          <w:szCs w:val="16"/>
        </w:rPr>
        <w:t>内</w:t>
      </w:r>
      <w:r>
        <w:rPr>
          <w:spacing w:val="-22"/>
          <w:sz w:val="16"/>
          <w:szCs w:val="16"/>
        </w:rPr>
        <w:t xml:space="preserve"> </w:t>
      </w:r>
      <w:r>
        <w:rPr>
          <w:spacing w:val="-12"/>
          <w:sz w:val="16"/>
          <w:szCs w:val="16"/>
        </w:rPr>
        <w:t>；</w:t>
      </w:r>
    </w:p>
    <w:p w14:paraId="0E95D1AE">
      <w:pPr>
        <w:pStyle w:val="2"/>
        <w:spacing w:before="81" w:line="219" w:lineRule="auto"/>
        <w:ind w:left="780"/>
        <w:rPr>
          <w:sz w:val="20"/>
          <w:szCs w:val="20"/>
        </w:rPr>
      </w:pPr>
      <w:r>
        <w:rPr>
          <w:spacing w:val="1"/>
          <w:sz w:val="20"/>
          <w:szCs w:val="20"/>
        </w:rPr>
        <w:t>(4)合同变更如涉及国家指令性项目时，必须在变更合同之前报请有关部门批准；</w:t>
      </w:r>
    </w:p>
    <w:p w14:paraId="5A373568">
      <w:pPr>
        <w:spacing w:line="219" w:lineRule="auto"/>
        <w:rPr>
          <w:sz w:val="20"/>
          <w:szCs w:val="20"/>
        </w:rPr>
        <w:sectPr>
          <w:pgSz w:w="10300" w:h="13370"/>
          <w:pgMar w:top="400" w:right="999" w:bottom="400" w:left="540" w:header="0" w:footer="0" w:gutter="0"/>
          <w:cols w:space="720" w:num="1"/>
        </w:sectPr>
      </w:pPr>
    </w:p>
    <w:p w14:paraId="011E2DFD">
      <w:pPr>
        <w:pStyle w:val="2"/>
        <w:jc w:val="right"/>
        <w:rPr>
          <w:rFonts w:ascii="Times New Roman" w:hAnsi="Times New Roman" w:eastAsia="Times New Roman" w:cs="Times New Roman"/>
          <w:sz w:val="19"/>
          <w:szCs w:val="19"/>
        </w:rPr>
      </w:pPr>
      <w:r>
        <w:rPr>
          <w:spacing w:val="7"/>
          <w:sz w:val="19"/>
          <w:szCs w:val="19"/>
        </w:rPr>
        <w:t>第17章</w:t>
      </w:r>
      <w:r>
        <w:rPr>
          <w:spacing w:val="37"/>
          <w:sz w:val="19"/>
          <w:szCs w:val="19"/>
        </w:rPr>
        <w:t xml:space="preserve"> </w:t>
      </w:r>
      <w:r>
        <w:rPr>
          <w:spacing w:val="7"/>
          <w:sz w:val="19"/>
          <w:szCs w:val="19"/>
        </w:rPr>
        <w:t xml:space="preserve">变更控制 </w:t>
      </w:r>
      <w:r>
        <w:rPr>
          <w:position w:val="-12"/>
          <w:sz w:val="19"/>
          <w:szCs w:val="19"/>
        </w:rPr>
        <w:drawing>
          <wp:inline distT="0" distB="0" distL="0" distR="0">
            <wp:extent cx="317500" cy="24701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258"/>
                    <a:stretch>
                      <a:fillRect/>
                    </a:stretch>
                  </pic:blipFill>
                  <pic:spPr>
                    <a:xfrm>
                      <a:off x="0" y="0"/>
                      <a:ext cx="317512" cy="247622"/>
                    </a:xfrm>
                    <a:prstGeom prst="rect">
                      <a:avLst/>
                    </a:prstGeom>
                  </pic:spPr>
                </pic:pic>
              </a:graphicData>
            </a:graphic>
          </wp:inline>
        </w:drawing>
      </w:r>
      <w:r>
        <w:rPr>
          <w:rFonts w:ascii="Times New Roman" w:hAnsi="Times New Roman" w:eastAsia="Times New Roman" w:cs="Times New Roman"/>
          <w:spacing w:val="7"/>
          <w:sz w:val="19"/>
          <w:szCs w:val="19"/>
        </w:rPr>
        <w:t>393</w:t>
      </w:r>
    </w:p>
    <w:p w14:paraId="41766C97">
      <w:pPr>
        <w:spacing w:line="253" w:lineRule="auto"/>
        <w:rPr>
          <w:rFonts w:ascii="Arial"/>
          <w:sz w:val="21"/>
        </w:rPr>
      </w:pPr>
    </w:p>
    <w:p w14:paraId="0A29C882">
      <w:pPr>
        <w:pStyle w:val="2"/>
        <w:spacing w:before="62" w:line="219" w:lineRule="auto"/>
        <w:ind w:left="399"/>
        <w:rPr>
          <w:sz w:val="19"/>
          <w:szCs w:val="19"/>
        </w:rPr>
      </w:pPr>
      <w:r>
        <w:rPr>
          <w:spacing w:val="11"/>
          <w:sz w:val="19"/>
          <w:szCs w:val="19"/>
        </w:rPr>
        <w:t>(5)因合同变更发生的纠纷，依双方约定的解决方式或法定的解决方式处理。</w:t>
      </w:r>
    </w:p>
    <w:p w14:paraId="599432BE">
      <w:pPr>
        <w:pStyle w:val="2"/>
        <w:spacing w:before="171" w:line="222" w:lineRule="auto"/>
        <w:ind w:left="402"/>
        <w:rPr>
          <w:rFonts w:ascii="黑体" w:hAnsi="黑体" w:eastAsia="黑体" w:cs="黑体"/>
          <w:sz w:val="19"/>
          <w:szCs w:val="19"/>
        </w:rPr>
      </w:pPr>
      <w:r>
        <w:rPr>
          <w:b/>
          <w:bCs/>
          <w:color w:val="006ED0"/>
          <w:spacing w:val="6"/>
          <w:sz w:val="19"/>
          <w:szCs w:val="19"/>
        </w:rPr>
        <w:t>3.</w:t>
      </w:r>
      <w:r>
        <w:rPr>
          <w:rFonts w:ascii="黑体" w:hAnsi="黑体" w:eastAsia="黑体" w:cs="黑体"/>
          <w:b/>
          <w:bCs/>
          <w:color w:val="006ED0"/>
          <w:spacing w:val="6"/>
          <w:sz w:val="19"/>
          <w:szCs w:val="19"/>
        </w:rPr>
        <w:t>合同变更控制程序</w:t>
      </w:r>
    </w:p>
    <w:p w14:paraId="7F2400EF">
      <w:pPr>
        <w:pStyle w:val="2"/>
        <w:spacing w:before="165" w:line="219" w:lineRule="auto"/>
        <w:ind w:left="399"/>
        <w:rPr>
          <w:sz w:val="19"/>
          <w:szCs w:val="19"/>
        </w:rPr>
      </w:pPr>
      <w:r>
        <w:rPr>
          <w:spacing w:val="6"/>
          <w:sz w:val="19"/>
          <w:szCs w:val="19"/>
        </w:rPr>
        <w:t>监理按变更控制程序处理合同变更时，还应注意：</w:t>
      </w:r>
    </w:p>
    <w:p w14:paraId="39B5731C">
      <w:pPr>
        <w:pStyle w:val="2"/>
        <w:spacing w:before="92" w:line="218" w:lineRule="auto"/>
        <w:ind w:left="399"/>
        <w:rPr>
          <w:sz w:val="19"/>
          <w:szCs w:val="19"/>
        </w:rPr>
      </w:pPr>
      <w:r>
        <w:rPr>
          <w:spacing w:val="11"/>
          <w:sz w:val="19"/>
          <w:szCs w:val="19"/>
        </w:rPr>
        <w:t>(1)监理工程师应就变更费用及工期的评估情况与业主单位、承</w:t>
      </w:r>
      <w:r>
        <w:rPr>
          <w:spacing w:val="10"/>
          <w:sz w:val="19"/>
          <w:szCs w:val="19"/>
        </w:rPr>
        <w:t>建单位进行沟通协调；</w:t>
      </w:r>
    </w:p>
    <w:p w14:paraId="740AC9A3">
      <w:pPr>
        <w:pStyle w:val="2"/>
        <w:spacing w:before="97" w:line="219" w:lineRule="auto"/>
        <w:ind w:left="399"/>
        <w:rPr>
          <w:sz w:val="19"/>
          <w:szCs w:val="19"/>
        </w:rPr>
      </w:pPr>
      <w:r>
        <w:rPr>
          <w:spacing w:val="11"/>
          <w:sz w:val="19"/>
          <w:szCs w:val="19"/>
        </w:rPr>
        <w:t>(2)监理工程师应及时协调合同纠纷，公平地调查分析，提出解决建议。</w:t>
      </w:r>
    </w:p>
    <w:p w14:paraId="3635B6FC">
      <w:pPr>
        <w:spacing w:line="329" w:lineRule="auto"/>
        <w:rPr>
          <w:rFonts w:ascii="Arial"/>
          <w:sz w:val="21"/>
        </w:rPr>
      </w:pPr>
    </w:p>
    <w:p w14:paraId="12165FAB">
      <w:pPr>
        <w:pStyle w:val="2"/>
        <w:spacing w:before="92" w:line="222" w:lineRule="auto"/>
        <w:ind w:left="4"/>
        <w:rPr>
          <w:rFonts w:ascii="黑体" w:hAnsi="黑体" w:eastAsia="黑体" w:cs="黑体"/>
          <w:sz w:val="28"/>
          <w:szCs w:val="28"/>
        </w:rPr>
      </w:pPr>
      <w:r>
        <w:rPr>
          <w:b/>
          <w:bCs/>
          <w:color w:val="0066DB"/>
          <w:spacing w:val="-5"/>
          <w:sz w:val="28"/>
          <w:szCs w:val="28"/>
        </w:rPr>
        <w:t>17.5</w:t>
      </w:r>
      <w:r>
        <w:rPr>
          <w:color w:val="0066DB"/>
          <w:spacing w:val="-5"/>
          <w:sz w:val="28"/>
          <w:szCs w:val="28"/>
        </w:rPr>
        <w:t xml:space="preserve">  </w:t>
      </w:r>
      <w:r>
        <w:rPr>
          <w:rFonts w:ascii="黑体" w:hAnsi="黑体" w:eastAsia="黑体" w:cs="黑体"/>
          <w:b/>
          <w:bCs/>
          <w:color w:val="0066DB"/>
          <w:spacing w:val="-5"/>
          <w:sz w:val="28"/>
          <w:szCs w:val="28"/>
        </w:rPr>
        <w:t>监理变更控制要点</w:t>
      </w:r>
    </w:p>
    <w:p w14:paraId="6291FE51">
      <w:pPr>
        <w:spacing w:line="287" w:lineRule="auto"/>
        <w:rPr>
          <w:rFonts w:ascii="Arial"/>
          <w:sz w:val="21"/>
        </w:rPr>
      </w:pPr>
    </w:p>
    <w:p w14:paraId="04BA4911">
      <w:pPr>
        <w:pStyle w:val="2"/>
        <w:spacing w:before="62" w:line="222" w:lineRule="auto"/>
        <w:ind w:left="402"/>
        <w:rPr>
          <w:rFonts w:ascii="黑体" w:hAnsi="黑体" w:eastAsia="黑体" w:cs="黑体"/>
          <w:sz w:val="19"/>
          <w:szCs w:val="19"/>
        </w:rPr>
      </w:pPr>
      <w:r>
        <w:rPr>
          <w:b/>
          <w:bCs/>
          <w:color w:val="006DDA"/>
          <w:spacing w:val="6"/>
          <w:sz w:val="19"/>
          <w:szCs w:val="19"/>
        </w:rPr>
        <w:t>1.</w:t>
      </w:r>
      <w:r>
        <w:rPr>
          <w:rFonts w:ascii="黑体" w:hAnsi="黑体" w:eastAsia="黑体" w:cs="黑体"/>
          <w:b/>
          <w:bCs/>
          <w:color w:val="006DDA"/>
          <w:spacing w:val="6"/>
          <w:sz w:val="19"/>
          <w:szCs w:val="19"/>
        </w:rPr>
        <w:t>变更受理的控制要点</w:t>
      </w:r>
    </w:p>
    <w:p w14:paraId="3316029A">
      <w:pPr>
        <w:pStyle w:val="2"/>
        <w:spacing w:before="166" w:line="220" w:lineRule="auto"/>
        <w:ind w:left="399"/>
        <w:rPr>
          <w:sz w:val="19"/>
          <w:szCs w:val="19"/>
        </w:rPr>
      </w:pPr>
      <w:r>
        <w:rPr>
          <w:spacing w:val="5"/>
          <w:sz w:val="19"/>
          <w:szCs w:val="19"/>
        </w:rPr>
        <w:t>变更受理的控制要点主要包括：</w:t>
      </w:r>
    </w:p>
    <w:p w14:paraId="6E1777B3">
      <w:pPr>
        <w:pStyle w:val="2"/>
        <w:spacing w:before="104" w:line="219" w:lineRule="auto"/>
        <w:ind w:left="399"/>
        <w:rPr>
          <w:sz w:val="19"/>
          <w:szCs w:val="19"/>
        </w:rPr>
      </w:pPr>
      <w:r>
        <w:rPr>
          <w:spacing w:val="11"/>
          <w:sz w:val="19"/>
          <w:szCs w:val="19"/>
        </w:rPr>
        <w:t>(1)招标阶段，监理单位应协助业主单位检查承建合同中的工</w:t>
      </w:r>
      <w:r>
        <w:rPr>
          <w:spacing w:val="10"/>
          <w:sz w:val="19"/>
          <w:szCs w:val="19"/>
        </w:rPr>
        <w:t>程变更处理程序；</w:t>
      </w:r>
    </w:p>
    <w:p w14:paraId="1820E724">
      <w:pPr>
        <w:pStyle w:val="2"/>
        <w:spacing w:before="94" w:line="219" w:lineRule="auto"/>
        <w:ind w:left="399"/>
        <w:rPr>
          <w:sz w:val="19"/>
          <w:szCs w:val="19"/>
        </w:rPr>
      </w:pPr>
      <w:r>
        <w:rPr>
          <w:spacing w:val="11"/>
          <w:sz w:val="19"/>
          <w:szCs w:val="19"/>
        </w:rPr>
        <w:t>(2)业主单位或承建单位提出的工程变更，应编制变更文件提</w:t>
      </w:r>
      <w:r>
        <w:rPr>
          <w:spacing w:val="10"/>
          <w:sz w:val="19"/>
          <w:szCs w:val="19"/>
        </w:rPr>
        <w:t>交总监理工程师；</w:t>
      </w:r>
    </w:p>
    <w:p w14:paraId="73AEA0B7">
      <w:pPr>
        <w:pStyle w:val="2"/>
        <w:spacing w:before="73" w:line="219" w:lineRule="auto"/>
        <w:ind w:left="399"/>
        <w:rPr>
          <w:sz w:val="19"/>
          <w:szCs w:val="19"/>
        </w:rPr>
      </w:pPr>
      <w:r>
        <w:rPr>
          <w:spacing w:val="10"/>
          <w:sz w:val="19"/>
          <w:szCs w:val="19"/>
        </w:rPr>
        <w:t>(3)所有变更请求都必须以书面形式进行记录；</w:t>
      </w:r>
    </w:p>
    <w:p w14:paraId="5A4865E4">
      <w:pPr>
        <w:pStyle w:val="2"/>
        <w:spacing w:before="97" w:line="220" w:lineRule="auto"/>
        <w:ind w:left="399"/>
        <w:rPr>
          <w:sz w:val="19"/>
          <w:szCs w:val="19"/>
        </w:rPr>
      </w:pPr>
      <w:r>
        <w:rPr>
          <w:spacing w:val="10"/>
          <w:sz w:val="19"/>
          <w:szCs w:val="19"/>
        </w:rPr>
        <w:t>(4)监理单位应及时对变更进行响应；</w:t>
      </w:r>
    </w:p>
    <w:p w14:paraId="6F5B9D3F">
      <w:pPr>
        <w:pStyle w:val="2"/>
        <w:spacing w:before="83" w:line="265" w:lineRule="auto"/>
        <w:ind w:right="338" w:firstLine="399"/>
        <w:rPr>
          <w:sz w:val="19"/>
          <w:szCs w:val="19"/>
        </w:rPr>
      </w:pPr>
      <w:r>
        <w:rPr>
          <w:spacing w:val="15"/>
          <w:sz w:val="19"/>
          <w:szCs w:val="19"/>
        </w:rPr>
        <w:t>(5)应由总监理工程师主持审查和处理工程变更</w:t>
      </w:r>
      <w:r>
        <w:rPr>
          <w:spacing w:val="14"/>
          <w:sz w:val="19"/>
          <w:szCs w:val="19"/>
        </w:rPr>
        <w:t>，总监理工程师代表获得总监理工程师授</w:t>
      </w:r>
      <w:r>
        <w:rPr>
          <w:sz w:val="19"/>
          <w:szCs w:val="19"/>
        </w:rPr>
        <w:t xml:space="preserve"> </w:t>
      </w:r>
      <w:r>
        <w:rPr>
          <w:spacing w:val="8"/>
          <w:sz w:val="19"/>
          <w:szCs w:val="19"/>
        </w:rPr>
        <w:t>权后，也可以主持审查和处理工程变更，但不包括对项目延期的审批。</w:t>
      </w:r>
    </w:p>
    <w:p w14:paraId="3B973E76">
      <w:pPr>
        <w:pStyle w:val="2"/>
        <w:spacing w:before="160" w:line="222" w:lineRule="auto"/>
        <w:ind w:left="402"/>
        <w:rPr>
          <w:rFonts w:ascii="黑体" w:hAnsi="黑体" w:eastAsia="黑体" w:cs="黑体"/>
          <w:sz w:val="19"/>
          <w:szCs w:val="19"/>
        </w:rPr>
      </w:pPr>
      <w:r>
        <w:rPr>
          <w:b/>
          <w:bCs/>
          <w:color w:val="0071E3"/>
          <w:spacing w:val="8"/>
          <w:sz w:val="19"/>
          <w:szCs w:val="19"/>
        </w:rPr>
        <w:t>2.</w:t>
      </w:r>
      <w:r>
        <w:rPr>
          <w:rFonts w:ascii="黑体" w:hAnsi="黑体" w:eastAsia="黑体" w:cs="黑体"/>
          <w:b/>
          <w:bCs/>
          <w:color w:val="0071E3"/>
          <w:spacing w:val="8"/>
          <w:sz w:val="19"/>
          <w:szCs w:val="19"/>
        </w:rPr>
        <w:t>变更处理的控制要点</w:t>
      </w:r>
    </w:p>
    <w:p w14:paraId="01848284">
      <w:pPr>
        <w:pStyle w:val="2"/>
        <w:spacing w:before="167" w:line="220" w:lineRule="auto"/>
        <w:ind w:left="399"/>
        <w:rPr>
          <w:sz w:val="19"/>
          <w:szCs w:val="19"/>
        </w:rPr>
      </w:pPr>
      <w:r>
        <w:rPr>
          <w:spacing w:val="5"/>
          <w:sz w:val="19"/>
          <w:szCs w:val="19"/>
        </w:rPr>
        <w:t>变更处理的控制要点主要包括：</w:t>
      </w:r>
    </w:p>
    <w:p w14:paraId="2E690E50">
      <w:pPr>
        <w:pStyle w:val="2"/>
        <w:spacing w:before="83" w:line="219" w:lineRule="auto"/>
        <w:ind w:left="399"/>
        <w:rPr>
          <w:sz w:val="19"/>
          <w:szCs w:val="19"/>
        </w:rPr>
      </w:pPr>
      <w:r>
        <w:rPr>
          <w:spacing w:val="10"/>
          <w:sz w:val="19"/>
          <w:szCs w:val="19"/>
        </w:rPr>
        <w:t>(1)监理单位应了解工程变更的实际情况，收集相关资料或信息；</w:t>
      </w:r>
    </w:p>
    <w:p w14:paraId="18C7CC01">
      <w:pPr>
        <w:pStyle w:val="2"/>
        <w:spacing w:before="94" w:line="254" w:lineRule="auto"/>
        <w:ind w:right="252" w:firstLine="399"/>
        <w:rPr>
          <w:sz w:val="19"/>
          <w:szCs w:val="19"/>
        </w:rPr>
      </w:pPr>
      <w:r>
        <w:rPr>
          <w:spacing w:val="12"/>
          <w:sz w:val="19"/>
          <w:szCs w:val="19"/>
        </w:rPr>
        <w:t>(2)监理单位应根据实际情况，参考变更文件及其他有关资</w:t>
      </w:r>
      <w:r>
        <w:rPr>
          <w:spacing w:val="11"/>
          <w:sz w:val="19"/>
          <w:szCs w:val="19"/>
        </w:rPr>
        <w:t>料，按照承建合同的有关条款，</w:t>
      </w:r>
      <w:r>
        <w:rPr>
          <w:sz w:val="19"/>
          <w:szCs w:val="19"/>
        </w:rPr>
        <w:t xml:space="preserve"> </w:t>
      </w:r>
      <w:r>
        <w:rPr>
          <w:spacing w:val="9"/>
          <w:sz w:val="19"/>
          <w:szCs w:val="19"/>
        </w:rPr>
        <w:t>组织业主单位和承建单位对变更进行评估；公众号：项目管理课堂</w:t>
      </w:r>
    </w:p>
    <w:p w14:paraId="0292CE67">
      <w:pPr>
        <w:pStyle w:val="2"/>
        <w:spacing w:before="77" w:line="264" w:lineRule="auto"/>
        <w:ind w:right="335" w:firstLine="399"/>
        <w:rPr>
          <w:sz w:val="19"/>
          <w:szCs w:val="19"/>
        </w:rPr>
      </w:pPr>
      <w:r>
        <w:rPr>
          <w:spacing w:val="15"/>
          <w:sz w:val="19"/>
          <w:szCs w:val="19"/>
        </w:rPr>
        <w:t>(3)对变更的评估除了包括对工程变更自身的评估外，</w:t>
      </w:r>
      <w:r>
        <w:rPr>
          <w:spacing w:val="14"/>
          <w:sz w:val="19"/>
          <w:szCs w:val="19"/>
        </w:rPr>
        <w:t>还应包括对项目计划、质量、进度</w:t>
      </w:r>
      <w:r>
        <w:rPr>
          <w:sz w:val="19"/>
          <w:szCs w:val="19"/>
        </w:rPr>
        <w:t xml:space="preserve"> </w:t>
      </w:r>
      <w:r>
        <w:rPr>
          <w:spacing w:val="5"/>
          <w:sz w:val="19"/>
          <w:szCs w:val="19"/>
        </w:rPr>
        <w:t>和投资等产生的影响的评估；</w:t>
      </w:r>
    </w:p>
    <w:p w14:paraId="5756753F">
      <w:pPr>
        <w:pStyle w:val="2"/>
        <w:spacing w:before="87" w:line="219" w:lineRule="auto"/>
        <w:ind w:left="399"/>
        <w:rPr>
          <w:sz w:val="19"/>
          <w:szCs w:val="19"/>
        </w:rPr>
      </w:pPr>
      <w:r>
        <w:rPr>
          <w:spacing w:val="10"/>
          <w:sz w:val="19"/>
          <w:szCs w:val="19"/>
        </w:rPr>
        <w:t>(4)变更处理过程应符合承建合同中约定的工程变更处理程序；</w:t>
      </w:r>
    </w:p>
    <w:p w14:paraId="445F55BD">
      <w:pPr>
        <w:pStyle w:val="2"/>
        <w:spacing w:before="85" w:line="219" w:lineRule="auto"/>
        <w:ind w:left="399"/>
        <w:rPr>
          <w:sz w:val="19"/>
          <w:szCs w:val="19"/>
        </w:rPr>
      </w:pPr>
      <w:r>
        <w:rPr>
          <w:spacing w:val="10"/>
          <w:sz w:val="19"/>
          <w:szCs w:val="19"/>
        </w:rPr>
        <w:t>(5)变更处理过程应满足承建合同中规定的时限要求；</w:t>
      </w:r>
    </w:p>
    <w:p w14:paraId="5B3D5253">
      <w:pPr>
        <w:pStyle w:val="2"/>
        <w:spacing w:before="82" w:line="262" w:lineRule="auto"/>
        <w:ind w:right="307" w:firstLine="399"/>
        <w:rPr>
          <w:sz w:val="19"/>
          <w:szCs w:val="19"/>
        </w:rPr>
      </w:pPr>
      <w:r>
        <w:rPr>
          <w:spacing w:val="20"/>
          <w:sz w:val="19"/>
          <w:szCs w:val="19"/>
        </w:rPr>
        <w:t>(6)监理单位应对工程变更过程及结果(包括变更有关的评估、计划、实施、验证等)做</w:t>
      </w:r>
      <w:r>
        <w:rPr>
          <w:spacing w:val="3"/>
          <w:sz w:val="19"/>
          <w:szCs w:val="19"/>
        </w:rPr>
        <w:t xml:space="preserve"> </w:t>
      </w:r>
      <w:r>
        <w:rPr>
          <w:spacing w:val="2"/>
          <w:sz w:val="19"/>
          <w:szCs w:val="19"/>
        </w:rPr>
        <w:t>工程备忘录；</w:t>
      </w:r>
    </w:p>
    <w:p w14:paraId="4387EF46">
      <w:pPr>
        <w:pStyle w:val="2"/>
        <w:spacing w:before="64" w:line="271" w:lineRule="auto"/>
        <w:ind w:right="334" w:firstLine="399"/>
        <w:rPr>
          <w:sz w:val="19"/>
          <w:szCs w:val="19"/>
        </w:rPr>
      </w:pPr>
      <w:r>
        <w:rPr>
          <w:spacing w:val="20"/>
          <w:sz w:val="19"/>
          <w:szCs w:val="19"/>
        </w:rPr>
        <w:t>(7)应严格控制变更，承建单位未得到业主单位和监理单位的同意，不允许对</w:t>
      </w:r>
      <w:r>
        <w:rPr>
          <w:spacing w:val="19"/>
          <w:sz w:val="19"/>
          <w:szCs w:val="19"/>
        </w:rPr>
        <w:t>工程随意</w:t>
      </w:r>
      <w:r>
        <w:rPr>
          <w:sz w:val="19"/>
          <w:szCs w:val="19"/>
        </w:rPr>
        <w:t xml:space="preserve"> </w:t>
      </w:r>
      <w:r>
        <w:rPr>
          <w:spacing w:val="5"/>
          <w:sz w:val="19"/>
          <w:szCs w:val="19"/>
        </w:rPr>
        <w:t>变更。</w:t>
      </w:r>
    </w:p>
    <w:p w14:paraId="1DBE57FB">
      <w:pPr>
        <w:pStyle w:val="2"/>
        <w:spacing w:before="147" w:line="222" w:lineRule="auto"/>
        <w:ind w:left="402"/>
        <w:rPr>
          <w:rFonts w:ascii="黑体" w:hAnsi="黑体" w:eastAsia="黑体" w:cs="黑体"/>
          <w:sz w:val="19"/>
          <w:szCs w:val="19"/>
        </w:rPr>
      </w:pPr>
      <w:r>
        <w:rPr>
          <w:b/>
          <w:bCs/>
          <w:color w:val="006AD5"/>
          <w:spacing w:val="6"/>
          <w:sz w:val="19"/>
          <w:szCs w:val="19"/>
        </w:rPr>
        <w:t>3.</w:t>
      </w:r>
      <w:r>
        <w:rPr>
          <w:rFonts w:ascii="黑体" w:hAnsi="黑体" w:eastAsia="黑体" w:cs="黑体"/>
          <w:b/>
          <w:bCs/>
          <w:color w:val="006AD5"/>
          <w:spacing w:val="6"/>
          <w:sz w:val="19"/>
          <w:szCs w:val="19"/>
        </w:rPr>
        <w:t>变更实施的控制要点</w:t>
      </w:r>
    </w:p>
    <w:p w14:paraId="574C57D1">
      <w:pPr>
        <w:pStyle w:val="2"/>
        <w:spacing w:before="156" w:line="220" w:lineRule="auto"/>
        <w:ind w:left="399"/>
        <w:rPr>
          <w:sz w:val="19"/>
          <w:szCs w:val="19"/>
        </w:rPr>
      </w:pPr>
      <w:r>
        <w:rPr>
          <w:spacing w:val="5"/>
          <w:sz w:val="19"/>
          <w:szCs w:val="19"/>
        </w:rPr>
        <w:t>变更实施的控制要点主要包括：</w:t>
      </w:r>
    </w:p>
    <w:p w14:paraId="5CBF3168">
      <w:pPr>
        <w:pStyle w:val="2"/>
        <w:spacing w:before="73" w:line="219" w:lineRule="auto"/>
        <w:ind w:left="399"/>
        <w:rPr>
          <w:sz w:val="19"/>
          <w:szCs w:val="19"/>
        </w:rPr>
      </w:pPr>
      <w:r>
        <w:rPr>
          <w:spacing w:val="11"/>
          <w:sz w:val="19"/>
          <w:szCs w:val="19"/>
        </w:rPr>
        <w:t>(1)监理单位应要求承建单位在变更文件签署前不得实施工程变更。</w:t>
      </w:r>
    </w:p>
    <w:p w14:paraId="01C0C06D">
      <w:pPr>
        <w:pStyle w:val="2"/>
        <w:spacing w:before="85" w:line="219" w:lineRule="auto"/>
        <w:ind w:left="399"/>
        <w:rPr>
          <w:sz w:val="19"/>
          <w:szCs w:val="19"/>
        </w:rPr>
      </w:pPr>
      <w:r>
        <w:rPr>
          <w:spacing w:val="11"/>
          <w:sz w:val="19"/>
          <w:szCs w:val="19"/>
        </w:rPr>
        <w:t>(2)监理单位应根据三方签认的工程变更文件监督承建单位实施</w:t>
      </w:r>
      <w:r>
        <w:rPr>
          <w:spacing w:val="10"/>
          <w:sz w:val="19"/>
          <w:szCs w:val="19"/>
        </w:rPr>
        <w:t>变更。</w:t>
      </w:r>
    </w:p>
    <w:p w14:paraId="4CB4DA69">
      <w:pPr>
        <w:pStyle w:val="2"/>
        <w:spacing w:before="84" w:line="219" w:lineRule="auto"/>
        <w:ind w:left="399"/>
        <w:rPr>
          <w:sz w:val="19"/>
          <w:szCs w:val="19"/>
        </w:rPr>
      </w:pPr>
      <w:r>
        <w:rPr>
          <w:spacing w:val="11"/>
          <w:sz w:val="19"/>
          <w:szCs w:val="19"/>
        </w:rPr>
        <w:t>(3)涉及合同变更的，监理单位应按照合同及法规的要求协助</w:t>
      </w:r>
      <w:r>
        <w:rPr>
          <w:spacing w:val="10"/>
          <w:sz w:val="19"/>
          <w:szCs w:val="19"/>
        </w:rPr>
        <w:t>业主单位处理。</w:t>
      </w:r>
    </w:p>
    <w:p w14:paraId="4D2AFA0D">
      <w:pPr>
        <w:pStyle w:val="2"/>
        <w:spacing w:before="74" w:line="219" w:lineRule="auto"/>
        <w:ind w:left="399"/>
        <w:rPr>
          <w:sz w:val="19"/>
          <w:szCs w:val="19"/>
        </w:rPr>
      </w:pPr>
      <w:r>
        <w:rPr>
          <w:spacing w:val="16"/>
          <w:sz w:val="19"/>
          <w:szCs w:val="19"/>
        </w:rPr>
        <w:t>(4)监理单位处理合同变更申请时，应协助保持合同、协议及其附件内容的时效性、</w:t>
      </w:r>
      <w:r>
        <w:rPr>
          <w:spacing w:val="65"/>
          <w:sz w:val="19"/>
          <w:szCs w:val="19"/>
        </w:rPr>
        <w:t xml:space="preserve"> </w:t>
      </w:r>
      <w:r>
        <w:rPr>
          <w:spacing w:val="16"/>
          <w:sz w:val="19"/>
          <w:szCs w:val="19"/>
        </w:rPr>
        <w:t>一</w:t>
      </w:r>
    </w:p>
    <w:p w14:paraId="0C41F5D2">
      <w:pPr>
        <w:spacing w:line="219" w:lineRule="auto"/>
        <w:rPr>
          <w:sz w:val="19"/>
          <w:szCs w:val="19"/>
        </w:rPr>
        <w:sectPr>
          <w:pgSz w:w="10280" w:h="13300"/>
          <w:pgMar w:top="379" w:right="582" w:bottom="400" w:left="1059" w:header="0" w:footer="0" w:gutter="0"/>
          <w:cols w:space="720" w:num="1"/>
        </w:sectPr>
      </w:pPr>
    </w:p>
    <w:p w14:paraId="25E503FC">
      <w:pPr>
        <w:pStyle w:val="2"/>
        <w:spacing w:before="87" w:line="219" w:lineRule="auto"/>
        <w:rPr>
          <w:sz w:val="19"/>
          <w:szCs w:val="19"/>
        </w:rPr>
      </w:pPr>
      <w:r>
        <w:rPr>
          <w:rFonts w:ascii="Times New Roman" w:hAnsi="Times New Roman" w:eastAsia="Times New Roman" w:cs="Times New Roman"/>
          <w:spacing w:val="3"/>
          <w:sz w:val="19"/>
          <w:szCs w:val="19"/>
        </w:rPr>
        <w:t xml:space="preserve">394              </w:t>
      </w:r>
      <w:r>
        <w:rPr>
          <w:spacing w:val="3"/>
          <w:sz w:val="19"/>
          <w:szCs w:val="19"/>
        </w:rPr>
        <w:t>信息系统监理师教程(第2版)</w:t>
      </w:r>
    </w:p>
    <w:p w14:paraId="74B9C82A">
      <w:pPr>
        <w:spacing w:line="331" w:lineRule="auto"/>
        <w:rPr>
          <w:rFonts w:ascii="Arial"/>
          <w:sz w:val="21"/>
        </w:rPr>
      </w:pPr>
    </w:p>
    <w:p w14:paraId="78C43196">
      <w:pPr>
        <w:pStyle w:val="2"/>
        <w:spacing w:before="62" w:line="220" w:lineRule="auto"/>
        <w:ind w:left="359"/>
        <w:rPr>
          <w:sz w:val="19"/>
          <w:szCs w:val="19"/>
        </w:rPr>
      </w:pPr>
      <w:r>
        <w:rPr>
          <w:spacing w:val="1"/>
          <w:sz w:val="19"/>
          <w:szCs w:val="19"/>
        </w:rPr>
        <w:t>致性。</w:t>
      </w:r>
    </w:p>
    <w:p w14:paraId="087266F0">
      <w:pPr>
        <w:pStyle w:val="2"/>
        <w:spacing w:before="70" w:line="271" w:lineRule="auto"/>
        <w:ind w:left="359" w:right="86" w:firstLine="389"/>
        <w:rPr>
          <w:sz w:val="19"/>
          <w:szCs w:val="19"/>
        </w:rPr>
      </w:pPr>
      <w:r>
        <w:rPr>
          <w:spacing w:val="15"/>
          <w:sz w:val="19"/>
          <w:szCs w:val="19"/>
        </w:rPr>
        <w:t>(5)工程发生变更后，承建单位可以提出变更工</w:t>
      </w:r>
      <w:r>
        <w:rPr>
          <w:spacing w:val="14"/>
          <w:sz w:val="19"/>
          <w:szCs w:val="19"/>
        </w:rPr>
        <w:t>程价款的申请，监理单位根据实际情况就</w:t>
      </w:r>
      <w:r>
        <w:rPr>
          <w:sz w:val="19"/>
          <w:szCs w:val="19"/>
        </w:rPr>
        <w:t xml:space="preserve"> </w:t>
      </w:r>
      <w:r>
        <w:rPr>
          <w:spacing w:val="6"/>
          <w:sz w:val="19"/>
          <w:szCs w:val="19"/>
        </w:rPr>
        <w:t>工程变更费用与承建单位和业主单位进行协商。</w:t>
      </w:r>
    </w:p>
    <w:p w14:paraId="17F638D9">
      <w:pPr>
        <w:pStyle w:val="2"/>
        <w:spacing w:before="83" w:line="275" w:lineRule="auto"/>
        <w:ind w:left="359" w:right="88" w:firstLine="389"/>
        <w:rPr>
          <w:sz w:val="19"/>
          <w:szCs w:val="19"/>
        </w:rPr>
      </w:pPr>
      <w:r>
        <w:rPr>
          <w:spacing w:val="15"/>
          <w:sz w:val="19"/>
          <w:szCs w:val="19"/>
        </w:rPr>
        <w:t>(6)如果产生变更费用，不能使用成本容许</w:t>
      </w:r>
      <w:r>
        <w:rPr>
          <w:spacing w:val="14"/>
          <w:sz w:val="19"/>
          <w:szCs w:val="19"/>
        </w:rPr>
        <w:t>偏差或风险预留资金支付，可以采用以下办法</w:t>
      </w:r>
      <w:r>
        <w:rPr>
          <w:sz w:val="19"/>
          <w:szCs w:val="19"/>
        </w:rPr>
        <w:t xml:space="preserve"> </w:t>
      </w:r>
      <w:r>
        <w:rPr>
          <w:spacing w:val="3"/>
          <w:sz w:val="19"/>
          <w:szCs w:val="19"/>
        </w:rPr>
        <w:t>解决资金的问题：</w:t>
      </w:r>
    </w:p>
    <w:p w14:paraId="1499BFE4">
      <w:pPr>
        <w:pStyle w:val="2"/>
        <w:spacing w:before="85" w:line="219" w:lineRule="auto"/>
        <w:ind w:left="749"/>
        <w:rPr>
          <w:sz w:val="19"/>
          <w:szCs w:val="19"/>
        </w:rPr>
      </w:pPr>
      <w:r>
        <w:rPr>
          <w:spacing w:val="16"/>
          <w:sz w:val="19"/>
          <w:szCs w:val="19"/>
        </w:rPr>
        <w:t>●使用变更预算(如果准备了该预算且额度够用);</w:t>
      </w:r>
    </w:p>
    <w:p w14:paraId="3C9F623C">
      <w:pPr>
        <w:pStyle w:val="2"/>
        <w:spacing w:before="94" w:line="219" w:lineRule="auto"/>
        <w:ind w:left="749"/>
        <w:rPr>
          <w:sz w:val="19"/>
          <w:szCs w:val="19"/>
        </w:rPr>
      </w:pPr>
      <w:r>
        <w:rPr>
          <w:spacing w:val="11"/>
          <w:sz w:val="19"/>
          <w:szCs w:val="19"/>
        </w:rPr>
        <w:t>●请求业主单位增加投资预算；</w:t>
      </w:r>
    </w:p>
    <w:p w14:paraId="42E56EA9">
      <w:pPr>
        <w:pStyle w:val="2"/>
        <w:spacing w:before="105" w:line="219" w:lineRule="auto"/>
        <w:ind w:left="749"/>
        <w:rPr>
          <w:sz w:val="19"/>
          <w:szCs w:val="19"/>
        </w:rPr>
      </w:pPr>
      <w:r>
        <w:rPr>
          <w:spacing w:val="11"/>
          <w:sz w:val="19"/>
          <w:szCs w:val="19"/>
        </w:rPr>
        <w:t>●适当削减该项目其他部分的范围或预算。</w:t>
      </w:r>
    </w:p>
    <w:p w14:paraId="34459897">
      <w:pPr>
        <w:pStyle w:val="2"/>
        <w:spacing w:before="92" w:line="271" w:lineRule="auto"/>
        <w:ind w:left="359" w:firstLine="389"/>
        <w:rPr>
          <w:sz w:val="19"/>
          <w:szCs w:val="19"/>
        </w:rPr>
      </w:pPr>
      <w:r>
        <w:rPr>
          <w:spacing w:val="17"/>
          <w:sz w:val="19"/>
          <w:szCs w:val="19"/>
        </w:rPr>
        <w:t>(7)监理单位的工程总结报告中应包括工程变更情况，例如变更</w:t>
      </w:r>
      <w:r>
        <w:rPr>
          <w:spacing w:val="16"/>
          <w:sz w:val="19"/>
          <w:szCs w:val="19"/>
        </w:rPr>
        <w:t>的次数、对项目的影响、</w:t>
      </w:r>
      <w:r>
        <w:rPr>
          <w:sz w:val="19"/>
          <w:szCs w:val="19"/>
        </w:rPr>
        <w:t xml:space="preserve"> </w:t>
      </w:r>
      <w:r>
        <w:rPr>
          <w:spacing w:val="5"/>
          <w:sz w:val="19"/>
          <w:szCs w:val="19"/>
        </w:rPr>
        <w:t>应该吸取的经验教训等。</w:t>
      </w:r>
    </w:p>
    <w:p w14:paraId="06D43096">
      <w:pPr>
        <w:pStyle w:val="2"/>
        <w:spacing w:before="171" w:line="222" w:lineRule="auto"/>
        <w:ind w:left="752"/>
        <w:rPr>
          <w:rFonts w:ascii="黑体" w:hAnsi="黑体" w:eastAsia="黑体" w:cs="黑体"/>
          <w:sz w:val="19"/>
          <w:szCs w:val="19"/>
        </w:rPr>
      </w:pPr>
      <w:bookmarkStart w:id="692" w:name="bookmark677"/>
      <w:bookmarkEnd w:id="692"/>
      <w:r>
        <w:rPr>
          <w:b/>
          <w:bCs/>
          <w:color w:val="1893F2"/>
          <w:spacing w:val="8"/>
          <w:sz w:val="19"/>
          <w:szCs w:val="19"/>
        </w:rPr>
        <w:t>4.</w:t>
      </w:r>
      <w:r>
        <w:rPr>
          <w:rFonts w:ascii="黑体" w:hAnsi="黑体" w:eastAsia="黑体" w:cs="黑体"/>
          <w:b/>
          <w:bCs/>
          <w:color w:val="1893F2"/>
          <w:spacing w:val="8"/>
          <w:sz w:val="19"/>
          <w:szCs w:val="19"/>
        </w:rPr>
        <w:t>特定项目变更的控制要点</w:t>
      </w:r>
    </w:p>
    <w:p w14:paraId="1525E7AB">
      <w:pPr>
        <w:pStyle w:val="2"/>
        <w:spacing w:before="165" w:line="219" w:lineRule="auto"/>
        <w:ind w:left="749"/>
        <w:rPr>
          <w:sz w:val="19"/>
          <w:szCs w:val="19"/>
        </w:rPr>
      </w:pPr>
      <w:r>
        <w:rPr>
          <w:spacing w:val="6"/>
          <w:sz w:val="19"/>
          <w:szCs w:val="19"/>
        </w:rPr>
        <w:t>对于特定项目变更的控制要点主要包括：</w:t>
      </w:r>
    </w:p>
    <w:p w14:paraId="4DEA0147">
      <w:pPr>
        <w:pStyle w:val="2"/>
        <w:spacing w:before="85" w:line="219" w:lineRule="auto"/>
        <w:ind w:left="749"/>
        <w:rPr>
          <w:sz w:val="19"/>
          <w:szCs w:val="19"/>
        </w:rPr>
      </w:pPr>
      <w:r>
        <w:rPr>
          <w:spacing w:val="11"/>
          <w:sz w:val="19"/>
          <w:szCs w:val="19"/>
        </w:rPr>
        <w:t>(1)信息安全项目在招标阶段，应检查承建合同中对工程变更引</w:t>
      </w:r>
      <w:r>
        <w:rPr>
          <w:spacing w:val="10"/>
          <w:sz w:val="19"/>
          <w:szCs w:val="19"/>
        </w:rPr>
        <w:t>发安全问题的处理方法。</w:t>
      </w:r>
    </w:p>
    <w:p w14:paraId="76D1B1AC">
      <w:pPr>
        <w:pStyle w:val="2"/>
        <w:spacing w:before="73" w:line="269" w:lineRule="auto"/>
        <w:ind w:left="359" w:right="86" w:firstLine="389"/>
        <w:rPr>
          <w:sz w:val="19"/>
          <w:szCs w:val="19"/>
        </w:rPr>
      </w:pPr>
      <w:r>
        <w:rPr>
          <w:spacing w:val="15"/>
          <w:sz w:val="19"/>
          <w:szCs w:val="19"/>
        </w:rPr>
        <w:t>(2)信息安全项目如果在工程实施中存在重大变</w:t>
      </w:r>
      <w:r>
        <w:rPr>
          <w:spacing w:val="14"/>
          <w:sz w:val="19"/>
          <w:szCs w:val="19"/>
        </w:rPr>
        <w:t>更，监理单位应督促承建单位对系统安全</w:t>
      </w:r>
      <w:r>
        <w:rPr>
          <w:sz w:val="19"/>
          <w:szCs w:val="19"/>
        </w:rPr>
        <w:t xml:space="preserve"> </w:t>
      </w:r>
      <w:r>
        <w:rPr>
          <w:spacing w:val="3"/>
          <w:sz w:val="19"/>
          <w:szCs w:val="19"/>
        </w:rPr>
        <w:t>性进行再评估。</w:t>
      </w:r>
    </w:p>
    <w:p w14:paraId="4772E16E">
      <w:pPr>
        <w:pStyle w:val="2"/>
        <w:spacing w:before="97" w:line="260" w:lineRule="auto"/>
        <w:ind w:left="359" w:right="55" w:firstLine="389"/>
        <w:rPr>
          <w:sz w:val="19"/>
          <w:szCs w:val="19"/>
        </w:rPr>
      </w:pPr>
      <w:r>
        <w:rPr>
          <w:spacing w:val="15"/>
          <w:sz w:val="19"/>
          <w:szCs w:val="19"/>
        </w:rPr>
        <w:t>(3)数据中心建设项目在实施阶段应协助业主单位严格控制工程变更，对于确因客观原因</w:t>
      </w:r>
      <w:r>
        <w:rPr>
          <w:spacing w:val="13"/>
          <w:sz w:val="19"/>
          <w:szCs w:val="19"/>
        </w:rPr>
        <w:t xml:space="preserve"> </w:t>
      </w:r>
      <w:r>
        <w:rPr>
          <w:spacing w:val="6"/>
          <w:sz w:val="19"/>
          <w:szCs w:val="19"/>
        </w:rPr>
        <w:t>发生以下变更的，报业主单位审批才能组织洽商：</w:t>
      </w:r>
    </w:p>
    <w:p w14:paraId="519A84D3">
      <w:pPr>
        <w:pStyle w:val="2"/>
        <w:spacing w:before="87" w:line="221" w:lineRule="auto"/>
        <w:ind w:left="749"/>
        <w:rPr>
          <w:sz w:val="19"/>
          <w:szCs w:val="19"/>
        </w:rPr>
      </w:pPr>
      <w:r>
        <w:rPr>
          <w:spacing w:val="10"/>
          <w:sz w:val="19"/>
          <w:szCs w:val="19"/>
        </w:rPr>
        <w:t>●变更建设地点的；</w:t>
      </w:r>
    </w:p>
    <w:p w14:paraId="0A069603">
      <w:pPr>
        <w:pStyle w:val="2"/>
        <w:spacing w:before="92" w:line="220" w:lineRule="auto"/>
        <w:ind w:left="749"/>
        <w:rPr>
          <w:sz w:val="19"/>
          <w:szCs w:val="19"/>
        </w:rPr>
      </w:pPr>
      <w:r>
        <w:rPr>
          <w:spacing w:val="10"/>
          <w:sz w:val="19"/>
          <w:szCs w:val="19"/>
        </w:rPr>
        <w:t>●</w:t>
      </w:r>
      <w:r>
        <w:rPr>
          <w:spacing w:val="-62"/>
          <w:sz w:val="19"/>
          <w:szCs w:val="19"/>
        </w:rPr>
        <w:t xml:space="preserve"> </w:t>
      </w:r>
      <w:r>
        <w:rPr>
          <w:spacing w:val="10"/>
          <w:sz w:val="19"/>
          <w:szCs w:val="19"/>
        </w:rPr>
        <w:t>变更建设性质的；</w:t>
      </w:r>
    </w:p>
    <w:p w14:paraId="01037F51">
      <w:pPr>
        <w:pStyle w:val="2"/>
        <w:spacing w:before="113" w:line="220" w:lineRule="auto"/>
        <w:ind w:left="749"/>
        <w:rPr>
          <w:sz w:val="19"/>
          <w:szCs w:val="19"/>
        </w:rPr>
      </w:pPr>
      <w:r>
        <w:rPr>
          <w:spacing w:val="10"/>
          <w:sz w:val="19"/>
          <w:szCs w:val="19"/>
        </w:rPr>
        <w:t>●</w:t>
      </w:r>
      <w:r>
        <w:rPr>
          <w:spacing w:val="-62"/>
          <w:sz w:val="19"/>
          <w:szCs w:val="19"/>
        </w:rPr>
        <w:t xml:space="preserve"> </w:t>
      </w:r>
      <w:r>
        <w:rPr>
          <w:spacing w:val="10"/>
          <w:sz w:val="19"/>
          <w:szCs w:val="19"/>
        </w:rPr>
        <w:t>变更业主单位的；</w:t>
      </w:r>
    </w:p>
    <w:p w14:paraId="6B2B88E2">
      <w:pPr>
        <w:pStyle w:val="2"/>
        <w:spacing w:before="84" w:line="220" w:lineRule="auto"/>
        <w:ind w:left="749"/>
        <w:rPr>
          <w:sz w:val="19"/>
          <w:szCs w:val="19"/>
        </w:rPr>
      </w:pPr>
      <w:r>
        <w:rPr>
          <w:spacing w:val="10"/>
          <w:sz w:val="19"/>
          <w:szCs w:val="19"/>
        </w:rPr>
        <w:t>●</w:t>
      </w:r>
      <w:r>
        <w:rPr>
          <w:spacing w:val="-62"/>
          <w:sz w:val="19"/>
          <w:szCs w:val="19"/>
        </w:rPr>
        <w:t xml:space="preserve"> </w:t>
      </w:r>
      <w:r>
        <w:rPr>
          <w:spacing w:val="10"/>
          <w:sz w:val="19"/>
          <w:szCs w:val="19"/>
        </w:rPr>
        <w:t>变更招标方案的；</w:t>
      </w:r>
    </w:p>
    <w:p w14:paraId="46A43933">
      <w:pPr>
        <w:pStyle w:val="2"/>
        <w:spacing w:before="94" w:line="271" w:lineRule="auto"/>
        <w:ind w:left="1049" w:right="86" w:hanging="300"/>
        <w:rPr>
          <w:sz w:val="19"/>
          <w:szCs w:val="19"/>
        </w:rPr>
      </w:pPr>
      <w:r>
        <w:rPr>
          <w:spacing w:val="13"/>
          <w:sz w:val="19"/>
          <w:szCs w:val="19"/>
        </w:rPr>
        <w:t>●变更建设内容、建设规模、建设标准、建设</w:t>
      </w:r>
      <w:r>
        <w:rPr>
          <w:spacing w:val="12"/>
          <w:sz w:val="19"/>
          <w:szCs w:val="19"/>
        </w:rPr>
        <w:t>方案等，导致项目主要使用服务或功能发生</w:t>
      </w:r>
      <w:r>
        <w:rPr>
          <w:sz w:val="19"/>
          <w:szCs w:val="19"/>
        </w:rPr>
        <w:t xml:space="preserve"> </w:t>
      </w:r>
      <w:r>
        <w:rPr>
          <w:spacing w:val="3"/>
          <w:sz w:val="19"/>
          <w:szCs w:val="19"/>
        </w:rPr>
        <w:t>变化的；</w:t>
      </w:r>
    </w:p>
    <w:p w14:paraId="0E2A05C2">
      <w:pPr>
        <w:pStyle w:val="2"/>
        <w:spacing w:before="111" w:line="219" w:lineRule="auto"/>
        <w:ind w:left="749"/>
        <w:rPr>
          <w:sz w:val="19"/>
          <w:szCs w:val="19"/>
        </w:rPr>
      </w:pPr>
      <w:r>
        <w:rPr>
          <w:spacing w:val="16"/>
          <w:sz w:val="19"/>
          <w:szCs w:val="19"/>
        </w:rPr>
        <w:t>●项目实施过程中投资变动超过批准初步设计概算总投资10%的。</w:t>
      </w:r>
    </w:p>
    <w:p w14:paraId="0A125875">
      <w:pPr>
        <w:spacing w:line="219" w:lineRule="auto"/>
        <w:rPr>
          <w:sz w:val="19"/>
          <w:szCs w:val="19"/>
        </w:rPr>
        <w:sectPr>
          <w:pgSz w:w="10300" w:h="13380"/>
          <w:pgMar w:top="400" w:right="1034" w:bottom="400" w:left="530" w:header="0" w:footer="0" w:gutter="0"/>
          <w:cols w:space="720" w:num="1"/>
        </w:sectPr>
      </w:pPr>
    </w:p>
    <w:p w14:paraId="5F46A1D2">
      <w:pPr>
        <w:spacing w:line="252" w:lineRule="auto"/>
        <w:rPr>
          <w:rFonts w:ascii="Arial"/>
          <w:sz w:val="21"/>
        </w:rPr>
      </w:pPr>
    </w:p>
    <w:p w14:paraId="277BDE71">
      <w:pPr>
        <w:spacing w:line="252" w:lineRule="auto"/>
        <w:rPr>
          <w:rFonts w:ascii="Arial"/>
          <w:sz w:val="21"/>
        </w:rPr>
      </w:pPr>
    </w:p>
    <w:p w14:paraId="5976F672">
      <w:pPr>
        <w:spacing w:line="252" w:lineRule="auto"/>
        <w:rPr>
          <w:rFonts w:ascii="Arial"/>
          <w:sz w:val="21"/>
        </w:rPr>
      </w:pPr>
    </w:p>
    <w:p w14:paraId="213A7711">
      <w:pPr>
        <w:spacing w:before="130" w:line="231" w:lineRule="auto"/>
        <w:rPr>
          <w:sz w:val="40"/>
          <w:szCs w:val="40"/>
        </w:rPr>
      </w:pPr>
      <w:bookmarkStart w:id="693" w:name="bookmark678"/>
      <w:bookmarkEnd w:id="693"/>
      <w:r>
        <w:rPr>
          <w:rFonts w:ascii="黑体" w:hAnsi="黑体" w:eastAsia="黑体" w:cs="黑体"/>
          <w:color w:val="0053E5"/>
          <w:position w:val="-5"/>
          <w:sz w:val="40"/>
          <w:szCs w:val="40"/>
        </w:rPr>
        <w:drawing>
          <wp:inline distT="0" distB="0" distL="0" distR="0">
            <wp:extent cx="647065" cy="266700"/>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259"/>
                    <a:stretch>
                      <a:fillRect/>
                    </a:stretch>
                  </pic:blipFill>
                  <pic:spPr>
                    <a:xfrm>
                      <a:off x="0" y="0"/>
                      <a:ext cx="647664" cy="266709"/>
                    </a:xfrm>
                    <a:prstGeom prst="rect">
                      <a:avLst/>
                    </a:prstGeom>
                  </pic:spPr>
                </pic:pic>
              </a:graphicData>
            </a:graphic>
          </wp:inline>
        </w:drawing>
      </w:r>
      <w:r>
        <w:rPr>
          <w:rFonts w:ascii="黑体" w:hAnsi="黑体" w:eastAsia="黑体" w:cs="黑体"/>
          <w:color w:val="0053E5"/>
          <w:spacing w:val="10"/>
          <w:sz w:val="40"/>
          <w:szCs w:val="40"/>
        </w:rPr>
        <w:t xml:space="preserve">       </w:t>
      </w:r>
      <w:r>
        <w:rPr>
          <w:rFonts w:ascii="黑体" w:hAnsi="黑体" w:eastAsia="黑体" w:cs="黑体"/>
          <w:b/>
          <w:bCs/>
          <w:color w:val="0053E5"/>
          <w:spacing w:val="17"/>
          <w:sz w:val="40"/>
          <w:szCs w:val="40"/>
        </w:rPr>
        <w:t>第18章</w:t>
      </w:r>
      <w:r>
        <w:rPr>
          <w:rFonts w:ascii="黑体" w:hAnsi="黑体" w:eastAsia="黑体" w:cs="黑体"/>
          <w:color w:val="0053E5"/>
          <w:spacing w:val="197"/>
          <w:sz w:val="40"/>
          <w:szCs w:val="40"/>
        </w:rPr>
        <w:t xml:space="preserve"> </w:t>
      </w:r>
      <w:r>
        <w:rPr>
          <w:rFonts w:ascii="黑体" w:hAnsi="黑体" w:eastAsia="黑体" w:cs="黑体"/>
          <w:b/>
          <w:bCs/>
          <w:color w:val="0053E5"/>
          <w:spacing w:val="17"/>
          <w:sz w:val="40"/>
          <w:szCs w:val="40"/>
        </w:rPr>
        <w:t>风险管理</w:t>
      </w:r>
      <w:r>
        <w:rPr>
          <w:rFonts w:ascii="黑体" w:hAnsi="黑体" w:eastAsia="黑体" w:cs="黑体"/>
          <w:color w:val="0053E5"/>
          <w:spacing w:val="7"/>
          <w:sz w:val="40"/>
          <w:szCs w:val="40"/>
        </w:rPr>
        <w:t xml:space="preserve">       </w:t>
      </w:r>
      <w:r>
        <w:rPr>
          <w:position w:val="-5"/>
          <w:sz w:val="40"/>
          <w:szCs w:val="40"/>
        </w:rPr>
        <w:drawing>
          <wp:inline distT="0" distB="0" distL="0" distR="0">
            <wp:extent cx="647700" cy="27241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260"/>
                    <a:stretch>
                      <a:fillRect/>
                    </a:stretch>
                  </pic:blipFill>
                  <pic:spPr>
                    <a:xfrm>
                      <a:off x="0" y="0"/>
                      <a:ext cx="647730" cy="273043"/>
                    </a:xfrm>
                    <a:prstGeom prst="rect">
                      <a:avLst/>
                    </a:prstGeom>
                  </pic:spPr>
                </pic:pic>
              </a:graphicData>
            </a:graphic>
          </wp:inline>
        </w:drawing>
      </w:r>
    </w:p>
    <w:p w14:paraId="3A3280E5">
      <w:pPr>
        <w:spacing w:line="246" w:lineRule="auto"/>
        <w:rPr>
          <w:rFonts w:ascii="Arial"/>
          <w:sz w:val="21"/>
        </w:rPr>
      </w:pPr>
    </w:p>
    <w:p w14:paraId="72599B2B">
      <w:pPr>
        <w:spacing w:line="246" w:lineRule="auto"/>
        <w:rPr>
          <w:rFonts w:ascii="Arial"/>
          <w:sz w:val="21"/>
        </w:rPr>
      </w:pPr>
    </w:p>
    <w:p w14:paraId="61687230">
      <w:pPr>
        <w:spacing w:line="247" w:lineRule="auto"/>
        <w:rPr>
          <w:rFonts w:ascii="Arial"/>
          <w:sz w:val="21"/>
        </w:rPr>
      </w:pPr>
    </w:p>
    <w:p w14:paraId="09D3F4F2">
      <w:pPr>
        <w:pStyle w:val="2"/>
        <w:spacing w:before="62" w:line="296" w:lineRule="auto"/>
        <w:ind w:firstLine="419"/>
        <w:jc w:val="both"/>
        <w:rPr>
          <w:sz w:val="19"/>
          <w:szCs w:val="19"/>
        </w:rPr>
      </w:pPr>
      <w:r>
        <w:rPr>
          <w:spacing w:val="13"/>
          <w:sz w:val="19"/>
          <w:szCs w:val="19"/>
        </w:rPr>
        <w:t>信息系统工程日益复杂，增加了其建设过程中的不确定性，对项目目标产生了影响，甚至</w:t>
      </w:r>
      <w:r>
        <w:rPr>
          <w:spacing w:val="1"/>
          <w:sz w:val="19"/>
          <w:szCs w:val="19"/>
        </w:rPr>
        <w:t xml:space="preserve"> </w:t>
      </w:r>
      <w:r>
        <w:rPr>
          <w:spacing w:val="13"/>
          <w:sz w:val="19"/>
          <w:szCs w:val="19"/>
        </w:rPr>
        <w:t>可能导致项目失败。对风险进行管理，有助于项目目标达成。风险管理是指如何在一个肯定有</w:t>
      </w:r>
      <w:r>
        <w:rPr>
          <w:spacing w:val="15"/>
          <w:sz w:val="19"/>
          <w:szCs w:val="19"/>
        </w:rPr>
        <w:t xml:space="preserve"> </w:t>
      </w:r>
      <w:r>
        <w:rPr>
          <w:spacing w:val="13"/>
          <w:sz w:val="19"/>
          <w:szCs w:val="19"/>
        </w:rPr>
        <w:t xml:space="preserve">风险的环境里把风险可能造成的不良影响减至最低的管理过程。良好的风险管理有助于降低决 </w:t>
      </w:r>
      <w:r>
        <w:rPr>
          <w:spacing w:val="10"/>
          <w:sz w:val="19"/>
          <w:szCs w:val="19"/>
        </w:rPr>
        <w:t>策错误概率、避免可能的损失、相对提高监理质量。信息系统规模越大，越需要进行风险管理，</w:t>
      </w:r>
      <w:r>
        <w:rPr>
          <w:spacing w:val="4"/>
          <w:sz w:val="19"/>
          <w:szCs w:val="19"/>
        </w:rPr>
        <w:t xml:space="preserve"> </w:t>
      </w:r>
      <w:r>
        <w:rPr>
          <w:spacing w:val="9"/>
          <w:sz w:val="19"/>
          <w:szCs w:val="19"/>
        </w:rPr>
        <w:t>监理工程师必须建立风险思维、掌握风险管理技能、密切关注并</w:t>
      </w:r>
      <w:r>
        <w:rPr>
          <w:spacing w:val="8"/>
          <w:sz w:val="19"/>
          <w:szCs w:val="19"/>
        </w:rPr>
        <w:t>协助控制项目风险。</w:t>
      </w:r>
    </w:p>
    <w:p w14:paraId="5BF05A3E">
      <w:pPr>
        <w:spacing w:line="278" w:lineRule="auto"/>
        <w:rPr>
          <w:rFonts w:ascii="Arial"/>
          <w:sz w:val="21"/>
        </w:rPr>
      </w:pPr>
    </w:p>
    <w:p w14:paraId="01C26A3F">
      <w:pPr>
        <w:pStyle w:val="2"/>
        <w:spacing w:before="95" w:line="221" w:lineRule="auto"/>
        <w:ind w:left="3"/>
        <w:rPr>
          <w:rFonts w:ascii="黑体" w:hAnsi="黑体" w:eastAsia="黑体" w:cs="黑体"/>
          <w:sz w:val="29"/>
          <w:szCs w:val="29"/>
        </w:rPr>
      </w:pPr>
      <w:r>
        <w:rPr>
          <w:b/>
          <w:bCs/>
          <w:color w:val="0057DC"/>
          <w:spacing w:val="-16"/>
          <w:sz w:val="29"/>
          <w:szCs w:val="29"/>
        </w:rPr>
        <w:t>18.1</w:t>
      </w:r>
      <w:r>
        <w:rPr>
          <w:color w:val="0057DC"/>
          <w:spacing w:val="15"/>
          <w:sz w:val="29"/>
          <w:szCs w:val="29"/>
        </w:rPr>
        <w:t xml:space="preserve">  </w:t>
      </w:r>
      <w:r>
        <w:rPr>
          <w:rFonts w:ascii="黑体" w:hAnsi="黑体" w:eastAsia="黑体" w:cs="黑体"/>
          <w:b/>
          <w:bCs/>
          <w:color w:val="0057DC"/>
          <w:spacing w:val="-16"/>
          <w:sz w:val="29"/>
          <w:szCs w:val="29"/>
        </w:rPr>
        <w:t>风险管理概述</w:t>
      </w:r>
    </w:p>
    <w:p w14:paraId="7B294463">
      <w:pPr>
        <w:pStyle w:val="2"/>
        <w:spacing w:before="266" w:line="305" w:lineRule="auto"/>
        <w:ind w:firstLine="419"/>
        <w:jc w:val="both"/>
        <w:rPr>
          <w:sz w:val="19"/>
          <w:szCs w:val="19"/>
        </w:rPr>
      </w:pPr>
      <w:r>
        <w:rPr>
          <w:spacing w:val="12"/>
          <w:sz w:val="19"/>
          <w:szCs w:val="19"/>
        </w:rPr>
        <w:t>项目生命周期中有很多不确定性(例如，由于各种内外部因素导致项目无法按照计划实</w:t>
      </w:r>
      <w:r>
        <w:rPr>
          <w:spacing w:val="11"/>
          <w:sz w:val="19"/>
          <w:szCs w:val="19"/>
        </w:rPr>
        <w:t>施、</w:t>
      </w:r>
      <w:r>
        <w:rPr>
          <w:sz w:val="19"/>
          <w:szCs w:val="19"/>
        </w:rPr>
        <w:t xml:space="preserve"> </w:t>
      </w:r>
      <w:r>
        <w:rPr>
          <w:spacing w:val="13"/>
          <w:sz w:val="19"/>
          <w:szCs w:val="19"/>
        </w:rPr>
        <w:t>达到预期目标或满足相关质量要求),一旦发生会对项目目标产生某种正面或负面的影响，这些</w:t>
      </w:r>
      <w:r>
        <w:rPr>
          <w:spacing w:val="2"/>
          <w:sz w:val="19"/>
          <w:szCs w:val="19"/>
        </w:rPr>
        <w:t xml:space="preserve"> </w:t>
      </w:r>
      <w:r>
        <w:rPr>
          <w:spacing w:val="14"/>
          <w:sz w:val="19"/>
          <w:szCs w:val="19"/>
        </w:rPr>
        <w:t>不确定性就是风险。概率与影响是风险的两个核</w:t>
      </w:r>
      <w:r>
        <w:rPr>
          <w:spacing w:val="13"/>
          <w:sz w:val="19"/>
          <w:szCs w:val="19"/>
        </w:rPr>
        <w:t>心属性。概率又称可能性，指某一事件发生的</w:t>
      </w:r>
      <w:r>
        <w:rPr>
          <w:sz w:val="19"/>
          <w:szCs w:val="19"/>
        </w:rPr>
        <w:t xml:space="preserve"> </w:t>
      </w:r>
      <w:r>
        <w:rPr>
          <w:spacing w:val="15"/>
          <w:sz w:val="19"/>
          <w:szCs w:val="19"/>
        </w:rPr>
        <w:t>可能程度。影响，即风险产生的后果，影响可能是消极的(即威胁，妨碍目标的达成),也可能</w:t>
      </w:r>
      <w:r>
        <w:rPr>
          <w:spacing w:val="13"/>
          <w:sz w:val="19"/>
          <w:szCs w:val="19"/>
        </w:rPr>
        <w:t xml:space="preserve"> 是积极的(即机会，促进目标的达成)。</w:t>
      </w:r>
    </w:p>
    <w:p w14:paraId="40DDEB1D">
      <w:pPr>
        <w:pStyle w:val="2"/>
        <w:spacing w:before="19" w:line="219" w:lineRule="auto"/>
        <w:ind w:left="419"/>
        <w:rPr>
          <w:sz w:val="19"/>
          <w:szCs w:val="19"/>
        </w:rPr>
      </w:pPr>
      <w:r>
        <w:rPr>
          <w:spacing w:val="6"/>
          <w:sz w:val="19"/>
          <w:szCs w:val="19"/>
        </w:rPr>
        <w:t>信息系统工程建设项目中常见的风险类型包括：</w:t>
      </w:r>
    </w:p>
    <w:p w14:paraId="011ADD1C">
      <w:pPr>
        <w:pStyle w:val="2"/>
        <w:spacing w:before="95" w:line="255" w:lineRule="auto"/>
        <w:ind w:right="46" w:firstLine="419"/>
        <w:rPr>
          <w:sz w:val="19"/>
          <w:szCs w:val="19"/>
        </w:rPr>
      </w:pPr>
      <w:r>
        <w:rPr>
          <w:spacing w:val="16"/>
          <w:sz w:val="19"/>
          <w:szCs w:val="19"/>
        </w:rPr>
        <w:t>(1)技术风险：是指在项目开发过程中使用的技</w:t>
      </w:r>
      <w:r>
        <w:rPr>
          <w:spacing w:val="15"/>
          <w:sz w:val="19"/>
          <w:szCs w:val="19"/>
        </w:rPr>
        <w:t>术和工具可能导致的问题。例如技术不成</w:t>
      </w:r>
      <w:r>
        <w:rPr>
          <w:sz w:val="19"/>
          <w:szCs w:val="19"/>
        </w:rPr>
        <w:t xml:space="preserve"> </w:t>
      </w:r>
      <w:r>
        <w:rPr>
          <w:spacing w:val="6"/>
          <w:sz w:val="19"/>
          <w:szCs w:val="19"/>
        </w:rPr>
        <w:t>熟、兼容性问题、技术选型错误等。</w:t>
      </w:r>
    </w:p>
    <w:p w14:paraId="19087B49">
      <w:pPr>
        <w:pStyle w:val="2"/>
        <w:spacing w:before="82" w:line="261" w:lineRule="auto"/>
        <w:ind w:right="65" w:firstLine="419"/>
        <w:rPr>
          <w:sz w:val="19"/>
          <w:szCs w:val="19"/>
        </w:rPr>
      </w:pPr>
      <w:r>
        <w:rPr>
          <w:spacing w:val="15"/>
          <w:sz w:val="19"/>
          <w:szCs w:val="19"/>
        </w:rPr>
        <w:t>(2)需求变更风险：是指客户在项目执行过程中提出修改需求，导致项目进度延期、成本</w:t>
      </w:r>
      <w:r>
        <w:rPr>
          <w:spacing w:val="3"/>
          <w:sz w:val="19"/>
          <w:szCs w:val="19"/>
        </w:rPr>
        <w:t xml:space="preserve"> </w:t>
      </w:r>
      <w:r>
        <w:rPr>
          <w:spacing w:val="4"/>
          <w:sz w:val="19"/>
          <w:szCs w:val="19"/>
        </w:rPr>
        <w:t>增加和质量下降的风险。</w:t>
      </w:r>
    </w:p>
    <w:p w14:paraId="59F58855">
      <w:pPr>
        <w:pStyle w:val="2"/>
        <w:spacing w:before="74" w:line="266" w:lineRule="auto"/>
        <w:ind w:right="63" w:firstLine="419"/>
        <w:rPr>
          <w:sz w:val="19"/>
          <w:szCs w:val="19"/>
        </w:rPr>
      </w:pPr>
      <w:r>
        <w:rPr>
          <w:spacing w:val="15"/>
          <w:sz w:val="19"/>
          <w:szCs w:val="19"/>
        </w:rPr>
        <w:t>(3)人力资源风险：是指项目团队成员的离职、招聘、培训以及合作问题等可能对项目产</w:t>
      </w:r>
      <w:r>
        <w:rPr>
          <w:spacing w:val="5"/>
          <w:sz w:val="19"/>
          <w:szCs w:val="19"/>
        </w:rPr>
        <w:t xml:space="preserve"> </w:t>
      </w:r>
      <w:r>
        <w:rPr>
          <w:spacing w:val="6"/>
          <w:sz w:val="19"/>
          <w:szCs w:val="19"/>
        </w:rPr>
        <w:t>生影响的风险。</w:t>
      </w:r>
    </w:p>
    <w:p w14:paraId="0ADE1EC3">
      <w:pPr>
        <w:pStyle w:val="2"/>
        <w:spacing w:before="83" w:line="260" w:lineRule="auto"/>
        <w:ind w:right="64" w:firstLine="419"/>
        <w:rPr>
          <w:sz w:val="19"/>
          <w:szCs w:val="19"/>
        </w:rPr>
      </w:pPr>
      <w:r>
        <w:rPr>
          <w:spacing w:val="15"/>
          <w:sz w:val="19"/>
          <w:szCs w:val="19"/>
        </w:rPr>
        <w:t>(4)管理风险：是指项目过程中实施的管理措施和决策可能导致的问题。例如项目沟通不</w:t>
      </w:r>
      <w:r>
        <w:rPr>
          <w:spacing w:val="4"/>
          <w:sz w:val="19"/>
          <w:szCs w:val="19"/>
        </w:rPr>
        <w:t xml:space="preserve"> </w:t>
      </w:r>
      <w:r>
        <w:rPr>
          <w:spacing w:val="6"/>
          <w:sz w:val="19"/>
          <w:szCs w:val="19"/>
        </w:rPr>
        <w:t>畅、组织结构不合理、领导决策失误等。</w:t>
      </w:r>
    </w:p>
    <w:p w14:paraId="53F5D06E">
      <w:pPr>
        <w:pStyle w:val="2"/>
        <w:spacing w:before="85" w:line="256" w:lineRule="auto"/>
        <w:ind w:right="38" w:firstLine="419"/>
        <w:rPr>
          <w:sz w:val="19"/>
          <w:szCs w:val="19"/>
        </w:rPr>
      </w:pPr>
      <w:r>
        <w:rPr>
          <w:spacing w:val="16"/>
          <w:sz w:val="19"/>
          <w:szCs w:val="19"/>
        </w:rPr>
        <w:t>(5)合同风险：是指由于合同内容不清晰、条款不明确或未履行合</w:t>
      </w:r>
      <w:r>
        <w:rPr>
          <w:spacing w:val="15"/>
          <w:sz w:val="19"/>
          <w:szCs w:val="19"/>
        </w:rPr>
        <w:t>同约定等原因导致项目</w:t>
      </w:r>
      <w:r>
        <w:rPr>
          <w:sz w:val="19"/>
          <w:szCs w:val="19"/>
        </w:rPr>
        <w:t xml:space="preserve"> </w:t>
      </w:r>
      <w:r>
        <w:rPr>
          <w:spacing w:val="4"/>
          <w:sz w:val="19"/>
          <w:szCs w:val="19"/>
        </w:rPr>
        <w:t>风险的增加。</w:t>
      </w:r>
    </w:p>
    <w:p w14:paraId="251F92C4">
      <w:pPr>
        <w:pStyle w:val="2"/>
        <w:spacing w:before="83" w:line="219" w:lineRule="auto"/>
        <w:ind w:left="419"/>
        <w:rPr>
          <w:sz w:val="19"/>
          <w:szCs w:val="19"/>
        </w:rPr>
      </w:pPr>
      <w:r>
        <w:rPr>
          <w:spacing w:val="11"/>
          <w:sz w:val="19"/>
          <w:szCs w:val="19"/>
        </w:rPr>
        <w:t>(6)质量风险：是指质量不满足预期目标，可能导致客户不满意、返工等问题。</w:t>
      </w:r>
    </w:p>
    <w:p w14:paraId="7B420ED3">
      <w:pPr>
        <w:pStyle w:val="2"/>
        <w:spacing w:before="93" w:line="219" w:lineRule="auto"/>
        <w:ind w:left="419"/>
        <w:rPr>
          <w:sz w:val="19"/>
          <w:szCs w:val="19"/>
        </w:rPr>
      </w:pPr>
      <w:r>
        <w:rPr>
          <w:spacing w:val="11"/>
          <w:sz w:val="19"/>
          <w:szCs w:val="19"/>
        </w:rPr>
        <w:t>(7)成本风险：是指成本超出预算或资源浪费，导致项目经济效益受损的风险。</w:t>
      </w:r>
    </w:p>
    <w:p w14:paraId="7668D92D">
      <w:pPr>
        <w:pStyle w:val="2"/>
        <w:spacing w:before="76" w:line="219" w:lineRule="auto"/>
        <w:ind w:left="419"/>
        <w:rPr>
          <w:sz w:val="19"/>
          <w:szCs w:val="19"/>
        </w:rPr>
      </w:pPr>
      <w:r>
        <w:rPr>
          <w:spacing w:val="11"/>
          <w:sz w:val="19"/>
          <w:szCs w:val="19"/>
        </w:rPr>
        <w:t>(8)进度风险：是指建设过程中，可能出现交付延误、未按计划完成等问题。</w:t>
      </w:r>
    </w:p>
    <w:p w14:paraId="4383476D">
      <w:pPr>
        <w:pStyle w:val="2"/>
        <w:spacing w:before="64" w:line="266" w:lineRule="auto"/>
        <w:ind w:right="60" w:firstLine="419"/>
        <w:rPr>
          <w:sz w:val="19"/>
          <w:szCs w:val="19"/>
        </w:rPr>
      </w:pPr>
      <w:r>
        <w:rPr>
          <w:spacing w:val="20"/>
          <w:sz w:val="19"/>
          <w:szCs w:val="19"/>
        </w:rPr>
        <w:t>(9)法律和政策风险：是指建设过程中，法律法规和政策变更等因素可能给项目带来的</w:t>
      </w:r>
      <w:r>
        <w:rPr>
          <w:spacing w:val="18"/>
          <w:sz w:val="19"/>
          <w:szCs w:val="19"/>
        </w:rPr>
        <w:t xml:space="preserve"> </w:t>
      </w:r>
      <w:r>
        <w:rPr>
          <w:spacing w:val="1"/>
          <w:sz w:val="19"/>
          <w:szCs w:val="19"/>
        </w:rPr>
        <w:t>风险。</w:t>
      </w:r>
    </w:p>
    <w:p w14:paraId="4786C70C">
      <w:pPr>
        <w:pStyle w:val="2"/>
        <w:spacing w:before="63" w:line="266" w:lineRule="auto"/>
        <w:ind w:right="59" w:firstLine="419"/>
        <w:rPr>
          <w:sz w:val="19"/>
          <w:szCs w:val="19"/>
        </w:rPr>
      </w:pPr>
      <w:r>
        <w:rPr>
          <w:spacing w:val="13"/>
          <w:sz w:val="19"/>
          <w:szCs w:val="19"/>
        </w:rPr>
        <w:t>(10)外部环境风险：是指自然灾害、市场竞争</w:t>
      </w:r>
      <w:r>
        <w:rPr>
          <w:spacing w:val="12"/>
          <w:sz w:val="19"/>
          <w:szCs w:val="19"/>
        </w:rPr>
        <w:t>、宏观经济环境等因素可能对项目产生影响</w:t>
      </w:r>
      <w:r>
        <w:rPr>
          <w:sz w:val="19"/>
          <w:szCs w:val="19"/>
        </w:rPr>
        <w:t xml:space="preserve"> </w:t>
      </w:r>
      <w:r>
        <w:rPr>
          <w:spacing w:val="3"/>
          <w:sz w:val="19"/>
          <w:szCs w:val="19"/>
        </w:rPr>
        <w:t>的风险。</w:t>
      </w:r>
    </w:p>
    <w:p w14:paraId="03D41263">
      <w:pPr>
        <w:pStyle w:val="2"/>
        <w:spacing w:before="82" w:line="219" w:lineRule="auto"/>
        <w:ind w:left="419"/>
        <w:rPr>
          <w:sz w:val="19"/>
          <w:szCs w:val="19"/>
        </w:rPr>
      </w:pPr>
      <w:r>
        <w:rPr>
          <w:spacing w:val="13"/>
          <w:sz w:val="19"/>
          <w:szCs w:val="19"/>
        </w:rPr>
        <w:t>风险管理就是指通过风险识别、风险分析等认识项目的风险，并以此为基础，合理地采取</w:t>
      </w:r>
    </w:p>
    <w:p w14:paraId="3EEC75ED">
      <w:pPr>
        <w:spacing w:line="219" w:lineRule="auto"/>
        <w:rPr>
          <w:sz w:val="19"/>
          <w:szCs w:val="19"/>
        </w:rPr>
        <w:sectPr>
          <w:pgSz w:w="10290" w:h="13300"/>
          <w:pgMar w:top="400" w:right="804" w:bottom="400" w:left="1080" w:header="0" w:footer="0" w:gutter="0"/>
          <w:cols w:space="720" w:num="1"/>
        </w:sectPr>
      </w:pPr>
    </w:p>
    <w:p w14:paraId="1DDDE5A8">
      <w:pPr>
        <w:pStyle w:val="2"/>
        <w:spacing w:before="10"/>
        <w:rPr>
          <w:sz w:val="19"/>
          <w:szCs w:val="19"/>
        </w:rPr>
      </w:pPr>
      <w:r>
        <w:rPr>
          <w:rFonts w:ascii="Times New Roman" w:hAnsi="Times New Roman" w:eastAsia="Times New Roman" w:cs="Times New Roman"/>
          <w:b/>
          <w:bCs/>
          <w:spacing w:val="4"/>
          <w:position w:val="-1"/>
          <w:sz w:val="19"/>
          <w:szCs w:val="19"/>
        </w:rPr>
        <w:t xml:space="preserve">396 </w:t>
      </w:r>
      <w:r>
        <w:rPr>
          <w:position w:val="-8"/>
          <w:sz w:val="19"/>
          <w:szCs w:val="19"/>
        </w:rPr>
        <w:drawing>
          <wp:inline distT="0" distB="0" distL="0" distR="0">
            <wp:extent cx="278765" cy="196215"/>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261"/>
                    <a:stretch>
                      <a:fillRect/>
                    </a:stretch>
                  </pic:blipFill>
                  <pic:spPr>
                    <a:xfrm>
                      <a:off x="0" y="0"/>
                      <a:ext cx="279344" cy="196797"/>
                    </a:xfrm>
                    <a:prstGeom prst="rect">
                      <a:avLst/>
                    </a:prstGeom>
                  </pic:spPr>
                </pic:pic>
              </a:graphicData>
            </a:graphic>
          </wp:inline>
        </w:drawing>
      </w:r>
      <w:r>
        <w:rPr>
          <w:rFonts w:ascii="Times New Roman" w:hAnsi="Times New Roman" w:eastAsia="Times New Roman" w:cs="Times New Roman"/>
          <w:b/>
          <w:bCs/>
          <w:spacing w:val="16"/>
          <w:position w:val="-1"/>
          <w:sz w:val="19"/>
          <w:szCs w:val="19"/>
        </w:rPr>
        <w:t xml:space="preserve">   </w:t>
      </w:r>
      <w:r>
        <w:rPr>
          <w:spacing w:val="4"/>
          <w:sz w:val="19"/>
          <w:szCs w:val="19"/>
        </w:rPr>
        <w:t>信息系统监理师教程(第2版)</w:t>
      </w:r>
    </w:p>
    <w:p w14:paraId="7E74A60A">
      <w:pPr>
        <w:spacing w:line="294" w:lineRule="auto"/>
        <w:rPr>
          <w:rFonts w:ascii="Arial"/>
          <w:sz w:val="21"/>
        </w:rPr>
      </w:pPr>
    </w:p>
    <w:p w14:paraId="5C1774D0">
      <w:pPr>
        <w:pStyle w:val="2"/>
        <w:spacing w:before="62" w:line="307" w:lineRule="auto"/>
        <w:ind w:left="349" w:right="66"/>
        <w:rPr>
          <w:sz w:val="19"/>
          <w:szCs w:val="19"/>
        </w:rPr>
      </w:pPr>
      <w:r>
        <w:rPr>
          <w:spacing w:val="13"/>
          <w:sz w:val="19"/>
          <w:szCs w:val="19"/>
        </w:rPr>
        <w:t>各种风险应对措施、管理方法和技术，对风险实行有效的管</w:t>
      </w:r>
      <w:r>
        <w:rPr>
          <w:spacing w:val="12"/>
          <w:sz w:val="19"/>
          <w:szCs w:val="19"/>
        </w:rPr>
        <w:t>控，利用或强化正面风险，规避或</w:t>
      </w:r>
      <w:r>
        <w:rPr>
          <w:sz w:val="19"/>
          <w:szCs w:val="19"/>
        </w:rPr>
        <w:t xml:space="preserve"> </w:t>
      </w:r>
      <w:r>
        <w:rPr>
          <w:spacing w:val="7"/>
          <w:sz w:val="19"/>
          <w:szCs w:val="19"/>
        </w:rPr>
        <w:t>减轻负面风险，从而达到项目的最大收益。</w:t>
      </w:r>
    </w:p>
    <w:p w14:paraId="31B6EE82">
      <w:pPr>
        <w:spacing w:line="259" w:lineRule="auto"/>
        <w:rPr>
          <w:rFonts w:ascii="Arial"/>
          <w:sz w:val="21"/>
        </w:rPr>
      </w:pPr>
    </w:p>
    <w:p w14:paraId="563CBFCB">
      <w:pPr>
        <w:pStyle w:val="2"/>
        <w:spacing w:before="95" w:line="222" w:lineRule="auto"/>
        <w:ind w:left="353"/>
        <w:rPr>
          <w:rFonts w:ascii="黑体" w:hAnsi="黑体" w:eastAsia="黑体" w:cs="黑体"/>
          <w:sz w:val="29"/>
          <w:szCs w:val="29"/>
        </w:rPr>
      </w:pPr>
      <w:r>
        <w:rPr>
          <w:b/>
          <w:bCs/>
          <w:color w:val="0071E2"/>
          <w:spacing w:val="-13"/>
          <w:sz w:val="29"/>
          <w:szCs w:val="29"/>
        </w:rPr>
        <w:t>18.2</w:t>
      </w:r>
      <w:r>
        <w:rPr>
          <w:color w:val="0071E2"/>
          <w:spacing w:val="-13"/>
          <w:sz w:val="29"/>
          <w:szCs w:val="29"/>
        </w:rPr>
        <w:t xml:space="preserve">  </w:t>
      </w:r>
      <w:r>
        <w:rPr>
          <w:rFonts w:ascii="黑体" w:hAnsi="黑体" w:eastAsia="黑体" w:cs="黑体"/>
          <w:b/>
          <w:bCs/>
          <w:color w:val="0071E2"/>
          <w:spacing w:val="-13"/>
          <w:sz w:val="29"/>
          <w:szCs w:val="29"/>
        </w:rPr>
        <w:t>风险管理过程</w:t>
      </w:r>
    </w:p>
    <w:p w14:paraId="78EFD047">
      <w:pPr>
        <w:pStyle w:val="2"/>
        <w:spacing w:before="261" w:line="303" w:lineRule="auto"/>
        <w:ind w:left="349" w:firstLine="399"/>
        <w:jc w:val="both"/>
        <w:rPr>
          <w:sz w:val="19"/>
          <w:szCs w:val="19"/>
        </w:rPr>
      </w:pPr>
      <w:r>
        <w:rPr>
          <w:spacing w:val="9"/>
          <w:sz w:val="19"/>
          <w:szCs w:val="19"/>
        </w:rPr>
        <w:t>项目风险管理流程一般包括风险规划、风险识别、风险分析、风险应对、风险监控等活动。</w:t>
      </w:r>
      <w:r>
        <w:rPr>
          <w:spacing w:val="14"/>
          <w:sz w:val="19"/>
          <w:szCs w:val="19"/>
        </w:rPr>
        <w:t xml:space="preserve"> </w:t>
      </w:r>
      <w:r>
        <w:rPr>
          <w:spacing w:val="13"/>
          <w:sz w:val="19"/>
          <w:szCs w:val="19"/>
        </w:rPr>
        <w:t>风险管理应贯穿整个项目生命周期，与项目管理其他过程</w:t>
      </w:r>
      <w:r>
        <w:rPr>
          <w:spacing w:val="12"/>
          <w:sz w:val="19"/>
          <w:szCs w:val="19"/>
        </w:rPr>
        <w:t>相结合，并应使所有的利益相关者都</w:t>
      </w:r>
      <w:r>
        <w:rPr>
          <w:sz w:val="19"/>
          <w:szCs w:val="19"/>
        </w:rPr>
        <w:t xml:space="preserve"> </w:t>
      </w:r>
      <w:r>
        <w:rPr>
          <w:spacing w:val="1"/>
          <w:sz w:val="19"/>
          <w:szCs w:val="19"/>
        </w:rPr>
        <w:t>能积极参与其中。</w:t>
      </w:r>
    </w:p>
    <w:p w14:paraId="2622447A">
      <w:pPr>
        <w:pStyle w:val="2"/>
        <w:spacing w:before="25" w:line="219" w:lineRule="auto"/>
        <w:ind w:left="749"/>
        <w:rPr>
          <w:sz w:val="19"/>
          <w:szCs w:val="19"/>
        </w:rPr>
      </w:pPr>
      <w:r>
        <w:rPr>
          <w:spacing w:val="11"/>
          <w:sz w:val="19"/>
          <w:szCs w:val="19"/>
        </w:rPr>
        <w:t>(1)风险规划：定义如何实施项目风险管理活动。</w:t>
      </w:r>
    </w:p>
    <w:p w14:paraId="1BBFA387">
      <w:pPr>
        <w:pStyle w:val="2"/>
        <w:spacing w:before="95" w:line="219" w:lineRule="auto"/>
        <w:ind w:left="749"/>
        <w:rPr>
          <w:sz w:val="19"/>
          <w:szCs w:val="19"/>
        </w:rPr>
      </w:pPr>
      <w:r>
        <w:rPr>
          <w:spacing w:val="11"/>
          <w:sz w:val="19"/>
          <w:szCs w:val="19"/>
        </w:rPr>
        <w:t>(2)风险识别：识别单个项目风险及整体项目风险的来源，并</w:t>
      </w:r>
      <w:r>
        <w:rPr>
          <w:spacing w:val="10"/>
          <w:sz w:val="19"/>
          <w:szCs w:val="19"/>
        </w:rPr>
        <w:t>记录风险特征。</w:t>
      </w:r>
    </w:p>
    <w:p w14:paraId="5F1913E7">
      <w:pPr>
        <w:pStyle w:val="2"/>
        <w:spacing w:before="82" w:line="281" w:lineRule="auto"/>
        <w:ind w:left="349" w:right="66" w:firstLine="399"/>
        <w:rPr>
          <w:sz w:val="19"/>
          <w:szCs w:val="19"/>
        </w:rPr>
      </w:pPr>
      <w:r>
        <w:rPr>
          <w:spacing w:val="15"/>
          <w:sz w:val="19"/>
          <w:szCs w:val="19"/>
        </w:rPr>
        <w:t>(3)风险分析：包含定性分析和定量分析。定性分析指通过评估单个项目</w:t>
      </w:r>
      <w:r>
        <w:rPr>
          <w:spacing w:val="14"/>
          <w:sz w:val="19"/>
          <w:szCs w:val="19"/>
        </w:rPr>
        <w:t>风险发生的概率</w:t>
      </w:r>
      <w:r>
        <w:rPr>
          <w:sz w:val="19"/>
          <w:szCs w:val="19"/>
        </w:rPr>
        <w:t xml:space="preserve"> </w:t>
      </w:r>
      <w:r>
        <w:rPr>
          <w:spacing w:val="13"/>
          <w:sz w:val="19"/>
          <w:szCs w:val="19"/>
        </w:rPr>
        <w:t>和影响以及特征对风险进行优先级排序；定量分析指对已</w:t>
      </w:r>
      <w:r>
        <w:rPr>
          <w:spacing w:val="12"/>
          <w:sz w:val="19"/>
          <w:szCs w:val="19"/>
        </w:rPr>
        <w:t>识别的项目风险统计可量化数据并建</w:t>
      </w:r>
      <w:r>
        <w:rPr>
          <w:sz w:val="19"/>
          <w:szCs w:val="19"/>
        </w:rPr>
        <w:t xml:space="preserve"> </w:t>
      </w:r>
      <w:r>
        <w:rPr>
          <w:spacing w:val="4"/>
          <w:sz w:val="19"/>
          <w:szCs w:val="19"/>
        </w:rPr>
        <w:t>立数学模型进行分析。</w:t>
      </w:r>
    </w:p>
    <w:p w14:paraId="75A42AFE">
      <w:pPr>
        <w:pStyle w:val="2"/>
        <w:spacing w:before="85" w:line="219" w:lineRule="auto"/>
        <w:ind w:left="749"/>
        <w:rPr>
          <w:sz w:val="19"/>
          <w:szCs w:val="19"/>
        </w:rPr>
      </w:pPr>
      <w:r>
        <w:rPr>
          <w:spacing w:val="11"/>
          <w:sz w:val="19"/>
          <w:szCs w:val="19"/>
        </w:rPr>
        <w:t>(4)风险应对：对已识别的单个或整体项目风险选择应对策略并</w:t>
      </w:r>
      <w:r>
        <w:rPr>
          <w:spacing w:val="10"/>
          <w:sz w:val="19"/>
          <w:szCs w:val="19"/>
        </w:rPr>
        <w:t>商定应对措施。</w:t>
      </w:r>
    </w:p>
    <w:p w14:paraId="6E2A4C3F">
      <w:pPr>
        <w:pStyle w:val="2"/>
        <w:spacing w:before="73" w:line="269" w:lineRule="auto"/>
        <w:ind w:left="349" w:right="67" w:firstLine="399"/>
        <w:rPr>
          <w:sz w:val="19"/>
          <w:szCs w:val="19"/>
        </w:rPr>
      </w:pPr>
      <w:r>
        <w:rPr>
          <w:spacing w:val="15"/>
          <w:sz w:val="19"/>
          <w:szCs w:val="19"/>
        </w:rPr>
        <w:t>(5)风险监控：在整个项目期间，监督风险应对计划的实施、跟踪已识</w:t>
      </w:r>
      <w:r>
        <w:rPr>
          <w:spacing w:val="14"/>
          <w:sz w:val="19"/>
          <w:szCs w:val="19"/>
        </w:rPr>
        <w:t>别风险、识别和分</w:t>
      </w:r>
      <w:r>
        <w:rPr>
          <w:sz w:val="19"/>
          <w:szCs w:val="19"/>
        </w:rPr>
        <w:t xml:space="preserve"> </w:t>
      </w:r>
      <w:r>
        <w:rPr>
          <w:spacing w:val="5"/>
          <w:sz w:val="19"/>
          <w:szCs w:val="19"/>
        </w:rPr>
        <w:t>析新风险、评估风险管理的有效性。</w:t>
      </w:r>
    </w:p>
    <w:p w14:paraId="1F24092D">
      <w:pPr>
        <w:pStyle w:val="2"/>
        <w:spacing w:before="86" w:line="219" w:lineRule="auto"/>
        <w:ind w:left="749"/>
        <w:rPr>
          <w:sz w:val="19"/>
          <w:szCs w:val="19"/>
        </w:rPr>
      </w:pPr>
      <w:r>
        <w:rPr>
          <w:spacing w:val="10"/>
          <w:sz w:val="19"/>
          <w:szCs w:val="19"/>
        </w:rPr>
        <w:t>以上各个过程会相互交叠和相互作用，如图18-1所示概括了项目风险管理</w:t>
      </w:r>
      <w:r>
        <w:rPr>
          <w:spacing w:val="9"/>
          <w:sz w:val="19"/>
          <w:szCs w:val="19"/>
        </w:rPr>
        <w:t>的各个过程。</w:t>
      </w:r>
    </w:p>
    <w:p w14:paraId="7917CCDD">
      <w:pPr>
        <w:pStyle w:val="2"/>
        <w:spacing w:before="267" w:line="220" w:lineRule="auto"/>
        <w:ind w:left="1589"/>
        <w:rPr>
          <w:sz w:val="19"/>
          <w:szCs w:val="19"/>
        </w:rPr>
      </w:pPr>
      <w:r>
        <w:pict>
          <v:shape id="_x0000_s1557" o:spid="_x0000_s1557" o:spt="202" type="#_x0000_t202" style="position:absolute;left:0pt;margin-left:142.5pt;margin-top:12.3pt;height:13.35pt;width:36.75pt;z-index:251791360;mso-width-relative:page;mso-height-relative:page;" filled="f" stroked="f" coordsize="21600,21600">
            <v:path/>
            <v:fill on="f" focussize="0,0"/>
            <v:stroke on="f"/>
            <v:imagedata o:title=""/>
            <o:lock v:ext="edit" aspectratio="f"/>
            <v:textbox inset="0mm,0mm,0mm,0mm">
              <w:txbxContent>
                <w:p w14:paraId="363B64DA">
                  <w:pPr>
                    <w:pStyle w:val="2"/>
                    <w:spacing w:before="20" w:line="220" w:lineRule="auto"/>
                    <w:ind w:left="20"/>
                    <w:rPr>
                      <w:sz w:val="19"/>
                      <w:szCs w:val="19"/>
                    </w:rPr>
                  </w:pPr>
                  <w:r>
                    <w:rPr>
                      <w:spacing w:val="-13"/>
                      <w:sz w:val="19"/>
                      <w:szCs w:val="19"/>
                    </w:rPr>
                    <w:t>风险识别</w:t>
                  </w:r>
                </w:p>
              </w:txbxContent>
            </v:textbox>
          </v:shape>
        </w:pict>
      </w:r>
      <w:r>
        <w:pict>
          <v:shape id="_x0000_s1558" o:spid="_x0000_s1558" o:spt="202" type="#_x0000_t202" style="position:absolute;left:0pt;margin-left:205.5pt;margin-top:12.8pt;height:13.35pt;width:36.9pt;z-index:251790336;mso-width-relative:page;mso-height-relative:page;" filled="f" stroked="f" coordsize="21600,21600">
            <v:path/>
            <v:fill on="f" focussize="0,0"/>
            <v:stroke on="f"/>
            <v:imagedata o:title=""/>
            <o:lock v:ext="edit" aspectratio="f"/>
            <v:textbox inset="0mm,0mm,0mm,0mm">
              <w:txbxContent>
                <w:p w14:paraId="4B9EEC5A">
                  <w:pPr>
                    <w:pStyle w:val="2"/>
                    <w:spacing w:before="20" w:line="220" w:lineRule="auto"/>
                    <w:ind w:left="20"/>
                    <w:rPr>
                      <w:sz w:val="19"/>
                      <w:szCs w:val="19"/>
                    </w:rPr>
                  </w:pPr>
                  <w:r>
                    <w:rPr>
                      <w:spacing w:val="-12"/>
                      <w:sz w:val="19"/>
                      <w:szCs w:val="19"/>
                    </w:rPr>
                    <w:t>风险分析</w:t>
                  </w:r>
                </w:p>
              </w:txbxContent>
            </v:textbox>
          </v:shape>
        </w:pict>
      </w:r>
      <w:r>
        <w:pict>
          <v:shape id="_x0000_s1559" o:spid="_x0000_s1559" o:spt="202" type="#_x0000_t202" style="position:absolute;left:0pt;margin-left:269.45pt;margin-top:12.8pt;height:13.35pt;width:36.4pt;z-index:251792384;mso-width-relative:page;mso-height-relative:page;" filled="f" stroked="f" coordsize="21600,21600">
            <v:path/>
            <v:fill on="f" focussize="0,0"/>
            <v:stroke on="f"/>
            <v:imagedata o:title=""/>
            <o:lock v:ext="edit" aspectratio="f"/>
            <v:textbox inset="0mm,0mm,0mm,0mm">
              <w:txbxContent>
                <w:p w14:paraId="1B5548C6">
                  <w:pPr>
                    <w:pStyle w:val="2"/>
                    <w:spacing w:before="20" w:line="220" w:lineRule="auto"/>
                    <w:ind w:right="1"/>
                    <w:jc w:val="right"/>
                    <w:rPr>
                      <w:sz w:val="19"/>
                      <w:szCs w:val="19"/>
                    </w:rPr>
                  </w:pPr>
                  <w:r>
                    <w:rPr>
                      <w:spacing w:val="-15"/>
                      <w:sz w:val="19"/>
                      <w:szCs w:val="19"/>
                    </w:rPr>
                    <w:t>风险应</w:t>
                  </w:r>
                  <w:r>
                    <w:rPr>
                      <w:spacing w:val="-11"/>
                      <w:sz w:val="19"/>
                      <w:szCs w:val="19"/>
                    </w:rPr>
                    <w:t>对</w:t>
                  </w:r>
                </w:p>
              </w:txbxContent>
            </v:textbox>
          </v:shape>
        </w:pict>
      </w:r>
      <w:r>
        <w:pict>
          <v:shape id="_x0000_s1560" o:spid="_x0000_s1560" o:spt="202" type="#_x0000_t202" style="position:absolute;left:0pt;margin-left:333.45pt;margin-top:12.8pt;height:13.35pt;width:36.9pt;z-index:251789312;mso-width-relative:page;mso-height-relative:page;" filled="f" stroked="f" coordsize="21600,21600">
            <v:path/>
            <v:fill on="f" focussize="0,0"/>
            <v:stroke on="f"/>
            <v:imagedata o:title=""/>
            <o:lock v:ext="edit" aspectratio="f"/>
            <v:textbox inset="0mm,0mm,0mm,0mm">
              <w:txbxContent>
                <w:p w14:paraId="3376691F">
                  <w:pPr>
                    <w:pStyle w:val="2"/>
                    <w:spacing w:before="20" w:line="220" w:lineRule="auto"/>
                    <w:ind w:left="20"/>
                    <w:rPr>
                      <w:sz w:val="19"/>
                      <w:szCs w:val="19"/>
                    </w:rPr>
                  </w:pPr>
                  <w:r>
                    <w:rPr>
                      <w:spacing w:val="-12"/>
                      <w:sz w:val="19"/>
                      <w:szCs w:val="19"/>
                    </w:rPr>
                    <w:t>风险监控</w:t>
                  </w:r>
                </w:p>
              </w:txbxContent>
            </v:textbox>
          </v:shape>
        </w:pict>
      </w:r>
      <w:r>
        <w:drawing>
          <wp:anchor distT="0" distB="0" distL="0" distR="0" simplePos="0" relativeHeight="251788288" behindDoc="1" locked="0" layoutInCell="1" allowOverlap="1">
            <wp:simplePos x="0" y="0"/>
            <wp:positionH relativeFrom="column">
              <wp:posOffset>697865</wp:posOffset>
            </wp:positionH>
            <wp:positionV relativeFrom="paragraph">
              <wp:posOffset>80645</wp:posOffset>
            </wp:positionV>
            <wp:extent cx="4305300" cy="50165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262"/>
                    <a:stretch>
                      <a:fillRect/>
                    </a:stretch>
                  </pic:blipFill>
                  <pic:spPr>
                    <a:xfrm>
                      <a:off x="0" y="0"/>
                      <a:ext cx="4305283" cy="501671"/>
                    </a:xfrm>
                    <a:prstGeom prst="rect">
                      <a:avLst/>
                    </a:prstGeom>
                  </pic:spPr>
                </pic:pic>
              </a:graphicData>
            </a:graphic>
          </wp:anchor>
        </w:drawing>
      </w:r>
      <w:r>
        <w:rPr>
          <w:spacing w:val="-13"/>
          <w:sz w:val="19"/>
          <w:szCs w:val="19"/>
        </w:rPr>
        <w:t>风险规划</w:t>
      </w:r>
    </w:p>
    <w:p w14:paraId="55DE7241">
      <w:pPr>
        <w:spacing w:line="244" w:lineRule="auto"/>
        <w:rPr>
          <w:rFonts w:ascii="Arial"/>
          <w:sz w:val="21"/>
        </w:rPr>
      </w:pPr>
    </w:p>
    <w:p w14:paraId="7CE1CD39">
      <w:pPr>
        <w:spacing w:line="244" w:lineRule="auto"/>
        <w:rPr>
          <w:rFonts w:ascii="Arial"/>
          <w:sz w:val="21"/>
        </w:rPr>
      </w:pPr>
    </w:p>
    <w:p w14:paraId="585F9156">
      <w:pPr>
        <w:pStyle w:val="2"/>
        <w:spacing w:before="62" w:line="219" w:lineRule="auto"/>
        <w:ind w:left="3439"/>
        <w:rPr>
          <w:sz w:val="19"/>
          <w:szCs w:val="19"/>
        </w:rPr>
      </w:pPr>
      <w:r>
        <w:rPr>
          <w:spacing w:val="-7"/>
          <w:sz w:val="19"/>
          <w:szCs w:val="19"/>
        </w:rPr>
        <w:t>图18-1</w:t>
      </w:r>
      <w:r>
        <w:rPr>
          <w:spacing w:val="61"/>
          <w:sz w:val="19"/>
          <w:szCs w:val="19"/>
        </w:rPr>
        <w:t xml:space="preserve"> </w:t>
      </w:r>
      <w:r>
        <w:rPr>
          <w:spacing w:val="-7"/>
          <w:sz w:val="19"/>
          <w:szCs w:val="19"/>
        </w:rPr>
        <w:t>项目风险管理流程</w:t>
      </w:r>
    </w:p>
    <w:p w14:paraId="39238D60">
      <w:pPr>
        <w:spacing w:line="268" w:lineRule="auto"/>
        <w:rPr>
          <w:rFonts w:ascii="Arial"/>
          <w:sz w:val="21"/>
        </w:rPr>
      </w:pPr>
    </w:p>
    <w:p w14:paraId="77D273D3">
      <w:pPr>
        <w:pStyle w:val="2"/>
        <w:spacing w:before="85" w:line="220" w:lineRule="auto"/>
        <w:ind w:left="352"/>
        <w:rPr>
          <w:sz w:val="26"/>
          <w:szCs w:val="26"/>
        </w:rPr>
      </w:pPr>
      <w:r>
        <w:rPr>
          <w:b/>
          <w:bCs/>
          <w:color w:val="0071E2"/>
          <w:spacing w:val="-25"/>
          <w:sz w:val="26"/>
          <w:szCs w:val="26"/>
        </w:rPr>
        <w:t>18.2.1</w:t>
      </w:r>
      <w:r>
        <w:rPr>
          <w:color w:val="0071E2"/>
          <w:spacing w:val="83"/>
          <w:sz w:val="26"/>
          <w:szCs w:val="26"/>
        </w:rPr>
        <w:t xml:space="preserve"> </w:t>
      </w:r>
      <w:r>
        <w:rPr>
          <w:b/>
          <w:bCs/>
          <w:color w:val="0071E2"/>
          <w:spacing w:val="-25"/>
          <w:sz w:val="26"/>
          <w:szCs w:val="26"/>
        </w:rPr>
        <w:t>风险规划</w:t>
      </w:r>
    </w:p>
    <w:p w14:paraId="64EBE864">
      <w:pPr>
        <w:pStyle w:val="2"/>
        <w:spacing w:before="158" w:line="302" w:lineRule="auto"/>
        <w:ind w:left="349" w:right="63" w:firstLine="399"/>
        <w:jc w:val="both"/>
        <w:rPr>
          <w:sz w:val="19"/>
          <w:szCs w:val="19"/>
        </w:rPr>
      </w:pPr>
      <w:r>
        <w:rPr>
          <w:spacing w:val="13"/>
          <w:sz w:val="19"/>
          <w:szCs w:val="19"/>
        </w:rPr>
        <w:t>风险规划的目的在于建立一个风险管理过程，为项目制定整体风险管理</w:t>
      </w:r>
      <w:r>
        <w:rPr>
          <w:spacing w:val="12"/>
          <w:sz w:val="19"/>
          <w:szCs w:val="19"/>
        </w:rPr>
        <w:t>策略，决定风险管</w:t>
      </w:r>
      <w:r>
        <w:rPr>
          <w:sz w:val="19"/>
          <w:szCs w:val="19"/>
        </w:rPr>
        <w:t xml:space="preserve"> </w:t>
      </w:r>
      <w:r>
        <w:rPr>
          <w:spacing w:val="13"/>
          <w:sz w:val="19"/>
          <w:szCs w:val="19"/>
        </w:rPr>
        <w:t>理过程将被如何执行，并将风险管理和其他所有项目管理活动整合</w:t>
      </w:r>
      <w:r>
        <w:rPr>
          <w:spacing w:val="12"/>
          <w:sz w:val="19"/>
          <w:szCs w:val="19"/>
        </w:rPr>
        <w:t>起来。风险管理规划需确定</w:t>
      </w:r>
      <w:r>
        <w:rPr>
          <w:sz w:val="19"/>
          <w:szCs w:val="19"/>
        </w:rPr>
        <w:t xml:space="preserve"> </w:t>
      </w:r>
      <w:r>
        <w:rPr>
          <w:spacing w:val="8"/>
          <w:sz w:val="19"/>
          <w:szCs w:val="19"/>
        </w:rPr>
        <w:t>执行风险管理的人员、分配所需资源，并定义沟通和协调机制。</w:t>
      </w:r>
    </w:p>
    <w:p w14:paraId="6234BD1C">
      <w:pPr>
        <w:pStyle w:val="2"/>
        <w:spacing w:before="20" w:line="292" w:lineRule="auto"/>
        <w:ind w:left="349" w:right="46" w:firstLine="399"/>
        <w:jc w:val="both"/>
        <w:rPr>
          <w:sz w:val="19"/>
          <w:szCs w:val="19"/>
        </w:rPr>
      </w:pPr>
      <w:r>
        <w:rPr>
          <w:spacing w:val="13"/>
          <w:sz w:val="19"/>
          <w:szCs w:val="19"/>
        </w:rPr>
        <w:t>开展项目风险规划是进行项目风险管理的首要步骤，也是项目风险</w:t>
      </w:r>
      <w:r>
        <w:rPr>
          <w:spacing w:val="12"/>
          <w:sz w:val="19"/>
          <w:szCs w:val="19"/>
        </w:rPr>
        <w:t>管理目标能否实现的关</w:t>
      </w:r>
      <w:r>
        <w:rPr>
          <w:sz w:val="19"/>
          <w:szCs w:val="19"/>
        </w:rPr>
        <w:t xml:space="preserve"> </w:t>
      </w:r>
      <w:r>
        <w:rPr>
          <w:spacing w:val="13"/>
          <w:sz w:val="19"/>
          <w:szCs w:val="19"/>
        </w:rPr>
        <w:t>键要素，应在项目启动前或项目初期就开始。如果项目后期发生重大变更时，需要重新进行风</w:t>
      </w:r>
      <w:r>
        <w:rPr>
          <w:spacing w:val="4"/>
          <w:sz w:val="19"/>
          <w:szCs w:val="19"/>
        </w:rPr>
        <w:t xml:space="preserve"> 险管理规划。</w:t>
      </w:r>
    </w:p>
    <w:p w14:paraId="0A0149F7">
      <w:pPr>
        <w:pStyle w:val="2"/>
        <w:spacing w:before="28" w:line="219" w:lineRule="auto"/>
        <w:ind w:left="749"/>
        <w:rPr>
          <w:sz w:val="19"/>
          <w:szCs w:val="19"/>
        </w:rPr>
      </w:pPr>
      <w:r>
        <w:rPr>
          <w:spacing w:val="5"/>
          <w:sz w:val="19"/>
          <w:szCs w:val="19"/>
        </w:rPr>
        <w:t>项目风险规划应遵循以下原则：</w:t>
      </w:r>
    </w:p>
    <w:p w14:paraId="4F9A276C">
      <w:pPr>
        <w:pStyle w:val="2"/>
        <w:spacing w:before="85" w:line="264" w:lineRule="auto"/>
        <w:ind w:left="1029" w:right="63" w:hanging="280"/>
        <w:rPr>
          <w:sz w:val="19"/>
          <w:szCs w:val="19"/>
        </w:rPr>
      </w:pPr>
      <w:r>
        <w:rPr>
          <w:spacing w:val="13"/>
          <w:sz w:val="19"/>
          <w:szCs w:val="19"/>
        </w:rPr>
        <w:t>●全面性原则：项目各阶段的主要风险以及风险事件的后果是不同的，应从</w:t>
      </w:r>
      <w:r>
        <w:rPr>
          <w:spacing w:val="12"/>
          <w:sz w:val="19"/>
          <w:szCs w:val="19"/>
        </w:rPr>
        <w:t>各阶段的典型</w:t>
      </w:r>
      <w:r>
        <w:rPr>
          <w:sz w:val="19"/>
          <w:szCs w:val="19"/>
        </w:rPr>
        <w:t xml:space="preserve"> </w:t>
      </w:r>
      <w:r>
        <w:rPr>
          <w:spacing w:val="5"/>
          <w:sz w:val="19"/>
          <w:szCs w:val="19"/>
        </w:rPr>
        <w:t>风险出发，全面考虑各类风险；</w:t>
      </w:r>
    </w:p>
    <w:p w14:paraId="5647FDB9">
      <w:pPr>
        <w:pStyle w:val="2"/>
        <w:spacing w:before="76" w:line="270" w:lineRule="auto"/>
        <w:ind w:left="1029" w:right="63" w:hanging="280"/>
        <w:rPr>
          <w:sz w:val="19"/>
          <w:szCs w:val="19"/>
        </w:rPr>
      </w:pPr>
      <w:r>
        <w:rPr>
          <w:spacing w:val="13"/>
          <w:sz w:val="19"/>
          <w:szCs w:val="19"/>
        </w:rPr>
        <w:t>●灵活性原则：项目风险规划难以充分地预料到所有风险，故在规划时就</w:t>
      </w:r>
      <w:r>
        <w:rPr>
          <w:spacing w:val="12"/>
          <w:sz w:val="19"/>
          <w:szCs w:val="19"/>
        </w:rPr>
        <w:t>应保证一定的灵</w:t>
      </w:r>
      <w:r>
        <w:rPr>
          <w:sz w:val="19"/>
          <w:szCs w:val="19"/>
        </w:rPr>
        <w:t xml:space="preserve"> </w:t>
      </w:r>
      <w:r>
        <w:rPr>
          <w:spacing w:val="6"/>
          <w:sz w:val="19"/>
          <w:szCs w:val="19"/>
        </w:rPr>
        <w:t>活性，能够随时根据实际变化进行调整；</w:t>
      </w:r>
    </w:p>
    <w:p w14:paraId="4FF6CFC1">
      <w:pPr>
        <w:pStyle w:val="2"/>
        <w:spacing w:before="95" w:line="260" w:lineRule="auto"/>
        <w:ind w:left="749" w:right="1140"/>
        <w:rPr>
          <w:sz w:val="19"/>
          <w:szCs w:val="19"/>
        </w:rPr>
      </w:pPr>
      <w:r>
        <w:rPr>
          <w:spacing w:val="11"/>
          <w:sz w:val="19"/>
          <w:szCs w:val="19"/>
        </w:rPr>
        <w:t>●职责的明确性原则：项目风险规划应明确从事项目风险管理的人员与职责。</w:t>
      </w:r>
      <w:r>
        <w:rPr>
          <w:sz w:val="19"/>
          <w:szCs w:val="19"/>
        </w:rPr>
        <w:t xml:space="preserve"> </w:t>
      </w:r>
      <w:r>
        <w:rPr>
          <w:spacing w:val="10"/>
          <w:sz w:val="19"/>
          <w:szCs w:val="19"/>
        </w:rPr>
        <w:t>风险规划过程的主要内容如图18-2所示。</w:t>
      </w:r>
    </w:p>
    <w:p w14:paraId="2DC09322">
      <w:pPr>
        <w:spacing w:line="260" w:lineRule="auto"/>
        <w:rPr>
          <w:sz w:val="19"/>
          <w:szCs w:val="19"/>
        </w:rPr>
        <w:sectPr>
          <w:pgSz w:w="10300" w:h="13370"/>
          <w:pgMar w:top="400" w:right="1054" w:bottom="400" w:left="520" w:header="0" w:footer="0" w:gutter="0"/>
          <w:cols w:space="720" w:num="1"/>
        </w:sectPr>
      </w:pPr>
    </w:p>
    <w:p w14:paraId="2B1ABACA">
      <w:pPr>
        <w:pStyle w:val="2"/>
        <w:jc w:val="right"/>
        <w:rPr>
          <w:rFonts w:ascii="Times New Roman" w:hAnsi="Times New Roman" w:eastAsia="Times New Roman" w:cs="Times New Roman"/>
          <w:sz w:val="32"/>
          <w:szCs w:val="32"/>
        </w:rPr>
      </w:pPr>
      <w:r>
        <w:rPr>
          <w:b/>
          <w:bCs/>
          <w:spacing w:val="-4"/>
          <w:position w:val="2"/>
          <w:sz w:val="18"/>
          <w:szCs w:val="18"/>
        </w:rPr>
        <w:t>第18章</w:t>
      </w:r>
      <w:r>
        <w:rPr>
          <w:spacing w:val="59"/>
          <w:position w:val="2"/>
          <w:sz w:val="18"/>
          <w:szCs w:val="18"/>
        </w:rPr>
        <w:t xml:space="preserve"> </w:t>
      </w:r>
      <w:r>
        <w:rPr>
          <w:b/>
          <w:bCs/>
          <w:spacing w:val="-4"/>
          <w:position w:val="2"/>
          <w:sz w:val="18"/>
          <w:szCs w:val="18"/>
        </w:rPr>
        <w:t>风险管理</w:t>
      </w:r>
      <w:r>
        <w:rPr>
          <w:spacing w:val="16"/>
          <w:position w:val="2"/>
          <w:sz w:val="18"/>
          <w:szCs w:val="18"/>
        </w:rPr>
        <w:t xml:space="preserve"> </w:t>
      </w:r>
      <w:r>
        <w:rPr>
          <w:position w:val="-7"/>
          <w:sz w:val="18"/>
          <w:szCs w:val="18"/>
        </w:rPr>
        <w:drawing>
          <wp:inline distT="0" distB="0" distL="0" distR="0">
            <wp:extent cx="323215" cy="24066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263"/>
                    <a:stretch>
                      <a:fillRect/>
                    </a:stretch>
                  </pic:blipFill>
                  <pic:spPr>
                    <a:xfrm>
                      <a:off x="0" y="0"/>
                      <a:ext cx="323844" cy="241275"/>
                    </a:xfrm>
                    <a:prstGeom prst="rect">
                      <a:avLst/>
                    </a:prstGeom>
                  </pic:spPr>
                </pic:pic>
              </a:graphicData>
            </a:graphic>
          </wp:inline>
        </w:drawing>
      </w:r>
      <w:r>
        <w:rPr>
          <w:rFonts w:ascii="Times New Roman" w:hAnsi="Times New Roman" w:eastAsia="Times New Roman" w:cs="Times New Roman"/>
          <w:spacing w:val="-4"/>
          <w:position w:val="-4"/>
          <w:sz w:val="32"/>
          <w:szCs w:val="32"/>
        </w:rPr>
        <w:t>397</w:t>
      </w:r>
    </w:p>
    <w:p w14:paraId="75C84A1B">
      <w:pPr>
        <w:spacing w:before="105"/>
      </w:pPr>
    </w:p>
    <w:tbl>
      <w:tblPr>
        <w:tblStyle w:val="5"/>
        <w:tblW w:w="6120" w:type="dxa"/>
        <w:tblInd w:w="39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07"/>
        <w:gridCol w:w="1781"/>
        <w:gridCol w:w="1632"/>
      </w:tblGrid>
      <w:tr w14:paraId="1F0F4E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5" w:hRule="atLeast"/>
        </w:trPr>
        <w:tc>
          <w:tcPr>
            <w:tcW w:w="2707" w:type="dxa"/>
            <w:vAlign w:val="top"/>
          </w:tcPr>
          <w:p w14:paraId="5B92B07F">
            <w:pPr>
              <w:pStyle w:val="6"/>
              <w:spacing w:line="200" w:lineRule="auto"/>
              <w:ind w:left="1127"/>
              <w:rPr>
                <w:sz w:val="18"/>
                <w:szCs w:val="18"/>
              </w:rPr>
            </w:pPr>
            <w:r>
              <w:drawing>
                <wp:anchor distT="0" distB="0" distL="0" distR="0" simplePos="0" relativeHeight="251793408" behindDoc="1" locked="0" layoutInCell="1" allowOverlap="1">
                  <wp:simplePos x="0" y="0"/>
                  <wp:positionH relativeFrom="column">
                    <wp:posOffset>563245</wp:posOffset>
                  </wp:positionH>
                  <wp:positionV relativeFrom="paragraph">
                    <wp:posOffset>-80010</wp:posOffset>
                  </wp:positionV>
                  <wp:extent cx="3663950" cy="698500"/>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264"/>
                          <a:stretch>
                            <a:fillRect/>
                          </a:stretch>
                        </pic:blipFill>
                        <pic:spPr>
                          <a:xfrm>
                            <a:off x="0" y="0"/>
                            <a:ext cx="3663988" cy="698507"/>
                          </a:xfrm>
                          <a:prstGeom prst="rect">
                            <a:avLst/>
                          </a:prstGeom>
                        </pic:spPr>
                      </pic:pic>
                    </a:graphicData>
                  </a:graphic>
                </wp:anchor>
              </w:drawing>
            </w:r>
            <w:r>
              <w:rPr>
                <w:spacing w:val="-13"/>
                <w:sz w:val="18"/>
                <w:szCs w:val="18"/>
              </w:rPr>
              <w:t>主要依据：</w:t>
            </w:r>
          </w:p>
        </w:tc>
        <w:tc>
          <w:tcPr>
            <w:tcW w:w="1781" w:type="dxa"/>
            <w:vAlign w:val="top"/>
          </w:tcPr>
          <w:p w14:paraId="515EAF39">
            <w:pPr>
              <w:spacing w:line="195" w:lineRule="exact"/>
              <w:rPr>
                <w:rFonts w:ascii="Arial"/>
                <w:sz w:val="16"/>
              </w:rPr>
            </w:pPr>
          </w:p>
        </w:tc>
        <w:tc>
          <w:tcPr>
            <w:tcW w:w="1632" w:type="dxa"/>
            <w:vAlign w:val="top"/>
          </w:tcPr>
          <w:p w14:paraId="46722FFA">
            <w:pPr>
              <w:spacing w:line="195" w:lineRule="exact"/>
              <w:rPr>
                <w:rFonts w:ascii="Arial"/>
                <w:sz w:val="16"/>
              </w:rPr>
            </w:pPr>
          </w:p>
        </w:tc>
      </w:tr>
      <w:tr w14:paraId="60FD05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0" w:hRule="atLeast"/>
        </w:trPr>
        <w:tc>
          <w:tcPr>
            <w:tcW w:w="2707" w:type="dxa"/>
            <w:vAlign w:val="top"/>
          </w:tcPr>
          <w:p w14:paraId="4A643952">
            <w:pPr>
              <w:pStyle w:val="6"/>
              <w:spacing w:before="35" w:line="215" w:lineRule="auto"/>
              <w:ind w:left="1127"/>
              <w:rPr>
                <w:sz w:val="18"/>
                <w:szCs w:val="18"/>
              </w:rPr>
            </w:pPr>
            <w:r>
              <w:rPr>
                <w:color w:val="2E83E4"/>
                <w:spacing w:val="-14"/>
                <w:sz w:val="18"/>
                <w:szCs w:val="18"/>
              </w:rPr>
              <w:t>●</w:t>
            </w:r>
            <w:r>
              <w:rPr>
                <w:color w:val="2E83E4"/>
                <w:spacing w:val="-62"/>
                <w:sz w:val="18"/>
                <w:szCs w:val="18"/>
              </w:rPr>
              <w:t xml:space="preserve"> </w:t>
            </w:r>
            <w:r>
              <w:rPr>
                <w:spacing w:val="-14"/>
                <w:sz w:val="18"/>
                <w:szCs w:val="18"/>
              </w:rPr>
              <w:t>项目管理计划</w:t>
            </w:r>
          </w:p>
          <w:p w14:paraId="15BEF015">
            <w:pPr>
              <w:pStyle w:val="6"/>
              <w:spacing w:line="219" w:lineRule="auto"/>
              <w:ind w:left="1127"/>
              <w:rPr>
                <w:sz w:val="18"/>
                <w:szCs w:val="18"/>
              </w:rPr>
            </w:pPr>
            <w:r>
              <w:rPr>
                <w:color w:val="2E83E4"/>
                <w:spacing w:val="-14"/>
                <w:sz w:val="18"/>
                <w:szCs w:val="18"/>
              </w:rPr>
              <w:t>●</w:t>
            </w:r>
            <w:r>
              <w:rPr>
                <w:color w:val="2E83E4"/>
                <w:spacing w:val="-26"/>
                <w:sz w:val="18"/>
                <w:szCs w:val="18"/>
              </w:rPr>
              <w:t xml:space="preserve"> </w:t>
            </w:r>
            <w:r>
              <w:rPr>
                <w:spacing w:val="-14"/>
                <w:sz w:val="18"/>
                <w:szCs w:val="18"/>
              </w:rPr>
              <w:t>组织过程资产</w:t>
            </w:r>
          </w:p>
          <w:p w14:paraId="139DB804">
            <w:pPr>
              <w:pStyle w:val="6"/>
              <w:spacing w:before="5" w:line="219" w:lineRule="auto"/>
              <w:ind w:left="1127"/>
              <w:rPr>
                <w:sz w:val="18"/>
                <w:szCs w:val="18"/>
              </w:rPr>
            </w:pPr>
            <w:r>
              <w:rPr>
                <w:color w:val="2E83E4"/>
                <w:spacing w:val="-15"/>
                <w:sz w:val="18"/>
                <w:szCs w:val="18"/>
              </w:rPr>
              <w:t>●</w:t>
            </w:r>
            <w:r>
              <w:rPr>
                <w:color w:val="2E83E4"/>
                <w:spacing w:val="-37"/>
                <w:sz w:val="18"/>
                <w:szCs w:val="18"/>
              </w:rPr>
              <w:t xml:space="preserve"> </w:t>
            </w:r>
            <w:r>
              <w:rPr>
                <w:spacing w:val="-15"/>
                <w:sz w:val="18"/>
                <w:szCs w:val="18"/>
              </w:rPr>
              <w:t>项目干系人</w:t>
            </w:r>
          </w:p>
        </w:tc>
        <w:tc>
          <w:tcPr>
            <w:tcW w:w="1781" w:type="dxa"/>
            <w:vAlign w:val="top"/>
          </w:tcPr>
          <w:p w14:paraId="130CBE71">
            <w:pPr>
              <w:pStyle w:val="6"/>
              <w:spacing w:before="136" w:line="220" w:lineRule="auto"/>
              <w:ind w:left="620"/>
              <w:rPr>
                <w:sz w:val="18"/>
                <w:szCs w:val="18"/>
              </w:rPr>
            </w:pPr>
            <w:r>
              <w:rPr>
                <w:spacing w:val="-2"/>
                <w:sz w:val="18"/>
                <w:szCs w:val="18"/>
              </w:rPr>
              <w:t>风险规划</w:t>
            </w:r>
          </w:p>
        </w:tc>
        <w:tc>
          <w:tcPr>
            <w:tcW w:w="1632" w:type="dxa"/>
            <w:vAlign w:val="top"/>
          </w:tcPr>
          <w:p w14:paraId="4002393B">
            <w:pPr>
              <w:pStyle w:val="6"/>
              <w:spacing w:before="25" w:line="219" w:lineRule="auto"/>
              <w:ind w:left="449"/>
              <w:rPr>
                <w:sz w:val="18"/>
                <w:szCs w:val="18"/>
              </w:rPr>
            </w:pPr>
            <w:r>
              <w:rPr>
                <w:spacing w:val="-11"/>
                <w:sz w:val="18"/>
                <w:szCs w:val="18"/>
              </w:rPr>
              <w:t>产出：</w:t>
            </w:r>
          </w:p>
          <w:p w14:paraId="34522F89">
            <w:pPr>
              <w:pStyle w:val="6"/>
              <w:spacing w:before="26" w:line="219" w:lineRule="auto"/>
              <w:jc w:val="right"/>
              <w:rPr>
                <w:sz w:val="18"/>
                <w:szCs w:val="18"/>
              </w:rPr>
            </w:pPr>
            <w:r>
              <w:rPr>
                <w:color w:val="0056D8"/>
                <w:spacing w:val="-17"/>
                <w:sz w:val="18"/>
                <w:szCs w:val="18"/>
              </w:rPr>
              <w:t>●</w:t>
            </w:r>
            <w:r>
              <w:rPr>
                <w:spacing w:val="-17"/>
                <w:sz w:val="18"/>
                <w:szCs w:val="18"/>
              </w:rPr>
              <w:t>风</w:t>
            </w:r>
            <w:r>
              <w:rPr>
                <w:spacing w:val="-16"/>
                <w:sz w:val="18"/>
                <w:szCs w:val="18"/>
              </w:rPr>
              <w:t>险管理计</w:t>
            </w:r>
            <w:r>
              <w:rPr>
                <w:spacing w:val="-14"/>
                <w:sz w:val="18"/>
                <w:szCs w:val="18"/>
              </w:rPr>
              <w:t>划</w:t>
            </w:r>
          </w:p>
        </w:tc>
      </w:tr>
      <w:tr w14:paraId="203F76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2707" w:type="dxa"/>
            <w:vAlign w:val="top"/>
          </w:tcPr>
          <w:p w14:paraId="33CEB8E0">
            <w:pPr>
              <w:rPr>
                <w:rFonts w:ascii="Arial"/>
                <w:sz w:val="21"/>
              </w:rPr>
            </w:pPr>
          </w:p>
        </w:tc>
        <w:tc>
          <w:tcPr>
            <w:tcW w:w="3413" w:type="dxa"/>
            <w:gridSpan w:val="2"/>
            <w:vAlign w:val="top"/>
          </w:tcPr>
          <w:p w14:paraId="7E97F421">
            <w:pPr>
              <w:pStyle w:val="6"/>
              <w:spacing w:before="116" w:line="220" w:lineRule="auto"/>
              <w:ind w:left="360"/>
              <w:rPr>
                <w:sz w:val="18"/>
                <w:szCs w:val="18"/>
              </w:rPr>
            </w:pPr>
            <w:r>
              <w:rPr>
                <w:spacing w:val="3"/>
                <w:sz w:val="18"/>
                <w:szCs w:val="18"/>
              </w:rPr>
              <w:t>图18-2</w:t>
            </w:r>
            <w:r>
              <w:rPr>
                <w:spacing w:val="65"/>
                <w:sz w:val="18"/>
                <w:szCs w:val="18"/>
              </w:rPr>
              <w:t xml:space="preserve"> </w:t>
            </w:r>
            <w:r>
              <w:rPr>
                <w:spacing w:val="3"/>
                <w:sz w:val="18"/>
                <w:szCs w:val="18"/>
              </w:rPr>
              <w:t>风险规划</w:t>
            </w:r>
          </w:p>
        </w:tc>
      </w:tr>
      <w:tr w14:paraId="4A227F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2707" w:type="dxa"/>
            <w:vAlign w:val="top"/>
          </w:tcPr>
          <w:p w14:paraId="6F8EE929">
            <w:pPr>
              <w:pStyle w:val="6"/>
              <w:spacing w:before="159" w:line="177" w:lineRule="auto"/>
              <w:rPr>
                <w:rFonts w:ascii="黑体" w:hAnsi="黑体" w:eastAsia="黑体" w:cs="黑体"/>
                <w:sz w:val="20"/>
                <w:szCs w:val="20"/>
              </w:rPr>
            </w:pPr>
            <w:r>
              <w:rPr>
                <w:b/>
                <w:bCs/>
                <w:color w:val="0072E5"/>
                <w:spacing w:val="-1"/>
                <w:sz w:val="20"/>
                <w:szCs w:val="20"/>
              </w:rPr>
              <w:t>1.</w:t>
            </w:r>
            <w:r>
              <w:rPr>
                <w:rFonts w:ascii="黑体" w:hAnsi="黑体" w:eastAsia="黑体" w:cs="黑体"/>
                <w:b/>
                <w:bCs/>
                <w:color w:val="0072E5"/>
                <w:spacing w:val="-1"/>
                <w:sz w:val="20"/>
                <w:szCs w:val="20"/>
              </w:rPr>
              <w:t>风险规划的依据</w:t>
            </w:r>
          </w:p>
        </w:tc>
        <w:tc>
          <w:tcPr>
            <w:tcW w:w="1781" w:type="dxa"/>
            <w:vAlign w:val="top"/>
          </w:tcPr>
          <w:p w14:paraId="2E3904E0">
            <w:pPr>
              <w:rPr>
                <w:rFonts w:ascii="Arial"/>
                <w:sz w:val="21"/>
              </w:rPr>
            </w:pPr>
          </w:p>
        </w:tc>
        <w:tc>
          <w:tcPr>
            <w:tcW w:w="1632" w:type="dxa"/>
            <w:vAlign w:val="top"/>
          </w:tcPr>
          <w:p w14:paraId="1E4C2A5B">
            <w:pPr>
              <w:rPr>
                <w:rFonts w:ascii="Arial"/>
                <w:sz w:val="21"/>
              </w:rPr>
            </w:pPr>
          </w:p>
        </w:tc>
      </w:tr>
    </w:tbl>
    <w:p w14:paraId="186E27E1">
      <w:pPr>
        <w:pStyle w:val="2"/>
        <w:spacing w:before="198" w:line="219" w:lineRule="auto"/>
        <w:ind w:left="390"/>
        <w:rPr>
          <w:sz w:val="18"/>
          <w:szCs w:val="18"/>
        </w:rPr>
      </w:pPr>
      <w:r>
        <w:rPr>
          <w:spacing w:val="15"/>
          <w:sz w:val="18"/>
          <w:szCs w:val="18"/>
        </w:rPr>
        <w:t>风险规划的依据主要包括以下内容：</w:t>
      </w:r>
    </w:p>
    <w:p w14:paraId="63281B11">
      <w:pPr>
        <w:pStyle w:val="2"/>
        <w:spacing w:before="75" w:line="278" w:lineRule="auto"/>
        <w:ind w:right="308" w:firstLine="390"/>
        <w:rPr>
          <w:sz w:val="18"/>
          <w:szCs w:val="18"/>
        </w:rPr>
      </w:pPr>
      <w:r>
        <w:rPr>
          <w:spacing w:val="5"/>
          <w:sz w:val="20"/>
          <w:szCs w:val="20"/>
        </w:rPr>
        <w:t>(1)项目管理计划。项目管理计划提供了</w:t>
      </w:r>
      <w:r>
        <w:rPr>
          <w:spacing w:val="4"/>
          <w:sz w:val="20"/>
          <w:szCs w:val="20"/>
        </w:rPr>
        <w:t>风险管理需要明确的项目范围、进度、沟通以及</w:t>
      </w:r>
      <w:r>
        <w:rPr>
          <w:sz w:val="20"/>
          <w:szCs w:val="20"/>
        </w:rPr>
        <w:t xml:space="preserve">  </w:t>
      </w:r>
      <w:r>
        <w:rPr>
          <w:spacing w:val="-1"/>
          <w:sz w:val="20"/>
          <w:szCs w:val="20"/>
        </w:rPr>
        <w:t>成本等内容。通过项目范围说明了解项目及交付物相关的各种可能性，以确定风险管理的范围。</w:t>
      </w:r>
      <w:r>
        <w:rPr>
          <w:spacing w:val="2"/>
          <w:sz w:val="20"/>
          <w:szCs w:val="20"/>
        </w:rPr>
        <w:t xml:space="preserve"> 项目成本计划定义了应该如何核定和报告风险预算。进度计划则定义了应该如何核定和报告进</w:t>
      </w:r>
      <w:r>
        <w:rPr>
          <w:spacing w:val="5"/>
          <w:sz w:val="20"/>
          <w:szCs w:val="20"/>
        </w:rPr>
        <w:t xml:space="preserve"> </w:t>
      </w:r>
      <w:r>
        <w:rPr>
          <w:spacing w:val="2"/>
          <w:sz w:val="20"/>
          <w:szCs w:val="20"/>
        </w:rPr>
        <w:t>度应急储备。沟通计划定义了项目中的各种互动关系，并明确如何收集、发布各种风险及其应</w:t>
      </w:r>
      <w:r>
        <w:rPr>
          <w:spacing w:val="5"/>
          <w:sz w:val="20"/>
          <w:szCs w:val="20"/>
        </w:rPr>
        <w:t xml:space="preserve"> </w:t>
      </w:r>
      <w:r>
        <w:rPr>
          <w:spacing w:val="12"/>
          <w:sz w:val="18"/>
          <w:szCs w:val="18"/>
        </w:rPr>
        <w:t>对措施的信息。</w:t>
      </w:r>
    </w:p>
    <w:p w14:paraId="12FDFD8E">
      <w:pPr>
        <w:pStyle w:val="2"/>
        <w:spacing w:before="97" w:line="275" w:lineRule="auto"/>
        <w:ind w:right="374" w:firstLine="390"/>
        <w:rPr>
          <w:sz w:val="18"/>
          <w:szCs w:val="18"/>
        </w:rPr>
      </w:pPr>
      <w:r>
        <w:rPr>
          <w:spacing w:val="5"/>
          <w:sz w:val="20"/>
          <w:szCs w:val="20"/>
        </w:rPr>
        <w:t>(2)组织过程资产。组织过程资产提供的信息对风险规划也很重要，主要包含组织</w:t>
      </w:r>
      <w:r>
        <w:rPr>
          <w:spacing w:val="4"/>
          <w:sz w:val="20"/>
          <w:szCs w:val="20"/>
        </w:rPr>
        <w:t>对风险</w:t>
      </w:r>
      <w:r>
        <w:rPr>
          <w:sz w:val="20"/>
          <w:szCs w:val="20"/>
        </w:rPr>
        <w:t xml:space="preserve"> </w:t>
      </w:r>
      <w:r>
        <w:rPr>
          <w:spacing w:val="2"/>
          <w:sz w:val="20"/>
          <w:szCs w:val="20"/>
        </w:rPr>
        <w:t>的态度和承受力信息、组织在风险理论及实践方面拥有的知识和经验储备。其中，过往项目的</w:t>
      </w:r>
      <w:r>
        <w:rPr>
          <w:spacing w:val="12"/>
          <w:sz w:val="20"/>
          <w:szCs w:val="20"/>
        </w:rPr>
        <w:t xml:space="preserve"> </w:t>
      </w:r>
      <w:r>
        <w:rPr>
          <w:spacing w:val="2"/>
          <w:sz w:val="20"/>
          <w:szCs w:val="20"/>
        </w:rPr>
        <w:t>风险管理经验及相关资料可以提供丰富的历史数据以及最终风险管理成果，为风险规划的制定</w:t>
      </w:r>
      <w:r>
        <w:rPr>
          <w:spacing w:val="10"/>
          <w:sz w:val="20"/>
          <w:szCs w:val="20"/>
        </w:rPr>
        <w:t xml:space="preserve"> </w:t>
      </w:r>
      <w:r>
        <w:rPr>
          <w:spacing w:val="12"/>
          <w:sz w:val="18"/>
          <w:szCs w:val="18"/>
        </w:rPr>
        <w:t>提供重要参考。</w:t>
      </w:r>
    </w:p>
    <w:p w14:paraId="7ADDFD80">
      <w:pPr>
        <w:pStyle w:val="2"/>
        <w:spacing w:before="96" w:line="272" w:lineRule="auto"/>
        <w:ind w:right="381" w:firstLine="390"/>
        <w:rPr>
          <w:sz w:val="18"/>
          <w:szCs w:val="18"/>
        </w:rPr>
      </w:pPr>
      <w:r>
        <w:rPr>
          <w:spacing w:val="5"/>
          <w:sz w:val="20"/>
          <w:szCs w:val="20"/>
        </w:rPr>
        <w:t>(3)项目干系人。除以上内容外，还应该考虑干系人登记册提供的相关信息。了解</w:t>
      </w:r>
      <w:r>
        <w:rPr>
          <w:spacing w:val="4"/>
          <w:sz w:val="20"/>
          <w:szCs w:val="20"/>
        </w:rPr>
        <w:t>干系人</w:t>
      </w:r>
      <w:r>
        <w:rPr>
          <w:sz w:val="20"/>
          <w:szCs w:val="20"/>
        </w:rPr>
        <w:t xml:space="preserve"> </w:t>
      </w:r>
      <w:r>
        <w:rPr>
          <w:spacing w:val="2"/>
          <w:sz w:val="20"/>
          <w:szCs w:val="20"/>
        </w:rPr>
        <w:t>的风险偏好、风险容忍度以及敏感度。此外，需注意区别不同层级的利益相关者，分析其利益</w:t>
      </w:r>
      <w:r>
        <w:rPr>
          <w:spacing w:val="6"/>
          <w:sz w:val="20"/>
          <w:szCs w:val="20"/>
        </w:rPr>
        <w:t xml:space="preserve"> </w:t>
      </w:r>
      <w:r>
        <w:rPr>
          <w:spacing w:val="18"/>
          <w:sz w:val="18"/>
          <w:szCs w:val="18"/>
        </w:rPr>
        <w:t>层次及对项目的影响程度，从而更有效地指导风险管理规划的编</w:t>
      </w:r>
      <w:r>
        <w:rPr>
          <w:spacing w:val="17"/>
          <w:sz w:val="18"/>
          <w:szCs w:val="18"/>
        </w:rPr>
        <w:t>制。</w:t>
      </w:r>
    </w:p>
    <w:p w14:paraId="003111B3">
      <w:pPr>
        <w:pStyle w:val="2"/>
        <w:spacing w:before="163" w:line="221" w:lineRule="auto"/>
        <w:ind w:left="392"/>
        <w:rPr>
          <w:rFonts w:ascii="黑体" w:hAnsi="黑体" w:eastAsia="黑体" w:cs="黑体"/>
          <w:sz w:val="20"/>
          <w:szCs w:val="20"/>
        </w:rPr>
      </w:pPr>
      <w:r>
        <w:rPr>
          <w:b/>
          <w:bCs/>
          <w:color w:val="0064D8"/>
          <w:spacing w:val="-1"/>
          <w:sz w:val="20"/>
          <w:szCs w:val="20"/>
        </w:rPr>
        <w:t>2.</w:t>
      </w:r>
      <w:r>
        <w:rPr>
          <w:rFonts w:ascii="黑体" w:hAnsi="黑体" w:eastAsia="黑体" w:cs="黑体"/>
          <w:b/>
          <w:bCs/>
          <w:color w:val="0064D8"/>
          <w:spacing w:val="-1"/>
          <w:sz w:val="20"/>
          <w:szCs w:val="20"/>
        </w:rPr>
        <w:t>风险规划的技术与方法</w:t>
      </w:r>
    </w:p>
    <w:p w14:paraId="75BBAD4C">
      <w:pPr>
        <w:pStyle w:val="2"/>
        <w:spacing w:before="133" w:line="275" w:lineRule="auto"/>
        <w:ind w:right="371" w:firstLine="390"/>
        <w:jc w:val="both"/>
        <w:rPr>
          <w:sz w:val="20"/>
          <w:szCs w:val="20"/>
        </w:rPr>
      </w:pPr>
      <w:r>
        <w:rPr>
          <w:spacing w:val="3"/>
          <w:sz w:val="20"/>
          <w:szCs w:val="20"/>
        </w:rPr>
        <w:t>进行风险规划的常用形式是会议，参会者应包括项目经理、相关项</w:t>
      </w:r>
      <w:r>
        <w:rPr>
          <w:spacing w:val="2"/>
          <w:sz w:val="20"/>
          <w:szCs w:val="20"/>
        </w:rPr>
        <w:t>目团队成员、关键干系</w:t>
      </w:r>
      <w:r>
        <w:rPr>
          <w:sz w:val="20"/>
          <w:szCs w:val="20"/>
        </w:rPr>
        <w:t xml:space="preserve"> </w:t>
      </w:r>
      <w:r>
        <w:rPr>
          <w:spacing w:val="2"/>
          <w:sz w:val="20"/>
          <w:szCs w:val="20"/>
        </w:rPr>
        <w:t>人、组织中对风险承担责任的成员、其他相关人员。在进行风险规划时，还应考虑具备专业知</w:t>
      </w:r>
      <w:r>
        <w:rPr>
          <w:spacing w:val="12"/>
          <w:sz w:val="20"/>
          <w:szCs w:val="20"/>
        </w:rPr>
        <w:t xml:space="preserve"> </w:t>
      </w:r>
      <w:r>
        <w:rPr>
          <w:spacing w:val="2"/>
          <w:sz w:val="20"/>
          <w:szCs w:val="20"/>
        </w:rPr>
        <w:t>识或接受过相关培训的个人或小组作出的意见，例如熟悉组织所采取的管理风险方法、有相同</w:t>
      </w:r>
      <w:r>
        <w:rPr>
          <w:spacing w:val="14"/>
          <w:sz w:val="20"/>
          <w:szCs w:val="20"/>
        </w:rPr>
        <w:t xml:space="preserve"> </w:t>
      </w:r>
      <w:r>
        <w:rPr>
          <w:spacing w:val="2"/>
          <w:sz w:val="20"/>
          <w:szCs w:val="20"/>
        </w:rPr>
        <w:t>领域的项目风险管理经验的人员。为了从经验和现有最佳实践中获得帮助，应考虑在工作中使</w:t>
      </w:r>
      <w:r>
        <w:rPr>
          <w:spacing w:val="7"/>
          <w:sz w:val="20"/>
          <w:szCs w:val="20"/>
        </w:rPr>
        <w:t xml:space="preserve"> </w:t>
      </w:r>
      <w:r>
        <w:rPr>
          <w:spacing w:val="1"/>
          <w:sz w:val="20"/>
          <w:szCs w:val="20"/>
        </w:rPr>
        <w:t>用现有模板，如风险状态报告、风险分解结构</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RBS</w:t>
      </w:r>
      <w:r>
        <w:rPr>
          <w:rFonts w:ascii="Times New Roman" w:hAnsi="Times New Roman" w:eastAsia="Times New Roman" w:cs="Times New Roman"/>
          <w:spacing w:val="1"/>
          <w:sz w:val="20"/>
          <w:szCs w:val="20"/>
        </w:rPr>
        <w:t xml:space="preserve">)   </w:t>
      </w:r>
      <w:r>
        <w:rPr>
          <w:spacing w:val="1"/>
          <w:sz w:val="20"/>
          <w:szCs w:val="20"/>
        </w:rPr>
        <w:t>或风险登记表。</w:t>
      </w:r>
    </w:p>
    <w:p w14:paraId="50944D11">
      <w:pPr>
        <w:pStyle w:val="2"/>
        <w:spacing w:before="158" w:line="222" w:lineRule="auto"/>
        <w:ind w:left="392"/>
        <w:rPr>
          <w:rFonts w:ascii="黑体" w:hAnsi="黑体" w:eastAsia="黑体" w:cs="黑体"/>
          <w:sz w:val="20"/>
          <w:szCs w:val="20"/>
        </w:rPr>
      </w:pPr>
      <w:r>
        <w:rPr>
          <w:b/>
          <w:bCs/>
          <w:color w:val="0079D6"/>
          <w:spacing w:val="-1"/>
          <w:sz w:val="20"/>
          <w:szCs w:val="20"/>
        </w:rPr>
        <w:t>3.</w:t>
      </w:r>
      <w:r>
        <w:rPr>
          <w:rFonts w:ascii="黑体" w:hAnsi="黑体" w:eastAsia="黑体" w:cs="黑体"/>
          <w:b/>
          <w:bCs/>
          <w:color w:val="0079D6"/>
          <w:spacing w:val="-1"/>
          <w:sz w:val="20"/>
          <w:szCs w:val="20"/>
        </w:rPr>
        <w:t>风险规划的成果</w:t>
      </w:r>
    </w:p>
    <w:p w14:paraId="4813B872">
      <w:pPr>
        <w:pStyle w:val="2"/>
        <w:spacing w:before="125" w:line="277" w:lineRule="auto"/>
        <w:ind w:right="349" w:firstLine="390"/>
        <w:jc w:val="both"/>
        <w:rPr>
          <w:sz w:val="20"/>
          <w:szCs w:val="20"/>
        </w:rPr>
      </w:pPr>
      <w:r>
        <w:rPr>
          <w:spacing w:val="3"/>
          <w:sz w:val="20"/>
          <w:szCs w:val="20"/>
        </w:rPr>
        <w:t>通过项目风险规划活动获得的成果便是风险管理计划。这</w:t>
      </w:r>
      <w:r>
        <w:rPr>
          <w:spacing w:val="2"/>
          <w:sz w:val="20"/>
          <w:szCs w:val="20"/>
        </w:rPr>
        <w:t>个计划描述了风险管理过程将如</w:t>
      </w:r>
      <w:r>
        <w:rPr>
          <w:sz w:val="20"/>
          <w:szCs w:val="20"/>
        </w:rPr>
        <w:t xml:space="preserve"> </w:t>
      </w:r>
      <w:r>
        <w:rPr>
          <w:spacing w:val="3"/>
          <w:sz w:val="20"/>
          <w:szCs w:val="20"/>
        </w:rPr>
        <w:t>何进行，以及风险管理过程将如何与其他项目管理过程整合，是项目计划的子计划。</w:t>
      </w:r>
      <w:r>
        <w:rPr>
          <w:spacing w:val="2"/>
          <w:sz w:val="20"/>
          <w:szCs w:val="20"/>
        </w:rPr>
        <w:t>和项目管</w:t>
      </w:r>
      <w:r>
        <w:rPr>
          <w:sz w:val="20"/>
          <w:szCs w:val="20"/>
        </w:rPr>
        <w:t xml:space="preserve"> </w:t>
      </w:r>
      <w:r>
        <w:rPr>
          <w:spacing w:val="-1"/>
          <w:sz w:val="20"/>
          <w:szCs w:val="20"/>
        </w:rPr>
        <w:t>理是一个渐进明晰的过程一样，风险管理活动需要贯穿项目始终，并可能重复</w:t>
      </w:r>
      <w:r>
        <w:rPr>
          <w:spacing w:val="-2"/>
          <w:sz w:val="20"/>
          <w:szCs w:val="20"/>
        </w:rPr>
        <w:t>开展。</w:t>
      </w:r>
    </w:p>
    <w:p w14:paraId="4524909C">
      <w:pPr>
        <w:pStyle w:val="2"/>
        <w:spacing w:before="58" w:line="219" w:lineRule="auto"/>
        <w:ind w:left="390"/>
        <w:rPr>
          <w:sz w:val="18"/>
          <w:szCs w:val="18"/>
        </w:rPr>
      </w:pPr>
      <w:r>
        <w:rPr>
          <w:spacing w:val="17"/>
          <w:sz w:val="18"/>
          <w:szCs w:val="18"/>
        </w:rPr>
        <w:t>一份完整的项目风险管理计划至少包括以下内容：</w:t>
      </w:r>
    </w:p>
    <w:p w14:paraId="329183E3">
      <w:pPr>
        <w:pStyle w:val="2"/>
        <w:spacing w:before="56" w:line="269" w:lineRule="auto"/>
        <w:ind w:right="310" w:firstLine="390"/>
        <w:rPr>
          <w:sz w:val="18"/>
          <w:szCs w:val="18"/>
        </w:rPr>
      </w:pPr>
      <w:r>
        <w:rPr>
          <w:spacing w:val="2"/>
          <w:sz w:val="20"/>
          <w:szCs w:val="20"/>
        </w:rPr>
        <w:t>(1)方法论。明确项目风险管理的数据来源，规定各阶段风险</w:t>
      </w:r>
      <w:r>
        <w:rPr>
          <w:spacing w:val="1"/>
          <w:sz w:val="20"/>
          <w:szCs w:val="20"/>
        </w:rPr>
        <w:t>管理建议采用的方法与技术，</w:t>
      </w:r>
      <w:r>
        <w:rPr>
          <w:sz w:val="20"/>
          <w:szCs w:val="20"/>
        </w:rPr>
        <w:t xml:space="preserve"> </w:t>
      </w:r>
      <w:r>
        <w:rPr>
          <w:spacing w:val="17"/>
          <w:sz w:val="18"/>
          <w:szCs w:val="18"/>
        </w:rPr>
        <w:t>并留出一定的调整空间以应对项目可能出现的复杂情况。</w:t>
      </w:r>
    </w:p>
    <w:p w14:paraId="4466496E">
      <w:pPr>
        <w:pStyle w:val="2"/>
        <w:spacing w:before="67" w:line="268" w:lineRule="auto"/>
        <w:ind w:right="352" w:firstLine="390"/>
        <w:rPr>
          <w:sz w:val="18"/>
          <w:szCs w:val="18"/>
        </w:rPr>
      </w:pPr>
      <w:r>
        <w:rPr>
          <w:spacing w:val="6"/>
          <w:sz w:val="20"/>
          <w:szCs w:val="20"/>
        </w:rPr>
        <w:t>(2)角色与职责。确定风险管理的组织架构，明确定义风险</w:t>
      </w:r>
      <w:r>
        <w:rPr>
          <w:spacing w:val="5"/>
          <w:sz w:val="20"/>
          <w:szCs w:val="20"/>
        </w:rPr>
        <w:t>管理相关方的职责以及对风险</w:t>
      </w:r>
      <w:r>
        <w:rPr>
          <w:sz w:val="20"/>
          <w:szCs w:val="20"/>
        </w:rPr>
        <w:t xml:space="preserve"> </w:t>
      </w:r>
      <w:r>
        <w:rPr>
          <w:spacing w:val="16"/>
          <w:sz w:val="18"/>
          <w:szCs w:val="18"/>
        </w:rPr>
        <w:t>管理人员的能力要求、角色定位和任务分工。</w:t>
      </w:r>
    </w:p>
    <w:p w14:paraId="029C702C">
      <w:pPr>
        <w:pStyle w:val="2"/>
        <w:spacing w:before="67" w:line="218" w:lineRule="auto"/>
        <w:ind w:left="390"/>
        <w:rPr>
          <w:sz w:val="20"/>
          <w:szCs w:val="20"/>
        </w:rPr>
      </w:pPr>
      <w:r>
        <w:rPr>
          <w:spacing w:val="2"/>
          <w:sz w:val="20"/>
          <w:szCs w:val="20"/>
        </w:rPr>
        <w:t>(3)预算。估算风险管理所需的资金，包括一般程序的费用以及风险储备金。</w:t>
      </w:r>
    </w:p>
    <w:p w14:paraId="6C090E11">
      <w:pPr>
        <w:pStyle w:val="2"/>
        <w:spacing w:before="83" w:line="218" w:lineRule="auto"/>
        <w:ind w:left="390"/>
        <w:rPr>
          <w:sz w:val="18"/>
          <w:szCs w:val="18"/>
        </w:rPr>
      </w:pPr>
      <w:r>
        <w:rPr>
          <w:spacing w:val="22"/>
          <w:sz w:val="18"/>
          <w:szCs w:val="18"/>
        </w:rPr>
        <w:t>(4)沟通计划。建立沟通机制，确定汇报沟通的内容、渠道及方式，对各类风险管</w:t>
      </w:r>
      <w:r>
        <w:rPr>
          <w:spacing w:val="21"/>
          <w:sz w:val="18"/>
          <w:szCs w:val="18"/>
        </w:rPr>
        <w:t>理报告、</w:t>
      </w:r>
    </w:p>
    <w:p w14:paraId="29158E6B">
      <w:pPr>
        <w:spacing w:line="218" w:lineRule="auto"/>
        <w:rPr>
          <w:sz w:val="18"/>
          <w:szCs w:val="18"/>
        </w:rPr>
        <w:sectPr>
          <w:pgSz w:w="10280" w:h="13290"/>
          <w:pgMar w:top="360" w:right="529" w:bottom="400" w:left="1080" w:header="0" w:footer="0" w:gutter="0"/>
          <w:cols w:space="720" w:num="1"/>
        </w:sectPr>
      </w:pPr>
    </w:p>
    <w:p w14:paraId="57421763">
      <w:pPr>
        <w:pStyle w:val="2"/>
        <w:spacing w:before="67" w:line="219" w:lineRule="auto"/>
        <w:rPr>
          <w:sz w:val="19"/>
          <w:szCs w:val="19"/>
        </w:rPr>
      </w:pPr>
      <w:r>
        <w:rPr>
          <w:rFonts w:ascii="Times New Roman" w:hAnsi="Times New Roman" w:eastAsia="Times New Roman" w:cs="Times New Roman"/>
          <w:spacing w:val="4"/>
          <w:sz w:val="19"/>
          <w:szCs w:val="19"/>
        </w:rPr>
        <w:t xml:space="preserve">398              </w:t>
      </w:r>
      <w:r>
        <w:rPr>
          <w:spacing w:val="4"/>
          <w:sz w:val="19"/>
          <w:szCs w:val="19"/>
        </w:rPr>
        <w:t>信息系统监</w:t>
      </w:r>
      <w:r>
        <w:rPr>
          <w:spacing w:val="3"/>
          <w:sz w:val="19"/>
          <w:szCs w:val="19"/>
        </w:rPr>
        <w:t>理师教程(第2版)</w:t>
      </w:r>
    </w:p>
    <w:p w14:paraId="0FD8E672">
      <w:pPr>
        <w:spacing w:line="330" w:lineRule="auto"/>
        <w:rPr>
          <w:rFonts w:ascii="Arial"/>
          <w:sz w:val="21"/>
        </w:rPr>
      </w:pPr>
    </w:p>
    <w:p w14:paraId="03C047A3">
      <w:pPr>
        <w:pStyle w:val="2"/>
        <w:spacing w:before="62" w:line="219" w:lineRule="auto"/>
        <w:ind w:left="359"/>
        <w:rPr>
          <w:sz w:val="19"/>
          <w:szCs w:val="19"/>
        </w:rPr>
      </w:pPr>
      <w:r>
        <w:rPr>
          <w:spacing w:val="5"/>
          <w:sz w:val="19"/>
          <w:szCs w:val="19"/>
        </w:rPr>
        <w:t>文档的格式和内容进行描述。</w:t>
      </w:r>
    </w:p>
    <w:p w14:paraId="07EF14E6">
      <w:pPr>
        <w:pStyle w:val="2"/>
        <w:spacing w:before="83" w:line="265" w:lineRule="auto"/>
        <w:ind w:left="359" w:right="82" w:firstLine="389"/>
        <w:rPr>
          <w:sz w:val="19"/>
          <w:szCs w:val="19"/>
        </w:rPr>
      </w:pPr>
      <w:r>
        <w:rPr>
          <w:spacing w:val="26"/>
          <w:sz w:val="19"/>
          <w:szCs w:val="19"/>
        </w:rPr>
        <w:t>(5)风险分类。通过风险分类，确保全面、系</w:t>
      </w:r>
      <w:r>
        <w:rPr>
          <w:spacing w:val="25"/>
          <w:sz w:val="19"/>
          <w:szCs w:val="19"/>
        </w:rPr>
        <w:t>统地识别各风险，并提高风险识别的效</w:t>
      </w:r>
      <w:r>
        <w:rPr>
          <w:sz w:val="19"/>
          <w:szCs w:val="19"/>
        </w:rPr>
        <w:t xml:space="preserve"> </w:t>
      </w:r>
      <w:r>
        <w:rPr>
          <w:spacing w:val="18"/>
          <w:sz w:val="19"/>
          <w:szCs w:val="19"/>
        </w:rPr>
        <w:t>果和质量。组织可使用预先准备好的分类框架，</w:t>
      </w:r>
      <w:r>
        <w:rPr>
          <w:spacing w:val="17"/>
          <w:sz w:val="19"/>
          <w:szCs w:val="19"/>
        </w:rPr>
        <w:t>其可能是一个简易分类清单或风险分解结构</w:t>
      </w:r>
      <w:r>
        <w:rPr>
          <w:sz w:val="19"/>
          <w:szCs w:val="19"/>
        </w:rPr>
        <w:t xml:space="preserve"> </w:t>
      </w:r>
      <w:r>
        <w:rPr>
          <w:rFonts w:ascii="Times New Roman" w:hAnsi="Times New Roman" w:eastAsia="Times New Roman" w:cs="Times New Roman"/>
          <w:spacing w:val="-2"/>
          <w:sz w:val="19"/>
          <w:szCs w:val="19"/>
        </w:rPr>
        <w:t>(RBS)</w:t>
      </w:r>
      <w:r>
        <w:rPr>
          <w:spacing w:val="-2"/>
          <w:sz w:val="19"/>
          <w:szCs w:val="19"/>
        </w:rPr>
        <w:t>。</w:t>
      </w:r>
    </w:p>
    <w:p w14:paraId="1974C6D1">
      <w:pPr>
        <w:pStyle w:val="2"/>
        <w:spacing w:before="132" w:line="287" w:lineRule="auto"/>
        <w:ind w:left="359" w:right="68" w:firstLine="389"/>
        <w:rPr>
          <w:sz w:val="19"/>
          <w:szCs w:val="19"/>
        </w:rPr>
      </w:pPr>
      <w:r>
        <w:rPr>
          <w:spacing w:val="15"/>
          <w:sz w:val="19"/>
          <w:szCs w:val="19"/>
        </w:rPr>
        <w:t>(6)风险概率和影响。需要对风险的概率和影响划分层次，来确保风险定性分析过程的质</w:t>
      </w:r>
      <w:r>
        <w:rPr>
          <w:spacing w:val="5"/>
          <w:sz w:val="19"/>
          <w:szCs w:val="19"/>
        </w:rPr>
        <w:t xml:space="preserve"> </w:t>
      </w:r>
      <w:r>
        <w:rPr>
          <w:spacing w:val="10"/>
          <w:sz w:val="19"/>
          <w:szCs w:val="19"/>
        </w:rPr>
        <w:t xml:space="preserve">量和可信度。通用的风险概率和影响应该根据项目的需要来“剪裁”,以便在风险定性分析过程 </w:t>
      </w:r>
      <w:r>
        <w:rPr>
          <w:spacing w:val="1"/>
          <w:sz w:val="19"/>
          <w:szCs w:val="19"/>
        </w:rPr>
        <w:t>中使用。</w:t>
      </w:r>
    </w:p>
    <w:p w14:paraId="30EB4E85">
      <w:pPr>
        <w:pStyle w:val="2"/>
        <w:spacing w:before="72" w:line="281" w:lineRule="auto"/>
        <w:ind w:left="359" w:right="71" w:firstLine="389"/>
        <w:rPr>
          <w:sz w:val="19"/>
          <w:szCs w:val="19"/>
        </w:rPr>
      </w:pPr>
      <w:r>
        <w:rPr>
          <w:spacing w:val="15"/>
          <w:sz w:val="19"/>
          <w:szCs w:val="19"/>
        </w:rPr>
        <w:t>(7)干系人风险承受度。应在风险管理计划中记录对项目关键干系人的</w:t>
      </w:r>
      <w:r>
        <w:rPr>
          <w:spacing w:val="14"/>
          <w:sz w:val="19"/>
          <w:szCs w:val="19"/>
        </w:rPr>
        <w:t>风险偏好。应该针</w:t>
      </w:r>
      <w:r>
        <w:rPr>
          <w:sz w:val="19"/>
          <w:szCs w:val="19"/>
        </w:rPr>
        <w:t xml:space="preserve"> </w:t>
      </w:r>
      <w:r>
        <w:rPr>
          <w:spacing w:val="13"/>
          <w:sz w:val="19"/>
          <w:szCs w:val="19"/>
        </w:rPr>
        <w:t>对每个项目目标，把干系人的风险偏好表述成可测量的风险临界值</w:t>
      </w:r>
      <w:r>
        <w:rPr>
          <w:spacing w:val="12"/>
          <w:sz w:val="19"/>
          <w:szCs w:val="19"/>
        </w:rPr>
        <w:t>。这些风险临界值也可以用</w:t>
      </w:r>
      <w:r>
        <w:rPr>
          <w:sz w:val="19"/>
          <w:szCs w:val="19"/>
        </w:rPr>
        <w:t xml:space="preserve"> </w:t>
      </w:r>
      <w:r>
        <w:rPr>
          <w:spacing w:val="5"/>
          <w:sz w:val="19"/>
          <w:szCs w:val="19"/>
        </w:rPr>
        <w:t>于风险概率和影响的定义。</w:t>
      </w:r>
    </w:p>
    <w:p w14:paraId="1ADB065A">
      <w:pPr>
        <w:pStyle w:val="2"/>
        <w:spacing w:before="84" w:line="270" w:lineRule="auto"/>
        <w:ind w:left="359" w:right="81" w:firstLine="389"/>
        <w:rPr>
          <w:sz w:val="19"/>
          <w:szCs w:val="19"/>
        </w:rPr>
      </w:pPr>
      <w:r>
        <w:rPr>
          <w:spacing w:val="15"/>
          <w:sz w:val="19"/>
          <w:szCs w:val="19"/>
        </w:rPr>
        <w:t>(8)跟踪。应该规定将如何记录风险活动，这些记录可用于总结经验教训，还要规</w:t>
      </w:r>
      <w:r>
        <w:rPr>
          <w:spacing w:val="14"/>
          <w:sz w:val="19"/>
          <w:szCs w:val="19"/>
        </w:rPr>
        <w:t>定是否</w:t>
      </w:r>
      <w:r>
        <w:rPr>
          <w:sz w:val="19"/>
          <w:szCs w:val="19"/>
        </w:rPr>
        <w:t xml:space="preserve"> </w:t>
      </w:r>
      <w:r>
        <w:rPr>
          <w:spacing w:val="6"/>
          <w:sz w:val="19"/>
          <w:szCs w:val="19"/>
        </w:rPr>
        <w:t>需要以及应该如何对风险管理过程进行审计。</w:t>
      </w:r>
    </w:p>
    <w:p w14:paraId="25D770DB">
      <w:pPr>
        <w:pStyle w:val="2"/>
        <w:spacing w:before="235" w:line="220" w:lineRule="auto"/>
        <w:ind w:left="362"/>
        <w:rPr>
          <w:sz w:val="26"/>
          <w:szCs w:val="26"/>
        </w:rPr>
      </w:pPr>
      <w:r>
        <w:rPr>
          <w:b/>
          <w:bCs/>
          <w:color w:val="0070E0"/>
          <w:spacing w:val="-25"/>
          <w:sz w:val="26"/>
          <w:szCs w:val="26"/>
        </w:rPr>
        <w:t>18.2.2</w:t>
      </w:r>
      <w:r>
        <w:rPr>
          <w:color w:val="0070E0"/>
          <w:spacing w:val="95"/>
          <w:sz w:val="26"/>
          <w:szCs w:val="26"/>
        </w:rPr>
        <w:t xml:space="preserve"> </w:t>
      </w:r>
      <w:r>
        <w:rPr>
          <w:b/>
          <w:bCs/>
          <w:color w:val="0070E0"/>
          <w:spacing w:val="-25"/>
          <w:sz w:val="26"/>
          <w:szCs w:val="26"/>
        </w:rPr>
        <w:t>风险识别</w:t>
      </w:r>
    </w:p>
    <w:p w14:paraId="4748067F">
      <w:pPr>
        <w:pStyle w:val="2"/>
        <w:spacing w:before="158" w:line="295" w:lineRule="auto"/>
        <w:ind w:left="359" w:right="63" w:firstLine="389"/>
        <w:jc w:val="both"/>
        <w:rPr>
          <w:sz w:val="19"/>
          <w:szCs w:val="19"/>
        </w:rPr>
      </w:pPr>
      <w:r>
        <w:rPr>
          <w:spacing w:val="13"/>
          <w:sz w:val="19"/>
          <w:szCs w:val="19"/>
        </w:rPr>
        <w:t>风险识别是通过识别风险源、影响范围、事件及其原因和潜在的后果等，形成一</w:t>
      </w:r>
      <w:r>
        <w:rPr>
          <w:spacing w:val="12"/>
          <w:sz w:val="19"/>
          <w:szCs w:val="19"/>
        </w:rPr>
        <w:t>个全面的</w:t>
      </w:r>
      <w:r>
        <w:rPr>
          <w:sz w:val="19"/>
          <w:szCs w:val="19"/>
        </w:rPr>
        <w:t xml:space="preserve"> </w:t>
      </w:r>
      <w:r>
        <w:rPr>
          <w:spacing w:val="13"/>
          <w:sz w:val="19"/>
          <w:szCs w:val="19"/>
        </w:rPr>
        <w:t>风险列表。识别风险不仅要考虑有关事件可能带来的损失，也要考虑其中蕴含的机会。</w:t>
      </w:r>
      <w:r>
        <w:rPr>
          <w:spacing w:val="12"/>
          <w:sz w:val="19"/>
          <w:szCs w:val="19"/>
        </w:rPr>
        <w:t>风险识</w:t>
      </w:r>
      <w:r>
        <w:rPr>
          <w:sz w:val="19"/>
          <w:szCs w:val="19"/>
        </w:rPr>
        <w:t xml:space="preserve"> </w:t>
      </w:r>
      <w:r>
        <w:rPr>
          <w:spacing w:val="13"/>
          <w:sz w:val="19"/>
          <w:szCs w:val="19"/>
        </w:rPr>
        <w:t>别是一个系统性、层次性地识别项目风险的过程，</w:t>
      </w:r>
      <w:r>
        <w:rPr>
          <w:spacing w:val="12"/>
          <w:sz w:val="19"/>
          <w:szCs w:val="19"/>
        </w:rPr>
        <w:t>应尽可能全面、准确地识别风险。风险识别</w:t>
      </w:r>
      <w:r>
        <w:rPr>
          <w:sz w:val="19"/>
          <w:szCs w:val="19"/>
        </w:rPr>
        <w:t xml:space="preserve"> </w:t>
      </w:r>
      <w:r>
        <w:rPr>
          <w:spacing w:val="8"/>
          <w:sz w:val="19"/>
          <w:szCs w:val="19"/>
        </w:rPr>
        <w:t>也是一个反复进行的过程，因为在项目生命周期中，随着项目的进展，可能产生新的风险。</w:t>
      </w:r>
    </w:p>
    <w:p w14:paraId="1187B493">
      <w:pPr>
        <w:pStyle w:val="2"/>
        <w:spacing w:before="58" w:line="219" w:lineRule="auto"/>
        <w:ind w:left="749"/>
        <w:rPr>
          <w:sz w:val="19"/>
          <w:szCs w:val="19"/>
        </w:rPr>
      </w:pPr>
      <w:r>
        <w:rPr>
          <w:spacing w:val="9"/>
          <w:sz w:val="19"/>
          <w:szCs w:val="19"/>
        </w:rPr>
        <w:t>项目风险识别的主要内容如图18-3所示。</w:t>
      </w:r>
    </w:p>
    <w:p w14:paraId="754053D7">
      <w:pPr>
        <w:spacing w:before="70"/>
      </w:pPr>
    </w:p>
    <w:tbl>
      <w:tblPr>
        <w:tblStyle w:val="5"/>
        <w:tblW w:w="4658" w:type="dxa"/>
        <w:tblInd w:w="21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11"/>
        <w:gridCol w:w="1581"/>
        <w:gridCol w:w="1466"/>
      </w:tblGrid>
      <w:tr w14:paraId="164E7E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6" w:hRule="atLeast"/>
        </w:trPr>
        <w:tc>
          <w:tcPr>
            <w:tcW w:w="1611" w:type="dxa"/>
            <w:vAlign w:val="top"/>
          </w:tcPr>
          <w:p w14:paraId="6C7924CB">
            <w:pPr>
              <w:pStyle w:val="6"/>
              <w:spacing w:line="205" w:lineRule="auto"/>
              <w:rPr>
                <w:sz w:val="14"/>
                <w:szCs w:val="14"/>
              </w:rPr>
            </w:pPr>
            <w:r>
              <w:drawing>
                <wp:anchor distT="0" distB="0" distL="0" distR="0" simplePos="0" relativeHeight="251794432" behindDoc="1" locked="0" layoutInCell="1" allowOverlap="1">
                  <wp:simplePos x="0" y="0"/>
                  <wp:positionH relativeFrom="column">
                    <wp:posOffset>-133350</wp:posOffset>
                  </wp:positionH>
                  <wp:positionV relativeFrom="paragraph">
                    <wp:posOffset>-123190</wp:posOffset>
                  </wp:positionV>
                  <wp:extent cx="3270250" cy="85725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65"/>
                          <a:stretch>
                            <a:fillRect/>
                          </a:stretch>
                        </pic:blipFill>
                        <pic:spPr>
                          <a:xfrm>
                            <a:off x="0" y="0"/>
                            <a:ext cx="3270250" cy="857315"/>
                          </a:xfrm>
                          <a:prstGeom prst="rect">
                            <a:avLst/>
                          </a:prstGeom>
                        </pic:spPr>
                      </pic:pic>
                    </a:graphicData>
                  </a:graphic>
                </wp:anchor>
              </w:drawing>
            </w:r>
            <w:r>
              <w:rPr>
                <w:spacing w:val="19"/>
                <w:sz w:val="14"/>
                <w:szCs w:val="14"/>
              </w:rPr>
              <w:t>主要依据</w:t>
            </w:r>
            <w:r>
              <w:rPr>
                <w:spacing w:val="-34"/>
                <w:sz w:val="14"/>
                <w:szCs w:val="14"/>
              </w:rPr>
              <w:t xml:space="preserve"> </w:t>
            </w:r>
            <w:r>
              <w:rPr>
                <w:spacing w:val="19"/>
                <w:sz w:val="14"/>
                <w:szCs w:val="14"/>
              </w:rPr>
              <w:t>：</w:t>
            </w:r>
          </w:p>
        </w:tc>
        <w:tc>
          <w:tcPr>
            <w:tcW w:w="1581" w:type="dxa"/>
            <w:vAlign w:val="top"/>
          </w:tcPr>
          <w:p w14:paraId="772E9A66">
            <w:pPr>
              <w:spacing w:line="155" w:lineRule="exact"/>
              <w:rPr>
                <w:rFonts w:ascii="Arial"/>
                <w:sz w:val="13"/>
              </w:rPr>
            </w:pPr>
          </w:p>
        </w:tc>
        <w:tc>
          <w:tcPr>
            <w:tcW w:w="1466" w:type="dxa"/>
            <w:vAlign w:val="top"/>
          </w:tcPr>
          <w:p w14:paraId="023FECE0">
            <w:pPr>
              <w:spacing w:line="155" w:lineRule="exact"/>
              <w:rPr>
                <w:rFonts w:ascii="Arial"/>
                <w:sz w:val="13"/>
              </w:rPr>
            </w:pPr>
          </w:p>
        </w:tc>
      </w:tr>
      <w:tr w14:paraId="13FA2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36" w:hRule="atLeast"/>
        </w:trPr>
        <w:tc>
          <w:tcPr>
            <w:tcW w:w="1611" w:type="dxa"/>
            <w:vAlign w:val="top"/>
          </w:tcPr>
          <w:p w14:paraId="75BD7E0D">
            <w:pPr>
              <w:pStyle w:val="6"/>
              <w:spacing w:before="26" w:line="204" w:lineRule="auto"/>
            </w:pPr>
            <w:r>
              <w:rPr>
                <w:color w:val="0077FF"/>
                <w:spacing w:val="-20"/>
              </w:rPr>
              <w:t>●</w:t>
            </w:r>
            <w:r>
              <w:rPr>
                <w:spacing w:val="-20"/>
              </w:rPr>
              <w:t>项目管理计划</w:t>
            </w:r>
          </w:p>
          <w:p w14:paraId="762B3748">
            <w:pPr>
              <w:pStyle w:val="6"/>
              <w:spacing w:line="194" w:lineRule="auto"/>
            </w:pPr>
            <w:r>
              <w:rPr>
                <w:color w:val="0077FF"/>
                <w:spacing w:val="-19"/>
                <w:w w:val="97"/>
              </w:rPr>
              <w:t>●</w:t>
            </w:r>
            <w:r>
              <w:rPr>
                <w:color w:val="0077FF"/>
                <w:spacing w:val="-53"/>
              </w:rPr>
              <w:t xml:space="preserve"> </w:t>
            </w:r>
            <w:r>
              <w:rPr>
                <w:spacing w:val="-19"/>
                <w:w w:val="97"/>
              </w:rPr>
              <w:t>风险管理计划</w:t>
            </w:r>
          </w:p>
          <w:p w14:paraId="4930FCB5">
            <w:pPr>
              <w:pStyle w:val="6"/>
              <w:spacing w:line="204" w:lineRule="auto"/>
            </w:pPr>
            <w:r>
              <w:rPr>
                <w:color w:val="0077FF"/>
                <w:spacing w:val="-24"/>
              </w:rPr>
              <w:t>●</w:t>
            </w:r>
            <w:r>
              <w:rPr>
                <w:color w:val="0077FF"/>
                <w:spacing w:val="-59"/>
              </w:rPr>
              <w:t xml:space="preserve"> </w:t>
            </w:r>
            <w:r>
              <w:rPr>
                <w:spacing w:val="-24"/>
              </w:rPr>
              <w:t>项目文档</w:t>
            </w:r>
          </w:p>
          <w:p w14:paraId="1A1D2345">
            <w:pPr>
              <w:pStyle w:val="6"/>
              <w:spacing w:line="174" w:lineRule="auto"/>
            </w:pPr>
            <w:r>
              <w:rPr>
                <w:color w:val="0077FF"/>
                <w:spacing w:val="-21"/>
                <w:w w:val="98"/>
              </w:rPr>
              <w:t>●</w:t>
            </w:r>
            <w:r>
              <w:rPr>
                <w:color w:val="0077FF"/>
                <w:spacing w:val="-54"/>
              </w:rPr>
              <w:t xml:space="preserve"> </w:t>
            </w:r>
            <w:r>
              <w:rPr>
                <w:spacing w:val="-21"/>
                <w:w w:val="98"/>
              </w:rPr>
              <w:t>组织过程资产</w:t>
            </w:r>
          </w:p>
        </w:tc>
        <w:tc>
          <w:tcPr>
            <w:tcW w:w="1581" w:type="dxa"/>
            <w:vAlign w:val="top"/>
          </w:tcPr>
          <w:p w14:paraId="0545E9ED">
            <w:pPr>
              <w:pStyle w:val="6"/>
              <w:spacing w:before="237" w:line="220" w:lineRule="auto"/>
              <w:ind w:left="429"/>
            </w:pPr>
            <w:r>
              <w:rPr>
                <w:spacing w:val="-11"/>
              </w:rPr>
              <w:t>风险识别</w:t>
            </w:r>
          </w:p>
        </w:tc>
        <w:tc>
          <w:tcPr>
            <w:tcW w:w="1466" w:type="dxa"/>
            <w:vAlign w:val="top"/>
          </w:tcPr>
          <w:p w14:paraId="721881A7">
            <w:pPr>
              <w:pStyle w:val="6"/>
              <w:spacing w:before="144" w:line="219" w:lineRule="auto"/>
              <w:ind w:left="448"/>
              <w:rPr>
                <w:sz w:val="14"/>
                <w:szCs w:val="14"/>
              </w:rPr>
            </w:pPr>
            <w:r>
              <w:rPr>
                <w:spacing w:val="-8"/>
                <w:sz w:val="14"/>
                <w:szCs w:val="14"/>
              </w:rPr>
              <w:t>产</w:t>
            </w:r>
            <w:r>
              <w:rPr>
                <w:spacing w:val="1"/>
                <w:sz w:val="14"/>
                <w:szCs w:val="14"/>
              </w:rPr>
              <w:t xml:space="preserve"> </w:t>
            </w:r>
            <w:r>
              <w:rPr>
                <w:spacing w:val="-8"/>
                <w:sz w:val="14"/>
                <w:szCs w:val="14"/>
              </w:rPr>
              <w:t>出</w:t>
            </w:r>
            <w:r>
              <w:rPr>
                <w:spacing w:val="-16"/>
                <w:sz w:val="14"/>
                <w:szCs w:val="14"/>
              </w:rPr>
              <w:t xml:space="preserve"> </w:t>
            </w:r>
            <w:r>
              <w:rPr>
                <w:spacing w:val="-8"/>
                <w:sz w:val="14"/>
                <w:szCs w:val="14"/>
              </w:rPr>
              <w:t>：</w:t>
            </w:r>
          </w:p>
          <w:p w14:paraId="05F83B7E">
            <w:pPr>
              <w:pStyle w:val="6"/>
              <w:spacing w:before="36" w:line="220" w:lineRule="auto"/>
              <w:jc w:val="right"/>
            </w:pPr>
            <w:r>
              <w:rPr>
                <w:color w:val="006DDB"/>
                <w:spacing w:val="-22"/>
                <w:w w:val="98"/>
              </w:rPr>
              <w:t>●</w:t>
            </w:r>
            <w:r>
              <w:rPr>
                <w:spacing w:val="-22"/>
                <w:w w:val="98"/>
              </w:rPr>
              <w:t>风险登记</w:t>
            </w:r>
            <w:r>
              <w:rPr>
                <w:spacing w:val="-10"/>
                <w:w w:val="98"/>
              </w:rPr>
              <w:t>册</w:t>
            </w:r>
          </w:p>
        </w:tc>
      </w:tr>
    </w:tbl>
    <w:p w14:paraId="24368785">
      <w:pPr>
        <w:pStyle w:val="2"/>
        <w:spacing w:before="241" w:line="220" w:lineRule="auto"/>
        <w:ind w:left="3819"/>
        <w:rPr>
          <w:sz w:val="19"/>
          <w:szCs w:val="19"/>
        </w:rPr>
      </w:pPr>
      <w:r>
        <w:rPr>
          <w:spacing w:val="-4"/>
          <w:sz w:val="19"/>
          <w:szCs w:val="19"/>
        </w:rPr>
        <w:t>图18-3</w:t>
      </w:r>
      <w:r>
        <w:rPr>
          <w:spacing w:val="73"/>
          <w:sz w:val="19"/>
          <w:szCs w:val="19"/>
        </w:rPr>
        <w:t xml:space="preserve"> </w:t>
      </w:r>
      <w:r>
        <w:rPr>
          <w:spacing w:val="-4"/>
          <w:sz w:val="19"/>
          <w:szCs w:val="19"/>
        </w:rPr>
        <w:t>风险识别</w:t>
      </w:r>
    </w:p>
    <w:p w14:paraId="0F1D09D2">
      <w:pPr>
        <w:pStyle w:val="2"/>
        <w:spacing w:before="299" w:line="222" w:lineRule="auto"/>
        <w:ind w:left="752"/>
        <w:rPr>
          <w:rFonts w:ascii="黑体" w:hAnsi="黑体" w:eastAsia="黑体" w:cs="黑体"/>
          <w:sz w:val="19"/>
          <w:szCs w:val="19"/>
        </w:rPr>
      </w:pPr>
      <w:r>
        <w:rPr>
          <w:b/>
          <w:bCs/>
          <w:color w:val="006ECF"/>
          <w:spacing w:val="7"/>
          <w:sz w:val="19"/>
          <w:szCs w:val="19"/>
        </w:rPr>
        <w:t>1.</w:t>
      </w:r>
      <w:r>
        <w:rPr>
          <w:rFonts w:ascii="黑体" w:hAnsi="黑体" w:eastAsia="黑体" w:cs="黑体"/>
          <w:b/>
          <w:bCs/>
          <w:color w:val="006ECF"/>
          <w:spacing w:val="7"/>
          <w:sz w:val="19"/>
          <w:szCs w:val="19"/>
        </w:rPr>
        <w:t>风险识别的依据</w:t>
      </w:r>
    </w:p>
    <w:p w14:paraId="668313E0">
      <w:pPr>
        <w:pStyle w:val="2"/>
        <w:spacing w:before="145" w:line="297" w:lineRule="auto"/>
        <w:ind w:left="359" w:firstLine="389"/>
        <w:rPr>
          <w:sz w:val="19"/>
          <w:szCs w:val="19"/>
        </w:rPr>
      </w:pPr>
      <w:r>
        <w:rPr>
          <w:spacing w:val="10"/>
          <w:sz w:val="19"/>
          <w:szCs w:val="19"/>
        </w:rPr>
        <w:t>风险识别需要项目经理、项目团队成员、项目干系人及风险管理相关领域专</w:t>
      </w:r>
      <w:r>
        <w:rPr>
          <w:spacing w:val="9"/>
          <w:sz w:val="19"/>
          <w:szCs w:val="19"/>
        </w:rPr>
        <w:t>家等人员参与。</w:t>
      </w:r>
      <w:r>
        <w:rPr>
          <w:sz w:val="19"/>
          <w:szCs w:val="19"/>
        </w:rPr>
        <w:t xml:space="preserve"> </w:t>
      </w:r>
      <w:r>
        <w:rPr>
          <w:spacing w:val="8"/>
          <w:sz w:val="19"/>
          <w:szCs w:val="19"/>
        </w:rPr>
        <w:t>在风险识别过程中应当有一定的依据，常见的风险识别依据有以下</w:t>
      </w:r>
      <w:r>
        <w:rPr>
          <w:spacing w:val="7"/>
          <w:sz w:val="19"/>
          <w:szCs w:val="19"/>
        </w:rPr>
        <w:t>几种：</w:t>
      </w:r>
    </w:p>
    <w:p w14:paraId="5875F767">
      <w:pPr>
        <w:pStyle w:val="2"/>
        <w:spacing w:before="17" w:line="268" w:lineRule="auto"/>
        <w:ind w:left="359" w:right="58" w:firstLine="389"/>
        <w:rPr>
          <w:sz w:val="19"/>
          <w:szCs w:val="19"/>
        </w:rPr>
      </w:pPr>
      <w:r>
        <w:rPr>
          <w:spacing w:val="16"/>
          <w:sz w:val="19"/>
          <w:szCs w:val="19"/>
        </w:rPr>
        <w:t>(1)项目管理计划。项目管理计划中的假设</w:t>
      </w:r>
      <w:r>
        <w:rPr>
          <w:spacing w:val="15"/>
          <w:sz w:val="19"/>
          <w:szCs w:val="19"/>
        </w:rPr>
        <w:t>和约束条件将为风险识别提供依据。相关项目</w:t>
      </w:r>
      <w:r>
        <w:rPr>
          <w:sz w:val="19"/>
          <w:szCs w:val="19"/>
        </w:rPr>
        <w:t xml:space="preserve"> </w:t>
      </w:r>
      <w:r>
        <w:rPr>
          <w:spacing w:val="12"/>
          <w:sz w:val="19"/>
          <w:szCs w:val="19"/>
        </w:rPr>
        <w:t>管理过程也可能列出了受不确定性或模糊性影响的一些领域，也可能指出了有风险的项目目标</w:t>
      </w:r>
      <w:r>
        <w:rPr>
          <w:spacing w:val="14"/>
          <w:sz w:val="19"/>
          <w:szCs w:val="19"/>
        </w:rPr>
        <w:t xml:space="preserve"> </w:t>
      </w:r>
      <w:r>
        <w:rPr>
          <w:spacing w:val="5"/>
          <w:sz w:val="19"/>
          <w:szCs w:val="19"/>
        </w:rPr>
        <w:t>或里程碑等。</w:t>
      </w:r>
    </w:p>
    <w:p w14:paraId="08E8262B">
      <w:pPr>
        <w:pStyle w:val="2"/>
        <w:spacing w:before="104" w:line="255" w:lineRule="auto"/>
        <w:ind w:left="359" w:right="45" w:firstLine="389"/>
        <w:rPr>
          <w:sz w:val="19"/>
          <w:szCs w:val="19"/>
        </w:rPr>
      </w:pPr>
      <w:r>
        <w:rPr>
          <w:spacing w:val="16"/>
          <w:sz w:val="19"/>
          <w:szCs w:val="19"/>
        </w:rPr>
        <w:t>(2)项目风险管理计划。项目风险管理计划是指导项目风险管理活动的纲</w:t>
      </w:r>
      <w:r>
        <w:rPr>
          <w:spacing w:val="15"/>
          <w:sz w:val="19"/>
          <w:szCs w:val="19"/>
        </w:rPr>
        <w:t>领性文件，也为</w:t>
      </w:r>
      <w:r>
        <w:rPr>
          <w:sz w:val="19"/>
          <w:szCs w:val="19"/>
        </w:rPr>
        <w:t xml:space="preserve"> </w:t>
      </w:r>
      <w:r>
        <w:rPr>
          <w:spacing w:val="6"/>
          <w:sz w:val="19"/>
          <w:szCs w:val="19"/>
        </w:rPr>
        <w:t>风险识别提供了一些关键输入。</w:t>
      </w:r>
    </w:p>
    <w:p w14:paraId="228B1B6D">
      <w:pPr>
        <w:pStyle w:val="2"/>
        <w:spacing w:before="74" w:line="260" w:lineRule="auto"/>
        <w:ind w:left="359" w:right="66" w:firstLine="389"/>
        <w:rPr>
          <w:sz w:val="19"/>
          <w:szCs w:val="19"/>
        </w:rPr>
      </w:pPr>
      <w:r>
        <w:rPr>
          <w:spacing w:val="15"/>
          <w:sz w:val="19"/>
          <w:szCs w:val="19"/>
        </w:rPr>
        <w:t>(3)项目文档。项目文档包括假设条件日志、成本估算、持续时间估算、问题登记表及其</w:t>
      </w:r>
      <w:r>
        <w:rPr>
          <w:spacing w:val="12"/>
          <w:sz w:val="19"/>
          <w:szCs w:val="19"/>
        </w:rPr>
        <w:t xml:space="preserve"> </w:t>
      </w:r>
      <w:r>
        <w:rPr>
          <w:spacing w:val="7"/>
          <w:sz w:val="19"/>
          <w:szCs w:val="19"/>
        </w:rPr>
        <w:t>他对识别风险有价值的项目信息。</w:t>
      </w:r>
    </w:p>
    <w:p w14:paraId="11CC8A04">
      <w:pPr>
        <w:pStyle w:val="2"/>
        <w:spacing w:before="97" w:line="219" w:lineRule="auto"/>
        <w:ind w:left="749"/>
        <w:rPr>
          <w:sz w:val="19"/>
          <w:szCs w:val="19"/>
        </w:rPr>
      </w:pPr>
      <w:r>
        <w:rPr>
          <w:spacing w:val="16"/>
          <w:sz w:val="19"/>
          <w:szCs w:val="19"/>
        </w:rPr>
        <w:t>(4)组织过程资产。可用于风险识别的组织过程资产包括：相关项目历史资料</w:t>
      </w:r>
      <w:r>
        <w:rPr>
          <w:spacing w:val="15"/>
          <w:sz w:val="19"/>
          <w:szCs w:val="19"/>
        </w:rPr>
        <w:t>、组织和项</w:t>
      </w:r>
    </w:p>
    <w:p w14:paraId="40E95158">
      <w:pPr>
        <w:spacing w:line="219" w:lineRule="auto"/>
        <w:rPr>
          <w:sz w:val="19"/>
          <w:szCs w:val="19"/>
        </w:rPr>
        <w:sectPr>
          <w:pgSz w:w="10300" w:h="13370"/>
          <w:pgMar w:top="400" w:right="1005" w:bottom="400" w:left="550" w:header="0" w:footer="0" w:gutter="0"/>
          <w:cols w:space="720" w:num="1"/>
        </w:sectPr>
      </w:pPr>
    </w:p>
    <w:p w14:paraId="1EA2B406">
      <w:pPr>
        <w:pStyle w:val="2"/>
        <w:spacing w:before="76" w:line="219" w:lineRule="auto"/>
        <w:jc w:val="right"/>
        <w:rPr>
          <w:rFonts w:ascii="Times New Roman" w:hAnsi="Times New Roman" w:eastAsia="Times New Roman" w:cs="Times New Roman"/>
          <w:sz w:val="19"/>
          <w:szCs w:val="19"/>
        </w:rPr>
      </w:pPr>
      <w:bookmarkStart w:id="694" w:name="bookmark679"/>
      <w:bookmarkEnd w:id="694"/>
      <w:r>
        <w:rPr>
          <w:spacing w:val="5"/>
          <w:sz w:val="19"/>
          <w:szCs w:val="19"/>
        </w:rPr>
        <w:t>第18章</w:t>
      </w:r>
      <w:r>
        <w:rPr>
          <w:spacing w:val="37"/>
          <w:sz w:val="19"/>
          <w:szCs w:val="19"/>
        </w:rPr>
        <w:t xml:space="preserve"> </w:t>
      </w:r>
      <w:r>
        <w:rPr>
          <w:spacing w:val="5"/>
          <w:sz w:val="19"/>
          <w:szCs w:val="19"/>
        </w:rPr>
        <w:t>风险管理</w:t>
      </w:r>
      <w:r>
        <w:rPr>
          <w:spacing w:val="9"/>
          <w:sz w:val="19"/>
          <w:szCs w:val="19"/>
        </w:rPr>
        <w:t xml:space="preserve">      </w:t>
      </w:r>
      <w:r>
        <w:rPr>
          <w:rFonts w:ascii="Times New Roman" w:hAnsi="Times New Roman" w:eastAsia="Times New Roman" w:cs="Times New Roman"/>
          <w:spacing w:val="5"/>
          <w:sz w:val="19"/>
          <w:szCs w:val="19"/>
        </w:rPr>
        <w:t>399</w:t>
      </w:r>
    </w:p>
    <w:p w14:paraId="78787171">
      <w:pPr>
        <w:spacing w:line="300" w:lineRule="auto"/>
        <w:rPr>
          <w:rFonts w:ascii="Arial"/>
          <w:sz w:val="21"/>
        </w:rPr>
      </w:pPr>
    </w:p>
    <w:p w14:paraId="49B09CB4">
      <w:pPr>
        <w:pStyle w:val="2"/>
        <w:spacing w:before="62" w:line="302" w:lineRule="auto"/>
        <w:ind w:right="316"/>
        <w:jc w:val="both"/>
        <w:rPr>
          <w:sz w:val="19"/>
          <w:szCs w:val="19"/>
        </w:rPr>
      </w:pPr>
      <w:r>
        <w:rPr>
          <w:spacing w:val="12"/>
          <w:sz w:val="19"/>
          <w:szCs w:val="19"/>
        </w:rPr>
        <w:t>目的相关流程或规定、风险描述的模板、相关经验教训(例如</w:t>
      </w:r>
      <w:r>
        <w:rPr>
          <w:spacing w:val="11"/>
          <w:sz w:val="19"/>
          <w:szCs w:val="19"/>
        </w:rPr>
        <w:t>事故处理文件及索赔等资料)。也</w:t>
      </w:r>
      <w:r>
        <w:rPr>
          <w:sz w:val="19"/>
          <w:szCs w:val="19"/>
        </w:rPr>
        <w:t xml:space="preserve"> </w:t>
      </w:r>
      <w:r>
        <w:rPr>
          <w:spacing w:val="13"/>
          <w:sz w:val="19"/>
          <w:szCs w:val="19"/>
        </w:rPr>
        <w:t>可参考公开发布的信息，包括商业风险数据库、学术研究资料、公开发布的核对表、</w:t>
      </w:r>
      <w:r>
        <w:rPr>
          <w:spacing w:val="12"/>
          <w:sz w:val="19"/>
          <w:szCs w:val="19"/>
        </w:rPr>
        <w:t>行业研究</w:t>
      </w:r>
      <w:r>
        <w:rPr>
          <w:sz w:val="19"/>
          <w:szCs w:val="19"/>
        </w:rPr>
        <w:t xml:space="preserve"> </w:t>
      </w:r>
      <w:r>
        <w:rPr>
          <w:spacing w:val="8"/>
          <w:sz w:val="19"/>
          <w:szCs w:val="19"/>
        </w:rPr>
        <w:t>资料等。此外，相关人员的历史经验也是进行风险识别工作的重要依据。</w:t>
      </w:r>
    </w:p>
    <w:p w14:paraId="56571730">
      <w:pPr>
        <w:pStyle w:val="2"/>
        <w:spacing w:before="94" w:line="221" w:lineRule="auto"/>
        <w:ind w:left="402"/>
        <w:rPr>
          <w:rFonts w:ascii="黑体" w:hAnsi="黑体" w:eastAsia="黑体" w:cs="黑体"/>
          <w:sz w:val="19"/>
          <w:szCs w:val="19"/>
        </w:rPr>
      </w:pPr>
      <w:r>
        <w:rPr>
          <w:b/>
          <w:bCs/>
          <w:color w:val="005FCC"/>
          <w:spacing w:val="7"/>
          <w:sz w:val="19"/>
          <w:szCs w:val="19"/>
        </w:rPr>
        <w:t>2.</w:t>
      </w:r>
      <w:r>
        <w:rPr>
          <w:rFonts w:ascii="黑体" w:hAnsi="黑体" w:eastAsia="黑体" w:cs="黑体"/>
          <w:b/>
          <w:bCs/>
          <w:color w:val="005FCC"/>
          <w:spacing w:val="7"/>
          <w:sz w:val="19"/>
          <w:szCs w:val="19"/>
        </w:rPr>
        <w:t>风险识别的技术与方法</w:t>
      </w:r>
    </w:p>
    <w:p w14:paraId="43DDAD60">
      <w:pPr>
        <w:pStyle w:val="2"/>
        <w:spacing w:before="157" w:line="302" w:lineRule="auto"/>
        <w:ind w:right="232" w:firstLine="399"/>
        <w:jc w:val="both"/>
        <w:rPr>
          <w:sz w:val="19"/>
          <w:szCs w:val="19"/>
        </w:rPr>
      </w:pPr>
      <w:r>
        <w:rPr>
          <w:spacing w:val="18"/>
          <w:sz w:val="19"/>
          <w:szCs w:val="19"/>
        </w:rPr>
        <w:t>在风险识别过程中，为了高效、全面、准确，不仅需要依靠专家的经验判断及集体智慧</w:t>
      </w:r>
      <w:r>
        <w:rPr>
          <w:spacing w:val="8"/>
          <w:sz w:val="19"/>
          <w:szCs w:val="19"/>
        </w:rPr>
        <w:t xml:space="preserve">  </w:t>
      </w:r>
      <w:r>
        <w:rPr>
          <w:spacing w:val="18"/>
          <w:sz w:val="19"/>
          <w:szCs w:val="19"/>
        </w:rPr>
        <w:t>(例如头脑风暴、德尔菲、情景分析等),还要借助图表分析(例如风险核对表、</w:t>
      </w:r>
      <w:r>
        <w:rPr>
          <w:spacing w:val="-25"/>
          <w:sz w:val="19"/>
          <w:szCs w:val="19"/>
        </w:rPr>
        <w:t xml:space="preserve"> </w:t>
      </w:r>
      <w:r>
        <w:rPr>
          <w:sz w:val="19"/>
          <w:szCs w:val="19"/>
        </w:rPr>
        <w:t>SWOT</w:t>
      </w:r>
      <w:r>
        <w:rPr>
          <w:spacing w:val="18"/>
          <w:sz w:val="19"/>
          <w:szCs w:val="19"/>
        </w:rPr>
        <w:t xml:space="preserve"> </w:t>
      </w:r>
      <w:r>
        <w:rPr>
          <w:spacing w:val="17"/>
          <w:sz w:val="19"/>
          <w:szCs w:val="19"/>
        </w:rPr>
        <w:t xml:space="preserve"> 分析、</w:t>
      </w:r>
      <w:r>
        <w:rPr>
          <w:sz w:val="19"/>
          <w:szCs w:val="19"/>
        </w:rPr>
        <w:t xml:space="preserve"> </w:t>
      </w:r>
      <w:r>
        <w:rPr>
          <w:spacing w:val="13"/>
          <w:sz w:val="19"/>
          <w:szCs w:val="19"/>
        </w:rPr>
        <w:t>风险分解结构等)等方法和技术。</w:t>
      </w:r>
    </w:p>
    <w:p w14:paraId="3D5FCF6E">
      <w:pPr>
        <w:pStyle w:val="2"/>
        <w:spacing w:before="93" w:line="222" w:lineRule="auto"/>
        <w:ind w:left="402"/>
        <w:rPr>
          <w:rFonts w:ascii="黑体" w:hAnsi="黑体" w:eastAsia="黑体" w:cs="黑体"/>
          <w:sz w:val="19"/>
          <w:szCs w:val="19"/>
        </w:rPr>
      </w:pPr>
      <w:r>
        <w:rPr>
          <w:b/>
          <w:bCs/>
          <w:color w:val="0069E3"/>
          <w:spacing w:val="9"/>
          <w:sz w:val="19"/>
          <w:szCs w:val="19"/>
        </w:rPr>
        <w:t>3.</w:t>
      </w:r>
      <w:r>
        <w:rPr>
          <w:rFonts w:ascii="黑体" w:hAnsi="黑体" w:eastAsia="黑体" w:cs="黑体"/>
          <w:b/>
          <w:bCs/>
          <w:color w:val="0069E3"/>
          <w:spacing w:val="9"/>
          <w:sz w:val="19"/>
          <w:szCs w:val="19"/>
        </w:rPr>
        <w:t>风险识别的成果</w:t>
      </w:r>
    </w:p>
    <w:p w14:paraId="3F0D33B7">
      <w:pPr>
        <w:pStyle w:val="2"/>
        <w:spacing w:before="155" w:line="302" w:lineRule="auto"/>
        <w:ind w:right="310" w:firstLine="399"/>
        <w:jc w:val="both"/>
        <w:rPr>
          <w:sz w:val="19"/>
          <w:szCs w:val="19"/>
        </w:rPr>
      </w:pPr>
      <w:r>
        <w:rPr>
          <w:spacing w:val="13"/>
          <w:sz w:val="19"/>
          <w:szCs w:val="19"/>
        </w:rPr>
        <w:t>风险识别的成果主要是确定风险登记册的最初内容，记录已识别项目风险的详细信息，以</w:t>
      </w:r>
      <w:r>
        <w:rPr>
          <w:spacing w:val="8"/>
          <w:sz w:val="19"/>
          <w:szCs w:val="19"/>
        </w:rPr>
        <w:t xml:space="preserve"> </w:t>
      </w:r>
      <w:r>
        <w:rPr>
          <w:spacing w:val="13"/>
          <w:sz w:val="19"/>
          <w:szCs w:val="19"/>
        </w:rPr>
        <w:t>供后续开展风险分析。随着其他风险管理过程的实施，风险登记册会逐步丰富完</w:t>
      </w:r>
      <w:r>
        <w:rPr>
          <w:spacing w:val="12"/>
          <w:sz w:val="19"/>
          <w:szCs w:val="19"/>
        </w:rPr>
        <w:t>善。最初的风</w:t>
      </w:r>
      <w:r>
        <w:rPr>
          <w:sz w:val="19"/>
          <w:szCs w:val="19"/>
        </w:rPr>
        <w:t xml:space="preserve"> </w:t>
      </w:r>
      <w:r>
        <w:rPr>
          <w:spacing w:val="6"/>
          <w:sz w:val="19"/>
          <w:szCs w:val="19"/>
        </w:rPr>
        <w:t>险登记册中包括但不限于如下内容：</w:t>
      </w:r>
    </w:p>
    <w:p w14:paraId="6593ECC2">
      <w:pPr>
        <w:pStyle w:val="2"/>
        <w:spacing w:before="18" w:line="219" w:lineRule="auto"/>
        <w:ind w:left="399"/>
        <w:rPr>
          <w:sz w:val="19"/>
          <w:szCs w:val="19"/>
        </w:rPr>
      </w:pPr>
      <w:r>
        <w:rPr>
          <w:spacing w:val="12"/>
          <w:sz w:val="19"/>
          <w:szCs w:val="19"/>
        </w:rPr>
        <w:t>(1)风险事件。定义即将发生或可能发生的风险事件。</w:t>
      </w:r>
    </w:p>
    <w:p w14:paraId="49A66DAC">
      <w:pPr>
        <w:pStyle w:val="2"/>
        <w:spacing w:before="85" w:line="219" w:lineRule="auto"/>
        <w:ind w:left="399"/>
        <w:rPr>
          <w:sz w:val="19"/>
          <w:szCs w:val="19"/>
        </w:rPr>
      </w:pPr>
      <w:r>
        <w:rPr>
          <w:spacing w:val="12"/>
          <w:sz w:val="19"/>
          <w:szCs w:val="19"/>
        </w:rPr>
        <w:t>(2)风险源。记录引起风险事件发生的因素，也是风险</w:t>
      </w:r>
      <w:r>
        <w:rPr>
          <w:spacing w:val="11"/>
          <w:sz w:val="19"/>
          <w:szCs w:val="19"/>
        </w:rPr>
        <w:t>监控的关键要素。</w:t>
      </w:r>
    </w:p>
    <w:p w14:paraId="5C3929E3">
      <w:pPr>
        <w:pStyle w:val="2"/>
        <w:spacing w:before="83" w:line="219" w:lineRule="auto"/>
        <w:ind w:left="399"/>
        <w:rPr>
          <w:sz w:val="19"/>
          <w:szCs w:val="19"/>
        </w:rPr>
      </w:pPr>
      <w:r>
        <w:rPr>
          <w:spacing w:val="11"/>
          <w:sz w:val="19"/>
          <w:szCs w:val="19"/>
        </w:rPr>
        <w:t>(3)风险影响。风险的发生可能会对项目造成损害，也可能为项目带来机会，都需要记录。</w:t>
      </w:r>
    </w:p>
    <w:p w14:paraId="1ADF012B">
      <w:pPr>
        <w:pStyle w:val="2"/>
        <w:spacing w:before="96" w:line="220" w:lineRule="auto"/>
        <w:ind w:left="399"/>
        <w:rPr>
          <w:sz w:val="19"/>
          <w:szCs w:val="19"/>
        </w:rPr>
      </w:pPr>
      <w:r>
        <w:rPr>
          <w:spacing w:val="12"/>
          <w:sz w:val="19"/>
          <w:szCs w:val="19"/>
        </w:rPr>
        <w:t>(4)风险措施。风险可能或潜在的应对措施。</w:t>
      </w:r>
    </w:p>
    <w:p w14:paraId="27A55AE4">
      <w:pPr>
        <w:pStyle w:val="2"/>
        <w:spacing w:before="83" w:line="219" w:lineRule="auto"/>
        <w:ind w:left="399"/>
        <w:rPr>
          <w:sz w:val="19"/>
          <w:szCs w:val="19"/>
        </w:rPr>
      </w:pPr>
      <w:r>
        <w:rPr>
          <w:spacing w:val="12"/>
          <w:sz w:val="19"/>
          <w:szCs w:val="19"/>
        </w:rPr>
        <w:t>(5)风险状态。记录风险管理过程中风险目前所</w:t>
      </w:r>
      <w:r>
        <w:rPr>
          <w:spacing w:val="11"/>
          <w:sz w:val="19"/>
          <w:szCs w:val="19"/>
        </w:rPr>
        <w:t>处的状态。</w:t>
      </w:r>
    </w:p>
    <w:p w14:paraId="199ACA9E">
      <w:pPr>
        <w:pStyle w:val="2"/>
        <w:spacing w:before="85" w:line="219" w:lineRule="auto"/>
        <w:ind w:left="399"/>
        <w:rPr>
          <w:sz w:val="19"/>
          <w:szCs w:val="19"/>
        </w:rPr>
      </w:pPr>
      <w:r>
        <w:rPr>
          <w:spacing w:val="12"/>
          <w:sz w:val="19"/>
          <w:szCs w:val="19"/>
        </w:rPr>
        <w:t>(6)责任人。记录每个风险的潜在风险负责人。</w:t>
      </w:r>
    </w:p>
    <w:p w14:paraId="09438211">
      <w:pPr>
        <w:pStyle w:val="2"/>
        <w:spacing w:before="234" w:line="220" w:lineRule="auto"/>
        <w:ind w:left="3"/>
        <w:rPr>
          <w:sz w:val="26"/>
          <w:szCs w:val="26"/>
        </w:rPr>
      </w:pPr>
      <w:r>
        <w:rPr>
          <w:b/>
          <w:bCs/>
          <w:color w:val="0062E3"/>
          <w:spacing w:val="-24"/>
          <w:sz w:val="26"/>
          <w:szCs w:val="26"/>
        </w:rPr>
        <w:t>18.2.3</w:t>
      </w:r>
      <w:r>
        <w:rPr>
          <w:color w:val="0062E3"/>
          <w:spacing w:val="77"/>
          <w:sz w:val="26"/>
          <w:szCs w:val="26"/>
        </w:rPr>
        <w:t xml:space="preserve"> </w:t>
      </w:r>
      <w:r>
        <w:rPr>
          <w:b/>
          <w:bCs/>
          <w:color w:val="0062E3"/>
          <w:spacing w:val="-24"/>
          <w:sz w:val="26"/>
          <w:szCs w:val="26"/>
        </w:rPr>
        <w:t>风险分析</w:t>
      </w:r>
    </w:p>
    <w:p w14:paraId="742BC654">
      <w:pPr>
        <w:pStyle w:val="2"/>
        <w:spacing w:before="159" w:line="219" w:lineRule="auto"/>
        <w:ind w:left="399"/>
        <w:rPr>
          <w:sz w:val="19"/>
          <w:szCs w:val="19"/>
        </w:rPr>
      </w:pPr>
      <w:r>
        <w:rPr>
          <w:spacing w:val="9"/>
          <w:sz w:val="19"/>
          <w:szCs w:val="19"/>
        </w:rPr>
        <w:t>风险分析是对识别出的风险进行定性和定量</w:t>
      </w:r>
      <w:r>
        <w:rPr>
          <w:spacing w:val="8"/>
          <w:sz w:val="19"/>
          <w:szCs w:val="19"/>
        </w:rPr>
        <w:t>的分析，为风险应对提供支持。</w:t>
      </w:r>
    </w:p>
    <w:p w14:paraId="28391A5E">
      <w:pPr>
        <w:pStyle w:val="2"/>
        <w:spacing w:before="77" w:line="295" w:lineRule="auto"/>
        <w:ind w:right="295" w:firstLine="399"/>
        <w:rPr>
          <w:sz w:val="19"/>
          <w:szCs w:val="19"/>
        </w:rPr>
      </w:pPr>
      <w:r>
        <w:rPr>
          <w:spacing w:val="13"/>
          <w:sz w:val="19"/>
          <w:szCs w:val="19"/>
        </w:rPr>
        <w:t>实施风险定性分析是通过评估单个项目风险发生的概率和影响以及其他特征，对风险进行</w:t>
      </w:r>
      <w:r>
        <w:rPr>
          <w:spacing w:val="1"/>
          <w:sz w:val="19"/>
          <w:szCs w:val="19"/>
        </w:rPr>
        <w:t xml:space="preserve"> </w:t>
      </w:r>
      <w:r>
        <w:rPr>
          <w:spacing w:val="13"/>
          <w:sz w:val="19"/>
          <w:szCs w:val="19"/>
        </w:rPr>
        <w:t>优先级排序，从而为后续分析或行动提供基础的过程。本过程的主要作用是重点关注高优先级</w:t>
      </w:r>
      <w:r>
        <w:rPr>
          <w:spacing w:val="17"/>
          <w:sz w:val="19"/>
          <w:szCs w:val="19"/>
        </w:rPr>
        <w:t xml:space="preserve"> </w:t>
      </w:r>
      <w:r>
        <w:rPr>
          <w:spacing w:val="18"/>
          <w:sz w:val="19"/>
          <w:szCs w:val="19"/>
        </w:rPr>
        <w:t>的风险。在整个项目生命周期中要定期开展风险定性分析过程。风险定性分析的主要内容如</w:t>
      </w:r>
      <w:r>
        <w:rPr>
          <w:spacing w:val="3"/>
          <w:sz w:val="19"/>
          <w:szCs w:val="19"/>
        </w:rPr>
        <w:t xml:space="preserve"> </w:t>
      </w:r>
      <w:r>
        <w:rPr>
          <w:spacing w:val="11"/>
          <w:sz w:val="19"/>
          <w:szCs w:val="19"/>
        </w:rPr>
        <w:t>图18-4所示。</w:t>
      </w:r>
    </w:p>
    <w:p w14:paraId="7462BA2A">
      <w:pPr>
        <w:spacing w:before="1"/>
      </w:pPr>
    </w:p>
    <w:tbl>
      <w:tblPr>
        <w:tblStyle w:val="5"/>
        <w:tblW w:w="5257" w:type="dxa"/>
        <w:tblInd w:w="14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16"/>
        <w:gridCol w:w="1608"/>
        <w:gridCol w:w="1833"/>
      </w:tblGrid>
      <w:tr w14:paraId="5C13C4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6" w:hRule="atLeast"/>
        </w:trPr>
        <w:tc>
          <w:tcPr>
            <w:tcW w:w="1816" w:type="dxa"/>
            <w:vAlign w:val="top"/>
          </w:tcPr>
          <w:p w14:paraId="1C4BBD39">
            <w:pPr>
              <w:pStyle w:val="6"/>
              <w:spacing w:line="192" w:lineRule="auto"/>
              <w:rPr>
                <w:sz w:val="14"/>
                <w:szCs w:val="14"/>
              </w:rPr>
            </w:pPr>
            <w:r>
              <w:drawing>
                <wp:anchor distT="0" distB="0" distL="0" distR="0" simplePos="0" relativeHeight="251795456" behindDoc="1" locked="0" layoutInCell="1" allowOverlap="1">
                  <wp:simplePos x="0" y="0"/>
                  <wp:positionH relativeFrom="column">
                    <wp:posOffset>-107315</wp:posOffset>
                  </wp:positionH>
                  <wp:positionV relativeFrom="paragraph">
                    <wp:posOffset>-123190</wp:posOffset>
                  </wp:positionV>
                  <wp:extent cx="3651250" cy="84455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266"/>
                          <a:stretch>
                            <a:fillRect/>
                          </a:stretch>
                        </pic:blipFill>
                        <pic:spPr>
                          <a:xfrm>
                            <a:off x="0" y="0"/>
                            <a:ext cx="3651216" cy="844572"/>
                          </a:xfrm>
                          <a:prstGeom prst="rect">
                            <a:avLst/>
                          </a:prstGeom>
                        </pic:spPr>
                      </pic:pic>
                    </a:graphicData>
                  </a:graphic>
                </wp:anchor>
              </w:drawing>
            </w:r>
            <w:r>
              <w:rPr>
                <w:spacing w:val="22"/>
                <w:sz w:val="14"/>
                <w:szCs w:val="14"/>
              </w:rPr>
              <w:t>主要依据</w:t>
            </w:r>
            <w:r>
              <w:rPr>
                <w:spacing w:val="-29"/>
                <w:sz w:val="14"/>
                <w:szCs w:val="14"/>
              </w:rPr>
              <w:t xml:space="preserve"> </w:t>
            </w:r>
            <w:r>
              <w:rPr>
                <w:spacing w:val="22"/>
                <w:sz w:val="14"/>
                <w:szCs w:val="14"/>
              </w:rPr>
              <w:t>：</w:t>
            </w:r>
          </w:p>
        </w:tc>
        <w:tc>
          <w:tcPr>
            <w:tcW w:w="1608" w:type="dxa"/>
            <w:vAlign w:val="top"/>
          </w:tcPr>
          <w:p w14:paraId="79E92D2F">
            <w:pPr>
              <w:spacing w:line="146" w:lineRule="exact"/>
              <w:rPr>
                <w:rFonts w:ascii="Arial"/>
                <w:sz w:val="12"/>
              </w:rPr>
            </w:pPr>
          </w:p>
        </w:tc>
        <w:tc>
          <w:tcPr>
            <w:tcW w:w="1833" w:type="dxa"/>
            <w:vAlign w:val="top"/>
          </w:tcPr>
          <w:p w14:paraId="58AF0A7C">
            <w:pPr>
              <w:spacing w:line="146" w:lineRule="exact"/>
              <w:rPr>
                <w:rFonts w:ascii="Arial"/>
                <w:sz w:val="12"/>
              </w:rPr>
            </w:pPr>
          </w:p>
        </w:tc>
      </w:tr>
      <w:tr w14:paraId="1BDD49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6" w:hRule="atLeast"/>
        </w:trPr>
        <w:tc>
          <w:tcPr>
            <w:tcW w:w="1816" w:type="dxa"/>
            <w:vAlign w:val="top"/>
          </w:tcPr>
          <w:p w14:paraId="1AEAA247">
            <w:pPr>
              <w:pStyle w:val="6"/>
              <w:spacing w:before="16" w:line="194" w:lineRule="auto"/>
            </w:pPr>
            <w:r>
              <w:rPr>
                <w:color w:val="2483E3"/>
                <w:spacing w:val="-19"/>
                <w:w w:val="98"/>
              </w:rPr>
              <w:t>●</w:t>
            </w:r>
            <w:r>
              <w:rPr>
                <w:spacing w:val="-19"/>
                <w:w w:val="98"/>
              </w:rPr>
              <w:t>风险管理计划</w:t>
            </w:r>
          </w:p>
          <w:p w14:paraId="0BE78B29">
            <w:pPr>
              <w:pStyle w:val="6"/>
              <w:spacing w:line="205" w:lineRule="auto"/>
            </w:pPr>
            <w:r>
              <w:rPr>
                <w:color w:val="2483E3"/>
                <w:spacing w:val="-19"/>
              </w:rPr>
              <w:t>●</w:t>
            </w:r>
            <w:r>
              <w:rPr>
                <w:spacing w:val="-19"/>
              </w:rPr>
              <w:t>项目范围说明书</w:t>
            </w:r>
          </w:p>
          <w:p w14:paraId="0AEB44F5">
            <w:pPr>
              <w:pStyle w:val="6"/>
              <w:spacing w:line="203" w:lineRule="auto"/>
            </w:pPr>
            <w:r>
              <w:rPr>
                <w:color w:val="2483E3"/>
                <w:spacing w:val="-22"/>
              </w:rPr>
              <w:t>●</w:t>
            </w:r>
            <w:r>
              <w:rPr>
                <w:spacing w:val="-22"/>
              </w:rPr>
              <w:t>风险登记册</w:t>
            </w:r>
          </w:p>
          <w:p w14:paraId="671C5288">
            <w:pPr>
              <w:pStyle w:val="6"/>
              <w:spacing w:line="174" w:lineRule="auto"/>
            </w:pPr>
            <w:r>
              <w:rPr>
                <w:color w:val="2483E3"/>
                <w:spacing w:val="-22"/>
              </w:rPr>
              <w:t>●</w:t>
            </w:r>
            <w:r>
              <w:rPr>
                <w:spacing w:val="-22"/>
              </w:rPr>
              <w:t>组织过程资产</w:t>
            </w:r>
          </w:p>
        </w:tc>
        <w:tc>
          <w:tcPr>
            <w:tcW w:w="1608" w:type="dxa"/>
            <w:vAlign w:val="top"/>
          </w:tcPr>
          <w:p w14:paraId="006107A7">
            <w:pPr>
              <w:pStyle w:val="6"/>
              <w:spacing w:before="106" w:line="217" w:lineRule="auto"/>
              <w:ind w:left="453" w:right="466" w:firstLine="169"/>
            </w:pPr>
            <w:r>
              <w:rPr>
                <w:spacing w:val="-5"/>
              </w:rPr>
              <w:t>风险</w:t>
            </w:r>
            <w:r>
              <w:t xml:space="preserve">  </w:t>
            </w:r>
            <w:r>
              <w:rPr>
                <w:spacing w:val="-18"/>
                <w:w w:val="99"/>
              </w:rPr>
              <w:t>定性分析</w:t>
            </w:r>
          </w:p>
        </w:tc>
        <w:tc>
          <w:tcPr>
            <w:tcW w:w="1833" w:type="dxa"/>
            <w:vAlign w:val="top"/>
          </w:tcPr>
          <w:p w14:paraId="1494C5F1">
            <w:pPr>
              <w:pStyle w:val="6"/>
              <w:spacing w:before="134" w:line="219" w:lineRule="auto"/>
              <w:ind w:left="466"/>
              <w:rPr>
                <w:sz w:val="14"/>
                <w:szCs w:val="14"/>
              </w:rPr>
            </w:pPr>
            <w:r>
              <w:rPr>
                <w:spacing w:val="-7"/>
                <w:sz w:val="14"/>
                <w:szCs w:val="14"/>
              </w:rPr>
              <w:t>产 出</w:t>
            </w:r>
            <w:r>
              <w:rPr>
                <w:spacing w:val="-21"/>
                <w:sz w:val="14"/>
                <w:szCs w:val="14"/>
              </w:rPr>
              <w:t xml:space="preserve"> </w:t>
            </w:r>
            <w:r>
              <w:rPr>
                <w:spacing w:val="-7"/>
                <w:sz w:val="14"/>
                <w:szCs w:val="14"/>
              </w:rPr>
              <w:t>：</w:t>
            </w:r>
          </w:p>
          <w:p w14:paraId="205D79AD">
            <w:pPr>
              <w:pStyle w:val="6"/>
              <w:spacing w:before="36" w:line="220" w:lineRule="auto"/>
              <w:jc w:val="right"/>
            </w:pPr>
            <w:r>
              <w:rPr>
                <w:color w:val="0053E5"/>
                <w:spacing w:val="-21"/>
                <w:w w:val="97"/>
              </w:rPr>
              <w:t>●</w:t>
            </w:r>
            <w:r>
              <w:rPr>
                <w:color w:val="0053E5"/>
                <w:spacing w:val="-62"/>
              </w:rPr>
              <w:t xml:space="preserve"> </w:t>
            </w:r>
            <w:r>
              <w:rPr>
                <w:spacing w:val="-21"/>
                <w:w w:val="97"/>
              </w:rPr>
              <w:t>风险</w:t>
            </w:r>
            <w:r>
              <w:rPr>
                <w:spacing w:val="-20"/>
                <w:w w:val="97"/>
              </w:rPr>
              <w:t>登记册更</w:t>
            </w:r>
            <w:r>
              <w:rPr>
                <w:spacing w:val="-9"/>
                <w:w w:val="97"/>
              </w:rPr>
              <w:t>新</w:t>
            </w:r>
          </w:p>
        </w:tc>
      </w:tr>
    </w:tbl>
    <w:p w14:paraId="6CB8FE62">
      <w:pPr>
        <w:pStyle w:val="2"/>
        <w:spacing w:before="211" w:line="220" w:lineRule="auto"/>
        <w:ind w:left="3279"/>
        <w:rPr>
          <w:sz w:val="19"/>
          <w:szCs w:val="19"/>
        </w:rPr>
      </w:pPr>
      <w:r>
        <w:rPr>
          <w:spacing w:val="-7"/>
          <w:sz w:val="19"/>
          <w:szCs w:val="19"/>
        </w:rPr>
        <w:t>图18-4</w:t>
      </w:r>
      <w:r>
        <w:rPr>
          <w:spacing w:val="77"/>
          <w:sz w:val="19"/>
          <w:szCs w:val="19"/>
        </w:rPr>
        <w:t xml:space="preserve"> </w:t>
      </w:r>
      <w:r>
        <w:rPr>
          <w:spacing w:val="-7"/>
          <w:sz w:val="19"/>
          <w:szCs w:val="19"/>
        </w:rPr>
        <w:t>风险定性分析</w:t>
      </w:r>
    </w:p>
    <w:p w14:paraId="02D13EC6">
      <w:pPr>
        <w:pStyle w:val="2"/>
        <w:spacing w:before="289" w:line="222" w:lineRule="auto"/>
        <w:ind w:left="402"/>
        <w:rPr>
          <w:rFonts w:ascii="黑体" w:hAnsi="黑体" w:eastAsia="黑体" w:cs="黑体"/>
          <w:sz w:val="19"/>
          <w:szCs w:val="19"/>
        </w:rPr>
      </w:pPr>
      <w:r>
        <w:rPr>
          <w:b/>
          <w:bCs/>
          <w:color w:val="0056D8"/>
          <w:spacing w:val="6"/>
          <w:sz w:val="19"/>
          <w:szCs w:val="19"/>
        </w:rPr>
        <w:t>1.</w:t>
      </w:r>
      <w:r>
        <w:rPr>
          <w:rFonts w:ascii="黑体" w:hAnsi="黑体" w:eastAsia="黑体" w:cs="黑体"/>
          <w:b/>
          <w:bCs/>
          <w:color w:val="0056D8"/>
          <w:spacing w:val="6"/>
          <w:sz w:val="19"/>
          <w:szCs w:val="19"/>
        </w:rPr>
        <w:t>风险定性分析的依据</w:t>
      </w:r>
    </w:p>
    <w:p w14:paraId="1C61AB28">
      <w:pPr>
        <w:pStyle w:val="2"/>
        <w:spacing w:before="134" w:line="292" w:lineRule="auto"/>
        <w:ind w:right="232" w:firstLine="399"/>
        <w:jc w:val="both"/>
        <w:rPr>
          <w:sz w:val="19"/>
          <w:szCs w:val="19"/>
        </w:rPr>
      </w:pPr>
      <w:r>
        <w:rPr>
          <w:spacing w:val="13"/>
          <w:sz w:val="19"/>
          <w:szCs w:val="19"/>
        </w:rPr>
        <w:t>风险定性分析基于风险管理相关人员对风险的感知程度。风险感知是指个体对存在于外界</w:t>
      </w:r>
      <w:r>
        <w:rPr>
          <w:sz w:val="19"/>
          <w:szCs w:val="19"/>
        </w:rPr>
        <w:t xml:space="preserve">  </w:t>
      </w:r>
      <w:r>
        <w:rPr>
          <w:spacing w:val="15"/>
          <w:sz w:val="19"/>
          <w:szCs w:val="19"/>
        </w:rPr>
        <w:t>的各种客观风险的感受和认识，受直观判断和主观感受获得的经验影响，具有一定的主观性。</w:t>
      </w:r>
      <w:r>
        <w:rPr>
          <w:sz w:val="19"/>
          <w:szCs w:val="19"/>
        </w:rPr>
        <w:t xml:space="preserve"> </w:t>
      </w:r>
      <w:r>
        <w:rPr>
          <w:spacing w:val="7"/>
          <w:sz w:val="19"/>
          <w:szCs w:val="19"/>
        </w:rPr>
        <w:t>为在一定程度上克服主观因素的影响，通常采用如下主要依据：</w:t>
      </w:r>
    </w:p>
    <w:p w14:paraId="5A6FDC70">
      <w:pPr>
        <w:pStyle w:val="2"/>
        <w:spacing w:before="38" w:line="219" w:lineRule="auto"/>
        <w:ind w:left="399"/>
        <w:rPr>
          <w:sz w:val="19"/>
          <w:szCs w:val="19"/>
        </w:rPr>
      </w:pPr>
      <w:r>
        <w:rPr>
          <w:spacing w:val="15"/>
          <w:sz w:val="19"/>
          <w:szCs w:val="19"/>
        </w:rPr>
        <w:t>(1)风险管理计划。依据风险管理计划，明确风险管理的角色和职责、风险管理的预算和</w:t>
      </w:r>
    </w:p>
    <w:p w14:paraId="6520922C">
      <w:pPr>
        <w:spacing w:line="219" w:lineRule="auto"/>
        <w:rPr>
          <w:sz w:val="19"/>
          <w:szCs w:val="19"/>
        </w:rPr>
        <w:sectPr>
          <w:pgSz w:w="10290" w:h="13250"/>
          <w:pgMar w:top="400" w:right="512" w:bottom="400" w:left="1140" w:header="0" w:footer="0" w:gutter="0"/>
          <w:cols w:space="720" w:num="1"/>
        </w:sectPr>
      </w:pPr>
    </w:p>
    <w:p w14:paraId="338EF76F">
      <w:pPr>
        <w:pStyle w:val="2"/>
        <w:spacing w:before="67" w:line="219" w:lineRule="auto"/>
        <w:rPr>
          <w:sz w:val="19"/>
          <w:szCs w:val="19"/>
        </w:rPr>
      </w:pPr>
      <w:r>
        <w:rPr>
          <w:rFonts w:ascii="Times New Roman" w:hAnsi="Times New Roman" w:eastAsia="Times New Roman" w:cs="Times New Roman"/>
          <w:b/>
          <w:bCs/>
          <w:spacing w:val="3"/>
          <w:sz w:val="19"/>
          <w:szCs w:val="19"/>
        </w:rPr>
        <w:t xml:space="preserve">400              </w:t>
      </w:r>
      <w:r>
        <w:rPr>
          <w:spacing w:val="3"/>
          <w:sz w:val="19"/>
          <w:szCs w:val="19"/>
        </w:rPr>
        <w:t>信息系统监理师教程(第2版)</w:t>
      </w:r>
    </w:p>
    <w:p w14:paraId="64AB2883">
      <w:pPr>
        <w:spacing w:line="309" w:lineRule="auto"/>
        <w:rPr>
          <w:rFonts w:ascii="Arial"/>
          <w:sz w:val="21"/>
        </w:rPr>
      </w:pPr>
    </w:p>
    <w:p w14:paraId="514C6DFA">
      <w:pPr>
        <w:pStyle w:val="2"/>
        <w:spacing w:before="62" w:line="308" w:lineRule="auto"/>
        <w:ind w:left="359" w:right="32"/>
        <w:rPr>
          <w:sz w:val="19"/>
          <w:szCs w:val="19"/>
        </w:rPr>
      </w:pPr>
      <w:r>
        <w:rPr>
          <w:spacing w:val="13"/>
          <w:sz w:val="19"/>
          <w:szCs w:val="19"/>
        </w:rPr>
        <w:t>进度、概率和影响定义、概率影响矩阵以及干系人风险承受度等信息。如果在</w:t>
      </w:r>
      <w:r>
        <w:rPr>
          <w:spacing w:val="12"/>
          <w:sz w:val="19"/>
          <w:szCs w:val="19"/>
        </w:rPr>
        <w:t>风险管理规划过</w:t>
      </w:r>
      <w:r>
        <w:rPr>
          <w:sz w:val="19"/>
          <w:szCs w:val="19"/>
        </w:rPr>
        <w:t xml:space="preserve"> </w:t>
      </w:r>
      <w:r>
        <w:rPr>
          <w:spacing w:val="8"/>
          <w:sz w:val="19"/>
          <w:szCs w:val="19"/>
        </w:rPr>
        <w:t>程中未涉及这些内容，则可以在风险定性分析过程中加以开发。</w:t>
      </w:r>
    </w:p>
    <w:p w14:paraId="4DE92942">
      <w:pPr>
        <w:pStyle w:val="2"/>
        <w:spacing w:before="6" w:line="274" w:lineRule="auto"/>
        <w:ind w:left="359" w:right="30" w:firstLine="400"/>
        <w:rPr>
          <w:sz w:val="19"/>
          <w:szCs w:val="19"/>
        </w:rPr>
      </w:pPr>
      <w:r>
        <w:rPr>
          <w:spacing w:val="15"/>
          <w:sz w:val="19"/>
          <w:szCs w:val="19"/>
        </w:rPr>
        <w:t>(2)项目范围说明书。对于有丰富历史经验的建设内容，容易估算风险发生的概率及其影</w:t>
      </w:r>
      <w:r>
        <w:rPr>
          <w:spacing w:val="2"/>
          <w:sz w:val="19"/>
          <w:szCs w:val="19"/>
        </w:rPr>
        <w:t xml:space="preserve"> </w:t>
      </w:r>
      <w:r>
        <w:rPr>
          <w:spacing w:val="13"/>
          <w:sz w:val="19"/>
          <w:szCs w:val="19"/>
        </w:rPr>
        <w:t>响。而对于那些采用最新技术的项目或者复杂项目，需要通过项目范围说明书提供</w:t>
      </w:r>
      <w:r>
        <w:rPr>
          <w:spacing w:val="12"/>
          <w:sz w:val="19"/>
          <w:szCs w:val="19"/>
        </w:rPr>
        <w:t>评估项目情</w:t>
      </w:r>
      <w:r>
        <w:rPr>
          <w:sz w:val="19"/>
          <w:szCs w:val="19"/>
        </w:rPr>
        <w:t xml:space="preserve"> </w:t>
      </w:r>
      <w:r>
        <w:rPr>
          <w:spacing w:val="7"/>
          <w:sz w:val="19"/>
          <w:szCs w:val="19"/>
        </w:rPr>
        <w:t>况的信息，以便尽量减少不确定性。</w:t>
      </w:r>
    </w:p>
    <w:p w14:paraId="2D68972E">
      <w:pPr>
        <w:pStyle w:val="2"/>
        <w:spacing w:before="93" w:line="219" w:lineRule="auto"/>
        <w:ind w:left="760"/>
        <w:rPr>
          <w:sz w:val="19"/>
          <w:szCs w:val="19"/>
        </w:rPr>
      </w:pPr>
      <w:r>
        <w:rPr>
          <w:spacing w:val="11"/>
          <w:sz w:val="19"/>
          <w:szCs w:val="19"/>
        </w:rPr>
        <w:t>(3)风险登记册。依据风险登记册，针对已识别风险开展定性分析。</w:t>
      </w:r>
    </w:p>
    <w:p w14:paraId="68F82A45">
      <w:pPr>
        <w:pStyle w:val="2"/>
        <w:spacing w:before="76" w:line="264" w:lineRule="auto"/>
        <w:ind w:left="359" w:right="31" w:firstLine="400"/>
        <w:rPr>
          <w:sz w:val="19"/>
          <w:szCs w:val="19"/>
        </w:rPr>
      </w:pPr>
      <w:r>
        <w:rPr>
          <w:spacing w:val="15"/>
          <w:sz w:val="19"/>
          <w:szCs w:val="19"/>
        </w:rPr>
        <w:t>(4)组织过程资产。组织过程资产中的部分因素也可能影响风险定性分析，例如以往类似</w:t>
      </w:r>
      <w:r>
        <w:rPr>
          <w:spacing w:val="2"/>
          <w:sz w:val="19"/>
          <w:szCs w:val="19"/>
        </w:rPr>
        <w:t xml:space="preserve"> </w:t>
      </w:r>
      <w:r>
        <w:rPr>
          <w:spacing w:val="9"/>
          <w:sz w:val="19"/>
          <w:szCs w:val="19"/>
        </w:rPr>
        <w:t>项目的信息、风险专家对类似项目的研究、从行业或专有渠道</w:t>
      </w:r>
      <w:r>
        <w:rPr>
          <w:spacing w:val="8"/>
          <w:sz w:val="19"/>
          <w:szCs w:val="19"/>
        </w:rPr>
        <w:t>获得的风险数据库等。</w:t>
      </w:r>
    </w:p>
    <w:p w14:paraId="5D0DBE4C">
      <w:pPr>
        <w:pStyle w:val="2"/>
        <w:spacing w:before="172" w:line="221" w:lineRule="auto"/>
        <w:ind w:left="762"/>
        <w:rPr>
          <w:rFonts w:ascii="黑体" w:hAnsi="黑体" w:eastAsia="黑体" w:cs="黑体"/>
          <w:sz w:val="19"/>
          <w:szCs w:val="19"/>
        </w:rPr>
      </w:pPr>
      <w:r>
        <w:rPr>
          <w:b/>
          <w:bCs/>
          <w:color w:val="0082D9"/>
          <w:spacing w:val="9"/>
          <w:sz w:val="19"/>
          <w:szCs w:val="19"/>
        </w:rPr>
        <w:t>2.</w:t>
      </w:r>
      <w:r>
        <w:rPr>
          <w:rFonts w:ascii="黑体" w:hAnsi="黑体" w:eastAsia="黑体" w:cs="黑体"/>
          <w:b/>
          <w:bCs/>
          <w:color w:val="0082D9"/>
          <w:spacing w:val="9"/>
          <w:sz w:val="19"/>
          <w:szCs w:val="19"/>
        </w:rPr>
        <w:t>风险定性分析的技术与方法</w:t>
      </w:r>
    </w:p>
    <w:p w14:paraId="381FF5C7">
      <w:pPr>
        <w:pStyle w:val="2"/>
        <w:spacing w:before="155" w:line="293" w:lineRule="auto"/>
        <w:ind w:left="359" w:right="31" w:firstLine="400"/>
        <w:jc w:val="both"/>
        <w:rPr>
          <w:sz w:val="19"/>
          <w:szCs w:val="19"/>
        </w:rPr>
      </w:pPr>
      <w:r>
        <w:rPr>
          <w:spacing w:val="13"/>
          <w:sz w:val="19"/>
          <w:szCs w:val="19"/>
        </w:rPr>
        <w:t>风险定性分析采用的主要方式是：首先是专家判断，在此基础上利用风险概率影响矩阵对</w:t>
      </w:r>
      <w:r>
        <w:rPr>
          <w:sz w:val="19"/>
          <w:szCs w:val="19"/>
        </w:rPr>
        <w:t xml:space="preserve"> </w:t>
      </w:r>
      <w:r>
        <w:rPr>
          <w:spacing w:val="15"/>
          <w:sz w:val="19"/>
          <w:szCs w:val="19"/>
        </w:rPr>
        <w:t>各项风险进行定性评估；其次是对风险紧迫性、风险数据质量进一步分析和评估(可利用如故</w:t>
      </w:r>
      <w:r>
        <w:rPr>
          <w:spacing w:val="7"/>
          <w:sz w:val="19"/>
          <w:szCs w:val="19"/>
        </w:rPr>
        <w:t xml:space="preserve"> </w:t>
      </w:r>
      <w:r>
        <w:rPr>
          <w:spacing w:val="8"/>
          <w:sz w:val="19"/>
          <w:szCs w:val="19"/>
        </w:rPr>
        <w:t>障树分析、层次分析等方法或技术)。</w:t>
      </w:r>
    </w:p>
    <w:p w14:paraId="650C139E">
      <w:pPr>
        <w:pStyle w:val="2"/>
        <w:spacing w:before="123" w:line="222" w:lineRule="auto"/>
        <w:ind w:left="762"/>
        <w:rPr>
          <w:rFonts w:ascii="黑体" w:hAnsi="黑体" w:eastAsia="黑体" w:cs="黑体"/>
          <w:sz w:val="19"/>
          <w:szCs w:val="19"/>
        </w:rPr>
      </w:pPr>
      <w:r>
        <w:rPr>
          <w:b/>
          <w:bCs/>
          <w:color w:val="008ADB"/>
          <w:spacing w:val="8"/>
          <w:sz w:val="19"/>
          <w:szCs w:val="19"/>
        </w:rPr>
        <w:t>3.</w:t>
      </w:r>
      <w:r>
        <w:rPr>
          <w:rFonts w:ascii="黑体" w:hAnsi="黑体" w:eastAsia="黑体" w:cs="黑体"/>
          <w:b/>
          <w:bCs/>
          <w:color w:val="008ADB"/>
          <w:spacing w:val="8"/>
          <w:sz w:val="19"/>
          <w:szCs w:val="19"/>
        </w:rPr>
        <w:t>风险定性分析的成果</w:t>
      </w:r>
    </w:p>
    <w:p w14:paraId="0B074453">
      <w:pPr>
        <w:pStyle w:val="2"/>
        <w:spacing w:before="127" w:line="272" w:lineRule="auto"/>
        <w:ind w:left="359" w:firstLine="400"/>
        <w:jc w:val="both"/>
        <w:rPr>
          <w:sz w:val="19"/>
          <w:szCs w:val="19"/>
        </w:rPr>
      </w:pPr>
      <w:r>
        <w:rPr>
          <w:spacing w:val="-1"/>
          <w:sz w:val="21"/>
          <w:szCs w:val="21"/>
        </w:rPr>
        <w:t>综合考虑每个风险的发生概率及其影响，排定相对的</w:t>
      </w:r>
      <w:r>
        <w:rPr>
          <w:spacing w:val="-2"/>
          <w:sz w:val="21"/>
          <w:szCs w:val="21"/>
        </w:rPr>
        <w:t>优先级关系；也可根据组织对不同</w:t>
      </w:r>
      <w:r>
        <w:rPr>
          <w:sz w:val="21"/>
          <w:szCs w:val="21"/>
        </w:rPr>
        <w:t xml:space="preserve"> </w:t>
      </w:r>
      <w:r>
        <w:rPr>
          <w:spacing w:val="3"/>
          <w:sz w:val="21"/>
          <w:szCs w:val="21"/>
        </w:rPr>
        <w:t>目标的重视程度，选择维度(例如进度、成本、目标、质量等)排列风险优先级。根据风险</w:t>
      </w:r>
      <w:r>
        <w:rPr>
          <w:spacing w:val="7"/>
          <w:sz w:val="21"/>
          <w:szCs w:val="21"/>
        </w:rPr>
        <w:t xml:space="preserve"> </w:t>
      </w:r>
      <w:r>
        <w:rPr>
          <w:spacing w:val="-1"/>
          <w:sz w:val="21"/>
          <w:szCs w:val="21"/>
        </w:rPr>
        <w:t>定性分析的结果，风险登记册应更新项目风险相对排序，并把更</w:t>
      </w:r>
      <w:r>
        <w:rPr>
          <w:spacing w:val="-2"/>
          <w:sz w:val="21"/>
          <w:szCs w:val="21"/>
        </w:rPr>
        <w:t>新后的风险登记册纳入项目</w:t>
      </w:r>
      <w:r>
        <w:rPr>
          <w:sz w:val="21"/>
          <w:szCs w:val="21"/>
        </w:rPr>
        <w:t xml:space="preserve"> </w:t>
      </w:r>
      <w:r>
        <w:rPr>
          <w:spacing w:val="5"/>
          <w:sz w:val="19"/>
          <w:szCs w:val="19"/>
        </w:rPr>
        <w:t>文档。</w:t>
      </w:r>
    </w:p>
    <w:p w14:paraId="721B3FF0">
      <w:pPr>
        <w:pStyle w:val="2"/>
        <w:spacing w:before="61" w:line="294" w:lineRule="auto"/>
        <w:ind w:left="359" w:right="27" w:firstLine="400"/>
        <w:jc w:val="both"/>
        <w:rPr>
          <w:sz w:val="19"/>
          <w:szCs w:val="19"/>
        </w:rPr>
      </w:pPr>
      <w:r>
        <w:rPr>
          <w:spacing w:val="13"/>
          <w:sz w:val="19"/>
          <w:szCs w:val="19"/>
        </w:rPr>
        <w:t>风险定量分析是对已识别的项目风险通过数学或统计方法进行量化分析的过程，通常在风</w:t>
      </w:r>
      <w:r>
        <w:rPr>
          <w:sz w:val="19"/>
          <w:szCs w:val="19"/>
        </w:rPr>
        <w:t xml:space="preserve"> </w:t>
      </w:r>
      <w:r>
        <w:rPr>
          <w:spacing w:val="13"/>
          <w:sz w:val="19"/>
          <w:szCs w:val="19"/>
        </w:rPr>
        <w:t>险定性分析之后进行。与风险定性分析相比，定量分析过程能通过概率分布描述</w:t>
      </w:r>
      <w:r>
        <w:rPr>
          <w:spacing w:val="12"/>
          <w:sz w:val="19"/>
          <w:szCs w:val="19"/>
        </w:rPr>
        <w:t>风险发生的可</w:t>
      </w:r>
      <w:r>
        <w:rPr>
          <w:sz w:val="19"/>
          <w:szCs w:val="19"/>
        </w:rPr>
        <w:t xml:space="preserve"> </w:t>
      </w:r>
      <w:r>
        <w:rPr>
          <w:spacing w:val="13"/>
          <w:sz w:val="19"/>
          <w:szCs w:val="19"/>
        </w:rPr>
        <w:t>能性，并预测风险对项目目标的影响程度，并能评估实现目标的可能性和风险储备需求等</w:t>
      </w:r>
      <w:r>
        <w:rPr>
          <w:spacing w:val="12"/>
          <w:sz w:val="19"/>
          <w:szCs w:val="19"/>
        </w:rPr>
        <w:t>。定</w:t>
      </w:r>
      <w:r>
        <w:rPr>
          <w:sz w:val="19"/>
          <w:szCs w:val="19"/>
        </w:rPr>
        <w:t xml:space="preserve"> </w:t>
      </w:r>
      <w:r>
        <w:rPr>
          <w:spacing w:val="8"/>
          <w:sz w:val="19"/>
          <w:szCs w:val="19"/>
        </w:rPr>
        <w:t>量分析并非每个项目必需，但如果采用，应在整个项目期间持续开展。</w:t>
      </w:r>
    </w:p>
    <w:p w14:paraId="6DD8A7FD">
      <w:pPr>
        <w:pStyle w:val="2"/>
        <w:spacing w:before="39" w:line="219" w:lineRule="auto"/>
        <w:ind w:left="760"/>
        <w:rPr>
          <w:sz w:val="19"/>
          <w:szCs w:val="19"/>
        </w:rPr>
      </w:pPr>
      <w:r>
        <w:rPr>
          <w:spacing w:val="9"/>
          <w:sz w:val="19"/>
          <w:szCs w:val="19"/>
        </w:rPr>
        <w:t>风险定量分析的主要内容如图18-5所示。</w:t>
      </w:r>
    </w:p>
    <w:p w14:paraId="58CA4D15">
      <w:pPr>
        <w:pStyle w:val="2"/>
        <w:spacing w:before="137" w:line="1090" w:lineRule="exact"/>
        <w:ind w:firstLine="1660"/>
      </w:pPr>
      <w:r>
        <w:rPr>
          <w:position w:val="-21"/>
        </w:rPr>
        <w:pict>
          <v:group id="_x0000_s1561" o:spid="_x0000_s1561" o:spt="203" style="height:54.55pt;width:287.5pt;" coordsize="5750,1090">
            <o:lock v:ext="edit"/>
            <v:shape id="_x0000_s1562" o:spid="_x0000_s1562" o:spt="75" type="#_x0000_t75" style="position:absolute;left:0;top:0;height:1090;width:5750;" filled="f" stroked="f" coordsize="21600,21600">
              <v:path/>
              <v:fill on="f" focussize="0,0"/>
              <v:stroke on="f"/>
              <v:imagedata r:id="rId267" o:title=""/>
              <o:lock v:ext="edit" aspectratio="t"/>
            </v:shape>
            <v:shape id="_x0000_s1563" o:spid="_x0000_s1563" o:spt="202" type="#_x0000_t202" style="position:absolute;left:209;top:77;height:900;width:5217;" filled="f" stroked="f" coordsize="21600,21600">
              <v:path/>
              <v:fill on="f" focussize="0,0"/>
              <v:stroke on="f"/>
              <v:imagedata o:title=""/>
              <o:lock v:ext="edit" aspectratio="f"/>
              <v:textbox inset="0mm,0mm,0mm,0mm">
                <w:txbxContent>
                  <w:p w14:paraId="709F721E">
                    <w:pPr>
                      <w:spacing w:line="20" w:lineRule="exact"/>
                    </w:pPr>
                  </w:p>
                  <w:tbl>
                    <w:tblPr>
                      <w:tblStyle w:val="5"/>
                      <w:tblW w:w="5177"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86"/>
                      <w:gridCol w:w="1662"/>
                      <w:gridCol w:w="1829"/>
                    </w:tblGrid>
                    <w:tr w14:paraId="29C147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0" w:hRule="atLeast"/>
                      </w:trPr>
                      <w:tc>
                        <w:tcPr>
                          <w:tcW w:w="1686" w:type="dxa"/>
                          <w:vAlign w:val="top"/>
                        </w:tcPr>
                        <w:p w14:paraId="034E4433">
                          <w:pPr>
                            <w:spacing w:line="194" w:lineRule="auto"/>
                            <w:rPr>
                              <w:rFonts w:ascii="宋体" w:hAnsi="宋体" w:eastAsia="宋体" w:cs="宋体"/>
                              <w:sz w:val="19"/>
                              <w:szCs w:val="19"/>
                            </w:rPr>
                          </w:pPr>
                          <w:r>
                            <w:rPr>
                              <w:rFonts w:ascii="宋体" w:hAnsi="宋体" w:eastAsia="宋体" w:cs="宋体"/>
                              <w:spacing w:val="-19"/>
                              <w:sz w:val="19"/>
                              <w:szCs w:val="19"/>
                            </w:rPr>
                            <w:t>主要依据：</w:t>
                          </w:r>
                        </w:p>
                      </w:tc>
                      <w:tc>
                        <w:tcPr>
                          <w:tcW w:w="1662" w:type="dxa"/>
                          <w:vAlign w:val="top"/>
                        </w:tcPr>
                        <w:p w14:paraId="34A270A9">
                          <w:pPr>
                            <w:spacing w:line="200" w:lineRule="exact"/>
                            <w:rPr>
                              <w:rFonts w:ascii="Arial"/>
                              <w:sz w:val="17"/>
                            </w:rPr>
                          </w:pPr>
                        </w:p>
                      </w:tc>
                      <w:tc>
                        <w:tcPr>
                          <w:tcW w:w="1829" w:type="dxa"/>
                          <w:vAlign w:val="top"/>
                        </w:tcPr>
                        <w:p w14:paraId="572F7057">
                          <w:pPr>
                            <w:spacing w:line="200" w:lineRule="exact"/>
                            <w:rPr>
                              <w:rFonts w:ascii="Arial"/>
                              <w:sz w:val="17"/>
                            </w:rPr>
                          </w:pPr>
                        </w:p>
                      </w:tc>
                    </w:tr>
                    <w:tr w14:paraId="220F22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0" w:hRule="atLeast"/>
                      </w:trPr>
                      <w:tc>
                        <w:tcPr>
                          <w:tcW w:w="1686" w:type="dxa"/>
                          <w:vAlign w:val="top"/>
                        </w:tcPr>
                        <w:p w14:paraId="04CF634F">
                          <w:pPr>
                            <w:spacing w:before="21" w:line="214" w:lineRule="auto"/>
                            <w:rPr>
                              <w:rFonts w:ascii="宋体" w:hAnsi="宋体" w:eastAsia="宋体" w:cs="宋体"/>
                              <w:sz w:val="19"/>
                              <w:szCs w:val="19"/>
                            </w:rPr>
                          </w:pPr>
                          <w:r>
                            <w:rPr>
                              <w:rFonts w:ascii="宋体" w:hAnsi="宋体" w:eastAsia="宋体" w:cs="宋体"/>
                              <w:color w:val="0081F3"/>
                              <w:spacing w:val="-21"/>
                              <w:sz w:val="19"/>
                              <w:szCs w:val="19"/>
                            </w:rPr>
                            <w:t>●</w:t>
                          </w:r>
                          <w:r>
                            <w:rPr>
                              <w:rFonts w:ascii="宋体" w:hAnsi="宋体" w:eastAsia="宋体" w:cs="宋体"/>
                              <w:spacing w:val="-21"/>
                              <w:sz w:val="19"/>
                              <w:szCs w:val="19"/>
                            </w:rPr>
                            <w:t>项目管理计划</w:t>
                          </w:r>
                        </w:p>
                        <w:p w14:paraId="699B4E49">
                          <w:pPr>
                            <w:spacing w:before="1" w:line="212" w:lineRule="auto"/>
                            <w:rPr>
                              <w:rFonts w:ascii="宋体" w:hAnsi="宋体" w:eastAsia="宋体" w:cs="宋体"/>
                              <w:sz w:val="19"/>
                              <w:szCs w:val="19"/>
                            </w:rPr>
                          </w:pPr>
                          <w:r>
                            <w:rPr>
                              <w:rFonts w:ascii="宋体" w:hAnsi="宋体" w:eastAsia="宋体" w:cs="宋体"/>
                              <w:color w:val="0081F3"/>
                              <w:spacing w:val="-21"/>
                              <w:w w:val="99"/>
                              <w:sz w:val="19"/>
                              <w:szCs w:val="19"/>
                            </w:rPr>
                            <w:t>●</w:t>
                          </w:r>
                          <w:r>
                            <w:rPr>
                              <w:rFonts w:ascii="宋体" w:hAnsi="宋体" w:eastAsia="宋体" w:cs="宋体"/>
                              <w:spacing w:val="-21"/>
                              <w:w w:val="99"/>
                              <w:sz w:val="19"/>
                              <w:szCs w:val="19"/>
                            </w:rPr>
                            <w:t>风险登记册</w:t>
                          </w:r>
                        </w:p>
                        <w:p w14:paraId="3B73A53E">
                          <w:pPr>
                            <w:spacing w:line="174" w:lineRule="auto"/>
                            <w:rPr>
                              <w:rFonts w:ascii="宋体" w:hAnsi="宋体" w:eastAsia="宋体" w:cs="宋体"/>
                              <w:sz w:val="19"/>
                              <w:szCs w:val="19"/>
                            </w:rPr>
                          </w:pPr>
                          <w:r>
                            <w:rPr>
                              <w:rFonts w:ascii="宋体" w:hAnsi="宋体" w:eastAsia="宋体" w:cs="宋体"/>
                              <w:color w:val="0081F3"/>
                              <w:spacing w:val="-21"/>
                              <w:sz w:val="19"/>
                              <w:szCs w:val="19"/>
                            </w:rPr>
                            <w:t>●</w:t>
                          </w:r>
                          <w:r>
                            <w:rPr>
                              <w:rFonts w:ascii="宋体" w:hAnsi="宋体" w:eastAsia="宋体" w:cs="宋体"/>
                              <w:spacing w:val="-21"/>
                              <w:sz w:val="19"/>
                              <w:szCs w:val="19"/>
                            </w:rPr>
                            <w:t>组织过程资产</w:t>
                          </w:r>
                        </w:p>
                      </w:tc>
                      <w:tc>
                        <w:tcPr>
                          <w:tcW w:w="1662" w:type="dxa"/>
                          <w:vAlign w:val="top"/>
                        </w:tcPr>
                        <w:p w14:paraId="17824F35">
                          <w:pPr>
                            <w:spacing w:before="31" w:line="207" w:lineRule="auto"/>
                            <w:ind w:left="513" w:right="460" w:firstLine="159"/>
                            <w:rPr>
                              <w:rFonts w:ascii="宋体" w:hAnsi="宋体" w:eastAsia="宋体" w:cs="宋体"/>
                              <w:sz w:val="19"/>
                              <w:szCs w:val="19"/>
                            </w:rPr>
                          </w:pPr>
                          <w:r>
                            <w:rPr>
                              <w:rFonts w:ascii="宋体" w:hAnsi="宋体" w:eastAsia="宋体" w:cs="宋体"/>
                              <w:spacing w:val="-5"/>
                              <w:sz w:val="19"/>
                              <w:szCs w:val="19"/>
                            </w:rPr>
                            <w:t>风险</w:t>
                          </w:r>
                          <w:r>
                            <w:rPr>
                              <w:rFonts w:ascii="宋体" w:hAnsi="宋体" w:eastAsia="宋体" w:cs="宋体"/>
                              <w:sz w:val="19"/>
                              <w:szCs w:val="19"/>
                            </w:rPr>
                            <w:t xml:space="preserve">  </w:t>
                          </w:r>
                          <w:r>
                            <w:rPr>
                              <w:rFonts w:ascii="宋体" w:hAnsi="宋体" w:eastAsia="宋体" w:cs="宋体"/>
                              <w:spacing w:val="-18"/>
                              <w:w w:val="99"/>
                              <w:sz w:val="19"/>
                              <w:szCs w:val="19"/>
                            </w:rPr>
                            <w:t>定量分析</w:t>
                          </w:r>
                        </w:p>
                      </w:tc>
                      <w:tc>
                        <w:tcPr>
                          <w:tcW w:w="1829" w:type="dxa"/>
                          <w:vAlign w:val="top"/>
                        </w:tcPr>
                        <w:p w14:paraId="68B66536">
                          <w:pPr>
                            <w:spacing w:before="20" w:line="219" w:lineRule="auto"/>
                            <w:ind w:left="461"/>
                            <w:rPr>
                              <w:rFonts w:ascii="宋体" w:hAnsi="宋体" w:eastAsia="宋体" w:cs="宋体"/>
                              <w:sz w:val="19"/>
                              <w:szCs w:val="19"/>
                            </w:rPr>
                          </w:pPr>
                          <w:r>
                            <w:rPr>
                              <w:rFonts w:ascii="宋体" w:hAnsi="宋体" w:eastAsia="宋体" w:cs="宋体"/>
                              <w:spacing w:val="-12"/>
                              <w:sz w:val="19"/>
                              <w:szCs w:val="19"/>
                            </w:rPr>
                            <w:t>产出：</w:t>
                          </w:r>
                        </w:p>
                        <w:p w14:paraId="75928A2F">
                          <w:pPr>
                            <w:spacing w:before="5" w:line="220" w:lineRule="auto"/>
                            <w:jc w:val="right"/>
                            <w:rPr>
                              <w:rFonts w:ascii="宋体" w:hAnsi="宋体" w:eastAsia="宋体" w:cs="宋体"/>
                              <w:sz w:val="19"/>
                              <w:szCs w:val="19"/>
                            </w:rPr>
                          </w:pPr>
                          <w:r>
                            <w:rPr>
                              <w:rFonts w:ascii="宋体" w:hAnsi="宋体" w:eastAsia="宋体" w:cs="宋体"/>
                              <w:color w:val="005FCD"/>
                              <w:spacing w:val="-22"/>
                              <w:w w:val="99"/>
                              <w:sz w:val="19"/>
                              <w:szCs w:val="19"/>
                            </w:rPr>
                            <w:t>●</w:t>
                          </w:r>
                          <w:r>
                            <w:rPr>
                              <w:rFonts w:ascii="宋体" w:hAnsi="宋体" w:eastAsia="宋体" w:cs="宋体"/>
                              <w:spacing w:val="-22"/>
                              <w:w w:val="99"/>
                              <w:sz w:val="19"/>
                              <w:szCs w:val="19"/>
                            </w:rPr>
                            <w:t>风险登</w:t>
                          </w:r>
                          <w:r>
                            <w:rPr>
                              <w:rFonts w:ascii="宋体" w:hAnsi="宋体" w:eastAsia="宋体" w:cs="宋体"/>
                              <w:spacing w:val="-21"/>
                              <w:w w:val="99"/>
                              <w:sz w:val="19"/>
                              <w:szCs w:val="19"/>
                            </w:rPr>
                            <w:t>记册更</w:t>
                          </w:r>
                          <w:r>
                            <w:rPr>
                              <w:rFonts w:ascii="宋体" w:hAnsi="宋体" w:eastAsia="宋体" w:cs="宋体"/>
                              <w:spacing w:val="-9"/>
                              <w:w w:val="99"/>
                              <w:sz w:val="19"/>
                              <w:szCs w:val="19"/>
                            </w:rPr>
                            <w:t>新</w:t>
                          </w:r>
                        </w:p>
                      </w:tc>
                    </w:tr>
                  </w:tbl>
                  <w:p w14:paraId="634A8E1D">
                    <w:pPr>
                      <w:rPr>
                        <w:rFonts w:ascii="Arial"/>
                        <w:sz w:val="21"/>
                      </w:rPr>
                    </w:pPr>
                  </w:p>
                </w:txbxContent>
              </v:textbox>
            </v:shape>
            <w10:wrap type="none"/>
            <w10:anchorlock/>
          </v:group>
        </w:pict>
      </w:r>
    </w:p>
    <w:p w14:paraId="411112B7">
      <w:pPr>
        <w:pStyle w:val="2"/>
        <w:spacing w:before="78" w:line="220" w:lineRule="auto"/>
        <w:ind w:left="3650"/>
        <w:rPr>
          <w:sz w:val="19"/>
          <w:szCs w:val="19"/>
        </w:rPr>
      </w:pPr>
      <w:r>
        <w:rPr>
          <w:spacing w:val="-6"/>
          <w:sz w:val="19"/>
          <w:szCs w:val="19"/>
        </w:rPr>
        <w:t>图18-5</w:t>
      </w:r>
      <w:r>
        <w:rPr>
          <w:spacing w:val="64"/>
          <w:w w:val="101"/>
          <w:sz w:val="19"/>
          <w:szCs w:val="19"/>
        </w:rPr>
        <w:t xml:space="preserve"> </w:t>
      </w:r>
      <w:r>
        <w:rPr>
          <w:spacing w:val="-6"/>
          <w:sz w:val="19"/>
          <w:szCs w:val="19"/>
        </w:rPr>
        <w:t>风险定量分析</w:t>
      </w:r>
    </w:p>
    <w:p w14:paraId="42E8E44E">
      <w:pPr>
        <w:pStyle w:val="2"/>
        <w:spacing w:before="290" w:line="222" w:lineRule="auto"/>
        <w:ind w:left="762"/>
        <w:rPr>
          <w:rFonts w:ascii="黑体" w:hAnsi="黑体" w:eastAsia="黑体" w:cs="黑体"/>
          <w:sz w:val="19"/>
          <w:szCs w:val="19"/>
        </w:rPr>
      </w:pPr>
      <w:r>
        <w:rPr>
          <w:b/>
          <w:bCs/>
          <w:color w:val="0071D5"/>
          <w:spacing w:val="8"/>
          <w:sz w:val="19"/>
          <w:szCs w:val="19"/>
        </w:rPr>
        <w:t>4.</w:t>
      </w:r>
      <w:r>
        <w:rPr>
          <w:rFonts w:ascii="黑体" w:hAnsi="黑体" w:eastAsia="黑体" w:cs="黑体"/>
          <w:b/>
          <w:bCs/>
          <w:color w:val="0071D5"/>
          <w:spacing w:val="8"/>
          <w:sz w:val="19"/>
          <w:szCs w:val="19"/>
        </w:rPr>
        <w:t>风险定量分析的依据</w:t>
      </w:r>
    </w:p>
    <w:p w14:paraId="7DFD84D6">
      <w:pPr>
        <w:pStyle w:val="2"/>
        <w:spacing w:before="134" w:line="219" w:lineRule="auto"/>
        <w:ind w:left="760"/>
        <w:rPr>
          <w:sz w:val="19"/>
          <w:szCs w:val="19"/>
        </w:rPr>
      </w:pPr>
      <w:r>
        <w:rPr>
          <w:spacing w:val="9"/>
          <w:sz w:val="19"/>
          <w:szCs w:val="19"/>
        </w:rPr>
        <w:t>风险定量分析需要一定的数据输入。可作为</w:t>
      </w:r>
      <w:r>
        <w:rPr>
          <w:spacing w:val="8"/>
          <w:sz w:val="19"/>
          <w:szCs w:val="19"/>
        </w:rPr>
        <w:t>风险定量分析的重要依据的有：</w:t>
      </w:r>
    </w:p>
    <w:p w14:paraId="61584E9C">
      <w:pPr>
        <w:pStyle w:val="2"/>
        <w:spacing w:before="95" w:line="255" w:lineRule="auto"/>
        <w:ind w:left="359" w:right="11" w:firstLine="400"/>
        <w:rPr>
          <w:sz w:val="19"/>
          <w:szCs w:val="19"/>
        </w:rPr>
      </w:pPr>
      <w:r>
        <w:rPr>
          <w:spacing w:val="16"/>
          <w:sz w:val="19"/>
          <w:szCs w:val="19"/>
        </w:rPr>
        <w:t>(1)项目管理计划。项目管理计划中的成本、进</w:t>
      </w:r>
      <w:r>
        <w:rPr>
          <w:spacing w:val="15"/>
          <w:sz w:val="19"/>
          <w:szCs w:val="19"/>
        </w:rPr>
        <w:t>度、范围等相关过程中的制定基准都是风</w:t>
      </w:r>
      <w:r>
        <w:rPr>
          <w:sz w:val="19"/>
          <w:szCs w:val="19"/>
        </w:rPr>
        <w:t xml:space="preserve"> </w:t>
      </w:r>
      <w:r>
        <w:rPr>
          <w:spacing w:val="8"/>
          <w:sz w:val="19"/>
          <w:szCs w:val="19"/>
        </w:rPr>
        <w:t>险定量分析的重要依据，风险管理计划中也有用于分析的资源。</w:t>
      </w:r>
    </w:p>
    <w:p w14:paraId="2CD6574C">
      <w:pPr>
        <w:pStyle w:val="2"/>
        <w:spacing w:before="75" w:line="260" w:lineRule="auto"/>
        <w:ind w:left="359" w:right="8" w:firstLine="400"/>
        <w:rPr>
          <w:sz w:val="19"/>
          <w:szCs w:val="19"/>
        </w:rPr>
      </w:pPr>
      <w:r>
        <w:rPr>
          <w:spacing w:val="16"/>
          <w:sz w:val="19"/>
          <w:szCs w:val="19"/>
        </w:rPr>
        <w:t>(2)风险登记册。风险登记册记录风险识别和定性分析</w:t>
      </w:r>
      <w:r>
        <w:rPr>
          <w:spacing w:val="15"/>
          <w:sz w:val="19"/>
          <w:szCs w:val="19"/>
        </w:rPr>
        <w:t>的结果，其有关已识别风险优先级</w:t>
      </w:r>
      <w:r>
        <w:rPr>
          <w:sz w:val="19"/>
          <w:szCs w:val="19"/>
        </w:rPr>
        <w:t xml:space="preserve"> </w:t>
      </w:r>
      <w:r>
        <w:rPr>
          <w:spacing w:val="7"/>
          <w:sz w:val="19"/>
          <w:szCs w:val="19"/>
        </w:rPr>
        <w:t>排序的结果是定量分析的重要依据。</w:t>
      </w:r>
    </w:p>
    <w:p w14:paraId="5E69A64F">
      <w:pPr>
        <w:pStyle w:val="2"/>
        <w:spacing w:before="95" w:line="260" w:lineRule="auto"/>
        <w:ind w:left="359" w:right="11" w:firstLine="400"/>
        <w:rPr>
          <w:sz w:val="19"/>
          <w:szCs w:val="19"/>
        </w:rPr>
      </w:pPr>
      <w:r>
        <w:rPr>
          <w:spacing w:val="16"/>
          <w:sz w:val="19"/>
          <w:szCs w:val="19"/>
        </w:rPr>
        <w:t>(3)组织过程资产。类似项目所积累的风险定</w:t>
      </w:r>
      <w:r>
        <w:rPr>
          <w:spacing w:val="15"/>
          <w:sz w:val="19"/>
          <w:szCs w:val="19"/>
        </w:rPr>
        <w:t>量分析经验及历史项目数据可为定量分析提</w:t>
      </w:r>
      <w:r>
        <w:rPr>
          <w:sz w:val="19"/>
          <w:szCs w:val="19"/>
        </w:rPr>
        <w:t xml:space="preserve"> </w:t>
      </w:r>
      <w:r>
        <w:rPr>
          <w:spacing w:val="9"/>
          <w:sz w:val="19"/>
          <w:szCs w:val="19"/>
        </w:rPr>
        <w:t>供参考，从行业或专有渠道获得的风险数据库等也可用于定量分析。</w:t>
      </w:r>
    </w:p>
    <w:p w14:paraId="58CAD5BA">
      <w:pPr>
        <w:spacing w:line="260" w:lineRule="auto"/>
        <w:rPr>
          <w:sz w:val="19"/>
          <w:szCs w:val="19"/>
        </w:rPr>
        <w:sectPr>
          <w:pgSz w:w="10300" w:h="13290"/>
          <w:pgMar w:top="400" w:right="1110" w:bottom="400" w:left="479" w:header="0" w:footer="0" w:gutter="0"/>
          <w:cols w:space="720" w:num="1"/>
        </w:sectPr>
      </w:pPr>
    </w:p>
    <w:p w14:paraId="6C251411">
      <w:pPr>
        <w:pStyle w:val="2"/>
        <w:spacing w:before="66" w:line="321" w:lineRule="exact"/>
        <w:jc w:val="right"/>
        <w:rPr>
          <w:rFonts w:ascii="Times New Roman" w:hAnsi="Times New Roman" w:eastAsia="Times New Roman" w:cs="Times New Roman"/>
          <w:sz w:val="19"/>
          <w:szCs w:val="19"/>
        </w:rPr>
      </w:pPr>
      <w:r>
        <w:rPr>
          <w:spacing w:val="2"/>
          <w:position w:val="5"/>
          <w:sz w:val="19"/>
          <w:szCs w:val="19"/>
        </w:rPr>
        <w:t>第18章</w:t>
      </w:r>
      <w:r>
        <w:rPr>
          <w:spacing w:val="36"/>
          <w:position w:val="5"/>
          <w:sz w:val="19"/>
          <w:szCs w:val="19"/>
        </w:rPr>
        <w:t xml:space="preserve"> </w:t>
      </w:r>
      <w:r>
        <w:rPr>
          <w:spacing w:val="2"/>
          <w:position w:val="5"/>
          <w:sz w:val="19"/>
          <w:szCs w:val="19"/>
        </w:rPr>
        <w:t>风险管理</w:t>
      </w:r>
      <w:r>
        <w:rPr>
          <w:spacing w:val="22"/>
          <w:position w:val="5"/>
          <w:sz w:val="19"/>
          <w:szCs w:val="19"/>
        </w:rPr>
        <w:t xml:space="preserve">   </w:t>
      </w:r>
      <w:r>
        <w:rPr>
          <w:color w:val="0098F0"/>
          <w:spacing w:val="2"/>
          <w:position w:val="-1"/>
          <w:sz w:val="19"/>
          <w:szCs w:val="19"/>
        </w:rPr>
        <w:t xml:space="preserve">■ </w:t>
      </w:r>
      <w:r>
        <w:rPr>
          <w:rFonts w:ascii="Times New Roman" w:hAnsi="Times New Roman" w:eastAsia="Times New Roman" w:cs="Times New Roman"/>
          <w:spacing w:val="2"/>
          <w:position w:val="-1"/>
          <w:sz w:val="19"/>
          <w:szCs w:val="19"/>
        </w:rPr>
        <w:t>401</w:t>
      </w:r>
    </w:p>
    <w:p w14:paraId="27957B9D">
      <w:pPr>
        <w:pStyle w:val="2"/>
        <w:spacing w:before="295" w:line="221" w:lineRule="auto"/>
        <w:ind w:left="402"/>
        <w:rPr>
          <w:rFonts w:ascii="黑体" w:hAnsi="黑体" w:eastAsia="黑体" w:cs="黑体"/>
          <w:sz w:val="19"/>
          <w:szCs w:val="19"/>
        </w:rPr>
      </w:pPr>
      <w:r>
        <w:rPr>
          <w:b/>
          <w:bCs/>
          <w:color w:val="0079E4"/>
          <w:spacing w:val="6"/>
          <w:sz w:val="19"/>
          <w:szCs w:val="19"/>
        </w:rPr>
        <w:t>5.</w:t>
      </w:r>
      <w:r>
        <w:rPr>
          <w:rFonts w:ascii="黑体" w:hAnsi="黑体" w:eastAsia="黑体" w:cs="黑体"/>
          <w:b/>
          <w:bCs/>
          <w:color w:val="0079E4"/>
          <w:spacing w:val="6"/>
          <w:sz w:val="19"/>
          <w:szCs w:val="19"/>
        </w:rPr>
        <w:t>风险定量分析的技术与方法</w:t>
      </w:r>
    </w:p>
    <w:p w14:paraId="5111409C">
      <w:pPr>
        <w:pStyle w:val="2"/>
        <w:spacing w:before="166" w:line="287" w:lineRule="auto"/>
        <w:ind w:right="247" w:firstLine="399"/>
        <w:rPr>
          <w:sz w:val="19"/>
          <w:szCs w:val="19"/>
        </w:rPr>
      </w:pPr>
      <w:r>
        <w:rPr>
          <w:spacing w:val="14"/>
          <w:sz w:val="19"/>
          <w:szCs w:val="19"/>
        </w:rPr>
        <w:t>随着风险量化管理受到国内外组织的广泛关注，诸多风险定量分析方法和技术应运而生。</w:t>
      </w:r>
      <w:r>
        <w:rPr>
          <w:spacing w:val="17"/>
          <w:sz w:val="19"/>
          <w:szCs w:val="19"/>
        </w:rPr>
        <w:t xml:space="preserve"> </w:t>
      </w:r>
      <w:r>
        <w:rPr>
          <w:spacing w:val="8"/>
          <w:sz w:val="19"/>
          <w:szCs w:val="19"/>
        </w:rPr>
        <w:t>目前，常用的风险定量分析方法有决策树法、蒙特卡罗模拟、敏感性分析等。</w:t>
      </w:r>
    </w:p>
    <w:p w14:paraId="22C8D88D">
      <w:pPr>
        <w:pStyle w:val="2"/>
        <w:spacing w:before="125" w:line="222" w:lineRule="auto"/>
        <w:ind w:left="402"/>
        <w:rPr>
          <w:rFonts w:ascii="黑体" w:hAnsi="黑体" w:eastAsia="黑体" w:cs="黑体"/>
          <w:sz w:val="19"/>
          <w:szCs w:val="19"/>
        </w:rPr>
      </w:pPr>
      <w:r>
        <w:rPr>
          <w:b/>
          <w:bCs/>
          <w:color w:val="0078E2"/>
          <w:spacing w:val="6"/>
          <w:sz w:val="19"/>
          <w:szCs w:val="19"/>
        </w:rPr>
        <w:t>6.</w:t>
      </w:r>
      <w:r>
        <w:rPr>
          <w:rFonts w:ascii="黑体" w:hAnsi="黑体" w:eastAsia="黑体" w:cs="黑体"/>
          <w:b/>
          <w:bCs/>
          <w:color w:val="0078E2"/>
          <w:spacing w:val="6"/>
          <w:sz w:val="19"/>
          <w:szCs w:val="19"/>
        </w:rPr>
        <w:t>风险定量分析的成果</w:t>
      </w:r>
    </w:p>
    <w:p w14:paraId="64CFDEF5">
      <w:pPr>
        <w:pStyle w:val="2"/>
        <w:spacing w:before="156" w:line="219" w:lineRule="auto"/>
        <w:ind w:left="399"/>
        <w:rPr>
          <w:sz w:val="19"/>
          <w:szCs w:val="19"/>
        </w:rPr>
      </w:pPr>
      <w:r>
        <w:rPr>
          <w:spacing w:val="8"/>
          <w:sz w:val="19"/>
          <w:szCs w:val="19"/>
        </w:rPr>
        <w:t>定量风险分析的成果是进一步更新风险登记册，更新</w:t>
      </w:r>
      <w:r>
        <w:rPr>
          <w:spacing w:val="7"/>
          <w:sz w:val="19"/>
          <w:szCs w:val="19"/>
        </w:rPr>
        <w:t>内容主要包括：</w:t>
      </w:r>
    </w:p>
    <w:p w14:paraId="5DF074A0">
      <w:pPr>
        <w:pStyle w:val="2"/>
        <w:spacing w:before="74" w:line="280" w:lineRule="auto"/>
        <w:ind w:right="246" w:firstLine="399"/>
        <w:rPr>
          <w:sz w:val="19"/>
          <w:szCs w:val="19"/>
        </w:rPr>
      </w:pPr>
      <w:r>
        <w:rPr>
          <w:spacing w:val="19"/>
          <w:sz w:val="19"/>
          <w:szCs w:val="19"/>
        </w:rPr>
        <w:t>(1)概率分析。对项目可能的进度与成本进行估算，分析结果包括进度/成</w:t>
      </w:r>
      <w:r>
        <w:rPr>
          <w:spacing w:val="18"/>
          <w:sz w:val="19"/>
          <w:szCs w:val="19"/>
        </w:rPr>
        <w:t>本概率分布、</w:t>
      </w:r>
      <w:r>
        <w:rPr>
          <w:sz w:val="19"/>
          <w:szCs w:val="19"/>
        </w:rPr>
        <w:t xml:space="preserve"> </w:t>
      </w:r>
      <w:r>
        <w:rPr>
          <w:spacing w:val="15"/>
          <w:sz w:val="19"/>
          <w:szCs w:val="19"/>
        </w:rPr>
        <w:t>进度/成本累积概率分布。可以综合考虑分析结果与干系人的风险承受度，来量化成本和进度</w:t>
      </w:r>
      <w:r>
        <w:rPr>
          <w:spacing w:val="10"/>
          <w:sz w:val="19"/>
          <w:szCs w:val="19"/>
        </w:rPr>
        <w:t xml:space="preserve"> </w:t>
      </w:r>
      <w:r>
        <w:rPr>
          <w:spacing w:val="8"/>
          <w:sz w:val="19"/>
          <w:szCs w:val="19"/>
        </w:rPr>
        <w:t>的应急储备。当遇到风险时，可以将相关风险的定量分析的结果作为应对依据。</w:t>
      </w:r>
    </w:p>
    <w:p w14:paraId="571C6020">
      <w:pPr>
        <w:pStyle w:val="2"/>
        <w:spacing w:before="84" w:line="265" w:lineRule="auto"/>
        <w:ind w:right="303" w:firstLine="399"/>
        <w:rPr>
          <w:sz w:val="19"/>
          <w:szCs w:val="19"/>
        </w:rPr>
      </w:pPr>
      <w:r>
        <w:rPr>
          <w:spacing w:val="15"/>
          <w:sz w:val="19"/>
          <w:szCs w:val="19"/>
        </w:rPr>
        <w:t>(2)量化风险优先级清单。风险的成本估算完成后，可以针对风险表中的每个风险计算其</w:t>
      </w:r>
      <w:r>
        <w:rPr>
          <w:spacing w:val="2"/>
          <w:sz w:val="19"/>
          <w:szCs w:val="19"/>
        </w:rPr>
        <w:t xml:space="preserve"> </w:t>
      </w:r>
      <w:r>
        <w:rPr>
          <w:spacing w:val="9"/>
          <w:sz w:val="19"/>
          <w:szCs w:val="19"/>
        </w:rPr>
        <w:t>风险严重程度，或依据敏感性分析确定各敏感因素</w:t>
      </w:r>
      <w:r>
        <w:rPr>
          <w:spacing w:val="8"/>
          <w:sz w:val="19"/>
          <w:szCs w:val="19"/>
        </w:rPr>
        <w:t>的重要程度，并列出风险优先级清单。</w:t>
      </w:r>
    </w:p>
    <w:p w14:paraId="29BFD98D">
      <w:pPr>
        <w:pStyle w:val="2"/>
        <w:spacing w:before="84" w:line="266" w:lineRule="auto"/>
        <w:ind w:right="303" w:firstLine="399"/>
        <w:rPr>
          <w:sz w:val="19"/>
          <w:szCs w:val="19"/>
        </w:rPr>
      </w:pPr>
      <w:r>
        <w:rPr>
          <w:spacing w:val="15"/>
          <w:sz w:val="19"/>
          <w:szCs w:val="19"/>
        </w:rPr>
        <w:t>(3)风险应对建议。风险报告可能根据定量风险分析的结果，针对整体项目风险的最大可</w:t>
      </w:r>
      <w:r>
        <w:rPr>
          <w:spacing w:val="2"/>
          <w:sz w:val="19"/>
          <w:szCs w:val="19"/>
        </w:rPr>
        <w:t xml:space="preserve"> </w:t>
      </w:r>
      <w:r>
        <w:rPr>
          <w:spacing w:val="8"/>
          <w:sz w:val="19"/>
          <w:szCs w:val="19"/>
        </w:rPr>
        <w:t>能性或关键单个项目风险提出应对建议。这些建议将成为规划风险应对过程的输入。</w:t>
      </w:r>
    </w:p>
    <w:p w14:paraId="775C3F25">
      <w:pPr>
        <w:pStyle w:val="2"/>
        <w:spacing w:before="255" w:line="220" w:lineRule="auto"/>
        <w:ind w:left="2"/>
        <w:rPr>
          <w:sz w:val="26"/>
          <w:szCs w:val="26"/>
        </w:rPr>
      </w:pPr>
      <w:r>
        <w:rPr>
          <w:b/>
          <w:bCs/>
          <w:color w:val="0076DF"/>
          <w:spacing w:val="-26"/>
          <w:sz w:val="26"/>
          <w:szCs w:val="26"/>
        </w:rPr>
        <w:t>18.2.4</w:t>
      </w:r>
      <w:r>
        <w:rPr>
          <w:color w:val="0076DF"/>
          <w:spacing w:val="77"/>
          <w:sz w:val="26"/>
          <w:szCs w:val="26"/>
        </w:rPr>
        <w:t xml:space="preserve"> </w:t>
      </w:r>
      <w:r>
        <w:rPr>
          <w:b/>
          <w:bCs/>
          <w:color w:val="0076DF"/>
          <w:spacing w:val="-26"/>
          <w:sz w:val="26"/>
          <w:szCs w:val="26"/>
        </w:rPr>
        <w:t>风险应对</w:t>
      </w:r>
    </w:p>
    <w:p w14:paraId="6848E346">
      <w:pPr>
        <w:pStyle w:val="2"/>
        <w:spacing w:before="158" w:line="295" w:lineRule="auto"/>
        <w:ind w:right="282" w:firstLine="399"/>
        <w:jc w:val="both"/>
        <w:rPr>
          <w:sz w:val="19"/>
          <w:szCs w:val="19"/>
        </w:rPr>
      </w:pPr>
      <w:r>
        <w:rPr>
          <w:spacing w:val="13"/>
          <w:sz w:val="19"/>
          <w:szCs w:val="19"/>
        </w:rPr>
        <w:t>风险应对是选择并执行一种或多种改变风险的措施，包括改变风险事件发生的可能性或后</w:t>
      </w:r>
      <w:r>
        <w:rPr>
          <w:spacing w:val="5"/>
          <w:sz w:val="19"/>
          <w:szCs w:val="19"/>
        </w:rPr>
        <w:t xml:space="preserve"> </w:t>
      </w:r>
      <w:r>
        <w:rPr>
          <w:spacing w:val="13"/>
          <w:sz w:val="19"/>
          <w:szCs w:val="19"/>
        </w:rPr>
        <w:t>果的措施。制定风险应对策略的过程在风险分析过程之后进行。有效和适当的风险应对可以最</w:t>
      </w:r>
      <w:r>
        <w:rPr>
          <w:spacing w:val="15"/>
          <w:sz w:val="19"/>
          <w:szCs w:val="19"/>
        </w:rPr>
        <w:t xml:space="preserve"> </w:t>
      </w:r>
      <w:r>
        <w:rPr>
          <w:spacing w:val="13"/>
          <w:sz w:val="19"/>
          <w:szCs w:val="19"/>
        </w:rPr>
        <w:t>小化单个威胁，最大化单个机会，并降低整体项目风险发生的可能性，不恰当的</w:t>
      </w:r>
      <w:r>
        <w:rPr>
          <w:spacing w:val="12"/>
          <w:sz w:val="19"/>
          <w:szCs w:val="19"/>
        </w:rPr>
        <w:t>风险应对则会</w:t>
      </w:r>
      <w:r>
        <w:rPr>
          <w:sz w:val="19"/>
          <w:szCs w:val="19"/>
        </w:rPr>
        <w:t xml:space="preserve"> </w:t>
      </w:r>
      <w:r>
        <w:rPr>
          <w:spacing w:val="8"/>
          <w:sz w:val="19"/>
          <w:szCs w:val="19"/>
        </w:rPr>
        <w:t>适得其反。公众号：项目管理课堂</w:t>
      </w:r>
    </w:p>
    <w:p w14:paraId="23803719">
      <w:pPr>
        <w:pStyle w:val="2"/>
        <w:spacing w:before="37" w:line="288" w:lineRule="auto"/>
        <w:ind w:right="304" w:firstLine="399"/>
        <w:rPr>
          <w:sz w:val="19"/>
          <w:szCs w:val="19"/>
        </w:rPr>
      </w:pPr>
      <w:r>
        <w:rPr>
          <w:spacing w:val="13"/>
          <w:sz w:val="19"/>
          <w:szCs w:val="19"/>
        </w:rPr>
        <w:t>在风险应对的过程中，需要根据风险的优先级来制定应对措施，并把风险应对所需的资源</w:t>
      </w:r>
      <w:r>
        <w:rPr>
          <w:sz w:val="19"/>
          <w:szCs w:val="19"/>
        </w:rPr>
        <w:t xml:space="preserve"> </w:t>
      </w:r>
      <w:r>
        <w:rPr>
          <w:spacing w:val="10"/>
          <w:sz w:val="19"/>
          <w:szCs w:val="19"/>
        </w:rPr>
        <w:t>和活动加进项目的预算、进度计划和项目管理计划中。风险应对的主要内容如图1</w:t>
      </w:r>
      <w:r>
        <w:rPr>
          <w:spacing w:val="9"/>
          <w:sz w:val="19"/>
          <w:szCs w:val="19"/>
        </w:rPr>
        <w:t>8-6所示。</w:t>
      </w:r>
    </w:p>
    <w:p w14:paraId="7BA038D0">
      <w:pPr>
        <w:pStyle w:val="2"/>
        <w:spacing w:before="80" w:line="1080" w:lineRule="exact"/>
        <w:ind w:firstLine="1269"/>
      </w:pPr>
      <w:r>
        <w:rPr>
          <w:position w:val="-21"/>
        </w:rPr>
        <w:pict>
          <v:group id="_x0000_s1564" o:spid="_x0000_s1564" o:spt="203" style="height:54pt;width:288pt;" coordsize="5760,1080">
            <o:lock v:ext="edit"/>
            <v:shape id="_x0000_s1565" o:spid="_x0000_s1565" o:spt="75" type="#_x0000_t75" style="position:absolute;left:0;top:0;height:1080;width:5760;" filled="f" stroked="f" coordsize="21600,21600">
              <v:path/>
              <v:fill on="f" focussize="0,0"/>
              <v:stroke on="f"/>
              <v:imagedata r:id="rId268" o:title=""/>
              <o:lock v:ext="edit" aspectratio="t"/>
            </v:shape>
            <v:shape id="_x0000_s1566" o:spid="_x0000_s1566" o:spt="202" type="#_x0000_t202" style="position:absolute;left:219;top:125;height:833;width:1204;" filled="f" stroked="f" coordsize="21600,21600">
              <v:path/>
              <v:fill on="f" focussize="0,0"/>
              <v:stroke on="f"/>
              <v:imagedata o:title=""/>
              <o:lock v:ext="edit" aspectratio="f"/>
              <v:textbox inset="0mm,0mm,0mm,0mm">
                <w:txbxContent>
                  <w:p w14:paraId="2ABC526F">
                    <w:pPr>
                      <w:spacing w:before="19" w:line="219" w:lineRule="auto"/>
                      <w:ind w:left="20"/>
                      <w:rPr>
                        <w:rFonts w:ascii="宋体" w:hAnsi="宋体" w:eastAsia="宋体" w:cs="宋体"/>
                        <w:sz w:val="14"/>
                        <w:szCs w:val="14"/>
                      </w:rPr>
                    </w:pPr>
                    <w:r>
                      <w:rPr>
                        <w:rFonts w:ascii="宋体" w:hAnsi="宋体" w:eastAsia="宋体" w:cs="宋体"/>
                        <w:spacing w:val="21"/>
                        <w:sz w:val="14"/>
                        <w:szCs w:val="14"/>
                      </w:rPr>
                      <w:t>主要依据</w:t>
                    </w:r>
                    <w:r>
                      <w:rPr>
                        <w:rFonts w:ascii="宋体" w:hAnsi="宋体" w:eastAsia="宋体" w:cs="宋体"/>
                        <w:spacing w:val="-33"/>
                        <w:sz w:val="14"/>
                        <w:szCs w:val="14"/>
                      </w:rPr>
                      <w:t xml:space="preserve"> </w:t>
                    </w:r>
                    <w:r>
                      <w:rPr>
                        <w:rFonts w:ascii="宋体" w:hAnsi="宋体" w:eastAsia="宋体" w:cs="宋体"/>
                        <w:spacing w:val="21"/>
                        <w:sz w:val="14"/>
                        <w:szCs w:val="14"/>
                      </w:rPr>
                      <w:t>：</w:t>
                    </w:r>
                  </w:p>
                  <w:p w14:paraId="065DA9C0">
                    <w:pPr>
                      <w:spacing w:before="16" w:line="205" w:lineRule="auto"/>
                      <w:ind w:left="20"/>
                      <w:rPr>
                        <w:rFonts w:ascii="宋体" w:hAnsi="宋体" w:eastAsia="宋体" w:cs="宋体"/>
                        <w:sz w:val="19"/>
                        <w:szCs w:val="19"/>
                      </w:rPr>
                    </w:pPr>
                    <w:r>
                      <w:rPr>
                        <w:rFonts w:ascii="宋体" w:hAnsi="宋体" w:eastAsia="宋体" w:cs="宋体"/>
                        <w:color w:val="0065EB"/>
                        <w:spacing w:val="-23"/>
                        <w:sz w:val="19"/>
                        <w:szCs w:val="19"/>
                      </w:rPr>
                      <w:t>●</w:t>
                    </w:r>
                    <w:r>
                      <w:rPr>
                        <w:rFonts w:ascii="宋体" w:hAnsi="宋体" w:eastAsia="宋体" w:cs="宋体"/>
                        <w:spacing w:val="-22"/>
                        <w:sz w:val="19"/>
                        <w:szCs w:val="19"/>
                      </w:rPr>
                      <w:t>项目管理计</w:t>
                    </w:r>
                    <w:r>
                      <w:rPr>
                        <w:rFonts w:ascii="宋体" w:hAnsi="宋体" w:eastAsia="宋体" w:cs="宋体"/>
                        <w:spacing w:val="-21"/>
                        <w:sz w:val="19"/>
                        <w:szCs w:val="19"/>
                      </w:rPr>
                      <w:t>划</w:t>
                    </w:r>
                  </w:p>
                  <w:p w14:paraId="342A3DFE">
                    <w:pPr>
                      <w:spacing w:line="203" w:lineRule="auto"/>
                      <w:ind w:left="20"/>
                      <w:rPr>
                        <w:rFonts w:ascii="宋体" w:hAnsi="宋体" w:eastAsia="宋体" w:cs="宋体"/>
                        <w:sz w:val="19"/>
                        <w:szCs w:val="19"/>
                      </w:rPr>
                    </w:pPr>
                    <w:r>
                      <w:rPr>
                        <w:rFonts w:ascii="宋体" w:hAnsi="宋体" w:eastAsia="宋体" w:cs="宋体"/>
                        <w:color w:val="0065EB"/>
                        <w:spacing w:val="-20"/>
                        <w:w w:val="97"/>
                        <w:sz w:val="19"/>
                        <w:szCs w:val="19"/>
                      </w:rPr>
                      <w:t>●</w:t>
                    </w:r>
                    <w:r>
                      <w:rPr>
                        <w:rFonts w:ascii="宋体" w:hAnsi="宋体" w:eastAsia="宋体" w:cs="宋体"/>
                        <w:spacing w:val="-20"/>
                        <w:w w:val="97"/>
                        <w:sz w:val="19"/>
                        <w:szCs w:val="19"/>
                      </w:rPr>
                      <w:t>风险登记册</w:t>
                    </w:r>
                  </w:p>
                  <w:p w14:paraId="33868BAF">
                    <w:pPr>
                      <w:spacing w:line="219" w:lineRule="auto"/>
                      <w:ind w:left="20"/>
                      <w:rPr>
                        <w:rFonts w:ascii="宋体" w:hAnsi="宋体" w:eastAsia="宋体" w:cs="宋体"/>
                        <w:sz w:val="19"/>
                        <w:szCs w:val="19"/>
                      </w:rPr>
                    </w:pPr>
                    <w:r>
                      <w:rPr>
                        <w:rFonts w:ascii="宋体" w:hAnsi="宋体" w:eastAsia="宋体" w:cs="宋体"/>
                        <w:color w:val="0065EB"/>
                        <w:spacing w:val="-23"/>
                        <w:w w:val="99"/>
                        <w:sz w:val="19"/>
                        <w:szCs w:val="19"/>
                      </w:rPr>
                      <w:t>●</w:t>
                    </w:r>
                    <w:r>
                      <w:rPr>
                        <w:rFonts w:ascii="宋体" w:hAnsi="宋体" w:eastAsia="宋体" w:cs="宋体"/>
                        <w:spacing w:val="-22"/>
                        <w:w w:val="99"/>
                        <w:sz w:val="19"/>
                        <w:szCs w:val="19"/>
                      </w:rPr>
                      <w:t>组织过程资</w:t>
                    </w:r>
                    <w:r>
                      <w:rPr>
                        <w:rFonts w:ascii="宋体" w:hAnsi="宋体" w:eastAsia="宋体" w:cs="宋体"/>
                        <w:spacing w:val="-21"/>
                        <w:w w:val="99"/>
                        <w:sz w:val="19"/>
                        <w:szCs w:val="19"/>
                      </w:rPr>
                      <w:t>产</w:t>
                    </w:r>
                  </w:p>
                </w:txbxContent>
              </v:textbox>
            </v:shape>
            <v:shape id="_x0000_s1567" o:spid="_x0000_s1567" o:spt="202" type="#_x0000_t202" style="position:absolute;left:3939;top:225;height:632;width:1558;" filled="f" stroked="f" coordsize="21600,21600">
              <v:path/>
              <v:fill on="f" focussize="0,0"/>
              <v:stroke on="f"/>
              <v:imagedata o:title=""/>
              <o:lock v:ext="edit" aspectratio="f"/>
              <v:textbox inset="0mm,0mm,0mm,0mm">
                <w:txbxContent>
                  <w:p w14:paraId="53DB1F34">
                    <w:pPr>
                      <w:spacing w:before="20" w:line="219" w:lineRule="auto"/>
                      <w:ind w:left="20"/>
                      <w:rPr>
                        <w:rFonts w:ascii="宋体" w:hAnsi="宋体" w:eastAsia="宋体" w:cs="宋体"/>
                        <w:sz w:val="14"/>
                        <w:szCs w:val="14"/>
                      </w:rPr>
                    </w:pPr>
                    <w:r>
                      <w:rPr>
                        <w:rFonts w:ascii="宋体" w:hAnsi="宋体" w:eastAsia="宋体" w:cs="宋体"/>
                        <w:spacing w:val="-8"/>
                        <w:sz w:val="14"/>
                        <w:szCs w:val="14"/>
                      </w:rPr>
                      <w:t>产</w:t>
                    </w:r>
                    <w:r>
                      <w:rPr>
                        <w:rFonts w:ascii="宋体" w:hAnsi="宋体" w:eastAsia="宋体" w:cs="宋体"/>
                        <w:spacing w:val="1"/>
                        <w:sz w:val="14"/>
                        <w:szCs w:val="14"/>
                      </w:rPr>
                      <w:t xml:space="preserve"> </w:t>
                    </w:r>
                    <w:r>
                      <w:rPr>
                        <w:rFonts w:ascii="宋体" w:hAnsi="宋体" w:eastAsia="宋体" w:cs="宋体"/>
                        <w:spacing w:val="-8"/>
                        <w:sz w:val="14"/>
                        <w:szCs w:val="14"/>
                      </w:rPr>
                      <w:t>出</w:t>
                    </w:r>
                    <w:r>
                      <w:rPr>
                        <w:rFonts w:ascii="宋体" w:hAnsi="宋体" w:eastAsia="宋体" w:cs="宋体"/>
                        <w:spacing w:val="-16"/>
                        <w:sz w:val="14"/>
                        <w:szCs w:val="14"/>
                      </w:rPr>
                      <w:t xml:space="preserve"> </w:t>
                    </w:r>
                    <w:r>
                      <w:rPr>
                        <w:rFonts w:ascii="宋体" w:hAnsi="宋体" w:eastAsia="宋体" w:cs="宋体"/>
                        <w:spacing w:val="-8"/>
                        <w:sz w:val="14"/>
                        <w:szCs w:val="14"/>
                      </w:rPr>
                      <w:t>：</w:t>
                    </w:r>
                  </w:p>
                  <w:p w14:paraId="692046EF">
                    <w:pPr>
                      <w:spacing w:before="36" w:line="193" w:lineRule="auto"/>
                      <w:ind w:left="20"/>
                      <w:rPr>
                        <w:rFonts w:ascii="宋体" w:hAnsi="宋体" w:eastAsia="宋体" w:cs="宋体"/>
                        <w:sz w:val="19"/>
                        <w:szCs w:val="19"/>
                      </w:rPr>
                    </w:pPr>
                    <w:r>
                      <w:rPr>
                        <w:rFonts w:ascii="宋体" w:hAnsi="宋体" w:eastAsia="宋体" w:cs="宋体"/>
                        <w:color w:val="1E76E9"/>
                        <w:spacing w:val="-20"/>
                        <w:sz w:val="19"/>
                        <w:szCs w:val="19"/>
                      </w:rPr>
                      <w:t>●</w:t>
                    </w:r>
                    <w:r>
                      <w:rPr>
                        <w:rFonts w:ascii="宋体" w:hAnsi="宋体" w:eastAsia="宋体" w:cs="宋体"/>
                        <w:spacing w:val="-20"/>
                        <w:sz w:val="19"/>
                        <w:szCs w:val="19"/>
                      </w:rPr>
                      <w:t>风险登记册更新</w:t>
                    </w:r>
                  </w:p>
                  <w:p w14:paraId="7BBF6320">
                    <w:pPr>
                      <w:spacing w:line="219" w:lineRule="auto"/>
                      <w:ind w:left="20"/>
                      <w:rPr>
                        <w:rFonts w:ascii="宋体" w:hAnsi="宋体" w:eastAsia="宋体" w:cs="宋体"/>
                        <w:sz w:val="19"/>
                        <w:szCs w:val="19"/>
                      </w:rPr>
                    </w:pPr>
                    <w:r>
                      <w:rPr>
                        <w:rFonts w:ascii="宋体" w:hAnsi="宋体" w:eastAsia="宋体" w:cs="宋体"/>
                        <w:color w:val="1E76E9"/>
                        <w:spacing w:val="-21"/>
                        <w:sz w:val="19"/>
                        <w:szCs w:val="19"/>
                      </w:rPr>
                      <w:t>●</w:t>
                    </w:r>
                    <w:r>
                      <w:rPr>
                        <w:rFonts w:ascii="宋体" w:hAnsi="宋体" w:eastAsia="宋体" w:cs="宋体"/>
                        <w:spacing w:val="-21"/>
                        <w:sz w:val="19"/>
                        <w:szCs w:val="19"/>
                      </w:rPr>
                      <w:t>项目管理计</w:t>
                    </w:r>
                    <w:r>
                      <w:rPr>
                        <w:rFonts w:ascii="宋体" w:hAnsi="宋体" w:eastAsia="宋体" w:cs="宋体"/>
                        <w:spacing w:val="-20"/>
                        <w:sz w:val="19"/>
                        <w:szCs w:val="19"/>
                      </w:rPr>
                      <w:t>划更</w:t>
                    </w:r>
                    <w:r>
                      <w:rPr>
                        <w:rFonts w:ascii="宋体" w:hAnsi="宋体" w:eastAsia="宋体" w:cs="宋体"/>
                        <w:spacing w:val="-14"/>
                        <w:sz w:val="19"/>
                        <w:szCs w:val="19"/>
                      </w:rPr>
                      <w:t>新</w:t>
                    </w:r>
                  </w:p>
                </w:txbxContent>
              </v:textbox>
            </v:shape>
            <v:shape id="_x0000_s1568" o:spid="_x0000_s1568" o:spt="202" type="#_x0000_t202" style="position:absolute;left:2429;top:408;height:230;width:728;" filled="f" stroked="f" coordsize="21600,21600">
              <v:path/>
              <v:fill on="f" focussize="0,0"/>
              <v:stroke on="f"/>
              <v:imagedata o:title=""/>
              <o:lock v:ext="edit" aspectratio="f"/>
              <v:textbox inset="0mm,0mm,0mm,0mm">
                <w:txbxContent>
                  <w:p w14:paraId="15C9BC74">
                    <w:pPr>
                      <w:spacing w:before="20" w:line="220" w:lineRule="auto"/>
                      <w:ind w:right="1"/>
                      <w:jc w:val="right"/>
                      <w:rPr>
                        <w:rFonts w:ascii="宋体" w:hAnsi="宋体" w:eastAsia="宋体" w:cs="宋体"/>
                        <w:sz w:val="19"/>
                        <w:szCs w:val="19"/>
                      </w:rPr>
                    </w:pPr>
                    <w:r>
                      <w:rPr>
                        <w:rFonts w:ascii="宋体" w:hAnsi="宋体" w:eastAsia="宋体" w:cs="宋体"/>
                        <w:spacing w:val="-15"/>
                        <w:sz w:val="19"/>
                        <w:szCs w:val="19"/>
                      </w:rPr>
                      <w:t>风险应</w:t>
                    </w:r>
                    <w:r>
                      <w:rPr>
                        <w:rFonts w:ascii="宋体" w:hAnsi="宋体" w:eastAsia="宋体" w:cs="宋体"/>
                        <w:spacing w:val="-11"/>
                        <w:sz w:val="19"/>
                        <w:szCs w:val="19"/>
                      </w:rPr>
                      <w:t>对</w:t>
                    </w:r>
                  </w:p>
                </w:txbxContent>
              </v:textbox>
            </v:shape>
            <w10:wrap type="none"/>
            <w10:anchorlock/>
          </v:group>
        </w:pict>
      </w:r>
    </w:p>
    <w:p w14:paraId="63820A23">
      <w:pPr>
        <w:pStyle w:val="2"/>
        <w:spacing w:before="58" w:line="220" w:lineRule="auto"/>
        <w:ind w:left="3439"/>
        <w:rPr>
          <w:sz w:val="19"/>
          <w:szCs w:val="19"/>
        </w:rPr>
      </w:pPr>
      <w:r>
        <w:rPr>
          <w:spacing w:val="-6"/>
          <w:sz w:val="19"/>
          <w:szCs w:val="19"/>
        </w:rPr>
        <w:t>图18-6</w:t>
      </w:r>
      <w:r>
        <w:rPr>
          <w:spacing w:val="83"/>
          <w:sz w:val="19"/>
          <w:szCs w:val="19"/>
        </w:rPr>
        <w:t xml:space="preserve"> </w:t>
      </w:r>
      <w:r>
        <w:rPr>
          <w:spacing w:val="-6"/>
          <w:sz w:val="19"/>
          <w:szCs w:val="19"/>
        </w:rPr>
        <w:t>风险应对</w:t>
      </w:r>
    </w:p>
    <w:p w14:paraId="42A77234">
      <w:pPr>
        <w:pStyle w:val="2"/>
        <w:spacing w:before="299" w:line="222" w:lineRule="auto"/>
        <w:ind w:left="402"/>
        <w:rPr>
          <w:rFonts w:ascii="黑体" w:hAnsi="黑体" w:eastAsia="黑体" w:cs="黑体"/>
          <w:sz w:val="19"/>
          <w:szCs w:val="19"/>
        </w:rPr>
      </w:pPr>
      <w:r>
        <w:rPr>
          <w:b/>
          <w:bCs/>
          <w:color w:val="0066C1"/>
          <w:spacing w:val="4"/>
          <w:sz w:val="19"/>
          <w:szCs w:val="19"/>
        </w:rPr>
        <w:t>1.</w:t>
      </w:r>
      <w:r>
        <w:rPr>
          <w:rFonts w:ascii="黑体" w:hAnsi="黑体" w:eastAsia="黑体" w:cs="黑体"/>
          <w:b/>
          <w:bCs/>
          <w:color w:val="0066C1"/>
          <w:spacing w:val="4"/>
          <w:sz w:val="19"/>
          <w:szCs w:val="19"/>
        </w:rPr>
        <w:t>风险应对策略</w:t>
      </w:r>
    </w:p>
    <w:p w14:paraId="0EFCCBC0">
      <w:pPr>
        <w:pStyle w:val="2"/>
        <w:spacing w:before="144" w:line="285" w:lineRule="auto"/>
        <w:ind w:right="216" w:firstLine="399"/>
        <w:jc w:val="both"/>
        <w:rPr>
          <w:sz w:val="19"/>
          <w:szCs w:val="19"/>
        </w:rPr>
      </w:pPr>
      <w:r>
        <w:rPr>
          <w:spacing w:val="15"/>
          <w:sz w:val="19"/>
          <w:szCs w:val="19"/>
        </w:rPr>
        <w:t>通常有以下七种风险应对策略可供使用：回避、转移、减轻、接受、开拓、分享、增强。</w:t>
      </w:r>
      <w:r>
        <w:rPr>
          <w:spacing w:val="9"/>
          <w:sz w:val="19"/>
          <w:szCs w:val="19"/>
        </w:rPr>
        <w:t xml:space="preserve"> </w:t>
      </w:r>
      <w:r>
        <w:rPr>
          <w:spacing w:val="13"/>
          <w:sz w:val="19"/>
          <w:szCs w:val="19"/>
        </w:rPr>
        <w:t>可用前三种策略来应对可能给项目目标带来消极影响的风险；利用后三种策略来应对可能给项</w:t>
      </w:r>
      <w:r>
        <w:rPr>
          <w:spacing w:val="17"/>
          <w:sz w:val="19"/>
          <w:szCs w:val="19"/>
        </w:rPr>
        <w:t xml:space="preserve"> </w:t>
      </w:r>
      <w:r>
        <w:rPr>
          <w:spacing w:val="18"/>
          <w:sz w:val="19"/>
          <w:szCs w:val="19"/>
        </w:rPr>
        <w:t>目带来积极影响的风险；第四种策略(接受)既可用来</w:t>
      </w:r>
      <w:r>
        <w:rPr>
          <w:spacing w:val="17"/>
          <w:sz w:val="19"/>
          <w:szCs w:val="19"/>
        </w:rPr>
        <w:t>应对消极风险或威胁，也可用来应对积</w:t>
      </w:r>
      <w:r>
        <w:rPr>
          <w:sz w:val="19"/>
          <w:szCs w:val="19"/>
        </w:rPr>
        <w:t xml:space="preserve">  </w:t>
      </w:r>
      <w:r>
        <w:rPr>
          <w:spacing w:val="6"/>
          <w:sz w:val="19"/>
          <w:szCs w:val="19"/>
        </w:rPr>
        <w:t>极风险或机会。</w:t>
      </w:r>
    </w:p>
    <w:p w14:paraId="2743684A">
      <w:pPr>
        <w:pStyle w:val="2"/>
        <w:spacing w:before="39" w:line="264" w:lineRule="auto"/>
        <w:ind w:right="302" w:firstLine="399"/>
        <w:rPr>
          <w:sz w:val="19"/>
          <w:szCs w:val="19"/>
        </w:rPr>
      </w:pPr>
      <w:r>
        <w:rPr>
          <w:spacing w:val="15"/>
          <w:sz w:val="19"/>
          <w:szCs w:val="19"/>
        </w:rPr>
        <w:t>(1)回避。风险回避是指在风险还未发生时，主动放弃或改变计划，不再实施可能导致风</w:t>
      </w:r>
      <w:r>
        <w:rPr>
          <w:spacing w:val="3"/>
          <w:sz w:val="19"/>
          <w:szCs w:val="19"/>
        </w:rPr>
        <w:t xml:space="preserve"> </w:t>
      </w:r>
      <w:r>
        <w:rPr>
          <w:spacing w:val="9"/>
          <w:sz w:val="19"/>
          <w:szCs w:val="19"/>
        </w:rPr>
        <w:t>险的活动，以完全消除威胁。选择此策略要充分考虑并权衡风险回避的成本和效益。</w:t>
      </w:r>
    </w:p>
    <w:p w14:paraId="57F5FEC1">
      <w:pPr>
        <w:pStyle w:val="2"/>
        <w:spacing w:before="74" w:line="274" w:lineRule="auto"/>
        <w:ind w:right="217" w:firstLine="399"/>
        <w:rPr>
          <w:sz w:val="19"/>
          <w:szCs w:val="19"/>
        </w:rPr>
      </w:pPr>
      <w:r>
        <w:rPr>
          <w:spacing w:val="17"/>
          <w:sz w:val="19"/>
          <w:szCs w:val="19"/>
        </w:rPr>
        <w:t>(2)转移。风险转移是指把某项风险的部分或全部消极影响连同应对责任转移给第三方。</w:t>
      </w:r>
      <w:r>
        <w:rPr>
          <w:spacing w:val="8"/>
          <w:sz w:val="19"/>
          <w:szCs w:val="19"/>
        </w:rPr>
        <w:t xml:space="preserve"> </w:t>
      </w:r>
      <w:r>
        <w:rPr>
          <w:spacing w:val="13"/>
          <w:sz w:val="19"/>
          <w:szCs w:val="19"/>
        </w:rPr>
        <w:t xml:space="preserve">转移风险是把风险管理责任简单地推给另一方，而并非消除风险。选择此策略要充分考虑风险 </w:t>
      </w:r>
      <w:r>
        <w:rPr>
          <w:spacing w:val="6"/>
          <w:sz w:val="19"/>
          <w:szCs w:val="19"/>
        </w:rPr>
        <w:t>转移成本与所避免的风险损失。</w:t>
      </w:r>
    </w:p>
    <w:p w14:paraId="79AEB105">
      <w:pPr>
        <w:spacing w:line="274" w:lineRule="auto"/>
        <w:rPr>
          <w:sz w:val="19"/>
          <w:szCs w:val="19"/>
        </w:rPr>
        <w:sectPr>
          <w:pgSz w:w="10280" w:h="13300"/>
          <w:pgMar w:top="400" w:right="548" w:bottom="400" w:left="1110" w:header="0" w:footer="0" w:gutter="0"/>
          <w:cols w:space="720" w:num="1"/>
        </w:sectPr>
      </w:pPr>
    </w:p>
    <w:p w14:paraId="71AB0FD0">
      <w:pPr>
        <w:pStyle w:val="2"/>
        <w:spacing w:before="78" w:line="219" w:lineRule="auto"/>
        <w:rPr>
          <w:sz w:val="20"/>
          <w:szCs w:val="20"/>
        </w:rPr>
      </w:pPr>
      <w:r>
        <w:rPr>
          <w:rFonts w:ascii="Times New Roman" w:hAnsi="Times New Roman" w:eastAsia="Times New Roman" w:cs="Times New Roman"/>
          <w:spacing w:val="-2"/>
          <w:position w:val="1"/>
          <w:sz w:val="20"/>
          <w:szCs w:val="20"/>
        </w:rPr>
        <w:t xml:space="preserve">402              </w:t>
      </w:r>
      <w:r>
        <w:rPr>
          <w:spacing w:val="-2"/>
          <w:sz w:val="20"/>
          <w:szCs w:val="20"/>
        </w:rPr>
        <w:t>信息系统监理师教程(第2版)</w:t>
      </w:r>
    </w:p>
    <w:p w14:paraId="55232318">
      <w:pPr>
        <w:spacing w:line="306" w:lineRule="auto"/>
        <w:rPr>
          <w:rFonts w:ascii="Arial"/>
          <w:sz w:val="21"/>
        </w:rPr>
      </w:pPr>
    </w:p>
    <w:p w14:paraId="0C1F60E7">
      <w:pPr>
        <w:pStyle w:val="2"/>
        <w:spacing w:before="65" w:line="276" w:lineRule="auto"/>
        <w:ind w:left="359" w:right="78" w:firstLine="399"/>
        <w:rPr>
          <w:sz w:val="20"/>
          <w:szCs w:val="20"/>
        </w:rPr>
      </w:pPr>
      <w:r>
        <w:rPr>
          <w:spacing w:val="6"/>
          <w:sz w:val="20"/>
          <w:szCs w:val="20"/>
        </w:rPr>
        <w:t>(3)减轻。风险减轻是指通过采取一定的行动，把不利风</w:t>
      </w:r>
      <w:r>
        <w:rPr>
          <w:spacing w:val="5"/>
          <w:sz w:val="20"/>
          <w:szCs w:val="20"/>
        </w:rPr>
        <w:t>险事件的概率或影响降低到可接</w:t>
      </w:r>
      <w:r>
        <w:rPr>
          <w:sz w:val="20"/>
          <w:szCs w:val="20"/>
        </w:rPr>
        <w:t xml:space="preserve"> </w:t>
      </w:r>
      <w:r>
        <w:rPr>
          <w:spacing w:val="3"/>
          <w:sz w:val="20"/>
          <w:szCs w:val="20"/>
        </w:rPr>
        <w:t>受的范围内。这是一种积极主动的策略。选择此策略时要考虑风险减轻实施成本与风险应对回</w:t>
      </w:r>
      <w:r>
        <w:rPr>
          <w:spacing w:val="17"/>
          <w:sz w:val="20"/>
          <w:szCs w:val="20"/>
        </w:rPr>
        <w:t xml:space="preserve"> </w:t>
      </w:r>
      <w:r>
        <w:rPr>
          <w:spacing w:val="-6"/>
          <w:sz w:val="20"/>
          <w:szCs w:val="20"/>
        </w:rPr>
        <w:t>报相匹配。</w:t>
      </w:r>
    </w:p>
    <w:p w14:paraId="2A0B24EA">
      <w:pPr>
        <w:pStyle w:val="2"/>
        <w:spacing w:before="62" w:line="270" w:lineRule="auto"/>
        <w:ind w:left="359" w:right="92" w:firstLine="399"/>
        <w:rPr>
          <w:sz w:val="20"/>
          <w:szCs w:val="20"/>
        </w:rPr>
      </w:pPr>
      <w:r>
        <w:rPr>
          <w:spacing w:val="5"/>
          <w:sz w:val="20"/>
          <w:szCs w:val="20"/>
        </w:rPr>
        <w:t>(4)接受。因为几乎不可能消除项目的全部威胁，所以就需要采用风险接受策略。该策略</w:t>
      </w:r>
      <w:r>
        <w:rPr>
          <w:spacing w:val="7"/>
          <w:sz w:val="20"/>
          <w:szCs w:val="20"/>
        </w:rPr>
        <w:t xml:space="preserve"> </w:t>
      </w:r>
      <w:r>
        <w:rPr>
          <w:spacing w:val="3"/>
          <w:sz w:val="20"/>
          <w:szCs w:val="20"/>
        </w:rPr>
        <w:t xml:space="preserve">可以是被动或主动的。例如，当出现未识别的风险时，只能被动地接受风险。最常见的主动接 </w:t>
      </w:r>
      <w:r>
        <w:rPr>
          <w:spacing w:val="-1"/>
          <w:sz w:val="20"/>
          <w:szCs w:val="20"/>
        </w:rPr>
        <w:t>受策略是建立应急储备，安排一定的时间、资</w:t>
      </w:r>
      <w:r>
        <w:rPr>
          <w:spacing w:val="-2"/>
          <w:sz w:val="20"/>
          <w:szCs w:val="20"/>
        </w:rPr>
        <w:t>金或资源来应对风险。</w:t>
      </w:r>
    </w:p>
    <w:p w14:paraId="63E3745C">
      <w:pPr>
        <w:pStyle w:val="2"/>
        <w:spacing w:before="70" w:line="262" w:lineRule="auto"/>
        <w:ind w:left="359" w:right="91" w:firstLine="399"/>
        <w:rPr>
          <w:sz w:val="20"/>
          <w:szCs w:val="20"/>
        </w:rPr>
      </w:pPr>
      <w:r>
        <w:rPr>
          <w:spacing w:val="6"/>
          <w:sz w:val="20"/>
          <w:szCs w:val="20"/>
        </w:rPr>
        <w:t>(5)开拓。如果项目希望机会得以实现，就可对具有积极影</w:t>
      </w:r>
      <w:r>
        <w:rPr>
          <w:spacing w:val="5"/>
          <w:sz w:val="20"/>
          <w:szCs w:val="20"/>
        </w:rPr>
        <w:t>响的风险采取本策略。本策略</w:t>
      </w:r>
      <w:r>
        <w:rPr>
          <w:sz w:val="20"/>
          <w:szCs w:val="20"/>
        </w:rPr>
        <w:t xml:space="preserve"> </w:t>
      </w:r>
      <w:r>
        <w:rPr>
          <w:spacing w:val="-2"/>
          <w:sz w:val="20"/>
          <w:szCs w:val="20"/>
        </w:rPr>
        <w:t>旨在消除与某个特定积极风险相关的不确定性，确保机会肯</w:t>
      </w:r>
      <w:r>
        <w:rPr>
          <w:spacing w:val="-3"/>
          <w:sz w:val="20"/>
          <w:szCs w:val="20"/>
        </w:rPr>
        <w:t>定出现。</w:t>
      </w:r>
    </w:p>
    <w:p w14:paraId="52FCBE35">
      <w:pPr>
        <w:pStyle w:val="2"/>
        <w:spacing w:before="63" w:line="256" w:lineRule="auto"/>
        <w:ind w:left="359" w:right="91" w:firstLine="399"/>
        <w:rPr>
          <w:sz w:val="20"/>
          <w:szCs w:val="20"/>
        </w:rPr>
      </w:pPr>
      <w:r>
        <w:rPr>
          <w:spacing w:val="6"/>
          <w:sz w:val="20"/>
          <w:szCs w:val="20"/>
        </w:rPr>
        <w:t>(6)分享。风险分享是指把应对机会的部分或者全部责任分</w:t>
      </w:r>
      <w:r>
        <w:rPr>
          <w:spacing w:val="5"/>
          <w:sz w:val="20"/>
          <w:szCs w:val="20"/>
        </w:rPr>
        <w:t>配给第三方。当与第三方共享</w:t>
      </w:r>
      <w:r>
        <w:rPr>
          <w:sz w:val="20"/>
          <w:szCs w:val="20"/>
        </w:rPr>
        <w:t xml:space="preserve"> </w:t>
      </w:r>
      <w:r>
        <w:rPr>
          <w:spacing w:val="-2"/>
          <w:sz w:val="20"/>
          <w:szCs w:val="20"/>
        </w:rPr>
        <w:t>机会能够获得更大的价值时，可选择本策略。</w:t>
      </w:r>
    </w:p>
    <w:p w14:paraId="2F25898F">
      <w:pPr>
        <w:pStyle w:val="2"/>
        <w:spacing w:before="95" w:line="219" w:lineRule="auto"/>
        <w:ind w:left="759"/>
        <w:rPr>
          <w:sz w:val="20"/>
          <w:szCs w:val="20"/>
        </w:rPr>
      </w:pPr>
      <w:r>
        <w:rPr>
          <w:spacing w:val="2"/>
          <w:sz w:val="20"/>
          <w:szCs w:val="20"/>
        </w:rPr>
        <w:t>(7)增强。风险增强是指通过增加机会的发生概率和积极影响，促使</w:t>
      </w:r>
      <w:r>
        <w:rPr>
          <w:spacing w:val="1"/>
          <w:sz w:val="20"/>
          <w:szCs w:val="20"/>
        </w:rPr>
        <w:t>机会的发生。</w:t>
      </w:r>
    </w:p>
    <w:p w14:paraId="4CE4248A">
      <w:pPr>
        <w:pStyle w:val="2"/>
        <w:spacing w:before="149" w:line="222" w:lineRule="auto"/>
        <w:ind w:left="762"/>
        <w:rPr>
          <w:rFonts w:ascii="黑体" w:hAnsi="黑体" w:eastAsia="黑体" w:cs="黑体"/>
          <w:sz w:val="20"/>
          <w:szCs w:val="20"/>
        </w:rPr>
      </w:pPr>
      <w:bookmarkStart w:id="695" w:name="bookmark680"/>
      <w:bookmarkEnd w:id="695"/>
      <w:r>
        <w:rPr>
          <w:b/>
          <w:bCs/>
          <w:color w:val="0086EE"/>
          <w:spacing w:val="-4"/>
          <w:sz w:val="20"/>
          <w:szCs w:val="20"/>
        </w:rPr>
        <w:t>2.</w:t>
      </w:r>
      <w:r>
        <w:rPr>
          <w:rFonts w:ascii="黑体" w:hAnsi="黑体" w:eastAsia="黑体" w:cs="黑体"/>
          <w:b/>
          <w:bCs/>
          <w:color w:val="0086EE"/>
          <w:spacing w:val="-4"/>
          <w:sz w:val="20"/>
          <w:szCs w:val="20"/>
        </w:rPr>
        <w:t>风险应对的依据</w:t>
      </w:r>
    </w:p>
    <w:p w14:paraId="34328150">
      <w:pPr>
        <w:pStyle w:val="2"/>
        <w:spacing w:before="153" w:line="219" w:lineRule="auto"/>
        <w:ind w:left="759"/>
        <w:rPr>
          <w:sz w:val="20"/>
          <w:szCs w:val="20"/>
        </w:rPr>
      </w:pPr>
      <w:r>
        <w:rPr>
          <w:spacing w:val="-3"/>
          <w:sz w:val="20"/>
          <w:szCs w:val="20"/>
        </w:rPr>
        <w:t>有效的风险应对也需要一定的依据，主要包括：</w:t>
      </w:r>
    </w:p>
    <w:p w14:paraId="5D7BB8F6">
      <w:pPr>
        <w:pStyle w:val="2"/>
        <w:spacing w:before="63" w:line="262" w:lineRule="auto"/>
        <w:ind w:left="359" w:right="20" w:firstLine="399"/>
        <w:rPr>
          <w:sz w:val="20"/>
          <w:szCs w:val="20"/>
        </w:rPr>
      </w:pPr>
      <w:r>
        <w:rPr>
          <w:spacing w:val="6"/>
          <w:sz w:val="20"/>
          <w:szCs w:val="20"/>
        </w:rPr>
        <w:t>(1)项目管理计划。项目管理计划可为风险应对过程提供参考。</w:t>
      </w:r>
      <w:r>
        <w:rPr>
          <w:spacing w:val="5"/>
          <w:sz w:val="20"/>
          <w:szCs w:val="20"/>
        </w:rPr>
        <w:t>例如，风险管理计划中有</w:t>
      </w:r>
      <w:r>
        <w:rPr>
          <w:sz w:val="20"/>
          <w:szCs w:val="20"/>
        </w:rPr>
        <w:t xml:space="preserve"> 关风险管理责任分配、风险临界值等内容；资源管理计划中的用于风险应对的资源安排等内容。</w:t>
      </w:r>
    </w:p>
    <w:p w14:paraId="607A425F">
      <w:pPr>
        <w:pStyle w:val="2"/>
        <w:spacing w:before="62" w:line="266" w:lineRule="auto"/>
        <w:ind w:left="359" w:right="84" w:firstLine="399"/>
        <w:rPr>
          <w:sz w:val="20"/>
          <w:szCs w:val="20"/>
        </w:rPr>
      </w:pPr>
      <w:r>
        <w:rPr>
          <w:spacing w:val="6"/>
          <w:sz w:val="20"/>
          <w:szCs w:val="20"/>
        </w:rPr>
        <w:t>(2)风险登记册。风险登记册随着风险管理流程的实施逐步</w:t>
      </w:r>
      <w:r>
        <w:rPr>
          <w:spacing w:val="5"/>
          <w:sz w:val="20"/>
          <w:szCs w:val="20"/>
        </w:rPr>
        <w:t>完善，基于风险识别、风险分</w:t>
      </w:r>
      <w:r>
        <w:rPr>
          <w:sz w:val="20"/>
          <w:szCs w:val="20"/>
        </w:rPr>
        <w:t xml:space="preserve"> </w:t>
      </w:r>
      <w:r>
        <w:rPr>
          <w:spacing w:val="3"/>
          <w:sz w:val="20"/>
          <w:szCs w:val="20"/>
        </w:rPr>
        <w:t>析的成果，风险登记册中有关已识别项目风险、风险优先级排序等内容是风险应对策略制定的</w:t>
      </w:r>
      <w:r>
        <w:rPr>
          <w:spacing w:val="11"/>
          <w:sz w:val="20"/>
          <w:szCs w:val="20"/>
        </w:rPr>
        <w:t xml:space="preserve"> </w:t>
      </w:r>
      <w:r>
        <w:rPr>
          <w:spacing w:val="-7"/>
          <w:sz w:val="20"/>
          <w:szCs w:val="20"/>
        </w:rPr>
        <w:t>重要基础。</w:t>
      </w:r>
    </w:p>
    <w:p w14:paraId="3B3D047C">
      <w:pPr>
        <w:pStyle w:val="2"/>
        <w:spacing w:before="97" w:line="248" w:lineRule="auto"/>
        <w:ind w:left="359" w:firstLine="399"/>
        <w:rPr>
          <w:sz w:val="20"/>
          <w:szCs w:val="20"/>
        </w:rPr>
      </w:pPr>
      <w:r>
        <w:rPr>
          <w:spacing w:val="8"/>
          <w:sz w:val="20"/>
          <w:szCs w:val="20"/>
        </w:rPr>
        <w:t>(3)组织过程资产。类似已完成项目的经验总结可为该过程提供参考。可基于历史经验，</w:t>
      </w:r>
      <w:r>
        <w:rPr>
          <w:sz w:val="20"/>
          <w:szCs w:val="20"/>
        </w:rPr>
        <w:t xml:space="preserve"> </w:t>
      </w:r>
      <w:r>
        <w:rPr>
          <w:spacing w:val="-1"/>
          <w:sz w:val="20"/>
          <w:szCs w:val="20"/>
        </w:rPr>
        <w:t>针对相似项目风险选择相同的应对措施，或根据项目实际情况对应对策略进行改进。</w:t>
      </w:r>
    </w:p>
    <w:p w14:paraId="61C8ACA2">
      <w:pPr>
        <w:pStyle w:val="2"/>
        <w:spacing w:before="158" w:line="221" w:lineRule="auto"/>
        <w:ind w:left="762"/>
        <w:rPr>
          <w:rFonts w:ascii="黑体" w:hAnsi="黑体" w:eastAsia="黑体" w:cs="黑体"/>
          <w:sz w:val="20"/>
          <w:szCs w:val="20"/>
        </w:rPr>
      </w:pPr>
      <w:r>
        <w:rPr>
          <w:b/>
          <w:bCs/>
          <w:color w:val="0073CB"/>
          <w:spacing w:val="-2"/>
          <w:sz w:val="20"/>
          <w:szCs w:val="20"/>
        </w:rPr>
        <w:t>3.</w:t>
      </w:r>
      <w:r>
        <w:rPr>
          <w:rFonts w:ascii="黑体" w:hAnsi="黑体" w:eastAsia="黑体" w:cs="黑体"/>
          <w:b/>
          <w:bCs/>
          <w:color w:val="0073CB"/>
          <w:spacing w:val="-2"/>
          <w:sz w:val="20"/>
          <w:szCs w:val="20"/>
        </w:rPr>
        <w:t>风险应对的技术与方法</w:t>
      </w:r>
    </w:p>
    <w:p w14:paraId="3B7B74A3">
      <w:pPr>
        <w:pStyle w:val="2"/>
        <w:spacing w:before="143" w:line="287" w:lineRule="auto"/>
        <w:ind w:left="359" w:right="20" w:firstLine="399"/>
        <w:jc w:val="both"/>
        <w:rPr>
          <w:sz w:val="20"/>
          <w:szCs w:val="20"/>
        </w:rPr>
      </w:pPr>
      <w:r>
        <w:rPr>
          <w:spacing w:val="5"/>
          <w:sz w:val="20"/>
          <w:szCs w:val="20"/>
        </w:rPr>
        <w:t>风险应对过程的关键是基于项目风险相关信息，从风险应对策略中选择合适的应对措施。</w:t>
      </w:r>
      <w:r>
        <w:rPr>
          <w:spacing w:val="4"/>
          <w:sz w:val="20"/>
          <w:szCs w:val="20"/>
        </w:rPr>
        <w:t xml:space="preserve"> </w:t>
      </w:r>
      <w:r>
        <w:rPr>
          <w:spacing w:val="8"/>
          <w:sz w:val="20"/>
          <w:szCs w:val="20"/>
        </w:rPr>
        <w:t>为实现有效的风险应对，需要考虑风险应对成本、时间、质量等诸多因素，运用科学的方法</w:t>
      </w:r>
      <w:r>
        <w:rPr>
          <w:spacing w:val="5"/>
          <w:sz w:val="20"/>
          <w:szCs w:val="20"/>
        </w:rPr>
        <w:t xml:space="preserve"> </w:t>
      </w:r>
      <w:r>
        <w:rPr>
          <w:spacing w:val="2"/>
          <w:sz w:val="20"/>
          <w:szCs w:val="20"/>
        </w:rPr>
        <w:t>(例如概率影响矩阵等)选择风险应对策略。</w:t>
      </w:r>
    </w:p>
    <w:p w14:paraId="0D6B8EF7">
      <w:pPr>
        <w:pStyle w:val="2"/>
        <w:spacing w:before="95" w:line="222" w:lineRule="auto"/>
        <w:ind w:left="762"/>
        <w:rPr>
          <w:rFonts w:ascii="黑体" w:hAnsi="黑体" w:eastAsia="黑体" w:cs="黑体"/>
          <w:sz w:val="20"/>
          <w:szCs w:val="20"/>
        </w:rPr>
      </w:pPr>
      <w:r>
        <w:rPr>
          <w:b/>
          <w:bCs/>
          <w:color w:val="2190E6"/>
          <w:spacing w:val="-1"/>
          <w:sz w:val="20"/>
          <w:szCs w:val="20"/>
        </w:rPr>
        <w:t>4.</w:t>
      </w:r>
      <w:r>
        <w:rPr>
          <w:rFonts w:ascii="黑体" w:hAnsi="黑体" w:eastAsia="黑体" w:cs="黑体"/>
          <w:b/>
          <w:bCs/>
          <w:color w:val="2190E6"/>
          <w:spacing w:val="-1"/>
          <w:sz w:val="20"/>
          <w:szCs w:val="20"/>
        </w:rPr>
        <w:t>风险应对的输出</w:t>
      </w:r>
    </w:p>
    <w:p w14:paraId="7CEB8AB4">
      <w:pPr>
        <w:pStyle w:val="2"/>
        <w:spacing w:before="144" w:line="277" w:lineRule="auto"/>
        <w:ind w:left="359" w:right="89" w:firstLine="399"/>
        <w:rPr>
          <w:sz w:val="20"/>
          <w:szCs w:val="20"/>
        </w:rPr>
      </w:pPr>
      <w:r>
        <w:rPr>
          <w:spacing w:val="9"/>
          <w:sz w:val="20"/>
          <w:szCs w:val="20"/>
        </w:rPr>
        <w:t>在制定各项风险的具体应对策略后，应对项目管理计划及</w:t>
      </w:r>
      <w:r>
        <w:rPr>
          <w:spacing w:val="8"/>
          <w:sz w:val="20"/>
          <w:szCs w:val="20"/>
        </w:rPr>
        <w:t>其他项目文档进行更新，主要</w:t>
      </w:r>
      <w:r>
        <w:rPr>
          <w:sz w:val="20"/>
          <w:szCs w:val="20"/>
        </w:rPr>
        <w:t xml:space="preserve"> </w:t>
      </w:r>
      <w:r>
        <w:rPr>
          <w:spacing w:val="-5"/>
          <w:sz w:val="20"/>
          <w:szCs w:val="20"/>
        </w:rPr>
        <w:t>包括：</w:t>
      </w:r>
    </w:p>
    <w:p w14:paraId="20AD3048">
      <w:pPr>
        <w:pStyle w:val="2"/>
        <w:spacing w:before="19" w:line="264" w:lineRule="auto"/>
        <w:ind w:left="359" w:right="90" w:firstLine="399"/>
        <w:rPr>
          <w:sz w:val="20"/>
          <w:szCs w:val="20"/>
        </w:rPr>
      </w:pPr>
      <w:r>
        <w:rPr>
          <w:spacing w:val="6"/>
          <w:sz w:val="20"/>
          <w:szCs w:val="20"/>
        </w:rPr>
        <w:t>(1)更新风险登记册。在针对不同的项目风险制定出相应的应对</w:t>
      </w:r>
      <w:r>
        <w:rPr>
          <w:spacing w:val="5"/>
          <w:sz w:val="20"/>
          <w:szCs w:val="20"/>
        </w:rPr>
        <w:t>策略后，将其列入风险登</w:t>
      </w:r>
      <w:r>
        <w:rPr>
          <w:sz w:val="20"/>
          <w:szCs w:val="20"/>
        </w:rPr>
        <w:t xml:space="preserve"> </w:t>
      </w:r>
      <w:r>
        <w:rPr>
          <w:spacing w:val="1"/>
          <w:sz w:val="20"/>
          <w:szCs w:val="20"/>
        </w:rPr>
        <w:t>记册。风险详细程度应与风险的优先级和拟采取的应对措施相</w:t>
      </w:r>
      <w:r>
        <w:rPr>
          <w:sz w:val="20"/>
          <w:szCs w:val="20"/>
        </w:rPr>
        <w:t xml:space="preserve">适应。 一般应该详细说明高风险 </w:t>
      </w:r>
      <w:r>
        <w:rPr>
          <w:spacing w:val="-2"/>
          <w:sz w:val="20"/>
          <w:szCs w:val="20"/>
        </w:rPr>
        <w:t>和中风险，而把低优先级的风险列入观察清单，并定期监测。</w:t>
      </w:r>
    </w:p>
    <w:p w14:paraId="1489B629">
      <w:pPr>
        <w:pStyle w:val="2"/>
        <w:spacing w:before="81" w:line="248" w:lineRule="auto"/>
        <w:ind w:left="359" w:right="91" w:firstLine="399"/>
        <w:rPr>
          <w:sz w:val="20"/>
          <w:szCs w:val="20"/>
        </w:rPr>
      </w:pPr>
      <w:r>
        <w:rPr>
          <w:spacing w:val="6"/>
          <w:sz w:val="20"/>
          <w:szCs w:val="20"/>
        </w:rPr>
        <w:t>(2)项目管理计划可能会更新。针对已识别风险确定合适的</w:t>
      </w:r>
      <w:r>
        <w:rPr>
          <w:spacing w:val="5"/>
          <w:sz w:val="20"/>
          <w:szCs w:val="20"/>
        </w:rPr>
        <w:t>应对策略后，项目团队需要采</w:t>
      </w:r>
      <w:r>
        <w:rPr>
          <w:sz w:val="20"/>
          <w:szCs w:val="20"/>
        </w:rPr>
        <w:t xml:space="preserve"> </w:t>
      </w:r>
      <w:r>
        <w:rPr>
          <w:spacing w:val="-1"/>
          <w:sz w:val="20"/>
          <w:szCs w:val="20"/>
        </w:rPr>
        <w:t>取具体应对措施，可能需要调整进度、成本、质量以及资</w:t>
      </w:r>
      <w:r>
        <w:rPr>
          <w:spacing w:val="-2"/>
          <w:sz w:val="20"/>
          <w:szCs w:val="20"/>
        </w:rPr>
        <w:t>源等管理计划。</w:t>
      </w:r>
    </w:p>
    <w:p w14:paraId="426D2623">
      <w:pPr>
        <w:pStyle w:val="2"/>
        <w:spacing w:before="204" w:line="220" w:lineRule="auto"/>
        <w:ind w:left="362"/>
        <w:rPr>
          <w:sz w:val="26"/>
          <w:szCs w:val="26"/>
        </w:rPr>
      </w:pPr>
      <w:r>
        <w:rPr>
          <w:b/>
          <w:bCs/>
          <w:color w:val="0073E6"/>
          <w:spacing w:val="-24"/>
          <w:sz w:val="26"/>
          <w:szCs w:val="26"/>
        </w:rPr>
        <w:t>18.2.5</w:t>
      </w:r>
      <w:r>
        <w:rPr>
          <w:color w:val="0073E6"/>
          <w:spacing w:val="87"/>
          <w:sz w:val="26"/>
          <w:szCs w:val="26"/>
        </w:rPr>
        <w:t xml:space="preserve"> </w:t>
      </w:r>
      <w:r>
        <w:rPr>
          <w:b/>
          <w:bCs/>
          <w:color w:val="0073E6"/>
          <w:spacing w:val="-24"/>
          <w:sz w:val="26"/>
          <w:szCs w:val="26"/>
        </w:rPr>
        <w:t>风险监控</w:t>
      </w:r>
    </w:p>
    <w:p w14:paraId="3EBE5D25">
      <w:pPr>
        <w:pStyle w:val="2"/>
        <w:spacing w:before="170" w:line="219" w:lineRule="auto"/>
        <w:ind w:left="759"/>
        <w:rPr>
          <w:sz w:val="20"/>
          <w:szCs w:val="20"/>
        </w:rPr>
      </w:pPr>
      <w:r>
        <w:rPr>
          <w:spacing w:val="3"/>
          <w:sz w:val="20"/>
          <w:szCs w:val="20"/>
        </w:rPr>
        <w:t>风险监控是指通过对风险识别、分析及应对等过程进行跟踪检查，监控已识别风险的应对</w:t>
      </w:r>
    </w:p>
    <w:p w14:paraId="614439E6">
      <w:pPr>
        <w:spacing w:line="219" w:lineRule="auto"/>
        <w:rPr>
          <w:sz w:val="20"/>
          <w:szCs w:val="20"/>
        </w:rPr>
        <w:sectPr>
          <w:pgSz w:w="10300" w:h="13370"/>
          <w:pgMar w:top="400" w:right="989" w:bottom="400" w:left="530" w:header="0" w:footer="0" w:gutter="0"/>
          <w:cols w:space="720" w:num="1"/>
        </w:sectPr>
      </w:pPr>
    </w:p>
    <w:p w14:paraId="28EAE39E">
      <w:pPr>
        <w:pStyle w:val="2"/>
        <w:jc w:val="right"/>
        <w:rPr>
          <w:rFonts w:ascii="Times New Roman" w:hAnsi="Times New Roman" w:eastAsia="Times New Roman" w:cs="Times New Roman"/>
          <w:sz w:val="19"/>
          <w:szCs w:val="19"/>
        </w:rPr>
      </w:pPr>
      <w:r>
        <w:rPr>
          <w:spacing w:val="7"/>
          <w:sz w:val="19"/>
          <w:szCs w:val="19"/>
        </w:rPr>
        <w:t>第18章</w:t>
      </w:r>
      <w:r>
        <w:rPr>
          <w:spacing w:val="32"/>
          <w:sz w:val="19"/>
          <w:szCs w:val="19"/>
        </w:rPr>
        <w:t xml:space="preserve"> </w:t>
      </w:r>
      <w:r>
        <w:rPr>
          <w:spacing w:val="7"/>
          <w:sz w:val="19"/>
          <w:szCs w:val="19"/>
        </w:rPr>
        <w:t xml:space="preserve">风险管理 </w:t>
      </w:r>
      <w:r>
        <w:rPr>
          <w:position w:val="-15"/>
          <w:sz w:val="19"/>
          <w:szCs w:val="19"/>
        </w:rPr>
        <w:drawing>
          <wp:inline distT="0" distB="0" distL="0" distR="0">
            <wp:extent cx="323215" cy="260350"/>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69"/>
                    <a:stretch>
                      <a:fillRect/>
                    </a:stretch>
                  </pic:blipFill>
                  <pic:spPr>
                    <a:xfrm>
                      <a:off x="0" y="0"/>
                      <a:ext cx="323832" cy="260374"/>
                    </a:xfrm>
                    <a:prstGeom prst="rect">
                      <a:avLst/>
                    </a:prstGeom>
                  </pic:spPr>
                </pic:pic>
              </a:graphicData>
            </a:graphic>
          </wp:inline>
        </w:drawing>
      </w:r>
      <w:r>
        <w:rPr>
          <w:rFonts w:ascii="Times New Roman" w:hAnsi="Times New Roman" w:eastAsia="Times New Roman" w:cs="Times New Roman"/>
          <w:spacing w:val="7"/>
          <w:sz w:val="19"/>
          <w:szCs w:val="19"/>
        </w:rPr>
        <w:t>403</w:t>
      </w:r>
    </w:p>
    <w:p w14:paraId="5B46673B">
      <w:pPr>
        <w:spacing w:line="244" w:lineRule="auto"/>
        <w:rPr>
          <w:rFonts w:ascii="Arial"/>
          <w:sz w:val="21"/>
        </w:rPr>
      </w:pPr>
    </w:p>
    <w:p w14:paraId="44F4E8B2">
      <w:pPr>
        <w:pStyle w:val="2"/>
        <w:spacing w:before="61" w:line="295" w:lineRule="auto"/>
        <w:ind w:right="226"/>
        <w:jc w:val="both"/>
        <w:rPr>
          <w:sz w:val="19"/>
          <w:szCs w:val="19"/>
        </w:rPr>
      </w:pPr>
      <w:r>
        <w:rPr>
          <w:spacing w:val="12"/>
          <w:sz w:val="19"/>
          <w:szCs w:val="19"/>
        </w:rPr>
        <w:t>与处理，识别和分析新风险，保证风险管理目标实现的过程。风险监控的目的是检查各种风险</w:t>
      </w:r>
      <w:r>
        <w:rPr>
          <w:spacing w:val="7"/>
          <w:sz w:val="19"/>
          <w:szCs w:val="19"/>
        </w:rPr>
        <w:t xml:space="preserve">  </w:t>
      </w:r>
      <w:r>
        <w:rPr>
          <w:spacing w:val="13"/>
          <w:sz w:val="19"/>
          <w:szCs w:val="19"/>
        </w:rPr>
        <w:t>应对措施产生的实际效果，监视剩余风险的变化情况，进而评估调整风险管理</w:t>
      </w:r>
      <w:r>
        <w:rPr>
          <w:spacing w:val="12"/>
          <w:sz w:val="19"/>
          <w:szCs w:val="19"/>
        </w:rPr>
        <w:t>计划或启动相应</w:t>
      </w:r>
      <w:r>
        <w:rPr>
          <w:sz w:val="19"/>
          <w:szCs w:val="19"/>
        </w:rPr>
        <w:t xml:space="preserve">  </w:t>
      </w:r>
      <w:r>
        <w:rPr>
          <w:spacing w:val="15"/>
          <w:sz w:val="19"/>
          <w:szCs w:val="19"/>
        </w:rPr>
        <w:t>的应急措施的必要性。风险监控贯穿项目全生命周期，对风险管理的有效执行起到关键作用。</w:t>
      </w:r>
      <w:r>
        <w:rPr>
          <w:sz w:val="19"/>
          <w:szCs w:val="19"/>
        </w:rPr>
        <w:t xml:space="preserve"> </w:t>
      </w:r>
      <w:r>
        <w:rPr>
          <w:spacing w:val="9"/>
          <w:sz w:val="19"/>
          <w:szCs w:val="19"/>
        </w:rPr>
        <w:t>风险监控的过程如图18-7所示。</w:t>
      </w:r>
    </w:p>
    <w:p w14:paraId="0B38B54B">
      <w:pPr>
        <w:spacing w:before="31"/>
      </w:pPr>
    </w:p>
    <w:tbl>
      <w:tblPr>
        <w:tblStyle w:val="5"/>
        <w:tblW w:w="5317" w:type="dxa"/>
        <w:tblInd w:w="14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21"/>
        <w:gridCol w:w="1657"/>
        <w:gridCol w:w="1939"/>
      </w:tblGrid>
      <w:tr w14:paraId="084C67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6" w:hRule="atLeast"/>
        </w:trPr>
        <w:tc>
          <w:tcPr>
            <w:tcW w:w="1721" w:type="dxa"/>
            <w:vAlign w:val="top"/>
          </w:tcPr>
          <w:p w14:paraId="7FF6FB19">
            <w:pPr>
              <w:pStyle w:val="6"/>
              <w:spacing w:line="192" w:lineRule="auto"/>
              <w:rPr>
                <w:sz w:val="14"/>
                <w:szCs w:val="14"/>
              </w:rPr>
            </w:pPr>
            <w:r>
              <w:drawing>
                <wp:anchor distT="0" distB="0" distL="0" distR="0" simplePos="0" relativeHeight="251796480" behindDoc="1" locked="0" layoutInCell="1" allowOverlap="1">
                  <wp:simplePos x="0" y="0"/>
                  <wp:positionH relativeFrom="column">
                    <wp:posOffset>-120015</wp:posOffset>
                  </wp:positionH>
                  <wp:positionV relativeFrom="paragraph">
                    <wp:posOffset>-116840</wp:posOffset>
                  </wp:positionV>
                  <wp:extent cx="3663950" cy="85725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70"/>
                          <a:stretch>
                            <a:fillRect/>
                          </a:stretch>
                        </pic:blipFill>
                        <pic:spPr>
                          <a:xfrm>
                            <a:off x="0" y="0"/>
                            <a:ext cx="3663959" cy="857218"/>
                          </a:xfrm>
                          <a:prstGeom prst="rect">
                            <a:avLst/>
                          </a:prstGeom>
                        </pic:spPr>
                      </pic:pic>
                    </a:graphicData>
                  </a:graphic>
                </wp:anchor>
              </w:drawing>
            </w:r>
            <w:r>
              <w:rPr>
                <w:spacing w:val="21"/>
                <w:sz w:val="14"/>
                <w:szCs w:val="14"/>
              </w:rPr>
              <w:t>主要依据</w:t>
            </w:r>
            <w:r>
              <w:rPr>
                <w:spacing w:val="-33"/>
                <w:sz w:val="14"/>
                <w:szCs w:val="14"/>
              </w:rPr>
              <w:t xml:space="preserve"> </w:t>
            </w:r>
            <w:r>
              <w:rPr>
                <w:spacing w:val="21"/>
                <w:sz w:val="14"/>
                <w:szCs w:val="14"/>
              </w:rPr>
              <w:t>：</w:t>
            </w:r>
          </w:p>
        </w:tc>
        <w:tc>
          <w:tcPr>
            <w:tcW w:w="1657" w:type="dxa"/>
            <w:vAlign w:val="top"/>
          </w:tcPr>
          <w:p w14:paraId="071018A3">
            <w:pPr>
              <w:spacing w:line="145" w:lineRule="exact"/>
              <w:rPr>
                <w:rFonts w:ascii="Arial"/>
                <w:sz w:val="12"/>
              </w:rPr>
            </w:pPr>
          </w:p>
        </w:tc>
        <w:tc>
          <w:tcPr>
            <w:tcW w:w="1939" w:type="dxa"/>
            <w:vAlign w:val="top"/>
          </w:tcPr>
          <w:p w14:paraId="15F403DC">
            <w:pPr>
              <w:pStyle w:val="6"/>
              <w:spacing w:line="192" w:lineRule="auto"/>
              <w:ind w:left="421"/>
              <w:rPr>
                <w:sz w:val="14"/>
                <w:szCs w:val="14"/>
              </w:rPr>
            </w:pPr>
            <w:r>
              <w:rPr>
                <w:spacing w:val="-7"/>
                <w:sz w:val="14"/>
                <w:szCs w:val="14"/>
              </w:rPr>
              <w:t>产 出</w:t>
            </w:r>
            <w:r>
              <w:rPr>
                <w:spacing w:val="-21"/>
                <w:sz w:val="14"/>
                <w:szCs w:val="14"/>
              </w:rPr>
              <w:t xml:space="preserve"> </w:t>
            </w:r>
            <w:r>
              <w:rPr>
                <w:spacing w:val="-7"/>
                <w:sz w:val="14"/>
                <w:szCs w:val="14"/>
              </w:rPr>
              <w:t>：</w:t>
            </w:r>
          </w:p>
        </w:tc>
      </w:tr>
      <w:tr w14:paraId="74C6F9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6" w:hRule="atLeast"/>
        </w:trPr>
        <w:tc>
          <w:tcPr>
            <w:tcW w:w="1721" w:type="dxa"/>
            <w:vAlign w:val="top"/>
          </w:tcPr>
          <w:p w14:paraId="4D334C09">
            <w:pPr>
              <w:pStyle w:val="6"/>
              <w:spacing w:before="16" w:line="184" w:lineRule="auto"/>
            </w:pPr>
            <w:r>
              <w:rPr>
                <w:color w:val="0062E3"/>
                <w:spacing w:val="-21"/>
              </w:rPr>
              <w:t>●</w:t>
            </w:r>
            <w:r>
              <w:rPr>
                <w:spacing w:val="-21"/>
              </w:rPr>
              <w:t>项目管理计划</w:t>
            </w:r>
          </w:p>
        </w:tc>
        <w:tc>
          <w:tcPr>
            <w:tcW w:w="1657" w:type="dxa"/>
            <w:vAlign w:val="top"/>
          </w:tcPr>
          <w:p w14:paraId="46E1560B">
            <w:pPr>
              <w:spacing w:line="205" w:lineRule="exact"/>
              <w:rPr>
                <w:rFonts w:ascii="Arial"/>
                <w:sz w:val="17"/>
              </w:rPr>
            </w:pPr>
          </w:p>
        </w:tc>
        <w:tc>
          <w:tcPr>
            <w:tcW w:w="1939" w:type="dxa"/>
            <w:vAlign w:val="top"/>
          </w:tcPr>
          <w:p w14:paraId="187E88D1">
            <w:pPr>
              <w:pStyle w:val="6"/>
              <w:spacing w:before="16" w:line="184" w:lineRule="auto"/>
              <w:jc w:val="right"/>
            </w:pPr>
            <w:r>
              <w:rPr>
                <w:color w:val="0C74D0"/>
                <w:spacing w:val="-24"/>
              </w:rPr>
              <w:t>●</w:t>
            </w:r>
            <w:r>
              <w:rPr>
                <w:spacing w:val="-24"/>
              </w:rPr>
              <w:t>项目管理</w:t>
            </w:r>
            <w:r>
              <w:rPr>
                <w:spacing w:val="-23"/>
              </w:rPr>
              <w:t>计划更</w:t>
            </w:r>
            <w:r>
              <w:rPr>
                <w:spacing w:val="-9"/>
              </w:rPr>
              <w:t>新</w:t>
            </w:r>
          </w:p>
        </w:tc>
      </w:tr>
      <w:tr w14:paraId="59874F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721" w:type="dxa"/>
            <w:vAlign w:val="top"/>
          </w:tcPr>
          <w:p w14:paraId="4A8CFFDC">
            <w:pPr>
              <w:pStyle w:val="6"/>
              <w:spacing w:before="11" w:line="203" w:lineRule="auto"/>
            </w:pPr>
            <w:r>
              <w:rPr>
                <w:color w:val="0062E3"/>
                <w:spacing w:val="-20"/>
              </w:rPr>
              <w:t>●</w:t>
            </w:r>
            <w:r>
              <w:rPr>
                <w:spacing w:val="-20"/>
              </w:rPr>
              <w:t>风险登记册</w:t>
            </w:r>
          </w:p>
          <w:p w14:paraId="0240485F">
            <w:pPr>
              <w:pStyle w:val="6"/>
              <w:spacing w:line="189" w:lineRule="auto"/>
            </w:pPr>
            <w:r>
              <w:rPr>
                <w:color w:val="0062E3"/>
                <w:spacing w:val="-21"/>
              </w:rPr>
              <w:t>●</w:t>
            </w:r>
            <w:r>
              <w:rPr>
                <w:spacing w:val="-21"/>
              </w:rPr>
              <w:t>项目绩效信息</w:t>
            </w:r>
          </w:p>
        </w:tc>
        <w:tc>
          <w:tcPr>
            <w:tcW w:w="1657" w:type="dxa"/>
            <w:vAlign w:val="top"/>
          </w:tcPr>
          <w:p w14:paraId="0417D1B8">
            <w:pPr>
              <w:pStyle w:val="6"/>
              <w:spacing w:before="21" w:line="220" w:lineRule="auto"/>
              <w:ind w:left="549"/>
            </w:pPr>
            <w:r>
              <w:rPr>
                <w:spacing w:val="-14"/>
              </w:rPr>
              <w:t>风险监控</w:t>
            </w:r>
          </w:p>
        </w:tc>
        <w:tc>
          <w:tcPr>
            <w:tcW w:w="1939" w:type="dxa"/>
            <w:vAlign w:val="top"/>
          </w:tcPr>
          <w:p w14:paraId="0634A539">
            <w:pPr>
              <w:pStyle w:val="6"/>
              <w:spacing w:before="21" w:line="203" w:lineRule="auto"/>
              <w:ind w:left="421"/>
            </w:pPr>
            <w:r>
              <w:rPr>
                <w:color w:val="0C74D0"/>
                <w:spacing w:val="-19"/>
              </w:rPr>
              <w:t>●</w:t>
            </w:r>
            <w:r>
              <w:rPr>
                <w:spacing w:val="-19"/>
              </w:rPr>
              <w:t>风险登记册更新</w:t>
            </w:r>
          </w:p>
          <w:p w14:paraId="3F42B121">
            <w:pPr>
              <w:pStyle w:val="6"/>
              <w:spacing w:line="179" w:lineRule="auto"/>
              <w:jc w:val="right"/>
            </w:pPr>
            <w:r>
              <w:rPr>
                <w:color w:val="0C74D0"/>
                <w:spacing w:val="-24"/>
              </w:rPr>
              <w:t>●</w:t>
            </w:r>
            <w:r>
              <w:rPr>
                <w:spacing w:val="-24"/>
              </w:rPr>
              <w:t>项目绩效</w:t>
            </w:r>
            <w:r>
              <w:rPr>
                <w:spacing w:val="-23"/>
              </w:rPr>
              <w:t>信息更</w:t>
            </w:r>
            <w:r>
              <w:rPr>
                <w:spacing w:val="-9"/>
              </w:rPr>
              <w:t>新</w:t>
            </w:r>
          </w:p>
        </w:tc>
      </w:tr>
      <w:tr w14:paraId="611613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5" w:hRule="atLeast"/>
        </w:trPr>
        <w:tc>
          <w:tcPr>
            <w:tcW w:w="1721" w:type="dxa"/>
            <w:vAlign w:val="top"/>
          </w:tcPr>
          <w:p w14:paraId="3FCF0A33">
            <w:pPr>
              <w:pStyle w:val="6"/>
              <w:spacing w:before="24" w:line="175" w:lineRule="auto"/>
            </w:pPr>
            <w:r>
              <w:rPr>
                <w:color w:val="0062E3"/>
                <w:spacing w:val="-21"/>
              </w:rPr>
              <w:t>●</w:t>
            </w:r>
            <w:r>
              <w:rPr>
                <w:spacing w:val="-21"/>
              </w:rPr>
              <w:t>其他项目文档</w:t>
            </w:r>
          </w:p>
        </w:tc>
        <w:tc>
          <w:tcPr>
            <w:tcW w:w="1657" w:type="dxa"/>
            <w:vAlign w:val="top"/>
          </w:tcPr>
          <w:p w14:paraId="022C9A52">
            <w:pPr>
              <w:spacing w:line="205" w:lineRule="exact"/>
              <w:rPr>
                <w:rFonts w:ascii="Arial"/>
                <w:sz w:val="17"/>
              </w:rPr>
            </w:pPr>
          </w:p>
        </w:tc>
        <w:tc>
          <w:tcPr>
            <w:tcW w:w="1939" w:type="dxa"/>
            <w:vAlign w:val="top"/>
          </w:tcPr>
          <w:p w14:paraId="3D2426DF">
            <w:pPr>
              <w:pStyle w:val="6"/>
              <w:spacing w:before="5" w:line="194" w:lineRule="auto"/>
              <w:jc w:val="right"/>
            </w:pPr>
            <w:r>
              <w:rPr>
                <w:color w:val="0C74D0"/>
                <w:spacing w:val="-24"/>
              </w:rPr>
              <w:t>●</w:t>
            </w:r>
            <w:r>
              <w:rPr>
                <w:spacing w:val="-24"/>
              </w:rPr>
              <w:t>相关项目</w:t>
            </w:r>
            <w:r>
              <w:rPr>
                <w:spacing w:val="-23"/>
              </w:rPr>
              <w:t>文档更</w:t>
            </w:r>
            <w:r>
              <w:rPr>
                <w:spacing w:val="-9"/>
              </w:rPr>
              <w:t>新</w:t>
            </w:r>
          </w:p>
        </w:tc>
      </w:tr>
    </w:tbl>
    <w:p w14:paraId="12621C11">
      <w:pPr>
        <w:pStyle w:val="2"/>
        <w:spacing w:before="221" w:line="220" w:lineRule="auto"/>
        <w:ind w:left="3460"/>
        <w:rPr>
          <w:sz w:val="19"/>
          <w:szCs w:val="19"/>
        </w:rPr>
      </w:pPr>
      <w:r>
        <w:rPr>
          <w:spacing w:val="-4"/>
          <w:sz w:val="19"/>
          <w:szCs w:val="19"/>
        </w:rPr>
        <w:t>图18-7</w:t>
      </w:r>
      <w:r>
        <w:rPr>
          <w:spacing w:val="63"/>
          <w:sz w:val="19"/>
          <w:szCs w:val="19"/>
        </w:rPr>
        <w:t xml:space="preserve"> </w:t>
      </w:r>
      <w:r>
        <w:rPr>
          <w:spacing w:val="-4"/>
          <w:sz w:val="19"/>
          <w:szCs w:val="19"/>
        </w:rPr>
        <w:t>风险监控</w:t>
      </w:r>
    </w:p>
    <w:p w14:paraId="5B70C3C0">
      <w:pPr>
        <w:spacing w:line="255" w:lineRule="auto"/>
        <w:rPr>
          <w:rFonts w:ascii="Arial"/>
          <w:sz w:val="21"/>
        </w:rPr>
      </w:pPr>
    </w:p>
    <w:p w14:paraId="169E4AED">
      <w:pPr>
        <w:pStyle w:val="2"/>
        <w:spacing w:before="62" w:line="222" w:lineRule="auto"/>
        <w:ind w:left="402"/>
        <w:rPr>
          <w:rFonts w:ascii="黑体" w:hAnsi="黑体" w:eastAsia="黑体" w:cs="黑体"/>
          <w:sz w:val="19"/>
          <w:szCs w:val="19"/>
        </w:rPr>
      </w:pPr>
      <w:r>
        <w:rPr>
          <w:b/>
          <w:bCs/>
          <w:color w:val="006FDF"/>
          <w:spacing w:val="6"/>
          <w:sz w:val="19"/>
          <w:szCs w:val="19"/>
        </w:rPr>
        <w:t>1.</w:t>
      </w:r>
      <w:r>
        <w:rPr>
          <w:rFonts w:ascii="黑体" w:hAnsi="黑体" w:eastAsia="黑体" w:cs="黑体"/>
          <w:b/>
          <w:bCs/>
          <w:color w:val="006FDF"/>
          <w:spacing w:val="6"/>
          <w:sz w:val="19"/>
          <w:szCs w:val="19"/>
        </w:rPr>
        <w:t>风险监控的依据</w:t>
      </w:r>
    </w:p>
    <w:p w14:paraId="1E7FE04C">
      <w:pPr>
        <w:pStyle w:val="2"/>
        <w:spacing w:before="154" w:line="219" w:lineRule="auto"/>
        <w:ind w:left="399"/>
        <w:rPr>
          <w:sz w:val="19"/>
          <w:szCs w:val="19"/>
        </w:rPr>
      </w:pPr>
      <w:r>
        <w:rPr>
          <w:spacing w:val="8"/>
          <w:sz w:val="19"/>
          <w:szCs w:val="19"/>
        </w:rPr>
        <w:t>风险监控过程涉及风险的审查与结果的反馈。主要依据以下内容：</w:t>
      </w:r>
    </w:p>
    <w:p w14:paraId="7AA2B979">
      <w:pPr>
        <w:pStyle w:val="2"/>
        <w:spacing w:before="74" w:line="288" w:lineRule="auto"/>
        <w:ind w:right="306" w:firstLine="399"/>
        <w:rPr>
          <w:sz w:val="19"/>
          <w:szCs w:val="19"/>
        </w:rPr>
      </w:pPr>
      <w:r>
        <w:rPr>
          <w:spacing w:val="20"/>
          <w:sz w:val="19"/>
          <w:szCs w:val="19"/>
        </w:rPr>
        <w:t>(1)项目管理计划。项目管理计划包含(但不限于)风险管理计划等</w:t>
      </w:r>
      <w:r>
        <w:rPr>
          <w:spacing w:val="19"/>
          <w:sz w:val="19"/>
          <w:szCs w:val="19"/>
        </w:rPr>
        <w:t>，在风险监控阶段都</w:t>
      </w:r>
      <w:r>
        <w:rPr>
          <w:sz w:val="19"/>
          <w:szCs w:val="19"/>
        </w:rPr>
        <w:t xml:space="preserve"> </w:t>
      </w:r>
      <w:r>
        <w:rPr>
          <w:spacing w:val="13"/>
          <w:sz w:val="19"/>
          <w:szCs w:val="19"/>
        </w:rPr>
        <w:t>应被包括在监控内容之中。项目风险管理计划作为项目管理计划的一部分，不仅是风险识别的</w:t>
      </w:r>
      <w:r>
        <w:rPr>
          <w:sz w:val="19"/>
          <w:szCs w:val="19"/>
        </w:rPr>
        <w:t xml:space="preserve"> </w:t>
      </w:r>
      <w:r>
        <w:rPr>
          <w:spacing w:val="13"/>
          <w:sz w:val="19"/>
          <w:szCs w:val="19"/>
        </w:rPr>
        <w:t>重要依据，还是风险监控的首要对象。风险管理计划规定了审查风险的时间和方法、应遵守的</w:t>
      </w:r>
      <w:r>
        <w:rPr>
          <w:spacing w:val="1"/>
          <w:sz w:val="19"/>
          <w:szCs w:val="19"/>
        </w:rPr>
        <w:t xml:space="preserve"> </w:t>
      </w:r>
      <w:r>
        <w:rPr>
          <w:spacing w:val="7"/>
          <w:sz w:val="19"/>
          <w:szCs w:val="19"/>
        </w:rPr>
        <w:t>政策和程序、与本过程相关的角色和职责安排等内容。</w:t>
      </w:r>
    </w:p>
    <w:p w14:paraId="05C1F60E">
      <w:pPr>
        <w:pStyle w:val="2"/>
        <w:spacing w:before="76" w:line="270" w:lineRule="auto"/>
        <w:ind w:right="313" w:firstLine="399"/>
        <w:rPr>
          <w:sz w:val="19"/>
          <w:szCs w:val="19"/>
        </w:rPr>
      </w:pPr>
      <w:r>
        <w:rPr>
          <w:spacing w:val="15"/>
          <w:sz w:val="19"/>
          <w:szCs w:val="19"/>
        </w:rPr>
        <w:t>(2)风险登记册。该文件记录已识别风险、风险发生概率及影响、风险责任人、风险应对</w:t>
      </w:r>
      <w:r>
        <w:rPr>
          <w:spacing w:val="2"/>
          <w:sz w:val="19"/>
          <w:szCs w:val="19"/>
        </w:rPr>
        <w:t xml:space="preserve"> </w:t>
      </w:r>
      <w:r>
        <w:rPr>
          <w:spacing w:val="3"/>
          <w:sz w:val="19"/>
          <w:szCs w:val="19"/>
        </w:rPr>
        <w:t>等信息。</w:t>
      </w:r>
    </w:p>
    <w:p w14:paraId="6C0EEDD4">
      <w:pPr>
        <w:pStyle w:val="2"/>
        <w:spacing w:before="64" w:line="264" w:lineRule="auto"/>
        <w:ind w:right="247" w:firstLine="399"/>
        <w:rPr>
          <w:sz w:val="19"/>
          <w:szCs w:val="19"/>
        </w:rPr>
      </w:pPr>
      <w:r>
        <w:rPr>
          <w:spacing w:val="14"/>
          <w:sz w:val="19"/>
          <w:szCs w:val="19"/>
        </w:rPr>
        <w:t>(3)项目绩效信息。包含进度、成本、资源、质量等方面的项目状态信息(包括绩效数据、</w:t>
      </w:r>
      <w:r>
        <w:rPr>
          <w:sz w:val="19"/>
          <w:szCs w:val="19"/>
        </w:rPr>
        <w:t xml:space="preserve"> </w:t>
      </w:r>
      <w:r>
        <w:rPr>
          <w:spacing w:val="11"/>
          <w:sz w:val="19"/>
          <w:szCs w:val="19"/>
        </w:rPr>
        <w:t>绩效报告等)是风险监控的重要内容，也是动态监控的重要体现。</w:t>
      </w:r>
    </w:p>
    <w:p w14:paraId="4652A01E">
      <w:pPr>
        <w:pStyle w:val="2"/>
        <w:spacing w:before="85" w:line="218" w:lineRule="auto"/>
        <w:ind w:left="399"/>
        <w:rPr>
          <w:sz w:val="19"/>
          <w:szCs w:val="19"/>
        </w:rPr>
      </w:pPr>
      <w:r>
        <w:rPr>
          <w:spacing w:val="11"/>
          <w:sz w:val="19"/>
          <w:szCs w:val="19"/>
        </w:rPr>
        <w:t>(4)其他项目文档。项目文档包括多种类型，风险监控关注的包括问题日志、风险报告</w:t>
      </w:r>
      <w:r>
        <w:rPr>
          <w:spacing w:val="10"/>
          <w:sz w:val="19"/>
          <w:szCs w:val="19"/>
        </w:rPr>
        <w:t>等。</w:t>
      </w:r>
    </w:p>
    <w:p w14:paraId="6E448A71">
      <w:pPr>
        <w:pStyle w:val="2"/>
        <w:spacing w:before="173" w:line="221" w:lineRule="auto"/>
        <w:ind w:left="402"/>
        <w:rPr>
          <w:rFonts w:ascii="黑体" w:hAnsi="黑体" w:eastAsia="黑体" w:cs="黑体"/>
          <w:sz w:val="19"/>
          <w:szCs w:val="19"/>
        </w:rPr>
      </w:pPr>
      <w:r>
        <w:rPr>
          <w:b/>
          <w:bCs/>
          <w:color w:val="0064D7"/>
          <w:spacing w:val="8"/>
          <w:sz w:val="19"/>
          <w:szCs w:val="19"/>
        </w:rPr>
        <w:t>2.</w:t>
      </w:r>
      <w:r>
        <w:rPr>
          <w:rFonts w:ascii="黑体" w:hAnsi="黑体" w:eastAsia="黑体" w:cs="黑体"/>
          <w:b/>
          <w:bCs/>
          <w:color w:val="0064D7"/>
          <w:spacing w:val="8"/>
          <w:sz w:val="19"/>
          <w:szCs w:val="19"/>
        </w:rPr>
        <w:t>风险监控的技术与方法</w:t>
      </w:r>
    </w:p>
    <w:p w14:paraId="3E1BDCCA">
      <w:pPr>
        <w:pStyle w:val="2"/>
        <w:spacing w:before="147" w:line="298" w:lineRule="auto"/>
        <w:ind w:right="247" w:firstLine="399"/>
        <w:rPr>
          <w:sz w:val="19"/>
          <w:szCs w:val="19"/>
        </w:rPr>
      </w:pPr>
      <w:r>
        <w:rPr>
          <w:spacing w:val="10"/>
          <w:sz w:val="19"/>
          <w:szCs w:val="19"/>
        </w:rPr>
        <w:t>风险监控过程中应及时反馈风险监控成果，以采取措</w:t>
      </w:r>
      <w:r>
        <w:rPr>
          <w:spacing w:val="9"/>
          <w:sz w:val="19"/>
          <w:szCs w:val="19"/>
        </w:rPr>
        <w:t>施应对已发生风险或潜在风险。为此，</w:t>
      </w:r>
      <w:r>
        <w:rPr>
          <w:sz w:val="19"/>
          <w:szCs w:val="19"/>
        </w:rPr>
        <w:t xml:space="preserve"> </w:t>
      </w:r>
      <w:r>
        <w:rPr>
          <w:spacing w:val="3"/>
          <w:sz w:val="19"/>
          <w:szCs w:val="19"/>
        </w:rPr>
        <w:t>可使用下面的方法和技术：</w:t>
      </w:r>
    </w:p>
    <w:p w14:paraId="77118430">
      <w:pPr>
        <w:pStyle w:val="2"/>
        <w:spacing w:before="17" w:line="281" w:lineRule="auto"/>
        <w:ind w:right="312" w:firstLine="399"/>
        <w:rPr>
          <w:sz w:val="19"/>
          <w:szCs w:val="19"/>
        </w:rPr>
      </w:pPr>
      <w:r>
        <w:rPr>
          <w:spacing w:val="15"/>
          <w:sz w:val="19"/>
          <w:szCs w:val="19"/>
        </w:rPr>
        <w:t>(1)审计。风险审计是一种审计类型，可以用于评估风险管理的有效性。应确保按项目风</w:t>
      </w:r>
      <w:r>
        <w:rPr>
          <w:spacing w:val="3"/>
          <w:sz w:val="19"/>
          <w:szCs w:val="19"/>
        </w:rPr>
        <w:t xml:space="preserve"> </w:t>
      </w:r>
      <w:r>
        <w:rPr>
          <w:spacing w:val="13"/>
          <w:sz w:val="19"/>
          <w:szCs w:val="19"/>
        </w:rPr>
        <w:t>险管理计划所规定的频率开展风险审计。在实施审计前，应明确风险审计的程序</w:t>
      </w:r>
      <w:r>
        <w:rPr>
          <w:spacing w:val="12"/>
          <w:sz w:val="19"/>
          <w:szCs w:val="19"/>
        </w:rPr>
        <w:t>和目标。监控</w:t>
      </w:r>
      <w:r>
        <w:rPr>
          <w:sz w:val="19"/>
          <w:szCs w:val="19"/>
        </w:rPr>
        <w:t xml:space="preserve"> </w:t>
      </w:r>
      <w:r>
        <w:rPr>
          <w:spacing w:val="15"/>
          <w:sz w:val="19"/>
          <w:szCs w:val="19"/>
        </w:rPr>
        <w:t>风险事件时，可利用绩效信息对项目执行的趋势进行分析(例如挣值分析</w:t>
      </w:r>
      <w:r>
        <w:rPr>
          <w:spacing w:val="14"/>
          <w:sz w:val="19"/>
          <w:szCs w:val="19"/>
        </w:rPr>
        <w:t>法等),对项目总体绩</w:t>
      </w:r>
      <w:r>
        <w:rPr>
          <w:sz w:val="19"/>
          <w:szCs w:val="19"/>
        </w:rPr>
        <w:t xml:space="preserve"> </w:t>
      </w:r>
      <w:r>
        <w:rPr>
          <w:spacing w:val="4"/>
          <w:sz w:val="19"/>
          <w:szCs w:val="19"/>
        </w:rPr>
        <w:t>效进行监控。</w:t>
      </w:r>
    </w:p>
    <w:p w14:paraId="04E6DA2D">
      <w:pPr>
        <w:pStyle w:val="2"/>
        <w:spacing w:before="62" w:line="281" w:lineRule="auto"/>
        <w:ind w:right="289" w:firstLine="399"/>
        <w:rPr>
          <w:sz w:val="19"/>
          <w:szCs w:val="19"/>
        </w:rPr>
      </w:pPr>
      <w:r>
        <w:rPr>
          <w:spacing w:val="15"/>
          <w:sz w:val="19"/>
          <w:szCs w:val="19"/>
        </w:rPr>
        <w:t>(2)审查。应该定期安排风险审查，来检查和记录风险应对在处理整体项目风险和已识别</w:t>
      </w:r>
      <w:r>
        <w:rPr>
          <w:spacing w:val="9"/>
          <w:sz w:val="19"/>
          <w:szCs w:val="19"/>
        </w:rPr>
        <w:t xml:space="preserve"> </w:t>
      </w:r>
      <w:r>
        <w:rPr>
          <w:spacing w:val="16"/>
          <w:sz w:val="19"/>
          <w:szCs w:val="19"/>
        </w:rPr>
        <w:t>单个项目风险方面的有效性。通过风险审查，识别出新的项目风险(例</w:t>
      </w:r>
      <w:r>
        <w:rPr>
          <w:spacing w:val="15"/>
          <w:sz w:val="19"/>
          <w:szCs w:val="19"/>
        </w:rPr>
        <w:t>如已商定应对措施所引</w:t>
      </w:r>
      <w:r>
        <w:rPr>
          <w:sz w:val="19"/>
          <w:szCs w:val="19"/>
        </w:rPr>
        <w:t xml:space="preserve"> </w:t>
      </w:r>
      <w:r>
        <w:rPr>
          <w:spacing w:val="13"/>
          <w:sz w:val="19"/>
          <w:szCs w:val="19"/>
        </w:rPr>
        <w:t>发的次生风险),重新评估当前风险，关闭已过时风险，讨</w:t>
      </w:r>
      <w:r>
        <w:rPr>
          <w:spacing w:val="12"/>
          <w:sz w:val="19"/>
          <w:szCs w:val="19"/>
        </w:rPr>
        <w:t>论风险发生所引发的问题，以及总结</w:t>
      </w:r>
      <w:r>
        <w:rPr>
          <w:sz w:val="19"/>
          <w:szCs w:val="19"/>
        </w:rPr>
        <w:t xml:space="preserve"> </w:t>
      </w:r>
      <w:r>
        <w:rPr>
          <w:spacing w:val="7"/>
          <w:sz w:val="19"/>
          <w:szCs w:val="19"/>
        </w:rPr>
        <w:t>可用于当前项目后续阶段或未来类似项目的经验教训。</w:t>
      </w:r>
    </w:p>
    <w:p w14:paraId="3908E0D3">
      <w:pPr>
        <w:pStyle w:val="2"/>
        <w:spacing w:before="180" w:line="222" w:lineRule="auto"/>
        <w:ind w:left="402"/>
        <w:rPr>
          <w:rFonts w:ascii="黑体" w:hAnsi="黑体" w:eastAsia="黑体" w:cs="黑体"/>
          <w:sz w:val="19"/>
          <w:szCs w:val="19"/>
        </w:rPr>
      </w:pPr>
      <w:r>
        <w:rPr>
          <w:b/>
          <w:bCs/>
          <w:color w:val="0070D3"/>
          <w:spacing w:val="6"/>
          <w:sz w:val="19"/>
          <w:szCs w:val="19"/>
        </w:rPr>
        <w:t>3.</w:t>
      </w:r>
      <w:r>
        <w:rPr>
          <w:rFonts w:ascii="黑体" w:hAnsi="黑体" w:eastAsia="黑体" w:cs="黑体"/>
          <w:b/>
          <w:bCs/>
          <w:color w:val="0070D3"/>
          <w:spacing w:val="6"/>
          <w:sz w:val="19"/>
          <w:szCs w:val="19"/>
        </w:rPr>
        <w:t>风险监控的成果</w:t>
      </w:r>
    </w:p>
    <w:p w14:paraId="2B0C72FC">
      <w:pPr>
        <w:pStyle w:val="2"/>
        <w:spacing w:before="136" w:line="219" w:lineRule="auto"/>
        <w:ind w:left="399"/>
        <w:rPr>
          <w:sz w:val="19"/>
          <w:szCs w:val="19"/>
        </w:rPr>
      </w:pPr>
      <w:r>
        <w:rPr>
          <w:spacing w:val="6"/>
          <w:sz w:val="19"/>
          <w:szCs w:val="19"/>
        </w:rPr>
        <w:t>风险监控的成果包括以下内容：</w:t>
      </w:r>
    </w:p>
    <w:p w14:paraId="7357D5F9">
      <w:pPr>
        <w:pStyle w:val="2"/>
        <w:spacing w:before="95" w:line="219" w:lineRule="auto"/>
        <w:ind w:left="399"/>
        <w:rPr>
          <w:sz w:val="19"/>
          <w:szCs w:val="19"/>
        </w:rPr>
      </w:pPr>
      <w:r>
        <w:rPr>
          <w:spacing w:val="15"/>
          <w:sz w:val="19"/>
          <w:szCs w:val="19"/>
        </w:rPr>
        <w:t>(1)更新项目管理计划。在风险管理过程中产生的变更请求，经批准后可能对项目管理计</w:t>
      </w:r>
    </w:p>
    <w:p w14:paraId="5BC73D1C">
      <w:pPr>
        <w:spacing w:line="219" w:lineRule="auto"/>
        <w:rPr>
          <w:sz w:val="19"/>
          <w:szCs w:val="19"/>
        </w:rPr>
        <w:sectPr>
          <w:pgSz w:w="10290" w:h="13300"/>
          <w:pgMar w:top="370" w:right="578" w:bottom="400" w:left="1080" w:header="0" w:footer="0" w:gutter="0"/>
          <w:cols w:space="720" w:num="1"/>
        </w:sectPr>
      </w:pPr>
    </w:p>
    <w:p w14:paraId="0380344B">
      <w:pPr>
        <w:pStyle w:val="2"/>
        <w:spacing w:before="78" w:line="219" w:lineRule="auto"/>
        <w:rPr>
          <w:sz w:val="20"/>
          <w:szCs w:val="20"/>
        </w:rPr>
      </w:pPr>
      <w:r>
        <w:rPr>
          <w:rFonts w:ascii="Times New Roman" w:hAnsi="Times New Roman" w:eastAsia="Times New Roman" w:cs="Times New Roman"/>
          <w:b/>
          <w:bCs/>
          <w:spacing w:val="-2"/>
          <w:sz w:val="16"/>
          <w:szCs w:val="16"/>
        </w:rPr>
        <w:t xml:space="preserve">404                   </w:t>
      </w:r>
      <w:r>
        <w:rPr>
          <w:spacing w:val="-2"/>
          <w:sz w:val="20"/>
          <w:szCs w:val="20"/>
        </w:rPr>
        <w:t>信息系统监理师教程(第2版)</w:t>
      </w:r>
    </w:p>
    <w:p w14:paraId="17A6401C">
      <w:pPr>
        <w:spacing w:line="304" w:lineRule="auto"/>
        <w:rPr>
          <w:rFonts w:ascii="Arial"/>
          <w:sz w:val="21"/>
        </w:rPr>
      </w:pPr>
    </w:p>
    <w:p w14:paraId="47F46BC5">
      <w:pPr>
        <w:pStyle w:val="2"/>
        <w:spacing w:before="65" w:line="219" w:lineRule="auto"/>
        <w:ind w:left="379"/>
        <w:rPr>
          <w:sz w:val="20"/>
          <w:szCs w:val="20"/>
        </w:rPr>
      </w:pPr>
      <w:r>
        <w:rPr>
          <w:spacing w:val="-1"/>
          <w:sz w:val="20"/>
          <w:szCs w:val="20"/>
        </w:rPr>
        <w:t>划有影响，需要对项目管理计划做相应的调整并重新发布，来反映这些经批准的变更。</w:t>
      </w:r>
    </w:p>
    <w:p w14:paraId="38071988">
      <w:pPr>
        <w:pStyle w:val="2"/>
        <w:spacing w:before="74" w:line="257" w:lineRule="auto"/>
        <w:ind w:left="379" w:right="90" w:firstLine="389"/>
        <w:rPr>
          <w:sz w:val="20"/>
          <w:szCs w:val="20"/>
        </w:rPr>
      </w:pPr>
      <w:r>
        <w:rPr>
          <w:spacing w:val="5"/>
          <w:sz w:val="20"/>
          <w:szCs w:val="20"/>
        </w:rPr>
        <w:t>(2)更新风险登记册。记录在监督风险过程中产生的项目风险信息，包括添加新风险、更</w:t>
      </w:r>
      <w:r>
        <w:rPr>
          <w:spacing w:val="8"/>
          <w:sz w:val="20"/>
          <w:szCs w:val="20"/>
        </w:rPr>
        <w:t xml:space="preserve"> </w:t>
      </w:r>
      <w:r>
        <w:rPr>
          <w:spacing w:val="-2"/>
          <w:sz w:val="20"/>
          <w:szCs w:val="20"/>
        </w:rPr>
        <w:t>新已过时风险或已发生风险，以及更新风险的应对措施等。</w:t>
      </w:r>
    </w:p>
    <w:p w14:paraId="5B5FA619">
      <w:pPr>
        <w:pStyle w:val="2"/>
        <w:spacing w:before="102" w:line="264" w:lineRule="auto"/>
        <w:ind w:left="379" w:firstLine="389"/>
        <w:rPr>
          <w:sz w:val="20"/>
          <w:szCs w:val="20"/>
        </w:rPr>
      </w:pPr>
      <w:r>
        <w:rPr>
          <w:spacing w:val="5"/>
          <w:sz w:val="20"/>
          <w:szCs w:val="20"/>
        </w:rPr>
        <w:t>(3)更新项目绩效信息。风险监控过程中需要监控风险应对策略的执行情况，其最直观的</w:t>
      </w:r>
      <w:r>
        <w:rPr>
          <w:spacing w:val="7"/>
          <w:sz w:val="20"/>
          <w:szCs w:val="20"/>
        </w:rPr>
        <w:t xml:space="preserve">  </w:t>
      </w:r>
      <w:r>
        <w:rPr>
          <w:sz w:val="20"/>
          <w:szCs w:val="20"/>
        </w:rPr>
        <w:t>观察指标是项目成本、进度、质量相关的绩效指标。随着项目的实施，</w:t>
      </w:r>
      <w:r>
        <w:rPr>
          <w:spacing w:val="-1"/>
          <w:sz w:val="20"/>
          <w:szCs w:val="20"/>
        </w:rPr>
        <w:t>绩效信息不断发生变化，</w:t>
      </w:r>
      <w:r>
        <w:rPr>
          <w:sz w:val="20"/>
          <w:szCs w:val="20"/>
        </w:rPr>
        <w:t xml:space="preserve"> </w:t>
      </w:r>
      <w:r>
        <w:rPr>
          <w:spacing w:val="-2"/>
          <w:sz w:val="20"/>
          <w:szCs w:val="20"/>
        </w:rPr>
        <w:t>风险监控过程中应及时更新项目绩效信息。</w:t>
      </w:r>
    </w:p>
    <w:p w14:paraId="5FCFAD81">
      <w:pPr>
        <w:pStyle w:val="2"/>
        <w:spacing w:before="71" w:line="261" w:lineRule="auto"/>
        <w:ind w:left="379" w:right="64" w:firstLine="389"/>
        <w:rPr>
          <w:sz w:val="20"/>
          <w:szCs w:val="20"/>
        </w:rPr>
      </w:pPr>
      <w:r>
        <w:rPr>
          <w:spacing w:val="6"/>
          <w:sz w:val="20"/>
          <w:szCs w:val="20"/>
        </w:rPr>
        <w:t>(4)更新项目文档。风险监控是一个动态的过程，需及时更新项目跟踪文件，</w:t>
      </w:r>
      <w:r>
        <w:rPr>
          <w:spacing w:val="5"/>
          <w:sz w:val="20"/>
          <w:szCs w:val="20"/>
        </w:rPr>
        <w:t>包括问题日</w:t>
      </w:r>
      <w:r>
        <w:rPr>
          <w:sz w:val="20"/>
          <w:szCs w:val="20"/>
        </w:rPr>
        <w:t xml:space="preserve"> </w:t>
      </w:r>
      <w:r>
        <w:rPr>
          <w:spacing w:val="-3"/>
          <w:sz w:val="20"/>
          <w:szCs w:val="20"/>
        </w:rPr>
        <w:t>志、经验教训登记表、风险报告等。</w:t>
      </w:r>
    </w:p>
    <w:p w14:paraId="036259CF">
      <w:pPr>
        <w:spacing w:line="326" w:lineRule="auto"/>
        <w:rPr>
          <w:rFonts w:ascii="Arial"/>
          <w:sz w:val="21"/>
        </w:rPr>
      </w:pPr>
    </w:p>
    <w:p w14:paraId="29A9293B">
      <w:pPr>
        <w:pStyle w:val="2"/>
        <w:spacing w:before="94" w:line="221" w:lineRule="auto"/>
        <w:ind w:left="383"/>
        <w:rPr>
          <w:rFonts w:ascii="黑体" w:hAnsi="黑体" w:eastAsia="黑体" w:cs="黑体"/>
          <w:sz w:val="29"/>
          <w:szCs w:val="29"/>
        </w:rPr>
      </w:pPr>
      <w:r>
        <w:rPr>
          <w:b/>
          <w:bCs/>
          <w:color w:val="0075DD"/>
          <w:spacing w:val="-12"/>
          <w:sz w:val="29"/>
          <w:szCs w:val="29"/>
        </w:rPr>
        <w:t>18.3</w:t>
      </w:r>
      <w:r>
        <w:rPr>
          <w:color w:val="0075DD"/>
          <w:spacing w:val="-12"/>
          <w:sz w:val="29"/>
          <w:szCs w:val="29"/>
        </w:rPr>
        <w:t xml:space="preserve">  </w:t>
      </w:r>
      <w:r>
        <w:rPr>
          <w:rFonts w:ascii="黑体" w:hAnsi="黑体" w:eastAsia="黑体" w:cs="黑体"/>
          <w:b/>
          <w:bCs/>
          <w:color w:val="0075DD"/>
          <w:spacing w:val="-12"/>
          <w:sz w:val="29"/>
          <w:szCs w:val="29"/>
        </w:rPr>
        <w:t>风险评估技术与方法</w:t>
      </w:r>
    </w:p>
    <w:p w14:paraId="4CED32DB">
      <w:pPr>
        <w:pStyle w:val="2"/>
        <w:spacing w:before="264" w:line="286" w:lineRule="auto"/>
        <w:ind w:left="379" w:right="90" w:firstLine="389"/>
        <w:jc w:val="both"/>
        <w:rPr>
          <w:sz w:val="20"/>
          <w:szCs w:val="20"/>
        </w:rPr>
      </w:pPr>
      <w:r>
        <w:rPr>
          <w:spacing w:val="3"/>
          <w:sz w:val="20"/>
          <w:szCs w:val="20"/>
        </w:rPr>
        <w:t>风险评估活动适用于组织的各个层级，评估范围可以涵盖项目、单</w:t>
      </w:r>
      <w:r>
        <w:rPr>
          <w:spacing w:val="2"/>
          <w:sz w:val="20"/>
          <w:szCs w:val="20"/>
        </w:rPr>
        <w:t>个活动或具体事项，但</w:t>
      </w:r>
      <w:r>
        <w:rPr>
          <w:sz w:val="20"/>
          <w:szCs w:val="20"/>
        </w:rPr>
        <w:t xml:space="preserve"> </w:t>
      </w:r>
      <w:r>
        <w:rPr>
          <w:spacing w:val="2"/>
          <w:sz w:val="20"/>
          <w:szCs w:val="20"/>
        </w:rPr>
        <w:t>在不同场景中，所使用的评估技术和方法可能存在差异。选择合适的风险评估技术和方法，有</w:t>
      </w:r>
      <w:r>
        <w:rPr>
          <w:spacing w:val="17"/>
          <w:sz w:val="20"/>
          <w:szCs w:val="20"/>
        </w:rPr>
        <w:t xml:space="preserve"> </w:t>
      </w:r>
      <w:r>
        <w:rPr>
          <w:spacing w:val="-3"/>
          <w:sz w:val="20"/>
          <w:szCs w:val="20"/>
        </w:rPr>
        <w:t>助于组织及时、高效地获取准确的风险评估结果。</w:t>
      </w:r>
    </w:p>
    <w:p w14:paraId="497414E1">
      <w:pPr>
        <w:pStyle w:val="2"/>
        <w:spacing w:before="181" w:line="219" w:lineRule="auto"/>
        <w:ind w:left="382"/>
        <w:rPr>
          <w:sz w:val="25"/>
          <w:szCs w:val="25"/>
        </w:rPr>
      </w:pPr>
      <w:r>
        <w:rPr>
          <w:b/>
          <w:bCs/>
          <w:color w:val="0078E2"/>
          <w:spacing w:val="-17"/>
          <w:sz w:val="25"/>
          <w:szCs w:val="25"/>
        </w:rPr>
        <w:t>18.3.1</w:t>
      </w:r>
      <w:r>
        <w:rPr>
          <w:color w:val="0078E2"/>
          <w:spacing w:val="64"/>
          <w:sz w:val="25"/>
          <w:szCs w:val="25"/>
        </w:rPr>
        <w:t xml:space="preserve"> </w:t>
      </w:r>
      <w:r>
        <w:rPr>
          <w:b/>
          <w:bCs/>
          <w:color w:val="0078E2"/>
          <w:spacing w:val="-17"/>
          <w:sz w:val="25"/>
          <w:szCs w:val="25"/>
        </w:rPr>
        <w:t>技术的选择</w:t>
      </w:r>
    </w:p>
    <w:p w14:paraId="1A86CB32">
      <w:pPr>
        <w:pStyle w:val="2"/>
        <w:spacing w:before="163" w:line="283" w:lineRule="auto"/>
        <w:ind w:left="379" w:right="91" w:firstLine="389"/>
        <w:rPr>
          <w:sz w:val="20"/>
          <w:szCs w:val="20"/>
        </w:rPr>
      </w:pPr>
      <w:r>
        <w:rPr>
          <w:spacing w:val="3"/>
          <w:sz w:val="20"/>
          <w:szCs w:val="20"/>
        </w:rPr>
        <w:t>技术的选择需要考虑相关性及适用性。合适的技术需适应组织的相</w:t>
      </w:r>
      <w:r>
        <w:rPr>
          <w:spacing w:val="2"/>
          <w:sz w:val="20"/>
          <w:szCs w:val="20"/>
        </w:rPr>
        <w:t>关情况，得出的结果应</w:t>
      </w:r>
      <w:r>
        <w:rPr>
          <w:sz w:val="20"/>
          <w:szCs w:val="20"/>
        </w:rPr>
        <w:t xml:space="preserve"> </w:t>
      </w:r>
      <w:r>
        <w:rPr>
          <w:spacing w:val="-1"/>
          <w:sz w:val="20"/>
          <w:szCs w:val="20"/>
        </w:rPr>
        <w:t>加深对风险性质和风险应对的认识，应可追溯、</w:t>
      </w:r>
      <w:r>
        <w:rPr>
          <w:spacing w:val="-2"/>
          <w:sz w:val="20"/>
          <w:szCs w:val="20"/>
        </w:rPr>
        <w:t>可复用、可验证。</w:t>
      </w:r>
    </w:p>
    <w:p w14:paraId="57BC834E">
      <w:pPr>
        <w:pStyle w:val="2"/>
        <w:spacing w:before="18" w:line="293" w:lineRule="auto"/>
        <w:ind w:left="379" w:right="59" w:firstLine="389"/>
        <w:rPr>
          <w:sz w:val="16"/>
          <w:szCs w:val="16"/>
        </w:rPr>
      </w:pPr>
      <w:r>
        <w:rPr>
          <w:spacing w:val="2"/>
          <w:sz w:val="20"/>
          <w:szCs w:val="20"/>
        </w:rPr>
        <w:t>当决定进行风险评估并确定了风险评估的目标和范围后，在选择评估技术时可以依据如下</w:t>
      </w:r>
      <w:r>
        <w:rPr>
          <w:spacing w:val="13"/>
          <w:sz w:val="20"/>
          <w:szCs w:val="20"/>
        </w:rPr>
        <w:t xml:space="preserve"> </w:t>
      </w:r>
      <w:r>
        <w:rPr>
          <w:spacing w:val="3"/>
          <w:sz w:val="20"/>
          <w:szCs w:val="20"/>
        </w:rPr>
        <w:t>因素：风险评估的目标、决策者的需要、所分析风险的类型及范围、后果的潜在严重程度、对</w:t>
      </w:r>
      <w:r>
        <w:rPr>
          <w:spacing w:val="4"/>
          <w:sz w:val="20"/>
          <w:szCs w:val="20"/>
        </w:rPr>
        <w:t xml:space="preserve"> </w:t>
      </w:r>
      <w:r>
        <w:rPr>
          <w:spacing w:val="3"/>
          <w:sz w:val="20"/>
          <w:szCs w:val="20"/>
        </w:rPr>
        <w:t>专业知识和人员的要求、信息和数据的可获得性、更新风险评估的必要性、法律法规及合同要</w:t>
      </w:r>
      <w:r>
        <w:rPr>
          <w:spacing w:val="6"/>
          <w:sz w:val="20"/>
          <w:szCs w:val="20"/>
        </w:rPr>
        <w:t xml:space="preserve"> </w:t>
      </w:r>
      <w:r>
        <w:rPr>
          <w:spacing w:val="-6"/>
          <w:sz w:val="16"/>
          <w:szCs w:val="16"/>
        </w:rPr>
        <w:t>求</w:t>
      </w:r>
      <w:r>
        <w:rPr>
          <w:spacing w:val="-21"/>
          <w:sz w:val="16"/>
          <w:szCs w:val="16"/>
        </w:rPr>
        <w:t xml:space="preserve"> </w:t>
      </w:r>
      <w:r>
        <w:rPr>
          <w:spacing w:val="-6"/>
          <w:sz w:val="16"/>
          <w:szCs w:val="16"/>
        </w:rPr>
        <w:t>等</w:t>
      </w:r>
      <w:r>
        <w:rPr>
          <w:spacing w:val="-29"/>
          <w:sz w:val="16"/>
          <w:szCs w:val="16"/>
        </w:rPr>
        <w:t xml:space="preserve"> </w:t>
      </w:r>
      <w:r>
        <w:rPr>
          <w:spacing w:val="-6"/>
          <w:sz w:val="16"/>
          <w:szCs w:val="16"/>
        </w:rPr>
        <w:t>。</w:t>
      </w:r>
    </w:p>
    <w:p w14:paraId="449EA787">
      <w:pPr>
        <w:pStyle w:val="2"/>
        <w:spacing w:before="223" w:line="219" w:lineRule="auto"/>
        <w:ind w:left="382"/>
        <w:rPr>
          <w:sz w:val="25"/>
          <w:szCs w:val="25"/>
        </w:rPr>
      </w:pPr>
      <w:r>
        <w:rPr>
          <w:b/>
          <w:bCs/>
          <w:color w:val="0084DD"/>
          <w:spacing w:val="-18"/>
          <w:sz w:val="25"/>
          <w:szCs w:val="25"/>
        </w:rPr>
        <w:t>18.3.2</w:t>
      </w:r>
      <w:r>
        <w:rPr>
          <w:color w:val="0084DD"/>
          <w:spacing w:val="75"/>
          <w:sz w:val="25"/>
          <w:szCs w:val="25"/>
        </w:rPr>
        <w:t xml:space="preserve"> </w:t>
      </w:r>
      <w:r>
        <w:rPr>
          <w:b/>
          <w:bCs/>
          <w:color w:val="0084DD"/>
          <w:spacing w:val="-18"/>
          <w:sz w:val="25"/>
          <w:szCs w:val="25"/>
        </w:rPr>
        <w:t>技术的类型</w:t>
      </w:r>
    </w:p>
    <w:p w14:paraId="0777FBBA">
      <w:pPr>
        <w:pStyle w:val="2"/>
        <w:spacing w:before="164" w:line="281" w:lineRule="auto"/>
        <w:ind w:left="379" w:right="85" w:firstLine="389"/>
        <w:rPr>
          <w:sz w:val="20"/>
          <w:szCs w:val="20"/>
        </w:rPr>
      </w:pPr>
      <w:r>
        <w:rPr>
          <w:spacing w:val="3"/>
          <w:sz w:val="20"/>
          <w:szCs w:val="20"/>
        </w:rPr>
        <w:t>项目生命周期的各个阶段对风险评估有不同的需求，需要不同的评估技术或方法。</w:t>
      </w:r>
      <w:r>
        <w:rPr>
          <w:spacing w:val="2"/>
          <w:sz w:val="20"/>
          <w:szCs w:val="20"/>
        </w:rPr>
        <w:t>下面简</w:t>
      </w:r>
      <w:r>
        <w:rPr>
          <w:sz w:val="20"/>
          <w:szCs w:val="20"/>
        </w:rPr>
        <w:t xml:space="preserve"> </w:t>
      </w:r>
      <w:r>
        <w:rPr>
          <w:spacing w:val="-3"/>
          <w:sz w:val="20"/>
          <w:szCs w:val="20"/>
        </w:rPr>
        <w:t>单介绍常用的风险评估技术和方法的概述和用途。</w:t>
      </w:r>
    </w:p>
    <w:p w14:paraId="368C7AA0">
      <w:pPr>
        <w:spacing w:before="99" w:line="224" w:lineRule="auto"/>
        <w:ind w:left="769"/>
        <w:rPr>
          <w:rFonts w:ascii="楷体" w:hAnsi="楷体" w:eastAsia="楷体" w:cs="楷体"/>
          <w:sz w:val="20"/>
          <w:szCs w:val="20"/>
        </w:rPr>
      </w:pPr>
      <w:r>
        <w:rPr>
          <w:rFonts w:ascii="楷体" w:hAnsi="楷体" w:eastAsia="楷体" w:cs="楷体"/>
          <w:spacing w:val="11"/>
          <w:sz w:val="20"/>
          <w:szCs w:val="20"/>
        </w:rPr>
        <w:t>1)头脑风暴法</w:t>
      </w:r>
    </w:p>
    <w:p w14:paraId="7D30AC19">
      <w:pPr>
        <w:pStyle w:val="2"/>
        <w:spacing w:before="68" w:line="280" w:lineRule="auto"/>
        <w:ind w:left="379" w:right="20" w:firstLine="389"/>
        <w:rPr>
          <w:sz w:val="20"/>
          <w:szCs w:val="20"/>
        </w:rPr>
      </w:pPr>
      <w:r>
        <w:rPr>
          <w:spacing w:val="5"/>
          <w:sz w:val="20"/>
          <w:szCs w:val="20"/>
        </w:rPr>
        <w:t>头脑风暴法是指激励一群知识渊博或经验丰富的人</w:t>
      </w:r>
      <w:r>
        <w:rPr>
          <w:spacing w:val="4"/>
          <w:sz w:val="20"/>
          <w:szCs w:val="20"/>
        </w:rPr>
        <w:t>员畅所欲言，以发现潜在的项目风险、</w:t>
      </w:r>
      <w:r>
        <w:rPr>
          <w:sz w:val="20"/>
          <w:szCs w:val="20"/>
        </w:rPr>
        <w:t xml:space="preserve"> </w:t>
      </w:r>
      <w:r>
        <w:rPr>
          <w:spacing w:val="3"/>
          <w:sz w:val="20"/>
          <w:szCs w:val="20"/>
        </w:rPr>
        <w:t>决策准则、应对办法等。在此类技术中，有效</w:t>
      </w:r>
      <w:r>
        <w:rPr>
          <w:spacing w:val="2"/>
          <w:sz w:val="20"/>
          <w:szCs w:val="20"/>
        </w:rPr>
        <w:t>的引导非常重要，其中包括：在开始阶段创造自</w:t>
      </w:r>
      <w:r>
        <w:rPr>
          <w:sz w:val="20"/>
          <w:szCs w:val="20"/>
        </w:rPr>
        <w:t xml:space="preserve"> </w:t>
      </w:r>
      <w:r>
        <w:rPr>
          <w:spacing w:val="3"/>
          <w:sz w:val="20"/>
          <w:szCs w:val="20"/>
        </w:rPr>
        <w:t>由讨论的氛围；会议期间对讨论进程进行有效控制和</w:t>
      </w:r>
      <w:r>
        <w:rPr>
          <w:spacing w:val="2"/>
          <w:sz w:val="20"/>
          <w:szCs w:val="20"/>
        </w:rPr>
        <w:t>调节，使讨论不断进入新的阶段；筛选和</w:t>
      </w:r>
      <w:r>
        <w:rPr>
          <w:sz w:val="20"/>
          <w:szCs w:val="20"/>
        </w:rPr>
        <w:t xml:space="preserve"> </w:t>
      </w:r>
      <w:r>
        <w:rPr>
          <w:spacing w:val="-4"/>
          <w:sz w:val="20"/>
          <w:szCs w:val="20"/>
        </w:rPr>
        <w:t>捕捉讨论中产生的新设想和新议题。</w:t>
      </w:r>
    </w:p>
    <w:p w14:paraId="00CD8B5B">
      <w:pPr>
        <w:pStyle w:val="2"/>
        <w:spacing w:before="17" w:line="278" w:lineRule="auto"/>
        <w:ind w:left="379" w:right="61" w:firstLine="389"/>
        <w:jc w:val="both"/>
        <w:rPr>
          <w:sz w:val="20"/>
          <w:szCs w:val="20"/>
        </w:rPr>
      </w:pPr>
      <w:r>
        <w:rPr>
          <w:spacing w:val="4"/>
          <w:sz w:val="20"/>
          <w:szCs w:val="20"/>
        </w:rPr>
        <w:t>头脑风暴法可以与其他风险评估方法一起使</w:t>
      </w:r>
      <w:r>
        <w:rPr>
          <w:spacing w:val="3"/>
          <w:sz w:val="20"/>
          <w:szCs w:val="20"/>
        </w:rPr>
        <w:t>用，也可以单独使用来激发风险管理过程任何</w:t>
      </w:r>
      <w:r>
        <w:rPr>
          <w:sz w:val="20"/>
          <w:szCs w:val="20"/>
        </w:rPr>
        <w:t xml:space="preserve"> </w:t>
      </w:r>
      <w:r>
        <w:rPr>
          <w:spacing w:val="3"/>
          <w:sz w:val="20"/>
          <w:szCs w:val="20"/>
        </w:rPr>
        <w:t>阶段的想象力。头脑风暴法可以用作旨在发现问题的高层次讨论，也可以用作更细致的评审或</w:t>
      </w:r>
      <w:r>
        <w:rPr>
          <w:spacing w:val="5"/>
          <w:sz w:val="20"/>
          <w:szCs w:val="20"/>
        </w:rPr>
        <w:t xml:space="preserve"> </w:t>
      </w:r>
      <w:r>
        <w:rPr>
          <w:spacing w:val="-4"/>
          <w:sz w:val="20"/>
          <w:szCs w:val="20"/>
        </w:rPr>
        <w:t>是对特殊问题的细节讨论。</w:t>
      </w:r>
    </w:p>
    <w:p w14:paraId="08928741">
      <w:pPr>
        <w:spacing w:before="97" w:line="226" w:lineRule="auto"/>
        <w:ind w:left="769"/>
        <w:rPr>
          <w:rFonts w:ascii="楷体" w:hAnsi="楷体" w:eastAsia="楷体" w:cs="楷体"/>
          <w:sz w:val="20"/>
          <w:szCs w:val="20"/>
        </w:rPr>
      </w:pPr>
      <w:r>
        <w:rPr>
          <w:rFonts w:ascii="楷体" w:hAnsi="楷体" w:eastAsia="楷体" w:cs="楷体"/>
          <w:spacing w:val="13"/>
          <w:sz w:val="20"/>
          <w:szCs w:val="20"/>
        </w:rPr>
        <w:t>2)结构化/半结构化访谈</w:t>
      </w:r>
    </w:p>
    <w:p w14:paraId="70667611">
      <w:pPr>
        <w:pStyle w:val="2"/>
        <w:spacing w:before="85" w:line="219" w:lineRule="auto"/>
        <w:ind w:left="769"/>
        <w:rPr>
          <w:sz w:val="20"/>
          <w:szCs w:val="20"/>
        </w:rPr>
      </w:pPr>
      <w:r>
        <w:rPr>
          <w:spacing w:val="4"/>
          <w:sz w:val="20"/>
          <w:szCs w:val="20"/>
        </w:rPr>
        <w:t>在结构化访谈中，访谈者会依据事先准备好的</w:t>
      </w:r>
      <w:r>
        <w:rPr>
          <w:spacing w:val="3"/>
          <w:sz w:val="20"/>
          <w:szCs w:val="20"/>
        </w:rPr>
        <w:t>提纲向访谈对象提问，从而获取访谈对象对</w:t>
      </w:r>
    </w:p>
    <w:p w14:paraId="4F3A7DF5">
      <w:pPr>
        <w:spacing w:line="219" w:lineRule="auto"/>
        <w:rPr>
          <w:sz w:val="20"/>
          <w:szCs w:val="20"/>
        </w:rPr>
        <w:sectPr>
          <w:pgSz w:w="10300" w:h="13380"/>
          <w:pgMar w:top="400" w:right="1009" w:bottom="400" w:left="520" w:header="0" w:footer="0" w:gutter="0"/>
          <w:cols w:space="720" w:num="1"/>
        </w:sectPr>
      </w:pPr>
    </w:p>
    <w:p w14:paraId="2FCF7D94">
      <w:pPr>
        <w:pStyle w:val="2"/>
        <w:jc w:val="right"/>
        <w:rPr>
          <w:rFonts w:ascii="Times New Roman" w:hAnsi="Times New Roman" w:eastAsia="Times New Roman" w:cs="Times New Roman"/>
          <w:sz w:val="20"/>
          <w:szCs w:val="20"/>
        </w:rPr>
      </w:pPr>
      <w:r>
        <w:rPr>
          <w:spacing w:val="3"/>
          <w:sz w:val="20"/>
          <w:szCs w:val="20"/>
        </w:rPr>
        <w:t>第18章</w:t>
      </w:r>
      <w:r>
        <w:rPr>
          <w:spacing w:val="19"/>
          <w:sz w:val="20"/>
          <w:szCs w:val="20"/>
        </w:rPr>
        <w:t xml:space="preserve"> </w:t>
      </w:r>
      <w:r>
        <w:rPr>
          <w:spacing w:val="3"/>
          <w:sz w:val="20"/>
          <w:szCs w:val="20"/>
        </w:rPr>
        <w:t xml:space="preserve">风险管理 </w:t>
      </w:r>
      <w:r>
        <w:rPr>
          <w:position w:val="-12"/>
          <w:sz w:val="20"/>
          <w:szCs w:val="20"/>
        </w:rPr>
        <w:drawing>
          <wp:inline distT="0" distB="0" distL="0" distR="0">
            <wp:extent cx="304800" cy="247015"/>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271"/>
                    <a:stretch>
                      <a:fillRect/>
                    </a:stretch>
                  </pic:blipFill>
                  <pic:spPr>
                    <a:xfrm>
                      <a:off x="0" y="0"/>
                      <a:ext cx="304818" cy="247604"/>
                    </a:xfrm>
                    <a:prstGeom prst="rect">
                      <a:avLst/>
                    </a:prstGeom>
                  </pic:spPr>
                </pic:pic>
              </a:graphicData>
            </a:graphic>
          </wp:inline>
        </w:drawing>
      </w:r>
      <w:r>
        <w:rPr>
          <w:rFonts w:ascii="Times New Roman" w:hAnsi="Times New Roman" w:eastAsia="Times New Roman" w:cs="Times New Roman"/>
          <w:spacing w:val="3"/>
          <w:sz w:val="20"/>
          <w:szCs w:val="20"/>
        </w:rPr>
        <w:t>405</w:t>
      </w:r>
    </w:p>
    <w:p w14:paraId="03649E25">
      <w:pPr>
        <w:spacing w:line="242" w:lineRule="auto"/>
        <w:rPr>
          <w:rFonts w:ascii="Arial"/>
          <w:sz w:val="21"/>
        </w:rPr>
      </w:pPr>
    </w:p>
    <w:p w14:paraId="2B383B50">
      <w:pPr>
        <w:pStyle w:val="2"/>
        <w:spacing w:before="65" w:line="287" w:lineRule="auto"/>
        <w:ind w:right="256"/>
        <w:jc w:val="both"/>
        <w:rPr>
          <w:sz w:val="20"/>
          <w:szCs w:val="20"/>
        </w:rPr>
      </w:pPr>
      <w:r>
        <w:rPr>
          <w:spacing w:val="3"/>
          <w:sz w:val="20"/>
          <w:szCs w:val="20"/>
        </w:rPr>
        <w:t>某个问题的看法。半结构化访谈与结构化访谈类似，但是可以</w:t>
      </w:r>
      <w:r>
        <w:rPr>
          <w:spacing w:val="2"/>
          <w:sz w:val="20"/>
          <w:szCs w:val="20"/>
        </w:rPr>
        <w:t>进行更自由的对话，以探讨可能</w:t>
      </w:r>
      <w:r>
        <w:rPr>
          <w:sz w:val="20"/>
          <w:szCs w:val="20"/>
        </w:rPr>
        <w:t xml:space="preserve"> </w:t>
      </w:r>
      <w:r>
        <w:rPr>
          <w:spacing w:val="4"/>
          <w:sz w:val="20"/>
          <w:szCs w:val="20"/>
        </w:rPr>
        <w:t>出现的问题。如果相关人员很难聚在一起参加头脑风暴讨论会或难以进行自由的讨论活动时，</w:t>
      </w:r>
      <w:r>
        <w:rPr>
          <w:spacing w:val="14"/>
          <w:sz w:val="20"/>
          <w:szCs w:val="20"/>
        </w:rPr>
        <w:t xml:space="preserve"> </w:t>
      </w:r>
      <w:r>
        <w:rPr>
          <w:spacing w:val="-2"/>
          <w:sz w:val="20"/>
          <w:szCs w:val="20"/>
        </w:rPr>
        <w:t>结构化和半结构化访谈就是一种有用的方法。</w:t>
      </w:r>
    </w:p>
    <w:p w14:paraId="72D288C0">
      <w:pPr>
        <w:pStyle w:val="2"/>
        <w:spacing w:before="16" w:line="281" w:lineRule="auto"/>
        <w:ind w:right="327" w:firstLine="399"/>
        <w:rPr>
          <w:sz w:val="20"/>
          <w:szCs w:val="20"/>
        </w:rPr>
      </w:pPr>
      <w:r>
        <w:rPr>
          <w:spacing w:val="3"/>
          <w:sz w:val="20"/>
          <w:szCs w:val="20"/>
        </w:rPr>
        <w:t>该方法主要用于识别风险或评估现有风险应对措施的效果，是为相关</w:t>
      </w:r>
      <w:r>
        <w:rPr>
          <w:spacing w:val="2"/>
          <w:sz w:val="20"/>
          <w:szCs w:val="20"/>
        </w:rPr>
        <w:t>方提供数据来进行风</w:t>
      </w:r>
      <w:r>
        <w:rPr>
          <w:sz w:val="20"/>
          <w:szCs w:val="20"/>
        </w:rPr>
        <w:t xml:space="preserve"> </w:t>
      </w:r>
      <w:r>
        <w:rPr>
          <w:spacing w:val="-2"/>
          <w:sz w:val="20"/>
          <w:szCs w:val="20"/>
        </w:rPr>
        <w:t>险评估的有效方式，适用于某个过程或项目生命周期的任何阶段。</w:t>
      </w:r>
    </w:p>
    <w:p w14:paraId="55B862B8">
      <w:pPr>
        <w:spacing w:before="99" w:line="224" w:lineRule="auto"/>
        <w:ind w:left="399"/>
        <w:rPr>
          <w:rFonts w:ascii="楷体" w:hAnsi="楷体" w:eastAsia="楷体" w:cs="楷体"/>
          <w:sz w:val="20"/>
          <w:szCs w:val="20"/>
        </w:rPr>
      </w:pPr>
      <w:r>
        <w:rPr>
          <w:rFonts w:ascii="楷体" w:hAnsi="楷体" w:eastAsia="楷体" w:cs="楷体"/>
          <w:spacing w:val="16"/>
          <w:sz w:val="20"/>
          <w:szCs w:val="20"/>
        </w:rPr>
        <w:t>3)德尔菲法</w:t>
      </w:r>
    </w:p>
    <w:p w14:paraId="07813594">
      <w:pPr>
        <w:pStyle w:val="2"/>
        <w:spacing w:before="68" w:line="287" w:lineRule="auto"/>
        <w:ind w:right="236" w:firstLine="399"/>
        <w:rPr>
          <w:sz w:val="20"/>
          <w:szCs w:val="20"/>
        </w:rPr>
      </w:pPr>
      <w:r>
        <w:rPr>
          <w:spacing w:val="3"/>
          <w:sz w:val="20"/>
          <w:szCs w:val="20"/>
        </w:rPr>
        <w:t>德尔菲法是依据一套系统的程序在一组专家中取得可靠共识的技术</w:t>
      </w:r>
      <w:r>
        <w:rPr>
          <w:spacing w:val="2"/>
          <w:sz w:val="20"/>
          <w:szCs w:val="20"/>
        </w:rPr>
        <w:t>。其根本特征是专家单</w:t>
      </w:r>
      <w:r>
        <w:rPr>
          <w:sz w:val="20"/>
          <w:szCs w:val="20"/>
        </w:rPr>
        <w:t xml:space="preserve">  独、匿名表达各自的观点。在讨论过程中，团队成员之间不得互相讨论，只能与调查人员沟通。 </w:t>
      </w:r>
      <w:r>
        <w:rPr>
          <w:spacing w:val="-1"/>
          <w:sz w:val="20"/>
          <w:szCs w:val="20"/>
        </w:rPr>
        <w:t>通过让团队成员填写问卷，集结意见，整理并共享，周而复始，最终获取共</w:t>
      </w:r>
      <w:r>
        <w:rPr>
          <w:spacing w:val="-2"/>
          <w:sz w:val="20"/>
          <w:szCs w:val="20"/>
        </w:rPr>
        <w:t>识。</w:t>
      </w:r>
    </w:p>
    <w:p w14:paraId="6D875647">
      <w:pPr>
        <w:pStyle w:val="2"/>
        <w:spacing w:before="28" w:line="219" w:lineRule="auto"/>
        <w:ind w:left="399"/>
        <w:rPr>
          <w:sz w:val="20"/>
          <w:szCs w:val="20"/>
        </w:rPr>
      </w:pPr>
      <w:r>
        <w:rPr>
          <w:spacing w:val="-2"/>
          <w:sz w:val="20"/>
          <w:szCs w:val="20"/>
        </w:rPr>
        <w:t>德尔菲法可以用于风险管理过程或项目生命周期的任何阶段。</w:t>
      </w:r>
    </w:p>
    <w:p w14:paraId="6AF38A57">
      <w:pPr>
        <w:spacing w:before="170" w:line="226" w:lineRule="auto"/>
        <w:ind w:left="399"/>
        <w:rPr>
          <w:rFonts w:ascii="楷体" w:hAnsi="楷体" w:eastAsia="楷体" w:cs="楷体"/>
          <w:sz w:val="20"/>
          <w:szCs w:val="20"/>
        </w:rPr>
      </w:pPr>
      <w:r>
        <w:rPr>
          <w:rFonts w:ascii="楷体" w:hAnsi="楷体" w:eastAsia="楷体" w:cs="楷体"/>
          <w:spacing w:val="18"/>
          <w:sz w:val="20"/>
          <w:szCs w:val="20"/>
        </w:rPr>
        <w:t>4)情景分析</w:t>
      </w:r>
    </w:p>
    <w:p w14:paraId="13AFB616">
      <w:pPr>
        <w:pStyle w:val="2"/>
        <w:spacing w:before="56" w:line="281" w:lineRule="auto"/>
        <w:ind w:right="256" w:firstLine="399"/>
        <w:rPr>
          <w:sz w:val="20"/>
          <w:szCs w:val="20"/>
        </w:rPr>
      </w:pPr>
      <w:r>
        <w:rPr>
          <w:spacing w:val="3"/>
          <w:sz w:val="20"/>
          <w:szCs w:val="20"/>
        </w:rPr>
        <w:t>情景分析是指通过假设、预测、模拟等手段，对未来可能发生的各种情景及其可能</w:t>
      </w:r>
      <w:r>
        <w:rPr>
          <w:spacing w:val="2"/>
          <w:sz w:val="20"/>
          <w:szCs w:val="20"/>
        </w:rPr>
        <w:t>产生的</w:t>
      </w:r>
      <w:r>
        <w:rPr>
          <w:sz w:val="20"/>
          <w:szCs w:val="20"/>
        </w:rPr>
        <w:t xml:space="preserve"> </w:t>
      </w:r>
      <w:r>
        <w:rPr>
          <w:spacing w:val="3"/>
          <w:sz w:val="20"/>
          <w:szCs w:val="20"/>
        </w:rPr>
        <w:t>影响进行分析的方法。换句话说，情景分析法是类似“如</w:t>
      </w:r>
      <w:r>
        <w:rPr>
          <w:spacing w:val="2"/>
          <w:sz w:val="20"/>
          <w:szCs w:val="20"/>
        </w:rPr>
        <w:t>果……怎样……”的分析方法。未来</w:t>
      </w:r>
      <w:r>
        <w:rPr>
          <w:sz w:val="20"/>
          <w:szCs w:val="20"/>
        </w:rPr>
        <w:t xml:space="preserve"> </w:t>
      </w:r>
      <w:r>
        <w:rPr>
          <w:spacing w:val="4"/>
          <w:sz w:val="20"/>
          <w:szCs w:val="20"/>
        </w:rPr>
        <w:t>总是不确定的，而情景分析使人们能够“预见”将来，对未来的不确定性有一个直观的认识。</w:t>
      </w:r>
      <w:r>
        <w:rPr>
          <w:spacing w:val="15"/>
          <w:sz w:val="20"/>
          <w:szCs w:val="20"/>
        </w:rPr>
        <w:t xml:space="preserve"> </w:t>
      </w:r>
      <w:r>
        <w:rPr>
          <w:sz w:val="20"/>
          <w:szCs w:val="20"/>
        </w:rPr>
        <w:t>尽管情景分析法无法预测未来各类情景发生的</w:t>
      </w:r>
      <w:r>
        <w:rPr>
          <w:spacing w:val="-1"/>
          <w:sz w:val="20"/>
          <w:szCs w:val="20"/>
        </w:rPr>
        <w:t>可能性，但可以促使组织考虑哪些情景可能发生，</w:t>
      </w:r>
      <w:r>
        <w:rPr>
          <w:sz w:val="20"/>
          <w:szCs w:val="20"/>
        </w:rPr>
        <w:t xml:space="preserve"> </w:t>
      </w:r>
      <w:r>
        <w:rPr>
          <w:spacing w:val="-2"/>
          <w:sz w:val="20"/>
          <w:szCs w:val="20"/>
        </w:rPr>
        <w:t>并有助于组织提前对未来可能出现的情景进行准备。</w:t>
      </w:r>
    </w:p>
    <w:p w14:paraId="64DAB52E">
      <w:pPr>
        <w:pStyle w:val="2"/>
        <w:spacing w:before="69" w:line="273" w:lineRule="auto"/>
        <w:ind w:right="307" w:firstLine="399"/>
        <w:rPr>
          <w:sz w:val="20"/>
          <w:szCs w:val="20"/>
        </w:rPr>
      </w:pPr>
      <w:r>
        <w:rPr>
          <w:spacing w:val="3"/>
          <w:sz w:val="20"/>
          <w:szCs w:val="20"/>
        </w:rPr>
        <w:t>情景分析可用来帮助决策并规划未来战略，也可以用来分析现有的活动，在风险识别、风</w:t>
      </w:r>
      <w:r>
        <w:rPr>
          <w:spacing w:val="11"/>
          <w:sz w:val="20"/>
          <w:szCs w:val="20"/>
        </w:rPr>
        <w:t xml:space="preserve"> </w:t>
      </w:r>
      <w:r>
        <w:rPr>
          <w:spacing w:val="-4"/>
          <w:sz w:val="20"/>
          <w:szCs w:val="20"/>
        </w:rPr>
        <w:t>险分析中都可以发挥作用。</w:t>
      </w:r>
    </w:p>
    <w:p w14:paraId="033E1E2F">
      <w:pPr>
        <w:pStyle w:val="2"/>
        <w:spacing w:before="109" w:line="219" w:lineRule="auto"/>
        <w:ind w:left="399"/>
        <w:rPr>
          <w:sz w:val="20"/>
          <w:szCs w:val="20"/>
        </w:rPr>
      </w:pPr>
      <w:r>
        <w:rPr>
          <w:spacing w:val="21"/>
          <w:sz w:val="20"/>
          <w:szCs w:val="20"/>
        </w:rPr>
        <w:t>5)检查表</w:t>
      </w:r>
    </w:p>
    <w:p w14:paraId="4F86993D">
      <w:pPr>
        <w:pStyle w:val="2"/>
        <w:spacing w:before="62" w:line="283" w:lineRule="auto"/>
        <w:ind w:right="257" w:firstLine="399"/>
        <w:rPr>
          <w:sz w:val="20"/>
          <w:szCs w:val="20"/>
        </w:rPr>
      </w:pPr>
      <w:r>
        <w:rPr>
          <w:spacing w:val="7"/>
          <w:sz w:val="20"/>
          <w:szCs w:val="20"/>
        </w:rPr>
        <w:t>检查表是一个风险或故障的控制清单，而这些清单通常是凭经验(以前的风险评估结果，</w:t>
      </w:r>
      <w:r>
        <w:rPr>
          <w:spacing w:val="5"/>
          <w:sz w:val="20"/>
          <w:szCs w:val="20"/>
        </w:rPr>
        <w:t xml:space="preserve"> </w:t>
      </w:r>
      <w:r>
        <w:rPr>
          <w:spacing w:val="3"/>
          <w:sz w:val="20"/>
          <w:szCs w:val="20"/>
        </w:rPr>
        <w:t>或过去的故障)进行编制的。按此表进行检查，以“是/否”进行回答。</w:t>
      </w:r>
    </w:p>
    <w:p w14:paraId="0AACEBCD">
      <w:pPr>
        <w:pStyle w:val="2"/>
        <w:spacing w:before="6" w:line="281" w:lineRule="auto"/>
        <w:ind w:right="256" w:firstLine="399"/>
        <w:rPr>
          <w:sz w:val="20"/>
          <w:szCs w:val="20"/>
        </w:rPr>
      </w:pPr>
      <w:r>
        <w:rPr>
          <w:sz w:val="20"/>
          <w:szCs w:val="20"/>
        </w:rPr>
        <w:t>检查表法可用来识别潜在危险、风险或者评</w:t>
      </w:r>
      <w:r>
        <w:rPr>
          <w:spacing w:val="-1"/>
          <w:sz w:val="20"/>
          <w:szCs w:val="20"/>
        </w:rPr>
        <w:t>估控制效果，适用于项目生命周期的任何阶段，</w:t>
      </w:r>
      <w:r>
        <w:rPr>
          <w:sz w:val="20"/>
          <w:szCs w:val="20"/>
        </w:rPr>
        <w:t xml:space="preserve"> </w:t>
      </w:r>
      <w:r>
        <w:rPr>
          <w:spacing w:val="-2"/>
          <w:sz w:val="20"/>
          <w:szCs w:val="20"/>
        </w:rPr>
        <w:t>也可以作为其他风险评估技术的组成部分进行使用。</w:t>
      </w:r>
    </w:p>
    <w:p w14:paraId="7C9F682E">
      <w:pPr>
        <w:spacing w:before="97" w:line="223" w:lineRule="auto"/>
        <w:ind w:left="399"/>
        <w:rPr>
          <w:rFonts w:ascii="楷体" w:hAnsi="楷体" w:eastAsia="楷体" w:cs="楷体"/>
          <w:sz w:val="20"/>
          <w:szCs w:val="20"/>
        </w:rPr>
      </w:pPr>
      <w:r>
        <w:rPr>
          <w:rFonts w:ascii="楷体" w:hAnsi="楷体" w:eastAsia="楷体" w:cs="楷体"/>
          <w:spacing w:val="11"/>
          <w:sz w:val="20"/>
          <w:szCs w:val="20"/>
        </w:rPr>
        <w:t>6)风险概率影响矩阵</w:t>
      </w:r>
    </w:p>
    <w:p w14:paraId="0765811F">
      <w:pPr>
        <w:pStyle w:val="2"/>
        <w:spacing w:before="40" w:line="285" w:lineRule="auto"/>
        <w:ind w:right="237" w:firstLine="399"/>
        <w:rPr>
          <w:sz w:val="20"/>
          <w:szCs w:val="20"/>
        </w:rPr>
      </w:pPr>
      <w:r>
        <w:rPr>
          <w:spacing w:val="5"/>
          <w:sz w:val="20"/>
          <w:szCs w:val="20"/>
        </w:rPr>
        <w:t>风险概率影响</w:t>
      </w:r>
      <w:r>
        <w:rPr>
          <w:spacing w:val="-45"/>
          <w:sz w:val="20"/>
          <w:szCs w:val="20"/>
        </w:rPr>
        <w:t xml:space="preserve"> </w:t>
      </w:r>
      <w:r>
        <w:rPr>
          <w:rFonts w:ascii="Times New Roman" w:hAnsi="Times New Roman" w:eastAsia="Times New Roman" w:cs="Times New Roman"/>
          <w:spacing w:val="5"/>
          <w:sz w:val="20"/>
          <w:szCs w:val="20"/>
        </w:rPr>
        <w:t xml:space="preserve">(P-I)   </w:t>
      </w:r>
      <w:r>
        <w:rPr>
          <w:spacing w:val="5"/>
          <w:sz w:val="20"/>
          <w:szCs w:val="20"/>
        </w:rPr>
        <w:t>矩阵是用于识别风险和对其进行优先级排序的有效工具。</w:t>
      </w:r>
      <w:r>
        <w:rPr>
          <w:rFonts w:ascii="Times New Roman" w:hAnsi="Times New Roman" w:eastAsia="Times New Roman" w:cs="Times New Roman"/>
          <w:spacing w:val="5"/>
          <w:sz w:val="20"/>
          <w:szCs w:val="20"/>
        </w:rPr>
        <w:t xml:space="preserve">P-I </w:t>
      </w:r>
      <w:r>
        <w:rPr>
          <w:spacing w:val="5"/>
          <w:sz w:val="20"/>
          <w:szCs w:val="20"/>
        </w:rPr>
        <w:t>矩阵可</w:t>
      </w:r>
      <w:r>
        <w:rPr>
          <w:sz w:val="20"/>
          <w:szCs w:val="20"/>
        </w:rPr>
        <w:t xml:space="preserve">  以直观地显现项目风险的分布情况，有助于管理者确定风险管理的关键控制点和风险应对方</w:t>
      </w:r>
      <w:r>
        <w:rPr>
          <w:spacing w:val="-1"/>
          <w:sz w:val="20"/>
          <w:szCs w:val="20"/>
        </w:rPr>
        <w:t>案。</w:t>
      </w:r>
      <w:r>
        <w:rPr>
          <w:sz w:val="20"/>
          <w:szCs w:val="20"/>
        </w:rPr>
        <w:t xml:space="preserve"> </w:t>
      </w:r>
      <w:r>
        <w:rPr>
          <w:spacing w:val="3"/>
          <w:sz w:val="20"/>
          <w:szCs w:val="20"/>
        </w:rPr>
        <w:t>一旦项目的风险被识别以后，就可以依据其对项目目标的影响程度和发生的可能性等维度来绘</w:t>
      </w:r>
      <w:r>
        <w:rPr>
          <w:spacing w:val="4"/>
          <w:sz w:val="20"/>
          <w:szCs w:val="20"/>
        </w:rPr>
        <w:t xml:space="preserve"> </w:t>
      </w:r>
      <w:r>
        <w:rPr>
          <w:spacing w:val="-1"/>
          <w:sz w:val="20"/>
          <w:szCs w:val="20"/>
        </w:rPr>
        <w:t>制</w:t>
      </w:r>
      <w:r>
        <w:rPr>
          <w:rFonts w:ascii="Times New Roman" w:hAnsi="Times New Roman" w:eastAsia="Times New Roman" w:cs="Times New Roman"/>
          <w:spacing w:val="-1"/>
          <w:sz w:val="20"/>
          <w:szCs w:val="20"/>
        </w:rPr>
        <w:t>P-I</w:t>
      </w:r>
      <w:r>
        <w:rPr>
          <w:rFonts w:ascii="Times New Roman" w:hAnsi="Times New Roman" w:eastAsia="Times New Roman" w:cs="Times New Roman"/>
          <w:spacing w:val="24"/>
          <w:w w:val="101"/>
          <w:sz w:val="20"/>
          <w:szCs w:val="20"/>
        </w:rPr>
        <w:t xml:space="preserve"> </w:t>
      </w:r>
      <w:r>
        <w:rPr>
          <w:spacing w:val="-1"/>
          <w:sz w:val="20"/>
          <w:szCs w:val="20"/>
        </w:rPr>
        <w:t>矩阵。</w:t>
      </w:r>
    </w:p>
    <w:p w14:paraId="69F172C7">
      <w:pPr>
        <w:pStyle w:val="2"/>
        <w:spacing w:before="28" w:line="273" w:lineRule="auto"/>
        <w:ind w:right="323" w:firstLine="399"/>
        <w:rPr>
          <w:sz w:val="20"/>
          <w:szCs w:val="20"/>
        </w:rPr>
      </w:pPr>
      <w:r>
        <w:rPr>
          <w:rFonts w:ascii="Times New Roman" w:hAnsi="Times New Roman" w:eastAsia="Times New Roman" w:cs="Times New Roman"/>
          <w:spacing w:val="1"/>
          <w:sz w:val="20"/>
          <w:szCs w:val="20"/>
        </w:rPr>
        <w:t>P-I</w:t>
      </w:r>
      <w:r>
        <w:rPr>
          <w:rFonts w:ascii="Times New Roman" w:hAnsi="Times New Roman" w:eastAsia="Times New Roman" w:cs="Times New Roman"/>
          <w:spacing w:val="-21"/>
          <w:sz w:val="20"/>
          <w:szCs w:val="20"/>
        </w:rPr>
        <w:t xml:space="preserve"> </w:t>
      </w:r>
      <w:r>
        <w:rPr>
          <w:spacing w:val="1"/>
          <w:sz w:val="20"/>
          <w:szCs w:val="20"/>
        </w:rPr>
        <w:t>矩阵通常作为一种筛查工具用来对风险进行排序，根据其在矩阵中所处的区域，</w:t>
      </w:r>
      <w:r>
        <w:rPr>
          <w:sz w:val="20"/>
          <w:szCs w:val="20"/>
        </w:rPr>
        <w:t xml:space="preserve">确定哪 </w:t>
      </w:r>
      <w:r>
        <w:rPr>
          <w:spacing w:val="-1"/>
          <w:sz w:val="20"/>
          <w:szCs w:val="20"/>
        </w:rPr>
        <w:t>些风险需要更细致的分析或需要优先处理。</w:t>
      </w:r>
      <w:r>
        <w:rPr>
          <w:rFonts w:ascii="Times New Roman" w:hAnsi="Times New Roman" w:eastAsia="Times New Roman" w:cs="Times New Roman"/>
          <w:spacing w:val="-1"/>
          <w:sz w:val="20"/>
          <w:szCs w:val="20"/>
        </w:rPr>
        <w:t>P-I</w:t>
      </w:r>
      <w:r>
        <w:rPr>
          <w:rFonts w:ascii="Times New Roman" w:hAnsi="Times New Roman" w:eastAsia="Times New Roman" w:cs="Times New Roman"/>
          <w:spacing w:val="19"/>
          <w:w w:val="101"/>
          <w:sz w:val="20"/>
          <w:szCs w:val="20"/>
        </w:rPr>
        <w:t xml:space="preserve"> </w:t>
      </w:r>
      <w:r>
        <w:rPr>
          <w:spacing w:val="-1"/>
          <w:sz w:val="20"/>
          <w:szCs w:val="20"/>
        </w:rPr>
        <w:t>矩阵可用于风险分析和风</w:t>
      </w:r>
      <w:r>
        <w:rPr>
          <w:spacing w:val="-2"/>
          <w:sz w:val="20"/>
          <w:szCs w:val="20"/>
        </w:rPr>
        <w:t>险应对过程。</w:t>
      </w:r>
    </w:p>
    <w:p w14:paraId="4A5B51F7">
      <w:pPr>
        <w:spacing w:before="108" w:line="226" w:lineRule="auto"/>
        <w:ind w:left="399"/>
        <w:rPr>
          <w:rFonts w:ascii="楷体" w:hAnsi="楷体" w:eastAsia="楷体" w:cs="楷体"/>
          <w:sz w:val="20"/>
          <w:szCs w:val="20"/>
        </w:rPr>
      </w:pPr>
      <w:r>
        <w:rPr>
          <w:rFonts w:ascii="楷体" w:hAnsi="楷体" w:eastAsia="楷体" w:cs="楷体"/>
          <w:spacing w:val="13"/>
          <w:sz w:val="20"/>
          <w:szCs w:val="20"/>
        </w:rPr>
        <w:t>7)故障树分析</w:t>
      </w:r>
    </w:p>
    <w:p w14:paraId="223D4E47">
      <w:pPr>
        <w:pStyle w:val="2"/>
        <w:spacing w:before="44" w:line="281" w:lineRule="auto"/>
        <w:ind w:right="236" w:firstLine="399"/>
        <w:rPr>
          <w:sz w:val="20"/>
          <w:szCs w:val="20"/>
        </w:rPr>
      </w:pPr>
      <w:r>
        <w:rPr>
          <w:spacing w:val="3"/>
          <w:sz w:val="20"/>
          <w:szCs w:val="20"/>
        </w:rPr>
        <w:t>故障树分析是一种逻辑演绎的分析工具，也是一种复杂系统的可靠</w:t>
      </w:r>
      <w:r>
        <w:rPr>
          <w:spacing w:val="2"/>
          <w:sz w:val="20"/>
          <w:szCs w:val="20"/>
        </w:rPr>
        <w:t>性分析方法。故障树分</w:t>
      </w:r>
      <w:r>
        <w:rPr>
          <w:sz w:val="20"/>
          <w:szCs w:val="20"/>
        </w:rPr>
        <w:t xml:space="preserve">  </w:t>
      </w:r>
      <w:r>
        <w:rPr>
          <w:spacing w:val="3"/>
          <w:sz w:val="20"/>
          <w:szCs w:val="20"/>
        </w:rPr>
        <w:t>析用描绘事故发生的有向逻辑树分析事故的现象、原因及</w:t>
      </w:r>
      <w:r>
        <w:rPr>
          <w:spacing w:val="2"/>
          <w:sz w:val="20"/>
          <w:szCs w:val="20"/>
        </w:rPr>
        <w:t>结果，从而找出预防事故的措施。位</w:t>
      </w:r>
      <w:r>
        <w:rPr>
          <w:sz w:val="20"/>
          <w:szCs w:val="20"/>
        </w:rPr>
        <w:t xml:space="preserve">  </w:t>
      </w:r>
      <w:r>
        <w:rPr>
          <w:spacing w:val="2"/>
          <w:sz w:val="20"/>
          <w:szCs w:val="20"/>
        </w:rPr>
        <w:t>于故障树最上部的事件叫作顶事件， 一般为造成严重后果的故障事件或事故，是故障树分析、</w:t>
      </w:r>
      <w:r>
        <w:rPr>
          <w:spacing w:val="14"/>
          <w:sz w:val="20"/>
          <w:szCs w:val="20"/>
        </w:rPr>
        <w:t xml:space="preserve"> </w:t>
      </w:r>
      <w:r>
        <w:rPr>
          <w:spacing w:val="2"/>
          <w:sz w:val="20"/>
          <w:szCs w:val="20"/>
        </w:rPr>
        <w:t>研究的对象。位于故障树各分支末端的事件叫作基本事件，它们是造成顶事件发生的最初始的</w:t>
      </w:r>
      <w:r>
        <w:rPr>
          <w:spacing w:val="6"/>
          <w:sz w:val="20"/>
          <w:szCs w:val="20"/>
        </w:rPr>
        <w:t xml:space="preserve">  </w:t>
      </w:r>
      <w:r>
        <w:rPr>
          <w:spacing w:val="-1"/>
          <w:sz w:val="20"/>
          <w:szCs w:val="20"/>
        </w:rPr>
        <w:t>原因。故障树的基本事件主要是硬件问题、人为错误或其他引起故障</w:t>
      </w:r>
      <w:r>
        <w:rPr>
          <w:spacing w:val="-2"/>
          <w:sz w:val="20"/>
          <w:szCs w:val="20"/>
        </w:rPr>
        <w:t>的相关因素。</w:t>
      </w:r>
    </w:p>
    <w:p w14:paraId="5809EDE7">
      <w:pPr>
        <w:spacing w:line="281" w:lineRule="auto"/>
        <w:rPr>
          <w:sz w:val="20"/>
          <w:szCs w:val="20"/>
        </w:rPr>
        <w:sectPr>
          <w:pgSz w:w="10290" w:h="13340"/>
          <w:pgMar w:top="370" w:right="563" w:bottom="400" w:left="1090" w:header="0" w:footer="0" w:gutter="0"/>
          <w:cols w:space="720" w:num="1"/>
        </w:sectPr>
      </w:pPr>
    </w:p>
    <w:p w14:paraId="63B87997">
      <w:pPr>
        <w:pStyle w:val="2"/>
        <w:spacing w:before="78" w:line="219" w:lineRule="auto"/>
        <w:rPr>
          <w:sz w:val="20"/>
          <w:szCs w:val="20"/>
        </w:rPr>
      </w:pPr>
      <w:bookmarkStart w:id="696" w:name="bookmark681"/>
      <w:bookmarkEnd w:id="696"/>
      <w:r>
        <w:rPr>
          <w:rFonts w:ascii="Times New Roman" w:hAnsi="Times New Roman" w:eastAsia="Times New Roman" w:cs="Times New Roman"/>
          <w:spacing w:val="-1"/>
          <w:position w:val="1"/>
          <w:sz w:val="16"/>
          <w:szCs w:val="16"/>
        </w:rPr>
        <w:t xml:space="preserve">406                  </w:t>
      </w:r>
      <w:r>
        <w:rPr>
          <w:spacing w:val="-1"/>
          <w:sz w:val="20"/>
          <w:szCs w:val="20"/>
        </w:rPr>
        <w:t>信息系统监理师教程(第2</w:t>
      </w:r>
      <w:r>
        <w:rPr>
          <w:spacing w:val="-2"/>
          <w:sz w:val="20"/>
          <w:szCs w:val="20"/>
        </w:rPr>
        <w:t>版)</w:t>
      </w:r>
    </w:p>
    <w:p w14:paraId="4D95E009">
      <w:pPr>
        <w:spacing w:line="284" w:lineRule="auto"/>
        <w:rPr>
          <w:rFonts w:ascii="Arial"/>
          <w:sz w:val="21"/>
        </w:rPr>
      </w:pPr>
    </w:p>
    <w:p w14:paraId="6B2DD58E">
      <w:pPr>
        <w:pStyle w:val="2"/>
        <w:spacing w:before="65" w:line="320" w:lineRule="auto"/>
        <w:ind w:left="340" w:right="94" w:firstLine="419"/>
        <w:rPr>
          <w:sz w:val="20"/>
          <w:szCs w:val="20"/>
        </w:rPr>
      </w:pPr>
      <w:r>
        <w:rPr>
          <w:spacing w:val="3"/>
          <w:sz w:val="20"/>
          <w:szCs w:val="20"/>
        </w:rPr>
        <w:t>故障树可以用来对故障的潜在原因及途径进行定性分析，也可</w:t>
      </w:r>
      <w:r>
        <w:rPr>
          <w:spacing w:val="2"/>
          <w:sz w:val="20"/>
          <w:szCs w:val="20"/>
        </w:rPr>
        <w:t>以在掌握基本事项概率的相</w:t>
      </w:r>
      <w:r>
        <w:rPr>
          <w:sz w:val="20"/>
          <w:szCs w:val="20"/>
        </w:rPr>
        <w:t xml:space="preserve"> </w:t>
      </w:r>
      <w:r>
        <w:rPr>
          <w:spacing w:val="-2"/>
          <w:sz w:val="20"/>
          <w:szCs w:val="20"/>
        </w:rPr>
        <w:t>关数据之后，定量计算重大事件的发生概率。</w:t>
      </w:r>
    </w:p>
    <w:p w14:paraId="0CC778B3">
      <w:pPr>
        <w:pStyle w:val="2"/>
        <w:spacing w:before="46" w:line="226" w:lineRule="auto"/>
        <w:ind w:left="759"/>
        <w:rPr>
          <w:rFonts w:ascii="楷体" w:hAnsi="楷体" w:eastAsia="楷体" w:cs="楷体"/>
          <w:sz w:val="20"/>
          <w:szCs w:val="20"/>
        </w:rPr>
      </w:pPr>
      <w:r>
        <w:rPr>
          <w:spacing w:val="1"/>
          <w:sz w:val="20"/>
          <w:szCs w:val="20"/>
        </w:rPr>
        <w:t>8)</w:t>
      </w:r>
      <w:r>
        <w:rPr>
          <w:sz w:val="20"/>
          <w:szCs w:val="20"/>
        </w:rPr>
        <w:t>SWOT</w:t>
      </w:r>
      <w:r>
        <w:rPr>
          <w:spacing w:val="6"/>
          <w:sz w:val="20"/>
          <w:szCs w:val="20"/>
        </w:rPr>
        <w:t xml:space="preserve">   </w:t>
      </w:r>
      <w:r>
        <w:rPr>
          <w:rFonts w:ascii="楷体" w:hAnsi="楷体" w:eastAsia="楷体" w:cs="楷体"/>
          <w:spacing w:val="1"/>
          <w:sz w:val="20"/>
          <w:szCs w:val="20"/>
        </w:rPr>
        <w:t>分析</w:t>
      </w:r>
    </w:p>
    <w:p w14:paraId="725B73E8">
      <w:pPr>
        <w:pStyle w:val="2"/>
        <w:spacing w:before="54" w:line="293" w:lineRule="auto"/>
        <w:ind w:left="340" w:right="82" w:firstLine="419"/>
        <w:rPr>
          <w:sz w:val="20"/>
          <w:szCs w:val="20"/>
        </w:rPr>
      </w:pPr>
      <w:r>
        <w:rPr>
          <w:spacing w:val="1"/>
          <w:sz w:val="20"/>
          <w:szCs w:val="20"/>
        </w:rPr>
        <w:t>将项目的优势</w:t>
      </w:r>
      <w:r>
        <w:rPr>
          <w:spacing w:val="-46"/>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Strength</w:t>
      </w:r>
      <w:r>
        <w:rPr>
          <w:rFonts w:ascii="Times New Roman" w:hAnsi="Times New Roman" w:eastAsia="Times New Roman" w:cs="Times New Roman"/>
          <w:spacing w:val="1"/>
          <w:sz w:val="20"/>
          <w:szCs w:val="20"/>
        </w:rPr>
        <w:t>)</w:t>
      </w:r>
      <w:r>
        <w:rPr>
          <w:rFonts w:ascii="Times New Roman" w:hAnsi="Times New Roman" w:eastAsia="Times New Roman" w:cs="Times New Roman"/>
          <w:spacing w:val="-29"/>
          <w:sz w:val="20"/>
          <w:szCs w:val="20"/>
        </w:rPr>
        <w:t xml:space="preserve"> </w:t>
      </w:r>
      <w:r>
        <w:rPr>
          <w:spacing w:val="1"/>
          <w:sz w:val="20"/>
          <w:szCs w:val="20"/>
        </w:rPr>
        <w:t>、</w:t>
      </w:r>
      <w:r>
        <w:rPr>
          <w:spacing w:val="28"/>
          <w:sz w:val="20"/>
          <w:szCs w:val="20"/>
        </w:rPr>
        <w:t xml:space="preserve"> </w:t>
      </w:r>
      <w:r>
        <w:rPr>
          <w:spacing w:val="1"/>
          <w:sz w:val="20"/>
          <w:szCs w:val="20"/>
        </w:rPr>
        <w:t>劣</w:t>
      </w:r>
      <w:r>
        <w:rPr>
          <w:spacing w:val="-29"/>
          <w:sz w:val="20"/>
          <w:szCs w:val="20"/>
        </w:rPr>
        <w:t xml:space="preserve"> </w:t>
      </w:r>
      <w:r>
        <w:rPr>
          <w:spacing w:val="1"/>
          <w:sz w:val="20"/>
          <w:szCs w:val="20"/>
        </w:rPr>
        <w:t>势</w:t>
      </w:r>
      <w:r>
        <w:rPr>
          <w:spacing w:val="-55"/>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Weakness</w:t>
      </w:r>
      <w:r>
        <w:rPr>
          <w:rFonts w:ascii="Times New Roman" w:hAnsi="Times New Roman" w:eastAsia="Times New Roman" w:cs="Times New Roman"/>
          <w:spacing w:val="1"/>
          <w:sz w:val="20"/>
          <w:szCs w:val="20"/>
        </w:rPr>
        <w:t>)</w:t>
      </w:r>
      <w:r>
        <w:rPr>
          <w:rFonts w:ascii="Times New Roman" w:hAnsi="Times New Roman" w:eastAsia="Times New Roman" w:cs="Times New Roman"/>
          <w:spacing w:val="-29"/>
          <w:sz w:val="20"/>
          <w:szCs w:val="20"/>
        </w:rPr>
        <w:t xml:space="preserve"> </w:t>
      </w:r>
      <w:r>
        <w:rPr>
          <w:spacing w:val="1"/>
          <w:sz w:val="20"/>
          <w:szCs w:val="20"/>
        </w:rPr>
        <w:t>、 机</w:t>
      </w:r>
      <w:r>
        <w:rPr>
          <w:spacing w:val="-27"/>
          <w:sz w:val="20"/>
          <w:szCs w:val="20"/>
        </w:rPr>
        <w:t xml:space="preserve"> </w:t>
      </w:r>
      <w:r>
        <w:rPr>
          <w:spacing w:val="1"/>
          <w:sz w:val="20"/>
          <w:szCs w:val="20"/>
        </w:rPr>
        <w:t>会</w:t>
      </w:r>
      <w:r>
        <w:rPr>
          <w:spacing w:val="-59"/>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Opportunity</w:t>
      </w:r>
      <w:r>
        <w:rPr>
          <w:rFonts w:ascii="Times New Roman" w:hAnsi="Times New Roman" w:eastAsia="Times New Roman" w:cs="Times New Roman"/>
          <w:spacing w:val="1"/>
          <w:sz w:val="20"/>
          <w:szCs w:val="20"/>
        </w:rPr>
        <w:t>)</w:t>
      </w:r>
      <w:r>
        <w:rPr>
          <w:rFonts w:ascii="Times New Roman" w:hAnsi="Times New Roman" w:eastAsia="Times New Roman" w:cs="Times New Roman"/>
          <w:spacing w:val="-28"/>
          <w:sz w:val="20"/>
          <w:szCs w:val="20"/>
        </w:rPr>
        <w:t xml:space="preserve"> </w:t>
      </w:r>
      <w:r>
        <w:rPr>
          <w:spacing w:val="1"/>
          <w:sz w:val="20"/>
          <w:szCs w:val="20"/>
        </w:rPr>
        <w:t>、</w:t>
      </w:r>
      <w:r>
        <w:rPr>
          <w:spacing w:val="28"/>
          <w:sz w:val="20"/>
          <w:szCs w:val="20"/>
        </w:rPr>
        <w:t xml:space="preserve"> </w:t>
      </w:r>
      <w:r>
        <w:rPr>
          <w:spacing w:val="1"/>
          <w:sz w:val="20"/>
          <w:szCs w:val="20"/>
        </w:rPr>
        <w:t>威胁</w:t>
      </w:r>
      <w:r>
        <w:rPr>
          <w:spacing w:val="-39"/>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Threat</w:t>
      </w:r>
      <w:r>
        <w:rPr>
          <w:rFonts w:ascii="Times New Roman" w:hAnsi="Times New Roman" w:eastAsia="Times New Roman" w:cs="Times New Roman"/>
          <w:spacing w:val="1"/>
          <w:sz w:val="20"/>
          <w:szCs w:val="20"/>
        </w:rPr>
        <w:t xml:space="preserve">)    </w:t>
      </w:r>
      <w:r>
        <w:rPr>
          <w:spacing w:val="1"/>
          <w:sz w:val="20"/>
          <w:szCs w:val="20"/>
        </w:rPr>
        <w:t>通过</w:t>
      </w:r>
      <w:r>
        <w:rPr>
          <w:sz w:val="20"/>
          <w:szCs w:val="20"/>
        </w:rPr>
        <w:t xml:space="preserve"> </w:t>
      </w:r>
      <w:r>
        <w:rPr>
          <w:spacing w:val="3"/>
          <w:sz w:val="20"/>
          <w:szCs w:val="20"/>
        </w:rPr>
        <w:t>调查列举出来，并依照矩阵形式排列，然后用系统分析的思想，把各种因素相互匹配起来加以</w:t>
      </w:r>
      <w:r>
        <w:rPr>
          <w:spacing w:val="4"/>
          <w:sz w:val="20"/>
          <w:szCs w:val="20"/>
        </w:rPr>
        <w:t xml:space="preserve"> </w:t>
      </w:r>
      <w:r>
        <w:rPr>
          <w:spacing w:val="-2"/>
          <w:sz w:val="20"/>
          <w:szCs w:val="20"/>
        </w:rPr>
        <w:t>分析，从中得出一系列相应的结论，从而更全面地考虑风险。</w:t>
      </w:r>
    </w:p>
    <w:p w14:paraId="0CF5C355">
      <w:pPr>
        <w:pStyle w:val="2"/>
        <w:spacing w:before="19" w:line="300" w:lineRule="auto"/>
        <w:ind w:left="340" w:right="102" w:firstLine="419"/>
        <w:rPr>
          <w:sz w:val="20"/>
          <w:szCs w:val="20"/>
        </w:rPr>
      </w:pPr>
      <w:r>
        <w:rPr>
          <w:rFonts w:ascii="Times New Roman" w:hAnsi="Times New Roman" w:eastAsia="Times New Roman" w:cs="Times New Roman"/>
          <w:sz w:val="20"/>
          <w:szCs w:val="20"/>
        </w:rPr>
        <w:t>SWOT</w:t>
      </w:r>
      <w:r>
        <w:rPr>
          <w:rFonts w:ascii="Times New Roman" w:hAnsi="Times New Roman" w:eastAsia="Times New Roman" w:cs="Times New Roman"/>
          <w:spacing w:val="-14"/>
          <w:sz w:val="20"/>
          <w:szCs w:val="20"/>
        </w:rPr>
        <w:t xml:space="preserve"> </w:t>
      </w:r>
      <w:r>
        <w:rPr>
          <w:spacing w:val="3"/>
          <w:sz w:val="20"/>
          <w:szCs w:val="20"/>
        </w:rPr>
        <w:t>分析除了用来识别风险，也可以用来考察项目的优</w:t>
      </w:r>
      <w:r>
        <w:rPr>
          <w:spacing w:val="2"/>
          <w:sz w:val="20"/>
          <w:szCs w:val="20"/>
        </w:rPr>
        <w:t>势可以抵消威胁的程度，以及机</w:t>
      </w:r>
      <w:r>
        <w:rPr>
          <w:sz w:val="20"/>
          <w:szCs w:val="20"/>
        </w:rPr>
        <w:t xml:space="preserve"> </w:t>
      </w:r>
      <w:r>
        <w:rPr>
          <w:spacing w:val="-3"/>
          <w:sz w:val="20"/>
          <w:szCs w:val="20"/>
        </w:rPr>
        <w:t>会可以克服劣势的程度。</w:t>
      </w:r>
    </w:p>
    <w:p w14:paraId="4F2266EC">
      <w:pPr>
        <w:spacing w:before="76" w:line="224" w:lineRule="auto"/>
        <w:ind w:left="759"/>
        <w:rPr>
          <w:rFonts w:ascii="楷体" w:hAnsi="楷体" w:eastAsia="楷体" w:cs="楷体"/>
          <w:sz w:val="20"/>
          <w:szCs w:val="20"/>
        </w:rPr>
      </w:pPr>
      <w:r>
        <w:rPr>
          <w:rFonts w:ascii="楷体" w:hAnsi="楷体" w:eastAsia="楷体" w:cs="楷体"/>
          <w:spacing w:val="13"/>
          <w:sz w:val="20"/>
          <w:szCs w:val="20"/>
        </w:rPr>
        <w:t>9)决策树分析</w:t>
      </w:r>
    </w:p>
    <w:p w14:paraId="5AF3CB1D">
      <w:pPr>
        <w:pStyle w:val="2"/>
        <w:spacing w:before="89" w:line="280" w:lineRule="auto"/>
        <w:ind w:left="340" w:right="50" w:firstLine="419"/>
        <w:rPr>
          <w:sz w:val="20"/>
          <w:szCs w:val="20"/>
        </w:rPr>
      </w:pPr>
      <w:r>
        <w:rPr>
          <w:spacing w:val="8"/>
          <w:sz w:val="20"/>
          <w:szCs w:val="20"/>
        </w:rPr>
        <w:t>决策树分析法是一种运用概率与(图论中的)树对决策中的不同方案进行比较，从而获得</w:t>
      </w:r>
      <w:r>
        <w:rPr>
          <w:spacing w:val="5"/>
          <w:sz w:val="20"/>
          <w:szCs w:val="20"/>
        </w:rPr>
        <w:t xml:space="preserve"> </w:t>
      </w:r>
      <w:r>
        <w:rPr>
          <w:spacing w:val="3"/>
          <w:sz w:val="20"/>
          <w:szCs w:val="20"/>
        </w:rPr>
        <w:t>最优方案的风险型决策方法。决策树以序列方式表示决策的选择和结果，并用</w:t>
      </w:r>
      <w:r>
        <w:rPr>
          <w:spacing w:val="2"/>
          <w:sz w:val="20"/>
          <w:szCs w:val="20"/>
        </w:rPr>
        <w:t>树形图的形式进</w:t>
      </w:r>
      <w:r>
        <w:rPr>
          <w:sz w:val="20"/>
          <w:szCs w:val="20"/>
        </w:rPr>
        <w:t xml:space="preserve"> </w:t>
      </w:r>
      <w:r>
        <w:rPr>
          <w:spacing w:val="4"/>
          <w:sz w:val="20"/>
          <w:szCs w:val="20"/>
        </w:rPr>
        <w:t>行表示。决策树开始于初因事项或是最初决策，考虑随后可能发生的事项及可能做出的决策，</w:t>
      </w:r>
      <w:r>
        <w:rPr>
          <w:spacing w:val="5"/>
          <w:sz w:val="20"/>
          <w:szCs w:val="20"/>
        </w:rPr>
        <w:t xml:space="preserve"> </w:t>
      </w:r>
      <w:r>
        <w:rPr>
          <w:spacing w:val="-3"/>
          <w:sz w:val="20"/>
          <w:szCs w:val="20"/>
        </w:rPr>
        <w:t>它需要对不同路径和结果进行分析。</w:t>
      </w:r>
    </w:p>
    <w:p w14:paraId="654209B4">
      <w:pPr>
        <w:pStyle w:val="2"/>
        <w:spacing w:before="9" w:line="309" w:lineRule="auto"/>
        <w:ind w:left="340" w:firstLine="419"/>
        <w:rPr>
          <w:sz w:val="20"/>
          <w:szCs w:val="20"/>
        </w:rPr>
      </w:pPr>
      <w:r>
        <w:rPr>
          <w:spacing w:val="5"/>
          <w:sz w:val="20"/>
          <w:szCs w:val="20"/>
        </w:rPr>
        <w:t>决策树可用于项目风险管理，以便在不确定的情况下选择最佳的行动步骤。图形显示也有</w:t>
      </w:r>
      <w:r>
        <w:rPr>
          <w:spacing w:val="4"/>
          <w:sz w:val="20"/>
          <w:szCs w:val="20"/>
        </w:rPr>
        <w:t xml:space="preserve"> </w:t>
      </w:r>
      <w:r>
        <w:rPr>
          <w:spacing w:val="-3"/>
          <w:sz w:val="20"/>
          <w:szCs w:val="20"/>
        </w:rPr>
        <w:t>助于决策依据的快速沟通。</w:t>
      </w:r>
    </w:p>
    <w:p w14:paraId="20F5373E">
      <w:pPr>
        <w:spacing w:before="58" w:line="225" w:lineRule="auto"/>
        <w:ind w:left="759"/>
        <w:rPr>
          <w:rFonts w:ascii="楷体" w:hAnsi="楷体" w:eastAsia="楷体" w:cs="楷体"/>
          <w:sz w:val="20"/>
          <w:szCs w:val="20"/>
        </w:rPr>
      </w:pPr>
      <w:r>
        <w:rPr>
          <w:rFonts w:ascii="楷体" w:hAnsi="楷体" w:eastAsia="楷体" w:cs="楷体"/>
          <w:spacing w:val="10"/>
          <w:sz w:val="20"/>
          <w:szCs w:val="20"/>
        </w:rPr>
        <w:t>10)蒙特卡罗模拟</w:t>
      </w:r>
    </w:p>
    <w:p w14:paraId="2DB7766B">
      <w:pPr>
        <w:pStyle w:val="2"/>
        <w:spacing w:before="67" w:line="281" w:lineRule="auto"/>
        <w:ind w:left="340" w:right="91" w:firstLine="419"/>
        <w:rPr>
          <w:sz w:val="20"/>
          <w:szCs w:val="20"/>
        </w:rPr>
      </w:pPr>
      <w:r>
        <w:rPr>
          <w:spacing w:val="8"/>
          <w:sz w:val="20"/>
          <w:szCs w:val="20"/>
        </w:rPr>
        <w:t>蒙特卡罗模拟法又称随机模拟法，该方法的主要思路</w:t>
      </w:r>
      <w:r>
        <w:rPr>
          <w:spacing w:val="7"/>
          <w:sz w:val="20"/>
          <w:szCs w:val="20"/>
        </w:rPr>
        <w:t>是(按照概率定义)某事件发生的概</w:t>
      </w:r>
      <w:r>
        <w:rPr>
          <w:sz w:val="20"/>
          <w:szCs w:val="20"/>
        </w:rPr>
        <w:t xml:space="preserve"> </w:t>
      </w:r>
      <w:r>
        <w:rPr>
          <w:spacing w:val="3"/>
          <w:sz w:val="20"/>
          <w:szCs w:val="20"/>
        </w:rPr>
        <w:t>率可以用大量试验中该事件发生的频率估算。因此，可以先对影响其失事概率的随机</w:t>
      </w:r>
      <w:r>
        <w:rPr>
          <w:spacing w:val="2"/>
          <w:sz w:val="20"/>
          <w:szCs w:val="20"/>
        </w:rPr>
        <w:t>变量进行</w:t>
      </w:r>
      <w:r>
        <w:rPr>
          <w:sz w:val="20"/>
          <w:szCs w:val="20"/>
        </w:rPr>
        <w:t xml:space="preserve"> </w:t>
      </w:r>
      <w:r>
        <w:rPr>
          <w:spacing w:val="3"/>
          <w:sz w:val="20"/>
          <w:szCs w:val="20"/>
        </w:rPr>
        <w:t>大量随机抽样，获得各变量的随机数，然后将这些抽样值一组一组地代入功能函数式，确定系</w:t>
      </w:r>
      <w:r>
        <w:rPr>
          <w:spacing w:val="5"/>
          <w:sz w:val="20"/>
          <w:szCs w:val="20"/>
        </w:rPr>
        <w:t xml:space="preserve"> </w:t>
      </w:r>
      <w:r>
        <w:rPr>
          <w:spacing w:val="3"/>
          <w:sz w:val="20"/>
          <w:szCs w:val="20"/>
        </w:rPr>
        <w:t>统失效与否，统计失效次数，并计算出失效次数与总抽样次数的比值，此值即</w:t>
      </w:r>
      <w:r>
        <w:rPr>
          <w:spacing w:val="2"/>
          <w:sz w:val="20"/>
          <w:szCs w:val="20"/>
        </w:rPr>
        <w:t>为所求的失事概</w:t>
      </w:r>
      <w:r>
        <w:rPr>
          <w:sz w:val="20"/>
          <w:szCs w:val="20"/>
        </w:rPr>
        <w:t xml:space="preserve"> </w:t>
      </w:r>
      <w:r>
        <w:rPr>
          <w:spacing w:val="-2"/>
          <w:sz w:val="20"/>
          <w:szCs w:val="20"/>
        </w:rPr>
        <w:t>率。该方法的处理手段是计算机模拟与仿真。</w:t>
      </w:r>
    </w:p>
    <w:p w14:paraId="54D02C56">
      <w:pPr>
        <w:pStyle w:val="2"/>
        <w:spacing w:before="78" w:line="277" w:lineRule="auto"/>
        <w:ind w:left="340" w:right="10" w:firstLine="419"/>
        <w:jc w:val="both"/>
        <w:rPr>
          <w:sz w:val="20"/>
          <w:szCs w:val="20"/>
        </w:rPr>
      </w:pPr>
      <w:r>
        <w:rPr>
          <w:spacing w:val="3"/>
          <w:sz w:val="20"/>
          <w:szCs w:val="20"/>
        </w:rPr>
        <w:t>蒙特卡罗模拟通常用来评估各种可能结果的分布及值的频率，例如成本、周期、需求及类</w:t>
      </w:r>
      <w:r>
        <w:rPr>
          <w:sz w:val="20"/>
          <w:szCs w:val="20"/>
        </w:rPr>
        <w:t xml:space="preserve"> </w:t>
      </w:r>
      <w:r>
        <w:rPr>
          <w:spacing w:val="5"/>
          <w:sz w:val="20"/>
          <w:szCs w:val="20"/>
        </w:rPr>
        <w:t>似的定量指标，其应用范围包括财务预测、投资效益、项目成本及进度预测、业务过程中断、</w:t>
      </w:r>
      <w:r>
        <w:rPr>
          <w:spacing w:val="3"/>
          <w:sz w:val="20"/>
          <w:szCs w:val="20"/>
        </w:rPr>
        <w:t xml:space="preserve"> </w:t>
      </w:r>
      <w:r>
        <w:rPr>
          <w:spacing w:val="-5"/>
          <w:sz w:val="20"/>
          <w:szCs w:val="20"/>
        </w:rPr>
        <w:t>人员需求等领域的风险评估。</w:t>
      </w:r>
    </w:p>
    <w:p w14:paraId="3C559C00">
      <w:pPr>
        <w:spacing w:before="110" w:line="226" w:lineRule="auto"/>
        <w:ind w:left="759"/>
        <w:rPr>
          <w:rFonts w:ascii="楷体" w:hAnsi="楷体" w:eastAsia="楷体" w:cs="楷体"/>
          <w:sz w:val="20"/>
          <w:szCs w:val="20"/>
        </w:rPr>
      </w:pPr>
      <w:r>
        <w:rPr>
          <w:rFonts w:ascii="楷体" w:hAnsi="楷体" w:eastAsia="楷体" w:cs="楷体"/>
          <w:spacing w:val="7"/>
          <w:sz w:val="20"/>
          <w:szCs w:val="20"/>
        </w:rPr>
        <w:t>11)敏感性分析</w:t>
      </w:r>
    </w:p>
    <w:p w14:paraId="017A72A4">
      <w:pPr>
        <w:pStyle w:val="2"/>
        <w:spacing w:before="67" w:line="279" w:lineRule="auto"/>
        <w:ind w:left="340" w:right="30" w:firstLine="419"/>
        <w:rPr>
          <w:sz w:val="20"/>
          <w:szCs w:val="20"/>
        </w:rPr>
      </w:pPr>
      <w:r>
        <w:rPr>
          <w:spacing w:val="-1"/>
          <w:sz w:val="20"/>
          <w:szCs w:val="20"/>
        </w:rPr>
        <w:t>敏感性分析也被称为灵敏度分析，广泛用于分析各领域模型的变量对模型输出的影响程度，</w:t>
      </w:r>
      <w:r>
        <w:rPr>
          <w:spacing w:val="9"/>
          <w:sz w:val="20"/>
          <w:szCs w:val="20"/>
        </w:rPr>
        <w:t xml:space="preserve"> </w:t>
      </w:r>
      <w:r>
        <w:rPr>
          <w:spacing w:val="3"/>
          <w:sz w:val="20"/>
          <w:szCs w:val="20"/>
        </w:rPr>
        <w:t>帮助确定重要及不重要的变量。敏感性分析用以考察工程项目要素的不确定性</w:t>
      </w:r>
      <w:r>
        <w:rPr>
          <w:spacing w:val="2"/>
          <w:sz w:val="20"/>
          <w:szCs w:val="20"/>
        </w:rPr>
        <w:t>对目标的影响程</w:t>
      </w:r>
      <w:r>
        <w:rPr>
          <w:sz w:val="20"/>
          <w:szCs w:val="20"/>
        </w:rPr>
        <w:t xml:space="preserve"> </w:t>
      </w:r>
      <w:r>
        <w:rPr>
          <w:spacing w:val="3"/>
          <w:sz w:val="20"/>
          <w:szCs w:val="20"/>
        </w:rPr>
        <w:t>度，并确认项目对各种风险的承受能力，从而实现风险影响后果的量化。进行敏感性</w:t>
      </w:r>
      <w:r>
        <w:rPr>
          <w:spacing w:val="2"/>
          <w:sz w:val="20"/>
          <w:szCs w:val="20"/>
        </w:rPr>
        <w:t>分析主要</w:t>
      </w:r>
      <w:r>
        <w:rPr>
          <w:sz w:val="20"/>
          <w:szCs w:val="20"/>
        </w:rPr>
        <w:t xml:space="preserve"> </w:t>
      </w:r>
      <w:r>
        <w:rPr>
          <w:spacing w:val="-4"/>
          <w:sz w:val="20"/>
          <w:szCs w:val="20"/>
        </w:rPr>
        <w:t>依据数理统计方法。</w:t>
      </w:r>
    </w:p>
    <w:p w14:paraId="5BC997CA">
      <w:pPr>
        <w:pStyle w:val="2"/>
        <w:spacing w:before="40" w:line="313" w:lineRule="auto"/>
        <w:ind w:left="340" w:right="101" w:firstLine="419"/>
        <w:rPr>
          <w:sz w:val="16"/>
          <w:szCs w:val="16"/>
        </w:rPr>
      </w:pPr>
      <w:r>
        <w:rPr>
          <w:spacing w:val="3"/>
          <w:sz w:val="20"/>
          <w:szCs w:val="20"/>
        </w:rPr>
        <w:t>敏感性分析能够帮助风险管理人员精准地确定</w:t>
      </w:r>
      <w:r>
        <w:rPr>
          <w:spacing w:val="2"/>
          <w:sz w:val="20"/>
          <w:szCs w:val="20"/>
        </w:rPr>
        <w:t>风险的影响程度，确定敏感性因素和不敏感</w:t>
      </w:r>
      <w:r>
        <w:rPr>
          <w:sz w:val="20"/>
          <w:szCs w:val="20"/>
        </w:rPr>
        <w:t xml:space="preserve"> </w:t>
      </w:r>
      <w:r>
        <w:rPr>
          <w:spacing w:val="-9"/>
          <w:sz w:val="16"/>
          <w:szCs w:val="16"/>
        </w:rPr>
        <w:t>因</w:t>
      </w:r>
      <w:r>
        <w:rPr>
          <w:spacing w:val="-11"/>
          <w:sz w:val="16"/>
          <w:szCs w:val="16"/>
        </w:rPr>
        <w:t xml:space="preserve"> </w:t>
      </w:r>
      <w:r>
        <w:rPr>
          <w:spacing w:val="-9"/>
          <w:sz w:val="16"/>
          <w:szCs w:val="16"/>
        </w:rPr>
        <w:t>素</w:t>
      </w:r>
      <w:r>
        <w:rPr>
          <w:spacing w:val="-19"/>
          <w:sz w:val="16"/>
          <w:szCs w:val="16"/>
        </w:rPr>
        <w:t xml:space="preserve"> </w:t>
      </w:r>
      <w:r>
        <w:rPr>
          <w:spacing w:val="-9"/>
          <w:sz w:val="16"/>
          <w:szCs w:val="16"/>
        </w:rPr>
        <w:t>。</w:t>
      </w:r>
    </w:p>
    <w:p w14:paraId="56D08440">
      <w:pPr>
        <w:spacing w:line="313" w:lineRule="auto"/>
        <w:rPr>
          <w:sz w:val="16"/>
          <w:szCs w:val="16"/>
        </w:rPr>
        <w:sectPr>
          <w:pgSz w:w="10300" w:h="13450"/>
          <w:pgMar w:top="400" w:right="1009" w:bottom="400" w:left="530" w:header="0" w:footer="0" w:gutter="0"/>
          <w:cols w:space="720" w:num="1"/>
        </w:sectPr>
      </w:pPr>
    </w:p>
    <w:p w14:paraId="044A37A2">
      <w:pPr>
        <w:spacing w:line="250" w:lineRule="auto"/>
        <w:rPr>
          <w:rFonts w:ascii="Arial"/>
          <w:sz w:val="21"/>
        </w:rPr>
      </w:pPr>
    </w:p>
    <w:p w14:paraId="572C50D9">
      <w:pPr>
        <w:spacing w:line="250" w:lineRule="auto"/>
        <w:rPr>
          <w:rFonts w:ascii="Arial"/>
          <w:sz w:val="21"/>
        </w:rPr>
      </w:pPr>
    </w:p>
    <w:p w14:paraId="65F84B54">
      <w:pPr>
        <w:spacing w:line="251" w:lineRule="auto"/>
        <w:rPr>
          <w:rFonts w:ascii="Arial"/>
          <w:sz w:val="21"/>
        </w:rPr>
      </w:pPr>
    </w:p>
    <w:p w14:paraId="6EB72195">
      <w:pPr>
        <w:spacing w:before="133" w:line="235" w:lineRule="auto"/>
        <w:rPr>
          <w:sz w:val="41"/>
          <w:szCs w:val="41"/>
        </w:rPr>
      </w:pPr>
      <w:r>
        <w:rPr>
          <w:rFonts w:ascii="黑体" w:hAnsi="黑体" w:eastAsia="黑体" w:cs="黑体"/>
          <w:color w:val="006BE6"/>
          <w:position w:val="-3"/>
          <w:sz w:val="41"/>
          <w:szCs w:val="41"/>
        </w:rPr>
        <w:drawing>
          <wp:inline distT="0" distB="0" distL="0" distR="0">
            <wp:extent cx="641350" cy="266700"/>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272"/>
                    <a:stretch>
                      <a:fillRect/>
                    </a:stretch>
                  </pic:blipFill>
                  <pic:spPr>
                    <a:xfrm>
                      <a:off x="0" y="0"/>
                      <a:ext cx="641392" cy="266708"/>
                    </a:xfrm>
                    <a:prstGeom prst="rect">
                      <a:avLst/>
                    </a:prstGeom>
                  </pic:spPr>
                </pic:pic>
              </a:graphicData>
            </a:graphic>
          </wp:inline>
        </w:drawing>
      </w:r>
      <w:r>
        <w:rPr>
          <w:rFonts w:ascii="黑体" w:hAnsi="黑体" w:eastAsia="黑体" w:cs="黑体"/>
          <w:color w:val="006BE6"/>
          <w:spacing w:val="9"/>
          <w:sz w:val="41"/>
          <w:szCs w:val="41"/>
        </w:rPr>
        <w:t xml:space="preserve">     </w:t>
      </w:r>
      <w:r>
        <w:rPr>
          <w:rFonts w:ascii="黑体" w:hAnsi="黑体" w:eastAsia="黑体" w:cs="黑体"/>
          <w:b/>
          <w:bCs/>
          <w:color w:val="006BE6"/>
          <w:spacing w:val="6"/>
          <w:sz w:val="41"/>
          <w:szCs w:val="41"/>
        </w:rPr>
        <w:t>第19章</w:t>
      </w:r>
      <w:r>
        <w:rPr>
          <w:rFonts w:ascii="黑体" w:hAnsi="黑体" w:eastAsia="黑体" w:cs="黑体"/>
          <w:color w:val="006BE6"/>
          <w:spacing w:val="193"/>
          <w:sz w:val="41"/>
          <w:szCs w:val="41"/>
        </w:rPr>
        <w:t xml:space="preserve"> </w:t>
      </w:r>
      <w:r>
        <w:rPr>
          <w:rFonts w:ascii="黑体" w:hAnsi="黑体" w:eastAsia="黑体" w:cs="黑体"/>
          <w:b/>
          <w:bCs/>
          <w:color w:val="006BE6"/>
          <w:spacing w:val="6"/>
          <w:sz w:val="41"/>
          <w:szCs w:val="41"/>
        </w:rPr>
        <w:t>监理支撑要素</w:t>
      </w:r>
      <w:r>
        <w:rPr>
          <w:rFonts w:ascii="黑体" w:hAnsi="黑体" w:eastAsia="黑体" w:cs="黑体"/>
          <w:color w:val="006BE6"/>
          <w:spacing w:val="4"/>
          <w:sz w:val="41"/>
          <w:szCs w:val="41"/>
        </w:rPr>
        <w:t xml:space="preserve">     </w:t>
      </w:r>
      <w:r>
        <w:rPr>
          <w:position w:val="-4"/>
          <w:sz w:val="41"/>
          <w:szCs w:val="41"/>
        </w:rPr>
        <w:drawing>
          <wp:inline distT="0" distB="0" distL="0" distR="0">
            <wp:extent cx="628650" cy="266700"/>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273"/>
                    <a:stretch>
                      <a:fillRect/>
                    </a:stretch>
                  </pic:blipFill>
                  <pic:spPr>
                    <a:xfrm>
                      <a:off x="0" y="0"/>
                      <a:ext cx="628650" cy="266709"/>
                    </a:xfrm>
                    <a:prstGeom prst="rect">
                      <a:avLst/>
                    </a:prstGeom>
                  </pic:spPr>
                </pic:pic>
              </a:graphicData>
            </a:graphic>
          </wp:inline>
        </w:drawing>
      </w:r>
    </w:p>
    <w:p w14:paraId="7589E515">
      <w:pPr>
        <w:spacing w:line="344" w:lineRule="auto"/>
        <w:rPr>
          <w:rFonts w:ascii="Arial"/>
          <w:sz w:val="21"/>
        </w:rPr>
      </w:pPr>
    </w:p>
    <w:p w14:paraId="3358B3BC">
      <w:pPr>
        <w:spacing w:line="344" w:lineRule="auto"/>
        <w:rPr>
          <w:rFonts w:ascii="Arial"/>
          <w:sz w:val="21"/>
        </w:rPr>
      </w:pPr>
    </w:p>
    <w:p w14:paraId="1005F057">
      <w:pPr>
        <w:pStyle w:val="2"/>
        <w:spacing w:before="62" w:line="297" w:lineRule="auto"/>
        <w:ind w:left="9" w:right="83" w:firstLine="420"/>
        <w:jc w:val="both"/>
        <w:rPr>
          <w:sz w:val="19"/>
          <w:szCs w:val="19"/>
        </w:rPr>
      </w:pPr>
      <w:r>
        <w:rPr>
          <w:spacing w:val="13"/>
          <w:sz w:val="19"/>
          <w:szCs w:val="19"/>
        </w:rPr>
        <w:t>监理支撑要素包括监理法规及管理文件、监理及相关服务合同、</w:t>
      </w:r>
      <w:r>
        <w:rPr>
          <w:spacing w:val="12"/>
          <w:sz w:val="19"/>
          <w:szCs w:val="19"/>
        </w:rPr>
        <w:t>监理及相关服务能力。监</w:t>
      </w:r>
      <w:r>
        <w:rPr>
          <w:sz w:val="19"/>
          <w:szCs w:val="19"/>
        </w:rPr>
        <w:t xml:space="preserve"> </w:t>
      </w:r>
      <w:r>
        <w:rPr>
          <w:spacing w:val="13"/>
          <w:sz w:val="19"/>
          <w:szCs w:val="19"/>
        </w:rPr>
        <w:t>理法规及管理文件是监理单位必须满足和实现的基本项。监理及相关服务应遵守监理有关法规</w:t>
      </w:r>
      <w:r>
        <w:rPr>
          <w:spacing w:val="4"/>
          <w:sz w:val="19"/>
          <w:szCs w:val="19"/>
        </w:rPr>
        <w:t xml:space="preserve"> </w:t>
      </w:r>
      <w:r>
        <w:rPr>
          <w:spacing w:val="13"/>
          <w:sz w:val="19"/>
          <w:szCs w:val="19"/>
        </w:rPr>
        <w:t>文件的规定，包括合同、法律、法规、标准、管理文件等的要求。信息化标准规范为信息系统</w:t>
      </w:r>
      <w:r>
        <w:rPr>
          <w:spacing w:val="5"/>
          <w:sz w:val="19"/>
          <w:szCs w:val="19"/>
        </w:rPr>
        <w:t xml:space="preserve"> </w:t>
      </w:r>
      <w:r>
        <w:rPr>
          <w:spacing w:val="13"/>
          <w:sz w:val="19"/>
          <w:szCs w:val="19"/>
        </w:rPr>
        <w:t>建设和运行等提供参考依据、规范要求。监理合同是监理单位进行监理及相关服务的法律性依</w:t>
      </w:r>
      <w:r>
        <w:rPr>
          <w:spacing w:val="7"/>
          <w:sz w:val="19"/>
          <w:szCs w:val="19"/>
        </w:rPr>
        <w:t xml:space="preserve"> </w:t>
      </w:r>
      <w:r>
        <w:rPr>
          <w:spacing w:val="13"/>
          <w:sz w:val="19"/>
          <w:szCs w:val="19"/>
        </w:rPr>
        <w:t>据。监理单位应根据监理及相关服务范围，在人员、技术、资源、流程等四个方面，建立和完</w:t>
      </w:r>
      <w:r>
        <w:rPr>
          <w:spacing w:val="5"/>
          <w:sz w:val="19"/>
          <w:szCs w:val="19"/>
        </w:rPr>
        <w:t xml:space="preserve"> 善服务能力体系。</w:t>
      </w:r>
    </w:p>
    <w:p w14:paraId="76B7C90C">
      <w:pPr>
        <w:spacing w:line="291" w:lineRule="auto"/>
        <w:rPr>
          <w:rFonts w:ascii="Arial"/>
          <w:sz w:val="21"/>
        </w:rPr>
      </w:pPr>
    </w:p>
    <w:p w14:paraId="04735C7D">
      <w:pPr>
        <w:pStyle w:val="2"/>
        <w:spacing w:before="94" w:line="222" w:lineRule="auto"/>
        <w:ind w:left="13"/>
        <w:rPr>
          <w:rFonts w:ascii="黑体" w:hAnsi="黑体" w:eastAsia="黑体" w:cs="黑体"/>
          <w:sz w:val="29"/>
          <w:szCs w:val="29"/>
        </w:rPr>
      </w:pPr>
      <w:r>
        <w:rPr>
          <w:b/>
          <w:bCs/>
          <w:color w:val="0074DB"/>
          <w:spacing w:val="-17"/>
          <w:sz w:val="29"/>
          <w:szCs w:val="29"/>
        </w:rPr>
        <w:t>19.1</w:t>
      </w:r>
      <w:r>
        <w:rPr>
          <w:color w:val="0074DB"/>
          <w:spacing w:val="10"/>
          <w:sz w:val="29"/>
          <w:szCs w:val="29"/>
        </w:rPr>
        <w:t xml:space="preserve">  </w:t>
      </w:r>
      <w:r>
        <w:rPr>
          <w:rFonts w:ascii="黑体" w:hAnsi="黑体" w:eastAsia="黑体" w:cs="黑体"/>
          <w:b/>
          <w:bCs/>
          <w:color w:val="0074DB"/>
          <w:spacing w:val="-17"/>
          <w:sz w:val="29"/>
          <w:szCs w:val="29"/>
        </w:rPr>
        <w:t>法律法规</w:t>
      </w:r>
    </w:p>
    <w:p w14:paraId="36B9AA54">
      <w:pPr>
        <w:pStyle w:val="2"/>
        <w:spacing w:before="290" w:line="282" w:lineRule="auto"/>
        <w:ind w:left="9" w:right="87" w:firstLine="420"/>
        <w:rPr>
          <w:sz w:val="19"/>
          <w:szCs w:val="19"/>
        </w:rPr>
      </w:pPr>
      <w:r>
        <w:rPr>
          <w:spacing w:val="18"/>
          <w:sz w:val="19"/>
          <w:szCs w:val="19"/>
        </w:rPr>
        <w:t>本节介绍法律的基本概念、我国现行法律体系、诉讼时效以及信息系统工程常用的法律</w:t>
      </w:r>
      <w:r>
        <w:rPr>
          <w:spacing w:val="2"/>
          <w:sz w:val="19"/>
          <w:szCs w:val="19"/>
        </w:rPr>
        <w:t xml:space="preserve"> </w:t>
      </w:r>
      <w:r>
        <w:rPr>
          <w:spacing w:val="1"/>
          <w:sz w:val="19"/>
          <w:szCs w:val="19"/>
        </w:rPr>
        <w:t>法规。</w:t>
      </w:r>
    </w:p>
    <w:p w14:paraId="3AE99684">
      <w:pPr>
        <w:pStyle w:val="2"/>
        <w:spacing w:before="178" w:line="219" w:lineRule="auto"/>
        <w:ind w:left="12"/>
        <w:rPr>
          <w:sz w:val="25"/>
          <w:szCs w:val="25"/>
        </w:rPr>
      </w:pPr>
      <w:r>
        <w:rPr>
          <w:b/>
          <w:bCs/>
          <w:color w:val="0074DA"/>
          <w:spacing w:val="-18"/>
          <w:sz w:val="25"/>
          <w:szCs w:val="25"/>
        </w:rPr>
        <w:t>19.1.1</w:t>
      </w:r>
      <w:r>
        <w:rPr>
          <w:color w:val="0074DA"/>
          <w:spacing w:val="-18"/>
          <w:sz w:val="25"/>
          <w:szCs w:val="25"/>
        </w:rPr>
        <w:t xml:space="preserve">  </w:t>
      </w:r>
      <w:r>
        <w:rPr>
          <w:b/>
          <w:bCs/>
          <w:color w:val="0074DA"/>
          <w:spacing w:val="-18"/>
          <w:sz w:val="25"/>
          <w:szCs w:val="25"/>
        </w:rPr>
        <w:t>法律的基本概念</w:t>
      </w:r>
    </w:p>
    <w:p w14:paraId="1BC368A8">
      <w:pPr>
        <w:pStyle w:val="2"/>
        <w:spacing w:before="184" w:line="293" w:lineRule="auto"/>
        <w:ind w:left="9" w:firstLine="420"/>
        <w:jc w:val="both"/>
        <w:rPr>
          <w:sz w:val="19"/>
          <w:szCs w:val="19"/>
        </w:rPr>
      </w:pPr>
      <w:r>
        <w:rPr>
          <w:spacing w:val="10"/>
          <w:sz w:val="19"/>
          <w:szCs w:val="19"/>
        </w:rPr>
        <w:t>狭义的法律是指拥有立法权的国家机关，依照一定的立法程序，制定和颁布</w:t>
      </w:r>
      <w:r>
        <w:rPr>
          <w:spacing w:val="9"/>
          <w:sz w:val="19"/>
          <w:szCs w:val="19"/>
        </w:rPr>
        <w:t>的规范性文件。</w:t>
      </w:r>
      <w:r>
        <w:rPr>
          <w:sz w:val="19"/>
          <w:szCs w:val="19"/>
        </w:rPr>
        <w:t xml:space="preserve"> </w:t>
      </w:r>
      <w:r>
        <w:rPr>
          <w:spacing w:val="13"/>
          <w:sz w:val="19"/>
          <w:szCs w:val="19"/>
        </w:rPr>
        <w:t>广义的法律是指法的整体，包括法律、有法律效力的解释及其行政机关为执行法律而制定的规</w:t>
      </w:r>
      <w:r>
        <w:rPr>
          <w:spacing w:val="2"/>
          <w:sz w:val="19"/>
          <w:szCs w:val="19"/>
        </w:rPr>
        <w:t xml:space="preserve">  </w:t>
      </w:r>
      <w:r>
        <w:rPr>
          <w:spacing w:val="5"/>
          <w:sz w:val="19"/>
          <w:szCs w:val="19"/>
        </w:rPr>
        <w:t>范性文件。</w:t>
      </w:r>
    </w:p>
    <w:p w14:paraId="2746A418">
      <w:pPr>
        <w:pStyle w:val="2"/>
        <w:spacing w:before="45" w:line="284" w:lineRule="auto"/>
        <w:ind w:left="9" w:right="19" w:firstLine="420"/>
        <w:jc w:val="both"/>
        <w:rPr>
          <w:sz w:val="19"/>
          <w:szCs w:val="19"/>
        </w:rPr>
      </w:pPr>
      <w:r>
        <w:rPr>
          <w:spacing w:val="6"/>
          <w:sz w:val="19"/>
          <w:szCs w:val="19"/>
        </w:rPr>
        <w:t>法律通常规定社会政治、经济和其他社会生活中最基本的社会关系或</w:t>
      </w:r>
      <w:r>
        <w:rPr>
          <w:spacing w:val="5"/>
          <w:sz w:val="19"/>
          <w:szCs w:val="19"/>
        </w:rPr>
        <w:t>行为准则。</w:t>
      </w:r>
      <w:r>
        <w:rPr>
          <w:spacing w:val="49"/>
          <w:sz w:val="19"/>
          <w:szCs w:val="19"/>
        </w:rPr>
        <w:t xml:space="preserve"> </w:t>
      </w:r>
      <w:r>
        <w:rPr>
          <w:spacing w:val="5"/>
          <w:sz w:val="19"/>
          <w:szCs w:val="19"/>
        </w:rPr>
        <w:t>一般来说，</w:t>
      </w:r>
      <w:r>
        <w:rPr>
          <w:sz w:val="19"/>
          <w:szCs w:val="19"/>
        </w:rPr>
        <w:t xml:space="preserve"> </w:t>
      </w:r>
      <w:r>
        <w:rPr>
          <w:spacing w:val="13"/>
          <w:sz w:val="19"/>
          <w:szCs w:val="19"/>
        </w:rPr>
        <w:t>法律的效力仅低于宪法，其他一切行政法规和地方性法规都不得与法律相抵触，凡有抵触，均</w:t>
      </w:r>
      <w:r>
        <w:rPr>
          <w:spacing w:val="8"/>
          <w:sz w:val="19"/>
          <w:szCs w:val="19"/>
        </w:rPr>
        <w:t xml:space="preserve"> </w:t>
      </w:r>
      <w:r>
        <w:rPr>
          <w:spacing w:val="6"/>
          <w:sz w:val="19"/>
          <w:szCs w:val="19"/>
        </w:rPr>
        <w:t>属无效。</w:t>
      </w:r>
    </w:p>
    <w:p w14:paraId="21F9ABC0">
      <w:pPr>
        <w:pStyle w:val="2"/>
        <w:spacing w:before="185" w:line="219" w:lineRule="auto"/>
        <w:ind w:left="12"/>
        <w:rPr>
          <w:sz w:val="25"/>
          <w:szCs w:val="25"/>
        </w:rPr>
      </w:pPr>
      <w:r>
        <w:rPr>
          <w:b/>
          <w:bCs/>
          <w:color w:val="0073E7"/>
          <w:spacing w:val="-17"/>
          <w:sz w:val="25"/>
          <w:szCs w:val="25"/>
        </w:rPr>
        <w:t>19.1.2</w:t>
      </w:r>
      <w:r>
        <w:rPr>
          <w:color w:val="0073E7"/>
          <w:spacing w:val="-17"/>
          <w:sz w:val="25"/>
          <w:szCs w:val="25"/>
        </w:rPr>
        <w:t xml:space="preserve">  </w:t>
      </w:r>
      <w:r>
        <w:rPr>
          <w:b/>
          <w:bCs/>
          <w:color w:val="0073E7"/>
          <w:spacing w:val="-17"/>
          <w:sz w:val="25"/>
          <w:szCs w:val="25"/>
        </w:rPr>
        <w:t>我国现行法律体系</w:t>
      </w:r>
    </w:p>
    <w:p w14:paraId="1E1674B8">
      <w:pPr>
        <w:pStyle w:val="2"/>
        <w:spacing w:before="183" w:line="296" w:lineRule="auto"/>
        <w:ind w:left="9" w:right="80" w:firstLine="420"/>
        <w:jc w:val="both"/>
        <w:rPr>
          <w:sz w:val="19"/>
          <w:szCs w:val="19"/>
        </w:rPr>
      </w:pPr>
      <w:r>
        <w:rPr>
          <w:spacing w:val="13"/>
          <w:sz w:val="19"/>
          <w:szCs w:val="19"/>
        </w:rPr>
        <w:t>我国现行的法律体系是以宪法为核心，以法律为主干，包括行政法规、地</w:t>
      </w:r>
      <w:r>
        <w:rPr>
          <w:spacing w:val="12"/>
          <w:sz w:val="19"/>
          <w:szCs w:val="19"/>
        </w:rPr>
        <w:t>方性法规等规范</w:t>
      </w:r>
      <w:r>
        <w:rPr>
          <w:sz w:val="19"/>
          <w:szCs w:val="19"/>
        </w:rPr>
        <w:t xml:space="preserve"> </w:t>
      </w:r>
      <w:r>
        <w:rPr>
          <w:spacing w:val="13"/>
          <w:sz w:val="19"/>
          <w:szCs w:val="19"/>
        </w:rPr>
        <w:t>性文件在内的，由七个法律部门、三个层次的法律规范构成的中国特色社会主义法律体系。我</w:t>
      </w:r>
      <w:r>
        <w:rPr>
          <w:spacing w:val="3"/>
          <w:sz w:val="19"/>
          <w:szCs w:val="19"/>
        </w:rPr>
        <w:t xml:space="preserve"> </w:t>
      </w:r>
      <w:r>
        <w:rPr>
          <w:spacing w:val="13"/>
          <w:sz w:val="19"/>
          <w:szCs w:val="19"/>
        </w:rPr>
        <w:t>国现行法律体系包括宪法及宪法相关法、民商法、行政</w:t>
      </w:r>
      <w:r>
        <w:rPr>
          <w:spacing w:val="12"/>
          <w:sz w:val="19"/>
          <w:szCs w:val="19"/>
        </w:rPr>
        <w:t>法、经济法、社会法、刑法、诉讼与非</w:t>
      </w:r>
      <w:r>
        <w:rPr>
          <w:sz w:val="19"/>
          <w:szCs w:val="19"/>
        </w:rPr>
        <w:t xml:space="preserve"> </w:t>
      </w:r>
      <w:r>
        <w:rPr>
          <w:spacing w:val="13"/>
          <w:sz w:val="19"/>
          <w:szCs w:val="19"/>
        </w:rPr>
        <w:t>诉讼程序法。在我国现行的法律体系中，国家制定了一系列关于信息系统工程建设项目相关的</w:t>
      </w:r>
      <w:r>
        <w:rPr>
          <w:spacing w:val="10"/>
          <w:sz w:val="19"/>
          <w:szCs w:val="19"/>
        </w:rPr>
        <w:t xml:space="preserve"> </w:t>
      </w:r>
      <w:r>
        <w:rPr>
          <w:spacing w:val="9"/>
          <w:sz w:val="19"/>
          <w:szCs w:val="19"/>
        </w:rPr>
        <w:t>法律法规及管理条例，用于规范项目中各要素的管理及活</w:t>
      </w:r>
      <w:r>
        <w:rPr>
          <w:spacing w:val="8"/>
          <w:sz w:val="19"/>
          <w:szCs w:val="19"/>
        </w:rPr>
        <w:t>动之间的关系的协调等。</w:t>
      </w:r>
    </w:p>
    <w:p w14:paraId="341AAE15">
      <w:pPr>
        <w:pStyle w:val="2"/>
        <w:spacing w:before="17" w:line="283" w:lineRule="auto"/>
        <w:ind w:left="9" w:right="86" w:firstLine="420"/>
        <w:jc w:val="both"/>
        <w:rPr>
          <w:sz w:val="19"/>
          <w:szCs w:val="19"/>
        </w:rPr>
      </w:pPr>
      <w:r>
        <w:rPr>
          <w:spacing w:val="13"/>
          <w:sz w:val="19"/>
          <w:szCs w:val="19"/>
        </w:rPr>
        <w:t>在我国现行法律体系框架下，在信息系统工程建设项目过程中，</w:t>
      </w:r>
      <w:r>
        <w:rPr>
          <w:spacing w:val="12"/>
          <w:sz w:val="19"/>
          <w:szCs w:val="19"/>
        </w:rPr>
        <w:t>监理可以参考的法律法规</w:t>
      </w:r>
      <w:r>
        <w:rPr>
          <w:sz w:val="19"/>
          <w:szCs w:val="19"/>
        </w:rPr>
        <w:t xml:space="preserve"> </w:t>
      </w:r>
      <w:r>
        <w:rPr>
          <w:spacing w:val="13"/>
          <w:sz w:val="19"/>
          <w:szCs w:val="19"/>
        </w:rPr>
        <w:t>包括：民法典(合同编)、招标投标法及实施条例、政府采购法、软件著</w:t>
      </w:r>
      <w:r>
        <w:rPr>
          <w:spacing w:val="12"/>
          <w:sz w:val="19"/>
          <w:szCs w:val="19"/>
        </w:rPr>
        <w:t>作权法、专利法、商标</w:t>
      </w:r>
      <w:r>
        <w:rPr>
          <w:sz w:val="19"/>
          <w:szCs w:val="19"/>
        </w:rPr>
        <w:t xml:space="preserve"> </w:t>
      </w:r>
      <w:r>
        <w:rPr>
          <w:spacing w:val="7"/>
          <w:sz w:val="19"/>
          <w:szCs w:val="19"/>
        </w:rPr>
        <w:t>法、标准化法，及安全相关的法律法规等。</w:t>
      </w:r>
    </w:p>
    <w:p w14:paraId="6D309024">
      <w:pPr>
        <w:pStyle w:val="2"/>
        <w:spacing w:before="187" w:line="220" w:lineRule="auto"/>
        <w:ind w:left="12"/>
        <w:rPr>
          <w:sz w:val="25"/>
          <w:szCs w:val="25"/>
        </w:rPr>
      </w:pPr>
      <w:r>
        <w:rPr>
          <w:b/>
          <w:bCs/>
          <w:color w:val="0074CD"/>
          <w:spacing w:val="-17"/>
          <w:sz w:val="25"/>
          <w:szCs w:val="25"/>
        </w:rPr>
        <w:t>19.1.3</w:t>
      </w:r>
      <w:r>
        <w:rPr>
          <w:color w:val="0074CD"/>
          <w:spacing w:val="-17"/>
          <w:sz w:val="25"/>
          <w:szCs w:val="25"/>
        </w:rPr>
        <w:t xml:space="preserve">  </w:t>
      </w:r>
      <w:r>
        <w:rPr>
          <w:b/>
          <w:bCs/>
          <w:color w:val="0074CD"/>
          <w:spacing w:val="-17"/>
          <w:sz w:val="25"/>
          <w:szCs w:val="25"/>
        </w:rPr>
        <w:t>诉讼时效</w:t>
      </w:r>
    </w:p>
    <w:p w14:paraId="549587EF">
      <w:pPr>
        <w:pStyle w:val="2"/>
        <w:spacing w:before="170" w:line="216" w:lineRule="auto"/>
        <w:ind w:left="430"/>
        <w:rPr>
          <w:sz w:val="19"/>
          <w:szCs w:val="19"/>
        </w:rPr>
      </w:pPr>
      <w:r>
        <w:rPr>
          <w:spacing w:val="10"/>
          <w:sz w:val="19"/>
          <w:szCs w:val="19"/>
        </w:rPr>
        <w:t>民事诉讼中称为诉讼时效。刑事诉讼中所称的“追诉</w:t>
      </w:r>
      <w:r>
        <w:rPr>
          <w:spacing w:val="9"/>
          <w:sz w:val="19"/>
          <w:szCs w:val="19"/>
        </w:rPr>
        <w:t>时效”,是指法律规定的对犯罪分子追</w:t>
      </w:r>
    </w:p>
    <w:p w14:paraId="059CA361">
      <w:pPr>
        <w:spacing w:line="216" w:lineRule="auto"/>
        <w:rPr>
          <w:sz w:val="19"/>
          <w:szCs w:val="19"/>
        </w:rPr>
        <w:sectPr>
          <w:pgSz w:w="10290" w:h="13300"/>
          <w:pgMar w:top="400" w:right="805" w:bottom="400" w:left="1059" w:header="0" w:footer="0" w:gutter="0"/>
          <w:cols w:space="720" w:num="1"/>
        </w:sectPr>
      </w:pPr>
    </w:p>
    <w:p w14:paraId="4FD2012F">
      <w:pPr>
        <w:pStyle w:val="2"/>
        <w:spacing w:before="38" w:line="219" w:lineRule="auto"/>
        <w:rPr>
          <w:sz w:val="20"/>
          <w:szCs w:val="20"/>
        </w:rPr>
      </w:pPr>
      <w:r>
        <w:rPr>
          <w:rFonts w:ascii="Times New Roman" w:hAnsi="Times New Roman" w:eastAsia="Times New Roman" w:cs="Times New Roman"/>
          <w:b/>
          <w:bCs/>
          <w:spacing w:val="-1"/>
          <w:position w:val="-5"/>
          <w:sz w:val="20"/>
          <w:szCs w:val="20"/>
        </w:rPr>
        <w:t>408</w:t>
      </w:r>
      <w:r>
        <w:rPr>
          <w:rFonts w:ascii="Times New Roman" w:hAnsi="Times New Roman" w:eastAsia="Times New Roman" w:cs="Times New Roman"/>
          <w:b/>
          <w:bCs/>
          <w:spacing w:val="3"/>
          <w:position w:val="-5"/>
          <w:sz w:val="20"/>
          <w:szCs w:val="20"/>
        </w:rPr>
        <w:t xml:space="preserve">             </w:t>
      </w:r>
      <w:r>
        <w:rPr>
          <w:spacing w:val="-1"/>
          <w:sz w:val="20"/>
          <w:szCs w:val="20"/>
        </w:rPr>
        <w:t>信息系统监理师教程(第2版)</w:t>
      </w:r>
    </w:p>
    <w:p w14:paraId="0D4DE5EC">
      <w:pPr>
        <w:spacing w:line="270" w:lineRule="auto"/>
        <w:rPr>
          <w:rFonts w:ascii="Arial"/>
          <w:sz w:val="21"/>
        </w:rPr>
      </w:pPr>
    </w:p>
    <w:p w14:paraId="695A71E3">
      <w:pPr>
        <w:pStyle w:val="2"/>
        <w:spacing w:before="65" w:line="302" w:lineRule="auto"/>
        <w:ind w:left="349"/>
        <w:rPr>
          <w:sz w:val="20"/>
          <w:szCs w:val="20"/>
        </w:rPr>
      </w:pPr>
      <w:r>
        <w:rPr>
          <w:sz w:val="20"/>
          <w:szCs w:val="20"/>
        </w:rPr>
        <w:t>究刑事责任的有效期限。超过追诉期限的，就不再追究刑事责任；已经追究的，应当撤销案</w:t>
      </w:r>
      <w:r>
        <w:rPr>
          <w:spacing w:val="-1"/>
          <w:sz w:val="20"/>
          <w:szCs w:val="20"/>
        </w:rPr>
        <w:t>件，</w:t>
      </w:r>
      <w:r>
        <w:rPr>
          <w:sz w:val="20"/>
          <w:szCs w:val="20"/>
        </w:rPr>
        <w:t xml:space="preserve"> </w:t>
      </w:r>
      <w:r>
        <w:rPr>
          <w:spacing w:val="-3"/>
          <w:sz w:val="20"/>
          <w:szCs w:val="20"/>
        </w:rPr>
        <w:t>或者不起诉，或者终止审理。</w:t>
      </w:r>
    </w:p>
    <w:p w14:paraId="69A95B6E">
      <w:pPr>
        <w:pStyle w:val="2"/>
        <w:spacing w:before="80" w:line="220" w:lineRule="auto"/>
        <w:ind w:left="762"/>
        <w:rPr>
          <w:rFonts w:ascii="黑体" w:hAnsi="黑体" w:eastAsia="黑体" w:cs="黑体"/>
          <w:sz w:val="20"/>
          <w:szCs w:val="20"/>
        </w:rPr>
      </w:pPr>
      <w:r>
        <w:rPr>
          <w:b/>
          <w:bCs/>
          <w:color w:val="0074C2"/>
          <w:spacing w:val="-1"/>
          <w:sz w:val="20"/>
          <w:szCs w:val="20"/>
        </w:rPr>
        <w:t>1.</w:t>
      </w:r>
      <w:r>
        <w:rPr>
          <w:rFonts w:ascii="黑体" w:hAnsi="黑体" w:eastAsia="黑体" w:cs="黑体"/>
          <w:b/>
          <w:bCs/>
          <w:color w:val="0074C2"/>
          <w:spacing w:val="-1"/>
          <w:sz w:val="20"/>
          <w:szCs w:val="20"/>
        </w:rPr>
        <w:t>民事诉讼时效</w:t>
      </w:r>
    </w:p>
    <w:p w14:paraId="537E89FC">
      <w:pPr>
        <w:pStyle w:val="2"/>
        <w:spacing w:before="156" w:line="282" w:lineRule="auto"/>
        <w:ind w:left="349" w:right="71" w:firstLine="409"/>
        <w:rPr>
          <w:sz w:val="20"/>
          <w:szCs w:val="20"/>
        </w:rPr>
      </w:pPr>
      <w:r>
        <w:rPr>
          <w:spacing w:val="3"/>
          <w:sz w:val="20"/>
          <w:szCs w:val="20"/>
        </w:rPr>
        <w:t>诉讼时效，是指民事诉讼中权利人请求人民法院保护自己的合法民事权益的法定期限。超</w:t>
      </w:r>
      <w:r>
        <w:rPr>
          <w:sz w:val="20"/>
          <w:szCs w:val="20"/>
        </w:rPr>
        <w:t xml:space="preserve"> </w:t>
      </w:r>
      <w:r>
        <w:rPr>
          <w:spacing w:val="-1"/>
          <w:sz w:val="20"/>
          <w:szCs w:val="20"/>
        </w:rPr>
        <w:t>过了诉讼时效，虽然可以提起诉讼，但所主张的权</w:t>
      </w:r>
      <w:r>
        <w:rPr>
          <w:spacing w:val="-2"/>
          <w:sz w:val="20"/>
          <w:szCs w:val="20"/>
        </w:rPr>
        <w:t>利不受法律保护。</w:t>
      </w:r>
    </w:p>
    <w:p w14:paraId="0E587F5D">
      <w:pPr>
        <w:pStyle w:val="2"/>
        <w:spacing w:before="18" w:line="289" w:lineRule="auto"/>
        <w:ind w:left="349" w:right="72" w:firstLine="409"/>
        <w:rPr>
          <w:sz w:val="20"/>
          <w:szCs w:val="20"/>
        </w:rPr>
      </w:pPr>
      <w:r>
        <w:rPr>
          <w:spacing w:val="5"/>
          <w:sz w:val="20"/>
          <w:szCs w:val="20"/>
        </w:rPr>
        <w:t>民法典第一编第188条规定：向人民法院请求保护民事权利的诉讼时效期间为三年。法律</w:t>
      </w:r>
      <w:r>
        <w:rPr>
          <w:spacing w:val="16"/>
          <w:sz w:val="20"/>
          <w:szCs w:val="20"/>
        </w:rPr>
        <w:t xml:space="preserve"> </w:t>
      </w:r>
      <w:r>
        <w:rPr>
          <w:spacing w:val="3"/>
          <w:sz w:val="20"/>
          <w:szCs w:val="20"/>
        </w:rPr>
        <w:t>另有规定的，依照其规定。诉讼时效期间自权利人知道或</w:t>
      </w:r>
      <w:r>
        <w:rPr>
          <w:spacing w:val="2"/>
          <w:sz w:val="20"/>
          <w:szCs w:val="20"/>
        </w:rPr>
        <w:t>者应当知道权利受到损害以及义务人</w:t>
      </w:r>
      <w:r>
        <w:rPr>
          <w:sz w:val="20"/>
          <w:szCs w:val="20"/>
        </w:rPr>
        <w:t xml:space="preserve"> </w:t>
      </w:r>
      <w:r>
        <w:rPr>
          <w:spacing w:val="3"/>
          <w:sz w:val="20"/>
          <w:szCs w:val="20"/>
        </w:rPr>
        <w:t>之日起计算。法律另有规定的，依照其规定。但是，自权</w:t>
      </w:r>
      <w:r>
        <w:rPr>
          <w:spacing w:val="2"/>
          <w:sz w:val="20"/>
          <w:szCs w:val="20"/>
        </w:rPr>
        <w:t>利受到损害之日起超过二十年的，人</w:t>
      </w:r>
      <w:r>
        <w:rPr>
          <w:sz w:val="20"/>
          <w:szCs w:val="20"/>
        </w:rPr>
        <w:t xml:space="preserve"> </w:t>
      </w:r>
      <w:r>
        <w:rPr>
          <w:spacing w:val="-2"/>
          <w:sz w:val="20"/>
          <w:szCs w:val="20"/>
        </w:rPr>
        <w:t>民法院不予保护，有特殊情况的，人民法院可以根据权利人的申请决定延长。</w:t>
      </w:r>
    </w:p>
    <w:p w14:paraId="4A6E26A6">
      <w:pPr>
        <w:pStyle w:val="2"/>
        <w:spacing w:before="114" w:line="220" w:lineRule="auto"/>
        <w:ind w:left="762"/>
        <w:rPr>
          <w:rFonts w:ascii="黑体" w:hAnsi="黑体" w:eastAsia="黑体" w:cs="黑体"/>
          <w:sz w:val="20"/>
          <w:szCs w:val="20"/>
        </w:rPr>
      </w:pPr>
      <w:r>
        <w:rPr>
          <w:b/>
          <w:bCs/>
          <w:color w:val="0087E1"/>
          <w:spacing w:val="-1"/>
          <w:sz w:val="20"/>
          <w:szCs w:val="20"/>
        </w:rPr>
        <w:t>2.</w:t>
      </w:r>
      <w:r>
        <w:rPr>
          <w:rFonts w:ascii="黑体" w:hAnsi="黑体" w:eastAsia="黑体" w:cs="黑体"/>
          <w:b/>
          <w:bCs/>
          <w:color w:val="0087E1"/>
          <w:spacing w:val="-1"/>
          <w:sz w:val="20"/>
          <w:szCs w:val="20"/>
        </w:rPr>
        <w:t>刑事追诉时效</w:t>
      </w:r>
    </w:p>
    <w:p w14:paraId="521F2C63">
      <w:pPr>
        <w:pStyle w:val="2"/>
        <w:spacing w:before="135" w:line="219" w:lineRule="auto"/>
        <w:ind w:left="659"/>
        <w:rPr>
          <w:sz w:val="20"/>
          <w:szCs w:val="20"/>
        </w:rPr>
      </w:pPr>
      <w:r>
        <w:rPr>
          <w:spacing w:val="1"/>
          <w:sz w:val="20"/>
          <w:szCs w:val="20"/>
        </w:rPr>
        <w:t>《中华人民共和国刑法》第87条规定，犯罪经过下列期限不再追究：</w:t>
      </w:r>
    </w:p>
    <w:p w14:paraId="5D8C3BED">
      <w:pPr>
        <w:pStyle w:val="2"/>
        <w:spacing w:before="74" w:line="219" w:lineRule="auto"/>
        <w:ind w:left="759"/>
        <w:rPr>
          <w:sz w:val="20"/>
          <w:szCs w:val="20"/>
        </w:rPr>
      </w:pPr>
      <w:r>
        <w:rPr>
          <w:spacing w:val="11"/>
          <w:sz w:val="20"/>
          <w:szCs w:val="20"/>
        </w:rPr>
        <w:t>(1)法定最高刑不满5年有期徒刑的，经</w:t>
      </w:r>
      <w:r>
        <w:rPr>
          <w:spacing w:val="10"/>
          <w:sz w:val="20"/>
          <w:szCs w:val="20"/>
        </w:rPr>
        <w:t>过5年。</w:t>
      </w:r>
    </w:p>
    <w:p w14:paraId="6DECA121">
      <w:pPr>
        <w:pStyle w:val="2"/>
        <w:spacing w:before="83" w:line="219" w:lineRule="auto"/>
        <w:ind w:left="759"/>
        <w:rPr>
          <w:sz w:val="20"/>
          <w:szCs w:val="20"/>
        </w:rPr>
      </w:pPr>
      <w:r>
        <w:rPr>
          <w:spacing w:val="12"/>
          <w:sz w:val="20"/>
          <w:szCs w:val="20"/>
        </w:rPr>
        <w:t>(2)法定最高刑为5年以上不满10年有</w:t>
      </w:r>
      <w:r>
        <w:rPr>
          <w:spacing w:val="11"/>
          <w:sz w:val="20"/>
          <w:szCs w:val="20"/>
        </w:rPr>
        <w:t>期徒刑的，经过10年。</w:t>
      </w:r>
    </w:p>
    <w:p w14:paraId="5CAD6F0A">
      <w:pPr>
        <w:pStyle w:val="2"/>
        <w:spacing w:before="73" w:line="219" w:lineRule="auto"/>
        <w:ind w:left="759"/>
        <w:rPr>
          <w:sz w:val="20"/>
          <w:szCs w:val="20"/>
        </w:rPr>
      </w:pPr>
      <w:r>
        <w:rPr>
          <w:spacing w:val="10"/>
          <w:sz w:val="20"/>
          <w:szCs w:val="20"/>
        </w:rPr>
        <w:t>(3)法定最高刑为10年以上有期徒刑的，经过15年。</w:t>
      </w:r>
    </w:p>
    <w:p w14:paraId="75499913">
      <w:pPr>
        <w:pStyle w:val="2"/>
        <w:spacing w:before="82" w:line="253" w:lineRule="auto"/>
        <w:ind w:left="349" w:right="90" w:firstLine="409"/>
        <w:rPr>
          <w:sz w:val="20"/>
          <w:szCs w:val="20"/>
        </w:rPr>
      </w:pPr>
      <w:r>
        <w:rPr>
          <w:spacing w:val="10"/>
          <w:sz w:val="20"/>
          <w:szCs w:val="20"/>
        </w:rPr>
        <w:t>(4)法定最高刑为无期徒刑、死刑的，经过20年。如果20年</w:t>
      </w:r>
      <w:r>
        <w:rPr>
          <w:spacing w:val="9"/>
          <w:sz w:val="20"/>
          <w:szCs w:val="20"/>
        </w:rPr>
        <w:t>以后认为必须追诉的，要报</w:t>
      </w:r>
      <w:r>
        <w:rPr>
          <w:sz w:val="20"/>
          <w:szCs w:val="20"/>
        </w:rPr>
        <w:t xml:space="preserve"> </w:t>
      </w:r>
      <w:r>
        <w:rPr>
          <w:spacing w:val="-3"/>
          <w:sz w:val="20"/>
          <w:szCs w:val="20"/>
        </w:rPr>
        <w:t>请最高人民检察院核准。</w:t>
      </w:r>
    </w:p>
    <w:p w14:paraId="4BD7EC87">
      <w:pPr>
        <w:pStyle w:val="2"/>
        <w:spacing w:before="71" w:line="281" w:lineRule="auto"/>
        <w:ind w:left="349" w:firstLine="409"/>
        <w:jc w:val="both"/>
        <w:rPr>
          <w:sz w:val="20"/>
          <w:szCs w:val="20"/>
        </w:rPr>
      </w:pPr>
      <w:r>
        <w:rPr>
          <w:spacing w:val="8"/>
          <w:sz w:val="20"/>
          <w:szCs w:val="20"/>
        </w:rPr>
        <w:t>行政诉讼起诉期限是指公民、法人或其他组织(统称行</w:t>
      </w:r>
      <w:r>
        <w:rPr>
          <w:spacing w:val="7"/>
          <w:sz w:val="20"/>
          <w:szCs w:val="20"/>
        </w:rPr>
        <w:t>政相对人)认为自己的合法权益受</w:t>
      </w:r>
      <w:r>
        <w:rPr>
          <w:sz w:val="20"/>
          <w:szCs w:val="20"/>
        </w:rPr>
        <w:t xml:space="preserve">  </w:t>
      </w:r>
      <w:r>
        <w:rPr>
          <w:spacing w:val="3"/>
          <w:sz w:val="20"/>
          <w:szCs w:val="20"/>
        </w:rPr>
        <w:t>到具有国家行政职权的机关、机构、组织及其工作人员具体行政</w:t>
      </w:r>
      <w:r>
        <w:rPr>
          <w:spacing w:val="2"/>
          <w:sz w:val="20"/>
          <w:szCs w:val="20"/>
        </w:rPr>
        <w:t>行为的侵害，依法向人民法院</w:t>
      </w:r>
      <w:r>
        <w:rPr>
          <w:sz w:val="20"/>
          <w:szCs w:val="20"/>
        </w:rPr>
        <w:t xml:space="preserve">  </w:t>
      </w:r>
      <w:r>
        <w:rPr>
          <w:spacing w:val="5"/>
          <w:sz w:val="20"/>
          <w:szCs w:val="20"/>
        </w:rPr>
        <w:t>提起行政诉讼请求保护其合法权益的法定期限。《中华人民共和国行</w:t>
      </w:r>
      <w:r>
        <w:rPr>
          <w:spacing w:val="4"/>
          <w:sz w:val="20"/>
          <w:szCs w:val="20"/>
        </w:rPr>
        <w:t>政诉讼法》第39条规定：</w:t>
      </w:r>
      <w:r>
        <w:rPr>
          <w:sz w:val="20"/>
          <w:szCs w:val="20"/>
        </w:rPr>
        <w:t xml:space="preserve"> </w:t>
      </w:r>
      <w:r>
        <w:rPr>
          <w:spacing w:val="5"/>
          <w:sz w:val="20"/>
          <w:szCs w:val="20"/>
        </w:rPr>
        <w:t>公民、法人或者其他组织直接向人民法院提起诉讼的，应当在知道做出具体行政行为之日起3</w:t>
      </w:r>
      <w:r>
        <w:rPr>
          <w:spacing w:val="3"/>
          <w:sz w:val="20"/>
          <w:szCs w:val="20"/>
        </w:rPr>
        <w:t xml:space="preserve">  </w:t>
      </w:r>
      <w:r>
        <w:rPr>
          <w:spacing w:val="-3"/>
          <w:sz w:val="20"/>
          <w:szCs w:val="20"/>
        </w:rPr>
        <w:t>个月内提出。法律另有规定的除外。</w:t>
      </w:r>
    </w:p>
    <w:p w14:paraId="61AB4ACD">
      <w:pPr>
        <w:pStyle w:val="2"/>
        <w:spacing w:before="218" w:line="219" w:lineRule="auto"/>
        <w:ind w:left="353"/>
        <w:rPr>
          <w:sz w:val="25"/>
          <w:szCs w:val="25"/>
        </w:rPr>
      </w:pPr>
      <w:r>
        <w:rPr>
          <w:b/>
          <w:bCs/>
          <w:color w:val="007CE9"/>
          <w:spacing w:val="-15"/>
          <w:sz w:val="25"/>
          <w:szCs w:val="25"/>
        </w:rPr>
        <w:t>19.1.4</w:t>
      </w:r>
      <w:r>
        <w:rPr>
          <w:color w:val="007CE9"/>
          <w:spacing w:val="81"/>
          <w:sz w:val="25"/>
          <w:szCs w:val="25"/>
        </w:rPr>
        <w:t xml:space="preserve"> </w:t>
      </w:r>
      <w:r>
        <w:rPr>
          <w:b/>
          <w:bCs/>
          <w:color w:val="007CE9"/>
          <w:spacing w:val="-15"/>
          <w:sz w:val="25"/>
          <w:szCs w:val="25"/>
        </w:rPr>
        <w:t>信息系统工程常用的法律法规</w:t>
      </w:r>
    </w:p>
    <w:p w14:paraId="3B0DC4DE">
      <w:pPr>
        <w:pStyle w:val="2"/>
        <w:spacing w:before="250" w:line="221" w:lineRule="auto"/>
        <w:ind w:left="762"/>
        <w:rPr>
          <w:rFonts w:ascii="黑体" w:hAnsi="黑体" w:eastAsia="黑体" w:cs="黑体"/>
          <w:sz w:val="20"/>
          <w:szCs w:val="20"/>
        </w:rPr>
      </w:pPr>
      <w:r>
        <w:rPr>
          <w:b/>
          <w:bCs/>
          <w:color w:val="006FBA"/>
          <w:spacing w:val="14"/>
          <w:sz w:val="20"/>
          <w:szCs w:val="20"/>
        </w:rPr>
        <w:t>1.</w:t>
      </w:r>
      <w:r>
        <w:rPr>
          <w:rFonts w:ascii="黑体" w:hAnsi="黑体" w:eastAsia="黑体" w:cs="黑体"/>
          <w:b/>
          <w:bCs/>
          <w:color w:val="006FBA"/>
          <w:spacing w:val="14"/>
          <w:sz w:val="20"/>
          <w:szCs w:val="20"/>
        </w:rPr>
        <w:t>民法典(合同编)</w:t>
      </w:r>
    </w:p>
    <w:p w14:paraId="5E8AD602">
      <w:pPr>
        <w:pStyle w:val="2"/>
        <w:spacing w:before="134" w:line="282" w:lineRule="auto"/>
        <w:ind w:left="349" w:right="72" w:firstLine="409"/>
        <w:rPr>
          <w:sz w:val="20"/>
          <w:szCs w:val="20"/>
        </w:rPr>
      </w:pPr>
      <w:r>
        <w:rPr>
          <w:spacing w:val="10"/>
          <w:sz w:val="20"/>
          <w:szCs w:val="20"/>
        </w:rPr>
        <w:t>2020年5月，中华人民共和国第十三届全国人民代表大会通过的《中华人民共和国民法</w:t>
      </w:r>
      <w:r>
        <w:rPr>
          <w:spacing w:val="16"/>
          <w:sz w:val="20"/>
          <w:szCs w:val="20"/>
        </w:rPr>
        <w:t xml:space="preserve"> </w:t>
      </w:r>
      <w:r>
        <w:rPr>
          <w:spacing w:val="-4"/>
          <w:sz w:val="20"/>
          <w:szCs w:val="20"/>
        </w:rPr>
        <w:t>典》“第三编合同”(简称“合同编”)是信息化法</w:t>
      </w:r>
      <w:r>
        <w:rPr>
          <w:spacing w:val="-5"/>
          <w:sz w:val="20"/>
          <w:szCs w:val="20"/>
        </w:rPr>
        <w:t>律法规领域的重要法律基础。</w:t>
      </w:r>
    </w:p>
    <w:p w14:paraId="24DC2C3D">
      <w:pPr>
        <w:pStyle w:val="2"/>
        <w:spacing w:before="19" w:line="268" w:lineRule="auto"/>
        <w:ind w:left="349" w:right="84" w:firstLine="409"/>
        <w:rPr>
          <w:sz w:val="20"/>
          <w:szCs w:val="20"/>
        </w:rPr>
      </w:pPr>
      <w:r>
        <w:rPr>
          <w:spacing w:val="3"/>
          <w:sz w:val="20"/>
          <w:szCs w:val="20"/>
        </w:rPr>
        <w:t>根据合同编的规定，合同是民事主体之间设立</w:t>
      </w:r>
      <w:r>
        <w:rPr>
          <w:spacing w:val="2"/>
          <w:sz w:val="20"/>
          <w:szCs w:val="20"/>
        </w:rPr>
        <w:t>、变更、终止民事法律关系的协议。依法成</w:t>
      </w:r>
      <w:r>
        <w:rPr>
          <w:sz w:val="20"/>
          <w:szCs w:val="20"/>
        </w:rPr>
        <w:t xml:space="preserve"> </w:t>
      </w:r>
      <w:r>
        <w:rPr>
          <w:spacing w:val="3"/>
          <w:sz w:val="20"/>
          <w:szCs w:val="20"/>
        </w:rPr>
        <w:t>立的合同，受法律保护。依法成立的合同，仅对当事人具有法律约束力，</w:t>
      </w:r>
      <w:r>
        <w:rPr>
          <w:spacing w:val="2"/>
          <w:sz w:val="20"/>
          <w:szCs w:val="20"/>
        </w:rPr>
        <w:t>但是法律另有规定的</w:t>
      </w:r>
      <w:r>
        <w:rPr>
          <w:sz w:val="20"/>
          <w:szCs w:val="20"/>
        </w:rPr>
        <w:t xml:space="preserve"> </w:t>
      </w:r>
      <w:r>
        <w:rPr>
          <w:spacing w:val="-2"/>
          <w:sz w:val="20"/>
          <w:szCs w:val="20"/>
        </w:rPr>
        <w:t>除外。当事人对合同条款的理解有争议的，应当依法确定争议条款的含义。</w:t>
      </w:r>
    </w:p>
    <w:p w14:paraId="720BCE70">
      <w:pPr>
        <w:pStyle w:val="2"/>
        <w:spacing w:before="60" w:line="268" w:lineRule="auto"/>
        <w:ind w:left="349" w:right="83" w:firstLine="409"/>
        <w:rPr>
          <w:sz w:val="20"/>
          <w:szCs w:val="20"/>
        </w:rPr>
      </w:pPr>
      <w:r>
        <w:rPr>
          <w:spacing w:val="3"/>
          <w:sz w:val="20"/>
          <w:szCs w:val="20"/>
        </w:rPr>
        <w:t>合同文本采用两种以上文字订立并约定具有同等效力的，对各</w:t>
      </w:r>
      <w:r>
        <w:rPr>
          <w:spacing w:val="2"/>
          <w:sz w:val="20"/>
          <w:szCs w:val="20"/>
        </w:rPr>
        <w:t>文本使用的词句推定具有相</w:t>
      </w:r>
      <w:r>
        <w:rPr>
          <w:sz w:val="20"/>
          <w:szCs w:val="20"/>
        </w:rPr>
        <w:t xml:space="preserve"> </w:t>
      </w:r>
      <w:r>
        <w:rPr>
          <w:spacing w:val="3"/>
          <w:sz w:val="20"/>
          <w:szCs w:val="20"/>
        </w:rPr>
        <w:t>同含义。各文本使用的词句不一致的，应当根据合同的相关</w:t>
      </w:r>
      <w:r>
        <w:rPr>
          <w:spacing w:val="2"/>
          <w:sz w:val="20"/>
          <w:szCs w:val="20"/>
        </w:rPr>
        <w:t>条款、性质、目的以及诚信原则等</w:t>
      </w:r>
      <w:r>
        <w:rPr>
          <w:sz w:val="20"/>
          <w:szCs w:val="20"/>
        </w:rPr>
        <w:t xml:space="preserve"> </w:t>
      </w:r>
      <w:r>
        <w:rPr>
          <w:spacing w:val="-7"/>
          <w:sz w:val="20"/>
          <w:szCs w:val="20"/>
        </w:rPr>
        <w:t>予以解释。</w:t>
      </w:r>
    </w:p>
    <w:p w14:paraId="500D096E">
      <w:pPr>
        <w:pStyle w:val="2"/>
        <w:spacing w:before="125" w:line="222" w:lineRule="auto"/>
        <w:ind w:left="762"/>
        <w:rPr>
          <w:rFonts w:ascii="黑体" w:hAnsi="黑体" w:eastAsia="黑体" w:cs="黑体"/>
          <w:sz w:val="20"/>
          <w:szCs w:val="20"/>
        </w:rPr>
      </w:pPr>
      <w:r>
        <w:rPr>
          <w:b/>
          <w:bCs/>
          <w:color w:val="0078C9"/>
          <w:spacing w:val="-1"/>
          <w:sz w:val="20"/>
          <w:szCs w:val="20"/>
        </w:rPr>
        <w:t>2.</w:t>
      </w:r>
      <w:r>
        <w:rPr>
          <w:rFonts w:ascii="黑体" w:hAnsi="黑体" w:eastAsia="黑体" w:cs="黑体"/>
          <w:b/>
          <w:bCs/>
          <w:color w:val="0078C9"/>
          <w:spacing w:val="-1"/>
          <w:sz w:val="20"/>
          <w:szCs w:val="20"/>
        </w:rPr>
        <w:t>招标投标法及实施条例</w:t>
      </w:r>
    </w:p>
    <w:p w14:paraId="5657CE28">
      <w:pPr>
        <w:pStyle w:val="2"/>
        <w:spacing w:before="142" w:line="273" w:lineRule="auto"/>
        <w:ind w:left="349" w:right="67" w:firstLine="309"/>
        <w:rPr>
          <w:sz w:val="20"/>
          <w:szCs w:val="20"/>
        </w:rPr>
      </w:pPr>
      <w:r>
        <w:rPr>
          <w:spacing w:val="7"/>
          <w:sz w:val="20"/>
          <w:szCs w:val="20"/>
        </w:rPr>
        <w:t>《中华人民共和国招标投标法》(简称“招标投标法”)于1999年</w:t>
      </w:r>
      <w:r>
        <w:rPr>
          <w:spacing w:val="6"/>
          <w:sz w:val="20"/>
          <w:szCs w:val="20"/>
        </w:rPr>
        <w:t>8月30日在中华人民共和</w:t>
      </w:r>
      <w:r>
        <w:rPr>
          <w:sz w:val="20"/>
          <w:szCs w:val="20"/>
        </w:rPr>
        <w:t xml:space="preserve"> </w:t>
      </w:r>
      <w:r>
        <w:rPr>
          <w:spacing w:val="8"/>
          <w:sz w:val="20"/>
          <w:szCs w:val="20"/>
        </w:rPr>
        <w:t>国第九届全国人民代表大会常务委员会第十一次会议上通过，自20</w:t>
      </w:r>
      <w:r>
        <w:rPr>
          <w:spacing w:val="7"/>
          <w:sz w:val="20"/>
          <w:szCs w:val="20"/>
        </w:rPr>
        <w:t>00年1月1日起施行。根据</w:t>
      </w:r>
    </w:p>
    <w:p w14:paraId="41A2DA63">
      <w:pPr>
        <w:spacing w:line="273" w:lineRule="auto"/>
        <w:rPr>
          <w:sz w:val="20"/>
          <w:szCs w:val="20"/>
        </w:rPr>
        <w:sectPr>
          <w:pgSz w:w="10300" w:h="13380"/>
          <w:pgMar w:top="400" w:right="1010" w:bottom="400" w:left="540" w:header="0" w:footer="0" w:gutter="0"/>
          <w:cols w:space="720" w:num="1"/>
        </w:sectPr>
      </w:pPr>
    </w:p>
    <w:p w14:paraId="1988BA53">
      <w:pPr>
        <w:pStyle w:val="2"/>
        <w:spacing w:before="86" w:line="219" w:lineRule="auto"/>
        <w:jc w:val="right"/>
        <w:rPr>
          <w:rFonts w:ascii="Times New Roman" w:hAnsi="Times New Roman" w:eastAsia="Times New Roman" w:cs="Times New Roman"/>
          <w:sz w:val="20"/>
          <w:szCs w:val="20"/>
        </w:rPr>
      </w:pPr>
      <w:r>
        <w:rPr>
          <w:spacing w:val="-2"/>
          <w:sz w:val="20"/>
          <w:szCs w:val="20"/>
        </w:rPr>
        <w:t xml:space="preserve">第19章 监理支撑要素      </w:t>
      </w:r>
      <w:r>
        <w:rPr>
          <w:rFonts w:ascii="Times New Roman" w:hAnsi="Times New Roman" w:eastAsia="Times New Roman" w:cs="Times New Roman"/>
          <w:b/>
          <w:bCs/>
          <w:spacing w:val="-2"/>
          <w:sz w:val="20"/>
          <w:szCs w:val="20"/>
        </w:rPr>
        <w:t>409</w:t>
      </w:r>
    </w:p>
    <w:p w14:paraId="5FBB246C">
      <w:pPr>
        <w:spacing w:line="276" w:lineRule="auto"/>
        <w:rPr>
          <w:rFonts w:ascii="Arial"/>
          <w:sz w:val="21"/>
        </w:rPr>
      </w:pPr>
    </w:p>
    <w:p w14:paraId="14BC8625">
      <w:pPr>
        <w:pStyle w:val="2"/>
        <w:spacing w:before="65" w:line="291" w:lineRule="auto"/>
        <w:ind w:right="316"/>
        <w:rPr>
          <w:sz w:val="20"/>
          <w:szCs w:val="20"/>
        </w:rPr>
      </w:pPr>
      <w:r>
        <w:rPr>
          <w:spacing w:val="7"/>
          <w:sz w:val="20"/>
          <w:szCs w:val="20"/>
        </w:rPr>
        <w:t>2017年12月27日第十二届全国人民代表大会常务委员会第三十一次会议《关于修改《中华人</w:t>
      </w:r>
      <w:r>
        <w:rPr>
          <w:spacing w:val="9"/>
          <w:sz w:val="20"/>
          <w:szCs w:val="20"/>
        </w:rPr>
        <w:t xml:space="preserve"> </w:t>
      </w:r>
      <w:r>
        <w:rPr>
          <w:spacing w:val="-6"/>
          <w:sz w:val="20"/>
          <w:szCs w:val="20"/>
        </w:rPr>
        <w:t>民共和国招标投标法〉、《中华人民共和国</w:t>
      </w:r>
      <w:r>
        <w:rPr>
          <w:spacing w:val="-7"/>
          <w:sz w:val="20"/>
          <w:szCs w:val="20"/>
        </w:rPr>
        <w:t>计量法〉的决定》进行修订。</w:t>
      </w:r>
    </w:p>
    <w:p w14:paraId="257C0762">
      <w:pPr>
        <w:pStyle w:val="2"/>
        <w:spacing w:before="1" w:line="295" w:lineRule="auto"/>
        <w:ind w:right="225" w:firstLine="420"/>
        <w:jc w:val="both"/>
        <w:rPr>
          <w:sz w:val="20"/>
          <w:szCs w:val="20"/>
        </w:rPr>
      </w:pPr>
      <w:r>
        <w:rPr>
          <w:sz w:val="20"/>
          <w:szCs w:val="20"/>
        </w:rPr>
        <w:t>国家为规范招标投标活动，根据招标投标法制定了《中华人民共</w:t>
      </w:r>
      <w:r>
        <w:rPr>
          <w:spacing w:val="-1"/>
          <w:sz w:val="20"/>
          <w:szCs w:val="20"/>
        </w:rPr>
        <w:t>和国招标投标法实施条例》</w:t>
      </w:r>
      <w:r>
        <w:rPr>
          <w:sz w:val="20"/>
          <w:szCs w:val="20"/>
        </w:rPr>
        <w:t xml:space="preserve"> </w:t>
      </w:r>
      <w:r>
        <w:rPr>
          <w:spacing w:val="5"/>
          <w:sz w:val="20"/>
          <w:szCs w:val="20"/>
        </w:rPr>
        <w:t>(简称“招标投标法实施条例”),经2011年11月30日国务院第183次常务会议通</w:t>
      </w:r>
      <w:r>
        <w:rPr>
          <w:spacing w:val="4"/>
          <w:sz w:val="20"/>
          <w:szCs w:val="20"/>
        </w:rPr>
        <w:t>过，自2012年2</w:t>
      </w:r>
      <w:r>
        <w:rPr>
          <w:sz w:val="20"/>
          <w:szCs w:val="20"/>
        </w:rPr>
        <w:t xml:space="preserve"> </w:t>
      </w:r>
      <w:r>
        <w:rPr>
          <w:spacing w:val="1"/>
          <w:sz w:val="20"/>
          <w:szCs w:val="20"/>
        </w:rPr>
        <w:t>月1日起施行。根据2019年3月2日《</w:t>
      </w:r>
      <w:r>
        <w:rPr>
          <w:sz w:val="20"/>
          <w:szCs w:val="20"/>
        </w:rPr>
        <w:t>国务院关于修改部分行政法规的决定》进行第三次修订。</w:t>
      </w:r>
    </w:p>
    <w:p w14:paraId="3392B2A5">
      <w:pPr>
        <w:pStyle w:val="2"/>
        <w:spacing w:before="2" w:line="279" w:lineRule="auto"/>
        <w:ind w:right="225" w:firstLine="420"/>
        <w:jc w:val="both"/>
        <w:rPr>
          <w:sz w:val="20"/>
          <w:szCs w:val="20"/>
        </w:rPr>
      </w:pPr>
      <w:r>
        <w:rPr>
          <w:sz w:val="20"/>
          <w:szCs w:val="20"/>
        </w:rPr>
        <w:t>招标投标法是国家用来规范招标投标活动、调整在招标投标过程</w:t>
      </w:r>
      <w:r>
        <w:rPr>
          <w:spacing w:val="-1"/>
          <w:sz w:val="20"/>
          <w:szCs w:val="20"/>
        </w:rPr>
        <w:t>中产生的各种关系的法律。</w:t>
      </w:r>
      <w:r>
        <w:rPr>
          <w:sz w:val="20"/>
          <w:szCs w:val="20"/>
        </w:rPr>
        <w:t xml:space="preserve"> 招标投标法实施条例对使用财政性资金的、采用招标方式的政府采购工程的执行人、采购程序、</w:t>
      </w:r>
      <w:r>
        <w:rPr>
          <w:spacing w:val="8"/>
          <w:sz w:val="20"/>
          <w:szCs w:val="20"/>
        </w:rPr>
        <w:t xml:space="preserve"> </w:t>
      </w:r>
      <w:r>
        <w:rPr>
          <w:spacing w:val="3"/>
          <w:sz w:val="20"/>
          <w:szCs w:val="20"/>
        </w:rPr>
        <w:t>采购合同、质疑与投诉、监督检查及其相关职权进行了规定。这两部法律法规对</w:t>
      </w:r>
      <w:r>
        <w:rPr>
          <w:spacing w:val="2"/>
          <w:sz w:val="20"/>
          <w:szCs w:val="20"/>
        </w:rPr>
        <w:t>招标投标及其</w:t>
      </w:r>
      <w:r>
        <w:rPr>
          <w:sz w:val="20"/>
          <w:szCs w:val="20"/>
        </w:rPr>
        <w:t xml:space="preserve">  </w:t>
      </w:r>
      <w:r>
        <w:rPr>
          <w:spacing w:val="-3"/>
          <w:sz w:val="20"/>
          <w:szCs w:val="20"/>
        </w:rPr>
        <w:t>具体措施作出了明确的规定。</w:t>
      </w:r>
    </w:p>
    <w:p w14:paraId="5B007B1C">
      <w:pPr>
        <w:pStyle w:val="2"/>
        <w:spacing w:before="154" w:line="222" w:lineRule="auto"/>
        <w:ind w:left="422"/>
        <w:rPr>
          <w:rFonts w:ascii="黑体" w:hAnsi="黑体" w:eastAsia="黑体" w:cs="黑体"/>
          <w:sz w:val="20"/>
          <w:szCs w:val="20"/>
        </w:rPr>
      </w:pPr>
      <w:r>
        <w:rPr>
          <w:b/>
          <w:bCs/>
          <w:color w:val="0063BA"/>
          <w:spacing w:val="-4"/>
          <w:sz w:val="20"/>
          <w:szCs w:val="20"/>
        </w:rPr>
        <w:t>3.</w:t>
      </w:r>
      <w:r>
        <w:rPr>
          <w:rFonts w:ascii="黑体" w:hAnsi="黑体" w:eastAsia="黑体" w:cs="黑体"/>
          <w:b/>
          <w:bCs/>
          <w:color w:val="0063BA"/>
          <w:spacing w:val="-4"/>
          <w:sz w:val="20"/>
          <w:szCs w:val="20"/>
        </w:rPr>
        <w:t>政府采购法及实施条例</w:t>
      </w:r>
    </w:p>
    <w:p w14:paraId="4BBE5616">
      <w:pPr>
        <w:pStyle w:val="2"/>
        <w:spacing w:before="124" w:line="292" w:lineRule="auto"/>
        <w:ind w:right="296" w:firstLine="320"/>
        <w:jc w:val="both"/>
        <w:rPr>
          <w:sz w:val="20"/>
          <w:szCs w:val="20"/>
        </w:rPr>
      </w:pPr>
      <w:r>
        <w:rPr>
          <w:spacing w:val="12"/>
          <w:sz w:val="20"/>
          <w:szCs w:val="20"/>
        </w:rPr>
        <w:t>《中华人民共和国政府采购法》(简称“政府采购法”)于2002年6月29日，在第九届全</w:t>
      </w:r>
      <w:r>
        <w:rPr>
          <w:spacing w:val="5"/>
          <w:sz w:val="20"/>
          <w:szCs w:val="20"/>
        </w:rPr>
        <w:t xml:space="preserve"> </w:t>
      </w:r>
      <w:r>
        <w:rPr>
          <w:spacing w:val="12"/>
          <w:sz w:val="20"/>
          <w:szCs w:val="20"/>
        </w:rPr>
        <w:t>国人民代表大会常务委员会第二十八次会议上通过，自2003年1月1日</w:t>
      </w:r>
      <w:r>
        <w:rPr>
          <w:spacing w:val="11"/>
          <w:sz w:val="20"/>
          <w:szCs w:val="20"/>
        </w:rPr>
        <w:t>起施行。根据2014年</w:t>
      </w:r>
      <w:r>
        <w:rPr>
          <w:sz w:val="20"/>
          <w:szCs w:val="20"/>
        </w:rPr>
        <w:t xml:space="preserve"> </w:t>
      </w:r>
      <w:r>
        <w:rPr>
          <w:spacing w:val="6"/>
          <w:sz w:val="20"/>
          <w:szCs w:val="20"/>
        </w:rPr>
        <w:t>8月31日第十二届全国人民代表大会常务委员会第十次会议《</w:t>
      </w:r>
      <w:r>
        <w:rPr>
          <w:spacing w:val="5"/>
          <w:sz w:val="20"/>
          <w:szCs w:val="20"/>
        </w:rPr>
        <w:t>关于修改《中华人民共和国保险</w:t>
      </w:r>
      <w:r>
        <w:rPr>
          <w:sz w:val="20"/>
          <w:szCs w:val="20"/>
        </w:rPr>
        <w:t xml:space="preserve"> </w:t>
      </w:r>
      <w:r>
        <w:rPr>
          <w:spacing w:val="7"/>
          <w:sz w:val="20"/>
          <w:szCs w:val="20"/>
        </w:rPr>
        <w:t>法〉等五部法律的决定》修正。2022年7月15日，《中华人民共和国政府采购法(修订草案征</w:t>
      </w:r>
      <w:r>
        <w:rPr>
          <w:spacing w:val="10"/>
          <w:sz w:val="20"/>
          <w:szCs w:val="20"/>
        </w:rPr>
        <w:t xml:space="preserve"> </w:t>
      </w:r>
      <w:r>
        <w:rPr>
          <w:spacing w:val="-3"/>
          <w:sz w:val="20"/>
          <w:szCs w:val="20"/>
        </w:rPr>
        <w:t>求意见稿)》再次向社会公开征求意见。</w:t>
      </w:r>
    </w:p>
    <w:p w14:paraId="4C02AF69">
      <w:pPr>
        <w:pStyle w:val="2"/>
        <w:spacing w:before="18" w:line="278" w:lineRule="auto"/>
        <w:ind w:right="225" w:firstLine="420"/>
        <w:jc w:val="both"/>
        <w:rPr>
          <w:sz w:val="20"/>
          <w:szCs w:val="20"/>
        </w:rPr>
      </w:pPr>
      <w:r>
        <w:rPr>
          <w:sz w:val="20"/>
          <w:szCs w:val="20"/>
        </w:rPr>
        <w:t>为完善政府采购制度，进一步促进政府采购的规范化、法治化，</w:t>
      </w:r>
      <w:r>
        <w:rPr>
          <w:spacing w:val="-1"/>
          <w:sz w:val="20"/>
          <w:szCs w:val="20"/>
        </w:rPr>
        <w:t>构建规范透明、公平竞争、</w:t>
      </w:r>
      <w:r>
        <w:rPr>
          <w:sz w:val="20"/>
          <w:szCs w:val="20"/>
        </w:rPr>
        <w:t xml:space="preserve"> </w:t>
      </w:r>
      <w:r>
        <w:rPr>
          <w:spacing w:val="7"/>
          <w:sz w:val="20"/>
          <w:szCs w:val="20"/>
        </w:rPr>
        <w:t>监督到位、严格问责的政府采购工作机制。2014年12月31日，时任国务院总理李克强</w:t>
      </w:r>
      <w:r>
        <w:rPr>
          <w:spacing w:val="6"/>
          <w:sz w:val="20"/>
          <w:szCs w:val="20"/>
        </w:rPr>
        <w:t>主持召</w:t>
      </w:r>
      <w:r>
        <w:rPr>
          <w:sz w:val="20"/>
          <w:szCs w:val="20"/>
        </w:rPr>
        <w:t xml:space="preserve">  </w:t>
      </w:r>
      <w:r>
        <w:rPr>
          <w:spacing w:val="6"/>
          <w:sz w:val="20"/>
          <w:szCs w:val="20"/>
        </w:rPr>
        <w:t>开国务院常务会议，审议通过《中华人民共和国政府采购法实施</w:t>
      </w:r>
      <w:r>
        <w:rPr>
          <w:spacing w:val="5"/>
          <w:sz w:val="20"/>
          <w:szCs w:val="20"/>
        </w:rPr>
        <w:t>条例(草案)》(简称“政府采</w:t>
      </w:r>
      <w:r>
        <w:rPr>
          <w:sz w:val="20"/>
          <w:szCs w:val="20"/>
        </w:rPr>
        <w:t xml:space="preserve"> </w:t>
      </w:r>
      <w:r>
        <w:rPr>
          <w:spacing w:val="12"/>
          <w:sz w:val="20"/>
          <w:szCs w:val="20"/>
        </w:rPr>
        <w:t>购法实施条例”),自2015年3月1日起施行。</w:t>
      </w:r>
    </w:p>
    <w:p w14:paraId="593DE752">
      <w:pPr>
        <w:pStyle w:val="2"/>
        <w:spacing w:before="34" w:line="280" w:lineRule="auto"/>
        <w:ind w:right="313" w:firstLine="420"/>
        <w:jc w:val="both"/>
        <w:rPr>
          <w:sz w:val="20"/>
          <w:szCs w:val="20"/>
        </w:rPr>
      </w:pPr>
      <w:r>
        <w:rPr>
          <w:spacing w:val="3"/>
          <w:sz w:val="20"/>
          <w:szCs w:val="20"/>
        </w:rPr>
        <w:t>为了规范政府采购当事人的采购行为，加强对政</w:t>
      </w:r>
      <w:r>
        <w:rPr>
          <w:spacing w:val="2"/>
          <w:sz w:val="20"/>
          <w:szCs w:val="20"/>
        </w:rPr>
        <w:t>府采购货物和服务招标投标活动的监督管</w:t>
      </w:r>
      <w:r>
        <w:rPr>
          <w:sz w:val="20"/>
          <w:szCs w:val="20"/>
        </w:rPr>
        <w:t xml:space="preserve"> </w:t>
      </w:r>
      <w:r>
        <w:rPr>
          <w:spacing w:val="3"/>
          <w:sz w:val="20"/>
          <w:szCs w:val="20"/>
        </w:rPr>
        <w:t>理，维护国家利益、社会公共利益和政府采购招标投标活动当事人的合法权益，依据</w:t>
      </w:r>
      <w:r>
        <w:rPr>
          <w:spacing w:val="2"/>
          <w:sz w:val="20"/>
          <w:szCs w:val="20"/>
        </w:rPr>
        <w:t>政府采购</w:t>
      </w:r>
      <w:r>
        <w:rPr>
          <w:sz w:val="20"/>
          <w:szCs w:val="20"/>
        </w:rPr>
        <w:t xml:space="preserve"> </w:t>
      </w:r>
      <w:r>
        <w:rPr>
          <w:spacing w:val="3"/>
          <w:sz w:val="20"/>
          <w:szCs w:val="20"/>
        </w:rPr>
        <w:t>法、政府采购法实施条例和其他有关法律法规规定，对《政府采购货物和服务招标投标</w:t>
      </w:r>
      <w:r>
        <w:rPr>
          <w:spacing w:val="2"/>
          <w:sz w:val="20"/>
          <w:szCs w:val="20"/>
        </w:rPr>
        <w:t>管理办</w:t>
      </w:r>
      <w:r>
        <w:rPr>
          <w:sz w:val="20"/>
          <w:szCs w:val="20"/>
        </w:rPr>
        <w:t xml:space="preserve"> </w:t>
      </w:r>
      <w:r>
        <w:rPr>
          <w:spacing w:val="10"/>
          <w:sz w:val="20"/>
          <w:szCs w:val="20"/>
        </w:rPr>
        <w:t>法》进行了修订，并于2017年10月1日起施行。</w:t>
      </w:r>
    </w:p>
    <w:p w14:paraId="44B0C402">
      <w:pPr>
        <w:pStyle w:val="2"/>
        <w:spacing w:before="47" w:line="268" w:lineRule="auto"/>
        <w:ind w:right="303" w:firstLine="420"/>
        <w:jc w:val="both"/>
        <w:rPr>
          <w:sz w:val="20"/>
          <w:szCs w:val="20"/>
        </w:rPr>
      </w:pPr>
      <w:r>
        <w:rPr>
          <w:spacing w:val="3"/>
          <w:sz w:val="20"/>
          <w:szCs w:val="20"/>
        </w:rPr>
        <w:t>政府采购是指各级国家机关、事业单位和团体组织，使用财政性资金采购</w:t>
      </w:r>
      <w:r>
        <w:rPr>
          <w:spacing w:val="2"/>
          <w:sz w:val="20"/>
          <w:szCs w:val="20"/>
        </w:rPr>
        <w:t>依法制定的集中</w:t>
      </w:r>
      <w:r>
        <w:rPr>
          <w:sz w:val="20"/>
          <w:szCs w:val="20"/>
        </w:rPr>
        <w:t xml:space="preserve"> </w:t>
      </w:r>
      <w:r>
        <w:rPr>
          <w:spacing w:val="3"/>
          <w:sz w:val="20"/>
          <w:szCs w:val="20"/>
        </w:rPr>
        <w:t>采购目录以内的或者采购限额标准以上的货物、工程和服务的行为。政府集中采购目</w:t>
      </w:r>
      <w:r>
        <w:rPr>
          <w:spacing w:val="2"/>
          <w:sz w:val="20"/>
          <w:szCs w:val="20"/>
        </w:rPr>
        <w:t>录和采购</w:t>
      </w:r>
      <w:r>
        <w:rPr>
          <w:sz w:val="20"/>
          <w:szCs w:val="20"/>
        </w:rPr>
        <w:t xml:space="preserve"> </w:t>
      </w:r>
      <w:r>
        <w:rPr>
          <w:spacing w:val="-2"/>
          <w:sz w:val="20"/>
          <w:szCs w:val="20"/>
        </w:rPr>
        <w:t>限额依照政府采购法规定的权限制定。</w:t>
      </w:r>
    </w:p>
    <w:p w14:paraId="33009FC3">
      <w:pPr>
        <w:spacing w:before="138" w:line="222" w:lineRule="auto"/>
        <w:ind w:left="422"/>
        <w:rPr>
          <w:rFonts w:ascii="黑体" w:hAnsi="黑体" w:eastAsia="黑体" w:cs="黑体"/>
          <w:sz w:val="20"/>
          <w:szCs w:val="20"/>
        </w:rPr>
      </w:pPr>
      <w:r>
        <w:rPr>
          <w:rFonts w:ascii="黑体" w:hAnsi="黑体" w:eastAsia="黑体" w:cs="黑体"/>
          <w:b/>
          <w:bCs/>
          <w:color w:val="0063BB"/>
          <w:spacing w:val="-3"/>
          <w:sz w:val="20"/>
          <w:szCs w:val="20"/>
        </w:rPr>
        <w:t>4.产品质量法</w:t>
      </w:r>
    </w:p>
    <w:p w14:paraId="331D1447">
      <w:pPr>
        <w:pStyle w:val="2"/>
        <w:spacing w:before="142" w:line="268" w:lineRule="auto"/>
        <w:ind w:right="305" w:firstLine="320"/>
        <w:jc w:val="both"/>
        <w:rPr>
          <w:sz w:val="20"/>
          <w:szCs w:val="20"/>
        </w:rPr>
      </w:pPr>
      <w:r>
        <w:rPr>
          <w:spacing w:val="15"/>
          <w:sz w:val="20"/>
          <w:szCs w:val="20"/>
        </w:rPr>
        <w:t>《中华人民共和国产品质量法》(简称“产品质量法”)从1993年9月1</w:t>
      </w:r>
      <w:r>
        <w:rPr>
          <w:spacing w:val="14"/>
          <w:sz w:val="20"/>
          <w:szCs w:val="20"/>
        </w:rPr>
        <w:t>日起施行，根据</w:t>
      </w:r>
      <w:r>
        <w:rPr>
          <w:sz w:val="20"/>
          <w:szCs w:val="20"/>
        </w:rPr>
        <w:t xml:space="preserve"> </w:t>
      </w:r>
      <w:r>
        <w:rPr>
          <w:spacing w:val="7"/>
          <w:sz w:val="20"/>
          <w:szCs w:val="20"/>
        </w:rPr>
        <w:t>2018年12月29日第十三届全国人民代表大会常务委员会第七次会议《关于修改〈中华人民共</w:t>
      </w:r>
      <w:r>
        <w:rPr>
          <w:spacing w:val="9"/>
          <w:sz w:val="20"/>
          <w:szCs w:val="20"/>
        </w:rPr>
        <w:t xml:space="preserve"> </w:t>
      </w:r>
      <w:r>
        <w:rPr>
          <w:spacing w:val="-2"/>
          <w:sz w:val="20"/>
          <w:szCs w:val="20"/>
        </w:rPr>
        <w:t>和国产品质量法〉等五部法律的决定》进行第三次修正。</w:t>
      </w:r>
    </w:p>
    <w:p w14:paraId="114D9556">
      <w:pPr>
        <w:pStyle w:val="2"/>
        <w:spacing w:before="42" w:line="272" w:lineRule="auto"/>
        <w:ind w:right="254" w:firstLine="420"/>
        <w:jc w:val="both"/>
        <w:rPr>
          <w:sz w:val="20"/>
          <w:szCs w:val="20"/>
        </w:rPr>
      </w:pPr>
      <w:r>
        <w:rPr>
          <w:spacing w:val="3"/>
          <w:sz w:val="20"/>
          <w:szCs w:val="20"/>
        </w:rPr>
        <w:t>为加强对产品质量的监督管理，提高产品质量水平，明确产品质量责任，保护消费者的合</w:t>
      </w:r>
      <w:r>
        <w:rPr>
          <w:sz w:val="20"/>
          <w:szCs w:val="20"/>
        </w:rPr>
        <w:t xml:space="preserve"> </w:t>
      </w:r>
      <w:r>
        <w:rPr>
          <w:spacing w:val="3"/>
          <w:sz w:val="20"/>
          <w:szCs w:val="20"/>
        </w:rPr>
        <w:t>法权益，维护社会经济秩序，国家制定了产品质量法。产品质量法明确规定：在中华人民共和</w:t>
      </w:r>
      <w:r>
        <w:rPr>
          <w:spacing w:val="2"/>
          <w:sz w:val="20"/>
          <w:szCs w:val="20"/>
        </w:rPr>
        <w:t xml:space="preserve"> </w:t>
      </w:r>
      <w:r>
        <w:rPr>
          <w:spacing w:val="3"/>
          <w:sz w:val="20"/>
          <w:szCs w:val="20"/>
        </w:rPr>
        <w:t>国境内从事产品生产、销售活动的，必须遵守本法。建设工程不适用本法规定；但是，</w:t>
      </w:r>
      <w:r>
        <w:rPr>
          <w:spacing w:val="2"/>
          <w:sz w:val="20"/>
          <w:szCs w:val="20"/>
        </w:rPr>
        <w:t>建设工</w:t>
      </w:r>
      <w:r>
        <w:rPr>
          <w:sz w:val="20"/>
          <w:szCs w:val="20"/>
        </w:rPr>
        <w:t xml:space="preserve"> </w:t>
      </w:r>
      <w:r>
        <w:rPr>
          <w:spacing w:val="4"/>
          <w:sz w:val="20"/>
          <w:szCs w:val="20"/>
        </w:rPr>
        <w:t>程使用的建筑材料、建筑构配件和设备，属于前款规定的产品范围的，适用本法规定。同时，</w:t>
      </w:r>
      <w:r>
        <w:rPr>
          <w:spacing w:val="15"/>
          <w:sz w:val="20"/>
          <w:szCs w:val="20"/>
        </w:rPr>
        <w:t xml:space="preserve"> </w:t>
      </w:r>
      <w:r>
        <w:rPr>
          <w:sz w:val="20"/>
          <w:szCs w:val="20"/>
        </w:rPr>
        <w:t>产品质量法详细规定了对产品质量的监督、生产</w:t>
      </w:r>
      <w:r>
        <w:rPr>
          <w:spacing w:val="-1"/>
          <w:sz w:val="20"/>
          <w:szCs w:val="20"/>
        </w:rPr>
        <w:t>者与销售者的产品质量责任和义务、损害赔偿、</w:t>
      </w:r>
      <w:r>
        <w:rPr>
          <w:sz w:val="20"/>
          <w:szCs w:val="20"/>
        </w:rPr>
        <w:t xml:space="preserve"> </w:t>
      </w:r>
      <w:r>
        <w:rPr>
          <w:spacing w:val="-5"/>
          <w:sz w:val="20"/>
          <w:szCs w:val="20"/>
        </w:rPr>
        <w:t>处罚罚则等内容。</w:t>
      </w:r>
    </w:p>
    <w:p w14:paraId="7140A467">
      <w:pPr>
        <w:spacing w:line="272" w:lineRule="auto"/>
        <w:rPr>
          <w:sz w:val="20"/>
          <w:szCs w:val="20"/>
        </w:rPr>
        <w:sectPr>
          <w:pgSz w:w="10280" w:h="13330"/>
          <w:pgMar w:top="400" w:right="614" w:bottom="400" w:left="1029" w:header="0" w:footer="0" w:gutter="0"/>
          <w:cols w:space="720" w:num="1"/>
        </w:sectPr>
      </w:pPr>
    </w:p>
    <w:p w14:paraId="5369FFF1">
      <w:pPr>
        <w:pStyle w:val="2"/>
        <w:spacing w:before="138" w:line="219" w:lineRule="auto"/>
        <w:rPr>
          <w:sz w:val="20"/>
          <w:szCs w:val="20"/>
        </w:rPr>
      </w:pPr>
      <w:r>
        <w:rPr>
          <w:rFonts w:ascii="Times New Roman" w:hAnsi="Times New Roman" w:eastAsia="Times New Roman" w:cs="Times New Roman"/>
          <w:b/>
          <w:bCs/>
          <w:spacing w:val="-3"/>
          <w:sz w:val="17"/>
          <w:szCs w:val="17"/>
        </w:rPr>
        <w:t>410</w:t>
      </w:r>
      <w:r>
        <w:rPr>
          <w:rFonts w:ascii="Times New Roman" w:hAnsi="Times New Roman" w:eastAsia="Times New Roman" w:cs="Times New Roman"/>
          <w:b/>
          <w:bCs/>
          <w:spacing w:val="1"/>
          <w:sz w:val="17"/>
          <w:szCs w:val="17"/>
        </w:rPr>
        <w:t xml:space="preserve">                 </w:t>
      </w:r>
      <w:r>
        <w:rPr>
          <w:spacing w:val="-3"/>
          <w:sz w:val="20"/>
          <w:szCs w:val="20"/>
        </w:rPr>
        <w:t>信息系统监理师教程(第2版)</w:t>
      </w:r>
    </w:p>
    <w:p w14:paraId="28F87108">
      <w:pPr>
        <w:spacing w:line="351" w:lineRule="auto"/>
        <w:rPr>
          <w:rFonts w:ascii="Arial"/>
          <w:sz w:val="21"/>
        </w:rPr>
      </w:pPr>
    </w:p>
    <w:p w14:paraId="57FBEA2C">
      <w:pPr>
        <w:pStyle w:val="2"/>
        <w:spacing w:before="65" w:line="222" w:lineRule="auto"/>
        <w:ind w:left="752"/>
        <w:rPr>
          <w:rFonts w:ascii="黑体" w:hAnsi="黑体" w:eastAsia="黑体" w:cs="黑体"/>
          <w:sz w:val="20"/>
          <w:szCs w:val="20"/>
        </w:rPr>
      </w:pPr>
      <w:r>
        <w:rPr>
          <w:b/>
          <w:bCs/>
          <w:color w:val="006DCE"/>
          <w:spacing w:val="-7"/>
          <w:sz w:val="20"/>
          <w:szCs w:val="20"/>
        </w:rPr>
        <w:t>5.</w:t>
      </w:r>
      <w:r>
        <w:rPr>
          <w:rFonts w:ascii="黑体" w:hAnsi="黑体" w:eastAsia="黑体" w:cs="黑体"/>
          <w:b/>
          <w:bCs/>
          <w:color w:val="006DCE"/>
          <w:spacing w:val="-7"/>
          <w:sz w:val="20"/>
          <w:szCs w:val="20"/>
        </w:rPr>
        <w:t>商标法</w:t>
      </w:r>
    </w:p>
    <w:p w14:paraId="595B93C1">
      <w:pPr>
        <w:pStyle w:val="2"/>
        <w:spacing w:before="133" w:line="286" w:lineRule="auto"/>
        <w:ind w:left="359" w:right="86" w:firstLine="289"/>
        <w:jc w:val="both"/>
        <w:rPr>
          <w:sz w:val="20"/>
          <w:szCs w:val="20"/>
        </w:rPr>
      </w:pPr>
      <w:r>
        <w:rPr>
          <w:spacing w:val="7"/>
          <w:sz w:val="20"/>
          <w:szCs w:val="20"/>
        </w:rPr>
        <w:t>《中华人民共和国商标法》(简称“商标法”)根据2019年4月23日第十三届全国人民</w:t>
      </w:r>
      <w:r>
        <w:rPr>
          <w:spacing w:val="6"/>
          <w:sz w:val="20"/>
          <w:szCs w:val="20"/>
        </w:rPr>
        <w:t>代表</w:t>
      </w:r>
      <w:r>
        <w:rPr>
          <w:sz w:val="20"/>
          <w:szCs w:val="20"/>
        </w:rPr>
        <w:t xml:space="preserve"> </w:t>
      </w:r>
      <w:r>
        <w:rPr>
          <w:spacing w:val="3"/>
          <w:sz w:val="20"/>
          <w:szCs w:val="20"/>
        </w:rPr>
        <w:t>大会常务委员会第十次会议《关于修改〈中华人民共和国建筑法〉等八部法律的决定》进行第</w:t>
      </w:r>
      <w:r>
        <w:rPr>
          <w:sz w:val="20"/>
          <w:szCs w:val="20"/>
        </w:rPr>
        <w:t xml:space="preserve"> </w:t>
      </w:r>
      <w:r>
        <w:rPr>
          <w:spacing w:val="10"/>
          <w:sz w:val="20"/>
          <w:szCs w:val="20"/>
        </w:rPr>
        <w:t>四次修正并发布，于2019年11月1日起施</w:t>
      </w:r>
      <w:r>
        <w:rPr>
          <w:spacing w:val="9"/>
          <w:sz w:val="20"/>
          <w:szCs w:val="20"/>
        </w:rPr>
        <w:t>行。</w:t>
      </w:r>
    </w:p>
    <w:p w14:paraId="1F4F4807">
      <w:pPr>
        <w:pStyle w:val="2"/>
        <w:spacing w:before="14" w:line="284" w:lineRule="auto"/>
        <w:ind w:left="359" w:firstLine="389"/>
        <w:jc w:val="both"/>
        <w:rPr>
          <w:sz w:val="20"/>
          <w:szCs w:val="20"/>
        </w:rPr>
      </w:pPr>
      <w:r>
        <w:rPr>
          <w:spacing w:val="3"/>
          <w:sz w:val="20"/>
          <w:szCs w:val="20"/>
        </w:rPr>
        <w:t>国家为加强商标管理，保护商标专用权，促使生产、经营者保证商品和服务质量，维护商</w:t>
      </w:r>
      <w:r>
        <w:rPr>
          <w:spacing w:val="7"/>
          <w:sz w:val="20"/>
          <w:szCs w:val="20"/>
        </w:rPr>
        <w:t xml:space="preserve">  </w:t>
      </w:r>
      <w:r>
        <w:rPr>
          <w:sz w:val="20"/>
          <w:szCs w:val="20"/>
        </w:rPr>
        <w:t>标信誉，以保障消费者和生产、经营者的利益，促进社会主义市场经济的发展，特制定商标法。</w:t>
      </w:r>
      <w:r>
        <w:rPr>
          <w:spacing w:val="8"/>
          <w:sz w:val="20"/>
          <w:szCs w:val="20"/>
        </w:rPr>
        <w:t xml:space="preserve"> </w:t>
      </w:r>
      <w:r>
        <w:rPr>
          <w:spacing w:val="3"/>
          <w:sz w:val="20"/>
          <w:szCs w:val="20"/>
        </w:rPr>
        <w:t>国务院工商行政管理部门商标局主管全国商标注册和管理的工作。国务院工商行政管理部门设</w:t>
      </w:r>
      <w:r>
        <w:rPr>
          <w:spacing w:val="15"/>
          <w:sz w:val="20"/>
          <w:szCs w:val="20"/>
        </w:rPr>
        <w:t xml:space="preserve"> </w:t>
      </w:r>
      <w:r>
        <w:rPr>
          <w:spacing w:val="3"/>
          <w:sz w:val="20"/>
          <w:szCs w:val="20"/>
        </w:rPr>
        <w:t>立商标评审委员会，负责处理商标争议事宜。经商标局核准注册的商标为注册商标，包括商品</w:t>
      </w:r>
      <w:r>
        <w:rPr>
          <w:spacing w:val="6"/>
          <w:sz w:val="20"/>
          <w:szCs w:val="20"/>
        </w:rPr>
        <w:t xml:space="preserve"> </w:t>
      </w:r>
      <w:r>
        <w:rPr>
          <w:sz w:val="20"/>
          <w:szCs w:val="20"/>
        </w:rPr>
        <w:t>商标、服务商标和集体商标、证明商标；商标注册人享有商标专用权，</w:t>
      </w:r>
      <w:r>
        <w:rPr>
          <w:spacing w:val="-1"/>
          <w:sz w:val="20"/>
          <w:szCs w:val="20"/>
        </w:rPr>
        <w:t>受法律保护。集体商标，</w:t>
      </w:r>
      <w:r>
        <w:rPr>
          <w:sz w:val="20"/>
          <w:szCs w:val="20"/>
        </w:rPr>
        <w:t xml:space="preserve"> </w:t>
      </w:r>
      <w:r>
        <w:rPr>
          <w:spacing w:val="3"/>
          <w:sz w:val="20"/>
          <w:szCs w:val="20"/>
        </w:rPr>
        <w:t>是指以团体、协会或者其他组织名义注册，供该组织成员在商事活动中使用，以表明</w:t>
      </w:r>
      <w:r>
        <w:rPr>
          <w:spacing w:val="2"/>
          <w:sz w:val="20"/>
          <w:szCs w:val="20"/>
        </w:rPr>
        <w:t>使用者在</w:t>
      </w:r>
      <w:r>
        <w:rPr>
          <w:sz w:val="20"/>
          <w:szCs w:val="20"/>
        </w:rPr>
        <w:t xml:space="preserve">  </w:t>
      </w:r>
      <w:r>
        <w:rPr>
          <w:spacing w:val="3"/>
          <w:sz w:val="20"/>
          <w:szCs w:val="20"/>
        </w:rPr>
        <w:t>该组织中的成员资格的标志。证明商标，是指由对某种商品或者服务具有监督能</w:t>
      </w:r>
      <w:r>
        <w:rPr>
          <w:spacing w:val="2"/>
          <w:sz w:val="20"/>
          <w:szCs w:val="20"/>
        </w:rPr>
        <w:t>力的组织所控</w:t>
      </w:r>
      <w:r>
        <w:rPr>
          <w:sz w:val="20"/>
          <w:szCs w:val="20"/>
        </w:rPr>
        <w:t xml:space="preserve">  </w:t>
      </w:r>
      <w:r>
        <w:rPr>
          <w:spacing w:val="3"/>
          <w:sz w:val="20"/>
          <w:szCs w:val="20"/>
        </w:rPr>
        <w:t>制，而由该组织以外的单位或者个人使用于其商品或者服务，用以证明该商品或者服务的原产</w:t>
      </w:r>
      <w:r>
        <w:rPr>
          <w:spacing w:val="18"/>
          <w:sz w:val="20"/>
          <w:szCs w:val="20"/>
        </w:rPr>
        <w:t xml:space="preserve"> </w:t>
      </w:r>
      <w:r>
        <w:rPr>
          <w:spacing w:val="3"/>
          <w:sz w:val="20"/>
          <w:szCs w:val="20"/>
        </w:rPr>
        <w:t>地、原料、制造方法、质量或者其他特定品质的标志。集体商标、证明商标注</w:t>
      </w:r>
      <w:r>
        <w:rPr>
          <w:spacing w:val="2"/>
          <w:sz w:val="20"/>
          <w:szCs w:val="20"/>
        </w:rPr>
        <w:t>册和管理的特殊</w:t>
      </w:r>
      <w:r>
        <w:rPr>
          <w:sz w:val="20"/>
          <w:szCs w:val="20"/>
        </w:rPr>
        <w:t xml:space="preserve">  </w:t>
      </w:r>
      <w:r>
        <w:rPr>
          <w:spacing w:val="-2"/>
          <w:sz w:val="20"/>
          <w:szCs w:val="20"/>
        </w:rPr>
        <w:t>事项，由国务院工商行政管理部门规定。</w:t>
      </w:r>
    </w:p>
    <w:p w14:paraId="35058AAE">
      <w:pPr>
        <w:pStyle w:val="2"/>
        <w:spacing w:before="194" w:line="222" w:lineRule="auto"/>
        <w:ind w:left="752"/>
        <w:rPr>
          <w:rFonts w:ascii="黑体" w:hAnsi="黑体" w:eastAsia="黑体" w:cs="黑体"/>
          <w:sz w:val="20"/>
          <w:szCs w:val="20"/>
        </w:rPr>
      </w:pPr>
      <w:r>
        <w:rPr>
          <w:b/>
          <w:bCs/>
          <w:color w:val="0068B9"/>
          <w:spacing w:val="2"/>
          <w:sz w:val="20"/>
          <w:szCs w:val="20"/>
        </w:rPr>
        <w:t>6.</w:t>
      </w:r>
      <w:r>
        <w:rPr>
          <w:rFonts w:ascii="黑体" w:hAnsi="黑体" w:eastAsia="黑体" w:cs="黑体"/>
          <w:b/>
          <w:bCs/>
          <w:color w:val="0068B9"/>
          <w:spacing w:val="2"/>
          <w:sz w:val="20"/>
          <w:szCs w:val="20"/>
        </w:rPr>
        <w:t>专利法</w:t>
      </w:r>
    </w:p>
    <w:p w14:paraId="7D9FE6DE">
      <w:pPr>
        <w:pStyle w:val="2"/>
        <w:spacing w:before="124" w:line="282" w:lineRule="auto"/>
        <w:ind w:left="359" w:right="72" w:firstLine="289"/>
        <w:jc w:val="both"/>
        <w:rPr>
          <w:sz w:val="20"/>
          <w:szCs w:val="20"/>
        </w:rPr>
      </w:pPr>
      <w:r>
        <w:rPr>
          <w:spacing w:val="9"/>
          <w:sz w:val="20"/>
          <w:szCs w:val="20"/>
        </w:rPr>
        <w:t>《中华人民共和国专利法》(简称“专利法”)根据2020年10月17日第十三届全国人民代</w:t>
      </w:r>
      <w:r>
        <w:rPr>
          <w:spacing w:val="12"/>
          <w:sz w:val="20"/>
          <w:szCs w:val="20"/>
        </w:rPr>
        <w:t xml:space="preserve"> </w:t>
      </w:r>
      <w:r>
        <w:rPr>
          <w:spacing w:val="3"/>
          <w:sz w:val="20"/>
          <w:szCs w:val="20"/>
        </w:rPr>
        <w:t>表大会常务委员会第二十二次会议《关于修改〈中华人民共和国专利法〉的决定》进行第四次</w:t>
      </w:r>
      <w:r>
        <w:rPr>
          <w:spacing w:val="13"/>
          <w:sz w:val="20"/>
          <w:szCs w:val="20"/>
        </w:rPr>
        <w:t xml:space="preserve"> </w:t>
      </w:r>
      <w:r>
        <w:rPr>
          <w:spacing w:val="14"/>
          <w:sz w:val="20"/>
          <w:szCs w:val="20"/>
        </w:rPr>
        <w:t>修正，并于2021年6月1日起施行。</w:t>
      </w:r>
    </w:p>
    <w:p w14:paraId="608C5425">
      <w:pPr>
        <w:pStyle w:val="2"/>
        <w:spacing w:before="41" w:line="280" w:lineRule="auto"/>
        <w:ind w:left="359" w:right="89" w:firstLine="389"/>
        <w:jc w:val="both"/>
        <w:rPr>
          <w:sz w:val="20"/>
          <w:szCs w:val="20"/>
        </w:rPr>
      </w:pPr>
      <w:r>
        <w:rPr>
          <w:spacing w:val="3"/>
          <w:sz w:val="20"/>
          <w:szCs w:val="20"/>
        </w:rPr>
        <w:t>专利法规定，发明创造是指发明、实用新型和外观设计。发明，是指对产品、方法或者其</w:t>
      </w:r>
      <w:r>
        <w:rPr>
          <w:spacing w:val="10"/>
          <w:sz w:val="20"/>
          <w:szCs w:val="20"/>
        </w:rPr>
        <w:t xml:space="preserve"> </w:t>
      </w:r>
      <w:r>
        <w:rPr>
          <w:spacing w:val="3"/>
          <w:sz w:val="20"/>
          <w:szCs w:val="20"/>
        </w:rPr>
        <w:t>改进所提出的新的技术方案。实用新型，是指对产品的形状、构造或者其结合所提出</w:t>
      </w:r>
      <w:r>
        <w:rPr>
          <w:spacing w:val="2"/>
          <w:sz w:val="20"/>
          <w:szCs w:val="20"/>
        </w:rPr>
        <w:t>的适于实</w:t>
      </w:r>
      <w:r>
        <w:rPr>
          <w:sz w:val="20"/>
          <w:szCs w:val="20"/>
        </w:rPr>
        <w:t xml:space="preserve"> </w:t>
      </w:r>
      <w:r>
        <w:rPr>
          <w:spacing w:val="3"/>
          <w:sz w:val="20"/>
          <w:szCs w:val="20"/>
        </w:rPr>
        <w:t>用的新的技术方案。外观设计，是指对产品的整体或者局部的形状、图案或</w:t>
      </w:r>
      <w:r>
        <w:rPr>
          <w:spacing w:val="2"/>
          <w:sz w:val="20"/>
          <w:szCs w:val="20"/>
        </w:rPr>
        <w:t>者其结合以及色彩</w:t>
      </w:r>
      <w:r>
        <w:rPr>
          <w:sz w:val="20"/>
          <w:szCs w:val="20"/>
        </w:rPr>
        <w:t xml:space="preserve"> </w:t>
      </w:r>
      <w:r>
        <w:rPr>
          <w:spacing w:val="-2"/>
          <w:sz w:val="20"/>
          <w:szCs w:val="20"/>
        </w:rPr>
        <w:t>与形状、图案的结合所作出的富有美感并适于工业应用的新设计。</w:t>
      </w:r>
    </w:p>
    <w:p w14:paraId="730B564A">
      <w:pPr>
        <w:spacing w:before="145" w:line="222" w:lineRule="auto"/>
        <w:ind w:left="752"/>
        <w:rPr>
          <w:rFonts w:ascii="黑体" w:hAnsi="黑体" w:eastAsia="黑体" w:cs="黑体"/>
          <w:sz w:val="20"/>
          <w:szCs w:val="20"/>
        </w:rPr>
      </w:pPr>
      <w:r>
        <w:rPr>
          <w:rFonts w:ascii="黑体" w:hAnsi="黑体" w:eastAsia="黑体" w:cs="黑体"/>
          <w:b/>
          <w:bCs/>
          <w:color w:val="0E6BBD"/>
          <w:sz w:val="20"/>
          <w:szCs w:val="20"/>
        </w:rPr>
        <w:t>7.著作权法</w:t>
      </w:r>
    </w:p>
    <w:p w14:paraId="733D4624">
      <w:pPr>
        <w:pStyle w:val="2"/>
        <w:spacing w:before="122" w:line="278" w:lineRule="auto"/>
        <w:ind w:left="359" w:right="92" w:firstLine="289"/>
        <w:jc w:val="both"/>
        <w:rPr>
          <w:sz w:val="20"/>
          <w:szCs w:val="20"/>
        </w:rPr>
      </w:pPr>
      <w:r>
        <w:rPr>
          <w:spacing w:val="9"/>
          <w:sz w:val="20"/>
          <w:szCs w:val="20"/>
        </w:rPr>
        <w:t>《中华人民共和国著作权法》(简称“著作权法”)根据2020年11月11日第十三届全国人</w:t>
      </w:r>
      <w:r>
        <w:rPr>
          <w:spacing w:val="12"/>
          <w:sz w:val="20"/>
          <w:szCs w:val="20"/>
        </w:rPr>
        <w:t xml:space="preserve"> </w:t>
      </w:r>
      <w:r>
        <w:rPr>
          <w:spacing w:val="-7"/>
          <w:sz w:val="20"/>
          <w:szCs w:val="20"/>
        </w:rPr>
        <w:t>民代表大会常务委员会第二十三次会议《关于修改《中华人民共和国著作权法〉的决定》进行第三</w:t>
      </w:r>
      <w:r>
        <w:rPr>
          <w:spacing w:val="17"/>
          <w:sz w:val="20"/>
          <w:szCs w:val="20"/>
        </w:rPr>
        <w:t xml:space="preserve"> </w:t>
      </w:r>
      <w:r>
        <w:rPr>
          <w:spacing w:val="-2"/>
          <w:sz w:val="20"/>
          <w:szCs w:val="20"/>
        </w:rPr>
        <w:t>次修正，并于2021年6月1日起施行。这部法律对著作权保护及其具体</w:t>
      </w:r>
      <w:r>
        <w:rPr>
          <w:spacing w:val="-3"/>
          <w:sz w:val="20"/>
          <w:szCs w:val="20"/>
        </w:rPr>
        <w:t>实施做出了明确的规定。</w:t>
      </w:r>
    </w:p>
    <w:p w14:paraId="1A66C162">
      <w:pPr>
        <w:pStyle w:val="2"/>
        <w:spacing w:before="36" w:line="278" w:lineRule="auto"/>
        <w:ind w:left="359" w:right="109" w:firstLine="389"/>
        <w:jc w:val="both"/>
        <w:rPr>
          <w:sz w:val="20"/>
          <w:szCs w:val="20"/>
        </w:rPr>
      </w:pPr>
      <w:r>
        <w:rPr>
          <w:spacing w:val="3"/>
          <w:sz w:val="20"/>
          <w:szCs w:val="20"/>
        </w:rPr>
        <w:t>为保护文学、艺术和科学作品作者的著作权，以及与著作权有关的</w:t>
      </w:r>
      <w:r>
        <w:rPr>
          <w:spacing w:val="2"/>
          <w:sz w:val="20"/>
          <w:szCs w:val="20"/>
        </w:rPr>
        <w:t>权益，鼓励有益于社会</w:t>
      </w:r>
      <w:r>
        <w:rPr>
          <w:sz w:val="20"/>
          <w:szCs w:val="20"/>
        </w:rPr>
        <w:t xml:space="preserve"> </w:t>
      </w:r>
      <w:r>
        <w:rPr>
          <w:spacing w:val="2"/>
          <w:sz w:val="20"/>
          <w:szCs w:val="20"/>
        </w:rPr>
        <w:t>主义精神文明、物质文明建设的作品的创作和传播，促进社会主义文化和科学事业的发展与繁</w:t>
      </w:r>
      <w:r>
        <w:rPr>
          <w:spacing w:val="17"/>
          <w:sz w:val="20"/>
          <w:szCs w:val="20"/>
        </w:rPr>
        <w:t xml:space="preserve"> </w:t>
      </w:r>
      <w:r>
        <w:rPr>
          <w:spacing w:val="-3"/>
          <w:sz w:val="20"/>
          <w:szCs w:val="20"/>
        </w:rPr>
        <w:t>荣，根据宪法制定著作权法。</w:t>
      </w:r>
    </w:p>
    <w:p w14:paraId="3EC925A7">
      <w:pPr>
        <w:pStyle w:val="2"/>
        <w:spacing w:before="28" w:line="270" w:lineRule="auto"/>
        <w:ind w:left="359" w:firstLine="389"/>
        <w:jc w:val="both"/>
        <w:rPr>
          <w:sz w:val="20"/>
          <w:szCs w:val="20"/>
        </w:rPr>
      </w:pPr>
      <w:r>
        <w:rPr>
          <w:spacing w:val="3"/>
          <w:sz w:val="20"/>
          <w:szCs w:val="20"/>
        </w:rPr>
        <w:t>著作权法所称的作品，是指文学、艺术和科学领域内具有独创性并能以一定形式表现的智</w:t>
      </w:r>
      <w:r>
        <w:rPr>
          <w:sz w:val="20"/>
          <w:szCs w:val="20"/>
        </w:rPr>
        <w:t xml:space="preserve">  </w:t>
      </w:r>
      <w:r>
        <w:rPr>
          <w:spacing w:val="-4"/>
          <w:sz w:val="20"/>
          <w:szCs w:val="20"/>
        </w:rPr>
        <w:t>力成果，具体包括九类：文字作品；口述作品；音乐、</w:t>
      </w:r>
      <w:r>
        <w:rPr>
          <w:spacing w:val="-5"/>
          <w:sz w:val="20"/>
          <w:szCs w:val="20"/>
        </w:rPr>
        <w:t>戏剧、曲艺、舞蹈、杂技艺术作品；美术、</w:t>
      </w:r>
      <w:r>
        <w:rPr>
          <w:sz w:val="20"/>
          <w:szCs w:val="20"/>
        </w:rPr>
        <w:t xml:space="preserve"> </w:t>
      </w:r>
      <w:r>
        <w:rPr>
          <w:spacing w:val="3"/>
          <w:sz w:val="20"/>
          <w:szCs w:val="20"/>
        </w:rPr>
        <w:t>建筑作品；摄影作品；视听作品；工程设计图、产品设计图、地图、示意图等图形作品和模型</w:t>
      </w:r>
      <w:r>
        <w:rPr>
          <w:sz w:val="20"/>
          <w:szCs w:val="20"/>
        </w:rPr>
        <w:t xml:space="preserve">  </w:t>
      </w:r>
      <w:r>
        <w:rPr>
          <w:spacing w:val="-2"/>
          <w:sz w:val="20"/>
          <w:szCs w:val="20"/>
        </w:rPr>
        <w:t>作品；计算机软件；符合作品特征的其他智力成果。</w:t>
      </w:r>
    </w:p>
    <w:p w14:paraId="106EE663">
      <w:pPr>
        <w:pStyle w:val="2"/>
        <w:spacing w:before="146" w:line="221" w:lineRule="auto"/>
        <w:ind w:left="752"/>
        <w:rPr>
          <w:rFonts w:ascii="黑体" w:hAnsi="黑体" w:eastAsia="黑体" w:cs="黑体"/>
          <w:sz w:val="20"/>
          <w:szCs w:val="20"/>
        </w:rPr>
      </w:pPr>
      <w:r>
        <w:rPr>
          <w:b/>
          <w:bCs/>
          <w:color w:val="0066CC"/>
          <w:spacing w:val="1"/>
          <w:sz w:val="20"/>
          <w:szCs w:val="20"/>
        </w:rPr>
        <w:t>8.</w:t>
      </w:r>
      <w:r>
        <w:rPr>
          <w:rFonts w:ascii="黑体" w:hAnsi="黑体" w:eastAsia="黑体" w:cs="黑体"/>
          <w:b/>
          <w:bCs/>
          <w:color w:val="0066CC"/>
          <w:spacing w:val="1"/>
          <w:sz w:val="20"/>
          <w:szCs w:val="20"/>
        </w:rPr>
        <w:t>网络安全法</w:t>
      </w:r>
    </w:p>
    <w:p w14:paraId="2327EA02">
      <w:pPr>
        <w:pStyle w:val="2"/>
        <w:spacing w:before="134" w:line="219" w:lineRule="auto"/>
        <w:ind w:left="649"/>
        <w:rPr>
          <w:sz w:val="20"/>
          <w:szCs w:val="20"/>
        </w:rPr>
      </w:pPr>
      <w:r>
        <w:rPr>
          <w:spacing w:val="7"/>
          <w:sz w:val="20"/>
          <w:szCs w:val="20"/>
        </w:rPr>
        <w:t>《中华人民共和国网络安全法》(简称“网络安全法”)于2016年11月7日在第十二届全国</w:t>
      </w:r>
    </w:p>
    <w:p w14:paraId="4319B157">
      <w:pPr>
        <w:spacing w:line="219" w:lineRule="auto"/>
        <w:rPr>
          <w:sz w:val="20"/>
          <w:szCs w:val="20"/>
        </w:rPr>
        <w:sectPr>
          <w:pgSz w:w="10300" w:h="13440"/>
          <w:pgMar w:top="400" w:right="979" w:bottom="400" w:left="550" w:header="0" w:footer="0" w:gutter="0"/>
          <w:cols w:space="720" w:num="1"/>
        </w:sectPr>
      </w:pPr>
    </w:p>
    <w:p w14:paraId="5BA690FB">
      <w:pPr>
        <w:pStyle w:val="2"/>
        <w:spacing w:before="77" w:line="184" w:lineRule="auto"/>
        <w:ind w:left="5839"/>
        <w:rPr>
          <w:sz w:val="20"/>
          <w:szCs w:val="20"/>
        </w:rPr>
      </w:pPr>
      <w:r>
        <w:pict>
          <v:shape id="_x0000_s1569" o:spid="_x0000_s1569" o:spt="202" type="#_x0000_t202" style="position:absolute;left:0pt;margin-left:400pt;margin-top:10.75pt;height:9.1pt;width:34.65pt;z-index:251797504;mso-width-relative:page;mso-height-relative:page;" filled="f" stroked="f" coordsize="21600,21600">
            <v:path/>
            <v:fill on="f" focussize="0,0"/>
            <v:stroke on="f"/>
            <v:imagedata o:title=""/>
            <o:lock v:ext="edit" aspectratio="f"/>
            <v:textbox inset="0mm,0mm,0mm,0mm">
              <w:txbxContent>
                <w:p w14:paraId="562E53C0">
                  <w:pPr>
                    <w:pStyle w:val="2"/>
                    <w:spacing w:before="20" w:line="238" w:lineRule="auto"/>
                    <w:ind w:left="20"/>
                    <w:rPr>
                      <w:rFonts w:ascii="Times New Roman" w:hAnsi="Times New Roman" w:eastAsia="Times New Roman" w:cs="Times New Roman"/>
                    </w:rPr>
                  </w:pPr>
                  <w:r>
                    <w:rPr>
                      <w:color w:val="008DEB"/>
                      <w:spacing w:val="-5"/>
                    </w:rPr>
                    <w:t>■</w:t>
                  </w:r>
                  <w:r>
                    <w:rPr>
                      <w:color w:val="008DEB"/>
                      <w:spacing w:val="4"/>
                    </w:rPr>
                    <w:t xml:space="preserve">    </w:t>
                  </w:r>
                  <w:r>
                    <w:rPr>
                      <w:rFonts w:ascii="Times New Roman" w:hAnsi="Times New Roman" w:eastAsia="Times New Roman" w:cs="Times New Roman"/>
                      <w:spacing w:val="-5"/>
                    </w:rPr>
                    <w:t>41</w:t>
                  </w:r>
                  <w:r>
                    <w:rPr>
                      <w:rFonts w:ascii="Times New Roman" w:hAnsi="Times New Roman" w:eastAsia="Times New Roman" w:cs="Times New Roman"/>
                      <w:spacing w:val="1"/>
                    </w:rPr>
                    <w:t xml:space="preserve">      </w:t>
                  </w:r>
                  <w:r>
                    <w:rPr>
                      <w:rFonts w:ascii="Times New Roman" w:hAnsi="Times New Roman" w:eastAsia="Times New Roman" w:cs="Times New Roman"/>
                      <w:color w:val="008DEB"/>
                      <w:spacing w:val="-5"/>
                    </w:rPr>
                    <w:t>1</w:t>
                  </w:r>
                </w:p>
              </w:txbxContent>
            </v:textbox>
          </v:shape>
        </w:pict>
      </w:r>
      <w:r>
        <w:rPr>
          <w:spacing w:val="-1"/>
          <w:sz w:val="20"/>
          <w:szCs w:val="20"/>
        </w:rPr>
        <w:t>第19章 监理支撑要素</w:t>
      </w:r>
    </w:p>
    <w:p w14:paraId="008D2FFF">
      <w:pPr>
        <w:spacing w:line="342" w:lineRule="auto"/>
        <w:rPr>
          <w:rFonts w:ascii="Arial"/>
          <w:sz w:val="21"/>
        </w:rPr>
      </w:pPr>
    </w:p>
    <w:p w14:paraId="7BE2DCF4">
      <w:pPr>
        <w:pStyle w:val="2"/>
        <w:spacing w:before="65" w:line="219" w:lineRule="auto"/>
        <w:rPr>
          <w:sz w:val="20"/>
          <w:szCs w:val="20"/>
        </w:rPr>
      </w:pPr>
      <w:r>
        <w:rPr>
          <w:spacing w:val="7"/>
          <w:sz w:val="20"/>
          <w:szCs w:val="20"/>
        </w:rPr>
        <w:t>人民代表大会常务委员会第二十四次会议上通过，自2017年6月1日起施行。</w:t>
      </w:r>
    </w:p>
    <w:p w14:paraId="000201F0">
      <w:pPr>
        <w:pStyle w:val="2"/>
        <w:spacing w:before="94" w:line="268" w:lineRule="auto"/>
        <w:ind w:right="342" w:firstLine="399"/>
        <w:jc w:val="both"/>
        <w:rPr>
          <w:sz w:val="20"/>
          <w:szCs w:val="20"/>
        </w:rPr>
      </w:pPr>
      <w:r>
        <w:rPr>
          <w:spacing w:val="3"/>
          <w:sz w:val="20"/>
          <w:szCs w:val="20"/>
        </w:rPr>
        <w:t>网络安全法是我国为保障网络安全，维护网络空间主权和国家安全、社会公共利益，保护</w:t>
      </w:r>
      <w:r>
        <w:rPr>
          <w:spacing w:val="6"/>
          <w:sz w:val="20"/>
          <w:szCs w:val="20"/>
        </w:rPr>
        <w:t xml:space="preserve"> </w:t>
      </w:r>
      <w:r>
        <w:rPr>
          <w:spacing w:val="3"/>
          <w:sz w:val="20"/>
          <w:szCs w:val="20"/>
        </w:rPr>
        <w:t>公民、法人和其他组织的合法权益，促进经济社会信息化健康发展而制定的第一部全面规范网</w:t>
      </w:r>
      <w:r>
        <w:rPr>
          <w:spacing w:val="5"/>
          <w:sz w:val="20"/>
          <w:szCs w:val="20"/>
        </w:rPr>
        <w:t xml:space="preserve"> </w:t>
      </w:r>
      <w:r>
        <w:rPr>
          <w:spacing w:val="-2"/>
          <w:sz w:val="20"/>
          <w:szCs w:val="20"/>
        </w:rPr>
        <w:t>络空间安全管理方面问题的基础性法律。</w:t>
      </w:r>
    </w:p>
    <w:p w14:paraId="04E980EE">
      <w:pPr>
        <w:pStyle w:val="2"/>
        <w:spacing w:before="67" w:line="293" w:lineRule="auto"/>
        <w:ind w:right="262" w:firstLine="399"/>
        <w:jc w:val="both"/>
        <w:rPr>
          <w:sz w:val="16"/>
          <w:szCs w:val="16"/>
        </w:rPr>
      </w:pPr>
      <w:r>
        <w:rPr>
          <w:spacing w:val="4"/>
          <w:sz w:val="20"/>
          <w:szCs w:val="20"/>
        </w:rPr>
        <w:t>网络安全法给出了网络、网络安全、网络数据等术</w:t>
      </w:r>
      <w:r>
        <w:rPr>
          <w:spacing w:val="3"/>
          <w:sz w:val="20"/>
          <w:szCs w:val="20"/>
        </w:rPr>
        <w:t>语定义，明确了部门、企业、社会组织</w:t>
      </w:r>
      <w:r>
        <w:rPr>
          <w:sz w:val="20"/>
          <w:szCs w:val="20"/>
        </w:rPr>
        <w:t xml:space="preserve"> 和个人的权利、义务和责任，规定了国家网络安全工作的基本原则、主要任务和重大指导思想、</w:t>
      </w:r>
      <w:r>
        <w:rPr>
          <w:spacing w:val="8"/>
          <w:sz w:val="20"/>
          <w:szCs w:val="20"/>
        </w:rPr>
        <w:t xml:space="preserve"> 理念，适用于在中华人民共和国境内建设、运营、维护和使用的网络，以及网络安全的监督</w:t>
      </w:r>
      <w:r>
        <w:rPr>
          <w:sz w:val="20"/>
          <w:szCs w:val="20"/>
        </w:rPr>
        <w:t xml:space="preserve">  </w:t>
      </w:r>
      <w:r>
        <w:rPr>
          <w:spacing w:val="-7"/>
          <w:sz w:val="16"/>
          <w:szCs w:val="16"/>
        </w:rPr>
        <w:t>管</w:t>
      </w:r>
      <w:r>
        <w:rPr>
          <w:spacing w:val="-14"/>
          <w:sz w:val="16"/>
          <w:szCs w:val="16"/>
        </w:rPr>
        <w:t xml:space="preserve"> </w:t>
      </w:r>
      <w:r>
        <w:rPr>
          <w:spacing w:val="-7"/>
          <w:sz w:val="16"/>
          <w:szCs w:val="16"/>
        </w:rPr>
        <w:t>理</w:t>
      </w:r>
      <w:r>
        <w:rPr>
          <w:spacing w:val="-23"/>
          <w:sz w:val="16"/>
          <w:szCs w:val="16"/>
        </w:rPr>
        <w:t xml:space="preserve"> </w:t>
      </w:r>
      <w:r>
        <w:rPr>
          <w:spacing w:val="-7"/>
          <w:sz w:val="16"/>
          <w:szCs w:val="16"/>
        </w:rPr>
        <w:t>。</w:t>
      </w:r>
    </w:p>
    <w:p w14:paraId="24538049">
      <w:pPr>
        <w:pStyle w:val="2"/>
        <w:spacing w:before="120" w:line="221" w:lineRule="auto"/>
        <w:ind w:left="402"/>
        <w:rPr>
          <w:rFonts w:ascii="黑体" w:hAnsi="黑体" w:eastAsia="黑体" w:cs="黑体"/>
          <w:sz w:val="20"/>
          <w:szCs w:val="20"/>
        </w:rPr>
      </w:pPr>
      <w:r>
        <w:rPr>
          <w:b/>
          <w:bCs/>
          <w:color w:val="0069C5"/>
          <w:spacing w:val="2"/>
          <w:sz w:val="20"/>
          <w:szCs w:val="20"/>
        </w:rPr>
        <w:t>9.</w:t>
      </w:r>
      <w:r>
        <w:rPr>
          <w:rFonts w:ascii="黑体" w:hAnsi="黑体" w:eastAsia="黑体" w:cs="黑体"/>
          <w:b/>
          <w:bCs/>
          <w:color w:val="0069C5"/>
          <w:spacing w:val="2"/>
          <w:sz w:val="20"/>
          <w:szCs w:val="20"/>
        </w:rPr>
        <w:t>密码法</w:t>
      </w:r>
    </w:p>
    <w:p w14:paraId="0E58FE09">
      <w:pPr>
        <w:pStyle w:val="2"/>
        <w:spacing w:before="165" w:line="263" w:lineRule="auto"/>
        <w:ind w:right="361" w:firstLine="299"/>
        <w:rPr>
          <w:sz w:val="20"/>
          <w:szCs w:val="20"/>
        </w:rPr>
      </w:pPr>
      <w:r>
        <w:rPr>
          <w:spacing w:val="10"/>
          <w:sz w:val="20"/>
          <w:szCs w:val="20"/>
        </w:rPr>
        <w:t>《中华人民共和国密码法》(简称“密码法”)于</w:t>
      </w:r>
      <w:r>
        <w:rPr>
          <w:spacing w:val="9"/>
          <w:sz w:val="20"/>
          <w:szCs w:val="20"/>
        </w:rPr>
        <w:t>2019年10月26日在第十三届全国人民代</w:t>
      </w:r>
      <w:r>
        <w:rPr>
          <w:sz w:val="20"/>
          <w:szCs w:val="20"/>
        </w:rPr>
        <w:t xml:space="preserve"> </w:t>
      </w:r>
      <w:r>
        <w:rPr>
          <w:spacing w:val="8"/>
          <w:sz w:val="20"/>
          <w:szCs w:val="20"/>
        </w:rPr>
        <w:t>表大会常务委员会第十四次会议上表决通过，自</w:t>
      </w:r>
      <w:r>
        <w:rPr>
          <w:spacing w:val="7"/>
          <w:sz w:val="20"/>
          <w:szCs w:val="20"/>
        </w:rPr>
        <w:t>2020年1月1日起施行。</w:t>
      </w:r>
    </w:p>
    <w:p w14:paraId="370258C0">
      <w:pPr>
        <w:pStyle w:val="2"/>
        <w:spacing w:before="50" w:line="281" w:lineRule="auto"/>
        <w:ind w:right="261" w:firstLine="399"/>
        <w:rPr>
          <w:sz w:val="20"/>
          <w:szCs w:val="20"/>
        </w:rPr>
      </w:pPr>
      <w:r>
        <w:rPr>
          <w:spacing w:val="1"/>
          <w:sz w:val="20"/>
          <w:szCs w:val="20"/>
        </w:rPr>
        <w:t>全国人大常委会在主持第十三届全国人大常</w:t>
      </w:r>
      <w:r>
        <w:rPr>
          <w:sz w:val="20"/>
          <w:szCs w:val="20"/>
        </w:rPr>
        <w:t xml:space="preserve">委会第十四次会议闭幕会时指出："密码法，是  </w:t>
      </w:r>
      <w:r>
        <w:rPr>
          <w:spacing w:val="-2"/>
          <w:sz w:val="20"/>
          <w:szCs w:val="20"/>
        </w:rPr>
        <w:t>我国密码领域的综合性、基础性法律。”国家为规范密码的应用和管理，促进密码事业发展，保</w:t>
      </w:r>
      <w:r>
        <w:rPr>
          <w:sz w:val="20"/>
          <w:szCs w:val="20"/>
        </w:rPr>
        <w:t xml:space="preserve">  </w:t>
      </w:r>
      <w:r>
        <w:rPr>
          <w:spacing w:val="5"/>
          <w:sz w:val="20"/>
          <w:szCs w:val="20"/>
        </w:rPr>
        <w:t>障网络与信息安全，维护国家安全和社会公共利益，保护公民、法人和其他组织的合法权益，</w:t>
      </w:r>
      <w:r>
        <w:rPr>
          <w:spacing w:val="4"/>
          <w:sz w:val="20"/>
          <w:szCs w:val="20"/>
        </w:rPr>
        <w:t xml:space="preserve"> </w:t>
      </w:r>
      <w:r>
        <w:rPr>
          <w:spacing w:val="5"/>
          <w:sz w:val="20"/>
          <w:szCs w:val="20"/>
        </w:rPr>
        <w:t>制定了密码法，规定了密码是采用特定变换的方法对信息等进行加密保护、安全认证的技术、</w:t>
      </w:r>
      <w:r>
        <w:rPr>
          <w:spacing w:val="3"/>
          <w:sz w:val="20"/>
          <w:szCs w:val="20"/>
        </w:rPr>
        <w:t xml:space="preserve"> </w:t>
      </w:r>
      <w:r>
        <w:rPr>
          <w:spacing w:val="-6"/>
          <w:sz w:val="20"/>
          <w:szCs w:val="20"/>
        </w:rPr>
        <w:t>产品和服务。</w:t>
      </w:r>
    </w:p>
    <w:p w14:paraId="7FDE299B">
      <w:pPr>
        <w:pStyle w:val="2"/>
        <w:spacing w:before="48" w:line="277" w:lineRule="auto"/>
        <w:ind w:right="308" w:firstLine="399"/>
        <w:jc w:val="both"/>
        <w:rPr>
          <w:sz w:val="20"/>
          <w:szCs w:val="20"/>
        </w:rPr>
      </w:pPr>
      <w:r>
        <w:rPr>
          <w:spacing w:val="3"/>
          <w:sz w:val="20"/>
          <w:szCs w:val="20"/>
        </w:rPr>
        <w:t>通过对网络安全法、数据安全法、密码法、反间谍法、反外国制裁法等重要法律的制定或</w:t>
      </w:r>
      <w:r>
        <w:rPr>
          <w:spacing w:val="1"/>
          <w:sz w:val="20"/>
          <w:szCs w:val="20"/>
        </w:rPr>
        <w:t xml:space="preserve"> </w:t>
      </w:r>
      <w:r>
        <w:rPr>
          <w:spacing w:val="3"/>
          <w:sz w:val="20"/>
          <w:szCs w:val="20"/>
        </w:rPr>
        <w:t>修改完善，已基本形成国家安全法律制度体系框架，为维护国家安全、核心利益</w:t>
      </w:r>
      <w:r>
        <w:rPr>
          <w:spacing w:val="2"/>
          <w:sz w:val="20"/>
          <w:szCs w:val="20"/>
        </w:rPr>
        <w:t>和重大利益提</w:t>
      </w:r>
      <w:r>
        <w:rPr>
          <w:sz w:val="20"/>
          <w:szCs w:val="20"/>
        </w:rPr>
        <w:t xml:space="preserve"> </w:t>
      </w:r>
      <w:r>
        <w:rPr>
          <w:spacing w:val="-1"/>
          <w:sz w:val="20"/>
          <w:szCs w:val="20"/>
        </w:rPr>
        <w:t>供了有力的法律依据和法治保障，更全面地提供了国家安全在各行业、各领域保障的法律依据。</w:t>
      </w:r>
    </w:p>
    <w:p w14:paraId="6DFE56B3">
      <w:pPr>
        <w:pStyle w:val="2"/>
        <w:spacing w:before="127" w:line="222" w:lineRule="auto"/>
        <w:ind w:left="402"/>
        <w:rPr>
          <w:rFonts w:ascii="黑体" w:hAnsi="黑体" w:eastAsia="黑体" w:cs="黑体"/>
          <w:sz w:val="20"/>
          <w:szCs w:val="20"/>
        </w:rPr>
      </w:pPr>
      <w:r>
        <w:rPr>
          <w:b/>
          <w:bCs/>
          <w:color w:val="0058BE"/>
          <w:spacing w:val="-2"/>
          <w:sz w:val="20"/>
          <w:szCs w:val="20"/>
        </w:rPr>
        <w:t>10.</w:t>
      </w:r>
      <w:r>
        <w:rPr>
          <w:rFonts w:ascii="黑体" w:hAnsi="黑体" w:eastAsia="黑体" w:cs="黑体"/>
          <w:b/>
          <w:bCs/>
          <w:color w:val="0058BE"/>
          <w:spacing w:val="-2"/>
          <w:sz w:val="20"/>
          <w:szCs w:val="20"/>
        </w:rPr>
        <w:t>数据安全法</w:t>
      </w:r>
    </w:p>
    <w:p w14:paraId="7CD0E56B">
      <w:pPr>
        <w:pStyle w:val="2"/>
        <w:spacing w:before="151" w:line="272" w:lineRule="auto"/>
        <w:ind w:right="342" w:firstLine="299"/>
        <w:jc w:val="both"/>
        <w:rPr>
          <w:sz w:val="20"/>
          <w:szCs w:val="20"/>
        </w:rPr>
      </w:pPr>
      <w:r>
        <w:rPr>
          <w:spacing w:val="10"/>
          <w:sz w:val="20"/>
          <w:szCs w:val="20"/>
        </w:rPr>
        <w:t>《中华人民共和国数据安全法》(简称“数据安全法”)于2021年9月1日起施行。数据安</w:t>
      </w:r>
      <w:r>
        <w:rPr>
          <w:spacing w:val="8"/>
          <w:sz w:val="20"/>
          <w:szCs w:val="20"/>
        </w:rPr>
        <w:t xml:space="preserve"> </w:t>
      </w:r>
      <w:r>
        <w:rPr>
          <w:spacing w:val="3"/>
          <w:sz w:val="20"/>
          <w:szCs w:val="20"/>
        </w:rPr>
        <w:t>全法作为数据安全领域最高位阶的专门法，从数据安全与发展、数据安全制度、数据安全保护</w:t>
      </w:r>
      <w:r>
        <w:rPr>
          <w:sz w:val="20"/>
          <w:szCs w:val="20"/>
        </w:rPr>
        <w:t xml:space="preserve"> </w:t>
      </w:r>
      <w:r>
        <w:rPr>
          <w:spacing w:val="3"/>
          <w:sz w:val="20"/>
          <w:szCs w:val="20"/>
        </w:rPr>
        <w:t>义务、政务数据安全与开放的角度对数据安全保护的义务和相应法律责任进行规</w:t>
      </w:r>
      <w:r>
        <w:rPr>
          <w:spacing w:val="2"/>
          <w:sz w:val="20"/>
          <w:szCs w:val="20"/>
        </w:rPr>
        <w:t>定。同时，数</w:t>
      </w:r>
      <w:r>
        <w:rPr>
          <w:sz w:val="20"/>
          <w:szCs w:val="20"/>
        </w:rPr>
        <w:t xml:space="preserve"> </w:t>
      </w:r>
      <w:r>
        <w:rPr>
          <w:spacing w:val="3"/>
          <w:sz w:val="20"/>
          <w:szCs w:val="20"/>
        </w:rPr>
        <w:t>据安全法延续了网络安全法生效以来的“一轴两翼多级”的监管体系，通过多</w:t>
      </w:r>
      <w:r>
        <w:rPr>
          <w:spacing w:val="2"/>
          <w:sz w:val="20"/>
          <w:szCs w:val="20"/>
        </w:rPr>
        <w:t>方共同参与实现</w:t>
      </w:r>
      <w:r>
        <w:rPr>
          <w:sz w:val="20"/>
          <w:szCs w:val="20"/>
        </w:rPr>
        <w:t xml:space="preserve"> </w:t>
      </w:r>
      <w:r>
        <w:rPr>
          <w:spacing w:val="-2"/>
          <w:sz w:val="20"/>
          <w:szCs w:val="20"/>
        </w:rPr>
        <w:t>各地方、各部门对工作集中收集和产生数据的安全管理。</w:t>
      </w:r>
    </w:p>
    <w:p w14:paraId="0354B592">
      <w:pPr>
        <w:pStyle w:val="2"/>
        <w:spacing w:before="134" w:line="221" w:lineRule="auto"/>
        <w:ind w:left="402"/>
        <w:rPr>
          <w:rFonts w:ascii="黑体" w:hAnsi="黑体" w:eastAsia="黑体" w:cs="黑体"/>
          <w:sz w:val="20"/>
          <w:szCs w:val="20"/>
        </w:rPr>
      </w:pPr>
      <w:r>
        <w:rPr>
          <w:b/>
          <w:bCs/>
          <w:color w:val="0071D5"/>
          <w:spacing w:val="-3"/>
          <w:sz w:val="20"/>
          <w:szCs w:val="20"/>
        </w:rPr>
        <w:t>11.</w:t>
      </w:r>
      <w:r>
        <w:rPr>
          <w:rFonts w:ascii="黑体" w:hAnsi="黑体" w:eastAsia="黑体" w:cs="黑体"/>
          <w:b/>
          <w:bCs/>
          <w:color w:val="0071D5"/>
          <w:spacing w:val="-3"/>
          <w:sz w:val="20"/>
          <w:szCs w:val="20"/>
        </w:rPr>
        <w:t>关键信息基础设施安全保护条例</w:t>
      </w:r>
    </w:p>
    <w:p w14:paraId="6708234D">
      <w:pPr>
        <w:pStyle w:val="2"/>
        <w:spacing w:before="144" w:line="281" w:lineRule="auto"/>
        <w:ind w:right="341" w:firstLine="299"/>
        <w:jc w:val="both"/>
        <w:rPr>
          <w:sz w:val="20"/>
          <w:szCs w:val="20"/>
        </w:rPr>
      </w:pPr>
      <w:r>
        <w:rPr>
          <w:spacing w:val="11"/>
          <w:sz w:val="20"/>
          <w:szCs w:val="20"/>
        </w:rPr>
        <w:t>《关键信息基础设施安全保护条例》于20</w:t>
      </w:r>
      <w:r>
        <w:rPr>
          <w:spacing w:val="10"/>
          <w:sz w:val="20"/>
          <w:szCs w:val="20"/>
        </w:rPr>
        <w:t>21年9月1日起施行。为了保障关键信息基础设</w:t>
      </w:r>
      <w:r>
        <w:rPr>
          <w:sz w:val="20"/>
          <w:szCs w:val="20"/>
        </w:rPr>
        <w:t xml:space="preserve"> </w:t>
      </w:r>
      <w:r>
        <w:rPr>
          <w:spacing w:val="3"/>
          <w:sz w:val="20"/>
          <w:szCs w:val="20"/>
        </w:rPr>
        <w:t>施安全，维护网络安全，根据网络安全法，制定本条例。本条例所称关键信息基础设施，是指</w:t>
      </w:r>
      <w:r>
        <w:rPr>
          <w:sz w:val="20"/>
          <w:szCs w:val="20"/>
        </w:rPr>
        <w:t xml:space="preserve"> </w:t>
      </w:r>
      <w:r>
        <w:rPr>
          <w:spacing w:val="3"/>
          <w:sz w:val="20"/>
          <w:szCs w:val="20"/>
        </w:rPr>
        <w:t>公共通信和信息服务、能源、交通、水利、金融、公共服务、电子政务、国防科技工</w:t>
      </w:r>
      <w:r>
        <w:rPr>
          <w:spacing w:val="2"/>
          <w:sz w:val="20"/>
          <w:szCs w:val="20"/>
        </w:rPr>
        <w:t>业等重要</w:t>
      </w:r>
      <w:r>
        <w:rPr>
          <w:sz w:val="20"/>
          <w:szCs w:val="20"/>
        </w:rPr>
        <w:t xml:space="preserve"> </w:t>
      </w:r>
      <w:r>
        <w:rPr>
          <w:spacing w:val="3"/>
          <w:sz w:val="20"/>
          <w:szCs w:val="20"/>
        </w:rPr>
        <w:t>行业和领域的，以及其他一旦遭到破坏、丧失功能或者数据泄露，可能严重危害国家安全、国</w:t>
      </w:r>
      <w:r>
        <w:rPr>
          <w:spacing w:val="6"/>
          <w:sz w:val="20"/>
          <w:szCs w:val="20"/>
        </w:rPr>
        <w:t xml:space="preserve"> </w:t>
      </w:r>
      <w:r>
        <w:rPr>
          <w:spacing w:val="-2"/>
          <w:sz w:val="20"/>
          <w:szCs w:val="20"/>
        </w:rPr>
        <w:t>计民生、公共利益的重要网络设施、信息系统等。</w:t>
      </w:r>
    </w:p>
    <w:p w14:paraId="2C974BED">
      <w:pPr>
        <w:pStyle w:val="2"/>
        <w:spacing w:before="20" w:line="270" w:lineRule="auto"/>
        <w:ind w:right="262" w:firstLine="399"/>
        <w:jc w:val="both"/>
        <w:rPr>
          <w:sz w:val="20"/>
          <w:szCs w:val="20"/>
        </w:rPr>
      </w:pPr>
      <w:r>
        <w:rPr>
          <w:spacing w:val="3"/>
          <w:sz w:val="20"/>
          <w:szCs w:val="20"/>
        </w:rPr>
        <w:t>国家对关键信息基础设施实行重点保护，采取措施，监测、防御、处置来源于中华人民共</w:t>
      </w:r>
      <w:r>
        <w:rPr>
          <w:sz w:val="20"/>
          <w:szCs w:val="20"/>
        </w:rPr>
        <w:t xml:space="preserve">  </w:t>
      </w:r>
      <w:r>
        <w:rPr>
          <w:spacing w:val="3"/>
          <w:sz w:val="20"/>
          <w:szCs w:val="20"/>
        </w:rPr>
        <w:t>和国境内外的网络安全风险和威胁，保护关键信息基础设施免受攻击、侵入、干扰和破坏，依</w:t>
      </w:r>
      <w:r>
        <w:rPr>
          <w:spacing w:val="17"/>
          <w:sz w:val="20"/>
          <w:szCs w:val="20"/>
        </w:rPr>
        <w:t xml:space="preserve"> </w:t>
      </w:r>
      <w:r>
        <w:rPr>
          <w:sz w:val="20"/>
          <w:szCs w:val="20"/>
        </w:rPr>
        <w:t>法惩治危害关键信息基础设施安全的违法犯罪活动。任何个人和组织不得实施非法侵入、干扰、</w:t>
      </w:r>
      <w:r>
        <w:rPr>
          <w:spacing w:val="8"/>
          <w:sz w:val="20"/>
          <w:szCs w:val="20"/>
        </w:rPr>
        <w:t xml:space="preserve"> </w:t>
      </w:r>
      <w:r>
        <w:rPr>
          <w:spacing w:val="-1"/>
          <w:sz w:val="20"/>
          <w:szCs w:val="20"/>
        </w:rPr>
        <w:t>破坏关键信息基础设施的活动，不得危害关键信息</w:t>
      </w:r>
      <w:r>
        <w:rPr>
          <w:spacing w:val="-2"/>
          <w:sz w:val="20"/>
          <w:szCs w:val="20"/>
        </w:rPr>
        <w:t>基础设施安全。</w:t>
      </w:r>
    </w:p>
    <w:p w14:paraId="73A1D20A">
      <w:pPr>
        <w:spacing w:line="270" w:lineRule="auto"/>
        <w:rPr>
          <w:sz w:val="20"/>
          <w:szCs w:val="20"/>
        </w:rPr>
        <w:sectPr>
          <w:pgSz w:w="10290" w:h="13290"/>
          <w:pgMar w:top="400" w:right="517" w:bottom="400" w:left="1100" w:header="0" w:footer="0" w:gutter="0"/>
          <w:cols w:space="720" w:num="1"/>
        </w:sectPr>
      </w:pPr>
    </w:p>
    <w:p w14:paraId="04AB1986">
      <w:pPr>
        <w:pStyle w:val="2"/>
        <w:spacing w:before="88" w:line="219" w:lineRule="auto"/>
        <w:rPr>
          <w:sz w:val="20"/>
          <w:szCs w:val="20"/>
        </w:rPr>
      </w:pPr>
      <w:r>
        <w:rPr>
          <w:rFonts w:ascii="Times New Roman" w:hAnsi="Times New Roman" w:eastAsia="Times New Roman" w:cs="Times New Roman"/>
          <w:b/>
          <w:bCs/>
          <w:spacing w:val="-3"/>
          <w:sz w:val="20"/>
          <w:szCs w:val="20"/>
        </w:rPr>
        <w:t>412</w:t>
      </w:r>
      <w:r>
        <w:rPr>
          <w:rFonts w:ascii="Times New Roman" w:hAnsi="Times New Roman" w:eastAsia="Times New Roman" w:cs="Times New Roman"/>
          <w:b/>
          <w:bCs/>
          <w:spacing w:val="2"/>
          <w:sz w:val="20"/>
          <w:szCs w:val="20"/>
        </w:rPr>
        <w:t xml:space="preserve">             </w:t>
      </w:r>
      <w:r>
        <w:rPr>
          <w:spacing w:val="-3"/>
          <w:sz w:val="20"/>
          <w:szCs w:val="20"/>
        </w:rPr>
        <w:t>信息系统监理师教程(第2版)</w:t>
      </w:r>
    </w:p>
    <w:p w14:paraId="6947154C">
      <w:pPr>
        <w:spacing w:line="267" w:lineRule="auto"/>
        <w:rPr>
          <w:rFonts w:ascii="Arial"/>
          <w:sz w:val="21"/>
        </w:rPr>
      </w:pPr>
    </w:p>
    <w:p w14:paraId="11A91463">
      <w:pPr>
        <w:pStyle w:val="2"/>
        <w:spacing w:before="94" w:line="223" w:lineRule="auto"/>
        <w:ind w:left="353"/>
        <w:rPr>
          <w:rFonts w:ascii="黑体" w:hAnsi="黑体" w:eastAsia="黑体" w:cs="黑体"/>
          <w:sz w:val="29"/>
          <w:szCs w:val="29"/>
        </w:rPr>
      </w:pPr>
      <w:r>
        <w:rPr>
          <w:b/>
          <w:bCs/>
          <w:color w:val="007CDC"/>
          <w:spacing w:val="-11"/>
          <w:sz w:val="29"/>
          <w:szCs w:val="29"/>
        </w:rPr>
        <w:t>19.2</w:t>
      </w:r>
      <w:r>
        <w:rPr>
          <w:color w:val="007CDC"/>
          <w:spacing w:val="-11"/>
          <w:sz w:val="29"/>
          <w:szCs w:val="29"/>
        </w:rPr>
        <w:t xml:space="preserve">  </w:t>
      </w:r>
      <w:r>
        <w:rPr>
          <w:rFonts w:ascii="黑体" w:hAnsi="黑体" w:eastAsia="黑体" w:cs="黑体"/>
          <w:b/>
          <w:bCs/>
          <w:color w:val="007CDC"/>
          <w:spacing w:val="-11"/>
          <w:sz w:val="29"/>
          <w:szCs w:val="29"/>
        </w:rPr>
        <w:t>标准规范</w:t>
      </w:r>
    </w:p>
    <w:p w14:paraId="351F53E4">
      <w:pPr>
        <w:pStyle w:val="2"/>
        <w:spacing w:before="258" w:line="291" w:lineRule="auto"/>
        <w:ind w:left="349" w:right="93" w:firstLine="390"/>
        <w:rPr>
          <w:sz w:val="20"/>
          <w:szCs w:val="20"/>
        </w:rPr>
      </w:pPr>
      <w:r>
        <w:rPr>
          <w:spacing w:val="3"/>
          <w:sz w:val="20"/>
          <w:szCs w:val="20"/>
        </w:rPr>
        <w:t>本节介绍了与监理工作密切相关的标准的概念及分类、信息化标准体系、系统与软件工程</w:t>
      </w:r>
      <w:r>
        <w:rPr>
          <w:spacing w:val="8"/>
          <w:sz w:val="20"/>
          <w:szCs w:val="20"/>
        </w:rPr>
        <w:t xml:space="preserve"> </w:t>
      </w:r>
      <w:r>
        <w:rPr>
          <w:spacing w:val="-1"/>
          <w:sz w:val="20"/>
          <w:szCs w:val="20"/>
        </w:rPr>
        <w:t>标准、信息技术标准和信息技术服务标准等标准规范，为监理工作提供参考依据和规范要求。</w:t>
      </w:r>
    </w:p>
    <w:p w14:paraId="7A609F6C">
      <w:pPr>
        <w:pStyle w:val="2"/>
        <w:spacing w:before="179" w:line="219" w:lineRule="auto"/>
        <w:ind w:left="353"/>
        <w:rPr>
          <w:sz w:val="25"/>
          <w:szCs w:val="25"/>
        </w:rPr>
      </w:pPr>
      <w:r>
        <w:rPr>
          <w:b/>
          <w:bCs/>
          <w:color w:val="0072E5"/>
          <w:spacing w:val="-17"/>
          <w:sz w:val="25"/>
          <w:szCs w:val="25"/>
        </w:rPr>
        <w:t>19.2.1</w:t>
      </w:r>
      <w:r>
        <w:rPr>
          <w:color w:val="0072E5"/>
          <w:spacing w:val="97"/>
          <w:sz w:val="25"/>
          <w:szCs w:val="25"/>
        </w:rPr>
        <w:t xml:space="preserve"> </w:t>
      </w:r>
      <w:r>
        <w:rPr>
          <w:b/>
          <w:bCs/>
          <w:color w:val="0072E5"/>
          <w:spacing w:val="-17"/>
          <w:sz w:val="25"/>
          <w:szCs w:val="25"/>
        </w:rPr>
        <w:t>标准的概念及分类</w:t>
      </w:r>
    </w:p>
    <w:p w14:paraId="2D444D6D">
      <w:pPr>
        <w:pStyle w:val="2"/>
        <w:spacing w:before="260" w:line="221" w:lineRule="auto"/>
        <w:ind w:left="742"/>
        <w:rPr>
          <w:rFonts w:ascii="黑体" w:hAnsi="黑体" w:eastAsia="黑体" w:cs="黑体"/>
          <w:sz w:val="20"/>
          <w:szCs w:val="20"/>
        </w:rPr>
      </w:pPr>
      <w:r>
        <w:rPr>
          <w:b/>
          <w:bCs/>
          <w:color w:val="006CBF"/>
          <w:spacing w:val="-2"/>
          <w:sz w:val="20"/>
          <w:szCs w:val="20"/>
        </w:rPr>
        <w:t>1.</w:t>
      </w:r>
      <w:r>
        <w:rPr>
          <w:rFonts w:ascii="黑体" w:hAnsi="黑体" w:eastAsia="黑体" w:cs="黑体"/>
          <w:b/>
          <w:bCs/>
          <w:color w:val="006CBF"/>
          <w:spacing w:val="-2"/>
          <w:sz w:val="20"/>
          <w:szCs w:val="20"/>
        </w:rPr>
        <w:t>基本概念</w:t>
      </w:r>
    </w:p>
    <w:p w14:paraId="7AE4A93E">
      <w:pPr>
        <w:pStyle w:val="2"/>
        <w:spacing w:before="167" w:line="281" w:lineRule="auto"/>
        <w:ind w:left="349" w:firstLine="390"/>
        <w:jc w:val="both"/>
        <w:rPr>
          <w:sz w:val="20"/>
          <w:szCs w:val="20"/>
        </w:rPr>
      </w:pPr>
      <w:r>
        <w:rPr>
          <w:spacing w:val="1"/>
          <w:sz w:val="20"/>
          <w:szCs w:val="20"/>
        </w:rPr>
        <w:t>标准是通过标准化活动，按照规定的程序经</w:t>
      </w:r>
      <w:r>
        <w:rPr>
          <w:sz w:val="20"/>
          <w:szCs w:val="20"/>
        </w:rPr>
        <w:t>协商一致制定，为各种活动或其结果提供规则、 指南或特性，供共同使用和重复使用的文件，是标准化活动的核心产物。标准是研究制定法律、</w:t>
      </w:r>
      <w:r>
        <w:rPr>
          <w:spacing w:val="8"/>
          <w:sz w:val="20"/>
          <w:szCs w:val="20"/>
        </w:rPr>
        <w:t xml:space="preserve"> </w:t>
      </w:r>
      <w:r>
        <w:rPr>
          <w:sz w:val="20"/>
          <w:szCs w:val="20"/>
        </w:rPr>
        <w:t>技术法规、政策和规划的依据，是企业从事生产经营活动、消费者选择</w:t>
      </w:r>
      <w:r>
        <w:rPr>
          <w:spacing w:val="-1"/>
          <w:sz w:val="20"/>
          <w:szCs w:val="20"/>
        </w:rPr>
        <w:t>产品和服务的主要依据。</w:t>
      </w:r>
      <w:r>
        <w:rPr>
          <w:sz w:val="20"/>
          <w:szCs w:val="20"/>
        </w:rPr>
        <w:t xml:space="preserve"> </w:t>
      </w:r>
      <w:r>
        <w:rPr>
          <w:spacing w:val="8"/>
          <w:sz w:val="20"/>
          <w:szCs w:val="20"/>
        </w:rPr>
        <w:t>自1906年世界上最早的标准化组织——国际电工委员会</w:t>
      </w:r>
      <w:r>
        <w:rPr>
          <w:spacing w:val="-48"/>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IEC</w:t>
      </w:r>
      <w:r>
        <w:rPr>
          <w:rFonts w:ascii="Times New Roman" w:hAnsi="Times New Roman" w:eastAsia="Times New Roman" w:cs="Times New Roman"/>
          <w:spacing w:val="8"/>
          <w:sz w:val="20"/>
          <w:szCs w:val="20"/>
        </w:rPr>
        <w:t xml:space="preserve">)   </w:t>
      </w:r>
      <w:r>
        <w:rPr>
          <w:spacing w:val="8"/>
          <w:sz w:val="20"/>
          <w:szCs w:val="20"/>
        </w:rPr>
        <w:t>成立以来，经过100多年的发</w:t>
      </w:r>
      <w:r>
        <w:rPr>
          <w:sz w:val="20"/>
          <w:szCs w:val="20"/>
        </w:rPr>
        <w:t xml:space="preserve">  </w:t>
      </w:r>
      <w:r>
        <w:rPr>
          <w:spacing w:val="3"/>
          <w:sz w:val="20"/>
          <w:szCs w:val="20"/>
        </w:rPr>
        <w:t>展，标准化已成为全球政治和经济活动的主要组成部分，甚至是技术发达国家和</w:t>
      </w:r>
      <w:r>
        <w:rPr>
          <w:spacing w:val="2"/>
          <w:sz w:val="20"/>
          <w:szCs w:val="20"/>
        </w:rPr>
        <w:t>跨国企业的发</w:t>
      </w:r>
      <w:r>
        <w:rPr>
          <w:sz w:val="20"/>
          <w:szCs w:val="20"/>
        </w:rPr>
        <w:t xml:space="preserve">  </w:t>
      </w:r>
      <w:r>
        <w:rPr>
          <w:spacing w:val="-2"/>
          <w:sz w:val="20"/>
          <w:szCs w:val="20"/>
        </w:rPr>
        <w:t>展战略。</w:t>
      </w:r>
    </w:p>
    <w:p w14:paraId="40B75130">
      <w:pPr>
        <w:pStyle w:val="2"/>
        <w:spacing w:before="39" w:line="282" w:lineRule="auto"/>
        <w:ind w:left="349" w:right="76" w:firstLine="390"/>
        <w:jc w:val="both"/>
        <w:rPr>
          <w:sz w:val="20"/>
          <w:szCs w:val="20"/>
        </w:rPr>
      </w:pPr>
      <w:r>
        <w:rPr>
          <w:spacing w:val="3"/>
          <w:sz w:val="20"/>
          <w:szCs w:val="20"/>
        </w:rPr>
        <w:t>标准化是指“为了在一定范围内获得最佳秩序，对现实问题或潜在问题制定共同使用和重</w:t>
      </w:r>
      <w:r>
        <w:rPr>
          <w:spacing w:val="11"/>
          <w:sz w:val="20"/>
          <w:szCs w:val="20"/>
        </w:rPr>
        <w:t xml:space="preserve"> </w:t>
      </w:r>
      <w:r>
        <w:rPr>
          <w:spacing w:val="-2"/>
          <w:sz w:val="20"/>
          <w:szCs w:val="20"/>
        </w:rPr>
        <w:t>复使用的条款的活动”。标准化是一项活动，这种活动的结果是制定条款，制定条款的目的是在</w:t>
      </w:r>
      <w:r>
        <w:rPr>
          <w:spacing w:val="3"/>
          <w:sz w:val="20"/>
          <w:szCs w:val="20"/>
        </w:rPr>
        <w:t xml:space="preserve"> 一定范围内获得最佳秩序，所制定的条款的特点是共同使用和重复使用，针对的对象是现实问</w:t>
      </w:r>
      <w:r>
        <w:rPr>
          <w:spacing w:val="9"/>
          <w:sz w:val="20"/>
          <w:szCs w:val="20"/>
        </w:rPr>
        <w:t xml:space="preserve"> </w:t>
      </w:r>
      <w:r>
        <w:rPr>
          <w:spacing w:val="3"/>
          <w:sz w:val="20"/>
          <w:szCs w:val="20"/>
        </w:rPr>
        <w:t>题或潜在问题。再结合标准的定义可以得出：多项条款的组合构成了规范性文件</w:t>
      </w:r>
      <w:r>
        <w:rPr>
          <w:spacing w:val="2"/>
          <w:sz w:val="20"/>
          <w:szCs w:val="20"/>
        </w:rPr>
        <w:t>，如果这些规</w:t>
      </w:r>
      <w:r>
        <w:rPr>
          <w:sz w:val="20"/>
          <w:szCs w:val="20"/>
        </w:rPr>
        <w:t xml:space="preserve"> </w:t>
      </w:r>
      <w:r>
        <w:rPr>
          <w:spacing w:val="5"/>
          <w:sz w:val="20"/>
          <w:szCs w:val="20"/>
        </w:rPr>
        <w:t>范性文件符合了相应的程序，经过了公认机构的批准，就成为标准或特定文件(例如国家标准</w:t>
      </w:r>
      <w:r>
        <w:rPr>
          <w:spacing w:val="13"/>
          <w:sz w:val="20"/>
          <w:szCs w:val="20"/>
        </w:rPr>
        <w:t xml:space="preserve"> </w:t>
      </w:r>
      <w:r>
        <w:rPr>
          <w:spacing w:val="-1"/>
          <w:sz w:val="20"/>
          <w:szCs w:val="20"/>
        </w:rPr>
        <w:t>化指导性技术文件)。所以标准是标准化活动的主要成果之一。</w:t>
      </w:r>
    </w:p>
    <w:p w14:paraId="775F3F8D">
      <w:pPr>
        <w:pStyle w:val="2"/>
        <w:spacing w:before="58" w:line="277" w:lineRule="auto"/>
        <w:ind w:left="349" w:right="69" w:firstLine="390"/>
        <w:jc w:val="both"/>
        <w:rPr>
          <w:sz w:val="20"/>
          <w:szCs w:val="20"/>
        </w:rPr>
      </w:pPr>
      <w:r>
        <w:rPr>
          <w:spacing w:val="6"/>
          <w:sz w:val="20"/>
          <w:szCs w:val="20"/>
        </w:rPr>
        <w:t>标准化活动是人类社会中每天都在进行的诸多活动中的一种，它涉及上</w:t>
      </w:r>
      <w:r>
        <w:rPr>
          <w:spacing w:val="5"/>
          <w:sz w:val="20"/>
          <w:szCs w:val="20"/>
        </w:rPr>
        <w:t>述文件(主要是标</w:t>
      </w:r>
      <w:r>
        <w:rPr>
          <w:sz w:val="20"/>
          <w:szCs w:val="20"/>
        </w:rPr>
        <w:t xml:space="preserve"> </w:t>
      </w:r>
      <w:r>
        <w:rPr>
          <w:spacing w:val="6"/>
          <w:sz w:val="20"/>
          <w:szCs w:val="20"/>
        </w:rPr>
        <w:t>准)的编写过程、征求意见过程、审查发布过程和使用过程等。标准化活动的</w:t>
      </w:r>
      <w:r>
        <w:rPr>
          <w:spacing w:val="5"/>
          <w:sz w:val="20"/>
          <w:szCs w:val="20"/>
        </w:rPr>
        <w:t>主要作用是：为</w:t>
      </w:r>
      <w:r>
        <w:rPr>
          <w:sz w:val="20"/>
          <w:szCs w:val="20"/>
        </w:rPr>
        <w:t xml:space="preserve"> </w:t>
      </w:r>
      <w:r>
        <w:rPr>
          <w:spacing w:val="-2"/>
          <w:sz w:val="20"/>
          <w:szCs w:val="20"/>
        </w:rPr>
        <w:t>了预期目的改进产品、过程或服务的适用性，防止贸</w:t>
      </w:r>
      <w:r>
        <w:rPr>
          <w:spacing w:val="-3"/>
          <w:sz w:val="20"/>
          <w:szCs w:val="20"/>
        </w:rPr>
        <w:t>易壁垒并促进技术合作。</w:t>
      </w:r>
    </w:p>
    <w:p w14:paraId="2B432270">
      <w:pPr>
        <w:pStyle w:val="2"/>
        <w:spacing w:before="31" w:line="277" w:lineRule="auto"/>
        <w:ind w:left="349" w:right="84" w:firstLine="390"/>
        <w:jc w:val="both"/>
        <w:rPr>
          <w:sz w:val="20"/>
          <w:szCs w:val="20"/>
        </w:rPr>
      </w:pPr>
      <w:r>
        <w:rPr>
          <w:spacing w:val="3"/>
          <w:sz w:val="20"/>
          <w:szCs w:val="20"/>
        </w:rPr>
        <w:t>标准体系是一种由标准组成的系统，为了实现系统的目标而必须具备一整套具有内在联系</w:t>
      </w:r>
      <w:r>
        <w:rPr>
          <w:spacing w:val="1"/>
          <w:sz w:val="20"/>
          <w:szCs w:val="20"/>
        </w:rPr>
        <w:t xml:space="preserve"> </w:t>
      </w:r>
      <w:r>
        <w:rPr>
          <w:spacing w:val="3"/>
          <w:sz w:val="20"/>
          <w:szCs w:val="20"/>
        </w:rPr>
        <w:t>的、科学的有机整体。标准体系内部各标准按照一定的结构进行逻辑组合，而不是杂乱无序的</w:t>
      </w:r>
      <w:r>
        <w:rPr>
          <w:spacing w:val="1"/>
          <w:sz w:val="20"/>
          <w:szCs w:val="20"/>
        </w:rPr>
        <w:t xml:space="preserve"> </w:t>
      </w:r>
      <w:r>
        <w:rPr>
          <w:spacing w:val="-2"/>
          <w:sz w:val="20"/>
          <w:szCs w:val="20"/>
        </w:rPr>
        <w:t>堆积，它是一个概念系统，是由人为组织制定的标准形成的人工系统。</w:t>
      </w:r>
    </w:p>
    <w:p w14:paraId="1B5873ED">
      <w:pPr>
        <w:spacing w:before="124" w:line="223" w:lineRule="auto"/>
        <w:ind w:left="740"/>
        <w:rPr>
          <w:rFonts w:ascii="楷体" w:hAnsi="楷体" w:eastAsia="楷体" w:cs="楷体"/>
          <w:sz w:val="20"/>
          <w:szCs w:val="20"/>
        </w:rPr>
      </w:pPr>
      <w:r>
        <w:rPr>
          <w:rFonts w:ascii="楷体" w:hAnsi="楷体" w:eastAsia="楷体" w:cs="楷体"/>
          <w:spacing w:val="12"/>
          <w:sz w:val="20"/>
          <w:szCs w:val="20"/>
        </w:rPr>
        <w:t>1)标准体系结构</w:t>
      </w:r>
    </w:p>
    <w:p w14:paraId="3D4D8BDA">
      <w:pPr>
        <w:pStyle w:val="2"/>
        <w:spacing w:before="53" w:line="280" w:lineRule="auto"/>
        <w:ind w:left="349" w:right="83" w:firstLine="390"/>
        <w:rPr>
          <w:sz w:val="20"/>
          <w:szCs w:val="20"/>
        </w:rPr>
      </w:pPr>
      <w:r>
        <w:rPr>
          <w:spacing w:val="3"/>
          <w:sz w:val="20"/>
          <w:szCs w:val="20"/>
        </w:rPr>
        <w:t>标准体系结构是指标准系统内各标准内在有机联系的表现方式。形成标准体系的主要方式</w:t>
      </w:r>
      <w:r>
        <w:rPr>
          <w:spacing w:val="9"/>
          <w:sz w:val="20"/>
          <w:szCs w:val="20"/>
        </w:rPr>
        <w:t xml:space="preserve"> </w:t>
      </w:r>
      <w:r>
        <w:rPr>
          <w:spacing w:val="3"/>
          <w:sz w:val="20"/>
          <w:szCs w:val="20"/>
        </w:rPr>
        <w:t>有层次和并列两种，层次是指一种方向性的等级顺序，彼此存在着制约关系和隶属关系；并列</w:t>
      </w:r>
      <w:r>
        <w:rPr>
          <w:spacing w:val="2"/>
          <w:sz w:val="20"/>
          <w:szCs w:val="20"/>
        </w:rPr>
        <w:t xml:space="preserve"> </w:t>
      </w:r>
      <w:r>
        <w:rPr>
          <w:spacing w:val="1"/>
          <w:sz w:val="20"/>
          <w:szCs w:val="20"/>
        </w:rPr>
        <w:t>是指同一层次内各类或各标准之间存在的方式和秩序，</w:t>
      </w:r>
      <w:r>
        <w:rPr>
          <w:sz w:val="20"/>
          <w:szCs w:val="20"/>
        </w:rPr>
        <w:t>ITSS</w:t>
      </w:r>
      <w:r>
        <w:rPr>
          <w:spacing w:val="1"/>
          <w:sz w:val="20"/>
          <w:szCs w:val="20"/>
        </w:rPr>
        <w:t xml:space="preserve"> </w:t>
      </w:r>
      <w:r>
        <w:rPr>
          <w:sz w:val="20"/>
          <w:szCs w:val="20"/>
        </w:rPr>
        <w:t xml:space="preserve">标准体系通过并列方式列出各类和 </w:t>
      </w:r>
      <w:r>
        <w:rPr>
          <w:spacing w:val="-7"/>
          <w:sz w:val="20"/>
          <w:szCs w:val="20"/>
        </w:rPr>
        <w:t>各项标准。</w:t>
      </w:r>
    </w:p>
    <w:p w14:paraId="5D20608A">
      <w:pPr>
        <w:spacing w:before="112" w:line="223" w:lineRule="auto"/>
        <w:ind w:left="740"/>
        <w:rPr>
          <w:rFonts w:ascii="楷体" w:hAnsi="楷体" w:eastAsia="楷体" w:cs="楷体"/>
          <w:sz w:val="20"/>
          <w:szCs w:val="20"/>
        </w:rPr>
      </w:pPr>
      <w:r>
        <w:rPr>
          <w:rFonts w:ascii="楷体" w:hAnsi="楷体" w:eastAsia="楷体" w:cs="楷体"/>
          <w:spacing w:val="14"/>
          <w:sz w:val="20"/>
          <w:szCs w:val="20"/>
        </w:rPr>
        <w:t>2)标准体系表</w:t>
      </w:r>
    </w:p>
    <w:p w14:paraId="2001A2E0">
      <w:pPr>
        <w:pStyle w:val="2"/>
        <w:spacing w:before="72" w:line="268" w:lineRule="auto"/>
        <w:ind w:left="349" w:right="90" w:firstLine="390"/>
        <w:rPr>
          <w:sz w:val="20"/>
          <w:szCs w:val="20"/>
        </w:rPr>
      </w:pPr>
      <w:r>
        <w:rPr>
          <w:spacing w:val="3"/>
          <w:sz w:val="20"/>
          <w:szCs w:val="20"/>
        </w:rPr>
        <w:t>标准体系要用一定的形式表现出来，即标准体系表。信息技术服务</w:t>
      </w:r>
      <w:r>
        <w:rPr>
          <w:spacing w:val="2"/>
          <w:sz w:val="20"/>
          <w:szCs w:val="20"/>
        </w:rPr>
        <w:t>标准体系表是将信息技</w:t>
      </w:r>
      <w:r>
        <w:rPr>
          <w:sz w:val="20"/>
          <w:szCs w:val="20"/>
        </w:rPr>
        <w:t xml:space="preserve"> </w:t>
      </w:r>
      <w:r>
        <w:rPr>
          <w:spacing w:val="3"/>
          <w:sz w:val="20"/>
          <w:szCs w:val="20"/>
        </w:rPr>
        <w:t>术服务范围内的标准，按照一定结构形式排列起来的图表，反映了信息技术服务标</w:t>
      </w:r>
      <w:r>
        <w:rPr>
          <w:spacing w:val="2"/>
          <w:sz w:val="20"/>
          <w:szCs w:val="20"/>
        </w:rPr>
        <w:t>准体系的全</w:t>
      </w:r>
      <w:r>
        <w:rPr>
          <w:sz w:val="20"/>
          <w:szCs w:val="20"/>
        </w:rPr>
        <w:t xml:space="preserve"> </w:t>
      </w:r>
      <w:r>
        <w:rPr>
          <w:spacing w:val="-2"/>
          <w:sz w:val="20"/>
          <w:szCs w:val="20"/>
        </w:rPr>
        <w:t>貌，表明了标准之间的层次和并列关系。</w:t>
      </w:r>
    </w:p>
    <w:p w14:paraId="61AC9F30">
      <w:pPr>
        <w:pStyle w:val="2"/>
        <w:spacing w:before="136" w:line="221" w:lineRule="auto"/>
        <w:ind w:left="742"/>
        <w:rPr>
          <w:rFonts w:ascii="黑体" w:hAnsi="黑体" w:eastAsia="黑体" w:cs="黑体"/>
          <w:sz w:val="20"/>
          <w:szCs w:val="20"/>
        </w:rPr>
      </w:pPr>
      <w:r>
        <w:rPr>
          <w:b/>
          <w:bCs/>
          <w:color w:val="0276DD"/>
          <w:sz w:val="20"/>
          <w:szCs w:val="20"/>
        </w:rPr>
        <w:t>2.</w:t>
      </w:r>
      <w:r>
        <w:rPr>
          <w:rFonts w:ascii="黑体" w:hAnsi="黑体" w:eastAsia="黑体" w:cs="黑体"/>
          <w:b/>
          <w:bCs/>
          <w:color w:val="0276DD"/>
          <w:sz w:val="20"/>
          <w:szCs w:val="20"/>
        </w:rPr>
        <w:t>标准的分类</w:t>
      </w:r>
    </w:p>
    <w:p w14:paraId="14A183A8">
      <w:pPr>
        <w:pStyle w:val="2"/>
        <w:spacing w:before="135" w:line="219" w:lineRule="auto"/>
        <w:ind w:right="20"/>
        <w:jc w:val="right"/>
        <w:rPr>
          <w:sz w:val="20"/>
          <w:szCs w:val="20"/>
        </w:rPr>
      </w:pPr>
      <w:r>
        <w:rPr>
          <w:sz w:val="20"/>
          <w:szCs w:val="20"/>
        </w:rPr>
        <w:t>标准的种类繁多，根据不同的目的或原则可以划分出不同的类别，可以按照适用范围划</w:t>
      </w:r>
      <w:r>
        <w:rPr>
          <w:spacing w:val="-1"/>
          <w:sz w:val="20"/>
          <w:szCs w:val="20"/>
        </w:rPr>
        <w:t>分、</w:t>
      </w:r>
    </w:p>
    <w:p w14:paraId="22B413E4">
      <w:pPr>
        <w:spacing w:line="219" w:lineRule="auto"/>
        <w:rPr>
          <w:sz w:val="20"/>
          <w:szCs w:val="20"/>
        </w:rPr>
        <w:sectPr>
          <w:pgSz w:w="10300" w:h="13370"/>
          <w:pgMar w:top="400" w:right="1049" w:bottom="400" w:left="489" w:header="0" w:footer="0" w:gutter="0"/>
          <w:cols w:space="720" w:num="1"/>
        </w:sectPr>
      </w:pPr>
    </w:p>
    <w:p w14:paraId="32B49A41">
      <w:pPr>
        <w:pStyle w:val="2"/>
        <w:spacing w:before="106" w:line="220" w:lineRule="auto"/>
        <w:jc w:val="right"/>
        <w:rPr>
          <w:rFonts w:ascii="Times New Roman" w:hAnsi="Times New Roman" w:eastAsia="Times New Roman" w:cs="Times New Roman"/>
          <w:sz w:val="20"/>
          <w:szCs w:val="20"/>
        </w:rPr>
      </w:pPr>
      <w:r>
        <w:rPr>
          <w:spacing w:val="-1"/>
          <w:sz w:val="20"/>
          <w:szCs w:val="20"/>
        </w:rPr>
        <w:t>第19章 监理支撑要素</w:t>
      </w:r>
      <w:r>
        <w:rPr>
          <w:spacing w:val="13"/>
          <w:sz w:val="20"/>
          <w:szCs w:val="20"/>
        </w:rPr>
        <w:t xml:space="preserve">     </w:t>
      </w:r>
      <w:r>
        <w:rPr>
          <w:rFonts w:ascii="Times New Roman" w:hAnsi="Times New Roman" w:eastAsia="Times New Roman" w:cs="Times New Roman"/>
          <w:b/>
          <w:bCs/>
          <w:spacing w:val="-1"/>
          <w:position w:val="-3"/>
          <w:sz w:val="20"/>
          <w:szCs w:val="20"/>
        </w:rPr>
        <w:t>413</w:t>
      </w:r>
    </w:p>
    <w:p w14:paraId="1E302CF1">
      <w:pPr>
        <w:spacing w:line="281" w:lineRule="auto"/>
        <w:rPr>
          <w:rFonts w:ascii="Arial"/>
          <w:sz w:val="21"/>
        </w:rPr>
      </w:pPr>
    </w:p>
    <w:p w14:paraId="32B14EF8">
      <w:pPr>
        <w:pStyle w:val="2"/>
        <w:spacing w:before="65" w:line="219" w:lineRule="auto"/>
        <w:rPr>
          <w:sz w:val="20"/>
          <w:szCs w:val="20"/>
        </w:rPr>
      </w:pPr>
      <w:r>
        <w:rPr>
          <w:spacing w:val="-2"/>
          <w:sz w:val="20"/>
          <w:szCs w:val="20"/>
        </w:rPr>
        <w:t>按照标准涉及的对象类型划分、按照标准的要求程度划分。</w:t>
      </w:r>
    </w:p>
    <w:p w14:paraId="426017BE">
      <w:pPr>
        <w:pStyle w:val="2"/>
        <w:spacing w:before="169" w:line="222" w:lineRule="auto"/>
        <w:ind w:left="392"/>
        <w:rPr>
          <w:rFonts w:ascii="黑体" w:hAnsi="黑体" w:eastAsia="黑体" w:cs="黑体"/>
          <w:sz w:val="20"/>
          <w:szCs w:val="20"/>
        </w:rPr>
      </w:pPr>
      <w:r>
        <w:rPr>
          <w:b/>
          <w:bCs/>
          <w:color w:val="006EDD"/>
          <w:spacing w:val="-2"/>
          <w:sz w:val="20"/>
          <w:szCs w:val="20"/>
        </w:rPr>
        <w:t>3.</w:t>
      </w:r>
      <w:r>
        <w:rPr>
          <w:rFonts w:ascii="黑体" w:hAnsi="黑体" w:eastAsia="黑体" w:cs="黑体"/>
          <w:b/>
          <w:bCs/>
          <w:color w:val="006EDD"/>
          <w:spacing w:val="-2"/>
          <w:sz w:val="20"/>
          <w:szCs w:val="20"/>
        </w:rPr>
        <w:t>按照适用范围划分</w:t>
      </w:r>
    </w:p>
    <w:p w14:paraId="448CB64E">
      <w:pPr>
        <w:pStyle w:val="2"/>
        <w:spacing w:before="150" w:line="282" w:lineRule="auto"/>
        <w:ind w:right="225" w:firstLine="390"/>
        <w:rPr>
          <w:sz w:val="20"/>
          <w:szCs w:val="20"/>
        </w:rPr>
      </w:pPr>
      <w:r>
        <w:rPr>
          <w:spacing w:val="3"/>
          <w:sz w:val="20"/>
          <w:szCs w:val="20"/>
        </w:rPr>
        <w:t>制定标准的重要基础是在一定的范围内充分反映各相关方的利益，并对不同意见进行协调</w:t>
      </w:r>
      <w:r>
        <w:rPr>
          <w:spacing w:val="8"/>
          <w:sz w:val="20"/>
          <w:szCs w:val="20"/>
        </w:rPr>
        <w:t xml:space="preserve"> </w:t>
      </w:r>
      <w:r>
        <w:rPr>
          <w:sz w:val="20"/>
          <w:szCs w:val="20"/>
        </w:rPr>
        <w:t>与协商，从而取得一致。其中“一定的范围”</w:t>
      </w:r>
      <w:r>
        <w:rPr>
          <w:spacing w:val="-1"/>
          <w:sz w:val="20"/>
          <w:szCs w:val="20"/>
        </w:rPr>
        <w:t>和“各相关方”的范围可大可小，可以是全球的，</w:t>
      </w:r>
      <w:r>
        <w:rPr>
          <w:sz w:val="20"/>
          <w:szCs w:val="20"/>
        </w:rPr>
        <w:t xml:space="preserve"> </w:t>
      </w:r>
      <w:r>
        <w:rPr>
          <w:spacing w:val="3"/>
          <w:sz w:val="20"/>
          <w:szCs w:val="20"/>
        </w:rPr>
        <w:t>也可以是某个区域或某个国家层次的，还可以是某个国家内行业部门(或协会)、地方或企业层</w:t>
      </w:r>
      <w:r>
        <w:rPr>
          <w:spacing w:val="4"/>
          <w:sz w:val="20"/>
          <w:szCs w:val="20"/>
        </w:rPr>
        <w:t xml:space="preserve"> </w:t>
      </w:r>
      <w:r>
        <w:rPr>
          <w:spacing w:val="2"/>
          <w:sz w:val="20"/>
          <w:szCs w:val="20"/>
        </w:rPr>
        <w:t>次的。显而易见，不同层次的标准化活动的协商一致程度是不同的，所制定标准的适用范围也</w:t>
      </w:r>
      <w:r>
        <w:rPr>
          <w:spacing w:val="4"/>
          <w:sz w:val="20"/>
          <w:szCs w:val="20"/>
        </w:rPr>
        <w:t xml:space="preserve">  </w:t>
      </w:r>
      <w:r>
        <w:rPr>
          <w:spacing w:val="3"/>
          <w:sz w:val="20"/>
          <w:szCs w:val="20"/>
        </w:rPr>
        <w:t>是不同的。依据制定标准的参与者所涉及的范围，也就是标准的适用范围，可将标准</w:t>
      </w:r>
      <w:r>
        <w:rPr>
          <w:spacing w:val="2"/>
          <w:sz w:val="20"/>
          <w:szCs w:val="20"/>
        </w:rPr>
        <w:t>分为：国</w:t>
      </w:r>
      <w:r>
        <w:rPr>
          <w:sz w:val="20"/>
          <w:szCs w:val="20"/>
        </w:rPr>
        <w:t xml:space="preserve"> </w:t>
      </w:r>
      <w:r>
        <w:rPr>
          <w:spacing w:val="-2"/>
          <w:sz w:val="20"/>
          <w:szCs w:val="20"/>
        </w:rPr>
        <w:t>际标准、国家标准、行业标准、团体标准、地方标准、企业标准等。</w:t>
      </w:r>
    </w:p>
    <w:p w14:paraId="3A9B4C8E">
      <w:pPr>
        <w:pStyle w:val="2"/>
        <w:spacing w:before="16" w:line="288" w:lineRule="auto"/>
        <w:ind w:right="313" w:firstLine="390"/>
        <w:rPr>
          <w:sz w:val="20"/>
          <w:szCs w:val="20"/>
        </w:rPr>
      </w:pPr>
      <w:r>
        <w:rPr>
          <w:spacing w:val="6"/>
          <w:sz w:val="20"/>
          <w:szCs w:val="20"/>
        </w:rPr>
        <w:t>(1)国际标准。国际标准是指国际标准化组织</w:t>
      </w:r>
      <w:r>
        <w:rPr>
          <w:spacing w:val="-36"/>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ISO</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spacing w:val="6"/>
          <w:sz w:val="20"/>
          <w:szCs w:val="20"/>
        </w:rPr>
        <w:t>、 国际电工委员会</w:t>
      </w:r>
      <w:r>
        <w:rPr>
          <w:spacing w:val="-49"/>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IEC</w:t>
      </w:r>
      <w:r>
        <w:rPr>
          <w:rFonts w:ascii="Times New Roman" w:hAnsi="Times New Roman" w:eastAsia="Times New Roman" w:cs="Times New Roman"/>
          <w:spacing w:val="6"/>
          <w:sz w:val="20"/>
          <w:szCs w:val="20"/>
        </w:rPr>
        <w:t xml:space="preserve">)    </w:t>
      </w:r>
      <w:r>
        <w:rPr>
          <w:spacing w:val="6"/>
          <w:sz w:val="20"/>
          <w:szCs w:val="20"/>
        </w:rPr>
        <w:t>和国际电</w:t>
      </w:r>
      <w:r>
        <w:rPr>
          <w:sz w:val="20"/>
          <w:szCs w:val="20"/>
        </w:rPr>
        <w:t xml:space="preserve"> </w:t>
      </w:r>
      <w:r>
        <w:rPr>
          <w:spacing w:val="1"/>
          <w:sz w:val="20"/>
          <w:szCs w:val="20"/>
        </w:rPr>
        <w:t>信联盟</w:t>
      </w:r>
      <w:r>
        <w:rPr>
          <w:spacing w:val="-47"/>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ITU</w:t>
      </w:r>
      <w:r>
        <w:rPr>
          <w:rFonts w:ascii="Times New Roman" w:hAnsi="Times New Roman" w:eastAsia="Times New Roman" w:cs="Times New Roman"/>
          <w:spacing w:val="1"/>
          <w:sz w:val="20"/>
          <w:szCs w:val="20"/>
        </w:rPr>
        <w:t xml:space="preserve">)    </w:t>
      </w:r>
      <w:r>
        <w:rPr>
          <w:spacing w:val="1"/>
          <w:sz w:val="20"/>
          <w:szCs w:val="20"/>
        </w:rPr>
        <w:t>以及</w:t>
      </w:r>
      <w:r>
        <w:rPr>
          <w:rFonts w:ascii="Times New Roman" w:hAnsi="Times New Roman" w:eastAsia="Times New Roman" w:cs="Times New Roman"/>
          <w:sz w:val="20"/>
          <w:szCs w:val="20"/>
        </w:rPr>
        <w:t>ISO</w:t>
      </w:r>
      <w:r>
        <w:rPr>
          <w:rFonts w:ascii="Times New Roman" w:hAnsi="Times New Roman" w:eastAsia="Times New Roman" w:cs="Times New Roman"/>
          <w:spacing w:val="1"/>
          <w:sz w:val="20"/>
          <w:szCs w:val="20"/>
        </w:rPr>
        <w:t xml:space="preserve"> </w:t>
      </w:r>
      <w:r>
        <w:rPr>
          <w:spacing w:val="1"/>
          <w:sz w:val="20"/>
          <w:szCs w:val="20"/>
        </w:rPr>
        <w:t>确认并公布的其他组织制定的标准。</w:t>
      </w:r>
    </w:p>
    <w:p w14:paraId="2E727E57">
      <w:pPr>
        <w:pStyle w:val="2"/>
        <w:spacing w:before="25" w:line="281" w:lineRule="auto"/>
        <w:ind w:right="271" w:firstLine="390"/>
        <w:rPr>
          <w:sz w:val="20"/>
          <w:szCs w:val="20"/>
        </w:rPr>
      </w:pPr>
      <w:r>
        <w:rPr>
          <w:rFonts w:ascii="Times New Roman" w:hAnsi="Times New Roman" w:eastAsia="Times New Roman" w:cs="Times New Roman"/>
          <w:sz w:val="20"/>
          <w:szCs w:val="20"/>
        </w:rPr>
        <w:t>ISO</w:t>
      </w:r>
      <w:r>
        <w:rPr>
          <w:rFonts w:ascii="Times New Roman" w:hAnsi="Times New Roman" w:eastAsia="Times New Roman" w:cs="Times New Roman"/>
          <w:spacing w:val="22"/>
          <w:sz w:val="20"/>
          <w:szCs w:val="20"/>
        </w:rPr>
        <w:t xml:space="preserve"> </w:t>
      </w:r>
      <w:r>
        <w:rPr>
          <w:spacing w:val="22"/>
          <w:sz w:val="20"/>
          <w:szCs w:val="20"/>
        </w:rPr>
        <w:t>确认并公布的其他国际组织主要包括：国际计量局</w:t>
      </w:r>
      <w:r>
        <w:rPr>
          <w:spacing w:val="-57"/>
          <w:sz w:val="20"/>
          <w:szCs w:val="20"/>
        </w:rPr>
        <w:t xml:space="preserve"> </w:t>
      </w:r>
      <w:r>
        <w:rPr>
          <w:rFonts w:ascii="Times New Roman" w:hAnsi="Times New Roman" w:eastAsia="Times New Roman" w:cs="Times New Roman"/>
          <w:spacing w:val="22"/>
          <w:sz w:val="20"/>
          <w:szCs w:val="20"/>
        </w:rPr>
        <w:t>(</w:t>
      </w:r>
      <w:r>
        <w:rPr>
          <w:rFonts w:ascii="Times New Roman" w:hAnsi="Times New Roman" w:eastAsia="Times New Roman" w:cs="Times New Roman"/>
          <w:sz w:val="20"/>
          <w:szCs w:val="20"/>
        </w:rPr>
        <w:t>BIPM</w:t>
      </w:r>
      <w:r>
        <w:rPr>
          <w:rFonts w:ascii="Times New Roman" w:hAnsi="Times New Roman" w:eastAsia="Times New Roman" w:cs="Times New Roman"/>
          <w:spacing w:val="22"/>
          <w:sz w:val="20"/>
          <w:szCs w:val="20"/>
        </w:rPr>
        <w:t>)</w:t>
      </w:r>
      <w:r>
        <w:rPr>
          <w:rFonts w:ascii="Times New Roman" w:hAnsi="Times New Roman" w:eastAsia="Times New Roman" w:cs="Times New Roman"/>
          <w:spacing w:val="-28"/>
          <w:sz w:val="20"/>
          <w:szCs w:val="20"/>
        </w:rPr>
        <w:t xml:space="preserve"> </w:t>
      </w:r>
      <w:r>
        <w:rPr>
          <w:spacing w:val="22"/>
          <w:sz w:val="20"/>
          <w:szCs w:val="20"/>
        </w:rPr>
        <w:t>、</w:t>
      </w:r>
      <w:r>
        <w:rPr>
          <w:spacing w:val="56"/>
          <w:sz w:val="20"/>
          <w:szCs w:val="20"/>
        </w:rPr>
        <w:t xml:space="preserve"> </w:t>
      </w:r>
      <w:r>
        <w:rPr>
          <w:spacing w:val="22"/>
          <w:sz w:val="20"/>
          <w:szCs w:val="20"/>
        </w:rPr>
        <w:t>国际原子能机构</w:t>
      </w:r>
      <w:r>
        <w:rPr>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IAEA</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9"/>
          <w:sz w:val="20"/>
          <w:szCs w:val="20"/>
        </w:rPr>
        <w:t xml:space="preserve"> </w:t>
      </w:r>
      <w:r>
        <w:rPr>
          <w:spacing w:val="5"/>
          <w:sz w:val="20"/>
          <w:szCs w:val="20"/>
        </w:rPr>
        <w:t>、 国际海事组织</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IMO</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9"/>
          <w:sz w:val="20"/>
          <w:szCs w:val="20"/>
        </w:rPr>
        <w:t xml:space="preserve"> </w:t>
      </w:r>
      <w:r>
        <w:rPr>
          <w:spacing w:val="5"/>
          <w:sz w:val="20"/>
          <w:szCs w:val="20"/>
        </w:rPr>
        <w:t>、 联合国教科文组织</w:t>
      </w:r>
      <w:r>
        <w:rPr>
          <w:spacing w:val="-51"/>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UNESCO</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8"/>
          <w:sz w:val="20"/>
          <w:szCs w:val="20"/>
        </w:rPr>
        <w:t xml:space="preserve"> </w:t>
      </w:r>
      <w:r>
        <w:rPr>
          <w:spacing w:val="5"/>
          <w:sz w:val="20"/>
          <w:szCs w:val="20"/>
        </w:rPr>
        <w:t>、 世界卫生组织</w:t>
      </w:r>
      <w:r>
        <w:rPr>
          <w:spacing w:val="-51"/>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WHO</w:t>
      </w:r>
      <w:r>
        <w:rPr>
          <w:rFonts w:ascii="Times New Roman" w:hAnsi="Times New Roman" w:eastAsia="Times New Roman" w:cs="Times New Roman"/>
          <w:spacing w:val="5"/>
          <w:sz w:val="20"/>
          <w:szCs w:val="20"/>
        </w:rPr>
        <w:t xml:space="preserve">)   </w:t>
      </w:r>
      <w:r>
        <w:rPr>
          <w:spacing w:val="5"/>
          <w:sz w:val="20"/>
          <w:szCs w:val="20"/>
        </w:rPr>
        <w:t>等</w:t>
      </w:r>
      <w:r>
        <w:rPr>
          <w:sz w:val="20"/>
          <w:szCs w:val="20"/>
        </w:rPr>
        <w:t xml:space="preserve"> </w:t>
      </w:r>
      <w:r>
        <w:rPr>
          <w:spacing w:val="1"/>
          <w:sz w:val="20"/>
          <w:szCs w:val="20"/>
        </w:rPr>
        <w:t>49个国际标准化机构。</w:t>
      </w:r>
    </w:p>
    <w:p w14:paraId="4C76809A">
      <w:pPr>
        <w:pStyle w:val="2"/>
        <w:spacing w:before="39" w:line="287" w:lineRule="auto"/>
        <w:ind w:right="204" w:firstLine="390"/>
        <w:jc w:val="both"/>
        <w:rPr>
          <w:sz w:val="20"/>
          <w:szCs w:val="20"/>
        </w:rPr>
      </w:pPr>
      <w:r>
        <w:rPr>
          <w:spacing w:val="6"/>
          <w:sz w:val="20"/>
          <w:szCs w:val="20"/>
        </w:rPr>
        <w:t>(2)国家标准。国家标准是指由国家标准机构</w:t>
      </w:r>
      <w:r>
        <w:rPr>
          <w:spacing w:val="5"/>
          <w:sz w:val="20"/>
          <w:szCs w:val="20"/>
        </w:rPr>
        <w:t>通过并公开发布的标准。对我国而言，国家</w:t>
      </w:r>
      <w:r>
        <w:rPr>
          <w:sz w:val="20"/>
          <w:szCs w:val="20"/>
        </w:rPr>
        <w:t xml:space="preserve">  </w:t>
      </w:r>
      <w:r>
        <w:rPr>
          <w:spacing w:val="5"/>
          <w:sz w:val="20"/>
          <w:szCs w:val="20"/>
        </w:rPr>
        <w:t>标准是指由国务院标准化行政主管部门组织制定，并对全国国民经济和技术发展</w:t>
      </w:r>
      <w:r>
        <w:rPr>
          <w:spacing w:val="4"/>
          <w:sz w:val="20"/>
          <w:szCs w:val="20"/>
        </w:rPr>
        <w:t>有重大意义，</w:t>
      </w:r>
      <w:r>
        <w:rPr>
          <w:sz w:val="20"/>
          <w:szCs w:val="20"/>
        </w:rPr>
        <w:t xml:space="preserve"> </w:t>
      </w:r>
      <w:r>
        <w:rPr>
          <w:spacing w:val="-3"/>
          <w:sz w:val="20"/>
          <w:szCs w:val="20"/>
        </w:rPr>
        <w:t>需要在全国范围内统一的标准。</w:t>
      </w:r>
    </w:p>
    <w:p w14:paraId="781D9CD0">
      <w:pPr>
        <w:pStyle w:val="2"/>
        <w:spacing w:before="7" w:line="291" w:lineRule="auto"/>
        <w:ind w:right="322" w:firstLine="390"/>
        <w:rPr>
          <w:sz w:val="20"/>
          <w:szCs w:val="20"/>
        </w:rPr>
      </w:pPr>
      <w:r>
        <w:rPr>
          <w:spacing w:val="2"/>
          <w:sz w:val="20"/>
          <w:szCs w:val="20"/>
        </w:rPr>
        <w:t>国家标准由全国专业标准化技术委员会负责起草、审查，并由国务院标准化行政主管部门</w:t>
      </w:r>
      <w:r>
        <w:rPr>
          <w:spacing w:val="13"/>
          <w:sz w:val="20"/>
          <w:szCs w:val="20"/>
        </w:rPr>
        <w:t xml:space="preserve"> </w:t>
      </w:r>
      <w:r>
        <w:rPr>
          <w:spacing w:val="-4"/>
          <w:sz w:val="20"/>
          <w:szCs w:val="20"/>
        </w:rPr>
        <w:t>统一审批、编号和发布。</w:t>
      </w:r>
    </w:p>
    <w:p w14:paraId="7EFB9ADC">
      <w:pPr>
        <w:pStyle w:val="2"/>
        <w:spacing w:before="2" w:line="282" w:lineRule="auto"/>
        <w:ind w:right="295" w:firstLine="390"/>
        <w:rPr>
          <w:sz w:val="20"/>
          <w:szCs w:val="20"/>
        </w:rPr>
      </w:pPr>
      <w:r>
        <w:rPr>
          <w:spacing w:val="5"/>
          <w:sz w:val="20"/>
          <w:szCs w:val="20"/>
        </w:rPr>
        <w:t>(3)行业标准。行业标准是指在国家的某个行业通过并公开发布的标准。对我国而言，行</w:t>
      </w:r>
      <w:r>
        <w:rPr>
          <w:spacing w:val="18"/>
          <w:sz w:val="20"/>
          <w:szCs w:val="20"/>
        </w:rPr>
        <w:t xml:space="preserve"> </w:t>
      </w:r>
      <w:r>
        <w:rPr>
          <w:spacing w:val="-1"/>
          <w:sz w:val="20"/>
          <w:szCs w:val="20"/>
        </w:rPr>
        <w:t>业标准是对没有国家标准而又需要在全国某个行业范围内统一技术要求所制定的标准。</w:t>
      </w:r>
    </w:p>
    <w:p w14:paraId="77B5DAE0">
      <w:pPr>
        <w:pStyle w:val="2"/>
        <w:spacing w:before="8" w:line="278" w:lineRule="auto"/>
        <w:ind w:right="289" w:firstLine="390"/>
        <w:rPr>
          <w:sz w:val="20"/>
          <w:szCs w:val="20"/>
        </w:rPr>
      </w:pPr>
      <w:r>
        <w:rPr>
          <w:spacing w:val="3"/>
          <w:sz w:val="20"/>
          <w:szCs w:val="20"/>
        </w:rPr>
        <w:t>行业标准的发布部门须由国务院标准化行政主管部门审查确定。凡批准可以发布行业标准</w:t>
      </w:r>
      <w:r>
        <w:rPr>
          <w:spacing w:val="1"/>
          <w:sz w:val="20"/>
          <w:szCs w:val="20"/>
        </w:rPr>
        <w:t xml:space="preserve"> </w:t>
      </w:r>
      <w:r>
        <w:rPr>
          <w:spacing w:val="3"/>
          <w:sz w:val="20"/>
          <w:szCs w:val="20"/>
        </w:rPr>
        <w:t>的行业，由国务院标准化行政主管部门公布行业标准代号、行业标准的归</w:t>
      </w:r>
      <w:r>
        <w:rPr>
          <w:spacing w:val="2"/>
          <w:sz w:val="20"/>
          <w:szCs w:val="20"/>
        </w:rPr>
        <w:t>口部门及其所管理的</w:t>
      </w:r>
      <w:r>
        <w:rPr>
          <w:sz w:val="20"/>
          <w:szCs w:val="20"/>
        </w:rPr>
        <w:t xml:space="preserve"> </w:t>
      </w:r>
      <w:r>
        <w:rPr>
          <w:spacing w:val="-5"/>
          <w:sz w:val="20"/>
          <w:szCs w:val="20"/>
        </w:rPr>
        <w:t>行业标准范围。</w:t>
      </w:r>
    </w:p>
    <w:p w14:paraId="7E776E61">
      <w:pPr>
        <w:pStyle w:val="2"/>
        <w:spacing w:before="25" w:line="282" w:lineRule="auto"/>
        <w:ind w:right="298" w:firstLine="390"/>
        <w:rPr>
          <w:sz w:val="20"/>
          <w:szCs w:val="20"/>
        </w:rPr>
      </w:pPr>
      <w:r>
        <w:rPr>
          <w:spacing w:val="5"/>
          <w:sz w:val="20"/>
          <w:szCs w:val="20"/>
        </w:rPr>
        <w:t>(4)团体标准。团体标准是由社会团体按照一定的标准制定程序制定并发布，由会员企业</w:t>
      </w:r>
      <w:r>
        <w:rPr>
          <w:spacing w:val="15"/>
          <w:sz w:val="20"/>
          <w:szCs w:val="20"/>
        </w:rPr>
        <w:t xml:space="preserve"> </w:t>
      </w:r>
      <w:r>
        <w:rPr>
          <w:spacing w:val="-5"/>
          <w:sz w:val="20"/>
          <w:szCs w:val="20"/>
        </w:rPr>
        <w:t>自愿采用的标准。</w:t>
      </w:r>
    </w:p>
    <w:p w14:paraId="2FD19A02">
      <w:pPr>
        <w:pStyle w:val="2"/>
        <w:spacing w:before="20" w:line="219" w:lineRule="auto"/>
        <w:ind w:left="390"/>
        <w:rPr>
          <w:sz w:val="20"/>
          <w:szCs w:val="20"/>
        </w:rPr>
      </w:pPr>
      <w:r>
        <w:rPr>
          <w:spacing w:val="-1"/>
          <w:sz w:val="20"/>
          <w:szCs w:val="20"/>
        </w:rPr>
        <w:t>社会团体指在民政机构合法注册的各类协会、学会、商会、联合会、产</w:t>
      </w:r>
      <w:r>
        <w:rPr>
          <w:spacing w:val="-2"/>
          <w:sz w:val="20"/>
          <w:szCs w:val="20"/>
        </w:rPr>
        <w:t>业联盟。</w:t>
      </w:r>
    </w:p>
    <w:p w14:paraId="49C0954E">
      <w:pPr>
        <w:pStyle w:val="2"/>
        <w:spacing w:before="53" w:line="278" w:lineRule="auto"/>
        <w:ind w:right="274" w:firstLine="390"/>
        <w:rPr>
          <w:sz w:val="20"/>
          <w:szCs w:val="20"/>
        </w:rPr>
      </w:pPr>
      <w:r>
        <w:rPr>
          <w:spacing w:val="5"/>
          <w:sz w:val="20"/>
          <w:szCs w:val="20"/>
        </w:rPr>
        <w:t>(5)地方标准。地方标准是指在国家的某个地区通过并公开发布的标准。对我国而言，地</w:t>
      </w:r>
      <w:r>
        <w:rPr>
          <w:spacing w:val="16"/>
          <w:sz w:val="20"/>
          <w:szCs w:val="20"/>
        </w:rPr>
        <w:t xml:space="preserve"> </w:t>
      </w:r>
      <w:r>
        <w:rPr>
          <w:spacing w:val="3"/>
          <w:sz w:val="20"/>
          <w:szCs w:val="20"/>
        </w:rPr>
        <w:t>方标准是针对没有国家标准和行业标准，而又需要在省、自治区、直辖市范围内统一的技术要</w:t>
      </w:r>
      <w:r>
        <w:rPr>
          <w:spacing w:val="6"/>
          <w:sz w:val="20"/>
          <w:szCs w:val="20"/>
        </w:rPr>
        <w:t xml:space="preserve"> </w:t>
      </w:r>
      <w:r>
        <w:rPr>
          <w:spacing w:val="-5"/>
          <w:sz w:val="20"/>
          <w:szCs w:val="20"/>
        </w:rPr>
        <w:t>求所制定的标准。</w:t>
      </w:r>
    </w:p>
    <w:p w14:paraId="1C5D8634">
      <w:pPr>
        <w:pStyle w:val="2"/>
        <w:spacing w:before="16" w:line="282" w:lineRule="auto"/>
        <w:ind w:right="289" w:firstLine="390"/>
        <w:rPr>
          <w:sz w:val="20"/>
          <w:szCs w:val="20"/>
        </w:rPr>
      </w:pPr>
      <w:r>
        <w:rPr>
          <w:spacing w:val="3"/>
          <w:sz w:val="20"/>
          <w:szCs w:val="20"/>
        </w:rPr>
        <w:t>地方标准由省、自治区、直辖市标准化行政主管部门统一编制计划、组织制定、审批、编</w:t>
      </w:r>
      <w:r>
        <w:rPr>
          <w:spacing w:val="7"/>
          <w:sz w:val="20"/>
          <w:szCs w:val="20"/>
        </w:rPr>
        <w:t xml:space="preserve"> </w:t>
      </w:r>
      <w:r>
        <w:rPr>
          <w:spacing w:val="-7"/>
          <w:sz w:val="20"/>
          <w:szCs w:val="20"/>
        </w:rPr>
        <w:t>号和发布。</w:t>
      </w:r>
    </w:p>
    <w:p w14:paraId="14928DDB">
      <w:pPr>
        <w:pStyle w:val="2"/>
        <w:spacing w:before="9" w:line="282" w:lineRule="auto"/>
        <w:ind w:right="293" w:firstLine="390"/>
        <w:rPr>
          <w:sz w:val="20"/>
          <w:szCs w:val="20"/>
        </w:rPr>
      </w:pPr>
      <w:r>
        <w:rPr>
          <w:spacing w:val="3"/>
          <w:sz w:val="20"/>
          <w:szCs w:val="20"/>
        </w:rPr>
        <w:t xml:space="preserve">地方标准发布后，省、自治区、直辖市标准化行政主管部门应分别向国务院标准化行政主 </w:t>
      </w:r>
      <w:r>
        <w:rPr>
          <w:spacing w:val="-3"/>
          <w:sz w:val="20"/>
          <w:szCs w:val="20"/>
        </w:rPr>
        <w:t>管部门和有关行政主管部门备案。</w:t>
      </w:r>
    </w:p>
    <w:p w14:paraId="4D4E84BF">
      <w:pPr>
        <w:pStyle w:val="2"/>
        <w:spacing w:before="2" w:line="276" w:lineRule="auto"/>
        <w:ind w:right="293" w:firstLine="390"/>
        <w:jc w:val="both"/>
        <w:rPr>
          <w:sz w:val="20"/>
          <w:szCs w:val="20"/>
        </w:rPr>
      </w:pPr>
      <w:r>
        <w:rPr>
          <w:spacing w:val="6"/>
          <w:sz w:val="20"/>
          <w:szCs w:val="20"/>
        </w:rPr>
        <w:t>(6)企业标准。企业标准是指针对企业范围</w:t>
      </w:r>
      <w:r>
        <w:rPr>
          <w:spacing w:val="5"/>
          <w:sz w:val="20"/>
          <w:szCs w:val="20"/>
        </w:rPr>
        <w:t>内需要协调、统一的技术要求、管理要求和工</w:t>
      </w:r>
      <w:r>
        <w:rPr>
          <w:sz w:val="20"/>
          <w:szCs w:val="20"/>
        </w:rPr>
        <w:t xml:space="preserve"> </w:t>
      </w:r>
      <w:r>
        <w:rPr>
          <w:spacing w:val="3"/>
          <w:sz w:val="20"/>
          <w:szCs w:val="20"/>
        </w:rPr>
        <w:t>作要求所制定的标准。企业标准是企业组织生产、经营</w:t>
      </w:r>
      <w:r>
        <w:rPr>
          <w:spacing w:val="2"/>
          <w:sz w:val="20"/>
          <w:szCs w:val="20"/>
        </w:rPr>
        <w:t>活动的依据。企业标准虽然只在某企业</w:t>
      </w:r>
      <w:r>
        <w:rPr>
          <w:sz w:val="20"/>
          <w:szCs w:val="20"/>
        </w:rPr>
        <w:t xml:space="preserve"> </w:t>
      </w:r>
      <w:r>
        <w:rPr>
          <w:spacing w:val="-2"/>
          <w:sz w:val="20"/>
          <w:szCs w:val="20"/>
        </w:rPr>
        <w:t>适用，但在地域上可能会影响多个国家。</w:t>
      </w:r>
    </w:p>
    <w:p w14:paraId="16F4391A">
      <w:pPr>
        <w:spacing w:line="276" w:lineRule="auto"/>
        <w:rPr>
          <w:sz w:val="20"/>
          <w:szCs w:val="20"/>
        </w:rPr>
        <w:sectPr>
          <w:pgSz w:w="10280" w:h="13320"/>
          <w:pgMar w:top="400" w:right="574" w:bottom="400" w:left="1099" w:header="0" w:footer="0" w:gutter="0"/>
          <w:cols w:space="720" w:num="1"/>
        </w:sectPr>
      </w:pPr>
    </w:p>
    <w:p w14:paraId="55050B3C">
      <w:pPr>
        <w:pStyle w:val="2"/>
        <w:spacing w:before="118" w:line="219" w:lineRule="auto"/>
        <w:rPr>
          <w:sz w:val="20"/>
          <w:szCs w:val="20"/>
        </w:rPr>
      </w:pPr>
      <w:r>
        <w:rPr>
          <w:rFonts w:ascii="Times New Roman" w:hAnsi="Times New Roman" w:eastAsia="Times New Roman" w:cs="Times New Roman"/>
          <w:b/>
          <w:bCs/>
          <w:spacing w:val="-4"/>
          <w:position w:val="-1"/>
          <w:sz w:val="20"/>
          <w:szCs w:val="20"/>
        </w:rPr>
        <w:t>414</w:t>
      </w:r>
      <w:r>
        <w:rPr>
          <w:rFonts w:ascii="Times New Roman" w:hAnsi="Times New Roman" w:eastAsia="Times New Roman" w:cs="Times New Roman"/>
          <w:b/>
          <w:bCs/>
          <w:spacing w:val="3"/>
          <w:position w:val="-1"/>
          <w:sz w:val="20"/>
          <w:szCs w:val="20"/>
        </w:rPr>
        <w:t xml:space="preserve">             </w:t>
      </w:r>
      <w:r>
        <w:rPr>
          <w:spacing w:val="-4"/>
          <w:sz w:val="20"/>
          <w:szCs w:val="20"/>
        </w:rPr>
        <w:t>信息系统监理师教程(第2版)</w:t>
      </w:r>
    </w:p>
    <w:p w14:paraId="6A30EADE">
      <w:pPr>
        <w:spacing w:line="311" w:lineRule="auto"/>
        <w:rPr>
          <w:rFonts w:ascii="Arial"/>
          <w:sz w:val="21"/>
        </w:rPr>
      </w:pPr>
    </w:p>
    <w:p w14:paraId="7FF9C7EC">
      <w:pPr>
        <w:pStyle w:val="2"/>
        <w:spacing w:before="65" w:line="221" w:lineRule="auto"/>
        <w:ind w:left="752"/>
        <w:rPr>
          <w:rFonts w:ascii="黑体" w:hAnsi="黑体" w:eastAsia="黑体" w:cs="黑体"/>
          <w:sz w:val="20"/>
          <w:szCs w:val="20"/>
        </w:rPr>
      </w:pPr>
      <w:bookmarkStart w:id="697" w:name="bookmark682"/>
      <w:bookmarkEnd w:id="697"/>
      <w:r>
        <w:rPr>
          <w:b/>
          <w:bCs/>
          <w:color w:val="0677CE"/>
          <w:spacing w:val="-4"/>
          <w:sz w:val="20"/>
          <w:szCs w:val="20"/>
        </w:rPr>
        <w:t>4.</w:t>
      </w:r>
      <w:r>
        <w:rPr>
          <w:rFonts w:ascii="黑体" w:hAnsi="黑体" w:eastAsia="黑体" w:cs="黑体"/>
          <w:b/>
          <w:bCs/>
          <w:color w:val="0677CE"/>
          <w:spacing w:val="-4"/>
          <w:sz w:val="20"/>
          <w:szCs w:val="20"/>
        </w:rPr>
        <w:t>按照标准涉及的对象类型划分</w:t>
      </w:r>
    </w:p>
    <w:p w14:paraId="61A295F9">
      <w:pPr>
        <w:pStyle w:val="2"/>
        <w:spacing w:before="164" w:line="291" w:lineRule="auto"/>
        <w:ind w:left="349" w:right="88" w:firstLine="399"/>
        <w:rPr>
          <w:sz w:val="20"/>
          <w:szCs w:val="20"/>
        </w:rPr>
      </w:pPr>
      <w:r>
        <w:rPr>
          <w:spacing w:val="3"/>
          <w:sz w:val="20"/>
          <w:szCs w:val="20"/>
        </w:rPr>
        <w:t xml:space="preserve">标准涉及的对象类型不同，反映到标准的文本上体现为其技术内容及表现形式的不同。按 </w:t>
      </w:r>
      <w:r>
        <w:rPr>
          <w:spacing w:val="-2"/>
          <w:sz w:val="20"/>
          <w:szCs w:val="20"/>
        </w:rPr>
        <w:t>照标准涉及的对象类型划分，可将标准分为以下几种。</w:t>
      </w:r>
    </w:p>
    <w:p w14:paraId="56A411D1">
      <w:pPr>
        <w:pStyle w:val="2"/>
        <w:spacing w:before="17" w:line="270" w:lineRule="auto"/>
        <w:ind w:left="349" w:right="40" w:firstLine="399"/>
        <w:rPr>
          <w:sz w:val="20"/>
          <w:szCs w:val="20"/>
        </w:rPr>
      </w:pPr>
      <w:r>
        <w:rPr>
          <w:spacing w:val="5"/>
          <w:sz w:val="20"/>
          <w:szCs w:val="20"/>
        </w:rPr>
        <w:t>(1)术语标准。术语标准是指与术语有关的标准，通常带有定义，有时还附有注、图、示</w:t>
      </w:r>
      <w:r>
        <w:rPr>
          <w:spacing w:val="17"/>
          <w:sz w:val="20"/>
          <w:szCs w:val="20"/>
        </w:rPr>
        <w:t xml:space="preserve"> </w:t>
      </w:r>
      <w:r>
        <w:rPr>
          <w:spacing w:val="3"/>
          <w:sz w:val="20"/>
          <w:szCs w:val="20"/>
        </w:rPr>
        <w:t>例等。术语标准是按照专业范围划分的，包含了某领域内某个专业的许多术语。术语</w:t>
      </w:r>
      <w:r>
        <w:rPr>
          <w:spacing w:val="2"/>
          <w:sz w:val="20"/>
          <w:szCs w:val="20"/>
        </w:rPr>
        <w:t>标准的主</w:t>
      </w:r>
      <w:r>
        <w:rPr>
          <w:sz w:val="20"/>
          <w:szCs w:val="20"/>
        </w:rPr>
        <w:t xml:space="preserve"> </w:t>
      </w:r>
      <w:r>
        <w:rPr>
          <w:spacing w:val="3"/>
          <w:sz w:val="20"/>
          <w:szCs w:val="20"/>
        </w:rPr>
        <w:t>要技术要素为术语条目，通常由条目编号、术语和定义几个部分的内容组成。包</w:t>
      </w:r>
      <w:r>
        <w:rPr>
          <w:spacing w:val="2"/>
          <w:sz w:val="20"/>
          <w:szCs w:val="20"/>
        </w:rPr>
        <w:t>含术语和相应</w:t>
      </w:r>
      <w:r>
        <w:rPr>
          <w:sz w:val="20"/>
          <w:szCs w:val="20"/>
        </w:rPr>
        <w:t xml:space="preserve"> </w:t>
      </w:r>
      <w:r>
        <w:rPr>
          <w:spacing w:val="-2"/>
          <w:sz w:val="20"/>
          <w:szCs w:val="20"/>
        </w:rPr>
        <w:t>定义的术语标准，其名称为《</w:t>
      </w:r>
      <w:r>
        <w:rPr>
          <w:rFonts w:ascii="Times New Roman" w:hAnsi="Times New Roman" w:eastAsia="Times New Roman" w:cs="Times New Roman"/>
          <w:spacing w:val="-2"/>
          <w:sz w:val="20"/>
          <w:szCs w:val="20"/>
        </w:rPr>
        <w:t xml:space="preserve">XXX </w:t>
      </w:r>
      <w:r>
        <w:rPr>
          <w:spacing w:val="-2"/>
          <w:sz w:val="20"/>
          <w:szCs w:val="20"/>
        </w:rPr>
        <w:t>词汇》;如果仅有术语没有定义，则名称为《</w:t>
      </w:r>
      <w:r>
        <w:rPr>
          <w:rFonts w:ascii="Times New Roman" w:hAnsi="Times New Roman" w:eastAsia="Times New Roman" w:cs="Times New Roman"/>
          <w:spacing w:val="-2"/>
          <w:sz w:val="20"/>
          <w:szCs w:val="20"/>
        </w:rPr>
        <w:t>XXX</w:t>
      </w:r>
      <w:r>
        <w:rPr>
          <w:rFonts w:ascii="Times New Roman" w:hAnsi="Times New Roman" w:eastAsia="Times New Roman" w:cs="Times New Roman"/>
          <w:spacing w:val="-3"/>
          <w:sz w:val="20"/>
          <w:szCs w:val="20"/>
        </w:rPr>
        <w:t xml:space="preserve"> </w:t>
      </w:r>
      <w:r>
        <w:rPr>
          <w:spacing w:val="-3"/>
          <w:sz w:val="20"/>
          <w:szCs w:val="20"/>
        </w:rPr>
        <w:t>术语集》。</w:t>
      </w:r>
    </w:p>
    <w:p w14:paraId="65275301">
      <w:pPr>
        <w:pStyle w:val="2"/>
        <w:spacing w:before="92" w:line="270" w:lineRule="auto"/>
        <w:ind w:left="349" w:right="47" w:firstLine="399"/>
        <w:rPr>
          <w:sz w:val="20"/>
          <w:szCs w:val="20"/>
        </w:rPr>
      </w:pPr>
      <w:r>
        <w:rPr>
          <w:sz w:val="20"/>
          <w:szCs w:val="20"/>
        </w:rPr>
        <w:t>(2)符号标准。符号标准是指与符号相关的标准。符号是表达一定事物或概念，具有简化特</w:t>
      </w:r>
      <w:r>
        <w:rPr>
          <w:spacing w:val="16"/>
          <w:sz w:val="20"/>
          <w:szCs w:val="20"/>
        </w:rPr>
        <w:t xml:space="preserve"> </w:t>
      </w:r>
      <w:r>
        <w:rPr>
          <w:spacing w:val="-2"/>
          <w:sz w:val="20"/>
          <w:szCs w:val="20"/>
        </w:rPr>
        <w:t>征的视觉形象。符号通常分为文字符号和图形符号。文字符号又可分为字母符号、数字符号、汉</w:t>
      </w:r>
      <w:r>
        <w:rPr>
          <w:spacing w:val="3"/>
          <w:sz w:val="20"/>
          <w:szCs w:val="20"/>
        </w:rPr>
        <w:t xml:space="preserve"> </w:t>
      </w:r>
      <w:r>
        <w:rPr>
          <w:spacing w:val="-1"/>
          <w:sz w:val="20"/>
          <w:szCs w:val="20"/>
        </w:rPr>
        <w:t>字符号或它们组合而成的符号；图形符号又可分为产品技术文件用、设备用、标志用图形符号。</w:t>
      </w:r>
    </w:p>
    <w:p w14:paraId="6DAB10C7">
      <w:pPr>
        <w:pStyle w:val="2"/>
        <w:spacing w:before="91" w:line="259" w:lineRule="auto"/>
        <w:ind w:left="349" w:firstLine="399"/>
        <w:rPr>
          <w:sz w:val="20"/>
          <w:szCs w:val="20"/>
        </w:rPr>
      </w:pPr>
      <w:r>
        <w:rPr>
          <w:spacing w:val="8"/>
          <w:sz w:val="20"/>
          <w:szCs w:val="20"/>
        </w:rPr>
        <w:t>(3)试验标准。试验标准是指与试验方法有关的标准，有时附有</w:t>
      </w:r>
      <w:r>
        <w:rPr>
          <w:spacing w:val="7"/>
          <w:sz w:val="20"/>
          <w:szCs w:val="20"/>
        </w:rPr>
        <w:t>与测试有关的其他条款，</w:t>
      </w:r>
      <w:r>
        <w:rPr>
          <w:sz w:val="20"/>
          <w:szCs w:val="20"/>
        </w:rPr>
        <w:t xml:space="preserve"> </w:t>
      </w:r>
      <w:r>
        <w:rPr>
          <w:spacing w:val="3"/>
          <w:sz w:val="20"/>
          <w:szCs w:val="20"/>
        </w:rPr>
        <w:t>例如抽样、统计方法的应用、试验步骤。试验标准是规定试验过程的标准。试</w:t>
      </w:r>
      <w:r>
        <w:rPr>
          <w:spacing w:val="2"/>
          <w:sz w:val="20"/>
          <w:szCs w:val="20"/>
        </w:rPr>
        <w:t>验标准规定了标</w:t>
      </w:r>
      <w:r>
        <w:rPr>
          <w:sz w:val="20"/>
          <w:szCs w:val="20"/>
        </w:rPr>
        <w:t xml:space="preserve">  </w:t>
      </w:r>
      <w:r>
        <w:rPr>
          <w:spacing w:val="-5"/>
          <w:sz w:val="20"/>
          <w:szCs w:val="20"/>
        </w:rPr>
        <w:t>准化的试验方法。</w:t>
      </w:r>
    </w:p>
    <w:p w14:paraId="67E216F2">
      <w:pPr>
        <w:pStyle w:val="2"/>
        <w:spacing w:before="78" w:line="270" w:lineRule="auto"/>
        <w:ind w:left="349" w:right="84" w:firstLine="399"/>
        <w:rPr>
          <w:sz w:val="20"/>
          <w:szCs w:val="20"/>
        </w:rPr>
      </w:pPr>
      <w:r>
        <w:rPr>
          <w:spacing w:val="5"/>
          <w:sz w:val="20"/>
          <w:szCs w:val="20"/>
        </w:rPr>
        <w:t>(4)产品标准。产品标准是指规定产品应满足的要求以确保其适用性的标准。按照</w:t>
      </w:r>
      <w:r>
        <w:rPr>
          <w:rFonts w:ascii="Times New Roman" w:hAnsi="Times New Roman" w:eastAsia="Times New Roman" w:cs="Times New Roman"/>
          <w:sz w:val="20"/>
          <w:szCs w:val="20"/>
        </w:rPr>
        <w:t>ISO</w:t>
      </w:r>
      <w:r>
        <w:rPr>
          <w:rFonts w:ascii="Times New Roman" w:hAnsi="Times New Roman" w:eastAsia="Times New Roman" w:cs="Times New Roman"/>
          <w:spacing w:val="29"/>
          <w:w w:val="101"/>
          <w:sz w:val="20"/>
          <w:szCs w:val="20"/>
        </w:rPr>
        <w:t xml:space="preserve"> </w:t>
      </w:r>
      <w:r>
        <w:rPr>
          <w:spacing w:val="5"/>
          <w:sz w:val="20"/>
          <w:szCs w:val="20"/>
        </w:rPr>
        <w:t>对</w:t>
      </w:r>
      <w:r>
        <w:rPr>
          <w:sz w:val="20"/>
          <w:szCs w:val="20"/>
        </w:rPr>
        <w:t xml:space="preserve"> </w:t>
      </w:r>
      <w:r>
        <w:rPr>
          <w:spacing w:val="3"/>
          <w:sz w:val="20"/>
          <w:szCs w:val="20"/>
        </w:rPr>
        <w:t>标准化对象的划分，产品标准是相对于过程标准和服务标准而言的一大类标准，与产品有关的</w:t>
      </w:r>
      <w:r>
        <w:rPr>
          <w:spacing w:val="1"/>
          <w:sz w:val="20"/>
          <w:szCs w:val="20"/>
        </w:rPr>
        <w:t xml:space="preserve"> </w:t>
      </w:r>
      <w:r>
        <w:rPr>
          <w:spacing w:val="-1"/>
          <w:sz w:val="20"/>
          <w:szCs w:val="20"/>
        </w:rPr>
        <w:t>标准都可以划入这一类别。产品标准可分为不同类别的标准，例如尺寸标准、材料标准等。</w:t>
      </w:r>
    </w:p>
    <w:p w14:paraId="54D69A92">
      <w:pPr>
        <w:pStyle w:val="2"/>
        <w:spacing w:before="63" w:line="264" w:lineRule="auto"/>
        <w:ind w:left="349" w:right="92" w:firstLine="399"/>
        <w:rPr>
          <w:sz w:val="20"/>
          <w:szCs w:val="20"/>
        </w:rPr>
      </w:pPr>
      <w:r>
        <w:rPr>
          <w:spacing w:val="5"/>
          <w:sz w:val="20"/>
          <w:szCs w:val="20"/>
        </w:rPr>
        <w:t>(5)过程标准。过程标准是指规定过程应满足的要求以确保其适用性的标准。按照</w:t>
      </w:r>
      <w:r>
        <w:rPr>
          <w:rFonts w:ascii="Times New Roman" w:hAnsi="Times New Roman" w:eastAsia="Times New Roman" w:cs="Times New Roman"/>
          <w:sz w:val="20"/>
          <w:szCs w:val="20"/>
        </w:rPr>
        <w:t>ISO</w:t>
      </w:r>
      <w:r>
        <w:rPr>
          <w:rFonts w:ascii="Times New Roman" w:hAnsi="Times New Roman" w:eastAsia="Times New Roman" w:cs="Times New Roman"/>
          <w:spacing w:val="5"/>
          <w:sz w:val="20"/>
          <w:szCs w:val="20"/>
        </w:rPr>
        <w:t xml:space="preserve"> </w:t>
      </w:r>
      <w:r>
        <w:rPr>
          <w:spacing w:val="5"/>
          <w:sz w:val="20"/>
          <w:szCs w:val="20"/>
        </w:rPr>
        <w:t>对</w:t>
      </w:r>
      <w:r>
        <w:rPr>
          <w:spacing w:val="14"/>
          <w:sz w:val="20"/>
          <w:szCs w:val="20"/>
        </w:rPr>
        <w:t xml:space="preserve"> </w:t>
      </w:r>
      <w:r>
        <w:rPr>
          <w:spacing w:val="3"/>
          <w:sz w:val="20"/>
          <w:szCs w:val="20"/>
        </w:rPr>
        <w:t>标准对象的划分，过程标准是相对于产品标准和服务标准而言的一大类标准，</w:t>
      </w:r>
      <w:r>
        <w:rPr>
          <w:spacing w:val="2"/>
          <w:sz w:val="20"/>
          <w:szCs w:val="20"/>
        </w:rPr>
        <w:t>与过程有关的标</w:t>
      </w:r>
      <w:r>
        <w:rPr>
          <w:sz w:val="20"/>
          <w:szCs w:val="20"/>
        </w:rPr>
        <w:t xml:space="preserve"> </w:t>
      </w:r>
      <w:r>
        <w:rPr>
          <w:spacing w:val="-3"/>
          <w:sz w:val="20"/>
          <w:szCs w:val="20"/>
        </w:rPr>
        <w:t>准都可以划入这一类别。</w:t>
      </w:r>
    </w:p>
    <w:p w14:paraId="06A4A380">
      <w:pPr>
        <w:pStyle w:val="2"/>
        <w:spacing w:before="92" w:line="264" w:lineRule="auto"/>
        <w:ind w:left="349" w:right="84" w:firstLine="399"/>
        <w:rPr>
          <w:sz w:val="20"/>
          <w:szCs w:val="20"/>
        </w:rPr>
      </w:pPr>
      <w:r>
        <w:rPr>
          <w:spacing w:val="5"/>
          <w:sz w:val="20"/>
          <w:szCs w:val="20"/>
        </w:rPr>
        <w:t>(6)服务标准。服务标准是指规定服务应满足的要求以确保其适用性的标准。按照</w:t>
      </w:r>
      <w:r>
        <w:rPr>
          <w:rFonts w:ascii="Times New Roman" w:hAnsi="Times New Roman" w:eastAsia="Times New Roman" w:cs="Times New Roman"/>
          <w:sz w:val="20"/>
          <w:szCs w:val="20"/>
        </w:rPr>
        <w:t>ISO</w:t>
      </w:r>
      <w:r>
        <w:rPr>
          <w:rFonts w:ascii="Times New Roman" w:hAnsi="Times New Roman" w:eastAsia="Times New Roman" w:cs="Times New Roman"/>
          <w:spacing w:val="5"/>
          <w:sz w:val="20"/>
          <w:szCs w:val="20"/>
        </w:rPr>
        <w:t xml:space="preserve"> </w:t>
      </w:r>
      <w:r>
        <w:rPr>
          <w:spacing w:val="5"/>
          <w:sz w:val="20"/>
          <w:szCs w:val="20"/>
        </w:rPr>
        <w:t>对</w:t>
      </w:r>
      <w:r>
        <w:rPr>
          <w:spacing w:val="14"/>
          <w:sz w:val="20"/>
          <w:szCs w:val="20"/>
        </w:rPr>
        <w:t xml:space="preserve"> </w:t>
      </w:r>
      <w:r>
        <w:rPr>
          <w:spacing w:val="3"/>
          <w:sz w:val="20"/>
          <w:szCs w:val="20"/>
        </w:rPr>
        <w:t>标准化对象的划分，服务标准是相对于产品标准和过程标准而言的一大类标准，与服务相关的</w:t>
      </w:r>
      <w:r>
        <w:rPr>
          <w:spacing w:val="1"/>
          <w:sz w:val="20"/>
          <w:szCs w:val="20"/>
        </w:rPr>
        <w:t xml:space="preserve"> </w:t>
      </w:r>
      <w:r>
        <w:rPr>
          <w:spacing w:val="-3"/>
          <w:sz w:val="20"/>
          <w:szCs w:val="20"/>
        </w:rPr>
        <w:t>标准都可以划入这一类别。</w:t>
      </w:r>
    </w:p>
    <w:p w14:paraId="2F4E852D">
      <w:pPr>
        <w:pStyle w:val="2"/>
        <w:spacing w:before="84" w:line="264" w:lineRule="auto"/>
        <w:ind w:left="349" w:firstLine="399"/>
        <w:rPr>
          <w:sz w:val="20"/>
          <w:szCs w:val="20"/>
        </w:rPr>
      </w:pPr>
      <w:r>
        <w:rPr>
          <w:spacing w:val="8"/>
          <w:sz w:val="20"/>
          <w:szCs w:val="20"/>
        </w:rPr>
        <w:t>(7)接口标准。接口标准是指规定产品或系统在其互连部位与兼</w:t>
      </w:r>
      <w:r>
        <w:rPr>
          <w:spacing w:val="7"/>
          <w:sz w:val="20"/>
          <w:szCs w:val="20"/>
        </w:rPr>
        <w:t>容性有关的要求的标准。</w:t>
      </w:r>
      <w:r>
        <w:rPr>
          <w:sz w:val="20"/>
          <w:szCs w:val="20"/>
        </w:rPr>
        <w:t xml:space="preserve"> </w:t>
      </w:r>
      <w:r>
        <w:rPr>
          <w:spacing w:val="3"/>
          <w:sz w:val="20"/>
          <w:szCs w:val="20"/>
        </w:rPr>
        <w:t>从上述定义可以看出，接口标准针对的是一个产品与其他产品连接使用时，其相</w:t>
      </w:r>
      <w:r>
        <w:rPr>
          <w:spacing w:val="2"/>
          <w:sz w:val="20"/>
          <w:szCs w:val="20"/>
        </w:rPr>
        <w:t>互连接的界面</w:t>
      </w:r>
      <w:r>
        <w:rPr>
          <w:sz w:val="20"/>
          <w:szCs w:val="20"/>
        </w:rPr>
        <w:t xml:space="preserve">  </w:t>
      </w:r>
      <w:r>
        <w:rPr>
          <w:spacing w:val="-7"/>
          <w:sz w:val="20"/>
          <w:szCs w:val="20"/>
        </w:rPr>
        <w:t>的标准化问题。</w:t>
      </w:r>
    </w:p>
    <w:p w14:paraId="072DDA96">
      <w:pPr>
        <w:pStyle w:val="2"/>
        <w:spacing w:before="167" w:line="222" w:lineRule="auto"/>
        <w:ind w:left="752"/>
        <w:rPr>
          <w:rFonts w:ascii="黑体" w:hAnsi="黑体" w:eastAsia="黑体" w:cs="黑体"/>
          <w:sz w:val="20"/>
          <w:szCs w:val="20"/>
        </w:rPr>
      </w:pPr>
      <w:r>
        <w:rPr>
          <w:b/>
          <w:bCs/>
          <w:color w:val="0075C4"/>
          <w:spacing w:val="-5"/>
          <w:sz w:val="20"/>
          <w:szCs w:val="20"/>
        </w:rPr>
        <w:t>5.</w:t>
      </w:r>
      <w:r>
        <w:rPr>
          <w:rFonts w:ascii="黑体" w:hAnsi="黑体" w:eastAsia="黑体" w:cs="黑体"/>
          <w:b/>
          <w:bCs/>
          <w:color w:val="0075C4"/>
          <w:spacing w:val="-5"/>
          <w:sz w:val="20"/>
          <w:szCs w:val="20"/>
        </w:rPr>
        <w:t>按照标准的要求程度划分</w:t>
      </w:r>
    </w:p>
    <w:p w14:paraId="65BED69F">
      <w:pPr>
        <w:pStyle w:val="2"/>
        <w:spacing w:before="152" w:line="219" w:lineRule="auto"/>
        <w:ind w:left="749"/>
        <w:rPr>
          <w:sz w:val="20"/>
          <w:szCs w:val="20"/>
        </w:rPr>
      </w:pPr>
      <w:r>
        <w:rPr>
          <w:spacing w:val="-2"/>
          <w:sz w:val="20"/>
          <w:szCs w:val="20"/>
        </w:rPr>
        <w:t>按照标准的要求程度划分，可将标准分为以下几种。</w:t>
      </w:r>
    </w:p>
    <w:p w14:paraId="3142914D">
      <w:pPr>
        <w:pStyle w:val="2"/>
        <w:spacing w:before="73" w:line="253" w:lineRule="auto"/>
        <w:ind w:left="349" w:right="91" w:firstLine="399"/>
        <w:rPr>
          <w:sz w:val="20"/>
          <w:szCs w:val="20"/>
        </w:rPr>
      </w:pPr>
      <w:r>
        <w:rPr>
          <w:spacing w:val="5"/>
          <w:sz w:val="20"/>
          <w:szCs w:val="20"/>
        </w:rPr>
        <w:t>(1)规范。规范是指规定产品、过程或服务需要满足的要求的文件。几乎所有的标准化对</w:t>
      </w:r>
      <w:r>
        <w:rPr>
          <w:spacing w:val="17"/>
          <w:sz w:val="20"/>
          <w:szCs w:val="20"/>
        </w:rPr>
        <w:t xml:space="preserve"> </w:t>
      </w:r>
      <w:r>
        <w:rPr>
          <w:spacing w:val="-1"/>
          <w:sz w:val="20"/>
          <w:szCs w:val="20"/>
        </w:rPr>
        <w:t>象都可以成为规范的对象，无论是产品、过程还是服务，或者是其他更加具体的标准化</w:t>
      </w:r>
      <w:r>
        <w:rPr>
          <w:spacing w:val="-2"/>
          <w:sz w:val="20"/>
          <w:szCs w:val="20"/>
        </w:rPr>
        <w:t>对象。</w:t>
      </w:r>
    </w:p>
    <w:p w14:paraId="1FBF1463">
      <w:pPr>
        <w:pStyle w:val="2"/>
        <w:spacing w:before="62" w:line="253" w:lineRule="auto"/>
        <w:ind w:left="349" w:right="91" w:firstLine="399"/>
        <w:rPr>
          <w:sz w:val="20"/>
          <w:szCs w:val="20"/>
        </w:rPr>
      </w:pPr>
      <w:r>
        <w:rPr>
          <w:spacing w:val="5"/>
          <w:sz w:val="20"/>
          <w:szCs w:val="20"/>
        </w:rPr>
        <w:t>(2)规程。规程是指为设备、构件或产品的设计、制造、安装、维护或使用而推荐惯例或</w:t>
      </w:r>
      <w:r>
        <w:rPr>
          <w:spacing w:val="18"/>
          <w:sz w:val="20"/>
          <w:szCs w:val="20"/>
        </w:rPr>
        <w:t xml:space="preserve"> </w:t>
      </w:r>
      <w:r>
        <w:rPr>
          <w:spacing w:val="-2"/>
          <w:sz w:val="20"/>
          <w:szCs w:val="20"/>
        </w:rPr>
        <w:t>程序的文件。规程所针对的标准化对象是设备、构件或产品。</w:t>
      </w:r>
    </w:p>
    <w:p w14:paraId="761CA134">
      <w:pPr>
        <w:pStyle w:val="2"/>
        <w:spacing w:before="72" w:line="264" w:lineRule="auto"/>
        <w:ind w:left="349" w:firstLine="399"/>
        <w:rPr>
          <w:sz w:val="20"/>
          <w:szCs w:val="20"/>
        </w:rPr>
      </w:pPr>
      <w:r>
        <w:rPr>
          <w:spacing w:val="8"/>
          <w:sz w:val="20"/>
          <w:szCs w:val="20"/>
        </w:rPr>
        <w:t>(3)指南。指南是指给出某主题的一般性、原则性、方向性的信</w:t>
      </w:r>
      <w:r>
        <w:rPr>
          <w:spacing w:val="7"/>
          <w:sz w:val="20"/>
          <w:szCs w:val="20"/>
        </w:rPr>
        <w:t>息、指导或建议的文件。</w:t>
      </w:r>
      <w:r>
        <w:rPr>
          <w:sz w:val="20"/>
          <w:szCs w:val="20"/>
        </w:rPr>
        <w:t xml:space="preserve"> </w:t>
      </w:r>
      <w:r>
        <w:rPr>
          <w:spacing w:val="3"/>
          <w:sz w:val="20"/>
          <w:szCs w:val="20"/>
        </w:rPr>
        <w:t>指南的标准化对象较广泛，但具体到每一个特定的指南，其标准化对象则集中到某一主题的特</w:t>
      </w:r>
      <w:r>
        <w:rPr>
          <w:spacing w:val="12"/>
          <w:sz w:val="20"/>
          <w:szCs w:val="20"/>
        </w:rPr>
        <w:t xml:space="preserve"> </w:t>
      </w:r>
      <w:r>
        <w:rPr>
          <w:spacing w:val="-1"/>
          <w:sz w:val="20"/>
          <w:szCs w:val="20"/>
        </w:rPr>
        <w:t>定方面，这些特定方面是有共性的，即一般性、原则</w:t>
      </w:r>
      <w:r>
        <w:rPr>
          <w:spacing w:val="-2"/>
          <w:sz w:val="20"/>
          <w:szCs w:val="20"/>
        </w:rPr>
        <w:t>性或方向性的内容。</w:t>
      </w:r>
    </w:p>
    <w:p w14:paraId="15948E6B">
      <w:pPr>
        <w:spacing w:line="264" w:lineRule="auto"/>
        <w:rPr>
          <w:sz w:val="20"/>
          <w:szCs w:val="20"/>
        </w:rPr>
        <w:sectPr>
          <w:pgSz w:w="10300" w:h="13420"/>
          <w:pgMar w:top="400" w:right="1009" w:bottom="400" w:left="530" w:header="0" w:footer="0" w:gutter="0"/>
          <w:cols w:space="720" w:num="1"/>
        </w:sectPr>
      </w:pPr>
    </w:p>
    <w:p w14:paraId="1E6C4156">
      <w:pPr>
        <w:pStyle w:val="2"/>
        <w:jc w:val="right"/>
        <w:rPr>
          <w:rFonts w:ascii="Times New Roman" w:hAnsi="Times New Roman" w:eastAsia="Times New Roman" w:cs="Times New Roman"/>
          <w:sz w:val="20"/>
          <w:szCs w:val="20"/>
        </w:rPr>
      </w:pPr>
      <w:r>
        <w:rPr>
          <w:spacing w:val="-2"/>
          <w:sz w:val="20"/>
          <w:szCs w:val="20"/>
        </w:rPr>
        <w:t xml:space="preserve">第19章 监理支撑要素 </w:t>
      </w:r>
      <w:r>
        <w:rPr>
          <w:position w:val="-10"/>
          <w:sz w:val="20"/>
          <w:szCs w:val="20"/>
        </w:rPr>
        <w:drawing>
          <wp:inline distT="0" distB="0" distL="0" distR="0">
            <wp:extent cx="323850" cy="241300"/>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274"/>
                    <a:stretch>
                      <a:fillRect/>
                    </a:stretch>
                  </pic:blipFill>
                  <pic:spPr>
                    <a:xfrm>
                      <a:off x="0" y="0"/>
                      <a:ext cx="323897" cy="241312"/>
                    </a:xfrm>
                    <a:prstGeom prst="rect">
                      <a:avLst/>
                    </a:prstGeom>
                  </pic:spPr>
                </pic:pic>
              </a:graphicData>
            </a:graphic>
          </wp:inline>
        </w:drawing>
      </w:r>
      <w:r>
        <w:rPr>
          <w:rFonts w:ascii="Times New Roman" w:hAnsi="Times New Roman" w:eastAsia="Times New Roman" w:cs="Times New Roman"/>
          <w:b/>
          <w:bCs/>
          <w:spacing w:val="-2"/>
          <w:position w:val="-2"/>
          <w:sz w:val="20"/>
          <w:szCs w:val="20"/>
        </w:rPr>
        <w:t>415</w:t>
      </w:r>
    </w:p>
    <w:p w14:paraId="78033105">
      <w:pPr>
        <w:spacing w:line="244" w:lineRule="auto"/>
        <w:rPr>
          <w:rFonts w:ascii="Arial"/>
          <w:sz w:val="21"/>
        </w:rPr>
      </w:pPr>
    </w:p>
    <w:p w14:paraId="3B0A7AD7">
      <w:pPr>
        <w:pStyle w:val="2"/>
        <w:spacing w:before="81" w:line="219" w:lineRule="auto"/>
        <w:ind w:left="2"/>
        <w:rPr>
          <w:sz w:val="25"/>
          <w:szCs w:val="25"/>
        </w:rPr>
      </w:pPr>
      <w:bookmarkStart w:id="698" w:name="bookmark683"/>
      <w:bookmarkEnd w:id="698"/>
      <w:r>
        <w:rPr>
          <w:b/>
          <w:bCs/>
          <w:color w:val="0072E5"/>
          <w:spacing w:val="-19"/>
          <w:sz w:val="25"/>
          <w:szCs w:val="25"/>
        </w:rPr>
        <w:t>19.2.2</w:t>
      </w:r>
      <w:r>
        <w:rPr>
          <w:color w:val="0072E5"/>
          <w:spacing w:val="91"/>
          <w:sz w:val="25"/>
          <w:szCs w:val="25"/>
        </w:rPr>
        <w:t xml:space="preserve"> </w:t>
      </w:r>
      <w:r>
        <w:rPr>
          <w:b/>
          <w:bCs/>
          <w:color w:val="0072E5"/>
          <w:spacing w:val="-19"/>
          <w:sz w:val="25"/>
          <w:szCs w:val="25"/>
        </w:rPr>
        <w:t>信息化标准体系</w:t>
      </w:r>
    </w:p>
    <w:p w14:paraId="3DDEF253">
      <w:pPr>
        <w:pStyle w:val="2"/>
        <w:spacing w:before="182" w:line="280" w:lineRule="auto"/>
        <w:ind w:right="264" w:firstLine="389"/>
        <w:jc w:val="both"/>
        <w:rPr>
          <w:sz w:val="20"/>
          <w:szCs w:val="20"/>
        </w:rPr>
      </w:pPr>
      <w:r>
        <w:rPr>
          <w:sz w:val="20"/>
          <w:szCs w:val="20"/>
        </w:rPr>
        <w:t>国内外发布了一系列系统与软件工程、信息</w:t>
      </w:r>
      <w:r>
        <w:rPr>
          <w:spacing w:val="-1"/>
          <w:sz w:val="20"/>
          <w:szCs w:val="20"/>
        </w:rPr>
        <w:t>技术以及信息技术服务等相关领域的标准规范，</w:t>
      </w:r>
      <w:r>
        <w:rPr>
          <w:sz w:val="20"/>
          <w:szCs w:val="20"/>
        </w:rPr>
        <w:t xml:space="preserve"> </w:t>
      </w:r>
      <w:r>
        <w:rPr>
          <w:spacing w:val="3"/>
          <w:sz w:val="20"/>
          <w:szCs w:val="20"/>
        </w:rPr>
        <w:t>有关标准为信息系统相关活动提供了最佳实践、规范要求等内容，相关信息系统活动需要根据</w:t>
      </w:r>
      <w:r>
        <w:rPr>
          <w:spacing w:val="7"/>
          <w:sz w:val="20"/>
          <w:szCs w:val="20"/>
        </w:rPr>
        <w:t xml:space="preserve"> </w:t>
      </w:r>
      <w:r>
        <w:rPr>
          <w:spacing w:val="3"/>
          <w:sz w:val="20"/>
          <w:szCs w:val="20"/>
        </w:rPr>
        <w:t>活动的内容、预计达成的目标和技术使用情况等，遵循有关</w:t>
      </w:r>
      <w:r>
        <w:rPr>
          <w:spacing w:val="2"/>
          <w:sz w:val="20"/>
          <w:szCs w:val="20"/>
        </w:rPr>
        <w:t>标准的规定和要求，从而确保有关</w:t>
      </w:r>
      <w:r>
        <w:rPr>
          <w:sz w:val="20"/>
          <w:szCs w:val="20"/>
        </w:rPr>
        <w:t xml:space="preserve"> </w:t>
      </w:r>
      <w:r>
        <w:rPr>
          <w:spacing w:val="-4"/>
          <w:sz w:val="20"/>
          <w:szCs w:val="20"/>
        </w:rPr>
        <w:t>活动的有效性和规范性等。</w:t>
      </w:r>
    </w:p>
    <w:p w14:paraId="12ED30CE">
      <w:pPr>
        <w:pStyle w:val="2"/>
        <w:spacing w:before="134" w:line="221" w:lineRule="auto"/>
        <w:ind w:left="392"/>
        <w:rPr>
          <w:rFonts w:ascii="黑体" w:hAnsi="黑体" w:eastAsia="黑体" w:cs="黑体"/>
          <w:sz w:val="20"/>
          <w:szCs w:val="20"/>
        </w:rPr>
      </w:pPr>
      <w:r>
        <w:rPr>
          <w:b/>
          <w:bCs/>
          <w:color w:val="0071D4"/>
          <w:spacing w:val="-5"/>
          <w:sz w:val="20"/>
          <w:szCs w:val="20"/>
        </w:rPr>
        <w:t>1.</w:t>
      </w:r>
      <w:r>
        <w:rPr>
          <w:rFonts w:ascii="黑体" w:hAnsi="黑体" w:eastAsia="黑体" w:cs="黑体"/>
          <w:b/>
          <w:bCs/>
          <w:color w:val="0071D4"/>
          <w:spacing w:val="-5"/>
          <w:sz w:val="20"/>
          <w:szCs w:val="20"/>
        </w:rPr>
        <w:t>系统与软件工程标准</w:t>
      </w:r>
    </w:p>
    <w:p w14:paraId="5774B185">
      <w:pPr>
        <w:pStyle w:val="2"/>
        <w:spacing w:before="155" w:line="219" w:lineRule="auto"/>
        <w:ind w:left="389"/>
        <w:rPr>
          <w:sz w:val="20"/>
          <w:szCs w:val="20"/>
        </w:rPr>
      </w:pPr>
      <w:r>
        <w:rPr>
          <w:spacing w:val="-1"/>
          <w:sz w:val="20"/>
          <w:szCs w:val="20"/>
        </w:rPr>
        <w:t>系统与软件工程标准包含基础标准、生存周期管理标准以及质</w:t>
      </w:r>
      <w:r>
        <w:rPr>
          <w:spacing w:val="-2"/>
          <w:sz w:val="20"/>
          <w:szCs w:val="20"/>
        </w:rPr>
        <w:t>量与测试标准。</w:t>
      </w:r>
    </w:p>
    <w:p w14:paraId="015C7143">
      <w:pPr>
        <w:pStyle w:val="2"/>
        <w:spacing w:before="159" w:line="222" w:lineRule="auto"/>
        <w:ind w:left="392"/>
        <w:rPr>
          <w:rFonts w:ascii="黑体" w:hAnsi="黑体" w:eastAsia="黑体" w:cs="黑体"/>
          <w:sz w:val="20"/>
          <w:szCs w:val="20"/>
        </w:rPr>
      </w:pPr>
      <w:r>
        <w:rPr>
          <w:b/>
          <w:bCs/>
          <w:color w:val="0075CF"/>
          <w:spacing w:val="-1"/>
          <w:sz w:val="20"/>
          <w:szCs w:val="20"/>
        </w:rPr>
        <w:t>2.</w:t>
      </w:r>
      <w:r>
        <w:rPr>
          <w:rFonts w:ascii="黑体" w:hAnsi="黑体" w:eastAsia="黑体" w:cs="黑体"/>
          <w:b/>
          <w:bCs/>
          <w:color w:val="0075CF"/>
          <w:spacing w:val="-1"/>
          <w:sz w:val="20"/>
          <w:szCs w:val="20"/>
        </w:rPr>
        <w:t>信息技术标准</w:t>
      </w:r>
    </w:p>
    <w:p w14:paraId="083F89CD">
      <w:pPr>
        <w:pStyle w:val="2"/>
        <w:spacing w:before="132" w:line="286" w:lineRule="auto"/>
        <w:ind w:right="326" w:firstLine="389"/>
        <w:jc w:val="both"/>
        <w:rPr>
          <w:sz w:val="20"/>
          <w:szCs w:val="20"/>
        </w:rPr>
      </w:pPr>
      <w:r>
        <w:rPr>
          <w:spacing w:val="3"/>
          <w:sz w:val="20"/>
          <w:szCs w:val="20"/>
        </w:rPr>
        <w:t>信息技术标准包含传统信息技术标准和创新信息技术标准。传统信息技术标准包括信息技</w:t>
      </w:r>
      <w:r>
        <w:rPr>
          <w:sz w:val="20"/>
          <w:szCs w:val="20"/>
        </w:rPr>
        <w:t xml:space="preserve"> </w:t>
      </w:r>
      <w:r>
        <w:rPr>
          <w:spacing w:val="3"/>
          <w:sz w:val="20"/>
          <w:szCs w:val="20"/>
        </w:rPr>
        <w:t>术、信息安全等相关标准。创新信息技术标准主要包括物联</w:t>
      </w:r>
      <w:r>
        <w:rPr>
          <w:spacing w:val="2"/>
          <w:sz w:val="20"/>
          <w:szCs w:val="20"/>
        </w:rPr>
        <w:t>网、云计算、大数据、区块链、人</w:t>
      </w:r>
      <w:r>
        <w:rPr>
          <w:sz w:val="20"/>
          <w:szCs w:val="20"/>
        </w:rPr>
        <w:t xml:space="preserve"> </w:t>
      </w:r>
      <w:r>
        <w:rPr>
          <w:spacing w:val="-1"/>
          <w:sz w:val="20"/>
          <w:szCs w:val="20"/>
        </w:rPr>
        <w:t>工智能、虚拟现实、移动互联网、业务融合等新一代信息技术的</w:t>
      </w:r>
      <w:r>
        <w:rPr>
          <w:spacing w:val="-2"/>
          <w:sz w:val="20"/>
          <w:szCs w:val="20"/>
        </w:rPr>
        <w:t>相关标准。</w:t>
      </w:r>
    </w:p>
    <w:p w14:paraId="0AF035AF">
      <w:pPr>
        <w:pStyle w:val="2"/>
        <w:spacing w:before="106" w:line="221" w:lineRule="auto"/>
        <w:ind w:left="392"/>
        <w:rPr>
          <w:rFonts w:ascii="黑体" w:hAnsi="黑体" w:eastAsia="黑体" w:cs="黑体"/>
          <w:sz w:val="20"/>
          <w:szCs w:val="20"/>
        </w:rPr>
      </w:pPr>
      <w:r>
        <w:rPr>
          <w:b/>
          <w:bCs/>
          <w:color w:val="0071D5"/>
          <w:spacing w:val="-3"/>
          <w:sz w:val="20"/>
          <w:szCs w:val="20"/>
        </w:rPr>
        <w:t>3.</w:t>
      </w:r>
      <w:r>
        <w:rPr>
          <w:rFonts w:ascii="黑体" w:hAnsi="黑体" w:eastAsia="黑体" w:cs="黑体"/>
          <w:b/>
          <w:bCs/>
          <w:color w:val="0071D5"/>
          <w:spacing w:val="-3"/>
          <w:sz w:val="20"/>
          <w:szCs w:val="20"/>
        </w:rPr>
        <w:t>信息技术服务标准</w:t>
      </w:r>
    </w:p>
    <w:p w14:paraId="25458C5C">
      <w:pPr>
        <w:pStyle w:val="2"/>
        <w:spacing w:before="136" w:line="291" w:lineRule="auto"/>
        <w:ind w:right="313" w:firstLine="389"/>
        <w:rPr>
          <w:sz w:val="20"/>
          <w:szCs w:val="20"/>
        </w:rPr>
      </w:pPr>
      <w:r>
        <w:rPr>
          <w:spacing w:val="3"/>
          <w:sz w:val="20"/>
          <w:szCs w:val="20"/>
        </w:rPr>
        <w:t>信息技术服务标准包含咨询设计、软件开发服务、集成实施、运行维护、云服务、数据中</w:t>
      </w:r>
      <w:r>
        <w:rPr>
          <w:spacing w:val="14"/>
          <w:sz w:val="20"/>
          <w:szCs w:val="20"/>
        </w:rPr>
        <w:t xml:space="preserve"> </w:t>
      </w:r>
      <w:r>
        <w:rPr>
          <w:spacing w:val="-6"/>
          <w:sz w:val="20"/>
          <w:szCs w:val="20"/>
        </w:rPr>
        <w:t>心等相关标准。</w:t>
      </w:r>
    </w:p>
    <w:p w14:paraId="1F43B966">
      <w:pPr>
        <w:pStyle w:val="2"/>
        <w:spacing w:before="28" w:line="277" w:lineRule="auto"/>
        <w:ind w:right="306" w:firstLine="389"/>
        <w:jc w:val="both"/>
        <w:rPr>
          <w:sz w:val="20"/>
          <w:szCs w:val="20"/>
        </w:rPr>
      </w:pPr>
      <w:r>
        <w:rPr>
          <w:spacing w:val="4"/>
          <w:sz w:val="20"/>
          <w:szCs w:val="20"/>
        </w:rPr>
        <w:t>各领域标准关注的方向和侧重点不同，因此在</w:t>
      </w:r>
      <w:r>
        <w:rPr>
          <w:spacing w:val="3"/>
          <w:sz w:val="20"/>
          <w:szCs w:val="20"/>
        </w:rPr>
        <w:t>信息系统工程中，需要根据项目所处的具体</w:t>
      </w:r>
      <w:r>
        <w:rPr>
          <w:sz w:val="20"/>
          <w:szCs w:val="20"/>
        </w:rPr>
        <w:t xml:space="preserve"> </w:t>
      </w:r>
      <w:r>
        <w:rPr>
          <w:spacing w:val="3"/>
          <w:sz w:val="20"/>
          <w:szCs w:val="20"/>
        </w:rPr>
        <w:t xml:space="preserve">阶段进行系统化融合应用。在信息系统工程建设项目、运行维护项目中，常用的标准涉及物联 </w:t>
      </w:r>
      <w:r>
        <w:rPr>
          <w:spacing w:val="-1"/>
          <w:sz w:val="20"/>
          <w:szCs w:val="20"/>
        </w:rPr>
        <w:t>网、云计算、大数据、系统建设、集成实施、运行维护中的某</w:t>
      </w:r>
      <w:r>
        <w:rPr>
          <w:spacing w:val="-2"/>
          <w:sz w:val="20"/>
          <w:szCs w:val="20"/>
        </w:rPr>
        <w:t>一个或某几个领域的标准。</w:t>
      </w:r>
    </w:p>
    <w:p w14:paraId="46F7A035">
      <w:pPr>
        <w:pStyle w:val="2"/>
        <w:spacing w:before="179" w:line="219" w:lineRule="auto"/>
        <w:ind w:left="3"/>
        <w:rPr>
          <w:sz w:val="25"/>
          <w:szCs w:val="25"/>
        </w:rPr>
      </w:pPr>
      <w:r>
        <w:rPr>
          <w:b/>
          <w:bCs/>
          <w:color w:val="0076DE"/>
          <w:spacing w:val="-18"/>
          <w:sz w:val="25"/>
          <w:szCs w:val="25"/>
        </w:rPr>
        <w:t>19.2.3</w:t>
      </w:r>
      <w:r>
        <w:rPr>
          <w:color w:val="0076DE"/>
          <w:spacing w:val="100"/>
          <w:sz w:val="25"/>
          <w:szCs w:val="25"/>
        </w:rPr>
        <w:t xml:space="preserve"> </w:t>
      </w:r>
      <w:r>
        <w:rPr>
          <w:b/>
          <w:bCs/>
          <w:color w:val="0076DE"/>
          <w:spacing w:val="-18"/>
          <w:sz w:val="25"/>
          <w:szCs w:val="25"/>
        </w:rPr>
        <w:t>系统与软件工程标准</w:t>
      </w:r>
    </w:p>
    <w:p w14:paraId="371827AE">
      <w:pPr>
        <w:pStyle w:val="2"/>
        <w:spacing w:before="270" w:line="221" w:lineRule="auto"/>
        <w:ind w:left="392"/>
        <w:rPr>
          <w:rFonts w:ascii="黑体" w:hAnsi="黑体" w:eastAsia="黑体" w:cs="黑体"/>
          <w:sz w:val="20"/>
          <w:szCs w:val="20"/>
        </w:rPr>
      </w:pPr>
      <w:r>
        <w:rPr>
          <w:b/>
          <w:bCs/>
          <w:color w:val="008DEB"/>
          <w:spacing w:val="-3"/>
          <w:sz w:val="20"/>
          <w:szCs w:val="20"/>
        </w:rPr>
        <w:t>1.</w:t>
      </w:r>
      <w:r>
        <w:rPr>
          <w:rFonts w:ascii="黑体" w:hAnsi="黑体" w:eastAsia="黑体" w:cs="黑体"/>
          <w:b/>
          <w:bCs/>
          <w:color w:val="008DEB"/>
          <w:spacing w:val="-3"/>
          <w:sz w:val="20"/>
          <w:szCs w:val="20"/>
        </w:rPr>
        <w:t>基础标准</w:t>
      </w:r>
    </w:p>
    <w:p w14:paraId="52281D4D">
      <w:pPr>
        <w:pStyle w:val="2"/>
        <w:spacing w:before="134" w:line="264" w:lineRule="auto"/>
        <w:ind w:right="325" w:firstLine="389"/>
        <w:rPr>
          <w:sz w:val="20"/>
          <w:szCs w:val="20"/>
        </w:rPr>
      </w:pPr>
      <w:r>
        <w:rPr>
          <w:sz w:val="20"/>
          <w:szCs w:val="20"/>
        </w:rPr>
        <w:t>基础标准方面，主要包含</w:t>
      </w:r>
      <w:r>
        <w:rPr>
          <w:rFonts w:ascii="Times New Roman" w:hAnsi="Times New Roman" w:eastAsia="Times New Roman" w:cs="Times New Roman"/>
          <w:sz w:val="20"/>
          <w:szCs w:val="20"/>
        </w:rPr>
        <w:t>GB/T  11457</w:t>
      </w:r>
      <w:r>
        <w:rPr>
          <w:sz w:val="20"/>
          <w:szCs w:val="20"/>
        </w:rPr>
        <w:t>《信息技术软件工程术语》、</w:t>
      </w:r>
      <w:r>
        <w:rPr>
          <w:rFonts w:ascii="Times New Roman" w:hAnsi="Times New Roman" w:eastAsia="Times New Roman" w:cs="Times New Roman"/>
          <w:sz w:val="20"/>
          <w:szCs w:val="20"/>
        </w:rPr>
        <w:t>GB/Z  31102</w:t>
      </w:r>
      <w:r>
        <w:rPr>
          <w:sz w:val="20"/>
          <w:szCs w:val="20"/>
        </w:rPr>
        <w:t>《软件工程</w:t>
      </w:r>
      <w:r>
        <w:rPr>
          <w:spacing w:val="7"/>
          <w:sz w:val="20"/>
          <w:szCs w:val="20"/>
        </w:rPr>
        <w:t xml:space="preserve"> </w:t>
      </w:r>
      <w:r>
        <w:rPr>
          <w:spacing w:val="-3"/>
          <w:sz w:val="20"/>
          <w:szCs w:val="20"/>
        </w:rPr>
        <w:t>软件工程知识体系指南》等标准。</w:t>
      </w:r>
    </w:p>
    <w:p w14:paraId="52ABFB49">
      <w:pPr>
        <w:pStyle w:val="2"/>
        <w:spacing w:before="17" w:line="263" w:lineRule="auto"/>
        <w:ind w:right="305" w:firstLine="389"/>
        <w:rPr>
          <w:sz w:val="20"/>
          <w:szCs w:val="20"/>
        </w:rPr>
      </w:pPr>
      <w:r>
        <w:rPr>
          <w:rFonts w:ascii="Times New Roman" w:hAnsi="Times New Roman" w:eastAsia="Times New Roman" w:cs="Times New Roman"/>
          <w:spacing w:val="3"/>
          <w:sz w:val="20"/>
          <w:szCs w:val="20"/>
        </w:rPr>
        <w:t>(1)</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/T    11457</w:t>
      </w:r>
      <w:r>
        <w:rPr>
          <w:spacing w:val="3"/>
          <w:sz w:val="20"/>
          <w:szCs w:val="20"/>
        </w:rPr>
        <w:t>《信息技术软件工程术语》。该标准给出了1859个软件工程领域的中文术</w:t>
      </w:r>
      <w:r>
        <w:rPr>
          <w:spacing w:val="5"/>
          <w:sz w:val="20"/>
          <w:szCs w:val="20"/>
        </w:rPr>
        <w:t xml:space="preserve"> </w:t>
      </w:r>
      <w:r>
        <w:rPr>
          <w:spacing w:val="-1"/>
          <w:sz w:val="20"/>
          <w:szCs w:val="20"/>
        </w:rPr>
        <w:t>语，以及每个中文术语对应的英文词汇，并对每个术语给出相</w:t>
      </w:r>
      <w:r>
        <w:rPr>
          <w:spacing w:val="-2"/>
          <w:sz w:val="20"/>
          <w:szCs w:val="20"/>
        </w:rPr>
        <w:t>应的定义。</w:t>
      </w:r>
    </w:p>
    <w:p w14:paraId="60D01E3F">
      <w:pPr>
        <w:pStyle w:val="2"/>
        <w:spacing w:before="52" w:line="261" w:lineRule="auto"/>
        <w:ind w:right="296" w:firstLine="389"/>
        <w:rPr>
          <w:sz w:val="20"/>
          <w:szCs w:val="20"/>
        </w:rPr>
      </w:pPr>
      <w:r>
        <w:rPr>
          <w:rFonts w:ascii="Times New Roman" w:hAnsi="Times New Roman" w:eastAsia="Times New Roman" w:cs="Times New Roman"/>
          <w:spacing w:val="3"/>
          <w:sz w:val="20"/>
          <w:szCs w:val="20"/>
        </w:rPr>
        <w:t>(2)</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/Z    31102</w:t>
      </w:r>
      <w:r>
        <w:rPr>
          <w:spacing w:val="3"/>
          <w:sz w:val="20"/>
          <w:szCs w:val="20"/>
        </w:rPr>
        <w:t>《软件工程软件工程知识体系指南》。其作为指导性技术文件，描述了软</w:t>
      </w:r>
      <w:r>
        <w:rPr>
          <w:spacing w:val="11"/>
          <w:sz w:val="20"/>
          <w:szCs w:val="20"/>
        </w:rPr>
        <w:t xml:space="preserve"> </w:t>
      </w:r>
      <w:r>
        <w:rPr>
          <w:spacing w:val="3"/>
          <w:sz w:val="20"/>
          <w:szCs w:val="20"/>
        </w:rPr>
        <w:t>件工程学科的边界范围，按主题提供了访问支持该学科的文献的途径。制定软件工程知识体系</w:t>
      </w:r>
      <w:r>
        <w:rPr>
          <w:spacing w:val="14"/>
          <w:sz w:val="20"/>
          <w:szCs w:val="20"/>
        </w:rPr>
        <w:t xml:space="preserve"> </w:t>
      </w:r>
      <w:r>
        <w:rPr>
          <w:rFonts w:ascii="Times New Roman" w:hAnsi="Times New Roman" w:eastAsia="Times New Roman" w:cs="Times New Roman"/>
          <w:spacing w:val="-2"/>
          <w:sz w:val="20"/>
          <w:szCs w:val="20"/>
        </w:rPr>
        <w:t>(SWEBOK)</w:t>
      </w:r>
      <w:r>
        <w:rPr>
          <w:rFonts w:ascii="Times New Roman" w:hAnsi="Times New Roman" w:eastAsia="Times New Roman" w:cs="Times New Roman"/>
          <w:spacing w:val="22"/>
          <w:w w:val="101"/>
          <w:sz w:val="20"/>
          <w:szCs w:val="20"/>
        </w:rPr>
        <w:t xml:space="preserve">  </w:t>
      </w:r>
      <w:r>
        <w:rPr>
          <w:spacing w:val="-2"/>
          <w:sz w:val="20"/>
          <w:szCs w:val="20"/>
        </w:rPr>
        <w:t>指南有五个目标：</w:t>
      </w:r>
    </w:p>
    <w:p w14:paraId="3E874BD9">
      <w:pPr>
        <w:pStyle w:val="2"/>
        <w:spacing w:before="91" w:line="219" w:lineRule="auto"/>
        <w:ind w:left="389"/>
        <w:rPr>
          <w:sz w:val="20"/>
          <w:szCs w:val="20"/>
        </w:rPr>
      </w:pPr>
      <w:r>
        <w:rPr>
          <w:spacing w:val="1"/>
          <w:sz w:val="20"/>
          <w:szCs w:val="20"/>
        </w:rPr>
        <w:t>●促进业界对软件工程看法趋于一致；</w:t>
      </w:r>
    </w:p>
    <w:p w14:paraId="5E4BAFEC">
      <w:pPr>
        <w:pStyle w:val="2"/>
        <w:spacing w:before="63" w:line="262" w:lineRule="auto"/>
        <w:ind w:left="679" w:right="305" w:hanging="290"/>
        <w:rPr>
          <w:sz w:val="20"/>
          <w:szCs w:val="20"/>
        </w:rPr>
      </w:pPr>
      <w:r>
        <w:rPr>
          <w:spacing w:val="4"/>
          <w:sz w:val="20"/>
          <w:szCs w:val="20"/>
        </w:rPr>
        <w:t>●阐明软件工程的地位，并设定软件工程与计算</w:t>
      </w:r>
      <w:r>
        <w:rPr>
          <w:spacing w:val="3"/>
          <w:sz w:val="20"/>
          <w:szCs w:val="20"/>
        </w:rPr>
        <w:t>机科学、项目管理、计算机工程和数学等</w:t>
      </w:r>
      <w:r>
        <w:rPr>
          <w:sz w:val="20"/>
          <w:szCs w:val="20"/>
        </w:rPr>
        <w:t xml:space="preserve"> </w:t>
      </w:r>
      <w:r>
        <w:rPr>
          <w:spacing w:val="-3"/>
          <w:sz w:val="20"/>
          <w:szCs w:val="20"/>
        </w:rPr>
        <w:t>其他学科之间的界线；</w:t>
      </w:r>
    </w:p>
    <w:p w14:paraId="371C668E">
      <w:pPr>
        <w:pStyle w:val="2"/>
        <w:spacing w:before="82" w:line="219" w:lineRule="auto"/>
        <w:ind w:left="389"/>
        <w:rPr>
          <w:sz w:val="20"/>
          <w:szCs w:val="20"/>
        </w:rPr>
      </w:pPr>
      <w:r>
        <w:rPr>
          <w:spacing w:val="1"/>
          <w:sz w:val="20"/>
          <w:szCs w:val="20"/>
        </w:rPr>
        <w:t>●描述软件工程学科的内容；</w:t>
      </w:r>
    </w:p>
    <w:p w14:paraId="558E7147">
      <w:pPr>
        <w:pStyle w:val="2"/>
        <w:spacing w:before="83" w:line="219" w:lineRule="auto"/>
        <w:ind w:left="389"/>
        <w:rPr>
          <w:sz w:val="20"/>
          <w:szCs w:val="20"/>
        </w:rPr>
      </w:pPr>
      <w:r>
        <w:rPr>
          <w:sz w:val="20"/>
          <w:szCs w:val="20"/>
        </w:rPr>
        <w:t>●提供使用软件工程知识体系的主题；</w:t>
      </w:r>
    </w:p>
    <w:p w14:paraId="62DD7637">
      <w:pPr>
        <w:pStyle w:val="2"/>
        <w:spacing w:before="83" w:line="219" w:lineRule="auto"/>
        <w:ind w:left="389"/>
        <w:rPr>
          <w:sz w:val="20"/>
          <w:szCs w:val="20"/>
        </w:rPr>
      </w:pPr>
      <w:r>
        <w:rPr>
          <w:spacing w:val="1"/>
          <w:sz w:val="20"/>
          <w:szCs w:val="20"/>
        </w:rPr>
        <w:t>●为课程制定、个人认证及特许资料提供依据。</w:t>
      </w:r>
    </w:p>
    <w:p w14:paraId="2AF40565">
      <w:pPr>
        <w:spacing w:line="219" w:lineRule="auto"/>
        <w:rPr>
          <w:sz w:val="20"/>
          <w:szCs w:val="20"/>
        </w:rPr>
        <w:sectPr>
          <w:pgSz w:w="10290" w:h="13320"/>
          <w:pgMar w:top="400" w:right="544" w:bottom="400" w:left="1109" w:header="0" w:footer="0" w:gutter="0"/>
          <w:cols w:space="720" w:num="1"/>
        </w:sectPr>
      </w:pPr>
    </w:p>
    <w:p w14:paraId="3E4EF5DA">
      <w:pPr>
        <w:pStyle w:val="2"/>
        <w:spacing w:before="98" w:line="219" w:lineRule="auto"/>
        <w:rPr>
          <w:sz w:val="20"/>
          <w:szCs w:val="20"/>
        </w:rPr>
      </w:pPr>
      <w:r>
        <w:rPr>
          <w:rFonts w:ascii="Times New Roman" w:hAnsi="Times New Roman" w:eastAsia="Times New Roman" w:cs="Times New Roman"/>
          <w:spacing w:val="-1"/>
          <w:sz w:val="17"/>
          <w:szCs w:val="17"/>
        </w:rPr>
        <w:t xml:space="preserve">416                 </w:t>
      </w:r>
      <w:r>
        <w:rPr>
          <w:spacing w:val="-1"/>
          <w:sz w:val="20"/>
          <w:szCs w:val="20"/>
        </w:rPr>
        <w:t>信息系统监理师教程(第2版)</w:t>
      </w:r>
    </w:p>
    <w:p w14:paraId="1C048624">
      <w:pPr>
        <w:spacing w:line="321" w:lineRule="auto"/>
        <w:rPr>
          <w:rFonts w:ascii="Arial"/>
          <w:sz w:val="21"/>
        </w:rPr>
      </w:pPr>
    </w:p>
    <w:p w14:paraId="57B880D3">
      <w:pPr>
        <w:pStyle w:val="2"/>
        <w:spacing w:before="65" w:line="222" w:lineRule="auto"/>
        <w:ind w:left="772"/>
        <w:rPr>
          <w:rFonts w:ascii="黑体" w:hAnsi="黑体" w:eastAsia="黑体" w:cs="黑体"/>
          <w:sz w:val="20"/>
          <w:szCs w:val="20"/>
        </w:rPr>
      </w:pPr>
      <w:r>
        <w:rPr>
          <w:b/>
          <w:bCs/>
          <w:color w:val="079BF2"/>
          <w:spacing w:val="-4"/>
          <w:sz w:val="20"/>
          <w:szCs w:val="20"/>
        </w:rPr>
        <w:t>2.</w:t>
      </w:r>
      <w:r>
        <w:rPr>
          <w:rFonts w:ascii="黑体" w:hAnsi="黑体" w:eastAsia="黑体" w:cs="黑体"/>
          <w:b/>
          <w:bCs/>
          <w:color w:val="079BF2"/>
          <w:spacing w:val="-4"/>
          <w:sz w:val="20"/>
          <w:szCs w:val="20"/>
        </w:rPr>
        <w:t>生存周期管理标准</w:t>
      </w:r>
    </w:p>
    <w:p w14:paraId="293FA880">
      <w:pPr>
        <w:pStyle w:val="2"/>
        <w:spacing w:before="153" w:line="282" w:lineRule="auto"/>
        <w:ind w:left="360" w:firstLine="409"/>
        <w:rPr>
          <w:sz w:val="20"/>
          <w:szCs w:val="20"/>
        </w:rPr>
      </w:pPr>
      <w:r>
        <w:rPr>
          <w:spacing w:val="11"/>
          <w:sz w:val="20"/>
          <w:szCs w:val="20"/>
        </w:rPr>
        <w:t>生存周期管理标准方面，主要包含</w:t>
      </w:r>
      <w:r>
        <w:rPr>
          <w:rFonts w:ascii="Times New Roman" w:hAnsi="Times New Roman" w:eastAsia="Times New Roman" w:cs="Times New Roman"/>
          <w:sz w:val="20"/>
          <w:szCs w:val="20"/>
        </w:rPr>
        <w:t>GB</w:t>
      </w:r>
      <w:r>
        <w:rPr>
          <w:rFonts w:ascii="Times New Roman" w:hAnsi="Times New Roman" w:eastAsia="Times New Roman" w:cs="Times New Roman"/>
          <w:spacing w:val="11"/>
          <w:sz w:val="20"/>
          <w:szCs w:val="20"/>
        </w:rPr>
        <w:t>/T  8566</w:t>
      </w:r>
      <w:r>
        <w:rPr>
          <w:spacing w:val="11"/>
          <w:sz w:val="20"/>
          <w:szCs w:val="20"/>
        </w:rPr>
        <w:t>《系统与软件工程软件</w:t>
      </w:r>
      <w:r>
        <w:rPr>
          <w:spacing w:val="10"/>
          <w:sz w:val="20"/>
          <w:szCs w:val="20"/>
        </w:rPr>
        <w:t>生存周期过程》、</w:t>
      </w:r>
      <w:r>
        <w:rPr>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/T 22032</w:t>
      </w:r>
      <w:r>
        <w:rPr>
          <w:spacing w:val="3"/>
          <w:sz w:val="20"/>
          <w:szCs w:val="20"/>
        </w:rPr>
        <w:t>《系统与软件工程系统生存周期过程》</w:t>
      </w:r>
      <w:r>
        <w:rPr>
          <w:spacing w:val="2"/>
          <w:sz w:val="20"/>
          <w:szCs w:val="20"/>
        </w:rPr>
        <w:t>等标准。</w:t>
      </w:r>
    </w:p>
    <w:p w14:paraId="43127948">
      <w:pPr>
        <w:pStyle w:val="2"/>
        <w:spacing w:before="6" w:line="212" w:lineRule="auto"/>
        <w:ind w:left="770"/>
        <w:rPr>
          <w:sz w:val="20"/>
          <w:szCs w:val="20"/>
        </w:rPr>
      </w:pPr>
      <w:r>
        <w:rPr>
          <w:rFonts w:ascii="Times New Roman" w:hAnsi="Times New Roman" w:eastAsia="Times New Roman" w:cs="Times New Roman"/>
          <w:spacing w:val="-1"/>
          <w:sz w:val="20"/>
          <w:szCs w:val="20"/>
        </w:rPr>
        <w:t>(1)GB/T8566</w:t>
      </w:r>
      <w:r>
        <w:rPr>
          <w:spacing w:val="-1"/>
          <w:sz w:val="20"/>
          <w:szCs w:val="20"/>
        </w:rPr>
        <w:t>《</w:t>
      </w:r>
      <w:r>
        <w:rPr>
          <w:spacing w:val="24"/>
          <w:sz w:val="20"/>
          <w:szCs w:val="20"/>
        </w:rPr>
        <w:t xml:space="preserve">  </w:t>
      </w:r>
      <w:r>
        <w:rPr>
          <w:spacing w:val="-1"/>
          <w:sz w:val="20"/>
          <w:szCs w:val="20"/>
        </w:rPr>
        <w:t>系统与软件工程</w:t>
      </w:r>
      <w:r>
        <w:rPr>
          <w:spacing w:val="-2"/>
          <w:sz w:val="20"/>
          <w:szCs w:val="20"/>
        </w:rPr>
        <w:t>软件生存周期过程》。</w:t>
      </w:r>
    </w:p>
    <w:p w14:paraId="2120AFF5">
      <w:pPr>
        <w:pStyle w:val="2"/>
        <w:spacing w:before="91" w:line="289" w:lineRule="auto"/>
        <w:ind w:left="360" w:right="87" w:firstLine="309"/>
        <w:rPr>
          <w:sz w:val="20"/>
          <w:szCs w:val="20"/>
        </w:rPr>
      </w:pPr>
      <w:r>
        <w:rPr>
          <w:spacing w:val="5"/>
          <w:sz w:val="20"/>
          <w:szCs w:val="20"/>
        </w:rPr>
        <w:t>《系统与软件工程软件生存周期过程》为软件生存周期过程建立了一个公共框架，可供软</w:t>
      </w:r>
      <w:r>
        <w:rPr>
          <w:spacing w:val="13"/>
          <w:sz w:val="20"/>
          <w:szCs w:val="20"/>
        </w:rPr>
        <w:t xml:space="preserve"> </w:t>
      </w:r>
      <w:r>
        <w:rPr>
          <w:spacing w:val="3"/>
          <w:sz w:val="20"/>
          <w:szCs w:val="20"/>
        </w:rPr>
        <w:t>件工业界使用。包括了在含有软件的系统、独立软件产品和软件服务的获取期间以及在软</w:t>
      </w:r>
      <w:r>
        <w:rPr>
          <w:spacing w:val="2"/>
          <w:sz w:val="20"/>
          <w:szCs w:val="20"/>
        </w:rPr>
        <w:t>件产</w:t>
      </w:r>
      <w:r>
        <w:rPr>
          <w:sz w:val="20"/>
          <w:szCs w:val="20"/>
        </w:rPr>
        <w:t xml:space="preserve"> </w:t>
      </w:r>
      <w:r>
        <w:rPr>
          <w:spacing w:val="3"/>
          <w:sz w:val="20"/>
          <w:szCs w:val="20"/>
        </w:rPr>
        <w:t>品的供应、开发、运行和维护期间需应用的过程、活动和任务。该标准还规定了</w:t>
      </w:r>
      <w:r>
        <w:rPr>
          <w:spacing w:val="2"/>
          <w:sz w:val="20"/>
          <w:szCs w:val="20"/>
        </w:rPr>
        <w:t>用来定义、控</w:t>
      </w:r>
      <w:r>
        <w:rPr>
          <w:sz w:val="20"/>
          <w:szCs w:val="20"/>
        </w:rPr>
        <w:t xml:space="preserve"> </w:t>
      </w:r>
      <w:r>
        <w:rPr>
          <w:spacing w:val="-3"/>
          <w:sz w:val="20"/>
          <w:szCs w:val="20"/>
        </w:rPr>
        <w:t>制和改进软件生存周期的过程。</w:t>
      </w:r>
    </w:p>
    <w:p w14:paraId="36273EA9">
      <w:pPr>
        <w:pStyle w:val="2"/>
        <w:spacing w:before="25" w:line="282" w:lineRule="auto"/>
        <w:ind w:left="360" w:right="80" w:firstLine="309"/>
        <w:rPr>
          <w:sz w:val="20"/>
          <w:szCs w:val="20"/>
        </w:rPr>
      </w:pPr>
      <w:r>
        <w:rPr>
          <w:spacing w:val="6"/>
          <w:sz w:val="20"/>
          <w:szCs w:val="20"/>
        </w:rPr>
        <w:t>《系统与软件工程软件生存周期过程》适用于系统和</w:t>
      </w:r>
      <w:r>
        <w:rPr>
          <w:spacing w:val="5"/>
          <w:sz w:val="20"/>
          <w:szCs w:val="20"/>
        </w:rPr>
        <w:t>软件产品以及服务的获取，还适用于</w:t>
      </w:r>
      <w:r>
        <w:rPr>
          <w:sz w:val="20"/>
          <w:szCs w:val="20"/>
        </w:rPr>
        <w:t xml:space="preserve"> </w:t>
      </w:r>
      <w:r>
        <w:rPr>
          <w:spacing w:val="3"/>
          <w:sz w:val="20"/>
          <w:szCs w:val="20"/>
        </w:rPr>
        <w:t>软件产品和固件的软件部分的供应、开发、操作和维护，可在一个组织的内部</w:t>
      </w:r>
      <w:r>
        <w:rPr>
          <w:spacing w:val="2"/>
          <w:sz w:val="20"/>
          <w:szCs w:val="20"/>
        </w:rPr>
        <w:t>或外部实施；适</w:t>
      </w:r>
      <w:r>
        <w:rPr>
          <w:sz w:val="20"/>
          <w:szCs w:val="20"/>
        </w:rPr>
        <w:t xml:space="preserve"> </w:t>
      </w:r>
      <w:r>
        <w:rPr>
          <w:spacing w:val="3"/>
          <w:sz w:val="20"/>
          <w:szCs w:val="20"/>
        </w:rPr>
        <w:t>用于供需双方，如供需双方来自同一组织，也同样适用；</w:t>
      </w:r>
      <w:r>
        <w:rPr>
          <w:spacing w:val="2"/>
          <w:sz w:val="20"/>
          <w:szCs w:val="20"/>
        </w:rPr>
        <w:t>适用于从一项非正式协定直到法律约</w:t>
      </w:r>
      <w:r>
        <w:rPr>
          <w:sz w:val="20"/>
          <w:szCs w:val="20"/>
        </w:rPr>
        <w:t xml:space="preserve"> </w:t>
      </w:r>
      <w:r>
        <w:rPr>
          <w:spacing w:val="3"/>
          <w:sz w:val="20"/>
          <w:szCs w:val="20"/>
        </w:rPr>
        <w:t>束的合同的各种情况；适用于系统和软件产品及服务的需方、软件产品的供方、开发方、操作</w:t>
      </w:r>
      <w:r>
        <w:rPr>
          <w:sz w:val="20"/>
          <w:szCs w:val="20"/>
        </w:rPr>
        <w:t xml:space="preserve"> </w:t>
      </w:r>
      <w:r>
        <w:rPr>
          <w:spacing w:val="2"/>
          <w:sz w:val="20"/>
          <w:szCs w:val="20"/>
        </w:rPr>
        <w:t>方、维护方、管理方、质量保证管理者和用户。该标准可由单方作为自我改进工作使用，同时</w:t>
      </w:r>
      <w:r>
        <w:rPr>
          <w:spacing w:val="18"/>
          <w:sz w:val="20"/>
          <w:szCs w:val="20"/>
        </w:rPr>
        <w:t xml:space="preserve"> </w:t>
      </w:r>
      <w:r>
        <w:rPr>
          <w:spacing w:val="-3"/>
          <w:sz w:val="20"/>
          <w:szCs w:val="20"/>
        </w:rPr>
        <w:t>不阻止现货软件的供方或者开发方使用该标准。</w:t>
      </w:r>
    </w:p>
    <w:p w14:paraId="31456020">
      <w:pPr>
        <w:pStyle w:val="2"/>
        <w:spacing w:before="38" w:line="212" w:lineRule="auto"/>
        <w:ind w:left="770"/>
        <w:rPr>
          <w:sz w:val="20"/>
          <w:szCs w:val="20"/>
        </w:rPr>
      </w:pPr>
      <w:r>
        <w:rPr>
          <w:rFonts w:ascii="Times New Roman" w:hAnsi="Times New Roman" w:eastAsia="Times New Roman" w:cs="Times New Roman"/>
          <w:sz w:val="20"/>
          <w:szCs w:val="20"/>
        </w:rPr>
        <w:t>(2)GB/T    22032</w:t>
      </w:r>
      <w:r>
        <w:rPr>
          <w:sz w:val="20"/>
          <w:szCs w:val="20"/>
        </w:rPr>
        <w:t>《系统与软件工程</w:t>
      </w:r>
      <w:r>
        <w:rPr>
          <w:spacing w:val="-1"/>
          <w:sz w:val="20"/>
          <w:szCs w:val="20"/>
        </w:rPr>
        <w:t>系统生存周期过程》。</w:t>
      </w:r>
    </w:p>
    <w:p w14:paraId="27D9B57E">
      <w:pPr>
        <w:pStyle w:val="2"/>
        <w:spacing w:before="120" w:line="282" w:lineRule="auto"/>
        <w:ind w:left="360" w:right="19" w:firstLine="309"/>
        <w:rPr>
          <w:sz w:val="20"/>
          <w:szCs w:val="20"/>
        </w:rPr>
      </w:pPr>
      <w:r>
        <w:rPr>
          <w:spacing w:val="7"/>
          <w:sz w:val="20"/>
          <w:szCs w:val="20"/>
        </w:rPr>
        <w:t>《系统与软件工程系统生存周期过程》为描述人工系统的生存周期建立了一个通用框架，</w:t>
      </w:r>
      <w:r>
        <w:rPr>
          <w:spacing w:val="5"/>
          <w:sz w:val="20"/>
          <w:szCs w:val="20"/>
        </w:rPr>
        <w:t xml:space="preserve"> </w:t>
      </w:r>
      <w:r>
        <w:rPr>
          <w:spacing w:val="3"/>
          <w:sz w:val="20"/>
          <w:szCs w:val="20"/>
        </w:rPr>
        <w:t>从工程的角度定义了一组过程及相关的术语。该标准中定义了软件生存周期过程</w:t>
      </w:r>
      <w:r>
        <w:rPr>
          <w:spacing w:val="2"/>
          <w:sz w:val="20"/>
          <w:szCs w:val="20"/>
        </w:rPr>
        <w:t>，这些过程可</w:t>
      </w:r>
      <w:r>
        <w:rPr>
          <w:sz w:val="20"/>
          <w:szCs w:val="20"/>
        </w:rPr>
        <w:t xml:space="preserve"> </w:t>
      </w:r>
      <w:r>
        <w:rPr>
          <w:spacing w:val="3"/>
          <w:sz w:val="20"/>
          <w:szCs w:val="20"/>
        </w:rPr>
        <w:t>以应用于系统结构的各个层次。在整个生存周期中，被选</w:t>
      </w:r>
      <w:r>
        <w:rPr>
          <w:spacing w:val="2"/>
          <w:sz w:val="20"/>
          <w:szCs w:val="20"/>
        </w:rPr>
        <w:t>定的过程集合可应用于管理、运行系</w:t>
      </w:r>
      <w:r>
        <w:rPr>
          <w:sz w:val="20"/>
          <w:szCs w:val="20"/>
        </w:rPr>
        <w:t xml:space="preserve">  </w:t>
      </w:r>
      <w:r>
        <w:rPr>
          <w:spacing w:val="3"/>
          <w:sz w:val="20"/>
          <w:szCs w:val="20"/>
        </w:rPr>
        <w:t>统生存周期的各个阶段。这是通过所有与系统有关的各方参与，以实现顾客满意</w:t>
      </w:r>
      <w:r>
        <w:rPr>
          <w:spacing w:val="2"/>
          <w:sz w:val="20"/>
          <w:szCs w:val="20"/>
        </w:rPr>
        <w:t>为最终目标来</w:t>
      </w:r>
      <w:r>
        <w:rPr>
          <w:sz w:val="20"/>
          <w:szCs w:val="20"/>
        </w:rPr>
        <w:t xml:space="preserve"> 完成的。该标准还提供了一些过程，支持用于组织或项目中生存周期过</w:t>
      </w:r>
      <w:r>
        <w:rPr>
          <w:spacing w:val="-1"/>
          <w:sz w:val="20"/>
          <w:szCs w:val="20"/>
        </w:rPr>
        <w:t>程的定义、控制和改进。</w:t>
      </w:r>
      <w:r>
        <w:rPr>
          <w:sz w:val="20"/>
          <w:szCs w:val="20"/>
        </w:rPr>
        <w:t xml:space="preserve"> </w:t>
      </w:r>
      <w:r>
        <w:rPr>
          <w:spacing w:val="-2"/>
          <w:sz w:val="20"/>
          <w:szCs w:val="20"/>
        </w:rPr>
        <w:t>当获取和供应系统时，组织和项目可使用这些生存周期过程。</w:t>
      </w:r>
    </w:p>
    <w:p w14:paraId="515C6979">
      <w:pPr>
        <w:pStyle w:val="2"/>
        <w:spacing w:before="28" w:line="280" w:lineRule="auto"/>
        <w:ind w:left="360" w:firstLine="309"/>
        <w:rPr>
          <w:sz w:val="20"/>
          <w:szCs w:val="20"/>
        </w:rPr>
      </w:pPr>
      <w:r>
        <w:rPr>
          <w:spacing w:val="5"/>
          <w:sz w:val="20"/>
          <w:szCs w:val="20"/>
        </w:rPr>
        <w:t>《系统与软件工程系统生存周期过程》涉及一个或多个可由以下元素配置的人工系统：硬</w:t>
      </w:r>
      <w:r>
        <w:rPr>
          <w:spacing w:val="6"/>
          <w:sz w:val="20"/>
          <w:szCs w:val="20"/>
        </w:rPr>
        <w:t xml:space="preserve">  </w:t>
      </w:r>
      <w:r>
        <w:rPr>
          <w:spacing w:val="10"/>
          <w:sz w:val="20"/>
          <w:szCs w:val="20"/>
        </w:rPr>
        <w:t>件、软件、数据、人员、过程(例如给用户提供服务的过程)、规程(</w:t>
      </w:r>
      <w:r>
        <w:rPr>
          <w:spacing w:val="9"/>
          <w:sz w:val="20"/>
          <w:szCs w:val="20"/>
        </w:rPr>
        <w:t>例如操作指南)、设施、</w:t>
      </w:r>
      <w:r>
        <w:rPr>
          <w:sz w:val="20"/>
          <w:szCs w:val="20"/>
        </w:rPr>
        <w:t xml:space="preserve"> </w:t>
      </w:r>
      <w:r>
        <w:rPr>
          <w:spacing w:val="1"/>
          <w:sz w:val="20"/>
          <w:szCs w:val="20"/>
        </w:rPr>
        <w:t>物资和自然存在的实体。当系统元素是软件时，</w:t>
      </w:r>
      <w:r>
        <w:rPr>
          <w:rFonts w:ascii="Times New Roman" w:hAnsi="Times New Roman" w:eastAsia="Times New Roman" w:cs="Times New Roman"/>
          <w:sz w:val="20"/>
          <w:szCs w:val="20"/>
        </w:rPr>
        <w:t>ISO</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IEC</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IEEE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1"/>
          <w:sz w:val="20"/>
          <w:szCs w:val="20"/>
        </w:rPr>
        <w:t>12207:2015</w:t>
      </w:r>
      <w:r>
        <w:rPr>
          <w:spacing w:val="1"/>
          <w:sz w:val="20"/>
          <w:szCs w:val="20"/>
        </w:rPr>
        <w:t>可以用于实现此系统</w:t>
      </w:r>
      <w:r>
        <w:rPr>
          <w:sz w:val="20"/>
          <w:szCs w:val="20"/>
        </w:rPr>
        <w:t xml:space="preserve">  </w:t>
      </w:r>
      <w:r>
        <w:rPr>
          <w:spacing w:val="-2"/>
          <w:sz w:val="20"/>
          <w:szCs w:val="20"/>
        </w:rPr>
        <w:t>元素。两个标准互相协调，可以在单个项目或单个组织中同时使用。</w:t>
      </w:r>
    </w:p>
    <w:p w14:paraId="5FD404DC">
      <w:pPr>
        <w:pStyle w:val="2"/>
        <w:spacing w:before="144" w:line="221" w:lineRule="auto"/>
        <w:ind w:left="772"/>
        <w:rPr>
          <w:rFonts w:ascii="黑体" w:hAnsi="黑体" w:eastAsia="黑体" w:cs="黑体"/>
          <w:sz w:val="20"/>
          <w:szCs w:val="20"/>
        </w:rPr>
      </w:pPr>
      <w:r>
        <w:rPr>
          <w:b/>
          <w:bCs/>
          <w:color w:val="0083DB"/>
          <w:spacing w:val="-3"/>
          <w:sz w:val="20"/>
          <w:szCs w:val="20"/>
        </w:rPr>
        <w:t>3.</w:t>
      </w:r>
      <w:r>
        <w:rPr>
          <w:rFonts w:ascii="黑体" w:hAnsi="黑体" w:eastAsia="黑体" w:cs="黑体"/>
          <w:b/>
          <w:bCs/>
          <w:color w:val="0083DB"/>
          <w:spacing w:val="-3"/>
          <w:sz w:val="20"/>
          <w:szCs w:val="20"/>
        </w:rPr>
        <w:t>质量与测试标准</w:t>
      </w:r>
    </w:p>
    <w:p w14:paraId="60CFA874">
      <w:pPr>
        <w:pStyle w:val="2"/>
        <w:spacing w:before="136" w:line="267" w:lineRule="auto"/>
        <w:ind w:left="360" w:right="92" w:firstLine="409"/>
        <w:rPr>
          <w:sz w:val="20"/>
          <w:szCs w:val="20"/>
        </w:rPr>
      </w:pPr>
      <w:r>
        <w:rPr>
          <w:spacing w:val="6"/>
          <w:sz w:val="20"/>
          <w:szCs w:val="20"/>
        </w:rPr>
        <w:t>质量与测试标准方面，主要参考</w:t>
      </w:r>
      <w:r>
        <w:rPr>
          <w:sz w:val="20"/>
          <w:szCs w:val="20"/>
        </w:rPr>
        <w:t>GB</w:t>
      </w:r>
      <w:r>
        <w:rPr>
          <w:spacing w:val="6"/>
          <w:sz w:val="20"/>
          <w:szCs w:val="20"/>
        </w:rPr>
        <w:t>/T</w:t>
      </w:r>
      <w:r>
        <w:rPr>
          <w:spacing w:val="75"/>
          <w:sz w:val="20"/>
          <w:szCs w:val="20"/>
        </w:rPr>
        <w:t xml:space="preserve"> </w:t>
      </w:r>
      <w:r>
        <w:rPr>
          <w:spacing w:val="6"/>
          <w:sz w:val="20"/>
          <w:szCs w:val="20"/>
        </w:rPr>
        <w:t>25000《系统与软件工程系统</w:t>
      </w:r>
      <w:r>
        <w:rPr>
          <w:spacing w:val="5"/>
          <w:sz w:val="20"/>
          <w:szCs w:val="20"/>
        </w:rPr>
        <w:t>与软件质量要求和评</w:t>
      </w:r>
      <w:r>
        <w:rPr>
          <w:sz w:val="20"/>
          <w:szCs w:val="20"/>
        </w:rPr>
        <w:t xml:space="preserve"> </w:t>
      </w:r>
      <w:r>
        <w:rPr>
          <w:spacing w:val="1"/>
          <w:sz w:val="20"/>
          <w:szCs w:val="20"/>
        </w:rPr>
        <w:t>价</w:t>
      </w:r>
      <w:r>
        <w:rPr>
          <w:spacing w:val="-21"/>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SQuaRE</w:t>
      </w:r>
      <w:r>
        <w:rPr>
          <w:rFonts w:ascii="Times New Roman" w:hAnsi="Times New Roman" w:eastAsia="Times New Roman" w:cs="Times New Roman"/>
          <w:spacing w:val="1"/>
          <w:sz w:val="20"/>
          <w:szCs w:val="20"/>
        </w:rPr>
        <w:t>)</w:t>
      </w:r>
      <w:r>
        <w:rPr>
          <w:spacing w:val="1"/>
          <w:sz w:val="20"/>
          <w:szCs w:val="20"/>
        </w:rPr>
        <w:t>》 等标准，该标准分为多个部分，各部分内容及相应的适用范围如表19-1所示。</w:t>
      </w:r>
    </w:p>
    <w:p w14:paraId="32A5D9A2">
      <w:pPr>
        <w:spacing w:before="111" w:line="222" w:lineRule="auto"/>
        <w:ind w:left="3010"/>
        <w:rPr>
          <w:rFonts w:ascii="黑体" w:hAnsi="黑体" w:eastAsia="黑体" w:cs="黑体"/>
          <w:sz w:val="20"/>
          <w:szCs w:val="20"/>
        </w:rPr>
      </w:pPr>
      <w:r>
        <w:rPr>
          <w:rFonts w:ascii="黑体" w:hAnsi="黑体" w:eastAsia="黑体" w:cs="黑体"/>
          <w:spacing w:val="-4"/>
          <w:sz w:val="20"/>
          <w:szCs w:val="20"/>
        </w:rPr>
        <w:t>表19-1</w:t>
      </w:r>
      <w:r>
        <w:rPr>
          <w:rFonts w:ascii="黑体" w:hAnsi="黑体" w:eastAsia="黑体" w:cs="黑体"/>
          <w:spacing w:val="35"/>
          <w:sz w:val="20"/>
          <w:szCs w:val="20"/>
        </w:rPr>
        <w:t xml:space="preserve"> </w:t>
      </w:r>
      <w:r>
        <w:rPr>
          <w:rFonts w:ascii="Times New Roman" w:hAnsi="Times New Roman" w:eastAsia="Times New Roman" w:cs="Times New Roman"/>
          <w:spacing w:val="-4"/>
          <w:sz w:val="20"/>
          <w:szCs w:val="20"/>
        </w:rPr>
        <w:t>GB/T 25000</w:t>
      </w:r>
      <w:r>
        <w:rPr>
          <w:rFonts w:ascii="黑体" w:hAnsi="黑体" w:eastAsia="黑体" w:cs="黑体"/>
          <w:spacing w:val="-4"/>
          <w:sz w:val="20"/>
          <w:szCs w:val="20"/>
        </w:rPr>
        <w:t>标准各部分内容</w:t>
      </w:r>
    </w:p>
    <w:p w14:paraId="120136EB">
      <w:pPr>
        <w:spacing w:line="116" w:lineRule="exact"/>
      </w:pPr>
    </w:p>
    <w:tbl>
      <w:tblPr>
        <w:tblStyle w:val="5"/>
        <w:tblW w:w="8323"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0"/>
        <w:gridCol w:w="1230"/>
        <w:gridCol w:w="2710"/>
        <w:gridCol w:w="3073"/>
      </w:tblGrid>
      <w:tr w14:paraId="16A9D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310" w:type="dxa"/>
            <w:tcBorders>
              <w:left w:val="nil"/>
            </w:tcBorders>
            <w:vAlign w:val="top"/>
          </w:tcPr>
          <w:p w14:paraId="5B28AEB7">
            <w:pPr>
              <w:pStyle w:val="6"/>
              <w:spacing w:before="70" w:line="220" w:lineRule="auto"/>
              <w:ind w:left="382"/>
            </w:pPr>
            <w:r>
              <w:rPr>
                <w:b/>
                <w:bCs/>
                <w:spacing w:val="-4"/>
              </w:rPr>
              <w:t>标准号</w:t>
            </w:r>
          </w:p>
        </w:tc>
        <w:tc>
          <w:tcPr>
            <w:tcW w:w="1230" w:type="dxa"/>
            <w:vAlign w:val="top"/>
          </w:tcPr>
          <w:p w14:paraId="0F3C4D6C">
            <w:pPr>
              <w:pStyle w:val="6"/>
              <w:spacing w:before="70" w:line="219" w:lineRule="auto"/>
              <w:ind w:left="177"/>
            </w:pPr>
            <w:r>
              <w:rPr>
                <w:b/>
                <w:bCs/>
                <w:spacing w:val="-4"/>
              </w:rPr>
              <w:t>各部分名称</w:t>
            </w:r>
          </w:p>
        </w:tc>
        <w:tc>
          <w:tcPr>
            <w:tcW w:w="2710" w:type="dxa"/>
            <w:vAlign w:val="top"/>
          </w:tcPr>
          <w:p w14:paraId="0DAD5531">
            <w:pPr>
              <w:pStyle w:val="6"/>
              <w:spacing w:before="70" w:line="219" w:lineRule="auto"/>
              <w:ind w:left="967"/>
            </w:pPr>
            <w:r>
              <w:rPr>
                <w:b/>
                <w:bCs/>
                <w:spacing w:val="-4"/>
              </w:rPr>
              <w:t>主要内容</w:t>
            </w:r>
          </w:p>
        </w:tc>
        <w:tc>
          <w:tcPr>
            <w:tcW w:w="3073" w:type="dxa"/>
            <w:tcBorders>
              <w:right w:val="nil"/>
            </w:tcBorders>
            <w:vAlign w:val="top"/>
          </w:tcPr>
          <w:p w14:paraId="17C6CDB3">
            <w:pPr>
              <w:pStyle w:val="6"/>
              <w:spacing w:before="70" w:line="220" w:lineRule="auto"/>
              <w:ind w:left="1147"/>
            </w:pPr>
            <w:r>
              <w:rPr>
                <w:b/>
                <w:bCs/>
                <w:spacing w:val="-4"/>
              </w:rPr>
              <w:t>适用范围</w:t>
            </w:r>
          </w:p>
        </w:tc>
      </w:tr>
      <w:tr w14:paraId="75154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7" w:hRule="atLeast"/>
        </w:trPr>
        <w:tc>
          <w:tcPr>
            <w:tcW w:w="1310" w:type="dxa"/>
            <w:tcBorders>
              <w:left w:val="nil"/>
            </w:tcBorders>
            <w:vAlign w:val="top"/>
          </w:tcPr>
          <w:p w14:paraId="0439B89D">
            <w:pPr>
              <w:spacing w:line="328" w:lineRule="auto"/>
              <w:rPr>
                <w:rFonts w:ascii="Arial"/>
                <w:sz w:val="21"/>
              </w:rPr>
            </w:pPr>
          </w:p>
          <w:p w14:paraId="3580A047">
            <w:pPr>
              <w:spacing w:line="328" w:lineRule="auto"/>
              <w:rPr>
                <w:rFonts w:ascii="Arial"/>
                <w:sz w:val="21"/>
              </w:rPr>
            </w:pPr>
          </w:p>
          <w:p w14:paraId="6DC26C17">
            <w:pPr>
              <w:pStyle w:val="6"/>
              <w:spacing w:before="62" w:line="224" w:lineRule="auto"/>
              <w:ind w:left="42"/>
            </w:pPr>
            <w:r>
              <w:rPr>
                <w:b/>
                <w:bCs/>
                <w:spacing w:val="-3"/>
              </w:rPr>
              <w:t>GB/T25000.1</w:t>
            </w:r>
          </w:p>
        </w:tc>
        <w:tc>
          <w:tcPr>
            <w:tcW w:w="1230" w:type="dxa"/>
            <w:vAlign w:val="top"/>
          </w:tcPr>
          <w:p w14:paraId="0454651B">
            <w:pPr>
              <w:spacing w:line="267" w:lineRule="auto"/>
              <w:rPr>
                <w:rFonts w:ascii="Arial"/>
                <w:sz w:val="21"/>
              </w:rPr>
            </w:pPr>
          </w:p>
          <w:p w14:paraId="482111D9">
            <w:pPr>
              <w:spacing w:line="267" w:lineRule="auto"/>
              <w:rPr>
                <w:rFonts w:ascii="Arial"/>
                <w:sz w:val="21"/>
              </w:rPr>
            </w:pPr>
          </w:p>
          <w:p w14:paraId="06BFECF2">
            <w:pPr>
              <w:pStyle w:val="6"/>
              <w:spacing w:before="62" w:line="219" w:lineRule="auto"/>
              <w:ind w:left="55"/>
            </w:pPr>
            <w:r>
              <w:rPr>
                <w:spacing w:val="-1"/>
              </w:rPr>
              <w:t>第1部分：</w:t>
            </w:r>
          </w:p>
          <w:p w14:paraId="11D21182">
            <w:pPr>
              <w:pStyle w:val="6"/>
              <w:spacing w:before="45" w:line="221" w:lineRule="auto"/>
              <w:ind w:left="55"/>
            </w:pPr>
            <w:r>
              <w:rPr>
                <w:spacing w:val="-1"/>
              </w:rPr>
              <w:t>SQuaRE指南</w:t>
            </w:r>
          </w:p>
        </w:tc>
        <w:tc>
          <w:tcPr>
            <w:tcW w:w="2710" w:type="dxa"/>
            <w:vAlign w:val="top"/>
          </w:tcPr>
          <w:p w14:paraId="0E469EAE">
            <w:pPr>
              <w:pStyle w:val="6"/>
              <w:spacing w:before="69" w:line="248" w:lineRule="auto"/>
              <w:ind w:left="14" w:right="125" w:firstLine="100"/>
            </w:pPr>
            <w:r>
              <w:rPr>
                <w:spacing w:val="-1"/>
              </w:rPr>
              <w:t>该部分为GB/T 25000整体标准</w:t>
            </w:r>
            <w:r>
              <w:rPr>
                <w:spacing w:val="6"/>
              </w:rPr>
              <w:t xml:space="preserve"> </w:t>
            </w:r>
            <w:r>
              <w:rPr>
                <w:spacing w:val="-1"/>
              </w:rPr>
              <w:t>提供使用指南。该部分旨在为</w:t>
            </w:r>
          </w:p>
          <w:p w14:paraId="37689B32">
            <w:pPr>
              <w:pStyle w:val="6"/>
              <w:spacing w:before="28" w:line="245" w:lineRule="auto"/>
              <w:ind w:left="14"/>
            </w:pPr>
            <w:r>
              <w:rPr>
                <w:spacing w:val="-1"/>
              </w:rPr>
              <w:t>GB/T 25000标准的内容、公共参</w:t>
            </w:r>
            <w:r>
              <w:rPr>
                <w:spacing w:val="11"/>
              </w:rPr>
              <w:t xml:space="preserve"> </w:t>
            </w:r>
            <w:r>
              <w:rPr>
                <w:spacing w:val="-1"/>
              </w:rPr>
              <w:t>考模型和定义以及各部分间的关</w:t>
            </w:r>
            <w:r>
              <w:rPr>
                <w:spacing w:val="4"/>
              </w:rPr>
              <w:t xml:space="preserve"> </w:t>
            </w:r>
            <w:r>
              <w:rPr>
                <w:spacing w:val="1"/>
              </w:rPr>
              <w:t>系提供一个全面说明，允许用户</w:t>
            </w:r>
            <w:r>
              <w:rPr>
                <w:spacing w:val="10"/>
              </w:rPr>
              <w:t xml:space="preserve"> </w:t>
            </w:r>
            <w:r>
              <w:rPr>
                <w:spacing w:val="1"/>
              </w:rPr>
              <w:t>根据其使用目的应用该部分</w:t>
            </w:r>
          </w:p>
        </w:tc>
        <w:tc>
          <w:tcPr>
            <w:tcW w:w="3073" w:type="dxa"/>
            <w:tcBorders>
              <w:right w:val="nil"/>
            </w:tcBorders>
            <w:vAlign w:val="top"/>
          </w:tcPr>
          <w:p w14:paraId="160A7BA7">
            <w:pPr>
              <w:spacing w:line="273" w:lineRule="auto"/>
              <w:rPr>
                <w:rFonts w:ascii="Arial"/>
                <w:sz w:val="21"/>
              </w:rPr>
            </w:pPr>
          </w:p>
          <w:p w14:paraId="502833E2">
            <w:pPr>
              <w:pStyle w:val="6"/>
              <w:spacing w:before="62" w:line="219" w:lineRule="auto"/>
              <w:ind w:left="7"/>
            </w:pPr>
            <w:r>
              <w:rPr>
                <w:b/>
                <w:bCs/>
                <w:spacing w:val="-3"/>
              </w:rPr>
              <w:t>标准适用但不限于系统和软件产品的</w:t>
            </w:r>
          </w:p>
          <w:p w14:paraId="3B037805">
            <w:pPr>
              <w:pStyle w:val="6"/>
              <w:spacing w:before="52" w:line="218" w:lineRule="auto"/>
              <w:ind w:left="7"/>
            </w:pPr>
            <w:r>
              <w:rPr>
                <w:b/>
                <w:bCs/>
                <w:spacing w:val="-3"/>
              </w:rPr>
              <w:t>开发方、需方和独立的评价方，特别</w:t>
            </w:r>
          </w:p>
          <w:p w14:paraId="5FF95F9E">
            <w:pPr>
              <w:pStyle w:val="6"/>
              <w:spacing w:before="27" w:line="219" w:lineRule="auto"/>
              <w:ind w:left="107"/>
            </w:pPr>
            <w:r>
              <w:rPr>
                <w:b/>
                <w:bCs/>
                <w:spacing w:val="-3"/>
              </w:rPr>
              <w:t>是那些负责定义系统和软件质量需</w:t>
            </w:r>
          </w:p>
          <w:p w14:paraId="605897A8">
            <w:pPr>
              <w:pStyle w:val="6"/>
              <w:spacing w:before="42" w:line="218" w:lineRule="auto"/>
              <w:jc w:val="right"/>
            </w:pPr>
            <w:r>
              <w:rPr>
                <w:b/>
                <w:bCs/>
                <w:spacing w:val="-1"/>
              </w:rPr>
              <w:t>求，以及系统和软件产品评价的人员</w:t>
            </w:r>
          </w:p>
        </w:tc>
      </w:tr>
    </w:tbl>
    <w:p w14:paraId="6A56D627">
      <w:pPr>
        <w:rPr>
          <w:rFonts w:ascii="Arial"/>
          <w:sz w:val="21"/>
        </w:rPr>
      </w:pPr>
    </w:p>
    <w:p w14:paraId="65EA3178">
      <w:pPr>
        <w:rPr>
          <w:rFonts w:ascii="Arial" w:hAnsi="Arial" w:eastAsia="Arial" w:cs="Arial"/>
          <w:sz w:val="21"/>
          <w:szCs w:val="21"/>
        </w:rPr>
        <w:sectPr>
          <w:pgSz w:w="10300" w:h="13410"/>
          <w:pgMar w:top="400" w:right="1029" w:bottom="400" w:left="499" w:header="0" w:footer="0" w:gutter="0"/>
          <w:cols w:space="720" w:num="1"/>
        </w:sectPr>
      </w:pPr>
    </w:p>
    <w:p w14:paraId="68569119">
      <w:pPr>
        <w:pStyle w:val="2"/>
        <w:spacing w:before="86" w:line="219" w:lineRule="auto"/>
        <w:jc w:val="right"/>
        <w:rPr>
          <w:rFonts w:ascii="Times New Roman" w:hAnsi="Times New Roman" w:eastAsia="Times New Roman" w:cs="Times New Roman"/>
          <w:sz w:val="17"/>
          <w:szCs w:val="17"/>
        </w:rPr>
      </w:pPr>
      <w:r>
        <w:rPr>
          <w:spacing w:val="4"/>
          <w:sz w:val="19"/>
          <w:szCs w:val="19"/>
        </w:rPr>
        <w:t>第19章</w:t>
      </w:r>
      <w:r>
        <w:rPr>
          <w:spacing w:val="26"/>
          <w:sz w:val="19"/>
          <w:szCs w:val="19"/>
        </w:rPr>
        <w:t xml:space="preserve"> </w:t>
      </w:r>
      <w:r>
        <w:rPr>
          <w:spacing w:val="4"/>
          <w:sz w:val="19"/>
          <w:szCs w:val="19"/>
        </w:rPr>
        <w:t>监理支撑要素</w:t>
      </w:r>
      <w:r>
        <w:rPr>
          <w:spacing w:val="6"/>
          <w:sz w:val="19"/>
          <w:szCs w:val="19"/>
        </w:rPr>
        <w:t xml:space="preserve">      </w:t>
      </w:r>
      <w:r>
        <w:rPr>
          <w:rFonts w:ascii="Times New Roman" w:hAnsi="Times New Roman" w:eastAsia="Times New Roman" w:cs="Times New Roman"/>
          <w:b/>
          <w:bCs/>
          <w:spacing w:val="4"/>
          <w:sz w:val="17"/>
          <w:szCs w:val="17"/>
        </w:rPr>
        <w:t>417</w:t>
      </w:r>
    </w:p>
    <w:p w14:paraId="45C500C2">
      <w:pPr>
        <w:spacing w:before="124"/>
      </w:pPr>
    </w:p>
    <w:tbl>
      <w:tblPr>
        <w:tblStyle w:val="5"/>
        <w:tblW w:w="83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0"/>
        <w:gridCol w:w="1220"/>
        <w:gridCol w:w="2710"/>
        <w:gridCol w:w="3121"/>
      </w:tblGrid>
      <w:tr w14:paraId="5E862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8361" w:type="dxa"/>
            <w:gridSpan w:val="4"/>
            <w:tcBorders>
              <w:top w:val="nil"/>
              <w:left w:val="nil"/>
              <w:right w:val="nil"/>
            </w:tcBorders>
            <w:vAlign w:val="top"/>
          </w:tcPr>
          <w:p w14:paraId="6A4415FE">
            <w:pPr>
              <w:pStyle w:val="6"/>
              <w:spacing w:line="220" w:lineRule="auto"/>
              <w:jc w:val="right"/>
            </w:pPr>
            <w:r>
              <w:rPr>
                <w:spacing w:val="10"/>
              </w:rPr>
              <w:t>(续表)</w:t>
            </w:r>
          </w:p>
        </w:tc>
      </w:tr>
      <w:tr w14:paraId="72D19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310" w:type="dxa"/>
            <w:tcBorders>
              <w:left w:val="nil"/>
            </w:tcBorders>
            <w:vAlign w:val="top"/>
          </w:tcPr>
          <w:p w14:paraId="56914ABA">
            <w:pPr>
              <w:pStyle w:val="6"/>
              <w:spacing w:before="76" w:line="220" w:lineRule="auto"/>
              <w:ind w:left="372"/>
            </w:pPr>
            <w:bookmarkStart w:id="699" w:name="bookmark684"/>
            <w:bookmarkEnd w:id="699"/>
            <w:r>
              <w:rPr>
                <w:b/>
                <w:bCs/>
                <w:spacing w:val="-4"/>
              </w:rPr>
              <w:t>标准号</w:t>
            </w:r>
          </w:p>
        </w:tc>
        <w:tc>
          <w:tcPr>
            <w:tcW w:w="1220" w:type="dxa"/>
            <w:vAlign w:val="top"/>
          </w:tcPr>
          <w:p w14:paraId="7B188165">
            <w:pPr>
              <w:pStyle w:val="6"/>
              <w:spacing w:before="75" w:line="219" w:lineRule="auto"/>
              <w:ind w:left="167"/>
            </w:pPr>
            <w:r>
              <w:rPr>
                <w:b/>
                <w:bCs/>
                <w:spacing w:val="-4"/>
              </w:rPr>
              <w:t>各部分名称</w:t>
            </w:r>
          </w:p>
        </w:tc>
        <w:tc>
          <w:tcPr>
            <w:tcW w:w="2710" w:type="dxa"/>
            <w:vAlign w:val="top"/>
          </w:tcPr>
          <w:p w14:paraId="134E8FC6">
            <w:pPr>
              <w:pStyle w:val="6"/>
              <w:spacing w:before="75" w:line="219" w:lineRule="auto"/>
              <w:ind w:left="967"/>
            </w:pPr>
            <w:r>
              <w:rPr>
                <w:b/>
                <w:bCs/>
                <w:spacing w:val="-4"/>
              </w:rPr>
              <w:t>主要内容</w:t>
            </w:r>
          </w:p>
        </w:tc>
        <w:tc>
          <w:tcPr>
            <w:tcW w:w="3121" w:type="dxa"/>
            <w:tcBorders>
              <w:right w:val="nil"/>
            </w:tcBorders>
            <w:vAlign w:val="top"/>
          </w:tcPr>
          <w:p w14:paraId="763EBE08">
            <w:pPr>
              <w:pStyle w:val="6"/>
              <w:spacing w:before="76" w:line="220" w:lineRule="auto"/>
              <w:ind w:left="1157"/>
            </w:pPr>
            <w:r>
              <w:rPr>
                <w:b/>
                <w:bCs/>
                <w:spacing w:val="-4"/>
              </w:rPr>
              <w:t>适用范围</w:t>
            </w:r>
          </w:p>
        </w:tc>
      </w:tr>
      <w:tr w14:paraId="2A0BE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8" w:hRule="atLeast"/>
        </w:trPr>
        <w:tc>
          <w:tcPr>
            <w:tcW w:w="1310" w:type="dxa"/>
            <w:tcBorders>
              <w:left w:val="nil"/>
            </w:tcBorders>
            <w:vAlign w:val="top"/>
          </w:tcPr>
          <w:p w14:paraId="4CCF24C6">
            <w:pPr>
              <w:spacing w:line="353" w:lineRule="auto"/>
              <w:rPr>
                <w:rFonts w:ascii="Arial"/>
                <w:sz w:val="21"/>
              </w:rPr>
            </w:pPr>
          </w:p>
          <w:p w14:paraId="3B37A578">
            <w:pPr>
              <w:spacing w:line="354" w:lineRule="auto"/>
              <w:rPr>
                <w:rFonts w:ascii="Arial"/>
                <w:sz w:val="21"/>
              </w:rPr>
            </w:pPr>
          </w:p>
          <w:p w14:paraId="410364EC">
            <w:pPr>
              <w:pStyle w:val="6"/>
              <w:spacing w:before="62" w:line="224" w:lineRule="auto"/>
              <w:ind w:left="59"/>
            </w:pPr>
            <w:r>
              <w:rPr>
                <w:spacing w:val="-1"/>
              </w:rPr>
              <w:t>GB/T25000.2</w:t>
            </w:r>
          </w:p>
        </w:tc>
        <w:tc>
          <w:tcPr>
            <w:tcW w:w="1220" w:type="dxa"/>
            <w:vAlign w:val="top"/>
          </w:tcPr>
          <w:p w14:paraId="1FD802FB">
            <w:pPr>
              <w:spacing w:line="286" w:lineRule="auto"/>
              <w:rPr>
                <w:rFonts w:ascii="Arial"/>
                <w:sz w:val="21"/>
              </w:rPr>
            </w:pPr>
          </w:p>
          <w:p w14:paraId="74B80B3E">
            <w:pPr>
              <w:spacing w:line="286" w:lineRule="auto"/>
              <w:rPr>
                <w:rFonts w:ascii="Arial"/>
                <w:sz w:val="21"/>
              </w:rPr>
            </w:pPr>
          </w:p>
          <w:p w14:paraId="4638BD86">
            <w:pPr>
              <w:pStyle w:val="6"/>
              <w:spacing w:before="62" w:line="259" w:lineRule="auto"/>
              <w:ind w:left="44" w:right="137" w:hanging="9"/>
            </w:pPr>
            <w:r>
              <w:rPr>
                <w:spacing w:val="-2"/>
              </w:rPr>
              <w:t>第2部分：计</w:t>
            </w:r>
            <w:r>
              <w:rPr>
                <w:spacing w:val="3"/>
              </w:rPr>
              <w:t xml:space="preserve"> </w:t>
            </w:r>
            <w:r>
              <w:rPr>
                <w:spacing w:val="-2"/>
              </w:rPr>
              <w:t>划与管理</w:t>
            </w:r>
          </w:p>
        </w:tc>
        <w:tc>
          <w:tcPr>
            <w:tcW w:w="2710" w:type="dxa"/>
            <w:vAlign w:val="top"/>
          </w:tcPr>
          <w:p w14:paraId="33D9A212">
            <w:pPr>
              <w:spacing w:line="313" w:lineRule="auto"/>
              <w:rPr>
                <w:rFonts w:ascii="Arial"/>
                <w:sz w:val="21"/>
              </w:rPr>
            </w:pPr>
          </w:p>
          <w:p w14:paraId="073D4C58">
            <w:pPr>
              <w:pStyle w:val="6"/>
              <w:spacing w:before="61" w:line="265" w:lineRule="auto"/>
              <w:ind w:left="15"/>
              <w:jc w:val="both"/>
            </w:pPr>
            <w:r>
              <w:rPr>
                <w:spacing w:val="-1"/>
              </w:rPr>
              <w:t>该部分通过提供技术、工具、经</w:t>
            </w:r>
            <w:r>
              <w:t xml:space="preserve"> </w:t>
            </w:r>
            <w:r>
              <w:rPr>
                <w:spacing w:val="-1"/>
              </w:rPr>
              <w:t>验和管理技能，为负责执行和管</w:t>
            </w:r>
            <w:r>
              <w:rPr>
                <w:spacing w:val="2"/>
              </w:rPr>
              <w:t xml:space="preserve"> </w:t>
            </w:r>
            <w:r>
              <w:t>理系统与软件产品质量需求规约</w:t>
            </w:r>
            <w:r>
              <w:rPr>
                <w:spacing w:val="12"/>
              </w:rPr>
              <w:t xml:space="preserve"> </w:t>
            </w:r>
            <w:r>
              <w:rPr>
                <w:spacing w:val="-13"/>
              </w:rPr>
              <w:t>和评价</w:t>
            </w:r>
            <w:r>
              <w:rPr>
                <w:spacing w:val="-12"/>
              </w:rPr>
              <w:t>活动的组织提供要求和建</w:t>
            </w:r>
            <w:r>
              <w:rPr>
                <w:spacing w:val="-9"/>
              </w:rPr>
              <w:t>议</w:t>
            </w:r>
          </w:p>
        </w:tc>
        <w:tc>
          <w:tcPr>
            <w:tcW w:w="3121" w:type="dxa"/>
            <w:tcBorders>
              <w:right w:val="nil"/>
            </w:tcBorders>
            <w:vAlign w:val="top"/>
          </w:tcPr>
          <w:p w14:paraId="096F9423">
            <w:pPr>
              <w:pStyle w:val="6"/>
              <w:spacing w:before="98" w:line="219" w:lineRule="auto"/>
              <w:ind w:left="65"/>
            </w:pPr>
            <w:r>
              <w:rPr>
                <w:spacing w:val="-1"/>
              </w:rPr>
              <w:t>该部分适用于预期用户执行：</w:t>
            </w:r>
          </w:p>
          <w:p w14:paraId="1BDE89B2">
            <w:pPr>
              <w:pStyle w:val="6"/>
              <w:spacing w:before="53" w:line="260" w:lineRule="auto"/>
              <w:ind w:left="15"/>
            </w:pPr>
            <w:r>
              <w:rPr>
                <w:spacing w:val="-4"/>
              </w:rPr>
              <w:t>①管理用于需求规约和评价执行的技</w:t>
            </w:r>
            <w:r>
              <w:rPr>
                <w:spacing w:val="6"/>
              </w:rPr>
              <w:t xml:space="preserve">  </w:t>
            </w:r>
            <w:r>
              <w:rPr>
                <w:spacing w:val="2"/>
              </w:rPr>
              <w:t xml:space="preserve">术；②明确系统与软件产品质量要   </w:t>
            </w:r>
            <w:r>
              <w:rPr>
                <w:spacing w:val="-8"/>
              </w:rPr>
              <w:t>求；③支持系统与软件产品质量要求；</w:t>
            </w:r>
            <w:r>
              <w:rPr>
                <w:spacing w:val="5"/>
              </w:rPr>
              <w:t xml:space="preserve"> </w:t>
            </w:r>
            <w:r>
              <w:rPr>
                <w:spacing w:val="-2"/>
              </w:rPr>
              <w:t>④管理系统与软件开发组织；⑤与质</w:t>
            </w:r>
            <w:r>
              <w:rPr>
                <w:spacing w:val="4"/>
              </w:rPr>
              <w:t xml:space="preserve">  </w:t>
            </w:r>
            <w:r>
              <w:rPr>
                <w:spacing w:val="1"/>
              </w:rPr>
              <w:t>量保证职能相关的事项</w:t>
            </w:r>
          </w:p>
        </w:tc>
      </w:tr>
      <w:tr w14:paraId="61AC0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7" w:hRule="atLeast"/>
        </w:trPr>
        <w:tc>
          <w:tcPr>
            <w:tcW w:w="1310" w:type="dxa"/>
            <w:tcBorders>
              <w:left w:val="nil"/>
            </w:tcBorders>
            <w:vAlign w:val="top"/>
          </w:tcPr>
          <w:p w14:paraId="63A99698">
            <w:pPr>
              <w:spacing w:line="251" w:lineRule="auto"/>
              <w:rPr>
                <w:rFonts w:ascii="Arial"/>
                <w:sz w:val="21"/>
              </w:rPr>
            </w:pPr>
          </w:p>
          <w:p w14:paraId="2297AF64">
            <w:pPr>
              <w:spacing w:line="251" w:lineRule="auto"/>
              <w:rPr>
                <w:rFonts w:ascii="Arial"/>
                <w:sz w:val="21"/>
              </w:rPr>
            </w:pPr>
          </w:p>
          <w:p w14:paraId="214333E4">
            <w:pPr>
              <w:spacing w:line="251" w:lineRule="auto"/>
              <w:rPr>
                <w:rFonts w:ascii="Arial"/>
                <w:sz w:val="21"/>
              </w:rPr>
            </w:pPr>
          </w:p>
          <w:p w14:paraId="7D8032C3">
            <w:pPr>
              <w:spacing w:line="251" w:lineRule="auto"/>
              <w:rPr>
                <w:rFonts w:ascii="Arial"/>
                <w:sz w:val="21"/>
              </w:rPr>
            </w:pPr>
          </w:p>
          <w:p w14:paraId="6444A1B7">
            <w:pPr>
              <w:spacing w:line="252" w:lineRule="auto"/>
              <w:rPr>
                <w:rFonts w:ascii="Arial"/>
                <w:sz w:val="21"/>
              </w:rPr>
            </w:pPr>
          </w:p>
          <w:p w14:paraId="56B63D0B">
            <w:pPr>
              <w:pStyle w:val="6"/>
              <w:spacing w:before="62" w:line="224" w:lineRule="auto"/>
              <w:ind w:left="30"/>
            </w:pPr>
            <w:r>
              <w:rPr>
                <w:spacing w:val="-1"/>
              </w:rPr>
              <w:t>GB/T 25000.10</w:t>
            </w:r>
          </w:p>
        </w:tc>
        <w:tc>
          <w:tcPr>
            <w:tcW w:w="1220" w:type="dxa"/>
            <w:vAlign w:val="top"/>
          </w:tcPr>
          <w:p w14:paraId="6EB4FE94">
            <w:pPr>
              <w:spacing w:line="250" w:lineRule="auto"/>
              <w:rPr>
                <w:rFonts w:ascii="Arial"/>
                <w:sz w:val="21"/>
              </w:rPr>
            </w:pPr>
          </w:p>
          <w:p w14:paraId="0BB80B1D">
            <w:pPr>
              <w:spacing w:line="250" w:lineRule="auto"/>
              <w:rPr>
                <w:rFonts w:ascii="Arial"/>
                <w:sz w:val="21"/>
              </w:rPr>
            </w:pPr>
          </w:p>
          <w:p w14:paraId="2C2579F2">
            <w:pPr>
              <w:spacing w:line="251" w:lineRule="auto"/>
              <w:rPr>
                <w:rFonts w:ascii="Arial"/>
                <w:sz w:val="21"/>
              </w:rPr>
            </w:pPr>
          </w:p>
          <w:p w14:paraId="32656645">
            <w:pPr>
              <w:spacing w:line="251" w:lineRule="auto"/>
              <w:rPr>
                <w:rFonts w:ascii="Arial"/>
                <w:sz w:val="21"/>
              </w:rPr>
            </w:pPr>
          </w:p>
          <w:p w14:paraId="77332B22">
            <w:pPr>
              <w:pStyle w:val="6"/>
              <w:spacing w:before="62" w:line="219" w:lineRule="auto"/>
              <w:ind w:left="45"/>
            </w:pPr>
            <w:r>
              <w:t>第10部分：</w:t>
            </w:r>
          </w:p>
          <w:p w14:paraId="18B8C0A8">
            <w:pPr>
              <w:pStyle w:val="6"/>
              <w:spacing w:before="64" w:line="249" w:lineRule="auto"/>
              <w:ind w:left="44" w:right="13" w:hanging="9"/>
            </w:pPr>
            <w:r>
              <w:rPr>
                <w:spacing w:val="3"/>
              </w:rPr>
              <w:t>系统与软件质</w:t>
            </w:r>
            <w:r>
              <w:rPr>
                <w:spacing w:val="2"/>
              </w:rPr>
              <w:t xml:space="preserve"> </w:t>
            </w:r>
            <w:r>
              <w:rPr>
                <w:spacing w:val="-2"/>
              </w:rPr>
              <w:t>量模型</w:t>
            </w:r>
          </w:p>
        </w:tc>
        <w:tc>
          <w:tcPr>
            <w:tcW w:w="2710" w:type="dxa"/>
            <w:vAlign w:val="top"/>
          </w:tcPr>
          <w:p w14:paraId="1ACF7268">
            <w:pPr>
              <w:pStyle w:val="6"/>
              <w:spacing w:before="110" w:line="263" w:lineRule="auto"/>
              <w:ind w:left="15" w:right="2" w:firstLine="99"/>
            </w:pPr>
            <w:r>
              <w:rPr>
                <w:spacing w:val="-1"/>
              </w:rPr>
              <w:t>该部分定义了：①使用质量模</w:t>
            </w:r>
            <w:r>
              <w:t xml:space="preserve">  型，该模型由五个特性组成，每</w:t>
            </w:r>
            <w:r>
              <w:rPr>
                <w:spacing w:val="7"/>
              </w:rPr>
              <w:t xml:space="preserve"> </w:t>
            </w:r>
            <w:r>
              <w:rPr>
                <w:spacing w:val="-1"/>
              </w:rPr>
              <w:t>个特性又可进一步细分为一些子</w:t>
            </w:r>
            <w:r>
              <w:rPr>
                <w:spacing w:val="5"/>
              </w:rPr>
              <w:t xml:space="preserve"> </w:t>
            </w:r>
            <w:r>
              <w:rPr>
                <w:spacing w:val="-1"/>
              </w:rPr>
              <w:t>特性，这些特性关系到产品在特</w:t>
            </w:r>
            <w:r>
              <w:rPr>
                <w:spacing w:val="5"/>
              </w:rPr>
              <w:t xml:space="preserve"> </w:t>
            </w:r>
            <w:r>
              <w:t>定的使用环境中使用时的交互结</w:t>
            </w:r>
            <w:r>
              <w:rPr>
                <w:spacing w:val="10"/>
              </w:rPr>
              <w:t xml:space="preserve"> </w:t>
            </w:r>
            <w:r>
              <w:rPr>
                <w:spacing w:val="1"/>
              </w:rPr>
              <w:t>果；②产品质量模型，该模型由</w:t>
            </w:r>
            <w:r>
              <w:rPr>
                <w:spacing w:val="7"/>
              </w:rPr>
              <w:t xml:space="preserve"> </w:t>
            </w:r>
            <w:r>
              <w:rPr>
                <w:spacing w:val="-1"/>
              </w:rPr>
              <w:t>八个特性组成，每个特性又可进</w:t>
            </w:r>
            <w:r>
              <w:rPr>
                <w:spacing w:val="2"/>
              </w:rPr>
              <w:t xml:space="preserve"> </w:t>
            </w:r>
            <w:r>
              <w:rPr>
                <w:spacing w:val="-1"/>
              </w:rPr>
              <w:t>一步细分为一些子特性，这些特</w:t>
            </w:r>
            <w:r>
              <w:rPr>
                <w:spacing w:val="2"/>
              </w:rPr>
              <w:t xml:space="preserve"> </w:t>
            </w:r>
            <w:r>
              <w:rPr>
                <w:spacing w:val="-1"/>
              </w:rPr>
              <w:t>性关系到软件的静态性质和计算</w:t>
            </w:r>
            <w:r>
              <w:rPr>
                <w:spacing w:val="3"/>
              </w:rPr>
              <w:t xml:space="preserve"> 机系统的动态性质</w:t>
            </w:r>
          </w:p>
        </w:tc>
        <w:tc>
          <w:tcPr>
            <w:tcW w:w="3121" w:type="dxa"/>
            <w:tcBorders>
              <w:right w:val="nil"/>
            </w:tcBorders>
            <w:vAlign w:val="top"/>
          </w:tcPr>
          <w:p w14:paraId="0F8AF932">
            <w:pPr>
              <w:spacing w:line="248" w:lineRule="auto"/>
              <w:rPr>
                <w:rFonts w:ascii="Arial"/>
                <w:sz w:val="21"/>
              </w:rPr>
            </w:pPr>
          </w:p>
          <w:p w14:paraId="5D67C7F7">
            <w:pPr>
              <w:spacing w:line="248" w:lineRule="auto"/>
              <w:rPr>
                <w:rFonts w:ascii="Arial"/>
                <w:sz w:val="21"/>
              </w:rPr>
            </w:pPr>
          </w:p>
          <w:p w14:paraId="45770EC8">
            <w:pPr>
              <w:spacing w:line="248" w:lineRule="auto"/>
              <w:rPr>
                <w:rFonts w:ascii="Arial"/>
                <w:sz w:val="21"/>
              </w:rPr>
            </w:pPr>
          </w:p>
          <w:p w14:paraId="720619FF">
            <w:pPr>
              <w:pStyle w:val="6"/>
              <w:spacing w:before="62" w:line="257" w:lineRule="auto"/>
              <w:ind w:left="15" w:right="43"/>
              <w:jc w:val="both"/>
            </w:pPr>
            <w:r>
              <w:rPr>
                <w:spacing w:val="1"/>
              </w:rPr>
              <w:t>使用质量模型可以应用于整个人机系</w:t>
            </w:r>
            <w:r>
              <w:t xml:space="preserve"> 统，既包括使用中的计算机系统，也</w:t>
            </w:r>
            <w:r>
              <w:rPr>
                <w:spacing w:val="10"/>
              </w:rPr>
              <w:t xml:space="preserve"> </w:t>
            </w:r>
            <w:r>
              <w:rPr>
                <w:spacing w:val="-1"/>
              </w:rPr>
              <w:t>包括使用中的软件产品；产品质量模</w:t>
            </w:r>
            <w:r>
              <w:rPr>
                <w:spacing w:val="7"/>
              </w:rPr>
              <w:t xml:space="preserve"> </w:t>
            </w:r>
            <w:r>
              <w:rPr>
                <w:spacing w:val="1"/>
              </w:rPr>
              <w:t>型既可以应用于计算机系统，也可以</w:t>
            </w:r>
            <w:r>
              <w:t xml:space="preserve"> </w:t>
            </w:r>
            <w:r>
              <w:rPr>
                <w:spacing w:val="9"/>
              </w:rPr>
              <w:t>应用于软件产品</w:t>
            </w:r>
          </w:p>
        </w:tc>
      </w:tr>
      <w:tr w14:paraId="64A85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9" w:hRule="atLeast"/>
        </w:trPr>
        <w:tc>
          <w:tcPr>
            <w:tcW w:w="1310" w:type="dxa"/>
            <w:tcBorders>
              <w:left w:val="nil"/>
            </w:tcBorders>
            <w:vAlign w:val="top"/>
          </w:tcPr>
          <w:p w14:paraId="2FC54D2B">
            <w:pPr>
              <w:rPr>
                <w:rFonts w:ascii="Arial"/>
                <w:sz w:val="21"/>
              </w:rPr>
            </w:pPr>
          </w:p>
          <w:p w14:paraId="7F23BDDE">
            <w:pPr>
              <w:spacing w:line="241" w:lineRule="auto"/>
              <w:rPr>
                <w:rFonts w:ascii="Arial"/>
                <w:sz w:val="21"/>
              </w:rPr>
            </w:pPr>
          </w:p>
          <w:p w14:paraId="688C7034">
            <w:pPr>
              <w:spacing w:line="241" w:lineRule="auto"/>
              <w:rPr>
                <w:rFonts w:ascii="Arial"/>
                <w:sz w:val="21"/>
              </w:rPr>
            </w:pPr>
          </w:p>
          <w:p w14:paraId="0762C3A4">
            <w:pPr>
              <w:pStyle w:val="6"/>
              <w:spacing w:before="62" w:line="224" w:lineRule="auto"/>
              <w:ind w:left="30"/>
            </w:pPr>
            <w:r>
              <w:rPr>
                <w:spacing w:val="-2"/>
              </w:rPr>
              <w:t>GB/T</w:t>
            </w:r>
            <w:r>
              <w:rPr>
                <w:spacing w:val="40"/>
              </w:rPr>
              <w:t xml:space="preserve"> </w:t>
            </w:r>
            <w:r>
              <w:rPr>
                <w:spacing w:val="-2"/>
              </w:rPr>
              <w:t>25000.12</w:t>
            </w:r>
          </w:p>
        </w:tc>
        <w:tc>
          <w:tcPr>
            <w:tcW w:w="1220" w:type="dxa"/>
            <w:vAlign w:val="top"/>
          </w:tcPr>
          <w:p w14:paraId="541AC18C">
            <w:pPr>
              <w:spacing w:line="304" w:lineRule="auto"/>
              <w:rPr>
                <w:rFonts w:ascii="Arial"/>
                <w:sz w:val="21"/>
              </w:rPr>
            </w:pPr>
          </w:p>
          <w:p w14:paraId="00328209">
            <w:pPr>
              <w:spacing w:line="304" w:lineRule="auto"/>
              <w:rPr>
                <w:rFonts w:ascii="Arial"/>
                <w:sz w:val="21"/>
              </w:rPr>
            </w:pPr>
          </w:p>
          <w:p w14:paraId="718ECA1C">
            <w:pPr>
              <w:pStyle w:val="6"/>
              <w:spacing w:before="61" w:line="219" w:lineRule="auto"/>
              <w:ind w:left="45"/>
            </w:pPr>
            <w:r>
              <w:t>第12部分：</w:t>
            </w:r>
          </w:p>
          <w:p w14:paraId="1E38F459">
            <w:pPr>
              <w:pStyle w:val="6"/>
              <w:spacing w:before="44" w:line="219" w:lineRule="auto"/>
              <w:ind w:left="45"/>
            </w:pPr>
            <w:r>
              <w:rPr>
                <w:spacing w:val="2"/>
              </w:rPr>
              <w:t>数据质量模型</w:t>
            </w:r>
          </w:p>
        </w:tc>
        <w:tc>
          <w:tcPr>
            <w:tcW w:w="2710" w:type="dxa"/>
            <w:vAlign w:val="top"/>
          </w:tcPr>
          <w:p w14:paraId="14324744">
            <w:pPr>
              <w:pStyle w:val="6"/>
              <w:spacing w:before="122" w:line="258" w:lineRule="auto"/>
              <w:ind w:left="15"/>
              <w:jc w:val="both"/>
            </w:pPr>
            <w:r>
              <w:t>该部分针对计算机系统中以某种</w:t>
            </w:r>
            <w:r>
              <w:rPr>
                <w:spacing w:val="12"/>
              </w:rPr>
              <w:t xml:space="preserve"> </w:t>
            </w:r>
            <w:r>
              <w:rPr>
                <w:spacing w:val="1"/>
              </w:rPr>
              <w:t>结构化形式保存的数据，定义了</w:t>
            </w:r>
            <w:r>
              <w:rPr>
                <w:spacing w:val="9"/>
              </w:rPr>
              <w:t xml:space="preserve"> </w:t>
            </w:r>
            <w:r>
              <w:rPr>
                <w:spacing w:val="-1"/>
              </w:rPr>
              <w:t>通用的数据质量模型。关注作为</w:t>
            </w:r>
            <w:r>
              <w:rPr>
                <w:spacing w:val="5"/>
              </w:rPr>
              <w:t xml:space="preserve"> </w:t>
            </w:r>
            <w:r>
              <w:rPr>
                <w:spacing w:val="-1"/>
              </w:rPr>
              <w:t>计算机系统一个组成部分的数据</w:t>
            </w:r>
            <w:r>
              <w:rPr>
                <w:spacing w:val="5"/>
              </w:rPr>
              <w:t xml:space="preserve"> </w:t>
            </w:r>
            <w:r>
              <w:rPr>
                <w:spacing w:val="1"/>
              </w:rPr>
              <w:t>的质量，并定义由人和系统使用</w:t>
            </w:r>
            <w:r>
              <w:rPr>
                <w:spacing w:val="7"/>
              </w:rPr>
              <w:t xml:space="preserve"> </w:t>
            </w:r>
            <w:r>
              <w:rPr>
                <w:spacing w:val="5"/>
              </w:rPr>
              <w:t>的目标数据的质量特性</w:t>
            </w:r>
          </w:p>
        </w:tc>
        <w:tc>
          <w:tcPr>
            <w:tcW w:w="3121" w:type="dxa"/>
            <w:tcBorders>
              <w:right w:val="nil"/>
            </w:tcBorders>
            <w:vAlign w:val="top"/>
          </w:tcPr>
          <w:p w14:paraId="7A0300E3">
            <w:pPr>
              <w:spacing w:line="303" w:lineRule="auto"/>
              <w:rPr>
                <w:rFonts w:ascii="Arial"/>
                <w:sz w:val="21"/>
              </w:rPr>
            </w:pPr>
          </w:p>
          <w:p w14:paraId="6BC29643">
            <w:pPr>
              <w:spacing w:line="304" w:lineRule="auto"/>
              <w:rPr>
                <w:rFonts w:ascii="Arial"/>
                <w:sz w:val="21"/>
              </w:rPr>
            </w:pPr>
          </w:p>
          <w:p w14:paraId="6BC5124D">
            <w:pPr>
              <w:pStyle w:val="6"/>
              <w:spacing w:before="62" w:line="259" w:lineRule="auto"/>
              <w:ind w:left="65" w:right="69" w:hanging="50"/>
            </w:pPr>
            <w:r>
              <w:rPr>
                <w:spacing w:val="-1"/>
              </w:rPr>
              <w:t>数据与数据设计之间的复合型包含在</w:t>
            </w:r>
            <w:r>
              <w:rPr>
                <w:spacing w:val="6"/>
              </w:rPr>
              <w:t xml:space="preserve"> </w:t>
            </w:r>
            <w:r>
              <w:rPr>
                <w:spacing w:val="3"/>
              </w:rPr>
              <w:t>该部分的范围内</w:t>
            </w:r>
          </w:p>
        </w:tc>
      </w:tr>
      <w:tr w14:paraId="01CD7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8" w:hRule="atLeast"/>
        </w:trPr>
        <w:tc>
          <w:tcPr>
            <w:tcW w:w="1310" w:type="dxa"/>
            <w:tcBorders>
              <w:left w:val="nil"/>
            </w:tcBorders>
            <w:vAlign w:val="top"/>
          </w:tcPr>
          <w:p w14:paraId="08D92883">
            <w:pPr>
              <w:spacing w:line="281" w:lineRule="auto"/>
              <w:rPr>
                <w:rFonts w:ascii="Arial"/>
                <w:sz w:val="21"/>
              </w:rPr>
            </w:pPr>
          </w:p>
          <w:p w14:paraId="33608281">
            <w:pPr>
              <w:spacing w:line="281" w:lineRule="auto"/>
              <w:rPr>
                <w:rFonts w:ascii="Arial"/>
                <w:sz w:val="21"/>
              </w:rPr>
            </w:pPr>
          </w:p>
          <w:p w14:paraId="449CCB86">
            <w:pPr>
              <w:spacing w:line="281" w:lineRule="auto"/>
              <w:rPr>
                <w:rFonts w:ascii="Arial"/>
                <w:sz w:val="21"/>
              </w:rPr>
            </w:pPr>
          </w:p>
          <w:p w14:paraId="6E0995BE">
            <w:pPr>
              <w:pStyle w:val="6"/>
              <w:spacing w:before="61" w:line="224" w:lineRule="auto"/>
              <w:ind w:left="30"/>
            </w:pPr>
            <w:r>
              <w:rPr>
                <w:spacing w:val="-1"/>
              </w:rPr>
              <w:t>GB/T 25000.20</w:t>
            </w:r>
          </w:p>
        </w:tc>
        <w:tc>
          <w:tcPr>
            <w:tcW w:w="1220" w:type="dxa"/>
            <w:vAlign w:val="top"/>
          </w:tcPr>
          <w:p w14:paraId="23E7F20A">
            <w:pPr>
              <w:spacing w:line="354" w:lineRule="auto"/>
              <w:rPr>
                <w:rFonts w:ascii="Arial"/>
                <w:sz w:val="21"/>
              </w:rPr>
            </w:pPr>
          </w:p>
          <w:p w14:paraId="33039331">
            <w:pPr>
              <w:spacing w:line="354" w:lineRule="auto"/>
              <w:rPr>
                <w:rFonts w:ascii="Arial"/>
                <w:sz w:val="21"/>
              </w:rPr>
            </w:pPr>
          </w:p>
          <w:p w14:paraId="5FB95541">
            <w:pPr>
              <w:pStyle w:val="6"/>
              <w:spacing w:before="62" w:line="219" w:lineRule="auto"/>
              <w:ind w:left="45"/>
            </w:pPr>
            <w:r>
              <w:t>第20部分：</w:t>
            </w:r>
          </w:p>
          <w:p w14:paraId="2EC8742F">
            <w:pPr>
              <w:pStyle w:val="6"/>
              <w:spacing w:before="44" w:line="219" w:lineRule="auto"/>
              <w:ind w:left="45"/>
            </w:pPr>
            <w:r>
              <w:rPr>
                <w:spacing w:val="-2"/>
              </w:rPr>
              <w:t>质量测量框架</w:t>
            </w:r>
          </w:p>
        </w:tc>
        <w:tc>
          <w:tcPr>
            <w:tcW w:w="2710" w:type="dxa"/>
            <w:vAlign w:val="top"/>
          </w:tcPr>
          <w:p w14:paraId="7DC1C6CB">
            <w:pPr>
              <w:spacing w:line="354" w:lineRule="auto"/>
              <w:rPr>
                <w:rFonts w:ascii="Arial"/>
                <w:sz w:val="21"/>
              </w:rPr>
            </w:pPr>
          </w:p>
          <w:p w14:paraId="6373A34E">
            <w:pPr>
              <w:spacing w:line="354" w:lineRule="auto"/>
              <w:rPr>
                <w:rFonts w:ascii="Arial"/>
                <w:sz w:val="21"/>
              </w:rPr>
            </w:pPr>
          </w:p>
          <w:p w14:paraId="6848AFEC">
            <w:pPr>
              <w:pStyle w:val="6"/>
              <w:spacing w:before="62" w:line="249" w:lineRule="auto"/>
              <w:ind w:left="34" w:right="12" w:hanging="19"/>
            </w:pPr>
            <w:r>
              <w:t>该部分规定了开展质量测量工作</w:t>
            </w:r>
            <w:r>
              <w:rPr>
                <w:spacing w:val="11"/>
              </w:rPr>
              <w:t xml:space="preserve"> </w:t>
            </w:r>
            <w:r>
              <w:rPr>
                <w:spacing w:val="3"/>
              </w:rPr>
              <w:t>的框架</w:t>
            </w:r>
          </w:p>
        </w:tc>
        <w:tc>
          <w:tcPr>
            <w:tcW w:w="3121" w:type="dxa"/>
            <w:tcBorders>
              <w:right w:val="nil"/>
            </w:tcBorders>
            <w:vAlign w:val="top"/>
          </w:tcPr>
          <w:p w14:paraId="51C73688">
            <w:pPr>
              <w:pStyle w:val="6"/>
              <w:spacing w:before="114" w:line="257" w:lineRule="auto"/>
              <w:ind w:left="15" w:right="34" w:firstLine="89"/>
            </w:pPr>
            <w:r>
              <w:rPr>
                <w:spacing w:val="1"/>
              </w:rPr>
              <w:t>该部分可用于设计、识别、评价和</w:t>
            </w:r>
            <w:r>
              <w:t xml:space="preserve">  </w:t>
            </w:r>
            <w:r>
              <w:rPr>
                <w:spacing w:val="7"/>
              </w:rPr>
              <w:t>执行系统与软件产品质量、使用质</w:t>
            </w:r>
            <w:r>
              <w:rPr>
                <w:spacing w:val="2"/>
              </w:rPr>
              <w:t xml:space="preserve">  </w:t>
            </w:r>
            <w:r>
              <w:rPr>
                <w:spacing w:val="-1"/>
              </w:rPr>
              <w:t>量和数据质量的测量模型。该参考模</w:t>
            </w:r>
            <w:r>
              <w:rPr>
                <w:spacing w:val="7"/>
              </w:rPr>
              <w:t xml:space="preserve"> </w:t>
            </w:r>
            <w:r>
              <w:rPr>
                <w:spacing w:val="1"/>
              </w:rPr>
              <w:t>型可被开发方、需方、质量保证人员</w:t>
            </w:r>
            <w:r>
              <w:rPr>
                <w:spacing w:val="8"/>
              </w:rPr>
              <w:t xml:space="preserve"> </w:t>
            </w:r>
            <w:r>
              <w:t>以及独立评价方，尤其是负责规定和</w:t>
            </w:r>
            <w:r>
              <w:rPr>
                <w:spacing w:val="14"/>
              </w:rPr>
              <w:t xml:space="preserve"> </w:t>
            </w:r>
            <w:r>
              <w:rPr>
                <w:spacing w:val="-1"/>
              </w:rPr>
              <w:t>评价信息通信技术系统质量的人员所</w:t>
            </w:r>
            <w:r>
              <w:rPr>
                <w:spacing w:val="8"/>
              </w:rPr>
              <w:t xml:space="preserve"> </w:t>
            </w:r>
            <w:r>
              <w:rPr>
                <w:spacing w:val="26"/>
              </w:rPr>
              <w:t>使用</w:t>
            </w:r>
          </w:p>
        </w:tc>
      </w:tr>
      <w:tr w14:paraId="687FC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3" w:hRule="atLeast"/>
        </w:trPr>
        <w:tc>
          <w:tcPr>
            <w:tcW w:w="1310" w:type="dxa"/>
            <w:tcBorders>
              <w:left w:val="nil"/>
            </w:tcBorders>
            <w:vAlign w:val="top"/>
          </w:tcPr>
          <w:p w14:paraId="7D3BEE0D">
            <w:pPr>
              <w:spacing w:line="246" w:lineRule="auto"/>
              <w:rPr>
                <w:rFonts w:ascii="Arial"/>
                <w:sz w:val="21"/>
              </w:rPr>
            </w:pPr>
          </w:p>
          <w:p w14:paraId="6CADDDD6">
            <w:pPr>
              <w:spacing w:line="246" w:lineRule="auto"/>
              <w:rPr>
                <w:rFonts w:ascii="Arial"/>
                <w:sz w:val="21"/>
              </w:rPr>
            </w:pPr>
          </w:p>
          <w:p w14:paraId="02AC28FB">
            <w:pPr>
              <w:spacing w:line="246" w:lineRule="auto"/>
              <w:rPr>
                <w:rFonts w:ascii="Arial"/>
                <w:sz w:val="21"/>
              </w:rPr>
            </w:pPr>
          </w:p>
          <w:p w14:paraId="7CAEEC15">
            <w:pPr>
              <w:spacing w:line="246" w:lineRule="auto"/>
              <w:rPr>
                <w:rFonts w:ascii="Arial"/>
                <w:sz w:val="21"/>
              </w:rPr>
            </w:pPr>
          </w:p>
          <w:p w14:paraId="4A5210A4">
            <w:pPr>
              <w:pStyle w:val="6"/>
              <w:spacing w:before="61" w:line="224" w:lineRule="auto"/>
              <w:ind w:left="30"/>
            </w:pPr>
            <w:r>
              <w:rPr>
                <w:spacing w:val="-2"/>
              </w:rPr>
              <w:t>GB/T</w:t>
            </w:r>
            <w:r>
              <w:rPr>
                <w:spacing w:val="48"/>
              </w:rPr>
              <w:t xml:space="preserve"> </w:t>
            </w:r>
            <w:r>
              <w:rPr>
                <w:spacing w:val="-2"/>
              </w:rPr>
              <w:t>25000.21</w:t>
            </w:r>
          </w:p>
        </w:tc>
        <w:tc>
          <w:tcPr>
            <w:tcW w:w="1220" w:type="dxa"/>
            <w:vAlign w:val="top"/>
          </w:tcPr>
          <w:p w14:paraId="2709B5FD">
            <w:pPr>
              <w:spacing w:line="283" w:lineRule="auto"/>
              <w:rPr>
                <w:rFonts w:ascii="Arial"/>
                <w:sz w:val="21"/>
              </w:rPr>
            </w:pPr>
          </w:p>
          <w:p w14:paraId="558612D4">
            <w:pPr>
              <w:spacing w:line="283" w:lineRule="auto"/>
              <w:rPr>
                <w:rFonts w:ascii="Arial"/>
                <w:sz w:val="21"/>
              </w:rPr>
            </w:pPr>
          </w:p>
          <w:p w14:paraId="2476698F">
            <w:pPr>
              <w:spacing w:line="283" w:lineRule="auto"/>
              <w:rPr>
                <w:rFonts w:ascii="Arial"/>
                <w:sz w:val="21"/>
              </w:rPr>
            </w:pPr>
          </w:p>
          <w:p w14:paraId="012C1303">
            <w:pPr>
              <w:pStyle w:val="6"/>
              <w:spacing w:before="62" w:line="219" w:lineRule="auto"/>
              <w:ind w:left="45"/>
            </w:pPr>
            <w:r>
              <w:t>第21部分：</w:t>
            </w:r>
          </w:p>
          <w:p w14:paraId="091AB9E2">
            <w:pPr>
              <w:pStyle w:val="6"/>
              <w:spacing w:before="54" w:line="219" w:lineRule="auto"/>
              <w:ind w:left="45"/>
            </w:pPr>
            <w:r>
              <w:rPr>
                <w:spacing w:val="-2"/>
              </w:rPr>
              <w:t>质量测度元素</w:t>
            </w:r>
          </w:p>
        </w:tc>
        <w:tc>
          <w:tcPr>
            <w:tcW w:w="2710" w:type="dxa"/>
            <w:vAlign w:val="top"/>
          </w:tcPr>
          <w:p w14:paraId="2432E950">
            <w:pPr>
              <w:pStyle w:val="6"/>
              <w:spacing w:before="256" w:line="249" w:lineRule="auto"/>
              <w:ind w:left="54" w:right="80" w:firstLine="9"/>
            </w:pPr>
            <w:r>
              <w:rPr>
                <w:spacing w:val="-1"/>
              </w:rPr>
              <w:t>该部分旨在定义和/或设计质量</w:t>
            </w:r>
            <w:r>
              <w:rPr>
                <w:spacing w:val="2"/>
              </w:rPr>
              <w:t xml:space="preserve"> </w:t>
            </w:r>
            <w:r>
              <w:rPr>
                <w:spacing w:val="-1"/>
              </w:rPr>
              <w:t>测度元素(QME)的初始集，可</w:t>
            </w:r>
          </w:p>
          <w:p w14:paraId="10E90C8C">
            <w:pPr>
              <w:pStyle w:val="6"/>
              <w:spacing w:before="25" w:line="248" w:lineRule="auto"/>
              <w:ind w:left="15" w:right="30"/>
            </w:pPr>
            <w:r>
              <w:rPr>
                <w:spacing w:val="-1"/>
              </w:rPr>
              <w:t>将其应用在软件产品的整个生存</w:t>
            </w:r>
            <w:r>
              <w:rPr>
                <w:spacing w:val="7"/>
              </w:rPr>
              <w:t xml:space="preserve"> </w:t>
            </w:r>
            <w:r>
              <w:rPr>
                <w:spacing w:val="-1"/>
              </w:rPr>
              <w:t>周期，以实现系统与软件质量要</w:t>
            </w:r>
            <w:r>
              <w:rPr>
                <w:spacing w:val="4"/>
              </w:rPr>
              <w:t xml:space="preserve"> </w:t>
            </w:r>
            <w:r>
              <w:rPr>
                <w:spacing w:val="7"/>
              </w:rPr>
              <w:t>求和评价(</w:t>
            </w:r>
            <w:r>
              <w:t>SQuaRE</w:t>
            </w:r>
            <w:r>
              <w:rPr>
                <w:spacing w:val="7"/>
              </w:rPr>
              <w:t>)标准的目</w:t>
            </w:r>
          </w:p>
          <w:p w14:paraId="4813AF24">
            <w:pPr>
              <w:pStyle w:val="6"/>
              <w:spacing w:before="26" w:line="258" w:lineRule="auto"/>
              <w:ind w:left="45" w:right="262" w:firstLine="9"/>
            </w:pPr>
            <w:r>
              <w:t>的，还给出了设计QME或对已</w:t>
            </w:r>
            <w:r>
              <w:rPr>
                <w:spacing w:val="6"/>
              </w:rPr>
              <w:t xml:space="preserve"> </w:t>
            </w:r>
            <w:r>
              <w:rPr>
                <w:spacing w:val="-1"/>
              </w:rPr>
              <w:t>有QME设计进行验证的规划集</w:t>
            </w:r>
          </w:p>
        </w:tc>
        <w:tc>
          <w:tcPr>
            <w:tcW w:w="3121" w:type="dxa"/>
            <w:tcBorders>
              <w:right w:val="nil"/>
            </w:tcBorders>
            <w:vAlign w:val="top"/>
          </w:tcPr>
          <w:p w14:paraId="1A8B6112">
            <w:pPr>
              <w:pStyle w:val="6"/>
              <w:spacing w:before="135" w:line="254" w:lineRule="auto"/>
              <w:ind w:left="15" w:right="45" w:firstLine="89"/>
            </w:pPr>
            <w:r>
              <w:rPr>
                <w:spacing w:val="5"/>
              </w:rPr>
              <w:t>该部分旨在供(但不限于)开发方、</w:t>
            </w:r>
            <w:r>
              <w:rPr>
                <w:spacing w:val="13"/>
              </w:rPr>
              <w:t xml:space="preserve"> </w:t>
            </w:r>
            <w:r>
              <w:t>需方、产品的独立评价方使用，特别</w:t>
            </w:r>
            <w:r>
              <w:rPr>
                <w:spacing w:val="14"/>
              </w:rPr>
              <w:t xml:space="preserve"> </w:t>
            </w:r>
            <w:r>
              <w:rPr>
                <w:spacing w:val="6"/>
              </w:rPr>
              <w:t>是面向负责定义产品质量需求和产</w:t>
            </w:r>
            <w:r>
              <w:rPr>
                <w:spacing w:val="5"/>
              </w:rPr>
              <w:t xml:space="preserve">  </w:t>
            </w:r>
            <w:r>
              <w:rPr>
                <w:spacing w:val="6"/>
              </w:rPr>
              <w:t>品评价的责任人。当定义拟用来获</w:t>
            </w:r>
            <w:r>
              <w:rPr>
                <w:spacing w:val="3"/>
              </w:rPr>
              <w:t xml:space="preserve">  </w:t>
            </w:r>
            <w:r>
              <w:rPr>
                <w:spacing w:val="10"/>
              </w:rPr>
              <w:t>取质量测度(例如</w:t>
            </w:r>
            <w:r>
              <w:t>GB</w:t>
            </w:r>
            <w:r>
              <w:rPr>
                <w:spacing w:val="10"/>
              </w:rPr>
              <w:t>/T 25000.22、</w:t>
            </w:r>
            <w:r>
              <w:rPr>
                <w:spacing w:val="4"/>
              </w:rPr>
              <w:t xml:space="preserve"> </w:t>
            </w:r>
            <w:r>
              <w:t>GB/T 25000.23、GB/T 250</w:t>
            </w:r>
            <w:r>
              <w:rPr>
                <w:spacing w:val="-1"/>
              </w:rPr>
              <w:t>00.24中所</w:t>
            </w:r>
            <w:r>
              <w:t xml:space="preserve"> </w:t>
            </w:r>
            <w:r>
              <w:rPr>
                <w:spacing w:val="3"/>
              </w:rPr>
              <w:t>规定的质量测度)相关的</w:t>
            </w:r>
            <w:r>
              <w:t>QME</w:t>
            </w:r>
            <w:r>
              <w:rPr>
                <w:spacing w:val="3"/>
              </w:rPr>
              <w:t>时，</w:t>
            </w:r>
          </w:p>
          <w:p w14:paraId="04C03F6E">
            <w:pPr>
              <w:pStyle w:val="6"/>
              <w:spacing w:before="20" w:line="219" w:lineRule="auto"/>
              <w:ind w:left="75"/>
            </w:pPr>
            <w:r>
              <w:rPr>
                <w:spacing w:val="2"/>
              </w:rPr>
              <w:t>该部分是适用的</w:t>
            </w:r>
          </w:p>
        </w:tc>
      </w:tr>
    </w:tbl>
    <w:p w14:paraId="2AEBA8D9">
      <w:pPr>
        <w:rPr>
          <w:rFonts w:ascii="Arial"/>
          <w:sz w:val="21"/>
        </w:rPr>
      </w:pPr>
    </w:p>
    <w:p w14:paraId="6A14BD9F">
      <w:pPr>
        <w:rPr>
          <w:rFonts w:ascii="Arial" w:hAnsi="Arial" w:eastAsia="Arial" w:cs="Arial"/>
          <w:sz w:val="21"/>
          <w:szCs w:val="21"/>
        </w:rPr>
        <w:sectPr>
          <w:pgSz w:w="10290" w:h="13320"/>
          <w:pgMar w:top="400" w:right="629" w:bottom="400" w:left="1109" w:header="0" w:footer="0" w:gutter="0"/>
          <w:cols w:space="720" w:num="1"/>
        </w:sectPr>
      </w:pPr>
    </w:p>
    <w:p w14:paraId="7DED6C83">
      <w:pPr>
        <w:pStyle w:val="2"/>
        <w:rPr>
          <w:sz w:val="19"/>
          <w:szCs w:val="19"/>
        </w:rPr>
      </w:pPr>
      <w:r>
        <w:rPr>
          <w:rFonts w:ascii="Times New Roman" w:hAnsi="Times New Roman" w:eastAsia="Times New Roman" w:cs="Times New Roman"/>
          <w:spacing w:val="5"/>
          <w:position w:val="1"/>
          <w:sz w:val="17"/>
          <w:szCs w:val="17"/>
        </w:rPr>
        <w:t xml:space="preserve">418  </w:t>
      </w:r>
      <w:r>
        <w:rPr>
          <w:position w:val="-11"/>
          <w:sz w:val="17"/>
          <w:szCs w:val="17"/>
        </w:rPr>
        <w:drawing>
          <wp:inline distT="0" distB="0" distL="0" distR="0">
            <wp:extent cx="304165" cy="254000"/>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275"/>
                    <a:stretch>
                      <a:fillRect/>
                    </a:stretch>
                  </pic:blipFill>
                  <pic:spPr>
                    <a:xfrm>
                      <a:off x="0" y="0"/>
                      <a:ext cx="304787" cy="254013"/>
                    </a:xfrm>
                    <a:prstGeom prst="rect">
                      <a:avLst/>
                    </a:prstGeom>
                  </pic:spPr>
                </pic:pic>
              </a:graphicData>
            </a:graphic>
          </wp:inline>
        </w:drawing>
      </w:r>
      <w:r>
        <w:rPr>
          <w:rFonts w:ascii="Times New Roman" w:hAnsi="Times New Roman" w:eastAsia="Times New Roman" w:cs="Times New Roman"/>
          <w:spacing w:val="4"/>
          <w:position w:val="1"/>
          <w:sz w:val="17"/>
          <w:szCs w:val="17"/>
        </w:rPr>
        <w:t xml:space="preserve">   </w:t>
      </w:r>
      <w:r>
        <w:rPr>
          <w:spacing w:val="5"/>
          <w:sz w:val="19"/>
          <w:szCs w:val="19"/>
        </w:rPr>
        <w:t>信息系统监理师教程(第2版)</w:t>
      </w:r>
    </w:p>
    <w:p w14:paraId="4CC34AD0">
      <w:pPr>
        <w:spacing w:line="265" w:lineRule="auto"/>
        <w:rPr>
          <w:rFonts w:ascii="Arial"/>
          <w:sz w:val="21"/>
        </w:rPr>
      </w:pPr>
    </w:p>
    <w:p w14:paraId="63EE0EEA">
      <w:pPr>
        <w:pStyle w:val="2"/>
        <w:spacing w:before="61" w:line="220" w:lineRule="auto"/>
        <w:jc w:val="right"/>
        <w:rPr>
          <w:sz w:val="19"/>
          <w:szCs w:val="19"/>
        </w:rPr>
      </w:pPr>
      <w:r>
        <w:rPr>
          <w:spacing w:val="7"/>
          <w:sz w:val="19"/>
          <w:szCs w:val="19"/>
        </w:rPr>
        <w:t>(续表)</w:t>
      </w:r>
    </w:p>
    <w:p w14:paraId="1EB286B4">
      <w:pPr>
        <w:spacing w:line="70" w:lineRule="exact"/>
      </w:pPr>
    </w:p>
    <w:tbl>
      <w:tblPr>
        <w:tblStyle w:val="5"/>
        <w:tblW w:w="8329" w:type="dxa"/>
        <w:tblInd w:w="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0"/>
        <w:gridCol w:w="1210"/>
        <w:gridCol w:w="2709"/>
        <w:gridCol w:w="3090"/>
      </w:tblGrid>
      <w:tr w14:paraId="745FA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320" w:type="dxa"/>
            <w:tcBorders>
              <w:left w:val="nil"/>
            </w:tcBorders>
            <w:vAlign w:val="top"/>
          </w:tcPr>
          <w:p w14:paraId="0BB4CD36">
            <w:pPr>
              <w:pStyle w:val="6"/>
              <w:spacing w:before="80" w:line="220" w:lineRule="auto"/>
              <w:ind w:left="372"/>
            </w:pPr>
            <w:r>
              <w:rPr>
                <w:b/>
                <w:bCs/>
                <w:spacing w:val="-4"/>
              </w:rPr>
              <w:t>标准号</w:t>
            </w:r>
          </w:p>
        </w:tc>
        <w:tc>
          <w:tcPr>
            <w:tcW w:w="1210" w:type="dxa"/>
            <w:vAlign w:val="top"/>
          </w:tcPr>
          <w:p w14:paraId="36705293">
            <w:pPr>
              <w:pStyle w:val="6"/>
              <w:spacing w:before="80" w:line="219" w:lineRule="auto"/>
              <w:ind w:left="157"/>
            </w:pPr>
            <w:r>
              <w:rPr>
                <w:b/>
                <w:bCs/>
                <w:spacing w:val="-4"/>
              </w:rPr>
              <w:t>各部分名称</w:t>
            </w:r>
          </w:p>
        </w:tc>
        <w:tc>
          <w:tcPr>
            <w:tcW w:w="2709" w:type="dxa"/>
            <w:vAlign w:val="top"/>
          </w:tcPr>
          <w:p w14:paraId="38E93EBD">
            <w:pPr>
              <w:pStyle w:val="6"/>
              <w:spacing w:before="80" w:line="219" w:lineRule="auto"/>
              <w:ind w:left="967"/>
            </w:pPr>
            <w:r>
              <w:rPr>
                <w:b/>
                <w:bCs/>
                <w:spacing w:val="-4"/>
              </w:rPr>
              <w:t>主要内容</w:t>
            </w:r>
          </w:p>
        </w:tc>
        <w:tc>
          <w:tcPr>
            <w:tcW w:w="3090" w:type="dxa"/>
            <w:tcBorders>
              <w:right w:val="nil"/>
            </w:tcBorders>
            <w:vAlign w:val="top"/>
          </w:tcPr>
          <w:p w14:paraId="447BAE3D">
            <w:pPr>
              <w:pStyle w:val="6"/>
              <w:spacing w:before="80" w:line="220" w:lineRule="auto"/>
              <w:ind w:left="1158"/>
            </w:pPr>
            <w:r>
              <w:rPr>
                <w:b/>
                <w:bCs/>
                <w:spacing w:val="-4"/>
              </w:rPr>
              <w:t>适用范围</w:t>
            </w:r>
          </w:p>
        </w:tc>
      </w:tr>
      <w:tr w14:paraId="75609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8" w:hRule="atLeast"/>
        </w:trPr>
        <w:tc>
          <w:tcPr>
            <w:tcW w:w="1320" w:type="dxa"/>
            <w:tcBorders>
              <w:left w:val="nil"/>
            </w:tcBorders>
            <w:vAlign w:val="top"/>
          </w:tcPr>
          <w:p w14:paraId="3B6878F8">
            <w:pPr>
              <w:spacing w:line="256" w:lineRule="auto"/>
              <w:rPr>
                <w:rFonts w:ascii="Arial"/>
                <w:sz w:val="21"/>
              </w:rPr>
            </w:pPr>
          </w:p>
          <w:p w14:paraId="5B4FBB0B">
            <w:pPr>
              <w:spacing w:line="256" w:lineRule="auto"/>
              <w:rPr>
                <w:rFonts w:ascii="Arial"/>
                <w:sz w:val="21"/>
              </w:rPr>
            </w:pPr>
          </w:p>
          <w:p w14:paraId="0EE09B33">
            <w:pPr>
              <w:spacing w:line="257" w:lineRule="auto"/>
              <w:rPr>
                <w:rFonts w:ascii="Arial"/>
                <w:sz w:val="21"/>
              </w:rPr>
            </w:pPr>
          </w:p>
          <w:p w14:paraId="088C3A17">
            <w:pPr>
              <w:spacing w:line="257" w:lineRule="auto"/>
              <w:rPr>
                <w:rFonts w:ascii="Arial"/>
                <w:sz w:val="21"/>
              </w:rPr>
            </w:pPr>
          </w:p>
          <w:p w14:paraId="7FAAE63E">
            <w:pPr>
              <w:pStyle w:val="6"/>
              <w:spacing w:before="62" w:line="224" w:lineRule="auto"/>
              <w:ind w:left="39"/>
            </w:pPr>
            <w:r>
              <w:rPr>
                <w:spacing w:val="-1"/>
              </w:rPr>
              <w:t>GB/T 25000.22</w:t>
            </w:r>
          </w:p>
        </w:tc>
        <w:tc>
          <w:tcPr>
            <w:tcW w:w="1210" w:type="dxa"/>
            <w:vAlign w:val="top"/>
          </w:tcPr>
          <w:p w14:paraId="3AC6A600">
            <w:pPr>
              <w:spacing w:line="293" w:lineRule="auto"/>
              <w:rPr>
                <w:rFonts w:ascii="Arial"/>
                <w:sz w:val="21"/>
              </w:rPr>
            </w:pPr>
          </w:p>
          <w:p w14:paraId="05D074B1">
            <w:pPr>
              <w:spacing w:line="294" w:lineRule="auto"/>
              <w:rPr>
                <w:rFonts w:ascii="Arial"/>
                <w:sz w:val="21"/>
              </w:rPr>
            </w:pPr>
          </w:p>
          <w:p w14:paraId="332FB510">
            <w:pPr>
              <w:spacing w:line="294" w:lineRule="auto"/>
              <w:rPr>
                <w:rFonts w:ascii="Arial"/>
                <w:sz w:val="21"/>
              </w:rPr>
            </w:pPr>
          </w:p>
          <w:p w14:paraId="5D9B8E0E">
            <w:pPr>
              <w:pStyle w:val="6"/>
              <w:spacing w:before="62" w:line="219" w:lineRule="auto"/>
              <w:ind w:left="14"/>
            </w:pPr>
            <w:r>
              <w:rPr>
                <w:spacing w:val="-1"/>
              </w:rPr>
              <w:t>第22部分：</w:t>
            </w:r>
          </w:p>
          <w:p w14:paraId="51BC13AB">
            <w:pPr>
              <w:pStyle w:val="6"/>
              <w:spacing w:before="64" w:line="219" w:lineRule="auto"/>
              <w:ind w:left="45"/>
            </w:pPr>
            <w:r>
              <w:rPr>
                <w:spacing w:val="-2"/>
              </w:rPr>
              <w:t>使用质量测量</w:t>
            </w:r>
          </w:p>
        </w:tc>
        <w:tc>
          <w:tcPr>
            <w:tcW w:w="2709" w:type="dxa"/>
            <w:vAlign w:val="top"/>
          </w:tcPr>
          <w:p w14:paraId="5F0D0F04">
            <w:pPr>
              <w:spacing w:line="354" w:lineRule="auto"/>
              <w:rPr>
                <w:rFonts w:ascii="Arial"/>
                <w:sz w:val="21"/>
              </w:rPr>
            </w:pPr>
          </w:p>
          <w:p w14:paraId="4ED32B52">
            <w:pPr>
              <w:pStyle w:val="6"/>
              <w:spacing w:before="62" w:line="219" w:lineRule="auto"/>
              <w:ind w:left="14"/>
            </w:pPr>
            <w:r>
              <w:t>该部分提出的使用质量测度主要</w:t>
            </w:r>
          </w:p>
          <w:p w14:paraId="10E0B492">
            <w:pPr>
              <w:pStyle w:val="6"/>
              <w:spacing w:before="54" w:line="219" w:lineRule="auto"/>
              <w:ind w:left="14"/>
            </w:pPr>
            <w:r>
              <w:rPr>
                <w:spacing w:val="-1"/>
              </w:rPr>
              <w:t>在基于真实使用效果的系统与软</w:t>
            </w:r>
          </w:p>
          <w:p w14:paraId="5A251D7A">
            <w:pPr>
              <w:pStyle w:val="6"/>
              <w:spacing w:before="44" w:line="219" w:lineRule="auto"/>
              <w:ind w:left="114"/>
            </w:pPr>
            <w:r>
              <w:rPr>
                <w:spacing w:val="-1"/>
              </w:rPr>
              <w:t>件产品的质量保证和管理中使</w:t>
            </w:r>
          </w:p>
          <w:p w14:paraId="30179F3E">
            <w:pPr>
              <w:pStyle w:val="6"/>
              <w:spacing w:before="54" w:line="219" w:lineRule="auto"/>
              <w:ind w:left="14"/>
            </w:pPr>
            <w:r>
              <w:rPr>
                <w:spacing w:val="-1"/>
              </w:rPr>
              <w:t>用。测量结果的主要用户是软件</w:t>
            </w:r>
          </w:p>
          <w:p w14:paraId="13841430">
            <w:pPr>
              <w:pStyle w:val="6"/>
              <w:spacing w:before="43" w:line="218" w:lineRule="auto"/>
              <w:ind w:left="14"/>
            </w:pPr>
            <w:r>
              <w:rPr>
                <w:spacing w:val="1"/>
              </w:rPr>
              <w:t>与系统开发、获取、评价或维护</w:t>
            </w:r>
          </w:p>
          <w:p w14:paraId="798A48AF">
            <w:pPr>
              <w:pStyle w:val="6"/>
              <w:spacing w:before="47" w:line="219" w:lineRule="auto"/>
              <w:ind w:left="24"/>
            </w:pPr>
            <w:r>
              <w:rPr>
                <w:spacing w:val="5"/>
              </w:rPr>
              <w:t>的管理人员</w:t>
            </w:r>
          </w:p>
        </w:tc>
        <w:tc>
          <w:tcPr>
            <w:tcW w:w="3090" w:type="dxa"/>
            <w:tcBorders>
              <w:right w:val="nil"/>
            </w:tcBorders>
            <w:vAlign w:val="top"/>
          </w:tcPr>
          <w:p w14:paraId="23EB2B4A">
            <w:pPr>
              <w:pStyle w:val="6"/>
              <w:spacing w:before="277" w:line="266" w:lineRule="auto"/>
              <w:ind w:left="16" w:firstLine="100"/>
            </w:pPr>
            <w:r>
              <w:rPr>
                <w:spacing w:val="-1"/>
              </w:rPr>
              <w:t>该部分针对GB/T25000.10所定义之</w:t>
            </w:r>
            <w:r>
              <w:rPr>
                <w:spacing w:val="4"/>
              </w:rPr>
              <w:t xml:space="preserve">  </w:t>
            </w:r>
            <w:r>
              <w:rPr>
                <w:spacing w:val="1"/>
              </w:rPr>
              <w:t>特性的使用质量测度进行了定义，旨</w:t>
            </w:r>
            <w:r>
              <w:rPr>
                <w:spacing w:val="5"/>
              </w:rPr>
              <w:t xml:space="preserve"> </w:t>
            </w:r>
            <w:r>
              <w:rPr>
                <w:spacing w:val="2"/>
              </w:rPr>
              <w:t>在与</w:t>
            </w:r>
            <w:r>
              <w:t>GB</w:t>
            </w:r>
            <w:r>
              <w:rPr>
                <w:spacing w:val="2"/>
              </w:rPr>
              <w:t>/T 25000.10搭配使用。该部</w:t>
            </w:r>
            <w:r>
              <w:rPr>
                <w:spacing w:val="1"/>
              </w:rPr>
              <w:t xml:space="preserve">  </w:t>
            </w:r>
            <w:r>
              <w:rPr>
                <w:spacing w:val="-6"/>
              </w:rPr>
              <w:t>分能与GB/T 25000.30、GB/T 25000.40</w:t>
            </w:r>
          </w:p>
          <w:p w14:paraId="68FFC09A">
            <w:pPr>
              <w:pStyle w:val="6"/>
              <w:spacing w:before="16" w:line="258" w:lineRule="auto"/>
              <w:ind w:left="16" w:right="24" w:firstLine="100"/>
            </w:pPr>
            <w:r>
              <w:t>和GB/T 25000.41等标准结合使</w:t>
            </w:r>
            <w:r>
              <w:rPr>
                <w:spacing w:val="-1"/>
              </w:rPr>
              <w:t>用，</w:t>
            </w:r>
            <w:r>
              <w:t xml:space="preserve"> </w:t>
            </w:r>
            <w:r>
              <w:rPr>
                <w:spacing w:val="-1"/>
              </w:rPr>
              <w:t>并能在产品或系统质量方面更普遍地</w:t>
            </w:r>
            <w:r>
              <w:rPr>
                <w:spacing w:val="3"/>
              </w:rPr>
              <w:t xml:space="preserve"> </w:t>
            </w:r>
            <w:r>
              <w:t>满足用户需要</w:t>
            </w:r>
          </w:p>
        </w:tc>
      </w:tr>
      <w:tr w14:paraId="60CA8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8" w:hRule="atLeast"/>
        </w:trPr>
        <w:tc>
          <w:tcPr>
            <w:tcW w:w="1320" w:type="dxa"/>
            <w:tcBorders>
              <w:left w:val="nil"/>
            </w:tcBorders>
            <w:vAlign w:val="top"/>
          </w:tcPr>
          <w:p w14:paraId="2083B081">
            <w:pPr>
              <w:spacing w:line="254" w:lineRule="auto"/>
              <w:rPr>
                <w:rFonts w:ascii="Arial"/>
                <w:sz w:val="21"/>
              </w:rPr>
            </w:pPr>
          </w:p>
          <w:p w14:paraId="33BC8CB3">
            <w:pPr>
              <w:spacing w:line="254" w:lineRule="auto"/>
              <w:rPr>
                <w:rFonts w:ascii="Arial"/>
                <w:sz w:val="21"/>
              </w:rPr>
            </w:pPr>
          </w:p>
          <w:p w14:paraId="7F8F2B57">
            <w:pPr>
              <w:spacing w:line="255" w:lineRule="auto"/>
              <w:rPr>
                <w:rFonts w:ascii="Arial"/>
                <w:sz w:val="21"/>
              </w:rPr>
            </w:pPr>
          </w:p>
          <w:p w14:paraId="0B74A5B2">
            <w:pPr>
              <w:spacing w:line="255" w:lineRule="auto"/>
              <w:rPr>
                <w:rFonts w:ascii="Arial"/>
                <w:sz w:val="21"/>
              </w:rPr>
            </w:pPr>
          </w:p>
          <w:p w14:paraId="28682465">
            <w:pPr>
              <w:pStyle w:val="6"/>
              <w:spacing w:before="61" w:line="224" w:lineRule="auto"/>
              <w:ind w:left="89"/>
            </w:pPr>
            <w:r>
              <w:rPr>
                <w:spacing w:val="-1"/>
              </w:rPr>
              <w:t>GB/T25000.23</w:t>
            </w:r>
          </w:p>
        </w:tc>
        <w:tc>
          <w:tcPr>
            <w:tcW w:w="1210" w:type="dxa"/>
            <w:vAlign w:val="top"/>
          </w:tcPr>
          <w:p w14:paraId="09128B3C">
            <w:pPr>
              <w:spacing w:line="254" w:lineRule="auto"/>
              <w:rPr>
                <w:rFonts w:ascii="Arial"/>
                <w:sz w:val="21"/>
              </w:rPr>
            </w:pPr>
          </w:p>
          <w:p w14:paraId="0192753A">
            <w:pPr>
              <w:spacing w:line="255" w:lineRule="auto"/>
              <w:rPr>
                <w:rFonts w:ascii="Arial"/>
                <w:sz w:val="21"/>
              </w:rPr>
            </w:pPr>
          </w:p>
          <w:p w14:paraId="486BC298">
            <w:pPr>
              <w:spacing w:line="255" w:lineRule="auto"/>
              <w:rPr>
                <w:rFonts w:ascii="Arial"/>
                <w:sz w:val="21"/>
              </w:rPr>
            </w:pPr>
          </w:p>
          <w:p w14:paraId="78267B92">
            <w:pPr>
              <w:pStyle w:val="6"/>
              <w:spacing w:before="62" w:line="219" w:lineRule="auto"/>
              <w:ind w:left="14"/>
            </w:pPr>
            <w:r>
              <w:rPr>
                <w:spacing w:val="-1"/>
              </w:rPr>
              <w:t>第23部分：</w:t>
            </w:r>
          </w:p>
          <w:p w14:paraId="5A68F5B7">
            <w:pPr>
              <w:pStyle w:val="6"/>
              <w:spacing w:before="33" w:line="270" w:lineRule="auto"/>
              <w:ind w:left="14" w:firstLine="39"/>
            </w:pPr>
            <w:r>
              <w:t>系统与软件产</w:t>
            </w:r>
            <w:r>
              <w:rPr>
                <w:spacing w:val="4"/>
              </w:rPr>
              <w:t xml:space="preserve"> </w:t>
            </w:r>
            <w:r>
              <w:t>品质量测量</w:t>
            </w:r>
          </w:p>
        </w:tc>
        <w:tc>
          <w:tcPr>
            <w:tcW w:w="2709" w:type="dxa"/>
            <w:vAlign w:val="top"/>
          </w:tcPr>
          <w:p w14:paraId="5CF25055">
            <w:pPr>
              <w:spacing w:line="322" w:lineRule="auto"/>
              <w:rPr>
                <w:rFonts w:ascii="Arial"/>
                <w:sz w:val="21"/>
              </w:rPr>
            </w:pPr>
          </w:p>
          <w:p w14:paraId="57738796">
            <w:pPr>
              <w:spacing w:line="323" w:lineRule="auto"/>
              <w:rPr>
                <w:rFonts w:ascii="Arial"/>
                <w:sz w:val="21"/>
              </w:rPr>
            </w:pPr>
          </w:p>
          <w:p w14:paraId="35A7ABEC">
            <w:pPr>
              <w:pStyle w:val="6"/>
              <w:spacing w:before="61" w:line="219" w:lineRule="auto"/>
              <w:ind w:left="64"/>
            </w:pPr>
            <w:r>
              <w:rPr>
                <w:spacing w:val="-1"/>
              </w:rPr>
              <w:t>该部分基于GB/T 25000.10定义</w:t>
            </w:r>
          </w:p>
          <w:p w14:paraId="27E6A6A6">
            <w:pPr>
              <w:pStyle w:val="6"/>
              <w:spacing w:before="44" w:line="219" w:lineRule="auto"/>
              <w:ind w:left="14"/>
            </w:pPr>
            <w:r>
              <w:t>的特性和子特性，规定了用于量</w:t>
            </w:r>
          </w:p>
          <w:p w14:paraId="40CB0DB9">
            <w:pPr>
              <w:pStyle w:val="6"/>
              <w:spacing w:before="42" w:line="218" w:lineRule="auto"/>
              <w:ind w:left="114"/>
            </w:pPr>
            <w:r>
              <w:rPr>
                <w:spacing w:val="1"/>
              </w:rPr>
              <w:t>化评价系统与软件产品质量的</w:t>
            </w:r>
          </w:p>
          <w:p w14:paraId="7F491C8F">
            <w:pPr>
              <w:pStyle w:val="6"/>
              <w:spacing w:before="28" w:line="220" w:lineRule="auto"/>
              <w:ind w:left="44"/>
            </w:pPr>
            <w:r>
              <w:rPr>
                <w:spacing w:val="-3"/>
              </w:rPr>
              <w:t>测度</w:t>
            </w:r>
          </w:p>
        </w:tc>
        <w:tc>
          <w:tcPr>
            <w:tcW w:w="3090" w:type="dxa"/>
            <w:tcBorders>
              <w:right w:val="nil"/>
            </w:tcBorders>
            <w:vAlign w:val="top"/>
          </w:tcPr>
          <w:p w14:paraId="4CE924D0">
            <w:pPr>
              <w:pStyle w:val="6"/>
              <w:spacing w:before="171" w:line="252" w:lineRule="auto"/>
              <w:ind w:left="16" w:right="38" w:firstLine="100"/>
            </w:pPr>
            <w:r>
              <w:rPr>
                <w:spacing w:val="-1"/>
              </w:rPr>
              <w:t>该部分定义的质量测度需要与GB/T</w:t>
            </w:r>
            <w:r>
              <w:rPr>
                <w:spacing w:val="2"/>
              </w:rPr>
              <w:t xml:space="preserve">  </w:t>
            </w:r>
            <w:r>
              <w:rPr>
                <w:spacing w:val="-1"/>
              </w:rPr>
              <w:t>25000.10协同使用，并可以联合系统</w:t>
            </w:r>
            <w:r>
              <w:rPr>
                <w:spacing w:val="9"/>
              </w:rPr>
              <w:t xml:space="preserve"> </w:t>
            </w:r>
            <w:r>
              <w:rPr>
                <w:spacing w:val="5"/>
              </w:rPr>
              <w:t>与软件质量要求和评价(</w:t>
            </w:r>
            <w:r>
              <w:t>SQuaRE</w:t>
            </w:r>
            <w:r>
              <w:rPr>
                <w:spacing w:val="5"/>
              </w:rPr>
              <w:t>)</w:t>
            </w:r>
          </w:p>
          <w:p w14:paraId="46FB7665">
            <w:pPr>
              <w:pStyle w:val="6"/>
              <w:spacing w:before="41" w:line="256" w:lineRule="auto"/>
              <w:ind w:left="16" w:right="85" w:firstLine="49"/>
            </w:pPr>
            <w:r>
              <w:rPr>
                <w:spacing w:val="-1"/>
              </w:rPr>
              <w:t>系列国际标准的质量需求分部(ISO/</w:t>
            </w:r>
            <w:r>
              <w:rPr>
                <w:spacing w:val="5"/>
              </w:rPr>
              <w:t xml:space="preserve"> </w:t>
            </w:r>
            <w:r>
              <w:t>IEC 2503n)及评价分部(ISO/IEC</w:t>
            </w:r>
          </w:p>
          <w:p w14:paraId="67A1835F">
            <w:pPr>
              <w:pStyle w:val="6"/>
              <w:spacing w:line="216" w:lineRule="auto"/>
              <w:ind w:left="65"/>
            </w:pPr>
            <w:r>
              <w:rPr>
                <w:spacing w:val="-1"/>
              </w:rPr>
              <w:t>2504n),以便更广泛地满足用户对于</w:t>
            </w:r>
          </w:p>
          <w:p w14:paraId="59C223C4">
            <w:pPr>
              <w:pStyle w:val="6"/>
              <w:spacing w:before="59" w:line="230" w:lineRule="auto"/>
              <w:ind w:left="45" w:right="103" w:firstLine="70"/>
            </w:pPr>
            <w:r>
              <w:rPr>
                <w:spacing w:val="1"/>
              </w:rPr>
              <w:t>软件产品和系统质量需求的定义与</w:t>
            </w:r>
            <w:r>
              <w:t xml:space="preserve"> </w:t>
            </w:r>
            <w:r>
              <w:rPr>
                <w:spacing w:val="-2"/>
              </w:rPr>
              <w:t>评价</w:t>
            </w:r>
          </w:p>
        </w:tc>
      </w:tr>
      <w:tr w14:paraId="1CD92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8" w:hRule="atLeast"/>
        </w:trPr>
        <w:tc>
          <w:tcPr>
            <w:tcW w:w="1320" w:type="dxa"/>
            <w:tcBorders>
              <w:left w:val="nil"/>
            </w:tcBorders>
            <w:vAlign w:val="top"/>
          </w:tcPr>
          <w:p w14:paraId="4C92D162">
            <w:pPr>
              <w:spacing w:line="300" w:lineRule="auto"/>
              <w:rPr>
                <w:rFonts w:ascii="Arial"/>
                <w:sz w:val="21"/>
              </w:rPr>
            </w:pPr>
          </w:p>
          <w:p w14:paraId="5A57AECD">
            <w:pPr>
              <w:spacing w:line="300" w:lineRule="auto"/>
              <w:rPr>
                <w:rFonts w:ascii="Arial"/>
                <w:sz w:val="21"/>
              </w:rPr>
            </w:pPr>
          </w:p>
          <w:p w14:paraId="281081BF">
            <w:pPr>
              <w:spacing w:line="300" w:lineRule="auto"/>
              <w:rPr>
                <w:rFonts w:ascii="Arial"/>
                <w:sz w:val="21"/>
              </w:rPr>
            </w:pPr>
          </w:p>
          <w:p w14:paraId="7F5D88E9">
            <w:pPr>
              <w:pStyle w:val="6"/>
              <w:spacing w:before="62" w:line="224" w:lineRule="auto"/>
              <w:ind w:left="89"/>
            </w:pPr>
            <w:r>
              <w:rPr>
                <w:spacing w:val="-1"/>
              </w:rPr>
              <w:t>GB/T25000.24</w:t>
            </w:r>
          </w:p>
        </w:tc>
        <w:tc>
          <w:tcPr>
            <w:tcW w:w="1210" w:type="dxa"/>
            <w:vAlign w:val="top"/>
          </w:tcPr>
          <w:p w14:paraId="609CE06F">
            <w:pPr>
              <w:spacing w:line="258" w:lineRule="auto"/>
              <w:rPr>
                <w:rFonts w:ascii="Arial"/>
                <w:sz w:val="21"/>
              </w:rPr>
            </w:pPr>
          </w:p>
          <w:p w14:paraId="7F7A60FA">
            <w:pPr>
              <w:spacing w:line="259" w:lineRule="auto"/>
              <w:rPr>
                <w:rFonts w:ascii="Arial"/>
                <w:sz w:val="21"/>
              </w:rPr>
            </w:pPr>
          </w:p>
          <w:p w14:paraId="38B814C2">
            <w:pPr>
              <w:spacing w:line="259" w:lineRule="auto"/>
              <w:rPr>
                <w:rFonts w:ascii="Arial"/>
                <w:sz w:val="21"/>
              </w:rPr>
            </w:pPr>
          </w:p>
          <w:p w14:paraId="77D8463A">
            <w:pPr>
              <w:pStyle w:val="6"/>
              <w:spacing w:before="62" w:line="219" w:lineRule="auto"/>
              <w:ind w:left="14"/>
            </w:pPr>
            <w:r>
              <w:rPr>
                <w:spacing w:val="-1"/>
              </w:rPr>
              <w:t>第24部分：</w:t>
            </w:r>
          </w:p>
          <w:p w14:paraId="00AC7CAF">
            <w:pPr>
              <w:pStyle w:val="6"/>
              <w:spacing w:before="54" w:line="219" w:lineRule="auto"/>
              <w:ind w:left="35"/>
            </w:pPr>
            <w:r>
              <w:rPr>
                <w:spacing w:val="-2"/>
              </w:rPr>
              <w:t>数据质量测量</w:t>
            </w:r>
          </w:p>
        </w:tc>
        <w:tc>
          <w:tcPr>
            <w:tcW w:w="2709" w:type="dxa"/>
            <w:vAlign w:val="top"/>
          </w:tcPr>
          <w:p w14:paraId="6E8EB2AE">
            <w:pPr>
              <w:pStyle w:val="6"/>
              <w:spacing w:before="150" w:line="265" w:lineRule="auto"/>
              <w:ind w:left="14" w:right="9"/>
              <w:jc w:val="both"/>
            </w:pPr>
            <w:r>
              <w:rPr>
                <w:spacing w:val="-1"/>
              </w:rPr>
              <w:t>该部分包含：①每一个特性的数</w:t>
            </w:r>
            <w:r>
              <w:rPr>
                <w:spacing w:val="2"/>
              </w:rPr>
              <w:t xml:space="preserve"> </w:t>
            </w:r>
            <w:r>
              <w:rPr>
                <w:spacing w:val="-1"/>
              </w:rPr>
              <w:t>据质量测度的基本集合；②在数</w:t>
            </w:r>
            <w:r>
              <w:rPr>
                <w:spacing w:val="6"/>
              </w:rPr>
              <w:t xml:space="preserve"> </w:t>
            </w:r>
            <w:r>
              <w:rPr>
                <w:spacing w:val="1"/>
              </w:rPr>
              <w:t>据生存周期中应用了质量测度的</w:t>
            </w:r>
            <w:r>
              <w:t xml:space="preserve"> 目标实体的基本集合；③对如何</w:t>
            </w:r>
            <w:r>
              <w:rPr>
                <w:spacing w:val="6"/>
              </w:rPr>
              <w:t xml:space="preserve"> </w:t>
            </w:r>
            <w:r>
              <w:rPr>
                <w:spacing w:val="-1"/>
              </w:rPr>
              <w:t>应用数据质量测度的解释；④指</w:t>
            </w:r>
            <w:r>
              <w:rPr>
                <w:spacing w:val="5"/>
              </w:rPr>
              <w:t xml:space="preserve"> </w:t>
            </w:r>
            <w:r>
              <w:rPr>
                <w:spacing w:val="-1"/>
              </w:rPr>
              <w:t>导组织定义自己的针对数据质量</w:t>
            </w:r>
            <w:r>
              <w:t xml:space="preserve"> </w:t>
            </w:r>
            <w:r>
              <w:rPr>
                <w:spacing w:val="5"/>
              </w:rPr>
              <w:t>需求和评价的测度</w:t>
            </w:r>
          </w:p>
        </w:tc>
        <w:tc>
          <w:tcPr>
            <w:tcW w:w="3090" w:type="dxa"/>
            <w:tcBorders>
              <w:right w:val="nil"/>
            </w:tcBorders>
            <w:vAlign w:val="top"/>
          </w:tcPr>
          <w:p w14:paraId="0772F91C">
            <w:pPr>
              <w:spacing w:line="327" w:lineRule="auto"/>
              <w:rPr>
                <w:rFonts w:ascii="Arial"/>
                <w:sz w:val="21"/>
              </w:rPr>
            </w:pPr>
          </w:p>
          <w:p w14:paraId="2619C606">
            <w:pPr>
              <w:spacing w:line="328" w:lineRule="auto"/>
              <w:rPr>
                <w:rFonts w:ascii="Arial"/>
                <w:sz w:val="21"/>
              </w:rPr>
            </w:pPr>
          </w:p>
          <w:p w14:paraId="4E6D089A">
            <w:pPr>
              <w:pStyle w:val="6"/>
              <w:spacing w:before="62" w:line="249" w:lineRule="auto"/>
              <w:ind w:left="16" w:right="6"/>
              <w:jc w:val="both"/>
            </w:pPr>
            <w:r>
              <w:rPr>
                <w:spacing w:val="1"/>
              </w:rPr>
              <w:t>该部分可以应用到用于任何种类应用</w:t>
            </w:r>
            <w:r>
              <w:rPr>
                <w:spacing w:val="5"/>
              </w:rPr>
              <w:t xml:space="preserve"> </w:t>
            </w:r>
            <w:r>
              <w:t>的计算机系统中的、保持结构化格式</w:t>
            </w:r>
            <w:r>
              <w:rPr>
                <w:spacing w:val="6"/>
              </w:rPr>
              <w:t xml:space="preserve"> 的任何种类的数据</w:t>
            </w:r>
          </w:p>
        </w:tc>
      </w:tr>
      <w:tr w14:paraId="5953F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1320" w:type="dxa"/>
            <w:tcBorders>
              <w:left w:val="nil"/>
            </w:tcBorders>
            <w:vAlign w:val="top"/>
          </w:tcPr>
          <w:p w14:paraId="1C9774D9">
            <w:pPr>
              <w:spacing w:line="475" w:lineRule="auto"/>
              <w:rPr>
                <w:rFonts w:ascii="Arial"/>
                <w:sz w:val="21"/>
              </w:rPr>
            </w:pPr>
          </w:p>
          <w:p w14:paraId="4CE4FA80">
            <w:pPr>
              <w:pStyle w:val="6"/>
              <w:spacing w:before="62" w:line="224" w:lineRule="auto"/>
              <w:ind w:left="89"/>
            </w:pPr>
            <w:r>
              <w:rPr>
                <w:spacing w:val="-1"/>
              </w:rPr>
              <w:t>GB/T25000.30</w:t>
            </w:r>
          </w:p>
        </w:tc>
        <w:tc>
          <w:tcPr>
            <w:tcW w:w="1210" w:type="dxa"/>
            <w:vAlign w:val="top"/>
          </w:tcPr>
          <w:p w14:paraId="302D74C2">
            <w:pPr>
              <w:spacing w:line="351" w:lineRule="auto"/>
              <w:rPr>
                <w:rFonts w:ascii="Arial"/>
                <w:sz w:val="21"/>
              </w:rPr>
            </w:pPr>
          </w:p>
          <w:p w14:paraId="7F12491A">
            <w:pPr>
              <w:pStyle w:val="6"/>
              <w:spacing w:before="61" w:line="219" w:lineRule="auto"/>
              <w:ind w:left="14"/>
            </w:pPr>
            <w:r>
              <w:rPr>
                <w:spacing w:val="-1"/>
              </w:rPr>
              <w:t>第30部分：</w:t>
            </w:r>
          </w:p>
          <w:p w14:paraId="6AC96192">
            <w:pPr>
              <w:pStyle w:val="6"/>
              <w:spacing w:before="54" w:line="219" w:lineRule="auto"/>
              <w:ind w:left="35"/>
            </w:pPr>
            <w:r>
              <w:rPr>
                <w:spacing w:val="-2"/>
              </w:rPr>
              <w:t>质量需求框架</w:t>
            </w:r>
          </w:p>
        </w:tc>
        <w:tc>
          <w:tcPr>
            <w:tcW w:w="2709" w:type="dxa"/>
            <w:vAlign w:val="top"/>
          </w:tcPr>
          <w:p w14:paraId="79BD5857">
            <w:pPr>
              <w:pStyle w:val="6"/>
              <w:spacing w:before="155" w:line="256" w:lineRule="auto"/>
              <w:ind w:left="14" w:right="2"/>
              <w:jc w:val="both"/>
            </w:pPr>
            <w:r>
              <w:t>该部分为系统、软件产品及数据</w:t>
            </w:r>
            <w:r>
              <w:rPr>
                <w:spacing w:val="10"/>
              </w:rPr>
              <w:t xml:space="preserve"> </w:t>
            </w:r>
            <w:r>
              <w:rPr>
                <w:spacing w:val="1"/>
              </w:rPr>
              <w:t>提供了质量需求的框架，包括质</w:t>
            </w:r>
            <w:r>
              <w:rPr>
                <w:spacing w:val="6"/>
              </w:rPr>
              <w:t xml:space="preserve"> </w:t>
            </w:r>
            <w:r>
              <w:rPr>
                <w:spacing w:val="-1"/>
              </w:rPr>
              <w:t>量需求的概念及抽取、定义和管</w:t>
            </w:r>
            <w:r>
              <w:rPr>
                <w:spacing w:val="5"/>
              </w:rPr>
              <w:t xml:space="preserve"> </w:t>
            </w:r>
            <w:r>
              <w:rPr>
                <w:spacing w:val="2"/>
              </w:rPr>
              <w:t>控它们的过程和方法</w:t>
            </w:r>
          </w:p>
        </w:tc>
        <w:tc>
          <w:tcPr>
            <w:tcW w:w="3090" w:type="dxa"/>
            <w:tcBorders>
              <w:right w:val="nil"/>
            </w:tcBorders>
            <w:vAlign w:val="top"/>
          </w:tcPr>
          <w:p w14:paraId="496F7844">
            <w:pPr>
              <w:pStyle w:val="6"/>
              <w:spacing w:before="283" w:line="254" w:lineRule="auto"/>
              <w:ind w:left="45" w:firstLine="19"/>
              <w:jc w:val="both"/>
            </w:pPr>
            <w:r>
              <w:rPr>
                <w:spacing w:val="-1"/>
              </w:rPr>
              <w:t>GB/T 25000标准中部分引用的文件，</w:t>
            </w:r>
            <w:r>
              <w:t xml:space="preserve"> </w:t>
            </w:r>
            <w:r>
              <w:rPr>
                <w:spacing w:val="2"/>
              </w:rPr>
              <w:t>其最新版本(包括所有的修改单)适</w:t>
            </w:r>
            <w:r>
              <w:rPr>
                <w:spacing w:val="6"/>
              </w:rPr>
              <w:t xml:space="preserve">  </w:t>
            </w:r>
            <w:r>
              <w:rPr>
                <w:spacing w:val="-3"/>
              </w:rPr>
              <w:t>用于该文件</w:t>
            </w:r>
          </w:p>
        </w:tc>
      </w:tr>
      <w:tr w14:paraId="6200C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2" w:hRule="atLeast"/>
        </w:trPr>
        <w:tc>
          <w:tcPr>
            <w:tcW w:w="1320" w:type="dxa"/>
            <w:tcBorders>
              <w:left w:val="nil"/>
            </w:tcBorders>
            <w:vAlign w:val="top"/>
          </w:tcPr>
          <w:p w14:paraId="6B9414E7">
            <w:pPr>
              <w:spacing w:line="285" w:lineRule="auto"/>
              <w:rPr>
                <w:rFonts w:ascii="Arial"/>
                <w:sz w:val="21"/>
              </w:rPr>
            </w:pPr>
          </w:p>
          <w:p w14:paraId="12E95727">
            <w:pPr>
              <w:spacing w:line="285" w:lineRule="auto"/>
              <w:rPr>
                <w:rFonts w:ascii="Arial"/>
                <w:sz w:val="21"/>
              </w:rPr>
            </w:pPr>
          </w:p>
          <w:p w14:paraId="2A74FB28">
            <w:pPr>
              <w:spacing w:line="286" w:lineRule="auto"/>
              <w:rPr>
                <w:rFonts w:ascii="Arial"/>
                <w:sz w:val="21"/>
              </w:rPr>
            </w:pPr>
          </w:p>
          <w:p w14:paraId="4CBCD2A5">
            <w:pPr>
              <w:spacing w:line="286" w:lineRule="auto"/>
              <w:rPr>
                <w:rFonts w:ascii="Arial"/>
                <w:sz w:val="21"/>
              </w:rPr>
            </w:pPr>
          </w:p>
          <w:p w14:paraId="1C5CF62B">
            <w:pPr>
              <w:pStyle w:val="6"/>
              <w:spacing w:before="62" w:line="224" w:lineRule="auto"/>
              <w:ind w:left="89"/>
            </w:pPr>
            <w:r>
              <w:rPr>
                <w:spacing w:val="-1"/>
              </w:rPr>
              <w:t>GB/T25000.40</w:t>
            </w:r>
          </w:p>
        </w:tc>
        <w:tc>
          <w:tcPr>
            <w:tcW w:w="1210" w:type="dxa"/>
            <w:vAlign w:val="top"/>
          </w:tcPr>
          <w:p w14:paraId="412E59D8">
            <w:pPr>
              <w:spacing w:line="254" w:lineRule="auto"/>
              <w:rPr>
                <w:rFonts w:ascii="Arial"/>
                <w:sz w:val="21"/>
              </w:rPr>
            </w:pPr>
          </w:p>
          <w:p w14:paraId="2B087DE7">
            <w:pPr>
              <w:spacing w:line="254" w:lineRule="auto"/>
              <w:rPr>
                <w:rFonts w:ascii="Arial"/>
                <w:sz w:val="21"/>
              </w:rPr>
            </w:pPr>
          </w:p>
          <w:p w14:paraId="475ACF65">
            <w:pPr>
              <w:spacing w:line="254" w:lineRule="auto"/>
              <w:rPr>
                <w:rFonts w:ascii="Arial"/>
                <w:sz w:val="21"/>
              </w:rPr>
            </w:pPr>
          </w:p>
          <w:p w14:paraId="7E3E9982">
            <w:pPr>
              <w:spacing w:line="255" w:lineRule="auto"/>
              <w:rPr>
                <w:rFonts w:ascii="Arial"/>
                <w:sz w:val="21"/>
              </w:rPr>
            </w:pPr>
          </w:p>
          <w:p w14:paraId="2038F522">
            <w:pPr>
              <w:pStyle w:val="6"/>
              <w:spacing w:before="62" w:line="247" w:lineRule="auto"/>
              <w:ind w:left="14" w:right="239"/>
            </w:pPr>
            <w:r>
              <w:rPr>
                <w:spacing w:val="-1"/>
              </w:rPr>
              <w:t>第40部分：</w:t>
            </w:r>
            <w:r>
              <w:t xml:space="preserve"> </w:t>
            </w:r>
            <w:r>
              <w:rPr>
                <w:spacing w:val="-2"/>
              </w:rPr>
              <w:t>评价过程</w:t>
            </w:r>
          </w:p>
        </w:tc>
        <w:tc>
          <w:tcPr>
            <w:tcW w:w="2709" w:type="dxa"/>
            <w:vAlign w:val="top"/>
          </w:tcPr>
          <w:p w14:paraId="15E18CF4">
            <w:pPr>
              <w:pStyle w:val="6"/>
              <w:spacing w:before="163" w:line="241" w:lineRule="auto"/>
              <w:ind w:left="14" w:right="16"/>
            </w:pPr>
            <w:r>
              <w:rPr>
                <w:spacing w:val="-1"/>
              </w:rPr>
              <w:t>该部分包含了软件产品质量评价</w:t>
            </w:r>
            <w:r>
              <w:rPr>
                <w:spacing w:val="2"/>
              </w:rPr>
              <w:t xml:space="preserve"> </w:t>
            </w:r>
            <w:r>
              <w:t>的要求和建议，并阐明了一般概</w:t>
            </w:r>
          </w:p>
          <w:p w14:paraId="29575D24">
            <w:pPr>
              <w:pStyle w:val="6"/>
              <w:spacing w:before="36" w:line="252" w:lineRule="auto"/>
              <w:ind w:left="14" w:right="30" w:firstLine="100"/>
              <w:jc w:val="right"/>
            </w:pPr>
            <w:r>
              <w:rPr>
                <w:spacing w:val="-1"/>
              </w:rPr>
              <w:t>念。它为评价软件产品质量提</w:t>
            </w:r>
            <w:r>
              <w:rPr>
                <w:spacing w:val="2"/>
              </w:rPr>
              <w:t xml:space="preserve">  </w:t>
            </w:r>
            <w:r>
              <w:rPr>
                <w:spacing w:val="7"/>
              </w:rPr>
              <w:t>供了一个过程描述，并为该过</w:t>
            </w:r>
            <w:r>
              <w:t xml:space="preserve">  </w:t>
            </w:r>
            <w:r>
              <w:rPr>
                <w:spacing w:val="-1"/>
              </w:rPr>
              <w:t>程的应用明确了要求。该部分建</w:t>
            </w:r>
            <w:r>
              <w:rPr>
                <w:spacing w:val="6"/>
              </w:rPr>
              <w:t xml:space="preserve"> </w:t>
            </w:r>
            <w:r>
              <w:rPr>
                <w:spacing w:val="9"/>
              </w:rPr>
              <w:t>立了评价参考模型与</w:t>
            </w:r>
            <w:r>
              <w:t>SQuaRE</w:t>
            </w:r>
            <w:r>
              <w:rPr>
                <w:spacing w:val="9"/>
              </w:rPr>
              <w:t>文</w:t>
            </w:r>
            <w:r>
              <w:t xml:space="preserve">  </w:t>
            </w:r>
            <w:r>
              <w:rPr>
                <w:spacing w:val="-1"/>
              </w:rPr>
              <w:t>档之间的关系，也说明了评价过</w:t>
            </w:r>
            <w:r>
              <w:rPr>
                <w:spacing w:val="4"/>
              </w:rPr>
              <w:t xml:space="preserve"> </w:t>
            </w:r>
            <w:r>
              <w:rPr>
                <w:spacing w:val="1"/>
              </w:rPr>
              <w:t>程的每个活动应如何对应使用</w:t>
            </w:r>
          </w:p>
          <w:p w14:paraId="5C841826">
            <w:pPr>
              <w:pStyle w:val="6"/>
              <w:spacing w:before="53" w:line="219" w:lineRule="auto"/>
              <w:ind w:left="24"/>
            </w:pPr>
            <w:r>
              <w:t>SQuaRE</w:t>
            </w:r>
            <w:r>
              <w:rPr>
                <w:spacing w:val="7"/>
              </w:rPr>
              <w:t>文档</w:t>
            </w:r>
          </w:p>
        </w:tc>
        <w:tc>
          <w:tcPr>
            <w:tcW w:w="3090" w:type="dxa"/>
            <w:tcBorders>
              <w:right w:val="nil"/>
            </w:tcBorders>
            <w:vAlign w:val="top"/>
          </w:tcPr>
          <w:p w14:paraId="4385E0B6">
            <w:pPr>
              <w:pStyle w:val="6"/>
              <w:spacing w:before="299" w:line="254" w:lineRule="auto"/>
              <w:ind w:left="16" w:right="6" w:firstLine="100"/>
            </w:pPr>
            <w:r>
              <w:rPr>
                <w:spacing w:val="-1"/>
              </w:rPr>
              <w:t>该部分主要适合于软件产品的开发</w:t>
            </w:r>
            <w:r>
              <w:rPr>
                <w:spacing w:val="1"/>
              </w:rPr>
              <w:t xml:space="preserve">  </w:t>
            </w:r>
            <w:r>
              <w:rPr>
                <w:spacing w:val="-1"/>
              </w:rPr>
              <w:t>方、需方以及独立评价方。评价过程</w:t>
            </w:r>
            <w:r>
              <w:rPr>
                <w:spacing w:val="6"/>
              </w:rPr>
              <w:t xml:space="preserve"> </w:t>
            </w:r>
            <w:r>
              <w:rPr>
                <w:spacing w:val="1"/>
              </w:rPr>
              <w:t>可用于不同的目的和方法。该过程用</w:t>
            </w:r>
            <w:r>
              <w:rPr>
                <w:spacing w:val="5"/>
              </w:rPr>
              <w:t xml:space="preserve"> </w:t>
            </w:r>
            <w:r>
              <w:rPr>
                <w:spacing w:val="1"/>
              </w:rPr>
              <w:t>于预开发软件、商业现货软件或定制</w:t>
            </w:r>
            <w:r>
              <w:t xml:space="preserve"> </w:t>
            </w:r>
            <w:r>
              <w:rPr>
                <w:spacing w:val="-1"/>
              </w:rPr>
              <w:t>软件的质量评价，也可用于开发过程</w:t>
            </w:r>
            <w:r>
              <w:rPr>
                <w:spacing w:val="5"/>
              </w:rPr>
              <w:t xml:space="preserve"> </w:t>
            </w:r>
            <w:r>
              <w:rPr>
                <w:spacing w:val="-1"/>
              </w:rPr>
              <w:t>期间或开发之后。该部分不用于软件</w:t>
            </w:r>
            <w:r>
              <w:rPr>
                <w:spacing w:val="5"/>
              </w:rPr>
              <w:t xml:space="preserve"> </w:t>
            </w:r>
            <w:r>
              <w:rPr>
                <w:spacing w:val="2"/>
              </w:rPr>
              <w:t>产品其他方面(如功能性需求、过程</w:t>
            </w:r>
            <w:r>
              <w:rPr>
                <w:spacing w:val="4"/>
              </w:rPr>
              <w:t xml:space="preserve">  需求、业务需求等)的评价</w:t>
            </w:r>
          </w:p>
        </w:tc>
      </w:tr>
    </w:tbl>
    <w:p w14:paraId="06C2ACB4">
      <w:pPr>
        <w:rPr>
          <w:rFonts w:ascii="Arial"/>
          <w:sz w:val="21"/>
        </w:rPr>
      </w:pPr>
    </w:p>
    <w:p w14:paraId="2916AE62">
      <w:pPr>
        <w:rPr>
          <w:rFonts w:ascii="Arial" w:hAnsi="Arial" w:eastAsia="Arial" w:cs="Arial"/>
          <w:sz w:val="21"/>
          <w:szCs w:val="21"/>
        </w:rPr>
        <w:sectPr>
          <w:pgSz w:w="10300" w:h="13410"/>
          <w:pgMar w:top="369" w:right="1028" w:bottom="400" w:left="520" w:header="0" w:footer="0" w:gutter="0"/>
          <w:cols w:space="720" w:num="1"/>
        </w:sectPr>
      </w:pPr>
    </w:p>
    <w:p w14:paraId="0B673E0E">
      <w:pPr>
        <w:pStyle w:val="2"/>
        <w:spacing w:before="56" w:line="219" w:lineRule="auto"/>
        <w:jc w:val="right"/>
        <w:rPr>
          <w:rFonts w:ascii="Times New Roman" w:hAnsi="Times New Roman" w:eastAsia="Times New Roman" w:cs="Times New Roman"/>
          <w:sz w:val="19"/>
          <w:szCs w:val="19"/>
        </w:rPr>
      </w:pPr>
      <w:r>
        <w:rPr>
          <w:spacing w:val="2"/>
          <w:sz w:val="19"/>
          <w:szCs w:val="19"/>
        </w:rPr>
        <w:t>第19章 监理支撑要素</w:t>
      </w:r>
      <w:r>
        <w:rPr>
          <w:spacing w:val="8"/>
          <w:sz w:val="19"/>
          <w:szCs w:val="19"/>
        </w:rPr>
        <w:t xml:space="preserve">      </w:t>
      </w:r>
      <w:r>
        <w:rPr>
          <w:rFonts w:ascii="Times New Roman" w:hAnsi="Times New Roman" w:eastAsia="Times New Roman" w:cs="Times New Roman"/>
          <w:b/>
          <w:bCs/>
          <w:spacing w:val="2"/>
          <w:sz w:val="19"/>
          <w:szCs w:val="19"/>
        </w:rPr>
        <w:t>419</w:t>
      </w:r>
    </w:p>
    <w:p w14:paraId="4EBE132C">
      <w:pPr>
        <w:spacing w:line="282" w:lineRule="auto"/>
        <w:rPr>
          <w:rFonts w:ascii="Arial"/>
          <w:sz w:val="21"/>
        </w:rPr>
      </w:pPr>
    </w:p>
    <w:p w14:paraId="6C2A2F48">
      <w:pPr>
        <w:pStyle w:val="2"/>
        <w:spacing w:before="62" w:line="220" w:lineRule="auto"/>
        <w:ind w:left="7799"/>
        <w:rPr>
          <w:sz w:val="19"/>
          <w:szCs w:val="19"/>
        </w:rPr>
      </w:pPr>
      <w:r>
        <w:rPr>
          <w:sz w:val="19"/>
          <w:szCs w:val="19"/>
        </w:rPr>
        <w:t>(续表)</w:t>
      </w:r>
    </w:p>
    <w:p w14:paraId="247AA89D">
      <w:pPr>
        <w:spacing w:line="50" w:lineRule="exact"/>
      </w:pPr>
    </w:p>
    <w:tbl>
      <w:tblPr>
        <w:tblStyle w:val="5"/>
        <w:tblW w:w="834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0"/>
        <w:gridCol w:w="1220"/>
        <w:gridCol w:w="2720"/>
        <w:gridCol w:w="3053"/>
      </w:tblGrid>
      <w:tr w14:paraId="4482C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1350" w:type="dxa"/>
            <w:tcBorders>
              <w:left w:val="nil"/>
            </w:tcBorders>
            <w:vAlign w:val="top"/>
          </w:tcPr>
          <w:p w14:paraId="5935D9F1">
            <w:pPr>
              <w:pStyle w:val="6"/>
              <w:spacing w:before="80" w:line="220" w:lineRule="auto"/>
              <w:ind w:left="392"/>
            </w:pPr>
            <w:r>
              <w:rPr>
                <w:b/>
                <w:bCs/>
                <w:spacing w:val="-4"/>
              </w:rPr>
              <w:t>标准号</w:t>
            </w:r>
          </w:p>
        </w:tc>
        <w:tc>
          <w:tcPr>
            <w:tcW w:w="1220" w:type="dxa"/>
            <w:vAlign w:val="top"/>
          </w:tcPr>
          <w:p w14:paraId="5A4AB7B9">
            <w:pPr>
              <w:pStyle w:val="6"/>
              <w:spacing w:before="80" w:line="219" w:lineRule="auto"/>
              <w:ind w:left="127"/>
            </w:pPr>
            <w:r>
              <w:rPr>
                <w:b/>
                <w:bCs/>
                <w:spacing w:val="-4"/>
              </w:rPr>
              <w:t>各部分名称</w:t>
            </w:r>
          </w:p>
        </w:tc>
        <w:tc>
          <w:tcPr>
            <w:tcW w:w="2720" w:type="dxa"/>
            <w:vAlign w:val="top"/>
          </w:tcPr>
          <w:p w14:paraId="10C4B3B3">
            <w:pPr>
              <w:pStyle w:val="6"/>
              <w:spacing w:before="80" w:line="219" w:lineRule="auto"/>
              <w:ind w:left="977"/>
            </w:pPr>
            <w:r>
              <w:rPr>
                <w:b/>
                <w:bCs/>
                <w:spacing w:val="-4"/>
              </w:rPr>
              <w:t>主要内容</w:t>
            </w:r>
          </w:p>
        </w:tc>
        <w:tc>
          <w:tcPr>
            <w:tcW w:w="3053" w:type="dxa"/>
            <w:tcBorders>
              <w:right w:val="nil"/>
            </w:tcBorders>
            <w:vAlign w:val="top"/>
          </w:tcPr>
          <w:p w14:paraId="6BB6BFC5">
            <w:pPr>
              <w:pStyle w:val="6"/>
              <w:spacing w:before="80" w:line="220" w:lineRule="auto"/>
              <w:ind w:left="1137"/>
            </w:pPr>
            <w:r>
              <w:rPr>
                <w:b/>
                <w:bCs/>
                <w:spacing w:val="-4"/>
              </w:rPr>
              <w:t>适用范围</w:t>
            </w:r>
          </w:p>
        </w:tc>
      </w:tr>
      <w:tr w14:paraId="2BE91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7" w:hRule="atLeast"/>
        </w:trPr>
        <w:tc>
          <w:tcPr>
            <w:tcW w:w="1350" w:type="dxa"/>
            <w:tcBorders>
              <w:left w:val="nil"/>
            </w:tcBorders>
            <w:vAlign w:val="top"/>
          </w:tcPr>
          <w:p w14:paraId="743AB8FF">
            <w:pPr>
              <w:spacing w:line="272" w:lineRule="auto"/>
              <w:rPr>
                <w:rFonts w:ascii="Arial"/>
                <w:sz w:val="21"/>
              </w:rPr>
            </w:pPr>
          </w:p>
          <w:p w14:paraId="016D023C">
            <w:pPr>
              <w:spacing w:line="272" w:lineRule="auto"/>
              <w:rPr>
                <w:rFonts w:ascii="Arial"/>
                <w:sz w:val="21"/>
              </w:rPr>
            </w:pPr>
          </w:p>
          <w:p w14:paraId="5F7FC73D">
            <w:pPr>
              <w:spacing w:line="273" w:lineRule="auto"/>
              <w:rPr>
                <w:rFonts w:ascii="Arial"/>
                <w:sz w:val="21"/>
              </w:rPr>
            </w:pPr>
          </w:p>
          <w:p w14:paraId="2391D81B">
            <w:pPr>
              <w:spacing w:line="273" w:lineRule="auto"/>
              <w:rPr>
                <w:rFonts w:ascii="Arial"/>
                <w:sz w:val="21"/>
              </w:rPr>
            </w:pPr>
          </w:p>
          <w:p w14:paraId="6AEEB4D8">
            <w:pPr>
              <w:spacing w:line="273" w:lineRule="auto"/>
              <w:rPr>
                <w:rFonts w:ascii="Arial"/>
                <w:sz w:val="21"/>
              </w:rPr>
            </w:pPr>
          </w:p>
          <w:p w14:paraId="0D6A1E09">
            <w:pPr>
              <w:pStyle w:val="6"/>
              <w:spacing w:before="61" w:line="224" w:lineRule="auto"/>
              <w:ind w:left="50"/>
            </w:pPr>
            <w:r>
              <w:rPr>
                <w:spacing w:val="-2"/>
              </w:rPr>
              <w:t>GB/T</w:t>
            </w:r>
            <w:r>
              <w:rPr>
                <w:spacing w:val="48"/>
              </w:rPr>
              <w:t xml:space="preserve"> </w:t>
            </w:r>
            <w:r>
              <w:rPr>
                <w:spacing w:val="-2"/>
              </w:rPr>
              <w:t>25000.41</w:t>
            </w:r>
          </w:p>
        </w:tc>
        <w:tc>
          <w:tcPr>
            <w:tcW w:w="1220" w:type="dxa"/>
            <w:vAlign w:val="top"/>
          </w:tcPr>
          <w:p w14:paraId="33DCAFDA">
            <w:pPr>
              <w:rPr>
                <w:rFonts w:ascii="Arial"/>
                <w:sz w:val="21"/>
              </w:rPr>
            </w:pPr>
          </w:p>
          <w:p w14:paraId="70A679E4">
            <w:pPr>
              <w:rPr>
                <w:rFonts w:ascii="Arial"/>
                <w:sz w:val="21"/>
              </w:rPr>
            </w:pPr>
          </w:p>
          <w:p w14:paraId="0B32C818">
            <w:pPr>
              <w:rPr>
                <w:rFonts w:ascii="Arial"/>
                <w:sz w:val="21"/>
              </w:rPr>
            </w:pPr>
          </w:p>
          <w:p w14:paraId="323C5805">
            <w:pPr>
              <w:rPr>
                <w:rFonts w:ascii="Arial"/>
                <w:sz w:val="21"/>
              </w:rPr>
            </w:pPr>
          </w:p>
          <w:p w14:paraId="792EA41D">
            <w:pPr>
              <w:pStyle w:val="6"/>
              <w:spacing w:before="62" w:line="219" w:lineRule="auto"/>
              <w:ind w:left="34"/>
            </w:pPr>
            <w:r>
              <w:rPr>
                <w:spacing w:val="-1"/>
              </w:rPr>
              <w:t>第41部分：</w:t>
            </w:r>
          </w:p>
          <w:p w14:paraId="682F9B07">
            <w:pPr>
              <w:pStyle w:val="6"/>
              <w:spacing w:before="44" w:line="262" w:lineRule="auto"/>
              <w:ind w:left="15" w:right="43" w:firstLine="19"/>
            </w:pPr>
            <w:r>
              <w:rPr>
                <w:spacing w:val="-2"/>
              </w:rPr>
              <w:t>开发方、需方</w:t>
            </w:r>
            <w:r>
              <w:rPr>
                <w:spacing w:val="2"/>
              </w:rPr>
              <w:t xml:space="preserve"> </w:t>
            </w:r>
            <w:r>
              <w:rPr>
                <w:spacing w:val="1"/>
              </w:rPr>
              <w:t>和独立评价方</w:t>
            </w:r>
            <w:r>
              <w:rPr>
                <w:spacing w:val="4"/>
              </w:rPr>
              <w:t xml:space="preserve"> </w:t>
            </w:r>
            <w:r>
              <w:rPr>
                <w:spacing w:val="-2"/>
              </w:rPr>
              <w:t>评价指南</w:t>
            </w:r>
          </w:p>
        </w:tc>
        <w:tc>
          <w:tcPr>
            <w:tcW w:w="2720" w:type="dxa"/>
            <w:vAlign w:val="top"/>
          </w:tcPr>
          <w:p w14:paraId="38DC1B1D">
            <w:pPr>
              <w:spacing w:line="346" w:lineRule="auto"/>
              <w:rPr>
                <w:rFonts w:ascii="Arial"/>
                <w:sz w:val="21"/>
              </w:rPr>
            </w:pPr>
          </w:p>
          <w:p w14:paraId="28FBD2EE">
            <w:pPr>
              <w:spacing w:line="346" w:lineRule="auto"/>
              <w:rPr>
                <w:rFonts w:ascii="Arial"/>
                <w:sz w:val="21"/>
              </w:rPr>
            </w:pPr>
          </w:p>
          <w:p w14:paraId="33F3B479">
            <w:pPr>
              <w:pStyle w:val="6"/>
              <w:spacing w:before="62" w:line="260" w:lineRule="auto"/>
              <w:ind w:left="14" w:right="16" w:firstLine="9"/>
              <w:jc w:val="both"/>
            </w:pPr>
            <w:r>
              <w:rPr>
                <w:spacing w:val="-1"/>
              </w:rPr>
              <w:t>该部分提供了软件产品质量评价</w:t>
            </w:r>
            <w:r>
              <w:rPr>
                <w:spacing w:val="2"/>
              </w:rPr>
              <w:t xml:space="preserve"> </w:t>
            </w:r>
            <w:r>
              <w:rPr>
                <w:spacing w:val="1"/>
              </w:rPr>
              <w:t>的要求、建议和指南。该部分提</w:t>
            </w:r>
            <w:r>
              <w:rPr>
                <w:spacing w:val="3"/>
              </w:rPr>
              <w:t xml:space="preserve"> </w:t>
            </w:r>
            <w:r>
              <w:t>供了对软件产品质量评价的过程</w:t>
            </w:r>
            <w:r>
              <w:rPr>
                <w:spacing w:val="1"/>
              </w:rPr>
              <w:t xml:space="preserve"> </w:t>
            </w:r>
            <w:r>
              <w:t>描述，并从开发方、需方和独立 评价方的视角陈述了应用评价过</w:t>
            </w:r>
            <w:r>
              <w:rPr>
                <w:spacing w:val="2"/>
              </w:rPr>
              <w:t xml:space="preserve"> </w:t>
            </w:r>
            <w:r>
              <w:rPr>
                <w:spacing w:val="-1"/>
              </w:rPr>
              <w:t>程的具体要求</w:t>
            </w:r>
          </w:p>
        </w:tc>
        <w:tc>
          <w:tcPr>
            <w:tcW w:w="3053" w:type="dxa"/>
            <w:tcBorders>
              <w:right w:val="nil"/>
            </w:tcBorders>
            <w:vAlign w:val="top"/>
          </w:tcPr>
          <w:p w14:paraId="0C942111">
            <w:pPr>
              <w:pStyle w:val="6"/>
              <w:spacing w:before="82" w:line="261" w:lineRule="auto"/>
              <w:ind w:left="14" w:firstLine="19"/>
              <w:jc w:val="both"/>
            </w:pPr>
            <w:r>
              <w:rPr>
                <w:spacing w:val="-2"/>
              </w:rPr>
              <w:t>该部分不限于任何特定的应用领域，</w:t>
            </w:r>
            <w:r>
              <w:rPr>
                <w:spacing w:val="4"/>
              </w:rPr>
              <w:t xml:space="preserve"> </w:t>
            </w:r>
            <w:r>
              <w:rPr>
                <w:spacing w:val="-5"/>
              </w:rPr>
              <w:t>可用于任何类型软件产品的质量评价</w:t>
            </w:r>
            <w:r>
              <w:t xml:space="preserve"> </w:t>
            </w:r>
            <w:r>
              <w:rPr>
                <w:spacing w:val="-5"/>
              </w:rPr>
              <w:t>方。评价过程可用于不同的目的和方</w:t>
            </w:r>
            <w:r>
              <w:t xml:space="preserve"> </w:t>
            </w:r>
            <w:r>
              <w:rPr>
                <w:spacing w:val="-5"/>
              </w:rPr>
              <w:t>法，也可用于预开发软件、商业现货</w:t>
            </w:r>
            <w:r>
              <w:t xml:space="preserve"> </w:t>
            </w:r>
            <w:r>
              <w:rPr>
                <w:spacing w:val="-12"/>
              </w:rPr>
              <w:t>软件或定制软件的软件产品质量评价，</w:t>
            </w:r>
            <w:r>
              <w:rPr>
                <w:spacing w:val="6"/>
              </w:rPr>
              <w:t xml:space="preserve"> </w:t>
            </w:r>
            <w:r>
              <w:rPr>
                <w:spacing w:val="-1"/>
              </w:rPr>
              <w:t>并可用于开发过程期间或开发之后。</w:t>
            </w:r>
            <w:r>
              <w:rPr>
                <w:spacing w:val="8"/>
              </w:rPr>
              <w:t xml:space="preserve"> </w:t>
            </w:r>
            <w:r>
              <w:rPr>
                <w:spacing w:val="-6"/>
              </w:rPr>
              <w:t>该部分旨在供负责软件产品质量评价</w:t>
            </w:r>
            <w:r>
              <w:rPr>
                <w:spacing w:val="14"/>
              </w:rPr>
              <w:t xml:space="preserve"> </w:t>
            </w:r>
            <w:r>
              <w:rPr>
                <w:spacing w:val="-12"/>
              </w:rPr>
              <w:t>的人员使用，并适用于产品的开发方、</w:t>
            </w:r>
            <w:r>
              <w:rPr>
                <w:spacing w:val="6"/>
              </w:rPr>
              <w:t xml:space="preserve"> </w:t>
            </w:r>
            <w:r>
              <w:rPr>
                <w:spacing w:val="-6"/>
              </w:rPr>
              <w:t>需方和独立评价方。该部分不适用于</w:t>
            </w:r>
            <w:r>
              <w:rPr>
                <w:spacing w:val="3"/>
              </w:rPr>
              <w:t xml:space="preserve">  软件产品其他方面(如功能性需求、</w:t>
            </w:r>
            <w:r>
              <w:rPr>
                <w:spacing w:val="2"/>
              </w:rPr>
              <w:t xml:space="preserve"> </w:t>
            </w:r>
            <w:r>
              <w:rPr>
                <w:spacing w:val="-3"/>
              </w:rPr>
              <w:t>过程需求、业务需求等)的评价</w:t>
            </w:r>
          </w:p>
        </w:tc>
      </w:tr>
      <w:tr w14:paraId="598DA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7" w:hRule="atLeast"/>
        </w:trPr>
        <w:tc>
          <w:tcPr>
            <w:tcW w:w="1350" w:type="dxa"/>
            <w:tcBorders>
              <w:left w:val="nil"/>
            </w:tcBorders>
            <w:vAlign w:val="top"/>
          </w:tcPr>
          <w:p w14:paraId="1BDABA59">
            <w:pPr>
              <w:spacing w:line="243" w:lineRule="auto"/>
              <w:rPr>
                <w:rFonts w:ascii="Arial"/>
                <w:sz w:val="21"/>
              </w:rPr>
            </w:pPr>
          </w:p>
          <w:p w14:paraId="589D4FDC">
            <w:pPr>
              <w:spacing w:line="243" w:lineRule="auto"/>
              <w:rPr>
                <w:rFonts w:ascii="Arial"/>
                <w:sz w:val="21"/>
              </w:rPr>
            </w:pPr>
          </w:p>
          <w:p w14:paraId="2C37B573">
            <w:pPr>
              <w:spacing w:line="243" w:lineRule="auto"/>
              <w:rPr>
                <w:rFonts w:ascii="Arial"/>
                <w:sz w:val="21"/>
              </w:rPr>
            </w:pPr>
          </w:p>
          <w:p w14:paraId="7F644B6D">
            <w:pPr>
              <w:spacing w:line="244" w:lineRule="auto"/>
              <w:rPr>
                <w:rFonts w:ascii="Arial"/>
                <w:sz w:val="21"/>
              </w:rPr>
            </w:pPr>
          </w:p>
          <w:p w14:paraId="1FAB7A22">
            <w:pPr>
              <w:spacing w:line="244" w:lineRule="auto"/>
              <w:rPr>
                <w:rFonts w:ascii="Arial"/>
                <w:sz w:val="21"/>
              </w:rPr>
            </w:pPr>
          </w:p>
          <w:p w14:paraId="30F53C74">
            <w:pPr>
              <w:pStyle w:val="6"/>
              <w:spacing w:before="61" w:line="224" w:lineRule="auto"/>
              <w:ind w:left="50"/>
            </w:pPr>
            <w:r>
              <w:rPr>
                <w:spacing w:val="-2"/>
              </w:rPr>
              <w:t>GB/T</w:t>
            </w:r>
            <w:r>
              <w:rPr>
                <w:spacing w:val="40"/>
              </w:rPr>
              <w:t xml:space="preserve"> </w:t>
            </w:r>
            <w:r>
              <w:rPr>
                <w:spacing w:val="-2"/>
              </w:rPr>
              <w:t>25000.45</w:t>
            </w:r>
          </w:p>
        </w:tc>
        <w:tc>
          <w:tcPr>
            <w:tcW w:w="1220" w:type="dxa"/>
            <w:vAlign w:val="top"/>
          </w:tcPr>
          <w:p w14:paraId="38D7FEAB">
            <w:pPr>
              <w:rPr>
                <w:rFonts w:ascii="Arial"/>
                <w:sz w:val="21"/>
              </w:rPr>
            </w:pPr>
          </w:p>
          <w:p w14:paraId="019C7FBA">
            <w:pPr>
              <w:spacing w:line="241" w:lineRule="auto"/>
              <w:rPr>
                <w:rFonts w:ascii="Arial"/>
                <w:sz w:val="21"/>
              </w:rPr>
            </w:pPr>
          </w:p>
          <w:p w14:paraId="66F304E5">
            <w:pPr>
              <w:spacing w:line="241" w:lineRule="auto"/>
              <w:rPr>
                <w:rFonts w:ascii="Arial"/>
                <w:sz w:val="21"/>
              </w:rPr>
            </w:pPr>
          </w:p>
          <w:p w14:paraId="306FCD3D">
            <w:pPr>
              <w:spacing w:line="241" w:lineRule="auto"/>
              <w:rPr>
                <w:rFonts w:ascii="Arial"/>
                <w:sz w:val="21"/>
              </w:rPr>
            </w:pPr>
          </w:p>
          <w:p w14:paraId="2809D37B">
            <w:pPr>
              <w:pStyle w:val="6"/>
              <w:spacing w:before="62" w:line="219" w:lineRule="auto"/>
              <w:ind w:left="15"/>
            </w:pPr>
            <w:r>
              <w:rPr>
                <w:spacing w:val="-1"/>
              </w:rPr>
              <w:t>第45部分：</w:t>
            </w:r>
          </w:p>
          <w:p w14:paraId="22E79F77">
            <w:pPr>
              <w:pStyle w:val="6"/>
              <w:spacing w:before="35" w:line="256" w:lineRule="auto"/>
              <w:ind w:left="43" w:right="27" w:hanging="9"/>
            </w:pPr>
            <w:r>
              <w:rPr>
                <w:spacing w:val="1"/>
              </w:rPr>
              <w:t>易恢复性的评</w:t>
            </w:r>
            <w:r>
              <w:t xml:space="preserve"> </w:t>
            </w:r>
            <w:r>
              <w:rPr>
                <w:spacing w:val="-2"/>
              </w:rPr>
              <w:t>价模块</w:t>
            </w:r>
          </w:p>
        </w:tc>
        <w:tc>
          <w:tcPr>
            <w:tcW w:w="2720" w:type="dxa"/>
            <w:vAlign w:val="top"/>
          </w:tcPr>
          <w:p w14:paraId="1EFAD18E">
            <w:pPr>
              <w:pStyle w:val="6"/>
              <w:spacing w:before="50" w:line="261" w:lineRule="auto"/>
              <w:ind w:left="24"/>
              <w:jc w:val="both"/>
            </w:pPr>
            <w:r>
              <w:rPr>
                <w:spacing w:val="-6"/>
              </w:rPr>
              <w:t>该部分提供了软件产品易恢复性</w:t>
            </w:r>
            <w:r>
              <w:rPr>
                <w:spacing w:val="2"/>
              </w:rPr>
              <w:t xml:space="preserve">  </w:t>
            </w:r>
            <w:r>
              <w:rPr>
                <w:spacing w:val="-4"/>
              </w:rPr>
              <w:t>质量评价的评价方法、过程、测</w:t>
            </w:r>
            <w:r>
              <w:rPr>
                <w:spacing w:val="1"/>
              </w:rPr>
              <w:t xml:space="preserve">  </w:t>
            </w:r>
            <w:r>
              <w:rPr>
                <w:spacing w:val="-6"/>
              </w:rPr>
              <w:t>度和结果说明。采用干扰注入方</w:t>
            </w:r>
            <w:r>
              <w:rPr>
                <w:spacing w:val="4"/>
              </w:rPr>
              <w:t xml:space="preserve">  </w:t>
            </w:r>
            <w:r>
              <w:rPr>
                <w:spacing w:val="-4"/>
              </w:rPr>
              <w:t>法和基于常见类别的操作故障和</w:t>
            </w:r>
            <w:r>
              <w:rPr>
                <w:spacing w:val="1"/>
              </w:rPr>
              <w:t xml:space="preserve">  </w:t>
            </w:r>
            <w:r>
              <w:rPr>
                <w:spacing w:val="-4"/>
              </w:rPr>
              <w:t>事件的干扰列表来评价承受力的</w:t>
            </w:r>
            <w:r>
              <w:t xml:space="preserve">  </w:t>
            </w:r>
            <w:r>
              <w:rPr>
                <w:spacing w:val="-6"/>
              </w:rPr>
              <w:t>质量测度。应用基于对每种干扰</w:t>
            </w:r>
            <w:r>
              <w:rPr>
                <w:spacing w:val="3"/>
              </w:rPr>
              <w:t xml:space="preserve">  </w:t>
            </w:r>
            <w:r>
              <w:rPr>
                <w:spacing w:val="-5"/>
              </w:rPr>
              <w:t>定义一组问题集，通过评估系统</w:t>
            </w:r>
            <w:r>
              <w:rPr>
                <w:spacing w:val="5"/>
              </w:rPr>
              <w:t xml:space="preserve">  </w:t>
            </w:r>
            <w:r>
              <w:rPr>
                <w:spacing w:val="1"/>
              </w:rPr>
              <w:t>在没有人为干预的情况下检测、</w:t>
            </w:r>
            <w:r>
              <w:rPr>
                <w:spacing w:val="10"/>
              </w:rPr>
              <w:t xml:space="preserve"> </w:t>
            </w:r>
            <w:r>
              <w:rPr>
                <w:spacing w:val="-6"/>
              </w:rPr>
              <w:t>分析和解决干扰的程度，来评价</w:t>
            </w:r>
            <w:r>
              <w:rPr>
                <w:spacing w:val="2"/>
              </w:rPr>
              <w:t xml:space="preserve">  </w:t>
            </w:r>
            <w:r>
              <w:t>自主恢复指数的质量的测度</w:t>
            </w:r>
          </w:p>
        </w:tc>
        <w:tc>
          <w:tcPr>
            <w:tcW w:w="3053" w:type="dxa"/>
            <w:tcBorders>
              <w:right w:val="nil"/>
            </w:tcBorders>
            <w:vAlign w:val="top"/>
          </w:tcPr>
          <w:p w14:paraId="1F2F5ECF">
            <w:pPr>
              <w:spacing w:line="278" w:lineRule="auto"/>
              <w:rPr>
                <w:rFonts w:ascii="Arial"/>
                <w:sz w:val="21"/>
              </w:rPr>
            </w:pPr>
          </w:p>
          <w:p w14:paraId="5AFFA145">
            <w:pPr>
              <w:spacing w:line="279" w:lineRule="auto"/>
              <w:rPr>
                <w:rFonts w:ascii="Arial"/>
                <w:sz w:val="21"/>
              </w:rPr>
            </w:pPr>
          </w:p>
          <w:p w14:paraId="60CA2234">
            <w:pPr>
              <w:pStyle w:val="6"/>
              <w:spacing w:before="62" w:line="259" w:lineRule="auto"/>
              <w:ind w:left="14" w:firstLine="20"/>
            </w:pPr>
            <w:r>
              <w:rPr>
                <w:spacing w:val="1"/>
              </w:rPr>
              <w:t>适用于软件产品(包括中间工作产品</w:t>
            </w:r>
            <w:r>
              <w:rPr>
                <w:spacing w:val="7"/>
              </w:rPr>
              <w:t xml:space="preserve"> </w:t>
            </w:r>
            <w:r>
              <w:rPr>
                <w:spacing w:val="2"/>
              </w:rPr>
              <w:t>和最终产品)、支持单个或多个并发</w:t>
            </w:r>
            <w:r>
              <w:t xml:space="preserve"> </w:t>
            </w:r>
            <w:r>
              <w:rPr>
                <w:spacing w:val="4"/>
              </w:rPr>
              <w:t>用户的交易系统的易恢复性质量评</w:t>
            </w:r>
            <w:r>
              <w:t xml:space="preserve">  </w:t>
            </w:r>
            <w:r>
              <w:rPr>
                <w:spacing w:val="-1"/>
              </w:rPr>
              <w:t>价。该部分旨在供负责软件产品质量</w:t>
            </w:r>
            <w:r>
              <w:rPr>
                <w:spacing w:val="6"/>
              </w:rPr>
              <w:t xml:space="preserve"> </w:t>
            </w:r>
            <w:r>
              <w:rPr>
                <w:spacing w:val="-1"/>
              </w:rPr>
              <w:t>评价的人员使用，并适用于产品的开</w:t>
            </w:r>
            <w:r>
              <w:rPr>
                <w:spacing w:val="8"/>
              </w:rPr>
              <w:t xml:space="preserve"> </w:t>
            </w:r>
            <w:r>
              <w:rPr>
                <w:spacing w:val="1"/>
              </w:rPr>
              <w:t>发方、需方(用户)和独立评价方</w:t>
            </w:r>
          </w:p>
        </w:tc>
      </w:tr>
      <w:tr w14:paraId="63887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8" w:hRule="atLeast"/>
        </w:trPr>
        <w:tc>
          <w:tcPr>
            <w:tcW w:w="1350" w:type="dxa"/>
            <w:tcBorders>
              <w:left w:val="nil"/>
            </w:tcBorders>
            <w:vAlign w:val="top"/>
          </w:tcPr>
          <w:p w14:paraId="4D853A24">
            <w:pPr>
              <w:spacing w:line="267" w:lineRule="auto"/>
              <w:rPr>
                <w:rFonts w:ascii="Arial"/>
                <w:sz w:val="21"/>
              </w:rPr>
            </w:pPr>
          </w:p>
          <w:p w14:paraId="615945D6">
            <w:pPr>
              <w:spacing w:line="267" w:lineRule="auto"/>
              <w:rPr>
                <w:rFonts w:ascii="Arial"/>
                <w:sz w:val="21"/>
              </w:rPr>
            </w:pPr>
          </w:p>
          <w:p w14:paraId="3940900E">
            <w:pPr>
              <w:pStyle w:val="6"/>
              <w:spacing w:before="62" w:line="224" w:lineRule="auto"/>
              <w:ind w:left="50"/>
            </w:pPr>
            <w:r>
              <w:rPr>
                <w:spacing w:val="-2"/>
              </w:rPr>
              <w:t>GB/T</w:t>
            </w:r>
            <w:r>
              <w:rPr>
                <w:spacing w:val="48"/>
              </w:rPr>
              <w:t xml:space="preserve"> </w:t>
            </w:r>
            <w:r>
              <w:rPr>
                <w:spacing w:val="-2"/>
              </w:rPr>
              <w:t>25000.51</w:t>
            </w:r>
          </w:p>
        </w:tc>
        <w:tc>
          <w:tcPr>
            <w:tcW w:w="1220" w:type="dxa"/>
            <w:vAlign w:val="top"/>
          </w:tcPr>
          <w:p w14:paraId="5C74CCA2">
            <w:pPr>
              <w:pStyle w:val="6"/>
              <w:spacing w:before="63" w:line="219" w:lineRule="auto"/>
              <w:ind w:left="15"/>
            </w:pPr>
            <w:r>
              <w:rPr>
                <w:spacing w:val="-1"/>
              </w:rPr>
              <w:t>第51部分：</w:t>
            </w:r>
          </w:p>
          <w:p w14:paraId="6DDF84A9">
            <w:pPr>
              <w:pStyle w:val="6"/>
              <w:spacing w:before="43" w:line="249" w:lineRule="auto"/>
              <w:ind w:left="24" w:firstLine="9"/>
            </w:pPr>
            <w:r>
              <w:rPr>
                <w:spacing w:val="-5"/>
              </w:rPr>
              <w:t>就绪可用软件</w:t>
            </w:r>
            <w:r>
              <w:rPr>
                <w:spacing w:val="4"/>
              </w:rPr>
              <w:t xml:space="preserve"> </w:t>
            </w:r>
            <w:r>
              <w:rPr>
                <w:spacing w:val="29"/>
              </w:rPr>
              <w:t>产品(RUSP)</w:t>
            </w:r>
            <w:r>
              <w:rPr>
                <w:spacing w:val="2"/>
              </w:rPr>
              <w:t xml:space="preserve"> </w:t>
            </w:r>
            <w:r>
              <w:rPr>
                <w:spacing w:val="1"/>
              </w:rPr>
              <w:t>的质量要求和</w:t>
            </w:r>
            <w:r>
              <w:rPr>
                <w:spacing w:val="2"/>
              </w:rPr>
              <w:t xml:space="preserve"> </w:t>
            </w:r>
            <w:r>
              <w:rPr>
                <w:spacing w:val="8"/>
              </w:rPr>
              <w:t>测试细则</w:t>
            </w:r>
          </w:p>
        </w:tc>
        <w:tc>
          <w:tcPr>
            <w:tcW w:w="2720" w:type="dxa"/>
            <w:vAlign w:val="top"/>
          </w:tcPr>
          <w:p w14:paraId="3A79BD77">
            <w:pPr>
              <w:spacing w:line="418" w:lineRule="auto"/>
              <w:rPr>
                <w:rFonts w:ascii="Arial"/>
                <w:sz w:val="21"/>
              </w:rPr>
            </w:pPr>
          </w:p>
          <w:p w14:paraId="3625BC38">
            <w:pPr>
              <w:pStyle w:val="6"/>
              <w:spacing w:before="62" w:line="232" w:lineRule="auto"/>
              <w:ind w:left="43" w:right="5" w:hanging="19"/>
            </w:pPr>
            <w:r>
              <w:rPr>
                <w:spacing w:val="1"/>
              </w:rPr>
              <w:t>该部分确立了就绪可用软件产品</w:t>
            </w:r>
            <w:r>
              <w:rPr>
                <w:spacing w:val="4"/>
              </w:rPr>
              <w:t xml:space="preserve"> </w:t>
            </w:r>
            <w:r>
              <w:rPr>
                <w:spacing w:val="1"/>
              </w:rPr>
              <w:t>(</w:t>
            </w:r>
            <w:r>
              <w:t>RUSP</w:t>
            </w:r>
            <w:r>
              <w:rPr>
                <w:spacing w:val="1"/>
              </w:rPr>
              <w:t>)的质量要求</w:t>
            </w:r>
          </w:p>
        </w:tc>
        <w:tc>
          <w:tcPr>
            <w:tcW w:w="3053" w:type="dxa"/>
            <w:tcBorders>
              <w:right w:val="nil"/>
            </w:tcBorders>
            <w:vAlign w:val="top"/>
          </w:tcPr>
          <w:p w14:paraId="4A51EF35">
            <w:pPr>
              <w:spacing w:line="289" w:lineRule="auto"/>
              <w:rPr>
                <w:rFonts w:ascii="Arial"/>
                <w:sz w:val="21"/>
              </w:rPr>
            </w:pPr>
          </w:p>
          <w:p w14:paraId="6A90FFBC">
            <w:pPr>
              <w:pStyle w:val="6"/>
              <w:spacing w:before="62" w:line="244" w:lineRule="auto"/>
              <w:ind w:left="35" w:right="99" w:firstLine="149"/>
            </w:pPr>
            <w:r>
              <w:rPr>
                <w:spacing w:val="7"/>
              </w:rPr>
              <w:t>用于测试</w:t>
            </w:r>
            <w:r>
              <w:t>RUSP</w:t>
            </w:r>
            <w:r>
              <w:rPr>
                <w:spacing w:val="7"/>
              </w:rPr>
              <w:t>的包含测试计划、</w:t>
            </w:r>
            <w:r>
              <w:rPr>
                <w:spacing w:val="9"/>
              </w:rPr>
              <w:t xml:space="preserve"> </w:t>
            </w:r>
            <w:r>
              <w:rPr>
                <w:spacing w:val="4"/>
              </w:rPr>
              <w:t>测试说明和测试结果等的测试文档</w:t>
            </w:r>
            <w:r>
              <w:rPr>
                <w:spacing w:val="2"/>
              </w:rPr>
              <w:t xml:space="preserve"> </w:t>
            </w:r>
            <w:r>
              <w:rPr>
                <w:spacing w:val="-2"/>
              </w:rPr>
              <w:t>集要求</w:t>
            </w:r>
          </w:p>
        </w:tc>
      </w:tr>
      <w:tr w14:paraId="53652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2" w:hRule="atLeast"/>
        </w:trPr>
        <w:tc>
          <w:tcPr>
            <w:tcW w:w="1350" w:type="dxa"/>
            <w:tcBorders>
              <w:left w:val="nil"/>
            </w:tcBorders>
            <w:vAlign w:val="top"/>
          </w:tcPr>
          <w:p w14:paraId="653229C4">
            <w:pPr>
              <w:spacing w:line="265" w:lineRule="auto"/>
              <w:rPr>
                <w:rFonts w:ascii="Arial"/>
                <w:sz w:val="21"/>
              </w:rPr>
            </w:pPr>
          </w:p>
          <w:p w14:paraId="35964E89">
            <w:pPr>
              <w:spacing w:line="265" w:lineRule="auto"/>
              <w:rPr>
                <w:rFonts w:ascii="Arial"/>
                <w:sz w:val="21"/>
              </w:rPr>
            </w:pPr>
          </w:p>
          <w:p w14:paraId="558641B2">
            <w:pPr>
              <w:spacing w:line="266" w:lineRule="auto"/>
              <w:rPr>
                <w:rFonts w:ascii="Arial"/>
                <w:sz w:val="21"/>
              </w:rPr>
            </w:pPr>
          </w:p>
          <w:p w14:paraId="18A81633">
            <w:pPr>
              <w:spacing w:line="266" w:lineRule="auto"/>
              <w:rPr>
                <w:rFonts w:ascii="Arial"/>
                <w:sz w:val="21"/>
              </w:rPr>
            </w:pPr>
          </w:p>
          <w:p w14:paraId="37A0A696">
            <w:pPr>
              <w:pStyle w:val="6"/>
              <w:spacing w:before="62" w:line="224" w:lineRule="auto"/>
              <w:ind w:left="100"/>
            </w:pPr>
            <w:r>
              <w:rPr>
                <w:spacing w:val="-1"/>
              </w:rPr>
              <w:t>GB/T25000.62</w:t>
            </w:r>
          </w:p>
        </w:tc>
        <w:tc>
          <w:tcPr>
            <w:tcW w:w="1220" w:type="dxa"/>
            <w:vAlign w:val="top"/>
          </w:tcPr>
          <w:p w14:paraId="48B48E66">
            <w:pPr>
              <w:spacing w:line="265" w:lineRule="auto"/>
              <w:rPr>
                <w:rFonts w:ascii="Arial"/>
                <w:sz w:val="21"/>
              </w:rPr>
            </w:pPr>
          </w:p>
          <w:p w14:paraId="079802D2">
            <w:pPr>
              <w:spacing w:line="266" w:lineRule="auto"/>
              <w:rPr>
                <w:rFonts w:ascii="Arial"/>
                <w:sz w:val="21"/>
              </w:rPr>
            </w:pPr>
          </w:p>
          <w:p w14:paraId="6243A63A">
            <w:pPr>
              <w:spacing w:line="266" w:lineRule="auto"/>
              <w:rPr>
                <w:rFonts w:ascii="Arial"/>
                <w:sz w:val="21"/>
              </w:rPr>
            </w:pPr>
          </w:p>
          <w:p w14:paraId="74CA4D13">
            <w:pPr>
              <w:pStyle w:val="6"/>
              <w:spacing w:before="62" w:line="260" w:lineRule="auto"/>
              <w:ind w:left="15" w:right="26" w:firstLine="19"/>
              <w:jc w:val="both"/>
            </w:pPr>
            <w:r>
              <w:rPr>
                <w:spacing w:val="1"/>
              </w:rPr>
              <w:t xml:space="preserve">易用性测试报 </w:t>
            </w:r>
            <w:r>
              <w:rPr>
                <w:spacing w:val="4"/>
              </w:rPr>
              <w:t>告行业通用格</w:t>
            </w:r>
            <w:r>
              <w:rPr>
                <w:spacing w:val="3"/>
              </w:rPr>
              <w:t xml:space="preserve"> </w:t>
            </w:r>
            <w:r>
              <w:rPr>
                <w:spacing w:val="12"/>
              </w:rPr>
              <w:t>式(</w:t>
            </w:r>
            <w:r>
              <w:t>CIF</w:t>
            </w:r>
            <w:r>
              <w:rPr>
                <w:spacing w:val="12"/>
              </w:rPr>
              <w:t>)</w:t>
            </w:r>
          </w:p>
        </w:tc>
        <w:tc>
          <w:tcPr>
            <w:tcW w:w="2720" w:type="dxa"/>
            <w:vAlign w:val="top"/>
          </w:tcPr>
          <w:p w14:paraId="109C261B">
            <w:pPr>
              <w:spacing w:line="340" w:lineRule="auto"/>
              <w:rPr>
                <w:rFonts w:ascii="Arial"/>
                <w:sz w:val="21"/>
              </w:rPr>
            </w:pPr>
          </w:p>
          <w:p w14:paraId="17B33C41">
            <w:pPr>
              <w:spacing w:line="340" w:lineRule="auto"/>
              <w:rPr>
                <w:rFonts w:ascii="Arial"/>
                <w:sz w:val="21"/>
              </w:rPr>
            </w:pPr>
          </w:p>
          <w:p w14:paraId="58310B02">
            <w:pPr>
              <w:pStyle w:val="6"/>
              <w:spacing w:before="61" w:line="252" w:lineRule="auto"/>
              <w:ind w:left="24" w:right="16"/>
              <w:jc w:val="both"/>
            </w:pPr>
            <w:r>
              <w:rPr>
                <w:spacing w:val="-1"/>
              </w:rPr>
              <w:t>该部分规范用户测试过程中获取</w:t>
            </w:r>
            <w:r>
              <w:rPr>
                <w:spacing w:val="2"/>
              </w:rPr>
              <w:t xml:space="preserve"> </w:t>
            </w:r>
            <w:r>
              <w:t>的信息类型。主要的可变因素包</w:t>
            </w:r>
            <w:r>
              <w:rPr>
                <w:spacing w:val="7"/>
              </w:rPr>
              <w:t xml:space="preserve"> </w:t>
            </w:r>
            <w:r>
              <w:rPr>
                <w:spacing w:val="-1"/>
              </w:rPr>
              <w:t>括任务描述、测试环境以及为规</w:t>
            </w:r>
            <w:r>
              <w:rPr>
                <w:spacing w:val="5"/>
              </w:rPr>
              <w:t xml:space="preserve"> </w:t>
            </w:r>
            <w:r>
              <w:rPr>
                <w:spacing w:val="6"/>
              </w:rPr>
              <w:t>范研究发现而选择的特别变量</w:t>
            </w:r>
          </w:p>
        </w:tc>
        <w:tc>
          <w:tcPr>
            <w:tcW w:w="3053" w:type="dxa"/>
            <w:tcBorders>
              <w:right w:val="nil"/>
            </w:tcBorders>
            <w:vAlign w:val="top"/>
          </w:tcPr>
          <w:p w14:paraId="4A25C50C">
            <w:pPr>
              <w:pStyle w:val="6"/>
              <w:spacing w:before="69" w:line="254" w:lineRule="auto"/>
              <w:ind w:left="14"/>
            </w:pPr>
            <w:r>
              <w:rPr>
                <w:spacing w:val="-1"/>
              </w:rPr>
              <w:t>该部分适用于：①供方组织易用性专</w:t>
            </w:r>
            <w:r>
              <w:rPr>
                <w:spacing w:val="4"/>
              </w:rPr>
              <w:t xml:space="preserve"> 业人员编写供顾客组织使用的报告</w:t>
            </w:r>
            <w:r>
              <w:rPr>
                <w:spacing w:val="1"/>
              </w:rPr>
              <w:t xml:space="preserve">  </w:t>
            </w:r>
            <w:r>
              <w:rPr>
                <w:spacing w:val="-2"/>
              </w:rPr>
              <w:t>时；②顾客组织验证一个特定报告是</w:t>
            </w:r>
            <w:r>
              <w:rPr>
                <w:spacing w:val="14"/>
              </w:rPr>
              <w:t xml:space="preserve"> </w:t>
            </w:r>
            <w:r>
              <w:rPr>
                <w:spacing w:val="-1"/>
              </w:rPr>
              <w:t>否符合该文件时；③顾客组织内的人</w:t>
            </w:r>
            <w:r>
              <w:rPr>
                <w:spacing w:val="1"/>
              </w:rPr>
              <w:t xml:space="preserve"> </w:t>
            </w:r>
            <w:r>
              <w:rPr>
                <w:spacing w:val="-1"/>
              </w:rPr>
              <w:t>类工效学专家或其他易用性专业人员</w:t>
            </w:r>
            <w:r>
              <w:rPr>
                <w:spacing w:val="7"/>
              </w:rPr>
              <w:t xml:space="preserve"> </w:t>
            </w:r>
            <w:r>
              <w:rPr>
                <w:spacing w:val="-1"/>
              </w:rPr>
              <w:t>评价易用性测试的技术价值和产品易</w:t>
            </w:r>
            <w:r>
              <w:rPr>
                <w:spacing w:val="8"/>
              </w:rPr>
              <w:t xml:space="preserve"> </w:t>
            </w:r>
            <w:r>
              <w:rPr>
                <w:spacing w:val="-1"/>
              </w:rPr>
              <w:t>用性时；④顾客组织内的其他专业人</w:t>
            </w:r>
            <w:r>
              <w:rPr>
                <w:spacing w:val="5"/>
              </w:rPr>
              <w:t xml:space="preserve"> </w:t>
            </w:r>
            <w:r>
              <w:rPr>
                <w:spacing w:val="-1"/>
              </w:rPr>
              <w:t>员和管理者在利用测试结果对产品适</w:t>
            </w:r>
            <w:r>
              <w:t xml:space="preserve"> </w:t>
            </w:r>
            <w:r>
              <w:rPr>
                <w:spacing w:val="5"/>
              </w:rPr>
              <w:t>宜性和购买进行商业决策时</w:t>
            </w:r>
          </w:p>
        </w:tc>
      </w:tr>
    </w:tbl>
    <w:p w14:paraId="016A9E02">
      <w:pPr>
        <w:pStyle w:val="2"/>
        <w:spacing w:before="251" w:line="219" w:lineRule="auto"/>
        <w:ind w:left="22"/>
        <w:rPr>
          <w:sz w:val="25"/>
          <w:szCs w:val="25"/>
        </w:rPr>
      </w:pPr>
      <w:r>
        <w:rPr>
          <w:b/>
          <w:bCs/>
          <w:color w:val="007CE9"/>
          <w:spacing w:val="-17"/>
          <w:sz w:val="25"/>
          <w:szCs w:val="25"/>
        </w:rPr>
        <w:t>19.2.4</w:t>
      </w:r>
      <w:r>
        <w:rPr>
          <w:color w:val="007CE9"/>
          <w:spacing w:val="78"/>
          <w:sz w:val="25"/>
          <w:szCs w:val="25"/>
        </w:rPr>
        <w:t xml:space="preserve"> </w:t>
      </w:r>
      <w:r>
        <w:rPr>
          <w:b/>
          <w:bCs/>
          <w:color w:val="007CE9"/>
          <w:spacing w:val="-17"/>
          <w:sz w:val="25"/>
          <w:szCs w:val="25"/>
        </w:rPr>
        <w:t>信息技术标准</w:t>
      </w:r>
    </w:p>
    <w:p w14:paraId="582D7587">
      <w:pPr>
        <w:pStyle w:val="2"/>
        <w:spacing w:before="133" w:line="219" w:lineRule="auto"/>
        <w:ind w:left="399"/>
        <w:rPr>
          <w:sz w:val="19"/>
          <w:szCs w:val="19"/>
        </w:rPr>
      </w:pPr>
      <w:r>
        <w:rPr>
          <w:spacing w:val="9"/>
          <w:sz w:val="19"/>
          <w:szCs w:val="19"/>
        </w:rPr>
        <w:t>传统信息技术标准主要包括信息技术、信息安全等相关领域标准。</w:t>
      </w:r>
    </w:p>
    <w:p w14:paraId="6F583058">
      <w:pPr>
        <w:pStyle w:val="2"/>
        <w:spacing w:before="95" w:line="219" w:lineRule="auto"/>
        <w:ind w:left="389"/>
        <w:rPr>
          <w:sz w:val="19"/>
          <w:szCs w:val="19"/>
        </w:rPr>
      </w:pPr>
      <w:r>
        <w:rPr>
          <w:spacing w:val="12"/>
          <w:sz w:val="19"/>
          <w:szCs w:val="19"/>
        </w:rPr>
        <w:t>新一代创新信息技术标准主要包括物联网、云计算、大数据、区块链、人工智能、虚</w:t>
      </w:r>
      <w:r>
        <w:rPr>
          <w:spacing w:val="11"/>
          <w:sz w:val="19"/>
          <w:szCs w:val="19"/>
        </w:rPr>
        <w:t>拟现</w:t>
      </w:r>
    </w:p>
    <w:p w14:paraId="2ED8D688">
      <w:pPr>
        <w:spacing w:line="219" w:lineRule="auto"/>
        <w:rPr>
          <w:sz w:val="19"/>
          <w:szCs w:val="19"/>
        </w:rPr>
        <w:sectPr>
          <w:pgSz w:w="10290" w:h="13270"/>
          <w:pgMar w:top="400" w:right="529" w:bottom="400" w:left="1140" w:header="0" w:footer="0" w:gutter="0"/>
          <w:cols w:space="720" w:num="1"/>
        </w:sectPr>
      </w:pPr>
    </w:p>
    <w:p w14:paraId="11B506A5">
      <w:pPr>
        <w:pStyle w:val="2"/>
        <w:spacing w:before="47" w:line="219" w:lineRule="auto"/>
        <w:rPr>
          <w:sz w:val="19"/>
          <w:szCs w:val="19"/>
        </w:rPr>
      </w:pPr>
      <w:r>
        <w:rPr>
          <w:rFonts w:ascii="Times New Roman" w:hAnsi="Times New Roman" w:eastAsia="Times New Roman" w:cs="Times New Roman"/>
          <w:b/>
          <w:bCs/>
          <w:spacing w:val="4"/>
          <w:position w:val="-1"/>
          <w:sz w:val="19"/>
          <w:szCs w:val="19"/>
        </w:rPr>
        <w:t xml:space="preserve">420              </w:t>
      </w:r>
      <w:r>
        <w:rPr>
          <w:spacing w:val="4"/>
          <w:sz w:val="19"/>
          <w:szCs w:val="19"/>
        </w:rPr>
        <w:t>信息系统监</w:t>
      </w:r>
      <w:r>
        <w:rPr>
          <w:spacing w:val="3"/>
          <w:sz w:val="19"/>
          <w:szCs w:val="19"/>
        </w:rPr>
        <w:t>理师教程(第2版)</w:t>
      </w:r>
    </w:p>
    <w:p w14:paraId="236FFA55">
      <w:pPr>
        <w:spacing w:line="329" w:lineRule="auto"/>
        <w:rPr>
          <w:rFonts w:ascii="Arial"/>
          <w:sz w:val="21"/>
        </w:rPr>
      </w:pPr>
    </w:p>
    <w:p w14:paraId="401ACE03">
      <w:pPr>
        <w:pStyle w:val="2"/>
        <w:spacing w:before="62" w:line="219" w:lineRule="auto"/>
        <w:ind w:left="349"/>
        <w:rPr>
          <w:sz w:val="19"/>
          <w:szCs w:val="19"/>
        </w:rPr>
      </w:pPr>
      <w:r>
        <w:rPr>
          <w:spacing w:val="9"/>
          <w:sz w:val="19"/>
          <w:szCs w:val="19"/>
        </w:rPr>
        <w:t>实、移动互联网等。下面针对物联网、云计算</w:t>
      </w:r>
      <w:r>
        <w:rPr>
          <w:spacing w:val="8"/>
          <w:sz w:val="19"/>
          <w:szCs w:val="19"/>
        </w:rPr>
        <w:t>、大数据三个领域的重点标准进行介绍。</w:t>
      </w:r>
    </w:p>
    <w:p w14:paraId="1EBD70B7">
      <w:pPr>
        <w:pStyle w:val="2"/>
        <w:spacing w:before="181" w:line="222" w:lineRule="auto"/>
        <w:ind w:left="782"/>
        <w:rPr>
          <w:rFonts w:ascii="黑体" w:hAnsi="黑体" w:eastAsia="黑体" w:cs="黑体"/>
          <w:sz w:val="19"/>
          <w:szCs w:val="19"/>
        </w:rPr>
      </w:pPr>
      <w:r>
        <w:rPr>
          <w:b/>
          <w:bCs/>
          <w:color w:val="0082D9"/>
          <w:spacing w:val="5"/>
          <w:sz w:val="19"/>
          <w:szCs w:val="19"/>
        </w:rPr>
        <w:t>1.</w:t>
      </w:r>
      <w:r>
        <w:rPr>
          <w:rFonts w:ascii="黑体" w:hAnsi="黑体" w:eastAsia="黑体" w:cs="黑体"/>
          <w:b/>
          <w:bCs/>
          <w:color w:val="0082D9"/>
          <w:spacing w:val="5"/>
          <w:sz w:val="19"/>
          <w:szCs w:val="19"/>
        </w:rPr>
        <w:t>物联网相关标准</w:t>
      </w:r>
    </w:p>
    <w:p w14:paraId="6A0577E3">
      <w:pPr>
        <w:pStyle w:val="2"/>
        <w:spacing w:before="166" w:line="292" w:lineRule="auto"/>
        <w:ind w:left="349" w:firstLine="430"/>
        <w:jc w:val="both"/>
        <w:rPr>
          <w:sz w:val="19"/>
          <w:szCs w:val="19"/>
        </w:rPr>
      </w:pPr>
      <w:r>
        <w:rPr>
          <w:spacing w:val="4"/>
          <w:sz w:val="19"/>
          <w:szCs w:val="19"/>
        </w:rPr>
        <w:t>物联网相关标准主要有</w:t>
      </w:r>
      <w:r>
        <w:rPr>
          <w:rFonts w:ascii="Times New Roman" w:hAnsi="Times New Roman" w:eastAsia="Times New Roman" w:cs="Times New Roman"/>
          <w:sz w:val="19"/>
          <w:szCs w:val="19"/>
        </w:rPr>
        <w:t>GB</w:t>
      </w:r>
      <w:r>
        <w:rPr>
          <w:rFonts w:ascii="Times New Roman" w:hAnsi="Times New Roman" w:eastAsia="Times New Roman" w:cs="Times New Roman"/>
          <w:spacing w:val="4"/>
          <w:sz w:val="19"/>
          <w:szCs w:val="19"/>
        </w:rPr>
        <w:t>/T 33745</w:t>
      </w:r>
      <w:r>
        <w:rPr>
          <w:spacing w:val="4"/>
          <w:sz w:val="19"/>
          <w:szCs w:val="19"/>
        </w:rPr>
        <w:t>《物联网术语》、</w:t>
      </w:r>
      <w:r>
        <w:rPr>
          <w:rFonts w:ascii="Times New Roman" w:hAnsi="Times New Roman" w:eastAsia="Times New Roman" w:cs="Times New Roman"/>
          <w:sz w:val="19"/>
          <w:szCs w:val="19"/>
        </w:rPr>
        <w:t>GB</w:t>
      </w:r>
      <w:r>
        <w:rPr>
          <w:rFonts w:ascii="Times New Roman" w:hAnsi="Times New Roman" w:eastAsia="Times New Roman" w:cs="Times New Roman"/>
          <w:spacing w:val="4"/>
          <w:sz w:val="19"/>
          <w:szCs w:val="19"/>
        </w:rPr>
        <w:t>/Z 33750</w:t>
      </w:r>
      <w:r>
        <w:rPr>
          <w:spacing w:val="4"/>
          <w:sz w:val="19"/>
          <w:szCs w:val="19"/>
        </w:rPr>
        <w:t>《物联网标准化工作指南》、</w:t>
      </w:r>
      <w:r>
        <w:rPr>
          <w:spacing w:val="5"/>
          <w:sz w:val="19"/>
          <w:szCs w:val="19"/>
        </w:rPr>
        <w:t xml:space="preserve"> </w:t>
      </w:r>
      <w:r>
        <w:rPr>
          <w:rFonts w:ascii="Times New Roman" w:hAnsi="Times New Roman" w:eastAsia="Times New Roman" w:cs="Times New Roman"/>
          <w:sz w:val="19"/>
          <w:szCs w:val="19"/>
        </w:rPr>
        <w:t>GB</w:t>
      </w:r>
      <w:r>
        <w:rPr>
          <w:rFonts w:ascii="Times New Roman" w:hAnsi="Times New Roman" w:eastAsia="Times New Roman" w:cs="Times New Roman"/>
          <w:spacing w:val="11"/>
          <w:sz w:val="19"/>
          <w:szCs w:val="19"/>
        </w:rPr>
        <w:t>/T</w:t>
      </w:r>
      <w:r>
        <w:rPr>
          <w:rFonts w:ascii="Times New Roman" w:hAnsi="Times New Roman" w:eastAsia="Times New Roman" w:cs="Times New Roman"/>
          <w:spacing w:val="20"/>
          <w:w w:val="101"/>
          <w:sz w:val="19"/>
          <w:szCs w:val="19"/>
        </w:rPr>
        <w:t xml:space="preserve">  </w:t>
      </w:r>
      <w:r>
        <w:rPr>
          <w:rFonts w:ascii="Times New Roman" w:hAnsi="Times New Roman" w:eastAsia="Times New Roman" w:cs="Times New Roman"/>
          <w:spacing w:val="11"/>
          <w:sz w:val="19"/>
          <w:szCs w:val="19"/>
        </w:rPr>
        <w:t>33474</w:t>
      </w:r>
      <w:r>
        <w:rPr>
          <w:spacing w:val="11"/>
          <w:sz w:val="19"/>
          <w:szCs w:val="19"/>
        </w:rPr>
        <w:t>《物联网参考体系结构》等标准。相关标准的标准号、标准名称、主要</w:t>
      </w:r>
      <w:r>
        <w:rPr>
          <w:spacing w:val="10"/>
          <w:sz w:val="19"/>
          <w:szCs w:val="19"/>
        </w:rPr>
        <w:t>内容及适用</w:t>
      </w:r>
      <w:r>
        <w:rPr>
          <w:sz w:val="19"/>
          <w:szCs w:val="19"/>
        </w:rPr>
        <w:t xml:space="preserve"> </w:t>
      </w:r>
      <w:r>
        <w:rPr>
          <w:spacing w:val="10"/>
          <w:sz w:val="19"/>
          <w:szCs w:val="19"/>
        </w:rPr>
        <w:t>范围等如表19-2所示。</w:t>
      </w:r>
    </w:p>
    <w:p w14:paraId="1BB9C765">
      <w:pPr>
        <w:spacing w:before="104" w:line="222" w:lineRule="auto"/>
        <w:ind w:left="3332"/>
        <w:rPr>
          <w:rFonts w:ascii="黑体" w:hAnsi="黑体" w:eastAsia="黑体" w:cs="黑体"/>
          <w:sz w:val="19"/>
          <w:szCs w:val="19"/>
        </w:rPr>
      </w:pPr>
      <w:r>
        <w:rPr>
          <w:rFonts w:ascii="黑体" w:hAnsi="黑体" w:eastAsia="黑体" w:cs="黑体"/>
          <w:b/>
          <w:bCs/>
          <w:spacing w:val="-7"/>
          <w:sz w:val="19"/>
          <w:szCs w:val="19"/>
        </w:rPr>
        <w:t>表19-2</w:t>
      </w:r>
      <w:r>
        <w:rPr>
          <w:rFonts w:ascii="黑体" w:hAnsi="黑体" w:eastAsia="黑体" w:cs="黑体"/>
          <w:spacing w:val="88"/>
          <w:sz w:val="19"/>
          <w:szCs w:val="19"/>
        </w:rPr>
        <w:t xml:space="preserve"> </w:t>
      </w:r>
      <w:r>
        <w:rPr>
          <w:rFonts w:ascii="黑体" w:hAnsi="黑体" w:eastAsia="黑体" w:cs="黑体"/>
          <w:b/>
          <w:bCs/>
          <w:spacing w:val="-7"/>
          <w:sz w:val="19"/>
          <w:szCs w:val="19"/>
        </w:rPr>
        <w:t>物联网现行相关标准</w:t>
      </w:r>
    </w:p>
    <w:p w14:paraId="16B10B80">
      <w:pPr>
        <w:spacing w:line="122" w:lineRule="exact"/>
      </w:pPr>
    </w:p>
    <w:tbl>
      <w:tblPr>
        <w:tblStyle w:val="5"/>
        <w:tblW w:w="8340" w:type="dxa"/>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0"/>
        <w:gridCol w:w="1550"/>
        <w:gridCol w:w="2460"/>
        <w:gridCol w:w="2270"/>
        <w:gridCol w:w="880"/>
      </w:tblGrid>
      <w:tr w14:paraId="6A302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180" w:type="dxa"/>
            <w:tcBorders>
              <w:left w:val="nil"/>
            </w:tcBorders>
            <w:vAlign w:val="top"/>
          </w:tcPr>
          <w:p w14:paraId="3ADD0BF1">
            <w:pPr>
              <w:pStyle w:val="6"/>
              <w:spacing w:before="80" w:line="220" w:lineRule="auto"/>
              <w:ind w:left="312"/>
            </w:pPr>
            <w:r>
              <w:rPr>
                <w:b/>
                <w:bCs/>
                <w:spacing w:val="-4"/>
              </w:rPr>
              <w:t>标准号</w:t>
            </w:r>
          </w:p>
        </w:tc>
        <w:tc>
          <w:tcPr>
            <w:tcW w:w="1550" w:type="dxa"/>
            <w:vAlign w:val="top"/>
          </w:tcPr>
          <w:p w14:paraId="7351D10D">
            <w:pPr>
              <w:pStyle w:val="6"/>
              <w:spacing w:before="80" w:line="220" w:lineRule="auto"/>
              <w:ind w:left="387"/>
            </w:pPr>
            <w:r>
              <w:rPr>
                <w:b/>
                <w:bCs/>
                <w:spacing w:val="-4"/>
              </w:rPr>
              <w:t>标准名称</w:t>
            </w:r>
          </w:p>
        </w:tc>
        <w:tc>
          <w:tcPr>
            <w:tcW w:w="2460" w:type="dxa"/>
            <w:vAlign w:val="top"/>
          </w:tcPr>
          <w:p w14:paraId="0D51CE4A">
            <w:pPr>
              <w:pStyle w:val="6"/>
              <w:spacing w:before="80" w:line="219" w:lineRule="auto"/>
              <w:ind w:left="887"/>
            </w:pPr>
            <w:r>
              <w:rPr>
                <w:b/>
                <w:bCs/>
                <w:spacing w:val="-4"/>
              </w:rPr>
              <w:t>主要内容</w:t>
            </w:r>
          </w:p>
        </w:tc>
        <w:tc>
          <w:tcPr>
            <w:tcW w:w="2270" w:type="dxa"/>
            <w:vAlign w:val="top"/>
          </w:tcPr>
          <w:p w14:paraId="6C575CCB">
            <w:pPr>
              <w:pStyle w:val="6"/>
              <w:spacing w:before="80" w:line="220" w:lineRule="auto"/>
              <w:ind w:left="747"/>
            </w:pPr>
            <w:r>
              <w:rPr>
                <w:b/>
                <w:bCs/>
                <w:spacing w:val="-4"/>
              </w:rPr>
              <w:t>适用范围</w:t>
            </w:r>
          </w:p>
        </w:tc>
        <w:tc>
          <w:tcPr>
            <w:tcW w:w="880" w:type="dxa"/>
            <w:tcBorders>
              <w:right w:val="nil"/>
            </w:tcBorders>
            <w:vAlign w:val="top"/>
          </w:tcPr>
          <w:p w14:paraId="21553661">
            <w:pPr>
              <w:pStyle w:val="6"/>
              <w:spacing w:before="80" w:line="219" w:lineRule="auto"/>
              <w:ind w:left="247"/>
            </w:pPr>
            <w:r>
              <w:rPr>
                <w:b/>
                <w:bCs/>
                <w:spacing w:val="-4"/>
              </w:rPr>
              <w:t>类别</w:t>
            </w:r>
          </w:p>
        </w:tc>
      </w:tr>
      <w:tr w14:paraId="45C1A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80" w:type="dxa"/>
            <w:tcBorders>
              <w:left w:val="nil"/>
            </w:tcBorders>
            <w:vAlign w:val="top"/>
          </w:tcPr>
          <w:p w14:paraId="0EA9DD1D">
            <w:pPr>
              <w:pStyle w:val="6"/>
              <w:spacing w:before="194" w:line="224" w:lineRule="auto"/>
              <w:ind w:left="40"/>
            </w:pPr>
            <w:r>
              <w:rPr>
                <w:spacing w:val="-2"/>
              </w:rPr>
              <w:t>GB/T</w:t>
            </w:r>
            <w:r>
              <w:rPr>
                <w:spacing w:val="14"/>
              </w:rPr>
              <w:t xml:space="preserve"> </w:t>
            </w:r>
            <w:r>
              <w:rPr>
                <w:spacing w:val="-2"/>
              </w:rPr>
              <w:t>33745</w:t>
            </w:r>
          </w:p>
        </w:tc>
        <w:tc>
          <w:tcPr>
            <w:tcW w:w="1550" w:type="dxa"/>
            <w:vAlign w:val="top"/>
          </w:tcPr>
          <w:p w14:paraId="1EBF29C5">
            <w:pPr>
              <w:pStyle w:val="6"/>
              <w:spacing w:before="188" w:line="219" w:lineRule="auto"/>
              <w:ind w:left="25"/>
            </w:pPr>
            <w:r>
              <w:rPr>
                <w:spacing w:val="-2"/>
              </w:rPr>
              <w:t>物联网术语</w:t>
            </w:r>
          </w:p>
        </w:tc>
        <w:tc>
          <w:tcPr>
            <w:tcW w:w="2460" w:type="dxa"/>
            <w:vAlign w:val="top"/>
          </w:tcPr>
          <w:p w14:paraId="0D98BEC2">
            <w:pPr>
              <w:pStyle w:val="6"/>
              <w:spacing w:before="58" w:line="243" w:lineRule="auto"/>
              <w:ind w:left="64" w:hanging="9"/>
            </w:pPr>
            <w:r>
              <w:rPr>
                <w:spacing w:val="-6"/>
              </w:rPr>
              <w:t>该标准界定了物联网中一些共</w:t>
            </w:r>
            <w:r>
              <w:rPr>
                <w:spacing w:val="1"/>
              </w:rPr>
              <w:t xml:space="preserve"> </w:t>
            </w:r>
            <w:r>
              <w:rPr>
                <w:spacing w:val="-1"/>
              </w:rPr>
              <w:t>性的、基础性的术语和定义</w:t>
            </w:r>
          </w:p>
        </w:tc>
        <w:tc>
          <w:tcPr>
            <w:tcW w:w="2270" w:type="dxa"/>
            <w:vAlign w:val="top"/>
          </w:tcPr>
          <w:p w14:paraId="51E61FEC">
            <w:pPr>
              <w:pStyle w:val="6"/>
              <w:spacing w:before="58" w:line="243" w:lineRule="auto"/>
              <w:ind w:left="65" w:right="95" w:firstLine="20"/>
            </w:pPr>
            <w:r>
              <w:rPr>
                <w:spacing w:val="-1"/>
              </w:rPr>
              <w:t>该标准适用于物联网概念</w:t>
            </w:r>
            <w:r>
              <w:t xml:space="preserve"> 的理解和信息的交流</w:t>
            </w:r>
          </w:p>
        </w:tc>
        <w:tc>
          <w:tcPr>
            <w:tcW w:w="880" w:type="dxa"/>
            <w:tcBorders>
              <w:right w:val="nil"/>
            </w:tcBorders>
            <w:vAlign w:val="top"/>
          </w:tcPr>
          <w:p w14:paraId="4672AAF2">
            <w:pPr>
              <w:pStyle w:val="6"/>
              <w:spacing w:before="189" w:line="220" w:lineRule="auto"/>
              <w:ind w:left="55"/>
            </w:pPr>
            <w:r>
              <w:rPr>
                <w:spacing w:val="2"/>
              </w:rPr>
              <w:t>国家标准</w:t>
            </w:r>
          </w:p>
        </w:tc>
      </w:tr>
      <w:tr w14:paraId="50DCA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8" w:hRule="atLeast"/>
        </w:trPr>
        <w:tc>
          <w:tcPr>
            <w:tcW w:w="1180" w:type="dxa"/>
            <w:tcBorders>
              <w:left w:val="nil"/>
            </w:tcBorders>
            <w:vAlign w:val="top"/>
          </w:tcPr>
          <w:p w14:paraId="713E1031">
            <w:pPr>
              <w:spacing w:line="270" w:lineRule="auto"/>
              <w:rPr>
                <w:rFonts w:ascii="Arial"/>
                <w:sz w:val="21"/>
              </w:rPr>
            </w:pPr>
          </w:p>
          <w:p w14:paraId="75B5D98D">
            <w:pPr>
              <w:spacing w:line="270" w:lineRule="auto"/>
              <w:rPr>
                <w:rFonts w:ascii="Arial"/>
                <w:sz w:val="21"/>
              </w:rPr>
            </w:pPr>
          </w:p>
          <w:p w14:paraId="1955E699">
            <w:pPr>
              <w:pStyle w:val="6"/>
              <w:spacing w:before="61" w:line="224" w:lineRule="auto"/>
              <w:ind w:left="40"/>
            </w:pPr>
            <w:r>
              <w:rPr>
                <w:spacing w:val="-1"/>
              </w:rPr>
              <w:t>GB/Z33750</w:t>
            </w:r>
          </w:p>
        </w:tc>
        <w:tc>
          <w:tcPr>
            <w:tcW w:w="1550" w:type="dxa"/>
            <w:vAlign w:val="top"/>
          </w:tcPr>
          <w:p w14:paraId="589EE8B1">
            <w:pPr>
              <w:spacing w:line="416" w:lineRule="auto"/>
              <w:rPr>
                <w:rFonts w:ascii="Arial"/>
                <w:sz w:val="21"/>
              </w:rPr>
            </w:pPr>
          </w:p>
          <w:p w14:paraId="6CE55832">
            <w:pPr>
              <w:pStyle w:val="6"/>
              <w:spacing w:before="62" w:line="249" w:lineRule="auto"/>
              <w:ind w:left="15" w:right="112" w:firstLine="90"/>
            </w:pPr>
            <w:r>
              <w:rPr>
                <w:spacing w:val="-2"/>
              </w:rPr>
              <w:t>物联网标准化工</w:t>
            </w:r>
            <w:r>
              <w:rPr>
                <w:spacing w:val="5"/>
              </w:rPr>
              <w:t xml:space="preserve"> </w:t>
            </w:r>
            <w:r>
              <w:rPr>
                <w:spacing w:val="-2"/>
              </w:rPr>
              <w:t>作指南</w:t>
            </w:r>
          </w:p>
        </w:tc>
        <w:tc>
          <w:tcPr>
            <w:tcW w:w="2460" w:type="dxa"/>
            <w:vAlign w:val="top"/>
          </w:tcPr>
          <w:p w14:paraId="17324122">
            <w:pPr>
              <w:pStyle w:val="6"/>
              <w:spacing w:before="211" w:line="252" w:lineRule="auto"/>
              <w:ind w:left="15" w:firstLine="49"/>
              <w:jc w:val="both"/>
            </w:pPr>
            <w:r>
              <w:rPr>
                <w:spacing w:val="-7"/>
              </w:rPr>
              <w:t>该指南制定了物联网标准化工</w:t>
            </w:r>
            <w:r>
              <w:rPr>
                <w:spacing w:val="5"/>
              </w:rPr>
              <w:t xml:space="preserve"> </w:t>
            </w:r>
            <w:r>
              <w:rPr>
                <w:spacing w:val="-3"/>
              </w:rPr>
              <w:t>作原则、工作程序、标准名称</w:t>
            </w:r>
            <w:r>
              <w:rPr>
                <w:spacing w:val="2"/>
              </w:rPr>
              <w:t xml:space="preserve"> </w:t>
            </w:r>
            <w:r>
              <w:rPr>
                <w:spacing w:val="-3"/>
              </w:rPr>
              <w:t>的结构和命名以及物联网标准</w:t>
            </w:r>
            <w:r>
              <w:rPr>
                <w:spacing w:val="1"/>
              </w:rPr>
              <w:t xml:space="preserve"> </w:t>
            </w:r>
            <w:r>
              <w:rPr>
                <w:spacing w:val="-3"/>
              </w:rPr>
              <w:t>分类</w:t>
            </w:r>
          </w:p>
        </w:tc>
        <w:tc>
          <w:tcPr>
            <w:tcW w:w="2270" w:type="dxa"/>
            <w:vAlign w:val="top"/>
          </w:tcPr>
          <w:p w14:paraId="6BC5FE71">
            <w:pPr>
              <w:pStyle w:val="6"/>
              <w:spacing w:before="60" w:line="254" w:lineRule="auto"/>
              <w:ind w:left="15" w:firstLine="19"/>
              <w:jc w:val="both"/>
            </w:pPr>
            <w:r>
              <w:rPr>
                <w:spacing w:val="-5"/>
              </w:rPr>
              <w:t>该指导性技术文件适用于：</w:t>
            </w:r>
            <w:r>
              <w:rPr>
                <w:spacing w:val="4"/>
              </w:rPr>
              <w:t xml:space="preserve"> </w:t>
            </w:r>
            <w:r>
              <w:rPr>
                <w:spacing w:val="1"/>
              </w:rPr>
              <w:t>①以物联网作为名称要素</w:t>
            </w:r>
            <w:r>
              <w:rPr>
                <w:spacing w:val="2"/>
              </w:rPr>
              <w:t xml:space="preserve">  </w:t>
            </w:r>
            <w:r>
              <w:rPr>
                <w:spacing w:val="10"/>
              </w:rPr>
              <w:t>的国家标准的管理工作；</w:t>
            </w:r>
            <w:r>
              <w:rPr>
                <w:spacing w:val="6"/>
              </w:rPr>
              <w:t xml:space="preserve"> </w:t>
            </w:r>
            <w:r>
              <w:rPr>
                <w:spacing w:val="3"/>
              </w:rPr>
              <w:t>②物联网基础共性标准的</w:t>
            </w:r>
            <w:r>
              <w:rPr>
                <w:spacing w:val="1"/>
              </w:rPr>
              <w:t xml:space="preserve">  </w:t>
            </w:r>
            <w:r>
              <w:rPr>
                <w:spacing w:val="-5"/>
              </w:rPr>
              <w:t>研制工作</w:t>
            </w:r>
          </w:p>
        </w:tc>
        <w:tc>
          <w:tcPr>
            <w:tcW w:w="880" w:type="dxa"/>
            <w:tcBorders>
              <w:right w:val="nil"/>
            </w:tcBorders>
            <w:vAlign w:val="top"/>
          </w:tcPr>
          <w:p w14:paraId="6524F215">
            <w:pPr>
              <w:spacing w:line="267" w:lineRule="auto"/>
              <w:rPr>
                <w:rFonts w:ascii="Arial"/>
                <w:sz w:val="21"/>
              </w:rPr>
            </w:pPr>
          </w:p>
          <w:p w14:paraId="1B597D2C">
            <w:pPr>
              <w:spacing w:line="268" w:lineRule="auto"/>
              <w:rPr>
                <w:rFonts w:ascii="Arial"/>
                <w:sz w:val="21"/>
              </w:rPr>
            </w:pPr>
          </w:p>
          <w:p w14:paraId="10FE6565">
            <w:pPr>
              <w:pStyle w:val="6"/>
              <w:spacing w:before="62" w:line="220" w:lineRule="auto"/>
              <w:ind w:left="55"/>
            </w:pPr>
            <w:r>
              <w:rPr>
                <w:spacing w:val="2"/>
              </w:rPr>
              <w:t>国家标准</w:t>
            </w:r>
          </w:p>
        </w:tc>
      </w:tr>
      <w:tr w14:paraId="236B4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180" w:type="dxa"/>
            <w:tcBorders>
              <w:left w:val="nil"/>
            </w:tcBorders>
            <w:vAlign w:val="top"/>
          </w:tcPr>
          <w:p w14:paraId="3B93C893">
            <w:pPr>
              <w:spacing w:line="403" w:lineRule="auto"/>
              <w:rPr>
                <w:rFonts w:ascii="Arial"/>
                <w:sz w:val="21"/>
              </w:rPr>
            </w:pPr>
          </w:p>
          <w:p w14:paraId="46984764">
            <w:pPr>
              <w:pStyle w:val="6"/>
              <w:spacing w:before="61" w:line="224" w:lineRule="auto"/>
              <w:ind w:left="40"/>
            </w:pPr>
            <w:r>
              <w:rPr>
                <w:spacing w:val="-2"/>
              </w:rPr>
              <w:t>GB/T</w:t>
            </w:r>
            <w:r>
              <w:rPr>
                <w:spacing w:val="14"/>
              </w:rPr>
              <w:t xml:space="preserve"> </w:t>
            </w:r>
            <w:r>
              <w:rPr>
                <w:spacing w:val="-2"/>
              </w:rPr>
              <w:t>33474</w:t>
            </w:r>
          </w:p>
        </w:tc>
        <w:tc>
          <w:tcPr>
            <w:tcW w:w="1550" w:type="dxa"/>
            <w:vAlign w:val="top"/>
          </w:tcPr>
          <w:p w14:paraId="3744DD0E">
            <w:pPr>
              <w:spacing w:line="287" w:lineRule="auto"/>
              <w:rPr>
                <w:rFonts w:ascii="Arial"/>
                <w:sz w:val="21"/>
              </w:rPr>
            </w:pPr>
          </w:p>
          <w:p w14:paraId="725B57A7">
            <w:pPr>
              <w:pStyle w:val="6"/>
              <w:spacing w:before="62" w:line="232" w:lineRule="auto"/>
              <w:ind w:left="55" w:right="87" w:firstLine="50"/>
            </w:pPr>
            <w:r>
              <w:rPr>
                <w:spacing w:val="2"/>
              </w:rPr>
              <w:t xml:space="preserve">物联网参考体系 </w:t>
            </w:r>
            <w:r>
              <w:rPr>
                <w:spacing w:val="6"/>
              </w:rPr>
              <w:t>结构</w:t>
            </w:r>
          </w:p>
        </w:tc>
        <w:tc>
          <w:tcPr>
            <w:tcW w:w="2460" w:type="dxa"/>
            <w:vAlign w:val="top"/>
          </w:tcPr>
          <w:p w14:paraId="6519817C">
            <w:pPr>
              <w:pStyle w:val="6"/>
              <w:spacing w:before="72" w:line="247" w:lineRule="auto"/>
              <w:ind w:left="45" w:firstLine="19"/>
            </w:pPr>
            <w:r>
              <w:rPr>
                <w:spacing w:val="-2"/>
              </w:rPr>
              <w:t>该标准给出了物联网概念模</w:t>
            </w:r>
            <w:r>
              <w:rPr>
                <w:spacing w:val="4"/>
              </w:rPr>
              <w:t xml:space="preserve">  </w:t>
            </w:r>
            <w:r>
              <w:rPr>
                <w:spacing w:val="-6"/>
              </w:rPr>
              <w:t>型，并从系统、通信、信息三</w:t>
            </w:r>
            <w:r>
              <w:rPr>
                <w:spacing w:val="10"/>
              </w:rPr>
              <w:t xml:space="preserve"> </w:t>
            </w:r>
            <w:r>
              <w:rPr>
                <w:spacing w:val="-6"/>
              </w:rPr>
              <w:t>个不同的角度给出了物联网参</w:t>
            </w:r>
            <w:r>
              <w:rPr>
                <w:spacing w:val="11"/>
              </w:rPr>
              <w:t xml:space="preserve"> </w:t>
            </w:r>
            <w:r>
              <w:rPr>
                <w:spacing w:val="-2"/>
              </w:rPr>
              <w:t>考体系结构</w:t>
            </w:r>
          </w:p>
        </w:tc>
        <w:tc>
          <w:tcPr>
            <w:tcW w:w="2270" w:type="dxa"/>
            <w:vAlign w:val="top"/>
          </w:tcPr>
          <w:p w14:paraId="2E482FF2">
            <w:pPr>
              <w:pStyle w:val="6"/>
              <w:spacing w:before="201" w:line="248" w:lineRule="auto"/>
              <w:ind w:left="55" w:right="92" w:firstLine="30"/>
              <w:jc w:val="both"/>
            </w:pPr>
            <w:r>
              <w:rPr>
                <w:spacing w:val="-1"/>
              </w:rPr>
              <w:t>该标准适用于各应用领域</w:t>
            </w:r>
            <w:r>
              <w:t xml:space="preserve"> </w:t>
            </w:r>
            <w:r>
              <w:rPr>
                <w:spacing w:val="2"/>
              </w:rPr>
              <w:t>物联网系统的设计，为物</w:t>
            </w:r>
            <w:r>
              <w:t xml:space="preserve"> </w:t>
            </w:r>
            <w:r>
              <w:rPr>
                <w:spacing w:val="-1"/>
              </w:rPr>
              <w:t>联网系统设计提供参考</w:t>
            </w:r>
          </w:p>
        </w:tc>
        <w:tc>
          <w:tcPr>
            <w:tcW w:w="880" w:type="dxa"/>
            <w:tcBorders>
              <w:right w:val="nil"/>
            </w:tcBorders>
            <w:vAlign w:val="top"/>
          </w:tcPr>
          <w:p w14:paraId="4DFB52A5">
            <w:pPr>
              <w:spacing w:line="398" w:lineRule="auto"/>
              <w:rPr>
                <w:rFonts w:ascii="Arial"/>
                <w:sz w:val="21"/>
              </w:rPr>
            </w:pPr>
          </w:p>
          <w:p w14:paraId="06C00519">
            <w:pPr>
              <w:pStyle w:val="6"/>
              <w:spacing w:before="61" w:line="220" w:lineRule="auto"/>
              <w:ind w:left="55"/>
            </w:pPr>
            <w:r>
              <w:rPr>
                <w:spacing w:val="2"/>
              </w:rPr>
              <w:t>国家标准</w:t>
            </w:r>
          </w:p>
        </w:tc>
      </w:tr>
      <w:tr w14:paraId="5B990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180" w:type="dxa"/>
            <w:tcBorders>
              <w:left w:val="nil"/>
            </w:tcBorders>
            <w:vAlign w:val="top"/>
          </w:tcPr>
          <w:p w14:paraId="639A92BA">
            <w:pPr>
              <w:spacing w:line="274" w:lineRule="auto"/>
              <w:rPr>
                <w:rFonts w:ascii="Arial"/>
                <w:sz w:val="21"/>
              </w:rPr>
            </w:pPr>
          </w:p>
          <w:p w14:paraId="079AD8F0">
            <w:pPr>
              <w:pStyle w:val="6"/>
              <w:spacing w:before="62" w:line="224" w:lineRule="auto"/>
              <w:ind w:left="40"/>
            </w:pPr>
            <w:r>
              <w:rPr>
                <w:spacing w:val="-2"/>
              </w:rPr>
              <w:t>GB/T</w:t>
            </w:r>
            <w:r>
              <w:rPr>
                <w:spacing w:val="14"/>
              </w:rPr>
              <w:t xml:space="preserve"> </w:t>
            </w:r>
            <w:r>
              <w:rPr>
                <w:spacing w:val="-2"/>
              </w:rPr>
              <w:t>35319</w:t>
            </w:r>
          </w:p>
        </w:tc>
        <w:tc>
          <w:tcPr>
            <w:tcW w:w="1550" w:type="dxa"/>
            <w:vAlign w:val="top"/>
          </w:tcPr>
          <w:p w14:paraId="10FB303A">
            <w:pPr>
              <w:pStyle w:val="6"/>
              <w:spacing w:before="213" w:line="250" w:lineRule="auto"/>
              <w:ind w:left="55" w:right="76" w:firstLine="50"/>
            </w:pPr>
            <w:r>
              <w:rPr>
                <w:spacing w:val="4"/>
              </w:rPr>
              <w:t>物联网系统接口</w:t>
            </w:r>
            <w:r>
              <w:t xml:space="preserve"> </w:t>
            </w:r>
            <w:r>
              <w:rPr>
                <w:spacing w:val="-3"/>
              </w:rPr>
              <w:t>要求</w:t>
            </w:r>
          </w:p>
        </w:tc>
        <w:tc>
          <w:tcPr>
            <w:tcW w:w="2460" w:type="dxa"/>
            <w:vAlign w:val="top"/>
          </w:tcPr>
          <w:p w14:paraId="3BC7B694">
            <w:pPr>
              <w:pStyle w:val="6"/>
              <w:spacing w:before="203" w:line="270" w:lineRule="auto"/>
              <w:ind w:left="55" w:firstLine="9"/>
            </w:pPr>
            <w:r>
              <w:rPr>
                <w:spacing w:val="-7"/>
              </w:rPr>
              <w:t>该标准规定了物联网系统实体</w:t>
            </w:r>
            <w:r>
              <w:rPr>
                <w:spacing w:val="5"/>
              </w:rPr>
              <w:t xml:space="preserve"> </w:t>
            </w:r>
            <w:r>
              <w:t>间接口的具体功能要求</w:t>
            </w:r>
          </w:p>
        </w:tc>
        <w:tc>
          <w:tcPr>
            <w:tcW w:w="2270" w:type="dxa"/>
            <w:vAlign w:val="top"/>
          </w:tcPr>
          <w:p w14:paraId="5AE957AA">
            <w:pPr>
              <w:pStyle w:val="6"/>
              <w:spacing w:before="63" w:line="248" w:lineRule="auto"/>
              <w:ind w:left="15" w:right="76" w:firstLine="70"/>
              <w:jc w:val="both"/>
            </w:pPr>
            <w:r>
              <w:rPr>
                <w:spacing w:val="-1"/>
              </w:rPr>
              <w:t>该标准适用于物联网系统</w:t>
            </w:r>
            <w:r>
              <w:t xml:space="preserve"> </w:t>
            </w:r>
            <w:r>
              <w:rPr>
                <w:spacing w:val="7"/>
              </w:rPr>
              <w:t>实体间接口的设计、开发</w:t>
            </w:r>
            <w:r>
              <w:t xml:space="preserve"> </w:t>
            </w:r>
            <w:r>
              <w:rPr>
                <w:spacing w:val="7"/>
              </w:rPr>
              <w:t>和应用</w:t>
            </w:r>
          </w:p>
        </w:tc>
        <w:tc>
          <w:tcPr>
            <w:tcW w:w="880" w:type="dxa"/>
            <w:tcBorders>
              <w:right w:val="nil"/>
            </w:tcBorders>
            <w:vAlign w:val="top"/>
          </w:tcPr>
          <w:p w14:paraId="24DB5EBE">
            <w:pPr>
              <w:spacing w:line="269" w:lineRule="auto"/>
              <w:rPr>
                <w:rFonts w:ascii="Arial"/>
                <w:sz w:val="21"/>
              </w:rPr>
            </w:pPr>
          </w:p>
          <w:p w14:paraId="74FB4899">
            <w:pPr>
              <w:pStyle w:val="6"/>
              <w:spacing w:before="62" w:line="220" w:lineRule="auto"/>
              <w:ind w:left="55"/>
            </w:pPr>
            <w:r>
              <w:rPr>
                <w:spacing w:val="2"/>
              </w:rPr>
              <w:t>国家标准</w:t>
            </w:r>
          </w:p>
        </w:tc>
      </w:tr>
      <w:tr w14:paraId="3F80A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1180" w:type="dxa"/>
            <w:tcBorders>
              <w:left w:val="nil"/>
            </w:tcBorders>
            <w:vAlign w:val="top"/>
          </w:tcPr>
          <w:p w14:paraId="7F0E191B">
            <w:pPr>
              <w:spacing w:line="414" w:lineRule="auto"/>
              <w:rPr>
                <w:rFonts w:ascii="Arial"/>
                <w:sz w:val="21"/>
              </w:rPr>
            </w:pPr>
          </w:p>
          <w:p w14:paraId="6F4BF5B9">
            <w:pPr>
              <w:pStyle w:val="6"/>
              <w:spacing w:before="62" w:line="224" w:lineRule="auto"/>
              <w:jc w:val="right"/>
            </w:pPr>
            <w:r>
              <w:rPr>
                <w:spacing w:val="-2"/>
              </w:rPr>
              <w:t>GB/T</w:t>
            </w:r>
            <w:r>
              <w:rPr>
                <w:spacing w:val="15"/>
              </w:rPr>
              <w:t xml:space="preserve"> </w:t>
            </w:r>
            <w:r>
              <w:rPr>
                <w:spacing w:val="-2"/>
              </w:rPr>
              <w:t>36478.1</w:t>
            </w:r>
          </w:p>
        </w:tc>
        <w:tc>
          <w:tcPr>
            <w:tcW w:w="1550" w:type="dxa"/>
            <w:vAlign w:val="top"/>
          </w:tcPr>
          <w:p w14:paraId="521BBDB5">
            <w:pPr>
              <w:pStyle w:val="6"/>
              <w:spacing w:before="212" w:line="264" w:lineRule="auto"/>
              <w:ind w:left="45" w:right="9" w:firstLine="60"/>
              <w:jc w:val="both"/>
            </w:pPr>
            <w:r>
              <w:rPr>
                <w:spacing w:val="-2"/>
              </w:rPr>
              <w:t>物联网信息交换</w:t>
            </w:r>
            <w:r>
              <w:rPr>
                <w:spacing w:val="2"/>
              </w:rPr>
              <w:t xml:space="preserve">  </w:t>
            </w:r>
            <w:r>
              <w:rPr>
                <w:spacing w:val="7"/>
              </w:rPr>
              <w:t>和共享第1部分：</w:t>
            </w:r>
            <w:r>
              <w:rPr>
                <w:spacing w:val="2"/>
              </w:rPr>
              <w:t xml:space="preserve"> </w:t>
            </w:r>
            <w:r>
              <w:rPr>
                <w:spacing w:val="3"/>
              </w:rPr>
              <w:t>总体架构</w:t>
            </w:r>
          </w:p>
        </w:tc>
        <w:tc>
          <w:tcPr>
            <w:tcW w:w="2460" w:type="dxa"/>
            <w:vAlign w:val="top"/>
          </w:tcPr>
          <w:p w14:paraId="4BE77F89">
            <w:pPr>
              <w:pStyle w:val="6"/>
              <w:spacing w:before="83" w:line="249" w:lineRule="auto"/>
              <w:ind w:left="45" w:firstLine="19"/>
              <w:jc w:val="both"/>
            </w:pPr>
            <w:r>
              <w:rPr>
                <w:spacing w:val="-7"/>
              </w:rPr>
              <w:t>该部分规定了物联网系统之间</w:t>
            </w:r>
            <w:r>
              <w:rPr>
                <w:spacing w:val="5"/>
              </w:rPr>
              <w:t xml:space="preserve"> </w:t>
            </w:r>
            <w:r>
              <w:rPr>
                <w:spacing w:val="-6"/>
              </w:rPr>
              <w:t>进行信息交换和共享包含的过</w:t>
            </w:r>
            <w:r>
              <w:rPr>
                <w:spacing w:val="1"/>
              </w:rPr>
              <w:t xml:space="preserve"> </w:t>
            </w:r>
            <w:r>
              <w:rPr>
                <w:spacing w:val="-6"/>
              </w:rPr>
              <w:t>程活动、功能实体和共享交换</w:t>
            </w:r>
            <w:r>
              <w:rPr>
                <w:spacing w:val="1"/>
              </w:rPr>
              <w:t xml:space="preserve"> </w:t>
            </w:r>
            <w:r>
              <w:rPr>
                <w:spacing w:val="-3"/>
              </w:rPr>
              <w:t>模式</w:t>
            </w:r>
          </w:p>
        </w:tc>
        <w:tc>
          <w:tcPr>
            <w:tcW w:w="2270" w:type="dxa"/>
            <w:vAlign w:val="top"/>
          </w:tcPr>
          <w:p w14:paraId="4D20CDEF">
            <w:pPr>
              <w:pStyle w:val="6"/>
              <w:spacing w:before="71" w:line="252" w:lineRule="auto"/>
              <w:ind w:left="55" w:right="91" w:firstLine="30"/>
              <w:jc w:val="both"/>
            </w:pPr>
            <w:r>
              <w:rPr>
                <w:spacing w:val="-1"/>
              </w:rPr>
              <w:t>该部分适用于物联网系统</w:t>
            </w:r>
            <w:r>
              <w:t xml:space="preserve"> </w:t>
            </w:r>
            <w:r>
              <w:rPr>
                <w:spacing w:val="1"/>
              </w:rPr>
              <w:t>之间信息交换和共享的规</w:t>
            </w:r>
            <w:r>
              <w:rPr>
                <w:spacing w:val="9"/>
              </w:rPr>
              <w:t xml:space="preserve"> </w:t>
            </w:r>
            <w:r>
              <w:rPr>
                <w:spacing w:val="2"/>
              </w:rPr>
              <w:t>划、设计、系统开发以及</w:t>
            </w:r>
            <w:r>
              <w:t xml:space="preserve"> </w:t>
            </w:r>
            <w:r>
              <w:rPr>
                <w:spacing w:val="-2"/>
              </w:rPr>
              <w:t>运行维护管理</w:t>
            </w:r>
          </w:p>
        </w:tc>
        <w:tc>
          <w:tcPr>
            <w:tcW w:w="880" w:type="dxa"/>
            <w:tcBorders>
              <w:right w:val="nil"/>
            </w:tcBorders>
            <w:vAlign w:val="top"/>
          </w:tcPr>
          <w:p w14:paraId="160B0890">
            <w:pPr>
              <w:spacing w:line="410" w:lineRule="auto"/>
              <w:rPr>
                <w:rFonts w:ascii="Arial"/>
                <w:sz w:val="21"/>
              </w:rPr>
            </w:pPr>
          </w:p>
          <w:p w14:paraId="2AC5A1D9">
            <w:pPr>
              <w:pStyle w:val="6"/>
              <w:spacing w:before="61" w:line="220" w:lineRule="auto"/>
              <w:ind w:left="55"/>
            </w:pPr>
            <w:r>
              <w:rPr>
                <w:spacing w:val="2"/>
              </w:rPr>
              <w:t>国家标准</w:t>
            </w:r>
          </w:p>
        </w:tc>
      </w:tr>
      <w:tr w14:paraId="0E074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8" w:hRule="atLeast"/>
        </w:trPr>
        <w:tc>
          <w:tcPr>
            <w:tcW w:w="1180" w:type="dxa"/>
            <w:tcBorders>
              <w:left w:val="nil"/>
            </w:tcBorders>
            <w:vAlign w:val="top"/>
          </w:tcPr>
          <w:p w14:paraId="56AFD420">
            <w:pPr>
              <w:spacing w:line="267" w:lineRule="auto"/>
              <w:rPr>
                <w:rFonts w:ascii="Arial"/>
                <w:sz w:val="21"/>
              </w:rPr>
            </w:pPr>
          </w:p>
          <w:p w14:paraId="214DAD42">
            <w:pPr>
              <w:spacing w:line="268" w:lineRule="auto"/>
              <w:rPr>
                <w:rFonts w:ascii="Arial"/>
                <w:sz w:val="21"/>
              </w:rPr>
            </w:pPr>
          </w:p>
          <w:p w14:paraId="0515547B">
            <w:pPr>
              <w:spacing w:line="268" w:lineRule="auto"/>
              <w:rPr>
                <w:rFonts w:ascii="Arial"/>
                <w:sz w:val="21"/>
              </w:rPr>
            </w:pPr>
          </w:p>
          <w:p w14:paraId="66F85814">
            <w:pPr>
              <w:pStyle w:val="6"/>
              <w:spacing w:before="62" w:line="224" w:lineRule="auto"/>
              <w:jc w:val="right"/>
            </w:pPr>
            <w:r>
              <w:rPr>
                <w:spacing w:val="-2"/>
              </w:rPr>
              <w:t>GB/T</w:t>
            </w:r>
            <w:r>
              <w:rPr>
                <w:spacing w:val="15"/>
              </w:rPr>
              <w:t xml:space="preserve"> </w:t>
            </w:r>
            <w:r>
              <w:rPr>
                <w:spacing w:val="-2"/>
              </w:rPr>
              <w:t>36478.2</w:t>
            </w:r>
          </w:p>
        </w:tc>
        <w:tc>
          <w:tcPr>
            <w:tcW w:w="1550" w:type="dxa"/>
            <w:vAlign w:val="top"/>
          </w:tcPr>
          <w:p w14:paraId="2D013F77">
            <w:pPr>
              <w:spacing w:line="275" w:lineRule="auto"/>
              <w:rPr>
                <w:rFonts w:ascii="Arial"/>
                <w:sz w:val="21"/>
              </w:rPr>
            </w:pPr>
          </w:p>
          <w:p w14:paraId="527FE5A1">
            <w:pPr>
              <w:spacing w:line="275" w:lineRule="auto"/>
              <w:rPr>
                <w:rFonts w:ascii="Arial"/>
                <w:sz w:val="21"/>
              </w:rPr>
            </w:pPr>
          </w:p>
          <w:p w14:paraId="56FF814B">
            <w:pPr>
              <w:pStyle w:val="6"/>
              <w:spacing w:before="62" w:line="258" w:lineRule="auto"/>
              <w:ind w:left="45" w:right="9" w:firstLine="60"/>
              <w:jc w:val="both"/>
            </w:pPr>
            <w:r>
              <w:rPr>
                <w:spacing w:val="-2"/>
              </w:rPr>
              <w:t>物联网信息交换</w:t>
            </w:r>
            <w:r>
              <w:rPr>
                <w:spacing w:val="2"/>
              </w:rPr>
              <w:t xml:space="preserve">  </w:t>
            </w:r>
            <w:r>
              <w:rPr>
                <w:spacing w:val="7"/>
              </w:rPr>
              <w:t>和共享第2部分：</w:t>
            </w:r>
            <w:r>
              <w:rPr>
                <w:spacing w:val="2"/>
              </w:rPr>
              <w:t xml:space="preserve"> </w:t>
            </w:r>
            <w:r>
              <w:rPr>
                <w:spacing w:val="-2"/>
              </w:rPr>
              <w:t>通用技术要求</w:t>
            </w:r>
          </w:p>
        </w:tc>
        <w:tc>
          <w:tcPr>
            <w:tcW w:w="2460" w:type="dxa"/>
            <w:vAlign w:val="top"/>
          </w:tcPr>
          <w:p w14:paraId="3BDA997B">
            <w:pPr>
              <w:pStyle w:val="6"/>
              <w:spacing w:before="65" w:line="253" w:lineRule="auto"/>
              <w:ind w:left="35" w:firstLine="9"/>
              <w:jc w:val="both"/>
            </w:pPr>
            <w:r>
              <w:rPr>
                <w:spacing w:val="-12"/>
              </w:rPr>
              <w:t>该部分规定了物联网系统间进</w:t>
            </w:r>
            <w:r>
              <w:rPr>
                <w:spacing w:val="2"/>
              </w:rPr>
              <w:t xml:space="preserve">  </w:t>
            </w:r>
            <w:r>
              <w:rPr>
                <w:spacing w:val="-11"/>
              </w:rPr>
              <w:t>行信息交换和共享的通用技术</w:t>
            </w:r>
            <w:r>
              <w:rPr>
                <w:spacing w:val="1"/>
              </w:rPr>
              <w:t xml:space="preserve">  </w:t>
            </w:r>
            <w:r>
              <w:rPr>
                <w:spacing w:val="-11"/>
              </w:rPr>
              <w:t>要求，包括数据服务、数据标</w:t>
            </w:r>
            <w:r>
              <w:rPr>
                <w:spacing w:val="1"/>
              </w:rPr>
              <w:t xml:space="preserve">  </w:t>
            </w:r>
            <w:r>
              <w:rPr>
                <w:spacing w:val="-5"/>
              </w:rPr>
              <w:t>准化处理、数据存储与管理、</w:t>
            </w:r>
            <w:r>
              <w:rPr>
                <w:spacing w:val="8"/>
              </w:rPr>
              <w:t xml:space="preserve"> </w:t>
            </w:r>
            <w:r>
              <w:rPr>
                <w:spacing w:val="-11"/>
              </w:rPr>
              <w:t>数据传递接口、目录管理、认</w:t>
            </w:r>
            <w:r>
              <w:rPr>
                <w:spacing w:val="2"/>
              </w:rPr>
              <w:t xml:space="preserve">  </w:t>
            </w:r>
            <w:r>
              <w:rPr>
                <w:spacing w:val="-11"/>
              </w:rPr>
              <w:t>证与授权、交换和共享监控及</w:t>
            </w:r>
            <w:r>
              <w:rPr>
                <w:spacing w:val="2"/>
              </w:rPr>
              <w:t xml:space="preserve">  </w:t>
            </w:r>
            <w:r>
              <w:rPr>
                <w:spacing w:val="-4"/>
              </w:rPr>
              <w:t>安全策略要求等内容</w:t>
            </w:r>
          </w:p>
        </w:tc>
        <w:tc>
          <w:tcPr>
            <w:tcW w:w="2270" w:type="dxa"/>
            <w:vAlign w:val="top"/>
          </w:tcPr>
          <w:p w14:paraId="2318C899">
            <w:pPr>
              <w:spacing w:line="411" w:lineRule="auto"/>
              <w:rPr>
                <w:rFonts w:ascii="Arial"/>
                <w:sz w:val="21"/>
              </w:rPr>
            </w:pPr>
          </w:p>
          <w:p w14:paraId="071B9C39">
            <w:pPr>
              <w:pStyle w:val="6"/>
              <w:spacing w:before="61" w:line="249" w:lineRule="auto"/>
              <w:ind w:left="55" w:right="91" w:firstLine="30"/>
              <w:jc w:val="both"/>
            </w:pPr>
            <w:r>
              <w:rPr>
                <w:spacing w:val="-1"/>
              </w:rPr>
              <w:t>该部分适用于物联网系统</w:t>
            </w:r>
            <w:r>
              <w:t xml:space="preserve"> </w:t>
            </w:r>
            <w:r>
              <w:rPr>
                <w:spacing w:val="1"/>
              </w:rPr>
              <w:t>之间信息交换和共享的规</w:t>
            </w:r>
            <w:r>
              <w:rPr>
                <w:spacing w:val="9"/>
              </w:rPr>
              <w:t xml:space="preserve"> </w:t>
            </w:r>
            <w:r>
              <w:rPr>
                <w:spacing w:val="2"/>
              </w:rPr>
              <w:t>划、设计、系统开发以及</w:t>
            </w:r>
            <w:r>
              <w:t xml:space="preserve"> </w:t>
            </w:r>
            <w:r>
              <w:rPr>
                <w:spacing w:val="-2"/>
              </w:rPr>
              <w:t>运行维护管理</w:t>
            </w:r>
          </w:p>
        </w:tc>
        <w:tc>
          <w:tcPr>
            <w:tcW w:w="880" w:type="dxa"/>
            <w:tcBorders>
              <w:right w:val="nil"/>
            </w:tcBorders>
            <w:vAlign w:val="top"/>
          </w:tcPr>
          <w:p w14:paraId="19339700">
            <w:pPr>
              <w:spacing w:line="266" w:lineRule="auto"/>
              <w:rPr>
                <w:rFonts w:ascii="Arial"/>
                <w:sz w:val="21"/>
              </w:rPr>
            </w:pPr>
          </w:p>
          <w:p w14:paraId="3CAC71F4">
            <w:pPr>
              <w:spacing w:line="266" w:lineRule="auto"/>
              <w:rPr>
                <w:rFonts w:ascii="Arial"/>
                <w:sz w:val="21"/>
              </w:rPr>
            </w:pPr>
          </w:p>
          <w:p w14:paraId="31C0DDB1">
            <w:pPr>
              <w:spacing w:line="266" w:lineRule="auto"/>
              <w:rPr>
                <w:rFonts w:ascii="Arial"/>
                <w:sz w:val="21"/>
              </w:rPr>
            </w:pPr>
          </w:p>
          <w:p w14:paraId="39C00CAF">
            <w:pPr>
              <w:pStyle w:val="6"/>
              <w:spacing w:before="62" w:line="220" w:lineRule="auto"/>
              <w:ind w:left="55"/>
            </w:pPr>
            <w:r>
              <w:rPr>
                <w:spacing w:val="2"/>
              </w:rPr>
              <w:t>国家标准</w:t>
            </w:r>
          </w:p>
        </w:tc>
      </w:tr>
      <w:tr w14:paraId="62E64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180" w:type="dxa"/>
            <w:tcBorders>
              <w:left w:val="nil"/>
            </w:tcBorders>
            <w:vAlign w:val="top"/>
          </w:tcPr>
          <w:p w14:paraId="09B0764D">
            <w:pPr>
              <w:spacing w:line="268" w:lineRule="auto"/>
              <w:rPr>
                <w:rFonts w:ascii="Arial"/>
                <w:sz w:val="21"/>
              </w:rPr>
            </w:pPr>
          </w:p>
          <w:p w14:paraId="793E06D2">
            <w:pPr>
              <w:pStyle w:val="6"/>
              <w:spacing w:before="62" w:line="224" w:lineRule="auto"/>
              <w:ind w:left="40"/>
            </w:pPr>
            <w:r>
              <w:rPr>
                <w:spacing w:val="-2"/>
              </w:rPr>
              <w:t>GB/T</w:t>
            </w:r>
            <w:r>
              <w:rPr>
                <w:spacing w:val="14"/>
              </w:rPr>
              <w:t xml:space="preserve"> </w:t>
            </w:r>
            <w:r>
              <w:rPr>
                <w:spacing w:val="-2"/>
              </w:rPr>
              <w:t>36468</w:t>
            </w:r>
          </w:p>
        </w:tc>
        <w:tc>
          <w:tcPr>
            <w:tcW w:w="1550" w:type="dxa"/>
            <w:vAlign w:val="top"/>
          </w:tcPr>
          <w:p w14:paraId="5D7137A1">
            <w:pPr>
              <w:pStyle w:val="6"/>
              <w:spacing w:before="215" w:line="250" w:lineRule="auto"/>
              <w:ind w:left="5" w:firstLine="99"/>
            </w:pPr>
            <w:r>
              <w:rPr>
                <w:spacing w:val="-2"/>
              </w:rPr>
              <w:t>物联网系统评价</w:t>
            </w:r>
            <w:r>
              <w:rPr>
                <w:spacing w:val="1"/>
              </w:rPr>
              <w:t xml:space="preserve">  指标体系编制通则</w:t>
            </w:r>
          </w:p>
        </w:tc>
        <w:tc>
          <w:tcPr>
            <w:tcW w:w="2460" w:type="dxa"/>
            <w:vAlign w:val="top"/>
          </w:tcPr>
          <w:p w14:paraId="7CCC2727">
            <w:pPr>
              <w:pStyle w:val="6"/>
              <w:spacing w:before="84" w:line="238" w:lineRule="auto"/>
              <w:ind w:left="55"/>
              <w:jc w:val="both"/>
            </w:pPr>
            <w:r>
              <w:rPr>
                <w:spacing w:val="-6"/>
              </w:rPr>
              <w:t>该标准规定了物联网系统评价</w:t>
            </w:r>
            <w:r>
              <w:t xml:space="preserve"> </w:t>
            </w:r>
            <w:r>
              <w:rPr>
                <w:spacing w:val="-6"/>
              </w:rPr>
              <w:t>指标体系的编制原则、体系结</w:t>
            </w:r>
            <w:r>
              <w:rPr>
                <w:spacing w:val="1"/>
              </w:rPr>
              <w:t xml:space="preserve"> </w:t>
            </w:r>
            <w:r>
              <w:t>构以及指标描述和设计原则</w:t>
            </w:r>
          </w:p>
        </w:tc>
        <w:tc>
          <w:tcPr>
            <w:tcW w:w="2270" w:type="dxa"/>
            <w:vAlign w:val="top"/>
          </w:tcPr>
          <w:p w14:paraId="17C19086">
            <w:pPr>
              <w:pStyle w:val="6"/>
              <w:spacing w:before="77"/>
              <w:ind w:left="65" w:right="75" w:firstLine="20"/>
              <w:jc w:val="both"/>
            </w:pPr>
            <w:r>
              <w:t>该标准适用于具体行业物</w:t>
            </w:r>
            <w:r>
              <w:rPr>
                <w:spacing w:val="8"/>
              </w:rPr>
              <w:t xml:space="preserve"> </w:t>
            </w:r>
            <w:r>
              <w:rPr>
                <w:spacing w:val="1"/>
              </w:rPr>
              <w:t>联网应用系统评价指标体</w:t>
            </w:r>
            <w:r>
              <w:t xml:space="preserve"> </w:t>
            </w:r>
            <w:r>
              <w:rPr>
                <w:spacing w:val="4"/>
              </w:rPr>
              <w:t>系的编制</w:t>
            </w:r>
          </w:p>
        </w:tc>
        <w:tc>
          <w:tcPr>
            <w:tcW w:w="880" w:type="dxa"/>
            <w:tcBorders>
              <w:right w:val="nil"/>
            </w:tcBorders>
            <w:vAlign w:val="top"/>
          </w:tcPr>
          <w:p w14:paraId="068D6790">
            <w:pPr>
              <w:spacing w:line="264" w:lineRule="auto"/>
              <w:rPr>
                <w:rFonts w:ascii="Arial"/>
                <w:sz w:val="21"/>
              </w:rPr>
            </w:pPr>
          </w:p>
          <w:p w14:paraId="45B3ACDD">
            <w:pPr>
              <w:pStyle w:val="6"/>
              <w:spacing w:before="61" w:line="220" w:lineRule="auto"/>
              <w:ind w:left="55"/>
            </w:pPr>
            <w:r>
              <w:rPr>
                <w:spacing w:val="2"/>
              </w:rPr>
              <w:t>国家标准</w:t>
            </w:r>
          </w:p>
        </w:tc>
      </w:tr>
      <w:tr w14:paraId="72CDD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4" w:hRule="atLeast"/>
        </w:trPr>
        <w:tc>
          <w:tcPr>
            <w:tcW w:w="1180" w:type="dxa"/>
            <w:tcBorders>
              <w:left w:val="nil"/>
            </w:tcBorders>
            <w:vAlign w:val="top"/>
          </w:tcPr>
          <w:p w14:paraId="2C136797">
            <w:pPr>
              <w:spacing w:line="399" w:lineRule="auto"/>
              <w:rPr>
                <w:rFonts w:ascii="Arial"/>
                <w:sz w:val="21"/>
              </w:rPr>
            </w:pPr>
          </w:p>
          <w:p w14:paraId="177BD97D">
            <w:pPr>
              <w:pStyle w:val="6"/>
              <w:spacing w:before="61" w:line="224" w:lineRule="auto"/>
              <w:jc w:val="right"/>
            </w:pPr>
            <w:r>
              <w:rPr>
                <w:spacing w:val="-2"/>
              </w:rPr>
              <w:t>GB/T</w:t>
            </w:r>
            <w:r>
              <w:rPr>
                <w:spacing w:val="15"/>
              </w:rPr>
              <w:t xml:space="preserve"> </w:t>
            </w:r>
            <w:r>
              <w:rPr>
                <w:spacing w:val="-2"/>
              </w:rPr>
              <w:t>36478.3</w:t>
            </w:r>
          </w:p>
        </w:tc>
        <w:tc>
          <w:tcPr>
            <w:tcW w:w="1550" w:type="dxa"/>
            <w:vAlign w:val="top"/>
          </w:tcPr>
          <w:p w14:paraId="4ABD9ADE">
            <w:pPr>
              <w:pStyle w:val="6"/>
              <w:spacing w:before="196" w:line="249" w:lineRule="auto"/>
              <w:ind w:left="15" w:right="9" w:firstLine="90"/>
              <w:jc w:val="both"/>
            </w:pPr>
            <w:r>
              <w:rPr>
                <w:spacing w:val="-2"/>
              </w:rPr>
              <w:t>物联网信息交换</w:t>
            </w:r>
            <w:r>
              <w:rPr>
                <w:spacing w:val="2"/>
              </w:rPr>
              <w:t xml:space="preserve">  </w:t>
            </w:r>
            <w:r>
              <w:rPr>
                <w:spacing w:val="11"/>
              </w:rPr>
              <w:t>和共享第3部分：</w:t>
            </w:r>
            <w:r>
              <w:t xml:space="preserve"> </w:t>
            </w:r>
            <w:r>
              <w:rPr>
                <w:spacing w:val="3"/>
              </w:rPr>
              <w:t>元数据</w:t>
            </w:r>
          </w:p>
        </w:tc>
        <w:tc>
          <w:tcPr>
            <w:tcW w:w="2460" w:type="dxa"/>
            <w:vAlign w:val="top"/>
          </w:tcPr>
          <w:p w14:paraId="0B9B60F9">
            <w:pPr>
              <w:pStyle w:val="6"/>
              <w:spacing w:before="69" w:line="244" w:lineRule="auto"/>
              <w:ind w:left="55" w:firstLine="19"/>
              <w:jc w:val="both"/>
            </w:pPr>
            <w:r>
              <w:rPr>
                <w:spacing w:val="-8"/>
              </w:rPr>
              <w:t>该部分规定了物联网系统间信</w:t>
            </w:r>
            <w:r>
              <w:rPr>
                <w:spacing w:val="8"/>
              </w:rPr>
              <w:t xml:space="preserve"> </w:t>
            </w:r>
            <w:r>
              <w:rPr>
                <w:spacing w:val="-7"/>
              </w:rPr>
              <w:t>息交换和共享的元数据，包括</w:t>
            </w:r>
            <w:r>
              <w:rPr>
                <w:spacing w:val="9"/>
              </w:rPr>
              <w:t xml:space="preserve"> </w:t>
            </w:r>
            <w:r>
              <w:rPr>
                <w:spacing w:val="-6"/>
              </w:rPr>
              <w:t>元数据概念模型、核心元数据</w:t>
            </w:r>
            <w:r>
              <w:t xml:space="preserve"> </w:t>
            </w:r>
            <w:r>
              <w:rPr>
                <w:spacing w:val="-2"/>
              </w:rPr>
              <w:t>和扩展元数据</w:t>
            </w:r>
          </w:p>
        </w:tc>
        <w:tc>
          <w:tcPr>
            <w:tcW w:w="2270" w:type="dxa"/>
            <w:vAlign w:val="top"/>
          </w:tcPr>
          <w:p w14:paraId="2DC2EE79">
            <w:pPr>
              <w:pStyle w:val="6"/>
              <w:spacing w:before="206" w:line="244" w:lineRule="auto"/>
              <w:ind w:left="15"/>
              <w:jc w:val="both"/>
            </w:pPr>
            <w:r>
              <w:rPr>
                <w:spacing w:val="-4"/>
              </w:rPr>
              <w:t>该部分适用于物联网系统之</w:t>
            </w:r>
            <w:r>
              <w:rPr>
                <w:spacing w:val="1"/>
              </w:rPr>
              <w:t xml:space="preserve"> </w:t>
            </w:r>
            <w:r>
              <w:rPr>
                <w:spacing w:val="-3"/>
              </w:rPr>
              <w:t>间信息交换和共享系统的规</w:t>
            </w:r>
            <w:r>
              <w:t xml:space="preserve"> 划、设计以及维护管理</w:t>
            </w:r>
          </w:p>
        </w:tc>
        <w:tc>
          <w:tcPr>
            <w:tcW w:w="880" w:type="dxa"/>
            <w:tcBorders>
              <w:right w:val="nil"/>
            </w:tcBorders>
            <w:vAlign w:val="top"/>
          </w:tcPr>
          <w:p w14:paraId="7BAD076F">
            <w:pPr>
              <w:spacing w:line="394" w:lineRule="auto"/>
              <w:rPr>
                <w:rFonts w:ascii="Arial"/>
                <w:sz w:val="21"/>
              </w:rPr>
            </w:pPr>
          </w:p>
          <w:p w14:paraId="486D17FC">
            <w:pPr>
              <w:pStyle w:val="6"/>
              <w:spacing w:before="61" w:line="220" w:lineRule="auto"/>
              <w:ind w:left="55"/>
            </w:pPr>
            <w:r>
              <w:rPr>
                <w:spacing w:val="2"/>
              </w:rPr>
              <w:t>国家标准</w:t>
            </w:r>
          </w:p>
        </w:tc>
      </w:tr>
    </w:tbl>
    <w:p w14:paraId="6D381BCA">
      <w:pPr>
        <w:rPr>
          <w:rFonts w:ascii="Arial"/>
          <w:sz w:val="21"/>
        </w:rPr>
      </w:pPr>
    </w:p>
    <w:p w14:paraId="50302BFB">
      <w:pPr>
        <w:rPr>
          <w:rFonts w:ascii="Arial" w:hAnsi="Arial" w:eastAsia="Arial" w:cs="Arial"/>
          <w:sz w:val="21"/>
          <w:szCs w:val="21"/>
        </w:rPr>
        <w:sectPr>
          <w:pgSz w:w="10310" w:h="13340"/>
          <w:pgMar w:top="400" w:right="1014" w:bottom="400" w:left="520" w:header="0" w:footer="0" w:gutter="0"/>
          <w:cols w:space="720" w:num="1"/>
        </w:sectPr>
      </w:pPr>
    </w:p>
    <w:p w14:paraId="0E4DFDD0">
      <w:pPr>
        <w:pStyle w:val="2"/>
        <w:spacing w:before="36" w:line="219" w:lineRule="auto"/>
        <w:jc w:val="right"/>
        <w:rPr>
          <w:rFonts w:ascii="Times New Roman" w:hAnsi="Times New Roman" w:eastAsia="Times New Roman" w:cs="Times New Roman"/>
          <w:sz w:val="17"/>
          <w:szCs w:val="17"/>
        </w:rPr>
      </w:pPr>
      <w:r>
        <w:rPr>
          <w:spacing w:val="3"/>
          <w:sz w:val="19"/>
          <w:szCs w:val="19"/>
        </w:rPr>
        <w:t>第19章</w:t>
      </w:r>
      <w:r>
        <w:rPr>
          <w:spacing w:val="31"/>
          <w:sz w:val="19"/>
          <w:szCs w:val="19"/>
        </w:rPr>
        <w:t xml:space="preserve"> </w:t>
      </w:r>
      <w:r>
        <w:rPr>
          <w:spacing w:val="3"/>
          <w:sz w:val="19"/>
          <w:szCs w:val="19"/>
        </w:rPr>
        <w:t>监理支撑要素</w:t>
      </w:r>
      <w:r>
        <w:rPr>
          <w:spacing w:val="6"/>
          <w:sz w:val="19"/>
          <w:szCs w:val="19"/>
        </w:rPr>
        <w:t xml:space="preserve">      </w:t>
      </w:r>
      <w:r>
        <w:rPr>
          <w:rFonts w:ascii="Times New Roman" w:hAnsi="Times New Roman" w:eastAsia="Times New Roman" w:cs="Times New Roman"/>
          <w:spacing w:val="3"/>
          <w:sz w:val="17"/>
          <w:szCs w:val="17"/>
        </w:rPr>
        <w:t>421</w:t>
      </w:r>
    </w:p>
    <w:p w14:paraId="686A27E0">
      <w:pPr>
        <w:spacing w:before="114"/>
      </w:pPr>
    </w:p>
    <w:tbl>
      <w:tblPr>
        <w:tblStyle w:val="5"/>
        <w:tblW w:w="83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0"/>
        <w:gridCol w:w="1560"/>
        <w:gridCol w:w="2460"/>
        <w:gridCol w:w="2260"/>
        <w:gridCol w:w="911"/>
      </w:tblGrid>
      <w:tr w14:paraId="7DCEF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8361" w:type="dxa"/>
            <w:gridSpan w:val="5"/>
            <w:tcBorders>
              <w:top w:val="nil"/>
              <w:left w:val="nil"/>
              <w:right w:val="nil"/>
            </w:tcBorders>
            <w:vAlign w:val="top"/>
          </w:tcPr>
          <w:p w14:paraId="5034A8B4">
            <w:pPr>
              <w:pStyle w:val="6"/>
              <w:spacing w:line="220" w:lineRule="auto"/>
              <w:jc w:val="right"/>
            </w:pPr>
            <w:r>
              <w:rPr>
                <w:spacing w:val="10"/>
              </w:rPr>
              <w:t>(续表)</w:t>
            </w:r>
          </w:p>
        </w:tc>
      </w:tr>
      <w:tr w14:paraId="4704F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70" w:type="dxa"/>
            <w:tcBorders>
              <w:left w:val="nil"/>
            </w:tcBorders>
            <w:vAlign w:val="top"/>
          </w:tcPr>
          <w:p w14:paraId="42E66848">
            <w:pPr>
              <w:pStyle w:val="6"/>
              <w:spacing w:before="66" w:line="220" w:lineRule="auto"/>
              <w:ind w:left="302"/>
            </w:pPr>
            <w:r>
              <w:rPr>
                <w:b/>
                <w:bCs/>
                <w:spacing w:val="-4"/>
              </w:rPr>
              <w:t>标准号</w:t>
            </w:r>
          </w:p>
        </w:tc>
        <w:tc>
          <w:tcPr>
            <w:tcW w:w="1560" w:type="dxa"/>
            <w:vAlign w:val="top"/>
          </w:tcPr>
          <w:p w14:paraId="5B0CD8D8">
            <w:pPr>
              <w:pStyle w:val="6"/>
              <w:spacing w:before="66" w:line="220" w:lineRule="auto"/>
              <w:ind w:left="397"/>
            </w:pPr>
            <w:r>
              <w:rPr>
                <w:b/>
                <w:bCs/>
                <w:spacing w:val="-4"/>
              </w:rPr>
              <w:t>标准名称</w:t>
            </w:r>
          </w:p>
        </w:tc>
        <w:tc>
          <w:tcPr>
            <w:tcW w:w="2460" w:type="dxa"/>
            <w:vAlign w:val="top"/>
          </w:tcPr>
          <w:p w14:paraId="69007F07">
            <w:pPr>
              <w:pStyle w:val="6"/>
              <w:spacing w:before="65" w:line="219" w:lineRule="auto"/>
              <w:ind w:left="847"/>
            </w:pPr>
            <w:r>
              <w:rPr>
                <w:b/>
                <w:bCs/>
                <w:spacing w:val="-4"/>
              </w:rPr>
              <w:t>主要内容</w:t>
            </w:r>
          </w:p>
        </w:tc>
        <w:tc>
          <w:tcPr>
            <w:tcW w:w="2260" w:type="dxa"/>
            <w:vAlign w:val="top"/>
          </w:tcPr>
          <w:p w14:paraId="5F2C690B">
            <w:pPr>
              <w:pStyle w:val="6"/>
              <w:spacing w:before="66" w:line="220" w:lineRule="auto"/>
              <w:ind w:left="787"/>
            </w:pPr>
            <w:r>
              <w:rPr>
                <w:b/>
                <w:bCs/>
                <w:spacing w:val="-4"/>
              </w:rPr>
              <w:t>适用范围</w:t>
            </w:r>
          </w:p>
        </w:tc>
        <w:tc>
          <w:tcPr>
            <w:tcW w:w="911" w:type="dxa"/>
            <w:tcBorders>
              <w:right w:val="nil"/>
            </w:tcBorders>
            <w:vAlign w:val="top"/>
          </w:tcPr>
          <w:p w14:paraId="7E903812">
            <w:pPr>
              <w:pStyle w:val="6"/>
              <w:spacing w:before="65" w:line="219" w:lineRule="auto"/>
              <w:ind w:left="237"/>
            </w:pPr>
            <w:r>
              <w:rPr>
                <w:b/>
                <w:bCs/>
                <w:spacing w:val="-4"/>
              </w:rPr>
              <w:t>类别</w:t>
            </w:r>
          </w:p>
        </w:tc>
      </w:tr>
      <w:tr w14:paraId="2E303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8" w:hRule="atLeast"/>
        </w:trPr>
        <w:tc>
          <w:tcPr>
            <w:tcW w:w="1170" w:type="dxa"/>
            <w:tcBorders>
              <w:left w:val="nil"/>
            </w:tcBorders>
            <w:vAlign w:val="top"/>
          </w:tcPr>
          <w:p w14:paraId="0FCA3F4A">
            <w:pPr>
              <w:spacing w:line="272" w:lineRule="auto"/>
              <w:rPr>
                <w:rFonts w:ascii="Arial"/>
                <w:sz w:val="21"/>
              </w:rPr>
            </w:pPr>
          </w:p>
          <w:p w14:paraId="4A9A75DC">
            <w:pPr>
              <w:spacing w:line="272" w:lineRule="auto"/>
              <w:rPr>
                <w:rFonts w:ascii="Arial"/>
                <w:sz w:val="21"/>
              </w:rPr>
            </w:pPr>
          </w:p>
          <w:p w14:paraId="65760EDB">
            <w:pPr>
              <w:spacing w:line="273" w:lineRule="auto"/>
              <w:rPr>
                <w:rFonts w:ascii="Arial"/>
                <w:sz w:val="21"/>
              </w:rPr>
            </w:pPr>
          </w:p>
          <w:p w14:paraId="21B3BCDF">
            <w:pPr>
              <w:pStyle w:val="6"/>
              <w:spacing w:before="61" w:line="224" w:lineRule="auto"/>
              <w:jc w:val="right"/>
            </w:pPr>
            <w:r>
              <w:rPr>
                <w:spacing w:val="-4"/>
              </w:rPr>
              <w:t>GB/T</w:t>
            </w:r>
            <w:r>
              <w:rPr>
                <w:spacing w:val="18"/>
              </w:rPr>
              <w:t xml:space="preserve"> </w:t>
            </w:r>
            <w:r>
              <w:rPr>
                <w:spacing w:val="-4"/>
              </w:rPr>
              <w:t>36478.4</w:t>
            </w:r>
          </w:p>
        </w:tc>
        <w:tc>
          <w:tcPr>
            <w:tcW w:w="1560" w:type="dxa"/>
            <w:vAlign w:val="top"/>
          </w:tcPr>
          <w:p w14:paraId="77E2DD3B">
            <w:pPr>
              <w:spacing w:line="276" w:lineRule="auto"/>
              <w:rPr>
                <w:rFonts w:ascii="Arial"/>
                <w:sz w:val="21"/>
              </w:rPr>
            </w:pPr>
          </w:p>
          <w:p w14:paraId="114FD3C8">
            <w:pPr>
              <w:spacing w:line="277" w:lineRule="auto"/>
              <w:rPr>
                <w:rFonts w:ascii="Arial"/>
                <w:sz w:val="21"/>
              </w:rPr>
            </w:pPr>
          </w:p>
          <w:p w14:paraId="5E8617B8">
            <w:pPr>
              <w:pStyle w:val="6"/>
              <w:spacing w:before="62" w:line="263" w:lineRule="auto"/>
              <w:ind w:left="44" w:right="19" w:firstLine="60"/>
              <w:jc w:val="both"/>
            </w:pPr>
            <w:r>
              <w:rPr>
                <w:spacing w:val="-2"/>
              </w:rPr>
              <w:t>物联网信息交换</w:t>
            </w:r>
            <w:r>
              <w:rPr>
                <w:spacing w:val="2"/>
              </w:rPr>
              <w:t xml:space="preserve">  </w:t>
            </w:r>
            <w:r>
              <w:rPr>
                <w:spacing w:val="7"/>
              </w:rPr>
              <w:t>和共享第4部分：</w:t>
            </w:r>
            <w:r>
              <w:rPr>
                <w:spacing w:val="3"/>
              </w:rPr>
              <w:t xml:space="preserve"> </w:t>
            </w:r>
            <w:r>
              <w:rPr>
                <w:spacing w:val="7"/>
              </w:rPr>
              <w:t>数据接口</w:t>
            </w:r>
          </w:p>
        </w:tc>
        <w:tc>
          <w:tcPr>
            <w:tcW w:w="2460" w:type="dxa"/>
            <w:vAlign w:val="top"/>
          </w:tcPr>
          <w:p w14:paraId="45C175E7">
            <w:pPr>
              <w:pStyle w:val="6"/>
              <w:spacing w:before="64" w:line="260" w:lineRule="auto"/>
              <w:ind w:left="15"/>
              <w:jc w:val="both"/>
            </w:pPr>
            <w:r>
              <w:rPr>
                <w:spacing w:val="-8"/>
              </w:rPr>
              <w:t>该部分规定了物联网系统与外</w:t>
            </w:r>
            <w:r>
              <w:rPr>
                <w:spacing w:val="4"/>
              </w:rPr>
              <w:t xml:space="preserve"> </w:t>
            </w:r>
            <w:r>
              <w:rPr>
                <w:spacing w:val="-8"/>
              </w:rPr>
              <w:t>部物联网系统进行信息交换和</w:t>
            </w:r>
            <w:r>
              <w:rPr>
                <w:spacing w:val="5"/>
              </w:rPr>
              <w:t xml:space="preserve"> </w:t>
            </w:r>
            <w:r>
              <w:rPr>
                <w:spacing w:val="-10"/>
              </w:rPr>
              <w:t>共享时数据接口的数据推送请</w:t>
            </w:r>
            <w:r>
              <w:rPr>
                <w:spacing w:val="5"/>
              </w:rPr>
              <w:t xml:space="preserve">  </w:t>
            </w:r>
            <w:r>
              <w:rPr>
                <w:spacing w:val="-17"/>
              </w:rPr>
              <w:t>求、推送数据、数据获取请求、</w:t>
            </w:r>
            <w:r>
              <w:rPr>
                <w:spacing w:val="11"/>
              </w:rPr>
              <w:t xml:space="preserve"> </w:t>
            </w:r>
            <w:r>
              <w:rPr>
                <w:spacing w:val="-10"/>
              </w:rPr>
              <w:t>获取数据、目录获取请求、获</w:t>
            </w:r>
            <w:r>
              <w:rPr>
                <w:spacing w:val="5"/>
              </w:rPr>
              <w:t xml:space="preserve">  </w:t>
            </w:r>
            <w:r>
              <w:rPr>
                <w:spacing w:val="-10"/>
              </w:rPr>
              <w:t>取目录数据、目录数据推送请</w:t>
            </w:r>
            <w:r>
              <w:rPr>
                <w:spacing w:val="5"/>
              </w:rPr>
              <w:t xml:space="preserve">  </w:t>
            </w:r>
            <w:r>
              <w:rPr>
                <w:spacing w:val="-9"/>
              </w:rPr>
              <w:t>求和推送目录数据等接口参数</w:t>
            </w:r>
          </w:p>
        </w:tc>
        <w:tc>
          <w:tcPr>
            <w:tcW w:w="2260" w:type="dxa"/>
            <w:vAlign w:val="top"/>
          </w:tcPr>
          <w:p w14:paraId="3CCE728D">
            <w:pPr>
              <w:spacing w:line="424" w:lineRule="auto"/>
              <w:rPr>
                <w:rFonts w:ascii="Arial"/>
                <w:sz w:val="21"/>
              </w:rPr>
            </w:pPr>
          </w:p>
          <w:p w14:paraId="5BD44E63">
            <w:pPr>
              <w:pStyle w:val="6"/>
              <w:spacing w:before="62" w:line="262" w:lineRule="auto"/>
              <w:ind w:left="34" w:right="92" w:firstLine="30"/>
              <w:jc w:val="both"/>
            </w:pPr>
            <w:r>
              <w:rPr>
                <w:spacing w:val="-1"/>
              </w:rPr>
              <w:t>该部分适用于物联网系统</w:t>
            </w:r>
            <w:r>
              <w:t xml:space="preserve"> </w:t>
            </w:r>
            <w:r>
              <w:rPr>
                <w:spacing w:val="1"/>
              </w:rPr>
              <w:t>之间信息交换和共享的设</w:t>
            </w:r>
            <w:r>
              <w:rPr>
                <w:spacing w:val="9"/>
              </w:rPr>
              <w:t xml:space="preserve"> </w:t>
            </w:r>
            <w:r>
              <w:rPr>
                <w:spacing w:val="2"/>
              </w:rPr>
              <w:t>计、系统开发以及运行维</w:t>
            </w:r>
            <w:r>
              <w:rPr>
                <w:spacing w:val="9"/>
              </w:rPr>
              <w:t xml:space="preserve"> </w:t>
            </w:r>
            <w:r>
              <w:rPr>
                <w:spacing w:val="-2"/>
              </w:rPr>
              <w:t>护管理</w:t>
            </w:r>
          </w:p>
        </w:tc>
        <w:tc>
          <w:tcPr>
            <w:tcW w:w="911" w:type="dxa"/>
            <w:tcBorders>
              <w:right w:val="nil"/>
            </w:tcBorders>
            <w:vAlign w:val="top"/>
          </w:tcPr>
          <w:p w14:paraId="7844738F">
            <w:pPr>
              <w:spacing w:line="270" w:lineRule="auto"/>
              <w:rPr>
                <w:rFonts w:ascii="Arial"/>
                <w:sz w:val="21"/>
              </w:rPr>
            </w:pPr>
          </w:p>
          <w:p w14:paraId="12C53091">
            <w:pPr>
              <w:spacing w:line="271" w:lineRule="auto"/>
              <w:rPr>
                <w:rFonts w:ascii="Arial"/>
                <w:sz w:val="21"/>
              </w:rPr>
            </w:pPr>
          </w:p>
          <w:p w14:paraId="72F78C08">
            <w:pPr>
              <w:spacing w:line="271" w:lineRule="auto"/>
              <w:rPr>
                <w:rFonts w:ascii="Arial"/>
                <w:sz w:val="21"/>
              </w:rPr>
            </w:pPr>
          </w:p>
          <w:p w14:paraId="784D2991">
            <w:pPr>
              <w:pStyle w:val="6"/>
              <w:spacing w:before="62" w:line="220" w:lineRule="auto"/>
              <w:ind w:left="44"/>
            </w:pPr>
            <w:r>
              <w:rPr>
                <w:spacing w:val="2"/>
              </w:rPr>
              <w:t>国家标准</w:t>
            </w:r>
          </w:p>
        </w:tc>
      </w:tr>
      <w:tr w14:paraId="7250C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1170" w:type="dxa"/>
            <w:tcBorders>
              <w:left w:val="nil"/>
            </w:tcBorders>
            <w:vAlign w:val="top"/>
          </w:tcPr>
          <w:p w14:paraId="269C4ECE">
            <w:pPr>
              <w:spacing w:line="411" w:lineRule="auto"/>
              <w:rPr>
                <w:rFonts w:ascii="Arial"/>
                <w:sz w:val="21"/>
              </w:rPr>
            </w:pPr>
          </w:p>
          <w:p w14:paraId="3E929EDA">
            <w:pPr>
              <w:pStyle w:val="6"/>
              <w:spacing w:before="62" w:line="224" w:lineRule="auto"/>
              <w:ind w:left="49"/>
            </w:pPr>
            <w:r>
              <w:rPr>
                <w:spacing w:val="-2"/>
              </w:rPr>
              <w:t>GB/T</w:t>
            </w:r>
            <w:r>
              <w:rPr>
                <w:spacing w:val="14"/>
              </w:rPr>
              <w:t xml:space="preserve"> </w:t>
            </w:r>
            <w:r>
              <w:rPr>
                <w:spacing w:val="-2"/>
              </w:rPr>
              <w:t>37684</w:t>
            </w:r>
          </w:p>
        </w:tc>
        <w:tc>
          <w:tcPr>
            <w:tcW w:w="1560" w:type="dxa"/>
            <w:vAlign w:val="top"/>
          </w:tcPr>
          <w:p w14:paraId="49DAE233">
            <w:pPr>
              <w:spacing w:line="286" w:lineRule="auto"/>
              <w:rPr>
                <w:rFonts w:ascii="Arial"/>
                <w:sz w:val="21"/>
              </w:rPr>
            </w:pPr>
          </w:p>
          <w:p w14:paraId="647BB2DD">
            <w:pPr>
              <w:pStyle w:val="6"/>
              <w:spacing w:before="61" w:line="259" w:lineRule="auto"/>
              <w:ind w:left="34" w:right="100" w:firstLine="70"/>
            </w:pPr>
            <w:r>
              <w:rPr>
                <w:spacing w:val="2"/>
              </w:rPr>
              <w:t>物联网协同信息</w:t>
            </w:r>
            <w:r>
              <w:t xml:space="preserve"> </w:t>
            </w:r>
            <w:r>
              <w:rPr>
                <w:spacing w:val="2"/>
              </w:rPr>
              <w:t>处理参考模型</w:t>
            </w:r>
          </w:p>
        </w:tc>
        <w:tc>
          <w:tcPr>
            <w:tcW w:w="2460" w:type="dxa"/>
            <w:vAlign w:val="top"/>
          </w:tcPr>
          <w:p w14:paraId="58E3E1FF">
            <w:pPr>
              <w:pStyle w:val="6"/>
              <w:spacing w:before="79" w:line="250" w:lineRule="auto"/>
              <w:ind w:left="15"/>
              <w:jc w:val="both"/>
            </w:pPr>
            <w:r>
              <w:rPr>
                <w:spacing w:val="-5"/>
              </w:rPr>
              <w:t>该标准提出了物联网系统中对</w:t>
            </w:r>
            <w:r>
              <w:rPr>
                <w:spacing w:val="4"/>
              </w:rPr>
              <w:t xml:space="preserve"> </w:t>
            </w:r>
            <w:r>
              <w:rPr>
                <w:spacing w:val="-3"/>
              </w:rPr>
              <w:t>任务或服务的协同信息处理的</w:t>
            </w:r>
            <w:r>
              <w:rPr>
                <w:spacing w:val="2"/>
              </w:rPr>
              <w:t xml:space="preserve"> </w:t>
            </w:r>
            <w:r>
              <w:rPr>
                <w:spacing w:val="-3"/>
              </w:rPr>
              <w:t>参考模型，规定了实体功能和</w:t>
            </w:r>
            <w:r>
              <w:t xml:space="preserve"> </w:t>
            </w:r>
            <w:r>
              <w:rPr>
                <w:spacing w:val="2"/>
              </w:rPr>
              <w:t>协同信息处理过程</w:t>
            </w:r>
          </w:p>
        </w:tc>
        <w:tc>
          <w:tcPr>
            <w:tcW w:w="2260" w:type="dxa"/>
            <w:vAlign w:val="top"/>
          </w:tcPr>
          <w:p w14:paraId="612F5B93">
            <w:pPr>
              <w:pStyle w:val="6"/>
              <w:spacing w:before="210" w:line="249" w:lineRule="auto"/>
              <w:ind w:left="44" w:right="79" w:firstLine="40"/>
              <w:jc w:val="both"/>
            </w:pPr>
            <w:r>
              <w:rPr>
                <w:spacing w:val="-1"/>
              </w:rPr>
              <w:t>该标准适用于物联网系统</w:t>
            </w:r>
            <w:r>
              <w:t xml:space="preserve"> </w:t>
            </w:r>
            <w:r>
              <w:rPr>
                <w:spacing w:val="3"/>
              </w:rPr>
              <w:t>中协同信息处理的设计和</w:t>
            </w:r>
            <w:r>
              <w:rPr>
                <w:spacing w:val="1"/>
              </w:rPr>
              <w:t xml:space="preserve"> </w:t>
            </w:r>
            <w:r>
              <w:rPr>
                <w:spacing w:val="-3"/>
              </w:rPr>
              <w:t>开发</w:t>
            </w:r>
          </w:p>
        </w:tc>
        <w:tc>
          <w:tcPr>
            <w:tcW w:w="911" w:type="dxa"/>
            <w:tcBorders>
              <w:right w:val="nil"/>
            </w:tcBorders>
            <w:vAlign w:val="top"/>
          </w:tcPr>
          <w:p w14:paraId="0E296A66">
            <w:pPr>
              <w:spacing w:line="406" w:lineRule="auto"/>
              <w:rPr>
                <w:rFonts w:ascii="Arial"/>
                <w:sz w:val="21"/>
              </w:rPr>
            </w:pPr>
          </w:p>
          <w:p w14:paraId="720609B5">
            <w:pPr>
              <w:pStyle w:val="6"/>
              <w:spacing w:before="62" w:line="220" w:lineRule="auto"/>
              <w:ind w:left="44"/>
            </w:pPr>
            <w:r>
              <w:rPr>
                <w:spacing w:val="2"/>
              </w:rPr>
              <w:t>国家标准</w:t>
            </w:r>
          </w:p>
        </w:tc>
      </w:tr>
      <w:tr w14:paraId="52FBB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170" w:type="dxa"/>
            <w:tcBorders>
              <w:left w:val="nil"/>
            </w:tcBorders>
            <w:vAlign w:val="top"/>
          </w:tcPr>
          <w:p w14:paraId="532DE533">
            <w:pPr>
              <w:pStyle w:val="6"/>
              <w:spacing w:before="196" w:line="224" w:lineRule="auto"/>
              <w:ind w:left="49"/>
            </w:pPr>
            <w:r>
              <w:rPr>
                <w:spacing w:val="-2"/>
              </w:rPr>
              <w:t>GB/T</w:t>
            </w:r>
            <w:r>
              <w:rPr>
                <w:spacing w:val="14"/>
              </w:rPr>
              <w:t xml:space="preserve"> </w:t>
            </w:r>
            <w:r>
              <w:rPr>
                <w:spacing w:val="-2"/>
              </w:rPr>
              <w:t>37685</w:t>
            </w:r>
          </w:p>
        </w:tc>
        <w:tc>
          <w:tcPr>
            <w:tcW w:w="1560" w:type="dxa"/>
            <w:vAlign w:val="top"/>
          </w:tcPr>
          <w:p w14:paraId="4A73A68B">
            <w:pPr>
              <w:pStyle w:val="6"/>
              <w:spacing w:before="80" w:line="233" w:lineRule="auto"/>
              <w:ind w:left="34" w:right="100" w:firstLine="70"/>
            </w:pPr>
            <w:r>
              <w:rPr>
                <w:spacing w:val="2"/>
              </w:rPr>
              <w:t>物联网应用信息</w:t>
            </w:r>
            <w:r>
              <w:t xml:space="preserve"> </w:t>
            </w:r>
            <w:r>
              <w:rPr>
                <w:spacing w:val="-2"/>
              </w:rPr>
              <w:t>服务分类</w:t>
            </w:r>
          </w:p>
        </w:tc>
        <w:tc>
          <w:tcPr>
            <w:tcW w:w="2460" w:type="dxa"/>
            <w:vAlign w:val="top"/>
          </w:tcPr>
          <w:p w14:paraId="30E745CE">
            <w:pPr>
              <w:pStyle w:val="6"/>
              <w:spacing w:before="72" w:line="237" w:lineRule="auto"/>
              <w:ind w:left="44" w:hanging="29"/>
            </w:pPr>
            <w:r>
              <w:rPr>
                <w:spacing w:val="-3"/>
              </w:rPr>
              <w:t>该标准规定了物联网应用信息</w:t>
            </w:r>
            <w:r>
              <w:rPr>
                <w:spacing w:val="2"/>
              </w:rPr>
              <w:t xml:space="preserve"> </w:t>
            </w:r>
            <w:r>
              <w:rPr>
                <w:spacing w:val="-1"/>
              </w:rPr>
              <w:t>服务分类的规则与类别</w:t>
            </w:r>
          </w:p>
        </w:tc>
        <w:tc>
          <w:tcPr>
            <w:tcW w:w="2260" w:type="dxa"/>
            <w:vAlign w:val="top"/>
          </w:tcPr>
          <w:p w14:paraId="2FF460E1">
            <w:pPr>
              <w:pStyle w:val="6"/>
              <w:spacing w:before="72" w:line="237" w:lineRule="auto"/>
              <w:ind w:left="63" w:hanging="9"/>
            </w:pPr>
            <w:r>
              <w:rPr>
                <w:spacing w:val="-8"/>
              </w:rPr>
              <w:t>该标准适用于物联网应用系</w:t>
            </w:r>
            <w:r>
              <w:rPr>
                <w:spacing w:val="5"/>
              </w:rPr>
              <w:t xml:space="preserve"> </w:t>
            </w:r>
            <w:r>
              <w:rPr>
                <w:spacing w:val="-8"/>
              </w:rPr>
              <w:t>统规划、设计、研发与应用</w:t>
            </w:r>
          </w:p>
        </w:tc>
        <w:tc>
          <w:tcPr>
            <w:tcW w:w="911" w:type="dxa"/>
            <w:tcBorders>
              <w:right w:val="nil"/>
            </w:tcBorders>
            <w:vAlign w:val="top"/>
          </w:tcPr>
          <w:p w14:paraId="7F300B9E">
            <w:pPr>
              <w:pStyle w:val="6"/>
              <w:spacing w:before="191" w:line="220" w:lineRule="auto"/>
              <w:ind w:left="44"/>
            </w:pPr>
            <w:r>
              <w:rPr>
                <w:spacing w:val="2"/>
              </w:rPr>
              <w:t>国家标准</w:t>
            </w:r>
          </w:p>
        </w:tc>
      </w:tr>
      <w:tr w14:paraId="0F645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1170" w:type="dxa"/>
            <w:tcBorders>
              <w:left w:val="nil"/>
            </w:tcBorders>
            <w:vAlign w:val="top"/>
          </w:tcPr>
          <w:p w14:paraId="77F2F2C6">
            <w:pPr>
              <w:spacing w:line="412" w:lineRule="auto"/>
              <w:rPr>
                <w:rFonts w:ascii="Arial"/>
                <w:sz w:val="21"/>
              </w:rPr>
            </w:pPr>
          </w:p>
          <w:p w14:paraId="3EC561C6">
            <w:pPr>
              <w:pStyle w:val="6"/>
              <w:spacing w:before="62" w:line="224" w:lineRule="auto"/>
              <w:ind w:left="49"/>
            </w:pPr>
            <w:r>
              <w:rPr>
                <w:spacing w:val="-1"/>
              </w:rPr>
              <w:t>GB/T37686</w:t>
            </w:r>
          </w:p>
        </w:tc>
        <w:tc>
          <w:tcPr>
            <w:tcW w:w="1560" w:type="dxa"/>
            <w:vAlign w:val="top"/>
          </w:tcPr>
          <w:p w14:paraId="453D1577">
            <w:pPr>
              <w:spacing w:line="287" w:lineRule="auto"/>
              <w:rPr>
                <w:rFonts w:ascii="Arial"/>
                <w:sz w:val="21"/>
              </w:rPr>
            </w:pPr>
          </w:p>
          <w:p w14:paraId="4B78C99B">
            <w:pPr>
              <w:pStyle w:val="6"/>
              <w:spacing w:before="62" w:line="259" w:lineRule="auto"/>
              <w:ind w:left="44" w:right="122" w:firstLine="60"/>
            </w:pPr>
            <w:r>
              <w:rPr>
                <w:spacing w:val="-2"/>
              </w:rPr>
              <w:t>物联网感知对象</w:t>
            </w:r>
            <w:r>
              <w:rPr>
                <w:spacing w:val="5"/>
              </w:rPr>
              <w:t xml:space="preserve"> </w:t>
            </w:r>
            <w:r>
              <w:rPr>
                <w:spacing w:val="2"/>
              </w:rPr>
              <w:t>信息融合模型</w:t>
            </w:r>
          </w:p>
        </w:tc>
        <w:tc>
          <w:tcPr>
            <w:tcW w:w="2460" w:type="dxa"/>
            <w:vAlign w:val="top"/>
          </w:tcPr>
          <w:p w14:paraId="233EA33F">
            <w:pPr>
              <w:pStyle w:val="6"/>
              <w:spacing w:before="71" w:line="252" w:lineRule="auto"/>
              <w:ind w:left="15"/>
              <w:jc w:val="both"/>
            </w:pPr>
            <w:r>
              <w:rPr>
                <w:spacing w:val="-5"/>
              </w:rPr>
              <w:t>该标准提出了物联网感知对象</w:t>
            </w:r>
            <w:r>
              <w:rPr>
                <w:spacing w:val="4"/>
              </w:rPr>
              <w:t xml:space="preserve"> </w:t>
            </w:r>
            <w:r>
              <w:rPr>
                <w:spacing w:val="-3"/>
              </w:rPr>
              <w:t>信息融合的概念模型，描述了</w:t>
            </w:r>
            <w:r>
              <w:rPr>
                <w:spacing w:val="2"/>
              </w:rPr>
              <w:t xml:space="preserve"> </w:t>
            </w:r>
            <w:r>
              <w:rPr>
                <w:spacing w:val="-5"/>
              </w:rPr>
              <w:t>感知对象信息融合在物联网参</w:t>
            </w:r>
            <w:r>
              <w:rPr>
                <w:spacing w:val="5"/>
              </w:rPr>
              <w:t xml:space="preserve"> </w:t>
            </w:r>
            <w:r>
              <w:rPr>
                <w:spacing w:val="1"/>
              </w:rPr>
              <w:t>考体系结构中的位置</w:t>
            </w:r>
          </w:p>
        </w:tc>
        <w:tc>
          <w:tcPr>
            <w:tcW w:w="2260" w:type="dxa"/>
            <w:vAlign w:val="top"/>
          </w:tcPr>
          <w:p w14:paraId="0427E6C9">
            <w:pPr>
              <w:pStyle w:val="6"/>
              <w:spacing w:before="220" w:line="259" w:lineRule="auto"/>
              <w:ind w:left="44" w:right="85" w:firstLine="40"/>
              <w:jc w:val="both"/>
            </w:pPr>
            <w:r>
              <w:rPr>
                <w:spacing w:val="-1"/>
              </w:rPr>
              <w:t>该标准适用于物联网系统</w:t>
            </w:r>
            <w:r>
              <w:t xml:space="preserve"> </w:t>
            </w:r>
            <w:r>
              <w:rPr>
                <w:spacing w:val="1"/>
              </w:rPr>
              <w:t>感知对象信息融合的设计</w:t>
            </w:r>
            <w:r>
              <w:t xml:space="preserve"> </w:t>
            </w:r>
            <w:r>
              <w:rPr>
                <w:spacing w:val="-2"/>
              </w:rPr>
              <w:t>和开发</w:t>
            </w:r>
          </w:p>
        </w:tc>
        <w:tc>
          <w:tcPr>
            <w:tcW w:w="911" w:type="dxa"/>
            <w:tcBorders>
              <w:right w:val="nil"/>
            </w:tcBorders>
            <w:vAlign w:val="top"/>
          </w:tcPr>
          <w:p w14:paraId="19F5CA77">
            <w:pPr>
              <w:spacing w:line="407" w:lineRule="auto"/>
              <w:rPr>
                <w:rFonts w:ascii="Arial"/>
                <w:sz w:val="21"/>
              </w:rPr>
            </w:pPr>
          </w:p>
          <w:p w14:paraId="4B0B600C">
            <w:pPr>
              <w:pStyle w:val="6"/>
              <w:spacing w:before="62" w:line="220" w:lineRule="auto"/>
              <w:ind w:left="44"/>
            </w:pPr>
            <w:r>
              <w:rPr>
                <w:spacing w:val="2"/>
              </w:rPr>
              <w:t>国家标准</w:t>
            </w:r>
          </w:p>
        </w:tc>
      </w:tr>
      <w:tr w14:paraId="1677A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170" w:type="dxa"/>
            <w:tcBorders>
              <w:left w:val="nil"/>
            </w:tcBorders>
            <w:vAlign w:val="top"/>
          </w:tcPr>
          <w:p w14:paraId="56B6A6CA">
            <w:pPr>
              <w:spacing w:line="274" w:lineRule="auto"/>
              <w:rPr>
                <w:rFonts w:ascii="Arial"/>
                <w:sz w:val="21"/>
              </w:rPr>
            </w:pPr>
          </w:p>
          <w:p w14:paraId="50D1F2E2">
            <w:pPr>
              <w:pStyle w:val="6"/>
              <w:spacing w:before="62" w:line="224" w:lineRule="auto"/>
              <w:ind w:left="49"/>
            </w:pPr>
            <w:r>
              <w:rPr>
                <w:spacing w:val="-1"/>
              </w:rPr>
              <w:t>GB/T38637.1</w:t>
            </w:r>
          </w:p>
        </w:tc>
        <w:tc>
          <w:tcPr>
            <w:tcW w:w="1560" w:type="dxa"/>
            <w:vAlign w:val="top"/>
          </w:tcPr>
          <w:p w14:paraId="64AF6246">
            <w:pPr>
              <w:pStyle w:val="6"/>
              <w:spacing w:before="81" w:line="242" w:lineRule="auto"/>
              <w:ind w:left="64" w:right="98" w:firstLine="39"/>
              <w:jc w:val="both"/>
            </w:pPr>
            <w:r>
              <w:rPr>
                <w:spacing w:val="2"/>
              </w:rPr>
              <w:t>物联网感知控制</w:t>
            </w:r>
            <w:r>
              <w:rPr>
                <w:spacing w:val="1"/>
              </w:rPr>
              <w:t xml:space="preserve"> </w:t>
            </w:r>
            <w:r>
              <w:rPr>
                <w:spacing w:val="11"/>
              </w:rPr>
              <w:t>设备接入第1部</w:t>
            </w:r>
            <w:r>
              <w:rPr>
                <w:spacing w:val="1"/>
              </w:rPr>
              <w:t xml:space="preserve"> </w:t>
            </w:r>
            <w:r>
              <w:rPr>
                <w:spacing w:val="-2"/>
              </w:rPr>
              <w:t>分：总体要求</w:t>
            </w:r>
          </w:p>
        </w:tc>
        <w:tc>
          <w:tcPr>
            <w:tcW w:w="2460" w:type="dxa"/>
            <w:vAlign w:val="top"/>
          </w:tcPr>
          <w:p w14:paraId="75C54A13">
            <w:pPr>
              <w:pStyle w:val="6"/>
              <w:spacing w:before="81" w:line="242" w:lineRule="auto"/>
              <w:ind w:left="15"/>
              <w:jc w:val="both"/>
            </w:pPr>
            <w:r>
              <w:rPr>
                <w:spacing w:val="-10"/>
              </w:rPr>
              <w:t>该部分规定了物联网系统中感</w:t>
            </w:r>
            <w:r>
              <w:rPr>
                <w:spacing w:val="5"/>
              </w:rPr>
              <w:t xml:space="preserve">  </w:t>
            </w:r>
            <w:r>
              <w:rPr>
                <w:spacing w:val="-3"/>
              </w:rPr>
              <w:t>知控制设备接入的接入要求、</w:t>
            </w:r>
            <w:r>
              <w:rPr>
                <w:spacing w:val="2"/>
              </w:rPr>
              <w:t xml:space="preserve"> </w:t>
            </w:r>
            <w:r>
              <w:rPr>
                <w:spacing w:val="-2"/>
              </w:rPr>
              <w:t>应用层接入协议和协议适配</w:t>
            </w:r>
          </w:p>
        </w:tc>
        <w:tc>
          <w:tcPr>
            <w:tcW w:w="2260" w:type="dxa"/>
            <w:vAlign w:val="top"/>
          </w:tcPr>
          <w:p w14:paraId="03B7476C">
            <w:pPr>
              <w:pStyle w:val="6"/>
              <w:spacing w:before="212" w:line="260" w:lineRule="auto"/>
              <w:ind w:left="54" w:right="60" w:firstLine="30"/>
            </w:pPr>
            <w:r>
              <w:rPr>
                <w:spacing w:val="1"/>
              </w:rPr>
              <w:t>该部分适用于物联网感知</w:t>
            </w:r>
            <w:r>
              <w:rPr>
                <w:spacing w:val="2"/>
              </w:rPr>
              <w:t xml:space="preserve"> </w:t>
            </w:r>
            <w:r>
              <w:rPr>
                <w:spacing w:val="-1"/>
              </w:rPr>
              <w:t>控制设备的规划和研发</w:t>
            </w:r>
          </w:p>
        </w:tc>
        <w:tc>
          <w:tcPr>
            <w:tcW w:w="911" w:type="dxa"/>
            <w:tcBorders>
              <w:right w:val="nil"/>
            </w:tcBorders>
            <w:vAlign w:val="top"/>
          </w:tcPr>
          <w:p w14:paraId="273121F7">
            <w:pPr>
              <w:spacing w:line="269" w:lineRule="auto"/>
              <w:rPr>
                <w:rFonts w:ascii="Arial"/>
                <w:sz w:val="21"/>
              </w:rPr>
            </w:pPr>
          </w:p>
          <w:p w14:paraId="41430A87">
            <w:pPr>
              <w:pStyle w:val="6"/>
              <w:spacing w:before="62" w:line="220" w:lineRule="auto"/>
              <w:ind w:left="44"/>
            </w:pPr>
            <w:r>
              <w:rPr>
                <w:spacing w:val="2"/>
              </w:rPr>
              <w:t>国家标准</w:t>
            </w:r>
          </w:p>
        </w:tc>
      </w:tr>
      <w:tr w14:paraId="6AB02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170" w:type="dxa"/>
            <w:tcBorders>
              <w:left w:val="nil"/>
            </w:tcBorders>
            <w:vAlign w:val="top"/>
          </w:tcPr>
          <w:p w14:paraId="7B08BFE9">
            <w:pPr>
              <w:spacing w:line="394" w:lineRule="auto"/>
              <w:rPr>
                <w:rFonts w:ascii="Arial"/>
                <w:sz w:val="21"/>
              </w:rPr>
            </w:pPr>
          </w:p>
          <w:p w14:paraId="7B94B61A">
            <w:pPr>
              <w:pStyle w:val="6"/>
              <w:spacing w:before="62" w:line="224" w:lineRule="auto"/>
              <w:jc w:val="right"/>
            </w:pPr>
            <w:r>
              <w:rPr>
                <w:spacing w:val="-4"/>
              </w:rPr>
              <w:t>GB/T</w:t>
            </w:r>
            <w:r>
              <w:rPr>
                <w:spacing w:val="18"/>
              </w:rPr>
              <w:t xml:space="preserve"> </w:t>
            </w:r>
            <w:r>
              <w:rPr>
                <w:spacing w:val="-4"/>
              </w:rPr>
              <w:t>38624.1</w:t>
            </w:r>
          </w:p>
        </w:tc>
        <w:tc>
          <w:tcPr>
            <w:tcW w:w="1560" w:type="dxa"/>
            <w:vAlign w:val="top"/>
          </w:tcPr>
          <w:p w14:paraId="7B9C640B">
            <w:pPr>
              <w:pStyle w:val="6"/>
              <w:spacing w:before="62" w:line="247" w:lineRule="auto"/>
              <w:ind w:left="15" w:right="24" w:firstLine="139"/>
            </w:pPr>
            <w:r>
              <w:rPr>
                <w:spacing w:val="2"/>
              </w:rPr>
              <w:t>物联网网关第1</w:t>
            </w:r>
            <w:r>
              <w:t xml:space="preserve">  </w:t>
            </w:r>
            <w:r>
              <w:rPr>
                <w:spacing w:val="-2"/>
              </w:rPr>
              <w:t>部分：面向感知设</w:t>
            </w:r>
            <w:r>
              <w:rPr>
                <w:spacing w:val="5"/>
              </w:rPr>
              <w:t xml:space="preserve"> </w:t>
            </w:r>
            <w:r>
              <w:rPr>
                <w:spacing w:val="-2"/>
              </w:rPr>
              <w:t>备接入的网关技术</w:t>
            </w:r>
            <w:r>
              <w:rPr>
                <w:spacing w:val="5"/>
              </w:rPr>
              <w:t xml:space="preserve"> </w:t>
            </w:r>
            <w:r>
              <w:rPr>
                <w:spacing w:val="15"/>
              </w:rPr>
              <w:t>要求</w:t>
            </w:r>
          </w:p>
        </w:tc>
        <w:tc>
          <w:tcPr>
            <w:tcW w:w="2460" w:type="dxa"/>
            <w:vAlign w:val="top"/>
          </w:tcPr>
          <w:p w14:paraId="1FAF3838">
            <w:pPr>
              <w:pStyle w:val="6"/>
              <w:spacing w:before="212" w:line="244" w:lineRule="auto"/>
              <w:ind w:left="15"/>
              <w:jc w:val="both"/>
            </w:pPr>
            <w:r>
              <w:rPr>
                <w:spacing w:val="-3"/>
              </w:rPr>
              <w:t>该部分规定了面向感知设备接</w:t>
            </w:r>
            <w:r>
              <w:rPr>
                <w:spacing w:val="2"/>
              </w:rPr>
              <w:t xml:space="preserve"> </w:t>
            </w:r>
            <w:r>
              <w:rPr>
                <w:spacing w:val="-3"/>
              </w:rPr>
              <w:t>入的物联网网关功能要求和通</w:t>
            </w:r>
            <w:r>
              <w:rPr>
                <w:spacing w:val="2"/>
              </w:rPr>
              <w:t xml:space="preserve"> </w:t>
            </w:r>
            <w:r>
              <w:rPr>
                <w:spacing w:val="-2"/>
              </w:rPr>
              <w:t>用数据配置要求</w:t>
            </w:r>
          </w:p>
        </w:tc>
        <w:tc>
          <w:tcPr>
            <w:tcW w:w="2260" w:type="dxa"/>
            <w:vAlign w:val="top"/>
          </w:tcPr>
          <w:p w14:paraId="162ADEBB">
            <w:pPr>
              <w:pStyle w:val="6"/>
              <w:spacing w:before="193" w:line="254" w:lineRule="auto"/>
              <w:ind w:left="54" w:firstLine="19"/>
              <w:jc w:val="both"/>
            </w:pPr>
            <w:r>
              <w:rPr>
                <w:spacing w:val="-9"/>
              </w:rPr>
              <w:t>该部分适用于面向感知设</w:t>
            </w:r>
            <w:r>
              <w:rPr>
                <w:spacing w:val="1"/>
              </w:rPr>
              <w:t xml:space="preserve">   </w:t>
            </w:r>
            <w:r>
              <w:rPr>
                <w:spacing w:val="-8"/>
              </w:rPr>
              <w:t>备接入物联网网关的设计、</w:t>
            </w:r>
            <w:r>
              <w:rPr>
                <w:spacing w:val="10"/>
              </w:rPr>
              <w:t xml:space="preserve"> </w:t>
            </w:r>
            <w:r>
              <w:rPr>
                <w:spacing w:val="-8"/>
              </w:rPr>
              <w:t>开发和测试</w:t>
            </w:r>
          </w:p>
        </w:tc>
        <w:tc>
          <w:tcPr>
            <w:tcW w:w="911" w:type="dxa"/>
            <w:tcBorders>
              <w:right w:val="nil"/>
            </w:tcBorders>
            <w:vAlign w:val="top"/>
          </w:tcPr>
          <w:p w14:paraId="6BD8E58E">
            <w:pPr>
              <w:spacing w:line="389" w:lineRule="auto"/>
              <w:rPr>
                <w:rFonts w:ascii="Arial"/>
                <w:sz w:val="21"/>
              </w:rPr>
            </w:pPr>
          </w:p>
          <w:p w14:paraId="466AAFED">
            <w:pPr>
              <w:pStyle w:val="6"/>
              <w:spacing w:before="62" w:line="220" w:lineRule="auto"/>
              <w:ind w:left="44"/>
            </w:pPr>
            <w:r>
              <w:rPr>
                <w:spacing w:val="2"/>
              </w:rPr>
              <w:t>国家标准</w:t>
            </w:r>
          </w:p>
        </w:tc>
      </w:tr>
      <w:tr w14:paraId="6F042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170" w:type="dxa"/>
            <w:tcBorders>
              <w:left w:val="nil"/>
            </w:tcBorders>
            <w:vAlign w:val="top"/>
          </w:tcPr>
          <w:p w14:paraId="7D046F28">
            <w:pPr>
              <w:spacing w:line="405" w:lineRule="auto"/>
              <w:rPr>
                <w:rFonts w:ascii="Arial"/>
                <w:sz w:val="21"/>
              </w:rPr>
            </w:pPr>
          </w:p>
          <w:p w14:paraId="62CD4F21">
            <w:pPr>
              <w:pStyle w:val="6"/>
              <w:spacing w:before="62" w:line="224" w:lineRule="auto"/>
              <w:jc w:val="right"/>
            </w:pPr>
            <w:r>
              <w:rPr>
                <w:spacing w:val="-4"/>
              </w:rPr>
              <w:t>GB/T</w:t>
            </w:r>
            <w:r>
              <w:rPr>
                <w:spacing w:val="18"/>
              </w:rPr>
              <w:t xml:space="preserve"> </w:t>
            </w:r>
            <w:r>
              <w:rPr>
                <w:spacing w:val="-4"/>
              </w:rPr>
              <w:t>38637.2</w:t>
            </w:r>
          </w:p>
        </w:tc>
        <w:tc>
          <w:tcPr>
            <w:tcW w:w="1560" w:type="dxa"/>
            <w:vAlign w:val="top"/>
          </w:tcPr>
          <w:p w14:paraId="6970B812">
            <w:pPr>
              <w:pStyle w:val="6"/>
              <w:spacing w:before="215" w:line="220" w:lineRule="auto"/>
              <w:ind w:left="104"/>
            </w:pPr>
            <w:r>
              <w:rPr>
                <w:spacing w:val="2"/>
              </w:rPr>
              <w:t>物联网感知控制</w:t>
            </w:r>
          </w:p>
          <w:p w14:paraId="33C8912A">
            <w:pPr>
              <w:pStyle w:val="6"/>
              <w:spacing w:before="43" w:line="219" w:lineRule="auto"/>
              <w:ind w:left="154"/>
            </w:pPr>
            <w:r>
              <w:rPr>
                <w:spacing w:val="-2"/>
              </w:rPr>
              <w:t>设备接入第2部</w:t>
            </w:r>
          </w:p>
          <w:p w14:paraId="46552559">
            <w:pPr>
              <w:pStyle w:val="6"/>
              <w:spacing w:before="34" w:line="219" w:lineRule="auto"/>
              <w:ind w:left="15"/>
            </w:pPr>
            <w:r>
              <w:rPr>
                <w:spacing w:val="-2"/>
              </w:rPr>
              <w:t>分：数据管理要求</w:t>
            </w:r>
          </w:p>
        </w:tc>
        <w:tc>
          <w:tcPr>
            <w:tcW w:w="2460" w:type="dxa"/>
            <w:vAlign w:val="top"/>
          </w:tcPr>
          <w:p w14:paraId="53EBA6BD">
            <w:pPr>
              <w:pStyle w:val="6"/>
              <w:spacing w:before="72" w:line="247" w:lineRule="auto"/>
              <w:ind w:left="15"/>
              <w:jc w:val="both"/>
            </w:pPr>
            <w:r>
              <w:rPr>
                <w:spacing w:val="-3"/>
              </w:rPr>
              <w:t>该部分规定了物联网感知控制</w:t>
            </w:r>
            <w:r>
              <w:t xml:space="preserve"> </w:t>
            </w:r>
            <w:r>
              <w:rPr>
                <w:spacing w:val="-3"/>
              </w:rPr>
              <w:t>设备接入网关或平台时的数据</w:t>
            </w:r>
            <w:r>
              <w:t xml:space="preserve"> </w:t>
            </w:r>
            <w:r>
              <w:rPr>
                <w:spacing w:val="-3"/>
              </w:rPr>
              <w:t>采集、数据处理、数据交换和</w:t>
            </w:r>
            <w:r>
              <w:rPr>
                <w:spacing w:val="2"/>
              </w:rPr>
              <w:t xml:space="preserve"> </w:t>
            </w:r>
            <w:r>
              <w:t>数据安全等数据管理要求</w:t>
            </w:r>
          </w:p>
        </w:tc>
        <w:tc>
          <w:tcPr>
            <w:tcW w:w="2260" w:type="dxa"/>
            <w:vAlign w:val="top"/>
          </w:tcPr>
          <w:p w14:paraId="57D2538C">
            <w:pPr>
              <w:pStyle w:val="6"/>
              <w:spacing w:before="72" w:line="247" w:lineRule="auto"/>
              <w:ind w:left="44" w:right="70" w:firstLine="30"/>
              <w:jc w:val="both"/>
            </w:pPr>
            <w:r>
              <w:rPr>
                <w:spacing w:val="1"/>
              </w:rPr>
              <w:t>该部分适用于物联网感知</w:t>
            </w:r>
            <w:r>
              <w:rPr>
                <w:spacing w:val="2"/>
              </w:rPr>
              <w:t xml:space="preserve"> </w:t>
            </w:r>
            <w:r>
              <w:rPr>
                <w:spacing w:val="1"/>
              </w:rPr>
              <w:t>控制设备接入网关或平台</w:t>
            </w:r>
            <w:r>
              <w:rPr>
                <w:spacing w:val="8"/>
              </w:rPr>
              <w:t xml:space="preserve"> </w:t>
            </w:r>
            <w:r>
              <w:rPr>
                <w:spacing w:val="1"/>
              </w:rPr>
              <w:t>时数据管理功能的设计与</w:t>
            </w:r>
            <w:r>
              <w:rPr>
                <w:spacing w:val="3"/>
              </w:rPr>
              <w:t xml:space="preserve"> </w:t>
            </w:r>
            <w:r>
              <w:rPr>
                <w:spacing w:val="-3"/>
              </w:rPr>
              <w:t>实现</w:t>
            </w:r>
          </w:p>
        </w:tc>
        <w:tc>
          <w:tcPr>
            <w:tcW w:w="911" w:type="dxa"/>
            <w:tcBorders>
              <w:right w:val="nil"/>
            </w:tcBorders>
            <w:vAlign w:val="top"/>
          </w:tcPr>
          <w:p w14:paraId="4ACF0147">
            <w:pPr>
              <w:spacing w:line="400" w:lineRule="auto"/>
              <w:rPr>
                <w:rFonts w:ascii="Arial"/>
                <w:sz w:val="21"/>
              </w:rPr>
            </w:pPr>
          </w:p>
          <w:p w14:paraId="0F019315">
            <w:pPr>
              <w:pStyle w:val="6"/>
              <w:spacing w:before="62" w:line="220" w:lineRule="auto"/>
              <w:ind w:left="44"/>
            </w:pPr>
            <w:r>
              <w:rPr>
                <w:spacing w:val="2"/>
              </w:rPr>
              <w:t>国家标准</w:t>
            </w:r>
          </w:p>
        </w:tc>
      </w:tr>
      <w:tr w14:paraId="385C5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trPr>
        <w:tc>
          <w:tcPr>
            <w:tcW w:w="1170" w:type="dxa"/>
            <w:tcBorders>
              <w:left w:val="nil"/>
            </w:tcBorders>
            <w:vAlign w:val="top"/>
          </w:tcPr>
          <w:p w14:paraId="16F40814">
            <w:pPr>
              <w:spacing w:line="267" w:lineRule="auto"/>
              <w:rPr>
                <w:rFonts w:ascii="Arial"/>
                <w:sz w:val="21"/>
              </w:rPr>
            </w:pPr>
          </w:p>
          <w:p w14:paraId="1B6E5454">
            <w:pPr>
              <w:spacing w:line="268" w:lineRule="auto"/>
              <w:rPr>
                <w:rFonts w:ascii="Arial"/>
                <w:sz w:val="21"/>
              </w:rPr>
            </w:pPr>
          </w:p>
          <w:p w14:paraId="0C2B50B6">
            <w:pPr>
              <w:pStyle w:val="6"/>
              <w:spacing w:before="62" w:line="224" w:lineRule="auto"/>
              <w:ind w:left="49"/>
            </w:pPr>
            <w:r>
              <w:rPr>
                <w:spacing w:val="-1"/>
              </w:rPr>
              <w:t>GB/T 40684</w:t>
            </w:r>
          </w:p>
        </w:tc>
        <w:tc>
          <w:tcPr>
            <w:tcW w:w="1560" w:type="dxa"/>
            <w:vAlign w:val="top"/>
          </w:tcPr>
          <w:p w14:paraId="530E5B28">
            <w:pPr>
              <w:spacing w:line="272" w:lineRule="auto"/>
              <w:rPr>
                <w:rFonts w:ascii="Arial"/>
                <w:sz w:val="21"/>
              </w:rPr>
            </w:pPr>
          </w:p>
          <w:p w14:paraId="6CB771F2">
            <w:pPr>
              <w:pStyle w:val="6"/>
              <w:spacing w:before="62"/>
              <w:ind w:left="44" w:right="92" w:firstLine="60"/>
              <w:jc w:val="both"/>
            </w:pPr>
            <w:r>
              <w:rPr>
                <w:spacing w:val="-2"/>
              </w:rPr>
              <w:t>物联网信息共享</w:t>
            </w:r>
            <w:r>
              <w:rPr>
                <w:spacing w:val="5"/>
              </w:rPr>
              <w:t xml:space="preserve"> </w:t>
            </w:r>
            <w:r>
              <w:rPr>
                <w:spacing w:val="11"/>
              </w:rPr>
              <w:t>和交换平台通用</w:t>
            </w:r>
            <w:r>
              <w:rPr>
                <w:spacing w:val="5"/>
              </w:rPr>
              <w:t xml:space="preserve"> </w:t>
            </w:r>
            <w:r>
              <w:rPr>
                <w:spacing w:val="-3"/>
              </w:rPr>
              <w:t>要求</w:t>
            </w:r>
          </w:p>
        </w:tc>
        <w:tc>
          <w:tcPr>
            <w:tcW w:w="2460" w:type="dxa"/>
            <w:vAlign w:val="top"/>
          </w:tcPr>
          <w:p w14:paraId="6DD7537A">
            <w:pPr>
              <w:pStyle w:val="6"/>
              <w:spacing w:before="57" w:line="251" w:lineRule="auto"/>
              <w:ind w:left="15"/>
              <w:jc w:val="both"/>
            </w:pPr>
            <w:r>
              <w:rPr>
                <w:spacing w:val="-10"/>
              </w:rPr>
              <w:t>该文件规定了物联网信息共享</w:t>
            </w:r>
            <w:r>
              <w:rPr>
                <w:spacing w:val="5"/>
              </w:rPr>
              <w:t xml:space="preserve">  </w:t>
            </w:r>
            <w:r>
              <w:rPr>
                <w:spacing w:val="-1"/>
              </w:rPr>
              <w:t>与交换平台的概念和功能要</w:t>
            </w:r>
            <w:r>
              <w:rPr>
                <w:spacing w:val="3"/>
              </w:rPr>
              <w:t xml:space="preserve">  </w:t>
            </w:r>
            <w:r>
              <w:rPr>
                <w:spacing w:val="-3"/>
              </w:rPr>
              <w:t>求，功能要求包括数据管理、</w:t>
            </w:r>
            <w:r>
              <w:rPr>
                <w:spacing w:val="2"/>
              </w:rPr>
              <w:t xml:space="preserve"> </w:t>
            </w:r>
            <w:r>
              <w:rPr>
                <w:spacing w:val="-11"/>
              </w:rPr>
              <w:t>目录管理、服务支撑、平台管</w:t>
            </w:r>
            <w:r>
              <w:rPr>
                <w:spacing w:val="5"/>
              </w:rPr>
              <w:t xml:space="preserve">  </w:t>
            </w:r>
            <w:r>
              <w:t>理和安全机制</w:t>
            </w:r>
          </w:p>
        </w:tc>
        <w:tc>
          <w:tcPr>
            <w:tcW w:w="2260" w:type="dxa"/>
            <w:vAlign w:val="top"/>
          </w:tcPr>
          <w:p w14:paraId="77150C75">
            <w:pPr>
              <w:spacing w:line="282" w:lineRule="auto"/>
              <w:rPr>
                <w:rFonts w:ascii="Arial"/>
                <w:sz w:val="21"/>
              </w:rPr>
            </w:pPr>
          </w:p>
          <w:p w14:paraId="5B064F88">
            <w:pPr>
              <w:pStyle w:val="6"/>
              <w:spacing w:before="62" w:line="249" w:lineRule="auto"/>
              <w:ind w:left="15" w:right="20" w:firstLine="29"/>
              <w:jc w:val="both"/>
            </w:pPr>
            <w:r>
              <w:rPr>
                <w:spacing w:val="1"/>
              </w:rPr>
              <w:t xml:space="preserve">该文件适用于物联网信息  </w:t>
            </w:r>
            <w:r>
              <w:rPr>
                <w:spacing w:val="11"/>
              </w:rPr>
              <w:t>共享和交换平台的设计、</w:t>
            </w:r>
            <w:r>
              <w:rPr>
                <w:spacing w:val="2"/>
              </w:rPr>
              <w:t xml:space="preserve"> </w:t>
            </w:r>
            <w:r>
              <w:rPr>
                <w:spacing w:val="-2"/>
              </w:rPr>
              <w:t>开发和实现</w:t>
            </w:r>
          </w:p>
        </w:tc>
        <w:tc>
          <w:tcPr>
            <w:tcW w:w="911" w:type="dxa"/>
            <w:tcBorders>
              <w:right w:val="nil"/>
            </w:tcBorders>
            <w:vAlign w:val="top"/>
          </w:tcPr>
          <w:p w14:paraId="6F62FBA6">
            <w:pPr>
              <w:spacing w:line="265" w:lineRule="auto"/>
              <w:rPr>
                <w:rFonts w:ascii="Arial"/>
                <w:sz w:val="21"/>
              </w:rPr>
            </w:pPr>
          </w:p>
          <w:p w14:paraId="4F6DFF65">
            <w:pPr>
              <w:spacing w:line="265" w:lineRule="auto"/>
              <w:rPr>
                <w:rFonts w:ascii="Arial"/>
                <w:sz w:val="21"/>
              </w:rPr>
            </w:pPr>
          </w:p>
          <w:p w14:paraId="1FC16472">
            <w:pPr>
              <w:pStyle w:val="6"/>
              <w:spacing w:before="62" w:line="220" w:lineRule="auto"/>
              <w:ind w:left="44"/>
            </w:pPr>
            <w:r>
              <w:rPr>
                <w:spacing w:val="2"/>
              </w:rPr>
              <w:t>国家标准</w:t>
            </w:r>
          </w:p>
        </w:tc>
      </w:tr>
      <w:tr w14:paraId="1A4BD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3" w:hRule="atLeast"/>
        </w:trPr>
        <w:tc>
          <w:tcPr>
            <w:tcW w:w="1170" w:type="dxa"/>
            <w:tcBorders>
              <w:left w:val="nil"/>
            </w:tcBorders>
            <w:vAlign w:val="top"/>
          </w:tcPr>
          <w:p w14:paraId="1D8F0A80">
            <w:pPr>
              <w:spacing w:line="333" w:lineRule="auto"/>
              <w:rPr>
                <w:rFonts w:ascii="Arial"/>
                <w:sz w:val="21"/>
              </w:rPr>
            </w:pPr>
          </w:p>
          <w:p w14:paraId="7DC965F0">
            <w:pPr>
              <w:spacing w:line="333" w:lineRule="auto"/>
              <w:rPr>
                <w:rFonts w:ascii="Arial"/>
                <w:sz w:val="21"/>
              </w:rPr>
            </w:pPr>
          </w:p>
          <w:p w14:paraId="5DFB34D2">
            <w:pPr>
              <w:pStyle w:val="6"/>
              <w:spacing w:before="61" w:line="224" w:lineRule="auto"/>
              <w:ind w:left="49"/>
            </w:pPr>
            <w:r>
              <w:rPr>
                <w:spacing w:val="-1"/>
              </w:rPr>
              <w:t>GB/T 40688</w:t>
            </w:r>
          </w:p>
        </w:tc>
        <w:tc>
          <w:tcPr>
            <w:tcW w:w="1560" w:type="dxa"/>
            <w:vAlign w:val="top"/>
          </w:tcPr>
          <w:p w14:paraId="377B08E9">
            <w:pPr>
              <w:spacing w:line="265" w:lineRule="auto"/>
              <w:rPr>
                <w:rFonts w:ascii="Arial"/>
                <w:sz w:val="21"/>
              </w:rPr>
            </w:pPr>
          </w:p>
          <w:p w14:paraId="72AF0C7C">
            <w:pPr>
              <w:spacing w:line="266" w:lineRule="auto"/>
              <w:rPr>
                <w:rFonts w:ascii="Arial"/>
                <w:sz w:val="21"/>
              </w:rPr>
            </w:pPr>
          </w:p>
          <w:p w14:paraId="7ADE267A">
            <w:pPr>
              <w:pStyle w:val="6"/>
              <w:spacing w:before="62" w:line="249" w:lineRule="auto"/>
              <w:ind w:left="15" w:firstLine="89"/>
            </w:pPr>
            <w:r>
              <w:rPr>
                <w:spacing w:val="-3"/>
              </w:rPr>
              <w:t>物联网生命体征</w:t>
            </w:r>
            <w:r>
              <w:t xml:space="preserve">  </w:t>
            </w:r>
            <w:r>
              <w:rPr>
                <w:spacing w:val="1"/>
              </w:rPr>
              <w:t>感知设备数据接口</w:t>
            </w:r>
          </w:p>
        </w:tc>
        <w:tc>
          <w:tcPr>
            <w:tcW w:w="2460" w:type="dxa"/>
            <w:vAlign w:val="top"/>
          </w:tcPr>
          <w:p w14:paraId="186672B0">
            <w:pPr>
              <w:pStyle w:val="6"/>
              <w:spacing w:before="75" w:line="249" w:lineRule="auto"/>
              <w:ind w:left="15"/>
              <w:jc w:val="both"/>
            </w:pPr>
            <w:r>
              <w:rPr>
                <w:spacing w:val="-3"/>
              </w:rPr>
              <w:t>该文件规定了面向物联网应用</w:t>
            </w:r>
            <w:r>
              <w:rPr>
                <w:spacing w:val="2"/>
              </w:rPr>
              <w:t xml:space="preserve"> </w:t>
            </w:r>
            <w:r>
              <w:rPr>
                <w:spacing w:val="-4"/>
              </w:rPr>
              <w:t>的生命体征感知设备到生命体</w:t>
            </w:r>
            <w:r>
              <w:rPr>
                <w:spacing w:val="3"/>
              </w:rPr>
              <w:t xml:space="preserve"> </w:t>
            </w:r>
            <w:r>
              <w:rPr>
                <w:spacing w:val="5"/>
              </w:rPr>
              <w:t>征监测系统的数据接口的总</w:t>
            </w:r>
            <w:r>
              <w:t xml:space="preserve">  </w:t>
            </w:r>
            <w:r>
              <w:rPr>
                <w:spacing w:val="-5"/>
              </w:rPr>
              <w:t>则、接口消息格式以及通用接</w:t>
            </w:r>
            <w:r>
              <w:rPr>
                <w:spacing w:val="6"/>
              </w:rPr>
              <w:t xml:space="preserve"> </w:t>
            </w:r>
            <w:r>
              <w:rPr>
                <w:spacing w:val="-5"/>
              </w:rPr>
              <w:t>口和业务接口的基本功能和参</w:t>
            </w:r>
            <w:r>
              <w:rPr>
                <w:spacing w:val="3"/>
              </w:rPr>
              <w:t xml:space="preserve"> </w:t>
            </w:r>
            <w:r>
              <w:rPr>
                <w:spacing w:val="-2"/>
              </w:rPr>
              <w:t>数的要求</w:t>
            </w:r>
          </w:p>
        </w:tc>
        <w:tc>
          <w:tcPr>
            <w:tcW w:w="2260" w:type="dxa"/>
            <w:vAlign w:val="top"/>
          </w:tcPr>
          <w:p w14:paraId="2C041526">
            <w:pPr>
              <w:spacing w:line="410" w:lineRule="auto"/>
              <w:rPr>
                <w:rFonts w:ascii="Arial"/>
                <w:sz w:val="21"/>
              </w:rPr>
            </w:pPr>
          </w:p>
          <w:p w14:paraId="0E63FAD7">
            <w:pPr>
              <w:pStyle w:val="6"/>
              <w:spacing w:before="62" w:line="249" w:lineRule="auto"/>
              <w:ind w:left="64" w:right="66" w:firstLine="9"/>
              <w:jc w:val="both"/>
            </w:pPr>
            <w:r>
              <w:rPr>
                <w:spacing w:val="1"/>
              </w:rPr>
              <w:t>该文件适用于面向物联网</w:t>
            </w:r>
            <w:r>
              <w:rPr>
                <w:spacing w:val="6"/>
              </w:rPr>
              <w:t xml:space="preserve"> </w:t>
            </w:r>
            <w:r>
              <w:rPr>
                <w:spacing w:val="-1"/>
              </w:rPr>
              <w:t>应用的生命体征感知设备</w:t>
            </w:r>
            <w:r>
              <w:rPr>
                <w:spacing w:val="2"/>
              </w:rPr>
              <w:t xml:space="preserve"> 的设计、生产和使用</w:t>
            </w:r>
          </w:p>
        </w:tc>
        <w:tc>
          <w:tcPr>
            <w:tcW w:w="911" w:type="dxa"/>
            <w:tcBorders>
              <w:right w:val="nil"/>
            </w:tcBorders>
            <w:vAlign w:val="top"/>
          </w:tcPr>
          <w:p w14:paraId="18D1BD21">
            <w:pPr>
              <w:spacing w:line="330" w:lineRule="auto"/>
              <w:rPr>
                <w:rFonts w:ascii="Arial"/>
                <w:sz w:val="21"/>
              </w:rPr>
            </w:pPr>
          </w:p>
          <w:p w14:paraId="7E5B92D9">
            <w:pPr>
              <w:spacing w:line="331" w:lineRule="auto"/>
              <w:rPr>
                <w:rFonts w:ascii="Arial"/>
                <w:sz w:val="21"/>
              </w:rPr>
            </w:pPr>
          </w:p>
          <w:p w14:paraId="6E3DCD16">
            <w:pPr>
              <w:pStyle w:val="6"/>
              <w:spacing w:before="61" w:line="220" w:lineRule="auto"/>
              <w:ind w:left="44"/>
            </w:pPr>
            <w:r>
              <w:rPr>
                <w:spacing w:val="2"/>
              </w:rPr>
              <w:t>国家标准</w:t>
            </w:r>
          </w:p>
        </w:tc>
      </w:tr>
    </w:tbl>
    <w:p w14:paraId="5A434F72">
      <w:pPr>
        <w:rPr>
          <w:rFonts w:ascii="Arial"/>
          <w:sz w:val="21"/>
        </w:rPr>
      </w:pPr>
    </w:p>
    <w:p w14:paraId="52D49461">
      <w:pPr>
        <w:rPr>
          <w:rFonts w:ascii="Arial" w:hAnsi="Arial" w:eastAsia="Arial" w:cs="Arial"/>
          <w:sz w:val="21"/>
          <w:szCs w:val="21"/>
        </w:rPr>
        <w:sectPr>
          <w:pgSz w:w="10280" w:h="13310"/>
          <w:pgMar w:top="400" w:right="617" w:bottom="400" w:left="1110" w:header="0" w:footer="0" w:gutter="0"/>
          <w:cols w:space="720" w:num="1"/>
        </w:sectPr>
      </w:pPr>
    </w:p>
    <w:p w14:paraId="011F1346">
      <w:pPr>
        <w:pStyle w:val="2"/>
        <w:spacing w:before="27" w:line="219" w:lineRule="auto"/>
        <w:rPr>
          <w:sz w:val="18"/>
          <w:szCs w:val="18"/>
        </w:rPr>
      </w:pPr>
      <w:r>
        <w:rPr>
          <w:rFonts w:ascii="Times New Roman" w:hAnsi="Times New Roman" w:eastAsia="Times New Roman" w:cs="Times New Roman"/>
          <w:spacing w:val="12"/>
          <w:sz w:val="18"/>
          <w:szCs w:val="18"/>
        </w:rPr>
        <w:t>422</w:t>
      </w:r>
      <w:r>
        <w:rPr>
          <w:rFonts w:ascii="Times New Roman" w:hAnsi="Times New Roman" w:eastAsia="Times New Roman" w:cs="Times New Roman"/>
          <w:spacing w:val="4"/>
          <w:sz w:val="18"/>
          <w:szCs w:val="18"/>
        </w:rPr>
        <w:t xml:space="preserve">          </w:t>
      </w:r>
      <w:r>
        <w:rPr>
          <w:spacing w:val="12"/>
          <w:sz w:val="18"/>
          <w:szCs w:val="18"/>
        </w:rPr>
        <w:t>信息系统监理师教程(第2版)</w:t>
      </w:r>
    </w:p>
    <w:p w14:paraId="23FCFD67">
      <w:pPr>
        <w:spacing w:line="306" w:lineRule="auto"/>
        <w:rPr>
          <w:rFonts w:ascii="Arial"/>
          <w:sz w:val="21"/>
        </w:rPr>
      </w:pPr>
    </w:p>
    <w:p w14:paraId="078ED754">
      <w:pPr>
        <w:spacing w:before="58" w:line="223" w:lineRule="auto"/>
        <w:jc w:val="right"/>
        <w:rPr>
          <w:rFonts w:ascii="黑体" w:hAnsi="黑体" w:eastAsia="黑体" w:cs="黑体"/>
          <w:sz w:val="18"/>
          <w:szCs w:val="18"/>
        </w:rPr>
      </w:pPr>
      <w:r>
        <w:rPr>
          <w:rFonts w:ascii="黑体" w:hAnsi="黑体" w:eastAsia="黑体" w:cs="黑体"/>
          <w:spacing w:val="8"/>
          <w:sz w:val="18"/>
          <w:szCs w:val="18"/>
        </w:rPr>
        <w:t>(续表)</w:t>
      </w:r>
    </w:p>
    <w:p w14:paraId="3A51085B">
      <w:pPr>
        <w:spacing w:line="59" w:lineRule="exact"/>
      </w:pPr>
    </w:p>
    <w:tbl>
      <w:tblPr>
        <w:tblStyle w:val="5"/>
        <w:tblW w:w="8320" w:type="dxa"/>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0"/>
        <w:gridCol w:w="1560"/>
        <w:gridCol w:w="2470"/>
        <w:gridCol w:w="2240"/>
        <w:gridCol w:w="850"/>
      </w:tblGrid>
      <w:tr w14:paraId="2E5FF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200" w:type="dxa"/>
            <w:tcBorders>
              <w:left w:val="nil"/>
            </w:tcBorders>
            <w:vAlign w:val="top"/>
          </w:tcPr>
          <w:p w14:paraId="10A2C49C">
            <w:pPr>
              <w:pStyle w:val="6"/>
              <w:spacing w:before="80" w:line="220" w:lineRule="auto"/>
              <w:ind w:left="312"/>
            </w:pPr>
            <w:r>
              <w:rPr>
                <w:b/>
                <w:bCs/>
                <w:spacing w:val="-4"/>
              </w:rPr>
              <w:t>标准号</w:t>
            </w:r>
          </w:p>
        </w:tc>
        <w:tc>
          <w:tcPr>
            <w:tcW w:w="1560" w:type="dxa"/>
            <w:vAlign w:val="top"/>
          </w:tcPr>
          <w:p w14:paraId="4E9E9471">
            <w:pPr>
              <w:pStyle w:val="6"/>
              <w:spacing w:before="80" w:line="220" w:lineRule="auto"/>
              <w:ind w:left="397"/>
            </w:pPr>
            <w:r>
              <w:rPr>
                <w:b/>
                <w:bCs/>
                <w:spacing w:val="-4"/>
              </w:rPr>
              <w:t>标准名称</w:t>
            </w:r>
          </w:p>
        </w:tc>
        <w:tc>
          <w:tcPr>
            <w:tcW w:w="2470" w:type="dxa"/>
            <w:vAlign w:val="top"/>
          </w:tcPr>
          <w:p w14:paraId="0552DD2A">
            <w:pPr>
              <w:pStyle w:val="6"/>
              <w:spacing w:before="80" w:line="219" w:lineRule="auto"/>
              <w:ind w:left="847"/>
            </w:pPr>
            <w:r>
              <w:rPr>
                <w:b/>
                <w:bCs/>
                <w:spacing w:val="-4"/>
              </w:rPr>
              <w:t>主要内容</w:t>
            </w:r>
          </w:p>
        </w:tc>
        <w:tc>
          <w:tcPr>
            <w:tcW w:w="2240" w:type="dxa"/>
            <w:vAlign w:val="top"/>
          </w:tcPr>
          <w:p w14:paraId="790A55D5">
            <w:pPr>
              <w:pStyle w:val="6"/>
              <w:spacing w:before="80" w:line="220" w:lineRule="auto"/>
              <w:ind w:left="737"/>
            </w:pPr>
            <w:r>
              <w:rPr>
                <w:b/>
                <w:bCs/>
                <w:spacing w:val="-4"/>
              </w:rPr>
              <w:t>适用范围</w:t>
            </w:r>
          </w:p>
        </w:tc>
        <w:tc>
          <w:tcPr>
            <w:tcW w:w="850" w:type="dxa"/>
            <w:tcBorders>
              <w:right w:val="nil"/>
            </w:tcBorders>
            <w:vAlign w:val="top"/>
          </w:tcPr>
          <w:p w14:paraId="03486126">
            <w:pPr>
              <w:pStyle w:val="6"/>
              <w:spacing w:before="80" w:line="219" w:lineRule="auto"/>
              <w:ind w:left="227"/>
            </w:pPr>
            <w:r>
              <w:rPr>
                <w:b/>
                <w:bCs/>
                <w:spacing w:val="-4"/>
              </w:rPr>
              <w:t>类别</w:t>
            </w:r>
          </w:p>
        </w:tc>
      </w:tr>
      <w:tr w14:paraId="732CF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 w:hRule="atLeast"/>
        </w:trPr>
        <w:tc>
          <w:tcPr>
            <w:tcW w:w="1200" w:type="dxa"/>
            <w:tcBorders>
              <w:left w:val="nil"/>
            </w:tcBorders>
            <w:vAlign w:val="top"/>
          </w:tcPr>
          <w:p w14:paraId="340833CA">
            <w:pPr>
              <w:spacing w:line="270" w:lineRule="auto"/>
              <w:rPr>
                <w:rFonts w:ascii="Arial"/>
                <w:sz w:val="21"/>
              </w:rPr>
            </w:pPr>
          </w:p>
          <w:p w14:paraId="0AC75241">
            <w:pPr>
              <w:pStyle w:val="6"/>
              <w:spacing w:before="62" w:line="224" w:lineRule="auto"/>
              <w:ind w:left="119"/>
            </w:pPr>
            <w:r>
              <w:rPr>
                <w:spacing w:val="-1"/>
              </w:rPr>
              <w:t>GB/T 40687</w:t>
            </w:r>
          </w:p>
        </w:tc>
        <w:tc>
          <w:tcPr>
            <w:tcW w:w="1560" w:type="dxa"/>
            <w:vAlign w:val="top"/>
          </w:tcPr>
          <w:p w14:paraId="100DE8FF">
            <w:pPr>
              <w:pStyle w:val="6"/>
              <w:spacing w:before="188" w:line="261" w:lineRule="auto"/>
              <w:ind w:left="15" w:right="23" w:firstLine="89"/>
            </w:pPr>
            <w:r>
              <w:rPr>
                <w:spacing w:val="-2"/>
              </w:rPr>
              <w:t>物联网生命体征</w:t>
            </w:r>
            <w:r>
              <w:rPr>
                <w:spacing w:val="2"/>
              </w:rPr>
              <w:t xml:space="preserve">  </w:t>
            </w:r>
            <w:r>
              <w:rPr>
                <w:spacing w:val="-2"/>
              </w:rPr>
              <w:t>感知设备通用规范</w:t>
            </w:r>
          </w:p>
        </w:tc>
        <w:tc>
          <w:tcPr>
            <w:tcW w:w="2470" w:type="dxa"/>
            <w:vAlign w:val="top"/>
          </w:tcPr>
          <w:p w14:paraId="7853B57E">
            <w:pPr>
              <w:pStyle w:val="6"/>
              <w:spacing w:before="59" w:line="249" w:lineRule="auto"/>
              <w:ind w:left="14"/>
              <w:jc w:val="both"/>
            </w:pPr>
            <w:r>
              <w:rPr>
                <w:spacing w:val="-2"/>
              </w:rPr>
              <w:t>该文件规定了面向物联网应用</w:t>
            </w:r>
            <w:r>
              <w:t xml:space="preserve"> </w:t>
            </w:r>
            <w:r>
              <w:rPr>
                <w:spacing w:val="-3"/>
              </w:rPr>
              <w:t>的生命体征感知设备的要求和</w:t>
            </w:r>
            <w:r>
              <w:t xml:space="preserve"> </w:t>
            </w:r>
            <w:r>
              <w:rPr>
                <w:spacing w:val="2"/>
              </w:rPr>
              <w:t>试验方法</w:t>
            </w:r>
          </w:p>
        </w:tc>
        <w:tc>
          <w:tcPr>
            <w:tcW w:w="2240" w:type="dxa"/>
            <w:vAlign w:val="top"/>
          </w:tcPr>
          <w:p w14:paraId="638D06B2">
            <w:pPr>
              <w:pStyle w:val="6"/>
              <w:spacing w:before="68" w:line="246" w:lineRule="auto"/>
              <w:ind w:left="34" w:right="56" w:firstLine="29"/>
              <w:jc w:val="both"/>
            </w:pPr>
            <w:r>
              <w:rPr>
                <w:spacing w:val="1"/>
              </w:rPr>
              <w:t>该文件适用于面向物联网</w:t>
            </w:r>
            <w:r>
              <w:rPr>
                <w:spacing w:val="6"/>
              </w:rPr>
              <w:t xml:space="preserve"> </w:t>
            </w:r>
            <w:r>
              <w:rPr>
                <w:spacing w:val="2"/>
              </w:rPr>
              <w:t>应用的生命体征感知设备</w:t>
            </w:r>
            <w:r>
              <w:t xml:space="preserve"> </w:t>
            </w:r>
            <w:r>
              <w:rPr>
                <w:spacing w:val="2"/>
              </w:rPr>
              <w:t>的设计、生产和使用</w:t>
            </w:r>
          </w:p>
        </w:tc>
        <w:tc>
          <w:tcPr>
            <w:tcW w:w="850" w:type="dxa"/>
            <w:tcBorders>
              <w:right w:val="nil"/>
            </w:tcBorders>
            <w:vAlign w:val="top"/>
          </w:tcPr>
          <w:p w14:paraId="7BE32174">
            <w:pPr>
              <w:spacing w:line="265" w:lineRule="auto"/>
              <w:rPr>
                <w:rFonts w:ascii="Arial"/>
                <w:sz w:val="21"/>
              </w:rPr>
            </w:pPr>
          </w:p>
          <w:p w14:paraId="46866E58">
            <w:pPr>
              <w:pStyle w:val="6"/>
              <w:spacing w:before="62" w:line="220" w:lineRule="auto"/>
              <w:ind w:left="34"/>
            </w:pPr>
            <w:r>
              <w:rPr>
                <w:spacing w:val="2"/>
              </w:rPr>
              <w:t>国家标准</w:t>
            </w:r>
          </w:p>
        </w:tc>
      </w:tr>
      <w:tr w14:paraId="1B967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7" w:hRule="atLeast"/>
        </w:trPr>
        <w:tc>
          <w:tcPr>
            <w:tcW w:w="1200" w:type="dxa"/>
            <w:tcBorders>
              <w:left w:val="nil"/>
            </w:tcBorders>
            <w:vAlign w:val="top"/>
          </w:tcPr>
          <w:p w14:paraId="334F1155">
            <w:pPr>
              <w:spacing w:line="340" w:lineRule="auto"/>
              <w:rPr>
                <w:rFonts w:ascii="Arial"/>
                <w:sz w:val="21"/>
              </w:rPr>
            </w:pPr>
          </w:p>
          <w:p w14:paraId="3FBEAD24">
            <w:pPr>
              <w:spacing w:line="340" w:lineRule="auto"/>
              <w:rPr>
                <w:rFonts w:ascii="Arial"/>
                <w:sz w:val="21"/>
              </w:rPr>
            </w:pPr>
          </w:p>
          <w:p w14:paraId="4BDEE9DA">
            <w:pPr>
              <w:pStyle w:val="6"/>
              <w:spacing w:before="62" w:line="224" w:lineRule="auto"/>
              <w:ind w:left="69"/>
            </w:pPr>
            <w:r>
              <w:rPr>
                <w:spacing w:val="-1"/>
              </w:rPr>
              <w:t>GB/T40778.1</w:t>
            </w:r>
          </w:p>
        </w:tc>
        <w:tc>
          <w:tcPr>
            <w:tcW w:w="1560" w:type="dxa"/>
            <w:vAlign w:val="top"/>
          </w:tcPr>
          <w:p w14:paraId="7CBFDD82">
            <w:pPr>
              <w:spacing w:line="280" w:lineRule="auto"/>
              <w:rPr>
                <w:rFonts w:ascii="Arial"/>
                <w:sz w:val="21"/>
              </w:rPr>
            </w:pPr>
          </w:p>
          <w:p w14:paraId="39C25FCC">
            <w:pPr>
              <w:pStyle w:val="6"/>
              <w:spacing w:before="62" w:line="258" w:lineRule="auto"/>
              <w:ind w:left="15" w:right="23" w:firstLine="29"/>
              <w:jc w:val="both"/>
            </w:pPr>
            <w:r>
              <w:rPr>
                <w:spacing w:val="47"/>
              </w:rPr>
              <w:t>物联网面向</w:t>
            </w:r>
            <w:r>
              <w:t xml:space="preserve">Web </w:t>
            </w:r>
            <w:r>
              <w:rPr>
                <w:spacing w:val="-2"/>
              </w:rPr>
              <w:t>开放服务的系统实</w:t>
            </w:r>
            <w:r>
              <w:rPr>
                <w:spacing w:val="6"/>
              </w:rPr>
              <w:t xml:space="preserve"> </w:t>
            </w:r>
            <w:r>
              <w:rPr>
                <w:spacing w:val="-10"/>
              </w:rPr>
              <w:t>现</w:t>
            </w:r>
            <w:r>
              <w:rPr>
                <w:spacing w:val="-44"/>
              </w:rPr>
              <w:t xml:space="preserve"> </w:t>
            </w:r>
            <w:r>
              <w:rPr>
                <w:spacing w:val="-10"/>
              </w:rPr>
              <w:t>第</w:t>
            </w:r>
            <w:r>
              <w:rPr>
                <w:spacing w:val="-30"/>
              </w:rPr>
              <w:t xml:space="preserve"> </w:t>
            </w:r>
            <w:r>
              <w:rPr>
                <w:spacing w:val="-10"/>
              </w:rPr>
              <w:t>1</w:t>
            </w:r>
            <w:r>
              <w:rPr>
                <w:spacing w:val="-42"/>
              </w:rPr>
              <w:t xml:space="preserve"> </w:t>
            </w:r>
            <w:r>
              <w:rPr>
                <w:spacing w:val="-10"/>
              </w:rPr>
              <w:t>部</w:t>
            </w:r>
            <w:r>
              <w:rPr>
                <w:spacing w:val="-42"/>
              </w:rPr>
              <w:t xml:space="preserve"> </w:t>
            </w:r>
            <w:r>
              <w:rPr>
                <w:spacing w:val="-10"/>
              </w:rPr>
              <w:t>分</w:t>
            </w:r>
            <w:r>
              <w:rPr>
                <w:spacing w:val="-27"/>
              </w:rPr>
              <w:t xml:space="preserve"> </w:t>
            </w:r>
            <w:r>
              <w:rPr>
                <w:spacing w:val="-10"/>
              </w:rPr>
              <w:t>：</w:t>
            </w:r>
            <w:r>
              <w:rPr>
                <w:spacing w:val="-43"/>
              </w:rPr>
              <w:t xml:space="preserve"> </w:t>
            </w:r>
            <w:r>
              <w:rPr>
                <w:spacing w:val="-10"/>
              </w:rPr>
              <w:t>参</w:t>
            </w:r>
            <w:r>
              <w:t xml:space="preserve"> </w:t>
            </w:r>
            <w:r>
              <w:rPr>
                <w:spacing w:val="-2"/>
              </w:rPr>
              <w:t>考架构</w:t>
            </w:r>
          </w:p>
        </w:tc>
        <w:tc>
          <w:tcPr>
            <w:tcW w:w="2470" w:type="dxa"/>
            <w:vAlign w:val="top"/>
          </w:tcPr>
          <w:p w14:paraId="7938054C">
            <w:pPr>
              <w:pStyle w:val="6"/>
              <w:spacing w:before="57" w:line="259" w:lineRule="auto"/>
              <w:ind w:left="14" w:firstLine="115"/>
            </w:pPr>
            <w:r>
              <w:rPr>
                <w:spacing w:val="-7"/>
              </w:rPr>
              <w:t>该文件规定了面向Web开放</w:t>
            </w:r>
            <w:r>
              <w:t xml:space="preserve">   </w:t>
            </w:r>
            <w:r>
              <w:rPr>
                <w:spacing w:val="-8"/>
              </w:rPr>
              <w:t>服务的物联网系统的参考架构</w:t>
            </w:r>
            <w:r>
              <w:rPr>
                <w:spacing w:val="8"/>
              </w:rPr>
              <w:t xml:space="preserve"> </w:t>
            </w:r>
            <w:r>
              <w:rPr>
                <w:spacing w:val="-2"/>
              </w:rPr>
              <w:t>和功能组件，并对协议适配、</w:t>
            </w:r>
            <w:r>
              <w:t xml:space="preserve"> </w:t>
            </w:r>
            <w:r>
              <w:rPr>
                <w:spacing w:val="-8"/>
              </w:rPr>
              <w:t>物体描述、物体发现、物体共</w:t>
            </w:r>
            <w:r>
              <w:rPr>
                <w:spacing w:val="8"/>
              </w:rPr>
              <w:t xml:space="preserve"> </w:t>
            </w:r>
            <w:r>
              <w:rPr>
                <w:spacing w:val="-8"/>
              </w:rPr>
              <w:t>享和安全保障等功能组件进行</w:t>
            </w:r>
            <w:r>
              <w:rPr>
                <w:spacing w:val="7"/>
              </w:rPr>
              <w:t xml:space="preserve"> </w:t>
            </w:r>
            <w:r>
              <w:rPr>
                <w:spacing w:val="-3"/>
              </w:rPr>
              <w:t>了描述</w:t>
            </w:r>
          </w:p>
        </w:tc>
        <w:tc>
          <w:tcPr>
            <w:tcW w:w="2240" w:type="dxa"/>
            <w:vAlign w:val="top"/>
          </w:tcPr>
          <w:p w14:paraId="194DD8A9">
            <w:pPr>
              <w:pStyle w:val="6"/>
              <w:spacing w:before="201" w:line="268" w:lineRule="auto"/>
              <w:ind w:left="64" w:right="82" w:firstLine="50"/>
            </w:pPr>
            <w:r>
              <w:rPr>
                <w:spacing w:val="-1"/>
              </w:rPr>
              <w:t>该文件适用于面向Web开</w:t>
            </w:r>
            <w:r>
              <w:t xml:space="preserve"> </w:t>
            </w:r>
            <w:r>
              <w:rPr>
                <w:spacing w:val="-1"/>
              </w:rPr>
              <w:t>放服务的物联网系统的顶</w:t>
            </w:r>
          </w:p>
          <w:p w14:paraId="57680F20">
            <w:pPr>
              <w:pStyle w:val="6"/>
              <w:spacing w:before="6" w:line="258" w:lineRule="auto"/>
              <w:ind w:left="15" w:right="82" w:firstLine="100"/>
            </w:pPr>
            <w:r>
              <w:rPr>
                <w:spacing w:val="-1"/>
              </w:rPr>
              <w:t>层设计，为面向Web的开</w:t>
            </w:r>
            <w:r>
              <w:rPr>
                <w:spacing w:val="3"/>
              </w:rPr>
              <w:t xml:space="preserve"> 放服务与物体交互实现提</w:t>
            </w:r>
            <w:r>
              <w:rPr>
                <w:spacing w:val="8"/>
              </w:rPr>
              <w:t xml:space="preserve"> </w:t>
            </w:r>
            <w:r>
              <w:rPr>
                <w:spacing w:val="-2"/>
              </w:rPr>
              <w:t>供指导</w:t>
            </w:r>
          </w:p>
        </w:tc>
        <w:tc>
          <w:tcPr>
            <w:tcW w:w="850" w:type="dxa"/>
            <w:tcBorders>
              <w:right w:val="nil"/>
            </w:tcBorders>
            <w:vAlign w:val="top"/>
          </w:tcPr>
          <w:p w14:paraId="17EC5AEB">
            <w:pPr>
              <w:spacing w:line="337" w:lineRule="auto"/>
              <w:rPr>
                <w:rFonts w:ascii="Arial"/>
                <w:sz w:val="21"/>
              </w:rPr>
            </w:pPr>
          </w:p>
          <w:p w14:paraId="3A3686CC">
            <w:pPr>
              <w:spacing w:line="338" w:lineRule="auto"/>
              <w:rPr>
                <w:rFonts w:ascii="Arial"/>
                <w:sz w:val="21"/>
              </w:rPr>
            </w:pPr>
          </w:p>
          <w:p w14:paraId="29A34F6B">
            <w:pPr>
              <w:pStyle w:val="6"/>
              <w:spacing w:before="62" w:line="220" w:lineRule="auto"/>
              <w:ind w:left="34"/>
            </w:pPr>
            <w:r>
              <w:rPr>
                <w:spacing w:val="2"/>
              </w:rPr>
              <w:t>国家标准</w:t>
            </w:r>
          </w:p>
        </w:tc>
      </w:tr>
      <w:tr w14:paraId="17A18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8" w:hRule="atLeast"/>
        </w:trPr>
        <w:tc>
          <w:tcPr>
            <w:tcW w:w="1200" w:type="dxa"/>
            <w:tcBorders>
              <w:left w:val="nil"/>
            </w:tcBorders>
            <w:vAlign w:val="top"/>
          </w:tcPr>
          <w:p w14:paraId="4516E6F9">
            <w:pPr>
              <w:spacing w:line="405" w:lineRule="auto"/>
              <w:rPr>
                <w:rFonts w:ascii="Arial"/>
                <w:sz w:val="21"/>
              </w:rPr>
            </w:pPr>
          </w:p>
          <w:p w14:paraId="745ED7EF">
            <w:pPr>
              <w:pStyle w:val="6"/>
              <w:spacing w:before="61" w:line="224" w:lineRule="auto"/>
              <w:ind w:left="69"/>
            </w:pPr>
            <w:r>
              <w:rPr>
                <w:spacing w:val="-1"/>
              </w:rPr>
              <w:t>GB/T40778.2</w:t>
            </w:r>
          </w:p>
        </w:tc>
        <w:tc>
          <w:tcPr>
            <w:tcW w:w="1560" w:type="dxa"/>
            <w:vAlign w:val="top"/>
          </w:tcPr>
          <w:p w14:paraId="39ADD0F4">
            <w:pPr>
              <w:pStyle w:val="6"/>
              <w:spacing w:before="85" w:line="246" w:lineRule="auto"/>
              <w:ind w:left="15" w:right="4"/>
              <w:jc w:val="both"/>
            </w:pPr>
            <w:r>
              <w:rPr>
                <w:spacing w:val="36"/>
              </w:rPr>
              <w:t>物联网面向Web</w:t>
            </w:r>
            <w:r>
              <w:rPr>
                <w:spacing w:val="6"/>
              </w:rPr>
              <w:t xml:space="preserve"> </w:t>
            </w:r>
            <w:r>
              <w:rPr>
                <w:spacing w:val="-2"/>
              </w:rPr>
              <w:t>开放服务的系统实</w:t>
            </w:r>
            <w:r>
              <w:rPr>
                <w:spacing w:val="6"/>
              </w:rPr>
              <w:t xml:space="preserve"> </w:t>
            </w:r>
            <w:r>
              <w:rPr>
                <w:spacing w:val="-10"/>
              </w:rPr>
              <w:t>现</w:t>
            </w:r>
            <w:r>
              <w:rPr>
                <w:spacing w:val="-38"/>
              </w:rPr>
              <w:t xml:space="preserve"> </w:t>
            </w:r>
            <w:r>
              <w:rPr>
                <w:spacing w:val="-10"/>
              </w:rPr>
              <w:t>第</w:t>
            </w:r>
            <w:r>
              <w:rPr>
                <w:spacing w:val="-38"/>
              </w:rPr>
              <w:t xml:space="preserve"> </w:t>
            </w:r>
            <w:r>
              <w:rPr>
                <w:spacing w:val="-10"/>
              </w:rPr>
              <w:t>2</w:t>
            </w:r>
            <w:r>
              <w:rPr>
                <w:spacing w:val="-38"/>
              </w:rPr>
              <w:t xml:space="preserve"> </w:t>
            </w:r>
            <w:r>
              <w:rPr>
                <w:spacing w:val="-10"/>
              </w:rPr>
              <w:t>部</w:t>
            </w:r>
            <w:r>
              <w:rPr>
                <w:spacing w:val="-38"/>
              </w:rPr>
              <w:t xml:space="preserve"> </w:t>
            </w:r>
            <w:r>
              <w:rPr>
                <w:spacing w:val="-10"/>
              </w:rPr>
              <w:t>分</w:t>
            </w:r>
            <w:r>
              <w:rPr>
                <w:spacing w:val="-24"/>
              </w:rPr>
              <w:t xml:space="preserve"> </w:t>
            </w:r>
            <w:r>
              <w:rPr>
                <w:spacing w:val="-10"/>
              </w:rPr>
              <w:t>：</w:t>
            </w:r>
            <w:r>
              <w:rPr>
                <w:spacing w:val="-41"/>
              </w:rPr>
              <w:t xml:space="preserve"> </w:t>
            </w:r>
            <w:r>
              <w:rPr>
                <w:spacing w:val="-10"/>
              </w:rPr>
              <w:t>物</w:t>
            </w:r>
            <w:r>
              <w:t xml:space="preserve"> </w:t>
            </w:r>
            <w:r>
              <w:rPr>
                <w:spacing w:val="-2"/>
              </w:rPr>
              <w:t>体描述方法</w:t>
            </w:r>
          </w:p>
        </w:tc>
        <w:tc>
          <w:tcPr>
            <w:tcW w:w="2470" w:type="dxa"/>
            <w:vAlign w:val="top"/>
          </w:tcPr>
          <w:p w14:paraId="4D26BDA4">
            <w:pPr>
              <w:pStyle w:val="6"/>
              <w:spacing w:before="214" w:line="258" w:lineRule="auto"/>
              <w:ind w:left="14" w:firstLine="119"/>
            </w:pPr>
            <w:r>
              <w:rPr>
                <w:spacing w:val="-3"/>
              </w:rPr>
              <w:t>该文件规定了面向Web开放</w:t>
            </w:r>
            <w:r>
              <w:rPr>
                <w:spacing w:val="5"/>
              </w:rPr>
              <w:t xml:space="preserve">  </w:t>
            </w:r>
            <w:r>
              <w:rPr>
                <w:spacing w:val="-2"/>
              </w:rPr>
              <w:t>服务的物联网系统的物体描述</w:t>
            </w:r>
            <w:r>
              <w:t xml:space="preserve"> </w:t>
            </w:r>
            <w:r>
              <w:rPr>
                <w:spacing w:val="-2"/>
              </w:rPr>
              <w:t>模型和物体描述元数据的要求</w:t>
            </w:r>
          </w:p>
        </w:tc>
        <w:tc>
          <w:tcPr>
            <w:tcW w:w="2240" w:type="dxa"/>
            <w:vAlign w:val="top"/>
          </w:tcPr>
          <w:p w14:paraId="0BEA2D70">
            <w:pPr>
              <w:pStyle w:val="6"/>
              <w:spacing w:before="72" w:line="249" w:lineRule="auto"/>
              <w:ind w:left="54" w:right="82" w:firstLine="60"/>
              <w:jc w:val="both"/>
            </w:pPr>
            <w:r>
              <w:rPr>
                <w:spacing w:val="-1"/>
              </w:rPr>
              <w:t>该文件适用于面向Web开</w:t>
            </w:r>
            <w:r>
              <w:t xml:space="preserve"> 放服务的物联网系统设计</w:t>
            </w:r>
            <w:r>
              <w:rPr>
                <w:spacing w:val="1"/>
              </w:rPr>
              <w:t xml:space="preserve"> </w:t>
            </w:r>
            <w:r>
              <w:t xml:space="preserve">和开发，为物联网应用服 </w:t>
            </w:r>
            <w:r>
              <w:rPr>
                <w:spacing w:val="-2"/>
              </w:rPr>
              <w:t>务提供技术支撑</w:t>
            </w:r>
          </w:p>
        </w:tc>
        <w:tc>
          <w:tcPr>
            <w:tcW w:w="850" w:type="dxa"/>
            <w:tcBorders>
              <w:right w:val="nil"/>
            </w:tcBorders>
            <w:vAlign w:val="top"/>
          </w:tcPr>
          <w:p w14:paraId="4258324A">
            <w:pPr>
              <w:spacing w:line="400" w:lineRule="auto"/>
              <w:rPr>
                <w:rFonts w:ascii="Arial"/>
                <w:sz w:val="21"/>
              </w:rPr>
            </w:pPr>
          </w:p>
          <w:p w14:paraId="5975CD7B">
            <w:pPr>
              <w:pStyle w:val="6"/>
              <w:spacing w:before="61" w:line="220" w:lineRule="auto"/>
              <w:ind w:left="34"/>
            </w:pPr>
            <w:r>
              <w:rPr>
                <w:spacing w:val="2"/>
              </w:rPr>
              <w:t>国家标准</w:t>
            </w:r>
          </w:p>
        </w:tc>
      </w:tr>
      <w:tr w14:paraId="2F624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3" w:hRule="atLeast"/>
        </w:trPr>
        <w:tc>
          <w:tcPr>
            <w:tcW w:w="1200" w:type="dxa"/>
            <w:tcBorders>
              <w:left w:val="nil"/>
            </w:tcBorders>
            <w:vAlign w:val="top"/>
          </w:tcPr>
          <w:p w14:paraId="0F8A3FCA">
            <w:pPr>
              <w:spacing w:line="406" w:lineRule="auto"/>
              <w:rPr>
                <w:rFonts w:ascii="Arial"/>
                <w:sz w:val="21"/>
              </w:rPr>
            </w:pPr>
          </w:p>
          <w:p w14:paraId="0A36ED9F">
            <w:pPr>
              <w:pStyle w:val="6"/>
              <w:spacing w:before="62" w:line="224" w:lineRule="auto"/>
              <w:ind w:left="49"/>
            </w:pPr>
            <w:r>
              <w:rPr>
                <w:spacing w:val="-2"/>
              </w:rPr>
              <w:t>YD/T</w:t>
            </w:r>
            <w:r>
              <w:rPr>
                <w:spacing w:val="13"/>
              </w:rPr>
              <w:t xml:space="preserve"> </w:t>
            </w:r>
            <w:r>
              <w:rPr>
                <w:spacing w:val="-2"/>
              </w:rPr>
              <w:t>2437</w:t>
            </w:r>
          </w:p>
        </w:tc>
        <w:tc>
          <w:tcPr>
            <w:tcW w:w="1560" w:type="dxa"/>
            <w:vAlign w:val="top"/>
          </w:tcPr>
          <w:p w14:paraId="7B9F5543">
            <w:pPr>
              <w:spacing w:line="292" w:lineRule="auto"/>
              <w:rPr>
                <w:rFonts w:ascii="Arial"/>
                <w:sz w:val="21"/>
              </w:rPr>
            </w:pPr>
          </w:p>
          <w:p w14:paraId="6A1A944F">
            <w:pPr>
              <w:pStyle w:val="6"/>
              <w:spacing w:before="61" w:line="249" w:lineRule="auto"/>
              <w:ind w:left="15"/>
            </w:pPr>
            <w:r>
              <w:rPr>
                <w:spacing w:val="1"/>
              </w:rPr>
              <w:t>物联网总体框架与</w:t>
            </w:r>
            <w:r>
              <w:rPr>
                <w:spacing w:val="5"/>
              </w:rPr>
              <w:t xml:space="preserve"> </w:t>
            </w:r>
            <w:r>
              <w:rPr>
                <w:spacing w:val="-2"/>
              </w:rPr>
              <w:t>技术要求</w:t>
            </w:r>
          </w:p>
        </w:tc>
        <w:tc>
          <w:tcPr>
            <w:tcW w:w="2470" w:type="dxa"/>
            <w:vAlign w:val="top"/>
          </w:tcPr>
          <w:p w14:paraId="2B1E5654">
            <w:pPr>
              <w:pStyle w:val="6"/>
              <w:spacing w:before="86" w:line="247" w:lineRule="auto"/>
              <w:ind w:left="14"/>
              <w:jc w:val="both"/>
            </w:pPr>
            <w:r>
              <w:rPr>
                <w:spacing w:val="-3"/>
              </w:rPr>
              <w:t>该标准规定了物联网通用分层</w:t>
            </w:r>
            <w:r>
              <w:rPr>
                <w:spacing w:val="9"/>
              </w:rPr>
              <w:t xml:space="preserve"> </w:t>
            </w:r>
            <w:r>
              <w:rPr>
                <w:spacing w:val="-2"/>
              </w:rPr>
              <w:t>模型、物联网总体框架、主要</w:t>
            </w:r>
            <w:r>
              <w:t xml:space="preserve"> </w:t>
            </w:r>
            <w:r>
              <w:rPr>
                <w:spacing w:val="-3"/>
              </w:rPr>
              <w:t>部件及能力要求、参考点要求</w:t>
            </w:r>
            <w:r>
              <w:rPr>
                <w:spacing w:val="10"/>
              </w:rPr>
              <w:t xml:space="preserve"> </w:t>
            </w:r>
            <w:r>
              <w:rPr>
                <w:spacing w:val="3"/>
              </w:rPr>
              <w:t>以及物联网共性能力要求</w:t>
            </w:r>
          </w:p>
        </w:tc>
        <w:tc>
          <w:tcPr>
            <w:tcW w:w="2240" w:type="dxa"/>
            <w:vAlign w:val="top"/>
          </w:tcPr>
          <w:p w14:paraId="056D3C6C">
            <w:pPr>
              <w:spacing w:line="401" w:lineRule="auto"/>
              <w:rPr>
                <w:rFonts w:ascii="Arial"/>
                <w:sz w:val="21"/>
              </w:rPr>
            </w:pPr>
          </w:p>
          <w:p w14:paraId="6A629BA3">
            <w:pPr>
              <w:pStyle w:val="6"/>
              <w:spacing w:before="62" w:line="219" w:lineRule="auto"/>
              <w:ind w:left="64"/>
            </w:pPr>
            <w:r>
              <w:rPr>
                <w:spacing w:val="1"/>
              </w:rPr>
              <w:t>该标准适用于整个物联网</w:t>
            </w:r>
          </w:p>
        </w:tc>
        <w:tc>
          <w:tcPr>
            <w:tcW w:w="850" w:type="dxa"/>
            <w:tcBorders>
              <w:right w:val="nil"/>
            </w:tcBorders>
            <w:vAlign w:val="top"/>
          </w:tcPr>
          <w:p w14:paraId="636EC659">
            <w:pPr>
              <w:spacing w:line="402" w:lineRule="auto"/>
              <w:rPr>
                <w:rFonts w:ascii="Arial"/>
                <w:sz w:val="21"/>
              </w:rPr>
            </w:pPr>
          </w:p>
          <w:p w14:paraId="3D15D944">
            <w:pPr>
              <w:pStyle w:val="6"/>
              <w:spacing w:before="61" w:line="220" w:lineRule="auto"/>
              <w:ind w:left="34"/>
            </w:pPr>
            <w:r>
              <w:rPr>
                <w:spacing w:val="-2"/>
              </w:rPr>
              <w:t>行业标准</w:t>
            </w:r>
          </w:p>
        </w:tc>
      </w:tr>
    </w:tbl>
    <w:p w14:paraId="46F9AB79">
      <w:pPr>
        <w:pStyle w:val="2"/>
        <w:spacing w:before="198" w:line="222" w:lineRule="auto"/>
        <w:ind w:left="752"/>
        <w:rPr>
          <w:rFonts w:ascii="黑体" w:hAnsi="黑体" w:eastAsia="黑体" w:cs="黑体"/>
          <w:sz w:val="18"/>
          <w:szCs w:val="18"/>
        </w:rPr>
      </w:pPr>
      <w:r>
        <w:rPr>
          <w:b/>
          <w:bCs/>
          <w:color w:val="007EE0"/>
          <w:spacing w:val="14"/>
          <w:sz w:val="18"/>
          <w:szCs w:val="18"/>
        </w:rPr>
        <w:t>2.</w:t>
      </w:r>
      <w:r>
        <w:rPr>
          <w:color w:val="007EE0"/>
          <w:spacing w:val="-50"/>
          <w:sz w:val="18"/>
          <w:szCs w:val="18"/>
        </w:rPr>
        <w:t xml:space="preserve"> </w:t>
      </w:r>
      <w:r>
        <w:rPr>
          <w:rFonts w:ascii="黑体" w:hAnsi="黑体" w:eastAsia="黑体" w:cs="黑体"/>
          <w:b/>
          <w:bCs/>
          <w:color w:val="007EE0"/>
          <w:spacing w:val="14"/>
          <w:sz w:val="18"/>
          <w:szCs w:val="18"/>
        </w:rPr>
        <w:t>云计算相关标准</w:t>
      </w:r>
    </w:p>
    <w:p w14:paraId="003F1EFC">
      <w:pPr>
        <w:pStyle w:val="2"/>
        <w:spacing w:before="148" w:line="287" w:lineRule="auto"/>
        <w:ind w:left="340" w:right="33" w:firstLine="409"/>
        <w:jc w:val="both"/>
        <w:rPr>
          <w:sz w:val="18"/>
          <w:szCs w:val="18"/>
        </w:rPr>
      </w:pPr>
      <w:r>
        <w:rPr>
          <w:spacing w:val="11"/>
          <w:sz w:val="18"/>
          <w:szCs w:val="18"/>
        </w:rPr>
        <w:t>云计算相关标准主要有</w:t>
      </w:r>
      <w:r>
        <w:rPr>
          <w:rFonts w:ascii="Times New Roman" w:hAnsi="Times New Roman" w:eastAsia="Times New Roman" w:cs="Times New Roman"/>
          <w:sz w:val="18"/>
          <w:szCs w:val="18"/>
        </w:rPr>
        <w:t>GB</w:t>
      </w:r>
      <w:r>
        <w:rPr>
          <w:rFonts w:ascii="Times New Roman" w:hAnsi="Times New Roman" w:eastAsia="Times New Roman" w:cs="Times New Roman"/>
          <w:spacing w:val="11"/>
          <w:sz w:val="18"/>
          <w:szCs w:val="18"/>
        </w:rPr>
        <w:t>/T    32400</w:t>
      </w:r>
      <w:r>
        <w:rPr>
          <w:spacing w:val="11"/>
          <w:sz w:val="18"/>
          <w:szCs w:val="18"/>
        </w:rPr>
        <w:t>《信息技术云计算概览与词汇》、</w:t>
      </w:r>
      <w:r>
        <w:rPr>
          <w:spacing w:val="-35"/>
          <w:sz w:val="18"/>
          <w:szCs w:val="18"/>
        </w:rPr>
        <w:t xml:space="preserve"> </w:t>
      </w:r>
      <w:r>
        <w:rPr>
          <w:rFonts w:ascii="Times New Roman" w:hAnsi="Times New Roman" w:eastAsia="Times New Roman" w:cs="Times New Roman"/>
          <w:sz w:val="18"/>
          <w:szCs w:val="18"/>
        </w:rPr>
        <w:t>GB</w:t>
      </w:r>
      <w:r>
        <w:rPr>
          <w:rFonts w:ascii="Times New Roman" w:hAnsi="Times New Roman" w:eastAsia="Times New Roman" w:cs="Times New Roman"/>
          <w:spacing w:val="11"/>
          <w:sz w:val="18"/>
          <w:szCs w:val="18"/>
        </w:rPr>
        <w:t>/T    32399</w:t>
      </w:r>
      <w:r>
        <w:rPr>
          <w:spacing w:val="11"/>
          <w:sz w:val="18"/>
          <w:szCs w:val="18"/>
        </w:rPr>
        <w:t>《信息技</w:t>
      </w:r>
      <w:r>
        <w:rPr>
          <w:sz w:val="18"/>
          <w:szCs w:val="18"/>
        </w:rPr>
        <w:t xml:space="preserve"> </w:t>
      </w:r>
      <w:r>
        <w:rPr>
          <w:sz w:val="22"/>
          <w:szCs w:val="22"/>
        </w:rPr>
        <w:t>术云计算参考架构》等标准。相关标准的标准号、标准名称</w:t>
      </w:r>
      <w:r>
        <w:rPr>
          <w:spacing w:val="-1"/>
          <w:sz w:val="22"/>
          <w:szCs w:val="22"/>
        </w:rPr>
        <w:t>、主要内容及适用范围等如</w:t>
      </w:r>
      <w:r>
        <w:rPr>
          <w:sz w:val="22"/>
          <w:szCs w:val="22"/>
        </w:rPr>
        <w:t xml:space="preserve"> </w:t>
      </w:r>
      <w:r>
        <w:rPr>
          <w:spacing w:val="19"/>
          <w:sz w:val="18"/>
          <w:szCs w:val="18"/>
        </w:rPr>
        <w:t>表19-</w:t>
      </w:r>
      <w:r>
        <w:rPr>
          <w:spacing w:val="-44"/>
          <w:sz w:val="18"/>
          <w:szCs w:val="18"/>
        </w:rPr>
        <w:t xml:space="preserve"> </w:t>
      </w:r>
      <w:r>
        <w:rPr>
          <w:spacing w:val="19"/>
          <w:sz w:val="18"/>
          <w:szCs w:val="18"/>
        </w:rPr>
        <w:t>3所示。</w:t>
      </w:r>
    </w:p>
    <w:p w14:paraId="5B7C3AEC">
      <w:pPr>
        <w:spacing w:before="134" w:line="222" w:lineRule="auto"/>
        <w:ind w:left="3362"/>
        <w:rPr>
          <w:rFonts w:ascii="黑体" w:hAnsi="黑体" w:eastAsia="黑体" w:cs="黑体"/>
          <w:sz w:val="18"/>
          <w:szCs w:val="18"/>
        </w:rPr>
      </w:pPr>
      <w:r>
        <w:rPr>
          <w:rFonts w:ascii="黑体" w:hAnsi="黑体" w:eastAsia="黑体" w:cs="黑体"/>
          <w:b/>
          <w:bCs/>
          <w:sz w:val="18"/>
          <w:szCs w:val="18"/>
        </w:rPr>
        <w:t>表19-3</w:t>
      </w:r>
      <w:r>
        <w:rPr>
          <w:rFonts w:ascii="黑体" w:hAnsi="黑体" w:eastAsia="黑体" w:cs="黑体"/>
          <w:spacing w:val="82"/>
          <w:sz w:val="18"/>
          <w:szCs w:val="18"/>
        </w:rPr>
        <w:t xml:space="preserve"> </w:t>
      </w:r>
      <w:r>
        <w:rPr>
          <w:rFonts w:ascii="黑体" w:hAnsi="黑体" w:eastAsia="黑体" w:cs="黑体"/>
          <w:b/>
          <w:bCs/>
          <w:sz w:val="18"/>
          <w:szCs w:val="18"/>
        </w:rPr>
        <w:t>云计算现行相关标准</w:t>
      </w:r>
    </w:p>
    <w:p w14:paraId="2D48A00D">
      <w:pPr>
        <w:spacing w:line="115" w:lineRule="exact"/>
      </w:pPr>
    </w:p>
    <w:tbl>
      <w:tblPr>
        <w:tblStyle w:val="5"/>
        <w:tblW w:w="8329" w:type="dxa"/>
        <w:tblInd w:w="3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1430"/>
        <w:gridCol w:w="2260"/>
        <w:gridCol w:w="2660"/>
        <w:gridCol w:w="870"/>
      </w:tblGrid>
      <w:tr w14:paraId="48FA7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109" w:type="dxa"/>
            <w:tcBorders>
              <w:left w:val="nil"/>
            </w:tcBorders>
            <w:vAlign w:val="top"/>
          </w:tcPr>
          <w:p w14:paraId="16FB7119">
            <w:pPr>
              <w:pStyle w:val="6"/>
              <w:spacing w:before="80" w:line="220" w:lineRule="auto"/>
              <w:ind w:left="272"/>
            </w:pPr>
            <w:r>
              <w:rPr>
                <w:b/>
                <w:bCs/>
                <w:spacing w:val="-4"/>
              </w:rPr>
              <w:t>标准号</w:t>
            </w:r>
          </w:p>
        </w:tc>
        <w:tc>
          <w:tcPr>
            <w:tcW w:w="1430" w:type="dxa"/>
            <w:vAlign w:val="top"/>
          </w:tcPr>
          <w:p w14:paraId="7759ACB9">
            <w:pPr>
              <w:pStyle w:val="6"/>
              <w:spacing w:before="80" w:line="220" w:lineRule="auto"/>
              <w:ind w:left="328"/>
            </w:pPr>
            <w:r>
              <w:rPr>
                <w:b/>
                <w:bCs/>
                <w:spacing w:val="-4"/>
              </w:rPr>
              <w:t>标准名称</w:t>
            </w:r>
          </w:p>
        </w:tc>
        <w:tc>
          <w:tcPr>
            <w:tcW w:w="2260" w:type="dxa"/>
            <w:vAlign w:val="top"/>
          </w:tcPr>
          <w:p w14:paraId="58E97747">
            <w:pPr>
              <w:pStyle w:val="6"/>
              <w:spacing w:before="80" w:line="219" w:lineRule="auto"/>
              <w:ind w:left="748"/>
            </w:pPr>
            <w:r>
              <w:rPr>
                <w:b/>
                <w:bCs/>
                <w:spacing w:val="-4"/>
              </w:rPr>
              <w:t>主要内容</w:t>
            </w:r>
          </w:p>
        </w:tc>
        <w:tc>
          <w:tcPr>
            <w:tcW w:w="2660" w:type="dxa"/>
            <w:vAlign w:val="top"/>
          </w:tcPr>
          <w:p w14:paraId="47CC6047">
            <w:pPr>
              <w:pStyle w:val="6"/>
              <w:spacing w:before="80" w:line="220" w:lineRule="auto"/>
              <w:ind w:left="948"/>
            </w:pPr>
            <w:r>
              <w:rPr>
                <w:b/>
                <w:bCs/>
                <w:spacing w:val="-4"/>
              </w:rPr>
              <w:t>适用范围</w:t>
            </w:r>
          </w:p>
        </w:tc>
        <w:tc>
          <w:tcPr>
            <w:tcW w:w="870" w:type="dxa"/>
            <w:tcBorders>
              <w:right w:val="nil"/>
            </w:tcBorders>
            <w:vAlign w:val="top"/>
          </w:tcPr>
          <w:p w14:paraId="18BAD22A">
            <w:pPr>
              <w:pStyle w:val="6"/>
              <w:spacing w:before="80" w:line="219" w:lineRule="auto"/>
              <w:ind w:left="238"/>
            </w:pPr>
            <w:r>
              <w:rPr>
                <w:b/>
                <w:bCs/>
                <w:spacing w:val="-4"/>
              </w:rPr>
              <w:t>类别</w:t>
            </w:r>
          </w:p>
        </w:tc>
      </w:tr>
      <w:tr w14:paraId="6D58F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7" w:hRule="atLeast"/>
        </w:trPr>
        <w:tc>
          <w:tcPr>
            <w:tcW w:w="1109" w:type="dxa"/>
            <w:tcBorders>
              <w:left w:val="nil"/>
            </w:tcBorders>
            <w:vAlign w:val="top"/>
          </w:tcPr>
          <w:p w14:paraId="627BBEAF">
            <w:pPr>
              <w:spacing w:line="410" w:lineRule="auto"/>
              <w:rPr>
                <w:rFonts w:ascii="Arial"/>
                <w:sz w:val="21"/>
              </w:rPr>
            </w:pPr>
          </w:p>
          <w:p w14:paraId="243DEF7D">
            <w:pPr>
              <w:pStyle w:val="6"/>
              <w:spacing w:before="61" w:line="224" w:lineRule="auto"/>
              <w:ind w:left="79"/>
            </w:pPr>
            <w:r>
              <w:rPr>
                <w:spacing w:val="-2"/>
              </w:rPr>
              <w:t>GB/T</w:t>
            </w:r>
            <w:r>
              <w:rPr>
                <w:spacing w:val="14"/>
              </w:rPr>
              <w:t xml:space="preserve"> </w:t>
            </w:r>
            <w:r>
              <w:rPr>
                <w:spacing w:val="-2"/>
              </w:rPr>
              <w:t>32400</w:t>
            </w:r>
          </w:p>
        </w:tc>
        <w:tc>
          <w:tcPr>
            <w:tcW w:w="1430" w:type="dxa"/>
            <w:vAlign w:val="top"/>
          </w:tcPr>
          <w:p w14:paraId="0B352E1B">
            <w:pPr>
              <w:spacing w:line="264" w:lineRule="auto"/>
              <w:rPr>
                <w:rFonts w:ascii="Arial"/>
                <w:sz w:val="21"/>
              </w:rPr>
            </w:pPr>
          </w:p>
          <w:p w14:paraId="3FA55C39">
            <w:pPr>
              <w:pStyle w:val="6"/>
              <w:spacing w:before="62" w:line="259" w:lineRule="auto"/>
              <w:ind w:left="135" w:right="152" w:hanging="100"/>
            </w:pPr>
            <w:r>
              <w:rPr>
                <w:spacing w:val="-2"/>
              </w:rPr>
              <w:t>信息技术云计</w:t>
            </w:r>
            <w:r>
              <w:rPr>
                <w:spacing w:val="1"/>
              </w:rPr>
              <w:t xml:space="preserve">  </w:t>
            </w:r>
            <w:r>
              <w:rPr>
                <w:spacing w:val="-2"/>
              </w:rPr>
              <w:t>算概览与词汇</w:t>
            </w:r>
          </w:p>
        </w:tc>
        <w:tc>
          <w:tcPr>
            <w:tcW w:w="2260" w:type="dxa"/>
            <w:vAlign w:val="top"/>
          </w:tcPr>
          <w:p w14:paraId="3DBC82B4">
            <w:pPr>
              <w:pStyle w:val="6"/>
              <w:spacing w:before="68" w:line="249" w:lineRule="auto"/>
              <w:ind w:left="120" w:hanging="105"/>
            </w:pPr>
            <w:r>
              <w:rPr>
                <w:spacing w:val="-4"/>
              </w:rPr>
              <w:t>该标准给出了云计算概览、</w:t>
            </w:r>
            <w:r>
              <w:rPr>
                <w:spacing w:val="1"/>
              </w:rPr>
              <w:t xml:space="preserve"> </w:t>
            </w:r>
            <w:r>
              <w:rPr>
                <w:spacing w:val="-7"/>
              </w:rPr>
              <w:t>云计算相关术语及定义。</w:t>
            </w:r>
          </w:p>
          <w:p w14:paraId="249544D5">
            <w:pPr>
              <w:pStyle w:val="6"/>
              <w:spacing w:before="36" w:line="219" w:lineRule="auto"/>
              <w:ind w:left="76"/>
            </w:pPr>
            <w:r>
              <w:rPr>
                <w:spacing w:val="-1"/>
              </w:rPr>
              <w:t>该标准为云计算标准提供</w:t>
            </w:r>
          </w:p>
          <w:p w14:paraId="7AC7DD6C">
            <w:pPr>
              <w:pStyle w:val="6"/>
              <w:spacing w:before="45" w:line="212" w:lineRule="auto"/>
              <w:ind w:left="65"/>
            </w:pPr>
            <w:r>
              <w:rPr>
                <w:spacing w:val="2"/>
              </w:rPr>
              <w:t>了术语基础</w:t>
            </w:r>
          </w:p>
        </w:tc>
        <w:tc>
          <w:tcPr>
            <w:tcW w:w="2660" w:type="dxa"/>
            <w:vAlign w:val="top"/>
          </w:tcPr>
          <w:p w14:paraId="7F1AD08D">
            <w:pPr>
              <w:spacing w:line="275" w:lineRule="auto"/>
              <w:rPr>
                <w:rFonts w:ascii="Arial"/>
                <w:sz w:val="21"/>
              </w:rPr>
            </w:pPr>
          </w:p>
          <w:p w14:paraId="1FBB9E43">
            <w:pPr>
              <w:pStyle w:val="6"/>
              <w:spacing w:before="62" w:line="248" w:lineRule="auto"/>
              <w:ind w:left="35" w:right="2"/>
            </w:pPr>
            <w:r>
              <w:t>该标准适用于各类组织(例如企</w:t>
            </w:r>
            <w:r>
              <w:rPr>
                <w:spacing w:val="12"/>
              </w:rPr>
              <w:t xml:space="preserve"> </w:t>
            </w:r>
            <w:r>
              <w:rPr>
                <w:spacing w:val="3"/>
              </w:rPr>
              <w:t>业、政府机关和非营利性组织)</w:t>
            </w:r>
          </w:p>
        </w:tc>
        <w:tc>
          <w:tcPr>
            <w:tcW w:w="870" w:type="dxa"/>
            <w:tcBorders>
              <w:right w:val="nil"/>
            </w:tcBorders>
            <w:vAlign w:val="top"/>
          </w:tcPr>
          <w:p w14:paraId="46B13997">
            <w:pPr>
              <w:spacing w:line="405" w:lineRule="auto"/>
              <w:rPr>
                <w:rFonts w:ascii="Arial"/>
                <w:sz w:val="21"/>
              </w:rPr>
            </w:pPr>
          </w:p>
          <w:p w14:paraId="0EEF7B43">
            <w:pPr>
              <w:pStyle w:val="6"/>
              <w:spacing w:before="62" w:line="220" w:lineRule="auto"/>
              <w:ind w:left="45"/>
            </w:pPr>
            <w:r>
              <w:rPr>
                <w:spacing w:val="2"/>
              </w:rPr>
              <w:t>国家标准</w:t>
            </w:r>
          </w:p>
        </w:tc>
      </w:tr>
      <w:tr w14:paraId="7E053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7" w:hRule="atLeast"/>
        </w:trPr>
        <w:tc>
          <w:tcPr>
            <w:tcW w:w="1109" w:type="dxa"/>
            <w:tcBorders>
              <w:left w:val="nil"/>
            </w:tcBorders>
            <w:vAlign w:val="top"/>
          </w:tcPr>
          <w:p w14:paraId="617271CE">
            <w:pPr>
              <w:spacing w:line="271" w:lineRule="auto"/>
              <w:rPr>
                <w:rFonts w:ascii="Arial"/>
                <w:sz w:val="21"/>
              </w:rPr>
            </w:pPr>
          </w:p>
          <w:p w14:paraId="53AE7E80">
            <w:pPr>
              <w:spacing w:line="271" w:lineRule="auto"/>
              <w:rPr>
                <w:rFonts w:ascii="Arial"/>
                <w:sz w:val="21"/>
              </w:rPr>
            </w:pPr>
          </w:p>
          <w:p w14:paraId="4279AA64">
            <w:pPr>
              <w:pStyle w:val="6"/>
              <w:spacing w:before="62" w:line="224" w:lineRule="auto"/>
              <w:ind w:left="119"/>
            </w:pPr>
            <w:r>
              <w:rPr>
                <w:spacing w:val="-1"/>
              </w:rPr>
              <w:t>GB/T32399</w:t>
            </w:r>
          </w:p>
        </w:tc>
        <w:tc>
          <w:tcPr>
            <w:tcW w:w="1430" w:type="dxa"/>
            <w:vAlign w:val="top"/>
          </w:tcPr>
          <w:p w14:paraId="2F8DAB69">
            <w:pPr>
              <w:spacing w:line="397" w:lineRule="auto"/>
              <w:rPr>
                <w:rFonts w:ascii="Arial"/>
                <w:sz w:val="21"/>
              </w:rPr>
            </w:pPr>
          </w:p>
          <w:p w14:paraId="79BCD0D4">
            <w:pPr>
              <w:pStyle w:val="6"/>
              <w:spacing w:before="61" w:line="259" w:lineRule="auto"/>
              <w:ind w:left="65" w:right="15" w:hanging="49"/>
            </w:pPr>
            <w:r>
              <w:rPr>
                <w:spacing w:val="41"/>
              </w:rPr>
              <w:t>信息技术云计</w:t>
            </w:r>
            <w:r>
              <w:rPr>
                <w:spacing w:val="1"/>
              </w:rPr>
              <w:t xml:space="preserve"> </w:t>
            </w:r>
            <w:r>
              <w:rPr>
                <w:spacing w:val="2"/>
              </w:rPr>
              <w:t>算参考架构</w:t>
            </w:r>
          </w:p>
        </w:tc>
        <w:tc>
          <w:tcPr>
            <w:tcW w:w="2260" w:type="dxa"/>
            <w:vAlign w:val="top"/>
          </w:tcPr>
          <w:p w14:paraId="6CFA3D32">
            <w:pPr>
              <w:pStyle w:val="6"/>
              <w:spacing w:before="70" w:line="252" w:lineRule="auto"/>
              <w:ind w:left="25" w:right="15" w:firstLine="50"/>
              <w:jc w:val="both"/>
            </w:pPr>
            <w:r>
              <w:rPr>
                <w:spacing w:val="-1"/>
              </w:rPr>
              <w:t>该标准规定了云计算参考</w:t>
            </w:r>
            <w:r>
              <w:t xml:space="preserve">  </w:t>
            </w:r>
            <w:r>
              <w:rPr>
                <w:spacing w:val="44"/>
              </w:rPr>
              <w:t>架构(</w:t>
            </w:r>
            <w:r>
              <w:t>CCRA</w:t>
            </w:r>
            <w:r>
              <w:rPr>
                <w:spacing w:val="44"/>
              </w:rPr>
              <w:t>),包括云计</w:t>
            </w:r>
            <w:r>
              <w:rPr>
                <w:spacing w:val="6"/>
              </w:rPr>
              <w:t xml:space="preserve"> </w:t>
            </w:r>
            <w:r>
              <w:rPr>
                <w:spacing w:val="5"/>
              </w:rPr>
              <w:t xml:space="preserve">算角色、云计算活动、云 </w:t>
            </w:r>
            <w:r>
              <w:rPr>
                <w:spacing w:val="3"/>
              </w:rPr>
              <w:t>计算功能组件以及它们之</w:t>
            </w:r>
            <w:r>
              <w:rPr>
                <w:spacing w:val="4"/>
              </w:rPr>
              <w:t xml:space="preserve">  </w:t>
            </w:r>
            <w:r>
              <w:rPr>
                <w:spacing w:val="6"/>
              </w:rPr>
              <w:t>间的关系</w:t>
            </w:r>
          </w:p>
        </w:tc>
        <w:tc>
          <w:tcPr>
            <w:tcW w:w="2660" w:type="dxa"/>
            <w:vAlign w:val="top"/>
          </w:tcPr>
          <w:p w14:paraId="721F520C">
            <w:pPr>
              <w:spacing w:line="408" w:lineRule="auto"/>
              <w:rPr>
                <w:rFonts w:ascii="Arial"/>
                <w:sz w:val="21"/>
              </w:rPr>
            </w:pPr>
          </w:p>
          <w:p w14:paraId="7B84E54C">
            <w:pPr>
              <w:pStyle w:val="6"/>
              <w:spacing w:before="61" w:line="239" w:lineRule="auto"/>
              <w:ind w:left="55" w:right="104" w:firstLine="29"/>
            </w:pPr>
            <w:r>
              <w:rPr>
                <w:spacing w:val="-1"/>
              </w:rPr>
              <w:t>该标准适用于云计算架构参考</w:t>
            </w:r>
            <w:r>
              <w:rPr>
                <w:spacing w:val="1"/>
              </w:rPr>
              <w:t xml:space="preserve"> </w:t>
            </w:r>
            <w:r>
              <w:rPr>
                <w:spacing w:val="11"/>
              </w:rPr>
              <w:t>使用</w:t>
            </w:r>
          </w:p>
        </w:tc>
        <w:tc>
          <w:tcPr>
            <w:tcW w:w="870" w:type="dxa"/>
            <w:tcBorders>
              <w:right w:val="nil"/>
            </w:tcBorders>
            <w:vAlign w:val="top"/>
          </w:tcPr>
          <w:p w14:paraId="2F4E7FD3">
            <w:pPr>
              <w:spacing w:line="268" w:lineRule="auto"/>
              <w:rPr>
                <w:rFonts w:ascii="Arial"/>
                <w:sz w:val="21"/>
              </w:rPr>
            </w:pPr>
          </w:p>
          <w:p w14:paraId="0A54089E">
            <w:pPr>
              <w:spacing w:line="269" w:lineRule="auto"/>
              <w:rPr>
                <w:rFonts w:ascii="Arial"/>
                <w:sz w:val="21"/>
              </w:rPr>
            </w:pPr>
          </w:p>
          <w:p w14:paraId="2933878F">
            <w:pPr>
              <w:pStyle w:val="6"/>
              <w:spacing w:before="62" w:line="220" w:lineRule="auto"/>
              <w:ind w:left="45"/>
            </w:pPr>
            <w:r>
              <w:rPr>
                <w:spacing w:val="2"/>
              </w:rPr>
              <w:t>国家标准</w:t>
            </w:r>
          </w:p>
        </w:tc>
      </w:tr>
      <w:tr w14:paraId="0A0DA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2" w:hRule="atLeast"/>
        </w:trPr>
        <w:tc>
          <w:tcPr>
            <w:tcW w:w="1109" w:type="dxa"/>
            <w:tcBorders>
              <w:left w:val="nil"/>
            </w:tcBorders>
            <w:vAlign w:val="top"/>
          </w:tcPr>
          <w:p w14:paraId="4AD062A1">
            <w:pPr>
              <w:spacing w:line="272" w:lineRule="auto"/>
              <w:rPr>
                <w:rFonts w:ascii="Arial"/>
                <w:sz w:val="21"/>
              </w:rPr>
            </w:pPr>
          </w:p>
          <w:p w14:paraId="314F853F">
            <w:pPr>
              <w:spacing w:line="273" w:lineRule="auto"/>
              <w:rPr>
                <w:rFonts w:ascii="Arial"/>
                <w:sz w:val="21"/>
              </w:rPr>
            </w:pPr>
          </w:p>
          <w:p w14:paraId="1F218194">
            <w:pPr>
              <w:pStyle w:val="6"/>
              <w:spacing w:before="62" w:line="224" w:lineRule="auto"/>
              <w:ind w:left="79"/>
            </w:pPr>
            <w:r>
              <w:rPr>
                <w:spacing w:val="-2"/>
              </w:rPr>
              <w:t>GB/T</w:t>
            </w:r>
            <w:r>
              <w:rPr>
                <w:spacing w:val="38"/>
              </w:rPr>
              <w:t xml:space="preserve"> </w:t>
            </w:r>
            <w:r>
              <w:rPr>
                <w:spacing w:val="-2"/>
              </w:rPr>
              <w:t>35301</w:t>
            </w:r>
          </w:p>
        </w:tc>
        <w:tc>
          <w:tcPr>
            <w:tcW w:w="1430" w:type="dxa"/>
            <w:vAlign w:val="top"/>
          </w:tcPr>
          <w:p w14:paraId="14742671">
            <w:pPr>
              <w:spacing w:line="282" w:lineRule="auto"/>
              <w:rPr>
                <w:rFonts w:ascii="Arial"/>
                <w:sz w:val="21"/>
              </w:rPr>
            </w:pPr>
          </w:p>
          <w:p w14:paraId="6214B0F2">
            <w:pPr>
              <w:pStyle w:val="6"/>
              <w:spacing w:before="61" w:line="258" w:lineRule="auto"/>
              <w:ind w:left="45" w:right="31" w:firstLine="90"/>
            </w:pPr>
            <w:r>
              <w:rPr>
                <w:spacing w:val="-2"/>
              </w:rPr>
              <w:t>信息技术云计</w:t>
            </w:r>
            <w:r>
              <w:rPr>
                <w:spacing w:val="1"/>
              </w:rPr>
              <w:t xml:space="preserve">  </w:t>
            </w:r>
            <w:r>
              <w:rPr>
                <w:spacing w:val="13"/>
              </w:rPr>
              <w:t>算平台即服务</w:t>
            </w:r>
            <w:r>
              <w:rPr>
                <w:spacing w:val="1"/>
              </w:rPr>
              <w:t xml:space="preserve">  </w:t>
            </w:r>
            <w:r>
              <w:rPr>
                <w:spacing w:val="2"/>
              </w:rPr>
              <w:t>(</w:t>
            </w:r>
            <w:r>
              <w:t>PaaS</w:t>
            </w:r>
            <w:r>
              <w:rPr>
                <w:spacing w:val="2"/>
              </w:rPr>
              <w:t>)参考架构</w:t>
            </w:r>
          </w:p>
        </w:tc>
        <w:tc>
          <w:tcPr>
            <w:tcW w:w="2260" w:type="dxa"/>
            <w:vAlign w:val="top"/>
          </w:tcPr>
          <w:p w14:paraId="51DCD1DC">
            <w:pPr>
              <w:pStyle w:val="6"/>
              <w:spacing w:before="65" w:line="220" w:lineRule="auto"/>
              <w:ind w:left="175"/>
            </w:pPr>
            <w:r>
              <w:rPr>
                <w:spacing w:val="-1"/>
              </w:rPr>
              <w:t>该标准规定了平台即服</w:t>
            </w:r>
          </w:p>
          <w:p w14:paraId="7B44F993">
            <w:pPr>
              <w:pStyle w:val="6"/>
              <w:spacing w:before="63" w:line="219" w:lineRule="auto"/>
              <w:ind w:left="175"/>
            </w:pPr>
            <w:r>
              <w:rPr>
                <w:spacing w:val="-1"/>
              </w:rPr>
              <w:t>务(PaaS)参考架构的术</w:t>
            </w:r>
          </w:p>
          <w:p w14:paraId="6E20C24C">
            <w:pPr>
              <w:pStyle w:val="6"/>
              <w:spacing w:before="45" w:line="245" w:lineRule="auto"/>
              <w:ind w:left="15" w:firstLine="57"/>
            </w:pPr>
            <w:r>
              <w:rPr>
                <w:spacing w:val="-9"/>
              </w:rPr>
              <w:t>语定义和缩略语、图例说</w:t>
            </w:r>
            <w:r>
              <w:rPr>
                <w:spacing w:val="3"/>
              </w:rPr>
              <w:t xml:space="preserve">   </w:t>
            </w:r>
            <w:r>
              <w:rPr>
                <w:spacing w:val="-4"/>
              </w:rPr>
              <w:t>明、PaaS参考架构的概念、</w:t>
            </w:r>
            <w:r>
              <w:rPr>
                <w:spacing w:val="9"/>
              </w:rPr>
              <w:t xml:space="preserve"> </w:t>
            </w:r>
            <w:r>
              <w:rPr>
                <w:spacing w:val="-1"/>
              </w:rPr>
              <w:t>PaaS用户视图和功能视图</w:t>
            </w:r>
          </w:p>
        </w:tc>
        <w:tc>
          <w:tcPr>
            <w:tcW w:w="2660" w:type="dxa"/>
            <w:vAlign w:val="top"/>
          </w:tcPr>
          <w:p w14:paraId="0CC9DC99">
            <w:pPr>
              <w:spacing w:line="420" w:lineRule="auto"/>
              <w:rPr>
                <w:rFonts w:ascii="Arial"/>
                <w:sz w:val="21"/>
              </w:rPr>
            </w:pPr>
          </w:p>
          <w:p w14:paraId="512B3718">
            <w:pPr>
              <w:pStyle w:val="6"/>
              <w:spacing w:before="62" w:line="249" w:lineRule="auto"/>
              <w:ind w:left="45" w:right="104" w:firstLine="39"/>
            </w:pPr>
            <w:r>
              <w:rPr>
                <w:spacing w:val="-1"/>
              </w:rPr>
              <w:t>该标准适用于PaaS云计算系统</w:t>
            </w:r>
            <w:r>
              <w:rPr>
                <w:spacing w:val="3"/>
              </w:rPr>
              <w:t xml:space="preserve"> </w:t>
            </w:r>
            <w:r>
              <w:rPr>
                <w:spacing w:val="1"/>
              </w:rPr>
              <w:t>的设计、实现、部署和使用</w:t>
            </w:r>
          </w:p>
        </w:tc>
        <w:tc>
          <w:tcPr>
            <w:tcW w:w="870" w:type="dxa"/>
            <w:tcBorders>
              <w:right w:val="nil"/>
            </w:tcBorders>
            <w:vAlign w:val="top"/>
          </w:tcPr>
          <w:p w14:paraId="53EC3EC1">
            <w:pPr>
              <w:spacing w:line="270" w:lineRule="auto"/>
              <w:rPr>
                <w:rFonts w:ascii="Arial"/>
                <w:sz w:val="21"/>
              </w:rPr>
            </w:pPr>
          </w:p>
          <w:p w14:paraId="7FA2CB1F">
            <w:pPr>
              <w:spacing w:line="270" w:lineRule="auto"/>
              <w:rPr>
                <w:rFonts w:ascii="Arial"/>
                <w:sz w:val="21"/>
              </w:rPr>
            </w:pPr>
          </w:p>
          <w:p w14:paraId="0D3EB9C3">
            <w:pPr>
              <w:pStyle w:val="6"/>
              <w:spacing w:before="62" w:line="220" w:lineRule="auto"/>
              <w:ind w:left="45"/>
            </w:pPr>
            <w:r>
              <w:rPr>
                <w:spacing w:val="2"/>
              </w:rPr>
              <w:t>国家标准</w:t>
            </w:r>
          </w:p>
        </w:tc>
      </w:tr>
    </w:tbl>
    <w:p w14:paraId="6D1F696C">
      <w:pPr>
        <w:rPr>
          <w:rFonts w:ascii="Arial"/>
          <w:sz w:val="21"/>
        </w:rPr>
      </w:pPr>
    </w:p>
    <w:p w14:paraId="48B53479">
      <w:pPr>
        <w:rPr>
          <w:rFonts w:ascii="Arial" w:hAnsi="Arial" w:eastAsia="Arial" w:cs="Arial"/>
          <w:sz w:val="21"/>
          <w:szCs w:val="21"/>
        </w:rPr>
        <w:sectPr>
          <w:pgSz w:w="10300" w:h="13400"/>
          <w:pgMar w:top="400" w:right="1047" w:bottom="400" w:left="530" w:header="0" w:footer="0" w:gutter="0"/>
          <w:cols w:space="720" w:num="1"/>
        </w:sectPr>
      </w:pPr>
    </w:p>
    <w:p w14:paraId="176B9318">
      <w:pPr>
        <w:pStyle w:val="2"/>
        <w:spacing w:before="76" w:line="219" w:lineRule="auto"/>
        <w:jc w:val="right"/>
        <w:rPr>
          <w:rFonts w:ascii="Times New Roman" w:hAnsi="Times New Roman" w:eastAsia="Times New Roman" w:cs="Times New Roman"/>
          <w:sz w:val="17"/>
          <w:szCs w:val="17"/>
        </w:rPr>
      </w:pPr>
      <w:r>
        <w:rPr>
          <w:spacing w:val="4"/>
          <w:sz w:val="19"/>
          <w:szCs w:val="19"/>
        </w:rPr>
        <w:t>第19章</w:t>
      </w:r>
      <w:r>
        <w:rPr>
          <w:spacing w:val="26"/>
          <w:sz w:val="19"/>
          <w:szCs w:val="19"/>
        </w:rPr>
        <w:t xml:space="preserve"> </w:t>
      </w:r>
      <w:r>
        <w:rPr>
          <w:spacing w:val="4"/>
          <w:sz w:val="19"/>
          <w:szCs w:val="19"/>
        </w:rPr>
        <w:t>监理支撑要素</w:t>
      </w:r>
      <w:r>
        <w:rPr>
          <w:spacing w:val="8"/>
          <w:sz w:val="19"/>
          <w:szCs w:val="19"/>
        </w:rPr>
        <w:t xml:space="preserve">      </w:t>
      </w:r>
      <w:r>
        <w:rPr>
          <w:rFonts w:ascii="Times New Roman" w:hAnsi="Times New Roman" w:eastAsia="Times New Roman" w:cs="Times New Roman"/>
          <w:b/>
          <w:bCs/>
          <w:spacing w:val="4"/>
          <w:sz w:val="17"/>
          <w:szCs w:val="17"/>
        </w:rPr>
        <w:t>423</w:t>
      </w:r>
    </w:p>
    <w:p w14:paraId="60138D8F">
      <w:pPr>
        <w:spacing w:before="114"/>
      </w:pPr>
    </w:p>
    <w:tbl>
      <w:tblPr>
        <w:tblStyle w:val="5"/>
        <w:tblW w:w="839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0"/>
        <w:gridCol w:w="1410"/>
        <w:gridCol w:w="2240"/>
        <w:gridCol w:w="2670"/>
        <w:gridCol w:w="971"/>
      </w:tblGrid>
      <w:tr w14:paraId="4E639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8391" w:type="dxa"/>
            <w:gridSpan w:val="5"/>
            <w:tcBorders>
              <w:top w:val="nil"/>
              <w:left w:val="nil"/>
              <w:right w:val="nil"/>
            </w:tcBorders>
            <w:vAlign w:val="top"/>
          </w:tcPr>
          <w:p w14:paraId="39E58B0E">
            <w:pPr>
              <w:pStyle w:val="6"/>
              <w:spacing w:line="220" w:lineRule="auto"/>
              <w:jc w:val="right"/>
            </w:pPr>
            <w:r>
              <w:rPr>
                <w:spacing w:val="10"/>
              </w:rPr>
              <w:t>(续表)</w:t>
            </w:r>
          </w:p>
        </w:tc>
      </w:tr>
      <w:tr w14:paraId="33768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00" w:type="dxa"/>
            <w:tcBorders>
              <w:left w:val="nil"/>
            </w:tcBorders>
            <w:vAlign w:val="top"/>
          </w:tcPr>
          <w:p w14:paraId="206FD69B">
            <w:pPr>
              <w:pStyle w:val="6"/>
              <w:spacing w:before="76" w:line="220" w:lineRule="auto"/>
              <w:ind w:left="262"/>
            </w:pPr>
            <w:r>
              <w:rPr>
                <w:b/>
                <w:bCs/>
                <w:spacing w:val="-4"/>
              </w:rPr>
              <w:t>标准号</w:t>
            </w:r>
          </w:p>
        </w:tc>
        <w:tc>
          <w:tcPr>
            <w:tcW w:w="1410" w:type="dxa"/>
            <w:vAlign w:val="top"/>
          </w:tcPr>
          <w:p w14:paraId="1A0F28A8">
            <w:pPr>
              <w:pStyle w:val="6"/>
              <w:spacing w:before="76" w:line="220" w:lineRule="auto"/>
              <w:ind w:left="317"/>
            </w:pPr>
            <w:r>
              <w:rPr>
                <w:b/>
                <w:bCs/>
                <w:spacing w:val="-4"/>
              </w:rPr>
              <w:t>标准名称</w:t>
            </w:r>
          </w:p>
        </w:tc>
        <w:tc>
          <w:tcPr>
            <w:tcW w:w="2240" w:type="dxa"/>
            <w:vAlign w:val="top"/>
          </w:tcPr>
          <w:p w14:paraId="0942AA53">
            <w:pPr>
              <w:pStyle w:val="6"/>
              <w:spacing w:before="75" w:line="219" w:lineRule="auto"/>
              <w:ind w:left="737"/>
            </w:pPr>
            <w:r>
              <w:rPr>
                <w:b/>
                <w:bCs/>
                <w:spacing w:val="-4"/>
              </w:rPr>
              <w:t>主要内容</w:t>
            </w:r>
          </w:p>
        </w:tc>
        <w:tc>
          <w:tcPr>
            <w:tcW w:w="2670" w:type="dxa"/>
            <w:vAlign w:val="top"/>
          </w:tcPr>
          <w:p w14:paraId="56BBA1F3">
            <w:pPr>
              <w:pStyle w:val="6"/>
              <w:spacing w:before="76" w:line="220" w:lineRule="auto"/>
              <w:ind w:left="947"/>
            </w:pPr>
            <w:r>
              <w:rPr>
                <w:b/>
                <w:bCs/>
                <w:spacing w:val="-4"/>
              </w:rPr>
              <w:t>适用范围</w:t>
            </w:r>
          </w:p>
        </w:tc>
        <w:tc>
          <w:tcPr>
            <w:tcW w:w="971" w:type="dxa"/>
            <w:tcBorders>
              <w:right w:val="nil"/>
            </w:tcBorders>
            <w:vAlign w:val="top"/>
          </w:tcPr>
          <w:p w14:paraId="50EC705B">
            <w:pPr>
              <w:pStyle w:val="6"/>
              <w:spacing w:before="75" w:line="219" w:lineRule="auto"/>
              <w:ind w:left="257"/>
            </w:pPr>
            <w:r>
              <w:rPr>
                <w:b/>
                <w:bCs/>
                <w:spacing w:val="-4"/>
              </w:rPr>
              <w:t>类别</w:t>
            </w:r>
          </w:p>
        </w:tc>
      </w:tr>
      <w:tr w14:paraId="0E346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1100" w:type="dxa"/>
            <w:tcBorders>
              <w:left w:val="nil"/>
            </w:tcBorders>
            <w:vAlign w:val="top"/>
          </w:tcPr>
          <w:p w14:paraId="6D990646">
            <w:pPr>
              <w:spacing w:line="274" w:lineRule="auto"/>
              <w:rPr>
                <w:rFonts w:ascii="Arial"/>
                <w:sz w:val="21"/>
              </w:rPr>
            </w:pPr>
          </w:p>
          <w:p w14:paraId="4CA02050">
            <w:pPr>
              <w:spacing w:line="274" w:lineRule="auto"/>
              <w:rPr>
                <w:rFonts w:ascii="Arial"/>
                <w:sz w:val="21"/>
              </w:rPr>
            </w:pPr>
          </w:p>
          <w:p w14:paraId="2E279BCE">
            <w:pPr>
              <w:pStyle w:val="6"/>
              <w:spacing w:before="62" w:line="224" w:lineRule="auto"/>
              <w:ind w:left="70"/>
            </w:pPr>
            <w:r>
              <w:rPr>
                <w:spacing w:val="-2"/>
              </w:rPr>
              <w:t>GB/T</w:t>
            </w:r>
            <w:r>
              <w:rPr>
                <w:spacing w:val="14"/>
              </w:rPr>
              <w:t xml:space="preserve"> </w:t>
            </w:r>
            <w:r>
              <w:rPr>
                <w:spacing w:val="-2"/>
              </w:rPr>
              <w:t>35293</w:t>
            </w:r>
          </w:p>
        </w:tc>
        <w:tc>
          <w:tcPr>
            <w:tcW w:w="1410" w:type="dxa"/>
            <w:vAlign w:val="top"/>
          </w:tcPr>
          <w:p w14:paraId="4D4445FD">
            <w:pPr>
              <w:spacing w:line="273" w:lineRule="auto"/>
              <w:rPr>
                <w:rFonts w:ascii="Arial"/>
                <w:sz w:val="21"/>
              </w:rPr>
            </w:pPr>
          </w:p>
          <w:p w14:paraId="49EF6162">
            <w:pPr>
              <w:pStyle w:val="6"/>
              <w:spacing w:before="62" w:line="260" w:lineRule="auto"/>
              <w:ind w:left="34" w:right="12"/>
              <w:jc w:val="both"/>
            </w:pPr>
            <w:r>
              <w:rPr>
                <w:spacing w:val="-2"/>
              </w:rPr>
              <w:t>信息技术云计算</w:t>
            </w:r>
            <w:r>
              <w:rPr>
                <w:spacing w:val="5"/>
              </w:rPr>
              <w:t xml:space="preserve"> </w:t>
            </w:r>
            <w:r>
              <w:rPr>
                <w:spacing w:val="3"/>
              </w:rPr>
              <w:t>虚拟机管理通用</w:t>
            </w:r>
            <w:r>
              <w:rPr>
                <w:spacing w:val="1"/>
              </w:rPr>
              <w:t xml:space="preserve"> </w:t>
            </w:r>
            <w:r>
              <w:t>要求</w:t>
            </w:r>
          </w:p>
        </w:tc>
        <w:tc>
          <w:tcPr>
            <w:tcW w:w="2240" w:type="dxa"/>
            <w:vAlign w:val="top"/>
          </w:tcPr>
          <w:p w14:paraId="0BDF5864">
            <w:pPr>
              <w:pStyle w:val="6"/>
              <w:spacing w:before="66" w:line="257" w:lineRule="auto"/>
              <w:ind w:left="15"/>
              <w:jc w:val="both"/>
            </w:pPr>
            <w:r>
              <w:rPr>
                <w:spacing w:val="-13"/>
              </w:rPr>
              <w:t>该标准规定了虚拟机的基本</w:t>
            </w:r>
            <w:r>
              <w:rPr>
                <w:spacing w:val="3"/>
              </w:rPr>
              <w:t xml:space="preserve">  </w:t>
            </w:r>
            <w:r>
              <w:rPr>
                <w:spacing w:val="-6"/>
              </w:rPr>
              <w:t>管理、虚拟机的生命周期、</w:t>
            </w:r>
            <w:r>
              <w:rPr>
                <w:spacing w:val="5"/>
              </w:rPr>
              <w:t xml:space="preserve"> </w:t>
            </w:r>
            <w:r>
              <w:rPr>
                <w:spacing w:val="-6"/>
              </w:rPr>
              <w:t>配置与调度、监控与告警、</w:t>
            </w:r>
            <w:r>
              <w:rPr>
                <w:spacing w:val="5"/>
              </w:rPr>
              <w:t xml:space="preserve"> </w:t>
            </w:r>
            <w:r>
              <w:rPr>
                <w:spacing w:val="-13"/>
              </w:rPr>
              <w:t>可用性和可靠性、安全性等</w:t>
            </w:r>
            <w:r>
              <w:rPr>
                <w:spacing w:val="3"/>
              </w:rPr>
              <w:t xml:space="preserve">  </w:t>
            </w:r>
            <w:r>
              <w:rPr>
                <w:spacing w:val="-3"/>
              </w:rPr>
              <w:t>管理通用技术要求</w:t>
            </w:r>
          </w:p>
        </w:tc>
        <w:tc>
          <w:tcPr>
            <w:tcW w:w="2670" w:type="dxa"/>
            <w:vAlign w:val="top"/>
          </w:tcPr>
          <w:p w14:paraId="3D68D01D">
            <w:pPr>
              <w:spacing w:line="432" w:lineRule="auto"/>
              <w:rPr>
                <w:rFonts w:ascii="Arial"/>
                <w:sz w:val="21"/>
              </w:rPr>
            </w:pPr>
          </w:p>
          <w:p w14:paraId="57579DAE">
            <w:pPr>
              <w:pStyle w:val="6"/>
              <w:spacing w:before="62" w:line="250" w:lineRule="auto"/>
              <w:ind w:left="74" w:hanging="59"/>
            </w:pPr>
            <w:r>
              <w:rPr>
                <w:spacing w:val="-2"/>
              </w:rPr>
              <w:t>该标准适用于虚拟机相关产品的</w:t>
            </w:r>
            <w:r>
              <w:rPr>
                <w:spacing w:val="11"/>
              </w:rPr>
              <w:t xml:space="preserve"> </w:t>
            </w:r>
            <w:r>
              <w:rPr>
                <w:spacing w:val="-2"/>
              </w:rPr>
              <w:t>设计、开发、测评、使用等</w:t>
            </w:r>
          </w:p>
        </w:tc>
        <w:tc>
          <w:tcPr>
            <w:tcW w:w="971" w:type="dxa"/>
            <w:tcBorders>
              <w:right w:val="nil"/>
            </w:tcBorders>
            <w:vAlign w:val="top"/>
          </w:tcPr>
          <w:p w14:paraId="35B2FF2D">
            <w:pPr>
              <w:spacing w:line="271" w:lineRule="auto"/>
              <w:rPr>
                <w:rFonts w:ascii="Arial"/>
                <w:sz w:val="21"/>
              </w:rPr>
            </w:pPr>
          </w:p>
          <w:p w14:paraId="50F8DBF4">
            <w:pPr>
              <w:spacing w:line="272" w:lineRule="auto"/>
              <w:rPr>
                <w:rFonts w:ascii="Arial"/>
                <w:sz w:val="21"/>
              </w:rPr>
            </w:pPr>
          </w:p>
          <w:p w14:paraId="7B75721C">
            <w:pPr>
              <w:pStyle w:val="6"/>
              <w:spacing w:before="62" w:line="220" w:lineRule="auto"/>
              <w:ind w:left="65"/>
            </w:pPr>
            <w:r>
              <w:rPr>
                <w:spacing w:val="2"/>
              </w:rPr>
              <w:t>国家标准</w:t>
            </w:r>
          </w:p>
        </w:tc>
      </w:tr>
      <w:tr w14:paraId="08CE6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8" w:hRule="atLeast"/>
        </w:trPr>
        <w:tc>
          <w:tcPr>
            <w:tcW w:w="1100" w:type="dxa"/>
            <w:tcBorders>
              <w:left w:val="nil"/>
            </w:tcBorders>
            <w:vAlign w:val="top"/>
          </w:tcPr>
          <w:p w14:paraId="59D86C9C">
            <w:pPr>
              <w:spacing w:line="319" w:lineRule="auto"/>
              <w:rPr>
                <w:rFonts w:ascii="Arial"/>
                <w:sz w:val="21"/>
              </w:rPr>
            </w:pPr>
          </w:p>
          <w:p w14:paraId="0D337EE6">
            <w:pPr>
              <w:spacing w:line="319" w:lineRule="auto"/>
              <w:rPr>
                <w:rFonts w:ascii="Arial"/>
                <w:sz w:val="21"/>
              </w:rPr>
            </w:pPr>
          </w:p>
          <w:p w14:paraId="52B3DEEE">
            <w:pPr>
              <w:spacing w:line="319" w:lineRule="auto"/>
              <w:rPr>
                <w:rFonts w:ascii="Arial"/>
                <w:sz w:val="21"/>
              </w:rPr>
            </w:pPr>
          </w:p>
          <w:p w14:paraId="43A9C225">
            <w:pPr>
              <w:pStyle w:val="6"/>
              <w:spacing w:before="62" w:line="224" w:lineRule="auto"/>
              <w:ind w:left="70"/>
            </w:pPr>
            <w:r>
              <w:rPr>
                <w:spacing w:val="-2"/>
              </w:rPr>
              <w:t>GB/T</w:t>
            </w:r>
            <w:r>
              <w:rPr>
                <w:spacing w:val="14"/>
              </w:rPr>
              <w:t xml:space="preserve"> </w:t>
            </w:r>
            <w:r>
              <w:rPr>
                <w:spacing w:val="-2"/>
              </w:rPr>
              <w:t>36327</w:t>
            </w:r>
          </w:p>
        </w:tc>
        <w:tc>
          <w:tcPr>
            <w:tcW w:w="1410" w:type="dxa"/>
            <w:vAlign w:val="top"/>
          </w:tcPr>
          <w:p w14:paraId="74409103">
            <w:pPr>
              <w:spacing w:line="281" w:lineRule="auto"/>
              <w:rPr>
                <w:rFonts w:ascii="Arial"/>
                <w:sz w:val="21"/>
              </w:rPr>
            </w:pPr>
          </w:p>
          <w:p w14:paraId="565F7406">
            <w:pPr>
              <w:spacing w:line="282" w:lineRule="auto"/>
              <w:rPr>
                <w:rFonts w:ascii="Arial"/>
                <w:sz w:val="21"/>
              </w:rPr>
            </w:pPr>
          </w:p>
          <w:p w14:paraId="13A098F6">
            <w:pPr>
              <w:pStyle w:val="6"/>
              <w:spacing w:before="62" w:line="259" w:lineRule="auto"/>
              <w:ind w:left="34" w:right="128" w:firstLine="90"/>
              <w:jc w:val="both"/>
            </w:pPr>
            <w:r>
              <w:rPr>
                <w:spacing w:val="-2"/>
              </w:rPr>
              <w:t>信息技术云计</w:t>
            </w:r>
            <w:r>
              <w:rPr>
                <w:spacing w:val="3"/>
              </w:rPr>
              <w:t xml:space="preserve"> </w:t>
            </w:r>
            <w:r>
              <w:rPr>
                <w:spacing w:val="13"/>
              </w:rPr>
              <w:t>算平台即服务</w:t>
            </w:r>
            <w:r>
              <w:rPr>
                <w:spacing w:val="2"/>
              </w:rPr>
              <w:t xml:space="preserve"> </w:t>
            </w:r>
            <w:r>
              <w:rPr>
                <w:spacing w:val="19"/>
              </w:rPr>
              <w:t>(</w:t>
            </w:r>
            <w:r>
              <w:t>PaaS</w:t>
            </w:r>
            <w:r>
              <w:rPr>
                <w:spacing w:val="19"/>
              </w:rPr>
              <w:t>)应用程</w:t>
            </w:r>
            <w:r>
              <w:t xml:space="preserve"> </w:t>
            </w:r>
            <w:r>
              <w:rPr>
                <w:spacing w:val="-2"/>
              </w:rPr>
              <w:t>序管理要求</w:t>
            </w:r>
          </w:p>
        </w:tc>
        <w:tc>
          <w:tcPr>
            <w:tcW w:w="2240" w:type="dxa"/>
            <w:vAlign w:val="top"/>
          </w:tcPr>
          <w:p w14:paraId="69F1BBDF">
            <w:pPr>
              <w:spacing w:line="282" w:lineRule="auto"/>
              <w:rPr>
                <w:rFonts w:ascii="Arial"/>
                <w:sz w:val="21"/>
              </w:rPr>
            </w:pPr>
          </w:p>
          <w:p w14:paraId="62053713">
            <w:pPr>
              <w:spacing w:line="283" w:lineRule="auto"/>
              <w:rPr>
                <w:rFonts w:ascii="Arial"/>
                <w:sz w:val="21"/>
              </w:rPr>
            </w:pPr>
          </w:p>
          <w:p w14:paraId="07A289B8">
            <w:pPr>
              <w:pStyle w:val="6"/>
              <w:spacing w:before="62" w:line="265" w:lineRule="auto"/>
              <w:ind w:left="64" w:right="66"/>
              <w:jc w:val="both"/>
            </w:pPr>
            <w:r>
              <w:rPr>
                <w:spacing w:val="-1"/>
              </w:rPr>
              <w:t>该标准提出了平台即服务</w:t>
            </w:r>
            <w:r>
              <w:t xml:space="preserve"> (PaaS)应用程序的管理流</w:t>
            </w:r>
            <w:r>
              <w:rPr>
                <w:spacing w:val="7"/>
              </w:rPr>
              <w:t xml:space="preserve"> </w:t>
            </w:r>
            <w:r>
              <w:rPr>
                <w:spacing w:val="-1"/>
              </w:rPr>
              <w:t>程，并规定了PaaS应用程</w:t>
            </w:r>
            <w:r>
              <w:rPr>
                <w:spacing w:val="5"/>
              </w:rPr>
              <w:t xml:space="preserve"> </w:t>
            </w:r>
            <w:r>
              <w:rPr>
                <w:spacing w:val="-1"/>
              </w:rPr>
              <w:t>序的一般要求与管理要求</w:t>
            </w:r>
          </w:p>
        </w:tc>
        <w:tc>
          <w:tcPr>
            <w:tcW w:w="2670" w:type="dxa"/>
            <w:vAlign w:val="top"/>
          </w:tcPr>
          <w:p w14:paraId="43489A94">
            <w:pPr>
              <w:pStyle w:val="6"/>
              <w:spacing w:before="79" w:line="219" w:lineRule="auto"/>
              <w:ind w:left="84"/>
            </w:pPr>
            <w:r>
              <w:rPr>
                <w:spacing w:val="-1"/>
              </w:rPr>
              <w:t>该标准适用于与平台即服务</w:t>
            </w:r>
          </w:p>
          <w:p w14:paraId="1E5BD79C">
            <w:pPr>
              <w:pStyle w:val="6"/>
              <w:spacing w:before="44" w:line="219" w:lineRule="auto"/>
              <w:ind w:left="34"/>
            </w:pPr>
            <w:r>
              <w:rPr>
                <w:spacing w:val="1"/>
              </w:rPr>
              <w:t>(</w:t>
            </w:r>
            <w:r>
              <w:t>PaaS</w:t>
            </w:r>
            <w:r>
              <w:rPr>
                <w:spacing w:val="1"/>
              </w:rPr>
              <w:t>)应用程序管理相关的</w:t>
            </w:r>
          </w:p>
          <w:p w14:paraId="77A033BD">
            <w:pPr>
              <w:pStyle w:val="6"/>
              <w:spacing w:before="56" w:line="257" w:lineRule="auto"/>
              <w:ind w:left="15" w:firstLine="79"/>
            </w:pPr>
            <w:r>
              <w:t>PaaS</w:t>
            </w:r>
            <w:r>
              <w:rPr>
                <w:spacing w:val="1"/>
              </w:rPr>
              <w:t>提供者的服务供应，平台</w:t>
            </w:r>
            <w:r>
              <w:t xml:space="preserve">  </w:t>
            </w:r>
            <w:r>
              <w:rPr>
                <w:spacing w:val="7"/>
              </w:rPr>
              <w:t>即服务(</w:t>
            </w:r>
            <w:r>
              <w:t>PaaS</w:t>
            </w:r>
            <w:r>
              <w:rPr>
                <w:spacing w:val="7"/>
              </w:rPr>
              <w:t>)客户使用云平台</w:t>
            </w:r>
            <w:r>
              <w:rPr>
                <w:spacing w:val="4"/>
              </w:rPr>
              <w:t xml:space="preserve">  </w:t>
            </w:r>
            <w:r>
              <w:rPr>
                <w:spacing w:val="-2"/>
              </w:rPr>
              <w:t>服务部署运行应用程序以及平台</w:t>
            </w:r>
            <w:r>
              <w:rPr>
                <w:spacing w:val="11"/>
              </w:rPr>
              <w:t xml:space="preserve"> </w:t>
            </w:r>
            <w:r>
              <w:rPr>
                <w:spacing w:val="7"/>
              </w:rPr>
              <w:t>即服务(</w:t>
            </w:r>
            <w:r>
              <w:t>PaaS</w:t>
            </w:r>
            <w:r>
              <w:rPr>
                <w:spacing w:val="7"/>
              </w:rPr>
              <w:t>)协作者基于平台</w:t>
            </w:r>
            <w:r>
              <w:rPr>
                <w:spacing w:val="4"/>
              </w:rPr>
              <w:t xml:space="preserve">  </w:t>
            </w:r>
            <w:r>
              <w:rPr>
                <w:spacing w:val="7"/>
              </w:rPr>
              <w:t>即服务(</w:t>
            </w:r>
            <w:r>
              <w:t>PaaS</w:t>
            </w:r>
            <w:r>
              <w:rPr>
                <w:spacing w:val="7"/>
              </w:rPr>
              <w:t>)应用程序管理的</w:t>
            </w:r>
            <w:r>
              <w:rPr>
                <w:spacing w:val="1"/>
              </w:rPr>
              <w:t xml:space="preserve">  </w:t>
            </w:r>
            <w:r>
              <w:rPr>
                <w:spacing w:val="5"/>
              </w:rPr>
              <w:t>功能提供第三方服务的场景</w:t>
            </w:r>
          </w:p>
        </w:tc>
        <w:tc>
          <w:tcPr>
            <w:tcW w:w="971" w:type="dxa"/>
            <w:tcBorders>
              <w:right w:val="nil"/>
            </w:tcBorders>
            <w:vAlign w:val="top"/>
          </w:tcPr>
          <w:p w14:paraId="6CD0C9D4">
            <w:pPr>
              <w:spacing w:line="317" w:lineRule="auto"/>
              <w:rPr>
                <w:rFonts w:ascii="Arial"/>
                <w:sz w:val="21"/>
              </w:rPr>
            </w:pPr>
          </w:p>
          <w:p w14:paraId="14FBB8D0">
            <w:pPr>
              <w:spacing w:line="317" w:lineRule="auto"/>
              <w:rPr>
                <w:rFonts w:ascii="Arial"/>
                <w:sz w:val="21"/>
              </w:rPr>
            </w:pPr>
          </w:p>
          <w:p w14:paraId="17522AE6">
            <w:pPr>
              <w:spacing w:line="318" w:lineRule="auto"/>
              <w:rPr>
                <w:rFonts w:ascii="Arial"/>
                <w:sz w:val="21"/>
              </w:rPr>
            </w:pPr>
          </w:p>
          <w:p w14:paraId="37BCB53A">
            <w:pPr>
              <w:pStyle w:val="6"/>
              <w:spacing w:before="62" w:line="220" w:lineRule="auto"/>
              <w:ind w:left="65"/>
            </w:pPr>
            <w:r>
              <w:rPr>
                <w:spacing w:val="2"/>
              </w:rPr>
              <w:t>国家标准</w:t>
            </w:r>
          </w:p>
        </w:tc>
      </w:tr>
      <w:tr w14:paraId="10118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1100" w:type="dxa"/>
            <w:tcBorders>
              <w:left w:val="nil"/>
            </w:tcBorders>
            <w:vAlign w:val="top"/>
          </w:tcPr>
          <w:p w14:paraId="0BF3376D">
            <w:pPr>
              <w:spacing w:line="340" w:lineRule="auto"/>
              <w:rPr>
                <w:rFonts w:ascii="Arial"/>
                <w:sz w:val="21"/>
              </w:rPr>
            </w:pPr>
          </w:p>
          <w:p w14:paraId="45504978">
            <w:pPr>
              <w:spacing w:line="341" w:lineRule="auto"/>
              <w:rPr>
                <w:rFonts w:ascii="Arial"/>
                <w:sz w:val="21"/>
              </w:rPr>
            </w:pPr>
          </w:p>
          <w:p w14:paraId="6634F2C9">
            <w:pPr>
              <w:pStyle w:val="6"/>
              <w:spacing w:before="61" w:line="224" w:lineRule="auto"/>
              <w:ind w:left="70"/>
            </w:pPr>
            <w:r>
              <w:rPr>
                <w:spacing w:val="-2"/>
              </w:rPr>
              <w:t>GB/T</w:t>
            </w:r>
            <w:r>
              <w:rPr>
                <w:spacing w:val="14"/>
              </w:rPr>
              <w:t xml:space="preserve"> </w:t>
            </w:r>
            <w:r>
              <w:rPr>
                <w:spacing w:val="-2"/>
              </w:rPr>
              <w:t>36326</w:t>
            </w:r>
          </w:p>
        </w:tc>
        <w:tc>
          <w:tcPr>
            <w:tcW w:w="1410" w:type="dxa"/>
            <w:vAlign w:val="top"/>
          </w:tcPr>
          <w:p w14:paraId="7555832F">
            <w:pPr>
              <w:spacing w:line="406" w:lineRule="auto"/>
              <w:rPr>
                <w:rFonts w:ascii="Arial"/>
                <w:sz w:val="21"/>
              </w:rPr>
            </w:pPr>
          </w:p>
          <w:p w14:paraId="32E12822">
            <w:pPr>
              <w:pStyle w:val="6"/>
              <w:spacing w:before="61" w:line="255" w:lineRule="auto"/>
              <w:ind w:left="34" w:right="12"/>
              <w:jc w:val="both"/>
            </w:pPr>
            <w:r>
              <w:rPr>
                <w:spacing w:val="-2"/>
              </w:rPr>
              <w:t>信息技术云计算</w:t>
            </w:r>
            <w:r>
              <w:rPr>
                <w:spacing w:val="5"/>
              </w:rPr>
              <w:t xml:space="preserve"> </w:t>
            </w:r>
            <w:r>
              <w:rPr>
                <w:spacing w:val="3"/>
              </w:rPr>
              <w:t>云服务运营通用</w:t>
            </w:r>
            <w:r>
              <w:t xml:space="preserve"> </w:t>
            </w:r>
            <w:r>
              <w:rPr>
                <w:spacing w:val="-3"/>
              </w:rPr>
              <w:t>要求</w:t>
            </w:r>
          </w:p>
        </w:tc>
        <w:tc>
          <w:tcPr>
            <w:tcW w:w="2240" w:type="dxa"/>
            <w:vAlign w:val="top"/>
          </w:tcPr>
          <w:p w14:paraId="21A5DE01">
            <w:pPr>
              <w:pStyle w:val="6"/>
              <w:spacing w:before="210" w:line="262" w:lineRule="auto"/>
              <w:ind w:left="64" w:right="59"/>
              <w:jc w:val="both"/>
            </w:pPr>
            <w:r>
              <w:rPr>
                <w:spacing w:val="-1"/>
              </w:rPr>
              <w:t>该标准给出了云服务总体</w:t>
            </w:r>
            <w:r>
              <w:t xml:space="preserve"> </w:t>
            </w:r>
            <w:r>
              <w:rPr>
                <w:spacing w:val="-1"/>
              </w:rPr>
              <w:t>描述，规定了云服务提供</w:t>
            </w:r>
            <w:r>
              <w:rPr>
                <w:spacing w:val="1"/>
              </w:rPr>
              <w:t xml:space="preserve"> </w:t>
            </w:r>
            <w:r>
              <w:rPr>
                <w:spacing w:val="-1"/>
              </w:rPr>
              <w:t>者在人员、流程、技术及</w:t>
            </w:r>
            <w:r>
              <w:rPr>
                <w:spacing w:val="1"/>
              </w:rPr>
              <w:t xml:space="preserve"> 资源方面应具备的条件和</w:t>
            </w:r>
            <w:r>
              <w:rPr>
                <w:spacing w:val="3"/>
              </w:rPr>
              <w:t xml:space="preserve"> </w:t>
            </w:r>
            <w:r>
              <w:rPr>
                <w:spacing w:val="8"/>
              </w:rPr>
              <w:t>能力</w:t>
            </w:r>
          </w:p>
        </w:tc>
        <w:tc>
          <w:tcPr>
            <w:tcW w:w="2670" w:type="dxa"/>
            <w:vAlign w:val="top"/>
          </w:tcPr>
          <w:p w14:paraId="395BF019">
            <w:pPr>
              <w:pStyle w:val="6"/>
              <w:spacing w:before="61" w:line="257" w:lineRule="auto"/>
              <w:ind w:left="15"/>
              <w:jc w:val="both"/>
            </w:pPr>
            <w:r>
              <w:rPr>
                <w:spacing w:val="-2"/>
              </w:rPr>
              <w:t>该标准适用于：①云服务提供者</w:t>
            </w:r>
            <w:r>
              <w:rPr>
                <w:spacing w:val="8"/>
              </w:rPr>
              <w:t xml:space="preserve"> </w:t>
            </w:r>
            <w:r>
              <w:rPr>
                <w:spacing w:val="6"/>
              </w:rPr>
              <w:t>向云服务开发者提出需求的依</w:t>
            </w:r>
            <w:r>
              <w:rPr>
                <w:spacing w:val="2"/>
              </w:rPr>
              <w:t xml:space="preserve">  </w:t>
            </w:r>
            <w:r>
              <w:rPr>
                <w:spacing w:val="-2"/>
              </w:rPr>
              <w:t>据；②云服务提供者评估自身的</w:t>
            </w:r>
            <w:r>
              <w:rPr>
                <w:spacing w:val="11"/>
              </w:rPr>
              <w:t xml:space="preserve"> </w:t>
            </w:r>
            <w:r>
              <w:rPr>
                <w:spacing w:val="-2"/>
              </w:rPr>
              <w:t>条件和能力；③云服务客户选择</w:t>
            </w:r>
            <w:r>
              <w:rPr>
                <w:spacing w:val="9"/>
              </w:rPr>
              <w:t xml:space="preserve"> </w:t>
            </w:r>
            <w:r>
              <w:rPr>
                <w:spacing w:val="-2"/>
              </w:rPr>
              <w:t>和评价云服务提供者；④第三方</w:t>
            </w:r>
            <w:r>
              <w:rPr>
                <w:spacing w:val="10"/>
              </w:rPr>
              <w:t xml:space="preserve"> </w:t>
            </w:r>
            <w:r>
              <w:rPr>
                <w:spacing w:val="6"/>
              </w:rPr>
              <w:t>评估云服务提供者的能力</w:t>
            </w:r>
          </w:p>
        </w:tc>
        <w:tc>
          <w:tcPr>
            <w:tcW w:w="971" w:type="dxa"/>
            <w:tcBorders>
              <w:right w:val="nil"/>
            </w:tcBorders>
            <w:vAlign w:val="top"/>
          </w:tcPr>
          <w:p w14:paraId="226B3D4A">
            <w:pPr>
              <w:spacing w:line="271" w:lineRule="auto"/>
              <w:rPr>
                <w:rFonts w:ascii="Arial"/>
                <w:sz w:val="21"/>
              </w:rPr>
            </w:pPr>
          </w:p>
          <w:p w14:paraId="4340C07C">
            <w:pPr>
              <w:spacing w:line="272" w:lineRule="auto"/>
              <w:rPr>
                <w:rFonts w:ascii="Arial"/>
                <w:sz w:val="21"/>
              </w:rPr>
            </w:pPr>
          </w:p>
          <w:p w14:paraId="0DA83435">
            <w:pPr>
              <w:spacing w:line="272" w:lineRule="auto"/>
              <w:rPr>
                <w:rFonts w:ascii="Arial"/>
                <w:sz w:val="21"/>
              </w:rPr>
            </w:pPr>
          </w:p>
          <w:p w14:paraId="0A5D88CF">
            <w:pPr>
              <w:pStyle w:val="6"/>
              <w:spacing w:before="62" w:line="220" w:lineRule="auto"/>
              <w:ind w:left="65"/>
            </w:pPr>
            <w:r>
              <w:rPr>
                <w:spacing w:val="2"/>
              </w:rPr>
              <w:t>国家标准</w:t>
            </w:r>
          </w:p>
        </w:tc>
      </w:tr>
      <w:tr w14:paraId="620D2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8" w:hRule="atLeast"/>
        </w:trPr>
        <w:tc>
          <w:tcPr>
            <w:tcW w:w="1100" w:type="dxa"/>
            <w:tcBorders>
              <w:left w:val="nil"/>
            </w:tcBorders>
            <w:vAlign w:val="top"/>
          </w:tcPr>
          <w:p w14:paraId="1F19A850">
            <w:pPr>
              <w:spacing w:line="270" w:lineRule="auto"/>
              <w:rPr>
                <w:rFonts w:ascii="Arial"/>
                <w:sz w:val="21"/>
              </w:rPr>
            </w:pPr>
          </w:p>
          <w:p w14:paraId="7FDF7B70">
            <w:pPr>
              <w:spacing w:line="271" w:lineRule="auto"/>
              <w:rPr>
                <w:rFonts w:ascii="Arial"/>
                <w:sz w:val="21"/>
              </w:rPr>
            </w:pPr>
          </w:p>
          <w:p w14:paraId="34482465">
            <w:pPr>
              <w:spacing w:line="271" w:lineRule="auto"/>
              <w:rPr>
                <w:rFonts w:ascii="Arial"/>
                <w:sz w:val="21"/>
              </w:rPr>
            </w:pPr>
          </w:p>
          <w:p w14:paraId="233AF489">
            <w:pPr>
              <w:pStyle w:val="6"/>
              <w:spacing w:before="62" w:line="224" w:lineRule="auto"/>
              <w:ind w:left="70"/>
            </w:pPr>
            <w:r>
              <w:rPr>
                <w:spacing w:val="-2"/>
              </w:rPr>
              <w:t>GB/T</w:t>
            </w:r>
            <w:r>
              <w:rPr>
                <w:spacing w:val="14"/>
              </w:rPr>
              <w:t xml:space="preserve"> </w:t>
            </w:r>
            <w:r>
              <w:rPr>
                <w:spacing w:val="-2"/>
              </w:rPr>
              <w:t>36325</w:t>
            </w:r>
          </w:p>
        </w:tc>
        <w:tc>
          <w:tcPr>
            <w:tcW w:w="1410" w:type="dxa"/>
            <w:vAlign w:val="top"/>
          </w:tcPr>
          <w:p w14:paraId="69EA4454">
            <w:pPr>
              <w:spacing w:line="268" w:lineRule="auto"/>
              <w:rPr>
                <w:rFonts w:ascii="Arial"/>
                <w:sz w:val="21"/>
              </w:rPr>
            </w:pPr>
          </w:p>
          <w:p w14:paraId="0F8C266E">
            <w:pPr>
              <w:spacing w:line="269" w:lineRule="auto"/>
              <w:rPr>
                <w:rFonts w:ascii="Arial"/>
                <w:sz w:val="21"/>
              </w:rPr>
            </w:pPr>
          </w:p>
          <w:p w14:paraId="1079E71C">
            <w:pPr>
              <w:pStyle w:val="6"/>
              <w:spacing w:before="62" w:line="258" w:lineRule="auto"/>
              <w:ind w:left="34" w:right="26"/>
              <w:jc w:val="both"/>
            </w:pPr>
            <w:r>
              <w:rPr>
                <w:spacing w:val="-2"/>
              </w:rPr>
              <w:t>信息技术云计算</w:t>
            </w:r>
            <w:r>
              <w:rPr>
                <w:spacing w:val="5"/>
              </w:rPr>
              <w:t xml:space="preserve"> </w:t>
            </w:r>
            <w:r>
              <w:rPr>
                <w:spacing w:val="1"/>
              </w:rPr>
              <w:t>云服务级别协议</w:t>
            </w:r>
            <w:r>
              <w:t xml:space="preserve"> </w:t>
            </w:r>
            <w:r>
              <w:rPr>
                <w:spacing w:val="3"/>
              </w:rPr>
              <w:t>基本要求</w:t>
            </w:r>
          </w:p>
        </w:tc>
        <w:tc>
          <w:tcPr>
            <w:tcW w:w="2240" w:type="dxa"/>
            <w:vAlign w:val="top"/>
          </w:tcPr>
          <w:p w14:paraId="6C90960F">
            <w:pPr>
              <w:spacing w:line="271" w:lineRule="auto"/>
              <w:rPr>
                <w:rFonts w:ascii="Arial"/>
                <w:sz w:val="21"/>
              </w:rPr>
            </w:pPr>
          </w:p>
          <w:p w14:paraId="2523D4B9">
            <w:pPr>
              <w:pStyle w:val="6"/>
              <w:spacing w:before="62" w:line="257" w:lineRule="auto"/>
              <w:ind w:left="44" w:right="49" w:firstLine="20"/>
              <w:jc w:val="both"/>
            </w:pPr>
            <w:r>
              <w:rPr>
                <w:spacing w:val="1"/>
              </w:rPr>
              <w:t>该标准给出了云服务级别</w:t>
            </w:r>
            <w:r>
              <w:rPr>
                <w:spacing w:val="3"/>
              </w:rPr>
              <w:t xml:space="preserve"> </w:t>
            </w:r>
            <w:r>
              <w:rPr>
                <w:spacing w:val="4"/>
              </w:rPr>
              <w:t>协议的构成要素，明确了</w:t>
            </w:r>
            <w:r>
              <w:t xml:space="preserve"> </w:t>
            </w:r>
            <w:r>
              <w:rPr>
                <w:spacing w:val="2"/>
              </w:rPr>
              <w:t>云服务级别协议的管理要</w:t>
            </w:r>
            <w:r>
              <w:rPr>
                <w:spacing w:val="6"/>
              </w:rPr>
              <w:t xml:space="preserve"> </w:t>
            </w:r>
            <w:r>
              <w:rPr>
                <w:spacing w:val="3"/>
              </w:rPr>
              <w:t>求，并提供了云服务级别</w:t>
            </w:r>
            <w:r>
              <w:rPr>
                <w:spacing w:val="1"/>
              </w:rPr>
              <w:t xml:space="preserve"> </w:t>
            </w:r>
            <w:r>
              <w:rPr>
                <w:spacing w:val="-1"/>
              </w:rPr>
              <w:t>协议中的常用指标</w:t>
            </w:r>
          </w:p>
        </w:tc>
        <w:tc>
          <w:tcPr>
            <w:tcW w:w="2670" w:type="dxa"/>
            <w:vAlign w:val="top"/>
          </w:tcPr>
          <w:p w14:paraId="4158A9F7">
            <w:pPr>
              <w:pStyle w:val="6"/>
              <w:spacing w:before="63" w:line="256" w:lineRule="auto"/>
              <w:ind w:left="15"/>
              <w:jc w:val="both"/>
            </w:pPr>
            <w:r>
              <w:rPr>
                <w:spacing w:val="-7"/>
              </w:rPr>
              <w:t>该标准适用于：①为云服务提供</w:t>
            </w:r>
            <w:r>
              <w:t xml:space="preserve">  </w:t>
            </w:r>
            <w:r>
              <w:rPr>
                <w:spacing w:val="-5"/>
              </w:rPr>
              <w:t>者和云服务客户(简称“双方”)</w:t>
            </w:r>
            <w:r>
              <w:rPr>
                <w:spacing w:val="7"/>
              </w:rPr>
              <w:t xml:space="preserve"> </w:t>
            </w:r>
            <w:r>
              <w:rPr>
                <w:spacing w:val="-2"/>
              </w:rPr>
              <w:t>建立云服务级别协议提供指导；</w:t>
            </w:r>
            <w:r>
              <w:rPr>
                <w:spacing w:val="11"/>
              </w:rPr>
              <w:t xml:space="preserve"> </w:t>
            </w:r>
            <w:r>
              <w:rPr>
                <w:spacing w:val="-7"/>
              </w:rPr>
              <w:t>②为客户对提供者交付的云服务</w:t>
            </w:r>
            <w:r>
              <w:rPr>
                <w:spacing w:val="1"/>
              </w:rPr>
              <w:t xml:space="preserve">  </w:t>
            </w:r>
            <w:r>
              <w:rPr>
                <w:spacing w:val="-7"/>
              </w:rPr>
              <w:t>进行考评提供参考依据；③为第</w:t>
            </w:r>
            <w:r>
              <w:rPr>
                <w:spacing w:val="1"/>
              </w:rPr>
              <w:t xml:space="preserve">  </w:t>
            </w:r>
            <w:r>
              <w:rPr>
                <w:spacing w:val="-7"/>
              </w:rPr>
              <w:t>三方进行云服务级别协议评估提</w:t>
            </w:r>
            <w:r>
              <w:rPr>
                <w:spacing w:val="1"/>
              </w:rPr>
              <w:t xml:space="preserve">  </w:t>
            </w:r>
            <w:r>
              <w:rPr>
                <w:spacing w:val="-5"/>
              </w:rPr>
              <w:t>供参考依据</w:t>
            </w:r>
          </w:p>
        </w:tc>
        <w:tc>
          <w:tcPr>
            <w:tcW w:w="971" w:type="dxa"/>
            <w:tcBorders>
              <w:right w:val="nil"/>
            </w:tcBorders>
            <w:vAlign w:val="top"/>
          </w:tcPr>
          <w:p w14:paraId="711C4967">
            <w:pPr>
              <w:spacing w:line="269" w:lineRule="auto"/>
              <w:rPr>
                <w:rFonts w:ascii="Arial"/>
                <w:sz w:val="21"/>
              </w:rPr>
            </w:pPr>
          </w:p>
          <w:p w14:paraId="2DCDC1BF">
            <w:pPr>
              <w:spacing w:line="269" w:lineRule="auto"/>
              <w:rPr>
                <w:rFonts w:ascii="Arial"/>
                <w:sz w:val="21"/>
              </w:rPr>
            </w:pPr>
          </w:p>
          <w:p w14:paraId="1A440849">
            <w:pPr>
              <w:spacing w:line="269" w:lineRule="auto"/>
              <w:rPr>
                <w:rFonts w:ascii="Arial"/>
                <w:sz w:val="21"/>
              </w:rPr>
            </w:pPr>
          </w:p>
          <w:p w14:paraId="24E1A597">
            <w:pPr>
              <w:pStyle w:val="6"/>
              <w:spacing w:before="62" w:line="220" w:lineRule="auto"/>
              <w:ind w:left="65"/>
            </w:pPr>
            <w:r>
              <w:rPr>
                <w:spacing w:val="2"/>
              </w:rPr>
              <w:t>国家标准</w:t>
            </w:r>
          </w:p>
        </w:tc>
      </w:tr>
      <w:tr w14:paraId="6703A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100" w:type="dxa"/>
            <w:tcBorders>
              <w:left w:val="nil"/>
            </w:tcBorders>
            <w:vAlign w:val="top"/>
          </w:tcPr>
          <w:p w14:paraId="5A35004E">
            <w:pPr>
              <w:spacing w:line="396" w:lineRule="auto"/>
              <w:rPr>
                <w:rFonts w:ascii="Arial"/>
                <w:sz w:val="21"/>
              </w:rPr>
            </w:pPr>
          </w:p>
          <w:p w14:paraId="46A34759">
            <w:pPr>
              <w:pStyle w:val="6"/>
              <w:spacing w:before="62" w:line="224" w:lineRule="auto"/>
              <w:ind w:left="70"/>
            </w:pPr>
            <w:r>
              <w:rPr>
                <w:spacing w:val="-2"/>
              </w:rPr>
              <w:t>GB/T</w:t>
            </w:r>
            <w:r>
              <w:rPr>
                <w:spacing w:val="14"/>
              </w:rPr>
              <w:t xml:space="preserve"> </w:t>
            </w:r>
            <w:r>
              <w:rPr>
                <w:spacing w:val="-2"/>
              </w:rPr>
              <w:t>36623</w:t>
            </w:r>
          </w:p>
        </w:tc>
        <w:tc>
          <w:tcPr>
            <w:tcW w:w="1410" w:type="dxa"/>
            <w:vAlign w:val="top"/>
          </w:tcPr>
          <w:p w14:paraId="4CF83D6D">
            <w:pPr>
              <w:pStyle w:val="6"/>
              <w:spacing w:before="205" w:line="245" w:lineRule="auto"/>
              <w:ind w:left="54" w:right="42" w:hanging="20"/>
              <w:jc w:val="both"/>
            </w:pPr>
            <w:r>
              <w:rPr>
                <w:spacing w:val="-2"/>
              </w:rPr>
              <w:t>信息技术云计算</w:t>
            </w:r>
            <w:r>
              <w:rPr>
                <w:spacing w:val="5"/>
              </w:rPr>
              <w:t xml:space="preserve"> </w:t>
            </w:r>
            <w:r>
              <w:rPr>
                <w:spacing w:val="15"/>
              </w:rPr>
              <w:t>文件服务应用</w:t>
            </w:r>
            <w:r>
              <w:rPr>
                <w:spacing w:val="1"/>
              </w:rPr>
              <w:t xml:space="preserve"> </w:t>
            </w:r>
            <w:r>
              <w:rPr>
                <w:spacing w:val="14"/>
              </w:rPr>
              <w:t>接口</w:t>
            </w:r>
          </w:p>
        </w:tc>
        <w:tc>
          <w:tcPr>
            <w:tcW w:w="2240" w:type="dxa"/>
            <w:vAlign w:val="top"/>
          </w:tcPr>
          <w:p w14:paraId="0F4243FC">
            <w:pPr>
              <w:pStyle w:val="6"/>
              <w:spacing w:before="66" w:line="246" w:lineRule="auto"/>
              <w:ind w:left="54" w:right="83" w:firstLine="9"/>
              <w:jc w:val="both"/>
            </w:pPr>
            <w:r>
              <w:rPr>
                <w:spacing w:val="-1"/>
              </w:rPr>
              <w:t>该标准规定了文件服务应</w:t>
            </w:r>
            <w:r>
              <w:t xml:space="preserve"> 用接口的基本接口和扩展 </w:t>
            </w:r>
            <w:r>
              <w:rPr>
                <w:spacing w:val="5"/>
              </w:rPr>
              <w:t>接口，并针对</w:t>
            </w:r>
            <w:r>
              <w:t>HTTP</w:t>
            </w:r>
            <w:r>
              <w:rPr>
                <w:spacing w:val="5"/>
              </w:rPr>
              <w:t>1.1协</w:t>
            </w:r>
            <w:r>
              <w:rPr>
                <w:spacing w:val="2"/>
              </w:rPr>
              <w:t xml:space="preserve"> </w:t>
            </w:r>
            <w:r>
              <w:rPr>
                <w:spacing w:val="-1"/>
              </w:rPr>
              <w:t>议给出了实现例子</w:t>
            </w:r>
          </w:p>
        </w:tc>
        <w:tc>
          <w:tcPr>
            <w:tcW w:w="2670" w:type="dxa"/>
            <w:vAlign w:val="top"/>
          </w:tcPr>
          <w:p w14:paraId="20DA3B67">
            <w:pPr>
              <w:spacing w:line="261" w:lineRule="auto"/>
              <w:rPr>
                <w:rFonts w:ascii="Arial"/>
                <w:sz w:val="21"/>
              </w:rPr>
            </w:pPr>
          </w:p>
          <w:p w14:paraId="2C6B1BD8">
            <w:pPr>
              <w:pStyle w:val="6"/>
              <w:spacing w:before="62" w:line="259" w:lineRule="auto"/>
              <w:ind w:left="15"/>
            </w:pPr>
            <w:r>
              <w:rPr>
                <w:spacing w:val="-2"/>
              </w:rPr>
              <w:t>该标准适用于基于文件的云服务</w:t>
            </w:r>
            <w:r>
              <w:rPr>
                <w:spacing w:val="11"/>
              </w:rPr>
              <w:t xml:space="preserve"> </w:t>
            </w:r>
            <w:r>
              <w:rPr>
                <w:spacing w:val="1"/>
              </w:rPr>
              <w:t>应用的开发、测试和使用</w:t>
            </w:r>
          </w:p>
        </w:tc>
        <w:tc>
          <w:tcPr>
            <w:tcW w:w="971" w:type="dxa"/>
            <w:tcBorders>
              <w:right w:val="nil"/>
            </w:tcBorders>
            <w:vAlign w:val="top"/>
          </w:tcPr>
          <w:p w14:paraId="4083DDA2">
            <w:pPr>
              <w:spacing w:line="392" w:lineRule="auto"/>
              <w:rPr>
                <w:rFonts w:ascii="Arial"/>
                <w:sz w:val="21"/>
              </w:rPr>
            </w:pPr>
          </w:p>
          <w:p w14:paraId="3609B93E">
            <w:pPr>
              <w:pStyle w:val="6"/>
              <w:spacing w:before="61" w:line="220" w:lineRule="auto"/>
              <w:ind w:left="65"/>
            </w:pPr>
            <w:r>
              <w:rPr>
                <w:spacing w:val="2"/>
              </w:rPr>
              <w:t>国家标准</w:t>
            </w:r>
          </w:p>
        </w:tc>
      </w:tr>
      <w:tr w14:paraId="26FD8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100" w:type="dxa"/>
            <w:tcBorders>
              <w:left w:val="nil"/>
            </w:tcBorders>
            <w:vAlign w:val="top"/>
          </w:tcPr>
          <w:p w14:paraId="14A78B9C">
            <w:pPr>
              <w:spacing w:line="397" w:lineRule="auto"/>
              <w:rPr>
                <w:rFonts w:ascii="Arial"/>
                <w:sz w:val="21"/>
              </w:rPr>
            </w:pPr>
          </w:p>
          <w:p w14:paraId="1913EFE7">
            <w:pPr>
              <w:pStyle w:val="6"/>
              <w:spacing w:before="62" w:line="224" w:lineRule="auto"/>
              <w:ind w:left="70"/>
            </w:pPr>
            <w:r>
              <w:rPr>
                <w:spacing w:val="-2"/>
              </w:rPr>
              <w:t>GB/T</w:t>
            </w:r>
            <w:r>
              <w:rPr>
                <w:spacing w:val="38"/>
              </w:rPr>
              <w:t xml:space="preserve"> </w:t>
            </w:r>
            <w:r>
              <w:rPr>
                <w:spacing w:val="-2"/>
              </w:rPr>
              <w:t>37741</w:t>
            </w:r>
          </w:p>
        </w:tc>
        <w:tc>
          <w:tcPr>
            <w:tcW w:w="1410" w:type="dxa"/>
            <w:vAlign w:val="top"/>
          </w:tcPr>
          <w:p w14:paraId="6B69BF77">
            <w:pPr>
              <w:spacing w:line="262" w:lineRule="auto"/>
              <w:rPr>
                <w:rFonts w:ascii="Arial"/>
                <w:sz w:val="21"/>
              </w:rPr>
            </w:pPr>
          </w:p>
          <w:p w14:paraId="1452E13D">
            <w:pPr>
              <w:pStyle w:val="6"/>
              <w:spacing w:before="62" w:line="259" w:lineRule="auto"/>
              <w:ind w:left="34" w:right="26"/>
            </w:pPr>
            <w:r>
              <w:rPr>
                <w:spacing w:val="-2"/>
              </w:rPr>
              <w:t>信息技术云计算</w:t>
            </w:r>
            <w:r>
              <w:rPr>
                <w:spacing w:val="5"/>
              </w:rPr>
              <w:t xml:space="preserve"> </w:t>
            </w:r>
            <w:r>
              <w:rPr>
                <w:spacing w:val="1"/>
              </w:rPr>
              <w:t>云服务交付要求</w:t>
            </w:r>
          </w:p>
        </w:tc>
        <w:tc>
          <w:tcPr>
            <w:tcW w:w="2240" w:type="dxa"/>
            <w:vAlign w:val="top"/>
          </w:tcPr>
          <w:p w14:paraId="4D8B580D">
            <w:pPr>
              <w:pStyle w:val="6"/>
              <w:spacing w:before="197" w:line="253" w:lineRule="auto"/>
              <w:ind w:left="54" w:right="53" w:firstLine="9"/>
              <w:jc w:val="both"/>
            </w:pPr>
            <w:r>
              <w:rPr>
                <w:spacing w:val="-1"/>
              </w:rPr>
              <w:t>该标准规定了云服务交付</w:t>
            </w:r>
            <w:r>
              <w:t xml:space="preserve"> </w:t>
            </w:r>
            <w:r>
              <w:rPr>
                <w:spacing w:val="2"/>
              </w:rPr>
              <w:t>的方式、内容、过程、质</w:t>
            </w:r>
            <w:r>
              <w:rPr>
                <w:spacing w:val="8"/>
              </w:rPr>
              <w:t xml:space="preserve"> </w:t>
            </w:r>
            <w:r>
              <w:rPr>
                <w:spacing w:val="-2"/>
              </w:rPr>
              <w:t>量及管理要求</w:t>
            </w:r>
          </w:p>
        </w:tc>
        <w:tc>
          <w:tcPr>
            <w:tcW w:w="2670" w:type="dxa"/>
            <w:vAlign w:val="top"/>
          </w:tcPr>
          <w:p w14:paraId="4D9B8F04">
            <w:pPr>
              <w:pStyle w:val="6"/>
              <w:spacing w:before="84" w:line="217" w:lineRule="auto"/>
              <w:ind w:left="134"/>
            </w:pPr>
            <w:r>
              <w:rPr>
                <w:spacing w:val="1"/>
              </w:rPr>
              <w:t>该标准适用于：①</w:t>
            </w:r>
            <w:r>
              <w:t>CSP</w:t>
            </w:r>
            <w:r>
              <w:rPr>
                <w:spacing w:val="1"/>
              </w:rPr>
              <w:t>评估和</w:t>
            </w:r>
          </w:p>
          <w:p w14:paraId="4156F4B3">
            <w:pPr>
              <w:pStyle w:val="6"/>
              <w:spacing w:before="27" w:line="241" w:lineRule="auto"/>
              <w:ind w:left="34" w:right="138" w:firstLine="100"/>
            </w:pPr>
            <w:r>
              <w:rPr>
                <w:spacing w:val="1"/>
              </w:rPr>
              <w:t>改进自身的交付能力：②</w:t>
            </w:r>
            <w:r>
              <w:t xml:space="preserve">CSC </w:t>
            </w:r>
            <w:r>
              <w:rPr>
                <w:spacing w:val="8"/>
              </w:rPr>
              <w:t>及第三方机构评价和认定</w:t>
            </w:r>
            <w:r>
              <w:t>CSP</w:t>
            </w:r>
            <w:r>
              <w:rPr>
                <w:spacing w:val="4"/>
              </w:rPr>
              <w:t xml:space="preserve"> </w:t>
            </w:r>
            <w:r>
              <w:rPr>
                <w:spacing w:val="3"/>
              </w:rPr>
              <w:t>的交付能力</w:t>
            </w:r>
          </w:p>
        </w:tc>
        <w:tc>
          <w:tcPr>
            <w:tcW w:w="971" w:type="dxa"/>
            <w:tcBorders>
              <w:right w:val="nil"/>
            </w:tcBorders>
            <w:vAlign w:val="top"/>
          </w:tcPr>
          <w:p w14:paraId="06539570">
            <w:pPr>
              <w:spacing w:line="392" w:lineRule="auto"/>
              <w:rPr>
                <w:rFonts w:ascii="Arial"/>
                <w:sz w:val="21"/>
              </w:rPr>
            </w:pPr>
          </w:p>
          <w:p w14:paraId="20DBCA11">
            <w:pPr>
              <w:pStyle w:val="6"/>
              <w:spacing w:before="62" w:line="220" w:lineRule="auto"/>
              <w:ind w:left="65"/>
            </w:pPr>
            <w:r>
              <w:rPr>
                <w:spacing w:val="2"/>
              </w:rPr>
              <w:t>国家标准</w:t>
            </w:r>
          </w:p>
        </w:tc>
      </w:tr>
      <w:tr w14:paraId="49EDA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1100" w:type="dxa"/>
            <w:tcBorders>
              <w:left w:val="nil"/>
            </w:tcBorders>
            <w:vAlign w:val="top"/>
          </w:tcPr>
          <w:p w14:paraId="67D85542">
            <w:pPr>
              <w:spacing w:line="398" w:lineRule="auto"/>
              <w:rPr>
                <w:rFonts w:ascii="Arial"/>
                <w:sz w:val="21"/>
              </w:rPr>
            </w:pPr>
          </w:p>
          <w:p w14:paraId="79F5B2A4">
            <w:pPr>
              <w:pStyle w:val="6"/>
              <w:spacing w:before="62" w:line="224" w:lineRule="auto"/>
              <w:ind w:left="70"/>
            </w:pPr>
            <w:r>
              <w:rPr>
                <w:spacing w:val="-2"/>
              </w:rPr>
              <w:t>GB/T</w:t>
            </w:r>
            <w:r>
              <w:rPr>
                <w:spacing w:val="14"/>
              </w:rPr>
              <w:t xml:space="preserve"> </w:t>
            </w:r>
            <w:r>
              <w:rPr>
                <w:spacing w:val="-2"/>
              </w:rPr>
              <w:t>37740</w:t>
            </w:r>
          </w:p>
        </w:tc>
        <w:tc>
          <w:tcPr>
            <w:tcW w:w="1410" w:type="dxa"/>
            <w:vAlign w:val="top"/>
          </w:tcPr>
          <w:p w14:paraId="457F8AB6">
            <w:pPr>
              <w:pStyle w:val="6"/>
              <w:spacing w:before="198" w:line="258" w:lineRule="auto"/>
              <w:ind w:left="24" w:right="19" w:firstLine="9"/>
              <w:jc w:val="both"/>
            </w:pPr>
            <w:r>
              <w:rPr>
                <w:spacing w:val="-2"/>
              </w:rPr>
              <w:t>信息技术云计算</w:t>
            </w:r>
            <w:r>
              <w:rPr>
                <w:spacing w:val="5"/>
              </w:rPr>
              <w:t xml:space="preserve"> </w:t>
            </w:r>
            <w:r>
              <w:rPr>
                <w:spacing w:val="3"/>
              </w:rPr>
              <w:t xml:space="preserve">云平台间应用和 </w:t>
            </w:r>
            <w:r>
              <w:rPr>
                <w:spacing w:val="-2"/>
              </w:rPr>
              <w:t>数据迁移指南</w:t>
            </w:r>
          </w:p>
        </w:tc>
        <w:tc>
          <w:tcPr>
            <w:tcW w:w="2240" w:type="dxa"/>
            <w:vAlign w:val="top"/>
          </w:tcPr>
          <w:p w14:paraId="29693EDF">
            <w:pPr>
              <w:pStyle w:val="6"/>
              <w:spacing w:before="67" w:line="247" w:lineRule="auto"/>
              <w:ind w:left="15"/>
              <w:jc w:val="both"/>
            </w:pPr>
            <w:r>
              <w:rPr>
                <w:spacing w:val="-6"/>
              </w:rPr>
              <w:t>该标准规定了不同云平台间</w:t>
            </w:r>
            <w:r>
              <w:rPr>
                <w:spacing w:val="5"/>
              </w:rPr>
              <w:t xml:space="preserve"> </w:t>
            </w:r>
            <w:r>
              <w:rPr>
                <w:spacing w:val="-7"/>
              </w:rPr>
              <w:t>应用和数据迁移过程中迁移</w:t>
            </w:r>
            <w:r>
              <w:rPr>
                <w:spacing w:val="9"/>
              </w:rPr>
              <w:t xml:space="preserve"> </w:t>
            </w:r>
            <w:r>
              <w:rPr>
                <w:spacing w:val="-7"/>
              </w:rPr>
              <w:t>准备、迁移设计、迁移实施</w:t>
            </w:r>
            <w:r>
              <w:rPr>
                <w:spacing w:val="8"/>
              </w:rPr>
              <w:t xml:space="preserve"> </w:t>
            </w:r>
            <w:r>
              <w:rPr>
                <w:spacing w:val="2"/>
              </w:rPr>
              <w:t>和迁移交付的具体内容</w:t>
            </w:r>
          </w:p>
        </w:tc>
        <w:tc>
          <w:tcPr>
            <w:tcW w:w="2670" w:type="dxa"/>
            <w:vAlign w:val="top"/>
          </w:tcPr>
          <w:p w14:paraId="4E7DAF1A">
            <w:pPr>
              <w:pStyle w:val="6"/>
              <w:spacing w:before="197" w:line="249" w:lineRule="auto"/>
              <w:ind w:left="15"/>
              <w:jc w:val="both"/>
            </w:pPr>
            <w:r>
              <w:rPr>
                <w:spacing w:val="-2"/>
              </w:rPr>
              <w:t>该标准适用于指导迁移实施方和</w:t>
            </w:r>
            <w:r>
              <w:rPr>
                <w:spacing w:val="8"/>
              </w:rPr>
              <w:t xml:space="preserve"> </w:t>
            </w:r>
            <w:r>
              <w:rPr>
                <w:spacing w:val="-2"/>
              </w:rPr>
              <w:t>迁移发起方开展应用和数据迁移</w:t>
            </w:r>
            <w:r>
              <w:rPr>
                <w:spacing w:val="11"/>
              </w:rPr>
              <w:t xml:space="preserve"> </w:t>
            </w:r>
            <w:r>
              <w:rPr>
                <w:spacing w:val="20"/>
              </w:rPr>
              <w:t>活动</w:t>
            </w:r>
          </w:p>
        </w:tc>
        <w:tc>
          <w:tcPr>
            <w:tcW w:w="971" w:type="dxa"/>
            <w:tcBorders>
              <w:right w:val="nil"/>
            </w:tcBorders>
            <w:vAlign w:val="top"/>
          </w:tcPr>
          <w:p w14:paraId="3F273AF8">
            <w:pPr>
              <w:spacing w:line="393" w:lineRule="auto"/>
              <w:rPr>
                <w:rFonts w:ascii="Arial"/>
                <w:sz w:val="21"/>
              </w:rPr>
            </w:pPr>
          </w:p>
          <w:p w14:paraId="1594C15A">
            <w:pPr>
              <w:pStyle w:val="6"/>
              <w:spacing w:before="62" w:line="220" w:lineRule="auto"/>
              <w:ind w:left="65"/>
            </w:pPr>
            <w:r>
              <w:rPr>
                <w:spacing w:val="2"/>
              </w:rPr>
              <w:t>国家标准</w:t>
            </w:r>
          </w:p>
        </w:tc>
      </w:tr>
    </w:tbl>
    <w:p w14:paraId="70E93C10">
      <w:pPr>
        <w:rPr>
          <w:rFonts w:ascii="Arial"/>
          <w:sz w:val="21"/>
        </w:rPr>
      </w:pPr>
    </w:p>
    <w:p w14:paraId="095F2543">
      <w:pPr>
        <w:rPr>
          <w:rFonts w:ascii="Arial" w:hAnsi="Arial" w:eastAsia="Arial" w:cs="Arial"/>
          <w:sz w:val="21"/>
          <w:szCs w:val="21"/>
        </w:rPr>
        <w:sectPr>
          <w:pgSz w:w="10280" w:h="13290"/>
          <w:pgMar w:top="400" w:right="659" w:bottom="400" w:left="1040" w:header="0" w:footer="0" w:gutter="0"/>
          <w:cols w:space="720" w:num="1"/>
        </w:sectPr>
      </w:pPr>
    </w:p>
    <w:p w14:paraId="74FA7FA7">
      <w:pPr>
        <w:pStyle w:val="2"/>
        <w:spacing w:before="87" w:line="222" w:lineRule="auto"/>
        <w:rPr>
          <w:sz w:val="19"/>
          <w:szCs w:val="19"/>
        </w:rPr>
      </w:pPr>
      <w:r>
        <w:rPr>
          <w:rFonts w:ascii="Times New Roman" w:hAnsi="Times New Roman" w:eastAsia="Times New Roman" w:cs="Times New Roman"/>
          <w:spacing w:val="4"/>
          <w:position w:val="-4"/>
          <w:sz w:val="22"/>
          <w:szCs w:val="22"/>
        </w:rPr>
        <w:t>424</w:t>
      </w:r>
      <w:r>
        <w:rPr>
          <w:rFonts w:ascii="Times New Roman" w:hAnsi="Times New Roman" w:eastAsia="Times New Roman" w:cs="Times New Roman"/>
          <w:position w:val="-4"/>
          <w:sz w:val="22"/>
          <w:szCs w:val="22"/>
        </w:rPr>
        <w:t xml:space="preserve">            </w:t>
      </w:r>
      <w:r>
        <w:rPr>
          <w:spacing w:val="4"/>
          <w:sz w:val="19"/>
          <w:szCs w:val="19"/>
        </w:rPr>
        <w:t>信息系统监理师教程(第2版)</w:t>
      </w:r>
    </w:p>
    <w:p w14:paraId="22D0A597">
      <w:pPr>
        <w:spacing w:before="89"/>
      </w:pPr>
    </w:p>
    <w:tbl>
      <w:tblPr>
        <w:tblStyle w:val="5"/>
        <w:tblW w:w="8411" w:type="dxa"/>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0"/>
        <w:gridCol w:w="1420"/>
        <w:gridCol w:w="2260"/>
        <w:gridCol w:w="2660"/>
        <w:gridCol w:w="971"/>
      </w:tblGrid>
      <w:tr w14:paraId="529DA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8411" w:type="dxa"/>
            <w:gridSpan w:val="5"/>
            <w:tcBorders>
              <w:top w:val="nil"/>
              <w:left w:val="nil"/>
              <w:right w:val="nil"/>
            </w:tcBorders>
            <w:vAlign w:val="top"/>
          </w:tcPr>
          <w:p w14:paraId="39B63E53">
            <w:pPr>
              <w:pStyle w:val="6"/>
              <w:spacing w:line="220" w:lineRule="auto"/>
              <w:jc w:val="right"/>
            </w:pPr>
            <w:r>
              <w:rPr>
                <w:spacing w:val="7"/>
              </w:rPr>
              <w:t>(续表)</w:t>
            </w:r>
          </w:p>
        </w:tc>
      </w:tr>
      <w:tr w14:paraId="140AE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100" w:type="dxa"/>
            <w:tcBorders>
              <w:left w:val="nil"/>
            </w:tcBorders>
            <w:vAlign w:val="top"/>
          </w:tcPr>
          <w:p w14:paraId="534081E3">
            <w:pPr>
              <w:pStyle w:val="6"/>
              <w:spacing w:before="76" w:line="220" w:lineRule="auto"/>
              <w:ind w:left="262"/>
            </w:pPr>
            <w:r>
              <w:rPr>
                <w:b/>
                <w:bCs/>
                <w:spacing w:val="-4"/>
              </w:rPr>
              <w:t>标准号</w:t>
            </w:r>
          </w:p>
        </w:tc>
        <w:tc>
          <w:tcPr>
            <w:tcW w:w="1420" w:type="dxa"/>
            <w:vAlign w:val="top"/>
          </w:tcPr>
          <w:p w14:paraId="5C9C9DE9">
            <w:pPr>
              <w:pStyle w:val="6"/>
              <w:spacing w:before="76" w:line="220" w:lineRule="auto"/>
              <w:ind w:left="327"/>
            </w:pPr>
            <w:r>
              <w:rPr>
                <w:b/>
                <w:bCs/>
                <w:spacing w:val="-4"/>
              </w:rPr>
              <w:t>标准名称</w:t>
            </w:r>
          </w:p>
        </w:tc>
        <w:tc>
          <w:tcPr>
            <w:tcW w:w="2260" w:type="dxa"/>
            <w:vAlign w:val="top"/>
          </w:tcPr>
          <w:p w14:paraId="2582A783">
            <w:pPr>
              <w:pStyle w:val="6"/>
              <w:spacing w:before="75" w:line="219" w:lineRule="auto"/>
              <w:ind w:left="747"/>
            </w:pPr>
            <w:r>
              <w:rPr>
                <w:b/>
                <w:bCs/>
                <w:spacing w:val="-4"/>
              </w:rPr>
              <w:t>主要内容</w:t>
            </w:r>
          </w:p>
        </w:tc>
        <w:tc>
          <w:tcPr>
            <w:tcW w:w="2660" w:type="dxa"/>
            <w:vAlign w:val="top"/>
          </w:tcPr>
          <w:p w14:paraId="31E69EEB">
            <w:pPr>
              <w:pStyle w:val="6"/>
              <w:spacing w:before="76" w:line="220" w:lineRule="auto"/>
              <w:ind w:left="967"/>
            </w:pPr>
            <w:r>
              <w:rPr>
                <w:b/>
                <w:bCs/>
                <w:spacing w:val="-4"/>
              </w:rPr>
              <w:t>适用范围</w:t>
            </w:r>
          </w:p>
        </w:tc>
        <w:tc>
          <w:tcPr>
            <w:tcW w:w="971" w:type="dxa"/>
            <w:tcBorders>
              <w:right w:val="nil"/>
            </w:tcBorders>
            <w:vAlign w:val="top"/>
          </w:tcPr>
          <w:p w14:paraId="29AD8EA5">
            <w:pPr>
              <w:pStyle w:val="6"/>
              <w:spacing w:before="75" w:line="219" w:lineRule="auto"/>
              <w:ind w:left="247"/>
            </w:pPr>
            <w:r>
              <w:rPr>
                <w:b/>
                <w:bCs/>
                <w:spacing w:val="-4"/>
              </w:rPr>
              <w:t>类别</w:t>
            </w:r>
          </w:p>
        </w:tc>
      </w:tr>
      <w:tr w14:paraId="3F5FC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1100" w:type="dxa"/>
            <w:tcBorders>
              <w:left w:val="nil"/>
            </w:tcBorders>
            <w:vAlign w:val="top"/>
          </w:tcPr>
          <w:p w14:paraId="282D8BEE">
            <w:pPr>
              <w:spacing w:line="269" w:lineRule="auto"/>
              <w:rPr>
                <w:rFonts w:ascii="Arial"/>
                <w:sz w:val="21"/>
              </w:rPr>
            </w:pPr>
          </w:p>
          <w:p w14:paraId="23534634">
            <w:pPr>
              <w:spacing w:line="269" w:lineRule="auto"/>
              <w:rPr>
                <w:rFonts w:ascii="Arial"/>
                <w:sz w:val="21"/>
              </w:rPr>
            </w:pPr>
          </w:p>
          <w:p w14:paraId="4C051273">
            <w:pPr>
              <w:pStyle w:val="6"/>
              <w:spacing w:before="62" w:line="224" w:lineRule="auto"/>
              <w:ind w:left="119"/>
            </w:pPr>
            <w:r>
              <w:rPr>
                <w:spacing w:val="-1"/>
              </w:rPr>
              <w:t>GB/T37737</w:t>
            </w:r>
          </w:p>
        </w:tc>
        <w:tc>
          <w:tcPr>
            <w:tcW w:w="1420" w:type="dxa"/>
            <w:vAlign w:val="top"/>
          </w:tcPr>
          <w:p w14:paraId="08273E71">
            <w:pPr>
              <w:spacing w:line="255" w:lineRule="auto"/>
              <w:rPr>
                <w:rFonts w:ascii="Arial"/>
                <w:sz w:val="21"/>
              </w:rPr>
            </w:pPr>
          </w:p>
          <w:p w14:paraId="7D5DA85E">
            <w:pPr>
              <w:pStyle w:val="6"/>
              <w:spacing w:before="62" w:line="263" w:lineRule="auto"/>
              <w:ind w:left="35" w:right="27"/>
              <w:jc w:val="both"/>
            </w:pPr>
            <w:r>
              <w:rPr>
                <w:spacing w:val="-2"/>
              </w:rPr>
              <w:t>信息技术云计算</w:t>
            </w:r>
            <w:r>
              <w:rPr>
                <w:spacing w:val="5"/>
              </w:rPr>
              <w:t xml:space="preserve"> </w:t>
            </w:r>
            <w:r>
              <w:rPr>
                <w:spacing w:val="2"/>
              </w:rPr>
              <w:t xml:space="preserve">分布式块存储系 </w:t>
            </w:r>
            <w:r>
              <w:rPr>
                <w:spacing w:val="1"/>
              </w:rPr>
              <w:t>统总体技术要求</w:t>
            </w:r>
          </w:p>
        </w:tc>
        <w:tc>
          <w:tcPr>
            <w:tcW w:w="2260" w:type="dxa"/>
            <w:vAlign w:val="top"/>
          </w:tcPr>
          <w:p w14:paraId="0D72D8F7">
            <w:pPr>
              <w:pStyle w:val="6"/>
              <w:spacing w:before="56" w:line="257" w:lineRule="auto"/>
              <w:ind w:left="55" w:firstLine="19"/>
              <w:jc w:val="both"/>
            </w:pPr>
            <w:r>
              <w:rPr>
                <w:spacing w:val="-2"/>
              </w:rPr>
              <w:t>该标准规定了分布式块存</w:t>
            </w:r>
            <w:r>
              <w:t xml:space="preserve">  储系统的资源管理功能要</w:t>
            </w:r>
            <w:r>
              <w:rPr>
                <w:spacing w:val="1"/>
              </w:rPr>
              <w:t xml:space="preserve">  </w:t>
            </w:r>
            <w:r>
              <w:rPr>
                <w:spacing w:val="9"/>
              </w:rPr>
              <w:t>求、系统管理功能要求、</w:t>
            </w:r>
            <w:r>
              <w:rPr>
                <w:spacing w:val="4"/>
              </w:rPr>
              <w:t xml:space="preserve"> </w:t>
            </w:r>
            <w:r>
              <w:t xml:space="preserve">可扩展要求、兼容性要求  </w:t>
            </w:r>
            <w:r>
              <w:rPr>
                <w:spacing w:val="-2"/>
              </w:rPr>
              <w:t>和安全性要求</w:t>
            </w:r>
          </w:p>
        </w:tc>
        <w:tc>
          <w:tcPr>
            <w:tcW w:w="2660" w:type="dxa"/>
            <w:vAlign w:val="top"/>
          </w:tcPr>
          <w:p w14:paraId="42044166">
            <w:pPr>
              <w:spacing w:line="404" w:lineRule="auto"/>
              <w:rPr>
                <w:rFonts w:ascii="Arial"/>
                <w:sz w:val="21"/>
              </w:rPr>
            </w:pPr>
          </w:p>
          <w:p w14:paraId="2737EEE1">
            <w:pPr>
              <w:pStyle w:val="6"/>
              <w:spacing w:before="62" w:line="260" w:lineRule="auto"/>
              <w:ind w:left="45"/>
            </w:pPr>
            <w:r>
              <w:rPr>
                <w:spacing w:val="-4"/>
              </w:rPr>
              <w:t>该标准适用于分布式块存储系统</w:t>
            </w:r>
            <w:r>
              <w:t xml:space="preserve"> </w:t>
            </w:r>
            <w:r>
              <w:rPr>
                <w:spacing w:val="3"/>
              </w:rPr>
              <w:t>的研发和应用</w:t>
            </w:r>
          </w:p>
        </w:tc>
        <w:tc>
          <w:tcPr>
            <w:tcW w:w="971" w:type="dxa"/>
            <w:tcBorders>
              <w:right w:val="nil"/>
            </w:tcBorders>
            <w:vAlign w:val="top"/>
          </w:tcPr>
          <w:p w14:paraId="1B1E61D6">
            <w:pPr>
              <w:spacing w:line="266" w:lineRule="auto"/>
              <w:rPr>
                <w:rFonts w:ascii="Arial"/>
                <w:sz w:val="21"/>
              </w:rPr>
            </w:pPr>
          </w:p>
          <w:p w14:paraId="7E8CEEB3">
            <w:pPr>
              <w:spacing w:line="267" w:lineRule="auto"/>
              <w:rPr>
                <w:rFonts w:ascii="Arial"/>
                <w:sz w:val="21"/>
              </w:rPr>
            </w:pPr>
          </w:p>
          <w:p w14:paraId="278907A4">
            <w:pPr>
              <w:pStyle w:val="6"/>
              <w:spacing w:before="62" w:line="220" w:lineRule="auto"/>
              <w:ind w:left="55"/>
            </w:pPr>
            <w:r>
              <w:rPr>
                <w:spacing w:val="2"/>
              </w:rPr>
              <w:t>国家标准</w:t>
            </w:r>
          </w:p>
        </w:tc>
      </w:tr>
      <w:tr w14:paraId="5DEF3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100" w:type="dxa"/>
            <w:tcBorders>
              <w:left w:val="nil"/>
            </w:tcBorders>
            <w:vAlign w:val="top"/>
          </w:tcPr>
          <w:p w14:paraId="6ECC1648">
            <w:pPr>
              <w:spacing w:line="271" w:lineRule="auto"/>
              <w:rPr>
                <w:rFonts w:ascii="Arial"/>
                <w:sz w:val="21"/>
              </w:rPr>
            </w:pPr>
          </w:p>
          <w:p w14:paraId="398BD3D6">
            <w:pPr>
              <w:pStyle w:val="6"/>
              <w:spacing w:before="62" w:line="224" w:lineRule="auto"/>
              <w:ind w:left="70"/>
            </w:pPr>
            <w:r>
              <w:rPr>
                <w:spacing w:val="-2"/>
              </w:rPr>
              <w:t>GB/T</w:t>
            </w:r>
            <w:r>
              <w:rPr>
                <w:spacing w:val="14"/>
              </w:rPr>
              <w:t xml:space="preserve"> </w:t>
            </w:r>
            <w:r>
              <w:rPr>
                <w:spacing w:val="-2"/>
              </w:rPr>
              <w:t>37739</w:t>
            </w:r>
          </w:p>
        </w:tc>
        <w:tc>
          <w:tcPr>
            <w:tcW w:w="1420" w:type="dxa"/>
            <w:vAlign w:val="top"/>
          </w:tcPr>
          <w:p w14:paraId="4F61629B">
            <w:pPr>
              <w:pStyle w:val="6"/>
              <w:spacing w:before="69" w:line="246" w:lineRule="auto"/>
              <w:ind w:left="35" w:right="51"/>
              <w:jc w:val="both"/>
            </w:pPr>
            <w:r>
              <w:rPr>
                <w:spacing w:val="-2"/>
              </w:rPr>
              <w:t>信息技术云计算</w:t>
            </w:r>
            <w:r>
              <w:rPr>
                <w:spacing w:val="5"/>
              </w:rPr>
              <w:t xml:space="preserve"> </w:t>
            </w:r>
            <w:r>
              <w:rPr>
                <w:spacing w:val="-1"/>
              </w:rPr>
              <w:t>平台即服务部署</w:t>
            </w:r>
            <w:r>
              <w:t xml:space="preserve"> 要求</w:t>
            </w:r>
          </w:p>
        </w:tc>
        <w:tc>
          <w:tcPr>
            <w:tcW w:w="2260" w:type="dxa"/>
            <w:vAlign w:val="top"/>
          </w:tcPr>
          <w:p w14:paraId="640E798A">
            <w:pPr>
              <w:pStyle w:val="6"/>
              <w:spacing w:before="68" w:line="259" w:lineRule="auto"/>
              <w:ind w:left="175" w:right="64" w:hanging="100"/>
            </w:pPr>
            <w:r>
              <w:rPr>
                <w:spacing w:val="1"/>
              </w:rPr>
              <w:t>该标准规定了云计算平台</w:t>
            </w:r>
            <w:r>
              <w:rPr>
                <w:spacing w:val="8"/>
              </w:rPr>
              <w:t xml:space="preserve"> </w:t>
            </w:r>
            <w:r>
              <w:t>即服务(PaaS)部署过程</w:t>
            </w:r>
          </w:p>
          <w:p w14:paraId="567B7B08">
            <w:pPr>
              <w:pStyle w:val="6"/>
              <w:spacing w:before="17" w:line="204" w:lineRule="auto"/>
              <w:ind w:left="65"/>
            </w:pPr>
            <w:r>
              <w:rPr>
                <w:spacing w:val="1"/>
              </w:rPr>
              <w:t>中的活动及任务</w:t>
            </w:r>
          </w:p>
        </w:tc>
        <w:tc>
          <w:tcPr>
            <w:tcW w:w="2660" w:type="dxa"/>
            <w:vAlign w:val="top"/>
          </w:tcPr>
          <w:p w14:paraId="5B6EF228">
            <w:pPr>
              <w:pStyle w:val="6"/>
              <w:spacing w:before="78" w:line="243" w:lineRule="auto"/>
              <w:ind w:left="34" w:firstLine="10"/>
              <w:jc w:val="both"/>
            </w:pPr>
            <w:r>
              <w:rPr>
                <w:spacing w:val="-5"/>
              </w:rPr>
              <w:t>该标准适用于平台即服务提供方</w:t>
            </w:r>
            <w:r>
              <w:rPr>
                <w:spacing w:val="11"/>
              </w:rPr>
              <w:t xml:space="preserve"> </w:t>
            </w:r>
            <w:r>
              <w:rPr>
                <w:spacing w:val="-4"/>
              </w:rPr>
              <w:t>进行平台即服务的部署规划、实</w:t>
            </w:r>
            <w:r>
              <w:rPr>
                <w:spacing w:val="10"/>
              </w:rPr>
              <w:t xml:space="preserve"> </w:t>
            </w:r>
            <w:r>
              <w:rPr>
                <w:spacing w:val="-2"/>
              </w:rPr>
              <w:t>施和评估</w:t>
            </w:r>
          </w:p>
        </w:tc>
        <w:tc>
          <w:tcPr>
            <w:tcW w:w="971" w:type="dxa"/>
            <w:tcBorders>
              <w:right w:val="nil"/>
            </w:tcBorders>
            <w:vAlign w:val="top"/>
          </w:tcPr>
          <w:p w14:paraId="3ABFB0AB">
            <w:pPr>
              <w:spacing w:line="266" w:lineRule="auto"/>
              <w:rPr>
                <w:rFonts w:ascii="Arial"/>
                <w:sz w:val="21"/>
              </w:rPr>
            </w:pPr>
          </w:p>
          <w:p w14:paraId="5EF7F27B">
            <w:pPr>
              <w:pStyle w:val="6"/>
              <w:spacing w:before="62" w:line="220" w:lineRule="auto"/>
              <w:ind w:left="55"/>
            </w:pPr>
            <w:r>
              <w:rPr>
                <w:spacing w:val="2"/>
              </w:rPr>
              <w:t>国家标准</w:t>
            </w:r>
          </w:p>
        </w:tc>
      </w:tr>
      <w:tr w14:paraId="60EA3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100" w:type="dxa"/>
            <w:tcBorders>
              <w:left w:val="nil"/>
            </w:tcBorders>
            <w:vAlign w:val="top"/>
          </w:tcPr>
          <w:p w14:paraId="22B41797">
            <w:pPr>
              <w:spacing w:line="272" w:lineRule="auto"/>
              <w:rPr>
                <w:rFonts w:ascii="Arial"/>
                <w:sz w:val="21"/>
              </w:rPr>
            </w:pPr>
          </w:p>
          <w:p w14:paraId="7D3773DC">
            <w:pPr>
              <w:pStyle w:val="6"/>
              <w:spacing w:before="62" w:line="224" w:lineRule="auto"/>
              <w:ind w:left="70"/>
            </w:pPr>
            <w:r>
              <w:rPr>
                <w:spacing w:val="-2"/>
              </w:rPr>
              <w:t>GB/T</w:t>
            </w:r>
            <w:r>
              <w:rPr>
                <w:spacing w:val="14"/>
              </w:rPr>
              <w:t xml:space="preserve"> </w:t>
            </w:r>
            <w:r>
              <w:rPr>
                <w:spacing w:val="-2"/>
              </w:rPr>
              <w:t>37736</w:t>
            </w:r>
          </w:p>
        </w:tc>
        <w:tc>
          <w:tcPr>
            <w:tcW w:w="1420" w:type="dxa"/>
            <w:vAlign w:val="top"/>
          </w:tcPr>
          <w:p w14:paraId="3CC81332">
            <w:pPr>
              <w:pStyle w:val="6"/>
              <w:spacing w:before="69" w:line="246" w:lineRule="auto"/>
              <w:ind w:left="35" w:right="22"/>
              <w:jc w:val="both"/>
            </w:pPr>
            <w:r>
              <w:rPr>
                <w:spacing w:val="-2"/>
              </w:rPr>
              <w:t>信息技术云计算</w:t>
            </w:r>
            <w:r>
              <w:rPr>
                <w:spacing w:val="5"/>
              </w:rPr>
              <w:t xml:space="preserve"> </w:t>
            </w:r>
            <w:r>
              <w:rPr>
                <w:spacing w:val="3"/>
              </w:rPr>
              <w:t>云资源监控通用</w:t>
            </w:r>
            <w:r>
              <w:t xml:space="preserve"> </w:t>
            </w:r>
            <w:r>
              <w:rPr>
                <w:spacing w:val="5"/>
              </w:rPr>
              <w:t>要求</w:t>
            </w:r>
          </w:p>
        </w:tc>
        <w:tc>
          <w:tcPr>
            <w:tcW w:w="2260" w:type="dxa"/>
            <w:vAlign w:val="top"/>
          </w:tcPr>
          <w:p w14:paraId="3456BC7C">
            <w:pPr>
              <w:pStyle w:val="6"/>
              <w:spacing w:before="91" w:line="239" w:lineRule="auto"/>
              <w:ind w:left="55" w:right="95" w:firstLine="19"/>
              <w:jc w:val="both"/>
            </w:pPr>
            <w:r>
              <w:rPr>
                <w:spacing w:val="-1"/>
              </w:rPr>
              <w:t>该标准规定了对云资源进</w:t>
            </w:r>
            <w:r>
              <w:t xml:space="preserve"> 行监控的技术要求和管理</w:t>
            </w:r>
            <w:r>
              <w:rPr>
                <w:spacing w:val="8"/>
              </w:rPr>
              <w:t xml:space="preserve"> </w:t>
            </w:r>
            <w:r>
              <w:rPr>
                <w:spacing w:val="-3"/>
              </w:rPr>
              <w:t>要求</w:t>
            </w:r>
          </w:p>
        </w:tc>
        <w:tc>
          <w:tcPr>
            <w:tcW w:w="2660" w:type="dxa"/>
            <w:vAlign w:val="top"/>
          </w:tcPr>
          <w:p w14:paraId="34D0FA17">
            <w:pPr>
              <w:pStyle w:val="6"/>
              <w:spacing w:before="78" w:line="243" w:lineRule="auto"/>
              <w:ind w:left="34" w:firstLine="10"/>
              <w:jc w:val="both"/>
            </w:pPr>
            <w:r>
              <w:rPr>
                <w:spacing w:val="-4"/>
              </w:rPr>
              <w:t>该标准适用于云服务提供者建立</w:t>
            </w:r>
            <w:r>
              <w:t xml:space="preserve"> </w:t>
            </w:r>
            <w:r>
              <w:rPr>
                <w:spacing w:val="-4"/>
              </w:rPr>
              <w:t>云资源监控能力和云服务客户评</w:t>
            </w:r>
            <w:r>
              <w:rPr>
                <w:spacing w:val="10"/>
              </w:rPr>
              <w:t xml:space="preserve"> </w:t>
            </w:r>
            <w:r>
              <w:rPr>
                <w:spacing w:val="-1"/>
              </w:rPr>
              <w:t>价云资源的运行情况</w:t>
            </w:r>
          </w:p>
        </w:tc>
        <w:tc>
          <w:tcPr>
            <w:tcW w:w="971" w:type="dxa"/>
            <w:tcBorders>
              <w:right w:val="nil"/>
            </w:tcBorders>
            <w:vAlign w:val="top"/>
          </w:tcPr>
          <w:p w14:paraId="11E03D2A">
            <w:pPr>
              <w:spacing w:line="267" w:lineRule="auto"/>
              <w:rPr>
                <w:rFonts w:ascii="Arial"/>
                <w:sz w:val="21"/>
              </w:rPr>
            </w:pPr>
          </w:p>
          <w:p w14:paraId="5708616C">
            <w:pPr>
              <w:pStyle w:val="6"/>
              <w:spacing w:before="62" w:line="220" w:lineRule="auto"/>
              <w:ind w:left="55"/>
            </w:pPr>
            <w:r>
              <w:rPr>
                <w:spacing w:val="2"/>
              </w:rPr>
              <w:t>国家标准</w:t>
            </w:r>
          </w:p>
        </w:tc>
      </w:tr>
      <w:tr w14:paraId="38786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9" w:hRule="atLeast"/>
        </w:trPr>
        <w:tc>
          <w:tcPr>
            <w:tcW w:w="1100" w:type="dxa"/>
            <w:tcBorders>
              <w:left w:val="nil"/>
            </w:tcBorders>
            <w:vAlign w:val="top"/>
          </w:tcPr>
          <w:p w14:paraId="3468C9E0">
            <w:pPr>
              <w:spacing w:line="285" w:lineRule="auto"/>
              <w:rPr>
                <w:rFonts w:ascii="Arial"/>
                <w:sz w:val="21"/>
              </w:rPr>
            </w:pPr>
          </w:p>
          <w:p w14:paraId="237A3D18">
            <w:pPr>
              <w:spacing w:line="286" w:lineRule="auto"/>
              <w:rPr>
                <w:rFonts w:ascii="Arial"/>
                <w:sz w:val="21"/>
              </w:rPr>
            </w:pPr>
          </w:p>
          <w:p w14:paraId="262BFF0C">
            <w:pPr>
              <w:pStyle w:val="6"/>
              <w:spacing w:before="62" w:line="224" w:lineRule="auto"/>
              <w:ind w:left="70"/>
            </w:pPr>
            <w:r>
              <w:rPr>
                <w:spacing w:val="-2"/>
              </w:rPr>
              <w:t>GB/T</w:t>
            </w:r>
            <w:r>
              <w:rPr>
                <w:spacing w:val="14"/>
              </w:rPr>
              <w:t xml:space="preserve"> </w:t>
            </w:r>
            <w:r>
              <w:rPr>
                <w:spacing w:val="-2"/>
              </w:rPr>
              <w:t>37734</w:t>
            </w:r>
          </w:p>
        </w:tc>
        <w:tc>
          <w:tcPr>
            <w:tcW w:w="1420" w:type="dxa"/>
            <w:vAlign w:val="top"/>
          </w:tcPr>
          <w:p w14:paraId="4ED418CA">
            <w:pPr>
              <w:spacing w:line="437" w:lineRule="auto"/>
              <w:rPr>
                <w:rFonts w:ascii="Arial"/>
                <w:sz w:val="21"/>
              </w:rPr>
            </w:pPr>
          </w:p>
          <w:p w14:paraId="3AD58156">
            <w:pPr>
              <w:pStyle w:val="6"/>
              <w:spacing w:before="61" w:line="248" w:lineRule="auto"/>
              <w:ind w:left="35" w:right="35"/>
            </w:pPr>
            <w:r>
              <w:rPr>
                <w:spacing w:val="-2"/>
              </w:rPr>
              <w:t>信息技术云计算</w:t>
            </w:r>
            <w:r>
              <w:rPr>
                <w:spacing w:val="5"/>
              </w:rPr>
              <w:t xml:space="preserve"> </w:t>
            </w:r>
            <w:r>
              <w:rPr>
                <w:spacing w:val="1"/>
              </w:rPr>
              <w:t>云服务采购指南</w:t>
            </w:r>
          </w:p>
        </w:tc>
        <w:tc>
          <w:tcPr>
            <w:tcW w:w="2260" w:type="dxa"/>
            <w:vAlign w:val="top"/>
          </w:tcPr>
          <w:p w14:paraId="41410D86">
            <w:pPr>
              <w:pStyle w:val="6"/>
              <w:spacing w:before="91" w:line="260" w:lineRule="auto"/>
              <w:ind w:left="25" w:firstLine="49"/>
              <w:jc w:val="both"/>
            </w:pPr>
            <w:r>
              <w:t xml:space="preserve">该标准规定了云服务采购  </w:t>
            </w:r>
            <w:r>
              <w:rPr>
                <w:spacing w:val="2"/>
              </w:rPr>
              <w:t>流程、云服务采购需求分</w:t>
            </w:r>
            <w:r>
              <w:rPr>
                <w:spacing w:val="4"/>
              </w:rPr>
              <w:t xml:space="preserve">  </w:t>
            </w:r>
            <w:r>
              <w:rPr>
                <w:spacing w:val="12"/>
              </w:rPr>
              <w:t>析、云服务提供商选择、</w:t>
            </w:r>
            <w:r>
              <w:rPr>
                <w:spacing w:val="1"/>
              </w:rPr>
              <w:t xml:space="preserve"> </w:t>
            </w:r>
            <w:r>
              <w:t>协议/合同签订和服务交付</w:t>
            </w:r>
            <w:r>
              <w:rPr>
                <w:spacing w:val="1"/>
              </w:rPr>
              <w:t xml:space="preserve"> </w:t>
            </w:r>
            <w:r>
              <w:rPr>
                <w:spacing w:val="5"/>
              </w:rPr>
              <w:t>与验收的基本要求</w:t>
            </w:r>
          </w:p>
        </w:tc>
        <w:tc>
          <w:tcPr>
            <w:tcW w:w="2660" w:type="dxa"/>
            <w:vAlign w:val="top"/>
          </w:tcPr>
          <w:p w14:paraId="077DC5D6">
            <w:pPr>
              <w:spacing w:line="307" w:lineRule="auto"/>
              <w:rPr>
                <w:rFonts w:ascii="Arial"/>
                <w:sz w:val="21"/>
              </w:rPr>
            </w:pPr>
          </w:p>
          <w:p w14:paraId="2FD66948">
            <w:pPr>
              <w:pStyle w:val="6"/>
              <w:spacing w:before="61" w:line="258" w:lineRule="auto"/>
              <w:ind w:left="15" w:firstLine="29"/>
              <w:jc w:val="both"/>
            </w:pPr>
            <w:r>
              <w:rPr>
                <w:spacing w:val="-6"/>
              </w:rPr>
              <w:t>该标准适用于云服务客户和云服</w:t>
            </w:r>
            <w:r>
              <w:rPr>
                <w:spacing w:val="9"/>
              </w:rPr>
              <w:t xml:space="preserve"> </w:t>
            </w:r>
            <w:r>
              <w:rPr>
                <w:spacing w:val="-2"/>
              </w:rPr>
              <w:t>务提供者，用于指导云服务客户</w:t>
            </w:r>
            <w:r>
              <w:rPr>
                <w:spacing w:val="1"/>
              </w:rPr>
              <w:t xml:space="preserve"> </w:t>
            </w:r>
            <w:r>
              <w:rPr>
                <w:spacing w:val="-3"/>
              </w:rPr>
              <w:t>采购云服务</w:t>
            </w:r>
          </w:p>
        </w:tc>
        <w:tc>
          <w:tcPr>
            <w:tcW w:w="971" w:type="dxa"/>
            <w:tcBorders>
              <w:right w:val="nil"/>
            </w:tcBorders>
            <w:vAlign w:val="top"/>
          </w:tcPr>
          <w:p w14:paraId="2BBAB1B2">
            <w:pPr>
              <w:spacing w:line="283" w:lineRule="auto"/>
              <w:rPr>
                <w:rFonts w:ascii="Arial"/>
                <w:sz w:val="21"/>
              </w:rPr>
            </w:pPr>
          </w:p>
          <w:p w14:paraId="3B270231">
            <w:pPr>
              <w:spacing w:line="283" w:lineRule="auto"/>
              <w:rPr>
                <w:rFonts w:ascii="Arial"/>
                <w:sz w:val="21"/>
              </w:rPr>
            </w:pPr>
          </w:p>
          <w:p w14:paraId="73EF4B11">
            <w:pPr>
              <w:pStyle w:val="6"/>
              <w:spacing w:before="62" w:line="220" w:lineRule="auto"/>
              <w:ind w:left="55"/>
            </w:pPr>
            <w:r>
              <w:rPr>
                <w:spacing w:val="2"/>
              </w:rPr>
              <w:t>国家标准</w:t>
            </w:r>
          </w:p>
        </w:tc>
      </w:tr>
      <w:tr w14:paraId="7AB5E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9" w:hRule="atLeast"/>
        </w:trPr>
        <w:tc>
          <w:tcPr>
            <w:tcW w:w="1100" w:type="dxa"/>
            <w:tcBorders>
              <w:left w:val="nil"/>
            </w:tcBorders>
            <w:vAlign w:val="top"/>
          </w:tcPr>
          <w:p w14:paraId="7BC757AA">
            <w:pPr>
              <w:spacing w:line="281" w:lineRule="auto"/>
              <w:rPr>
                <w:rFonts w:ascii="Arial"/>
                <w:sz w:val="21"/>
              </w:rPr>
            </w:pPr>
          </w:p>
          <w:p w14:paraId="29F11ABE">
            <w:pPr>
              <w:spacing w:line="281" w:lineRule="auto"/>
              <w:rPr>
                <w:rFonts w:ascii="Arial"/>
                <w:sz w:val="21"/>
              </w:rPr>
            </w:pPr>
          </w:p>
          <w:p w14:paraId="68F8197A">
            <w:pPr>
              <w:pStyle w:val="6"/>
              <w:spacing w:before="62" w:line="224" w:lineRule="auto"/>
              <w:ind w:left="70"/>
            </w:pPr>
            <w:r>
              <w:rPr>
                <w:spacing w:val="-2"/>
              </w:rPr>
              <w:t>GB/T</w:t>
            </w:r>
            <w:r>
              <w:rPr>
                <w:spacing w:val="14"/>
              </w:rPr>
              <w:t xml:space="preserve"> </w:t>
            </w:r>
            <w:r>
              <w:rPr>
                <w:spacing w:val="-2"/>
              </w:rPr>
              <w:t>37738</w:t>
            </w:r>
          </w:p>
        </w:tc>
        <w:tc>
          <w:tcPr>
            <w:tcW w:w="1420" w:type="dxa"/>
            <w:vAlign w:val="top"/>
          </w:tcPr>
          <w:p w14:paraId="76DB07E0">
            <w:pPr>
              <w:spacing w:line="309" w:lineRule="auto"/>
              <w:rPr>
                <w:rFonts w:ascii="Arial"/>
                <w:sz w:val="21"/>
              </w:rPr>
            </w:pPr>
          </w:p>
          <w:p w14:paraId="2E061023">
            <w:pPr>
              <w:pStyle w:val="6"/>
              <w:spacing w:before="62" w:line="249" w:lineRule="auto"/>
              <w:ind w:left="35" w:right="36"/>
              <w:jc w:val="both"/>
            </w:pPr>
            <w:r>
              <w:rPr>
                <w:spacing w:val="-2"/>
              </w:rPr>
              <w:t>信息技术云计算</w:t>
            </w:r>
            <w:r>
              <w:rPr>
                <w:spacing w:val="5"/>
              </w:rPr>
              <w:t xml:space="preserve"> </w:t>
            </w:r>
            <w:r>
              <w:rPr>
                <w:spacing w:val="1"/>
              </w:rPr>
              <w:t>云服务质量评价</w:t>
            </w:r>
            <w:r>
              <w:t xml:space="preserve"> 指标</w:t>
            </w:r>
          </w:p>
        </w:tc>
        <w:tc>
          <w:tcPr>
            <w:tcW w:w="2260" w:type="dxa"/>
            <w:vAlign w:val="top"/>
          </w:tcPr>
          <w:p w14:paraId="20329CD1">
            <w:pPr>
              <w:spacing w:line="448" w:lineRule="auto"/>
              <w:rPr>
                <w:rFonts w:ascii="Arial"/>
                <w:sz w:val="21"/>
              </w:rPr>
            </w:pPr>
          </w:p>
          <w:p w14:paraId="6CC99BAC">
            <w:pPr>
              <w:pStyle w:val="6"/>
              <w:spacing w:before="62" w:line="237" w:lineRule="auto"/>
              <w:ind w:left="25" w:right="95" w:firstLine="49"/>
            </w:pPr>
            <w:r>
              <w:rPr>
                <w:spacing w:val="-1"/>
              </w:rPr>
              <w:t>该标准规定了云服务质量</w:t>
            </w:r>
            <w:r>
              <w:t xml:space="preserve"> </w:t>
            </w:r>
            <w:r>
              <w:rPr>
                <w:spacing w:val="1"/>
              </w:rPr>
              <w:t>的评价指标</w:t>
            </w:r>
          </w:p>
        </w:tc>
        <w:tc>
          <w:tcPr>
            <w:tcW w:w="2660" w:type="dxa"/>
            <w:vAlign w:val="top"/>
          </w:tcPr>
          <w:p w14:paraId="17D5D6F2">
            <w:pPr>
              <w:pStyle w:val="6"/>
              <w:spacing w:before="111" w:line="254" w:lineRule="auto"/>
              <w:ind w:left="55"/>
              <w:jc w:val="both"/>
            </w:pPr>
            <w:r>
              <w:rPr>
                <w:spacing w:val="-6"/>
              </w:rPr>
              <w:t>该标准适用于为云服务提供商评</w:t>
            </w:r>
            <w:r>
              <w:rPr>
                <w:spacing w:val="4"/>
              </w:rPr>
              <w:t xml:space="preserve"> </w:t>
            </w:r>
            <w:r>
              <w:rPr>
                <w:spacing w:val="-6"/>
              </w:rPr>
              <w:t>价自身云服务质量提供方法、为</w:t>
            </w:r>
            <w:r>
              <w:rPr>
                <w:spacing w:val="6"/>
              </w:rPr>
              <w:t xml:space="preserve"> </w:t>
            </w:r>
            <w:r>
              <w:rPr>
                <w:spacing w:val="-6"/>
              </w:rPr>
              <w:t>云服务客户选择云服务提供商提</w:t>
            </w:r>
            <w:r>
              <w:rPr>
                <w:spacing w:val="4"/>
              </w:rPr>
              <w:t xml:space="preserve"> </w:t>
            </w:r>
            <w:r>
              <w:rPr>
                <w:spacing w:val="-5"/>
              </w:rPr>
              <w:t>供依据和为第三方实施云服务质</w:t>
            </w:r>
            <w:r>
              <w:rPr>
                <w:spacing w:val="3"/>
              </w:rPr>
              <w:t xml:space="preserve"> </w:t>
            </w:r>
            <w:r>
              <w:rPr>
                <w:spacing w:val="-2"/>
              </w:rPr>
              <w:t>量评价提供参考</w:t>
            </w:r>
          </w:p>
        </w:tc>
        <w:tc>
          <w:tcPr>
            <w:tcW w:w="971" w:type="dxa"/>
            <w:tcBorders>
              <w:right w:val="nil"/>
            </w:tcBorders>
            <w:vAlign w:val="top"/>
          </w:tcPr>
          <w:p w14:paraId="0F91950F">
            <w:pPr>
              <w:spacing w:line="278" w:lineRule="auto"/>
              <w:rPr>
                <w:rFonts w:ascii="Arial"/>
                <w:sz w:val="21"/>
              </w:rPr>
            </w:pPr>
          </w:p>
          <w:p w14:paraId="0C1CF51B">
            <w:pPr>
              <w:spacing w:line="279" w:lineRule="auto"/>
              <w:rPr>
                <w:rFonts w:ascii="Arial"/>
                <w:sz w:val="21"/>
              </w:rPr>
            </w:pPr>
          </w:p>
          <w:p w14:paraId="3965601D">
            <w:pPr>
              <w:pStyle w:val="6"/>
              <w:spacing w:before="62" w:line="220" w:lineRule="auto"/>
              <w:ind w:left="55"/>
            </w:pPr>
            <w:r>
              <w:rPr>
                <w:spacing w:val="2"/>
              </w:rPr>
              <w:t>国家标准</w:t>
            </w:r>
          </w:p>
        </w:tc>
      </w:tr>
      <w:tr w14:paraId="35FE3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100" w:type="dxa"/>
            <w:tcBorders>
              <w:left w:val="nil"/>
            </w:tcBorders>
            <w:vAlign w:val="top"/>
          </w:tcPr>
          <w:p w14:paraId="363778B6">
            <w:pPr>
              <w:pStyle w:val="6"/>
              <w:spacing w:before="228" w:line="224" w:lineRule="auto"/>
              <w:ind w:left="70"/>
            </w:pPr>
            <w:r>
              <w:rPr>
                <w:spacing w:val="-2"/>
              </w:rPr>
              <w:t>GB/T</w:t>
            </w:r>
            <w:r>
              <w:rPr>
                <w:spacing w:val="14"/>
              </w:rPr>
              <w:t xml:space="preserve"> </w:t>
            </w:r>
            <w:r>
              <w:rPr>
                <w:spacing w:val="-2"/>
              </w:rPr>
              <w:t>37735</w:t>
            </w:r>
          </w:p>
        </w:tc>
        <w:tc>
          <w:tcPr>
            <w:tcW w:w="1420" w:type="dxa"/>
            <w:vAlign w:val="top"/>
          </w:tcPr>
          <w:p w14:paraId="5F5DBCAC">
            <w:pPr>
              <w:pStyle w:val="6"/>
              <w:spacing w:before="102" w:line="251" w:lineRule="auto"/>
              <w:ind w:left="35" w:right="52"/>
            </w:pPr>
            <w:r>
              <w:rPr>
                <w:spacing w:val="-2"/>
              </w:rPr>
              <w:t>信息技术云计算</w:t>
            </w:r>
            <w:r>
              <w:rPr>
                <w:spacing w:val="5"/>
              </w:rPr>
              <w:t xml:space="preserve"> </w:t>
            </w:r>
            <w:r>
              <w:rPr>
                <w:spacing w:val="-2"/>
              </w:rPr>
              <w:t>云服务计量指标</w:t>
            </w:r>
          </w:p>
        </w:tc>
        <w:tc>
          <w:tcPr>
            <w:tcW w:w="2260" w:type="dxa"/>
            <w:vAlign w:val="top"/>
          </w:tcPr>
          <w:p w14:paraId="6497BB37">
            <w:pPr>
              <w:pStyle w:val="6"/>
              <w:spacing w:before="113" w:line="239" w:lineRule="auto"/>
              <w:ind w:left="73" w:hanging="59"/>
            </w:pPr>
            <w:r>
              <w:rPr>
                <w:spacing w:val="-4"/>
              </w:rPr>
              <w:t>该标准规定了不同类型云服</w:t>
            </w:r>
            <w:r>
              <w:rPr>
                <w:spacing w:val="2"/>
              </w:rPr>
              <w:t xml:space="preserve"> </w:t>
            </w:r>
            <w:r>
              <w:rPr>
                <w:spacing w:val="-1"/>
              </w:rPr>
              <w:t>务的计量指标和计量单位</w:t>
            </w:r>
          </w:p>
        </w:tc>
        <w:tc>
          <w:tcPr>
            <w:tcW w:w="2660" w:type="dxa"/>
            <w:vAlign w:val="top"/>
          </w:tcPr>
          <w:p w14:paraId="017918F6">
            <w:pPr>
              <w:pStyle w:val="6"/>
              <w:spacing w:before="114" w:line="238" w:lineRule="auto"/>
              <w:ind w:left="55" w:right="135"/>
            </w:pPr>
            <w:r>
              <w:rPr>
                <w:spacing w:val="-1"/>
              </w:rPr>
              <w:t>该标准适用于各类云服务的提</w:t>
            </w:r>
            <w:r>
              <w:rPr>
                <w:spacing w:val="1"/>
              </w:rPr>
              <w:t xml:space="preserve"> </w:t>
            </w:r>
            <w:r>
              <w:rPr>
                <w:spacing w:val="-1"/>
              </w:rPr>
              <w:t>供、采购、审计和监管</w:t>
            </w:r>
          </w:p>
        </w:tc>
        <w:tc>
          <w:tcPr>
            <w:tcW w:w="971" w:type="dxa"/>
            <w:tcBorders>
              <w:right w:val="nil"/>
            </w:tcBorders>
            <w:vAlign w:val="top"/>
          </w:tcPr>
          <w:p w14:paraId="7B11D409">
            <w:pPr>
              <w:pStyle w:val="6"/>
              <w:spacing w:before="224" w:line="220" w:lineRule="auto"/>
              <w:ind w:left="55"/>
            </w:pPr>
            <w:r>
              <w:rPr>
                <w:spacing w:val="2"/>
              </w:rPr>
              <w:t>国家标准</w:t>
            </w:r>
          </w:p>
        </w:tc>
      </w:tr>
      <w:tr w14:paraId="70EC6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trPr>
        <w:tc>
          <w:tcPr>
            <w:tcW w:w="1100" w:type="dxa"/>
            <w:tcBorders>
              <w:left w:val="nil"/>
            </w:tcBorders>
            <w:vAlign w:val="top"/>
          </w:tcPr>
          <w:p w14:paraId="580782A4">
            <w:pPr>
              <w:spacing w:line="455" w:lineRule="auto"/>
              <w:rPr>
                <w:rFonts w:ascii="Arial"/>
                <w:sz w:val="21"/>
              </w:rPr>
            </w:pPr>
          </w:p>
          <w:p w14:paraId="44E8543F">
            <w:pPr>
              <w:pStyle w:val="6"/>
              <w:spacing w:before="62" w:line="224" w:lineRule="auto"/>
              <w:ind w:left="119"/>
            </w:pPr>
            <w:r>
              <w:rPr>
                <w:spacing w:val="-1"/>
              </w:rPr>
              <w:t>GB/T37732</w:t>
            </w:r>
          </w:p>
        </w:tc>
        <w:tc>
          <w:tcPr>
            <w:tcW w:w="1420" w:type="dxa"/>
            <w:vAlign w:val="top"/>
          </w:tcPr>
          <w:p w14:paraId="59AE53B0">
            <w:pPr>
              <w:pStyle w:val="6"/>
              <w:spacing w:before="253" w:line="255" w:lineRule="auto"/>
              <w:ind w:left="35" w:right="36"/>
              <w:jc w:val="both"/>
            </w:pPr>
            <w:r>
              <w:rPr>
                <w:spacing w:val="-2"/>
              </w:rPr>
              <w:t>信息技术云计算</w:t>
            </w:r>
            <w:r>
              <w:rPr>
                <w:spacing w:val="5"/>
              </w:rPr>
              <w:t xml:space="preserve"> </w:t>
            </w:r>
            <w:r>
              <w:rPr>
                <w:spacing w:val="1"/>
              </w:rPr>
              <w:t>云存储系统服务</w:t>
            </w:r>
            <w:r>
              <w:t xml:space="preserve"> </w:t>
            </w:r>
            <w:r>
              <w:rPr>
                <w:spacing w:val="3"/>
              </w:rPr>
              <w:t>接口功能</w:t>
            </w:r>
          </w:p>
        </w:tc>
        <w:tc>
          <w:tcPr>
            <w:tcW w:w="2260" w:type="dxa"/>
            <w:vAlign w:val="top"/>
          </w:tcPr>
          <w:p w14:paraId="1794F7FD">
            <w:pPr>
              <w:pStyle w:val="6"/>
              <w:spacing w:before="106" w:line="263" w:lineRule="auto"/>
              <w:ind w:left="14" w:firstLine="57"/>
              <w:jc w:val="both"/>
            </w:pPr>
            <w:r>
              <w:rPr>
                <w:spacing w:val="-9"/>
              </w:rPr>
              <w:t>该标准规定了云存储系统</w:t>
            </w:r>
            <w:r>
              <w:rPr>
                <w:spacing w:val="2"/>
              </w:rPr>
              <w:t xml:space="preserve">   </w:t>
            </w:r>
            <w:r>
              <w:rPr>
                <w:spacing w:val="-4"/>
              </w:rPr>
              <w:t>提供的块存储、文件存储、</w:t>
            </w:r>
            <w:r>
              <w:rPr>
                <w:spacing w:val="2"/>
              </w:rPr>
              <w:t xml:space="preserve"> </w:t>
            </w:r>
            <w:r>
              <w:rPr>
                <w:spacing w:val="-3"/>
              </w:rPr>
              <w:t>对象存储等存储服务和运</w:t>
            </w:r>
            <w:r>
              <w:t xml:space="preserve">   </w:t>
            </w:r>
            <w:r>
              <w:rPr>
                <w:spacing w:val="-5"/>
              </w:rPr>
              <w:t>维服务接口的功能</w:t>
            </w:r>
          </w:p>
        </w:tc>
        <w:tc>
          <w:tcPr>
            <w:tcW w:w="2660" w:type="dxa"/>
            <w:vAlign w:val="top"/>
          </w:tcPr>
          <w:p w14:paraId="77AF9972">
            <w:pPr>
              <w:spacing w:line="330" w:lineRule="auto"/>
              <w:rPr>
                <w:rFonts w:ascii="Arial"/>
                <w:sz w:val="21"/>
              </w:rPr>
            </w:pPr>
          </w:p>
          <w:p w14:paraId="17712168">
            <w:pPr>
              <w:pStyle w:val="6"/>
              <w:spacing w:before="62" w:line="247" w:lineRule="auto"/>
              <w:ind w:left="34" w:firstLine="10"/>
            </w:pPr>
            <w:r>
              <w:rPr>
                <w:spacing w:val="-4"/>
              </w:rPr>
              <w:t>该标准适用于指导云存储系统的</w:t>
            </w:r>
            <w:r>
              <w:t xml:space="preserve"> </w:t>
            </w:r>
            <w:r>
              <w:rPr>
                <w:spacing w:val="2"/>
              </w:rPr>
              <w:t>研发、评估和应用</w:t>
            </w:r>
          </w:p>
        </w:tc>
        <w:tc>
          <w:tcPr>
            <w:tcW w:w="971" w:type="dxa"/>
            <w:tcBorders>
              <w:right w:val="nil"/>
            </w:tcBorders>
            <w:vAlign w:val="top"/>
          </w:tcPr>
          <w:p w14:paraId="1A960700">
            <w:pPr>
              <w:spacing w:line="450" w:lineRule="auto"/>
              <w:rPr>
                <w:rFonts w:ascii="Arial"/>
                <w:sz w:val="21"/>
              </w:rPr>
            </w:pPr>
          </w:p>
          <w:p w14:paraId="7EDA8CE5">
            <w:pPr>
              <w:pStyle w:val="6"/>
              <w:spacing w:before="62" w:line="220" w:lineRule="auto"/>
              <w:ind w:left="55"/>
            </w:pPr>
            <w:r>
              <w:rPr>
                <w:spacing w:val="2"/>
              </w:rPr>
              <w:t>国家标准</w:t>
            </w:r>
          </w:p>
        </w:tc>
      </w:tr>
      <w:tr w14:paraId="198F7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1100" w:type="dxa"/>
            <w:tcBorders>
              <w:left w:val="nil"/>
            </w:tcBorders>
            <w:vAlign w:val="top"/>
          </w:tcPr>
          <w:p w14:paraId="627103C6">
            <w:pPr>
              <w:spacing w:line="426" w:lineRule="auto"/>
              <w:rPr>
                <w:rFonts w:ascii="Arial"/>
                <w:sz w:val="21"/>
              </w:rPr>
            </w:pPr>
          </w:p>
          <w:p w14:paraId="40FD3E6C">
            <w:pPr>
              <w:pStyle w:val="6"/>
              <w:spacing w:before="62" w:line="224" w:lineRule="auto"/>
              <w:ind w:left="70"/>
            </w:pPr>
            <w:r>
              <w:rPr>
                <w:spacing w:val="-1"/>
              </w:rPr>
              <w:t>GB/T 40690</w:t>
            </w:r>
          </w:p>
        </w:tc>
        <w:tc>
          <w:tcPr>
            <w:tcW w:w="1420" w:type="dxa"/>
            <w:vAlign w:val="top"/>
          </w:tcPr>
          <w:p w14:paraId="028B8BB5">
            <w:pPr>
              <w:spacing w:line="291" w:lineRule="auto"/>
              <w:rPr>
                <w:rFonts w:ascii="Arial"/>
                <w:sz w:val="21"/>
              </w:rPr>
            </w:pPr>
          </w:p>
          <w:p w14:paraId="6CCE650C">
            <w:pPr>
              <w:pStyle w:val="6"/>
              <w:spacing w:before="61" w:line="259" w:lineRule="auto"/>
              <w:ind w:left="15" w:firstLine="19"/>
            </w:pPr>
            <w:r>
              <w:rPr>
                <w:spacing w:val="-2"/>
              </w:rPr>
              <w:t>信息技术云计算</w:t>
            </w:r>
            <w:r>
              <w:t xml:space="preserve"> </w:t>
            </w:r>
            <w:r>
              <w:rPr>
                <w:spacing w:val="-17"/>
              </w:rPr>
              <w:t>云际计</w:t>
            </w:r>
            <w:r>
              <w:rPr>
                <w:spacing w:val="-16"/>
              </w:rPr>
              <w:t>算参考架</w:t>
            </w:r>
            <w:r>
              <w:rPr>
                <w:spacing w:val="-13"/>
              </w:rPr>
              <w:t>构</w:t>
            </w:r>
          </w:p>
        </w:tc>
        <w:tc>
          <w:tcPr>
            <w:tcW w:w="2260" w:type="dxa"/>
            <w:vAlign w:val="top"/>
          </w:tcPr>
          <w:p w14:paraId="1C9DB161">
            <w:pPr>
              <w:spacing w:line="312" w:lineRule="auto"/>
              <w:rPr>
                <w:rFonts w:ascii="Arial"/>
                <w:sz w:val="21"/>
              </w:rPr>
            </w:pPr>
          </w:p>
          <w:p w14:paraId="26A122A8">
            <w:pPr>
              <w:pStyle w:val="6"/>
              <w:spacing w:before="62" w:line="238" w:lineRule="auto"/>
              <w:ind w:left="73" w:hanging="59"/>
            </w:pPr>
            <w:r>
              <w:rPr>
                <w:spacing w:val="-4"/>
              </w:rPr>
              <w:t>该标准规定了云际计算参考</w:t>
            </w:r>
            <w:r>
              <w:rPr>
                <w:spacing w:val="2"/>
              </w:rPr>
              <w:t xml:space="preserve"> </w:t>
            </w:r>
            <w:r>
              <w:rPr>
                <w:spacing w:val="1"/>
              </w:rPr>
              <w:t>架构的功能、角色与活动</w:t>
            </w:r>
          </w:p>
        </w:tc>
        <w:tc>
          <w:tcPr>
            <w:tcW w:w="2660" w:type="dxa"/>
            <w:vAlign w:val="top"/>
          </w:tcPr>
          <w:p w14:paraId="13EB1D45">
            <w:pPr>
              <w:pStyle w:val="6"/>
              <w:spacing w:before="106" w:line="249" w:lineRule="auto"/>
              <w:ind w:left="45"/>
              <w:jc w:val="both"/>
            </w:pPr>
            <w:r>
              <w:rPr>
                <w:spacing w:val="-5"/>
              </w:rPr>
              <w:t>该标准适用于云际计算架构的设</w:t>
            </w:r>
            <w:r>
              <w:t xml:space="preserve"> </w:t>
            </w:r>
            <w:r>
              <w:rPr>
                <w:spacing w:val="-4"/>
              </w:rPr>
              <w:t>计、实现、部署和使用，也适用</w:t>
            </w:r>
            <w:r>
              <w:t xml:space="preserve"> </w:t>
            </w:r>
            <w:r>
              <w:rPr>
                <w:spacing w:val="-5"/>
              </w:rPr>
              <w:t>于具有云际资源协作需求的各类</w:t>
            </w:r>
            <w:r>
              <w:t xml:space="preserve"> </w:t>
            </w:r>
            <w:r>
              <w:rPr>
                <w:spacing w:val="3"/>
              </w:rPr>
              <w:t>云服务参与者</w:t>
            </w:r>
          </w:p>
        </w:tc>
        <w:tc>
          <w:tcPr>
            <w:tcW w:w="971" w:type="dxa"/>
            <w:tcBorders>
              <w:right w:val="nil"/>
            </w:tcBorders>
            <w:vAlign w:val="top"/>
          </w:tcPr>
          <w:p w14:paraId="63986A3E">
            <w:pPr>
              <w:spacing w:line="421" w:lineRule="auto"/>
              <w:rPr>
                <w:rFonts w:ascii="Arial"/>
                <w:sz w:val="21"/>
              </w:rPr>
            </w:pPr>
          </w:p>
          <w:p w14:paraId="6B809BB3">
            <w:pPr>
              <w:pStyle w:val="6"/>
              <w:spacing w:before="62" w:line="220" w:lineRule="auto"/>
              <w:ind w:left="55"/>
            </w:pPr>
            <w:r>
              <w:rPr>
                <w:spacing w:val="2"/>
              </w:rPr>
              <w:t>国家标准</w:t>
            </w:r>
          </w:p>
        </w:tc>
      </w:tr>
      <w:tr w14:paraId="13AE7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3" w:hRule="atLeast"/>
        </w:trPr>
        <w:tc>
          <w:tcPr>
            <w:tcW w:w="1100" w:type="dxa"/>
            <w:tcBorders>
              <w:left w:val="nil"/>
            </w:tcBorders>
            <w:vAlign w:val="top"/>
          </w:tcPr>
          <w:p w14:paraId="534C1A27">
            <w:pPr>
              <w:spacing w:line="352" w:lineRule="auto"/>
              <w:rPr>
                <w:rFonts w:ascii="Arial"/>
                <w:sz w:val="21"/>
              </w:rPr>
            </w:pPr>
          </w:p>
          <w:p w14:paraId="3483C2A6">
            <w:pPr>
              <w:spacing w:line="353" w:lineRule="auto"/>
              <w:rPr>
                <w:rFonts w:ascii="Arial"/>
                <w:sz w:val="21"/>
              </w:rPr>
            </w:pPr>
          </w:p>
          <w:p w14:paraId="417B2662">
            <w:pPr>
              <w:pStyle w:val="6"/>
              <w:spacing w:before="62" w:line="224" w:lineRule="auto"/>
              <w:ind w:left="70"/>
            </w:pPr>
            <w:r>
              <w:rPr>
                <w:spacing w:val="-1"/>
              </w:rPr>
              <w:t>YD/T3148</w:t>
            </w:r>
          </w:p>
        </w:tc>
        <w:tc>
          <w:tcPr>
            <w:tcW w:w="1420" w:type="dxa"/>
            <w:vAlign w:val="top"/>
          </w:tcPr>
          <w:p w14:paraId="4BB32F5E">
            <w:pPr>
              <w:spacing w:line="350" w:lineRule="auto"/>
              <w:rPr>
                <w:rFonts w:ascii="Arial"/>
                <w:sz w:val="21"/>
              </w:rPr>
            </w:pPr>
          </w:p>
          <w:p w14:paraId="3215E365">
            <w:pPr>
              <w:spacing w:line="350" w:lineRule="auto"/>
              <w:rPr>
                <w:rFonts w:ascii="Arial"/>
                <w:sz w:val="21"/>
              </w:rPr>
            </w:pPr>
          </w:p>
          <w:p w14:paraId="5BDD05DA">
            <w:pPr>
              <w:pStyle w:val="6"/>
              <w:spacing w:before="62" w:line="219" w:lineRule="auto"/>
              <w:ind w:left="35"/>
            </w:pPr>
            <w:r>
              <w:rPr>
                <w:spacing w:val="1"/>
              </w:rPr>
              <w:t>云计算安全框架</w:t>
            </w:r>
          </w:p>
        </w:tc>
        <w:tc>
          <w:tcPr>
            <w:tcW w:w="2260" w:type="dxa"/>
            <w:vAlign w:val="top"/>
          </w:tcPr>
          <w:p w14:paraId="42290C38">
            <w:pPr>
              <w:pStyle w:val="6"/>
              <w:spacing w:before="103" w:line="259" w:lineRule="auto"/>
              <w:ind w:left="25" w:right="59" w:firstLine="49"/>
              <w:jc w:val="both"/>
            </w:pPr>
            <w:r>
              <w:rPr>
                <w:spacing w:val="-1"/>
              </w:rPr>
              <w:t>该标准分析了云计算环境</w:t>
            </w:r>
            <w:r>
              <w:t xml:space="preserve"> </w:t>
            </w:r>
            <w:r>
              <w:rPr>
                <w:spacing w:val="5"/>
              </w:rPr>
              <w:t>中云服务客户、云服务提</w:t>
            </w:r>
            <w:r>
              <w:rPr>
                <w:spacing w:val="2"/>
              </w:rPr>
              <w:t xml:space="preserve"> </w:t>
            </w:r>
            <w:r>
              <w:rPr>
                <w:spacing w:val="5"/>
              </w:rPr>
              <w:t>供商、云服务伙伴面临的</w:t>
            </w:r>
            <w:r>
              <w:rPr>
                <w:spacing w:val="8"/>
              </w:rPr>
              <w:t xml:space="preserve"> </w:t>
            </w:r>
            <w:r>
              <w:rPr>
                <w:spacing w:val="6"/>
              </w:rPr>
              <w:t>安全威胁和挑战，阐明了</w:t>
            </w:r>
            <w:r>
              <w:rPr>
                <w:spacing w:val="8"/>
              </w:rPr>
              <w:t xml:space="preserve"> </w:t>
            </w:r>
            <w:r>
              <w:rPr>
                <w:spacing w:val="5"/>
              </w:rPr>
              <w:t xml:space="preserve">可减缓这些风险和应对安 </w:t>
            </w:r>
            <w:r>
              <w:rPr>
                <w:spacing w:val="2"/>
              </w:rPr>
              <w:t>全挑战的安全能力</w:t>
            </w:r>
          </w:p>
        </w:tc>
        <w:tc>
          <w:tcPr>
            <w:tcW w:w="2660" w:type="dxa"/>
            <w:vAlign w:val="top"/>
          </w:tcPr>
          <w:p w14:paraId="2D4DDD95">
            <w:pPr>
              <w:pStyle w:val="6"/>
              <w:spacing w:before="244" w:line="255" w:lineRule="auto"/>
              <w:ind w:left="24" w:firstLine="29"/>
              <w:jc w:val="both"/>
            </w:pPr>
            <w:r>
              <w:rPr>
                <w:spacing w:val="-6"/>
              </w:rPr>
              <w:t>该标准提供的框架方法，用于确</w:t>
            </w:r>
            <w:r>
              <w:rPr>
                <w:spacing w:val="4"/>
              </w:rPr>
              <w:t xml:space="preserve"> </w:t>
            </w:r>
            <w:r>
              <w:rPr>
                <w:spacing w:val="-3"/>
              </w:rPr>
              <w:t>定在减缓云计算安全威胁和应对</w:t>
            </w:r>
            <w:r>
              <w:rPr>
                <w:spacing w:val="6"/>
              </w:rPr>
              <w:t xml:space="preserve"> </w:t>
            </w:r>
            <w:r>
              <w:rPr>
                <w:spacing w:val="-4"/>
              </w:rPr>
              <w:t>安全挑战方面，需要对其中哪些</w:t>
            </w:r>
            <w:r>
              <w:rPr>
                <w:spacing w:val="1"/>
              </w:rPr>
              <w:t xml:space="preserve"> </w:t>
            </w:r>
            <w:r>
              <w:rPr>
                <w:spacing w:val="-4"/>
              </w:rPr>
              <w:t>安全能力做出具体规范。该标准</w:t>
            </w:r>
            <w:r>
              <w:t xml:space="preserve"> </w:t>
            </w:r>
            <w:r>
              <w:rPr>
                <w:spacing w:val="-2"/>
              </w:rPr>
              <w:t>适用于云计算</w:t>
            </w:r>
          </w:p>
        </w:tc>
        <w:tc>
          <w:tcPr>
            <w:tcW w:w="971" w:type="dxa"/>
            <w:tcBorders>
              <w:right w:val="nil"/>
            </w:tcBorders>
            <w:vAlign w:val="top"/>
          </w:tcPr>
          <w:p w14:paraId="42A5F6FE">
            <w:pPr>
              <w:spacing w:line="283" w:lineRule="auto"/>
              <w:rPr>
                <w:rFonts w:ascii="Arial"/>
                <w:sz w:val="21"/>
              </w:rPr>
            </w:pPr>
          </w:p>
          <w:p w14:paraId="7200A872">
            <w:pPr>
              <w:spacing w:line="283" w:lineRule="auto"/>
              <w:rPr>
                <w:rFonts w:ascii="Arial"/>
                <w:sz w:val="21"/>
              </w:rPr>
            </w:pPr>
          </w:p>
          <w:p w14:paraId="386C4437">
            <w:pPr>
              <w:spacing w:line="284" w:lineRule="auto"/>
              <w:rPr>
                <w:rFonts w:ascii="Arial"/>
                <w:sz w:val="21"/>
              </w:rPr>
            </w:pPr>
          </w:p>
          <w:p w14:paraId="2CEBEFD1">
            <w:pPr>
              <w:pStyle w:val="6"/>
              <w:spacing w:before="61" w:line="220" w:lineRule="auto"/>
              <w:ind w:left="55"/>
            </w:pPr>
            <w:r>
              <w:rPr>
                <w:spacing w:val="-2"/>
              </w:rPr>
              <w:t>行业标准</w:t>
            </w:r>
          </w:p>
        </w:tc>
      </w:tr>
    </w:tbl>
    <w:p w14:paraId="2E80C455">
      <w:pPr>
        <w:rPr>
          <w:rFonts w:ascii="Arial"/>
          <w:sz w:val="21"/>
        </w:rPr>
      </w:pPr>
    </w:p>
    <w:p w14:paraId="261DD15E">
      <w:pPr>
        <w:rPr>
          <w:rFonts w:ascii="Arial" w:hAnsi="Arial" w:eastAsia="Arial" w:cs="Arial"/>
          <w:sz w:val="21"/>
          <w:szCs w:val="21"/>
        </w:rPr>
        <w:sectPr>
          <w:pgSz w:w="10300" w:h="13360"/>
          <w:pgMar w:top="400" w:right="938" w:bottom="400" w:left="579" w:header="0" w:footer="0" w:gutter="0"/>
          <w:cols w:space="720" w:num="1"/>
        </w:sectPr>
      </w:pPr>
    </w:p>
    <w:p w14:paraId="59387329">
      <w:pPr>
        <w:pStyle w:val="2"/>
        <w:spacing w:before="57" w:line="219" w:lineRule="auto"/>
        <w:jc w:val="right"/>
        <w:rPr>
          <w:rFonts w:ascii="Times New Roman" w:hAnsi="Times New Roman" w:eastAsia="Times New Roman" w:cs="Times New Roman"/>
          <w:sz w:val="19"/>
          <w:szCs w:val="19"/>
        </w:rPr>
      </w:pPr>
      <w:r>
        <w:rPr>
          <w:spacing w:val="3"/>
          <w:sz w:val="19"/>
          <w:szCs w:val="19"/>
        </w:rPr>
        <w:t>第19章</w:t>
      </w:r>
      <w:r>
        <w:rPr>
          <w:spacing w:val="42"/>
          <w:sz w:val="19"/>
          <w:szCs w:val="19"/>
        </w:rPr>
        <w:t xml:space="preserve"> </w:t>
      </w:r>
      <w:r>
        <w:rPr>
          <w:spacing w:val="3"/>
          <w:sz w:val="19"/>
          <w:szCs w:val="19"/>
        </w:rPr>
        <w:t xml:space="preserve">监理支撑要素      </w:t>
      </w:r>
      <w:r>
        <w:rPr>
          <w:rFonts w:ascii="Times New Roman" w:hAnsi="Times New Roman" w:eastAsia="Times New Roman" w:cs="Times New Roman"/>
          <w:b/>
          <w:bCs/>
          <w:spacing w:val="3"/>
          <w:position w:val="-2"/>
          <w:sz w:val="19"/>
          <w:szCs w:val="19"/>
        </w:rPr>
        <w:t>425</w:t>
      </w:r>
    </w:p>
    <w:p w14:paraId="37FF245C">
      <w:pPr>
        <w:spacing w:line="286" w:lineRule="auto"/>
        <w:rPr>
          <w:rFonts w:ascii="Arial"/>
          <w:sz w:val="21"/>
        </w:rPr>
      </w:pPr>
    </w:p>
    <w:p w14:paraId="59F4BCD0">
      <w:pPr>
        <w:pStyle w:val="2"/>
        <w:spacing w:before="62" w:line="220" w:lineRule="auto"/>
        <w:ind w:left="7759"/>
        <w:rPr>
          <w:sz w:val="19"/>
          <w:szCs w:val="19"/>
        </w:rPr>
      </w:pPr>
      <w:r>
        <w:rPr>
          <w:spacing w:val="2"/>
          <w:sz w:val="19"/>
          <w:szCs w:val="19"/>
        </w:rPr>
        <w:t>(续表)</w:t>
      </w:r>
    </w:p>
    <w:p w14:paraId="74945AF3">
      <w:pPr>
        <w:spacing w:line="70" w:lineRule="exact"/>
      </w:pPr>
    </w:p>
    <w:tbl>
      <w:tblPr>
        <w:tblStyle w:val="5"/>
        <w:tblW w:w="828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0"/>
        <w:gridCol w:w="1420"/>
        <w:gridCol w:w="2260"/>
        <w:gridCol w:w="2670"/>
        <w:gridCol w:w="859"/>
      </w:tblGrid>
      <w:tr w14:paraId="71733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1080" w:type="dxa"/>
            <w:tcBorders>
              <w:left w:val="nil"/>
            </w:tcBorders>
            <w:vAlign w:val="top"/>
          </w:tcPr>
          <w:p w14:paraId="782B65CC">
            <w:pPr>
              <w:pStyle w:val="6"/>
              <w:spacing w:before="80" w:line="220" w:lineRule="auto"/>
              <w:ind w:left="262"/>
            </w:pPr>
            <w:r>
              <w:rPr>
                <w:b/>
                <w:bCs/>
                <w:spacing w:val="-4"/>
              </w:rPr>
              <w:t>标准号</w:t>
            </w:r>
          </w:p>
        </w:tc>
        <w:tc>
          <w:tcPr>
            <w:tcW w:w="1420" w:type="dxa"/>
            <w:vAlign w:val="top"/>
          </w:tcPr>
          <w:p w14:paraId="796D1ACF">
            <w:pPr>
              <w:pStyle w:val="6"/>
              <w:spacing w:before="80" w:line="220" w:lineRule="auto"/>
              <w:ind w:left="327"/>
            </w:pPr>
            <w:r>
              <w:rPr>
                <w:b/>
                <w:bCs/>
                <w:spacing w:val="-4"/>
              </w:rPr>
              <w:t>标准名称</w:t>
            </w:r>
          </w:p>
        </w:tc>
        <w:tc>
          <w:tcPr>
            <w:tcW w:w="2260" w:type="dxa"/>
            <w:vAlign w:val="top"/>
          </w:tcPr>
          <w:p w14:paraId="1E8B530C">
            <w:pPr>
              <w:pStyle w:val="6"/>
              <w:spacing w:before="80" w:line="219" w:lineRule="auto"/>
              <w:ind w:left="747"/>
            </w:pPr>
            <w:r>
              <w:rPr>
                <w:b/>
                <w:bCs/>
                <w:spacing w:val="-4"/>
              </w:rPr>
              <w:t>主要内容</w:t>
            </w:r>
          </w:p>
        </w:tc>
        <w:tc>
          <w:tcPr>
            <w:tcW w:w="2670" w:type="dxa"/>
            <w:vAlign w:val="top"/>
          </w:tcPr>
          <w:p w14:paraId="7D73E8F7">
            <w:pPr>
              <w:pStyle w:val="6"/>
              <w:spacing w:before="80" w:line="220" w:lineRule="auto"/>
              <w:ind w:left="947"/>
            </w:pPr>
            <w:r>
              <w:rPr>
                <w:b/>
                <w:bCs/>
                <w:spacing w:val="-4"/>
              </w:rPr>
              <w:t>适用范围</w:t>
            </w:r>
          </w:p>
        </w:tc>
        <w:tc>
          <w:tcPr>
            <w:tcW w:w="859" w:type="dxa"/>
            <w:tcBorders>
              <w:right w:val="nil"/>
            </w:tcBorders>
            <w:vAlign w:val="top"/>
          </w:tcPr>
          <w:p w14:paraId="2F70FF7C">
            <w:pPr>
              <w:pStyle w:val="6"/>
              <w:spacing w:before="80" w:line="219" w:lineRule="auto"/>
              <w:ind w:left="237"/>
            </w:pPr>
            <w:r>
              <w:rPr>
                <w:b/>
                <w:bCs/>
                <w:spacing w:val="-4"/>
              </w:rPr>
              <w:t>类别</w:t>
            </w:r>
          </w:p>
        </w:tc>
      </w:tr>
      <w:tr w14:paraId="7A3D2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6" w:hRule="atLeast"/>
        </w:trPr>
        <w:tc>
          <w:tcPr>
            <w:tcW w:w="1080" w:type="dxa"/>
            <w:tcBorders>
              <w:left w:val="nil"/>
            </w:tcBorders>
            <w:vAlign w:val="top"/>
          </w:tcPr>
          <w:p w14:paraId="54B2C8AB">
            <w:pPr>
              <w:spacing w:line="343" w:lineRule="auto"/>
              <w:rPr>
                <w:rFonts w:ascii="Arial"/>
                <w:sz w:val="21"/>
              </w:rPr>
            </w:pPr>
          </w:p>
          <w:p w14:paraId="3B50A635">
            <w:pPr>
              <w:spacing w:line="343" w:lineRule="auto"/>
              <w:rPr>
                <w:rFonts w:ascii="Arial"/>
                <w:sz w:val="21"/>
              </w:rPr>
            </w:pPr>
          </w:p>
          <w:p w14:paraId="1B5A18A2">
            <w:pPr>
              <w:pStyle w:val="6"/>
              <w:spacing w:before="62" w:line="224" w:lineRule="auto"/>
              <w:ind w:left="52"/>
            </w:pPr>
            <w:r>
              <w:rPr>
                <w:b/>
                <w:bCs/>
                <w:spacing w:val="-3"/>
              </w:rPr>
              <w:t>YD/T2806</w:t>
            </w:r>
          </w:p>
        </w:tc>
        <w:tc>
          <w:tcPr>
            <w:tcW w:w="1420" w:type="dxa"/>
            <w:vAlign w:val="top"/>
          </w:tcPr>
          <w:p w14:paraId="5BB9F8E0">
            <w:pPr>
              <w:spacing w:line="412" w:lineRule="auto"/>
              <w:rPr>
                <w:rFonts w:ascii="Arial"/>
                <w:sz w:val="21"/>
              </w:rPr>
            </w:pPr>
          </w:p>
          <w:p w14:paraId="1E62D0AB">
            <w:pPr>
              <w:pStyle w:val="6"/>
              <w:spacing w:before="62" w:line="219" w:lineRule="auto"/>
              <w:ind w:left="37"/>
            </w:pPr>
            <w:r>
              <w:rPr>
                <w:b/>
                <w:bCs/>
                <w:spacing w:val="-4"/>
              </w:rPr>
              <w:t>云计算基础设施</w:t>
            </w:r>
          </w:p>
          <w:p w14:paraId="5FD42AF2">
            <w:pPr>
              <w:pStyle w:val="6"/>
              <w:spacing w:before="54" w:line="219" w:lineRule="auto"/>
              <w:ind w:left="137"/>
            </w:pPr>
            <w:r>
              <w:rPr>
                <w:b/>
                <w:bCs/>
                <w:spacing w:val="3"/>
              </w:rPr>
              <w:t>即服务(</w:t>
            </w:r>
            <w:r>
              <w:rPr>
                <w:b/>
                <w:bCs/>
              </w:rPr>
              <w:t>IaaS</w:t>
            </w:r>
            <w:r>
              <w:rPr>
                <w:b/>
                <w:bCs/>
                <w:spacing w:val="3"/>
              </w:rPr>
              <w:t>)</w:t>
            </w:r>
          </w:p>
          <w:p w14:paraId="7782D825">
            <w:pPr>
              <w:pStyle w:val="6"/>
              <w:spacing w:before="55" w:line="220" w:lineRule="auto"/>
              <w:ind w:left="37"/>
            </w:pPr>
            <w:r>
              <w:rPr>
                <w:b/>
                <w:bCs/>
                <w:spacing w:val="-4"/>
              </w:rPr>
              <w:t>功能要求与架构</w:t>
            </w:r>
          </w:p>
        </w:tc>
        <w:tc>
          <w:tcPr>
            <w:tcW w:w="2260" w:type="dxa"/>
            <w:vAlign w:val="top"/>
          </w:tcPr>
          <w:p w14:paraId="74D98379">
            <w:pPr>
              <w:pStyle w:val="6"/>
              <w:spacing w:before="77" w:line="249" w:lineRule="auto"/>
              <w:ind w:left="57" w:right="92" w:firstLine="20"/>
            </w:pPr>
            <w:r>
              <w:rPr>
                <w:b/>
                <w:bCs/>
                <w:spacing w:val="-3"/>
              </w:rPr>
              <w:t>该标准规定了云计算基础</w:t>
            </w:r>
            <w:r>
              <w:t xml:space="preserve"> </w:t>
            </w:r>
            <w:r>
              <w:rPr>
                <w:b/>
                <w:bCs/>
                <w:spacing w:val="-3"/>
              </w:rPr>
              <w:t>设施即服务(IaaS)的服</w:t>
            </w:r>
          </w:p>
          <w:p w14:paraId="2688E27E">
            <w:pPr>
              <w:pStyle w:val="6"/>
              <w:spacing w:before="37" w:line="267" w:lineRule="auto"/>
              <w:ind w:left="57" w:right="91" w:firstLine="20"/>
            </w:pPr>
            <w:r>
              <w:rPr>
                <w:b/>
                <w:bCs/>
                <w:spacing w:val="-3"/>
              </w:rPr>
              <w:t>务种类与服务模式，功能</w:t>
            </w:r>
            <w:r>
              <w:rPr>
                <w:spacing w:val="1"/>
              </w:rPr>
              <w:t xml:space="preserve"> </w:t>
            </w:r>
            <w:r>
              <w:rPr>
                <w:b/>
                <w:bCs/>
              </w:rPr>
              <w:t>架构及功能需求，接口</w:t>
            </w:r>
          </w:p>
          <w:p w14:paraId="5FB939C4">
            <w:pPr>
              <w:pStyle w:val="6"/>
              <w:spacing w:before="1" w:line="237" w:lineRule="auto"/>
              <w:ind w:left="17" w:right="88" w:firstLine="59"/>
            </w:pPr>
            <w:r>
              <w:rPr>
                <w:b/>
                <w:bCs/>
                <w:spacing w:val="-3"/>
              </w:rPr>
              <w:t>及安全要求以及关键业务</w:t>
            </w:r>
            <w:r>
              <w:rPr>
                <w:spacing w:val="3"/>
              </w:rPr>
              <w:t xml:space="preserve"> </w:t>
            </w:r>
            <w:r>
              <w:rPr>
                <w:b/>
                <w:bCs/>
                <w:spacing w:val="-5"/>
              </w:rPr>
              <w:t>流程</w:t>
            </w:r>
          </w:p>
        </w:tc>
        <w:tc>
          <w:tcPr>
            <w:tcW w:w="2670" w:type="dxa"/>
            <w:vAlign w:val="top"/>
          </w:tcPr>
          <w:p w14:paraId="358132A8">
            <w:pPr>
              <w:spacing w:line="280" w:lineRule="auto"/>
              <w:rPr>
                <w:rFonts w:ascii="Arial"/>
                <w:sz w:val="21"/>
              </w:rPr>
            </w:pPr>
          </w:p>
          <w:p w14:paraId="2CE6505C">
            <w:pPr>
              <w:spacing w:line="281" w:lineRule="auto"/>
              <w:rPr>
                <w:rFonts w:ascii="Arial"/>
                <w:sz w:val="21"/>
              </w:rPr>
            </w:pPr>
          </w:p>
          <w:p w14:paraId="381AB326">
            <w:pPr>
              <w:pStyle w:val="6"/>
              <w:spacing w:before="62" w:line="249" w:lineRule="auto"/>
              <w:ind w:left="17"/>
            </w:pPr>
            <w:r>
              <w:rPr>
                <w:b/>
                <w:bCs/>
                <w:spacing w:val="-4"/>
              </w:rPr>
              <w:t>该标准适用于云计算基础设施即</w:t>
            </w:r>
            <w:r>
              <w:rPr>
                <w:spacing w:val="9"/>
              </w:rPr>
              <w:t xml:space="preserve"> </w:t>
            </w:r>
            <w:r>
              <w:rPr>
                <w:b/>
                <w:bCs/>
                <w:spacing w:val="4"/>
              </w:rPr>
              <w:t>服务(</w:t>
            </w:r>
            <w:r>
              <w:rPr>
                <w:b/>
                <w:bCs/>
              </w:rPr>
              <w:t>IaaS</w:t>
            </w:r>
            <w:r>
              <w:rPr>
                <w:b/>
                <w:bCs/>
                <w:spacing w:val="4"/>
              </w:rPr>
              <w:t>)</w:t>
            </w:r>
          </w:p>
        </w:tc>
        <w:tc>
          <w:tcPr>
            <w:tcW w:w="859" w:type="dxa"/>
            <w:tcBorders>
              <w:right w:val="nil"/>
            </w:tcBorders>
            <w:vAlign w:val="top"/>
          </w:tcPr>
          <w:p w14:paraId="622D7CFD">
            <w:pPr>
              <w:spacing w:line="276" w:lineRule="auto"/>
              <w:rPr>
                <w:rFonts w:ascii="Arial"/>
                <w:sz w:val="21"/>
              </w:rPr>
            </w:pPr>
          </w:p>
          <w:p w14:paraId="34A28007">
            <w:pPr>
              <w:spacing w:line="277" w:lineRule="auto"/>
              <w:rPr>
                <w:rFonts w:ascii="Arial"/>
                <w:sz w:val="21"/>
              </w:rPr>
            </w:pPr>
          </w:p>
          <w:p w14:paraId="20F0A2EA">
            <w:pPr>
              <w:spacing w:line="277" w:lineRule="auto"/>
              <w:rPr>
                <w:rFonts w:ascii="Arial"/>
                <w:sz w:val="21"/>
              </w:rPr>
            </w:pPr>
          </w:p>
          <w:p w14:paraId="675C2AA2">
            <w:pPr>
              <w:pStyle w:val="6"/>
              <w:spacing w:before="62" w:line="220" w:lineRule="auto"/>
              <w:ind w:left="47"/>
            </w:pPr>
            <w:r>
              <w:rPr>
                <w:b/>
                <w:bCs/>
                <w:spacing w:val="-4"/>
              </w:rPr>
              <w:t>行业标准</w:t>
            </w:r>
          </w:p>
        </w:tc>
      </w:tr>
    </w:tbl>
    <w:p w14:paraId="790CA780">
      <w:pPr>
        <w:pStyle w:val="2"/>
        <w:spacing w:before="160" w:line="222" w:lineRule="auto"/>
        <w:ind w:left="402"/>
        <w:rPr>
          <w:rFonts w:ascii="黑体" w:hAnsi="黑体" w:eastAsia="黑体" w:cs="黑体"/>
          <w:sz w:val="19"/>
          <w:szCs w:val="19"/>
        </w:rPr>
      </w:pPr>
      <w:r>
        <w:rPr>
          <w:b/>
          <w:bCs/>
          <w:color w:val="005BD3"/>
          <w:spacing w:val="7"/>
          <w:sz w:val="19"/>
          <w:szCs w:val="19"/>
        </w:rPr>
        <w:t>3.</w:t>
      </w:r>
      <w:r>
        <w:rPr>
          <w:rFonts w:ascii="黑体" w:hAnsi="黑体" w:eastAsia="黑体" w:cs="黑体"/>
          <w:b/>
          <w:bCs/>
          <w:color w:val="005BD3"/>
          <w:spacing w:val="7"/>
          <w:sz w:val="19"/>
          <w:szCs w:val="19"/>
        </w:rPr>
        <w:t>大数据相关标准</w:t>
      </w:r>
    </w:p>
    <w:p w14:paraId="48005F1C">
      <w:pPr>
        <w:pStyle w:val="2"/>
        <w:spacing w:before="133" w:line="303" w:lineRule="auto"/>
        <w:ind w:right="291" w:firstLine="420"/>
        <w:jc w:val="both"/>
        <w:rPr>
          <w:sz w:val="19"/>
          <w:szCs w:val="19"/>
        </w:rPr>
      </w:pPr>
      <w:r>
        <w:rPr>
          <w:spacing w:val="3"/>
          <w:sz w:val="19"/>
          <w:szCs w:val="19"/>
        </w:rPr>
        <w:t>大数据相关标准主要有</w:t>
      </w:r>
      <w:r>
        <w:rPr>
          <w:sz w:val="19"/>
          <w:szCs w:val="19"/>
        </w:rPr>
        <w:t>GB</w:t>
      </w:r>
      <w:r>
        <w:rPr>
          <w:spacing w:val="3"/>
          <w:sz w:val="19"/>
          <w:szCs w:val="19"/>
        </w:rPr>
        <w:t>/T  35295《信息技术大数据术语》、</w:t>
      </w:r>
      <w:r>
        <w:rPr>
          <w:spacing w:val="-18"/>
          <w:sz w:val="19"/>
          <w:szCs w:val="19"/>
        </w:rPr>
        <w:t xml:space="preserve"> </w:t>
      </w:r>
      <w:r>
        <w:rPr>
          <w:sz w:val="19"/>
          <w:szCs w:val="19"/>
        </w:rPr>
        <w:t>GB</w:t>
      </w:r>
      <w:r>
        <w:rPr>
          <w:spacing w:val="3"/>
          <w:sz w:val="19"/>
          <w:szCs w:val="19"/>
        </w:rPr>
        <w:t>/T</w:t>
      </w:r>
      <w:r>
        <w:rPr>
          <w:spacing w:val="25"/>
          <w:sz w:val="19"/>
          <w:szCs w:val="19"/>
        </w:rPr>
        <w:t xml:space="preserve">  </w:t>
      </w:r>
      <w:r>
        <w:rPr>
          <w:spacing w:val="3"/>
          <w:sz w:val="19"/>
          <w:szCs w:val="19"/>
        </w:rPr>
        <w:t>35589《信</w:t>
      </w:r>
      <w:r>
        <w:rPr>
          <w:spacing w:val="-36"/>
          <w:sz w:val="19"/>
          <w:szCs w:val="19"/>
        </w:rPr>
        <w:t xml:space="preserve"> </w:t>
      </w:r>
      <w:r>
        <w:rPr>
          <w:spacing w:val="3"/>
          <w:sz w:val="19"/>
          <w:szCs w:val="19"/>
        </w:rPr>
        <w:t>息</w:t>
      </w:r>
      <w:r>
        <w:rPr>
          <w:spacing w:val="-42"/>
          <w:sz w:val="19"/>
          <w:szCs w:val="19"/>
        </w:rPr>
        <w:t xml:space="preserve"> </w:t>
      </w:r>
      <w:r>
        <w:rPr>
          <w:spacing w:val="3"/>
          <w:sz w:val="19"/>
          <w:szCs w:val="19"/>
        </w:rPr>
        <w:t>技</w:t>
      </w:r>
      <w:r>
        <w:rPr>
          <w:spacing w:val="-42"/>
          <w:sz w:val="19"/>
          <w:szCs w:val="19"/>
        </w:rPr>
        <w:t xml:space="preserve"> </w:t>
      </w:r>
      <w:r>
        <w:rPr>
          <w:spacing w:val="3"/>
          <w:sz w:val="19"/>
          <w:szCs w:val="19"/>
        </w:rPr>
        <w:t>术</w:t>
      </w:r>
      <w:r>
        <w:rPr>
          <w:spacing w:val="-42"/>
          <w:sz w:val="19"/>
          <w:szCs w:val="19"/>
        </w:rPr>
        <w:t xml:space="preserve"> </w:t>
      </w:r>
      <w:r>
        <w:rPr>
          <w:spacing w:val="3"/>
          <w:sz w:val="19"/>
          <w:szCs w:val="19"/>
        </w:rPr>
        <w:t>大</w:t>
      </w:r>
      <w:r>
        <w:rPr>
          <w:sz w:val="19"/>
          <w:szCs w:val="19"/>
        </w:rPr>
        <w:t xml:space="preserve"> </w:t>
      </w:r>
      <w:r>
        <w:rPr>
          <w:spacing w:val="12"/>
          <w:sz w:val="19"/>
          <w:szCs w:val="19"/>
        </w:rPr>
        <w:t>数据技术参考模型》等标准。相关标准的标准号、标准名称、主要内容及适用范围等如表19-4</w:t>
      </w:r>
      <w:r>
        <w:rPr>
          <w:sz w:val="19"/>
          <w:szCs w:val="19"/>
        </w:rPr>
        <w:t xml:space="preserve"> </w:t>
      </w:r>
      <w:r>
        <w:rPr>
          <w:spacing w:val="8"/>
          <w:sz w:val="19"/>
          <w:szCs w:val="19"/>
        </w:rPr>
        <w:t>所示。</w:t>
      </w:r>
    </w:p>
    <w:p w14:paraId="5715711E">
      <w:pPr>
        <w:spacing w:before="91" w:line="222" w:lineRule="auto"/>
        <w:ind w:left="2982"/>
        <w:rPr>
          <w:rFonts w:ascii="黑体" w:hAnsi="黑体" w:eastAsia="黑体" w:cs="黑体"/>
          <w:sz w:val="19"/>
          <w:szCs w:val="19"/>
        </w:rPr>
      </w:pPr>
      <w:r>
        <w:rPr>
          <w:rFonts w:ascii="黑体" w:hAnsi="黑体" w:eastAsia="黑体" w:cs="黑体"/>
          <w:b/>
          <w:bCs/>
          <w:spacing w:val="-8"/>
          <w:sz w:val="19"/>
          <w:szCs w:val="19"/>
        </w:rPr>
        <w:t>表19-4</w:t>
      </w:r>
      <w:r>
        <w:rPr>
          <w:rFonts w:ascii="黑体" w:hAnsi="黑体" w:eastAsia="黑体" w:cs="黑体"/>
          <w:spacing w:val="-8"/>
          <w:sz w:val="19"/>
          <w:szCs w:val="19"/>
        </w:rPr>
        <w:t xml:space="preserve">  </w:t>
      </w:r>
      <w:r>
        <w:rPr>
          <w:rFonts w:ascii="黑体" w:hAnsi="黑体" w:eastAsia="黑体" w:cs="黑体"/>
          <w:b/>
          <w:bCs/>
          <w:spacing w:val="-8"/>
          <w:sz w:val="19"/>
          <w:szCs w:val="19"/>
        </w:rPr>
        <w:t>大数据现行相关标准</w:t>
      </w:r>
    </w:p>
    <w:p w14:paraId="30F2A133">
      <w:pPr>
        <w:spacing w:line="122" w:lineRule="exact"/>
      </w:pPr>
    </w:p>
    <w:tbl>
      <w:tblPr>
        <w:tblStyle w:val="5"/>
        <w:tblW w:w="832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0"/>
        <w:gridCol w:w="1350"/>
        <w:gridCol w:w="2720"/>
        <w:gridCol w:w="2210"/>
        <w:gridCol w:w="869"/>
      </w:tblGrid>
      <w:tr w14:paraId="3164F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180" w:type="dxa"/>
            <w:tcBorders>
              <w:left w:val="nil"/>
            </w:tcBorders>
            <w:vAlign w:val="top"/>
          </w:tcPr>
          <w:p w14:paraId="0AD9AA81">
            <w:pPr>
              <w:pStyle w:val="6"/>
              <w:spacing w:before="80" w:line="220" w:lineRule="auto"/>
              <w:ind w:left="292"/>
            </w:pPr>
            <w:r>
              <w:rPr>
                <w:b/>
                <w:bCs/>
                <w:spacing w:val="-4"/>
              </w:rPr>
              <w:t>标准号</w:t>
            </w:r>
          </w:p>
        </w:tc>
        <w:tc>
          <w:tcPr>
            <w:tcW w:w="1350" w:type="dxa"/>
            <w:vAlign w:val="top"/>
          </w:tcPr>
          <w:p w14:paraId="23162ADC">
            <w:pPr>
              <w:pStyle w:val="6"/>
              <w:spacing w:before="80" w:line="220" w:lineRule="auto"/>
              <w:ind w:left="287"/>
            </w:pPr>
            <w:r>
              <w:rPr>
                <w:b/>
                <w:bCs/>
                <w:spacing w:val="-4"/>
              </w:rPr>
              <w:t>标准名称</w:t>
            </w:r>
          </w:p>
        </w:tc>
        <w:tc>
          <w:tcPr>
            <w:tcW w:w="2720" w:type="dxa"/>
            <w:vAlign w:val="top"/>
          </w:tcPr>
          <w:p w14:paraId="409B7D2E">
            <w:pPr>
              <w:pStyle w:val="6"/>
              <w:spacing w:before="80" w:line="219" w:lineRule="auto"/>
              <w:ind w:left="977"/>
            </w:pPr>
            <w:r>
              <w:rPr>
                <w:b/>
                <w:bCs/>
                <w:spacing w:val="-4"/>
              </w:rPr>
              <w:t>主要内容</w:t>
            </w:r>
          </w:p>
        </w:tc>
        <w:tc>
          <w:tcPr>
            <w:tcW w:w="2210" w:type="dxa"/>
            <w:vAlign w:val="top"/>
          </w:tcPr>
          <w:p w14:paraId="072ADFC1">
            <w:pPr>
              <w:pStyle w:val="6"/>
              <w:spacing w:before="80" w:line="220" w:lineRule="auto"/>
              <w:ind w:left="717"/>
            </w:pPr>
            <w:r>
              <w:rPr>
                <w:b/>
                <w:bCs/>
                <w:spacing w:val="-4"/>
              </w:rPr>
              <w:t>适用范围</w:t>
            </w:r>
          </w:p>
        </w:tc>
        <w:tc>
          <w:tcPr>
            <w:tcW w:w="869" w:type="dxa"/>
            <w:tcBorders>
              <w:right w:val="nil"/>
            </w:tcBorders>
            <w:vAlign w:val="top"/>
          </w:tcPr>
          <w:p w14:paraId="093805AF">
            <w:pPr>
              <w:pStyle w:val="6"/>
              <w:spacing w:before="80" w:line="219" w:lineRule="auto"/>
              <w:ind w:left="237"/>
            </w:pPr>
            <w:r>
              <w:rPr>
                <w:b/>
                <w:bCs/>
                <w:spacing w:val="-4"/>
              </w:rPr>
              <w:t>类别</w:t>
            </w:r>
          </w:p>
        </w:tc>
      </w:tr>
      <w:tr w14:paraId="7AF74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180" w:type="dxa"/>
            <w:tcBorders>
              <w:left w:val="nil"/>
            </w:tcBorders>
            <w:vAlign w:val="top"/>
          </w:tcPr>
          <w:p w14:paraId="5AE476EB">
            <w:pPr>
              <w:pStyle w:val="6"/>
              <w:spacing w:before="254" w:line="224" w:lineRule="auto"/>
              <w:ind w:left="40"/>
            </w:pPr>
            <w:r>
              <w:rPr>
                <w:spacing w:val="-2"/>
              </w:rPr>
              <w:t>GB/T</w:t>
            </w:r>
            <w:r>
              <w:rPr>
                <w:spacing w:val="14"/>
              </w:rPr>
              <w:t xml:space="preserve"> </w:t>
            </w:r>
            <w:r>
              <w:rPr>
                <w:spacing w:val="-2"/>
              </w:rPr>
              <w:t>35295</w:t>
            </w:r>
          </w:p>
        </w:tc>
        <w:tc>
          <w:tcPr>
            <w:tcW w:w="1350" w:type="dxa"/>
            <w:vAlign w:val="top"/>
          </w:tcPr>
          <w:p w14:paraId="0786768B">
            <w:pPr>
              <w:pStyle w:val="6"/>
              <w:spacing w:before="109" w:line="268" w:lineRule="auto"/>
              <w:ind w:left="34" w:right="112" w:firstLine="59"/>
            </w:pPr>
            <w:r>
              <w:rPr>
                <w:spacing w:val="-2"/>
              </w:rPr>
              <w:t>信息技术大数</w:t>
            </w:r>
            <w:r>
              <w:rPr>
                <w:spacing w:val="3"/>
              </w:rPr>
              <w:t xml:space="preserve"> </w:t>
            </w:r>
            <w:r>
              <w:rPr>
                <w:spacing w:val="-2"/>
              </w:rPr>
              <w:t>据术语</w:t>
            </w:r>
          </w:p>
        </w:tc>
        <w:tc>
          <w:tcPr>
            <w:tcW w:w="2720" w:type="dxa"/>
            <w:vAlign w:val="top"/>
          </w:tcPr>
          <w:p w14:paraId="013A53B7">
            <w:pPr>
              <w:pStyle w:val="6"/>
              <w:spacing w:before="129" w:line="267" w:lineRule="auto"/>
              <w:ind w:left="54" w:right="35" w:hanging="29"/>
            </w:pPr>
            <w:r>
              <w:rPr>
                <w:spacing w:val="-1"/>
              </w:rPr>
              <w:t>该标准界定了信息技术大数据领</w:t>
            </w:r>
            <w:r>
              <w:rPr>
                <w:spacing w:val="2"/>
              </w:rPr>
              <w:t xml:space="preserve"> </w:t>
            </w:r>
            <w:r>
              <w:rPr>
                <w:spacing w:val="-1"/>
              </w:rPr>
              <w:t>域的常用术语和定义</w:t>
            </w:r>
          </w:p>
        </w:tc>
        <w:tc>
          <w:tcPr>
            <w:tcW w:w="2210" w:type="dxa"/>
            <w:vAlign w:val="top"/>
          </w:tcPr>
          <w:p w14:paraId="1E275597">
            <w:pPr>
              <w:pStyle w:val="6"/>
              <w:spacing w:before="128" w:line="259" w:lineRule="auto"/>
              <w:ind w:left="63" w:hanging="48"/>
            </w:pPr>
            <w:r>
              <w:rPr>
                <w:spacing w:val="-8"/>
              </w:rPr>
              <w:t>适用于大数据领域的科研、</w:t>
            </w:r>
            <w:r>
              <w:t xml:space="preserve"> </w:t>
            </w:r>
            <w:r>
              <w:rPr>
                <w:spacing w:val="-3"/>
              </w:rPr>
              <w:t>教学和应用</w:t>
            </w:r>
          </w:p>
        </w:tc>
        <w:tc>
          <w:tcPr>
            <w:tcW w:w="869" w:type="dxa"/>
            <w:tcBorders>
              <w:right w:val="nil"/>
            </w:tcBorders>
            <w:vAlign w:val="top"/>
          </w:tcPr>
          <w:p w14:paraId="1327445E">
            <w:pPr>
              <w:pStyle w:val="6"/>
              <w:spacing w:before="249" w:line="220" w:lineRule="auto"/>
              <w:ind w:left="44"/>
            </w:pPr>
            <w:r>
              <w:rPr>
                <w:spacing w:val="2"/>
              </w:rPr>
              <w:t>国家标准</w:t>
            </w:r>
          </w:p>
        </w:tc>
      </w:tr>
      <w:tr w14:paraId="29E16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9" w:hRule="atLeast"/>
        </w:trPr>
        <w:tc>
          <w:tcPr>
            <w:tcW w:w="1180" w:type="dxa"/>
            <w:tcBorders>
              <w:left w:val="nil"/>
            </w:tcBorders>
            <w:vAlign w:val="top"/>
          </w:tcPr>
          <w:p w14:paraId="3629D279">
            <w:pPr>
              <w:spacing w:line="301" w:lineRule="auto"/>
              <w:rPr>
                <w:rFonts w:ascii="Arial"/>
                <w:sz w:val="21"/>
              </w:rPr>
            </w:pPr>
          </w:p>
          <w:p w14:paraId="1EEEDC53">
            <w:pPr>
              <w:pStyle w:val="6"/>
              <w:spacing w:before="62" w:line="224" w:lineRule="auto"/>
              <w:ind w:left="40"/>
            </w:pPr>
            <w:r>
              <w:rPr>
                <w:spacing w:val="-2"/>
              </w:rPr>
              <w:t>GB/T</w:t>
            </w:r>
            <w:r>
              <w:rPr>
                <w:spacing w:val="14"/>
              </w:rPr>
              <w:t xml:space="preserve"> </w:t>
            </w:r>
            <w:r>
              <w:rPr>
                <w:spacing w:val="-2"/>
              </w:rPr>
              <w:t>35589</w:t>
            </w:r>
          </w:p>
        </w:tc>
        <w:tc>
          <w:tcPr>
            <w:tcW w:w="1350" w:type="dxa"/>
            <w:vAlign w:val="top"/>
          </w:tcPr>
          <w:p w14:paraId="77A5D2D3">
            <w:pPr>
              <w:pStyle w:val="6"/>
              <w:spacing w:before="239" w:line="259" w:lineRule="auto"/>
              <w:ind w:left="15" w:right="1" w:firstLine="79"/>
            </w:pPr>
            <w:r>
              <w:rPr>
                <w:spacing w:val="-2"/>
              </w:rPr>
              <w:t>信息技术大数</w:t>
            </w:r>
            <w:r>
              <w:rPr>
                <w:spacing w:val="1"/>
              </w:rPr>
              <w:t xml:space="preserve">  </w:t>
            </w:r>
            <w:r>
              <w:rPr>
                <w:spacing w:val="-1"/>
              </w:rPr>
              <w:t>据技术参考模型</w:t>
            </w:r>
          </w:p>
        </w:tc>
        <w:tc>
          <w:tcPr>
            <w:tcW w:w="2720" w:type="dxa"/>
            <w:vAlign w:val="top"/>
          </w:tcPr>
          <w:p w14:paraId="1315106B">
            <w:pPr>
              <w:pStyle w:val="6"/>
              <w:spacing w:before="108" w:line="256" w:lineRule="auto"/>
              <w:ind w:left="23" w:hanging="9"/>
              <w:jc w:val="both"/>
            </w:pPr>
            <w:r>
              <w:rPr>
                <w:spacing w:val="-11"/>
              </w:rPr>
              <w:t>该标准描述了大数据的参考架构，</w:t>
            </w:r>
            <w:r>
              <w:rPr>
                <w:spacing w:val="9"/>
              </w:rPr>
              <w:t xml:space="preserve"> </w:t>
            </w:r>
            <w:r>
              <w:rPr>
                <w:spacing w:val="-8"/>
              </w:rPr>
              <w:t>包括角色、活动和功能组件以及</w:t>
            </w:r>
            <w:r>
              <w:rPr>
                <w:spacing w:val="3"/>
              </w:rPr>
              <w:t xml:space="preserve">  </w:t>
            </w:r>
            <w:r>
              <w:rPr>
                <w:spacing w:val="1"/>
              </w:rPr>
              <w:t>它们之间的关系</w:t>
            </w:r>
          </w:p>
        </w:tc>
        <w:tc>
          <w:tcPr>
            <w:tcW w:w="2210" w:type="dxa"/>
            <w:vAlign w:val="top"/>
          </w:tcPr>
          <w:p w14:paraId="4E05AA5C">
            <w:pPr>
              <w:pStyle w:val="6"/>
              <w:spacing w:before="108" w:line="256" w:lineRule="auto"/>
              <w:ind w:left="44" w:right="39" w:firstLine="9"/>
              <w:jc w:val="both"/>
            </w:pPr>
            <w:r>
              <w:rPr>
                <w:spacing w:val="-1"/>
              </w:rPr>
              <w:t>适用于对大数据复杂操作</w:t>
            </w:r>
            <w:r>
              <w:rPr>
                <w:spacing w:val="2"/>
              </w:rPr>
              <w:t xml:space="preserve"> 的理解，可为大数据系列 </w:t>
            </w:r>
            <w:r>
              <w:rPr>
                <w:spacing w:val="-1"/>
              </w:rPr>
              <w:t>标准的制定提供基础</w:t>
            </w:r>
          </w:p>
        </w:tc>
        <w:tc>
          <w:tcPr>
            <w:tcW w:w="869" w:type="dxa"/>
            <w:tcBorders>
              <w:right w:val="nil"/>
            </w:tcBorders>
            <w:vAlign w:val="top"/>
          </w:tcPr>
          <w:p w14:paraId="0DDF3188">
            <w:pPr>
              <w:spacing w:line="296" w:lineRule="auto"/>
              <w:rPr>
                <w:rFonts w:ascii="Arial"/>
                <w:sz w:val="21"/>
              </w:rPr>
            </w:pPr>
          </w:p>
          <w:p w14:paraId="7FE52EA9">
            <w:pPr>
              <w:pStyle w:val="6"/>
              <w:spacing w:before="62" w:line="220" w:lineRule="auto"/>
              <w:ind w:left="44"/>
            </w:pPr>
            <w:r>
              <w:rPr>
                <w:spacing w:val="2"/>
              </w:rPr>
              <w:t>国家标准</w:t>
            </w:r>
          </w:p>
        </w:tc>
      </w:tr>
      <w:tr w14:paraId="4DD53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trPr>
        <w:tc>
          <w:tcPr>
            <w:tcW w:w="1180" w:type="dxa"/>
            <w:tcBorders>
              <w:left w:val="nil"/>
            </w:tcBorders>
            <w:vAlign w:val="top"/>
          </w:tcPr>
          <w:p w14:paraId="3A21735C">
            <w:pPr>
              <w:spacing w:line="302" w:lineRule="auto"/>
              <w:rPr>
                <w:rFonts w:ascii="Arial"/>
                <w:sz w:val="21"/>
              </w:rPr>
            </w:pPr>
          </w:p>
          <w:p w14:paraId="0F29E809">
            <w:pPr>
              <w:pStyle w:val="6"/>
              <w:spacing w:before="62" w:line="224" w:lineRule="auto"/>
              <w:ind w:left="40"/>
            </w:pPr>
            <w:r>
              <w:rPr>
                <w:spacing w:val="-1"/>
              </w:rPr>
              <w:t>GB/T37721</w:t>
            </w:r>
          </w:p>
        </w:tc>
        <w:tc>
          <w:tcPr>
            <w:tcW w:w="1350" w:type="dxa"/>
            <w:vAlign w:val="top"/>
          </w:tcPr>
          <w:p w14:paraId="67E20B5C">
            <w:pPr>
              <w:pStyle w:val="6"/>
              <w:spacing w:before="110" w:line="250" w:lineRule="auto"/>
              <w:ind w:left="55" w:right="111" w:firstLine="39"/>
              <w:jc w:val="both"/>
            </w:pPr>
            <w:r>
              <w:rPr>
                <w:spacing w:val="-2"/>
              </w:rPr>
              <w:t>信息技术大数</w:t>
            </w:r>
            <w:r>
              <w:rPr>
                <w:spacing w:val="3"/>
              </w:rPr>
              <w:t xml:space="preserve"> </w:t>
            </w:r>
            <w:r>
              <w:rPr>
                <w:spacing w:val="5"/>
              </w:rPr>
              <w:t>据分析系统功</w:t>
            </w:r>
            <w:r>
              <w:rPr>
                <w:spacing w:val="2"/>
              </w:rPr>
              <w:t xml:space="preserve"> 能要求</w:t>
            </w:r>
          </w:p>
        </w:tc>
        <w:tc>
          <w:tcPr>
            <w:tcW w:w="2720" w:type="dxa"/>
            <w:vAlign w:val="top"/>
          </w:tcPr>
          <w:p w14:paraId="0AB4B080">
            <w:pPr>
              <w:pStyle w:val="6"/>
              <w:spacing w:before="251" w:line="239" w:lineRule="auto"/>
              <w:ind w:left="34" w:right="35" w:hanging="9"/>
            </w:pPr>
            <w:r>
              <w:rPr>
                <w:spacing w:val="-1"/>
              </w:rPr>
              <w:t>该标准界定了信息技术大数据领</w:t>
            </w:r>
            <w:r>
              <w:rPr>
                <w:spacing w:val="2"/>
              </w:rPr>
              <w:t xml:space="preserve"> </w:t>
            </w:r>
            <w:r>
              <w:rPr>
                <w:spacing w:val="-1"/>
              </w:rPr>
              <w:t>域的常用术语和定义</w:t>
            </w:r>
          </w:p>
        </w:tc>
        <w:tc>
          <w:tcPr>
            <w:tcW w:w="2210" w:type="dxa"/>
            <w:vAlign w:val="top"/>
          </w:tcPr>
          <w:p w14:paraId="0BF30631">
            <w:pPr>
              <w:pStyle w:val="6"/>
              <w:spacing w:before="260" w:line="231" w:lineRule="auto"/>
              <w:ind w:left="72" w:hanging="57"/>
            </w:pPr>
            <w:r>
              <w:rPr>
                <w:spacing w:val="-8"/>
              </w:rPr>
              <w:t>适用于大数据领域的科研、</w:t>
            </w:r>
            <w:r>
              <w:t xml:space="preserve"> </w:t>
            </w:r>
            <w:r>
              <w:rPr>
                <w:spacing w:val="-3"/>
              </w:rPr>
              <w:t>教学和应用</w:t>
            </w:r>
          </w:p>
        </w:tc>
        <w:tc>
          <w:tcPr>
            <w:tcW w:w="869" w:type="dxa"/>
            <w:tcBorders>
              <w:right w:val="nil"/>
            </w:tcBorders>
            <w:vAlign w:val="top"/>
          </w:tcPr>
          <w:p w14:paraId="2FA45BD2">
            <w:pPr>
              <w:spacing w:line="297" w:lineRule="auto"/>
              <w:rPr>
                <w:rFonts w:ascii="Arial"/>
                <w:sz w:val="21"/>
              </w:rPr>
            </w:pPr>
          </w:p>
          <w:p w14:paraId="2DE10CCB">
            <w:pPr>
              <w:pStyle w:val="6"/>
              <w:spacing w:before="62" w:line="220" w:lineRule="auto"/>
              <w:ind w:left="44"/>
            </w:pPr>
            <w:r>
              <w:rPr>
                <w:spacing w:val="2"/>
              </w:rPr>
              <w:t>国家标准</w:t>
            </w:r>
          </w:p>
        </w:tc>
      </w:tr>
      <w:tr w14:paraId="7A08C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7" w:hRule="atLeast"/>
        </w:trPr>
        <w:tc>
          <w:tcPr>
            <w:tcW w:w="1180" w:type="dxa"/>
            <w:tcBorders>
              <w:left w:val="nil"/>
            </w:tcBorders>
            <w:vAlign w:val="top"/>
          </w:tcPr>
          <w:p w14:paraId="5CC5E788">
            <w:pPr>
              <w:spacing w:line="287" w:lineRule="auto"/>
              <w:rPr>
                <w:rFonts w:ascii="Arial"/>
                <w:sz w:val="21"/>
              </w:rPr>
            </w:pPr>
          </w:p>
          <w:p w14:paraId="6948D0BB">
            <w:pPr>
              <w:spacing w:line="287" w:lineRule="auto"/>
              <w:rPr>
                <w:rFonts w:ascii="Arial"/>
                <w:sz w:val="21"/>
              </w:rPr>
            </w:pPr>
          </w:p>
          <w:p w14:paraId="5FFECD2F">
            <w:pPr>
              <w:spacing w:line="287" w:lineRule="auto"/>
              <w:rPr>
                <w:rFonts w:ascii="Arial"/>
                <w:sz w:val="21"/>
              </w:rPr>
            </w:pPr>
          </w:p>
          <w:p w14:paraId="4816374E">
            <w:pPr>
              <w:pStyle w:val="6"/>
              <w:spacing w:before="62" w:line="224" w:lineRule="auto"/>
              <w:ind w:left="40"/>
            </w:pPr>
            <w:r>
              <w:rPr>
                <w:spacing w:val="-2"/>
              </w:rPr>
              <w:t>GB/T</w:t>
            </w:r>
            <w:r>
              <w:rPr>
                <w:spacing w:val="14"/>
              </w:rPr>
              <w:t xml:space="preserve"> </w:t>
            </w:r>
            <w:r>
              <w:rPr>
                <w:spacing w:val="-2"/>
              </w:rPr>
              <w:t>37722</w:t>
            </w:r>
          </w:p>
        </w:tc>
        <w:tc>
          <w:tcPr>
            <w:tcW w:w="1350" w:type="dxa"/>
            <w:vAlign w:val="top"/>
          </w:tcPr>
          <w:p w14:paraId="2131881A">
            <w:pPr>
              <w:spacing w:line="298" w:lineRule="auto"/>
              <w:rPr>
                <w:rFonts w:ascii="Arial"/>
                <w:sz w:val="21"/>
              </w:rPr>
            </w:pPr>
          </w:p>
          <w:p w14:paraId="506AFA35">
            <w:pPr>
              <w:spacing w:line="298" w:lineRule="auto"/>
              <w:rPr>
                <w:rFonts w:ascii="Arial"/>
                <w:sz w:val="21"/>
              </w:rPr>
            </w:pPr>
          </w:p>
          <w:p w14:paraId="0BEB9B79">
            <w:pPr>
              <w:pStyle w:val="6"/>
              <w:spacing w:before="62" w:line="255" w:lineRule="auto"/>
              <w:ind w:left="94" w:right="96"/>
              <w:jc w:val="both"/>
            </w:pPr>
            <w:r>
              <w:rPr>
                <w:spacing w:val="-2"/>
              </w:rPr>
              <w:t>信息技术大数</w:t>
            </w:r>
            <w:r>
              <w:rPr>
                <w:spacing w:val="3"/>
              </w:rPr>
              <w:t xml:space="preserve"> </w:t>
            </w:r>
            <w:r>
              <w:rPr>
                <w:spacing w:val="-2"/>
              </w:rPr>
              <w:t>据存储与处理</w:t>
            </w:r>
            <w:r>
              <w:rPr>
                <w:spacing w:val="4"/>
              </w:rPr>
              <w:t xml:space="preserve"> </w:t>
            </w:r>
            <w:r>
              <w:rPr>
                <w:spacing w:val="1"/>
              </w:rPr>
              <w:t>系统功能要求</w:t>
            </w:r>
          </w:p>
        </w:tc>
        <w:tc>
          <w:tcPr>
            <w:tcW w:w="2720" w:type="dxa"/>
            <w:vAlign w:val="top"/>
          </w:tcPr>
          <w:p w14:paraId="3D4B6E10">
            <w:pPr>
              <w:pStyle w:val="6"/>
              <w:spacing w:before="144" w:line="255" w:lineRule="auto"/>
              <w:ind w:left="25" w:right="16"/>
              <w:jc w:val="both"/>
            </w:pPr>
            <w:r>
              <w:rPr>
                <w:spacing w:val="-1"/>
              </w:rPr>
              <w:t>该标准规定了大数据存储与处理</w:t>
            </w:r>
            <w:r>
              <w:rPr>
                <w:spacing w:val="2"/>
              </w:rPr>
              <w:t xml:space="preserve"> </w:t>
            </w:r>
            <w:r>
              <w:rPr>
                <w:spacing w:val="-1"/>
              </w:rPr>
              <w:t>系统的分布式文件存储、分布式</w:t>
            </w:r>
            <w:r>
              <w:rPr>
                <w:spacing w:val="1"/>
              </w:rPr>
              <w:t xml:space="preserve"> </w:t>
            </w:r>
            <w:r>
              <w:t>结构化数据存储、分布式列式数</w:t>
            </w:r>
            <w:r>
              <w:rPr>
                <w:spacing w:val="7"/>
              </w:rPr>
              <w:t xml:space="preserve"> </w:t>
            </w:r>
            <w:r>
              <w:rPr>
                <w:spacing w:val="-1"/>
              </w:rPr>
              <w:t>据存储、分布式图数据存储、批</w:t>
            </w:r>
            <w:r>
              <w:rPr>
                <w:spacing w:val="6"/>
              </w:rPr>
              <w:t xml:space="preserve"> </w:t>
            </w:r>
            <w:r>
              <w:t>处理框架、流处理框架、图计算</w:t>
            </w:r>
            <w:r>
              <w:rPr>
                <w:spacing w:val="7"/>
              </w:rPr>
              <w:t xml:space="preserve"> </w:t>
            </w:r>
            <w:r>
              <w:rPr>
                <w:spacing w:val="-1"/>
              </w:rPr>
              <w:t>框架、内存计算框架和批流融合</w:t>
            </w:r>
            <w:r>
              <w:rPr>
                <w:spacing w:val="6"/>
              </w:rPr>
              <w:t xml:space="preserve"> </w:t>
            </w:r>
            <w:r>
              <w:rPr>
                <w:spacing w:val="2"/>
              </w:rPr>
              <w:t>计算框架等的功能要求</w:t>
            </w:r>
          </w:p>
        </w:tc>
        <w:tc>
          <w:tcPr>
            <w:tcW w:w="2210" w:type="dxa"/>
            <w:vAlign w:val="top"/>
          </w:tcPr>
          <w:p w14:paraId="4AB0B5DA">
            <w:pPr>
              <w:spacing w:line="308" w:lineRule="auto"/>
              <w:rPr>
                <w:rFonts w:ascii="Arial"/>
                <w:sz w:val="21"/>
              </w:rPr>
            </w:pPr>
          </w:p>
          <w:p w14:paraId="087A88E6">
            <w:pPr>
              <w:spacing w:line="308" w:lineRule="auto"/>
              <w:rPr>
                <w:rFonts w:ascii="Arial"/>
                <w:sz w:val="21"/>
              </w:rPr>
            </w:pPr>
          </w:p>
          <w:p w14:paraId="135BD7E0">
            <w:pPr>
              <w:pStyle w:val="6"/>
              <w:spacing w:before="62" w:line="244" w:lineRule="auto"/>
              <w:ind w:left="44" w:right="32" w:firstLine="9"/>
              <w:jc w:val="both"/>
            </w:pPr>
            <w:r>
              <w:rPr>
                <w:spacing w:val="-1"/>
              </w:rPr>
              <w:t>适用于大数据存储与处理</w:t>
            </w:r>
            <w:r>
              <w:rPr>
                <w:spacing w:val="2"/>
              </w:rPr>
              <w:t xml:space="preserve"> 系统的设计、开发和应用</w:t>
            </w:r>
            <w:r>
              <w:rPr>
                <w:spacing w:val="9"/>
              </w:rPr>
              <w:t xml:space="preserve"> </w:t>
            </w:r>
            <w:r>
              <w:rPr>
                <w:spacing w:val="5"/>
              </w:rPr>
              <w:t>部署</w:t>
            </w:r>
          </w:p>
        </w:tc>
        <w:tc>
          <w:tcPr>
            <w:tcW w:w="869" w:type="dxa"/>
            <w:tcBorders>
              <w:right w:val="nil"/>
            </w:tcBorders>
            <w:vAlign w:val="top"/>
          </w:tcPr>
          <w:p w14:paraId="52F7934F">
            <w:pPr>
              <w:spacing w:line="285" w:lineRule="auto"/>
              <w:rPr>
                <w:rFonts w:ascii="Arial"/>
                <w:sz w:val="21"/>
              </w:rPr>
            </w:pPr>
          </w:p>
          <w:p w14:paraId="2A048DF9">
            <w:pPr>
              <w:spacing w:line="285" w:lineRule="auto"/>
              <w:rPr>
                <w:rFonts w:ascii="Arial"/>
                <w:sz w:val="21"/>
              </w:rPr>
            </w:pPr>
          </w:p>
          <w:p w14:paraId="6ED5335E">
            <w:pPr>
              <w:spacing w:line="286" w:lineRule="auto"/>
              <w:rPr>
                <w:rFonts w:ascii="Arial"/>
                <w:sz w:val="21"/>
              </w:rPr>
            </w:pPr>
          </w:p>
          <w:p w14:paraId="62D1B2C2">
            <w:pPr>
              <w:pStyle w:val="6"/>
              <w:spacing w:before="62" w:line="220" w:lineRule="auto"/>
              <w:ind w:left="44"/>
            </w:pPr>
            <w:r>
              <w:rPr>
                <w:spacing w:val="2"/>
              </w:rPr>
              <w:t>国家标准</w:t>
            </w:r>
          </w:p>
        </w:tc>
      </w:tr>
      <w:tr w14:paraId="49EE8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9" w:hRule="atLeast"/>
        </w:trPr>
        <w:tc>
          <w:tcPr>
            <w:tcW w:w="1180" w:type="dxa"/>
            <w:tcBorders>
              <w:left w:val="nil"/>
            </w:tcBorders>
            <w:vAlign w:val="top"/>
          </w:tcPr>
          <w:p w14:paraId="6E6CB7BB">
            <w:pPr>
              <w:spacing w:line="297" w:lineRule="auto"/>
              <w:rPr>
                <w:rFonts w:ascii="Arial"/>
                <w:sz w:val="21"/>
              </w:rPr>
            </w:pPr>
          </w:p>
          <w:p w14:paraId="6DC7FC39">
            <w:pPr>
              <w:pStyle w:val="6"/>
              <w:spacing w:before="62" w:line="224" w:lineRule="auto"/>
              <w:ind w:left="40"/>
            </w:pPr>
            <w:r>
              <w:rPr>
                <w:spacing w:val="-2"/>
              </w:rPr>
              <w:t>GB/T</w:t>
            </w:r>
            <w:r>
              <w:rPr>
                <w:spacing w:val="14"/>
              </w:rPr>
              <w:t xml:space="preserve"> </w:t>
            </w:r>
            <w:r>
              <w:rPr>
                <w:spacing w:val="-2"/>
              </w:rPr>
              <w:t>38633</w:t>
            </w:r>
          </w:p>
        </w:tc>
        <w:tc>
          <w:tcPr>
            <w:tcW w:w="1350" w:type="dxa"/>
            <w:vAlign w:val="top"/>
          </w:tcPr>
          <w:p w14:paraId="0CDDC6D8">
            <w:pPr>
              <w:pStyle w:val="6"/>
              <w:spacing w:before="84" w:line="249" w:lineRule="auto"/>
              <w:ind w:left="94" w:right="89"/>
              <w:jc w:val="both"/>
            </w:pPr>
            <w:r>
              <w:rPr>
                <w:spacing w:val="-2"/>
              </w:rPr>
              <w:t>信息技术大数</w:t>
            </w:r>
            <w:r>
              <w:rPr>
                <w:spacing w:val="3"/>
              </w:rPr>
              <w:t xml:space="preserve"> </w:t>
            </w:r>
            <w:r>
              <w:rPr>
                <w:spacing w:val="2"/>
              </w:rPr>
              <w:t xml:space="preserve">据系统运维和 </w:t>
            </w:r>
            <w:r>
              <w:rPr>
                <w:spacing w:val="1"/>
              </w:rPr>
              <w:t>管理功能要求</w:t>
            </w:r>
          </w:p>
        </w:tc>
        <w:tc>
          <w:tcPr>
            <w:tcW w:w="2720" w:type="dxa"/>
            <w:vAlign w:val="top"/>
          </w:tcPr>
          <w:p w14:paraId="188CE2B6">
            <w:pPr>
              <w:pStyle w:val="6"/>
              <w:spacing w:before="236" w:line="239" w:lineRule="auto"/>
              <w:ind w:left="54" w:right="35" w:hanging="29"/>
            </w:pPr>
            <w:r>
              <w:rPr>
                <w:spacing w:val="-1"/>
              </w:rPr>
              <w:t>该标准规定了大数据系统的运维</w:t>
            </w:r>
            <w:r>
              <w:rPr>
                <w:spacing w:val="2"/>
              </w:rPr>
              <w:t xml:space="preserve"> </w:t>
            </w:r>
            <w:r>
              <w:rPr>
                <w:spacing w:val="-2"/>
              </w:rPr>
              <w:t>和管理功能要求</w:t>
            </w:r>
          </w:p>
        </w:tc>
        <w:tc>
          <w:tcPr>
            <w:tcW w:w="2210" w:type="dxa"/>
            <w:vAlign w:val="top"/>
          </w:tcPr>
          <w:p w14:paraId="7D970DAD">
            <w:pPr>
              <w:pStyle w:val="6"/>
              <w:spacing w:before="105" w:line="245" w:lineRule="auto"/>
              <w:ind w:left="54" w:right="39"/>
              <w:jc w:val="both"/>
            </w:pPr>
            <w:r>
              <w:rPr>
                <w:spacing w:val="1"/>
              </w:rPr>
              <w:t>适用于大数据系统运维和</w:t>
            </w:r>
            <w:r>
              <w:rPr>
                <w:spacing w:val="3"/>
              </w:rPr>
              <w:t xml:space="preserve"> </w:t>
            </w:r>
            <w:r>
              <w:rPr>
                <w:spacing w:val="1"/>
              </w:rPr>
              <w:t>管理功能的设计、开发和</w:t>
            </w:r>
            <w:r>
              <w:rPr>
                <w:spacing w:val="3"/>
              </w:rPr>
              <w:t xml:space="preserve"> </w:t>
            </w:r>
            <w:r>
              <w:t>测试</w:t>
            </w:r>
          </w:p>
        </w:tc>
        <w:tc>
          <w:tcPr>
            <w:tcW w:w="869" w:type="dxa"/>
            <w:tcBorders>
              <w:right w:val="nil"/>
            </w:tcBorders>
            <w:vAlign w:val="top"/>
          </w:tcPr>
          <w:p w14:paraId="15C46C31">
            <w:pPr>
              <w:spacing w:line="292" w:lineRule="auto"/>
              <w:rPr>
                <w:rFonts w:ascii="Arial"/>
                <w:sz w:val="21"/>
              </w:rPr>
            </w:pPr>
          </w:p>
          <w:p w14:paraId="2D23C3C9">
            <w:pPr>
              <w:pStyle w:val="6"/>
              <w:spacing w:before="62" w:line="220" w:lineRule="auto"/>
              <w:ind w:left="44"/>
            </w:pPr>
            <w:r>
              <w:rPr>
                <w:spacing w:val="2"/>
              </w:rPr>
              <w:t>国家标准</w:t>
            </w:r>
          </w:p>
        </w:tc>
      </w:tr>
      <w:tr w14:paraId="39A34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3" w:hRule="atLeast"/>
        </w:trPr>
        <w:tc>
          <w:tcPr>
            <w:tcW w:w="1180" w:type="dxa"/>
            <w:tcBorders>
              <w:left w:val="nil"/>
            </w:tcBorders>
            <w:vAlign w:val="top"/>
          </w:tcPr>
          <w:p w14:paraId="1339764A">
            <w:pPr>
              <w:spacing w:line="457" w:lineRule="auto"/>
              <w:rPr>
                <w:rFonts w:ascii="Arial"/>
                <w:sz w:val="21"/>
              </w:rPr>
            </w:pPr>
          </w:p>
          <w:p w14:paraId="723E57DF">
            <w:pPr>
              <w:pStyle w:val="6"/>
              <w:spacing w:before="62" w:line="224" w:lineRule="auto"/>
              <w:ind w:left="40"/>
            </w:pPr>
            <w:r>
              <w:rPr>
                <w:spacing w:val="-1"/>
              </w:rPr>
              <w:t>GB/T38643</w:t>
            </w:r>
          </w:p>
        </w:tc>
        <w:tc>
          <w:tcPr>
            <w:tcW w:w="1350" w:type="dxa"/>
            <w:vAlign w:val="top"/>
          </w:tcPr>
          <w:p w14:paraId="6F25FD5C">
            <w:pPr>
              <w:pStyle w:val="6"/>
              <w:spacing w:before="245" w:line="255" w:lineRule="auto"/>
              <w:ind w:left="25" w:right="111" w:firstLine="69"/>
              <w:jc w:val="both"/>
            </w:pPr>
            <w:r>
              <w:rPr>
                <w:spacing w:val="-2"/>
              </w:rPr>
              <w:t>信息技术大数</w:t>
            </w:r>
            <w:r>
              <w:rPr>
                <w:spacing w:val="3"/>
              </w:rPr>
              <w:t xml:space="preserve"> </w:t>
            </w:r>
            <w:r>
              <w:rPr>
                <w:spacing w:val="10"/>
              </w:rPr>
              <w:t>据分析系统功</w:t>
            </w:r>
            <w:r>
              <w:rPr>
                <w:spacing w:val="2"/>
              </w:rPr>
              <w:t xml:space="preserve"> </w:t>
            </w:r>
            <w:r>
              <w:rPr>
                <w:spacing w:val="1"/>
              </w:rPr>
              <w:t>能测试要求</w:t>
            </w:r>
          </w:p>
        </w:tc>
        <w:tc>
          <w:tcPr>
            <w:tcW w:w="2720" w:type="dxa"/>
            <w:vAlign w:val="top"/>
          </w:tcPr>
          <w:p w14:paraId="55178E2C">
            <w:pPr>
              <w:pStyle w:val="6"/>
              <w:spacing w:before="127" w:line="253" w:lineRule="auto"/>
              <w:ind w:left="25"/>
              <w:jc w:val="both"/>
            </w:pPr>
            <w:r>
              <w:rPr>
                <w:spacing w:val="-4"/>
              </w:rPr>
              <w:t>该标准规定了大数据分析系统的</w:t>
            </w:r>
            <w:r>
              <w:t xml:space="preserve">  </w:t>
            </w:r>
            <w:r>
              <w:rPr>
                <w:spacing w:val="1"/>
              </w:rPr>
              <w:t>数据准备模块、分析支撑模块、</w:t>
            </w:r>
            <w:r>
              <w:rPr>
                <w:spacing w:val="9"/>
              </w:rPr>
              <w:t xml:space="preserve"> </w:t>
            </w:r>
            <w:r>
              <w:rPr>
                <w:spacing w:val="-4"/>
              </w:rPr>
              <w:t>数据分析模块、流程编排模块的</w:t>
            </w:r>
            <w:r>
              <w:t xml:space="preserve">  </w:t>
            </w:r>
            <w:r>
              <w:rPr>
                <w:spacing w:val="-3"/>
              </w:rPr>
              <w:t>功能测试要求</w:t>
            </w:r>
          </w:p>
        </w:tc>
        <w:tc>
          <w:tcPr>
            <w:tcW w:w="2210" w:type="dxa"/>
            <w:vAlign w:val="top"/>
          </w:tcPr>
          <w:p w14:paraId="52ADFF35">
            <w:pPr>
              <w:spacing w:line="332" w:lineRule="auto"/>
              <w:rPr>
                <w:rFonts w:ascii="Arial"/>
                <w:sz w:val="21"/>
              </w:rPr>
            </w:pPr>
          </w:p>
          <w:p w14:paraId="479C9C33">
            <w:pPr>
              <w:pStyle w:val="6"/>
              <w:spacing w:before="62" w:line="249" w:lineRule="auto"/>
              <w:ind w:left="144" w:right="37" w:hanging="90"/>
            </w:pPr>
            <w:r>
              <w:rPr>
                <w:spacing w:val="1"/>
              </w:rPr>
              <w:t>适用于指导大数据分析系</w:t>
            </w:r>
            <w:r>
              <w:rPr>
                <w:spacing w:val="5"/>
              </w:rPr>
              <w:t xml:space="preserve"> </w:t>
            </w:r>
            <w:r>
              <w:rPr>
                <w:spacing w:val="-2"/>
              </w:rPr>
              <w:t>统的设计、开发和交付</w:t>
            </w:r>
          </w:p>
        </w:tc>
        <w:tc>
          <w:tcPr>
            <w:tcW w:w="869" w:type="dxa"/>
            <w:tcBorders>
              <w:right w:val="nil"/>
            </w:tcBorders>
            <w:vAlign w:val="top"/>
          </w:tcPr>
          <w:p w14:paraId="37C26F9D">
            <w:pPr>
              <w:spacing w:line="452" w:lineRule="auto"/>
              <w:rPr>
                <w:rFonts w:ascii="Arial"/>
                <w:sz w:val="21"/>
              </w:rPr>
            </w:pPr>
          </w:p>
          <w:p w14:paraId="15FCB901">
            <w:pPr>
              <w:pStyle w:val="6"/>
              <w:spacing w:before="62" w:line="220" w:lineRule="auto"/>
              <w:ind w:left="44"/>
            </w:pPr>
            <w:r>
              <w:rPr>
                <w:spacing w:val="2"/>
              </w:rPr>
              <w:t>国家标准</w:t>
            </w:r>
          </w:p>
        </w:tc>
      </w:tr>
    </w:tbl>
    <w:p w14:paraId="51AF7F6B">
      <w:pPr>
        <w:rPr>
          <w:rFonts w:ascii="Arial"/>
          <w:sz w:val="21"/>
        </w:rPr>
      </w:pPr>
    </w:p>
    <w:p w14:paraId="4519E1D1">
      <w:pPr>
        <w:rPr>
          <w:rFonts w:ascii="Arial" w:hAnsi="Arial" w:eastAsia="Arial" w:cs="Arial"/>
          <w:sz w:val="21"/>
          <w:szCs w:val="21"/>
        </w:rPr>
        <w:sectPr>
          <w:pgSz w:w="10290" w:h="13320"/>
          <w:pgMar w:top="400" w:right="619" w:bottom="400" w:left="1069" w:header="0" w:footer="0" w:gutter="0"/>
          <w:cols w:space="720" w:num="1"/>
        </w:sectPr>
      </w:pPr>
    </w:p>
    <w:p w14:paraId="6431CFB4">
      <w:pPr>
        <w:pStyle w:val="2"/>
        <w:spacing w:before="77" w:line="219" w:lineRule="auto"/>
        <w:rPr>
          <w:sz w:val="19"/>
          <w:szCs w:val="19"/>
        </w:rPr>
      </w:pPr>
      <w:bookmarkStart w:id="700" w:name="bookmark685"/>
      <w:bookmarkEnd w:id="700"/>
      <w:r>
        <w:rPr>
          <w:rFonts w:ascii="Times New Roman" w:hAnsi="Times New Roman" w:eastAsia="Times New Roman" w:cs="Times New Roman"/>
          <w:b/>
          <w:bCs/>
          <w:spacing w:val="3"/>
          <w:position w:val="-4"/>
          <w:sz w:val="22"/>
          <w:szCs w:val="22"/>
        </w:rPr>
        <w:t xml:space="preserve">426           </w:t>
      </w:r>
      <w:r>
        <w:rPr>
          <w:spacing w:val="3"/>
          <w:sz w:val="19"/>
          <w:szCs w:val="19"/>
        </w:rPr>
        <w:t>信息系统监理师教程(第2版)</w:t>
      </w:r>
    </w:p>
    <w:p w14:paraId="46E5D477">
      <w:pPr>
        <w:spacing w:before="92"/>
      </w:pPr>
    </w:p>
    <w:tbl>
      <w:tblPr>
        <w:tblStyle w:val="5"/>
        <w:tblW w:w="8391"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0"/>
        <w:gridCol w:w="1340"/>
        <w:gridCol w:w="2720"/>
        <w:gridCol w:w="2210"/>
        <w:gridCol w:w="941"/>
      </w:tblGrid>
      <w:tr w14:paraId="07BC2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8391" w:type="dxa"/>
            <w:gridSpan w:val="5"/>
            <w:tcBorders>
              <w:top w:val="nil"/>
              <w:left w:val="nil"/>
              <w:right w:val="nil"/>
            </w:tcBorders>
            <w:vAlign w:val="top"/>
          </w:tcPr>
          <w:p w14:paraId="45F00544">
            <w:pPr>
              <w:pStyle w:val="6"/>
              <w:spacing w:line="220" w:lineRule="auto"/>
              <w:jc w:val="right"/>
            </w:pPr>
            <w:r>
              <w:rPr>
                <w:spacing w:val="10"/>
              </w:rPr>
              <w:t>(续表)</w:t>
            </w:r>
          </w:p>
        </w:tc>
      </w:tr>
      <w:tr w14:paraId="7DCAE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180" w:type="dxa"/>
            <w:tcBorders>
              <w:left w:val="nil"/>
            </w:tcBorders>
            <w:vAlign w:val="top"/>
          </w:tcPr>
          <w:p w14:paraId="189A5977">
            <w:pPr>
              <w:pStyle w:val="6"/>
              <w:spacing w:before="75" w:line="220" w:lineRule="auto"/>
              <w:ind w:left="312"/>
            </w:pPr>
            <w:r>
              <w:rPr>
                <w:b/>
                <w:bCs/>
                <w:spacing w:val="-4"/>
              </w:rPr>
              <w:t>标准号</w:t>
            </w:r>
          </w:p>
        </w:tc>
        <w:tc>
          <w:tcPr>
            <w:tcW w:w="1340" w:type="dxa"/>
            <w:vAlign w:val="top"/>
          </w:tcPr>
          <w:p w14:paraId="66110714">
            <w:pPr>
              <w:pStyle w:val="6"/>
              <w:spacing w:before="75" w:line="220" w:lineRule="auto"/>
              <w:ind w:left="297"/>
            </w:pPr>
            <w:r>
              <w:rPr>
                <w:b/>
                <w:bCs/>
                <w:spacing w:val="-4"/>
              </w:rPr>
              <w:t>标准名称</w:t>
            </w:r>
          </w:p>
        </w:tc>
        <w:tc>
          <w:tcPr>
            <w:tcW w:w="2720" w:type="dxa"/>
            <w:vAlign w:val="top"/>
          </w:tcPr>
          <w:p w14:paraId="5092562A">
            <w:pPr>
              <w:pStyle w:val="6"/>
              <w:spacing w:before="74" w:line="219" w:lineRule="auto"/>
              <w:ind w:left="1017"/>
            </w:pPr>
            <w:r>
              <w:rPr>
                <w:b/>
                <w:bCs/>
                <w:spacing w:val="-4"/>
              </w:rPr>
              <w:t>主要内容</w:t>
            </w:r>
          </w:p>
        </w:tc>
        <w:tc>
          <w:tcPr>
            <w:tcW w:w="2210" w:type="dxa"/>
            <w:vAlign w:val="top"/>
          </w:tcPr>
          <w:p w14:paraId="2ED8325F">
            <w:pPr>
              <w:pStyle w:val="6"/>
              <w:spacing w:before="75" w:line="220" w:lineRule="auto"/>
              <w:ind w:left="717"/>
            </w:pPr>
            <w:r>
              <w:rPr>
                <w:b/>
                <w:bCs/>
                <w:spacing w:val="-4"/>
              </w:rPr>
              <w:t>适用范围</w:t>
            </w:r>
          </w:p>
        </w:tc>
        <w:tc>
          <w:tcPr>
            <w:tcW w:w="941" w:type="dxa"/>
            <w:tcBorders>
              <w:right w:val="nil"/>
            </w:tcBorders>
            <w:vAlign w:val="top"/>
          </w:tcPr>
          <w:p w14:paraId="047691BA">
            <w:pPr>
              <w:pStyle w:val="6"/>
              <w:spacing w:before="74" w:line="219" w:lineRule="auto"/>
              <w:ind w:left="237"/>
            </w:pPr>
            <w:r>
              <w:rPr>
                <w:b/>
                <w:bCs/>
                <w:spacing w:val="-4"/>
              </w:rPr>
              <w:t>类别</w:t>
            </w:r>
          </w:p>
        </w:tc>
      </w:tr>
      <w:tr w14:paraId="62D27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8" w:hRule="atLeast"/>
        </w:trPr>
        <w:tc>
          <w:tcPr>
            <w:tcW w:w="1180" w:type="dxa"/>
            <w:tcBorders>
              <w:left w:val="nil"/>
            </w:tcBorders>
            <w:vAlign w:val="top"/>
          </w:tcPr>
          <w:p w14:paraId="477F136F">
            <w:pPr>
              <w:spacing w:line="272" w:lineRule="auto"/>
              <w:rPr>
                <w:rFonts w:ascii="Arial"/>
                <w:sz w:val="21"/>
              </w:rPr>
            </w:pPr>
          </w:p>
          <w:p w14:paraId="79E0A084">
            <w:pPr>
              <w:spacing w:line="272" w:lineRule="auto"/>
              <w:rPr>
                <w:rFonts w:ascii="Arial"/>
                <w:sz w:val="21"/>
              </w:rPr>
            </w:pPr>
          </w:p>
          <w:p w14:paraId="5E0D9BE8">
            <w:pPr>
              <w:spacing w:line="272" w:lineRule="auto"/>
              <w:rPr>
                <w:rFonts w:ascii="Arial"/>
                <w:sz w:val="21"/>
              </w:rPr>
            </w:pPr>
          </w:p>
          <w:p w14:paraId="6350E243">
            <w:pPr>
              <w:pStyle w:val="6"/>
              <w:spacing w:before="61" w:line="224" w:lineRule="auto"/>
              <w:jc w:val="right"/>
            </w:pPr>
            <w:r>
              <w:rPr>
                <w:spacing w:val="-4"/>
              </w:rPr>
              <w:t>GB/T</w:t>
            </w:r>
            <w:r>
              <w:rPr>
                <w:spacing w:val="38"/>
              </w:rPr>
              <w:t xml:space="preserve"> </w:t>
            </w:r>
            <w:r>
              <w:rPr>
                <w:spacing w:val="-4"/>
              </w:rPr>
              <w:t>38664.1</w:t>
            </w:r>
          </w:p>
        </w:tc>
        <w:tc>
          <w:tcPr>
            <w:tcW w:w="1340" w:type="dxa"/>
            <w:vAlign w:val="top"/>
          </w:tcPr>
          <w:p w14:paraId="1763F87D">
            <w:pPr>
              <w:spacing w:line="414" w:lineRule="auto"/>
              <w:rPr>
                <w:rFonts w:ascii="Arial"/>
                <w:sz w:val="21"/>
              </w:rPr>
            </w:pPr>
          </w:p>
          <w:p w14:paraId="08C0E652">
            <w:pPr>
              <w:pStyle w:val="6"/>
              <w:spacing w:before="62" w:line="259" w:lineRule="auto"/>
              <w:ind w:left="44"/>
            </w:pPr>
            <w:r>
              <w:rPr>
                <w:spacing w:val="-3"/>
              </w:rPr>
              <w:t>信息技术大数</w:t>
            </w:r>
            <w:r>
              <w:rPr>
                <w:spacing w:val="2"/>
              </w:rPr>
              <w:t xml:space="preserve">  </w:t>
            </w:r>
            <w:r>
              <w:rPr>
                <w:spacing w:val="-2"/>
              </w:rPr>
              <w:t>据政务数据开</w:t>
            </w:r>
            <w:r>
              <w:t xml:space="preserve">  </w:t>
            </w:r>
            <w:r>
              <w:rPr>
                <w:spacing w:val="-11"/>
              </w:rPr>
              <w:t>放</w:t>
            </w:r>
            <w:r>
              <w:rPr>
                <w:spacing w:val="-38"/>
              </w:rPr>
              <w:t xml:space="preserve"> </w:t>
            </w:r>
            <w:r>
              <w:rPr>
                <w:spacing w:val="-11"/>
              </w:rPr>
              <w:t>共</w:t>
            </w:r>
            <w:r>
              <w:rPr>
                <w:spacing w:val="-37"/>
              </w:rPr>
              <w:t xml:space="preserve"> </w:t>
            </w:r>
            <w:r>
              <w:rPr>
                <w:spacing w:val="-11"/>
              </w:rPr>
              <w:t>享</w:t>
            </w:r>
            <w:r>
              <w:rPr>
                <w:spacing w:val="-37"/>
              </w:rPr>
              <w:t xml:space="preserve"> </w:t>
            </w:r>
            <w:r>
              <w:rPr>
                <w:spacing w:val="-11"/>
              </w:rPr>
              <w:t>第</w:t>
            </w:r>
            <w:r>
              <w:rPr>
                <w:spacing w:val="-23"/>
              </w:rPr>
              <w:t xml:space="preserve"> </w:t>
            </w:r>
            <w:r>
              <w:rPr>
                <w:spacing w:val="-11"/>
              </w:rPr>
              <w:t>1</w:t>
            </w:r>
            <w:r>
              <w:rPr>
                <w:spacing w:val="-35"/>
              </w:rPr>
              <w:t xml:space="preserve"> </w:t>
            </w:r>
            <w:r>
              <w:rPr>
                <w:spacing w:val="-11"/>
              </w:rPr>
              <w:t>部</w:t>
            </w:r>
            <w:r>
              <w:t xml:space="preserve"> </w:t>
            </w:r>
            <w:r>
              <w:rPr>
                <w:spacing w:val="5"/>
              </w:rPr>
              <w:t>分：总则</w:t>
            </w:r>
          </w:p>
        </w:tc>
        <w:tc>
          <w:tcPr>
            <w:tcW w:w="2720" w:type="dxa"/>
            <w:vAlign w:val="top"/>
          </w:tcPr>
          <w:p w14:paraId="128B5AA8">
            <w:pPr>
              <w:spacing w:line="275" w:lineRule="auto"/>
              <w:rPr>
                <w:rFonts w:ascii="Arial"/>
                <w:sz w:val="21"/>
              </w:rPr>
            </w:pPr>
          </w:p>
          <w:p w14:paraId="3E778107">
            <w:pPr>
              <w:pStyle w:val="6"/>
              <w:spacing w:before="62" w:line="264" w:lineRule="auto"/>
              <w:ind w:left="64"/>
              <w:jc w:val="both"/>
            </w:pPr>
            <w:r>
              <w:rPr>
                <w:spacing w:val="-1"/>
              </w:rPr>
              <w:t>第1部分是GB/T 38664其他各部</w:t>
            </w:r>
            <w:r>
              <w:rPr>
                <w:spacing w:val="2"/>
              </w:rPr>
              <w:t xml:space="preserve">  </w:t>
            </w:r>
            <w:r>
              <w:rPr>
                <w:spacing w:val="-2"/>
              </w:rPr>
              <w:t>分的引导，该部分从总体结构和</w:t>
            </w:r>
            <w:r>
              <w:rPr>
                <w:spacing w:val="10"/>
              </w:rPr>
              <w:t xml:space="preserve"> </w:t>
            </w:r>
            <w:r>
              <w:rPr>
                <w:spacing w:val="-2"/>
              </w:rPr>
              <w:t>管理角度规定了政务数据开放共</w:t>
            </w:r>
            <w:r>
              <w:rPr>
                <w:spacing w:val="8"/>
              </w:rPr>
              <w:t xml:space="preserve"> </w:t>
            </w:r>
            <w:r>
              <w:rPr>
                <w:spacing w:val="-2"/>
              </w:rPr>
              <w:t>享的相关术语和定义、概述、系</w:t>
            </w:r>
            <w:r>
              <w:rPr>
                <w:spacing w:val="12"/>
              </w:rPr>
              <w:t xml:space="preserve"> </w:t>
            </w:r>
            <w:r>
              <w:t>统参考架构和总体要求</w:t>
            </w:r>
          </w:p>
        </w:tc>
        <w:tc>
          <w:tcPr>
            <w:tcW w:w="2210" w:type="dxa"/>
            <w:vAlign w:val="top"/>
          </w:tcPr>
          <w:p w14:paraId="6D356BD0">
            <w:pPr>
              <w:pStyle w:val="6"/>
              <w:spacing w:before="57" w:line="261" w:lineRule="auto"/>
              <w:ind w:left="5" w:firstLine="48"/>
              <w:jc w:val="both"/>
            </w:pPr>
            <w:r>
              <w:rPr>
                <w:spacing w:val="-8"/>
              </w:rPr>
              <w:t>本部分适用于参与或实施</w:t>
            </w:r>
            <w:r>
              <w:rPr>
                <w:spacing w:val="2"/>
              </w:rPr>
              <w:t xml:space="preserve">  </w:t>
            </w:r>
            <w:r>
              <w:rPr>
                <w:spacing w:val="-3"/>
              </w:rPr>
              <w:t>政务数据开放共享的机构</w:t>
            </w:r>
            <w:r>
              <w:t xml:space="preserve">  </w:t>
            </w:r>
            <w:r>
              <w:rPr>
                <w:spacing w:val="6"/>
              </w:rPr>
              <w:t>从事开放共享工程规划、</w:t>
            </w:r>
            <w:r>
              <w:rPr>
                <w:spacing w:val="2"/>
              </w:rPr>
              <w:t xml:space="preserve"> </w:t>
            </w:r>
            <w:r>
              <w:rPr>
                <w:spacing w:val="-8"/>
              </w:rPr>
              <w:t>建设、验收和运营等活动，</w:t>
            </w:r>
            <w:r>
              <w:rPr>
                <w:spacing w:val="9"/>
              </w:rPr>
              <w:t xml:space="preserve"> </w:t>
            </w:r>
            <w:r>
              <w:rPr>
                <w:spacing w:val="-2"/>
              </w:rPr>
              <w:t>为政府机构制定政务数据</w:t>
            </w:r>
            <w:r>
              <w:rPr>
                <w:spacing w:val="3"/>
              </w:rPr>
              <w:t xml:space="preserve">  </w:t>
            </w:r>
            <w:r>
              <w:rPr>
                <w:spacing w:val="-4"/>
              </w:rPr>
              <w:t>开放共享策略的实施提供</w:t>
            </w:r>
            <w:r>
              <w:rPr>
                <w:spacing w:val="4"/>
              </w:rPr>
              <w:t xml:space="preserve">  </w:t>
            </w:r>
            <w:r>
              <w:rPr>
                <w:spacing w:val="8"/>
              </w:rPr>
              <w:t>支持</w:t>
            </w:r>
          </w:p>
        </w:tc>
        <w:tc>
          <w:tcPr>
            <w:tcW w:w="941" w:type="dxa"/>
            <w:tcBorders>
              <w:right w:val="nil"/>
            </w:tcBorders>
            <w:vAlign w:val="top"/>
          </w:tcPr>
          <w:p w14:paraId="1E2858BA">
            <w:pPr>
              <w:spacing w:line="270" w:lineRule="auto"/>
              <w:rPr>
                <w:rFonts w:ascii="Arial"/>
                <w:sz w:val="21"/>
              </w:rPr>
            </w:pPr>
          </w:p>
          <w:p w14:paraId="1D2D1D49">
            <w:pPr>
              <w:spacing w:line="270" w:lineRule="auto"/>
              <w:rPr>
                <w:rFonts w:ascii="Arial"/>
                <w:sz w:val="21"/>
              </w:rPr>
            </w:pPr>
          </w:p>
          <w:p w14:paraId="7F762262">
            <w:pPr>
              <w:spacing w:line="271" w:lineRule="auto"/>
              <w:rPr>
                <w:rFonts w:ascii="Arial"/>
                <w:sz w:val="21"/>
              </w:rPr>
            </w:pPr>
          </w:p>
          <w:p w14:paraId="17B3B87E">
            <w:pPr>
              <w:pStyle w:val="6"/>
              <w:spacing w:before="62" w:line="220" w:lineRule="auto"/>
              <w:ind w:left="44"/>
            </w:pPr>
            <w:r>
              <w:rPr>
                <w:spacing w:val="2"/>
              </w:rPr>
              <w:t>国家标准</w:t>
            </w:r>
          </w:p>
        </w:tc>
      </w:tr>
      <w:tr w14:paraId="2CFC0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8" w:hRule="atLeast"/>
        </w:trPr>
        <w:tc>
          <w:tcPr>
            <w:tcW w:w="1180" w:type="dxa"/>
            <w:tcBorders>
              <w:left w:val="nil"/>
            </w:tcBorders>
            <w:vAlign w:val="top"/>
          </w:tcPr>
          <w:p w14:paraId="4A079406">
            <w:pPr>
              <w:spacing w:line="272" w:lineRule="auto"/>
              <w:rPr>
                <w:rFonts w:ascii="Arial"/>
                <w:sz w:val="21"/>
              </w:rPr>
            </w:pPr>
          </w:p>
          <w:p w14:paraId="21B57E02">
            <w:pPr>
              <w:spacing w:line="273" w:lineRule="auto"/>
              <w:rPr>
                <w:rFonts w:ascii="Arial"/>
                <w:sz w:val="21"/>
              </w:rPr>
            </w:pPr>
          </w:p>
          <w:p w14:paraId="27998AAF">
            <w:pPr>
              <w:spacing w:line="273" w:lineRule="auto"/>
              <w:rPr>
                <w:rFonts w:ascii="Arial"/>
                <w:sz w:val="21"/>
              </w:rPr>
            </w:pPr>
          </w:p>
          <w:p w14:paraId="33433BC6">
            <w:pPr>
              <w:pStyle w:val="6"/>
              <w:spacing w:before="61" w:line="224" w:lineRule="auto"/>
              <w:ind w:left="49"/>
            </w:pPr>
            <w:r>
              <w:rPr>
                <w:spacing w:val="-1"/>
              </w:rPr>
              <w:t>GB/T38664.2</w:t>
            </w:r>
          </w:p>
        </w:tc>
        <w:tc>
          <w:tcPr>
            <w:tcW w:w="1340" w:type="dxa"/>
            <w:vAlign w:val="top"/>
          </w:tcPr>
          <w:p w14:paraId="6032A85C">
            <w:pPr>
              <w:spacing w:line="426" w:lineRule="auto"/>
              <w:rPr>
                <w:rFonts w:ascii="Arial"/>
                <w:sz w:val="21"/>
              </w:rPr>
            </w:pPr>
          </w:p>
          <w:p w14:paraId="74DACD26">
            <w:pPr>
              <w:pStyle w:val="6"/>
              <w:spacing w:before="61" w:line="255" w:lineRule="auto"/>
              <w:ind w:left="55" w:right="14"/>
            </w:pPr>
            <w:r>
              <w:rPr>
                <w:spacing w:val="-2"/>
              </w:rPr>
              <w:t>信息技术大数</w:t>
            </w:r>
            <w:r>
              <w:rPr>
                <w:spacing w:val="1"/>
              </w:rPr>
              <w:t xml:space="preserve">  </w:t>
            </w:r>
            <w:r>
              <w:rPr>
                <w:spacing w:val="-2"/>
              </w:rPr>
              <w:t>据政务数据开</w:t>
            </w:r>
            <w:r>
              <w:rPr>
                <w:spacing w:val="2"/>
              </w:rPr>
              <w:t xml:space="preserve">  </w:t>
            </w:r>
            <w:r>
              <w:rPr>
                <w:spacing w:val="35"/>
              </w:rPr>
              <w:t>放共享第2部</w:t>
            </w:r>
            <w:r>
              <w:rPr>
                <w:spacing w:val="4"/>
              </w:rPr>
              <w:t xml:space="preserve"> </w:t>
            </w:r>
            <w:r>
              <w:rPr>
                <w:spacing w:val="-2"/>
              </w:rPr>
              <w:t>分：基本要求</w:t>
            </w:r>
          </w:p>
        </w:tc>
        <w:tc>
          <w:tcPr>
            <w:tcW w:w="2720" w:type="dxa"/>
            <w:vAlign w:val="top"/>
          </w:tcPr>
          <w:p w14:paraId="2E2459C8">
            <w:pPr>
              <w:pStyle w:val="6"/>
              <w:spacing w:before="210" w:line="260" w:lineRule="auto"/>
              <w:ind w:left="24" w:firstLine="48"/>
            </w:pPr>
            <w:r>
              <w:rPr>
                <w:spacing w:val="-7"/>
              </w:rPr>
              <w:t>本部分规定了政务数据开放共享</w:t>
            </w:r>
            <w:r>
              <w:rPr>
                <w:spacing w:val="2"/>
              </w:rPr>
              <w:t xml:space="preserve"> </w:t>
            </w:r>
            <w:r>
              <w:rPr>
                <w:spacing w:val="-5"/>
              </w:rPr>
              <w:t>的网络设施、数据资源、平台设</w:t>
            </w:r>
            <w:r>
              <w:rPr>
                <w:spacing w:val="4"/>
              </w:rPr>
              <w:t xml:space="preserve">  </w:t>
            </w:r>
            <w:r>
              <w:rPr>
                <w:spacing w:val="-7"/>
              </w:rPr>
              <w:t>施和安全保障的基本要求。第2</w:t>
            </w:r>
            <w:r>
              <w:rPr>
                <w:spacing w:val="2"/>
              </w:rPr>
              <w:t xml:space="preserve">   </w:t>
            </w:r>
            <w:r>
              <w:rPr>
                <w:spacing w:val="-4"/>
              </w:rPr>
              <w:t>部分是对第1部分中的政务数据</w:t>
            </w:r>
            <w:r>
              <w:t xml:space="preserve">   </w:t>
            </w:r>
            <w:r>
              <w:rPr>
                <w:spacing w:val="1"/>
              </w:rPr>
              <w:t>开放共享的网络、数据、平台、</w:t>
            </w:r>
            <w:r>
              <w:rPr>
                <w:spacing w:val="10"/>
              </w:rPr>
              <w:t xml:space="preserve"> </w:t>
            </w:r>
            <w:r>
              <w:rPr>
                <w:spacing w:val="-2"/>
              </w:rPr>
              <w:t>安全要求进行细化</w:t>
            </w:r>
          </w:p>
        </w:tc>
        <w:tc>
          <w:tcPr>
            <w:tcW w:w="2210" w:type="dxa"/>
            <w:vAlign w:val="top"/>
          </w:tcPr>
          <w:p w14:paraId="3FDE2163">
            <w:pPr>
              <w:pStyle w:val="6"/>
              <w:spacing w:before="72" w:line="259" w:lineRule="auto"/>
              <w:ind w:left="5" w:firstLine="48"/>
              <w:jc w:val="both"/>
            </w:pPr>
            <w:r>
              <w:rPr>
                <w:spacing w:val="-8"/>
              </w:rPr>
              <w:t>本部分适用于政务部门实</w:t>
            </w:r>
            <w:r>
              <w:rPr>
                <w:spacing w:val="2"/>
              </w:rPr>
              <w:t xml:space="preserve">  </w:t>
            </w:r>
            <w:r>
              <w:rPr>
                <w:spacing w:val="-8"/>
              </w:rPr>
              <w:t>施政务数据开放共享工程，</w:t>
            </w:r>
            <w:r>
              <w:rPr>
                <w:spacing w:val="9"/>
              </w:rPr>
              <w:t xml:space="preserve"> </w:t>
            </w:r>
            <w:r>
              <w:rPr>
                <w:spacing w:val="-2"/>
              </w:rPr>
              <w:t>为企事业单位、其他组织</w:t>
            </w:r>
            <w:r>
              <w:rPr>
                <w:spacing w:val="2"/>
              </w:rPr>
              <w:t xml:space="preserve">  </w:t>
            </w:r>
            <w:r>
              <w:rPr>
                <w:spacing w:val="-4"/>
              </w:rPr>
              <w:t>参与公共数据开放共享工</w:t>
            </w:r>
            <w:r>
              <w:rPr>
                <w:spacing w:val="4"/>
              </w:rPr>
              <w:t xml:space="preserve">  </w:t>
            </w:r>
            <w:r>
              <w:rPr>
                <w:spacing w:val="-3"/>
              </w:rPr>
              <w:t>程建设、验收和运营提供</w:t>
            </w:r>
            <w:r>
              <w:t xml:space="preserve">  </w:t>
            </w:r>
            <w:r>
              <w:rPr>
                <w:spacing w:val="-2"/>
              </w:rPr>
              <w:t>参考，规范引导政务数据</w:t>
            </w:r>
            <w:r>
              <w:rPr>
                <w:spacing w:val="3"/>
              </w:rPr>
              <w:t xml:space="preserve">  </w:t>
            </w:r>
            <w:r>
              <w:rPr>
                <w:spacing w:val="-1"/>
              </w:rPr>
              <w:t>开放共享和开发利用</w:t>
            </w:r>
          </w:p>
        </w:tc>
        <w:tc>
          <w:tcPr>
            <w:tcW w:w="941" w:type="dxa"/>
            <w:tcBorders>
              <w:right w:val="nil"/>
            </w:tcBorders>
            <w:vAlign w:val="top"/>
          </w:tcPr>
          <w:p w14:paraId="00F090F6">
            <w:pPr>
              <w:spacing w:line="271" w:lineRule="auto"/>
              <w:rPr>
                <w:rFonts w:ascii="Arial"/>
                <w:sz w:val="21"/>
              </w:rPr>
            </w:pPr>
          </w:p>
          <w:p w14:paraId="6A4D2889">
            <w:pPr>
              <w:spacing w:line="271" w:lineRule="auto"/>
              <w:rPr>
                <w:rFonts w:ascii="Arial"/>
                <w:sz w:val="21"/>
              </w:rPr>
            </w:pPr>
          </w:p>
          <w:p w14:paraId="48372CB4">
            <w:pPr>
              <w:spacing w:line="271" w:lineRule="auto"/>
              <w:rPr>
                <w:rFonts w:ascii="Arial"/>
                <w:sz w:val="21"/>
              </w:rPr>
            </w:pPr>
          </w:p>
          <w:p w14:paraId="02C8482A">
            <w:pPr>
              <w:pStyle w:val="6"/>
              <w:spacing w:before="62" w:line="220" w:lineRule="auto"/>
              <w:ind w:left="44"/>
            </w:pPr>
            <w:r>
              <w:rPr>
                <w:spacing w:val="2"/>
              </w:rPr>
              <w:t>国家标准</w:t>
            </w:r>
          </w:p>
        </w:tc>
      </w:tr>
      <w:tr w14:paraId="49E0C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1180" w:type="dxa"/>
            <w:tcBorders>
              <w:left w:val="nil"/>
            </w:tcBorders>
            <w:vAlign w:val="top"/>
          </w:tcPr>
          <w:p w14:paraId="60F16992">
            <w:pPr>
              <w:spacing w:line="270" w:lineRule="auto"/>
              <w:rPr>
                <w:rFonts w:ascii="Arial"/>
                <w:sz w:val="21"/>
              </w:rPr>
            </w:pPr>
          </w:p>
          <w:p w14:paraId="3A752563">
            <w:pPr>
              <w:spacing w:line="271" w:lineRule="auto"/>
              <w:rPr>
                <w:rFonts w:ascii="Arial"/>
                <w:sz w:val="21"/>
              </w:rPr>
            </w:pPr>
          </w:p>
          <w:p w14:paraId="7FA4B367">
            <w:pPr>
              <w:pStyle w:val="6"/>
              <w:spacing w:before="62" w:line="224" w:lineRule="auto"/>
              <w:ind w:left="49"/>
            </w:pPr>
            <w:r>
              <w:rPr>
                <w:spacing w:val="-9"/>
              </w:rPr>
              <w:t>GB/T</w:t>
            </w:r>
            <w:r>
              <w:rPr>
                <w:spacing w:val="1"/>
              </w:rPr>
              <w:t xml:space="preserve"> </w:t>
            </w:r>
            <w:r>
              <w:rPr>
                <w:spacing w:val="-9"/>
              </w:rPr>
              <w:t>38664.3</w:t>
            </w:r>
          </w:p>
        </w:tc>
        <w:tc>
          <w:tcPr>
            <w:tcW w:w="1340" w:type="dxa"/>
            <w:vAlign w:val="top"/>
          </w:tcPr>
          <w:p w14:paraId="7C20FBF8">
            <w:pPr>
              <w:pStyle w:val="6"/>
              <w:spacing w:before="61" w:line="254" w:lineRule="auto"/>
              <w:ind w:left="44" w:right="14"/>
            </w:pPr>
            <w:r>
              <w:rPr>
                <w:spacing w:val="-2"/>
              </w:rPr>
              <w:t>信息技术大数</w:t>
            </w:r>
            <w:r>
              <w:rPr>
                <w:spacing w:val="1"/>
              </w:rPr>
              <w:t xml:space="preserve">  </w:t>
            </w:r>
            <w:r>
              <w:rPr>
                <w:spacing w:val="-2"/>
              </w:rPr>
              <w:t>据政务数据开</w:t>
            </w:r>
            <w:r>
              <w:rPr>
                <w:spacing w:val="2"/>
              </w:rPr>
              <w:t xml:space="preserve">  </w:t>
            </w:r>
            <w:r>
              <w:rPr>
                <w:spacing w:val="-9"/>
              </w:rPr>
              <w:t>放</w:t>
            </w:r>
            <w:r>
              <w:rPr>
                <w:spacing w:val="-40"/>
              </w:rPr>
              <w:t xml:space="preserve"> </w:t>
            </w:r>
            <w:r>
              <w:rPr>
                <w:spacing w:val="-9"/>
              </w:rPr>
              <w:t>共</w:t>
            </w:r>
            <w:r>
              <w:rPr>
                <w:spacing w:val="-40"/>
              </w:rPr>
              <w:t xml:space="preserve"> </w:t>
            </w:r>
            <w:r>
              <w:rPr>
                <w:spacing w:val="-9"/>
              </w:rPr>
              <w:t>享</w:t>
            </w:r>
            <w:r>
              <w:rPr>
                <w:spacing w:val="-41"/>
              </w:rPr>
              <w:t xml:space="preserve"> </w:t>
            </w:r>
            <w:r>
              <w:rPr>
                <w:spacing w:val="-9"/>
              </w:rPr>
              <w:t>第</w:t>
            </w:r>
            <w:r>
              <w:rPr>
                <w:spacing w:val="-37"/>
              </w:rPr>
              <w:t xml:space="preserve"> </w:t>
            </w:r>
            <w:r>
              <w:rPr>
                <w:spacing w:val="-9"/>
              </w:rPr>
              <w:t>3</w:t>
            </w:r>
            <w:r>
              <w:rPr>
                <w:spacing w:val="-39"/>
              </w:rPr>
              <w:t xml:space="preserve"> </w:t>
            </w:r>
            <w:r>
              <w:rPr>
                <w:spacing w:val="-9"/>
              </w:rPr>
              <w:t>部</w:t>
            </w:r>
            <w:r>
              <w:t xml:space="preserve"> </w:t>
            </w:r>
            <w:r>
              <w:rPr>
                <w:spacing w:val="1"/>
              </w:rPr>
              <w:t>分：开放程度</w:t>
            </w:r>
            <w:r>
              <w:rPr>
                <w:spacing w:val="2"/>
              </w:rPr>
              <w:t xml:space="preserve">  </w:t>
            </w:r>
            <w:r>
              <w:rPr>
                <w:spacing w:val="-2"/>
              </w:rPr>
              <w:t>评价</w:t>
            </w:r>
          </w:p>
        </w:tc>
        <w:tc>
          <w:tcPr>
            <w:tcW w:w="2720" w:type="dxa"/>
            <w:vAlign w:val="top"/>
          </w:tcPr>
          <w:p w14:paraId="4B166729">
            <w:pPr>
              <w:pStyle w:val="6"/>
              <w:spacing w:before="202" w:line="258" w:lineRule="auto"/>
              <w:ind w:left="44" w:right="11"/>
            </w:pPr>
            <w:r>
              <w:rPr>
                <w:spacing w:val="-1"/>
              </w:rPr>
              <w:t>本部分规定了政务数据开放程度</w:t>
            </w:r>
            <w:r>
              <w:rPr>
                <w:spacing w:val="4"/>
              </w:rPr>
              <w:t xml:space="preserve"> </w:t>
            </w:r>
            <w:r>
              <w:rPr>
                <w:spacing w:val="-1"/>
              </w:rPr>
              <w:t>评价原则、评价指标体系和评价</w:t>
            </w:r>
            <w:r>
              <w:rPr>
                <w:spacing w:val="6"/>
              </w:rPr>
              <w:t xml:space="preserve"> </w:t>
            </w:r>
            <w:r>
              <w:rPr>
                <w:spacing w:val="-1"/>
              </w:rPr>
              <w:t>方法等，是对第1部分中的管理</w:t>
            </w:r>
            <w:r>
              <w:rPr>
                <w:spacing w:val="2"/>
              </w:rPr>
              <w:t xml:space="preserve">  </w:t>
            </w:r>
            <w:r>
              <w:rPr>
                <w:spacing w:val="1"/>
              </w:rPr>
              <w:t>评价体系提供支撑</w:t>
            </w:r>
          </w:p>
        </w:tc>
        <w:tc>
          <w:tcPr>
            <w:tcW w:w="2210" w:type="dxa"/>
            <w:vAlign w:val="top"/>
          </w:tcPr>
          <w:p w14:paraId="696F485F">
            <w:pPr>
              <w:spacing w:line="417" w:lineRule="auto"/>
              <w:rPr>
                <w:rFonts w:ascii="Arial"/>
                <w:sz w:val="21"/>
              </w:rPr>
            </w:pPr>
          </w:p>
          <w:p w14:paraId="69EFE2B4">
            <w:pPr>
              <w:pStyle w:val="6"/>
              <w:spacing w:before="61" w:line="247" w:lineRule="auto"/>
              <w:ind w:left="15" w:right="62" w:firstLine="39"/>
            </w:pPr>
            <w:r>
              <w:rPr>
                <w:spacing w:val="-1"/>
              </w:rPr>
              <w:t>适用于对政务数据开放程</w:t>
            </w:r>
            <w:r>
              <w:rPr>
                <w:spacing w:val="2"/>
              </w:rPr>
              <w:t xml:space="preserve"> </w:t>
            </w:r>
            <w:r>
              <w:rPr>
                <w:spacing w:val="-2"/>
              </w:rPr>
              <w:t>度进行评价</w:t>
            </w:r>
          </w:p>
        </w:tc>
        <w:tc>
          <w:tcPr>
            <w:tcW w:w="941" w:type="dxa"/>
            <w:tcBorders>
              <w:right w:val="nil"/>
            </w:tcBorders>
            <w:vAlign w:val="top"/>
          </w:tcPr>
          <w:p w14:paraId="563F355F">
            <w:pPr>
              <w:spacing w:line="268" w:lineRule="auto"/>
              <w:rPr>
                <w:rFonts w:ascii="Arial"/>
                <w:sz w:val="21"/>
              </w:rPr>
            </w:pPr>
          </w:p>
          <w:p w14:paraId="6FEF3333">
            <w:pPr>
              <w:spacing w:line="269" w:lineRule="auto"/>
              <w:rPr>
                <w:rFonts w:ascii="Arial"/>
                <w:sz w:val="21"/>
              </w:rPr>
            </w:pPr>
          </w:p>
          <w:p w14:paraId="37CDB2BE">
            <w:pPr>
              <w:pStyle w:val="6"/>
              <w:spacing w:before="61" w:line="220" w:lineRule="auto"/>
              <w:ind w:left="44"/>
            </w:pPr>
            <w:r>
              <w:rPr>
                <w:spacing w:val="2"/>
              </w:rPr>
              <w:t>国家标准</w:t>
            </w:r>
          </w:p>
        </w:tc>
      </w:tr>
      <w:tr w14:paraId="330DE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180" w:type="dxa"/>
            <w:tcBorders>
              <w:left w:val="nil"/>
            </w:tcBorders>
            <w:vAlign w:val="top"/>
          </w:tcPr>
          <w:p w14:paraId="2D4A85F3">
            <w:pPr>
              <w:spacing w:line="274" w:lineRule="auto"/>
              <w:rPr>
                <w:rFonts w:ascii="Arial"/>
                <w:sz w:val="21"/>
              </w:rPr>
            </w:pPr>
          </w:p>
          <w:p w14:paraId="7457D613">
            <w:pPr>
              <w:pStyle w:val="6"/>
              <w:spacing w:before="62" w:line="224" w:lineRule="auto"/>
              <w:ind w:left="39"/>
            </w:pPr>
            <w:r>
              <w:rPr>
                <w:spacing w:val="-2"/>
              </w:rPr>
              <w:t>GB/T</w:t>
            </w:r>
            <w:r>
              <w:rPr>
                <w:spacing w:val="14"/>
              </w:rPr>
              <w:t xml:space="preserve"> </w:t>
            </w:r>
            <w:r>
              <w:rPr>
                <w:spacing w:val="-2"/>
              </w:rPr>
              <w:t>38667</w:t>
            </w:r>
          </w:p>
        </w:tc>
        <w:tc>
          <w:tcPr>
            <w:tcW w:w="1340" w:type="dxa"/>
            <w:vAlign w:val="top"/>
          </w:tcPr>
          <w:p w14:paraId="3ABC672B">
            <w:pPr>
              <w:pStyle w:val="6"/>
              <w:spacing w:before="211" w:line="259" w:lineRule="auto"/>
              <w:ind w:left="55"/>
            </w:pPr>
            <w:r>
              <w:rPr>
                <w:spacing w:val="-2"/>
              </w:rPr>
              <w:t>信息技术大数</w:t>
            </w:r>
            <w:r>
              <w:t xml:space="preserve">  </w:t>
            </w:r>
            <w:r>
              <w:rPr>
                <w:spacing w:val="-8"/>
              </w:rPr>
              <w:t>据数据分类指南</w:t>
            </w:r>
          </w:p>
        </w:tc>
        <w:tc>
          <w:tcPr>
            <w:tcW w:w="2720" w:type="dxa"/>
            <w:vAlign w:val="top"/>
          </w:tcPr>
          <w:p w14:paraId="4A619B60">
            <w:pPr>
              <w:pStyle w:val="6"/>
              <w:spacing w:before="70" w:line="249" w:lineRule="auto"/>
              <w:ind w:left="64" w:firstLine="9"/>
              <w:jc w:val="both"/>
            </w:pPr>
            <w:r>
              <w:rPr>
                <w:spacing w:val="-2"/>
              </w:rPr>
              <w:t>该标准提供了大数据分类过程及</w:t>
            </w:r>
            <w:r>
              <w:rPr>
                <w:spacing w:val="2"/>
              </w:rPr>
              <w:t xml:space="preserve"> </w:t>
            </w:r>
            <w:r>
              <w:rPr>
                <w:spacing w:val="-2"/>
              </w:rPr>
              <w:t>其分类视角、分类维度和分类方</w:t>
            </w:r>
            <w:r>
              <w:rPr>
                <w:spacing w:val="4"/>
              </w:rPr>
              <w:t xml:space="preserve"> </w:t>
            </w:r>
            <w:r>
              <w:t>法等方面的建议和指导</w:t>
            </w:r>
          </w:p>
        </w:tc>
        <w:tc>
          <w:tcPr>
            <w:tcW w:w="2210" w:type="dxa"/>
            <w:vAlign w:val="top"/>
          </w:tcPr>
          <w:p w14:paraId="271AC457">
            <w:pPr>
              <w:spacing w:line="269" w:lineRule="auto"/>
              <w:rPr>
                <w:rFonts w:ascii="Arial"/>
                <w:sz w:val="21"/>
              </w:rPr>
            </w:pPr>
          </w:p>
          <w:p w14:paraId="11F29E6C">
            <w:pPr>
              <w:pStyle w:val="6"/>
              <w:spacing w:before="62" w:line="219" w:lineRule="auto"/>
              <w:ind w:left="44"/>
            </w:pPr>
            <w:r>
              <w:rPr>
                <w:spacing w:val="-1"/>
              </w:rPr>
              <w:t>适用于指导大数据分类</w:t>
            </w:r>
          </w:p>
        </w:tc>
        <w:tc>
          <w:tcPr>
            <w:tcW w:w="941" w:type="dxa"/>
            <w:tcBorders>
              <w:right w:val="nil"/>
            </w:tcBorders>
            <w:vAlign w:val="top"/>
          </w:tcPr>
          <w:p w14:paraId="76208065">
            <w:pPr>
              <w:spacing w:line="269" w:lineRule="auto"/>
              <w:rPr>
                <w:rFonts w:ascii="Arial"/>
                <w:sz w:val="21"/>
              </w:rPr>
            </w:pPr>
          </w:p>
          <w:p w14:paraId="18D90B0C">
            <w:pPr>
              <w:pStyle w:val="6"/>
              <w:spacing w:before="62" w:line="220" w:lineRule="auto"/>
              <w:ind w:left="44"/>
            </w:pPr>
            <w:r>
              <w:rPr>
                <w:spacing w:val="2"/>
              </w:rPr>
              <w:t>国家标准</w:t>
            </w:r>
          </w:p>
        </w:tc>
      </w:tr>
      <w:tr w14:paraId="32233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180" w:type="dxa"/>
            <w:tcBorders>
              <w:left w:val="nil"/>
            </w:tcBorders>
            <w:vAlign w:val="top"/>
          </w:tcPr>
          <w:p w14:paraId="62B976ED">
            <w:pPr>
              <w:spacing w:line="265" w:lineRule="auto"/>
              <w:rPr>
                <w:rFonts w:ascii="Arial"/>
                <w:sz w:val="21"/>
              </w:rPr>
            </w:pPr>
          </w:p>
          <w:p w14:paraId="3E6C28BC">
            <w:pPr>
              <w:pStyle w:val="6"/>
              <w:spacing w:before="62" w:line="224" w:lineRule="auto"/>
              <w:ind w:left="39"/>
            </w:pPr>
            <w:r>
              <w:rPr>
                <w:spacing w:val="-2"/>
              </w:rPr>
              <w:t>GB/T</w:t>
            </w:r>
            <w:r>
              <w:rPr>
                <w:spacing w:val="14"/>
              </w:rPr>
              <w:t xml:space="preserve"> </w:t>
            </w:r>
            <w:r>
              <w:rPr>
                <w:spacing w:val="-2"/>
              </w:rPr>
              <w:t>38672</w:t>
            </w:r>
          </w:p>
        </w:tc>
        <w:tc>
          <w:tcPr>
            <w:tcW w:w="1340" w:type="dxa"/>
            <w:vAlign w:val="top"/>
          </w:tcPr>
          <w:p w14:paraId="0BE08F0A">
            <w:pPr>
              <w:pStyle w:val="6"/>
              <w:spacing w:before="203" w:line="258" w:lineRule="auto"/>
              <w:ind w:left="54" w:hanging="10"/>
            </w:pPr>
            <w:r>
              <w:rPr>
                <w:spacing w:val="-2"/>
              </w:rPr>
              <w:t>信息技术大数</w:t>
            </w:r>
            <w:r>
              <w:t xml:space="preserve">  </w:t>
            </w:r>
            <w:r>
              <w:rPr>
                <w:spacing w:val="-8"/>
              </w:rPr>
              <w:t>据接口基本要求</w:t>
            </w:r>
          </w:p>
        </w:tc>
        <w:tc>
          <w:tcPr>
            <w:tcW w:w="2720" w:type="dxa"/>
            <w:vAlign w:val="top"/>
          </w:tcPr>
          <w:p w14:paraId="32EC9DEB">
            <w:pPr>
              <w:pStyle w:val="6"/>
              <w:spacing w:before="71" w:line="242" w:lineRule="auto"/>
              <w:ind w:left="24" w:firstLine="59"/>
              <w:jc w:val="both"/>
            </w:pPr>
            <w:r>
              <w:rPr>
                <w:spacing w:val="-3"/>
              </w:rPr>
              <w:t>该标准给出基于大数据参考架构</w:t>
            </w:r>
            <w:r>
              <w:rPr>
                <w:spacing w:val="6"/>
              </w:rPr>
              <w:t xml:space="preserve"> </w:t>
            </w:r>
            <w:r>
              <w:t>的接口框架，规定了接口的基本</w:t>
            </w:r>
            <w:r>
              <w:rPr>
                <w:spacing w:val="1"/>
              </w:rPr>
              <w:t xml:space="preserve"> </w:t>
            </w:r>
            <w:r>
              <w:rPr>
                <w:spacing w:val="-3"/>
              </w:rPr>
              <w:t>要求</w:t>
            </w:r>
          </w:p>
        </w:tc>
        <w:tc>
          <w:tcPr>
            <w:tcW w:w="2210" w:type="dxa"/>
            <w:vAlign w:val="top"/>
          </w:tcPr>
          <w:p w14:paraId="7EF01E26">
            <w:pPr>
              <w:pStyle w:val="6"/>
              <w:spacing w:before="194" w:line="268" w:lineRule="auto"/>
              <w:ind w:left="144" w:right="40" w:hanging="90"/>
            </w:pPr>
            <w:r>
              <w:rPr>
                <w:spacing w:val="1"/>
              </w:rPr>
              <w:t>适用于指导大数据系统的</w:t>
            </w:r>
            <w:r>
              <w:rPr>
                <w:spacing w:val="2"/>
              </w:rPr>
              <w:t xml:space="preserve"> </w:t>
            </w:r>
            <w:r>
              <w:rPr>
                <w:spacing w:val="1"/>
              </w:rPr>
              <w:t>设计、开发和应用部署</w:t>
            </w:r>
          </w:p>
        </w:tc>
        <w:tc>
          <w:tcPr>
            <w:tcW w:w="941" w:type="dxa"/>
            <w:tcBorders>
              <w:right w:val="nil"/>
            </w:tcBorders>
            <w:vAlign w:val="top"/>
          </w:tcPr>
          <w:p w14:paraId="01C151DF">
            <w:pPr>
              <w:spacing w:line="260" w:lineRule="auto"/>
              <w:rPr>
                <w:rFonts w:ascii="Arial"/>
                <w:sz w:val="21"/>
              </w:rPr>
            </w:pPr>
          </w:p>
          <w:p w14:paraId="377996C8">
            <w:pPr>
              <w:pStyle w:val="6"/>
              <w:spacing w:before="62" w:line="220" w:lineRule="auto"/>
              <w:ind w:left="44"/>
            </w:pPr>
            <w:r>
              <w:rPr>
                <w:spacing w:val="2"/>
              </w:rPr>
              <w:t>国家标准</w:t>
            </w:r>
          </w:p>
        </w:tc>
      </w:tr>
      <w:tr w14:paraId="6EB54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180" w:type="dxa"/>
            <w:tcBorders>
              <w:left w:val="nil"/>
            </w:tcBorders>
            <w:vAlign w:val="top"/>
          </w:tcPr>
          <w:p w14:paraId="361BE624">
            <w:pPr>
              <w:spacing w:line="276" w:lineRule="auto"/>
              <w:rPr>
                <w:rFonts w:ascii="Arial"/>
                <w:sz w:val="21"/>
              </w:rPr>
            </w:pPr>
          </w:p>
          <w:p w14:paraId="00CF5E06">
            <w:pPr>
              <w:pStyle w:val="6"/>
              <w:spacing w:before="62" w:line="224" w:lineRule="auto"/>
              <w:ind w:left="39"/>
            </w:pPr>
            <w:r>
              <w:rPr>
                <w:spacing w:val="-1"/>
              </w:rPr>
              <w:t>GB/T38673</w:t>
            </w:r>
          </w:p>
        </w:tc>
        <w:tc>
          <w:tcPr>
            <w:tcW w:w="1340" w:type="dxa"/>
            <w:vAlign w:val="top"/>
          </w:tcPr>
          <w:p w14:paraId="160DB6B2">
            <w:pPr>
              <w:pStyle w:val="6"/>
              <w:spacing w:before="73" w:line="248" w:lineRule="auto"/>
              <w:ind w:left="44" w:right="151"/>
              <w:jc w:val="both"/>
            </w:pPr>
            <w:r>
              <w:rPr>
                <w:spacing w:val="-2"/>
              </w:rPr>
              <w:t>信息技术大数</w:t>
            </w:r>
            <w:r>
              <w:rPr>
                <w:spacing w:val="3"/>
              </w:rPr>
              <w:t xml:space="preserve"> </w:t>
            </w:r>
            <w:r>
              <w:rPr>
                <w:spacing w:val="-2"/>
              </w:rPr>
              <w:t>据大数据系统</w:t>
            </w:r>
            <w:r>
              <w:rPr>
                <w:spacing w:val="4"/>
              </w:rPr>
              <w:t xml:space="preserve"> </w:t>
            </w:r>
            <w:r>
              <w:t>基本要求</w:t>
            </w:r>
          </w:p>
        </w:tc>
        <w:tc>
          <w:tcPr>
            <w:tcW w:w="2720" w:type="dxa"/>
            <w:vAlign w:val="top"/>
          </w:tcPr>
          <w:p w14:paraId="693BC494">
            <w:pPr>
              <w:pStyle w:val="6"/>
              <w:spacing w:before="224" w:line="232" w:lineRule="auto"/>
              <w:ind w:left="64" w:firstLine="19"/>
            </w:pPr>
            <w:r>
              <w:rPr>
                <w:spacing w:val="-3"/>
              </w:rPr>
              <w:t>该标准规定了大数据系统的功能</w:t>
            </w:r>
            <w:r>
              <w:rPr>
                <w:spacing w:val="6"/>
              </w:rPr>
              <w:t xml:space="preserve"> </w:t>
            </w:r>
            <w:r>
              <w:rPr>
                <w:spacing w:val="-3"/>
              </w:rPr>
              <w:t>要求和非功能要求</w:t>
            </w:r>
          </w:p>
        </w:tc>
        <w:tc>
          <w:tcPr>
            <w:tcW w:w="2210" w:type="dxa"/>
            <w:vAlign w:val="top"/>
          </w:tcPr>
          <w:p w14:paraId="0F55F79F">
            <w:pPr>
              <w:pStyle w:val="6"/>
              <w:spacing w:before="214" w:line="249" w:lineRule="auto"/>
              <w:ind w:left="54" w:right="39"/>
            </w:pPr>
            <w:r>
              <w:rPr>
                <w:spacing w:val="1"/>
              </w:rPr>
              <w:t>适用于各类大数据系统的</w:t>
            </w:r>
            <w:r>
              <w:rPr>
                <w:spacing w:val="2"/>
              </w:rPr>
              <w:t xml:space="preserve"> </w:t>
            </w:r>
            <w:r>
              <w:rPr>
                <w:spacing w:val="1"/>
              </w:rPr>
              <w:t>设计、选型、验收和检测</w:t>
            </w:r>
          </w:p>
        </w:tc>
        <w:tc>
          <w:tcPr>
            <w:tcW w:w="941" w:type="dxa"/>
            <w:tcBorders>
              <w:right w:val="nil"/>
            </w:tcBorders>
            <w:vAlign w:val="top"/>
          </w:tcPr>
          <w:p w14:paraId="70FD5551">
            <w:pPr>
              <w:spacing w:line="271" w:lineRule="auto"/>
              <w:rPr>
                <w:rFonts w:ascii="Arial"/>
                <w:sz w:val="21"/>
              </w:rPr>
            </w:pPr>
          </w:p>
          <w:p w14:paraId="2C8EC656">
            <w:pPr>
              <w:pStyle w:val="6"/>
              <w:spacing w:before="62" w:line="220" w:lineRule="auto"/>
              <w:ind w:left="44"/>
            </w:pPr>
            <w:r>
              <w:rPr>
                <w:spacing w:val="2"/>
              </w:rPr>
              <w:t>国家标准</w:t>
            </w:r>
          </w:p>
        </w:tc>
      </w:tr>
      <w:tr w14:paraId="681A0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180" w:type="dxa"/>
            <w:tcBorders>
              <w:left w:val="nil"/>
            </w:tcBorders>
            <w:vAlign w:val="top"/>
          </w:tcPr>
          <w:p w14:paraId="1F582224">
            <w:pPr>
              <w:spacing w:line="267" w:lineRule="auto"/>
              <w:rPr>
                <w:rFonts w:ascii="Arial"/>
                <w:sz w:val="21"/>
              </w:rPr>
            </w:pPr>
          </w:p>
          <w:p w14:paraId="0070265F">
            <w:pPr>
              <w:pStyle w:val="6"/>
              <w:spacing w:before="62" w:line="224" w:lineRule="auto"/>
              <w:ind w:left="39"/>
            </w:pPr>
            <w:r>
              <w:rPr>
                <w:spacing w:val="-2"/>
              </w:rPr>
              <w:t>GB/T</w:t>
            </w:r>
            <w:r>
              <w:rPr>
                <w:spacing w:val="14"/>
              </w:rPr>
              <w:t xml:space="preserve"> </w:t>
            </w:r>
            <w:r>
              <w:rPr>
                <w:spacing w:val="-2"/>
              </w:rPr>
              <w:t>38675</w:t>
            </w:r>
          </w:p>
        </w:tc>
        <w:tc>
          <w:tcPr>
            <w:tcW w:w="1340" w:type="dxa"/>
            <w:vAlign w:val="top"/>
          </w:tcPr>
          <w:p w14:paraId="106962EB">
            <w:pPr>
              <w:pStyle w:val="6"/>
              <w:spacing w:before="56" w:line="247" w:lineRule="auto"/>
              <w:ind w:left="14" w:right="141" w:firstLine="29"/>
              <w:jc w:val="both"/>
            </w:pPr>
            <w:r>
              <w:rPr>
                <w:spacing w:val="-2"/>
              </w:rPr>
              <w:t>信息技术大数</w:t>
            </w:r>
            <w:r>
              <w:rPr>
                <w:spacing w:val="3"/>
              </w:rPr>
              <w:t xml:space="preserve"> </w:t>
            </w:r>
            <w:r>
              <w:rPr>
                <w:spacing w:val="5"/>
              </w:rPr>
              <w:t>据计算系统通</w:t>
            </w:r>
            <w:r>
              <w:rPr>
                <w:spacing w:val="2"/>
              </w:rPr>
              <w:t xml:space="preserve"> </w:t>
            </w:r>
            <w:r>
              <w:rPr>
                <w:spacing w:val="-2"/>
              </w:rPr>
              <w:t>用要求</w:t>
            </w:r>
          </w:p>
        </w:tc>
        <w:tc>
          <w:tcPr>
            <w:tcW w:w="2720" w:type="dxa"/>
            <w:vAlign w:val="top"/>
          </w:tcPr>
          <w:p w14:paraId="5F8DECD1">
            <w:pPr>
              <w:pStyle w:val="6"/>
              <w:spacing w:before="206" w:line="268" w:lineRule="auto"/>
              <w:ind w:left="64" w:firstLine="19"/>
            </w:pPr>
            <w:r>
              <w:rPr>
                <w:spacing w:val="-3"/>
              </w:rPr>
              <w:t>该标准规定了大数据计算系统的</w:t>
            </w:r>
            <w:r>
              <w:rPr>
                <w:spacing w:val="6"/>
              </w:rPr>
              <w:t xml:space="preserve"> </w:t>
            </w:r>
            <w:r>
              <w:rPr>
                <w:spacing w:val="-3"/>
              </w:rPr>
              <w:t>硬件、软件、网络及安全要求</w:t>
            </w:r>
          </w:p>
        </w:tc>
        <w:tc>
          <w:tcPr>
            <w:tcW w:w="2210" w:type="dxa"/>
            <w:vAlign w:val="top"/>
          </w:tcPr>
          <w:p w14:paraId="7241B7C7">
            <w:pPr>
              <w:pStyle w:val="6"/>
              <w:spacing w:before="206"/>
              <w:ind w:left="54" w:right="40"/>
            </w:pPr>
            <w:r>
              <w:rPr>
                <w:spacing w:val="1"/>
              </w:rPr>
              <w:t>适用于大数据计算系统的</w:t>
            </w:r>
            <w:r>
              <w:rPr>
                <w:spacing w:val="2"/>
              </w:rPr>
              <w:t xml:space="preserve"> </w:t>
            </w:r>
            <w:r>
              <w:rPr>
                <w:spacing w:val="-1"/>
              </w:rPr>
              <w:t>开发、设计和运维</w:t>
            </w:r>
          </w:p>
        </w:tc>
        <w:tc>
          <w:tcPr>
            <w:tcW w:w="941" w:type="dxa"/>
            <w:tcBorders>
              <w:right w:val="nil"/>
            </w:tcBorders>
            <w:vAlign w:val="top"/>
          </w:tcPr>
          <w:p w14:paraId="012E8A45">
            <w:pPr>
              <w:spacing w:line="262" w:lineRule="auto"/>
              <w:rPr>
                <w:rFonts w:ascii="Arial"/>
                <w:sz w:val="21"/>
              </w:rPr>
            </w:pPr>
          </w:p>
          <w:p w14:paraId="00287BF3">
            <w:pPr>
              <w:pStyle w:val="6"/>
              <w:spacing w:before="62" w:line="220" w:lineRule="auto"/>
              <w:ind w:left="44"/>
            </w:pPr>
            <w:r>
              <w:rPr>
                <w:spacing w:val="2"/>
              </w:rPr>
              <w:t>国家标准</w:t>
            </w:r>
          </w:p>
        </w:tc>
      </w:tr>
      <w:tr w14:paraId="4119A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3" w:hRule="atLeast"/>
        </w:trPr>
        <w:tc>
          <w:tcPr>
            <w:tcW w:w="1180" w:type="dxa"/>
            <w:tcBorders>
              <w:left w:val="nil"/>
            </w:tcBorders>
            <w:vAlign w:val="top"/>
          </w:tcPr>
          <w:p w14:paraId="1E466C67">
            <w:pPr>
              <w:spacing w:line="265" w:lineRule="auto"/>
              <w:rPr>
                <w:rFonts w:ascii="Arial"/>
                <w:sz w:val="21"/>
              </w:rPr>
            </w:pPr>
          </w:p>
          <w:p w14:paraId="502E0B3F">
            <w:pPr>
              <w:spacing w:line="265" w:lineRule="auto"/>
              <w:rPr>
                <w:rFonts w:ascii="Arial"/>
                <w:sz w:val="21"/>
              </w:rPr>
            </w:pPr>
          </w:p>
          <w:p w14:paraId="556CEE33">
            <w:pPr>
              <w:spacing w:line="265" w:lineRule="auto"/>
              <w:rPr>
                <w:rFonts w:ascii="Arial"/>
                <w:sz w:val="21"/>
              </w:rPr>
            </w:pPr>
          </w:p>
          <w:p w14:paraId="3B2A6682">
            <w:pPr>
              <w:pStyle w:val="6"/>
              <w:spacing w:before="62" w:line="224" w:lineRule="auto"/>
              <w:ind w:left="39"/>
            </w:pPr>
            <w:r>
              <w:rPr>
                <w:spacing w:val="-1"/>
              </w:rPr>
              <w:t>GB/T38676</w:t>
            </w:r>
          </w:p>
        </w:tc>
        <w:tc>
          <w:tcPr>
            <w:tcW w:w="1340" w:type="dxa"/>
            <w:vAlign w:val="top"/>
          </w:tcPr>
          <w:p w14:paraId="67C77BD0">
            <w:pPr>
              <w:spacing w:line="401" w:lineRule="auto"/>
              <w:rPr>
                <w:rFonts w:ascii="Arial"/>
                <w:sz w:val="21"/>
              </w:rPr>
            </w:pPr>
          </w:p>
          <w:p w14:paraId="16AF8C46">
            <w:pPr>
              <w:pStyle w:val="6"/>
              <w:spacing w:before="62" w:line="247" w:lineRule="auto"/>
              <w:ind w:left="43" w:right="151" w:hanging="9"/>
              <w:jc w:val="both"/>
            </w:pPr>
            <w:r>
              <w:rPr>
                <w:spacing w:val="-2"/>
              </w:rPr>
              <w:t>信息技术大数</w:t>
            </w:r>
            <w:r>
              <w:rPr>
                <w:spacing w:val="3"/>
              </w:rPr>
              <w:t xml:space="preserve"> </w:t>
            </w:r>
            <w:r>
              <w:rPr>
                <w:spacing w:val="-2"/>
              </w:rPr>
              <w:t>据存储与处理</w:t>
            </w:r>
            <w:r>
              <w:rPr>
                <w:spacing w:val="4"/>
              </w:rPr>
              <w:t xml:space="preserve"> </w:t>
            </w:r>
            <w:r>
              <w:rPr>
                <w:spacing w:val="-2"/>
              </w:rPr>
              <w:t>系统功能测试</w:t>
            </w:r>
            <w:r>
              <w:t xml:space="preserve"> 要求</w:t>
            </w:r>
          </w:p>
        </w:tc>
        <w:tc>
          <w:tcPr>
            <w:tcW w:w="2720" w:type="dxa"/>
            <w:vAlign w:val="top"/>
          </w:tcPr>
          <w:p w14:paraId="01364303">
            <w:pPr>
              <w:pStyle w:val="6"/>
              <w:spacing w:before="53" w:line="254" w:lineRule="auto"/>
              <w:ind w:left="44"/>
              <w:jc w:val="both"/>
            </w:pPr>
            <w:r>
              <w:rPr>
                <w:spacing w:val="-6"/>
              </w:rPr>
              <w:t>规定了大数据存储与处理系统的</w:t>
            </w:r>
            <w:r>
              <w:rPr>
                <w:spacing w:val="5"/>
              </w:rPr>
              <w:t xml:space="preserve">  </w:t>
            </w:r>
            <w:r>
              <w:rPr>
                <w:spacing w:val="-5"/>
              </w:rPr>
              <w:t>基本功能、分布式文件存储、分</w:t>
            </w:r>
            <w:r>
              <w:rPr>
                <w:spacing w:val="3"/>
              </w:rPr>
              <w:t xml:space="preserve"> </w:t>
            </w:r>
            <w:r>
              <w:rPr>
                <w:spacing w:val="-6"/>
              </w:rPr>
              <w:t>布式结构化数据存储、分布式列</w:t>
            </w:r>
            <w:r>
              <w:rPr>
                <w:spacing w:val="4"/>
              </w:rPr>
              <w:t xml:space="preserve">  </w:t>
            </w:r>
            <w:r>
              <w:rPr>
                <w:spacing w:val="-13"/>
              </w:rPr>
              <w:t>式数据存储、分布式图数据存储、</w:t>
            </w:r>
            <w:r>
              <w:rPr>
                <w:spacing w:val="9"/>
              </w:rPr>
              <w:t xml:space="preserve"> </w:t>
            </w:r>
            <w:r>
              <w:rPr>
                <w:spacing w:val="-7"/>
              </w:rPr>
              <w:t>批处理框架、流处理框架、图计</w:t>
            </w:r>
            <w:r>
              <w:rPr>
                <w:spacing w:val="1"/>
              </w:rPr>
              <w:t xml:space="preserve">  </w:t>
            </w:r>
            <w:r>
              <w:rPr>
                <w:spacing w:val="-7"/>
              </w:rPr>
              <w:t>算框架、内存计算框架和批流融</w:t>
            </w:r>
            <w:r>
              <w:rPr>
                <w:spacing w:val="5"/>
              </w:rPr>
              <w:t xml:space="preserve">  </w:t>
            </w:r>
            <w:r>
              <w:rPr>
                <w:spacing w:val="-5"/>
              </w:rPr>
              <w:t>合计算框架的测试要求</w:t>
            </w:r>
          </w:p>
        </w:tc>
        <w:tc>
          <w:tcPr>
            <w:tcW w:w="2210" w:type="dxa"/>
            <w:vAlign w:val="top"/>
          </w:tcPr>
          <w:p w14:paraId="0806FBFF">
            <w:pPr>
              <w:spacing w:line="334" w:lineRule="auto"/>
              <w:rPr>
                <w:rFonts w:ascii="Arial"/>
                <w:sz w:val="21"/>
              </w:rPr>
            </w:pPr>
          </w:p>
          <w:p w14:paraId="6FFBA1F6">
            <w:pPr>
              <w:spacing w:line="335" w:lineRule="auto"/>
              <w:rPr>
                <w:rFonts w:ascii="Arial"/>
                <w:sz w:val="21"/>
              </w:rPr>
            </w:pPr>
          </w:p>
          <w:p w14:paraId="5BDCC0F1">
            <w:pPr>
              <w:pStyle w:val="6"/>
              <w:spacing w:before="62" w:line="242" w:lineRule="auto"/>
              <w:ind w:left="54" w:right="62"/>
            </w:pPr>
            <w:r>
              <w:rPr>
                <w:spacing w:val="-1"/>
              </w:rPr>
              <w:t>适用于大数据存储与处理</w:t>
            </w:r>
            <w:r>
              <w:rPr>
                <w:spacing w:val="2"/>
              </w:rPr>
              <w:t xml:space="preserve"> </w:t>
            </w:r>
            <w:r>
              <w:rPr>
                <w:spacing w:val="-2"/>
              </w:rPr>
              <w:t>系统的测试</w:t>
            </w:r>
          </w:p>
        </w:tc>
        <w:tc>
          <w:tcPr>
            <w:tcW w:w="941" w:type="dxa"/>
            <w:tcBorders>
              <w:right w:val="nil"/>
            </w:tcBorders>
            <w:vAlign w:val="top"/>
          </w:tcPr>
          <w:p w14:paraId="6699CC19">
            <w:pPr>
              <w:spacing w:line="263" w:lineRule="auto"/>
              <w:rPr>
                <w:rFonts w:ascii="Arial"/>
                <w:sz w:val="21"/>
              </w:rPr>
            </w:pPr>
          </w:p>
          <w:p w14:paraId="4F3B7FE3">
            <w:pPr>
              <w:spacing w:line="263" w:lineRule="auto"/>
              <w:rPr>
                <w:rFonts w:ascii="Arial"/>
                <w:sz w:val="21"/>
              </w:rPr>
            </w:pPr>
          </w:p>
          <w:p w14:paraId="73655100">
            <w:pPr>
              <w:spacing w:line="264" w:lineRule="auto"/>
              <w:rPr>
                <w:rFonts w:ascii="Arial"/>
                <w:sz w:val="21"/>
              </w:rPr>
            </w:pPr>
          </w:p>
          <w:p w14:paraId="4460542A">
            <w:pPr>
              <w:pStyle w:val="6"/>
              <w:spacing w:before="62" w:line="220" w:lineRule="auto"/>
              <w:ind w:left="44"/>
            </w:pPr>
            <w:r>
              <w:rPr>
                <w:spacing w:val="2"/>
              </w:rPr>
              <w:t>国家标准</w:t>
            </w:r>
          </w:p>
        </w:tc>
      </w:tr>
    </w:tbl>
    <w:p w14:paraId="6A9335B9">
      <w:pPr>
        <w:rPr>
          <w:rFonts w:ascii="Arial"/>
          <w:sz w:val="21"/>
        </w:rPr>
      </w:pPr>
    </w:p>
    <w:p w14:paraId="0C54817C">
      <w:pPr>
        <w:rPr>
          <w:rFonts w:ascii="Arial" w:hAnsi="Arial" w:eastAsia="Arial" w:cs="Arial"/>
          <w:sz w:val="21"/>
          <w:szCs w:val="21"/>
        </w:rPr>
        <w:sectPr>
          <w:pgSz w:w="10300" w:h="13400"/>
          <w:pgMar w:top="400" w:right="1028" w:bottom="400" w:left="499" w:header="0" w:footer="0" w:gutter="0"/>
          <w:cols w:space="720" w:num="1"/>
        </w:sectPr>
      </w:pPr>
    </w:p>
    <w:p w14:paraId="534C5B48">
      <w:pPr>
        <w:pStyle w:val="2"/>
        <w:spacing w:before="106" w:line="219" w:lineRule="auto"/>
        <w:jc w:val="right"/>
        <w:rPr>
          <w:rFonts w:ascii="Times New Roman" w:hAnsi="Times New Roman" w:eastAsia="Times New Roman" w:cs="Times New Roman"/>
          <w:sz w:val="19"/>
          <w:szCs w:val="19"/>
        </w:rPr>
      </w:pPr>
      <w:r>
        <w:rPr>
          <w:spacing w:val="4"/>
          <w:sz w:val="19"/>
          <w:szCs w:val="19"/>
        </w:rPr>
        <w:t>第19章</w:t>
      </w:r>
      <w:r>
        <w:rPr>
          <w:spacing w:val="34"/>
          <w:w w:val="101"/>
          <w:sz w:val="19"/>
          <w:szCs w:val="19"/>
        </w:rPr>
        <w:t xml:space="preserve"> </w:t>
      </w:r>
      <w:r>
        <w:rPr>
          <w:spacing w:val="4"/>
          <w:sz w:val="19"/>
          <w:szCs w:val="19"/>
        </w:rPr>
        <w:t xml:space="preserve">监理支撑要素      </w:t>
      </w:r>
      <w:r>
        <w:rPr>
          <w:rFonts w:ascii="Times New Roman" w:hAnsi="Times New Roman" w:eastAsia="Times New Roman" w:cs="Times New Roman"/>
          <w:spacing w:val="4"/>
          <w:position w:val="1"/>
          <w:sz w:val="19"/>
          <w:szCs w:val="19"/>
        </w:rPr>
        <w:t>427</w:t>
      </w:r>
    </w:p>
    <w:p w14:paraId="1EA39958">
      <w:pPr>
        <w:spacing w:line="281" w:lineRule="auto"/>
        <w:rPr>
          <w:rFonts w:ascii="Arial"/>
          <w:sz w:val="21"/>
        </w:rPr>
      </w:pPr>
    </w:p>
    <w:p w14:paraId="120BE86C">
      <w:pPr>
        <w:pStyle w:val="2"/>
        <w:spacing w:before="82" w:line="219" w:lineRule="auto"/>
        <w:ind w:left="2"/>
        <w:rPr>
          <w:sz w:val="25"/>
          <w:szCs w:val="25"/>
        </w:rPr>
      </w:pPr>
      <w:r>
        <w:rPr>
          <w:b/>
          <w:bCs/>
          <w:color w:val="0064E7"/>
          <w:spacing w:val="-18"/>
          <w:sz w:val="25"/>
          <w:szCs w:val="25"/>
        </w:rPr>
        <w:t>19.2.5</w:t>
      </w:r>
      <w:r>
        <w:rPr>
          <w:color w:val="0064E7"/>
          <w:spacing w:val="101"/>
          <w:sz w:val="25"/>
          <w:szCs w:val="25"/>
        </w:rPr>
        <w:t xml:space="preserve"> </w:t>
      </w:r>
      <w:r>
        <w:rPr>
          <w:b/>
          <w:bCs/>
          <w:color w:val="0064E7"/>
          <w:spacing w:val="-18"/>
          <w:sz w:val="25"/>
          <w:szCs w:val="25"/>
        </w:rPr>
        <w:t>信息技术服务标准</w:t>
      </w:r>
    </w:p>
    <w:p w14:paraId="0ED39BB0">
      <w:pPr>
        <w:pStyle w:val="2"/>
        <w:spacing w:before="175" w:line="292" w:lineRule="auto"/>
        <w:ind w:right="300" w:firstLine="409"/>
        <w:jc w:val="both"/>
        <w:rPr>
          <w:sz w:val="19"/>
          <w:szCs w:val="19"/>
        </w:rPr>
      </w:pPr>
      <w:r>
        <w:rPr>
          <w:spacing w:val="12"/>
          <w:sz w:val="19"/>
          <w:szCs w:val="19"/>
        </w:rPr>
        <w:t>信息技术服务标准体系可分为基础标准、通用标准、保障类标准、技术创新标准、数字化</w:t>
      </w:r>
      <w:r>
        <w:rPr>
          <w:spacing w:val="9"/>
          <w:sz w:val="19"/>
          <w:szCs w:val="19"/>
        </w:rPr>
        <w:t xml:space="preserve"> </w:t>
      </w:r>
      <w:r>
        <w:rPr>
          <w:spacing w:val="12"/>
          <w:sz w:val="19"/>
          <w:szCs w:val="19"/>
        </w:rPr>
        <w:t>转型服务标准、业务融合标准等类别。通用标准相关的标准号、标准名称、主要内容及适用范</w:t>
      </w:r>
      <w:r>
        <w:rPr>
          <w:spacing w:val="18"/>
          <w:sz w:val="19"/>
          <w:szCs w:val="19"/>
        </w:rPr>
        <w:t xml:space="preserve"> </w:t>
      </w:r>
      <w:r>
        <w:rPr>
          <w:spacing w:val="10"/>
          <w:sz w:val="19"/>
          <w:szCs w:val="19"/>
        </w:rPr>
        <w:t>围等如表19-5所示。</w:t>
      </w:r>
    </w:p>
    <w:p w14:paraId="67A634DD">
      <w:pPr>
        <w:spacing w:before="103" w:line="221" w:lineRule="auto"/>
        <w:ind w:left="2722"/>
        <w:rPr>
          <w:rFonts w:ascii="黑体" w:hAnsi="黑体" w:eastAsia="黑体" w:cs="黑体"/>
          <w:sz w:val="19"/>
          <w:szCs w:val="19"/>
        </w:rPr>
      </w:pPr>
      <w:r>
        <w:rPr>
          <w:rFonts w:ascii="黑体" w:hAnsi="黑体" w:eastAsia="黑体" w:cs="黑体"/>
          <w:b/>
          <w:bCs/>
          <w:spacing w:val="-10"/>
          <w:sz w:val="19"/>
          <w:szCs w:val="19"/>
        </w:rPr>
        <w:t>表19-5</w:t>
      </w:r>
      <w:r>
        <w:rPr>
          <w:rFonts w:ascii="黑体" w:hAnsi="黑体" w:eastAsia="黑体" w:cs="黑体"/>
          <w:spacing w:val="95"/>
          <w:sz w:val="19"/>
          <w:szCs w:val="19"/>
        </w:rPr>
        <w:t xml:space="preserve"> </w:t>
      </w:r>
      <w:r>
        <w:rPr>
          <w:rFonts w:ascii="黑体" w:hAnsi="黑体" w:eastAsia="黑体" w:cs="黑体"/>
          <w:b/>
          <w:bCs/>
          <w:spacing w:val="-10"/>
          <w:sz w:val="19"/>
          <w:szCs w:val="19"/>
        </w:rPr>
        <w:t>信息技术服务现行通用标准</w:t>
      </w:r>
    </w:p>
    <w:p w14:paraId="22643B25">
      <w:pPr>
        <w:spacing w:line="114" w:lineRule="exact"/>
      </w:pPr>
    </w:p>
    <w:tbl>
      <w:tblPr>
        <w:tblStyle w:val="5"/>
        <w:tblW w:w="831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0"/>
        <w:gridCol w:w="1350"/>
        <w:gridCol w:w="2880"/>
        <w:gridCol w:w="2130"/>
        <w:gridCol w:w="880"/>
      </w:tblGrid>
      <w:tr w14:paraId="28DB5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70" w:type="dxa"/>
            <w:tcBorders>
              <w:left w:val="nil"/>
            </w:tcBorders>
            <w:vAlign w:val="top"/>
          </w:tcPr>
          <w:p w14:paraId="3B37900A">
            <w:pPr>
              <w:pStyle w:val="6"/>
              <w:spacing w:before="70" w:line="220" w:lineRule="auto"/>
              <w:ind w:left="252"/>
            </w:pPr>
            <w:r>
              <w:rPr>
                <w:b/>
                <w:bCs/>
                <w:spacing w:val="-4"/>
              </w:rPr>
              <w:t>标准号</w:t>
            </w:r>
          </w:p>
        </w:tc>
        <w:tc>
          <w:tcPr>
            <w:tcW w:w="1350" w:type="dxa"/>
            <w:vAlign w:val="top"/>
          </w:tcPr>
          <w:p w14:paraId="1F642534">
            <w:pPr>
              <w:pStyle w:val="6"/>
              <w:spacing w:before="70" w:line="220" w:lineRule="auto"/>
              <w:ind w:left="317"/>
            </w:pPr>
            <w:r>
              <w:rPr>
                <w:b/>
                <w:bCs/>
                <w:spacing w:val="-4"/>
              </w:rPr>
              <w:t>标准名称</w:t>
            </w:r>
          </w:p>
        </w:tc>
        <w:tc>
          <w:tcPr>
            <w:tcW w:w="2880" w:type="dxa"/>
            <w:vAlign w:val="top"/>
          </w:tcPr>
          <w:p w14:paraId="757F3ECD">
            <w:pPr>
              <w:pStyle w:val="6"/>
              <w:spacing w:before="70" w:line="219" w:lineRule="auto"/>
              <w:ind w:left="1087"/>
            </w:pPr>
            <w:r>
              <w:rPr>
                <w:b/>
                <w:bCs/>
                <w:spacing w:val="-4"/>
              </w:rPr>
              <w:t>主要内容</w:t>
            </w:r>
          </w:p>
        </w:tc>
        <w:tc>
          <w:tcPr>
            <w:tcW w:w="2130" w:type="dxa"/>
            <w:vAlign w:val="top"/>
          </w:tcPr>
          <w:p w14:paraId="622B3511">
            <w:pPr>
              <w:pStyle w:val="6"/>
              <w:spacing w:before="70" w:line="220" w:lineRule="auto"/>
              <w:ind w:left="677"/>
            </w:pPr>
            <w:r>
              <w:rPr>
                <w:b/>
                <w:bCs/>
                <w:spacing w:val="-4"/>
              </w:rPr>
              <w:t>适用范围</w:t>
            </w:r>
          </w:p>
        </w:tc>
        <w:tc>
          <w:tcPr>
            <w:tcW w:w="880" w:type="dxa"/>
            <w:tcBorders>
              <w:right w:val="nil"/>
            </w:tcBorders>
            <w:vAlign w:val="top"/>
          </w:tcPr>
          <w:p w14:paraId="375FD926">
            <w:pPr>
              <w:pStyle w:val="6"/>
              <w:spacing w:before="70" w:line="219" w:lineRule="auto"/>
              <w:ind w:left="247"/>
            </w:pPr>
            <w:r>
              <w:rPr>
                <w:b/>
                <w:bCs/>
                <w:spacing w:val="-4"/>
              </w:rPr>
              <w:t>类别</w:t>
            </w:r>
          </w:p>
        </w:tc>
      </w:tr>
      <w:tr w14:paraId="387AF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1070" w:type="dxa"/>
            <w:tcBorders>
              <w:left w:val="nil"/>
            </w:tcBorders>
            <w:vAlign w:val="top"/>
          </w:tcPr>
          <w:p w14:paraId="3B1D01B2">
            <w:pPr>
              <w:spacing w:line="409" w:lineRule="auto"/>
              <w:rPr>
                <w:rFonts w:ascii="Arial"/>
                <w:sz w:val="21"/>
              </w:rPr>
            </w:pPr>
          </w:p>
          <w:p w14:paraId="66D300F1">
            <w:pPr>
              <w:pStyle w:val="6"/>
              <w:spacing w:before="61" w:line="224" w:lineRule="auto"/>
              <w:ind w:left="60"/>
            </w:pPr>
            <w:r>
              <w:rPr>
                <w:spacing w:val="-2"/>
              </w:rPr>
              <w:t>GB/T</w:t>
            </w:r>
            <w:r>
              <w:rPr>
                <w:spacing w:val="13"/>
              </w:rPr>
              <w:t xml:space="preserve"> </w:t>
            </w:r>
            <w:r>
              <w:rPr>
                <w:spacing w:val="-2"/>
              </w:rPr>
              <w:t>29264</w:t>
            </w:r>
          </w:p>
        </w:tc>
        <w:tc>
          <w:tcPr>
            <w:tcW w:w="1350" w:type="dxa"/>
            <w:vAlign w:val="top"/>
          </w:tcPr>
          <w:p w14:paraId="61A021FD">
            <w:pPr>
              <w:spacing w:line="273" w:lineRule="auto"/>
              <w:rPr>
                <w:rFonts w:ascii="Arial"/>
                <w:sz w:val="21"/>
              </w:rPr>
            </w:pPr>
          </w:p>
          <w:p w14:paraId="54262C86">
            <w:pPr>
              <w:pStyle w:val="6"/>
              <w:spacing w:before="62" w:line="259" w:lineRule="auto"/>
              <w:ind w:left="45" w:right="152" w:firstLine="9"/>
            </w:pPr>
            <w:r>
              <w:rPr>
                <w:spacing w:val="-2"/>
              </w:rPr>
              <w:t>信息技术服务</w:t>
            </w:r>
            <w:r>
              <w:rPr>
                <w:spacing w:val="3"/>
              </w:rPr>
              <w:t xml:space="preserve"> </w:t>
            </w:r>
            <w:r>
              <w:rPr>
                <w:spacing w:val="-2"/>
              </w:rPr>
              <w:t>分类与代码</w:t>
            </w:r>
          </w:p>
        </w:tc>
        <w:tc>
          <w:tcPr>
            <w:tcW w:w="2880" w:type="dxa"/>
            <w:vAlign w:val="top"/>
          </w:tcPr>
          <w:p w14:paraId="50DCBD1C">
            <w:pPr>
              <w:pStyle w:val="6"/>
              <w:spacing w:before="88" w:line="248" w:lineRule="auto"/>
              <w:ind w:left="55" w:firstLine="9"/>
              <w:jc w:val="both"/>
            </w:pPr>
            <w:r>
              <w:rPr>
                <w:spacing w:val="-4"/>
              </w:rPr>
              <w:t>该标准规定了信息技术服务的分类</w:t>
            </w:r>
            <w:r>
              <w:rPr>
                <w:spacing w:val="11"/>
              </w:rPr>
              <w:t xml:space="preserve"> </w:t>
            </w:r>
            <w:r>
              <w:rPr>
                <w:spacing w:val="-3"/>
              </w:rPr>
              <w:t>与代码，是信息技术服务分类、管</w:t>
            </w:r>
            <w:r>
              <w:rPr>
                <w:spacing w:val="8"/>
              </w:rPr>
              <w:t xml:space="preserve"> </w:t>
            </w:r>
            <w:r>
              <w:rPr>
                <w:spacing w:val="-3"/>
              </w:rPr>
              <w:t>理和编目的准则，为信息技术服务</w:t>
            </w:r>
            <w:r>
              <w:rPr>
                <w:spacing w:val="7"/>
              </w:rPr>
              <w:t xml:space="preserve"> </w:t>
            </w:r>
            <w:r>
              <w:t>体系的建立提供了基线</w:t>
            </w:r>
          </w:p>
        </w:tc>
        <w:tc>
          <w:tcPr>
            <w:tcW w:w="2130" w:type="dxa"/>
            <w:vAlign w:val="top"/>
          </w:tcPr>
          <w:p w14:paraId="778531FA">
            <w:pPr>
              <w:pStyle w:val="6"/>
              <w:spacing w:before="67" w:line="253" w:lineRule="auto"/>
              <w:ind w:left="15" w:right="2"/>
            </w:pPr>
            <w:r>
              <w:rPr>
                <w:spacing w:val="-1"/>
              </w:rPr>
              <w:t>该标准适用于信息技术服</w:t>
            </w:r>
            <w:r>
              <w:t xml:space="preserve"> </w:t>
            </w:r>
            <w:r>
              <w:rPr>
                <w:spacing w:val="8"/>
              </w:rPr>
              <w:t>务的信息管理及信息交</w:t>
            </w:r>
            <w:r>
              <w:t xml:space="preserve">  </w:t>
            </w:r>
            <w:r>
              <w:rPr>
                <w:spacing w:val="1"/>
              </w:rPr>
              <w:t>换，供科研、规划等工作</w:t>
            </w:r>
            <w:r>
              <w:t xml:space="preserve"> </w:t>
            </w:r>
            <w:r>
              <w:rPr>
                <w:spacing w:val="11"/>
              </w:rPr>
              <w:t>使用</w:t>
            </w:r>
          </w:p>
        </w:tc>
        <w:tc>
          <w:tcPr>
            <w:tcW w:w="880" w:type="dxa"/>
            <w:tcBorders>
              <w:right w:val="nil"/>
            </w:tcBorders>
            <w:vAlign w:val="top"/>
          </w:tcPr>
          <w:p w14:paraId="66DF948F">
            <w:pPr>
              <w:spacing w:line="404" w:lineRule="auto"/>
              <w:rPr>
                <w:rFonts w:ascii="Arial"/>
                <w:sz w:val="21"/>
              </w:rPr>
            </w:pPr>
          </w:p>
          <w:p w14:paraId="1F2E9E28">
            <w:pPr>
              <w:pStyle w:val="6"/>
              <w:spacing w:before="61" w:line="220" w:lineRule="auto"/>
              <w:ind w:left="55"/>
            </w:pPr>
            <w:r>
              <w:rPr>
                <w:spacing w:val="2"/>
              </w:rPr>
              <w:t>国家标准</w:t>
            </w:r>
          </w:p>
        </w:tc>
      </w:tr>
      <w:tr w14:paraId="04856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1070" w:type="dxa"/>
            <w:tcBorders>
              <w:left w:val="nil"/>
            </w:tcBorders>
            <w:vAlign w:val="top"/>
          </w:tcPr>
          <w:p w14:paraId="09212F97">
            <w:pPr>
              <w:spacing w:line="400" w:lineRule="auto"/>
              <w:rPr>
                <w:rFonts w:ascii="Arial"/>
                <w:sz w:val="21"/>
              </w:rPr>
            </w:pPr>
          </w:p>
          <w:p w14:paraId="57F053B7">
            <w:pPr>
              <w:pStyle w:val="6"/>
              <w:spacing w:before="61" w:line="224" w:lineRule="auto"/>
              <w:ind w:left="60"/>
            </w:pPr>
            <w:r>
              <w:rPr>
                <w:spacing w:val="-2"/>
              </w:rPr>
              <w:t>GB/T</w:t>
            </w:r>
            <w:r>
              <w:rPr>
                <w:spacing w:val="14"/>
              </w:rPr>
              <w:t xml:space="preserve"> </w:t>
            </w:r>
            <w:r>
              <w:rPr>
                <w:spacing w:val="-2"/>
              </w:rPr>
              <w:t>33850</w:t>
            </w:r>
          </w:p>
        </w:tc>
        <w:tc>
          <w:tcPr>
            <w:tcW w:w="1350" w:type="dxa"/>
            <w:vAlign w:val="top"/>
          </w:tcPr>
          <w:p w14:paraId="6297029F">
            <w:pPr>
              <w:pStyle w:val="6"/>
              <w:spacing w:before="207" w:line="255" w:lineRule="auto"/>
              <w:ind w:left="14" w:right="142" w:firstLine="50"/>
              <w:jc w:val="both"/>
            </w:pPr>
            <w:r>
              <w:rPr>
                <w:spacing w:val="-2"/>
              </w:rPr>
              <w:t>信息技术服务</w:t>
            </w:r>
            <w:r>
              <w:rPr>
                <w:spacing w:val="3"/>
              </w:rPr>
              <w:t xml:space="preserve"> </w:t>
            </w:r>
            <w:r>
              <w:rPr>
                <w:spacing w:val="5"/>
              </w:rPr>
              <w:t>质量评价指标</w:t>
            </w:r>
            <w:r>
              <w:t xml:space="preserve"> </w:t>
            </w:r>
            <w:r>
              <w:rPr>
                <w:spacing w:val="8"/>
              </w:rPr>
              <w:t>体系</w:t>
            </w:r>
          </w:p>
        </w:tc>
        <w:tc>
          <w:tcPr>
            <w:tcW w:w="2880" w:type="dxa"/>
            <w:vAlign w:val="top"/>
          </w:tcPr>
          <w:p w14:paraId="7C47EF30">
            <w:pPr>
              <w:pStyle w:val="6"/>
              <w:spacing w:before="69" w:line="250" w:lineRule="auto"/>
              <w:ind w:left="35" w:firstLine="39"/>
            </w:pPr>
            <w:r>
              <w:rPr>
                <w:spacing w:val="-1"/>
              </w:rPr>
              <w:t>该标准建立了信息技术服务质量</w:t>
            </w:r>
            <w:r>
              <w:t xml:space="preserve">  </w:t>
            </w:r>
            <w:r>
              <w:rPr>
                <w:spacing w:val="2"/>
              </w:rPr>
              <w:t>模型，规定了信息技术服务质量</w:t>
            </w:r>
            <w:r>
              <w:t xml:space="preserve">  </w:t>
            </w:r>
            <w:r>
              <w:rPr>
                <w:spacing w:val="-2"/>
              </w:rPr>
              <w:t>评价指标、测量方法以及质量评价</w:t>
            </w:r>
            <w:r>
              <w:rPr>
                <w:spacing w:val="13"/>
              </w:rPr>
              <w:t xml:space="preserve"> </w:t>
            </w:r>
            <w:r>
              <w:rPr>
                <w:spacing w:val="-2"/>
              </w:rPr>
              <w:t>过程等</w:t>
            </w:r>
          </w:p>
        </w:tc>
        <w:tc>
          <w:tcPr>
            <w:tcW w:w="2130" w:type="dxa"/>
            <w:vAlign w:val="top"/>
          </w:tcPr>
          <w:p w14:paraId="058BE695">
            <w:pPr>
              <w:spacing w:line="274" w:lineRule="auto"/>
              <w:rPr>
                <w:rFonts w:ascii="Arial"/>
                <w:sz w:val="21"/>
              </w:rPr>
            </w:pPr>
          </w:p>
          <w:p w14:paraId="02D96E12">
            <w:pPr>
              <w:pStyle w:val="6"/>
              <w:spacing w:before="62" w:line="257" w:lineRule="auto"/>
              <w:ind w:left="54" w:right="25" w:hanging="39"/>
            </w:pPr>
            <w:r>
              <w:rPr>
                <w:spacing w:val="-1"/>
              </w:rPr>
              <w:t>该标准适用于对信息技术</w:t>
            </w:r>
            <w:r>
              <w:t xml:space="preserve"> </w:t>
            </w:r>
            <w:r>
              <w:rPr>
                <w:spacing w:val="-1"/>
              </w:rPr>
              <w:t>服务质量进行评价</w:t>
            </w:r>
          </w:p>
        </w:tc>
        <w:tc>
          <w:tcPr>
            <w:tcW w:w="880" w:type="dxa"/>
            <w:tcBorders>
              <w:right w:val="nil"/>
            </w:tcBorders>
            <w:vAlign w:val="top"/>
          </w:tcPr>
          <w:p w14:paraId="7F69FB8A">
            <w:pPr>
              <w:spacing w:line="395" w:lineRule="auto"/>
              <w:rPr>
                <w:rFonts w:ascii="Arial"/>
                <w:sz w:val="21"/>
              </w:rPr>
            </w:pPr>
          </w:p>
          <w:p w14:paraId="0EDF2581">
            <w:pPr>
              <w:pStyle w:val="6"/>
              <w:spacing w:before="62" w:line="220" w:lineRule="auto"/>
              <w:ind w:left="55"/>
            </w:pPr>
            <w:r>
              <w:rPr>
                <w:spacing w:val="2"/>
              </w:rPr>
              <w:t>国家标准</w:t>
            </w:r>
          </w:p>
        </w:tc>
      </w:tr>
      <w:tr w14:paraId="51A6F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070" w:type="dxa"/>
            <w:tcBorders>
              <w:left w:val="nil"/>
            </w:tcBorders>
            <w:vAlign w:val="top"/>
          </w:tcPr>
          <w:p w14:paraId="19EA44AB">
            <w:pPr>
              <w:spacing w:line="271" w:lineRule="auto"/>
              <w:rPr>
                <w:rFonts w:ascii="Arial"/>
                <w:sz w:val="21"/>
              </w:rPr>
            </w:pPr>
          </w:p>
          <w:p w14:paraId="28DC012B">
            <w:pPr>
              <w:pStyle w:val="6"/>
              <w:spacing w:before="62" w:line="224" w:lineRule="auto"/>
              <w:ind w:left="100"/>
            </w:pPr>
            <w:r>
              <w:rPr>
                <w:spacing w:val="-1"/>
              </w:rPr>
              <w:t>GB/T37696</w:t>
            </w:r>
          </w:p>
        </w:tc>
        <w:tc>
          <w:tcPr>
            <w:tcW w:w="1350" w:type="dxa"/>
            <w:vAlign w:val="top"/>
          </w:tcPr>
          <w:p w14:paraId="3D5AFAA6">
            <w:pPr>
              <w:pStyle w:val="6"/>
              <w:spacing w:before="69" w:line="246" w:lineRule="auto"/>
              <w:ind w:left="35" w:right="128" w:firstLine="30"/>
              <w:jc w:val="both"/>
            </w:pPr>
            <w:r>
              <w:rPr>
                <w:spacing w:val="-2"/>
              </w:rPr>
              <w:t>信息技术服务</w:t>
            </w:r>
            <w:r>
              <w:rPr>
                <w:spacing w:val="3"/>
              </w:rPr>
              <w:t xml:space="preserve"> </w:t>
            </w:r>
            <w:r>
              <w:rPr>
                <w:spacing w:val="6"/>
              </w:rPr>
              <w:t>从业人员能力</w:t>
            </w:r>
            <w:r>
              <w:t xml:space="preserve"> </w:t>
            </w:r>
            <w:r>
              <w:rPr>
                <w:spacing w:val="-2"/>
              </w:rPr>
              <w:t>评价要求</w:t>
            </w:r>
          </w:p>
        </w:tc>
        <w:tc>
          <w:tcPr>
            <w:tcW w:w="2880" w:type="dxa"/>
            <w:vAlign w:val="top"/>
          </w:tcPr>
          <w:p w14:paraId="41CD1D9A">
            <w:pPr>
              <w:pStyle w:val="6"/>
              <w:spacing w:before="69" w:line="246" w:lineRule="auto"/>
              <w:ind w:left="44" w:firstLine="29"/>
              <w:jc w:val="both"/>
            </w:pPr>
            <w:r>
              <w:rPr>
                <w:spacing w:val="-4"/>
              </w:rPr>
              <w:t>该标准规定了信息技术服务从业人</w:t>
            </w:r>
            <w:r>
              <w:rPr>
                <w:spacing w:val="4"/>
              </w:rPr>
              <w:t xml:space="preserve"> </w:t>
            </w:r>
            <w:r>
              <w:rPr>
                <w:spacing w:val="-2"/>
              </w:rPr>
              <w:t>员的职业种类、能力要素等级和评</w:t>
            </w:r>
            <w:r>
              <w:rPr>
                <w:spacing w:val="3"/>
              </w:rPr>
              <w:t xml:space="preserve"> </w:t>
            </w:r>
            <w:r>
              <w:rPr>
                <w:spacing w:val="-2"/>
              </w:rPr>
              <w:t>价方法</w:t>
            </w:r>
          </w:p>
        </w:tc>
        <w:tc>
          <w:tcPr>
            <w:tcW w:w="2130" w:type="dxa"/>
            <w:vAlign w:val="top"/>
          </w:tcPr>
          <w:p w14:paraId="412EFE0A">
            <w:pPr>
              <w:pStyle w:val="6"/>
              <w:spacing w:before="69" w:line="246" w:lineRule="auto"/>
              <w:ind w:left="15"/>
              <w:jc w:val="both"/>
            </w:pPr>
            <w:r>
              <w:rPr>
                <w:spacing w:val="-2"/>
              </w:rPr>
              <w:t>该标准适用于信息技术服</w:t>
            </w:r>
            <w:r>
              <w:rPr>
                <w:spacing w:val="9"/>
              </w:rPr>
              <w:t xml:space="preserve"> </w:t>
            </w:r>
            <w:r>
              <w:rPr>
                <w:spacing w:val="1"/>
              </w:rPr>
              <w:t>务从业人员的能力评价与</w:t>
            </w:r>
            <w:r>
              <w:rPr>
                <w:spacing w:val="2"/>
              </w:rPr>
              <w:t xml:space="preserve"> </w:t>
            </w:r>
            <w:r>
              <w:rPr>
                <w:spacing w:val="15"/>
              </w:rPr>
              <w:t>培养</w:t>
            </w:r>
          </w:p>
        </w:tc>
        <w:tc>
          <w:tcPr>
            <w:tcW w:w="880" w:type="dxa"/>
            <w:tcBorders>
              <w:right w:val="nil"/>
            </w:tcBorders>
            <w:vAlign w:val="top"/>
          </w:tcPr>
          <w:p w14:paraId="68A15BA3">
            <w:pPr>
              <w:spacing w:line="267" w:lineRule="auto"/>
              <w:rPr>
                <w:rFonts w:ascii="Arial"/>
                <w:sz w:val="21"/>
              </w:rPr>
            </w:pPr>
          </w:p>
          <w:p w14:paraId="10A07F90">
            <w:pPr>
              <w:pStyle w:val="6"/>
              <w:spacing w:before="61" w:line="220" w:lineRule="auto"/>
              <w:ind w:left="55"/>
            </w:pPr>
            <w:r>
              <w:rPr>
                <w:spacing w:val="2"/>
              </w:rPr>
              <w:t>国家标准</w:t>
            </w:r>
          </w:p>
        </w:tc>
      </w:tr>
      <w:tr w14:paraId="419D6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8" w:hRule="atLeast"/>
        </w:trPr>
        <w:tc>
          <w:tcPr>
            <w:tcW w:w="1070" w:type="dxa"/>
            <w:tcBorders>
              <w:left w:val="nil"/>
            </w:tcBorders>
            <w:vAlign w:val="top"/>
          </w:tcPr>
          <w:p w14:paraId="5D0C9666">
            <w:pPr>
              <w:spacing w:line="265" w:lineRule="auto"/>
              <w:rPr>
                <w:rFonts w:ascii="Arial"/>
                <w:sz w:val="21"/>
              </w:rPr>
            </w:pPr>
          </w:p>
          <w:p w14:paraId="69A059D2">
            <w:pPr>
              <w:spacing w:line="266" w:lineRule="auto"/>
              <w:rPr>
                <w:rFonts w:ascii="Arial"/>
                <w:sz w:val="21"/>
              </w:rPr>
            </w:pPr>
          </w:p>
          <w:p w14:paraId="6E62C2CA">
            <w:pPr>
              <w:pStyle w:val="6"/>
              <w:spacing w:before="62" w:line="224" w:lineRule="auto"/>
              <w:ind w:left="60"/>
            </w:pPr>
            <w:r>
              <w:rPr>
                <w:spacing w:val="-2"/>
              </w:rPr>
              <w:t>GB/T</w:t>
            </w:r>
            <w:r>
              <w:rPr>
                <w:spacing w:val="38"/>
              </w:rPr>
              <w:t xml:space="preserve"> </w:t>
            </w:r>
            <w:r>
              <w:rPr>
                <w:spacing w:val="-2"/>
              </w:rPr>
              <w:t>37961</w:t>
            </w:r>
          </w:p>
        </w:tc>
        <w:tc>
          <w:tcPr>
            <w:tcW w:w="1350" w:type="dxa"/>
            <w:vAlign w:val="top"/>
          </w:tcPr>
          <w:p w14:paraId="78114E8E">
            <w:pPr>
              <w:spacing w:line="416" w:lineRule="auto"/>
              <w:rPr>
                <w:rFonts w:ascii="Arial"/>
                <w:sz w:val="21"/>
              </w:rPr>
            </w:pPr>
          </w:p>
          <w:p w14:paraId="0F8A300E">
            <w:pPr>
              <w:pStyle w:val="6"/>
              <w:spacing w:before="62" w:line="248" w:lineRule="auto"/>
              <w:ind w:left="65" w:right="132" w:firstLine="9"/>
            </w:pPr>
            <w:r>
              <w:rPr>
                <w:spacing w:val="-2"/>
              </w:rPr>
              <w:t>信息技术服务</w:t>
            </w:r>
            <w:r>
              <w:rPr>
                <w:spacing w:val="3"/>
              </w:rPr>
              <w:t xml:space="preserve"> </w:t>
            </w:r>
            <w:r>
              <w:rPr>
                <w:spacing w:val="-2"/>
              </w:rPr>
              <w:t>服务基本要求</w:t>
            </w:r>
          </w:p>
        </w:tc>
        <w:tc>
          <w:tcPr>
            <w:tcW w:w="2880" w:type="dxa"/>
            <w:vAlign w:val="top"/>
          </w:tcPr>
          <w:p w14:paraId="0CF92E87">
            <w:pPr>
              <w:pStyle w:val="6"/>
              <w:spacing w:before="81" w:line="248" w:lineRule="auto"/>
              <w:ind w:left="65" w:firstLine="9"/>
              <w:jc w:val="both"/>
            </w:pPr>
            <w:r>
              <w:rPr>
                <w:spacing w:val="-10"/>
              </w:rPr>
              <w:t>该标准规定了信息技术服务中的服</w:t>
            </w:r>
            <w:r>
              <w:rPr>
                <w:spacing w:val="4"/>
              </w:rPr>
              <w:t xml:space="preserve">  </w:t>
            </w:r>
            <w:r>
              <w:rPr>
                <w:spacing w:val="-4"/>
              </w:rPr>
              <w:t>务过程基本要求、信息技术咨询、</w:t>
            </w:r>
            <w:r>
              <w:rPr>
                <w:spacing w:val="13"/>
              </w:rPr>
              <w:t xml:space="preserve"> </w:t>
            </w:r>
            <w:r>
              <w:rPr>
                <w:spacing w:val="-4"/>
              </w:rPr>
              <w:t>设计与开发、信息系统集成实施、</w:t>
            </w:r>
            <w:r>
              <w:rPr>
                <w:spacing w:val="13"/>
              </w:rPr>
              <w:t xml:space="preserve"> </w:t>
            </w:r>
            <w:r>
              <w:rPr>
                <w:spacing w:val="-9"/>
              </w:rPr>
              <w:t>运行维护、数据处理和存储、运营</w:t>
            </w:r>
            <w:r>
              <w:rPr>
                <w:spacing w:val="4"/>
              </w:rPr>
              <w:t xml:space="preserve">  </w:t>
            </w:r>
            <w:r>
              <w:rPr>
                <w:spacing w:val="-6"/>
              </w:rPr>
              <w:t>等服务的活动内容和成果要求</w:t>
            </w:r>
          </w:p>
        </w:tc>
        <w:tc>
          <w:tcPr>
            <w:tcW w:w="2130" w:type="dxa"/>
            <w:vAlign w:val="top"/>
          </w:tcPr>
          <w:p w14:paraId="1BC460D7">
            <w:pPr>
              <w:spacing w:line="285" w:lineRule="auto"/>
              <w:rPr>
                <w:rFonts w:ascii="Arial"/>
                <w:sz w:val="21"/>
              </w:rPr>
            </w:pPr>
          </w:p>
          <w:p w14:paraId="7108E783">
            <w:pPr>
              <w:pStyle w:val="6"/>
              <w:spacing w:before="62" w:line="251" w:lineRule="auto"/>
              <w:ind w:left="15"/>
              <w:jc w:val="both"/>
            </w:pPr>
            <w:r>
              <w:rPr>
                <w:spacing w:val="1"/>
              </w:rPr>
              <w:t>该标准适用于服务供方和</w:t>
            </w:r>
            <w:r>
              <w:rPr>
                <w:spacing w:val="2"/>
              </w:rPr>
              <w:t xml:space="preserve"> </w:t>
            </w:r>
            <w:r>
              <w:t>需方确立服务内容及签署</w:t>
            </w:r>
            <w:r>
              <w:rPr>
                <w:spacing w:val="8"/>
              </w:rPr>
              <w:t xml:space="preserve"> </w:t>
            </w:r>
            <w:r>
              <w:rPr>
                <w:spacing w:val="23"/>
              </w:rPr>
              <w:t>合同</w:t>
            </w:r>
          </w:p>
        </w:tc>
        <w:tc>
          <w:tcPr>
            <w:tcW w:w="880" w:type="dxa"/>
            <w:tcBorders>
              <w:right w:val="nil"/>
            </w:tcBorders>
            <w:vAlign w:val="top"/>
          </w:tcPr>
          <w:p w14:paraId="3ED71CC8">
            <w:pPr>
              <w:spacing w:line="263" w:lineRule="auto"/>
              <w:rPr>
                <w:rFonts w:ascii="Arial"/>
                <w:sz w:val="21"/>
              </w:rPr>
            </w:pPr>
          </w:p>
          <w:p w14:paraId="201F7502">
            <w:pPr>
              <w:spacing w:line="263" w:lineRule="auto"/>
              <w:rPr>
                <w:rFonts w:ascii="Arial"/>
                <w:sz w:val="21"/>
              </w:rPr>
            </w:pPr>
          </w:p>
          <w:p w14:paraId="02170723">
            <w:pPr>
              <w:pStyle w:val="6"/>
              <w:spacing w:before="62" w:line="220" w:lineRule="auto"/>
              <w:ind w:left="55"/>
            </w:pPr>
            <w:r>
              <w:rPr>
                <w:spacing w:val="2"/>
              </w:rPr>
              <w:t>国家标准</w:t>
            </w:r>
          </w:p>
        </w:tc>
      </w:tr>
      <w:tr w14:paraId="17225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070" w:type="dxa"/>
            <w:tcBorders>
              <w:left w:val="nil"/>
            </w:tcBorders>
            <w:vAlign w:val="top"/>
          </w:tcPr>
          <w:p w14:paraId="0243E66D">
            <w:pPr>
              <w:spacing w:line="264" w:lineRule="auto"/>
              <w:rPr>
                <w:rFonts w:ascii="Arial"/>
                <w:sz w:val="21"/>
              </w:rPr>
            </w:pPr>
          </w:p>
          <w:p w14:paraId="7AD1C29D">
            <w:pPr>
              <w:pStyle w:val="6"/>
              <w:spacing w:before="62" w:line="224" w:lineRule="auto"/>
              <w:ind w:left="60"/>
            </w:pPr>
            <w:r>
              <w:rPr>
                <w:spacing w:val="-2"/>
              </w:rPr>
              <w:t>GB/T</w:t>
            </w:r>
            <w:r>
              <w:rPr>
                <w:spacing w:val="14"/>
              </w:rPr>
              <w:t xml:space="preserve"> </w:t>
            </w:r>
            <w:r>
              <w:rPr>
                <w:spacing w:val="-2"/>
              </w:rPr>
              <w:t>39770</w:t>
            </w:r>
          </w:p>
        </w:tc>
        <w:tc>
          <w:tcPr>
            <w:tcW w:w="1350" w:type="dxa"/>
            <w:vAlign w:val="top"/>
          </w:tcPr>
          <w:p w14:paraId="60A64D45">
            <w:pPr>
              <w:pStyle w:val="6"/>
              <w:spacing w:before="212" w:line="231" w:lineRule="auto"/>
              <w:ind w:left="54" w:right="132" w:firstLine="20"/>
            </w:pPr>
            <w:r>
              <w:rPr>
                <w:spacing w:val="-2"/>
              </w:rPr>
              <w:t>信息技术服务</w:t>
            </w:r>
            <w:r>
              <w:rPr>
                <w:spacing w:val="3"/>
              </w:rPr>
              <w:t xml:space="preserve"> </w:t>
            </w:r>
            <w:r>
              <w:rPr>
                <w:spacing w:val="-2"/>
              </w:rPr>
              <w:t>服务安全要求</w:t>
            </w:r>
          </w:p>
        </w:tc>
        <w:tc>
          <w:tcPr>
            <w:tcW w:w="2880" w:type="dxa"/>
            <w:vAlign w:val="top"/>
          </w:tcPr>
          <w:p w14:paraId="5D06D687">
            <w:pPr>
              <w:pStyle w:val="6"/>
              <w:spacing w:before="71" w:line="242" w:lineRule="auto"/>
              <w:ind w:left="74"/>
              <w:jc w:val="both"/>
            </w:pPr>
            <w:r>
              <w:rPr>
                <w:spacing w:val="-5"/>
              </w:rPr>
              <w:t>该标准提出了信息技术服务安全模</w:t>
            </w:r>
            <w:r>
              <w:rPr>
                <w:spacing w:val="11"/>
              </w:rPr>
              <w:t xml:space="preserve"> </w:t>
            </w:r>
            <w:r>
              <w:rPr>
                <w:spacing w:val="-4"/>
              </w:rPr>
              <w:t>型，规定了安全总则、生存周期和</w:t>
            </w:r>
            <w:r>
              <w:rPr>
                <w:spacing w:val="4"/>
              </w:rPr>
              <w:t xml:space="preserve"> </w:t>
            </w:r>
            <w:r>
              <w:rPr>
                <w:spacing w:val="1"/>
              </w:rPr>
              <w:t>能力要素的安全要求</w:t>
            </w:r>
          </w:p>
        </w:tc>
        <w:tc>
          <w:tcPr>
            <w:tcW w:w="2130" w:type="dxa"/>
            <w:vAlign w:val="top"/>
          </w:tcPr>
          <w:p w14:paraId="6C31BDC3">
            <w:pPr>
              <w:pStyle w:val="6"/>
              <w:spacing w:before="71" w:line="242" w:lineRule="auto"/>
              <w:ind w:left="15"/>
              <w:jc w:val="both"/>
            </w:pPr>
            <w:r>
              <w:rPr>
                <w:spacing w:val="-2"/>
              </w:rPr>
              <w:t>该标准适用于信息技术服</w:t>
            </w:r>
            <w:r>
              <w:rPr>
                <w:spacing w:val="9"/>
              </w:rPr>
              <w:t xml:space="preserve"> </w:t>
            </w:r>
            <w:r>
              <w:rPr>
                <w:spacing w:val="1"/>
              </w:rPr>
              <w:t>务提供方、服务需求方和</w:t>
            </w:r>
            <w:r>
              <w:rPr>
                <w:spacing w:val="2"/>
              </w:rPr>
              <w:t xml:space="preserve"> </w:t>
            </w:r>
            <w:r>
              <w:rPr>
                <w:spacing w:val="7"/>
              </w:rPr>
              <w:t>第三方</w:t>
            </w:r>
          </w:p>
        </w:tc>
        <w:tc>
          <w:tcPr>
            <w:tcW w:w="880" w:type="dxa"/>
            <w:tcBorders>
              <w:right w:val="nil"/>
            </w:tcBorders>
            <w:vAlign w:val="top"/>
          </w:tcPr>
          <w:p w14:paraId="071BD0CB">
            <w:pPr>
              <w:spacing w:line="259" w:lineRule="auto"/>
              <w:rPr>
                <w:rFonts w:ascii="Arial"/>
                <w:sz w:val="21"/>
              </w:rPr>
            </w:pPr>
          </w:p>
          <w:p w14:paraId="72442E65">
            <w:pPr>
              <w:pStyle w:val="6"/>
              <w:spacing w:before="62" w:line="220" w:lineRule="auto"/>
              <w:ind w:left="55"/>
            </w:pPr>
            <w:r>
              <w:rPr>
                <w:spacing w:val="2"/>
              </w:rPr>
              <w:t>国家标准</w:t>
            </w:r>
          </w:p>
        </w:tc>
      </w:tr>
      <w:tr w14:paraId="64200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70" w:type="dxa"/>
            <w:tcBorders>
              <w:left w:val="nil"/>
            </w:tcBorders>
            <w:vAlign w:val="top"/>
          </w:tcPr>
          <w:p w14:paraId="165F7D44">
            <w:pPr>
              <w:spacing w:line="388" w:lineRule="auto"/>
              <w:rPr>
                <w:rFonts w:ascii="Arial"/>
                <w:sz w:val="21"/>
              </w:rPr>
            </w:pPr>
          </w:p>
          <w:p w14:paraId="4A8DE35F">
            <w:pPr>
              <w:pStyle w:val="6"/>
              <w:spacing w:before="61" w:line="218" w:lineRule="auto"/>
              <w:ind w:left="60"/>
            </w:pPr>
            <w:r>
              <w:rPr>
                <w:spacing w:val="-3"/>
              </w:rPr>
              <w:t>SJ/T</w:t>
            </w:r>
            <w:r>
              <w:rPr>
                <w:spacing w:val="49"/>
              </w:rPr>
              <w:t xml:space="preserve"> </w:t>
            </w:r>
            <w:r>
              <w:rPr>
                <w:spacing w:val="-3"/>
              </w:rPr>
              <w:t>11691</w:t>
            </w:r>
          </w:p>
        </w:tc>
        <w:tc>
          <w:tcPr>
            <w:tcW w:w="1350" w:type="dxa"/>
            <w:vAlign w:val="top"/>
          </w:tcPr>
          <w:p w14:paraId="6160F52D">
            <w:pPr>
              <w:pStyle w:val="6"/>
              <w:spacing w:before="192" w:line="255" w:lineRule="auto"/>
              <w:ind w:left="45" w:right="132" w:firstLine="30"/>
              <w:jc w:val="both"/>
            </w:pPr>
            <w:r>
              <w:rPr>
                <w:spacing w:val="-2"/>
              </w:rPr>
              <w:t>信息技术服务</w:t>
            </w:r>
            <w:r>
              <w:rPr>
                <w:spacing w:val="3"/>
              </w:rPr>
              <w:t xml:space="preserve"> </w:t>
            </w:r>
            <w:r>
              <w:rPr>
                <w:spacing w:val="2"/>
              </w:rPr>
              <w:t>服务级别协议</w:t>
            </w:r>
            <w:r>
              <w:t xml:space="preserve"> </w:t>
            </w:r>
            <w:r>
              <w:rPr>
                <w:spacing w:val="-3"/>
              </w:rPr>
              <w:t>指南</w:t>
            </w:r>
          </w:p>
        </w:tc>
        <w:tc>
          <w:tcPr>
            <w:tcW w:w="2880" w:type="dxa"/>
            <w:vAlign w:val="top"/>
          </w:tcPr>
          <w:p w14:paraId="1C000EED">
            <w:pPr>
              <w:pStyle w:val="6"/>
              <w:spacing w:before="212" w:line="249" w:lineRule="auto"/>
              <w:ind w:left="65"/>
              <w:jc w:val="both"/>
            </w:pPr>
            <w:r>
              <w:rPr>
                <w:spacing w:val="-4"/>
              </w:rPr>
              <w:t>该标准给出了信息技术服务级别协</w:t>
            </w:r>
            <w:r>
              <w:rPr>
                <w:spacing w:val="13"/>
              </w:rPr>
              <w:t xml:space="preserve"> </w:t>
            </w:r>
            <w:r>
              <w:rPr>
                <w:spacing w:val="-4"/>
              </w:rPr>
              <w:t>议的各项要素，并提出了针对服务</w:t>
            </w:r>
            <w:r>
              <w:rPr>
                <w:spacing w:val="12"/>
              </w:rPr>
              <w:t xml:space="preserve"> </w:t>
            </w:r>
            <w:r>
              <w:rPr>
                <w:spacing w:val="-2"/>
              </w:rPr>
              <w:t>级别协议的管理流程</w:t>
            </w:r>
          </w:p>
        </w:tc>
        <w:tc>
          <w:tcPr>
            <w:tcW w:w="2130" w:type="dxa"/>
            <w:vAlign w:val="top"/>
          </w:tcPr>
          <w:p w14:paraId="315765DC">
            <w:pPr>
              <w:pStyle w:val="6"/>
              <w:spacing w:before="74" w:line="244" w:lineRule="auto"/>
              <w:ind w:left="15" w:right="4"/>
            </w:pPr>
            <w:r>
              <w:t>该标准适用于为建立、管</w:t>
            </w:r>
            <w:r>
              <w:rPr>
                <w:spacing w:val="9"/>
              </w:rPr>
              <w:t xml:space="preserve"> </w:t>
            </w:r>
            <w:r>
              <w:rPr>
                <w:spacing w:val="8"/>
              </w:rPr>
              <w:t>理并评价一致的、全面</w:t>
            </w:r>
            <w:r>
              <w:t xml:space="preserve">  的、可量化的服务级别协</w:t>
            </w:r>
            <w:r>
              <w:rPr>
                <w:spacing w:val="9"/>
              </w:rPr>
              <w:t xml:space="preserve"> </w:t>
            </w:r>
            <w:r>
              <w:rPr>
                <w:spacing w:val="2"/>
              </w:rPr>
              <w:t>议提供指南</w:t>
            </w:r>
          </w:p>
        </w:tc>
        <w:tc>
          <w:tcPr>
            <w:tcW w:w="880" w:type="dxa"/>
            <w:tcBorders>
              <w:right w:val="nil"/>
            </w:tcBorders>
            <w:vAlign w:val="top"/>
          </w:tcPr>
          <w:p w14:paraId="5DDBED25">
            <w:pPr>
              <w:spacing w:line="390" w:lineRule="auto"/>
              <w:rPr>
                <w:rFonts w:ascii="Arial"/>
                <w:sz w:val="21"/>
              </w:rPr>
            </w:pPr>
          </w:p>
          <w:p w14:paraId="25C74A92">
            <w:pPr>
              <w:pStyle w:val="6"/>
              <w:spacing w:before="62" w:line="220" w:lineRule="auto"/>
              <w:ind w:left="55"/>
            </w:pPr>
            <w:r>
              <w:rPr>
                <w:spacing w:val="-2"/>
              </w:rPr>
              <w:t>行业标准</w:t>
            </w:r>
          </w:p>
        </w:tc>
      </w:tr>
      <w:tr w14:paraId="1BD37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1070" w:type="dxa"/>
            <w:tcBorders>
              <w:left w:val="nil"/>
            </w:tcBorders>
            <w:vAlign w:val="top"/>
          </w:tcPr>
          <w:p w14:paraId="78E4D9B9">
            <w:pPr>
              <w:spacing w:line="262" w:lineRule="auto"/>
              <w:rPr>
                <w:rFonts w:ascii="Arial"/>
                <w:sz w:val="21"/>
              </w:rPr>
            </w:pPr>
          </w:p>
          <w:p w14:paraId="6FE5C789">
            <w:pPr>
              <w:spacing w:line="263" w:lineRule="auto"/>
              <w:rPr>
                <w:rFonts w:ascii="Arial"/>
                <w:sz w:val="21"/>
              </w:rPr>
            </w:pPr>
          </w:p>
          <w:p w14:paraId="49DE8093">
            <w:pPr>
              <w:pStyle w:val="6"/>
              <w:spacing w:before="62" w:line="224" w:lineRule="auto"/>
              <w:ind w:left="60"/>
            </w:pPr>
            <w:r>
              <w:rPr>
                <w:spacing w:val="-1"/>
              </w:rPr>
              <w:t>T/CESA1154</w:t>
            </w:r>
          </w:p>
        </w:tc>
        <w:tc>
          <w:tcPr>
            <w:tcW w:w="1350" w:type="dxa"/>
            <w:vAlign w:val="top"/>
          </w:tcPr>
          <w:p w14:paraId="58432471">
            <w:pPr>
              <w:pStyle w:val="6"/>
              <w:spacing w:before="215" w:line="249" w:lineRule="auto"/>
              <w:ind w:left="45" w:right="138"/>
              <w:jc w:val="both"/>
            </w:pPr>
            <w:r>
              <w:rPr>
                <w:spacing w:val="-2"/>
              </w:rPr>
              <w:t>信息技术服务</w:t>
            </w:r>
            <w:r>
              <w:rPr>
                <w:spacing w:val="3"/>
              </w:rPr>
              <w:t xml:space="preserve"> </w:t>
            </w:r>
            <w:r>
              <w:rPr>
                <w:spacing w:val="2"/>
              </w:rPr>
              <w:t>从业人员能力</w:t>
            </w:r>
            <w:r>
              <w:rPr>
                <w:spacing w:val="3"/>
              </w:rPr>
              <w:t xml:space="preserve"> </w:t>
            </w:r>
            <w:r>
              <w:rPr>
                <w:spacing w:val="-2"/>
              </w:rPr>
              <w:t>评价指南设计</w:t>
            </w:r>
            <w:r>
              <w:rPr>
                <w:spacing w:val="4"/>
              </w:rPr>
              <w:t xml:space="preserve"> </w:t>
            </w:r>
            <w:r>
              <w:rPr>
                <w:spacing w:val="1"/>
              </w:rPr>
              <w:t>与开发服务</w:t>
            </w:r>
          </w:p>
        </w:tc>
        <w:tc>
          <w:tcPr>
            <w:tcW w:w="2880" w:type="dxa"/>
            <w:vAlign w:val="top"/>
          </w:tcPr>
          <w:p w14:paraId="4CD21CAA">
            <w:pPr>
              <w:pStyle w:val="6"/>
              <w:spacing w:before="225" w:line="249" w:lineRule="auto"/>
              <w:ind w:left="35" w:firstLine="39"/>
              <w:jc w:val="both"/>
            </w:pPr>
            <w:r>
              <w:rPr>
                <w:spacing w:val="-4"/>
              </w:rPr>
              <w:t>该标准规定了信息技术服务设计与</w:t>
            </w:r>
            <w:r>
              <w:rPr>
                <w:spacing w:val="4"/>
              </w:rPr>
              <w:t xml:space="preserve"> </w:t>
            </w:r>
            <w:r>
              <w:rPr>
                <w:spacing w:val="-2"/>
              </w:rPr>
              <w:t>开发专业从业人员的职责要求、职</w:t>
            </w:r>
            <w:r>
              <w:rPr>
                <w:spacing w:val="8"/>
              </w:rPr>
              <w:t xml:space="preserve"> </w:t>
            </w:r>
            <w:r>
              <w:rPr>
                <w:spacing w:val="-2"/>
              </w:rPr>
              <w:t>业序列以及等级、各职责等级的准</w:t>
            </w:r>
            <w:r>
              <w:rPr>
                <w:spacing w:val="11"/>
              </w:rPr>
              <w:t xml:space="preserve"> </w:t>
            </w:r>
            <w:r>
              <w:t>入条件和职业能力要求</w:t>
            </w:r>
          </w:p>
        </w:tc>
        <w:tc>
          <w:tcPr>
            <w:tcW w:w="2130" w:type="dxa"/>
            <w:vAlign w:val="top"/>
          </w:tcPr>
          <w:p w14:paraId="5B4CCB1E">
            <w:pPr>
              <w:pStyle w:val="6"/>
              <w:spacing w:before="73" w:line="246" w:lineRule="auto"/>
              <w:ind w:left="15" w:right="4"/>
              <w:jc w:val="both"/>
            </w:pPr>
            <w:r>
              <w:t>该标准适用于提供相关专</w:t>
            </w:r>
            <w:r>
              <w:rPr>
                <w:spacing w:val="9"/>
              </w:rPr>
              <w:t xml:space="preserve"> </w:t>
            </w:r>
            <w:r>
              <w:rPr>
                <w:spacing w:val="-1"/>
              </w:rPr>
              <w:t>业信息技术服务的企业及</w:t>
            </w:r>
            <w:r>
              <w:rPr>
                <w:spacing w:val="3"/>
              </w:rPr>
              <w:t xml:space="preserve"> </w:t>
            </w:r>
            <w:r>
              <w:rPr>
                <w:spacing w:val="-1"/>
              </w:rPr>
              <w:t>有关组织进行从业人员能</w:t>
            </w:r>
            <w:r>
              <w:rPr>
                <w:spacing w:val="1"/>
              </w:rPr>
              <w:t xml:space="preserve"> </w:t>
            </w:r>
            <w:r>
              <w:t>力管理、能力评价和技能</w:t>
            </w:r>
            <w:r>
              <w:rPr>
                <w:spacing w:val="8"/>
              </w:rPr>
              <w:t xml:space="preserve"> </w:t>
            </w:r>
            <w:r>
              <w:t>培训等</w:t>
            </w:r>
          </w:p>
        </w:tc>
        <w:tc>
          <w:tcPr>
            <w:tcW w:w="880" w:type="dxa"/>
            <w:tcBorders>
              <w:right w:val="nil"/>
            </w:tcBorders>
            <w:vAlign w:val="top"/>
          </w:tcPr>
          <w:p w14:paraId="2B897126">
            <w:pPr>
              <w:spacing w:line="260" w:lineRule="auto"/>
              <w:rPr>
                <w:rFonts w:ascii="Arial"/>
                <w:sz w:val="21"/>
              </w:rPr>
            </w:pPr>
          </w:p>
          <w:p w14:paraId="4CC6A5BA">
            <w:pPr>
              <w:spacing w:line="260" w:lineRule="auto"/>
              <w:rPr>
                <w:rFonts w:ascii="Arial"/>
                <w:sz w:val="21"/>
              </w:rPr>
            </w:pPr>
          </w:p>
          <w:p w14:paraId="256812A6">
            <w:pPr>
              <w:pStyle w:val="6"/>
              <w:spacing w:before="62" w:line="220" w:lineRule="auto"/>
              <w:ind w:left="55"/>
            </w:pPr>
            <w:r>
              <w:rPr>
                <w:spacing w:val="2"/>
              </w:rPr>
              <w:t>团体标准</w:t>
            </w:r>
          </w:p>
        </w:tc>
      </w:tr>
      <w:tr w14:paraId="057F1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3" w:hRule="atLeast"/>
        </w:trPr>
        <w:tc>
          <w:tcPr>
            <w:tcW w:w="1070" w:type="dxa"/>
            <w:tcBorders>
              <w:left w:val="nil"/>
            </w:tcBorders>
            <w:vAlign w:val="top"/>
          </w:tcPr>
          <w:p w14:paraId="2863CD7B">
            <w:pPr>
              <w:spacing w:line="268" w:lineRule="auto"/>
              <w:rPr>
                <w:rFonts w:ascii="Arial"/>
                <w:sz w:val="21"/>
              </w:rPr>
            </w:pPr>
          </w:p>
          <w:p w14:paraId="424CB1B0">
            <w:pPr>
              <w:spacing w:line="268" w:lineRule="auto"/>
              <w:rPr>
                <w:rFonts w:ascii="Arial"/>
                <w:sz w:val="21"/>
              </w:rPr>
            </w:pPr>
          </w:p>
          <w:p w14:paraId="67E723F7">
            <w:pPr>
              <w:pStyle w:val="6"/>
              <w:spacing w:before="61" w:line="224" w:lineRule="auto"/>
              <w:ind w:left="60"/>
            </w:pPr>
            <w:r>
              <w:rPr>
                <w:spacing w:val="-1"/>
              </w:rPr>
              <w:t>T/CESA1155</w:t>
            </w:r>
          </w:p>
        </w:tc>
        <w:tc>
          <w:tcPr>
            <w:tcW w:w="1350" w:type="dxa"/>
            <w:vAlign w:val="top"/>
          </w:tcPr>
          <w:p w14:paraId="3B96640E">
            <w:pPr>
              <w:pStyle w:val="6"/>
              <w:spacing w:before="204" w:line="256" w:lineRule="auto"/>
              <w:ind w:left="45" w:right="138"/>
              <w:jc w:val="both"/>
            </w:pPr>
            <w:r>
              <w:rPr>
                <w:spacing w:val="-2"/>
              </w:rPr>
              <w:t>信息技术服务</w:t>
            </w:r>
            <w:r>
              <w:rPr>
                <w:spacing w:val="3"/>
              </w:rPr>
              <w:t xml:space="preserve"> </w:t>
            </w:r>
            <w:r>
              <w:rPr>
                <w:spacing w:val="2"/>
              </w:rPr>
              <w:t>从业人员能力</w:t>
            </w:r>
            <w:r>
              <w:rPr>
                <w:spacing w:val="3"/>
              </w:rPr>
              <w:t xml:space="preserve"> </w:t>
            </w:r>
            <w:r>
              <w:rPr>
                <w:spacing w:val="2"/>
              </w:rPr>
              <w:t>评价指南集成</w:t>
            </w:r>
            <w:r>
              <w:t xml:space="preserve"> </w:t>
            </w:r>
            <w:r>
              <w:rPr>
                <w:spacing w:val="2"/>
              </w:rPr>
              <w:t>实施服务</w:t>
            </w:r>
          </w:p>
        </w:tc>
        <w:tc>
          <w:tcPr>
            <w:tcW w:w="2880" w:type="dxa"/>
            <w:vAlign w:val="top"/>
          </w:tcPr>
          <w:p w14:paraId="09E614DE">
            <w:pPr>
              <w:pStyle w:val="6"/>
              <w:spacing w:before="217" w:line="252" w:lineRule="auto"/>
              <w:ind w:left="44" w:firstLine="9"/>
              <w:jc w:val="both"/>
            </w:pPr>
            <w:r>
              <w:rPr>
                <w:spacing w:val="-3"/>
              </w:rPr>
              <w:t>该标准规定了信息技术服务集成实</w:t>
            </w:r>
            <w:r>
              <w:rPr>
                <w:spacing w:val="9"/>
              </w:rPr>
              <w:t xml:space="preserve"> </w:t>
            </w:r>
            <w:r>
              <w:rPr>
                <w:spacing w:val="-3"/>
              </w:rPr>
              <w:t>施专业从业人员的职责要求、职责</w:t>
            </w:r>
            <w:r>
              <w:rPr>
                <w:spacing w:val="2"/>
              </w:rPr>
              <w:t xml:space="preserve"> </w:t>
            </w:r>
            <w:r>
              <w:rPr>
                <w:spacing w:val="-3"/>
              </w:rPr>
              <w:t>序列以及等级、各职责等级的准入</w:t>
            </w:r>
            <w:r>
              <w:rPr>
                <w:spacing w:val="12"/>
              </w:rPr>
              <w:t xml:space="preserve"> </w:t>
            </w:r>
            <w:r>
              <w:rPr>
                <w:spacing w:val="-1"/>
              </w:rPr>
              <w:t>条件和职业能力要求</w:t>
            </w:r>
          </w:p>
        </w:tc>
        <w:tc>
          <w:tcPr>
            <w:tcW w:w="2130" w:type="dxa"/>
            <w:vAlign w:val="top"/>
          </w:tcPr>
          <w:p w14:paraId="297BF71E">
            <w:pPr>
              <w:pStyle w:val="6"/>
              <w:spacing w:before="76" w:line="248" w:lineRule="auto"/>
              <w:ind w:left="15" w:right="4"/>
              <w:jc w:val="both"/>
            </w:pPr>
            <w:r>
              <w:t>该标准适用于提供相关专</w:t>
            </w:r>
            <w:r>
              <w:rPr>
                <w:spacing w:val="9"/>
              </w:rPr>
              <w:t xml:space="preserve"> </w:t>
            </w:r>
            <w:r>
              <w:rPr>
                <w:spacing w:val="-1"/>
              </w:rPr>
              <w:t>业信息技术服务的企业及</w:t>
            </w:r>
            <w:r>
              <w:rPr>
                <w:spacing w:val="3"/>
              </w:rPr>
              <w:t xml:space="preserve"> </w:t>
            </w:r>
            <w:r>
              <w:rPr>
                <w:spacing w:val="-1"/>
              </w:rPr>
              <w:t>有关组织进行从业人员能</w:t>
            </w:r>
            <w:r>
              <w:rPr>
                <w:spacing w:val="1"/>
              </w:rPr>
              <w:t xml:space="preserve"> </w:t>
            </w:r>
            <w:r>
              <w:t>力管理、能力评价和技能</w:t>
            </w:r>
            <w:r>
              <w:rPr>
                <w:spacing w:val="8"/>
              </w:rPr>
              <w:t xml:space="preserve"> </w:t>
            </w:r>
            <w:r>
              <w:t>培训等</w:t>
            </w:r>
          </w:p>
        </w:tc>
        <w:tc>
          <w:tcPr>
            <w:tcW w:w="880" w:type="dxa"/>
            <w:tcBorders>
              <w:right w:val="nil"/>
            </w:tcBorders>
            <w:vAlign w:val="top"/>
          </w:tcPr>
          <w:p w14:paraId="0270E6CC">
            <w:pPr>
              <w:spacing w:line="265" w:lineRule="auto"/>
              <w:rPr>
                <w:rFonts w:ascii="Arial"/>
                <w:sz w:val="21"/>
              </w:rPr>
            </w:pPr>
          </w:p>
          <w:p w14:paraId="2AD1CD9F">
            <w:pPr>
              <w:spacing w:line="266" w:lineRule="auto"/>
              <w:rPr>
                <w:rFonts w:ascii="Arial"/>
                <w:sz w:val="21"/>
              </w:rPr>
            </w:pPr>
          </w:p>
          <w:p w14:paraId="223FEB48">
            <w:pPr>
              <w:pStyle w:val="6"/>
              <w:spacing w:before="62" w:line="220" w:lineRule="auto"/>
              <w:ind w:left="55"/>
            </w:pPr>
            <w:r>
              <w:rPr>
                <w:spacing w:val="2"/>
              </w:rPr>
              <w:t>团体标准</w:t>
            </w:r>
          </w:p>
        </w:tc>
      </w:tr>
    </w:tbl>
    <w:p w14:paraId="60D89436">
      <w:pPr>
        <w:rPr>
          <w:rFonts w:ascii="Arial"/>
          <w:sz w:val="21"/>
        </w:rPr>
      </w:pPr>
    </w:p>
    <w:p w14:paraId="004DC4E1">
      <w:pPr>
        <w:rPr>
          <w:rFonts w:ascii="Arial" w:hAnsi="Arial" w:eastAsia="Arial" w:cs="Arial"/>
          <w:sz w:val="21"/>
          <w:szCs w:val="21"/>
        </w:rPr>
        <w:sectPr>
          <w:pgSz w:w="10280" w:h="13280"/>
          <w:pgMar w:top="400" w:right="588" w:bottom="400" w:left="1089" w:header="0" w:footer="0" w:gutter="0"/>
          <w:cols w:space="720" w:num="1"/>
        </w:sectPr>
      </w:pPr>
    </w:p>
    <w:p w14:paraId="4BF33D9F">
      <w:pPr>
        <w:pStyle w:val="2"/>
        <w:rPr>
          <w:sz w:val="20"/>
          <w:szCs w:val="20"/>
        </w:rPr>
      </w:pPr>
      <w:r>
        <w:rPr>
          <w:rFonts w:ascii="Times New Roman" w:hAnsi="Times New Roman" w:eastAsia="Times New Roman" w:cs="Times New Roman"/>
          <w:b/>
          <w:bCs/>
          <w:spacing w:val="-4"/>
          <w:position w:val="1"/>
          <w:sz w:val="17"/>
          <w:szCs w:val="17"/>
        </w:rPr>
        <w:t>428</w:t>
      </w:r>
      <w:r>
        <w:rPr>
          <w:rFonts w:ascii="Times New Roman" w:hAnsi="Times New Roman" w:eastAsia="Times New Roman" w:cs="Times New Roman"/>
          <w:b/>
          <w:bCs/>
          <w:spacing w:val="16"/>
          <w:position w:val="1"/>
          <w:sz w:val="17"/>
          <w:szCs w:val="17"/>
        </w:rPr>
        <w:t xml:space="preserve">  </w:t>
      </w:r>
      <w:r>
        <w:rPr>
          <w:position w:val="-10"/>
          <w:sz w:val="17"/>
          <w:szCs w:val="17"/>
        </w:rPr>
        <w:drawing>
          <wp:inline distT="0" distB="0" distL="0" distR="0">
            <wp:extent cx="304800" cy="234315"/>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276"/>
                    <a:stretch>
                      <a:fillRect/>
                    </a:stretch>
                  </pic:blipFill>
                  <pic:spPr>
                    <a:xfrm>
                      <a:off x="0" y="0"/>
                      <a:ext cx="304852" cy="234898"/>
                    </a:xfrm>
                    <a:prstGeom prst="rect">
                      <a:avLst/>
                    </a:prstGeom>
                  </pic:spPr>
                </pic:pic>
              </a:graphicData>
            </a:graphic>
          </wp:inline>
        </w:drawing>
      </w:r>
      <w:r>
        <w:rPr>
          <w:rFonts w:ascii="Times New Roman" w:hAnsi="Times New Roman" w:eastAsia="Times New Roman" w:cs="Times New Roman"/>
          <w:b/>
          <w:bCs/>
          <w:spacing w:val="4"/>
          <w:position w:val="1"/>
          <w:sz w:val="17"/>
          <w:szCs w:val="17"/>
        </w:rPr>
        <w:t xml:space="preserve">   </w:t>
      </w:r>
      <w:r>
        <w:rPr>
          <w:spacing w:val="-4"/>
          <w:sz w:val="20"/>
          <w:szCs w:val="20"/>
        </w:rPr>
        <w:t>信息系统监理师教程(第2版)</w:t>
      </w:r>
    </w:p>
    <w:p w14:paraId="08C6FD46">
      <w:pPr>
        <w:spacing w:line="252" w:lineRule="auto"/>
        <w:rPr>
          <w:rFonts w:ascii="Arial"/>
          <w:sz w:val="21"/>
        </w:rPr>
      </w:pPr>
    </w:p>
    <w:p w14:paraId="46120F11">
      <w:pPr>
        <w:pStyle w:val="2"/>
        <w:spacing w:before="65" w:line="220" w:lineRule="auto"/>
        <w:jc w:val="right"/>
        <w:rPr>
          <w:sz w:val="20"/>
          <w:szCs w:val="20"/>
        </w:rPr>
      </w:pPr>
      <w:r>
        <w:rPr>
          <w:spacing w:val="-2"/>
          <w:sz w:val="20"/>
          <w:szCs w:val="20"/>
        </w:rPr>
        <w:t>(续表)</w:t>
      </w:r>
    </w:p>
    <w:p w14:paraId="5B80E168">
      <w:pPr>
        <w:spacing w:line="57" w:lineRule="exact"/>
      </w:pPr>
    </w:p>
    <w:tbl>
      <w:tblPr>
        <w:tblStyle w:val="5"/>
        <w:tblW w:w="8339" w:type="dxa"/>
        <w:tblInd w:w="3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0"/>
        <w:gridCol w:w="1350"/>
        <w:gridCol w:w="2870"/>
        <w:gridCol w:w="2130"/>
        <w:gridCol w:w="909"/>
      </w:tblGrid>
      <w:tr w14:paraId="6B1B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080" w:type="dxa"/>
            <w:tcBorders>
              <w:left w:val="nil"/>
            </w:tcBorders>
            <w:vAlign w:val="top"/>
          </w:tcPr>
          <w:p w14:paraId="5D560D55">
            <w:pPr>
              <w:pStyle w:val="6"/>
              <w:spacing w:before="80" w:line="220" w:lineRule="auto"/>
              <w:ind w:left="252"/>
            </w:pPr>
            <w:r>
              <w:rPr>
                <w:b/>
                <w:bCs/>
                <w:spacing w:val="-4"/>
              </w:rPr>
              <w:t>标准号</w:t>
            </w:r>
          </w:p>
        </w:tc>
        <w:tc>
          <w:tcPr>
            <w:tcW w:w="1350" w:type="dxa"/>
            <w:vAlign w:val="top"/>
          </w:tcPr>
          <w:p w14:paraId="2C047391">
            <w:pPr>
              <w:pStyle w:val="6"/>
              <w:spacing w:before="80" w:line="220" w:lineRule="auto"/>
              <w:ind w:left="317"/>
            </w:pPr>
            <w:r>
              <w:rPr>
                <w:b/>
                <w:bCs/>
                <w:spacing w:val="-4"/>
              </w:rPr>
              <w:t>标准名称</w:t>
            </w:r>
          </w:p>
        </w:tc>
        <w:tc>
          <w:tcPr>
            <w:tcW w:w="2870" w:type="dxa"/>
            <w:vAlign w:val="top"/>
          </w:tcPr>
          <w:p w14:paraId="0D4CA061">
            <w:pPr>
              <w:pStyle w:val="6"/>
              <w:spacing w:before="80" w:line="219" w:lineRule="auto"/>
              <w:ind w:left="1047"/>
            </w:pPr>
            <w:r>
              <w:rPr>
                <w:b/>
                <w:bCs/>
                <w:spacing w:val="-4"/>
              </w:rPr>
              <w:t>主要内容</w:t>
            </w:r>
          </w:p>
        </w:tc>
        <w:tc>
          <w:tcPr>
            <w:tcW w:w="2130" w:type="dxa"/>
            <w:vAlign w:val="top"/>
          </w:tcPr>
          <w:p w14:paraId="07249AD4">
            <w:pPr>
              <w:pStyle w:val="6"/>
              <w:spacing w:before="80" w:line="220" w:lineRule="auto"/>
              <w:ind w:left="677"/>
            </w:pPr>
            <w:r>
              <w:rPr>
                <w:b/>
                <w:bCs/>
                <w:spacing w:val="-4"/>
              </w:rPr>
              <w:t>适用范围</w:t>
            </w:r>
          </w:p>
        </w:tc>
        <w:tc>
          <w:tcPr>
            <w:tcW w:w="909" w:type="dxa"/>
            <w:tcBorders>
              <w:right w:val="nil"/>
            </w:tcBorders>
            <w:vAlign w:val="top"/>
          </w:tcPr>
          <w:p w14:paraId="36E3E71A">
            <w:pPr>
              <w:pStyle w:val="6"/>
              <w:spacing w:before="80" w:line="219" w:lineRule="auto"/>
              <w:ind w:left="257"/>
            </w:pPr>
            <w:r>
              <w:rPr>
                <w:b/>
                <w:bCs/>
                <w:spacing w:val="-4"/>
              </w:rPr>
              <w:t>类别</w:t>
            </w:r>
          </w:p>
        </w:tc>
      </w:tr>
      <w:tr w14:paraId="075D1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7" w:hRule="atLeast"/>
        </w:trPr>
        <w:tc>
          <w:tcPr>
            <w:tcW w:w="1080" w:type="dxa"/>
            <w:tcBorders>
              <w:left w:val="nil"/>
            </w:tcBorders>
            <w:vAlign w:val="top"/>
          </w:tcPr>
          <w:p w14:paraId="522935B1">
            <w:pPr>
              <w:spacing w:line="294" w:lineRule="auto"/>
              <w:rPr>
                <w:rFonts w:ascii="Arial"/>
                <w:sz w:val="21"/>
              </w:rPr>
            </w:pPr>
          </w:p>
          <w:p w14:paraId="31889A9D">
            <w:pPr>
              <w:spacing w:line="294" w:lineRule="auto"/>
              <w:rPr>
                <w:rFonts w:ascii="Arial"/>
                <w:sz w:val="21"/>
              </w:rPr>
            </w:pPr>
          </w:p>
          <w:p w14:paraId="06FD805F">
            <w:pPr>
              <w:pStyle w:val="6"/>
              <w:spacing w:before="62" w:line="224" w:lineRule="auto"/>
              <w:ind w:left="59"/>
            </w:pPr>
            <w:r>
              <w:rPr>
                <w:spacing w:val="-1"/>
              </w:rPr>
              <w:t>T/CESA1156</w:t>
            </w:r>
          </w:p>
        </w:tc>
        <w:tc>
          <w:tcPr>
            <w:tcW w:w="1350" w:type="dxa"/>
            <w:vAlign w:val="top"/>
          </w:tcPr>
          <w:p w14:paraId="5CFF768A">
            <w:pPr>
              <w:pStyle w:val="6"/>
              <w:spacing w:before="239" w:line="262" w:lineRule="auto"/>
              <w:ind w:left="14" w:right="151"/>
              <w:jc w:val="both"/>
            </w:pPr>
            <w:r>
              <w:rPr>
                <w:spacing w:val="-2"/>
              </w:rPr>
              <w:t>信息技术服务</w:t>
            </w:r>
            <w:r>
              <w:rPr>
                <w:spacing w:val="3"/>
              </w:rPr>
              <w:t xml:space="preserve"> </w:t>
            </w:r>
            <w:r>
              <w:rPr>
                <w:spacing w:val="2"/>
              </w:rPr>
              <w:t>从业人员能力</w:t>
            </w:r>
            <w:r>
              <w:rPr>
                <w:spacing w:val="3"/>
              </w:rPr>
              <w:t xml:space="preserve"> </w:t>
            </w:r>
            <w:r>
              <w:rPr>
                <w:spacing w:val="5"/>
              </w:rPr>
              <w:t>评价指南运行</w:t>
            </w:r>
            <w:r>
              <w:rPr>
                <w:spacing w:val="2"/>
              </w:rPr>
              <w:t xml:space="preserve"> </w:t>
            </w:r>
            <w:r>
              <w:rPr>
                <w:spacing w:val="-2"/>
              </w:rPr>
              <w:t>维护服务</w:t>
            </w:r>
          </w:p>
        </w:tc>
        <w:tc>
          <w:tcPr>
            <w:tcW w:w="2870" w:type="dxa"/>
            <w:vAlign w:val="top"/>
          </w:tcPr>
          <w:p w14:paraId="1AC644C6">
            <w:pPr>
              <w:pStyle w:val="6"/>
              <w:spacing w:before="249" w:line="262" w:lineRule="auto"/>
              <w:ind w:left="14"/>
              <w:jc w:val="both"/>
            </w:pPr>
            <w:r>
              <w:rPr>
                <w:spacing w:val="-2"/>
              </w:rPr>
              <w:t>该标准规定了信息技术服务运行维</w:t>
            </w:r>
            <w:r>
              <w:rPr>
                <w:spacing w:val="1"/>
              </w:rPr>
              <w:t xml:space="preserve"> </w:t>
            </w:r>
            <w:r>
              <w:rPr>
                <w:spacing w:val="-1"/>
              </w:rPr>
              <w:t>护专业从业人员的职责要求、职责</w:t>
            </w:r>
            <w:r>
              <w:rPr>
                <w:spacing w:val="9"/>
              </w:rPr>
              <w:t xml:space="preserve"> </w:t>
            </w:r>
            <w:r>
              <w:rPr>
                <w:spacing w:val="-2"/>
              </w:rPr>
              <w:t>序列以及等级、各职责等级的准入</w:t>
            </w:r>
            <w:r>
              <w:rPr>
                <w:spacing w:val="4"/>
              </w:rPr>
              <w:t xml:space="preserve"> </w:t>
            </w:r>
            <w:r>
              <w:rPr>
                <w:spacing w:val="3"/>
              </w:rPr>
              <w:t>条件和职业能力要求</w:t>
            </w:r>
          </w:p>
        </w:tc>
        <w:tc>
          <w:tcPr>
            <w:tcW w:w="2130" w:type="dxa"/>
            <w:vAlign w:val="top"/>
          </w:tcPr>
          <w:p w14:paraId="72AB1B35">
            <w:pPr>
              <w:pStyle w:val="6"/>
              <w:spacing w:before="108" w:line="262" w:lineRule="auto"/>
              <w:ind w:left="14" w:right="4"/>
              <w:jc w:val="both"/>
            </w:pPr>
            <w:r>
              <w:t>该标准适用于提供相关专</w:t>
            </w:r>
            <w:r>
              <w:rPr>
                <w:spacing w:val="9"/>
              </w:rPr>
              <w:t xml:space="preserve"> </w:t>
            </w:r>
            <w:r>
              <w:rPr>
                <w:spacing w:val="-4"/>
              </w:rPr>
              <w:t>业信息技术服务的企业及</w:t>
            </w:r>
            <w:r>
              <w:rPr>
                <w:spacing w:val="4"/>
              </w:rPr>
              <w:t xml:space="preserve"> </w:t>
            </w:r>
            <w:r>
              <w:rPr>
                <w:spacing w:val="-1"/>
              </w:rPr>
              <w:t>有关组织进行从业人员能</w:t>
            </w:r>
            <w:r>
              <w:rPr>
                <w:spacing w:val="1"/>
              </w:rPr>
              <w:t xml:space="preserve"> </w:t>
            </w:r>
            <w:r>
              <w:t>力管理、能力评价和技能</w:t>
            </w:r>
            <w:r>
              <w:rPr>
                <w:spacing w:val="8"/>
              </w:rPr>
              <w:t xml:space="preserve"> </w:t>
            </w:r>
            <w:r>
              <w:rPr>
                <w:spacing w:val="-2"/>
              </w:rPr>
              <w:t>培训等</w:t>
            </w:r>
          </w:p>
        </w:tc>
        <w:tc>
          <w:tcPr>
            <w:tcW w:w="909" w:type="dxa"/>
            <w:tcBorders>
              <w:right w:val="nil"/>
            </w:tcBorders>
            <w:vAlign w:val="top"/>
          </w:tcPr>
          <w:p w14:paraId="0E0707AB">
            <w:pPr>
              <w:spacing w:line="291" w:lineRule="auto"/>
              <w:rPr>
                <w:rFonts w:ascii="Arial"/>
                <w:sz w:val="21"/>
              </w:rPr>
            </w:pPr>
          </w:p>
          <w:p w14:paraId="3E683BF4">
            <w:pPr>
              <w:spacing w:line="292" w:lineRule="auto"/>
              <w:rPr>
                <w:rFonts w:ascii="Arial"/>
                <w:sz w:val="21"/>
              </w:rPr>
            </w:pPr>
          </w:p>
          <w:p w14:paraId="512161D5">
            <w:pPr>
              <w:pStyle w:val="6"/>
              <w:spacing w:before="62" w:line="220" w:lineRule="auto"/>
              <w:ind w:left="64"/>
            </w:pPr>
            <w:r>
              <w:rPr>
                <w:spacing w:val="2"/>
              </w:rPr>
              <w:t>团体标准</w:t>
            </w:r>
          </w:p>
        </w:tc>
      </w:tr>
      <w:tr w14:paraId="6B9ED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6" w:hRule="atLeast"/>
        </w:trPr>
        <w:tc>
          <w:tcPr>
            <w:tcW w:w="1080" w:type="dxa"/>
            <w:tcBorders>
              <w:left w:val="nil"/>
            </w:tcBorders>
            <w:vAlign w:val="top"/>
          </w:tcPr>
          <w:p w14:paraId="1A90031B">
            <w:pPr>
              <w:spacing w:line="295" w:lineRule="auto"/>
              <w:rPr>
                <w:rFonts w:ascii="Arial"/>
                <w:sz w:val="21"/>
              </w:rPr>
            </w:pPr>
          </w:p>
          <w:p w14:paraId="1D8EAC3C">
            <w:pPr>
              <w:spacing w:line="296" w:lineRule="auto"/>
              <w:rPr>
                <w:rFonts w:ascii="Arial"/>
                <w:sz w:val="21"/>
              </w:rPr>
            </w:pPr>
          </w:p>
          <w:p w14:paraId="0526341F">
            <w:pPr>
              <w:pStyle w:val="6"/>
              <w:spacing w:before="62" w:line="224" w:lineRule="auto"/>
              <w:ind w:left="59"/>
            </w:pPr>
            <w:r>
              <w:rPr>
                <w:spacing w:val="-1"/>
              </w:rPr>
              <w:t>T/CESA1157</w:t>
            </w:r>
          </w:p>
        </w:tc>
        <w:tc>
          <w:tcPr>
            <w:tcW w:w="1350" w:type="dxa"/>
            <w:vAlign w:val="top"/>
          </w:tcPr>
          <w:p w14:paraId="096EE664">
            <w:pPr>
              <w:pStyle w:val="6"/>
              <w:spacing w:before="251" w:line="262" w:lineRule="auto"/>
              <w:ind w:left="14" w:right="49" w:firstLine="29"/>
            </w:pPr>
            <w:r>
              <w:rPr>
                <w:spacing w:val="-2"/>
              </w:rPr>
              <w:t>信息技术服务</w:t>
            </w:r>
            <w:r>
              <w:rPr>
                <w:spacing w:val="1"/>
              </w:rPr>
              <w:t xml:space="preserve">  </w:t>
            </w:r>
            <w:r>
              <w:rPr>
                <w:spacing w:val="2"/>
              </w:rPr>
              <w:t>从业人员能力</w:t>
            </w:r>
            <w:r>
              <w:rPr>
                <w:spacing w:val="1"/>
              </w:rPr>
              <w:t xml:space="preserve">  </w:t>
            </w:r>
            <w:r>
              <w:rPr>
                <w:spacing w:val="5"/>
              </w:rPr>
              <w:t>评价指南云计|</w:t>
            </w:r>
            <w:r>
              <w:rPr>
                <w:spacing w:val="4"/>
              </w:rPr>
              <w:t xml:space="preserve"> </w:t>
            </w:r>
            <w:r>
              <w:rPr>
                <w:spacing w:val="-2"/>
              </w:rPr>
              <w:t>算服务</w:t>
            </w:r>
          </w:p>
        </w:tc>
        <w:tc>
          <w:tcPr>
            <w:tcW w:w="2870" w:type="dxa"/>
            <w:vAlign w:val="top"/>
          </w:tcPr>
          <w:p w14:paraId="41474F57">
            <w:pPr>
              <w:pStyle w:val="6"/>
              <w:spacing w:before="250" w:line="269" w:lineRule="auto"/>
              <w:ind w:left="14" w:right="3"/>
              <w:jc w:val="both"/>
            </w:pPr>
            <w:r>
              <w:rPr>
                <w:spacing w:val="-1"/>
              </w:rPr>
              <w:t>该标准规定了信息技术服务云计算</w:t>
            </w:r>
            <w:r>
              <w:rPr>
                <w:spacing w:val="3"/>
              </w:rPr>
              <w:t xml:space="preserve"> </w:t>
            </w:r>
            <w:r>
              <w:rPr>
                <w:spacing w:val="-1"/>
              </w:rPr>
              <w:t>专业从业人员的职责要求、职责序</w:t>
            </w:r>
            <w:r>
              <w:rPr>
                <w:spacing w:val="5"/>
              </w:rPr>
              <w:t xml:space="preserve"> </w:t>
            </w:r>
            <w:r>
              <w:rPr>
                <w:spacing w:val="-1"/>
              </w:rPr>
              <w:t>列以及等级、各职责等级的准入条</w:t>
            </w:r>
            <w:r>
              <w:rPr>
                <w:spacing w:val="2"/>
              </w:rPr>
              <w:t xml:space="preserve"> 件和职业能力要求</w:t>
            </w:r>
          </w:p>
        </w:tc>
        <w:tc>
          <w:tcPr>
            <w:tcW w:w="2130" w:type="dxa"/>
            <w:vAlign w:val="top"/>
          </w:tcPr>
          <w:p w14:paraId="309610EB">
            <w:pPr>
              <w:pStyle w:val="6"/>
              <w:spacing w:before="121" w:line="262" w:lineRule="auto"/>
              <w:ind w:left="14" w:right="4"/>
              <w:jc w:val="both"/>
            </w:pPr>
            <w:r>
              <w:t>该标准适用于提供相关专</w:t>
            </w:r>
            <w:r>
              <w:rPr>
                <w:spacing w:val="9"/>
              </w:rPr>
              <w:t xml:space="preserve"> </w:t>
            </w:r>
            <w:r>
              <w:rPr>
                <w:spacing w:val="-1"/>
              </w:rPr>
              <w:t>业信息技术服务的企业及</w:t>
            </w:r>
            <w:r>
              <w:rPr>
                <w:spacing w:val="3"/>
              </w:rPr>
              <w:t xml:space="preserve"> </w:t>
            </w:r>
            <w:r>
              <w:rPr>
                <w:spacing w:val="-1"/>
              </w:rPr>
              <w:t>有关组织进行从业人员能</w:t>
            </w:r>
            <w:r>
              <w:rPr>
                <w:spacing w:val="1"/>
              </w:rPr>
              <w:t xml:space="preserve"> </w:t>
            </w:r>
            <w:r>
              <w:t>力管理、能力评价和技能</w:t>
            </w:r>
            <w:r>
              <w:rPr>
                <w:spacing w:val="8"/>
              </w:rPr>
              <w:t xml:space="preserve"> </w:t>
            </w:r>
            <w:r>
              <w:rPr>
                <w:spacing w:val="-2"/>
              </w:rPr>
              <w:t>培训等</w:t>
            </w:r>
          </w:p>
        </w:tc>
        <w:tc>
          <w:tcPr>
            <w:tcW w:w="909" w:type="dxa"/>
            <w:tcBorders>
              <w:right w:val="nil"/>
            </w:tcBorders>
            <w:vAlign w:val="top"/>
          </w:tcPr>
          <w:p w14:paraId="62996602">
            <w:pPr>
              <w:spacing w:line="293" w:lineRule="auto"/>
              <w:rPr>
                <w:rFonts w:ascii="Arial"/>
                <w:sz w:val="21"/>
              </w:rPr>
            </w:pPr>
          </w:p>
          <w:p w14:paraId="68660505">
            <w:pPr>
              <w:spacing w:line="294" w:lineRule="auto"/>
              <w:rPr>
                <w:rFonts w:ascii="Arial"/>
                <w:sz w:val="21"/>
              </w:rPr>
            </w:pPr>
          </w:p>
          <w:p w14:paraId="28CB48A8">
            <w:pPr>
              <w:pStyle w:val="6"/>
              <w:spacing w:before="61" w:line="220" w:lineRule="auto"/>
              <w:ind w:left="64"/>
            </w:pPr>
            <w:r>
              <w:rPr>
                <w:spacing w:val="2"/>
              </w:rPr>
              <w:t>团体标准</w:t>
            </w:r>
          </w:p>
        </w:tc>
      </w:tr>
      <w:tr w14:paraId="2D67A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2" w:hRule="atLeast"/>
        </w:trPr>
        <w:tc>
          <w:tcPr>
            <w:tcW w:w="1080" w:type="dxa"/>
            <w:tcBorders>
              <w:left w:val="nil"/>
            </w:tcBorders>
            <w:vAlign w:val="top"/>
          </w:tcPr>
          <w:p w14:paraId="6E16CC09">
            <w:pPr>
              <w:spacing w:line="287" w:lineRule="auto"/>
              <w:rPr>
                <w:rFonts w:ascii="Arial"/>
                <w:sz w:val="21"/>
              </w:rPr>
            </w:pPr>
          </w:p>
          <w:p w14:paraId="1BC3288F">
            <w:pPr>
              <w:spacing w:line="288" w:lineRule="auto"/>
              <w:rPr>
                <w:rFonts w:ascii="Arial"/>
                <w:sz w:val="21"/>
              </w:rPr>
            </w:pPr>
          </w:p>
          <w:p w14:paraId="1198EEC9">
            <w:pPr>
              <w:pStyle w:val="6"/>
              <w:spacing w:before="62" w:line="224" w:lineRule="auto"/>
              <w:jc w:val="right"/>
            </w:pPr>
            <w:r>
              <w:rPr>
                <w:spacing w:val="-3"/>
              </w:rPr>
              <w:t>T/CESA</w:t>
            </w:r>
            <w:r>
              <w:rPr>
                <w:spacing w:val="45"/>
              </w:rPr>
              <w:t xml:space="preserve"> </w:t>
            </w:r>
            <w:r>
              <w:rPr>
                <w:spacing w:val="-3"/>
              </w:rPr>
              <w:t>1158</w:t>
            </w:r>
          </w:p>
        </w:tc>
        <w:tc>
          <w:tcPr>
            <w:tcW w:w="1350" w:type="dxa"/>
            <w:vAlign w:val="top"/>
          </w:tcPr>
          <w:p w14:paraId="12417424">
            <w:pPr>
              <w:pStyle w:val="6"/>
              <w:spacing w:before="245" w:line="259" w:lineRule="auto"/>
              <w:ind w:left="14" w:right="141"/>
              <w:jc w:val="both"/>
            </w:pPr>
            <w:r>
              <w:rPr>
                <w:spacing w:val="-2"/>
              </w:rPr>
              <w:t>信息技术服务</w:t>
            </w:r>
            <w:r>
              <w:rPr>
                <w:spacing w:val="3"/>
              </w:rPr>
              <w:t xml:space="preserve"> </w:t>
            </w:r>
            <w:r>
              <w:rPr>
                <w:spacing w:val="2"/>
              </w:rPr>
              <w:t>从业人员能力</w:t>
            </w:r>
            <w:r>
              <w:rPr>
                <w:spacing w:val="3"/>
              </w:rPr>
              <w:t xml:space="preserve"> </w:t>
            </w:r>
            <w:r>
              <w:rPr>
                <w:spacing w:val="7"/>
              </w:rPr>
              <w:t>评价指南信息</w:t>
            </w:r>
            <w:r>
              <w:rPr>
                <w:spacing w:val="1"/>
              </w:rPr>
              <w:t xml:space="preserve"> </w:t>
            </w:r>
            <w:r>
              <w:rPr>
                <w:spacing w:val="9"/>
              </w:rPr>
              <w:t>安全服务</w:t>
            </w:r>
          </w:p>
        </w:tc>
        <w:tc>
          <w:tcPr>
            <w:tcW w:w="2870" w:type="dxa"/>
            <w:vAlign w:val="top"/>
          </w:tcPr>
          <w:p w14:paraId="1ACB3366">
            <w:pPr>
              <w:pStyle w:val="6"/>
              <w:spacing w:before="246" w:line="262" w:lineRule="auto"/>
              <w:ind w:left="14"/>
              <w:jc w:val="both"/>
            </w:pPr>
            <w:r>
              <w:rPr>
                <w:spacing w:val="-1"/>
              </w:rPr>
              <w:t>该标准规定了信息技术服务信息安</w:t>
            </w:r>
            <w:r>
              <w:rPr>
                <w:spacing w:val="9"/>
              </w:rPr>
              <w:t xml:space="preserve"> </w:t>
            </w:r>
            <w:r>
              <w:rPr>
                <w:spacing w:val="-2"/>
              </w:rPr>
              <w:t>全专业从业人员的职责要求、职责</w:t>
            </w:r>
            <w:r>
              <w:rPr>
                <w:spacing w:val="5"/>
              </w:rPr>
              <w:t xml:space="preserve"> </w:t>
            </w:r>
            <w:r>
              <w:rPr>
                <w:spacing w:val="-2"/>
              </w:rPr>
              <w:t>序列以及等级、各职责等级的准入</w:t>
            </w:r>
            <w:r>
              <w:rPr>
                <w:spacing w:val="6"/>
              </w:rPr>
              <w:t xml:space="preserve"> </w:t>
            </w:r>
            <w:r>
              <w:rPr>
                <w:spacing w:val="2"/>
              </w:rPr>
              <w:t>条件和职业能力要求</w:t>
            </w:r>
          </w:p>
        </w:tc>
        <w:tc>
          <w:tcPr>
            <w:tcW w:w="2130" w:type="dxa"/>
            <w:vAlign w:val="top"/>
          </w:tcPr>
          <w:p w14:paraId="71E70BBA">
            <w:pPr>
              <w:pStyle w:val="6"/>
              <w:spacing w:before="105" w:line="257" w:lineRule="auto"/>
              <w:ind w:left="14" w:right="4"/>
              <w:jc w:val="both"/>
            </w:pPr>
            <w:r>
              <w:t>该标准适用于提供相关专</w:t>
            </w:r>
            <w:r>
              <w:rPr>
                <w:spacing w:val="9"/>
              </w:rPr>
              <w:t xml:space="preserve"> </w:t>
            </w:r>
            <w:r>
              <w:rPr>
                <w:spacing w:val="-1"/>
              </w:rPr>
              <w:t>业信息技术服务的企业及</w:t>
            </w:r>
            <w:r>
              <w:rPr>
                <w:spacing w:val="3"/>
              </w:rPr>
              <w:t xml:space="preserve"> </w:t>
            </w:r>
            <w:r>
              <w:rPr>
                <w:spacing w:val="-1"/>
              </w:rPr>
              <w:t>有关组织进行从业人员能</w:t>
            </w:r>
            <w:r>
              <w:rPr>
                <w:spacing w:val="1"/>
              </w:rPr>
              <w:t xml:space="preserve"> </w:t>
            </w:r>
            <w:r>
              <w:t>力管理、能力评价和技能</w:t>
            </w:r>
            <w:r>
              <w:rPr>
                <w:spacing w:val="8"/>
              </w:rPr>
              <w:t xml:space="preserve"> </w:t>
            </w:r>
            <w:r>
              <w:rPr>
                <w:spacing w:val="-2"/>
              </w:rPr>
              <w:t>培训等</w:t>
            </w:r>
          </w:p>
        </w:tc>
        <w:tc>
          <w:tcPr>
            <w:tcW w:w="909" w:type="dxa"/>
            <w:tcBorders>
              <w:right w:val="nil"/>
            </w:tcBorders>
            <w:vAlign w:val="top"/>
          </w:tcPr>
          <w:p w14:paraId="64335EF2">
            <w:pPr>
              <w:spacing w:line="285" w:lineRule="auto"/>
              <w:rPr>
                <w:rFonts w:ascii="Arial"/>
                <w:sz w:val="21"/>
              </w:rPr>
            </w:pPr>
          </w:p>
          <w:p w14:paraId="79965A01">
            <w:pPr>
              <w:spacing w:line="286" w:lineRule="auto"/>
              <w:rPr>
                <w:rFonts w:ascii="Arial"/>
                <w:sz w:val="21"/>
              </w:rPr>
            </w:pPr>
          </w:p>
          <w:p w14:paraId="198928B6">
            <w:pPr>
              <w:pStyle w:val="6"/>
              <w:spacing w:before="61" w:line="220" w:lineRule="auto"/>
              <w:ind w:left="64"/>
            </w:pPr>
            <w:r>
              <w:rPr>
                <w:spacing w:val="2"/>
              </w:rPr>
              <w:t>团体标准</w:t>
            </w:r>
          </w:p>
        </w:tc>
      </w:tr>
    </w:tbl>
    <w:p w14:paraId="09EBED19">
      <w:pPr>
        <w:spacing w:line="340" w:lineRule="auto"/>
        <w:rPr>
          <w:rFonts w:ascii="Arial"/>
          <w:sz w:val="21"/>
        </w:rPr>
      </w:pPr>
    </w:p>
    <w:p w14:paraId="7BC8C724">
      <w:pPr>
        <w:pStyle w:val="2"/>
        <w:spacing w:before="91" w:line="223" w:lineRule="auto"/>
        <w:ind w:left="344"/>
        <w:rPr>
          <w:rFonts w:ascii="黑体" w:hAnsi="黑体" w:eastAsia="黑体" w:cs="黑体"/>
          <w:sz w:val="28"/>
          <w:szCs w:val="28"/>
        </w:rPr>
      </w:pPr>
      <w:r>
        <w:rPr>
          <w:b/>
          <w:bCs/>
          <w:color w:val="006AD4"/>
          <w:spacing w:val="-8"/>
          <w:sz w:val="28"/>
          <w:szCs w:val="28"/>
        </w:rPr>
        <w:t>19.3</w:t>
      </w:r>
      <w:r>
        <w:rPr>
          <w:color w:val="006AD4"/>
          <w:spacing w:val="11"/>
          <w:sz w:val="28"/>
          <w:szCs w:val="28"/>
        </w:rPr>
        <w:t xml:space="preserve">  </w:t>
      </w:r>
      <w:r>
        <w:rPr>
          <w:rFonts w:ascii="黑体" w:hAnsi="黑体" w:eastAsia="黑体" w:cs="黑体"/>
          <w:b/>
          <w:bCs/>
          <w:color w:val="006AD4"/>
          <w:spacing w:val="-8"/>
          <w:sz w:val="28"/>
          <w:szCs w:val="28"/>
        </w:rPr>
        <w:t>监理合同</w:t>
      </w:r>
    </w:p>
    <w:p w14:paraId="54E8C196">
      <w:pPr>
        <w:pStyle w:val="2"/>
        <w:spacing w:before="260" w:line="263" w:lineRule="auto"/>
        <w:ind w:left="340" w:right="77" w:firstLine="420"/>
        <w:rPr>
          <w:sz w:val="20"/>
          <w:szCs w:val="20"/>
        </w:rPr>
      </w:pPr>
      <w:r>
        <w:rPr>
          <w:spacing w:val="3"/>
          <w:sz w:val="20"/>
          <w:szCs w:val="20"/>
        </w:rPr>
        <w:t>监理单位应参与承建合同和运维服务合同的签订过程，在承建合同和运维服务合同中明确</w:t>
      </w:r>
      <w:r>
        <w:rPr>
          <w:spacing w:val="7"/>
          <w:sz w:val="20"/>
          <w:szCs w:val="20"/>
        </w:rPr>
        <w:t xml:space="preserve"> </w:t>
      </w:r>
      <w:r>
        <w:rPr>
          <w:spacing w:val="-1"/>
          <w:sz w:val="20"/>
          <w:szCs w:val="20"/>
        </w:rPr>
        <w:t>要求承建单位和运维服务提供方接受监理单位的监理，并签</w:t>
      </w:r>
      <w:r>
        <w:rPr>
          <w:spacing w:val="-2"/>
          <w:sz w:val="20"/>
          <w:szCs w:val="20"/>
        </w:rPr>
        <w:t>订监理合同。</w:t>
      </w:r>
    </w:p>
    <w:p w14:paraId="7F7EAB0C">
      <w:pPr>
        <w:pStyle w:val="2"/>
        <w:spacing w:before="62" w:line="270" w:lineRule="auto"/>
        <w:ind w:left="340" w:right="85" w:firstLine="420"/>
        <w:rPr>
          <w:sz w:val="20"/>
          <w:szCs w:val="20"/>
        </w:rPr>
      </w:pPr>
      <w:r>
        <w:rPr>
          <w:spacing w:val="3"/>
          <w:sz w:val="20"/>
          <w:szCs w:val="20"/>
        </w:rPr>
        <w:t>监理合同是监理单位进行监理及相关服务的法律性依据。监理及相关服务合同可以从</w:t>
      </w:r>
      <w:r>
        <w:rPr>
          <w:spacing w:val="2"/>
          <w:sz w:val="20"/>
          <w:szCs w:val="20"/>
        </w:rPr>
        <w:t>监理</w:t>
      </w:r>
      <w:r>
        <w:rPr>
          <w:sz w:val="20"/>
          <w:szCs w:val="20"/>
        </w:rPr>
        <w:t xml:space="preserve"> </w:t>
      </w:r>
      <w:r>
        <w:rPr>
          <w:spacing w:val="8"/>
          <w:sz w:val="20"/>
          <w:szCs w:val="20"/>
        </w:rPr>
        <w:t>运行周期(规划、部署实施、运行维护)各阶段中选择部分监理工作单独或合并签订，并在合</w:t>
      </w:r>
      <w:r>
        <w:rPr>
          <w:spacing w:val="9"/>
          <w:sz w:val="20"/>
          <w:szCs w:val="20"/>
        </w:rPr>
        <w:t xml:space="preserve"> </w:t>
      </w:r>
      <w:r>
        <w:rPr>
          <w:spacing w:val="3"/>
          <w:sz w:val="20"/>
          <w:szCs w:val="20"/>
        </w:rPr>
        <w:t>同中明确各监理工作服务范围及费用。依据</w:t>
      </w:r>
      <w:r>
        <w:rPr>
          <w:spacing w:val="2"/>
          <w:sz w:val="20"/>
          <w:szCs w:val="20"/>
        </w:rPr>
        <w:t>监理合同及其补充协议，总监理工程师签署监理费</w:t>
      </w:r>
      <w:r>
        <w:rPr>
          <w:sz w:val="20"/>
          <w:szCs w:val="20"/>
        </w:rPr>
        <w:t xml:space="preserve"> </w:t>
      </w:r>
      <w:r>
        <w:rPr>
          <w:spacing w:val="-4"/>
          <w:sz w:val="20"/>
          <w:szCs w:val="20"/>
        </w:rPr>
        <w:t>申请表，报业主单位。</w:t>
      </w:r>
    </w:p>
    <w:p w14:paraId="315D05A5">
      <w:pPr>
        <w:pStyle w:val="2"/>
        <w:spacing w:before="78" w:line="264" w:lineRule="auto"/>
        <w:ind w:left="340" w:right="77" w:firstLine="420"/>
        <w:rPr>
          <w:sz w:val="20"/>
          <w:szCs w:val="20"/>
        </w:rPr>
      </w:pPr>
      <w:r>
        <w:rPr>
          <w:spacing w:val="3"/>
          <w:sz w:val="20"/>
          <w:szCs w:val="20"/>
        </w:rPr>
        <w:t>监理服务宜采用全过程监理，也可以采用里程碑监理或阶段监理。监理工作起始和结束的</w:t>
      </w:r>
      <w:r>
        <w:rPr>
          <w:spacing w:val="7"/>
          <w:sz w:val="20"/>
          <w:szCs w:val="20"/>
        </w:rPr>
        <w:t xml:space="preserve"> </w:t>
      </w:r>
      <w:r>
        <w:rPr>
          <w:spacing w:val="-1"/>
          <w:sz w:val="20"/>
          <w:szCs w:val="20"/>
        </w:rPr>
        <w:t>具体时间由监理单位与业主单位根据监理合同中有关条款</w:t>
      </w:r>
      <w:r>
        <w:rPr>
          <w:spacing w:val="-2"/>
          <w:sz w:val="20"/>
          <w:szCs w:val="20"/>
        </w:rPr>
        <w:t>和实际情况执行。</w:t>
      </w:r>
    </w:p>
    <w:p w14:paraId="19DBB3AA">
      <w:pPr>
        <w:pStyle w:val="2"/>
        <w:spacing w:before="126" w:line="222" w:lineRule="auto"/>
        <w:ind w:left="762"/>
        <w:rPr>
          <w:rFonts w:ascii="黑体" w:hAnsi="黑体" w:eastAsia="黑体" w:cs="黑体"/>
          <w:sz w:val="20"/>
          <w:szCs w:val="20"/>
        </w:rPr>
      </w:pPr>
      <w:r>
        <w:rPr>
          <w:b/>
          <w:bCs/>
          <w:color w:val="0067CF"/>
          <w:spacing w:val="-2"/>
          <w:sz w:val="20"/>
          <w:szCs w:val="20"/>
        </w:rPr>
        <w:t>1.</w:t>
      </w:r>
      <w:r>
        <w:rPr>
          <w:rFonts w:ascii="黑体" w:hAnsi="黑体" w:eastAsia="黑体" w:cs="黑体"/>
          <w:b/>
          <w:bCs/>
          <w:color w:val="0067CF"/>
          <w:spacing w:val="-2"/>
          <w:sz w:val="20"/>
          <w:szCs w:val="20"/>
        </w:rPr>
        <w:t>监理合同的内容</w:t>
      </w:r>
    </w:p>
    <w:p w14:paraId="632A5A00">
      <w:pPr>
        <w:pStyle w:val="2"/>
        <w:spacing w:before="133" w:line="291" w:lineRule="auto"/>
        <w:ind w:left="340" w:right="64" w:firstLine="420"/>
        <w:rPr>
          <w:sz w:val="20"/>
          <w:szCs w:val="20"/>
        </w:rPr>
      </w:pPr>
      <w:r>
        <w:rPr>
          <w:spacing w:val="4"/>
          <w:sz w:val="20"/>
          <w:szCs w:val="20"/>
        </w:rPr>
        <w:t>监理合同的内容主要包括监理及相关服务内容、</w:t>
      </w:r>
      <w:r>
        <w:rPr>
          <w:spacing w:val="3"/>
          <w:sz w:val="20"/>
          <w:szCs w:val="20"/>
        </w:rPr>
        <w:t>服务周期、双方权利和义务、监理及相关</w:t>
      </w:r>
      <w:r>
        <w:rPr>
          <w:sz w:val="20"/>
          <w:szCs w:val="20"/>
        </w:rPr>
        <w:t xml:space="preserve"> </w:t>
      </w:r>
      <w:r>
        <w:rPr>
          <w:spacing w:val="-1"/>
          <w:sz w:val="20"/>
          <w:szCs w:val="20"/>
        </w:rPr>
        <w:t>服务费用的计取和支付、违约责任及争议的解决办法和双方约定的其他</w:t>
      </w:r>
      <w:r>
        <w:rPr>
          <w:spacing w:val="-2"/>
          <w:sz w:val="20"/>
          <w:szCs w:val="20"/>
        </w:rPr>
        <w:t>事项。</w:t>
      </w:r>
    </w:p>
    <w:p w14:paraId="76184CEE">
      <w:pPr>
        <w:spacing w:before="67" w:line="225" w:lineRule="auto"/>
        <w:ind w:left="760"/>
        <w:rPr>
          <w:rFonts w:ascii="楷体" w:hAnsi="楷体" w:eastAsia="楷体" w:cs="楷体"/>
          <w:sz w:val="20"/>
          <w:szCs w:val="20"/>
        </w:rPr>
      </w:pPr>
      <w:r>
        <w:rPr>
          <w:rFonts w:ascii="楷体" w:hAnsi="楷体" w:eastAsia="楷体" w:cs="楷体"/>
          <w:spacing w:val="6"/>
          <w:sz w:val="20"/>
          <w:szCs w:val="20"/>
        </w:rPr>
        <w:t>1)监理及相关服务内容</w:t>
      </w:r>
    </w:p>
    <w:p w14:paraId="77202E3F">
      <w:pPr>
        <w:pStyle w:val="2"/>
        <w:spacing w:before="79" w:line="270" w:lineRule="auto"/>
        <w:ind w:left="340" w:right="64" w:firstLine="420"/>
        <w:rPr>
          <w:sz w:val="20"/>
          <w:szCs w:val="20"/>
        </w:rPr>
      </w:pPr>
      <w:r>
        <w:rPr>
          <w:spacing w:val="4"/>
          <w:sz w:val="20"/>
          <w:szCs w:val="20"/>
        </w:rPr>
        <w:t>监理及相关服务内容主要描述实施监理的地点</w:t>
      </w:r>
      <w:r>
        <w:rPr>
          <w:spacing w:val="3"/>
          <w:sz w:val="20"/>
          <w:szCs w:val="20"/>
        </w:rPr>
        <w:t>、目标及其提供咨询专项服务等内容。具体</w:t>
      </w:r>
      <w:r>
        <w:rPr>
          <w:sz w:val="20"/>
          <w:szCs w:val="20"/>
        </w:rPr>
        <w:t xml:space="preserve"> </w:t>
      </w:r>
      <w:r>
        <w:rPr>
          <w:spacing w:val="3"/>
          <w:sz w:val="20"/>
          <w:szCs w:val="20"/>
        </w:rPr>
        <w:t>服务内容包括在监理运行周期的各部分、各阶段应控制信息系统工程的质量、进度和投资，进</w:t>
      </w:r>
      <w:r>
        <w:rPr>
          <w:spacing w:val="13"/>
          <w:sz w:val="20"/>
          <w:szCs w:val="20"/>
        </w:rPr>
        <w:t xml:space="preserve"> </w:t>
      </w:r>
      <w:r>
        <w:rPr>
          <w:spacing w:val="4"/>
          <w:sz w:val="20"/>
          <w:szCs w:val="20"/>
        </w:rPr>
        <w:t>行项目合同和文档资料管理，协调有关各方</w:t>
      </w:r>
      <w:r>
        <w:rPr>
          <w:spacing w:val="3"/>
          <w:sz w:val="20"/>
          <w:szCs w:val="20"/>
        </w:rPr>
        <w:t>面的工作关系，还应根据信息系统工程特点，注意</w:t>
      </w:r>
      <w:r>
        <w:rPr>
          <w:sz w:val="20"/>
          <w:szCs w:val="20"/>
        </w:rPr>
        <w:t xml:space="preserve"> </w:t>
      </w:r>
      <w:r>
        <w:rPr>
          <w:spacing w:val="-4"/>
          <w:sz w:val="20"/>
          <w:szCs w:val="20"/>
        </w:rPr>
        <w:t>各方知识产权的保护。</w:t>
      </w:r>
    </w:p>
    <w:p w14:paraId="5B8331C2">
      <w:pPr>
        <w:spacing w:line="270" w:lineRule="auto"/>
        <w:rPr>
          <w:sz w:val="20"/>
          <w:szCs w:val="20"/>
        </w:rPr>
        <w:sectPr>
          <w:pgSz w:w="10300" w:h="13340"/>
          <w:pgMar w:top="400" w:right="1056" w:bottom="400" w:left="479" w:header="0" w:footer="0" w:gutter="0"/>
          <w:cols w:space="720" w:num="1"/>
        </w:sectPr>
      </w:pPr>
    </w:p>
    <w:p w14:paraId="15315400">
      <w:pPr>
        <w:pStyle w:val="2"/>
        <w:spacing w:before="67" w:line="220" w:lineRule="auto"/>
        <w:jc w:val="right"/>
        <w:rPr>
          <w:rFonts w:ascii="Times New Roman" w:hAnsi="Times New Roman" w:eastAsia="Times New Roman" w:cs="Times New Roman"/>
          <w:sz w:val="20"/>
          <w:szCs w:val="20"/>
        </w:rPr>
      </w:pPr>
      <w:r>
        <w:rPr>
          <w:spacing w:val="-1"/>
          <w:sz w:val="20"/>
          <w:szCs w:val="20"/>
        </w:rPr>
        <w:t>第19章 监理支撑要素</w:t>
      </w:r>
      <w:r>
        <w:rPr>
          <w:spacing w:val="15"/>
          <w:sz w:val="20"/>
          <w:szCs w:val="20"/>
        </w:rPr>
        <w:t xml:space="preserve">     </w:t>
      </w:r>
      <w:r>
        <w:rPr>
          <w:rFonts w:ascii="Times New Roman" w:hAnsi="Times New Roman" w:eastAsia="Times New Roman" w:cs="Times New Roman"/>
          <w:color w:val="0075EA"/>
          <w:spacing w:val="-1"/>
          <w:position w:val="-3"/>
          <w:sz w:val="20"/>
          <w:szCs w:val="20"/>
        </w:rPr>
        <w:t xml:space="preserve">4 </w:t>
      </w:r>
      <w:r>
        <w:rPr>
          <w:rFonts w:ascii="Times New Roman" w:hAnsi="Times New Roman" w:eastAsia="Times New Roman" w:cs="Times New Roman"/>
          <w:spacing w:val="-1"/>
          <w:position w:val="-3"/>
          <w:sz w:val="20"/>
          <w:szCs w:val="20"/>
        </w:rPr>
        <w:t>29</w:t>
      </w:r>
    </w:p>
    <w:p w14:paraId="078F4CA4">
      <w:pPr>
        <w:spacing w:line="288" w:lineRule="auto"/>
        <w:rPr>
          <w:rFonts w:ascii="Arial"/>
          <w:sz w:val="21"/>
        </w:rPr>
      </w:pPr>
    </w:p>
    <w:p w14:paraId="69A2B0A8">
      <w:pPr>
        <w:spacing w:before="65" w:line="224" w:lineRule="auto"/>
        <w:ind w:left="400"/>
        <w:rPr>
          <w:rFonts w:ascii="楷体" w:hAnsi="楷体" w:eastAsia="楷体" w:cs="楷体"/>
          <w:sz w:val="20"/>
          <w:szCs w:val="20"/>
        </w:rPr>
      </w:pPr>
      <w:r>
        <w:rPr>
          <w:rFonts w:ascii="楷体" w:hAnsi="楷体" w:eastAsia="楷体" w:cs="楷体"/>
          <w:spacing w:val="12"/>
          <w:sz w:val="20"/>
          <w:szCs w:val="20"/>
        </w:rPr>
        <w:t>2)监理服务周期</w:t>
      </w:r>
    </w:p>
    <w:p w14:paraId="1EEAA729">
      <w:pPr>
        <w:pStyle w:val="2"/>
        <w:spacing w:before="58" w:line="287" w:lineRule="auto"/>
        <w:ind w:right="286" w:firstLine="400"/>
        <w:rPr>
          <w:sz w:val="20"/>
          <w:szCs w:val="20"/>
        </w:rPr>
      </w:pPr>
      <w:r>
        <w:rPr>
          <w:spacing w:val="3"/>
          <w:sz w:val="20"/>
          <w:szCs w:val="20"/>
        </w:rPr>
        <w:t>服务周期是指监理单位为业主单位提供监理及相关信息技术服务</w:t>
      </w:r>
      <w:r>
        <w:rPr>
          <w:spacing w:val="2"/>
          <w:sz w:val="20"/>
          <w:szCs w:val="20"/>
        </w:rPr>
        <w:t>的时间周期，在监理合同</w:t>
      </w:r>
      <w:r>
        <w:rPr>
          <w:sz w:val="20"/>
          <w:szCs w:val="20"/>
        </w:rPr>
        <w:t xml:space="preserve"> </w:t>
      </w:r>
      <w:r>
        <w:rPr>
          <w:spacing w:val="-1"/>
          <w:sz w:val="20"/>
          <w:szCs w:val="20"/>
        </w:rPr>
        <w:t>中需明确监理及相关服务的开始时间和结束时间，从而切实保障业主单位和监理单位双方利益，</w:t>
      </w:r>
      <w:r>
        <w:rPr>
          <w:spacing w:val="10"/>
          <w:sz w:val="20"/>
          <w:szCs w:val="20"/>
        </w:rPr>
        <w:t xml:space="preserve"> </w:t>
      </w:r>
      <w:r>
        <w:rPr>
          <w:spacing w:val="-2"/>
          <w:sz w:val="20"/>
          <w:szCs w:val="20"/>
        </w:rPr>
        <w:t>减少因服务期限不明确而产生的法律纠纷。</w:t>
      </w:r>
    </w:p>
    <w:p w14:paraId="42542176">
      <w:pPr>
        <w:spacing w:before="103" w:line="225" w:lineRule="auto"/>
        <w:ind w:left="402"/>
        <w:rPr>
          <w:rFonts w:ascii="楷体" w:hAnsi="楷体" w:eastAsia="楷体" w:cs="楷体"/>
          <w:sz w:val="20"/>
          <w:szCs w:val="20"/>
        </w:rPr>
      </w:pPr>
      <w:r>
        <w:rPr>
          <w:rFonts w:ascii="楷体" w:hAnsi="楷体" w:eastAsia="楷体" w:cs="楷体"/>
          <w:b/>
          <w:bCs/>
          <w:spacing w:val="5"/>
          <w:sz w:val="20"/>
          <w:szCs w:val="20"/>
        </w:rPr>
        <w:t>3)双方的权利和义务</w:t>
      </w:r>
    </w:p>
    <w:p w14:paraId="28129633">
      <w:pPr>
        <w:pStyle w:val="2"/>
        <w:spacing w:before="59" w:line="280" w:lineRule="auto"/>
        <w:ind w:right="338" w:firstLine="400"/>
        <w:jc w:val="both"/>
        <w:rPr>
          <w:sz w:val="20"/>
          <w:szCs w:val="20"/>
        </w:rPr>
      </w:pPr>
      <w:r>
        <w:rPr>
          <w:spacing w:val="2"/>
          <w:sz w:val="20"/>
          <w:szCs w:val="20"/>
        </w:rPr>
        <w:t>业主单位、监理单位应按照合同的约定全面履行自己的义务，双方享有的权利是指合同所</w:t>
      </w:r>
      <w:r>
        <w:rPr>
          <w:spacing w:val="18"/>
          <w:sz w:val="20"/>
          <w:szCs w:val="20"/>
        </w:rPr>
        <w:t xml:space="preserve"> </w:t>
      </w:r>
      <w:r>
        <w:rPr>
          <w:spacing w:val="3"/>
          <w:sz w:val="20"/>
          <w:szCs w:val="20"/>
        </w:rPr>
        <w:t>约定的权利。监理单位应履行办理委托事务、遵守业主单位指示、向业主单</w:t>
      </w:r>
      <w:r>
        <w:rPr>
          <w:spacing w:val="2"/>
          <w:sz w:val="20"/>
          <w:szCs w:val="20"/>
        </w:rPr>
        <w:t>位报告等义务，业</w:t>
      </w:r>
      <w:r>
        <w:rPr>
          <w:sz w:val="20"/>
          <w:szCs w:val="20"/>
        </w:rPr>
        <w:t xml:space="preserve"> </w:t>
      </w:r>
      <w:r>
        <w:rPr>
          <w:spacing w:val="3"/>
          <w:sz w:val="20"/>
          <w:szCs w:val="20"/>
        </w:rPr>
        <w:t>务单位应履行支付费用和付酬等义务。双方具体的权利和义务可以</w:t>
      </w:r>
      <w:r>
        <w:rPr>
          <w:spacing w:val="2"/>
          <w:sz w:val="20"/>
          <w:szCs w:val="20"/>
        </w:rPr>
        <w:t>根据项目特点在监理合同中</w:t>
      </w:r>
      <w:r>
        <w:rPr>
          <w:sz w:val="20"/>
          <w:szCs w:val="20"/>
        </w:rPr>
        <w:t xml:space="preserve"> </w:t>
      </w:r>
      <w:r>
        <w:rPr>
          <w:spacing w:val="-2"/>
          <w:sz w:val="20"/>
          <w:szCs w:val="20"/>
        </w:rPr>
        <w:t>进一步确认。</w:t>
      </w:r>
    </w:p>
    <w:p w14:paraId="3E69A988">
      <w:pPr>
        <w:spacing w:before="136" w:line="225" w:lineRule="auto"/>
        <w:ind w:left="400"/>
        <w:rPr>
          <w:rFonts w:ascii="楷体" w:hAnsi="楷体" w:eastAsia="楷体" w:cs="楷体"/>
          <w:sz w:val="20"/>
          <w:szCs w:val="20"/>
        </w:rPr>
      </w:pPr>
      <w:r>
        <w:rPr>
          <w:rFonts w:ascii="楷体" w:hAnsi="楷体" w:eastAsia="楷体" w:cs="楷体"/>
          <w:spacing w:val="7"/>
          <w:sz w:val="20"/>
          <w:szCs w:val="20"/>
        </w:rPr>
        <w:t>4)监理服务费用的计取</w:t>
      </w:r>
    </w:p>
    <w:p w14:paraId="438AAEA4">
      <w:pPr>
        <w:pStyle w:val="2"/>
        <w:spacing w:before="67" w:line="283" w:lineRule="auto"/>
        <w:ind w:right="351" w:firstLine="400"/>
        <w:rPr>
          <w:sz w:val="20"/>
          <w:szCs w:val="20"/>
        </w:rPr>
      </w:pPr>
      <w:r>
        <w:rPr>
          <w:spacing w:val="3"/>
          <w:sz w:val="20"/>
          <w:szCs w:val="20"/>
        </w:rPr>
        <w:t>监理项目的取费应考虑所监理项目的大小、投资规模、难</w:t>
      </w:r>
      <w:r>
        <w:rPr>
          <w:spacing w:val="2"/>
          <w:sz w:val="20"/>
          <w:szCs w:val="20"/>
        </w:rPr>
        <w:t>度、区域位置、市场竞争等多种</w:t>
      </w:r>
      <w:r>
        <w:rPr>
          <w:sz w:val="20"/>
          <w:szCs w:val="20"/>
        </w:rPr>
        <w:t xml:space="preserve"> </w:t>
      </w:r>
      <w:r>
        <w:rPr>
          <w:spacing w:val="12"/>
          <w:sz w:val="20"/>
          <w:szCs w:val="20"/>
        </w:rPr>
        <w:t>因素，一般为工程建设费用的1%到5%。</w:t>
      </w:r>
    </w:p>
    <w:p w14:paraId="3E66656A">
      <w:pPr>
        <w:spacing w:before="105" w:line="224" w:lineRule="auto"/>
        <w:ind w:left="400"/>
        <w:rPr>
          <w:rFonts w:ascii="楷体" w:hAnsi="楷体" w:eastAsia="楷体" w:cs="楷体"/>
          <w:sz w:val="20"/>
          <w:szCs w:val="20"/>
        </w:rPr>
      </w:pPr>
      <w:r>
        <w:rPr>
          <w:rFonts w:ascii="楷体" w:hAnsi="楷体" w:eastAsia="楷体" w:cs="楷体"/>
          <w:spacing w:val="5"/>
          <w:sz w:val="20"/>
          <w:szCs w:val="20"/>
        </w:rPr>
        <w:t>5)违约责任及争议的解决办法</w:t>
      </w:r>
    </w:p>
    <w:p w14:paraId="7E693452">
      <w:pPr>
        <w:pStyle w:val="2"/>
        <w:spacing w:before="59" w:line="287" w:lineRule="auto"/>
        <w:ind w:right="338" w:firstLine="400"/>
        <w:rPr>
          <w:sz w:val="20"/>
          <w:szCs w:val="20"/>
        </w:rPr>
      </w:pPr>
      <w:r>
        <w:rPr>
          <w:spacing w:val="3"/>
          <w:sz w:val="20"/>
          <w:szCs w:val="20"/>
        </w:rPr>
        <w:t>违约责任及争议的解决办法主要阐述当事人</w:t>
      </w:r>
      <w:r>
        <w:rPr>
          <w:spacing w:val="2"/>
          <w:sz w:val="20"/>
          <w:szCs w:val="20"/>
        </w:rPr>
        <w:t>一方不履行合同义务或者履行合同义务不符合</w:t>
      </w:r>
      <w:r>
        <w:rPr>
          <w:sz w:val="20"/>
          <w:szCs w:val="20"/>
        </w:rPr>
        <w:t xml:space="preserve"> </w:t>
      </w:r>
      <w:r>
        <w:rPr>
          <w:spacing w:val="3"/>
          <w:sz w:val="20"/>
          <w:szCs w:val="20"/>
        </w:rPr>
        <w:t>约定时，应当承担的继续履行、采取补救措施或者赔偿损失等违约责任。争议</w:t>
      </w:r>
      <w:r>
        <w:rPr>
          <w:spacing w:val="2"/>
          <w:sz w:val="20"/>
          <w:szCs w:val="20"/>
        </w:rPr>
        <w:t>解决的方式包括</w:t>
      </w:r>
      <w:r>
        <w:rPr>
          <w:sz w:val="20"/>
          <w:szCs w:val="20"/>
        </w:rPr>
        <w:t xml:space="preserve"> </w:t>
      </w:r>
      <w:r>
        <w:rPr>
          <w:spacing w:val="-4"/>
          <w:sz w:val="20"/>
          <w:szCs w:val="20"/>
        </w:rPr>
        <w:t>协商、仲裁、诉讼。</w:t>
      </w:r>
    </w:p>
    <w:p w14:paraId="5B7CEB13">
      <w:pPr>
        <w:spacing w:before="106" w:line="224" w:lineRule="auto"/>
        <w:ind w:left="400"/>
        <w:rPr>
          <w:rFonts w:ascii="楷体" w:hAnsi="楷体" w:eastAsia="楷体" w:cs="楷体"/>
          <w:sz w:val="20"/>
          <w:szCs w:val="20"/>
        </w:rPr>
      </w:pPr>
      <w:r>
        <w:rPr>
          <w:rFonts w:ascii="楷体" w:hAnsi="楷体" w:eastAsia="楷体" w:cs="楷体"/>
          <w:spacing w:val="7"/>
          <w:sz w:val="20"/>
          <w:szCs w:val="20"/>
        </w:rPr>
        <w:t>6)双方约定的其他事项</w:t>
      </w:r>
    </w:p>
    <w:p w14:paraId="1AC41B3B">
      <w:pPr>
        <w:pStyle w:val="2"/>
        <w:spacing w:before="80" w:line="273" w:lineRule="auto"/>
        <w:ind w:right="314" w:firstLine="400"/>
        <w:rPr>
          <w:sz w:val="20"/>
          <w:szCs w:val="20"/>
        </w:rPr>
      </w:pPr>
      <w:r>
        <w:rPr>
          <w:spacing w:val="4"/>
          <w:sz w:val="20"/>
          <w:szCs w:val="20"/>
        </w:rPr>
        <w:t>双方约定的其他事项可以包括业主单位的工作人员、</w:t>
      </w:r>
      <w:r>
        <w:rPr>
          <w:spacing w:val="3"/>
          <w:sz w:val="20"/>
          <w:szCs w:val="20"/>
        </w:rPr>
        <w:t>业主单位应提供的监理人员、现场工</w:t>
      </w:r>
      <w:r>
        <w:rPr>
          <w:sz w:val="20"/>
          <w:szCs w:val="20"/>
        </w:rPr>
        <w:t xml:space="preserve"> </w:t>
      </w:r>
      <w:r>
        <w:rPr>
          <w:spacing w:val="-3"/>
          <w:sz w:val="20"/>
          <w:szCs w:val="20"/>
        </w:rPr>
        <w:t>作场地及辅助办公设施等内容。</w:t>
      </w:r>
    </w:p>
    <w:p w14:paraId="465F90A1">
      <w:pPr>
        <w:pStyle w:val="2"/>
        <w:spacing w:before="104" w:line="221" w:lineRule="auto"/>
        <w:ind w:left="402"/>
        <w:rPr>
          <w:rFonts w:ascii="黑体" w:hAnsi="黑体" w:eastAsia="黑体" w:cs="黑体"/>
          <w:sz w:val="20"/>
          <w:szCs w:val="20"/>
        </w:rPr>
      </w:pPr>
      <w:r>
        <w:rPr>
          <w:b/>
          <w:bCs/>
          <w:color w:val="0067DD"/>
          <w:spacing w:val="-4"/>
          <w:sz w:val="20"/>
          <w:szCs w:val="20"/>
        </w:rPr>
        <w:t>2.</w:t>
      </w:r>
      <w:r>
        <w:rPr>
          <w:rFonts w:ascii="黑体" w:hAnsi="黑体" w:eastAsia="黑体" w:cs="黑体"/>
          <w:b/>
          <w:bCs/>
          <w:color w:val="0067DD"/>
          <w:spacing w:val="-4"/>
          <w:sz w:val="20"/>
          <w:szCs w:val="20"/>
        </w:rPr>
        <w:t>监理合同的特征</w:t>
      </w:r>
    </w:p>
    <w:p w14:paraId="20F6A4C2">
      <w:pPr>
        <w:pStyle w:val="2"/>
        <w:spacing w:before="145" w:line="219" w:lineRule="auto"/>
        <w:ind w:left="400"/>
        <w:rPr>
          <w:sz w:val="20"/>
          <w:szCs w:val="20"/>
        </w:rPr>
      </w:pPr>
      <w:r>
        <w:rPr>
          <w:spacing w:val="-5"/>
          <w:sz w:val="20"/>
          <w:szCs w:val="20"/>
        </w:rPr>
        <w:t>监理合同的特征包括：</w:t>
      </w:r>
    </w:p>
    <w:p w14:paraId="0903DDBC">
      <w:pPr>
        <w:pStyle w:val="2"/>
        <w:spacing w:before="63" w:line="269" w:lineRule="auto"/>
        <w:ind w:right="325" w:firstLine="400"/>
        <w:rPr>
          <w:sz w:val="20"/>
          <w:szCs w:val="20"/>
        </w:rPr>
      </w:pPr>
      <w:r>
        <w:rPr>
          <w:spacing w:val="5"/>
          <w:sz w:val="20"/>
          <w:szCs w:val="20"/>
        </w:rPr>
        <w:t>(1)监理合同的当事人双方应当是具有民事权利能力和民事行为能力、取得法人资格的企</w:t>
      </w:r>
      <w:r>
        <w:rPr>
          <w:spacing w:val="17"/>
          <w:sz w:val="20"/>
          <w:szCs w:val="20"/>
        </w:rPr>
        <w:t xml:space="preserve"> </w:t>
      </w:r>
      <w:r>
        <w:rPr>
          <w:spacing w:val="3"/>
          <w:sz w:val="20"/>
          <w:szCs w:val="20"/>
        </w:rPr>
        <w:t>事业单位、其他社会组织，个人在法律允许范围内也可以成为合同当事人。委托人必须是有国</w:t>
      </w:r>
      <w:r>
        <w:rPr>
          <w:spacing w:val="6"/>
          <w:sz w:val="20"/>
          <w:szCs w:val="20"/>
        </w:rPr>
        <w:t xml:space="preserve"> </w:t>
      </w:r>
      <w:r>
        <w:rPr>
          <w:spacing w:val="2"/>
          <w:sz w:val="20"/>
          <w:szCs w:val="20"/>
        </w:rPr>
        <w:t>家批准的信息系统建设和运行项目，落实投资计划的企事业单位、其他社会组织及个人。监理</w:t>
      </w:r>
      <w:r>
        <w:rPr>
          <w:spacing w:val="13"/>
          <w:sz w:val="20"/>
          <w:szCs w:val="20"/>
        </w:rPr>
        <w:t xml:space="preserve"> </w:t>
      </w:r>
      <w:r>
        <w:rPr>
          <w:spacing w:val="-1"/>
          <w:sz w:val="20"/>
          <w:szCs w:val="20"/>
        </w:rPr>
        <w:t>人必须是依法成立、具有法人资格的监理单位，并且具有所承担项目的监理业务能力。</w:t>
      </w:r>
    </w:p>
    <w:p w14:paraId="5C02C5A2">
      <w:pPr>
        <w:pStyle w:val="2"/>
        <w:spacing w:before="74" w:line="219" w:lineRule="auto"/>
        <w:ind w:left="400"/>
        <w:rPr>
          <w:sz w:val="20"/>
          <w:szCs w:val="20"/>
        </w:rPr>
      </w:pPr>
      <w:r>
        <w:rPr>
          <w:spacing w:val="2"/>
          <w:sz w:val="20"/>
          <w:szCs w:val="20"/>
        </w:rPr>
        <w:t>(2)监理合同的订立必须符合工程项目建设和运</w:t>
      </w:r>
      <w:r>
        <w:rPr>
          <w:spacing w:val="1"/>
          <w:sz w:val="20"/>
          <w:szCs w:val="20"/>
        </w:rPr>
        <w:t>行程序。</w:t>
      </w:r>
    </w:p>
    <w:p w14:paraId="7B00DF91">
      <w:pPr>
        <w:pStyle w:val="2"/>
        <w:spacing w:before="51" w:line="262" w:lineRule="auto"/>
        <w:ind w:right="265" w:firstLine="400"/>
        <w:rPr>
          <w:sz w:val="20"/>
          <w:szCs w:val="20"/>
        </w:rPr>
      </w:pPr>
      <w:r>
        <w:rPr>
          <w:spacing w:val="7"/>
          <w:sz w:val="20"/>
          <w:szCs w:val="20"/>
        </w:rPr>
        <w:t>(3)监理合同的目的是服务，即监理工程师凭借自己的知识、经验、技能，受业主委托，</w:t>
      </w:r>
      <w:r>
        <w:rPr>
          <w:spacing w:val="8"/>
          <w:sz w:val="20"/>
          <w:szCs w:val="20"/>
        </w:rPr>
        <w:t xml:space="preserve"> </w:t>
      </w:r>
      <w:r>
        <w:rPr>
          <w:spacing w:val="-1"/>
          <w:sz w:val="20"/>
          <w:szCs w:val="20"/>
        </w:rPr>
        <w:t>为其签订的合同的履行实施提供监督、管理以及咨询</w:t>
      </w:r>
      <w:r>
        <w:rPr>
          <w:spacing w:val="-2"/>
          <w:sz w:val="20"/>
          <w:szCs w:val="20"/>
        </w:rPr>
        <w:t>等相关技术服务。</w:t>
      </w:r>
    </w:p>
    <w:p w14:paraId="2A3A9C3F">
      <w:pPr>
        <w:pStyle w:val="2"/>
        <w:spacing w:before="152" w:line="223" w:lineRule="auto"/>
        <w:ind w:left="402"/>
        <w:rPr>
          <w:rFonts w:ascii="黑体" w:hAnsi="黑体" w:eastAsia="黑体" w:cs="黑体"/>
          <w:sz w:val="20"/>
          <w:szCs w:val="20"/>
        </w:rPr>
      </w:pPr>
      <w:r>
        <w:rPr>
          <w:b/>
          <w:bCs/>
          <w:color w:val="0064D7"/>
          <w:spacing w:val="-4"/>
          <w:sz w:val="20"/>
          <w:szCs w:val="20"/>
        </w:rPr>
        <w:t>3.</w:t>
      </w:r>
      <w:r>
        <w:rPr>
          <w:rFonts w:ascii="黑体" w:hAnsi="黑体" w:eastAsia="黑体" w:cs="黑体"/>
          <w:b/>
          <w:bCs/>
          <w:color w:val="0064D7"/>
          <w:spacing w:val="-4"/>
          <w:sz w:val="20"/>
          <w:szCs w:val="20"/>
        </w:rPr>
        <w:t>监理合同的条款结构</w:t>
      </w:r>
    </w:p>
    <w:p w14:paraId="7B4A8524">
      <w:pPr>
        <w:pStyle w:val="2"/>
        <w:spacing w:before="121" w:line="290" w:lineRule="auto"/>
        <w:ind w:right="266" w:firstLine="400"/>
        <w:rPr>
          <w:sz w:val="20"/>
          <w:szCs w:val="20"/>
        </w:rPr>
      </w:pPr>
      <w:r>
        <w:rPr>
          <w:spacing w:val="5"/>
          <w:sz w:val="20"/>
          <w:szCs w:val="20"/>
        </w:rPr>
        <w:t>监理合同是监理任务履行过程中当事人双方的行为准则，因此内容应全面</w:t>
      </w:r>
      <w:r>
        <w:rPr>
          <w:spacing w:val="4"/>
          <w:sz w:val="20"/>
          <w:szCs w:val="20"/>
        </w:rPr>
        <w:t>、用词应严谨。</w:t>
      </w:r>
      <w:r>
        <w:rPr>
          <w:sz w:val="20"/>
          <w:szCs w:val="20"/>
        </w:rPr>
        <w:t xml:space="preserve"> </w:t>
      </w:r>
      <w:r>
        <w:rPr>
          <w:spacing w:val="-3"/>
          <w:sz w:val="20"/>
          <w:szCs w:val="20"/>
        </w:rPr>
        <w:t>合同条款的组成结构应至少包括以下几个方面：</w:t>
      </w:r>
    </w:p>
    <w:p w14:paraId="5AD62039">
      <w:pPr>
        <w:pStyle w:val="2"/>
        <w:spacing w:before="11" w:line="219" w:lineRule="auto"/>
        <w:ind w:left="400"/>
        <w:rPr>
          <w:sz w:val="20"/>
          <w:szCs w:val="20"/>
        </w:rPr>
      </w:pPr>
      <w:r>
        <w:rPr>
          <w:spacing w:val="1"/>
          <w:sz w:val="20"/>
          <w:szCs w:val="20"/>
        </w:rPr>
        <w:t>(1)合同内所涉及的词语定义和遵循的法规；</w:t>
      </w:r>
    </w:p>
    <w:p w14:paraId="21AB7D75">
      <w:pPr>
        <w:pStyle w:val="2"/>
        <w:spacing w:before="73" w:line="219" w:lineRule="auto"/>
        <w:ind w:left="400"/>
        <w:rPr>
          <w:sz w:val="20"/>
          <w:szCs w:val="20"/>
        </w:rPr>
      </w:pPr>
      <w:r>
        <w:rPr>
          <w:spacing w:val="4"/>
          <w:sz w:val="20"/>
          <w:szCs w:val="20"/>
        </w:rPr>
        <w:t>(2)监理服务内容和范围；</w:t>
      </w:r>
    </w:p>
    <w:p w14:paraId="73B2883E">
      <w:pPr>
        <w:pStyle w:val="2"/>
        <w:spacing w:before="63" w:line="219" w:lineRule="auto"/>
        <w:ind w:left="400"/>
        <w:rPr>
          <w:sz w:val="20"/>
          <w:szCs w:val="20"/>
        </w:rPr>
      </w:pPr>
      <w:r>
        <w:rPr>
          <w:spacing w:val="3"/>
          <w:sz w:val="20"/>
          <w:szCs w:val="20"/>
        </w:rPr>
        <w:t>(3)监理服务周期；</w:t>
      </w:r>
    </w:p>
    <w:p w14:paraId="1CD54CDD">
      <w:pPr>
        <w:pStyle w:val="2"/>
        <w:spacing w:before="63" w:line="219" w:lineRule="auto"/>
        <w:ind w:left="400"/>
        <w:rPr>
          <w:sz w:val="20"/>
          <w:szCs w:val="20"/>
        </w:rPr>
      </w:pPr>
      <w:r>
        <w:rPr>
          <w:spacing w:val="3"/>
          <w:sz w:val="20"/>
          <w:szCs w:val="20"/>
        </w:rPr>
        <w:t>(4)监理单位的权利和义务；</w:t>
      </w:r>
    </w:p>
    <w:p w14:paraId="473114DF">
      <w:pPr>
        <w:spacing w:line="219" w:lineRule="auto"/>
        <w:rPr>
          <w:sz w:val="20"/>
          <w:szCs w:val="20"/>
        </w:rPr>
        <w:sectPr>
          <w:pgSz w:w="10290" w:h="13310"/>
          <w:pgMar w:top="400" w:right="514" w:bottom="400" w:left="1119" w:header="0" w:footer="0" w:gutter="0"/>
          <w:cols w:space="720" w:num="1"/>
        </w:sectPr>
      </w:pPr>
    </w:p>
    <w:p w14:paraId="48BAF5D6">
      <w:pPr>
        <w:pStyle w:val="2"/>
        <w:spacing w:before="19"/>
        <w:rPr>
          <w:sz w:val="20"/>
          <w:szCs w:val="20"/>
        </w:rPr>
      </w:pPr>
      <w:r>
        <w:rPr>
          <w:rFonts w:ascii="Times New Roman" w:hAnsi="Times New Roman" w:eastAsia="Times New Roman" w:cs="Times New Roman"/>
          <w:spacing w:val="-2"/>
          <w:sz w:val="17"/>
          <w:szCs w:val="17"/>
        </w:rPr>
        <w:t xml:space="preserve">430   </w:t>
      </w:r>
      <w:r>
        <w:rPr>
          <w:position w:val="-9"/>
          <w:sz w:val="17"/>
          <w:szCs w:val="17"/>
        </w:rPr>
        <w:drawing>
          <wp:inline distT="0" distB="0" distL="0" distR="0">
            <wp:extent cx="273050" cy="202565"/>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77"/>
                    <a:stretch>
                      <a:fillRect/>
                    </a:stretch>
                  </pic:blipFill>
                  <pic:spPr>
                    <a:xfrm>
                      <a:off x="0" y="0"/>
                      <a:ext cx="273065" cy="203194"/>
                    </a:xfrm>
                    <a:prstGeom prst="rect">
                      <a:avLst/>
                    </a:prstGeom>
                  </pic:spPr>
                </pic:pic>
              </a:graphicData>
            </a:graphic>
          </wp:inline>
        </w:drawing>
      </w:r>
      <w:r>
        <w:rPr>
          <w:rFonts w:ascii="Times New Roman" w:hAnsi="Times New Roman" w:eastAsia="Times New Roman" w:cs="Times New Roman"/>
          <w:spacing w:val="14"/>
          <w:w w:val="101"/>
          <w:sz w:val="17"/>
          <w:szCs w:val="17"/>
        </w:rPr>
        <w:t xml:space="preserve">   </w:t>
      </w:r>
      <w:r>
        <w:rPr>
          <w:spacing w:val="-2"/>
          <w:sz w:val="20"/>
          <w:szCs w:val="20"/>
        </w:rPr>
        <w:t>信息系统监理师教程(第2版)</w:t>
      </w:r>
    </w:p>
    <w:p w14:paraId="1D241D37">
      <w:pPr>
        <w:spacing w:line="301" w:lineRule="auto"/>
        <w:rPr>
          <w:rFonts w:ascii="Arial"/>
          <w:sz w:val="21"/>
        </w:rPr>
      </w:pPr>
    </w:p>
    <w:p w14:paraId="3534A4C3">
      <w:pPr>
        <w:pStyle w:val="2"/>
        <w:spacing w:before="65" w:line="219" w:lineRule="auto"/>
        <w:ind w:left="749"/>
        <w:rPr>
          <w:sz w:val="20"/>
          <w:szCs w:val="20"/>
        </w:rPr>
      </w:pPr>
      <w:r>
        <w:rPr>
          <w:spacing w:val="3"/>
          <w:sz w:val="20"/>
          <w:szCs w:val="20"/>
        </w:rPr>
        <w:t>(5)委托人的权利和义务；</w:t>
      </w:r>
    </w:p>
    <w:p w14:paraId="7B8A4537">
      <w:pPr>
        <w:pStyle w:val="2"/>
        <w:spacing w:before="62" w:line="219" w:lineRule="auto"/>
        <w:ind w:left="749"/>
        <w:rPr>
          <w:sz w:val="20"/>
          <w:szCs w:val="20"/>
        </w:rPr>
      </w:pPr>
      <w:r>
        <w:rPr>
          <w:spacing w:val="1"/>
          <w:sz w:val="20"/>
          <w:szCs w:val="20"/>
        </w:rPr>
        <w:t>(6)监理及相关服务费用计取方式；</w:t>
      </w:r>
    </w:p>
    <w:p w14:paraId="715DDA54">
      <w:pPr>
        <w:pStyle w:val="2"/>
        <w:spacing w:before="82" w:line="219" w:lineRule="auto"/>
        <w:ind w:left="749"/>
        <w:rPr>
          <w:sz w:val="20"/>
          <w:szCs w:val="20"/>
        </w:rPr>
      </w:pPr>
      <w:r>
        <w:rPr>
          <w:spacing w:val="1"/>
          <w:sz w:val="20"/>
          <w:szCs w:val="20"/>
        </w:rPr>
        <w:t>(7)监理及相关服务费用支付方式；</w:t>
      </w:r>
    </w:p>
    <w:p w14:paraId="6B099FE5">
      <w:pPr>
        <w:pStyle w:val="2"/>
        <w:spacing w:before="83" w:line="219" w:lineRule="auto"/>
        <w:ind w:left="749"/>
        <w:rPr>
          <w:sz w:val="20"/>
          <w:szCs w:val="20"/>
        </w:rPr>
      </w:pPr>
      <w:r>
        <w:rPr>
          <w:spacing w:val="3"/>
          <w:sz w:val="20"/>
          <w:szCs w:val="20"/>
        </w:rPr>
        <w:t>(8)监理单位违约责任；</w:t>
      </w:r>
    </w:p>
    <w:p w14:paraId="1390F835">
      <w:pPr>
        <w:pStyle w:val="2"/>
        <w:spacing w:before="93" w:line="219" w:lineRule="auto"/>
        <w:ind w:left="749"/>
        <w:rPr>
          <w:sz w:val="20"/>
          <w:szCs w:val="20"/>
        </w:rPr>
      </w:pPr>
      <w:r>
        <w:rPr>
          <w:spacing w:val="2"/>
          <w:sz w:val="20"/>
          <w:szCs w:val="20"/>
        </w:rPr>
        <w:t>(9)委托人违约责任；</w:t>
      </w:r>
    </w:p>
    <w:p w14:paraId="14DFFBF4">
      <w:pPr>
        <w:pStyle w:val="2"/>
        <w:spacing w:before="73" w:line="220" w:lineRule="auto"/>
        <w:ind w:left="749"/>
        <w:rPr>
          <w:sz w:val="20"/>
          <w:szCs w:val="20"/>
        </w:rPr>
      </w:pPr>
      <w:r>
        <w:rPr>
          <w:spacing w:val="2"/>
          <w:sz w:val="20"/>
          <w:szCs w:val="20"/>
        </w:rPr>
        <w:t>(10)合同生效、变更与终止；</w:t>
      </w:r>
    </w:p>
    <w:p w14:paraId="67C6ED28">
      <w:pPr>
        <w:pStyle w:val="2"/>
        <w:spacing w:before="71" w:line="219" w:lineRule="auto"/>
        <w:ind w:left="749"/>
        <w:rPr>
          <w:sz w:val="20"/>
          <w:szCs w:val="20"/>
        </w:rPr>
      </w:pPr>
      <w:r>
        <w:rPr>
          <w:spacing w:val="3"/>
          <w:sz w:val="20"/>
          <w:szCs w:val="20"/>
        </w:rPr>
        <w:t>(11)争议的解决办法；</w:t>
      </w:r>
    </w:p>
    <w:p w14:paraId="214C0FA6">
      <w:pPr>
        <w:pStyle w:val="2"/>
        <w:spacing w:before="83" w:line="219" w:lineRule="auto"/>
        <w:ind w:left="749"/>
        <w:rPr>
          <w:sz w:val="20"/>
          <w:szCs w:val="20"/>
        </w:rPr>
      </w:pPr>
      <w:r>
        <w:rPr>
          <w:spacing w:val="2"/>
          <w:sz w:val="20"/>
          <w:szCs w:val="20"/>
        </w:rPr>
        <w:t>(12)双方约定的其他事项等。</w:t>
      </w:r>
    </w:p>
    <w:p w14:paraId="13E495E1">
      <w:pPr>
        <w:spacing w:line="333" w:lineRule="auto"/>
        <w:rPr>
          <w:rFonts w:ascii="Arial"/>
          <w:sz w:val="21"/>
        </w:rPr>
      </w:pPr>
    </w:p>
    <w:p w14:paraId="705CE539">
      <w:pPr>
        <w:pStyle w:val="2"/>
        <w:spacing w:before="95" w:line="221" w:lineRule="auto"/>
        <w:ind w:left="343"/>
        <w:rPr>
          <w:rFonts w:ascii="黑体" w:hAnsi="黑体" w:eastAsia="黑体" w:cs="黑体"/>
          <w:sz w:val="29"/>
          <w:szCs w:val="29"/>
        </w:rPr>
      </w:pPr>
      <w:r>
        <w:rPr>
          <w:b/>
          <w:bCs/>
          <w:color w:val="0076DE"/>
          <w:spacing w:val="-16"/>
          <w:sz w:val="29"/>
          <w:szCs w:val="29"/>
        </w:rPr>
        <w:t>19.4</w:t>
      </w:r>
      <w:r>
        <w:rPr>
          <w:color w:val="0076DE"/>
          <w:spacing w:val="32"/>
          <w:sz w:val="29"/>
          <w:szCs w:val="29"/>
        </w:rPr>
        <w:t xml:space="preserve">  </w:t>
      </w:r>
      <w:r>
        <w:rPr>
          <w:rFonts w:ascii="黑体" w:hAnsi="黑体" w:eastAsia="黑体" w:cs="黑体"/>
          <w:b/>
          <w:bCs/>
          <w:color w:val="0076DE"/>
          <w:spacing w:val="-16"/>
          <w:sz w:val="29"/>
          <w:szCs w:val="29"/>
        </w:rPr>
        <w:t>监理服务能力</w:t>
      </w:r>
    </w:p>
    <w:p w14:paraId="01371623">
      <w:pPr>
        <w:pStyle w:val="2"/>
        <w:spacing w:before="256" w:line="282" w:lineRule="auto"/>
        <w:ind w:left="340" w:right="112" w:firstLine="409"/>
        <w:rPr>
          <w:sz w:val="20"/>
          <w:szCs w:val="20"/>
        </w:rPr>
      </w:pPr>
      <w:r>
        <w:rPr>
          <w:spacing w:val="2"/>
          <w:sz w:val="20"/>
          <w:szCs w:val="20"/>
        </w:rPr>
        <w:t>人员、技术、资源和流程体现了监理单位的监理服务能力。监理单位应根据监理及相关服</w:t>
      </w:r>
      <w:r>
        <w:rPr>
          <w:spacing w:val="18"/>
          <w:sz w:val="20"/>
          <w:szCs w:val="20"/>
        </w:rPr>
        <w:t xml:space="preserve"> </w:t>
      </w:r>
      <w:r>
        <w:rPr>
          <w:spacing w:val="-2"/>
          <w:sz w:val="20"/>
          <w:szCs w:val="20"/>
        </w:rPr>
        <w:t>务范围，在人员、技术、资源、流程四个方面，建立和完善服务能力</w:t>
      </w:r>
      <w:r>
        <w:rPr>
          <w:spacing w:val="-3"/>
          <w:sz w:val="20"/>
          <w:szCs w:val="20"/>
        </w:rPr>
        <w:t>体系。</w:t>
      </w:r>
    </w:p>
    <w:p w14:paraId="1E286C54">
      <w:pPr>
        <w:spacing w:before="134" w:line="221" w:lineRule="auto"/>
        <w:ind w:left="752"/>
        <w:rPr>
          <w:rFonts w:ascii="黑体" w:hAnsi="黑体" w:eastAsia="黑体" w:cs="黑体"/>
          <w:sz w:val="20"/>
          <w:szCs w:val="20"/>
        </w:rPr>
      </w:pPr>
      <w:r>
        <w:rPr>
          <w:rFonts w:ascii="黑体" w:hAnsi="黑体" w:eastAsia="黑体" w:cs="黑体"/>
          <w:b/>
          <w:bCs/>
          <w:color w:val="0085DE"/>
          <w:spacing w:val="-1"/>
          <w:sz w:val="20"/>
          <w:szCs w:val="20"/>
        </w:rPr>
        <w:t>1.人员</w:t>
      </w:r>
    </w:p>
    <w:p w14:paraId="5F46C550">
      <w:pPr>
        <w:pStyle w:val="2"/>
        <w:spacing w:before="125" w:line="219" w:lineRule="auto"/>
        <w:ind w:left="749"/>
        <w:rPr>
          <w:sz w:val="20"/>
          <w:szCs w:val="20"/>
        </w:rPr>
      </w:pPr>
      <w:r>
        <w:rPr>
          <w:spacing w:val="-1"/>
          <w:sz w:val="20"/>
          <w:szCs w:val="20"/>
        </w:rPr>
        <w:t>人员主要包括监理人员、外部技术协作体系、人</w:t>
      </w:r>
      <w:r>
        <w:rPr>
          <w:spacing w:val="-2"/>
          <w:sz w:val="20"/>
          <w:szCs w:val="20"/>
        </w:rPr>
        <w:t>力资源管理体系等。</w:t>
      </w:r>
    </w:p>
    <w:p w14:paraId="5E2AEAB3">
      <w:pPr>
        <w:pStyle w:val="2"/>
        <w:spacing w:before="83" w:line="219" w:lineRule="auto"/>
        <w:ind w:left="749"/>
        <w:rPr>
          <w:sz w:val="20"/>
          <w:szCs w:val="20"/>
        </w:rPr>
      </w:pPr>
      <w:r>
        <w:rPr>
          <w:spacing w:val="2"/>
          <w:sz w:val="20"/>
          <w:szCs w:val="20"/>
        </w:rPr>
        <w:t>(1)监理人员。包括总监理工程师、总监理工程师代表、监理工程师、监</w:t>
      </w:r>
      <w:r>
        <w:rPr>
          <w:spacing w:val="1"/>
          <w:sz w:val="20"/>
          <w:szCs w:val="20"/>
        </w:rPr>
        <w:t>理员。</w:t>
      </w:r>
    </w:p>
    <w:p w14:paraId="2BF7A283">
      <w:pPr>
        <w:pStyle w:val="2"/>
        <w:spacing w:before="51" w:line="273" w:lineRule="auto"/>
        <w:ind w:left="340" w:right="93" w:firstLine="409"/>
        <w:rPr>
          <w:sz w:val="20"/>
          <w:szCs w:val="20"/>
        </w:rPr>
      </w:pPr>
      <w:r>
        <w:rPr>
          <w:spacing w:val="5"/>
          <w:sz w:val="20"/>
          <w:szCs w:val="20"/>
        </w:rPr>
        <w:t>(2)外部技术协作体系。监理单位应根据监理及相关服务项目的需要，从外部聘请主要业</w:t>
      </w:r>
      <w:r>
        <w:rPr>
          <w:spacing w:val="15"/>
          <w:sz w:val="20"/>
          <w:szCs w:val="20"/>
        </w:rPr>
        <w:t xml:space="preserve"> </w:t>
      </w:r>
      <w:r>
        <w:rPr>
          <w:spacing w:val="3"/>
          <w:sz w:val="20"/>
          <w:szCs w:val="20"/>
        </w:rPr>
        <w:t>务领域的技术专家对监理及相关服务项目提供专业技术的支持</w:t>
      </w:r>
      <w:r>
        <w:rPr>
          <w:spacing w:val="2"/>
          <w:sz w:val="20"/>
          <w:szCs w:val="20"/>
        </w:rPr>
        <w:t>，体系应包括专家管理制度、专</w:t>
      </w:r>
      <w:r>
        <w:rPr>
          <w:sz w:val="20"/>
          <w:szCs w:val="20"/>
        </w:rPr>
        <w:t xml:space="preserve"> </w:t>
      </w:r>
      <w:r>
        <w:rPr>
          <w:spacing w:val="3"/>
          <w:sz w:val="20"/>
          <w:szCs w:val="20"/>
        </w:rPr>
        <w:t>家聘用和工作流程、专家库建设等方面。信息技术更新快，各行业都在开展信息化建设，监理</w:t>
      </w:r>
      <w:r>
        <w:rPr>
          <w:spacing w:val="2"/>
          <w:sz w:val="20"/>
          <w:szCs w:val="20"/>
        </w:rPr>
        <w:t xml:space="preserve"> </w:t>
      </w:r>
      <w:r>
        <w:rPr>
          <w:spacing w:val="3"/>
          <w:sz w:val="20"/>
          <w:szCs w:val="20"/>
        </w:rPr>
        <w:t>单位在信息技术领域和行业领域培养内部人才队伍难度很大。高效、专业的外部</w:t>
      </w:r>
      <w:r>
        <w:rPr>
          <w:spacing w:val="2"/>
          <w:sz w:val="20"/>
          <w:szCs w:val="20"/>
        </w:rPr>
        <w:t>技术协作体系</w:t>
      </w:r>
      <w:r>
        <w:rPr>
          <w:sz w:val="20"/>
          <w:szCs w:val="20"/>
        </w:rPr>
        <w:t xml:space="preserve"> </w:t>
      </w:r>
      <w:r>
        <w:rPr>
          <w:spacing w:val="-3"/>
          <w:sz w:val="20"/>
          <w:szCs w:val="20"/>
        </w:rPr>
        <w:t>能够有效地弥补监理单位技术力量的不足。</w:t>
      </w:r>
    </w:p>
    <w:p w14:paraId="43AA26E0">
      <w:pPr>
        <w:pStyle w:val="2"/>
        <w:spacing w:before="105" w:line="269" w:lineRule="auto"/>
        <w:ind w:left="340" w:right="93" w:firstLine="409"/>
        <w:rPr>
          <w:sz w:val="20"/>
          <w:szCs w:val="20"/>
        </w:rPr>
      </w:pPr>
      <w:r>
        <w:rPr>
          <w:spacing w:val="5"/>
          <w:sz w:val="20"/>
          <w:szCs w:val="20"/>
        </w:rPr>
        <w:t>(3)人力资源管理体系。监理单位应涵盖招聘与配置、培训与开发、绩效管理、薪酬管理</w:t>
      </w:r>
      <w:r>
        <w:rPr>
          <w:spacing w:val="15"/>
          <w:sz w:val="20"/>
          <w:szCs w:val="20"/>
        </w:rPr>
        <w:t xml:space="preserve"> </w:t>
      </w:r>
      <w:r>
        <w:rPr>
          <w:spacing w:val="3"/>
          <w:sz w:val="20"/>
          <w:szCs w:val="20"/>
        </w:rPr>
        <w:t>等主要方面，并具备人力资源管理制度和流程。监理单</w:t>
      </w:r>
      <w:r>
        <w:rPr>
          <w:spacing w:val="2"/>
          <w:sz w:val="20"/>
          <w:szCs w:val="20"/>
        </w:rPr>
        <w:t>位人力资源管理制度应在实际工作中得</w:t>
      </w:r>
      <w:r>
        <w:rPr>
          <w:sz w:val="20"/>
          <w:szCs w:val="20"/>
        </w:rPr>
        <w:t xml:space="preserve"> </w:t>
      </w:r>
      <w:r>
        <w:rPr>
          <w:spacing w:val="2"/>
          <w:sz w:val="20"/>
          <w:szCs w:val="20"/>
        </w:rPr>
        <w:t>到贯彻执行，且有记录、可核查。信息技术服务人才是组织的核心竞争力之一，完善的人力资</w:t>
      </w:r>
      <w:r>
        <w:rPr>
          <w:spacing w:val="17"/>
          <w:sz w:val="20"/>
          <w:szCs w:val="20"/>
        </w:rPr>
        <w:t xml:space="preserve"> </w:t>
      </w:r>
      <w:r>
        <w:rPr>
          <w:spacing w:val="-2"/>
          <w:sz w:val="20"/>
          <w:szCs w:val="20"/>
        </w:rPr>
        <w:t>源管理体系能够帮助组织长期保持核心竞争力。</w:t>
      </w:r>
    </w:p>
    <w:p w14:paraId="72C3AFC5">
      <w:pPr>
        <w:pStyle w:val="2"/>
        <w:spacing w:before="179" w:line="222" w:lineRule="auto"/>
        <w:ind w:left="752"/>
        <w:rPr>
          <w:rFonts w:ascii="黑体" w:hAnsi="黑体" w:eastAsia="黑体" w:cs="黑体"/>
          <w:sz w:val="20"/>
          <w:szCs w:val="20"/>
        </w:rPr>
      </w:pPr>
      <w:r>
        <w:rPr>
          <w:b/>
          <w:bCs/>
          <w:color w:val="007CCF"/>
          <w:spacing w:val="3"/>
          <w:sz w:val="20"/>
          <w:szCs w:val="20"/>
        </w:rPr>
        <w:t>2.</w:t>
      </w:r>
      <w:r>
        <w:rPr>
          <w:rFonts w:ascii="黑体" w:hAnsi="黑体" w:eastAsia="黑体" w:cs="黑体"/>
          <w:b/>
          <w:bCs/>
          <w:color w:val="007CCF"/>
          <w:spacing w:val="3"/>
          <w:sz w:val="20"/>
          <w:szCs w:val="20"/>
        </w:rPr>
        <w:t>技术</w:t>
      </w:r>
    </w:p>
    <w:p w14:paraId="540D41FA">
      <w:pPr>
        <w:pStyle w:val="2"/>
        <w:spacing w:before="131" w:line="283" w:lineRule="auto"/>
        <w:ind w:left="340" w:right="90" w:firstLine="409"/>
        <w:rPr>
          <w:sz w:val="20"/>
          <w:szCs w:val="20"/>
        </w:rPr>
      </w:pPr>
      <w:r>
        <w:rPr>
          <w:spacing w:val="3"/>
          <w:sz w:val="20"/>
          <w:szCs w:val="20"/>
        </w:rPr>
        <w:t>技术主要包括监理工作体系、业务流程研究能力、监理技术规范、质量管理体系、监理大</w:t>
      </w:r>
      <w:r>
        <w:rPr>
          <w:spacing w:val="1"/>
          <w:sz w:val="20"/>
          <w:szCs w:val="20"/>
        </w:rPr>
        <w:t xml:space="preserve"> </w:t>
      </w:r>
      <w:r>
        <w:rPr>
          <w:spacing w:val="-3"/>
          <w:sz w:val="20"/>
          <w:szCs w:val="20"/>
        </w:rPr>
        <w:t>纲、监理规划、监理实施细则等。</w:t>
      </w:r>
    </w:p>
    <w:p w14:paraId="0C03BE8C">
      <w:pPr>
        <w:pStyle w:val="2"/>
        <w:spacing w:before="8" w:line="264" w:lineRule="auto"/>
        <w:ind w:left="340" w:firstLine="409"/>
        <w:rPr>
          <w:sz w:val="20"/>
          <w:szCs w:val="20"/>
        </w:rPr>
      </w:pPr>
      <w:r>
        <w:rPr>
          <w:spacing w:val="5"/>
          <w:sz w:val="20"/>
          <w:szCs w:val="20"/>
        </w:rPr>
        <w:t>(1)监理工作体系。监理单位应建立完善的监理工作体系，包括为实施信息系统工程监理</w:t>
      </w:r>
      <w:r>
        <w:rPr>
          <w:spacing w:val="7"/>
          <w:sz w:val="20"/>
          <w:szCs w:val="20"/>
        </w:rPr>
        <w:t xml:space="preserve">  </w:t>
      </w:r>
      <w:r>
        <w:rPr>
          <w:spacing w:val="8"/>
          <w:sz w:val="20"/>
          <w:szCs w:val="20"/>
        </w:rPr>
        <w:t>业务所建立的组织体系(含组织机构及职责、专业人员</w:t>
      </w:r>
      <w:r>
        <w:rPr>
          <w:spacing w:val="7"/>
          <w:sz w:val="20"/>
          <w:szCs w:val="20"/>
        </w:rPr>
        <w:t>及岗位分工)、管理体系(含工作制度、</w:t>
      </w:r>
      <w:r>
        <w:rPr>
          <w:sz w:val="20"/>
          <w:szCs w:val="20"/>
        </w:rPr>
        <w:t xml:space="preserve"> </w:t>
      </w:r>
      <w:r>
        <w:rPr>
          <w:spacing w:val="9"/>
          <w:sz w:val="20"/>
          <w:szCs w:val="20"/>
        </w:rPr>
        <w:t>工作程序)和文档体系(含标准化文档的编制、使用和保存)等。</w:t>
      </w:r>
    </w:p>
    <w:p w14:paraId="2979A679">
      <w:pPr>
        <w:pStyle w:val="2"/>
        <w:spacing w:before="84" w:line="263" w:lineRule="auto"/>
        <w:ind w:left="340" w:right="83" w:firstLine="409"/>
        <w:rPr>
          <w:sz w:val="17"/>
          <w:szCs w:val="17"/>
        </w:rPr>
      </w:pPr>
      <w:r>
        <w:rPr>
          <w:spacing w:val="6"/>
          <w:sz w:val="20"/>
          <w:szCs w:val="20"/>
        </w:rPr>
        <w:t>(2)业务流程研究能力。监理单位应通过对主要客户的</w:t>
      </w:r>
      <w:r>
        <w:rPr>
          <w:spacing w:val="5"/>
          <w:sz w:val="20"/>
          <w:szCs w:val="20"/>
        </w:rPr>
        <w:t>业务流程、业务特点以及客户所属</w:t>
      </w:r>
      <w:r>
        <w:rPr>
          <w:sz w:val="20"/>
          <w:szCs w:val="20"/>
        </w:rPr>
        <w:t xml:space="preserve"> </w:t>
      </w:r>
      <w:r>
        <w:rPr>
          <w:spacing w:val="3"/>
          <w:sz w:val="20"/>
          <w:szCs w:val="20"/>
        </w:rPr>
        <w:t>领域信息技术发展的长期积累和研究，较好地把握客户的信息化需求，充分掌握监理服务工作</w:t>
      </w:r>
      <w:r>
        <w:rPr>
          <w:spacing w:val="9"/>
          <w:sz w:val="20"/>
          <w:szCs w:val="20"/>
        </w:rPr>
        <w:t xml:space="preserve"> </w:t>
      </w:r>
      <w:r>
        <w:rPr>
          <w:spacing w:val="3"/>
          <w:sz w:val="20"/>
          <w:szCs w:val="20"/>
        </w:rPr>
        <w:t>的重点和要点，能够为客户的信息化建设提供有针对性的监理及相关服务工作方案和有价值的</w:t>
      </w:r>
      <w:r>
        <w:rPr>
          <w:spacing w:val="11"/>
          <w:sz w:val="20"/>
          <w:szCs w:val="20"/>
        </w:rPr>
        <w:t xml:space="preserve"> </w:t>
      </w:r>
      <w:r>
        <w:rPr>
          <w:spacing w:val="-6"/>
          <w:sz w:val="17"/>
          <w:szCs w:val="17"/>
        </w:rPr>
        <w:t>报</w:t>
      </w:r>
      <w:r>
        <w:rPr>
          <w:spacing w:val="-21"/>
          <w:sz w:val="17"/>
          <w:szCs w:val="17"/>
        </w:rPr>
        <w:t xml:space="preserve"> </w:t>
      </w:r>
      <w:r>
        <w:rPr>
          <w:spacing w:val="-6"/>
          <w:sz w:val="17"/>
          <w:szCs w:val="17"/>
        </w:rPr>
        <w:t>告</w:t>
      </w:r>
      <w:r>
        <w:rPr>
          <w:spacing w:val="-33"/>
          <w:sz w:val="17"/>
          <w:szCs w:val="17"/>
        </w:rPr>
        <w:t xml:space="preserve"> </w:t>
      </w:r>
      <w:r>
        <w:rPr>
          <w:spacing w:val="-6"/>
          <w:sz w:val="17"/>
          <w:szCs w:val="17"/>
        </w:rPr>
        <w:t>。</w:t>
      </w:r>
    </w:p>
    <w:p w14:paraId="220D11AD">
      <w:pPr>
        <w:spacing w:line="263" w:lineRule="auto"/>
        <w:rPr>
          <w:sz w:val="17"/>
          <w:szCs w:val="17"/>
        </w:rPr>
        <w:sectPr>
          <w:pgSz w:w="10300" w:h="13400"/>
          <w:pgMar w:top="400" w:right="1000" w:bottom="400" w:left="540" w:header="0" w:footer="0" w:gutter="0"/>
          <w:cols w:space="720" w:num="1"/>
        </w:sectPr>
      </w:pPr>
    </w:p>
    <w:p w14:paraId="0F45A076">
      <w:pPr>
        <w:pStyle w:val="2"/>
        <w:spacing w:before="77" w:line="220" w:lineRule="auto"/>
        <w:jc w:val="right"/>
        <w:rPr>
          <w:rFonts w:ascii="Times New Roman" w:hAnsi="Times New Roman" w:eastAsia="Times New Roman" w:cs="Times New Roman"/>
          <w:sz w:val="20"/>
          <w:szCs w:val="20"/>
        </w:rPr>
      </w:pPr>
      <w:r>
        <w:rPr>
          <w:spacing w:val="-1"/>
          <w:sz w:val="20"/>
          <w:szCs w:val="20"/>
        </w:rPr>
        <w:t xml:space="preserve">第19章 监理支撑要素      </w:t>
      </w:r>
      <w:r>
        <w:rPr>
          <w:rFonts w:ascii="Times New Roman" w:hAnsi="Times New Roman" w:eastAsia="Times New Roman" w:cs="Times New Roman"/>
          <w:spacing w:val="-1"/>
          <w:position w:val="-2"/>
          <w:sz w:val="20"/>
          <w:szCs w:val="20"/>
        </w:rPr>
        <w:t>431</w:t>
      </w:r>
    </w:p>
    <w:p w14:paraId="4FD5C2BF">
      <w:pPr>
        <w:spacing w:line="279" w:lineRule="auto"/>
        <w:rPr>
          <w:rFonts w:ascii="Arial"/>
          <w:sz w:val="21"/>
        </w:rPr>
      </w:pPr>
    </w:p>
    <w:p w14:paraId="735431B6">
      <w:pPr>
        <w:pStyle w:val="2"/>
        <w:spacing w:before="65" w:line="257" w:lineRule="auto"/>
        <w:ind w:right="317" w:firstLine="409"/>
        <w:rPr>
          <w:sz w:val="20"/>
          <w:szCs w:val="20"/>
        </w:rPr>
      </w:pPr>
      <w:r>
        <w:rPr>
          <w:spacing w:val="8"/>
          <w:sz w:val="20"/>
          <w:szCs w:val="20"/>
        </w:rPr>
        <w:t>(3)监理技术规范。监理单位制定的本单位的信息系统工程监理技术规范(或监理</w:t>
      </w:r>
      <w:r>
        <w:rPr>
          <w:spacing w:val="7"/>
          <w:sz w:val="20"/>
          <w:szCs w:val="20"/>
        </w:rPr>
        <w:t>操作规</w:t>
      </w:r>
      <w:r>
        <w:rPr>
          <w:sz w:val="20"/>
          <w:szCs w:val="20"/>
        </w:rPr>
        <w:t xml:space="preserve"> </w:t>
      </w:r>
      <w:r>
        <w:rPr>
          <w:spacing w:val="1"/>
          <w:sz w:val="20"/>
          <w:szCs w:val="20"/>
        </w:rPr>
        <w:t>程)应符合相关标准对监理工作的要求。监理单位应具备以下基本监理技术：</w:t>
      </w:r>
    </w:p>
    <w:p w14:paraId="6A8CD876">
      <w:pPr>
        <w:pStyle w:val="2"/>
        <w:spacing w:before="74" w:line="267" w:lineRule="auto"/>
        <w:ind w:left="699" w:right="336" w:hanging="290"/>
        <w:rPr>
          <w:sz w:val="20"/>
          <w:szCs w:val="20"/>
        </w:rPr>
      </w:pPr>
      <w:r>
        <w:rPr>
          <w:spacing w:val="3"/>
          <w:sz w:val="20"/>
          <w:szCs w:val="20"/>
        </w:rPr>
        <w:t>●监理的主要技术与管理手段包括检查、旁站、</w:t>
      </w:r>
      <w:r>
        <w:rPr>
          <w:spacing w:val="2"/>
          <w:sz w:val="20"/>
          <w:szCs w:val="20"/>
        </w:rPr>
        <w:t>抽查、测试、软件特性分析等，使用这些</w:t>
      </w:r>
      <w:r>
        <w:rPr>
          <w:sz w:val="20"/>
          <w:szCs w:val="20"/>
        </w:rPr>
        <w:t xml:space="preserve"> </w:t>
      </w:r>
      <w:r>
        <w:rPr>
          <w:spacing w:val="-3"/>
          <w:sz w:val="20"/>
          <w:szCs w:val="20"/>
        </w:rPr>
        <w:t>手段对监理要点实施现场验证与确认，加强风险防范；</w:t>
      </w:r>
    </w:p>
    <w:p w14:paraId="613ED10D">
      <w:pPr>
        <w:pStyle w:val="2"/>
        <w:spacing w:before="89" w:line="258" w:lineRule="auto"/>
        <w:ind w:left="699" w:right="318" w:hanging="290"/>
        <w:rPr>
          <w:sz w:val="20"/>
          <w:szCs w:val="20"/>
        </w:rPr>
      </w:pPr>
      <w:r>
        <w:rPr>
          <w:spacing w:val="3"/>
          <w:sz w:val="20"/>
          <w:szCs w:val="20"/>
        </w:rPr>
        <w:t>●利用监理知识库、监理案例库，对将要实施的项目进行风险分析与管理，并依据相关技</w:t>
      </w:r>
      <w:r>
        <w:rPr>
          <w:sz w:val="20"/>
          <w:szCs w:val="20"/>
        </w:rPr>
        <w:t xml:space="preserve"> </w:t>
      </w:r>
      <w:r>
        <w:rPr>
          <w:spacing w:val="-3"/>
          <w:sz w:val="20"/>
          <w:szCs w:val="20"/>
        </w:rPr>
        <w:t>术、管理及服务标准，审核或编制项目文档资料；</w:t>
      </w:r>
    </w:p>
    <w:p w14:paraId="32F535E9">
      <w:pPr>
        <w:pStyle w:val="2"/>
        <w:spacing w:before="101" w:line="257" w:lineRule="auto"/>
        <w:ind w:left="699" w:right="317" w:hanging="290"/>
        <w:rPr>
          <w:sz w:val="20"/>
          <w:szCs w:val="20"/>
        </w:rPr>
      </w:pPr>
      <w:r>
        <w:rPr>
          <w:spacing w:val="3"/>
          <w:sz w:val="20"/>
          <w:szCs w:val="20"/>
        </w:rPr>
        <w:t>●监理技术人员应加强新的信息技术、产品发展趋势及行业知识的学习，在实践中不断更</w:t>
      </w:r>
      <w:r>
        <w:rPr>
          <w:spacing w:val="1"/>
          <w:sz w:val="20"/>
          <w:szCs w:val="20"/>
        </w:rPr>
        <w:t xml:space="preserve"> </w:t>
      </w:r>
      <w:r>
        <w:rPr>
          <w:spacing w:val="-1"/>
          <w:sz w:val="20"/>
          <w:szCs w:val="20"/>
        </w:rPr>
        <w:t>新和完善监理知识库及监理案例库，并借助现代通信和交流手段提高沟通</w:t>
      </w:r>
      <w:r>
        <w:rPr>
          <w:spacing w:val="-2"/>
          <w:sz w:val="20"/>
          <w:szCs w:val="20"/>
        </w:rPr>
        <w:t>效率。</w:t>
      </w:r>
    </w:p>
    <w:p w14:paraId="2A7492DF">
      <w:pPr>
        <w:pStyle w:val="2"/>
        <w:spacing w:before="93" w:line="258" w:lineRule="auto"/>
        <w:ind w:right="314" w:firstLine="409"/>
        <w:rPr>
          <w:sz w:val="20"/>
          <w:szCs w:val="20"/>
        </w:rPr>
      </w:pPr>
      <w:r>
        <w:rPr>
          <w:spacing w:val="6"/>
          <w:sz w:val="20"/>
          <w:szCs w:val="20"/>
        </w:rPr>
        <w:t>(4)质量管理体系。监理单位应建立质量管理</w:t>
      </w:r>
      <w:r>
        <w:rPr>
          <w:spacing w:val="5"/>
          <w:sz w:val="20"/>
          <w:szCs w:val="20"/>
        </w:rPr>
        <w:t>体系。监理单位质量管理体系证书的覆盖范</w:t>
      </w:r>
      <w:r>
        <w:rPr>
          <w:sz w:val="20"/>
          <w:szCs w:val="20"/>
        </w:rPr>
        <w:t xml:space="preserve"> </w:t>
      </w:r>
      <w:r>
        <w:rPr>
          <w:spacing w:val="3"/>
          <w:sz w:val="20"/>
          <w:szCs w:val="20"/>
        </w:rPr>
        <w:t>围应包括与监理及相关服务业务有关的所有活动和过程，</w:t>
      </w:r>
      <w:r>
        <w:rPr>
          <w:spacing w:val="2"/>
          <w:sz w:val="20"/>
          <w:szCs w:val="20"/>
        </w:rPr>
        <w:t>从事监理及相关服务的所有部门和人</w:t>
      </w:r>
      <w:r>
        <w:rPr>
          <w:sz w:val="20"/>
          <w:szCs w:val="20"/>
        </w:rPr>
        <w:t xml:space="preserve"> </w:t>
      </w:r>
      <w:r>
        <w:rPr>
          <w:spacing w:val="-4"/>
          <w:sz w:val="20"/>
          <w:szCs w:val="20"/>
        </w:rPr>
        <w:t>员应在体系覆盖的范围内。</w:t>
      </w:r>
    </w:p>
    <w:p w14:paraId="017FB39F">
      <w:pPr>
        <w:pStyle w:val="2"/>
        <w:spacing w:before="83" w:line="291" w:lineRule="auto"/>
        <w:ind w:right="317" w:firstLine="409"/>
        <w:rPr>
          <w:sz w:val="20"/>
          <w:szCs w:val="20"/>
        </w:rPr>
      </w:pPr>
      <w:r>
        <w:rPr>
          <w:spacing w:val="2"/>
          <w:sz w:val="20"/>
          <w:szCs w:val="20"/>
        </w:rPr>
        <w:t>监理单位开展监理活动时，应按照质量管理的标准规范监理行为，根据</w:t>
      </w:r>
      <w:r>
        <w:rPr>
          <w:rFonts w:ascii="Times New Roman" w:hAnsi="Times New Roman" w:eastAsia="Times New Roman" w:cs="Times New Roman"/>
          <w:sz w:val="20"/>
          <w:szCs w:val="20"/>
        </w:rPr>
        <w:t>ISO</w:t>
      </w:r>
      <w:r>
        <w:rPr>
          <w:rFonts w:ascii="Times New Roman" w:hAnsi="Times New Roman" w:eastAsia="Times New Roman" w:cs="Times New Roman"/>
          <w:spacing w:val="2"/>
          <w:sz w:val="20"/>
          <w:szCs w:val="20"/>
        </w:rPr>
        <w:t xml:space="preserve">  9000</w:t>
      </w:r>
      <w:r>
        <w:rPr>
          <w:spacing w:val="2"/>
          <w:sz w:val="20"/>
          <w:szCs w:val="20"/>
        </w:rPr>
        <w:t>管理的八</w:t>
      </w:r>
      <w:r>
        <w:rPr>
          <w:spacing w:val="14"/>
          <w:sz w:val="20"/>
          <w:szCs w:val="20"/>
        </w:rPr>
        <w:t xml:space="preserve"> </w:t>
      </w:r>
      <w:r>
        <w:rPr>
          <w:spacing w:val="-1"/>
          <w:sz w:val="20"/>
          <w:szCs w:val="20"/>
        </w:rPr>
        <w:t>项质量管理原则，帮助组织改进组织业绩框架，</w:t>
      </w:r>
      <w:r>
        <w:rPr>
          <w:spacing w:val="-2"/>
          <w:sz w:val="20"/>
          <w:szCs w:val="20"/>
        </w:rPr>
        <w:t>达到持续成功。八项质量管理原则如下：</w:t>
      </w:r>
    </w:p>
    <w:p w14:paraId="34423684">
      <w:pPr>
        <w:pStyle w:val="2"/>
        <w:spacing w:before="18" w:line="258" w:lineRule="auto"/>
        <w:ind w:left="699" w:right="337" w:hanging="290"/>
        <w:rPr>
          <w:sz w:val="20"/>
          <w:szCs w:val="20"/>
        </w:rPr>
      </w:pPr>
      <w:r>
        <w:rPr>
          <w:spacing w:val="3"/>
          <w:sz w:val="20"/>
          <w:szCs w:val="20"/>
        </w:rPr>
        <w:t>●以顾客为中心。组织依存于其顾客，因此组</w:t>
      </w:r>
      <w:r>
        <w:rPr>
          <w:spacing w:val="2"/>
          <w:sz w:val="20"/>
          <w:szCs w:val="20"/>
        </w:rPr>
        <w:t>织应理解顾客当前和未来的需求，满足顾客</w:t>
      </w:r>
      <w:r>
        <w:rPr>
          <w:sz w:val="20"/>
          <w:szCs w:val="20"/>
        </w:rPr>
        <w:t xml:space="preserve"> </w:t>
      </w:r>
      <w:r>
        <w:rPr>
          <w:spacing w:val="-3"/>
          <w:sz w:val="20"/>
          <w:szCs w:val="20"/>
        </w:rPr>
        <w:t>要求并争取超越顾客期望。</w:t>
      </w:r>
    </w:p>
    <w:p w14:paraId="198574BD">
      <w:pPr>
        <w:pStyle w:val="2"/>
        <w:spacing w:before="91" w:line="258" w:lineRule="auto"/>
        <w:ind w:left="699" w:right="310" w:hanging="290"/>
        <w:rPr>
          <w:sz w:val="20"/>
          <w:szCs w:val="20"/>
        </w:rPr>
      </w:pPr>
      <w:r>
        <w:rPr>
          <w:spacing w:val="3"/>
          <w:sz w:val="20"/>
          <w:szCs w:val="20"/>
        </w:rPr>
        <w:t>●领导作用。领导者确立本组织统一的宗旨和方向。他们应该创造并保持员工能充分参与</w:t>
      </w:r>
      <w:r>
        <w:rPr>
          <w:spacing w:val="8"/>
          <w:sz w:val="20"/>
          <w:szCs w:val="20"/>
        </w:rPr>
        <w:t xml:space="preserve"> </w:t>
      </w:r>
      <w:r>
        <w:rPr>
          <w:spacing w:val="-4"/>
          <w:sz w:val="20"/>
          <w:szCs w:val="20"/>
        </w:rPr>
        <w:t>实现组织目标的内部环境。</w:t>
      </w:r>
    </w:p>
    <w:p w14:paraId="3D43E079">
      <w:pPr>
        <w:pStyle w:val="2"/>
        <w:spacing w:before="81" w:line="219" w:lineRule="auto"/>
        <w:ind w:left="409"/>
        <w:rPr>
          <w:sz w:val="20"/>
          <w:szCs w:val="20"/>
        </w:rPr>
      </w:pPr>
      <w:r>
        <w:rPr>
          <w:spacing w:val="1"/>
          <w:sz w:val="20"/>
          <w:szCs w:val="20"/>
        </w:rPr>
        <w:t>●全员参与。各级人员是组织之本，只有他们的充分参与，才能使</w:t>
      </w:r>
      <w:r>
        <w:rPr>
          <w:sz w:val="20"/>
          <w:szCs w:val="20"/>
        </w:rPr>
        <w:t>他们为组织获益。</w:t>
      </w:r>
    </w:p>
    <w:p w14:paraId="59CA7E7C">
      <w:pPr>
        <w:pStyle w:val="2"/>
        <w:spacing w:before="84" w:line="219" w:lineRule="auto"/>
        <w:ind w:left="409"/>
        <w:rPr>
          <w:sz w:val="20"/>
          <w:szCs w:val="20"/>
        </w:rPr>
      </w:pPr>
      <w:r>
        <w:rPr>
          <w:spacing w:val="1"/>
          <w:sz w:val="20"/>
          <w:szCs w:val="20"/>
        </w:rPr>
        <w:t>●过程方法。将相关活动和资源作为过程进行管理，可以更有效地</w:t>
      </w:r>
      <w:r>
        <w:rPr>
          <w:sz w:val="20"/>
          <w:szCs w:val="20"/>
        </w:rPr>
        <w:t>得到期望的结果。</w:t>
      </w:r>
    </w:p>
    <w:p w14:paraId="6F0E8E93">
      <w:pPr>
        <w:pStyle w:val="2"/>
        <w:spacing w:before="72" w:line="267" w:lineRule="auto"/>
        <w:ind w:left="699" w:right="308" w:hanging="290"/>
        <w:rPr>
          <w:sz w:val="20"/>
          <w:szCs w:val="20"/>
        </w:rPr>
      </w:pPr>
      <w:r>
        <w:rPr>
          <w:spacing w:val="3"/>
          <w:sz w:val="20"/>
          <w:szCs w:val="20"/>
        </w:rPr>
        <w:t>●管理的系统方法。识别、理解和管理作为体系的相互关联的过程，有助于组织实现其目</w:t>
      </w:r>
      <w:r>
        <w:rPr>
          <w:spacing w:val="10"/>
          <w:sz w:val="20"/>
          <w:szCs w:val="20"/>
        </w:rPr>
        <w:t xml:space="preserve"> </w:t>
      </w:r>
      <w:r>
        <w:rPr>
          <w:spacing w:val="-4"/>
          <w:sz w:val="20"/>
          <w:szCs w:val="20"/>
        </w:rPr>
        <w:t>标的效率和有效性。</w:t>
      </w:r>
    </w:p>
    <w:p w14:paraId="22C3F249">
      <w:pPr>
        <w:pStyle w:val="2"/>
        <w:spacing w:before="73" w:line="219" w:lineRule="auto"/>
        <w:ind w:left="409"/>
        <w:rPr>
          <w:sz w:val="20"/>
          <w:szCs w:val="20"/>
        </w:rPr>
      </w:pPr>
      <w:r>
        <w:rPr>
          <w:spacing w:val="1"/>
          <w:sz w:val="20"/>
          <w:szCs w:val="20"/>
        </w:rPr>
        <w:t>●持续改进。组织总体业绩的持续改进应是组织的一个永恒的目标。</w:t>
      </w:r>
    </w:p>
    <w:p w14:paraId="6FD2EC3B">
      <w:pPr>
        <w:pStyle w:val="2"/>
        <w:spacing w:before="92" w:line="219" w:lineRule="auto"/>
        <w:ind w:left="409"/>
        <w:rPr>
          <w:sz w:val="20"/>
          <w:szCs w:val="20"/>
        </w:rPr>
      </w:pPr>
      <w:r>
        <w:rPr>
          <w:spacing w:val="2"/>
          <w:sz w:val="20"/>
          <w:szCs w:val="20"/>
        </w:rPr>
        <w:t>●基于事实的决策方法。有效决策是建立在数据和信息分析基</w:t>
      </w:r>
      <w:r>
        <w:rPr>
          <w:spacing w:val="1"/>
          <w:sz w:val="20"/>
          <w:szCs w:val="20"/>
        </w:rPr>
        <w:t>础上的。</w:t>
      </w:r>
    </w:p>
    <w:p w14:paraId="327B26E9">
      <w:pPr>
        <w:pStyle w:val="2"/>
        <w:spacing w:before="61" w:line="218" w:lineRule="auto"/>
        <w:ind w:left="409"/>
        <w:rPr>
          <w:sz w:val="20"/>
          <w:szCs w:val="20"/>
        </w:rPr>
      </w:pPr>
      <w:r>
        <w:rPr>
          <w:spacing w:val="14"/>
          <w:sz w:val="20"/>
          <w:szCs w:val="20"/>
        </w:rPr>
        <w:t>●与供方互利的关系。组织与供方是相互依存的，互</w:t>
      </w:r>
      <w:r>
        <w:rPr>
          <w:spacing w:val="13"/>
          <w:sz w:val="20"/>
          <w:szCs w:val="20"/>
        </w:rPr>
        <w:t>利的关系可增强双方创造价值的</w:t>
      </w:r>
    </w:p>
    <w:p w14:paraId="3E43331C">
      <w:pPr>
        <w:pStyle w:val="2"/>
        <w:spacing w:before="144" w:line="219" w:lineRule="auto"/>
        <w:ind w:left="700"/>
        <w:rPr>
          <w:sz w:val="16"/>
          <w:szCs w:val="16"/>
        </w:rPr>
      </w:pPr>
      <w:r>
        <w:rPr>
          <w:spacing w:val="-8"/>
          <w:sz w:val="16"/>
          <w:szCs w:val="16"/>
        </w:rPr>
        <w:t>能</w:t>
      </w:r>
      <w:r>
        <w:rPr>
          <w:spacing w:val="-17"/>
          <w:sz w:val="16"/>
          <w:szCs w:val="16"/>
        </w:rPr>
        <w:t xml:space="preserve"> </w:t>
      </w:r>
      <w:r>
        <w:rPr>
          <w:spacing w:val="-8"/>
          <w:sz w:val="16"/>
          <w:szCs w:val="16"/>
        </w:rPr>
        <w:t>力</w:t>
      </w:r>
      <w:r>
        <w:rPr>
          <w:spacing w:val="-27"/>
          <w:sz w:val="16"/>
          <w:szCs w:val="16"/>
        </w:rPr>
        <w:t xml:space="preserve"> </w:t>
      </w:r>
      <w:r>
        <w:rPr>
          <w:spacing w:val="-8"/>
          <w:sz w:val="16"/>
          <w:szCs w:val="16"/>
        </w:rPr>
        <w:t>。</w:t>
      </w:r>
    </w:p>
    <w:p w14:paraId="782316FA">
      <w:pPr>
        <w:pStyle w:val="2"/>
        <w:spacing w:before="81" w:line="284" w:lineRule="auto"/>
        <w:ind w:right="310" w:firstLine="409"/>
        <w:rPr>
          <w:sz w:val="16"/>
          <w:szCs w:val="16"/>
        </w:rPr>
      </w:pPr>
      <w:r>
        <w:rPr>
          <w:spacing w:val="11"/>
          <w:sz w:val="20"/>
          <w:szCs w:val="20"/>
        </w:rPr>
        <w:t>(5)监理大纲。监理大纲是监理单位承担信息系统工程</w:t>
      </w:r>
      <w:r>
        <w:rPr>
          <w:spacing w:val="10"/>
          <w:sz w:val="20"/>
          <w:szCs w:val="20"/>
        </w:rPr>
        <w:t>建设项目的监理及相关服务的法</w:t>
      </w:r>
      <w:r>
        <w:rPr>
          <w:sz w:val="20"/>
          <w:szCs w:val="20"/>
        </w:rPr>
        <w:t xml:space="preserve"> </w:t>
      </w:r>
      <w:r>
        <w:rPr>
          <w:spacing w:val="3"/>
          <w:sz w:val="20"/>
          <w:szCs w:val="20"/>
        </w:rPr>
        <w:t>律承诺。监理大纲的编制应针对业主单位对监理工作的要求，明确监理单位所提供的监理及相</w:t>
      </w:r>
      <w:r>
        <w:rPr>
          <w:spacing w:val="12"/>
          <w:sz w:val="20"/>
          <w:szCs w:val="20"/>
        </w:rPr>
        <w:t xml:space="preserve"> </w:t>
      </w:r>
      <w:r>
        <w:rPr>
          <w:spacing w:val="3"/>
          <w:sz w:val="20"/>
          <w:szCs w:val="20"/>
        </w:rPr>
        <w:t>关服务目标和定位，确定具体的工作范围、服务特点、组织机构与人员职责、服务保障和服务</w:t>
      </w:r>
      <w:r>
        <w:rPr>
          <w:spacing w:val="5"/>
          <w:sz w:val="20"/>
          <w:szCs w:val="20"/>
        </w:rPr>
        <w:t xml:space="preserve"> </w:t>
      </w:r>
      <w:r>
        <w:rPr>
          <w:spacing w:val="-5"/>
          <w:sz w:val="16"/>
          <w:szCs w:val="16"/>
        </w:rPr>
        <w:t>承</w:t>
      </w:r>
      <w:r>
        <w:rPr>
          <w:spacing w:val="-13"/>
          <w:sz w:val="16"/>
          <w:szCs w:val="16"/>
        </w:rPr>
        <w:t xml:space="preserve"> </w:t>
      </w:r>
      <w:r>
        <w:rPr>
          <w:spacing w:val="-5"/>
          <w:sz w:val="16"/>
          <w:szCs w:val="16"/>
        </w:rPr>
        <w:t>诺</w:t>
      </w:r>
      <w:r>
        <w:rPr>
          <w:spacing w:val="-20"/>
          <w:sz w:val="16"/>
          <w:szCs w:val="16"/>
        </w:rPr>
        <w:t xml:space="preserve"> </w:t>
      </w:r>
      <w:r>
        <w:rPr>
          <w:spacing w:val="-5"/>
          <w:sz w:val="16"/>
          <w:szCs w:val="16"/>
        </w:rPr>
        <w:t>。</w:t>
      </w:r>
    </w:p>
    <w:p w14:paraId="174DF250">
      <w:pPr>
        <w:pStyle w:val="2"/>
        <w:spacing w:before="52" w:line="261" w:lineRule="auto"/>
        <w:ind w:right="318" w:firstLine="409"/>
        <w:rPr>
          <w:sz w:val="20"/>
          <w:szCs w:val="20"/>
        </w:rPr>
      </w:pPr>
      <w:r>
        <w:rPr>
          <w:spacing w:val="5"/>
          <w:sz w:val="20"/>
          <w:szCs w:val="20"/>
        </w:rPr>
        <w:t>(6)监理规划。监理规划是实施监理及相关服务工作的纲领性文件。监理规划的编制应针</w:t>
      </w:r>
      <w:r>
        <w:rPr>
          <w:spacing w:val="17"/>
          <w:sz w:val="20"/>
          <w:szCs w:val="20"/>
        </w:rPr>
        <w:t xml:space="preserve"> </w:t>
      </w:r>
      <w:r>
        <w:rPr>
          <w:sz w:val="20"/>
          <w:szCs w:val="20"/>
        </w:rPr>
        <w:t>对项目的实际情况，明确监理机构的工作目标，确定具体的监理</w:t>
      </w:r>
      <w:r>
        <w:rPr>
          <w:spacing w:val="-1"/>
          <w:sz w:val="20"/>
          <w:szCs w:val="20"/>
        </w:rPr>
        <w:t>工作制度、方法和措施。</w:t>
      </w:r>
    </w:p>
    <w:p w14:paraId="2BF21EC6">
      <w:pPr>
        <w:pStyle w:val="2"/>
        <w:spacing w:before="54" w:line="270" w:lineRule="auto"/>
        <w:ind w:right="309" w:firstLine="409"/>
        <w:rPr>
          <w:sz w:val="20"/>
          <w:szCs w:val="20"/>
        </w:rPr>
      </w:pPr>
      <w:r>
        <w:rPr>
          <w:spacing w:val="6"/>
          <w:sz w:val="20"/>
          <w:szCs w:val="20"/>
        </w:rPr>
        <w:t>(7)监理实施细则。监理机构按照监理规划中规定的工</w:t>
      </w:r>
      <w:r>
        <w:rPr>
          <w:spacing w:val="5"/>
          <w:sz w:val="20"/>
          <w:szCs w:val="20"/>
        </w:rPr>
        <w:t>作范围、内容、制度和方法等编制</w:t>
      </w:r>
      <w:r>
        <w:rPr>
          <w:sz w:val="20"/>
          <w:szCs w:val="20"/>
        </w:rPr>
        <w:t xml:space="preserve"> </w:t>
      </w:r>
      <w:r>
        <w:rPr>
          <w:spacing w:val="3"/>
          <w:sz w:val="20"/>
          <w:szCs w:val="20"/>
        </w:rPr>
        <w:t>监理实施细则，开展具体的监理及相关服务工作。监理实施细则应符合监理规划的要求，结合</w:t>
      </w:r>
      <w:r>
        <w:rPr>
          <w:spacing w:val="4"/>
          <w:sz w:val="20"/>
          <w:szCs w:val="20"/>
        </w:rPr>
        <w:t xml:space="preserve"> </w:t>
      </w:r>
      <w:r>
        <w:rPr>
          <w:spacing w:val="-2"/>
          <w:sz w:val="20"/>
          <w:szCs w:val="20"/>
        </w:rPr>
        <w:t>工程及相关服务项目的专业特点，具有可操作性。</w:t>
      </w:r>
    </w:p>
    <w:p w14:paraId="47CD1F20">
      <w:pPr>
        <w:pStyle w:val="2"/>
        <w:spacing w:before="168" w:line="221" w:lineRule="auto"/>
        <w:ind w:left="412"/>
        <w:rPr>
          <w:rFonts w:ascii="黑体" w:hAnsi="黑体" w:eastAsia="黑体" w:cs="黑体"/>
          <w:sz w:val="20"/>
          <w:szCs w:val="20"/>
        </w:rPr>
      </w:pPr>
      <w:r>
        <w:rPr>
          <w:b/>
          <w:bCs/>
          <w:color w:val="0064D8"/>
          <w:spacing w:val="5"/>
          <w:sz w:val="20"/>
          <w:szCs w:val="20"/>
        </w:rPr>
        <w:t>3.</w:t>
      </w:r>
      <w:r>
        <w:rPr>
          <w:rFonts w:ascii="黑体" w:hAnsi="黑体" w:eastAsia="黑体" w:cs="黑体"/>
          <w:b/>
          <w:bCs/>
          <w:color w:val="0064D8"/>
          <w:spacing w:val="5"/>
          <w:sz w:val="20"/>
          <w:szCs w:val="20"/>
        </w:rPr>
        <w:t>资源</w:t>
      </w:r>
    </w:p>
    <w:p w14:paraId="6112D122">
      <w:pPr>
        <w:spacing w:before="101" w:line="220" w:lineRule="auto"/>
        <w:ind w:left="409"/>
        <w:rPr>
          <w:rFonts w:ascii="仿宋" w:hAnsi="仿宋" w:eastAsia="仿宋" w:cs="仿宋"/>
          <w:sz w:val="20"/>
          <w:szCs w:val="20"/>
        </w:rPr>
      </w:pPr>
      <w:r>
        <w:rPr>
          <w:rFonts w:ascii="仿宋" w:hAnsi="仿宋" w:eastAsia="仿宋" w:cs="仿宋"/>
          <w:spacing w:val="3"/>
          <w:sz w:val="20"/>
          <w:szCs w:val="20"/>
        </w:rPr>
        <w:t>资源包括监理机构、监理设施、监理知识库及监理案例库、检测分析工具及仪器设备、企</w:t>
      </w:r>
    </w:p>
    <w:p w14:paraId="0A3B02ED">
      <w:pPr>
        <w:spacing w:line="220" w:lineRule="auto"/>
        <w:rPr>
          <w:rFonts w:ascii="仿宋" w:hAnsi="仿宋" w:eastAsia="仿宋" w:cs="仿宋"/>
          <w:sz w:val="20"/>
          <w:szCs w:val="20"/>
        </w:rPr>
        <w:sectPr>
          <w:pgSz w:w="10290" w:h="13330"/>
          <w:pgMar w:top="400" w:right="543" w:bottom="400" w:left="1100" w:header="0" w:footer="0" w:gutter="0"/>
          <w:cols w:space="720" w:num="1"/>
        </w:sectPr>
      </w:pPr>
    </w:p>
    <w:p w14:paraId="3D7FA781">
      <w:pPr>
        <w:pStyle w:val="2"/>
        <w:spacing w:before="108" w:line="219" w:lineRule="auto"/>
        <w:rPr>
          <w:sz w:val="19"/>
          <w:szCs w:val="19"/>
        </w:rPr>
      </w:pPr>
      <w:r>
        <w:rPr>
          <w:rFonts w:ascii="Times New Roman" w:hAnsi="Times New Roman" w:eastAsia="Times New Roman" w:cs="Times New Roman"/>
          <w:b/>
          <w:bCs/>
          <w:spacing w:val="3"/>
          <w:position w:val="1"/>
          <w:sz w:val="19"/>
          <w:szCs w:val="19"/>
        </w:rPr>
        <w:t xml:space="preserve">432              </w:t>
      </w:r>
      <w:r>
        <w:rPr>
          <w:spacing w:val="3"/>
          <w:sz w:val="19"/>
          <w:szCs w:val="19"/>
        </w:rPr>
        <w:t>信息系统监理师教程(第2版)</w:t>
      </w:r>
    </w:p>
    <w:p w14:paraId="0449D33D">
      <w:pPr>
        <w:spacing w:line="320" w:lineRule="auto"/>
        <w:rPr>
          <w:rFonts w:ascii="Arial"/>
          <w:sz w:val="21"/>
        </w:rPr>
      </w:pPr>
    </w:p>
    <w:p w14:paraId="0955471C">
      <w:pPr>
        <w:pStyle w:val="2"/>
        <w:spacing w:before="62" w:line="219" w:lineRule="auto"/>
        <w:ind w:left="349"/>
        <w:rPr>
          <w:sz w:val="19"/>
          <w:szCs w:val="19"/>
        </w:rPr>
      </w:pPr>
      <w:r>
        <w:rPr>
          <w:spacing w:val="5"/>
          <w:sz w:val="19"/>
          <w:szCs w:val="19"/>
        </w:rPr>
        <w:t>业管理信息系统等。</w:t>
      </w:r>
    </w:p>
    <w:p w14:paraId="2BA6DB12">
      <w:pPr>
        <w:pStyle w:val="2"/>
        <w:spacing w:before="93" w:line="298" w:lineRule="auto"/>
        <w:ind w:left="349" w:right="63" w:firstLine="410"/>
        <w:rPr>
          <w:sz w:val="19"/>
          <w:szCs w:val="19"/>
        </w:rPr>
      </w:pPr>
      <w:r>
        <w:rPr>
          <w:spacing w:val="15"/>
          <w:sz w:val="19"/>
          <w:szCs w:val="19"/>
        </w:rPr>
        <w:t>(1)监理机构。监理单位履行监理合同时，应建立监理机构，监理机构在完成监理合同规</w:t>
      </w:r>
      <w:r>
        <w:rPr>
          <w:spacing w:val="11"/>
          <w:sz w:val="19"/>
          <w:szCs w:val="19"/>
        </w:rPr>
        <w:t xml:space="preserve"> </w:t>
      </w:r>
      <w:r>
        <w:rPr>
          <w:spacing w:val="13"/>
          <w:sz w:val="19"/>
          <w:szCs w:val="19"/>
        </w:rPr>
        <w:t>定的监理及相关服务内容后方可撤销。监理机构的组建，监理机构的组织形式和规模，应根据</w:t>
      </w:r>
      <w:r>
        <w:rPr>
          <w:spacing w:val="17"/>
          <w:sz w:val="19"/>
          <w:szCs w:val="19"/>
        </w:rPr>
        <w:t xml:space="preserve"> </w:t>
      </w:r>
      <w:r>
        <w:rPr>
          <w:spacing w:val="13"/>
          <w:sz w:val="19"/>
          <w:szCs w:val="19"/>
        </w:rPr>
        <w:t>监理及相关服务招标文件或委托文件约定的工程类别、规模、服务内容、技术复杂程度、实施</w:t>
      </w:r>
      <w:r>
        <w:rPr>
          <w:spacing w:val="14"/>
          <w:sz w:val="19"/>
          <w:szCs w:val="19"/>
        </w:rPr>
        <w:t xml:space="preserve"> </w:t>
      </w:r>
      <w:r>
        <w:rPr>
          <w:spacing w:val="13"/>
          <w:sz w:val="19"/>
          <w:szCs w:val="19"/>
        </w:rPr>
        <w:t>工期和实施环境等因素确定。监理单位应在监理大纲中明确符合条件的监理机构，并在监理合 同签订后将监理机构的组织形式、人员构成及对总监理工程师的任命书面报送业主单位。监理</w:t>
      </w:r>
      <w:r>
        <w:rPr>
          <w:spacing w:val="12"/>
          <w:sz w:val="19"/>
          <w:szCs w:val="19"/>
        </w:rPr>
        <w:t xml:space="preserve"> </w:t>
      </w:r>
      <w:r>
        <w:rPr>
          <w:spacing w:val="13"/>
          <w:sz w:val="19"/>
          <w:szCs w:val="19"/>
        </w:rPr>
        <w:t>机构应根据监理工程类别、规模、技术复杂程度及相关服务内容，按监理合同的约定，配备满</w:t>
      </w:r>
      <w:r>
        <w:rPr>
          <w:spacing w:val="15"/>
          <w:sz w:val="19"/>
          <w:szCs w:val="19"/>
        </w:rPr>
        <w:t xml:space="preserve"> </w:t>
      </w:r>
      <w:r>
        <w:rPr>
          <w:spacing w:val="7"/>
          <w:sz w:val="19"/>
          <w:szCs w:val="19"/>
        </w:rPr>
        <w:t>足监理及相关服务需要的设备和工具等。</w:t>
      </w:r>
    </w:p>
    <w:p w14:paraId="2FFA7232">
      <w:pPr>
        <w:pStyle w:val="2"/>
        <w:spacing w:before="103" w:line="268" w:lineRule="auto"/>
        <w:ind w:left="349" w:right="59" w:firstLine="410"/>
        <w:rPr>
          <w:sz w:val="19"/>
          <w:szCs w:val="19"/>
        </w:rPr>
      </w:pPr>
      <w:r>
        <w:rPr>
          <w:spacing w:val="15"/>
          <w:sz w:val="19"/>
          <w:szCs w:val="19"/>
        </w:rPr>
        <w:t>(2)监理设施。业主单位应按照监理合同的约定，为监理及相关服务工作顺利开展所需的</w:t>
      </w:r>
      <w:r>
        <w:rPr>
          <w:spacing w:val="18"/>
          <w:sz w:val="19"/>
          <w:szCs w:val="19"/>
        </w:rPr>
        <w:t xml:space="preserve"> </w:t>
      </w:r>
      <w:r>
        <w:rPr>
          <w:spacing w:val="13"/>
          <w:sz w:val="19"/>
          <w:szCs w:val="19"/>
        </w:rPr>
        <w:t>办公、交通、通信等设施提供便利；监理机构应妥善保管和使用业主单位提供的</w:t>
      </w:r>
      <w:r>
        <w:rPr>
          <w:spacing w:val="12"/>
          <w:sz w:val="19"/>
          <w:szCs w:val="19"/>
        </w:rPr>
        <w:t>设施，在完成</w:t>
      </w:r>
      <w:r>
        <w:rPr>
          <w:sz w:val="19"/>
          <w:szCs w:val="19"/>
        </w:rPr>
        <w:t xml:space="preserve"> </w:t>
      </w:r>
      <w:r>
        <w:rPr>
          <w:spacing w:val="5"/>
          <w:sz w:val="19"/>
          <w:szCs w:val="19"/>
        </w:rPr>
        <w:t>监理工作后交还业主单位。</w:t>
      </w:r>
    </w:p>
    <w:p w14:paraId="70EE8471">
      <w:pPr>
        <w:pStyle w:val="2"/>
        <w:spacing w:before="101" w:line="281" w:lineRule="auto"/>
        <w:ind w:left="349" w:right="57" w:firstLine="410"/>
        <w:rPr>
          <w:sz w:val="19"/>
          <w:szCs w:val="19"/>
        </w:rPr>
      </w:pPr>
      <w:r>
        <w:rPr>
          <w:spacing w:val="16"/>
          <w:sz w:val="19"/>
          <w:szCs w:val="19"/>
        </w:rPr>
        <w:t>(3)监理知识库及监理案例库。监理单位应具</w:t>
      </w:r>
      <w:r>
        <w:rPr>
          <w:spacing w:val="15"/>
          <w:sz w:val="19"/>
          <w:szCs w:val="19"/>
        </w:rPr>
        <w:t>备监理及相关服务知识库及监理案例库，以</w:t>
      </w:r>
      <w:r>
        <w:rPr>
          <w:sz w:val="19"/>
          <w:szCs w:val="19"/>
        </w:rPr>
        <w:t xml:space="preserve"> </w:t>
      </w:r>
      <w:r>
        <w:rPr>
          <w:spacing w:val="13"/>
          <w:sz w:val="19"/>
          <w:szCs w:val="19"/>
        </w:rPr>
        <w:t>保证单位内各监理机构共享所积累的技术知识和信息。该库应具备知识的添加、更新和查询功</w:t>
      </w:r>
      <w:r>
        <w:rPr>
          <w:spacing w:val="18"/>
          <w:sz w:val="19"/>
          <w:szCs w:val="19"/>
        </w:rPr>
        <w:t xml:space="preserve"> </w:t>
      </w:r>
      <w:r>
        <w:rPr>
          <w:spacing w:val="13"/>
          <w:sz w:val="19"/>
          <w:szCs w:val="19"/>
        </w:rPr>
        <w:t>能，并确保其知识是可用的和可共享的。监理单位应针对知识管理要求制定相关管理制度，做</w:t>
      </w:r>
      <w:r>
        <w:rPr>
          <w:spacing w:val="15"/>
          <w:sz w:val="19"/>
          <w:szCs w:val="19"/>
        </w:rPr>
        <w:t xml:space="preserve"> </w:t>
      </w:r>
      <w:r>
        <w:rPr>
          <w:spacing w:val="7"/>
          <w:sz w:val="19"/>
          <w:szCs w:val="19"/>
        </w:rPr>
        <w:t>好知识生命周期管理工作。</w:t>
      </w:r>
    </w:p>
    <w:p w14:paraId="212EDC46">
      <w:pPr>
        <w:pStyle w:val="2"/>
        <w:spacing w:before="95" w:line="219" w:lineRule="auto"/>
        <w:ind w:left="760"/>
        <w:rPr>
          <w:sz w:val="19"/>
          <w:szCs w:val="19"/>
        </w:rPr>
      </w:pPr>
      <w:r>
        <w:rPr>
          <w:spacing w:val="6"/>
          <w:sz w:val="19"/>
          <w:szCs w:val="19"/>
        </w:rPr>
        <w:t>进行知识管理工作时，应开展以下工作：</w:t>
      </w:r>
    </w:p>
    <w:p w14:paraId="226E933A">
      <w:pPr>
        <w:pStyle w:val="2"/>
        <w:spacing w:before="92" w:line="217" w:lineRule="auto"/>
        <w:ind w:left="760"/>
        <w:rPr>
          <w:sz w:val="19"/>
          <w:szCs w:val="19"/>
        </w:rPr>
      </w:pPr>
      <w:r>
        <w:rPr>
          <w:spacing w:val="9"/>
          <w:sz w:val="19"/>
          <w:szCs w:val="19"/>
        </w:rPr>
        <w:t>①知识体系构建。需具备提供监理服务所需的知识体系和能力。知识体</w:t>
      </w:r>
      <w:r>
        <w:rPr>
          <w:spacing w:val="8"/>
          <w:sz w:val="19"/>
          <w:szCs w:val="19"/>
        </w:rPr>
        <w:t>系包括但不限于：</w:t>
      </w:r>
    </w:p>
    <w:p w14:paraId="7F08EEED">
      <w:pPr>
        <w:pStyle w:val="2"/>
        <w:spacing w:before="88" w:line="219" w:lineRule="auto"/>
        <w:ind w:left="760"/>
        <w:rPr>
          <w:sz w:val="19"/>
          <w:szCs w:val="19"/>
        </w:rPr>
      </w:pPr>
      <w:r>
        <w:rPr>
          <w:spacing w:val="11"/>
          <w:sz w:val="19"/>
          <w:szCs w:val="19"/>
        </w:rPr>
        <w:t>●基础知识：与信息技术相关的基本知识。</w:t>
      </w:r>
    </w:p>
    <w:p w14:paraId="6B3FAF03">
      <w:pPr>
        <w:pStyle w:val="2"/>
        <w:spacing w:before="105" w:line="219" w:lineRule="auto"/>
        <w:ind w:left="760"/>
        <w:rPr>
          <w:sz w:val="19"/>
          <w:szCs w:val="19"/>
        </w:rPr>
      </w:pPr>
      <w:r>
        <w:rPr>
          <w:spacing w:val="11"/>
          <w:sz w:val="19"/>
          <w:szCs w:val="19"/>
        </w:rPr>
        <w:t>●业务知识：与需方行业相关的业务知识。公众号：项目管理课堂</w:t>
      </w:r>
    </w:p>
    <w:p w14:paraId="126DD7A4">
      <w:pPr>
        <w:pStyle w:val="2"/>
        <w:spacing w:before="115" w:line="259" w:lineRule="auto"/>
        <w:ind w:left="1060" w:right="65" w:hanging="300"/>
        <w:rPr>
          <w:sz w:val="19"/>
          <w:szCs w:val="19"/>
        </w:rPr>
      </w:pPr>
      <w:r>
        <w:rPr>
          <w:spacing w:val="13"/>
          <w:sz w:val="19"/>
          <w:szCs w:val="19"/>
        </w:rPr>
        <w:t>●专业知识：从事咨询服务必备的专业知识，如业务分析、战略规划、体系结构设计及风</w:t>
      </w:r>
      <w:r>
        <w:rPr>
          <w:spacing w:val="10"/>
          <w:sz w:val="19"/>
          <w:szCs w:val="19"/>
        </w:rPr>
        <w:t xml:space="preserve"> </w:t>
      </w:r>
      <w:r>
        <w:rPr>
          <w:spacing w:val="4"/>
          <w:sz w:val="19"/>
          <w:szCs w:val="19"/>
        </w:rPr>
        <w:t>险评估等。</w:t>
      </w:r>
    </w:p>
    <w:p w14:paraId="021F4853">
      <w:pPr>
        <w:pStyle w:val="2"/>
        <w:spacing w:before="97" w:line="219" w:lineRule="auto"/>
        <w:ind w:left="760"/>
        <w:rPr>
          <w:sz w:val="19"/>
          <w:szCs w:val="19"/>
        </w:rPr>
      </w:pPr>
      <w:r>
        <w:rPr>
          <w:spacing w:val="12"/>
          <w:sz w:val="19"/>
          <w:szCs w:val="19"/>
        </w:rPr>
        <w:t>●管理知识：与咨询相关的项目管理、服务管理和</w:t>
      </w:r>
      <w:r>
        <w:rPr>
          <w:sz w:val="19"/>
          <w:szCs w:val="19"/>
        </w:rPr>
        <w:t>IT</w:t>
      </w:r>
      <w:r>
        <w:rPr>
          <w:spacing w:val="-17"/>
          <w:sz w:val="19"/>
          <w:szCs w:val="19"/>
        </w:rPr>
        <w:t xml:space="preserve"> </w:t>
      </w:r>
      <w:r>
        <w:rPr>
          <w:spacing w:val="12"/>
          <w:sz w:val="19"/>
          <w:szCs w:val="19"/>
        </w:rPr>
        <w:t>治理知识等。</w:t>
      </w:r>
    </w:p>
    <w:p w14:paraId="5EF1C354">
      <w:pPr>
        <w:pStyle w:val="2"/>
        <w:spacing w:before="101" w:line="261" w:lineRule="auto"/>
        <w:ind w:left="349" w:right="66" w:firstLine="410"/>
        <w:rPr>
          <w:sz w:val="19"/>
          <w:szCs w:val="19"/>
        </w:rPr>
      </w:pPr>
      <w:r>
        <w:rPr>
          <w:spacing w:val="13"/>
          <w:sz w:val="19"/>
          <w:szCs w:val="19"/>
        </w:rPr>
        <w:t>②知识采集。需具备知识采集渠道和机制，根据知识体系的结构，建立对各类知识进行分</w:t>
      </w:r>
      <w:r>
        <w:rPr>
          <w:spacing w:val="10"/>
          <w:sz w:val="19"/>
          <w:szCs w:val="19"/>
        </w:rPr>
        <w:t xml:space="preserve"> </w:t>
      </w:r>
      <w:r>
        <w:rPr>
          <w:spacing w:val="5"/>
          <w:sz w:val="19"/>
          <w:szCs w:val="19"/>
        </w:rPr>
        <w:t>类采编的渠道。</w:t>
      </w:r>
    </w:p>
    <w:p w14:paraId="1F369F78">
      <w:pPr>
        <w:pStyle w:val="2"/>
        <w:spacing w:before="84" w:line="217" w:lineRule="auto"/>
        <w:ind w:left="760"/>
        <w:rPr>
          <w:sz w:val="19"/>
          <w:szCs w:val="19"/>
        </w:rPr>
      </w:pPr>
      <w:r>
        <w:rPr>
          <w:spacing w:val="9"/>
          <w:sz w:val="19"/>
          <w:szCs w:val="19"/>
        </w:rPr>
        <w:t>③知识检查。需具备知识检查和更新机制，确保知识的适用性、准确性和时效性。</w:t>
      </w:r>
    </w:p>
    <w:p w14:paraId="0ED50BA9">
      <w:pPr>
        <w:pStyle w:val="2"/>
        <w:spacing w:before="97" w:line="255" w:lineRule="auto"/>
        <w:ind w:left="349" w:right="65" w:firstLine="410"/>
        <w:rPr>
          <w:sz w:val="19"/>
          <w:szCs w:val="19"/>
        </w:rPr>
      </w:pPr>
      <w:r>
        <w:rPr>
          <w:spacing w:val="13"/>
          <w:sz w:val="19"/>
          <w:szCs w:val="19"/>
        </w:rPr>
        <w:t>④知识应用。需提供知识查询、分析、管理及应用方法和工具，并进行必要的培训，发挥</w:t>
      </w:r>
      <w:r>
        <w:rPr>
          <w:spacing w:val="11"/>
          <w:sz w:val="19"/>
          <w:szCs w:val="19"/>
        </w:rPr>
        <w:t xml:space="preserve"> </w:t>
      </w:r>
      <w:r>
        <w:rPr>
          <w:spacing w:val="5"/>
          <w:sz w:val="19"/>
          <w:szCs w:val="19"/>
        </w:rPr>
        <w:t>知识价值。</w:t>
      </w:r>
    </w:p>
    <w:p w14:paraId="235282B6">
      <w:pPr>
        <w:pStyle w:val="2"/>
        <w:spacing w:before="115" w:line="243" w:lineRule="auto"/>
        <w:ind w:left="349" w:right="66" w:firstLine="410"/>
        <w:rPr>
          <w:sz w:val="19"/>
          <w:szCs w:val="19"/>
        </w:rPr>
      </w:pPr>
      <w:r>
        <w:rPr>
          <w:spacing w:val="19"/>
          <w:sz w:val="19"/>
          <w:szCs w:val="19"/>
        </w:rPr>
        <w:t>⑤知识评价。应从知识的使用频度、适用性和价值等</w:t>
      </w:r>
      <w:r>
        <w:rPr>
          <w:spacing w:val="18"/>
          <w:sz w:val="19"/>
          <w:szCs w:val="19"/>
        </w:rPr>
        <w:t>方面进行综合评价，建立知识评价</w:t>
      </w:r>
      <w:r>
        <w:rPr>
          <w:sz w:val="19"/>
          <w:szCs w:val="19"/>
        </w:rPr>
        <w:t xml:space="preserve"> </w:t>
      </w:r>
      <w:r>
        <w:rPr>
          <w:spacing w:val="5"/>
          <w:sz w:val="19"/>
          <w:szCs w:val="19"/>
        </w:rPr>
        <w:t>体系。</w:t>
      </w:r>
    </w:p>
    <w:p w14:paraId="20B589E7">
      <w:pPr>
        <w:pStyle w:val="2"/>
        <w:spacing w:before="110" w:line="268" w:lineRule="auto"/>
        <w:ind w:left="349" w:firstLine="410"/>
        <w:rPr>
          <w:sz w:val="19"/>
          <w:szCs w:val="19"/>
        </w:rPr>
      </w:pPr>
      <w:r>
        <w:rPr>
          <w:spacing w:val="15"/>
          <w:sz w:val="19"/>
          <w:szCs w:val="19"/>
        </w:rPr>
        <w:t>⑥知识维护。需具备相应方法和工具提供知识生命周期管理，具备知识采集、知识审</w:t>
      </w:r>
      <w:r>
        <w:rPr>
          <w:spacing w:val="14"/>
          <w:sz w:val="19"/>
          <w:szCs w:val="19"/>
        </w:rPr>
        <w:t>核、</w:t>
      </w:r>
      <w:r>
        <w:rPr>
          <w:sz w:val="19"/>
          <w:szCs w:val="19"/>
        </w:rPr>
        <w:t xml:space="preserve"> </w:t>
      </w:r>
      <w:r>
        <w:rPr>
          <w:spacing w:val="13"/>
          <w:sz w:val="19"/>
          <w:szCs w:val="19"/>
        </w:rPr>
        <w:t>知识归类、知识存档、知识检索、知识使用、知识评价、知识统计分析、知</w:t>
      </w:r>
      <w:r>
        <w:rPr>
          <w:spacing w:val="12"/>
          <w:sz w:val="19"/>
          <w:szCs w:val="19"/>
        </w:rPr>
        <w:t>识使用者权限管理</w:t>
      </w:r>
      <w:r>
        <w:rPr>
          <w:sz w:val="19"/>
          <w:szCs w:val="19"/>
        </w:rPr>
        <w:t xml:space="preserve">  </w:t>
      </w:r>
      <w:r>
        <w:rPr>
          <w:spacing w:val="5"/>
          <w:sz w:val="19"/>
          <w:szCs w:val="19"/>
        </w:rPr>
        <w:t>和知识备份等功能。</w:t>
      </w:r>
    </w:p>
    <w:p w14:paraId="2AC6A05B">
      <w:pPr>
        <w:pStyle w:val="2"/>
        <w:spacing w:before="103" w:line="283" w:lineRule="auto"/>
        <w:ind w:left="349" w:right="64" w:firstLine="410"/>
        <w:jc w:val="both"/>
        <w:rPr>
          <w:sz w:val="19"/>
          <w:szCs w:val="19"/>
        </w:rPr>
      </w:pPr>
      <w:r>
        <w:rPr>
          <w:spacing w:val="13"/>
          <w:sz w:val="19"/>
          <w:szCs w:val="19"/>
        </w:rPr>
        <w:t>监理单位的案例库包括信息系统工程建设项目的背景、建设内容、监理工作任务、监理要</w:t>
      </w:r>
      <w:r>
        <w:rPr>
          <w:spacing w:val="12"/>
          <w:sz w:val="19"/>
          <w:szCs w:val="19"/>
        </w:rPr>
        <w:t xml:space="preserve"> </w:t>
      </w:r>
      <w:r>
        <w:rPr>
          <w:spacing w:val="13"/>
          <w:sz w:val="19"/>
          <w:szCs w:val="19"/>
        </w:rPr>
        <w:t>点、监理经验等内容，对将来类似项目的实施起到指导作用。但应注意，案例公开的信息需征</w:t>
      </w:r>
      <w:r>
        <w:rPr>
          <w:spacing w:val="15"/>
          <w:sz w:val="19"/>
          <w:szCs w:val="19"/>
        </w:rPr>
        <w:t xml:space="preserve"> </w:t>
      </w:r>
      <w:r>
        <w:rPr>
          <w:spacing w:val="10"/>
          <w:sz w:val="19"/>
          <w:szCs w:val="19"/>
        </w:rPr>
        <w:t>得业主单位的同意，并符合有关的保密规定，</w:t>
      </w:r>
      <w:r>
        <w:rPr>
          <w:spacing w:val="9"/>
          <w:sz w:val="19"/>
          <w:szCs w:val="19"/>
        </w:rPr>
        <w:t>不得私自泄露客户的重要涉密信息。</w:t>
      </w:r>
    </w:p>
    <w:p w14:paraId="091EFF17">
      <w:pPr>
        <w:pStyle w:val="2"/>
        <w:spacing w:before="38" w:line="278" w:lineRule="auto"/>
        <w:ind w:left="349" w:right="56" w:firstLine="410"/>
        <w:rPr>
          <w:sz w:val="19"/>
          <w:szCs w:val="19"/>
        </w:rPr>
      </w:pPr>
      <w:r>
        <w:rPr>
          <w:spacing w:val="15"/>
          <w:sz w:val="19"/>
          <w:szCs w:val="19"/>
        </w:rPr>
        <w:t>(4)检测分析工具及仪器设备。监理单位在监理项目实施过程中应能运用信息系统检测分</w:t>
      </w:r>
      <w:r>
        <w:rPr>
          <w:spacing w:val="11"/>
          <w:sz w:val="19"/>
          <w:szCs w:val="19"/>
        </w:rPr>
        <w:t xml:space="preserve"> </w:t>
      </w:r>
      <w:bookmarkStart w:id="701" w:name="bookmark686"/>
      <w:bookmarkEnd w:id="701"/>
      <w:r>
        <w:rPr>
          <w:spacing w:val="14"/>
          <w:sz w:val="19"/>
          <w:szCs w:val="19"/>
        </w:rPr>
        <w:t>析工具及仪器设备对信息系统工程进行检测。监理单位</w:t>
      </w:r>
      <w:r>
        <w:rPr>
          <w:spacing w:val="13"/>
          <w:sz w:val="19"/>
          <w:szCs w:val="19"/>
        </w:rPr>
        <w:t>应根据工程及相关服务情况、业务范围</w:t>
      </w:r>
    </w:p>
    <w:p w14:paraId="6461E323">
      <w:pPr>
        <w:spacing w:line="278" w:lineRule="auto"/>
        <w:rPr>
          <w:sz w:val="19"/>
          <w:szCs w:val="19"/>
        </w:rPr>
        <w:sectPr>
          <w:pgSz w:w="10300" w:h="13420"/>
          <w:pgMar w:top="400" w:right="1045" w:bottom="400" w:left="499" w:header="0" w:footer="0" w:gutter="0"/>
          <w:cols w:space="720" w:num="1"/>
        </w:sectPr>
      </w:pPr>
    </w:p>
    <w:p w14:paraId="133B3091">
      <w:pPr>
        <w:pStyle w:val="2"/>
        <w:spacing w:before="106" w:line="219" w:lineRule="auto"/>
        <w:jc w:val="right"/>
        <w:rPr>
          <w:rFonts w:ascii="Times New Roman" w:hAnsi="Times New Roman" w:eastAsia="Times New Roman" w:cs="Times New Roman"/>
          <w:sz w:val="19"/>
          <w:szCs w:val="19"/>
        </w:rPr>
      </w:pPr>
      <w:r>
        <w:rPr>
          <w:spacing w:val="2"/>
          <w:sz w:val="19"/>
          <w:szCs w:val="19"/>
        </w:rPr>
        <w:t>第19章</w:t>
      </w:r>
      <w:r>
        <w:rPr>
          <w:spacing w:val="32"/>
          <w:sz w:val="19"/>
          <w:szCs w:val="19"/>
        </w:rPr>
        <w:t xml:space="preserve"> </w:t>
      </w:r>
      <w:r>
        <w:rPr>
          <w:spacing w:val="2"/>
          <w:sz w:val="19"/>
          <w:szCs w:val="19"/>
        </w:rPr>
        <w:t>监理支撑要素</w:t>
      </w:r>
      <w:r>
        <w:rPr>
          <w:spacing w:val="8"/>
          <w:sz w:val="19"/>
          <w:szCs w:val="19"/>
        </w:rPr>
        <w:t xml:space="preserve">      </w:t>
      </w:r>
      <w:r>
        <w:rPr>
          <w:rFonts w:ascii="Times New Roman" w:hAnsi="Times New Roman" w:eastAsia="Times New Roman" w:cs="Times New Roman"/>
          <w:b/>
          <w:bCs/>
          <w:spacing w:val="2"/>
          <w:position w:val="1"/>
          <w:sz w:val="19"/>
          <w:szCs w:val="19"/>
        </w:rPr>
        <w:t>433</w:t>
      </w:r>
    </w:p>
    <w:p w14:paraId="7F444AF0">
      <w:pPr>
        <w:spacing w:line="312" w:lineRule="auto"/>
        <w:rPr>
          <w:rFonts w:ascii="Arial"/>
          <w:sz w:val="21"/>
        </w:rPr>
      </w:pPr>
    </w:p>
    <w:p w14:paraId="4B89C6FC">
      <w:pPr>
        <w:pStyle w:val="2"/>
        <w:spacing w:before="62" w:line="219" w:lineRule="auto"/>
        <w:rPr>
          <w:sz w:val="19"/>
          <w:szCs w:val="19"/>
        </w:rPr>
      </w:pPr>
      <w:r>
        <w:rPr>
          <w:spacing w:val="8"/>
          <w:sz w:val="19"/>
          <w:szCs w:val="19"/>
        </w:rPr>
        <w:t>配备满足监理工作需要的监理工具，包括软硬件工具和监理设备。</w:t>
      </w:r>
    </w:p>
    <w:p w14:paraId="65742D74">
      <w:pPr>
        <w:pStyle w:val="2"/>
        <w:spacing w:before="84" w:line="302" w:lineRule="auto"/>
        <w:ind w:right="245" w:firstLine="389"/>
        <w:jc w:val="both"/>
        <w:rPr>
          <w:sz w:val="19"/>
          <w:szCs w:val="19"/>
        </w:rPr>
      </w:pPr>
      <w:r>
        <w:rPr>
          <w:spacing w:val="12"/>
          <w:sz w:val="19"/>
          <w:szCs w:val="19"/>
        </w:rPr>
        <w:t>(5)企业管理信息系统。监理单位应建有内部基础网络环境</w:t>
      </w:r>
      <w:r>
        <w:rPr>
          <w:spacing w:val="11"/>
          <w:sz w:val="19"/>
          <w:szCs w:val="19"/>
        </w:rPr>
        <w:t>，通过管理软件实现内部办公、</w:t>
      </w:r>
      <w:r>
        <w:rPr>
          <w:sz w:val="19"/>
          <w:szCs w:val="19"/>
        </w:rPr>
        <w:t xml:space="preserve"> </w:t>
      </w:r>
      <w:r>
        <w:rPr>
          <w:spacing w:val="13"/>
          <w:sz w:val="19"/>
          <w:szCs w:val="19"/>
        </w:rPr>
        <w:t>财务和合同的信息化管理。监理单位的管理信息系统应在实际工作中得到应用。监理单位宜利</w:t>
      </w:r>
      <w:r>
        <w:rPr>
          <w:spacing w:val="9"/>
          <w:sz w:val="19"/>
          <w:szCs w:val="19"/>
        </w:rPr>
        <w:t xml:space="preserve"> 用管理信息系统对监理人员的现场工作进行管理，实现项目的质量、</w:t>
      </w:r>
      <w:r>
        <w:rPr>
          <w:spacing w:val="8"/>
          <w:sz w:val="19"/>
          <w:szCs w:val="19"/>
        </w:rPr>
        <w:t>进度和投资控制。</w:t>
      </w:r>
    </w:p>
    <w:p w14:paraId="11E08185">
      <w:pPr>
        <w:pStyle w:val="2"/>
        <w:spacing w:before="113" w:line="221" w:lineRule="auto"/>
        <w:ind w:left="392"/>
        <w:rPr>
          <w:rFonts w:ascii="黑体" w:hAnsi="黑体" w:eastAsia="黑体" w:cs="黑体"/>
          <w:sz w:val="19"/>
          <w:szCs w:val="19"/>
        </w:rPr>
      </w:pPr>
      <w:r>
        <w:rPr>
          <w:b/>
          <w:bCs/>
          <w:color w:val="135DB3"/>
          <w:spacing w:val="-2"/>
          <w:sz w:val="19"/>
          <w:szCs w:val="19"/>
        </w:rPr>
        <w:t>4.</w:t>
      </w:r>
      <w:r>
        <w:rPr>
          <w:rFonts w:ascii="黑体" w:hAnsi="黑体" w:eastAsia="黑体" w:cs="黑体"/>
          <w:b/>
          <w:bCs/>
          <w:color w:val="135DB3"/>
          <w:spacing w:val="-2"/>
          <w:sz w:val="19"/>
          <w:szCs w:val="19"/>
        </w:rPr>
        <w:t>流</w:t>
      </w:r>
      <w:r>
        <w:rPr>
          <w:rFonts w:ascii="黑体" w:hAnsi="黑体" w:eastAsia="黑体" w:cs="黑体"/>
          <w:color w:val="135DB3"/>
          <w:spacing w:val="-28"/>
          <w:sz w:val="19"/>
          <w:szCs w:val="19"/>
        </w:rPr>
        <w:t xml:space="preserve"> </w:t>
      </w:r>
      <w:r>
        <w:rPr>
          <w:rFonts w:ascii="黑体" w:hAnsi="黑体" w:eastAsia="黑体" w:cs="黑体"/>
          <w:b/>
          <w:bCs/>
          <w:color w:val="135DB3"/>
          <w:spacing w:val="-2"/>
          <w:sz w:val="19"/>
          <w:szCs w:val="19"/>
        </w:rPr>
        <w:t>程</w:t>
      </w:r>
    </w:p>
    <w:p w14:paraId="2619A117">
      <w:pPr>
        <w:pStyle w:val="2"/>
        <w:spacing w:before="157" w:line="219" w:lineRule="auto"/>
        <w:ind w:left="389"/>
        <w:rPr>
          <w:sz w:val="19"/>
          <w:szCs w:val="19"/>
        </w:rPr>
      </w:pPr>
      <w:r>
        <w:rPr>
          <w:spacing w:val="9"/>
          <w:sz w:val="19"/>
          <w:szCs w:val="19"/>
        </w:rPr>
        <w:t>流程包括项目管理体系、客户服务体系、监</w:t>
      </w:r>
      <w:r>
        <w:rPr>
          <w:spacing w:val="8"/>
          <w:sz w:val="19"/>
          <w:szCs w:val="19"/>
        </w:rPr>
        <w:t>理及相关服务的制度和流程等。</w:t>
      </w:r>
    </w:p>
    <w:p w14:paraId="3570D692">
      <w:pPr>
        <w:pStyle w:val="2"/>
        <w:spacing w:before="84" w:line="281" w:lineRule="auto"/>
        <w:ind w:right="290" w:firstLine="389"/>
        <w:rPr>
          <w:sz w:val="19"/>
          <w:szCs w:val="19"/>
        </w:rPr>
      </w:pPr>
      <w:r>
        <w:rPr>
          <w:spacing w:val="15"/>
          <w:sz w:val="19"/>
          <w:szCs w:val="19"/>
        </w:rPr>
        <w:t>(1)项目管理体系。监理单位应有负责项目管理的部门，有项目管理制度和流程，有项目</w:t>
      </w:r>
      <w:r>
        <w:rPr>
          <w:spacing w:val="10"/>
          <w:sz w:val="19"/>
          <w:szCs w:val="19"/>
        </w:rPr>
        <w:t xml:space="preserve"> </w:t>
      </w:r>
      <w:r>
        <w:rPr>
          <w:spacing w:val="13"/>
          <w:sz w:val="19"/>
          <w:szCs w:val="19"/>
        </w:rPr>
        <w:t>管理评价方法、项目管理知识库和项目管理工具。项目管理工具包括企业购置或自主开发的具</w:t>
      </w:r>
      <w:r>
        <w:rPr>
          <w:spacing w:val="6"/>
          <w:sz w:val="19"/>
          <w:szCs w:val="19"/>
        </w:rPr>
        <w:t xml:space="preserve"> </w:t>
      </w:r>
      <w:r>
        <w:rPr>
          <w:spacing w:val="13"/>
          <w:sz w:val="19"/>
          <w:szCs w:val="19"/>
        </w:rPr>
        <w:t>有项目管理功能的工具。监理单位的项目管理制度和流程应在实际工作中得到贯彻执行，且有</w:t>
      </w:r>
      <w:r>
        <w:rPr>
          <w:spacing w:val="5"/>
          <w:sz w:val="19"/>
          <w:szCs w:val="19"/>
        </w:rPr>
        <w:t xml:space="preserve"> </w:t>
      </w:r>
      <w:r>
        <w:rPr>
          <w:spacing w:val="3"/>
          <w:sz w:val="19"/>
          <w:szCs w:val="19"/>
        </w:rPr>
        <w:t>记录、可核查。</w:t>
      </w:r>
    </w:p>
    <w:p w14:paraId="3393453B">
      <w:pPr>
        <w:pStyle w:val="2"/>
        <w:spacing w:before="102" w:line="281" w:lineRule="auto"/>
        <w:ind w:right="287" w:firstLine="389"/>
        <w:rPr>
          <w:sz w:val="19"/>
          <w:szCs w:val="19"/>
        </w:rPr>
      </w:pPr>
      <w:r>
        <w:rPr>
          <w:spacing w:val="16"/>
          <w:sz w:val="19"/>
          <w:szCs w:val="19"/>
        </w:rPr>
        <w:t>(2)客户服务体系。监理单位应配置专门的机构和人员，</w:t>
      </w:r>
      <w:r>
        <w:rPr>
          <w:spacing w:val="15"/>
          <w:sz w:val="19"/>
          <w:szCs w:val="19"/>
        </w:rPr>
        <w:t>有客户服务制度和流程，有满意</w:t>
      </w:r>
      <w:r>
        <w:rPr>
          <w:sz w:val="19"/>
          <w:szCs w:val="19"/>
        </w:rPr>
        <w:t xml:space="preserve"> </w:t>
      </w:r>
      <w:r>
        <w:rPr>
          <w:spacing w:val="13"/>
          <w:sz w:val="19"/>
          <w:szCs w:val="19"/>
        </w:rPr>
        <w:t>度调查和投诉处理机制。监理单位的客户服务制度、流程应在实际工作中得到贯彻执行，且有</w:t>
      </w:r>
      <w:r>
        <w:rPr>
          <w:spacing w:val="5"/>
          <w:sz w:val="19"/>
          <w:szCs w:val="19"/>
        </w:rPr>
        <w:t xml:space="preserve"> </w:t>
      </w:r>
      <w:r>
        <w:rPr>
          <w:spacing w:val="3"/>
          <w:sz w:val="19"/>
          <w:szCs w:val="19"/>
        </w:rPr>
        <w:t>记录、可核查。</w:t>
      </w:r>
    </w:p>
    <w:p w14:paraId="2B1583CE">
      <w:pPr>
        <w:pStyle w:val="2"/>
        <w:spacing w:before="71" w:line="281" w:lineRule="auto"/>
        <w:ind w:right="284" w:firstLine="389"/>
        <w:rPr>
          <w:sz w:val="19"/>
          <w:szCs w:val="19"/>
        </w:rPr>
      </w:pPr>
      <w:r>
        <w:rPr>
          <w:spacing w:val="16"/>
          <w:sz w:val="19"/>
          <w:szCs w:val="19"/>
        </w:rPr>
        <w:t>(3)监理及相关服务的制度和流程。监理单位应</w:t>
      </w:r>
      <w:r>
        <w:rPr>
          <w:spacing w:val="15"/>
          <w:sz w:val="19"/>
          <w:szCs w:val="19"/>
        </w:rPr>
        <w:t>依据国家法律法规、标准、行业管理要求</w:t>
      </w:r>
      <w:r>
        <w:rPr>
          <w:sz w:val="19"/>
          <w:szCs w:val="19"/>
        </w:rPr>
        <w:t xml:space="preserve"> </w:t>
      </w:r>
      <w:r>
        <w:rPr>
          <w:spacing w:val="13"/>
          <w:sz w:val="19"/>
          <w:szCs w:val="19"/>
        </w:rPr>
        <w:t>和企业质量保证体系实施情况，制定规范的监理及相关服务各项管理制度和工作流程，并按照</w:t>
      </w:r>
      <w:r>
        <w:rPr>
          <w:spacing w:val="11"/>
          <w:sz w:val="19"/>
          <w:szCs w:val="19"/>
        </w:rPr>
        <w:t xml:space="preserve"> </w:t>
      </w:r>
      <w:r>
        <w:rPr>
          <w:spacing w:val="8"/>
          <w:sz w:val="19"/>
          <w:szCs w:val="19"/>
        </w:rPr>
        <w:t>这些管理制度和工作流程开展监理及相关服务工作。</w:t>
      </w:r>
    </w:p>
    <w:p w14:paraId="481FC984">
      <w:pPr>
        <w:pStyle w:val="2"/>
        <w:spacing w:before="103" w:line="219" w:lineRule="auto"/>
        <w:ind w:left="389"/>
        <w:rPr>
          <w:sz w:val="19"/>
          <w:szCs w:val="19"/>
        </w:rPr>
      </w:pPr>
      <w:r>
        <w:rPr>
          <w:spacing w:val="7"/>
          <w:sz w:val="19"/>
          <w:szCs w:val="19"/>
        </w:rPr>
        <w:t>为提供优质的服务，监理人员在服务过程中应当具备以下服务意识：</w:t>
      </w:r>
    </w:p>
    <w:p w14:paraId="0EEA00BD">
      <w:pPr>
        <w:pStyle w:val="2"/>
        <w:spacing w:before="75" w:line="219" w:lineRule="auto"/>
        <w:ind w:left="389"/>
        <w:rPr>
          <w:sz w:val="19"/>
          <w:szCs w:val="19"/>
        </w:rPr>
      </w:pPr>
      <w:r>
        <w:rPr>
          <w:spacing w:val="12"/>
          <w:sz w:val="19"/>
          <w:szCs w:val="19"/>
        </w:rPr>
        <w:t>●提供个性化的服务；</w:t>
      </w:r>
    </w:p>
    <w:p w14:paraId="6C19015A">
      <w:pPr>
        <w:pStyle w:val="2"/>
        <w:spacing w:before="106" w:line="220" w:lineRule="auto"/>
        <w:ind w:left="389"/>
        <w:rPr>
          <w:sz w:val="19"/>
          <w:szCs w:val="19"/>
        </w:rPr>
      </w:pPr>
      <w:r>
        <w:rPr>
          <w:spacing w:val="11"/>
          <w:sz w:val="19"/>
          <w:szCs w:val="19"/>
        </w:rPr>
        <w:t>●对客户表示热情、尊重和关注；</w:t>
      </w:r>
    </w:p>
    <w:p w14:paraId="313CF6B4">
      <w:pPr>
        <w:pStyle w:val="2"/>
        <w:spacing w:before="93" w:line="219" w:lineRule="auto"/>
        <w:ind w:left="389"/>
        <w:rPr>
          <w:sz w:val="19"/>
          <w:szCs w:val="19"/>
        </w:rPr>
      </w:pPr>
      <w:r>
        <w:rPr>
          <w:spacing w:val="12"/>
          <w:sz w:val="19"/>
          <w:szCs w:val="19"/>
        </w:rPr>
        <w:t>●帮助客户解决问题；</w:t>
      </w:r>
    </w:p>
    <w:p w14:paraId="6D117358">
      <w:pPr>
        <w:pStyle w:val="2"/>
        <w:spacing w:before="95" w:line="220" w:lineRule="auto"/>
        <w:ind w:left="389"/>
        <w:rPr>
          <w:sz w:val="19"/>
          <w:szCs w:val="19"/>
        </w:rPr>
      </w:pPr>
      <w:r>
        <w:rPr>
          <w:spacing w:val="11"/>
          <w:sz w:val="19"/>
          <w:szCs w:val="19"/>
        </w:rPr>
        <w:t>●迅速响应客户的需求；</w:t>
      </w:r>
    </w:p>
    <w:p w14:paraId="14C45F4A">
      <w:pPr>
        <w:pStyle w:val="2"/>
        <w:spacing w:before="94" w:line="220" w:lineRule="auto"/>
        <w:ind w:left="389"/>
        <w:rPr>
          <w:sz w:val="19"/>
          <w:szCs w:val="19"/>
        </w:rPr>
      </w:pPr>
      <w:r>
        <w:rPr>
          <w:spacing w:val="12"/>
          <w:sz w:val="19"/>
          <w:szCs w:val="19"/>
        </w:rPr>
        <w:t>●始终以客户为中心；</w:t>
      </w:r>
    </w:p>
    <w:p w14:paraId="687967F2">
      <w:pPr>
        <w:pStyle w:val="2"/>
        <w:spacing w:before="82" w:line="219" w:lineRule="auto"/>
        <w:ind w:left="389"/>
        <w:rPr>
          <w:sz w:val="19"/>
          <w:szCs w:val="19"/>
        </w:rPr>
      </w:pPr>
      <w:r>
        <w:rPr>
          <w:spacing w:val="12"/>
          <w:sz w:val="19"/>
          <w:szCs w:val="19"/>
        </w:rPr>
        <w:t>●持续提供优质服务；</w:t>
      </w:r>
    </w:p>
    <w:p w14:paraId="63BEB3AE">
      <w:pPr>
        <w:pStyle w:val="2"/>
        <w:spacing w:before="96" w:line="219" w:lineRule="auto"/>
        <w:ind w:left="389"/>
        <w:rPr>
          <w:sz w:val="19"/>
          <w:szCs w:val="19"/>
        </w:rPr>
      </w:pPr>
      <w:r>
        <w:rPr>
          <w:spacing w:val="14"/>
          <w:sz w:val="19"/>
          <w:szCs w:val="19"/>
        </w:rPr>
        <w:t>●设身处地为客户着想。</w:t>
      </w:r>
    </w:p>
    <w:p w14:paraId="0E855394">
      <w:pPr>
        <w:spacing w:line="219" w:lineRule="auto"/>
        <w:rPr>
          <w:sz w:val="19"/>
          <w:szCs w:val="19"/>
        </w:rPr>
        <w:sectPr>
          <w:pgSz w:w="10290" w:h="13310"/>
          <w:pgMar w:top="400" w:right="569" w:bottom="400" w:left="1100" w:header="0" w:footer="0" w:gutter="0"/>
          <w:cols w:space="720" w:num="1"/>
        </w:sectPr>
      </w:pPr>
    </w:p>
    <w:p w14:paraId="7BDDBAC9">
      <w:pPr>
        <w:spacing w:line="277" w:lineRule="auto"/>
        <w:rPr>
          <w:rFonts w:ascii="Arial"/>
          <w:sz w:val="21"/>
        </w:rPr>
      </w:pPr>
    </w:p>
    <w:p w14:paraId="223EA9AF">
      <w:pPr>
        <w:spacing w:line="277" w:lineRule="auto"/>
        <w:rPr>
          <w:rFonts w:ascii="Arial"/>
          <w:sz w:val="21"/>
        </w:rPr>
      </w:pPr>
    </w:p>
    <w:p w14:paraId="35CABAA0">
      <w:pPr>
        <w:spacing w:line="277" w:lineRule="auto"/>
        <w:rPr>
          <w:rFonts w:ascii="Arial"/>
          <w:sz w:val="21"/>
        </w:rPr>
      </w:pPr>
    </w:p>
    <w:p w14:paraId="5587CEE3">
      <w:pPr>
        <w:spacing w:before="123" w:line="505" w:lineRule="exact"/>
        <w:ind w:right="22"/>
        <w:jc w:val="right"/>
        <w:rPr>
          <w:sz w:val="38"/>
          <w:szCs w:val="38"/>
        </w:rPr>
      </w:pPr>
      <w:r>
        <w:drawing>
          <wp:anchor distT="0" distB="0" distL="0" distR="0" simplePos="0" relativeHeight="251798528" behindDoc="0" locked="0" layoutInCell="1" allowOverlap="1">
            <wp:simplePos x="0" y="0"/>
            <wp:positionH relativeFrom="column">
              <wp:posOffset>0</wp:posOffset>
            </wp:positionH>
            <wp:positionV relativeFrom="paragraph">
              <wp:posOffset>97155</wp:posOffset>
            </wp:positionV>
            <wp:extent cx="641350" cy="260350"/>
            <wp:effectExtent l="0" t="0" r="0" b="0"/>
            <wp:wrapNone/>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278"/>
                    <a:stretch>
                      <a:fillRect/>
                    </a:stretch>
                  </pic:blipFill>
                  <pic:spPr>
                    <a:xfrm>
                      <a:off x="0" y="0"/>
                      <a:ext cx="641394" cy="260361"/>
                    </a:xfrm>
                    <a:prstGeom prst="rect">
                      <a:avLst/>
                    </a:prstGeom>
                  </pic:spPr>
                </pic:pic>
              </a:graphicData>
            </a:graphic>
          </wp:anchor>
        </w:drawing>
      </w:r>
      <w:r>
        <w:rPr>
          <w:rFonts w:ascii="黑体" w:hAnsi="黑体" w:eastAsia="黑体" w:cs="黑体"/>
          <w:b/>
          <w:bCs/>
          <w:color w:val="005CB9"/>
          <w:spacing w:val="4"/>
          <w:position w:val="-2"/>
          <w:sz w:val="38"/>
          <w:szCs w:val="38"/>
        </w:rPr>
        <w:t>第二篇练习</w:t>
      </w:r>
      <w:r>
        <w:rPr>
          <w:rFonts w:ascii="黑体" w:hAnsi="黑体" w:eastAsia="黑体" w:cs="黑体"/>
          <w:color w:val="005CB9"/>
          <w:spacing w:val="4"/>
          <w:position w:val="-2"/>
          <w:sz w:val="38"/>
          <w:szCs w:val="38"/>
        </w:rPr>
        <w:t xml:space="preserve">           </w:t>
      </w:r>
      <w:r>
        <w:rPr>
          <w:position w:val="-5"/>
          <w:sz w:val="38"/>
          <w:szCs w:val="38"/>
        </w:rPr>
        <w:drawing>
          <wp:inline distT="0" distB="0" distL="0" distR="0">
            <wp:extent cx="641350" cy="259715"/>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279"/>
                    <a:stretch>
                      <a:fillRect/>
                    </a:stretch>
                  </pic:blipFill>
                  <pic:spPr>
                    <a:xfrm>
                      <a:off x="0" y="0"/>
                      <a:ext cx="641394" cy="260276"/>
                    </a:xfrm>
                    <a:prstGeom prst="rect">
                      <a:avLst/>
                    </a:prstGeom>
                  </pic:spPr>
                </pic:pic>
              </a:graphicData>
            </a:graphic>
          </wp:inline>
        </w:drawing>
      </w:r>
    </w:p>
    <w:p w14:paraId="5045E268">
      <w:pPr>
        <w:spacing w:line="246" w:lineRule="auto"/>
        <w:rPr>
          <w:rFonts w:ascii="Arial"/>
          <w:sz w:val="21"/>
        </w:rPr>
      </w:pPr>
    </w:p>
    <w:p w14:paraId="0E22CD02">
      <w:pPr>
        <w:spacing w:line="246" w:lineRule="auto"/>
        <w:rPr>
          <w:rFonts w:ascii="Arial"/>
          <w:sz w:val="21"/>
        </w:rPr>
      </w:pPr>
    </w:p>
    <w:p w14:paraId="681CAEF3">
      <w:pPr>
        <w:spacing w:line="247" w:lineRule="auto"/>
        <w:rPr>
          <w:rFonts w:ascii="Arial"/>
          <w:sz w:val="21"/>
        </w:rPr>
      </w:pPr>
    </w:p>
    <w:p w14:paraId="35248BDF">
      <w:pPr>
        <w:pStyle w:val="2"/>
        <w:spacing w:before="65" w:line="222" w:lineRule="auto"/>
        <w:ind w:left="412"/>
        <w:rPr>
          <w:rFonts w:ascii="黑体" w:hAnsi="黑体" w:eastAsia="黑体" w:cs="黑体"/>
          <w:sz w:val="20"/>
          <w:szCs w:val="20"/>
        </w:rPr>
      </w:pPr>
      <w:r>
        <w:rPr>
          <w:b/>
          <w:bCs/>
          <w:color w:val="0F7EC8"/>
          <w:sz w:val="20"/>
          <w:szCs w:val="20"/>
        </w:rPr>
        <w:t>1.</w:t>
      </w:r>
      <w:r>
        <w:rPr>
          <w:rFonts w:ascii="黑体" w:hAnsi="黑体" w:eastAsia="黑体" w:cs="黑体"/>
          <w:b/>
          <w:bCs/>
          <w:color w:val="0F7EC8"/>
          <w:sz w:val="20"/>
          <w:szCs w:val="20"/>
        </w:rPr>
        <w:t>选择题</w:t>
      </w:r>
    </w:p>
    <w:p w14:paraId="4CEB69C4">
      <w:pPr>
        <w:pStyle w:val="2"/>
        <w:spacing w:before="43" w:line="219" w:lineRule="auto"/>
        <w:ind w:left="410"/>
        <w:rPr>
          <w:rFonts w:ascii="Arial" w:hAnsi="Arial" w:eastAsia="Arial" w:cs="Arial"/>
          <w:sz w:val="20"/>
          <w:szCs w:val="20"/>
        </w:rPr>
      </w:pPr>
      <w:r>
        <w:rPr>
          <w:spacing w:val="3"/>
          <w:sz w:val="20"/>
          <w:szCs w:val="20"/>
        </w:rPr>
        <w:t>(1)信息系统工程监理的技术参考模型中不</w:t>
      </w:r>
      <w:r>
        <w:rPr>
          <w:spacing w:val="2"/>
          <w:sz w:val="20"/>
          <w:szCs w:val="20"/>
        </w:rPr>
        <w:t>包括</w:t>
      </w:r>
      <w:r>
        <w:rPr>
          <w:spacing w:val="-98"/>
          <w:sz w:val="20"/>
          <w:szCs w:val="20"/>
        </w:rPr>
        <w:t xml:space="preserve"> </w:t>
      </w:r>
      <w:r>
        <w:rPr>
          <w:spacing w:val="1"/>
          <w:sz w:val="20"/>
          <w:szCs w:val="20"/>
          <w:u w:val="single" w:color="auto"/>
        </w:rPr>
        <w:t xml:space="preserve">      </w:t>
      </w:r>
      <w:r>
        <w:rPr>
          <w:spacing w:val="-65"/>
          <w:sz w:val="20"/>
          <w:szCs w:val="20"/>
        </w:rPr>
        <w:t xml:space="preserve"> </w:t>
      </w:r>
      <w:r>
        <w:rPr>
          <w:rFonts w:ascii="Arial" w:hAnsi="Arial" w:eastAsia="Arial" w:cs="Arial"/>
          <w:spacing w:val="2"/>
          <w:sz w:val="20"/>
          <w:szCs w:val="20"/>
        </w:rPr>
        <w:t>o</w:t>
      </w:r>
    </w:p>
    <w:p w14:paraId="3509488E">
      <w:pPr>
        <w:pStyle w:val="2"/>
        <w:spacing w:before="72" w:line="229" w:lineRule="auto"/>
        <w:ind w:left="790"/>
        <w:rPr>
          <w:sz w:val="20"/>
          <w:szCs w:val="20"/>
        </w:rPr>
      </w:pPr>
      <w:r>
        <w:rPr>
          <w:rFonts w:ascii="Times New Roman" w:hAnsi="Times New Roman" w:eastAsia="Times New Roman" w:cs="Times New Roman"/>
          <w:sz w:val="20"/>
          <w:szCs w:val="20"/>
        </w:rPr>
        <w:t>A.</w:t>
      </w:r>
      <w:r>
        <w:rPr>
          <w:rFonts w:ascii="Times New Roman" w:hAnsi="Times New Roman" w:eastAsia="Times New Roman" w:cs="Times New Roman"/>
          <w:spacing w:val="-23"/>
          <w:sz w:val="20"/>
          <w:szCs w:val="20"/>
        </w:rPr>
        <w:t xml:space="preserve"> </w:t>
      </w:r>
      <w:r>
        <w:rPr>
          <w:sz w:val="20"/>
          <w:szCs w:val="20"/>
        </w:rPr>
        <w:t xml:space="preserve">监理支撑要素     </w:t>
      </w:r>
      <w:r>
        <w:rPr>
          <w:rFonts w:ascii="Times New Roman" w:hAnsi="Times New Roman" w:eastAsia="Times New Roman" w:cs="Times New Roman"/>
          <w:sz w:val="20"/>
          <w:szCs w:val="20"/>
        </w:rPr>
        <w:t>B.</w:t>
      </w:r>
      <w:r>
        <w:rPr>
          <w:rFonts w:ascii="Times New Roman" w:hAnsi="Times New Roman" w:eastAsia="Times New Roman" w:cs="Times New Roman"/>
          <w:spacing w:val="-10"/>
          <w:sz w:val="20"/>
          <w:szCs w:val="20"/>
        </w:rPr>
        <w:t xml:space="preserve"> </w:t>
      </w:r>
      <w:r>
        <w:rPr>
          <w:sz w:val="20"/>
          <w:szCs w:val="20"/>
        </w:rPr>
        <w:t xml:space="preserve">监理对象       </w:t>
      </w:r>
      <w:r>
        <w:rPr>
          <w:spacing w:val="-1"/>
          <w:sz w:val="20"/>
          <w:szCs w:val="20"/>
        </w:rPr>
        <w:t xml:space="preserve">  </w:t>
      </w:r>
      <w:r>
        <w:rPr>
          <w:rFonts w:ascii="Times New Roman" w:hAnsi="Times New Roman" w:eastAsia="Times New Roman" w:cs="Times New Roman"/>
          <w:spacing w:val="-1"/>
          <w:sz w:val="20"/>
          <w:szCs w:val="20"/>
        </w:rPr>
        <w:t xml:space="preserve">C. </w:t>
      </w:r>
      <w:r>
        <w:rPr>
          <w:spacing w:val="-1"/>
          <w:sz w:val="20"/>
          <w:szCs w:val="20"/>
        </w:rPr>
        <w:t xml:space="preserve">监理安全        </w:t>
      </w:r>
      <w:r>
        <w:rPr>
          <w:rFonts w:ascii="Times New Roman" w:hAnsi="Times New Roman" w:eastAsia="Times New Roman" w:cs="Times New Roman"/>
          <w:spacing w:val="-1"/>
          <w:sz w:val="20"/>
          <w:szCs w:val="20"/>
        </w:rPr>
        <w:t xml:space="preserve">D. </w:t>
      </w:r>
      <w:r>
        <w:rPr>
          <w:spacing w:val="-1"/>
          <w:sz w:val="20"/>
          <w:szCs w:val="20"/>
        </w:rPr>
        <w:t>监理内容</w:t>
      </w:r>
    </w:p>
    <w:p w14:paraId="77D8815A">
      <w:pPr>
        <w:pStyle w:val="2"/>
        <w:spacing w:before="82" w:line="219" w:lineRule="auto"/>
        <w:ind w:left="410"/>
        <w:rPr>
          <w:rFonts w:ascii="Times New Roman" w:hAnsi="Times New Roman" w:eastAsia="Times New Roman" w:cs="Times New Roman"/>
          <w:sz w:val="20"/>
          <w:szCs w:val="20"/>
        </w:rPr>
      </w:pPr>
      <w:r>
        <w:rPr>
          <w:spacing w:val="-14"/>
          <w:sz w:val="20"/>
          <w:szCs w:val="20"/>
        </w:rPr>
        <w:t>参考答案：</w:t>
      </w:r>
      <w:r>
        <w:rPr>
          <w:rFonts w:ascii="Times New Roman" w:hAnsi="Times New Roman" w:eastAsia="Times New Roman" w:cs="Times New Roman"/>
          <w:spacing w:val="-14"/>
          <w:sz w:val="20"/>
          <w:szCs w:val="20"/>
        </w:rPr>
        <w:t>C</w:t>
      </w:r>
    </w:p>
    <w:p w14:paraId="76AF8FD4">
      <w:pPr>
        <w:pStyle w:val="2"/>
        <w:spacing w:before="63" w:line="328" w:lineRule="auto"/>
        <w:ind w:left="20" w:firstLine="390"/>
        <w:rPr>
          <w:sz w:val="16"/>
          <w:szCs w:val="16"/>
        </w:rPr>
      </w:pPr>
      <w:r>
        <w:rPr>
          <w:spacing w:val="11"/>
          <w:sz w:val="20"/>
          <w:szCs w:val="20"/>
        </w:rPr>
        <w:t>(2)监理人员由于主观上的无意行为未能严格履</w:t>
      </w:r>
      <w:r>
        <w:rPr>
          <w:spacing w:val="10"/>
          <w:sz w:val="20"/>
          <w:szCs w:val="20"/>
        </w:rPr>
        <w:t>行职责并造成了损失，这属于监理工作</w:t>
      </w:r>
      <w:r>
        <w:rPr>
          <w:sz w:val="20"/>
          <w:szCs w:val="20"/>
        </w:rPr>
        <w:t xml:space="preserve"> </w:t>
      </w:r>
      <w:r>
        <w:rPr>
          <w:spacing w:val="-11"/>
          <w:sz w:val="16"/>
          <w:szCs w:val="16"/>
        </w:rPr>
        <w:t>的</w:t>
      </w:r>
      <w:r>
        <w:rPr>
          <w:spacing w:val="-19"/>
          <w:sz w:val="16"/>
          <w:szCs w:val="16"/>
        </w:rPr>
        <w:t xml:space="preserve"> </w:t>
      </w:r>
      <w:r>
        <w:rPr>
          <w:spacing w:val="8"/>
          <w:sz w:val="16"/>
          <w:szCs w:val="16"/>
          <w:u w:val="single" w:color="auto"/>
        </w:rPr>
        <w:t xml:space="preserve">       </w:t>
      </w:r>
      <w:r>
        <w:rPr>
          <w:spacing w:val="-56"/>
          <w:sz w:val="16"/>
          <w:szCs w:val="16"/>
        </w:rPr>
        <w:t xml:space="preserve"> </w:t>
      </w:r>
      <w:r>
        <w:rPr>
          <w:spacing w:val="-11"/>
          <w:sz w:val="16"/>
          <w:szCs w:val="16"/>
        </w:rPr>
        <w:t>风</w:t>
      </w:r>
      <w:r>
        <w:rPr>
          <w:spacing w:val="-20"/>
          <w:sz w:val="16"/>
          <w:szCs w:val="16"/>
        </w:rPr>
        <w:t xml:space="preserve"> </w:t>
      </w:r>
      <w:r>
        <w:rPr>
          <w:spacing w:val="-11"/>
          <w:sz w:val="16"/>
          <w:szCs w:val="16"/>
        </w:rPr>
        <w:t>险</w:t>
      </w:r>
      <w:r>
        <w:rPr>
          <w:spacing w:val="-35"/>
          <w:sz w:val="16"/>
          <w:szCs w:val="16"/>
        </w:rPr>
        <w:t xml:space="preserve"> </w:t>
      </w:r>
      <w:r>
        <w:rPr>
          <w:spacing w:val="-11"/>
          <w:sz w:val="16"/>
          <w:szCs w:val="16"/>
        </w:rPr>
        <w:t>。</w:t>
      </w:r>
    </w:p>
    <w:p w14:paraId="34E10F25">
      <w:pPr>
        <w:pStyle w:val="2"/>
        <w:spacing w:line="220" w:lineRule="auto"/>
        <w:ind w:left="790"/>
        <w:rPr>
          <w:sz w:val="20"/>
          <w:szCs w:val="20"/>
        </w:rPr>
      </w:pPr>
      <w:r>
        <w:rPr>
          <w:rFonts w:ascii="Times New Roman" w:hAnsi="Times New Roman" w:eastAsia="Times New Roman" w:cs="Times New Roman"/>
          <w:sz w:val="20"/>
          <w:szCs w:val="20"/>
        </w:rPr>
        <w:t>A.</w:t>
      </w:r>
      <w:r>
        <w:rPr>
          <w:rFonts w:ascii="Times New Roman" w:hAnsi="Times New Roman" w:eastAsia="Times New Roman" w:cs="Times New Roman"/>
          <w:spacing w:val="-13"/>
          <w:sz w:val="20"/>
          <w:szCs w:val="20"/>
        </w:rPr>
        <w:t xml:space="preserve"> </w:t>
      </w:r>
      <w:r>
        <w:rPr>
          <w:sz w:val="20"/>
          <w:szCs w:val="20"/>
        </w:rPr>
        <w:t>技术资源</w:t>
      </w:r>
      <w:r>
        <w:rPr>
          <w:spacing w:val="11"/>
          <w:sz w:val="20"/>
          <w:szCs w:val="20"/>
        </w:rPr>
        <w:t xml:space="preserve">        </w:t>
      </w:r>
      <w:r>
        <w:rPr>
          <w:sz w:val="20"/>
          <w:szCs w:val="20"/>
        </w:rPr>
        <w:t xml:space="preserve">B.工作技能        </w:t>
      </w:r>
      <w:r>
        <w:rPr>
          <w:spacing w:val="-1"/>
          <w:sz w:val="20"/>
          <w:szCs w:val="20"/>
        </w:rPr>
        <w:t xml:space="preserve"> </w:t>
      </w:r>
      <w:r>
        <w:rPr>
          <w:rFonts w:ascii="Times New Roman" w:hAnsi="Times New Roman" w:eastAsia="Times New Roman" w:cs="Times New Roman"/>
          <w:spacing w:val="-1"/>
          <w:sz w:val="20"/>
          <w:szCs w:val="20"/>
        </w:rPr>
        <w:t>C.</w:t>
      </w:r>
      <w:r>
        <w:rPr>
          <w:rFonts w:ascii="Times New Roman" w:hAnsi="Times New Roman" w:eastAsia="Times New Roman" w:cs="Times New Roman"/>
          <w:spacing w:val="-15"/>
          <w:sz w:val="20"/>
          <w:szCs w:val="20"/>
        </w:rPr>
        <w:t xml:space="preserve"> </w:t>
      </w:r>
      <w:r>
        <w:rPr>
          <w:spacing w:val="-1"/>
          <w:sz w:val="20"/>
          <w:szCs w:val="20"/>
        </w:rPr>
        <w:t xml:space="preserve">业务管理        </w:t>
      </w:r>
      <w:r>
        <w:rPr>
          <w:rFonts w:ascii="Times New Roman" w:hAnsi="Times New Roman" w:eastAsia="Times New Roman" w:cs="Times New Roman"/>
          <w:spacing w:val="-1"/>
          <w:sz w:val="20"/>
          <w:szCs w:val="20"/>
        </w:rPr>
        <w:t xml:space="preserve">D. </w:t>
      </w:r>
      <w:r>
        <w:rPr>
          <w:spacing w:val="-1"/>
          <w:sz w:val="20"/>
          <w:szCs w:val="20"/>
        </w:rPr>
        <w:t>行为责任</w:t>
      </w:r>
    </w:p>
    <w:p w14:paraId="5843EECE">
      <w:pPr>
        <w:pStyle w:val="2"/>
        <w:spacing w:before="82" w:line="219" w:lineRule="auto"/>
        <w:ind w:left="410"/>
        <w:rPr>
          <w:rFonts w:ascii="Times New Roman" w:hAnsi="Times New Roman" w:eastAsia="Times New Roman" w:cs="Times New Roman"/>
          <w:sz w:val="20"/>
          <w:szCs w:val="20"/>
        </w:rPr>
      </w:pPr>
      <w:r>
        <w:rPr>
          <w:spacing w:val="-17"/>
          <w:sz w:val="20"/>
          <w:szCs w:val="20"/>
        </w:rPr>
        <w:t>参考答案：</w:t>
      </w:r>
      <w:r>
        <w:rPr>
          <w:rFonts w:ascii="Times New Roman" w:hAnsi="Times New Roman" w:eastAsia="Times New Roman" w:cs="Times New Roman"/>
          <w:spacing w:val="-17"/>
          <w:sz w:val="20"/>
          <w:szCs w:val="20"/>
        </w:rPr>
        <w:t>D</w:t>
      </w:r>
    </w:p>
    <w:p w14:paraId="35158C5E">
      <w:pPr>
        <w:pStyle w:val="2"/>
        <w:spacing w:before="55" w:line="226" w:lineRule="auto"/>
        <w:ind w:left="410"/>
        <w:rPr>
          <w:sz w:val="20"/>
          <w:szCs w:val="20"/>
        </w:rPr>
      </w:pPr>
      <w:r>
        <w:rPr>
          <w:spacing w:val="-2"/>
          <w:sz w:val="20"/>
          <w:szCs w:val="20"/>
        </w:rPr>
        <w:t xml:space="preserve">(3) </w:t>
      </w:r>
      <w:r>
        <w:rPr>
          <w:spacing w:val="-2"/>
          <w:sz w:val="20"/>
          <w:szCs w:val="20"/>
          <w:u w:val="single" w:color="auto"/>
        </w:rPr>
        <w:t xml:space="preserve">      </w:t>
      </w:r>
      <w:r>
        <w:rPr>
          <w:spacing w:val="-90"/>
          <w:sz w:val="20"/>
          <w:szCs w:val="20"/>
        </w:rPr>
        <w:t xml:space="preserve"> </w:t>
      </w:r>
      <w:r>
        <w:rPr>
          <w:spacing w:val="-2"/>
          <w:sz w:val="20"/>
          <w:szCs w:val="20"/>
        </w:rPr>
        <w:t>是监理单位承担信息系统工程建设项目监理及</w:t>
      </w:r>
      <w:r>
        <w:rPr>
          <w:spacing w:val="-3"/>
          <w:sz w:val="20"/>
          <w:szCs w:val="20"/>
        </w:rPr>
        <w:t>相关服务的法律承诺。</w:t>
      </w:r>
    </w:p>
    <w:p w14:paraId="6787E244">
      <w:pPr>
        <w:pStyle w:val="2"/>
        <w:spacing w:before="83" w:line="222" w:lineRule="auto"/>
        <w:ind w:left="790"/>
        <w:rPr>
          <w:sz w:val="20"/>
          <w:szCs w:val="20"/>
        </w:rPr>
      </w:pPr>
      <w:r>
        <w:rPr>
          <w:rFonts w:ascii="Times New Roman" w:hAnsi="Times New Roman" w:eastAsia="Times New Roman" w:cs="Times New Roman"/>
          <w:spacing w:val="1"/>
          <w:sz w:val="20"/>
          <w:szCs w:val="20"/>
        </w:rPr>
        <w:t xml:space="preserve">A. </w:t>
      </w:r>
      <w:r>
        <w:rPr>
          <w:spacing w:val="1"/>
          <w:sz w:val="20"/>
          <w:szCs w:val="20"/>
        </w:rPr>
        <w:t xml:space="preserve">监理规划         </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10"/>
          <w:sz w:val="20"/>
          <w:szCs w:val="20"/>
        </w:rPr>
        <w:t xml:space="preserve"> </w:t>
      </w:r>
      <w:r>
        <w:rPr>
          <w:spacing w:val="1"/>
          <w:sz w:val="20"/>
          <w:szCs w:val="20"/>
        </w:rPr>
        <w:t>监理细则</w:t>
      </w:r>
      <w:r>
        <w:rPr>
          <w:spacing w:val="5"/>
          <w:sz w:val="20"/>
          <w:szCs w:val="20"/>
        </w:rPr>
        <w:t xml:space="preserve">        </w:t>
      </w:r>
      <w:r>
        <w:rPr>
          <w:rFonts w:ascii="Times New Roman" w:hAnsi="Times New Roman" w:eastAsia="Times New Roman" w:cs="Times New Roman"/>
          <w:spacing w:val="1"/>
          <w:sz w:val="20"/>
          <w:szCs w:val="20"/>
        </w:rPr>
        <w:t xml:space="preserve">C. </w:t>
      </w:r>
      <w:r>
        <w:rPr>
          <w:spacing w:val="1"/>
          <w:sz w:val="20"/>
          <w:szCs w:val="20"/>
        </w:rPr>
        <w:t>监</w:t>
      </w:r>
      <w:r>
        <w:rPr>
          <w:sz w:val="20"/>
          <w:szCs w:val="20"/>
        </w:rPr>
        <w:t>理计划</w:t>
      </w:r>
      <w:r>
        <w:rPr>
          <w:spacing w:val="10"/>
          <w:sz w:val="20"/>
          <w:szCs w:val="20"/>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pacing w:val="-10"/>
          <w:sz w:val="20"/>
          <w:szCs w:val="20"/>
        </w:rPr>
        <w:t xml:space="preserve"> </w:t>
      </w:r>
      <w:r>
        <w:rPr>
          <w:sz w:val="20"/>
          <w:szCs w:val="20"/>
        </w:rPr>
        <w:t>监理大纲</w:t>
      </w:r>
    </w:p>
    <w:p w14:paraId="7AE9AA34">
      <w:pPr>
        <w:pStyle w:val="2"/>
        <w:spacing w:before="80" w:line="219" w:lineRule="auto"/>
        <w:ind w:left="410"/>
        <w:rPr>
          <w:rFonts w:ascii="Times New Roman" w:hAnsi="Times New Roman" w:eastAsia="Times New Roman" w:cs="Times New Roman"/>
          <w:sz w:val="20"/>
          <w:szCs w:val="20"/>
        </w:rPr>
      </w:pPr>
      <w:r>
        <w:rPr>
          <w:spacing w:val="-17"/>
          <w:sz w:val="20"/>
          <w:szCs w:val="20"/>
        </w:rPr>
        <w:t>参考答案：</w:t>
      </w:r>
      <w:r>
        <w:rPr>
          <w:rFonts w:ascii="Times New Roman" w:hAnsi="Times New Roman" w:eastAsia="Times New Roman" w:cs="Times New Roman"/>
          <w:spacing w:val="-17"/>
          <w:sz w:val="20"/>
          <w:szCs w:val="20"/>
        </w:rPr>
        <w:t>D</w:t>
      </w:r>
    </w:p>
    <w:p w14:paraId="05338D22">
      <w:pPr>
        <w:pStyle w:val="2"/>
        <w:spacing w:before="72" w:line="219" w:lineRule="auto"/>
        <w:ind w:left="410"/>
        <w:rPr>
          <w:sz w:val="20"/>
          <w:szCs w:val="20"/>
        </w:rPr>
      </w:pPr>
      <w:r>
        <w:rPr>
          <w:sz w:val="20"/>
          <w:szCs w:val="20"/>
        </w:rPr>
        <w:t>(4)监理工程师的职责不包括：</w:t>
      </w:r>
      <w:r>
        <w:rPr>
          <w:spacing w:val="19"/>
          <w:sz w:val="20"/>
          <w:szCs w:val="20"/>
          <w:u w:val="single" w:color="auto"/>
        </w:rPr>
        <w:t xml:space="preserve">     </w:t>
      </w:r>
      <w:r>
        <w:rPr>
          <w:spacing w:val="-86"/>
          <w:sz w:val="20"/>
          <w:szCs w:val="20"/>
        </w:rPr>
        <w:t xml:space="preserve"> </w:t>
      </w:r>
      <w:r>
        <w:rPr>
          <w:position w:val="-1"/>
          <w:sz w:val="20"/>
          <w:szCs w:val="20"/>
        </w:rPr>
        <w:drawing>
          <wp:inline distT="0" distB="0" distL="0" distR="0">
            <wp:extent cx="50800" cy="43815"/>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280"/>
                    <a:stretch>
                      <a:fillRect/>
                    </a:stretch>
                  </pic:blipFill>
                  <pic:spPr>
                    <a:xfrm>
                      <a:off x="0" y="0"/>
                      <a:ext cx="50803" cy="44431"/>
                    </a:xfrm>
                    <a:prstGeom prst="rect">
                      <a:avLst/>
                    </a:prstGeom>
                  </pic:spPr>
                </pic:pic>
              </a:graphicData>
            </a:graphic>
          </wp:inline>
        </w:drawing>
      </w:r>
    </w:p>
    <w:p w14:paraId="3F9C133E">
      <w:pPr>
        <w:pStyle w:val="2"/>
        <w:spacing w:before="72" w:line="219" w:lineRule="auto"/>
        <w:ind w:left="790"/>
        <w:rPr>
          <w:sz w:val="20"/>
          <w:szCs w:val="20"/>
        </w:rPr>
      </w:pPr>
      <w:r>
        <w:rPr>
          <w:rFonts w:ascii="Times New Roman" w:hAnsi="Times New Roman" w:eastAsia="Times New Roman" w:cs="Times New Roman"/>
          <w:sz w:val="20"/>
          <w:szCs w:val="20"/>
        </w:rPr>
        <w:t xml:space="preserve">A. </w:t>
      </w:r>
      <w:r>
        <w:rPr>
          <w:sz w:val="20"/>
          <w:szCs w:val="20"/>
        </w:rPr>
        <w:t>负责编制监理规划中本专业部分以及本专业监理实施细则</w:t>
      </w:r>
    </w:p>
    <w:p w14:paraId="39E04FFD">
      <w:pPr>
        <w:pStyle w:val="2"/>
        <w:spacing w:before="82" w:line="219" w:lineRule="auto"/>
        <w:ind w:left="790"/>
        <w:rPr>
          <w:sz w:val="20"/>
          <w:szCs w:val="20"/>
        </w:rPr>
      </w:pPr>
      <w:r>
        <w:rPr>
          <w:rFonts w:ascii="Times New Roman" w:hAnsi="Times New Roman" w:eastAsia="Times New Roman" w:cs="Times New Roman"/>
          <w:spacing w:val="-1"/>
          <w:sz w:val="20"/>
          <w:szCs w:val="20"/>
        </w:rPr>
        <w:t>B.</w:t>
      </w:r>
      <w:r>
        <w:rPr>
          <w:rFonts w:ascii="Times New Roman" w:hAnsi="Times New Roman" w:eastAsia="Times New Roman" w:cs="Times New Roman"/>
          <w:spacing w:val="-10"/>
          <w:sz w:val="20"/>
          <w:szCs w:val="20"/>
        </w:rPr>
        <w:t xml:space="preserve"> </w:t>
      </w:r>
      <w:r>
        <w:rPr>
          <w:spacing w:val="-1"/>
          <w:sz w:val="20"/>
          <w:szCs w:val="20"/>
        </w:rPr>
        <w:t>负责本专业的测试审核、单元工程验收</w:t>
      </w:r>
    </w:p>
    <w:p w14:paraId="2218F4F7">
      <w:pPr>
        <w:pStyle w:val="2"/>
        <w:spacing w:before="75" w:line="219" w:lineRule="auto"/>
        <w:ind w:left="790"/>
        <w:rPr>
          <w:sz w:val="20"/>
          <w:szCs w:val="20"/>
        </w:rPr>
      </w:pPr>
      <w:r>
        <w:rPr>
          <w:rFonts w:ascii="Times New Roman" w:hAnsi="Times New Roman" w:eastAsia="Times New Roman" w:cs="Times New Roman"/>
          <w:sz w:val="20"/>
          <w:szCs w:val="20"/>
        </w:rPr>
        <w:t xml:space="preserve">C. </w:t>
      </w:r>
      <w:r>
        <w:rPr>
          <w:sz w:val="20"/>
          <w:szCs w:val="20"/>
        </w:rPr>
        <w:t>根据工程项目的进展情况调换不称职的监理人员</w:t>
      </w:r>
    </w:p>
    <w:p w14:paraId="19107FFF">
      <w:pPr>
        <w:pStyle w:val="2"/>
        <w:spacing w:before="82" w:line="273" w:lineRule="auto"/>
        <w:ind w:left="410" w:right="2308" w:firstLine="38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D. </w:t>
      </w:r>
      <w:r>
        <w:rPr>
          <w:spacing w:val="-1"/>
          <w:sz w:val="20"/>
          <w:szCs w:val="20"/>
        </w:rPr>
        <w:t>负责本专业工程量的核定，审核工程量的数据和原始凭证</w:t>
      </w:r>
      <w:r>
        <w:rPr>
          <w:spacing w:val="6"/>
          <w:sz w:val="20"/>
          <w:szCs w:val="20"/>
        </w:rPr>
        <w:t xml:space="preserve"> </w:t>
      </w:r>
      <w:r>
        <w:rPr>
          <w:spacing w:val="-17"/>
          <w:sz w:val="20"/>
          <w:szCs w:val="20"/>
        </w:rPr>
        <w:t>参考答案：</w:t>
      </w:r>
      <w:r>
        <w:rPr>
          <w:rFonts w:ascii="Times New Roman" w:hAnsi="Times New Roman" w:eastAsia="Times New Roman" w:cs="Times New Roman"/>
          <w:spacing w:val="-17"/>
          <w:sz w:val="20"/>
          <w:szCs w:val="20"/>
        </w:rPr>
        <w:t>C</w:t>
      </w:r>
    </w:p>
    <w:p w14:paraId="34FF7160">
      <w:pPr>
        <w:pStyle w:val="2"/>
        <w:spacing w:before="37" w:line="218" w:lineRule="auto"/>
        <w:ind w:left="410"/>
        <w:rPr>
          <w:sz w:val="16"/>
          <w:szCs w:val="16"/>
        </w:rPr>
      </w:pPr>
      <w:r>
        <w:rPr>
          <w:spacing w:val="-2"/>
          <w:sz w:val="20"/>
          <w:szCs w:val="20"/>
        </w:rPr>
        <w:t>(5)开展信息系统工程监理工作，应当遵守</w:t>
      </w:r>
      <w:r>
        <w:rPr>
          <w:spacing w:val="-77"/>
          <w:sz w:val="20"/>
          <w:szCs w:val="20"/>
        </w:rPr>
        <w:t xml:space="preserve"> </w:t>
      </w:r>
      <w:r>
        <w:rPr>
          <w:spacing w:val="1"/>
          <w:sz w:val="20"/>
          <w:szCs w:val="20"/>
          <w:u w:val="single" w:color="auto"/>
        </w:rPr>
        <w:t xml:space="preserve">       </w:t>
      </w:r>
      <w:r>
        <w:rPr>
          <w:spacing w:val="-97"/>
          <w:sz w:val="20"/>
          <w:szCs w:val="20"/>
        </w:rPr>
        <w:t xml:space="preserve"> </w:t>
      </w:r>
      <w:r>
        <w:rPr>
          <w:spacing w:val="-2"/>
          <w:sz w:val="16"/>
          <w:szCs w:val="16"/>
        </w:rPr>
        <w:t>_</w:t>
      </w:r>
      <w:r>
        <w:rPr>
          <w:spacing w:val="-44"/>
          <w:sz w:val="16"/>
          <w:szCs w:val="16"/>
        </w:rPr>
        <w:t xml:space="preserve"> </w:t>
      </w:r>
      <w:r>
        <w:rPr>
          <w:spacing w:val="-2"/>
          <w:sz w:val="16"/>
          <w:szCs w:val="16"/>
        </w:rPr>
        <w:t>的原则。</w:t>
      </w:r>
    </w:p>
    <w:p w14:paraId="290239B4">
      <w:pPr>
        <w:pStyle w:val="2"/>
        <w:spacing w:before="83" w:line="217" w:lineRule="auto"/>
        <w:ind w:left="790"/>
        <w:rPr>
          <w:sz w:val="20"/>
          <w:szCs w:val="20"/>
        </w:rPr>
      </w:pPr>
      <w:r>
        <w:rPr>
          <w:spacing w:val="-12"/>
          <w:sz w:val="20"/>
          <w:szCs w:val="20"/>
        </w:rPr>
        <w:t>①公</w:t>
      </w:r>
      <w:r>
        <w:rPr>
          <w:spacing w:val="31"/>
          <w:sz w:val="20"/>
          <w:szCs w:val="20"/>
        </w:rPr>
        <w:t xml:space="preserve"> </w:t>
      </w:r>
      <w:r>
        <w:rPr>
          <w:spacing w:val="-12"/>
          <w:sz w:val="20"/>
          <w:szCs w:val="20"/>
        </w:rPr>
        <w:t>平              ②服从</w:t>
      </w:r>
      <w:r>
        <w:rPr>
          <w:spacing w:val="4"/>
          <w:sz w:val="20"/>
          <w:szCs w:val="20"/>
        </w:rPr>
        <w:t xml:space="preserve">             </w:t>
      </w:r>
      <w:r>
        <w:rPr>
          <w:spacing w:val="-12"/>
          <w:sz w:val="20"/>
          <w:szCs w:val="20"/>
        </w:rPr>
        <w:t>③</w:t>
      </w:r>
      <w:r>
        <w:rPr>
          <w:spacing w:val="-13"/>
          <w:sz w:val="20"/>
          <w:szCs w:val="20"/>
        </w:rPr>
        <w:t>守法</w:t>
      </w:r>
      <w:r>
        <w:rPr>
          <w:spacing w:val="5"/>
          <w:sz w:val="20"/>
          <w:szCs w:val="20"/>
        </w:rPr>
        <w:t xml:space="preserve">           </w:t>
      </w:r>
      <w:r>
        <w:rPr>
          <w:spacing w:val="-13"/>
          <w:sz w:val="20"/>
          <w:szCs w:val="20"/>
        </w:rPr>
        <w:t>④公</w:t>
      </w:r>
      <w:r>
        <w:rPr>
          <w:spacing w:val="31"/>
          <w:sz w:val="20"/>
          <w:szCs w:val="20"/>
        </w:rPr>
        <w:t xml:space="preserve"> </w:t>
      </w:r>
      <w:r>
        <w:rPr>
          <w:spacing w:val="-13"/>
          <w:sz w:val="20"/>
          <w:szCs w:val="20"/>
        </w:rPr>
        <w:t>正</w:t>
      </w:r>
    </w:p>
    <w:p w14:paraId="2FB340F7">
      <w:pPr>
        <w:pStyle w:val="2"/>
        <w:spacing w:before="17" w:line="217" w:lineRule="auto"/>
        <w:ind w:left="790"/>
        <w:rPr>
          <w:sz w:val="25"/>
          <w:szCs w:val="25"/>
        </w:rPr>
      </w:pPr>
      <w:r>
        <w:rPr>
          <w:rFonts w:ascii="Times New Roman" w:hAnsi="Times New Roman" w:eastAsia="Times New Roman" w:cs="Times New Roman"/>
          <w:spacing w:val="-21"/>
          <w:sz w:val="25"/>
          <w:szCs w:val="25"/>
        </w:rPr>
        <w:t>A.</w:t>
      </w:r>
      <w:r>
        <w:rPr>
          <w:spacing w:val="-21"/>
          <w:sz w:val="25"/>
          <w:szCs w:val="25"/>
        </w:rPr>
        <w:t xml:space="preserve">①②③          </w:t>
      </w:r>
      <w:r>
        <w:rPr>
          <w:rFonts w:ascii="Times New Roman" w:hAnsi="Times New Roman" w:eastAsia="Times New Roman" w:cs="Times New Roman"/>
          <w:spacing w:val="-21"/>
          <w:sz w:val="25"/>
          <w:szCs w:val="25"/>
        </w:rPr>
        <w:t>B.</w:t>
      </w:r>
      <w:r>
        <w:rPr>
          <w:spacing w:val="-21"/>
          <w:sz w:val="25"/>
          <w:szCs w:val="25"/>
        </w:rPr>
        <w:t xml:space="preserve">①③④          </w:t>
      </w:r>
      <w:r>
        <w:rPr>
          <w:rFonts w:ascii="Times New Roman" w:hAnsi="Times New Roman" w:eastAsia="Times New Roman" w:cs="Times New Roman"/>
          <w:spacing w:val="-21"/>
          <w:sz w:val="25"/>
          <w:szCs w:val="25"/>
        </w:rPr>
        <w:t>C.</w:t>
      </w:r>
      <w:r>
        <w:rPr>
          <w:spacing w:val="-21"/>
          <w:sz w:val="25"/>
          <w:szCs w:val="25"/>
        </w:rPr>
        <w:t>①②④</w:t>
      </w:r>
      <w:r>
        <w:rPr>
          <w:spacing w:val="6"/>
          <w:sz w:val="25"/>
          <w:szCs w:val="25"/>
        </w:rPr>
        <w:t xml:space="preserve">       </w:t>
      </w:r>
      <w:r>
        <w:rPr>
          <w:rFonts w:ascii="Times New Roman" w:hAnsi="Times New Roman" w:eastAsia="Times New Roman" w:cs="Times New Roman"/>
          <w:spacing w:val="-21"/>
          <w:sz w:val="25"/>
          <w:szCs w:val="25"/>
        </w:rPr>
        <w:t>D.</w:t>
      </w:r>
      <w:r>
        <w:rPr>
          <w:spacing w:val="-21"/>
          <w:sz w:val="25"/>
          <w:szCs w:val="25"/>
        </w:rPr>
        <w:t>②③④</w:t>
      </w:r>
    </w:p>
    <w:p w14:paraId="6A77D557">
      <w:pPr>
        <w:pStyle w:val="2"/>
        <w:spacing w:before="77" w:line="219" w:lineRule="auto"/>
        <w:ind w:left="410"/>
        <w:rPr>
          <w:rFonts w:ascii="Times New Roman" w:hAnsi="Times New Roman" w:eastAsia="Times New Roman" w:cs="Times New Roman"/>
          <w:sz w:val="20"/>
          <w:szCs w:val="20"/>
        </w:rPr>
      </w:pPr>
      <w:r>
        <w:rPr>
          <w:spacing w:val="-17"/>
          <w:sz w:val="20"/>
          <w:szCs w:val="20"/>
        </w:rPr>
        <w:t>参考答案：</w:t>
      </w:r>
      <w:r>
        <w:rPr>
          <w:rFonts w:ascii="Times New Roman" w:hAnsi="Times New Roman" w:eastAsia="Times New Roman" w:cs="Times New Roman"/>
          <w:spacing w:val="-17"/>
          <w:sz w:val="20"/>
          <w:szCs w:val="20"/>
        </w:rPr>
        <w:t>B</w:t>
      </w:r>
    </w:p>
    <w:p w14:paraId="01680873">
      <w:pPr>
        <w:pStyle w:val="2"/>
        <w:spacing w:before="62" w:line="219" w:lineRule="auto"/>
        <w:ind w:left="410"/>
        <w:rPr>
          <w:rFonts w:ascii="Times New Roman" w:hAnsi="Times New Roman" w:eastAsia="Times New Roman" w:cs="Times New Roman"/>
          <w:sz w:val="20"/>
          <w:szCs w:val="20"/>
        </w:rPr>
      </w:pPr>
      <w:r>
        <w:rPr>
          <w:spacing w:val="-1"/>
          <w:sz w:val="20"/>
          <w:szCs w:val="20"/>
        </w:rPr>
        <w:t>(6)关于监理工作文件的描述，不正确的是：</w:t>
      </w:r>
      <w:r>
        <w:rPr>
          <w:spacing w:val="-1"/>
          <w:sz w:val="20"/>
          <w:szCs w:val="20"/>
          <w:u w:val="single" w:color="auto"/>
        </w:rPr>
        <w:t xml:space="preserve">      </w:t>
      </w:r>
      <w:r>
        <w:rPr>
          <w:spacing w:val="-63"/>
          <w:sz w:val="20"/>
          <w:szCs w:val="20"/>
        </w:rPr>
        <w:t xml:space="preserve"> </w:t>
      </w:r>
      <w:r>
        <w:rPr>
          <w:rFonts w:ascii="Times New Roman" w:hAnsi="Times New Roman" w:eastAsia="Times New Roman" w:cs="Times New Roman"/>
          <w:spacing w:val="-1"/>
          <w:sz w:val="20"/>
          <w:szCs w:val="20"/>
        </w:rPr>
        <w:t>0</w:t>
      </w:r>
    </w:p>
    <w:p w14:paraId="67796500">
      <w:pPr>
        <w:pStyle w:val="2"/>
        <w:spacing w:before="83" w:line="273" w:lineRule="auto"/>
        <w:ind w:left="790" w:right="3091"/>
        <w:rPr>
          <w:sz w:val="20"/>
          <w:szCs w:val="20"/>
        </w:rPr>
      </w:pPr>
      <w:r>
        <w:rPr>
          <w:rFonts w:ascii="Times New Roman" w:hAnsi="Times New Roman" w:eastAsia="Times New Roman" w:cs="Times New Roman"/>
          <w:sz w:val="20"/>
          <w:szCs w:val="20"/>
        </w:rPr>
        <w:t xml:space="preserve">A. </w:t>
      </w:r>
      <w:r>
        <w:rPr>
          <w:sz w:val="20"/>
          <w:szCs w:val="20"/>
        </w:rPr>
        <w:t>监理规划是整个项目开展监理工作的</w:t>
      </w:r>
      <w:r>
        <w:rPr>
          <w:spacing w:val="-1"/>
          <w:sz w:val="20"/>
          <w:szCs w:val="20"/>
        </w:rPr>
        <w:t>依据和基础</w:t>
      </w:r>
      <w:r>
        <w:rPr>
          <w:sz w:val="20"/>
          <w:szCs w:val="20"/>
        </w:rPr>
        <w:t xml:space="preserve"> </w:t>
      </w:r>
      <w:r>
        <w:rPr>
          <w:rFonts w:ascii="Times New Roman" w:hAnsi="Times New Roman" w:eastAsia="Times New Roman" w:cs="Times New Roman"/>
          <w:spacing w:val="-2"/>
          <w:sz w:val="20"/>
          <w:szCs w:val="20"/>
        </w:rPr>
        <w:t xml:space="preserve">B. </w:t>
      </w:r>
      <w:r>
        <w:rPr>
          <w:spacing w:val="-2"/>
          <w:sz w:val="20"/>
          <w:szCs w:val="20"/>
        </w:rPr>
        <w:t>监理规划是监理合同签订后编制的纲领性文件</w:t>
      </w:r>
    </w:p>
    <w:p w14:paraId="004D14F1">
      <w:pPr>
        <w:pStyle w:val="2"/>
        <w:spacing w:before="29" w:line="220" w:lineRule="auto"/>
        <w:ind w:left="790"/>
        <w:rPr>
          <w:sz w:val="20"/>
          <w:szCs w:val="20"/>
        </w:rPr>
      </w:pPr>
      <w:r>
        <w:rPr>
          <w:rFonts w:ascii="Times New Roman" w:hAnsi="Times New Roman" w:eastAsia="Times New Roman" w:cs="Times New Roman"/>
          <w:spacing w:val="-1"/>
          <w:sz w:val="20"/>
          <w:szCs w:val="20"/>
        </w:rPr>
        <w:t xml:space="preserve">C. </w:t>
      </w:r>
      <w:r>
        <w:rPr>
          <w:spacing w:val="-1"/>
          <w:sz w:val="20"/>
          <w:szCs w:val="20"/>
        </w:rPr>
        <w:t>监理实施细则规定了专业监理程序和</w:t>
      </w:r>
      <w:r>
        <w:rPr>
          <w:spacing w:val="-2"/>
          <w:sz w:val="20"/>
          <w:szCs w:val="20"/>
        </w:rPr>
        <w:t>方法</w:t>
      </w:r>
    </w:p>
    <w:p w14:paraId="449D7D40">
      <w:pPr>
        <w:pStyle w:val="2"/>
        <w:spacing w:before="60" w:line="264" w:lineRule="auto"/>
        <w:ind w:left="410" w:right="2891" w:firstLine="38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 </w:t>
      </w:r>
      <w:r>
        <w:rPr>
          <w:sz w:val="20"/>
          <w:szCs w:val="20"/>
        </w:rPr>
        <w:t>监理实施细则是由监理单位总经理组织</w:t>
      </w:r>
      <w:r>
        <w:rPr>
          <w:spacing w:val="-1"/>
          <w:sz w:val="20"/>
          <w:szCs w:val="20"/>
        </w:rPr>
        <w:t>编制的文件</w:t>
      </w:r>
      <w:r>
        <w:rPr>
          <w:sz w:val="20"/>
          <w:szCs w:val="20"/>
        </w:rPr>
        <w:t xml:space="preserve"> </w:t>
      </w:r>
      <w:r>
        <w:rPr>
          <w:spacing w:val="-16"/>
          <w:sz w:val="20"/>
          <w:szCs w:val="20"/>
        </w:rPr>
        <w:t>参考答案：</w:t>
      </w:r>
      <w:r>
        <w:rPr>
          <w:rFonts w:ascii="Times New Roman" w:hAnsi="Times New Roman" w:eastAsia="Times New Roman" w:cs="Times New Roman"/>
          <w:spacing w:val="-16"/>
          <w:sz w:val="20"/>
          <w:szCs w:val="20"/>
        </w:rPr>
        <w:t>D</w:t>
      </w:r>
    </w:p>
    <w:p w14:paraId="024DBC6B">
      <w:pPr>
        <w:pStyle w:val="2"/>
        <w:spacing w:before="59" w:line="219" w:lineRule="auto"/>
        <w:ind w:right="1"/>
        <w:jc w:val="right"/>
        <w:rPr>
          <w:sz w:val="20"/>
          <w:szCs w:val="20"/>
        </w:rPr>
      </w:pPr>
      <w:r>
        <w:rPr>
          <w:spacing w:val="5"/>
          <w:sz w:val="20"/>
          <w:szCs w:val="20"/>
        </w:rPr>
        <w:t>(7)业主单位选择监理单位时，用于取得项目委托监理及相关服务合同、宏观指导监理及</w:t>
      </w:r>
    </w:p>
    <w:p w14:paraId="6CF48916">
      <w:pPr>
        <w:pStyle w:val="2"/>
        <w:spacing w:before="63" w:line="219" w:lineRule="auto"/>
        <w:ind w:left="10"/>
        <w:rPr>
          <w:rFonts w:ascii="Times New Roman" w:hAnsi="Times New Roman" w:eastAsia="Times New Roman" w:cs="Times New Roman"/>
          <w:sz w:val="20"/>
          <w:szCs w:val="20"/>
        </w:rPr>
      </w:pPr>
      <w:r>
        <w:rPr>
          <w:spacing w:val="-8"/>
          <w:sz w:val="20"/>
          <w:szCs w:val="20"/>
        </w:rPr>
        <w:t>相关服务过程的方案性文件是</w:t>
      </w:r>
      <w:r>
        <w:rPr>
          <w:spacing w:val="-89"/>
          <w:sz w:val="20"/>
          <w:szCs w:val="20"/>
        </w:rPr>
        <w:t xml:space="preserve"> </w:t>
      </w:r>
      <w:r>
        <w:rPr>
          <w:spacing w:val="16"/>
          <w:sz w:val="20"/>
          <w:szCs w:val="20"/>
          <w:u w:val="single" w:color="auto"/>
        </w:rPr>
        <w:t xml:space="preserve">      </w:t>
      </w:r>
      <w:r>
        <w:rPr>
          <w:spacing w:val="-86"/>
          <w:sz w:val="20"/>
          <w:szCs w:val="20"/>
        </w:rPr>
        <w:t xml:space="preserve"> </w:t>
      </w:r>
      <w:r>
        <w:rPr>
          <w:rFonts w:ascii="Times New Roman" w:hAnsi="Times New Roman" w:eastAsia="Times New Roman" w:cs="Times New Roman"/>
          <w:spacing w:val="-8"/>
          <w:sz w:val="20"/>
          <w:szCs w:val="20"/>
        </w:rPr>
        <w:t>0</w:t>
      </w:r>
    </w:p>
    <w:p w14:paraId="194E256B">
      <w:pPr>
        <w:pStyle w:val="2"/>
        <w:spacing w:before="73" w:line="219" w:lineRule="auto"/>
        <w:ind w:left="790"/>
        <w:rPr>
          <w:sz w:val="20"/>
          <w:szCs w:val="20"/>
        </w:rPr>
      </w:pPr>
      <w:r>
        <w:rPr>
          <w:rFonts w:ascii="Times New Roman" w:hAnsi="Times New Roman" w:eastAsia="Times New Roman" w:cs="Times New Roman"/>
          <w:spacing w:val="-3"/>
          <w:sz w:val="20"/>
          <w:szCs w:val="20"/>
        </w:rPr>
        <w:t>A.</w:t>
      </w:r>
      <w:r>
        <w:rPr>
          <w:rFonts w:ascii="Times New Roman" w:hAnsi="Times New Roman" w:eastAsia="Times New Roman" w:cs="Times New Roman"/>
          <w:spacing w:val="-10"/>
          <w:sz w:val="20"/>
          <w:szCs w:val="20"/>
        </w:rPr>
        <w:t xml:space="preserve"> </w:t>
      </w:r>
      <w:r>
        <w:rPr>
          <w:spacing w:val="-3"/>
          <w:sz w:val="20"/>
          <w:szCs w:val="20"/>
        </w:rPr>
        <w:t>资格预审文件</w:t>
      </w:r>
      <w:r>
        <w:rPr>
          <w:spacing w:val="2"/>
          <w:sz w:val="20"/>
          <w:szCs w:val="20"/>
        </w:rPr>
        <w:t xml:space="preserve">                     </w:t>
      </w:r>
      <w:r>
        <w:rPr>
          <w:spacing w:val="1"/>
          <w:sz w:val="20"/>
          <w:szCs w:val="20"/>
        </w:rPr>
        <w:t xml:space="preserve">   </w:t>
      </w:r>
      <w:r>
        <w:rPr>
          <w:rFonts w:ascii="Times New Roman" w:hAnsi="Times New Roman" w:eastAsia="Times New Roman" w:cs="Times New Roman"/>
          <w:spacing w:val="-3"/>
          <w:sz w:val="20"/>
          <w:szCs w:val="20"/>
        </w:rPr>
        <w:t>B.</w:t>
      </w:r>
      <w:r>
        <w:rPr>
          <w:rFonts w:ascii="Times New Roman" w:hAnsi="Times New Roman" w:eastAsia="Times New Roman" w:cs="Times New Roman"/>
          <w:spacing w:val="-9"/>
          <w:sz w:val="20"/>
          <w:szCs w:val="20"/>
        </w:rPr>
        <w:t xml:space="preserve"> </w:t>
      </w:r>
      <w:r>
        <w:rPr>
          <w:spacing w:val="-3"/>
          <w:sz w:val="20"/>
          <w:szCs w:val="20"/>
        </w:rPr>
        <w:t>监理大纲</w:t>
      </w:r>
    </w:p>
    <w:p w14:paraId="010670B6">
      <w:pPr>
        <w:pStyle w:val="2"/>
        <w:spacing w:before="73" w:line="220" w:lineRule="auto"/>
        <w:ind w:left="790"/>
        <w:rPr>
          <w:sz w:val="20"/>
          <w:szCs w:val="20"/>
        </w:rPr>
      </w:pPr>
      <w:r>
        <w:rPr>
          <w:rFonts w:ascii="Times New Roman" w:hAnsi="Times New Roman" w:eastAsia="Times New Roman" w:cs="Times New Roman"/>
          <w:spacing w:val="1"/>
          <w:sz w:val="20"/>
          <w:szCs w:val="20"/>
        </w:rPr>
        <w:t>C.</w:t>
      </w:r>
      <w:r>
        <w:rPr>
          <w:rFonts w:ascii="Times New Roman" w:hAnsi="Times New Roman" w:eastAsia="Times New Roman" w:cs="Times New Roman"/>
          <w:spacing w:val="-16"/>
          <w:sz w:val="20"/>
          <w:szCs w:val="20"/>
        </w:rPr>
        <w:t xml:space="preserve"> </w:t>
      </w:r>
      <w:r>
        <w:rPr>
          <w:spacing w:val="1"/>
          <w:sz w:val="20"/>
          <w:szCs w:val="20"/>
        </w:rPr>
        <w:t>监理规划</w:t>
      </w:r>
      <w:r>
        <w:rPr>
          <w:sz w:val="20"/>
          <w:szCs w:val="20"/>
        </w:rPr>
        <w:t xml:space="preserve">                            </w:t>
      </w:r>
      <w:r>
        <w:rPr>
          <w:rFonts w:ascii="Times New Roman" w:hAnsi="Times New Roman" w:eastAsia="Times New Roman" w:cs="Times New Roman"/>
          <w:spacing w:val="1"/>
          <w:sz w:val="20"/>
          <w:szCs w:val="20"/>
        </w:rPr>
        <w:t xml:space="preserve">D. </w:t>
      </w:r>
      <w:r>
        <w:rPr>
          <w:spacing w:val="1"/>
          <w:sz w:val="20"/>
          <w:szCs w:val="20"/>
        </w:rPr>
        <w:t>监理实施细则</w:t>
      </w:r>
    </w:p>
    <w:p w14:paraId="3DD10C17">
      <w:pPr>
        <w:pStyle w:val="2"/>
        <w:spacing w:before="61" w:line="219" w:lineRule="auto"/>
        <w:ind w:left="410"/>
        <w:rPr>
          <w:rFonts w:ascii="Times New Roman" w:hAnsi="Times New Roman" w:eastAsia="Times New Roman" w:cs="Times New Roman"/>
          <w:sz w:val="20"/>
          <w:szCs w:val="20"/>
        </w:rPr>
      </w:pPr>
      <w:r>
        <w:rPr>
          <w:spacing w:val="-17"/>
          <w:sz w:val="20"/>
          <w:szCs w:val="20"/>
        </w:rPr>
        <w:t>参考答案：</w:t>
      </w:r>
      <w:r>
        <w:rPr>
          <w:rFonts w:ascii="Times New Roman" w:hAnsi="Times New Roman" w:eastAsia="Times New Roman" w:cs="Times New Roman"/>
          <w:spacing w:val="-17"/>
          <w:sz w:val="20"/>
          <w:szCs w:val="20"/>
        </w:rPr>
        <w:t>B</w:t>
      </w:r>
    </w:p>
    <w:p w14:paraId="03851681">
      <w:pPr>
        <w:spacing w:line="219" w:lineRule="auto"/>
        <w:rPr>
          <w:rFonts w:ascii="Times New Roman" w:hAnsi="Times New Roman" w:eastAsia="Times New Roman" w:cs="Times New Roman"/>
          <w:sz w:val="20"/>
          <w:szCs w:val="20"/>
        </w:rPr>
        <w:sectPr>
          <w:pgSz w:w="10310" w:h="13430"/>
          <w:pgMar w:top="400" w:right="1067" w:bottom="400" w:left="919" w:header="0" w:footer="0" w:gutter="0"/>
          <w:cols w:space="720" w:num="1"/>
        </w:sectPr>
      </w:pPr>
    </w:p>
    <w:p w14:paraId="279B41FE">
      <w:pPr>
        <w:pStyle w:val="2"/>
        <w:jc w:val="right"/>
        <w:rPr>
          <w:rFonts w:ascii="Times New Roman" w:hAnsi="Times New Roman" w:eastAsia="Times New Roman" w:cs="Times New Roman"/>
          <w:sz w:val="19"/>
          <w:szCs w:val="19"/>
        </w:rPr>
      </w:pPr>
      <w:r>
        <w:rPr>
          <w:spacing w:val="-6"/>
          <w:sz w:val="19"/>
          <w:szCs w:val="19"/>
        </w:rPr>
        <w:t>第二篇练习</w:t>
      </w:r>
      <w:r>
        <w:rPr>
          <w:spacing w:val="19"/>
          <w:sz w:val="19"/>
          <w:szCs w:val="19"/>
        </w:rPr>
        <w:t xml:space="preserve"> </w:t>
      </w:r>
      <w:r>
        <w:rPr>
          <w:position w:val="-10"/>
          <w:sz w:val="19"/>
          <w:szCs w:val="19"/>
        </w:rPr>
        <w:drawing>
          <wp:inline distT="0" distB="0" distL="0" distR="0">
            <wp:extent cx="316865" cy="240665"/>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81"/>
                    <a:stretch>
                      <a:fillRect/>
                    </a:stretch>
                  </pic:blipFill>
                  <pic:spPr>
                    <a:xfrm>
                      <a:off x="0" y="0"/>
                      <a:ext cx="317494" cy="241239"/>
                    </a:xfrm>
                    <a:prstGeom prst="rect">
                      <a:avLst/>
                    </a:prstGeom>
                  </pic:spPr>
                </pic:pic>
              </a:graphicData>
            </a:graphic>
          </wp:inline>
        </w:drawing>
      </w:r>
      <w:r>
        <w:rPr>
          <w:rFonts w:ascii="Times New Roman" w:hAnsi="Times New Roman" w:eastAsia="Times New Roman" w:cs="Times New Roman"/>
          <w:spacing w:val="-6"/>
          <w:position w:val="-1"/>
          <w:sz w:val="19"/>
          <w:szCs w:val="19"/>
        </w:rPr>
        <w:t>435</w:t>
      </w:r>
    </w:p>
    <w:p w14:paraId="43A812D8">
      <w:pPr>
        <w:spacing w:line="274" w:lineRule="auto"/>
        <w:rPr>
          <w:rFonts w:ascii="Arial"/>
          <w:sz w:val="21"/>
        </w:rPr>
      </w:pPr>
    </w:p>
    <w:p w14:paraId="7D2EC4A5">
      <w:pPr>
        <w:pStyle w:val="2"/>
        <w:spacing w:before="62" w:line="219" w:lineRule="auto"/>
        <w:ind w:left="380"/>
        <w:rPr>
          <w:rFonts w:ascii="Times New Roman" w:hAnsi="Times New Roman" w:eastAsia="Times New Roman" w:cs="Times New Roman"/>
          <w:sz w:val="19"/>
          <w:szCs w:val="19"/>
        </w:rPr>
      </w:pPr>
      <w:r>
        <w:rPr>
          <w:spacing w:val="12"/>
          <w:sz w:val="19"/>
          <w:szCs w:val="19"/>
        </w:rPr>
        <w:t>(8)信息系统工程监理规划的必要内容不包括</w:t>
      </w:r>
      <w:r>
        <w:rPr>
          <w:spacing w:val="-76"/>
          <w:sz w:val="19"/>
          <w:szCs w:val="19"/>
        </w:rPr>
        <w:t xml:space="preserve"> </w:t>
      </w:r>
      <w:r>
        <w:rPr>
          <w:spacing w:val="6"/>
          <w:sz w:val="19"/>
          <w:szCs w:val="19"/>
          <w:u w:val="single" w:color="auto"/>
        </w:rPr>
        <w:t xml:space="preserve">      </w:t>
      </w:r>
      <w:r>
        <w:rPr>
          <w:spacing w:val="-61"/>
          <w:sz w:val="19"/>
          <w:szCs w:val="19"/>
        </w:rPr>
        <w:t xml:space="preserve"> </w:t>
      </w:r>
      <w:r>
        <w:rPr>
          <w:rFonts w:ascii="Times New Roman" w:hAnsi="Times New Roman" w:eastAsia="Times New Roman" w:cs="Times New Roman"/>
          <w:spacing w:val="12"/>
          <w:sz w:val="19"/>
          <w:szCs w:val="19"/>
        </w:rPr>
        <w:t>o</w:t>
      </w:r>
    </w:p>
    <w:p w14:paraId="0F4BF71F">
      <w:pPr>
        <w:pStyle w:val="2"/>
        <w:spacing w:before="104" w:line="219" w:lineRule="auto"/>
        <w:ind w:left="789"/>
        <w:rPr>
          <w:sz w:val="19"/>
          <w:szCs w:val="19"/>
        </w:rPr>
      </w:pPr>
      <w:r>
        <w:rPr>
          <w:rFonts w:ascii="Times New Roman" w:hAnsi="Times New Roman" w:eastAsia="Times New Roman" w:cs="Times New Roman"/>
          <w:spacing w:val="8"/>
          <w:sz w:val="19"/>
          <w:szCs w:val="19"/>
        </w:rPr>
        <w:t xml:space="preserve">A. </w:t>
      </w:r>
      <w:r>
        <w:rPr>
          <w:spacing w:val="8"/>
          <w:sz w:val="19"/>
          <w:szCs w:val="19"/>
        </w:rPr>
        <w:t xml:space="preserve">工程及相关服务对象概况             </w:t>
      </w:r>
      <w:r>
        <w:rPr>
          <w:spacing w:val="7"/>
          <w:sz w:val="19"/>
          <w:szCs w:val="19"/>
        </w:rPr>
        <w:t xml:space="preserve"> </w:t>
      </w:r>
      <w:r>
        <w:rPr>
          <w:rFonts w:ascii="Times New Roman" w:hAnsi="Times New Roman" w:eastAsia="Times New Roman" w:cs="Times New Roman"/>
          <w:spacing w:val="7"/>
          <w:sz w:val="19"/>
          <w:szCs w:val="19"/>
        </w:rPr>
        <w:t xml:space="preserve">B. </w:t>
      </w:r>
      <w:r>
        <w:rPr>
          <w:spacing w:val="7"/>
          <w:sz w:val="19"/>
          <w:szCs w:val="19"/>
        </w:rPr>
        <w:t>根据实施难度设置的质量控制点</w:t>
      </w:r>
    </w:p>
    <w:p w14:paraId="38E938A7">
      <w:pPr>
        <w:pStyle w:val="2"/>
        <w:spacing w:before="83" w:line="219" w:lineRule="auto"/>
        <w:ind w:left="789"/>
        <w:rPr>
          <w:sz w:val="19"/>
          <w:szCs w:val="19"/>
        </w:rPr>
      </w:pPr>
      <w:r>
        <w:rPr>
          <w:rFonts w:ascii="Times New Roman" w:hAnsi="Times New Roman" w:eastAsia="Times New Roman" w:cs="Times New Roman"/>
          <w:spacing w:val="8"/>
          <w:sz w:val="19"/>
          <w:szCs w:val="19"/>
        </w:rPr>
        <w:t xml:space="preserve">C. </w:t>
      </w:r>
      <w:r>
        <w:rPr>
          <w:spacing w:val="8"/>
          <w:sz w:val="19"/>
          <w:szCs w:val="19"/>
        </w:rPr>
        <w:t xml:space="preserve">监理依据、制度、方法及措施          </w:t>
      </w:r>
      <w:r>
        <w:rPr>
          <w:rFonts w:ascii="Times New Roman" w:hAnsi="Times New Roman" w:eastAsia="Times New Roman" w:cs="Times New Roman"/>
          <w:spacing w:val="8"/>
          <w:sz w:val="19"/>
          <w:szCs w:val="19"/>
        </w:rPr>
        <w:t>D.</w:t>
      </w:r>
      <w:r>
        <w:rPr>
          <w:rFonts w:ascii="Times New Roman" w:hAnsi="Times New Roman" w:eastAsia="Times New Roman" w:cs="Times New Roman"/>
          <w:spacing w:val="3"/>
          <w:sz w:val="19"/>
          <w:szCs w:val="19"/>
        </w:rPr>
        <w:t xml:space="preserve"> </w:t>
      </w:r>
      <w:r>
        <w:rPr>
          <w:spacing w:val="8"/>
          <w:sz w:val="19"/>
          <w:szCs w:val="19"/>
        </w:rPr>
        <w:t>监理机构的组织及监理人员的职责</w:t>
      </w:r>
    </w:p>
    <w:p w14:paraId="3A6B9589">
      <w:pPr>
        <w:pStyle w:val="2"/>
        <w:spacing w:before="85" w:line="219" w:lineRule="auto"/>
        <w:ind w:left="380"/>
        <w:rPr>
          <w:rFonts w:ascii="Times New Roman" w:hAnsi="Times New Roman" w:eastAsia="Times New Roman" w:cs="Times New Roman"/>
          <w:sz w:val="19"/>
          <w:szCs w:val="19"/>
        </w:rPr>
      </w:pPr>
      <w:r>
        <w:rPr>
          <w:spacing w:val="-8"/>
          <w:sz w:val="19"/>
          <w:szCs w:val="19"/>
        </w:rPr>
        <w:t>参考答案：</w:t>
      </w:r>
      <w:r>
        <w:rPr>
          <w:rFonts w:ascii="Times New Roman" w:hAnsi="Times New Roman" w:eastAsia="Times New Roman" w:cs="Times New Roman"/>
          <w:spacing w:val="-8"/>
          <w:sz w:val="19"/>
          <w:szCs w:val="19"/>
        </w:rPr>
        <w:t>B</w:t>
      </w:r>
    </w:p>
    <w:p w14:paraId="3CFF9E00">
      <w:pPr>
        <w:pStyle w:val="2"/>
        <w:spacing w:before="94" w:line="219" w:lineRule="auto"/>
        <w:ind w:left="380"/>
        <w:rPr>
          <w:sz w:val="19"/>
          <w:szCs w:val="19"/>
        </w:rPr>
      </w:pPr>
      <w:r>
        <w:rPr>
          <w:spacing w:val="2"/>
          <w:position w:val="1"/>
          <w:sz w:val="17"/>
          <w:szCs w:val="17"/>
        </w:rPr>
        <w:t>(9)</w:t>
      </w:r>
      <w:r>
        <w:rPr>
          <w:spacing w:val="63"/>
          <w:position w:val="1"/>
          <w:sz w:val="17"/>
          <w:szCs w:val="17"/>
        </w:rPr>
        <w:t xml:space="preserve"> </w:t>
      </w:r>
      <w:r>
        <w:rPr>
          <w:spacing w:val="2"/>
          <w:position w:val="1"/>
          <w:sz w:val="17"/>
          <w:szCs w:val="17"/>
          <w:u w:val="single" w:color="auto"/>
        </w:rPr>
        <w:t xml:space="preserve">       </w:t>
      </w:r>
      <w:r>
        <w:rPr>
          <w:spacing w:val="2"/>
          <w:sz w:val="19"/>
          <w:szCs w:val="19"/>
        </w:rPr>
        <w:t>是监理实施细则的必要内容。</w:t>
      </w:r>
    </w:p>
    <w:p w14:paraId="22D8FED6">
      <w:pPr>
        <w:pStyle w:val="2"/>
        <w:spacing w:before="84" w:line="219" w:lineRule="auto"/>
        <w:ind w:left="789"/>
        <w:rPr>
          <w:sz w:val="19"/>
          <w:szCs w:val="19"/>
        </w:rPr>
      </w:pPr>
      <w:r>
        <w:rPr>
          <w:rFonts w:ascii="Times New Roman" w:hAnsi="Times New Roman" w:eastAsia="Times New Roman" w:cs="Times New Roman"/>
          <w:spacing w:val="7"/>
          <w:sz w:val="19"/>
          <w:szCs w:val="19"/>
        </w:rPr>
        <w:t xml:space="preserve">A. </w:t>
      </w:r>
      <w:r>
        <w:rPr>
          <w:spacing w:val="7"/>
          <w:sz w:val="19"/>
          <w:szCs w:val="19"/>
        </w:rPr>
        <w:t xml:space="preserve">监理机构的组织形式                  </w:t>
      </w:r>
      <w:r>
        <w:rPr>
          <w:rFonts w:ascii="Times New Roman" w:hAnsi="Times New Roman" w:eastAsia="Times New Roman" w:cs="Times New Roman"/>
          <w:spacing w:val="7"/>
          <w:sz w:val="19"/>
          <w:szCs w:val="19"/>
        </w:rPr>
        <w:t xml:space="preserve">B. </w:t>
      </w:r>
      <w:r>
        <w:rPr>
          <w:spacing w:val="7"/>
          <w:sz w:val="19"/>
          <w:szCs w:val="19"/>
        </w:rPr>
        <w:t>工程专业的特点</w:t>
      </w:r>
    </w:p>
    <w:p w14:paraId="15DA7CB2">
      <w:pPr>
        <w:pStyle w:val="2"/>
        <w:spacing w:before="94" w:line="221" w:lineRule="auto"/>
        <w:ind w:left="789"/>
        <w:rPr>
          <w:sz w:val="19"/>
          <w:szCs w:val="19"/>
        </w:rPr>
      </w:pPr>
      <w:r>
        <w:rPr>
          <w:rFonts w:ascii="Times New Roman" w:hAnsi="Times New Roman" w:eastAsia="Times New Roman" w:cs="Times New Roman"/>
          <w:spacing w:val="7"/>
          <w:sz w:val="19"/>
          <w:szCs w:val="19"/>
        </w:rPr>
        <w:t>C.</w:t>
      </w:r>
      <w:r>
        <w:rPr>
          <w:rFonts w:ascii="Times New Roman" w:hAnsi="Times New Roman" w:eastAsia="Times New Roman" w:cs="Times New Roman"/>
          <w:spacing w:val="-7"/>
          <w:sz w:val="19"/>
          <w:szCs w:val="19"/>
        </w:rPr>
        <w:t xml:space="preserve"> </w:t>
      </w:r>
      <w:r>
        <w:rPr>
          <w:spacing w:val="7"/>
          <w:sz w:val="19"/>
          <w:szCs w:val="19"/>
        </w:rPr>
        <w:t>工程质量</w:t>
      </w:r>
      <w:r>
        <w:rPr>
          <w:rFonts w:ascii="黑体" w:hAnsi="黑体" w:eastAsia="黑体" w:cs="黑体"/>
          <w:spacing w:val="7"/>
          <w:sz w:val="19"/>
          <w:szCs w:val="19"/>
        </w:rPr>
        <w:t>等级</w:t>
      </w:r>
      <w:r>
        <w:rPr>
          <w:rFonts w:ascii="黑体" w:hAnsi="黑体" w:eastAsia="黑体" w:cs="黑体"/>
          <w:spacing w:val="3"/>
          <w:sz w:val="19"/>
          <w:szCs w:val="19"/>
        </w:rPr>
        <w:t xml:space="preserve">                         </w:t>
      </w:r>
      <w:r>
        <w:rPr>
          <w:rFonts w:ascii="Times New Roman" w:hAnsi="Times New Roman" w:eastAsia="Times New Roman" w:cs="Times New Roman"/>
          <w:spacing w:val="7"/>
          <w:sz w:val="19"/>
          <w:szCs w:val="19"/>
        </w:rPr>
        <w:t xml:space="preserve">D. </w:t>
      </w:r>
      <w:r>
        <w:rPr>
          <w:spacing w:val="7"/>
          <w:sz w:val="19"/>
          <w:szCs w:val="19"/>
        </w:rPr>
        <w:t>项目预计总投资额</w:t>
      </w:r>
    </w:p>
    <w:p w14:paraId="5E4093DD">
      <w:pPr>
        <w:pStyle w:val="2"/>
        <w:spacing w:before="94" w:line="219" w:lineRule="auto"/>
        <w:ind w:left="380"/>
        <w:rPr>
          <w:rFonts w:ascii="Times New Roman" w:hAnsi="Times New Roman" w:eastAsia="Times New Roman" w:cs="Times New Roman"/>
          <w:sz w:val="19"/>
          <w:szCs w:val="19"/>
        </w:rPr>
      </w:pPr>
      <w:r>
        <w:rPr>
          <w:spacing w:val="-6"/>
          <w:sz w:val="19"/>
          <w:szCs w:val="19"/>
        </w:rPr>
        <w:t>参考答案：</w:t>
      </w:r>
      <w:r>
        <w:rPr>
          <w:rFonts w:ascii="Times New Roman" w:hAnsi="Times New Roman" w:eastAsia="Times New Roman" w:cs="Times New Roman"/>
          <w:spacing w:val="-6"/>
          <w:sz w:val="19"/>
          <w:szCs w:val="19"/>
        </w:rPr>
        <w:t>B</w:t>
      </w:r>
    </w:p>
    <w:p w14:paraId="5255E568">
      <w:pPr>
        <w:pStyle w:val="2"/>
        <w:spacing w:before="94" w:line="296" w:lineRule="auto"/>
        <w:ind w:left="889" w:right="3030" w:hanging="509"/>
        <w:rPr>
          <w:sz w:val="19"/>
          <w:szCs w:val="19"/>
        </w:rPr>
      </w:pPr>
      <w:r>
        <w:rPr>
          <w:spacing w:val="11"/>
          <w:sz w:val="19"/>
          <w:szCs w:val="19"/>
        </w:rPr>
        <w:t>(10)经总监理工程师授权，总监理工程师代表可以</w:t>
      </w:r>
      <w:r>
        <w:rPr>
          <w:spacing w:val="-71"/>
          <w:sz w:val="19"/>
          <w:szCs w:val="19"/>
        </w:rPr>
        <w:t xml:space="preserve"> </w:t>
      </w:r>
      <w:r>
        <w:rPr>
          <w:spacing w:val="6"/>
          <w:sz w:val="19"/>
          <w:szCs w:val="19"/>
          <w:u w:val="single" w:color="auto"/>
        </w:rPr>
        <w:t xml:space="preserve">      </w:t>
      </w:r>
      <w:r>
        <w:rPr>
          <w:spacing w:val="-81"/>
          <w:sz w:val="19"/>
          <w:szCs w:val="19"/>
        </w:rPr>
        <w:t xml:space="preserve"> </w:t>
      </w:r>
      <w:r>
        <w:rPr>
          <w:rFonts w:ascii="Arial" w:hAnsi="Arial" w:eastAsia="Arial" w:cs="Arial"/>
          <w:spacing w:val="11"/>
          <w:sz w:val="9"/>
          <w:szCs w:val="9"/>
        </w:rPr>
        <w:t>_o</w:t>
      </w:r>
      <w:r>
        <w:rPr>
          <w:rFonts w:ascii="Arial" w:hAnsi="Arial" w:eastAsia="Arial" w:cs="Arial"/>
          <w:sz w:val="9"/>
          <w:szCs w:val="9"/>
        </w:rPr>
        <w:t xml:space="preserve"> </w:t>
      </w:r>
      <w:r>
        <w:rPr>
          <w:rFonts w:ascii="Times New Roman" w:hAnsi="Times New Roman" w:eastAsia="Times New Roman" w:cs="Times New Roman"/>
          <w:spacing w:val="9"/>
          <w:sz w:val="19"/>
          <w:szCs w:val="19"/>
        </w:rPr>
        <w:t xml:space="preserve">A. </w:t>
      </w:r>
      <w:r>
        <w:rPr>
          <w:spacing w:val="9"/>
          <w:sz w:val="19"/>
          <w:szCs w:val="19"/>
        </w:rPr>
        <w:t>组织编制并签发监理月报、监理工作阶段报告</w:t>
      </w:r>
    </w:p>
    <w:p w14:paraId="352276ED">
      <w:pPr>
        <w:pStyle w:val="2"/>
        <w:spacing w:before="21" w:line="219" w:lineRule="auto"/>
        <w:ind w:left="889"/>
        <w:rPr>
          <w:sz w:val="19"/>
          <w:szCs w:val="19"/>
        </w:rPr>
      </w:pPr>
      <w:r>
        <w:rPr>
          <w:rFonts w:ascii="Times New Roman" w:hAnsi="Times New Roman" w:eastAsia="Times New Roman" w:cs="Times New Roman"/>
          <w:spacing w:val="8"/>
          <w:sz w:val="19"/>
          <w:szCs w:val="19"/>
        </w:rPr>
        <w:t xml:space="preserve">B. </w:t>
      </w:r>
      <w:r>
        <w:rPr>
          <w:spacing w:val="8"/>
          <w:sz w:val="19"/>
          <w:szCs w:val="19"/>
        </w:rPr>
        <w:t>主持编制监理规划，审批监理实施细则</w:t>
      </w:r>
    </w:p>
    <w:p w14:paraId="1EF637B3">
      <w:pPr>
        <w:pStyle w:val="2"/>
        <w:spacing w:before="84" w:line="298" w:lineRule="auto"/>
        <w:ind w:left="889" w:right="3909"/>
        <w:rPr>
          <w:sz w:val="19"/>
          <w:szCs w:val="19"/>
        </w:rPr>
      </w:pPr>
      <w:r>
        <w:rPr>
          <w:rFonts w:ascii="Times New Roman" w:hAnsi="Times New Roman" w:eastAsia="Times New Roman" w:cs="Times New Roman"/>
          <w:spacing w:val="8"/>
          <w:sz w:val="19"/>
          <w:szCs w:val="19"/>
        </w:rPr>
        <w:t>C.</w:t>
      </w:r>
      <w:r>
        <w:rPr>
          <w:rFonts w:ascii="Times New Roman" w:hAnsi="Times New Roman" w:eastAsia="Times New Roman" w:cs="Times New Roman"/>
          <w:spacing w:val="19"/>
          <w:w w:val="101"/>
          <w:sz w:val="19"/>
          <w:szCs w:val="19"/>
        </w:rPr>
        <w:t xml:space="preserve"> </w:t>
      </w:r>
      <w:r>
        <w:rPr>
          <w:spacing w:val="8"/>
          <w:sz w:val="19"/>
          <w:szCs w:val="19"/>
        </w:rPr>
        <w:t>审核签认承建单位的付款申请、付款证书</w:t>
      </w:r>
      <w:r>
        <w:rPr>
          <w:sz w:val="19"/>
          <w:szCs w:val="19"/>
        </w:rPr>
        <w:t xml:space="preserve"> </w:t>
      </w:r>
      <w:r>
        <w:rPr>
          <w:rFonts w:ascii="Times New Roman" w:hAnsi="Times New Roman" w:eastAsia="Times New Roman" w:cs="Times New Roman"/>
          <w:spacing w:val="8"/>
          <w:sz w:val="19"/>
          <w:szCs w:val="19"/>
        </w:rPr>
        <w:t xml:space="preserve">D. </w:t>
      </w:r>
      <w:r>
        <w:rPr>
          <w:spacing w:val="8"/>
          <w:sz w:val="19"/>
          <w:szCs w:val="19"/>
        </w:rPr>
        <w:t>调解业主单位和承建单位的合同争议</w:t>
      </w:r>
    </w:p>
    <w:p w14:paraId="43E45512">
      <w:pPr>
        <w:pStyle w:val="2"/>
        <w:spacing w:before="28" w:line="219" w:lineRule="auto"/>
        <w:ind w:left="380"/>
        <w:rPr>
          <w:rFonts w:ascii="Times New Roman" w:hAnsi="Times New Roman" w:eastAsia="Times New Roman" w:cs="Times New Roman"/>
          <w:sz w:val="19"/>
          <w:szCs w:val="19"/>
        </w:rPr>
      </w:pPr>
      <w:r>
        <w:rPr>
          <w:spacing w:val="-6"/>
          <w:sz w:val="19"/>
          <w:szCs w:val="19"/>
        </w:rPr>
        <w:t>参考答案：</w:t>
      </w:r>
      <w:r>
        <w:rPr>
          <w:rFonts w:ascii="Times New Roman" w:hAnsi="Times New Roman" w:eastAsia="Times New Roman" w:cs="Times New Roman"/>
          <w:spacing w:val="-6"/>
          <w:sz w:val="19"/>
          <w:szCs w:val="19"/>
        </w:rPr>
        <w:t>A</w:t>
      </w:r>
    </w:p>
    <w:p w14:paraId="41BDEB28">
      <w:pPr>
        <w:pStyle w:val="2"/>
        <w:spacing w:before="92" w:line="222" w:lineRule="auto"/>
        <w:ind w:left="382"/>
        <w:rPr>
          <w:rFonts w:ascii="黑体" w:hAnsi="黑体" w:eastAsia="黑体" w:cs="黑体"/>
          <w:sz w:val="19"/>
          <w:szCs w:val="19"/>
        </w:rPr>
      </w:pPr>
      <w:r>
        <w:rPr>
          <w:b/>
          <w:bCs/>
          <w:color w:val="006FDF"/>
          <w:spacing w:val="8"/>
          <w:sz w:val="19"/>
          <w:szCs w:val="19"/>
        </w:rPr>
        <w:t>2.</w:t>
      </w:r>
      <w:r>
        <w:rPr>
          <w:rFonts w:ascii="黑体" w:hAnsi="黑体" w:eastAsia="黑体" w:cs="黑体"/>
          <w:b/>
          <w:bCs/>
          <w:color w:val="006FDF"/>
          <w:spacing w:val="8"/>
          <w:sz w:val="19"/>
          <w:szCs w:val="19"/>
        </w:rPr>
        <w:t>案例题</w:t>
      </w:r>
    </w:p>
    <w:p w14:paraId="65E3CB45">
      <w:pPr>
        <w:pStyle w:val="2"/>
        <w:spacing w:before="84" w:line="219" w:lineRule="auto"/>
        <w:ind w:left="380"/>
        <w:rPr>
          <w:sz w:val="19"/>
          <w:szCs w:val="19"/>
        </w:rPr>
      </w:pPr>
      <w:r>
        <w:rPr>
          <w:spacing w:val="14"/>
          <w:sz w:val="19"/>
          <w:szCs w:val="19"/>
        </w:rPr>
        <w:t>阅读下列说明，回答问题1至问题3。</w:t>
      </w:r>
    </w:p>
    <w:p w14:paraId="25C5136C">
      <w:pPr>
        <w:pStyle w:val="2"/>
        <w:spacing w:before="91" w:line="297" w:lineRule="auto"/>
        <w:ind w:right="294" w:firstLine="285"/>
        <w:rPr>
          <w:sz w:val="19"/>
          <w:szCs w:val="19"/>
        </w:rPr>
      </w:pPr>
      <w:r>
        <w:rPr>
          <w:rFonts w:ascii="黑体" w:hAnsi="黑体" w:eastAsia="黑体" w:cs="黑体"/>
          <w:spacing w:val="11"/>
          <w:sz w:val="19"/>
          <w:szCs w:val="19"/>
        </w:rPr>
        <w:t>【说明</w:t>
      </w:r>
      <w:r>
        <w:rPr>
          <w:spacing w:val="11"/>
          <w:sz w:val="19"/>
          <w:szCs w:val="19"/>
        </w:rPr>
        <w:t>】业主单位甲通过公开招标方式选定承建单位乙承担业务信息系</w:t>
      </w:r>
      <w:r>
        <w:rPr>
          <w:spacing w:val="10"/>
          <w:sz w:val="19"/>
          <w:szCs w:val="19"/>
        </w:rPr>
        <w:t>统建设任务，选定监</w:t>
      </w:r>
      <w:r>
        <w:rPr>
          <w:sz w:val="19"/>
          <w:szCs w:val="19"/>
        </w:rPr>
        <w:t xml:space="preserve"> </w:t>
      </w:r>
      <w:r>
        <w:rPr>
          <w:spacing w:val="13"/>
          <w:sz w:val="19"/>
          <w:szCs w:val="19"/>
        </w:rPr>
        <w:t>理单位丙对项目实施全过程监理。该系统的建设内容主要包括服务窗口受理</w:t>
      </w:r>
      <w:r>
        <w:rPr>
          <w:spacing w:val="12"/>
          <w:sz w:val="19"/>
          <w:szCs w:val="19"/>
        </w:rPr>
        <w:t>子系统、档案管理</w:t>
      </w:r>
      <w:r>
        <w:rPr>
          <w:sz w:val="19"/>
          <w:szCs w:val="19"/>
        </w:rPr>
        <w:t xml:space="preserve"> </w:t>
      </w:r>
      <w:r>
        <w:rPr>
          <w:spacing w:val="12"/>
          <w:sz w:val="19"/>
          <w:szCs w:val="19"/>
        </w:rPr>
        <w:t>子系统、网上申报子系统、统计分析子系统、数据中心、门户网站等应用开发和服务器、存储</w:t>
      </w:r>
      <w:r>
        <w:rPr>
          <w:spacing w:val="14"/>
          <w:sz w:val="19"/>
          <w:szCs w:val="19"/>
        </w:rPr>
        <w:t xml:space="preserve"> </w:t>
      </w:r>
      <w:r>
        <w:rPr>
          <w:spacing w:val="13"/>
          <w:sz w:val="19"/>
          <w:szCs w:val="19"/>
        </w:rPr>
        <w:t>系统及系统软件的采购。建设合同约定，乙单位可以将档案管理子系统和网上申</w:t>
      </w:r>
      <w:r>
        <w:rPr>
          <w:spacing w:val="12"/>
          <w:sz w:val="19"/>
          <w:szCs w:val="19"/>
        </w:rPr>
        <w:t>报子系统建设</w:t>
      </w:r>
      <w:r>
        <w:rPr>
          <w:sz w:val="19"/>
          <w:szCs w:val="19"/>
        </w:rPr>
        <w:t xml:space="preserve"> </w:t>
      </w:r>
      <w:r>
        <w:rPr>
          <w:spacing w:val="13"/>
          <w:sz w:val="19"/>
          <w:szCs w:val="19"/>
        </w:rPr>
        <w:t>任务分包给分包单位丁，甲单位自行采购所需的设备和系统软件。在项目执行过程中发生了以</w:t>
      </w:r>
      <w:r>
        <w:rPr>
          <w:spacing w:val="3"/>
          <w:sz w:val="19"/>
          <w:szCs w:val="19"/>
        </w:rPr>
        <w:t xml:space="preserve"> </w:t>
      </w:r>
      <w:r>
        <w:rPr>
          <w:spacing w:val="2"/>
          <w:sz w:val="19"/>
          <w:szCs w:val="19"/>
        </w:rPr>
        <w:t>下几个事件：</w:t>
      </w:r>
    </w:p>
    <w:p w14:paraId="5DB343BB">
      <w:pPr>
        <w:pStyle w:val="2"/>
        <w:spacing w:before="27" w:line="222" w:lineRule="auto"/>
        <w:ind w:left="287"/>
        <w:rPr>
          <w:sz w:val="19"/>
          <w:szCs w:val="19"/>
        </w:rPr>
      </w:pPr>
      <w:r>
        <w:rPr>
          <w:rFonts w:ascii="黑体" w:hAnsi="黑体" w:eastAsia="黑体" w:cs="黑体"/>
          <w:b/>
          <w:bCs/>
          <w:spacing w:val="10"/>
          <w:sz w:val="19"/>
          <w:szCs w:val="19"/>
        </w:rPr>
        <w:t>【事件1】</w:t>
      </w:r>
      <w:r>
        <w:rPr>
          <w:spacing w:val="10"/>
          <w:sz w:val="19"/>
          <w:szCs w:val="19"/>
        </w:rPr>
        <w:t>监理合同签订后，总监理工程师明确了项目监理规划编制的要求，包括：</w:t>
      </w:r>
    </w:p>
    <w:p w14:paraId="2F8091A9">
      <w:pPr>
        <w:pStyle w:val="2"/>
        <w:spacing w:before="84" w:line="219" w:lineRule="auto"/>
        <w:ind w:left="380"/>
        <w:rPr>
          <w:sz w:val="19"/>
          <w:szCs w:val="19"/>
        </w:rPr>
      </w:pPr>
      <w:r>
        <w:rPr>
          <w:spacing w:val="11"/>
          <w:sz w:val="19"/>
          <w:szCs w:val="19"/>
        </w:rPr>
        <w:t>(1)为了使监理规划具有针对性，计划编制两份监理规划；</w:t>
      </w:r>
    </w:p>
    <w:p w14:paraId="577346A1">
      <w:pPr>
        <w:pStyle w:val="2"/>
        <w:spacing w:before="85" w:line="219" w:lineRule="auto"/>
        <w:ind w:left="380"/>
        <w:rPr>
          <w:sz w:val="19"/>
          <w:szCs w:val="19"/>
        </w:rPr>
      </w:pPr>
      <w:r>
        <w:rPr>
          <w:spacing w:val="11"/>
          <w:sz w:val="19"/>
          <w:szCs w:val="19"/>
        </w:rPr>
        <w:t>(2)监理规划要掌握项目运行规律；</w:t>
      </w:r>
    </w:p>
    <w:p w14:paraId="2BBDCC07">
      <w:pPr>
        <w:pStyle w:val="2"/>
        <w:spacing w:before="94" w:line="219" w:lineRule="auto"/>
        <w:ind w:left="380"/>
        <w:rPr>
          <w:sz w:val="19"/>
          <w:szCs w:val="19"/>
        </w:rPr>
      </w:pPr>
      <w:r>
        <w:rPr>
          <w:spacing w:val="10"/>
          <w:sz w:val="19"/>
          <w:szCs w:val="19"/>
        </w:rPr>
        <w:t>(3)监理规划的表达应标准化、格式化、规范化；</w:t>
      </w:r>
    </w:p>
    <w:p w14:paraId="14EDD347">
      <w:pPr>
        <w:pStyle w:val="2"/>
        <w:spacing w:before="65" w:line="265" w:lineRule="auto"/>
        <w:ind w:right="320" w:firstLine="380"/>
        <w:rPr>
          <w:sz w:val="19"/>
          <w:szCs w:val="19"/>
        </w:rPr>
      </w:pPr>
      <w:r>
        <w:rPr>
          <w:spacing w:val="15"/>
          <w:sz w:val="19"/>
          <w:szCs w:val="19"/>
        </w:rPr>
        <w:t>(4)监理规划应根据项目实际情况进行编写，编写完成后由总监理工程师认可，便不再允</w:t>
      </w:r>
      <w:r>
        <w:rPr>
          <w:spacing w:val="5"/>
          <w:sz w:val="19"/>
          <w:szCs w:val="19"/>
        </w:rPr>
        <w:t xml:space="preserve"> </w:t>
      </w:r>
      <w:r>
        <w:rPr>
          <w:spacing w:val="6"/>
          <w:sz w:val="19"/>
          <w:szCs w:val="19"/>
        </w:rPr>
        <w:t>许修改。</w:t>
      </w:r>
    </w:p>
    <w:p w14:paraId="5B6E95FE">
      <w:pPr>
        <w:pStyle w:val="2"/>
        <w:spacing w:before="82" w:line="222" w:lineRule="auto"/>
        <w:ind w:left="287"/>
        <w:rPr>
          <w:sz w:val="19"/>
          <w:szCs w:val="19"/>
        </w:rPr>
      </w:pPr>
      <w:r>
        <w:rPr>
          <w:rFonts w:ascii="黑体" w:hAnsi="黑体" w:eastAsia="黑体" w:cs="黑体"/>
          <w:b/>
          <w:bCs/>
          <w:spacing w:val="10"/>
          <w:sz w:val="19"/>
          <w:szCs w:val="19"/>
        </w:rPr>
        <w:t>【事件2】</w:t>
      </w:r>
      <w:r>
        <w:rPr>
          <w:spacing w:val="10"/>
          <w:sz w:val="19"/>
          <w:szCs w:val="19"/>
        </w:rPr>
        <w:t>在起草的项目监理规划中规定了项目监理机构的人员岗位职责：</w:t>
      </w:r>
    </w:p>
    <w:p w14:paraId="2D4477A1">
      <w:pPr>
        <w:pStyle w:val="2"/>
        <w:spacing w:before="84" w:line="219" w:lineRule="auto"/>
        <w:ind w:left="380"/>
        <w:rPr>
          <w:sz w:val="19"/>
          <w:szCs w:val="19"/>
        </w:rPr>
      </w:pPr>
      <w:r>
        <w:rPr>
          <w:spacing w:val="11"/>
          <w:sz w:val="19"/>
          <w:szCs w:val="19"/>
        </w:rPr>
        <w:t>(1)总监理工程师代表的职责：</w:t>
      </w:r>
    </w:p>
    <w:p w14:paraId="5CC9F2BA">
      <w:pPr>
        <w:pStyle w:val="2"/>
        <w:spacing w:before="82" w:line="217" w:lineRule="auto"/>
        <w:ind w:left="380"/>
        <w:rPr>
          <w:sz w:val="19"/>
          <w:szCs w:val="19"/>
        </w:rPr>
      </w:pPr>
      <w:r>
        <w:rPr>
          <w:spacing w:val="5"/>
          <w:sz w:val="19"/>
          <w:szCs w:val="19"/>
        </w:rPr>
        <w:t>①审查批准监理实施细则；</w:t>
      </w:r>
    </w:p>
    <w:p w14:paraId="365325C0">
      <w:pPr>
        <w:pStyle w:val="2"/>
        <w:spacing w:before="77" w:line="217" w:lineRule="auto"/>
        <w:ind w:left="380"/>
        <w:rPr>
          <w:sz w:val="19"/>
          <w:szCs w:val="19"/>
        </w:rPr>
      </w:pPr>
      <w:r>
        <w:rPr>
          <w:spacing w:val="6"/>
          <w:sz w:val="19"/>
          <w:szCs w:val="19"/>
        </w:rPr>
        <w:t>②处理索赔事件，协调各方关系；</w:t>
      </w:r>
    </w:p>
    <w:p w14:paraId="4F9FF6BF">
      <w:pPr>
        <w:pStyle w:val="2"/>
        <w:spacing w:before="86" w:line="217" w:lineRule="auto"/>
        <w:ind w:left="380"/>
        <w:rPr>
          <w:sz w:val="19"/>
          <w:szCs w:val="19"/>
        </w:rPr>
      </w:pPr>
      <w:r>
        <w:rPr>
          <w:spacing w:val="7"/>
          <w:sz w:val="19"/>
          <w:szCs w:val="19"/>
        </w:rPr>
        <w:t>③调换不称职的监理人员。</w:t>
      </w:r>
    </w:p>
    <w:p w14:paraId="15D47BAF">
      <w:pPr>
        <w:pStyle w:val="2"/>
        <w:spacing w:before="79" w:line="219" w:lineRule="auto"/>
        <w:ind w:left="380"/>
        <w:rPr>
          <w:sz w:val="19"/>
          <w:szCs w:val="19"/>
        </w:rPr>
      </w:pPr>
      <w:r>
        <w:rPr>
          <w:spacing w:val="11"/>
          <w:sz w:val="19"/>
          <w:szCs w:val="19"/>
        </w:rPr>
        <w:t>(2)专业监理工程师的职责：</w:t>
      </w:r>
    </w:p>
    <w:p w14:paraId="72865F34">
      <w:pPr>
        <w:pStyle w:val="2"/>
        <w:spacing w:before="103" w:line="217" w:lineRule="auto"/>
        <w:ind w:left="380"/>
        <w:rPr>
          <w:sz w:val="19"/>
          <w:szCs w:val="19"/>
        </w:rPr>
      </w:pPr>
      <w:r>
        <w:rPr>
          <w:spacing w:val="4"/>
          <w:sz w:val="19"/>
          <w:szCs w:val="19"/>
        </w:rPr>
        <w:t>①签发工程款支付证书；</w:t>
      </w:r>
    </w:p>
    <w:p w14:paraId="1DFB4288">
      <w:pPr>
        <w:pStyle w:val="2"/>
        <w:spacing w:before="86" w:line="217" w:lineRule="auto"/>
        <w:ind w:left="380"/>
        <w:rPr>
          <w:sz w:val="19"/>
          <w:szCs w:val="19"/>
        </w:rPr>
      </w:pPr>
      <w:r>
        <w:rPr>
          <w:spacing w:val="7"/>
          <w:sz w:val="19"/>
          <w:szCs w:val="19"/>
        </w:rPr>
        <w:t>②主持审查和处理工程变更。</w:t>
      </w:r>
    </w:p>
    <w:p w14:paraId="38B072A4">
      <w:pPr>
        <w:spacing w:line="217" w:lineRule="auto"/>
        <w:rPr>
          <w:sz w:val="19"/>
          <w:szCs w:val="19"/>
        </w:rPr>
        <w:sectPr>
          <w:pgSz w:w="10290" w:h="13330"/>
          <w:pgMar w:top="350" w:right="578" w:bottom="400" w:left="1090" w:header="0" w:footer="0" w:gutter="0"/>
          <w:cols w:space="720" w:num="1"/>
        </w:sectPr>
      </w:pPr>
    </w:p>
    <w:p w14:paraId="51795462">
      <w:pPr>
        <w:pStyle w:val="2"/>
        <w:spacing w:before="68" w:line="219" w:lineRule="auto"/>
        <w:rPr>
          <w:sz w:val="19"/>
          <w:szCs w:val="19"/>
        </w:rPr>
      </w:pPr>
      <w:r>
        <w:rPr>
          <w:rFonts w:ascii="Times New Roman" w:hAnsi="Times New Roman" w:eastAsia="Times New Roman" w:cs="Times New Roman"/>
          <w:b/>
          <w:bCs/>
          <w:spacing w:val="3"/>
          <w:sz w:val="19"/>
          <w:szCs w:val="19"/>
        </w:rPr>
        <w:t xml:space="preserve">436              </w:t>
      </w:r>
      <w:r>
        <w:rPr>
          <w:spacing w:val="3"/>
          <w:sz w:val="19"/>
          <w:szCs w:val="19"/>
        </w:rPr>
        <w:t>信息系统监理师教程(第2版)</w:t>
      </w:r>
    </w:p>
    <w:p w14:paraId="3B468F19">
      <w:pPr>
        <w:spacing w:line="299" w:lineRule="auto"/>
        <w:rPr>
          <w:rFonts w:ascii="Arial"/>
          <w:sz w:val="21"/>
        </w:rPr>
      </w:pPr>
    </w:p>
    <w:p w14:paraId="18641A5D">
      <w:pPr>
        <w:pStyle w:val="2"/>
        <w:spacing w:before="62" w:line="306" w:lineRule="auto"/>
        <w:ind w:left="265" w:right="29" w:firstLine="402"/>
        <w:jc w:val="both"/>
        <w:rPr>
          <w:sz w:val="19"/>
          <w:szCs w:val="19"/>
        </w:rPr>
      </w:pPr>
      <w:r>
        <w:rPr>
          <w:rFonts w:ascii="黑体" w:hAnsi="黑体" w:eastAsia="黑体" w:cs="黑体"/>
          <w:b/>
          <w:bCs/>
          <w:spacing w:val="13"/>
          <w:sz w:val="19"/>
          <w:szCs w:val="19"/>
        </w:rPr>
        <w:t>【事件3】</w:t>
      </w:r>
      <w:r>
        <w:rPr>
          <w:spacing w:val="13"/>
          <w:sz w:val="19"/>
          <w:szCs w:val="19"/>
        </w:rPr>
        <w:t>档案管理子系统开发结束，根据实施合同的约定及测试标准进行验收。监理工程</w:t>
      </w:r>
      <w:r>
        <w:rPr>
          <w:spacing w:val="3"/>
          <w:sz w:val="19"/>
          <w:szCs w:val="19"/>
        </w:rPr>
        <w:t xml:space="preserve"> </w:t>
      </w:r>
      <w:r>
        <w:rPr>
          <w:spacing w:val="12"/>
          <w:sz w:val="19"/>
          <w:szCs w:val="19"/>
        </w:rPr>
        <w:t>师对档案管理子系统涉及的档案数据质量产生质疑，要求采取</w:t>
      </w:r>
      <w:r>
        <w:rPr>
          <w:spacing w:val="11"/>
          <w:sz w:val="19"/>
          <w:szCs w:val="19"/>
        </w:rPr>
        <w:t>抽测的方式进行验证。丁单位说：</w:t>
      </w:r>
      <w:r>
        <w:rPr>
          <w:sz w:val="19"/>
          <w:szCs w:val="19"/>
        </w:rPr>
        <w:t xml:space="preserve"> </w:t>
      </w:r>
      <w:r>
        <w:rPr>
          <w:spacing w:val="11"/>
          <w:sz w:val="19"/>
          <w:szCs w:val="19"/>
        </w:rPr>
        <w:t>“我们已完成自测，抽测验证应由乙单位负责。”监理工程师要求乙单位派人抽测验证，乙单位</w:t>
      </w:r>
      <w:r>
        <w:rPr>
          <w:sz w:val="19"/>
          <w:szCs w:val="19"/>
        </w:rPr>
        <w:t xml:space="preserve"> </w:t>
      </w:r>
      <w:r>
        <w:rPr>
          <w:spacing w:val="11"/>
          <w:sz w:val="19"/>
          <w:szCs w:val="19"/>
        </w:rPr>
        <w:t>说：“档案管理子系统已经全部分包给了丁单位，应该由他</w:t>
      </w:r>
      <w:r>
        <w:rPr>
          <w:spacing w:val="10"/>
          <w:sz w:val="19"/>
          <w:szCs w:val="19"/>
        </w:rPr>
        <w:t>们进行抽测验证，谁执行谁负责，出</w:t>
      </w:r>
      <w:r>
        <w:rPr>
          <w:sz w:val="19"/>
          <w:szCs w:val="19"/>
        </w:rPr>
        <w:t xml:space="preserve"> </w:t>
      </w:r>
      <w:r>
        <w:rPr>
          <w:spacing w:val="18"/>
          <w:sz w:val="19"/>
          <w:szCs w:val="19"/>
        </w:rPr>
        <w:t>现问题与我方无关。”</w:t>
      </w:r>
    </w:p>
    <w:p w14:paraId="0F5527A0">
      <w:pPr>
        <w:pStyle w:val="2"/>
        <w:spacing w:before="52" w:line="289" w:lineRule="auto"/>
        <w:ind w:left="360" w:firstLine="307"/>
        <w:rPr>
          <w:sz w:val="19"/>
          <w:szCs w:val="19"/>
        </w:rPr>
      </w:pPr>
      <w:r>
        <w:rPr>
          <w:rFonts w:ascii="黑体" w:hAnsi="黑体" w:eastAsia="黑体" w:cs="黑体"/>
          <w:b/>
          <w:bCs/>
          <w:spacing w:val="14"/>
          <w:sz w:val="19"/>
          <w:szCs w:val="19"/>
        </w:rPr>
        <w:t>【问题1】</w:t>
      </w:r>
      <w:r>
        <w:rPr>
          <w:spacing w:val="14"/>
          <w:sz w:val="19"/>
          <w:szCs w:val="19"/>
        </w:rPr>
        <w:t>针对事件1,请指出总监理工程师提出的关于监理规划编制的各项要求是否正确，</w:t>
      </w:r>
      <w:r>
        <w:rPr>
          <w:spacing w:val="6"/>
          <w:sz w:val="19"/>
          <w:szCs w:val="19"/>
        </w:rPr>
        <w:t xml:space="preserve"> 如果不正确，请说明理由。</w:t>
      </w:r>
    </w:p>
    <w:p w14:paraId="2FC9AF77">
      <w:pPr>
        <w:pStyle w:val="2"/>
        <w:spacing w:before="45" w:line="289" w:lineRule="auto"/>
        <w:ind w:left="360" w:right="48" w:firstLine="307"/>
        <w:rPr>
          <w:sz w:val="19"/>
          <w:szCs w:val="19"/>
        </w:rPr>
      </w:pPr>
      <w:r>
        <w:rPr>
          <w:rFonts w:ascii="黑体" w:hAnsi="黑体" w:eastAsia="黑体" w:cs="黑体"/>
          <w:b/>
          <w:bCs/>
          <w:spacing w:val="18"/>
          <w:sz w:val="19"/>
          <w:szCs w:val="19"/>
        </w:rPr>
        <w:t>【问题2】</w:t>
      </w:r>
      <w:r>
        <w:rPr>
          <w:spacing w:val="18"/>
          <w:sz w:val="19"/>
          <w:szCs w:val="19"/>
        </w:rPr>
        <w:t>针对事件2,请指出项目监理机构的人员岗位职责的各项内容是否正确，并分别</w:t>
      </w:r>
      <w:r>
        <w:rPr>
          <w:spacing w:val="2"/>
          <w:sz w:val="19"/>
          <w:szCs w:val="19"/>
        </w:rPr>
        <w:t xml:space="preserve"> </w:t>
      </w:r>
      <w:r>
        <w:rPr>
          <w:spacing w:val="1"/>
          <w:sz w:val="19"/>
          <w:szCs w:val="19"/>
        </w:rPr>
        <w:t>说明理由。</w:t>
      </w:r>
    </w:p>
    <w:p w14:paraId="71A9AC62">
      <w:pPr>
        <w:pStyle w:val="2"/>
        <w:spacing w:before="45" w:line="289" w:lineRule="auto"/>
        <w:ind w:left="759" w:right="2019" w:hanging="92"/>
        <w:rPr>
          <w:sz w:val="19"/>
          <w:szCs w:val="19"/>
        </w:rPr>
      </w:pPr>
      <w:r>
        <w:rPr>
          <w:rFonts w:ascii="黑体" w:hAnsi="黑体" w:eastAsia="黑体" w:cs="黑体"/>
          <w:b/>
          <w:bCs/>
          <w:spacing w:val="15"/>
          <w:sz w:val="19"/>
          <w:szCs w:val="19"/>
        </w:rPr>
        <w:t>【问题3</w:t>
      </w:r>
      <w:r>
        <w:rPr>
          <w:b/>
          <w:bCs/>
          <w:spacing w:val="15"/>
          <w:sz w:val="19"/>
          <w:szCs w:val="19"/>
        </w:rPr>
        <w:t>】</w:t>
      </w:r>
      <w:r>
        <w:rPr>
          <w:spacing w:val="15"/>
          <w:sz w:val="19"/>
          <w:szCs w:val="19"/>
        </w:rPr>
        <w:t>针对事件3,请指出乙单位的说法是否正确，并说</w:t>
      </w:r>
      <w:r>
        <w:rPr>
          <w:spacing w:val="14"/>
          <w:sz w:val="19"/>
          <w:szCs w:val="19"/>
        </w:rPr>
        <w:t>明理由。</w:t>
      </w:r>
      <w:r>
        <w:rPr>
          <w:sz w:val="19"/>
          <w:szCs w:val="19"/>
        </w:rPr>
        <w:t xml:space="preserve"> </w:t>
      </w:r>
      <w:r>
        <w:rPr>
          <w:spacing w:val="-1"/>
          <w:sz w:val="19"/>
          <w:szCs w:val="19"/>
        </w:rPr>
        <w:t>参考答案：</w:t>
      </w:r>
    </w:p>
    <w:p w14:paraId="62AD03C6">
      <w:pPr>
        <w:pStyle w:val="2"/>
        <w:spacing w:before="29" w:line="221" w:lineRule="auto"/>
        <w:ind w:left="667"/>
        <w:rPr>
          <w:sz w:val="19"/>
          <w:szCs w:val="19"/>
        </w:rPr>
      </w:pPr>
      <w:r>
        <w:rPr>
          <w:b/>
          <w:bCs/>
          <w:spacing w:val="23"/>
          <w:sz w:val="19"/>
          <w:szCs w:val="19"/>
        </w:rPr>
        <w:t>【问题1】</w:t>
      </w:r>
    </w:p>
    <w:p w14:paraId="4A28FCCB">
      <w:pPr>
        <w:pStyle w:val="2"/>
        <w:spacing w:before="92" w:line="219" w:lineRule="auto"/>
        <w:ind w:left="760"/>
        <w:rPr>
          <w:sz w:val="19"/>
          <w:szCs w:val="19"/>
        </w:rPr>
      </w:pPr>
      <w:r>
        <w:rPr>
          <w:spacing w:val="5"/>
          <w:sz w:val="19"/>
          <w:szCs w:val="19"/>
        </w:rPr>
        <w:t>总监理工程师提出的监理规划编制要求中：</w:t>
      </w:r>
    </w:p>
    <w:p w14:paraId="436C3A33">
      <w:pPr>
        <w:pStyle w:val="2"/>
        <w:spacing w:before="84" w:line="219" w:lineRule="auto"/>
        <w:ind w:left="760"/>
        <w:rPr>
          <w:sz w:val="19"/>
          <w:szCs w:val="19"/>
        </w:rPr>
      </w:pPr>
      <w:r>
        <w:rPr>
          <w:spacing w:val="8"/>
          <w:sz w:val="19"/>
          <w:szCs w:val="19"/>
        </w:rPr>
        <w:t>(1)不正确，</w:t>
      </w:r>
      <w:r>
        <w:rPr>
          <w:spacing w:val="-26"/>
          <w:sz w:val="19"/>
          <w:szCs w:val="19"/>
        </w:rPr>
        <w:t xml:space="preserve"> </w:t>
      </w:r>
      <w:r>
        <w:rPr>
          <w:spacing w:val="8"/>
          <w:sz w:val="19"/>
          <w:szCs w:val="19"/>
        </w:rPr>
        <w:t>一份监理合同对应的项目，只应编制一份监理规划；</w:t>
      </w:r>
    </w:p>
    <w:p w14:paraId="359DDA50">
      <w:pPr>
        <w:pStyle w:val="2"/>
        <w:spacing w:before="85" w:line="220" w:lineRule="auto"/>
        <w:ind w:left="760"/>
        <w:rPr>
          <w:sz w:val="19"/>
          <w:szCs w:val="19"/>
        </w:rPr>
      </w:pPr>
      <w:r>
        <w:rPr>
          <w:spacing w:val="15"/>
          <w:sz w:val="19"/>
          <w:szCs w:val="19"/>
        </w:rPr>
        <w:t>(2)正确；</w:t>
      </w:r>
    </w:p>
    <w:p w14:paraId="63F0FFE1">
      <w:pPr>
        <w:pStyle w:val="2"/>
        <w:spacing w:before="94" w:line="220" w:lineRule="auto"/>
        <w:ind w:left="760"/>
        <w:rPr>
          <w:sz w:val="19"/>
          <w:szCs w:val="19"/>
        </w:rPr>
      </w:pPr>
      <w:r>
        <w:rPr>
          <w:spacing w:val="15"/>
          <w:sz w:val="19"/>
          <w:szCs w:val="19"/>
        </w:rPr>
        <w:t>(3)正确；</w:t>
      </w:r>
    </w:p>
    <w:p w14:paraId="1ED90813">
      <w:pPr>
        <w:pStyle w:val="2"/>
        <w:spacing w:before="82" w:line="266" w:lineRule="auto"/>
        <w:ind w:left="360" w:right="86" w:firstLine="399"/>
        <w:rPr>
          <w:sz w:val="19"/>
          <w:szCs w:val="19"/>
        </w:rPr>
      </w:pPr>
      <w:r>
        <w:rPr>
          <w:spacing w:val="15"/>
          <w:sz w:val="19"/>
          <w:szCs w:val="19"/>
        </w:rPr>
        <w:t>(4)不正确，监理规划可以根据项目进展情况不断地修改和完善，但应按照审批程序重新</w:t>
      </w:r>
      <w:r>
        <w:rPr>
          <w:spacing w:val="2"/>
          <w:sz w:val="19"/>
          <w:szCs w:val="19"/>
        </w:rPr>
        <w:t xml:space="preserve"> </w:t>
      </w:r>
      <w:r>
        <w:rPr>
          <w:spacing w:val="1"/>
          <w:sz w:val="19"/>
          <w:szCs w:val="19"/>
        </w:rPr>
        <w:t>进行审批。</w:t>
      </w:r>
    </w:p>
    <w:p w14:paraId="3140969F">
      <w:pPr>
        <w:pStyle w:val="2"/>
        <w:spacing w:before="83" w:line="221" w:lineRule="auto"/>
        <w:ind w:left="667"/>
        <w:rPr>
          <w:sz w:val="19"/>
          <w:szCs w:val="19"/>
        </w:rPr>
      </w:pPr>
      <w:r>
        <w:rPr>
          <w:b/>
          <w:bCs/>
          <w:spacing w:val="23"/>
          <w:sz w:val="19"/>
          <w:szCs w:val="19"/>
        </w:rPr>
        <w:t>【问题2】</w:t>
      </w:r>
    </w:p>
    <w:p w14:paraId="7A9574F1">
      <w:pPr>
        <w:pStyle w:val="2"/>
        <w:spacing w:before="93" w:line="219" w:lineRule="auto"/>
        <w:ind w:left="760"/>
        <w:rPr>
          <w:sz w:val="19"/>
          <w:szCs w:val="19"/>
        </w:rPr>
      </w:pPr>
      <w:r>
        <w:rPr>
          <w:spacing w:val="11"/>
          <w:sz w:val="19"/>
          <w:szCs w:val="19"/>
        </w:rPr>
        <w:t>(1)总监理工程师代表的职责中：</w:t>
      </w:r>
    </w:p>
    <w:p w14:paraId="0F466E94">
      <w:pPr>
        <w:pStyle w:val="2"/>
        <w:spacing w:before="72" w:line="271" w:lineRule="auto"/>
        <w:ind w:left="360" w:right="54" w:firstLine="399"/>
        <w:rPr>
          <w:sz w:val="19"/>
          <w:szCs w:val="19"/>
        </w:rPr>
      </w:pPr>
      <w:r>
        <w:rPr>
          <w:spacing w:val="8"/>
          <w:sz w:val="19"/>
          <w:szCs w:val="19"/>
        </w:rPr>
        <w:t>①</w:t>
      </w:r>
      <w:r>
        <w:rPr>
          <w:spacing w:val="-58"/>
          <w:sz w:val="19"/>
          <w:szCs w:val="19"/>
        </w:rPr>
        <w:t xml:space="preserve"> </w:t>
      </w:r>
      <w:r>
        <w:rPr>
          <w:spacing w:val="8"/>
          <w:sz w:val="19"/>
          <w:szCs w:val="19"/>
        </w:rPr>
        <w:t>不正确，“审查批准监理实施细则”是总监理工程师的工作职责，且不</w:t>
      </w:r>
      <w:r>
        <w:rPr>
          <w:spacing w:val="7"/>
          <w:sz w:val="19"/>
          <w:szCs w:val="19"/>
        </w:rPr>
        <w:t>能委托给总监理工</w:t>
      </w:r>
      <w:r>
        <w:rPr>
          <w:sz w:val="19"/>
          <w:szCs w:val="19"/>
        </w:rPr>
        <w:t xml:space="preserve"> </w:t>
      </w:r>
      <w:r>
        <w:rPr>
          <w:spacing w:val="2"/>
          <w:sz w:val="19"/>
          <w:szCs w:val="19"/>
        </w:rPr>
        <w:t>程师代表完成；</w:t>
      </w:r>
    </w:p>
    <w:p w14:paraId="3DF07715">
      <w:pPr>
        <w:pStyle w:val="2"/>
        <w:spacing w:before="93" w:line="256" w:lineRule="auto"/>
        <w:ind w:left="360" w:right="78" w:firstLine="399"/>
        <w:rPr>
          <w:sz w:val="19"/>
          <w:szCs w:val="19"/>
        </w:rPr>
      </w:pPr>
      <w:r>
        <w:rPr>
          <w:spacing w:val="8"/>
          <w:sz w:val="19"/>
          <w:szCs w:val="19"/>
        </w:rPr>
        <w:t>②不正确，“处理索赔事件，协调各方关系”是总监理工程师的工作职责，且不能委托给总</w:t>
      </w:r>
      <w:r>
        <w:rPr>
          <w:spacing w:val="5"/>
          <w:sz w:val="19"/>
          <w:szCs w:val="19"/>
        </w:rPr>
        <w:t xml:space="preserve"> </w:t>
      </w:r>
      <w:r>
        <w:rPr>
          <w:spacing w:val="3"/>
          <w:sz w:val="19"/>
          <w:szCs w:val="19"/>
        </w:rPr>
        <w:t>监理工程师代表完成；</w:t>
      </w:r>
    </w:p>
    <w:p w14:paraId="56FC8030">
      <w:pPr>
        <w:pStyle w:val="2"/>
        <w:spacing w:before="93" w:line="261" w:lineRule="auto"/>
        <w:ind w:left="360" w:right="84" w:firstLine="399"/>
        <w:rPr>
          <w:sz w:val="19"/>
          <w:szCs w:val="19"/>
        </w:rPr>
      </w:pPr>
      <w:r>
        <w:rPr>
          <w:spacing w:val="8"/>
          <w:sz w:val="19"/>
          <w:szCs w:val="19"/>
        </w:rPr>
        <w:t>③不正确，“调换不称职的监理人员”是总监理工程师的工作职责，且不能委托给总监理工</w:t>
      </w:r>
      <w:r>
        <w:rPr>
          <w:sz w:val="19"/>
          <w:szCs w:val="19"/>
        </w:rPr>
        <w:t xml:space="preserve"> </w:t>
      </w:r>
      <w:r>
        <w:rPr>
          <w:spacing w:val="6"/>
          <w:sz w:val="19"/>
          <w:szCs w:val="19"/>
        </w:rPr>
        <w:t>程师代表完成。</w:t>
      </w:r>
    </w:p>
    <w:p w14:paraId="152D23DF">
      <w:pPr>
        <w:pStyle w:val="2"/>
        <w:spacing w:before="95" w:line="219" w:lineRule="auto"/>
        <w:ind w:left="760"/>
        <w:rPr>
          <w:sz w:val="19"/>
          <w:szCs w:val="19"/>
        </w:rPr>
      </w:pPr>
      <w:r>
        <w:rPr>
          <w:spacing w:val="10"/>
          <w:sz w:val="19"/>
          <w:szCs w:val="19"/>
        </w:rPr>
        <w:t>(2)专业监理工程师的职责中：</w:t>
      </w:r>
    </w:p>
    <w:p w14:paraId="312B66CD">
      <w:pPr>
        <w:pStyle w:val="2"/>
        <w:spacing w:before="92" w:line="217" w:lineRule="auto"/>
        <w:ind w:left="760"/>
        <w:rPr>
          <w:sz w:val="19"/>
          <w:szCs w:val="19"/>
        </w:rPr>
      </w:pPr>
      <w:r>
        <w:rPr>
          <w:spacing w:val="4"/>
          <w:sz w:val="19"/>
          <w:szCs w:val="19"/>
        </w:rPr>
        <w:t>①不正确，“签发工程款支付证书”是总监理工程师的职责；</w:t>
      </w:r>
    </w:p>
    <w:p w14:paraId="3520ADFB">
      <w:pPr>
        <w:pStyle w:val="2"/>
        <w:spacing w:before="87" w:line="217" w:lineRule="auto"/>
        <w:ind w:left="760"/>
        <w:rPr>
          <w:sz w:val="19"/>
          <w:szCs w:val="19"/>
        </w:rPr>
      </w:pPr>
      <w:r>
        <w:rPr>
          <w:spacing w:val="6"/>
          <w:sz w:val="19"/>
          <w:szCs w:val="19"/>
        </w:rPr>
        <w:t>②不正确，“主持审查和处理工程变更”是总监理工程师或其授权</w:t>
      </w:r>
      <w:r>
        <w:rPr>
          <w:spacing w:val="5"/>
          <w:sz w:val="19"/>
          <w:szCs w:val="19"/>
        </w:rPr>
        <w:t>代表的职责。</w:t>
      </w:r>
    </w:p>
    <w:p w14:paraId="57403169">
      <w:pPr>
        <w:pStyle w:val="2"/>
        <w:spacing w:before="68" w:line="221" w:lineRule="auto"/>
        <w:ind w:left="667"/>
        <w:rPr>
          <w:sz w:val="19"/>
          <w:szCs w:val="19"/>
        </w:rPr>
      </w:pPr>
      <w:r>
        <w:rPr>
          <w:b/>
          <w:bCs/>
          <w:spacing w:val="23"/>
          <w:sz w:val="19"/>
          <w:szCs w:val="19"/>
        </w:rPr>
        <w:t>【问题3】</w:t>
      </w:r>
    </w:p>
    <w:p w14:paraId="638EFC50">
      <w:pPr>
        <w:pStyle w:val="2"/>
        <w:spacing w:before="93" w:line="219" w:lineRule="auto"/>
        <w:ind w:left="760"/>
        <w:rPr>
          <w:sz w:val="19"/>
          <w:szCs w:val="19"/>
        </w:rPr>
      </w:pPr>
      <w:r>
        <w:rPr>
          <w:spacing w:val="8"/>
          <w:sz w:val="19"/>
          <w:szCs w:val="19"/>
        </w:rPr>
        <w:t>不正确。因为承建单位应对分包单位的工程质量问题承担连带责任。</w:t>
      </w:r>
    </w:p>
    <w:p w14:paraId="4B2A33F1">
      <w:pPr>
        <w:spacing w:line="219" w:lineRule="auto"/>
        <w:rPr>
          <w:sz w:val="19"/>
          <w:szCs w:val="19"/>
        </w:rPr>
        <w:sectPr>
          <w:pgSz w:w="10290" w:h="13420"/>
          <w:pgMar w:top="400" w:right="1005" w:bottom="400" w:left="519" w:header="0" w:footer="0" w:gutter="0"/>
          <w:cols w:space="720" w:num="1"/>
        </w:sectPr>
      </w:pPr>
    </w:p>
    <w:p w14:paraId="426D6900">
      <w:pPr>
        <w:spacing w:line="244" w:lineRule="auto"/>
        <w:rPr>
          <w:rFonts w:ascii="Arial"/>
          <w:sz w:val="21"/>
        </w:rPr>
      </w:pPr>
    </w:p>
    <w:p w14:paraId="7611585C">
      <w:pPr>
        <w:spacing w:line="244" w:lineRule="auto"/>
        <w:rPr>
          <w:rFonts w:ascii="Arial"/>
          <w:sz w:val="21"/>
        </w:rPr>
      </w:pPr>
    </w:p>
    <w:p w14:paraId="63C2005A">
      <w:pPr>
        <w:spacing w:line="244" w:lineRule="auto"/>
        <w:rPr>
          <w:rFonts w:ascii="Arial"/>
          <w:sz w:val="21"/>
        </w:rPr>
      </w:pPr>
    </w:p>
    <w:p w14:paraId="52C9ED7E">
      <w:pPr>
        <w:spacing w:line="244" w:lineRule="auto"/>
        <w:rPr>
          <w:rFonts w:ascii="Arial"/>
          <w:sz w:val="21"/>
        </w:rPr>
      </w:pPr>
    </w:p>
    <w:p w14:paraId="26115791">
      <w:pPr>
        <w:spacing w:line="244" w:lineRule="auto"/>
        <w:rPr>
          <w:rFonts w:ascii="Arial"/>
          <w:sz w:val="21"/>
        </w:rPr>
      </w:pPr>
    </w:p>
    <w:p w14:paraId="799937BD">
      <w:pPr>
        <w:spacing w:line="244" w:lineRule="auto"/>
        <w:rPr>
          <w:rFonts w:ascii="Arial"/>
          <w:sz w:val="21"/>
        </w:rPr>
      </w:pPr>
    </w:p>
    <w:p w14:paraId="5B502031">
      <w:pPr>
        <w:spacing w:line="244" w:lineRule="auto"/>
        <w:rPr>
          <w:rFonts w:ascii="Arial"/>
          <w:sz w:val="21"/>
        </w:rPr>
      </w:pPr>
    </w:p>
    <w:p w14:paraId="56B6EC41">
      <w:pPr>
        <w:spacing w:line="244" w:lineRule="auto"/>
        <w:rPr>
          <w:rFonts w:ascii="Arial"/>
          <w:sz w:val="21"/>
        </w:rPr>
      </w:pPr>
    </w:p>
    <w:p w14:paraId="7E34F7A8">
      <w:pPr>
        <w:spacing w:line="244" w:lineRule="auto"/>
        <w:rPr>
          <w:rFonts w:ascii="Arial"/>
          <w:sz w:val="21"/>
        </w:rPr>
      </w:pPr>
    </w:p>
    <w:p w14:paraId="6C8FA4F4">
      <w:pPr>
        <w:spacing w:line="244" w:lineRule="auto"/>
        <w:rPr>
          <w:rFonts w:ascii="Arial"/>
          <w:sz w:val="21"/>
        </w:rPr>
      </w:pPr>
    </w:p>
    <w:p w14:paraId="4B1F6B34">
      <w:pPr>
        <w:spacing w:line="244" w:lineRule="auto"/>
        <w:rPr>
          <w:rFonts w:ascii="Arial"/>
          <w:sz w:val="21"/>
        </w:rPr>
      </w:pPr>
    </w:p>
    <w:p w14:paraId="2CBA6338">
      <w:pPr>
        <w:spacing w:line="244" w:lineRule="auto"/>
        <w:rPr>
          <w:rFonts w:ascii="Arial"/>
          <w:sz w:val="21"/>
        </w:rPr>
      </w:pPr>
    </w:p>
    <w:p w14:paraId="33565826">
      <w:pPr>
        <w:spacing w:line="244" w:lineRule="auto"/>
        <w:rPr>
          <w:rFonts w:ascii="Arial"/>
          <w:sz w:val="21"/>
        </w:rPr>
      </w:pPr>
    </w:p>
    <w:p w14:paraId="0B9EC30B">
      <w:pPr>
        <w:spacing w:line="244" w:lineRule="auto"/>
        <w:rPr>
          <w:rFonts w:ascii="Arial"/>
          <w:sz w:val="21"/>
        </w:rPr>
      </w:pPr>
    </w:p>
    <w:p w14:paraId="5FFBA2AD">
      <w:pPr>
        <w:spacing w:line="244" w:lineRule="auto"/>
        <w:rPr>
          <w:rFonts w:ascii="Arial"/>
          <w:sz w:val="21"/>
        </w:rPr>
      </w:pPr>
    </w:p>
    <w:p w14:paraId="64320195">
      <w:pPr>
        <w:spacing w:line="244" w:lineRule="auto"/>
        <w:rPr>
          <w:rFonts w:ascii="Arial"/>
          <w:sz w:val="21"/>
        </w:rPr>
      </w:pPr>
    </w:p>
    <w:p w14:paraId="2D07F1B5">
      <w:pPr>
        <w:spacing w:line="244" w:lineRule="auto"/>
        <w:rPr>
          <w:rFonts w:ascii="Arial"/>
          <w:sz w:val="21"/>
        </w:rPr>
      </w:pPr>
    </w:p>
    <w:p w14:paraId="27BC9BD3">
      <w:pPr>
        <w:spacing w:line="244" w:lineRule="auto"/>
        <w:rPr>
          <w:rFonts w:ascii="Arial"/>
          <w:sz w:val="21"/>
        </w:rPr>
      </w:pPr>
    </w:p>
    <w:p w14:paraId="4ED2C326">
      <w:pPr>
        <w:spacing w:line="244" w:lineRule="auto"/>
        <w:rPr>
          <w:rFonts w:ascii="Arial"/>
          <w:sz w:val="21"/>
        </w:rPr>
      </w:pPr>
    </w:p>
    <w:p w14:paraId="5EECD6AF">
      <w:pPr>
        <w:spacing w:line="244" w:lineRule="auto"/>
        <w:rPr>
          <w:rFonts w:ascii="Arial"/>
          <w:sz w:val="21"/>
        </w:rPr>
      </w:pPr>
    </w:p>
    <w:p w14:paraId="285A4614">
      <w:pPr>
        <w:spacing w:line="244" w:lineRule="auto"/>
        <w:rPr>
          <w:rFonts w:ascii="Arial"/>
          <w:sz w:val="21"/>
        </w:rPr>
      </w:pPr>
    </w:p>
    <w:p w14:paraId="158A554B">
      <w:pPr>
        <w:spacing w:line="245" w:lineRule="auto"/>
        <w:rPr>
          <w:rFonts w:ascii="Arial"/>
          <w:sz w:val="21"/>
        </w:rPr>
      </w:pPr>
    </w:p>
    <w:p w14:paraId="2F8E57E8">
      <w:pPr>
        <w:spacing w:line="245" w:lineRule="auto"/>
        <w:rPr>
          <w:rFonts w:ascii="Arial"/>
          <w:sz w:val="21"/>
        </w:rPr>
      </w:pPr>
    </w:p>
    <w:p w14:paraId="282C083A">
      <w:pPr>
        <w:spacing w:line="245" w:lineRule="auto"/>
        <w:rPr>
          <w:rFonts w:ascii="Arial"/>
          <w:sz w:val="21"/>
        </w:rPr>
      </w:pPr>
    </w:p>
    <w:p w14:paraId="38BFA94E">
      <w:pPr>
        <w:spacing w:before="195" w:line="221" w:lineRule="auto"/>
        <w:ind w:left="889"/>
        <w:rPr>
          <w:rFonts w:ascii="黑体" w:hAnsi="黑体" w:eastAsia="黑体" w:cs="黑体"/>
          <w:sz w:val="60"/>
          <w:szCs w:val="60"/>
        </w:rPr>
      </w:pPr>
      <w:r>
        <w:drawing>
          <wp:anchor distT="0" distB="0" distL="0" distR="0" simplePos="0" relativeHeight="251799552" behindDoc="1" locked="0" layoutInCell="1" allowOverlap="1">
            <wp:simplePos x="0" y="0"/>
            <wp:positionH relativeFrom="column">
              <wp:posOffset>0</wp:posOffset>
            </wp:positionH>
            <wp:positionV relativeFrom="paragraph">
              <wp:posOffset>-3997325</wp:posOffset>
            </wp:positionV>
            <wp:extent cx="6534150" cy="8458200"/>
            <wp:effectExtent l="0" t="0" r="0" b="0"/>
            <wp:wrapNone/>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282"/>
                    <a:stretch>
                      <a:fillRect/>
                    </a:stretch>
                  </pic:blipFill>
                  <pic:spPr>
                    <a:xfrm>
                      <a:off x="0" y="0"/>
                      <a:ext cx="6534150" cy="8458201"/>
                    </a:xfrm>
                    <a:prstGeom prst="rect">
                      <a:avLst/>
                    </a:prstGeom>
                  </pic:spPr>
                </pic:pic>
              </a:graphicData>
            </a:graphic>
          </wp:anchor>
        </w:drawing>
      </w:r>
      <w:r>
        <w:rPr>
          <w:rFonts w:ascii="黑体" w:hAnsi="黑体" w:eastAsia="黑体" w:cs="黑体"/>
          <w:color w:val="034DF8"/>
          <w:spacing w:val="2"/>
          <w:sz w:val="60"/>
          <w:szCs w:val="60"/>
        </w:rPr>
        <w:t>第三篇</w:t>
      </w:r>
      <w:r>
        <w:rPr>
          <w:rFonts w:ascii="黑体" w:hAnsi="黑体" w:eastAsia="黑体" w:cs="黑体"/>
          <w:color w:val="034DF8"/>
          <w:spacing w:val="204"/>
          <w:sz w:val="60"/>
          <w:szCs w:val="60"/>
        </w:rPr>
        <w:t xml:space="preserve"> </w:t>
      </w:r>
      <w:r>
        <w:rPr>
          <w:rFonts w:ascii="黑体" w:hAnsi="黑体" w:eastAsia="黑体" w:cs="黑体"/>
          <w:b/>
          <w:bCs/>
          <w:spacing w:val="2"/>
          <w:sz w:val="60"/>
          <w:szCs w:val="60"/>
        </w:rPr>
        <w:t>信息系统工程监理实务</w:t>
      </w:r>
    </w:p>
    <w:p w14:paraId="1E5F1DAC">
      <w:pPr>
        <w:spacing w:line="221" w:lineRule="auto"/>
        <w:rPr>
          <w:rFonts w:ascii="黑体" w:hAnsi="黑体" w:eastAsia="黑体" w:cs="黑体"/>
          <w:sz w:val="60"/>
          <w:szCs w:val="60"/>
        </w:rPr>
        <w:sectPr>
          <w:pgSz w:w="10290" w:h="13330"/>
          <w:pgMar w:top="400" w:right="0" w:bottom="400" w:left="0" w:header="0" w:footer="0" w:gutter="0"/>
          <w:cols w:space="720" w:num="1"/>
        </w:sectPr>
      </w:pPr>
    </w:p>
    <w:p w14:paraId="52835A95">
      <w:pPr>
        <w:rPr>
          <w:rFonts w:ascii="Arial"/>
          <w:sz w:val="21"/>
        </w:rPr>
      </w:pPr>
    </w:p>
    <w:p w14:paraId="338A9967">
      <w:pPr>
        <w:rPr>
          <w:rFonts w:ascii="Arial" w:hAnsi="Arial" w:eastAsia="Arial" w:cs="Arial"/>
          <w:sz w:val="21"/>
          <w:szCs w:val="21"/>
        </w:rPr>
        <w:sectPr>
          <w:pgSz w:w="10290" w:h="13420"/>
          <w:pgMar w:top="0" w:right="0" w:bottom="0" w:left="0" w:header="0" w:footer="0" w:gutter="0"/>
          <w:cols w:space="720" w:num="1"/>
        </w:sectPr>
      </w:pPr>
    </w:p>
    <w:p w14:paraId="321CFB94">
      <w:pPr>
        <w:spacing w:line="252" w:lineRule="auto"/>
        <w:rPr>
          <w:rFonts w:ascii="Arial"/>
          <w:sz w:val="21"/>
        </w:rPr>
      </w:pPr>
    </w:p>
    <w:p w14:paraId="33369350">
      <w:pPr>
        <w:spacing w:line="253" w:lineRule="auto"/>
        <w:rPr>
          <w:rFonts w:ascii="Arial"/>
          <w:sz w:val="21"/>
        </w:rPr>
      </w:pPr>
    </w:p>
    <w:p w14:paraId="2AE1A31F">
      <w:pPr>
        <w:spacing w:line="253" w:lineRule="auto"/>
        <w:rPr>
          <w:rFonts w:ascii="Arial"/>
          <w:sz w:val="21"/>
        </w:rPr>
      </w:pPr>
    </w:p>
    <w:p w14:paraId="3AC4ECA3">
      <w:pPr>
        <w:spacing w:before="127" w:line="224" w:lineRule="auto"/>
        <w:ind w:left="1105"/>
        <w:rPr>
          <w:sz w:val="39"/>
          <w:szCs w:val="39"/>
        </w:rPr>
      </w:pPr>
      <w:bookmarkStart w:id="702" w:name="bookmark687"/>
      <w:bookmarkEnd w:id="702"/>
      <w:r>
        <w:rPr>
          <w:rFonts w:ascii="黑体" w:hAnsi="黑体" w:eastAsia="黑体" w:cs="黑体"/>
          <w:b/>
          <w:bCs/>
          <w:color w:val="0065EA"/>
          <w:spacing w:val="17"/>
          <w:sz w:val="39"/>
          <w:szCs w:val="39"/>
        </w:rPr>
        <w:t>第20章信息系统工程监理基础工作</w:t>
      </w:r>
      <w:r>
        <w:rPr>
          <w:rFonts w:ascii="黑体" w:hAnsi="黑体" w:eastAsia="黑体" w:cs="黑体"/>
          <w:color w:val="0065EA"/>
          <w:spacing w:val="-140"/>
          <w:sz w:val="39"/>
          <w:szCs w:val="39"/>
        </w:rPr>
        <w:t xml:space="preserve"> </w:t>
      </w:r>
      <w:r>
        <w:rPr>
          <w:position w:val="-6"/>
          <w:sz w:val="39"/>
          <w:szCs w:val="39"/>
        </w:rPr>
        <w:drawing>
          <wp:inline distT="0" distB="0" distL="0" distR="0">
            <wp:extent cx="634365" cy="266700"/>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283"/>
                    <a:stretch>
                      <a:fillRect/>
                    </a:stretch>
                  </pic:blipFill>
                  <pic:spPr>
                    <a:xfrm>
                      <a:off x="0" y="0"/>
                      <a:ext cx="634988" cy="266717"/>
                    </a:xfrm>
                    <a:prstGeom prst="rect">
                      <a:avLst/>
                    </a:prstGeom>
                  </pic:spPr>
                </pic:pic>
              </a:graphicData>
            </a:graphic>
          </wp:inline>
        </w:drawing>
      </w:r>
    </w:p>
    <w:p w14:paraId="1CF276A9">
      <w:pPr>
        <w:spacing w:line="255" w:lineRule="auto"/>
        <w:rPr>
          <w:rFonts w:ascii="Arial"/>
          <w:sz w:val="21"/>
        </w:rPr>
      </w:pPr>
    </w:p>
    <w:p w14:paraId="46F85287">
      <w:pPr>
        <w:spacing w:line="256" w:lineRule="auto"/>
        <w:rPr>
          <w:rFonts w:ascii="Arial"/>
          <w:sz w:val="21"/>
        </w:rPr>
      </w:pPr>
    </w:p>
    <w:p w14:paraId="189A5A6A">
      <w:pPr>
        <w:spacing w:line="256" w:lineRule="auto"/>
        <w:rPr>
          <w:rFonts w:ascii="Arial"/>
          <w:sz w:val="21"/>
        </w:rPr>
      </w:pPr>
    </w:p>
    <w:p w14:paraId="0A171F72">
      <w:pPr>
        <w:pStyle w:val="2"/>
        <w:spacing w:before="62" w:line="269" w:lineRule="auto"/>
        <w:ind w:right="122" w:firstLine="410"/>
        <w:rPr>
          <w:sz w:val="19"/>
          <w:szCs w:val="19"/>
        </w:rPr>
      </w:pPr>
      <w:r>
        <w:rPr>
          <w:spacing w:val="13"/>
          <w:sz w:val="19"/>
          <w:szCs w:val="19"/>
        </w:rPr>
        <w:t>监理是一项注重程序化的工作。监理机构根据一系列程序文件指</w:t>
      </w:r>
      <w:r>
        <w:rPr>
          <w:spacing w:val="12"/>
          <w:sz w:val="19"/>
          <w:szCs w:val="19"/>
        </w:rPr>
        <w:t>导日常监理工作，规范监</w:t>
      </w:r>
      <w:r>
        <w:rPr>
          <w:sz w:val="19"/>
          <w:szCs w:val="19"/>
        </w:rPr>
        <w:t xml:space="preserve"> </w:t>
      </w:r>
      <w:r>
        <w:rPr>
          <w:spacing w:val="8"/>
          <w:sz w:val="19"/>
          <w:szCs w:val="19"/>
        </w:rPr>
        <w:t>理工作行为，以满足监理任务的要求并实现监理工</w:t>
      </w:r>
      <w:r>
        <w:rPr>
          <w:spacing w:val="7"/>
          <w:sz w:val="19"/>
          <w:szCs w:val="19"/>
        </w:rPr>
        <w:t>作目标。</w:t>
      </w:r>
    </w:p>
    <w:p w14:paraId="621E7B65">
      <w:pPr>
        <w:pStyle w:val="2"/>
        <w:spacing w:before="27" w:line="302" w:lineRule="auto"/>
        <w:ind w:right="104" w:firstLine="410"/>
        <w:rPr>
          <w:sz w:val="19"/>
          <w:szCs w:val="19"/>
        </w:rPr>
      </w:pPr>
      <w:r>
        <w:rPr>
          <w:spacing w:val="13"/>
          <w:sz w:val="19"/>
          <w:szCs w:val="19"/>
        </w:rPr>
        <w:t>本教程第三篇主要依据监理规范，介绍信息系统工程建设项目中</w:t>
      </w:r>
      <w:r>
        <w:rPr>
          <w:spacing w:val="12"/>
          <w:sz w:val="19"/>
          <w:szCs w:val="19"/>
        </w:rPr>
        <w:t>监理机构应执行的监理任</w:t>
      </w:r>
      <w:r>
        <w:rPr>
          <w:sz w:val="19"/>
          <w:szCs w:val="19"/>
        </w:rPr>
        <w:t xml:space="preserve"> </w:t>
      </w:r>
      <w:r>
        <w:rPr>
          <w:spacing w:val="18"/>
          <w:sz w:val="19"/>
          <w:szCs w:val="19"/>
        </w:rPr>
        <w:t>务，包括监理要求、监理活动(做什么)、监</w:t>
      </w:r>
      <w:r>
        <w:rPr>
          <w:spacing w:val="17"/>
          <w:sz w:val="19"/>
          <w:szCs w:val="19"/>
        </w:rPr>
        <w:t>理内容(怎么做)以及监理流程等。其中，监理内</w:t>
      </w:r>
      <w:r>
        <w:rPr>
          <w:sz w:val="19"/>
          <w:szCs w:val="19"/>
        </w:rPr>
        <w:t xml:space="preserve"> </w:t>
      </w:r>
      <w:r>
        <w:rPr>
          <w:spacing w:val="7"/>
          <w:sz w:val="19"/>
          <w:szCs w:val="19"/>
        </w:rPr>
        <w:t>容是对关键监理活动进行的更细化、更深入的阐述。</w:t>
      </w:r>
    </w:p>
    <w:p w14:paraId="4FE46713">
      <w:pPr>
        <w:pStyle w:val="2"/>
        <w:spacing w:before="14" w:line="312" w:lineRule="auto"/>
        <w:ind w:right="117" w:firstLine="410"/>
        <w:rPr>
          <w:sz w:val="19"/>
          <w:szCs w:val="19"/>
        </w:rPr>
      </w:pPr>
      <w:r>
        <w:rPr>
          <w:spacing w:val="18"/>
          <w:sz w:val="19"/>
          <w:szCs w:val="19"/>
        </w:rPr>
        <w:t>本章重点介绍信息系统工程各阶段的基础监理工作，并提出相应的监理策略，引导监理</w:t>
      </w:r>
      <w:r>
        <w:rPr>
          <w:spacing w:val="1"/>
          <w:sz w:val="19"/>
          <w:szCs w:val="19"/>
        </w:rPr>
        <w:t xml:space="preserve"> </w:t>
      </w:r>
      <w:r>
        <w:rPr>
          <w:spacing w:val="18"/>
          <w:sz w:val="19"/>
          <w:szCs w:val="19"/>
        </w:rPr>
        <w:t>成果的编制。然而，监理工作不是千篇一律的，需要根据具体监理对象的特点进行调整。第</w:t>
      </w:r>
      <w:r>
        <w:rPr>
          <w:spacing w:val="1"/>
          <w:sz w:val="19"/>
          <w:szCs w:val="19"/>
        </w:rPr>
        <w:t xml:space="preserve"> </w:t>
      </w:r>
      <w:r>
        <w:rPr>
          <w:spacing w:val="13"/>
          <w:sz w:val="19"/>
          <w:szCs w:val="19"/>
        </w:rPr>
        <w:t>21～25章在本章的基础上，针对不同监理对</w:t>
      </w:r>
      <w:r>
        <w:rPr>
          <w:spacing w:val="12"/>
          <w:sz w:val="19"/>
          <w:szCs w:val="19"/>
        </w:rPr>
        <w:t>象介绍了更有针对性的监理方法。</w:t>
      </w:r>
    </w:p>
    <w:p w14:paraId="4CB58C0A">
      <w:pPr>
        <w:rPr>
          <w:rFonts w:ascii="Arial"/>
          <w:sz w:val="21"/>
        </w:rPr>
      </w:pPr>
    </w:p>
    <w:p w14:paraId="2F5F3384">
      <w:pPr>
        <w:pStyle w:val="2"/>
        <w:spacing w:before="94" w:line="221" w:lineRule="auto"/>
        <w:ind w:left="3"/>
        <w:rPr>
          <w:rFonts w:ascii="黑体" w:hAnsi="黑体" w:eastAsia="黑体" w:cs="黑体"/>
          <w:sz w:val="29"/>
          <w:szCs w:val="29"/>
        </w:rPr>
      </w:pPr>
      <w:r>
        <w:rPr>
          <w:b/>
          <w:bCs/>
          <w:color w:val="0061E1"/>
          <w:spacing w:val="-15"/>
          <w:sz w:val="29"/>
          <w:szCs w:val="29"/>
        </w:rPr>
        <w:t>20.1</w:t>
      </w:r>
      <w:r>
        <w:rPr>
          <w:color w:val="0061E1"/>
          <w:spacing w:val="22"/>
          <w:sz w:val="29"/>
          <w:szCs w:val="29"/>
        </w:rPr>
        <w:t xml:space="preserve">  </w:t>
      </w:r>
      <w:r>
        <w:rPr>
          <w:rFonts w:ascii="黑体" w:hAnsi="黑体" w:eastAsia="黑体" w:cs="黑体"/>
          <w:b/>
          <w:bCs/>
          <w:color w:val="0061E1"/>
          <w:spacing w:val="-15"/>
          <w:sz w:val="29"/>
          <w:szCs w:val="29"/>
        </w:rPr>
        <w:t>规划阶段监理基础工作</w:t>
      </w:r>
    </w:p>
    <w:p w14:paraId="19AFB19B">
      <w:pPr>
        <w:pStyle w:val="2"/>
        <w:spacing w:before="254" w:line="295" w:lineRule="auto"/>
        <w:ind w:right="120" w:firstLine="410"/>
        <w:jc w:val="both"/>
        <w:rPr>
          <w:sz w:val="19"/>
          <w:szCs w:val="19"/>
        </w:rPr>
      </w:pPr>
      <w:r>
        <w:rPr>
          <w:spacing w:val="23"/>
          <w:sz w:val="19"/>
          <w:szCs w:val="19"/>
        </w:rPr>
        <w:t>信息系统的规划，是指工程/项目完成项目立项报告、可行性研究报告(简称“可研报</w:t>
      </w:r>
      <w:r>
        <w:rPr>
          <w:spacing w:val="4"/>
          <w:sz w:val="19"/>
          <w:szCs w:val="19"/>
        </w:rPr>
        <w:t xml:space="preserve"> </w:t>
      </w:r>
      <w:r>
        <w:rPr>
          <w:spacing w:val="15"/>
          <w:sz w:val="19"/>
          <w:szCs w:val="19"/>
        </w:rPr>
        <w:t>告”)和初步设计报告(简称“初设报告”)的过程，为工程建设取得立项报</w:t>
      </w:r>
      <w:r>
        <w:rPr>
          <w:spacing w:val="14"/>
          <w:sz w:val="19"/>
          <w:szCs w:val="19"/>
        </w:rPr>
        <w:t>告的审批、可研报</w:t>
      </w:r>
      <w:r>
        <w:rPr>
          <w:sz w:val="19"/>
          <w:szCs w:val="19"/>
        </w:rPr>
        <w:t xml:space="preserve"> </w:t>
      </w:r>
      <w:r>
        <w:rPr>
          <w:spacing w:val="13"/>
          <w:sz w:val="19"/>
          <w:szCs w:val="19"/>
        </w:rPr>
        <w:t>告及项目概算的批复、初设报告及投资预算的批复开展必要的工作过程。监理单</w:t>
      </w:r>
      <w:r>
        <w:rPr>
          <w:spacing w:val="12"/>
          <w:sz w:val="19"/>
          <w:szCs w:val="19"/>
        </w:rPr>
        <w:t>位根据工程建</w:t>
      </w:r>
      <w:r>
        <w:rPr>
          <w:sz w:val="19"/>
          <w:szCs w:val="19"/>
        </w:rPr>
        <w:t xml:space="preserve"> </w:t>
      </w:r>
      <w:r>
        <w:rPr>
          <w:spacing w:val="8"/>
          <w:sz w:val="19"/>
          <w:szCs w:val="19"/>
        </w:rPr>
        <w:t>设的实际需要可能参与其中，提出监理咨询意见，发挥监理必要的作用。</w:t>
      </w:r>
    </w:p>
    <w:p w14:paraId="0BA9FB9B">
      <w:pPr>
        <w:pStyle w:val="2"/>
        <w:spacing w:before="207" w:line="220" w:lineRule="auto"/>
        <w:ind w:left="2"/>
        <w:outlineLvl w:val="1"/>
        <w:rPr>
          <w:sz w:val="25"/>
          <w:szCs w:val="25"/>
        </w:rPr>
      </w:pPr>
      <w:r>
        <w:rPr>
          <w:b/>
          <w:bCs/>
          <w:color w:val="0062D2"/>
          <w:spacing w:val="-16"/>
          <w:sz w:val="25"/>
          <w:szCs w:val="25"/>
        </w:rPr>
        <w:t>20.1.1</w:t>
      </w:r>
      <w:r>
        <w:rPr>
          <w:color w:val="0062D2"/>
          <w:spacing w:val="-16"/>
          <w:sz w:val="25"/>
          <w:szCs w:val="25"/>
        </w:rPr>
        <w:t xml:space="preserve">  </w:t>
      </w:r>
      <w:r>
        <w:rPr>
          <w:b/>
          <w:bCs/>
          <w:color w:val="0062D2"/>
          <w:spacing w:val="-16"/>
          <w:sz w:val="25"/>
          <w:szCs w:val="25"/>
        </w:rPr>
        <w:t>监理活动</w:t>
      </w:r>
    </w:p>
    <w:p w14:paraId="1120AA41">
      <w:pPr>
        <w:pStyle w:val="2"/>
        <w:spacing w:before="161" w:line="219" w:lineRule="auto"/>
        <w:ind w:left="410"/>
        <w:rPr>
          <w:sz w:val="19"/>
          <w:szCs w:val="19"/>
        </w:rPr>
      </w:pPr>
      <w:r>
        <w:rPr>
          <w:spacing w:val="8"/>
          <w:sz w:val="19"/>
          <w:szCs w:val="19"/>
        </w:rPr>
        <w:t>规划阶段的监理活动具体包括以下几个方面。</w:t>
      </w:r>
    </w:p>
    <w:p w14:paraId="13FA42C5">
      <w:pPr>
        <w:pStyle w:val="2"/>
        <w:spacing w:before="96" w:line="219" w:lineRule="auto"/>
        <w:ind w:left="410"/>
        <w:rPr>
          <w:sz w:val="19"/>
          <w:szCs w:val="19"/>
        </w:rPr>
      </w:pPr>
      <w:r>
        <w:rPr>
          <w:spacing w:val="11"/>
          <w:sz w:val="19"/>
          <w:szCs w:val="19"/>
        </w:rPr>
        <w:t>(1)协助业主单位构建信息系统架构，具体思路为：</w:t>
      </w:r>
    </w:p>
    <w:p w14:paraId="187B0D65">
      <w:pPr>
        <w:pStyle w:val="2"/>
        <w:spacing w:before="82" w:line="217" w:lineRule="auto"/>
        <w:ind w:left="410"/>
        <w:rPr>
          <w:sz w:val="19"/>
          <w:szCs w:val="19"/>
        </w:rPr>
      </w:pPr>
      <w:r>
        <w:drawing>
          <wp:anchor distT="0" distB="0" distL="0" distR="0" simplePos="0" relativeHeight="251800576" behindDoc="0" locked="0" layoutInCell="1" allowOverlap="1">
            <wp:simplePos x="0" y="0"/>
            <wp:positionH relativeFrom="column">
              <wp:posOffset>2616200</wp:posOffset>
            </wp:positionH>
            <wp:positionV relativeFrom="paragraph">
              <wp:posOffset>213360</wp:posOffset>
            </wp:positionV>
            <wp:extent cx="2743200" cy="2159000"/>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84"/>
                    <a:stretch>
                      <a:fillRect/>
                    </a:stretch>
                  </pic:blipFill>
                  <pic:spPr>
                    <a:xfrm>
                      <a:off x="0" y="0"/>
                      <a:ext cx="2743232" cy="2159052"/>
                    </a:xfrm>
                    <a:prstGeom prst="rect">
                      <a:avLst/>
                    </a:prstGeom>
                  </pic:spPr>
                </pic:pic>
              </a:graphicData>
            </a:graphic>
          </wp:anchor>
        </w:drawing>
      </w:r>
      <w:r>
        <w:rPr>
          <w:spacing w:val="8"/>
          <w:sz w:val="19"/>
          <w:szCs w:val="19"/>
        </w:rPr>
        <w:t>①可以协助业主单位从业务入手，基于行业理解开展</w:t>
      </w:r>
      <w:r>
        <w:rPr>
          <w:spacing w:val="7"/>
          <w:sz w:val="19"/>
          <w:szCs w:val="19"/>
        </w:rPr>
        <w:t>需求调研工作；</w:t>
      </w:r>
    </w:p>
    <w:p w14:paraId="2137F334">
      <w:pPr>
        <w:pStyle w:val="2"/>
        <w:spacing w:before="77" w:line="261" w:lineRule="auto"/>
        <w:ind w:right="4566" w:firstLine="410"/>
        <w:rPr>
          <w:sz w:val="19"/>
          <w:szCs w:val="19"/>
        </w:rPr>
      </w:pPr>
      <w:r>
        <w:pict>
          <v:shape id="_x0000_s1570" o:spid="_x0000_s1570" o:spt="202" type="#_x0000_t202" style="position:absolute;left:0pt;margin-left:215.15pt;margin-top:32.5pt;height:93.25pt;width:86.35pt;z-index:251802624;mso-width-relative:page;mso-height-relative:page;" filled="f" stroked="f" coordsize="21600,21600">
            <v:path/>
            <v:fill on="f" focussize="0,0"/>
            <v:stroke on="f"/>
            <v:imagedata o:title=""/>
            <o:lock v:ext="edit" aspectratio="f"/>
            <v:textbox inset="0mm,0mm,0mm,0mm" style="layout-flow:vertical-ideographic;">
              <w:txbxContent>
                <w:p w14:paraId="1FC64598">
                  <w:pPr>
                    <w:pStyle w:val="2"/>
                    <w:spacing w:before="20" w:line="202" w:lineRule="auto"/>
                    <w:ind w:left="20"/>
                    <w:rPr>
                      <w:sz w:val="16"/>
                      <w:szCs w:val="16"/>
                    </w:rPr>
                  </w:pPr>
                  <w:r>
                    <w:rPr>
                      <w:spacing w:val="12"/>
                      <w:sz w:val="16"/>
                      <w:szCs w:val="16"/>
                    </w:rPr>
                    <w:t>业务目标   信息化目标</w:t>
                  </w:r>
                </w:p>
                <w:p w14:paraId="64034FA4">
                  <w:pPr>
                    <w:pStyle w:val="2"/>
                    <w:spacing w:before="295" w:line="525" w:lineRule="auto"/>
                    <w:ind w:left="447" w:right="20" w:hanging="418"/>
                    <w:rPr>
                      <w:sz w:val="16"/>
                      <w:szCs w:val="16"/>
                    </w:rPr>
                  </w:pPr>
                  <w:r>
                    <w:rPr>
                      <w:spacing w:val="12"/>
                      <w:sz w:val="16"/>
                      <w:szCs w:val="16"/>
                    </w:rPr>
                    <w:t>业务现状</w:t>
                  </w:r>
                  <w:r>
                    <w:rPr>
                      <w:spacing w:val="8"/>
                      <w:sz w:val="16"/>
                      <w:szCs w:val="16"/>
                    </w:rPr>
                    <w:t xml:space="preserve">   </w:t>
                  </w:r>
                  <w:r>
                    <w:rPr>
                      <w:spacing w:val="12"/>
                      <w:sz w:val="16"/>
                      <w:szCs w:val="16"/>
                    </w:rPr>
                    <w:t>信息化现状</w:t>
                  </w:r>
                  <w:r>
                    <w:rPr>
                      <w:spacing w:val="1"/>
                      <w:sz w:val="16"/>
                      <w:szCs w:val="16"/>
                    </w:rPr>
                    <w:t xml:space="preserve"> </w:t>
                  </w:r>
                  <w:r>
                    <w:rPr>
                      <w:spacing w:val="11"/>
                      <w:sz w:val="16"/>
                      <w:szCs w:val="16"/>
                    </w:rPr>
                    <w:t>开展需求调研</w:t>
                  </w:r>
                </w:p>
                <w:p w14:paraId="4D72597E">
                  <w:pPr>
                    <w:pStyle w:val="2"/>
                    <w:spacing w:before="92" w:line="203" w:lineRule="auto"/>
                    <w:ind w:left="381"/>
                    <w:rPr>
                      <w:sz w:val="16"/>
                      <w:szCs w:val="16"/>
                    </w:rPr>
                  </w:pPr>
                  <w:r>
                    <w:rPr>
                      <w:spacing w:val="10"/>
                      <w:sz w:val="16"/>
                      <w:szCs w:val="16"/>
                    </w:rPr>
                    <w:t>行业理解</w:t>
                  </w:r>
                </w:p>
              </w:txbxContent>
            </v:textbox>
          </v:shape>
        </w:pict>
      </w:r>
      <w:r>
        <w:pict>
          <v:shape id="_x0000_s1571" o:spid="_x0000_s1571" o:spt="202" type="#_x0000_t202" style="position:absolute;left:0pt;margin-left:210.5pt;margin-top:8.95pt;height:178.3pt;width:180.4pt;z-index:251801600;mso-width-relative:page;mso-height-relative:page;" filled="f" stroked="f" coordsize="21600,21600">
            <v:path/>
            <v:fill on="f" focussize="0,0"/>
            <v:stroke on="f"/>
            <v:imagedata o:title=""/>
            <o:lock v:ext="edit" aspectratio="f"/>
            <v:textbox inset="0mm,0mm,0mm,0mm">
              <w:txbxContent>
                <w:p w14:paraId="582C6166">
                  <w:pPr>
                    <w:pStyle w:val="2"/>
                    <w:spacing w:before="20" w:line="219" w:lineRule="auto"/>
                    <w:ind w:left="1320"/>
                    <w:rPr>
                      <w:sz w:val="19"/>
                      <w:szCs w:val="19"/>
                    </w:rPr>
                  </w:pPr>
                  <w:r>
                    <w:rPr>
                      <w:spacing w:val="-18"/>
                      <w:sz w:val="19"/>
                      <w:szCs w:val="19"/>
                    </w:rPr>
                    <w:t>结合区域性及个体差异性要求</w:t>
                  </w:r>
                </w:p>
                <w:p w14:paraId="29628375">
                  <w:pPr>
                    <w:spacing w:line="390" w:lineRule="auto"/>
                    <w:rPr>
                      <w:rFonts w:ascii="Arial"/>
                      <w:sz w:val="21"/>
                    </w:rPr>
                  </w:pPr>
                </w:p>
                <w:p w14:paraId="6AEB8708">
                  <w:pPr>
                    <w:pStyle w:val="2"/>
                    <w:spacing w:before="62" w:line="219" w:lineRule="auto"/>
                    <w:ind w:left="2509"/>
                    <w:rPr>
                      <w:sz w:val="19"/>
                      <w:szCs w:val="19"/>
                    </w:rPr>
                  </w:pPr>
                  <w:r>
                    <w:rPr>
                      <w:spacing w:val="-13"/>
                      <w:sz w:val="19"/>
                      <w:szCs w:val="19"/>
                    </w:rPr>
                    <w:t>业务架构</w:t>
                  </w:r>
                </w:p>
                <w:p w14:paraId="77D73F86">
                  <w:pPr>
                    <w:spacing w:line="370" w:lineRule="auto"/>
                    <w:rPr>
                      <w:rFonts w:ascii="Arial"/>
                      <w:sz w:val="21"/>
                    </w:rPr>
                  </w:pPr>
                </w:p>
                <w:p w14:paraId="4631CEF2">
                  <w:pPr>
                    <w:pStyle w:val="2"/>
                    <w:spacing w:before="62" w:line="365" w:lineRule="auto"/>
                    <w:ind w:left="2300" w:right="285"/>
                    <w:jc w:val="both"/>
                    <w:rPr>
                      <w:sz w:val="19"/>
                      <w:szCs w:val="19"/>
                    </w:rPr>
                  </w:pPr>
                  <w:r>
                    <w:rPr>
                      <w:spacing w:val="-20"/>
                      <w:sz w:val="19"/>
                      <w:szCs w:val="19"/>
                    </w:rPr>
                    <w:t>信息资源架构</w:t>
                  </w:r>
                  <w:r>
                    <w:rPr>
                      <w:sz w:val="19"/>
                      <w:szCs w:val="19"/>
                    </w:rPr>
                    <w:t xml:space="preserve"> </w:t>
                  </w:r>
                  <w:r>
                    <w:rPr>
                      <w:spacing w:val="-17"/>
                      <w:w w:val="98"/>
                      <w:sz w:val="19"/>
                      <w:szCs w:val="19"/>
                    </w:rPr>
                    <w:t>应用系统架构</w:t>
                  </w:r>
                  <w:r>
                    <w:rPr>
                      <w:spacing w:val="5"/>
                      <w:sz w:val="19"/>
                      <w:szCs w:val="19"/>
                    </w:rPr>
                    <w:t xml:space="preserve"> </w:t>
                  </w:r>
                  <w:r>
                    <w:rPr>
                      <w:spacing w:val="-17"/>
                      <w:w w:val="98"/>
                      <w:sz w:val="19"/>
                      <w:szCs w:val="19"/>
                    </w:rPr>
                    <w:t>技术体系架构</w:t>
                  </w:r>
                </w:p>
                <w:p w14:paraId="03F146E5">
                  <w:pPr>
                    <w:pStyle w:val="2"/>
                    <w:spacing w:before="161" w:line="207" w:lineRule="auto"/>
                    <w:ind w:left="980" w:right="172" w:hanging="960"/>
                    <w:rPr>
                      <w:sz w:val="19"/>
                      <w:szCs w:val="19"/>
                    </w:rPr>
                  </w:pPr>
                  <w:r>
                    <w:rPr>
                      <w:spacing w:val="-20"/>
                      <w:sz w:val="19"/>
                      <w:szCs w:val="19"/>
                    </w:rPr>
                    <w:t>业务入手、深入调研、结合实际、分析目标、</w:t>
                  </w:r>
                  <w:r>
                    <w:rPr>
                      <w:spacing w:val="13"/>
                      <w:sz w:val="19"/>
                      <w:szCs w:val="19"/>
                    </w:rPr>
                    <w:t xml:space="preserve"> </w:t>
                  </w:r>
                  <w:r>
                    <w:rPr>
                      <w:spacing w:val="-17"/>
                      <w:sz w:val="19"/>
                      <w:szCs w:val="19"/>
                    </w:rPr>
                    <w:t>形成架构、确定步骤</w:t>
                  </w:r>
                </w:p>
                <w:p w14:paraId="12B1C962">
                  <w:pPr>
                    <w:pStyle w:val="2"/>
                    <w:spacing w:before="244" w:line="219" w:lineRule="auto"/>
                    <w:ind w:right="9"/>
                    <w:jc w:val="right"/>
                    <w:rPr>
                      <w:sz w:val="19"/>
                      <w:szCs w:val="19"/>
                    </w:rPr>
                  </w:pPr>
                  <w:r>
                    <w:rPr>
                      <w:spacing w:val="-9"/>
                      <w:sz w:val="19"/>
                      <w:szCs w:val="19"/>
                    </w:rPr>
                    <w:t>图20-1</w:t>
                  </w:r>
                  <w:r>
                    <w:rPr>
                      <w:spacing w:val="93"/>
                      <w:sz w:val="19"/>
                      <w:szCs w:val="19"/>
                    </w:rPr>
                    <w:t xml:space="preserve"> </w:t>
                  </w:r>
                  <w:r>
                    <w:rPr>
                      <w:spacing w:val="-9"/>
                      <w:sz w:val="19"/>
                      <w:szCs w:val="19"/>
                    </w:rPr>
                    <w:t>构建信息系统架构的总体思路</w:t>
                  </w:r>
                </w:p>
              </w:txbxContent>
            </v:textbox>
          </v:shape>
        </w:pict>
      </w:r>
      <w:r>
        <w:rPr>
          <w:spacing w:val="13"/>
          <w:sz w:val="19"/>
          <w:szCs w:val="19"/>
        </w:rPr>
        <w:t>②可以协助业主单位根据业务现状和信</w:t>
      </w:r>
      <w:r>
        <w:rPr>
          <w:spacing w:val="11"/>
          <w:sz w:val="19"/>
          <w:szCs w:val="19"/>
        </w:rPr>
        <w:t xml:space="preserve"> </w:t>
      </w:r>
      <w:r>
        <w:rPr>
          <w:spacing w:val="1"/>
          <w:sz w:val="19"/>
          <w:szCs w:val="19"/>
        </w:rPr>
        <w:t>息化现状制定业务目标和信息化目标；</w:t>
      </w:r>
    </w:p>
    <w:p w14:paraId="77BE669C">
      <w:pPr>
        <w:pStyle w:val="2"/>
        <w:spacing w:before="73" w:line="274" w:lineRule="auto"/>
        <w:ind w:right="4538" w:firstLine="410"/>
        <w:rPr>
          <w:sz w:val="19"/>
          <w:szCs w:val="19"/>
        </w:rPr>
      </w:pPr>
      <w:r>
        <w:pict>
          <v:shape id="_x0000_s1572" o:spid="_x0000_s1572" o:spt="202" type="#_x0000_t202" style="position:absolute;left:0pt;margin-left:398.95pt;margin-top:22.4pt;height:54.15pt;width:10.95pt;z-index:251803648;mso-width-relative:page;mso-height-relative:page;" filled="f" stroked="f" coordsize="21600,21600">
            <v:path/>
            <v:fill on="f" focussize="0,0"/>
            <v:stroke on="f"/>
            <v:imagedata o:title=""/>
            <o:lock v:ext="edit" aspectratio="f"/>
            <v:textbox inset="0mm,0mm,0mm,0mm" style="layout-flow:vertical-ideographic;">
              <w:txbxContent>
                <w:p w14:paraId="22F1C65C">
                  <w:pPr>
                    <w:pStyle w:val="2"/>
                    <w:spacing w:before="20" w:line="200" w:lineRule="auto"/>
                    <w:ind w:left="20"/>
                    <w:rPr>
                      <w:sz w:val="16"/>
                      <w:szCs w:val="16"/>
                    </w:rPr>
                  </w:pPr>
                  <w:r>
                    <w:rPr>
                      <w:spacing w:val="13"/>
                      <w:sz w:val="16"/>
                      <w:szCs w:val="16"/>
                    </w:rPr>
                    <w:t>确定实施步骤</w:t>
                  </w:r>
                </w:p>
              </w:txbxContent>
            </v:textbox>
          </v:shape>
        </w:pict>
      </w:r>
      <w:r>
        <w:rPr>
          <w:spacing w:val="15"/>
          <w:sz w:val="19"/>
          <w:szCs w:val="19"/>
        </w:rPr>
        <w:t>③可以协助业主单位根据需求调研的结</w:t>
      </w:r>
      <w:r>
        <w:rPr>
          <w:spacing w:val="5"/>
          <w:sz w:val="19"/>
          <w:szCs w:val="19"/>
        </w:rPr>
        <w:t xml:space="preserve"> </w:t>
      </w:r>
      <w:r>
        <w:rPr>
          <w:spacing w:val="2"/>
          <w:sz w:val="19"/>
          <w:szCs w:val="19"/>
        </w:rPr>
        <w:t>果、业务目标和信息化目标，梳理业务架构和</w:t>
      </w:r>
      <w:r>
        <w:rPr>
          <w:spacing w:val="4"/>
          <w:sz w:val="19"/>
          <w:szCs w:val="19"/>
        </w:rPr>
        <w:t xml:space="preserve"> </w:t>
      </w:r>
      <w:r>
        <w:rPr>
          <w:spacing w:val="2"/>
          <w:sz w:val="19"/>
          <w:szCs w:val="19"/>
        </w:rPr>
        <w:t>信息系统建设需求，引导业主单位通过信息系</w:t>
      </w:r>
      <w:r>
        <w:rPr>
          <w:spacing w:val="7"/>
          <w:sz w:val="19"/>
          <w:szCs w:val="19"/>
        </w:rPr>
        <w:t xml:space="preserve"> </w:t>
      </w:r>
      <w:r>
        <w:rPr>
          <w:spacing w:val="-2"/>
          <w:sz w:val="19"/>
          <w:szCs w:val="19"/>
        </w:rPr>
        <w:t>统的建设与应用，提升整体的业务水平；</w:t>
      </w:r>
    </w:p>
    <w:p w14:paraId="71F2D528">
      <w:pPr>
        <w:pStyle w:val="2"/>
        <w:spacing w:before="70" w:line="269" w:lineRule="auto"/>
        <w:ind w:right="4600" w:firstLine="410"/>
        <w:rPr>
          <w:sz w:val="19"/>
          <w:szCs w:val="19"/>
        </w:rPr>
      </w:pPr>
      <w:r>
        <w:rPr>
          <w:spacing w:val="11"/>
          <w:sz w:val="19"/>
          <w:szCs w:val="19"/>
        </w:rPr>
        <w:t>④可以协助业主单位采用成熟的规划方</w:t>
      </w:r>
      <w:r>
        <w:rPr>
          <w:spacing w:val="9"/>
          <w:sz w:val="19"/>
          <w:szCs w:val="19"/>
        </w:rPr>
        <w:t xml:space="preserve"> </w:t>
      </w:r>
      <w:r>
        <w:rPr>
          <w:spacing w:val="12"/>
          <w:sz w:val="19"/>
          <w:szCs w:val="19"/>
        </w:rPr>
        <w:t>法形成信息资源架构、应用系统架构和技术</w:t>
      </w:r>
      <w:r>
        <w:rPr>
          <w:sz w:val="19"/>
          <w:szCs w:val="19"/>
        </w:rPr>
        <w:t xml:space="preserve"> </w:t>
      </w:r>
      <w:r>
        <w:rPr>
          <w:spacing w:val="1"/>
          <w:sz w:val="19"/>
          <w:szCs w:val="19"/>
        </w:rPr>
        <w:t>体系架构。</w:t>
      </w:r>
    </w:p>
    <w:p w14:paraId="5312B038">
      <w:pPr>
        <w:pStyle w:val="2"/>
        <w:spacing w:before="122" w:line="309" w:lineRule="auto"/>
        <w:ind w:right="4590" w:firstLine="410"/>
        <w:rPr>
          <w:sz w:val="19"/>
          <w:szCs w:val="19"/>
        </w:rPr>
      </w:pPr>
      <w:r>
        <w:rPr>
          <w:spacing w:val="11"/>
          <w:sz w:val="19"/>
          <w:szCs w:val="19"/>
        </w:rPr>
        <w:t>构建信息系统架构的总体思路如图20-1</w:t>
      </w:r>
      <w:r>
        <w:rPr>
          <w:sz w:val="19"/>
          <w:szCs w:val="19"/>
        </w:rPr>
        <w:t xml:space="preserve"> </w:t>
      </w:r>
      <w:r>
        <w:rPr>
          <w:spacing w:val="1"/>
          <w:sz w:val="19"/>
          <w:szCs w:val="19"/>
        </w:rPr>
        <w:t>所示。</w:t>
      </w:r>
    </w:p>
    <w:p w14:paraId="700A2ED1">
      <w:pPr>
        <w:pStyle w:val="2"/>
        <w:spacing w:before="4" w:line="219" w:lineRule="auto"/>
        <w:ind w:left="410"/>
        <w:rPr>
          <w:sz w:val="19"/>
          <w:szCs w:val="19"/>
        </w:rPr>
      </w:pPr>
      <w:r>
        <w:rPr>
          <w:spacing w:val="18"/>
          <w:sz w:val="19"/>
          <w:szCs w:val="19"/>
        </w:rPr>
        <w:t>(2)可以为业主单位提供项目的规划的</w:t>
      </w:r>
    </w:p>
    <w:p w14:paraId="7D173352">
      <w:pPr>
        <w:spacing w:line="219" w:lineRule="auto"/>
        <w:rPr>
          <w:sz w:val="19"/>
          <w:szCs w:val="19"/>
        </w:rPr>
        <w:sectPr>
          <w:pgSz w:w="10290" w:h="13330"/>
          <w:pgMar w:top="400" w:right="789" w:bottom="400" w:left="1059" w:header="0" w:footer="0" w:gutter="0"/>
          <w:cols w:space="720" w:num="1"/>
        </w:sectPr>
      </w:pPr>
    </w:p>
    <w:p w14:paraId="63F45A65">
      <w:pPr>
        <w:pStyle w:val="2"/>
        <w:spacing w:before="77" w:line="219" w:lineRule="auto"/>
        <w:rPr>
          <w:sz w:val="19"/>
          <w:szCs w:val="19"/>
        </w:rPr>
      </w:pPr>
      <w:r>
        <w:rPr>
          <w:rFonts w:ascii="Times New Roman" w:hAnsi="Times New Roman" w:eastAsia="Times New Roman" w:cs="Times New Roman"/>
          <w:spacing w:val="4"/>
          <w:position w:val="-3"/>
          <w:sz w:val="19"/>
          <w:szCs w:val="19"/>
        </w:rPr>
        <w:t xml:space="preserve">440              </w:t>
      </w:r>
      <w:r>
        <w:rPr>
          <w:spacing w:val="4"/>
          <w:sz w:val="19"/>
          <w:szCs w:val="19"/>
        </w:rPr>
        <w:t>信息系统监理师教程(第2版)</w:t>
      </w:r>
    </w:p>
    <w:p w14:paraId="1B1BB86A">
      <w:pPr>
        <w:spacing w:line="324" w:lineRule="auto"/>
        <w:rPr>
          <w:rFonts w:ascii="Arial"/>
          <w:sz w:val="21"/>
        </w:rPr>
      </w:pPr>
    </w:p>
    <w:p w14:paraId="6241BB93">
      <w:pPr>
        <w:pStyle w:val="2"/>
        <w:spacing w:before="61" w:line="219" w:lineRule="auto"/>
        <w:ind w:left="359"/>
        <w:rPr>
          <w:sz w:val="19"/>
          <w:szCs w:val="19"/>
        </w:rPr>
      </w:pPr>
      <w:r>
        <w:rPr>
          <w:spacing w:val="8"/>
          <w:sz w:val="19"/>
          <w:szCs w:val="19"/>
        </w:rPr>
        <w:t>相关服务，为业主单位决策提供依据。具体</w:t>
      </w:r>
      <w:r>
        <w:rPr>
          <w:spacing w:val="7"/>
          <w:sz w:val="19"/>
          <w:szCs w:val="19"/>
        </w:rPr>
        <w:t>包括：</w:t>
      </w:r>
    </w:p>
    <w:p w14:paraId="6EC7831D">
      <w:pPr>
        <w:pStyle w:val="2"/>
        <w:spacing w:before="103" w:line="217" w:lineRule="auto"/>
        <w:ind w:left="790"/>
        <w:rPr>
          <w:sz w:val="19"/>
          <w:szCs w:val="19"/>
        </w:rPr>
      </w:pPr>
      <w:r>
        <w:rPr>
          <w:spacing w:val="5"/>
          <w:sz w:val="19"/>
          <w:szCs w:val="19"/>
        </w:rPr>
        <w:t>①提出总体规划咨询意见；</w:t>
      </w:r>
    </w:p>
    <w:p w14:paraId="4FFCA795">
      <w:pPr>
        <w:pStyle w:val="2"/>
        <w:spacing w:before="86" w:line="217" w:lineRule="auto"/>
        <w:ind w:left="790"/>
        <w:rPr>
          <w:sz w:val="19"/>
          <w:szCs w:val="19"/>
        </w:rPr>
      </w:pPr>
      <w:r>
        <w:rPr>
          <w:spacing w:val="6"/>
          <w:sz w:val="19"/>
          <w:szCs w:val="19"/>
        </w:rPr>
        <w:t>②提出可行性研究编制要求和具体内容的分析意见；</w:t>
      </w:r>
    </w:p>
    <w:p w14:paraId="1F3D940F">
      <w:pPr>
        <w:pStyle w:val="2"/>
        <w:spacing w:before="87" w:line="217" w:lineRule="auto"/>
        <w:ind w:left="790"/>
        <w:rPr>
          <w:sz w:val="19"/>
          <w:szCs w:val="19"/>
        </w:rPr>
      </w:pPr>
      <w:r>
        <w:rPr>
          <w:spacing w:val="9"/>
          <w:sz w:val="19"/>
          <w:szCs w:val="19"/>
        </w:rPr>
        <w:t>③提出初步设计编制要求和具体建设内容的分析意见，确定分项建设任务的技术要求；</w:t>
      </w:r>
    </w:p>
    <w:p w14:paraId="30209C1B">
      <w:pPr>
        <w:pStyle w:val="2"/>
        <w:spacing w:before="97" w:line="217" w:lineRule="auto"/>
        <w:ind w:left="790"/>
        <w:rPr>
          <w:sz w:val="19"/>
          <w:szCs w:val="19"/>
        </w:rPr>
      </w:pPr>
      <w:r>
        <w:rPr>
          <w:spacing w:val="8"/>
          <w:sz w:val="19"/>
          <w:szCs w:val="19"/>
        </w:rPr>
        <w:t>④提出分项建设任务的深化设计方案的编制要求、建设实施的管理约束等咨询意见或建议；</w:t>
      </w:r>
    </w:p>
    <w:p w14:paraId="46C3CAAB">
      <w:pPr>
        <w:pStyle w:val="2"/>
        <w:spacing w:before="96" w:line="217" w:lineRule="auto"/>
        <w:ind w:left="790"/>
        <w:rPr>
          <w:sz w:val="19"/>
          <w:szCs w:val="19"/>
        </w:rPr>
      </w:pPr>
      <w:r>
        <w:rPr>
          <w:spacing w:val="6"/>
          <w:sz w:val="19"/>
          <w:szCs w:val="19"/>
        </w:rPr>
        <w:t>⑤协助组织技术方案专家论证、技术评审等活动；</w:t>
      </w:r>
    </w:p>
    <w:p w14:paraId="53FD32CE">
      <w:pPr>
        <w:pStyle w:val="2"/>
        <w:spacing w:before="107" w:line="217" w:lineRule="auto"/>
        <w:ind w:left="790"/>
        <w:rPr>
          <w:sz w:val="19"/>
          <w:szCs w:val="19"/>
        </w:rPr>
      </w:pPr>
      <w:r>
        <w:rPr>
          <w:spacing w:val="9"/>
          <w:sz w:val="19"/>
          <w:szCs w:val="19"/>
        </w:rPr>
        <w:t>⑥系统性监督整体及分项技术方案的优化、调整和完善，为建设</w:t>
      </w:r>
      <w:r>
        <w:rPr>
          <w:spacing w:val="8"/>
          <w:sz w:val="19"/>
          <w:szCs w:val="19"/>
        </w:rPr>
        <w:t>实施阶段奠定基础。</w:t>
      </w:r>
    </w:p>
    <w:p w14:paraId="5E4DA3AB">
      <w:pPr>
        <w:pStyle w:val="2"/>
        <w:spacing w:before="89" w:line="219" w:lineRule="auto"/>
        <w:ind w:left="790"/>
        <w:rPr>
          <w:sz w:val="19"/>
          <w:szCs w:val="19"/>
        </w:rPr>
      </w:pPr>
      <w:r>
        <w:rPr>
          <w:spacing w:val="10"/>
          <w:sz w:val="19"/>
          <w:szCs w:val="19"/>
        </w:rPr>
        <w:t>(3)对项目需求、项目计划和初步设计方案进行审查。具体包括：</w:t>
      </w:r>
    </w:p>
    <w:p w14:paraId="14640644">
      <w:pPr>
        <w:pStyle w:val="2"/>
        <w:spacing w:before="83" w:line="270" w:lineRule="auto"/>
        <w:ind w:left="359" w:right="56" w:firstLine="430"/>
        <w:rPr>
          <w:sz w:val="19"/>
          <w:szCs w:val="19"/>
        </w:rPr>
      </w:pPr>
      <w:r>
        <w:rPr>
          <w:spacing w:val="13"/>
          <w:sz w:val="19"/>
          <w:szCs w:val="19"/>
        </w:rPr>
        <w:t>①审查项目需求和初步设计方案是否按照要求进行了规范化的技术描述，能够为项目实施</w:t>
      </w:r>
      <w:r>
        <w:rPr>
          <w:spacing w:val="10"/>
          <w:sz w:val="19"/>
          <w:szCs w:val="19"/>
        </w:rPr>
        <w:t xml:space="preserve"> </w:t>
      </w:r>
      <w:r>
        <w:rPr>
          <w:spacing w:val="4"/>
          <w:sz w:val="19"/>
          <w:szCs w:val="19"/>
        </w:rPr>
        <w:t>提供优化的设计方案；</w:t>
      </w:r>
    </w:p>
    <w:p w14:paraId="01A10074">
      <w:pPr>
        <w:pStyle w:val="2"/>
        <w:spacing w:before="94" w:line="261" w:lineRule="auto"/>
        <w:ind w:left="359" w:right="48" w:firstLine="430"/>
        <w:rPr>
          <w:sz w:val="19"/>
          <w:szCs w:val="19"/>
        </w:rPr>
      </w:pPr>
      <w:r>
        <w:rPr>
          <w:spacing w:val="13"/>
          <w:sz w:val="19"/>
          <w:szCs w:val="19"/>
        </w:rPr>
        <w:t>②审查项目计划、初步设计方案是否满足项目需求，符合相关的法律法规和标准，与合同</w:t>
      </w:r>
      <w:r>
        <w:rPr>
          <w:spacing w:val="18"/>
          <w:sz w:val="19"/>
          <w:szCs w:val="19"/>
        </w:rPr>
        <w:t xml:space="preserve"> </w:t>
      </w:r>
      <w:r>
        <w:rPr>
          <w:spacing w:val="4"/>
          <w:sz w:val="19"/>
          <w:szCs w:val="19"/>
        </w:rPr>
        <w:t>相符，具有可验证性；</w:t>
      </w:r>
    </w:p>
    <w:p w14:paraId="1AD59DB5">
      <w:pPr>
        <w:pStyle w:val="2"/>
        <w:spacing w:before="72" w:line="217" w:lineRule="auto"/>
        <w:ind w:left="790"/>
        <w:rPr>
          <w:sz w:val="19"/>
          <w:szCs w:val="19"/>
        </w:rPr>
      </w:pPr>
      <w:r>
        <w:rPr>
          <w:spacing w:val="8"/>
          <w:sz w:val="19"/>
          <w:szCs w:val="19"/>
        </w:rPr>
        <w:t>③协助业主单位消除初步设计文档在进入实施阶段前可预见的缺陷。</w:t>
      </w:r>
    </w:p>
    <w:p w14:paraId="7814E260">
      <w:pPr>
        <w:pStyle w:val="2"/>
        <w:spacing w:before="89" w:line="219" w:lineRule="auto"/>
        <w:ind w:left="790"/>
        <w:rPr>
          <w:sz w:val="19"/>
          <w:szCs w:val="19"/>
        </w:rPr>
      </w:pPr>
      <w:r>
        <w:rPr>
          <w:spacing w:val="10"/>
          <w:sz w:val="19"/>
          <w:szCs w:val="19"/>
        </w:rPr>
        <w:t>(4)协助业主单位策划招标方法，适时提出咨询意见。具体包括：</w:t>
      </w:r>
    </w:p>
    <w:p w14:paraId="11CC18D4">
      <w:pPr>
        <w:pStyle w:val="2"/>
        <w:spacing w:before="92" w:line="217" w:lineRule="auto"/>
        <w:ind w:left="790"/>
        <w:rPr>
          <w:sz w:val="19"/>
          <w:szCs w:val="19"/>
        </w:rPr>
      </w:pPr>
      <w:r>
        <w:rPr>
          <w:spacing w:val="6"/>
          <w:sz w:val="19"/>
          <w:szCs w:val="19"/>
        </w:rPr>
        <w:t>①提出招投标拆包、分包的咨询意见；</w:t>
      </w:r>
    </w:p>
    <w:p w14:paraId="22F2CEC0">
      <w:pPr>
        <w:pStyle w:val="2"/>
        <w:spacing w:before="87" w:line="217" w:lineRule="auto"/>
        <w:ind w:left="790"/>
        <w:rPr>
          <w:sz w:val="19"/>
          <w:szCs w:val="19"/>
        </w:rPr>
      </w:pPr>
      <w:r>
        <w:rPr>
          <w:spacing w:val="6"/>
          <w:sz w:val="19"/>
          <w:szCs w:val="19"/>
        </w:rPr>
        <w:t>②提出分项建设任务的技术约束要求的咨询意见；</w:t>
      </w:r>
    </w:p>
    <w:p w14:paraId="6180BD3E">
      <w:pPr>
        <w:pStyle w:val="2"/>
        <w:spacing w:before="107" w:line="217" w:lineRule="auto"/>
        <w:ind w:left="790"/>
        <w:rPr>
          <w:sz w:val="19"/>
          <w:szCs w:val="19"/>
        </w:rPr>
      </w:pPr>
      <w:r>
        <w:rPr>
          <w:spacing w:val="7"/>
          <w:sz w:val="19"/>
          <w:szCs w:val="19"/>
        </w:rPr>
        <w:t>③提出分项建设任务的评标评分约定的咨询意见等。</w:t>
      </w:r>
    </w:p>
    <w:p w14:paraId="69A33F7A">
      <w:pPr>
        <w:pStyle w:val="2"/>
        <w:spacing w:before="218" w:line="219" w:lineRule="auto"/>
        <w:ind w:left="362"/>
        <w:rPr>
          <w:sz w:val="25"/>
          <w:szCs w:val="25"/>
        </w:rPr>
      </w:pPr>
      <w:r>
        <w:rPr>
          <w:b/>
          <w:bCs/>
          <w:color w:val="0078E1"/>
          <w:spacing w:val="-17"/>
          <w:sz w:val="25"/>
          <w:szCs w:val="25"/>
        </w:rPr>
        <w:t>20.1.2</w:t>
      </w:r>
      <w:r>
        <w:rPr>
          <w:color w:val="0078E1"/>
          <w:spacing w:val="94"/>
          <w:sz w:val="25"/>
          <w:szCs w:val="25"/>
        </w:rPr>
        <w:t xml:space="preserve"> </w:t>
      </w:r>
      <w:r>
        <w:rPr>
          <w:b/>
          <w:bCs/>
          <w:color w:val="0078E1"/>
          <w:spacing w:val="-17"/>
          <w:sz w:val="25"/>
          <w:szCs w:val="25"/>
        </w:rPr>
        <w:t>典型监理工作</w:t>
      </w:r>
    </w:p>
    <w:p w14:paraId="5BD04090">
      <w:pPr>
        <w:pStyle w:val="2"/>
        <w:spacing w:before="193" w:line="219" w:lineRule="auto"/>
        <w:ind w:left="790"/>
        <w:rPr>
          <w:sz w:val="19"/>
          <w:szCs w:val="19"/>
        </w:rPr>
      </w:pPr>
      <w:r>
        <w:rPr>
          <w:spacing w:val="6"/>
          <w:sz w:val="19"/>
          <w:szCs w:val="19"/>
        </w:rPr>
        <w:t>典型监理工作具体包括以下几个方面。</w:t>
      </w:r>
    </w:p>
    <w:p w14:paraId="6FF4BF7D">
      <w:pPr>
        <w:pStyle w:val="2"/>
        <w:spacing w:before="84" w:line="218" w:lineRule="auto"/>
        <w:ind w:left="790"/>
        <w:rPr>
          <w:sz w:val="19"/>
          <w:szCs w:val="19"/>
        </w:rPr>
      </w:pPr>
      <w:r>
        <w:rPr>
          <w:spacing w:val="11"/>
          <w:sz w:val="19"/>
          <w:szCs w:val="19"/>
        </w:rPr>
        <w:t>(1)参与编制可行性研究报告，协助编制投资概算。</w:t>
      </w:r>
    </w:p>
    <w:p w14:paraId="2E6D11C5">
      <w:pPr>
        <w:pStyle w:val="2"/>
        <w:spacing w:before="105" w:line="298" w:lineRule="auto"/>
        <w:ind w:left="359" w:firstLine="430"/>
        <w:rPr>
          <w:sz w:val="19"/>
          <w:szCs w:val="19"/>
        </w:rPr>
      </w:pPr>
      <w:r>
        <w:rPr>
          <w:spacing w:val="8"/>
          <w:sz w:val="19"/>
          <w:szCs w:val="19"/>
        </w:rPr>
        <w:t>可行性研究是建设项目前期工作的重要内容</w:t>
      </w:r>
      <w:r>
        <w:rPr>
          <w:spacing w:val="7"/>
          <w:sz w:val="19"/>
          <w:szCs w:val="19"/>
        </w:rPr>
        <w:t>，是建设项目投资决策的重要依据。可行性研究</w:t>
      </w:r>
      <w:r>
        <w:rPr>
          <w:sz w:val="19"/>
          <w:szCs w:val="19"/>
        </w:rPr>
        <w:t xml:space="preserve">  </w:t>
      </w:r>
      <w:r>
        <w:rPr>
          <w:spacing w:val="8"/>
          <w:sz w:val="19"/>
          <w:szCs w:val="19"/>
        </w:rPr>
        <w:t>的成果是可行性研究报告。按照国家有关部门的工程建设管理规定，政府投资项目必须进行可行</w:t>
      </w:r>
      <w:r>
        <w:rPr>
          <w:spacing w:val="6"/>
          <w:sz w:val="19"/>
          <w:szCs w:val="19"/>
        </w:rPr>
        <w:t xml:space="preserve">  </w:t>
      </w:r>
      <w:r>
        <w:rPr>
          <w:spacing w:val="8"/>
          <w:sz w:val="19"/>
          <w:szCs w:val="19"/>
        </w:rPr>
        <w:t>性研究，按照程序要求编制和报批可行性研究报告，其内容和深度参照国家发改委制定的《政府</w:t>
      </w:r>
      <w:r>
        <w:rPr>
          <w:spacing w:val="5"/>
          <w:sz w:val="19"/>
          <w:szCs w:val="19"/>
        </w:rPr>
        <w:t xml:space="preserve">  </w:t>
      </w:r>
      <w:r>
        <w:rPr>
          <w:spacing w:val="8"/>
          <w:sz w:val="19"/>
          <w:szCs w:val="19"/>
        </w:rPr>
        <w:t>投资项目可行性研究报告编制通用大纲》和相关说明及规定。企业投资项目的可行性研究，其内</w:t>
      </w:r>
      <w:r>
        <w:rPr>
          <w:sz w:val="19"/>
          <w:szCs w:val="19"/>
        </w:rPr>
        <w:t xml:space="preserve">  </w:t>
      </w:r>
      <w:r>
        <w:rPr>
          <w:spacing w:val="10"/>
          <w:sz w:val="19"/>
          <w:szCs w:val="19"/>
        </w:rPr>
        <w:t>容和深度可参照国家发改委制定的《企业投资项目可行性研究报告编制通用大纲》及相关说明。</w:t>
      </w:r>
      <w:r>
        <w:rPr>
          <w:spacing w:val="14"/>
          <w:sz w:val="19"/>
          <w:szCs w:val="19"/>
        </w:rPr>
        <w:t xml:space="preserve"> </w:t>
      </w:r>
      <w:r>
        <w:rPr>
          <w:spacing w:val="8"/>
          <w:sz w:val="19"/>
          <w:szCs w:val="19"/>
        </w:rPr>
        <w:t>其他投资项目应参照行业、地区、国家或国际组织有关规定或规范，根据项目性质及建设地点等</w:t>
      </w:r>
      <w:r>
        <w:rPr>
          <w:spacing w:val="6"/>
          <w:sz w:val="19"/>
          <w:szCs w:val="19"/>
        </w:rPr>
        <w:t xml:space="preserve">  </w:t>
      </w:r>
      <w:r>
        <w:rPr>
          <w:spacing w:val="8"/>
          <w:sz w:val="19"/>
          <w:szCs w:val="19"/>
        </w:rPr>
        <w:t>具体情况编制。相对于企业投资项目，政府投资项目的可行性研究更关注社会、经济发展需要和</w:t>
      </w:r>
      <w:r>
        <w:rPr>
          <w:spacing w:val="9"/>
          <w:sz w:val="19"/>
          <w:szCs w:val="19"/>
        </w:rPr>
        <w:t xml:space="preserve">  </w:t>
      </w:r>
      <w:r>
        <w:rPr>
          <w:spacing w:val="5"/>
          <w:sz w:val="19"/>
          <w:szCs w:val="19"/>
        </w:rPr>
        <w:t>财政可负担性，企业投资项目的可行性研究则聚焦于企业战略、投资收益、市场风险规避等内</w:t>
      </w:r>
      <w:r>
        <w:rPr>
          <w:spacing w:val="4"/>
          <w:sz w:val="19"/>
          <w:szCs w:val="19"/>
        </w:rPr>
        <w:t>容。</w:t>
      </w:r>
    </w:p>
    <w:p w14:paraId="2B8338F6">
      <w:pPr>
        <w:pStyle w:val="2"/>
        <w:spacing w:before="28" w:line="283" w:lineRule="auto"/>
        <w:ind w:left="359" w:right="83" w:firstLine="430"/>
        <w:rPr>
          <w:sz w:val="19"/>
          <w:szCs w:val="19"/>
        </w:rPr>
      </w:pPr>
      <w:r>
        <w:rPr>
          <w:spacing w:val="13"/>
          <w:sz w:val="19"/>
          <w:szCs w:val="19"/>
        </w:rPr>
        <w:t>在编写具体项目的可行性研究报告时，应结合项目</w:t>
      </w:r>
      <w:r>
        <w:rPr>
          <w:spacing w:val="12"/>
          <w:sz w:val="19"/>
          <w:szCs w:val="19"/>
        </w:rPr>
        <w:t>实际情况，对编制提纲所要求的内容予</w:t>
      </w:r>
      <w:r>
        <w:rPr>
          <w:sz w:val="19"/>
          <w:szCs w:val="19"/>
        </w:rPr>
        <w:t xml:space="preserve"> </w:t>
      </w:r>
      <w:r>
        <w:rPr>
          <w:spacing w:val="13"/>
          <w:sz w:val="19"/>
          <w:szCs w:val="19"/>
        </w:rPr>
        <w:t>以适当调整。信息系统工程建设项目可行性研究报</w:t>
      </w:r>
      <w:r>
        <w:rPr>
          <w:spacing w:val="12"/>
          <w:sz w:val="19"/>
          <w:szCs w:val="19"/>
        </w:rPr>
        <w:t>告编制提纲及说明如表20-1所示，可以作为</w:t>
      </w:r>
      <w:r>
        <w:rPr>
          <w:sz w:val="19"/>
          <w:szCs w:val="19"/>
        </w:rPr>
        <w:t xml:space="preserve"> </w:t>
      </w:r>
      <w:r>
        <w:rPr>
          <w:spacing w:val="7"/>
          <w:sz w:val="19"/>
          <w:szCs w:val="19"/>
        </w:rPr>
        <w:t>实践参考。</w:t>
      </w:r>
    </w:p>
    <w:p w14:paraId="333BA25D">
      <w:pPr>
        <w:spacing w:before="103" w:line="221" w:lineRule="auto"/>
        <w:ind w:left="2922"/>
        <w:rPr>
          <w:rFonts w:ascii="黑体" w:hAnsi="黑体" w:eastAsia="黑体" w:cs="黑体"/>
          <w:sz w:val="19"/>
          <w:szCs w:val="19"/>
        </w:rPr>
      </w:pPr>
      <w:r>
        <w:rPr>
          <w:rFonts w:ascii="黑体" w:hAnsi="黑体" w:eastAsia="黑体" w:cs="黑体"/>
          <w:b/>
          <w:bCs/>
          <w:spacing w:val="-8"/>
          <w:sz w:val="19"/>
          <w:szCs w:val="19"/>
        </w:rPr>
        <w:t>表20-1</w:t>
      </w:r>
      <w:r>
        <w:rPr>
          <w:rFonts w:ascii="黑体" w:hAnsi="黑体" w:eastAsia="黑体" w:cs="黑体"/>
          <w:spacing w:val="60"/>
          <w:sz w:val="19"/>
          <w:szCs w:val="19"/>
        </w:rPr>
        <w:t xml:space="preserve"> </w:t>
      </w:r>
      <w:r>
        <w:rPr>
          <w:rFonts w:ascii="黑体" w:hAnsi="黑体" w:eastAsia="黑体" w:cs="黑体"/>
          <w:b/>
          <w:bCs/>
          <w:spacing w:val="-8"/>
          <w:sz w:val="19"/>
          <w:szCs w:val="19"/>
        </w:rPr>
        <w:t>可行性研究报告编制提纲及说明</w:t>
      </w:r>
    </w:p>
    <w:p w14:paraId="1A08D3DF">
      <w:pPr>
        <w:spacing w:line="124" w:lineRule="exact"/>
      </w:pPr>
    </w:p>
    <w:tbl>
      <w:tblPr>
        <w:tblStyle w:val="5"/>
        <w:tblW w:w="8330" w:type="dxa"/>
        <w:tblInd w:w="3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0"/>
        <w:gridCol w:w="1930"/>
        <w:gridCol w:w="5900"/>
      </w:tblGrid>
      <w:tr w14:paraId="4C1C5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trPr>
        <w:tc>
          <w:tcPr>
            <w:tcW w:w="500" w:type="dxa"/>
            <w:tcBorders>
              <w:left w:val="nil"/>
            </w:tcBorders>
            <w:vAlign w:val="top"/>
          </w:tcPr>
          <w:p w14:paraId="2EB089AD">
            <w:pPr>
              <w:pStyle w:val="6"/>
              <w:spacing w:before="80" w:line="221" w:lineRule="auto"/>
              <w:ind w:left="72"/>
              <w:rPr>
                <w:sz w:val="18"/>
                <w:szCs w:val="18"/>
              </w:rPr>
            </w:pPr>
            <w:r>
              <w:rPr>
                <w:b/>
                <w:bCs/>
                <w:spacing w:val="-4"/>
                <w:sz w:val="18"/>
                <w:szCs w:val="18"/>
              </w:rPr>
              <w:t>序号</w:t>
            </w:r>
          </w:p>
        </w:tc>
        <w:tc>
          <w:tcPr>
            <w:tcW w:w="1930" w:type="dxa"/>
            <w:vAlign w:val="top"/>
          </w:tcPr>
          <w:p w14:paraId="2525CC07">
            <w:pPr>
              <w:pStyle w:val="6"/>
              <w:spacing w:before="78" w:line="219" w:lineRule="auto"/>
              <w:ind w:left="597"/>
              <w:rPr>
                <w:sz w:val="18"/>
                <w:szCs w:val="18"/>
              </w:rPr>
            </w:pPr>
            <w:r>
              <w:rPr>
                <w:b/>
                <w:bCs/>
                <w:spacing w:val="-5"/>
                <w:sz w:val="18"/>
                <w:szCs w:val="18"/>
              </w:rPr>
              <w:t>章节名称</w:t>
            </w:r>
          </w:p>
        </w:tc>
        <w:tc>
          <w:tcPr>
            <w:tcW w:w="5900" w:type="dxa"/>
            <w:tcBorders>
              <w:right w:val="nil"/>
            </w:tcBorders>
            <w:vAlign w:val="top"/>
          </w:tcPr>
          <w:p w14:paraId="4FB9F4FF">
            <w:pPr>
              <w:pStyle w:val="6"/>
              <w:spacing w:before="79" w:line="219" w:lineRule="auto"/>
              <w:ind w:left="2587"/>
              <w:rPr>
                <w:sz w:val="18"/>
                <w:szCs w:val="18"/>
              </w:rPr>
            </w:pPr>
            <w:r>
              <w:rPr>
                <w:b/>
                <w:bCs/>
                <w:spacing w:val="-2"/>
                <w:sz w:val="18"/>
                <w:szCs w:val="18"/>
              </w:rPr>
              <w:t>内容概述</w:t>
            </w:r>
          </w:p>
        </w:tc>
      </w:tr>
      <w:tr w14:paraId="03311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500" w:type="dxa"/>
            <w:tcBorders>
              <w:left w:val="nil"/>
            </w:tcBorders>
            <w:vAlign w:val="top"/>
          </w:tcPr>
          <w:p w14:paraId="53BF3638">
            <w:pPr>
              <w:pStyle w:val="6"/>
              <w:spacing w:before="226" w:line="184" w:lineRule="auto"/>
              <w:ind w:left="202"/>
              <w:rPr>
                <w:sz w:val="18"/>
                <w:szCs w:val="18"/>
              </w:rPr>
            </w:pPr>
            <w:r>
              <w:rPr>
                <w:b/>
                <w:bCs/>
                <w:spacing w:val="-2"/>
                <w:sz w:val="18"/>
                <w:szCs w:val="18"/>
              </w:rPr>
              <w:t>1</w:t>
            </w:r>
          </w:p>
        </w:tc>
        <w:tc>
          <w:tcPr>
            <w:tcW w:w="1930" w:type="dxa"/>
            <w:vAlign w:val="top"/>
          </w:tcPr>
          <w:p w14:paraId="57A32FC3">
            <w:pPr>
              <w:pStyle w:val="6"/>
              <w:spacing w:before="179" w:line="219" w:lineRule="auto"/>
              <w:ind w:left="597"/>
              <w:rPr>
                <w:sz w:val="18"/>
                <w:szCs w:val="18"/>
              </w:rPr>
            </w:pPr>
            <w:r>
              <w:rPr>
                <w:b/>
                <w:bCs/>
                <w:spacing w:val="-4"/>
                <w:sz w:val="18"/>
                <w:szCs w:val="18"/>
              </w:rPr>
              <w:t>项目概况</w:t>
            </w:r>
          </w:p>
        </w:tc>
        <w:tc>
          <w:tcPr>
            <w:tcW w:w="5900" w:type="dxa"/>
            <w:tcBorders>
              <w:right w:val="nil"/>
            </w:tcBorders>
            <w:vAlign w:val="top"/>
          </w:tcPr>
          <w:p w14:paraId="359AA2AA">
            <w:pPr>
              <w:pStyle w:val="6"/>
              <w:spacing w:before="58" w:line="241" w:lineRule="auto"/>
              <w:ind w:left="37" w:right="77" w:firstLine="29"/>
              <w:rPr>
                <w:sz w:val="18"/>
                <w:szCs w:val="18"/>
              </w:rPr>
            </w:pPr>
            <w:r>
              <w:rPr>
                <w:b/>
                <w:bCs/>
                <w:spacing w:val="-2"/>
                <w:sz w:val="18"/>
                <w:szCs w:val="18"/>
              </w:rPr>
              <w:t>项目全称及其简称；项目申报单位和编制单位；概述项</w:t>
            </w:r>
            <w:r>
              <w:rPr>
                <w:b/>
                <w:bCs/>
                <w:spacing w:val="-3"/>
                <w:sz w:val="18"/>
                <w:szCs w:val="18"/>
              </w:rPr>
              <w:t>目建设地点、建设</w:t>
            </w:r>
            <w:r>
              <w:rPr>
                <w:sz w:val="18"/>
                <w:szCs w:val="18"/>
              </w:rPr>
              <w:t xml:space="preserve"> </w:t>
            </w:r>
            <w:r>
              <w:rPr>
                <w:b/>
                <w:bCs/>
                <w:spacing w:val="-2"/>
                <w:sz w:val="18"/>
                <w:szCs w:val="18"/>
              </w:rPr>
              <w:t>内容和规模、主要产出、主要技术经济指标等</w:t>
            </w:r>
          </w:p>
        </w:tc>
      </w:tr>
    </w:tbl>
    <w:p w14:paraId="39D5D929">
      <w:pPr>
        <w:rPr>
          <w:rFonts w:ascii="Arial"/>
          <w:sz w:val="21"/>
        </w:rPr>
      </w:pPr>
    </w:p>
    <w:p w14:paraId="7E4C1E35">
      <w:pPr>
        <w:rPr>
          <w:rFonts w:ascii="Arial" w:hAnsi="Arial" w:eastAsia="Arial" w:cs="Arial"/>
          <w:sz w:val="21"/>
          <w:szCs w:val="21"/>
        </w:rPr>
        <w:sectPr>
          <w:pgSz w:w="10300" w:h="13420"/>
          <w:pgMar w:top="400" w:right="964" w:bottom="400" w:left="560" w:header="0" w:footer="0" w:gutter="0"/>
          <w:cols w:space="720" w:num="1"/>
        </w:sectPr>
      </w:pPr>
    </w:p>
    <w:p w14:paraId="18E50A79">
      <w:pPr>
        <w:pStyle w:val="2"/>
        <w:spacing w:before="77" w:line="222" w:lineRule="auto"/>
        <w:jc w:val="right"/>
        <w:rPr>
          <w:rFonts w:ascii="Times New Roman" w:hAnsi="Times New Roman" w:eastAsia="Times New Roman" w:cs="Times New Roman"/>
          <w:sz w:val="22"/>
          <w:szCs w:val="22"/>
        </w:rPr>
      </w:pPr>
      <w:bookmarkStart w:id="703" w:name="bookmark688"/>
      <w:bookmarkEnd w:id="703"/>
      <w:r>
        <w:rPr>
          <w:spacing w:val="1"/>
          <w:sz w:val="19"/>
          <w:szCs w:val="19"/>
        </w:rPr>
        <w:t>第20章 信息系统工程监理基础工作</w:t>
      </w:r>
      <w:r>
        <w:rPr>
          <w:spacing w:val="7"/>
          <w:sz w:val="19"/>
          <w:szCs w:val="19"/>
        </w:rPr>
        <w:t xml:space="preserve">     </w:t>
      </w:r>
      <w:r>
        <w:rPr>
          <w:rFonts w:ascii="Times New Roman" w:hAnsi="Times New Roman" w:eastAsia="Times New Roman" w:cs="Times New Roman"/>
          <w:spacing w:val="1"/>
          <w:position w:val="-5"/>
          <w:sz w:val="22"/>
          <w:szCs w:val="22"/>
        </w:rPr>
        <w:t>441</w:t>
      </w:r>
    </w:p>
    <w:p w14:paraId="6A0F11AE">
      <w:pPr>
        <w:spacing w:line="290" w:lineRule="auto"/>
        <w:rPr>
          <w:rFonts w:ascii="Arial"/>
          <w:sz w:val="21"/>
        </w:rPr>
      </w:pPr>
    </w:p>
    <w:p w14:paraId="6E51CBCE">
      <w:pPr>
        <w:pStyle w:val="2"/>
        <w:spacing w:before="58" w:line="220" w:lineRule="auto"/>
        <w:ind w:left="7779"/>
        <w:rPr>
          <w:sz w:val="18"/>
          <w:szCs w:val="18"/>
        </w:rPr>
      </w:pPr>
      <w:r>
        <w:rPr>
          <w:spacing w:val="9"/>
          <w:sz w:val="18"/>
          <w:szCs w:val="18"/>
        </w:rPr>
        <w:t>(续表)</w:t>
      </w:r>
    </w:p>
    <w:p w14:paraId="331F5CDC">
      <w:pPr>
        <w:spacing w:line="52" w:lineRule="exact"/>
      </w:pPr>
    </w:p>
    <w:tbl>
      <w:tblPr>
        <w:tblStyle w:val="5"/>
        <w:tblW w:w="83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0"/>
        <w:gridCol w:w="1929"/>
        <w:gridCol w:w="5890"/>
      </w:tblGrid>
      <w:tr w14:paraId="7BA7D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500" w:type="dxa"/>
            <w:tcBorders>
              <w:left w:val="nil"/>
            </w:tcBorders>
            <w:vAlign w:val="top"/>
          </w:tcPr>
          <w:p w14:paraId="0D021807">
            <w:pPr>
              <w:pStyle w:val="6"/>
              <w:spacing w:before="80" w:line="221" w:lineRule="auto"/>
              <w:ind w:left="72"/>
              <w:rPr>
                <w:sz w:val="18"/>
                <w:szCs w:val="18"/>
              </w:rPr>
            </w:pPr>
            <w:r>
              <w:rPr>
                <w:b/>
                <w:bCs/>
                <w:spacing w:val="-4"/>
                <w:sz w:val="18"/>
                <w:szCs w:val="18"/>
              </w:rPr>
              <w:t>序号</w:t>
            </w:r>
          </w:p>
        </w:tc>
        <w:tc>
          <w:tcPr>
            <w:tcW w:w="1929" w:type="dxa"/>
            <w:vAlign w:val="top"/>
          </w:tcPr>
          <w:p w14:paraId="17877E1E">
            <w:pPr>
              <w:pStyle w:val="6"/>
              <w:spacing w:before="78" w:line="219" w:lineRule="auto"/>
              <w:ind w:left="597"/>
              <w:rPr>
                <w:sz w:val="18"/>
                <w:szCs w:val="18"/>
              </w:rPr>
            </w:pPr>
            <w:r>
              <w:rPr>
                <w:b/>
                <w:bCs/>
                <w:spacing w:val="-5"/>
                <w:sz w:val="18"/>
                <w:szCs w:val="18"/>
              </w:rPr>
              <w:t>章节名称</w:t>
            </w:r>
          </w:p>
        </w:tc>
        <w:tc>
          <w:tcPr>
            <w:tcW w:w="5890" w:type="dxa"/>
            <w:tcBorders>
              <w:right w:val="nil"/>
            </w:tcBorders>
            <w:vAlign w:val="top"/>
          </w:tcPr>
          <w:p w14:paraId="3E714AA7">
            <w:pPr>
              <w:pStyle w:val="6"/>
              <w:spacing w:before="79" w:line="219" w:lineRule="auto"/>
              <w:ind w:left="2578"/>
              <w:rPr>
                <w:sz w:val="18"/>
                <w:szCs w:val="18"/>
              </w:rPr>
            </w:pPr>
            <w:r>
              <w:rPr>
                <w:b/>
                <w:bCs/>
                <w:spacing w:val="-2"/>
                <w:sz w:val="18"/>
                <w:szCs w:val="18"/>
              </w:rPr>
              <w:t>内容概述</w:t>
            </w:r>
          </w:p>
        </w:tc>
      </w:tr>
      <w:tr w14:paraId="12F54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500" w:type="dxa"/>
            <w:tcBorders>
              <w:left w:val="nil"/>
            </w:tcBorders>
            <w:vAlign w:val="top"/>
          </w:tcPr>
          <w:p w14:paraId="5BF663F1">
            <w:pPr>
              <w:spacing w:line="323" w:lineRule="auto"/>
              <w:rPr>
                <w:rFonts w:ascii="Arial"/>
                <w:sz w:val="21"/>
              </w:rPr>
            </w:pPr>
          </w:p>
          <w:p w14:paraId="71E2B8C5">
            <w:pPr>
              <w:pStyle w:val="6"/>
              <w:spacing w:before="58" w:line="183" w:lineRule="auto"/>
              <w:ind w:left="200"/>
              <w:rPr>
                <w:sz w:val="18"/>
                <w:szCs w:val="18"/>
              </w:rPr>
            </w:pPr>
            <w:r>
              <w:rPr>
                <w:sz w:val="18"/>
                <w:szCs w:val="18"/>
              </w:rPr>
              <w:t>2</w:t>
            </w:r>
          </w:p>
        </w:tc>
        <w:tc>
          <w:tcPr>
            <w:tcW w:w="1929" w:type="dxa"/>
            <w:vAlign w:val="top"/>
          </w:tcPr>
          <w:p w14:paraId="7900C671">
            <w:pPr>
              <w:spacing w:line="277" w:lineRule="auto"/>
              <w:rPr>
                <w:rFonts w:ascii="Arial"/>
                <w:sz w:val="21"/>
              </w:rPr>
            </w:pPr>
          </w:p>
          <w:p w14:paraId="28BEBA87">
            <w:pPr>
              <w:pStyle w:val="6"/>
              <w:spacing w:before="59" w:line="220" w:lineRule="auto"/>
              <w:ind w:left="595"/>
              <w:rPr>
                <w:sz w:val="18"/>
                <w:szCs w:val="18"/>
              </w:rPr>
            </w:pPr>
            <w:r>
              <w:rPr>
                <w:spacing w:val="-2"/>
                <w:sz w:val="18"/>
                <w:szCs w:val="18"/>
              </w:rPr>
              <w:t>业主单位</w:t>
            </w:r>
          </w:p>
        </w:tc>
        <w:tc>
          <w:tcPr>
            <w:tcW w:w="5890" w:type="dxa"/>
            <w:tcBorders>
              <w:right w:val="nil"/>
            </w:tcBorders>
            <w:vAlign w:val="top"/>
          </w:tcPr>
          <w:p w14:paraId="7B0E27DE">
            <w:pPr>
              <w:pStyle w:val="6"/>
              <w:spacing w:before="96" w:line="254" w:lineRule="auto"/>
              <w:ind w:left="55" w:right="75"/>
              <w:jc w:val="both"/>
              <w:rPr>
                <w:sz w:val="18"/>
                <w:szCs w:val="18"/>
              </w:rPr>
            </w:pPr>
            <w:r>
              <w:rPr>
                <w:sz w:val="18"/>
                <w:szCs w:val="18"/>
              </w:rPr>
              <w:t>项目法人的基本信息；业主单位与职能；项目实</w:t>
            </w:r>
            <w:r>
              <w:rPr>
                <w:spacing w:val="-1"/>
                <w:sz w:val="18"/>
                <w:szCs w:val="18"/>
              </w:rPr>
              <w:t>施机构与职责等；对于政</w:t>
            </w:r>
            <w:r>
              <w:rPr>
                <w:sz w:val="18"/>
                <w:szCs w:val="18"/>
              </w:rPr>
              <w:t xml:space="preserve"> 府资本金注入项目，还应简述项目公司基本信息、投资</w:t>
            </w:r>
            <w:r>
              <w:rPr>
                <w:spacing w:val="-1"/>
                <w:sz w:val="18"/>
                <w:szCs w:val="18"/>
              </w:rPr>
              <w:t>人或股东构成及政</w:t>
            </w:r>
            <w:r>
              <w:rPr>
                <w:sz w:val="18"/>
                <w:szCs w:val="18"/>
              </w:rPr>
              <w:t xml:space="preserve"> </w:t>
            </w:r>
            <w:r>
              <w:rPr>
                <w:spacing w:val="-1"/>
                <w:sz w:val="18"/>
                <w:szCs w:val="18"/>
              </w:rPr>
              <w:t>府出资人代表等</w:t>
            </w:r>
          </w:p>
        </w:tc>
      </w:tr>
      <w:tr w14:paraId="73679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500" w:type="dxa"/>
            <w:tcBorders>
              <w:left w:val="nil"/>
            </w:tcBorders>
            <w:vAlign w:val="top"/>
          </w:tcPr>
          <w:p w14:paraId="117A1E6C">
            <w:pPr>
              <w:pStyle w:val="6"/>
              <w:spacing w:before="244" w:line="183" w:lineRule="auto"/>
              <w:ind w:left="200"/>
              <w:rPr>
                <w:sz w:val="18"/>
                <w:szCs w:val="18"/>
              </w:rPr>
            </w:pPr>
            <w:r>
              <w:rPr>
                <w:sz w:val="18"/>
                <w:szCs w:val="18"/>
              </w:rPr>
              <w:t>3</w:t>
            </w:r>
          </w:p>
        </w:tc>
        <w:tc>
          <w:tcPr>
            <w:tcW w:w="1929" w:type="dxa"/>
            <w:vAlign w:val="top"/>
          </w:tcPr>
          <w:p w14:paraId="45762850">
            <w:pPr>
              <w:pStyle w:val="6"/>
              <w:spacing w:before="197" w:line="219" w:lineRule="auto"/>
              <w:ind w:left="595"/>
              <w:rPr>
                <w:sz w:val="18"/>
                <w:szCs w:val="18"/>
              </w:rPr>
            </w:pPr>
            <w:r>
              <w:rPr>
                <w:spacing w:val="-2"/>
                <w:sz w:val="18"/>
                <w:szCs w:val="18"/>
              </w:rPr>
              <w:t>编制依据</w:t>
            </w:r>
          </w:p>
        </w:tc>
        <w:tc>
          <w:tcPr>
            <w:tcW w:w="5890" w:type="dxa"/>
            <w:tcBorders>
              <w:right w:val="nil"/>
            </w:tcBorders>
            <w:vAlign w:val="top"/>
          </w:tcPr>
          <w:p w14:paraId="1131E1BD">
            <w:pPr>
              <w:pStyle w:val="6"/>
              <w:spacing w:before="78" w:line="247" w:lineRule="auto"/>
              <w:ind w:left="55" w:right="76"/>
              <w:rPr>
                <w:sz w:val="18"/>
                <w:szCs w:val="18"/>
              </w:rPr>
            </w:pPr>
            <w:r>
              <w:rPr>
                <w:sz w:val="18"/>
                <w:szCs w:val="18"/>
              </w:rPr>
              <w:t>概述项目建议书及其批复文件；国家和地方有关支持</w:t>
            </w:r>
            <w:r>
              <w:rPr>
                <w:spacing w:val="-1"/>
                <w:sz w:val="18"/>
                <w:szCs w:val="18"/>
              </w:rPr>
              <w:t>性规划；专题研究成</w:t>
            </w:r>
            <w:r>
              <w:rPr>
                <w:sz w:val="18"/>
                <w:szCs w:val="18"/>
              </w:rPr>
              <w:t xml:space="preserve"> </w:t>
            </w:r>
            <w:r>
              <w:rPr>
                <w:spacing w:val="-1"/>
                <w:sz w:val="18"/>
                <w:szCs w:val="18"/>
              </w:rPr>
              <w:t>果；委托合同以及其他依据、资料等</w:t>
            </w:r>
          </w:p>
        </w:tc>
      </w:tr>
      <w:tr w14:paraId="4C306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500" w:type="dxa"/>
            <w:tcBorders>
              <w:left w:val="nil"/>
            </w:tcBorders>
            <w:vAlign w:val="top"/>
          </w:tcPr>
          <w:p w14:paraId="370803B4">
            <w:pPr>
              <w:pStyle w:val="6"/>
              <w:spacing w:before="234" w:line="183" w:lineRule="auto"/>
              <w:ind w:left="200"/>
              <w:rPr>
                <w:sz w:val="18"/>
                <w:szCs w:val="18"/>
              </w:rPr>
            </w:pPr>
            <w:r>
              <w:rPr>
                <w:sz w:val="18"/>
                <w:szCs w:val="18"/>
              </w:rPr>
              <w:t>4</w:t>
            </w:r>
          </w:p>
        </w:tc>
        <w:tc>
          <w:tcPr>
            <w:tcW w:w="1929" w:type="dxa"/>
            <w:vAlign w:val="top"/>
          </w:tcPr>
          <w:p w14:paraId="77A6CB3B">
            <w:pPr>
              <w:pStyle w:val="6"/>
              <w:spacing w:before="188" w:line="219" w:lineRule="auto"/>
              <w:ind w:left="54"/>
              <w:rPr>
                <w:sz w:val="18"/>
                <w:szCs w:val="18"/>
              </w:rPr>
            </w:pPr>
            <w:r>
              <w:rPr>
                <w:spacing w:val="-1"/>
                <w:sz w:val="18"/>
                <w:szCs w:val="18"/>
              </w:rPr>
              <w:t>项目建设背景和必要性</w:t>
            </w:r>
          </w:p>
        </w:tc>
        <w:tc>
          <w:tcPr>
            <w:tcW w:w="5890" w:type="dxa"/>
            <w:tcBorders>
              <w:right w:val="nil"/>
            </w:tcBorders>
            <w:vAlign w:val="top"/>
          </w:tcPr>
          <w:p w14:paraId="6E807EA7">
            <w:pPr>
              <w:pStyle w:val="6"/>
              <w:spacing w:before="79" w:line="241" w:lineRule="auto"/>
              <w:ind w:left="55" w:right="54"/>
              <w:rPr>
                <w:sz w:val="18"/>
                <w:szCs w:val="18"/>
              </w:rPr>
            </w:pPr>
            <w:r>
              <w:rPr>
                <w:sz w:val="18"/>
                <w:szCs w:val="18"/>
              </w:rPr>
              <w:t>项目建设背景；项目前期工作进展情况；规划政策符合性；项目建设的必</w:t>
            </w:r>
            <w:r>
              <w:rPr>
                <w:spacing w:val="13"/>
                <w:sz w:val="18"/>
                <w:szCs w:val="18"/>
              </w:rPr>
              <w:t xml:space="preserve"> </w:t>
            </w:r>
            <w:r>
              <w:rPr>
                <w:spacing w:val="-2"/>
                <w:sz w:val="18"/>
                <w:szCs w:val="18"/>
              </w:rPr>
              <w:t>要性等</w:t>
            </w:r>
          </w:p>
        </w:tc>
      </w:tr>
      <w:tr w14:paraId="6F9CA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500" w:type="dxa"/>
            <w:tcBorders>
              <w:left w:val="nil"/>
            </w:tcBorders>
            <w:vAlign w:val="top"/>
          </w:tcPr>
          <w:p w14:paraId="53CD9133">
            <w:pPr>
              <w:spacing w:line="455" w:lineRule="auto"/>
              <w:rPr>
                <w:rFonts w:ascii="Arial"/>
                <w:sz w:val="21"/>
              </w:rPr>
            </w:pPr>
          </w:p>
          <w:p w14:paraId="136FF92F">
            <w:pPr>
              <w:pStyle w:val="6"/>
              <w:spacing w:before="59" w:line="182" w:lineRule="auto"/>
              <w:ind w:left="200"/>
              <w:rPr>
                <w:sz w:val="18"/>
                <w:szCs w:val="18"/>
              </w:rPr>
            </w:pPr>
            <w:r>
              <w:rPr>
                <w:sz w:val="18"/>
                <w:szCs w:val="18"/>
              </w:rPr>
              <w:t>5</w:t>
            </w:r>
          </w:p>
        </w:tc>
        <w:tc>
          <w:tcPr>
            <w:tcW w:w="1929" w:type="dxa"/>
            <w:vAlign w:val="top"/>
          </w:tcPr>
          <w:p w14:paraId="2D337DA5">
            <w:pPr>
              <w:spacing w:line="408" w:lineRule="auto"/>
              <w:rPr>
                <w:rFonts w:ascii="Arial"/>
                <w:sz w:val="21"/>
              </w:rPr>
            </w:pPr>
          </w:p>
          <w:p w14:paraId="2478B4EE">
            <w:pPr>
              <w:pStyle w:val="6"/>
              <w:spacing w:before="59" w:line="219" w:lineRule="auto"/>
              <w:ind w:left="145"/>
              <w:rPr>
                <w:sz w:val="18"/>
                <w:szCs w:val="18"/>
              </w:rPr>
            </w:pPr>
            <w:r>
              <w:rPr>
                <w:sz w:val="18"/>
                <w:szCs w:val="18"/>
              </w:rPr>
              <w:t>需求分析与项目任务</w:t>
            </w:r>
          </w:p>
        </w:tc>
        <w:tc>
          <w:tcPr>
            <w:tcW w:w="5890" w:type="dxa"/>
            <w:tcBorders>
              <w:right w:val="nil"/>
            </w:tcBorders>
            <w:vAlign w:val="top"/>
          </w:tcPr>
          <w:p w14:paraId="5F366FDC">
            <w:pPr>
              <w:pStyle w:val="6"/>
              <w:spacing w:before="99" w:line="219" w:lineRule="auto"/>
              <w:ind w:left="55"/>
              <w:rPr>
                <w:sz w:val="18"/>
                <w:szCs w:val="18"/>
              </w:rPr>
            </w:pPr>
            <w:r>
              <w:rPr>
                <w:sz w:val="18"/>
                <w:szCs w:val="18"/>
              </w:rPr>
              <w:t>项目需求分析；建设内容和规模；项目实施模式</w:t>
            </w:r>
            <w:r>
              <w:rPr>
                <w:spacing w:val="-1"/>
                <w:sz w:val="18"/>
                <w:szCs w:val="18"/>
              </w:rPr>
              <w:t>及理由；与组织业务职能</w:t>
            </w:r>
          </w:p>
          <w:p w14:paraId="426175F0">
            <w:pPr>
              <w:pStyle w:val="6"/>
              <w:spacing w:before="65" w:line="219" w:lineRule="auto"/>
              <w:ind w:left="146"/>
              <w:rPr>
                <w:sz w:val="18"/>
                <w:szCs w:val="18"/>
              </w:rPr>
            </w:pPr>
            <w:r>
              <w:rPr>
                <w:sz w:val="18"/>
                <w:szCs w:val="18"/>
              </w:rPr>
              <w:t>相关的社会问题和组织业务目标分析；业务功能、业</w:t>
            </w:r>
            <w:r>
              <w:rPr>
                <w:spacing w:val="-1"/>
                <w:sz w:val="18"/>
                <w:szCs w:val="18"/>
              </w:rPr>
              <w:t>务流程和业务量分</w:t>
            </w:r>
          </w:p>
          <w:p w14:paraId="0D35D225">
            <w:pPr>
              <w:pStyle w:val="6"/>
              <w:spacing w:before="57" w:line="219" w:lineRule="auto"/>
              <w:ind w:left="55"/>
              <w:rPr>
                <w:sz w:val="18"/>
                <w:szCs w:val="18"/>
              </w:rPr>
            </w:pPr>
            <w:r>
              <w:rPr>
                <w:spacing w:val="1"/>
                <w:sz w:val="18"/>
                <w:szCs w:val="18"/>
              </w:rPr>
              <w:t>析；信息量分析与预测；系统功能和性能需求</w:t>
            </w:r>
            <w:r>
              <w:rPr>
                <w:sz w:val="18"/>
                <w:szCs w:val="18"/>
              </w:rPr>
              <w:t>分析；信息系统装备和应用</w:t>
            </w:r>
          </w:p>
          <w:p w14:paraId="3E64E877">
            <w:pPr>
              <w:pStyle w:val="6"/>
              <w:spacing w:before="46" w:line="205" w:lineRule="auto"/>
              <w:ind w:left="55"/>
              <w:rPr>
                <w:sz w:val="18"/>
                <w:szCs w:val="18"/>
              </w:rPr>
            </w:pPr>
            <w:r>
              <w:rPr>
                <w:spacing w:val="-2"/>
                <w:sz w:val="18"/>
                <w:szCs w:val="18"/>
              </w:rPr>
              <w:t>现状与差距等</w:t>
            </w:r>
          </w:p>
        </w:tc>
      </w:tr>
      <w:tr w14:paraId="0F85D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00" w:type="dxa"/>
            <w:tcBorders>
              <w:left w:val="nil"/>
            </w:tcBorders>
            <w:vAlign w:val="top"/>
          </w:tcPr>
          <w:p w14:paraId="4FBA2D93">
            <w:pPr>
              <w:pStyle w:val="6"/>
              <w:spacing w:before="126" w:line="183" w:lineRule="auto"/>
              <w:ind w:left="200"/>
              <w:rPr>
                <w:sz w:val="18"/>
                <w:szCs w:val="18"/>
              </w:rPr>
            </w:pPr>
            <w:r>
              <w:rPr>
                <w:sz w:val="18"/>
                <w:szCs w:val="18"/>
              </w:rPr>
              <w:t>6</w:t>
            </w:r>
          </w:p>
        </w:tc>
        <w:tc>
          <w:tcPr>
            <w:tcW w:w="1929" w:type="dxa"/>
            <w:vAlign w:val="top"/>
          </w:tcPr>
          <w:p w14:paraId="233D7FE9">
            <w:pPr>
              <w:pStyle w:val="6"/>
              <w:spacing w:before="80" w:line="219" w:lineRule="auto"/>
              <w:ind w:left="145"/>
              <w:rPr>
                <w:sz w:val="18"/>
                <w:szCs w:val="18"/>
              </w:rPr>
            </w:pPr>
            <w:r>
              <w:rPr>
                <w:spacing w:val="-1"/>
                <w:sz w:val="18"/>
                <w:szCs w:val="18"/>
              </w:rPr>
              <w:t>建设条件与要素保障</w:t>
            </w:r>
          </w:p>
        </w:tc>
        <w:tc>
          <w:tcPr>
            <w:tcW w:w="5890" w:type="dxa"/>
            <w:tcBorders>
              <w:right w:val="nil"/>
            </w:tcBorders>
            <w:vAlign w:val="top"/>
          </w:tcPr>
          <w:p w14:paraId="2FB99995">
            <w:pPr>
              <w:pStyle w:val="6"/>
              <w:spacing w:before="80" w:line="219" w:lineRule="auto"/>
              <w:ind w:left="55"/>
              <w:rPr>
                <w:sz w:val="18"/>
                <w:szCs w:val="18"/>
              </w:rPr>
            </w:pPr>
            <w:r>
              <w:rPr>
                <w:spacing w:val="-1"/>
                <w:sz w:val="18"/>
                <w:szCs w:val="18"/>
              </w:rPr>
              <w:t>项目建设条件；要素保障情况；项目选址等</w:t>
            </w:r>
          </w:p>
        </w:tc>
      </w:tr>
      <w:tr w14:paraId="4E1FF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8" w:hRule="atLeast"/>
        </w:trPr>
        <w:tc>
          <w:tcPr>
            <w:tcW w:w="500" w:type="dxa"/>
            <w:tcBorders>
              <w:left w:val="nil"/>
            </w:tcBorders>
            <w:vAlign w:val="top"/>
          </w:tcPr>
          <w:p w14:paraId="38DDA23C">
            <w:pPr>
              <w:spacing w:line="288" w:lineRule="auto"/>
              <w:rPr>
                <w:rFonts w:ascii="Arial"/>
                <w:sz w:val="21"/>
              </w:rPr>
            </w:pPr>
          </w:p>
          <w:p w14:paraId="56C0F366">
            <w:pPr>
              <w:spacing w:line="288" w:lineRule="auto"/>
              <w:rPr>
                <w:rFonts w:ascii="Arial"/>
                <w:sz w:val="21"/>
              </w:rPr>
            </w:pPr>
          </w:p>
          <w:p w14:paraId="69B43E5E">
            <w:pPr>
              <w:spacing w:line="288" w:lineRule="auto"/>
              <w:rPr>
                <w:rFonts w:ascii="Arial"/>
                <w:sz w:val="21"/>
              </w:rPr>
            </w:pPr>
          </w:p>
          <w:p w14:paraId="1CBE09A1">
            <w:pPr>
              <w:pStyle w:val="6"/>
              <w:spacing w:before="58" w:line="182" w:lineRule="auto"/>
              <w:ind w:left="200"/>
              <w:rPr>
                <w:sz w:val="18"/>
                <w:szCs w:val="18"/>
              </w:rPr>
            </w:pPr>
            <w:r>
              <w:rPr>
                <w:sz w:val="18"/>
                <w:szCs w:val="18"/>
              </w:rPr>
              <w:t>7</w:t>
            </w:r>
          </w:p>
        </w:tc>
        <w:tc>
          <w:tcPr>
            <w:tcW w:w="1929" w:type="dxa"/>
            <w:vAlign w:val="top"/>
          </w:tcPr>
          <w:p w14:paraId="262C81C3">
            <w:pPr>
              <w:spacing w:line="272" w:lineRule="auto"/>
              <w:rPr>
                <w:rFonts w:ascii="Arial"/>
                <w:sz w:val="21"/>
              </w:rPr>
            </w:pPr>
          </w:p>
          <w:p w14:paraId="523C7F47">
            <w:pPr>
              <w:spacing w:line="272" w:lineRule="auto"/>
              <w:rPr>
                <w:rFonts w:ascii="Arial"/>
                <w:sz w:val="21"/>
              </w:rPr>
            </w:pPr>
          </w:p>
          <w:p w14:paraId="52607EA5">
            <w:pPr>
              <w:spacing w:line="273" w:lineRule="auto"/>
              <w:rPr>
                <w:rFonts w:ascii="Arial"/>
                <w:sz w:val="21"/>
              </w:rPr>
            </w:pPr>
          </w:p>
          <w:p w14:paraId="41FC3879">
            <w:pPr>
              <w:pStyle w:val="6"/>
              <w:spacing w:before="58" w:line="220" w:lineRule="auto"/>
              <w:ind w:left="415"/>
              <w:rPr>
                <w:sz w:val="18"/>
                <w:szCs w:val="18"/>
              </w:rPr>
            </w:pPr>
            <w:r>
              <w:rPr>
                <w:spacing w:val="1"/>
                <w:sz w:val="18"/>
                <w:szCs w:val="18"/>
              </w:rPr>
              <w:t>总体建设方案</w:t>
            </w:r>
          </w:p>
        </w:tc>
        <w:tc>
          <w:tcPr>
            <w:tcW w:w="5890" w:type="dxa"/>
            <w:tcBorders>
              <w:right w:val="nil"/>
            </w:tcBorders>
            <w:vAlign w:val="top"/>
          </w:tcPr>
          <w:p w14:paraId="38B2CCB3">
            <w:pPr>
              <w:pStyle w:val="6"/>
              <w:spacing w:before="80" w:line="219" w:lineRule="auto"/>
              <w:jc w:val="right"/>
              <w:rPr>
                <w:sz w:val="18"/>
                <w:szCs w:val="18"/>
              </w:rPr>
            </w:pPr>
            <w:r>
              <w:rPr>
                <w:spacing w:val="2"/>
                <w:sz w:val="18"/>
                <w:szCs w:val="18"/>
              </w:rPr>
              <w:t>建设原则和策略；总体目标与分期目标；总体建设任务与分期建设内容；</w:t>
            </w:r>
          </w:p>
          <w:p w14:paraId="051D97FC">
            <w:pPr>
              <w:pStyle w:val="6"/>
              <w:spacing w:before="65" w:line="219" w:lineRule="auto"/>
              <w:ind w:left="55"/>
              <w:rPr>
                <w:sz w:val="18"/>
                <w:szCs w:val="18"/>
              </w:rPr>
            </w:pPr>
            <w:r>
              <w:rPr>
                <w:sz w:val="18"/>
                <w:szCs w:val="18"/>
              </w:rPr>
              <w:t>建设方案相对项目建议书批复变更调整情况的</w:t>
            </w:r>
            <w:r>
              <w:rPr>
                <w:spacing w:val="-1"/>
                <w:sz w:val="18"/>
                <w:szCs w:val="18"/>
              </w:rPr>
              <w:t>详细说明；总体设计方</w:t>
            </w:r>
          </w:p>
          <w:p w14:paraId="18999811">
            <w:pPr>
              <w:pStyle w:val="6"/>
              <w:spacing w:before="67" w:line="219" w:lineRule="auto"/>
              <w:ind w:left="55"/>
              <w:rPr>
                <w:sz w:val="18"/>
                <w:szCs w:val="18"/>
              </w:rPr>
            </w:pPr>
            <w:r>
              <w:rPr>
                <w:sz w:val="18"/>
                <w:szCs w:val="18"/>
              </w:rPr>
              <w:t>案；项目技术方案(对于关键核心技术，需要</w:t>
            </w:r>
            <w:r>
              <w:rPr>
                <w:spacing w:val="-1"/>
                <w:sz w:val="18"/>
                <w:szCs w:val="18"/>
              </w:rPr>
              <w:t>分析其知识产权和自主</w:t>
            </w:r>
          </w:p>
          <w:p w14:paraId="0917BAA6">
            <w:pPr>
              <w:pStyle w:val="6"/>
              <w:spacing w:before="57" w:line="258" w:lineRule="auto"/>
              <w:ind w:left="16" w:right="275" w:firstLine="39"/>
              <w:rPr>
                <w:sz w:val="18"/>
                <w:szCs w:val="18"/>
              </w:rPr>
            </w:pPr>
            <w:r>
              <w:rPr>
                <w:sz w:val="18"/>
                <w:szCs w:val="18"/>
              </w:rPr>
              <w:t>可控性，如果关键技术源于国外进口，需要关注可能存在的"卡脖子"</w:t>
            </w:r>
            <w:r>
              <w:rPr>
                <w:spacing w:val="6"/>
                <w:sz w:val="18"/>
                <w:szCs w:val="18"/>
              </w:rPr>
              <w:t xml:space="preserve">  </w:t>
            </w:r>
            <w:r>
              <w:rPr>
                <w:spacing w:val="1"/>
                <w:sz w:val="18"/>
                <w:szCs w:val="18"/>
              </w:rPr>
              <w:t>技术风险，保障项目的产业链供应链安全稳定);项目设备方案(包括关</w:t>
            </w:r>
            <w:r>
              <w:rPr>
                <w:sz w:val="18"/>
                <w:szCs w:val="18"/>
              </w:rPr>
              <w:t xml:space="preserve">  键设备推荐方案及进口设备国产化替代状况);项目工程方案；建设管理</w:t>
            </w:r>
            <w:r>
              <w:rPr>
                <w:spacing w:val="12"/>
                <w:sz w:val="18"/>
                <w:szCs w:val="18"/>
              </w:rPr>
              <w:t xml:space="preserve"> </w:t>
            </w:r>
            <w:r>
              <w:rPr>
                <w:spacing w:val="-2"/>
                <w:sz w:val="18"/>
                <w:szCs w:val="18"/>
              </w:rPr>
              <w:t>方案等</w:t>
            </w:r>
          </w:p>
        </w:tc>
      </w:tr>
      <w:tr w14:paraId="3D5EE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9" w:hRule="atLeast"/>
        </w:trPr>
        <w:tc>
          <w:tcPr>
            <w:tcW w:w="500" w:type="dxa"/>
            <w:tcBorders>
              <w:left w:val="nil"/>
            </w:tcBorders>
            <w:vAlign w:val="top"/>
          </w:tcPr>
          <w:p w14:paraId="1E215552">
            <w:pPr>
              <w:spacing w:line="293" w:lineRule="auto"/>
              <w:rPr>
                <w:rFonts w:ascii="Arial"/>
                <w:sz w:val="21"/>
              </w:rPr>
            </w:pPr>
          </w:p>
          <w:p w14:paraId="79DED2C5">
            <w:pPr>
              <w:spacing w:line="293" w:lineRule="auto"/>
              <w:rPr>
                <w:rFonts w:ascii="Arial"/>
                <w:sz w:val="21"/>
              </w:rPr>
            </w:pPr>
          </w:p>
          <w:p w14:paraId="23B1FC9B">
            <w:pPr>
              <w:pStyle w:val="6"/>
              <w:spacing w:before="59" w:line="183" w:lineRule="auto"/>
              <w:ind w:left="200"/>
              <w:rPr>
                <w:sz w:val="18"/>
                <w:szCs w:val="18"/>
              </w:rPr>
            </w:pPr>
            <w:r>
              <w:rPr>
                <w:sz w:val="18"/>
                <w:szCs w:val="18"/>
              </w:rPr>
              <w:t>8</w:t>
            </w:r>
          </w:p>
        </w:tc>
        <w:tc>
          <w:tcPr>
            <w:tcW w:w="1929" w:type="dxa"/>
            <w:vAlign w:val="top"/>
          </w:tcPr>
          <w:p w14:paraId="59792083">
            <w:pPr>
              <w:spacing w:line="270" w:lineRule="auto"/>
              <w:rPr>
                <w:rFonts w:ascii="Arial"/>
                <w:sz w:val="21"/>
              </w:rPr>
            </w:pPr>
          </w:p>
          <w:p w14:paraId="51537E82">
            <w:pPr>
              <w:spacing w:line="270" w:lineRule="auto"/>
              <w:rPr>
                <w:rFonts w:ascii="Arial"/>
                <w:sz w:val="21"/>
              </w:rPr>
            </w:pPr>
          </w:p>
          <w:p w14:paraId="512AECEB">
            <w:pPr>
              <w:pStyle w:val="6"/>
              <w:spacing w:before="59" w:line="219" w:lineRule="auto"/>
              <w:ind w:left="54"/>
              <w:rPr>
                <w:sz w:val="18"/>
                <w:szCs w:val="18"/>
              </w:rPr>
            </w:pPr>
            <w:r>
              <w:rPr>
                <w:spacing w:val="-1"/>
                <w:sz w:val="18"/>
                <w:szCs w:val="18"/>
              </w:rPr>
              <w:t>信息系统建设常见方案</w:t>
            </w:r>
          </w:p>
        </w:tc>
        <w:tc>
          <w:tcPr>
            <w:tcW w:w="5890" w:type="dxa"/>
            <w:tcBorders>
              <w:right w:val="nil"/>
            </w:tcBorders>
            <w:vAlign w:val="top"/>
          </w:tcPr>
          <w:p w14:paraId="5F7241CF">
            <w:pPr>
              <w:pStyle w:val="6"/>
              <w:spacing w:before="91" w:line="260" w:lineRule="auto"/>
              <w:ind w:left="55" w:right="51"/>
              <w:jc w:val="both"/>
              <w:rPr>
                <w:sz w:val="18"/>
                <w:szCs w:val="18"/>
              </w:rPr>
            </w:pPr>
            <w:r>
              <w:rPr>
                <w:sz w:val="18"/>
                <w:szCs w:val="18"/>
              </w:rPr>
              <w:t>标准规范建设内容；信息资源规划和数据库建设方案</w:t>
            </w:r>
            <w:r>
              <w:rPr>
                <w:spacing w:val="-1"/>
                <w:sz w:val="18"/>
                <w:szCs w:val="18"/>
              </w:rPr>
              <w:t>；应用支撑平台和应</w:t>
            </w:r>
            <w:r>
              <w:rPr>
                <w:sz w:val="18"/>
                <w:szCs w:val="18"/>
              </w:rPr>
              <w:t xml:space="preserve"> 用系统建设方案；数据处理和存储系统建设方案；终端系统建设方案；网</w:t>
            </w:r>
            <w:r>
              <w:rPr>
                <w:spacing w:val="16"/>
                <w:sz w:val="18"/>
                <w:szCs w:val="18"/>
              </w:rPr>
              <w:t xml:space="preserve"> </w:t>
            </w:r>
            <w:r>
              <w:rPr>
                <w:sz w:val="18"/>
                <w:szCs w:val="18"/>
              </w:rPr>
              <w:t>络系统建设方案；安全系统建设方案；备份系统建设</w:t>
            </w:r>
            <w:r>
              <w:rPr>
                <w:spacing w:val="-1"/>
                <w:sz w:val="18"/>
                <w:szCs w:val="18"/>
              </w:rPr>
              <w:t>方案；运行维护系统</w:t>
            </w:r>
            <w:r>
              <w:rPr>
                <w:sz w:val="18"/>
                <w:szCs w:val="18"/>
              </w:rPr>
              <w:t xml:space="preserve"> 建设方案；其他系统建设方案；主要软硬件选型</w:t>
            </w:r>
            <w:r>
              <w:rPr>
                <w:spacing w:val="-1"/>
                <w:sz w:val="18"/>
                <w:szCs w:val="18"/>
              </w:rPr>
              <w:t>原则和详细软硬件配置清</w:t>
            </w:r>
            <w:r>
              <w:rPr>
                <w:sz w:val="18"/>
                <w:szCs w:val="18"/>
              </w:rPr>
              <w:t xml:space="preserve"> </w:t>
            </w:r>
            <w:r>
              <w:rPr>
                <w:spacing w:val="-1"/>
                <w:sz w:val="18"/>
                <w:szCs w:val="18"/>
              </w:rPr>
              <w:t>单；机房及配套工程建设方案</w:t>
            </w:r>
          </w:p>
        </w:tc>
      </w:tr>
      <w:tr w14:paraId="0888E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500" w:type="dxa"/>
            <w:tcBorders>
              <w:left w:val="nil"/>
            </w:tcBorders>
            <w:vAlign w:val="top"/>
          </w:tcPr>
          <w:p w14:paraId="6869FC05">
            <w:pPr>
              <w:spacing w:line="309" w:lineRule="auto"/>
              <w:rPr>
                <w:rFonts w:ascii="Arial"/>
                <w:sz w:val="21"/>
              </w:rPr>
            </w:pPr>
          </w:p>
          <w:p w14:paraId="3F1B93D2">
            <w:pPr>
              <w:pStyle w:val="6"/>
              <w:spacing w:before="59" w:line="183" w:lineRule="auto"/>
              <w:ind w:left="200"/>
              <w:rPr>
                <w:sz w:val="18"/>
                <w:szCs w:val="18"/>
              </w:rPr>
            </w:pPr>
            <w:r>
              <w:rPr>
                <w:sz w:val="18"/>
                <w:szCs w:val="18"/>
              </w:rPr>
              <w:t>9</w:t>
            </w:r>
          </w:p>
        </w:tc>
        <w:tc>
          <w:tcPr>
            <w:tcW w:w="1929" w:type="dxa"/>
            <w:vAlign w:val="top"/>
          </w:tcPr>
          <w:p w14:paraId="10FB522C">
            <w:pPr>
              <w:spacing w:line="263" w:lineRule="auto"/>
              <w:rPr>
                <w:rFonts w:ascii="Arial"/>
                <w:sz w:val="21"/>
              </w:rPr>
            </w:pPr>
          </w:p>
          <w:p w14:paraId="7C5B2A4F">
            <w:pPr>
              <w:pStyle w:val="6"/>
              <w:spacing w:before="58" w:line="219" w:lineRule="auto"/>
              <w:ind w:left="415"/>
              <w:rPr>
                <w:sz w:val="18"/>
                <w:szCs w:val="18"/>
              </w:rPr>
            </w:pPr>
            <w:r>
              <w:rPr>
                <w:spacing w:val="-2"/>
                <w:sz w:val="18"/>
                <w:szCs w:val="18"/>
              </w:rPr>
              <w:t>建设管理方案</w:t>
            </w:r>
          </w:p>
        </w:tc>
        <w:tc>
          <w:tcPr>
            <w:tcW w:w="5890" w:type="dxa"/>
            <w:tcBorders>
              <w:right w:val="nil"/>
            </w:tcBorders>
            <w:vAlign w:val="top"/>
          </w:tcPr>
          <w:p w14:paraId="2AB84560">
            <w:pPr>
              <w:pStyle w:val="6"/>
              <w:spacing w:before="83" w:line="248" w:lineRule="auto"/>
              <w:ind w:left="55" w:right="44"/>
              <w:jc w:val="both"/>
              <w:rPr>
                <w:sz w:val="18"/>
                <w:szCs w:val="18"/>
              </w:rPr>
            </w:pPr>
            <w:r>
              <w:rPr>
                <w:sz w:val="18"/>
                <w:szCs w:val="18"/>
              </w:rPr>
              <w:t>项目组织实施的关键岗位职责和人员配备标准；</w:t>
            </w:r>
            <w:r>
              <w:rPr>
                <w:spacing w:val="-1"/>
                <w:sz w:val="18"/>
                <w:szCs w:val="18"/>
              </w:rPr>
              <w:t>项目总工期；对项目建设</w:t>
            </w:r>
            <w:r>
              <w:rPr>
                <w:sz w:val="18"/>
                <w:szCs w:val="18"/>
              </w:rPr>
              <w:t xml:space="preserve"> </w:t>
            </w:r>
            <w:r>
              <w:rPr>
                <w:spacing w:val="1"/>
                <w:sz w:val="18"/>
                <w:szCs w:val="18"/>
              </w:rPr>
              <w:t>主要里程碑做出时序性安排；招标范围、招标组织形</w:t>
            </w:r>
            <w:r>
              <w:rPr>
                <w:sz w:val="18"/>
                <w:szCs w:val="18"/>
              </w:rPr>
              <w:t>式和招标方式等在内 的拟建项目招标方案等</w:t>
            </w:r>
          </w:p>
        </w:tc>
      </w:tr>
      <w:tr w14:paraId="78653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0" w:type="dxa"/>
            <w:tcBorders>
              <w:left w:val="nil"/>
            </w:tcBorders>
            <w:vAlign w:val="top"/>
          </w:tcPr>
          <w:p w14:paraId="7FFC007D">
            <w:pPr>
              <w:pStyle w:val="6"/>
              <w:spacing w:before="129" w:line="184" w:lineRule="auto"/>
              <w:ind w:left="160"/>
              <w:rPr>
                <w:sz w:val="18"/>
                <w:szCs w:val="18"/>
              </w:rPr>
            </w:pPr>
            <w:r>
              <w:rPr>
                <w:spacing w:val="-6"/>
                <w:sz w:val="18"/>
                <w:szCs w:val="18"/>
              </w:rPr>
              <w:t>10</w:t>
            </w:r>
          </w:p>
        </w:tc>
        <w:tc>
          <w:tcPr>
            <w:tcW w:w="1929" w:type="dxa"/>
            <w:vAlign w:val="top"/>
          </w:tcPr>
          <w:p w14:paraId="674C47A0">
            <w:pPr>
              <w:pStyle w:val="6"/>
              <w:spacing w:before="84" w:line="220" w:lineRule="auto"/>
              <w:ind w:left="415"/>
              <w:rPr>
                <w:sz w:val="18"/>
                <w:szCs w:val="18"/>
              </w:rPr>
            </w:pPr>
            <w:r>
              <w:rPr>
                <w:spacing w:val="-2"/>
                <w:sz w:val="18"/>
                <w:szCs w:val="18"/>
              </w:rPr>
              <w:t>项目运营方案</w:t>
            </w:r>
          </w:p>
        </w:tc>
        <w:tc>
          <w:tcPr>
            <w:tcW w:w="5890" w:type="dxa"/>
            <w:tcBorders>
              <w:right w:val="nil"/>
            </w:tcBorders>
            <w:vAlign w:val="top"/>
          </w:tcPr>
          <w:p w14:paraId="07A9B6A6">
            <w:pPr>
              <w:pStyle w:val="6"/>
              <w:spacing w:before="84" w:line="219" w:lineRule="auto"/>
              <w:ind w:left="36"/>
              <w:rPr>
                <w:sz w:val="18"/>
                <w:szCs w:val="18"/>
              </w:rPr>
            </w:pPr>
            <w:r>
              <w:rPr>
                <w:sz w:val="18"/>
                <w:szCs w:val="18"/>
              </w:rPr>
              <w:t>运营模式选择；运营组织方案；安全管理和应急方案</w:t>
            </w:r>
            <w:r>
              <w:rPr>
                <w:spacing w:val="-1"/>
                <w:sz w:val="18"/>
                <w:szCs w:val="18"/>
              </w:rPr>
              <w:t>；绩效管理方案等</w:t>
            </w:r>
          </w:p>
        </w:tc>
      </w:tr>
      <w:tr w14:paraId="0994F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500" w:type="dxa"/>
            <w:tcBorders>
              <w:left w:val="nil"/>
            </w:tcBorders>
            <w:vAlign w:val="top"/>
          </w:tcPr>
          <w:p w14:paraId="393D7466">
            <w:pPr>
              <w:pStyle w:val="6"/>
              <w:spacing w:before="239" w:line="184" w:lineRule="auto"/>
              <w:ind w:left="160"/>
              <w:rPr>
                <w:sz w:val="18"/>
                <w:szCs w:val="18"/>
              </w:rPr>
            </w:pPr>
            <w:r>
              <w:rPr>
                <w:spacing w:val="-6"/>
                <w:sz w:val="18"/>
                <w:szCs w:val="18"/>
              </w:rPr>
              <w:t>11</w:t>
            </w:r>
          </w:p>
        </w:tc>
        <w:tc>
          <w:tcPr>
            <w:tcW w:w="1929" w:type="dxa"/>
            <w:vAlign w:val="top"/>
          </w:tcPr>
          <w:p w14:paraId="109F4B47">
            <w:pPr>
              <w:pStyle w:val="6"/>
              <w:spacing w:before="194" w:line="219" w:lineRule="auto"/>
              <w:ind w:left="145"/>
              <w:rPr>
                <w:sz w:val="18"/>
                <w:szCs w:val="18"/>
              </w:rPr>
            </w:pPr>
            <w:r>
              <w:rPr>
                <w:spacing w:val="-1"/>
                <w:sz w:val="18"/>
                <w:szCs w:val="18"/>
              </w:rPr>
              <w:t>项目融资与财务方案</w:t>
            </w:r>
          </w:p>
        </w:tc>
        <w:tc>
          <w:tcPr>
            <w:tcW w:w="5890" w:type="dxa"/>
            <w:tcBorders>
              <w:right w:val="nil"/>
            </w:tcBorders>
            <w:vAlign w:val="top"/>
          </w:tcPr>
          <w:p w14:paraId="40F76D4D">
            <w:pPr>
              <w:pStyle w:val="6"/>
              <w:spacing w:before="82" w:line="234" w:lineRule="auto"/>
              <w:ind w:left="55" w:right="57"/>
              <w:rPr>
                <w:sz w:val="18"/>
                <w:szCs w:val="18"/>
              </w:rPr>
            </w:pPr>
            <w:r>
              <w:rPr>
                <w:sz w:val="18"/>
                <w:szCs w:val="18"/>
              </w:rPr>
              <w:t>项目投资估算及说明；项目盈利能力分析；项目融资方案；项目运维经费</w:t>
            </w:r>
            <w:r>
              <w:rPr>
                <w:spacing w:val="10"/>
                <w:sz w:val="18"/>
                <w:szCs w:val="18"/>
              </w:rPr>
              <w:t xml:space="preserve"> </w:t>
            </w:r>
            <w:r>
              <w:rPr>
                <w:sz w:val="18"/>
                <w:szCs w:val="18"/>
              </w:rPr>
              <w:t>估算；资金使用计划；债务清偿能力评价；财</w:t>
            </w:r>
            <w:r>
              <w:rPr>
                <w:spacing w:val="-1"/>
                <w:sz w:val="18"/>
                <w:szCs w:val="18"/>
              </w:rPr>
              <w:t>务可持续性评价等</w:t>
            </w:r>
          </w:p>
        </w:tc>
      </w:tr>
      <w:tr w14:paraId="30594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500" w:type="dxa"/>
            <w:tcBorders>
              <w:left w:val="nil"/>
            </w:tcBorders>
            <w:vAlign w:val="top"/>
          </w:tcPr>
          <w:p w14:paraId="4E2D24FD">
            <w:pPr>
              <w:spacing w:line="310" w:lineRule="auto"/>
              <w:rPr>
                <w:rFonts w:ascii="Arial"/>
                <w:sz w:val="21"/>
              </w:rPr>
            </w:pPr>
          </w:p>
          <w:p w14:paraId="515533E4">
            <w:pPr>
              <w:pStyle w:val="6"/>
              <w:spacing w:before="59" w:line="184" w:lineRule="auto"/>
              <w:ind w:left="160"/>
              <w:rPr>
                <w:sz w:val="18"/>
                <w:szCs w:val="18"/>
              </w:rPr>
            </w:pPr>
            <w:r>
              <w:rPr>
                <w:spacing w:val="-6"/>
                <w:sz w:val="18"/>
                <w:szCs w:val="18"/>
              </w:rPr>
              <w:t>12</w:t>
            </w:r>
          </w:p>
        </w:tc>
        <w:tc>
          <w:tcPr>
            <w:tcW w:w="1929" w:type="dxa"/>
            <w:vAlign w:val="top"/>
          </w:tcPr>
          <w:p w14:paraId="4FA4399E">
            <w:pPr>
              <w:spacing w:line="265" w:lineRule="auto"/>
              <w:rPr>
                <w:rFonts w:ascii="Arial"/>
                <w:sz w:val="21"/>
              </w:rPr>
            </w:pPr>
          </w:p>
          <w:p w14:paraId="554D1B3E">
            <w:pPr>
              <w:pStyle w:val="6"/>
              <w:spacing w:before="59" w:line="220" w:lineRule="auto"/>
              <w:ind w:left="54"/>
              <w:rPr>
                <w:sz w:val="18"/>
                <w:szCs w:val="18"/>
              </w:rPr>
            </w:pPr>
            <w:r>
              <w:rPr>
                <w:spacing w:val="-1"/>
                <w:sz w:val="18"/>
                <w:szCs w:val="18"/>
              </w:rPr>
              <w:t>项目影响效果专题分析</w:t>
            </w:r>
          </w:p>
        </w:tc>
        <w:tc>
          <w:tcPr>
            <w:tcW w:w="5890" w:type="dxa"/>
            <w:tcBorders>
              <w:right w:val="nil"/>
            </w:tcBorders>
            <w:vAlign w:val="top"/>
          </w:tcPr>
          <w:p w14:paraId="7BB8B78E">
            <w:pPr>
              <w:pStyle w:val="6"/>
              <w:spacing w:before="74" w:line="251" w:lineRule="auto"/>
              <w:ind w:left="55" w:right="51" w:firstLine="50"/>
              <w:jc w:val="both"/>
              <w:rPr>
                <w:sz w:val="18"/>
                <w:szCs w:val="18"/>
              </w:rPr>
            </w:pPr>
            <w:r>
              <w:rPr>
                <w:sz w:val="18"/>
                <w:szCs w:val="18"/>
              </w:rPr>
              <w:t>资源利用效率分析；节能效果分析；环境和生态影响分析；碳排放与"双</w:t>
            </w:r>
            <w:r>
              <w:rPr>
                <w:spacing w:val="9"/>
                <w:sz w:val="18"/>
                <w:szCs w:val="18"/>
              </w:rPr>
              <w:t xml:space="preserve"> </w:t>
            </w:r>
            <w:r>
              <w:rPr>
                <w:sz w:val="18"/>
                <w:szCs w:val="18"/>
              </w:rPr>
              <w:t>碳”目标影响分析；经济影响评价；社会影响评价；环保措施及方案；消</w:t>
            </w:r>
            <w:r>
              <w:rPr>
                <w:spacing w:val="16"/>
                <w:sz w:val="18"/>
                <w:szCs w:val="18"/>
              </w:rPr>
              <w:t xml:space="preserve"> </w:t>
            </w:r>
            <w:r>
              <w:rPr>
                <w:sz w:val="18"/>
                <w:szCs w:val="18"/>
              </w:rPr>
              <w:t>防措施；职业安全和卫生措施等</w:t>
            </w:r>
          </w:p>
        </w:tc>
      </w:tr>
      <w:tr w14:paraId="41908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500" w:type="dxa"/>
            <w:tcBorders>
              <w:left w:val="nil"/>
            </w:tcBorders>
            <w:vAlign w:val="top"/>
          </w:tcPr>
          <w:p w14:paraId="236E3FFD">
            <w:pPr>
              <w:pStyle w:val="6"/>
              <w:spacing w:before="241" w:line="184" w:lineRule="auto"/>
              <w:ind w:left="160"/>
              <w:rPr>
                <w:sz w:val="18"/>
                <w:szCs w:val="18"/>
              </w:rPr>
            </w:pPr>
            <w:r>
              <w:rPr>
                <w:spacing w:val="-6"/>
                <w:sz w:val="18"/>
                <w:szCs w:val="18"/>
              </w:rPr>
              <w:t>13</w:t>
            </w:r>
          </w:p>
        </w:tc>
        <w:tc>
          <w:tcPr>
            <w:tcW w:w="1929" w:type="dxa"/>
            <w:vAlign w:val="top"/>
          </w:tcPr>
          <w:p w14:paraId="0B56A5A0">
            <w:pPr>
              <w:pStyle w:val="6"/>
              <w:spacing w:before="196" w:line="219" w:lineRule="auto"/>
              <w:ind w:left="234"/>
              <w:rPr>
                <w:sz w:val="18"/>
                <w:szCs w:val="18"/>
              </w:rPr>
            </w:pPr>
            <w:r>
              <w:rPr>
                <w:spacing w:val="-2"/>
                <w:sz w:val="18"/>
                <w:szCs w:val="18"/>
              </w:rPr>
              <w:t>项目风险管控方案</w:t>
            </w:r>
          </w:p>
        </w:tc>
        <w:tc>
          <w:tcPr>
            <w:tcW w:w="5890" w:type="dxa"/>
            <w:tcBorders>
              <w:right w:val="nil"/>
            </w:tcBorders>
            <w:vAlign w:val="top"/>
          </w:tcPr>
          <w:p w14:paraId="102D5FCE">
            <w:pPr>
              <w:pStyle w:val="6"/>
              <w:spacing w:before="74" w:line="238" w:lineRule="auto"/>
              <w:ind w:left="55" w:right="76"/>
              <w:rPr>
                <w:sz w:val="18"/>
                <w:szCs w:val="18"/>
              </w:rPr>
            </w:pPr>
            <w:r>
              <w:rPr>
                <w:sz w:val="18"/>
                <w:szCs w:val="18"/>
              </w:rPr>
              <w:t>风险识别和管控方案；重大项目社会稳定风险管控方</w:t>
            </w:r>
            <w:r>
              <w:rPr>
                <w:spacing w:val="-1"/>
                <w:sz w:val="18"/>
                <w:szCs w:val="18"/>
              </w:rPr>
              <w:t>案；重大风险管控应</w:t>
            </w:r>
            <w:r>
              <w:rPr>
                <w:sz w:val="18"/>
                <w:szCs w:val="18"/>
              </w:rPr>
              <w:t xml:space="preserve"> </w:t>
            </w:r>
            <w:r>
              <w:rPr>
                <w:spacing w:val="2"/>
                <w:sz w:val="18"/>
                <w:szCs w:val="18"/>
              </w:rPr>
              <w:t>急预案等</w:t>
            </w:r>
          </w:p>
        </w:tc>
      </w:tr>
      <w:tr w14:paraId="17161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0" w:type="dxa"/>
            <w:tcBorders>
              <w:left w:val="nil"/>
            </w:tcBorders>
            <w:vAlign w:val="top"/>
          </w:tcPr>
          <w:p w14:paraId="6E7C0606">
            <w:pPr>
              <w:pStyle w:val="6"/>
              <w:spacing w:before="132" w:line="184" w:lineRule="auto"/>
              <w:ind w:left="160"/>
              <w:rPr>
                <w:sz w:val="18"/>
                <w:szCs w:val="18"/>
              </w:rPr>
            </w:pPr>
            <w:r>
              <w:rPr>
                <w:spacing w:val="-6"/>
                <w:sz w:val="18"/>
                <w:szCs w:val="18"/>
              </w:rPr>
              <w:t>14</w:t>
            </w:r>
          </w:p>
        </w:tc>
        <w:tc>
          <w:tcPr>
            <w:tcW w:w="1929" w:type="dxa"/>
            <w:vAlign w:val="top"/>
          </w:tcPr>
          <w:p w14:paraId="5488B768">
            <w:pPr>
              <w:pStyle w:val="6"/>
              <w:spacing w:before="85" w:line="218" w:lineRule="auto"/>
              <w:ind w:left="145"/>
              <w:rPr>
                <w:sz w:val="18"/>
                <w:szCs w:val="18"/>
              </w:rPr>
            </w:pPr>
            <w:r>
              <w:rPr>
                <w:spacing w:val="-2"/>
                <w:sz w:val="18"/>
                <w:szCs w:val="18"/>
              </w:rPr>
              <w:t>效益与评价指标分析</w:t>
            </w:r>
          </w:p>
        </w:tc>
        <w:tc>
          <w:tcPr>
            <w:tcW w:w="5890" w:type="dxa"/>
            <w:tcBorders>
              <w:right w:val="nil"/>
            </w:tcBorders>
            <w:vAlign w:val="top"/>
          </w:tcPr>
          <w:p w14:paraId="2A3BF28D">
            <w:pPr>
              <w:pStyle w:val="6"/>
              <w:spacing w:before="85" w:line="218" w:lineRule="auto"/>
              <w:ind w:left="55"/>
              <w:rPr>
                <w:sz w:val="18"/>
                <w:szCs w:val="18"/>
              </w:rPr>
            </w:pPr>
            <w:r>
              <w:rPr>
                <w:spacing w:val="-1"/>
                <w:sz w:val="18"/>
                <w:szCs w:val="18"/>
              </w:rPr>
              <w:t>经济效益分析；社会效益分析；项目评价指标分析等</w:t>
            </w:r>
          </w:p>
        </w:tc>
      </w:tr>
      <w:tr w14:paraId="6E76A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500" w:type="dxa"/>
            <w:tcBorders>
              <w:left w:val="nil"/>
            </w:tcBorders>
            <w:vAlign w:val="top"/>
          </w:tcPr>
          <w:p w14:paraId="39DDD1E5">
            <w:pPr>
              <w:pStyle w:val="6"/>
              <w:spacing w:before="132" w:line="184" w:lineRule="auto"/>
              <w:ind w:left="160"/>
              <w:rPr>
                <w:sz w:val="18"/>
                <w:szCs w:val="18"/>
              </w:rPr>
            </w:pPr>
            <w:r>
              <w:rPr>
                <w:spacing w:val="-6"/>
                <w:sz w:val="18"/>
                <w:szCs w:val="18"/>
              </w:rPr>
              <w:t>15</w:t>
            </w:r>
          </w:p>
        </w:tc>
        <w:tc>
          <w:tcPr>
            <w:tcW w:w="1929" w:type="dxa"/>
            <w:vAlign w:val="top"/>
          </w:tcPr>
          <w:p w14:paraId="273C25AF">
            <w:pPr>
              <w:pStyle w:val="6"/>
              <w:spacing w:before="86" w:line="219" w:lineRule="auto"/>
              <w:ind w:left="324"/>
              <w:rPr>
                <w:sz w:val="18"/>
                <w:szCs w:val="18"/>
              </w:rPr>
            </w:pPr>
            <w:r>
              <w:rPr>
                <w:spacing w:val="-1"/>
                <w:sz w:val="18"/>
                <w:szCs w:val="18"/>
              </w:rPr>
              <w:t>研究结论及建议</w:t>
            </w:r>
          </w:p>
        </w:tc>
        <w:tc>
          <w:tcPr>
            <w:tcW w:w="5890" w:type="dxa"/>
            <w:tcBorders>
              <w:right w:val="nil"/>
            </w:tcBorders>
            <w:vAlign w:val="top"/>
          </w:tcPr>
          <w:p w14:paraId="24A64BDF">
            <w:pPr>
              <w:pStyle w:val="6"/>
              <w:spacing w:before="86" w:line="219" w:lineRule="auto"/>
              <w:ind w:left="65"/>
              <w:rPr>
                <w:sz w:val="18"/>
                <w:szCs w:val="18"/>
              </w:rPr>
            </w:pPr>
            <w:r>
              <w:rPr>
                <w:spacing w:val="-1"/>
                <w:sz w:val="18"/>
                <w:szCs w:val="18"/>
              </w:rPr>
              <w:t>主要研究结论；问题与建议等</w:t>
            </w:r>
          </w:p>
        </w:tc>
      </w:tr>
    </w:tbl>
    <w:p w14:paraId="74926941">
      <w:pPr>
        <w:rPr>
          <w:rFonts w:ascii="Arial"/>
          <w:sz w:val="21"/>
        </w:rPr>
      </w:pPr>
    </w:p>
    <w:p w14:paraId="69363372">
      <w:pPr>
        <w:rPr>
          <w:rFonts w:ascii="Arial" w:hAnsi="Arial" w:eastAsia="Arial" w:cs="Arial"/>
          <w:sz w:val="21"/>
          <w:szCs w:val="21"/>
        </w:rPr>
        <w:sectPr>
          <w:pgSz w:w="10290" w:h="13320"/>
          <w:pgMar w:top="400" w:right="623" w:bottom="400" w:left="1100" w:header="0" w:footer="0" w:gutter="0"/>
          <w:cols w:space="720" w:num="1"/>
        </w:sectPr>
      </w:pPr>
    </w:p>
    <w:p w14:paraId="101F11CF">
      <w:pPr>
        <w:pStyle w:val="2"/>
        <w:rPr>
          <w:sz w:val="20"/>
          <w:szCs w:val="20"/>
        </w:rPr>
      </w:pPr>
      <w:r>
        <w:rPr>
          <w:rFonts w:ascii="Times New Roman" w:hAnsi="Times New Roman" w:eastAsia="Times New Roman" w:cs="Times New Roman"/>
          <w:b/>
          <w:bCs/>
          <w:spacing w:val="-3"/>
          <w:position w:val="-2"/>
          <w:sz w:val="20"/>
          <w:szCs w:val="20"/>
        </w:rPr>
        <w:t>442</w:t>
      </w:r>
      <w:r>
        <w:rPr>
          <w:rFonts w:ascii="Times New Roman" w:hAnsi="Times New Roman" w:eastAsia="Times New Roman" w:cs="Times New Roman"/>
          <w:b/>
          <w:bCs/>
          <w:spacing w:val="24"/>
          <w:w w:val="101"/>
          <w:position w:val="-2"/>
          <w:sz w:val="20"/>
          <w:szCs w:val="20"/>
        </w:rPr>
        <w:t xml:space="preserve"> </w:t>
      </w:r>
      <w:r>
        <w:rPr>
          <w:position w:val="-11"/>
          <w:sz w:val="20"/>
          <w:szCs w:val="20"/>
        </w:rPr>
        <w:drawing>
          <wp:inline distT="0" distB="0" distL="0" distR="0">
            <wp:extent cx="279400" cy="247015"/>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285"/>
                    <a:stretch>
                      <a:fillRect/>
                    </a:stretch>
                  </pic:blipFill>
                  <pic:spPr>
                    <a:xfrm>
                      <a:off x="0" y="0"/>
                      <a:ext cx="279410" cy="247640"/>
                    </a:xfrm>
                    <a:prstGeom prst="rect">
                      <a:avLst/>
                    </a:prstGeom>
                  </pic:spPr>
                </pic:pic>
              </a:graphicData>
            </a:graphic>
          </wp:inline>
        </w:drawing>
      </w:r>
      <w:r>
        <w:rPr>
          <w:rFonts w:ascii="Times New Roman" w:hAnsi="Times New Roman" w:eastAsia="Times New Roman" w:cs="Times New Roman"/>
          <w:b/>
          <w:bCs/>
          <w:spacing w:val="6"/>
          <w:position w:val="-2"/>
          <w:sz w:val="20"/>
          <w:szCs w:val="20"/>
        </w:rPr>
        <w:t xml:space="preserve">   </w:t>
      </w:r>
      <w:r>
        <w:rPr>
          <w:spacing w:val="-3"/>
          <w:sz w:val="20"/>
          <w:szCs w:val="20"/>
        </w:rPr>
        <w:t>信息系统监理师教程(第2版)</w:t>
      </w:r>
    </w:p>
    <w:p w14:paraId="4B485FCF">
      <w:pPr>
        <w:pStyle w:val="2"/>
        <w:spacing w:before="288" w:line="220" w:lineRule="auto"/>
        <w:jc w:val="right"/>
        <w:rPr>
          <w:sz w:val="20"/>
          <w:szCs w:val="20"/>
        </w:rPr>
      </w:pPr>
      <w:r>
        <w:rPr>
          <w:spacing w:val="3"/>
          <w:sz w:val="20"/>
          <w:szCs w:val="20"/>
        </w:rPr>
        <w:t>(续表)</w:t>
      </w:r>
    </w:p>
    <w:p w14:paraId="4D9D6D91">
      <w:pPr>
        <w:spacing w:line="77" w:lineRule="exact"/>
      </w:pPr>
    </w:p>
    <w:tbl>
      <w:tblPr>
        <w:tblStyle w:val="5"/>
        <w:tblW w:w="8307" w:type="dxa"/>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0"/>
        <w:gridCol w:w="1930"/>
        <w:gridCol w:w="5887"/>
      </w:tblGrid>
      <w:tr w14:paraId="56F5E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90" w:type="dxa"/>
            <w:tcBorders>
              <w:left w:val="nil"/>
            </w:tcBorders>
            <w:vAlign w:val="top"/>
          </w:tcPr>
          <w:p w14:paraId="1C6D51D5">
            <w:pPr>
              <w:pStyle w:val="6"/>
              <w:spacing w:before="81" w:line="221" w:lineRule="auto"/>
              <w:ind w:left="52"/>
            </w:pPr>
            <w:r>
              <w:rPr>
                <w:b/>
                <w:bCs/>
                <w:spacing w:val="-4"/>
              </w:rPr>
              <w:t>序号</w:t>
            </w:r>
          </w:p>
        </w:tc>
        <w:tc>
          <w:tcPr>
            <w:tcW w:w="1930" w:type="dxa"/>
            <w:vAlign w:val="top"/>
          </w:tcPr>
          <w:p w14:paraId="3D0791C7">
            <w:pPr>
              <w:pStyle w:val="6"/>
              <w:spacing w:before="78" w:line="219" w:lineRule="auto"/>
              <w:ind w:left="577"/>
            </w:pPr>
            <w:r>
              <w:rPr>
                <w:b/>
                <w:bCs/>
                <w:spacing w:val="-5"/>
              </w:rPr>
              <w:t>章节名称</w:t>
            </w:r>
          </w:p>
        </w:tc>
        <w:tc>
          <w:tcPr>
            <w:tcW w:w="5887" w:type="dxa"/>
            <w:tcBorders>
              <w:right w:val="nil"/>
            </w:tcBorders>
            <w:vAlign w:val="top"/>
          </w:tcPr>
          <w:p w14:paraId="086EF0AA">
            <w:pPr>
              <w:pStyle w:val="6"/>
              <w:spacing w:before="80" w:line="219" w:lineRule="auto"/>
              <w:ind w:left="2557"/>
            </w:pPr>
            <w:r>
              <w:rPr>
                <w:b/>
                <w:bCs/>
                <w:spacing w:val="-2"/>
              </w:rPr>
              <w:t>内容概述</w:t>
            </w:r>
          </w:p>
        </w:tc>
      </w:tr>
      <w:tr w14:paraId="02FE4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90" w:type="dxa"/>
            <w:tcBorders>
              <w:left w:val="nil"/>
            </w:tcBorders>
            <w:vAlign w:val="top"/>
          </w:tcPr>
          <w:p w14:paraId="49ADBA25">
            <w:pPr>
              <w:spacing w:line="363" w:lineRule="auto"/>
              <w:rPr>
                <w:rFonts w:ascii="Arial"/>
                <w:sz w:val="21"/>
              </w:rPr>
            </w:pPr>
          </w:p>
          <w:p w14:paraId="29E8D251">
            <w:pPr>
              <w:pStyle w:val="6"/>
              <w:spacing w:before="62" w:line="184" w:lineRule="auto"/>
              <w:ind w:left="149"/>
            </w:pPr>
            <w:r>
              <w:rPr>
                <w:spacing w:val="-6"/>
              </w:rPr>
              <w:t>16</w:t>
            </w:r>
          </w:p>
        </w:tc>
        <w:tc>
          <w:tcPr>
            <w:tcW w:w="1930" w:type="dxa"/>
            <w:vAlign w:val="top"/>
          </w:tcPr>
          <w:p w14:paraId="1D8636C1">
            <w:pPr>
              <w:spacing w:line="314" w:lineRule="auto"/>
              <w:rPr>
                <w:rFonts w:ascii="Arial"/>
                <w:sz w:val="21"/>
              </w:rPr>
            </w:pPr>
          </w:p>
          <w:p w14:paraId="26B78EE7">
            <w:pPr>
              <w:pStyle w:val="6"/>
              <w:spacing w:before="62" w:line="219" w:lineRule="auto"/>
              <w:ind w:left="764"/>
            </w:pPr>
            <w:r>
              <w:rPr>
                <w:spacing w:val="4"/>
              </w:rPr>
              <w:t>附表</w:t>
            </w:r>
          </w:p>
        </w:tc>
        <w:tc>
          <w:tcPr>
            <w:tcW w:w="5887" w:type="dxa"/>
            <w:tcBorders>
              <w:right w:val="nil"/>
            </w:tcBorders>
            <w:vAlign w:val="top"/>
          </w:tcPr>
          <w:p w14:paraId="0DB73017">
            <w:pPr>
              <w:pStyle w:val="6"/>
              <w:spacing w:before="109" w:line="262" w:lineRule="auto"/>
              <w:ind w:left="14"/>
              <w:jc w:val="both"/>
            </w:pPr>
            <w:r>
              <w:rPr>
                <w:spacing w:val="-7"/>
              </w:rPr>
              <w:t>项目软硬件配置清单；应用系统定制开发工作量核算表；项目招投标范围</w:t>
            </w:r>
            <w:r>
              <w:rPr>
                <w:spacing w:val="10"/>
              </w:rPr>
              <w:t xml:space="preserve"> </w:t>
            </w:r>
            <w:r>
              <w:rPr>
                <w:spacing w:val="-7"/>
              </w:rPr>
              <w:t>和方式表；项目总投资估算表；项目资金来源和运用表；项目运行维护费</w:t>
            </w:r>
            <w:r>
              <w:rPr>
                <w:spacing w:val="4"/>
              </w:rPr>
              <w:t xml:space="preserve"> </w:t>
            </w:r>
            <w:r>
              <w:rPr>
                <w:spacing w:val="-2"/>
              </w:rPr>
              <w:t>估算表等</w:t>
            </w:r>
          </w:p>
        </w:tc>
      </w:tr>
      <w:tr w14:paraId="1D669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490" w:type="dxa"/>
            <w:tcBorders>
              <w:left w:val="nil"/>
            </w:tcBorders>
            <w:vAlign w:val="top"/>
          </w:tcPr>
          <w:p w14:paraId="7A3C4DEC">
            <w:pPr>
              <w:pStyle w:val="6"/>
              <w:spacing w:before="132" w:line="184" w:lineRule="auto"/>
              <w:ind w:left="149"/>
            </w:pPr>
            <w:r>
              <w:rPr>
                <w:spacing w:val="-6"/>
              </w:rPr>
              <w:t>17</w:t>
            </w:r>
          </w:p>
        </w:tc>
        <w:tc>
          <w:tcPr>
            <w:tcW w:w="1930" w:type="dxa"/>
            <w:vAlign w:val="top"/>
          </w:tcPr>
          <w:p w14:paraId="3F7CCFF0">
            <w:pPr>
              <w:pStyle w:val="6"/>
              <w:spacing w:before="83" w:line="219" w:lineRule="auto"/>
              <w:ind w:left="764"/>
            </w:pPr>
            <w:r>
              <w:rPr>
                <w:spacing w:val="8"/>
              </w:rPr>
              <w:t>附图</w:t>
            </w:r>
          </w:p>
        </w:tc>
        <w:tc>
          <w:tcPr>
            <w:tcW w:w="5887" w:type="dxa"/>
            <w:tcBorders>
              <w:right w:val="nil"/>
            </w:tcBorders>
            <w:vAlign w:val="top"/>
          </w:tcPr>
          <w:p w14:paraId="5C981B87">
            <w:pPr>
              <w:pStyle w:val="6"/>
              <w:spacing w:before="85" w:line="219" w:lineRule="auto"/>
              <w:ind w:right="1"/>
              <w:jc w:val="right"/>
            </w:pPr>
            <w:r>
              <w:rPr>
                <w:spacing w:val="-7"/>
              </w:rPr>
              <w:t>项目场址区域位置图；总平面图；建筑方案图；辅助工程及配套设施图等</w:t>
            </w:r>
          </w:p>
        </w:tc>
      </w:tr>
      <w:tr w14:paraId="5F1C0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90" w:type="dxa"/>
            <w:tcBorders>
              <w:left w:val="nil"/>
            </w:tcBorders>
            <w:vAlign w:val="top"/>
          </w:tcPr>
          <w:p w14:paraId="1751D888">
            <w:pPr>
              <w:pStyle w:val="6"/>
              <w:spacing w:before="134" w:line="184" w:lineRule="auto"/>
              <w:ind w:left="149"/>
            </w:pPr>
            <w:r>
              <w:rPr>
                <w:spacing w:val="-6"/>
              </w:rPr>
              <w:t>18</w:t>
            </w:r>
          </w:p>
        </w:tc>
        <w:tc>
          <w:tcPr>
            <w:tcW w:w="1930" w:type="dxa"/>
            <w:vAlign w:val="top"/>
          </w:tcPr>
          <w:p w14:paraId="74B37527">
            <w:pPr>
              <w:pStyle w:val="6"/>
              <w:spacing w:before="85" w:line="219" w:lineRule="auto"/>
              <w:ind w:left="764"/>
            </w:pPr>
            <w:r>
              <w:rPr>
                <w:spacing w:val="4"/>
              </w:rPr>
              <w:t>附件</w:t>
            </w:r>
          </w:p>
        </w:tc>
        <w:tc>
          <w:tcPr>
            <w:tcW w:w="5887" w:type="dxa"/>
            <w:tcBorders>
              <w:right w:val="nil"/>
            </w:tcBorders>
            <w:vAlign w:val="top"/>
          </w:tcPr>
          <w:p w14:paraId="315BA8B7">
            <w:pPr>
              <w:pStyle w:val="6"/>
              <w:spacing w:before="85" w:line="218" w:lineRule="auto"/>
              <w:ind w:left="65"/>
            </w:pPr>
            <w:r>
              <w:rPr>
                <w:spacing w:val="-1"/>
              </w:rPr>
              <w:t>可研报告编制依据；有关的政策、技术、经济资料等</w:t>
            </w:r>
          </w:p>
        </w:tc>
      </w:tr>
    </w:tbl>
    <w:p w14:paraId="571C52CF">
      <w:pPr>
        <w:pStyle w:val="2"/>
        <w:spacing w:before="223" w:line="219" w:lineRule="auto"/>
        <w:ind w:left="769"/>
        <w:rPr>
          <w:sz w:val="20"/>
          <w:szCs w:val="20"/>
        </w:rPr>
      </w:pPr>
      <w:r>
        <w:rPr>
          <w:spacing w:val="1"/>
          <w:sz w:val="20"/>
          <w:szCs w:val="20"/>
        </w:rPr>
        <w:t>(2)根据业主单位的委托，可以参与编写初步设计方案，协助编制投资预算。</w:t>
      </w:r>
    </w:p>
    <w:p w14:paraId="0B453305">
      <w:pPr>
        <w:pStyle w:val="2"/>
        <w:spacing w:before="72" w:line="299" w:lineRule="auto"/>
        <w:ind w:left="369" w:right="78" w:firstLine="399"/>
        <w:rPr>
          <w:sz w:val="17"/>
          <w:szCs w:val="17"/>
        </w:rPr>
      </w:pPr>
      <w:r>
        <w:rPr>
          <w:spacing w:val="8"/>
          <w:sz w:val="20"/>
          <w:szCs w:val="20"/>
        </w:rPr>
        <w:t>在某些工程建设实践过程中，监理单位可能会接受业主单位的委托，适当地参与工程的</w:t>
      </w:r>
      <w:r>
        <w:rPr>
          <w:sz w:val="20"/>
          <w:szCs w:val="20"/>
        </w:rPr>
        <w:t xml:space="preserve"> </w:t>
      </w:r>
      <w:r>
        <w:rPr>
          <w:spacing w:val="7"/>
          <w:sz w:val="20"/>
          <w:szCs w:val="20"/>
        </w:rPr>
        <w:t>立项报告、可行性研究报告、初步设计报告的编制工作，或从事其中的部分工作，为业主单</w:t>
      </w:r>
      <w:r>
        <w:rPr>
          <w:spacing w:val="17"/>
          <w:sz w:val="20"/>
          <w:szCs w:val="20"/>
        </w:rPr>
        <w:t xml:space="preserve"> </w:t>
      </w:r>
      <w:r>
        <w:rPr>
          <w:spacing w:val="8"/>
          <w:sz w:val="20"/>
          <w:szCs w:val="20"/>
        </w:rPr>
        <w:t>位提供必要的文档编制、投资概预算编制等咨询工</w:t>
      </w:r>
      <w:r>
        <w:rPr>
          <w:spacing w:val="7"/>
          <w:sz w:val="20"/>
          <w:szCs w:val="20"/>
        </w:rPr>
        <w:t>作。在此，以初步设计为例提出监理工作</w:t>
      </w:r>
      <w:r>
        <w:rPr>
          <w:sz w:val="20"/>
          <w:szCs w:val="20"/>
        </w:rPr>
        <w:t xml:space="preserve"> </w:t>
      </w:r>
      <w:r>
        <w:rPr>
          <w:spacing w:val="-8"/>
          <w:sz w:val="17"/>
          <w:szCs w:val="17"/>
        </w:rPr>
        <w:t>策</w:t>
      </w:r>
      <w:r>
        <w:rPr>
          <w:spacing w:val="-22"/>
          <w:sz w:val="17"/>
          <w:szCs w:val="17"/>
        </w:rPr>
        <w:t xml:space="preserve"> </w:t>
      </w:r>
      <w:r>
        <w:rPr>
          <w:spacing w:val="-8"/>
          <w:sz w:val="17"/>
          <w:szCs w:val="17"/>
        </w:rPr>
        <w:t>略</w:t>
      </w:r>
      <w:r>
        <w:rPr>
          <w:spacing w:val="-36"/>
          <w:sz w:val="17"/>
          <w:szCs w:val="17"/>
        </w:rPr>
        <w:t xml:space="preserve"> </w:t>
      </w:r>
      <w:r>
        <w:rPr>
          <w:spacing w:val="-8"/>
          <w:sz w:val="17"/>
          <w:szCs w:val="17"/>
        </w:rPr>
        <w:t>。</w:t>
      </w:r>
    </w:p>
    <w:p w14:paraId="0A9AF85C">
      <w:pPr>
        <w:pStyle w:val="2"/>
        <w:spacing w:before="22" w:line="283" w:lineRule="auto"/>
        <w:ind w:left="369" w:right="57" w:firstLine="399"/>
        <w:rPr>
          <w:sz w:val="20"/>
          <w:szCs w:val="20"/>
        </w:rPr>
      </w:pPr>
      <w:r>
        <w:rPr>
          <w:spacing w:val="3"/>
          <w:sz w:val="20"/>
          <w:szCs w:val="20"/>
        </w:rPr>
        <w:t>项目初步设计工作的任务是在可行性研究的基础上，进一步明确并细化项目需求、建设原</w:t>
      </w:r>
      <w:r>
        <w:rPr>
          <w:spacing w:val="8"/>
          <w:sz w:val="20"/>
          <w:szCs w:val="20"/>
        </w:rPr>
        <w:t xml:space="preserve"> </w:t>
      </w:r>
      <w:r>
        <w:rPr>
          <w:spacing w:val="-1"/>
          <w:sz w:val="20"/>
          <w:szCs w:val="20"/>
        </w:rPr>
        <w:t>则、建设目标、建设内容、实施方案、投资概算、风险及</w:t>
      </w:r>
      <w:r>
        <w:rPr>
          <w:spacing w:val="-2"/>
          <w:sz w:val="20"/>
          <w:szCs w:val="20"/>
        </w:rPr>
        <w:t>效益分析等内容。</w:t>
      </w:r>
    </w:p>
    <w:p w14:paraId="571ED7A8">
      <w:pPr>
        <w:pStyle w:val="2"/>
        <w:spacing w:before="18" w:line="219" w:lineRule="auto"/>
        <w:ind w:left="769"/>
        <w:rPr>
          <w:sz w:val="20"/>
          <w:szCs w:val="20"/>
        </w:rPr>
      </w:pPr>
      <w:r>
        <w:rPr>
          <w:spacing w:val="-4"/>
          <w:sz w:val="20"/>
          <w:szCs w:val="20"/>
        </w:rPr>
        <w:t>初步设计方案的编制要点如下：</w:t>
      </w:r>
    </w:p>
    <w:p w14:paraId="4620BBBC">
      <w:pPr>
        <w:pStyle w:val="2"/>
        <w:spacing w:before="71" w:line="219" w:lineRule="auto"/>
        <w:ind w:left="769"/>
        <w:rPr>
          <w:sz w:val="20"/>
          <w:szCs w:val="20"/>
        </w:rPr>
      </w:pPr>
      <w:r>
        <w:rPr>
          <w:sz w:val="20"/>
          <w:szCs w:val="20"/>
        </w:rPr>
        <w:t>●参照充分的设计依据；</w:t>
      </w:r>
    </w:p>
    <w:p w14:paraId="14DBF27C">
      <w:pPr>
        <w:pStyle w:val="2"/>
        <w:spacing w:before="95" w:line="219" w:lineRule="auto"/>
        <w:ind w:left="769"/>
        <w:rPr>
          <w:sz w:val="20"/>
          <w:szCs w:val="20"/>
        </w:rPr>
      </w:pPr>
      <w:r>
        <w:rPr>
          <w:sz w:val="20"/>
          <w:szCs w:val="20"/>
        </w:rPr>
        <w:t>●进行翔实的现场勘察；</w:t>
      </w:r>
    </w:p>
    <w:p w14:paraId="09DBD034">
      <w:pPr>
        <w:pStyle w:val="2"/>
        <w:spacing w:before="82" w:line="219" w:lineRule="auto"/>
        <w:ind w:left="769"/>
        <w:rPr>
          <w:sz w:val="20"/>
          <w:szCs w:val="20"/>
        </w:rPr>
      </w:pPr>
      <w:r>
        <w:rPr>
          <w:sz w:val="20"/>
          <w:szCs w:val="20"/>
        </w:rPr>
        <w:t>●突出项目的设计亮点；</w:t>
      </w:r>
    </w:p>
    <w:p w14:paraId="2D7CA1CA">
      <w:pPr>
        <w:pStyle w:val="2"/>
        <w:spacing w:before="101" w:line="218" w:lineRule="auto"/>
        <w:ind w:left="769"/>
        <w:rPr>
          <w:sz w:val="20"/>
          <w:szCs w:val="20"/>
        </w:rPr>
      </w:pPr>
      <w:r>
        <w:rPr>
          <w:sz w:val="20"/>
          <w:szCs w:val="20"/>
        </w:rPr>
        <w:t>●重点介绍初步设计方案相对可行性研究报告批复内容有重大变更的内容；</w:t>
      </w:r>
    </w:p>
    <w:p w14:paraId="46E38321">
      <w:pPr>
        <w:pStyle w:val="2"/>
        <w:spacing w:before="86" w:line="220" w:lineRule="auto"/>
        <w:ind w:left="769"/>
        <w:rPr>
          <w:sz w:val="20"/>
          <w:szCs w:val="20"/>
        </w:rPr>
      </w:pPr>
      <w:r>
        <w:rPr>
          <w:spacing w:val="1"/>
          <w:sz w:val="20"/>
          <w:szCs w:val="20"/>
        </w:rPr>
        <w:t>●合理制定项目建设的标准规范。</w:t>
      </w:r>
    </w:p>
    <w:p w14:paraId="78586D86">
      <w:pPr>
        <w:pStyle w:val="2"/>
        <w:spacing w:before="90" w:line="219" w:lineRule="auto"/>
        <w:ind w:left="769"/>
        <w:rPr>
          <w:sz w:val="20"/>
          <w:szCs w:val="20"/>
        </w:rPr>
      </w:pPr>
      <w:r>
        <w:rPr>
          <w:spacing w:val="1"/>
          <w:sz w:val="20"/>
          <w:szCs w:val="20"/>
        </w:rPr>
        <w:t>信息系统工程建设的项目初步设计方案的编制提纲及说明如表20-</w:t>
      </w:r>
      <w:r>
        <w:rPr>
          <w:sz w:val="20"/>
          <w:szCs w:val="20"/>
        </w:rPr>
        <w:t>2所示，供实践参考。</w:t>
      </w:r>
    </w:p>
    <w:p w14:paraId="4FD7F436">
      <w:pPr>
        <w:spacing w:before="139" w:line="221" w:lineRule="auto"/>
        <w:ind w:left="2982"/>
        <w:rPr>
          <w:rFonts w:ascii="黑体" w:hAnsi="黑体" w:eastAsia="黑体" w:cs="黑体"/>
          <w:sz w:val="20"/>
          <w:szCs w:val="20"/>
        </w:rPr>
      </w:pPr>
      <w:r>
        <w:rPr>
          <w:rFonts w:ascii="黑体" w:hAnsi="黑体" w:eastAsia="黑体" w:cs="黑体"/>
          <w:b/>
          <w:bCs/>
          <w:spacing w:val="-18"/>
          <w:sz w:val="20"/>
          <w:szCs w:val="20"/>
        </w:rPr>
        <w:t>表20-2</w:t>
      </w:r>
      <w:r>
        <w:rPr>
          <w:rFonts w:ascii="黑体" w:hAnsi="黑体" w:eastAsia="黑体" w:cs="黑体"/>
          <w:spacing w:val="77"/>
          <w:sz w:val="20"/>
          <w:szCs w:val="20"/>
        </w:rPr>
        <w:t xml:space="preserve"> </w:t>
      </w:r>
      <w:r>
        <w:rPr>
          <w:rFonts w:ascii="黑体" w:hAnsi="黑体" w:eastAsia="黑体" w:cs="黑体"/>
          <w:b/>
          <w:bCs/>
          <w:spacing w:val="-18"/>
          <w:sz w:val="20"/>
          <w:szCs w:val="20"/>
        </w:rPr>
        <w:t>初步设计方案编制提纲及说明</w:t>
      </w:r>
    </w:p>
    <w:p w14:paraId="2F56B7BB">
      <w:pPr>
        <w:spacing w:line="112" w:lineRule="exact"/>
      </w:pPr>
    </w:p>
    <w:tbl>
      <w:tblPr>
        <w:tblStyle w:val="5"/>
        <w:tblW w:w="8330" w:type="dxa"/>
        <w:tblInd w:w="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0"/>
        <w:gridCol w:w="2100"/>
        <w:gridCol w:w="5730"/>
      </w:tblGrid>
      <w:tr w14:paraId="052A2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00" w:type="dxa"/>
            <w:tcBorders>
              <w:left w:val="nil"/>
            </w:tcBorders>
            <w:vAlign w:val="top"/>
          </w:tcPr>
          <w:p w14:paraId="3E521E96">
            <w:pPr>
              <w:pStyle w:val="6"/>
              <w:spacing w:before="80" w:line="221" w:lineRule="auto"/>
              <w:ind w:left="72"/>
              <w:rPr>
                <w:sz w:val="18"/>
                <w:szCs w:val="18"/>
              </w:rPr>
            </w:pPr>
            <w:r>
              <w:rPr>
                <w:b/>
                <w:bCs/>
                <w:spacing w:val="-4"/>
                <w:sz w:val="18"/>
                <w:szCs w:val="18"/>
              </w:rPr>
              <w:t>序号</w:t>
            </w:r>
          </w:p>
        </w:tc>
        <w:tc>
          <w:tcPr>
            <w:tcW w:w="2100" w:type="dxa"/>
            <w:vAlign w:val="top"/>
          </w:tcPr>
          <w:p w14:paraId="1FEBABF8">
            <w:pPr>
              <w:pStyle w:val="6"/>
              <w:spacing w:before="78" w:line="219" w:lineRule="auto"/>
              <w:ind w:left="687"/>
              <w:rPr>
                <w:sz w:val="18"/>
                <w:szCs w:val="18"/>
              </w:rPr>
            </w:pPr>
            <w:r>
              <w:rPr>
                <w:b/>
                <w:bCs/>
                <w:spacing w:val="-5"/>
                <w:sz w:val="18"/>
                <w:szCs w:val="18"/>
              </w:rPr>
              <w:t>章节名称</w:t>
            </w:r>
          </w:p>
        </w:tc>
        <w:tc>
          <w:tcPr>
            <w:tcW w:w="5730" w:type="dxa"/>
            <w:tcBorders>
              <w:right w:val="nil"/>
            </w:tcBorders>
            <w:vAlign w:val="top"/>
          </w:tcPr>
          <w:p w14:paraId="4DA3D019">
            <w:pPr>
              <w:pStyle w:val="6"/>
              <w:spacing w:before="80" w:line="219" w:lineRule="auto"/>
              <w:ind w:left="2497"/>
              <w:rPr>
                <w:sz w:val="18"/>
                <w:szCs w:val="18"/>
              </w:rPr>
            </w:pPr>
            <w:r>
              <w:rPr>
                <w:b/>
                <w:bCs/>
                <w:spacing w:val="-2"/>
                <w:sz w:val="18"/>
                <w:szCs w:val="18"/>
              </w:rPr>
              <w:t>内容概述</w:t>
            </w:r>
          </w:p>
        </w:tc>
      </w:tr>
      <w:tr w14:paraId="24235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 w:hRule="atLeast"/>
        </w:trPr>
        <w:tc>
          <w:tcPr>
            <w:tcW w:w="500" w:type="dxa"/>
            <w:tcBorders>
              <w:left w:val="nil"/>
            </w:tcBorders>
            <w:vAlign w:val="top"/>
          </w:tcPr>
          <w:p w14:paraId="0E8BD8A4">
            <w:pPr>
              <w:spacing w:line="271" w:lineRule="auto"/>
              <w:rPr>
                <w:rFonts w:ascii="Arial"/>
                <w:sz w:val="21"/>
              </w:rPr>
            </w:pPr>
          </w:p>
          <w:p w14:paraId="4F28F4A0">
            <w:pPr>
              <w:spacing w:line="271" w:lineRule="auto"/>
              <w:rPr>
                <w:rFonts w:ascii="Arial"/>
                <w:sz w:val="21"/>
              </w:rPr>
            </w:pPr>
          </w:p>
          <w:p w14:paraId="3DEA5FE3">
            <w:pPr>
              <w:pStyle w:val="6"/>
              <w:spacing w:before="58" w:line="184" w:lineRule="auto"/>
              <w:ind w:left="200"/>
              <w:rPr>
                <w:sz w:val="18"/>
                <w:szCs w:val="18"/>
              </w:rPr>
            </w:pPr>
            <w:r>
              <w:rPr>
                <w:sz w:val="18"/>
                <w:szCs w:val="18"/>
              </w:rPr>
              <w:t>1</w:t>
            </w:r>
          </w:p>
        </w:tc>
        <w:tc>
          <w:tcPr>
            <w:tcW w:w="2100" w:type="dxa"/>
            <w:vAlign w:val="top"/>
          </w:tcPr>
          <w:p w14:paraId="73D79AFE">
            <w:pPr>
              <w:spacing w:line="248" w:lineRule="auto"/>
              <w:rPr>
                <w:rFonts w:ascii="Arial"/>
                <w:sz w:val="21"/>
              </w:rPr>
            </w:pPr>
          </w:p>
          <w:p w14:paraId="2E066F52">
            <w:pPr>
              <w:spacing w:line="249" w:lineRule="auto"/>
              <w:rPr>
                <w:rFonts w:ascii="Arial"/>
                <w:sz w:val="21"/>
              </w:rPr>
            </w:pPr>
          </w:p>
          <w:p w14:paraId="3D470C19">
            <w:pPr>
              <w:pStyle w:val="6"/>
              <w:spacing w:before="58" w:line="219" w:lineRule="auto"/>
              <w:ind w:left="684"/>
              <w:rPr>
                <w:sz w:val="18"/>
                <w:szCs w:val="18"/>
              </w:rPr>
            </w:pPr>
            <w:r>
              <w:rPr>
                <w:spacing w:val="-2"/>
                <w:sz w:val="18"/>
                <w:szCs w:val="18"/>
              </w:rPr>
              <w:t>项目概述</w:t>
            </w:r>
          </w:p>
        </w:tc>
        <w:tc>
          <w:tcPr>
            <w:tcW w:w="5730" w:type="dxa"/>
            <w:tcBorders>
              <w:right w:val="nil"/>
            </w:tcBorders>
            <w:vAlign w:val="top"/>
          </w:tcPr>
          <w:p w14:paraId="49AD7122">
            <w:pPr>
              <w:pStyle w:val="6"/>
              <w:spacing w:before="167" w:line="273" w:lineRule="auto"/>
              <w:ind w:left="34" w:right="66" w:firstLine="29"/>
              <w:jc w:val="both"/>
              <w:rPr>
                <w:sz w:val="18"/>
                <w:szCs w:val="18"/>
              </w:rPr>
            </w:pPr>
            <w:r>
              <w:rPr>
                <w:sz w:val="18"/>
                <w:szCs w:val="18"/>
              </w:rPr>
              <w:t>项目名称；项目业主单位及负责人、项目责任人；初步设计方案和投资</w:t>
            </w:r>
            <w:r>
              <w:rPr>
                <w:spacing w:val="12"/>
                <w:sz w:val="18"/>
                <w:szCs w:val="18"/>
              </w:rPr>
              <w:t xml:space="preserve"> </w:t>
            </w:r>
            <w:r>
              <w:rPr>
                <w:spacing w:val="1"/>
                <w:sz w:val="18"/>
                <w:szCs w:val="18"/>
              </w:rPr>
              <w:t>概算编制单位；初步设计方案和投资概算编制依</w:t>
            </w:r>
            <w:r>
              <w:rPr>
                <w:sz w:val="18"/>
                <w:szCs w:val="18"/>
              </w:rPr>
              <w:t xml:space="preserve">据；项目建设目标、规 </w:t>
            </w:r>
            <w:r>
              <w:rPr>
                <w:spacing w:val="1"/>
                <w:sz w:val="18"/>
                <w:szCs w:val="18"/>
              </w:rPr>
              <w:t>模、内容、建设期；总投资及资金来源；效益及风</w:t>
            </w:r>
            <w:r>
              <w:rPr>
                <w:sz w:val="18"/>
                <w:szCs w:val="18"/>
              </w:rPr>
              <w:t xml:space="preserve">险；相对可行性研究 </w:t>
            </w:r>
            <w:r>
              <w:rPr>
                <w:spacing w:val="-1"/>
                <w:sz w:val="18"/>
                <w:szCs w:val="18"/>
              </w:rPr>
              <w:t>报告批复的调整情况；主要结论与建议等</w:t>
            </w:r>
          </w:p>
        </w:tc>
      </w:tr>
      <w:tr w14:paraId="368E6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500" w:type="dxa"/>
            <w:tcBorders>
              <w:left w:val="nil"/>
            </w:tcBorders>
            <w:vAlign w:val="top"/>
          </w:tcPr>
          <w:p w14:paraId="625FDD37">
            <w:pPr>
              <w:pStyle w:val="6"/>
              <w:spacing w:before="187" w:line="183" w:lineRule="auto"/>
              <w:ind w:left="200"/>
              <w:rPr>
                <w:sz w:val="18"/>
                <w:szCs w:val="18"/>
              </w:rPr>
            </w:pPr>
            <w:r>
              <w:rPr>
                <w:sz w:val="18"/>
                <w:szCs w:val="18"/>
              </w:rPr>
              <w:t>2</w:t>
            </w:r>
          </w:p>
        </w:tc>
        <w:tc>
          <w:tcPr>
            <w:tcW w:w="2100" w:type="dxa"/>
            <w:vAlign w:val="top"/>
          </w:tcPr>
          <w:p w14:paraId="41A7F40A">
            <w:pPr>
              <w:pStyle w:val="6"/>
              <w:spacing w:before="141" w:line="219" w:lineRule="auto"/>
              <w:ind w:left="324"/>
              <w:rPr>
                <w:sz w:val="18"/>
                <w:szCs w:val="18"/>
              </w:rPr>
            </w:pPr>
            <w:r>
              <w:rPr>
                <w:spacing w:val="-2"/>
                <w:sz w:val="18"/>
                <w:szCs w:val="18"/>
              </w:rPr>
              <w:t>项目业主单位概况</w:t>
            </w:r>
          </w:p>
        </w:tc>
        <w:tc>
          <w:tcPr>
            <w:tcW w:w="5730" w:type="dxa"/>
            <w:tcBorders>
              <w:right w:val="nil"/>
            </w:tcBorders>
            <w:vAlign w:val="top"/>
          </w:tcPr>
          <w:p w14:paraId="0103695D">
            <w:pPr>
              <w:pStyle w:val="6"/>
              <w:spacing w:before="140" w:line="219" w:lineRule="auto"/>
              <w:ind w:left="44"/>
              <w:rPr>
                <w:sz w:val="18"/>
                <w:szCs w:val="18"/>
              </w:rPr>
            </w:pPr>
            <w:r>
              <w:rPr>
                <w:spacing w:val="-1"/>
                <w:sz w:val="18"/>
                <w:szCs w:val="18"/>
              </w:rPr>
              <w:t>项目业主单位与职能；项目实施机构与职责等</w:t>
            </w:r>
          </w:p>
        </w:tc>
      </w:tr>
      <w:tr w14:paraId="44634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500" w:type="dxa"/>
            <w:tcBorders>
              <w:left w:val="nil"/>
            </w:tcBorders>
            <w:vAlign w:val="top"/>
          </w:tcPr>
          <w:p w14:paraId="6EA74E63">
            <w:pPr>
              <w:pStyle w:val="6"/>
              <w:spacing w:before="168" w:line="183" w:lineRule="auto"/>
              <w:ind w:left="200"/>
              <w:rPr>
                <w:sz w:val="18"/>
                <w:szCs w:val="18"/>
              </w:rPr>
            </w:pPr>
            <w:r>
              <w:rPr>
                <w:sz w:val="18"/>
                <w:szCs w:val="18"/>
              </w:rPr>
              <w:t>3</w:t>
            </w:r>
          </w:p>
        </w:tc>
        <w:tc>
          <w:tcPr>
            <w:tcW w:w="2100" w:type="dxa"/>
            <w:vAlign w:val="top"/>
          </w:tcPr>
          <w:p w14:paraId="1A42FD9F">
            <w:pPr>
              <w:pStyle w:val="6"/>
              <w:spacing w:before="123" w:line="220" w:lineRule="auto"/>
              <w:ind w:left="55"/>
              <w:rPr>
                <w:sz w:val="18"/>
                <w:szCs w:val="18"/>
              </w:rPr>
            </w:pPr>
            <w:r>
              <w:rPr>
                <w:spacing w:val="-1"/>
                <w:sz w:val="18"/>
                <w:szCs w:val="18"/>
              </w:rPr>
              <w:t>项目必要性和可行性分析</w:t>
            </w:r>
          </w:p>
        </w:tc>
        <w:tc>
          <w:tcPr>
            <w:tcW w:w="5730" w:type="dxa"/>
            <w:tcBorders>
              <w:right w:val="nil"/>
            </w:tcBorders>
            <w:vAlign w:val="top"/>
          </w:tcPr>
          <w:p w14:paraId="7B53F2CC">
            <w:pPr>
              <w:pStyle w:val="6"/>
              <w:spacing w:before="122" w:line="219" w:lineRule="auto"/>
              <w:ind w:left="44"/>
              <w:rPr>
                <w:sz w:val="18"/>
                <w:szCs w:val="18"/>
              </w:rPr>
            </w:pPr>
            <w:r>
              <w:rPr>
                <w:spacing w:val="-1"/>
                <w:sz w:val="18"/>
                <w:szCs w:val="18"/>
              </w:rPr>
              <w:t>政策可行性；技术可行性；资金可行性；环境可行性等</w:t>
            </w:r>
          </w:p>
        </w:tc>
      </w:tr>
      <w:tr w14:paraId="71C19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500" w:type="dxa"/>
            <w:tcBorders>
              <w:left w:val="nil"/>
            </w:tcBorders>
            <w:vAlign w:val="top"/>
          </w:tcPr>
          <w:p w14:paraId="495C95C1">
            <w:pPr>
              <w:spacing w:line="309" w:lineRule="auto"/>
              <w:rPr>
                <w:rFonts w:ascii="Arial"/>
                <w:sz w:val="21"/>
              </w:rPr>
            </w:pPr>
          </w:p>
          <w:p w14:paraId="7AF0BC72">
            <w:pPr>
              <w:pStyle w:val="6"/>
              <w:spacing w:before="59" w:line="183" w:lineRule="auto"/>
              <w:ind w:left="200"/>
              <w:rPr>
                <w:sz w:val="18"/>
                <w:szCs w:val="18"/>
              </w:rPr>
            </w:pPr>
            <w:r>
              <w:rPr>
                <w:sz w:val="18"/>
                <w:szCs w:val="18"/>
              </w:rPr>
              <w:t>4</w:t>
            </w:r>
          </w:p>
        </w:tc>
        <w:tc>
          <w:tcPr>
            <w:tcW w:w="2100" w:type="dxa"/>
            <w:vAlign w:val="top"/>
          </w:tcPr>
          <w:p w14:paraId="47D90DB7">
            <w:pPr>
              <w:spacing w:line="263" w:lineRule="auto"/>
              <w:rPr>
                <w:rFonts w:ascii="Arial"/>
                <w:sz w:val="21"/>
              </w:rPr>
            </w:pPr>
          </w:p>
          <w:p w14:paraId="73F4EA18">
            <w:pPr>
              <w:pStyle w:val="6"/>
              <w:spacing w:before="59" w:line="219" w:lineRule="auto"/>
              <w:ind w:left="414"/>
              <w:rPr>
                <w:sz w:val="18"/>
                <w:szCs w:val="18"/>
              </w:rPr>
            </w:pPr>
            <w:r>
              <w:rPr>
                <w:spacing w:val="-2"/>
                <w:sz w:val="18"/>
                <w:szCs w:val="18"/>
              </w:rPr>
              <w:t>现状及需求分析</w:t>
            </w:r>
          </w:p>
        </w:tc>
        <w:tc>
          <w:tcPr>
            <w:tcW w:w="5730" w:type="dxa"/>
            <w:tcBorders>
              <w:right w:val="nil"/>
            </w:tcBorders>
            <w:vAlign w:val="top"/>
          </w:tcPr>
          <w:p w14:paraId="5DEFD220">
            <w:pPr>
              <w:pStyle w:val="6"/>
              <w:spacing w:before="203" w:line="274" w:lineRule="auto"/>
              <w:ind w:left="54" w:right="88" w:firstLine="9"/>
              <w:rPr>
                <w:sz w:val="18"/>
                <w:szCs w:val="18"/>
              </w:rPr>
            </w:pPr>
            <w:r>
              <w:rPr>
                <w:sz w:val="18"/>
                <w:szCs w:val="18"/>
              </w:rPr>
              <w:t>现状分析；问题分析；组织业务目标需求分析；</w:t>
            </w:r>
            <w:r>
              <w:rPr>
                <w:spacing w:val="-1"/>
                <w:sz w:val="18"/>
                <w:szCs w:val="18"/>
              </w:rPr>
              <w:t>系统功能指标；信息量</w:t>
            </w:r>
            <w:r>
              <w:rPr>
                <w:sz w:val="18"/>
                <w:szCs w:val="18"/>
              </w:rPr>
              <w:t xml:space="preserve"> </w:t>
            </w:r>
            <w:r>
              <w:rPr>
                <w:spacing w:val="-1"/>
                <w:sz w:val="18"/>
                <w:szCs w:val="18"/>
              </w:rPr>
              <w:t>指标；系统性能指标等</w:t>
            </w:r>
          </w:p>
        </w:tc>
      </w:tr>
      <w:tr w14:paraId="6B370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500" w:type="dxa"/>
            <w:tcBorders>
              <w:left w:val="nil"/>
            </w:tcBorders>
            <w:vAlign w:val="top"/>
          </w:tcPr>
          <w:p w14:paraId="75E5D328">
            <w:pPr>
              <w:pStyle w:val="6"/>
              <w:spacing w:before="282" w:line="182" w:lineRule="auto"/>
              <w:ind w:left="200"/>
              <w:rPr>
                <w:sz w:val="18"/>
                <w:szCs w:val="18"/>
              </w:rPr>
            </w:pPr>
            <w:r>
              <w:rPr>
                <w:sz w:val="18"/>
                <w:szCs w:val="18"/>
              </w:rPr>
              <w:t>5</w:t>
            </w:r>
          </w:p>
        </w:tc>
        <w:tc>
          <w:tcPr>
            <w:tcW w:w="2100" w:type="dxa"/>
            <w:vAlign w:val="top"/>
          </w:tcPr>
          <w:p w14:paraId="1B8DEFD6">
            <w:pPr>
              <w:pStyle w:val="6"/>
              <w:spacing w:before="236" w:line="220" w:lineRule="auto"/>
              <w:ind w:left="505"/>
              <w:rPr>
                <w:sz w:val="18"/>
                <w:szCs w:val="18"/>
              </w:rPr>
            </w:pPr>
            <w:r>
              <w:rPr>
                <w:spacing w:val="1"/>
                <w:sz w:val="18"/>
                <w:szCs w:val="18"/>
              </w:rPr>
              <w:t>总体建设方案</w:t>
            </w:r>
          </w:p>
        </w:tc>
        <w:tc>
          <w:tcPr>
            <w:tcW w:w="5730" w:type="dxa"/>
            <w:tcBorders>
              <w:right w:val="nil"/>
            </w:tcBorders>
            <w:vAlign w:val="top"/>
          </w:tcPr>
          <w:p w14:paraId="11AC97B7">
            <w:pPr>
              <w:pStyle w:val="6"/>
              <w:spacing w:before="94" w:line="271" w:lineRule="auto"/>
              <w:ind w:left="64"/>
              <w:rPr>
                <w:sz w:val="18"/>
                <w:szCs w:val="18"/>
              </w:rPr>
            </w:pPr>
            <w:r>
              <w:rPr>
                <w:spacing w:val="2"/>
                <w:sz w:val="18"/>
                <w:szCs w:val="18"/>
              </w:rPr>
              <w:t>总体设计原则；总体目标与分期目标；总体建设任务与分期建设内容；</w:t>
            </w:r>
            <w:r>
              <w:rPr>
                <w:spacing w:val="17"/>
                <w:sz w:val="18"/>
                <w:szCs w:val="18"/>
              </w:rPr>
              <w:t xml:space="preserve"> </w:t>
            </w:r>
            <w:r>
              <w:rPr>
                <w:spacing w:val="-2"/>
                <w:sz w:val="18"/>
                <w:szCs w:val="18"/>
              </w:rPr>
              <w:t>系统总体结构和逻辑结构等</w:t>
            </w:r>
          </w:p>
        </w:tc>
      </w:tr>
    </w:tbl>
    <w:p w14:paraId="2152EACD">
      <w:pPr>
        <w:rPr>
          <w:rFonts w:ascii="Arial"/>
          <w:sz w:val="21"/>
        </w:rPr>
      </w:pPr>
    </w:p>
    <w:p w14:paraId="0B6FAFBA">
      <w:pPr>
        <w:rPr>
          <w:rFonts w:ascii="Arial" w:hAnsi="Arial" w:eastAsia="Arial" w:cs="Arial"/>
          <w:sz w:val="21"/>
          <w:szCs w:val="21"/>
        </w:rPr>
        <w:sectPr>
          <w:pgSz w:w="10300" w:h="13420"/>
          <w:pgMar w:top="360" w:right="1006" w:bottom="400" w:left="540" w:header="0" w:footer="0" w:gutter="0"/>
          <w:cols w:space="720" w:num="1"/>
        </w:sectPr>
      </w:pPr>
    </w:p>
    <w:p w14:paraId="5DD27D37">
      <w:pPr>
        <w:pStyle w:val="2"/>
        <w:jc w:val="right"/>
        <w:rPr>
          <w:rFonts w:ascii="Times New Roman" w:hAnsi="Times New Roman" w:eastAsia="Times New Roman" w:cs="Times New Roman"/>
          <w:sz w:val="19"/>
          <w:szCs w:val="19"/>
        </w:rPr>
      </w:pPr>
      <w:bookmarkStart w:id="704" w:name="bookmark689"/>
      <w:bookmarkEnd w:id="704"/>
      <w:r>
        <w:rPr>
          <w:spacing w:val="1"/>
          <w:sz w:val="19"/>
          <w:szCs w:val="19"/>
        </w:rPr>
        <w:t xml:space="preserve">第20章 信息系统工程监理基础工作 </w:t>
      </w:r>
      <w:r>
        <w:rPr>
          <w:position w:val="-11"/>
          <w:sz w:val="19"/>
          <w:szCs w:val="19"/>
        </w:rPr>
        <w:drawing>
          <wp:inline distT="0" distB="0" distL="0" distR="0">
            <wp:extent cx="316865" cy="247015"/>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286"/>
                    <a:stretch>
                      <a:fillRect/>
                    </a:stretch>
                  </pic:blipFill>
                  <pic:spPr>
                    <a:xfrm>
                      <a:off x="0" y="0"/>
                      <a:ext cx="317494" cy="247639"/>
                    </a:xfrm>
                    <a:prstGeom prst="rect">
                      <a:avLst/>
                    </a:prstGeom>
                  </pic:spPr>
                </pic:pic>
              </a:graphicData>
            </a:graphic>
          </wp:inline>
        </w:drawing>
      </w:r>
      <w:r>
        <w:rPr>
          <w:rFonts w:ascii="Times New Roman" w:hAnsi="Times New Roman" w:eastAsia="Times New Roman" w:cs="Times New Roman"/>
          <w:spacing w:val="1"/>
          <w:position w:val="-3"/>
          <w:sz w:val="19"/>
          <w:szCs w:val="19"/>
        </w:rPr>
        <w:t>443</w:t>
      </w:r>
    </w:p>
    <w:p w14:paraId="6C16C4C0">
      <w:pPr>
        <w:spacing w:line="255" w:lineRule="auto"/>
        <w:rPr>
          <w:rFonts w:ascii="Arial"/>
          <w:sz w:val="21"/>
        </w:rPr>
      </w:pPr>
    </w:p>
    <w:p w14:paraId="1ADCE307">
      <w:pPr>
        <w:pStyle w:val="2"/>
        <w:spacing w:before="61" w:line="220" w:lineRule="auto"/>
        <w:ind w:left="7759"/>
        <w:rPr>
          <w:sz w:val="19"/>
          <w:szCs w:val="19"/>
        </w:rPr>
      </w:pPr>
      <w:r>
        <w:rPr>
          <w:spacing w:val="2"/>
          <w:sz w:val="19"/>
          <w:szCs w:val="19"/>
        </w:rPr>
        <w:t>(续表)</w:t>
      </w:r>
    </w:p>
    <w:p w14:paraId="14279F18">
      <w:pPr>
        <w:spacing w:line="60" w:lineRule="exact"/>
      </w:pPr>
    </w:p>
    <w:tbl>
      <w:tblPr>
        <w:tblStyle w:val="5"/>
        <w:tblW w:w="83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0"/>
        <w:gridCol w:w="2110"/>
        <w:gridCol w:w="5700"/>
      </w:tblGrid>
      <w:tr w14:paraId="37B88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490" w:type="dxa"/>
            <w:tcBorders>
              <w:left w:val="nil"/>
            </w:tcBorders>
            <w:vAlign w:val="top"/>
          </w:tcPr>
          <w:p w14:paraId="43D69280">
            <w:pPr>
              <w:pStyle w:val="6"/>
              <w:spacing w:before="81" w:line="221" w:lineRule="auto"/>
              <w:ind w:left="52"/>
            </w:pPr>
            <w:r>
              <w:rPr>
                <w:b/>
                <w:bCs/>
                <w:spacing w:val="-4"/>
              </w:rPr>
              <w:t>序号</w:t>
            </w:r>
          </w:p>
        </w:tc>
        <w:tc>
          <w:tcPr>
            <w:tcW w:w="2110" w:type="dxa"/>
            <w:vAlign w:val="top"/>
          </w:tcPr>
          <w:p w14:paraId="178C1B10">
            <w:pPr>
              <w:pStyle w:val="6"/>
              <w:spacing w:before="78" w:line="219" w:lineRule="auto"/>
              <w:ind w:left="667"/>
            </w:pPr>
            <w:r>
              <w:rPr>
                <w:b/>
                <w:bCs/>
                <w:spacing w:val="-5"/>
              </w:rPr>
              <w:t>章节名称</w:t>
            </w:r>
          </w:p>
        </w:tc>
        <w:tc>
          <w:tcPr>
            <w:tcW w:w="5700" w:type="dxa"/>
            <w:tcBorders>
              <w:right w:val="nil"/>
            </w:tcBorders>
            <w:vAlign w:val="top"/>
          </w:tcPr>
          <w:p w14:paraId="6C83A524">
            <w:pPr>
              <w:pStyle w:val="6"/>
              <w:spacing w:before="80" w:line="219" w:lineRule="auto"/>
              <w:ind w:left="2467"/>
            </w:pPr>
            <w:r>
              <w:rPr>
                <w:b/>
                <w:bCs/>
                <w:spacing w:val="-2"/>
              </w:rPr>
              <w:t>内容概述</w:t>
            </w:r>
          </w:p>
        </w:tc>
      </w:tr>
      <w:tr w14:paraId="21AEA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6" w:hRule="atLeast"/>
        </w:trPr>
        <w:tc>
          <w:tcPr>
            <w:tcW w:w="490" w:type="dxa"/>
            <w:tcBorders>
              <w:left w:val="nil"/>
            </w:tcBorders>
            <w:vAlign w:val="top"/>
          </w:tcPr>
          <w:p w14:paraId="14C6EAD9">
            <w:pPr>
              <w:spacing w:line="286" w:lineRule="auto"/>
              <w:rPr>
                <w:rFonts w:ascii="Arial"/>
                <w:sz w:val="21"/>
              </w:rPr>
            </w:pPr>
          </w:p>
          <w:p w14:paraId="2DFEC83F">
            <w:pPr>
              <w:spacing w:line="287" w:lineRule="auto"/>
              <w:rPr>
                <w:rFonts w:ascii="Arial"/>
                <w:sz w:val="21"/>
              </w:rPr>
            </w:pPr>
          </w:p>
          <w:p w14:paraId="09FA33DA">
            <w:pPr>
              <w:spacing w:line="287" w:lineRule="auto"/>
              <w:rPr>
                <w:rFonts w:ascii="Arial"/>
                <w:sz w:val="21"/>
              </w:rPr>
            </w:pPr>
          </w:p>
          <w:p w14:paraId="7DD90E83">
            <w:pPr>
              <w:pStyle w:val="6"/>
              <w:spacing w:before="62" w:line="183" w:lineRule="auto"/>
              <w:ind w:left="190"/>
            </w:pPr>
            <w:r>
              <w:t>6</w:t>
            </w:r>
          </w:p>
        </w:tc>
        <w:tc>
          <w:tcPr>
            <w:tcW w:w="2110" w:type="dxa"/>
            <w:vAlign w:val="top"/>
          </w:tcPr>
          <w:p w14:paraId="14F63387">
            <w:pPr>
              <w:spacing w:line="270" w:lineRule="auto"/>
              <w:rPr>
                <w:rFonts w:ascii="Arial"/>
                <w:sz w:val="21"/>
              </w:rPr>
            </w:pPr>
          </w:p>
          <w:p w14:paraId="21A9FED0">
            <w:pPr>
              <w:spacing w:line="271" w:lineRule="auto"/>
              <w:rPr>
                <w:rFonts w:ascii="Arial"/>
                <w:sz w:val="21"/>
              </w:rPr>
            </w:pPr>
          </w:p>
          <w:p w14:paraId="2CCF1F6C">
            <w:pPr>
              <w:spacing w:line="271" w:lineRule="auto"/>
              <w:rPr>
                <w:rFonts w:ascii="Arial"/>
                <w:sz w:val="21"/>
              </w:rPr>
            </w:pPr>
          </w:p>
          <w:p w14:paraId="0068BE93">
            <w:pPr>
              <w:pStyle w:val="6"/>
              <w:spacing w:before="62" w:line="220" w:lineRule="auto"/>
              <w:ind w:left="475"/>
            </w:pPr>
            <w:r>
              <w:rPr>
                <w:spacing w:val="1"/>
              </w:rPr>
              <w:t>项目建设方案</w:t>
            </w:r>
          </w:p>
        </w:tc>
        <w:tc>
          <w:tcPr>
            <w:tcW w:w="5700" w:type="dxa"/>
            <w:tcBorders>
              <w:right w:val="nil"/>
            </w:tcBorders>
            <w:vAlign w:val="top"/>
          </w:tcPr>
          <w:p w14:paraId="214502ED">
            <w:pPr>
              <w:pStyle w:val="6"/>
              <w:spacing w:before="60" w:line="259" w:lineRule="auto"/>
              <w:ind w:left="24" w:hanging="9"/>
              <w:jc w:val="both"/>
            </w:pPr>
            <w:r>
              <w:rPr>
                <w:spacing w:val="-10"/>
              </w:rPr>
              <w:t>建设目标、规模与内容；标准规范建设内容；信息资源规划和数据库设</w:t>
            </w:r>
            <w:r>
              <w:rPr>
                <w:spacing w:val="6"/>
              </w:rPr>
              <w:t xml:space="preserve">  </w:t>
            </w:r>
            <w:r>
              <w:rPr>
                <w:spacing w:val="-10"/>
              </w:rPr>
              <w:t>计；应用支撑系统设计；应用系统设计；数据处理和存储系统设计；终</w:t>
            </w:r>
            <w:r>
              <w:rPr>
                <w:spacing w:val="1"/>
              </w:rPr>
              <w:t xml:space="preserve">  </w:t>
            </w:r>
            <w:r>
              <w:rPr>
                <w:spacing w:val="-10"/>
              </w:rPr>
              <w:t>端系统及接口设计；网络系统设计；安全系统设计；备份系统设计；运</w:t>
            </w:r>
            <w:r>
              <w:rPr>
                <w:spacing w:val="1"/>
              </w:rPr>
              <w:t xml:space="preserve">  </w:t>
            </w:r>
            <w:r>
              <w:rPr>
                <w:spacing w:val="-7"/>
              </w:rPr>
              <w:t>行维护系统设计；系统配置及软硬件选型原则；系统软硬件配</w:t>
            </w:r>
            <w:r>
              <w:rPr>
                <w:spacing w:val="-8"/>
              </w:rPr>
              <w:t>置清单；</w:t>
            </w:r>
            <w:r>
              <w:t xml:space="preserve"> </w:t>
            </w:r>
            <w:r>
              <w:rPr>
                <w:spacing w:val="-10"/>
              </w:rPr>
              <w:t>系统软硬件物理部署方案；机房及配套工程设计；环保、消防、职业安</w:t>
            </w:r>
            <w:r>
              <w:rPr>
                <w:spacing w:val="3"/>
              </w:rPr>
              <w:t xml:space="preserve">  </w:t>
            </w:r>
            <w:r>
              <w:rPr>
                <w:spacing w:val="-10"/>
              </w:rPr>
              <w:t>全卫生和节能措施的设计；初步设计方案相对可研报告批复变更调整情</w:t>
            </w:r>
            <w:r>
              <w:rPr>
                <w:spacing w:val="2"/>
              </w:rPr>
              <w:t xml:space="preserve">  </w:t>
            </w:r>
            <w:r>
              <w:rPr>
                <w:spacing w:val="-4"/>
              </w:rPr>
              <w:t>况的详细说明等</w:t>
            </w:r>
          </w:p>
        </w:tc>
      </w:tr>
      <w:tr w14:paraId="06377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90" w:type="dxa"/>
            <w:tcBorders>
              <w:left w:val="nil"/>
            </w:tcBorders>
            <w:vAlign w:val="top"/>
          </w:tcPr>
          <w:p w14:paraId="13BD27C4">
            <w:pPr>
              <w:pStyle w:val="6"/>
              <w:spacing w:before="132" w:line="182" w:lineRule="auto"/>
              <w:ind w:left="190"/>
            </w:pPr>
            <w:r>
              <w:t>7</w:t>
            </w:r>
          </w:p>
        </w:tc>
        <w:tc>
          <w:tcPr>
            <w:tcW w:w="2110" w:type="dxa"/>
            <w:vAlign w:val="top"/>
          </w:tcPr>
          <w:p w14:paraId="7E77D589">
            <w:pPr>
              <w:pStyle w:val="6"/>
              <w:spacing w:before="83" w:line="221" w:lineRule="auto"/>
              <w:ind w:left="475"/>
            </w:pPr>
            <w:r>
              <w:rPr>
                <w:spacing w:val="-2"/>
              </w:rPr>
              <w:t>系统安全设计</w:t>
            </w:r>
          </w:p>
        </w:tc>
        <w:tc>
          <w:tcPr>
            <w:tcW w:w="5700" w:type="dxa"/>
            <w:tcBorders>
              <w:right w:val="nil"/>
            </w:tcBorders>
            <w:vAlign w:val="top"/>
          </w:tcPr>
          <w:p w14:paraId="3D6740A6">
            <w:pPr>
              <w:pStyle w:val="6"/>
              <w:spacing w:before="82" w:line="219" w:lineRule="auto"/>
              <w:ind w:left="35"/>
            </w:pPr>
            <w:r>
              <w:rPr>
                <w:spacing w:val="-1"/>
              </w:rPr>
              <w:t>信息系统安全等级定级；安全技术体系；安全管理体系等</w:t>
            </w:r>
          </w:p>
        </w:tc>
      </w:tr>
      <w:tr w14:paraId="6C354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490" w:type="dxa"/>
            <w:tcBorders>
              <w:left w:val="nil"/>
            </w:tcBorders>
            <w:vAlign w:val="top"/>
          </w:tcPr>
          <w:p w14:paraId="0018E6EF">
            <w:pPr>
              <w:pStyle w:val="6"/>
              <w:spacing w:before="242" w:line="183" w:lineRule="auto"/>
              <w:ind w:left="190"/>
            </w:pPr>
            <w:r>
              <w:t>8</w:t>
            </w:r>
          </w:p>
        </w:tc>
        <w:tc>
          <w:tcPr>
            <w:tcW w:w="2110" w:type="dxa"/>
            <w:vAlign w:val="top"/>
          </w:tcPr>
          <w:p w14:paraId="6342D03E">
            <w:pPr>
              <w:pStyle w:val="6"/>
              <w:spacing w:before="193" w:line="219" w:lineRule="auto"/>
              <w:ind w:left="475"/>
            </w:pPr>
            <w:r>
              <w:rPr>
                <w:spacing w:val="1"/>
              </w:rPr>
              <w:t>项目管理方案</w:t>
            </w:r>
          </w:p>
        </w:tc>
        <w:tc>
          <w:tcPr>
            <w:tcW w:w="5700" w:type="dxa"/>
            <w:tcBorders>
              <w:right w:val="nil"/>
            </w:tcBorders>
            <w:vAlign w:val="top"/>
          </w:tcPr>
          <w:p w14:paraId="70BBC0A7">
            <w:pPr>
              <w:pStyle w:val="6"/>
              <w:spacing w:before="62" w:line="241" w:lineRule="auto"/>
              <w:ind w:left="34" w:hanging="19"/>
            </w:pPr>
            <w:r>
              <w:rPr>
                <w:spacing w:val="-13"/>
              </w:rPr>
              <w:t>领导和管理机构；项目实施机构；运行维护机构；核准的项目招标方案；</w:t>
            </w:r>
            <w:r>
              <w:rPr>
                <w:spacing w:val="14"/>
              </w:rPr>
              <w:t xml:space="preserve"> </w:t>
            </w:r>
            <w:r>
              <w:rPr>
                <w:spacing w:val="-4"/>
              </w:rPr>
              <w:t>项目进度；质量、资金管理方案；相关管理制度等</w:t>
            </w:r>
          </w:p>
        </w:tc>
      </w:tr>
      <w:tr w14:paraId="6C16A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490" w:type="dxa"/>
            <w:tcBorders>
              <w:left w:val="nil"/>
            </w:tcBorders>
            <w:vAlign w:val="top"/>
          </w:tcPr>
          <w:p w14:paraId="410189BD">
            <w:pPr>
              <w:pStyle w:val="6"/>
              <w:spacing w:before="133" w:line="183" w:lineRule="auto"/>
              <w:ind w:left="190"/>
            </w:pPr>
            <w:r>
              <w:t>9</w:t>
            </w:r>
          </w:p>
        </w:tc>
        <w:tc>
          <w:tcPr>
            <w:tcW w:w="2110" w:type="dxa"/>
            <w:vAlign w:val="top"/>
          </w:tcPr>
          <w:p w14:paraId="51EBCCB4">
            <w:pPr>
              <w:pStyle w:val="6"/>
              <w:spacing w:before="85" w:line="220" w:lineRule="auto"/>
              <w:ind w:left="475"/>
            </w:pPr>
            <w:r>
              <w:rPr>
                <w:spacing w:val="1"/>
              </w:rPr>
              <w:t>项目实施进度</w:t>
            </w:r>
          </w:p>
        </w:tc>
        <w:tc>
          <w:tcPr>
            <w:tcW w:w="5700" w:type="dxa"/>
            <w:tcBorders>
              <w:right w:val="nil"/>
            </w:tcBorders>
            <w:vAlign w:val="top"/>
          </w:tcPr>
          <w:p w14:paraId="6A627091">
            <w:pPr>
              <w:pStyle w:val="6"/>
              <w:spacing w:before="84" w:line="219" w:lineRule="auto"/>
              <w:ind w:left="35"/>
            </w:pPr>
            <w:r>
              <w:rPr>
                <w:spacing w:val="-1"/>
              </w:rPr>
              <w:t>项目建设期；实施进度计划等</w:t>
            </w:r>
          </w:p>
        </w:tc>
      </w:tr>
      <w:tr w14:paraId="7ECC6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90" w:type="dxa"/>
            <w:tcBorders>
              <w:left w:val="nil"/>
            </w:tcBorders>
            <w:vAlign w:val="top"/>
          </w:tcPr>
          <w:p w14:paraId="75834D4D">
            <w:pPr>
              <w:pStyle w:val="6"/>
              <w:spacing w:before="133" w:line="184" w:lineRule="auto"/>
              <w:ind w:left="150"/>
            </w:pPr>
            <w:r>
              <w:rPr>
                <w:spacing w:val="-6"/>
              </w:rPr>
              <w:t>10</w:t>
            </w:r>
          </w:p>
        </w:tc>
        <w:tc>
          <w:tcPr>
            <w:tcW w:w="2110" w:type="dxa"/>
            <w:vAlign w:val="top"/>
          </w:tcPr>
          <w:p w14:paraId="023892B7">
            <w:pPr>
              <w:pStyle w:val="6"/>
              <w:spacing w:before="86" w:line="220" w:lineRule="auto"/>
              <w:ind w:left="195"/>
            </w:pPr>
            <w:r>
              <w:rPr>
                <w:spacing w:val="-1"/>
              </w:rPr>
              <w:t>人员配置与培训方案</w:t>
            </w:r>
          </w:p>
        </w:tc>
        <w:tc>
          <w:tcPr>
            <w:tcW w:w="5700" w:type="dxa"/>
            <w:tcBorders>
              <w:right w:val="nil"/>
            </w:tcBorders>
            <w:vAlign w:val="top"/>
          </w:tcPr>
          <w:p w14:paraId="1FFF74BF">
            <w:pPr>
              <w:pStyle w:val="6"/>
              <w:spacing w:before="85" w:line="219" w:lineRule="auto"/>
              <w:ind w:left="35"/>
            </w:pPr>
            <w:r>
              <w:rPr>
                <w:spacing w:val="-1"/>
              </w:rPr>
              <w:t>技术力量；人员配置；培训方案等</w:t>
            </w:r>
          </w:p>
        </w:tc>
      </w:tr>
      <w:tr w14:paraId="43968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90" w:type="dxa"/>
            <w:tcBorders>
              <w:left w:val="nil"/>
            </w:tcBorders>
            <w:vAlign w:val="top"/>
          </w:tcPr>
          <w:p w14:paraId="74174A00">
            <w:pPr>
              <w:pStyle w:val="6"/>
              <w:spacing w:before="133" w:line="184" w:lineRule="auto"/>
              <w:ind w:left="150"/>
            </w:pPr>
            <w:r>
              <w:rPr>
                <w:spacing w:val="-6"/>
              </w:rPr>
              <w:t>11</w:t>
            </w:r>
          </w:p>
        </w:tc>
        <w:tc>
          <w:tcPr>
            <w:tcW w:w="2110" w:type="dxa"/>
            <w:vAlign w:val="top"/>
          </w:tcPr>
          <w:p w14:paraId="7C3B06E5">
            <w:pPr>
              <w:pStyle w:val="6"/>
              <w:spacing w:before="86" w:line="220" w:lineRule="auto"/>
              <w:ind w:left="475"/>
            </w:pPr>
            <w:r>
              <w:rPr>
                <w:spacing w:val="-2"/>
              </w:rPr>
              <w:t>运行维护方案</w:t>
            </w:r>
          </w:p>
        </w:tc>
        <w:tc>
          <w:tcPr>
            <w:tcW w:w="5700" w:type="dxa"/>
            <w:tcBorders>
              <w:right w:val="nil"/>
            </w:tcBorders>
            <w:vAlign w:val="top"/>
          </w:tcPr>
          <w:p w14:paraId="10ECAA16">
            <w:pPr>
              <w:pStyle w:val="6"/>
              <w:spacing w:before="85" w:line="219" w:lineRule="auto"/>
              <w:ind w:left="25"/>
            </w:pPr>
            <w:r>
              <w:rPr>
                <w:spacing w:val="-1"/>
              </w:rPr>
              <w:t>运行维护体系；运行维护要求；运行维护内容等</w:t>
            </w:r>
          </w:p>
        </w:tc>
      </w:tr>
      <w:tr w14:paraId="4B8A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490" w:type="dxa"/>
            <w:tcBorders>
              <w:left w:val="nil"/>
            </w:tcBorders>
            <w:vAlign w:val="top"/>
          </w:tcPr>
          <w:p w14:paraId="6EFB429C">
            <w:pPr>
              <w:pStyle w:val="6"/>
              <w:spacing w:before="243" w:line="184" w:lineRule="auto"/>
              <w:ind w:left="150"/>
            </w:pPr>
            <w:r>
              <w:rPr>
                <w:spacing w:val="-6"/>
              </w:rPr>
              <w:t>12</w:t>
            </w:r>
          </w:p>
        </w:tc>
        <w:tc>
          <w:tcPr>
            <w:tcW w:w="2110" w:type="dxa"/>
            <w:vAlign w:val="top"/>
          </w:tcPr>
          <w:p w14:paraId="14994A3F">
            <w:pPr>
              <w:pStyle w:val="6"/>
              <w:spacing w:before="196" w:line="219" w:lineRule="auto"/>
              <w:ind w:left="475"/>
            </w:pPr>
            <w:r>
              <w:rPr>
                <w:spacing w:val="-1"/>
              </w:rPr>
              <w:t>初步设计概算</w:t>
            </w:r>
          </w:p>
        </w:tc>
        <w:tc>
          <w:tcPr>
            <w:tcW w:w="5700" w:type="dxa"/>
            <w:tcBorders>
              <w:right w:val="nil"/>
            </w:tcBorders>
            <w:vAlign w:val="top"/>
          </w:tcPr>
          <w:p w14:paraId="49B9278A">
            <w:pPr>
              <w:pStyle w:val="6"/>
              <w:spacing w:before="34" w:line="250" w:lineRule="auto"/>
              <w:ind w:left="34" w:hanging="19"/>
            </w:pPr>
            <w:r>
              <w:rPr>
                <w:spacing w:val="-7"/>
              </w:rPr>
              <w:t>初步设计方案和投资概算编制说明；初步设计投资概算书；资金筹措及</w:t>
            </w:r>
            <w:r>
              <w:rPr>
                <w:spacing w:val="5"/>
              </w:rPr>
              <w:t xml:space="preserve"> </w:t>
            </w:r>
            <w:r>
              <w:rPr>
                <w:spacing w:val="-2"/>
              </w:rPr>
              <w:t>投资计划等</w:t>
            </w:r>
          </w:p>
        </w:tc>
      </w:tr>
      <w:tr w14:paraId="23571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490" w:type="dxa"/>
            <w:tcBorders>
              <w:left w:val="nil"/>
            </w:tcBorders>
            <w:vAlign w:val="top"/>
          </w:tcPr>
          <w:p w14:paraId="05DA42B3">
            <w:pPr>
              <w:pStyle w:val="6"/>
              <w:spacing w:before="134" w:line="184" w:lineRule="auto"/>
              <w:ind w:left="150"/>
            </w:pPr>
            <w:r>
              <w:rPr>
                <w:spacing w:val="-6"/>
              </w:rPr>
              <w:t>13</w:t>
            </w:r>
          </w:p>
        </w:tc>
        <w:tc>
          <w:tcPr>
            <w:tcW w:w="2110" w:type="dxa"/>
            <w:vAlign w:val="top"/>
          </w:tcPr>
          <w:p w14:paraId="27F97987">
            <w:pPr>
              <w:pStyle w:val="6"/>
              <w:spacing w:before="87" w:line="220" w:lineRule="auto"/>
              <w:ind w:left="385"/>
            </w:pPr>
            <w:r>
              <w:rPr>
                <w:spacing w:val="-2"/>
              </w:rPr>
              <w:t>风险及效益分析</w:t>
            </w:r>
          </w:p>
        </w:tc>
        <w:tc>
          <w:tcPr>
            <w:tcW w:w="5700" w:type="dxa"/>
            <w:tcBorders>
              <w:right w:val="nil"/>
            </w:tcBorders>
            <w:vAlign w:val="top"/>
          </w:tcPr>
          <w:p w14:paraId="4D24C3FF">
            <w:pPr>
              <w:pStyle w:val="6"/>
              <w:spacing w:before="87" w:line="219" w:lineRule="auto"/>
              <w:ind w:left="35"/>
            </w:pPr>
            <w:r>
              <w:rPr>
                <w:spacing w:val="-1"/>
              </w:rPr>
              <w:t>风险分析及对策；效益分析等</w:t>
            </w:r>
          </w:p>
        </w:tc>
      </w:tr>
    </w:tbl>
    <w:p w14:paraId="4112FE48">
      <w:pPr>
        <w:pStyle w:val="2"/>
        <w:spacing w:before="253" w:line="260" w:lineRule="auto"/>
        <w:ind w:left="400" w:right="4266"/>
        <w:rPr>
          <w:sz w:val="19"/>
          <w:szCs w:val="19"/>
        </w:rPr>
      </w:pPr>
      <w:r>
        <w:rPr>
          <w:spacing w:val="11"/>
          <w:sz w:val="19"/>
          <w:szCs w:val="19"/>
        </w:rPr>
        <w:t>(3)协助组织有关评审活动，验证项目需求。</w:t>
      </w:r>
      <w:r>
        <w:rPr>
          <w:spacing w:val="8"/>
          <w:sz w:val="19"/>
          <w:szCs w:val="19"/>
        </w:rPr>
        <w:t xml:space="preserve"> </w:t>
      </w:r>
      <w:r>
        <w:rPr>
          <w:spacing w:val="4"/>
          <w:sz w:val="19"/>
          <w:szCs w:val="19"/>
        </w:rPr>
        <w:t>需求评审的主要内容包括：</w:t>
      </w:r>
    </w:p>
    <w:p w14:paraId="20335A23">
      <w:pPr>
        <w:pStyle w:val="2"/>
        <w:spacing w:before="85" w:line="220" w:lineRule="auto"/>
        <w:ind w:left="400"/>
        <w:rPr>
          <w:sz w:val="19"/>
          <w:szCs w:val="19"/>
        </w:rPr>
      </w:pPr>
      <w:r>
        <w:rPr>
          <w:spacing w:val="10"/>
          <w:sz w:val="19"/>
          <w:szCs w:val="19"/>
        </w:rPr>
        <w:t>●系统定义的目标是否与用户的需求一致；</w:t>
      </w:r>
    </w:p>
    <w:p w14:paraId="541F1288">
      <w:pPr>
        <w:pStyle w:val="2"/>
        <w:spacing w:before="91" w:line="219" w:lineRule="auto"/>
        <w:ind w:left="400"/>
        <w:rPr>
          <w:sz w:val="19"/>
          <w:szCs w:val="19"/>
        </w:rPr>
      </w:pPr>
      <w:r>
        <w:rPr>
          <w:spacing w:val="10"/>
          <w:sz w:val="19"/>
          <w:szCs w:val="19"/>
        </w:rPr>
        <w:t>●需求分析阶段提供的文档、资料是否齐全；</w:t>
      </w:r>
    </w:p>
    <w:p w14:paraId="720DA037">
      <w:pPr>
        <w:pStyle w:val="2"/>
        <w:spacing w:before="105" w:line="219" w:lineRule="auto"/>
        <w:ind w:left="400"/>
        <w:rPr>
          <w:sz w:val="19"/>
          <w:szCs w:val="19"/>
        </w:rPr>
      </w:pPr>
      <w:r>
        <w:rPr>
          <w:spacing w:val="11"/>
          <w:sz w:val="19"/>
          <w:szCs w:val="19"/>
        </w:rPr>
        <w:t>●需求分析文档中的所有描述是否完整、清晰、准确</w:t>
      </w:r>
      <w:r>
        <w:rPr>
          <w:spacing w:val="10"/>
          <w:sz w:val="19"/>
          <w:szCs w:val="19"/>
        </w:rPr>
        <w:t>地反映了用户要求；</w:t>
      </w:r>
    </w:p>
    <w:p w14:paraId="0165A9E5">
      <w:pPr>
        <w:pStyle w:val="2"/>
        <w:spacing w:before="85" w:line="219" w:lineRule="auto"/>
        <w:ind w:left="400"/>
        <w:rPr>
          <w:sz w:val="19"/>
          <w:szCs w:val="19"/>
        </w:rPr>
      </w:pPr>
      <w:r>
        <w:rPr>
          <w:spacing w:val="10"/>
          <w:sz w:val="19"/>
          <w:szCs w:val="19"/>
        </w:rPr>
        <w:t>●与所有其他系统的重要接口是否都已得到描述；</w:t>
      </w:r>
    </w:p>
    <w:p w14:paraId="3FDB2438">
      <w:pPr>
        <w:pStyle w:val="2"/>
        <w:spacing w:before="95" w:line="219" w:lineRule="auto"/>
        <w:ind w:left="400"/>
        <w:rPr>
          <w:sz w:val="19"/>
          <w:szCs w:val="19"/>
        </w:rPr>
      </w:pPr>
      <w:r>
        <w:rPr>
          <w:spacing w:val="11"/>
          <w:sz w:val="19"/>
          <w:szCs w:val="19"/>
        </w:rPr>
        <w:t>●主要功能是否已包括在规定的需求范围之内，是否都</w:t>
      </w:r>
      <w:r>
        <w:rPr>
          <w:spacing w:val="10"/>
          <w:sz w:val="19"/>
          <w:szCs w:val="19"/>
        </w:rPr>
        <w:t>已充分说明；</w:t>
      </w:r>
    </w:p>
    <w:p w14:paraId="7465B30B">
      <w:pPr>
        <w:pStyle w:val="2"/>
        <w:spacing w:before="94" w:line="219" w:lineRule="auto"/>
        <w:ind w:left="400"/>
        <w:rPr>
          <w:sz w:val="19"/>
          <w:szCs w:val="19"/>
        </w:rPr>
      </w:pPr>
      <w:r>
        <w:rPr>
          <w:spacing w:val="11"/>
          <w:sz w:val="19"/>
          <w:szCs w:val="19"/>
        </w:rPr>
        <w:t>●系统的行为和其必须处理的信息、必须完成的功</w:t>
      </w:r>
      <w:r>
        <w:rPr>
          <w:spacing w:val="10"/>
          <w:sz w:val="19"/>
          <w:szCs w:val="19"/>
        </w:rPr>
        <w:t>能是否一致；</w:t>
      </w:r>
    </w:p>
    <w:p w14:paraId="0A39369B">
      <w:pPr>
        <w:pStyle w:val="2"/>
        <w:spacing w:before="85" w:line="219" w:lineRule="auto"/>
        <w:ind w:left="400"/>
        <w:rPr>
          <w:sz w:val="19"/>
          <w:szCs w:val="19"/>
        </w:rPr>
      </w:pPr>
      <w:r>
        <w:rPr>
          <w:spacing w:val="10"/>
          <w:sz w:val="19"/>
          <w:szCs w:val="19"/>
        </w:rPr>
        <w:t>●设计的约束条件或限制条件是否符合实际；</w:t>
      </w:r>
    </w:p>
    <w:p w14:paraId="0893ECA4">
      <w:pPr>
        <w:pStyle w:val="2"/>
        <w:spacing w:before="103" w:line="219" w:lineRule="auto"/>
        <w:ind w:left="400"/>
        <w:rPr>
          <w:sz w:val="19"/>
          <w:szCs w:val="19"/>
        </w:rPr>
      </w:pPr>
      <w:r>
        <w:rPr>
          <w:spacing w:val="10"/>
          <w:sz w:val="19"/>
          <w:szCs w:val="19"/>
        </w:rPr>
        <w:t>●对开发过程中可能存在的技术风险是否采取了必要的规避措施；</w:t>
      </w:r>
    </w:p>
    <w:p w14:paraId="4E144A9B">
      <w:pPr>
        <w:pStyle w:val="2"/>
        <w:spacing w:before="76" w:line="269" w:lineRule="auto"/>
        <w:ind w:left="400" w:right="2566"/>
        <w:rPr>
          <w:sz w:val="19"/>
          <w:szCs w:val="19"/>
        </w:rPr>
      </w:pPr>
      <w:r>
        <w:rPr>
          <w:spacing w:val="11"/>
          <w:sz w:val="19"/>
          <w:szCs w:val="19"/>
        </w:rPr>
        <w:t>●是否详细制定了检验标准，其能否对系统定义成功进行确认。</w:t>
      </w:r>
      <w:r>
        <w:rPr>
          <w:spacing w:val="16"/>
          <w:sz w:val="19"/>
          <w:szCs w:val="19"/>
        </w:rPr>
        <w:t xml:space="preserve"> </w:t>
      </w:r>
      <w:r>
        <w:rPr>
          <w:spacing w:val="4"/>
          <w:sz w:val="19"/>
          <w:szCs w:val="19"/>
        </w:rPr>
        <w:t>需求验证的基本方法包括：</w:t>
      </w:r>
    </w:p>
    <w:p w14:paraId="14EB93CC">
      <w:pPr>
        <w:pStyle w:val="2"/>
        <w:spacing w:before="86" w:line="219" w:lineRule="auto"/>
        <w:ind w:left="400"/>
        <w:rPr>
          <w:sz w:val="19"/>
          <w:szCs w:val="19"/>
        </w:rPr>
      </w:pPr>
      <w:r>
        <w:rPr>
          <w:spacing w:val="9"/>
          <w:sz w:val="19"/>
          <w:szCs w:val="19"/>
        </w:rPr>
        <w:t>●</w:t>
      </w:r>
      <w:r>
        <w:rPr>
          <w:spacing w:val="-44"/>
          <w:sz w:val="19"/>
          <w:szCs w:val="19"/>
        </w:rPr>
        <w:t xml:space="preserve"> </w:t>
      </w:r>
      <w:r>
        <w:rPr>
          <w:spacing w:val="9"/>
          <w:sz w:val="19"/>
          <w:szCs w:val="19"/>
        </w:rPr>
        <w:t>自查法：需求分析人员对自己完成的工作内容进行审查和验证，纠正存在的问题；</w:t>
      </w:r>
    </w:p>
    <w:p w14:paraId="63B74FF1">
      <w:pPr>
        <w:pStyle w:val="2"/>
        <w:spacing w:before="105" w:line="219" w:lineRule="auto"/>
        <w:ind w:left="400"/>
        <w:rPr>
          <w:sz w:val="19"/>
          <w:szCs w:val="19"/>
        </w:rPr>
      </w:pPr>
      <w:r>
        <w:rPr>
          <w:spacing w:val="11"/>
          <w:sz w:val="19"/>
          <w:szCs w:val="19"/>
        </w:rPr>
        <w:t>●用户审查法：将需求分析文档交给用户，由用户对</w:t>
      </w:r>
      <w:r>
        <w:rPr>
          <w:spacing w:val="10"/>
          <w:sz w:val="19"/>
          <w:szCs w:val="19"/>
        </w:rPr>
        <w:t>需求分析进行审查；</w:t>
      </w:r>
    </w:p>
    <w:p w14:paraId="56139D31">
      <w:pPr>
        <w:pStyle w:val="2"/>
        <w:spacing w:before="75" w:line="219" w:lineRule="auto"/>
        <w:ind w:left="400"/>
        <w:rPr>
          <w:sz w:val="19"/>
          <w:szCs w:val="19"/>
        </w:rPr>
      </w:pPr>
      <w:r>
        <w:rPr>
          <w:spacing w:val="11"/>
          <w:sz w:val="19"/>
          <w:szCs w:val="19"/>
        </w:rPr>
        <w:t>●专家审查法：将需求分析文档交给专家，由专家对</w:t>
      </w:r>
      <w:r>
        <w:rPr>
          <w:spacing w:val="10"/>
          <w:sz w:val="19"/>
          <w:szCs w:val="19"/>
        </w:rPr>
        <w:t>需求分析进行审查；</w:t>
      </w:r>
    </w:p>
    <w:p w14:paraId="4A0BFD44">
      <w:pPr>
        <w:pStyle w:val="2"/>
        <w:spacing w:before="64" w:line="285" w:lineRule="auto"/>
        <w:ind w:left="689" w:right="298" w:hanging="289"/>
        <w:rPr>
          <w:sz w:val="19"/>
          <w:szCs w:val="19"/>
        </w:rPr>
      </w:pPr>
      <w:r>
        <w:rPr>
          <w:spacing w:val="13"/>
          <w:sz w:val="19"/>
          <w:szCs w:val="19"/>
        </w:rPr>
        <w:t>●原型法：通过建立原型系统对存在争议或不确定的需求进行验证，以此来确</w:t>
      </w:r>
      <w:r>
        <w:rPr>
          <w:spacing w:val="12"/>
          <w:sz w:val="19"/>
          <w:szCs w:val="19"/>
        </w:rPr>
        <w:t>定需求是否</w:t>
      </w:r>
      <w:r>
        <w:rPr>
          <w:sz w:val="19"/>
          <w:szCs w:val="19"/>
        </w:rPr>
        <w:t xml:space="preserve"> </w:t>
      </w:r>
      <w:r>
        <w:rPr>
          <w:spacing w:val="5"/>
          <w:sz w:val="19"/>
          <w:szCs w:val="19"/>
        </w:rPr>
        <w:t>正确。</w:t>
      </w:r>
    </w:p>
    <w:p w14:paraId="7A2A722E">
      <w:pPr>
        <w:pStyle w:val="2"/>
        <w:spacing w:before="74" w:line="219" w:lineRule="auto"/>
        <w:ind w:left="400"/>
        <w:rPr>
          <w:sz w:val="19"/>
          <w:szCs w:val="19"/>
        </w:rPr>
      </w:pPr>
      <w:r>
        <w:rPr>
          <w:spacing w:val="12"/>
          <w:sz w:val="19"/>
          <w:szCs w:val="19"/>
        </w:rPr>
        <w:t>(4)协助做好招投标准备工作，提出适当的招标方法。</w:t>
      </w:r>
    </w:p>
    <w:p w14:paraId="2B468A89">
      <w:pPr>
        <w:spacing w:line="219" w:lineRule="auto"/>
        <w:rPr>
          <w:sz w:val="19"/>
          <w:szCs w:val="19"/>
        </w:rPr>
        <w:sectPr>
          <w:pgSz w:w="10290" w:h="13310"/>
          <w:pgMar w:top="380" w:right="558" w:bottom="400" w:left="1119" w:header="0" w:footer="0" w:gutter="0"/>
          <w:cols w:space="720" w:num="1"/>
        </w:sectPr>
      </w:pPr>
    </w:p>
    <w:p w14:paraId="78A70379">
      <w:pPr>
        <w:pStyle w:val="2"/>
        <w:spacing w:before="87" w:line="219" w:lineRule="auto"/>
        <w:rPr>
          <w:sz w:val="19"/>
          <w:szCs w:val="19"/>
        </w:rPr>
      </w:pPr>
      <w:r>
        <w:rPr>
          <w:rFonts w:ascii="Times New Roman" w:hAnsi="Times New Roman" w:eastAsia="Times New Roman" w:cs="Times New Roman"/>
          <w:spacing w:val="4"/>
          <w:sz w:val="19"/>
          <w:szCs w:val="19"/>
        </w:rPr>
        <w:t>444</w:t>
      </w:r>
      <w:r>
        <w:rPr>
          <w:rFonts w:ascii="Times New Roman" w:hAnsi="Times New Roman" w:eastAsia="Times New Roman" w:cs="Times New Roman"/>
          <w:spacing w:val="1"/>
          <w:sz w:val="19"/>
          <w:szCs w:val="19"/>
        </w:rPr>
        <w:t xml:space="preserve">               </w:t>
      </w:r>
      <w:r>
        <w:rPr>
          <w:spacing w:val="4"/>
          <w:sz w:val="19"/>
          <w:szCs w:val="19"/>
        </w:rPr>
        <w:t>信息系统监理师教程(第2版)</w:t>
      </w:r>
    </w:p>
    <w:p w14:paraId="4639FC85">
      <w:pPr>
        <w:spacing w:line="328" w:lineRule="auto"/>
        <w:rPr>
          <w:rFonts w:ascii="Arial"/>
          <w:sz w:val="21"/>
        </w:rPr>
      </w:pPr>
    </w:p>
    <w:p w14:paraId="4E3E0A2C">
      <w:pPr>
        <w:pStyle w:val="2"/>
        <w:spacing w:before="62" w:line="304" w:lineRule="auto"/>
        <w:ind w:left="380" w:right="9" w:firstLine="369"/>
        <w:jc w:val="both"/>
        <w:rPr>
          <w:sz w:val="19"/>
          <w:szCs w:val="19"/>
        </w:rPr>
      </w:pPr>
      <w:r>
        <w:rPr>
          <w:spacing w:val="13"/>
          <w:sz w:val="19"/>
          <w:szCs w:val="19"/>
        </w:rPr>
        <w:t>招标工作按照组织方式可以划分为自行招标和委托招标。自行招标，即业主单位自己组织</w:t>
      </w:r>
      <w:r>
        <w:rPr>
          <w:spacing w:val="12"/>
          <w:sz w:val="19"/>
          <w:szCs w:val="19"/>
        </w:rPr>
        <w:t xml:space="preserve"> </w:t>
      </w:r>
      <w:r>
        <w:rPr>
          <w:spacing w:val="13"/>
          <w:sz w:val="19"/>
          <w:szCs w:val="19"/>
        </w:rPr>
        <w:t>招标和评标，要求业主单位自身具备组织招标和评标的能力；委托招标，即委托有招标能力和</w:t>
      </w:r>
      <w:r>
        <w:rPr>
          <w:spacing w:val="11"/>
          <w:sz w:val="19"/>
          <w:szCs w:val="19"/>
        </w:rPr>
        <w:t xml:space="preserve"> </w:t>
      </w:r>
      <w:r>
        <w:rPr>
          <w:spacing w:val="13"/>
          <w:sz w:val="19"/>
          <w:szCs w:val="19"/>
        </w:rPr>
        <w:t>招标资质的招标代理机构对项目进行招标，发布招标文件，接收投标文件，组织专家评审，确</w:t>
      </w:r>
      <w:r>
        <w:rPr>
          <w:spacing w:val="10"/>
          <w:sz w:val="19"/>
          <w:szCs w:val="19"/>
        </w:rPr>
        <w:t xml:space="preserve"> </w:t>
      </w:r>
      <w:r>
        <w:rPr>
          <w:spacing w:val="7"/>
          <w:sz w:val="19"/>
          <w:szCs w:val="19"/>
        </w:rPr>
        <w:t>定招标入围推荐名次，发布招标公告等。</w:t>
      </w:r>
    </w:p>
    <w:p w14:paraId="71191EAB">
      <w:pPr>
        <w:pStyle w:val="2"/>
        <w:spacing w:before="28" w:line="294" w:lineRule="auto"/>
        <w:ind w:left="380" w:right="42" w:firstLine="369"/>
        <w:rPr>
          <w:sz w:val="19"/>
          <w:szCs w:val="19"/>
        </w:rPr>
      </w:pPr>
      <w:r>
        <w:rPr>
          <w:spacing w:val="13"/>
          <w:sz w:val="19"/>
          <w:szCs w:val="19"/>
        </w:rPr>
        <w:t>招标投标法规定：招标分为公开招标和邀请招标。公开招标，是指招标人以招标公告的方</w:t>
      </w:r>
      <w:r>
        <w:rPr>
          <w:spacing w:val="9"/>
          <w:sz w:val="19"/>
          <w:szCs w:val="19"/>
        </w:rPr>
        <w:t xml:space="preserve"> </w:t>
      </w:r>
      <w:r>
        <w:rPr>
          <w:spacing w:val="13"/>
          <w:sz w:val="19"/>
          <w:szCs w:val="19"/>
        </w:rPr>
        <w:t>式邀请不特定的法人或者其他组织投标；邀</w:t>
      </w:r>
      <w:r>
        <w:rPr>
          <w:spacing w:val="12"/>
          <w:sz w:val="19"/>
          <w:szCs w:val="19"/>
        </w:rPr>
        <w:t>请招标，是指招标人以投标邀请书的方式邀请特定</w:t>
      </w:r>
      <w:r>
        <w:rPr>
          <w:sz w:val="19"/>
          <w:szCs w:val="19"/>
        </w:rPr>
        <w:t xml:space="preserve"> </w:t>
      </w:r>
      <w:r>
        <w:rPr>
          <w:spacing w:val="5"/>
          <w:sz w:val="19"/>
          <w:szCs w:val="19"/>
        </w:rPr>
        <w:t>的法人或者其他组织投标。分述如下：</w:t>
      </w:r>
    </w:p>
    <w:p w14:paraId="53E702C0">
      <w:pPr>
        <w:pStyle w:val="2"/>
        <w:spacing w:before="52" w:line="217" w:lineRule="auto"/>
        <w:ind w:left="750"/>
        <w:rPr>
          <w:sz w:val="19"/>
          <w:szCs w:val="19"/>
        </w:rPr>
      </w:pPr>
      <w:r>
        <w:rPr>
          <w:spacing w:val="5"/>
          <w:sz w:val="19"/>
          <w:szCs w:val="19"/>
        </w:rPr>
        <w:t>①公开招标。</w:t>
      </w:r>
    </w:p>
    <w:p w14:paraId="28AE98F0">
      <w:pPr>
        <w:pStyle w:val="2"/>
        <w:spacing w:before="88" w:line="292" w:lineRule="auto"/>
        <w:ind w:left="380" w:right="16" w:firstLine="369"/>
        <w:rPr>
          <w:sz w:val="19"/>
          <w:szCs w:val="19"/>
        </w:rPr>
      </w:pPr>
      <w:r>
        <w:rPr>
          <w:spacing w:val="12"/>
          <w:sz w:val="19"/>
          <w:szCs w:val="19"/>
        </w:rPr>
        <w:t>公开招标，即招标人按照法定程序，在指定的发布平台发布招标公告，邀请所有潜在的供</w:t>
      </w:r>
      <w:r>
        <w:rPr>
          <w:spacing w:val="7"/>
          <w:sz w:val="19"/>
          <w:szCs w:val="19"/>
        </w:rPr>
        <w:t xml:space="preserve"> </w:t>
      </w:r>
      <w:r>
        <w:rPr>
          <w:spacing w:val="13"/>
          <w:sz w:val="19"/>
          <w:szCs w:val="19"/>
        </w:rPr>
        <w:t>应商参加投标，采购人事先确定标准，以招标文件的形式体现，再从应标的供应商中按照综合</w:t>
      </w:r>
      <w:r>
        <w:rPr>
          <w:spacing w:val="4"/>
          <w:sz w:val="19"/>
          <w:szCs w:val="19"/>
        </w:rPr>
        <w:t xml:space="preserve"> </w:t>
      </w:r>
      <w:r>
        <w:rPr>
          <w:spacing w:val="6"/>
          <w:sz w:val="19"/>
          <w:szCs w:val="19"/>
        </w:rPr>
        <w:t>评分法择优评选出中标供应商。</w:t>
      </w:r>
    </w:p>
    <w:p w14:paraId="0B2BA295">
      <w:pPr>
        <w:pStyle w:val="2"/>
        <w:spacing w:before="49" w:line="219" w:lineRule="auto"/>
        <w:ind w:left="750"/>
        <w:rPr>
          <w:sz w:val="19"/>
          <w:szCs w:val="19"/>
        </w:rPr>
      </w:pPr>
      <w:r>
        <w:rPr>
          <w:sz w:val="19"/>
          <w:szCs w:val="19"/>
        </w:rPr>
        <w:t>公开招标的优点：</w:t>
      </w:r>
    </w:p>
    <w:p w14:paraId="7221B051">
      <w:pPr>
        <w:pStyle w:val="2"/>
        <w:spacing w:before="95" w:line="219" w:lineRule="auto"/>
        <w:ind w:left="750"/>
        <w:rPr>
          <w:sz w:val="19"/>
          <w:szCs w:val="19"/>
        </w:rPr>
      </w:pPr>
      <w:r>
        <w:rPr>
          <w:spacing w:val="10"/>
          <w:sz w:val="19"/>
          <w:szCs w:val="19"/>
        </w:rPr>
        <w:t>●最大限度地保证项目的公开、公平、公正、透明；</w:t>
      </w:r>
    </w:p>
    <w:p w14:paraId="7039D653">
      <w:pPr>
        <w:pStyle w:val="2"/>
        <w:spacing w:before="102" w:line="218" w:lineRule="auto"/>
        <w:ind w:left="750"/>
        <w:rPr>
          <w:sz w:val="19"/>
          <w:szCs w:val="19"/>
        </w:rPr>
      </w:pPr>
      <w:r>
        <w:rPr>
          <w:spacing w:val="11"/>
          <w:sz w:val="19"/>
          <w:szCs w:val="19"/>
        </w:rPr>
        <w:t>●促使供应商保质保量按时完成项目目标，并获得最</w:t>
      </w:r>
      <w:r>
        <w:rPr>
          <w:spacing w:val="10"/>
          <w:sz w:val="19"/>
          <w:szCs w:val="19"/>
        </w:rPr>
        <w:t>具竞争力的价格；</w:t>
      </w:r>
    </w:p>
    <w:p w14:paraId="3BC16A98">
      <w:pPr>
        <w:pStyle w:val="2"/>
        <w:spacing w:before="87" w:line="266" w:lineRule="auto"/>
        <w:ind w:left="750" w:right="4939"/>
        <w:rPr>
          <w:sz w:val="19"/>
          <w:szCs w:val="19"/>
        </w:rPr>
      </w:pPr>
      <w:r>
        <w:rPr>
          <w:spacing w:val="12"/>
          <w:sz w:val="19"/>
          <w:szCs w:val="19"/>
        </w:rPr>
        <w:t>●有效避免弄虚作假舞弊等行为。</w:t>
      </w:r>
      <w:r>
        <w:rPr>
          <w:spacing w:val="4"/>
          <w:sz w:val="19"/>
          <w:szCs w:val="19"/>
        </w:rPr>
        <w:t xml:space="preserve"> </w:t>
      </w:r>
      <w:r>
        <w:rPr>
          <w:sz w:val="19"/>
          <w:szCs w:val="19"/>
        </w:rPr>
        <w:t>公开招标的缺点：</w:t>
      </w:r>
    </w:p>
    <w:p w14:paraId="33524F09">
      <w:pPr>
        <w:pStyle w:val="2"/>
        <w:spacing w:before="83" w:line="219" w:lineRule="auto"/>
        <w:ind w:left="750"/>
        <w:rPr>
          <w:sz w:val="19"/>
          <w:szCs w:val="19"/>
        </w:rPr>
      </w:pPr>
      <w:r>
        <w:rPr>
          <w:spacing w:val="10"/>
          <w:sz w:val="19"/>
          <w:szCs w:val="19"/>
        </w:rPr>
        <w:t>●程序较为复杂，招投标耗时较久，费用支出也较多；</w:t>
      </w:r>
    </w:p>
    <w:p w14:paraId="2C1F7528">
      <w:pPr>
        <w:pStyle w:val="2"/>
        <w:spacing w:before="103" w:line="281" w:lineRule="auto"/>
        <w:ind w:left="1029" w:hanging="279"/>
        <w:rPr>
          <w:sz w:val="19"/>
          <w:szCs w:val="19"/>
        </w:rPr>
      </w:pPr>
      <w:r>
        <w:rPr>
          <w:spacing w:val="13"/>
          <w:sz w:val="19"/>
          <w:szCs w:val="19"/>
        </w:rPr>
        <w:t>●采购风险较大，例如，投标者之间可能出现串通投标，任意提高或压低报价，给其他投</w:t>
      </w:r>
      <w:r>
        <w:rPr>
          <w:spacing w:val="10"/>
          <w:sz w:val="19"/>
          <w:szCs w:val="19"/>
        </w:rPr>
        <w:t xml:space="preserve"> </w:t>
      </w:r>
      <w:r>
        <w:rPr>
          <w:spacing w:val="12"/>
          <w:sz w:val="19"/>
          <w:szCs w:val="19"/>
        </w:rPr>
        <w:t>标者造成困扰和损失；或者投标者以不合理的低价恶意抢标，可能导致项目偷工减料、</w:t>
      </w:r>
      <w:r>
        <w:rPr>
          <w:spacing w:val="17"/>
          <w:sz w:val="19"/>
          <w:szCs w:val="19"/>
        </w:rPr>
        <w:t xml:space="preserve"> </w:t>
      </w:r>
      <w:r>
        <w:rPr>
          <w:spacing w:val="6"/>
          <w:sz w:val="19"/>
          <w:szCs w:val="19"/>
        </w:rPr>
        <w:t>交付延期等风险。</w:t>
      </w:r>
    </w:p>
    <w:p w14:paraId="72998B55">
      <w:pPr>
        <w:pStyle w:val="2"/>
        <w:spacing w:before="92" w:line="217" w:lineRule="auto"/>
        <w:ind w:left="750"/>
        <w:rPr>
          <w:sz w:val="19"/>
          <w:szCs w:val="19"/>
        </w:rPr>
      </w:pPr>
      <w:r>
        <w:rPr>
          <w:spacing w:val="5"/>
          <w:sz w:val="19"/>
          <w:szCs w:val="19"/>
        </w:rPr>
        <w:t>②邀请招标。</w:t>
      </w:r>
    </w:p>
    <w:p w14:paraId="50A3FF14">
      <w:pPr>
        <w:pStyle w:val="2"/>
        <w:spacing w:before="108" w:line="292" w:lineRule="auto"/>
        <w:ind w:left="380" w:right="46" w:firstLine="369"/>
        <w:jc w:val="both"/>
        <w:rPr>
          <w:sz w:val="19"/>
          <w:szCs w:val="19"/>
        </w:rPr>
      </w:pPr>
      <w:r>
        <w:rPr>
          <w:spacing w:val="13"/>
          <w:sz w:val="19"/>
          <w:szCs w:val="19"/>
        </w:rPr>
        <w:t>邀请招标，也称选择性招标，是由采购人根据供应商或承包商的资信和业绩，选择一定数</w:t>
      </w:r>
      <w:r>
        <w:rPr>
          <w:spacing w:val="10"/>
          <w:sz w:val="19"/>
          <w:szCs w:val="19"/>
        </w:rPr>
        <w:t xml:space="preserve"> </w:t>
      </w:r>
      <w:r>
        <w:rPr>
          <w:spacing w:val="17"/>
          <w:sz w:val="19"/>
          <w:szCs w:val="19"/>
        </w:rPr>
        <w:t>目的法人或其他组织(不能少于3家),向其发出投标</w:t>
      </w:r>
      <w:r>
        <w:rPr>
          <w:spacing w:val="16"/>
          <w:sz w:val="19"/>
          <w:szCs w:val="19"/>
        </w:rPr>
        <w:t>邀请书，邀请他们参加投标竞争，从中选</w:t>
      </w:r>
      <w:r>
        <w:rPr>
          <w:sz w:val="19"/>
          <w:szCs w:val="19"/>
        </w:rPr>
        <w:t xml:space="preserve"> </w:t>
      </w:r>
      <w:r>
        <w:rPr>
          <w:spacing w:val="6"/>
          <w:sz w:val="19"/>
          <w:szCs w:val="19"/>
        </w:rPr>
        <w:t>定中标供应商的一种招标方法。</w:t>
      </w:r>
    </w:p>
    <w:p w14:paraId="1A89C4AD">
      <w:pPr>
        <w:pStyle w:val="2"/>
        <w:spacing w:before="30" w:line="219" w:lineRule="auto"/>
        <w:ind w:left="750"/>
        <w:rPr>
          <w:sz w:val="19"/>
          <w:szCs w:val="19"/>
        </w:rPr>
      </w:pPr>
      <w:r>
        <w:rPr>
          <w:spacing w:val="4"/>
          <w:sz w:val="19"/>
          <w:szCs w:val="19"/>
        </w:rPr>
        <w:t>邀请招标的优点：</w:t>
      </w:r>
    </w:p>
    <w:p w14:paraId="7F498D19">
      <w:pPr>
        <w:pStyle w:val="2"/>
        <w:spacing w:before="92" w:line="281" w:lineRule="auto"/>
        <w:ind w:left="1029" w:right="46" w:hanging="279"/>
        <w:rPr>
          <w:sz w:val="19"/>
          <w:szCs w:val="19"/>
        </w:rPr>
      </w:pPr>
      <w:r>
        <w:rPr>
          <w:spacing w:val="13"/>
          <w:sz w:val="19"/>
          <w:szCs w:val="19"/>
        </w:rPr>
        <w:t>●邀请招标能够按照项目需求特点和市场供应状态，有针对性地从已知了解的潜在投标人</w:t>
      </w:r>
      <w:r>
        <w:rPr>
          <w:spacing w:val="10"/>
          <w:sz w:val="19"/>
          <w:szCs w:val="19"/>
        </w:rPr>
        <w:t xml:space="preserve"> 中，选择具有与招标项目需求匹配的资格能力、价值目标以及对项目重视程度均相近的</w:t>
      </w:r>
      <w:r>
        <w:rPr>
          <w:spacing w:val="14"/>
          <w:sz w:val="19"/>
          <w:szCs w:val="19"/>
        </w:rPr>
        <w:t xml:space="preserve"> </w:t>
      </w:r>
      <w:r>
        <w:rPr>
          <w:spacing w:val="6"/>
          <w:sz w:val="19"/>
          <w:szCs w:val="19"/>
        </w:rPr>
        <w:t>投标人参与投标竞争，有利于投标人之间均衡竞争。</w:t>
      </w:r>
    </w:p>
    <w:p w14:paraId="64BE9EE4">
      <w:pPr>
        <w:pStyle w:val="2"/>
        <w:spacing w:before="114" w:line="268" w:lineRule="auto"/>
        <w:ind w:left="1029" w:right="37" w:hanging="279"/>
        <w:rPr>
          <w:sz w:val="19"/>
          <w:szCs w:val="19"/>
        </w:rPr>
      </w:pPr>
      <w:r>
        <w:rPr>
          <w:spacing w:val="14"/>
          <w:sz w:val="19"/>
          <w:szCs w:val="19"/>
        </w:rPr>
        <w:t>●通过科学的评标标准和方法实现招标目标</w:t>
      </w:r>
      <w:r>
        <w:rPr>
          <w:spacing w:val="13"/>
          <w:sz w:val="19"/>
          <w:szCs w:val="19"/>
        </w:rPr>
        <w:t>，招标工作量和招标费用相对较小，既可以省</w:t>
      </w:r>
      <w:r>
        <w:rPr>
          <w:sz w:val="19"/>
          <w:szCs w:val="19"/>
        </w:rPr>
        <w:t xml:space="preserve"> </w:t>
      </w:r>
      <w:r>
        <w:rPr>
          <w:spacing w:val="16"/>
          <w:sz w:val="19"/>
          <w:szCs w:val="19"/>
        </w:rPr>
        <w:t>去招标公告和资格预审程序(招投标资格审查)时间，又可以获得基本或者较好的竞争</w:t>
      </w:r>
      <w:r>
        <w:rPr>
          <w:spacing w:val="9"/>
          <w:sz w:val="19"/>
          <w:szCs w:val="19"/>
        </w:rPr>
        <w:t xml:space="preserve"> </w:t>
      </w:r>
      <w:r>
        <w:rPr>
          <w:spacing w:val="1"/>
          <w:sz w:val="19"/>
          <w:szCs w:val="19"/>
        </w:rPr>
        <w:t>效果。</w:t>
      </w:r>
    </w:p>
    <w:p w14:paraId="667EE73C">
      <w:pPr>
        <w:pStyle w:val="2"/>
        <w:spacing w:before="93" w:line="220" w:lineRule="auto"/>
        <w:ind w:left="750"/>
        <w:rPr>
          <w:sz w:val="19"/>
          <w:szCs w:val="19"/>
        </w:rPr>
      </w:pPr>
      <w:r>
        <w:rPr>
          <w:spacing w:val="4"/>
          <w:sz w:val="19"/>
          <w:szCs w:val="19"/>
        </w:rPr>
        <w:t>邀请招标的缺点：</w:t>
      </w:r>
    </w:p>
    <w:p w14:paraId="605777E6">
      <w:pPr>
        <w:pStyle w:val="2"/>
        <w:spacing w:before="95" w:line="273" w:lineRule="auto"/>
        <w:ind w:left="1029" w:right="17" w:hanging="279"/>
        <w:rPr>
          <w:sz w:val="19"/>
          <w:szCs w:val="19"/>
        </w:rPr>
      </w:pPr>
      <w:r>
        <w:rPr>
          <w:spacing w:val="13"/>
          <w:sz w:val="19"/>
          <w:szCs w:val="19"/>
        </w:rPr>
        <w:t>●邀请招标与公开招标相比，投标人数量相对较少，竞争开放度相对较弱；招标人在选择</w:t>
      </w:r>
      <w:r>
        <w:rPr>
          <w:spacing w:val="10"/>
          <w:sz w:val="19"/>
          <w:szCs w:val="19"/>
        </w:rPr>
        <w:t xml:space="preserve"> </w:t>
      </w:r>
      <w:r>
        <w:rPr>
          <w:spacing w:val="12"/>
          <w:sz w:val="19"/>
          <w:szCs w:val="19"/>
        </w:rPr>
        <w:t>邀请对象前对已知投标人信息了解有限，有可能会损失应有的竞争效果，得不到最合适</w:t>
      </w:r>
      <w:r>
        <w:rPr>
          <w:sz w:val="19"/>
          <w:szCs w:val="19"/>
        </w:rPr>
        <w:t xml:space="preserve"> </w:t>
      </w:r>
      <w:r>
        <w:rPr>
          <w:spacing w:val="7"/>
          <w:sz w:val="19"/>
          <w:szCs w:val="19"/>
        </w:rPr>
        <w:t>的投标人，难以获得最佳竞争效益。</w:t>
      </w:r>
    </w:p>
    <w:p w14:paraId="57359B36">
      <w:pPr>
        <w:pStyle w:val="2"/>
        <w:spacing w:before="114" w:line="219" w:lineRule="auto"/>
        <w:ind w:left="750"/>
        <w:rPr>
          <w:sz w:val="19"/>
          <w:szCs w:val="19"/>
        </w:rPr>
      </w:pPr>
      <w:r>
        <w:rPr>
          <w:spacing w:val="12"/>
          <w:sz w:val="19"/>
          <w:szCs w:val="19"/>
        </w:rPr>
        <w:t>●有些招标人甚至利用邀请招标之名，行虚假招标之实。</w:t>
      </w:r>
    </w:p>
    <w:p w14:paraId="6AFB8520">
      <w:pPr>
        <w:spacing w:line="219" w:lineRule="auto"/>
        <w:rPr>
          <w:sz w:val="19"/>
          <w:szCs w:val="19"/>
        </w:rPr>
        <w:sectPr>
          <w:pgSz w:w="10300" w:h="13390"/>
          <w:pgMar w:top="400" w:right="1065" w:bottom="400" w:left="509" w:header="0" w:footer="0" w:gutter="0"/>
          <w:cols w:space="720" w:num="1"/>
        </w:sectPr>
      </w:pPr>
    </w:p>
    <w:p w14:paraId="3EFA3EA2">
      <w:pPr>
        <w:pStyle w:val="2"/>
        <w:spacing w:before="67" w:line="220" w:lineRule="auto"/>
        <w:jc w:val="right"/>
        <w:rPr>
          <w:rFonts w:ascii="Times New Roman" w:hAnsi="Times New Roman" w:eastAsia="Times New Roman" w:cs="Times New Roman"/>
          <w:sz w:val="20"/>
          <w:szCs w:val="20"/>
        </w:rPr>
      </w:pPr>
      <w:bookmarkStart w:id="705" w:name="bookmark690"/>
      <w:bookmarkEnd w:id="705"/>
      <w:r>
        <w:rPr>
          <w:spacing w:val="-6"/>
          <w:sz w:val="20"/>
          <w:szCs w:val="20"/>
        </w:rPr>
        <w:t xml:space="preserve">第20章 信息系统工程监理基础工作      </w:t>
      </w:r>
      <w:r>
        <w:rPr>
          <w:rFonts w:ascii="Times New Roman" w:hAnsi="Times New Roman" w:eastAsia="Times New Roman" w:cs="Times New Roman"/>
          <w:b/>
          <w:bCs/>
          <w:spacing w:val="-6"/>
          <w:position w:val="-4"/>
          <w:sz w:val="20"/>
          <w:szCs w:val="20"/>
        </w:rPr>
        <w:t>445</w:t>
      </w:r>
    </w:p>
    <w:p w14:paraId="2F543FD8">
      <w:pPr>
        <w:spacing w:line="258" w:lineRule="auto"/>
        <w:rPr>
          <w:rFonts w:ascii="Arial"/>
          <w:sz w:val="21"/>
        </w:rPr>
      </w:pPr>
    </w:p>
    <w:p w14:paraId="79EFFC5C">
      <w:pPr>
        <w:pStyle w:val="2"/>
        <w:spacing w:before="65" w:line="217" w:lineRule="auto"/>
        <w:ind w:left="389"/>
        <w:rPr>
          <w:sz w:val="20"/>
          <w:szCs w:val="20"/>
        </w:rPr>
      </w:pPr>
      <w:r>
        <w:rPr>
          <w:spacing w:val="-4"/>
          <w:sz w:val="20"/>
          <w:szCs w:val="20"/>
        </w:rPr>
        <w:t>③招投标注意事项。</w:t>
      </w:r>
    </w:p>
    <w:p w14:paraId="35E06E32">
      <w:pPr>
        <w:pStyle w:val="2"/>
        <w:spacing w:before="96" w:line="277" w:lineRule="auto"/>
        <w:ind w:right="306" w:firstLine="389"/>
        <w:rPr>
          <w:sz w:val="20"/>
          <w:szCs w:val="20"/>
        </w:rPr>
      </w:pPr>
      <w:r>
        <w:rPr>
          <w:spacing w:val="3"/>
          <w:sz w:val="20"/>
          <w:szCs w:val="20"/>
        </w:rPr>
        <w:t>为避免招投标出现违规事项，国家有关部门对有关招标工作严格执行有关规定。依法应当</w:t>
      </w:r>
      <w:r>
        <w:rPr>
          <w:spacing w:val="10"/>
          <w:sz w:val="20"/>
          <w:szCs w:val="20"/>
        </w:rPr>
        <w:t xml:space="preserve"> </w:t>
      </w:r>
      <w:r>
        <w:rPr>
          <w:spacing w:val="3"/>
          <w:sz w:val="20"/>
          <w:szCs w:val="20"/>
        </w:rPr>
        <w:t>公开招标的项目存在下列情形之一时，经招标项目有关</w:t>
      </w:r>
      <w:r>
        <w:rPr>
          <w:spacing w:val="2"/>
          <w:sz w:val="20"/>
          <w:szCs w:val="20"/>
        </w:rPr>
        <w:t>监督管理部门审批、核准或认定后，方</w:t>
      </w:r>
      <w:r>
        <w:rPr>
          <w:sz w:val="20"/>
          <w:szCs w:val="20"/>
        </w:rPr>
        <w:t xml:space="preserve"> </w:t>
      </w:r>
      <w:r>
        <w:rPr>
          <w:spacing w:val="-5"/>
          <w:sz w:val="20"/>
          <w:szCs w:val="20"/>
        </w:rPr>
        <w:t>可采用邀请招标方式：</w:t>
      </w:r>
    </w:p>
    <w:p w14:paraId="2385F67E">
      <w:pPr>
        <w:pStyle w:val="2"/>
        <w:spacing w:before="40" w:line="219" w:lineRule="auto"/>
        <w:ind w:left="389"/>
        <w:rPr>
          <w:sz w:val="20"/>
          <w:szCs w:val="20"/>
        </w:rPr>
      </w:pPr>
      <w:r>
        <w:rPr>
          <w:sz w:val="20"/>
          <w:szCs w:val="20"/>
        </w:rPr>
        <w:t>●涉及国家安全、国家秘密或者抢险救灾，适宜招标但不宜公开招标的；</w:t>
      </w:r>
    </w:p>
    <w:p w14:paraId="3E58EF82">
      <w:pPr>
        <w:pStyle w:val="2"/>
        <w:spacing w:before="81" w:line="283" w:lineRule="auto"/>
        <w:ind w:left="689" w:right="317" w:hanging="300"/>
        <w:rPr>
          <w:sz w:val="16"/>
          <w:szCs w:val="16"/>
        </w:rPr>
      </w:pPr>
      <w:r>
        <w:rPr>
          <w:spacing w:val="8"/>
          <w:sz w:val="20"/>
          <w:szCs w:val="20"/>
        </w:rPr>
        <w:t>●项目技术复杂或有特殊要求，或者受自然地域环境限制，只有少量潜在投标人可供选</w:t>
      </w:r>
      <w:r>
        <w:rPr>
          <w:spacing w:val="12"/>
          <w:sz w:val="20"/>
          <w:szCs w:val="20"/>
        </w:rPr>
        <w:t xml:space="preserve"> </w:t>
      </w:r>
      <w:r>
        <w:rPr>
          <w:spacing w:val="-8"/>
          <w:sz w:val="16"/>
          <w:szCs w:val="16"/>
        </w:rPr>
        <w:t>择 的</w:t>
      </w:r>
      <w:r>
        <w:rPr>
          <w:spacing w:val="-22"/>
          <w:sz w:val="16"/>
          <w:szCs w:val="16"/>
        </w:rPr>
        <w:t xml:space="preserve"> </w:t>
      </w:r>
      <w:r>
        <w:rPr>
          <w:spacing w:val="-8"/>
          <w:sz w:val="16"/>
          <w:szCs w:val="16"/>
        </w:rPr>
        <w:t>；</w:t>
      </w:r>
    </w:p>
    <w:p w14:paraId="3B9B6117">
      <w:pPr>
        <w:pStyle w:val="2"/>
        <w:spacing w:before="108" w:line="219" w:lineRule="auto"/>
        <w:ind w:left="389"/>
        <w:rPr>
          <w:sz w:val="20"/>
          <w:szCs w:val="20"/>
        </w:rPr>
      </w:pPr>
      <w:r>
        <w:rPr>
          <w:spacing w:val="2"/>
          <w:sz w:val="20"/>
          <w:szCs w:val="20"/>
        </w:rPr>
        <w:t>●采用公开招标方式的费用占项目合同金额的比例</w:t>
      </w:r>
      <w:r>
        <w:rPr>
          <w:spacing w:val="1"/>
          <w:sz w:val="20"/>
          <w:szCs w:val="20"/>
        </w:rPr>
        <w:t>过大的。</w:t>
      </w:r>
    </w:p>
    <w:p w14:paraId="6D78BD0D">
      <w:pPr>
        <w:pStyle w:val="2"/>
        <w:spacing w:before="94" w:line="272" w:lineRule="auto"/>
        <w:ind w:right="315" w:firstLine="389"/>
        <w:rPr>
          <w:sz w:val="20"/>
          <w:szCs w:val="20"/>
        </w:rPr>
      </w:pPr>
      <w:r>
        <w:rPr>
          <w:spacing w:val="3"/>
          <w:sz w:val="20"/>
          <w:szCs w:val="20"/>
        </w:rPr>
        <w:t>需要注意的是，国家重点建设项目的邀请招标，应当经国务院发展计划部门批准；地方重</w:t>
      </w:r>
      <w:r>
        <w:rPr>
          <w:spacing w:val="1"/>
          <w:sz w:val="20"/>
          <w:szCs w:val="20"/>
        </w:rPr>
        <w:t xml:space="preserve"> </w:t>
      </w:r>
      <w:r>
        <w:rPr>
          <w:spacing w:val="-2"/>
          <w:sz w:val="20"/>
          <w:szCs w:val="20"/>
        </w:rPr>
        <w:t>点建设项目的邀请招标，应当经各省、自治区、直辖市人民政府批准。</w:t>
      </w:r>
    </w:p>
    <w:p w14:paraId="09D01E5E">
      <w:pPr>
        <w:spacing w:line="320" w:lineRule="auto"/>
        <w:rPr>
          <w:rFonts w:ascii="Arial"/>
          <w:sz w:val="21"/>
        </w:rPr>
      </w:pPr>
    </w:p>
    <w:p w14:paraId="6EBC5CC1">
      <w:pPr>
        <w:pStyle w:val="2"/>
        <w:spacing w:before="85" w:line="221" w:lineRule="auto"/>
        <w:ind w:left="3"/>
        <w:rPr>
          <w:rFonts w:ascii="黑体" w:hAnsi="黑体" w:eastAsia="黑体" w:cs="黑体"/>
          <w:sz w:val="26"/>
          <w:szCs w:val="26"/>
        </w:rPr>
      </w:pPr>
      <w:r>
        <w:rPr>
          <w:b/>
          <w:bCs/>
          <w:color w:val="0076DE"/>
          <w:spacing w:val="8"/>
          <w:sz w:val="26"/>
          <w:szCs w:val="26"/>
        </w:rPr>
        <w:t>20.2</w:t>
      </w:r>
      <w:r>
        <w:rPr>
          <w:color w:val="0076DE"/>
          <w:spacing w:val="32"/>
          <w:sz w:val="26"/>
          <w:szCs w:val="26"/>
        </w:rPr>
        <w:t xml:space="preserve">  </w:t>
      </w:r>
      <w:r>
        <w:rPr>
          <w:rFonts w:ascii="黑体" w:hAnsi="黑体" w:eastAsia="黑体" w:cs="黑体"/>
          <w:b/>
          <w:bCs/>
          <w:color w:val="0076DE"/>
          <w:spacing w:val="8"/>
          <w:sz w:val="26"/>
          <w:szCs w:val="26"/>
        </w:rPr>
        <w:t>招标阶段监理基础工作</w:t>
      </w:r>
    </w:p>
    <w:p w14:paraId="79CA2964">
      <w:pPr>
        <w:pStyle w:val="2"/>
        <w:spacing w:before="251" w:line="287" w:lineRule="auto"/>
        <w:ind w:right="303" w:firstLine="389"/>
        <w:jc w:val="both"/>
        <w:rPr>
          <w:sz w:val="20"/>
          <w:szCs w:val="20"/>
        </w:rPr>
      </w:pPr>
      <w:r>
        <w:rPr>
          <w:spacing w:val="2"/>
          <w:sz w:val="20"/>
          <w:szCs w:val="20"/>
        </w:rPr>
        <w:t>监理机构在招标阶段的主要工作是了解项目实际情况，协助开展项目招标工作，协助商务</w:t>
      </w:r>
      <w:r>
        <w:rPr>
          <w:spacing w:val="10"/>
          <w:sz w:val="20"/>
          <w:szCs w:val="20"/>
        </w:rPr>
        <w:t xml:space="preserve"> </w:t>
      </w:r>
      <w:r>
        <w:rPr>
          <w:spacing w:val="3"/>
          <w:sz w:val="20"/>
          <w:szCs w:val="20"/>
        </w:rPr>
        <w:t>谈判和审核合同，推动招标工作的顺利进行，同时促使业主单位与中标单位在其签署的</w:t>
      </w:r>
      <w:r>
        <w:rPr>
          <w:spacing w:val="2"/>
          <w:sz w:val="20"/>
          <w:szCs w:val="20"/>
        </w:rPr>
        <w:t>合同中</w:t>
      </w:r>
      <w:r>
        <w:rPr>
          <w:sz w:val="20"/>
          <w:szCs w:val="20"/>
        </w:rPr>
        <w:t xml:space="preserve"> </w:t>
      </w:r>
      <w:r>
        <w:rPr>
          <w:spacing w:val="-2"/>
          <w:sz w:val="20"/>
          <w:szCs w:val="20"/>
        </w:rPr>
        <w:t>明确项目的各项要求，做好质量、进度与投资的事前</w:t>
      </w:r>
      <w:r>
        <w:rPr>
          <w:spacing w:val="-3"/>
          <w:sz w:val="20"/>
          <w:szCs w:val="20"/>
        </w:rPr>
        <w:t>控制。</w:t>
      </w:r>
    </w:p>
    <w:p w14:paraId="64B52C89">
      <w:pPr>
        <w:pStyle w:val="2"/>
        <w:spacing w:before="189" w:line="221" w:lineRule="auto"/>
        <w:ind w:left="2"/>
        <w:outlineLvl w:val="1"/>
        <w:rPr>
          <w:sz w:val="26"/>
          <w:szCs w:val="26"/>
        </w:rPr>
      </w:pPr>
      <w:r>
        <w:rPr>
          <w:b/>
          <w:bCs/>
          <w:color w:val="006EDC"/>
          <w:spacing w:val="-26"/>
          <w:sz w:val="26"/>
          <w:szCs w:val="26"/>
        </w:rPr>
        <w:t>20.2.1</w:t>
      </w:r>
      <w:r>
        <w:rPr>
          <w:color w:val="006EDC"/>
          <w:spacing w:val="93"/>
          <w:sz w:val="26"/>
          <w:szCs w:val="26"/>
        </w:rPr>
        <w:t xml:space="preserve"> </w:t>
      </w:r>
      <w:r>
        <w:rPr>
          <w:b/>
          <w:bCs/>
          <w:color w:val="006EDC"/>
          <w:spacing w:val="-26"/>
          <w:sz w:val="26"/>
          <w:szCs w:val="26"/>
        </w:rPr>
        <w:t>监理要求</w:t>
      </w:r>
    </w:p>
    <w:p w14:paraId="3C062AD4">
      <w:pPr>
        <w:pStyle w:val="2"/>
        <w:spacing w:before="149" w:line="220" w:lineRule="auto"/>
        <w:ind w:left="389"/>
        <w:rPr>
          <w:sz w:val="20"/>
          <w:szCs w:val="20"/>
        </w:rPr>
      </w:pPr>
      <w:r>
        <w:rPr>
          <w:spacing w:val="-4"/>
          <w:sz w:val="20"/>
          <w:szCs w:val="20"/>
        </w:rPr>
        <w:t>招标阶段的监理要求具体如下：</w:t>
      </w:r>
    </w:p>
    <w:p w14:paraId="0F08BBDE">
      <w:pPr>
        <w:pStyle w:val="2"/>
        <w:spacing w:before="71" w:line="219" w:lineRule="auto"/>
        <w:ind w:left="389"/>
        <w:rPr>
          <w:sz w:val="20"/>
          <w:szCs w:val="20"/>
        </w:rPr>
      </w:pPr>
      <w:r>
        <w:rPr>
          <w:spacing w:val="1"/>
          <w:sz w:val="20"/>
          <w:szCs w:val="20"/>
        </w:rPr>
        <w:t>(1)协助业主单位明确项目需求，确定项目建设目标和招标要求；</w:t>
      </w:r>
    </w:p>
    <w:p w14:paraId="0E96B402">
      <w:pPr>
        <w:pStyle w:val="2"/>
        <w:spacing w:before="82" w:line="219" w:lineRule="auto"/>
        <w:ind w:left="389"/>
        <w:rPr>
          <w:sz w:val="20"/>
          <w:szCs w:val="20"/>
        </w:rPr>
      </w:pPr>
      <w:r>
        <w:rPr>
          <w:spacing w:val="2"/>
          <w:sz w:val="20"/>
          <w:szCs w:val="20"/>
        </w:rPr>
        <w:t>(2)促使招标文件与用户需求、项目建设目标和范围相符合；</w:t>
      </w:r>
    </w:p>
    <w:p w14:paraId="2FCFB0C8">
      <w:pPr>
        <w:pStyle w:val="2"/>
        <w:spacing w:before="64" w:line="219" w:lineRule="auto"/>
        <w:ind w:left="389"/>
        <w:rPr>
          <w:sz w:val="20"/>
          <w:szCs w:val="20"/>
        </w:rPr>
      </w:pPr>
      <w:r>
        <w:rPr>
          <w:spacing w:val="3"/>
          <w:sz w:val="20"/>
          <w:szCs w:val="20"/>
        </w:rPr>
        <w:t>(3)宜见证招标过程合法、合规；</w:t>
      </w:r>
    </w:p>
    <w:p w14:paraId="1EF6A6B8">
      <w:pPr>
        <w:pStyle w:val="2"/>
        <w:spacing w:before="73" w:line="219" w:lineRule="auto"/>
        <w:ind w:left="389"/>
        <w:rPr>
          <w:sz w:val="20"/>
          <w:szCs w:val="20"/>
        </w:rPr>
      </w:pPr>
      <w:r>
        <w:rPr>
          <w:spacing w:val="2"/>
          <w:sz w:val="20"/>
          <w:szCs w:val="20"/>
        </w:rPr>
        <w:t>(4)协助业主单位选择适合的承建单位；</w:t>
      </w:r>
    </w:p>
    <w:p w14:paraId="63FDA664">
      <w:pPr>
        <w:pStyle w:val="2"/>
        <w:spacing w:before="82" w:line="249" w:lineRule="auto"/>
        <w:ind w:right="316" w:firstLine="389"/>
        <w:rPr>
          <w:sz w:val="20"/>
          <w:szCs w:val="20"/>
        </w:rPr>
      </w:pPr>
      <w:r>
        <w:rPr>
          <w:spacing w:val="5"/>
          <w:sz w:val="20"/>
          <w:szCs w:val="20"/>
        </w:rPr>
        <w:t>(5)促使业主单位、承建单位所签订的承建合同在技术、经济上合理有效，满足法律法规</w:t>
      </w:r>
      <w:r>
        <w:rPr>
          <w:spacing w:val="17"/>
          <w:sz w:val="20"/>
          <w:szCs w:val="20"/>
        </w:rPr>
        <w:t xml:space="preserve"> </w:t>
      </w:r>
      <w:r>
        <w:rPr>
          <w:spacing w:val="-6"/>
          <w:sz w:val="20"/>
          <w:szCs w:val="20"/>
        </w:rPr>
        <w:t>和相关标准的要求；</w:t>
      </w:r>
    </w:p>
    <w:p w14:paraId="6C1DFFC3">
      <w:pPr>
        <w:pStyle w:val="2"/>
        <w:spacing w:before="69" w:line="219" w:lineRule="auto"/>
        <w:ind w:left="389"/>
        <w:rPr>
          <w:sz w:val="20"/>
          <w:szCs w:val="20"/>
        </w:rPr>
      </w:pPr>
      <w:r>
        <w:rPr>
          <w:spacing w:val="2"/>
          <w:sz w:val="20"/>
          <w:szCs w:val="20"/>
        </w:rPr>
        <w:t>(6)在签订的承建合同中明确要求承建单位接受监理机构的监理。</w:t>
      </w:r>
    </w:p>
    <w:p w14:paraId="4C281F19">
      <w:pPr>
        <w:pStyle w:val="2"/>
        <w:spacing w:before="214" w:line="220" w:lineRule="auto"/>
        <w:ind w:left="2"/>
        <w:rPr>
          <w:sz w:val="26"/>
          <w:szCs w:val="26"/>
        </w:rPr>
      </w:pPr>
      <w:r>
        <w:rPr>
          <w:b/>
          <w:bCs/>
          <w:color w:val="0077E0"/>
          <w:spacing w:val="-25"/>
          <w:sz w:val="26"/>
          <w:szCs w:val="26"/>
        </w:rPr>
        <w:t>20.2.2</w:t>
      </w:r>
      <w:r>
        <w:rPr>
          <w:color w:val="0077E0"/>
          <w:spacing w:val="102"/>
          <w:sz w:val="26"/>
          <w:szCs w:val="26"/>
        </w:rPr>
        <w:t xml:space="preserve"> </w:t>
      </w:r>
      <w:r>
        <w:rPr>
          <w:b/>
          <w:bCs/>
          <w:color w:val="0077E0"/>
          <w:spacing w:val="-25"/>
          <w:sz w:val="26"/>
          <w:szCs w:val="26"/>
        </w:rPr>
        <w:t>监理活动</w:t>
      </w:r>
    </w:p>
    <w:p w14:paraId="05268A33">
      <w:pPr>
        <w:pStyle w:val="2"/>
        <w:spacing w:before="161" w:line="220" w:lineRule="auto"/>
        <w:ind w:left="389"/>
        <w:rPr>
          <w:sz w:val="20"/>
          <w:szCs w:val="20"/>
        </w:rPr>
      </w:pPr>
      <w:r>
        <w:rPr>
          <w:spacing w:val="-4"/>
          <w:sz w:val="20"/>
          <w:szCs w:val="20"/>
        </w:rPr>
        <w:t>招标阶段的监理活动具体如下：</w:t>
      </w:r>
    </w:p>
    <w:p w14:paraId="36833DE7">
      <w:pPr>
        <w:pStyle w:val="2"/>
        <w:spacing w:before="50" w:line="288" w:lineRule="auto"/>
        <w:ind w:right="312" w:firstLine="389"/>
        <w:rPr>
          <w:sz w:val="16"/>
          <w:szCs w:val="16"/>
        </w:rPr>
      </w:pPr>
      <w:r>
        <w:rPr>
          <w:spacing w:val="6"/>
          <w:sz w:val="20"/>
          <w:szCs w:val="20"/>
        </w:rPr>
        <w:t>(1)在业主单位授权下，参与业主单位招标前</w:t>
      </w:r>
      <w:r>
        <w:rPr>
          <w:spacing w:val="5"/>
          <w:sz w:val="20"/>
          <w:szCs w:val="20"/>
        </w:rPr>
        <w:t>的准备工作，协助业主单位编制项目的工作</w:t>
      </w:r>
      <w:r>
        <w:rPr>
          <w:sz w:val="20"/>
          <w:szCs w:val="20"/>
        </w:rPr>
        <w:t xml:space="preserve"> </w:t>
      </w:r>
      <w:r>
        <w:rPr>
          <w:spacing w:val="-4"/>
          <w:sz w:val="16"/>
          <w:szCs w:val="16"/>
        </w:rPr>
        <w:t>计</w:t>
      </w:r>
      <w:r>
        <w:rPr>
          <w:spacing w:val="-23"/>
          <w:sz w:val="16"/>
          <w:szCs w:val="16"/>
        </w:rPr>
        <w:t xml:space="preserve"> </w:t>
      </w:r>
      <w:r>
        <w:rPr>
          <w:spacing w:val="-4"/>
          <w:sz w:val="16"/>
          <w:szCs w:val="16"/>
        </w:rPr>
        <w:t>划</w:t>
      </w:r>
      <w:r>
        <w:rPr>
          <w:spacing w:val="-29"/>
          <w:sz w:val="16"/>
          <w:szCs w:val="16"/>
        </w:rPr>
        <w:t xml:space="preserve"> </w:t>
      </w:r>
      <w:r>
        <w:rPr>
          <w:spacing w:val="-4"/>
          <w:sz w:val="16"/>
          <w:szCs w:val="16"/>
        </w:rPr>
        <w:t>；</w:t>
      </w:r>
    </w:p>
    <w:p w14:paraId="0ABE809D">
      <w:pPr>
        <w:pStyle w:val="2"/>
        <w:spacing w:before="70" w:line="219" w:lineRule="auto"/>
        <w:ind w:left="389"/>
        <w:rPr>
          <w:sz w:val="20"/>
          <w:szCs w:val="20"/>
        </w:rPr>
      </w:pPr>
      <w:r>
        <w:rPr>
          <w:spacing w:val="2"/>
          <w:sz w:val="20"/>
          <w:szCs w:val="20"/>
        </w:rPr>
        <w:t>(2)在业主单位授权下，参与招标文件的编制</w:t>
      </w:r>
      <w:r>
        <w:rPr>
          <w:spacing w:val="1"/>
          <w:sz w:val="20"/>
          <w:szCs w:val="20"/>
        </w:rPr>
        <w:t>，并对招标文件内容提出监理意见；</w:t>
      </w:r>
    </w:p>
    <w:p w14:paraId="2BB5E59A">
      <w:pPr>
        <w:pStyle w:val="2"/>
        <w:spacing w:before="51" w:line="258" w:lineRule="auto"/>
        <w:ind w:right="310" w:firstLine="389"/>
        <w:rPr>
          <w:sz w:val="20"/>
          <w:szCs w:val="20"/>
        </w:rPr>
      </w:pPr>
      <w:r>
        <w:rPr>
          <w:spacing w:val="6"/>
          <w:sz w:val="20"/>
          <w:szCs w:val="20"/>
        </w:rPr>
        <w:t>(3)在业主单位授权下，协助业主单位进行招标工</w:t>
      </w:r>
      <w:r>
        <w:rPr>
          <w:spacing w:val="5"/>
          <w:sz w:val="20"/>
          <w:szCs w:val="20"/>
        </w:rPr>
        <w:t>作，如委托招标，审核招标代理机构资</w:t>
      </w:r>
      <w:r>
        <w:rPr>
          <w:sz w:val="20"/>
          <w:szCs w:val="20"/>
        </w:rPr>
        <w:t xml:space="preserve"> </w:t>
      </w:r>
      <w:r>
        <w:rPr>
          <w:spacing w:val="-5"/>
          <w:sz w:val="20"/>
          <w:szCs w:val="20"/>
        </w:rPr>
        <w:t>质是否符合行业管理要求；</w:t>
      </w:r>
    </w:p>
    <w:p w14:paraId="26D5F44C">
      <w:pPr>
        <w:pStyle w:val="2"/>
        <w:spacing w:before="81" w:line="219" w:lineRule="auto"/>
        <w:ind w:left="389"/>
        <w:rPr>
          <w:sz w:val="20"/>
          <w:szCs w:val="20"/>
        </w:rPr>
      </w:pPr>
      <w:r>
        <w:rPr>
          <w:spacing w:val="2"/>
          <w:sz w:val="20"/>
          <w:szCs w:val="20"/>
        </w:rPr>
        <w:t>(4)在向业主单位提供招投标咨询服务；</w:t>
      </w:r>
    </w:p>
    <w:p w14:paraId="44DF957A">
      <w:pPr>
        <w:pStyle w:val="2"/>
        <w:spacing w:before="54" w:line="219" w:lineRule="auto"/>
        <w:ind w:left="389"/>
        <w:rPr>
          <w:sz w:val="20"/>
          <w:szCs w:val="20"/>
        </w:rPr>
      </w:pPr>
      <w:r>
        <w:rPr>
          <w:spacing w:val="2"/>
          <w:sz w:val="20"/>
          <w:szCs w:val="20"/>
        </w:rPr>
        <w:t>(5)在业主单位授权下，参与承建合同的签订过程，并对承建合同的内容提出监理意见。</w:t>
      </w:r>
    </w:p>
    <w:p w14:paraId="07BD4FF2">
      <w:pPr>
        <w:spacing w:line="219" w:lineRule="auto"/>
        <w:rPr>
          <w:sz w:val="20"/>
          <w:szCs w:val="20"/>
        </w:rPr>
        <w:sectPr>
          <w:pgSz w:w="10300" w:h="13310"/>
          <w:pgMar w:top="400" w:right="534" w:bottom="400" w:left="1140" w:header="0" w:footer="0" w:gutter="0"/>
          <w:cols w:space="720" w:num="1"/>
        </w:sectPr>
      </w:pPr>
    </w:p>
    <w:p w14:paraId="0D7574A0">
      <w:pPr>
        <w:pStyle w:val="2"/>
        <w:spacing w:before="87" w:line="220" w:lineRule="auto"/>
        <w:rPr>
          <w:sz w:val="20"/>
          <w:szCs w:val="20"/>
        </w:rPr>
      </w:pPr>
      <w:r>
        <w:rPr>
          <w:rFonts w:ascii="Times New Roman" w:hAnsi="Times New Roman" w:eastAsia="Times New Roman" w:cs="Times New Roman"/>
          <w:spacing w:val="-3"/>
          <w:position w:val="-2"/>
          <w:sz w:val="20"/>
          <w:szCs w:val="20"/>
        </w:rPr>
        <w:t>446</w:t>
      </w:r>
      <w:r>
        <w:rPr>
          <w:rFonts w:ascii="Times New Roman" w:hAnsi="Times New Roman" w:eastAsia="Times New Roman" w:cs="Times New Roman"/>
          <w:spacing w:val="3"/>
          <w:position w:val="-2"/>
          <w:sz w:val="20"/>
          <w:szCs w:val="20"/>
        </w:rPr>
        <w:t xml:space="preserve">             </w:t>
      </w:r>
      <w:r>
        <w:rPr>
          <w:spacing w:val="-3"/>
          <w:sz w:val="20"/>
          <w:szCs w:val="20"/>
        </w:rPr>
        <w:t>信息系统监理师教程(第2版)</w:t>
      </w:r>
    </w:p>
    <w:p w14:paraId="3EE92333">
      <w:pPr>
        <w:spacing w:line="279" w:lineRule="auto"/>
        <w:rPr>
          <w:rFonts w:ascii="Arial"/>
          <w:sz w:val="21"/>
        </w:rPr>
      </w:pPr>
    </w:p>
    <w:p w14:paraId="699A54D6">
      <w:pPr>
        <w:pStyle w:val="2"/>
        <w:spacing w:before="85" w:line="219" w:lineRule="auto"/>
        <w:ind w:left="363"/>
        <w:rPr>
          <w:sz w:val="26"/>
          <w:szCs w:val="26"/>
        </w:rPr>
      </w:pPr>
      <w:r>
        <w:rPr>
          <w:b/>
          <w:bCs/>
          <w:color w:val="006CD8"/>
          <w:spacing w:val="-25"/>
          <w:sz w:val="26"/>
          <w:szCs w:val="26"/>
        </w:rPr>
        <w:t>20.2.3</w:t>
      </w:r>
      <w:r>
        <w:rPr>
          <w:color w:val="006CD8"/>
          <w:spacing w:val="101"/>
          <w:sz w:val="26"/>
          <w:szCs w:val="26"/>
        </w:rPr>
        <w:t xml:space="preserve"> </w:t>
      </w:r>
      <w:r>
        <w:rPr>
          <w:b/>
          <w:bCs/>
          <w:color w:val="006CD8"/>
          <w:spacing w:val="-25"/>
          <w:sz w:val="26"/>
          <w:szCs w:val="26"/>
        </w:rPr>
        <w:t>监理内容</w:t>
      </w:r>
    </w:p>
    <w:p w14:paraId="11057069">
      <w:pPr>
        <w:pStyle w:val="2"/>
        <w:spacing w:before="247" w:line="221" w:lineRule="auto"/>
        <w:ind w:left="762"/>
        <w:rPr>
          <w:rFonts w:ascii="黑体" w:hAnsi="黑体" w:eastAsia="黑体" w:cs="黑体"/>
          <w:sz w:val="20"/>
          <w:szCs w:val="20"/>
        </w:rPr>
      </w:pPr>
      <w:r>
        <w:rPr>
          <w:b/>
          <w:bCs/>
          <w:color w:val="006ECF"/>
          <w:spacing w:val="-2"/>
          <w:sz w:val="20"/>
          <w:szCs w:val="20"/>
        </w:rPr>
        <w:t>1.</w:t>
      </w:r>
      <w:r>
        <w:rPr>
          <w:rFonts w:ascii="黑体" w:hAnsi="黑体" w:eastAsia="黑体" w:cs="黑体"/>
          <w:b/>
          <w:bCs/>
          <w:color w:val="006ECF"/>
          <w:spacing w:val="-2"/>
          <w:sz w:val="20"/>
          <w:szCs w:val="20"/>
        </w:rPr>
        <w:t>编制工作计划</w:t>
      </w:r>
    </w:p>
    <w:p w14:paraId="06381AB6">
      <w:pPr>
        <w:pStyle w:val="2"/>
        <w:spacing w:before="143" w:line="332" w:lineRule="auto"/>
        <w:ind w:left="360" w:right="2" w:firstLine="399"/>
        <w:rPr>
          <w:sz w:val="16"/>
          <w:szCs w:val="16"/>
        </w:rPr>
      </w:pPr>
      <w:r>
        <w:rPr>
          <w:spacing w:val="4"/>
          <w:sz w:val="20"/>
          <w:szCs w:val="20"/>
        </w:rPr>
        <w:t>根据招标工作的特点，监理机构协助业主单位制订的项目工作</w:t>
      </w:r>
      <w:r>
        <w:rPr>
          <w:spacing w:val="3"/>
          <w:sz w:val="20"/>
          <w:szCs w:val="20"/>
        </w:rPr>
        <w:t>计划应包括以下几个方面的</w:t>
      </w:r>
      <w:r>
        <w:rPr>
          <w:sz w:val="20"/>
          <w:szCs w:val="20"/>
        </w:rPr>
        <w:t xml:space="preserve"> </w:t>
      </w:r>
      <w:r>
        <w:rPr>
          <w:spacing w:val="-12"/>
          <w:sz w:val="16"/>
          <w:szCs w:val="16"/>
        </w:rPr>
        <w:t>内 容</w:t>
      </w:r>
      <w:r>
        <w:rPr>
          <w:spacing w:val="-20"/>
          <w:sz w:val="16"/>
          <w:szCs w:val="16"/>
        </w:rPr>
        <w:t xml:space="preserve"> </w:t>
      </w:r>
      <w:r>
        <w:rPr>
          <w:spacing w:val="-12"/>
          <w:sz w:val="16"/>
          <w:szCs w:val="16"/>
        </w:rPr>
        <w:t>。</w:t>
      </w:r>
    </w:p>
    <w:p w14:paraId="559E9287">
      <w:pPr>
        <w:spacing w:before="72" w:line="225" w:lineRule="auto"/>
        <w:ind w:left="760"/>
        <w:rPr>
          <w:rFonts w:ascii="楷体" w:hAnsi="楷体" w:eastAsia="楷体" w:cs="楷体"/>
          <w:sz w:val="20"/>
          <w:szCs w:val="20"/>
        </w:rPr>
      </w:pPr>
      <w:r>
        <w:rPr>
          <w:rFonts w:ascii="楷体" w:hAnsi="楷体" w:eastAsia="楷体" w:cs="楷体"/>
          <w:spacing w:val="10"/>
          <w:sz w:val="20"/>
          <w:szCs w:val="20"/>
        </w:rPr>
        <w:t>1)项目建设内容</w:t>
      </w:r>
    </w:p>
    <w:p w14:paraId="05314F55">
      <w:pPr>
        <w:pStyle w:val="2"/>
        <w:spacing w:before="78" w:line="278" w:lineRule="auto"/>
        <w:ind w:left="360" w:firstLine="399"/>
        <w:rPr>
          <w:sz w:val="20"/>
          <w:szCs w:val="20"/>
        </w:rPr>
      </w:pPr>
      <w:r>
        <w:rPr>
          <w:spacing w:val="4"/>
          <w:sz w:val="20"/>
          <w:szCs w:val="20"/>
        </w:rPr>
        <w:t>明确项目建设内容是招标阶段的核心工作，监理</w:t>
      </w:r>
      <w:r>
        <w:rPr>
          <w:spacing w:val="3"/>
          <w:sz w:val="20"/>
          <w:szCs w:val="20"/>
        </w:rPr>
        <w:t>机构应协助业主单位明确项目建设的内容</w:t>
      </w:r>
      <w:r>
        <w:rPr>
          <w:sz w:val="20"/>
          <w:szCs w:val="20"/>
        </w:rPr>
        <w:t xml:space="preserve"> </w:t>
      </w:r>
      <w:r>
        <w:rPr>
          <w:spacing w:val="4"/>
          <w:sz w:val="20"/>
          <w:szCs w:val="20"/>
        </w:rPr>
        <w:t>及范围，界定本次招标要完成哪些具体工作；避免业主</w:t>
      </w:r>
      <w:r>
        <w:rPr>
          <w:spacing w:val="3"/>
          <w:sz w:val="20"/>
          <w:szCs w:val="20"/>
        </w:rPr>
        <w:t>单位在投资有限的情况下不断扩大项目</w:t>
      </w:r>
      <w:r>
        <w:rPr>
          <w:sz w:val="20"/>
          <w:szCs w:val="20"/>
        </w:rPr>
        <w:t xml:space="preserve"> </w:t>
      </w:r>
      <w:r>
        <w:rPr>
          <w:spacing w:val="-3"/>
          <w:sz w:val="20"/>
          <w:szCs w:val="20"/>
        </w:rPr>
        <w:t>范围，导致项目的质量及进度无法实现。</w:t>
      </w:r>
    </w:p>
    <w:p w14:paraId="41477E70">
      <w:pPr>
        <w:spacing w:before="112" w:line="223" w:lineRule="auto"/>
        <w:ind w:left="760"/>
        <w:rPr>
          <w:rFonts w:ascii="楷体" w:hAnsi="楷体" w:eastAsia="楷体" w:cs="楷体"/>
          <w:sz w:val="20"/>
          <w:szCs w:val="20"/>
        </w:rPr>
      </w:pPr>
      <w:r>
        <w:rPr>
          <w:rFonts w:ascii="楷体" w:hAnsi="楷体" w:eastAsia="楷体" w:cs="楷体"/>
          <w:spacing w:val="19"/>
          <w:sz w:val="20"/>
          <w:szCs w:val="20"/>
        </w:rPr>
        <w:t>2)组织管理</w:t>
      </w:r>
    </w:p>
    <w:p w14:paraId="2D645CFE">
      <w:pPr>
        <w:pStyle w:val="2"/>
        <w:spacing w:before="73" w:line="331" w:lineRule="auto"/>
        <w:ind w:left="360" w:right="29" w:firstLine="399"/>
        <w:rPr>
          <w:sz w:val="16"/>
          <w:szCs w:val="16"/>
        </w:rPr>
      </w:pPr>
      <w:r>
        <w:rPr>
          <w:spacing w:val="8"/>
          <w:sz w:val="20"/>
          <w:szCs w:val="20"/>
        </w:rPr>
        <w:t>根据项目建设内容及业主单位的组织架构，确认相关管理人员及其职权范围，做到责任</w:t>
      </w:r>
      <w:r>
        <w:rPr>
          <w:spacing w:val="13"/>
          <w:sz w:val="20"/>
          <w:szCs w:val="20"/>
        </w:rPr>
        <w:t xml:space="preserve"> </w:t>
      </w:r>
      <w:r>
        <w:rPr>
          <w:spacing w:val="-12"/>
          <w:sz w:val="16"/>
          <w:szCs w:val="16"/>
        </w:rPr>
        <w:t>明</w:t>
      </w:r>
      <w:r>
        <w:rPr>
          <w:spacing w:val="-10"/>
          <w:sz w:val="16"/>
          <w:szCs w:val="16"/>
        </w:rPr>
        <w:t xml:space="preserve"> </w:t>
      </w:r>
      <w:r>
        <w:rPr>
          <w:spacing w:val="-12"/>
          <w:sz w:val="16"/>
          <w:szCs w:val="16"/>
        </w:rPr>
        <w:t>晰</w:t>
      </w:r>
      <w:r>
        <w:rPr>
          <w:spacing w:val="-22"/>
          <w:sz w:val="16"/>
          <w:szCs w:val="16"/>
        </w:rPr>
        <w:t xml:space="preserve"> </w:t>
      </w:r>
      <w:r>
        <w:rPr>
          <w:spacing w:val="-12"/>
          <w:sz w:val="16"/>
          <w:szCs w:val="16"/>
        </w:rPr>
        <w:t>。</w:t>
      </w:r>
    </w:p>
    <w:p w14:paraId="5BF372D3">
      <w:pPr>
        <w:spacing w:before="70" w:line="223" w:lineRule="auto"/>
        <w:ind w:left="760"/>
        <w:rPr>
          <w:rFonts w:ascii="楷体" w:hAnsi="楷体" w:eastAsia="楷体" w:cs="楷体"/>
          <w:sz w:val="20"/>
          <w:szCs w:val="20"/>
        </w:rPr>
      </w:pPr>
      <w:r>
        <w:rPr>
          <w:rFonts w:ascii="楷体" w:hAnsi="楷体" w:eastAsia="楷体" w:cs="楷体"/>
          <w:spacing w:val="9"/>
          <w:sz w:val="20"/>
          <w:szCs w:val="20"/>
        </w:rPr>
        <w:t>3)项目建设准备工作</w:t>
      </w:r>
    </w:p>
    <w:p w14:paraId="5A19B8B6">
      <w:pPr>
        <w:pStyle w:val="2"/>
        <w:spacing w:before="82" w:line="264" w:lineRule="auto"/>
        <w:ind w:left="360" w:right="6" w:firstLine="399"/>
        <w:rPr>
          <w:sz w:val="20"/>
          <w:szCs w:val="20"/>
        </w:rPr>
      </w:pPr>
      <w:r>
        <w:rPr>
          <w:spacing w:val="4"/>
          <w:sz w:val="20"/>
          <w:szCs w:val="20"/>
        </w:rPr>
        <w:t>根据项目现有基础条件，对开工前的准备工作逐一梳</w:t>
      </w:r>
      <w:r>
        <w:rPr>
          <w:spacing w:val="3"/>
          <w:sz w:val="20"/>
          <w:szCs w:val="20"/>
        </w:rPr>
        <w:t>理，影响项目开工条件的内容应及时</w:t>
      </w:r>
      <w:r>
        <w:rPr>
          <w:sz w:val="20"/>
          <w:szCs w:val="20"/>
        </w:rPr>
        <w:t xml:space="preserve"> </w:t>
      </w:r>
      <w:r>
        <w:rPr>
          <w:spacing w:val="-5"/>
          <w:sz w:val="20"/>
          <w:szCs w:val="20"/>
        </w:rPr>
        <w:t>汇报至业主单位。</w:t>
      </w:r>
    </w:p>
    <w:p w14:paraId="69D538DD">
      <w:pPr>
        <w:spacing w:before="123" w:line="230" w:lineRule="auto"/>
        <w:ind w:left="760"/>
        <w:rPr>
          <w:rFonts w:ascii="楷体" w:hAnsi="楷体" w:eastAsia="楷体" w:cs="楷体"/>
          <w:sz w:val="20"/>
          <w:szCs w:val="20"/>
        </w:rPr>
      </w:pPr>
      <w:r>
        <w:rPr>
          <w:rFonts w:ascii="楷体" w:hAnsi="楷体" w:eastAsia="楷体" w:cs="楷体"/>
          <w:spacing w:val="13"/>
          <w:sz w:val="20"/>
          <w:szCs w:val="20"/>
        </w:rPr>
        <w:t>4)总包、分包方式</w:t>
      </w:r>
    </w:p>
    <w:p w14:paraId="3323510D">
      <w:pPr>
        <w:pStyle w:val="2"/>
        <w:spacing w:before="57" w:line="282" w:lineRule="auto"/>
        <w:ind w:left="360" w:right="7" w:firstLine="399"/>
        <w:rPr>
          <w:sz w:val="20"/>
          <w:szCs w:val="20"/>
        </w:rPr>
      </w:pPr>
      <w:r>
        <w:rPr>
          <w:spacing w:val="4"/>
          <w:sz w:val="20"/>
          <w:szCs w:val="20"/>
        </w:rPr>
        <w:t>根据项目建设的规模、内容和阶段，协助业主单位</w:t>
      </w:r>
      <w:r>
        <w:rPr>
          <w:spacing w:val="3"/>
          <w:sz w:val="20"/>
          <w:szCs w:val="20"/>
        </w:rPr>
        <w:t>选择合适的总包、分包方式，并明确是</w:t>
      </w:r>
      <w:r>
        <w:rPr>
          <w:sz w:val="20"/>
          <w:szCs w:val="20"/>
        </w:rPr>
        <w:t xml:space="preserve"> </w:t>
      </w:r>
      <w:r>
        <w:rPr>
          <w:spacing w:val="-3"/>
          <w:sz w:val="20"/>
          <w:szCs w:val="20"/>
        </w:rPr>
        <w:t>否允许承包人将项目分包或转包。</w:t>
      </w:r>
    </w:p>
    <w:p w14:paraId="7E1C0DEC">
      <w:pPr>
        <w:spacing w:before="100" w:line="228" w:lineRule="auto"/>
        <w:ind w:left="760"/>
        <w:rPr>
          <w:rFonts w:ascii="楷体" w:hAnsi="楷体" w:eastAsia="楷体" w:cs="楷体"/>
          <w:sz w:val="20"/>
          <w:szCs w:val="20"/>
        </w:rPr>
      </w:pPr>
      <w:r>
        <w:rPr>
          <w:rFonts w:ascii="楷体" w:hAnsi="楷体" w:eastAsia="楷体" w:cs="楷体"/>
          <w:spacing w:val="5"/>
          <w:sz w:val="20"/>
          <w:szCs w:val="20"/>
        </w:rPr>
        <w:t>5)项目建设的阶段划分及验收</w:t>
      </w:r>
    </w:p>
    <w:p w14:paraId="5DB1CAEB">
      <w:pPr>
        <w:pStyle w:val="2"/>
        <w:spacing w:before="72" w:line="273" w:lineRule="auto"/>
        <w:ind w:left="360" w:right="9" w:firstLine="399"/>
        <w:rPr>
          <w:sz w:val="20"/>
          <w:szCs w:val="20"/>
        </w:rPr>
      </w:pPr>
      <w:r>
        <w:rPr>
          <w:spacing w:val="4"/>
          <w:sz w:val="20"/>
          <w:szCs w:val="20"/>
        </w:rPr>
        <w:t>根据项目建设总体目标、阶段目标、资金落实</w:t>
      </w:r>
      <w:r>
        <w:rPr>
          <w:spacing w:val="3"/>
          <w:sz w:val="20"/>
          <w:szCs w:val="20"/>
        </w:rPr>
        <w:t>情况及计划工期等条件，协助业主单位划分</w:t>
      </w:r>
      <w:r>
        <w:rPr>
          <w:sz w:val="20"/>
          <w:szCs w:val="20"/>
        </w:rPr>
        <w:t xml:space="preserve"> </w:t>
      </w:r>
      <w:r>
        <w:rPr>
          <w:spacing w:val="-1"/>
          <w:sz w:val="20"/>
          <w:szCs w:val="20"/>
        </w:rPr>
        <w:t>建设阶段，明确各阶段要完成的具体工作及质量、进度标准，确定各阶段的验收标</w:t>
      </w:r>
      <w:r>
        <w:rPr>
          <w:spacing w:val="-2"/>
          <w:sz w:val="20"/>
          <w:szCs w:val="20"/>
        </w:rPr>
        <w:t>准。</w:t>
      </w:r>
    </w:p>
    <w:p w14:paraId="79C5FF9F">
      <w:pPr>
        <w:spacing w:before="104" w:line="223" w:lineRule="auto"/>
        <w:ind w:left="760"/>
        <w:rPr>
          <w:rFonts w:ascii="楷体" w:hAnsi="楷体" w:eastAsia="楷体" w:cs="楷体"/>
          <w:sz w:val="20"/>
          <w:szCs w:val="20"/>
        </w:rPr>
      </w:pPr>
      <w:r>
        <w:rPr>
          <w:rFonts w:ascii="楷体" w:hAnsi="楷体" w:eastAsia="楷体" w:cs="楷体"/>
          <w:spacing w:val="13"/>
          <w:sz w:val="20"/>
          <w:szCs w:val="20"/>
        </w:rPr>
        <w:t>6)质量管理计划</w:t>
      </w:r>
    </w:p>
    <w:p w14:paraId="5F1D4718">
      <w:pPr>
        <w:pStyle w:val="2"/>
        <w:spacing w:before="72" w:line="282" w:lineRule="auto"/>
        <w:ind w:left="360" w:right="11" w:firstLine="399"/>
        <w:rPr>
          <w:sz w:val="20"/>
          <w:szCs w:val="20"/>
        </w:rPr>
      </w:pPr>
      <w:r>
        <w:rPr>
          <w:spacing w:val="3"/>
          <w:sz w:val="20"/>
          <w:szCs w:val="20"/>
        </w:rPr>
        <w:t>根据项目质量标准，协助业主单位拟定概要的质量管理计划，作为后续承建单位质量管理</w:t>
      </w:r>
      <w:r>
        <w:rPr>
          <w:spacing w:val="18"/>
          <w:sz w:val="20"/>
          <w:szCs w:val="20"/>
        </w:rPr>
        <w:t xml:space="preserve"> </w:t>
      </w:r>
      <w:r>
        <w:rPr>
          <w:spacing w:val="-4"/>
          <w:sz w:val="20"/>
          <w:szCs w:val="20"/>
        </w:rPr>
        <w:t>计划报审的审核依据。</w:t>
      </w:r>
    </w:p>
    <w:p w14:paraId="78E0FDAA">
      <w:pPr>
        <w:pStyle w:val="2"/>
        <w:spacing w:before="105" w:line="221" w:lineRule="auto"/>
        <w:ind w:left="762"/>
        <w:rPr>
          <w:rFonts w:ascii="黑体" w:hAnsi="黑体" w:eastAsia="黑体" w:cs="黑体"/>
          <w:sz w:val="20"/>
          <w:szCs w:val="20"/>
        </w:rPr>
      </w:pPr>
      <w:r>
        <w:rPr>
          <w:b/>
          <w:bCs/>
          <w:color w:val="006CD8"/>
          <w:spacing w:val="-1"/>
          <w:sz w:val="20"/>
          <w:szCs w:val="20"/>
        </w:rPr>
        <w:t>2.</w:t>
      </w:r>
      <w:r>
        <w:rPr>
          <w:rFonts w:ascii="黑体" w:hAnsi="黑体" w:eastAsia="黑体" w:cs="黑体"/>
          <w:b/>
          <w:bCs/>
          <w:color w:val="006CD8"/>
          <w:spacing w:val="-1"/>
          <w:sz w:val="20"/>
          <w:szCs w:val="20"/>
        </w:rPr>
        <w:t>参与招标文件的编制</w:t>
      </w:r>
    </w:p>
    <w:p w14:paraId="58C30542">
      <w:pPr>
        <w:pStyle w:val="2"/>
        <w:spacing w:before="135" w:line="281" w:lineRule="auto"/>
        <w:ind w:left="360" w:right="3" w:firstLine="399"/>
        <w:jc w:val="both"/>
        <w:rPr>
          <w:sz w:val="20"/>
          <w:szCs w:val="20"/>
        </w:rPr>
      </w:pPr>
      <w:r>
        <w:rPr>
          <w:spacing w:val="3"/>
          <w:sz w:val="20"/>
          <w:szCs w:val="20"/>
        </w:rPr>
        <w:t>招标文件是招标阶段的重要文档，对项目后续的建设具有重要作用。为了提高招标文件的</w:t>
      </w:r>
      <w:r>
        <w:rPr>
          <w:spacing w:val="7"/>
          <w:sz w:val="20"/>
          <w:szCs w:val="20"/>
        </w:rPr>
        <w:t xml:space="preserve"> </w:t>
      </w:r>
      <w:r>
        <w:rPr>
          <w:spacing w:val="4"/>
          <w:sz w:val="20"/>
          <w:szCs w:val="20"/>
        </w:rPr>
        <w:t>质量，监理机构有必要参与招标文件的编制，</w:t>
      </w:r>
      <w:r>
        <w:rPr>
          <w:spacing w:val="3"/>
          <w:sz w:val="20"/>
          <w:szCs w:val="20"/>
        </w:rPr>
        <w:t>尤其是技术部分的内容。监理机构可以根据自身</w:t>
      </w:r>
      <w:r>
        <w:rPr>
          <w:sz w:val="20"/>
          <w:szCs w:val="20"/>
        </w:rPr>
        <w:t xml:space="preserve"> </w:t>
      </w:r>
      <w:r>
        <w:rPr>
          <w:spacing w:val="3"/>
          <w:sz w:val="20"/>
          <w:szCs w:val="20"/>
        </w:rPr>
        <w:t>对业务需求的了解，在与业主单位充分讨论的基础上，协助编写招标文件的技术部分，力求准</w:t>
      </w:r>
      <w:r>
        <w:rPr>
          <w:spacing w:val="15"/>
          <w:sz w:val="20"/>
          <w:szCs w:val="20"/>
        </w:rPr>
        <w:t xml:space="preserve"> </w:t>
      </w:r>
      <w:r>
        <w:rPr>
          <w:spacing w:val="3"/>
          <w:sz w:val="20"/>
          <w:szCs w:val="20"/>
        </w:rPr>
        <w:t>确、科学地表达业主单位的实际需求。监理机构还应协助业主单位根据项目预算，在招标文件</w:t>
      </w:r>
      <w:r>
        <w:rPr>
          <w:spacing w:val="14"/>
          <w:sz w:val="20"/>
          <w:szCs w:val="20"/>
        </w:rPr>
        <w:t xml:space="preserve"> </w:t>
      </w:r>
      <w:r>
        <w:rPr>
          <w:spacing w:val="-2"/>
          <w:sz w:val="20"/>
          <w:szCs w:val="20"/>
        </w:rPr>
        <w:t>中对项目目标、范围、内容和产品及服务的技术要求做出明确说明。</w:t>
      </w:r>
    </w:p>
    <w:p w14:paraId="13A0EC8D">
      <w:pPr>
        <w:pStyle w:val="2"/>
        <w:spacing w:before="27" w:line="219" w:lineRule="auto"/>
        <w:ind w:left="760"/>
        <w:rPr>
          <w:sz w:val="20"/>
          <w:szCs w:val="20"/>
        </w:rPr>
      </w:pPr>
      <w:r>
        <w:rPr>
          <w:spacing w:val="-1"/>
          <w:sz w:val="20"/>
          <w:szCs w:val="20"/>
        </w:rPr>
        <w:t>监理机构在参与招标文件编制的过程中，应主要从以下几个方面提出监理</w:t>
      </w:r>
      <w:r>
        <w:rPr>
          <w:spacing w:val="-2"/>
          <w:sz w:val="20"/>
          <w:szCs w:val="20"/>
        </w:rPr>
        <w:t>意见。</w:t>
      </w:r>
    </w:p>
    <w:p w14:paraId="3DE42405">
      <w:pPr>
        <w:spacing w:before="155" w:line="227" w:lineRule="auto"/>
        <w:ind w:left="760"/>
        <w:rPr>
          <w:rFonts w:ascii="楷体" w:hAnsi="楷体" w:eastAsia="楷体" w:cs="楷体"/>
          <w:sz w:val="20"/>
          <w:szCs w:val="20"/>
        </w:rPr>
      </w:pPr>
      <w:r>
        <w:rPr>
          <w:rFonts w:ascii="楷体" w:hAnsi="楷体" w:eastAsia="楷体" w:cs="楷体"/>
          <w:spacing w:val="8"/>
          <w:sz w:val="20"/>
          <w:szCs w:val="20"/>
        </w:rPr>
        <w:t>1)技术和质量的要求</w:t>
      </w:r>
    </w:p>
    <w:p w14:paraId="2E7A5F39">
      <w:pPr>
        <w:pStyle w:val="2"/>
        <w:spacing w:before="64" w:line="219" w:lineRule="auto"/>
        <w:ind w:left="760"/>
        <w:rPr>
          <w:sz w:val="20"/>
          <w:szCs w:val="20"/>
        </w:rPr>
      </w:pPr>
      <w:r>
        <w:rPr>
          <w:spacing w:val="-1"/>
          <w:sz w:val="20"/>
          <w:szCs w:val="20"/>
        </w:rPr>
        <w:t>协助业主单位在招标文件中真实反映项目建设的技术和质量需求，重点审核：</w:t>
      </w:r>
    </w:p>
    <w:p w14:paraId="273FEB9A">
      <w:pPr>
        <w:pStyle w:val="2"/>
        <w:spacing w:before="63" w:line="272" w:lineRule="auto"/>
        <w:ind w:left="1050" w:right="8" w:hanging="290"/>
        <w:rPr>
          <w:sz w:val="20"/>
          <w:szCs w:val="20"/>
        </w:rPr>
      </w:pPr>
      <w:r>
        <w:rPr>
          <w:spacing w:val="9"/>
          <w:sz w:val="20"/>
          <w:szCs w:val="20"/>
        </w:rPr>
        <w:t>●指标描述是否具体和准确。详尽的指标要求可以避免投标方错误地理解业主</w:t>
      </w:r>
      <w:r>
        <w:rPr>
          <w:spacing w:val="8"/>
          <w:sz w:val="20"/>
          <w:szCs w:val="20"/>
        </w:rPr>
        <w:t>单位的要</w:t>
      </w:r>
      <w:r>
        <w:rPr>
          <w:sz w:val="20"/>
          <w:szCs w:val="20"/>
        </w:rPr>
        <w:t xml:space="preserve"> </w:t>
      </w:r>
      <w:r>
        <w:rPr>
          <w:spacing w:val="-1"/>
          <w:sz w:val="20"/>
          <w:szCs w:val="20"/>
        </w:rPr>
        <w:t>求，有助于双方对项目验收指标的理解保持</w:t>
      </w:r>
      <w:r>
        <w:rPr>
          <w:spacing w:val="-2"/>
          <w:sz w:val="20"/>
          <w:szCs w:val="20"/>
        </w:rPr>
        <w:t>一致。</w:t>
      </w:r>
    </w:p>
    <w:p w14:paraId="34BAE384">
      <w:pPr>
        <w:spacing w:line="272" w:lineRule="auto"/>
        <w:rPr>
          <w:sz w:val="20"/>
          <w:szCs w:val="20"/>
        </w:rPr>
        <w:sectPr>
          <w:pgSz w:w="10300" w:h="13360"/>
          <w:pgMar w:top="400" w:right="1091" w:bottom="400" w:left="499" w:header="0" w:footer="0" w:gutter="0"/>
          <w:cols w:space="720" w:num="1"/>
        </w:sectPr>
      </w:pPr>
    </w:p>
    <w:p w14:paraId="1EB038F0">
      <w:pPr>
        <w:pStyle w:val="2"/>
        <w:spacing w:before="96" w:line="219" w:lineRule="auto"/>
        <w:jc w:val="right"/>
        <w:rPr>
          <w:rFonts w:ascii="Times New Roman" w:hAnsi="Times New Roman" w:eastAsia="Times New Roman" w:cs="Times New Roman"/>
          <w:sz w:val="17"/>
          <w:szCs w:val="17"/>
        </w:rPr>
      </w:pPr>
      <w:r>
        <w:rPr>
          <w:spacing w:val="-8"/>
          <w:sz w:val="20"/>
          <w:szCs w:val="20"/>
        </w:rPr>
        <w:t>第20章 信息系统工程监理基础工作</w:t>
      </w:r>
      <w:r>
        <w:rPr>
          <w:spacing w:val="4"/>
          <w:sz w:val="20"/>
          <w:szCs w:val="20"/>
        </w:rPr>
        <w:t xml:space="preserve">      </w:t>
      </w:r>
      <w:r>
        <w:rPr>
          <w:rFonts w:ascii="Times New Roman" w:hAnsi="Times New Roman" w:eastAsia="Times New Roman" w:cs="Times New Roman"/>
          <w:spacing w:val="-8"/>
          <w:position w:val="1"/>
          <w:sz w:val="17"/>
          <w:szCs w:val="17"/>
        </w:rPr>
        <w:t>447</w:t>
      </w:r>
    </w:p>
    <w:p w14:paraId="48636D5C">
      <w:pPr>
        <w:spacing w:line="286" w:lineRule="auto"/>
        <w:rPr>
          <w:rFonts w:ascii="Arial"/>
          <w:sz w:val="21"/>
        </w:rPr>
      </w:pPr>
    </w:p>
    <w:p w14:paraId="5125A7E5">
      <w:pPr>
        <w:pStyle w:val="2"/>
        <w:spacing w:before="65" w:line="267" w:lineRule="auto"/>
        <w:ind w:left="688" w:right="294" w:hanging="289"/>
        <w:rPr>
          <w:sz w:val="20"/>
          <w:szCs w:val="20"/>
        </w:rPr>
      </w:pPr>
      <w:r>
        <w:rPr>
          <w:spacing w:val="3"/>
          <w:sz w:val="20"/>
          <w:szCs w:val="20"/>
        </w:rPr>
        <w:t>●是否满足业主单位的业务需求。业务需求是系统设计的基本出发点，应通过技术和质量</w:t>
      </w:r>
      <w:r>
        <w:rPr>
          <w:sz w:val="20"/>
          <w:szCs w:val="20"/>
        </w:rPr>
        <w:t xml:space="preserve"> </w:t>
      </w:r>
      <w:r>
        <w:rPr>
          <w:spacing w:val="-2"/>
          <w:sz w:val="20"/>
          <w:szCs w:val="20"/>
        </w:rPr>
        <w:t>要求来具体约束系统未来的规模和特性。</w:t>
      </w:r>
    </w:p>
    <w:p w14:paraId="2C225832">
      <w:pPr>
        <w:pStyle w:val="2"/>
        <w:spacing w:before="72" w:line="262" w:lineRule="auto"/>
        <w:ind w:left="688" w:right="295" w:hanging="289"/>
        <w:rPr>
          <w:sz w:val="20"/>
          <w:szCs w:val="20"/>
        </w:rPr>
      </w:pPr>
      <w:r>
        <w:rPr>
          <w:spacing w:val="3"/>
          <w:sz w:val="20"/>
          <w:szCs w:val="20"/>
        </w:rPr>
        <w:t>●质量目标和质量评定标准是否明确。应对工程的验收准则、投标单位资格等可能对工程</w:t>
      </w:r>
      <w:r>
        <w:rPr>
          <w:sz w:val="20"/>
          <w:szCs w:val="20"/>
        </w:rPr>
        <w:t xml:space="preserve"> </w:t>
      </w:r>
      <w:r>
        <w:rPr>
          <w:spacing w:val="-3"/>
          <w:sz w:val="20"/>
          <w:szCs w:val="20"/>
        </w:rPr>
        <w:t>质量有影响的因素明确提出要求。</w:t>
      </w:r>
    </w:p>
    <w:p w14:paraId="4F667E2C">
      <w:pPr>
        <w:pStyle w:val="2"/>
        <w:spacing w:before="81" w:line="281" w:lineRule="auto"/>
        <w:ind w:left="688" w:right="291" w:hanging="289"/>
        <w:rPr>
          <w:sz w:val="17"/>
          <w:szCs w:val="17"/>
        </w:rPr>
      </w:pPr>
      <w:r>
        <w:rPr>
          <w:spacing w:val="14"/>
          <w:sz w:val="20"/>
          <w:szCs w:val="20"/>
        </w:rPr>
        <w:t>●技术和质量要求的可实现性。不可实现的技术和质量要求将会影响招标工作的正常</w:t>
      </w:r>
      <w:r>
        <w:rPr>
          <w:spacing w:val="1"/>
          <w:sz w:val="20"/>
          <w:szCs w:val="20"/>
        </w:rPr>
        <w:t xml:space="preserve"> </w:t>
      </w:r>
      <w:r>
        <w:rPr>
          <w:spacing w:val="-5"/>
          <w:sz w:val="17"/>
          <w:szCs w:val="17"/>
        </w:rPr>
        <w:t>进</w:t>
      </w:r>
      <w:r>
        <w:rPr>
          <w:spacing w:val="-24"/>
          <w:sz w:val="17"/>
          <w:szCs w:val="17"/>
        </w:rPr>
        <w:t xml:space="preserve"> </w:t>
      </w:r>
      <w:r>
        <w:rPr>
          <w:spacing w:val="-5"/>
          <w:sz w:val="17"/>
          <w:szCs w:val="17"/>
        </w:rPr>
        <w:t>行</w:t>
      </w:r>
      <w:r>
        <w:rPr>
          <w:spacing w:val="-33"/>
          <w:sz w:val="17"/>
          <w:szCs w:val="17"/>
        </w:rPr>
        <w:t xml:space="preserve"> </w:t>
      </w:r>
      <w:r>
        <w:rPr>
          <w:spacing w:val="-5"/>
          <w:sz w:val="17"/>
          <w:szCs w:val="17"/>
        </w:rPr>
        <w:t>。</w:t>
      </w:r>
    </w:p>
    <w:p w14:paraId="4A053672">
      <w:pPr>
        <w:pStyle w:val="2"/>
        <w:spacing w:before="116" w:line="258" w:lineRule="auto"/>
        <w:ind w:left="688" w:right="293" w:hanging="289"/>
        <w:rPr>
          <w:sz w:val="20"/>
          <w:szCs w:val="20"/>
        </w:rPr>
      </w:pPr>
      <w:r>
        <w:rPr>
          <w:spacing w:val="3"/>
          <w:sz w:val="20"/>
          <w:szCs w:val="20"/>
        </w:rPr>
        <w:t>●技术和质量要求的经济性。监理机构应综合考虑业主单位的现有设施、实际需求和资金</w:t>
      </w:r>
      <w:r>
        <w:rPr>
          <w:sz w:val="20"/>
          <w:szCs w:val="20"/>
        </w:rPr>
        <w:t xml:space="preserve"> </w:t>
      </w:r>
      <w:r>
        <w:rPr>
          <w:spacing w:val="-2"/>
          <w:sz w:val="20"/>
          <w:szCs w:val="20"/>
        </w:rPr>
        <w:t>现状，审核技术和质量的要求，提前做好项目的投资控制。</w:t>
      </w:r>
    </w:p>
    <w:p w14:paraId="7537D72E">
      <w:pPr>
        <w:spacing w:before="158" w:line="223" w:lineRule="auto"/>
        <w:ind w:left="399"/>
        <w:rPr>
          <w:rFonts w:ascii="楷体" w:hAnsi="楷体" w:eastAsia="楷体" w:cs="楷体"/>
          <w:sz w:val="20"/>
          <w:szCs w:val="20"/>
        </w:rPr>
      </w:pPr>
      <w:r>
        <w:rPr>
          <w:rFonts w:ascii="楷体" w:hAnsi="楷体" w:eastAsia="楷体" w:cs="楷体"/>
          <w:spacing w:val="4"/>
          <w:sz w:val="20"/>
          <w:szCs w:val="20"/>
        </w:rPr>
        <w:t>2)项目涉及的主要产品和服务的要求</w:t>
      </w:r>
    </w:p>
    <w:p w14:paraId="685C62B5">
      <w:pPr>
        <w:pStyle w:val="2"/>
        <w:spacing w:before="81" w:line="274" w:lineRule="auto"/>
        <w:ind w:right="222" w:firstLine="399"/>
        <w:rPr>
          <w:sz w:val="20"/>
          <w:szCs w:val="20"/>
        </w:rPr>
      </w:pPr>
      <w:r>
        <w:rPr>
          <w:sz w:val="20"/>
          <w:szCs w:val="20"/>
        </w:rPr>
        <w:t>协助业主单位通过招标采购项目所需的产品及服务。采购需求应</w:t>
      </w:r>
      <w:r>
        <w:rPr>
          <w:spacing w:val="-1"/>
          <w:sz w:val="20"/>
          <w:szCs w:val="20"/>
        </w:rPr>
        <w:t>满足规划及批复文件要求，</w:t>
      </w:r>
      <w:r>
        <w:rPr>
          <w:sz w:val="20"/>
          <w:szCs w:val="20"/>
        </w:rPr>
        <w:t xml:space="preserve"> </w:t>
      </w:r>
      <w:r>
        <w:rPr>
          <w:spacing w:val="-2"/>
          <w:sz w:val="20"/>
          <w:szCs w:val="20"/>
        </w:rPr>
        <w:t>并符合法律法规、政策文件和规范标准要求。</w:t>
      </w:r>
    </w:p>
    <w:p w14:paraId="682DAB09">
      <w:pPr>
        <w:spacing w:before="106" w:line="225" w:lineRule="auto"/>
        <w:ind w:left="399"/>
        <w:rPr>
          <w:rFonts w:ascii="楷体" w:hAnsi="楷体" w:eastAsia="楷体" w:cs="楷体"/>
          <w:sz w:val="20"/>
          <w:szCs w:val="20"/>
        </w:rPr>
      </w:pPr>
      <w:r>
        <w:rPr>
          <w:rFonts w:ascii="楷体" w:hAnsi="楷体" w:eastAsia="楷体" w:cs="楷体"/>
          <w:spacing w:val="6"/>
          <w:sz w:val="20"/>
          <w:szCs w:val="20"/>
        </w:rPr>
        <w:t>3)投标单位资质的要求</w:t>
      </w:r>
    </w:p>
    <w:p w14:paraId="7B4E4142">
      <w:pPr>
        <w:pStyle w:val="2"/>
        <w:spacing w:before="78" w:line="286" w:lineRule="auto"/>
        <w:ind w:right="105" w:firstLine="399"/>
        <w:rPr>
          <w:sz w:val="20"/>
          <w:szCs w:val="20"/>
        </w:rPr>
      </w:pPr>
      <w:r>
        <w:rPr>
          <w:spacing w:val="8"/>
          <w:sz w:val="20"/>
          <w:szCs w:val="20"/>
        </w:rPr>
        <w:t>根据项目的规模及复杂程度选择适宜的承建单位，避免“大马拉小车”及</w:t>
      </w:r>
      <w:r>
        <w:rPr>
          <w:spacing w:val="7"/>
          <w:sz w:val="20"/>
          <w:szCs w:val="20"/>
        </w:rPr>
        <w:t>“小马拉大车”</w:t>
      </w:r>
      <w:r>
        <w:rPr>
          <w:sz w:val="20"/>
          <w:szCs w:val="20"/>
        </w:rPr>
        <w:t xml:space="preserve"> </w:t>
      </w:r>
      <w:r>
        <w:rPr>
          <w:spacing w:val="3"/>
          <w:sz w:val="20"/>
          <w:szCs w:val="20"/>
        </w:rPr>
        <w:t>的现象出现。招标文件中应根据项目的实际情况，明确投标单位的资质要求。投标单位资质要</w:t>
      </w:r>
      <w:r>
        <w:rPr>
          <w:spacing w:val="7"/>
          <w:sz w:val="20"/>
          <w:szCs w:val="20"/>
        </w:rPr>
        <w:t xml:space="preserve">  </w:t>
      </w:r>
      <w:r>
        <w:rPr>
          <w:spacing w:val="-3"/>
          <w:sz w:val="20"/>
          <w:szCs w:val="20"/>
        </w:rPr>
        <w:t>求一般可以从两个方面考虑：</w:t>
      </w:r>
    </w:p>
    <w:p w14:paraId="06DC192D">
      <w:pPr>
        <w:pStyle w:val="2"/>
        <w:spacing w:before="11" w:line="219" w:lineRule="auto"/>
        <w:ind w:left="399"/>
        <w:rPr>
          <w:sz w:val="20"/>
          <w:szCs w:val="20"/>
        </w:rPr>
      </w:pPr>
      <w:r>
        <w:rPr>
          <w:spacing w:val="-1"/>
          <w:sz w:val="20"/>
          <w:szCs w:val="20"/>
        </w:rPr>
        <w:t>●投标单位的能力、资质认证要求；</w:t>
      </w:r>
    </w:p>
    <w:p w14:paraId="7A36E1C4">
      <w:pPr>
        <w:pStyle w:val="2"/>
        <w:spacing w:before="93" w:line="220" w:lineRule="auto"/>
        <w:ind w:left="399"/>
        <w:rPr>
          <w:sz w:val="20"/>
          <w:szCs w:val="20"/>
        </w:rPr>
      </w:pPr>
      <w:r>
        <w:rPr>
          <w:spacing w:val="2"/>
          <w:sz w:val="20"/>
          <w:szCs w:val="20"/>
        </w:rPr>
        <w:t>●投标单位的项目经验要求。</w:t>
      </w:r>
    </w:p>
    <w:p w14:paraId="4EBE382B">
      <w:pPr>
        <w:spacing w:before="167" w:line="232" w:lineRule="auto"/>
        <w:ind w:left="399"/>
        <w:rPr>
          <w:rFonts w:ascii="楷体" w:hAnsi="楷体" w:eastAsia="楷体" w:cs="楷体"/>
          <w:sz w:val="20"/>
          <w:szCs w:val="20"/>
        </w:rPr>
      </w:pPr>
      <w:r>
        <w:rPr>
          <w:rFonts w:ascii="楷体" w:hAnsi="楷体" w:eastAsia="楷体" w:cs="楷体"/>
          <w:spacing w:val="17"/>
          <w:sz w:val="20"/>
          <w:szCs w:val="20"/>
        </w:rPr>
        <w:t>4)验收方法</w:t>
      </w:r>
    </w:p>
    <w:p w14:paraId="28E4A556">
      <w:pPr>
        <w:pStyle w:val="2"/>
        <w:spacing w:before="42" w:line="281" w:lineRule="auto"/>
        <w:ind w:right="283" w:firstLine="399"/>
        <w:jc w:val="both"/>
        <w:rPr>
          <w:sz w:val="20"/>
          <w:szCs w:val="20"/>
        </w:rPr>
      </w:pPr>
      <w:r>
        <w:rPr>
          <w:spacing w:val="3"/>
          <w:sz w:val="20"/>
          <w:szCs w:val="20"/>
        </w:rPr>
        <w:t>协助业主单位在招标文件中明确项目验收方法，为后续</w:t>
      </w:r>
      <w:r>
        <w:rPr>
          <w:spacing w:val="2"/>
          <w:sz w:val="20"/>
          <w:szCs w:val="20"/>
        </w:rPr>
        <w:t>项目实施及验收过程提供依据。信</w:t>
      </w:r>
      <w:r>
        <w:rPr>
          <w:sz w:val="20"/>
          <w:szCs w:val="20"/>
        </w:rPr>
        <w:t xml:space="preserve"> </w:t>
      </w:r>
      <w:r>
        <w:rPr>
          <w:spacing w:val="3"/>
          <w:sz w:val="20"/>
          <w:szCs w:val="20"/>
        </w:rPr>
        <w:t>息系统的验收通常采用测试的方法来验证系统预先设计的技术指标，这些技术指标可能包括系</w:t>
      </w:r>
      <w:r>
        <w:rPr>
          <w:spacing w:val="4"/>
          <w:sz w:val="20"/>
          <w:szCs w:val="20"/>
        </w:rPr>
        <w:t xml:space="preserve"> </w:t>
      </w:r>
      <w:r>
        <w:rPr>
          <w:spacing w:val="3"/>
          <w:sz w:val="20"/>
          <w:szCs w:val="20"/>
        </w:rPr>
        <w:t>统的功能指标、性能指标、可靠性指标、系统兼容性指标和系统互操作性指标等内容，具体的</w:t>
      </w:r>
      <w:r>
        <w:rPr>
          <w:spacing w:val="1"/>
          <w:sz w:val="20"/>
          <w:szCs w:val="20"/>
        </w:rPr>
        <w:t xml:space="preserve"> </w:t>
      </w:r>
      <w:r>
        <w:rPr>
          <w:spacing w:val="3"/>
          <w:sz w:val="20"/>
          <w:szCs w:val="20"/>
        </w:rPr>
        <w:t>测试指标应根据待建系统的特点来确定。测试指标确定的同时，也应明确测试指标的测</w:t>
      </w:r>
      <w:r>
        <w:rPr>
          <w:spacing w:val="2"/>
          <w:sz w:val="20"/>
          <w:szCs w:val="20"/>
        </w:rPr>
        <w:t>试结果</w:t>
      </w:r>
      <w:r>
        <w:rPr>
          <w:sz w:val="20"/>
          <w:szCs w:val="20"/>
        </w:rPr>
        <w:t xml:space="preserve"> </w:t>
      </w:r>
      <w:r>
        <w:rPr>
          <w:spacing w:val="-1"/>
          <w:sz w:val="20"/>
          <w:szCs w:val="20"/>
        </w:rPr>
        <w:t>及其可以接受的准则，以作为未来系统是否能够通过验收的</w:t>
      </w:r>
      <w:r>
        <w:rPr>
          <w:spacing w:val="-2"/>
          <w:sz w:val="20"/>
          <w:szCs w:val="20"/>
        </w:rPr>
        <w:t>衡量指标。</w:t>
      </w:r>
    </w:p>
    <w:p w14:paraId="7CD49D41">
      <w:pPr>
        <w:spacing w:before="118" w:line="227" w:lineRule="auto"/>
        <w:ind w:left="399"/>
        <w:rPr>
          <w:rFonts w:ascii="楷体" w:hAnsi="楷体" w:eastAsia="楷体" w:cs="楷体"/>
          <w:sz w:val="20"/>
          <w:szCs w:val="20"/>
        </w:rPr>
      </w:pPr>
      <w:r>
        <w:rPr>
          <w:rFonts w:ascii="楷体" w:hAnsi="楷体" w:eastAsia="楷体" w:cs="楷体"/>
          <w:spacing w:val="11"/>
          <w:sz w:val="20"/>
          <w:szCs w:val="20"/>
        </w:rPr>
        <w:t>5)时间进度的要求</w:t>
      </w:r>
    </w:p>
    <w:p w14:paraId="6D0786A7">
      <w:pPr>
        <w:pStyle w:val="2"/>
        <w:spacing w:before="54" w:line="281" w:lineRule="auto"/>
        <w:ind w:right="202" w:firstLine="399"/>
        <w:rPr>
          <w:sz w:val="20"/>
          <w:szCs w:val="20"/>
        </w:rPr>
      </w:pPr>
      <w:r>
        <w:rPr>
          <w:spacing w:val="4"/>
          <w:sz w:val="20"/>
          <w:szCs w:val="20"/>
        </w:rPr>
        <w:t>对招标文件中项目时间进度的要求进行审核并</w:t>
      </w:r>
      <w:r>
        <w:rPr>
          <w:spacing w:val="3"/>
          <w:sz w:val="20"/>
          <w:szCs w:val="20"/>
        </w:rPr>
        <w:t>提出监理意见，协助业主单位根据项目具体</w:t>
      </w:r>
      <w:r>
        <w:rPr>
          <w:sz w:val="20"/>
          <w:szCs w:val="20"/>
        </w:rPr>
        <w:t xml:space="preserve"> </w:t>
      </w:r>
      <w:r>
        <w:rPr>
          <w:spacing w:val="4"/>
          <w:sz w:val="20"/>
          <w:szCs w:val="20"/>
        </w:rPr>
        <w:t>情况选择适宜的工期要求。项目的时间进度要求</w:t>
      </w:r>
      <w:r>
        <w:rPr>
          <w:spacing w:val="3"/>
          <w:sz w:val="20"/>
          <w:szCs w:val="20"/>
        </w:rPr>
        <w:t>不仅应明确总体进度，也应明确项目各阶段的</w:t>
      </w:r>
      <w:r>
        <w:rPr>
          <w:sz w:val="20"/>
          <w:szCs w:val="20"/>
        </w:rPr>
        <w:t xml:space="preserve"> </w:t>
      </w:r>
      <w:r>
        <w:rPr>
          <w:spacing w:val="3"/>
          <w:sz w:val="20"/>
          <w:szCs w:val="20"/>
        </w:rPr>
        <w:t>时间安排，以便后续项目实施过程中进行阶段性进度检查和监督。项目进度目标的合理确定和</w:t>
      </w:r>
      <w:r>
        <w:rPr>
          <w:sz w:val="20"/>
          <w:szCs w:val="20"/>
        </w:rPr>
        <w:t xml:space="preserve">  </w:t>
      </w:r>
      <w:r>
        <w:rPr>
          <w:spacing w:val="5"/>
          <w:sz w:val="20"/>
          <w:szCs w:val="20"/>
        </w:rPr>
        <w:t>科学分解对于整个项目进度控制至关重要，监理机构应独立地对整个项目进度进行科学评估，</w:t>
      </w:r>
      <w:r>
        <w:rPr>
          <w:spacing w:val="4"/>
          <w:sz w:val="20"/>
          <w:szCs w:val="20"/>
        </w:rPr>
        <w:t xml:space="preserve"> </w:t>
      </w:r>
      <w:r>
        <w:rPr>
          <w:spacing w:val="-1"/>
          <w:sz w:val="20"/>
          <w:szCs w:val="20"/>
        </w:rPr>
        <w:t>给出合理的监理意见，应尤其关注项目任务的分解与项目进度目标分解是否一致。</w:t>
      </w:r>
    </w:p>
    <w:p w14:paraId="0E9AB4B5">
      <w:pPr>
        <w:pStyle w:val="2"/>
        <w:spacing w:before="17" w:line="283" w:lineRule="auto"/>
        <w:ind w:right="313" w:firstLine="399"/>
        <w:rPr>
          <w:sz w:val="20"/>
          <w:szCs w:val="20"/>
        </w:rPr>
      </w:pPr>
      <w:r>
        <w:rPr>
          <w:spacing w:val="3"/>
          <w:sz w:val="20"/>
          <w:szCs w:val="20"/>
        </w:rPr>
        <w:t>监理机构除了从上述几个方面提出监理意见</w:t>
      </w:r>
      <w:r>
        <w:rPr>
          <w:spacing w:val="2"/>
          <w:sz w:val="20"/>
          <w:szCs w:val="20"/>
        </w:rPr>
        <w:t>外，还应提出其他必要的对招标工作和工程建</w:t>
      </w:r>
      <w:r>
        <w:rPr>
          <w:sz w:val="20"/>
          <w:szCs w:val="20"/>
        </w:rPr>
        <w:t xml:space="preserve"> </w:t>
      </w:r>
      <w:r>
        <w:rPr>
          <w:spacing w:val="-3"/>
          <w:sz w:val="20"/>
          <w:szCs w:val="20"/>
        </w:rPr>
        <w:t>设有影响的商务、技术要求。</w:t>
      </w:r>
    </w:p>
    <w:p w14:paraId="0FC7A390">
      <w:pPr>
        <w:pStyle w:val="2"/>
        <w:spacing w:before="85" w:line="222" w:lineRule="auto"/>
        <w:ind w:left="402"/>
        <w:rPr>
          <w:rFonts w:ascii="黑体" w:hAnsi="黑体" w:eastAsia="黑体" w:cs="黑体"/>
          <w:sz w:val="20"/>
          <w:szCs w:val="20"/>
        </w:rPr>
      </w:pPr>
      <w:r>
        <w:rPr>
          <w:b/>
          <w:bCs/>
          <w:color w:val="0059CE"/>
          <w:spacing w:val="-2"/>
          <w:sz w:val="20"/>
          <w:szCs w:val="20"/>
        </w:rPr>
        <w:t>3.</w:t>
      </w:r>
      <w:r>
        <w:rPr>
          <w:rFonts w:ascii="黑体" w:hAnsi="黑体" w:eastAsia="黑体" w:cs="黑体"/>
          <w:b/>
          <w:bCs/>
          <w:color w:val="0059CE"/>
          <w:spacing w:val="-2"/>
          <w:sz w:val="20"/>
          <w:szCs w:val="20"/>
        </w:rPr>
        <w:t>参与招标工作</w:t>
      </w:r>
    </w:p>
    <w:p w14:paraId="5383DF87">
      <w:pPr>
        <w:pStyle w:val="2"/>
        <w:spacing w:before="143" w:line="219" w:lineRule="auto"/>
        <w:ind w:left="399"/>
        <w:rPr>
          <w:sz w:val="20"/>
          <w:szCs w:val="20"/>
        </w:rPr>
      </w:pPr>
      <w:r>
        <w:rPr>
          <w:spacing w:val="-4"/>
          <w:sz w:val="20"/>
          <w:szCs w:val="20"/>
        </w:rPr>
        <w:t>参与招标工作的具体内容包括：</w:t>
      </w:r>
    </w:p>
    <w:p w14:paraId="1F9490B6">
      <w:pPr>
        <w:pStyle w:val="2"/>
        <w:spacing w:before="62" w:line="282" w:lineRule="auto"/>
        <w:ind w:right="286" w:firstLine="399"/>
        <w:rPr>
          <w:sz w:val="20"/>
          <w:szCs w:val="20"/>
        </w:rPr>
      </w:pPr>
      <w:r>
        <w:rPr>
          <w:spacing w:val="6"/>
          <w:sz w:val="20"/>
          <w:szCs w:val="20"/>
        </w:rPr>
        <w:t>(1)应业主单位的请求，监理机构可以参与招标答疑</w:t>
      </w:r>
      <w:r>
        <w:rPr>
          <w:spacing w:val="5"/>
          <w:sz w:val="20"/>
          <w:szCs w:val="20"/>
        </w:rPr>
        <w:t>工作。协助</w:t>
      </w:r>
      <w:r>
        <w:rPr>
          <w:spacing w:val="5"/>
          <w:sz w:val="20"/>
          <w:szCs w:val="20"/>
          <w:u w:val="single" w:color="auto"/>
        </w:rPr>
        <w:t>业主</w:t>
      </w:r>
      <w:r>
        <w:rPr>
          <w:spacing w:val="5"/>
          <w:sz w:val="20"/>
          <w:szCs w:val="20"/>
        </w:rPr>
        <w:t>单位对项目所涉及的</w:t>
      </w:r>
      <w:r>
        <w:rPr>
          <w:sz w:val="20"/>
          <w:szCs w:val="20"/>
        </w:rPr>
        <w:t xml:space="preserve"> 功能、技术指标向投标单位进行解释，并保</w:t>
      </w:r>
      <w:r>
        <w:rPr>
          <w:spacing w:val="-1"/>
          <w:sz w:val="20"/>
          <w:szCs w:val="20"/>
        </w:rPr>
        <w:t>存会议纪要和相关文件。</w:t>
      </w:r>
    </w:p>
    <w:p w14:paraId="2A6C0B9C">
      <w:pPr>
        <w:spacing w:line="282" w:lineRule="auto"/>
        <w:rPr>
          <w:sz w:val="20"/>
          <w:szCs w:val="20"/>
        </w:rPr>
        <w:sectPr>
          <w:pgSz w:w="10290" w:h="13320"/>
          <w:pgMar w:top="400" w:right="587" w:bottom="400" w:left="1090" w:header="0" w:footer="0" w:gutter="0"/>
          <w:cols w:space="720" w:num="1"/>
        </w:sectPr>
      </w:pPr>
    </w:p>
    <w:p w14:paraId="5EAC1FE0">
      <w:pPr>
        <w:pStyle w:val="2"/>
        <w:spacing w:before="58" w:line="219" w:lineRule="auto"/>
        <w:rPr>
          <w:sz w:val="20"/>
          <w:szCs w:val="20"/>
        </w:rPr>
      </w:pPr>
      <w:r>
        <w:rPr>
          <w:rFonts w:ascii="Times New Roman" w:hAnsi="Times New Roman" w:eastAsia="Times New Roman" w:cs="Times New Roman"/>
          <w:b/>
          <w:bCs/>
          <w:spacing w:val="-1"/>
          <w:sz w:val="20"/>
          <w:szCs w:val="20"/>
        </w:rPr>
        <w:t xml:space="preserve">448              </w:t>
      </w:r>
      <w:r>
        <w:rPr>
          <w:spacing w:val="-1"/>
          <w:sz w:val="20"/>
          <w:szCs w:val="20"/>
        </w:rPr>
        <w:t>信息系统监理师教</w:t>
      </w:r>
      <w:r>
        <w:rPr>
          <w:spacing w:val="-2"/>
          <w:sz w:val="20"/>
          <w:szCs w:val="20"/>
        </w:rPr>
        <w:t>程(第2版)</w:t>
      </w:r>
    </w:p>
    <w:p w14:paraId="46BE47D4">
      <w:pPr>
        <w:spacing w:line="305" w:lineRule="auto"/>
        <w:rPr>
          <w:rFonts w:ascii="Arial"/>
          <w:sz w:val="21"/>
        </w:rPr>
      </w:pPr>
    </w:p>
    <w:p w14:paraId="51CEDB57">
      <w:pPr>
        <w:pStyle w:val="2"/>
        <w:spacing w:before="65" w:line="271" w:lineRule="auto"/>
        <w:ind w:left="380" w:right="39" w:firstLine="399"/>
        <w:rPr>
          <w:sz w:val="20"/>
          <w:szCs w:val="20"/>
        </w:rPr>
      </w:pPr>
      <w:r>
        <w:rPr>
          <w:spacing w:val="6"/>
          <w:sz w:val="20"/>
          <w:szCs w:val="20"/>
        </w:rPr>
        <w:t>(2)应业主单位的请求，监理机构可以对评标标准提出监理意见</w:t>
      </w:r>
      <w:r>
        <w:rPr>
          <w:spacing w:val="5"/>
          <w:sz w:val="20"/>
          <w:szCs w:val="20"/>
        </w:rPr>
        <w:t>。业主单位可以在此基础</w:t>
      </w:r>
      <w:r>
        <w:rPr>
          <w:sz w:val="20"/>
          <w:szCs w:val="20"/>
        </w:rPr>
        <w:t xml:space="preserve"> </w:t>
      </w:r>
      <w:r>
        <w:rPr>
          <w:spacing w:val="-3"/>
          <w:sz w:val="20"/>
          <w:szCs w:val="20"/>
        </w:rPr>
        <w:t>上最终确定评标标准和评标方法。</w:t>
      </w:r>
    </w:p>
    <w:p w14:paraId="4CD341AB">
      <w:pPr>
        <w:pStyle w:val="2"/>
        <w:spacing w:before="51" w:line="270" w:lineRule="auto"/>
        <w:ind w:left="380" w:right="21" w:firstLine="399"/>
        <w:rPr>
          <w:sz w:val="20"/>
          <w:szCs w:val="20"/>
        </w:rPr>
      </w:pPr>
      <w:r>
        <w:rPr>
          <w:spacing w:val="6"/>
          <w:sz w:val="20"/>
          <w:szCs w:val="20"/>
        </w:rPr>
        <w:t>(3)在业主单位和招标代理机构邀请的情况下，可以有限度地协助评标，针对</w:t>
      </w:r>
      <w:r>
        <w:rPr>
          <w:spacing w:val="5"/>
          <w:sz w:val="20"/>
          <w:szCs w:val="20"/>
        </w:rPr>
        <w:t>投标文件与</w:t>
      </w:r>
      <w:r>
        <w:rPr>
          <w:sz w:val="20"/>
          <w:szCs w:val="20"/>
        </w:rPr>
        <w:t xml:space="preserve"> </w:t>
      </w:r>
      <w:r>
        <w:rPr>
          <w:spacing w:val="4"/>
          <w:sz w:val="20"/>
          <w:szCs w:val="20"/>
        </w:rPr>
        <w:t>招标文件的符合性、一致性和合理性，提出监理意见。</w:t>
      </w:r>
      <w:r>
        <w:rPr>
          <w:spacing w:val="3"/>
          <w:sz w:val="20"/>
          <w:szCs w:val="20"/>
        </w:rPr>
        <w:t>监理意见仅供参考，招标方可以综合考</w:t>
      </w:r>
      <w:r>
        <w:rPr>
          <w:sz w:val="20"/>
          <w:szCs w:val="20"/>
        </w:rPr>
        <w:t xml:space="preserve"> </w:t>
      </w:r>
      <w:r>
        <w:rPr>
          <w:spacing w:val="-2"/>
          <w:sz w:val="20"/>
          <w:szCs w:val="20"/>
        </w:rPr>
        <w:t>虑其他专家的意见、商务标的评选结果，最终确定中标单位。</w:t>
      </w:r>
    </w:p>
    <w:p w14:paraId="6DF7F117">
      <w:pPr>
        <w:pStyle w:val="2"/>
        <w:spacing w:before="82" w:line="219" w:lineRule="auto"/>
        <w:ind w:left="780"/>
        <w:rPr>
          <w:sz w:val="20"/>
          <w:szCs w:val="20"/>
        </w:rPr>
      </w:pPr>
      <w:r>
        <w:rPr>
          <w:spacing w:val="1"/>
          <w:sz w:val="20"/>
          <w:szCs w:val="20"/>
        </w:rPr>
        <w:t>(4)对投标单位标书中的质量控制计划进行审查，提出监理意见。</w:t>
      </w:r>
    </w:p>
    <w:p w14:paraId="7C657891">
      <w:pPr>
        <w:pStyle w:val="2"/>
        <w:spacing w:before="73" w:line="262" w:lineRule="auto"/>
        <w:ind w:left="380" w:right="33" w:firstLine="399"/>
        <w:rPr>
          <w:sz w:val="20"/>
          <w:szCs w:val="20"/>
        </w:rPr>
      </w:pPr>
      <w:r>
        <w:rPr>
          <w:spacing w:val="6"/>
          <w:sz w:val="20"/>
          <w:szCs w:val="20"/>
        </w:rPr>
        <w:t>(5)必要的情况下，可以协助业主单位审查投标单位的工程能力，即是否可以</w:t>
      </w:r>
      <w:r>
        <w:rPr>
          <w:spacing w:val="5"/>
          <w:sz w:val="20"/>
          <w:szCs w:val="20"/>
        </w:rPr>
        <w:t>承担得起招</w:t>
      </w:r>
      <w:r>
        <w:rPr>
          <w:sz w:val="20"/>
          <w:szCs w:val="20"/>
        </w:rPr>
        <w:t xml:space="preserve"> </w:t>
      </w:r>
      <w:r>
        <w:rPr>
          <w:spacing w:val="-5"/>
          <w:sz w:val="20"/>
          <w:szCs w:val="20"/>
        </w:rPr>
        <w:t>标内容的建设任务。包括：</w:t>
      </w:r>
    </w:p>
    <w:p w14:paraId="7D202980">
      <w:pPr>
        <w:pStyle w:val="2"/>
        <w:spacing w:before="73" w:line="219" w:lineRule="auto"/>
        <w:ind w:left="780"/>
        <w:rPr>
          <w:sz w:val="20"/>
          <w:szCs w:val="20"/>
        </w:rPr>
      </w:pPr>
      <w:r>
        <w:rPr>
          <w:spacing w:val="2"/>
          <w:sz w:val="20"/>
          <w:szCs w:val="20"/>
        </w:rPr>
        <w:t>●资质文件的充分性和有效性；</w:t>
      </w:r>
    </w:p>
    <w:p w14:paraId="01E3D408">
      <w:pPr>
        <w:pStyle w:val="2"/>
        <w:spacing w:before="92" w:line="219" w:lineRule="auto"/>
        <w:ind w:left="780"/>
        <w:rPr>
          <w:sz w:val="20"/>
          <w:szCs w:val="20"/>
        </w:rPr>
      </w:pPr>
      <w:r>
        <w:rPr>
          <w:sz w:val="20"/>
          <w:szCs w:val="20"/>
        </w:rPr>
        <w:t>●投标单位的技术能力与本工程所需工程技术和特定要求的符合性；</w:t>
      </w:r>
    </w:p>
    <w:p w14:paraId="77825523">
      <w:pPr>
        <w:pStyle w:val="2"/>
        <w:spacing w:before="92" w:line="219" w:lineRule="auto"/>
        <w:ind w:left="780"/>
        <w:rPr>
          <w:sz w:val="20"/>
          <w:szCs w:val="20"/>
        </w:rPr>
      </w:pPr>
      <w:r>
        <w:rPr>
          <w:spacing w:val="1"/>
          <w:sz w:val="20"/>
          <w:szCs w:val="20"/>
        </w:rPr>
        <w:t>●投标单位项目人员的资格与本项目所需工程技术和特定要求的符合性。</w:t>
      </w:r>
    </w:p>
    <w:p w14:paraId="0A11A4D0">
      <w:pPr>
        <w:pStyle w:val="2"/>
        <w:spacing w:before="95" w:line="220" w:lineRule="auto"/>
        <w:ind w:left="780"/>
        <w:rPr>
          <w:sz w:val="20"/>
          <w:szCs w:val="20"/>
        </w:rPr>
      </w:pPr>
      <w:r>
        <w:rPr>
          <w:spacing w:val="2"/>
          <w:sz w:val="20"/>
          <w:szCs w:val="20"/>
        </w:rPr>
        <w:t>(6)如果工程涉及分包，宜协助业主单位对</w:t>
      </w:r>
      <w:r>
        <w:rPr>
          <w:spacing w:val="1"/>
          <w:sz w:val="20"/>
          <w:szCs w:val="20"/>
        </w:rPr>
        <w:t>分包单位进行审查。</w:t>
      </w:r>
    </w:p>
    <w:p w14:paraId="57C2EAF0">
      <w:pPr>
        <w:pStyle w:val="2"/>
        <w:spacing w:before="70" w:line="253" w:lineRule="auto"/>
        <w:ind w:left="380" w:right="39" w:firstLine="399"/>
        <w:rPr>
          <w:sz w:val="20"/>
          <w:szCs w:val="20"/>
        </w:rPr>
      </w:pPr>
      <w:r>
        <w:rPr>
          <w:spacing w:val="6"/>
          <w:sz w:val="20"/>
          <w:szCs w:val="20"/>
        </w:rPr>
        <w:t>(7)监理机构在整个招标阶段的协调工作内容均应被记录，可以</w:t>
      </w:r>
      <w:r>
        <w:rPr>
          <w:spacing w:val="5"/>
          <w:sz w:val="20"/>
          <w:szCs w:val="20"/>
        </w:rPr>
        <w:t>通过会议纪要的形式进行</w:t>
      </w:r>
      <w:r>
        <w:rPr>
          <w:sz w:val="20"/>
          <w:szCs w:val="20"/>
        </w:rPr>
        <w:t xml:space="preserve"> </w:t>
      </w:r>
      <w:r>
        <w:rPr>
          <w:spacing w:val="-3"/>
          <w:sz w:val="20"/>
          <w:szCs w:val="20"/>
        </w:rPr>
        <w:t>记录，协调结果应做工程备忘录。</w:t>
      </w:r>
    </w:p>
    <w:p w14:paraId="77C93C2F">
      <w:pPr>
        <w:pStyle w:val="2"/>
        <w:spacing w:before="63" w:line="257" w:lineRule="auto"/>
        <w:ind w:left="380" w:right="41" w:firstLine="399"/>
        <w:rPr>
          <w:sz w:val="20"/>
          <w:szCs w:val="20"/>
        </w:rPr>
      </w:pPr>
      <w:r>
        <w:rPr>
          <w:spacing w:val="6"/>
          <w:sz w:val="20"/>
          <w:szCs w:val="20"/>
        </w:rPr>
        <w:t>(8)妥善管理招标阶段所产生的与监理相关的文档资料，包</w:t>
      </w:r>
      <w:r>
        <w:rPr>
          <w:spacing w:val="5"/>
          <w:sz w:val="20"/>
          <w:szCs w:val="20"/>
        </w:rPr>
        <w:t>括需求说明、招投标文件和监</w:t>
      </w:r>
      <w:r>
        <w:rPr>
          <w:sz w:val="20"/>
          <w:szCs w:val="20"/>
        </w:rPr>
        <w:t xml:space="preserve"> </w:t>
      </w:r>
      <w:r>
        <w:rPr>
          <w:spacing w:val="-7"/>
          <w:sz w:val="20"/>
          <w:szCs w:val="20"/>
        </w:rPr>
        <w:t>理文档等。</w:t>
      </w:r>
    </w:p>
    <w:p w14:paraId="292BF434">
      <w:pPr>
        <w:pStyle w:val="2"/>
        <w:spacing w:before="73" w:line="270" w:lineRule="auto"/>
        <w:ind w:left="380" w:firstLine="399"/>
        <w:rPr>
          <w:sz w:val="20"/>
          <w:szCs w:val="20"/>
        </w:rPr>
      </w:pPr>
      <w:r>
        <w:rPr>
          <w:spacing w:val="6"/>
          <w:sz w:val="20"/>
          <w:szCs w:val="20"/>
        </w:rPr>
        <w:t>(9)对招标阶段的工作进度提出监理意见，确保招标工作进度不拖延。招</w:t>
      </w:r>
      <w:r>
        <w:rPr>
          <w:spacing w:val="5"/>
          <w:sz w:val="20"/>
          <w:szCs w:val="20"/>
        </w:rPr>
        <w:t>标工作进度是否</w:t>
      </w:r>
      <w:r>
        <w:rPr>
          <w:sz w:val="20"/>
          <w:szCs w:val="20"/>
        </w:rPr>
        <w:t xml:space="preserve"> </w:t>
      </w:r>
      <w:r>
        <w:rPr>
          <w:spacing w:val="-1"/>
          <w:sz w:val="20"/>
          <w:szCs w:val="20"/>
        </w:rPr>
        <w:t>合理，应比对招标投标法相关时间要求，避免时间安排的随意性。监理机构在招标参与过程中，</w:t>
      </w:r>
      <w:r>
        <w:rPr>
          <w:spacing w:val="10"/>
          <w:sz w:val="20"/>
          <w:szCs w:val="20"/>
        </w:rPr>
        <w:t xml:space="preserve"> </w:t>
      </w:r>
      <w:r>
        <w:rPr>
          <w:spacing w:val="-3"/>
          <w:sz w:val="20"/>
          <w:szCs w:val="20"/>
        </w:rPr>
        <w:t>还应注意投标人的进度承诺。</w:t>
      </w:r>
    </w:p>
    <w:p w14:paraId="5DA78E4B">
      <w:pPr>
        <w:pStyle w:val="2"/>
        <w:spacing w:before="81" w:line="219" w:lineRule="auto"/>
        <w:ind w:left="780"/>
        <w:rPr>
          <w:sz w:val="20"/>
          <w:szCs w:val="20"/>
        </w:rPr>
      </w:pPr>
      <w:r>
        <w:rPr>
          <w:spacing w:val="-2"/>
          <w:sz w:val="20"/>
          <w:szCs w:val="20"/>
        </w:rPr>
        <w:t>依据招标投标法的有关规定，招标工作需要关注的时间节点约定的主要条款有：</w:t>
      </w:r>
    </w:p>
    <w:p w14:paraId="484F4126">
      <w:pPr>
        <w:pStyle w:val="2"/>
        <w:spacing w:before="65" w:line="277" w:lineRule="auto"/>
        <w:ind w:left="380" w:right="21" w:firstLine="399"/>
        <w:rPr>
          <w:sz w:val="20"/>
          <w:szCs w:val="20"/>
        </w:rPr>
      </w:pPr>
      <w:r>
        <w:rPr>
          <w:spacing w:val="6"/>
          <w:sz w:val="20"/>
          <w:szCs w:val="20"/>
        </w:rPr>
        <w:t>第二十三条 招标人对已发出的招标文件进行必要的澄清或者修改的，应当在</w:t>
      </w:r>
      <w:r>
        <w:rPr>
          <w:spacing w:val="5"/>
          <w:sz w:val="20"/>
          <w:szCs w:val="20"/>
        </w:rPr>
        <w:t>招标文件要</w:t>
      </w:r>
      <w:r>
        <w:rPr>
          <w:sz w:val="20"/>
          <w:szCs w:val="20"/>
        </w:rPr>
        <w:t xml:space="preserve"> </w:t>
      </w:r>
      <w:r>
        <w:rPr>
          <w:spacing w:val="4"/>
          <w:sz w:val="20"/>
          <w:szCs w:val="20"/>
        </w:rPr>
        <w:t>求提交投标文件截止时间至少十五日前，以书面形式通</w:t>
      </w:r>
      <w:r>
        <w:rPr>
          <w:spacing w:val="3"/>
          <w:sz w:val="20"/>
          <w:szCs w:val="20"/>
        </w:rPr>
        <w:t>知所有招标文件收受人。该澄清或者修</w:t>
      </w:r>
      <w:r>
        <w:rPr>
          <w:sz w:val="20"/>
          <w:szCs w:val="20"/>
        </w:rPr>
        <w:t xml:space="preserve"> </w:t>
      </w:r>
      <w:r>
        <w:rPr>
          <w:spacing w:val="-3"/>
          <w:sz w:val="20"/>
          <w:szCs w:val="20"/>
        </w:rPr>
        <w:t>改的内容为招标文件的组成部分。</w:t>
      </w:r>
    </w:p>
    <w:p w14:paraId="461112EA">
      <w:pPr>
        <w:pStyle w:val="2"/>
        <w:spacing w:before="37" w:line="279" w:lineRule="auto"/>
        <w:ind w:left="380" w:right="38" w:firstLine="399"/>
        <w:jc w:val="both"/>
        <w:rPr>
          <w:sz w:val="20"/>
          <w:szCs w:val="20"/>
        </w:rPr>
      </w:pPr>
      <w:r>
        <w:rPr>
          <w:spacing w:val="6"/>
          <w:sz w:val="20"/>
          <w:szCs w:val="20"/>
        </w:rPr>
        <w:t>第二十四条 招标人应当确定投标人编制投标文件所需要的合理时间；</w:t>
      </w:r>
      <w:r>
        <w:rPr>
          <w:spacing w:val="5"/>
          <w:sz w:val="20"/>
          <w:szCs w:val="20"/>
        </w:rPr>
        <w:t>但是，依法必须进</w:t>
      </w:r>
      <w:r>
        <w:rPr>
          <w:sz w:val="20"/>
          <w:szCs w:val="20"/>
        </w:rPr>
        <w:t xml:space="preserve"> </w:t>
      </w:r>
      <w:r>
        <w:rPr>
          <w:spacing w:val="3"/>
          <w:sz w:val="20"/>
          <w:szCs w:val="20"/>
        </w:rPr>
        <w:t>行招标的项目，自招标文件开始发出之日起至投标人提交投标文件截止之日止，最短不得少于</w:t>
      </w:r>
      <w:r>
        <w:rPr>
          <w:spacing w:val="7"/>
          <w:sz w:val="20"/>
          <w:szCs w:val="20"/>
        </w:rPr>
        <w:t xml:space="preserve"> </w:t>
      </w:r>
      <w:r>
        <w:rPr>
          <w:spacing w:val="-4"/>
          <w:sz w:val="20"/>
          <w:szCs w:val="20"/>
        </w:rPr>
        <w:t>二十日。</w:t>
      </w:r>
    </w:p>
    <w:p w14:paraId="71F6BDE1">
      <w:pPr>
        <w:pStyle w:val="2"/>
        <w:spacing w:before="34" w:line="282" w:lineRule="auto"/>
        <w:ind w:left="380" w:right="7" w:firstLine="399"/>
        <w:rPr>
          <w:sz w:val="20"/>
          <w:szCs w:val="20"/>
        </w:rPr>
      </w:pPr>
      <w:r>
        <w:rPr>
          <w:spacing w:val="6"/>
          <w:sz w:val="20"/>
          <w:szCs w:val="20"/>
        </w:rPr>
        <w:t xml:space="preserve">第四十六条 招标人和中标人应当自中标通知书发出之日起三十日内，按照招标文件和中 </w:t>
      </w:r>
      <w:r>
        <w:rPr>
          <w:spacing w:val="-1"/>
          <w:sz w:val="20"/>
          <w:szCs w:val="20"/>
        </w:rPr>
        <w:t>标人的投标文件订立书面合同。招标人和中标人不得再行订立背离合同实质性内容的其他协议。</w:t>
      </w:r>
    </w:p>
    <w:p w14:paraId="0C7C1B7B">
      <w:pPr>
        <w:pStyle w:val="2"/>
        <w:spacing w:before="29" w:line="253" w:lineRule="auto"/>
        <w:ind w:left="380" w:right="39" w:firstLine="399"/>
        <w:rPr>
          <w:sz w:val="20"/>
          <w:szCs w:val="20"/>
        </w:rPr>
      </w:pPr>
      <w:r>
        <w:rPr>
          <w:spacing w:val="6"/>
          <w:sz w:val="20"/>
          <w:szCs w:val="20"/>
        </w:rPr>
        <w:t>第四十七条 依法必须进行招标的项目，招标人应当自确定中标人之日起十五</w:t>
      </w:r>
      <w:r>
        <w:rPr>
          <w:spacing w:val="5"/>
          <w:sz w:val="20"/>
          <w:szCs w:val="20"/>
        </w:rPr>
        <w:t>日内，向有</w:t>
      </w:r>
      <w:r>
        <w:rPr>
          <w:sz w:val="20"/>
          <w:szCs w:val="20"/>
        </w:rPr>
        <w:t xml:space="preserve"> </w:t>
      </w:r>
      <w:r>
        <w:rPr>
          <w:spacing w:val="-2"/>
          <w:sz w:val="20"/>
          <w:szCs w:val="20"/>
        </w:rPr>
        <w:t>关行政监督部门提交招标投标情况的书面报告。</w:t>
      </w:r>
    </w:p>
    <w:p w14:paraId="7591B784">
      <w:pPr>
        <w:pStyle w:val="2"/>
        <w:spacing w:before="41" w:line="264" w:lineRule="auto"/>
        <w:ind w:left="380" w:right="34" w:firstLine="399"/>
        <w:rPr>
          <w:sz w:val="20"/>
          <w:szCs w:val="20"/>
        </w:rPr>
      </w:pPr>
      <w:r>
        <w:rPr>
          <w:spacing w:val="3"/>
          <w:sz w:val="20"/>
          <w:szCs w:val="20"/>
        </w:rPr>
        <w:t>(10)与业主单位及相关单位建立信息沟通机制，保持各方项目目标、范围和业务需求等理</w:t>
      </w:r>
      <w:r>
        <w:rPr>
          <w:spacing w:val="2"/>
          <w:sz w:val="20"/>
          <w:szCs w:val="20"/>
        </w:rPr>
        <w:t xml:space="preserve"> </w:t>
      </w:r>
      <w:r>
        <w:rPr>
          <w:spacing w:val="3"/>
          <w:sz w:val="20"/>
          <w:szCs w:val="20"/>
        </w:rPr>
        <w:t>解的一致性。信息沟通机制可以根据工程项目特点、各单位的项目管理要求等来确定，沟通的</w:t>
      </w:r>
      <w:r>
        <w:rPr>
          <w:spacing w:val="11"/>
          <w:sz w:val="20"/>
          <w:szCs w:val="20"/>
        </w:rPr>
        <w:t xml:space="preserve"> </w:t>
      </w:r>
      <w:r>
        <w:rPr>
          <w:spacing w:val="-1"/>
          <w:sz w:val="20"/>
          <w:szCs w:val="20"/>
        </w:rPr>
        <w:t>形式可以是不定期的、非正式的电话、邮件沟通，也可以是正式的书面意见或者会</w:t>
      </w:r>
      <w:r>
        <w:rPr>
          <w:spacing w:val="-2"/>
          <w:sz w:val="20"/>
          <w:szCs w:val="20"/>
        </w:rPr>
        <w:t>议。</w:t>
      </w:r>
    </w:p>
    <w:p w14:paraId="4688863D">
      <w:pPr>
        <w:pStyle w:val="2"/>
        <w:spacing w:before="83" w:line="251" w:lineRule="auto"/>
        <w:ind w:left="349" w:right="18" w:firstLine="430"/>
        <w:rPr>
          <w:sz w:val="20"/>
          <w:szCs w:val="20"/>
        </w:rPr>
      </w:pPr>
      <w:r>
        <w:rPr>
          <w:spacing w:val="9"/>
          <w:sz w:val="20"/>
          <w:szCs w:val="20"/>
        </w:rPr>
        <w:t>(11)可按照业主单位的要求，安排人员见证开标过程，见证流</w:t>
      </w:r>
      <w:r>
        <w:rPr>
          <w:spacing w:val="8"/>
          <w:sz w:val="20"/>
          <w:szCs w:val="20"/>
        </w:rPr>
        <w:t>程合规性、开标情况、专</w:t>
      </w:r>
      <w:r>
        <w:rPr>
          <w:sz w:val="20"/>
          <w:szCs w:val="20"/>
        </w:rPr>
        <w:t xml:space="preserve"> </w:t>
      </w:r>
      <w:r>
        <w:rPr>
          <w:spacing w:val="14"/>
          <w:sz w:val="20"/>
          <w:szCs w:val="20"/>
        </w:rPr>
        <w:t>家评议情况、是否存在不公正现象等，开标结束后，监理单位根据见证情况出具专题监理</w:t>
      </w:r>
      <w:r>
        <w:rPr>
          <w:spacing w:val="10"/>
          <w:sz w:val="20"/>
          <w:szCs w:val="20"/>
        </w:rPr>
        <w:t xml:space="preserve"> </w:t>
      </w:r>
      <w:r>
        <w:rPr>
          <w:spacing w:val="3"/>
          <w:sz w:val="20"/>
          <w:szCs w:val="20"/>
        </w:rPr>
        <w:t>报告。</w:t>
      </w:r>
    </w:p>
    <w:p w14:paraId="5DEB4002">
      <w:pPr>
        <w:spacing w:line="251" w:lineRule="auto"/>
        <w:rPr>
          <w:sz w:val="20"/>
          <w:szCs w:val="20"/>
        </w:rPr>
        <w:sectPr>
          <w:pgSz w:w="10300" w:h="13400"/>
          <w:pgMar w:top="400" w:right="1050" w:bottom="400" w:left="499" w:header="0" w:footer="0" w:gutter="0"/>
          <w:cols w:space="720" w:num="1"/>
        </w:sectPr>
      </w:pPr>
    </w:p>
    <w:p w14:paraId="130AE4BE">
      <w:pPr>
        <w:pStyle w:val="2"/>
        <w:spacing w:before="96" w:line="219" w:lineRule="auto"/>
        <w:jc w:val="right"/>
        <w:rPr>
          <w:rFonts w:ascii="Times New Roman" w:hAnsi="Times New Roman" w:eastAsia="Times New Roman" w:cs="Times New Roman"/>
          <w:sz w:val="19"/>
          <w:szCs w:val="19"/>
        </w:rPr>
      </w:pPr>
      <w:r>
        <w:rPr>
          <w:spacing w:val="-1"/>
          <w:sz w:val="19"/>
          <w:szCs w:val="19"/>
        </w:rPr>
        <w:t>第20章 信息系统工程监理基础工作</w:t>
      </w:r>
      <w:r>
        <w:rPr>
          <w:spacing w:val="13"/>
          <w:sz w:val="19"/>
          <w:szCs w:val="19"/>
        </w:rPr>
        <w:t xml:space="preserve">      </w:t>
      </w:r>
      <w:r>
        <w:rPr>
          <w:rFonts w:ascii="Times New Roman" w:hAnsi="Times New Roman" w:eastAsia="Times New Roman" w:cs="Times New Roman"/>
          <w:spacing w:val="-1"/>
          <w:position w:val="1"/>
          <w:sz w:val="19"/>
          <w:szCs w:val="19"/>
        </w:rPr>
        <w:t>449</w:t>
      </w:r>
    </w:p>
    <w:p w14:paraId="4C342597">
      <w:pPr>
        <w:spacing w:line="308" w:lineRule="auto"/>
        <w:rPr>
          <w:rFonts w:ascii="Arial"/>
          <w:sz w:val="21"/>
        </w:rPr>
      </w:pPr>
    </w:p>
    <w:p w14:paraId="7A64B44E">
      <w:pPr>
        <w:pStyle w:val="2"/>
        <w:spacing w:before="62" w:line="222" w:lineRule="auto"/>
        <w:ind w:left="392"/>
        <w:rPr>
          <w:rFonts w:ascii="黑体" w:hAnsi="黑体" w:eastAsia="黑体" w:cs="黑体"/>
          <w:sz w:val="19"/>
          <w:szCs w:val="19"/>
        </w:rPr>
      </w:pPr>
      <w:bookmarkStart w:id="706" w:name="bookmark691"/>
      <w:bookmarkEnd w:id="706"/>
      <w:r>
        <w:rPr>
          <w:b/>
          <w:bCs/>
          <w:color w:val="008CDE"/>
          <w:spacing w:val="8"/>
          <w:sz w:val="19"/>
          <w:szCs w:val="19"/>
        </w:rPr>
        <w:t>4.</w:t>
      </w:r>
      <w:r>
        <w:rPr>
          <w:rFonts w:ascii="黑体" w:hAnsi="黑体" w:eastAsia="黑体" w:cs="黑体"/>
          <w:b/>
          <w:bCs/>
          <w:color w:val="008CDE"/>
          <w:spacing w:val="8"/>
          <w:sz w:val="19"/>
          <w:szCs w:val="19"/>
        </w:rPr>
        <w:t>招标咨询工作</w:t>
      </w:r>
    </w:p>
    <w:p w14:paraId="2C21514E">
      <w:pPr>
        <w:pStyle w:val="2"/>
        <w:spacing w:before="175" w:line="219" w:lineRule="auto"/>
        <w:ind w:left="389"/>
        <w:rPr>
          <w:sz w:val="19"/>
          <w:szCs w:val="19"/>
        </w:rPr>
      </w:pPr>
      <w:r>
        <w:rPr>
          <w:spacing w:val="5"/>
          <w:sz w:val="19"/>
          <w:szCs w:val="19"/>
        </w:rPr>
        <w:t>招标咨询工作的具体内容包括：</w:t>
      </w:r>
    </w:p>
    <w:p w14:paraId="71F6E06F">
      <w:pPr>
        <w:pStyle w:val="2"/>
        <w:spacing w:before="72" w:line="270" w:lineRule="auto"/>
        <w:ind w:right="277" w:firstLine="389"/>
        <w:rPr>
          <w:sz w:val="19"/>
          <w:szCs w:val="19"/>
        </w:rPr>
      </w:pPr>
      <w:r>
        <w:rPr>
          <w:spacing w:val="16"/>
          <w:sz w:val="19"/>
          <w:szCs w:val="19"/>
        </w:rPr>
        <w:t>(1)向业主单位提供与项目有关的法律法规和标准等信息。这些信息是监理工作的基础，</w:t>
      </w:r>
      <w:r>
        <w:rPr>
          <w:spacing w:val="8"/>
          <w:sz w:val="19"/>
          <w:szCs w:val="19"/>
        </w:rPr>
        <w:t xml:space="preserve"> </w:t>
      </w:r>
      <w:r>
        <w:rPr>
          <w:spacing w:val="9"/>
          <w:sz w:val="19"/>
          <w:szCs w:val="19"/>
        </w:rPr>
        <w:t>监理机构应及时识别相关法律、法规和标准，并提供给业主单位，确保监理工</w:t>
      </w:r>
      <w:r>
        <w:rPr>
          <w:spacing w:val="8"/>
          <w:sz w:val="19"/>
          <w:szCs w:val="19"/>
        </w:rPr>
        <w:t>作有理有据。</w:t>
      </w:r>
    </w:p>
    <w:p w14:paraId="0BEFE974">
      <w:pPr>
        <w:pStyle w:val="2"/>
        <w:spacing w:before="75" w:line="280" w:lineRule="auto"/>
        <w:ind w:right="320" w:firstLine="389"/>
        <w:rPr>
          <w:sz w:val="19"/>
          <w:szCs w:val="19"/>
        </w:rPr>
      </w:pPr>
      <w:r>
        <w:rPr>
          <w:spacing w:val="15"/>
          <w:sz w:val="19"/>
          <w:szCs w:val="19"/>
        </w:rPr>
        <w:t>(2)进行市场调查和询价，起草合同条款，为业主单位进行商务谈判提供咨询服务，协助</w:t>
      </w:r>
      <w:r>
        <w:rPr>
          <w:spacing w:val="5"/>
          <w:sz w:val="19"/>
          <w:szCs w:val="19"/>
        </w:rPr>
        <w:t xml:space="preserve"> </w:t>
      </w:r>
      <w:r>
        <w:rPr>
          <w:spacing w:val="13"/>
          <w:sz w:val="19"/>
          <w:szCs w:val="19"/>
        </w:rPr>
        <w:t>业主单位与承建单位签订合理、有效的承建合同，并为业主</w:t>
      </w:r>
      <w:r>
        <w:rPr>
          <w:spacing w:val="12"/>
          <w:sz w:val="19"/>
          <w:szCs w:val="19"/>
        </w:rPr>
        <w:t>单位在合同签订过程中遇到的问题</w:t>
      </w:r>
      <w:r>
        <w:rPr>
          <w:sz w:val="19"/>
          <w:szCs w:val="19"/>
        </w:rPr>
        <w:t xml:space="preserve"> </w:t>
      </w:r>
      <w:r>
        <w:rPr>
          <w:spacing w:val="3"/>
          <w:sz w:val="19"/>
          <w:szCs w:val="19"/>
        </w:rPr>
        <w:t>提供咨询服务。</w:t>
      </w:r>
    </w:p>
    <w:p w14:paraId="09F54A95">
      <w:pPr>
        <w:pStyle w:val="2"/>
        <w:spacing w:before="86" w:line="269" w:lineRule="auto"/>
        <w:ind w:right="343" w:firstLine="389"/>
        <w:rPr>
          <w:sz w:val="19"/>
          <w:szCs w:val="19"/>
        </w:rPr>
      </w:pPr>
      <w:r>
        <w:rPr>
          <w:spacing w:val="15"/>
          <w:sz w:val="19"/>
          <w:szCs w:val="19"/>
        </w:rPr>
        <w:t>(3)协助业主单位根据项目预算，在招标文件中</w:t>
      </w:r>
      <w:r>
        <w:rPr>
          <w:spacing w:val="14"/>
          <w:sz w:val="19"/>
          <w:szCs w:val="19"/>
        </w:rPr>
        <w:t>对项目的目标、范围、内容和产品及服务</w:t>
      </w:r>
      <w:r>
        <w:rPr>
          <w:sz w:val="19"/>
          <w:szCs w:val="19"/>
        </w:rPr>
        <w:t xml:space="preserve"> </w:t>
      </w:r>
      <w:r>
        <w:rPr>
          <w:spacing w:val="6"/>
          <w:sz w:val="19"/>
          <w:szCs w:val="19"/>
        </w:rPr>
        <w:t>的技术要求、提供时间等做出明确说明。</w:t>
      </w:r>
    </w:p>
    <w:p w14:paraId="30FF667D">
      <w:pPr>
        <w:pStyle w:val="2"/>
        <w:spacing w:before="75" w:line="270" w:lineRule="auto"/>
        <w:ind w:right="322" w:firstLine="389"/>
        <w:rPr>
          <w:sz w:val="19"/>
          <w:szCs w:val="19"/>
        </w:rPr>
      </w:pPr>
      <w:r>
        <w:rPr>
          <w:spacing w:val="15"/>
          <w:sz w:val="19"/>
          <w:szCs w:val="19"/>
        </w:rPr>
        <w:t>(4)根据业主单位已确认的预算情况及建设需求，对采购的产品、服务的级别及质量标准</w:t>
      </w:r>
      <w:r>
        <w:rPr>
          <w:spacing w:val="3"/>
          <w:sz w:val="19"/>
          <w:szCs w:val="19"/>
        </w:rPr>
        <w:t xml:space="preserve"> </w:t>
      </w:r>
      <w:r>
        <w:rPr>
          <w:spacing w:val="5"/>
          <w:sz w:val="19"/>
          <w:szCs w:val="19"/>
        </w:rPr>
        <w:t>向业主单位提供咨询意见。</w:t>
      </w:r>
    </w:p>
    <w:p w14:paraId="074698B4">
      <w:pPr>
        <w:pStyle w:val="2"/>
        <w:spacing w:before="84" w:line="219" w:lineRule="auto"/>
        <w:ind w:left="389"/>
        <w:rPr>
          <w:sz w:val="19"/>
          <w:szCs w:val="19"/>
        </w:rPr>
      </w:pPr>
      <w:r>
        <w:rPr>
          <w:spacing w:val="10"/>
          <w:sz w:val="19"/>
          <w:szCs w:val="19"/>
        </w:rPr>
        <w:t>(5)对业主单位项目资金使用情况提供咨询意见，尽量</w:t>
      </w:r>
      <w:r>
        <w:rPr>
          <w:spacing w:val="9"/>
          <w:sz w:val="19"/>
          <w:szCs w:val="19"/>
        </w:rPr>
        <w:t>做到“好钢用在刀刃上”。</w:t>
      </w:r>
    </w:p>
    <w:p w14:paraId="3FCB2144">
      <w:pPr>
        <w:pStyle w:val="2"/>
        <w:spacing w:before="193" w:line="222" w:lineRule="auto"/>
        <w:ind w:left="392"/>
        <w:rPr>
          <w:rFonts w:ascii="黑体" w:hAnsi="黑体" w:eastAsia="黑体" w:cs="黑体"/>
          <w:sz w:val="19"/>
          <w:szCs w:val="19"/>
        </w:rPr>
      </w:pPr>
      <w:r>
        <w:rPr>
          <w:b/>
          <w:bCs/>
          <w:color w:val="008DE0"/>
          <w:spacing w:val="7"/>
          <w:sz w:val="19"/>
          <w:szCs w:val="19"/>
        </w:rPr>
        <w:t>5.</w:t>
      </w:r>
      <w:r>
        <w:rPr>
          <w:rFonts w:ascii="黑体" w:hAnsi="黑体" w:eastAsia="黑体" w:cs="黑体"/>
          <w:b/>
          <w:bCs/>
          <w:color w:val="008DE0"/>
          <w:spacing w:val="7"/>
          <w:sz w:val="19"/>
          <w:szCs w:val="19"/>
        </w:rPr>
        <w:t>承建合同签订的监理</w:t>
      </w:r>
    </w:p>
    <w:p w14:paraId="0D5F1DBA">
      <w:pPr>
        <w:pStyle w:val="2"/>
        <w:spacing w:before="145" w:line="219" w:lineRule="auto"/>
        <w:ind w:left="389"/>
        <w:rPr>
          <w:sz w:val="19"/>
          <w:szCs w:val="19"/>
        </w:rPr>
      </w:pPr>
      <w:r>
        <w:rPr>
          <w:spacing w:val="6"/>
          <w:sz w:val="19"/>
          <w:szCs w:val="19"/>
        </w:rPr>
        <w:t>承建合同签订的监理工作具体包括：</w:t>
      </w:r>
    </w:p>
    <w:p w14:paraId="01ADA3FA">
      <w:pPr>
        <w:pStyle w:val="2"/>
        <w:spacing w:before="83" w:line="219" w:lineRule="auto"/>
        <w:ind w:left="389"/>
        <w:rPr>
          <w:sz w:val="19"/>
          <w:szCs w:val="19"/>
        </w:rPr>
      </w:pPr>
      <w:r>
        <w:rPr>
          <w:spacing w:val="11"/>
          <w:sz w:val="19"/>
          <w:szCs w:val="19"/>
        </w:rPr>
        <w:t>(1)参与承建合同的签订过程，在承建合同中应明确要求承建单位接受监理机构的监理。</w:t>
      </w:r>
    </w:p>
    <w:p w14:paraId="19936DD8">
      <w:pPr>
        <w:pStyle w:val="2"/>
        <w:spacing w:before="96" w:line="219" w:lineRule="auto"/>
        <w:ind w:left="389"/>
        <w:rPr>
          <w:sz w:val="19"/>
          <w:szCs w:val="19"/>
        </w:rPr>
      </w:pPr>
      <w:r>
        <w:rPr>
          <w:spacing w:val="11"/>
          <w:sz w:val="19"/>
          <w:szCs w:val="19"/>
        </w:rPr>
        <w:t>(2)如果软件工程项目涉及分包，应协助业主单位要求承建单位负责对分包单位进行管理。</w:t>
      </w:r>
    </w:p>
    <w:p w14:paraId="326B6BF2">
      <w:pPr>
        <w:pStyle w:val="2"/>
        <w:spacing w:before="85" w:line="219" w:lineRule="auto"/>
        <w:ind w:left="389"/>
        <w:rPr>
          <w:sz w:val="19"/>
          <w:szCs w:val="19"/>
        </w:rPr>
      </w:pPr>
      <w:r>
        <w:rPr>
          <w:spacing w:val="11"/>
          <w:sz w:val="19"/>
          <w:szCs w:val="19"/>
        </w:rPr>
        <w:t>(3)建议业主单位组织与合同执行或管理相关的部门参与合同评审工作。</w:t>
      </w:r>
    </w:p>
    <w:p w14:paraId="0ABF9BFE">
      <w:pPr>
        <w:pStyle w:val="2"/>
        <w:spacing w:before="84" w:line="265" w:lineRule="auto"/>
        <w:ind w:right="257" w:firstLine="389"/>
        <w:rPr>
          <w:sz w:val="19"/>
          <w:szCs w:val="19"/>
        </w:rPr>
      </w:pPr>
      <w:r>
        <w:rPr>
          <w:spacing w:val="12"/>
          <w:sz w:val="19"/>
          <w:szCs w:val="19"/>
        </w:rPr>
        <w:t>(4)协助业主单位对承建合同进行评审，根据下列准则，对</w:t>
      </w:r>
      <w:r>
        <w:rPr>
          <w:spacing w:val="11"/>
          <w:sz w:val="19"/>
          <w:szCs w:val="19"/>
        </w:rPr>
        <w:t>合同的相关内容提出监理意见，</w:t>
      </w:r>
      <w:r>
        <w:rPr>
          <w:sz w:val="19"/>
          <w:szCs w:val="19"/>
        </w:rPr>
        <w:t xml:space="preserve"> </w:t>
      </w:r>
      <w:r>
        <w:rPr>
          <w:spacing w:val="7"/>
          <w:sz w:val="19"/>
          <w:szCs w:val="19"/>
        </w:rPr>
        <w:t>合同审核要点及关键条款关注点如下：</w:t>
      </w:r>
    </w:p>
    <w:p w14:paraId="264E94D6">
      <w:pPr>
        <w:pStyle w:val="2"/>
        <w:spacing w:before="74" w:line="270" w:lineRule="auto"/>
        <w:ind w:left="679" w:right="323" w:hanging="290"/>
        <w:rPr>
          <w:sz w:val="19"/>
          <w:szCs w:val="19"/>
        </w:rPr>
      </w:pPr>
      <w:r>
        <w:rPr>
          <w:spacing w:val="13"/>
          <w:sz w:val="19"/>
          <w:szCs w:val="19"/>
        </w:rPr>
        <w:t>●招标文件与投标文件的一致性，例如，建设任务、关键技术指标、工期约定、人员投入</w:t>
      </w:r>
      <w:r>
        <w:rPr>
          <w:sz w:val="19"/>
          <w:szCs w:val="19"/>
        </w:rPr>
        <w:t xml:space="preserve"> </w:t>
      </w:r>
      <w:r>
        <w:rPr>
          <w:spacing w:val="7"/>
          <w:sz w:val="19"/>
          <w:szCs w:val="19"/>
        </w:rPr>
        <w:t>等要求和投标文件是否一致，若有差异，合同应再次明确约定；</w:t>
      </w:r>
    </w:p>
    <w:p w14:paraId="079384F3">
      <w:pPr>
        <w:pStyle w:val="2"/>
        <w:spacing w:before="95" w:line="219" w:lineRule="auto"/>
        <w:ind w:left="389"/>
        <w:rPr>
          <w:sz w:val="19"/>
          <w:szCs w:val="19"/>
        </w:rPr>
      </w:pPr>
      <w:r>
        <w:rPr>
          <w:spacing w:val="11"/>
          <w:sz w:val="19"/>
          <w:szCs w:val="19"/>
        </w:rPr>
        <w:t>●符合法律法规和标准的要求；</w:t>
      </w:r>
    </w:p>
    <w:p w14:paraId="10B3FA65">
      <w:pPr>
        <w:pStyle w:val="2"/>
        <w:spacing w:before="95" w:line="219" w:lineRule="auto"/>
        <w:ind w:left="389"/>
        <w:rPr>
          <w:sz w:val="19"/>
          <w:szCs w:val="19"/>
        </w:rPr>
      </w:pPr>
      <w:r>
        <w:rPr>
          <w:spacing w:val="11"/>
          <w:sz w:val="19"/>
          <w:szCs w:val="19"/>
        </w:rPr>
        <w:t>●明确了建设范围和建设内容；</w:t>
      </w:r>
    </w:p>
    <w:p w14:paraId="593E8882">
      <w:pPr>
        <w:pStyle w:val="2"/>
        <w:spacing w:before="94" w:line="219" w:lineRule="auto"/>
        <w:ind w:left="389"/>
        <w:rPr>
          <w:sz w:val="19"/>
          <w:szCs w:val="19"/>
        </w:rPr>
      </w:pPr>
      <w:r>
        <w:rPr>
          <w:spacing w:val="11"/>
          <w:sz w:val="19"/>
          <w:szCs w:val="19"/>
        </w:rPr>
        <w:t>●明确了质量要求，包括功能要求和性能要求、文档</w:t>
      </w:r>
      <w:r>
        <w:rPr>
          <w:spacing w:val="10"/>
          <w:sz w:val="19"/>
          <w:szCs w:val="19"/>
        </w:rPr>
        <w:t>要求；</w:t>
      </w:r>
    </w:p>
    <w:p w14:paraId="42D5E488">
      <w:pPr>
        <w:pStyle w:val="2"/>
        <w:spacing w:before="93" w:line="219" w:lineRule="auto"/>
        <w:ind w:left="389"/>
        <w:rPr>
          <w:sz w:val="19"/>
          <w:szCs w:val="19"/>
        </w:rPr>
      </w:pPr>
      <w:r>
        <w:rPr>
          <w:spacing w:val="11"/>
          <w:sz w:val="19"/>
          <w:szCs w:val="19"/>
        </w:rPr>
        <w:t>●明确了质量责任和改进机制；</w:t>
      </w:r>
    </w:p>
    <w:p w14:paraId="3B7DF03B">
      <w:pPr>
        <w:pStyle w:val="2"/>
        <w:spacing w:before="96" w:line="219" w:lineRule="auto"/>
        <w:ind w:left="389"/>
        <w:rPr>
          <w:sz w:val="19"/>
          <w:szCs w:val="19"/>
        </w:rPr>
      </w:pPr>
      <w:r>
        <w:rPr>
          <w:spacing w:val="10"/>
          <w:sz w:val="19"/>
          <w:szCs w:val="19"/>
        </w:rPr>
        <w:t>●明确了总体进度和阶段进度要求；</w:t>
      </w:r>
    </w:p>
    <w:p w14:paraId="0538792E">
      <w:pPr>
        <w:pStyle w:val="2"/>
        <w:spacing w:before="94" w:line="219" w:lineRule="auto"/>
        <w:ind w:left="389"/>
        <w:rPr>
          <w:sz w:val="19"/>
          <w:szCs w:val="19"/>
        </w:rPr>
      </w:pPr>
      <w:r>
        <w:rPr>
          <w:spacing w:val="11"/>
          <w:sz w:val="19"/>
          <w:szCs w:val="19"/>
        </w:rPr>
        <w:t>●划分和界定了工程的里程碑，并作为工程阶段性付款的依据；</w:t>
      </w:r>
    </w:p>
    <w:p w14:paraId="76D3C337">
      <w:pPr>
        <w:pStyle w:val="2"/>
        <w:spacing w:before="76" w:line="220" w:lineRule="auto"/>
        <w:ind w:left="389"/>
        <w:rPr>
          <w:sz w:val="19"/>
          <w:szCs w:val="19"/>
        </w:rPr>
      </w:pPr>
      <w:r>
        <w:rPr>
          <w:spacing w:val="11"/>
          <w:sz w:val="19"/>
          <w:szCs w:val="19"/>
        </w:rPr>
        <w:t>●规定了处理变更的必要规程；</w:t>
      </w:r>
    </w:p>
    <w:p w14:paraId="0277CD6B">
      <w:pPr>
        <w:pStyle w:val="2"/>
        <w:spacing w:before="93" w:line="219" w:lineRule="auto"/>
        <w:ind w:left="389"/>
        <w:rPr>
          <w:sz w:val="19"/>
          <w:szCs w:val="19"/>
        </w:rPr>
      </w:pPr>
      <w:r>
        <w:rPr>
          <w:spacing w:val="11"/>
          <w:sz w:val="19"/>
          <w:szCs w:val="19"/>
        </w:rPr>
        <w:t>●规定了相关各方接口与合作的规程、范围和费用支付方式；</w:t>
      </w:r>
    </w:p>
    <w:p w14:paraId="27B4D837">
      <w:pPr>
        <w:pStyle w:val="2"/>
        <w:spacing w:before="95" w:line="219" w:lineRule="auto"/>
        <w:ind w:left="389"/>
        <w:rPr>
          <w:sz w:val="19"/>
          <w:szCs w:val="19"/>
        </w:rPr>
      </w:pPr>
      <w:r>
        <w:rPr>
          <w:spacing w:val="10"/>
          <w:sz w:val="19"/>
          <w:szCs w:val="19"/>
        </w:rPr>
        <w:t>●明确了系统测试标准和测试通过要求；</w:t>
      </w:r>
    </w:p>
    <w:p w14:paraId="4CD54F0C">
      <w:pPr>
        <w:pStyle w:val="2"/>
        <w:spacing w:before="95" w:line="219" w:lineRule="auto"/>
        <w:ind w:left="389"/>
        <w:rPr>
          <w:sz w:val="19"/>
          <w:szCs w:val="19"/>
        </w:rPr>
      </w:pPr>
      <w:r>
        <w:rPr>
          <w:spacing w:val="11"/>
          <w:sz w:val="19"/>
          <w:szCs w:val="19"/>
        </w:rPr>
        <w:t>●明确了验收约定和验收要求；</w:t>
      </w:r>
    </w:p>
    <w:p w14:paraId="60850B25">
      <w:pPr>
        <w:pStyle w:val="2"/>
        <w:spacing w:before="94" w:line="219" w:lineRule="auto"/>
        <w:ind w:left="389"/>
        <w:rPr>
          <w:sz w:val="19"/>
          <w:szCs w:val="19"/>
        </w:rPr>
      </w:pPr>
      <w:r>
        <w:rPr>
          <w:spacing w:val="11"/>
          <w:sz w:val="19"/>
          <w:szCs w:val="19"/>
        </w:rPr>
        <w:t>●明确了安全性和保密性要求；</w:t>
      </w:r>
    </w:p>
    <w:p w14:paraId="201E8C9B">
      <w:pPr>
        <w:pStyle w:val="2"/>
        <w:spacing w:before="95" w:line="219" w:lineRule="auto"/>
        <w:ind w:left="389"/>
        <w:rPr>
          <w:sz w:val="19"/>
          <w:szCs w:val="19"/>
        </w:rPr>
      </w:pPr>
      <w:r>
        <w:rPr>
          <w:spacing w:val="7"/>
          <w:sz w:val="19"/>
          <w:szCs w:val="19"/>
        </w:rPr>
        <w:t>●</w:t>
      </w:r>
      <w:r>
        <w:rPr>
          <w:spacing w:val="-49"/>
          <w:sz w:val="19"/>
          <w:szCs w:val="19"/>
        </w:rPr>
        <w:t xml:space="preserve"> </w:t>
      </w:r>
      <w:r>
        <w:rPr>
          <w:spacing w:val="7"/>
          <w:sz w:val="19"/>
          <w:szCs w:val="19"/>
        </w:rPr>
        <w:t>明确了知识产权要求；</w:t>
      </w:r>
    </w:p>
    <w:p w14:paraId="0B20CABA">
      <w:pPr>
        <w:pStyle w:val="2"/>
        <w:spacing w:before="83" w:line="219" w:lineRule="auto"/>
        <w:ind w:left="389"/>
        <w:rPr>
          <w:sz w:val="19"/>
          <w:szCs w:val="19"/>
        </w:rPr>
      </w:pPr>
      <w:r>
        <w:rPr>
          <w:spacing w:val="11"/>
          <w:sz w:val="19"/>
          <w:szCs w:val="19"/>
        </w:rPr>
        <w:t>●明确了监理机构在质量控制、协调处理、工程款支付等重要工作中的作用；</w:t>
      </w:r>
    </w:p>
    <w:p w14:paraId="34B9B302">
      <w:pPr>
        <w:pStyle w:val="2"/>
        <w:spacing w:before="96" w:line="219" w:lineRule="auto"/>
        <w:ind w:left="389"/>
        <w:rPr>
          <w:sz w:val="19"/>
          <w:szCs w:val="19"/>
        </w:rPr>
      </w:pPr>
      <w:r>
        <w:rPr>
          <w:spacing w:val="11"/>
          <w:sz w:val="19"/>
          <w:szCs w:val="19"/>
        </w:rPr>
        <w:t>●明确关于合同争议的处理方式；</w:t>
      </w:r>
    </w:p>
    <w:p w14:paraId="6DDFC39F">
      <w:pPr>
        <w:pStyle w:val="2"/>
        <w:spacing w:before="84" w:line="219" w:lineRule="auto"/>
        <w:ind w:left="389"/>
        <w:rPr>
          <w:sz w:val="19"/>
          <w:szCs w:val="19"/>
        </w:rPr>
      </w:pPr>
      <w:r>
        <w:rPr>
          <w:spacing w:val="12"/>
          <w:sz w:val="19"/>
          <w:szCs w:val="19"/>
        </w:rPr>
        <w:t>●检查合同中测试标准、验收要求和质量责任条款的合规性。</w:t>
      </w:r>
    </w:p>
    <w:p w14:paraId="69DF49C1">
      <w:pPr>
        <w:spacing w:line="219" w:lineRule="auto"/>
        <w:rPr>
          <w:sz w:val="19"/>
          <w:szCs w:val="19"/>
        </w:rPr>
        <w:sectPr>
          <w:pgSz w:w="10290" w:h="13320"/>
          <w:pgMar w:top="400" w:right="548" w:bottom="400" w:left="1109" w:header="0" w:footer="0" w:gutter="0"/>
          <w:cols w:space="720" w:num="1"/>
        </w:sectPr>
      </w:pPr>
    </w:p>
    <w:p w14:paraId="6499ED40">
      <w:pPr>
        <w:pStyle w:val="2"/>
        <w:spacing w:before="118" w:line="219" w:lineRule="auto"/>
        <w:rPr>
          <w:sz w:val="20"/>
          <w:szCs w:val="20"/>
        </w:rPr>
      </w:pPr>
      <w:r>
        <w:rPr>
          <w:rFonts w:ascii="Times New Roman" w:hAnsi="Times New Roman" w:eastAsia="Times New Roman" w:cs="Times New Roman"/>
          <w:spacing w:val="-3"/>
          <w:sz w:val="20"/>
          <w:szCs w:val="20"/>
        </w:rPr>
        <w:t>450</w:t>
      </w:r>
      <w:r>
        <w:rPr>
          <w:rFonts w:ascii="Times New Roman" w:hAnsi="Times New Roman" w:eastAsia="Times New Roman" w:cs="Times New Roman"/>
          <w:spacing w:val="3"/>
          <w:sz w:val="20"/>
          <w:szCs w:val="20"/>
        </w:rPr>
        <w:t xml:space="preserve">             </w:t>
      </w:r>
      <w:r>
        <w:rPr>
          <w:spacing w:val="-3"/>
          <w:sz w:val="20"/>
          <w:szCs w:val="20"/>
        </w:rPr>
        <w:t>信息系统监理师教程(第2版)</w:t>
      </w:r>
    </w:p>
    <w:p w14:paraId="0161211A">
      <w:pPr>
        <w:spacing w:line="286" w:lineRule="auto"/>
        <w:rPr>
          <w:rFonts w:ascii="Arial"/>
          <w:sz w:val="21"/>
        </w:rPr>
      </w:pPr>
    </w:p>
    <w:p w14:paraId="1C577D4B">
      <w:pPr>
        <w:pStyle w:val="2"/>
        <w:spacing w:before="65" w:line="276" w:lineRule="auto"/>
        <w:ind w:left="379" w:right="51" w:firstLine="390"/>
        <w:rPr>
          <w:sz w:val="20"/>
          <w:szCs w:val="20"/>
        </w:rPr>
      </w:pPr>
      <w:r>
        <w:rPr>
          <w:spacing w:val="6"/>
          <w:sz w:val="20"/>
          <w:szCs w:val="20"/>
        </w:rPr>
        <w:t>(5)建议业主单位在承建合同中明确项目阶段划分及其质量和进度要求，并以此作为项目</w:t>
      </w:r>
      <w:r>
        <w:rPr>
          <w:spacing w:val="17"/>
          <w:sz w:val="20"/>
          <w:szCs w:val="20"/>
        </w:rPr>
        <w:t xml:space="preserve"> </w:t>
      </w:r>
      <w:r>
        <w:rPr>
          <w:spacing w:val="4"/>
          <w:sz w:val="20"/>
          <w:szCs w:val="20"/>
        </w:rPr>
        <w:t>阶段性付款依据。阶段性付款制度是控制项目进度和投资的有效手段，监理机</w:t>
      </w:r>
      <w:r>
        <w:rPr>
          <w:spacing w:val="3"/>
          <w:sz w:val="20"/>
          <w:szCs w:val="20"/>
        </w:rPr>
        <w:t>构应向业主单位</w:t>
      </w:r>
      <w:r>
        <w:rPr>
          <w:sz w:val="20"/>
          <w:szCs w:val="20"/>
        </w:rPr>
        <w:t xml:space="preserve"> </w:t>
      </w:r>
      <w:r>
        <w:rPr>
          <w:spacing w:val="-2"/>
          <w:sz w:val="20"/>
          <w:szCs w:val="20"/>
        </w:rPr>
        <w:t>建议一个合理的项目阶段划分，以便确定工程款的支付进度。</w:t>
      </w:r>
    </w:p>
    <w:p w14:paraId="6C5DA0B4">
      <w:pPr>
        <w:pStyle w:val="2"/>
        <w:spacing w:before="82" w:line="270" w:lineRule="auto"/>
        <w:ind w:left="379" w:right="86" w:firstLine="390"/>
        <w:rPr>
          <w:sz w:val="20"/>
          <w:szCs w:val="20"/>
        </w:rPr>
      </w:pPr>
      <w:r>
        <w:rPr>
          <w:spacing w:val="6"/>
          <w:sz w:val="20"/>
          <w:szCs w:val="20"/>
        </w:rPr>
        <w:t>(6)承建合同签订条款不得违背招投标文件约定的采购标的、数量、质</w:t>
      </w:r>
      <w:r>
        <w:rPr>
          <w:spacing w:val="5"/>
          <w:sz w:val="20"/>
          <w:szCs w:val="20"/>
        </w:rPr>
        <w:t>量、价款或者报酬</w:t>
      </w:r>
      <w:r>
        <w:rPr>
          <w:sz w:val="20"/>
          <w:szCs w:val="20"/>
        </w:rPr>
        <w:t xml:space="preserve"> </w:t>
      </w:r>
      <w:r>
        <w:rPr>
          <w:spacing w:val="3"/>
          <w:sz w:val="20"/>
          <w:szCs w:val="20"/>
        </w:rPr>
        <w:t>及付款方式、履约期限、违约责任、解决争议办法及有关影响采购标的使用效果的重要技术指</w:t>
      </w:r>
      <w:r>
        <w:rPr>
          <w:sz w:val="20"/>
          <w:szCs w:val="20"/>
        </w:rPr>
        <w:t xml:space="preserve"> </w:t>
      </w:r>
      <w:r>
        <w:rPr>
          <w:spacing w:val="-5"/>
          <w:sz w:val="20"/>
          <w:szCs w:val="20"/>
        </w:rPr>
        <w:t>标等实质性条款。</w:t>
      </w:r>
    </w:p>
    <w:p w14:paraId="7FC3884D">
      <w:pPr>
        <w:pStyle w:val="2"/>
        <w:spacing w:before="147" w:line="221" w:lineRule="auto"/>
        <w:ind w:left="772"/>
        <w:rPr>
          <w:rFonts w:ascii="黑体" w:hAnsi="黑体" w:eastAsia="黑体" w:cs="黑体"/>
          <w:sz w:val="20"/>
          <w:szCs w:val="20"/>
        </w:rPr>
      </w:pPr>
      <w:r>
        <w:rPr>
          <w:b/>
          <w:bCs/>
          <w:color w:val="0085DE"/>
          <w:spacing w:val="-3"/>
          <w:sz w:val="20"/>
          <w:szCs w:val="20"/>
        </w:rPr>
        <w:t>6.</w:t>
      </w:r>
      <w:r>
        <w:rPr>
          <w:rFonts w:ascii="黑体" w:hAnsi="黑体" w:eastAsia="黑体" w:cs="黑体"/>
          <w:b/>
          <w:bCs/>
          <w:color w:val="0085DE"/>
          <w:spacing w:val="-3"/>
          <w:sz w:val="20"/>
          <w:szCs w:val="20"/>
        </w:rPr>
        <w:t>审核承建单位及其人员的能力</w:t>
      </w:r>
    </w:p>
    <w:p w14:paraId="0D142979">
      <w:pPr>
        <w:pStyle w:val="2"/>
        <w:spacing w:before="153" w:line="291" w:lineRule="auto"/>
        <w:ind w:left="379" w:right="83" w:firstLine="390"/>
        <w:jc w:val="both"/>
        <w:rPr>
          <w:sz w:val="20"/>
          <w:szCs w:val="20"/>
        </w:rPr>
      </w:pPr>
      <w:r>
        <w:rPr>
          <w:spacing w:val="3"/>
          <w:sz w:val="20"/>
          <w:szCs w:val="20"/>
        </w:rPr>
        <w:t>监理工程师应协助业主单位审查承建单位及其人员的能力，这是质量控制的关键。对于小</w:t>
      </w:r>
      <w:r>
        <w:rPr>
          <w:spacing w:val="18"/>
          <w:sz w:val="20"/>
          <w:szCs w:val="20"/>
        </w:rPr>
        <w:t xml:space="preserve"> </w:t>
      </w:r>
      <w:r>
        <w:rPr>
          <w:spacing w:val="3"/>
          <w:sz w:val="20"/>
          <w:szCs w:val="20"/>
        </w:rPr>
        <w:t>型信息系统工程来说，可能只有一个承建单位；而对于较大的工程来说，可能会</w:t>
      </w:r>
      <w:r>
        <w:rPr>
          <w:spacing w:val="2"/>
          <w:sz w:val="20"/>
          <w:szCs w:val="20"/>
        </w:rPr>
        <w:t>有总承建单位</w:t>
      </w:r>
      <w:r>
        <w:rPr>
          <w:sz w:val="20"/>
          <w:szCs w:val="20"/>
        </w:rPr>
        <w:t xml:space="preserve"> </w:t>
      </w:r>
      <w:r>
        <w:rPr>
          <w:spacing w:val="3"/>
          <w:sz w:val="20"/>
          <w:szCs w:val="20"/>
        </w:rPr>
        <w:t>和分项系统承建单位。总承建单位一般由业主单位招标产生，而分项系统承建单位可</w:t>
      </w:r>
      <w:r>
        <w:rPr>
          <w:spacing w:val="2"/>
          <w:sz w:val="20"/>
          <w:szCs w:val="20"/>
        </w:rPr>
        <w:t>能由业主</w:t>
      </w:r>
      <w:r>
        <w:rPr>
          <w:sz w:val="20"/>
          <w:szCs w:val="20"/>
        </w:rPr>
        <w:t xml:space="preserve"> </w:t>
      </w:r>
      <w:r>
        <w:rPr>
          <w:spacing w:val="3"/>
          <w:sz w:val="20"/>
          <w:szCs w:val="20"/>
        </w:rPr>
        <w:t>单位或者总承建单位通过招标或者直接委托的方式产生。无论哪种方式产生</w:t>
      </w:r>
      <w:r>
        <w:rPr>
          <w:spacing w:val="2"/>
          <w:sz w:val="20"/>
          <w:szCs w:val="20"/>
        </w:rPr>
        <w:t>的承建单位，监理</w:t>
      </w:r>
      <w:r>
        <w:rPr>
          <w:sz w:val="20"/>
          <w:szCs w:val="20"/>
        </w:rPr>
        <w:t xml:space="preserve"> </w:t>
      </w:r>
      <w:r>
        <w:rPr>
          <w:spacing w:val="3"/>
          <w:sz w:val="20"/>
          <w:szCs w:val="20"/>
        </w:rPr>
        <w:t>单位都要对其单位能力及其参与项目的人员的专业技术能力进行审核，从而确定其是</w:t>
      </w:r>
      <w:r>
        <w:rPr>
          <w:spacing w:val="2"/>
          <w:sz w:val="20"/>
          <w:szCs w:val="20"/>
        </w:rPr>
        <w:t>否具有完</w:t>
      </w:r>
      <w:r>
        <w:rPr>
          <w:sz w:val="20"/>
          <w:szCs w:val="20"/>
        </w:rPr>
        <w:t xml:space="preserve"> </w:t>
      </w:r>
      <w:r>
        <w:rPr>
          <w:spacing w:val="-5"/>
          <w:sz w:val="20"/>
          <w:szCs w:val="20"/>
        </w:rPr>
        <w:t>成本项目的水平。</w:t>
      </w:r>
    </w:p>
    <w:p w14:paraId="65282953">
      <w:pPr>
        <w:pStyle w:val="2"/>
        <w:spacing w:before="20" w:line="219" w:lineRule="auto"/>
        <w:ind w:left="770"/>
        <w:rPr>
          <w:sz w:val="20"/>
          <w:szCs w:val="20"/>
        </w:rPr>
      </w:pPr>
      <w:r>
        <w:rPr>
          <w:spacing w:val="-3"/>
          <w:sz w:val="20"/>
          <w:szCs w:val="20"/>
        </w:rPr>
        <w:t>审核承建单位及其人员能力时的质量控制要点包括：</w:t>
      </w:r>
    </w:p>
    <w:p w14:paraId="20B69571">
      <w:pPr>
        <w:pStyle w:val="2"/>
        <w:spacing w:before="73" w:line="219" w:lineRule="auto"/>
        <w:ind w:left="770"/>
        <w:rPr>
          <w:sz w:val="20"/>
          <w:szCs w:val="20"/>
        </w:rPr>
      </w:pPr>
      <w:r>
        <w:rPr>
          <w:spacing w:val="2"/>
          <w:sz w:val="20"/>
          <w:szCs w:val="20"/>
        </w:rPr>
        <w:t>(1)证明技术和管理能力的文件是否真实、齐全；</w:t>
      </w:r>
    </w:p>
    <w:p w14:paraId="5B915DBB">
      <w:pPr>
        <w:pStyle w:val="2"/>
        <w:spacing w:before="81" w:line="219" w:lineRule="auto"/>
        <w:ind w:left="770"/>
        <w:rPr>
          <w:sz w:val="20"/>
          <w:szCs w:val="20"/>
        </w:rPr>
      </w:pPr>
      <w:r>
        <w:rPr>
          <w:spacing w:val="2"/>
          <w:sz w:val="20"/>
          <w:szCs w:val="20"/>
        </w:rPr>
        <w:t>(2)承建单位的能力等级是否与本工程的规模相适应；</w:t>
      </w:r>
    </w:p>
    <w:p w14:paraId="56B6A3DB">
      <w:pPr>
        <w:pStyle w:val="2"/>
        <w:spacing w:before="83" w:line="219" w:lineRule="auto"/>
        <w:ind w:left="770"/>
        <w:rPr>
          <w:sz w:val="20"/>
          <w:szCs w:val="20"/>
        </w:rPr>
      </w:pPr>
      <w:r>
        <w:rPr>
          <w:spacing w:val="2"/>
          <w:sz w:val="20"/>
          <w:szCs w:val="20"/>
        </w:rPr>
        <w:t>(3)承建单位的主要技术领域是否与本工程需要的技术相符合；</w:t>
      </w:r>
    </w:p>
    <w:p w14:paraId="0DCCA223">
      <w:pPr>
        <w:pStyle w:val="2"/>
        <w:spacing w:before="83" w:line="219" w:lineRule="auto"/>
        <w:ind w:left="770"/>
        <w:rPr>
          <w:sz w:val="20"/>
          <w:szCs w:val="20"/>
        </w:rPr>
      </w:pPr>
      <w:r>
        <w:rPr>
          <w:spacing w:val="2"/>
          <w:sz w:val="20"/>
          <w:szCs w:val="20"/>
        </w:rPr>
        <w:t>(4)拟派往本工程的项目管理人员是否具有相应的项目管理能力；</w:t>
      </w:r>
    </w:p>
    <w:p w14:paraId="2305CCA6">
      <w:pPr>
        <w:pStyle w:val="2"/>
        <w:spacing w:before="73" w:line="219" w:lineRule="auto"/>
        <w:ind w:left="770"/>
        <w:rPr>
          <w:sz w:val="20"/>
          <w:szCs w:val="20"/>
        </w:rPr>
      </w:pPr>
      <w:r>
        <w:rPr>
          <w:spacing w:val="2"/>
          <w:sz w:val="20"/>
          <w:szCs w:val="20"/>
        </w:rPr>
        <w:t>(5)其他技术人员的技术经历是否与本工程的技术要求相符合；</w:t>
      </w:r>
    </w:p>
    <w:p w14:paraId="0C244BFC">
      <w:pPr>
        <w:pStyle w:val="2"/>
        <w:spacing w:before="64" w:line="219" w:lineRule="auto"/>
        <w:ind w:left="770"/>
        <w:rPr>
          <w:sz w:val="20"/>
          <w:szCs w:val="20"/>
        </w:rPr>
      </w:pPr>
      <w:r>
        <w:rPr>
          <w:spacing w:val="3"/>
          <w:sz w:val="20"/>
          <w:szCs w:val="20"/>
        </w:rPr>
        <w:t>(6)承建单位是否建立了完善的质量管理体系。</w:t>
      </w:r>
    </w:p>
    <w:p w14:paraId="2D49D55A">
      <w:pPr>
        <w:pStyle w:val="2"/>
        <w:spacing w:before="170" w:line="222" w:lineRule="auto"/>
        <w:ind w:left="772"/>
        <w:rPr>
          <w:rFonts w:ascii="黑体" w:hAnsi="黑体" w:eastAsia="黑体" w:cs="黑体"/>
          <w:sz w:val="20"/>
          <w:szCs w:val="20"/>
        </w:rPr>
      </w:pPr>
      <w:r>
        <w:rPr>
          <w:b/>
          <w:bCs/>
          <w:color w:val="00A9DD"/>
          <w:spacing w:val="-1"/>
          <w:sz w:val="20"/>
          <w:szCs w:val="20"/>
        </w:rPr>
        <w:t>7.</w:t>
      </w:r>
      <w:r>
        <w:rPr>
          <w:rFonts w:ascii="黑体" w:hAnsi="黑体" w:eastAsia="黑体" w:cs="黑体"/>
          <w:b/>
          <w:bCs/>
          <w:color w:val="00A9DD"/>
          <w:spacing w:val="-1"/>
          <w:sz w:val="20"/>
          <w:szCs w:val="20"/>
        </w:rPr>
        <w:t>招标阶段其他监理内容</w:t>
      </w:r>
    </w:p>
    <w:p w14:paraId="145823DD">
      <w:pPr>
        <w:pStyle w:val="2"/>
        <w:spacing w:before="142" w:line="219" w:lineRule="auto"/>
        <w:ind w:left="770"/>
        <w:rPr>
          <w:sz w:val="20"/>
          <w:szCs w:val="20"/>
        </w:rPr>
      </w:pPr>
      <w:r>
        <w:rPr>
          <w:spacing w:val="-4"/>
          <w:sz w:val="20"/>
          <w:szCs w:val="20"/>
        </w:rPr>
        <w:t>招标阶段其他监理内容包括：</w:t>
      </w:r>
    </w:p>
    <w:p w14:paraId="41A3F121">
      <w:pPr>
        <w:pStyle w:val="2"/>
        <w:spacing w:before="72" w:line="257" w:lineRule="auto"/>
        <w:ind w:left="379" w:right="67" w:firstLine="390"/>
        <w:rPr>
          <w:sz w:val="20"/>
          <w:szCs w:val="20"/>
        </w:rPr>
      </w:pPr>
      <w:r>
        <w:rPr>
          <w:spacing w:val="6"/>
          <w:sz w:val="20"/>
          <w:szCs w:val="20"/>
        </w:rPr>
        <w:t>(1)协助业主单位组织召开业主单位、承建单位、监理单位三方参加的首次会议，明确项</w:t>
      </w:r>
      <w:r>
        <w:rPr>
          <w:spacing w:val="11"/>
          <w:sz w:val="20"/>
          <w:szCs w:val="20"/>
        </w:rPr>
        <w:t xml:space="preserve"> </w:t>
      </w:r>
      <w:r>
        <w:rPr>
          <w:spacing w:val="-3"/>
          <w:sz w:val="20"/>
          <w:szCs w:val="20"/>
        </w:rPr>
        <w:t>目沟通协调机制。如有必要，应邀请其他工程相关方参加会议。</w:t>
      </w:r>
    </w:p>
    <w:p w14:paraId="43D3F811">
      <w:pPr>
        <w:pStyle w:val="2"/>
        <w:spacing w:before="75" w:line="257" w:lineRule="auto"/>
        <w:ind w:left="379" w:right="89" w:firstLine="390"/>
        <w:rPr>
          <w:sz w:val="20"/>
          <w:szCs w:val="20"/>
        </w:rPr>
      </w:pPr>
      <w:r>
        <w:rPr>
          <w:spacing w:val="6"/>
          <w:sz w:val="20"/>
          <w:szCs w:val="20"/>
        </w:rPr>
        <w:t>(2)组织工程各方以顺利推进项目为目标，围绕质量控制、进度</w:t>
      </w:r>
      <w:r>
        <w:rPr>
          <w:spacing w:val="5"/>
          <w:sz w:val="20"/>
          <w:szCs w:val="20"/>
        </w:rPr>
        <w:t>控制、投资控制、合同管</w:t>
      </w:r>
      <w:r>
        <w:rPr>
          <w:sz w:val="20"/>
          <w:szCs w:val="20"/>
        </w:rPr>
        <w:t xml:space="preserve"> </w:t>
      </w:r>
      <w:r>
        <w:rPr>
          <w:spacing w:val="-1"/>
          <w:sz w:val="20"/>
          <w:szCs w:val="20"/>
        </w:rPr>
        <w:t>理、文档管理、沟通协调等方面建立完整的项目管理</w:t>
      </w:r>
      <w:r>
        <w:rPr>
          <w:spacing w:val="-2"/>
          <w:sz w:val="20"/>
          <w:szCs w:val="20"/>
        </w:rPr>
        <w:t>制度和保障体系。</w:t>
      </w:r>
    </w:p>
    <w:p w14:paraId="48C6910D">
      <w:pPr>
        <w:pStyle w:val="2"/>
        <w:spacing w:before="72" w:line="245" w:lineRule="auto"/>
        <w:ind w:left="670" w:right="50" w:firstLine="99"/>
        <w:rPr>
          <w:rFonts w:ascii="楷体" w:hAnsi="楷体" w:eastAsia="楷体" w:cs="楷体"/>
          <w:sz w:val="20"/>
          <w:szCs w:val="20"/>
        </w:rPr>
      </w:pPr>
      <w:r>
        <w:rPr>
          <w:spacing w:val="2"/>
          <w:sz w:val="20"/>
          <w:szCs w:val="20"/>
        </w:rPr>
        <w:t>(3)协调业主单位和承建单位建立变更管理机制，并在承建</w:t>
      </w:r>
      <w:r>
        <w:rPr>
          <w:spacing w:val="1"/>
          <w:sz w:val="20"/>
          <w:szCs w:val="20"/>
        </w:rPr>
        <w:t>合同中明确工程变更处理程序。</w:t>
      </w:r>
      <w:r>
        <w:rPr>
          <w:sz w:val="20"/>
          <w:szCs w:val="20"/>
        </w:rPr>
        <w:t xml:space="preserve"> </w:t>
      </w:r>
      <w:r>
        <w:rPr>
          <w:rFonts w:ascii="黑体" w:hAnsi="黑体" w:eastAsia="黑体" w:cs="黑体"/>
          <w:spacing w:val="6"/>
          <w:sz w:val="20"/>
          <w:szCs w:val="20"/>
        </w:rPr>
        <w:t>【案例1】</w:t>
      </w:r>
      <w:r>
        <w:rPr>
          <w:rFonts w:ascii="黑体" w:hAnsi="黑体" w:eastAsia="黑体" w:cs="黑体"/>
          <w:spacing w:val="-13"/>
          <w:sz w:val="20"/>
          <w:szCs w:val="20"/>
        </w:rPr>
        <w:t xml:space="preserve"> </w:t>
      </w:r>
      <w:r>
        <w:rPr>
          <w:rFonts w:ascii="楷体" w:hAnsi="楷体" w:eastAsia="楷体" w:cs="楷体"/>
          <w:spacing w:val="6"/>
          <w:sz w:val="20"/>
          <w:szCs w:val="20"/>
        </w:rPr>
        <w:t>某单位信息化改造项目通过公开招标选定一家承建单位，在承建合同签订过程</w:t>
      </w:r>
    </w:p>
    <w:p w14:paraId="6F8BF7AF">
      <w:pPr>
        <w:spacing w:before="72" w:line="283" w:lineRule="auto"/>
        <w:ind w:left="379" w:right="91"/>
        <w:jc w:val="both"/>
        <w:rPr>
          <w:rFonts w:ascii="楷体" w:hAnsi="楷体" w:eastAsia="楷体" w:cs="楷体"/>
          <w:sz w:val="20"/>
          <w:szCs w:val="20"/>
        </w:rPr>
      </w:pPr>
      <w:r>
        <w:rPr>
          <w:rFonts w:ascii="楷体" w:hAnsi="楷体" w:eastAsia="楷体" w:cs="楷体"/>
          <w:spacing w:val="3"/>
          <w:sz w:val="20"/>
          <w:szCs w:val="20"/>
        </w:rPr>
        <w:t>中，业主单位要求监理机构审查承建合同。为了确保合同约定描述的一致性、可</w:t>
      </w:r>
      <w:r>
        <w:rPr>
          <w:rFonts w:ascii="楷体" w:hAnsi="楷体" w:eastAsia="楷体" w:cs="楷体"/>
          <w:spacing w:val="2"/>
          <w:sz w:val="20"/>
          <w:szCs w:val="20"/>
        </w:rPr>
        <w:t>执行性，保证</w:t>
      </w:r>
      <w:r>
        <w:rPr>
          <w:rFonts w:ascii="楷体" w:hAnsi="楷体" w:eastAsia="楷体" w:cs="楷体"/>
          <w:sz w:val="20"/>
          <w:szCs w:val="20"/>
        </w:rPr>
        <w:t xml:space="preserve"> </w:t>
      </w:r>
      <w:r>
        <w:rPr>
          <w:rFonts w:ascii="楷体" w:hAnsi="楷体" w:eastAsia="楷体" w:cs="楷体"/>
          <w:spacing w:val="3"/>
          <w:sz w:val="20"/>
          <w:szCs w:val="20"/>
        </w:rPr>
        <w:t>签约各方对合同无分歧理解，监理单位提出对应</w:t>
      </w:r>
      <w:r>
        <w:rPr>
          <w:rFonts w:ascii="楷体" w:hAnsi="楷体" w:eastAsia="楷体" w:cs="楷体"/>
          <w:spacing w:val="2"/>
          <w:sz w:val="20"/>
          <w:szCs w:val="20"/>
        </w:rPr>
        <w:t>工作建议和意见，对合同签订提出具体指导意</w:t>
      </w:r>
      <w:r>
        <w:rPr>
          <w:rFonts w:ascii="楷体" w:hAnsi="楷体" w:eastAsia="楷体" w:cs="楷体"/>
          <w:sz w:val="20"/>
          <w:szCs w:val="20"/>
        </w:rPr>
        <w:t xml:space="preserve"> </w:t>
      </w:r>
      <w:r>
        <w:rPr>
          <w:rFonts w:ascii="楷体" w:hAnsi="楷体" w:eastAsia="楷体" w:cs="楷体"/>
          <w:spacing w:val="-6"/>
          <w:sz w:val="20"/>
          <w:szCs w:val="20"/>
        </w:rPr>
        <w:t>见。意见具体如下：</w:t>
      </w:r>
    </w:p>
    <w:p w14:paraId="7160A7B2">
      <w:pPr>
        <w:spacing w:before="13" w:line="223" w:lineRule="auto"/>
        <w:ind w:left="770"/>
        <w:rPr>
          <w:rFonts w:ascii="楷体" w:hAnsi="楷体" w:eastAsia="楷体" w:cs="楷体"/>
          <w:sz w:val="20"/>
          <w:szCs w:val="20"/>
        </w:rPr>
      </w:pPr>
      <w:r>
        <w:rPr>
          <w:rFonts w:ascii="楷体" w:hAnsi="楷体" w:eastAsia="楷体" w:cs="楷体"/>
          <w:spacing w:val="4"/>
          <w:sz w:val="20"/>
          <w:szCs w:val="20"/>
        </w:rPr>
        <w:t>(1)应使用国家或行业标准的合同格式。</w:t>
      </w:r>
    </w:p>
    <w:p w14:paraId="02D3F6D3">
      <w:pPr>
        <w:spacing w:before="64" w:line="251" w:lineRule="auto"/>
        <w:ind w:left="379" w:right="68" w:firstLine="390"/>
        <w:rPr>
          <w:rFonts w:ascii="楷体" w:hAnsi="楷体" w:eastAsia="楷体" w:cs="楷体"/>
          <w:sz w:val="20"/>
          <w:szCs w:val="20"/>
        </w:rPr>
      </w:pPr>
      <w:r>
        <w:rPr>
          <w:rFonts w:ascii="楷体" w:hAnsi="楷体" w:eastAsia="楷体" w:cs="楷体"/>
          <w:spacing w:val="6"/>
          <w:sz w:val="20"/>
          <w:szCs w:val="20"/>
        </w:rPr>
        <w:t>(2)为避免因条款的不完备或歧义而引起合同纠纷，除了法律的强制性规定外，其他合同</w:t>
      </w:r>
      <w:r>
        <w:rPr>
          <w:rFonts w:ascii="楷体" w:hAnsi="楷体" w:eastAsia="楷体" w:cs="楷体"/>
          <w:spacing w:val="10"/>
          <w:sz w:val="20"/>
          <w:szCs w:val="20"/>
        </w:rPr>
        <w:t xml:space="preserve"> </w:t>
      </w:r>
      <w:r>
        <w:rPr>
          <w:rFonts w:ascii="楷体" w:hAnsi="楷体" w:eastAsia="楷体" w:cs="楷体"/>
          <w:spacing w:val="-2"/>
          <w:sz w:val="20"/>
          <w:szCs w:val="20"/>
        </w:rPr>
        <w:t>条款都应在甲乙双方充分协商并达成一致的基础上进行约定。</w:t>
      </w:r>
    </w:p>
    <w:p w14:paraId="13E7D3D3">
      <w:pPr>
        <w:spacing w:before="67" w:line="277" w:lineRule="auto"/>
        <w:ind w:left="379" w:firstLine="390"/>
        <w:rPr>
          <w:rFonts w:ascii="楷体" w:hAnsi="楷体" w:eastAsia="楷体" w:cs="楷体"/>
          <w:sz w:val="20"/>
          <w:szCs w:val="20"/>
        </w:rPr>
      </w:pPr>
      <w:r>
        <w:rPr>
          <w:rFonts w:ascii="楷体" w:hAnsi="楷体" w:eastAsia="楷体" w:cs="楷体"/>
          <w:spacing w:val="6"/>
          <w:sz w:val="20"/>
          <w:szCs w:val="20"/>
        </w:rPr>
        <w:t>谈判取得一定成果未必意味着双方理解一致，名词术</w:t>
      </w:r>
      <w:r>
        <w:rPr>
          <w:rFonts w:ascii="楷体" w:hAnsi="楷体" w:eastAsia="楷体" w:cs="楷体"/>
          <w:spacing w:val="5"/>
          <w:sz w:val="20"/>
          <w:szCs w:val="20"/>
        </w:rPr>
        <w:t>语不同，语言、文化等方面的差异，</w:t>
      </w:r>
      <w:r>
        <w:rPr>
          <w:rFonts w:ascii="楷体" w:hAnsi="楷体" w:eastAsia="楷体" w:cs="楷体"/>
          <w:sz w:val="20"/>
          <w:szCs w:val="20"/>
        </w:rPr>
        <w:t xml:space="preserve"> </w:t>
      </w:r>
      <w:r>
        <w:rPr>
          <w:rFonts w:ascii="楷体" w:hAnsi="楷体" w:eastAsia="楷体" w:cs="楷体"/>
          <w:spacing w:val="3"/>
          <w:sz w:val="20"/>
          <w:szCs w:val="20"/>
        </w:rPr>
        <w:t>都可能引起某些误会。因此，在达成交易和签订合同前，有必要使双方进一步对他们所同意的</w:t>
      </w:r>
    </w:p>
    <w:p w14:paraId="36CBB29E">
      <w:pPr>
        <w:spacing w:line="277" w:lineRule="auto"/>
        <w:rPr>
          <w:rFonts w:ascii="楷体" w:hAnsi="楷体" w:eastAsia="楷体" w:cs="楷体"/>
          <w:sz w:val="20"/>
          <w:szCs w:val="20"/>
        </w:rPr>
        <w:sectPr>
          <w:pgSz w:w="10290" w:h="13410"/>
          <w:pgMar w:top="400" w:right="1030" w:bottom="400" w:left="470" w:header="0" w:footer="0" w:gutter="0"/>
          <w:cols w:space="720" w:num="1"/>
        </w:sectPr>
      </w:pPr>
    </w:p>
    <w:p w14:paraId="52F38287">
      <w:pPr>
        <w:pStyle w:val="2"/>
        <w:spacing w:before="66" w:line="219" w:lineRule="auto"/>
        <w:jc w:val="right"/>
        <w:rPr>
          <w:rFonts w:ascii="Times New Roman" w:hAnsi="Times New Roman" w:eastAsia="Times New Roman" w:cs="Times New Roman"/>
          <w:sz w:val="19"/>
          <w:szCs w:val="19"/>
        </w:rPr>
      </w:pPr>
      <w:r>
        <w:rPr>
          <w:spacing w:val="1"/>
          <w:sz w:val="19"/>
          <w:szCs w:val="19"/>
        </w:rPr>
        <w:t>第20章 信息系统工程监理基础工作</w:t>
      </w:r>
      <w:r>
        <w:rPr>
          <w:spacing w:val="8"/>
          <w:sz w:val="19"/>
          <w:szCs w:val="19"/>
        </w:rPr>
        <w:t xml:space="preserve">      </w:t>
      </w:r>
      <w:r>
        <w:rPr>
          <w:rFonts w:ascii="Times New Roman" w:hAnsi="Times New Roman" w:eastAsia="Times New Roman" w:cs="Times New Roman"/>
          <w:spacing w:val="1"/>
          <w:position w:val="1"/>
          <w:sz w:val="19"/>
          <w:szCs w:val="19"/>
        </w:rPr>
        <w:t>451</w:t>
      </w:r>
    </w:p>
    <w:p w14:paraId="1509E3AA">
      <w:pPr>
        <w:spacing w:line="299" w:lineRule="auto"/>
        <w:rPr>
          <w:rFonts w:ascii="Arial"/>
          <w:sz w:val="21"/>
        </w:rPr>
      </w:pPr>
    </w:p>
    <w:p w14:paraId="25C4271B">
      <w:pPr>
        <w:spacing w:before="62" w:line="224" w:lineRule="auto"/>
        <w:rPr>
          <w:rFonts w:ascii="楷体" w:hAnsi="楷体" w:eastAsia="楷体" w:cs="楷体"/>
          <w:sz w:val="19"/>
          <w:szCs w:val="19"/>
        </w:rPr>
      </w:pPr>
      <w:bookmarkStart w:id="707" w:name="bookmark692"/>
      <w:bookmarkEnd w:id="707"/>
      <w:r>
        <w:rPr>
          <w:rFonts w:ascii="楷体" w:hAnsi="楷体" w:eastAsia="楷体" w:cs="楷体"/>
          <w:spacing w:val="6"/>
          <w:sz w:val="19"/>
          <w:szCs w:val="19"/>
        </w:rPr>
        <w:t>条款有一致的认识。</w:t>
      </w:r>
    </w:p>
    <w:p w14:paraId="705A576E">
      <w:pPr>
        <w:spacing w:before="83" w:line="283" w:lineRule="auto"/>
        <w:ind w:right="308" w:firstLine="399"/>
        <w:rPr>
          <w:rFonts w:ascii="楷体" w:hAnsi="楷体" w:eastAsia="楷体" w:cs="楷体"/>
          <w:sz w:val="19"/>
          <w:szCs w:val="19"/>
        </w:rPr>
      </w:pPr>
      <w:r>
        <w:rPr>
          <w:rFonts w:ascii="楷体" w:hAnsi="楷体" w:eastAsia="楷体" w:cs="楷体"/>
          <w:spacing w:val="16"/>
          <w:sz w:val="19"/>
          <w:szCs w:val="19"/>
        </w:rPr>
        <w:t>(3)对合同标的描述务必要达到准确、简练、清晰的标准要求，切忌含混不清。对</w:t>
      </w:r>
      <w:r>
        <w:rPr>
          <w:rFonts w:ascii="楷体" w:hAnsi="楷体" w:eastAsia="楷体" w:cs="楷体"/>
          <w:spacing w:val="15"/>
          <w:sz w:val="19"/>
          <w:szCs w:val="19"/>
        </w:rPr>
        <w:t>容易出</w:t>
      </w:r>
      <w:r>
        <w:rPr>
          <w:rFonts w:ascii="楷体" w:hAnsi="楷体" w:eastAsia="楷体" w:cs="楷体"/>
          <w:sz w:val="19"/>
          <w:szCs w:val="19"/>
        </w:rPr>
        <w:t xml:space="preserve"> </w:t>
      </w:r>
      <w:r>
        <w:rPr>
          <w:rFonts w:ascii="楷体" w:hAnsi="楷体" w:eastAsia="楷体" w:cs="楷体"/>
          <w:spacing w:val="13"/>
          <w:sz w:val="19"/>
          <w:szCs w:val="19"/>
        </w:rPr>
        <w:t>现歧义的术语等合同相关内容，需在合同的名词术语解释部分解释清楚，应采用相关方都理解</w:t>
      </w:r>
      <w:r>
        <w:rPr>
          <w:rFonts w:ascii="楷体" w:hAnsi="楷体" w:eastAsia="楷体" w:cs="楷体"/>
          <w:sz w:val="19"/>
          <w:szCs w:val="19"/>
        </w:rPr>
        <w:t xml:space="preserve"> </w:t>
      </w:r>
      <w:r>
        <w:rPr>
          <w:rFonts w:ascii="楷体" w:hAnsi="楷体" w:eastAsia="楷体" w:cs="楷体"/>
          <w:spacing w:val="5"/>
          <w:sz w:val="19"/>
          <w:szCs w:val="19"/>
        </w:rPr>
        <w:t>的语言解释清楚。具体建议有：</w:t>
      </w:r>
    </w:p>
    <w:p w14:paraId="687B11C6">
      <w:pPr>
        <w:spacing w:before="88" w:line="271" w:lineRule="auto"/>
        <w:ind w:left="709" w:right="326" w:hanging="310"/>
        <w:rPr>
          <w:rFonts w:ascii="楷体" w:hAnsi="楷体" w:eastAsia="楷体" w:cs="楷体"/>
          <w:sz w:val="19"/>
          <w:szCs w:val="19"/>
        </w:rPr>
      </w:pPr>
      <w:r>
        <w:rPr>
          <w:rFonts w:ascii="楷体" w:hAnsi="楷体" w:eastAsia="楷体" w:cs="楷体"/>
          <w:spacing w:val="13"/>
          <w:sz w:val="19"/>
          <w:szCs w:val="19"/>
        </w:rPr>
        <w:t>●对合同标的为设备买卖的，应写明设备的名称、品牌、技术指标、计量单位和价格，切</w:t>
      </w:r>
      <w:r>
        <w:rPr>
          <w:rFonts w:ascii="楷体" w:hAnsi="楷体" w:eastAsia="楷体" w:cs="楷体"/>
          <w:spacing w:val="17"/>
          <w:sz w:val="19"/>
          <w:szCs w:val="19"/>
        </w:rPr>
        <w:t xml:space="preserve"> </w:t>
      </w:r>
      <w:r>
        <w:rPr>
          <w:rFonts w:ascii="楷体" w:hAnsi="楷体" w:eastAsia="楷体" w:cs="楷体"/>
          <w:spacing w:val="7"/>
          <w:sz w:val="19"/>
          <w:szCs w:val="19"/>
        </w:rPr>
        <w:t>忌只写“购买计算机一台”之类的描述；</w:t>
      </w:r>
    </w:p>
    <w:p w14:paraId="78037429">
      <w:pPr>
        <w:spacing w:before="82" w:line="275" w:lineRule="auto"/>
        <w:ind w:left="719" w:right="333" w:hanging="320"/>
        <w:rPr>
          <w:rFonts w:ascii="楷体" w:hAnsi="楷体" w:eastAsia="楷体" w:cs="楷体"/>
          <w:sz w:val="19"/>
          <w:szCs w:val="19"/>
        </w:rPr>
      </w:pPr>
      <w:r>
        <w:rPr>
          <w:rFonts w:ascii="楷体" w:hAnsi="楷体" w:eastAsia="楷体" w:cs="楷体"/>
          <w:spacing w:val="13"/>
          <w:sz w:val="19"/>
          <w:szCs w:val="19"/>
        </w:rPr>
        <w:t>●对合同标的为提供服务的，应写明服务的质量、标准或效果要求等，切忌只写“按照行</w:t>
      </w:r>
      <w:r>
        <w:rPr>
          <w:rFonts w:ascii="楷体" w:hAnsi="楷体" w:eastAsia="楷体" w:cs="楷体"/>
          <w:spacing w:val="10"/>
          <w:sz w:val="19"/>
          <w:szCs w:val="19"/>
        </w:rPr>
        <w:t xml:space="preserve"> </w:t>
      </w:r>
      <w:r>
        <w:rPr>
          <w:rFonts w:ascii="楷体" w:hAnsi="楷体" w:eastAsia="楷体" w:cs="楷体"/>
          <w:spacing w:val="8"/>
          <w:sz w:val="19"/>
          <w:szCs w:val="19"/>
        </w:rPr>
        <w:t>业的通常标准提供服务或达到行业通常的服务标准要求等”之类的描述。</w:t>
      </w:r>
    </w:p>
    <w:p w14:paraId="3C2CBFD1">
      <w:pPr>
        <w:spacing w:before="83" w:line="278" w:lineRule="auto"/>
        <w:ind w:right="314" w:firstLine="399"/>
        <w:rPr>
          <w:rFonts w:ascii="楷体" w:hAnsi="楷体" w:eastAsia="楷体" w:cs="楷体"/>
          <w:sz w:val="19"/>
          <w:szCs w:val="19"/>
        </w:rPr>
      </w:pPr>
      <w:r>
        <w:rPr>
          <w:rFonts w:ascii="楷体" w:hAnsi="楷体" w:eastAsia="楷体" w:cs="楷体"/>
          <w:spacing w:val="16"/>
          <w:sz w:val="19"/>
          <w:szCs w:val="19"/>
        </w:rPr>
        <w:t>(4)合同中的质量条款应写清具体规格、型号、适用的标准等，可以</w:t>
      </w:r>
      <w:r>
        <w:rPr>
          <w:rFonts w:ascii="楷体" w:hAnsi="楷体" w:eastAsia="楷体" w:cs="楷体"/>
          <w:spacing w:val="15"/>
          <w:sz w:val="19"/>
          <w:szCs w:val="19"/>
        </w:rPr>
        <w:t>避免合同订立后因为</w:t>
      </w:r>
      <w:r>
        <w:rPr>
          <w:rFonts w:ascii="楷体" w:hAnsi="楷体" w:eastAsia="楷体" w:cs="楷体"/>
          <w:sz w:val="19"/>
          <w:szCs w:val="19"/>
        </w:rPr>
        <w:t xml:space="preserve"> </w:t>
      </w:r>
      <w:r>
        <w:rPr>
          <w:rFonts w:ascii="楷体" w:hAnsi="楷体" w:eastAsia="楷体" w:cs="楷体"/>
          <w:spacing w:val="8"/>
          <w:sz w:val="19"/>
          <w:szCs w:val="19"/>
        </w:rPr>
        <w:t>适用标准采用国际、国家、地方、行业还是其他标准等问题产生纠纷。</w:t>
      </w:r>
    </w:p>
    <w:p w14:paraId="1A898C94">
      <w:pPr>
        <w:spacing w:before="80" w:line="223" w:lineRule="auto"/>
        <w:ind w:left="399"/>
        <w:rPr>
          <w:rFonts w:ascii="楷体" w:hAnsi="楷体" w:eastAsia="楷体" w:cs="楷体"/>
          <w:sz w:val="19"/>
          <w:szCs w:val="19"/>
        </w:rPr>
      </w:pPr>
      <w:r>
        <w:rPr>
          <w:rFonts w:ascii="楷体" w:hAnsi="楷体" w:eastAsia="楷体" w:cs="楷体"/>
          <w:spacing w:val="13"/>
          <w:sz w:val="19"/>
          <w:szCs w:val="19"/>
        </w:rPr>
        <w:t>(5)合同中涉及变更、转让、解除等内容应详细说明。</w:t>
      </w:r>
    </w:p>
    <w:p w14:paraId="5D96B5CB">
      <w:pPr>
        <w:spacing w:before="88" w:line="267" w:lineRule="auto"/>
        <w:ind w:right="313" w:firstLine="399"/>
        <w:rPr>
          <w:rFonts w:ascii="楷体" w:hAnsi="楷体" w:eastAsia="楷体" w:cs="楷体"/>
          <w:sz w:val="19"/>
          <w:szCs w:val="19"/>
        </w:rPr>
      </w:pPr>
      <w:r>
        <w:rPr>
          <w:rFonts w:ascii="楷体" w:hAnsi="楷体" w:eastAsia="楷体" w:cs="楷体"/>
          <w:spacing w:val="16"/>
          <w:sz w:val="19"/>
          <w:szCs w:val="19"/>
        </w:rPr>
        <w:t>(6)如果合同有附件，对于附件的内容应精心准备，并注意保持与主合</w:t>
      </w:r>
      <w:r>
        <w:rPr>
          <w:rFonts w:ascii="楷体" w:hAnsi="楷体" w:eastAsia="楷体" w:cs="楷体"/>
          <w:spacing w:val="15"/>
          <w:sz w:val="19"/>
          <w:szCs w:val="19"/>
        </w:rPr>
        <w:t>同一致，不应相互</w:t>
      </w:r>
      <w:r>
        <w:rPr>
          <w:rFonts w:ascii="楷体" w:hAnsi="楷体" w:eastAsia="楷体" w:cs="楷体"/>
          <w:sz w:val="19"/>
          <w:szCs w:val="19"/>
        </w:rPr>
        <w:t xml:space="preserve"> </w:t>
      </w:r>
      <w:r>
        <w:rPr>
          <w:rFonts w:ascii="楷体" w:hAnsi="楷体" w:eastAsia="楷体" w:cs="楷体"/>
          <w:spacing w:val="-2"/>
          <w:sz w:val="19"/>
          <w:szCs w:val="19"/>
        </w:rPr>
        <w:t>矛盾。</w:t>
      </w:r>
    </w:p>
    <w:p w14:paraId="228FCE22">
      <w:pPr>
        <w:spacing w:before="61" w:line="271" w:lineRule="auto"/>
        <w:ind w:right="313" w:firstLine="399"/>
        <w:rPr>
          <w:rFonts w:ascii="楷体" w:hAnsi="楷体" w:eastAsia="楷体" w:cs="楷体"/>
          <w:sz w:val="19"/>
          <w:szCs w:val="19"/>
        </w:rPr>
      </w:pPr>
      <w:r>
        <w:rPr>
          <w:rFonts w:ascii="楷体" w:hAnsi="楷体" w:eastAsia="楷体" w:cs="楷体"/>
          <w:spacing w:val="16"/>
          <w:sz w:val="19"/>
          <w:szCs w:val="19"/>
        </w:rPr>
        <w:t>(7)对于既有投标文件，又有正式合同书、附件等包含多项内容的合同</w:t>
      </w:r>
      <w:r>
        <w:rPr>
          <w:rFonts w:ascii="楷体" w:hAnsi="楷体" w:eastAsia="楷体" w:cs="楷体"/>
          <w:spacing w:val="15"/>
          <w:sz w:val="19"/>
          <w:szCs w:val="19"/>
        </w:rPr>
        <w:t>，应在合同条款中</w:t>
      </w:r>
      <w:r>
        <w:rPr>
          <w:rFonts w:ascii="楷体" w:hAnsi="楷体" w:eastAsia="楷体" w:cs="楷体"/>
          <w:sz w:val="19"/>
          <w:szCs w:val="19"/>
        </w:rPr>
        <w:t xml:space="preserve"> </w:t>
      </w:r>
      <w:r>
        <w:rPr>
          <w:rFonts w:ascii="楷体" w:hAnsi="楷体" w:eastAsia="楷体" w:cs="楷体"/>
          <w:spacing w:val="3"/>
          <w:sz w:val="19"/>
          <w:szCs w:val="19"/>
        </w:rPr>
        <w:t>列明适用顺序。</w:t>
      </w:r>
    </w:p>
    <w:p w14:paraId="060D2737">
      <w:pPr>
        <w:spacing w:before="81" w:line="220" w:lineRule="auto"/>
        <w:ind w:left="399"/>
        <w:rPr>
          <w:rFonts w:ascii="楷体" w:hAnsi="楷体" w:eastAsia="楷体" w:cs="楷体"/>
          <w:sz w:val="19"/>
          <w:szCs w:val="19"/>
        </w:rPr>
      </w:pPr>
      <w:r>
        <w:rPr>
          <w:rFonts w:ascii="楷体" w:hAnsi="楷体" w:eastAsia="楷体" w:cs="楷体"/>
          <w:spacing w:val="12"/>
          <w:sz w:val="19"/>
          <w:szCs w:val="19"/>
        </w:rPr>
        <w:t>(8)尽量避免方案变更导致项目变更，从而引发新的误解。</w:t>
      </w:r>
    </w:p>
    <w:p w14:paraId="0819CAED">
      <w:pPr>
        <w:spacing w:before="87" w:line="223" w:lineRule="auto"/>
        <w:ind w:left="399"/>
        <w:rPr>
          <w:rFonts w:ascii="楷体" w:hAnsi="楷体" w:eastAsia="楷体" w:cs="楷体"/>
          <w:sz w:val="19"/>
          <w:szCs w:val="19"/>
        </w:rPr>
      </w:pPr>
      <w:r>
        <w:rPr>
          <w:rFonts w:ascii="楷体" w:hAnsi="楷体" w:eastAsia="楷体" w:cs="楷体"/>
          <w:spacing w:val="13"/>
          <w:sz w:val="19"/>
          <w:szCs w:val="19"/>
        </w:rPr>
        <w:t>(9)注意合同内容的前后一致性等。</w:t>
      </w:r>
    </w:p>
    <w:p w14:paraId="229A2F16">
      <w:pPr>
        <w:spacing w:line="336" w:lineRule="auto"/>
        <w:rPr>
          <w:rFonts w:ascii="Arial"/>
          <w:sz w:val="21"/>
        </w:rPr>
      </w:pPr>
    </w:p>
    <w:p w14:paraId="6AECA21B">
      <w:pPr>
        <w:pStyle w:val="2"/>
        <w:spacing w:before="94" w:line="221" w:lineRule="auto"/>
        <w:ind w:left="4"/>
        <w:outlineLvl w:val="0"/>
        <w:rPr>
          <w:rFonts w:ascii="黑体" w:hAnsi="黑体" w:eastAsia="黑体" w:cs="黑体"/>
          <w:sz w:val="29"/>
          <w:szCs w:val="29"/>
        </w:rPr>
      </w:pPr>
      <w:r>
        <w:rPr>
          <w:b/>
          <w:bCs/>
          <w:color w:val="0065DA"/>
          <w:spacing w:val="-11"/>
          <w:sz w:val="29"/>
          <w:szCs w:val="29"/>
        </w:rPr>
        <w:t>20.3</w:t>
      </w:r>
      <w:r>
        <w:rPr>
          <w:color w:val="0065DA"/>
          <w:spacing w:val="121"/>
          <w:sz w:val="29"/>
          <w:szCs w:val="29"/>
        </w:rPr>
        <w:t xml:space="preserve"> </w:t>
      </w:r>
      <w:r>
        <w:rPr>
          <w:rFonts w:ascii="黑体" w:hAnsi="黑体" w:eastAsia="黑体" w:cs="黑体"/>
          <w:b/>
          <w:bCs/>
          <w:color w:val="0065DA"/>
          <w:spacing w:val="-11"/>
          <w:sz w:val="29"/>
          <w:szCs w:val="29"/>
        </w:rPr>
        <w:t>设计阶段监理基础工作</w:t>
      </w:r>
    </w:p>
    <w:p w14:paraId="65F6C8EB">
      <w:pPr>
        <w:pStyle w:val="2"/>
        <w:spacing w:before="265" w:line="287" w:lineRule="auto"/>
        <w:ind w:right="332" w:firstLine="399"/>
        <w:jc w:val="both"/>
        <w:rPr>
          <w:sz w:val="19"/>
          <w:szCs w:val="19"/>
        </w:rPr>
      </w:pPr>
      <w:r>
        <w:rPr>
          <w:spacing w:val="15"/>
          <w:sz w:val="19"/>
          <w:szCs w:val="19"/>
        </w:rPr>
        <w:t>设计阶段的主要建设工作是在初步设计方案的基础上，根据工程/项目的招标要求、合同</w:t>
      </w:r>
      <w:r>
        <w:rPr>
          <w:spacing w:val="16"/>
          <w:sz w:val="19"/>
          <w:szCs w:val="19"/>
        </w:rPr>
        <w:t xml:space="preserve"> </w:t>
      </w:r>
      <w:r>
        <w:rPr>
          <w:spacing w:val="13"/>
          <w:sz w:val="19"/>
          <w:szCs w:val="19"/>
        </w:rPr>
        <w:t>要求和具体业务需求，进行有针对性的进一步具体规划或总体设计。承建单位应综合考虑技术</w:t>
      </w:r>
      <w:r>
        <w:rPr>
          <w:spacing w:val="5"/>
          <w:sz w:val="19"/>
          <w:szCs w:val="19"/>
        </w:rPr>
        <w:t xml:space="preserve"> </w:t>
      </w:r>
      <w:r>
        <w:rPr>
          <w:spacing w:val="13"/>
          <w:sz w:val="19"/>
          <w:szCs w:val="19"/>
        </w:rPr>
        <w:t>实现要求、项目实施要求、进度要求、质量要求、合同预算约定等多项因素，完善并提出针对</w:t>
      </w:r>
      <w:r>
        <w:rPr>
          <w:spacing w:val="4"/>
          <w:sz w:val="19"/>
          <w:szCs w:val="19"/>
        </w:rPr>
        <w:t xml:space="preserve"> </w:t>
      </w:r>
      <w:r>
        <w:rPr>
          <w:spacing w:val="13"/>
          <w:sz w:val="19"/>
          <w:szCs w:val="19"/>
        </w:rPr>
        <w:t>具体建设任务的可实施、可执行、可落地的设计方案，也可以理解为建设任务的深化设计或施</w:t>
      </w:r>
      <w:r>
        <w:rPr>
          <w:spacing w:val="5"/>
          <w:sz w:val="19"/>
          <w:szCs w:val="19"/>
        </w:rPr>
        <w:t xml:space="preserve"> </w:t>
      </w:r>
      <w:r>
        <w:rPr>
          <w:spacing w:val="7"/>
          <w:sz w:val="19"/>
          <w:szCs w:val="19"/>
        </w:rPr>
        <w:t>工图设计。</w:t>
      </w:r>
    </w:p>
    <w:p w14:paraId="4CC63B21">
      <w:pPr>
        <w:pStyle w:val="2"/>
        <w:spacing w:before="52" w:line="293" w:lineRule="auto"/>
        <w:ind w:right="333" w:firstLine="399"/>
        <w:jc w:val="both"/>
        <w:rPr>
          <w:sz w:val="19"/>
          <w:szCs w:val="19"/>
        </w:rPr>
      </w:pPr>
      <w:r>
        <w:rPr>
          <w:spacing w:val="13"/>
          <w:sz w:val="19"/>
          <w:szCs w:val="19"/>
        </w:rPr>
        <w:t>设计阶段的工作直接影响后续的项目实施，监理机构应努力协助业主单位和承建单位提高</w:t>
      </w:r>
      <w:r>
        <w:rPr>
          <w:spacing w:val="10"/>
          <w:sz w:val="19"/>
          <w:szCs w:val="19"/>
        </w:rPr>
        <w:t xml:space="preserve"> </w:t>
      </w:r>
      <w:r>
        <w:rPr>
          <w:spacing w:val="13"/>
          <w:sz w:val="19"/>
          <w:szCs w:val="19"/>
        </w:rPr>
        <w:t>设计质量，使设计方案能够保障项目的可靠性，满足适用性、安全性和经济性，同时保障设计</w:t>
      </w:r>
      <w:r>
        <w:rPr>
          <w:spacing w:val="4"/>
          <w:sz w:val="19"/>
          <w:szCs w:val="19"/>
        </w:rPr>
        <w:t xml:space="preserve"> </w:t>
      </w:r>
      <w:r>
        <w:rPr>
          <w:spacing w:val="8"/>
          <w:sz w:val="19"/>
          <w:szCs w:val="19"/>
        </w:rPr>
        <w:t>阶段的各项工作能在预定的投资、进度和质量目标内得以完成。</w:t>
      </w:r>
    </w:p>
    <w:p w14:paraId="24E3C4F9">
      <w:pPr>
        <w:pStyle w:val="2"/>
        <w:spacing w:before="208" w:line="221" w:lineRule="auto"/>
        <w:ind w:left="2"/>
        <w:outlineLvl w:val="1"/>
        <w:rPr>
          <w:sz w:val="25"/>
          <w:szCs w:val="25"/>
        </w:rPr>
      </w:pPr>
      <w:r>
        <w:rPr>
          <w:b/>
          <w:bCs/>
          <w:color w:val="0068E0"/>
          <w:spacing w:val="-17"/>
          <w:sz w:val="25"/>
          <w:szCs w:val="25"/>
        </w:rPr>
        <w:t>20.3.1</w:t>
      </w:r>
      <w:r>
        <w:rPr>
          <w:color w:val="0068E0"/>
          <w:spacing w:val="90"/>
          <w:sz w:val="25"/>
          <w:szCs w:val="25"/>
        </w:rPr>
        <w:t xml:space="preserve"> </w:t>
      </w:r>
      <w:r>
        <w:rPr>
          <w:b/>
          <w:bCs/>
          <w:color w:val="0068E0"/>
          <w:spacing w:val="-17"/>
          <w:sz w:val="25"/>
          <w:szCs w:val="25"/>
        </w:rPr>
        <w:t>监理要求</w:t>
      </w:r>
    </w:p>
    <w:p w14:paraId="74CE60ED">
      <w:pPr>
        <w:pStyle w:val="2"/>
        <w:spacing w:before="141" w:line="220" w:lineRule="auto"/>
        <w:ind w:left="399"/>
        <w:rPr>
          <w:sz w:val="19"/>
          <w:szCs w:val="19"/>
        </w:rPr>
      </w:pPr>
      <w:r>
        <w:rPr>
          <w:spacing w:val="6"/>
          <w:sz w:val="19"/>
          <w:szCs w:val="19"/>
        </w:rPr>
        <w:t>设计阶段的监理要求具体如下：</w:t>
      </w:r>
    </w:p>
    <w:p w14:paraId="488C805C">
      <w:pPr>
        <w:pStyle w:val="2"/>
        <w:spacing w:before="71" w:line="265" w:lineRule="auto"/>
        <w:ind w:right="334" w:firstLine="399"/>
        <w:rPr>
          <w:sz w:val="19"/>
          <w:szCs w:val="19"/>
        </w:rPr>
      </w:pPr>
      <w:r>
        <w:rPr>
          <w:spacing w:val="15"/>
          <w:sz w:val="19"/>
          <w:szCs w:val="19"/>
        </w:rPr>
        <w:t>(1)应推动业主单位、承建单位对项目需求和设计进行规范化的技术描述，为项目实施提</w:t>
      </w:r>
      <w:r>
        <w:rPr>
          <w:spacing w:val="11"/>
          <w:sz w:val="19"/>
          <w:szCs w:val="19"/>
        </w:rPr>
        <w:t xml:space="preserve"> </w:t>
      </w:r>
      <w:r>
        <w:rPr>
          <w:spacing w:val="6"/>
          <w:sz w:val="19"/>
          <w:szCs w:val="19"/>
        </w:rPr>
        <w:t>供优化的设计方案。</w:t>
      </w:r>
    </w:p>
    <w:p w14:paraId="373055F3">
      <w:pPr>
        <w:pStyle w:val="2"/>
        <w:spacing w:before="66" w:line="270" w:lineRule="auto"/>
        <w:ind w:right="334" w:firstLine="399"/>
        <w:rPr>
          <w:sz w:val="19"/>
          <w:szCs w:val="19"/>
        </w:rPr>
      </w:pPr>
      <w:r>
        <w:rPr>
          <w:spacing w:val="15"/>
          <w:sz w:val="19"/>
          <w:szCs w:val="19"/>
        </w:rPr>
        <w:t>(2)应促使项目计划、设计方案满足项目需求，符合相关的法律法规和标准，并与承建合</w:t>
      </w:r>
      <w:r>
        <w:rPr>
          <w:spacing w:val="11"/>
          <w:sz w:val="19"/>
          <w:szCs w:val="19"/>
        </w:rPr>
        <w:t xml:space="preserve"> </w:t>
      </w:r>
      <w:r>
        <w:rPr>
          <w:spacing w:val="5"/>
          <w:sz w:val="19"/>
          <w:szCs w:val="19"/>
        </w:rPr>
        <w:t>同相符，具有可验证性。</w:t>
      </w:r>
    </w:p>
    <w:p w14:paraId="325CC5E9">
      <w:pPr>
        <w:pStyle w:val="2"/>
        <w:spacing w:before="64" w:line="219" w:lineRule="auto"/>
        <w:ind w:left="399"/>
        <w:rPr>
          <w:sz w:val="19"/>
          <w:szCs w:val="19"/>
        </w:rPr>
      </w:pPr>
      <w:r>
        <w:rPr>
          <w:spacing w:val="11"/>
          <w:sz w:val="19"/>
          <w:szCs w:val="19"/>
        </w:rPr>
        <w:t>(3)应协助业主单位、承建单位消除设计文档在进入实施阶段前可预见的缺陷。</w:t>
      </w:r>
    </w:p>
    <w:p w14:paraId="4B1EA8BD">
      <w:pPr>
        <w:pStyle w:val="2"/>
        <w:spacing w:before="86" w:line="220" w:lineRule="auto"/>
        <w:ind w:left="399"/>
        <w:rPr>
          <w:sz w:val="19"/>
          <w:szCs w:val="19"/>
        </w:rPr>
      </w:pPr>
      <w:r>
        <w:rPr>
          <w:spacing w:val="11"/>
          <w:sz w:val="19"/>
          <w:szCs w:val="19"/>
        </w:rPr>
        <w:t>(4)应协助业主单位组织专业人员评审设计方案。</w:t>
      </w:r>
    </w:p>
    <w:p w14:paraId="68EE8A43">
      <w:pPr>
        <w:spacing w:line="220" w:lineRule="auto"/>
        <w:rPr>
          <w:sz w:val="19"/>
          <w:szCs w:val="19"/>
        </w:rPr>
        <w:sectPr>
          <w:pgSz w:w="10290" w:h="13310"/>
          <w:pgMar w:top="400" w:right="528" w:bottom="400" w:left="1100" w:header="0" w:footer="0" w:gutter="0"/>
          <w:cols w:space="720" w:num="1"/>
        </w:sectPr>
      </w:pPr>
    </w:p>
    <w:p w14:paraId="650ED44F">
      <w:pPr>
        <w:pStyle w:val="2"/>
        <w:spacing w:before="58" w:line="219" w:lineRule="auto"/>
        <w:rPr>
          <w:sz w:val="20"/>
          <w:szCs w:val="20"/>
        </w:rPr>
      </w:pPr>
      <w:r>
        <w:rPr>
          <w:rFonts w:ascii="Times New Roman" w:hAnsi="Times New Roman" w:eastAsia="Times New Roman" w:cs="Times New Roman"/>
          <w:b/>
          <w:bCs/>
          <w:spacing w:val="-1"/>
          <w:position w:val="-1"/>
          <w:sz w:val="20"/>
          <w:szCs w:val="20"/>
        </w:rPr>
        <w:t xml:space="preserve">452              </w:t>
      </w:r>
      <w:r>
        <w:rPr>
          <w:spacing w:val="-1"/>
          <w:sz w:val="20"/>
          <w:szCs w:val="20"/>
        </w:rPr>
        <w:t>信息系统监理师教</w:t>
      </w:r>
      <w:r>
        <w:rPr>
          <w:spacing w:val="-2"/>
          <w:sz w:val="20"/>
          <w:szCs w:val="20"/>
        </w:rPr>
        <w:t>程(第2版)</w:t>
      </w:r>
    </w:p>
    <w:p w14:paraId="3034E878">
      <w:pPr>
        <w:spacing w:line="308" w:lineRule="auto"/>
        <w:rPr>
          <w:rFonts w:ascii="Arial"/>
          <w:sz w:val="21"/>
        </w:rPr>
      </w:pPr>
    </w:p>
    <w:p w14:paraId="22748667">
      <w:pPr>
        <w:pStyle w:val="2"/>
        <w:spacing w:before="82" w:line="220" w:lineRule="auto"/>
        <w:ind w:left="372"/>
        <w:rPr>
          <w:sz w:val="25"/>
          <w:szCs w:val="25"/>
        </w:rPr>
      </w:pPr>
      <w:r>
        <w:rPr>
          <w:b/>
          <w:bCs/>
          <w:color w:val="007FD4"/>
          <w:spacing w:val="-17"/>
          <w:sz w:val="25"/>
          <w:szCs w:val="25"/>
        </w:rPr>
        <w:t>20.3.2</w:t>
      </w:r>
      <w:r>
        <w:rPr>
          <w:color w:val="007FD4"/>
          <w:spacing w:val="-17"/>
          <w:sz w:val="25"/>
          <w:szCs w:val="25"/>
        </w:rPr>
        <w:t xml:space="preserve">  </w:t>
      </w:r>
      <w:r>
        <w:rPr>
          <w:b/>
          <w:bCs/>
          <w:color w:val="007FD4"/>
          <w:spacing w:val="-17"/>
          <w:sz w:val="25"/>
          <w:szCs w:val="25"/>
        </w:rPr>
        <w:t>监理活动</w:t>
      </w:r>
    </w:p>
    <w:p w14:paraId="6E7D36A7">
      <w:pPr>
        <w:pStyle w:val="2"/>
        <w:spacing w:before="183" w:line="220" w:lineRule="auto"/>
        <w:ind w:left="759"/>
        <w:rPr>
          <w:sz w:val="20"/>
          <w:szCs w:val="20"/>
        </w:rPr>
      </w:pPr>
      <w:r>
        <w:rPr>
          <w:spacing w:val="-4"/>
          <w:sz w:val="20"/>
          <w:szCs w:val="20"/>
        </w:rPr>
        <w:t>设计阶段的监理活动具体如下。</w:t>
      </w:r>
    </w:p>
    <w:p w14:paraId="62EA772B">
      <w:pPr>
        <w:spacing w:before="146" w:line="223" w:lineRule="auto"/>
        <w:ind w:left="759"/>
        <w:rPr>
          <w:rFonts w:ascii="楷体" w:hAnsi="楷体" w:eastAsia="楷体" w:cs="楷体"/>
          <w:sz w:val="20"/>
          <w:szCs w:val="20"/>
        </w:rPr>
      </w:pPr>
      <w:r>
        <w:rPr>
          <w:rFonts w:ascii="楷体" w:hAnsi="楷体" w:eastAsia="楷体" w:cs="楷体"/>
          <w:spacing w:val="2"/>
          <w:sz w:val="20"/>
          <w:szCs w:val="20"/>
        </w:rPr>
        <w:t>1)设计方案、测试验收方案、计划方案的审查</w:t>
      </w:r>
    </w:p>
    <w:p w14:paraId="569C5384">
      <w:pPr>
        <w:pStyle w:val="2"/>
        <w:spacing w:before="72" w:line="289" w:lineRule="auto"/>
        <w:ind w:left="369" w:right="72" w:firstLine="390"/>
        <w:rPr>
          <w:sz w:val="20"/>
          <w:szCs w:val="20"/>
        </w:rPr>
      </w:pPr>
      <w:r>
        <w:rPr>
          <w:spacing w:val="3"/>
          <w:sz w:val="20"/>
          <w:szCs w:val="20"/>
        </w:rPr>
        <w:t>依据承建合同，审查承建单位提交的设计方案、测试验收方案、计划方案，审查时应充分</w:t>
      </w:r>
      <w:r>
        <w:rPr>
          <w:sz w:val="20"/>
          <w:szCs w:val="20"/>
        </w:rPr>
        <w:t xml:space="preserve"> </w:t>
      </w:r>
      <w:r>
        <w:rPr>
          <w:spacing w:val="3"/>
          <w:sz w:val="20"/>
          <w:szCs w:val="20"/>
        </w:rPr>
        <w:t>考虑业主单位的项目需求，并参考相关的技术标准。不应只审查文档规范性，还应审查设计内 容的完整性、正确性和合理性。同时协助承建单位完善上述</w:t>
      </w:r>
      <w:r>
        <w:rPr>
          <w:spacing w:val="2"/>
          <w:sz w:val="20"/>
          <w:szCs w:val="20"/>
        </w:rPr>
        <w:t>方案，促使其满足工程需求，符合</w:t>
      </w:r>
      <w:r>
        <w:rPr>
          <w:sz w:val="20"/>
          <w:szCs w:val="20"/>
        </w:rPr>
        <w:t xml:space="preserve"> </w:t>
      </w:r>
      <w:r>
        <w:rPr>
          <w:spacing w:val="-3"/>
          <w:sz w:val="20"/>
          <w:szCs w:val="20"/>
        </w:rPr>
        <w:t>相关的法律法规和标准规范，并与承建合同相符。</w:t>
      </w:r>
    </w:p>
    <w:p w14:paraId="164D06EF">
      <w:pPr>
        <w:spacing w:before="104" w:line="223" w:lineRule="auto"/>
        <w:ind w:left="759"/>
        <w:rPr>
          <w:rFonts w:ascii="楷体" w:hAnsi="楷体" w:eastAsia="楷体" w:cs="楷体"/>
          <w:sz w:val="20"/>
          <w:szCs w:val="20"/>
        </w:rPr>
      </w:pPr>
      <w:r>
        <w:rPr>
          <w:rFonts w:ascii="楷体" w:hAnsi="楷体" w:eastAsia="楷体" w:cs="楷体"/>
          <w:spacing w:val="4"/>
          <w:sz w:val="20"/>
          <w:szCs w:val="20"/>
        </w:rPr>
        <w:t>2)变更方案和文档资料的管理</w:t>
      </w:r>
    </w:p>
    <w:p w14:paraId="4234C65B">
      <w:pPr>
        <w:pStyle w:val="2"/>
        <w:spacing w:before="71" w:line="283" w:lineRule="auto"/>
        <w:ind w:left="369" w:right="20" w:firstLine="390"/>
        <w:rPr>
          <w:sz w:val="20"/>
          <w:szCs w:val="20"/>
        </w:rPr>
      </w:pPr>
      <w:r>
        <w:rPr>
          <w:spacing w:val="5"/>
          <w:sz w:val="20"/>
          <w:szCs w:val="20"/>
        </w:rPr>
        <w:t>在设计阶段，文档资料的管理显得尤为重要，尤其是文档资料的版本控制</w:t>
      </w:r>
      <w:r>
        <w:rPr>
          <w:spacing w:val="4"/>
          <w:sz w:val="20"/>
          <w:szCs w:val="20"/>
        </w:rPr>
        <w:t>和变更控制等。</w:t>
      </w:r>
      <w:r>
        <w:rPr>
          <w:sz w:val="20"/>
          <w:szCs w:val="20"/>
        </w:rPr>
        <w:t xml:space="preserve"> </w:t>
      </w:r>
      <w:r>
        <w:rPr>
          <w:spacing w:val="-2"/>
          <w:sz w:val="20"/>
          <w:szCs w:val="20"/>
        </w:rPr>
        <w:t>设计变更应得到有效的控制，否则将影响项目实施的进度、投</w:t>
      </w:r>
      <w:r>
        <w:rPr>
          <w:spacing w:val="-3"/>
          <w:sz w:val="20"/>
          <w:szCs w:val="20"/>
        </w:rPr>
        <w:t>资和质量。</w:t>
      </w:r>
    </w:p>
    <w:p w14:paraId="0A221A1A">
      <w:pPr>
        <w:pStyle w:val="2"/>
        <w:spacing w:before="187" w:line="219" w:lineRule="auto"/>
        <w:ind w:left="372"/>
        <w:rPr>
          <w:sz w:val="25"/>
          <w:szCs w:val="25"/>
        </w:rPr>
      </w:pPr>
      <w:r>
        <w:rPr>
          <w:b/>
          <w:bCs/>
          <w:color w:val="0082DA"/>
          <w:spacing w:val="-19"/>
          <w:sz w:val="25"/>
          <w:szCs w:val="25"/>
        </w:rPr>
        <w:t>20.3.3</w:t>
      </w:r>
      <w:r>
        <w:rPr>
          <w:color w:val="0082DA"/>
          <w:spacing w:val="100"/>
          <w:sz w:val="25"/>
          <w:szCs w:val="25"/>
        </w:rPr>
        <w:t xml:space="preserve"> </w:t>
      </w:r>
      <w:r>
        <w:rPr>
          <w:b/>
          <w:bCs/>
          <w:color w:val="0082DA"/>
          <w:spacing w:val="-19"/>
          <w:sz w:val="25"/>
          <w:szCs w:val="25"/>
        </w:rPr>
        <w:t>监理内容</w:t>
      </w:r>
    </w:p>
    <w:p w14:paraId="2B11956D">
      <w:pPr>
        <w:pStyle w:val="2"/>
        <w:spacing w:before="250" w:line="221" w:lineRule="auto"/>
        <w:ind w:left="762"/>
        <w:rPr>
          <w:rFonts w:ascii="黑体" w:hAnsi="黑体" w:eastAsia="黑体" w:cs="黑体"/>
          <w:sz w:val="20"/>
          <w:szCs w:val="20"/>
        </w:rPr>
      </w:pPr>
      <w:r>
        <w:rPr>
          <w:b/>
          <w:bCs/>
          <w:color w:val="0087E1"/>
          <w:spacing w:val="-6"/>
          <w:sz w:val="20"/>
          <w:szCs w:val="20"/>
        </w:rPr>
        <w:t>1.</w:t>
      </w:r>
      <w:r>
        <w:rPr>
          <w:rFonts w:ascii="黑体" w:hAnsi="黑体" w:eastAsia="黑体" w:cs="黑体"/>
          <w:b/>
          <w:bCs/>
          <w:color w:val="0087E1"/>
          <w:spacing w:val="-6"/>
          <w:sz w:val="20"/>
          <w:szCs w:val="20"/>
        </w:rPr>
        <w:t>对设计方案的审查</w:t>
      </w:r>
    </w:p>
    <w:p w14:paraId="7AD04BAD">
      <w:pPr>
        <w:pStyle w:val="2"/>
        <w:spacing w:before="146" w:line="290" w:lineRule="auto"/>
        <w:ind w:left="369" w:right="91" w:firstLine="390"/>
        <w:rPr>
          <w:sz w:val="20"/>
          <w:szCs w:val="20"/>
        </w:rPr>
      </w:pPr>
      <w:r>
        <w:rPr>
          <w:spacing w:val="3"/>
          <w:sz w:val="20"/>
          <w:szCs w:val="20"/>
        </w:rPr>
        <w:t>设计方案审查的主要目的是确定用户的要求是否得到充分满足，但对用户提出的要求也应</w:t>
      </w:r>
      <w:r>
        <w:rPr>
          <w:sz w:val="20"/>
          <w:szCs w:val="20"/>
        </w:rPr>
        <w:t xml:space="preserve"> </w:t>
      </w:r>
      <w:r>
        <w:rPr>
          <w:spacing w:val="-1"/>
          <w:sz w:val="20"/>
          <w:szCs w:val="20"/>
        </w:rPr>
        <w:t>全面分析，不能无原则地全盘接受，要分析这些要求与总体目标及用户的要求是否矛盾。</w:t>
      </w:r>
    </w:p>
    <w:p w14:paraId="65B016FA">
      <w:pPr>
        <w:pStyle w:val="2"/>
        <w:spacing w:line="218" w:lineRule="auto"/>
        <w:ind w:left="759"/>
        <w:rPr>
          <w:sz w:val="20"/>
          <w:szCs w:val="20"/>
        </w:rPr>
      </w:pPr>
      <w:r>
        <w:rPr>
          <w:spacing w:val="-3"/>
          <w:sz w:val="20"/>
          <w:szCs w:val="20"/>
        </w:rPr>
        <w:t>对于项目设计方案，监理机构应审查：</w:t>
      </w:r>
    </w:p>
    <w:p w14:paraId="696AB73A">
      <w:pPr>
        <w:pStyle w:val="2"/>
        <w:spacing w:before="75" w:line="257" w:lineRule="auto"/>
        <w:ind w:left="369" w:right="111" w:firstLine="390"/>
        <w:rPr>
          <w:sz w:val="20"/>
          <w:szCs w:val="20"/>
        </w:rPr>
      </w:pPr>
      <w:r>
        <w:rPr>
          <w:spacing w:val="4"/>
          <w:sz w:val="20"/>
          <w:szCs w:val="20"/>
        </w:rPr>
        <w:t>(1)设计方案的完整性。例如，网络设计方案是否缺少必要的</w:t>
      </w:r>
      <w:r>
        <w:rPr>
          <w:rFonts w:ascii="Times New Roman" w:hAnsi="Times New Roman" w:eastAsia="Times New Roman" w:cs="Times New Roman"/>
          <w:sz w:val="20"/>
          <w:szCs w:val="20"/>
        </w:rPr>
        <w:t>IP</w:t>
      </w:r>
      <w:r>
        <w:rPr>
          <w:rFonts w:ascii="Times New Roman" w:hAnsi="Times New Roman" w:eastAsia="Times New Roman" w:cs="Times New Roman"/>
          <w:spacing w:val="4"/>
          <w:sz w:val="20"/>
          <w:szCs w:val="20"/>
        </w:rPr>
        <w:t xml:space="preserve"> </w:t>
      </w:r>
      <w:r>
        <w:rPr>
          <w:spacing w:val="4"/>
          <w:sz w:val="20"/>
          <w:szCs w:val="20"/>
        </w:rPr>
        <w:t>地址规划，软件详细设计</w:t>
      </w:r>
      <w:r>
        <w:rPr>
          <w:spacing w:val="9"/>
          <w:sz w:val="20"/>
          <w:szCs w:val="20"/>
        </w:rPr>
        <w:t xml:space="preserve"> </w:t>
      </w:r>
      <w:r>
        <w:rPr>
          <w:spacing w:val="-4"/>
          <w:sz w:val="20"/>
          <w:szCs w:val="20"/>
        </w:rPr>
        <w:t>文档是否缺少必要的业务数据字典说明等。</w:t>
      </w:r>
    </w:p>
    <w:p w14:paraId="2DAEA4E0">
      <w:pPr>
        <w:pStyle w:val="2"/>
        <w:spacing w:before="73" w:line="257" w:lineRule="auto"/>
        <w:ind w:left="369" w:firstLine="390"/>
        <w:rPr>
          <w:sz w:val="20"/>
          <w:szCs w:val="20"/>
        </w:rPr>
      </w:pPr>
      <w:r>
        <w:rPr>
          <w:spacing w:val="8"/>
          <w:sz w:val="20"/>
          <w:szCs w:val="20"/>
        </w:rPr>
        <w:t>(2)与项目需求的符合性。例如，与功能需求、性能需求、兼容</w:t>
      </w:r>
      <w:r>
        <w:rPr>
          <w:spacing w:val="7"/>
          <w:sz w:val="20"/>
          <w:szCs w:val="20"/>
        </w:rPr>
        <w:t>性需求、互操作性需求、</w:t>
      </w:r>
      <w:r>
        <w:rPr>
          <w:sz w:val="20"/>
          <w:szCs w:val="20"/>
        </w:rPr>
        <w:t xml:space="preserve"> </w:t>
      </w:r>
      <w:r>
        <w:rPr>
          <w:spacing w:val="-2"/>
          <w:sz w:val="20"/>
          <w:szCs w:val="20"/>
        </w:rPr>
        <w:t>系统接口需求以及用户界面需求等的符合性。</w:t>
      </w:r>
    </w:p>
    <w:p w14:paraId="0453605F">
      <w:pPr>
        <w:pStyle w:val="2"/>
        <w:spacing w:before="73" w:line="219" w:lineRule="auto"/>
        <w:ind w:left="759"/>
        <w:rPr>
          <w:sz w:val="20"/>
          <w:szCs w:val="20"/>
        </w:rPr>
      </w:pPr>
      <w:r>
        <w:rPr>
          <w:spacing w:val="2"/>
          <w:sz w:val="20"/>
          <w:szCs w:val="20"/>
        </w:rPr>
        <w:t>(3)与承建合同、法律法规、标准的符合性。</w:t>
      </w:r>
    </w:p>
    <w:p w14:paraId="73991E22">
      <w:pPr>
        <w:pStyle w:val="2"/>
        <w:spacing w:before="93" w:line="247" w:lineRule="auto"/>
        <w:ind w:left="369" w:right="92" w:firstLine="390"/>
        <w:rPr>
          <w:sz w:val="20"/>
          <w:szCs w:val="20"/>
        </w:rPr>
      </w:pPr>
      <w:r>
        <w:rPr>
          <w:spacing w:val="5"/>
          <w:sz w:val="20"/>
          <w:szCs w:val="20"/>
        </w:rPr>
        <w:t>(4)设计合理性。例如，系统结构是否合理，数据库设计和数据项定义是否合理，用户界</w:t>
      </w:r>
      <w:r>
        <w:rPr>
          <w:spacing w:val="17"/>
          <w:sz w:val="20"/>
          <w:szCs w:val="20"/>
        </w:rPr>
        <w:t xml:space="preserve"> </w:t>
      </w:r>
      <w:r>
        <w:rPr>
          <w:spacing w:val="-3"/>
          <w:sz w:val="20"/>
          <w:szCs w:val="20"/>
        </w:rPr>
        <w:t>面布局设计是否合理，产品选型是否合理等。</w:t>
      </w:r>
    </w:p>
    <w:p w14:paraId="12DE6316">
      <w:pPr>
        <w:pStyle w:val="2"/>
        <w:spacing w:before="84" w:line="219" w:lineRule="auto"/>
        <w:ind w:left="759"/>
        <w:rPr>
          <w:sz w:val="20"/>
          <w:szCs w:val="20"/>
        </w:rPr>
      </w:pPr>
      <w:r>
        <w:rPr>
          <w:spacing w:val="2"/>
          <w:sz w:val="20"/>
          <w:szCs w:val="20"/>
        </w:rPr>
        <w:t>(5)设计正确性。例如，关键算法设计是否正确，变量分析是否符合</w:t>
      </w:r>
      <w:r>
        <w:rPr>
          <w:spacing w:val="1"/>
          <w:sz w:val="20"/>
          <w:szCs w:val="20"/>
        </w:rPr>
        <w:t>数学逻辑等。</w:t>
      </w:r>
    </w:p>
    <w:p w14:paraId="276D9B80">
      <w:pPr>
        <w:pStyle w:val="2"/>
        <w:spacing w:before="64" w:line="221" w:lineRule="auto"/>
        <w:ind w:left="759"/>
        <w:rPr>
          <w:sz w:val="20"/>
          <w:szCs w:val="20"/>
        </w:rPr>
      </w:pPr>
      <w:r>
        <w:rPr>
          <w:spacing w:val="5"/>
          <w:sz w:val="20"/>
          <w:szCs w:val="20"/>
        </w:rPr>
        <w:t>(6)设计可验证性。</w:t>
      </w:r>
    </w:p>
    <w:p w14:paraId="109794C2">
      <w:pPr>
        <w:pStyle w:val="2"/>
        <w:spacing w:before="80" w:line="219" w:lineRule="auto"/>
        <w:ind w:left="759"/>
        <w:rPr>
          <w:sz w:val="20"/>
          <w:szCs w:val="20"/>
        </w:rPr>
      </w:pPr>
      <w:r>
        <w:rPr>
          <w:spacing w:val="2"/>
          <w:sz w:val="20"/>
          <w:szCs w:val="20"/>
        </w:rPr>
        <w:t>(7)关键技术的实现方法、流程及技术保障措施</w:t>
      </w:r>
      <w:r>
        <w:rPr>
          <w:spacing w:val="1"/>
          <w:sz w:val="20"/>
          <w:szCs w:val="20"/>
        </w:rPr>
        <w:t>的合理性。</w:t>
      </w:r>
    </w:p>
    <w:p w14:paraId="5B2035AD">
      <w:pPr>
        <w:pStyle w:val="2"/>
        <w:spacing w:before="72" w:line="219" w:lineRule="auto"/>
        <w:ind w:left="759"/>
        <w:rPr>
          <w:sz w:val="20"/>
          <w:szCs w:val="20"/>
        </w:rPr>
      </w:pPr>
      <w:r>
        <w:rPr>
          <w:spacing w:val="1"/>
          <w:sz w:val="20"/>
          <w:szCs w:val="20"/>
        </w:rPr>
        <w:t>(8)项目实施的质量保证措施的可行性、合理性及其文档的完整性。</w:t>
      </w:r>
    </w:p>
    <w:p w14:paraId="7742F38E">
      <w:pPr>
        <w:pStyle w:val="2"/>
        <w:spacing w:before="64" w:line="220" w:lineRule="auto"/>
        <w:ind w:left="759"/>
        <w:rPr>
          <w:sz w:val="20"/>
          <w:szCs w:val="20"/>
        </w:rPr>
      </w:pPr>
      <w:r>
        <w:rPr>
          <w:spacing w:val="2"/>
          <w:sz w:val="20"/>
          <w:szCs w:val="20"/>
        </w:rPr>
        <w:t>(9)项目实施所需的各项资源是否已有效识别和配</w:t>
      </w:r>
      <w:r>
        <w:rPr>
          <w:spacing w:val="1"/>
          <w:sz w:val="20"/>
          <w:szCs w:val="20"/>
        </w:rPr>
        <w:t>备。</w:t>
      </w:r>
    </w:p>
    <w:p w14:paraId="57A61DAF">
      <w:pPr>
        <w:pStyle w:val="2"/>
        <w:spacing w:before="79" w:line="219" w:lineRule="auto"/>
        <w:ind w:left="759"/>
        <w:rPr>
          <w:sz w:val="20"/>
          <w:szCs w:val="20"/>
        </w:rPr>
      </w:pPr>
      <w:r>
        <w:rPr>
          <w:spacing w:val="2"/>
          <w:sz w:val="20"/>
          <w:szCs w:val="20"/>
        </w:rPr>
        <w:t>(10)是否实现了对软硬件资源的最佳利用。</w:t>
      </w:r>
    </w:p>
    <w:p w14:paraId="4859893B">
      <w:pPr>
        <w:pStyle w:val="2"/>
        <w:spacing w:before="65" w:line="262" w:lineRule="auto"/>
        <w:ind w:left="369" w:firstLine="390"/>
        <w:rPr>
          <w:sz w:val="20"/>
          <w:szCs w:val="20"/>
        </w:rPr>
      </w:pPr>
      <w:r>
        <w:rPr>
          <w:spacing w:val="3"/>
          <w:sz w:val="20"/>
          <w:szCs w:val="20"/>
        </w:rPr>
        <w:t>(11)对整个系统的体系结构、开发平台和开发工具的选择、网络安全方案等要</w:t>
      </w:r>
      <w:r>
        <w:rPr>
          <w:spacing w:val="2"/>
          <w:sz w:val="20"/>
          <w:szCs w:val="20"/>
        </w:rPr>
        <w:t>进行充分论</w:t>
      </w:r>
      <w:r>
        <w:rPr>
          <w:sz w:val="20"/>
          <w:szCs w:val="20"/>
        </w:rPr>
        <w:t xml:space="preserve">  </w:t>
      </w:r>
      <w:r>
        <w:rPr>
          <w:spacing w:val="3"/>
          <w:sz w:val="20"/>
          <w:szCs w:val="20"/>
        </w:rPr>
        <w:t>证。当前信息技术发展迅速，许多技术还没有达到成熟阶段，就被更先进的技术所替代，而且</w:t>
      </w:r>
      <w:r>
        <w:rPr>
          <w:spacing w:val="15"/>
          <w:sz w:val="20"/>
          <w:szCs w:val="20"/>
        </w:rPr>
        <w:t xml:space="preserve"> </w:t>
      </w:r>
      <w:r>
        <w:rPr>
          <w:spacing w:val="5"/>
          <w:sz w:val="20"/>
          <w:szCs w:val="20"/>
        </w:rPr>
        <w:t>所花费的成本可能还更低。但需要注意的是，在信息系统工程中采用最新的、最</w:t>
      </w:r>
      <w:r>
        <w:rPr>
          <w:spacing w:val="4"/>
          <w:sz w:val="20"/>
          <w:szCs w:val="20"/>
        </w:rPr>
        <w:t>先进的技术，</w:t>
      </w:r>
      <w:r>
        <w:rPr>
          <w:sz w:val="20"/>
          <w:szCs w:val="20"/>
        </w:rPr>
        <w:t xml:space="preserve"> </w:t>
      </w:r>
      <w:r>
        <w:rPr>
          <w:spacing w:val="-3"/>
          <w:sz w:val="20"/>
          <w:szCs w:val="20"/>
        </w:rPr>
        <w:t>会给质量控制带来技术风险。</w:t>
      </w:r>
    </w:p>
    <w:p w14:paraId="21441132">
      <w:pPr>
        <w:pStyle w:val="2"/>
        <w:spacing w:before="94" w:line="219" w:lineRule="auto"/>
        <w:ind w:left="759"/>
        <w:rPr>
          <w:sz w:val="20"/>
          <w:szCs w:val="20"/>
        </w:rPr>
      </w:pPr>
      <w:r>
        <w:rPr>
          <w:spacing w:val="4"/>
          <w:sz w:val="20"/>
          <w:szCs w:val="20"/>
        </w:rPr>
        <w:t>(12)其他必要的内容。</w:t>
      </w:r>
    </w:p>
    <w:p w14:paraId="33F29C17">
      <w:pPr>
        <w:pStyle w:val="2"/>
        <w:spacing w:before="83" w:line="219" w:lineRule="auto"/>
        <w:ind w:left="759"/>
        <w:rPr>
          <w:sz w:val="20"/>
          <w:szCs w:val="20"/>
        </w:rPr>
      </w:pPr>
      <w:r>
        <w:rPr>
          <w:spacing w:val="4"/>
          <w:sz w:val="20"/>
          <w:szCs w:val="20"/>
        </w:rPr>
        <w:t>监理单位还可以从实际需求出发，对系统结构、数据结构、开发环</w:t>
      </w:r>
      <w:r>
        <w:rPr>
          <w:spacing w:val="3"/>
          <w:sz w:val="20"/>
          <w:szCs w:val="20"/>
        </w:rPr>
        <w:t>境、运行环境、各种接</w:t>
      </w:r>
    </w:p>
    <w:p w14:paraId="0601C94D">
      <w:pPr>
        <w:spacing w:line="219" w:lineRule="auto"/>
        <w:rPr>
          <w:sz w:val="20"/>
          <w:szCs w:val="20"/>
        </w:rPr>
        <w:sectPr>
          <w:pgSz w:w="10310" w:h="13390"/>
          <w:pgMar w:top="400" w:right="1039" w:bottom="400" w:left="500" w:header="0" w:footer="0" w:gutter="0"/>
          <w:cols w:space="720" w:num="1"/>
        </w:sectPr>
      </w:pPr>
    </w:p>
    <w:p w14:paraId="38804653">
      <w:pPr>
        <w:pStyle w:val="2"/>
        <w:spacing w:before="27" w:line="225" w:lineRule="auto"/>
        <w:jc w:val="right"/>
        <w:rPr>
          <w:sz w:val="20"/>
          <w:szCs w:val="20"/>
        </w:rPr>
      </w:pPr>
      <w:r>
        <w:rPr>
          <w:spacing w:val="-9"/>
          <w:sz w:val="20"/>
          <w:szCs w:val="20"/>
        </w:rPr>
        <w:t>第20章 信息系统工程监理基础工作</w:t>
      </w:r>
      <w:r>
        <w:rPr>
          <w:spacing w:val="21"/>
          <w:sz w:val="20"/>
          <w:szCs w:val="20"/>
        </w:rPr>
        <w:t xml:space="preserve">     </w:t>
      </w:r>
      <w:r>
        <w:rPr>
          <w:rFonts w:ascii="Times New Roman" w:hAnsi="Times New Roman" w:eastAsia="Times New Roman" w:cs="Times New Roman"/>
          <w:spacing w:val="-9"/>
          <w:position w:val="-4"/>
          <w:sz w:val="20"/>
          <w:szCs w:val="20"/>
        </w:rPr>
        <w:t>453</w:t>
      </w:r>
      <w:r>
        <w:rPr>
          <w:rFonts w:ascii="Times New Roman" w:hAnsi="Times New Roman" w:eastAsia="Times New Roman" w:cs="Times New Roman"/>
          <w:spacing w:val="16"/>
          <w:position w:val="-4"/>
          <w:sz w:val="20"/>
          <w:szCs w:val="20"/>
        </w:rPr>
        <w:t xml:space="preserve"> </w:t>
      </w:r>
      <w:r>
        <w:rPr>
          <w:color w:val="009AE8"/>
          <w:spacing w:val="-9"/>
          <w:position w:val="-4"/>
          <w:sz w:val="20"/>
          <w:szCs w:val="20"/>
        </w:rPr>
        <w:t>|</w:t>
      </w:r>
    </w:p>
    <w:p w14:paraId="651D8875">
      <w:pPr>
        <w:spacing w:line="270" w:lineRule="auto"/>
        <w:rPr>
          <w:rFonts w:ascii="Arial"/>
          <w:sz w:val="21"/>
        </w:rPr>
      </w:pPr>
    </w:p>
    <w:p w14:paraId="1948389A">
      <w:pPr>
        <w:pStyle w:val="2"/>
        <w:spacing w:before="65" w:line="219" w:lineRule="auto"/>
        <w:rPr>
          <w:sz w:val="20"/>
          <w:szCs w:val="20"/>
        </w:rPr>
      </w:pPr>
      <w:r>
        <w:rPr>
          <w:spacing w:val="-1"/>
          <w:sz w:val="20"/>
          <w:szCs w:val="20"/>
        </w:rPr>
        <w:t>口类型、系统维护方式、软硬件设备型号和有关配</w:t>
      </w:r>
      <w:r>
        <w:rPr>
          <w:spacing w:val="-2"/>
          <w:sz w:val="20"/>
          <w:szCs w:val="20"/>
        </w:rPr>
        <w:t>置要求等提出建议。</w:t>
      </w:r>
    </w:p>
    <w:p w14:paraId="1AD81BFB">
      <w:pPr>
        <w:pStyle w:val="2"/>
        <w:spacing w:before="158" w:line="221" w:lineRule="auto"/>
        <w:ind w:left="382"/>
        <w:rPr>
          <w:rFonts w:ascii="黑体" w:hAnsi="黑体" w:eastAsia="黑体" w:cs="黑体"/>
          <w:sz w:val="20"/>
          <w:szCs w:val="20"/>
        </w:rPr>
      </w:pPr>
      <w:r>
        <w:rPr>
          <w:b/>
          <w:bCs/>
          <w:color w:val="007AD8"/>
          <w:spacing w:val="-2"/>
          <w:sz w:val="20"/>
          <w:szCs w:val="20"/>
        </w:rPr>
        <w:t>2.</w:t>
      </w:r>
      <w:r>
        <w:rPr>
          <w:rFonts w:ascii="黑体" w:hAnsi="黑体" w:eastAsia="黑体" w:cs="黑体"/>
          <w:b/>
          <w:bCs/>
          <w:color w:val="007AD8"/>
          <w:spacing w:val="-2"/>
          <w:sz w:val="20"/>
          <w:szCs w:val="20"/>
        </w:rPr>
        <w:t>对测试验收方案的审查</w:t>
      </w:r>
    </w:p>
    <w:p w14:paraId="440CEA69">
      <w:pPr>
        <w:pStyle w:val="2"/>
        <w:spacing w:before="143" w:line="289" w:lineRule="auto"/>
        <w:ind w:right="383" w:firstLine="380"/>
        <w:jc w:val="both"/>
        <w:rPr>
          <w:sz w:val="20"/>
          <w:szCs w:val="20"/>
        </w:rPr>
      </w:pPr>
      <w:r>
        <w:rPr>
          <w:spacing w:val="5"/>
          <w:sz w:val="20"/>
          <w:szCs w:val="20"/>
        </w:rPr>
        <w:t>对测试验收方案的审查重点是与设计方案的符合性</w:t>
      </w:r>
      <w:r>
        <w:rPr>
          <w:spacing w:val="4"/>
          <w:sz w:val="20"/>
          <w:szCs w:val="20"/>
        </w:rPr>
        <w:t>。测试验收方案应包括测试用例设计、</w:t>
      </w:r>
      <w:r>
        <w:rPr>
          <w:sz w:val="20"/>
          <w:szCs w:val="20"/>
        </w:rPr>
        <w:t xml:space="preserve"> </w:t>
      </w:r>
      <w:r>
        <w:rPr>
          <w:spacing w:val="3"/>
          <w:sz w:val="20"/>
          <w:szCs w:val="20"/>
        </w:rPr>
        <w:t>测试方法与流程设计、测试结果的判别方法等内容，监理机构主要对这三</w:t>
      </w:r>
      <w:r>
        <w:rPr>
          <w:spacing w:val="2"/>
          <w:sz w:val="20"/>
          <w:szCs w:val="20"/>
        </w:rPr>
        <w:t>项内容与设计方案的</w:t>
      </w:r>
      <w:r>
        <w:rPr>
          <w:sz w:val="20"/>
          <w:szCs w:val="20"/>
        </w:rPr>
        <w:t xml:space="preserve"> </w:t>
      </w:r>
      <w:r>
        <w:rPr>
          <w:spacing w:val="3"/>
          <w:sz w:val="20"/>
          <w:szCs w:val="20"/>
        </w:rPr>
        <w:t>符合性和可验证性等进行评审并提出评审意见。重点审查</w:t>
      </w:r>
      <w:r>
        <w:rPr>
          <w:spacing w:val="2"/>
          <w:sz w:val="20"/>
          <w:szCs w:val="20"/>
        </w:rPr>
        <w:t>对关键部位的测试方案，例如，主机</w:t>
      </w:r>
      <w:r>
        <w:rPr>
          <w:sz w:val="20"/>
          <w:szCs w:val="20"/>
        </w:rPr>
        <w:t xml:space="preserve"> </w:t>
      </w:r>
      <w:r>
        <w:rPr>
          <w:spacing w:val="-2"/>
          <w:sz w:val="20"/>
          <w:szCs w:val="20"/>
        </w:rPr>
        <w:t>网络系统软硬件测试方案、应用软件开发的模块功能测试方法等。</w:t>
      </w:r>
    </w:p>
    <w:p w14:paraId="0E192573">
      <w:pPr>
        <w:pStyle w:val="2"/>
        <w:spacing w:before="114" w:line="221" w:lineRule="auto"/>
        <w:ind w:left="382"/>
        <w:rPr>
          <w:rFonts w:ascii="黑体" w:hAnsi="黑体" w:eastAsia="黑体" w:cs="黑体"/>
          <w:sz w:val="20"/>
          <w:szCs w:val="20"/>
        </w:rPr>
      </w:pPr>
      <w:r>
        <w:rPr>
          <w:b/>
          <w:bCs/>
          <w:color w:val="007AD9"/>
          <w:spacing w:val="-4"/>
          <w:sz w:val="20"/>
          <w:szCs w:val="20"/>
        </w:rPr>
        <w:t>3.</w:t>
      </w:r>
      <w:r>
        <w:rPr>
          <w:rFonts w:ascii="黑体" w:hAnsi="黑体" w:eastAsia="黑体" w:cs="黑体"/>
          <w:b/>
          <w:bCs/>
          <w:color w:val="007AD9"/>
          <w:spacing w:val="-4"/>
          <w:sz w:val="20"/>
          <w:szCs w:val="20"/>
        </w:rPr>
        <w:t>对计划方案的审查</w:t>
      </w:r>
    </w:p>
    <w:p w14:paraId="44B7B3BE">
      <w:pPr>
        <w:pStyle w:val="2"/>
        <w:spacing w:before="124" w:line="289" w:lineRule="auto"/>
        <w:ind w:right="343" w:firstLine="380"/>
        <w:jc w:val="both"/>
        <w:rPr>
          <w:sz w:val="20"/>
          <w:szCs w:val="20"/>
        </w:rPr>
      </w:pPr>
      <w:r>
        <w:rPr>
          <w:spacing w:val="2"/>
          <w:sz w:val="20"/>
          <w:szCs w:val="20"/>
        </w:rPr>
        <w:t>计划方案应包括项目实施的组织设计、人员要求、实施过程和进度安排等内容。监理机构</w:t>
      </w:r>
      <w:r>
        <w:rPr>
          <w:spacing w:val="7"/>
          <w:sz w:val="20"/>
          <w:szCs w:val="20"/>
        </w:rPr>
        <w:t xml:space="preserve">  </w:t>
      </w:r>
      <w:r>
        <w:rPr>
          <w:spacing w:val="3"/>
          <w:sz w:val="20"/>
          <w:szCs w:val="20"/>
        </w:rPr>
        <w:t>应从方案要素的完整性、计划与合同的符合性、计划的合</w:t>
      </w:r>
      <w:r>
        <w:rPr>
          <w:spacing w:val="2"/>
          <w:sz w:val="20"/>
          <w:szCs w:val="20"/>
        </w:rPr>
        <w:t>理性和可行性、计划的可检查性等方</w:t>
      </w:r>
      <w:r>
        <w:rPr>
          <w:sz w:val="20"/>
          <w:szCs w:val="20"/>
        </w:rPr>
        <w:t xml:space="preserve">  面进行审查。监理机构应根据计划方案，合理安排项目的质量监督计划和控制的措施及方法等。 </w:t>
      </w:r>
      <w:r>
        <w:rPr>
          <w:spacing w:val="5"/>
          <w:sz w:val="20"/>
          <w:szCs w:val="20"/>
        </w:rPr>
        <w:t>监理机构还应与业主单位、承建单位确定项目设计阶段的协调形式和方法(例如监理例会和专</w:t>
      </w:r>
      <w:r>
        <w:rPr>
          <w:spacing w:val="2"/>
          <w:sz w:val="20"/>
          <w:szCs w:val="20"/>
        </w:rPr>
        <w:t xml:space="preserve">  </w:t>
      </w:r>
      <w:r>
        <w:rPr>
          <w:spacing w:val="5"/>
          <w:sz w:val="20"/>
          <w:szCs w:val="20"/>
        </w:rPr>
        <w:t>题会议等),并在项目过程中执行。</w:t>
      </w:r>
    </w:p>
    <w:p w14:paraId="02B14D7A">
      <w:pPr>
        <w:pStyle w:val="2"/>
        <w:spacing w:before="111" w:line="222" w:lineRule="auto"/>
        <w:ind w:left="382"/>
        <w:rPr>
          <w:rFonts w:ascii="黑体" w:hAnsi="黑体" w:eastAsia="黑体" w:cs="黑体"/>
          <w:sz w:val="20"/>
          <w:szCs w:val="20"/>
        </w:rPr>
      </w:pPr>
      <w:r>
        <w:rPr>
          <w:b/>
          <w:bCs/>
          <w:color w:val="006BCA"/>
          <w:spacing w:val="-2"/>
          <w:sz w:val="20"/>
          <w:szCs w:val="20"/>
        </w:rPr>
        <w:t>4.</w:t>
      </w:r>
      <w:r>
        <w:rPr>
          <w:rFonts w:ascii="黑体" w:hAnsi="黑体" w:eastAsia="黑体" w:cs="黑体"/>
          <w:b/>
          <w:bCs/>
          <w:color w:val="006BCA"/>
          <w:spacing w:val="-2"/>
          <w:sz w:val="20"/>
          <w:szCs w:val="20"/>
        </w:rPr>
        <w:t>对设计变更的管理</w:t>
      </w:r>
    </w:p>
    <w:p w14:paraId="3A40B836">
      <w:pPr>
        <w:pStyle w:val="2"/>
        <w:spacing w:before="144" w:line="281" w:lineRule="auto"/>
        <w:ind w:right="473" w:firstLine="380"/>
        <w:rPr>
          <w:sz w:val="20"/>
          <w:szCs w:val="20"/>
        </w:rPr>
      </w:pPr>
      <w:r>
        <w:rPr>
          <w:spacing w:val="2"/>
          <w:sz w:val="20"/>
          <w:szCs w:val="20"/>
        </w:rPr>
        <w:t>设计变更在信息系统工程建设项目中经常出现，必须得到有效的控制，否则将影响项目实</w:t>
      </w:r>
      <w:r>
        <w:rPr>
          <w:spacing w:val="11"/>
          <w:sz w:val="20"/>
          <w:szCs w:val="20"/>
        </w:rPr>
        <w:t xml:space="preserve"> </w:t>
      </w:r>
      <w:r>
        <w:rPr>
          <w:spacing w:val="-3"/>
          <w:sz w:val="20"/>
          <w:szCs w:val="20"/>
        </w:rPr>
        <w:t>施的成本、进度和质量。</w:t>
      </w:r>
    </w:p>
    <w:p w14:paraId="729361B2">
      <w:pPr>
        <w:pStyle w:val="2"/>
        <w:spacing w:before="21" w:line="264" w:lineRule="auto"/>
        <w:ind w:right="414" w:firstLine="380"/>
        <w:rPr>
          <w:sz w:val="20"/>
          <w:szCs w:val="20"/>
        </w:rPr>
      </w:pPr>
      <w:r>
        <w:rPr>
          <w:spacing w:val="5"/>
          <w:sz w:val="20"/>
          <w:szCs w:val="20"/>
        </w:rPr>
        <w:t>(1)控制设计变更，变更应由三方达成共识，并做工程备忘录。设计变</w:t>
      </w:r>
      <w:r>
        <w:rPr>
          <w:spacing w:val="4"/>
          <w:sz w:val="20"/>
          <w:szCs w:val="20"/>
        </w:rPr>
        <w:t>更评审的主要工作</w:t>
      </w:r>
      <w:r>
        <w:rPr>
          <w:sz w:val="20"/>
          <w:szCs w:val="20"/>
        </w:rPr>
        <w:t xml:space="preserve"> </w:t>
      </w:r>
      <w:r>
        <w:rPr>
          <w:spacing w:val="3"/>
          <w:sz w:val="20"/>
          <w:szCs w:val="20"/>
        </w:rPr>
        <w:t>是检查变更原因是否合理，变更后项目质量及工期是否满足合同要求，项目投资预算应合理控</w:t>
      </w:r>
      <w:r>
        <w:rPr>
          <w:spacing w:val="5"/>
          <w:sz w:val="20"/>
          <w:szCs w:val="20"/>
        </w:rPr>
        <w:t xml:space="preserve"> </w:t>
      </w:r>
      <w:r>
        <w:rPr>
          <w:spacing w:val="-3"/>
          <w:sz w:val="20"/>
          <w:szCs w:val="20"/>
        </w:rPr>
        <w:t>制，不能超出项目总预算。</w:t>
      </w:r>
    </w:p>
    <w:p w14:paraId="3A11B567">
      <w:pPr>
        <w:pStyle w:val="2"/>
        <w:spacing w:before="89" w:line="270" w:lineRule="auto"/>
        <w:ind w:right="431" w:firstLine="380"/>
        <w:rPr>
          <w:sz w:val="20"/>
          <w:szCs w:val="20"/>
        </w:rPr>
      </w:pPr>
      <w:r>
        <w:rPr>
          <w:spacing w:val="6"/>
          <w:sz w:val="20"/>
          <w:szCs w:val="20"/>
        </w:rPr>
        <w:t>(2)及时对合同的变更结果做工程备忘录。例如，对于硬件设备的</w:t>
      </w:r>
      <w:r>
        <w:rPr>
          <w:spacing w:val="5"/>
          <w:sz w:val="20"/>
          <w:szCs w:val="20"/>
        </w:rPr>
        <w:t>变更，监理机构应及时</w:t>
      </w:r>
      <w:r>
        <w:rPr>
          <w:sz w:val="20"/>
          <w:szCs w:val="20"/>
        </w:rPr>
        <w:t xml:space="preserve"> </w:t>
      </w:r>
      <w:r>
        <w:rPr>
          <w:spacing w:val="3"/>
          <w:sz w:val="20"/>
          <w:szCs w:val="20"/>
        </w:rPr>
        <w:t>核对合同原设备和变更设备的配置参数，保证正偏离，保</w:t>
      </w:r>
      <w:r>
        <w:rPr>
          <w:spacing w:val="2"/>
          <w:sz w:val="20"/>
          <w:szCs w:val="20"/>
        </w:rPr>
        <w:t>证项目质量符合合同要求，并且收集</w:t>
      </w:r>
      <w:r>
        <w:rPr>
          <w:sz w:val="20"/>
          <w:szCs w:val="20"/>
        </w:rPr>
        <w:t xml:space="preserve"> </w:t>
      </w:r>
      <w:r>
        <w:rPr>
          <w:spacing w:val="3"/>
          <w:sz w:val="20"/>
          <w:szCs w:val="20"/>
        </w:rPr>
        <w:t>变更申请材料，及时与厂家联系，确认变更材料的真实性及</w:t>
      </w:r>
      <w:r>
        <w:rPr>
          <w:spacing w:val="2"/>
          <w:sz w:val="20"/>
          <w:szCs w:val="20"/>
        </w:rPr>
        <w:t>符合性，确认无误后，组织三方对</w:t>
      </w:r>
      <w:r>
        <w:rPr>
          <w:sz w:val="20"/>
          <w:szCs w:val="20"/>
        </w:rPr>
        <w:t xml:space="preserve"> </w:t>
      </w:r>
      <w:r>
        <w:rPr>
          <w:spacing w:val="-3"/>
          <w:sz w:val="20"/>
          <w:szCs w:val="20"/>
        </w:rPr>
        <w:t>变更内容签署工程备忘录。</w:t>
      </w:r>
    </w:p>
    <w:p w14:paraId="005F7AFF">
      <w:pPr>
        <w:pStyle w:val="2"/>
        <w:spacing w:before="51" w:line="265" w:lineRule="auto"/>
        <w:ind w:right="414" w:firstLine="380"/>
        <w:rPr>
          <w:sz w:val="20"/>
          <w:szCs w:val="20"/>
        </w:rPr>
      </w:pPr>
      <w:r>
        <w:rPr>
          <w:spacing w:val="5"/>
          <w:sz w:val="20"/>
          <w:szCs w:val="20"/>
        </w:rPr>
        <w:t>(3)设计阶段协调的结果也应做工程备忘录。监理机构应组织三方</w:t>
      </w:r>
      <w:r>
        <w:rPr>
          <w:spacing w:val="4"/>
          <w:sz w:val="20"/>
          <w:szCs w:val="20"/>
        </w:rPr>
        <w:t>对设计阶段协调的结果</w:t>
      </w:r>
      <w:r>
        <w:rPr>
          <w:sz w:val="20"/>
          <w:szCs w:val="20"/>
        </w:rPr>
        <w:t xml:space="preserve"> </w:t>
      </w:r>
      <w:r>
        <w:rPr>
          <w:spacing w:val="3"/>
          <w:sz w:val="20"/>
          <w:szCs w:val="20"/>
        </w:rPr>
        <w:t>进行最终确认，保证项目质量和进度符合合同要求及业主单位需求，确认无误后，组织三方签</w:t>
      </w:r>
      <w:r>
        <w:rPr>
          <w:spacing w:val="5"/>
          <w:sz w:val="20"/>
          <w:szCs w:val="20"/>
        </w:rPr>
        <w:t xml:space="preserve"> </w:t>
      </w:r>
      <w:r>
        <w:rPr>
          <w:spacing w:val="-5"/>
          <w:sz w:val="20"/>
          <w:szCs w:val="20"/>
        </w:rPr>
        <w:t>署工程备忘录。</w:t>
      </w:r>
    </w:p>
    <w:p w14:paraId="7CB5D32C">
      <w:pPr>
        <w:pStyle w:val="2"/>
        <w:spacing w:before="157" w:line="222" w:lineRule="auto"/>
        <w:ind w:left="382"/>
        <w:rPr>
          <w:rFonts w:ascii="黑体" w:hAnsi="黑体" w:eastAsia="黑体" w:cs="黑体"/>
          <w:sz w:val="20"/>
          <w:szCs w:val="20"/>
        </w:rPr>
      </w:pPr>
      <w:r>
        <w:rPr>
          <w:b/>
          <w:bCs/>
          <w:color w:val="006AD5"/>
          <w:spacing w:val="-4"/>
          <w:sz w:val="20"/>
          <w:szCs w:val="20"/>
        </w:rPr>
        <w:t>5.</w:t>
      </w:r>
      <w:r>
        <w:rPr>
          <w:rFonts w:ascii="黑体" w:hAnsi="黑体" w:eastAsia="黑体" w:cs="黑体"/>
          <w:b/>
          <w:bCs/>
          <w:color w:val="006AD5"/>
          <w:spacing w:val="-4"/>
          <w:sz w:val="20"/>
          <w:szCs w:val="20"/>
        </w:rPr>
        <w:t>对设计文档的管理</w:t>
      </w:r>
    </w:p>
    <w:p w14:paraId="0EB6DC67">
      <w:pPr>
        <w:pStyle w:val="2"/>
        <w:spacing w:before="144" w:line="219" w:lineRule="auto"/>
        <w:ind w:left="460"/>
        <w:rPr>
          <w:sz w:val="20"/>
          <w:szCs w:val="20"/>
        </w:rPr>
      </w:pPr>
      <w:r>
        <w:rPr>
          <w:spacing w:val="-4"/>
          <w:sz w:val="20"/>
          <w:szCs w:val="20"/>
        </w:rPr>
        <w:t>对设计文档的管理工作包括：</w:t>
      </w:r>
    </w:p>
    <w:p w14:paraId="77247394">
      <w:pPr>
        <w:pStyle w:val="2"/>
        <w:spacing w:before="72" w:line="219" w:lineRule="auto"/>
        <w:ind w:left="380"/>
        <w:rPr>
          <w:sz w:val="20"/>
          <w:szCs w:val="20"/>
        </w:rPr>
      </w:pPr>
      <w:r>
        <w:rPr>
          <w:spacing w:val="1"/>
          <w:sz w:val="20"/>
          <w:szCs w:val="20"/>
        </w:rPr>
        <w:t>(1)要求业主单位和承建单位妥善保管有关资料，包括招投标文件、承建合同等；</w:t>
      </w:r>
    </w:p>
    <w:p w14:paraId="5DF97714">
      <w:pPr>
        <w:pStyle w:val="2"/>
        <w:spacing w:before="63" w:line="219" w:lineRule="auto"/>
        <w:ind w:left="380"/>
        <w:rPr>
          <w:sz w:val="20"/>
          <w:szCs w:val="20"/>
        </w:rPr>
      </w:pPr>
      <w:r>
        <w:rPr>
          <w:spacing w:val="2"/>
          <w:sz w:val="20"/>
          <w:szCs w:val="20"/>
        </w:rPr>
        <w:t>(2)妥善保管设计阶段的监理文档；</w:t>
      </w:r>
    </w:p>
    <w:p w14:paraId="581CEFAB">
      <w:pPr>
        <w:pStyle w:val="2"/>
        <w:spacing w:before="73" w:line="219" w:lineRule="auto"/>
        <w:ind w:left="380"/>
        <w:rPr>
          <w:sz w:val="20"/>
          <w:szCs w:val="20"/>
        </w:rPr>
      </w:pPr>
      <w:r>
        <w:rPr>
          <w:spacing w:val="1"/>
          <w:sz w:val="20"/>
          <w:szCs w:val="20"/>
        </w:rPr>
        <w:t>(3)监督检查项目文档的时效性和可用性；</w:t>
      </w:r>
    </w:p>
    <w:p w14:paraId="095CDF9E">
      <w:pPr>
        <w:pStyle w:val="2"/>
        <w:spacing w:before="63" w:line="219" w:lineRule="auto"/>
        <w:ind w:left="380"/>
        <w:rPr>
          <w:sz w:val="20"/>
          <w:szCs w:val="20"/>
        </w:rPr>
      </w:pPr>
      <w:r>
        <w:rPr>
          <w:spacing w:val="1"/>
          <w:sz w:val="20"/>
          <w:szCs w:val="20"/>
        </w:rPr>
        <w:t>(4)对项目中各方提出保密要求的信息实施保密，加强知识产权的保护；</w:t>
      </w:r>
    </w:p>
    <w:p w14:paraId="4BA8C3B7">
      <w:pPr>
        <w:pStyle w:val="2"/>
        <w:spacing w:before="72" w:line="219" w:lineRule="auto"/>
        <w:ind w:left="380"/>
        <w:rPr>
          <w:sz w:val="20"/>
          <w:szCs w:val="20"/>
        </w:rPr>
      </w:pPr>
      <w:r>
        <w:rPr>
          <w:spacing w:val="2"/>
          <w:sz w:val="20"/>
          <w:szCs w:val="20"/>
        </w:rPr>
        <w:t>(5)对设计阶段三方共同参与的过程和活动做工程备忘录，并由三方签认。</w:t>
      </w:r>
    </w:p>
    <w:p w14:paraId="068FAD02">
      <w:pPr>
        <w:pStyle w:val="2"/>
        <w:spacing w:before="149" w:line="222" w:lineRule="auto"/>
        <w:ind w:left="382"/>
        <w:rPr>
          <w:rFonts w:ascii="黑体" w:hAnsi="黑体" w:eastAsia="黑体" w:cs="黑体"/>
          <w:sz w:val="20"/>
          <w:szCs w:val="20"/>
        </w:rPr>
      </w:pPr>
      <w:r>
        <w:rPr>
          <w:b/>
          <w:bCs/>
          <w:color w:val="0075DC"/>
          <w:spacing w:val="-1"/>
          <w:sz w:val="20"/>
          <w:szCs w:val="20"/>
        </w:rPr>
        <w:t>6.</w:t>
      </w:r>
      <w:r>
        <w:rPr>
          <w:rFonts w:ascii="黑体" w:hAnsi="黑体" w:eastAsia="黑体" w:cs="黑体"/>
          <w:b/>
          <w:bCs/>
          <w:color w:val="0075DC"/>
          <w:spacing w:val="-1"/>
          <w:sz w:val="20"/>
          <w:szCs w:val="20"/>
        </w:rPr>
        <w:t>设计阶段其他监理内容</w:t>
      </w:r>
    </w:p>
    <w:p w14:paraId="5BFFA8F1">
      <w:pPr>
        <w:pStyle w:val="2"/>
        <w:spacing w:before="144" w:line="219" w:lineRule="auto"/>
        <w:ind w:left="380"/>
        <w:rPr>
          <w:sz w:val="20"/>
          <w:szCs w:val="20"/>
        </w:rPr>
      </w:pPr>
      <w:r>
        <w:rPr>
          <w:spacing w:val="-4"/>
          <w:sz w:val="20"/>
          <w:szCs w:val="20"/>
        </w:rPr>
        <w:t>设计阶段的其他监理内容包括：</w:t>
      </w:r>
    </w:p>
    <w:p w14:paraId="11208420">
      <w:pPr>
        <w:spacing w:line="219" w:lineRule="auto"/>
        <w:rPr>
          <w:sz w:val="20"/>
          <w:szCs w:val="20"/>
        </w:rPr>
        <w:sectPr>
          <w:pgSz w:w="10290" w:h="13310"/>
          <w:pgMar w:top="400" w:right="426" w:bottom="400" w:left="1119" w:header="0" w:footer="0" w:gutter="0"/>
          <w:cols w:space="720" w:num="1"/>
        </w:sectPr>
      </w:pPr>
    </w:p>
    <w:p w14:paraId="731B72FD">
      <w:pPr>
        <w:pStyle w:val="2"/>
        <w:spacing w:before="28" w:line="219" w:lineRule="auto"/>
        <w:rPr>
          <w:sz w:val="20"/>
          <w:szCs w:val="20"/>
        </w:rPr>
      </w:pPr>
      <w:bookmarkStart w:id="708" w:name="bookmark693"/>
      <w:bookmarkEnd w:id="708"/>
      <w:r>
        <w:rPr>
          <w:rFonts w:ascii="Times New Roman" w:hAnsi="Times New Roman" w:eastAsia="Times New Roman" w:cs="Times New Roman"/>
          <w:spacing w:val="-2"/>
          <w:sz w:val="20"/>
          <w:szCs w:val="20"/>
        </w:rPr>
        <w:t xml:space="preserve">454              </w:t>
      </w:r>
      <w:r>
        <w:rPr>
          <w:spacing w:val="-2"/>
          <w:sz w:val="20"/>
          <w:szCs w:val="20"/>
        </w:rPr>
        <w:t>信息系统监理师教程(第2版)</w:t>
      </w:r>
    </w:p>
    <w:p w14:paraId="089B96E5">
      <w:pPr>
        <w:spacing w:line="284" w:lineRule="auto"/>
        <w:rPr>
          <w:rFonts w:ascii="Arial"/>
          <w:sz w:val="21"/>
        </w:rPr>
      </w:pPr>
    </w:p>
    <w:p w14:paraId="4B881307">
      <w:pPr>
        <w:pStyle w:val="2"/>
        <w:spacing w:before="65" w:line="283" w:lineRule="auto"/>
        <w:ind w:left="380" w:right="69" w:firstLine="389"/>
        <w:rPr>
          <w:sz w:val="20"/>
          <w:szCs w:val="20"/>
        </w:rPr>
      </w:pPr>
      <w:r>
        <w:rPr>
          <w:spacing w:val="5"/>
          <w:sz w:val="20"/>
          <w:szCs w:val="20"/>
        </w:rPr>
        <w:t>(1)对设计方案、测试验收方案、计划方案进行审查时，如果方案没有问题，监理机构应</w:t>
      </w:r>
      <w:r>
        <w:rPr>
          <w:spacing w:val="17"/>
          <w:sz w:val="20"/>
          <w:szCs w:val="20"/>
        </w:rPr>
        <w:t xml:space="preserve"> </w:t>
      </w:r>
      <w:r>
        <w:rPr>
          <w:spacing w:val="3"/>
          <w:sz w:val="20"/>
          <w:szCs w:val="20"/>
        </w:rPr>
        <w:t>予以签认，否则应要求承建单位对问题进行整改，并跟踪落实；必要时，监理机构应协助业主</w:t>
      </w:r>
      <w:r>
        <w:rPr>
          <w:spacing w:val="6"/>
          <w:sz w:val="20"/>
          <w:szCs w:val="20"/>
        </w:rPr>
        <w:t xml:space="preserve"> </w:t>
      </w:r>
      <w:r>
        <w:rPr>
          <w:spacing w:val="-4"/>
          <w:sz w:val="20"/>
          <w:szCs w:val="20"/>
        </w:rPr>
        <w:t>单位组织专业人员评审相关方案。</w:t>
      </w:r>
    </w:p>
    <w:p w14:paraId="1B13DB68">
      <w:pPr>
        <w:pStyle w:val="2"/>
        <w:spacing w:before="50" w:line="262" w:lineRule="auto"/>
        <w:ind w:left="380" w:right="84" w:firstLine="389"/>
        <w:rPr>
          <w:sz w:val="20"/>
          <w:szCs w:val="20"/>
        </w:rPr>
      </w:pPr>
      <w:r>
        <w:rPr>
          <w:spacing w:val="6"/>
          <w:sz w:val="20"/>
          <w:szCs w:val="20"/>
        </w:rPr>
        <w:t>(2)对业主单位和承建单位有关技术方案、软件源代</w:t>
      </w:r>
      <w:r>
        <w:rPr>
          <w:spacing w:val="5"/>
          <w:sz w:val="20"/>
          <w:szCs w:val="20"/>
        </w:rPr>
        <w:t>码及有关技术秘密等涉及知识产权的</w:t>
      </w:r>
      <w:r>
        <w:rPr>
          <w:sz w:val="20"/>
          <w:szCs w:val="20"/>
        </w:rPr>
        <w:t xml:space="preserve"> </w:t>
      </w:r>
      <w:r>
        <w:rPr>
          <w:spacing w:val="-3"/>
          <w:sz w:val="20"/>
          <w:szCs w:val="20"/>
        </w:rPr>
        <w:t>内容制定保护措施，作为监理实施细则的内容。</w:t>
      </w:r>
    </w:p>
    <w:p w14:paraId="3FC8FEB9">
      <w:pPr>
        <w:pStyle w:val="2"/>
        <w:spacing w:before="72" w:line="262" w:lineRule="auto"/>
        <w:ind w:left="380" w:right="90" w:firstLine="389"/>
        <w:rPr>
          <w:sz w:val="20"/>
          <w:szCs w:val="20"/>
        </w:rPr>
      </w:pPr>
      <w:r>
        <w:rPr>
          <w:spacing w:val="5"/>
          <w:sz w:val="20"/>
          <w:szCs w:val="20"/>
        </w:rPr>
        <w:t>(3)根据业主单位设计方案，确定对项目进行阶段性质量监督、控制的措施及方法，作为</w:t>
      </w:r>
      <w:r>
        <w:rPr>
          <w:spacing w:val="18"/>
          <w:sz w:val="20"/>
          <w:szCs w:val="20"/>
        </w:rPr>
        <w:t xml:space="preserve"> </w:t>
      </w:r>
      <w:r>
        <w:rPr>
          <w:spacing w:val="-4"/>
          <w:sz w:val="20"/>
          <w:szCs w:val="20"/>
        </w:rPr>
        <w:t>监理实施细则的内容。</w:t>
      </w:r>
    </w:p>
    <w:p w14:paraId="31A4FCA7">
      <w:pPr>
        <w:pStyle w:val="2"/>
        <w:spacing w:before="73" w:line="257" w:lineRule="auto"/>
        <w:ind w:left="380" w:firstLine="389"/>
        <w:rPr>
          <w:sz w:val="20"/>
          <w:szCs w:val="20"/>
        </w:rPr>
      </w:pPr>
      <w:r>
        <w:rPr>
          <w:spacing w:val="8"/>
          <w:sz w:val="20"/>
          <w:szCs w:val="20"/>
        </w:rPr>
        <w:t>(4)根据承建单位项目进度计划，确定对项目进行阶段性进度监</w:t>
      </w:r>
      <w:r>
        <w:rPr>
          <w:spacing w:val="7"/>
          <w:sz w:val="20"/>
          <w:szCs w:val="20"/>
        </w:rPr>
        <w:t>督、控制的措施及方法，</w:t>
      </w:r>
      <w:r>
        <w:rPr>
          <w:sz w:val="20"/>
          <w:szCs w:val="20"/>
        </w:rPr>
        <w:t xml:space="preserve"> </w:t>
      </w:r>
      <w:r>
        <w:rPr>
          <w:spacing w:val="-3"/>
          <w:sz w:val="20"/>
          <w:szCs w:val="20"/>
        </w:rPr>
        <w:t>作为监理实施细则的内容。</w:t>
      </w:r>
    </w:p>
    <w:p w14:paraId="1C5427D4">
      <w:pPr>
        <w:pStyle w:val="2"/>
        <w:spacing w:before="71" w:line="268" w:lineRule="auto"/>
        <w:ind w:left="380" w:right="84" w:firstLine="389"/>
        <w:rPr>
          <w:sz w:val="20"/>
          <w:szCs w:val="20"/>
        </w:rPr>
      </w:pPr>
      <w:r>
        <w:rPr>
          <w:spacing w:val="6"/>
          <w:sz w:val="20"/>
          <w:szCs w:val="20"/>
        </w:rPr>
        <w:t>(5)及时处理业主单位或承建单位合同变更的申请，</w:t>
      </w:r>
      <w:r>
        <w:rPr>
          <w:spacing w:val="5"/>
          <w:sz w:val="20"/>
          <w:szCs w:val="20"/>
        </w:rPr>
        <w:t>协助保持合同、协议及其附件内容的</w:t>
      </w:r>
      <w:r>
        <w:rPr>
          <w:sz w:val="20"/>
          <w:szCs w:val="20"/>
        </w:rPr>
        <w:t xml:space="preserve"> </w:t>
      </w:r>
      <w:r>
        <w:rPr>
          <w:spacing w:val="-5"/>
          <w:sz w:val="20"/>
          <w:szCs w:val="20"/>
        </w:rPr>
        <w:t>时效性、一致性。</w:t>
      </w:r>
    </w:p>
    <w:p w14:paraId="24049711">
      <w:pPr>
        <w:pStyle w:val="2"/>
        <w:spacing w:before="60" w:line="280" w:lineRule="auto"/>
        <w:ind w:left="380" w:right="90" w:firstLine="389"/>
        <w:rPr>
          <w:sz w:val="16"/>
          <w:szCs w:val="16"/>
        </w:rPr>
      </w:pPr>
      <w:r>
        <w:rPr>
          <w:spacing w:val="8"/>
          <w:sz w:val="20"/>
          <w:szCs w:val="20"/>
        </w:rPr>
        <w:t>(6)与业主单位、承建单位建立沟通协调机制(例如周期性例会、不定期的专题会等</w:t>
      </w:r>
      <w:r>
        <w:rPr>
          <w:spacing w:val="7"/>
          <w:sz w:val="20"/>
          <w:szCs w:val="20"/>
        </w:rPr>
        <w:t>会议</w:t>
      </w:r>
      <w:r>
        <w:rPr>
          <w:sz w:val="20"/>
          <w:szCs w:val="20"/>
        </w:rPr>
        <w:t xml:space="preserve"> </w:t>
      </w:r>
      <w:r>
        <w:rPr>
          <w:spacing w:val="8"/>
          <w:sz w:val="20"/>
          <w:szCs w:val="20"/>
        </w:rPr>
        <w:t>机制，以及电话、邮件、书面等交流机制等),</w:t>
      </w:r>
      <w:r>
        <w:rPr>
          <w:spacing w:val="7"/>
          <w:sz w:val="20"/>
          <w:szCs w:val="20"/>
        </w:rPr>
        <w:t>并发出监理联系单要求各方在项目工作中贯彻</w:t>
      </w:r>
      <w:r>
        <w:rPr>
          <w:sz w:val="20"/>
          <w:szCs w:val="20"/>
        </w:rPr>
        <w:t xml:space="preserve"> </w:t>
      </w:r>
      <w:r>
        <w:rPr>
          <w:spacing w:val="-6"/>
          <w:sz w:val="16"/>
          <w:szCs w:val="16"/>
        </w:rPr>
        <w:t>执</w:t>
      </w:r>
      <w:r>
        <w:rPr>
          <w:spacing w:val="-10"/>
          <w:sz w:val="16"/>
          <w:szCs w:val="16"/>
        </w:rPr>
        <w:t xml:space="preserve"> </w:t>
      </w:r>
      <w:r>
        <w:rPr>
          <w:spacing w:val="-6"/>
          <w:sz w:val="16"/>
          <w:szCs w:val="16"/>
        </w:rPr>
        <w:t>行</w:t>
      </w:r>
      <w:r>
        <w:rPr>
          <w:spacing w:val="-20"/>
          <w:sz w:val="16"/>
          <w:szCs w:val="16"/>
        </w:rPr>
        <w:t xml:space="preserve"> </w:t>
      </w:r>
      <w:r>
        <w:rPr>
          <w:spacing w:val="-6"/>
          <w:sz w:val="16"/>
          <w:szCs w:val="16"/>
        </w:rPr>
        <w:t>。</w:t>
      </w:r>
    </w:p>
    <w:p w14:paraId="6E20733F">
      <w:pPr>
        <w:pStyle w:val="2"/>
        <w:spacing w:before="102" w:line="219" w:lineRule="auto"/>
        <w:ind w:left="770"/>
        <w:rPr>
          <w:sz w:val="20"/>
          <w:szCs w:val="20"/>
        </w:rPr>
      </w:pPr>
      <w:r>
        <w:rPr>
          <w:spacing w:val="2"/>
          <w:sz w:val="20"/>
          <w:szCs w:val="20"/>
        </w:rPr>
        <w:t>(7)对设计阶段出现的变更提出监理意见，协调业主单位、承建单位达成一</w:t>
      </w:r>
      <w:r>
        <w:rPr>
          <w:spacing w:val="1"/>
          <w:sz w:val="20"/>
          <w:szCs w:val="20"/>
        </w:rPr>
        <w:t>致。</w:t>
      </w:r>
    </w:p>
    <w:p w14:paraId="210C0D49">
      <w:pPr>
        <w:pStyle w:val="2"/>
        <w:spacing w:before="81" w:line="219" w:lineRule="auto"/>
        <w:ind w:left="770"/>
        <w:rPr>
          <w:sz w:val="20"/>
          <w:szCs w:val="20"/>
        </w:rPr>
      </w:pPr>
      <w:r>
        <w:rPr>
          <w:spacing w:val="2"/>
          <w:sz w:val="20"/>
          <w:szCs w:val="20"/>
        </w:rPr>
        <w:t>(8)及时组织设计文件及设计方案交底会。</w:t>
      </w:r>
    </w:p>
    <w:p w14:paraId="4F89DE6C">
      <w:pPr>
        <w:pStyle w:val="2"/>
        <w:spacing w:before="65" w:line="257" w:lineRule="auto"/>
        <w:ind w:left="380" w:right="92" w:firstLine="389"/>
        <w:rPr>
          <w:sz w:val="20"/>
          <w:szCs w:val="20"/>
        </w:rPr>
      </w:pPr>
      <w:r>
        <w:rPr>
          <w:spacing w:val="5"/>
          <w:sz w:val="20"/>
          <w:szCs w:val="20"/>
        </w:rPr>
        <w:t>(9)方案经监理工程师审定后，由总监理工程师审定签发；上述方案未经批准，业主单位</w:t>
      </w:r>
      <w:r>
        <w:rPr>
          <w:spacing w:val="16"/>
          <w:sz w:val="20"/>
          <w:szCs w:val="20"/>
        </w:rPr>
        <w:t xml:space="preserve"> </w:t>
      </w:r>
      <w:r>
        <w:rPr>
          <w:spacing w:val="-5"/>
          <w:sz w:val="20"/>
          <w:szCs w:val="20"/>
        </w:rPr>
        <w:t>的工程不得部署实施。</w:t>
      </w:r>
    </w:p>
    <w:p w14:paraId="694ECD31">
      <w:pPr>
        <w:pStyle w:val="2"/>
        <w:spacing w:before="272" w:line="220" w:lineRule="auto"/>
        <w:ind w:left="382"/>
        <w:outlineLvl w:val="1"/>
        <w:rPr>
          <w:sz w:val="25"/>
          <w:szCs w:val="25"/>
        </w:rPr>
      </w:pPr>
      <w:r>
        <w:rPr>
          <w:b/>
          <w:bCs/>
          <w:color w:val="006AD5"/>
          <w:spacing w:val="-18"/>
          <w:sz w:val="25"/>
          <w:szCs w:val="25"/>
        </w:rPr>
        <w:t>20.3.4</w:t>
      </w:r>
      <w:r>
        <w:rPr>
          <w:color w:val="006AD5"/>
          <w:spacing w:val="-18"/>
          <w:sz w:val="25"/>
          <w:szCs w:val="25"/>
        </w:rPr>
        <w:t xml:space="preserve">  </w:t>
      </w:r>
      <w:r>
        <w:rPr>
          <w:b/>
          <w:bCs/>
          <w:color w:val="006AD5"/>
          <w:spacing w:val="-18"/>
          <w:sz w:val="25"/>
          <w:szCs w:val="25"/>
        </w:rPr>
        <w:t>监理流程</w:t>
      </w:r>
    </w:p>
    <w:p w14:paraId="015070BC">
      <w:pPr>
        <w:pStyle w:val="2"/>
        <w:spacing w:before="238" w:line="221" w:lineRule="auto"/>
        <w:ind w:left="772"/>
        <w:rPr>
          <w:rFonts w:ascii="黑体" w:hAnsi="黑体" w:eastAsia="黑体" w:cs="黑体"/>
          <w:sz w:val="20"/>
          <w:szCs w:val="20"/>
        </w:rPr>
      </w:pPr>
      <w:r>
        <w:rPr>
          <w:b/>
          <w:bCs/>
          <w:color w:val="0772DE"/>
          <w:spacing w:val="-4"/>
          <w:sz w:val="20"/>
          <w:szCs w:val="20"/>
        </w:rPr>
        <w:t>1.</w:t>
      </w:r>
      <w:r>
        <w:rPr>
          <w:rFonts w:ascii="黑体" w:hAnsi="黑体" w:eastAsia="黑体" w:cs="黑体"/>
          <w:b/>
          <w:bCs/>
          <w:color w:val="0772DE"/>
          <w:spacing w:val="-4"/>
          <w:sz w:val="20"/>
          <w:szCs w:val="20"/>
        </w:rPr>
        <w:t>设计方案的报审流程</w:t>
      </w:r>
    </w:p>
    <w:p w14:paraId="38295952">
      <w:pPr>
        <w:pStyle w:val="2"/>
        <w:spacing w:before="135" w:line="219" w:lineRule="auto"/>
        <w:ind w:left="770"/>
        <w:rPr>
          <w:sz w:val="20"/>
          <w:szCs w:val="20"/>
        </w:rPr>
      </w:pPr>
      <w:r>
        <w:rPr>
          <w:spacing w:val="-4"/>
          <w:sz w:val="20"/>
          <w:szCs w:val="20"/>
        </w:rPr>
        <w:t>设计方案的报审流程具体如下：</w:t>
      </w:r>
    </w:p>
    <w:p w14:paraId="2ABA557B">
      <w:pPr>
        <w:pStyle w:val="2"/>
        <w:spacing w:before="91" w:line="248" w:lineRule="auto"/>
        <w:ind w:left="380" w:right="72" w:firstLine="389"/>
        <w:rPr>
          <w:sz w:val="20"/>
          <w:szCs w:val="20"/>
        </w:rPr>
      </w:pPr>
      <w:r>
        <w:rPr>
          <w:spacing w:val="6"/>
          <w:sz w:val="20"/>
          <w:szCs w:val="20"/>
        </w:rPr>
        <w:t>(1)承建单位完成项目设计方案后，应及时向监理机构提交设计方案评审申请。</w:t>
      </w:r>
      <w:r>
        <w:rPr>
          <w:spacing w:val="5"/>
          <w:sz w:val="20"/>
          <w:szCs w:val="20"/>
        </w:rPr>
        <w:t>评审的输</w:t>
      </w:r>
      <w:r>
        <w:rPr>
          <w:sz w:val="20"/>
          <w:szCs w:val="20"/>
        </w:rPr>
        <w:t xml:space="preserve"> </w:t>
      </w:r>
      <w:r>
        <w:rPr>
          <w:spacing w:val="-1"/>
          <w:sz w:val="20"/>
          <w:szCs w:val="20"/>
        </w:rPr>
        <w:t>入文档主要包括设计文件本身、标准规范、项目需求书、承</w:t>
      </w:r>
      <w:r>
        <w:rPr>
          <w:spacing w:val="-2"/>
          <w:sz w:val="20"/>
          <w:szCs w:val="20"/>
        </w:rPr>
        <w:t>建合同等。</w:t>
      </w:r>
    </w:p>
    <w:p w14:paraId="5BBD6D52">
      <w:pPr>
        <w:pStyle w:val="2"/>
        <w:spacing w:before="74" w:line="264" w:lineRule="auto"/>
        <w:ind w:left="380" w:right="85" w:firstLine="389"/>
        <w:rPr>
          <w:sz w:val="20"/>
          <w:szCs w:val="20"/>
        </w:rPr>
      </w:pPr>
      <w:r>
        <w:rPr>
          <w:spacing w:val="6"/>
          <w:sz w:val="20"/>
          <w:szCs w:val="20"/>
        </w:rPr>
        <w:t>(2)监理机构收到承建单位提交的设计评审申请后</w:t>
      </w:r>
      <w:r>
        <w:rPr>
          <w:spacing w:val="5"/>
          <w:sz w:val="20"/>
          <w:szCs w:val="20"/>
        </w:rPr>
        <w:t>，协助业主单位组织人员进行设计文档</w:t>
      </w:r>
      <w:r>
        <w:rPr>
          <w:sz w:val="20"/>
          <w:szCs w:val="20"/>
        </w:rPr>
        <w:t xml:space="preserve"> </w:t>
      </w:r>
      <w:r>
        <w:rPr>
          <w:spacing w:val="3"/>
          <w:sz w:val="20"/>
          <w:szCs w:val="20"/>
        </w:rPr>
        <w:t>完整性审查。如果发现设计文档存在不完整的问题，应及时</w:t>
      </w:r>
      <w:r>
        <w:rPr>
          <w:spacing w:val="2"/>
          <w:sz w:val="20"/>
          <w:szCs w:val="20"/>
        </w:rPr>
        <w:t>要求承建单位进行必要的整改；承</w:t>
      </w:r>
      <w:r>
        <w:rPr>
          <w:sz w:val="20"/>
          <w:szCs w:val="20"/>
        </w:rPr>
        <w:t xml:space="preserve"> </w:t>
      </w:r>
      <w:r>
        <w:rPr>
          <w:spacing w:val="-3"/>
          <w:sz w:val="20"/>
          <w:szCs w:val="20"/>
        </w:rPr>
        <w:t>建单位整改完毕后，应重新提请审查。</w:t>
      </w:r>
    </w:p>
    <w:p w14:paraId="41A25E9C">
      <w:pPr>
        <w:pStyle w:val="2"/>
        <w:spacing w:before="81" w:line="254" w:lineRule="auto"/>
        <w:ind w:left="380" w:right="92" w:firstLine="389"/>
        <w:rPr>
          <w:sz w:val="20"/>
          <w:szCs w:val="20"/>
        </w:rPr>
      </w:pPr>
      <w:r>
        <w:rPr>
          <w:spacing w:val="10"/>
          <w:sz w:val="20"/>
          <w:szCs w:val="20"/>
        </w:rPr>
        <w:t>(3)设计文档完整性审查完毕后，监理机构应组织人员(必要时请业主单位派人参与)进</w:t>
      </w:r>
      <w:r>
        <w:rPr>
          <w:spacing w:val="16"/>
          <w:sz w:val="20"/>
          <w:szCs w:val="20"/>
        </w:rPr>
        <w:t xml:space="preserve"> </w:t>
      </w:r>
      <w:r>
        <w:rPr>
          <w:spacing w:val="-4"/>
          <w:sz w:val="20"/>
          <w:szCs w:val="20"/>
        </w:rPr>
        <w:t>行设计方案的详细审查。</w:t>
      </w:r>
    </w:p>
    <w:p w14:paraId="470C4294">
      <w:pPr>
        <w:pStyle w:val="2"/>
        <w:spacing w:before="71" w:line="219" w:lineRule="auto"/>
        <w:ind w:left="770"/>
        <w:rPr>
          <w:sz w:val="20"/>
          <w:szCs w:val="20"/>
        </w:rPr>
      </w:pPr>
      <w:r>
        <w:rPr>
          <w:spacing w:val="1"/>
          <w:sz w:val="20"/>
          <w:szCs w:val="20"/>
        </w:rPr>
        <w:t>(4)设计文档审查完毕后，三方应对评审完毕的设计方案进行签认。</w:t>
      </w:r>
    </w:p>
    <w:p w14:paraId="6816E25E">
      <w:pPr>
        <w:pStyle w:val="2"/>
        <w:spacing w:before="65" w:line="279" w:lineRule="auto"/>
        <w:ind w:left="380" w:right="82" w:firstLine="389"/>
        <w:jc w:val="both"/>
        <w:rPr>
          <w:sz w:val="20"/>
          <w:szCs w:val="20"/>
        </w:rPr>
      </w:pPr>
      <w:r>
        <w:rPr>
          <w:spacing w:val="2"/>
          <w:sz w:val="20"/>
          <w:szCs w:val="20"/>
        </w:rPr>
        <w:t>由于信息系统工程自身的复杂性，设计方案评审的实施过程可能多种多样，既可以分阶段</w:t>
      </w:r>
      <w:r>
        <w:rPr>
          <w:spacing w:val="18"/>
          <w:sz w:val="20"/>
          <w:szCs w:val="20"/>
        </w:rPr>
        <w:t xml:space="preserve"> </w:t>
      </w:r>
      <w:r>
        <w:rPr>
          <w:spacing w:val="5"/>
          <w:sz w:val="20"/>
          <w:szCs w:val="20"/>
        </w:rPr>
        <w:t>评审(例如软件开发项目的设计评审可以分为概要设计评审、详细设计评审两大阶段),也可以</w:t>
      </w:r>
      <w:r>
        <w:rPr>
          <w:spacing w:val="6"/>
          <w:sz w:val="20"/>
          <w:szCs w:val="20"/>
        </w:rPr>
        <w:t xml:space="preserve"> </w:t>
      </w:r>
      <w:r>
        <w:rPr>
          <w:spacing w:val="5"/>
          <w:sz w:val="20"/>
          <w:szCs w:val="20"/>
        </w:rPr>
        <w:t>分部分评审(例如网络集成项目可以分为系统设计方案评审和系统测试方案评审两大部分)</w:t>
      </w:r>
      <w:r>
        <w:rPr>
          <w:spacing w:val="4"/>
          <w:sz w:val="20"/>
          <w:szCs w:val="20"/>
        </w:rPr>
        <w:t>,成</w:t>
      </w:r>
      <w:r>
        <w:rPr>
          <w:sz w:val="20"/>
          <w:szCs w:val="20"/>
        </w:rPr>
        <w:t xml:space="preserve"> </w:t>
      </w:r>
      <w:r>
        <w:rPr>
          <w:spacing w:val="-4"/>
          <w:sz w:val="20"/>
          <w:szCs w:val="20"/>
        </w:rPr>
        <w:t>熟一部分评审一部分。</w:t>
      </w:r>
    </w:p>
    <w:p w14:paraId="77BA2EEE">
      <w:pPr>
        <w:pStyle w:val="2"/>
        <w:spacing w:before="124" w:line="221" w:lineRule="auto"/>
        <w:ind w:left="772"/>
        <w:rPr>
          <w:rFonts w:ascii="黑体" w:hAnsi="黑体" w:eastAsia="黑体" w:cs="黑体"/>
          <w:sz w:val="20"/>
          <w:szCs w:val="20"/>
        </w:rPr>
      </w:pPr>
      <w:r>
        <w:rPr>
          <w:b/>
          <w:bCs/>
          <w:color w:val="0070E1"/>
          <w:spacing w:val="1"/>
          <w:sz w:val="20"/>
          <w:szCs w:val="20"/>
        </w:rPr>
        <w:t>2.</w:t>
      </w:r>
      <w:r>
        <w:rPr>
          <w:rFonts w:ascii="黑体" w:hAnsi="黑体" w:eastAsia="黑体" w:cs="黑体"/>
          <w:b/>
          <w:bCs/>
          <w:color w:val="0070E1"/>
          <w:spacing w:val="1"/>
          <w:sz w:val="20"/>
          <w:szCs w:val="20"/>
        </w:rPr>
        <w:t>设计变更的控制流程</w:t>
      </w:r>
    </w:p>
    <w:p w14:paraId="36AD316B">
      <w:pPr>
        <w:pStyle w:val="2"/>
        <w:spacing w:before="136" w:line="219" w:lineRule="auto"/>
        <w:ind w:left="770"/>
        <w:rPr>
          <w:sz w:val="20"/>
          <w:szCs w:val="20"/>
        </w:rPr>
      </w:pPr>
      <w:r>
        <w:rPr>
          <w:spacing w:val="4"/>
          <w:sz w:val="20"/>
          <w:szCs w:val="20"/>
        </w:rPr>
        <w:t>设计变更控制主要通过两个手段来实现：变更</w:t>
      </w:r>
      <w:r>
        <w:rPr>
          <w:spacing w:val="3"/>
          <w:sz w:val="20"/>
          <w:szCs w:val="20"/>
        </w:rPr>
        <w:t>流程的控制和变更内容的控制。首先通过规</w:t>
      </w:r>
    </w:p>
    <w:p w14:paraId="15AA9828">
      <w:pPr>
        <w:spacing w:line="219" w:lineRule="auto"/>
        <w:rPr>
          <w:sz w:val="20"/>
          <w:szCs w:val="20"/>
        </w:rPr>
        <w:sectPr>
          <w:pgSz w:w="10300" w:h="13400"/>
          <w:pgMar w:top="400" w:right="1029" w:bottom="400" w:left="489" w:header="0" w:footer="0" w:gutter="0"/>
          <w:cols w:space="720" w:num="1"/>
        </w:sectPr>
      </w:pPr>
    </w:p>
    <w:p w14:paraId="153F9154">
      <w:pPr>
        <w:pStyle w:val="2"/>
        <w:jc w:val="right"/>
        <w:rPr>
          <w:rFonts w:ascii="Times New Roman" w:hAnsi="Times New Roman" w:eastAsia="Times New Roman" w:cs="Times New Roman"/>
          <w:sz w:val="18"/>
          <w:szCs w:val="18"/>
        </w:rPr>
      </w:pPr>
      <w:r>
        <w:rPr>
          <w:spacing w:val="6"/>
          <w:sz w:val="18"/>
          <w:szCs w:val="18"/>
        </w:rPr>
        <w:t>第20章</w:t>
      </w:r>
      <w:r>
        <w:rPr>
          <w:spacing w:val="33"/>
          <w:w w:val="101"/>
          <w:sz w:val="18"/>
          <w:szCs w:val="18"/>
        </w:rPr>
        <w:t xml:space="preserve"> </w:t>
      </w:r>
      <w:r>
        <w:rPr>
          <w:spacing w:val="6"/>
          <w:sz w:val="18"/>
          <w:szCs w:val="18"/>
        </w:rPr>
        <w:t>信息系统工程监理基础工作</w:t>
      </w:r>
      <w:r>
        <w:rPr>
          <w:spacing w:val="48"/>
          <w:sz w:val="18"/>
          <w:szCs w:val="18"/>
        </w:rPr>
        <w:t xml:space="preserve"> </w:t>
      </w:r>
      <w:r>
        <w:rPr>
          <w:position w:val="-10"/>
          <w:sz w:val="18"/>
          <w:szCs w:val="18"/>
        </w:rPr>
        <w:drawing>
          <wp:inline distT="0" distB="0" distL="0" distR="0">
            <wp:extent cx="292100" cy="247650"/>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87"/>
                    <a:stretch>
                      <a:fillRect/>
                    </a:stretch>
                  </pic:blipFill>
                  <pic:spPr>
                    <a:xfrm>
                      <a:off x="0" y="0"/>
                      <a:ext cx="292118" cy="247723"/>
                    </a:xfrm>
                    <a:prstGeom prst="rect">
                      <a:avLst/>
                    </a:prstGeom>
                  </pic:spPr>
                </pic:pic>
              </a:graphicData>
            </a:graphic>
          </wp:inline>
        </w:drawing>
      </w:r>
      <w:r>
        <w:rPr>
          <w:rFonts w:ascii="Times New Roman" w:hAnsi="Times New Roman" w:eastAsia="Times New Roman" w:cs="Times New Roman"/>
          <w:spacing w:val="6"/>
          <w:position w:val="-3"/>
          <w:sz w:val="18"/>
          <w:szCs w:val="18"/>
        </w:rPr>
        <w:t>455</w:t>
      </w:r>
    </w:p>
    <w:p w14:paraId="4695070F">
      <w:pPr>
        <w:spacing w:line="246" w:lineRule="auto"/>
        <w:rPr>
          <w:rFonts w:ascii="Arial"/>
          <w:sz w:val="21"/>
        </w:rPr>
      </w:pPr>
    </w:p>
    <w:p w14:paraId="21063C61">
      <w:pPr>
        <w:pStyle w:val="2"/>
        <w:spacing w:before="58" w:line="330" w:lineRule="auto"/>
        <w:ind w:right="197"/>
        <w:jc w:val="both"/>
        <w:rPr>
          <w:sz w:val="18"/>
          <w:szCs w:val="18"/>
        </w:rPr>
      </w:pPr>
      <w:r>
        <w:rPr>
          <w:spacing w:val="25"/>
          <w:sz w:val="18"/>
          <w:szCs w:val="18"/>
        </w:rPr>
        <w:t>范的变更流程来防止变更的随意性，其次变更的具体内</w:t>
      </w:r>
      <w:r>
        <w:rPr>
          <w:spacing w:val="24"/>
          <w:sz w:val="18"/>
          <w:szCs w:val="18"/>
        </w:rPr>
        <w:t>容应得到有效的约束。变更是否实施、</w:t>
      </w:r>
      <w:r>
        <w:rPr>
          <w:sz w:val="18"/>
          <w:szCs w:val="18"/>
        </w:rPr>
        <w:t xml:space="preserve"> </w:t>
      </w:r>
      <w:r>
        <w:rPr>
          <w:spacing w:val="23"/>
          <w:sz w:val="18"/>
          <w:szCs w:val="18"/>
        </w:rPr>
        <w:t>如何实施应充分协商，三方都可以提出变更申请。变更实施完毕后，承建单位应就变更后的设</w:t>
      </w:r>
      <w:r>
        <w:rPr>
          <w:spacing w:val="14"/>
          <w:sz w:val="18"/>
          <w:szCs w:val="18"/>
        </w:rPr>
        <w:t xml:space="preserve"> 计文档提出评审申请。</w:t>
      </w:r>
    </w:p>
    <w:p w14:paraId="32F0F282">
      <w:pPr>
        <w:pStyle w:val="2"/>
        <w:spacing w:before="26" w:line="220" w:lineRule="auto"/>
        <w:ind w:left="419"/>
        <w:rPr>
          <w:sz w:val="18"/>
          <w:szCs w:val="18"/>
        </w:rPr>
      </w:pPr>
      <w:r>
        <w:rPr>
          <w:spacing w:val="18"/>
          <w:sz w:val="18"/>
          <w:szCs w:val="18"/>
        </w:rPr>
        <w:t>设计阶段监理工作流程如图20-2所示。</w:t>
      </w:r>
    </w:p>
    <w:p w14:paraId="6AD4A6E4">
      <w:pPr>
        <w:spacing w:line="294" w:lineRule="auto"/>
        <w:rPr>
          <w:rFonts w:ascii="Arial"/>
          <w:sz w:val="21"/>
        </w:rPr>
      </w:pPr>
    </w:p>
    <w:p w14:paraId="229B563C">
      <w:pPr>
        <w:pStyle w:val="2"/>
        <w:spacing w:before="59" w:line="219" w:lineRule="auto"/>
        <w:ind w:left="2439"/>
        <w:rPr>
          <w:sz w:val="18"/>
          <w:szCs w:val="18"/>
        </w:rPr>
      </w:pPr>
      <w:r>
        <w:pict>
          <v:shape id="_x0000_s1573" o:spid="_x0000_s1573" o:spt="202" type="#_x0000_t202" style="position:absolute;left:0pt;margin-left:194.95pt;margin-top:1.9pt;height:12.75pt;width:113.35pt;z-index:251806720;mso-width-relative:page;mso-height-relative:page;" filled="f" stroked="f" coordsize="21600,21600">
            <v:path/>
            <v:fill on="f" focussize="0,0"/>
            <v:stroke on="f"/>
            <v:imagedata o:title=""/>
            <o:lock v:ext="edit" aspectratio="f"/>
            <v:textbox inset="0mm,0mm,0mm,0mm">
              <w:txbxContent>
                <w:p w14:paraId="413EEBC9">
                  <w:pPr>
                    <w:pStyle w:val="2"/>
                    <w:spacing w:before="19" w:line="220" w:lineRule="auto"/>
                    <w:ind w:left="20"/>
                    <w:rPr>
                      <w:sz w:val="18"/>
                      <w:szCs w:val="18"/>
                    </w:rPr>
                  </w:pPr>
                  <w:r>
                    <w:rPr>
                      <w:spacing w:val="-7"/>
                      <w:sz w:val="18"/>
                      <w:szCs w:val="18"/>
                    </w:rPr>
                    <w:t>监理机构</w:t>
                  </w:r>
                  <w:r>
                    <w:rPr>
                      <w:spacing w:val="4"/>
                      <w:sz w:val="18"/>
                      <w:szCs w:val="18"/>
                    </w:rPr>
                    <w:t xml:space="preserve">         </w:t>
                  </w:r>
                  <w:r>
                    <w:rPr>
                      <w:spacing w:val="-7"/>
                      <w:sz w:val="18"/>
                      <w:szCs w:val="18"/>
                    </w:rPr>
                    <w:t>业主单位</w:t>
                  </w:r>
                </w:p>
              </w:txbxContent>
            </v:textbox>
          </v:shape>
        </w:pict>
      </w:r>
      <w:r>
        <w:pict>
          <v:shape id="_x0000_s1574" o:spid="_x0000_s1574" o:spt="202" type="#_x0000_t202" style="position:absolute;left:0pt;margin-left:32.45pt;margin-top:1.45pt;height:222.8pt;width:54.55pt;z-index:251805696;mso-width-relative:page;mso-height-relative:page;" filled="f" stroked="f" coordsize="21600,21600">
            <v:path/>
            <v:fill on="f" focussize="0,0"/>
            <v:stroke on="f"/>
            <v:imagedata o:title=""/>
            <o:lock v:ext="edit" aspectratio="f"/>
            <v:textbox inset="0mm,0mm,0mm,0mm">
              <w:txbxContent>
                <w:p w14:paraId="66A457CB">
                  <w:pPr>
                    <w:pStyle w:val="2"/>
                    <w:spacing w:before="20" w:line="219" w:lineRule="auto"/>
                    <w:ind w:left="400"/>
                    <w:rPr>
                      <w:sz w:val="18"/>
                      <w:szCs w:val="18"/>
                    </w:rPr>
                  </w:pPr>
                  <w:r>
                    <w:rPr>
                      <w:spacing w:val="-2"/>
                      <w:sz w:val="18"/>
                      <w:szCs w:val="18"/>
                    </w:rPr>
                    <w:t>输入</w:t>
                  </w:r>
                </w:p>
                <w:p w14:paraId="7CC77056">
                  <w:pPr>
                    <w:spacing w:line="435" w:lineRule="auto"/>
                    <w:rPr>
                      <w:rFonts w:ascii="Arial"/>
                      <w:sz w:val="21"/>
                    </w:rPr>
                  </w:pPr>
                </w:p>
                <w:p w14:paraId="7116F99C">
                  <w:pPr>
                    <w:pStyle w:val="2"/>
                    <w:spacing w:before="59" w:line="234" w:lineRule="auto"/>
                    <w:ind w:left="20" w:right="20" w:firstLine="30"/>
                    <w:jc w:val="both"/>
                    <w:rPr>
                      <w:sz w:val="18"/>
                      <w:szCs w:val="18"/>
                    </w:rPr>
                  </w:pPr>
                  <w:r>
                    <w:rPr>
                      <w:spacing w:val="-10"/>
                      <w:sz w:val="18"/>
                      <w:szCs w:val="18"/>
                    </w:rPr>
                    <w:t>设计、测试、</w:t>
                  </w:r>
                  <w:r>
                    <w:rPr>
                      <w:sz w:val="18"/>
                      <w:szCs w:val="18"/>
                    </w:rPr>
                    <w:t xml:space="preserve"> </w:t>
                  </w:r>
                  <w:r>
                    <w:rPr>
                      <w:spacing w:val="-2"/>
                      <w:sz w:val="18"/>
                      <w:szCs w:val="18"/>
                    </w:rPr>
                    <w:t>计划方案报</w:t>
                  </w:r>
                  <w:r>
                    <w:rPr>
                      <w:sz w:val="18"/>
                      <w:szCs w:val="18"/>
                    </w:rPr>
                    <w:t xml:space="preserve">  </w:t>
                  </w:r>
                  <w:r>
                    <w:rPr>
                      <w:color w:val="1A91E0"/>
                      <w:spacing w:val="1"/>
                      <w:sz w:val="18"/>
                      <w:szCs w:val="18"/>
                    </w:rPr>
                    <w:t>审</w:t>
                  </w:r>
                  <w:r>
                    <w:rPr>
                      <w:spacing w:val="1"/>
                      <w:sz w:val="18"/>
                      <w:szCs w:val="18"/>
                    </w:rPr>
                    <w:t>表</w:t>
                  </w:r>
                </w:p>
                <w:p w14:paraId="591E887C">
                  <w:pPr>
                    <w:pStyle w:val="2"/>
                    <w:spacing w:before="175" w:line="220" w:lineRule="auto"/>
                    <w:ind w:left="50"/>
                    <w:rPr>
                      <w:sz w:val="18"/>
                      <w:szCs w:val="18"/>
                    </w:rPr>
                  </w:pPr>
                  <w:r>
                    <w:rPr>
                      <w:spacing w:val="-5"/>
                      <w:sz w:val="18"/>
                      <w:szCs w:val="18"/>
                    </w:rPr>
                    <w:t>标准、规范</w:t>
                  </w:r>
                </w:p>
                <w:p w14:paraId="3EFED179">
                  <w:pPr>
                    <w:pStyle w:val="2"/>
                    <w:spacing w:before="255" w:line="219" w:lineRule="auto"/>
                    <w:ind w:left="179"/>
                    <w:rPr>
                      <w:sz w:val="18"/>
                      <w:szCs w:val="18"/>
                    </w:rPr>
                  </w:pPr>
                  <w:r>
                    <w:rPr>
                      <w:spacing w:val="-8"/>
                      <w:sz w:val="18"/>
                      <w:szCs w:val="18"/>
                    </w:rPr>
                    <w:t>设计文件</w:t>
                  </w:r>
                </w:p>
                <w:p w14:paraId="62F262E1">
                  <w:pPr>
                    <w:pStyle w:val="2"/>
                    <w:spacing w:before="235" w:line="219" w:lineRule="auto"/>
                    <w:ind w:left="50"/>
                    <w:rPr>
                      <w:sz w:val="18"/>
                      <w:szCs w:val="18"/>
                    </w:rPr>
                  </w:pPr>
                  <w:r>
                    <w:rPr>
                      <w:spacing w:val="-3"/>
                      <w:sz w:val="18"/>
                      <w:szCs w:val="18"/>
                    </w:rPr>
                    <w:t>需求说明书</w:t>
                  </w:r>
                </w:p>
                <w:p w14:paraId="0C03F61A">
                  <w:pPr>
                    <w:pStyle w:val="2"/>
                    <w:spacing w:before="227" w:line="219" w:lineRule="auto"/>
                    <w:ind w:left="179"/>
                    <w:rPr>
                      <w:sz w:val="18"/>
                      <w:szCs w:val="18"/>
                    </w:rPr>
                  </w:pPr>
                  <w:r>
                    <w:rPr>
                      <w:spacing w:val="-7"/>
                      <w:sz w:val="18"/>
                      <w:szCs w:val="18"/>
                    </w:rPr>
                    <w:t>承建合同</w:t>
                  </w:r>
                </w:p>
                <w:p w14:paraId="0EA3A307">
                  <w:pPr>
                    <w:spacing w:line="317" w:lineRule="auto"/>
                    <w:rPr>
                      <w:rFonts w:ascii="Arial"/>
                      <w:sz w:val="21"/>
                    </w:rPr>
                  </w:pPr>
                </w:p>
                <w:p w14:paraId="7FFF7461">
                  <w:pPr>
                    <w:pStyle w:val="2"/>
                    <w:spacing w:before="59" w:line="222" w:lineRule="auto"/>
                    <w:ind w:left="50" w:right="20"/>
                    <w:rPr>
                      <w:sz w:val="18"/>
                      <w:szCs w:val="18"/>
                    </w:rPr>
                  </w:pPr>
                  <w:r>
                    <w:rPr>
                      <w:spacing w:val="-10"/>
                      <w:sz w:val="18"/>
                      <w:szCs w:val="18"/>
                    </w:rPr>
                    <w:t>设计、测试、</w:t>
                  </w:r>
                  <w:r>
                    <w:rPr>
                      <w:sz w:val="18"/>
                      <w:szCs w:val="18"/>
                    </w:rPr>
                    <w:t xml:space="preserve"> </w:t>
                  </w:r>
                  <w:r>
                    <w:rPr>
                      <w:spacing w:val="-2"/>
                      <w:sz w:val="18"/>
                      <w:szCs w:val="18"/>
                    </w:rPr>
                    <w:t>计划方案</w:t>
                  </w:r>
                </w:p>
                <w:p w14:paraId="53DC2BD7">
                  <w:pPr>
                    <w:pStyle w:val="2"/>
                    <w:spacing w:before="246" w:line="220" w:lineRule="auto"/>
                    <w:ind w:left="50"/>
                    <w:rPr>
                      <w:sz w:val="18"/>
                      <w:szCs w:val="18"/>
                    </w:rPr>
                  </w:pPr>
                  <w:r>
                    <w:rPr>
                      <w:spacing w:val="-5"/>
                      <w:sz w:val="18"/>
                      <w:szCs w:val="18"/>
                    </w:rPr>
                    <w:t>标准、规范</w:t>
                  </w:r>
                </w:p>
              </w:txbxContent>
            </v:textbox>
          </v:shape>
        </w:pict>
      </w:r>
      <w:r>
        <w:pict>
          <v:shape id="_x0000_s1575" o:spid="_x0000_s1575" o:spt="202" type="#_x0000_t202" style="position:absolute;left:0pt;margin-left:347.45pt;margin-top:2.45pt;height:12.7pt;width:19.7pt;z-index:251816960;mso-width-relative:page;mso-height-relative:page;" filled="f" stroked="f" coordsize="21600,21600">
            <v:path/>
            <v:fill on="f" focussize="0,0"/>
            <v:stroke on="f"/>
            <v:imagedata o:title=""/>
            <o:lock v:ext="edit" aspectratio="f"/>
            <v:textbox inset="0mm,0mm,0mm,0mm">
              <w:txbxContent>
                <w:p w14:paraId="306BFCF5">
                  <w:pPr>
                    <w:pStyle w:val="2"/>
                    <w:spacing w:before="20" w:line="219" w:lineRule="auto"/>
                    <w:ind w:left="20"/>
                    <w:rPr>
                      <w:sz w:val="18"/>
                      <w:szCs w:val="18"/>
                    </w:rPr>
                  </w:pPr>
                  <w:r>
                    <w:rPr>
                      <w:spacing w:val="-2"/>
                      <w:sz w:val="18"/>
                      <w:szCs w:val="18"/>
                    </w:rPr>
                    <w:t>输出</w:t>
                  </w:r>
                </w:p>
              </w:txbxContent>
            </v:textbox>
          </v:shape>
        </w:pict>
      </w:r>
      <w:r>
        <w:drawing>
          <wp:anchor distT="0" distB="0" distL="0" distR="0" simplePos="0" relativeHeight="251804672" behindDoc="1" locked="0" layoutInCell="1" allowOverlap="1">
            <wp:simplePos x="0" y="0"/>
            <wp:positionH relativeFrom="column">
              <wp:posOffset>304165</wp:posOffset>
            </wp:positionH>
            <wp:positionV relativeFrom="paragraph">
              <wp:posOffset>-86995</wp:posOffset>
            </wp:positionV>
            <wp:extent cx="4730750" cy="636905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88"/>
                    <a:stretch>
                      <a:fillRect/>
                    </a:stretch>
                  </pic:blipFill>
                  <pic:spPr>
                    <a:xfrm>
                      <a:off x="0" y="0"/>
                      <a:ext cx="4730761" cy="6368976"/>
                    </a:xfrm>
                    <a:prstGeom prst="rect">
                      <a:avLst/>
                    </a:prstGeom>
                  </pic:spPr>
                </pic:pic>
              </a:graphicData>
            </a:graphic>
          </wp:anchor>
        </w:drawing>
      </w:r>
      <w:r>
        <w:rPr>
          <w:spacing w:val="-2"/>
          <w:sz w:val="18"/>
          <w:szCs w:val="18"/>
        </w:rPr>
        <w:t>承建单位</w:t>
      </w:r>
    </w:p>
    <w:p w14:paraId="6E8D7ECE">
      <w:pPr>
        <w:spacing w:line="252" w:lineRule="auto"/>
        <w:rPr>
          <w:rFonts w:ascii="Arial"/>
          <w:sz w:val="21"/>
        </w:rPr>
      </w:pPr>
    </w:p>
    <w:p w14:paraId="048778FA">
      <w:pPr>
        <w:spacing w:line="253" w:lineRule="auto"/>
        <w:rPr>
          <w:rFonts w:ascii="Arial"/>
          <w:sz w:val="21"/>
        </w:rPr>
      </w:pPr>
    </w:p>
    <w:p w14:paraId="5896A713">
      <w:pPr>
        <w:pStyle w:val="2"/>
        <w:spacing w:before="59" w:line="221" w:lineRule="auto"/>
        <w:ind w:left="3919"/>
        <w:rPr>
          <w:sz w:val="18"/>
          <w:szCs w:val="18"/>
        </w:rPr>
      </w:pPr>
      <w:r>
        <w:rPr>
          <w:spacing w:val="-3"/>
          <w:sz w:val="18"/>
          <w:szCs w:val="18"/>
        </w:rPr>
        <w:t>阶段开始</w:t>
      </w:r>
    </w:p>
    <w:p w14:paraId="137D3297">
      <w:pPr>
        <w:spacing w:line="285" w:lineRule="auto"/>
        <w:rPr>
          <w:rFonts w:ascii="Arial"/>
          <w:sz w:val="21"/>
        </w:rPr>
      </w:pPr>
    </w:p>
    <w:p w14:paraId="58E926BB">
      <w:pPr>
        <w:spacing w:line="286" w:lineRule="auto"/>
        <w:rPr>
          <w:rFonts w:ascii="Arial"/>
          <w:sz w:val="21"/>
        </w:rPr>
      </w:pPr>
    </w:p>
    <w:p w14:paraId="16C56F44">
      <w:pPr>
        <w:pStyle w:val="2"/>
        <w:spacing w:before="59" w:line="219" w:lineRule="auto"/>
        <w:ind w:left="6829"/>
        <w:rPr>
          <w:sz w:val="18"/>
          <w:szCs w:val="18"/>
        </w:rPr>
      </w:pPr>
      <w:r>
        <w:pict>
          <v:shape id="_x0000_s1576" o:spid="_x0000_s1576" o:spt="202" type="#_x0000_t202" style="position:absolute;left:0pt;margin-left:113pt;margin-top:-1.5pt;height:12.7pt;width:53.95pt;z-index:251809792;mso-width-relative:page;mso-height-relative:page;" filled="f" stroked="f" coordsize="21600,21600">
            <v:path/>
            <v:fill on="f" focussize="0,0"/>
            <v:stroke on="f"/>
            <v:imagedata o:title=""/>
            <o:lock v:ext="edit" aspectratio="f"/>
            <v:textbox inset="0mm,0mm,0mm,0mm">
              <w:txbxContent>
                <w:p w14:paraId="36AB3354">
                  <w:pPr>
                    <w:pStyle w:val="2"/>
                    <w:spacing w:before="20" w:line="219" w:lineRule="auto"/>
                    <w:ind w:left="20"/>
                    <w:rPr>
                      <w:sz w:val="18"/>
                      <w:szCs w:val="18"/>
                    </w:rPr>
                  </w:pPr>
                  <w:r>
                    <w:rPr>
                      <w:spacing w:val="-6"/>
                      <w:sz w:val="18"/>
                      <w:szCs w:val="18"/>
                    </w:rPr>
                    <w:t>设计报审请求</w:t>
                  </w:r>
                </w:p>
              </w:txbxContent>
            </v:textbox>
          </v:shape>
        </w:pict>
      </w:r>
      <w:r>
        <w:rPr>
          <w:spacing w:val="-6"/>
          <w:sz w:val="18"/>
          <w:szCs w:val="18"/>
        </w:rPr>
        <w:t>整改方案</w:t>
      </w:r>
    </w:p>
    <w:p w14:paraId="495E9C97">
      <w:pPr>
        <w:pStyle w:val="2"/>
        <w:spacing w:before="266" w:line="219" w:lineRule="auto"/>
        <w:ind w:left="3719"/>
        <w:rPr>
          <w:sz w:val="18"/>
          <w:szCs w:val="18"/>
        </w:rPr>
      </w:pPr>
      <w:r>
        <w:pict>
          <v:shape id="_x0000_s1577" o:spid="_x0000_s1577" o:spt="202" type="#_x0000_t202" style="position:absolute;left:0pt;margin-left:326.95pt;margin-top:11.35pt;height:12.75pt;width:62.9pt;z-index:251807744;mso-width-relative:page;mso-height-relative:page;" filled="f" stroked="f" coordsize="21600,21600">
            <v:path/>
            <v:fill on="f" focussize="0,0"/>
            <v:stroke on="f"/>
            <v:imagedata o:title=""/>
            <o:lock v:ext="edit" aspectratio="f"/>
            <v:textbox inset="0mm,0mm,0mm,0mm">
              <w:txbxContent>
                <w:p w14:paraId="360E4309">
                  <w:pPr>
                    <w:pStyle w:val="2"/>
                    <w:spacing w:before="20" w:line="220" w:lineRule="auto"/>
                    <w:ind w:left="20"/>
                    <w:rPr>
                      <w:sz w:val="18"/>
                      <w:szCs w:val="18"/>
                    </w:rPr>
                  </w:pPr>
                  <w:r>
                    <w:rPr>
                      <w:color w:val="2F8AD1"/>
                      <w:spacing w:val="-6"/>
                      <w:sz w:val="18"/>
                      <w:szCs w:val="18"/>
                    </w:rPr>
                    <w:t>监</w:t>
                  </w:r>
                  <w:r>
                    <w:rPr>
                      <w:spacing w:val="-6"/>
                      <w:sz w:val="18"/>
                      <w:szCs w:val="18"/>
                    </w:rPr>
                    <w:t>理工作联系单</w:t>
                  </w:r>
                </w:p>
              </w:txbxContent>
            </v:textbox>
          </v:shape>
        </w:pict>
      </w:r>
      <w:r>
        <w:rPr>
          <w:spacing w:val="-8"/>
          <w:sz w:val="18"/>
          <w:szCs w:val="18"/>
        </w:rPr>
        <w:t>文档完整性审查</w:t>
      </w:r>
    </w:p>
    <w:p w14:paraId="1B5D7C7D">
      <w:pPr>
        <w:pStyle w:val="2"/>
        <w:spacing w:before="197" w:line="220" w:lineRule="auto"/>
        <w:ind w:left="6729"/>
        <w:rPr>
          <w:sz w:val="18"/>
          <w:szCs w:val="18"/>
        </w:rPr>
      </w:pPr>
      <w:r>
        <w:rPr>
          <w:spacing w:val="-6"/>
          <w:sz w:val="18"/>
          <w:szCs w:val="18"/>
        </w:rPr>
        <w:t>监理通知单</w:t>
      </w:r>
    </w:p>
    <w:p w14:paraId="3C74DB94">
      <w:pPr>
        <w:spacing w:before="75" w:line="170" w:lineRule="auto"/>
        <w:ind w:left="3719"/>
        <w:rPr>
          <w:rFonts w:ascii="黑体" w:hAnsi="黑体" w:eastAsia="黑体" w:cs="黑体"/>
          <w:sz w:val="18"/>
          <w:szCs w:val="18"/>
        </w:rPr>
      </w:pPr>
      <w:r>
        <w:rPr>
          <w:rFonts w:ascii="黑体" w:hAnsi="黑体" w:eastAsia="黑体" w:cs="黑体"/>
          <w:sz w:val="18"/>
          <w:szCs w:val="18"/>
        </w:rPr>
        <w:t>否</w:t>
      </w:r>
    </w:p>
    <w:p w14:paraId="1E3108FD">
      <w:pPr>
        <w:pStyle w:val="2"/>
        <w:spacing w:line="270" w:lineRule="auto"/>
        <w:ind w:left="4379" w:right="4036" w:hanging="320"/>
        <w:rPr>
          <w:sz w:val="18"/>
          <w:szCs w:val="18"/>
        </w:rPr>
      </w:pPr>
      <w:r>
        <w:pict>
          <v:shape id="_x0000_s1578" o:spid="_x0000_s1578" o:spt="202" type="#_x0000_t202" style="position:absolute;left:0pt;margin-left:129.95pt;margin-top:-1.3pt;height:12.7pt;width:19.65pt;z-index:251817984;mso-width-relative:page;mso-height-relative:page;" filled="f" stroked="f" coordsize="21600,21600">
            <v:path/>
            <v:fill on="f" focussize="0,0"/>
            <v:stroke on="f"/>
            <v:imagedata o:title=""/>
            <o:lock v:ext="edit" aspectratio="f"/>
            <v:textbox inset="0mm,0mm,0mm,0mm">
              <w:txbxContent>
                <w:p w14:paraId="5CD0110A">
                  <w:pPr>
                    <w:pStyle w:val="2"/>
                    <w:spacing w:before="20" w:line="219" w:lineRule="auto"/>
                    <w:ind w:left="20"/>
                    <w:rPr>
                      <w:sz w:val="18"/>
                      <w:szCs w:val="18"/>
                    </w:rPr>
                  </w:pPr>
                  <w:r>
                    <w:rPr>
                      <w:spacing w:val="-2"/>
                      <w:sz w:val="18"/>
                      <w:szCs w:val="18"/>
                    </w:rPr>
                    <w:t>整改</w:t>
                  </w:r>
                </w:p>
              </w:txbxContent>
            </v:textbox>
          </v:shape>
        </w:pict>
      </w:r>
      <w:r>
        <w:rPr>
          <w:spacing w:val="-3"/>
          <w:sz w:val="18"/>
          <w:szCs w:val="18"/>
        </w:rPr>
        <w:t>符合?</w:t>
      </w:r>
      <w:r>
        <w:rPr>
          <w:sz w:val="18"/>
          <w:szCs w:val="18"/>
        </w:rPr>
        <w:t xml:space="preserve"> </w:t>
      </w:r>
      <w:r>
        <w:rPr>
          <w:spacing w:val="-10"/>
          <w:sz w:val="18"/>
          <w:szCs w:val="18"/>
        </w:rPr>
        <w:t>是</w:t>
      </w:r>
    </w:p>
    <w:p w14:paraId="7C1854E5">
      <w:pPr>
        <w:pStyle w:val="2"/>
        <w:spacing w:before="7" w:line="185" w:lineRule="auto"/>
        <w:ind w:left="6559"/>
        <w:rPr>
          <w:sz w:val="18"/>
          <w:szCs w:val="18"/>
        </w:rPr>
      </w:pPr>
      <w:r>
        <w:rPr>
          <w:color w:val="398EEF"/>
          <w:spacing w:val="-4"/>
          <w:sz w:val="18"/>
          <w:szCs w:val="18"/>
        </w:rPr>
        <w:t>监</w:t>
      </w:r>
      <w:r>
        <w:rPr>
          <w:spacing w:val="-4"/>
          <w:sz w:val="18"/>
          <w:szCs w:val="18"/>
        </w:rPr>
        <w:t>理工作联系单</w:t>
      </w:r>
    </w:p>
    <w:p w14:paraId="5C3090E5">
      <w:pPr>
        <w:pStyle w:val="2"/>
        <w:spacing w:before="1" w:line="220" w:lineRule="auto"/>
        <w:ind w:left="4549"/>
        <w:rPr>
          <w:sz w:val="18"/>
          <w:szCs w:val="18"/>
        </w:rPr>
      </w:pPr>
      <w:r>
        <w:rPr>
          <w:spacing w:val="-6"/>
          <w:sz w:val="18"/>
          <w:szCs w:val="18"/>
        </w:rPr>
        <w:t>方案审查</w:t>
      </w:r>
    </w:p>
    <w:p w14:paraId="1F57E46A">
      <w:pPr>
        <w:pStyle w:val="2"/>
        <w:spacing w:before="65" w:line="220" w:lineRule="auto"/>
        <w:ind w:left="6729"/>
        <w:rPr>
          <w:sz w:val="18"/>
          <w:szCs w:val="18"/>
        </w:rPr>
      </w:pPr>
      <w:r>
        <w:rPr>
          <w:spacing w:val="-6"/>
          <w:sz w:val="18"/>
          <w:szCs w:val="18"/>
        </w:rPr>
        <w:t>监理通知单</w:t>
      </w:r>
    </w:p>
    <w:p w14:paraId="4E51136E">
      <w:pPr>
        <w:pStyle w:val="2"/>
        <w:spacing w:before="245" w:line="219" w:lineRule="auto"/>
        <w:ind w:left="6829"/>
        <w:rPr>
          <w:sz w:val="18"/>
          <w:szCs w:val="18"/>
        </w:rPr>
      </w:pPr>
      <w:r>
        <w:pict>
          <v:shape id="_x0000_s1579" o:spid="_x0000_s1579" o:spt="202" type="#_x0000_t202" style="position:absolute;left:0pt;margin-left:184.95pt;margin-top:5.25pt;height:11.15pt;width:10.65pt;z-index:251819008;mso-width-relative:page;mso-height-relative:page;" filled="f" stroked="f" coordsize="21600,21600">
            <v:path/>
            <v:fill on="f" focussize="0,0"/>
            <v:stroke on="f"/>
            <v:imagedata o:title=""/>
            <o:lock v:ext="edit" aspectratio="f"/>
            <v:textbox inset="0mm,0mm,0mm,0mm">
              <w:txbxContent>
                <w:p w14:paraId="13F55C6A">
                  <w:pPr>
                    <w:spacing w:before="20" w:line="187" w:lineRule="auto"/>
                    <w:ind w:left="20"/>
                    <w:rPr>
                      <w:rFonts w:ascii="黑体" w:hAnsi="黑体" w:eastAsia="黑体" w:cs="黑体"/>
                      <w:sz w:val="18"/>
                      <w:szCs w:val="18"/>
                    </w:rPr>
                  </w:pPr>
                  <w:r>
                    <w:rPr>
                      <w:rFonts w:ascii="黑体" w:hAnsi="黑体" w:eastAsia="黑体" w:cs="黑体"/>
                      <w:sz w:val="18"/>
                      <w:szCs w:val="18"/>
                    </w:rPr>
                    <w:t>否</w:t>
                  </w:r>
                </w:p>
              </w:txbxContent>
            </v:textbox>
          </v:shape>
        </w:pict>
      </w:r>
      <w:r>
        <w:pict>
          <v:shape id="_x0000_s1580" o:spid="_x0000_s1580" o:spt="202" type="#_x0000_t202" style="position:absolute;left:0pt;margin-left:201.95pt;margin-top:12.7pt;height:12.7pt;width:24.1pt;z-index:251815936;mso-width-relative:page;mso-height-relative:page;" filled="f" stroked="f" coordsize="21600,21600">
            <v:path/>
            <v:fill on="f" focussize="0,0"/>
            <v:stroke on="f"/>
            <v:imagedata o:title=""/>
            <o:lock v:ext="edit" aspectratio="f"/>
            <v:textbox inset="0mm,0mm,0mm,0mm">
              <w:txbxContent>
                <w:p w14:paraId="67A65261">
                  <w:pPr>
                    <w:pStyle w:val="2"/>
                    <w:spacing w:before="20" w:line="219" w:lineRule="auto"/>
                    <w:ind w:left="20"/>
                    <w:rPr>
                      <w:sz w:val="18"/>
                      <w:szCs w:val="18"/>
                    </w:rPr>
                  </w:pPr>
                  <w:r>
                    <w:rPr>
                      <w:spacing w:val="-3"/>
                      <w:sz w:val="18"/>
                      <w:szCs w:val="18"/>
                    </w:rPr>
                    <w:t>符合?</w:t>
                  </w:r>
                </w:p>
              </w:txbxContent>
            </v:textbox>
          </v:shape>
        </w:pict>
      </w:r>
      <w:r>
        <w:pict>
          <v:shape id="_x0000_s1581" o:spid="_x0000_s1581" o:spt="202" type="#_x0000_t202" style="position:absolute;left:0pt;margin-left:121.45pt;margin-top:13.2pt;height:12.7pt;width:36.4pt;z-index:251813888;mso-width-relative:page;mso-height-relative:page;" filled="f" stroked="f" coordsize="21600,21600">
            <v:path/>
            <v:fill on="f" focussize="0,0"/>
            <v:stroke on="f"/>
            <v:imagedata o:title=""/>
            <o:lock v:ext="edit" aspectratio="f"/>
            <v:textbox inset="0mm,0mm,0mm,0mm">
              <w:txbxContent>
                <w:p w14:paraId="6FFD0CA8">
                  <w:pPr>
                    <w:pStyle w:val="2"/>
                    <w:spacing w:before="20" w:line="219" w:lineRule="auto"/>
                    <w:ind w:left="20"/>
                    <w:rPr>
                      <w:sz w:val="18"/>
                      <w:szCs w:val="18"/>
                    </w:rPr>
                  </w:pPr>
                  <w:r>
                    <w:rPr>
                      <w:spacing w:val="-7"/>
                      <w:sz w:val="18"/>
                      <w:szCs w:val="18"/>
                    </w:rPr>
                    <w:t>方案修改</w:t>
                  </w:r>
                </w:p>
              </w:txbxContent>
            </v:textbox>
          </v:shape>
        </w:pict>
      </w:r>
      <w:r>
        <w:rPr>
          <w:spacing w:val="-6"/>
          <w:sz w:val="18"/>
          <w:szCs w:val="18"/>
        </w:rPr>
        <w:t>整改方案</w:t>
      </w:r>
    </w:p>
    <w:p w14:paraId="691FCBE8">
      <w:pPr>
        <w:pStyle w:val="2"/>
        <w:spacing w:before="47" w:line="219" w:lineRule="auto"/>
        <w:ind w:left="669"/>
        <w:rPr>
          <w:sz w:val="18"/>
          <w:szCs w:val="18"/>
        </w:rPr>
      </w:pPr>
      <w:r>
        <w:rPr>
          <w:color w:val="0165D7"/>
          <w:spacing w:val="-4"/>
          <w:sz w:val="18"/>
          <w:szCs w:val="18"/>
        </w:rPr>
        <w:t>设计</w:t>
      </w:r>
      <w:r>
        <w:rPr>
          <w:spacing w:val="-4"/>
          <w:sz w:val="18"/>
          <w:szCs w:val="18"/>
        </w:rPr>
        <w:t>变更文件</w:t>
      </w:r>
    </w:p>
    <w:p w14:paraId="5517BE22">
      <w:pPr>
        <w:pStyle w:val="2"/>
        <w:spacing w:before="26" w:line="220" w:lineRule="auto"/>
        <w:ind w:left="6729"/>
        <w:rPr>
          <w:sz w:val="18"/>
          <w:szCs w:val="18"/>
        </w:rPr>
      </w:pPr>
      <w:r>
        <w:pict>
          <v:shape id="_x0000_s1582" o:spid="_x0000_s1582" o:spt="202" type="#_x0000_t202" style="position:absolute;left:0pt;margin-left:217.45pt;margin-top:-4.5pt;height:12.9pt;width:10.55pt;z-index:251820032;mso-width-relative:page;mso-height-relative:page;" filled="f" stroked="f" coordsize="21600,21600">
            <v:path/>
            <v:fill on="f" focussize="0,0"/>
            <v:stroke on="f"/>
            <v:imagedata o:title=""/>
            <o:lock v:ext="edit" aspectratio="f"/>
            <v:textbox inset="0mm,0mm,0mm,0mm">
              <w:txbxContent>
                <w:p w14:paraId="07BFC455">
                  <w:pPr>
                    <w:pStyle w:val="2"/>
                    <w:spacing w:before="19" w:line="223" w:lineRule="auto"/>
                    <w:ind w:left="20"/>
                    <w:rPr>
                      <w:sz w:val="18"/>
                      <w:szCs w:val="18"/>
                    </w:rPr>
                  </w:pPr>
                  <w:r>
                    <w:rPr>
                      <w:sz w:val="18"/>
                      <w:szCs w:val="18"/>
                    </w:rPr>
                    <w:t>是</w:t>
                  </w:r>
                </w:p>
              </w:txbxContent>
            </v:textbox>
          </v:shape>
        </w:pict>
      </w:r>
      <w:r>
        <w:rPr>
          <w:spacing w:val="-6"/>
          <w:sz w:val="18"/>
          <w:szCs w:val="18"/>
        </w:rPr>
        <w:t>工程备忘录</w:t>
      </w:r>
    </w:p>
    <w:p w14:paraId="117A6406">
      <w:pPr>
        <w:pStyle w:val="2"/>
        <w:spacing w:before="96" w:line="204" w:lineRule="auto"/>
        <w:ind w:left="3919"/>
        <w:rPr>
          <w:sz w:val="18"/>
          <w:szCs w:val="18"/>
        </w:rPr>
      </w:pPr>
      <w:r>
        <w:pict>
          <v:shape id="_x0000_s1583" o:spid="_x0000_s1583" o:spt="202" type="#_x0000_t202" style="position:absolute;left:0pt;margin-left:40.45pt;margin-top:-1.25pt;height:12.7pt;width:35.95pt;z-index:251814912;mso-width-relative:page;mso-height-relative:page;" filled="f" stroked="f" coordsize="21600,21600">
            <v:path/>
            <v:fill on="f" focussize="0,0"/>
            <v:stroke on="f"/>
            <v:imagedata o:title=""/>
            <o:lock v:ext="edit" aspectratio="f"/>
            <v:textbox inset="0mm,0mm,0mm,0mm">
              <w:txbxContent>
                <w:p w14:paraId="0EF62E0D">
                  <w:pPr>
                    <w:pStyle w:val="2"/>
                    <w:spacing w:before="20" w:line="219" w:lineRule="auto"/>
                    <w:ind w:left="20"/>
                    <w:rPr>
                      <w:sz w:val="18"/>
                      <w:szCs w:val="18"/>
                    </w:rPr>
                  </w:pPr>
                  <w:r>
                    <w:rPr>
                      <w:spacing w:val="-8"/>
                      <w:sz w:val="18"/>
                      <w:szCs w:val="18"/>
                    </w:rPr>
                    <w:t>整改方案</w:t>
                  </w:r>
                </w:p>
              </w:txbxContent>
            </v:textbox>
          </v:shape>
        </w:pict>
      </w:r>
      <w:r>
        <w:rPr>
          <w:spacing w:val="-6"/>
          <w:sz w:val="18"/>
          <w:szCs w:val="18"/>
        </w:rPr>
        <w:t>三方签认</w:t>
      </w:r>
    </w:p>
    <w:p w14:paraId="2EF77B90">
      <w:pPr>
        <w:pStyle w:val="2"/>
        <w:spacing w:before="1" w:line="194" w:lineRule="auto"/>
        <w:ind w:left="6559"/>
        <w:rPr>
          <w:sz w:val="18"/>
          <w:szCs w:val="18"/>
        </w:rPr>
      </w:pPr>
      <w:r>
        <w:rPr>
          <w:color w:val="006FD1"/>
          <w:spacing w:val="-6"/>
          <w:sz w:val="18"/>
          <w:szCs w:val="18"/>
        </w:rPr>
        <w:t>被</w:t>
      </w:r>
      <w:r>
        <w:rPr>
          <w:spacing w:val="-6"/>
          <w:sz w:val="18"/>
          <w:szCs w:val="18"/>
        </w:rPr>
        <w:t>签认的报审表</w:t>
      </w:r>
    </w:p>
    <w:p w14:paraId="758E6EDD">
      <w:pPr>
        <w:pStyle w:val="2"/>
        <w:spacing w:line="218" w:lineRule="auto"/>
        <w:ind w:left="699"/>
        <w:rPr>
          <w:sz w:val="18"/>
          <w:szCs w:val="18"/>
        </w:rPr>
      </w:pPr>
      <w:r>
        <w:rPr>
          <w:spacing w:val="-3"/>
          <w:sz w:val="18"/>
          <w:szCs w:val="18"/>
        </w:rPr>
        <w:t>需求说明书</w:t>
      </w:r>
    </w:p>
    <w:p w14:paraId="7AE01DDD">
      <w:pPr>
        <w:pStyle w:val="2"/>
        <w:spacing w:before="108" w:line="169" w:lineRule="auto"/>
        <w:ind w:left="3919"/>
        <w:rPr>
          <w:sz w:val="18"/>
          <w:szCs w:val="18"/>
        </w:rPr>
      </w:pPr>
      <w:r>
        <w:rPr>
          <w:spacing w:val="-3"/>
          <w:sz w:val="18"/>
          <w:szCs w:val="18"/>
        </w:rPr>
        <w:t>阶段结束</w:t>
      </w:r>
    </w:p>
    <w:p w14:paraId="2CB26045">
      <w:pPr>
        <w:pStyle w:val="2"/>
        <w:spacing w:line="204" w:lineRule="auto"/>
        <w:ind w:left="829"/>
        <w:rPr>
          <w:sz w:val="18"/>
          <w:szCs w:val="18"/>
        </w:rPr>
      </w:pPr>
      <w:r>
        <w:rPr>
          <w:spacing w:val="-7"/>
          <w:sz w:val="18"/>
          <w:szCs w:val="18"/>
        </w:rPr>
        <w:t>承建合同</w:t>
      </w:r>
    </w:p>
    <w:p w14:paraId="324CEDBB">
      <w:pPr>
        <w:spacing w:line="306" w:lineRule="auto"/>
        <w:rPr>
          <w:rFonts w:ascii="Arial"/>
          <w:sz w:val="21"/>
        </w:rPr>
      </w:pPr>
    </w:p>
    <w:p w14:paraId="2030DF82">
      <w:pPr>
        <w:pStyle w:val="2"/>
        <w:spacing w:before="58" w:line="219" w:lineRule="auto"/>
        <w:ind w:left="829"/>
        <w:rPr>
          <w:sz w:val="18"/>
          <w:szCs w:val="18"/>
        </w:rPr>
      </w:pPr>
      <w:r>
        <w:pict>
          <v:shape id="_x0000_s1584" o:spid="_x0000_s1584" o:spt="202" type="#_x0000_t202" style="position:absolute;left:0pt;margin-left:273.45pt;margin-top:2.95pt;height:12.75pt;width:36.45pt;z-index:251811840;mso-width-relative:page;mso-height-relative:page;" filled="f" stroked="f" coordsize="21600,21600">
            <v:path/>
            <v:fill on="f" focussize="0,0"/>
            <v:stroke on="f"/>
            <v:imagedata o:title=""/>
            <o:lock v:ext="edit" aspectratio="f"/>
            <v:textbox inset="0mm,0mm,0mm,0mm">
              <w:txbxContent>
                <w:p w14:paraId="12B040F3">
                  <w:pPr>
                    <w:pStyle w:val="2"/>
                    <w:spacing w:before="20" w:line="220" w:lineRule="auto"/>
                    <w:ind w:left="20"/>
                    <w:rPr>
                      <w:sz w:val="18"/>
                      <w:szCs w:val="18"/>
                    </w:rPr>
                  </w:pPr>
                  <w:r>
                    <w:rPr>
                      <w:spacing w:val="-6"/>
                      <w:sz w:val="18"/>
                      <w:szCs w:val="18"/>
                    </w:rPr>
                    <w:t>变更请求</w:t>
                  </w:r>
                </w:p>
              </w:txbxContent>
            </v:textbox>
          </v:shape>
        </w:pict>
      </w:r>
      <w:r>
        <w:pict>
          <v:shape id="_x0000_s1585" o:spid="_x0000_s1585" o:spt="202" type="#_x0000_t202" style="position:absolute;left:0pt;margin-left:118.5pt;margin-top:2.95pt;height:12.75pt;width:36.45pt;z-index:251812864;mso-width-relative:page;mso-height-relative:page;" filled="f" stroked="f" coordsize="21600,21600">
            <v:path/>
            <v:fill on="f" focussize="0,0"/>
            <v:stroke on="f"/>
            <v:imagedata o:title=""/>
            <o:lock v:ext="edit" aspectratio="f"/>
            <v:textbox inset="0mm,0mm,0mm,0mm">
              <w:txbxContent>
                <w:p w14:paraId="6B6BA072">
                  <w:pPr>
                    <w:pStyle w:val="2"/>
                    <w:spacing w:before="20" w:line="220" w:lineRule="auto"/>
                    <w:ind w:left="20"/>
                    <w:rPr>
                      <w:sz w:val="18"/>
                      <w:szCs w:val="18"/>
                    </w:rPr>
                  </w:pPr>
                  <w:r>
                    <w:rPr>
                      <w:spacing w:val="-6"/>
                      <w:sz w:val="18"/>
                      <w:szCs w:val="18"/>
                    </w:rPr>
                    <w:t>变更请求</w:t>
                  </w:r>
                </w:p>
              </w:txbxContent>
            </v:textbox>
          </v:shape>
        </w:pict>
      </w:r>
      <w:r>
        <w:rPr>
          <w:spacing w:val="-8"/>
          <w:sz w:val="18"/>
          <w:szCs w:val="18"/>
        </w:rPr>
        <w:t>变更申请</w:t>
      </w:r>
    </w:p>
    <w:p w14:paraId="40CD5418">
      <w:pPr>
        <w:pStyle w:val="2"/>
        <w:spacing w:before="227" w:line="220" w:lineRule="auto"/>
        <w:ind w:left="829"/>
        <w:rPr>
          <w:sz w:val="18"/>
          <w:szCs w:val="18"/>
        </w:rPr>
      </w:pPr>
      <w:r>
        <w:pict>
          <v:shape id="_x0000_s1586" o:spid="_x0000_s1586" o:spt="202" type="#_x0000_t202" style="position:absolute;left:0pt;margin-left:326.95pt;margin-top:11.8pt;height:12.75pt;width:60.4pt;z-index:251808768;mso-width-relative:page;mso-height-relative:page;" filled="f" stroked="f" coordsize="21600,21600">
            <v:path/>
            <v:fill on="f" focussize="0,0"/>
            <v:stroke on="f"/>
            <v:imagedata o:title=""/>
            <o:lock v:ext="edit" aspectratio="f"/>
            <v:textbox inset="0mm,0mm,0mm,0mm">
              <w:txbxContent>
                <w:p w14:paraId="76647C14">
                  <w:pPr>
                    <w:pStyle w:val="2"/>
                    <w:spacing w:before="20" w:line="220" w:lineRule="auto"/>
                    <w:ind w:left="20"/>
                    <w:rPr>
                      <w:sz w:val="18"/>
                      <w:szCs w:val="18"/>
                    </w:rPr>
                  </w:pPr>
                  <w:r>
                    <w:rPr>
                      <w:color w:val="2572E7"/>
                      <w:spacing w:val="-12"/>
                      <w:sz w:val="18"/>
                      <w:szCs w:val="18"/>
                    </w:rPr>
                    <w:t>监</w:t>
                  </w:r>
                  <w:r>
                    <w:rPr>
                      <w:spacing w:val="-12"/>
                      <w:sz w:val="18"/>
                      <w:szCs w:val="18"/>
                    </w:rPr>
                    <w:t>理工作联系单</w:t>
                  </w:r>
                </w:p>
              </w:txbxContent>
            </v:textbox>
          </v:shape>
        </w:pict>
      </w:r>
      <w:r>
        <w:pict>
          <v:shape id="_x0000_s1587" o:spid="_x0000_s1587" o:spt="202" type="#_x0000_t202" style="position:absolute;left:0pt;margin-left:190.45pt;margin-top:15.8pt;height:12.75pt;width:52.95pt;z-index:251810816;mso-width-relative:page;mso-height-relative:page;" filled="f" stroked="f" coordsize="21600,21600">
            <v:path/>
            <v:fill on="f" focussize="0,0"/>
            <v:stroke on="f"/>
            <v:imagedata o:title=""/>
            <o:lock v:ext="edit" aspectratio="f"/>
            <v:textbox inset="0mm,0mm,0mm,0mm">
              <w:txbxContent>
                <w:p w14:paraId="16417874">
                  <w:pPr>
                    <w:pStyle w:val="2"/>
                    <w:spacing w:before="20" w:line="220" w:lineRule="auto"/>
                    <w:ind w:left="20"/>
                    <w:rPr>
                      <w:sz w:val="18"/>
                      <w:szCs w:val="18"/>
                    </w:rPr>
                  </w:pPr>
                  <w:r>
                    <w:rPr>
                      <w:spacing w:val="-9"/>
                      <w:sz w:val="18"/>
                      <w:szCs w:val="18"/>
                    </w:rPr>
                    <w:t>变更请求审查</w:t>
                  </w:r>
                </w:p>
              </w:txbxContent>
            </v:textbox>
          </v:shape>
        </w:pict>
      </w:r>
      <w:r>
        <w:rPr>
          <w:spacing w:val="-8"/>
          <w:sz w:val="18"/>
          <w:szCs w:val="18"/>
        </w:rPr>
        <w:t>变更方案</w:t>
      </w:r>
    </w:p>
    <w:p w14:paraId="1D7468F8">
      <w:pPr>
        <w:spacing w:line="275" w:lineRule="auto"/>
        <w:rPr>
          <w:rFonts w:ascii="Arial"/>
          <w:sz w:val="21"/>
        </w:rPr>
      </w:pPr>
    </w:p>
    <w:p w14:paraId="1E09CD25">
      <w:pPr>
        <w:pStyle w:val="2"/>
        <w:spacing w:before="59" w:line="220" w:lineRule="auto"/>
        <w:ind w:left="6729"/>
        <w:rPr>
          <w:sz w:val="18"/>
          <w:szCs w:val="18"/>
        </w:rPr>
      </w:pPr>
      <w:r>
        <w:rPr>
          <w:spacing w:val="-6"/>
          <w:sz w:val="18"/>
          <w:szCs w:val="18"/>
        </w:rPr>
        <w:t>监理通知单</w:t>
      </w:r>
    </w:p>
    <w:p w14:paraId="5AFD6476">
      <w:pPr>
        <w:pStyle w:val="2"/>
        <w:spacing w:before="25" w:line="223" w:lineRule="auto"/>
        <w:ind w:left="4059"/>
        <w:rPr>
          <w:sz w:val="18"/>
          <w:szCs w:val="18"/>
        </w:rPr>
      </w:pPr>
      <w:r>
        <w:pict>
          <v:shape id="_x0000_s1588" o:spid="_x0000_s1588" o:spt="202" type="#_x0000_t202" style="position:absolute;left:0pt;margin-left:238pt;margin-top:-4.7pt;height:11pt;width:10.4pt;z-index:251821056;mso-width-relative:page;mso-height-relative:page;" filled="f" stroked="f" coordsize="21600,21600">
            <v:path/>
            <v:fill on="f" focussize="0,0"/>
            <v:stroke on="f"/>
            <v:imagedata o:title=""/>
            <o:lock v:ext="edit" aspectratio="f"/>
            <v:textbox inset="0mm,0mm,0mm,0mm">
              <w:txbxContent>
                <w:p w14:paraId="2B537AB0">
                  <w:pPr>
                    <w:pStyle w:val="2"/>
                    <w:spacing w:before="20" w:line="184" w:lineRule="auto"/>
                    <w:ind w:left="20"/>
                    <w:rPr>
                      <w:sz w:val="18"/>
                      <w:szCs w:val="18"/>
                    </w:rPr>
                  </w:pPr>
                  <w:r>
                    <w:rPr>
                      <w:sz w:val="18"/>
                      <w:szCs w:val="18"/>
                    </w:rPr>
                    <w:t>否</w:t>
                  </w:r>
                </w:p>
              </w:txbxContent>
            </v:textbox>
          </v:shape>
        </w:pict>
      </w:r>
      <w:r>
        <w:rPr>
          <w:spacing w:val="-3"/>
          <w:sz w:val="18"/>
          <w:szCs w:val="18"/>
        </w:rPr>
        <w:t>合理?</w:t>
      </w:r>
      <w:r>
        <w:rPr>
          <w:spacing w:val="1"/>
          <w:sz w:val="18"/>
          <w:szCs w:val="18"/>
        </w:rPr>
        <w:t xml:space="preserve">             </w:t>
      </w:r>
      <w:r>
        <w:rPr>
          <w:spacing w:val="-3"/>
          <w:sz w:val="18"/>
          <w:szCs w:val="18"/>
        </w:rPr>
        <w:t>结束</w:t>
      </w:r>
    </w:p>
    <w:p w14:paraId="0B8BDF74">
      <w:pPr>
        <w:pStyle w:val="2"/>
        <w:spacing w:before="96" w:line="223" w:lineRule="auto"/>
        <w:ind w:left="4059"/>
        <w:rPr>
          <w:sz w:val="18"/>
          <w:szCs w:val="18"/>
        </w:rPr>
      </w:pPr>
      <w:r>
        <w:rPr>
          <w:sz w:val="18"/>
          <w:szCs w:val="18"/>
        </w:rPr>
        <w:t>是</w:t>
      </w:r>
    </w:p>
    <w:p w14:paraId="0D30EAAF">
      <w:pPr>
        <w:pStyle w:val="2"/>
        <w:spacing w:before="120" w:line="159" w:lineRule="auto"/>
        <w:ind w:left="3919"/>
        <w:rPr>
          <w:sz w:val="18"/>
          <w:szCs w:val="18"/>
        </w:rPr>
      </w:pPr>
      <w:r>
        <w:rPr>
          <w:spacing w:val="-6"/>
          <w:sz w:val="18"/>
          <w:szCs w:val="18"/>
        </w:rPr>
        <w:t>三方签认</w:t>
      </w:r>
    </w:p>
    <w:p w14:paraId="427C6D25">
      <w:pPr>
        <w:pStyle w:val="2"/>
        <w:spacing w:line="194" w:lineRule="auto"/>
        <w:ind w:left="6729"/>
        <w:rPr>
          <w:sz w:val="18"/>
          <w:szCs w:val="18"/>
        </w:rPr>
      </w:pPr>
      <w:r>
        <w:rPr>
          <w:spacing w:val="-6"/>
          <w:sz w:val="18"/>
          <w:szCs w:val="18"/>
        </w:rPr>
        <w:t>工程备忘录</w:t>
      </w:r>
    </w:p>
    <w:p w14:paraId="51AF1472">
      <w:pPr>
        <w:spacing w:line="245" w:lineRule="auto"/>
        <w:rPr>
          <w:rFonts w:ascii="Arial"/>
          <w:sz w:val="21"/>
        </w:rPr>
      </w:pPr>
    </w:p>
    <w:p w14:paraId="4C237508">
      <w:pPr>
        <w:pStyle w:val="2"/>
        <w:spacing w:before="60" w:line="221" w:lineRule="auto"/>
        <w:ind w:left="3919"/>
        <w:rPr>
          <w:sz w:val="18"/>
          <w:szCs w:val="18"/>
        </w:rPr>
      </w:pPr>
      <w:r>
        <w:rPr>
          <w:spacing w:val="-6"/>
          <w:sz w:val="18"/>
          <w:szCs w:val="18"/>
        </w:rPr>
        <w:t>设计变更</w:t>
      </w:r>
    </w:p>
    <w:p w14:paraId="5DD2AC28">
      <w:pPr>
        <w:spacing w:line="413" w:lineRule="auto"/>
        <w:rPr>
          <w:rFonts w:ascii="Arial"/>
          <w:sz w:val="21"/>
        </w:rPr>
      </w:pPr>
    </w:p>
    <w:p w14:paraId="408506B4">
      <w:pPr>
        <w:pStyle w:val="2"/>
        <w:spacing w:before="58" w:line="220" w:lineRule="auto"/>
        <w:ind w:left="2930"/>
        <w:rPr>
          <w:sz w:val="18"/>
          <w:szCs w:val="18"/>
        </w:rPr>
      </w:pPr>
      <w:r>
        <w:rPr>
          <w:spacing w:val="1"/>
          <w:sz w:val="18"/>
          <w:szCs w:val="18"/>
        </w:rPr>
        <w:t>图20-2</w:t>
      </w:r>
      <w:r>
        <w:rPr>
          <w:spacing w:val="70"/>
          <w:sz w:val="18"/>
          <w:szCs w:val="18"/>
        </w:rPr>
        <w:t xml:space="preserve"> </w:t>
      </w:r>
      <w:r>
        <w:rPr>
          <w:spacing w:val="1"/>
          <w:sz w:val="18"/>
          <w:szCs w:val="18"/>
        </w:rPr>
        <w:t>设计阶段监理工作流程</w:t>
      </w:r>
    </w:p>
    <w:p w14:paraId="65C2684E">
      <w:pPr>
        <w:spacing w:line="220" w:lineRule="auto"/>
        <w:rPr>
          <w:sz w:val="18"/>
          <w:szCs w:val="18"/>
        </w:rPr>
        <w:sectPr>
          <w:pgSz w:w="10280" w:h="13310"/>
          <w:pgMar w:top="339" w:right="622" w:bottom="400" w:left="1070" w:header="0" w:footer="0" w:gutter="0"/>
          <w:cols w:space="720" w:num="1"/>
        </w:sectPr>
      </w:pPr>
    </w:p>
    <w:p w14:paraId="4A769654">
      <w:pPr>
        <w:pStyle w:val="2"/>
        <w:spacing w:before="37" w:line="220" w:lineRule="auto"/>
        <w:rPr>
          <w:sz w:val="20"/>
          <w:szCs w:val="20"/>
        </w:rPr>
      </w:pPr>
      <w:r>
        <w:rPr>
          <w:rFonts w:ascii="Times New Roman" w:hAnsi="Times New Roman" w:eastAsia="Times New Roman" w:cs="Times New Roman"/>
          <w:position w:val="-3"/>
          <w:sz w:val="20"/>
          <w:szCs w:val="20"/>
        </w:rPr>
        <w:t xml:space="preserve">456             </w:t>
      </w:r>
      <w:r>
        <w:rPr>
          <w:sz w:val="20"/>
          <w:szCs w:val="20"/>
        </w:rPr>
        <w:t>信息系统监理师教程(第2版)</w:t>
      </w:r>
    </w:p>
    <w:p w14:paraId="7EF6EBCA">
      <w:pPr>
        <w:spacing w:line="261" w:lineRule="auto"/>
        <w:rPr>
          <w:rFonts w:ascii="Arial"/>
          <w:sz w:val="21"/>
        </w:rPr>
      </w:pPr>
    </w:p>
    <w:p w14:paraId="359E1703">
      <w:pPr>
        <w:pStyle w:val="2"/>
        <w:spacing w:before="91" w:line="221" w:lineRule="auto"/>
        <w:ind w:left="363"/>
        <w:rPr>
          <w:rFonts w:ascii="黑体" w:hAnsi="黑体" w:eastAsia="黑体" w:cs="黑体"/>
          <w:sz w:val="28"/>
          <w:szCs w:val="28"/>
        </w:rPr>
      </w:pPr>
      <w:r>
        <w:rPr>
          <w:b/>
          <w:bCs/>
          <w:color w:val="0075DC"/>
          <w:spacing w:val="-6"/>
          <w:sz w:val="28"/>
          <w:szCs w:val="28"/>
        </w:rPr>
        <w:t>20.4</w:t>
      </w:r>
      <w:r>
        <w:rPr>
          <w:color w:val="0075DC"/>
          <w:spacing w:val="145"/>
          <w:sz w:val="28"/>
          <w:szCs w:val="28"/>
        </w:rPr>
        <w:t xml:space="preserve"> </w:t>
      </w:r>
      <w:r>
        <w:rPr>
          <w:rFonts w:ascii="黑体" w:hAnsi="黑体" w:eastAsia="黑体" w:cs="黑体"/>
          <w:b/>
          <w:bCs/>
          <w:color w:val="0075DC"/>
          <w:spacing w:val="-6"/>
          <w:sz w:val="28"/>
          <w:szCs w:val="28"/>
        </w:rPr>
        <w:t>实施阶段监理基础工作</w:t>
      </w:r>
    </w:p>
    <w:p w14:paraId="59A7859E">
      <w:pPr>
        <w:pStyle w:val="2"/>
        <w:spacing w:before="266" w:line="289" w:lineRule="auto"/>
        <w:ind w:left="359" w:right="70" w:firstLine="430"/>
        <w:jc w:val="both"/>
        <w:rPr>
          <w:sz w:val="20"/>
          <w:szCs w:val="20"/>
        </w:rPr>
      </w:pPr>
      <w:r>
        <w:rPr>
          <w:spacing w:val="2"/>
          <w:sz w:val="20"/>
          <w:szCs w:val="20"/>
        </w:rPr>
        <w:t>实施阶段就是信息系统实现的过程，</w:t>
      </w:r>
      <w:r>
        <w:rPr>
          <w:spacing w:val="-37"/>
          <w:sz w:val="20"/>
          <w:szCs w:val="20"/>
        </w:rPr>
        <w:t xml:space="preserve"> </w:t>
      </w:r>
      <w:r>
        <w:rPr>
          <w:spacing w:val="2"/>
          <w:sz w:val="20"/>
          <w:szCs w:val="20"/>
        </w:rPr>
        <w:t>一般来说，也是监理单位工作量最大的工作阶段</w:t>
      </w:r>
      <w:r>
        <w:rPr>
          <w:spacing w:val="1"/>
          <w:sz w:val="20"/>
          <w:szCs w:val="20"/>
        </w:rPr>
        <w:t>。实</w:t>
      </w:r>
      <w:r>
        <w:rPr>
          <w:sz w:val="20"/>
          <w:szCs w:val="20"/>
        </w:rPr>
        <w:t xml:space="preserve"> </w:t>
      </w:r>
      <w:r>
        <w:rPr>
          <w:spacing w:val="3"/>
          <w:sz w:val="20"/>
          <w:szCs w:val="20"/>
        </w:rPr>
        <w:t>施阶段的监理内容是对信息系统工程建设项目的质量、进度和投资进行控制，对承建合同和文</w:t>
      </w:r>
      <w:r>
        <w:rPr>
          <w:spacing w:val="6"/>
          <w:sz w:val="20"/>
          <w:szCs w:val="20"/>
        </w:rPr>
        <w:t xml:space="preserve"> </w:t>
      </w:r>
      <w:r>
        <w:rPr>
          <w:spacing w:val="3"/>
          <w:sz w:val="20"/>
          <w:szCs w:val="20"/>
        </w:rPr>
        <w:t>档资料进行管理，协调有关各方面的工作关系。此外，还应根据信息系统工程的特点，对知识</w:t>
      </w:r>
      <w:r>
        <w:rPr>
          <w:spacing w:val="7"/>
          <w:sz w:val="20"/>
          <w:szCs w:val="20"/>
        </w:rPr>
        <w:t xml:space="preserve"> </w:t>
      </w:r>
      <w:r>
        <w:rPr>
          <w:spacing w:val="-5"/>
          <w:sz w:val="20"/>
          <w:szCs w:val="20"/>
        </w:rPr>
        <w:t>产权进行管理。</w:t>
      </w:r>
    </w:p>
    <w:p w14:paraId="31532D49">
      <w:pPr>
        <w:pStyle w:val="2"/>
        <w:spacing w:before="198" w:line="221" w:lineRule="auto"/>
        <w:ind w:left="362"/>
        <w:rPr>
          <w:sz w:val="25"/>
          <w:szCs w:val="25"/>
        </w:rPr>
      </w:pPr>
      <w:r>
        <w:rPr>
          <w:b/>
          <w:bCs/>
          <w:color w:val="0079E3"/>
          <w:spacing w:val="-17"/>
          <w:sz w:val="25"/>
          <w:szCs w:val="25"/>
        </w:rPr>
        <w:t>20.4.1</w:t>
      </w:r>
      <w:r>
        <w:rPr>
          <w:color w:val="0079E3"/>
          <w:spacing w:val="80"/>
          <w:sz w:val="25"/>
          <w:szCs w:val="25"/>
        </w:rPr>
        <w:t xml:space="preserve"> </w:t>
      </w:r>
      <w:r>
        <w:rPr>
          <w:b/>
          <w:bCs/>
          <w:color w:val="0079E3"/>
          <w:spacing w:val="-17"/>
          <w:sz w:val="25"/>
          <w:szCs w:val="25"/>
        </w:rPr>
        <w:t>监理要求</w:t>
      </w:r>
    </w:p>
    <w:p w14:paraId="51590EF4">
      <w:pPr>
        <w:pStyle w:val="2"/>
        <w:spacing w:before="172" w:line="220" w:lineRule="auto"/>
        <w:ind w:left="789"/>
        <w:rPr>
          <w:sz w:val="20"/>
          <w:szCs w:val="20"/>
        </w:rPr>
      </w:pPr>
      <w:r>
        <w:rPr>
          <w:spacing w:val="-4"/>
          <w:sz w:val="20"/>
          <w:szCs w:val="20"/>
        </w:rPr>
        <w:t>实施阶段的监理要求具体包括：</w:t>
      </w:r>
    </w:p>
    <w:p w14:paraId="55A49693">
      <w:pPr>
        <w:pStyle w:val="2"/>
        <w:spacing w:before="71" w:line="219" w:lineRule="auto"/>
        <w:ind w:left="789"/>
        <w:rPr>
          <w:sz w:val="20"/>
          <w:szCs w:val="20"/>
        </w:rPr>
      </w:pPr>
      <w:r>
        <w:rPr>
          <w:spacing w:val="1"/>
          <w:sz w:val="20"/>
          <w:szCs w:val="20"/>
        </w:rPr>
        <w:t>(1)应审核项目实施方案的合法性、合理性，及实施方案与设计方案的符合性；</w:t>
      </w:r>
    </w:p>
    <w:p w14:paraId="19E56748">
      <w:pPr>
        <w:pStyle w:val="2"/>
        <w:spacing w:before="81" w:line="219" w:lineRule="auto"/>
        <w:ind w:left="789"/>
        <w:rPr>
          <w:sz w:val="20"/>
          <w:szCs w:val="20"/>
        </w:rPr>
      </w:pPr>
      <w:r>
        <w:rPr>
          <w:spacing w:val="1"/>
          <w:sz w:val="20"/>
          <w:szCs w:val="20"/>
        </w:rPr>
        <w:t>(2)应促使项目中所使用的产品和服务符合承建合同、法律法</w:t>
      </w:r>
      <w:r>
        <w:rPr>
          <w:sz w:val="20"/>
          <w:szCs w:val="20"/>
        </w:rPr>
        <w:t>规和标准；</w:t>
      </w:r>
    </w:p>
    <w:p w14:paraId="4AA56D41">
      <w:pPr>
        <w:pStyle w:val="2"/>
        <w:spacing w:before="85" w:line="220" w:lineRule="auto"/>
        <w:ind w:left="789"/>
        <w:rPr>
          <w:sz w:val="20"/>
          <w:szCs w:val="20"/>
        </w:rPr>
      </w:pPr>
      <w:r>
        <w:rPr>
          <w:spacing w:val="1"/>
          <w:sz w:val="20"/>
          <w:szCs w:val="20"/>
        </w:rPr>
        <w:t>(3)应审核项目实施计划，对于计划的调整应合理、受控；</w:t>
      </w:r>
    </w:p>
    <w:p w14:paraId="1307ED32">
      <w:pPr>
        <w:pStyle w:val="2"/>
        <w:spacing w:before="69" w:line="219" w:lineRule="auto"/>
        <w:ind w:left="789"/>
        <w:rPr>
          <w:sz w:val="20"/>
          <w:szCs w:val="20"/>
        </w:rPr>
      </w:pPr>
      <w:r>
        <w:rPr>
          <w:spacing w:val="1"/>
          <w:sz w:val="20"/>
          <w:szCs w:val="20"/>
        </w:rPr>
        <w:t>(4)应促使项目实施过程满足承建合同的要求，并与设计方案、项目计划相符。</w:t>
      </w:r>
    </w:p>
    <w:p w14:paraId="70517041">
      <w:pPr>
        <w:pStyle w:val="2"/>
        <w:spacing w:before="234" w:line="220" w:lineRule="auto"/>
        <w:ind w:left="362"/>
        <w:rPr>
          <w:sz w:val="25"/>
          <w:szCs w:val="25"/>
        </w:rPr>
      </w:pPr>
      <w:r>
        <w:rPr>
          <w:b/>
          <w:bCs/>
          <w:color w:val="3FAAFC"/>
          <w:spacing w:val="-18"/>
          <w:sz w:val="25"/>
          <w:szCs w:val="25"/>
        </w:rPr>
        <w:t>20.4.2</w:t>
      </w:r>
      <w:r>
        <w:rPr>
          <w:color w:val="3FAAFC"/>
          <w:spacing w:val="90"/>
          <w:sz w:val="25"/>
          <w:szCs w:val="25"/>
        </w:rPr>
        <w:t xml:space="preserve"> </w:t>
      </w:r>
      <w:r>
        <w:rPr>
          <w:b/>
          <w:bCs/>
          <w:color w:val="3FAAFC"/>
          <w:spacing w:val="-18"/>
          <w:sz w:val="25"/>
          <w:szCs w:val="25"/>
        </w:rPr>
        <w:t>监理活动</w:t>
      </w:r>
    </w:p>
    <w:p w14:paraId="71F6812C">
      <w:pPr>
        <w:pStyle w:val="2"/>
        <w:spacing w:before="182" w:line="278" w:lineRule="auto"/>
        <w:ind w:left="359" w:right="98" w:firstLine="430"/>
        <w:jc w:val="both"/>
        <w:rPr>
          <w:sz w:val="20"/>
          <w:szCs w:val="20"/>
        </w:rPr>
      </w:pPr>
      <w:r>
        <w:rPr>
          <w:spacing w:val="3"/>
          <w:sz w:val="20"/>
          <w:szCs w:val="20"/>
        </w:rPr>
        <w:t>实施阶段的监理活动主要是通过现场监督、核查、记录和协调，及时发现项</w:t>
      </w:r>
      <w:r>
        <w:rPr>
          <w:spacing w:val="2"/>
          <w:sz w:val="20"/>
          <w:szCs w:val="20"/>
        </w:rPr>
        <w:t>目实施过程中</w:t>
      </w:r>
      <w:r>
        <w:rPr>
          <w:sz w:val="20"/>
          <w:szCs w:val="20"/>
        </w:rPr>
        <w:t xml:space="preserve"> </w:t>
      </w:r>
      <w:r>
        <w:rPr>
          <w:spacing w:val="3"/>
          <w:sz w:val="20"/>
          <w:szCs w:val="20"/>
        </w:rPr>
        <w:t>的问题，并督促承建单位采取措施、纠正问题，促使项目质量、</w:t>
      </w:r>
      <w:r>
        <w:rPr>
          <w:spacing w:val="2"/>
          <w:sz w:val="20"/>
          <w:szCs w:val="20"/>
        </w:rPr>
        <w:t>进度、投资等按要求实现。具</w:t>
      </w:r>
      <w:r>
        <w:rPr>
          <w:sz w:val="20"/>
          <w:szCs w:val="20"/>
        </w:rPr>
        <w:t xml:space="preserve"> </w:t>
      </w:r>
      <w:r>
        <w:rPr>
          <w:spacing w:val="-5"/>
          <w:sz w:val="20"/>
          <w:szCs w:val="20"/>
        </w:rPr>
        <w:t>体监理活动如下。</w:t>
      </w:r>
    </w:p>
    <w:p w14:paraId="107C4E38">
      <w:pPr>
        <w:pStyle w:val="2"/>
        <w:spacing w:before="124" w:line="222" w:lineRule="auto"/>
        <w:ind w:left="792"/>
        <w:rPr>
          <w:rFonts w:ascii="黑体" w:hAnsi="黑体" w:eastAsia="黑体" w:cs="黑体"/>
          <w:sz w:val="20"/>
          <w:szCs w:val="20"/>
        </w:rPr>
      </w:pPr>
      <w:r>
        <w:rPr>
          <w:b/>
          <w:bCs/>
          <w:color w:val="0075C3"/>
          <w:spacing w:val="-2"/>
          <w:sz w:val="20"/>
          <w:szCs w:val="20"/>
        </w:rPr>
        <w:t>1.</w:t>
      </w:r>
      <w:r>
        <w:rPr>
          <w:rFonts w:ascii="黑体" w:hAnsi="黑体" w:eastAsia="黑体" w:cs="黑体"/>
          <w:b/>
          <w:bCs/>
          <w:color w:val="0075C3"/>
          <w:spacing w:val="-2"/>
          <w:sz w:val="20"/>
          <w:szCs w:val="20"/>
        </w:rPr>
        <w:t>质量控制</w:t>
      </w:r>
    </w:p>
    <w:p w14:paraId="5DB7D74F">
      <w:pPr>
        <w:pStyle w:val="2"/>
        <w:spacing w:before="143" w:line="220" w:lineRule="auto"/>
        <w:ind w:left="789"/>
        <w:rPr>
          <w:sz w:val="20"/>
          <w:szCs w:val="20"/>
        </w:rPr>
      </w:pPr>
      <w:r>
        <w:rPr>
          <w:spacing w:val="-5"/>
          <w:sz w:val="20"/>
          <w:szCs w:val="20"/>
        </w:rPr>
        <w:t>质量控制的具体工作如下：</w:t>
      </w:r>
    </w:p>
    <w:p w14:paraId="01F876B1">
      <w:pPr>
        <w:pStyle w:val="2"/>
        <w:spacing w:before="71" w:line="219" w:lineRule="auto"/>
        <w:ind w:left="789"/>
        <w:rPr>
          <w:sz w:val="20"/>
          <w:szCs w:val="20"/>
        </w:rPr>
      </w:pPr>
      <w:r>
        <w:rPr>
          <w:spacing w:val="1"/>
          <w:sz w:val="20"/>
          <w:szCs w:val="20"/>
        </w:rPr>
        <w:t>(1)项目实施前，组织审核承建单位提交的质量管理计划，签署监理审核意见。</w:t>
      </w:r>
    </w:p>
    <w:p w14:paraId="19EA5C3F">
      <w:pPr>
        <w:pStyle w:val="2"/>
        <w:spacing w:before="72" w:line="219" w:lineRule="auto"/>
        <w:ind w:left="789"/>
        <w:rPr>
          <w:sz w:val="20"/>
          <w:szCs w:val="20"/>
        </w:rPr>
      </w:pPr>
      <w:r>
        <w:rPr>
          <w:spacing w:val="1"/>
          <w:sz w:val="20"/>
          <w:szCs w:val="20"/>
        </w:rPr>
        <w:t>(2)项目实施前，组织业主单位、承建单位召开工程实施准备会议。</w:t>
      </w:r>
    </w:p>
    <w:p w14:paraId="0BBBD6CF">
      <w:pPr>
        <w:pStyle w:val="2"/>
        <w:spacing w:before="74" w:line="270" w:lineRule="auto"/>
        <w:ind w:left="359" w:right="107" w:firstLine="430"/>
        <w:rPr>
          <w:sz w:val="20"/>
          <w:szCs w:val="20"/>
        </w:rPr>
      </w:pPr>
      <w:r>
        <w:rPr>
          <w:spacing w:val="5"/>
          <w:sz w:val="20"/>
          <w:szCs w:val="20"/>
        </w:rPr>
        <w:t>(3)依据签认的质量管理计划、实施方案、实施计划等文件，制定切合实际的监理实施细</w:t>
      </w:r>
      <w:r>
        <w:rPr>
          <w:spacing w:val="1"/>
          <w:sz w:val="20"/>
          <w:szCs w:val="20"/>
        </w:rPr>
        <w:t xml:space="preserve"> </w:t>
      </w:r>
      <w:r>
        <w:rPr>
          <w:spacing w:val="3"/>
          <w:sz w:val="20"/>
          <w:szCs w:val="20"/>
        </w:rPr>
        <w:t>则，并根据质量控制点的设置原则合理设置质量控制点和选</w:t>
      </w:r>
      <w:r>
        <w:rPr>
          <w:spacing w:val="2"/>
          <w:sz w:val="20"/>
          <w:szCs w:val="20"/>
        </w:rPr>
        <w:t>用合适的控制手段，主要的质量控</w:t>
      </w:r>
      <w:r>
        <w:rPr>
          <w:sz w:val="20"/>
          <w:szCs w:val="20"/>
        </w:rPr>
        <w:t xml:space="preserve"> </w:t>
      </w:r>
      <w:r>
        <w:rPr>
          <w:spacing w:val="-3"/>
          <w:sz w:val="20"/>
          <w:szCs w:val="20"/>
        </w:rPr>
        <w:t>制手段包括评审、测试、旁站和抽查。</w:t>
      </w:r>
    </w:p>
    <w:p w14:paraId="1EC2450D">
      <w:pPr>
        <w:pStyle w:val="2"/>
        <w:spacing w:before="60" w:line="270" w:lineRule="auto"/>
        <w:ind w:left="359" w:right="100" w:firstLine="430"/>
        <w:rPr>
          <w:sz w:val="20"/>
          <w:szCs w:val="20"/>
        </w:rPr>
      </w:pPr>
      <w:r>
        <w:rPr>
          <w:spacing w:val="5"/>
          <w:sz w:val="20"/>
          <w:szCs w:val="20"/>
        </w:rPr>
        <w:t>(4)组织对承建单位提供的产品及服务进行验收，对验收结果做验收记录，并对验收</w:t>
      </w:r>
      <w:r>
        <w:rPr>
          <w:spacing w:val="4"/>
          <w:sz w:val="20"/>
          <w:szCs w:val="20"/>
        </w:rPr>
        <w:t>记录</w:t>
      </w:r>
      <w:r>
        <w:rPr>
          <w:sz w:val="20"/>
          <w:szCs w:val="20"/>
        </w:rPr>
        <w:t xml:space="preserve"> </w:t>
      </w:r>
      <w:r>
        <w:rPr>
          <w:spacing w:val="3"/>
          <w:sz w:val="20"/>
          <w:szCs w:val="20"/>
        </w:rPr>
        <w:t>做三方签认手续；对不符合合同或相关标准规定的产品及服务应拒绝签认，没有被签认的产品</w:t>
      </w:r>
      <w:r>
        <w:rPr>
          <w:spacing w:val="16"/>
          <w:sz w:val="20"/>
          <w:szCs w:val="20"/>
        </w:rPr>
        <w:t xml:space="preserve"> </w:t>
      </w:r>
      <w:r>
        <w:rPr>
          <w:spacing w:val="3"/>
          <w:sz w:val="20"/>
          <w:szCs w:val="20"/>
        </w:rPr>
        <w:t xml:space="preserve">及服务不得在工程实施中应用；具体检查项可依据相关标准及规范，组织业主单位、承建单位 </w:t>
      </w:r>
      <w:r>
        <w:rPr>
          <w:spacing w:val="-3"/>
          <w:sz w:val="20"/>
          <w:szCs w:val="20"/>
        </w:rPr>
        <w:t>和监理单位共同协商确定。</w:t>
      </w:r>
    </w:p>
    <w:p w14:paraId="0F0EE8E6">
      <w:pPr>
        <w:pStyle w:val="2"/>
        <w:spacing w:before="91" w:line="258" w:lineRule="auto"/>
        <w:ind w:left="359" w:firstLine="430"/>
        <w:rPr>
          <w:sz w:val="20"/>
          <w:szCs w:val="20"/>
        </w:rPr>
      </w:pPr>
      <w:r>
        <w:rPr>
          <w:spacing w:val="8"/>
          <w:sz w:val="20"/>
          <w:szCs w:val="20"/>
        </w:rPr>
        <w:t>(5)项目实施过程中，按计划检查承建单位的项目实施状况、人</w:t>
      </w:r>
      <w:r>
        <w:rPr>
          <w:spacing w:val="7"/>
          <w:sz w:val="20"/>
          <w:szCs w:val="20"/>
        </w:rPr>
        <w:t>员与实施方案的一致性。</w:t>
      </w:r>
      <w:r>
        <w:rPr>
          <w:sz w:val="20"/>
          <w:szCs w:val="20"/>
        </w:rPr>
        <w:t xml:space="preserve"> </w:t>
      </w:r>
      <w:r>
        <w:rPr>
          <w:spacing w:val="3"/>
          <w:sz w:val="20"/>
          <w:szCs w:val="20"/>
        </w:rPr>
        <w:t>发现人员与实施方案不一致时，应要求承建单位严格按照实施方案更换或申请更换人员，尤其</w:t>
      </w:r>
      <w:r>
        <w:rPr>
          <w:spacing w:val="2"/>
          <w:sz w:val="20"/>
          <w:szCs w:val="20"/>
        </w:rPr>
        <w:t xml:space="preserve">  </w:t>
      </w:r>
      <w:r>
        <w:rPr>
          <w:spacing w:val="-1"/>
          <w:sz w:val="20"/>
          <w:szCs w:val="20"/>
        </w:rPr>
        <w:t>注意对于特种作业人员的现场资质审查，必须做到人证合一。</w:t>
      </w:r>
    </w:p>
    <w:p w14:paraId="7618F0EF">
      <w:pPr>
        <w:pStyle w:val="2"/>
        <w:spacing w:before="73" w:line="257" w:lineRule="auto"/>
        <w:ind w:left="359" w:right="20" w:firstLine="430"/>
        <w:rPr>
          <w:sz w:val="20"/>
          <w:szCs w:val="20"/>
        </w:rPr>
      </w:pPr>
      <w:r>
        <w:rPr>
          <w:spacing w:val="7"/>
          <w:sz w:val="20"/>
          <w:szCs w:val="20"/>
        </w:rPr>
        <w:t>(6)执行已确定的阶段性质量监督、控制措施及方法，并做监理日志，出现质量问题时，</w:t>
      </w:r>
      <w:r>
        <w:rPr>
          <w:spacing w:val="8"/>
          <w:sz w:val="20"/>
          <w:szCs w:val="20"/>
        </w:rPr>
        <w:t xml:space="preserve"> </w:t>
      </w:r>
      <w:r>
        <w:rPr>
          <w:spacing w:val="-3"/>
          <w:sz w:val="20"/>
          <w:szCs w:val="20"/>
        </w:rPr>
        <w:t>可要求承建单位整改，并跟踪落实。</w:t>
      </w:r>
    </w:p>
    <w:p w14:paraId="260A825A">
      <w:pPr>
        <w:pStyle w:val="2"/>
        <w:spacing w:before="73" w:line="245" w:lineRule="auto"/>
        <w:ind w:left="359" w:right="72" w:firstLine="430"/>
        <w:rPr>
          <w:sz w:val="20"/>
          <w:szCs w:val="20"/>
        </w:rPr>
      </w:pPr>
      <w:r>
        <w:rPr>
          <w:spacing w:val="11"/>
          <w:sz w:val="20"/>
          <w:szCs w:val="20"/>
        </w:rPr>
        <w:t>(7)及时处理承建单位提交的关键环节的施工申请，审核其合理性后签认，报业主单位</w:t>
      </w:r>
      <w:r>
        <w:rPr>
          <w:spacing w:val="8"/>
          <w:sz w:val="20"/>
          <w:szCs w:val="20"/>
        </w:rPr>
        <w:t xml:space="preserve"> </w:t>
      </w:r>
      <w:r>
        <w:rPr>
          <w:sz w:val="20"/>
          <w:szCs w:val="20"/>
        </w:rPr>
        <w:t>批准。</w:t>
      </w:r>
    </w:p>
    <w:p w14:paraId="2096A294">
      <w:pPr>
        <w:spacing w:line="245" w:lineRule="auto"/>
        <w:rPr>
          <w:sz w:val="20"/>
          <w:szCs w:val="20"/>
        </w:rPr>
        <w:sectPr>
          <w:pgSz w:w="10320" w:h="13400"/>
          <w:pgMar w:top="400" w:right="1019" w:bottom="400" w:left="500" w:header="0" w:footer="0" w:gutter="0"/>
          <w:cols w:space="720" w:num="1"/>
        </w:sectPr>
      </w:pPr>
    </w:p>
    <w:p w14:paraId="472B8194">
      <w:pPr>
        <w:pStyle w:val="2"/>
        <w:spacing w:before="76" w:line="219" w:lineRule="auto"/>
        <w:jc w:val="right"/>
        <w:rPr>
          <w:rFonts w:ascii="Times New Roman" w:hAnsi="Times New Roman" w:eastAsia="Times New Roman" w:cs="Times New Roman"/>
          <w:sz w:val="19"/>
          <w:szCs w:val="19"/>
        </w:rPr>
      </w:pPr>
      <w:r>
        <w:rPr>
          <w:spacing w:val="-1"/>
          <w:sz w:val="19"/>
          <w:szCs w:val="19"/>
        </w:rPr>
        <w:t>第20章 信息系统工程监理基础工作</w:t>
      </w:r>
      <w:r>
        <w:rPr>
          <w:spacing w:val="11"/>
          <w:sz w:val="19"/>
          <w:szCs w:val="19"/>
        </w:rPr>
        <w:t xml:space="preserve">      </w:t>
      </w:r>
      <w:r>
        <w:rPr>
          <w:rFonts w:ascii="Times New Roman" w:hAnsi="Times New Roman" w:eastAsia="Times New Roman" w:cs="Times New Roman"/>
          <w:spacing w:val="-1"/>
          <w:sz w:val="19"/>
          <w:szCs w:val="19"/>
        </w:rPr>
        <w:t>457</w:t>
      </w:r>
    </w:p>
    <w:p w14:paraId="5C524BAA">
      <w:pPr>
        <w:spacing w:line="302" w:lineRule="auto"/>
        <w:rPr>
          <w:rFonts w:ascii="Arial"/>
          <w:sz w:val="21"/>
        </w:rPr>
      </w:pPr>
    </w:p>
    <w:p w14:paraId="21993235">
      <w:pPr>
        <w:pStyle w:val="2"/>
        <w:spacing w:before="62" w:line="265" w:lineRule="auto"/>
        <w:ind w:right="332" w:firstLine="420"/>
        <w:rPr>
          <w:sz w:val="19"/>
          <w:szCs w:val="19"/>
        </w:rPr>
      </w:pPr>
      <w:r>
        <w:rPr>
          <w:spacing w:val="14"/>
          <w:sz w:val="19"/>
          <w:szCs w:val="19"/>
        </w:rPr>
        <w:t>(8)必要时，检查承建单位重要工程步骤的衔接工作，做监理日志。未经监理机构检查认</w:t>
      </w:r>
      <w:r>
        <w:rPr>
          <w:spacing w:val="13"/>
          <w:sz w:val="19"/>
          <w:szCs w:val="19"/>
        </w:rPr>
        <w:t xml:space="preserve"> </w:t>
      </w:r>
      <w:r>
        <w:rPr>
          <w:spacing w:val="7"/>
          <w:sz w:val="19"/>
          <w:szCs w:val="19"/>
        </w:rPr>
        <w:t>可，承建单位不能进行与之相关的下一步骤的实施。</w:t>
      </w:r>
    </w:p>
    <w:p w14:paraId="58C812EA">
      <w:pPr>
        <w:pStyle w:val="2"/>
        <w:spacing w:before="95" w:line="262" w:lineRule="auto"/>
        <w:ind w:right="300" w:firstLine="420"/>
        <w:rPr>
          <w:sz w:val="19"/>
          <w:szCs w:val="19"/>
        </w:rPr>
      </w:pPr>
      <w:r>
        <w:rPr>
          <w:spacing w:val="15"/>
          <w:sz w:val="19"/>
          <w:szCs w:val="19"/>
        </w:rPr>
        <w:t>(9)及时处理工程变更申请，审核变更的合理性，按变更控制程序处理，保证项目总体质</w:t>
      </w:r>
      <w:r>
        <w:rPr>
          <w:spacing w:val="5"/>
          <w:sz w:val="19"/>
          <w:szCs w:val="19"/>
        </w:rPr>
        <w:t xml:space="preserve"> </w:t>
      </w:r>
      <w:r>
        <w:rPr>
          <w:spacing w:val="4"/>
          <w:sz w:val="19"/>
          <w:szCs w:val="19"/>
        </w:rPr>
        <w:t>量不受影响。</w:t>
      </w:r>
    </w:p>
    <w:p w14:paraId="3B70F1FA">
      <w:pPr>
        <w:pStyle w:val="2"/>
        <w:spacing w:before="90" w:line="220" w:lineRule="auto"/>
        <w:ind w:left="420"/>
        <w:rPr>
          <w:sz w:val="19"/>
          <w:szCs w:val="19"/>
        </w:rPr>
      </w:pPr>
      <w:r>
        <w:rPr>
          <w:spacing w:val="10"/>
          <w:sz w:val="19"/>
          <w:szCs w:val="19"/>
        </w:rPr>
        <w:t>(10)有分包单位时，应组织审核分包单位的工程实施资质。</w:t>
      </w:r>
    </w:p>
    <w:p w14:paraId="3003579B">
      <w:pPr>
        <w:pStyle w:val="2"/>
        <w:spacing w:before="93" w:line="219" w:lineRule="auto"/>
        <w:ind w:left="420"/>
        <w:rPr>
          <w:sz w:val="19"/>
          <w:szCs w:val="19"/>
        </w:rPr>
      </w:pPr>
      <w:r>
        <w:rPr>
          <w:spacing w:val="11"/>
          <w:sz w:val="19"/>
          <w:szCs w:val="19"/>
        </w:rPr>
        <w:t>(11)出现质量事故时，及时按照质量事故处理程序</w:t>
      </w:r>
      <w:r>
        <w:rPr>
          <w:spacing w:val="10"/>
          <w:sz w:val="19"/>
          <w:szCs w:val="19"/>
        </w:rPr>
        <w:t>进行处置。</w:t>
      </w:r>
    </w:p>
    <w:p w14:paraId="5516F59A">
      <w:pPr>
        <w:pStyle w:val="2"/>
        <w:spacing w:before="74" w:line="270" w:lineRule="auto"/>
        <w:ind w:right="313" w:firstLine="420"/>
        <w:rPr>
          <w:sz w:val="19"/>
          <w:szCs w:val="19"/>
        </w:rPr>
      </w:pPr>
      <w:r>
        <w:rPr>
          <w:spacing w:val="12"/>
          <w:sz w:val="19"/>
          <w:szCs w:val="19"/>
        </w:rPr>
        <w:t>(12)若发现工程实施过程存在重大质量隐患，应及时向承建单位签发停工令，并报业主单</w:t>
      </w:r>
      <w:r>
        <w:rPr>
          <w:spacing w:val="5"/>
          <w:sz w:val="19"/>
          <w:szCs w:val="19"/>
        </w:rPr>
        <w:t xml:space="preserve"> </w:t>
      </w:r>
      <w:r>
        <w:rPr>
          <w:spacing w:val="8"/>
          <w:sz w:val="19"/>
          <w:szCs w:val="19"/>
        </w:rPr>
        <w:t>位，监督承建单位进行整改。整改完毕后，及时处理承建单位的复工申请。</w:t>
      </w:r>
    </w:p>
    <w:p w14:paraId="7C6B34CC">
      <w:pPr>
        <w:pStyle w:val="2"/>
        <w:spacing w:before="180" w:line="222" w:lineRule="auto"/>
        <w:ind w:left="422"/>
        <w:rPr>
          <w:rFonts w:ascii="黑体" w:hAnsi="黑体" w:eastAsia="黑体" w:cs="黑体"/>
          <w:sz w:val="19"/>
          <w:szCs w:val="19"/>
        </w:rPr>
      </w:pPr>
      <w:bookmarkStart w:id="709" w:name="bookmark694"/>
      <w:bookmarkEnd w:id="709"/>
      <w:r>
        <w:rPr>
          <w:b/>
          <w:bCs/>
          <w:color w:val="0070D3"/>
          <w:spacing w:val="6"/>
          <w:sz w:val="19"/>
          <w:szCs w:val="19"/>
        </w:rPr>
        <w:t>2.</w:t>
      </w:r>
      <w:r>
        <w:rPr>
          <w:rFonts w:ascii="黑体" w:hAnsi="黑体" w:eastAsia="黑体" w:cs="黑体"/>
          <w:b/>
          <w:bCs/>
          <w:color w:val="0070D3"/>
          <w:spacing w:val="6"/>
          <w:sz w:val="19"/>
          <w:szCs w:val="19"/>
        </w:rPr>
        <w:t>进度控制</w:t>
      </w:r>
    </w:p>
    <w:p w14:paraId="6FDD294A">
      <w:pPr>
        <w:pStyle w:val="2"/>
        <w:spacing w:before="146" w:line="220" w:lineRule="auto"/>
        <w:ind w:left="420"/>
        <w:rPr>
          <w:sz w:val="19"/>
          <w:szCs w:val="19"/>
        </w:rPr>
      </w:pPr>
      <w:r>
        <w:rPr>
          <w:spacing w:val="4"/>
          <w:sz w:val="19"/>
          <w:szCs w:val="19"/>
        </w:rPr>
        <w:t>进度控制的具体工作如下：</w:t>
      </w:r>
    </w:p>
    <w:p w14:paraId="33F7BBC2">
      <w:pPr>
        <w:pStyle w:val="2"/>
        <w:spacing w:before="83" w:line="270" w:lineRule="auto"/>
        <w:ind w:right="311" w:firstLine="420"/>
        <w:rPr>
          <w:sz w:val="19"/>
          <w:szCs w:val="19"/>
        </w:rPr>
      </w:pPr>
      <w:r>
        <w:rPr>
          <w:spacing w:val="26"/>
          <w:sz w:val="19"/>
          <w:szCs w:val="19"/>
        </w:rPr>
        <w:t>(1)项目实施前，组织审核承建单位提交的项目实施</w:t>
      </w:r>
      <w:r>
        <w:rPr>
          <w:spacing w:val="25"/>
          <w:sz w:val="19"/>
          <w:szCs w:val="19"/>
        </w:rPr>
        <w:t>计划、实施方案，签署监理审核</w:t>
      </w:r>
      <w:r>
        <w:rPr>
          <w:sz w:val="19"/>
          <w:szCs w:val="19"/>
        </w:rPr>
        <w:t xml:space="preserve"> </w:t>
      </w:r>
      <w:r>
        <w:rPr>
          <w:spacing w:val="4"/>
          <w:sz w:val="19"/>
          <w:szCs w:val="19"/>
        </w:rPr>
        <w:t>意见。</w:t>
      </w:r>
    </w:p>
    <w:p w14:paraId="2AB28C8E">
      <w:pPr>
        <w:pStyle w:val="2"/>
        <w:spacing w:before="92" w:line="275" w:lineRule="auto"/>
        <w:ind w:right="312" w:firstLine="420"/>
        <w:rPr>
          <w:sz w:val="19"/>
          <w:szCs w:val="19"/>
        </w:rPr>
      </w:pPr>
      <w:r>
        <w:rPr>
          <w:spacing w:val="20"/>
          <w:sz w:val="19"/>
          <w:szCs w:val="19"/>
        </w:rPr>
        <w:t>(2)承建单位提交开工申请后，监理机构应审核开工申请，检查工程准备情况。工程实</w:t>
      </w:r>
      <w:r>
        <w:rPr>
          <w:spacing w:val="3"/>
          <w:sz w:val="19"/>
          <w:szCs w:val="19"/>
        </w:rPr>
        <w:t xml:space="preserve"> </w:t>
      </w:r>
      <w:r>
        <w:rPr>
          <w:spacing w:val="23"/>
          <w:sz w:val="19"/>
          <w:szCs w:val="19"/>
        </w:rPr>
        <w:t>施条件具备时，总监理工程师应签发开工令，并报业主单位签认，通知承建单位开始工程</w:t>
      </w:r>
      <w:r>
        <w:rPr>
          <w:spacing w:val="18"/>
          <w:sz w:val="19"/>
          <w:szCs w:val="19"/>
        </w:rPr>
        <w:t xml:space="preserve"> </w:t>
      </w:r>
      <w:r>
        <w:rPr>
          <w:spacing w:val="4"/>
          <w:sz w:val="19"/>
          <w:szCs w:val="19"/>
        </w:rPr>
        <w:t>实施。</w:t>
      </w:r>
    </w:p>
    <w:p w14:paraId="1AC3AD0F">
      <w:pPr>
        <w:pStyle w:val="2"/>
        <w:spacing w:before="84" w:line="264" w:lineRule="auto"/>
        <w:ind w:right="312" w:firstLine="420"/>
        <w:rPr>
          <w:sz w:val="19"/>
          <w:szCs w:val="19"/>
        </w:rPr>
      </w:pPr>
      <w:r>
        <w:rPr>
          <w:spacing w:val="15"/>
          <w:sz w:val="19"/>
          <w:szCs w:val="19"/>
        </w:rPr>
        <w:t>(3)定期检查、记录工程的实际情况，确定实际进度与计划相一致；若出</w:t>
      </w:r>
      <w:r>
        <w:rPr>
          <w:spacing w:val="14"/>
          <w:sz w:val="19"/>
          <w:szCs w:val="19"/>
        </w:rPr>
        <w:t>现偏离，及时要</w:t>
      </w:r>
      <w:r>
        <w:rPr>
          <w:sz w:val="19"/>
          <w:szCs w:val="19"/>
        </w:rPr>
        <w:t xml:space="preserve"> </w:t>
      </w:r>
      <w:r>
        <w:rPr>
          <w:spacing w:val="6"/>
          <w:sz w:val="19"/>
          <w:szCs w:val="19"/>
        </w:rPr>
        <w:t>求承建单位采取有效的纠偏措施。</w:t>
      </w:r>
    </w:p>
    <w:p w14:paraId="23FAF463">
      <w:pPr>
        <w:pStyle w:val="2"/>
        <w:spacing w:before="96" w:line="256" w:lineRule="auto"/>
        <w:ind w:right="313" w:firstLine="420"/>
        <w:rPr>
          <w:sz w:val="19"/>
          <w:szCs w:val="19"/>
        </w:rPr>
      </w:pPr>
      <w:r>
        <w:rPr>
          <w:spacing w:val="15"/>
          <w:sz w:val="19"/>
          <w:szCs w:val="19"/>
        </w:rPr>
        <w:t>(4)组织审查进度纠偏措施的合理性、可行性，如果发现问题，要求承</w:t>
      </w:r>
      <w:r>
        <w:rPr>
          <w:spacing w:val="14"/>
          <w:sz w:val="19"/>
          <w:szCs w:val="19"/>
        </w:rPr>
        <w:t>建单位及时整改并</w:t>
      </w:r>
      <w:r>
        <w:rPr>
          <w:sz w:val="19"/>
          <w:szCs w:val="19"/>
        </w:rPr>
        <w:t xml:space="preserve"> </w:t>
      </w:r>
      <w:r>
        <w:rPr>
          <w:spacing w:val="5"/>
          <w:sz w:val="19"/>
          <w:szCs w:val="19"/>
        </w:rPr>
        <w:t>跟踪落实。</w:t>
      </w:r>
    </w:p>
    <w:p w14:paraId="3CE0CFF1">
      <w:pPr>
        <w:pStyle w:val="2"/>
        <w:spacing w:before="93" w:line="219" w:lineRule="auto"/>
        <w:ind w:left="420"/>
        <w:rPr>
          <w:sz w:val="19"/>
          <w:szCs w:val="19"/>
        </w:rPr>
      </w:pPr>
      <w:r>
        <w:rPr>
          <w:spacing w:val="11"/>
          <w:sz w:val="19"/>
          <w:szCs w:val="19"/>
        </w:rPr>
        <w:t>(5)及时按项目延期处理程序处理工程延</w:t>
      </w:r>
      <w:r>
        <w:rPr>
          <w:spacing w:val="10"/>
          <w:sz w:val="19"/>
          <w:szCs w:val="19"/>
        </w:rPr>
        <w:t>期申请。</w:t>
      </w:r>
    </w:p>
    <w:p w14:paraId="1EE4667F">
      <w:pPr>
        <w:pStyle w:val="2"/>
        <w:spacing w:before="180" w:line="222" w:lineRule="auto"/>
        <w:ind w:left="422"/>
        <w:rPr>
          <w:rFonts w:ascii="黑体" w:hAnsi="黑体" w:eastAsia="黑体" w:cs="黑体"/>
          <w:sz w:val="19"/>
          <w:szCs w:val="19"/>
        </w:rPr>
      </w:pPr>
      <w:r>
        <w:rPr>
          <w:b/>
          <w:bCs/>
          <w:color w:val="0070D3"/>
          <w:spacing w:val="6"/>
          <w:sz w:val="19"/>
          <w:szCs w:val="19"/>
        </w:rPr>
        <w:t>3.</w:t>
      </w:r>
      <w:r>
        <w:rPr>
          <w:rFonts w:ascii="黑体" w:hAnsi="黑体" w:eastAsia="黑体" w:cs="黑体"/>
          <w:b/>
          <w:bCs/>
          <w:color w:val="0070D3"/>
          <w:spacing w:val="6"/>
          <w:sz w:val="19"/>
          <w:szCs w:val="19"/>
        </w:rPr>
        <w:t>投资控制</w:t>
      </w:r>
    </w:p>
    <w:p w14:paraId="75594E3B">
      <w:pPr>
        <w:pStyle w:val="2"/>
        <w:spacing w:before="137" w:line="220" w:lineRule="auto"/>
        <w:ind w:left="420"/>
        <w:rPr>
          <w:sz w:val="19"/>
          <w:szCs w:val="19"/>
        </w:rPr>
      </w:pPr>
      <w:r>
        <w:rPr>
          <w:spacing w:val="4"/>
          <w:sz w:val="19"/>
          <w:szCs w:val="19"/>
        </w:rPr>
        <w:t>投资控制的具体工作如下：</w:t>
      </w:r>
    </w:p>
    <w:p w14:paraId="62459DB9">
      <w:pPr>
        <w:pStyle w:val="2"/>
        <w:spacing w:before="82" w:line="259" w:lineRule="auto"/>
        <w:ind w:right="314" w:firstLine="420"/>
        <w:rPr>
          <w:sz w:val="19"/>
          <w:szCs w:val="19"/>
        </w:rPr>
      </w:pPr>
      <w:r>
        <w:rPr>
          <w:spacing w:val="15"/>
          <w:sz w:val="19"/>
          <w:szCs w:val="19"/>
        </w:rPr>
        <w:t>(1)总监理工程师应依据承建合同及其补充协议，对资金使用实施监</w:t>
      </w:r>
      <w:r>
        <w:rPr>
          <w:spacing w:val="14"/>
          <w:sz w:val="19"/>
          <w:szCs w:val="19"/>
        </w:rPr>
        <w:t>督，并审核承建单位</w:t>
      </w:r>
      <w:r>
        <w:rPr>
          <w:sz w:val="19"/>
          <w:szCs w:val="19"/>
        </w:rPr>
        <w:t xml:space="preserve"> </w:t>
      </w:r>
      <w:r>
        <w:rPr>
          <w:spacing w:val="9"/>
          <w:sz w:val="19"/>
          <w:szCs w:val="19"/>
        </w:rPr>
        <w:t>提交的工程阶段性报告和付款申请，总监理工程师签</w:t>
      </w:r>
      <w:r>
        <w:rPr>
          <w:spacing w:val="8"/>
          <w:sz w:val="19"/>
          <w:szCs w:val="19"/>
        </w:rPr>
        <w:t>发工程款支付意见，报业主单位签认。</w:t>
      </w:r>
    </w:p>
    <w:p w14:paraId="3848866C">
      <w:pPr>
        <w:pStyle w:val="2"/>
        <w:spacing w:before="87" w:line="219" w:lineRule="auto"/>
        <w:ind w:left="420"/>
        <w:rPr>
          <w:sz w:val="19"/>
          <w:szCs w:val="19"/>
        </w:rPr>
      </w:pPr>
      <w:r>
        <w:rPr>
          <w:spacing w:val="11"/>
          <w:sz w:val="19"/>
          <w:szCs w:val="19"/>
        </w:rPr>
        <w:t>(2)及时按相关程序处理费用索赔申请。</w:t>
      </w:r>
    </w:p>
    <w:p w14:paraId="45A09C6B">
      <w:pPr>
        <w:pStyle w:val="2"/>
        <w:spacing w:before="193" w:line="223" w:lineRule="auto"/>
        <w:ind w:left="422"/>
        <w:rPr>
          <w:rFonts w:ascii="黑体" w:hAnsi="黑体" w:eastAsia="黑体" w:cs="黑体"/>
          <w:sz w:val="19"/>
          <w:szCs w:val="19"/>
        </w:rPr>
      </w:pPr>
      <w:r>
        <w:rPr>
          <w:b/>
          <w:bCs/>
          <w:color w:val="0072D7"/>
          <w:spacing w:val="5"/>
          <w:sz w:val="19"/>
          <w:szCs w:val="19"/>
        </w:rPr>
        <w:t>4.</w:t>
      </w:r>
      <w:r>
        <w:rPr>
          <w:rFonts w:ascii="黑体" w:hAnsi="黑体" w:eastAsia="黑体" w:cs="黑体"/>
          <w:b/>
          <w:bCs/>
          <w:color w:val="0072D7"/>
          <w:spacing w:val="5"/>
          <w:sz w:val="19"/>
          <w:szCs w:val="19"/>
        </w:rPr>
        <w:t>合同管理</w:t>
      </w:r>
    </w:p>
    <w:p w14:paraId="70731145">
      <w:pPr>
        <w:pStyle w:val="2"/>
        <w:spacing w:before="123" w:line="219" w:lineRule="auto"/>
        <w:ind w:left="420"/>
        <w:rPr>
          <w:sz w:val="19"/>
          <w:szCs w:val="19"/>
        </w:rPr>
      </w:pPr>
      <w:r>
        <w:rPr>
          <w:spacing w:val="4"/>
          <w:sz w:val="19"/>
          <w:szCs w:val="19"/>
        </w:rPr>
        <w:t>合同管理的具体工作如下：</w:t>
      </w:r>
    </w:p>
    <w:p w14:paraId="140F262B">
      <w:pPr>
        <w:pStyle w:val="2"/>
        <w:spacing w:before="72" w:line="218" w:lineRule="auto"/>
        <w:ind w:left="420"/>
        <w:rPr>
          <w:sz w:val="19"/>
          <w:szCs w:val="19"/>
        </w:rPr>
      </w:pPr>
      <w:r>
        <w:rPr>
          <w:spacing w:val="11"/>
          <w:sz w:val="19"/>
          <w:szCs w:val="19"/>
        </w:rPr>
        <w:t>(1)监督合同执行情况，定期向业主单位提交监理报告，可以</w:t>
      </w:r>
      <w:r>
        <w:rPr>
          <w:spacing w:val="10"/>
          <w:sz w:val="19"/>
          <w:szCs w:val="19"/>
        </w:rPr>
        <w:t>抄送承建单位。</w:t>
      </w:r>
    </w:p>
    <w:p w14:paraId="30A231F4">
      <w:pPr>
        <w:pStyle w:val="2"/>
        <w:spacing w:before="78" w:line="219" w:lineRule="auto"/>
        <w:ind w:left="420"/>
        <w:rPr>
          <w:sz w:val="19"/>
          <w:szCs w:val="19"/>
        </w:rPr>
      </w:pPr>
      <w:r>
        <w:rPr>
          <w:spacing w:val="11"/>
          <w:sz w:val="19"/>
          <w:szCs w:val="19"/>
        </w:rPr>
        <w:t>(2)及时协调合同纠纷，公正地调查分析，提出监理意见。</w:t>
      </w:r>
    </w:p>
    <w:p w14:paraId="436CA379">
      <w:pPr>
        <w:pStyle w:val="2"/>
        <w:spacing w:before="190" w:line="222" w:lineRule="auto"/>
        <w:ind w:left="422"/>
        <w:rPr>
          <w:rFonts w:ascii="黑体" w:hAnsi="黑体" w:eastAsia="黑体" w:cs="黑体"/>
          <w:sz w:val="19"/>
          <w:szCs w:val="19"/>
        </w:rPr>
      </w:pPr>
      <w:r>
        <w:rPr>
          <w:b/>
          <w:bCs/>
          <w:color w:val="006FD1"/>
          <w:spacing w:val="8"/>
          <w:sz w:val="19"/>
          <w:szCs w:val="19"/>
        </w:rPr>
        <w:t>5.</w:t>
      </w:r>
      <w:r>
        <w:rPr>
          <w:rFonts w:ascii="黑体" w:hAnsi="黑体" w:eastAsia="黑体" w:cs="黑体"/>
          <w:b/>
          <w:bCs/>
          <w:color w:val="006FD1"/>
          <w:spacing w:val="8"/>
          <w:sz w:val="19"/>
          <w:szCs w:val="19"/>
        </w:rPr>
        <w:t>文档资料管理</w:t>
      </w:r>
    </w:p>
    <w:p w14:paraId="2E489334">
      <w:pPr>
        <w:pStyle w:val="2"/>
        <w:spacing w:before="136" w:line="219" w:lineRule="auto"/>
        <w:ind w:left="420"/>
        <w:rPr>
          <w:sz w:val="19"/>
          <w:szCs w:val="19"/>
        </w:rPr>
      </w:pPr>
      <w:r>
        <w:rPr>
          <w:spacing w:val="4"/>
          <w:sz w:val="19"/>
          <w:szCs w:val="19"/>
        </w:rPr>
        <w:t>文档资料管理的具体工作如下：</w:t>
      </w:r>
    </w:p>
    <w:p w14:paraId="7CA9D1C8">
      <w:pPr>
        <w:pStyle w:val="2"/>
        <w:spacing w:before="65" w:line="265" w:lineRule="auto"/>
        <w:ind w:right="294" w:firstLine="420"/>
        <w:rPr>
          <w:sz w:val="19"/>
          <w:szCs w:val="19"/>
        </w:rPr>
      </w:pPr>
      <w:r>
        <w:rPr>
          <w:spacing w:val="15"/>
          <w:sz w:val="19"/>
          <w:szCs w:val="19"/>
        </w:rPr>
        <w:t>(1)妥善管理工程实施阶段所产生的开工令、停工令、复工令、监理工作联系单、监理通</w:t>
      </w:r>
      <w:r>
        <w:rPr>
          <w:spacing w:val="11"/>
          <w:sz w:val="19"/>
          <w:szCs w:val="19"/>
        </w:rPr>
        <w:t xml:space="preserve"> </w:t>
      </w:r>
      <w:r>
        <w:rPr>
          <w:spacing w:val="7"/>
          <w:sz w:val="19"/>
          <w:szCs w:val="19"/>
        </w:rPr>
        <w:t>知单、监理日志和工程备忘录等资料。</w:t>
      </w:r>
    </w:p>
    <w:p w14:paraId="3C342B91">
      <w:pPr>
        <w:pStyle w:val="2"/>
        <w:spacing w:before="74" w:line="219" w:lineRule="auto"/>
        <w:ind w:left="420"/>
        <w:rPr>
          <w:sz w:val="19"/>
          <w:szCs w:val="19"/>
        </w:rPr>
      </w:pPr>
      <w:r>
        <w:rPr>
          <w:spacing w:val="11"/>
          <w:sz w:val="19"/>
          <w:szCs w:val="19"/>
        </w:rPr>
        <w:t>(2)对项目实施阶段三方共同参与的过程和活动做工程备忘录，并由三方确认。</w:t>
      </w:r>
    </w:p>
    <w:p w14:paraId="30550CA2">
      <w:pPr>
        <w:pStyle w:val="2"/>
        <w:spacing w:before="95" w:line="219" w:lineRule="auto"/>
        <w:ind w:left="420"/>
        <w:rPr>
          <w:sz w:val="19"/>
          <w:szCs w:val="19"/>
        </w:rPr>
      </w:pPr>
      <w:r>
        <w:rPr>
          <w:spacing w:val="15"/>
          <w:sz w:val="19"/>
          <w:szCs w:val="19"/>
        </w:rPr>
        <w:t>(3)监督业主单位、承建单位按照既定要求编制和管理项目文档资料，包括实施计划和方</w:t>
      </w:r>
    </w:p>
    <w:p w14:paraId="6527D824">
      <w:pPr>
        <w:spacing w:line="219" w:lineRule="auto"/>
        <w:rPr>
          <w:sz w:val="19"/>
          <w:szCs w:val="19"/>
        </w:rPr>
        <w:sectPr>
          <w:pgSz w:w="10290" w:h="13300"/>
          <w:pgMar w:top="400" w:right="638" w:bottom="400" w:left="1009" w:header="0" w:footer="0" w:gutter="0"/>
          <w:cols w:space="720" w:num="1"/>
        </w:sectPr>
      </w:pPr>
    </w:p>
    <w:p w14:paraId="73EF4E93">
      <w:pPr>
        <w:pStyle w:val="2"/>
        <w:spacing w:before="87" w:line="219" w:lineRule="auto"/>
        <w:rPr>
          <w:sz w:val="19"/>
          <w:szCs w:val="19"/>
        </w:rPr>
      </w:pPr>
      <w:r>
        <w:rPr>
          <w:rFonts w:ascii="Times New Roman" w:hAnsi="Times New Roman" w:eastAsia="Times New Roman" w:cs="Times New Roman"/>
          <w:spacing w:val="4"/>
          <w:sz w:val="19"/>
          <w:szCs w:val="19"/>
        </w:rPr>
        <w:t xml:space="preserve">458              </w:t>
      </w:r>
      <w:r>
        <w:rPr>
          <w:spacing w:val="4"/>
          <w:sz w:val="19"/>
          <w:szCs w:val="19"/>
        </w:rPr>
        <w:t>信息系统监</w:t>
      </w:r>
      <w:r>
        <w:rPr>
          <w:spacing w:val="3"/>
          <w:sz w:val="19"/>
          <w:szCs w:val="19"/>
        </w:rPr>
        <w:t>理师教程(第2版)</w:t>
      </w:r>
    </w:p>
    <w:p w14:paraId="6AEAC5E3">
      <w:pPr>
        <w:spacing w:line="329" w:lineRule="auto"/>
        <w:rPr>
          <w:rFonts w:ascii="Arial"/>
          <w:sz w:val="21"/>
        </w:rPr>
      </w:pPr>
    </w:p>
    <w:p w14:paraId="0F62451F">
      <w:pPr>
        <w:pStyle w:val="2"/>
        <w:spacing w:before="61" w:line="218" w:lineRule="auto"/>
        <w:ind w:left="379"/>
        <w:rPr>
          <w:sz w:val="19"/>
          <w:szCs w:val="19"/>
        </w:rPr>
      </w:pPr>
      <w:r>
        <w:rPr>
          <w:spacing w:val="9"/>
          <w:sz w:val="19"/>
          <w:szCs w:val="19"/>
        </w:rPr>
        <w:t>案、产品及服务验收报告、费用索赔申请、</w:t>
      </w:r>
      <w:r>
        <w:rPr>
          <w:spacing w:val="8"/>
          <w:sz w:val="19"/>
          <w:szCs w:val="19"/>
        </w:rPr>
        <w:t>工程延期申请、工程变更单等。</w:t>
      </w:r>
    </w:p>
    <w:p w14:paraId="20458EB1">
      <w:pPr>
        <w:pStyle w:val="2"/>
        <w:spacing w:before="194" w:line="222" w:lineRule="auto"/>
        <w:ind w:left="762"/>
        <w:rPr>
          <w:rFonts w:ascii="黑体" w:hAnsi="黑体" w:eastAsia="黑体" w:cs="黑体"/>
          <w:sz w:val="19"/>
          <w:szCs w:val="19"/>
        </w:rPr>
      </w:pPr>
      <w:bookmarkStart w:id="710" w:name="bookmark695"/>
      <w:bookmarkEnd w:id="710"/>
      <w:r>
        <w:rPr>
          <w:b/>
          <w:bCs/>
          <w:color w:val="006BCA"/>
          <w:spacing w:val="9"/>
          <w:sz w:val="19"/>
          <w:szCs w:val="19"/>
        </w:rPr>
        <w:t>6.</w:t>
      </w:r>
      <w:r>
        <w:rPr>
          <w:rFonts w:ascii="黑体" w:hAnsi="黑体" w:eastAsia="黑体" w:cs="黑体"/>
          <w:b/>
          <w:bCs/>
          <w:color w:val="006BCA"/>
          <w:spacing w:val="9"/>
          <w:sz w:val="19"/>
          <w:szCs w:val="19"/>
        </w:rPr>
        <w:t>沟通协调</w:t>
      </w:r>
    </w:p>
    <w:p w14:paraId="6E7BC67C">
      <w:pPr>
        <w:pStyle w:val="2"/>
        <w:spacing w:before="145" w:line="220" w:lineRule="auto"/>
        <w:ind w:left="759"/>
        <w:rPr>
          <w:sz w:val="19"/>
          <w:szCs w:val="19"/>
        </w:rPr>
      </w:pPr>
      <w:r>
        <w:rPr>
          <w:spacing w:val="5"/>
          <w:sz w:val="19"/>
          <w:szCs w:val="19"/>
        </w:rPr>
        <w:t>沟通协调的具体工作如下：</w:t>
      </w:r>
    </w:p>
    <w:p w14:paraId="64A7FDF8">
      <w:pPr>
        <w:pStyle w:val="2"/>
        <w:spacing w:before="82" w:line="287" w:lineRule="auto"/>
        <w:ind w:left="379" w:right="45" w:firstLine="379"/>
        <w:rPr>
          <w:sz w:val="19"/>
          <w:szCs w:val="19"/>
        </w:rPr>
      </w:pPr>
      <w:r>
        <w:rPr>
          <w:spacing w:val="15"/>
          <w:sz w:val="19"/>
          <w:szCs w:val="19"/>
        </w:rPr>
        <w:t>(1)与业主单位、承建单位共同建立必要的工作协调机制，运用监理会议、监理报告</w:t>
      </w:r>
      <w:r>
        <w:rPr>
          <w:spacing w:val="14"/>
          <w:sz w:val="19"/>
          <w:szCs w:val="19"/>
        </w:rPr>
        <w:t>和沟</w:t>
      </w:r>
      <w:r>
        <w:rPr>
          <w:sz w:val="19"/>
          <w:szCs w:val="19"/>
        </w:rPr>
        <w:t xml:space="preserve"> </w:t>
      </w:r>
      <w:r>
        <w:rPr>
          <w:spacing w:val="13"/>
          <w:sz w:val="19"/>
          <w:szCs w:val="19"/>
        </w:rPr>
        <w:t>通协调等组织协调的方法，做好监理机构内部协调、三方之间的协调、工程中各监理机构之间</w:t>
      </w:r>
      <w:r>
        <w:rPr>
          <w:spacing w:val="4"/>
          <w:sz w:val="19"/>
          <w:szCs w:val="19"/>
        </w:rPr>
        <w:t xml:space="preserve"> </w:t>
      </w:r>
      <w:r>
        <w:rPr>
          <w:spacing w:val="9"/>
          <w:sz w:val="19"/>
          <w:szCs w:val="19"/>
        </w:rPr>
        <w:t>的协调工作，使项目各方能够充分协作。公众号：项目管理课堂</w:t>
      </w:r>
    </w:p>
    <w:p w14:paraId="78EB6725">
      <w:pPr>
        <w:pStyle w:val="2"/>
        <w:spacing w:before="84" w:line="261" w:lineRule="auto"/>
        <w:ind w:left="379" w:right="52" w:firstLine="379"/>
        <w:rPr>
          <w:sz w:val="19"/>
          <w:szCs w:val="19"/>
        </w:rPr>
      </w:pPr>
      <w:r>
        <w:rPr>
          <w:spacing w:val="16"/>
          <w:sz w:val="19"/>
          <w:szCs w:val="19"/>
        </w:rPr>
        <w:t>(2)定期召开工作协调会，对工作中出现的问题提出监理</w:t>
      </w:r>
      <w:r>
        <w:rPr>
          <w:spacing w:val="15"/>
          <w:sz w:val="19"/>
          <w:szCs w:val="19"/>
        </w:rPr>
        <w:t>意见；定期向业主单位汇报工作</w:t>
      </w:r>
      <w:r>
        <w:rPr>
          <w:sz w:val="19"/>
          <w:szCs w:val="19"/>
        </w:rPr>
        <w:t xml:space="preserve"> </w:t>
      </w:r>
      <w:r>
        <w:rPr>
          <w:spacing w:val="7"/>
          <w:sz w:val="19"/>
          <w:szCs w:val="19"/>
        </w:rPr>
        <w:t>进度情况。</w:t>
      </w:r>
    </w:p>
    <w:p w14:paraId="53A3B5F8">
      <w:pPr>
        <w:pStyle w:val="2"/>
        <w:spacing w:before="83" w:line="275" w:lineRule="auto"/>
        <w:ind w:left="379" w:right="19" w:firstLine="379"/>
        <w:rPr>
          <w:sz w:val="19"/>
          <w:szCs w:val="19"/>
        </w:rPr>
      </w:pPr>
      <w:r>
        <w:rPr>
          <w:spacing w:val="17"/>
          <w:sz w:val="19"/>
          <w:szCs w:val="19"/>
        </w:rPr>
        <w:t>(3)根据需要及时组织专题会议，解决工</w:t>
      </w:r>
      <w:r>
        <w:rPr>
          <w:spacing w:val="16"/>
          <w:sz w:val="19"/>
          <w:szCs w:val="19"/>
        </w:rPr>
        <w:t>程实施过程中的各种专项问题，并做会议纪要，</w:t>
      </w:r>
      <w:r>
        <w:rPr>
          <w:sz w:val="19"/>
          <w:szCs w:val="19"/>
        </w:rPr>
        <w:t xml:space="preserve"> </w:t>
      </w:r>
      <w:r>
        <w:rPr>
          <w:spacing w:val="6"/>
          <w:sz w:val="19"/>
          <w:szCs w:val="19"/>
        </w:rPr>
        <w:t>提交业主单位和承建单位。</w:t>
      </w:r>
    </w:p>
    <w:p w14:paraId="1B5B2F78">
      <w:pPr>
        <w:pStyle w:val="2"/>
        <w:spacing w:before="74" w:line="219" w:lineRule="auto"/>
        <w:ind w:left="759"/>
        <w:rPr>
          <w:sz w:val="19"/>
          <w:szCs w:val="19"/>
        </w:rPr>
      </w:pPr>
      <w:r>
        <w:rPr>
          <w:spacing w:val="11"/>
          <w:sz w:val="19"/>
          <w:szCs w:val="19"/>
        </w:rPr>
        <w:t>(4)协调业主单位配合承建单位的工程实施。</w:t>
      </w:r>
    </w:p>
    <w:p w14:paraId="2A0F5450">
      <w:pPr>
        <w:pStyle w:val="2"/>
        <w:spacing w:before="94" w:line="219" w:lineRule="auto"/>
        <w:ind w:left="759"/>
        <w:rPr>
          <w:sz w:val="19"/>
          <w:szCs w:val="19"/>
        </w:rPr>
      </w:pPr>
      <w:r>
        <w:rPr>
          <w:spacing w:val="10"/>
          <w:sz w:val="19"/>
          <w:szCs w:val="19"/>
        </w:rPr>
        <w:t>(5)协调项目实施过程中进度、质量与投资等目标之间的矛盾，包括：</w:t>
      </w:r>
    </w:p>
    <w:p w14:paraId="4E6CCC96">
      <w:pPr>
        <w:pStyle w:val="2"/>
        <w:spacing w:before="84" w:line="219" w:lineRule="auto"/>
        <w:ind w:left="759"/>
        <w:rPr>
          <w:sz w:val="19"/>
          <w:szCs w:val="19"/>
        </w:rPr>
      </w:pPr>
      <w:r>
        <w:rPr>
          <w:spacing w:val="10"/>
          <w:sz w:val="19"/>
          <w:szCs w:val="19"/>
        </w:rPr>
        <w:t>●在确保项目质量的条件下，促进项目实施进度符合进度计划；</w:t>
      </w:r>
    </w:p>
    <w:p w14:paraId="7B9B6B3F">
      <w:pPr>
        <w:pStyle w:val="2"/>
        <w:spacing w:before="105" w:line="219" w:lineRule="auto"/>
        <w:ind w:left="759"/>
        <w:rPr>
          <w:sz w:val="19"/>
          <w:szCs w:val="19"/>
        </w:rPr>
      </w:pPr>
      <w:r>
        <w:rPr>
          <w:spacing w:val="10"/>
          <w:sz w:val="19"/>
          <w:szCs w:val="19"/>
        </w:rPr>
        <w:t>●在寻求业主单位更大投资效益的基础上，正确处理合同目</w:t>
      </w:r>
      <w:r>
        <w:rPr>
          <w:spacing w:val="9"/>
          <w:sz w:val="19"/>
          <w:szCs w:val="19"/>
        </w:rPr>
        <w:t>标之间的矛盾；</w:t>
      </w:r>
    </w:p>
    <w:p w14:paraId="0EE20F08">
      <w:pPr>
        <w:pStyle w:val="2"/>
        <w:spacing w:before="96" w:line="219" w:lineRule="auto"/>
        <w:ind w:left="759"/>
        <w:rPr>
          <w:sz w:val="19"/>
          <w:szCs w:val="19"/>
        </w:rPr>
      </w:pPr>
      <w:r>
        <w:rPr>
          <w:spacing w:val="10"/>
          <w:sz w:val="19"/>
          <w:szCs w:val="19"/>
        </w:rPr>
        <w:t>●在维护业主单位合同权益的同时，实事求是地维护承建单位的合法权益。</w:t>
      </w:r>
    </w:p>
    <w:p w14:paraId="669C2DF4">
      <w:pPr>
        <w:pStyle w:val="2"/>
        <w:spacing w:before="263" w:line="219" w:lineRule="auto"/>
        <w:ind w:left="382"/>
        <w:rPr>
          <w:sz w:val="25"/>
          <w:szCs w:val="25"/>
        </w:rPr>
      </w:pPr>
      <w:r>
        <w:rPr>
          <w:b/>
          <w:bCs/>
          <w:color w:val="0068E0"/>
          <w:spacing w:val="-19"/>
          <w:sz w:val="25"/>
          <w:szCs w:val="25"/>
        </w:rPr>
        <w:t>20.4.3</w:t>
      </w:r>
      <w:r>
        <w:rPr>
          <w:color w:val="0068E0"/>
          <w:spacing w:val="100"/>
          <w:sz w:val="25"/>
          <w:szCs w:val="25"/>
        </w:rPr>
        <w:t xml:space="preserve"> </w:t>
      </w:r>
      <w:r>
        <w:rPr>
          <w:b/>
          <w:bCs/>
          <w:color w:val="0068E0"/>
          <w:spacing w:val="-19"/>
          <w:sz w:val="25"/>
          <w:szCs w:val="25"/>
        </w:rPr>
        <w:t>监理内容</w:t>
      </w:r>
    </w:p>
    <w:p w14:paraId="5E80C5FC">
      <w:pPr>
        <w:pStyle w:val="2"/>
        <w:spacing w:before="176" w:line="292" w:lineRule="auto"/>
        <w:ind w:left="379" w:right="53" w:firstLine="379"/>
        <w:jc w:val="both"/>
        <w:rPr>
          <w:sz w:val="19"/>
          <w:szCs w:val="19"/>
        </w:rPr>
      </w:pPr>
      <w:r>
        <w:rPr>
          <w:spacing w:val="13"/>
          <w:sz w:val="19"/>
          <w:szCs w:val="19"/>
        </w:rPr>
        <w:t>实施阶段的监理内容包括对信息系统工程的质量、进度和投资进行控制</w:t>
      </w:r>
      <w:r>
        <w:rPr>
          <w:spacing w:val="12"/>
          <w:sz w:val="19"/>
          <w:szCs w:val="19"/>
        </w:rPr>
        <w:t>，对承建合同和文</w:t>
      </w:r>
      <w:r>
        <w:rPr>
          <w:sz w:val="19"/>
          <w:szCs w:val="19"/>
        </w:rPr>
        <w:t xml:space="preserve"> </w:t>
      </w:r>
      <w:r>
        <w:rPr>
          <w:spacing w:val="13"/>
          <w:sz w:val="19"/>
          <w:szCs w:val="19"/>
        </w:rPr>
        <w:t>档资料进行管理，协调有关各方面的工作关系。此外，还应根据信息系统工程特点，对</w:t>
      </w:r>
      <w:r>
        <w:rPr>
          <w:spacing w:val="12"/>
          <w:sz w:val="19"/>
          <w:szCs w:val="19"/>
        </w:rPr>
        <w:t>知识产</w:t>
      </w:r>
      <w:r>
        <w:rPr>
          <w:sz w:val="19"/>
          <w:szCs w:val="19"/>
        </w:rPr>
        <w:t xml:space="preserve"> </w:t>
      </w:r>
      <w:r>
        <w:rPr>
          <w:spacing w:val="4"/>
          <w:sz w:val="19"/>
          <w:szCs w:val="19"/>
        </w:rPr>
        <w:t>权进行管理。</w:t>
      </w:r>
    </w:p>
    <w:p w14:paraId="400B1F90">
      <w:pPr>
        <w:pStyle w:val="2"/>
        <w:spacing w:before="115" w:line="222" w:lineRule="auto"/>
        <w:ind w:left="762"/>
        <w:rPr>
          <w:rFonts w:ascii="黑体" w:hAnsi="黑体" w:eastAsia="黑体" w:cs="黑体"/>
          <w:sz w:val="19"/>
          <w:szCs w:val="19"/>
        </w:rPr>
      </w:pPr>
      <w:r>
        <w:rPr>
          <w:b/>
          <w:bCs/>
          <w:color w:val="006AD5"/>
          <w:spacing w:val="5"/>
          <w:sz w:val="19"/>
          <w:szCs w:val="19"/>
        </w:rPr>
        <w:t>1.</w:t>
      </w:r>
      <w:r>
        <w:rPr>
          <w:rFonts w:ascii="黑体" w:hAnsi="黑体" w:eastAsia="黑体" w:cs="黑体"/>
          <w:b/>
          <w:bCs/>
          <w:color w:val="006AD5"/>
          <w:spacing w:val="5"/>
          <w:sz w:val="19"/>
          <w:szCs w:val="19"/>
        </w:rPr>
        <w:t>对质量管理计划的审查</w:t>
      </w:r>
    </w:p>
    <w:p w14:paraId="6542FCD8">
      <w:pPr>
        <w:pStyle w:val="2"/>
        <w:spacing w:before="174" w:line="278" w:lineRule="auto"/>
        <w:ind w:left="379" w:right="57" w:firstLine="379"/>
        <w:rPr>
          <w:sz w:val="19"/>
          <w:szCs w:val="19"/>
        </w:rPr>
      </w:pPr>
      <w:r>
        <w:rPr>
          <w:spacing w:val="14"/>
          <w:sz w:val="19"/>
          <w:szCs w:val="19"/>
        </w:rPr>
        <w:t>质量管理计划可以是正式的，也可以是非正</w:t>
      </w:r>
      <w:r>
        <w:rPr>
          <w:spacing w:val="13"/>
          <w:sz w:val="19"/>
          <w:szCs w:val="19"/>
        </w:rPr>
        <w:t>式的，可以是非常详细的，也可以是高度概括</w:t>
      </w:r>
      <w:r>
        <w:rPr>
          <w:sz w:val="19"/>
          <w:szCs w:val="19"/>
        </w:rPr>
        <w:t xml:space="preserve"> </w:t>
      </w:r>
      <w:r>
        <w:rPr>
          <w:spacing w:val="7"/>
          <w:sz w:val="19"/>
          <w:szCs w:val="19"/>
        </w:rPr>
        <w:t>的。其风格与详细程度取决于项目的具体需要。</w:t>
      </w:r>
    </w:p>
    <w:p w14:paraId="7C9C8F1F">
      <w:pPr>
        <w:pStyle w:val="2"/>
        <w:spacing w:before="46" w:line="219" w:lineRule="auto"/>
        <w:ind w:left="759"/>
        <w:rPr>
          <w:sz w:val="19"/>
          <w:szCs w:val="19"/>
        </w:rPr>
      </w:pPr>
      <w:r>
        <w:rPr>
          <w:spacing w:val="8"/>
          <w:sz w:val="19"/>
          <w:szCs w:val="19"/>
        </w:rPr>
        <w:t>监理机构在审查质量管理计划时，应着重审核以下内容：</w:t>
      </w:r>
    </w:p>
    <w:p w14:paraId="7AE98A45">
      <w:pPr>
        <w:pStyle w:val="2"/>
        <w:spacing w:before="96" w:line="219" w:lineRule="auto"/>
        <w:jc w:val="right"/>
        <w:rPr>
          <w:sz w:val="19"/>
          <w:szCs w:val="19"/>
        </w:rPr>
      </w:pPr>
      <w:r>
        <w:rPr>
          <w:spacing w:val="12"/>
          <w:sz w:val="19"/>
          <w:szCs w:val="19"/>
        </w:rPr>
        <w:t>(1)项目的质量政策。可以直接引用组织的质量政策，也可以对组织的质量政策略</w:t>
      </w:r>
      <w:r>
        <w:rPr>
          <w:spacing w:val="11"/>
          <w:sz w:val="19"/>
          <w:szCs w:val="19"/>
        </w:rPr>
        <w:t>加修改。</w:t>
      </w:r>
    </w:p>
    <w:p w14:paraId="40C6F973">
      <w:pPr>
        <w:pStyle w:val="2"/>
        <w:spacing w:before="75" w:line="260" w:lineRule="auto"/>
        <w:ind w:left="379" w:right="55" w:firstLine="379"/>
        <w:rPr>
          <w:sz w:val="19"/>
          <w:szCs w:val="19"/>
        </w:rPr>
      </w:pPr>
      <w:r>
        <w:rPr>
          <w:spacing w:val="16"/>
          <w:sz w:val="19"/>
          <w:szCs w:val="19"/>
        </w:rPr>
        <w:t>(2)项目的质量目标。包括项目的总体质量要求和</w:t>
      </w:r>
      <w:r>
        <w:rPr>
          <w:spacing w:val="15"/>
          <w:sz w:val="19"/>
          <w:szCs w:val="19"/>
        </w:rPr>
        <w:t>高层级质量标准，例如项目必须符合某</w:t>
      </w:r>
      <w:r>
        <w:rPr>
          <w:sz w:val="19"/>
          <w:szCs w:val="19"/>
        </w:rPr>
        <w:t xml:space="preserve"> </w:t>
      </w:r>
      <w:r>
        <w:rPr>
          <w:spacing w:val="7"/>
          <w:sz w:val="19"/>
          <w:szCs w:val="19"/>
        </w:rPr>
        <w:t>个行业标准中的规定。</w:t>
      </w:r>
    </w:p>
    <w:p w14:paraId="6498C2E5">
      <w:pPr>
        <w:pStyle w:val="2"/>
        <w:spacing w:before="93" w:line="219" w:lineRule="auto"/>
        <w:ind w:left="759"/>
        <w:rPr>
          <w:sz w:val="19"/>
          <w:szCs w:val="19"/>
        </w:rPr>
      </w:pPr>
      <w:r>
        <w:rPr>
          <w:spacing w:val="11"/>
          <w:sz w:val="19"/>
          <w:szCs w:val="19"/>
        </w:rPr>
        <w:t>(3)质量角色的职责。谁应该对项目质量承担什么责任。</w:t>
      </w:r>
    </w:p>
    <w:p w14:paraId="6B82E9E2">
      <w:pPr>
        <w:pStyle w:val="2"/>
        <w:spacing w:before="76" w:line="219" w:lineRule="auto"/>
        <w:ind w:left="759"/>
        <w:rPr>
          <w:sz w:val="19"/>
          <w:szCs w:val="19"/>
        </w:rPr>
      </w:pPr>
      <w:r>
        <w:rPr>
          <w:spacing w:val="12"/>
          <w:sz w:val="19"/>
          <w:szCs w:val="19"/>
        </w:rPr>
        <w:t>(4)质量管理程序、活动和工具。</w:t>
      </w:r>
    </w:p>
    <w:p w14:paraId="235679F0">
      <w:pPr>
        <w:pStyle w:val="2"/>
        <w:spacing w:before="85" w:line="260" w:lineRule="auto"/>
        <w:ind w:left="379" w:right="57" w:firstLine="379"/>
        <w:rPr>
          <w:sz w:val="19"/>
          <w:szCs w:val="19"/>
        </w:rPr>
      </w:pPr>
      <w:r>
        <w:rPr>
          <w:spacing w:val="16"/>
          <w:sz w:val="19"/>
          <w:szCs w:val="19"/>
        </w:rPr>
        <w:t>(5)对工作过程和成果进行质量评审。确定哪</w:t>
      </w:r>
      <w:r>
        <w:rPr>
          <w:spacing w:val="15"/>
          <w:sz w:val="19"/>
          <w:szCs w:val="19"/>
        </w:rPr>
        <w:t>些工作过程和成果必须接受质量评审、如何</w:t>
      </w:r>
      <w:r>
        <w:rPr>
          <w:sz w:val="19"/>
          <w:szCs w:val="19"/>
        </w:rPr>
        <w:t xml:space="preserve"> </w:t>
      </w:r>
      <w:r>
        <w:rPr>
          <w:spacing w:val="7"/>
          <w:sz w:val="19"/>
          <w:szCs w:val="19"/>
        </w:rPr>
        <w:t>进行质量评审、如何利用评审结果等。</w:t>
      </w:r>
    </w:p>
    <w:p w14:paraId="506DE18D">
      <w:pPr>
        <w:pStyle w:val="2"/>
        <w:spacing w:before="170" w:line="221" w:lineRule="auto"/>
        <w:ind w:left="762"/>
        <w:rPr>
          <w:rFonts w:ascii="黑体" w:hAnsi="黑体" w:eastAsia="黑体" w:cs="黑体"/>
          <w:sz w:val="19"/>
          <w:szCs w:val="19"/>
        </w:rPr>
      </w:pPr>
      <w:r>
        <w:rPr>
          <w:b/>
          <w:bCs/>
          <w:color w:val="0070D2"/>
          <w:spacing w:val="8"/>
          <w:sz w:val="19"/>
          <w:szCs w:val="19"/>
        </w:rPr>
        <w:t>2.</w:t>
      </w:r>
      <w:r>
        <w:rPr>
          <w:rFonts w:ascii="黑体" w:hAnsi="黑体" w:eastAsia="黑体" w:cs="黑体"/>
          <w:b/>
          <w:bCs/>
          <w:color w:val="0070D2"/>
          <w:spacing w:val="8"/>
          <w:sz w:val="19"/>
          <w:szCs w:val="19"/>
        </w:rPr>
        <w:t>对实施方案的审查</w:t>
      </w:r>
    </w:p>
    <w:p w14:paraId="4ADA56EF">
      <w:pPr>
        <w:pStyle w:val="2"/>
        <w:spacing w:before="145" w:line="284" w:lineRule="auto"/>
        <w:ind w:left="379" w:right="51" w:firstLine="379"/>
        <w:jc w:val="both"/>
        <w:rPr>
          <w:sz w:val="19"/>
          <w:szCs w:val="19"/>
        </w:rPr>
      </w:pPr>
      <w:r>
        <w:rPr>
          <w:spacing w:val="14"/>
          <w:sz w:val="19"/>
          <w:szCs w:val="19"/>
        </w:rPr>
        <w:t>任何目标都必须借助于一定的实施方案，才能最终变为现</w:t>
      </w:r>
      <w:r>
        <w:rPr>
          <w:spacing w:val="13"/>
          <w:sz w:val="19"/>
          <w:szCs w:val="19"/>
        </w:rPr>
        <w:t>实；没有明确的目标，会使行动</w:t>
      </w:r>
      <w:r>
        <w:rPr>
          <w:sz w:val="19"/>
          <w:szCs w:val="19"/>
        </w:rPr>
        <w:t xml:space="preserve"> </w:t>
      </w:r>
      <w:r>
        <w:rPr>
          <w:spacing w:val="13"/>
          <w:sz w:val="19"/>
          <w:szCs w:val="19"/>
        </w:rPr>
        <w:t>盲目；没有具体的实施方案，任何目标都只是空中楼阁。实施方案的审查是实</w:t>
      </w:r>
      <w:r>
        <w:rPr>
          <w:spacing w:val="12"/>
          <w:sz w:val="19"/>
          <w:szCs w:val="19"/>
        </w:rPr>
        <w:t>施准备阶段监理</w:t>
      </w:r>
      <w:r>
        <w:rPr>
          <w:sz w:val="19"/>
          <w:szCs w:val="19"/>
        </w:rPr>
        <w:t xml:space="preserve"> </w:t>
      </w:r>
      <w:r>
        <w:rPr>
          <w:spacing w:val="4"/>
          <w:sz w:val="19"/>
          <w:szCs w:val="19"/>
        </w:rPr>
        <w:t>的主要工作。</w:t>
      </w:r>
    </w:p>
    <w:p w14:paraId="7E5B66F8">
      <w:pPr>
        <w:spacing w:line="284" w:lineRule="auto"/>
        <w:rPr>
          <w:sz w:val="19"/>
          <w:szCs w:val="19"/>
        </w:rPr>
        <w:sectPr>
          <w:pgSz w:w="10300" w:h="13400"/>
          <w:pgMar w:top="400" w:right="995" w:bottom="400" w:left="550" w:header="0" w:footer="0" w:gutter="0"/>
          <w:cols w:space="720" w:num="1"/>
        </w:sectPr>
      </w:pPr>
    </w:p>
    <w:p w14:paraId="189DCE4D">
      <w:pPr>
        <w:pStyle w:val="2"/>
        <w:jc w:val="right"/>
        <w:rPr>
          <w:rFonts w:ascii="Times New Roman" w:hAnsi="Times New Roman" w:eastAsia="Times New Roman" w:cs="Times New Roman"/>
          <w:sz w:val="20"/>
          <w:szCs w:val="20"/>
        </w:rPr>
      </w:pPr>
      <w:bookmarkStart w:id="711" w:name="bookmark696"/>
      <w:bookmarkEnd w:id="711"/>
      <w:r>
        <w:rPr>
          <w:spacing w:val="-8"/>
          <w:sz w:val="20"/>
          <w:szCs w:val="20"/>
        </w:rPr>
        <w:t>第20章 信息系统工程监理基础工作</w:t>
      </w:r>
      <w:r>
        <w:rPr>
          <w:spacing w:val="45"/>
          <w:sz w:val="20"/>
          <w:szCs w:val="20"/>
        </w:rPr>
        <w:t xml:space="preserve"> </w:t>
      </w:r>
      <w:r>
        <w:rPr>
          <w:position w:val="-10"/>
          <w:sz w:val="20"/>
          <w:szCs w:val="20"/>
        </w:rPr>
        <w:drawing>
          <wp:inline distT="0" distB="0" distL="0" distR="0">
            <wp:extent cx="291465" cy="241300"/>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89"/>
                    <a:stretch>
                      <a:fillRect/>
                    </a:stretch>
                  </pic:blipFill>
                  <pic:spPr>
                    <a:xfrm>
                      <a:off x="0" y="0"/>
                      <a:ext cx="292076" cy="241300"/>
                    </a:xfrm>
                    <a:prstGeom prst="rect">
                      <a:avLst/>
                    </a:prstGeom>
                  </pic:spPr>
                </pic:pic>
              </a:graphicData>
            </a:graphic>
          </wp:inline>
        </w:drawing>
      </w:r>
      <w:r>
        <w:rPr>
          <w:rFonts w:ascii="Times New Roman" w:hAnsi="Times New Roman" w:eastAsia="Times New Roman" w:cs="Times New Roman"/>
          <w:spacing w:val="-8"/>
          <w:position w:val="-2"/>
          <w:sz w:val="20"/>
          <w:szCs w:val="20"/>
        </w:rPr>
        <w:t>459</w:t>
      </w:r>
    </w:p>
    <w:p w14:paraId="2E1EACEE">
      <w:pPr>
        <w:spacing w:line="260" w:lineRule="auto"/>
        <w:rPr>
          <w:rFonts w:ascii="Arial"/>
          <w:sz w:val="21"/>
        </w:rPr>
      </w:pPr>
    </w:p>
    <w:p w14:paraId="5516BF18">
      <w:pPr>
        <w:pStyle w:val="2"/>
        <w:spacing w:before="65" w:line="219" w:lineRule="auto"/>
        <w:ind w:left="399"/>
        <w:rPr>
          <w:sz w:val="20"/>
          <w:szCs w:val="20"/>
        </w:rPr>
      </w:pPr>
      <w:r>
        <w:rPr>
          <w:spacing w:val="2"/>
          <w:sz w:val="20"/>
          <w:szCs w:val="20"/>
        </w:rPr>
        <w:t>(1)监理机构应审核的内容如下：</w:t>
      </w:r>
    </w:p>
    <w:p w14:paraId="749CAC65">
      <w:pPr>
        <w:pStyle w:val="2"/>
        <w:spacing w:before="64" w:line="219" w:lineRule="auto"/>
        <w:ind w:left="399"/>
        <w:rPr>
          <w:sz w:val="20"/>
          <w:szCs w:val="20"/>
        </w:rPr>
      </w:pPr>
      <w:r>
        <w:rPr>
          <w:sz w:val="20"/>
          <w:szCs w:val="20"/>
        </w:rPr>
        <w:t>●实施方案与法律法规和标准的符合性；</w:t>
      </w:r>
    </w:p>
    <w:p w14:paraId="50307877">
      <w:pPr>
        <w:pStyle w:val="2"/>
        <w:spacing w:before="103" w:line="220" w:lineRule="auto"/>
        <w:ind w:left="399"/>
        <w:rPr>
          <w:sz w:val="20"/>
          <w:szCs w:val="20"/>
        </w:rPr>
      </w:pPr>
      <w:r>
        <w:rPr>
          <w:sz w:val="20"/>
          <w:szCs w:val="20"/>
        </w:rPr>
        <w:t>●实施方案的合理性和可行性；</w:t>
      </w:r>
    </w:p>
    <w:p w14:paraId="358D610B">
      <w:pPr>
        <w:pStyle w:val="2"/>
        <w:spacing w:before="91" w:line="219" w:lineRule="auto"/>
        <w:ind w:left="399"/>
        <w:rPr>
          <w:sz w:val="20"/>
          <w:szCs w:val="20"/>
        </w:rPr>
      </w:pPr>
      <w:r>
        <w:rPr>
          <w:sz w:val="20"/>
          <w:szCs w:val="20"/>
        </w:rPr>
        <w:t>●实施方案与合同、设计方案和实施计划的符合</w:t>
      </w:r>
      <w:r>
        <w:rPr>
          <w:spacing w:val="-1"/>
          <w:sz w:val="20"/>
          <w:szCs w:val="20"/>
        </w:rPr>
        <w:t>性；</w:t>
      </w:r>
    </w:p>
    <w:p w14:paraId="2BC815B2">
      <w:pPr>
        <w:pStyle w:val="2"/>
        <w:spacing w:before="71" w:line="219" w:lineRule="auto"/>
        <w:ind w:left="399"/>
        <w:rPr>
          <w:sz w:val="20"/>
          <w:szCs w:val="20"/>
        </w:rPr>
      </w:pPr>
      <w:r>
        <w:rPr>
          <w:spacing w:val="4"/>
          <w:sz w:val="20"/>
          <w:szCs w:val="20"/>
        </w:rPr>
        <w:t>●工程实施的组织机构。</w:t>
      </w:r>
    </w:p>
    <w:p w14:paraId="0EE5544B">
      <w:pPr>
        <w:pStyle w:val="2"/>
        <w:spacing w:before="94" w:line="220" w:lineRule="auto"/>
        <w:ind w:left="399"/>
        <w:rPr>
          <w:sz w:val="20"/>
          <w:szCs w:val="20"/>
        </w:rPr>
      </w:pPr>
      <w:r>
        <w:rPr>
          <w:spacing w:val="2"/>
          <w:sz w:val="20"/>
          <w:szCs w:val="20"/>
        </w:rPr>
        <w:t>(2)实施方案的审核要点如下：</w:t>
      </w:r>
    </w:p>
    <w:p w14:paraId="40576A69">
      <w:pPr>
        <w:pStyle w:val="2"/>
        <w:spacing w:before="79" w:line="219" w:lineRule="auto"/>
        <w:ind w:left="399"/>
        <w:rPr>
          <w:sz w:val="20"/>
          <w:szCs w:val="20"/>
        </w:rPr>
      </w:pPr>
      <w:r>
        <w:rPr>
          <w:sz w:val="20"/>
          <w:szCs w:val="20"/>
        </w:rPr>
        <w:t>●承建单位的项目组织机构、管理制度和技术措施是否能满足项目实施需要；</w:t>
      </w:r>
    </w:p>
    <w:p w14:paraId="7614892C">
      <w:pPr>
        <w:pStyle w:val="2"/>
        <w:spacing w:before="73" w:line="268" w:lineRule="auto"/>
        <w:ind w:left="699" w:right="316" w:hanging="300"/>
        <w:rPr>
          <w:sz w:val="20"/>
          <w:szCs w:val="20"/>
        </w:rPr>
      </w:pPr>
      <w:r>
        <w:rPr>
          <w:spacing w:val="3"/>
          <w:sz w:val="20"/>
          <w:szCs w:val="20"/>
        </w:rPr>
        <w:t>●承建单位是否有完善的质量保证体系并能正常运行，项目组织机构的</w:t>
      </w:r>
      <w:r>
        <w:rPr>
          <w:spacing w:val="2"/>
          <w:sz w:val="20"/>
          <w:szCs w:val="20"/>
        </w:rPr>
        <w:t>人员是否到位且能</w:t>
      </w:r>
      <w:r>
        <w:rPr>
          <w:sz w:val="20"/>
          <w:szCs w:val="20"/>
        </w:rPr>
        <w:t xml:space="preserve"> </w:t>
      </w:r>
      <w:r>
        <w:rPr>
          <w:spacing w:val="-5"/>
          <w:sz w:val="20"/>
          <w:szCs w:val="20"/>
        </w:rPr>
        <w:t>保证项目实施的需要；</w:t>
      </w:r>
    </w:p>
    <w:p w14:paraId="3530BC54">
      <w:pPr>
        <w:pStyle w:val="2"/>
        <w:spacing w:before="91" w:line="219" w:lineRule="auto"/>
        <w:ind w:left="399"/>
        <w:rPr>
          <w:sz w:val="20"/>
          <w:szCs w:val="20"/>
        </w:rPr>
      </w:pPr>
      <w:r>
        <w:rPr>
          <w:sz w:val="20"/>
          <w:szCs w:val="20"/>
        </w:rPr>
        <w:t>●所引用的法律法规、标准规范是否是有效的、最新的；</w:t>
      </w:r>
    </w:p>
    <w:p w14:paraId="10C046F3">
      <w:pPr>
        <w:pStyle w:val="2"/>
        <w:spacing w:before="83" w:line="219" w:lineRule="auto"/>
        <w:ind w:left="399"/>
        <w:rPr>
          <w:sz w:val="20"/>
          <w:szCs w:val="20"/>
        </w:rPr>
      </w:pPr>
      <w:r>
        <w:rPr>
          <w:sz w:val="20"/>
          <w:szCs w:val="20"/>
        </w:rPr>
        <w:t>●进度计划中的进度节点是否满足合同要求；</w:t>
      </w:r>
    </w:p>
    <w:p w14:paraId="38595775">
      <w:pPr>
        <w:pStyle w:val="2"/>
        <w:spacing w:before="92" w:line="219" w:lineRule="auto"/>
        <w:ind w:left="399"/>
        <w:rPr>
          <w:sz w:val="20"/>
          <w:szCs w:val="20"/>
        </w:rPr>
      </w:pPr>
      <w:r>
        <w:rPr>
          <w:spacing w:val="2"/>
          <w:sz w:val="20"/>
          <w:szCs w:val="20"/>
        </w:rPr>
        <w:t>●施工安全技术措施是否得当。</w:t>
      </w:r>
    </w:p>
    <w:p w14:paraId="7EDBA776">
      <w:pPr>
        <w:pStyle w:val="2"/>
        <w:spacing w:before="179" w:line="222" w:lineRule="auto"/>
        <w:ind w:left="402"/>
        <w:rPr>
          <w:rFonts w:ascii="黑体" w:hAnsi="黑体" w:eastAsia="黑体" w:cs="黑体"/>
          <w:sz w:val="20"/>
          <w:szCs w:val="20"/>
        </w:rPr>
      </w:pPr>
      <w:r>
        <w:rPr>
          <w:b/>
          <w:bCs/>
          <w:color w:val="0055D7"/>
          <w:spacing w:val="-3"/>
          <w:sz w:val="20"/>
          <w:szCs w:val="20"/>
        </w:rPr>
        <w:t>3.</w:t>
      </w:r>
      <w:r>
        <w:rPr>
          <w:rFonts w:ascii="黑体" w:hAnsi="黑体" w:eastAsia="黑体" w:cs="黑体"/>
          <w:b/>
          <w:bCs/>
          <w:color w:val="0055D7"/>
          <w:spacing w:val="-3"/>
          <w:sz w:val="20"/>
          <w:szCs w:val="20"/>
        </w:rPr>
        <w:t>组织实施准备会议</w:t>
      </w:r>
    </w:p>
    <w:p w14:paraId="2366886E">
      <w:pPr>
        <w:pStyle w:val="2"/>
        <w:spacing w:before="132" w:line="282" w:lineRule="auto"/>
        <w:ind w:right="316" w:firstLine="399"/>
        <w:rPr>
          <w:sz w:val="20"/>
          <w:szCs w:val="20"/>
        </w:rPr>
      </w:pPr>
      <w:r>
        <w:rPr>
          <w:spacing w:val="3"/>
          <w:sz w:val="20"/>
          <w:szCs w:val="20"/>
        </w:rPr>
        <w:t>实施准备会议主要是要求承建单位落实实施计划、实施方案和必要的准</w:t>
      </w:r>
      <w:r>
        <w:rPr>
          <w:spacing w:val="2"/>
          <w:sz w:val="20"/>
          <w:szCs w:val="20"/>
        </w:rPr>
        <w:t>备工作。会议内容</w:t>
      </w:r>
      <w:r>
        <w:rPr>
          <w:sz w:val="20"/>
          <w:szCs w:val="20"/>
        </w:rPr>
        <w:t xml:space="preserve"> </w:t>
      </w:r>
      <w:r>
        <w:rPr>
          <w:spacing w:val="-3"/>
          <w:sz w:val="20"/>
          <w:szCs w:val="20"/>
        </w:rPr>
        <w:t>应做会议纪要，并经三方签认。</w:t>
      </w:r>
    </w:p>
    <w:p w14:paraId="38D0E5C6">
      <w:pPr>
        <w:pStyle w:val="2"/>
        <w:spacing w:before="29" w:line="219" w:lineRule="auto"/>
        <w:ind w:left="399"/>
        <w:rPr>
          <w:sz w:val="20"/>
          <w:szCs w:val="20"/>
        </w:rPr>
      </w:pPr>
      <w:r>
        <w:rPr>
          <w:spacing w:val="-4"/>
          <w:sz w:val="20"/>
          <w:szCs w:val="20"/>
        </w:rPr>
        <w:t>实施准备会议的会议议程主要有：</w:t>
      </w:r>
    </w:p>
    <w:p w14:paraId="0C1ADEB7">
      <w:pPr>
        <w:pStyle w:val="2"/>
        <w:spacing w:before="83" w:line="219" w:lineRule="auto"/>
        <w:ind w:left="399"/>
        <w:rPr>
          <w:sz w:val="20"/>
          <w:szCs w:val="20"/>
        </w:rPr>
      </w:pPr>
      <w:r>
        <w:rPr>
          <w:spacing w:val="2"/>
          <w:sz w:val="20"/>
          <w:szCs w:val="20"/>
        </w:rPr>
        <w:t>(1)三方分别介绍各自的组织机构、人员安排及其分工；</w:t>
      </w:r>
    </w:p>
    <w:p w14:paraId="68E88B6C">
      <w:pPr>
        <w:pStyle w:val="2"/>
        <w:spacing w:before="73" w:line="219" w:lineRule="auto"/>
        <w:ind w:left="399"/>
        <w:rPr>
          <w:sz w:val="20"/>
          <w:szCs w:val="20"/>
        </w:rPr>
      </w:pPr>
      <w:r>
        <w:rPr>
          <w:spacing w:val="1"/>
          <w:sz w:val="20"/>
          <w:szCs w:val="20"/>
        </w:rPr>
        <w:t>(2)业主单位根据委托监理合同宣布对监理单位的授权；</w:t>
      </w:r>
    </w:p>
    <w:p w14:paraId="4D30D63F">
      <w:pPr>
        <w:pStyle w:val="2"/>
        <w:spacing w:before="72" w:line="219" w:lineRule="auto"/>
        <w:ind w:left="399"/>
        <w:rPr>
          <w:sz w:val="20"/>
          <w:szCs w:val="20"/>
        </w:rPr>
      </w:pPr>
      <w:r>
        <w:rPr>
          <w:spacing w:val="2"/>
          <w:sz w:val="20"/>
          <w:szCs w:val="20"/>
        </w:rPr>
        <w:t>(3)业主单位介绍项目开工准备情况；</w:t>
      </w:r>
    </w:p>
    <w:p w14:paraId="437E8D36">
      <w:pPr>
        <w:pStyle w:val="2"/>
        <w:spacing w:before="73" w:line="219" w:lineRule="auto"/>
        <w:ind w:left="399"/>
        <w:rPr>
          <w:sz w:val="20"/>
          <w:szCs w:val="20"/>
        </w:rPr>
      </w:pPr>
      <w:r>
        <w:rPr>
          <w:spacing w:val="2"/>
          <w:sz w:val="20"/>
          <w:szCs w:val="20"/>
        </w:rPr>
        <w:t>(4)承建单位介绍项目准备情况；</w:t>
      </w:r>
    </w:p>
    <w:p w14:paraId="647028B5">
      <w:pPr>
        <w:pStyle w:val="2"/>
        <w:spacing w:before="74" w:line="219" w:lineRule="auto"/>
        <w:ind w:left="399"/>
        <w:rPr>
          <w:sz w:val="20"/>
          <w:szCs w:val="20"/>
        </w:rPr>
      </w:pPr>
      <w:r>
        <w:rPr>
          <w:spacing w:val="1"/>
          <w:sz w:val="20"/>
          <w:szCs w:val="20"/>
        </w:rPr>
        <w:t>(5)业主单位和总监理工程师对实施准备情况提出意见和要求；</w:t>
      </w:r>
    </w:p>
    <w:p w14:paraId="3ADAB96F">
      <w:pPr>
        <w:pStyle w:val="2"/>
        <w:spacing w:before="72" w:line="219" w:lineRule="auto"/>
        <w:ind w:left="399"/>
        <w:rPr>
          <w:sz w:val="20"/>
          <w:szCs w:val="20"/>
        </w:rPr>
      </w:pPr>
      <w:r>
        <w:rPr>
          <w:spacing w:val="2"/>
          <w:sz w:val="20"/>
          <w:szCs w:val="20"/>
        </w:rPr>
        <w:t>(6)总监理工程师介绍监理的主要工作内容；</w:t>
      </w:r>
    </w:p>
    <w:p w14:paraId="691AFA0A">
      <w:pPr>
        <w:pStyle w:val="2"/>
        <w:spacing w:before="73" w:line="253" w:lineRule="auto"/>
        <w:ind w:right="296" w:firstLine="399"/>
        <w:rPr>
          <w:sz w:val="20"/>
          <w:szCs w:val="20"/>
        </w:rPr>
      </w:pPr>
      <w:r>
        <w:rPr>
          <w:spacing w:val="6"/>
          <w:sz w:val="20"/>
          <w:szCs w:val="20"/>
        </w:rPr>
        <w:t>(7)研究确定各方在实施过程中参加项目例会的主要人员、召开</w:t>
      </w:r>
      <w:r>
        <w:rPr>
          <w:spacing w:val="5"/>
          <w:sz w:val="20"/>
          <w:szCs w:val="20"/>
        </w:rPr>
        <w:t>例会的周期、地点及主要</w:t>
      </w:r>
      <w:r>
        <w:rPr>
          <w:sz w:val="20"/>
          <w:szCs w:val="20"/>
        </w:rPr>
        <w:t xml:space="preserve"> </w:t>
      </w:r>
      <w:r>
        <w:rPr>
          <w:spacing w:val="-8"/>
          <w:sz w:val="20"/>
          <w:szCs w:val="20"/>
        </w:rPr>
        <w:t>议题等。</w:t>
      </w:r>
    </w:p>
    <w:p w14:paraId="248FA360">
      <w:pPr>
        <w:pStyle w:val="2"/>
        <w:spacing w:before="150" w:line="222" w:lineRule="auto"/>
        <w:ind w:left="402"/>
        <w:rPr>
          <w:rFonts w:ascii="黑体" w:hAnsi="黑体" w:eastAsia="黑体" w:cs="黑体"/>
          <w:sz w:val="20"/>
          <w:szCs w:val="20"/>
        </w:rPr>
      </w:pPr>
      <w:r>
        <w:rPr>
          <w:b/>
          <w:bCs/>
          <w:color w:val="0047C3"/>
          <w:spacing w:val="-2"/>
          <w:sz w:val="20"/>
          <w:szCs w:val="20"/>
        </w:rPr>
        <w:t>4.</w:t>
      </w:r>
      <w:r>
        <w:rPr>
          <w:rFonts w:ascii="黑体" w:hAnsi="黑体" w:eastAsia="黑体" w:cs="黑体"/>
          <w:b/>
          <w:bCs/>
          <w:color w:val="0047C3"/>
          <w:spacing w:val="-2"/>
          <w:sz w:val="20"/>
          <w:szCs w:val="20"/>
        </w:rPr>
        <w:t>对质量问题的处理</w:t>
      </w:r>
    </w:p>
    <w:p w14:paraId="08166277">
      <w:pPr>
        <w:pStyle w:val="2"/>
        <w:spacing w:before="142" w:line="219" w:lineRule="auto"/>
        <w:ind w:left="399"/>
        <w:rPr>
          <w:sz w:val="20"/>
          <w:szCs w:val="20"/>
        </w:rPr>
      </w:pPr>
      <w:r>
        <w:rPr>
          <w:spacing w:val="-2"/>
          <w:sz w:val="20"/>
          <w:szCs w:val="20"/>
        </w:rPr>
        <w:t>监理人员在实施阶段处理质量问题时应遵循一般性原则，主要有：</w:t>
      </w:r>
    </w:p>
    <w:p w14:paraId="02EC4101">
      <w:pPr>
        <w:pStyle w:val="2"/>
        <w:spacing w:before="60" w:line="265" w:lineRule="auto"/>
        <w:ind w:right="291" w:firstLine="399"/>
        <w:rPr>
          <w:sz w:val="20"/>
          <w:szCs w:val="20"/>
        </w:rPr>
      </w:pPr>
      <w:r>
        <w:rPr>
          <w:spacing w:val="6"/>
          <w:sz w:val="20"/>
          <w:szCs w:val="20"/>
        </w:rPr>
        <w:t>(1)当质量缺陷在萌芽状态时，分析质量缺陷产生的原因，采取果断措施，</w:t>
      </w:r>
      <w:r>
        <w:rPr>
          <w:spacing w:val="5"/>
          <w:sz w:val="20"/>
          <w:szCs w:val="20"/>
        </w:rPr>
        <w:t>制止质量缺陷</w:t>
      </w:r>
      <w:r>
        <w:rPr>
          <w:sz w:val="20"/>
          <w:szCs w:val="20"/>
        </w:rPr>
        <w:t xml:space="preserve"> </w:t>
      </w:r>
      <w:r>
        <w:rPr>
          <w:spacing w:val="3"/>
          <w:sz w:val="20"/>
          <w:szCs w:val="20"/>
        </w:rPr>
        <w:t>蔓延，例如，责令承建单位更换不合格的材料、设备或不称职的实施人员，或要求立刻改变不</w:t>
      </w:r>
      <w:r>
        <w:rPr>
          <w:spacing w:val="6"/>
          <w:sz w:val="20"/>
          <w:szCs w:val="20"/>
        </w:rPr>
        <w:t xml:space="preserve"> </w:t>
      </w:r>
      <w:r>
        <w:rPr>
          <w:spacing w:val="-5"/>
          <w:sz w:val="20"/>
          <w:szCs w:val="20"/>
        </w:rPr>
        <w:t>正确的实施方法。</w:t>
      </w:r>
    </w:p>
    <w:p w14:paraId="5275FF8A">
      <w:pPr>
        <w:pStyle w:val="2"/>
        <w:spacing w:before="61" w:line="257" w:lineRule="auto"/>
        <w:ind w:right="298" w:firstLine="399"/>
        <w:rPr>
          <w:sz w:val="20"/>
          <w:szCs w:val="20"/>
        </w:rPr>
      </w:pPr>
      <w:r>
        <w:rPr>
          <w:spacing w:val="6"/>
          <w:sz w:val="20"/>
          <w:szCs w:val="20"/>
        </w:rPr>
        <w:t>(2)当质量缺陷出现明显症状时，监理机构应立刻发出暂停</w:t>
      </w:r>
      <w:r>
        <w:rPr>
          <w:spacing w:val="5"/>
          <w:sz w:val="20"/>
          <w:szCs w:val="20"/>
        </w:rPr>
        <w:t>施工的指令，直到承建单位采</w:t>
      </w:r>
      <w:r>
        <w:rPr>
          <w:sz w:val="20"/>
          <w:szCs w:val="20"/>
        </w:rPr>
        <w:t xml:space="preserve"> </w:t>
      </w:r>
      <w:r>
        <w:rPr>
          <w:spacing w:val="-1"/>
          <w:sz w:val="20"/>
          <w:szCs w:val="20"/>
        </w:rPr>
        <w:t>取了补救措施，并对质量缺陷进行了正确的补救后，才书面</w:t>
      </w:r>
      <w:r>
        <w:rPr>
          <w:spacing w:val="-2"/>
          <w:sz w:val="20"/>
          <w:szCs w:val="20"/>
        </w:rPr>
        <w:t>通知恢复施工。</w:t>
      </w:r>
    </w:p>
    <w:p w14:paraId="01CD3499">
      <w:pPr>
        <w:pStyle w:val="2"/>
        <w:spacing w:before="54" w:line="257" w:lineRule="auto"/>
        <w:ind w:right="297" w:firstLine="399"/>
        <w:rPr>
          <w:sz w:val="20"/>
          <w:szCs w:val="20"/>
        </w:rPr>
      </w:pPr>
      <w:r>
        <w:rPr>
          <w:spacing w:val="6"/>
          <w:sz w:val="20"/>
          <w:szCs w:val="20"/>
        </w:rPr>
        <w:t>(3)当质量缺陷已对下个阶段或分项工程产生质量影响时，应</w:t>
      </w:r>
      <w:r>
        <w:rPr>
          <w:spacing w:val="5"/>
          <w:sz w:val="20"/>
          <w:szCs w:val="20"/>
        </w:rPr>
        <w:t>拒绝签认工程计量，并要求</w:t>
      </w:r>
      <w:r>
        <w:rPr>
          <w:sz w:val="20"/>
          <w:szCs w:val="20"/>
        </w:rPr>
        <w:t xml:space="preserve"> </w:t>
      </w:r>
      <w:r>
        <w:rPr>
          <w:spacing w:val="-2"/>
          <w:sz w:val="20"/>
          <w:szCs w:val="20"/>
        </w:rPr>
        <w:t>承建单位进行返工或处理，直到质量缺陷解决为止。</w:t>
      </w:r>
    </w:p>
    <w:p w14:paraId="4EBE2936">
      <w:pPr>
        <w:pStyle w:val="2"/>
        <w:spacing w:before="72" w:line="219" w:lineRule="auto"/>
        <w:ind w:left="399"/>
        <w:rPr>
          <w:sz w:val="20"/>
          <w:szCs w:val="20"/>
        </w:rPr>
      </w:pPr>
      <w:r>
        <w:rPr>
          <w:spacing w:val="-1"/>
          <w:sz w:val="20"/>
          <w:szCs w:val="20"/>
        </w:rPr>
        <w:t>监理人员在处理质量缺陷时，还需要注意以下几个方面的处理原则：</w:t>
      </w:r>
    </w:p>
    <w:p w14:paraId="616FAB6B">
      <w:pPr>
        <w:pStyle w:val="2"/>
        <w:spacing w:before="63" w:line="273" w:lineRule="auto"/>
        <w:ind w:right="297" w:firstLine="399"/>
        <w:rPr>
          <w:sz w:val="20"/>
          <w:szCs w:val="20"/>
        </w:rPr>
      </w:pPr>
      <w:r>
        <w:rPr>
          <w:spacing w:val="6"/>
          <w:sz w:val="20"/>
          <w:szCs w:val="20"/>
        </w:rPr>
        <w:t>(1)由于承建单位原因造成项目存在质量缺陷、无法按照合同</w:t>
      </w:r>
      <w:r>
        <w:rPr>
          <w:spacing w:val="5"/>
          <w:sz w:val="20"/>
          <w:szCs w:val="20"/>
        </w:rPr>
        <w:t>约定完工，应由承建单位承</w:t>
      </w:r>
      <w:r>
        <w:rPr>
          <w:sz w:val="20"/>
          <w:szCs w:val="20"/>
        </w:rPr>
        <w:t xml:space="preserve"> </w:t>
      </w:r>
      <w:r>
        <w:rPr>
          <w:spacing w:val="-2"/>
          <w:sz w:val="20"/>
          <w:szCs w:val="20"/>
        </w:rPr>
        <w:t>担全部责任。</w:t>
      </w:r>
    </w:p>
    <w:p w14:paraId="62E700B9">
      <w:pPr>
        <w:spacing w:line="273" w:lineRule="auto"/>
        <w:rPr>
          <w:sz w:val="20"/>
          <w:szCs w:val="20"/>
        </w:rPr>
        <w:sectPr>
          <w:pgSz w:w="10290" w:h="13310"/>
          <w:pgMar w:top="399" w:right="573" w:bottom="400" w:left="1090" w:header="0" w:footer="0" w:gutter="0"/>
          <w:cols w:space="720" w:num="1"/>
        </w:sectPr>
      </w:pPr>
    </w:p>
    <w:p w14:paraId="40BC8D36">
      <w:pPr>
        <w:pStyle w:val="2"/>
        <w:spacing w:before="117" w:line="219" w:lineRule="auto"/>
        <w:rPr>
          <w:sz w:val="19"/>
          <w:szCs w:val="19"/>
        </w:rPr>
      </w:pPr>
      <w:r>
        <w:rPr>
          <w:rFonts w:ascii="Times New Roman" w:hAnsi="Times New Roman" w:eastAsia="Times New Roman" w:cs="Times New Roman"/>
          <w:spacing w:val="3"/>
          <w:sz w:val="19"/>
          <w:szCs w:val="19"/>
        </w:rPr>
        <w:t xml:space="preserve">460              </w:t>
      </w:r>
      <w:r>
        <w:rPr>
          <w:spacing w:val="3"/>
          <w:sz w:val="19"/>
          <w:szCs w:val="19"/>
        </w:rPr>
        <w:t>信息系统监理师教程(第2版)</w:t>
      </w:r>
    </w:p>
    <w:p w14:paraId="00B89A2B">
      <w:pPr>
        <w:spacing w:line="310" w:lineRule="auto"/>
        <w:rPr>
          <w:rFonts w:ascii="Arial"/>
          <w:sz w:val="21"/>
        </w:rPr>
      </w:pPr>
    </w:p>
    <w:p w14:paraId="0F878346">
      <w:pPr>
        <w:pStyle w:val="2"/>
        <w:spacing w:before="61" w:line="280" w:lineRule="auto"/>
        <w:ind w:left="379" w:right="97" w:firstLine="389"/>
        <w:rPr>
          <w:sz w:val="19"/>
          <w:szCs w:val="19"/>
        </w:rPr>
      </w:pPr>
      <w:r>
        <w:rPr>
          <w:spacing w:val="26"/>
          <w:sz w:val="19"/>
          <w:szCs w:val="19"/>
        </w:rPr>
        <w:t>(2)由于承建单位的实施方案不合理导致质量</w:t>
      </w:r>
      <w:r>
        <w:rPr>
          <w:spacing w:val="25"/>
          <w:sz w:val="19"/>
          <w:szCs w:val="19"/>
        </w:rPr>
        <w:t>缺陷，承建单位应向业主单位承担合同</w:t>
      </w:r>
      <w:r>
        <w:rPr>
          <w:sz w:val="19"/>
          <w:szCs w:val="19"/>
        </w:rPr>
        <w:t xml:space="preserve"> </w:t>
      </w:r>
      <w:r>
        <w:rPr>
          <w:spacing w:val="1"/>
          <w:sz w:val="19"/>
          <w:szCs w:val="19"/>
        </w:rPr>
        <w:t>责任。</w:t>
      </w:r>
    </w:p>
    <w:p w14:paraId="6C9314A5">
      <w:pPr>
        <w:pStyle w:val="2"/>
        <w:spacing w:before="64" w:line="265" w:lineRule="auto"/>
        <w:ind w:left="379" w:right="85" w:firstLine="389"/>
        <w:rPr>
          <w:sz w:val="19"/>
          <w:szCs w:val="19"/>
        </w:rPr>
      </w:pPr>
      <w:r>
        <w:rPr>
          <w:spacing w:val="15"/>
          <w:sz w:val="19"/>
          <w:szCs w:val="19"/>
        </w:rPr>
        <w:t>(3)若因承建单位的操作人员违反操作规程造成质量事故，应按照质量事故处理程序完成</w:t>
      </w:r>
      <w:r>
        <w:rPr>
          <w:spacing w:val="3"/>
          <w:sz w:val="19"/>
          <w:szCs w:val="19"/>
        </w:rPr>
        <w:t xml:space="preserve"> </w:t>
      </w:r>
      <w:r>
        <w:rPr>
          <w:spacing w:val="7"/>
          <w:sz w:val="19"/>
          <w:szCs w:val="19"/>
        </w:rPr>
        <w:t>事故全过程处理，并由承建单位承担责任，同时挽回事故造成的损失。</w:t>
      </w:r>
    </w:p>
    <w:p w14:paraId="74E3C845">
      <w:pPr>
        <w:pStyle w:val="2"/>
        <w:spacing w:before="93" w:line="219" w:lineRule="auto"/>
        <w:ind w:right="19"/>
        <w:jc w:val="right"/>
        <w:rPr>
          <w:sz w:val="19"/>
          <w:szCs w:val="19"/>
        </w:rPr>
      </w:pPr>
      <w:r>
        <w:rPr>
          <w:spacing w:val="12"/>
          <w:sz w:val="19"/>
          <w:szCs w:val="19"/>
        </w:rPr>
        <w:t>(4)监理机构因未检查出实施方案的不合理之处，也要根据监</w:t>
      </w:r>
      <w:r>
        <w:rPr>
          <w:spacing w:val="11"/>
          <w:sz w:val="19"/>
          <w:szCs w:val="19"/>
        </w:rPr>
        <w:t>理合同向业主单位承担责任。</w:t>
      </w:r>
    </w:p>
    <w:p w14:paraId="06A5C5C7">
      <w:pPr>
        <w:pStyle w:val="2"/>
        <w:spacing w:before="94" w:line="218" w:lineRule="auto"/>
        <w:ind w:left="769"/>
        <w:rPr>
          <w:sz w:val="19"/>
          <w:szCs w:val="19"/>
        </w:rPr>
      </w:pPr>
      <w:r>
        <w:rPr>
          <w:spacing w:val="11"/>
          <w:sz w:val="19"/>
          <w:szCs w:val="19"/>
        </w:rPr>
        <w:t>(5)监理机构应及时将检查结果报告给业主单位。</w:t>
      </w:r>
    </w:p>
    <w:p w14:paraId="1C8DCED0">
      <w:pPr>
        <w:pStyle w:val="2"/>
        <w:spacing w:before="164" w:line="222" w:lineRule="auto"/>
        <w:ind w:left="772"/>
        <w:rPr>
          <w:rFonts w:ascii="黑体" w:hAnsi="黑体" w:eastAsia="黑体" w:cs="黑体"/>
          <w:sz w:val="19"/>
          <w:szCs w:val="19"/>
        </w:rPr>
      </w:pPr>
      <w:r>
        <w:rPr>
          <w:b/>
          <w:bCs/>
          <w:color w:val="0085DE"/>
          <w:spacing w:val="7"/>
          <w:sz w:val="19"/>
          <w:szCs w:val="19"/>
        </w:rPr>
        <w:t>5.</w:t>
      </w:r>
      <w:r>
        <w:rPr>
          <w:rFonts w:ascii="黑体" w:hAnsi="黑体" w:eastAsia="黑体" w:cs="黑体"/>
          <w:b/>
          <w:bCs/>
          <w:color w:val="0085DE"/>
          <w:spacing w:val="7"/>
          <w:sz w:val="19"/>
          <w:szCs w:val="19"/>
        </w:rPr>
        <w:t>审核分包单位的工程实施资质</w:t>
      </w:r>
    </w:p>
    <w:p w14:paraId="1920EDD3">
      <w:pPr>
        <w:pStyle w:val="2"/>
        <w:spacing w:before="166" w:line="301" w:lineRule="auto"/>
        <w:ind w:left="379" w:right="82" w:firstLine="389"/>
        <w:jc w:val="both"/>
        <w:rPr>
          <w:sz w:val="19"/>
          <w:szCs w:val="19"/>
        </w:rPr>
      </w:pPr>
      <w:r>
        <w:rPr>
          <w:spacing w:val="18"/>
          <w:sz w:val="19"/>
          <w:szCs w:val="19"/>
        </w:rPr>
        <w:t>有分包单位时，应组织审核分包单位的工程实施资质。不具备工程实</w:t>
      </w:r>
      <w:r>
        <w:rPr>
          <w:spacing w:val="17"/>
          <w:sz w:val="19"/>
          <w:szCs w:val="19"/>
        </w:rPr>
        <w:t>施资质的分包单位</w:t>
      </w:r>
      <w:r>
        <w:rPr>
          <w:sz w:val="19"/>
          <w:szCs w:val="19"/>
        </w:rPr>
        <w:t xml:space="preserve"> </w:t>
      </w:r>
      <w:r>
        <w:rPr>
          <w:spacing w:val="13"/>
          <w:sz w:val="19"/>
          <w:szCs w:val="19"/>
        </w:rPr>
        <w:t>不得参与工程实施。监理机构在审查承建单位提交的分包单位资质</w:t>
      </w:r>
      <w:r>
        <w:rPr>
          <w:spacing w:val="12"/>
          <w:sz w:val="19"/>
          <w:szCs w:val="19"/>
        </w:rPr>
        <w:t>审查表时，应着重审查以下</w:t>
      </w:r>
      <w:r>
        <w:rPr>
          <w:sz w:val="19"/>
          <w:szCs w:val="19"/>
        </w:rPr>
        <w:t xml:space="preserve"> </w:t>
      </w:r>
      <w:r>
        <w:rPr>
          <w:spacing w:val="1"/>
          <w:sz w:val="19"/>
          <w:szCs w:val="19"/>
        </w:rPr>
        <w:t>几点：</w:t>
      </w:r>
    </w:p>
    <w:p w14:paraId="04FB3D95">
      <w:pPr>
        <w:pStyle w:val="2"/>
        <w:spacing w:before="30" w:line="219" w:lineRule="auto"/>
        <w:ind w:left="769"/>
        <w:rPr>
          <w:sz w:val="19"/>
          <w:szCs w:val="19"/>
        </w:rPr>
      </w:pPr>
      <w:r>
        <w:rPr>
          <w:spacing w:val="11"/>
          <w:sz w:val="19"/>
          <w:szCs w:val="19"/>
        </w:rPr>
        <w:t>(1)审查承建合同是否允许分包，分包的</w:t>
      </w:r>
      <w:r>
        <w:rPr>
          <w:spacing w:val="10"/>
          <w:sz w:val="19"/>
          <w:szCs w:val="19"/>
        </w:rPr>
        <w:t>范围和工程部位是否可以进行分包。</w:t>
      </w:r>
    </w:p>
    <w:p w14:paraId="6762B6E7">
      <w:pPr>
        <w:pStyle w:val="2"/>
        <w:spacing w:before="73" w:line="270" w:lineRule="auto"/>
        <w:ind w:left="379" w:right="106" w:firstLine="389"/>
        <w:rPr>
          <w:sz w:val="19"/>
          <w:szCs w:val="19"/>
        </w:rPr>
      </w:pPr>
      <w:r>
        <w:rPr>
          <w:spacing w:val="15"/>
          <w:sz w:val="19"/>
          <w:szCs w:val="19"/>
        </w:rPr>
        <w:t>(2)审查分包单位的资质材料是否包括营业执照</w:t>
      </w:r>
      <w:r>
        <w:rPr>
          <w:spacing w:val="14"/>
          <w:sz w:val="19"/>
          <w:szCs w:val="19"/>
        </w:rPr>
        <w:t>、企业资质等级证书、有关技术与管理人</w:t>
      </w:r>
      <w:r>
        <w:rPr>
          <w:sz w:val="19"/>
          <w:szCs w:val="19"/>
        </w:rPr>
        <w:t xml:space="preserve"> </w:t>
      </w:r>
      <w:r>
        <w:rPr>
          <w:spacing w:val="8"/>
          <w:sz w:val="19"/>
          <w:szCs w:val="19"/>
        </w:rPr>
        <w:t>员的资格证书等。其中，分包单位的名称应按企业法</w:t>
      </w:r>
      <w:r>
        <w:rPr>
          <w:spacing w:val="7"/>
          <w:sz w:val="19"/>
          <w:szCs w:val="19"/>
        </w:rPr>
        <w:t>人营业执照全称填写。</w:t>
      </w:r>
    </w:p>
    <w:p w14:paraId="3C2517C0">
      <w:pPr>
        <w:pStyle w:val="2"/>
        <w:spacing w:before="75" w:line="266" w:lineRule="auto"/>
        <w:ind w:left="379" w:right="93" w:firstLine="389"/>
        <w:rPr>
          <w:sz w:val="19"/>
          <w:szCs w:val="19"/>
        </w:rPr>
      </w:pPr>
      <w:r>
        <w:rPr>
          <w:spacing w:val="15"/>
          <w:sz w:val="19"/>
          <w:szCs w:val="19"/>
        </w:rPr>
        <w:t>(3)审查分包单位业绩，业绩是指分包单位近三年完成的与分包工程内容类似</w:t>
      </w:r>
      <w:r>
        <w:rPr>
          <w:spacing w:val="14"/>
          <w:sz w:val="19"/>
          <w:szCs w:val="19"/>
        </w:rPr>
        <w:t>的工程及质</w:t>
      </w:r>
      <w:r>
        <w:rPr>
          <w:sz w:val="19"/>
          <w:szCs w:val="19"/>
        </w:rPr>
        <w:t xml:space="preserve"> </w:t>
      </w:r>
      <w:r>
        <w:rPr>
          <w:spacing w:val="6"/>
          <w:sz w:val="19"/>
          <w:szCs w:val="19"/>
        </w:rPr>
        <w:t>量情况。</w:t>
      </w:r>
    </w:p>
    <w:p w14:paraId="7D08CBE1">
      <w:pPr>
        <w:pStyle w:val="2"/>
        <w:spacing w:before="94" w:line="220" w:lineRule="auto"/>
        <w:ind w:left="769"/>
        <w:rPr>
          <w:sz w:val="19"/>
          <w:szCs w:val="19"/>
        </w:rPr>
      </w:pPr>
      <w:r>
        <w:rPr>
          <w:spacing w:val="5"/>
          <w:sz w:val="19"/>
          <w:szCs w:val="19"/>
        </w:rPr>
        <w:t>分包单位资质审查流程如下：</w:t>
      </w:r>
    </w:p>
    <w:p w14:paraId="68E35DF7">
      <w:pPr>
        <w:pStyle w:val="2"/>
        <w:spacing w:before="72" w:line="270" w:lineRule="auto"/>
        <w:ind w:left="379" w:right="98" w:firstLine="389"/>
        <w:rPr>
          <w:sz w:val="19"/>
          <w:szCs w:val="19"/>
        </w:rPr>
      </w:pPr>
      <w:r>
        <w:rPr>
          <w:spacing w:val="15"/>
          <w:sz w:val="19"/>
          <w:szCs w:val="19"/>
        </w:rPr>
        <w:t>(1)监理机构根据本项目对分包单位的管理要求，对分包单位资质</w:t>
      </w:r>
      <w:r>
        <w:rPr>
          <w:spacing w:val="14"/>
          <w:sz w:val="19"/>
          <w:szCs w:val="19"/>
        </w:rPr>
        <w:t>材料和业绩材料进行审</w:t>
      </w:r>
      <w:r>
        <w:rPr>
          <w:sz w:val="19"/>
          <w:szCs w:val="19"/>
        </w:rPr>
        <w:t xml:space="preserve"> </w:t>
      </w:r>
      <w:r>
        <w:rPr>
          <w:spacing w:val="5"/>
          <w:sz w:val="19"/>
          <w:szCs w:val="19"/>
        </w:rPr>
        <w:t>查，提出审查意见。</w:t>
      </w:r>
    </w:p>
    <w:p w14:paraId="501FE7BA">
      <w:pPr>
        <w:pStyle w:val="2"/>
        <w:spacing w:before="95" w:line="219" w:lineRule="auto"/>
        <w:ind w:left="769"/>
        <w:rPr>
          <w:sz w:val="19"/>
          <w:szCs w:val="19"/>
        </w:rPr>
      </w:pPr>
      <w:r>
        <w:rPr>
          <w:spacing w:val="13"/>
          <w:sz w:val="19"/>
          <w:szCs w:val="19"/>
        </w:rPr>
        <w:t>(2)分包单位通过监理人员的审查后，交由总监理工程师</w:t>
      </w:r>
      <w:r>
        <w:rPr>
          <w:spacing w:val="12"/>
          <w:sz w:val="19"/>
          <w:szCs w:val="19"/>
        </w:rPr>
        <w:t>/代表进行审核。</w:t>
      </w:r>
    </w:p>
    <w:p w14:paraId="4765AC26">
      <w:pPr>
        <w:pStyle w:val="2"/>
        <w:spacing w:before="73" w:line="219" w:lineRule="auto"/>
        <w:ind w:left="769"/>
        <w:rPr>
          <w:sz w:val="19"/>
          <w:szCs w:val="19"/>
        </w:rPr>
      </w:pPr>
      <w:r>
        <w:rPr>
          <w:spacing w:val="12"/>
          <w:sz w:val="19"/>
          <w:szCs w:val="19"/>
        </w:rPr>
        <w:t>(3)总监理工程师/代表根据监理人员的审查意见，以及分包单位的材料出</w:t>
      </w:r>
      <w:r>
        <w:rPr>
          <w:spacing w:val="11"/>
          <w:sz w:val="19"/>
          <w:szCs w:val="19"/>
        </w:rPr>
        <w:t>具审核意见。</w:t>
      </w:r>
    </w:p>
    <w:p w14:paraId="7CA2DD7C">
      <w:pPr>
        <w:pStyle w:val="2"/>
        <w:spacing w:before="162" w:line="221" w:lineRule="auto"/>
        <w:ind w:left="772"/>
        <w:rPr>
          <w:rFonts w:ascii="黑体" w:hAnsi="黑体" w:eastAsia="黑体" w:cs="黑体"/>
          <w:sz w:val="19"/>
          <w:szCs w:val="19"/>
        </w:rPr>
      </w:pPr>
      <w:r>
        <w:rPr>
          <w:b/>
          <w:bCs/>
          <w:color w:val="0080CB"/>
          <w:spacing w:val="8"/>
          <w:sz w:val="19"/>
          <w:szCs w:val="19"/>
        </w:rPr>
        <w:t>6.</w:t>
      </w:r>
      <w:r>
        <w:rPr>
          <w:rFonts w:ascii="黑体" w:hAnsi="黑体" w:eastAsia="黑体" w:cs="黑体"/>
          <w:b/>
          <w:bCs/>
          <w:color w:val="0080CB"/>
          <w:spacing w:val="8"/>
          <w:sz w:val="19"/>
          <w:szCs w:val="19"/>
        </w:rPr>
        <w:t>实施阶段产品及服务的验收</w:t>
      </w:r>
    </w:p>
    <w:p w14:paraId="6C025089">
      <w:pPr>
        <w:pStyle w:val="2"/>
        <w:spacing w:before="165" w:line="219" w:lineRule="auto"/>
        <w:ind w:left="769"/>
        <w:rPr>
          <w:sz w:val="19"/>
          <w:szCs w:val="19"/>
        </w:rPr>
      </w:pPr>
      <w:r>
        <w:rPr>
          <w:spacing w:val="6"/>
          <w:sz w:val="19"/>
          <w:szCs w:val="19"/>
        </w:rPr>
        <w:t>实施阶段产品及服务的验收应注意以下几点：</w:t>
      </w:r>
    </w:p>
    <w:p w14:paraId="7872DB26">
      <w:pPr>
        <w:pStyle w:val="2"/>
        <w:spacing w:before="106" w:line="219" w:lineRule="auto"/>
        <w:ind w:left="769"/>
        <w:rPr>
          <w:sz w:val="19"/>
          <w:szCs w:val="19"/>
        </w:rPr>
      </w:pPr>
      <w:r>
        <w:rPr>
          <w:spacing w:val="11"/>
          <w:sz w:val="19"/>
          <w:szCs w:val="19"/>
        </w:rPr>
        <w:t>(1)产品和服务应与承建合同要求以及产品文档中的说明保持一致。</w:t>
      </w:r>
    </w:p>
    <w:p w14:paraId="6312D80E">
      <w:pPr>
        <w:pStyle w:val="2"/>
        <w:spacing w:before="75" w:line="219" w:lineRule="auto"/>
        <w:ind w:left="769"/>
        <w:rPr>
          <w:sz w:val="19"/>
          <w:szCs w:val="19"/>
        </w:rPr>
      </w:pPr>
      <w:r>
        <w:rPr>
          <w:spacing w:val="11"/>
          <w:sz w:val="19"/>
          <w:szCs w:val="19"/>
        </w:rPr>
        <w:t>(2)产品及服务的有效性和真实性。</w:t>
      </w:r>
    </w:p>
    <w:p w14:paraId="24E1B154">
      <w:pPr>
        <w:pStyle w:val="2"/>
        <w:spacing w:before="83" w:line="265" w:lineRule="auto"/>
        <w:ind w:left="379" w:right="93" w:firstLine="389"/>
        <w:rPr>
          <w:sz w:val="19"/>
          <w:szCs w:val="19"/>
        </w:rPr>
      </w:pPr>
      <w:r>
        <w:rPr>
          <w:spacing w:val="15"/>
          <w:sz w:val="19"/>
          <w:szCs w:val="19"/>
        </w:rPr>
        <w:t>(3)必要时，监理机构可依据承建合同、技术标准或事先约定的方法检测产品</w:t>
      </w:r>
      <w:r>
        <w:rPr>
          <w:spacing w:val="14"/>
          <w:sz w:val="19"/>
          <w:szCs w:val="19"/>
        </w:rPr>
        <w:t>及服务的质</w:t>
      </w:r>
      <w:r>
        <w:rPr>
          <w:sz w:val="19"/>
          <w:szCs w:val="19"/>
        </w:rPr>
        <w:t xml:space="preserve"> </w:t>
      </w:r>
      <w:r>
        <w:rPr>
          <w:spacing w:val="8"/>
          <w:sz w:val="19"/>
          <w:szCs w:val="19"/>
        </w:rPr>
        <w:t>量。对于数量较大的同类型产品及服务，监理机构可采取抽样方法。</w:t>
      </w:r>
    </w:p>
    <w:p w14:paraId="6ADCAEFA">
      <w:pPr>
        <w:pStyle w:val="2"/>
        <w:spacing w:before="84" w:line="260" w:lineRule="auto"/>
        <w:ind w:left="379" w:right="95" w:firstLine="389"/>
        <w:rPr>
          <w:sz w:val="19"/>
          <w:szCs w:val="19"/>
        </w:rPr>
      </w:pPr>
      <w:r>
        <w:rPr>
          <w:spacing w:val="15"/>
          <w:sz w:val="19"/>
          <w:szCs w:val="19"/>
        </w:rPr>
        <w:t>(4)必要时，监理机构应要求承建单位提交第三方测评机构出具的测评报</w:t>
      </w:r>
      <w:r>
        <w:rPr>
          <w:spacing w:val="14"/>
          <w:sz w:val="19"/>
          <w:szCs w:val="19"/>
        </w:rPr>
        <w:t>告，并核验产品</w:t>
      </w:r>
      <w:r>
        <w:rPr>
          <w:sz w:val="19"/>
          <w:szCs w:val="19"/>
        </w:rPr>
        <w:t xml:space="preserve"> </w:t>
      </w:r>
      <w:r>
        <w:rPr>
          <w:spacing w:val="8"/>
          <w:sz w:val="19"/>
          <w:szCs w:val="19"/>
        </w:rPr>
        <w:t>认证证书、检测报告的真实性、有效性；第三方测评机构应经业主单位和监理机构同意。</w:t>
      </w:r>
    </w:p>
    <w:p w14:paraId="287596E1">
      <w:pPr>
        <w:pStyle w:val="2"/>
        <w:spacing w:before="153" w:line="222" w:lineRule="auto"/>
        <w:ind w:left="772"/>
        <w:rPr>
          <w:rFonts w:ascii="黑体" w:hAnsi="黑体" w:eastAsia="黑体" w:cs="黑体"/>
          <w:sz w:val="19"/>
          <w:szCs w:val="19"/>
        </w:rPr>
      </w:pPr>
      <w:r>
        <w:rPr>
          <w:b/>
          <w:bCs/>
          <w:color w:val="007CD0"/>
          <w:spacing w:val="9"/>
          <w:sz w:val="19"/>
          <w:szCs w:val="19"/>
        </w:rPr>
        <w:t>7.</w:t>
      </w:r>
      <w:r>
        <w:rPr>
          <w:rFonts w:ascii="黑体" w:hAnsi="黑体" w:eastAsia="黑体" w:cs="黑体"/>
          <w:b/>
          <w:bCs/>
          <w:color w:val="007CD0"/>
          <w:spacing w:val="9"/>
          <w:sz w:val="19"/>
          <w:szCs w:val="19"/>
        </w:rPr>
        <w:t>硬件设备的验收</w:t>
      </w:r>
    </w:p>
    <w:p w14:paraId="3E65B8EC">
      <w:pPr>
        <w:pStyle w:val="2"/>
        <w:spacing w:before="155" w:line="288" w:lineRule="auto"/>
        <w:ind w:left="379" w:right="102" w:firstLine="389"/>
        <w:rPr>
          <w:sz w:val="19"/>
          <w:szCs w:val="19"/>
        </w:rPr>
      </w:pPr>
      <w:r>
        <w:rPr>
          <w:spacing w:val="13"/>
          <w:sz w:val="19"/>
          <w:szCs w:val="19"/>
        </w:rPr>
        <w:t>硬件设备的验收，应在三方完成设备开箱检查、设备</w:t>
      </w:r>
      <w:r>
        <w:rPr>
          <w:spacing w:val="12"/>
          <w:sz w:val="19"/>
          <w:szCs w:val="19"/>
        </w:rPr>
        <w:t>加电测试等工作后进行。可参考以下</w:t>
      </w:r>
      <w:r>
        <w:rPr>
          <w:sz w:val="19"/>
          <w:szCs w:val="19"/>
        </w:rPr>
        <w:t xml:space="preserve"> </w:t>
      </w:r>
      <w:r>
        <w:rPr>
          <w:spacing w:val="2"/>
          <w:sz w:val="19"/>
          <w:szCs w:val="19"/>
        </w:rPr>
        <w:t>设备验收流程：</w:t>
      </w:r>
    </w:p>
    <w:p w14:paraId="622FFF98">
      <w:pPr>
        <w:pStyle w:val="2"/>
        <w:spacing w:before="47" w:line="250" w:lineRule="auto"/>
        <w:ind w:left="379" w:right="66" w:firstLine="389"/>
        <w:rPr>
          <w:sz w:val="19"/>
          <w:szCs w:val="19"/>
        </w:rPr>
      </w:pPr>
      <w:r>
        <w:rPr>
          <w:spacing w:val="16"/>
          <w:sz w:val="19"/>
          <w:szCs w:val="19"/>
        </w:rPr>
        <w:t>(1)承建单位按照要求提供拟到货设备的清单、</w:t>
      </w:r>
      <w:r>
        <w:rPr>
          <w:spacing w:val="15"/>
          <w:sz w:val="19"/>
          <w:szCs w:val="19"/>
        </w:rPr>
        <w:t>序列号及相关质量证明文件后，提前三天</w:t>
      </w:r>
      <w:r>
        <w:rPr>
          <w:sz w:val="19"/>
          <w:szCs w:val="19"/>
        </w:rPr>
        <w:t xml:space="preserve"> </w:t>
      </w:r>
      <w:r>
        <w:rPr>
          <w:spacing w:val="7"/>
          <w:sz w:val="19"/>
          <w:szCs w:val="19"/>
        </w:rPr>
        <w:t>通知业主单位和监理机构具体的到货时间和地点。</w:t>
      </w:r>
    </w:p>
    <w:p w14:paraId="7E01BA40">
      <w:pPr>
        <w:pStyle w:val="2"/>
        <w:spacing w:before="95" w:line="255" w:lineRule="auto"/>
        <w:ind w:left="379" w:firstLine="389"/>
        <w:rPr>
          <w:sz w:val="19"/>
          <w:szCs w:val="19"/>
        </w:rPr>
      </w:pPr>
      <w:r>
        <w:rPr>
          <w:spacing w:val="16"/>
          <w:sz w:val="19"/>
          <w:szCs w:val="19"/>
        </w:rPr>
        <w:t>(2)业主单位、监理机构、承建单位安排人员对到货设备进</w:t>
      </w:r>
      <w:r>
        <w:rPr>
          <w:spacing w:val="15"/>
          <w:sz w:val="19"/>
          <w:szCs w:val="19"/>
        </w:rPr>
        <w:t>行现场开箱检查，主要检查到</w:t>
      </w:r>
      <w:r>
        <w:rPr>
          <w:sz w:val="19"/>
          <w:szCs w:val="19"/>
        </w:rPr>
        <w:t xml:space="preserve"> </w:t>
      </w:r>
      <w:r>
        <w:rPr>
          <w:spacing w:val="10"/>
          <w:sz w:val="19"/>
          <w:szCs w:val="19"/>
        </w:rPr>
        <w:t>货设备的外包装和外观是否有破损或缺陷，设备品牌和型号是否与投标文件及合</w:t>
      </w:r>
      <w:r>
        <w:rPr>
          <w:spacing w:val="9"/>
          <w:sz w:val="19"/>
          <w:szCs w:val="19"/>
        </w:rPr>
        <w:t>同要求的一致，</w:t>
      </w:r>
    </w:p>
    <w:p w14:paraId="1E4F2BB8">
      <w:pPr>
        <w:spacing w:line="255" w:lineRule="auto"/>
        <w:rPr>
          <w:sz w:val="19"/>
          <w:szCs w:val="19"/>
        </w:rPr>
        <w:sectPr>
          <w:pgSz w:w="10300" w:h="13390"/>
          <w:pgMar w:top="400" w:right="1005" w:bottom="400" w:left="520" w:header="0" w:footer="0" w:gutter="0"/>
          <w:cols w:space="720" w:num="1"/>
        </w:sectPr>
      </w:pPr>
    </w:p>
    <w:p w14:paraId="73D8F9AD">
      <w:pPr>
        <w:pStyle w:val="2"/>
        <w:spacing w:before="97" w:line="220" w:lineRule="auto"/>
        <w:jc w:val="right"/>
        <w:rPr>
          <w:rFonts w:ascii="Times New Roman" w:hAnsi="Times New Roman" w:eastAsia="Times New Roman" w:cs="Times New Roman"/>
          <w:sz w:val="20"/>
          <w:szCs w:val="20"/>
        </w:rPr>
      </w:pPr>
      <w:bookmarkStart w:id="712" w:name="bookmark697"/>
      <w:bookmarkEnd w:id="712"/>
      <w:r>
        <w:rPr>
          <w:spacing w:val="-5"/>
          <w:sz w:val="20"/>
          <w:szCs w:val="20"/>
        </w:rPr>
        <w:t xml:space="preserve">第20章 信息系统工程监理基础工作    </w:t>
      </w:r>
      <w:r>
        <w:rPr>
          <w:spacing w:val="-6"/>
          <w:sz w:val="20"/>
          <w:szCs w:val="20"/>
        </w:rPr>
        <w:t xml:space="preserve">  </w:t>
      </w:r>
      <w:r>
        <w:rPr>
          <w:rFonts w:ascii="Times New Roman" w:hAnsi="Times New Roman" w:eastAsia="Times New Roman" w:cs="Times New Roman"/>
          <w:spacing w:val="-6"/>
          <w:position w:val="-3"/>
          <w:sz w:val="20"/>
          <w:szCs w:val="20"/>
        </w:rPr>
        <w:t>461</w:t>
      </w:r>
    </w:p>
    <w:p w14:paraId="4AF93A56">
      <w:pPr>
        <w:spacing w:line="279" w:lineRule="auto"/>
        <w:rPr>
          <w:rFonts w:ascii="Arial"/>
          <w:sz w:val="21"/>
        </w:rPr>
      </w:pPr>
    </w:p>
    <w:p w14:paraId="3B80A06E">
      <w:pPr>
        <w:pStyle w:val="2"/>
        <w:spacing w:before="65" w:line="279" w:lineRule="auto"/>
        <w:ind w:right="256"/>
        <w:jc w:val="both"/>
        <w:rPr>
          <w:sz w:val="20"/>
          <w:szCs w:val="20"/>
        </w:rPr>
      </w:pPr>
      <w:r>
        <w:rPr>
          <w:spacing w:val="3"/>
          <w:sz w:val="20"/>
          <w:szCs w:val="20"/>
        </w:rPr>
        <w:t>设备的序列号是否与提供的序列号清单一致；若出现外包装、外观破损或缺失零部件的，应要</w:t>
      </w:r>
      <w:r>
        <w:rPr>
          <w:spacing w:val="5"/>
          <w:sz w:val="20"/>
          <w:szCs w:val="20"/>
        </w:rPr>
        <w:t xml:space="preserve"> </w:t>
      </w:r>
      <w:r>
        <w:rPr>
          <w:spacing w:val="4"/>
          <w:sz w:val="20"/>
          <w:szCs w:val="20"/>
        </w:rPr>
        <w:t>求承建单位更换破损的设备和补齐零部件；对于品牌和型号与投标文件及合同要求不一致的，</w:t>
      </w:r>
      <w:r>
        <w:rPr>
          <w:spacing w:val="5"/>
          <w:sz w:val="20"/>
          <w:szCs w:val="20"/>
        </w:rPr>
        <w:t xml:space="preserve"> </w:t>
      </w:r>
      <w:r>
        <w:rPr>
          <w:spacing w:val="3"/>
          <w:sz w:val="20"/>
          <w:szCs w:val="20"/>
        </w:rPr>
        <w:t>应要求承建单位严格按照投标文件及合同要求供货，若无法按投标文件及合同要求到货的，应</w:t>
      </w:r>
      <w:r>
        <w:rPr>
          <w:spacing w:val="4"/>
          <w:sz w:val="20"/>
          <w:szCs w:val="20"/>
        </w:rPr>
        <w:t xml:space="preserve"> </w:t>
      </w:r>
      <w:r>
        <w:rPr>
          <w:spacing w:val="-2"/>
          <w:sz w:val="20"/>
          <w:szCs w:val="20"/>
        </w:rPr>
        <w:t>及时报告业主单位、监理机构，协商处理。</w:t>
      </w:r>
    </w:p>
    <w:p w14:paraId="799A209F">
      <w:pPr>
        <w:pStyle w:val="2"/>
        <w:spacing w:before="52" w:line="270" w:lineRule="auto"/>
        <w:ind w:right="256" w:firstLine="399"/>
        <w:rPr>
          <w:sz w:val="20"/>
          <w:szCs w:val="20"/>
        </w:rPr>
      </w:pPr>
      <w:r>
        <w:rPr>
          <w:spacing w:val="2"/>
          <w:sz w:val="20"/>
          <w:szCs w:val="20"/>
        </w:rPr>
        <w:t>(3)设备经开箱检查合格后，应组织业主单位、监理机构、承</w:t>
      </w:r>
      <w:r>
        <w:rPr>
          <w:spacing w:val="1"/>
          <w:sz w:val="20"/>
          <w:szCs w:val="20"/>
        </w:rPr>
        <w:t>建单位对设备进行加电测试，</w:t>
      </w:r>
      <w:r>
        <w:rPr>
          <w:sz w:val="20"/>
          <w:szCs w:val="20"/>
        </w:rPr>
        <w:t xml:space="preserve"> </w:t>
      </w:r>
      <w:r>
        <w:rPr>
          <w:spacing w:val="3"/>
          <w:sz w:val="20"/>
          <w:szCs w:val="20"/>
        </w:rPr>
        <w:t>主要测试设备是否可以正常开机，运行的稳定性，配置参数是否与合同要求一致，加电后系统</w:t>
      </w:r>
      <w:r>
        <w:rPr>
          <w:spacing w:val="5"/>
          <w:sz w:val="20"/>
          <w:szCs w:val="20"/>
        </w:rPr>
        <w:t xml:space="preserve"> </w:t>
      </w:r>
      <w:r>
        <w:rPr>
          <w:spacing w:val="-2"/>
          <w:sz w:val="20"/>
          <w:szCs w:val="20"/>
        </w:rPr>
        <w:t>展示的品牌、型号是否与投标文件及合同要求一致等。</w:t>
      </w:r>
    </w:p>
    <w:p w14:paraId="2CD48C07">
      <w:pPr>
        <w:pStyle w:val="2"/>
        <w:spacing w:before="82" w:line="219" w:lineRule="auto"/>
        <w:ind w:left="399"/>
        <w:rPr>
          <w:sz w:val="20"/>
          <w:szCs w:val="20"/>
        </w:rPr>
      </w:pPr>
      <w:r>
        <w:rPr>
          <w:spacing w:val="1"/>
          <w:sz w:val="20"/>
          <w:szCs w:val="20"/>
        </w:rPr>
        <w:t>(4)设备经加电测试合格，并满足合同设备验收条款后，承建单位可以申请设备验收。</w:t>
      </w:r>
    </w:p>
    <w:p w14:paraId="778ECED3">
      <w:pPr>
        <w:pStyle w:val="2"/>
        <w:spacing w:before="168" w:line="222" w:lineRule="auto"/>
        <w:ind w:left="402"/>
        <w:rPr>
          <w:rFonts w:ascii="黑体" w:hAnsi="黑体" w:eastAsia="黑体" w:cs="黑体"/>
          <w:sz w:val="20"/>
          <w:szCs w:val="20"/>
        </w:rPr>
      </w:pPr>
      <w:r>
        <w:rPr>
          <w:b/>
          <w:bCs/>
          <w:color w:val="006CCC"/>
          <w:spacing w:val="-2"/>
          <w:sz w:val="20"/>
          <w:szCs w:val="20"/>
        </w:rPr>
        <w:t>8.</w:t>
      </w:r>
      <w:r>
        <w:rPr>
          <w:rFonts w:ascii="黑体" w:hAnsi="黑体" w:eastAsia="黑体" w:cs="黑体"/>
          <w:b/>
          <w:bCs/>
          <w:color w:val="006CCC"/>
          <w:spacing w:val="-2"/>
          <w:sz w:val="20"/>
          <w:szCs w:val="20"/>
        </w:rPr>
        <w:t>质量事故处理程序</w:t>
      </w:r>
    </w:p>
    <w:p w14:paraId="1A121731">
      <w:pPr>
        <w:pStyle w:val="2"/>
        <w:spacing w:before="144" w:line="220" w:lineRule="auto"/>
        <w:ind w:left="399"/>
        <w:rPr>
          <w:sz w:val="20"/>
          <w:szCs w:val="20"/>
        </w:rPr>
      </w:pPr>
      <w:r>
        <w:rPr>
          <w:spacing w:val="-4"/>
          <w:sz w:val="20"/>
          <w:szCs w:val="20"/>
        </w:rPr>
        <w:t>质量事故处理程序具体如下：</w:t>
      </w:r>
    </w:p>
    <w:p w14:paraId="226CBB2C">
      <w:pPr>
        <w:pStyle w:val="2"/>
        <w:spacing w:before="59" w:line="258" w:lineRule="auto"/>
        <w:ind w:right="256" w:firstLine="399"/>
        <w:rPr>
          <w:sz w:val="20"/>
          <w:szCs w:val="20"/>
        </w:rPr>
      </w:pPr>
      <w:r>
        <w:rPr>
          <w:spacing w:val="2"/>
          <w:sz w:val="20"/>
          <w:szCs w:val="20"/>
        </w:rPr>
        <w:t>(1)要求承建单位在事故发生后立即采取措施，尽可能控制其</w:t>
      </w:r>
      <w:r>
        <w:rPr>
          <w:spacing w:val="1"/>
          <w:sz w:val="20"/>
          <w:szCs w:val="20"/>
        </w:rPr>
        <w:t>影响范围，及时签发停工令，</w:t>
      </w:r>
      <w:r>
        <w:rPr>
          <w:sz w:val="20"/>
          <w:szCs w:val="20"/>
        </w:rPr>
        <w:t xml:space="preserve"> </w:t>
      </w:r>
      <w:r>
        <w:rPr>
          <w:spacing w:val="-5"/>
          <w:sz w:val="20"/>
          <w:szCs w:val="20"/>
        </w:rPr>
        <w:t>上报业主单位。</w:t>
      </w:r>
    </w:p>
    <w:p w14:paraId="5686FC15">
      <w:pPr>
        <w:pStyle w:val="2"/>
        <w:spacing w:before="91" w:line="249" w:lineRule="auto"/>
        <w:ind w:right="298" w:firstLine="399"/>
        <w:rPr>
          <w:sz w:val="20"/>
          <w:szCs w:val="20"/>
        </w:rPr>
      </w:pPr>
      <w:r>
        <w:rPr>
          <w:spacing w:val="6"/>
          <w:sz w:val="20"/>
          <w:szCs w:val="20"/>
        </w:rPr>
        <w:t>(2)在接到事故报告后立即组织相关人员调查事故状况、分</w:t>
      </w:r>
      <w:r>
        <w:rPr>
          <w:spacing w:val="5"/>
          <w:sz w:val="20"/>
          <w:szCs w:val="20"/>
        </w:rPr>
        <w:t>析原因，与业主单位、承建单</w:t>
      </w:r>
      <w:r>
        <w:rPr>
          <w:sz w:val="20"/>
          <w:szCs w:val="20"/>
        </w:rPr>
        <w:t xml:space="preserve"> </w:t>
      </w:r>
      <w:r>
        <w:rPr>
          <w:spacing w:val="-3"/>
          <w:sz w:val="20"/>
          <w:szCs w:val="20"/>
        </w:rPr>
        <w:t>位共同确定初步处理意见。</w:t>
      </w:r>
    </w:p>
    <w:p w14:paraId="64DED750">
      <w:pPr>
        <w:pStyle w:val="2"/>
        <w:spacing w:before="92" w:line="253" w:lineRule="auto"/>
        <w:ind w:right="298" w:firstLine="399"/>
        <w:rPr>
          <w:sz w:val="20"/>
          <w:szCs w:val="20"/>
        </w:rPr>
      </w:pPr>
      <w:r>
        <w:rPr>
          <w:spacing w:val="6"/>
          <w:sz w:val="20"/>
          <w:szCs w:val="20"/>
        </w:rPr>
        <w:t>(3)督促承建单位采取相应措施，查清事故原因，审核承建</w:t>
      </w:r>
      <w:r>
        <w:rPr>
          <w:spacing w:val="5"/>
          <w:sz w:val="20"/>
          <w:szCs w:val="20"/>
        </w:rPr>
        <w:t>单位提交的事故解决方案及预</w:t>
      </w:r>
      <w:r>
        <w:rPr>
          <w:sz w:val="20"/>
          <w:szCs w:val="20"/>
        </w:rPr>
        <w:t xml:space="preserve"> </w:t>
      </w:r>
      <w:r>
        <w:rPr>
          <w:spacing w:val="-2"/>
          <w:sz w:val="20"/>
          <w:szCs w:val="20"/>
        </w:rPr>
        <w:t>防、补救措施，提出监理意见，提交业主单位</w:t>
      </w:r>
      <w:r>
        <w:rPr>
          <w:spacing w:val="-3"/>
          <w:sz w:val="20"/>
          <w:szCs w:val="20"/>
        </w:rPr>
        <w:t>签认。</w:t>
      </w:r>
    </w:p>
    <w:p w14:paraId="4070097F">
      <w:pPr>
        <w:pStyle w:val="2"/>
        <w:spacing w:before="61" w:line="262" w:lineRule="auto"/>
        <w:ind w:right="296" w:firstLine="399"/>
        <w:rPr>
          <w:sz w:val="20"/>
          <w:szCs w:val="20"/>
        </w:rPr>
      </w:pPr>
      <w:r>
        <w:rPr>
          <w:spacing w:val="6"/>
          <w:sz w:val="20"/>
          <w:szCs w:val="20"/>
        </w:rPr>
        <w:t>(4)审查承建单位提交的事故报告及复工申请，条件具备时，总</w:t>
      </w:r>
      <w:r>
        <w:rPr>
          <w:spacing w:val="5"/>
          <w:sz w:val="20"/>
          <w:szCs w:val="20"/>
        </w:rPr>
        <w:t>监理工程师可以签发复工</w:t>
      </w:r>
      <w:r>
        <w:rPr>
          <w:sz w:val="20"/>
          <w:szCs w:val="20"/>
        </w:rPr>
        <w:t xml:space="preserve"> </w:t>
      </w:r>
      <w:r>
        <w:rPr>
          <w:spacing w:val="-5"/>
          <w:sz w:val="20"/>
          <w:szCs w:val="20"/>
        </w:rPr>
        <w:t>令，恢复施工。</w:t>
      </w:r>
    </w:p>
    <w:p w14:paraId="0C4A3A98">
      <w:pPr>
        <w:pStyle w:val="2"/>
        <w:spacing w:before="63" w:line="262" w:lineRule="auto"/>
        <w:ind w:right="298" w:firstLine="399"/>
        <w:rPr>
          <w:sz w:val="20"/>
          <w:szCs w:val="20"/>
        </w:rPr>
      </w:pPr>
      <w:r>
        <w:rPr>
          <w:spacing w:val="6"/>
          <w:sz w:val="20"/>
          <w:szCs w:val="20"/>
        </w:rPr>
        <w:t>(5)发现存在重大质量隐患时向承建单位签发停工令，并上</w:t>
      </w:r>
      <w:r>
        <w:rPr>
          <w:spacing w:val="5"/>
          <w:sz w:val="20"/>
          <w:szCs w:val="20"/>
        </w:rPr>
        <w:t>报业主单位。审核承建单位提</w:t>
      </w:r>
      <w:r>
        <w:rPr>
          <w:sz w:val="20"/>
          <w:szCs w:val="20"/>
        </w:rPr>
        <w:t xml:space="preserve"> </w:t>
      </w:r>
      <w:r>
        <w:rPr>
          <w:spacing w:val="-1"/>
          <w:sz w:val="20"/>
          <w:szCs w:val="20"/>
        </w:rPr>
        <w:t>交的整改方案并监督承建单位进行整改。整改完毕后，处理承建单位提交的复工</w:t>
      </w:r>
      <w:r>
        <w:rPr>
          <w:spacing w:val="-2"/>
          <w:sz w:val="20"/>
          <w:szCs w:val="20"/>
        </w:rPr>
        <w:t>申请。</w:t>
      </w:r>
    </w:p>
    <w:p w14:paraId="0E87A85A">
      <w:pPr>
        <w:pStyle w:val="2"/>
        <w:spacing w:before="149" w:line="222" w:lineRule="auto"/>
        <w:ind w:left="402"/>
        <w:rPr>
          <w:rFonts w:ascii="黑体" w:hAnsi="黑体" w:eastAsia="黑体" w:cs="黑体"/>
          <w:sz w:val="20"/>
          <w:szCs w:val="20"/>
        </w:rPr>
      </w:pPr>
      <w:r>
        <w:rPr>
          <w:b/>
          <w:bCs/>
          <w:color w:val="0075DD"/>
          <w:spacing w:val="-2"/>
          <w:sz w:val="20"/>
          <w:szCs w:val="20"/>
        </w:rPr>
        <w:t>9.</w:t>
      </w:r>
      <w:r>
        <w:rPr>
          <w:rFonts w:ascii="黑体" w:hAnsi="黑体" w:eastAsia="黑体" w:cs="黑体"/>
          <w:b/>
          <w:bCs/>
          <w:color w:val="0075DD"/>
          <w:spacing w:val="-2"/>
          <w:sz w:val="20"/>
          <w:szCs w:val="20"/>
        </w:rPr>
        <w:t>项目延期处理程序</w:t>
      </w:r>
    </w:p>
    <w:p w14:paraId="3E95D98E">
      <w:pPr>
        <w:pStyle w:val="2"/>
        <w:spacing w:before="134" w:line="220" w:lineRule="auto"/>
        <w:ind w:left="399"/>
        <w:rPr>
          <w:sz w:val="20"/>
          <w:szCs w:val="20"/>
        </w:rPr>
      </w:pPr>
      <w:r>
        <w:rPr>
          <w:spacing w:val="-3"/>
          <w:sz w:val="20"/>
          <w:szCs w:val="20"/>
        </w:rPr>
        <w:t>项目延期处理程序具体如下：</w:t>
      </w:r>
    </w:p>
    <w:p w14:paraId="286DCF8D">
      <w:pPr>
        <w:pStyle w:val="2"/>
        <w:spacing w:before="82" w:line="258" w:lineRule="auto"/>
        <w:ind w:right="288" w:firstLine="399"/>
        <w:rPr>
          <w:sz w:val="20"/>
          <w:szCs w:val="20"/>
        </w:rPr>
      </w:pPr>
      <w:r>
        <w:rPr>
          <w:spacing w:val="11"/>
          <w:sz w:val="20"/>
          <w:szCs w:val="20"/>
        </w:rPr>
        <w:t>(1)监理机构根据项目情况，分析延期原因、影响程度等，研究整改措施，确认其延期</w:t>
      </w:r>
      <w:r>
        <w:rPr>
          <w:spacing w:val="3"/>
          <w:sz w:val="20"/>
          <w:szCs w:val="20"/>
        </w:rPr>
        <w:t xml:space="preserve"> </w:t>
      </w:r>
      <w:r>
        <w:rPr>
          <w:spacing w:val="14"/>
          <w:sz w:val="20"/>
          <w:szCs w:val="20"/>
        </w:rPr>
        <w:t>申请的合理性，与业主单位、承建单位协商确认后，由总监理工程</w:t>
      </w:r>
      <w:r>
        <w:rPr>
          <w:spacing w:val="13"/>
          <w:sz w:val="20"/>
          <w:szCs w:val="20"/>
        </w:rPr>
        <w:t>师对项目延期申请予以</w:t>
      </w:r>
      <w:r>
        <w:rPr>
          <w:sz w:val="20"/>
          <w:szCs w:val="20"/>
        </w:rPr>
        <w:t xml:space="preserve"> 确认。</w:t>
      </w:r>
    </w:p>
    <w:p w14:paraId="07FB2CF9">
      <w:pPr>
        <w:pStyle w:val="2"/>
        <w:spacing w:before="80" w:line="253" w:lineRule="auto"/>
        <w:ind w:right="298" w:firstLine="399"/>
        <w:rPr>
          <w:sz w:val="20"/>
          <w:szCs w:val="20"/>
        </w:rPr>
      </w:pPr>
      <w:r>
        <w:rPr>
          <w:spacing w:val="6"/>
          <w:sz w:val="20"/>
          <w:szCs w:val="20"/>
        </w:rPr>
        <w:t>(2)项目延期影响项目总体进度计划时，要求承建单位修改</w:t>
      </w:r>
      <w:r>
        <w:rPr>
          <w:spacing w:val="5"/>
          <w:sz w:val="20"/>
          <w:szCs w:val="20"/>
        </w:rPr>
        <w:t>项目总体进度计划，经三方签</w:t>
      </w:r>
      <w:r>
        <w:rPr>
          <w:sz w:val="20"/>
          <w:szCs w:val="20"/>
        </w:rPr>
        <w:t xml:space="preserve"> </w:t>
      </w:r>
      <w:r>
        <w:rPr>
          <w:spacing w:val="-4"/>
          <w:sz w:val="20"/>
          <w:szCs w:val="20"/>
        </w:rPr>
        <w:t>认后，做工程备忘录。</w:t>
      </w:r>
    </w:p>
    <w:p w14:paraId="51D11F6E">
      <w:pPr>
        <w:pStyle w:val="2"/>
        <w:spacing w:before="61" w:line="219" w:lineRule="auto"/>
        <w:ind w:left="399"/>
        <w:rPr>
          <w:sz w:val="20"/>
          <w:szCs w:val="20"/>
        </w:rPr>
      </w:pPr>
      <w:r>
        <w:rPr>
          <w:spacing w:val="2"/>
          <w:sz w:val="20"/>
          <w:szCs w:val="20"/>
        </w:rPr>
        <w:t>(3)组织审查进度纠偏措施的合理性、可行性，监理机构可出具监理意见并跟踪整改。</w:t>
      </w:r>
    </w:p>
    <w:p w14:paraId="03CF01AF">
      <w:pPr>
        <w:pStyle w:val="2"/>
        <w:spacing w:before="53" w:line="258" w:lineRule="auto"/>
        <w:ind w:right="236" w:firstLine="399"/>
        <w:rPr>
          <w:sz w:val="20"/>
          <w:szCs w:val="20"/>
        </w:rPr>
      </w:pPr>
      <w:r>
        <w:rPr>
          <w:spacing w:val="2"/>
          <w:sz w:val="20"/>
          <w:szCs w:val="20"/>
        </w:rPr>
        <w:t>(4)当发生由于延期造成的索赔时，总监理工程师应综合考虑项目延期和费用索赔的关系，</w:t>
      </w:r>
      <w:r>
        <w:rPr>
          <w:spacing w:val="6"/>
          <w:sz w:val="20"/>
          <w:szCs w:val="20"/>
        </w:rPr>
        <w:t xml:space="preserve"> </w:t>
      </w:r>
      <w:r>
        <w:rPr>
          <w:spacing w:val="-3"/>
          <w:sz w:val="20"/>
          <w:szCs w:val="20"/>
        </w:rPr>
        <w:t>做出费用索赔和项目延期的建议。</w:t>
      </w:r>
    </w:p>
    <w:p w14:paraId="02E18520">
      <w:pPr>
        <w:pStyle w:val="2"/>
        <w:spacing w:before="158" w:line="222" w:lineRule="auto"/>
        <w:ind w:left="402"/>
        <w:rPr>
          <w:rFonts w:ascii="黑体" w:hAnsi="黑体" w:eastAsia="黑体" w:cs="黑体"/>
          <w:sz w:val="20"/>
          <w:szCs w:val="20"/>
        </w:rPr>
      </w:pPr>
      <w:r>
        <w:rPr>
          <w:b/>
          <w:bCs/>
          <w:color w:val="0072D7"/>
          <w:spacing w:val="-5"/>
          <w:sz w:val="20"/>
          <w:szCs w:val="20"/>
        </w:rPr>
        <w:t>10.</w:t>
      </w:r>
      <w:r>
        <w:rPr>
          <w:rFonts w:ascii="黑体" w:hAnsi="黑体" w:eastAsia="黑体" w:cs="黑体"/>
          <w:b/>
          <w:bCs/>
          <w:color w:val="0072D7"/>
          <w:spacing w:val="-5"/>
          <w:sz w:val="20"/>
          <w:szCs w:val="20"/>
        </w:rPr>
        <w:t>索赔处理程序</w:t>
      </w:r>
    </w:p>
    <w:p w14:paraId="27AF3620">
      <w:pPr>
        <w:pStyle w:val="2"/>
        <w:spacing w:before="134" w:line="219" w:lineRule="auto"/>
        <w:ind w:left="399"/>
        <w:rPr>
          <w:sz w:val="20"/>
          <w:szCs w:val="20"/>
        </w:rPr>
      </w:pPr>
      <w:r>
        <w:rPr>
          <w:spacing w:val="-5"/>
          <w:sz w:val="20"/>
          <w:szCs w:val="20"/>
        </w:rPr>
        <w:t>索赔处理程序具体如下：</w:t>
      </w:r>
    </w:p>
    <w:p w14:paraId="4D84A5D7">
      <w:pPr>
        <w:pStyle w:val="2"/>
        <w:spacing w:before="71" w:line="219" w:lineRule="auto"/>
        <w:ind w:left="399"/>
        <w:rPr>
          <w:sz w:val="20"/>
          <w:szCs w:val="20"/>
        </w:rPr>
      </w:pPr>
      <w:r>
        <w:rPr>
          <w:spacing w:val="2"/>
          <w:sz w:val="20"/>
          <w:szCs w:val="20"/>
        </w:rPr>
        <w:t>(1)申请方应在合同规定的期限内向监理机构提交索赔申请。</w:t>
      </w:r>
    </w:p>
    <w:p w14:paraId="24A6155F">
      <w:pPr>
        <w:pStyle w:val="2"/>
        <w:spacing w:before="74" w:line="219" w:lineRule="auto"/>
        <w:ind w:left="399"/>
        <w:rPr>
          <w:sz w:val="20"/>
          <w:szCs w:val="20"/>
        </w:rPr>
      </w:pPr>
      <w:r>
        <w:rPr>
          <w:spacing w:val="2"/>
          <w:sz w:val="20"/>
          <w:szCs w:val="20"/>
        </w:rPr>
        <w:t>(2)总监理工程师指定监理人员收集与索赔有关的资料。</w:t>
      </w:r>
    </w:p>
    <w:p w14:paraId="2CCBA3E6">
      <w:pPr>
        <w:pStyle w:val="2"/>
        <w:spacing w:before="73" w:line="219" w:lineRule="auto"/>
        <w:ind w:left="399"/>
        <w:rPr>
          <w:sz w:val="20"/>
          <w:szCs w:val="20"/>
        </w:rPr>
      </w:pPr>
      <w:r>
        <w:rPr>
          <w:spacing w:val="2"/>
          <w:sz w:val="20"/>
          <w:szCs w:val="20"/>
        </w:rPr>
        <w:t>(3)总监理工程师进行索赔审查，与承建单位和业主单位协商索赔费用。</w:t>
      </w:r>
    </w:p>
    <w:p w14:paraId="12DBE22B">
      <w:pPr>
        <w:spacing w:line="219" w:lineRule="auto"/>
        <w:rPr>
          <w:sz w:val="20"/>
          <w:szCs w:val="20"/>
        </w:rPr>
        <w:sectPr>
          <w:pgSz w:w="10290" w:h="13320"/>
          <w:pgMar w:top="400" w:right="523" w:bottom="400" w:left="1140" w:header="0" w:footer="0" w:gutter="0"/>
          <w:cols w:space="720" w:num="1"/>
        </w:sectPr>
      </w:pPr>
    </w:p>
    <w:p w14:paraId="67FF5190">
      <w:pPr>
        <w:pStyle w:val="2"/>
        <w:spacing w:before="88" w:line="219" w:lineRule="auto"/>
        <w:rPr>
          <w:sz w:val="20"/>
          <w:szCs w:val="20"/>
        </w:rPr>
      </w:pPr>
      <w:r>
        <w:rPr>
          <w:rFonts w:ascii="Times New Roman" w:hAnsi="Times New Roman" w:eastAsia="Times New Roman" w:cs="Times New Roman"/>
          <w:spacing w:val="-1"/>
          <w:position w:val="1"/>
          <w:sz w:val="17"/>
          <w:szCs w:val="17"/>
        </w:rPr>
        <w:t xml:space="preserve">462                 </w:t>
      </w:r>
      <w:r>
        <w:rPr>
          <w:spacing w:val="-1"/>
          <w:sz w:val="20"/>
          <w:szCs w:val="20"/>
        </w:rPr>
        <w:t>信息系统</w:t>
      </w:r>
      <w:r>
        <w:rPr>
          <w:spacing w:val="-2"/>
          <w:sz w:val="20"/>
          <w:szCs w:val="20"/>
        </w:rPr>
        <w:t>监理师教程(第2版)</w:t>
      </w:r>
    </w:p>
    <w:p w14:paraId="7CB5B0BF">
      <w:pPr>
        <w:spacing w:line="294" w:lineRule="auto"/>
        <w:rPr>
          <w:rFonts w:ascii="Arial"/>
          <w:sz w:val="21"/>
        </w:rPr>
      </w:pPr>
    </w:p>
    <w:p w14:paraId="62D69065">
      <w:pPr>
        <w:pStyle w:val="2"/>
        <w:spacing w:before="65" w:line="267" w:lineRule="auto"/>
        <w:ind w:left="359" w:right="30" w:firstLine="400"/>
        <w:rPr>
          <w:sz w:val="20"/>
          <w:szCs w:val="20"/>
        </w:rPr>
      </w:pPr>
      <w:r>
        <w:rPr>
          <w:spacing w:val="6"/>
          <w:sz w:val="20"/>
          <w:szCs w:val="20"/>
        </w:rPr>
        <w:t>(4)总监理工程师应在承建合同规定的期限内签发索赔审批意见，或在</w:t>
      </w:r>
      <w:r>
        <w:rPr>
          <w:spacing w:val="5"/>
          <w:sz w:val="20"/>
          <w:szCs w:val="20"/>
        </w:rPr>
        <w:t>承建合同规定的期</w:t>
      </w:r>
      <w:r>
        <w:rPr>
          <w:sz w:val="20"/>
          <w:szCs w:val="20"/>
        </w:rPr>
        <w:t xml:space="preserve"> </w:t>
      </w:r>
      <w:r>
        <w:rPr>
          <w:spacing w:val="-3"/>
          <w:sz w:val="20"/>
          <w:szCs w:val="20"/>
        </w:rPr>
        <w:t>限内发出要求申请方提交详细资料的监理意见。</w:t>
      </w:r>
    </w:p>
    <w:p w14:paraId="1A040940">
      <w:pPr>
        <w:pStyle w:val="2"/>
        <w:spacing w:before="81" w:line="253" w:lineRule="auto"/>
        <w:ind w:left="359" w:right="27" w:firstLine="400"/>
        <w:rPr>
          <w:sz w:val="20"/>
          <w:szCs w:val="20"/>
        </w:rPr>
      </w:pPr>
      <w:r>
        <w:rPr>
          <w:spacing w:val="6"/>
          <w:sz w:val="20"/>
          <w:szCs w:val="20"/>
        </w:rPr>
        <w:t>(5)当申请方的索赔要求与项目延期要求相关联时，总监理工程师应综合考虑</w:t>
      </w:r>
      <w:r>
        <w:rPr>
          <w:spacing w:val="5"/>
          <w:sz w:val="20"/>
          <w:szCs w:val="20"/>
        </w:rPr>
        <w:t>费用索赔和</w:t>
      </w:r>
      <w:r>
        <w:rPr>
          <w:sz w:val="20"/>
          <w:szCs w:val="20"/>
        </w:rPr>
        <w:t xml:space="preserve"> </w:t>
      </w:r>
      <w:r>
        <w:rPr>
          <w:spacing w:val="-2"/>
          <w:sz w:val="20"/>
          <w:szCs w:val="20"/>
        </w:rPr>
        <w:t>项目延期的关系，提出费用索赔和项目延期的建议。</w:t>
      </w:r>
    </w:p>
    <w:p w14:paraId="5E2519EB">
      <w:pPr>
        <w:pStyle w:val="2"/>
        <w:spacing w:before="280" w:line="220" w:lineRule="auto"/>
        <w:ind w:left="362"/>
        <w:rPr>
          <w:sz w:val="20"/>
          <w:szCs w:val="20"/>
        </w:rPr>
      </w:pPr>
      <w:r>
        <w:rPr>
          <w:b/>
          <w:bCs/>
          <w:color w:val="0071E3"/>
          <w:spacing w:val="-6"/>
          <w:sz w:val="20"/>
          <w:szCs w:val="20"/>
        </w:rPr>
        <w:t>20.4.4</w:t>
      </w:r>
      <w:r>
        <w:rPr>
          <w:color w:val="0071E3"/>
          <w:spacing w:val="15"/>
          <w:sz w:val="20"/>
          <w:szCs w:val="20"/>
        </w:rPr>
        <w:t xml:space="preserve">  </w:t>
      </w:r>
      <w:r>
        <w:rPr>
          <w:b/>
          <w:bCs/>
          <w:color w:val="0071E3"/>
          <w:spacing w:val="-6"/>
          <w:sz w:val="20"/>
          <w:szCs w:val="20"/>
        </w:rPr>
        <w:t>监</w:t>
      </w:r>
      <w:r>
        <w:rPr>
          <w:color w:val="0071E3"/>
          <w:spacing w:val="-33"/>
          <w:sz w:val="20"/>
          <w:szCs w:val="20"/>
        </w:rPr>
        <w:t xml:space="preserve"> </w:t>
      </w:r>
      <w:r>
        <w:rPr>
          <w:b/>
          <w:bCs/>
          <w:color w:val="0071E3"/>
          <w:spacing w:val="-6"/>
          <w:sz w:val="20"/>
          <w:szCs w:val="20"/>
        </w:rPr>
        <w:t>理</w:t>
      </w:r>
      <w:r>
        <w:rPr>
          <w:color w:val="0071E3"/>
          <w:spacing w:val="-35"/>
          <w:sz w:val="20"/>
          <w:szCs w:val="20"/>
        </w:rPr>
        <w:t xml:space="preserve"> </w:t>
      </w:r>
      <w:r>
        <w:rPr>
          <w:b/>
          <w:bCs/>
          <w:color w:val="0071E3"/>
          <w:spacing w:val="-6"/>
          <w:sz w:val="20"/>
          <w:szCs w:val="20"/>
        </w:rPr>
        <w:t>流</w:t>
      </w:r>
      <w:r>
        <w:rPr>
          <w:color w:val="0071E3"/>
          <w:spacing w:val="-36"/>
          <w:sz w:val="20"/>
          <w:szCs w:val="20"/>
        </w:rPr>
        <w:t xml:space="preserve"> </w:t>
      </w:r>
      <w:r>
        <w:rPr>
          <w:b/>
          <w:bCs/>
          <w:color w:val="0071E3"/>
          <w:spacing w:val="-6"/>
          <w:sz w:val="20"/>
          <w:szCs w:val="20"/>
        </w:rPr>
        <w:t>程</w:t>
      </w:r>
    </w:p>
    <w:p w14:paraId="4B87E532">
      <w:pPr>
        <w:pStyle w:val="2"/>
        <w:spacing w:before="279" w:line="221" w:lineRule="auto"/>
        <w:ind w:left="762"/>
        <w:rPr>
          <w:rFonts w:ascii="黑体" w:hAnsi="黑体" w:eastAsia="黑体" w:cs="黑体"/>
          <w:sz w:val="20"/>
          <w:szCs w:val="20"/>
        </w:rPr>
      </w:pPr>
      <w:r>
        <w:rPr>
          <w:b/>
          <w:bCs/>
          <w:color w:val="0062C5"/>
          <w:spacing w:val="-3"/>
          <w:sz w:val="20"/>
          <w:szCs w:val="20"/>
        </w:rPr>
        <w:t>1.</w:t>
      </w:r>
      <w:r>
        <w:rPr>
          <w:rFonts w:ascii="黑体" w:hAnsi="黑体" w:eastAsia="黑体" w:cs="黑体"/>
          <w:b/>
          <w:bCs/>
          <w:color w:val="0062C5"/>
          <w:spacing w:val="-3"/>
          <w:sz w:val="20"/>
          <w:szCs w:val="20"/>
        </w:rPr>
        <w:t>实施阶段监理工作流程</w:t>
      </w:r>
    </w:p>
    <w:p w14:paraId="17DA81DE">
      <w:pPr>
        <w:pStyle w:val="2"/>
        <w:spacing w:before="144" w:line="292" w:lineRule="auto"/>
        <w:ind w:left="359" w:right="31" w:firstLine="400"/>
        <w:rPr>
          <w:sz w:val="20"/>
          <w:szCs w:val="20"/>
        </w:rPr>
      </w:pPr>
      <w:r>
        <w:rPr>
          <w:spacing w:val="3"/>
          <w:sz w:val="20"/>
          <w:szCs w:val="20"/>
        </w:rPr>
        <w:t>监理机构在实施阶段的主要任务是受理项目实施申请，并对项目实施过程进行监理，对于</w:t>
      </w:r>
      <w:r>
        <w:rPr>
          <w:spacing w:val="13"/>
          <w:sz w:val="20"/>
          <w:szCs w:val="20"/>
        </w:rPr>
        <w:t xml:space="preserve"> </w:t>
      </w:r>
      <w:r>
        <w:rPr>
          <w:spacing w:val="-2"/>
          <w:sz w:val="20"/>
          <w:szCs w:val="20"/>
        </w:rPr>
        <w:t>其中发现的项目问题及时出具监理意见并跟踪整改。具体的处理流程如下：</w:t>
      </w:r>
    </w:p>
    <w:p w14:paraId="7F98B5C3">
      <w:pPr>
        <w:pStyle w:val="2"/>
        <w:spacing w:before="8" w:line="275" w:lineRule="auto"/>
        <w:ind w:left="359" w:right="25" w:firstLine="400"/>
        <w:rPr>
          <w:sz w:val="20"/>
          <w:szCs w:val="20"/>
        </w:rPr>
      </w:pPr>
      <w:r>
        <w:rPr>
          <w:spacing w:val="6"/>
          <w:sz w:val="20"/>
          <w:szCs w:val="20"/>
        </w:rPr>
        <w:t>(1)承建单位做好项目实施前的各项准备工作后，向监理</w:t>
      </w:r>
      <w:r>
        <w:rPr>
          <w:spacing w:val="5"/>
          <w:sz w:val="20"/>
          <w:szCs w:val="20"/>
        </w:rPr>
        <w:t>机构提出项目实施申请。监理机</w:t>
      </w:r>
      <w:r>
        <w:rPr>
          <w:sz w:val="20"/>
          <w:szCs w:val="20"/>
        </w:rPr>
        <w:t xml:space="preserve"> </w:t>
      </w:r>
      <w:r>
        <w:rPr>
          <w:spacing w:val="1"/>
          <w:sz w:val="20"/>
          <w:szCs w:val="20"/>
        </w:rPr>
        <w:t>构收到项目实施申请后，及时检查和落实各项准备工作的完成情况。 一般情</w:t>
      </w:r>
      <w:r>
        <w:rPr>
          <w:sz w:val="20"/>
          <w:szCs w:val="20"/>
        </w:rPr>
        <w:t xml:space="preserve">况下，准许开工的 </w:t>
      </w:r>
      <w:r>
        <w:rPr>
          <w:spacing w:val="3"/>
          <w:sz w:val="20"/>
          <w:szCs w:val="20"/>
        </w:rPr>
        <w:t>条件至少应包括：完成了项目实施质量管理计划、系统设计方案和项目实施方案；合格的项目</w:t>
      </w:r>
      <w:r>
        <w:rPr>
          <w:spacing w:val="14"/>
          <w:sz w:val="20"/>
          <w:szCs w:val="20"/>
        </w:rPr>
        <w:t xml:space="preserve"> </w:t>
      </w:r>
      <w:r>
        <w:rPr>
          <w:spacing w:val="5"/>
          <w:sz w:val="20"/>
          <w:szCs w:val="20"/>
        </w:rPr>
        <w:t>实施人员已经到位(以上内容监理机构已通过审核并进行了签认);项目实施所需的软硬件设施</w:t>
      </w:r>
      <w:r>
        <w:rPr>
          <w:spacing w:val="18"/>
          <w:sz w:val="20"/>
          <w:szCs w:val="20"/>
        </w:rPr>
        <w:t xml:space="preserve"> </w:t>
      </w:r>
      <w:r>
        <w:rPr>
          <w:spacing w:val="3"/>
          <w:sz w:val="20"/>
          <w:szCs w:val="20"/>
        </w:rPr>
        <w:t>具备。条件具备时，监理机构应及时签发开工令；监理机构如认为不具备开工条件，应出具监</w:t>
      </w:r>
      <w:r>
        <w:rPr>
          <w:spacing w:val="5"/>
          <w:sz w:val="20"/>
          <w:szCs w:val="20"/>
        </w:rPr>
        <w:t xml:space="preserve"> </w:t>
      </w:r>
      <w:r>
        <w:rPr>
          <w:spacing w:val="-4"/>
          <w:sz w:val="20"/>
          <w:szCs w:val="20"/>
        </w:rPr>
        <w:t>理意见并跟踪整改。</w:t>
      </w:r>
    </w:p>
    <w:p w14:paraId="1974A26D">
      <w:pPr>
        <w:pStyle w:val="2"/>
        <w:spacing w:before="93" w:line="270" w:lineRule="auto"/>
        <w:ind w:left="359" w:right="33" w:firstLine="400"/>
        <w:rPr>
          <w:sz w:val="20"/>
          <w:szCs w:val="20"/>
        </w:rPr>
      </w:pPr>
      <w:r>
        <w:rPr>
          <w:spacing w:val="6"/>
          <w:sz w:val="20"/>
          <w:szCs w:val="20"/>
        </w:rPr>
        <w:t>(2)项目实施启动后，监理机构依据签认的项目质量管理计</w:t>
      </w:r>
      <w:r>
        <w:rPr>
          <w:spacing w:val="5"/>
          <w:sz w:val="20"/>
          <w:szCs w:val="20"/>
        </w:rPr>
        <w:t>划、实施方案、实施计划和监</w:t>
      </w:r>
      <w:r>
        <w:rPr>
          <w:sz w:val="20"/>
          <w:szCs w:val="20"/>
        </w:rPr>
        <w:t xml:space="preserve"> </w:t>
      </w:r>
      <w:r>
        <w:rPr>
          <w:spacing w:val="3"/>
          <w:sz w:val="20"/>
          <w:szCs w:val="20"/>
        </w:rPr>
        <w:t>理实施细则的要求对现场实施监理。对于监理实施过程中发现的问题及时出具监理意见并跟踪</w:t>
      </w:r>
      <w:r>
        <w:rPr>
          <w:spacing w:val="6"/>
          <w:sz w:val="20"/>
          <w:szCs w:val="20"/>
        </w:rPr>
        <w:t xml:space="preserve"> </w:t>
      </w:r>
      <w:r>
        <w:rPr>
          <w:spacing w:val="-2"/>
          <w:sz w:val="20"/>
          <w:szCs w:val="20"/>
        </w:rPr>
        <w:t>整改。项目实施过程的阶段性成果应进行三方签认。</w:t>
      </w:r>
    </w:p>
    <w:p w14:paraId="5F528ABA">
      <w:pPr>
        <w:pStyle w:val="2"/>
        <w:spacing w:before="71" w:line="279" w:lineRule="auto"/>
        <w:ind w:left="359" w:right="37" w:firstLine="400"/>
        <w:rPr>
          <w:sz w:val="17"/>
          <w:szCs w:val="17"/>
        </w:rPr>
      </w:pPr>
      <w:r>
        <w:rPr>
          <w:spacing w:val="16"/>
          <w:sz w:val="20"/>
          <w:szCs w:val="20"/>
        </w:rPr>
        <w:t>(3)项目实施过程结束后，承建单位及时提交项目实施报告，监理机构及时提交监理</w:t>
      </w:r>
      <w:r>
        <w:rPr>
          <w:spacing w:val="17"/>
          <w:sz w:val="20"/>
          <w:szCs w:val="20"/>
        </w:rPr>
        <w:t xml:space="preserve"> </w:t>
      </w:r>
      <w:r>
        <w:rPr>
          <w:spacing w:val="-6"/>
          <w:sz w:val="17"/>
          <w:szCs w:val="17"/>
        </w:rPr>
        <w:t>报</w:t>
      </w:r>
      <w:r>
        <w:rPr>
          <w:spacing w:val="-26"/>
          <w:sz w:val="17"/>
          <w:szCs w:val="17"/>
        </w:rPr>
        <w:t xml:space="preserve"> </w:t>
      </w:r>
      <w:r>
        <w:rPr>
          <w:spacing w:val="-6"/>
          <w:sz w:val="17"/>
          <w:szCs w:val="17"/>
        </w:rPr>
        <w:t>告</w:t>
      </w:r>
      <w:r>
        <w:rPr>
          <w:spacing w:val="-38"/>
          <w:sz w:val="17"/>
          <w:szCs w:val="17"/>
        </w:rPr>
        <w:t xml:space="preserve"> </w:t>
      </w:r>
      <w:r>
        <w:rPr>
          <w:spacing w:val="-6"/>
          <w:sz w:val="17"/>
          <w:szCs w:val="17"/>
        </w:rPr>
        <w:t>。</w:t>
      </w:r>
    </w:p>
    <w:p w14:paraId="7823A978">
      <w:pPr>
        <w:pStyle w:val="2"/>
        <w:spacing w:before="168" w:line="221" w:lineRule="auto"/>
        <w:ind w:left="762"/>
        <w:rPr>
          <w:rFonts w:ascii="黑体" w:hAnsi="黑体" w:eastAsia="黑体" w:cs="黑体"/>
          <w:sz w:val="20"/>
          <w:szCs w:val="20"/>
        </w:rPr>
      </w:pPr>
      <w:r>
        <w:rPr>
          <w:b/>
          <w:bCs/>
          <w:color w:val="006AD5"/>
          <w:spacing w:val="-3"/>
          <w:sz w:val="20"/>
          <w:szCs w:val="20"/>
        </w:rPr>
        <w:t>2.</w:t>
      </w:r>
      <w:r>
        <w:rPr>
          <w:rFonts w:ascii="黑体" w:hAnsi="黑体" w:eastAsia="黑体" w:cs="黑体"/>
          <w:b/>
          <w:bCs/>
          <w:color w:val="006AD5"/>
          <w:spacing w:val="-3"/>
          <w:sz w:val="20"/>
          <w:szCs w:val="20"/>
        </w:rPr>
        <w:t>合同管理监理工作流程</w:t>
      </w:r>
    </w:p>
    <w:p w14:paraId="4396757B">
      <w:pPr>
        <w:pStyle w:val="2"/>
        <w:spacing w:before="154" w:line="264" w:lineRule="auto"/>
        <w:ind w:left="359" w:right="20" w:firstLine="400"/>
        <w:rPr>
          <w:sz w:val="20"/>
          <w:szCs w:val="20"/>
        </w:rPr>
      </w:pPr>
      <w:r>
        <w:rPr>
          <w:spacing w:val="4"/>
          <w:sz w:val="20"/>
          <w:szCs w:val="20"/>
        </w:rPr>
        <w:t>合同管理过程的处理流程主要受理项目实施过程中出现的</w:t>
      </w:r>
      <w:r>
        <w:rPr>
          <w:spacing w:val="3"/>
          <w:sz w:val="20"/>
          <w:szCs w:val="20"/>
        </w:rPr>
        <w:t>各种合同管理问题，例如延期问</w:t>
      </w:r>
      <w:r>
        <w:rPr>
          <w:sz w:val="20"/>
          <w:szCs w:val="20"/>
        </w:rPr>
        <w:t xml:space="preserve"> </w:t>
      </w:r>
      <w:r>
        <w:rPr>
          <w:spacing w:val="-3"/>
          <w:sz w:val="20"/>
          <w:szCs w:val="20"/>
        </w:rPr>
        <w:t>题、变更问题和索赔问题等。具体的处理流程如下：</w:t>
      </w:r>
    </w:p>
    <w:p w14:paraId="637600A4">
      <w:pPr>
        <w:pStyle w:val="2"/>
        <w:spacing w:before="38" w:line="264" w:lineRule="auto"/>
        <w:ind w:left="359" w:firstLine="400"/>
        <w:rPr>
          <w:sz w:val="20"/>
          <w:szCs w:val="20"/>
        </w:rPr>
      </w:pPr>
      <w:r>
        <w:rPr>
          <w:spacing w:val="12"/>
          <w:sz w:val="20"/>
          <w:szCs w:val="20"/>
        </w:rPr>
        <w:t>(1)业主单位或承建单位就合同管理相关问题(</w:t>
      </w:r>
      <w:r>
        <w:rPr>
          <w:spacing w:val="11"/>
          <w:sz w:val="20"/>
          <w:szCs w:val="20"/>
        </w:rPr>
        <w:t>例如变更问题、延期问题、索赔问题等)</w:t>
      </w:r>
      <w:r>
        <w:rPr>
          <w:sz w:val="20"/>
          <w:szCs w:val="20"/>
        </w:rPr>
        <w:t xml:space="preserve"> </w:t>
      </w:r>
      <w:r>
        <w:rPr>
          <w:spacing w:val="3"/>
          <w:sz w:val="20"/>
          <w:szCs w:val="20"/>
        </w:rPr>
        <w:t>提出申请，申请中应对相关问题产生的原因、责任归属、处理方式做出说明。其后，监理机构</w:t>
      </w:r>
      <w:r>
        <w:rPr>
          <w:spacing w:val="9"/>
          <w:sz w:val="20"/>
          <w:szCs w:val="20"/>
        </w:rPr>
        <w:t xml:space="preserve"> </w:t>
      </w:r>
      <w:r>
        <w:rPr>
          <w:spacing w:val="-2"/>
          <w:sz w:val="20"/>
          <w:szCs w:val="20"/>
        </w:rPr>
        <w:t>根据项目实际情况，收集相关信息，并进行相应的审查。</w:t>
      </w:r>
    </w:p>
    <w:p w14:paraId="05B7D4FC">
      <w:pPr>
        <w:pStyle w:val="2"/>
        <w:spacing w:before="92" w:line="264" w:lineRule="auto"/>
        <w:ind w:left="359" w:right="32" w:firstLine="400"/>
        <w:rPr>
          <w:sz w:val="20"/>
          <w:szCs w:val="20"/>
        </w:rPr>
      </w:pPr>
      <w:r>
        <w:rPr>
          <w:spacing w:val="6"/>
          <w:sz w:val="20"/>
          <w:szCs w:val="20"/>
        </w:rPr>
        <w:t>(2)如果合同管理问题申请的理由充分、合理，监理机构应予以批</w:t>
      </w:r>
      <w:r>
        <w:rPr>
          <w:spacing w:val="5"/>
          <w:sz w:val="20"/>
          <w:szCs w:val="20"/>
        </w:rPr>
        <w:t>准；三方就申请处理结</w:t>
      </w:r>
      <w:r>
        <w:rPr>
          <w:sz w:val="20"/>
          <w:szCs w:val="20"/>
        </w:rPr>
        <w:t xml:space="preserve"> </w:t>
      </w:r>
      <w:r>
        <w:rPr>
          <w:spacing w:val="3"/>
          <w:sz w:val="20"/>
          <w:szCs w:val="20"/>
        </w:rPr>
        <w:t>果达成一致后，及时签署工程备忘录并落实合同变更，否则及时签发监理通知单，告知申请方</w:t>
      </w:r>
      <w:r>
        <w:rPr>
          <w:spacing w:val="4"/>
          <w:sz w:val="20"/>
          <w:szCs w:val="20"/>
        </w:rPr>
        <w:t xml:space="preserve"> </w:t>
      </w:r>
      <w:r>
        <w:rPr>
          <w:spacing w:val="-3"/>
          <w:sz w:val="20"/>
          <w:szCs w:val="20"/>
        </w:rPr>
        <w:t>不同意申请的意见并说明原因。</w:t>
      </w:r>
    </w:p>
    <w:p w14:paraId="4866B289">
      <w:pPr>
        <w:pStyle w:val="2"/>
        <w:spacing w:before="83" w:line="248" w:lineRule="auto"/>
        <w:ind w:left="359" w:right="13" w:firstLine="400"/>
        <w:rPr>
          <w:sz w:val="20"/>
          <w:szCs w:val="20"/>
        </w:rPr>
      </w:pPr>
      <w:r>
        <w:rPr>
          <w:spacing w:val="6"/>
          <w:sz w:val="20"/>
          <w:szCs w:val="20"/>
        </w:rPr>
        <w:t>(3)合同变更处理完毕后，项目实施过程根据变更予以一定的修正，监理机构须相应调整</w:t>
      </w:r>
      <w:r>
        <w:rPr>
          <w:spacing w:val="9"/>
          <w:sz w:val="20"/>
          <w:szCs w:val="20"/>
        </w:rPr>
        <w:t xml:space="preserve"> </w:t>
      </w:r>
      <w:r>
        <w:rPr>
          <w:spacing w:val="-3"/>
          <w:sz w:val="20"/>
          <w:szCs w:val="20"/>
        </w:rPr>
        <w:t>监理实施细则，落实合同变更内容。</w:t>
      </w:r>
    </w:p>
    <w:p w14:paraId="0B215DF6">
      <w:pPr>
        <w:pStyle w:val="2"/>
        <w:spacing w:before="63" w:line="220" w:lineRule="auto"/>
        <w:ind w:left="760"/>
        <w:rPr>
          <w:sz w:val="20"/>
          <w:szCs w:val="20"/>
        </w:rPr>
      </w:pPr>
      <w:r>
        <w:rPr>
          <w:spacing w:val="1"/>
          <w:sz w:val="20"/>
          <w:szCs w:val="20"/>
        </w:rPr>
        <w:t>实施阶段监理工作流程如图20-3所示。</w:t>
      </w:r>
    </w:p>
    <w:p w14:paraId="1743D439">
      <w:pPr>
        <w:spacing w:line="220" w:lineRule="auto"/>
        <w:rPr>
          <w:sz w:val="20"/>
          <w:szCs w:val="20"/>
        </w:rPr>
        <w:sectPr>
          <w:pgSz w:w="10300" w:h="13400"/>
          <w:pgMar w:top="400" w:right="1085" w:bottom="400" w:left="489" w:header="0" w:footer="0" w:gutter="0"/>
          <w:cols w:space="720" w:num="1"/>
        </w:sectPr>
      </w:pPr>
    </w:p>
    <w:p w14:paraId="5F39B36F">
      <w:pPr>
        <w:pStyle w:val="2"/>
        <w:spacing w:before="105" w:line="219" w:lineRule="auto"/>
        <w:jc w:val="right"/>
        <w:rPr>
          <w:rFonts w:ascii="Times New Roman" w:hAnsi="Times New Roman" w:eastAsia="Times New Roman" w:cs="Times New Roman"/>
          <w:sz w:val="17"/>
          <w:szCs w:val="17"/>
        </w:rPr>
      </w:pPr>
      <w:r>
        <w:rPr>
          <w:spacing w:val="14"/>
          <w:sz w:val="17"/>
          <w:szCs w:val="17"/>
        </w:rPr>
        <w:t>第20章</w:t>
      </w:r>
      <w:r>
        <w:rPr>
          <w:spacing w:val="66"/>
          <w:sz w:val="17"/>
          <w:szCs w:val="17"/>
        </w:rPr>
        <w:t xml:space="preserve"> </w:t>
      </w:r>
      <w:r>
        <w:rPr>
          <w:spacing w:val="14"/>
          <w:sz w:val="17"/>
          <w:szCs w:val="17"/>
        </w:rPr>
        <w:t>信息系统工程监理基础工作</w:t>
      </w:r>
      <w:r>
        <w:rPr>
          <w:spacing w:val="2"/>
          <w:sz w:val="17"/>
          <w:szCs w:val="17"/>
        </w:rPr>
        <w:t xml:space="preserve">       </w:t>
      </w:r>
      <w:r>
        <w:rPr>
          <w:rFonts w:ascii="Times New Roman" w:hAnsi="Times New Roman" w:eastAsia="Times New Roman" w:cs="Times New Roman"/>
          <w:spacing w:val="14"/>
          <w:position w:val="1"/>
          <w:sz w:val="17"/>
          <w:szCs w:val="17"/>
        </w:rPr>
        <w:t>463</w:t>
      </w:r>
    </w:p>
    <w:p w14:paraId="682AC703">
      <w:pPr>
        <w:spacing w:before="21"/>
      </w:pPr>
    </w:p>
    <w:p w14:paraId="30399C04">
      <w:pPr>
        <w:spacing w:before="20"/>
      </w:pPr>
    </w:p>
    <w:p w14:paraId="79FDEE03">
      <w:pPr>
        <w:sectPr>
          <w:pgSz w:w="10300" w:h="13320"/>
          <w:pgMar w:top="400" w:right="597" w:bottom="400" w:left="1110" w:header="0" w:footer="0" w:gutter="0"/>
          <w:cols w:equalWidth="0" w:num="1">
            <w:col w:w="8593"/>
          </w:cols>
        </w:sectPr>
      </w:pPr>
    </w:p>
    <w:p w14:paraId="1BB52B41">
      <w:pPr>
        <w:pStyle w:val="2"/>
        <w:spacing w:before="64" w:line="219" w:lineRule="auto"/>
        <w:ind w:left="1089"/>
        <w:rPr>
          <w:sz w:val="17"/>
          <w:szCs w:val="17"/>
        </w:rPr>
      </w:pPr>
      <w:r>
        <w:drawing>
          <wp:anchor distT="0" distB="0" distL="0" distR="0" simplePos="0" relativeHeight="251822080" behindDoc="1" locked="0" layoutInCell="1" allowOverlap="1">
            <wp:simplePos x="0" y="0"/>
            <wp:positionH relativeFrom="column">
              <wp:posOffset>316865</wp:posOffset>
            </wp:positionH>
            <wp:positionV relativeFrom="paragraph">
              <wp:posOffset>-128270</wp:posOffset>
            </wp:positionV>
            <wp:extent cx="4654550" cy="633095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90"/>
                    <a:stretch>
                      <a:fillRect/>
                    </a:stretch>
                  </pic:blipFill>
                  <pic:spPr>
                    <a:xfrm>
                      <a:off x="0" y="0"/>
                      <a:ext cx="4654546" cy="6330962"/>
                    </a:xfrm>
                    <a:prstGeom prst="rect">
                      <a:avLst/>
                    </a:prstGeom>
                  </pic:spPr>
                </pic:pic>
              </a:graphicData>
            </a:graphic>
          </wp:anchor>
        </w:drawing>
      </w:r>
      <w:r>
        <w:rPr>
          <w:spacing w:val="13"/>
          <w:sz w:val="17"/>
          <w:szCs w:val="17"/>
        </w:rPr>
        <w:t>输入</w:t>
      </w:r>
    </w:p>
    <w:p w14:paraId="7A4E3B44">
      <w:pPr>
        <w:spacing w:line="371" w:lineRule="auto"/>
        <w:rPr>
          <w:rFonts w:ascii="Arial"/>
          <w:sz w:val="21"/>
        </w:rPr>
      </w:pPr>
    </w:p>
    <w:p w14:paraId="6B4F882D">
      <w:pPr>
        <w:pStyle w:val="2"/>
        <w:spacing w:before="56" w:line="232" w:lineRule="auto"/>
        <w:ind w:left="659" w:right="203"/>
        <w:jc w:val="both"/>
        <w:rPr>
          <w:sz w:val="17"/>
          <w:szCs w:val="17"/>
        </w:rPr>
      </w:pPr>
      <w:r>
        <w:rPr>
          <w:spacing w:val="-5"/>
          <w:sz w:val="17"/>
          <w:szCs w:val="17"/>
        </w:rPr>
        <w:t>质量管理、实施</w:t>
      </w:r>
      <w:r>
        <w:rPr>
          <w:color w:val="0078C8"/>
          <w:spacing w:val="-5"/>
          <w:sz w:val="17"/>
          <w:szCs w:val="17"/>
        </w:rPr>
        <w:t>、</w:t>
      </w:r>
      <w:r>
        <w:rPr>
          <w:color w:val="0078C8"/>
          <w:spacing w:val="5"/>
          <w:sz w:val="17"/>
          <w:szCs w:val="17"/>
        </w:rPr>
        <w:t xml:space="preserve"> </w:t>
      </w:r>
      <w:r>
        <w:rPr>
          <w:spacing w:val="2"/>
          <w:sz w:val="17"/>
          <w:szCs w:val="17"/>
        </w:rPr>
        <w:t>进度计划报审表/</w:t>
      </w:r>
      <w:r>
        <w:rPr>
          <w:spacing w:val="4"/>
          <w:sz w:val="17"/>
          <w:szCs w:val="17"/>
        </w:rPr>
        <w:t xml:space="preserve"> </w:t>
      </w:r>
      <w:r>
        <w:rPr>
          <w:spacing w:val="3"/>
          <w:sz w:val="17"/>
          <w:szCs w:val="17"/>
        </w:rPr>
        <w:t>开工申请</w:t>
      </w:r>
      <w:r>
        <w:rPr>
          <w:color w:val="246D9E"/>
          <w:spacing w:val="3"/>
          <w:sz w:val="17"/>
          <w:szCs w:val="17"/>
        </w:rPr>
        <w:t>表</w:t>
      </w:r>
    </w:p>
    <w:p w14:paraId="54092E38">
      <w:pPr>
        <w:pStyle w:val="2"/>
        <w:spacing w:before="237" w:line="394" w:lineRule="auto"/>
        <w:ind w:left="829" w:right="664"/>
        <w:jc w:val="both"/>
        <w:rPr>
          <w:sz w:val="17"/>
          <w:szCs w:val="17"/>
        </w:rPr>
      </w:pPr>
      <w:r>
        <w:rPr>
          <w:spacing w:val="3"/>
          <w:sz w:val="17"/>
          <w:szCs w:val="17"/>
        </w:rPr>
        <w:t>承建合同</w:t>
      </w:r>
      <w:r>
        <w:rPr>
          <w:spacing w:val="2"/>
          <w:sz w:val="17"/>
          <w:szCs w:val="17"/>
        </w:rPr>
        <w:t xml:space="preserve"> </w:t>
      </w:r>
      <w:r>
        <w:rPr>
          <w:spacing w:val="-3"/>
          <w:sz w:val="17"/>
          <w:szCs w:val="17"/>
        </w:rPr>
        <w:t>设计方案</w:t>
      </w:r>
      <w:r>
        <w:rPr>
          <w:spacing w:val="1"/>
          <w:sz w:val="17"/>
          <w:szCs w:val="17"/>
        </w:rPr>
        <w:t xml:space="preserve"> </w:t>
      </w:r>
      <w:r>
        <w:rPr>
          <w:spacing w:val="-3"/>
          <w:sz w:val="17"/>
          <w:szCs w:val="17"/>
        </w:rPr>
        <w:t>实施方案</w:t>
      </w:r>
    </w:p>
    <w:p w14:paraId="03FDB723">
      <w:pPr>
        <w:pStyle w:val="2"/>
        <w:spacing w:before="73" w:line="219" w:lineRule="auto"/>
        <w:ind w:left="659"/>
        <w:rPr>
          <w:sz w:val="17"/>
          <w:szCs w:val="17"/>
        </w:rPr>
      </w:pPr>
      <w:r>
        <w:rPr>
          <w:sz w:val="17"/>
          <w:szCs w:val="17"/>
        </w:rPr>
        <w:t>质量管理</w:t>
      </w:r>
      <w:r>
        <w:rPr>
          <w:color w:val="0077D3"/>
          <w:sz w:val="17"/>
          <w:szCs w:val="17"/>
        </w:rPr>
        <w:t>计</w:t>
      </w:r>
      <w:r>
        <w:rPr>
          <w:sz w:val="17"/>
          <w:szCs w:val="17"/>
        </w:rPr>
        <w:t>划</w:t>
      </w:r>
    </w:p>
    <w:p w14:paraId="3CF8D52C">
      <w:pPr>
        <w:spacing w:line="371" w:lineRule="auto"/>
        <w:rPr>
          <w:rFonts w:ascii="Arial"/>
          <w:sz w:val="21"/>
        </w:rPr>
      </w:pPr>
    </w:p>
    <w:p w14:paraId="213865DF">
      <w:pPr>
        <w:pStyle w:val="2"/>
        <w:spacing w:before="55" w:line="220" w:lineRule="auto"/>
        <w:ind w:left="829"/>
        <w:rPr>
          <w:sz w:val="17"/>
          <w:szCs w:val="17"/>
        </w:rPr>
      </w:pPr>
      <w:r>
        <w:rPr>
          <w:spacing w:val="-2"/>
          <w:sz w:val="17"/>
          <w:szCs w:val="17"/>
        </w:rPr>
        <w:t>设计方案</w:t>
      </w:r>
    </w:p>
    <w:p w14:paraId="0E1D8D42">
      <w:pPr>
        <w:pStyle w:val="2"/>
        <w:spacing w:before="218" w:line="236" w:lineRule="auto"/>
        <w:ind w:left="659" w:right="495"/>
        <w:jc w:val="both"/>
        <w:rPr>
          <w:sz w:val="17"/>
          <w:szCs w:val="17"/>
        </w:rPr>
      </w:pPr>
      <w:r>
        <w:rPr>
          <w:spacing w:val="-2"/>
          <w:sz w:val="17"/>
          <w:szCs w:val="17"/>
        </w:rPr>
        <w:t>质量管理、</w:t>
      </w:r>
      <w:r>
        <w:rPr>
          <w:color w:val="007ACC"/>
          <w:spacing w:val="-2"/>
          <w:sz w:val="17"/>
          <w:szCs w:val="17"/>
        </w:rPr>
        <w:t>实</w:t>
      </w:r>
      <w:r>
        <w:rPr>
          <w:color w:val="007ACC"/>
          <w:sz w:val="17"/>
          <w:szCs w:val="17"/>
        </w:rPr>
        <w:t xml:space="preserve"> </w:t>
      </w:r>
      <w:r>
        <w:rPr>
          <w:spacing w:val="2"/>
          <w:sz w:val="17"/>
          <w:szCs w:val="17"/>
        </w:rPr>
        <w:t>施、进度计</w:t>
      </w:r>
      <w:r>
        <w:rPr>
          <w:color w:val="2A94E5"/>
          <w:spacing w:val="2"/>
          <w:sz w:val="17"/>
          <w:szCs w:val="17"/>
        </w:rPr>
        <w:t>划</w:t>
      </w:r>
      <w:r>
        <w:rPr>
          <w:color w:val="2A94E5"/>
          <w:spacing w:val="1"/>
          <w:sz w:val="17"/>
          <w:szCs w:val="17"/>
        </w:rPr>
        <w:t xml:space="preserve"> </w:t>
      </w:r>
      <w:r>
        <w:rPr>
          <w:spacing w:val="-4"/>
          <w:sz w:val="17"/>
          <w:szCs w:val="17"/>
        </w:rPr>
        <w:t>方</w:t>
      </w:r>
      <w:r>
        <w:rPr>
          <w:spacing w:val="-11"/>
          <w:sz w:val="17"/>
          <w:szCs w:val="17"/>
        </w:rPr>
        <w:t xml:space="preserve"> </w:t>
      </w:r>
      <w:r>
        <w:rPr>
          <w:spacing w:val="-4"/>
          <w:sz w:val="17"/>
          <w:szCs w:val="17"/>
        </w:rPr>
        <w:t>案</w:t>
      </w:r>
    </w:p>
    <w:p w14:paraId="4E77B441">
      <w:pPr>
        <w:pStyle w:val="2"/>
        <w:spacing w:before="87" w:line="219" w:lineRule="auto"/>
        <w:ind w:left="829"/>
        <w:rPr>
          <w:sz w:val="17"/>
          <w:szCs w:val="17"/>
        </w:rPr>
      </w:pPr>
      <w:r>
        <w:rPr>
          <w:spacing w:val="3"/>
          <w:sz w:val="17"/>
          <w:szCs w:val="17"/>
        </w:rPr>
        <w:t>承建合同</w:t>
      </w:r>
    </w:p>
    <w:p w14:paraId="39C072C6">
      <w:pPr>
        <w:pStyle w:val="2"/>
        <w:spacing w:before="258" w:line="410" w:lineRule="auto"/>
        <w:ind w:left="829" w:right="471" w:hanging="170"/>
        <w:rPr>
          <w:sz w:val="17"/>
          <w:szCs w:val="17"/>
        </w:rPr>
      </w:pPr>
      <w:r>
        <w:rPr>
          <w:spacing w:val="6"/>
          <w:sz w:val="17"/>
          <w:szCs w:val="17"/>
        </w:rPr>
        <w:t>实施变更方案</w:t>
      </w:r>
      <w:r>
        <w:rPr>
          <w:spacing w:val="1"/>
          <w:sz w:val="17"/>
          <w:szCs w:val="17"/>
        </w:rPr>
        <w:t xml:space="preserve"> </w:t>
      </w:r>
      <w:r>
        <w:rPr>
          <w:spacing w:val="-2"/>
          <w:sz w:val="17"/>
          <w:szCs w:val="17"/>
        </w:rPr>
        <w:t>整改方案</w:t>
      </w:r>
    </w:p>
    <w:p w14:paraId="5ADA342C">
      <w:pPr>
        <w:pStyle w:val="2"/>
        <w:spacing w:before="85" w:line="399" w:lineRule="auto"/>
        <w:ind w:left="829" w:right="378" w:hanging="210"/>
        <w:rPr>
          <w:sz w:val="17"/>
          <w:szCs w:val="17"/>
        </w:rPr>
      </w:pPr>
      <w:r>
        <w:rPr>
          <w:sz w:val="17"/>
          <w:szCs w:val="17"/>
        </w:rPr>
        <w:t>阶段性测试</w:t>
      </w:r>
      <w:r>
        <w:rPr>
          <w:color w:val="0063C6"/>
          <w:sz w:val="17"/>
          <w:szCs w:val="17"/>
        </w:rPr>
        <w:t>方</w:t>
      </w:r>
      <w:r>
        <w:rPr>
          <w:sz w:val="17"/>
          <w:szCs w:val="17"/>
        </w:rPr>
        <w:t>案</w:t>
      </w:r>
      <w:r>
        <w:rPr>
          <w:spacing w:val="1"/>
          <w:sz w:val="17"/>
          <w:szCs w:val="17"/>
        </w:rPr>
        <w:t xml:space="preserve"> </w:t>
      </w:r>
      <w:r>
        <w:rPr>
          <w:spacing w:val="-3"/>
          <w:sz w:val="17"/>
          <w:szCs w:val="17"/>
        </w:rPr>
        <w:t>复工申请</w:t>
      </w:r>
    </w:p>
    <w:p w14:paraId="134FAA2A">
      <w:pPr>
        <w:pStyle w:val="2"/>
        <w:spacing w:before="24" w:line="428" w:lineRule="auto"/>
        <w:ind w:left="829" w:right="686"/>
        <w:jc w:val="both"/>
        <w:rPr>
          <w:sz w:val="17"/>
          <w:szCs w:val="17"/>
        </w:rPr>
      </w:pPr>
      <w:r>
        <w:rPr>
          <w:spacing w:val="-2"/>
          <w:sz w:val="17"/>
          <w:szCs w:val="17"/>
        </w:rPr>
        <w:t>付款申请</w:t>
      </w:r>
      <w:r>
        <w:rPr>
          <w:sz w:val="17"/>
          <w:szCs w:val="17"/>
        </w:rPr>
        <w:t xml:space="preserve"> </w:t>
      </w:r>
      <w:r>
        <w:rPr>
          <w:spacing w:val="-2"/>
          <w:sz w:val="17"/>
          <w:szCs w:val="17"/>
        </w:rPr>
        <w:t>变更申请</w:t>
      </w:r>
      <w:r>
        <w:rPr>
          <w:sz w:val="17"/>
          <w:szCs w:val="17"/>
        </w:rPr>
        <w:t xml:space="preserve"> </w:t>
      </w:r>
      <w:r>
        <w:rPr>
          <w:spacing w:val="-2"/>
          <w:sz w:val="17"/>
          <w:szCs w:val="17"/>
        </w:rPr>
        <w:t>延期申请</w:t>
      </w:r>
      <w:r>
        <w:rPr>
          <w:sz w:val="17"/>
          <w:szCs w:val="17"/>
        </w:rPr>
        <w:t xml:space="preserve"> </w:t>
      </w:r>
      <w:r>
        <w:rPr>
          <w:spacing w:val="-2"/>
          <w:sz w:val="17"/>
          <w:szCs w:val="17"/>
        </w:rPr>
        <w:t>索赔申请</w:t>
      </w:r>
    </w:p>
    <w:p w14:paraId="4C8D7D88">
      <w:pPr>
        <w:pStyle w:val="2"/>
        <w:spacing w:before="15" w:line="389" w:lineRule="auto"/>
        <w:ind w:left="829" w:right="486" w:hanging="170"/>
        <w:rPr>
          <w:sz w:val="17"/>
          <w:szCs w:val="17"/>
        </w:rPr>
      </w:pPr>
      <w:r>
        <w:rPr>
          <w:spacing w:val="3"/>
          <w:sz w:val="17"/>
          <w:szCs w:val="17"/>
        </w:rPr>
        <w:t>相关证明材</w:t>
      </w:r>
      <w:r>
        <w:rPr>
          <w:color w:val="1589D7"/>
          <w:spacing w:val="3"/>
          <w:sz w:val="17"/>
          <w:szCs w:val="17"/>
        </w:rPr>
        <w:t>料</w:t>
      </w:r>
      <w:r>
        <w:rPr>
          <w:color w:val="1589D7"/>
          <w:spacing w:val="4"/>
          <w:sz w:val="17"/>
          <w:szCs w:val="17"/>
        </w:rPr>
        <w:t xml:space="preserve"> </w:t>
      </w:r>
      <w:r>
        <w:rPr>
          <w:spacing w:val="3"/>
          <w:sz w:val="17"/>
          <w:szCs w:val="17"/>
        </w:rPr>
        <w:t>承建合同</w:t>
      </w:r>
    </w:p>
    <w:p w14:paraId="12C066B6">
      <w:pPr>
        <w:spacing w:line="14" w:lineRule="auto"/>
        <w:rPr>
          <w:rFonts w:ascii="Arial"/>
          <w:sz w:val="2"/>
        </w:rPr>
      </w:pPr>
      <w:r>
        <w:rPr>
          <w:rFonts w:ascii="Arial" w:hAnsi="Arial" w:eastAsia="Arial" w:cs="Arial"/>
          <w:sz w:val="2"/>
          <w:szCs w:val="2"/>
        </w:rPr>
        <w:br w:type="column"/>
      </w:r>
    </w:p>
    <w:p w14:paraId="7A953ABC">
      <w:pPr>
        <w:pStyle w:val="2"/>
        <w:spacing w:before="53" w:line="219" w:lineRule="auto"/>
        <w:ind w:left="159"/>
        <w:rPr>
          <w:sz w:val="17"/>
          <w:szCs w:val="17"/>
        </w:rPr>
      </w:pPr>
      <w:r>
        <w:rPr>
          <w:spacing w:val="-2"/>
          <w:sz w:val="17"/>
          <w:szCs w:val="17"/>
        </w:rPr>
        <w:t>承建单位</w:t>
      </w:r>
    </w:p>
    <w:p w14:paraId="2C4CC0EE">
      <w:pPr>
        <w:spacing w:line="251" w:lineRule="auto"/>
        <w:rPr>
          <w:rFonts w:ascii="Arial"/>
          <w:sz w:val="21"/>
        </w:rPr>
      </w:pPr>
    </w:p>
    <w:p w14:paraId="6D098FFB">
      <w:pPr>
        <w:spacing w:line="251" w:lineRule="auto"/>
        <w:rPr>
          <w:rFonts w:ascii="Arial"/>
          <w:sz w:val="21"/>
        </w:rPr>
      </w:pPr>
    </w:p>
    <w:p w14:paraId="5AB66CD9">
      <w:pPr>
        <w:spacing w:line="251" w:lineRule="auto"/>
        <w:rPr>
          <w:rFonts w:ascii="Arial"/>
          <w:sz w:val="21"/>
        </w:rPr>
      </w:pPr>
    </w:p>
    <w:p w14:paraId="7C40A893">
      <w:pPr>
        <w:spacing w:line="251" w:lineRule="auto"/>
        <w:rPr>
          <w:rFonts w:ascii="Arial"/>
          <w:sz w:val="21"/>
        </w:rPr>
      </w:pPr>
    </w:p>
    <w:p w14:paraId="4718844B">
      <w:pPr>
        <w:spacing w:line="251" w:lineRule="auto"/>
        <w:rPr>
          <w:rFonts w:ascii="Arial"/>
          <w:sz w:val="21"/>
        </w:rPr>
      </w:pPr>
    </w:p>
    <w:p w14:paraId="26FA4B3D">
      <w:pPr>
        <w:pStyle w:val="2"/>
        <w:spacing w:before="55" w:line="219" w:lineRule="auto"/>
        <w:rPr>
          <w:sz w:val="17"/>
          <w:szCs w:val="17"/>
        </w:rPr>
      </w:pPr>
      <w:r>
        <w:rPr>
          <w:spacing w:val="-2"/>
          <w:sz w:val="17"/>
          <w:szCs w:val="17"/>
        </w:rPr>
        <w:t>工程实施申请</w:t>
      </w:r>
    </w:p>
    <w:p w14:paraId="4BF94CF6">
      <w:pPr>
        <w:spacing w:line="276" w:lineRule="auto"/>
        <w:rPr>
          <w:rFonts w:ascii="Arial"/>
          <w:sz w:val="21"/>
        </w:rPr>
      </w:pPr>
    </w:p>
    <w:p w14:paraId="4B98B660">
      <w:pPr>
        <w:spacing w:line="276" w:lineRule="auto"/>
        <w:rPr>
          <w:rFonts w:ascii="Arial"/>
          <w:sz w:val="21"/>
        </w:rPr>
      </w:pPr>
    </w:p>
    <w:p w14:paraId="75EAB063">
      <w:pPr>
        <w:spacing w:line="277" w:lineRule="auto"/>
        <w:rPr>
          <w:rFonts w:ascii="Arial"/>
          <w:sz w:val="21"/>
        </w:rPr>
      </w:pPr>
    </w:p>
    <w:p w14:paraId="4CABCA6C">
      <w:pPr>
        <w:spacing w:line="277" w:lineRule="auto"/>
        <w:rPr>
          <w:rFonts w:ascii="Arial"/>
          <w:sz w:val="21"/>
        </w:rPr>
      </w:pPr>
    </w:p>
    <w:p w14:paraId="296E8591">
      <w:pPr>
        <w:pStyle w:val="2"/>
        <w:spacing w:before="56" w:line="219" w:lineRule="auto"/>
        <w:ind w:left="340"/>
        <w:rPr>
          <w:sz w:val="17"/>
          <w:szCs w:val="17"/>
        </w:rPr>
      </w:pPr>
      <w:r>
        <w:rPr>
          <w:spacing w:val="-2"/>
          <w:sz w:val="17"/>
          <w:szCs w:val="17"/>
        </w:rPr>
        <w:t>整改</w:t>
      </w:r>
    </w:p>
    <w:p w14:paraId="64A2DB7A">
      <w:pPr>
        <w:spacing w:line="251" w:lineRule="auto"/>
        <w:rPr>
          <w:rFonts w:ascii="Arial"/>
          <w:sz w:val="21"/>
        </w:rPr>
      </w:pPr>
    </w:p>
    <w:p w14:paraId="473C4D50">
      <w:pPr>
        <w:spacing w:line="251" w:lineRule="auto"/>
        <w:rPr>
          <w:rFonts w:ascii="Arial"/>
          <w:sz w:val="21"/>
        </w:rPr>
      </w:pPr>
    </w:p>
    <w:p w14:paraId="27F8D4B6">
      <w:pPr>
        <w:spacing w:line="251" w:lineRule="auto"/>
        <w:rPr>
          <w:rFonts w:ascii="Arial"/>
          <w:sz w:val="21"/>
        </w:rPr>
      </w:pPr>
    </w:p>
    <w:p w14:paraId="4ECF7CA8">
      <w:pPr>
        <w:spacing w:line="251" w:lineRule="auto"/>
        <w:rPr>
          <w:rFonts w:ascii="Arial"/>
          <w:sz w:val="21"/>
        </w:rPr>
      </w:pPr>
    </w:p>
    <w:p w14:paraId="7ECF1F03">
      <w:pPr>
        <w:spacing w:line="251" w:lineRule="auto"/>
        <w:rPr>
          <w:rFonts w:ascii="Arial"/>
          <w:sz w:val="21"/>
        </w:rPr>
      </w:pPr>
    </w:p>
    <w:p w14:paraId="769C0164">
      <w:pPr>
        <w:pStyle w:val="2"/>
        <w:spacing w:before="55" w:line="219" w:lineRule="auto"/>
        <w:ind w:left="340"/>
        <w:rPr>
          <w:sz w:val="17"/>
          <w:szCs w:val="17"/>
        </w:rPr>
      </w:pPr>
      <w:r>
        <w:rPr>
          <w:spacing w:val="-2"/>
          <w:sz w:val="17"/>
          <w:szCs w:val="17"/>
        </w:rPr>
        <w:t>整改</w:t>
      </w:r>
    </w:p>
    <w:p w14:paraId="63FBBBB8">
      <w:pPr>
        <w:spacing w:line="247" w:lineRule="auto"/>
        <w:rPr>
          <w:rFonts w:ascii="Arial"/>
          <w:sz w:val="21"/>
        </w:rPr>
      </w:pPr>
    </w:p>
    <w:p w14:paraId="2119EF9D">
      <w:pPr>
        <w:spacing w:line="247" w:lineRule="auto"/>
        <w:rPr>
          <w:rFonts w:ascii="Arial"/>
          <w:sz w:val="21"/>
        </w:rPr>
      </w:pPr>
    </w:p>
    <w:p w14:paraId="342016E4">
      <w:pPr>
        <w:spacing w:line="247" w:lineRule="auto"/>
        <w:rPr>
          <w:rFonts w:ascii="Arial"/>
          <w:sz w:val="21"/>
        </w:rPr>
      </w:pPr>
    </w:p>
    <w:p w14:paraId="6B0ED427">
      <w:pPr>
        <w:spacing w:line="247" w:lineRule="auto"/>
        <w:rPr>
          <w:rFonts w:ascii="Arial"/>
          <w:sz w:val="21"/>
        </w:rPr>
      </w:pPr>
    </w:p>
    <w:p w14:paraId="7BC4019C">
      <w:pPr>
        <w:spacing w:line="248" w:lineRule="auto"/>
        <w:rPr>
          <w:rFonts w:ascii="Arial"/>
          <w:sz w:val="21"/>
        </w:rPr>
      </w:pPr>
    </w:p>
    <w:p w14:paraId="458EFC80">
      <w:pPr>
        <w:spacing w:line="248" w:lineRule="auto"/>
        <w:rPr>
          <w:rFonts w:ascii="Arial"/>
          <w:sz w:val="21"/>
        </w:rPr>
      </w:pPr>
    </w:p>
    <w:p w14:paraId="28331ED0">
      <w:pPr>
        <w:spacing w:line="248" w:lineRule="auto"/>
        <w:rPr>
          <w:rFonts w:ascii="Arial"/>
          <w:sz w:val="21"/>
        </w:rPr>
      </w:pPr>
    </w:p>
    <w:p w14:paraId="5878AA15">
      <w:pPr>
        <w:pStyle w:val="2"/>
        <w:spacing w:before="56" w:line="225" w:lineRule="auto"/>
        <w:ind w:left="159" w:right="546"/>
        <w:jc w:val="both"/>
        <w:rPr>
          <w:sz w:val="17"/>
          <w:szCs w:val="17"/>
        </w:rPr>
      </w:pPr>
      <w:r>
        <w:rPr>
          <w:spacing w:val="-2"/>
          <w:sz w:val="17"/>
          <w:szCs w:val="17"/>
        </w:rPr>
        <w:t>变更申请</w:t>
      </w:r>
      <w:r>
        <w:rPr>
          <w:sz w:val="17"/>
          <w:szCs w:val="17"/>
        </w:rPr>
        <w:t xml:space="preserve"> </w:t>
      </w:r>
      <w:r>
        <w:rPr>
          <w:spacing w:val="-2"/>
          <w:sz w:val="17"/>
          <w:szCs w:val="17"/>
        </w:rPr>
        <w:t>延期申请</w:t>
      </w:r>
      <w:r>
        <w:rPr>
          <w:sz w:val="17"/>
          <w:szCs w:val="17"/>
        </w:rPr>
        <w:t xml:space="preserve"> </w:t>
      </w:r>
      <w:r>
        <w:rPr>
          <w:spacing w:val="-2"/>
          <w:sz w:val="17"/>
          <w:szCs w:val="17"/>
        </w:rPr>
        <w:t>索赔申请</w:t>
      </w:r>
    </w:p>
    <w:p w14:paraId="0901ED8C">
      <w:pPr>
        <w:spacing w:line="267" w:lineRule="auto"/>
        <w:rPr>
          <w:rFonts w:ascii="Arial"/>
          <w:sz w:val="21"/>
        </w:rPr>
      </w:pPr>
    </w:p>
    <w:p w14:paraId="32E50FC4">
      <w:pPr>
        <w:spacing w:line="267" w:lineRule="auto"/>
        <w:rPr>
          <w:rFonts w:ascii="Arial"/>
          <w:sz w:val="21"/>
        </w:rPr>
      </w:pPr>
    </w:p>
    <w:p w14:paraId="6B010166">
      <w:pPr>
        <w:spacing w:line="267" w:lineRule="auto"/>
        <w:rPr>
          <w:rFonts w:ascii="Arial"/>
          <w:sz w:val="21"/>
        </w:rPr>
      </w:pPr>
    </w:p>
    <w:p w14:paraId="5EA362A7">
      <w:pPr>
        <w:spacing w:line="267" w:lineRule="auto"/>
        <w:rPr>
          <w:rFonts w:ascii="Arial"/>
          <w:sz w:val="21"/>
        </w:rPr>
      </w:pPr>
    </w:p>
    <w:p w14:paraId="4ACCB43A">
      <w:pPr>
        <w:spacing w:line="267" w:lineRule="auto"/>
        <w:rPr>
          <w:rFonts w:ascii="Arial"/>
          <w:sz w:val="21"/>
        </w:rPr>
      </w:pPr>
    </w:p>
    <w:p w14:paraId="526F5B80">
      <w:pPr>
        <w:spacing w:line="268" w:lineRule="auto"/>
        <w:rPr>
          <w:rFonts w:ascii="Arial"/>
          <w:sz w:val="21"/>
        </w:rPr>
      </w:pPr>
    </w:p>
    <w:p w14:paraId="26D14481">
      <w:pPr>
        <w:spacing w:line="268" w:lineRule="auto"/>
        <w:rPr>
          <w:rFonts w:ascii="Arial"/>
          <w:sz w:val="21"/>
        </w:rPr>
      </w:pPr>
    </w:p>
    <w:p w14:paraId="07E69FCE">
      <w:pPr>
        <w:pStyle w:val="2"/>
        <w:spacing w:before="56" w:line="219" w:lineRule="auto"/>
        <w:rPr>
          <w:sz w:val="17"/>
          <w:szCs w:val="17"/>
        </w:rPr>
      </w:pPr>
      <w:r>
        <w:rPr>
          <w:spacing w:val="-2"/>
          <w:sz w:val="17"/>
          <w:szCs w:val="17"/>
        </w:rPr>
        <w:t>变更修改</w:t>
      </w:r>
    </w:p>
    <w:p w14:paraId="32131E33">
      <w:pPr>
        <w:spacing w:line="14" w:lineRule="auto"/>
        <w:rPr>
          <w:rFonts w:ascii="Arial"/>
          <w:sz w:val="2"/>
        </w:rPr>
      </w:pPr>
      <w:r>
        <w:rPr>
          <w:rFonts w:ascii="Arial" w:hAnsi="Arial" w:eastAsia="Arial" w:cs="Arial"/>
          <w:sz w:val="2"/>
          <w:szCs w:val="2"/>
        </w:rPr>
        <w:br w:type="column"/>
      </w:r>
    </w:p>
    <w:p w14:paraId="59F47D33">
      <w:pPr>
        <w:pStyle w:val="2"/>
        <w:spacing w:before="32" w:line="219" w:lineRule="auto"/>
        <w:ind w:left="220"/>
        <w:rPr>
          <w:sz w:val="17"/>
          <w:szCs w:val="17"/>
        </w:rPr>
      </w:pPr>
      <w:r>
        <w:rPr>
          <w:spacing w:val="-2"/>
          <w:sz w:val="17"/>
          <w:szCs w:val="17"/>
        </w:rPr>
        <w:t>监理机构</w:t>
      </w:r>
    </w:p>
    <w:p w14:paraId="18B6E6B4">
      <w:pPr>
        <w:spacing w:line="245" w:lineRule="auto"/>
        <w:rPr>
          <w:rFonts w:ascii="Arial"/>
          <w:sz w:val="21"/>
        </w:rPr>
      </w:pPr>
    </w:p>
    <w:p w14:paraId="4D43A37A">
      <w:pPr>
        <w:spacing w:line="246" w:lineRule="auto"/>
        <w:rPr>
          <w:rFonts w:ascii="Arial"/>
          <w:sz w:val="21"/>
        </w:rPr>
      </w:pPr>
    </w:p>
    <w:p w14:paraId="039B4F43">
      <w:pPr>
        <w:pStyle w:val="2"/>
        <w:spacing w:before="56" w:line="221" w:lineRule="auto"/>
        <w:ind w:left="149"/>
        <w:rPr>
          <w:sz w:val="17"/>
          <w:szCs w:val="17"/>
        </w:rPr>
      </w:pPr>
      <w:r>
        <w:rPr>
          <w:spacing w:val="2"/>
          <w:sz w:val="17"/>
          <w:szCs w:val="17"/>
        </w:rPr>
        <w:t>阶段开始</w:t>
      </w:r>
    </w:p>
    <w:p w14:paraId="71E9834F">
      <w:pPr>
        <w:spacing w:line="268" w:lineRule="auto"/>
        <w:rPr>
          <w:rFonts w:ascii="Arial"/>
          <w:sz w:val="21"/>
        </w:rPr>
      </w:pPr>
    </w:p>
    <w:p w14:paraId="586CAD1F">
      <w:pPr>
        <w:spacing w:line="268" w:lineRule="auto"/>
        <w:rPr>
          <w:rFonts w:ascii="Arial"/>
          <w:sz w:val="21"/>
        </w:rPr>
      </w:pPr>
    </w:p>
    <w:p w14:paraId="2A67E805">
      <w:pPr>
        <w:spacing w:line="269" w:lineRule="auto"/>
        <w:rPr>
          <w:rFonts w:ascii="Arial"/>
          <w:sz w:val="21"/>
        </w:rPr>
      </w:pPr>
    </w:p>
    <w:p w14:paraId="42FCACDF">
      <w:pPr>
        <w:spacing w:line="269" w:lineRule="auto"/>
        <w:rPr>
          <w:rFonts w:ascii="Arial"/>
          <w:sz w:val="21"/>
        </w:rPr>
      </w:pPr>
    </w:p>
    <w:p w14:paraId="1B84CF8E">
      <w:pPr>
        <w:pStyle w:val="2"/>
        <w:spacing w:before="55" w:line="220" w:lineRule="auto"/>
        <w:ind w:left="319"/>
        <w:rPr>
          <w:sz w:val="17"/>
          <w:szCs w:val="17"/>
        </w:rPr>
      </w:pPr>
      <w:r>
        <w:rPr>
          <w:spacing w:val="4"/>
          <w:sz w:val="17"/>
          <w:szCs w:val="17"/>
        </w:rPr>
        <w:t>审查</w:t>
      </w:r>
    </w:p>
    <w:p w14:paraId="4C713CD3">
      <w:pPr>
        <w:spacing w:line="409" w:lineRule="auto"/>
        <w:rPr>
          <w:rFonts w:ascii="Arial"/>
          <w:sz w:val="21"/>
        </w:rPr>
      </w:pPr>
    </w:p>
    <w:p w14:paraId="3B3798D7">
      <w:pPr>
        <w:pStyle w:val="2"/>
        <w:spacing w:before="56" w:line="168" w:lineRule="auto"/>
        <w:rPr>
          <w:sz w:val="17"/>
          <w:szCs w:val="17"/>
        </w:rPr>
      </w:pPr>
      <w:r>
        <w:rPr>
          <w:sz w:val="17"/>
          <w:szCs w:val="17"/>
        </w:rPr>
        <w:t>否</w:t>
      </w:r>
    </w:p>
    <w:p w14:paraId="67D6C78B">
      <w:pPr>
        <w:pStyle w:val="2"/>
        <w:spacing w:line="394" w:lineRule="auto"/>
        <w:ind w:left="609" w:right="731" w:hanging="290"/>
        <w:rPr>
          <w:sz w:val="17"/>
          <w:szCs w:val="17"/>
        </w:rPr>
      </w:pPr>
      <w:r>
        <w:rPr>
          <w:spacing w:val="14"/>
          <w:sz w:val="17"/>
          <w:szCs w:val="17"/>
        </w:rPr>
        <w:t>符合?</w:t>
      </w:r>
      <w:r>
        <w:rPr>
          <w:sz w:val="17"/>
          <w:szCs w:val="17"/>
        </w:rPr>
        <w:t xml:space="preserve"> 是</w:t>
      </w:r>
    </w:p>
    <w:p w14:paraId="7830D21A">
      <w:pPr>
        <w:pStyle w:val="2"/>
        <w:spacing w:before="20" w:line="220" w:lineRule="auto"/>
        <w:ind w:left="269"/>
        <w:rPr>
          <w:sz w:val="17"/>
          <w:szCs w:val="17"/>
        </w:rPr>
      </w:pPr>
      <w:r>
        <w:rPr>
          <w:spacing w:val="3"/>
          <w:sz w:val="17"/>
          <w:szCs w:val="17"/>
        </w:rPr>
        <w:t>过程监理</w:t>
      </w:r>
    </w:p>
    <w:p w14:paraId="42CD33F7">
      <w:pPr>
        <w:spacing w:line="379" w:lineRule="auto"/>
        <w:rPr>
          <w:rFonts w:ascii="Arial"/>
          <w:sz w:val="21"/>
        </w:rPr>
      </w:pPr>
    </w:p>
    <w:p w14:paraId="4FFC9C6D">
      <w:pPr>
        <w:pStyle w:val="2"/>
        <w:spacing w:before="56" w:line="157" w:lineRule="auto"/>
        <w:ind w:left="9"/>
        <w:rPr>
          <w:sz w:val="17"/>
          <w:szCs w:val="17"/>
        </w:rPr>
      </w:pPr>
      <w:r>
        <w:rPr>
          <w:sz w:val="17"/>
          <w:szCs w:val="17"/>
        </w:rPr>
        <w:t>否</w:t>
      </w:r>
    </w:p>
    <w:p w14:paraId="1B0FE808">
      <w:pPr>
        <w:pStyle w:val="2"/>
        <w:spacing w:before="2" w:line="365" w:lineRule="auto"/>
        <w:ind w:left="619" w:right="739" w:hanging="300"/>
        <w:rPr>
          <w:sz w:val="17"/>
          <w:szCs w:val="17"/>
        </w:rPr>
      </w:pPr>
      <w:r>
        <w:rPr>
          <w:spacing w:val="4"/>
          <w:sz w:val="17"/>
          <w:szCs w:val="17"/>
        </w:rPr>
        <w:t>符合?</w:t>
      </w:r>
      <w:r>
        <w:rPr>
          <w:sz w:val="17"/>
          <w:szCs w:val="17"/>
        </w:rPr>
        <w:t xml:space="preserve"> </w:t>
      </w:r>
      <w:r>
        <w:rPr>
          <w:spacing w:val="-10"/>
          <w:sz w:val="17"/>
          <w:szCs w:val="17"/>
        </w:rPr>
        <w:t>是</w:t>
      </w:r>
    </w:p>
    <w:p w14:paraId="49986C83">
      <w:pPr>
        <w:pStyle w:val="2"/>
        <w:spacing w:before="82" w:line="221" w:lineRule="auto"/>
        <w:ind w:left="319"/>
        <w:rPr>
          <w:sz w:val="17"/>
          <w:szCs w:val="17"/>
        </w:rPr>
      </w:pPr>
      <w:r>
        <w:rPr>
          <w:spacing w:val="-2"/>
          <w:sz w:val="17"/>
          <w:szCs w:val="17"/>
        </w:rPr>
        <w:t>签认</w:t>
      </w:r>
    </w:p>
    <w:p w14:paraId="5BCC8E49">
      <w:pPr>
        <w:spacing w:line="427" w:lineRule="auto"/>
        <w:rPr>
          <w:rFonts w:ascii="Arial"/>
          <w:sz w:val="21"/>
        </w:rPr>
      </w:pPr>
    </w:p>
    <w:p w14:paraId="7F79ABEE">
      <w:pPr>
        <w:pStyle w:val="2"/>
        <w:spacing w:before="56" w:line="219" w:lineRule="auto"/>
        <w:ind w:left="149"/>
        <w:rPr>
          <w:sz w:val="17"/>
          <w:szCs w:val="17"/>
        </w:rPr>
      </w:pPr>
      <w:r>
        <w:rPr>
          <w:spacing w:val="2"/>
          <w:sz w:val="17"/>
          <w:szCs w:val="17"/>
        </w:rPr>
        <w:t>阶段结束</w:t>
      </w:r>
    </w:p>
    <w:p w14:paraId="72A68270">
      <w:pPr>
        <w:spacing w:line="245" w:lineRule="auto"/>
        <w:rPr>
          <w:rFonts w:ascii="Arial"/>
          <w:sz w:val="21"/>
        </w:rPr>
      </w:pPr>
    </w:p>
    <w:p w14:paraId="4CFBD4FD">
      <w:pPr>
        <w:spacing w:line="245" w:lineRule="auto"/>
        <w:rPr>
          <w:rFonts w:ascii="Arial"/>
          <w:sz w:val="21"/>
        </w:rPr>
      </w:pPr>
    </w:p>
    <w:p w14:paraId="5245DBE1">
      <w:pPr>
        <w:spacing w:line="246" w:lineRule="auto"/>
        <w:rPr>
          <w:rFonts w:ascii="Arial"/>
          <w:sz w:val="21"/>
        </w:rPr>
      </w:pPr>
    </w:p>
    <w:p w14:paraId="5D91449C">
      <w:pPr>
        <w:spacing w:line="246" w:lineRule="auto"/>
        <w:rPr>
          <w:rFonts w:ascii="Arial"/>
          <w:sz w:val="21"/>
        </w:rPr>
      </w:pPr>
    </w:p>
    <w:p w14:paraId="047D753E">
      <w:pPr>
        <w:spacing w:line="246" w:lineRule="auto"/>
        <w:rPr>
          <w:rFonts w:ascii="Arial"/>
          <w:sz w:val="21"/>
        </w:rPr>
      </w:pPr>
    </w:p>
    <w:p w14:paraId="4796CFD3">
      <w:pPr>
        <w:spacing w:line="246" w:lineRule="auto"/>
        <w:rPr>
          <w:rFonts w:ascii="Arial"/>
          <w:sz w:val="21"/>
        </w:rPr>
      </w:pPr>
    </w:p>
    <w:p w14:paraId="694204EB">
      <w:pPr>
        <w:pStyle w:val="2"/>
        <w:spacing w:before="55" w:line="220" w:lineRule="auto"/>
        <w:ind w:left="319"/>
        <w:rPr>
          <w:sz w:val="17"/>
          <w:szCs w:val="17"/>
        </w:rPr>
      </w:pPr>
      <w:r>
        <w:rPr>
          <w:spacing w:val="4"/>
          <w:sz w:val="17"/>
          <w:szCs w:val="17"/>
        </w:rPr>
        <w:t>审查</w:t>
      </w:r>
    </w:p>
    <w:p w14:paraId="2B89AE46">
      <w:pPr>
        <w:spacing w:line="270" w:lineRule="auto"/>
        <w:rPr>
          <w:rFonts w:ascii="Arial"/>
          <w:sz w:val="21"/>
        </w:rPr>
      </w:pPr>
    </w:p>
    <w:p w14:paraId="75AC0767">
      <w:pPr>
        <w:pStyle w:val="2"/>
        <w:spacing w:before="56" w:line="175" w:lineRule="auto"/>
        <w:ind w:left="829"/>
        <w:rPr>
          <w:sz w:val="17"/>
          <w:szCs w:val="17"/>
        </w:rPr>
      </w:pPr>
      <w:r>
        <w:rPr>
          <w:sz w:val="17"/>
          <w:szCs w:val="17"/>
        </w:rPr>
        <w:t>否</w:t>
      </w:r>
    </w:p>
    <w:p w14:paraId="6F9140BD">
      <w:pPr>
        <w:pStyle w:val="2"/>
        <w:spacing w:before="1" w:line="359" w:lineRule="auto"/>
        <w:ind w:left="239" w:right="791" w:firstLine="49"/>
        <w:rPr>
          <w:rFonts w:ascii="黑体" w:hAnsi="黑体" w:eastAsia="黑体" w:cs="黑体"/>
          <w:sz w:val="17"/>
          <w:szCs w:val="17"/>
        </w:rPr>
      </w:pPr>
      <w:r>
        <w:rPr>
          <w:spacing w:val="4"/>
          <w:sz w:val="17"/>
          <w:szCs w:val="17"/>
        </w:rPr>
        <w:t>合理?</w:t>
      </w:r>
      <w:r>
        <w:rPr>
          <w:sz w:val="17"/>
          <w:szCs w:val="17"/>
        </w:rPr>
        <w:t xml:space="preserve"> </w:t>
      </w:r>
      <w:r>
        <w:rPr>
          <w:rFonts w:ascii="黑体" w:hAnsi="黑体" w:eastAsia="黑体" w:cs="黑体"/>
          <w:sz w:val="17"/>
          <w:szCs w:val="17"/>
        </w:rPr>
        <w:t>是</w:t>
      </w:r>
    </w:p>
    <w:p w14:paraId="650C57CC">
      <w:pPr>
        <w:pStyle w:val="2"/>
        <w:spacing w:before="7" w:line="221" w:lineRule="auto"/>
        <w:ind w:left="149"/>
        <w:rPr>
          <w:sz w:val="17"/>
          <w:szCs w:val="17"/>
        </w:rPr>
      </w:pPr>
      <w:r>
        <w:rPr>
          <w:spacing w:val="-2"/>
          <w:sz w:val="17"/>
          <w:szCs w:val="17"/>
        </w:rPr>
        <w:t>三方签认</w:t>
      </w:r>
    </w:p>
    <w:p w14:paraId="6BFD3E67">
      <w:pPr>
        <w:spacing w:line="14" w:lineRule="auto"/>
        <w:rPr>
          <w:rFonts w:ascii="Arial"/>
          <w:sz w:val="2"/>
        </w:rPr>
      </w:pPr>
      <w:r>
        <w:rPr>
          <w:rFonts w:ascii="Arial" w:hAnsi="Arial" w:eastAsia="Arial" w:cs="Arial"/>
          <w:sz w:val="2"/>
          <w:szCs w:val="2"/>
        </w:rPr>
        <w:br w:type="column"/>
      </w:r>
    </w:p>
    <w:p w14:paraId="7792E98D">
      <w:pPr>
        <w:pStyle w:val="2"/>
        <w:spacing w:before="33" w:line="220" w:lineRule="auto"/>
        <w:ind w:left="69"/>
        <w:rPr>
          <w:sz w:val="17"/>
          <w:szCs w:val="17"/>
        </w:rPr>
      </w:pPr>
      <w:r>
        <w:rPr>
          <w:spacing w:val="-2"/>
          <w:sz w:val="17"/>
          <w:szCs w:val="17"/>
        </w:rPr>
        <w:t>业主单位</w:t>
      </w:r>
    </w:p>
    <w:p w14:paraId="77ACDBAE">
      <w:pPr>
        <w:spacing w:line="245" w:lineRule="auto"/>
        <w:rPr>
          <w:rFonts w:ascii="Arial"/>
          <w:sz w:val="21"/>
        </w:rPr>
      </w:pPr>
    </w:p>
    <w:p w14:paraId="044D5446">
      <w:pPr>
        <w:spacing w:line="245" w:lineRule="auto"/>
        <w:rPr>
          <w:rFonts w:ascii="Arial"/>
          <w:sz w:val="21"/>
        </w:rPr>
      </w:pPr>
    </w:p>
    <w:p w14:paraId="47CC2D28">
      <w:pPr>
        <w:spacing w:line="245" w:lineRule="auto"/>
        <w:rPr>
          <w:rFonts w:ascii="Arial"/>
          <w:sz w:val="21"/>
        </w:rPr>
      </w:pPr>
    </w:p>
    <w:p w14:paraId="43706569">
      <w:pPr>
        <w:spacing w:line="245" w:lineRule="auto"/>
        <w:rPr>
          <w:rFonts w:ascii="Arial"/>
          <w:sz w:val="21"/>
        </w:rPr>
      </w:pPr>
    </w:p>
    <w:p w14:paraId="0C5D1933">
      <w:pPr>
        <w:spacing w:line="245" w:lineRule="auto"/>
        <w:rPr>
          <w:rFonts w:ascii="Arial"/>
          <w:sz w:val="21"/>
        </w:rPr>
      </w:pPr>
    </w:p>
    <w:p w14:paraId="556BA0CD">
      <w:pPr>
        <w:spacing w:line="245" w:lineRule="auto"/>
        <w:rPr>
          <w:rFonts w:ascii="Arial"/>
          <w:sz w:val="21"/>
        </w:rPr>
      </w:pPr>
    </w:p>
    <w:p w14:paraId="1244F224">
      <w:pPr>
        <w:spacing w:line="245" w:lineRule="auto"/>
        <w:rPr>
          <w:rFonts w:ascii="Arial"/>
          <w:sz w:val="21"/>
        </w:rPr>
      </w:pPr>
    </w:p>
    <w:p w14:paraId="456D6A22">
      <w:pPr>
        <w:spacing w:line="246" w:lineRule="auto"/>
        <w:rPr>
          <w:rFonts w:ascii="Arial"/>
          <w:sz w:val="21"/>
        </w:rPr>
      </w:pPr>
    </w:p>
    <w:p w14:paraId="06B4C57B">
      <w:pPr>
        <w:spacing w:line="246" w:lineRule="auto"/>
        <w:rPr>
          <w:rFonts w:ascii="Arial"/>
          <w:sz w:val="21"/>
        </w:rPr>
      </w:pPr>
    </w:p>
    <w:p w14:paraId="0C805181">
      <w:pPr>
        <w:spacing w:line="246" w:lineRule="auto"/>
        <w:rPr>
          <w:rFonts w:ascii="Arial"/>
          <w:sz w:val="21"/>
        </w:rPr>
      </w:pPr>
    </w:p>
    <w:p w14:paraId="034076A6">
      <w:pPr>
        <w:spacing w:line="246" w:lineRule="auto"/>
        <w:rPr>
          <w:rFonts w:ascii="Arial"/>
          <w:sz w:val="21"/>
        </w:rPr>
      </w:pPr>
    </w:p>
    <w:p w14:paraId="1A78C3C9">
      <w:pPr>
        <w:spacing w:line="246" w:lineRule="auto"/>
        <w:rPr>
          <w:rFonts w:ascii="Arial"/>
          <w:sz w:val="21"/>
        </w:rPr>
      </w:pPr>
    </w:p>
    <w:p w14:paraId="38C7A3E7">
      <w:pPr>
        <w:spacing w:line="246" w:lineRule="auto"/>
        <w:rPr>
          <w:rFonts w:ascii="Arial"/>
          <w:sz w:val="21"/>
        </w:rPr>
      </w:pPr>
    </w:p>
    <w:p w14:paraId="752EE97C">
      <w:pPr>
        <w:spacing w:line="246" w:lineRule="auto"/>
        <w:rPr>
          <w:rFonts w:ascii="Arial"/>
          <w:sz w:val="21"/>
        </w:rPr>
      </w:pPr>
    </w:p>
    <w:p w14:paraId="531A4582">
      <w:pPr>
        <w:spacing w:line="246" w:lineRule="auto"/>
        <w:rPr>
          <w:rFonts w:ascii="Arial"/>
          <w:sz w:val="21"/>
        </w:rPr>
      </w:pPr>
    </w:p>
    <w:p w14:paraId="19AB3757">
      <w:pPr>
        <w:spacing w:line="246" w:lineRule="auto"/>
        <w:rPr>
          <w:rFonts w:ascii="Arial"/>
          <w:sz w:val="21"/>
        </w:rPr>
      </w:pPr>
    </w:p>
    <w:p w14:paraId="3F1FBCFF">
      <w:pPr>
        <w:spacing w:line="246" w:lineRule="auto"/>
        <w:rPr>
          <w:rFonts w:ascii="Arial"/>
          <w:sz w:val="21"/>
        </w:rPr>
      </w:pPr>
    </w:p>
    <w:p w14:paraId="43C44FF6">
      <w:pPr>
        <w:spacing w:line="246" w:lineRule="auto"/>
        <w:rPr>
          <w:rFonts w:ascii="Arial"/>
          <w:sz w:val="21"/>
        </w:rPr>
      </w:pPr>
    </w:p>
    <w:p w14:paraId="6017E77E">
      <w:pPr>
        <w:spacing w:line="246" w:lineRule="auto"/>
        <w:rPr>
          <w:rFonts w:ascii="Arial"/>
          <w:sz w:val="21"/>
        </w:rPr>
      </w:pPr>
    </w:p>
    <w:p w14:paraId="6E91398D">
      <w:pPr>
        <w:spacing w:line="246" w:lineRule="auto"/>
        <w:rPr>
          <w:rFonts w:ascii="Arial"/>
          <w:sz w:val="21"/>
        </w:rPr>
      </w:pPr>
    </w:p>
    <w:p w14:paraId="60B6F160">
      <w:pPr>
        <w:spacing w:line="246" w:lineRule="auto"/>
        <w:rPr>
          <w:rFonts w:ascii="Arial"/>
          <w:sz w:val="21"/>
        </w:rPr>
      </w:pPr>
    </w:p>
    <w:p w14:paraId="55F049B2">
      <w:pPr>
        <w:spacing w:line="246" w:lineRule="auto"/>
        <w:rPr>
          <w:rFonts w:ascii="Arial"/>
          <w:sz w:val="21"/>
        </w:rPr>
      </w:pPr>
    </w:p>
    <w:p w14:paraId="185B1858">
      <w:pPr>
        <w:spacing w:line="246" w:lineRule="auto"/>
        <w:rPr>
          <w:rFonts w:ascii="Arial"/>
          <w:sz w:val="21"/>
        </w:rPr>
      </w:pPr>
    </w:p>
    <w:p w14:paraId="3EFDF817">
      <w:pPr>
        <w:spacing w:line="246" w:lineRule="auto"/>
        <w:rPr>
          <w:rFonts w:ascii="Arial"/>
          <w:sz w:val="21"/>
        </w:rPr>
      </w:pPr>
    </w:p>
    <w:p w14:paraId="57163095">
      <w:pPr>
        <w:spacing w:line="246" w:lineRule="auto"/>
        <w:rPr>
          <w:rFonts w:ascii="Arial"/>
          <w:sz w:val="21"/>
        </w:rPr>
      </w:pPr>
    </w:p>
    <w:p w14:paraId="36673BFC">
      <w:pPr>
        <w:pStyle w:val="2"/>
        <w:spacing w:before="56" w:line="218" w:lineRule="auto"/>
        <w:ind w:left="69" w:right="376"/>
        <w:jc w:val="both"/>
        <w:rPr>
          <w:sz w:val="17"/>
          <w:szCs w:val="17"/>
        </w:rPr>
      </w:pPr>
      <w:r>
        <w:rPr>
          <w:spacing w:val="-2"/>
          <w:sz w:val="17"/>
          <w:szCs w:val="17"/>
        </w:rPr>
        <w:t>变更申请</w:t>
      </w:r>
      <w:r>
        <w:rPr>
          <w:sz w:val="17"/>
          <w:szCs w:val="17"/>
        </w:rPr>
        <w:t xml:space="preserve"> </w:t>
      </w:r>
      <w:r>
        <w:rPr>
          <w:spacing w:val="-2"/>
          <w:sz w:val="17"/>
          <w:szCs w:val="17"/>
        </w:rPr>
        <w:t>延期申请</w:t>
      </w:r>
      <w:r>
        <w:rPr>
          <w:sz w:val="17"/>
          <w:szCs w:val="17"/>
        </w:rPr>
        <w:t xml:space="preserve"> </w:t>
      </w:r>
      <w:r>
        <w:rPr>
          <w:spacing w:val="-2"/>
          <w:sz w:val="17"/>
          <w:szCs w:val="17"/>
        </w:rPr>
        <w:t>索赔申请</w:t>
      </w:r>
    </w:p>
    <w:p w14:paraId="6A608A60">
      <w:pPr>
        <w:spacing w:line="241" w:lineRule="auto"/>
        <w:rPr>
          <w:rFonts w:ascii="Arial"/>
          <w:sz w:val="21"/>
        </w:rPr>
      </w:pPr>
    </w:p>
    <w:p w14:paraId="48B574BA">
      <w:pPr>
        <w:spacing w:line="241" w:lineRule="auto"/>
        <w:rPr>
          <w:rFonts w:ascii="Arial"/>
          <w:sz w:val="21"/>
        </w:rPr>
      </w:pPr>
    </w:p>
    <w:p w14:paraId="76C455F8">
      <w:pPr>
        <w:spacing w:line="241" w:lineRule="auto"/>
        <w:rPr>
          <w:rFonts w:ascii="Arial"/>
          <w:sz w:val="21"/>
        </w:rPr>
      </w:pPr>
    </w:p>
    <w:p w14:paraId="45F83EDB">
      <w:pPr>
        <w:spacing w:line="241" w:lineRule="auto"/>
        <w:rPr>
          <w:rFonts w:ascii="Arial"/>
          <w:sz w:val="21"/>
        </w:rPr>
      </w:pPr>
    </w:p>
    <w:p w14:paraId="185FA15C">
      <w:pPr>
        <w:spacing w:line="241" w:lineRule="auto"/>
        <w:rPr>
          <w:rFonts w:ascii="Arial"/>
          <w:sz w:val="21"/>
        </w:rPr>
      </w:pPr>
    </w:p>
    <w:p w14:paraId="5824285B">
      <w:pPr>
        <w:pStyle w:val="2"/>
        <w:spacing w:before="55" w:line="219" w:lineRule="auto"/>
        <w:rPr>
          <w:sz w:val="17"/>
          <w:szCs w:val="17"/>
        </w:rPr>
      </w:pPr>
      <w:r>
        <w:rPr>
          <w:spacing w:val="-2"/>
          <w:sz w:val="17"/>
          <w:szCs w:val="17"/>
        </w:rPr>
        <w:t>不允许变更</w:t>
      </w:r>
    </w:p>
    <w:p w14:paraId="6F014B24">
      <w:pPr>
        <w:spacing w:line="14" w:lineRule="auto"/>
        <w:rPr>
          <w:rFonts w:ascii="Arial"/>
          <w:sz w:val="2"/>
        </w:rPr>
      </w:pPr>
      <w:r>
        <w:rPr>
          <w:rFonts w:ascii="Arial" w:hAnsi="Arial" w:eastAsia="Arial" w:cs="Arial"/>
          <w:sz w:val="2"/>
          <w:szCs w:val="2"/>
        </w:rPr>
        <w:br w:type="column"/>
      </w:r>
    </w:p>
    <w:p w14:paraId="66BA01A8">
      <w:pPr>
        <w:pStyle w:val="2"/>
        <w:spacing w:before="43" w:line="219" w:lineRule="auto"/>
        <w:ind w:left="350"/>
        <w:rPr>
          <w:sz w:val="17"/>
          <w:szCs w:val="17"/>
        </w:rPr>
      </w:pPr>
      <w:r>
        <w:rPr>
          <w:spacing w:val="-2"/>
          <w:sz w:val="17"/>
          <w:szCs w:val="17"/>
        </w:rPr>
        <w:t>输出</w:t>
      </w:r>
    </w:p>
    <w:p w14:paraId="53D7FEA4">
      <w:pPr>
        <w:spacing w:line="289" w:lineRule="auto"/>
        <w:rPr>
          <w:rFonts w:ascii="Arial"/>
          <w:sz w:val="21"/>
        </w:rPr>
      </w:pPr>
    </w:p>
    <w:p w14:paraId="041A4A02">
      <w:pPr>
        <w:spacing w:line="290" w:lineRule="auto"/>
        <w:rPr>
          <w:rFonts w:ascii="Arial"/>
          <w:sz w:val="21"/>
        </w:rPr>
      </w:pPr>
    </w:p>
    <w:p w14:paraId="5007BE40">
      <w:pPr>
        <w:pStyle w:val="2"/>
        <w:spacing w:before="55" w:line="219" w:lineRule="auto"/>
        <w:ind w:left="160"/>
        <w:rPr>
          <w:sz w:val="17"/>
          <w:szCs w:val="17"/>
        </w:rPr>
      </w:pPr>
      <w:r>
        <w:rPr>
          <w:spacing w:val="-2"/>
          <w:sz w:val="17"/>
          <w:szCs w:val="17"/>
        </w:rPr>
        <w:t>整改方案</w:t>
      </w:r>
    </w:p>
    <w:p w14:paraId="6B24C557">
      <w:pPr>
        <w:pStyle w:val="2"/>
        <w:spacing w:before="208" w:line="259" w:lineRule="auto"/>
        <w:ind w:left="240" w:right="1149" w:hanging="80"/>
        <w:rPr>
          <w:sz w:val="17"/>
          <w:szCs w:val="17"/>
        </w:rPr>
      </w:pPr>
      <w:r>
        <w:rPr>
          <w:spacing w:val="-2"/>
          <w:sz w:val="17"/>
          <w:szCs w:val="17"/>
        </w:rPr>
        <w:t>监理工作</w:t>
      </w:r>
      <w:r>
        <w:rPr>
          <w:sz w:val="17"/>
          <w:szCs w:val="17"/>
        </w:rPr>
        <w:t xml:space="preserve"> </w:t>
      </w:r>
      <w:r>
        <w:rPr>
          <w:spacing w:val="8"/>
          <w:sz w:val="17"/>
          <w:szCs w:val="17"/>
        </w:rPr>
        <w:t>联系</w:t>
      </w:r>
      <w:r>
        <w:rPr>
          <w:color w:val="2092DF"/>
          <w:spacing w:val="8"/>
          <w:sz w:val="17"/>
          <w:szCs w:val="17"/>
        </w:rPr>
        <w:t>单</w:t>
      </w:r>
    </w:p>
    <w:p w14:paraId="7A5FE83B">
      <w:pPr>
        <w:pStyle w:val="2"/>
        <w:spacing w:before="95" w:line="430" w:lineRule="auto"/>
        <w:ind w:left="240" w:right="1059" w:hanging="160"/>
        <w:rPr>
          <w:sz w:val="17"/>
          <w:szCs w:val="17"/>
        </w:rPr>
      </w:pPr>
      <w:r>
        <w:rPr>
          <w:spacing w:val="-2"/>
          <w:sz w:val="17"/>
          <w:szCs w:val="17"/>
        </w:rPr>
        <w:t>监理通知单</w:t>
      </w:r>
      <w:r>
        <w:rPr>
          <w:spacing w:val="1"/>
          <w:sz w:val="17"/>
          <w:szCs w:val="17"/>
        </w:rPr>
        <w:t xml:space="preserve"> </w:t>
      </w:r>
      <w:r>
        <w:rPr>
          <w:spacing w:val="-2"/>
          <w:sz w:val="17"/>
          <w:szCs w:val="17"/>
        </w:rPr>
        <w:t>开工令</w:t>
      </w:r>
    </w:p>
    <w:p w14:paraId="7EE3E911">
      <w:pPr>
        <w:pStyle w:val="2"/>
        <w:spacing w:before="2" w:line="224" w:lineRule="auto"/>
        <w:ind w:left="160"/>
        <w:rPr>
          <w:sz w:val="17"/>
          <w:szCs w:val="17"/>
        </w:rPr>
      </w:pPr>
      <w:r>
        <w:rPr>
          <w:spacing w:val="-2"/>
          <w:sz w:val="17"/>
          <w:szCs w:val="17"/>
        </w:rPr>
        <w:t>监理日志</w:t>
      </w:r>
    </w:p>
    <w:p w14:paraId="28D2ECCF">
      <w:pPr>
        <w:pStyle w:val="2"/>
        <w:spacing w:before="289" w:line="443" w:lineRule="auto"/>
        <w:ind w:left="80" w:right="1059"/>
        <w:rPr>
          <w:sz w:val="17"/>
          <w:szCs w:val="17"/>
        </w:rPr>
      </w:pPr>
      <w:r>
        <w:rPr>
          <w:spacing w:val="-2"/>
          <w:sz w:val="17"/>
          <w:szCs w:val="17"/>
        </w:rPr>
        <w:t>工程备忘录</w:t>
      </w:r>
      <w:r>
        <w:rPr>
          <w:sz w:val="17"/>
          <w:szCs w:val="17"/>
        </w:rPr>
        <w:t xml:space="preserve"> </w:t>
      </w:r>
      <w:r>
        <w:rPr>
          <w:spacing w:val="-2"/>
          <w:sz w:val="17"/>
          <w:szCs w:val="17"/>
        </w:rPr>
        <w:t>监理通知单</w:t>
      </w:r>
    </w:p>
    <w:p w14:paraId="1E3E1D29">
      <w:pPr>
        <w:pStyle w:val="2"/>
        <w:spacing w:before="174" w:line="229" w:lineRule="auto"/>
        <w:ind w:left="80" w:right="969" w:hanging="80"/>
        <w:rPr>
          <w:sz w:val="17"/>
          <w:szCs w:val="17"/>
        </w:rPr>
      </w:pPr>
      <w:r>
        <w:rPr>
          <w:spacing w:val="-2"/>
          <w:sz w:val="17"/>
          <w:szCs w:val="17"/>
        </w:rPr>
        <w:t>分包单位资</w:t>
      </w:r>
      <w:r>
        <w:rPr>
          <w:color w:val="0084DC"/>
          <w:spacing w:val="-2"/>
          <w:sz w:val="17"/>
          <w:szCs w:val="17"/>
        </w:rPr>
        <w:t>质</w:t>
      </w:r>
      <w:r>
        <w:rPr>
          <w:color w:val="0084DC"/>
          <w:spacing w:val="3"/>
          <w:sz w:val="17"/>
          <w:szCs w:val="17"/>
        </w:rPr>
        <w:t xml:space="preserve"> </w:t>
      </w:r>
      <w:r>
        <w:rPr>
          <w:spacing w:val="-2"/>
          <w:sz w:val="17"/>
          <w:szCs w:val="17"/>
        </w:rPr>
        <w:t>审查申请</w:t>
      </w:r>
      <w:r>
        <w:rPr>
          <w:color w:val="258BE5"/>
          <w:spacing w:val="-2"/>
          <w:sz w:val="17"/>
          <w:szCs w:val="17"/>
        </w:rPr>
        <w:t>表</w:t>
      </w:r>
    </w:p>
    <w:p w14:paraId="4D46D14D">
      <w:pPr>
        <w:pStyle w:val="2"/>
        <w:spacing w:before="138" w:line="258" w:lineRule="auto"/>
        <w:ind w:left="240" w:right="1148" w:hanging="80"/>
        <w:rPr>
          <w:sz w:val="17"/>
          <w:szCs w:val="17"/>
        </w:rPr>
      </w:pPr>
      <w:r>
        <w:rPr>
          <w:spacing w:val="-2"/>
          <w:sz w:val="17"/>
          <w:szCs w:val="17"/>
        </w:rPr>
        <w:t>被签认的</w:t>
      </w:r>
      <w:r>
        <w:rPr>
          <w:sz w:val="17"/>
          <w:szCs w:val="17"/>
        </w:rPr>
        <w:t xml:space="preserve"> </w:t>
      </w:r>
      <w:r>
        <w:rPr>
          <w:spacing w:val="-2"/>
          <w:sz w:val="17"/>
          <w:szCs w:val="17"/>
        </w:rPr>
        <w:t>报审表</w:t>
      </w:r>
    </w:p>
    <w:p w14:paraId="0987A538">
      <w:pPr>
        <w:pStyle w:val="2"/>
        <w:spacing w:before="173" w:line="218" w:lineRule="auto"/>
        <w:rPr>
          <w:sz w:val="17"/>
          <w:szCs w:val="17"/>
        </w:rPr>
      </w:pPr>
      <w:r>
        <w:rPr>
          <w:color w:val="0063D5"/>
          <w:spacing w:val="3"/>
          <w:sz w:val="17"/>
          <w:szCs w:val="17"/>
        </w:rPr>
        <w:t>工</w:t>
      </w:r>
      <w:r>
        <w:rPr>
          <w:spacing w:val="3"/>
          <w:sz w:val="17"/>
          <w:szCs w:val="17"/>
        </w:rPr>
        <w:t>程实施报告</w:t>
      </w:r>
    </w:p>
    <w:p w14:paraId="65719541">
      <w:pPr>
        <w:pStyle w:val="2"/>
        <w:spacing w:before="229" w:line="411" w:lineRule="auto"/>
        <w:ind w:left="160" w:right="940" w:hanging="160"/>
        <w:rPr>
          <w:sz w:val="17"/>
          <w:szCs w:val="17"/>
        </w:rPr>
      </w:pPr>
      <w:r>
        <w:rPr>
          <w:spacing w:val="3"/>
          <w:sz w:val="17"/>
          <w:szCs w:val="17"/>
        </w:rPr>
        <w:t>工程监理报告</w:t>
      </w:r>
      <w:r>
        <w:rPr>
          <w:spacing w:val="2"/>
          <w:sz w:val="17"/>
          <w:szCs w:val="17"/>
        </w:rPr>
        <w:t xml:space="preserve"> </w:t>
      </w:r>
      <w:r>
        <w:rPr>
          <w:spacing w:val="-2"/>
          <w:sz w:val="17"/>
          <w:szCs w:val="17"/>
        </w:rPr>
        <w:t>会议纪要</w:t>
      </w:r>
    </w:p>
    <w:p w14:paraId="500730A7">
      <w:pPr>
        <w:pStyle w:val="2"/>
        <w:spacing w:before="74" w:line="408" w:lineRule="auto"/>
        <w:ind w:left="240" w:right="1239"/>
        <w:rPr>
          <w:sz w:val="17"/>
          <w:szCs w:val="17"/>
        </w:rPr>
      </w:pPr>
      <w:r>
        <w:rPr>
          <w:spacing w:val="-3"/>
          <w:sz w:val="17"/>
          <w:szCs w:val="17"/>
        </w:rPr>
        <w:t>停工令</w:t>
      </w:r>
      <w:r>
        <w:rPr>
          <w:sz w:val="17"/>
          <w:szCs w:val="17"/>
        </w:rPr>
        <w:t xml:space="preserve"> </w:t>
      </w:r>
      <w:r>
        <w:rPr>
          <w:spacing w:val="-3"/>
          <w:sz w:val="17"/>
          <w:szCs w:val="17"/>
        </w:rPr>
        <w:t>复工令</w:t>
      </w:r>
    </w:p>
    <w:p w14:paraId="5B120BE1">
      <w:pPr>
        <w:pStyle w:val="2"/>
        <w:spacing w:before="1" w:line="223" w:lineRule="auto"/>
        <w:ind w:left="160" w:right="1138"/>
        <w:rPr>
          <w:sz w:val="17"/>
          <w:szCs w:val="17"/>
        </w:rPr>
      </w:pPr>
      <w:r>
        <w:rPr>
          <w:color w:val="006BCA"/>
          <w:sz w:val="17"/>
          <w:szCs w:val="17"/>
        </w:rPr>
        <w:t>工</w:t>
      </w:r>
      <w:r>
        <w:rPr>
          <w:sz w:val="17"/>
          <w:szCs w:val="17"/>
        </w:rPr>
        <w:t>程款支</w:t>
      </w:r>
      <w:r>
        <w:rPr>
          <w:spacing w:val="2"/>
          <w:sz w:val="17"/>
          <w:szCs w:val="17"/>
        </w:rPr>
        <w:t xml:space="preserve"> </w:t>
      </w:r>
      <w:r>
        <w:rPr>
          <w:spacing w:val="-2"/>
          <w:sz w:val="17"/>
          <w:szCs w:val="17"/>
        </w:rPr>
        <w:t>付意见表</w:t>
      </w:r>
    </w:p>
    <w:p w14:paraId="199F3786">
      <w:pPr>
        <w:pStyle w:val="2"/>
        <w:spacing w:before="277" w:line="375" w:lineRule="auto"/>
        <w:ind w:left="80" w:right="1059"/>
        <w:rPr>
          <w:sz w:val="17"/>
          <w:szCs w:val="17"/>
        </w:rPr>
      </w:pPr>
      <w:r>
        <w:rPr>
          <w:spacing w:val="-2"/>
          <w:sz w:val="17"/>
          <w:szCs w:val="17"/>
        </w:rPr>
        <w:t>监理意见单</w:t>
      </w:r>
      <w:r>
        <w:rPr>
          <w:spacing w:val="1"/>
          <w:sz w:val="17"/>
          <w:szCs w:val="17"/>
        </w:rPr>
        <w:t xml:space="preserve"> </w:t>
      </w:r>
      <w:r>
        <w:rPr>
          <w:spacing w:val="-2"/>
          <w:sz w:val="17"/>
          <w:szCs w:val="17"/>
        </w:rPr>
        <w:t>工程备忘录</w:t>
      </w:r>
      <w:r>
        <w:rPr>
          <w:sz w:val="17"/>
          <w:szCs w:val="17"/>
        </w:rPr>
        <w:t xml:space="preserve"> </w:t>
      </w:r>
      <w:r>
        <w:rPr>
          <w:spacing w:val="18"/>
          <w:sz w:val="17"/>
          <w:szCs w:val="17"/>
        </w:rPr>
        <w:t>变更方案</w:t>
      </w:r>
      <w:r>
        <w:rPr>
          <w:sz w:val="17"/>
          <w:szCs w:val="17"/>
        </w:rPr>
        <w:t xml:space="preserve">  </w:t>
      </w:r>
      <w:r>
        <w:rPr>
          <w:spacing w:val="-2"/>
          <w:sz w:val="17"/>
          <w:szCs w:val="17"/>
        </w:rPr>
        <w:t>工程变更单</w:t>
      </w:r>
    </w:p>
    <w:p w14:paraId="02581D30">
      <w:pPr>
        <w:spacing w:line="375" w:lineRule="auto"/>
        <w:rPr>
          <w:sz w:val="17"/>
          <w:szCs w:val="17"/>
        </w:rPr>
        <w:sectPr>
          <w:type w:val="continuous"/>
          <w:pgSz w:w="10300" w:h="13320"/>
          <w:pgMar w:top="400" w:right="597" w:bottom="400" w:left="1110" w:header="0" w:footer="0" w:gutter="0"/>
          <w:cols w:equalWidth="0" w:num="5">
            <w:col w:w="2190" w:space="100"/>
            <w:col w:w="1381" w:space="100"/>
            <w:col w:w="1520" w:space="100"/>
            <w:col w:w="1120" w:space="100"/>
            <w:col w:w="1983"/>
          </w:cols>
        </w:sectPr>
      </w:pPr>
    </w:p>
    <w:p w14:paraId="1C393076">
      <w:pPr>
        <w:spacing w:line="372" w:lineRule="auto"/>
        <w:rPr>
          <w:rFonts w:ascii="Arial"/>
          <w:sz w:val="21"/>
        </w:rPr>
      </w:pPr>
    </w:p>
    <w:p w14:paraId="713DEB34">
      <w:pPr>
        <w:pStyle w:val="2"/>
        <w:spacing w:before="56" w:line="220" w:lineRule="auto"/>
        <w:ind w:left="2919"/>
        <w:rPr>
          <w:sz w:val="17"/>
          <w:szCs w:val="17"/>
        </w:rPr>
      </w:pPr>
      <w:r>
        <w:rPr>
          <w:spacing w:val="9"/>
          <w:sz w:val="17"/>
          <w:szCs w:val="17"/>
        </w:rPr>
        <w:t>图20-3</w:t>
      </w:r>
      <w:r>
        <w:rPr>
          <w:spacing w:val="84"/>
          <w:w w:val="101"/>
          <w:sz w:val="17"/>
          <w:szCs w:val="17"/>
        </w:rPr>
        <w:t xml:space="preserve"> </w:t>
      </w:r>
      <w:r>
        <w:rPr>
          <w:spacing w:val="9"/>
          <w:sz w:val="17"/>
          <w:szCs w:val="17"/>
        </w:rPr>
        <w:t>实施阶段监理工作流程</w:t>
      </w:r>
    </w:p>
    <w:p w14:paraId="644874A2">
      <w:pPr>
        <w:spacing w:before="203" w:line="296" w:lineRule="auto"/>
        <w:ind w:right="258" w:firstLine="304"/>
        <w:jc w:val="both"/>
        <w:rPr>
          <w:rFonts w:ascii="楷体" w:hAnsi="楷体" w:eastAsia="楷体" w:cs="楷体"/>
          <w:sz w:val="17"/>
          <w:szCs w:val="17"/>
        </w:rPr>
      </w:pPr>
      <w:bookmarkStart w:id="713" w:name="bookmark698"/>
      <w:bookmarkEnd w:id="713"/>
      <w:r>
        <w:rPr>
          <w:rFonts w:ascii="黑体" w:hAnsi="黑体" w:eastAsia="黑体" w:cs="黑体"/>
          <w:spacing w:val="27"/>
          <w:sz w:val="17"/>
          <w:szCs w:val="17"/>
        </w:rPr>
        <w:t>【 案</w:t>
      </w:r>
      <w:r>
        <w:rPr>
          <w:rFonts w:ascii="黑体" w:hAnsi="黑体" w:eastAsia="黑体" w:cs="黑体"/>
          <w:spacing w:val="-15"/>
          <w:sz w:val="17"/>
          <w:szCs w:val="17"/>
        </w:rPr>
        <w:t xml:space="preserve"> </w:t>
      </w:r>
      <w:r>
        <w:rPr>
          <w:rFonts w:ascii="黑体" w:hAnsi="黑体" w:eastAsia="黑体" w:cs="黑体"/>
          <w:spacing w:val="27"/>
          <w:sz w:val="17"/>
          <w:szCs w:val="17"/>
        </w:rPr>
        <w:t>例</w:t>
      </w:r>
      <w:r>
        <w:rPr>
          <w:rFonts w:ascii="黑体" w:hAnsi="黑体" w:eastAsia="黑体" w:cs="黑体"/>
          <w:spacing w:val="-28"/>
          <w:sz w:val="17"/>
          <w:szCs w:val="17"/>
        </w:rPr>
        <w:t xml:space="preserve"> </w:t>
      </w:r>
      <w:r>
        <w:rPr>
          <w:rFonts w:ascii="黑体" w:hAnsi="黑体" w:eastAsia="黑体" w:cs="黑体"/>
          <w:spacing w:val="27"/>
          <w:sz w:val="17"/>
          <w:szCs w:val="17"/>
        </w:rPr>
        <w:t>2</w:t>
      </w:r>
      <w:r>
        <w:rPr>
          <w:rFonts w:ascii="黑体" w:hAnsi="黑体" w:eastAsia="黑体" w:cs="黑体"/>
          <w:spacing w:val="-34"/>
          <w:sz w:val="17"/>
          <w:szCs w:val="17"/>
        </w:rPr>
        <w:t xml:space="preserve"> </w:t>
      </w:r>
      <w:r>
        <w:rPr>
          <w:rFonts w:ascii="黑体" w:hAnsi="黑体" w:eastAsia="黑体" w:cs="黑体"/>
          <w:spacing w:val="27"/>
          <w:sz w:val="17"/>
          <w:szCs w:val="17"/>
        </w:rPr>
        <w:t>】</w:t>
      </w:r>
      <w:r>
        <w:rPr>
          <w:rFonts w:ascii="楷体" w:hAnsi="楷体" w:eastAsia="楷体" w:cs="楷体"/>
          <w:spacing w:val="27"/>
          <w:sz w:val="17"/>
          <w:szCs w:val="17"/>
        </w:rPr>
        <w:t>某单位信息化改造项目的合同工期为“自合同签订之日起180个日历日完成设备</w:t>
      </w:r>
      <w:r>
        <w:rPr>
          <w:rFonts w:ascii="楷体" w:hAnsi="楷体" w:eastAsia="楷体" w:cs="楷体"/>
          <w:sz w:val="17"/>
          <w:szCs w:val="17"/>
        </w:rPr>
        <w:t xml:space="preserve"> </w:t>
      </w:r>
      <w:r>
        <w:rPr>
          <w:rFonts w:ascii="楷体" w:hAnsi="楷体" w:eastAsia="楷体" w:cs="楷体"/>
          <w:spacing w:val="30"/>
          <w:sz w:val="17"/>
          <w:szCs w:val="17"/>
        </w:rPr>
        <w:t>到货、设备安装调试工作，并通过初验”,由于客观原因导致项目无法如期完成初验工作。</w:t>
      </w:r>
      <w:r>
        <w:rPr>
          <w:rFonts w:ascii="楷体" w:hAnsi="楷体" w:eastAsia="楷体" w:cs="楷体"/>
          <w:spacing w:val="29"/>
          <w:sz w:val="17"/>
          <w:szCs w:val="17"/>
        </w:rPr>
        <w:t>监理</w:t>
      </w:r>
      <w:r>
        <w:rPr>
          <w:rFonts w:ascii="楷体" w:hAnsi="楷体" w:eastAsia="楷体" w:cs="楷体"/>
          <w:sz w:val="17"/>
          <w:szCs w:val="17"/>
        </w:rPr>
        <w:t xml:space="preserve"> </w:t>
      </w:r>
      <w:r>
        <w:rPr>
          <w:rFonts w:ascii="楷体" w:hAnsi="楷体" w:eastAsia="楷体" w:cs="楷体"/>
          <w:spacing w:val="28"/>
          <w:sz w:val="17"/>
          <w:szCs w:val="17"/>
        </w:rPr>
        <w:t>机构提出对该事项的处理流程意见。处理流程具体如下：</w:t>
      </w:r>
    </w:p>
    <w:p w14:paraId="7A6DBDDA">
      <w:pPr>
        <w:spacing w:line="296" w:lineRule="auto"/>
        <w:rPr>
          <w:rFonts w:ascii="楷体" w:hAnsi="楷体" w:eastAsia="楷体" w:cs="楷体"/>
          <w:sz w:val="17"/>
          <w:szCs w:val="17"/>
        </w:rPr>
        <w:sectPr>
          <w:type w:val="continuous"/>
          <w:pgSz w:w="10300" w:h="13320"/>
          <w:pgMar w:top="400" w:right="597" w:bottom="400" w:left="1110" w:header="0" w:footer="0" w:gutter="0"/>
          <w:cols w:equalWidth="0" w:num="1">
            <w:col w:w="8593"/>
          </w:cols>
        </w:sectPr>
      </w:pPr>
    </w:p>
    <w:p w14:paraId="7A04560E">
      <w:pPr>
        <w:pStyle w:val="2"/>
        <w:spacing w:before="88" w:line="219" w:lineRule="auto"/>
        <w:rPr>
          <w:sz w:val="20"/>
          <w:szCs w:val="20"/>
        </w:rPr>
      </w:pPr>
      <w:bookmarkStart w:id="714" w:name="bookmark699"/>
      <w:bookmarkEnd w:id="714"/>
      <w:r>
        <w:rPr>
          <w:rFonts w:ascii="Times New Roman" w:hAnsi="Times New Roman" w:eastAsia="Times New Roman" w:cs="Times New Roman"/>
          <w:spacing w:val="-1"/>
          <w:sz w:val="16"/>
          <w:szCs w:val="16"/>
        </w:rPr>
        <w:t xml:space="preserve">464                   </w:t>
      </w:r>
      <w:r>
        <w:rPr>
          <w:spacing w:val="-1"/>
          <w:sz w:val="20"/>
          <w:szCs w:val="20"/>
        </w:rPr>
        <w:t>信息系</w:t>
      </w:r>
      <w:r>
        <w:rPr>
          <w:spacing w:val="-2"/>
          <w:sz w:val="20"/>
          <w:szCs w:val="20"/>
        </w:rPr>
        <w:t>统监理师教程(第2版)</w:t>
      </w:r>
    </w:p>
    <w:p w14:paraId="12746597">
      <w:pPr>
        <w:spacing w:line="307" w:lineRule="auto"/>
        <w:rPr>
          <w:rFonts w:ascii="Arial"/>
          <w:sz w:val="21"/>
        </w:rPr>
      </w:pPr>
    </w:p>
    <w:p w14:paraId="21B92745">
      <w:pPr>
        <w:spacing w:before="65" w:line="262" w:lineRule="auto"/>
        <w:ind w:left="359" w:firstLine="400"/>
        <w:rPr>
          <w:rFonts w:ascii="楷体" w:hAnsi="楷体" w:eastAsia="楷体" w:cs="楷体"/>
          <w:sz w:val="20"/>
          <w:szCs w:val="20"/>
        </w:rPr>
      </w:pPr>
      <w:r>
        <w:rPr>
          <w:rFonts w:ascii="楷体" w:hAnsi="楷体" w:eastAsia="楷体" w:cs="楷体"/>
          <w:spacing w:val="9"/>
          <w:sz w:val="20"/>
          <w:szCs w:val="20"/>
        </w:rPr>
        <w:t xml:space="preserve">(1)承建单位根据项目实际情况，结合合同条款，向监理机构提交了《工程延期申请表》 </w:t>
      </w:r>
      <w:r>
        <w:rPr>
          <w:rFonts w:ascii="楷体" w:hAnsi="楷体" w:eastAsia="楷体" w:cs="楷体"/>
          <w:spacing w:val="-2"/>
          <w:sz w:val="20"/>
          <w:szCs w:val="20"/>
        </w:rPr>
        <w:t>和工程延期的依据及工期计算等佐证材料。</w:t>
      </w:r>
    </w:p>
    <w:p w14:paraId="5A9E77E9">
      <w:pPr>
        <w:spacing w:before="73" w:line="257" w:lineRule="auto"/>
        <w:ind w:left="359" w:right="127" w:firstLine="400"/>
        <w:rPr>
          <w:rFonts w:ascii="楷体" w:hAnsi="楷体" w:eastAsia="楷体" w:cs="楷体"/>
          <w:sz w:val="20"/>
          <w:szCs w:val="20"/>
        </w:rPr>
      </w:pPr>
      <w:r>
        <w:rPr>
          <w:rFonts w:ascii="楷体" w:hAnsi="楷体" w:eastAsia="楷体" w:cs="楷体"/>
          <w:spacing w:val="6"/>
          <w:sz w:val="20"/>
          <w:szCs w:val="20"/>
        </w:rPr>
        <w:t>(2)监理机构根据工程情况确认其具有合理性，与业主单位、承建单位协商确认后，由总</w:t>
      </w:r>
      <w:r>
        <w:rPr>
          <w:rFonts w:ascii="楷体" w:hAnsi="楷体" w:eastAsia="楷体" w:cs="楷体"/>
          <w:spacing w:val="1"/>
          <w:sz w:val="20"/>
          <w:szCs w:val="20"/>
        </w:rPr>
        <w:t xml:space="preserve"> </w:t>
      </w:r>
      <w:r>
        <w:rPr>
          <w:rFonts w:ascii="楷体" w:hAnsi="楷体" w:eastAsia="楷体" w:cs="楷体"/>
          <w:spacing w:val="-4"/>
          <w:sz w:val="20"/>
          <w:szCs w:val="20"/>
        </w:rPr>
        <w:t>监理工程师对工程延期申请予以签认。</w:t>
      </w:r>
    </w:p>
    <w:p w14:paraId="41319AF9">
      <w:pPr>
        <w:spacing w:before="71" w:line="258" w:lineRule="auto"/>
        <w:ind w:left="359" w:right="135" w:firstLine="400"/>
        <w:rPr>
          <w:rFonts w:ascii="楷体" w:hAnsi="楷体" w:eastAsia="楷体" w:cs="楷体"/>
          <w:sz w:val="20"/>
          <w:szCs w:val="20"/>
        </w:rPr>
      </w:pPr>
      <w:r>
        <w:rPr>
          <w:rFonts w:ascii="楷体" w:hAnsi="楷体" w:eastAsia="楷体" w:cs="楷体"/>
          <w:spacing w:val="6"/>
          <w:sz w:val="20"/>
          <w:szCs w:val="20"/>
        </w:rPr>
        <w:t>(3)由于工程延期影响了工程总体进度计划，监理机构要求承建单位修改</w:t>
      </w:r>
      <w:r>
        <w:rPr>
          <w:rFonts w:ascii="楷体" w:hAnsi="楷体" w:eastAsia="楷体" w:cs="楷体"/>
          <w:spacing w:val="5"/>
          <w:sz w:val="20"/>
          <w:szCs w:val="20"/>
        </w:rPr>
        <w:t>《项目总进度计</w:t>
      </w:r>
      <w:r>
        <w:rPr>
          <w:rFonts w:ascii="楷体" w:hAnsi="楷体" w:eastAsia="楷体" w:cs="楷体"/>
          <w:sz w:val="20"/>
          <w:szCs w:val="20"/>
        </w:rPr>
        <w:t xml:space="preserve"> </w:t>
      </w:r>
      <w:r>
        <w:rPr>
          <w:rFonts w:ascii="楷体" w:hAnsi="楷体" w:eastAsia="楷体" w:cs="楷体"/>
          <w:spacing w:val="-4"/>
          <w:sz w:val="20"/>
          <w:szCs w:val="20"/>
        </w:rPr>
        <w:t>划》与延期所影响的《实施进度计划》。经三方签认后，编写了工程备忘录。</w:t>
      </w:r>
    </w:p>
    <w:p w14:paraId="4A979996">
      <w:pPr>
        <w:spacing w:before="72" w:line="258" w:lineRule="auto"/>
        <w:ind w:left="359" w:right="116" w:firstLine="400"/>
        <w:rPr>
          <w:rFonts w:ascii="楷体" w:hAnsi="楷体" w:eastAsia="楷体" w:cs="楷体"/>
          <w:sz w:val="20"/>
          <w:szCs w:val="20"/>
        </w:rPr>
      </w:pPr>
      <w:r>
        <w:rPr>
          <w:rFonts w:ascii="楷体" w:hAnsi="楷体" w:eastAsia="楷体" w:cs="楷体"/>
          <w:spacing w:val="6"/>
          <w:sz w:val="20"/>
          <w:szCs w:val="20"/>
        </w:rPr>
        <w:t>(4)监理机构组织审查进度纠偏措施的合理性及可行性，签发监理通知单报业主单位，并</w:t>
      </w:r>
      <w:r>
        <w:rPr>
          <w:rFonts w:ascii="楷体" w:hAnsi="楷体" w:eastAsia="楷体" w:cs="楷体"/>
          <w:spacing w:val="12"/>
          <w:sz w:val="20"/>
          <w:szCs w:val="20"/>
        </w:rPr>
        <w:t xml:space="preserve"> </w:t>
      </w:r>
      <w:r>
        <w:rPr>
          <w:rFonts w:ascii="楷体" w:hAnsi="楷体" w:eastAsia="楷体" w:cs="楷体"/>
          <w:spacing w:val="-3"/>
          <w:sz w:val="20"/>
          <w:szCs w:val="20"/>
        </w:rPr>
        <w:t>要求承建单位按计划执行纠偏措施。</w:t>
      </w:r>
    </w:p>
    <w:p w14:paraId="751E4278">
      <w:pPr>
        <w:spacing w:before="81" w:line="261" w:lineRule="auto"/>
        <w:ind w:left="359" w:right="130" w:firstLine="400"/>
        <w:rPr>
          <w:rFonts w:ascii="楷体" w:hAnsi="楷体" w:eastAsia="楷体" w:cs="楷体"/>
          <w:sz w:val="20"/>
          <w:szCs w:val="20"/>
        </w:rPr>
      </w:pPr>
      <w:r>
        <w:rPr>
          <w:rFonts w:ascii="楷体" w:hAnsi="楷体" w:eastAsia="楷体" w:cs="楷体"/>
          <w:spacing w:val="6"/>
          <w:sz w:val="20"/>
          <w:szCs w:val="20"/>
        </w:rPr>
        <w:t>(5)承建单位提出了费用索赔，总监理工程师综合考虑项目延期和费用索赔的关系后，提</w:t>
      </w:r>
      <w:r>
        <w:rPr>
          <w:rFonts w:ascii="楷体" w:hAnsi="楷体" w:eastAsia="楷体" w:cs="楷体"/>
          <w:sz w:val="20"/>
          <w:szCs w:val="20"/>
        </w:rPr>
        <w:t xml:space="preserve"> </w:t>
      </w:r>
      <w:r>
        <w:rPr>
          <w:rFonts w:ascii="楷体" w:hAnsi="楷体" w:eastAsia="楷体" w:cs="楷体"/>
          <w:spacing w:val="-6"/>
          <w:sz w:val="20"/>
          <w:szCs w:val="20"/>
        </w:rPr>
        <w:t>出了费用索赔的建议。</w:t>
      </w:r>
    </w:p>
    <w:p w14:paraId="7AFFE40C">
      <w:pPr>
        <w:spacing w:line="305" w:lineRule="auto"/>
        <w:rPr>
          <w:rFonts w:ascii="Arial"/>
          <w:sz w:val="21"/>
        </w:rPr>
      </w:pPr>
    </w:p>
    <w:p w14:paraId="27410842">
      <w:pPr>
        <w:pStyle w:val="2"/>
        <w:spacing w:before="91" w:line="221" w:lineRule="auto"/>
        <w:ind w:left="363"/>
        <w:rPr>
          <w:rFonts w:ascii="黑体" w:hAnsi="黑体" w:eastAsia="黑体" w:cs="黑体"/>
          <w:sz w:val="28"/>
          <w:szCs w:val="28"/>
        </w:rPr>
      </w:pPr>
      <w:r>
        <w:rPr>
          <w:b/>
          <w:bCs/>
          <w:color w:val="007CD0"/>
          <w:spacing w:val="-5"/>
          <w:sz w:val="28"/>
          <w:szCs w:val="28"/>
        </w:rPr>
        <w:t>20.5</w:t>
      </w:r>
      <w:r>
        <w:rPr>
          <w:color w:val="007CD0"/>
          <w:spacing w:val="140"/>
          <w:sz w:val="28"/>
          <w:szCs w:val="28"/>
        </w:rPr>
        <w:t xml:space="preserve"> </w:t>
      </w:r>
      <w:r>
        <w:rPr>
          <w:rFonts w:ascii="黑体" w:hAnsi="黑体" w:eastAsia="黑体" w:cs="黑体"/>
          <w:b/>
          <w:bCs/>
          <w:color w:val="007CD0"/>
          <w:spacing w:val="-5"/>
          <w:sz w:val="28"/>
          <w:szCs w:val="28"/>
        </w:rPr>
        <w:t>验收阶段监理基础工作</w:t>
      </w:r>
    </w:p>
    <w:p w14:paraId="4E1E931A">
      <w:pPr>
        <w:spacing w:line="242" w:lineRule="auto"/>
        <w:rPr>
          <w:rFonts w:ascii="Arial"/>
          <w:sz w:val="21"/>
        </w:rPr>
      </w:pPr>
    </w:p>
    <w:p w14:paraId="79F85C66">
      <w:pPr>
        <w:pStyle w:val="2"/>
        <w:spacing w:before="66" w:line="270" w:lineRule="auto"/>
        <w:ind w:left="359" w:right="50" w:firstLine="400"/>
        <w:jc w:val="both"/>
        <w:rPr>
          <w:sz w:val="20"/>
          <w:szCs w:val="20"/>
        </w:rPr>
      </w:pPr>
      <w:r>
        <w:rPr>
          <w:spacing w:val="3"/>
          <w:sz w:val="20"/>
          <w:szCs w:val="20"/>
        </w:rPr>
        <w:t>项目验收阶段是全面验证和认可项目实施成果的阶段，由于信息系统工程的特殊性，进行</w:t>
      </w:r>
      <w:r>
        <w:rPr>
          <w:spacing w:val="6"/>
          <w:sz w:val="20"/>
          <w:szCs w:val="20"/>
        </w:rPr>
        <w:t xml:space="preserve">  </w:t>
      </w:r>
      <w:r>
        <w:rPr>
          <w:sz w:val="20"/>
          <w:szCs w:val="20"/>
        </w:rPr>
        <w:t>信息系统工程建设项目验收时，有必要坚持以测试为基础、以事实为依据开展项目的验收工作。</w:t>
      </w:r>
      <w:r>
        <w:rPr>
          <w:spacing w:val="18"/>
          <w:sz w:val="20"/>
          <w:szCs w:val="20"/>
        </w:rPr>
        <w:t xml:space="preserve"> </w:t>
      </w:r>
      <w:r>
        <w:rPr>
          <w:spacing w:val="3"/>
          <w:sz w:val="20"/>
          <w:szCs w:val="20"/>
        </w:rPr>
        <w:t xml:space="preserve">一般情况下，监理机构需要参加验收阶段的各项管理工作，并非只进行监督和检查，因此本节  </w:t>
      </w:r>
      <w:r>
        <w:rPr>
          <w:spacing w:val="-2"/>
          <w:sz w:val="20"/>
          <w:szCs w:val="20"/>
        </w:rPr>
        <w:t>将阐述验收阶段的监理要求及监理内容。</w:t>
      </w:r>
    </w:p>
    <w:p w14:paraId="4DAC9BE5">
      <w:pPr>
        <w:pStyle w:val="2"/>
        <w:spacing w:before="209" w:line="221" w:lineRule="auto"/>
        <w:ind w:left="362"/>
        <w:rPr>
          <w:sz w:val="25"/>
          <w:szCs w:val="25"/>
        </w:rPr>
      </w:pPr>
      <w:r>
        <w:rPr>
          <w:b/>
          <w:bCs/>
          <w:color w:val="007CDC"/>
          <w:spacing w:val="-18"/>
          <w:sz w:val="25"/>
          <w:szCs w:val="25"/>
        </w:rPr>
        <w:t>20.5.1</w:t>
      </w:r>
      <w:r>
        <w:rPr>
          <w:color w:val="007CDC"/>
          <w:spacing w:val="90"/>
          <w:sz w:val="25"/>
          <w:szCs w:val="25"/>
        </w:rPr>
        <w:t xml:space="preserve"> </w:t>
      </w:r>
      <w:r>
        <w:rPr>
          <w:b/>
          <w:bCs/>
          <w:color w:val="007CDC"/>
          <w:spacing w:val="-18"/>
          <w:sz w:val="25"/>
          <w:szCs w:val="25"/>
        </w:rPr>
        <w:t>监理要求</w:t>
      </w:r>
    </w:p>
    <w:p w14:paraId="56A47D2C">
      <w:pPr>
        <w:pStyle w:val="2"/>
        <w:spacing w:before="181" w:line="219" w:lineRule="auto"/>
        <w:ind w:left="759"/>
        <w:rPr>
          <w:sz w:val="20"/>
          <w:szCs w:val="20"/>
        </w:rPr>
      </w:pPr>
      <w:r>
        <w:rPr>
          <w:spacing w:val="-4"/>
          <w:sz w:val="20"/>
          <w:szCs w:val="20"/>
        </w:rPr>
        <w:t>验收阶段的监理要求具体包括：</w:t>
      </w:r>
    </w:p>
    <w:p w14:paraId="6A72690F">
      <w:pPr>
        <w:pStyle w:val="2"/>
        <w:spacing w:before="82" w:line="253" w:lineRule="auto"/>
        <w:ind w:left="359" w:right="142" w:firstLine="400"/>
        <w:rPr>
          <w:sz w:val="20"/>
          <w:szCs w:val="20"/>
        </w:rPr>
      </w:pPr>
      <w:r>
        <w:rPr>
          <w:spacing w:val="8"/>
          <w:sz w:val="20"/>
          <w:szCs w:val="20"/>
        </w:rPr>
        <w:t>(1)应审核项目测试验收方案(验收目标、双方责任、验收提交清单、验收标准、验收方</w:t>
      </w:r>
      <w:r>
        <w:rPr>
          <w:spacing w:val="6"/>
          <w:sz w:val="20"/>
          <w:szCs w:val="20"/>
        </w:rPr>
        <w:t xml:space="preserve"> </w:t>
      </w:r>
      <w:r>
        <w:rPr>
          <w:spacing w:val="2"/>
          <w:sz w:val="20"/>
          <w:szCs w:val="20"/>
        </w:rPr>
        <w:t>式、验收环境等)的符合性及可行性；</w:t>
      </w:r>
    </w:p>
    <w:p w14:paraId="09C72A20">
      <w:pPr>
        <w:pStyle w:val="2"/>
        <w:spacing w:before="81" w:line="219" w:lineRule="auto"/>
        <w:ind w:left="759"/>
        <w:rPr>
          <w:sz w:val="20"/>
          <w:szCs w:val="20"/>
        </w:rPr>
      </w:pPr>
      <w:r>
        <w:rPr>
          <w:spacing w:val="2"/>
          <w:sz w:val="20"/>
          <w:szCs w:val="20"/>
        </w:rPr>
        <w:t>(2)应协调承建单位配合第三方测试机构进行</w:t>
      </w:r>
      <w:r>
        <w:rPr>
          <w:spacing w:val="1"/>
          <w:sz w:val="20"/>
          <w:szCs w:val="20"/>
        </w:rPr>
        <w:t>项目系统测评；</w:t>
      </w:r>
    </w:p>
    <w:p w14:paraId="30FDEB87">
      <w:pPr>
        <w:pStyle w:val="2"/>
        <w:spacing w:before="73" w:line="219" w:lineRule="auto"/>
        <w:ind w:left="759"/>
        <w:rPr>
          <w:sz w:val="20"/>
          <w:szCs w:val="20"/>
        </w:rPr>
      </w:pPr>
      <w:r>
        <w:rPr>
          <w:spacing w:val="1"/>
          <w:sz w:val="20"/>
          <w:szCs w:val="20"/>
        </w:rPr>
        <w:t>(3)应促使项目的最终功能和性能符合承建合同、法律法规和标</w:t>
      </w:r>
      <w:r>
        <w:rPr>
          <w:sz w:val="20"/>
          <w:szCs w:val="20"/>
        </w:rPr>
        <w:t>准的要求；</w:t>
      </w:r>
    </w:p>
    <w:p w14:paraId="7E97D0D7">
      <w:pPr>
        <w:pStyle w:val="2"/>
        <w:spacing w:before="93" w:line="267" w:lineRule="auto"/>
        <w:ind w:left="359" w:right="140" w:firstLine="400"/>
        <w:rPr>
          <w:sz w:val="16"/>
          <w:szCs w:val="16"/>
        </w:rPr>
      </w:pPr>
      <w:r>
        <w:rPr>
          <w:spacing w:val="11"/>
          <w:sz w:val="20"/>
          <w:szCs w:val="20"/>
        </w:rPr>
        <w:t>(4)应促使承建单位所提供的项目各阶段形成的技术、管理文档的内容和种类符合相关</w:t>
      </w:r>
      <w:r>
        <w:rPr>
          <w:sz w:val="20"/>
          <w:szCs w:val="20"/>
        </w:rPr>
        <w:t xml:space="preserve"> </w:t>
      </w:r>
      <w:r>
        <w:rPr>
          <w:spacing w:val="-5"/>
          <w:sz w:val="16"/>
          <w:szCs w:val="16"/>
        </w:rPr>
        <w:t>标</w:t>
      </w:r>
      <w:r>
        <w:rPr>
          <w:spacing w:val="-18"/>
          <w:sz w:val="16"/>
          <w:szCs w:val="16"/>
        </w:rPr>
        <w:t xml:space="preserve"> </w:t>
      </w:r>
      <w:r>
        <w:rPr>
          <w:spacing w:val="-5"/>
          <w:sz w:val="16"/>
          <w:szCs w:val="16"/>
        </w:rPr>
        <w:t>准</w:t>
      </w:r>
      <w:r>
        <w:rPr>
          <w:spacing w:val="-25"/>
          <w:sz w:val="16"/>
          <w:szCs w:val="16"/>
        </w:rPr>
        <w:t xml:space="preserve"> </w:t>
      </w:r>
      <w:r>
        <w:rPr>
          <w:spacing w:val="-5"/>
          <w:sz w:val="16"/>
          <w:szCs w:val="16"/>
        </w:rPr>
        <w:t>。</w:t>
      </w:r>
    </w:p>
    <w:p w14:paraId="62B43236">
      <w:pPr>
        <w:pStyle w:val="2"/>
        <w:spacing w:before="239" w:line="219" w:lineRule="auto"/>
        <w:ind w:left="362"/>
        <w:outlineLvl w:val="1"/>
        <w:rPr>
          <w:sz w:val="25"/>
          <w:szCs w:val="25"/>
        </w:rPr>
      </w:pPr>
      <w:r>
        <w:rPr>
          <w:b/>
          <w:bCs/>
          <w:color w:val="0078C9"/>
          <w:spacing w:val="-19"/>
          <w:sz w:val="25"/>
          <w:szCs w:val="25"/>
        </w:rPr>
        <w:t>20.5.2</w:t>
      </w:r>
      <w:r>
        <w:rPr>
          <w:color w:val="0078C9"/>
          <w:spacing w:val="100"/>
          <w:sz w:val="25"/>
          <w:szCs w:val="25"/>
        </w:rPr>
        <w:t xml:space="preserve"> </w:t>
      </w:r>
      <w:r>
        <w:rPr>
          <w:b/>
          <w:bCs/>
          <w:color w:val="0078C9"/>
          <w:spacing w:val="-19"/>
          <w:sz w:val="25"/>
          <w:szCs w:val="25"/>
        </w:rPr>
        <w:t>监理内容</w:t>
      </w:r>
    </w:p>
    <w:p w14:paraId="6B6C207A">
      <w:pPr>
        <w:pStyle w:val="2"/>
        <w:spacing w:before="175" w:line="219" w:lineRule="auto"/>
        <w:ind w:left="759"/>
        <w:rPr>
          <w:sz w:val="20"/>
          <w:szCs w:val="20"/>
        </w:rPr>
      </w:pPr>
      <w:r>
        <w:rPr>
          <w:spacing w:val="-1"/>
          <w:sz w:val="20"/>
          <w:szCs w:val="20"/>
        </w:rPr>
        <w:t>一般情况下，项目验收中的管理工作包括项目初验、系统试运行和项目终验。</w:t>
      </w:r>
    </w:p>
    <w:p w14:paraId="6ADD9B15">
      <w:pPr>
        <w:pStyle w:val="2"/>
        <w:spacing w:before="140" w:line="220" w:lineRule="auto"/>
        <w:ind w:left="762"/>
        <w:rPr>
          <w:sz w:val="20"/>
          <w:szCs w:val="20"/>
        </w:rPr>
      </w:pPr>
      <w:r>
        <w:rPr>
          <w:b/>
          <w:bCs/>
          <w:color w:val="008FE2"/>
          <w:spacing w:val="-2"/>
          <w:sz w:val="20"/>
          <w:szCs w:val="20"/>
        </w:rPr>
        <w:t>1.项目初验的监理</w:t>
      </w:r>
    </w:p>
    <w:p w14:paraId="29944790">
      <w:pPr>
        <w:pStyle w:val="2"/>
        <w:spacing w:before="165" w:line="254" w:lineRule="auto"/>
        <w:ind w:left="359" w:right="100" w:firstLine="400"/>
        <w:rPr>
          <w:sz w:val="20"/>
          <w:szCs w:val="20"/>
        </w:rPr>
      </w:pPr>
      <w:r>
        <w:rPr>
          <w:spacing w:val="4"/>
          <w:sz w:val="20"/>
          <w:szCs w:val="20"/>
        </w:rPr>
        <w:t>项目初验，即初步验收，是指项目完成合同要求的全部内容后，对该项目</w:t>
      </w:r>
      <w:r>
        <w:rPr>
          <w:spacing w:val="3"/>
          <w:sz w:val="20"/>
          <w:szCs w:val="20"/>
        </w:rPr>
        <w:t>是否符合设计要</w:t>
      </w:r>
      <w:r>
        <w:rPr>
          <w:sz w:val="20"/>
          <w:szCs w:val="20"/>
        </w:rPr>
        <w:t xml:space="preserve"> </w:t>
      </w:r>
      <w:r>
        <w:rPr>
          <w:spacing w:val="-1"/>
          <w:sz w:val="20"/>
          <w:szCs w:val="20"/>
        </w:rPr>
        <w:t>求、施工和设备安装是否符合质量要求等进行全面检测的过程。项目初验的监理基础内容包括：</w:t>
      </w:r>
    </w:p>
    <w:p w14:paraId="7B1FDD75">
      <w:pPr>
        <w:pStyle w:val="2"/>
        <w:spacing w:before="57" w:line="264" w:lineRule="auto"/>
        <w:ind w:left="359" w:right="100" w:firstLine="400"/>
        <w:rPr>
          <w:sz w:val="16"/>
          <w:szCs w:val="16"/>
        </w:rPr>
      </w:pPr>
      <w:r>
        <w:rPr>
          <w:spacing w:val="12"/>
          <w:sz w:val="20"/>
          <w:szCs w:val="20"/>
        </w:rPr>
        <w:t>(1)初验条件的检查。工程初验前，监理机构应协助业主单位确认工程达到初验条件，</w:t>
      </w:r>
      <w:r>
        <w:rPr>
          <w:spacing w:val="1"/>
          <w:sz w:val="20"/>
          <w:szCs w:val="20"/>
        </w:rPr>
        <w:t xml:space="preserve"> </w:t>
      </w:r>
      <w:r>
        <w:rPr>
          <w:spacing w:val="-5"/>
          <w:sz w:val="16"/>
          <w:szCs w:val="16"/>
        </w:rPr>
        <w:t>包</w:t>
      </w:r>
      <w:r>
        <w:rPr>
          <w:spacing w:val="-11"/>
          <w:sz w:val="16"/>
          <w:szCs w:val="16"/>
        </w:rPr>
        <w:t xml:space="preserve"> </w:t>
      </w:r>
      <w:r>
        <w:rPr>
          <w:spacing w:val="-5"/>
          <w:sz w:val="16"/>
          <w:szCs w:val="16"/>
        </w:rPr>
        <w:t>括</w:t>
      </w:r>
      <w:r>
        <w:rPr>
          <w:spacing w:val="-19"/>
          <w:sz w:val="16"/>
          <w:szCs w:val="16"/>
        </w:rPr>
        <w:t xml:space="preserve"> </w:t>
      </w:r>
      <w:r>
        <w:rPr>
          <w:spacing w:val="-5"/>
          <w:sz w:val="16"/>
          <w:szCs w:val="16"/>
        </w:rPr>
        <w:t>：</w:t>
      </w:r>
    </w:p>
    <w:p w14:paraId="5C60AECC">
      <w:pPr>
        <w:pStyle w:val="2"/>
        <w:spacing w:before="87" w:line="252" w:lineRule="auto"/>
        <w:ind w:left="1059" w:right="137" w:hanging="300"/>
        <w:rPr>
          <w:sz w:val="20"/>
          <w:szCs w:val="20"/>
        </w:rPr>
      </w:pPr>
      <w:r>
        <w:rPr>
          <w:spacing w:val="9"/>
          <w:sz w:val="20"/>
          <w:szCs w:val="20"/>
        </w:rPr>
        <w:t>●招投标文件及合同文件(包括合同附件、</w:t>
      </w:r>
      <w:r>
        <w:rPr>
          <w:spacing w:val="8"/>
          <w:sz w:val="20"/>
          <w:szCs w:val="20"/>
        </w:rPr>
        <w:t>补充协议、后期出现的变更等)要求的系统功</w:t>
      </w:r>
      <w:r>
        <w:rPr>
          <w:sz w:val="20"/>
          <w:szCs w:val="20"/>
        </w:rPr>
        <w:t xml:space="preserve"> </w:t>
      </w:r>
      <w:r>
        <w:rPr>
          <w:spacing w:val="-3"/>
          <w:sz w:val="20"/>
          <w:szCs w:val="20"/>
        </w:rPr>
        <w:t>能已实现，未完善工作已通过三方会议达成备忘录；</w:t>
      </w:r>
    </w:p>
    <w:p w14:paraId="48C1F865">
      <w:pPr>
        <w:spacing w:line="252" w:lineRule="auto"/>
        <w:rPr>
          <w:sz w:val="20"/>
          <w:szCs w:val="20"/>
        </w:rPr>
        <w:sectPr>
          <w:pgSz w:w="10310" w:h="13380"/>
          <w:pgMar w:top="400" w:right="939" w:bottom="400" w:left="540" w:header="0" w:footer="0" w:gutter="0"/>
          <w:cols w:space="720" w:num="1"/>
        </w:sectPr>
      </w:pPr>
    </w:p>
    <w:p w14:paraId="4462906A">
      <w:pPr>
        <w:pStyle w:val="2"/>
        <w:jc w:val="right"/>
        <w:rPr>
          <w:rFonts w:ascii="Times New Roman" w:hAnsi="Times New Roman" w:eastAsia="Times New Roman" w:cs="Times New Roman"/>
          <w:sz w:val="17"/>
          <w:szCs w:val="17"/>
        </w:rPr>
      </w:pPr>
      <w:bookmarkStart w:id="715" w:name="bookmark700"/>
      <w:bookmarkEnd w:id="715"/>
      <w:r>
        <w:rPr>
          <w:spacing w:val="-7"/>
          <w:sz w:val="20"/>
          <w:szCs w:val="20"/>
        </w:rPr>
        <w:t xml:space="preserve">第20章 信息系统工程监理基础工作 </w:t>
      </w:r>
      <w:r>
        <w:rPr>
          <w:position w:val="-11"/>
          <w:sz w:val="20"/>
          <w:szCs w:val="20"/>
        </w:rPr>
        <w:drawing>
          <wp:inline distT="0" distB="0" distL="0" distR="0">
            <wp:extent cx="316865" cy="234950"/>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91"/>
                    <a:stretch>
                      <a:fillRect/>
                    </a:stretch>
                  </pic:blipFill>
                  <pic:spPr>
                    <a:xfrm>
                      <a:off x="0" y="0"/>
                      <a:ext cx="317475" cy="234961"/>
                    </a:xfrm>
                    <a:prstGeom prst="rect">
                      <a:avLst/>
                    </a:prstGeom>
                  </pic:spPr>
                </pic:pic>
              </a:graphicData>
            </a:graphic>
          </wp:inline>
        </w:drawing>
      </w:r>
      <w:r>
        <w:rPr>
          <w:rFonts w:ascii="Times New Roman" w:hAnsi="Times New Roman" w:eastAsia="Times New Roman" w:cs="Times New Roman"/>
          <w:spacing w:val="-7"/>
          <w:sz w:val="17"/>
          <w:szCs w:val="17"/>
        </w:rPr>
        <w:t>465</w:t>
      </w:r>
    </w:p>
    <w:p w14:paraId="298E8D38">
      <w:pPr>
        <w:spacing w:line="259" w:lineRule="auto"/>
        <w:rPr>
          <w:rFonts w:ascii="Arial"/>
          <w:sz w:val="21"/>
        </w:rPr>
      </w:pPr>
    </w:p>
    <w:p w14:paraId="4B2659BE">
      <w:pPr>
        <w:pStyle w:val="2"/>
        <w:spacing w:before="65" w:line="218" w:lineRule="auto"/>
        <w:ind w:left="390"/>
        <w:rPr>
          <w:sz w:val="20"/>
          <w:szCs w:val="20"/>
        </w:rPr>
      </w:pPr>
      <w:r>
        <w:rPr>
          <w:spacing w:val="1"/>
          <w:sz w:val="20"/>
          <w:szCs w:val="20"/>
        </w:rPr>
        <w:t>●承建单位提交了自测报告及初验申请；</w:t>
      </w:r>
    </w:p>
    <w:p w14:paraId="06637007">
      <w:pPr>
        <w:pStyle w:val="2"/>
        <w:spacing w:before="94" w:line="219" w:lineRule="auto"/>
        <w:ind w:left="390"/>
        <w:rPr>
          <w:sz w:val="20"/>
          <w:szCs w:val="20"/>
        </w:rPr>
      </w:pPr>
      <w:r>
        <w:rPr>
          <w:spacing w:val="-1"/>
          <w:sz w:val="20"/>
          <w:szCs w:val="20"/>
        </w:rPr>
        <w:t>●工程建设文档齐备，且经监理机构审核确认；</w:t>
      </w:r>
    </w:p>
    <w:p w14:paraId="33A103DF">
      <w:pPr>
        <w:pStyle w:val="2"/>
        <w:spacing w:before="84" w:line="219" w:lineRule="auto"/>
        <w:ind w:left="390"/>
        <w:rPr>
          <w:sz w:val="20"/>
          <w:szCs w:val="20"/>
        </w:rPr>
      </w:pPr>
      <w:r>
        <w:rPr>
          <w:spacing w:val="2"/>
          <w:sz w:val="20"/>
          <w:szCs w:val="20"/>
        </w:rPr>
        <w:t>●验收方案经审核确认；</w:t>
      </w:r>
    </w:p>
    <w:p w14:paraId="2B17C657">
      <w:pPr>
        <w:pStyle w:val="2"/>
        <w:spacing w:before="101" w:line="282" w:lineRule="auto"/>
        <w:ind w:left="659" w:right="275" w:hanging="269"/>
        <w:rPr>
          <w:sz w:val="17"/>
          <w:szCs w:val="17"/>
        </w:rPr>
      </w:pPr>
      <w:r>
        <w:rPr>
          <w:spacing w:val="14"/>
          <w:sz w:val="20"/>
          <w:szCs w:val="20"/>
        </w:rPr>
        <w:t>●监理机构抽检测试或第三方测试已完成，承建单位对于不合格项进行了整改并复测</w:t>
      </w:r>
      <w:r>
        <w:rPr>
          <w:spacing w:val="7"/>
          <w:sz w:val="20"/>
          <w:szCs w:val="20"/>
        </w:rPr>
        <w:t xml:space="preserve"> </w:t>
      </w:r>
      <w:r>
        <w:rPr>
          <w:spacing w:val="13"/>
          <w:sz w:val="17"/>
          <w:szCs w:val="17"/>
        </w:rPr>
        <w:t>通过</w:t>
      </w:r>
      <w:r>
        <w:rPr>
          <w:spacing w:val="-36"/>
          <w:sz w:val="17"/>
          <w:szCs w:val="17"/>
        </w:rPr>
        <w:t xml:space="preserve"> </w:t>
      </w:r>
      <w:r>
        <w:rPr>
          <w:spacing w:val="13"/>
          <w:sz w:val="17"/>
          <w:szCs w:val="17"/>
        </w:rPr>
        <w:t>。</w:t>
      </w:r>
    </w:p>
    <w:p w14:paraId="40294BE5">
      <w:pPr>
        <w:pStyle w:val="2"/>
        <w:spacing w:before="76" w:line="220" w:lineRule="auto"/>
        <w:ind w:left="390"/>
        <w:rPr>
          <w:sz w:val="20"/>
          <w:szCs w:val="20"/>
        </w:rPr>
      </w:pPr>
      <w:r>
        <w:rPr>
          <w:spacing w:val="2"/>
          <w:sz w:val="20"/>
          <w:szCs w:val="20"/>
        </w:rPr>
        <w:t>(2)初验前的监理准备工作。具体包括：</w:t>
      </w:r>
    </w:p>
    <w:p w14:paraId="2C67DAB0">
      <w:pPr>
        <w:pStyle w:val="2"/>
        <w:spacing w:before="71" w:line="262" w:lineRule="auto"/>
        <w:ind w:left="659" w:right="283" w:hanging="269"/>
        <w:rPr>
          <w:sz w:val="20"/>
          <w:szCs w:val="20"/>
        </w:rPr>
      </w:pPr>
      <w:r>
        <w:rPr>
          <w:spacing w:val="3"/>
          <w:sz w:val="20"/>
          <w:szCs w:val="20"/>
        </w:rPr>
        <w:t>●协助业主单位审核承建单位提交的初验方案，明确验收目标、各方责任、验收内容、验</w:t>
      </w:r>
      <w:r>
        <w:rPr>
          <w:sz w:val="20"/>
          <w:szCs w:val="20"/>
        </w:rPr>
        <w:t xml:space="preserve"> </w:t>
      </w:r>
      <w:r>
        <w:rPr>
          <w:spacing w:val="-2"/>
          <w:sz w:val="20"/>
          <w:szCs w:val="20"/>
        </w:rPr>
        <w:t>收标准、验收方式和验收结果等内容，并签署审核意见。</w:t>
      </w:r>
    </w:p>
    <w:p w14:paraId="5E7C8789">
      <w:pPr>
        <w:pStyle w:val="2"/>
        <w:spacing w:before="81" w:line="289" w:lineRule="auto"/>
        <w:ind w:left="659" w:right="282" w:hanging="269"/>
        <w:rPr>
          <w:sz w:val="17"/>
          <w:szCs w:val="17"/>
        </w:rPr>
      </w:pPr>
      <w:r>
        <w:rPr>
          <w:spacing w:val="3"/>
          <w:sz w:val="20"/>
          <w:szCs w:val="20"/>
        </w:rPr>
        <w:t>●及时处理承建单位提交的初验申请，审核初验的必备条件，包括所有外购的软硬件设备</w:t>
      </w:r>
      <w:r>
        <w:rPr>
          <w:spacing w:val="1"/>
          <w:sz w:val="20"/>
          <w:szCs w:val="20"/>
        </w:rPr>
        <w:t xml:space="preserve"> 是否按照计划到位、项目设计方案是否得到全面实施、相关变更和项目问题是否得到落</w:t>
      </w:r>
      <w:r>
        <w:rPr>
          <w:spacing w:val="10"/>
          <w:sz w:val="20"/>
          <w:szCs w:val="20"/>
        </w:rPr>
        <w:t xml:space="preserve"> </w:t>
      </w:r>
      <w:r>
        <w:rPr>
          <w:spacing w:val="13"/>
          <w:sz w:val="17"/>
          <w:szCs w:val="17"/>
        </w:rPr>
        <w:t>实等</w:t>
      </w:r>
      <w:r>
        <w:rPr>
          <w:spacing w:val="-35"/>
          <w:sz w:val="17"/>
          <w:szCs w:val="17"/>
        </w:rPr>
        <w:t xml:space="preserve"> </w:t>
      </w:r>
      <w:r>
        <w:rPr>
          <w:spacing w:val="13"/>
          <w:sz w:val="17"/>
          <w:szCs w:val="17"/>
        </w:rPr>
        <w:t>。</w:t>
      </w:r>
    </w:p>
    <w:p w14:paraId="59E2D6E3">
      <w:pPr>
        <w:pStyle w:val="2"/>
        <w:spacing w:before="89" w:line="219" w:lineRule="auto"/>
        <w:ind w:left="390"/>
        <w:rPr>
          <w:sz w:val="20"/>
          <w:szCs w:val="20"/>
        </w:rPr>
      </w:pPr>
      <w:r>
        <w:rPr>
          <w:spacing w:val="1"/>
          <w:sz w:val="20"/>
          <w:szCs w:val="20"/>
        </w:rPr>
        <w:t>●检查各系统功能状态是否满足合同、招投标等文件的要求。</w:t>
      </w:r>
    </w:p>
    <w:p w14:paraId="41D5B05E">
      <w:pPr>
        <w:pStyle w:val="2"/>
        <w:spacing w:before="83" w:line="276" w:lineRule="auto"/>
        <w:ind w:left="659" w:right="283" w:hanging="269"/>
        <w:rPr>
          <w:sz w:val="20"/>
          <w:szCs w:val="20"/>
        </w:rPr>
      </w:pPr>
      <w:r>
        <w:rPr>
          <w:spacing w:val="8"/>
          <w:sz w:val="20"/>
          <w:szCs w:val="20"/>
        </w:rPr>
        <w:t>●核实未完善的工作及备忘录的有关内容。若存在未完善的工作，必须在召开初验会议</w:t>
      </w:r>
      <w:r>
        <w:rPr>
          <w:spacing w:val="14"/>
          <w:sz w:val="20"/>
          <w:szCs w:val="20"/>
        </w:rPr>
        <w:t xml:space="preserve"> </w:t>
      </w:r>
      <w:r>
        <w:rPr>
          <w:spacing w:val="1"/>
          <w:sz w:val="20"/>
          <w:szCs w:val="20"/>
        </w:rPr>
        <w:t>前，由三方共同讨论并确定未完善的工作如何解决、解决的时间</w:t>
      </w:r>
      <w:r>
        <w:rPr>
          <w:sz w:val="20"/>
          <w:szCs w:val="20"/>
        </w:rPr>
        <w:t xml:space="preserve">、质保服务如何保障等 </w:t>
      </w:r>
      <w:r>
        <w:rPr>
          <w:spacing w:val="4"/>
          <w:sz w:val="20"/>
          <w:szCs w:val="20"/>
        </w:rPr>
        <w:t>事项，一般以工程备忘录的形式处理(若承建单位</w:t>
      </w:r>
      <w:r>
        <w:rPr>
          <w:spacing w:val="3"/>
          <w:sz w:val="20"/>
          <w:szCs w:val="20"/>
        </w:rPr>
        <w:t>能在验收前解决，则督促解决，否则</w:t>
      </w:r>
      <w:r>
        <w:rPr>
          <w:sz w:val="20"/>
          <w:szCs w:val="20"/>
        </w:rPr>
        <w:t xml:space="preserve"> </w:t>
      </w:r>
      <w:r>
        <w:rPr>
          <w:spacing w:val="-1"/>
          <w:sz w:val="20"/>
          <w:szCs w:val="20"/>
        </w:rPr>
        <w:t>就达成一致的处理办法形成书面材料)。</w:t>
      </w:r>
    </w:p>
    <w:p w14:paraId="490A038A">
      <w:pPr>
        <w:pStyle w:val="2"/>
        <w:spacing w:before="122" w:line="219" w:lineRule="auto"/>
        <w:ind w:left="390"/>
        <w:rPr>
          <w:sz w:val="20"/>
          <w:szCs w:val="20"/>
        </w:rPr>
      </w:pPr>
      <w:r>
        <w:rPr>
          <w:spacing w:val="1"/>
          <w:sz w:val="20"/>
          <w:szCs w:val="20"/>
        </w:rPr>
        <w:t>●检查初验要求的各类文档，应是承建单位的最新版本且经监理</w:t>
      </w:r>
      <w:r>
        <w:rPr>
          <w:sz w:val="20"/>
          <w:szCs w:val="20"/>
        </w:rPr>
        <w:t>审核通过。</w:t>
      </w:r>
    </w:p>
    <w:p w14:paraId="6B9E519B">
      <w:pPr>
        <w:pStyle w:val="2"/>
        <w:spacing w:before="83" w:line="219" w:lineRule="auto"/>
        <w:ind w:left="390"/>
        <w:rPr>
          <w:sz w:val="20"/>
          <w:szCs w:val="20"/>
        </w:rPr>
      </w:pPr>
      <w:r>
        <w:rPr>
          <w:spacing w:val="1"/>
          <w:sz w:val="20"/>
          <w:szCs w:val="20"/>
        </w:rPr>
        <w:t>●准备监理文档，同时准备好验收会议上的监理总结材料。</w:t>
      </w:r>
    </w:p>
    <w:p w14:paraId="046E2620">
      <w:pPr>
        <w:pStyle w:val="2"/>
        <w:spacing w:before="83" w:line="218" w:lineRule="auto"/>
        <w:ind w:left="390"/>
        <w:rPr>
          <w:sz w:val="20"/>
          <w:szCs w:val="20"/>
        </w:rPr>
      </w:pPr>
      <w:r>
        <w:rPr>
          <w:spacing w:val="8"/>
          <w:sz w:val="20"/>
          <w:szCs w:val="20"/>
        </w:rPr>
        <w:t>●准备初验报告(适合三方签字使用)。</w:t>
      </w:r>
    </w:p>
    <w:p w14:paraId="4C5E371C">
      <w:pPr>
        <w:pStyle w:val="2"/>
        <w:spacing w:before="86" w:line="220" w:lineRule="auto"/>
        <w:ind w:left="390"/>
        <w:rPr>
          <w:sz w:val="20"/>
          <w:szCs w:val="20"/>
        </w:rPr>
      </w:pPr>
      <w:r>
        <w:rPr>
          <w:spacing w:val="2"/>
          <w:sz w:val="20"/>
          <w:szCs w:val="20"/>
        </w:rPr>
        <w:t>(3)初验中的监理工作。具体包括：</w:t>
      </w:r>
    </w:p>
    <w:p w14:paraId="3FF7CD2E">
      <w:pPr>
        <w:pStyle w:val="2"/>
        <w:spacing w:before="71" w:line="219" w:lineRule="auto"/>
        <w:ind w:left="390"/>
        <w:rPr>
          <w:sz w:val="20"/>
          <w:szCs w:val="20"/>
        </w:rPr>
      </w:pPr>
      <w:r>
        <w:rPr>
          <w:spacing w:val="1"/>
          <w:sz w:val="20"/>
          <w:szCs w:val="20"/>
        </w:rPr>
        <w:t>●协调三方人员进行验收测试；</w:t>
      </w:r>
    </w:p>
    <w:p w14:paraId="63787BDF">
      <w:pPr>
        <w:pStyle w:val="2"/>
        <w:spacing w:before="83" w:line="219" w:lineRule="auto"/>
        <w:ind w:left="390"/>
        <w:rPr>
          <w:sz w:val="20"/>
          <w:szCs w:val="20"/>
        </w:rPr>
      </w:pPr>
      <w:r>
        <w:rPr>
          <w:spacing w:val="1"/>
          <w:sz w:val="20"/>
          <w:szCs w:val="20"/>
        </w:rPr>
        <w:t>●听取业主单位对验收的意见；</w:t>
      </w:r>
    </w:p>
    <w:p w14:paraId="42113C5E">
      <w:pPr>
        <w:pStyle w:val="2"/>
        <w:spacing w:before="81" w:line="219" w:lineRule="auto"/>
        <w:ind w:left="390"/>
        <w:rPr>
          <w:sz w:val="20"/>
          <w:szCs w:val="20"/>
        </w:rPr>
      </w:pPr>
      <w:r>
        <w:rPr>
          <w:spacing w:val="5"/>
          <w:sz w:val="20"/>
          <w:szCs w:val="20"/>
        </w:rPr>
        <w:t>●协调三方人员讨论具体验收事宜(如验收形式、参会人员、文档准备等);</w:t>
      </w:r>
    </w:p>
    <w:p w14:paraId="70DF5CF3">
      <w:pPr>
        <w:pStyle w:val="2"/>
        <w:spacing w:before="83" w:line="219" w:lineRule="auto"/>
        <w:ind w:left="390"/>
        <w:rPr>
          <w:sz w:val="20"/>
          <w:szCs w:val="20"/>
        </w:rPr>
      </w:pPr>
      <w:r>
        <w:rPr>
          <w:spacing w:val="7"/>
          <w:sz w:val="20"/>
          <w:szCs w:val="20"/>
        </w:rPr>
        <w:t>●协助业主单位准备验收会议(例如验收议程等);</w:t>
      </w:r>
    </w:p>
    <w:p w14:paraId="3C0FD0C3">
      <w:pPr>
        <w:pStyle w:val="2"/>
        <w:spacing w:before="63" w:line="280" w:lineRule="auto"/>
        <w:ind w:left="659" w:right="283" w:hanging="269"/>
        <w:rPr>
          <w:sz w:val="17"/>
          <w:szCs w:val="17"/>
        </w:rPr>
      </w:pPr>
      <w:r>
        <w:rPr>
          <w:spacing w:val="3"/>
          <w:sz w:val="20"/>
          <w:szCs w:val="20"/>
        </w:rPr>
        <w:t>●监理文档整理、装订，参考业主单位意见或相关标准，并对承建单位的文档装订提出监</w:t>
      </w:r>
      <w:r>
        <w:rPr>
          <w:sz w:val="20"/>
          <w:szCs w:val="20"/>
        </w:rPr>
        <w:t xml:space="preserve"> </w:t>
      </w:r>
      <w:r>
        <w:rPr>
          <w:spacing w:val="20"/>
          <w:sz w:val="17"/>
          <w:szCs w:val="17"/>
        </w:rPr>
        <w:t>理意见</w:t>
      </w:r>
      <w:r>
        <w:rPr>
          <w:spacing w:val="-41"/>
          <w:sz w:val="17"/>
          <w:szCs w:val="17"/>
        </w:rPr>
        <w:t xml:space="preserve"> </w:t>
      </w:r>
      <w:r>
        <w:rPr>
          <w:spacing w:val="20"/>
          <w:sz w:val="17"/>
          <w:szCs w:val="17"/>
        </w:rPr>
        <w:t>；</w:t>
      </w:r>
    </w:p>
    <w:p w14:paraId="4ACC9259">
      <w:pPr>
        <w:pStyle w:val="2"/>
        <w:spacing w:before="86" w:line="283" w:lineRule="auto"/>
        <w:ind w:left="659" w:right="263" w:hanging="269"/>
        <w:rPr>
          <w:sz w:val="17"/>
          <w:szCs w:val="17"/>
        </w:rPr>
      </w:pPr>
      <w:r>
        <w:rPr>
          <w:spacing w:val="3"/>
          <w:sz w:val="20"/>
          <w:szCs w:val="20"/>
        </w:rPr>
        <w:t>●协助业主单位对初验中发现的质量问题进行评估，根据质量问题的性质和影响范围，确</w:t>
      </w:r>
      <w:r>
        <w:rPr>
          <w:spacing w:val="7"/>
          <w:sz w:val="20"/>
          <w:szCs w:val="20"/>
        </w:rPr>
        <w:t xml:space="preserve"> </w:t>
      </w:r>
      <w:r>
        <w:rPr>
          <w:spacing w:val="2"/>
          <w:sz w:val="20"/>
          <w:szCs w:val="20"/>
        </w:rPr>
        <w:t>定整改要求和整改后的验收方式，以监理通知单的形式告知承建单</w:t>
      </w:r>
      <w:r>
        <w:rPr>
          <w:spacing w:val="1"/>
          <w:sz w:val="20"/>
          <w:szCs w:val="20"/>
        </w:rPr>
        <w:t>位，必要时组织重新</w:t>
      </w:r>
      <w:r>
        <w:rPr>
          <w:sz w:val="20"/>
          <w:szCs w:val="20"/>
        </w:rPr>
        <w:t xml:space="preserve"> </w:t>
      </w:r>
      <w:r>
        <w:rPr>
          <w:spacing w:val="-7"/>
          <w:sz w:val="17"/>
          <w:szCs w:val="17"/>
        </w:rPr>
        <w:t>验</w:t>
      </w:r>
      <w:r>
        <w:rPr>
          <w:spacing w:val="-26"/>
          <w:sz w:val="17"/>
          <w:szCs w:val="17"/>
        </w:rPr>
        <w:t xml:space="preserve"> </w:t>
      </w:r>
      <w:r>
        <w:rPr>
          <w:spacing w:val="-7"/>
          <w:sz w:val="17"/>
          <w:szCs w:val="17"/>
        </w:rPr>
        <w:t>收</w:t>
      </w:r>
      <w:r>
        <w:rPr>
          <w:spacing w:val="-40"/>
          <w:sz w:val="17"/>
          <w:szCs w:val="17"/>
        </w:rPr>
        <w:t xml:space="preserve"> </w:t>
      </w:r>
      <w:r>
        <w:rPr>
          <w:spacing w:val="-7"/>
          <w:sz w:val="17"/>
          <w:szCs w:val="17"/>
        </w:rPr>
        <w:t>；</w:t>
      </w:r>
    </w:p>
    <w:p w14:paraId="13870078">
      <w:pPr>
        <w:pStyle w:val="2"/>
        <w:spacing w:before="79" w:line="219" w:lineRule="auto"/>
        <w:ind w:left="390"/>
        <w:rPr>
          <w:sz w:val="20"/>
          <w:szCs w:val="20"/>
        </w:rPr>
      </w:pPr>
      <w:r>
        <w:rPr>
          <w:spacing w:val="1"/>
          <w:sz w:val="20"/>
          <w:szCs w:val="20"/>
        </w:rPr>
        <w:t>●敦促承建单位根据整改要求提出整改方案，并监督整改过程；</w:t>
      </w:r>
    </w:p>
    <w:p w14:paraId="3F8409B4">
      <w:pPr>
        <w:pStyle w:val="2"/>
        <w:spacing w:before="82" w:line="218" w:lineRule="auto"/>
        <w:ind w:left="390"/>
        <w:rPr>
          <w:sz w:val="20"/>
          <w:szCs w:val="20"/>
        </w:rPr>
      </w:pPr>
      <w:r>
        <w:rPr>
          <w:spacing w:val="1"/>
          <w:sz w:val="20"/>
          <w:szCs w:val="20"/>
        </w:rPr>
        <w:t>●与业主单位和承建单位一起对初验结果进行确认，共同签署初验合格报告。</w:t>
      </w:r>
    </w:p>
    <w:p w14:paraId="19C9615A">
      <w:pPr>
        <w:pStyle w:val="2"/>
        <w:spacing w:before="85" w:line="247" w:lineRule="auto"/>
        <w:ind w:left="9" w:right="282" w:firstLine="380"/>
        <w:rPr>
          <w:sz w:val="20"/>
          <w:szCs w:val="20"/>
        </w:rPr>
      </w:pPr>
      <w:r>
        <w:rPr>
          <w:spacing w:val="8"/>
          <w:sz w:val="20"/>
          <w:szCs w:val="20"/>
        </w:rPr>
        <w:t>(4)初验验收会议的监理工作：协助业主单位安排会场(例如签到表</w:t>
      </w:r>
      <w:r>
        <w:rPr>
          <w:spacing w:val="7"/>
          <w:sz w:val="20"/>
          <w:szCs w:val="20"/>
        </w:rPr>
        <w:t>、会签等);按会议议</w:t>
      </w:r>
      <w:r>
        <w:rPr>
          <w:sz w:val="20"/>
          <w:szCs w:val="20"/>
        </w:rPr>
        <w:t xml:space="preserve"> </w:t>
      </w:r>
      <w:r>
        <w:rPr>
          <w:spacing w:val="-2"/>
          <w:sz w:val="20"/>
          <w:szCs w:val="20"/>
        </w:rPr>
        <w:t>程执行；做好记录；会议纪要和验收报告落实签字。</w:t>
      </w:r>
    </w:p>
    <w:p w14:paraId="357F9F09">
      <w:pPr>
        <w:pStyle w:val="2"/>
        <w:spacing w:before="161" w:line="221" w:lineRule="auto"/>
        <w:ind w:left="392"/>
        <w:rPr>
          <w:rFonts w:ascii="黑体" w:hAnsi="黑体" w:eastAsia="黑体" w:cs="黑体"/>
          <w:sz w:val="20"/>
          <w:szCs w:val="20"/>
        </w:rPr>
      </w:pPr>
      <w:r>
        <w:rPr>
          <w:b/>
          <w:bCs/>
          <w:color w:val="007BE7"/>
          <w:spacing w:val="-3"/>
          <w:sz w:val="20"/>
          <w:szCs w:val="20"/>
        </w:rPr>
        <w:t>2.</w:t>
      </w:r>
      <w:r>
        <w:rPr>
          <w:rFonts w:ascii="黑体" w:hAnsi="黑体" w:eastAsia="黑体" w:cs="黑体"/>
          <w:b/>
          <w:bCs/>
          <w:color w:val="007BE7"/>
          <w:spacing w:val="-3"/>
          <w:sz w:val="20"/>
          <w:szCs w:val="20"/>
        </w:rPr>
        <w:t>系统试运行的监理</w:t>
      </w:r>
    </w:p>
    <w:p w14:paraId="5A48C2A6">
      <w:pPr>
        <w:pStyle w:val="2"/>
        <w:spacing w:before="124" w:line="271" w:lineRule="auto"/>
        <w:ind w:right="172" w:firstLine="390"/>
        <w:rPr>
          <w:sz w:val="20"/>
          <w:szCs w:val="20"/>
        </w:rPr>
      </w:pPr>
      <w:r>
        <w:rPr>
          <w:spacing w:val="3"/>
          <w:sz w:val="20"/>
          <w:szCs w:val="20"/>
        </w:rPr>
        <w:t>系统试运行的目的是发现系统潜在的问题，试运行周期可以根据实际情况在合同中予以明</w:t>
      </w:r>
      <w:r>
        <w:rPr>
          <w:spacing w:val="6"/>
          <w:sz w:val="20"/>
          <w:szCs w:val="20"/>
        </w:rPr>
        <w:t xml:space="preserve">  </w:t>
      </w:r>
      <w:r>
        <w:rPr>
          <w:spacing w:val="-4"/>
          <w:sz w:val="20"/>
          <w:szCs w:val="20"/>
        </w:rPr>
        <w:t>确。业主单</w:t>
      </w:r>
      <w:r>
        <w:rPr>
          <w:spacing w:val="-4"/>
          <w:sz w:val="20"/>
          <w:szCs w:val="20"/>
          <w:u w:val="single" w:color="auto"/>
        </w:rPr>
        <w:t>位应建立</w:t>
      </w:r>
      <w:r>
        <w:rPr>
          <w:spacing w:val="-4"/>
          <w:sz w:val="20"/>
          <w:szCs w:val="20"/>
        </w:rPr>
        <w:t>完整的系统试运行记录，并及时向项目各方报告试运行期</w:t>
      </w:r>
      <w:r>
        <w:rPr>
          <w:spacing w:val="-5"/>
          <w:sz w:val="20"/>
          <w:szCs w:val="20"/>
        </w:rPr>
        <w:t>间出现的各种问题。</w:t>
      </w:r>
    </w:p>
    <w:p w14:paraId="4BCC9E53">
      <w:pPr>
        <w:spacing w:line="271" w:lineRule="auto"/>
        <w:rPr>
          <w:sz w:val="20"/>
          <w:szCs w:val="20"/>
        </w:rPr>
        <w:sectPr>
          <w:pgSz w:w="10300" w:h="13310"/>
          <w:pgMar w:top="389" w:right="547" w:bottom="400" w:left="1159" w:header="0" w:footer="0" w:gutter="0"/>
          <w:cols w:space="720" w:num="1"/>
        </w:sectPr>
      </w:pPr>
    </w:p>
    <w:p w14:paraId="3566161E">
      <w:pPr>
        <w:pStyle w:val="2"/>
        <w:spacing w:before="108" w:line="219" w:lineRule="auto"/>
        <w:rPr>
          <w:sz w:val="20"/>
          <w:szCs w:val="20"/>
        </w:rPr>
      </w:pPr>
      <w:r>
        <w:rPr>
          <w:rFonts w:ascii="Times New Roman" w:hAnsi="Times New Roman" w:eastAsia="Times New Roman" w:cs="Times New Roman"/>
          <w:spacing w:val="-3"/>
          <w:sz w:val="16"/>
          <w:szCs w:val="16"/>
        </w:rPr>
        <w:t>466</w:t>
      </w:r>
      <w:r>
        <w:rPr>
          <w:rFonts w:ascii="Times New Roman" w:hAnsi="Times New Roman" w:eastAsia="Times New Roman" w:cs="Times New Roman"/>
          <w:spacing w:val="1"/>
          <w:sz w:val="16"/>
          <w:szCs w:val="16"/>
        </w:rPr>
        <w:t xml:space="preserve">                  </w:t>
      </w:r>
      <w:r>
        <w:rPr>
          <w:spacing w:val="-3"/>
          <w:sz w:val="20"/>
          <w:szCs w:val="20"/>
        </w:rPr>
        <w:t>信息系统监理师教程(第2版)</w:t>
      </w:r>
    </w:p>
    <w:p w14:paraId="1527F30C">
      <w:pPr>
        <w:spacing w:line="295" w:lineRule="auto"/>
        <w:rPr>
          <w:rFonts w:ascii="Arial"/>
          <w:sz w:val="21"/>
        </w:rPr>
      </w:pPr>
    </w:p>
    <w:p w14:paraId="0815D5E7">
      <w:pPr>
        <w:pStyle w:val="2"/>
        <w:spacing w:before="65" w:line="219" w:lineRule="auto"/>
        <w:ind w:left="780"/>
        <w:rPr>
          <w:sz w:val="20"/>
          <w:szCs w:val="20"/>
        </w:rPr>
      </w:pPr>
      <w:r>
        <w:rPr>
          <w:spacing w:val="-4"/>
          <w:sz w:val="20"/>
          <w:szCs w:val="20"/>
        </w:rPr>
        <w:t>系统试运行的监理基础内容包括：</w:t>
      </w:r>
    </w:p>
    <w:p w14:paraId="0DD90600">
      <w:pPr>
        <w:pStyle w:val="2"/>
        <w:spacing w:before="90" w:line="218" w:lineRule="auto"/>
        <w:ind w:left="780"/>
        <w:rPr>
          <w:sz w:val="20"/>
          <w:szCs w:val="20"/>
        </w:rPr>
      </w:pPr>
      <w:r>
        <w:rPr>
          <w:spacing w:val="2"/>
          <w:sz w:val="20"/>
          <w:szCs w:val="20"/>
        </w:rPr>
        <w:t>(1)要求业主单位、承建单位以初验合格报告作为启动试运行的依据。</w:t>
      </w:r>
    </w:p>
    <w:p w14:paraId="2ED24667">
      <w:pPr>
        <w:pStyle w:val="2"/>
        <w:spacing w:before="75" w:line="219" w:lineRule="auto"/>
        <w:ind w:left="780"/>
        <w:rPr>
          <w:sz w:val="20"/>
          <w:szCs w:val="20"/>
        </w:rPr>
      </w:pPr>
      <w:r>
        <w:rPr>
          <w:spacing w:val="2"/>
          <w:sz w:val="20"/>
          <w:szCs w:val="20"/>
        </w:rPr>
        <w:t>(2)审核承建单位的试运行申请，若符合条</w:t>
      </w:r>
      <w:r>
        <w:rPr>
          <w:spacing w:val="1"/>
          <w:sz w:val="20"/>
          <w:szCs w:val="20"/>
        </w:rPr>
        <w:t>件，协调三方允许系统进入试运行阶段。</w:t>
      </w:r>
    </w:p>
    <w:p w14:paraId="6DC2BCC9">
      <w:pPr>
        <w:pStyle w:val="2"/>
        <w:spacing w:before="81" w:line="282" w:lineRule="auto"/>
        <w:ind w:left="370" w:right="86" w:firstLine="409"/>
        <w:rPr>
          <w:sz w:val="16"/>
          <w:szCs w:val="16"/>
        </w:rPr>
      </w:pPr>
      <w:r>
        <w:rPr>
          <w:spacing w:val="6"/>
          <w:sz w:val="20"/>
          <w:szCs w:val="20"/>
        </w:rPr>
        <w:t>(3)有计划地监督系统的试运行，督促承建单位解决试运行中出现的问题。着重检查以下</w:t>
      </w:r>
      <w:r>
        <w:rPr>
          <w:spacing w:val="2"/>
          <w:sz w:val="20"/>
          <w:szCs w:val="20"/>
        </w:rPr>
        <w:t xml:space="preserve"> </w:t>
      </w:r>
      <w:r>
        <w:rPr>
          <w:spacing w:val="-12"/>
          <w:sz w:val="16"/>
          <w:szCs w:val="16"/>
        </w:rPr>
        <w:t>内</w:t>
      </w:r>
      <w:r>
        <w:rPr>
          <w:spacing w:val="-10"/>
          <w:sz w:val="16"/>
          <w:szCs w:val="16"/>
        </w:rPr>
        <w:t xml:space="preserve"> </w:t>
      </w:r>
      <w:r>
        <w:rPr>
          <w:spacing w:val="-12"/>
          <w:sz w:val="16"/>
          <w:szCs w:val="16"/>
        </w:rPr>
        <w:t>容</w:t>
      </w:r>
      <w:r>
        <w:rPr>
          <w:spacing w:val="-19"/>
          <w:sz w:val="16"/>
          <w:szCs w:val="16"/>
        </w:rPr>
        <w:t xml:space="preserve"> </w:t>
      </w:r>
      <w:r>
        <w:rPr>
          <w:spacing w:val="-12"/>
          <w:sz w:val="16"/>
          <w:szCs w:val="16"/>
        </w:rPr>
        <w:t>：</w:t>
      </w:r>
    </w:p>
    <w:p w14:paraId="28129414">
      <w:pPr>
        <w:pStyle w:val="2"/>
        <w:spacing w:before="92" w:line="219" w:lineRule="auto"/>
        <w:ind w:left="780"/>
        <w:rPr>
          <w:sz w:val="20"/>
          <w:szCs w:val="20"/>
        </w:rPr>
      </w:pPr>
      <w:r>
        <w:rPr>
          <w:spacing w:val="1"/>
          <w:sz w:val="20"/>
          <w:szCs w:val="20"/>
        </w:rPr>
        <w:t>●检查试运行期间的工作日志或故障排错记录，检查故障问题是否如实记录；</w:t>
      </w:r>
    </w:p>
    <w:p w14:paraId="70624DD1">
      <w:pPr>
        <w:pStyle w:val="2"/>
        <w:spacing w:before="92" w:line="257" w:lineRule="auto"/>
        <w:ind w:left="1080" w:right="86" w:hanging="300"/>
        <w:rPr>
          <w:sz w:val="20"/>
          <w:szCs w:val="20"/>
        </w:rPr>
      </w:pPr>
      <w:r>
        <w:rPr>
          <w:spacing w:val="9"/>
          <w:sz w:val="20"/>
          <w:szCs w:val="20"/>
        </w:rPr>
        <w:t>●检查试运行期间出现的问题的整改情况，对于问题的整改可能超过约定的试运行周期</w:t>
      </w:r>
      <w:r>
        <w:rPr>
          <w:sz w:val="20"/>
          <w:szCs w:val="20"/>
        </w:rPr>
        <w:t xml:space="preserve"> </w:t>
      </w:r>
      <w:r>
        <w:rPr>
          <w:spacing w:val="-4"/>
          <w:sz w:val="20"/>
          <w:szCs w:val="20"/>
        </w:rPr>
        <w:t>的，应及时召开协调会，明确处理方案；</w:t>
      </w:r>
    </w:p>
    <w:p w14:paraId="2223D7FF">
      <w:pPr>
        <w:pStyle w:val="2"/>
        <w:spacing w:before="94" w:line="219" w:lineRule="auto"/>
        <w:ind w:left="780"/>
        <w:rPr>
          <w:sz w:val="20"/>
          <w:szCs w:val="20"/>
        </w:rPr>
      </w:pPr>
      <w:r>
        <w:rPr>
          <w:spacing w:val="1"/>
          <w:sz w:val="20"/>
          <w:szCs w:val="20"/>
        </w:rPr>
        <w:t>●试运行完成前，检查是否符合试运行通过条件，是否具备正式运行条件。</w:t>
      </w:r>
    </w:p>
    <w:p w14:paraId="46F0A2C3">
      <w:pPr>
        <w:pStyle w:val="2"/>
        <w:spacing w:before="93" w:line="219" w:lineRule="auto"/>
        <w:ind w:left="780"/>
        <w:rPr>
          <w:sz w:val="20"/>
          <w:szCs w:val="20"/>
        </w:rPr>
      </w:pPr>
      <w:r>
        <w:rPr>
          <w:spacing w:val="2"/>
          <w:sz w:val="20"/>
          <w:szCs w:val="20"/>
        </w:rPr>
        <w:t>(4)跟踪承建单位现场人员是否到位并正常工作。</w:t>
      </w:r>
    </w:p>
    <w:p w14:paraId="134B600C">
      <w:pPr>
        <w:pStyle w:val="2"/>
        <w:spacing w:before="83" w:line="219" w:lineRule="auto"/>
        <w:ind w:left="780"/>
        <w:rPr>
          <w:sz w:val="20"/>
          <w:szCs w:val="20"/>
        </w:rPr>
      </w:pPr>
      <w:r>
        <w:rPr>
          <w:spacing w:val="-5"/>
          <w:sz w:val="20"/>
          <w:szCs w:val="20"/>
        </w:rPr>
        <w:t>(5)定时或不定时了解用户对现场人员是否满意，若有问</w:t>
      </w:r>
      <w:r>
        <w:rPr>
          <w:spacing w:val="-6"/>
          <w:sz w:val="20"/>
          <w:szCs w:val="20"/>
        </w:rPr>
        <w:t>题，核实后可对承建单位提出要求。</w:t>
      </w:r>
    </w:p>
    <w:p w14:paraId="7F89C473">
      <w:pPr>
        <w:pStyle w:val="2"/>
        <w:spacing w:before="68" w:line="263" w:lineRule="auto"/>
        <w:ind w:left="370" w:right="76" w:firstLine="409"/>
        <w:rPr>
          <w:sz w:val="20"/>
          <w:szCs w:val="20"/>
        </w:rPr>
      </w:pPr>
      <w:r>
        <w:rPr>
          <w:spacing w:val="9"/>
          <w:sz w:val="20"/>
          <w:szCs w:val="20"/>
        </w:rPr>
        <w:t>(6)抽查承建单位现场人员的工作记录(解决用户问</w:t>
      </w:r>
      <w:r>
        <w:rPr>
          <w:spacing w:val="8"/>
          <w:sz w:val="20"/>
          <w:szCs w:val="20"/>
        </w:rPr>
        <w:t>题),对问题比较集中、有未解决的问</w:t>
      </w:r>
      <w:r>
        <w:rPr>
          <w:sz w:val="20"/>
          <w:szCs w:val="20"/>
        </w:rPr>
        <w:t xml:space="preserve"> </w:t>
      </w:r>
      <w:r>
        <w:rPr>
          <w:spacing w:val="-1"/>
          <w:sz w:val="20"/>
          <w:szCs w:val="20"/>
        </w:rPr>
        <w:t>题、有部分工作量调整的情况做好记录，根据实际情况可召开三方会议讨论解决方法、时间等。</w:t>
      </w:r>
    </w:p>
    <w:p w14:paraId="5829307D">
      <w:pPr>
        <w:pStyle w:val="2"/>
        <w:spacing w:before="63" w:line="219" w:lineRule="auto"/>
        <w:ind w:left="780"/>
        <w:rPr>
          <w:sz w:val="20"/>
          <w:szCs w:val="20"/>
        </w:rPr>
      </w:pPr>
      <w:r>
        <w:rPr>
          <w:spacing w:val="3"/>
          <w:sz w:val="20"/>
          <w:szCs w:val="20"/>
        </w:rPr>
        <w:t>(7)督促承建单位及时解决出现的问题。</w:t>
      </w:r>
    </w:p>
    <w:p w14:paraId="6BF3BAF3">
      <w:pPr>
        <w:pStyle w:val="2"/>
        <w:spacing w:before="74" w:line="219" w:lineRule="auto"/>
        <w:ind w:left="780"/>
        <w:rPr>
          <w:sz w:val="20"/>
          <w:szCs w:val="20"/>
        </w:rPr>
      </w:pPr>
      <w:r>
        <w:rPr>
          <w:spacing w:val="2"/>
          <w:sz w:val="20"/>
          <w:szCs w:val="20"/>
        </w:rPr>
        <w:t>(8)根据初验前备忘录的内容，核实承建单位落实情况。</w:t>
      </w:r>
    </w:p>
    <w:p w14:paraId="247893F0">
      <w:pPr>
        <w:pStyle w:val="2"/>
        <w:spacing w:before="81" w:line="252" w:lineRule="auto"/>
        <w:ind w:left="370" w:right="90" w:firstLine="409"/>
        <w:rPr>
          <w:sz w:val="20"/>
          <w:szCs w:val="20"/>
        </w:rPr>
      </w:pPr>
      <w:r>
        <w:rPr>
          <w:spacing w:val="6"/>
          <w:sz w:val="20"/>
          <w:szCs w:val="20"/>
        </w:rPr>
        <w:t>(9)试运行结束后，建议用户出具用户使用意见，要求承建单位出具试运行报告和试运行</w:t>
      </w:r>
      <w:r>
        <w:rPr>
          <w:sz w:val="20"/>
          <w:szCs w:val="20"/>
        </w:rPr>
        <w:t xml:space="preserve"> </w:t>
      </w:r>
      <w:r>
        <w:rPr>
          <w:spacing w:val="3"/>
          <w:sz w:val="20"/>
          <w:szCs w:val="20"/>
        </w:rPr>
        <w:t>期间的问题总结报告(若有问题未解决，可作为试运行时间延长的依据)。</w:t>
      </w:r>
    </w:p>
    <w:p w14:paraId="4B5ED9BC">
      <w:pPr>
        <w:pStyle w:val="2"/>
        <w:spacing w:before="162" w:line="222" w:lineRule="auto"/>
        <w:ind w:left="782"/>
        <w:rPr>
          <w:rFonts w:ascii="黑体" w:hAnsi="黑体" w:eastAsia="黑体" w:cs="黑体"/>
          <w:sz w:val="20"/>
          <w:szCs w:val="20"/>
        </w:rPr>
      </w:pPr>
      <w:r>
        <w:rPr>
          <w:b/>
          <w:bCs/>
          <w:color w:val="0066CD"/>
          <w:spacing w:val="-1"/>
          <w:sz w:val="20"/>
          <w:szCs w:val="20"/>
        </w:rPr>
        <w:t>3.</w:t>
      </w:r>
      <w:r>
        <w:rPr>
          <w:rFonts w:ascii="黑体" w:hAnsi="黑体" w:eastAsia="黑体" w:cs="黑体"/>
          <w:b/>
          <w:bCs/>
          <w:color w:val="0066CD"/>
          <w:spacing w:val="-1"/>
          <w:sz w:val="20"/>
          <w:szCs w:val="20"/>
        </w:rPr>
        <w:t>项目终验的监理</w:t>
      </w:r>
    </w:p>
    <w:p w14:paraId="08FDC6B0">
      <w:pPr>
        <w:pStyle w:val="2"/>
        <w:spacing w:before="153" w:line="271" w:lineRule="auto"/>
        <w:ind w:left="370" w:firstLine="409"/>
        <w:rPr>
          <w:sz w:val="20"/>
          <w:szCs w:val="20"/>
        </w:rPr>
      </w:pPr>
      <w:r>
        <w:rPr>
          <w:spacing w:val="1"/>
          <w:sz w:val="20"/>
          <w:szCs w:val="20"/>
        </w:rPr>
        <w:t>项目终验也称竣工验收，是指在通过初验并试运行合格后，对项目</w:t>
      </w:r>
      <w:r>
        <w:rPr>
          <w:sz w:val="20"/>
          <w:szCs w:val="20"/>
        </w:rPr>
        <w:t xml:space="preserve">的总体进行检测和认证、 </w:t>
      </w:r>
      <w:r>
        <w:rPr>
          <w:spacing w:val="-2"/>
          <w:sz w:val="20"/>
          <w:szCs w:val="20"/>
        </w:rPr>
        <w:t>综合评价和鉴定的活动。项目终验的监理基础</w:t>
      </w:r>
      <w:r>
        <w:rPr>
          <w:spacing w:val="-3"/>
          <w:sz w:val="20"/>
          <w:szCs w:val="20"/>
        </w:rPr>
        <w:t>内容包括：</w:t>
      </w:r>
    </w:p>
    <w:p w14:paraId="29ECEB5E">
      <w:pPr>
        <w:pStyle w:val="2"/>
        <w:spacing w:before="44" w:line="257" w:lineRule="auto"/>
        <w:ind w:left="370" w:right="91" w:firstLine="409"/>
        <w:rPr>
          <w:sz w:val="20"/>
          <w:szCs w:val="20"/>
        </w:rPr>
      </w:pPr>
      <w:r>
        <w:rPr>
          <w:spacing w:val="6"/>
          <w:sz w:val="20"/>
          <w:szCs w:val="20"/>
        </w:rPr>
        <w:t>(1)协助业主单位审核承建单位提交的终验计划及其方案，明确验收目标、各方责</w:t>
      </w:r>
      <w:r>
        <w:rPr>
          <w:spacing w:val="5"/>
          <w:sz w:val="20"/>
          <w:szCs w:val="20"/>
        </w:rPr>
        <w:t>任、验</w:t>
      </w:r>
      <w:r>
        <w:rPr>
          <w:sz w:val="20"/>
          <w:szCs w:val="20"/>
        </w:rPr>
        <w:t xml:space="preserve"> 收内容、验收标准、验收方式和验收结果等</w:t>
      </w:r>
      <w:r>
        <w:rPr>
          <w:spacing w:val="-1"/>
          <w:sz w:val="20"/>
          <w:szCs w:val="20"/>
        </w:rPr>
        <w:t>内容，并签署审核意见。</w:t>
      </w:r>
    </w:p>
    <w:p w14:paraId="06DE1676">
      <w:pPr>
        <w:pStyle w:val="2"/>
        <w:spacing w:before="71" w:line="250" w:lineRule="auto"/>
        <w:ind w:left="370" w:right="91" w:firstLine="409"/>
        <w:rPr>
          <w:sz w:val="20"/>
          <w:szCs w:val="20"/>
        </w:rPr>
      </w:pPr>
      <w:r>
        <w:rPr>
          <w:spacing w:val="6"/>
          <w:sz w:val="20"/>
          <w:szCs w:val="20"/>
        </w:rPr>
        <w:t>(2)及时处理承建单位提交的终验申请，根据承建合同有关条款，核实实际情况是</w:t>
      </w:r>
      <w:r>
        <w:rPr>
          <w:spacing w:val="5"/>
          <w:sz w:val="20"/>
          <w:szCs w:val="20"/>
        </w:rPr>
        <w:t>否满足</w:t>
      </w:r>
      <w:r>
        <w:rPr>
          <w:sz w:val="20"/>
          <w:szCs w:val="20"/>
        </w:rPr>
        <w:t xml:space="preserve"> </w:t>
      </w:r>
      <w:r>
        <w:rPr>
          <w:spacing w:val="-2"/>
          <w:sz w:val="20"/>
          <w:szCs w:val="20"/>
        </w:rPr>
        <w:t>终验要求。</w:t>
      </w:r>
    </w:p>
    <w:p w14:paraId="09FC36BE">
      <w:pPr>
        <w:pStyle w:val="2"/>
        <w:spacing w:before="90" w:line="219" w:lineRule="auto"/>
        <w:ind w:left="780"/>
        <w:rPr>
          <w:sz w:val="20"/>
          <w:szCs w:val="20"/>
        </w:rPr>
      </w:pPr>
      <w:r>
        <w:rPr>
          <w:spacing w:val="2"/>
          <w:sz w:val="20"/>
          <w:szCs w:val="20"/>
        </w:rPr>
        <w:t>(3)如果符合如下终验条件，在终验申请中予以签认，并报业主单位签认：</w:t>
      </w:r>
    </w:p>
    <w:p w14:paraId="3563C187">
      <w:pPr>
        <w:pStyle w:val="2"/>
        <w:spacing w:before="63" w:line="219" w:lineRule="auto"/>
        <w:ind w:left="780"/>
        <w:rPr>
          <w:sz w:val="20"/>
          <w:szCs w:val="20"/>
        </w:rPr>
      </w:pPr>
      <w:r>
        <w:rPr>
          <w:spacing w:val="1"/>
          <w:sz w:val="20"/>
          <w:szCs w:val="20"/>
        </w:rPr>
        <w:t>●项目建设内容按照合同要求全部完成；</w:t>
      </w:r>
    </w:p>
    <w:p w14:paraId="606B8936">
      <w:pPr>
        <w:pStyle w:val="2"/>
        <w:spacing w:before="92" w:line="219" w:lineRule="auto"/>
        <w:ind w:left="780"/>
        <w:rPr>
          <w:sz w:val="20"/>
          <w:szCs w:val="20"/>
        </w:rPr>
      </w:pPr>
      <w:r>
        <w:rPr>
          <w:spacing w:val="1"/>
          <w:sz w:val="20"/>
          <w:szCs w:val="20"/>
        </w:rPr>
        <w:t>●各种技术文档和验收资料完备；</w:t>
      </w:r>
    </w:p>
    <w:p w14:paraId="44F2182F">
      <w:pPr>
        <w:pStyle w:val="2"/>
        <w:spacing w:before="83" w:line="219" w:lineRule="auto"/>
        <w:ind w:left="780"/>
        <w:rPr>
          <w:sz w:val="20"/>
          <w:szCs w:val="20"/>
        </w:rPr>
      </w:pPr>
      <w:r>
        <w:rPr>
          <w:sz w:val="20"/>
          <w:szCs w:val="20"/>
        </w:rPr>
        <w:t>●系统的功能和性能满足设计要求；</w:t>
      </w:r>
    </w:p>
    <w:p w14:paraId="630D62E4">
      <w:pPr>
        <w:pStyle w:val="2"/>
        <w:spacing w:before="73" w:line="219" w:lineRule="auto"/>
        <w:ind w:left="780"/>
        <w:rPr>
          <w:sz w:val="20"/>
          <w:szCs w:val="20"/>
        </w:rPr>
      </w:pPr>
      <w:r>
        <w:rPr>
          <w:spacing w:val="1"/>
          <w:sz w:val="20"/>
          <w:szCs w:val="20"/>
        </w:rPr>
        <w:t>●系统已通过初验、试运行，用户出具了初验和试运行意见；</w:t>
      </w:r>
    </w:p>
    <w:p w14:paraId="76449207">
      <w:pPr>
        <w:pStyle w:val="2"/>
        <w:spacing w:before="83" w:line="219" w:lineRule="auto"/>
        <w:ind w:left="780"/>
        <w:rPr>
          <w:sz w:val="20"/>
          <w:szCs w:val="20"/>
        </w:rPr>
      </w:pPr>
      <w:r>
        <w:rPr>
          <w:sz w:val="20"/>
          <w:szCs w:val="20"/>
        </w:rPr>
        <w:t>●初验和试运行中出现的问题已经得到解决；</w:t>
      </w:r>
    </w:p>
    <w:p w14:paraId="20600498">
      <w:pPr>
        <w:pStyle w:val="2"/>
        <w:spacing w:before="82" w:line="219" w:lineRule="auto"/>
        <w:ind w:left="780"/>
        <w:rPr>
          <w:sz w:val="20"/>
          <w:szCs w:val="20"/>
        </w:rPr>
      </w:pPr>
      <w:r>
        <w:rPr>
          <w:sz w:val="20"/>
          <w:szCs w:val="20"/>
        </w:rPr>
        <w:t>●试运行时间符合承建合同的要求；</w:t>
      </w:r>
    </w:p>
    <w:p w14:paraId="1B694AC5">
      <w:pPr>
        <w:pStyle w:val="2"/>
        <w:spacing w:before="83" w:line="219" w:lineRule="auto"/>
        <w:ind w:left="780"/>
        <w:rPr>
          <w:sz w:val="20"/>
          <w:szCs w:val="20"/>
        </w:rPr>
      </w:pPr>
      <w:r>
        <w:rPr>
          <w:sz w:val="20"/>
          <w:szCs w:val="20"/>
        </w:rPr>
        <w:t>●完成了约定的培训工作，培训效果符合要求；</w:t>
      </w:r>
    </w:p>
    <w:p w14:paraId="534276F8">
      <w:pPr>
        <w:pStyle w:val="2"/>
        <w:spacing w:before="83" w:line="219" w:lineRule="auto"/>
        <w:ind w:left="780"/>
        <w:rPr>
          <w:sz w:val="20"/>
          <w:szCs w:val="20"/>
        </w:rPr>
      </w:pPr>
      <w:r>
        <w:rPr>
          <w:spacing w:val="1"/>
          <w:sz w:val="20"/>
          <w:szCs w:val="20"/>
        </w:rPr>
        <w:t>●承建单位提交了符合要求的终验方案和计划，并且已通过审核；</w:t>
      </w:r>
    </w:p>
    <w:p w14:paraId="40367E25">
      <w:pPr>
        <w:pStyle w:val="2"/>
        <w:spacing w:before="73" w:line="220" w:lineRule="auto"/>
        <w:ind w:left="780"/>
        <w:rPr>
          <w:sz w:val="20"/>
          <w:szCs w:val="20"/>
        </w:rPr>
      </w:pPr>
      <w:r>
        <w:rPr>
          <w:spacing w:val="4"/>
          <w:sz w:val="20"/>
          <w:szCs w:val="20"/>
        </w:rPr>
        <w:t>●业主单位同意进行终验。</w:t>
      </w:r>
    </w:p>
    <w:p w14:paraId="5FE85F02">
      <w:pPr>
        <w:pStyle w:val="2"/>
        <w:spacing w:before="92" w:line="247" w:lineRule="auto"/>
        <w:ind w:left="370" w:right="90" w:firstLine="409"/>
        <w:rPr>
          <w:sz w:val="20"/>
          <w:szCs w:val="20"/>
        </w:rPr>
      </w:pPr>
      <w:r>
        <w:rPr>
          <w:spacing w:val="8"/>
          <w:sz w:val="20"/>
          <w:szCs w:val="20"/>
        </w:rPr>
        <w:t>(4)如果不符合上述终验条件，向承建单位提出整改意见(若此时由于某些客观原因还有</w:t>
      </w:r>
      <w:r>
        <w:rPr>
          <w:spacing w:val="18"/>
          <w:sz w:val="20"/>
          <w:szCs w:val="20"/>
        </w:rPr>
        <w:t xml:space="preserve"> </w:t>
      </w:r>
      <w:r>
        <w:rPr>
          <w:sz w:val="20"/>
          <w:szCs w:val="20"/>
        </w:rPr>
        <w:t>未完成的事项，需协调三方事先做好沟通，承建单位签好承诺书)。</w:t>
      </w:r>
    </w:p>
    <w:p w14:paraId="65200CE3">
      <w:pPr>
        <w:spacing w:line="247" w:lineRule="auto"/>
        <w:rPr>
          <w:sz w:val="20"/>
          <w:szCs w:val="20"/>
        </w:rPr>
        <w:sectPr>
          <w:pgSz w:w="10300" w:h="13390"/>
          <w:pgMar w:top="400" w:right="989" w:bottom="400" w:left="499" w:header="0" w:footer="0" w:gutter="0"/>
          <w:cols w:space="720" w:num="1"/>
        </w:sectPr>
      </w:pPr>
    </w:p>
    <w:p w14:paraId="46D0F71C">
      <w:pPr>
        <w:pStyle w:val="2"/>
        <w:spacing w:before="57" w:line="220" w:lineRule="auto"/>
        <w:jc w:val="right"/>
        <w:rPr>
          <w:rFonts w:ascii="Times New Roman" w:hAnsi="Times New Roman" w:eastAsia="Times New Roman" w:cs="Times New Roman"/>
          <w:sz w:val="20"/>
          <w:szCs w:val="20"/>
        </w:rPr>
      </w:pPr>
      <w:r>
        <w:rPr>
          <w:spacing w:val="-7"/>
          <w:sz w:val="20"/>
          <w:szCs w:val="20"/>
        </w:rPr>
        <w:t>第20章 信息系统工程监理基础工作</w:t>
      </w:r>
      <w:r>
        <w:rPr>
          <w:spacing w:val="2"/>
          <w:sz w:val="20"/>
          <w:szCs w:val="20"/>
        </w:rPr>
        <w:t xml:space="preserve">      </w:t>
      </w:r>
      <w:r>
        <w:rPr>
          <w:rFonts w:ascii="Times New Roman" w:hAnsi="Times New Roman" w:eastAsia="Times New Roman" w:cs="Times New Roman"/>
          <w:spacing w:val="-7"/>
          <w:position w:val="-2"/>
          <w:sz w:val="20"/>
          <w:szCs w:val="20"/>
        </w:rPr>
        <w:t>467</w:t>
      </w:r>
    </w:p>
    <w:p w14:paraId="76E25B7D">
      <w:pPr>
        <w:spacing w:line="280" w:lineRule="auto"/>
        <w:rPr>
          <w:rFonts w:ascii="Arial"/>
          <w:sz w:val="21"/>
        </w:rPr>
      </w:pPr>
    </w:p>
    <w:p w14:paraId="4EAA584E">
      <w:pPr>
        <w:pStyle w:val="2"/>
        <w:spacing w:before="65" w:line="257" w:lineRule="auto"/>
        <w:ind w:right="325" w:firstLine="399"/>
        <w:rPr>
          <w:sz w:val="20"/>
          <w:szCs w:val="20"/>
        </w:rPr>
      </w:pPr>
      <w:r>
        <w:rPr>
          <w:spacing w:val="13"/>
          <w:sz w:val="20"/>
          <w:szCs w:val="20"/>
        </w:rPr>
        <w:t>(5)协调项目相关方确定终验方案(含承建单位总结报告)及终验形式(三方会议或专家</w:t>
      </w:r>
      <w:r>
        <w:rPr>
          <w:sz w:val="20"/>
          <w:szCs w:val="20"/>
        </w:rPr>
        <w:t xml:space="preserve"> </w:t>
      </w:r>
      <w:r>
        <w:rPr>
          <w:spacing w:val="-3"/>
          <w:sz w:val="20"/>
          <w:szCs w:val="20"/>
        </w:rPr>
        <w:t>会议)、参与人员、议程等。</w:t>
      </w:r>
    </w:p>
    <w:p w14:paraId="60900E0B">
      <w:pPr>
        <w:pStyle w:val="2"/>
        <w:spacing w:before="73" w:line="256" w:lineRule="auto"/>
        <w:ind w:right="276" w:firstLine="399"/>
        <w:rPr>
          <w:sz w:val="20"/>
          <w:szCs w:val="20"/>
        </w:rPr>
      </w:pPr>
      <w:r>
        <w:rPr>
          <w:spacing w:val="2"/>
          <w:sz w:val="20"/>
          <w:szCs w:val="20"/>
        </w:rPr>
        <w:t>(6)协助业主单位做好终验准备、组织项目终验；对于大型或</w:t>
      </w:r>
      <w:r>
        <w:rPr>
          <w:spacing w:val="1"/>
          <w:sz w:val="20"/>
          <w:szCs w:val="20"/>
        </w:rPr>
        <w:t>重要信息系统工程建设项目，</w:t>
      </w:r>
      <w:r>
        <w:rPr>
          <w:sz w:val="20"/>
          <w:szCs w:val="20"/>
        </w:rPr>
        <w:t xml:space="preserve"> </w:t>
      </w:r>
      <w:r>
        <w:rPr>
          <w:spacing w:val="-1"/>
          <w:sz w:val="20"/>
          <w:szCs w:val="20"/>
        </w:rPr>
        <w:t>应业主单位要求，可以聘请有关专家参与终验评审，以评估项目完</w:t>
      </w:r>
      <w:r>
        <w:rPr>
          <w:spacing w:val="-2"/>
          <w:sz w:val="20"/>
          <w:szCs w:val="20"/>
        </w:rPr>
        <w:t>成情况。</w:t>
      </w:r>
    </w:p>
    <w:p w14:paraId="317166FF">
      <w:pPr>
        <w:pStyle w:val="2"/>
        <w:spacing w:before="83" w:line="218" w:lineRule="auto"/>
        <w:ind w:left="399"/>
        <w:rPr>
          <w:sz w:val="20"/>
          <w:szCs w:val="20"/>
        </w:rPr>
      </w:pPr>
      <w:r>
        <w:rPr>
          <w:spacing w:val="8"/>
          <w:sz w:val="20"/>
          <w:szCs w:val="20"/>
        </w:rPr>
        <w:t>(7)准备好监理的发言材料(监理总结报告)。</w:t>
      </w:r>
    </w:p>
    <w:p w14:paraId="07431E46">
      <w:pPr>
        <w:pStyle w:val="2"/>
        <w:spacing w:before="73" w:line="218" w:lineRule="auto"/>
        <w:ind w:left="399"/>
        <w:rPr>
          <w:sz w:val="20"/>
          <w:szCs w:val="20"/>
        </w:rPr>
      </w:pPr>
      <w:r>
        <w:rPr>
          <w:spacing w:val="2"/>
          <w:sz w:val="20"/>
          <w:szCs w:val="20"/>
        </w:rPr>
        <w:t>(8)根据已定的验收议程召开会议，做好记录，会议纪要和验收报告落实</w:t>
      </w:r>
      <w:r>
        <w:rPr>
          <w:spacing w:val="1"/>
          <w:sz w:val="20"/>
          <w:szCs w:val="20"/>
        </w:rPr>
        <w:t>签字。</w:t>
      </w:r>
    </w:p>
    <w:p w14:paraId="1AD1DD4A">
      <w:pPr>
        <w:pStyle w:val="2"/>
        <w:spacing w:before="84" w:line="248" w:lineRule="auto"/>
        <w:ind w:right="326" w:firstLine="399"/>
        <w:rPr>
          <w:sz w:val="20"/>
          <w:szCs w:val="20"/>
        </w:rPr>
      </w:pPr>
      <w:r>
        <w:rPr>
          <w:spacing w:val="5"/>
          <w:sz w:val="20"/>
          <w:szCs w:val="20"/>
        </w:rPr>
        <w:t>(9)三方签订终验合格报告，要求业主单位和承建单位以终验合格报告作为项目验收结束</w:t>
      </w:r>
      <w:r>
        <w:rPr>
          <w:spacing w:val="18"/>
          <w:sz w:val="20"/>
          <w:szCs w:val="20"/>
        </w:rPr>
        <w:t xml:space="preserve"> </w:t>
      </w:r>
      <w:r>
        <w:rPr>
          <w:spacing w:val="-2"/>
          <w:sz w:val="20"/>
          <w:szCs w:val="20"/>
        </w:rPr>
        <w:t>的依据。</w:t>
      </w:r>
    </w:p>
    <w:p w14:paraId="2D32E3FD">
      <w:pPr>
        <w:pStyle w:val="2"/>
        <w:spacing w:before="84" w:line="219" w:lineRule="auto"/>
        <w:ind w:left="399"/>
        <w:rPr>
          <w:sz w:val="20"/>
          <w:szCs w:val="20"/>
        </w:rPr>
      </w:pPr>
      <w:r>
        <w:rPr>
          <w:spacing w:val="2"/>
          <w:sz w:val="20"/>
          <w:szCs w:val="20"/>
        </w:rPr>
        <w:t>(10)项目终验后，审核承建单位的项目结算，可</w:t>
      </w:r>
      <w:r>
        <w:rPr>
          <w:spacing w:val="1"/>
          <w:sz w:val="20"/>
          <w:szCs w:val="20"/>
        </w:rPr>
        <w:t>协助业主单位进行项目决算。</w:t>
      </w:r>
    </w:p>
    <w:p w14:paraId="49F0DC45">
      <w:pPr>
        <w:pStyle w:val="2"/>
        <w:spacing w:before="83" w:line="219" w:lineRule="auto"/>
        <w:ind w:left="399"/>
        <w:rPr>
          <w:sz w:val="20"/>
          <w:szCs w:val="20"/>
        </w:rPr>
      </w:pPr>
      <w:r>
        <w:rPr>
          <w:spacing w:val="2"/>
          <w:sz w:val="20"/>
          <w:szCs w:val="20"/>
        </w:rPr>
        <w:t>(11)整理与项目有关的全部监理文档，并提交</w:t>
      </w:r>
      <w:r>
        <w:rPr>
          <w:spacing w:val="1"/>
          <w:sz w:val="20"/>
          <w:szCs w:val="20"/>
        </w:rPr>
        <w:t>业主单位。</w:t>
      </w:r>
    </w:p>
    <w:p w14:paraId="04AE9735">
      <w:pPr>
        <w:pStyle w:val="2"/>
        <w:spacing w:before="83" w:line="219" w:lineRule="auto"/>
        <w:ind w:left="399"/>
        <w:rPr>
          <w:sz w:val="20"/>
          <w:szCs w:val="20"/>
        </w:rPr>
      </w:pPr>
      <w:r>
        <w:rPr>
          <w:spacing w:val="2"/>
          <w:sz w:val="20"/>
          <w:szCs w:val="20"/>
        </w:rPr>
        <w:t>(12)协助业主单位和承建单位完成项目移交工作。</w:t>
      </w:r>
    </w:p>
    <w:p w14:paraId="2C73FD81">
      <w:pPr>
        <w:pStyle w:val="2"/>
        <w:spacing w:before="159" w:line="222" w:lineRule="auto"/>
        <w:ind w:left="402"/>
        <w:rPr>
          <w:rFonts w:ascii="黑体" w:hAnsi="黑体" w:eastAsia="黑体" w:cs="黑体"/>
          <w:sz w:val="20"/>
          <w:szCs w:val="20"/>
        </w:rPr>
      </w:pPr>
      <w:r>
        <w:rPr>
          <w:b/>
          <w:bCs/>
          <w:color w:val="0063D6"/>
          <w:spacing w:val="-4"/>
          <w:sz w:val="20"/>
          <w:szCs w:val="20"/>
        </w:rPr>
        <w:t>4.</w:t>
      </w:r>
      <w:r>
        <w:rPr>
          <w:rFonts w:ascii="黑体" w:hAnsi="黑体" w:eastAsia="黑体" w:cs="黑体"/>
          <w:b/>
          <w:bCs/>
          <w:color w:val="0063D6"/>
          <w:spacing w:val="-4"/>
          <w:sz w:val="20"/>
          <w:szCs w:val="20"/>
        </w:rPr>
        <w:t>验收阶段其他监理内容</w:t>
      </w:r>
    </w:p>
    <w:p w14:paraId="719B2010">
      <w:pPr>
        <w:pStyle w:val="2"/>
        <w:spacing w:before="143" w:line="219" w:lineRule="auto"/>
        <w:ind w:left="399"/>
        <w:rPr>
          <w:sz w:val="20"/>
          <w:szCs w:val="20"/>
        </w:rPr>
      </w:pPr>
      <w:r>
        <w:rPr>
          <w:spacing w:val="-4"/>
          <w:sz w:val="20"/>
          <w:szCs w:val="20"/>
        </w:rPr>
        <w:t>验收阶段的其他监理内容包括：</w:t>
      </w:r>
    </w:p>
    <w:p w14:paraId="293A5718">
      <w:pPr>
        <w:pStyle w:val="2"/>
        <w:spacing w:before="83" w:line="219" w:lineRule="auto"/>
        <w:ind w:left="399"/>
        <w:rPr>
          <w:sz w:val="20"/>
          <w:szCs w:val="20"/>
        </w:rPr>
      </w:pPr>
      <w:r>
        <w:rPr>
          <w:spacing w:val="2"/>
          <w:sz w:val="20"/>
          <w:szCs w:val="20"/>
        </w:rPr>
        <w:t>(1)对验收各阶段进度安排提出监理意见。</w:t>
      </w:r>
    </w:p>
    <w:p w14:paraId="4E60BB58">
      <w:pPr>
        <w:pStyle w:val="2"/>
        <w:spacing w:before="73" w:line="219" w:lineRule="auto"/>
        <w:ind w:left="399"/>
        <w:rPr>
          <w:sz w:val="20"/>
          <w:szCs w:val="20"/>
        </w:rPr>
      </w:pPr>
      <w:r>
        <w:rPr>
          <w:spacing w:val="2"/>
          <w:sz w:val="20"/>
          <w:szCs w:val="20"/>
        </w:rPr>
        <w:t>(2)审核承建单位初验、终验和项目整改计划的可行性。</w:t>
      </w:r>
    </w:p>
    <w:p w14:paraId="4451665F">
      <w:pPr>
        <w:pStyle w:val="2"/>
        <w:spacing w:before="82" w:line="248" w:lineRule="auto"/>
        <w:ind w:right="308" w:firstLine="399"/>
        <w:rPr>
          <w:sz w:val="20"/>
          <w:szCs w:val="20"/>
        </w:rPr>
      </w:pPr>
      <w:r>
        <w:rPr>
          <w:spacing w:val="6"/>
          <w:sz w:val="20"/>
          <w:szCs w:val="20"/>
        </w:rPr>
        <w:t>(3)由总监理工程师审核承建单位提交的付款申请，根据承建合同规定的付款条件</w:t>
      </w:r>
      <w:r>
        <w:rPr>
          <w:spacing w:val="5"/>
          <w:sz w:val="20"/>
          <w:szCs w:val="20"/>
        </w:rPr>
        <w:t>，签发</w:t>
      </w:r>
      <w:r>
        <w:rPr>
          <w:sz w:val="20"/>
          <w:szCs w:val="20"/>
        </w:rPr>
        <w:t xml:space="preserve"> </w:t>
      </w:r>
      <w:r>
        <w:rPr>
          <w:spacing w:val="-5"/>
          <w:sz w:val="20"/>
          <w:szCs w:val="20"/>
        </w:rPr>
        <w:t>工程款支付意见。</w:t>
      </w:r>
    </w:p>
    <w:p w14:paraId="3631AB23">
      <w:pPr>
        <w:pStyle w:val="2"/>
        <w:spacing w:before="94" w:line="243" w:lineRule="auto"/>
        <w:ind w:right="307" w:firstLine="399"/>
        <w:rPr>
          <w:sz w:val="20"/>
          <w:szCs w:val="20"/>
        </w:rPr>
      </w:pPr>
      <w:r>
        <w:rPr>
          <w:spacing w:val="6"/>
          <w:sz w:val="20"/>
          <w:szCs w:val="20"/>
        </w:rPr>
        <w:t>(4)及时向业主单位、承建单位通报承建合同、协议及相关变更所规定项目内容的执</w:t>
      </w:r>
      <w:r>
        <w:rPr>
          <w:spacing w:val="5"/>
          <w:sz w:val="20"/>
          <w:szCs w:val="20"/>
        </w:rPr>
        <w:t>行情</w:t>
      </w:r>
      <w:r>
        <w:rPr>
          <w:sz w:val="20"/>
          <w:szCs w:val="20"/>
        </w:rPr>
        <w:t xml:space="preserve"> </w:t>
      </w:r>
      <w:r>
        <w:rPr>
          <w:spacing w:val="-4"/>
          <w:sz w:val="20"/>
          <w:szCs w:val="20"/>
        </w:rPr>
        <w:t>况，提出监理意见。</w:t>
      </w:r>
    </w:p>
    <w:p w14:paraId="23CC7A32">
      <w:pPr>
        <w:pStyle w:val="2"/>
        <w:spacing w:before="83" w:line="219" w:lineRule="auto"/>
        <w:ind w:left="399"/>
        <w:rPr>
          <w:sz w:val="20"/>
          <w:szCs w:val="20"/>
        </w:rPr>
      </w:pPr>
      <w:r>
        <w:rPr>
          <w:spacing w:val="2"/>
          <w:sz w:val="20"/>
          <w:szCs w:val="20"/>
        </w:rPr>
        <w:t>(5)宜协助业主单位与承建单位签署其他补充协议。</w:t>
      </w:r>
    </w:p>
    <w:p w14:paraId="2C956FF6">
      <w:pPr>
        <w:pStyle w:val="2"/>
        <w:spacing w:before="70" w:line="253" w:lineRule="auto"/>
        <w:ind w:right="323" w:firstLine="399"/>
        <w:rPr>
          <w:sz w:val="20"/>
          <w:szCs w:val="20"/>
        </w:rPr>
      </w:pPr>
      <w:r>
        <w:rPr>
          <w:spacing w:val="6"/>
          <w:sz w:val="20"/>
          <w:szCs w:val="20"/>
        </w:rPr>
        <w:t>(6)对于项目中的关键性技术指标，应要求承</w:t>
      </w:r>
      <w:r>
        <w:rPr>
          <w:spacing w:val="5"/>
          <w:sz w:val="20"/>
          <w:szCs w:val="20"/>
        </w:rPr>
        <w:t>建单位出具第三方测试机构的测试报告。第</w:t>
      </w:r>
      <w:r>
        <w:rPr>
          <w:sz w:val="20"/>
          <w:szCs w:val="20"/>
        </w:rPr>
        <w:t xml:space="preserve"> </w:t>
      </w:r>
      <w:r>
        <w:rPr>
          <w:spacing w:val="-2"/>
          <w:sz w:val="20"/>
          <w:szCs w:val="20"/>
        </w:rPr>
        <w:t>三方测试机构应经业主单位和监理机构同意。</w:t>
      </w:r>
    </w:p>
    <w:p w14:paraId="1272CDC8">
      <w:pPr>
        <w:pStyle w:val="2"/>
        <w:spacing w:before="54" w:line="270" w:lineRule="auto"/>
        <w:ind w:right="323" w:firstLine="399"/>
        <w:rPr>
          <w:sz w:val="20"/>
          <w:szCs w:val="20"/>
        </w:rPr>
      </w:pPr>
      <w:r>
        <w:rPr>
          <w:spacing w:val="5"/>
          <w:sz w:val="20"/>
          <w:szCs w:val="20"/>
        </w:rPr>
        <w:t>(7)协助业主单位和承建单位做好对知识产权的管理工作。在项目终验前，监理机构应检</w:t>
      </w:r>
      <w:r>
        <w:rPr>
          <w:spacing w:val="17"/>
          <w:sz w:val="20"/>
          <w:szCs w:val="20"/>
        </w:rPr>
        <w:t xml:space="preserve"> </w:t>
      </w:r>
      <w:r>
        <w:rPr>
          <w:spacing w:val="3"/>
          <w:sz w:val="20"/>
          <w:szCs w:val="20"/>
        </w:rPr>
        <w:t>查所完成的信息系统中，承建单位是否提供了非正版软件。如果提供了非正版软件，监理机构</w:t>
      </w:r>
      <w:r>
        <w:rPr>
          <w:sz w:val="20"/>
          <w:szCs w:val="20"/>
        </w:rPr>
        <w:t xml:space="preserve"> </w:t>
      </w:r>
      <w:r>
        <w:rPr>
          <w:spacing w:val="-3"/>
          <w:sz w:val="20"/>
          <w:szCs w:val="20"/>
        </w:rPr>
        <w:t>应要求承建单位进行整改并跟踪落实。</w:t>
      </w:r>
    </w:p>
    <w:p w14:paraId="7C7D58E2">
      <w:pPr>
        <w:pStyle w:val="2"/>
        <w:spacing w:before="61" w:line="218" w:lineRule="auto"/>
        <w:ind w:left="399"/>
        <w:rPr>
          <w:sz w:val="20"/>
          <w:szCs w:val="20"/>
        </w:rPr>
      </w:pPr>
      <w:r>
        <w:rPr>
          <w:spacing w:val="1"/>
          <w:sz w:val="20"/>
          <w:szCs w:val="20"/>
        </w:rPr>
        <w:t>(8)管理项目验收阶段的文档，例如验收方案、验收申请、验收报告等。</w:t>
      </w:r>
    </w:p>
    <w:p w14:paraId="007AB59F">
      <w:pPr>
        <w:pStyle w:val="2"/>
        <w:spacing w:before="74" w:line="219" w:lineRule="auto"/>
        <w:ind w:left="399"/>
        <w:rPr>
          <w:sz w:val="20"/>
          <w:szCs w:val="20"/>
        </w:rPr>
      </w:pPr>
      <w:r>
        <w:rPr>
          <w:spacing w:val="1"/>
          <w:sz w:val="20"/>
          <w:szCs w:val="20"/>
        </w:rPr>
        <w:t>(9)敦促业主单位、承建单位，按照约定编制、签署和保存验收阶段项目文档。</w:t>
      </w:r>
    </w:p>
    <w:p w14:paraId="315E2E90">
      <w:pPr>
        <w:pStyle w:val="2"/>
        <w:spacing w:before="73" w:line="219" w:lineRule="auto"/>
        <w:ind w:left="399"/>
        <w:rPr>
          <w:sz w:val="20"/>
          <w:szCs w:val="20"/>
        </w:rPr>
      </w:pPr>
      <w:r>
        <w:rPr>
          <w:spacing w:val="2"/>
          <w:sz w:val="20"/>
          <w:szCs w:val="20"/>
        </w:rPr>
        <w:t>(10)督促业主单位、承建单位及时整理项目文档。</w:t>
      </w:r>
    </w:p>
    <w:p w14:paraId="7D5E88D1">
      <w:pPr>
        <w:pStyle w:val="2"/>
        <w:spacing w:before="73" w:line="219" w:lineRule="auto"/>
        <w:ind w:left="399"/>
        <w:rPr>
          <w:sz w:val="20"/>
          <w:szCs w:val="20"/>
        </w:rPr>
      </w:pPr>
      <w:r>
        <w:rPr>
          <w:spacing w:val="1"/>
          <w:sz w:val="20"/>
          <w:szCs w:val="20"/>
        </w:rPr>
        <w:t>(11)督促承建单位完成承建合同及项目实施方案中确定的培</w:t>
      </w:r>
      <w:r>
        <w:rPr>
          <w:sz w:val="20"/>
          <w:szCs w:val="20"/>
        </w:rPr>
        <w:t>训，包括；</w:t>
      </w:r>
    </w:p>
    <w:p w14:paraId="63A804AC">
      <w:pPr>
        <w:pStyle w:val="2"/>
        <w:spacing w:before="72" w:line="219" w:lineRule="auto"/>
        <w:ind w:left="399"/>
        <w:rPr>
          <w:sz w:val="20"/>
          <w:szCs w:val="20"/>
        </w:rPr>
      </w:pPr>
      <w:r>
        <w:rPr>
          <w:spacing w:val="1"/>
          <w:sz w:val="20"/>
          <w:szCs w:val="20"/>
        </w:rPr>
        <w:t>●依据承建合同，要求承建单位提交培训计</w:t>
      </w:r>
      <w:r>
        <w:rPr>
          <w:sz w:val="20"/>
          <w:szCs w:val="20"/>
        </w:rPr>
        <w:t>划和培训材料；</w:t>
      </w:r>
    </w:p>
    <w:p w14:paraId="57118F04">
      <w:pPr>
        <w:pStyle w:val="2"/>
        <w:spacing w:before="63" w:line="267" w:lineRule="auto"/>
        <w:ind w:left="709" w:right="329" w:hanging="310"/>
        <w:rPr>
          <w:sz w:val="20"/>
          <w:szCs w:val="20"/>
        </w:rPr>
      </w:pPr>
      <w:r>
        <w:rPr>
          <w:spacing w:val="8"/>
          <w:sz w:val="20"/>
          <w:szCs w:val="20"/>
        </w:rPr>
        <w:t>●监督承建单位开展培训活动，并提交培训记录。培训记录应包括：培训时间、培训地</w:t>
      </w:r>
      <w:r>
        <w:rPr>
          <w:spacing w:val="12"/>
          <w:sz w:val="20"/>
          <w:szCs w:val="20"/>
        </w:rPr>
        <w:t xml:space="preserve"> </w:t>
      </w:r>
      <w:r>
        <w:rPr>
          <w:spacing w:val="-3"/>
          <w:sz w:val="20"/>
          <w:szCs w:val="20"/>
        </w:rPr>
        <w:t>点、培训讲师、参加人员、培训讲义、培训效果；</w:t>
      </w:r>
    </w:p>
    <w:p w14:paraId="1615A641">
      <w:pPr>
        <w:pStyle w:val="2"/>
        <w:spacing w:before="81" w:line="218" w:lineRule="auto"/>
        <w:ind w:left="399"/>
        <w:rPr>
          <w:sz w:val="20"/>
          <w:szCs w:val="20"/>
        </w:rPr>
      </w:pPr>
      <w:r>
        <w:rPr>
          <w:spacing w:val="1"/>
          <w:sz w:val="20"/>
          <w:szCs w:val="20"/>
        </w:rPr>
        <w:t>●检查培训记录与培训计划的一致性，并对培训效果进行核实与评价。</w:t>
      </w:r>
    </w:p>
    <w:p w14:paraId="447603DA">
      <w:pPr>
        <w:pStyle w:val="2"/>
        <w:spacing w:before="235" w:line="220" w:lineRule="auto"/>
        <w:ind w:left="2"/>
        <w:rPr>
          <w:sz w:val="25"/>
          <w:szCs w:val="25"/>
        </w:rPr>
      </w:pPr>
      <w:r>
        <w:rPr>
          <w:b/>
          <w:bCs/>
          <w:color w:val="004ED7"/>
          <w:spacing w:val="-17"/>
          <w:sz w:val="25"/>
          <w:szCs w:val="25"/>
        </w:rPr>
        <w:t>20.5.3</w:t>
      </w:r>
      <w:r>
        <w:rPr>
          <w:color w:val="004ED7"/>
          <w:spacing w:val="-17"/>
          <w:sz w:val="25"/>
          <w:szCs w:val="25"/>
        </w:rPr>
        <w:t xml:space="preserve">  </w:t>
      </w:r>
      <w:r>
        <w:rPr>
          <w:b/>
          <w:bCs/>
          <w:color w:val="004ED7"/>
          <w:spacing w:val="-17"/>
          <w:sz w:val="25"/>
          <w:szCs w:val="25"/>
        </w:rPr>
        <w:t>监理流程</w:t>
      </w:r>
    </w:p>
    <w:p w14:paraId="7F4242CB">
      <w:pPr>
        <w:pStyle w:val="2"/>
        <w:spacing w:before="163" w:line="219" w:lineRule="auto"/>
        <w:ind w:left="399"/>
        <w:rPr>
          <w:sz w:val="20"/>
          <w:szCs w:val="20"/>
        </w:rPr>
      </w:pPr>
      <w:r>
        <w:rPr>
          <w:spacing w:val="1"/>
          <w:sz w:val="20"/>
          <w:szCs w:val="20"/>
        </w:rPr>
        <w:t>验收阶段监理工作流程如图20-4所示。</w:t>
      </w:r>
    </w:p>
    <w:p w14:paraId="4DA8D32D">
      <w:pPr>
        <w:spacing w:line="219" w:lineRule="auto"/>
        <w:rPr>
          <w:sz w:val="20"/>
          <w:szCs w:val="20"/>
        </w:rPr>
        <w:sectPr>
          <w:pgSz w:w="10280" w:h="13280"/>
          <w:pgMar w:top="400" w:right="503" w:bottom="400" w:left="1129" w:header="0" w:footer="0" w:gutter="0"/>
          <w:cols w:space="720" w:num="1"/>
        </w:sectPr>
      </w:pPr>
    </w:p>
    <w:p w14:paraId="1FEDD777">
      <w:pPr>
        <w:spacing w:before="138" w:line="188" w:lineRule="auto"/>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468</w:t>
      </w:r>
    </w:p>
    <w:p w14:paraId="44BCE9A3">
      <w:pPr>
        <w:spacing w:line="14" w:lineRule="auto"/>
        <w:rPr>
          <w:rFonts w:ascii="Arial"/>
          <w:sz w:val="2"/>
        </w:rPr>
      </w:pPr>
      <w:r>
        <w:rPr>
          <w:rFonts w:ascii="Arial" w:hAnsi="Arial" w:eastAsia="Arial" w:cs="Arial"/>
          <w:sz w:val="2"/>
          <w:szCs w:val="2"/>
        </w:rPr>
        <w:br w:type="column"/>
      </w:r>
    </w:p>
    <w:p w14:paraId="4B0BC985">
      <w:pPr>
        <w:pStyle w:val="2"/>
        <w:spacing w:before="115" w:line="219" w:lineRule="auto"/>
        <w:ind w:left="60"/>
        <w:rPr>
          <w:sz w:val="16"/>
          <w:szCs w:val="16"/>
        </w:rPr>
      </w:pPr>
      <w:r>
        <w:rPr>
          <w:spacing w:val="31"/>
          <w:sz w:val="16"/>
          <w:szCs w:val="16"/>
        </w:rPr>
        <w:t>信息系统监理师教程(第2版)</w:t>
      </w:r>
    </w:p>
    <w:p w14:paraId="2B3D780A">
      <w:pPr>
        <w:spacing w:before="43"/>
      </w:pPr>
    </w:p>
    <w:p w14:paraId="47DB902E">
      <w:pPr>
        <w:spacing w:before="43"/>
      </w:pPr>
    </w:p>
    <w:tbl>
      <w:tblPr>
        <w:tblStyle w:val="5"/>
        <w:tblW w:w="251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00"/>
        <w:gridCol w:w="1211"/>
      </w:tblGrid>
      <w:tr w14:paraId="07DFAB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39" w:hRule="atLeast"/>
        </w:trPr>
        <w:tc>
          <w:tcPr>
            <w:tcW w:w="1300" w:type="dxa"/>
            <w:vAlign w:val="top"/>
          </w:tcPr>
          <w:p w14:paraId="342065F2">
            <w:pPr>
              <w:pStyle w:val="6"/>
              <w:spacing w:before="10" w:line="219" w:lineRule="auto"/>
              <w:ind w:left="350"/>
              <w:rPr>
                <w:sz w:val="16"/>
                <w:szCs w:val="16"/>
              </w:rPr>
            </w:pPr>
            <w:r>
              <w:drawing>
                <wp:anchor distT="0" distB="0" distL="0" distR="0" simplePos="0" relativeHeight="251823104" behindDoc="1" locked="0" layoutInCell="1" allowOverlap="1">
                  <wp:simplePos x="0" y="0"/>
                  <wp:positionH relativeFrom="column">
                    <wp:posOffset>-215900</wp:posOffset>
                  </wp:positionH>
                  <wp:positionV relativeFrom="paragraph">
                    <wp:posOffset>-143510</wp:posOffset>
                  </wp:positionV>
                  <wp:extent cx="5048250" cy="7137400"/>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92"/>
                          <a:stretch>
                            <a:fillRect/>
                          </a:stretch>
                        </pic:blipFill>
                        <pic:spPr>
                          <a:xfrm>
                            <a:off x="0" y="0"/>
                            <a:ext cx="5048275" cy="7137336"/>
                          </a:xfrm>
                          <a:prstGeom prst="rect">
                            <a:avLst/>
                          </a:prstGeom>
                        </pic:spPr>
                      </pic:pic>
                    </a:graphicData>
                  </a:graphic>
                </wp:anchor>
              </w:drawing>
            </w:r>
            <w:r>
              <w:rPr>
                <w:spacing w:val="-2"/>
                <w:sz w:val="16"/>
                <w:szCs w:val="16"/>
              </w:rPr>
              <w:t>输入</w:t>
            </w:r>
          </w:p>
          <w:p w14:paraId="00D989D3">
            <w:pPr>
              <w:spacing w:line="267" w:lineRule="auto"/>
              <w:rPr>
                <w:rFonts w:ascii="Arial"/>
                <w:sz w:val="21"/>
              </w:rPr>
            </w:pPr>
          </w:p>
          <w:p w14:paraId="080C6D80">
            <w:pPr>
              <w:spacing w:line="267" w:lineRule="auto"/>
              <w:rPr>
                <w:rFonts w:ascii="Arial"/>
                <w:sz w:val="21"/>
              </w:rPr>
            </w:pPr>
          </w:p>
          <w:p w14:paraId="19117C9C">
            <w:pPr>
              <w:spacing w:line="268" w:lineRule="auto"/>
              <w:rPr>
                <w:rFonts w:ascii="Arial"/>
                <w:sz w:val="21"/>
              </w:rPr>
            </w:pPr>
          </w:p>
          <w:p w14:paraId="72929F19">
            <w:pPr>
              <w:pStyle w:val="6"/>
              <w:spacing w:before="52" w:line="483" w:lineRule="auto"/>
              <w:ind w:left="60" w:right="532" w:hanging="60"/>
              <w:rPr>
                <w:sz w:val="16"/>
                <w:szCs w:val="16"/>
              </w:rPr>
            </w:pPr>
            <w:r>
              <w:rPr>
                <w:spacing w:val="-7"/>
                <w:sz w:val="16"/>
                <w:szCs w:val="16"/>
              </w:rPr>
              <w:t>初验报审表</w:t>
            </w:r>
            <w:r>
              <w:rPr>
                <w:spacing w:val="1"/>
                <w:sz w:val="16"/>
                <w:szCs w:val="16"/>
              </w:rPr>
              <w:t xml:space="preserve"> </w:t>
            </w:r>
            <w:r>
              <w:rPr>
                <w:spacing w:val="-2"/>
                <w:sz w:val="16"/>
                <w:szCs w:val="16"/>
              </w:rPr>
              <w:t>承建合同</w:t>
            </w:r>
          </w:p>
          <w:p w14:paraId="53D8AC83">
            <w:pPr>
              <w:pStyle w:val="6"/>
              <w:spacing w:before="243" w:line="220" w:lineRule="auto"/>
              <w:ind w:left="60"/>
              <w:rPr>
                <w:sz w:val="16"/>
                <w:szCs w:val="16"/>
              </w:rPr>
            </w:pPr>
            <w:r>
              <w:rPr>
                <w:color w:val="2388C3"/>
                <w:spacing w:val="-2"/>
                <w:sz w:val="16"/>
                <w:szCs w:val="16"/>
              </w:rPr>
              <w:t>初验方案</w:t>
            </w:r>
          </w:p>
          <w:p w14:paraId="34C71963">
            <w:pPr>
              <w:spacing w:line="244" w:lineRule="auto"/>
              <w:rPr>
                <w:rFonts w:ascii="Arial"/>
                <w:sz w:val="21"/>
              </w:rPr>
            </w:pPr>
          </w:p>
          <w:p w14:paraId="35AE5E53">
            <w:pPr>
              <w:spacing w:line="244" w:lineRule="auto"/>
              <w:rPr>
                <w:rFonts w:ascii="Arial"/>
                <w:sz w:val="21"/>
              </w:rPr>
            </w:pPr>
          </w:p>
          <w:p w14:paraId="398D2ECD">
            <w:pPr>
              <w:spacing w:line="244" w:lineRule="auto"/>
              <w:rPr>
                <w:rFonts w:ascii="Arial"/>
                <w:sz w:val="21"/>
              </w:rPr>
            </w:pPr>
          </w:p>
          <w:p w14:paraId="4C5BAEF4">
            <w:pPr>
              <w:pStyle w:val="6"/>
              <w:spacing w:before="52" w:line="220" w:lineRule="auto"/>
              <w:ind w:left="60"/>
              <w:rPr>
                <w:sz w:val="16"/>
                <w:szCs w:val="16"/>
              </w:rPr>
            </w:pPr>
            <w:r>
              <w:rPr>
                <w:color w:val="1288D7"/>
                <w:spacing w:val="-2"/>
                <w:sz w:val="16"/>
                <w:szCs w:val="16"/>
              </w:rPr>
              <w:t>测</w:t>
            </w:r>
            <w:r>
              <w:rPr>
                <w:spacing w:val="-2"/>
                <w:sz w:val="16"/>
                <w:szCs w:val="16"/>
              </w:rPr>
              <w:t>试方</w:t>
            </w:r>
            <w:r>
              <w:rPr>
                <w:color w:val="1288D7"/>
                <w:spacing w:val="-2"/>
                <w:sz w:val="16"/>
                <w:szCs w:val="16"/>
              </w:rPr>
              <w:t>案</w:t>
            </w:r>
          </w:p>
          <w:p w14:paraId="5CA467C0">
            <w:pPr>
              <w:spacing w:line="284" w:lineRule="auto"/>
              <w:rPr>
                <w:rFonts w:ascii="Arial"/>
                <w:sz w:val="21"/>
              </w:rPr>
            </w:pPr>
          </w:p>
          <w:p w14:paraId="10190FFB">
            <w:pPr>
              <w:pStyle w:val="6"/>
              <w:spacing w:before="52" w:line="427" w:lineRule="auto"/>
              <w:ind w:left="60" w:right="604"/>
              <w:rPr>
                <w:rFonts w:ascii="黑体" w:hAnsi="黑体" w:eastAsia="黑体" w:cs="黑体"/>
                <w:sz w:val="16"/>
                <w:szCs w:val="16"/>
              </w:rPr>
            </w:pPr>
            <w:r>
              <w:rPr>
                <w:spacing w:val="-2"/>
                <w:sz w:val="16"/>
                <w:szCs w:val="16"/>
              </w:rPr>
              <w:t>测试报告</w:t>
            </w:r>
            <w:r>
              <w:rPr>
                <w:sz w:val="16"/>
                <w:szCs w:val="16"/>
              </w:rPr>
              <w:t xml:space="preserve"> </w:t>
            </w:r>
            <w:r>
              <w:rPr>
                <w:rFonts w:ascii="黑体" w:hAnsi="黑体" w:eastAsia="黑体" w:cs="黑体"/>
                <w:spacing w:val="-2"/>
                <w:sz w:val="16"/>
                <w:szCs w:val="16"/>
              </w:rPr>
              <w:t>初验方案</w:t>
            </w:r>
          </w:p>
          <w:p w14:paraId="53E92F54">
            <w:pPr>
              <w:spacing w:line="247" w:lineRule="auto"/>
              <w:rPr>
                <w:rFonts w:ascii="Arial"/>
                <w:sz w:val="21"/>
              </w:rPr>
            </w:pPr>
          </w:p>
          <w:p w14:paraId="100DEF38">
            <w:pPr>
              <w:pStyle w:val="6"/>
              <w:spacing w:before="53" w:line="220" w:lineRule="auto"/>
              <w:rPr>
                <w:sz w:val="16"/>
                <w:szCs w:val="16"/>
              </w:rPr>
            </w:pPr>
            <w:r>
              <w:rPr>
                <w:color w:val="0073C1"/>
                <w:spacing w:val="-6"/>
                <w:sz w:val="16"/>
                <w:szCs w:val="16"/>
              </w:rPr>
              <w:t>试运行方案</w:t>
            </w:r>
          </w:p>
          <w:p w14:paraId="1DABE50B">
            <w:pPr>
              <w:spacing w:line="282" w:lineRule="auto"/>
              <w:rPr>
                <w:rFonts w:ascii="Arial"/>
                <w:sz w:val="21"/>
              </w:rPr>
            </w:pPr>
          </w:p>
          <w:p w14:paraId="6193B76F">
            <w:pPr>
              <w:spacing w:line="282" w:lineRule="auto"/>
              <w:rPr>
                <w:rFonts w:ascii="Arial"/>
                <w:sz w:val="21"/>
              </w:rPr>
            </w:pPr>
          </w:p>
          <w:p w14:paraId="69DA6863">
            <w:pPr>
              <w:spacing w:line="282" w:lineRule="auto"/>
              <w:rPr>
                <w:rFonts w:ascii="Arial"/>
                <w:sz w:val="21"/>
              </w:rPr>
            </w:pPr>
          </w:p>
          <w:p w14:paraId="0CAC9145">
            <w:pPr>
              <w:spacing w:line="283" w:lineRule="auto"/>
              <w:rPr>
                <w:rFonts w:ascii="Arial"/>
                <w:sz w:val="21"/>
              </w:rPr>
            </w:pPr>
          </w:p>
          <w:p w14:paraId="78BEF887">
            <w:pPr>
              <w:pStyle w:val="6"/>
              <w:spacing w:before="53" w:line="384" w:lineRule="auto"/>
              <w:ind w:left="60" w:right="532" w:hanging="60"/>
              <w:jc w:val="both"/>
              <w:rPr>
                <w:sz w:val="16"/>
                <w:szCs w:val="16"/>
              </w:rPr>
            </w:pPr>
            <w:r>
              <w:rPr>
                <w:spacing w:val="-7"/>
                <w:sz w:val="16"/>
                <w:szCs w:val="16"/>
              </w:rPr>
              <w:t>终验报审表</w:t>
            </w:r>
            <w:r>
              <w:rPr>
                <w:spacing w:val="1"/>
                <w:sz w:val="16"/>
                <w:szCs w:val="16"/>
              </w:rPr>
              <w:t xml:space="preserve"> </w:t>
            </w:r>
            <w:r>
              <w:rPr>
                <w:spacing w:val="-2"/>
                <w:sz w:val="16"/>
                <w:szCs w:val="16"/>
              </w:rPr>
              <w:t>承建合同</w:t>
            </w:r>
            <w:r>
              <w:rPr>
                <w:sz w:val="16"/>
                <w:szCs w:val="16"/>
              </w:rPr>
              <w:t xml:space="preserve">  </w:t>
            </w:r>
            <w:r>
              <w:rPr>
                <w:spacing w:val="-2"/>
                <w:sz w:val="16"/>
                <w:szCs w:val="16"/>
              </w:rPr>
              <w:t>标准规范</w:t>
            </w:r>
          </w:p>
          <w:p w14:paraId="47B523ED">
            <w:pPr>
              <w:pStyle w:val="6"/>
              <w:spacing w:before="32" w:line="219" w:lineRule="auto"/>
              <w:ind w:left="60"/>
              <w:rPr>
                <w:sz w:val="16"/>
                <w:szCs w:val="16"/>
              </w:rPr>
            </w:pPr>
            <w:r>
              <w:rPr>
                <w:color w:val="0080E3"/>
                <w:spacing w:val="-2"/>
                <w:sz w:val="16"/>
                <w:szCs w:val="16"/>
              </w:rPr>
              <w:t>工程文档</w:t>
            </w:r>
          </w:p>
          <w:p w14:paraId="66CA0D20">
            <w:pPr>
              <w:spacing w:line="262" w:lineRule="auto"/>
              <w:rPr>
                <w:rFonts w:ascii="Arial"/>
                <w:sz w:val="21"/>
              </w:rPr>
            </w:pPr>
          </w:p>
          <w:p w14:paraId="48333BB8">
            <w:pPr>
              <w:spacing w:line="263" w:lineRule="auto"/>
              <w:rPr>
                <w:rFonts w:ascii="Arial"/>
                <w:sz w:val="21"/>
              </w:rPr>
            </w:pPr>
          </w:p>
          <w:p w14:paraId="39B77644">
            <w:pPr>
              <w:pStyle w:val="6"/>
              <w:spacing w:before="52" w:line="220" w:lineRule="auto"/>
              <w:ind w:left="60"/>
              <w:rPr>
                <w:sz w:val="16"/>
                <w:szCs w:val="16"/>
              </w:rPr>
            </w:pPr>
            <w:r>
              <w:rPr>
                <w:spacing w:val="-2"/>
                <w:sz w:val="16"/>
                <w:szCs w:val="16"/>
              </w:rPr>
              <w:t>终验方案</w:t>
            </w:r>
          </w:p>
          <w:p w14:paraId="072ABB60">
            <w:pPr>
              <w:pStyle w:val="6"/>
              <w:spacing w:before="169" w:line="219" w:lineRule="auto"/>
              <w:ind w:left="60"/>
              <w:rPr>
                <w:sz w:val="16"/>
                <w:szCs w:val="16"/>
              </w:rPr>
            </w:pPr>
            <w:r>
              <w:rPr>
                <w:color w:val="047ACA"/>
                <w:spacing w:val="-2"/>
                <w:sz w:val="16"/>
                <w:szCs w:val="16"/>
              </w:rPr>
              <w:t>工程文档</w:t>
            </w:r>
          </w:p>
          <w:p w14:paraId="42CD7122">
            <w:pPr>
              <w:pStyle w:val="6"/>
              <w:spacing w:before="141" w:line="270" w:lineRule="auto"/>
              <w:ind w:left="60" w:right="530" w:hanging="60"/>
              <w:rPr>
                <w:sz w:val="16"/>
                <w:szCs w:val="16"/>
              </w:rPr>
            </w:pPr>
            <w:r>
              <w:rPr>
                <w:spacing w:val="-7"/>
                <w:sz w:val="16"/>
                <w:szCs w:val="16"/>
              </w:rPr>
              <w:t>标准和规范</w:t>
            </w:r>
            <w:r>
              <w:rPr>
                <w:spacing w:val="3"/>
                <w:sz w:val="16"/>
                <w:szCs w:val="16"/>
              </w:rPr>
              <w:t xml:space="preserve"> </w:t>
            </w:r>
            <w:r>
              <w:rPr>
                <w:spacing w:val="-2"/>
                <w:sz w:val="16"/>
                <w:szCs w:val="16"/>
              </w:rPr>
              <w:t>付款申请</w:t>
            </w:r>
          </w:p>
        </w:tc>
        <w:tc>
          <w:tcPr>
            <w:tcW w:w="1211" w:type="dxa"/>
            <w:vAlign w:val="top"/>
          </w:tcPr>
          <w:p w14:paraId="799BC116">
            <w:pPr>
              <w:pStyle w:val="6"/>
              <w:spacing w:line="219" w:lineRule="auto"/>
              <w:ind w:left="530"/>
              <w:rPr>
                <w:sz w:val="16"/>
                <w:szCs w:val="16"/>
              </w:rPr>
            </w:pPr>
            <w:r>
              <w:rPr>
                <w:spacing w:val="-2"/>
                <w:sz w:val="16"/>
                <w:szCs w:val="16"/>
              </w:rPr>
              <w:t>承建单位</w:t>
            </w:r>
          </w:p>
          <w:p w14:paraId="25394901">
            <w:pPr>
              <w:spacing w:line="274" w:lineRule="auto"/>
              <w:rPr>
                <w:rFonts w:ascii="Arial"/>
                <w:sz w:val="21"/>
              </w:rPr>
            </w:pPr>
          </w:p>
          <w:p w14:paraId="601D0D9F">
            <w:pPr>
              <w:spacing w:line="274" w:lineRule="auto"/>
              <w:rPr>
                <w:rFonts w:ascii="Arial"/>
                <w:sz w:val="21"/>
              </w:rPr>
            </w:pPr>
          </w:p>
          <w:p w14:paraId="2163E841">
            <w:pPr>
              <w:spacing w:line="275" w:lineRule="auto"/>
              <w:rPr>
                <w:rFonts w:ascii="Arial"/>
                <w:sz w:val="21"/>
              </w:rPr>
            </w:pPr>
          </w:p>
          <w:p w14:paraId="03369CFF">
            <w:pPr>
              <w:pStyle w:val="6"/>
              <w:spacing w:before="52" w:line="219" w:lineRule="auto"/>
              <w:ind w:left="560"/>
              <w:rPr>
                <w:sz w:val="16"/>
                <w:szCs w:val="16"/>
              </w:rPr>
            </w:pPr>
            <w:r>
              <w:rPr>
                <w:spacing w:val="-8"/>
                <w:sz w:val="16"/>
                <w:szCs w:val="16"/>
              </w:rPr>
              <w:t>初</w:t>
            </w:r>
            <w:r>
              <w:rPr>
                <w:color w:val="2C9FD1"/>
                <w:spacing w:val="-8"/>
                <w:sz w:val="16"/>
                <w:szCs w:val="16"/>
              </w:rPr>
              <w:t>验</w:t>
            </w:r>
            <w:r>
              <w:rPr>
                <w:spacing w:val="-8"/>
                <w:sz w:val="16"/>
                <w:szCs w:val="16"/>
              </w:rPr>
              <w:t>申</w:t>
            </w:r>
            <w:r>
              <w:rPr>
                <w:color w:val="2C9FD1"/>
                <w:spacing w:val="-8"/>
                <w:sz w:val="16"/>
                <w:szCs w:val="16"/>
              </w:rPr>
              <w:t>请</w:t>
            </w:r>
          </w:p>
          <w:p w14:paraId="7752180B">
            <w:pPr>
              <w:spacing w:line="264" w:lineRule="auto"/>
              <w:rPr>
                <w:rFonts w:ascii="Arial"/>
                <w:sz w:val="21"/>
              </w:rPr>
            </w:pPr>
          </w:p>
          <w:p w14:paraId="71E4FC06">
            <w:pPr>
              <w:spacing w:line="264" w:lineRule="auto"/>
              <w:rPr>
                <w:rFonts w:ascii="Arial"/>
                <w:sz w:val="21"/>
              </w:rPr>
            </w:pPr>
          </w:p>
          <w:p w14:paraId="77A92CE9">
            <w:pPr>
              <w:spacing w:line="265" w:lineRule="auto"/>
              <w:rPr>
                <w:rFonts w:ascii="Arial"/>
                <w:sz w:val="21"/>
              </w:rPr>
            </w:pPr>
          </w:p>
          <w:p w14:paraId="2E8EE714">
            <w:pPr>
              <w:pStyle w:val="6"/>
              <w:spacing w:before="52" w:line="219" w:lineRule="auto"/>
              <w:ind w:left="710"/>
              <w:rPr>
                <w:sz w:val="16"/>
                <w:szCs w:val="16"/>
              </w:rPr>
            </w:pPr>
            <w:r>
              <w:rPr>
                <w:spacing w:val="-2"/>
                <w:sz w:val="16"/>
                <w:szCs w:val="16"/>
              </w:rPr>
              <w:t>整改</w:t>
            </w:r>
          </w:p>
          <w:p w14:paraId="3C6DEB64">
            <w:pPr>
              <w:spacing w:line="252" w:lineRule="auto"/>
              <w:rPr>
                <w:rFonts w:ascii="Arial"/>
                <w:sz w:val="21"/>
              </w:rPr>
            </w:pPr>
          </w:p>
          <w:p w14:paraId="5523CDCB">
            <w:pPr>
              <w:spacing w:line="252" w:lineRule="auto"/>
              <w:rPr>
                <w:rFonts w:ascii="Arial"/>
                <w:sz w:val="21"/>
              </w:rPr>
            </w:pPr>
          </w:p>
          <w:p w14:paraId="2EF6858F">
            <w:pPr>
              <w:spacing w:line="252" w:lineRule="auto"/>
              <w:rPr>
                <w:rFonts w:ascii="Arial"/>
                <w:sz w:val="21"/>
              </w:rPr>
            </w:pPr>
          </w:p>
          <w:p w14:paraId="02895CF5">
            <w:pPr>
              <w:spacing w:line="252" w:lineRule="auto"/>
              <w:rPr>
                <w:rFonts w:ascii="Arial"/>
                <w:sz w:val="21"/>
              </w:rPr>
            </w:pPr>
          </w:p>
          <w:p w14:paraId="2CAC5ECA">
            <w:pPr>
              <w:spacing w:line="252" w:lineRule="auto"/>
              <w:rPr>
                <w:rFonts w:ascii="Arial"/>
                <w:sz w:val="21"/>
              </w:rPr>
            </w:pPr>
          </w:p>
          <w:p w14:paraId="4BE7BFA4">
            <w:pPr>
              <w:pStyle w:val="6"/>
              <w:spacing w:before="52" w:line="219" w:lineRule="auto"/>
              <w:ind w:left="710"/>
              <w:rPr>
                <w:sz w:val="16"/>
                <w:szCs w:val="16"/>
              </w:rPr>
            </w:pPr>
            <w:r>
              <w:rPr>
                <w:spacing w:val="-2"/>
                <w:sz w:val="16"/>
                <w:szCs w:val="16"/>
              </w:rPr>
              <w:t>整改</w:t>
            </w:r>
          </w:p>
          <w:p w14:paraId="79AF94E2">
            <w:pPr>
              <w:spacing w:line="264" w:lineRule="auto"/>
              <w:rPr>
                <w:rFonts w:ascii="Arial"/>
                <w:sz w:val="21"/>
              </w:rPr>
            </w:pPr>
          </w:p>
          <w:p w14:paraId="4D5641A2">
            <w:pPr>
              <w:spacing w:line="264" w:lineRule="auto"/>
              <w:rPr>
                <w:rFonts w:ascii="Arial"/>
                <w:sz w:val="21"/>
              </w:rPr>
            </w:pPr>
          </w:p>
          <w:p w14:paraId="0AECBAB0">
            <w:pPr>
              <w:spacing w:line="264" w:lineRule="auto"/>
              <w:rPr>
                <w:rFonts w:ascii="Arial"/>
                <w:sz w:val="21"/>
              </w:rPr>
            </w:pPr>
          </w:p>
          <w:p w14:paraId="5C80FB12">
            <w:pPr>
              <w:spacing w:line="264" w:lineRule="auto"/>
              <w:rPr>
                <w:rFonts w:ascii="Arial"/>
                <w:sz w:val="21"/>
              </w:rPr>
            </w:pPr>
          </w:p>
          <w:p w14:paraId="58718F29">
            <w:pPr>
              <w:spacing w:line="264" w:lineRule="auto"/>
              <w:rPr>
                <w:rFonts w:ascii="Arial"/>
                <w:sz w:val="21"/>
              </w:rPr>
            </w:pPr>
          </w:p>
          <w:p w14:paraId="2889DDFB">
            <w:pPr>
              <w:pStyle w:val="6"/>
              <w:spacing w:before="52" w:line="219" w:lineRule="auto"/>
              <w:ind w:left="710"/>
              <w:rPr>
                <w:sz w:val="16"/>
                <w:szCs w:val="16"/>
              </w:rPr>
            </w:pPr>
            <w:r>
              <w:rPr>
                <w:spacing w:val="-2"/>
                <w:sz w:val="16"/>
                <w:szCs w:val="16"/>
              </w:rPr>
              <w:t>整改</w:t>
            </w:r>
          </w:p>
          <w:p w14:paraId="7635F431">
            <w:pPr>
              <w:spacing w:line="332" w:lineRule="auto"/>
              <w:rPr>
                <w:rFonts w:ascii="Arial"/>
                <w:sz w:val="21"/>
              </w:rPr>
            </w:pPr>
          </w:p>
          <w:p w14:paraId="00C29FCD">
            <w:pPr>
              <w:spacing w:line="332" w:lineRule="auto"/>
              <w:rPr>
                <w:rFonts w:ascii="Arial"/>
                <w:sz w:val="21"/>
              </w:rPr>
            </w:pPr>
          </w:p>
          <w:p w14:paraId="428C72D1">
            <w:pPr>
              <w:pStyle w:val="6"/>
              <w:spacing w:before="52" w:line="219" w:lineRule="auto"/>
              <w:jc w:val="right"/>
              <w:rPr>
                <w:sz w:val="16"/>
                <w:szCs w:val="16"/>
              </w:rPr>
            </w:pPr>
            <w:r>
              <w:rPr>
                <w:spacing w:val="-3"/>
                <w:sz w:val="16"/>
                <w:szCs w:val="16"/>
              </w:rPr>
              <w:t>终验申请</w:t>
            </w:r>
          </w:p>
          <w:p w14:paraId="17DF1951">
            <w:pPr>
              <w:spacing w:line="282" w:lineRule="auto"/>
              <w:rPr>
                <w:rFonts w:ascii="Arial"/>
                <w:sz w:val="21"/>
              </w:rPr>
            </w:pPr>
          </w:p>
          <w:p w14:paraId="5E076D35">
            <w:pPr>
              <w:spacing w:line="282" w:lineRule="auto"/>
              <w:rPr>
                <w:rFonts w:ascii="Arial"/>
                <w:sz w:val="21"/>
              </w:rPr>
            </w:pPr>
          </w:p>
          <w:p w14:paraId="72F66754">
            <w:pPr>
              <w:pStyle w:val="6"/>
              <w:spacing w:before="52" w:line="219" w:lineRule="auto"/>
              <w:ind w:left="710"/>
              <w:rPr>
                <w:sz w:val="16"/>
                <w:szCs w:val="16"/>
              </w:rPr>
            </w:pPr>
            <w:r>
              <w:rPr>
                <w:spacing w:val="-2"/>
                <w:sz w:val="16"/>
                <w:szCs w:val="16"/>
              </w:rPr>
              <w:t>整改</w:t>
            </w:r>
          </w:p>
          <w:p w14:paraId="3545784C">
            <w:pPr>
              <w:spacing w:line="258" w:lineRule="auto"/>
              <w:rPr>
                <w:rFonts w:ascii="Arial"/>
                <w:sz w:val="21"/>
              </w:rPr>
            </w:pPr>
          </w:p>
          <w:p w14:paraId="55D2FDEC">
            <w:pPr>
              <w:spacing w:line="258" w:lineRule="auto"/>
              <w:rPr>
                <w:rFonts w:ascii="Arial"/>
                <w:sz w:val="21"/>
              </w:rPr>
            </w:pPr>
          </w:p>
          <w:p w14:paraId="434A3FCA">
            <w:pPr>
              <w:spacing w:line="258" w:lineRule="auto"/>
              <w:rPr>
                <w:rFonts w:ascii="Arial"/>
                <w:sz w:val="21"/>
              </w:rPr>
            </w:pPr>
          </w:p>
          <w:p w14:paraId="5024D5C6">
            <w:pPr>
              <w:spacing w:line="258" w:lineRule="auto"/>
              <w:rPr>
                <w:rFonts w:ascii="Arial"/>
                <w:sz w:val="21"/>
              </w:rPr>
            </w:pPr>
          </w:p>
          <w:p w14:paraId="3EE5B3CE">
            <w:pPr>
              <w:spacing w:line="258" w:lineRule="auto"/>
              <w:rPr>
                <w:rFonts w:ascii="Arial"/>
                <w:sz w:val="21"/>
              </w:rPr>
            </w:pPr>
          </w:p>
          <w:p w14:paraId="24C55025">
            <w:pPr>
              <w:pStyle w:val="6"/>
              <w:spacing w:before="52" w:line="219" w:lineRule="auto"/>
              <w:ind w:left="710"/>
              <w:rPr>
                <w:sz w:val="16"/>
                <w:szCs w:val="16"/>
              </w:rPr>
            </w:pPr>
            <w:r>
              <w:rPr>
                <w:spacing w:val="-2"/>
                <w:sz w:val="16"/>
                <w:szCs w:val="16"/>
              </w:rPr>
              <w:t>整改</w:t>
            </w:r>
          </w:p>
        </w:tc>
      </w:tr>
    </w:tbl>
    <w:p w14:paraId="387D4548">
      <w:pPr>
        <w:rPr>
          <w:rFonts w:ascii="Arial"/>
          <w:sz w:val="21"/>
        </w:rPr>
      </w:pPr>
    </w:p>
    <w:p w14:paraId="53C3276B">
      <w:pPr>
        <w:spacing w:line="14" w:lineRule="auto"/>
        <w:rPr>
          <w:rFonts w:ascii="Arial"/>
          <w:sz w:val="2"/>
        </w:rPr>
      </w:pPr>
      <w:r>
        <w:rPr>
          <w:rFonts w:ascii="Arial" w:hAnsi="Arial" w:eastAsia="Arial" w:cs="Arial"/>
          <w:sz w:val="2"/>
          <w:szCs w:val="2"/>
        </w:rPr>
        <w:br w:type="column"/>
      </w:r>
    </w:p>
    <w:p w14:paraId="0FCC9F1B">
      <w:pPr>
        <w:spacing w:line="272" w:lineRule="auto"/>
        <w:rPr>
          <w:rFonts w:ascii="Arial"/>
          <w:sz w:val="21"/>
        </w:rPr>
      </w:pPr>
    </w:p>
    <w:p w14:paraId="23B704AF">
      <w:pPr>
        <w:spacing w:line="273" w:lineRule="auto"/>
        <w:rPr>
          <w:rFonts w:ascii="Arial"/>
          <w:sz w:val="21"/>
        </w:rPr>
      </w:pPr>
    </w:p>
    <w:p w14:paraId="4FAA1051">
      <w:pPr>
        <w:spacing w:line="273" w:lineRule="auto"/>
        <w:rPr>
          <w:rFonts w:ascii="Arial"/>
          <w:sz w:val="21"/>
        </w:rPr>
      </w:pPr>
    </w:p>
    <w:p w14:paraId="518664A7">
      <w:pPr>
        <w:pStyle w:val="2"/>
        <w:spacing w:before="52" w:line="229" w:lineRule="auto"/>
        <w:ind w:left="30"/>
        <w:rPr>
          <w:sz w:val="16"/>
          <w:szCs w:val="16"/>
        </w:rPr>
      </w:pPr>
      <w:bookmarkStart w:id="716" w:name="bookmark701"/>
      <w:bookmarkEnd w:id="716"/>
      <w:r>
        <w:rPr>
          <w:spacing w:val="-5"/>
          <w:sz w:val="16"/>
          <w:szCs w:val="16"/>
        </w:rPr>
        <w:t>监理机构</w:t>
      </w:r>
      <w:r>
        <w:rPr>
          <w:spacing w:val="4"/>
          <w:sz w:val="16"/>
          <w:szCs w:val="16"/>
        </w:rPr>
        <w:t xml:space="preserve">           </w:t>
      </w:r>
      <w:r>
        <w:rPr>
          <w:spacing w:val="-5"/>
          <w:sz w:val="16"/>
          <w:szCs w:val="16"/>
        </w:rPr>
        <w:t>业主单位</w:t>
      </w:r>
    </w:p>
    <w:p w14:paraId="08602A75">
      <w:pPr>
        <w:spacing w:line="288" w:lineRule="auto"/>
        <w:rPr>
          <w:rFonts w:ascii="Arial"/>
          <w:sz w:val="21"/>
        </w:rPr>
      </w:pPr>
    </w:p>
    <w:p w14:paraId="0C2AB8D5">
      <w:pPr>
        <w:pStyle w:val="2"/>
        <w:spacing w:before="52" w:line="221" w:lineRule="auto"/>
        <w:rPr>
          <w:sz w:val="16"/>
          <w:szCs w:val="16"/>
        </w:rPr>
      </w:pPr>
      <w:r>
        <w:rPr>
          <w:spacing w:val="-3"/>
          <w:sz w:val="16"/>
          <w:szCs w:val="16"/>
        </w:rPr>
        <w:t>阶段开始</w:t>
      </w:r>
    </w:p>
    <w:p w14:paraId="42B0728E">
      <w:pPr>
        <w:spacing w:line="286" w:lineRule="auto"/>
        <w:rPr>
          <w:rFonts w:ascii="Arial"/>
          <w:sz w:val="21"/>
        </w:rPr>
      </w:pPr>
    </w:p>
    <w:p w14:paraId="348CB130">
      <w:pPr>
        <w:spacing w:line="287" w:lineRule="auto"/>
        <w:rPr>
          <w:rFonts w:ascii="Arial"/>
          <w:sz w:val="21"/>
        </w:rPr>
      </w:pPr>
    </w:p>
    <w:p w14:paraId="09085A81">
      <w:pPr>
        <w:spacing w:line="287" w:lineRule="auto"/>
        <w:rPr>
          <w:rFonts w:ascii="Arial"/>
          <w:sz w:val="21"/>
        </w:rPr>
      </w:pPr>
    </w:p>
    <w:p w14:paraId="15C773FA">
      <w:pPr>
        <w:pStyle w:val="2"/>
        <w:spacing w:before="52" w:line="220" w:lineRule="auto"/>
        <w:ind w:left="1149"/>
        <w:rPr>
          <w:sz w:val="16"/>
          <w:szCs w:val="16"/>
        </w:rPr>
      </w:pPr>
      <w:r>
        <w:rPr>
          <w:spacing w:val="-4"/>
          <w:sz w:val="16"/>
          <w:szCs w:val="16"/>
        </w:rPr>
        <w:t>审查</w:t>
      </w:r>
    </w:p>
    <w:p w14:paraId="64C0DE17">
      <w:pPr>
        <w:spacing w:before="99" w:line="223" w:lineRule="auto"/>
        <w:ind w:left="469"/>
        <w:rPr>
          <w:rFonts w:ascii="黑体" w:hAnsi="黑体" w:eastAsia="黑体" w:cs="黑体"/>
          <w:sz w:val="16"/>
          <w:szCs w:val="16"/>
        </w:rPr>
      </w:pPr>
      <w:r>
        <w:rPr>
          <w:rFonts w:ascii="黑体" w:hAnsi="黑体" w:eastAsia="黑体" w:cs="黑体"/>
          <w:sz w:val="16"/>
          <w:szCs w:val="16"/>
        </w:rPr>
        <w:t>否</w:t>
      </w:r>
    </w:p>
    <w:p w14:paraId="2D565224">
      <w:pPr>
        <w:pStyle w:val="2"/>
        <w:spacing w:before="16" w:line="219" w:lineRule="auto"/>
        <w:ind w:left="1059"/>
        <w:rPr>
          <w:sz w:val="16"/>
          <w:szCs w:val="16"/>
        </w:rPr>
      </w:pPr>
      <w:r>
        <w:rPr>
          <w:spacing w:val="-3"/>
          <w:sz w:val="16"/>
          <w:szCs w:val="16"/>
        </w:rPr>
        <w:t>符合?</w:t>
      </w:r>
    </w:p>
    <w:p w14:paraId="5DF3B842">
      <w:pPr>
        <w:pStyle w:val="2"/>
        <w:spacing w:before="73"/>
        <w:ind w:left="999" w:right="998" w:firstLine="570"/>
        <w:rPr>
          <w:sz w:val="16"/>
          <w:szCs w:val="16"/>
        </w:rPr>
      </w:pPr>
      <w:r>
        <w:rPr>
          <w:spacing w:val="-9"/>
          <w:sz w:val="16"/>
          <w:szCs w:val="16"/>
        </w:rPr>
        <w:t>是</w:t>
      </w:r>
      <w:r>
        <w:rPr>
          <w:sz w:val="16"/>
          <w:szCs w:val="16"/>
        </w:rPr>
        <w:t xml:space="preserve"> </w:t>
      </w:r>
      <w:r>
        <w:rPr>
          <w:spacing w:val="-5"/>
          <w:sz w:val="16"/>
          <w:szCs w:val="16"/>
        </w:rPr>
        <w:t>同意初验</w:t>
      </w:r>
    </w:p>
    <w:p w14:paraId="26386FF4">
      <w:pPr>
        <w:pStyle w:val="2"/>
        <w:spacing w:before="291" w:line="220" w:lineRule="auto"/>
        <w:ind w:left="999"/>
        <w:rPr>
          <w:sz w:val="16"/>
          <w:szCs w:val="16"/>
        </w:rPr>
      </w:pPr>
      <w:r>
        <w:rPr>
          <w:color w:val="24A2E1"/>
          <w:spacing w:val="-2"/>
          <w:sz w:val="16"/>
          <w:szCs w:val="16"/>
        </w:rPr>
        <w:t>初验审查</w:t>
      </w:r>
    </w:p>
    <w:p w14:paraId="13D197B3">
      <w:pPr>
        <w:pStyle w:val="2"/>
        <w:spacing w:before="130" w:line="218" w:lineRule="auto"/>
        <w:ind w:left="469"/>
        <w:rPr>
          <w:sz w:val="16"/>
          <w:szCs w:val="16"/>
        </w:rPr>
      </w:pPr>
      <w:r>
        <w:rPr>
          <w:sz w:val="16"/>
          <w:szCs w:val="16"/>
        </w:rPr>
        <w:t>否</w:t>
      </w:r>
    </w:p>
    <w:p w14:paraId="45153CDD">
      <w:pPr>
        <w:pStyle w:val="2"/>
        <w:spacing w:line="219" w:lineRule="auto"/>
        <w:ind w:left="1059"/>
        <w:rPr>
          <w:sz w:val="16"/>
          <w:szCs w:val="16"/>
        </w:rPr>
      </w:pPr>
      <w:r>
        <w:rPr>
          <w:color w:val="289BF3"/>
          <w:spacing w:val="-3"/>
          <w:sz w:val="16"/>
          <w:szCs w:val="16"/>
        </w:rPr>
        <w:t>符</w:t>
      </w:r>
      <w:r>
        <w:rPr>
          <w:spacing w:val="-3"/>
          <w:sz w:val="16"/>
          <w:szCs w:val="16"/>
        </w:rPr>
        <w:t>合?</w:t>
      </w:r>
    </w:p>
    <w:p w14:paraId="25844024">
      <w:pPr>
        <w:pStyle w:val="2"/>
        <w:spacing w:before="63" w:line="223" w:lineRule="auto"/>
        <w:ind w:left="1570"/>
        <w:rPr>
          <w:sz w:val="16"/>
          <w:szCs w:val="16"/>
        </w:rPr>
      </w:pPr>
      <w:r>
        <w:rPr>
          <w:color w:val="FFFFFF"/>
          <w:sz w:val="16"/>
          <w:szCs w:val="16"/>
        </w:rPr>
        <w:t>是</w:t>
      </w:r>
    </w:p>
    <w:p w14:paraId="4BC1AE06">
      <w:pPr>
        <w:pStyle w:val="2"/>
        <w:spacing w:before="75" w:line="220" w:lineRule="auto"/>
        <w:ind w:left="469"/>
        <w:rPr>
          <w:sz w:val="16"/>
          <w:szCs w:val="16"/>
        </w:rPr>
      </w:pPr>
      <w:r>
        <w:rPr>
          <w:spacing w:val="-7"/>
          <w:sz w:val="16"/>
          <w:szCs w:val="16"/>
        </w:rPr>
        <w:t>监理签认、业主单位批准</w:t>
      </w:r>
    </w:p>
    <w:p w14:paraId="6DCF00CE">
      <w:pPr>
        <w:spacing w:line="285" w:lineRule="auto"/>
        <w:rPr>
          <w:rFonts w:ascii="Arial"/>
          <w:sz w:val="21"/>
        </w:rPr>
      </w:pPr>
    </w:p>
    <w:p w14:paraId="3822E588">
      <w:pPr>
        <w:pStyle w:val="2"/>
        <w:spacing w:before="52" w:line="220" w:lineRule="auto"/>
        <w:ind w:left="929"/>
        <w:rPr>
          <w:sz w:val="16"/>
          <w:szCs w:val="16"/>
        </w:rPr>
      </w:pPr>
      <w:r>
        <w:rPr>
          <w:spacing w:val="-5"/>
          <w:sz w:val="16"/>
          <w:szCs w:val="16"/>
        </w:rPr>
        <w:t>试运行监督</w:t>
      </w:r>
    </w:p>
    <w:p w14:paraId="0325C4C4">
      <w:pPr>
        <w:pStyle w:val="2"/>
        <w:spacing w:before="210" w:line="184" w:lineRule="auto"/>
        <w:ind w:left="469"/>
        <w:rPr>
          <w:sz w:val="16"/>
          <w:szCs w:val="16"/>
        </w:rPr>
      </w:pPr>
      <w:r>
        <w:rPr>
          <w:sz w:val="16"/>
          <w:szCs w:val="16"/>
        </w:rPr>
        <w:t>否</w:t>
      </w:r>
    </w:p>
    <w:p w14:paraId="465DDC07">
      <w:pPr>
        <w:pStyle w:val="2"/>
        <w:spacing w:line="219" w:lineRule="auto"/>
        <w:ind w:left="1059"/>
        <w:rPr>
          <w:sz w:val="16"/>
          <w:szCs w:val="16"/>
        </w:rPr>
      </w:pPr>
      <w:r>
        <w:rPr>
          <w:color w:val="FFFFFF"/>
          <w:spacing w:val="-3"/>
          <w:sz w:val="16"/>
          <w:szCs w:val="16"/>
        </w:rPr>
        <w:t>符合?</w:t>
      </w:r>
    </w:p>
    <w:p w14:paraId="4515D0B5">
      <w:pPr>
        <w:pStyle w:val="2"/>
        <w:spacing w:before="13" w:line="223" w:lineRule="auto"/>
        <w:ind w:left="1570"/>
        <w:rPr>
          <w:sz w:val="16"/>
          <w:szCs w:val="16"/>
        </w:rPr>
      </w:pPr>
      <w:r>
        <w:rPr>
          <w:color w:val="FFFFFF"/>
          <w:sz w:val="16"/>
          <w:szCs w:val="16"/>
        </w:rPr>
        <w:t>是</w:t>
      </w:r>
    </w:p>
    <w:p w14:paraId="729AF289">
      <w:pPr>
        <w:pStyle w:val="2"/>
        <w:spacing w:before="114" w:line="220" w:lineRule="auto"/>
        <w:ind w:left="469"/>
        <w:rPr>
          <w:sz w:val="16"/>
          <w:szCs w:val="16"/>
        </w:rPr>
      </w:pPr>
      <w:r>
        <w:rPr>
          <w:spacing w:val="-8"/>
          <w:sz w:val="16"/>
          <w:szCs w:val="16"/>
        </w:rPr>
        <w:t>监理确认、业</w:t>
      </w:r>
      <w:r>
        <w:rPr>
          <w:color w:val="3B9BFC"/>
          <w:spacing w:val="-8"/>
          <w:sz w:val="16"/>
          <w:szCs w:val="16"/>
        </w:rPr>
        <w:t>主单位批准</w:t>
      </w:r>
    </w:p>
    <w:p w14:paraId="6B87C36F">
      <w:pPr>
        <w:spacing w:line="414" w:lineRule="auto"/>
        <w:rPr>
          <w:rFonts w:ascii="Arial"/>
          <w:sz w:val="21"/>
        </w:rPr>
      </w:pPr>
    </w:p>
    <w:p w14:paraId="2768015C">
      <w:pPr>
        <w:pStyle w:val="2"/>
        <w:spacing w:before="53" w:line="220" w:lineRule="auto"/>
        <w:ind w:left="1139"/>
        <w:rPr>
          <w:sz w:val="16"/>
          <w:szCs w:val="16"/>
        </w:rPr>
      </w:pPr>
      <w:r>
        <w:rPr>
          <w:spacing w:val="-4"/>
          <w:sz w:val="16"/>
          <w:szCs w:val="16"/>
        </w:rPr>
        <w:t>审查</w:t>
      </w:r>
    </w:p>
    <w:p w14:paraId="0D789BF8">
      <w:pPr>
        <w:pStyle w:val="2"/>
        <w:spacing w:before="179" w:line="184" w:lineRule="auto"/>
        <w:ind w:left="529"/>
        <w:rPr>
          <w:sz w:val="16"/>
          <w:szCs w:val="16"/>
        </w:rPr>
      </w:pPr>
      <w:r>
        <w:rPr>
          <w:sz w:val="16"/>
          <w:szCs w:val="16"/>
        </w:rPr>
        <w:t>否</w:t>
      </w:r>
    </w:p>
    <w:p w14:paraId="3F852E53">
      <w:pPr>
        <w:pStyle w:val="2"/>
        <w:spacing w:line="219" w:lineRule="auto"/>
        <w:ind w:left="1059"/>
        <w:rPr>
          <w:sz w:val="16"/>
          <w:szCs w:val="16"/>
        </w:rPr>
      </w:pPr>
      <w:r>
        <w:rPr>
          <w:color w:val="FFFFFF"/>
          <w:spacing w:val="-3"/>
          <w:sz w:val="16"/>
          <w:szCs w:val="16"/>
        </w:rPr>
        <w:t>符合?</w:t>
      </w:r>
    </w:p>
    <w:p w14:paraId="26755966">
      <w:pPr>
        <w:pStyle w:val="2"/>
        <w:spacing w:before="53" w:line="223" w:lineRule="auto"/>
        <w:ind w:left="1570"/>
        <w:rPr>
          <w:sz w:val="16"/>
          <w:szCs w:val="16"/>
        </w:rPr>
      </w:pPr>
      <w:r>
        <w:rPr>
          <w:sz w:val="16"/>
          <w:szCs w:val="16"/>
        </w:rPr>
        <w:t>是</w:t>
      </w:r>
    </w:p>
    <w:p w14:paraId="028BD5AD">
      <w:pPr>
        <w:pStyle w:val="2"/>
        <w:spacing w:before="105" w:line="220" w:lineRule="auto"/>
        <w:ind w:left="609"/>
        <w:rPr>
          <w:sz w:val="16"/>
          <w:szCs w:val="16"/>
        </w:rPr>
      </w:pPr>
      <w:r>
        <w:rPr>
          <w:spacing w:val="-8"/>
          <w:sz w:val="16"/>
          <w:szCs w:val="16"/>
        </w:rPr>
        <w:t>监理、业主单</w:t>
      </w:r>
      <w:r>
        <w:rPr>
          <w:color w:val="32ACFE"/>
          <w:spacing w:val="-8"/>
          <w:sz w:val="16"/>
          <w:szCs w:val="16"/>
        </w:rPr>
        <w:t>位</w:t>
      </w:r>
      <w:r>
        <w:rPr>
          <w:spacing w:val="-8"/>
          <w:sz w:val="16"/>
          <w:szCs w:val="16"/>
        </w:rPr>
        <w:t>批</w:t>
      </w:r>
      <w:r>
        <w:rPr>
          <w:color w:val="32ACFE"/>
          <w:spacing w:val="-8"/>
          <w:sz w:val="16"/>
          <w:szCs w:val="16"/>
        </w:rPr>
        <w:t>准</w:t>
      </w:r>
    </w:p>
    <w:p w14:paraId="25F5B960">
      <w:pPr>
        <w:spacing w:line="255" w:lineRule="auto"/>
        <w:rPr>
          <w:rFonts w:ascii="Arial"/>
          <w:sz w:val="21"/>
        </w:rPr>
      </w:pPr>
    </w:p>
    <w:p w14:paraId="2FC13E5E">
      <w:pPr>
        <w:pStyle w:val="2"/>
        <w:spacing w:before="52" w:line="220" w:lineRule="auto"/>
        <w:ind w:left="839"/>
        <w:rPr>
          <w:sz w:val="16"/>
          <w:szCs w:val="16"/>
        </w:rPr>
      </w:pPr>
      <w:r>
        <w:rPr>
          <w:spacing w:val="-8"/>
          <w:sz w:val="16"/>
          <w:szCs w:val="16"/>
        </w:rPr>
        <w:t>监督终验过程</w:t>
      </w:r>
    </w:p>
    <w:p w14:paraId="5C39C922">
      <w:pPr>
        <w:pStyle w:val="2"/>
        <w:spacing w:before="139" w:line="196" w:lineRule="auto"/>
        <w:ind w:left="469"/>
        <w:rPr>
          <w:sz w:val="16"/>
          <w:szCs w:val="16"/>
        </w:rPr>
      </w:pPr>
      <w:r>
        <w:rPr>
          <w:sz w:val="16"/>
          <w:szCs w:val="16"/>
        </w:rPr>
        <w:t>否</w:t>
      </w:r>
    </w:p>
    <w:p w14:paraId="73C2B906">
      <w:pPr>
        <w:pStyle w:val="2"/>
        <w:spacing w:line="219" w:lineRule="auto"/>
        <w:ind w:left="1059"/>
        <w:rPr>
          <w:sz w:val="16"/>
          <w:szCs w:val="16"/>
        </w:rPr>
      </w:pPr>
      <w:r>
        <w:rPr>
          <w:spacing w:val="-3"/>
          <w:sz w:val="16"/>
          <w:szCs w:val="16"/>
        </w:rPr>
        <w:t>符合?</w:t>
      </w:r>
    </w:p>
    <w:p w14:paraId="2C54D47D">
      <w:pPr>
        <w:spacing w:before="51" w:line="222" w:lineRule="auto"/>
        <w:ind w:left="1570"/>
        <w:rPr>
          <w:rFonts w:ascii="黑体" w:hAnsi="黑体" w:eastAsia="黑体" w:cs="黑体"/>
          <w:sz w:val="16"/>
          <w:szCs w:val="16"/>
        </w:rPr>
      </w:pPr>
      <w:r>
        <w:rPr>
          <w:rFonts w:ascii="黑体" w:hAnsi="黑体" w:eastAsia="黑体" w:cs="黑体"/>
          <w:sz w:val="16"/>
          <w:szCs w:val="16"/>
        </w:rPr>
        <w:t>是</w:t>
      </w:r>
    </w:p>
    <w:p w14:paraId="77506D11">
      <w:pPr>
        <w:pStyle w:val="2"/>
        <w:spacing w:before="47" w:line="219" w:lineRule="auto"/>
        <w:ind w:left="669"/>
        <w:rPr>
          <w:sz w:val="16"/>
          <w:szCs w:val="16"/>
        </w:rPr>
      </w:pPr>
      <w:r>
        <w:rPr>
          <w:spacing w:val="-6"/>
          <w:sz w:val="16"/>
          <w:szCs w:val="16"/>
        </w:rPr>
        <w:t>签署竣工验收合格</w:t>
      </w:r>
    </w:p>
    <w:p w14:paraId="7B20C20A">
      <w:pPr>
        <w:spacing w:line="345" w:lineRule="auto"/>
        <w:rPr>
          <w:rFonts w:ascii="Arial"/>
          <w:sz w:val="21"/>
        </w:rPr>
      </w:pPr>
    </w:p>
    <w:p w14:paraId="44181888">
      <w:pPr>
        <w:pStyle w:val="2"/>
        <w:spacing w:before="53" w:line="208" w:lineRule="auto"/>
        <w:ind w:left="399"/>
        <w:rPr>
          <w:sz w:val="16"/>
          <w:szCs w:val="16"/>
        </w:rPr>
      </w:pPr>
      <w:r>
        <w:rPr>
          <w:spacing w:val="-2"/>
          <w:sz w:val="16"/>
          <w:szCs w:val="16"/>
        </w:rPr>
        <w:t>提交各类</w:t>
      </w:r>
    </w:p>
    <w:p w14:paraId="26438502">
      <w:pPr>
        <w:pStyle w:val="2"/>
        <w:spacing w:line="219" w:lineRule="auto"/>
        <w:ind w:left="270"/>
        <w:rPr>
          <w:sz w:val="16"/>
          <w:szCs w:val="16"/>
        </w:rPr>
      </w:pPr>
      <w:r>
        <w:rPr>
          <w:spacing w:val="-7"/>
          <w:sz w:val="16"/>
          <w:szCs w:val="16"/>
        </w:rPr>
        <w:t>监理文档资料</w:t>
      </w:r>
    </w:p>
    <w:p w14:paraId="043DC7E9">
      <w:pPr>
        <w:spacing w:line="336" w:lineRule="auto"/>
        <w:rPr>
          <w:rFonts w:ascii="Arial"/>
          <w:sz w:val="21"/>
        </w:rPr>
      </w:pPr>
    </w:p>
    <w:p w14:paraId="1AEE1662">
      <w:pPr>
        <w:pStyle w:val="2"/>
        <w:spacing w:before="52" w:line="184" w:lineRule="auto"/>
        <w:ind w:left="190"/>
        <w:rPr>
          <w:sz w:val="16"/>
          <w:szCs w:val="16"/>
        </w:rPr>
      </w:pPr>
      <w:r>
        <w:rPr>
          <w:spacing w:val="-3"/>
          <w:sz w:val="16"/>
          <w:szCs w:val="16"/>
        </w:rPr>
        <w:t>结束</w:t>
      </w:r>
    </w:p>
    <w:p w14:paraId="651FD882">
      <w:pPr>
        <w:spacing w:line="14" w:lineRule="auto"/>
        <w:rPr>
          <w:rFonts w:ascii="Arial"/>
          <w:sz w:val="2"/>
        </w:rPr>
      </w:pPr>
      <w:r>
        <w:rPr>
          <w:rFonts w:ascii="Arial" w:hAnsi="Arial" w:eastAsia="Arial" w:cs="Arial"/>
          <w:sz w:val="2"/>
          <w:szCs w:val="2"/>
        </w:rPr>
        <w:br w:type="column"/>
      </w:r>
    </w:p>
    <w:p w14:paraId="4CB8C01D">
      <w:pPr>
        <w:spacing w:line="272" w:lineRule="auto"/>
        <w:rPr>
          <w:rFonts w:ascii="Arial"/>
          <w:sz w:val="21"/>
        </w:rPr>
      </w:pPr>
    </w:p>
    <w:p w14:paraId="415C551F">
      <w:pPr>
        <w:spacing w:line="273" w:lineRule="auto"/>
        <w:rPr>
          <w:rFonts w:ascii="Arial"/>
          <w:sz w:val="21"/>
        </w:rPr>
      </w:pPr>
    </w:p>
    <w:p w14:paraId="39A04B6E">
      <w:pPr>
        <w:spacing w:line="273" w:lineRule="auto"/>
        <w:rPr>
          <w:rFonts w:ascii="Arial"/>
          <w:sz w:val="21"/>
        </w:rPr>
      </w:pPr>
    </w:p>
    <w:p w14:paraId="18412AF2">
      <w:pPr>
        <w:pStyle w:val="2"/>
        <w:spacing w:before="52" w:line="219" w:lineRule="auto"/>
        <w:ind w:left="409"/>
        <w:rPr>
          <w:sz w:val="16"/>
          <w:szCs w:val="16"/>
        </w:rPr>
      </w:pPr>
      <w:r>
        <w:rPr>
          <w:spacing w:val="-2"/>
          <w:sz w:val="16"/>
          <w:szCs w:val="16"/>
        </w:rPr>
        <w:t>输出</w:t>
      </w:r>
    </w:p>
    <w:p w14:paraId="100121E2">
      <w:pPr>
        <w:spacing w:line="265" w:lineRule="auto"/>
        <w:rPr>
          <w:rFonts w:ascii="Arial"/>
          <w:sz w:val="21"/>
        </w:rPr>
      </w:pPr>
    </w:p>
    <w:p w14:paraId="636A3308">
      <w:pPr>
        <w:spacing w:line="265" w:lineRule="auto"/>
        <w:rPr>
          <w:rFonts w:ascii="Arial"/>
          <w:sz w:val="21"/>
        </w:rPr>
      </w:pPr>
    </w:p>
    <w:p w14:paraId="7EFCC59D">
      <w:pPr>
        <w:spacing w:line="266" w:lineRule="auto"/>
        <w:rPr>
          <w:rFonts w:ascii="Arial"/>
          <w:sz w:val="21"/>
        </w:rPr>
      </w:pPr>
    </w:p>
    <w:p w14:paraId="748076D0">
      <w:pPr>
        <w:spacing w:line="266" w:lineRule="auto"/>
        <w:rPr>
          <w:rFonts w:ascii="Arial"/>
          <w:sz w:val="21"/>
        </w:rPr>
      </w:pPr>
    </w:p>
    <w:p w14:paraId="0BCFC8D5">
      <w:pPr>
        <w:pStyle w:val="2"/>
        <w:spacing w:before="52" w:line="425" w:lineRule="auto"/>
        <w:ind w:left="160" w:right="236" w:hanging="160"/>
        <w:rPr>
          <w:sz w:val="16"/>
          <w:szCs w:val="16"/>
        </w:rPr>
      </w:pPr>
      <w:r>
        <w:rPr>
          <w:spacing w:val="-1"/>
          <w:sz w:val="16"/>
          <w:szCs w:val="16"/>
        </w:rPr>
        <w:t>监理工作联系单</w:t>
      </w:r>
      <w:r>
        <w:rPr>
          <w:sz w:val="16"/>
          <w:szCs w:val="16"/>
        </w:rPr>
        <w:t xml:space="preserve"> </w:t>
      </w:r>
      <w:r>
        <w:rPr>
          <w:color w:val="3391D1"/>
          <w:spacing w:val="-2"/>
          <w:sz w:val="16"/>
          <w:szCs w:val="16"/>
        </w:rPr>
        <w:t>监</w:t>
      </w:r>
      <w:r>
        <w:rPr>
          <w:spacing w:val="-2"/>
          <w:sz w:val="16"/>
          <w:szCs w:val="16"/>
        </w:rPr>
        <w:t>理通知单</w:t>
      </w:r>
    </w:p>
    <w:p w14:paraId="56BCFFE6">
      <w:pPr>
        <w:pStyle w:val="2"/>
        <w:spacing w:before="42" w:line="219" w:lineRule="auto"/>
        <w:ind w:left="250"/>
        <w:rPr>
          <w:sz w:val="16"/>
          <w:szCs w:val="16"/>
        </w:rPr>
      </w:pPr>
      <w:r>
        <w:rPr>
          <w:spacing w:val="-2"/>
          <w:sz w:val="16"/>
          <w:szCs w:val="16"/>
        </w:rPr>
        <w:t>整改方案</w:t>
      </w:r>
    </w:p>
    <w:p w14:paraId="74FDBCA0">
      <w:pPr>
        <w:pStyle w:val="2"/>
        <w:spacing w:before="230" w:line="219" w:lineRule="auto"/>
        <w:rPr>
          <w:sz w:val="16"/>
          <w:szCs w:val="16"/>
        </w:rPr>
      </w:pPr>
      <w:r>
        <w:rPr>
          <w:spacing w:val="-1"/>
          <w:sz w:val="16"/>
          <w:szCs w:val="16"/>
        </w:rPr>
        <w:t>被签认的报审表</w:t>
      </w:r>
    </w:p>
    <w:p w14:paraId="50411EB4">
      <w:pPr>
        <w:spacing w:line="357" w:lineRule="auto"/>
        <w:rPr>
          <w:rFonts w:ascii="Arial"/>
          <w:sz w:val="21"/>
        </w:rPr>
      </w:pPr>
    </w:p>
    <w:p w14:paraId="5666A55B">
      <w:pPr>
        <w:pStyle w:val="2"/>
        <w:spacing w:before="52" w:line="442" w:lineRule="auto"/>
        <w:ind w:left="250" w:right="416" w:hanging="90"/>
        <w:rPr>
          <w:sz w:val="16"/>
          <w:szCs w:val="16"/>
        </w:rPr>
      </w:pPr>
      <w:r>
        <w:rPr>
          <w:color w:val="1B8DDA"/>
          <w:spacing w:val="-6"/>
          <w:sz w:val="16"/>
          <w:szCs w:val="16"/>
        </w:rPr>
        <w:t>监</w:t>
      </w:r>
      <w:r>
        <w:rPr>
          <w:spacing w:val="-6"/>
          <w:sz w:val="16"/>
          <w:szCs w:val="16"/>
        </w:rPr>
        <w:t>理</w:t>
      </w:r>
      <w:r>
        <w:rPr>
          <w:color w:val="1B8DDA"/>
          <w:spacing w:val="-6"/>
          <w:sz w:val="16"/>
          <w:szCs w:val="16"/>
        </w:rPr>
        <w:t>通知单</w:t>
      </w:r>
      <w:r>
        <w:rPr>
          <w:color w:val="1B8DDA"/>
          <w:spacing w:val="2"/>
          <w:sz w:val="16"/>
          <w:szCs w:val="16"/>
        </w:rPr>
        <w:t xml:space="preserve"> </w:t>
      </w:r>
      <w:r>
        <w:rPr>
          <w:spacing w:val="-2"/>
          <w:sz w:val="16"/>
          <w:szCs w:val="16"/>
        </w:rPr>
        <w:t>整改方案</w:t>
      </w:r>
      <w:r>
        <w:rPr>
          <w:sz w:val="16"/>
          <w:szCs w:val="16"/>
        </w:rPr>
        <w:t xml:space="preserve"> </w:t>
      </w:r>
      <w:r>
        <w:rPr>
          <w:spacing w:val="-2"/>
          <w:sz w:val="16"/>
          <w:szCs w:val="16"/>
        </w:rPr>
        <w:t>测试记录</w:t>
      </w:r>
      <w:r>
        <w:rPr>
          <w:sz w:val="16"/>
          <w:szCs w:val="16"/>
        </w:rPr>
        <w:t xml:space="preserve"> </w:t>
      </w:r>
      <w:r>
        <w:rPr>
          <w:color w:val="3AA9EA"/>
          <w:spacing w:val="-4"/>
          <w:sz w:val="16"/>
          <w:szCs w:val="16"/>
        </w:rPr>
        <w:t>初验</w:t>
      </w:r>
      <w:r>
        <w:rPr>
          <w:spacing w:val="-4"/>
          <w:sz w:val="16"/>
          <w:szCs w:val="16"/>
        </w:rPr>
        <w:t>报</w:t>
      </w:r>
      <w:r>
        <w:rPr>
          <w:color w:val="3AA9EA"/>
          <w:spacing w:val="-4"/>
          <w:sz w:val="16"/>
          <w:szCs w:val="16"/>
        </w:rPr>
        <w:t>告</w:t>
      </w:r>
    </w:p>
    <w:p w14:paraId="746AE9B3">
      <w:pPr>
        <w:pStyle w:val="2"/>
        <w:spacing w:before="46" w:line="220" w:lineRule="auto"/>
        <w:ind w:left="160"/>
        <w:rPr>
          <w:sz w:val="16"/>
          <w:szCs w:val="16"/>
        </w:rPr>
      </w:pPr>
      <w:r>
        <w:rPr>
          <w:spacing w:val="-2"/>
          <w:sz w:val="16"/>
          <w:szCs w:val="16"/>
        </w:rPr>
        <w:t>监理通知单</w:t>
      </w:r>
    </w:p>
    <w:p w14:paraId="5AD82EC7">
      <w:pPr>
        <w:pStyle w:val="2"/>
        <w:spacing w:before="169" w:line="219" w:lineRule="auto"/>
        <w:ind w:left="250"/>
        <w:rPr>
          <w:sz w:val="16"/>
          <w:szCs w:val="16"/>
        </w:rPr>
      </w:pPr>
      <w:r>
        <w:rPr>
          <w:color w:val="29A2E9"/>
          <w:spacing w:val="-2"/>
          <w:sz w:val="16"/>
          <w:szCs w:val="16"/>
        </w:rPr>
        <w:t>整改方案</w:t>
      </w:r>
    </w:p>
    <w:p w14:paraId="1D002867">
      <w:pPr>
        <w:pStyle w:val="2"/>
        <w:spacing w:before="180" w:line="515" w:lineRule="auto"/>
        <w:ind w:left="160" w:right="396"/>
        <w:rPr>
          <w:sz w:val="16"/>
          <w:szCs w:val="16"/>
        </w:rPr>
      </w:pPr>
      <w:r>
        <w:rPr>
          <w:spacing w:val="-2"/>
          <w:sz w:val="16"/>
          <w:szCs w:val="16"/>
        </w:rPr>
        <w:t>试运行日志</w:t>
      </w:r>
      <w:r>
        <w:rPr>
          <w:spacing w:val="2"/>
          <w:sz w:val="16"/>
          <w:szCs w:val="16"/>
        </w:rPr>
        <w:t xml:space="preserve"> </w:t>
      </w:r>
      <w:r>
        <w:rPr>
          <w:spacing w:val="-2"/>
          <w:sz w:val="16"/>
          <w:szCs w:val="16"/>
        </w:rPr>
        <w:t>试运行报告</w:t>
      </w:r>
    </w:p>
    <w:p w14:paraId="7A7E8BFE">
      <w:pPr>
        <w:pStyle w:val="2"/>
        <w:spacing w:before="189" w:line="447" w:lineRule="auto"/>
        <w:ind w:left="250" w:right="396" w:hanging="90"/>
        <w:rPr>
          <w:sz w:val="16"/>
          <w:szCs w:val="16"/>
        </w:rPr>
      </w:pPr>
      <w:r>
        <w:rPr>
          <w:spacing w:val="-2"/>
          <w:sz w:val="16"/>
          <w:szCs w:val="16"/>
        </w:rPr>
        <w:t>监理通知单</w:t>
      </w:r>
      <w:r>
        <w:rPr>
          <w:spacing w:val="2"/>
          <w:sz w:val="16"/>
          <w:szCs w:val="16"/>
        </w:rPr>
        <w:t xml:space="preserve"> </w:t>
      </w:r>
      <w:r>
        <w:rPr>
          <w:spacing w:val="-7"/>
          <w:sz w:val="16"/>
          <w:szCs w:val="16"/>
        </w:rPr>
        <w:t>整</w:t>
      </w:r>
      <w:r>
        <w:rPr>
          <w:color w:val="0773BC"/>
          <w:spacing w:val="-7"/>
          <w:sz w:val="16"/>
          <w:szCs w:val="16"/>
        </w:rPr>
        <w:t>改</w:t>
      </w:r>
      <w:r>
        <w:rPr>
          <w:spacing w:val="-7"/>
          <w:sz w:val="16"/>
          <w:szCs w:val="16"/>
        </w:rPr>
        <w:t>方案</w:t>
      </w:r>
    </w:p>
    <w:p w14:paraId="65948CCE">
      <w:pPr>
        <w:spacing w:line="300" w:lineRule="auto"/>
        <w:rPr>
          <w:rFonts w:ascii="Arial"/>
          <w:sz w:val="21"/>
        </w:rPr>
      </w:pPr>
    </w:p>
    <w:p w14:paraId="2D8922E1">
      <w:pPr>
        <w:pStyle w:val="2"/>
        <w:spacing w:before="52" w:line="219" w:lineRule="auto"/>
        <w:rPr>
          <w:sz w:val="16"/>
          <w:szCs w:val="16"/>
        </w:rPr>
      </w:pPr>
      <w:r>
        <w:rPr>
          <w:color w:val="099AEF"/>
          <w:spacing w:val="-1"/>
          <w:sz w:val="16"/>
          <w:szCs w:val="16"/>
        </w:rPr>
        <w:t>被签认的报审表</w:t>
      </w:r>
    </w:p>
    <w:p w14:paraId="0C5EC335">
      <w:pPr>
        <w:pStyle w:val="2"/>
        <w:spacing w:before="221" w:line="221" w:lineRule="auto"/>
        <w:ind w:left="110"/>
        <w:rPr>
          <w:sz w:val="16"/>
          <w:szCs w:val="16"/>
        </w:rPr>
      </w:pPr>
      <w:r>
        <w:rPr>
          <w:spacing w:val="-6"/>
          <w:sz w:val="16"/>
          <w:szCs w:val="16"/>
        </w:rPr>
        <w:t>终验测试记录</w:t>
      </w:r>
    </w:p>
    <w:p w14:paraId="17CD6D21">
      <w:pPr>
        <w:pStyle w:val="2"/>
        <w:spacing w:before="248" w:line="220" w:lineRule="auto"/>
        <w:ind w:left="160"/>
        <w:rPr>
          <w:sz w:val="16"/>
          <w:szCs w:val="16"/>
        </w:rPr>
      </w:pPr>
      <w:r>
        <w:rPr>
          <w:spacing w:val="-2"/>
          <w:sz w:val="16"/>
          <w:szCs w:val="16"/>
        </w:rPr>
        <w:t>监理通知单</w:t>
      </w:r>
    </w:p>
    <w:p w14:paraId="34CABEBC">
      <w:pPr>
        <w:pStyle w:val="2"/>
        <w:spacing w:before="219" w:line="219" w:lineRule="auto"/>
        <w:ind w:left="250"/>
        <w:rPr>
          <w:sz w:val="16"/>
          <w:szCs w:val="16"/>
        </w:rPr>
      </w:pPr>
      <w:r>
        <w:rPr>
          <w:spacing w:val="-2"/>
          <w:sz w:val="16"/>
          <w:szCs w:val="16"/>
        </w:rPr>
        <w:t>整改方案</w:t>
      </w:r>
    </w:p>
    <w:p w14:paraId="0963AA72">
      <w:pPr>
        <w:pStyle w:val="2"/>
        <w:spacing w:before="210" w:line="220" w:lineRule="auto"/>
        <w:ind w:left="160"/>
        <w:rPr>
          <w:sz w:val="16"/>
          <w:szCs w:val="16"/>
        </w:rPr>
      </w:pPr>
      <w:r>
        <w:rPr>
          <w:spacing w:val="-2"/>
          <w:sz w:val="16"/>
          <w:szCs w:val="16"/>
        </w:rPr>
        <w:t>工程备忘录</w:t>
      </w:r>
    </w:p>
    <w:p w14:paraId="2569967E">
      <w:pPr>
        <w:pStyle w:val="2"/>
        <w:spacing w:before="268" w:line="219" w:lineRule="auto"/>
        <w:rPr>
          <w:sz w:val="16"/>
          <w:szCs w:val="16"/>
        </w:rPr>
      </w:pPr>
      <w:r>
        <w:rPr>
          <w:color w:val="7CA0B5"/>
          <w:spacing w:val="-1"/>
          <w:sz w:val="16"/>
          <w:szCs w:val="16"/>
        </w:rPr>
        <w:t>酸工验收合格书</w:t>
      </w:r>
    </w:p>
    <w:p w14:paraId="4D59D3BE">
      <w:pPr>
        <w:pStyle w:val="2"/>
        <w:spacing w:before="142" w:line="213" w:lineRule="auto"/>
        <w:ind w:left="320" w:right="398" w:hanging="160"/>
        <w:rPr>
          <w:sz w:val="16"/>
          <w:szCs w:val="16"/>
        </w:rPr>
      </w:pPr>
      <w:r>
        <w:rPr>
          <w:spacing w:val="-2"/>
          <w:sz w:val="16"/>
          <w:szCs w:val="16"/>
        </w:rPr>
        <w:t>工程款支付</w:t>
      </w:r>
      <w:r>
        <w:rPr>
          <w:sz w:val="16"/>
          <w:szCs w:val="16"/>
        </w:rPr>
        <w:t xml:space="preserve"> </w:t>
      </w:r>
      <w:r>
        <w:rPr>
          <w:spacing w:val="-3"/>
          <w:sz w:val="16"/>
          <w:szCs w:val="16"/>
        </w:rPr>
        <w:t>意见表</w:t>
      </w:r>
    </w:p>
    <w:p w14:paraId="5CBE2807">
      <w:pPr>
        <w:spacing w:line="213" w:lineRule="auto"/>
        <w:rPr>
          <w:sz w:val="16"/>
          <w:szCs w:val="16"/>
        </w:rPr>
        <w:sectPr>
          <w:pgSz w:w="10310" w:h="13350"/>
          <w:pgMar w:top="360" w:right="1259" w:bottom="400" w:left="520" w:header="0" w:footer="0" w:gutter="0"/>
          <w:cols w:equalWidth="0" w:num="4">
            <w:col w:w="850" w:space="70"/>
            <w:col w:w="3341" w:space="100"/>
            <w:col w:w="2720" w:space="100"/>
            <w:col w:w="1350"/>
          </w:cols>
        </w:sectPr>
      </w:pPr>
    </w:p>
    <w:p w14:paraId="51918450">
      <w:pPr>
        <w:spacing w:line="242" w:lineRule="auto"/>
        <w:rPr>
          <w:rFonts w:ascii="Arial"/>
          <w:sz w:val="21"/>
        </w:rPr>
      </w:pPr>
      <w:r>
        <w:drawing>
          <wp:anchor distT="0" distB="0" distL="0" distR="0" simplePos="0" relativeHeight="251824128" behindDoc="0" locked="0" layoutInCell="1" allowOverlap="1">
            <wp:simplePos x="0" y="0"/>
            <wp:positionH relativeFrom="column">
              <wp:posOffset>234315</wp:posOffset>
            </wp:positionH>
            <wp:positionV relativeFrom="paragraph">
              <wp:posOffset>-7204075</wp:posOffset>
            </wp:positionV>
            <wp:extent cx="304800" cy="247650"/>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93"/>
                    <a:stretch>
                      <a:fillRect/>
                    </a:stretch>
                  </pic:blipFill>
                  <pic:spPr>
                    <a:xfrm>
                      <a:off x="0" y="0"/>
                      <a:ext cx="304821" cy="247619"/>
                    </a:xfrm>
                    <a:prstGeom prst="rect">
                      <a:avLst/>
                    </a:prstGeom>
                  </pic:spPr>
                </pic:pic>
              </a:graphicData>
            </a:graphic>
          </wp:anchor>
        </w:drawing>
      </w:r>
    </w:p>
    <w:p w14:paraId="0AFE1C1E">
      <w:pPr>
        <w:spacing w:line="243" w:lineRule="auto"/>
        <w:rPr>
          <w:rFonts w:ascii="Arial"/>
          <w:sz w:val="21"/>
        </w:rPr>
      </w:pPr>
    </w:p>
    <w:p w14:paraId="1FEF7743">
      <w:pPr>
        <w:pStyle w:val="2"/>
        <w:spacing w:before="52" w:line="184" w:lineRule="auto"/>
        <w:ind w:left="3249"/>
        <w:rPr>
          <w:sz w:val="16"/>
          <w:szCs w:val="16"/>
        </w:rPr>
      </w:pPr>
      <w:r>
        <w:rPr>
          <w:spacing w:val="17"/>
          <w:sz w:val="16"/>
          <w:szCs w:val="16"/>
        </w:rPr>
        <w:t>图20-</w:t>
      </w:r>
      <w:r>
        <w:rPr>
          <w:spacing w:val="-35"/>
          <w:sz w:val="16"/>
          <w:szCs w:val="16"/>
        </w:rPr>
        <w:t xml:space="preserve"> </w:t>
      </w:r>
      <w:r>
        <w:rPr>
          <w:spacing w:val="17"/>
          <w:sz w:val="16"/>
          <w:szCs w:val="16"/>
        </w:rPr>
        <w:t>4</w:t>
      </w:r>
      <w:r>
        <w:rPr>
          <w:spacing w:val="64"/>
          <w:sz w:val="16"/>
          <w:szCs w:val="16"/>
        </w:rPr>
        <w:t xml:space="preserve"> </w:t>
      </w:r>
      <w:r>
        <w:rPr>
          <w:spacing w:val="17"/>
          <w:sz w:val="16"/>
          <w:szCs w:val="16"/>
        </w:rPr>
        <w:t>验收阶段监理工作流程</w:t>
      </w:r>
    </w:p>
    <w:p w14:paraId="76AD08A6">
      <w:pPr>
        <w:spacing w:line="184" w:lineRule="auto"/>
        <w:rPr>
          <w:sz w:val="16"/>
          <w:szCs w:val="16"/>
        </w:rPr>
        <w:sectPr>
          <w:type w:val="continuous"/>
          <w:pgSz w:w="10310" w:h="13350"/>
          <w:pgMar w:top="360" w:right="1259" w:bottom="400" w:left="520" w:header="0" w:footer="0" w:gutter="0"/>
          <w:cols w:equalWidth="0" w:num="1">
            <w:col w:w="8530"/>
          </w:cols>
        </w:sectPr>
      </w:pPr>
    </w:p>
    <w:p w14:paraId="23B9A8D3">
      <w:pPr>
        <w:pStyle w:val="2"/>
        <w:spacing w:before="16" w:line="219" w:lineRule="auto"/>
        <w:jc w:val="right"/>
        <w:rPr>
          <w:rFonts w:ascii="Times New Roman" w:hAnsi="Times New Roman" w:eastAsia="Times New Roman" w:cs="Times New Roman"/>
          <w:sz w:val="16"/>
          <w:szCs w:val="16"/>
        </w:rPr>
      </w:pPr>
      <w:r>
        <w:rPr>
          <w:spacing w:val="-6"/>
          <w:sz w:val="20"/>
          <w:szCs w:val="20"/>
        </w:rPr>
        <w:t xml:space="preserve">第20章 信息系统工程监理基础工作      </w:t>
      </w:r>
      <w:r>
        <w:rPr>
          <w:rFonts w:ascii="Times New Roman" w:hAnsi="Times New Roman" w:eastAsia="Times New Roman" w:cs="Times New Roman"/>
          <w:spacing w:val="-6"/>
          <w:sz w:val="16"/>
          <w:szCs w:val="16"/>
        </w:rPr>
        <w:t>469</w:t>
      </w:r>
    </w:p>
    <w:p w14:paraId="2CAC8DF3">
      <w:pPr>
        <w:spacing w:line="309" w:lineRule="auto"/>
        <w:rPr>
          <w:rFonts w:ascii="Arial"/>
          <w:sz w:val="21"/>
        </w:rPr>
      </w:pPr>
    </w:p>
    <w:p w14:paraId="62AC24D1">
      <w:pPr>
        <w:spacing w:before="65" w:line="274" w:lineRule="auto"/>
        <w:ind w:right="262" w:firstLine="280"/>
        <w:jc w:val="both"/>
        <w:rPr>
          <w:rFonts w:ascii="楷体" w:hAnsi="楷体" w:eastAsia="楷体" w:cs="楷体"/>
          <w:sz w:val="20"/>
          <w:szCs w:val="20"/>
        </w:rPr>
      </w:pPr>
      <w:r>
        <w:rPr>
          <w:rFonts w:ascii="黑体" w:hAnsi="黑体" w:eastAsia="黑体" w:cs="黑体"/>
          <w:spacing w:val="8"/>
          <w:sz w:val="20"/>
          <w:szCs w:val="20"/>
        </w:rPr>
        <w:t>【案例3</w:t>
      </w:r>
      <w:r>
        <w:rPr>
          <w:rFonts w:ascii="楷体" w:hAnsi="楷体" w:eastAsia="楷体" w:cs="楷体"/>
          <w:spacing w:val="8"/>
          <w:sz w:val="20"/>
          <w:szCs w:val="20"/>
        </w:rPr>
        <w:t>】在本章案例1的项目中，项目在完成初验并通过1个月系统试运行后，提出终验</w:t>
      </w:r>
      <w:r>
        <w:rPr>
          <w:rFonts w:ascii="楷体" w:hAnsi="楷体" w:eastAsia="楷体" w:cs="楷体"/>
          <w:spacing w:val="3"/>
          <w:sz w:val="20"/>
          <w:szCs w:val="20"/>
        </w:rPr>
        <w:t xml:space="preserve"> 申请。监理机构审核承建单位提交的验收文</w:t>
      </w:r>
      <w:r>
        <w:rPr>
          <w:rFonts w:ascii="楷体" w:hAnsi="楷体" w:eastAsia="楷体" w:cs="楷体"/>
          <w:spacing w:val="2"/>
          <w:sz w:val="20"/>
          <w:szCs w:val="20"/>
        </w:rPr>
        <w:t>档，主要审查文档的规范性、时效性和可用性。终</w:t>
      </w:r>
      <w:r>
        <w:rPr>
          <w:rFonts w:ascii="楷体" w:hAnsi="楷体" w:eastAsia="楷体" w:cs="楷体"/>
          <w:sz w:val="20"/>
          <w:szCs w:val="20"/>
        </w:rPr>
        <w:t xml:space="preserve"> </w:t>
      </w:r>
      <w:r>
        <w:rPr>
          <w:rFonts w:ascii="楷体" w:hAnsi="楷体" w:eastAsia="楷体" w:cs="楷体"/>
          <w:spacing w:val="-1"/>
          <w:sz w:val="20"/>
          <w:szCs w:val="20"/>
        </w:rPr>
        <w:t>验申请经审核通过，监理机构与业主单位商议后，决定组织项目终验专家评审会。</w:t>
      </w:r>
    </w:p>
    <w:p w14:paraId="0714B065">
      <w:pPr>
        <w:spacing w:before="52" w:line="223" w:lineRule="auto"/>
        <w:ind w:left="380"/>
        <w:rPr>
          <w:rFonts w:ascii="楷体" w:hAnsi="楷体" w:eastAsia="楷体" w:cs="楷体"/>
          <w:sz w:val="20"/>
          <w:szCs w:val="20"/>
        </w:rPr>
      </w:pPr>
      <w:r>
        <w:rPr>
          <w:rFonts w:ascii="楷体" w:hAnsi="楷体" w:eastAsia="楷体" w:cs="楷体"/>
          <w:spacing w:val="-4"/>
          <w:sz w:val="20"/>
          <w:szCs w:val="20"/>
        </w:rPr>
        <w:t>终验专家评审会的会议议程如下：</w:t>
      </w:r>
    </w:p>
    <w:p w14:paraId="11A9886E">
      <w:pPr>
        <w:spacing w:before="87" w:line="222" w:lineRule="auto"/>
        <w:ind w:left="380"/>
        <w:rPr>
          <w:rFonts w:ascii="楷体" w:hAnsi="楷体" w:eastAsia="楷体" w:cs="楷体"/>
          <w:sz w:val="20"/>
          <w:szCs w:val="20"/>
        </w:rPr>
      </w:pPr>
      <w:r>
        <w:rPr>
          <w:rFonts w:ascii="楷体" w:hAnsi="楷体" w:eastAsia="楷体" w:cs="楷体"/>
          <w:spacing w:val="4"/>
          <w:sz w:val="20"/>
          <w:szCs w:val="20"/>
        </w:rPr>
        <w:t>(1)业主单位介绍参会单位及与会人员；</w:t>
      </w:r>
    </w:p>
    <w:p w14:paraId="05CB32EA">
      <w:pPr>
        <w:spacing w:before="67" w:line="220" w:lineRule="auto"/>
        <w:ind w:left="380"/>
        <w:rPr>
          <w:rFonts w:ascii="楷体" w:hAnsi="楷体" w:eastAsia="楷体" w:cs="楷体"/>
          <w:sz w:val="20"/>
          <w:szCs w:val="20"/>
        </w:rPr>
      </w:pPr>
      <w:r>
        <w:rPr>
          <w:rFonts w:ascii="楷体" w:hAnsi="楷体" w:eastAsia="楷体" w:cs="楷体"/>
          <w:spacing w:val="5"/>
          <w:sz w:val="20"/>
          <w:szCs w:val="20"/>
        </w:rPr>
        <w:t>(2)专家组进行商议，推选专家组长；</w:t>
      </w:r>
    </w:p>
    <w:p w14:paraId="67F866B4">
      <w:pPr>
        <w:spacing w:before="74" w:line="222" w:lineRule="auto"/>
        <w:ind w:left="380"/>
        <w:rPr>
          <w:rFonts w:ascii="楷体" w:hAnsi="楷体" w:eastAsia="楷体" w:cs="楷体"/>
          <w:sz w:val="20"/>
          <w:szCs w:val="20"/>
        </w:rPr>
      </w:pPr>
      <w:r>
        <w:rPr>
          <w:rFonts w:ascii="楷体" w:hAnsi="楷体" w:eastAsia="楷体" w:cs="楷体"/>
          <w:spacing w:val="6"/>
          <w:sz w:val="20"/>
          <w:szCs w:val="20"/>
        </w:rPr>
        <w:t>(3)业主单位介绍项目建设情况；</w:t>
      </w:r>
    </w:p>
    <w:p w14:paraId="6D010971">
      <w:pPr>
        <w:spacing w:before="73" w:line="225" w:lineRule="auto"/>
        <w:ind w:left="380"/>
        <w:rPr>
          <w:rFonts w:ascii="楷体" w:hAnsi="楷体" w:eastAsia="楷体" w:cs="楷体"/>
          <w:sz w:val="20"/>
          <w:szCs w:val="20"/>
        </w:rPr>
      </w:pPr>
      <w:r>
        <w:rPr>
          <w:rFonts w:ascii="楷体" w:hAnsi="楷体" w:eastAsia="楷体" w:cs="楷体"/>
          <w:spacing w:val="2"/>
          <w:sz w:val="20"/>
          <w:szCs w:val="20"/>
        </w:rPr>
        <w:t>(4)承建单位汇报项目建设内容完成情况；</w:t>
      </w:r>
    </w:p>
    <w:p w14:paraId="72D908E4">
      <w:pPr>
        <w:spacing w:before="66" w:line="225" w:lineRule="auto"/>
        <w:ind w:left="380"/>
        <w:rPr>
          <w:rFonts w:ascii="楷体" w:hAnsi="楷体" w:eastAsia="楷体" w:cs="楷体"/>
          <w:sz w:val="20"/>
          <w:szCs w:val="20"/>
        </w:rPr>
      </w:pPr>
      <w:r>
        <w:rPr>
          <w:rFonts w:ascii="楷体" w:hAnsi="楷体" w:eastAsia="楷体" w:cs="楷体"/>
          <w:spacing w:val="3"/>
          <w:sz w:val="20"/>
          <w:szCs w:val="20"/>
        </w:rPr>
        <w:t>(5)监理单位汇报项目监理情况；</w:t>
      </w:r>
    </w:p>
    <w:p w14:paraId="24FE70A8">
      <w:pPr>
        <w:spacing w:before="76" w:line="224" w:lineRule="auto"/>
        <w:ind w:left="380"/>
        <w:rPr>
          <w:rFonts w:ascii="楷体" w:hAnsi="楷体" w:eastAsia="楷体" w:cs="楷体"/>
          <w:sz w:val="20"/>
          <w:szCs w:val="20"/>
        </w:rPr>
      </w:pPr>
      <w:r>
        <w:rPr>
          <w:rFonts w:ascii="楷体" w:hAnsi="楷体" w:eastAsia="楷体" w:cs="楷体"/>
          <w:spacing w:val="3"/>
          <w:sz w:val="20"/>
          <w:szCs w:val="20"/>
        </w:rPr>
        <w:t>(6)第三方检测单位汇报项目检测情况；</w:t>
      </w:r>
    </w:p>
    <w:p w14:paraId="0291E644">
      <w:pPr>
        <w:spacing w:before="65" w:line="223" w:lineRule="auto"/>
        <w:ind w:left="380"/>
        <w:rPr>
          <w:rFonts w:ascii="楷体" w:hAnsi="楷体" w:eastAsia="楷体" w:cs="楷体"/>
          <w:sz w:val="20"/>
          <w:szCs w:val="20"/>
        </w:rPr>
      </w:pPr>
      <w:r>
        <w:rPr>
          <w:rFonts w:ascii="楷体" w:hAnsi="楷体" w:eastAsia="楷体" w:cs="楷体"/>
          <w:spacing w:val="4"/>
          <w:sz w:val="20"/>
          <w:szCs w:val="20"/>
        </w:rPr>
        <w:t>(7)专家组审核项目验收文档；</w:t>
      </w:r>
    </w:p>
    <w:p w14:paraId="4BC338E8">
      <w:pPr>
        <w:spacing w:before="81" w:line="225" w:lineRule="auto"/>
        <w:ind w:left="380"/>
        <w:rPr>
          <w:rFonts w:ascii="楷体" w:hAnsi="楷体" w:eastAsia="楷体" w:cs="楷体"/>
          <w:sz w:val="20"/>
          <w:szCs w:val="20"/>
        </w:rPr>
      </w:pPr>
      <w:r>
        <w:rPr>
          <w:rFonts w:ascii="楷体" w:hAnsi="楷体" w:eastAsia="楷体" w:cs="楷体"/>
          <w:spacing w:val="4"/>
          <w:sz w:val="20"/>
          <w:szCs w:val="20"/>
        </w:rPr>
        <w:t>(8)专家组提出质询和讨论；</w:t>
      </w:r>
    </w:p>
    <w:p w14:paraId="11275B32">
      <w:pPr>
        <w:spacing w:before="66" w:line="225" w:lineRule="auto"/>
        <w:ind w:left="380"/>
        <w:rPr>
          <w:rFonts w:ascii="楷体" w:hAnsi="楷体" w:eastAsia="楷体" w:cs="楷体"/>
          <w:sz w:val="20"/>
          <w:szCs w:val="20"/>
        </w:rPr>
      </w:pPr>
      <w:r>
        <w:rPr>
          <w:rFonts w:ascii="楷体" w:hAnsi="楷体" w:eastAsia="楷体" w:cs="楷体"/>
          <w:spacing w:val="3"/>
          <w:sz w:val="20"/>
          <w:szCs w:val="20"/>
        </w:rPr>
        <w:t>(9)承建单位、监理单位对提出的问题进行答疑；</w:t>
      </w:r>
    </w:p>
    <w:p w14:paraId="5C3FA00C">
      <w:pPr>
        <w:spacing w:before="74" w:line="223" w:lineRule="auto"/>
        <w:ind w:left="380"/>
        <w:rPr>
          <w:rFonts w:ascii="楷体" w:hAnsi="楷体" w:eastAsia="楷体" w:cs="楷体"/>
          <w:sz w:val="20"/>
          <w:szCs w:val="20"/>
        </w:rPr>
      </w:pPr>
      <w:r>
        <w:rPr>
          <w:rFonts w:ascii="楷体" w:hAnsi="楷体" w:eastAsia="楷体" w:cs="楷体"/>
          <w:spacing w:val="3"/>
          <w:sz w:val="20"/>
          <w:szCs w:val="20"/>
        </w:rPr>
        <w:t>(10)专家根据审核情况形成专家意见。</w:t>
      </w:r>
    </w:p>
    <w:p w14:paraId="06B42387">
      <w:pPr>
        <w:spacing w:line="223" w:lineRule="auto"/>
        <w:rPr>
          <w:rFonts w:ascii="楷体" w:hAnsi="楷体" w:eastAsia="楷体" w:cs="楷体"/>
          <w:sz w:val="20"/>
          <w:szCs w:val="20"/>
        </w:rPr>
        <w:sectPr>
          <w:pgSz w:w="10290" w:h="13300"/>
          <w:pgMar w:top="400" w:right="642" w:bottom="400" w:left="1080" w:header="0" w:footer="0" w:gutter="0"/>
          <w:cols w:space="720" w:num="1"/>
        </w:sectPr>
      </w:pPr>
    </w:p>
    <w:p w14:paraId="2EA86B09">
      <w:pPr>
        <w:spacing w:line="248" w:lineRule="auto"/>
        <w:rPr>
          <w:rFonts w:ascii="Arial"/>
          <w:sz w:val="21"/>
        </w:rPr>
      </w:pPr>
    </w:p>
    <w:p w14:paraId="74F0A0A7">
      <w:pPr>
        <w:spacing w:line="248" w:lineRule="auto"/>
        <w:rPr>
          <w:rFonts w:ascii="Arial"/>
          <w:sz w:val="21"/>
        </w:rPr>
      </w:pPr>
    </w:p>
    <w:p w14:paraId="3B9B88EE">
      <w:pPr>
        <w:spacing w:line="249" w:lineRule="auto"/>
        <w:rPr>
          <w:rFonts w:ascii="Arial"/>
          <w:sz w:val="21"/>
        </w:rPr>
      </w:pPr>
    </w:p>
    <w:p w14:paraId="2587F94A">
      <w:pPr>
        <w:spacing w:before="130" w:line="526" w:lineRule="exact"/>
        <w:ind w:left="30"/>
        <w:rPr>
          <w:sz w:val="40"/>
          <w:szCs w:val="40"/>
        </w:rPr>
      </w:pPr>
      <w:r>
        <w:rPr>
          <w:rFonts w:ascii="黑体" w:hAnsi="黑体" w:eastAsia="黑体" w:cs="黑体"/>
          <w:color w:val="007CEA"/>
          <w:position w:val="-6"/>
          <w:sz w:val="40"/>
          <w:szCs w:val="40"/>
        </w:rPr>
        <w:drawing>
          <wp:inline distT="0" distB="0" distL="0" distR="0">
            <wp:extent cx="628650" cy="260350"/>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94"/>
                    <a:stretch>
                      <a:fillRect/>
                    </a:stretch>
                  </pic:blipFill>
                  <pic:spPr>
                    <a:xfrm>
                      <a:off x="0" y="0"/>
                      <a:ext cx="628694" cy="260361"/>
                    </a:xfrm>
                    <a:prstGeom prst="rect">
                      <a:avLst/>
                    </a:prstGeom>
                  </pic:spPr>
                </pic:pic>
              </a:graphicData>
            </a:graphic>
          </wp:inline>
        </w:drawing>
      </w:r>
      <w:r>
        <w:rPr>
          <w:rFonts w:ascii="黑体" w:hAnsi="黑体" w:eastAsia="黑体" w:cs="黑体"/>
          <w:color w:val="007CEA"/>
          <w:spacing w:val="27"/>
          <w:position w:val="-2"/>
          <w:sz w:val="40"/>
          <w:szCs w:val="40"/>
        </w:rPr>
        <w:t xml:space="preserve">   </w:t>
      </w:r>
      <w:r>
        <w:rPr>
          <w:rFonts w:ascii="黑体" w:hAnsi="黑体" w:eastAsia="黑体" w:cs="黑体"/>
          <w:b/>
          <w:bCs/>
          <w:color w:val="007CEA"/>
          <w:spacing w:val="12"/>
          <w:position w:val="-2"/>
          <w:sz w:val="40"/>
          <w:szCs w:val="40"/>
        </w:rPr>
        <w:t>第21章</w:t>
      </w:r>
      <w:r>
        <w:rPr>
          <w:rFonts w:ascii="黑体" w:hAnsi="黑体" w:eastAsia="黑体" w:cs="黑体"/>
          <w:color w:val="007CEA"/>
          <w:spacing w:val="197"/>
          <w:position w:val="-2"/>
          <w:sz w:val="40"/>
          <w:szCs w:val="40"/>
        </w:rPr>
        <w:t xml:space="preserve"> </w:t>
      </w:r>
      <w:r>
        <w:rPr>
          <w:rFonts w:ascii="黑体" w:hAnsi="黑体" w:eastAsia="黑体" w:cs="黑体"/>
          <w:b/>
          <w:bCs/>
          <w:color w:val="007CEA"/>
          <w:spacing w:val="12"/>
          <w:position w:val="-2"/>
          <w:sz w:val="40"/>
          <w:szCs w:val="40"/>
        </w:rPr>
        <w:t>基础设施工程监理</w:t>
      </w:r>
      <w:r>
        <w:rPr>
          <w:rFonts w:ascii="黑体" w:hAnsi="黑体" w:eastAsia="黑体" w:cs="黑体"/>
          <w:color w:val="007CEA"/>
          <w:spacing w:val="12"/>
          <w:position w:val="-2"/>
          <w:sz w:val="40"/>
          <w:szCs w:val="40"/>
        </w:rPr>
        <w:t xml:space="preserve">   </w:t>
      </w:r>
      <w:r>
        <w:rPr>
          <w:position w:val="-4"/>
          <w:sz w:val="40"/>
          <w:szCs w:val="40"/>
        </w:rPr>
        <w:drawing>
          <wp:inline distT="0" distB="0" distL="0" distR="0">
            <wp:extent cx="641350" cy="266700"/>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95"/>
                    <a:stretch>
                      <a:fillRect/>
                    </a:stretch>
                  </pic:blipFill>
                  <pic:spPr>
                    <a:xfrm>
                      <a:off x="0" y="0"/>
                      <a:ext cx="641394" cy="266724"/>
                    </a:xfrm>
                    <a:prstGeom prst="rect">
                      <a:avLst/>
                    </a:prstGeom>
                  </pic:spPr>
                </pic:pic>
              </a:graphicData>
            </a:graphic>
          </wp:inline>
        </w:drawing>
      </w:r>
    </w:p>
    <w:p w14:paraId="0A57F23B">
      <w:pPr>
        <w:spacing w:line="346" w:lineRule="auto"/>
        <w:rPr>
          <w:rFonts w:ascii="Arial"/>
          <w:sz w:val="21"/>
        </w:rPr>
      </w:pPr>
    </w:p>
    <w:p w14:paraId="22D63B7F">
      <w:pPr>
        <w:spacing w:line="347" w:lineRule="auto"/>
        <w:rPr>
          <w:rFonts w:ascii="Arial"/>
          <w:sz w:val="21"/>
        </w:rPr>
      </w:pPr>
    </w:p>
    <w:p w14:paraId="1E1F0B6F">
      <w:pPr>
        <w:pStyle w:val="2"/>
        <w:spacing w:before="62" w:line="296" w:lineRule="auto"/>
        <w:ind w:right="73" w:firstLine="400"/>
        <w:jc w:val="both"/>
        <w:rPr>
          <w:sz w:val="19"/>
          <w:szCs w:val="19"/>
        </w:rPr>
      </w:pPr>
      <w:r>
        <w:rPr>
          <w:spacing w:val="13"/>
          <w:sz w:val="19"/>
          <w:szCs w:val="19"/>
        </w:rPr>
        <w:t>信息系统工程基础设施包括通用布缆系统、计算机网络系统和电子设备机房系统等，其中</w:t>
      </w:r>
      <w:r>
        <w:rPr>
          <w:spacing w:val="2"/>
          <w:sz w:val="19"/>
          <w:szCs w:val="19"/>
        </w:rPr>
        <w:t xml:space="preserve"> </w:t>
      </w:r>
      <w:r>
        <w:rPr>
          <w:spacing w:val="13"/>
          <w:sz w:val="19"/>
          <w:szCs w:val="19"/>
        </w:rPr>
        <w:t>电子设备机房系统包含安全防范系统工程、环境系统工程、</w:t>
      </w:r>
      <w:r>
        <w:rPr>
          <w:spacing w:val="12"/>
          <w:sz w:val="19"/>
          <w:szCs w:val="19"/>
        </w:rPr>
        <w:t>动力环境监控系统工程等重点建设</w:t>
      </w:r>
      <w:r>
        <w:rPr>
          <w:sz w:val="19"/>
          <w:szCs w:val="19"/>
        </w:rPr>
        <w:t xml:space="preserve"> </w:t>
      </w:r>
      <w:r>
        <w:rPr>
          <w:spacing w:val="13"/>
          <w:sz w:val="19"/>
          <w:szCs w:val="19"/>
        </w:rPr>
        <w:t>内容。本章详细阐述了监理人员在信息系统工程建设过程中各阶</w:t>
      </w:r>
      <w:r>
        <w:rPr>
          <w:spacing w:val="12"/>
          <w:sz w:val="19"/>
          <w:szCs w:val="19"/>
        </w:rPr>
        <w:t>段的监理活动和监理内容，介</w:t>
      </w:r>
      <w:r>
        <w:rPr>
          <w:sz w:val="19"/>
          <w:szCs w:val="19"/>
        </w:rPr>
        <w:t xml:space="preserve"> </w:t>
      </w:r>
      <w:r>
        <w:rPr>
          <w:spacing w:val="13"/>
          <w:sz w:val="19"/>
          <w:szCs w:val="19"/>
        </w:rPr>
        <w:t>绍了基础设施工程中各分项工程的监理方法。监理工程师</w:t>
      </w:r>
      <w:r>
        <w:rPr>
          <w:spacing w:val="12"/>
          <w:sz w:val="19"/>
          <w:szCs w:val="19"/>
        </w:rPr>
        <w:t>充分掌握信息系统工程建设项目中基</w:t>
      </w:r>
      <w:r>
        <w:rPr>
          <w:sz w:val="19"/>
          <w:szCs w:val="19"/>
        </w:rPr>
        <w:t xml:space="preserve"> </w:t>
      </w:r>
      <w:r>
        <w:rPr>
          <w:spacing w:val="8"/>
          <w:sz w:val="19"/>
          <w:szCs w:val="19"/>
        </w:rPr>
        <w:t>础设施监理的核心技能和方法，可以为确保工程质量、提高工程效益提供有力支持。</w:t>
      </w:r>
    </w:p>
    <w:p w14:paraId="5EDA45AA">
      <w:pPr>
        <w:spacing w:line="333" w:lineRule="auto"/>
        <w:rPr>
          <w:rFonts w:ascii="Arial"/>
          <w:sz w:val="21"/>
        </w:rPr>
      </w:pPr>
    </w:p>
    <w:p w14:paraId="2001798B">
      <w:pPr>
        <w:pStyle w:val="2"/>
        <w:spacing w:before="91" w:line="221" w:lineRule="auto"/>
        <w:ind w:left="3"/>
        <w:rPr>
          <w:rFonts w:ascii="黑体" w:hAnsi="黑体" w:eastAsia="黑体" w:cs="黑体"/>
          <w:sz w:val="28"/>
          <w:szCs w:val="28"/>
        </w:rPr>
      </w:pPr>
      <w:r>
        <w:rPr>
          <w:b/>
          <w:bCs/>
          <w:color w:val="0A55A0"/>
          <w:spacing w:val="-11"/>
          <w:sz w:val="28"/>
          <w:szCs w:val="28"/>
        </w:rPr>
        <w:t>21.1</w:t>
      </w:r>
      <w:r>
        <w:rPr>
          <w:color w:val="0A55A0"/>
          <w:spacing w:val="11"/>
          <w:sz w:val="28"/>
          <w:szCs w:val="28"/>
        </w:rPr>
        <w:t xml:space="preserve">  </w:t>
      </w:r>
      <w:r>
        <w:rPr>
          <w:rFonts w:ascii="黑体" w:hAnsi="黑体" w:eastAsia="黑体" w:cs="黑体"/>
          <w:b/>
          <w:bCs/>
          <w:color w:val="0A55A0"/>
          <w:spacing w:val="-11"/>
          <w:sz w:val="28"/>
          <w:szCs w:val="28"/>
        </w:rPr>
        <w:t>概述</w:t>
      </w:r>
    </w:p>
    <w:p w14:paraId="1433CD4A">
      <w:pPr>
        <w:pStyle w:val="2"/>
        <w:spacing w:before="255" w:line="295" w:lineRule="auto"/>
        <w:ind w:right="29" w:firstLine="400"/>
        <w:jc w:val="both"/>
        <w:rPr>
          <w:sz w:val="19"/>
          <w:szCs w:val="19"/>
        </w:rPr>
      </w:pPr>
      <w:r>
        <w:rPr>
          <w:spacing w:val="13"/>
          <w:sz w:val="19"/>
          <w:szCs w:val="19"/>
        </w:rPr>
        <w:t>基础设施工程招标阶段、设计阶段、实施阶段和验收阶段的监理工作，应符合基础设施工</w:t>
      </w:r>
      <w:r>
        <w:rPr>
          <w:spacing w:val="12"/>
          <w:sz w:val="19"/>
          <w:szCs w:val="19"/>
        </w:rPr>
        <w:t xml:space="preserve"> </w:t>
      </w:r>
      <w:r>
        <w:rPr>
          <w:spacing w:val="13"/>
          <w:sz w:val="19"/>
          <w:szCs w:val="19"/>
        </w:rPr>
        <w:t>程建设要求和监理合同所约束的监理服务要求，严格执行强制性国家标准、行业标准和地方标</w:t>
      </w:r>
      <w:r>
        <w:rPr>
          <w:spacing w:val="3"/>
          <w:sz w:val="19"/>
          <w:szCs w:val="19"/>
        </w:rPr>
        <w:t xml:space="preserve"> </w:t>
      </w:r>
      <w:r>
        <w:rPr>
          <w:spacing w:val="14"/>
          <w:sz w:val="19"/>
          <w:szCs w:val="19"/>
        </w:rPr>
        <w:t>准，并按照监理规范、有关建设内容的技术标准及规范开展必要的监理活动，落实监理内容，</w:t>
      </w:r>
      <w:r>
        <w:rPr>
          <w:sz w:val="19"/>
          <w:szCs w:val="19"/>
        </w:rPr>
        <w:t xml:space="preserve"> </w:t>
      </w:r>
      <w:r>
        <w:rPr>
          <w:spacing w:val="7"/>
          <w:sz w:val="19"/>
          <w:szCs w:val="19"/>
        </w:rPr>
        <w:t>提出监理意见或建议，做好监理工作记录。</w:t>
      </w:r>
    </w:p>
    <w:p w14:paraId="02CC2236">
      <w:pPr>
        <w:pStyle w:val="2"/>
        <w:spacing w:before="194" w:line="219" w:lineRule="auto"/>
        <w:ind w:left="2"/>
        <w:rPr>
          <w:sz w:val="25"/>
          <w:szCs w:val="25"/>
        </w:rPr>
      </w:pPr>
      <w:r>
        <w:rPr>
          <w:b/>
          <w:bCs/>
          <w:color w:val="005BB7"/>
          <w:spacing w:val="-18"/>
          <w:sz w:val="25"/>
          <w:szCs w:val="25"/>
        </w:rPr>
        <w:t>21.1.1</w:t>
      </w:r>
      <w:r>
        <w:rPr>
          <w:color w:val="005BB7"/>
          <w:spacing w:val="91"/>
          <w:sz w:val="25"/>
          <w:szCs w:val="25"/>
        </w:rPr>
        <w:t xml:space="preserve"> </w:t>
      </w:r>
      <w:r>
        <w:rPr>
          <w:b/>
          <w:bCs/>
          <w:color w:val="005BB7"/>
          <w:spacing w:val="-18"/>
          <w:sz w:val="25"/>
          <w:szCs w:val="25"/>
        </w:rPr>
        <w:t>基本概念</w:t>
      </w:r>
    </w:p>
    <w:p w14:paraId="7495C916">
      <w:pPr>
        <w:pStyle w:val="2"/>
        <w:spacing w:before="262" w:line="222" w:lineRule="auto"/>
        <w:ind w:left="402"/>
        <w:rPr>
          <w:rFonts w:ascii="黑体" w:hAnsi="黑体" w:eastAsia="黑体" w:cs="黑体"/>
          <w:sz w:val="19"/>
          <w:szCs w:val="19"/>
        </w:rPr>
      </w:pPr>
      <w:r>
        <w:rPr>
          <w:b/>
          <w:bCs/>
          <w:color w:val="0068B8"/>
          <w:spacing w:val="4"/>
          <w:sz w:val="19"/>
          <w:szCs w:val="19"/>
        </w:rPr>
        <w:t>1.</w:t>
      </w:r>
      <w:r>
        <w:rPr>
          <w:rFonts w:ascii="黑体" w:hAnsi="黑体" w:eastAsia="黑体" w:cs="黑体"/>
          <w:b/>
          <w:bCs/>
          <w:color w:val="0068B8"/>
          <w:spacing w:val="4"/>
          <w:sz w:val="19"/>
          <w:szCs w:val="19"/>
        </w:rPr>
        <w:t>隐蔽工程</w:t>
      </w:r>
    </w:p>
    <w:p w14:paraId="70497F9C">
      <w:pPr>
        <w:pStyle w:val="2"/>
        <w:spacing w:before="136" w:line="219" w:lineRule="auto"/>
        <w:ind w:left="400"/>
        <w:rPr>
          <w:sz w:val="19"/>
          <w:szCs w:val="19"/>
        </w:rPr>
      </w:pPr>
      <w:r>
        <w:rPr>
          <w:spacing w:val="8"/>
          <w:sz w:val="19"/>
          <w:szCs w:val="19"/>
        </w:rPr>
        <w:t>基础设施工程施工过程中，施工后形成的不可见的部分。</w:t>
      </w:r>
    </w:p>
    <w:p w14:paraId="1EB52F93">
      <w:pPr>
        <w:pStyle w:val="2"/>
        <w:spacing w:before="200" w:line="221" w:lineRule="auto"/>
        <w:ind w:left="402"/>
        <w:rPr>
          <w:rFonts w:ascii="黑体" w:hAnsi="黑体" w:eastAsia="黑体" w:cs="黑体"/>
          <w:sz w:val="19"/>
          <w:szCs w:val="19"/>
        </w:rPr>
      </w:pPr>
      <w:r>
        <w:rPr>
          <w:b/>
          <w:bCs/>
          <w:color w:val="0075CF"/>
          <w:spacing w:val="8"/>
          <w:sz w:val="19"/>
          <w:szCs w:val="19"/>
        </w:rPr>
        <w:t>2.</w:t>
      </w:r>
      <w:r>
        <w:rPr>
          <w:rFonts w:ascii="黑体" w:hAnsi="黑体" w:eastAsia="黑体" w:cs="黑体"/>
          <w:b/>
          <w:bCs/>
          <w:color w:val="0075CF"/>
          <w:spacing w:val="8"/>
          <w:sz w:val="19"/>
          <w:szCs w:val="19"/>
        </w:rPr>
        <w:t>抽检测试</w:t>
      </w:r>
    </w:p>
    <w:p w14:paraId="72F3C2B8">
      <w:pPr>
        <w:pStyle w:val="2"/>
        <w:spacing w:before="136" w:line="219" w:lineRule="auto"/>
        <w:ind w:left="400"/>
        <w:rPr>
          <w:sz w:val="19"/>
          <w:szCs w:val="19"/>
        </w:rPr>
      </w:pPr>
      <w:r>
        <w:rPr>
          <w:spacing w:val="9"/>
          <w:sz w:val="19"/>
          <w:szCs w:val="19"/>
        </w:rPr>
        <w:t>按照约定的抽样原则，对工程所用材料或需</w:t>
      </w:r>
      <w:r>
        <w:rPr>
          <w:spacing w:val="8"/>
          <w:sz w:val="19"/>
          <w:szCs w:val="19"/>
        </w:rPr>
        <w:t>要检测的部分进行检查或测试的监理活动。</w:t>
      </w:r>
    </w:p>
    <w:p w14:paraId="41E0C418">
      <w:pPr>
        <w:pStyle w:val="2"/>
        <w:spacing w:before="184" w:line="221" w:lineRule="auto"/>
        <w:ind w:left="400"/>
        <w:rPr>
          <w:rFonts w:ascii="黑体" w:hAnsi="黑体" w:eastAsia="黑体" w:cs="黑体"/>
          <w:sz w:val="19"/>
          <w:szCs w:val="19"/>
        </w:rPr>
      </w:pPr>
      <w:r>
        <w:rPr>
          <w:color w:val="007EDF"/>
          <w:spacing w:val="10"/>
          <w:sz w:val="19"/>
          <w:szCs w:val="19"/>
        </w:rPr>
        <w:t>3.</w:t>
      </w:r>
      <w:r>
        <w:rPr>
          <w:rFonts w:ascii="黑体" w:hAnsi="黑体" w:eastAsia="黑体" w:cs="黑体"/>
          <w:color w:val="007EDF"/>
          <w:spacing w:val="10"/>
          <w:sz w:val="19"/>
          <w:szCs w:val="19"/>
        </w:rPr>
        <w:t>通用布缆系统</w:t>
      </w:r>
    </w:p>
    <w:p w14:paraId="3C7AC756">
      <w:pPr>
        <w:pStyle w:val="2"/>
        <w:spacing w:before="144" w:line="297" w:lineRule="auto"/>
        <w:ind w:right="85" w:firstLine="400"/>
        <w:rPr>
          <w:sz w:val="19"/>
          <w:szCs w:val="19"/>
        </w:rPr>
      </w:pPr>
      <w:r>
        <w:rPr>
          <w:spacing w:val="9"/>
          <w:sz w:val="19"/>
          <w:szCs w:val="19"/>
        </w:rPr>
        <w:t>能支持广泛应用范围的结构化信息布缆系统，</w:t>
      </w:r>
      <w:r>
        <w:rPr>
          <w:spacing w:val="66"/>
          <w:sz w:val="19"/>
          <w:szCs w:val="19"/>
        </w:rPr>
        <w:t xml:space="preserve"> </w:t>
      </w:r>
      <w:r>
        <w:rPr>
          <w:spacing w:val="9"/>
          <w:sz w:val="19"/>
          <w:szCs w:val="19"/>
        </w:rPr>
        <w:t>一般由双绞</w:t>
      </w:r>
      <w:r>
        <w:rPr>
          <w:spacing w:val="8"/>
          <w:sz w:val="19"/>
          <w:szCs w:val="19"/>
        </w:rPr>
        <w:t>线、光缆、同轴电缆、无线等传</w:t>
      </w:r>
      <w:r>
        <w:rPr>
          <w:sz w:val="19"/>
          <w:szCs w:val="19"/>
        </w:rPr>
        <w:t xml:space="preserve"> </w:t>
      </w:r>
      <w:r>
        <w:rPr>
          <w:spacing w:val="2"/>
          <w:sz w:val="19"/>
          <w:szCs w:val="19"/>
        </w:rPr>
        <w:t>输媒体组成。</w:t>
      </w:r>
    </w:p>
    <w:p w14:paraId="1C2F6259">
      <w:pPr>
        <w:pStyle w:val="2"/>
        <w:spacing w:before="178" w:line="219" w:lineRule="auto"/>
        <w:ind w:left="2"/>
        <w:rPr>
          <w:sz w:val="25"/>
          <w:szCs w:val="25"/>
        </w:rPr>
      </w:pPr>
      <w:r>
        <w:rPr>
          <w:b/>
          <w:bCs/>
          <w:color w:val="006BE7"/>
          <w:spacing w:val="-19"/>
          <w:sz w:val="25"/>
          <w:szCs w:val="25"/>
        </w:rPr>
        <w:t>21.1.2</w:t>
      </w:r>
      <w:r>
        <w:rPr>
          <w:color w:val="006BE7"/>
          <w:spacing w:val="111"/>
          <w:sz w:val="25"/>
          <w:szCs w:val="25"/>
        </w:rPr>
        <w:t xml:space="preserve"> </w:t>
      </w:r>
      <w:r>
        <w:rPr>
          <w:b/>
          <w:bCs/>
          <w:color w:val="006BE7"/>
          <w:spacing w:val="-19"/>
          <w:sz w:val="25"/>
          <w:szCs w:val="25"/>
        </w:rPr>
        <w:t>基础设施工程建设任务</w:t>
      </w:r>
    </w:p>
    <w:p w14:paraId="08BB7927">
      <w:pPr>
        <w:pStyle w:val="2"/>
        <w:spacing w:before="173" w:line="279" w:lineRule="auto"/>
        <w:ind w:firstLine="400"/>
        <w:rPr>
          <w:sz w:val="19"/>
          <w:szCs w:val="19"/>
        </w:rPr>
      </w:pPr>
      <w:r>
        <w:rPr>
          <w:spacing w:val="10"/>
          <w:sz w:val="19"/>
          <w:szCs w:val="19"/>
        </w:rPr>
        <w:t>基础设施工程主要包含通用布缆系统工程、计算机网络系统工程和电子设备</w:t>
      </w:r>
      <w:r>
        <w:rPr>
          <w:spacing w:val="9"/>
          <w:sz w:val="19"/>
          <w:szCs w:val="19"/>
        </w:rPr>
        <w:t>机房系统工程，</w:t>
      </w:r>
      <w:r>
        <w:rPr>
          <w:sz w:val="19"/>
          <w:szCs w:val="19"/>
        </w:rPr>
        <w:t xml:space="preserve"> </w:t>
      </w:r>
      <w:r>
        <w:rPr>
          <w:spacing w:val="6"/>
          <w:sz w:val="19"/>
          <w:szCs w:val="19"/>
        </w:rPr>
        <w:t>涉及系统的新建、升级和改造。</w:t>
      </w:r>
    </w:p>
    <w:p w14:paraId="33294213">
      <w:pPr>
        <w:pStyle w:val="2"/>
        <w:spacing w:before="122" w:line="221" w:lineRule="auto"/>
        <w:ind w:left="402"/>
        <w:rPr>
          <w:rFonts w:ascii="黑体" w:hAnsi="黑体" w:eastAsia="黑体" w:cs="黑体"/>
          <w:sz w:val="19"/>
          <w:szCs w:val="19"/>
        </w:rPr>
      </w:pPr>
      <w:r>
        <w:rPr>
          <w:b/>
          <w:bCs/>
          <w:color w:val="005FA9"/>
          <w:spacing w:val="7"/>
          <w:sz w:val="19"/>
          <w:szCs w:val="19"/>
        </w:rPr>
        <w:t>1.</w:t>
      </w:r>
      <w:r>
        <w:rPr>
          <w:rFonts w:ascii="黑体" w:hAnsi="黑体" w:eastAsia="黑体" w:cs="黑体"/>
          <w:b/>
          <w:bCs/>
          <w:color w:val="005FA9"/>
          <w:spacing w:val="7"/>
          <w:sz w:val="19"/>
          <w:szCs w:val="19"/>
        </w:rPr>
        <w:t>通用布缆系统工程</w:t>
      </w:r>
    </w:p>
    <w:p w14:paraId="3513E60C">
      <w:pPr>
        <w:pStyle w:val="2"/>
        <w:spacing w:before="146" w:line="219" w:lineRule="auto"/>
        <w:ind w:left="400"/>
        <w:rPr>
          <w:sz w:val="19"/>
          <w:szCs w:val="19"/>
        </w:rPr>
      </w:pPr>
      <w:r>
        <w:rPr>
          <w:spacing w:val="6"/>
          <w:sz w:val="19"/>
          <w:szCs w:val="19"/>
        </w:rPr>
        <w:t>通用布缆系统工程包括但不限于如下内容：</w:t>
      </w:r>
    </w:p>
    <w:p w14:paraId="1A02532A">
      <w:pPr>
        <w:pStyle w:val="2"/>
        <w:spacing w:before="76" w:line="219" w:lineRule="auto"/>
        <w:ind w:left="400"/>
        <w:rPr>
          <w:sz w:val="19"/>
          <w:szCs w:val="19"/>
        </w:rPr>
      </w:pPr>
      <w:r>
        <w:rPr>
          <w:spacing w:val="11"/>
          <w:sz w:val="19"/>
          <w:szCs w:val="19"/>
        </w:rPr>
        <w:t>(1)保护设施的安装和检查；</w:t>
      </w:r>
    </w:p>
    <w:p w14:paraId="306FC2BE">
      <w:pPr>
        <w:pStyle w:val="2"/>
        <w:spacing w:before="83" w:line="219" w:lineRule="auto"/>
        <w:ind w:left="400"/>
        <w:rPr>
          <w:sz w:val="19"/>
          <w:szCs w:val="19"/>
        </w:rPr>
      </w:pPr>
      <w:r>
        <w:rPr>
          <w:spacing w:val="11"/>
          <w:sz w:val="19"/>
          <w:szCs w:val="19"/>
        </w:rPr>
        <w:t>(2)机柜、机架的安装和检查；</w:t>
      </w:r>
    </w:p>
    <w:p w14:paraId="221FF8FF">
      <w:pPr>
        <w:pStyle w:val="2"/>
        <w:spacing w:before="86" w:line="219" w:lineRule="auto"/>
        <w:ind w:left="400"/>
        <w:rPr>
          <w:sz w:val="19"/>
          <w:szCs w:val="19"/>
        </w:rPr>
      </w:pPr>
      <w:r>
        <w:rPr>
          <w:spacing w:val="11"/>
          <w:sz w:val="19"/>
          <w:szCs w:val="19"/>
        </w:rPr>
        <w:t>(3)信息插座的安装和检查；</w:t>
      </w:r>
    </w:p>
    <w:p w14:paraId="6A01A8A4">
      <w:pPr>
        <w:spacing w:line="219" w:lineRule="auto"/>
        <w:rPr>
          <w:sz w:val="19"/>
          <w:szCs w:val="19"/>
        </w:rPr>
        <w:sectPr>
          <w:pgSz w:w="10310" w:h="13360"/>
          <w:pgMar w:top="400" w:right="985" w:bottom="400" w:left="929" w:header="0" w:footer="0" w:gutter="0"/>
          <w:cols w:space="720" w:num="1"/>
        </w:sectPr>
      </w:pPr>
    </w:p>
    <w:p w14:paraId="1CACA963">
      <w:pPr>
        <w:pStyle w:val="2"/>
        <w:jc w:val="right"/>
        <w:rPr>
          <w:sz w:val="20"/>
          <w:szCs w:val="20"/>
        </w:rPr>
      </w:pPr>
      <w:r>
        <w:rPr>
          <w:spacing w:val="-4"/>
          <w:sz w:val="20"/>
          <w:szCs w:val="20"/>
        </w:rPr>
        <w:t>第21章 基础设施工程监理</w:t>
      </w:r>
      <w:r>
        <w:rPr>
          <w:spacing w:val="3"/>
          <w:sz w:val="20"/>
          <w:szCs w:val="20"/>
        </w:rPr>
        <w:t xml:space="preserve">      </w:t>
      </w:r>
      <w:r>
        <w:rPr>
          <w:rFonts w:ascii="Times New Roman" w:hAnsi="Times New Roman" w:eastAsia="Times New Roman" w:cs="Times New Roman"/>
          <w:spacing w:val="-4"/>
          <w:position w:val="-4"/>
          <w:sz w:val="20"/>
          <w:szCs w:val="20"/>
        </w:rPr>
        <w:t xml:space="preserve">471  </w:t>
      </w:r>
      <w:r>
        <w:rPr>
          <w:position w:val="-5"/>
          <w:sz w:val="20"/>
          <w:szCs w:val="20"/>
        </w:rPr>
        <w:drawing>
          <wp:inline distT="0" distB="0" distL="0" distR="0">
            <wp:extent cx="304800" cy="189865"/>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96"/>
                    <a:stretch>
                      <a:fillRect/>
                    </a:stretch>
                  </pic:blipFill>
                  <pic:spPr>
                    <a:xfrm>
                      <a:off x="0" y="0"/>
                      <a:ext cx="304817" cy="190487"/>
                    </a:xfrm>
                    <a:prstGeom prst="rect">
                      <a:avLst/>
                    </a:prstGeom>
                  </pic:spPr>
                </pic:pic>
              </a:graphicData>
            </a:graphic>
          </wp:inline>
        </w:drawing>
      </w:r>
    </w:p>
    <w:p w14:paraId="3AC4C4F1">
      <w:pPr>
        <w:spacing w:line="248" w:lineRule="auto"/>
        <w:rPr>
          <w:rFonts w:ascii="Arial"/>
          <w:sz w:val="21"/>
        </w:rPr>
      </w:pPr>
    </w:p>
    <w:p w14:paraId="0B15B390">
      <w:pPr>
        <w:pStyle w:val="2"/>
        <w:spacing w:before="65" w:line="219" w:lineRule="auto"/>
        <w:ind w:left="399"/>
        <w:rPr>
          <w:sz w:val="20"/>
          <w:szCs w:val="20"/>
        </w:rPr>
      </w:pPr>
      <w:r>
        <w:rPr>
          <w:spacing w:val="3"/>
          <w:sz w:val="20"/>
          <w:szCs w:val="20"/>
        </w:rPr>
        <w:t>(4)连接硬件的安装和检查；</w:t>
      </w:r>
    </w:p>
    <w:p w14:paraId="6EE9EA88">
      <w:pPr>
        <w:pStyle w:val="2"/>
        <w:spacing w:before="82" w:line="219" w:lineRule="auto"/>
        <w:ind w:left="399"/>
        <w:rPr>
          <w:sz w:val="20"/>
          <w:szCs w:val="20"/>
        </w:rPr>
      </w:pPr>
      <w:r>
        <w:rPr>
          <w:spacing w:val="5"/>
          <w:sz w:val="20"/>
          <w:szCs w:val="20"/>
        </w:rPr>
        <w:t>(5)线缆敷设和检查；</w:t>
      </w:r>
    </w:p>
    <w:p w14:paraId="4021FFF9">
      <w:pPr>
        <w:pStyle w:val="2"/>
        <w:spacing w:before="72" w:line="219" w:lineRule="auto"/>
        <w:ind w:left="399"/>
        <w:rPr>
          <w:sz w:val="20"/>
          <w:szCs w:val="20"/>
        </w:rPr>
      </w:pPr>
      <w:r>
        <w:rPr>
          <w:spacing w:val="2"/>
          <w:sz w:val="20"/>
          <w:szCs w:val="20"/>
        </w:rPr>
        <w:t>(6)设备和线缆的标识、记录的检测等。</w:t>
      </w:r>
    </w:p>
    <w:p w14:paraId="6F7DAFCD">
      <w:pPr>
        <w:spacing w:before="178" w:line="221" w:lineRule="auto"/>
        <w:ind w:left="402"/>
        <w:rPr>
          <w:rFonts w:ascii="黑体" w:hAnsi="黑体" w:eastAsia="黑体" w:cs="黑体"/>
          <w:sz w:val="20"/>
          <w:szCs w:val="20"/>
        </w:rPr>
      </w:pPr>
      <w:r>
        <w:rPr>
          <w:rFonts w:ascii="黑体" w:hAnsi="黑体" w:eastAsia="黑体" w:cs="黑体"/>
          <w:b/>
          <w:bCs/>
          <w:color w:val="006DB7"/>
          <w:sz w:val="20"/>
          <w:szCs w:val="20"/>
        </w:rPr>
        <w:t>2.计算机网络系统工程</w:t>
      </w:r>
    </w:p>
    <w:p w14:paraId="67CE639F">
      <w:pPr>
        <w:pStyle w:val="2"/>
        <w:spacing w:before="133" w:line="219" w:lineRule="auto"/>
        <w:ind w:left="399"/>
        <w:rPr>
          <w:sz w:val="20"/>
          <w:szCs w:val="20"/>
        </w:rPr>
      </w:pPr>
      <w:r>
        <w:rPr>
          <w:spacing w:val="-3"/>
          <w:sz w:val="20"/>
          <w:szCs w:val="20"/>
        </w:rPr>
        <w:t>计算机网络系统工程包括但不限于如下内容：</w:t>
      </w:r>
    </w:p>
    <w:p w14:paraId="1AF880F7">
      <w:pPr>
        <w:pStyle w:val="2"/>
        <w:spacing w:before="75" w:line="220" w:lineRule="auto"/>
        <w:ind w:left="399"/>
        <w:rPr>
          <w:sz w:val="20"/>
          <w:szCs w:val="20"/>
        </w:rPr>
      </w:pPr>
      <w:r>
        <w:rPr>
          <w:spacing w:val="1"/>
          <w:sz w:val="20"/>
          <w:szCs w:val="20"/>
        </w:rPr>
        <w:t>(1)网络系统的体系结构和网络拓扑的设计；</w:t>
      </w:r>
    </w:p>
    <w:p w14:paraId="1CC467F4">
      <w:pPr>
        <w:pStyle w:val="2"/>
        <w:spacing w:before="71" w:line="219" w:lineRule="auto"/>
        <w:ind w:left="399"/>
        <w:rPr>
          <w:sz w:val="20"/>
          <w:szCs w:val="20"/>
        </w:rPr>
      </w:pPr>
      <w:r>
        <w:rPr>
          <w:spacing w:val="2"/>
          <w:sz w:val="20"/>
          <w:szCs w:val="20"/>
        </w:rPr>
        <w:t>(2)网络地址、路由规划和子网划分；</w:t>
      </w:r>
    </w:p>
    <w:p w14:paraId="2FDA211E">
      <w:pPr>
        <w:pStyle w:val="2"/>
        <w:spacing w:before="84" w:line="221" w:lineRule="auto"/>
        <w:ind w:left="399"/>
        <w:rPr>
          <w:sz w:val="20"/>
          <w:szCs w:val="20"/>
        </w:rPr>
      </w:pPr>
      <w:r>
        <w:rPr>
          <w:spacing w:val="2"/>
          <w:sz w:val="20"/>
          <w:szCs w:val="20"/>
        </w:rPr>
        <w:t>(3)网络系统的接口和整体连通性设计；</w:t>
      </w:r>
    </w:p>
    <w:p w14:paraId="055F8F0E">
      <w:pPr>
        <w:pStyle w:val="2"/>
        <w:spacing w:before="71" w:line="221" w:lineRule="auto"/>
        <w:ind w:left="399"/>
        <w:rPr>
          <w:sz w:val="20"/>
          <w:szCs w:val="20"/>
        </w:rPr>
      </w:pPr>
      <w:r>
        <w:rPr>
          <w:spacing w:val="2"/>
          <w:sz w:val="20"/>
          <w:szCs w:val="20"/>
        </w:rPr>
        <w:t>(4)网络安全性、可靠性设计；</w:t>
      </w:r>
    </w:p>
    <w:p w14:paraId="5A84F07C">
      <w:pPr>
        <w:pStyle w:val="2"/>
        <w:spacing w:before="89" w:line="267" w:lineRule="auto"/>
        <w:ind w:right="920" w:firstLine="399"/>
        <w:rPr>
          <w:sz w:val="16"/>
          <w:szCs w:val="16"/>
        </w:rPr>
      </w:pPr>
      <w:r>
        <w:rPr>
          <w:spacing w:val="10"/>
          <w:sz w:val="20"/>
          <w:szCs w:val="20"/>
        </w:rPr>
        <w:t>(5)设备安装环境和条件的检查，应检查主要网络设备的安放环境是否符合设备的运行</w:t>
      </w:r>
      <w:r>
        <w:rPr>
          <w:spacing w:val="18"/>
          <w:sz w:val="20"/>
          <w:szCs w:val="20"/>
        </w:rPr>
        <w:t xml:space="preserve"> </w:t>
      </w:r>
      <w:r>
        <w:rPr>
          <w:spacing w:val="-5"/>
          <w:sz w:val="16"/>
          <w:szCs w:val="16"/>
        </w:rPr>
        <w:t>要</w:t>
      </w:r>
      <w:r>
        <w:rPr>
          <w:spacing w:val="-16"/>
          <w:sz w:val="16"/>
          <w:szCs w:val="16"/>
        </w:rPr>
        <w:t xml:space="preserve"> </w:t>
      </w:r>
      <w:r>
        <w:rPr>
          <w:spacing w:val="-5"/>
          <w:sz w:val="16"/>
          <w:szCs w:val="16"/>
        </w:rPr>
        <w:t>求</w:t>
      </w:r>
      <w:r>
        <w:rPr>
          <w:spacing w:val="-23"/>
          <w:sz w:val="16"/>
          <w:szCs w:val="16"/>
        </w:rPr>
        <w:t xml:space="preserve"> </w:t>
      </w:r>
      <w:r>
        <w:rPr>
          <w:spacing w:val="-5"/>
          <w:sz w:val="16"/>
          <w:szCs w:val="16"/>
        </w:rPr>
        <w:t>；</w:t>
      </w:r>
    </w:p>
    <w:p w14:paraId="30E627CC">
      <w:pPr>
        <w:pStyle w:val="2"/>
        <w:spacing w:before="100" w:line="219" w:lineRule="auto"/>
        <w:ind w:left="399"/>
        <w:rPr>
          <w:sz w:val="20"/>
          <w:szCs w:val="20"/>
        </w:rPr>
      </w:pPr>
      <w:r>
        <w:rPr>
          <w:spacing w:val="3"/>
          <w:sz w:val="20"/>
          <w:szCs w:val="20"/>
        </w:rPr>
        <w:t>(6)设备安装、调试和网络系统集成的检查；</w:t>
      </w:r>
    </w:p>
    <w:p w14:paraId="27D56AA0">
      <w:pPr>
        <w:pStyle w:val="2"/>
        <w:spacing w:before="72" w:line="219" w:lineRule="auto"/>
        <w:ind w:left="399"/>
        <w:rPr>
          <w:sz w:val="20"/>
          <w:szCs w:val="20"/>
        </w:rPr>
      </w:pPr>
      <w:r>
        <w:rPr>
          <w:spacing w:val="2"/>
          <w:sz w:val="20"/>
          <w:szCs w:val="20"/>
        </w:rPr>
        <w:t>(7)工程实施的安全性检查等。</w:t>
      </w:r>
    </w:p>
    <w:p w14:paraId="26E3065F">
      <w:pPr>
        <w:pStyle w:val="2"/>
        <w:spacing w:before="168" w:line="220" w:lineRule="auto"/>
        <w:ind w:left="402"/>
        <w:rPr>
          <w:rFonts w:ascii="黑体" w:hAnsi="黑体" w:eastAsia="黑体" w:cs="黑体"/>
          <w:sz w:val="20"/>
          <w:szCs w:val="20"/>
        </w:rPr>
      </w:pPr>
      <w:r>
        <w:rPr>
          <w:b/>
          <w:bCs/>
          <w:color w:val="0068C3"/>
          <w:spacing w:val="-3"/>
          <w:sz w:val="20"/>
          <w:szCs w:val="20"/>
        </w:rPr>
        <w:t>3.</w:t>
      </w:r>
      <w:r>
        <w:rPr>
          <w:rFonts w:ascii="黑体" w:hAnsi="黑体" w:eastAsia="黑体" w:cs="黑体"/>
          <w:b/>
          <w:bCs/>
          <w:color w:val="0068C3"/>
          <w:spacing w:val="-3"/>
          <w:sz w:val="20"/>
          <w:szCs w:val="20"/>
        </w:rPr>
        <w:t>电子设备机房系统工程</w:t>
      </w:r>
    </w:p>
    <w:p w14:paraId="2C90DBC9">
      <w:pPr>
        <w:pStyle w:val="2"/>
        <w:spacing w:before="125" w:line="282" w:lineRule="auto"/>
        <w:ind w:right="918" w:firstLine="399"/>
        <w:rPr>
          <w:sz w:val="20"/>
          <w:szCs w:val="20"/>
        </w:rPr>
      </w:pPr>
      <w:r>
        <w:rPr>
          <w:spacing w:val="3"/>
          <w:sz w:val="20"/>
          <w:szCs w:val="20"/>
        </w:rPr>
        <w:t>在信息系统工程中，电子设备机房系统工程是为了保证计算机、电信等所</w:t>
      </w:r>
      <w:r>
        <w:rPr>
          <w:spacing w:val="2"/>
          <w:sz w:val="20"/>
          <w:szCs w:val="20"/>
        </w:rPr>
        <w:t>有电子设备的安</w:t>
      </w:r>
      <w:r>
        <w:rPr>
          <w:sz w:val="20"/>
          <w:szCs w:val="20"/>
        </w:rPr>
        <w:t xml:space="preserve"> </w:t>
      </w:r>
      <w:r>
        <w:rPr>
          <w:spacing w:val="-2"/>
          <w:sz w:val="20"/>
          <w:szCs w:val="20"/>
        </w:rPr>
        <w:t>全有效运行而提供的配套工程，包括但不限于如下</w:t>
      </w:r>
      <w:r>
        <w:rPr>
          <w:spacing w:val="-3"/>
          <w:sz w:val="20"/>
          <w:szCs w:val="20"/>
        </w:rPr>
        <w:t>内容：</w:t>
      </w:r>
    </w:p>
    <w:p w14:paraId="085EAB28">
      <w:pPr>
        <w:pStyle w:val="2"/>
        <w:spacing w:before="19" w:line="219" w:lineRule="auto"/>
        <w:ind w:left="399"/>
        <w:rPr>
          <w:sz w:val="20"/>
          <w:szCs w:val="20"/>
        </w:rPr>
      </w:pPr>
      <w:r>
        <w:rPr>
          <w:spacing w:val="3"/>
          <w:sz w:val="20"/>
          <w:szCs w:val="20"/>
        </w:rPr>
        <w:t>(1)供配电系统工程；</w:t>
      </w:r>
    </w:p>
    <w:p w14:paraId="7DA8FFB4">
      <w:pPr>
        <w:pStyle w:val="2"/>
        <w:spacing w:before="75" w:line="220" w:lineRule="auto"/>
        <w:ind w:left="399"/>
        <w:rPr>
          <w:sz w:val="20"/>
          <w:szCs w:val="20"/>
        </w:rPr>
      </w:pPr>
      <w:r>
        <w:rPr>
          <w:spacing w:val="3"/>
          <w:sz w:val="20"/>
          <w:szCs w:val="20"/>
        </w:rPr>
        <w:t>(2)空调系统工程；</w:t>
      </w:r>
    </w:p>
    <w:p w14:paraId="55382932">
      <w:pPr>
        <w:pStyle w:val="2"/>
        <w:spacing w:before="72" w:line="220" w:lineRule="auto"/>
        <w:ind w:left="399"/>
        <w:rPr>
          <w:sz w:val="20"/>
          <w:szCs w:val="20"/>
        </w:rPr>
      </w:pPr>
      <w:r>
        <w:rPr>
          <w:spacing w:val="3"/>
          <w:sz w:val="20"/>
          <w:szCs w:val="20"/>
        </w:rPr>
        <w:t>(3)消防系统工程；</w:t>
      </w:r>
    </w:p>
    <w:p w14:paraId="1EA04FA7">
      <w:pPr>
        <w:pStyle w:val="2"/>
        <w:spacing w:before="71" w:line="220" w:lineRule="auto"/>
        <w:ind w:left="399"/>
        <w:rPr>
          <w:sz w:val="20"/>
          <w:szCs w:val="20"/>
        </w:rPr>
      </w:pPr>
      <w:r>
        <w:rPr>
          <w:spacing w:val="5"/>
          <w:sz w:val="20"/>
          <w:szCs w:val="20"/>
        </w:rPr>
        <w:t>(4)安全防范系统工程；</w:t>
      </w:r>
    </w:p>
    <w:p w14:paraId="4355084E">
      <w:pPr>
        <w:pStyle w:val="2"/>
        <w:spacing w:before="72" w:line="220" w:lineRule="auto"/>
        <w:ind w:left="399"/>
        <w:rPr>
          <w:sz w:val="20"/>
          <w:szCs w:val="20"/>
        </w:rPr>
      </w:pPr>
      <w:r>
        <w:rPr>
          <w:spacing w:val="3"/>
          <w:sz w:val="20"/>
          <w:szCs w:val="20"/>
        </w:rPr>
        <w:t>(5)环境系统工程；</w:t>
      </w:r>
    </w:p>
    <w:p w14:paraId="3C28965F">
      <w:pPr>
        <w:pStyle w:val="2"/>
        <w:spacing w:before="71" w:line="219" w:lineRule="auto"/>
        <w:ind w:left="399"/>
        <w:rPr>
          <w:sz w:val="20"/>
          <w:szCs w:val="20"/>
        </w:rPr>
      </w:pPr>
      <w:r>
        <w:rPr>
          <w:spacing w:val="4"/>
          <w:sz w:val="20"/>
          <w:szCs w:val="20"/>
        </w:rPr>
        <w:t>(6)动力环境监控系统工程。</w:t>
      </w:r>
    </w:p>
    <w:p w14:paraId="73326DAF">
      <w:pPr>
        <w:spacing w:line="327" w:lineRule="auto"/>
        <w:rPr>
          <w:rFonts w:ascii="Arial"/>
          <w:sz w:val="21"/>
        </w:rPr>
      </w:pPr>
    </w:p>
    <w:p w14:paraId="7C6936E4">
      <w:pPr>
        <w:pStyle w:val="2"/>
        <w:spacing w:before="91" w:line="222" w:lineRule="auto"/>
        <w:ind w:left="4"/>
        <w:rPr>
          <w:rFonts w:ascii="黑体" w:hAnsi="黑体" w:eastAsia="黑体" w:cs="黑体"/>
          <w:sz w:val="28"/>
          <w:szCs w:val="28"/>
        </w:rPr>
      </w:pPr>
      <w:r>
        <w:rPr>
          <w:b/>
          <w:bCs/>
          <w:color w:val="0063C7"/>
          <w:spacing w:val="-4"/>
          <w:sz w:val="28"/>
          <w:szCs w:val="28"/>
        </w:rPr>
        <w:t>21.2</w:t>
      </w:r>
      <w:r>
        <w:rPr>
          <w:color w:val="0063C7"/>
          <w:spacing w:val="-4"/>
          <w:sz w:val="28"/>
          <w:szCs w:val="28"/>
        </w:rPr>
        <w:t xml:space="preserve">  </w:t>
      </w:r>
      <w:r>
        <w:rPr>
          <w:rFonts w:ascii="黑体" w:hAnsi="黑体" w:eastAsia="黑体" w:cs="黑体"/>
          <w:b/>
          <w:bCs/>
          <w:color w:val="0063C7"/>
          <w:spacing w:val="-4"/>
          <w:sz w:val="28"/>
          <w:szCs w:val="28"/>
        </w:rPr>
        <w:t>招标阶段监理工作</w:t>
      </w:r>
    </w:p>
    <w:p w14:paraId="7EB03C4B">
      <w:pPr>
        <w:pStyle w:val="2"/>
        <w:spacing w:before="255" w:line="219" w:lineRule="auto"/>
        <w:ind w:left="399"/>
        <w:rPr>
          <w:sz w:val="20"/>
          <w:szCs w:val="20"/>
        </w:rPr>
      </w:pPr>
      <w:r>
        <w:rPr>
          <w:spacing w:val="-1"/>
          <w:sz w:val="20"/>
          <w:szCs w:val="20"/>
        </w:rPr>
        <w:t>本节重点介绍监理单位在基础设施工程招标阶段需要执行的监理活动和主要监理内容。</w:t>
      </w:r>
    </w:p>
    <w:p w14:paraId="296805C8">
      <w:pPr>
        <w:pStyle w:val="2"/>
        <w:spacing w:before="243" w:line="220" w:lineRule="auto"/>
        <w:ind w:left="2"/>
        <w:rPr>
          <w:sz w:val="25"/>
          <w:szCs w:val="25"/>
        </w:rPr>
      </w:pPr>
      <w:r>
        <w:rPr>
          <w:b/>
          <w:bCs/>
          <w:color w:val="0165D7"/>
          <w:spacing w:val="-16"/>
          <w:sz w:val="25"/>
          <w:szCs w:val="25"/>
        </w:rPr>
        <w:t>21.2.1</w:t>
      </w:r>
      <w:r>
        <w:rPr>
          <w:color w:val="0165D7"/>
          <w:spacing w:val="-16"/>
          <w:sz w:val="25"/>
          <w:szCs w:val="25"/>
        </w:rPr>
        <w:t xml:space="preserve">  </w:t>
      </w:r>
      <w:r>
        <w:rPr>
          <w:b/>
          <w:bCs/>
          <w:color w:val="0165D7"/>
          <w:spacing w:val="-16"/>
          <w:sz w:val="25"/>
          <w:szCs w:val="25"/>
        </w:rPr>
        <w:t>监理活动</w:t>
      </w:r>
    </w:p>
    <w:p w14:paraId="709D9286">
      <w:pPr>
        <w:pStyle w:val="2"/>
        <w:spacing w:before="154" w:line="220" w:lineRule="auto"/>
        <w:ind w:left="399"/>
        <w:rPr>
          <w:sz w:val="20"/>
          <w:szCs w:val="20"/>
        </w:rPr>
      </w:pPr>
      <w:r>
        <w:rPr>
          <w:spacing w:val="-3"/>
          <w:sz w:val="20"/>
          <w:szCs w:val="20"/>
        </w:rPr>
        <w:t>基础设施工程招标阶段的主要监理活动如下：</w:t>
      </w:r>
    </w:p>
    <w:p w14:paraId="2A7C109A">
      <w:pPr>
        <w:pStyle w:val="2"/>
        <w:spacing w:before="71" w:line="219" w:lineRule="auto"/>
        <w:ind w:left="399"/>
        <w:rPr>
          <w:sz w:val="20"/>
          <w:szCs w:val="20"/>
        </w:rPr>
      </w:pPr>
      <w:r>
        <w:rPr>
          <w:spacing w:val="2"/>
          <w:sz w:val="20"/>
          <w:szCs w:val="20"/>
        </w:rPr>
        <w:t>(1)协助业主单位明确工程需求；</w:t>
      </w:r>
    </w:p>
    <w:p w14:paraId="3684750E">
      <w:pPr>
        <w:pStyle w:val="2"/>
        <w:spacing w:before="72" w:line="219" w:lineRule="auto"/>
        <w:ind w:left="399"/>
        <w:rPr>
          <w:sz w:val="20"/>
          <w:szCs w:val="20"/>
        </w:rPr>
      </w:pPr>
      <w:r>
        <w:rPr>
          <w:spacing w:val="2"/>
          <w:sz w:val="20"/>
          <w:szCs w:val="20"/>
        </w:rPr>
        <w:t>(2)宜参与招标前的准备工作，协助业主单位编制</w:t>
      </w:r>
      <w:r>
        <w:rPr>
          <w:spacing w:val="1"/>
          <w:sz w:val="20"/>
          <w:szCs w:val="20"/>
        </w:rPr>
        <w:t>基础设施工程的工作计划；</w:t>
      </w:r>
    </w:p>
    <w:p w14:paraId="094D3376">
      <w:pPr>
        <w:pStyle w:val="2"/>
        <w:spacing w:before="61" w:line="218" w:lineRule="auto"/>
        <w:ind w:left="399"/>
        <w:rPr>
          <w:sz w:val="20"/>
          <w:szCs w:val="20"/>
        </w:rPr>
      </w:pPr>
      <w:r>
        <w:rPr>
          <w:spacing w:val="1"/>
          <w:sz w:val="20"/>
          <w:szCs w:val="20"/>
        </w:rPr>
        <w:t>(3)宜了解业主单位估算的工程总投资，了解招投标分包策略；</w:t>
      </w:r>
    </w:p>
    <w:p w14:paraId="41C0426D">
      <w:pPr>
        <w:pStyle w:val="2"/>
        <w:spacing w:before="76" w:line="219" w:lineRule="auto"/>
        <w:ind w:left="399"/>
        <w:rPr>
          <w:sz w:val="20"/>
          <w:szCs w:val="20"/>
        </w:rPr>
      </w:pPr>
      <w:r>
        <w:rPr>
          <w:spacing w:val="1"/>
          <w:sz w:val="20"/>
          <w:szCs w:val="20"/>
        </w:rPr>
        <w:t>(4)协助业主单位参与招标文件的编制或对招标文件提出监理意</w:t>
      </w:r>
      <w:r>
        <w:rPr>
          <w:sz w:val="20"/>
          <w:szCs w:val="20"/>
        </w:rPr>
        <w:t>见；</w:t>
      </w:r>
    </w:p>
    <w:p w14:paraId="76A50CDE">
      <w:pPr>
        <w:pStyle w:val="2"/>
        <w:spacing w:before="73" w:line="219" w:lineRule="auto"/>
        <w:ind w:left="399"/>
        <w:rPr>
          <w:sz w:val="20"/>
          <w:szCs w:val="20"/>
        </w:rPr>
      </w:pPr>
      <w:r>
        <w:rPr>
          <w:spacing w:val="1"/>
          <w:sz w:val="20"/>
          <w:szCs w:val="20"/>
        </w:rPr>
        <w:t>(5)可协助评标，对投标文件与招标文件的符合性及投标文件的合理性提出监理意见；</w:t>
      </w:r>
    </w:p>
    <w:p w14:paraId="37B3CBD7">
      <w:pPr>
        <w:pStyle w:val="2"/>
        <w:spacing w:before="61" w:line="219" w:lineRule="auto"/>
        <w:ind w:left="399"/>
        <w:rPr>
          <w:sz w:val="20"/>
          <w:szCs w:val="20"/>
        </w:rPr>
      </w:pPr>
      <w:r>
        <w:rPr>
          <w:spacing w:val="2"/>
          <w:sz w:val="20"/>
          <w:szCs w:val="20"/>
        </w:rPr>
        <w:t>(6)对本阶段的工作进度提出监理意见；</w:t>
      </w:r>
    </w:p>
    <w:p w14:paraId="46486DFE">
      <w:pPr>
        <w:spacing w:line="219" w:lineRule="auto"/>
        <w:rPr>
          <w:sz w:val="20"/>
          <w:szCs w:val="20"/>
        </w:rPr>
        <w:sectPr>
          <w:pgSz w:w="10290" w:h="13250"/>
          <w:pgMar w:top="400" w:right="9" w:bottom="400" w:left="1049" w:header="0" w:footer="0" w:gutter="0"/>
          <w:cols w:space="720" w:num="1"/>
        </w:sectPr>
      </w:pPr>
    </w:p>
    <w:p w14:paraId="283DA6C7">
      <w:pPr>
        <w:pStyle w:val="2"/>
        <w:spacing w:before="48" w:line="219" w:lineRule="auto"/>
        <w:rPr>
          <w:sz w:val="20"/>
          <w:szCs w:val="20"/>
        </w:rPr>
      </w:pPr>
      <w:bookmarkStart w:id="717" w:name="bookmark702"/>
      <w:bookmarkEnd w:id="717"/>
      <w:r>
        <w:rPr>
          <w:rFonts w:ascii="Times New Roman" w:hAnsi="Times New Roman" w:eastAsia="Times New Roman" w:cs="Times New Roman"/>
          <w:spacing w:val="-3"/>
          <w:position w:val="-2"/>
          <w:sz w:val="20"/>
          <w:szCs w:val="20"/>
        </w:rPr>
        <w:t>472</w:t>
      </w:r>
      <w:r>
        <w:rPr>
          <w:rFonts w:ascii="Times New Roman" w:hAnsi="Times New Roman" w:eastAsia="Times New Roman" w:cs="Times New Roman"/>
          <w:spacing w:val="3"/>
          <w:position w:val="-2"/>
          <w:sz w:val="20"/>
          <w:szCs w:val="20"/>
        </w:rPr>
        <w:t xml:space="preserve">             </w:t>
      </w:r>
      <w:r>
        <w:rPr>
          <w:spacing w:val="-3"/>
          <w:sz w:val="20"/>
          <w:szCs w:val="20"/>
        </w:rPr>
        <w:t>信息系统监理师教程(第2版)</w:t>
      </w:r>
    </w:p>
    <w:p w14:paraId="648A7E5F">
      <w:pPr>
        <w:spacing w:line="289" w:lineRule="auto"/>
        <w:rPr>
          <w:rFonts w:ascii="Arial"/>
          <w:sz w:val="21"/>
        </w:rPr>
      </w:pPr>
    </w:p>
    <w:p w14:paraId="225F9E4A">
      <w:pPr>
        <w:pStyle w:val="2"/>
        <w:spacing w:before="65" w:line="219" w:lineRule="auto"/>
        <w:ind w:left="749"/>
        <w:rPr>
          <w:sz w:val="20"/>
          <w:szCs w:val="20"/>
        </w:rPr>
      </w:pPr>
      <w:r>
        <w:rPr>
          <w:spacing w:val="1"/>
          <w:sz w:val="20"/>
          <w:szCs w:val="20"/>
        </w:rPr>
        <w:t>(7)参与承建合同的签订过程，促使合同相关条款符合业主单位招标文件的要求；</w:t>
      </w:r>
    </w:p>
    <w:p w14:paraId="51689573">
      <w:pPr>
        <w:pStyle w:val="2"/>
        <w:spacing w:before="73" w:line="262" w:lineRule="auto"/>
        <w:ind w:left="369" w:right="92" w:firstLine="379"/>
        <w:rPr>
          <w:sz w:val="20"/>
          <w:szCs w:val="20"/>
        </w:rPr>
      </w:pPr>
      <w:r>
        <w:rPr>
          <w:spacing w:val="6"/>
          <w:sz w:val="20"/>
          <w:szCs w:val="20"/>
        </w:rPr>
        <w:t>(8)与业主单位、承建单位以及相关单位建立信息沟通和</w:t>
      </w:r>
      <w:r>
        <w:rPr>
          <w:spacing w:val="5"/>
          <w:sz w:val="20"/>
          <w:szCs w:val="20"/>
        </w:rPr>
        <w:t>协调机制，明确本阶段需要各方</w:t>
      </w:r>
      <w:r>
        <w:rPr>
          <w:sz w:val="20"/>
          <w:szCs w:val="20"/>
        </w:rPr>
        <w:t xml:space="preserve"> </w:t>
      </w:r>
      <w:r>
        <w:rPr>
          <w:spacing w:val="-8"/>
          <w:sz w:val="20"/>
          <w:szCs w:val="20"/>
        </w:rPr>
        <w:t>提交的文档；</w:t>
      </w:r>
    </w:p>
    <w:p w14:paraId="7A0EE6E4">
      <w:pPr>
        <w:pStyle w:val="2"/>
        <w:spacing w:before="63" w:line="257" w:lineRule="auto"/>
        <w:ind w:left="369" w:right="111" w:firstLine="379"/>
        <w:rPr>
          <w:sz w:val="20"/>
          <w:szCs w:val="20"/>
        </w:rPr>
      </w:pPr>
      <w:r>
        <w:rPr>
          <w:spacing w:val="5"/>
          <w:sz w:val="20"/>
          <w:szCs w:val="20"/>
        </w:rPr>
        <w:t>(9)妥善保管招标阶段所产生的与监理相关的文档资料，包括需求说明、招投标文件和监</w:t>
      </w:r>
      <w:r>
        <w:rPr>
          <w:spacing w:val="7"/>
          <w:sz w:val="20"/>
          <w:szCs w:val="20"/>
        </w:rPr>
        <w:t xml:space="preserve"> </w:t>
      </w:r>
      <w:r>
        <w:rPr>
          <w:spacing w:val="-7"/>
          <w:sz w:val="20"/>
          <w:szCs w:val="20"/>
        </w:rPr>
        <w:t>理文档等。</w:t>
      </w:r>
    </w:p>
    <w:p w14:paraId="205ACC56">
      <w:pPr>
        <w:pStyle w:val="2"/>
        <w:spacing w:before="241" w:line="219" w:lineRule="auto"/>
        <w:ind w:left="372"/>
        <w:rPr>
          <w:sz w:val="25"/>
          <w:szCs w:val="25"/>
        </w:rPr>
      </w:pPr>
      <w:r>
        <w:rPr>
          <w:b/>
          <w:bCs/>
          <w:color w:val="006CB5"/>
          <w:spacing w:val="-19"/>
          <w:sz w:val="25"/>
          <w:szCs w:val="25"/>
        </w:rPr>
        <w:t>21.2.2</w:t>
      </w:r>
      <w:r>
        <w:rPr>
          <w:color w:val="006CB5"/>
          <w:spacing w:val="100"/>
          <w:sz w:val="25"/>
          <w:szCs w:val="25"/>
        </w:rPr>
        <w:t xml:space="preserve"> </w:t>
      </w:r>
      <w:r>
        <w:rPr>
          <w:b/>
          <w:bCs/>
          <w:color w:val="006CB5"/>
          <w:spacing w:val="-19"/>
          <w:sz w:val="25"/>
          <w:szCs w:val="25"/>
        </w:rPr>
        <w:t>监理内容</w:t>
      </w:r>
    </w:p>
    <w:p w14:paraId="0A2C2E1E">
      <w:pPr>
        <w:pStyle w:val="2"/>
        <w:spacing w:before="172" w:line="280" w:lineRule="auto"/>
        <w:ind w:left="369" w:firstLine="379"/>
        <w:jc w:val="both"/>
        <w:rPr>
          <w:sz w:val="20"/>
          <w:szCs w:val="20"/>
        </w:rPr>
      </w:pPr>
      <w:r>
        <w:rPr>
          <w:spacing w:val="6"/>
          <w:sz w:val="20"/>
          <w:szCs w:val="20"/>
        </w:rPr>
        <w:t>基础设施工程招标阶段，监理机构应协助业主单位，根</w:t>
      </w:r>
      <w:r>
        <w:rPr>
          <w:spacing w:val="5"/>
          <w:sz w:val="20"/>
          <w:szCs w:val="20"/>
        </w:rPr>
        <w:t>据项目概算批复文件的建设内容、</w:t>
      </w:r>
      <w:r>
        <w:rPr>
          <w:sz w:val="20"/>
          <w:szCs w:val="20"/>
        </w:rPr>
        <w:t xml:space="preserve"> </w:t>
      </w:r>
      <w:r>
        <w:rPr>
          <w:spacing w:val="5"/>
          <w:sz w:val="20"/>
          <w:szCs w:val="20"/>
        </w:rPr>
        <w:t>建设规模、投资额等要求，按照必要的采购程序(例如政府投资项目集中采购),以及</w:t>
      </w:r>
      <w:r>
        <w:rPr>
          <w:spacing w:val="4"/>
          <w:sz w:val="20"/>
          <w:szCs w:val="20"/>
        </w:rPr>
        <w:t>公开招标</w:t>
      </w:r>
      <w:r>
        <w:rPr>
          <w:sz w:val="20"/>
          <w:szCs w:val="20"/>
        </w:rPr>
        <w:t xml:space="preserve">  </w:t>
      </w:r>
      <w:r>
        <w:rPr>
          <w:spacing w:val="3"/>
          <w:sz w:val="20"/>
          <w:szCs w:val="20"/>
        </w:rPr>
        <w:t>等采购流程规定，完成项目的招标工作，并根据招标结果完</w:t>
      </w:r>
      <w:r>
        <w:rPr>
          <w:spacing w:val="2"/>
          <w:sz w:val="20"/>
          <w:szCs w:val="20"/>
        </w:rPr>
        <w:t>成合同签订。基础设施工程招标阶</w:t>
      </w:r>
      <w:r>
        <w:rPr>
          <w:sz w:val="20"/>
          <w:szCs w:val="20"/>
        </w:rPr>
        <w:t xml:space="preserve">  </w:t>
      </w:r>
      <w:r>
        <w:rPr>
          <w:spacing w:val="-4"/>
          <w:sz w:val="20"/>
          <w:szCs w:val="20"/>
        </w:rPr>
        <w:t>段的主要监理内容如下。</w:t>
      </w:r>
    </w:p>
    <w:p w14:paraId="5C257A7C">
      <w:pPr>
        <w:pStyle w:val="2"/>
        <w:spacing w:before="105" w:line="222" w:lineRule="auto"/>
        <w:ind w:left="752"/>
        <w:rPr>
          <w:rFonts w:ascii="黑体" w:hAnsi="黑体" w:eastAsia="黑体" w:cs="黑体"/>
          <w:sz w:val="20"/>
          <w:szCs w:val="20"/>
        </w:rPr>
      </w:pPr>
      <w:r>
        <w:rPr>
          <w:b/>
          <w:bCs/>
          <w:color w:val="0066AA"/>
          <w:spacing w:val="-3"/>
          <w:sz w:val="20"/>
          <w:szCs w:val="20"/>
        </w:rPr>
        <w:t>1.</w:t>
      </w:r>
      <w:r>
        <w:rPr>
          <w:rFonts w:ascii="黑体" w:hAnsi="黑体" w:eastAsia="黑体" w:cs="黑体"/>
          <w:b/>
          <w:bCs/>
          <w:color w:val="0066AA"/>
          <w:spacing w:val="-3"/>
          <w:sz w:val="20"/>
          <w:szCs w:val="20"/>
        </w:rPr>
        <w:t>梳理工程需求</w:t>
      </w:r>
    </w:p>
    <w:p w14:paraId="7AA686EC">
      <w:pPr>
        <w:pStyle w:val="2"/>
        <w:spacing w:before="152" w:line="275" w:lineRule="auto"/>
        <w:ind w:left="369" w:right="88" w:firstLine="379"/>
        <w:rPr>
          <w:sz w:val="20"/>
          <w:szCs w:val="20"/>
        </w:rPr>
      </w:pPr>
      <w:r>
        <w:rPr>
          <w:spacing w:val="3"/>
          <w:sz w:val="20"/>
          <w:szCs w:val="20"/>
        </w:rPr>
        <w:t>监理机构应依据项目概算批复文件及初步设计方案，从如下几个方面梳理业主单位对基础</w:t>
      </w:r>
      <w:r>
        <w:rPr>
          <w:spacing w:val="13"/>
          <w:sz w:val="20"/>
          <w:szCs w:val="20"/>
        </w:rPr>
        <w:t xml:space="preserve"> </w:t>
      </w:r>
      <w:r>
        <w:rPr>
          <w:spacing w:val="-7"/>
          <w:sz w:val="20"/>
          <w:szCs w:val="20"/>
        </w:rPr>
        <w:t>设施工程的需求：</w:t>
      </w:r>
    </w:p>
    <w:p w14:paraId="2710786F">
      <w:pPr>
        <w:pStyle w:val="2"/>
        <w:spacing w:before="26" w:line="220" w:lineRule="auto"/>
        <w:ind w:left="749"/>
        <w:rPr>
          <w:sz w:val="20"/>
          <w:szCs w:val="20"/>
        </w:rPr>
      </w:pPr>
      <w:r>
        <w:rPr>
          <w:spacing w:val="5"/>
          <w:sz w:val="20"/>
          <w:szCs w:val="20"/>
        </w:rPr>
        <w:t>(1)工程建设目标；</w:t>
      </w:r>
    </w:p>
    <w:p w14:paraId="1EFA7B66">
      <w:pPr>
        <w:pStyle w:val="2"/>
        <w:spacing w:before="72" w:line="220" w:lineRule="auto"/>
        <w:ind w:left="749"/>
        <w:rPr>
          <w:sz w:val="20"/>
          <w:szCs w:val="20"/>
        </w:rPr>
      </w:pPr>
      <w:r>
        <w:rPr>
          <w:spacing w:val="5"/>
          <w:sz w:val="20"/>
          <w:szCs w:val="20"/>
        </w:rPr>
        <w:t>(2)工程建设范围；</w:t>
      </w:r>
    </w:p>
    <w:p w14:paraId="39A3ECC3">
      <w:pPr>
        <w:pStyle w:val="2"/>
        <w:spacing w:before="81" w:line="220" w:lineRule="auto"/>
        <w:ind w:left="749"/>
        <w:rPr>
          <w:sz w:val="20"/>
          <w:szCs w:val="20"/>
        </w:rPr>
      </w:pPr>
      <w:r>
        <w:rPr>
          <w:spacing w:val="1"/>
          <w:sz w:val="20"/>
          <w:szCs w:val="20"/>
        </w:rPr>
        <w:t>(3)基础设施工程中的功能、性能和安全需求；</w:t>
      </w:r>
    </w:p>
    <w:p w14:paraId="6F077CFB">
      <w:pPr>
        <w:pStyle w:val="2"/>
        <w:spacing w:before="72" w:line="219" w:lineRule="auto"/>
        <w:ind w:left="749"/>
        <w:rPr>
          <w:sz w:val="20"/>
          <w:szCs w:val="20"/>
        </w:rPr>
      </w:pPr>
      <w:r>
        <w:rPr>
          <w:spacing w:val="5"/>
          <w:sz w:val="20"/>
          <w:szCs w:val="20"/>
        </w:rPr>
        <w:t>(4)工程投资规模；</w:t>
      </w:r>
    </w:p>
    <w:p w14:paraId="0E16ECA5">
      <w:pPr>
        <w:pStyle w:val="2"/>
        <w:spacing w:before="63" w:line="220" w:lineRule="auto"/>
        <w:ind w:left="749"/>
        <w:rPr>
          <w:sz w:val="20"/>
          <w:szCs w:val="20"/>
        </w:rPr>
      </w:pPr>
      <w:r>
        <w:rPr>
          <w:spacing w:val="5"/>
          <w:sz w:val="20"/>
          <w:szCs w:val="20"/>
        </w:rPr>
        <w:t>(5)工程进度计划；</w:t>
      </w:r>
    </w:p>
    <w:p w14:paraId="3D9E120C">
      <w:pPr>
        <w:pStyle w:val="2"/>
        <w:spacing w:before="81" w:line="219" w:lineRule="auto"/>
        <w:ind w:left="749"/>
        <w:rPr>
          <w:sz w:val="20"/>
          <w:szCs w:val="20"/>
        </w:rPr>
      </w:pPr>
      <w:r>
        <w:rPr>
          <w:spacing w:val="2"/>
          <w:sz w:val="20"/>
          <w:szCs w:val="20"/>
        </w:rPr>
        <w:t>(6)工程建设应遵循的法律、法规、技术标准和</w:t>
      </w:r>
      <w:r>
        <w:rPr>
          <w:spacing w:val="1"/>
          <w:sz w:val="20"/>
          <w:szCs w:val="20"/>
        </w:rPr>
        <w:t>管理标准；</w:t>
      </w:r>
    </w:p>
    <w:p w14:paraId="1F1ACB3D">
      <w:pPr>
        <w:pStyle w:val="2"/>
        <w:spacing w:before="71" w:line="254" w:lineRule="auto"/>
        <w:ind w:left="369" w:right="90" w:firstLine="379"/>
        <w:rPr>
          <w:sz w:val="20"/>
          <w:szCs w:val="20"/>
        </w:rPr>
      </w:pPr>
      <w:r>
        <w:rPr>
          <w:spacing w:val="6"/>
          <w:sz w:val="20"/>
          <w:szCs w:val="20"/>
        </w:rPr>
        <w:t>(7)若存在现有基础设施，应考虑目标系统与现有系统的兼容性</w:t>
      </w:r>
      <w:r>
        <w:rPr>
          <w:spacing w:val="5"/>
          <w:sz w:val="20"/>
          <w:szCs w:val="20"/>
        </w:rPr>
        <w:t>，以保护业主单位的原有</w:t>
      </w:r>
      <w:r>
        <w:rPr>
          <w:sz w:val="20"/>
          <w:szCs w:val="20"/>
        </w:rPr>
        <w:t xml:space="preserve"> </w:t>
      </w:r>
      <w:r>
        <w:rPr>
          <w:spacing w:val="-3"/>
          <w:sz w:val="20"/>
          <w:szCs w:val="20"/>
        </w:rPr>
        <w:t>投资。</w:t>
      </w:r>
    </w:p>
    <w:p w14:paraId="04A61A7C">
      <w:pPr>
        <w:pStyle w:val="2"/>
        <w:spacing w:before="167" w:line="222" w:lineRule="auto"/>
        <w:ind w:left="752"/>
        <w:rPr>
          <w:rFonts w:ascii="黑体" w:hAnsi="黑体" w:eastAsia="黑体" w:cs="黑体"/>
          <w:sz w:val="20"/>
          <w:szCs w:val="20"/>
        </w:rPr>
      </w:pPr>
      <w:r>
        <w:rPr>
          <w:b/>
          <w:bCs/>
          <w:color w:val="006FBA"/>
          <w:spacing w:val="-2"/>
          <w:sz w:val="20"/>
          <w:szCs w:val="20"/>
        </w:rPr>
        <w:t>2.</w:t>
      </w:r>
      <w:r>
        <w:rPr>
          <w:rFonts w:ascii="黑体" w:hAnsi="黑体" w:eastAsia="黑体" w:cs="黑体"/>
          <w:b/>
          <w:bCs/>
          <w:color w:val="006FBA"/>
          <w:spacing w:val="-2"/>
          <w:sz w:val="20"/>
          <w:szCs w:val="20"/>
        </w:rPr>
        <w:t>招标文件的监理</w:t>
      </w:r>
    </w:p>
    <w:p w14:paraId="4FA756D7">
      <w:pPr>
        <w:pStyle w:val="2"/>
        <w:spacing w:before="112" w:line="296" w:lineRule="auto"/>
        <w:ind w:left="369" w:right="90" w:firstLine="379"/>
        <w:rPr>
          <w:sz w:val="20"/>
          <w:szCs w:val="20"/>
        </w:rPr>
      </w:pPr>
      <w:r>
        <w:rPr>
          <w:spacing w:val="3"/>
          <w:sz w:val="20"/>
          <w:szCs w:val="20"/>
        </w:rPr>
        <w:t>监理机构应协助业主单位，根据初步设计方案概算清单编制采购工程量清单，分项设计设</w:t>
      </w:r>
      <w:r>
        <w:rPr>
          <w:spacing w:val="11"/>
          <w:sz w:val="20"/>
          <w:szCs w:val="20"/>
        </w:rPr>
        <w:t xml:space="preserve"> </w:t>
      </w:r>
      <w:r>
        <w:rPr>
          <w:spacing w:val="-2"/>
          <w:sz w:val="20"/>
          <w:szCs w:val="20"/>
        </w:rPr>
        <w:t>备、系统的技术指标，作为基础设施工程项目招标的技术要求。</w:t>
      </w:r>
    </w:p>
    <w:p w14:paraId="48A05ED4">
      <w:pPr>
        <w:pStyle w:val="2"/>
        <w:spacing w:before="1" w:line="219" w:lineRule="auto"/>
        <w:ind w:left="749"/>
        <w:rPr>
          <w:sz w:val="20"/>
          <w:szCs w:val="20"/>
        </w:rPr>
      </w:pPr>
      <w:r>
        <w:rPr>
          <w:spacing w:val="-2"/>
          <w:sz w:val="20"/>
          <w:szCs w:val="20"/>
        </w:rPr>
        <w:t>通常情况下，招标文件技术需求部分的要点</w:t>
      </w:r>
      <w:r>
        <w:rPr>
          <w:spacing w:val="-3"/>
          <w:sz w:val="20"/>
          <w:szCs w:val="20"/>
        </w:rPr>
        <w:t>内容如下：</w:t>
      </w:r>
    </w:p>
    <w:p w14:paraId="72D44064">
      <w:pPr>
        <w:pStyle w:val="2"/>
        <w:spacing w:before="63" w:line="220" w:lineRule="auto"/>
        <w:ind w:left="749"/>
        <w:rPr>
          <w:sz w:val="20"/>
          <w:szCs w:val="20"/>
        </w:rPr>
      </w:pPr>
      <w:r>
        <w:rPr>
          <w:spacing w:val="8"/>
          <w:sz w:val="20"/>
          <w:szCs w:val="20"/>
        </w:rPr>
        <w:t>(1)工程/项目总的需求；</w:t>
      </w:r>
    </w:p>
    <w:p w14:paraId="6586065A">
      <w:pPr>
        <w:pStyle w:val="2"/>
        <w:spacing w:before="72" w:line="220" w:lineRule="auto"/>
        <w:ind w:left="749"/>
        <w:rPr>
          <w:sz w:val="20"/>
          <w:szCs w:val="20"/>
        </w:rPr>
      </w:pPr>
      <w:r>
        <w:rPr>
          <w:spacing w:val="3"/>
          <w:sz w:val="20"/>
          <w:szCs w:val="20"/>
        </w:rPr>
        <w:t>(2)投标单位的资质要求；</w:t>
      </w:r>
    </w:p>
    <w:p w14:paraId="5C43EC3A">
      <w:pPr>
        <w:pStyle w:val="2"/>
        <w:spacing w:before="71" w:line="219" w:lineRule="auto"/>
        <w:ind w:left="749"/>
        <w:rPr>
          <w:sz w:val="20"/>
          <w:szCs w:val="20"/>
        </w:rPr>
      </w:pPr>
      <w:r>
        <w:rPr>
          <w:spacing w:val="5"/>
          <w:sz w:val="20"/>
          <w:szCs w:val="20"/>
        </w:rPr>
        <w:t>(3)工程/项目的技术和质量要求；</w:t>
      </w:r>
    </w:p>
    <w:p w14:paraId="3EC77B4E">
      <w:pPr>
        <w:pStyle w:val="2"/>
        <w:spacing w:before="73" w:line="220" w:lineRule="auto"/>
        <w:ind w:left="749"/>
        <w:rPr>
          <w:sz w:val="20"/>
          <w:szCs w:val="20"/>
        </w:rPr>
      </w:pPr>
      <w:r>
        <w:rPr>
          <w:spacing w:val="5"/>
          <w:sz w:val="20"/>
          <w:szCs w:val="20"/>
        </w:rPr>
        <w:t>(4)工程/项目的时间和进度要求；</w:t>
      </w:r>
    </w:p>
    <w:p w14:paraId="232466BF">
      <w:pPr>
        <w:pStyle w:val="2"/>
        <w:spacing w:before="71" w:line="219" w:lineRule="auto"/>
        <w:ind w:left="749"/>
        <w:rPr>
          <w:sz w:val="20"/>
          <w:szCs w:val="20"/>
        </w:rPr>
      </w:pPr>
      <w:r>
        <w:rPr>
          <w:spacing w:val="2"/>
          <w:sz w:val="20"/>
          <w:szCs w:val="20"/>
        </w:rPr>
        <w:t>(5)主要设备、产品及服务的要求；</w:t>
      </w:r>
    </w:p>
    <w:p w14:paraId="3AD47CB6">
      <w:pPr>
        <w:pStyle w:val="2"/>
        <w:spacing w:before="63" w:line="219" w:lineRule="auto"/>
        <w:ind w:left="749"/>
        <w:rPr>
          <w:sz w:val="20"/>
          <w:szCs w:val="20"/>
        </w:rPr>
      </w:pPr>
      <w:r>
        <w:rPr>
          <w:spacing w:val="3"/>
          <w:sz w:val="20"/>
          <w:szCs w:val="20"/>
        </w:rPr>
        <w:t>(6)验收方法、移交规程；</w:t>
      </w:r>
    </w:p>
    <w:p w14:paraId="1D777DFA">
      <w:pPr>
        <w:pStyle w:val="2"/>
        <w:spacing w:before="73" w:line="219" w:lineRule="auto"/>
        <w:ind w:left="749"/>
        <w:rPr>
          <w:sz w:val="20"/>
          <w:szCs w:val="20"/>
        </w:rPr>
      </w:pPr>
      <w:r>
        <w:rPr>
          <w:spacing w:val="4"/>
          <w:sz w:val="20"/>
          <w:szCs w:val="20"/>
        </w:rPr>
        <w:t>(7)投标文件的要求；</w:t>
      </w:r>
    </w:p>
    <w:p w14:paraId="3CB98B70">
      <w:pPr>
        <w:pStyle w:val="2"/>
        <w:spacing w:before="73" w:line="220" w:lineRule="auto"/>
        <w:ind w:left="749"/>
        <w:rPr>
          <w:sz w:val="20"/>
          <w:szCs w:val="20"/>
        </w:rPr>
      </w:pPr>
      <w:r>
        <w:rPr>
          <w:spacing w:val="4"/>
          <w:sz w:val="20"/>
          <w:szCs w:val="20"/>
        </w:rPr>
        <w:t>(8)分包合同的要求；</w:t>
      </w:r>
    </w:p>
    <w:p w14:paraId="18E3CB6D">
      <w:pPr>
        <w:pStyle w:val="2"/>
        <w:spacing w:before="71" w:line="219" w:lineRule="auto"/>
        <w:ind w:left="749"/>
        <w:rPr>
          <w:sz w:val="20"/>
          <w:szCs w:val="20"/>
        </w:rPr>
      </w:pPr>
      <w:r>
        <w:rPr>
          <w:spacing w:val="3"/>
          <w:sz w:val="20"/>
          <w:szCs w:val="20"/>
        </w:rPr>
        <w:t>(9)合同主要条款约定要求；</w:t>
      </w:r>
    </w:p>
    <w:p w14:paraId="0B1CB70A">
      <w:pPr>
        <w:pStyle w:val="2"/>
        <w:spacing w:before="72" w:line="219" w:lineRule="auto"/>
        <w:ind w:left="749"/>
        <w:rPr>
          <w:sz w:val="20"/>
          <w:szCs w:val="20"/>
        </w:rPr>
      </w:pPr>
      <w:r>
        <w:rPr>
          <w:spacing w:val="3"/>
          <w:sz w:val="20"/>
          <w:szCs w:val="20"/>
        </w:rPr>
        <w:t>(10)可以向所有投标单位公布的有关评分规</w:t>
      </w:r>
      <w:r>
        <w:rPr>
          <w:spacing w:val="2"/>
          <w:sz w:val="20"/>
          <w:szCs w:val="20"/>
        </w:rPr>
        <w:t>则等。</w:t>
      </w:r>
    </w:p>
    <w:p w14:paraId="516B3AE9">
      <w:pPr>
        <w:spacing w:line="219" w:lineRule="auto"/>
        <w:rPr>
          <w:sz w:val="20"/>
          <w:szCs w:val="20"/>
        </w:rPr>
        <w:sectPr>
          <w:pgSz w:w="10300" w:h="13300"/>
          <w:pgMar w:top="400" w:right="979" w:bottom="400" w:left="550" w:header="0" w:footer="0" w:gutter="0"/>
          <w:cols w:space="720" w:num="1"/>
        </w:sectPr>
      </w:pPr>
    </w:p>
    <w:p w14:paraId="51147AA6">
      <w:pPr>
        <w:pStyle w:val="2"/>
        <w:jc w:val="right"/>
        <w:rPr>
          <w:rFonts w:ascii="Times New Roman" w:hAnsi="Times New Roman" w:eastAsia="Times New Roman" w:cs="Times New Roman"/>
          <w:sz w:val="20"/>
          <w:szCs w:val="20"/>
        </w:rPr>
      </w:pPr>
      <w:r>
        <w:rPr>
          <w:spacing w:val="-5"/>
          <w:sz w:val="20"/>
          <w:szCs w:val="20"/>
        </w:rPr>
        <w:t>第21章 基础设施工程监理</w:t>
      </w:r>
      <w:r>
        <w:rPr>
          <w:spacing w:val="45"/>
          <w:sz w:val="20"/>
          <w:szCs w:val="20"/>
        </w:rPr>
        <w:t xml:space="preserve"> </w:t>
      </w:r>
      <w:r>
        <w:rPr>
          <w:position w:val="-10"/>
          <w:sz w:val="20"/>
          <w:szCs w:val="20"/>
        </w:rPr>
        <w:drawing>
          <wp:inline distT="0" distB="0" distL="0" distR="0">
            <wp:extent cx="298450" cy="241300"/>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97"/>
                    <a:stretch>
                      <a:fillRect/>
                    </a:stretch>
                  </pic:blipFill>
                  <pic:spPr>
                    <a:xfrm>
                      <a:off x="0" y="0"/>
                      <a:ext cx="298450" cy="241300"/>
                    </a:xfrm>
                    <a:prstGeom prst="rect">
                      <a:avLst/>
                    </a:prstGeom>
                  </pic:spPr>
                </pic:pic>
              </a:graphicData>
            </a:graphic>
          </wp:inline>
        </w:drawing>
      </w:r>
      <w:r>
        <w:rPr>
          <w:rFonts w:ascii="Times New Roman" w:hAnsi="Times New Roman" w:eastAsia="Times New Roman" w:cs="Times New Roman"/>
          <w:spacing w:val="-5"/>
          <w:position w:val="-3"/>
          <w:sz w:val="20"/>
          <w:szCs w:val="20"/>
        </w:rPr>
        <w:t>473</w:t>
      </w:r>
    </w:p>
    <w:p w14:paraId="145035BA">
      <w:pPr>
        <w:spacing w:line="248" w:lineRule="auto"/>
        <w:rPr>
          <w:rFonts w:ascii="Arial"/>
          <w:sz w:val="21"/>
        </w:rPr>
      </w:pPr>
    </w:p>
    <w:p w14:paraId="6AADF53C">
      <w:pPr>
        <w:pStyle w:val="2"/>
        <w:spacing w:before="65" w:line="222" w:lineRule="auto"/>
        <w:ind w:left="392"/>
        <w:rPr>
          <w:rFonts w:ascii="黑体" w:hAnsi="黑体" w:eastAsia="黑体" w:cs="黑体"/>
          <w:sz w:val="20"/>
          <w:szCs w:val="20"/>
        </w:rPr>
      </w:pPr>
      <w:r>
        <w:rPr>
          <w:b/>
          <w:bCs/>
          <w:color w:val="0081E4"/>
          <w:spacing w:val="-4"/>
          <w:sz w:val="20"/>
          <w:szCs w:val="20"/>
        </w:rPr>
        <w:t>3.</w:t>
      </w:r>
      <w:r>
        <w:rPr>
          <w:rFonts w:ascii="黑体" w:hAnsi="黑体" w:eastAsia="黑体" w:cs="黑体"/>
          <w:b/>
          <w:bCs/>
          <w:color w:val="0081E4"/>
          <w:spacing w:val="-4"/>
          <w:sz w:val="20"/>
          <w:szCs w:val="20"/>
        </w:rPr>
        <w:t>承建合同的监理</w:t>
      </w:r>
    </w:p>
    <w:p w14:paraId="4F1F8CF1">
      <w:pPr>
        <w:pStyle w:val="2"/>
        <w:spacing w:before="161" w:line="219" w:lineRule="auto"/>
        <w:ind w:left="390"/>
        <w:rPr>
          <w:sz w:val="20"/>
          <w:szCs w:val="20"/>
        </w:rPr>
      </w:pPr>
      <w:r>
        <w:rPr>
          <w:spacing w:val="-2"/>
          <w:sz w:val="20"/>
          <w:szCs w:val="20"/>
        </w:rPr>
        <w:t>监理机构参与承建合同的签订，协助业主单位对承建合同的如下内容进行检查：</w:t>
      </w:r>
    </w:p>
    <w:p w14:paraId="0B190004">
      <w:pPr>
        <w:pStyle w:val="2"/>
        <w:spacing w:before="74" w:line="220" w:lineRule="auto"/>
        <w:ind w:left="390"/>
        <w:rPr>
          <w:sz w:val="20"/>
          <w:szCs w:val="20"/>
        </w:rPr>
      </w:pPr>
      <w:r>
        <w:rPr>
          <w:spacing w:val="3"/>
          <w:sz w:val="20"/>
          <w:szCs w:val="20"/>
        </w:rPr>
        <w:t>(1)工程建设目标、范围；</w:t>
      </w:r>
    </w:p>
    <w:p w14:paraId="285D2C06">
      <w:pPr>
        <w:pStyle w:val="2"/>
        <w:spacing w:before="81" w:line="219" w:lineRule="auto"/>
        <w:ind w:left="390"/>
        <w:rPr>
          <w:sz w:val="20"/>
          <w:szCs w:val="20"/>
        </w:rPr>
      </w:pPr>
      <w:r>
        <w:rPr>
          <w:sz w:val="20"/>
          <w:szCs w:val="20"/>
        </w:rPr>
        <w:t>(2)业主单位和承建单位的责任、权利和义务；</w:t>
      </w:r>
    </w:p>
    <w:p w14:paraId="103FA3A9">
      <w:pPr>
        <w:pStyle w:val="2"/>
        <w:spacing w:before="72" w:line="219" w:lineRule="auto"/>
        <w:ind w:left="390"/>
        <w:rPr>
          <w:sz w:val="20"/>
          <w:szCs w:val="20"/>
        </w:rPr>
      </w:pPr>
      <w:r>
        <w:rPr>
          <w:spacing w:val="2"/>
          <w:sz w:val="20"/>
          <w:szCs w:val="20"/>
        </w:rPr>
        <w:t>(3)工程使用的主要技术标准；</w:t>
      </w:r>
    </w:p>
    <w:p w14:paraId="69CDE934">
      <w:pPr>
        <w:pStyle w:val="2"/>
        <w:spacing w:before="83" w:line="219" w:lineRule="auto"/>
        <w:ind w:left="390"/>
        <w:rPr>
          <w:sz w:val="20"/>
          <w:szCs w:val="20"/>
        </w:rPr>
      </w:pPr>
      <w:r>
        <w:rPr>
          <w:spacing w:val="1"/>
          <w:sz w:val="20"/>
          <w:szCs w:val="20"/>
        </w:rPr>
        <w:t>(4)基础设施工程中各系统的功能和性能要求、测试和验收要求；</w:t>
      </w:r>
    </w:p>
    <w:p w14:paraId="54BDE3BD">
      <w:pPr>
        <w:pStyle w:val="2"/>
        <w:spacing w:before="82" w:line="219" w:lineRule="auto"/>
        <w:ind w:left="390"/>
        <w:rPr>
          <w:sz w:val="20"/>
          <w:szCs w:val="20"/>
        </w:rPr>
      </w:pPr>
      <w:r>
        <w:rPr>
          <w:sz w:val="20"/>
          <w:szCs w:val="20"/>
        </w:rPr>
        <w:t>(5)要求承建单位按照项目管理计划实施项目；</w:t>
      </w:r>
    </w:p>
    <w:p w14:paraId="52B3BE25">
      <w:pPr>
        <w:pStyle w:val="2"/>
        <w:spacing w:before="82" w:line="219" w:lineRule="auto"/>
        <w:ind w:left="390"/>
        <w:rPr>
          <w:sz w:val="20"/>
          <w:szCs w:val="20"/>
        </w:rPr>
      </w:pPr>
      <w:r>
        <w:rPr>
          <w:spacing w:val="2"/>
          <w:sz w:val="20"/>
          <w:szCs w:val="20"/>
        </w:rPr>
        <w:t>(6)明确监理机构在工程款支付中的作用和操作手</w:t>
      </w:r>
      <w:r>
        <w:rPr>
          <w:spacing w:val="1"/>
          <w:sz w:val="20"/>
          <w:szCs w:val="20"/>
        </w:rPr>
        <w:t>续；</w:t>
      </w:r>
    </w:p>
    <w:p w14:paraId="52146A54">
      <w:pPr>
        <w:pStyle w:val="2"/>
        <w:spacing w:before="74" w:line="219" w:lineRule="auto"/>
        <w:ind w:left="390"/>
        <w:rPr>
          <w:sz w:val="20"/>
          <w:szCs w:val="20"/>
        </w:rPr>
      </w:pPr>
      <w:r>
        <w:rPr>
          <w:spacing w:val="1"/>
          <w:sz w:val="20"/>
          <w:szCs w:val="20"/>
        </w:rPr>
        <w:t>(7)工程阶段划分及其质量和进度要求，以及和工程付款相关的</w:t>
      </w:r>
      <w:r>
        <w:rPr>
          <w:sz w:val="20"/>
          <w:szCs w:val="20"/>
        </w:rPr>
        <w:t>约束关系；</w:t>
      </w:r>
    </w:p>
    <w:p w14:paraId="7DADD407">
      <w:pPr>
        <w:pStyle w:val="2"/>
        <w:spacing w:before="73" w:line="219" w:lineRule="auto"/>
        <w:ind w:left="390"/>
        <w:rPr>
          <w:sz w:val="20"/>
          <w:szCs w:val="20"/>
        </w:rPr>
      </w:pPr>
      <w:r>
        <w:rPr>
          <w:spacing w:val="1"/>
          <w:sz w:val="20"/>
          <w:szCs w:val="20"/>
        </w:rPr>
        <w:t>(8)主要设备的保修条款以及系统的运行维护等相关服务的要求；</w:t>
      </w:r>
    </w:p>
    <w:p w14:paraId="3D1C4456">
      <w:pPr>
        <w:pStyle w:val="2"/>
        <w:spacing w:before="92" w:line="219" w:lineRule="auto"/>
        <w:ind w:left="390"/>
        <w:rPr>
          <w:sz w:val="20"/>
          <w:szCs w:val="20"/>
        </w:rPr>
      </w:pPr>
      <w:r>
        <w:rPr>
          <w:spacing w:val="1"/>
          <w:sz w:val="20"/>
          <w:szCs w:val="20"/>
        </w:rPr>
        <w:t>(9)各阶段需要承建单位提交的工程文档，及需要完成的培训等相关服务内容；</w:t>
      </w:r>
    </w:p>
    <w:p w14:paraId="173337B9">
      <w:pPr>
        <w:pStyle w:val="2"/>
        <w:spacing w:before="63" w:line="219" w:lineRule="auto"/>
        <w:ind w:left="390"/>
        <w:rPr>
          <w:sz w:val="20"/>
          <w:szCs w:val="20"/>
        </w:rPr>
      </w:pPr>
      <w:r>
        <w:rPr>
          <w:spacing w:val="2"/>
          <w:sz w:val="20"/>
          <w:szCs w:val="20"/>
        </w:rPr>
        <w:t>(10)协助确定合同付款约定；</w:t>
      </w:r>
    </w:p>
    <w:p w14:paraId="41BD993D">
      <w:pPr>
        <w:pStyle w:val="2"/>
        <w:spacing w:before="83" w:line="220" w:lineRule="auto"/>
        <w:ind w:left="390"/>
        <w:rPr>
          <w:sz w:val="20"/>
          <w:szCs w:val="20"/>
        </w:rPr>
      </w:pPr>
      <w:r>
        <w:rPr>
          <w:sz w:val="20"/>
          <w:szCs w:val="20"/>
        </w:rPr>
        <w:t>(11)协助确定合同违约或合同纠纷处理约定；</w:t>
      </w:r>
    </w:p>
    <w:p w14:paraId="384AB353">
      <w:pPr>
        <w:pStyle w:val="2"/>
        <w:spacing w:before="70" w:line="219" w:lineRule="auto"/>
        <w:ind w:left="390"/>
        <w:rPr>
          <w:sz w:val="20"/>
          <w:szCs w:val="20"/>
        </w:rPr>
      </w:pPr>
      <w:r>
        <w:rPr>
          <w:spacing w:val="2"/>
          <w:sz w:val="20"/>
          <w:szCs w:val="20"/>
        </w:rPr>
        <w:t>(12)协助确定合同其他必要约定，或合同附</w:t>
      </w:r>
      <w:r>
        <w:rPr>
          <w:spacing w:val="1"/>
          <w:sz w:val="20"/>
          <w:szCs w:val="20"/>
        </w:rPr>
        <w:t>件有关约定，或合同谈判备忘录等。</w:t>
      </w:r>
    </w:p>
    <w:p w14:paraId="11EF72B4">
      <w:pPr>
        <w:pStyle w:val="2"/>
        <w:spacing w:before="72" w:line="285" w:lineRule="auto"/>
        <w:ind w:right="325" w:firstLine="390"/>
        <w:jc w:val="both"/>
        <w:rPr>
          <w:sz w:val="20"/>
          <w:szCs w:val="20"/>
        </w:rPr>
      </w:pPr>
      <w:r>
        <w:rPr>
          <w:spacing w:val="8"/>
          <w:sz w:val="20"/>
          <w:szCs w:val="20"/>
        </w:rPr>
        <w:t>对于第(10)项工作，可参考《建设工程价款结算管理暂</w:t>
      </w:r>
      <w:r>
        <w:rPr>
          <w:spacing w:val="7"/>
          <w:sz w:val="20"/>
          <w:szCs w:val="20"/>
        </w:rPr>
        <w:t>行办法》的规定，包工包料工程</w:t>
      </w:r>
      <w:r>
        <w:rPr>
          <w:sz w:val="20"/>
          <w:szCs w:val="20"/>
        </w:rPr>
        <w:t xml:space="preserve"> </w:t>
      </w:r>
      <w:r>
        <w:rPr>
          <w:spacing w:val="12"/>
          <w:sz w:val="20"/>
          <w:szCs w:val="20"/>
        </w:rPr>
        <w:t>的预付款原则上预付比例宜不低于合同金额的10%,不高于</w:t>
      </w:r>
      <w:r>
        <w:rPr>
          <w:spacing w:val="11"/>
          <w:sz w:val="20"/>
          <w:szCs w:val="20"/>
        </w:rPr>
        <w:t>合同金额的30%;进度款按不低于</w:t>
      </w:r>
      <w:r>
        <w:rPr>
          <w:sz w:val="20"/>
          <w:szCs w:val="20"/>
        </w:rPr>
        <w:t xml:space="preserve"> </w:t>
      </w:r>
      <w:r>
        <w:rPr>
          <w:spacing w:val="10"/>
          <w:sz w:val="20"/>
          <w:szCs w:val="20"/>
        </w:rPr>
        <w:t>工程价款的60%,不高于工程价款的90%向承包人支付工程进度款。</w:t>
      </w:r>
    </w:p>
    <w:p w14:paraId="544194DD">
      <w:pPr>
        <w:spacing w:before="8" w:line="277" w:lineRule="auto"/>
        <w:ind w:right="322" w:firstLine="290"/>
        <w:jc w:val="both"/>
        <w:rPr>
          <w:rFonts w:ascii="楷体" w:hAnsi="楷体" w:eastAsia="楷体" w:cs="楷体"/>
          <w:sz w:val="20"/>
          <w:szCs w:val="20"/>
        </w:rPr>
      </w:pPr>
      <w:r>
        <w:rPr>
          <w:rFonts w:ascii="黑体" w:hAnsi="黑体" w:eastAsia="黑体" w:cs="黑体"/>
          <w:spacing w:val="6"/>
          <w:sz w:val="20"/>
          <w:szCs w:val="20"/>
        </w:rPr>
        <w:t>【案例1】</w:t>
      </w:r>
      <w:r>
        <w:rPr>
          <w:rFonts w:ascii="黑体" w:hAnsi="黑体" w:eastAsia="黑体" w:cs="黑体"/>
          <w:spacing w:val="-20"/>
          <w:sz w:val="20"/>
          <w:szCs w:val="20"/>
        </w:rPr>
        <w:t xml:space="preserve"> </w:t>
      </w:r>
      <w:r>
        <w:rPr>
          <w:rFonts w:ascii="楷体" w:hAnsi="楷体" w:eastAsia="楷体" w:cs="楷体"/>
          <w:spacing w:val="6"/>
          <w:sz w:val="20"/>
          <w:szCs w:val="20"/>
        </w:rPr>
        <w:t>某监理单位承担某市××工程的监理工作。在该工程招投</w:t>
      </w:r>
      <w:r>
        <w:rPr>
          <w:rFonts w:ascii="楷体" w:hAnsi="楷体" w:eastAsia="楷体" w:cs="楷体"/>
          <w:spacing w:val="5"/>
          <w:sz w:val="20"/>
          <w:szCs w:val="20"/>
        </w:rPr>
        <w:t>标阶段，业主单位要</w:t>
      </w:r>
      <w:r>
        <w:rPr>
          <w:rFonts w:ascii="楷体" w:hAnsi="楷体" w:eastAsia="楷体" w:cs="楷体"/>
          <w:sz w:val="20"/>
          <w:szCs w:val="20"/>
        </w:rPr>
        <w:t xml:space="preserve"> </w:t>
      </w:r>
      <w:r>
        <w:rPr>
          <w:rFonts w:ascii="楷体" w:hAnsi="楷体" w:eastAsia="楷体" w:cs="楷体"/>
          <w:spacing w:val="3"/>
          <w:sz w:val="20"/>
          <w:szCs w:val="20"/>
        </w:rPr>
        <w:t>求监理机构协助开展招标工作，包括编制项目的</w:t>
      </w:r>
      <w:r>
        <w:rPr>
          <w:rFonts w:ascii="楷体" w:hAnsi="楷体" w:eastAsia="楷体" w:cs="楷体"/>
          <w:spacing w:val="2"/>
          <w:sz w:val="20"/>
          <w:szCs w:val="20"/>
        </w:rPr>
        <w:t>工作计划，开展合同谈判并提出合同评审意见</w:t>
      </w:r>
      <w:r>
        <w:rPr>
          <w:rFonts w:ascii="楷体" w:hAnsi="楷体" w:eastAsia="楷体" w:cs="楷体"/>
          <w:sz w:val="20"/>
          <w:szCs w:val="20"/>
        </w:rPr>
        <w:t xml:space="preserve"> </w:t>
      </w:r>
      <w:r>
        <w:rPr>
          <w:rFonts w:ascii="楷体" w:hAnsi="楷体" w:eastAsia="楷体" w:cs="楷体"/>
          <w:spacing w:val="2"/>
          <w:sz w:val="20"/>
          <w:szCs w:val="20"/>
        </w:rPr>
        <w:t>等。监理机构为此提出阶段性工作方案，明确项目工作计划的编制提纲及要求，同时对合同谈</w:t>
      </w:r>
      <w:r>
        <w:rPr>
          <w:rFonts w:ascii="楷体" w:hAnsi="楷体" w:eastAsia="楷体" w:cs="楷体"/>
          <w:spacing w:val="14"/>
          <w:sz w:val="20"/>
          <w:szCs w:val="20"/>
        </w:rPr>
        <w:t xml:space="preserve"> </w:t>
      </w:r>
      <w:r>
        <w:rPr>
          <w:rFonts w:ascii="楷体" w:hAnsi="楷体" w:eastAsia="楷体" w:cs="楷体"/>
          <w:spacing w:val="-1"/>
          <w:sz w:val="20"/>
          <w:szCs w:val="20"/>
        </w:rPr>
        <w:t>判及合同审查工作提出监理工作要点，交予业主单位审查确认，便于顺利开展具体工作。</w:t>
      </w:r>
    </w:p>
    <w:p w14:paraId="230CDCEE">
      <w:pPr>
        <w:spacing w:before="50" w:line="220" w:lineRule="auto"/>
        <w:ind w:left="390"/>
        <w:rPr>
          <w:rFonts w:ascii="楷体" w:hAnsi="楷体" w:eastAsia="楷体" w:cs="楷体"/>
          <w:sz w:val="20"/>
          <w:szCs w:val="20"/>
        </w:rPr>
      </w:pPr>
      <w:r>
        <w:rPr>
          <w:rFonts w:ascii="楷体" w:hAnsi="楷体" w:eastAsia="楷体" w:cs="楷体"/>
          <w:spacing w:val="2"/>
          <w:sz w:val="20"/>
          <w:szCs w:val="20"/>
        </w:rPr>
        <w:t>(1)在工作方案中，提出涉及工作计划编制要求的有关</w:t>
      </w:r>
      <w:r>
        <w:rPr>
          <w:rFonts w:ascii="楷体" w:hAnsi="楷体" w:eastAsia="楷体" w:cs="楷体"/>
          <w:spacing w:val="1"/>
          <w:sz w:val="20"/>
          <w:szCs w:val="20"/>
        </w:rPr>
        <w:t>内容，具体如下：</w:t>
      </w:r>
    </w:p>
    <w:p w14:paraId="19F9B1FC">
      <w:pPr>
        <w:spacing w:before="87" w:line="225" w:lineRule="auto"/>
        <w:ind w:left="390"/>
        <w:rPr>
          <w:rFonts w:ascii="楷体" w:hAnsi="楷体" w:eastAsia="楷体" w:cs="楷体"/>
          <w:sz w:val="20"/>
          <w:szCs w:val="20"/>
        </w:rPr>
      </w:pPr>
      <w:r>
        <w:rPr>
          <w:rFonts w:ascii="楷体" w:hAnsi="楷体" w:eastAsia="楷体" w:cs="楷体"/>
          <w:spacing w:val="2"/>
          <w:sz w:val="20"/>
          <w:szCs w:val="20"/>
        </w:rPr>
        <w:t>●工程建设内容的认识和理解；</w:t>
      </w:r>
    </w:p>
    <w:p w14:paraId="222D2C5D">
      <w:pPr>
        <w:spacing w:before="74" w:line="223" w:lineRule="auto"/>
        <w:ind w:left="390"/>
        <w:rPr>
          <w:rFonts w:ascii="楷体" w:hAnsi="楷体" w:eastAsia="楷体" w:cs="楷体"/>
          <w:sz w:val="20"/>
          <w:szCs w:val="20"/>
        </w:rPr>
      </w:pPr>
      <w:r>
        <w:rPr>
          <w:rFonts w:ascii="楷体" w:hAnsi="楷体" w:eastAsia="楷体" w:cs="楷体"/>
          <w:spacing w:val="1"/>
          <w:sz w:val="20"/>
          <w:szCs w:val="20"/>
        </w:rPr>
        <w:t>●工程建设的准备工作及相关约束；</w:t>
      </w:r>
    </w:p>
    <w:p w14:paraId="0380EA8B">
      <w:pPr>
        <w:spacing w:before="65" w:line="220" w:lineRule="auto"/>
        <w:ind w:left="390"/>
        <w:rPr>
          <w:rFonts w:ascii="楷体" w:hAnsi="楷体" w:eastAsia="楷体" w:cs="楷体"/>
          <w:sz w:val="20"/>
          <w:szCs w:val="20"/>
        </w:rPr>
      </w:pPr>
      <w:r>
        <w:rPr>
          <w:rFonts w:ascii="楷体" w:hAnsi="楷体" w:eastAsia="楷体" w:cs="楷体"/>
          <w:spacing w:val="1"/>
          <w:sz w:val="20"/>
          <w:szCs w:val="20"/>
        </w:rPr>
        <w:t>●总包、分包方式，必要的技术集成思路；</w:t>
      </w:r>
    </w:p>
    <w:p w14:paraId="34245D8B">
      <w:pPr>
        <w:spacing w:before="85" w:line="223" w:lineRule="auto"/>
        <w:ind w:left="390"/>
        <w:rPr>
          <w:rFonts w:ascii="楷体" w:hAnsi="楷体" w:eastAsia="楷体" w:cs="楷体"/>
          <w:sz w:val="20"/>
          <w:szCs w:val="20"/>
        </w:rPr>
      </w:pPr>
      <w:r>
        <w:rPr>
          <w:rFonts w:ascii="楷体" w:hAnsi="楷体" w:eastAsia="楷体" w:cs="楷体"/>
          <w:spacing w:val="1"/>
          <w:sz w:val="20"/>
          <w:szCs w:val="20"/>
        </w:rPr>
        <w:t>●总体技术建设思路和技术管理规划；</w:t>
      </w:r>
    </w:p>
    <w:p w14:paraId="61629CDA">
      <w:pPr>
        <w:spacing w:before="78" w:line="223" w:lineRule="auto"/>
        <w:ind w:left="390"/>
        <w:rPr>
          <w:rFonts w:ascii="楷体" w:hAnsi="楷体" w:eastAsia="楷体" w:cs="楷体"/>
          <w:sz w:val="20"/>
          <w:szCs w:val="20"/>
        </w:rPr>
      </w:pPr>
      <w:r>
        <w:rPr>
          <w:rFonts w:ascii="楷体" w:hAnsi="楷体" w:eastAsia="楷体" w:cs="楷体"/>
          <w:spacing w:val="5"/>
          <w:sz w:val="20"/>
          <w:szCs w:val="20"/>
        </w:rPr>
        <w:t>●组织管理措施；</w:t>
      </w:r>
    </w:p>
    <w:p w14:paraId="6465FF18">
      <w:pPr>
        <w:spacing w:before="79" w:line="223" w:lineRule="auto"/>
        <w:ind w:left="390"/>
        <w:rPr>
          <w:rFonts w:ascii="楷体" w:hAnsi="楷体" w:eastAsia="楷体" w:cs="楷体"/>
          <w:sz w:val="20"/>
          <w:szCs w:val="20"/>
        </w:rPr>
      </w:pPr>
      <w:r>
        <w:rPr>
          <w:rFonts w:ascii="楷体" w:hAnsi="楷体" w:eastAsia="楷体" w:cs="楷体"/>
          <w:spacing w:val="5"/>
          <w:sz w:val="20"/>
          <w:szCs w:val="20"/>
        </w:rPr>
        <w:t>●质量管理计划；</w:t>
      </w:r>
    </w:p>
    <w:p w14:paraId="7C883308">
      <w:pPr>
        <w:pStyle w:val="2"/>
        <w:spacing w:before="78" w:line="222" w:lineRule="auto"/>
        <w:ind w:left="390"/>
        <w:rPr>
          <w:rFonts w:ascii="楷体" w:hAnsi="楷体" w:eastAsia="楷体" w:cs="楷体"/>
          <w:sz w:val="20"/>
          <w:szCs w:val="20"/>
        </w:rPr>
      </w:pPr>
      <w:r>
        <w:rPr>
          <w:rFonts w:ascii="楷体" w:hAnsi="楷体" w:eastAsia="楷体" w:cs="楷体"/>
          <w:spacing w:val="3"/>
          <w:sz w:val="20"/>
          <w:szCs w:val="20"/>
        </w:rPr>
        <w:t>●进度计划及图表</w:t>
      </w:r>
      <w:r>
        <w:rPr>
          <w:spacing w:val="3"/>
          <w:sz w:val="20"/>
          <w:szCs w:val="20"/>
        </w:rPr>
        <w:t>(</w:t>
      </w:r>
      <w:r>
        <w:rPr>
          <w:sz w:val="20"/>
          <w:szCs w:val="20"/>
        </w:rPr>
        <w:t>WBS</w:t>
      </w:r>
      <w:r>
        <w:rPr>
          <w:spacing w:val="3"/>
          <w:sz w:val="20"/>
          <w:szCs w:val="20"/>
        </w:rPr>
        <w:t xml:space="preserve">、  </w:t>
      </w:r>
      <w:r>
        <w:rPr>
          <w:rFonts w:ascii="楷体" w:hAnsi="楷体" w:eastAsia="楷体" w:cs="楷体"/>
          <w:spacing w:val="3"/>
          <w:sz w:val="20"/>
          <w:szCs w:val="20"/>
        </w:rPr>
        <w:t>关键节点、对应成果物、责任人、关联任务等);</w:t>
      </w:r>
    </w:p>
    <w:p w14:paraId="7ADEEB77">
      <w:pPr>
        <w:spacing w:before="85" w:line="228" w:lineRule="auto"/>
        <w:ind w:left="390"/>
        <w:rPr>
          <w:rFonts w:ascii="楷体" w:hAnsi="楷体" w:eastAsia="楷体" w:cs="楷体"/>
          <w:sz w:val="20"/>
          <w:szCs w:val="20"/>
        </w:rPr>
      </w:pPr>
      <w:r>
        <w:rPr>
          <w:rFonts w:ascii="楷体" w:hAnsi="楷体" w:eastAsia="楷体" w:cs="楷体"/>
          <w:spacing w:val="3"/>
          <w:sz w:val="20"/>
          <w:szCs w:val="20"/>
        </w:rPr>
        <w:t>●工程建设的阶段划分；</w:t>
      </w:r>
    </w:p>
    <w:p w14:paraId="67B41F71">
      <w:pPr>
        <w:spacing w:before="61" w:line="226" w:lineRule="auto"/>
        <w:ind w:left="390"/>
        <w:rPr>
          <w:rFonts w:ascii="楷体" w:hAnsi="楷体" w:eastAsia="楷体" w:cs="楷体"/>
          <w:sz w:val="20"/>
          <w:szCs w:val="20"/>
        </w:rPr>
      </w:pPr>
      <w:r>
        <w:rPr>
          <w:rFonts w:ascii="楷体" w:hAnsi="楷体" w:eastAsia="楷体" w:cs="楷体"/>
          <w:spacing w:val="3"/>
          <w:sz w:val="20"/>
          <w:szCs w:val="20"/>
        </w:rPr>
        <w:t>●验收形式、验收要求等。</w:t>
      </w:r>
    </w:p>
    <w:p w14:paraId="52AE356B">
      <w:pPr>
        <w:spacing w:before="72" w:line="223" w:lineRule="auto"/>
        <w:ind w:left="390"/>
        <w:rPr>
          <w:rFonts w:ascii="楷体" w:hAnsi="楷体" w:eastAsia="楷体" w:cs="楷体"/>
          <w:sz w:val="20"/>
          <w:szCs w:val="20"/>
        </w:rPr>
      </w:pPr>
      <w:r>
        <w:rPr>
          <w:rFonts w:ascii="楷体" w:hAnsi="楷体" w:eastAsia="楷体" w:cs="楷体"/>
          <w:spacing w:val="3"/>
          <w:sz w:val="20"/>
          <w:szCs w:val="20"/>
        </w:rPr>
        <w:t>(2)合同谈判的工作要点主要有：</w:t>
      </w:r>
    </w:p>
    <w:p w14:paraId="445B5DA7">
      <w:pPr>
        <w:spacing w:before="68" w:line="223" w:lineRule="auto"/>
        <w:ind w:left="390"/>
        <w:rPr>
          <w:rFonts w:ascii="楷体" w:hAnsi="楷体" w:eastAsia="楷体" w:cs="楷体"/>
          <w:sz w:val="20"/>
          <w:szCs w:val="20"/>
        </w:rPr>
      </w:pPr>
      <w:r>
        <w:rPr>
          <w:rFonts w:ascii="楷体" w:hAnsi="楷体" w:eastAsia="楷体" w:cs="楷体"/>
          <w:spacing w:val="1"/>
          <w:sz w:val="20"/>
          <w:szCs w:val="20"/>
        </w:rPr>
        <w:t>●核查合同谈判涉及的建设内容的符合性；</w:t>
      </w:r>
    </w:p>
    <w:p w14:paraId="2DE0B914">
      <w:pPr>
        <w:spacing w:before="68" w:line="223" w:lineRule="auto"/>
        <w:ind w:left="390"/>
        <w:rPr>
          <w:rFonts w:ascii="楷体" w:hAnsi="楷体" w:eastAsia="楷体" w:cs="楷体"/>
          <w:sz w:val="20"/>
          <w:szCs w:val="20"/>
        </w:rPr>
      </w:pPr>
      <w:r>
        <w:rPr>
          <w:rFonts w:ascii="楷体" w:hAnsi="楷体" w:eastAsia="楷体" w:cs="楷体"/>
          <w:spacing w:val="2"/>
          <w:sz w:val="20"/>
          <w:szCs w:val="20"/>
        </w:rPr>
        <w:t>●记录合同谈判双方议定的事项及有关约束；</w:t>
      </w:r>
    </w:p>
    <w:p w14:paraId="3F400201">
      <w:pPr>
        <w:spacing w:before="79" w:line="223" w:lineRule="auto"/>
        <w:ind w:left="390"/>
        <w:rPr>
          <w:rFonts w:ascii="楷体" w:hAnsi="楷体" w:eastAsia="楷体" w:cs="楷体"/>
          <w:sz w:val="20"/>
          <w:szCs w:val="20"/>
        </w:rPr>
      </w:pPr>
      <w:r>
        <w:rPr>
          <w:rFonts w:ascii="楷体" w:hAnsi="楷体" w:eastAsia="楷体" w:cs="楷体"/>
          <w:spacing w:val="3"/>
          <w:sz w:val="20"/>
          <w:szCs w:val="20"/>
        </w:rPr>
        <w:t>●形成合同谈判备忘录。</w:t>
      </w:r>
    </w:p>
    <w:p w14:paraId="0141BB52">
      <w:pPr>
        <w:spacing w:before="68" w:line="223" w:lineRule="auto"/>
        <w:ind w:left="390"/>
        <w:rPr>
          <w:rFonts w:ascii="楷体" w:hAnsi="楷体" w:eastAsia="楷体" w:cs="楷体"/>
          <w:sz w:val="20"/>
          <w:szCs w:val="20"/>
        </w:rPr>
      </w:pPr>
      <w:r>
        <w:rPr>
          <w:rFonts w:ascii="楷体" w:hAnsi="楷体" w:eastAsia="楷体" w:cs="楷体"/>
          <w:spacing w:val="3"/>
          <w:sz w:val="20"/>
          <w:szCs w:val="20"/>
        </w:rPr>
        <w:t>(3)合同审查的工作要点主要有：</w:t>
      </w:r>
    </w:p>
    <w:p w14:paraId="15BAFEF5">
      <w:pPr>
        <w:spacing w:line="223" w:lineRule="auto"/>
        <w:rPr>
          <w:rFonts w:ascii="楷体" w:hAnsi="楷体" w:eastAsia="楷体" w:cs="楷体"/>
          <w:sz w:val="20"/>
          <w:szCs w:val="20"/>
        </w:rPr>
        <w:sectPr>
          <w:pgSz w:w="10280" w:h="13310"/>
          <w:pgMar w:top="360" w:right="553" w:bottom="400" w:left="1099" w:header="0" w:footer="0" w:gutter="0"/>
          <w:cols w:space="720" w:num="1"/>
        </w:sectPr>
      </w:pPr>
    </w:p>
    <w:p w14:paraId="215F95A3">
      <w:pPr>
        <w:pStyle w:val="2"/>
        <w:spacing w:before="78" w:line="219" w:lineRule="auto"/>
        <w:rPr>
          <w:sz w:val="20"/>
          <w:szCs w:val="20"/>
        </w:rPr>
      </w:pPr>
      <w:r>
        <w:rPr>
          <w:rFonts w:ascii="Times New Roman" w:hAnsi="Times New Roman" w:eastAsia="Times New Roman" w:cs="Times New Roman"/>
          <w:spacing w:val="-2"/>
          <w:position w:val="-4"/>
          <w:sz w:val="20"/>
          <w:szCs w:val="20"/>
        </w:rPr>
        <w:t xml:space="preserve">474              </w:t>
      </w:r>
      <w:r>
        <w:rPr>
          <w:spacing w:val="-2"/>
          <w:sz w:val="20"/>
          <w:szCs w:val="20"/>
        </w:rPr>
        <w:t>信息系统监理师教程(第2版)</w:t>
      </w:r>
    </w:p>
    <w:p w14:paraId="19897934">
      <w:pPr>
        <w:spacing w:line="290" w:lineRule="auto"/>
        <w:rPr>
          <w:rFonts w:ascii="Arial"/>
          <w:sz w:val="21"/>
        </w:rPr>
      </w:pPr>
    </w:p>
    <w:p w14:paraId="246FDD9F">
      <w:pPr>
        <w:spacing w:before="65" w:line="227" w:lineRule="auto"/>
        <w:ind w:left="760"/>
        <w:rPr>
          <w:rFonts w:ascii="楷体" w:hAnsi="楷体" w:eastAsia="楷体" w:cs="楷体"/>
          <w:sz w:val="20"/>
          <w:szCs w:val="20"/>
        </w:rPr>
      </w:pPr>
      <w:r>
        <w:rPr>
          <w:rFonts w:ascii="楷体" w:hAnsi="楷体" w:eastAsia="楷体" w:cs="楷体"/>
          <w:spacing w:val="3"/>
          <w:sz w:val="20"/>
          <w:szCs w:val="20"/>
        </w:rPr>
        <w:t>●工程/项目的建设目标、范围是否与招投标文件一致；</w:t>
      </w:r>
    </w:p>
    <w:p w14:paraId="7B0F2A42">
      <w:pPr>
        <w:spacing w:before="81" w:line="224" w:lineRule="auto"/>
        <w:ind w:left="760"/>
        <w:rPr>
          <w:rFonts w:ascii="楷体" w:hAnsi="楷体" w:eastAsia="楷体" w:cs="楷体"/>
          <w:sz w:val="20"/>
          <w:szCs w:val="20"/>
        </w:rPr>
      </w:pPr>
      <w:r>
        <w:rPr>
          <w:rFonts w:ascii="楷体" w:hAnsi="楷体" w:eastAsia="楷体" w:cs="楷体"/>
          <w:spacing w:val="1"/>
          <w:sz w:val="20"/>
          <w:szCs w:val="20"/>
        </w:rPr>
        <w:t>●是否明确了业主单位和承建单位的责任、</w:t>
      </w:r>
      <w:r>
        <w:rPr>
          <w:rFonts w:ascii="楷体" w:hAnsi="楷体" w:eastAsia="楷体" w:cs="楷体"/>
          <w:sz w:val="20"/>
          <w:szCs w:val="20"/>
        </w:rPr>
        <w:t>权利和义务；</w:t>
      </w:r>
    </w:p>
    <w:p w14:paraId="066B66BC">
      <w:pPr>
        <w:spacing w:before="68" w:line="227" w:lineRule="auto"/>
        <w:ind w:left="760"/>
        <w:rPr>
          <w:rFonts w:ascii="楷体" w:hAnsi="楷体" w:eastAsia="楷体" w:cs="楷体"/>
          <w:sz w:val="20"/>
          <w:szCs w:val="20"/>
        </w:rPr>
      </w:pPr>
      <w:r>
        <w:rPr>
          <w:rFonts w:ascii="楷体" w:hAnsi="楷体" w:eastAsia="楷体" w:cs="楷体"/>
          <w:sz w:val="20"/>
          <w:szCs w:val="20"/>
        </w:rPr>
        <w:t>●项目拟采用的主要技术标准是否满足要求；</w:t>
      </w:r>
    </w:p>
    <w:p w14:paraId="37C66958">
      <w:pPr>
        <w:spacing w:before="90" w:line="223" w:lineRule="auto"/>
        <w:ind w:left="760"/>
        <w:rPr>
          <w:rFonts w:ascii="楷体" w:hAnsi="楷体" w:eastAsia="楷体" w:cs="楷体"/>
          <w:sz w:val="20"/>
          <w:szCs w:val="20"/>
        </w:rPr>
      </w:pPr>
      <w:r>
        <w:rPr>
          <w:rFonts w:ascii="楷体" w:hAnsi="楷体" w:eastAsia="楷体" w:cs="楷体"/>
          <w:spacing w:val="1"/>
          <w:sz w:val="20"/>
          <w:szCs w:val="20"/>
        </w:rPr>
        <w:t>●是否明确了基础设施工程各系统的功能和性能要求、测试和验</w:t>
      </w:r>
      <w:r>
        <w:rPr>
          <w:rFonts w:ascii="楷体" w:hAnsi="楷体" w:eastAsia="楷体" w:cs="楷体"/>
          <w:sz w:val="20"/>
          <w:szCs w:val="20"/>
        </w:rPr>
        <w:t>收要求；</w:t>
      </w:r>
    </w:p>
    <w:p w14:paraId="1F4075DC">
      <w:pPr>
        <w:spacing w:before="89" w:line="223" w:lineRule="auto"/>
        <w:ind w:left="760"/>
        <w:rPr>
          <w:rFonts w:ascii="楷体" w:hAnsi="楷体" w:eastAsia="楷体" w:cs="楷体"/>
          <w:sz w:val="20"/>
          <w:szCs w:val="20"/>
        </w:rPr>
      </w:pPr>
      <w:r>
        <w:rPr>
          <w:rFonts w:ascii="楷体" w:hAnsi="楷体" w:eastAsia="楷体" w:cs="楷体"/>
          <w:spacing w:val="1"/>
          <w:sz w:val="20"/>
          <w:szCs w:val="20"/>
        </w:rPr>
        <w:t>●是否有对承建单位未按照项目管理计划实施工程的违约条款；</w:t>
      </w:r>
    </w:p>
    <w:p w14:paraId="49C88564">
      <w:pPr>
        <w:spacing w:before="78" w:line="223" w:lineRule="auto"/>
        <w:ind w:left="760"/>
        <w:rPr>
          <w:rFonts w:ascii="楷体" w:hAnsi="楷体" w:eastAsia="楷体" w:cs="楷体"/>
          <w:sz w:val="20"/>
          <w:szCs w:val="20"/>
        </w:rPr>
      </w:pPr>
      <w:r>
        <w:rPr>
          <w:rFonts w:ascii="楷体" w:hAnsi="楷体" w:eastAsia="楷体" w:cs="楷体"/>
          <w:sz w:val="20"/>
          <w:szCs w:val="20"/>
        </w:rPr>
        <w:t>●是否明确了监理机构在工程款支付中的作用和操作手续；</w:t>
      </w:r>
    </w:p>
    <w:p w14:paraId="120AAF67">
      <w:pPr>
        <w:spacing w:before="95" w:line="220" w:lineRule="auto"/>
        <w:ind w:left="760"/>
        <w:rPr>
          <w:rFonts w:ascii="楷体" w:hAnsi="楷体" w:eastAsia="楷体" w:cs="楷体"/>
          <w:sz w:val="20"/>
          <w:szCs w:val="20"/>
        </w:rPr>
      </w:pPr>
      <w:r>
        <w:rPr>
          <w:rFonts w:ascii="楷体" w:hAnsi="楷体" w:eastAsia="楷体" w:cs="楷体"/>
          <w:spacing w:val="3"/>
          <w:sz w:val="20"/>
          <w:szCs w:val="20"/>
        </w:rPr>
        <w:t>●对工程/项目的阶段划分、质量和进度要求，以及与工程款支</w:t>
      </w:r>
      <w:r>
        <w:rPr>
          <w:rFonts w:ascii="楷体" w:hAnsi="楷体" w:eastAsia="楷体" w:cs="楷体"/>
          <w:spacing w:val="2"/>
          <w:sz w:val="20"/>
          <w:szCs w:val="20"/>
        </w:rPr>
        <w:t>付的约束关系；</w:t>
      </w:r>
    </w:p>
    <w:p w14:paraId="02A16E69">
      <w:pPr>
        <w:spacing w:before="85" w:line="223" w:lineRule="auto"/>
        <w:ind w:left="760"/>
        <w:rPr>
          <w:rFonts w:ascii="楷体" w:hAnsi="楷体" w:eastAsia="楷体" w:cs="楷体"/>
          <w:sz w:val="20"/>
          <w:szCs w:val="20"/>
        </w:rPr>
      </w:pPr>
      <w:r>
        <w:rPr>
          <w:rFonts w:ascii="楷体" w:hAnsi="楷体" w:eastAsia="楷体" w:cs="楷体"/>
          <w:spacing w:val="1"/>
          <w:sz w:val="20"/>
          <w:szCs w:val="20"/>
        </w:rPr>
        <w:t>●有关需要完成的培训等相关服务的约束条款；</w:t>
      </w:r>
    </w:p>
    <w:p w14:paraId="75A1063C">
      <w:pPr>
        <w:spacing w:before="95" w:line="220" w:lineRule="auto"/>
        <w:ind w:left="760"/>
        <w:rPr>
          <w:rFonts w:ascii="楷体" w:hAnsi="楷体" w:eastAsia="楷体" w:cs="楷体"/>
          <w:sz w:val="20"/>
          <w:szCs w:val="20"/>
        </w:rPr>
      </w:pPr>
      <w:r>
        <w:rPr>
          <w:rFonts w:ascii="楷体" w:hAnsi="楷体" w:eastAsia="楷体" w:cs="楷体"/>
          <w:spacing w:val="1"/>
          <w:sz w:val="20"/>
          <w:szCs w:val="20"/>
        </w:rPr>
        <w:t>●是否有对主要设备的保修条款，以及系统运行维护相关的服务</w:t>
      </w:r>
      <w:r>
        <w:rPr>
          <w:rFonts w:ascii="楷体" w:hAnsi="楷体" w:eastAsia="楷体" w:cs="楷体"/>
          <w:sz w:val="20"/>
          <w:szCs w:val="20"/>
        </w:rPr>
        <w:t>要求；</w:t>
      </w:r>
    </w:p>
    <w:p w14:paraId="5F87579D">
      <w:pPr>
        <w:spacing w:before="76" w:line="224" w:lineRule="auto"/>
        <w:ind w:left="760"/>
        <w:rPr>
          <w:rFonts w:ascii="楷体" w:hAnsi="楷体" w:eastAsia="楷体" w:cs="楷体"/>
          <w:sz w:val="20"/>
          <w:szCs w:val="20"/>
        </w:rPr>
      </w:pPr>
      <w:r>
        <w:rPr>
          <w:rFonts w:ascii="楷体" w:hAnsi="楷体" w:eastAsia="楷体" w:cs="楷体"/>
          <w:spacing w:val="1"/>
          <w:sz w:val="20"/>
          <w:szCs w:val="20"/>
        </w:rPr>
        <w:t>●是否明确了承建单位各阶段需要提交的项</w:t>
      </w:r>
      <w:r>
        <w:rPr>
          <w:rFonts w:ascii="楷体" w:hAnsi="楷体" w:eastAsia="楷体" w:cs="楷体"/>
          <w:sz w:val="20"/>
          <w:szCs w:val="20"/>
        </w:rPr>
        <w:t>目文档；</w:t>
      </w:r>
    </w:p>
    <w:p w14:paraId="3C594D81">
      <w:pPr>
        <w:spacing w:before="90" w:line="226" w:lineRule="auto"/>
        <w:ind w:left="760"/>
        <w:rPr>
          <w:rFonts w:ascii="楷体" w:hAnsi="楷体" w:eastAsia="楷体" w:cs="楷体"/>
          <w:sz w:val="20"/>
          <w:szCs w:val="20"/>
        </w:rPr>
      </w:pPr>
      <w:r>
        <w:rPr>
          <w:rFonts w:ascii="楷体" w:hAnsi="楷体" w:eastAsia="楷体" w:cs="楷体"/>
          <w:spacing w:val="1"/>
          <w:sz w:val="20"/>
          <w:szCs w:val="20"/>
        </w:rPr>
        <w:t>●是否明确了工程变更的处理程序等。</w:t>
      </w:r>
    </w:p>
    <w:p w14:paraId="771FC00A">
      <w:pPr>
        <w:spacing w:line="338" w:lineRule="auto"/>
        <w:rPr>
          <w:rFonts w:ascii="Arial"/>
          <w:sz w:val="21"/>
        </w:rPr>
      </w:pPr>
    </w:p>
    <w:p w14:paraId="1E11E506">
      <w:pPr>
        <w:pStyle w:val="2"/>
        <w:spacing w:before="94" w:line="222" w:lineRule="auto"/>
        <w:ind w:left="364"/>
        <w:rPr>
          <w:rFonts w:ascii="黑体" w:hAnsi="黑体" w:eastAsia="黑体" w:cs="黑体"/>
          <w:sz w:val="29"/>
          <w:szCs w:val="29"/>
        </w:rPr>
      </w:pPr>
      <w:r>
        <w:rPr>
          <w:b/>
          <w:bCs/>
          <w:color w:val="0070E0"/>
          <w:spacing w:val="-11"/>
          <w:sz w:val="29"/>
          <w:szCs w:val="29"/>
        </w:rPr>
        <w:t>21.3</w:t>
      </w:r>
      <w:r>
        <w:rPr>
          <w:color w:val="0070E0"/>
          <w:spacing w:val="107"/>
          <w:sz w:val="29"/>
          <w:szCs w:val="29"/>
        </w:rPr>
        <w:t xml:space="preserve"> </w:t>
      </w:r>
      <w:r>
        <w:rPr>
          <w:rFonts w:ascii="黑体" w:hAnsi="黑体" w:eastAsia="黑体" w:cs="黑体"/>
          <w:b/>
          <w:bCs/>
          <w:color w:val="0070E0"/>
          <w:spacing w:val="-11"/>
          <w:sz w:val="29"/>
          <w:szCs w:val="29"/>
        </w:rPr>
        <w:t>设计阶段监理工作</w:t>
      </w:r>
    </w:p>
    <w:p w14:paraId="022FA339">
      <w:pPr>
        <w:pStyle w:val="2"/>
        <w:spacing w:before="253" w:line="219" w:lineRule="auto"/>
        <w:ind w:left="760"/>
        <w:rPr>
          <w:sz w:val="20"/>
          <w:szCs w:val="20"/>
        </w:rPr>
      </w:pPr>
      <w:r>
        <w:rPr>
          <w:spacing w:val="-1"/>
          <w:sz w:val="20"/>
          <w:szCs w:val="20"/>
        </w:rPr>
        <w:t>本节重点介绍监理单位在基础设施工程设计阶段需要执行的监理活动和主要监理内容。</w:t>
      </w:r>
    </w:p>
    <w:p w14:paraId="771CEC60">
      <w:pPr>
        <w:pStyle w:val="2"/>
        <w:spacing w:before="233" w:line="220" w:lineRule="auto"/>
        <w:ind w:left="362"/>
        <w:rPr>
          <w:sz w:val="25"/>
          <w:szCs w:val="25"/>
        </w:rPr>
      </w:pPr>
      <w:r>
        <w:rPr>
          <w:b/>
          <w:bCs/>
          <w:color w:val="006DDA"/>
          <w:spacing w:val="-17"/>
          <w:sz w:val="25"/>
          <w:szCs w:val="25"/>
        </w:rPr>
        <w:t>21.3.1</w:t>
      </w:r>
      <w:r>
        <w:rPr>
          <w:color w:val="006DDA"/>
          <w:spacing w:val="70"/>
          <w:sz w:val="25"/>
          <w:szCs w:val="25"/>
        </w:rPr>
        <w:t xml:space="preserve"> </w:t>
      </w:r>
      <w:r>
        <w:rPr>
          <w:b/>
          <w:bCs/>
          <w:color w:val="006DDA"/>
          <w:spacing w:val="-17"/>
          <w:sz w:val="25"/>
          <w:szCs w:val="25"/>
        </w:rPr>
        <w:t>监理活动</w:t>
      </w:r>
    </w:p>
    <w:p w14:paraId="3E1B9130">
      <w:pPr>
        <w:pStyle w:val="2"/>
        <w:spacing w:before="183" w:line="220" w:lineRule="auto"/>
        <w:ind w:left="760"/>
        <w:rPr>
          <w:sz w:val="20"/>
          <w:szCs w:val="20"/>
        </w:rPr>
      </w:pPr>
      <w:r>
        <w:rPr>
          <w:spacing w:val="-3"/>
          <w:sz w:val="20"/>
          <w:szCs w:val="20"/>
        </w:rPr>
        <w:t>基础设施工程设计阶段的主要监理活动如下：</w:t>
      </w:r>
    </w:p>
    <w:p w14:paraId="30072FAF">
      <w:pPr>
        <w:pStyle w:val="2"/>
        <w:spacing w:before="71" w:line="219" w:lineRule="auto"/>
        <w:ind w:left="760"/>
        <w:rPr>
          <w:sz w:val="20"/>
          <w:szCs w:val="20"/>
        </w:rPr>
      </w:pPr>
      <w:r>
        <w:rPr>
          <w:spacing w:val="3"/>
          <w:sz w:val="20"/>
          <w:szCs w:val="20"/>
        </w:rPr>
        <w:t>(1)协助业主单位和承建单位明确工程/项目建设具体需求，规范工程设计</w:t>
      </w:r>
      <w:r>
        <w:rPr>
          <w:spacing w:val="2"/>
          <w:sz w:val="20"/>
          <w:szCs w:val="20"/>
        </w:rPr>
        <w:t>过程；</w:t>
      </w:r>
    </w:p>
    <w:p w14:paraId="489CF5A2">
      <w:pPr>
        <w:pStyle w:val="2"/>
        <w:spacing w:before="73" w:line="219" w:lineRule="auto"/>
        <w:ind w:left="760"/>
        <w:rPr>
          <w:sz w:val="20"/>
          <w:szCs w:val="20"/>
        </w:rPr>
      </w:pPr>
      <w:r>
        <w:rPr>
          <w:spacing w:val="3"/>
          <w:sz w:val="20"/>
          <w:szCs w:val="20"/>
        </w:rPr>
        <w:t>(2)确定工程/项目各方往来文档的种类、格式、签批人等事宜；</w:t>
      </w:r>
    </w:p>
    <w:p w14:paraId="09C8DCF9">
      <w:pPr>
        <w:pStyle w:val="2"/>
        <w:spacing w:before="73" w:line="219" w:lineRule="auto"/>
        <w:ind w:left="760"/>
        <w:rPr>
          <w:sz w:val="20"/>
          <w:szCs w:val="20"/>
        </w:rPr>
      </w:pPr>
      <w:r>
        <w:rPr>
          <w:spacing w:val="1"/>
          <w:sz w:val="20"/>
          <w:szCs w:val="20"/>
        </w:rPr>
        <w:t>(3)协助业主单位组织、评审承建单位制订的计划、设计方案；</w:t>
      </w:r>
    </w:p>
    <w:p w14:paraId="00D40C20">
      <w:pPr>
        <w:pStyle w:val="2"/>
        <w:spacing w:before="91" w:line="219" w:lineRule="auto"/>
        <w:jc w:val="right"/>
        <w:rPr>
          <w:sz w:val="20"/>
          <w:szCs w:val="20"/>
        </w:rPr>
      </w:pPr>
      <w:r>
        <w:rPr>
          <w:spacing w:val="2"/>
          <w:sz w:val="20"/>
          <w:szCs w:val="20"/>
        </w:rPr>
        <w:t>(4)监督承建单位系统需求分析过程，促使需求具备正确性、</w:t>
      </w:r>
      <w:r>
        <w:rPr>
          <w:spacing w:val="1"/>
          <w:sz w:val="20"/>
          <w:szCs w:val="20"/>
        </w:rPr>
        <w:t>完备性、可测试性和一致性；</w:t>
      </w:r>
    </w:p>
    <w:p w14:paraId="49944923">
      <w:pPr>
        <w:pStyle w:val="2"/>
        <w:spacing w:before="63" w:line="219" w:lineRule="auto"/>
        <w:ind w:left="760"/>
        <w:rPr>
          <w:sz w:val="20"/>
          <w:szCs w:val="20"/>
        </w:rPr>
      </w:pPr>
      <w:r>
        <w:rPr>
          <w:spacing w:val="1"/>
          <w:sz w:val="20"/>
          <w:szCs w:val="20"/>
        </w:rPr>
        <w:t>(5)审核设计需求说明书，对其是否可作为工程设计的依据提出监理意见；</w:t>
      </w:r>
    </w:p>
    <w:p w14:paraId="46FB703F">
      <w:pPr>
        <w:pStyle w:val="2"/>
        <w:spacing w:before="75" w:line="220" w:lineRule="auto"/>
        <w:ind w:left="760"/>
        <w:rPr>
          <w:sz w:val="20"/>
          <w:szCs w:val="20"/>
        </w:rPr>
      </w:pPr>
      <w:r>
        <w:rPr>
          <w:spacing w:val="3"/>
          <w:sz w:val="20"/>
          <w:szCs w:val="20"/>
        </w:rPr>
        <w:t>(6)协助业主单位组织设计交底工作，记</w:t>
      </w:r>
      <w:r>
        <w:rPr>
          <w:spacing w:val="2"/>
          <w:sz w:val="20"/>
          <w:szCs w:val="20"/>
        </w:rPr>
        <w:t>录交底结果；</w:t>
      </w:r>
    </w:p>
    <w:p w14:paraId="3F600C71">
      <w:pPr>
        <w:pStyle w:val="2"/>
        <w:spacing w:before="71" w:line="257" w:lineRule="auto"/>
        <w:ind w:left="359" w:right="44" w:firstLine="400"/>
        <w:rPr>
          <w:sz w:val="20"/>
          <w:szCs w:val="20"/>
        </w:rPr>
      </w:pPr>
      <w:r>
        <w:rPr>
          <w:spacing w:val="6"/>
          <w:sz w:val="20"/>
          <w:szCs w:val="20"/>
        </w:rPr>
        <w:t>(7)审核设计变更的合理性，并对变更引起的质量、进</w:t>
      </w:r>
      <w:r>
        <w:rPr>
          <w:spacing w:val="5"/>
          <w:sz w:val="20"/>
          <w:szCs w:val="20"/>
        </w:rPr>
        <w:t>度和投资变化提出监理意见，协调</w:t>
      </w:r>
      <w:r>
        <w:rPr>
          <w:sz w:val="20"/>
          <w:szCs w:val="20"/>
        </w:rPr>
        <w:t xml:space="preserve"> </w:t>
      </w:r>
      <w:r>
        <w:rPr>
          <w:spacing w:val="-2"/>
          <w:sz w:val="20"/>
          <w:szCs w:val="20"/>
        </w:rPr>
        <w:t>业主单位和承建单位就设计变更内容达成一致；</w:t>
      </w:r>
    </w:p>
    <w:p w14:paraId="5192A7A3">
      <w:pPr>
        <w:pStyle w:val="2"/>
        <w:spacing w:before="73" w:line="219" w:lineRule="auto"/>
        <w:ind w:left="760"/>
        <w:rPr>
          <w:sz w:val="20"/>
          <w:szCs w:val="20"/>
        </w:rPr>
      </w:pPr>
      <w:r>
        <w:rPr>
          <w:spacing w:val="2"/>
          <w:sz w:val="20"/>
          <w:szCs w:val="20"/>
        </w:rPr>
        <w:t>(8)审核工程设计方案，并提出监理意见等。</w:t>
      </w:r>
    </w:p>
    <w:p w14:paraId="55B17ABF">
      <w:pPr>
        <w:pStyle w:val="2"/>
        <w:spacing w:before="241" w:line="219" w:lineRule="auto"/>
        <w:ind w:left="362"/>
        <w:rPr>
          <w:sz w:val="25"/>
          <w:szCs w:val="25"/>
        </w:rPr>
      </w:pPr>
      <w:r>
        <w:rPr>
          <w:b/>
          <w:bCs/>
          <w:color w:val="006BD6"/>
          <w:spacing w:val="-18"/>
          <w:sz w:val="25"/>
          <w:szCs w:val="25"/>
        </w:rPr>
        <w:t>21.3.2</w:t>
      </w:r>
      <w:r>
        <w:rPr>
          <w:color w:val="006BD6"/>
          <w:spacing w:val="80"/>
          <w:sz w:val="25"/>
          <w:szCs w:val="25"/>
        </w:rPr>
        <w:t xml:space="preserve"> </w:t>
      </w:r>
      <w:r>
        <w:rPr>
          <w:b/>
          <w:bCs/>
          <w:color w:val="006BD6"/>
          <w:spacing w:val="-18"/>
          <w:sz w:val="25"/>
          <w:szCs w:val="25"/>
        </w:rPr>
        <w:t>监理内容</w:t>
      </w:r>
    </w:p>
    <w:p w14:paraId="18B43B36">
      <w:pPr>
        <w:pStyle w:val="2"/>
        <w:spacing w:before="165" w:line="219" w:lineRule="auto"/>
        <w:ind w:left="760"/>
        <w:rPr>
          <w:sz w:val="20"/>
          <w:szCs w:val="20"/>
        </w:rPr>
      </w:pPr>
      <w:r>
        <w:rPr>
          <w:spacing w:val="-2"/>
          <w:sz w:val="20"/>
          <w:szCs w:val="20"/>
        </w:rPr>
        <w:t>基础设施工程设计阶段的主要监理内容如下。</w:t>
      </w:r>
    </w:p>
    <w:p w14:paraId="0874B80F">
      <w:pPr>
        <w:pStyle w:val="2"/>
        <w:spacing w:before="170" w:line="222" w:lineRule="auto"/>
        <w:ind w:left="762"/>
        <w:rPr>
          <w:rFonts w:ascii="黑体" w:hAnsi="黑体" w:eastAsia="黑体" w:cs="黑体"/>
          <w:sz w:val="20"/>
          <w:szCs w:val="20"/>
        </w:rPr>
      </w:pPr>
      <w:r>
        <w:rPr>
          <w:b/>
          <w:bCs/>
          <w:color w:val="008AE6"/>
          <w:spacing w:val="-1"/>
          <w:sz w:val="20"/>
          <w:szCs w:val="20"/>
        </w:rPr>
        <w:t>1.</w:t>
      </w:r>
      <w:r>
        <w:rPr>
          <w:rFonts w:ascii="黑体" w:hAnsi="黑体" w:eastAsia="黑体" w:cs="黑体"/>
          <w:b/>
          <w:bCs/>
          <w:color w:val="008AE6"/>
          <w:spacing w:val="-1"/>
          <w:sz w:val="20"/>
          <w:szCs w:val="20"/>
        </w:rPr>
        <w:t>质量控制</w:t>
      </w:r>
    </w:p>
    <w:p w14:paraId="549EA0C0">
      <w:pPr>
        <w:pStyle w:val="2"/>
        <w:spacing w:before="122" w:line="219" w:lineRule="auto"/>
        <w:ind w:left="760"/>
        <w:rPr>
          <w:sz w:val="20"/>
          <w:szCs w:val="20"/>
        </w:rPr>
      </w:pPr>
      <w:r>
        <w:rPr>
          <w:spacing w:val="-3"/>
          <w:sz w:val="20"/>
          <w:szCs w:val="20"/>
        </w:rPr>
        <w:t>在质量控制方面的主要监理内容包括：</w:t>
      </w:r>
    </w:p>
    <w:p w14:paraId="74C4CF1F">
      <w:pPr>
        <w:pStyle w:val="2"/>
        <w:spacing w:before="73" w:line="219" w:lineRule="auto"/>
        <w:ind w:left="760"/>
        <w:rPr>
          <w:sz w:val="20"/>
          <w:szCs w:val="20"/>
        </w:rPr>
      </w:pPr>
      <w:r>
        <w:rPr>
          <w:spacing w:val="2"/>
          <w:sz w:val="20"/>
          <w:szCs w:val="20"/>
        </w:rPr>
        <w:t>(1)审查设计人员的执业资格是否能够满足设计工作要求。</w:t>
      </w:r>
    </w:p>
    <w:p w14:paraId="38D5F900">
      <w:pPr>
        <w:pStyle w:val="2"/>
        <w:spacing w:before="63" w:line="219" w:lineRule="auto"/>
        <w:ind w:left="760"/>
        <w:rPr>
          <w:sz w:val="20"/>
          <w:szCs w:val="20"/>
        </w:rPr>
      </w:pPr>
      <w:r>
        <w:rPr>
          <w:spacing w:val="3"/>
          <w:sz w:val="20"/>
          <w:szCs w:val="20"/>
        </w:rPr>
        <w:t>(2)检查勘察、测量设备是否满足勘察、测量</w:t>
      </w:r>
      <w:r>
        <w:rPr>
          <w:spacing w:val="2"/>
          <w:sz w:val="20"/>
          <w:szCs w:val="20"/>
        </w:rPr>
        <w:t>要求。</w:t>
      </w:r>
    </w:p>
    <w:p w14:paraId="69E2AB58">
      <w:pPr>
        <w:pStyle w:val="2"/>
        <w:spacing w:before="81" w:line="256" w:lineRule="auto"/>
        <w:ind w:left="359" w:right="19" w:firstLine="400"/>
        <w:rPr>
          <w:sz w:val="17"/>
          <w:szCs w:val="17"/>
        </w:rPr>
      </w:pPr>
      <w:r>
        <w:rPr>
          <w:spacing w:val="6"/>
          <w:sz w:val="20"/>
          <w:szCs w:val="20"/>
        </w:rPr>
        <w:t>(3)审核工作计划内容是否具体详细、合理、可行，是否符合合同要求，质量保证措施是</w:t>
      </w:r>
      <w:r>
        <w:rPr>
          <w:spacing w:val="9"/>
          <w:sz w:val="20"/>
          <w:szCs w:val="20"/>
        </w:rPr>
        <w:t xml:space="preserve"> </w:t>
      </w:r>
      <w:r>
        <w:rPr>
          <w:spacing w:val="18"/>
          <w:sz w:val="17"/>
          <w:szCs w:val="17"/>
        </w:rPr>
        <w:t>否有效</w:t>
      </w:r>
      <w:r>
        <w:rPr>
          <w:spacing w:val="-39"/>
          <w:sz w:val="17"/>
          <w:szCs w:val="17"/>
        </w:rPr>
        <w:t xml:space="preserve"> </w:t>
      </w:r>
      <w:r>
        <w:rPr>
          <w:spacing w:val="18"/>
          <w:sz w:val="17"/>
          <w:szCs w:val="17"/>
        </w:rPr>
        <w:t>。</w:t>
      </w:r>
    </w:p>
    <w:p w14:paraId="3151E0D3">
      <w:pPr>
        <w:spacing w:line="256" w:lineRule="auto"/>
        <w:rPr>
          <w:sz w:val="17"/>
          <w:szCs w:val="17"/>
        </w:rPr>
        <w:sectPr>
          <w:pgSz w:w="10300" w:h="13390"/>
          <w:pgMar w:top="400" w:right="1079" w:bottom="400" w:left="489" w:header="0" w:footer="0" w:gutter="0"/>
          <w:cols w:space="720" w:num="1"/>
        </w:sectPr>
      </w:pPr>
    </w:p>
    <w:p w14:paraId="0C490EB3">
      <w:pPr>
        <w:pStyle w:val="2"/>
        <w:spacing w:before="29"/>
        <w:jc w:val="right"/>
        <w:rPr>
          <w:rFonts w:ascii="Times New Roman" w:hAnsi="Times New Roman" w:eastAsia="Times New Roman" w:cs="Times New Roman"/>
          <w:sz w:val="19"/>
          <w:szCs w:val="19"/>
        </w:rPr>
      </w:pPr>
      <w:r>
        <w:rPr>
          <w:spacing w:val="4"/>
          <w:sz w:val="19"/>
          <w:szCs w:val="19"/>
        </w:rPr>
        <w:t>第21章 基础设施工程监理</w:t>
      </w:r>
      <w:r>
        <w:rPr>
          <w:spacing w:val="71"/>
          <w:w w:val="101"/>
          <w:sz w:val="19"/>
          <w:szCs w:val="19"/>
        </w:rPr>
        <w:t xml:space="preserve"> </w:t>
      </w:r>
      <w:r>
        <w:rPr>
          <w:position w:val="-7"/>
          <w:sz w:val="19"/>
          <w:szCs w:val="19"/>
        </w:rPr>
        <w:drawing>
          <wp:inline distT="0" distB="0" distL="0" distR="0">
            <wp:extent cx="279400" cy="196215"/>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98"/>
                    <a:stretch>
                      <a:fillRect/>
                    </a:stretch>
                  </pic:blipFill>
                  <pic:spPr>
                    <a:xfrm>
                      <a:off x="0" y="0"/>
                      <a:ext cx="279400" cy="196842"/>
                    </a:xfrm>
                    <a:prstGeom prst="rect">
                      <a:avLst/>
                    </a:prstGeom>
                  </pic:spPr>
                </pic:pic>
              </a:graphicData>
            </a:graphic>
          </wp:inline>
        </w:drawing>
      </w:r>
      <w:r>
        <w:rPr>
          <w:rFonts w:ascii="Times New Roman" w:hAnsi="Times New Roman" w:eastAsia="Times New Roman" w:cs="Times New Roman"/>
          <w:spacing w:val="4"/>
          <w:position w:val="1"/>
          <w:sz w:val="19"/>
          <w:szCs w:val="19"/>
        </w:rPr>
        <w:t>475</w:t>
      </w:r>
    </w:p>
    <w:p w14:paraId="34A6FB95">
      <w:pPr>
        <w:spacing w:line="304" w:lineRule="auto"/>
        <w:rPr>
          <w:rFonts w:ascii="Arial"/>
          <w:sz w:val="21"/>
        </w:rPr>
      </w:pPr>
    </w:p>
    <w:p w14:paraId="6F45453A">
      <w:pPr>
        <w:pStyle w:val="2"/>
        <w:spacing w:before="62" w:line="219" w:lineRule="auto"/>
        <w:ind w:left="410"/>
        <w:rPr>
          <w:sz w:val="19"/>
          <w:szCs w:val="19"/>
        </w:rPr>
      </w:pPr>
      <w:r>
        <w:rPr>
          <w:spacing w:val="11"/>
          <w:sz w:val="19"/>
          <w:szCs w:val="19"/>
        </w:rPr>
        <w:t>(4)检查设计过程是否严格按照工作计划实施，工作记录是否详细、准确。</w:t>
      </w:r>
    </w:p>
    <w:p w14:paraId="1803E10B">
      <w:pPr>
        <w:pStyle w:val="2"/>
        <w:spacing w:before="94" w:line="219" w:lineRule="auto"/>
        <w:ind w:left="410"/>
        <w:rPr>
          <w:sz w:val="19"/>
          <w:szCs w:val="19"/>
        </w:rPr>
      </w:pPr>
      <w:r>
        <w:rPr>
          <w:spacing w:val="10"/>
          <w:sz w:val="19"/>
          <w:szCs w:val="19"/>
        </w:rPr>
        <w:t>(5)审查工程设计方案的如下内容：</w:t>
      </w:r>
    </w:p>
    <w:p w14:paraId="0CBF6342">
      <w:pPr>
        <w:pStyle w:val="2"/>
        <w:spacing w:before="85" w:line="264" w:lineRule="auto"/>
        <w:ind w:left="689" w:right="301" w:hanging="279"/>
        <w:rPr>
          <w:sz w:val="19"/>
          <w:szCs w:val="19"/>
        </w:rPr>
      </w:pPr>
      <w:r>
        <w:rPr>
          <w:spacing w:val="13"/>
          <w:sz w:val="19"/>
          <w:szCs w:val="19"/>
        </w:rPr>
        <w:t>●审查设计文件：是否符合合同要求和设计规范，勘查成果是否能够作为初步设计和施工</w:t>
      </w:r>
      <w:r>
        <w:rPr>
          <w:spacing w:val="2"/>
          <w:sz w:val="19"/>
          <w:szCs w:val="19"/>
        </w:rPr>
        <w:t xml:space="preserve"> </w:t>
      </w:r>
      <w:r>
        <w:rPr>
          <w:spacing w:val="6"/>
          <w:sz w:val="19"/>
          <w:szCs w:val="19"/>
        </w:rPr>
        <w:t>图设计的依据，施工图设计文件能否指导施工；</w:t>
      </w:r>
    </w:p>
    <w:p w14:paraId="29709AE4">
      <w:pPr>
        <w:pStyle w:val="2"/>
        <w:spacing w:before="84" w:line="277" w:lineRule="auto"/>
        <w:ind w:left="689" w:right="297" w:hanging="279"/>
        <w:rPr>
          <w:sz w:val="19"/>
          <w:szCs w:val="19"/>
        </w:rPr>
      </w:pPr>
      <w:r>
        <w:rPr>
          <w:spacing w:val="19"/>
          <w:sz w:val="19"/>
          <w:szCs w:val="19"/>
        </w:rPr>
        <w:t>●审查设计说明：工程概况、设计依据、技</w:t>
      </w:r>
      <w:r>
        <w:rPr>
          <w:spacing w:val="18"/>
          <w:sz w:val="19"/>
          <w:szCs w:val="19"/>
        </w:rPr>
        <w:t>术方案措施及总体要求是否合理，内容是否</w:t>
      </w:r>
      <w:r>
        <w:rPr>
          <w:sz w:val="19"/>
          <w:szCs w:val="19"/>
        </w:rPr>
        <w:t xml:space="preserve"> </w:t>
      </w:r>
      <w:r>
        <w:rPr>
          <w:spacing w:val="-4"/>
          <w:sz w:val="19"/>
          <w:szCs w:val="19"/>
        </w:rPr>
        <w:t>详尽；</w:t>
      </w:r>
    </w:p>
    <w:p w14:paraId="4F221B62">
      <w:pPr>
        <w:pStyle w:val="2"/>
        <w:spacing w:before="99" w:line="261" w:lineRule="auto"/>
        <w:ind w:left="689" w:right="300" w:hanging="279"/>
        <w:rPr>
          <w:sz w:val="19"/>
          <w:szCs w:val="19"/>
        </w:rPr>
      </w:pPr>
      <w:r>
        <w:rPr>
          <w:spacing w:val="13"/>
          <w:sz w:val="19"/>
          <w:szCs w:val="19"/>
        </w:rPr>
        <w:t>●审查设计图纸：是否符合机房、网络、管线路由的实际情况，是否详细具体，设计审核</w:t>
      </w:r>
      <w:r>
        <w:rPr>
          <w:spacing w:val="3"/>
          <w:sz w:val="19"/>
          <w:szCs w:val="19"/>
        </w:rPr>
        <w:t xml:space="preserve"> </w:t>
      </w:r>
      <w:r>
        <w:rPr>
          <w:spacing w:val="5"/>
          <w:sz w:val="19"/>
          <w:szCs w:val="19"/>
        </w:rPr>
        <w:t>责任人签字是否齐全；</w:t>
      </w:r>
    </w:p>
    <w:p w14:paraId="030EF04B">
      <w:pPr>
        <w:pStyle w:val="2"/>
        <w:spacing w:before="105" w:line="219" w:lineRule="auto"/>
        <w:ind w:left="410"/>
        <w:rPr>
          <w:sz w:val="19"/>
          <w:szCs w:val="19"/>
        </w:rPr>
      </w:pPr>
      <w:r>
        <w:rPr>
          <w:spacing w:val="11"/>
          <w:sz w:val="19"/>
          <w:szCs w:val="19"/>
        </w:rPr>
        <w:t>●审查概预算编制是否符合相关规定，能否满足工程项目的投资需求。</w:t>
      </w:r>
    </w:p>
    <w:p w14:paraId="4371B785">
      <w:pPr>
        <w:pStyle w:val="2"/>
        <w:spacing w:before="84" w:line="266" w:lineRule="auto"/>
        <w:ind w:right="302" w:firstLine="410"/>
        <w:rPr>
          <w:sz w:val="19"/>
          <w:szCs w:val="19"/>
        </w:rPr>
      </w:pPr>
      <w:r>
        <w:rPr>
          <w:spacing w:val="15"/>
          <w:sz w:val="19"/>
          <w:szCs w:val="19"/>
        </w:rPr>
        <w:t>(6)组织承建单位确认工程建设目标、关键部位、工艺工序质量要求、进度要求，督促承</w:t>
      </w:r>
      <w:r>
        <w:rPr>
          <w:spacing w:val="3"/>
          <w:sz w:val="19"/>
          <w:szCs w:val="19"/>
        </w:rPr>
        <w:t xml:space="preserve"> </w:t>
      </w:r>
      <w:r>
        <w:rPr>
          <w:spacing w:val="7"/>
          <w:sz w:val="19"/>
          <w:szCs w:val="19"/>
        </w:rPr>
        <w:t>建单位制订项目计划，适时开展深化设计活动。</w:t>
      </w:r>
    </w:p>
    <w:p w14:paraId="3A22992D">
      <w:pPr>
        <w:pStyle w:val="2"/>
        <w:spacing w:before="84" w:line="220" w:lineRule="auto"/>
        <w:ind w:left="410"/>
        <w:rPr>
          <w:sz w:val="19"/>
          <w:szCs w:val="19"/>
        </w:rPr>
      </w:pPr>
      <w:r>
        <w:rPr>
          <w:spacing w:val="11"/>
          <w:sz w:val="19"/>
          <w:szCs w:val="19"/>
        </w:rPr>
        <w:t>(7)协助业主单位组织设计交底工作，具体包括：</w:t>
      </w:r>
    </w:p>
    <w:p w14:paraId="5B7C7D85">
      <w:pPr>
        <w:pStyle w:val="2"/>
        <w:spacing w:before="82" w:line="270" w:lineRule="auto"/>
        <w:ind w:left="689" w:right="322" w:hanging="279"/>
        <w:rPr>
          <w:sz w:val="19"/>
          <w:szCs w:val="19"/>
        </w:rPr>
      </w:pPr>
      <w:r>
        <w:rPr>
          <w:spacing w:val="13"/>
          <w:sz w:val="19"/>
          <w:szCs w:val="19"/>
        </w:rPr>
        <w:t>●设计会审交底前应让相关参建方到现场考察</w:t>
      </w:r>
      <w:r>
        <w:rPr>
          <w:spacing w:val="12"/>
          <w:sz w:val="19"/>
          <w:szCs w:val="19"/>
        </w:rPr>
        <w:t>，核对设计图纸，审查设计文件，并征求参</w:t>
      </w:r>
      <w:r>
        <w:rPr>
          <w:sz w:val="19"/>
          <w:szCs w:val="19"/>
        </w:rPr>
        <w:t xml:space="preserve"> 建各方意见；</w:t>
      </w:r>
    </w:p>
    <w:p w14:paraId="73820ED4">
      <w:pPr>
        <w:pStyle w:val="2"/>
        <w:spacing w:before="104" w:line="219" w:lineRule="auto"/>
        <w:ind w:left="410"/>
        <w:rPr>
          <w:sz w:val="19"/>
          <w:szCs w:val="19"/>
        </w:rPr>
      </w:pPr>
      <w:r>
        <w:rPr>
          <w:spacing w:val="10"/>
          <w:sz w:val="19"/>
          <w:szCs w:val="19"/>
        </w:rPr>
        <w:t>●召开设计技术交底会，澄清设计技术细节，并做会议纪要；</w:t>
      </w:r>
    </w:p>
    <w:p w14:paraId="58841DA5">
      <w:pPr>
        <w:pStyle w:val="2"/>
        <w:spacing w:before="85" w:line="275" w:lineRule="auto"/>
        <w:ind w:left="689" w:right="305" w:hanging="279"/>
        <w:rPr>
          <w:sz w:val="19"/>
          <w:szCs w:val="19"/>
        </w:rPr>
      </w:pPr>
      <w:r>
        <w:rPr>
          <w:spacing w:val="13"/>
          <w:sz w:val="19"/>
          <w:szCs w:val="19"/>
        </w:rPr>
        <w:t>●审查设计人员是否对会审交底的意见做出说明，并形成会议纪要，按照要求由设</w:t>
      </w:r>
      <w:r>
        <w:rPr>
          <w:spacing w:val="12"/>
          <w:sz w:val="19"/>
          <w:szCs w:val="19"/>
        </w:rPr>
        <w:t>计人员</w:t>
      </w:r>
      <w:r>
        <w:rPr>
          <w:sz w:val="19"/>
          <w:szCs w:val="19"/>
        </w:rPr>
        <w:t xml:space="preserve"> </w:t>
      </w:r>
      <w:r>
        <w:rPr>
          <w:spacing w:val="6"/>
          <w:sz w:val="19"/>
          <w:szCs w:val="19"/>
        </w:rPr>
        <w:t>修改设计文件，并对修改文件进行核查。</w:t>
      </w:r>
    </w:p>
    <w:p w14:paraId="118B3541">
      <w:pPr>
        <w:pStyle w:val="2"/>
        <w:spacing w:before="190" w:line="222" w:lineRule="auto"/>
        <w:ind w:left="412"/>
        <w:rPr>
          <w:rFonts w:ascii="黑体" w:hAnsi="黑体" w:eastAsia="黑体" w:cs="黑体"/>
          <w:sz w:val="19"/>
          <w:szCs w:val="19"/>
        </w:rPr>
      </w:pPr>
      <w:r>
        <w:rPr>
          <w:b/>
          <w:bCs/>
          <w:color w:val="0050C9"/>
          <w:spacing w:val="9"/>
          <w:sz w:val="19"/>
          <w:szCs w:val="19"/>
        </w:rPr>
        <w:t>2.</w:t>
      </w:r>
      <w:r>
        <w:rPr>
          <w:rFonts w:ascii="黑体" w:hAnsi="黑体" w:eastAsia="黑体" w:cs="黑体"/>
          <w:b/>
          <w:bCs/>
          <w:color w:val="0050C9"/>
          <w:spacing w:val="9"/>
          <w:sz w:val="19"/>
          <w:szCs w:val="19"/>
        </w:rPr>
        <w:t>投资控制</w:t>
      </w:r>
    </w:p>
    <w:p w14:paraId="46D9FC93">
      <w:pPr>
        <w:pStyle w:val="2"/>
        <w:spacing w:before="146" w:line="219" w:lineRule="auto"/>
        <w:ind w:left="410"/>
        <w:rPr>
          <w:sz w:val="19"/>
          <w:szCs w:val="19"/>
        </w:rPr>
      </w:pPr>
      <w:r>
        <w:rPr>
          <w:spacing w:val="6"/>
          <w:sz w:val="19"/>
          <w:szCs w:val="19"/>
        </w:rPr>
        <w:t>在投资控制方面的主要监理的内容包括：</w:t>
      </w:r>
    </w:p>
    <w:p w14:paraId="3DAFB90F">
      <w:pPr>
        <w:pStyle w:val="2"/>
        <w:spacing w:before="83" w:line="218" w:lineRule="auto"/>
        <w:ind w:left="410"/>
        <w:rPr>
          <w:sz w:val="19"/>
          <w:szCs w:val="19"/>
        </w:rPr>
      </w:pPr>
      <w:r>
        <w:rPr>
          <w:spacing w:val="11"/>
          <w:sz w:val="19"/>
          <w:szCs w:val="19"/>
        </w:rPr>
        <w:t>(1)协助业主制定建设工程造价目标；</w:t>
      </w:r>
    </w:p>
    <w:p w14:paraId="3F3B2F59">
      <w:pPr>
        <w:pStyle w:val="2"/>
        <w:spacing w:before="77" w:line="219" w:lineRule="auto"/>
        <w:ind w:left="410"/>
        <w:rPr>
          <w:sz w:val="19"/>
          <w:szCs w:val="19"/>
        </w:rPr>
      </w:pPr>
      <w:r>
        <w:rPr>
          <w:spacing w:val="11"/>
          <w:sz w:val="19"/>
          <w:szCs w:val="19"/>
        </w:rPr>
        <w:t>(2)审核概要预算，确定投资合理性，提出改进和优化意见，力</w:t>
      </w:r>
      <w:r>
        <w:rPr>
          <w:spacing w:val="10"/>
          <w:sz w:val="19"/>
          <w:szCs w:val="19"/>
        </w:rPr>
        <w:t>求使设计投资合理化；</w:t>
      </w:r>
    </w:p>
    <w:p w14:paraId="2AC24C49">
      <w:pPr>
        <w:pStyle w:val="2"/>
        <w:spacing w:before="75" w:line="265" w:lineRule="auto"/>
        <w:ind w:right="303" w:firstLine="410"/>
        <w:rPr>
          <w:sz w:val="19"/>
          <w:szCs w:val="19"/>
        </w:rPr>
      </w:pPr>
      <w:r>
        <w:rPr>
          <w:spacing w:val="15"/>
          <w:sz w:val="19"/>
          <w:szCs w:val="19"/>
        </w:rPr>
        <w:t>(3)宜协助业主单位组织设计方案比选，在能够满足业主需求的前提下，选择投资少、技</w:t>
      </w:r>
      <w:r>
        <w:rPr>
          <w:spacing w:val="2"/>
          <w:sz w:val="19"/>
          <w:szCs w:val="19"/>
        </w:rPr>
        <w:t xml:space="preserve"> </w:t>
      </w:r>
      <w:r>
        <w:rPr>
          <w:spacing w:val="3"/>
          <w:sz w:val="19"/>
          <w:szCs w:val="19"/>
        </w:rPr>
        <w:t>术先进的设计方案；</w:t>
      </w:r>
    </w:p>
    <w:p w14:paraId="4CA64147">
      <w:pPr>
        <w:pStyle w:val="2"/>
        <w:spacing w:before="84" w:line="219" w:lineRule="auto"/>
        <w:ind w:left="410"/>
        <w:rPr>
          <w:sz w:val="19"/>
          <w:szCs w:val="19"/>
        </w:rPr>
      </w:pPr>
      <w:r>
        <w:rPr>
          <w:spacing w:val="12"/>
          <w:sz w:val="19"/>
          <w:szCs w:val="19"/>
        </w:rPr>
        <w:t>(4)协助业主单位制订资金使用计划。</w:t>
      </w:r>
    </w:p>
    <w:p w14:paraId="59FC9A6C">
      <w:pPr>
        <w:pStyle w:val="2"/>
        <w:spacing w:before="181" w:line="222" w:lineRule="auto"/>
        <w:ind w:left="412"/>
        <w:rPr>
          <w:rFonts w:ascii="黑体" w:hAnsi="黑体" w:eastAsia="黑体" w:cs="黑体"/>
          <w:sz w:val="19"/>
          <w:szCs w:val="19"/>
        </w:rPr>
      </w:pPr>
      <w:r>
        <w:rPr>
          <w:b/>
          <w:bCs/>
          <w:color w:val="0050C9"/>
          <w:spacing w:val="8"/>
          <w:sz w:val="19"/>
          <w:szCs w:val="19"/>
        </w:rPr>
        <w:t>3.</w:t>
      </w:r>
      <w:r>
        <w:rPr>
          <w:rFonts w:ascii="黑体" w:hAnsi="黑体" w:eastAsia="黑体" w:cs="黑体"/>
          <w:b/>
          <w:bCs/>
          <w:color w:val="0050C9"/>
          <w:spacing w:val="8"/>
          <w:sz w:val="19"/>
          <w:szCs w:val="19"/>
        </w:rPr>
        <w:t>文档资料管理</w:t>
      </w:r>
    </w:p>
    <w:p w14:paraId="53B79EAB">
      <w:pPr>
        <w:pStyle w:val="2"/>
        <w:spacing w:before="144" w:line="279" w:lineRule="auto"/>
        <w:ind w:right="216" w:firstLine="410"/>
        <w:rPr>
          <w:sz w:val="19"/>
          <w:szCs w:val="19"/>
        </w:rPr>
      </w:pPr>
      <w:r>
        <w:rPr>
          <w:spacing w:val="10"/>
          <w:sz w:val="19"/>
          <w:szCs w:val="19"/>
        </w:rPr>
        <w:t>做好设计阶段文档收集、分类、分析、存储、传递和应用等工作，保证设计文档收集及时、</w:t>
      </w:r>
      <w:r>
        <w:rPr>
          <w:spacing w:val="3"/>
          <w:sz w:val="19"/>
          <w:szCs w:val="19"/>
        </w:rPr>
        <w:t xml:space="preserve"> </w:t>
      </w:r>
      <w:r>
        <w:rPr>
          <w:spacing w:val="5"/>
          <w:sz w:val="19"/>
          <w:szCs w:val="19"/>
        </w:rPr>
        <w:t>准确、完整。</w:t>
      </w:r>
    </w:p>
    <w:p w14:paraId="23D6D910">
      <w:pPr>
        <w:pStyle w:val="2"/>
        <w:spacing w:before="135" w:line="222" w:lineRule="auto"/>
        <w:ind w:left="412"/>
        <w:rPr>
          <w:rFonts w:ascii="黑体" w:hAnsi="黑体" w:eastAsia="黑体" w:cs="黑体"/>
          <w:sz w:val="19"/>
          <w:szCs w:val="19"/>
        </w:rPr>
      </w:pPr>
      <w:r>
        <w:rPr>
          <w:b/>
          <w:bCs/>
          <w:color w:val="004ED5"/>
          <w:spacing w:val="1"/>
          <w:sz w:val="19"/>
          <w:szCs w:val="19"/>
        </w:rPr>
        <w:t>4.</w:t>
      </w:r>
      <w:r>
        <w:rPr>
          <w:rFonts w:ascii="黑体" w:hAnsi="黑体" w:eastAsia="黑体" w:cs="黑体"/>
          <w:b/>
          <w:bCs/>
          <w:color w:val="004ED5"/>
          <w:spacing w:val="1"/>
          <w:sz w:val="19"/>
          <w:szCs w:val="19"/>
        </w:rPr>
        <w:t>协</w:t>
      </w:r>
      <w:r>
        <w:rPr>
          <w:rFonts w:ascii="黑体" w:hAnsi="黑体" w:eastAsia="黑体" w:cs="黑体"/>
          <w:color w:val="004ED5"/>
          <w:spacing w:val="-42"/>
          <w:sz w:val="19"/>
          <w:szCs w:val="19"/>
        </w:rPr>
        <w:t xml:space="preserve"> </w:t>
      </w:r>
      <w:r>
        <w:rPr>
          <w:rFonts w:ascii="黑体" w:hAnsi="黑体" w:eastAsia="黑体" w:cs="黑体"/>
          <w:b/>
          <w:bCs/>
          <w:color w:val="004ED5"/>
          <w:spacing w:val="1"/>
          <w:sz w:val="19"/>
          <w:szCs w:val="19"/>
        </w:rPr>
        <w:t>调</w:t>
      </w:r>
    </w:p>
    <w:p w14:paraId="39830E30">
      <w:pPr>
        <w:pStyle w:val="2"/>
        <w:spacing w:before="143" w:line="219" w:lineRule="auto"/>
        <w:ind w:left="410"/>
        <w:rPr>
          <w:sz w:val="19"/>
          <w:szCs w:val="19"/>
        </w:rPr>
      </w:pPr>
      <w:r>
        <w:rPr>
          <w:spacing w:val="4"/>
          <w:sz w:val="19"/>
          <w:szCs w:val="19"/>
        </w:rPr>
        <w:t>在协调方面要做到以下几点：</w:t>
      </w:r>
    </w:p>
    <w:p w14:paraId="704461B1">
      <w:pPr>
        <w:pStyle w:val="2"/>
        <w:spacing w:before="65" w:line="219" w:lineRule="auto"/>
        <w:ind w:left="410"/>
        <w:rPr>
          <w:sz w:val="19"/>
          <w:szCs w:val="19"/>
        </w:rPr>
      </w:pPr>
      <w:r>
        <w:rPr>
          <w:spacing w:val="11"/>
          <w:sz w:val="19"/>
          <w:szCs w:val="19"/>
        </w:rPr>
        <w:t>(1)配合业主单位做好设计方案、设备配置、选型和工程选址</w:t>
      </w:r>
      <w:r>
        <w:rPr>
          <w:spacing w:val="10"/>
          <w:sz w:val="19"/>
          <w:szCs w:val="19"/>
        </w:rPr>
        <w:t>等事项确认工作；</w:t>
      </w:r>
    </w:p>
    <w:p w14:paraId="4032D815">
      <w:pPr>
        <w:pStyle w:val="2"/>
        <w:spacing w:before="95" w:line="219" w:lineRule="auto"/>
        <w:ind w:left="410"/>
        <w:rPr>
          <w:sz w:val="19"/>
          <w:szCs w:val="19"/>
        </w:rPr>
      </w:pPr>
      <w:r>
        <w:rPr>
          <w:spacing w:val="10"/>
          <w:sz w:val="19"/>
          <w:szCs w:val="19"/>
        </w:rPr>
        <w:t>(2)监控设计资料和设计文件的交付进度；</w:t>
      </w:r>
    </w:p>
    <w:p w14:paraId="0F281B77">
      <w:pPr>
        <w:pStyle w:val="2"/>
        <w:spacing w:before="73" w:line="218" w:lineRule="auto"/>
        <w:ind w:left="410"/>
        <w:rPr>
          <w:sz w:val="19"/>
          <w:szCs w:val="19"/>
        </w:rPr>
      </w:pPr>
      <w:r>
        <w:rPr>
          <w:spacing w:val="11"/>
          <w:sz w:val="19"/>
          <w:szCs w:val="19"/>
        </w:rPr>
        <w:t>(3)审查设计文件中所列设备、材料价格、用量的合理性。</w:t>
      </w:r>
    </w:p>
    <w:p w14:paraId="181C39A9">
      <w:pPr>
        <w:spacing w:before="70" w:line="289" w:lineRule="auto"/>
        <w:ind w:right="284" w:firstLine="285"/>
        <w:jc w:val="both"/>
        <w:rPr>
          <w:rFonts w:ascii="楷体" w:hAnsi="楷体" w:eastAsia="楷体" w:cs="楷体"/>
          <w:sz w:val="19"/>
          <w:szCs w:val="19"/>
        </w:rPr>
      </w:pPr>
      <w:r>
        <w:rPr>
          <w:rFonts w:ascii="黑体" w:hAnsi="黑体" w:eastAsia="黑体" w:cs="黑体"/>
          <w:spacing w:val="16"/>
          <w:sz w:val="19"/>
          <w:szCs w:val="19"/>
        </w:rPr>
        <w:t>【案例2】</w:t>
      </w:r>
      <w:r>
        <w:rPr>
          <w:rFonts w:ascii="楷体" w:hAnsi="楷体" w:eastAsia="楷体" w:cs="楷体"/>
          <w:spacing w:val="16"/>
          <w:sz w:val="19"/>
          <w:szCs w:val="19"/>
        </w:rPr>
        <w:t>在本章案例1的项目进入实施前的准备阶段，为了保障建设实施关</w:t>
      </w:r>
      <w:r>
        <w:rPr>
          <w:rFonts w:ascii="楷体" w:hAnsi="楷体" w:eastAsia="楷体" w:cs="楷体"/>
          <w:spacing w:val="15"/>
          <w:sz w:val="19"/>
          <w:szCs w:val="19"/>
        </w:rPr>
        <w:t>键网络系统关</w:t>
      </w:r>
      <w:r>
        <w:rPr>
          <w:rFonts w:ascii="楷体" w:hAnsi="楷体" w:eastAsia="楷体" w:cs="楷体"/>
          <w:sz w:val="19"/>
          <w:szCs w:val="19"/>
        </w:rPr>
        <w:t xml:space="preserve"> </w:t>
      </w:r>
      <w:r>
        <w:rPr>
          <w:rFonts w:ascii="楷体" w:hAnsi="楷体" w:eastAsia="楷体" w:cs="楷体"/>
          <w:spacing w:val="14"/>
          <w:sz w:val="19"/>
          <w:szCs w:val="19"/>
        </w:rPr>
        <w:t>键点位、监控信息布设点位和数据回传效果，对布设</w:t>
      </w:r>
      <w:r>
        <w:rPr>
          <w:rFonts w:ascii="楷体" w:hAnsi="楷体" w:eastAsia="楷体" w:cs="楷体"/>
          <w:spacing w:val="13"/>
          <w:sz w:val="19"/>
          <w:szCs w:val="19"/>
        </w:rPr>
        <w:t>点位等关键部位进行必要的深化设计。为</w:t>
      </w:r>
      <w:r>
        <w:rPr>
          <w:rFonts w:ascii="楷体" w:hAnsi="楷体" w:eastAsia="楷体" w:cs="楷体"/>
          <w:sz w:val="19"/>
          <w:szCs w:val="19"/>
        </w:rPr>
        <w:t xml:space="preserve"> </w:t>
      </w:r>
      <w:r>
        <w:rPr>
          <w:rFonts w:ascii="楷体" w:hAnsi="楷体" w:eastAsia="楷体" w:cs="楷体"/>
          <w:spacing w:val="9"/>
          <w:sz w:val="19"/>
          <w:szCs w:val="19"/>
        </w:rPr>
        <w:t>了检查设计方案是否能满足合同要求和业主需求，监理机构提出</w:t>
      </w:r>
      <w:r>
        <w:rPr>
          <w:rFonts w:ascii="楷体" w:hAnsi="楷体" w:eastAsia="楷体" w:cs="楷体"/>
          <w:spacing w:val="8"/>
          <w:sz w:val="19"/>
          <w:szCs w:val="19"/>
        </w:rPr>
        <w:t>深化设计审查要点，具体如下：</w:t>
      </w:r>
    </w:p>
    <w:p w14:paraId="1E30B52E">
      <w:pPr>
        <w:spacing w:line="289" w:lineRule="auto"/>
        <w:rPr>
          <w:rFonts w:ascii="楷体" w:hAnsi="楷体" w:eastAsia="楷体" w:cs="楷体"/>
          <w:sz w:val="19"/>
          <w:szCs w:val="19"/>
        </w:rPr>
        <w:sectPr>
          <w:pgSz w:w="10290" w:h="13270"/>
          <w:pgMar w:top="400" w:right="538" w:bottom="400" w:left="1119" w:header="0" w:footer="0" w:gutter="0"/>
          <w:cols w:space="720" w:num="1"/>
        </w:sectPr>
      </w:pPr>
    </w:p>
    <w:p w14:paraId="7B9964D2">
      <w:pPr>
        <w:pStyle w:val="2"/>
        <w:spacing w:before="108" w:line="219" w:lineRule="auto"/>
        <w:rPr>
          <w:sz w:val="20"/>
          <w:szCs w:val="20"/>
        </w:rPr>
      </w:pPr>
      <w:r>
        <w:rPr>
          <w:rFonts w:ascii="Times New Roman" w:hAnsi="Times New Roman" w:eastAsia="Times New Roman" w:cs="Times New Roman"/>
          <w:spacing w:val="-1"/>
          <w:position w:val="-2"/>
          <w:sz w:val="20"/>
          <w:szCs w:val="20"/>
        </w:rPr>
        <w:t xml:space="preserve">476              </w:t>
      </w:r>
      <w:r>
        <w:rPr>
          <w:spacing w:val="-1"/>
          <w:sz w:val="20"/>
          <w:szCs w:val="20"/>
        </w:rPr>
        <w:t>信息系统监理师教</w:t>
      </w:r>
      <w:r>
        <w:rPr>
          <w:spacing w:val="-2"/>
          <w:sz w:val="20"/>
          <w:szCs w:val="20"/>
        </w:rPr>
        <w:t>程(第2版)</w:t>
      </w:r>
    </w:p>
    <w:p w14:paraId="6583F080">
      <w:pPr>
        <w:spacing w:line="256" w:lineRule="auto"/>
        <w:rPr>
          <w:rFonts w:ascii="Arial"/>
          <w:sz w:val="21"/>
        </w:rPr>
      </w:pPr>
    </w:p>
    <w:p w14:paraId="625120D5">
      <w:pPr>
        <w:spacing w:before="65" w:line="275" w:lineRule="auto"/>
        <w:ind w:left="379" w:firstLine="400"/>
        <w:rPr>
          <w:rFonts w:ascii="楷体" w:hAnsi="楷体" w:eastAsia="楷体" w:cs="楷体"/>
          <w:sz w:val="20"/>
          <w:szCs w:val="20"/>
        </w:rPr>
      </w:pPr>
      <w:r>
        <w:rPr>
          <w:rFonts w:ascii="楷体" w:hAnsi="楷体" w:eastAsia="楷体" w:cs="楷体"/>
          <w:spacing w:val="9"/>
          <w:sz w:val="20"/>
          <w:szCs w:val="20"/>
        </w:rPr>
        <w:t>(1)审查设计单位的企业营业执照、年检情况、质量管理体系认证情况、设计资质等级、</w:t>
      </w:r>
      <w:r>
        <w:rPr>
          <w:rFonts w:ascii="楷体" w:hAnsi="楷体" w:eastAsia="楷体" w:cs="楷体"/>
          <w:sz w:val="20"/>
          <w:szCs w:val="20"/>
        </w:rPr>
        <w:t xml:space="preserve"> </w:t>
      </w:r>
      <w:r>
        <w:rPr>
          <w:rFonts w:ascii="楷体" w:hAnsi="楷体" w:eastAsia="楷体" w:cs="楷体"/>
          <w:spacing w:val="-5"/>
          <w:sz w:val="20"/>
          <w:szCs w:val="20"/>
        </w:rPr>
        <w:t>业绩、财务情况等。</w:t>
      </w:r>
    </w:p>
    <w:p w14:paraId="7CEEDDF5">
      <w:pPr>
        <w:spacing w:before="70" w:line="220" w:lineRule="auto"/>
        <w:ind w:left="779"/>
        <w:rPr>
          <w:rFonts w:ascii="楷体" w:hAnsi="楷体" w:eastAsia="楷体" w:cs="楷体"/>
          <w:sz w:val="20"/>
          <w:szCs w:val="20"/>
        </w:rPr>
      </w:pPr>
      <w:r>
        <w:rPr>
          <w:rFonts w:ascii="楷体" w:hAnsi="楷体" w:eastAsia="楷体" w:cs="楷体"/>
          <w:spacing w:val="2"/>
          <w:sz w:val="20"/>
          <w:szCs w:val="20"/>
        </w:rPr>
        <w:t>(2)制订设计阶段的质量控制计划，对于大项目要求设计单位提交阶段性设计成果。</w:t>
      </w:r>
    </w:p>
    <w:p w14:paraId="523EBAE5">
      <w:pPr>
        <w:spacing w:before="64" w:line="223" w:lineRule="auto"/>
        <w:ind w:left="779"/>
        <w:rPr>
          <w:rFonts w:ascii="楷体" w:hAnsi="楷体" w:eastAsia="楷体" w:cs="楷体"/>
          <w:sz w:val="20"/>
          <w:szCs w:val="20"/>
        </w:rPr>
      </w:pPr>
      <w:r>
        <w:rPr>
          <w:rFonts w:ascii="楷体" w:hAnsi="楷体" w:eastAsia="楷体" w:cs="楷体"/>
          <w:spacing w:val="3"/>
          <w:sz w:val="20"/>
          <w:szCs w:val="20"/>
        </w:rPr>
        <w:t>(3)审核设计单位提交的质量管理保证体系文件。</w:t>
      </w:r>
    </w:p>
    <w:p w14:paraId="022B6E8A">
      <w:pPr>
        <w:spacing w:before="65" w:line="220" w:lineRule="auto"/>
        <w:ind w:left="779"/>
        <w:rPr>
          <w:rFonts w:ascii="楷体" w:hAnsi="楷体" w:eastAsia="楷体" w:cs="楷体"/>
          <w:sz w:val="20"/>
          <w:szCs w:val="20"/>
        </w:rPr>
      </w:pPr>
      <w:r>
        <w:rPr>
          <w:rFonts w:ascii="楷体" w:hAnsi="楷体" w:eastAsia="楷体" w:cs="楷体"/>
          <w:spacing w:val="2"/>
          <w:sz w:val="20"/>
          <w:szCs w:val="20"/>
        </w:rPr>
        <w:t>(4)协助业主单位组织审核设计方案，工作要点如下：</w:t>
      </w:r>
    </w:p>
    <w:p w14:paraId="62F582F5">
      <w:pPr>
        <w:spacing w:before="88" w:line="227" w:lineRule="auto"/>
        <w:ind w:left="779"/>
        <w:rPr>
          <w:rFonts w:ascii="楷体" w:hAnsi="楷体" w:eastAsia="楷体" w:cs="楷体"/>
          <w:sz w:val="20"/>
          <w:szCs w:val="20"/>
        </w:rPr>
      </w:pPr>
      <w:r>
        <w:rPr>
          <w:rFonts w:ascii="楷体" w:hAnsi="楷体" w:eastAsia="楷体" w:cs="楷体"/>
          <w:sz w:val="20"/>
          <w:szCs w:val="20"/>
        </w:rPr>
        <w:t>●设计方案必须满足国家相关标准、规范要求；</w:t>
      </w:r>
    </w:p>
    <w:p w14:paraId="68BFAA5A">
      <w:pPr>
        <w:spacing w:before="71" w:line="224" w:lineRule="auto"/>
        <w:ind w:left="779"/>
        <w:rPr>
          <w:rFonts w:ascii="楷体" w:hAnsi="楷体" w:eastAsia="楷体" w:cs="楷体"/>
          <w:sz w:val="20"/>
          <w:szCs w:val="20"/>
        </w:rPr>
      </w:pPr>
      <w:r>
        <w:rPr>
          <w:rFonts w:ascii="楷体" w:hAnsi="楷体" w:eastAsia="楷体" w:cs="楷体"/>
          <w:spacing w:val="1"/>
          <w:sz w:val="20"/>
          <w:szCs w:val="20"/>
        </w:rPr>
        <w:t>●设计方案的可行性、先进性、易维护性、</w:t>
      </w:r>
      <w:r>
        <w:rPr>
          <w:rFonts w:ascii="楷体" w:hAnsi="楷体" w:eastAsia="楷体" w:cs="楷体"/>
          <w:sz w:val="20"/>
          <w:szCs w:val="20"/>
        </w:rPr>
        <w:t>可靠性、可扩展性、安全性；</w:t>
      </w:r>
    </w:p>
    <w:p w14:paraId="7508D95F">
      <w:pPr>
        <w:spacing w:before="87" w:line="223" w:lineRule="auto"/>
        <w:ind w:left="779"/>
        <w:rPr>
          <w:rFonts w:ascii="楷体" w:hAnsi="楷体" w:eastAsia="楷体" w:cs="楷体"/>
          <w:sz w:val="20"/>
          <w:szCs w:val="20"/>
        </w:rPr>
      </w:pPr>
      <w:r>
        <w:rPr>
          <w:rFonts w:ascii="楷体" w:hAnsi="楷体" w:eastAsia="楷体" w:cs="楷体"/>
          <w:spacing w:val="1"/>
          <w:sz w:val="20"/>
          <w:szCs w:val="20"/>
        </w:rPr>
        <w:t>●目标系统与现有系统的兼容性和互操作性；</w:t>
      </w:r>
    </w:p>
    <w:p w14:paraId="0167552F">
      <w:pPr>
        <w:spacing w:before="92" w:line="227" w:lineRule="auto"/>
        <w:ind w:left="779"/>
        <w:rPr>
          <w:rFonts w:ascii="楷体" w:hAnsi="楷体" w:eastAsia="楷体" w:cs="楷体"/>
          <w:sz w:val="20"/>
          <w:szCs w:val="20"/>
        </w:rPr>
      </w:pPr>
      <w:r>
        <w:rPr>
          <w:rFonts w:ascii="楷体" w:hAnsi="楷体" w:eastAsia="楷体" w:cs="楷体"/>
          <w:spacing w:val="1"/>
          <w:sz w:val="20"/>
          <w:szCs w:val="20"/>
        </w:rPr>
        <w:t>●设计方案的设备、材料选型情况；</w:t>
      </w:r>
    </w:p>
    <w:p w14:paraId="20A63DD6">
      <w:pPr>
        <w:spacing w:before="83" w:line="224" w:lineRule="auto"/>
        <w:ind w:left="779"/>
        <w:rPr>
          <w:rFonts w:ascii="楷体" w:hAnsi="楷体" w:eastAsia="楷体" w:cs="楷体"/>
          <w:sz w:val="20"/>
          <w:szCs w:val="20"/>
        </w:rPr>
      </w:pPr>
      <w:r>
        <w:rPr>
          <w:rFonts w:ascii="楷体" w:hAnsi="楷体" w:eastAsia="楷体" w:cs="楷体"/>
          <w:spacing w:val="1"/>
          <w:sz w:val="20"/>
          <w:szCs w:val="20"/>
        </w:rPr>
        <w:t>●方案是否满足项目的自然条件和环境；</w:t>
      </w:r>
    </w:p>
    <w:p w14:paraId="0E89F5DB">
      <w:pPr>
        <w:spacing w:before="78" w:line="225" w:lineRule="auto"/>
        <w:ind w:left="779"/>
        <w:rPr>
          <w:rFonts w:ascii="楷体" w:hAnsi="楷体" w:eastAsia="楷体" w:cs="楷体"/>
          <w:sz w:val="20"/>
          <w:szCs w:val="20"/>
        </w:rPr>
      </w:pPr>
      <w:r>
        <w:rPr>
          <w:rFonts w:ascii="楷体" w:hAnsi="楷体" w:eastAsia="楷体" w:cs="楷体"/>
          <w:spacing w:val="1"/>
          <w:sz w:val="20"/>
          <w:szCs w:val="20"/>
        </w:rPr>
        <w:t>●各专业设计的特点及其互相配合的要求是</w:t>
      </w:r>
      <w:r>
        <w:rPr>
          <w:rFonts w:ascii="楷体" w:hAnsi="楷体" w:eastAsia="楷体" w:cs="楷体"/>
          <w:sz w:val="20"/>
          <w:szCs w:val="20"/>
        </w:rPr>
        <w:t>否明确；</w:t>
      </w:r>
    </w:p>
    <w:p w14:paraId="616DFB5D">
      <w:pPr>
        <w:spacing w:before="74" w:line="224" w:lineRule="auto"/>
        <w:ind w:left="779"/>
        <w:rPr>
          <w:rFonts w:ascii="楷体" w:hAnsi="楷体" w:eastAsia="楷体" w:cs="楷体"/>
          <w:sz w:val="20"/>
          <w:szCs w:val="20"/>
        </w:rPr>
      </w:pPr>
      <w:r>
        <w:rPr>
          <w:rFonts w:ascii="楷体" w:hAnsi="楷体" w:eastAsia="楷体" w:cs="楷体"/>
          <w:spacing w:val="2"/>
          <w:sz w:val="20"/>
          <w:szCs w:val="20"/>
        </w:rPr>
        <w:t>●设计方案与工程需求是否相符；</w:t>
      </w:r>
    </w:p>
    <w:p w14:paraId="54BEB95F">
      <w:pPr>
        <w:spacing w:before="77" w:line="223" w:lineRule="auto"/>
        <w:ind w:left="779"/>
        <w:rPr>
          <w:rFonts w:ascii="楷体" w:hAnsi="楷体" w:eastAsia="楷体" w:cs="楷体"/>
          <w:sz w:val="20"/>
          <w:szCs w:val="20"/>
        </w:rPr>
      </w:pPr>
      <w:r>
        <w:rPr>
          <w:rFonts w:ascii="楷体" w:hAnsi="楷体" w:eastAsia="楷体" w:cs="楷体"/>
          <w:spacing w:val="1"/>
          <w:sz w:val="20"/>
          <w:szCs w:val="20"/>
        </w:rPr>
        <w:t>●主要的质量标准和工艺质量要求是否清楚</w:t>
      </w:r>
      <w:r>
        <w:rPr>
          <w:rFonts w:ascii="楷体" w:hAnsi="楷体" w:eastAsia="楷体" w:cs="楷体"/>
          <w:sz w:val="20"/>
          <w:szCs w:val="20"/>
        </w:rPr>
        <w:t>明确等。</w:t>
      </w:r>
    </w:p>
    <w:p w14:paraId="31042E1B">
      <w:pPr>
        <w:spacing w:line="324" w:lineRule="auto"/>
        <w:rPr>
          <w:rFonts w:ascii="Arial"/>
          <w:sz w:val="21"/>
        </w:rPr>
      </w:pPr>
    </w:p>
    <w:p w14:paraId="24BE36F2">
      <w:pPr>
        <w:pStyle w:val="2"/>
        <w:spacing w:before="95" w:line="222" w:lineRule="auto"/>
        <w:ind w:left="383"/>
        <w:rPr>
          <w:rFonts w:ascii="黑体" w:hAnsi="黑体" w:eastAsia="黑体" w:cs="黑体"/>
          <w:sz w:val="29"/>
          <w:szCs w:val="29"/>
        </w:rPr>
      </w:pPr>
      <w:r>
        <w:rPr>
          <w:b/>
          <w:bCs/>
          <w:color w:val="0075C4"/>
          <w:spacing w:val="-14"/>
          <w:sz w:val="29"/>
          <w:szCs w:val="29"/>
        </w:rPr>
        <w:t>21.4</w:t>
      </w:r>
      <w:r>
        <w:rPr>
          <w:color w:val="0075C4"/>
          <w:spacing w:val="9"/>
          <w:sz w:val="29"/>
          <w:szCs w:val="29"/>
        </w:rPr>
        <w:t xml:space="preserve">  </w:t>
      </w:r>
      <w:r>
        <w:rPr>
          <w:rFonts w:ascii="黑体" w:hAnsi="黑体" w:eastAsia="黑体" w:cs="黑体"/>
          <w:b/>
          <w:bCs/>
          <w:color w:val="0075C4"/>
          <w:spacing w:val="-14"/>
          <w:sz w:val="29"/>
          <w:szCs w:val="29"/>
        </w:rPr>
        <w:t>实施阶段监理工作</w:t>
      </w:r>
    </w:p>
    <w:p w14:paraId="2615BABA">
      <w:pPr>
        <w:pStyle w:val="2"/>
        <w:spacing w:before="253" w:line="287" w:lineRule="auto"/>
        <w:ind w:left="379" w:right="161" w:firstLine="400"/>
        <w:rPr>
          <w:sz w:val="20"/>
          <w:szCs w:val="20"/>
        </w:rPr>
      </w:pPr>
      <w:r>
        <w:rPr>
          <w:spacing w:val="3"/>
          <w:sz w:val="20"/>
          <w:szCs w:val="20"/>
        </w:rPr>
        <w:t>本节重点介绍监理单位在基础设施工程实施</w:t>
      </w:r>
      <w:r>
        <w:rPr>
          <w:spacing w:val="2"/>
          <w:sz w:val="20"/>
          <w:szCs w:val="20"/>
        </w:rPr>
        <w:t>阶段需要执行的监理活动、主要监理内容和监</w:t>
      </w:r>
      <w:r>
        <w:rPr>
          <w:sz w:val="20"/>
          <w:szCs w:val="20"/>
        </w:rPr>
        <w:t xml:space="preserve"> </w:t>
      </w:r>
      <w:r>
        <w:rPr>
          <w:spacing w:val="-2"/>
          <w:sz w:val="20"/>
          <w:szCs w:val="20"/>
        </w:rPr>
        <w:t>理要点。</w:t>
      </w:r>
    </w:p>
    <w:p w14:paraId="32D07744">
      <w:pPr>
        <w:pStyle w:val="2"/>
        <w:spacing w:before="17" w:line="219" w:lineRule="auto"/>
        <w:ind w:left="779"/>
        <w:rPr>
          <w:sz w:val="20"/>
          <w:szCs w:val="20"/>
        </w:rPr>
      </w:pPr>
      <w:r>
        <w:rPr>
          <w:spacing w:val="-2"/>
          <w:sz w:val="20"/>
          <w:szCs w:val="20"/>
        </w:rPr>
        <w:t>在基础设施工程的实施阶段，监理机构应通过监理工作实现以下监理目标：</w:t>
      </w:r>
    </w:p>
    <w:p w14:paraId="41A263D4">
      <w:pPr>
        <w:pStyle w:val="2"/>
        <w:spacing w:before="74" w:line="219" w:lineRule="auto"/>
        <w:ind w:left="779"/>
        <w:rPr>
          <w:sz w:val="20"/>
          <w:szCs w:val="20"/>
        </w:rPr>
      </w:pPr>
      <w:r>
        <w:rPr>
          <w:spacing w:val="2"/>
          <w:sz w:val="20"/>
          <w:szCs w:val="20"/>
        </w:rPr>
        <w:t>(1)工程质量满足设计要求和工程需求；</w:t>
      </w:r>
    </w:p>
    <w:p w14:paraId="51D5DD10">
      <w:pPr>
        <w:pStyle w:val="2"/>
        <w:spacing w:before="63" w:line="219" w:lineRule="auto"/>
        <w:ind w:left="779"/>
        <w:rPr>
          <w:sz w:val="20"/>
          <w:szCs w:val="20"/>
        </w:rPr>
      </w:pPr>
      <w:r>
        <w:rPr>
          <w:spacing w:val="3"/>
          <w:sz w:val="20"/>
          <w:szCs w:val="20"/>
        </w:rPr>
        <w:t>(2)工程在预定工期内完成；</w:t>
      </w:r>
    </w:p>
    <w:p w14:paraId="3245FA84">
      <w:pPr>
        <w:pStyle w:val="2"/>
        <w:spacing w:before="73" w:line="220" w:lineRule="auto"/>
        <w:ind w:left="779"/>
        <w:rPr>
          <w:sz w:val="20"/>
          <w:szCs w:val="20"/>
        </w:rPr>
      </w:pPr>
      <w:r>
        <w:rPr>
          <w:spacing w:val="3"/>
          <w:sz w:val="20"/>
          <w:szCs w:val="20"/>
        </w:rPr>
        <w:t>(3)工程投资受控且合理；</w:t>
      </w:r>
    </w:p>
    <w:p w14:paraId="5FFEECC0">
      <w:pPr>
        <w:pStyle w:val="2"/>
        <w:spacing w:before="82" w:line="220" w:lineRule="auto"/>
        <w:ind w:left="779"/>
        <w:rPr>
          <w:sz w:val="20"/>
          <w:szCs w:val="20"/>
        </w:rPr>
      </w:pPr>
      <w:r>
        <w:rPr>
          <w:spacing w:val="2"/>
          <w:sz w:val="20"/>
          <w:szCs w:val="20"/>
        </w:rPr>
        <w:t>(4)保证施工安全，避免安全事故发生。</w:t>
      </w:r>
    </w:p>
    <w:p w14:paraId="4FA68995">
      <w:pPr>
        <w:pStyle w:val="2"/>
        <w:spacing w:before="240" w:line="220" w:lineRule="auto"/>
        <w:ind w:left="382"/>
        <w:rPr>
          <w:sz w:val="25"/>
          <w:szCs w:val="25"/>
        </w:rPr>
      </w:pPr>
      <w:r>
        <w:rPr>
          <w:b/>
          <w:bCs/>
          <w:color w:val="0072BE"/>
          <w:spacing w:val="-18"/>
          <w:sz w:val="25"/>
          <w:szCs w:val="25"/>
        </w:rPr>
        <w:t>21.4.1</w:t>
      </w:r>
      <w:r>
        <w:rPr>
          <w:color w:val="0072BE"/>
          <w:spacing w:val="90"/>
          <w:sz w:val="25"/>
          <w:szCs w:val="25"/>
        </w:rPr>
        <w:t xml:space="preserve"> </w:t>
      </w:r>
      <w:r>
        <w:rPr>
          <w:b/>
          <w:bCs/>
          <w:color w:val="0072BE"/>
          <w:spacing w:val="-18"/>
          <w:sz w:val="25"/>
          <w:szCs w:val="25"/>
        </w:rPr>
        <w:t>监理活动</w:t>
      </w:r>
    </w:p>
    <w:p w14:paraId="12E90F3E">
      <w:pPr>
        <w:pStyle w:val="2"/>
        <w:spacing w:before="154" w:line="220" w:lineRule="auto"/>
        <w:ind w:left="779"/>
        <w:rPr>
          <w:sz w:val="20"/>
          <w:szCs w:val="20"/>
        </w:rPr>
      </w:pPr>
      <w:r>
        <w:rPr>
          <w:spacing w:val="-3"/>
          <w:sz w:val="20"/>
          <w:szCs w:val="20"/>
        </w:rPr>
        <w:t>基础设施工程实施阶段的主要监理活动如下：</w:t>
      </w:r>
    </w:p>
    <w:p w14:paraId="12EF57C1">
      <w:pPr>
        <w:pStyle w:val="2"/>
        <w:spacing w:before="79" w:line="219" w:lineRule="auto"/>
        <w:ind w:left="779"/>
        <w:rPr>
          <w:sz w:val="20"/>
          <w:szCs w:val="20"/>
        </w:rPr>
      </w:pPr>
      <w:r>
        <w:rPr>
          <w:spacing w:val="2"/>
          <w:sz w:val="20"/>
          <w:szCs w:val="20"/>
        </w:rPr>
        <w:t>(1)审查施工图设计文件，参加设计会审交底；</w:t>
      </w:r>
    </w:p>
    <w:p w14:paraId="01679F1A">
      <w:pPr>
        <w:pStyle w:val="2"/>
        <w:spacing w:before="85" w:line="219" w:lineRule="auto"/>
        <w:ind w:left="779"/>
        <w:rPr>
          <w:sz w:val="20"/>
          <w:szCs w:val="20"/>
        </w:rPr>
      </w:pPr>
      <w:r>
        <w:rPr>
          <w:spacing w:val="1"/>
          <w:sz w:val="20"/>
          <w:szCs w:val="20"/>
        </w:rPr>
        <w:t>(2)审核承建单位提交的工程实施组织设计方案，并提出监理意见；</w:t>
      </w:r>
    </w:p>
    <w:p w14:paraId="5B86A976">
      <w:pPr>
        <w:pStyle w:val="2"/>
        <w:spacing w:before="62" w:line="219" w:lineRule="auto"/>
        <w:ind w:left="779"/>
        <w:rPr>
          <w:sz w:val="20"/>
          <w:szCs w:val="20"/>
        </w:rPr>
      </w:pPr>
      <w:r>
        <w:rPr>
          <w:spacing w:val="1"/>
          <w:sz w:val="20"/>
          <w:szCs w:val="20"/>
        </w:rPr>
        <w:t>(3)根据工程实施组织设计方案及相关标准制定监理实施细则；</w:t>
      </w:r>
    </w:p>
    <w:p w14:paraId="5778F870">
      <w:pPr>
        <w:pStyle w:val="2"/>
        <w:spacing w:before="73" w:line="248" w:lineRule="auto"/>
        <w:ind w:left="379" w:right="121" w:firstLine="400"/>
        <w:rPr>
          <w:sz w:val="20"/>
          <w:szCs w:val="20"/>
        </w:rPr>
      </w:pPr>
      <w:r>
        <w:rPr>
          <w:spacing w:val="6"/>
          <w:sz w:val="20"/>
          <w:szCs w:val="20"/>
        </w:rPr>
        <w:t>(4)根据工程设计方案、工程实施组织设计方案、标准及规范，对工程实施的质量</w:t>
      </w:r>
      <w:r>
        <w:rPr>
          <w:spacing w:val="5"/>
          <w:sz w:val="20"/>
          <w:szCs w:val="20"/>
        </w:rPr>
        <w:t>进行监</w:t>
      </w:r>
      <w:r>
        <w:rPr>
          <w:sz w:val="20"/>
          <w:szCs w:val="20"/>
        </w:rPr>
        <w:t xml:space="preserve"> </w:t>
      </w:r>
      <w:r>
        <w:rPr>
          <w:spacing w:val="-2"/>
          <w:sz w:val="20"/>
          <w:szCs w:val="20"/>
        </w:rPr>
        <w:t>理，核实施工人员，并按照既定程序处理工程实施中的质量事故；</w:t>
      </w:r>
    </w:p>
    <w:p w14:paraId="69CD0D7A">
      <w:pPr>
        <w:pStyle w:val="2"/>
        <w:spacing w:before="73" w:line="219" w:lineRule="auto"/>
        <w:ind w:left="779"/>
        <w:rPr>
          <w:sz w:val="20"/>
          <w:szCs w:val="20"/>
        </w:rPr>
      </w:pPr>
      <w:r>
        <w:rPr>
          <w:spacing w:val="2"/>
          <w:sz w:val="20"/>
          <w:szCs w:val="20"/>
        </w:rPr>
        <w:t>(5)根据工程实施组织设计方案，对承建单位的实施计划进行审核并监</w:t>
      </w:r>
      <w:r>
        <w:rPr>
          <w:spacing w:val="1"/>
          <w:sz w:val="20"/>
          <w:szCs w:val="20"/>
        </w:rPr>
        <w:t>督执行；</w:t>
      </w:r>
    </w:p>
    <w:p w14:paraId="0BDA4A95">
      <w:pPr>
        <w:pStyle w:val="2"/>
        <w:spacing w:before="62" w:line="219" w:lineRule="auto"/>
        <w:ind w:left="779"/>
        <w:rPr>
          <w:sz w:val="20"/>
          <w:szCs w:val="20"/>
        </w:rPr>
      </w:pPr>
      <w:r>
        <w:rPr>
          <w:spacing w:val="3"/>
          <w:sz w:val="20"/>
          <w:szCs w:val="20"/>
        </w:rPr>
        <w:t>(6)审核承建单位的资质；</w:t>
      </w:r>
    </w:p>
    <w:p w14:paraId="1004BA2A">
      <w:pPr>
        <w:pStyle w:val="2"/>
        <w:spacing w:before="73" w:line="219" w:lineRule="auto"/>
        <w:ind w:left="779"/>
        <w:rPr>
          <w:sz w:val="20"/>
          <w:szCs w:val="20"/>
        </w:rPr>
      </w:pPr>
      <w:r>
        <w:rPr>
          <w:spacing w:val="1"/>
          <w:sz w:val="20"/>
          <w:szCs w:val="20"/>
        </w:rPr>
        <w:t>(7)审核工程分包单位的资质，确认其具备完成所分包部分的能力；</w:t>
      </w:r>
    </w:p>
    <w:p w14:paraId="1B7A7777">
      <w:pPr>
        <w:pStyle w:val="2"/>
        <w:spacing w:before="72" w:line="219" w:lineRule="auto"/>
        <w:ind w:left="779"/>
        <w:rPr>
          <w:sz w:val="20"/>
          <w:szCs w:val="20"/>
        </w:rPr>
      </w:pPr>
      <w:r>
        <w:rPr>
          <w:spacing w:val="1"/>
          <w:sz w:val="20"/>
          <w:szCs w:val="20"/>
        </w:rPr>
        <w:t>(8)审核开工申请，满足开工条件的签发开工令；</w:t>
      </w:r>
    </w:p>
    <w:p w14:paraId="6478D733">
      <w:pPr>
        <w:pStyle w:val="2"/>
        <w:spacing w:before="64" w:line="219" w:lineRule="auto"/>
        <w:ind w:left="779"/>
        <w:rPr>
          <w:sz w:val="20"/>
          <w:szCs w:val="20"/>
        </w:rPr>
      </w:pPr>
      <w:r>
        <w:rPr>
          <w:spacing w:val="4"/>
          <w:sz w:val="20"/>
          <w:szCs w:val="20"/>
        </w:rPr>
        <w:t>(9)审查承建单位提交的施工计划；</w:t>
      </w:r>
    </w:p>
    <w:p w14:paraId="4B28A4EF">
      <w:pPr>
        <w:pStyle w:val="2"/>
        <w:spacing w:before="73" w:line="219" w:lineRule="auto"/>
        <w:ind w:left="779"/>
        <w:rPr>
          <w:sz w:val="20"/>
          <w:szCs w:val="20"/>
        </w:rPr>
      </w:pPr>
      <w:r>
        <w:rPr>
          <w:spacing w:val="2"/>
          <w:sz w:val="20"/>
          <w:szCs w:val="20"/>
        </w:rPr>
        <w:t>(10)检查现场施工条件及施工准备情况；</w:t>
      </w:r>
    </w:p>
    <w:p w14:paraId="7B05DAD9">
      <w:pPr>
        <w:spacing w:line="219" w:lineRule="auto"/>
        <w:rPr>
          <w:sz w:val="20"/>
          <w:szCs w:val="20"/>
        </w:rPr>
        <w:sectPr>
          <w:pgSz w:w="10310" w:h="13330"/>
          <w:pgMar w:top="400" w:right="959" w:bottom="400" w:left="510" w:header="0" w:footer="0" w:gutter="0"/>
          <w:cols w:space="720" w:num="1"/>
        </w:sectPr>
      </w:pPr>
    </w:p>
    <w:p w14:paraId="63C414BD">
      <w:pPr>
        <w:pStyle w:val="2"/>
        <w:spacing w:before="37" w:line="220" w:lineRule="auto"/>
        <w:jc w:val="right"/>
        <w:rPr>
          <w:rFonts w:ascii="Times New Roman" w:hAnsi="Times New Roman" w:eastAsia="Times New Roman" w:cs="Times New Roman"/>
          <w:sz w:val="20"/>
          <w:szCs w:val="20"/>
        </w:rPr>
      </w:pPr>
      <w:bookmarkStart w:id="718" w:name="bookmark703"/>
      <w:bookmarkEnd w:id="718"/>
      <w:r>
        <w:rPr>
          <w:spacing w:val="-4"/>
          <w:sz w:val="20"/>
          <w:szCs w:val="20"/>
        </w:rPr>
        <w:t>第21章 基础设施工程监理</w:t>
      </w:r>
      <w:r>
        <w:rPr>
          <w:spacing w:val="3"/>
          <w:sz w:val="20"/>
          <w:szCs w:val="20"/>
        </w:rPr>
        <w:t xml:space="preserve">      </w:t>
      </w:r>
      <w:r>
        <w:rPr>
          <w:rFonts w:ascii="Times New Roman" w:hAnsi="Times New Roman" w:eastAsia="Times New Roman" w:cs="Times New Roman"/>
          <w:spacing w:val="-4"/>
          <w:position w:val="-3"/>
          <w:sz w:val="20"/>
          <w:szCs w:val="20"/>
        </w:rPr>
        <w:t>477</w:t>
      </w:r>
    </w:p>
    <w:p w14:paraId="4F5D96F1">
      <w:pPr>
        <w:spacing w:line="310" w:lineRule="auto"/>
        <w:rPr>
          <w:rFonts w:ascii="Arial"/>
          <w:sz w:val="21"/>
        </w:rPr>
      </w:pPr>
    </w:p>
    <w:p w14:paraId="0810BC36">
      <w:pPr>
        <w:pStyle w:val="2"/>
        <w:spacing w:before="65" w:line="219" w:lineRule="auto"/>
        <w:ind w:left="409"/>
        <w:rPr>
          <w:sz w:val="20"/>
          <w:szCs w:val="20"/>
        </w:rPr>
      </w:pPr>
      <w:r>
        <w:rPr>
          <w:spacing w:val="1"/>
          <w:sz w:val="20"/>
          <w:szCs w:val="20"/>
        </w:rPr>
        <w:t>(11)检查进场的施工工具、仪器和设备；</w:t>
      </w:r>
    </w:p>
    <w:p w14:paraId="5B4CE2CF">
      <w:pPr>
        <w:pStyle w:val="2"/>
        <w:spacing w:before="80" w:line="218" w:lineRule="auto"/>
        <w:ind w:left="409"/>
        <w:rPr>
          <w:sz w:val="20"/>
          <w:szCs w:val="20"/>
        </w:rPr>
      </w:pPr>
      <w:r>
        <w:rPr>
          <w:sz w:val="20"/>
          <w:szCs w:val="20"/>
        </w:rPr>
        <w:t>(12)检查验收进场的线材和连接硬件，并出具验收报告；</w:t>
      </w:r>
    </w:p>
    <w:p w14:paraId="4717C9AC">
      <w:pPr>
        <w:pStyle w:val="2"/>
        <w:spacing w:before="65" w:line="219" w:lineRule="auto"/>
        <w:ind w:left="409"/>
        <w:rPr>
          <w:sz w:val="20"/>
          <w:szCs w:val="20"/>
        </w:rPr>
      </w:pPr>
      <w:r>
        <w:rPr>
          <w:spacing w:val="1"/>
          <w:sz w:val="20"/>
          <w:szCs w:val="20"/>
        </w:rPr>
        <w:t>(13)响应承建单位提出的隐蔽工程报验，并对隐蔽工程进行</w:t>
      </w:r>
      <w:r>
        <w:rPr>
          <w:sz w:val="20"/>
          <w:szCs w:val="20"/>
        </w:rPr>
        <w:t>旁站、检查和签认；</w:t>
      </w:r>
    </w:p>
    <w:p w14:paraId="635C69D8">
      <w:pPr>
        <w:pStyle w:val="2"/>
        <w:spacing w:before="83" w:line="219" w:lineRule="auto"/>
        <w:ind w:left="409"/>
        <w:rPr>
          <w:sz w:val="20"/>
          <w:szCs w:val="20"/>
        </w:rPr>
      </w:pPr>
      <w:r>
        <w:rPr>
          <w:sz w:val="20"/>
          <w:szCs w:val="20"/>
        </w:rPr>
        <w:t>(14)响应工程变更申请，审核工程变更的可行性、合理性、经济性；</w:t>
      </w:r>
    </w:p>
    <w:p w14:paraId="4C24425A">
      <w:pPr>
        <w:pStyle w:val="2"/>
        <w:spacing w:before="62" w:line="286" w:lineRule="auto"/>
        <w:ind w:right="328" w:firstLine="409"/>
        <w:rPr>
          <w:sz w:val="16"/>
          <w:szCs w:val="16"/>
        </w:rPr>
      </w:pPr>
      <w:r>
        <w:rPr>
          <w:spacing w:val="13"/>
          <w:sz w:val="20"/>
          <w:szCs w:val="20"/>
        </w:rPr>
        <w:t>(15)审核承建单位提交的付款申请，并根据合同和工程实施的</w:t>
      </w:r>
      <w:r>
        <w:rPr>
          <w:spacing w:val="12"/>
          <w:sz w:val="20"/>
          <w:szCs w:val="20"/>
        </w:rPr>
        <w:t>进度和质量，签认付款</w:t>
      </w:r>
      <w:r>
        <w:rPr>
          <w:sz w:val="20"/>
          <w:szCs w:val="20"/>
        </w:rPr>
        <w:t xml:space="preserve"> </w:t>
      </w:r>
      <w:r>
        <w:rPr>
          <w:spacing w:val="-6"/>
          <w:sz w:val="16"/>
          <w:szCs w:val="16"/>
        </w:rPr>
        <w:t>证</w:t>
      </w:r>
      <w:r>
        <w:rPr>
          <w:spacing w:val="-13"/>
          <w:sz w:val="16"/>
          <w:szCs w:val="16"/>
        </w:rPr>
        <w:t xml:space="preserve"> </w:t>
      </w:r>
      <w:r>
        <w:rPr>
          <w:spacing w:val="-6"/>
          <w:sz w:val="16"/>
          <w:szCs w:val="16"/>
        </w:rPr>
        <w:t>书</w:t>
      </w:r>
      <w:r>
        <w:rPr>
          <w:spacing w:val="-23"/>
          <w:sz w:val="16"/>
          <w:szCs w:val="16"/>
        </w:rPr>
        <w:t xml:space="preserve"> </w:t>
      </w:r>
      <w:r>
        <w:rPr>
          <w:spacing w:val="-6"/>
          <w:sz w:val="16"/>
          <w:szCs w:val="16"/>
        </w:rPr>
        <w:t>；</w:t>
      </w:r>
    </w:p>
    <w:p w14:paraId="3F4D48C3">
      <w:pPr>
        <w:pStyle w:val="2"/>
        <w:spacing w:before="83" w:line="219" w:lineRule="auto"/>
        <w:ind w:left="409"/>
        <w:rPr>
          <w:sz w:val="20"/>
          <w:szCs w:val="20"/>
        </w:rPr>
      </w:pPr>
      <w:r>
        <w:rPr>
          <w:spacing w:val="1"/>
          <w:sz w:val="20"/>
          <w:szCs w:val="20"/>
        </w:rPr>
        <w:t>(16)按照既定程序处理工程索赔申请；</w:t>
      </w:r>
    </w:p>
    <w:p w14:paraId="64D9F298">
      <w:pPr>
        <w:pStyle w:val="2"/>
        <w:spacing w:before="83" w:line="219" w:lineRule="auto"/>
        <w:ind w:left="409"/>
        <w:rPr>
          <w:sz w:val="20"/>
          <w:szCs w:val="20"/>
        </w:rPr>
      </w:pPr>
      <w:r>
        <w:rPr>
          <w:spacing w:val="2"/>
          <w:sz w:val="20"/>
          <w:szCs w:val="20"/>
        </w:rPr>
        <w:t>(17)根据监理规划和监理实施细则，做好实施阶段的信息管理和协调工作。</w:t>
      </w:r>
    </w:p>
    <w:p w14:paraId="45EE4CDD">
      <w:pPr>
        <w:pStyle w:val="2"/>
        <w:spacing w:before="241" w:line="219" w:lineRule="auto"/>
        <w:ind w:left="12"/>
        <w:rPr>
          <w:sz w:val="25"/>
          <w:szCs w:val="25"/>
        </w:rPr>
      </w:pPr>
      <w:r>
        <w:rPr>
          <w:b/>
          <w:bCs/>
          <w:color w:val="0086ED"/>
          <w:spacing w:val="-19"/>
          <w:sz w:val="25"/>
          <w:szCs w:val="25"/>
        </w:rPr>
        <w:t>21.4.2</w:t>
      </w:r>
      <w:r>
        <w:rPr>
          <w:color w:val="0086ED"/>
          <w:spacing w:val="100"/>
          <w:sz w:val="25"/>
          <w:szCs w:val="25"/>
        </w:rPr>
        <w:t xml:space="preserve"> </w:t>
      </w:r>
      <w:r>
        <w:rPr>
          <w:b/>
          <w:bCs/>
          <w:color w:val="0086ED"/>
          <w:spacing w:val="-19"/>
          <w:sz w:val="25"/>
          <w:szCs w:val="25"/>
        </w:rPr>
        <w:t>监理内容</w:t>
      </w:r>
    </w:p>
    <w:p w14:paraId="6E631739">
      <w:pPr>
        <w:pStyle w:val="2"/>
        <w:spacing w:before="262" w:line="222" w:lineRule="auto"/>
        <w:ind w:left="412"/>
        <w:rPr>
          <w:rFonts w:ascii="黑体" w:hAnsi="黑体" w:eastAsia="黑体" w:cs="黑体"/>
          <w:sz w:val="20"/>
          <w:szCs w:val="20"/>
        </w:rPr>
      </w:pPr>
      <w:r>
        <w:rPr>
          <w:b/>
          <w:bCs/>
          <w:color w:val="0081D8"/>
          <w:spacing w:val="-1"/>
          <w:sz w:val="20"/>
          <w:szCs w:val="20"/>
        </w:rPr>
        <w:t>1.</w:t>
      </w:r>
      <w:r>
        <w:rPr>
          <w:rFonts w:ascii="黑体" w:hAnsi="黑体" w:eastAsia="黑体" w:cs="黑体"/>
          <w:b/>
          <w:bCs/>
          <w:color w:val="0081D8"/>
          <w:spacing w:val="-1"/>
          <w:sz w:val="20"/>
          <w:szCs w:val="20"/>
        </w:rPr>
        <w:t>质量控制</w:t>
      </w:r>
    </w:p>
    <w:p w14:paraId="7AD66666">
      <w:pPr>
        <w:pStyle w:val="2"/>
        <w:spacing w:before="132" w:line="219" w:lineRule="auto"/>
        <w:ind w:left="409"/>
        <w:rPr>
          <w:sz w:val="20"/>
          <w:szCs w:val="20"/>
        </w:rPr>
      </w:pPr>
      <w:r>
        <w:rPr>
          <w:spacing w:val="-3"/>
          <w:sz w:val="20"/>
          <w:szCs w:val="20"/>
        </w:rPr>
        <w:t>在质量控制方面的主要监理内容包括：</w:t>
      </w:r>
    </w:p>
    <w:p w14:paraId="7FDA8D8C">
      <w:pPr>
        <w:pStyle w:val="2"/>
        <w:spacing w:before="83" w:line="219" w:lineRule="auto"/>
        <w:ind w:left="409"/>
        <w:rPr>
          <w:sz w:val="20"/>
          <w:szCs w:val="20"/>
        </w:rPr>
      </w:pPr>
      <w:r>
        <w:rPr>
          <w:spacing w:val="1"/>
          <w:sz w:val="20"/>
          <w:szCs w:val="20"/>
        </w:rPr>
        <w:t>(1)施工图设计文件的审查。具体包括：</w:t>
      </w:r>
    </w:p>
    <w:p w14:paraId="0DD895AB">
      <w:pPr>
        <w:pStyle w:val="2"/>
        <w:spacing w:before="73" w:line="219" w:lineRule="auto"/>
        <w:ind w:left="409"/>
        <w:rPr>
          <w:sz w:val="20"/>
          <w:szCs w:val="20"/>
        </w:rPr>
      </w:pPr>
      <w:r>
        <w:rPr>
          <w:spacing w:val="1"/>
          <w:sz w:val="20"/>
          <w:szCs w:val="20"/>
        </w:rPr>
        <w:t>●设计深度应能指导施工，图纸齐全、表达</w:t>
      </w:r>
      <w:r>
        <w:rPr>
          <w:sz w:val="20"/>
          <w:szCs w:val="20"/>
        </w:rPr>
        <w:t>准确；</w:t>
      </w:r>
    </w:p>
    <w:p w14:paraId="2237FF56">
      <w:pPr>
        <w:pStyle w:val="2"/>
        <w:spacing w:before="82" w:line="293" w:lineRule="auto"/>
        <w:ind w:left="679" w:right="308" w:hanging="270"/>
        <w:rPr>
          <w:sz w:val="16"/>
          <w:szCs w:val="16"/>
        </w:rPr>
      </w:pPr>
      <w:r>
        <w:rPr>
          <w:spacing w:val="3"/>
          <w:sz w:val="20"/>
          <w:szCs w:val="20"/>
        </w:rPr>
        <w:t>●若工程有两个及以上设计单位或不同专业的施工单位时，设计图纸应衔接，技术标准应</w:t>
      </w:r>
      <w:r>
        <w:rPr>
          <w:sz w:val="20"/>
          <w:szCs w:val="20"/>
        </w:rPr>
        <w:t xml:space="preserve"> </w:t>
      </w:r>
      <w:r>
        <w:rPr>
          <w:spacing w:val="-7"/>
          <w:sz w:val="16"/>
          <w:szCs w:val="16"/>
        </w:rPr>
        <w:t>统</w:t>
      </w:r>
      <w:r>
        <w:rPr>
          <w:spacing w:val="-12"/>
          <w:sz w:val="16"/>
          <w:szCs w:val="16"/>
        </w:rPr>
        <w:t xml:space="preserve"> </w:t>
      </w:r>
      <w:r>
        <w:rPr>
          <w:spacing w:val="-7"/>
          <w:sz w:val="16"/>
          <w:szCs w:val="16"/>
        </w:rPr>
        <w:t>一</w:t>
      </w:r>
      <w:r>
        <w:rPr>
          <w:spacing w:val="-21"/>
          <w:sz w:val="16"/>
          <w:szCs w:val="16"/>
        </w:rPr>
        <w:t xml:space="preserve"> </w:t>
      </w:r>
      <w:r>
        <w:rPr>
          <w:spacing w:val="-7"/>
          <w:sz w:val="16"/>
          <w:szCs w:val="16"/>
        </w:rPr>
        <w:t>；</w:t>
      </w:r>
    </w:p>
    <w:p w14:paraId="713907F5">
      <w:pPr>
        <w:pStyle w:val="2"/>
        <w:spacing w:before="89" w:line="219" w:lineRule="auto"/>
        <w:ind w:left="409"/>
        <w:rPr>
          <w:sz w:val="20"/>
          <w:szCs w:val="20"/>
        </w:rPr>
      </w:pPr>
      <w:r>
        <w:rPr>
          <w:spacing w:val="1"/>
          <w:sz w:val="20"/>
          <w:szCs w:val="20"/>
        </w:rPr>
        <w:t>●设计预算套用定额、计算应准确，工程量没有遗漏或重复计算；</w:t>
      </w:r>
    </w:p>
    <w:p w14:paraId="4D10DF49">
      <w:pPr>
        <w:pStyle w:val="2"/>
        <w:spacing w:before="82" w:line="219" w:lineRule="auto"/>
        <w:ind w:left="409"/>
        <w:rPr>
          <w:sz w:val="20"/>
          <w:szCs w:val="20"/>
        </w:rPr>
      </w:pPr>
      <w:r>
        <w:rPr>
          <w:spacing w:val="1"/>
          <w:sz w:val="20"/>
          <w:szCs w:val="20"/>
        </w:rPr>
        <w:t>●设计预算所列主要器材、设备数量应与设</w:t>
      </w:r>
      <w:r>
        <w:rPr>
          <w:sz w:val="20"/>
          <w:szCs w:val="20"/>
        </w:rPr>
        <w:t>计说明和施工图纸相符。</w:t>
      </w:r>
    </w:p>
    <w:p w14:paraId="7C89218D">
      <w:pPr>
        <w:pStyle w:val="2"/>
        <w:spacing w:before="94" w:line="220" w:lineRule="auto"/>
        <w:ind w:left="409"/>
        <w:rPr>
          <w:sz w:val="20"/>
          <w:szCs w:val="20"/>
        </w:rPr>
      </w:pPr>
      <w:r>
        <w:rPr>
          <w:spacing w:val="2"/>
          <w:sz w:val="20"/>
          <w:szCs w:val="20"/>
        </w:rPr>
        <w:t>(2)实施组织设计方案的审查。具体包括：</w:t>
      </w:r>
    </w:p>
    <w:p w14:paraId="3AA188F9">
      <w:pPr>
        <w:pStyle w:val="2"/>
        <w:spacing w:before="71" w:line="219" w:lineRule="auto"/>
        <w:ind w:left="409"/>
        <w:rPr>
          <w:sz w:val="20"/>
          <w:szCs w:val="20"/>
        </w:rPr>
      </w:pPr>
      <w:r>
        <w:rPr>
          <w:spacing w:val="1"/>
          <w:sz w:val="20"/>
          <w:szCs w:val="20"/>
        </w:rPr>
        <w:t>●工程质量、工期应与设计文件、承建合同一致；</w:t>
      </w:r>
    </w:p>
    <w:p w14:paraId="0D44D43D">
      <w:pPr>
        <w:pStyle w:val="2"/>
        <w:spacing w:before="83" w:line="219" w:lineRule="auto"/>
        <w:ind w:left="409"/>
        <w:rPr>
          <w:sz w:val="20"/>
          <w:szCs w:val="20"/>
        </w:rPr>
      </w:pPr>
      <w:r>
        <w:rPr>
          <w:sz w:val="20"/>
          <w:szCs w:val="20"/>
        </w:rPr>
        <w:t>●进度计划要保证施工的连续性，施工方案和工艺应符合设计要求；</w:t>
      </w:r>
    </w:p>
    <w:p w14:paraId="6DAA0045">
      <w:pPr>
        <w:pStyle w:val="2"/>
        <w:spacing w:before="83" w:line="219" w:lineRule="auto"/>
        <w:ind w:left="409"/>
        <w:rPr>
          <w:sz w:val="20"/>
          <w:szCs w:val="20"/>
        </w:rPr>
      </w:pPr>
      <w:r>
        <w:rPr>
          <w:spacing w:val="1"/>
          <w:sz w:val="20"/>
          <w:szCs w:val="20"/>
        </w:rPr>
        <w:t>●施工人员和物资安排应满足进度计划；</w:t>
      </w:r>
    </w:p>
    <w:p w14:paraId="0D7C7FEC">
      <w:pPr>
        <w:pStyle w:val="2"/>
        <w:spacing w:before="83" w:line="219" w:lineRule="auto"/>
        <w:ind w:left="409"/>
        <w:rPr>
          <w:sz w:val="20"/>
          <w:szCs w:val="20"/>
        </w:rPr>
      </w:pPr>
      <w:r>
        <w:rPr>
          <w:sz w:val="20"/>
          <w:szCs w:val="20"/>
        </w:rPr>
        <w:t>●施工器具、仪表应满足施工任务的需要；</w:t>
      </w:r>
    </w:p>
    <w:p w14:paraId="3FCDE866">
      <w:pPr>
        <w:pStyle w:val="2"/>
        <w:spacing w:before="82" w:line="219" w:lineRule="auto"/>
        <w:ind w:left="409"/>
        <w:rPr>
          <w:sz w:val="20"/>
          <w:szCs w:val="20"/>
        </w:rPr>
      </w:pPr>
      <w:r>
        <w:rPr>
          <w:spacing w:val="1"/>
          <w:sz w:val="20"/>
          <w:szCs w:val="20"/>
        </w:rPr>
        <w:t>●质量、技术管理体系应健全，措施切实可行；</w:t>
      </w:r>
    </w:p>
    <w:p w14:paraId="45E073BC">
      <w:pPr>
        <w:pStyle w:val="2"/>
        <w:spacing w:before="73" w:line="219" w:lineRule="auto"/>
        <w:ind w:left="409"/>
        <w:rPr>
          <w:sz w:val="20"/>
          <w:szCs w:val="20"/>
        </w:rPr>
      </w:pPr>
      <w:r>
        <w:rPr>
          <w:spacing w:val="1"/>
          <w:sz w:val="20"/>
          <w:szCs w:val="20"/>
        </w:rPr>
        <w:t>●安全、环保、消防、文明施工等措施应完善并符合规定。</w:t>
      </w:r>
    </w:p>
    <w:p w14:paraId="7F31EFC5">
      <w:pPr>
        <w:pStyle w:val="2"/>
        <w:spacing w:before="83" w:line="219" w:lineRule="auto"/>
        <w:ind w:left="409"/>
        <w:rPr>
          <w:sz w:val="20"/>
          <w:szCs w:val="20"/>
        </w:rPr>
      </w:pPr>
      <w:r>
        <w:rPr>
          <w:spacing w:val="3"/>
          <w:sz w:val="20"/>
          <w:szCs w:val="20"/>
        </w:rPr>
        <w:t>(3)隐蔽工程的检查。具体包括：</w:t>
      </w:r>
    </w:p>
    <w:p w14:paraId="7DAE171C">
      <w:pPr>
        <w:pStyle w:val="2"/>
        <w:spacing w:before="63" w:line="219" w:lineRule="auto"/>
        <w:ind w:left="409"/>
        <w:rPr>
          <w:sz w:val="20"/>
          <w:szCs w:val="20"/>
        </w:rPr>
      </w:pPr>
      <w:r>
        <w:rPr>
          <w:spacing w:val="1"/>
          <w:sz w:val="20"/>
          <w:szCs w:val="20"/>
        </w:rPr>
        <w:t>●应在隐蔽部位隐蔽前进行检查验收；</w:t>
      </w:r>
    </w:p>
    <w:p w14:paraId="6A68BBA8">
      <w:pPr>
        <w:pStyle w:val="2"/>
        <w:spacing w:before="92" w:line="219" w:lineRule="auto"/>
        <w:ind w:left="409"/>
        <w:rPr>
          <w:sz w:val="20"/>
          <w:szCs w:val="20"/>
        </w:rPr>
      </w:pPr>
      <w:r>
        <w:rPr>
          <w:spacing w:val="1"/>
          <w:sz w:val="20"/>
          <w:szCs w:val="20"/>
        </w:rPr>
        <w:t>●对需要进行中间验收的单项工程和部位及时进行检查，不应影</w:t>
      </w:r>
      <w:r>
        <w:rPr>
          <w:sz w:val="20"/>
          <w:szCs w:val="20"/>
        </w:rPr>
        <w:t>响后续施工；</w:t>
      </w:r>
    </w:p>
    <w:p w14:paraId="19ED7E4B">
      <w:pPr>
        <w:pStyle w:val="2"/>
        <w:spacing w:before="82" w:line="219" w:lineRule="auto"/>
        <w:ind w:left="409"/>
        <w:rPr>
          <w:sz w:val="20"/>
          <w:szCs w:val="20"/>
        </w:rPr>
      </w:pPr>
      <w:r>
        <w:rPr>
          <w:spacing w:val="2"/>
          <w:sz w:val="20"/>
          <w:szCs w:val="20"/>
        </w:rPr>
        <w:t>●承建单位应为检验和验收提供便利条件。</w:t>
      </w:r>
    </w:p>
    <w:p w14:paraId="161C5949">
      <w:pPr>
        <w:pStyle w:val="2"/>
        <w:spacing w:before="74" w:line="219" w:lineRule="auto"/>
        <w:ind w:left="409"/>
        <w:rPr>
          <w:sz w:val="20"/>
          <w:szCs w:val="20"/>
        </w:rPr>
      </w:pPr>
      <w:r>
        <w:rPr>
          <w:spacing w:val="2"/>
          <w:sz w:val="20"/>
          <w:szCs w:val="20"/>
        </w:rPr>
        <w:t>(4)其他质量控制内容。具体包括：</w:t>
      </w:r>
    </w:p>
    <w:p w14:paraId="47098121">
      <w:pPr>
        <w:pStyle w:val="2"/>
        <w:spacing w:before="73" w:line="219" w:lineRule="auto"/>
        <w:ind w:left="409"/>
        <w:rPr>
          <w:sz w:val="20"/>
          <w:szCs w:val="20"/>
        </w:rPr>
      </w:pPr>
      <w:r>
        <w:rPr>
          <w:spacing w:val="1"/>
          <w:sz w:val="20"/>
          <w:szCs w:val="20"/>
        </w:rPr>
        <w:t>●质量控制应与业主单位对工程质量的监督</w:t>
      </w:r>
      <w:r>
        <w:rPr>
          <w:sz w:val="20"/>
          <w:szCs w:val="20"/>
        </w:rPr>
        <w:t>紧密结合；</w:t>
      </w:r>
    </w:p>
    <w:p w14:paraId="0E9D90A2">
      <w:pPr>
        <w:pStyle w:val="2"/>
        <w:spacing w:before="81" w:line="219" w:lineRule="auto"/>
        <w:ind w:left="409"/>
        <w:rPr>
          <w:sz w:val="20"/>
          <w:szCs w:val="20"/>
        </w:rPr>
      </w:pPr>
      <w:r>
        <w:rPr>
          <w:sz w:val="20"/>
          <w:szCs w:val="20"/>
        </w:rPr>
        <w:t>●以质量验收标准及验收规范为依据；</w:t>
      </w:r>
    </w:p>
    <w:p w14:paraId="1BFBA99B">
      <w:pPr>
        <w:pStyle w:val="2"/>
        <w:spacing w:before="75" w:line="220" w:lineRule="auto"/>
        <w:ind w:left="409"/>
        <w:rPr>
          <w:sz w:val="20"/>
          <w:szCs w:val="20"/>
        </w:rPr>
      </w:pPr>
      <w:r>
        <w:rPr>
          <w:sz w:val="20"/>
          <w:szCs w:val="20"/>
        </w:rPr>
        <w:t>●实施全面、系统的质量控制，以质量预控为重点；</w:t>
      </w:r>
    </w:p>
    <w:p w14:paraId="6591EAD0">
      <w:pPr>
        <w:pStyle w:val="2"/>
        <w:spacing w:before="81" w:line="219" w:lineRule="auto"/>
        <w:ind w:left="409"/>
        <w:rPr>
          <w:sz w:val="20"/>
          <w:szCs w:val="20"/>
        </w:rPr>
      </w:pPr>
      <w:r>
        <w:rPr>
          <w:sz w:val="20"/>
          <w:szCs w:val="20"/>
        </w:rPr>
        <w:t>●严格要求承建单位执行相关设备、施工试验制度和设备检验制度；</w:t>
      </w:r>
    </w:p>
    <w:p w14:paraId="338294F4">
      <w:pPr>
        <w:pStyle w:val="2"/>
        <w:spacing w:before="73" w:line="219" w:lineRule="auto"/>
        <w:ind w:left="409"/>
        <w:rPr>
          <w:sz w:val="20"/>
          <w:szCs w:val="20"/>
        </w:rPr>
      </w:pPr>
      <w:r>
        <w:rPr>
          <w:spacing w:val="1"/>
          <w:sz w:val="20"/>
          <w:szCs w:val="20"/>
        </w:rPr>
        <w:t>●坚持不合格的文档和设备不准在项目中使用；</w:t>
      </w:r>
    </w:p>
    <w:p w14:paraId="2B376B47">
      <w:pPr>
        <w:pStyle w:val="2"/>
        <w:spacing w:before="81" w:line="219" w:lineRule="auto"/>
        <w:ind w:left="409"/>
        <w:rPr>
          <w:sz w:val="20"/>
          <w:szCs w:val="20"/>
        </w:rPr>
      </w:pPr>
      <w:r>
        <w:rPr>
          <w:spacing w:val="2"/>
          <w:sz w:val="20"/>
          <w:szCs w:val="20"/>
        </w:rPr>
        <w:t>●本阶段质量不合格或未进行验收则不予签</w:t>
      </w:r>
      <w:r>
        <w:rPr>
          <w:spacing w:val="1"/>
          <w:sz w:val="20"/>
          <w:szCs w:val="20"/>
        </w:rPr>
        <w:t>认，下一阶段不得开始。</w:t>
      </w:r>
    </w:p>
    <w:p w14:paraId="1CA1EC29">
      <w:pPr>
        <w:spacing w:line="219" w:lineRule="auto"/>
        <w:rPr>
          <w:sz w:val="20"/>
          <w:szCs w:val="20"/>
        </w:rPr>
        <w:sectPr>
          <w:pgSz w:w="10290" w:h="13310"/>
          <w:pgMar w:top="400" w:right="553" w:bottom="400" w:left="1100" w:header="0" w:footer="0" w:gutter="0"/>
          <w:cols w:space="720" w:num="1"/>
        </w:sectPr>
      </w:pPr>
    </w:p>
    <w:p w14:paraId="0079202E">
      <w:pPr>
        <w:pStyle w:val="2"/>
        <w:rPr>
          <w:sz w:val="20"/>
          <w:szCs w:val="20"/>
        </w:rPr>
      </w:pPr>
      <w:r>
        <w:rPr>
          <w:rFonts w:ascii="Times New Roman" w:hAnsi="Times New Roman" w:eastAsia="Times New Roman" w:cs="Times New Roman"/>
          <w:spacing w:val="-2"/>
          <w:sz w:val="16"/>
          <w:szCs w:val="16"/>
        </w:rPr>
        <w:t xml:space="preserve">478   </w:t>
      </w:r>
      <w:r>
        <w:rPr>
          <w:position w:val="-10"/>
          <w:sz w:val="16"/>
          <w:szCs w:val="16"/>
        </w:rPr>
        <w:drawing>
          <wp:inline distT="0" distB="0" distL="0" distR="0">
            <wp:extent cx="272415" cy="202565"/>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99"/>
                    <a:stretch>
                      <a:fillRect/>
                    </a:stretch>
                  </pic:blipFill>
                  <pic:spPr>
                    <a:xfrm>
                      <a:off x="0" y="0"/>
                      <a:ext cx="273000" cy="203127"/>
                    </a:xfrm>
                    <a:prstGeom prst="rect">
                      <a:avLst/>
                    </a:prstGeom>
                  </pic:spPr>
                </pic:pic>
              </a:graphicData>
            </a:graphic>
          </wp:inline>
        </w:drawing>
      </w:r>
      <w:r>
        <w:rPr>
          <w:rFonts w:ascii="Times New Roman" w:hAnsi="Times New Roman" w:eastAsia="Times New Roman" w:cs="Times New Roman"/>
          <w:spacing w:val="8"/>
          <w:sz w:val="16"/>
          <w:szCs w:val="16"/>
        </w:rPr>
        <w:t xml:space="preserve">    </w:t>
      </w:r>
      <w:r>
        <w:rPr>
          <w:spacing w:val="-2"/>
          <w:sz w:val="20"/>
          <w:szCs w:val="20"/>
        </w:rPr>
        <w:t>信息系统监理师教程(第2版)</w:t>
      </w:r>
    </w:p>
    <w:p w14:paraId="70E920E7">
      <w:pPr>
        <w:spacing w:line="309" w:lineRule="auto"/>
        <w:rPr>
          <w:rFonts w:ascii="Arial"/>
          <w:sz w:val="21"/>
        </w:rPr>
      </w:pPr>
    </w:p>
    <w:p w14:paraId="710B49B9">
      <w:pPr>
        <w:pStyle w:val="2"/>
        <w:spacing w:before="65" w:line="223" w:lineRule="auto"/>
        <w:ind w:left="752"/>
        <w:rPr>
          <w:rFonts w:ascii="黑体" w:hAnsi="黑体" w:eastAsia="黑体" w:cs="黑体"/>
          <w:sz w:val="20"/>
          <w:szCs w:val="20"/>
        </w:rPr>
      </w:pPr>
      <w:r>
        <w:rPr>
          <w:b/>
          <w:bCs/>
          <w:color w:val="0076DF"/>
          <w:spacing w:val="-1"/>
          <w:sz w:val="20"/>
          <w:szCs w:val="20"/>
        </w:rPr>
        <w:t>2.</w:t>
      </w:r>
      <w:r>
        <w:rPr>
          <w:rFonts w:ascii="黑体" w:hAnsi="黑体" w:eastAsia="黑体" w:cs="黑体"/>
          <w:b/>
          <w:bCs/>
          <w:color w:val="0076DF"/>
          <w:spacing w:val="-1"/>
          <w:sz w:val="20"/>
          <w:szCs w:val="20"/>
        </w:rPr>
        <w:t>合同管理</w:t>
      </w:r>
    </w:p>
    <w:p w14:paraId="0BC63D1D">
      <w:pPr>
        <w:pStyle w:val="2"/>
        <w:spacing w:before="140" w:line="219" w:lineRule="auto"/>
        <w:ind w:left="749"/>
        <w:rPr>
          <w:sz w:val="20"/>
          <w:szCs w:val="20"/>
        </w:rPr>
      </w:pPr>
      <w:r>
        <w:rPr>
          <w:spacing w:val="-3"/>
          <w:sz w:val="20"/>
          <w:szCs w:val="20"/>
        </w:rPr>
        <w:t>在合同管理方面的主要监理内容包括：</w:t>
      </w:r>
    </w:p>
    <w:p w14:paraId="252C3C04">
      <w:pPr>
        <w:pStyle w:val="2"/>
        <w:spacing w:before="70" w:line="329" w:lineRule="auto"/>
        <w:ind w:left="359" w:right="84" w:firstLine="389"/>
        <w:rPr>
          <w:sz w:val="16"/>
          <w:szCs w:val="16"/>
        </w:rPr>
      </w:pPr>
      <w:r>
        <w:rPr>
          <w:spacing w:val="12"/>
          <w:sz w:val="20"/>
          <w:szCs w:val="20"/>
        </w:rPr>
        <w:t>(1)在承建合同中明确承建单位应接受监理机构的管理</w:t>
      </w:r>
      <w:r>
        <w:rPr>
          <w:spacing w:val="11"/>
          <w:sz w:val="20"/>
          <w:szCs w:val="20"/>
        </w:rPr>
        <w:t>和控制，以便于监理开展必要的</w:t>
      </w:r>
      <w:r>
        <w:rPr>
          <w:sz w:val="20"/>
          <w:szCs w:val="20"/>
        </w:rPr>
        <w:t xml:space="preserve"> </w:t>
      </w:r>
      <w:r>
        <w:rPr>
          <w:spacing w:val="-6"/>
          <w:sz w:val="16"/>
          <w:szCs w:val="16"/>
        </w:rPr>
        <w:t>工</w:t>
      </w:r>
      <w:r>
        <w:rPr>
          <w:spacing w:val="-14"/>
          <w:sz w:val="16"/>
          <w:szCs w:val="16"/>
        </w:rPr>
        <w:t xml:space="preserve"> </w:t>
      </w:r>
      <w:r>
        <w:rPr>
          <w:spacing w:val="-6"/>
          <w:sz w:val="16"/>
          <w:szCs w:val="16"/>
        </w:rPr>
        <w:t>作</w:t>
      </w:r>
      <w:r>
        <w:rPr>
          <w:spacing w:val="-22"/>
          <w:sz w:val="16"/>
          <w:szCs w:val="16"/>
        </w:rPr>
        <w:t xml:space="preserve"> </w:t>
      </w:r>
      <w:r>
        <w:rPr>
          <w:spacing w:val="-6"/>
          <w:sz w:val="16"/>
          <w:szCs w:val="16"/>
        </w:rPr>
        <w:t>；</w:t>
      </w:r>
    </w:p>
    <w:p w14:paraId="177BCC66">
      <w:pPr>
        <w:pStyle w:val="2"/>
        <w:spacing w:line="219" w:lineRule="auto"/>
        <w:ind w:left="749"/>
        <w:rPr>
          <w:sz w:val="20"/>
          <w:szCs w:val="20"/>
        </w:rPr>
      </w:pPr>
      <w:r>
        <w:rPr>
          <w:spacing w:val="1"/>
          <w:sz w:val="20"/>
          <w:szCs w:val="20"/>
        </w:rPr>
        <w:t>(2)开展合同相应规定内容的核查、检查、审核及确认；</w:t>
      </w:r>
    </w:p>
    <w:p w14:paraId="30CF43BF">
      <w:pPr>
        <w:pStyle w:val="2"/>
        <w:spacing w:before="83" w:line="220" w:lineRule="auto"/>
        <w:ind w:left="749"/>
        <w:rPr>
          <w:sz w:val="20"/>
          <w:szCs w:val="20"/>
        </w:rPr>
      </w:pPr>
      <w:r>
        <w:rPr>
          <w:spacing w:val="1"/>
          <w:sz w:val="20"/>
          <w:szCs w:val="20"/>
        </w:rPr>
        <w:t>(3)开展合同规定的阶段性成果物审核及确认；</w:t>
      </w:r>
    </w:p>
    <w:p w14:paraId="4D85F7CA">
      <w:pPr>
        <w:pStyle w:val="2"/>
        <w:spacing w:before="80" w:line="219" w:lineRule="auto"/>
        <w:ind w:left="749"/>
        <w:rPr>
          <w:sz w:val="20"/>
          <w:szCs w:val="20"/>
        </w:rPr>
      </w:pPr>
      <w:r>
        <w:rPr>
          <w:spacing w:val="1"/>
          <w:sz w:val="20"/>
          <w:szCs w:val="20"/>
        </w:rPr>
        <w:t>(4)开展合同规定的阶段性支付审核，开具监理支付证书。</w:t>
      </w:r>
    </w:p>
    <w:p w14:paraId="4B2AA590">
      <w:pPr>
        <w:pStyle w:val="2"/>
        <w:spacing w:before="179" w:line="221" w:lineRule="auto"/>
        <w:ind w:left="752"/>
        <w:rPr>
          <w:rFonts w:ascii="黑体" w:hAnsi="黑体" w:eastAsia="黑体" w:cs="黑体"/>
          <w:sz w:val="20"/>
          <w:szCs w:val="20"/>
        </w:rPr>
      </w:pPr>
      <w:r>
        <w:rPr>
          <w:b/>
          <w:bCs/>
          <w:color w:val="007FE1"/>
          <w:spacing w:val="-4"/>
          <w:sz w:val="20"/>
          <w:szCs w:val="20"/>
        </w:rPr>
        <w:t>3.</w:t>
      </w:r>
      <w:r>
        <w:rPr>
          <w:rFonts w:ascii="黑体" w:hAnsi="黑体" w:eastAsia="黑体" w:cs="黑体"/>
          <w:b/>
          <w:bCs/>
          <w:color w:val="007FE1"/>
          <w:spacing w:val="-4"/>
          <w:sz w:val="20"/>
          <w:szCs w:val="20"/>
        </w:rPr>
        <w:t>安全监督管理</w:t>
      </w:r>
    </w:p>
    <w:p w14:paraId="682867AC">
      <w:pPr>
        <w:pStyle w:val="2"/>
        <w:spacing w:before="134" w:line="219" w:lineRule="auto"/>
        <w:ind w:left="749"/>
        <w:rPr>
          <w:sz w:val="20"/>
          <w:szCs w:val="20"/>
        </w:rPr>
      </w:pPr>
      <w:r>
        <w:rPr>
          <w:spacing w:val="-3"/>
          <w:sz w:val="20"/>
          <w:szCs w:val="20"/>
        </w:rPr>
        <w:t>在安全监督管理方面要做到以下几点：</w:t>
      </w:r>
    </w:p>
    <w:p w14:paraId="1824FAC7">
      <w:pPr>
        <w:pStyle w:val="2"/>
        <w:spacing w:before="94" w:line="219" w:lineRule="auto"/>
        <w:ind w:left="749"/>
        <w:rPr>
          <w:sz w:val="20"/>
          <w:szCs w:val="20"/>
        </w:rPr>
      </w:pPr>
      <w:r>
        <w:rPr>
          <w:spacing w:val="2"/>
          <w:sz w:val="20"/>
          <w:szCs w:val="20"/>
        </w:rPr>
        <w:t>(1)施工准备阶段，审查承建单位提交的实施组织设计方案中的安全技</w:t>
      </w:r>
      <w:r>
        <w:rPr>
          <w:spacing w:val="1"/>
          <w:sz w:val="20"/>
          <w:szCs w:val="20"/>
        </w:rPr>
        <w:t>术措施；</w:t>
      </w:r>
    </w:p>
    <w:p w14:paraId="5A3CCE7F">
      <w:pPr>
        <w:pStyle w:val="2"/>
        <w:spacing w:before="63" w:line="219" w:lineRule="auto"/>
        <w:ind w:left="749"/>
        <w:rPr>
          <w:sz w:val="20"/>
          <w:szCs w:val="20"/>
        </w:rPr>
      </w:pPr>
      <w:r>
        <w:rPr>
          <w:spacing w:val="1"/>
          <w:sz w:val="20"/>
          <w:szCs w:val="20"/>
        </w:rPr>
        <w:t>(2)审查承建单位安全生产许可证的有效性；</w:t>
      </w:r>
    </w:p>
    <w:p w14:paraId="2BC94239">
      <w:pPr>
        <w:pStyle w:val="2"/>
        <w:spacing w:before="91" w:line="219" w:lineRule="auto"/>
        <w:ind w:left="749"/>
        <w:rPr>
          <w:sz w:val="20"/>
          <w:szCs w:val="20"/>
        </w:rPr>
      </w:pPr>
      <w:r>
        <w:rPr>
          <w:spacing w:val="2"/>
          <w:sz w:val="20"/>
          <w:szCs w:val="20"/>
        </w:rPr>
        <w:t>(3)查验承建单位生产管理人员的安全考核合格证书；</w:t>
      </w:r>
    </w:p>
    <w:p w14:paraId="4A233F7E">
      <w:pPr>
        <w:pStyle w:val="2"/>
        <w:spacing w:before="63" w:line="219" w:lineRule="auto"/>
        <w:ind w:left="749"/>
        <w:rPr>
          <w:sz w:val="20"/>
          <w:szCs w:val="20"/>
        </w:rPr>
      </w:pPr>
      <w:r>
        <w:rPr>
          <w:spacing w:val="1"/>
          <w:sz w:val="20"/>
          <w:szCs w:val="20"/>
        </w:rPr>
        <w:t>(4)查验特殊工种作业人员的特种作业操作资格证书；</w:t>
      </w:r>
    </w:p>
    <w:p w14:paraId="5BC265FC">
      <w:pPr>
        <w:pStyle w:val="2"/>
        <w:spacing w:before="73" w:line="219" w:lineRule="auto"/>
        <w:ind w:left="749"/>
        <w:rPr>
          <w:sz w:val="20"/>
          <w:szCs w:val="20"/>
        </w:rPr>
      </w:pPr>
      <w:r>
        <w:rPr>
          <w:spacing w:val="2"/>
          <w:sz w:val="20"/>
          <w:szCs w:val="20"/>
        </w:rPr>
        <w:t>(5)检查承建单位的安全生产规章制度；</w:t>
      </w:r>
    </w:p>
    <w:p w14:paraId="5CE51A28">
      <w:pPr>
        <w:pStyle w:val="2"/>
        <w:spacing w:before="84" w:line="219" w:lineRule="auto"/>
        <w:ind w:left="749"/>
        <w:rPr>
          <w:sz w:val="20"/>
          <w:szCs w:val="20"/>
        </w:rPr>
      </w:pPr>
      <w:r>
        <w:rPr>
          <w:spacing w:val="2"/>
          <w:sz w:val="20"/>
          <w:szCs w:val="20"/>
        </w:rPr>
        <w:t>(6)检查安全防范用具、施工工具、装备配备情况，不允许带</w:t>
      </w:r>
      <w:r>
        <w:rPr>
          <w:spacing w:val="1"/>
          <w:sz w:val="20"/>
          <w:szCs w:val="20"/>
        </w:rPr>
        <w:t>不合格器具到施工现场作业。</w:t>
      </w:r>
    </w:p>
    <w:p w14:paraId="38EFAAD3">
      <w:pPr>
        <w:pStyle w:val="2"/>
        <w:spacing w:before="255" w:line="222" w:lineRule="auto"/>
        <w:ind w:left="362"/>
        <w:rPr>
          <w:sz w:val="25"/>
          <w:szCs w:val="25"/>
        </w:rPr>
      </w:pPr>
      <w:r>
        <w:rPr>
          <w:b/>
          <w:bCs/>
          <w:color w:val="006CD8"/>
          <w:spacing w:val="-17"/>
          <w:sz w:val="25"/>
          <w:szCs w:val="25"/>
        </w:rPr>
        <w:t>21.4.3</w:t>
      </w:r>
      <w:r>
        <w:rPr>
          <w:color w:val="006CD8"/>
          <w:spacing w:val="80"/>
          <w:sz w:val="25"/>
          <w:szCs w:val="25"/>
        </w:rPr>
        <w:t xml:space="preserve"> </w:t>
      </w:r>
      <w:r>
        <w:rPr>
          <w:b/>
          <w:bCs/>
          <w:color w:val="006CD8"/>
          <w:spacing w:val="-17"/>
          <w:sz w:val="25"/>
          <w:szCs w:val="25"/>
        </w:rPr>
        <w:t>监理要点</w:t>
      </w:r>
    </w:p>
    <w:p w14:paraId="2BDF48BA">
      <w:pPr>
        <w:pStyle w:val="2"/>
        <w:spacing w:before="147" w:line="219" w:lineRule="auto"/>
        <w:ind w:left="749"/>
        <w:rPr>
          <w:sz w:val="20"/>
          <w:szCs w:val="20"/>
        </w:rPr>
      </w:pPr>
      <w:r>
        <w:rPr>
          <w:spacing w:val="-2"/>
          <w:sz w:val="20"/>
          <w:szCs w:val="20"/>
        </w:rPr>
        <w:t>基础设施工程实施阶段的监理要点主要包括以下内容。</w:t>
      </w:r>
    </w:p>
    <w:p w14:paraId="728109C9">
      <w:pPr>
        <w:pStyle w:val="2"/>
        <w:spacing w:before="71" w:line="219" w:lineRule="auto"/>
        <w:ind w:left="749"/>
        <w:rPr>
          <w:sz w:val="20"/>
          <w:szCs w:val="20"/>
        </w:rPr>
      </w:pPr>
      <w:r>
        <w:rPr>
          <w:spacing w:val="2"/>
          <w:sz w:val="20"/>
          <w:szCs w:val="20"/>
        </w:rPr>
        <w:t>(1)严把进场原材料、设备质量关。具体包括：</w:t>
      </w:r>
    </w:p>
    <w:p w14:paraId="161ED30D">
      <w:pPr>
        <w:pStyle w:val="2"/>
        <w:spacing w:before="82" w:line="217" w:lineRule="auto"/>
        <w:ind w:left="749"/>
        <w:rPr>
          <w:sz w:val="20"/>
          <w:szCs w:val="20"/>
        </w:rPr>
      </w:pPr>
      <w:r>
        <w:rPr>
          <w:spacing w:val="-1"/>
          <w:sz w:val="20"/>
          <w:szCs w:val="20"/>
        </w:rPr>
        <w:t>①对项目进场的原材料、半成品、构配件及设备应进行报验认定，合格后方可</w:t>
      </w:r>
      <w:r>
        <w:rPr>
          <w:spacing w:val="-2"/>
          <w:sz w:val="20"/>
          <w:szCs w:val="20"/>
        </w:rPr>
        <w:t>使用、安装。</w:t>
      </w:r>
    </w:p>
    <w:p w14:paraId="24AADBA9">
      <w:pPr>
        <w:pStyle w:val="2"/>
        <w:spacing w:before="76" w:line="262" w:lineRule="auto"/>
        <w:ind w:left="359" w:right="91" w:firstLine="389"/>
        <w:rPr>
          <w:sz w:val="20"/>
          <w:szCs w:val="20"/>
        </w:rPr>
      </w:pPr>
      <w:r>
        <w:rPr>
          <w:spacing w:val="4"/>
          <w:sz w:val="20"/>
          <w:szCs w:val="20"/>
        </w:rPr>
        <w:t>②各种产品必须有出厂证明、检测报告、技术合格证或质量证明文件</w:t>
      </w:r>
      <w:r>
        <w:rPr>
          <w:spacing w:val="3"/>
          <w:sz w:val="20"/>
          <w:szCs w:val="20"/>
        </w:rPr>
        <w:t>，对需使用的材料配</w:t>
      </w:r>
      <w:r>
        <w:rPr>
          <w:sz w:val="20"/>
          <w:szCs w:val="20"/>
        </w:rPr>
        <w:t xml:space="preserve"> </w:t>
      </w:r>
      <w:r>
        <w:rPr>
          <w:spacing w:val="-1"/>
          <w:sz w:val="20"/>
          <w:szCs w:val="20"/>
        </w:rPr>
        <w:t>件，在使用前抽检或试验，按规定进行，规格、数量、</w:t>
      </w:r>
      <w:r>
        <w:rPr>
          <w:spacing w:val="-2"/>
          <w:sz w:val="20"/>
          <w:szCs w:val="20"/>
        </w:rPr>
        <w:t>材质应合格。</w:t>
      </w:r>
    </w:p>
    <w:p w14:paraId="4770569F">
      <w:pPr>
        <w:pStyle w:val="2"/>
        <w:spacing w:before="71" w:line="249" w:lineRule="auto"/>
        <w:ind w:left="359" w:right="87" w:firstLine="389"/>
        <w:rPr>
          <w:sz w:val="20"/>
          <w:szCs w:val="20"/>
        </w:rPr>
      </w:pPr>
      <w:r>
        <w:rPr>
          <w:spacing w:val="4"/>
          <w:sz w:val="20"/>
          <w:szCs w:val="20"/>
        </w:rPr>
        <w:t>③对新材料、新型制品要有技术鉴定文件，必要时可征得厂家提供支撑材料，</w:t>
      </w:r>
      <w:r>
        <w:rPr>
          <w:spacing w:val="3"/>
          <w:sz w:val="20"/>
          <w:szCs w:val="20"/>
        </w:rPr>
        <w:t>或亲赴厂家</w:t>
      </w:r>
      <w:r>
        <w:rPr>
          <w:sz w:val="20"/>
          <w:szCs w:val="20"/>
        </w:rPr>
        <w:t xml:space="preserve"> </w:t>
      </w:r>
      <w:r>
        <w:rPr>
          <w:spacing w:val="-4"/>
          <w:sz w:val="20"/>
          <w:szCs w:val="20"/>
        </w:rPr>
        <w:t>考察、查证和确认。</w:t>
      </w:r>
    </w:p>
    <w:p w14:paraId="652BF284">
      <w:pPr>
        <w:pStyle w:val="2"/>
        <w:spacing w:before="89" w:line="265" w:lineRule="auto"/>
        <w:ind w:left="359" w:firstLine="389"/>
        <w:rPr>
          <w:sz w:val="20"/>
          <w:szCs w:val="20"/>
        </w:rPr>
      </w:pPr>
      <w:r>
        <w:rPr>
          <w:spacing w:val="6"/>
          <w:sz w:val="20"/>
          <w:szCs w:val="20"/>
        </w:rPr>
        <w:t>④所有设备应有合格证，在安装前按说明书要求进行质</w:t>
      </w:r>
      <w:r>
        <w:rPr>
          <w:spacing w:val="5"/>
          <w:sz w:val="20"/>
          <w:szCs w:val="20"/>
        </w:rPr>
        <w:t>量检查。国家有特殊要求的材料、</w:t>
      </w:r>
      <w:r>
        <w:rPr>
          <w:sz w:val="20"/>
          <w:szCs w:val="20"/>
        </w:rPr>
        <w:t xml:space="preserve"> </w:t>
      </w:r>
      <w:r>
        <w:rPr>
          <w:spacing w:val="1"/>
          <w:sz w:val="20"/>
          <w:szCs w:val="20"/>
        </w:rPr>
        <w:t>配件、设备要有相应的批准证书。严格禁止未经检验或检验不合</w:t>
      </w:r>
      <w:r>
        <w:rPr>
          <w:sz w:val="20"/>
          <w:szCs w:val="20"/>
        </w:rPr>
        <w:t xml:space="preserve">格的原材料、半成品、构配件、 </w:t>
      </w:r>
      <w:r>
        <w:rPr>
          <w:spacing w:val="-4"/>
          <w:sz w:val="20"/>
          <w:szCs w:val="20"/>
        </w:rPr>
        <w:t>设备在项目上使用。</w:t>
      </w:r>
    </w:p>
    <w:p w14:paraId="115E323A">
      <w:pPr>
        <w:pStyle w:val="2"/>
        <w:spacing w:before="73" w:line="220" w:lineRule="auto"/>
        <w:ind w:left="749"/>
        <w:rPr>
          <w:sz w:val="20"/>
          <w:szCs w:val="20"/>
        </w:rPr>
      </w:pPr>
      <w:r>
        <w:rPr>
          <w:spacing w:val="7"/>
          <w:sz w:val="20"/>
          <w:szCs w:val="20"/>
        </w:rPr>
        <w:t>(2)严把工序关。</w:t>
      </w:r>
    </w:p>
    <w:p w14:paraId="3AAEFFA9">
      <w:pPr>
        <w:pStyle w:val="2"/>
        <w:spacing w:before="81" w:line="264" w:lineRule="auto"/>
        <w:ind w:left="359" w:right="83" w:firstLine="389"/>
        <w:rPr>
          <w:sz w:val="20"/>
          <w:szCs w:val="20"/>
        </w:rPr>
      </w:pPr>
      <w:r>
        <w:rPr>
          <w:spacing w:val="4"/>
          <w:sz w:val="20"/>
          <w:szCs w:val="20"/>
        </w:rPr>
        <w:t>对未经监理机构验收或经验收不合格的工序不予签认，且不得进入下一道工序施工，特别</w:t>
      </w:r>
      <w:r>
        <w:rPr>
          <w:sz w:val="20"/>
          <w:szCs w:val="20"/>
        </w:rPr>
        <w:t xml:space="preserve"> </w:t>
      </w:r>
      <w:r>
        <w:rPr>
          <w:spacing w:val="-3"/>
          <w:sz w:val="20"/>
          <w:szCs w:val="20"/>
        </w:rPr>
        <w:t>是重点部位工序。</w:t>
      </w:r>
    </w:p>
    <w:p w14:paraId="7DF9994E">
      <w:pPr>
        <w:pStyle w:val="2"/>
        <w:spacing w:before="39" w:line="219" w:lineRule="auto"/>
        <w:ind w:left="749"/>
        <w:rPr>
          <w:sz w:val="20"/>
          <w:szCs w:val="20"/>
        </w:rPr>
      </w:pPr>
      <w:r>
        <w:rPr>
          <w:spacing w:val="7"/>
          <w:sz w:val="20"/>
          <w:szCs w:val="20"/>
        </w:rPr>
        <w:t>(3)严格现场旁站。</w:t>
      </w:r>
    </w:p>
    <w:p w14:paraId="4936BF35">
      <w:pPr>
        <w:pStyle w:val="2"/>
        <w:spacing w:before="71" w:line="219" w:lineRule="auto"/>
        <w:ind w:left="749"/>
        <w:rPr>
          <w:sz w:val="20"/>
          <w:szCs w:val="20"/>
        </w:rPr>
      </w:pPr>
      <w:r>
        <w:rPr>
          <w:spacing w:val="-1"/>
          <w:sz w:val="20"/>
          <w:szCs w:val="20"/>
        </w:rPr>
        <w:t>监理机构应根据项目特点确定各主要分部、分项工程的关键部位和关</w:t>
      </w:r>
      <w:r>
        <w:rPr>
          <w:spacing w:val="-2"/>
          <w:sz w:val="20"/>
          <w:szCs w:val="20"/>
        </w:rPr>
        <w:t>键工序。</w:t>
      </w:r>
    </w:p>
    <w:p w14:paraId="24404DB4">
      <w:pPr>
        <w:pStyle w:val="2"/>
        <w:spacing w:before="74" w:line="265" w:lineRule="auto"/>
        <w:ind w:left="359" w:right="19" w:firstLine="389"/>
        <w:rPr>
          <w:sz w:val="20"/>
          <w:szCs w:val="20"/>
        </w:rPr>
      </w:pPr>
      <w:r>
        <w:rPr>
          <w:spacing w:val="1"/>
          <w:sz w:val="20"/>
          <w:szCs w:val="20"/>
        </w:rPr>
        <w:t>对关键部位和关键工序，应从施工材料检验</w:t>
      </w:r>
      <w:r>
        <w:rPr>
          <w:sz w:val="20"/>
          <w:szCs w:val="20"/>
        </w:rPr>
        <w:t xml:space="preserve">到施工质量验收进行全过程现场跟班旁站监理， </w:t>
      </w:r>
      <w:r>
        <w:rPr>
          <w:spacing w:val="-2"/>
          <w:sz w:val="20"/>
          <w:szCs w:val="20"/>
        </w:rPr>
        <w:t>监督相关施工方案及工程建设强制性标准的情况。</w:t>
      </w:r>
    </w:p>
    <w:p w14:paraId="4D2376B9">
      <w:pPr>
        <w:pStyle w:val="2"/>
        <w:spacing w:before="36" w:line="219" w:lineRule="auto"/>
        <w:ind w:left="749"/>
        <w:rPr>
          <w:sz w:val="20"/>
          <w:szCs w:val="20"/>
        </w:rPr>
      </w:pPr>
      <w:r>
        <w:rPr>
          <w:spacing w:val="4"/>
          <w:sz w:val="20"/>
          <w:szCs w:val="20"/>
        </w:rPr>
        <w:t>(4)做好隐蔽工程检查签认工作。</w:t>
      </w:r>
    </w:p>
    <w:p w14:paraId="21B79721">
      <w:pPr>
        <w:pStyle w:val="2"/>
        <w:spacing w:before="83" w:line="219" w:lineRule="auto"/>
        <w:ind w:left="749"/>
        <w:rPr>
          <w:sz w:val="20"/>
          <w:szCs w:val="20"/>
        </w:rPr>
      </w:pPr>
      <w:r>
        <w:rPr>
          <w:spacing w:val="4"/>
          <w:sz w:val="20"/>
          <w:szCs w:val="20"/>
        </w:rPr>
        <w:t>隐蔽工程完成后，应先由承建单位进行自检，由专职质量人员检查。</w:t>
      </w:r>
      <w:r>
        <w:rPr>
          <w:spacing w:val="3"/>
          <w:sz w:val="20"/>
          <w:szCs w:val="20"/>
        </w:rPr>
        <w:t>自检合格后，承建单</w:t>
      </w:r>
    </w:p>
    <w:p w14:paraId="5A18EAC4">
      <w:pPr>
        <w:spacing w:line="219" w:lineRule="auto"/>
        <w:rPr>
          <w:sz w:val="20"/>
          <w:szCs w:val="20"/>
        </w:rPr>
        <w:sectPr>
          <w:pgSz w:w="10300" w:h="13390"/>
          <w:pgMar w:top="390" w:right="990" w:bottom="400" w:left="520" w:header="0" w:footer="0" w:gutter="0"/>
          <w:cols w:space="720" w:num="1"/>
        </w:sectPr>
      </w:pPr>
    </w:p>
    <w:p w14:paraId="1EAB6228">
      <w:pPr>
        <w:pStyle w:val="2"/>
        <w:spacing w:before="76" w:line="219" w:lineRule="auto"/>
        <w:jc w:val="right"/>
        <w:rPr>
          <w:rFonts w:ascii="Times New Roman" w:hAnsi="Times New Roman" w:eastAsia="Times New Roman" w:cs="Times New Roman"/>
          <w:sz w:val="16"/>
          <w:szCs w:val="16"/>
        </w:rPr>
      </w:pPr>
      <w:r>
        <w:rPr>
          <w:spacing w:val="2"/>
          <w:sz w:val="19"/>
          <w:szCs w:val="19"/>
        </w:rPr>
        <w:t>第21章 基础设施工程监理</w:t>
      </w:r>
      <w:r>
        <w:rPr>
          <w:spacing w:val="9"/>
          <w:sz w:val="19"/>
          <w:szCs w:val="19"/>
        </w:rPr>
        <w:t xml:space="preserve">      </w:t>
      </w:r>
      <w:r>
        <w:rPr>
          <w:rFonts w:ascii="Times New Roman" w:hAnsi="Times New Roman" w:eastAsia="Times New Roman" w:cs="Times New Roman"/>
          <w:spacing w:val="2"/>
          <w:sz w:val="16"/>
          <w:szCs w:val="16"/>
        </w:rPr>
        <w:t>479</w:t>
      </w:r>
    </w:p>
    <w:p w14:paraId="2BAD393E">
      <w:pPr>
        <w:spacing w:line="300" w:lineRule="auto"/>
        <w:rPr>
          <w:rFonts w:ascii="Arial"/>
          <w:sz w:val="21"/>
        </w:rPr>
      </w:pPr>
    </w:p>
    <w:p w14:paraId="5643E13A">
      <w:pPr>
        <w:pStyle w:val="2"/>
        <w:spacing w:before="62" w:line="219" w:lineRule="auto"/>
        <w:rPr>
          <w:sz w:val="19"/>
          <w:szCs w:val="19"/>
        </w:rPr>
      </w:pPr>
      <w:r>
        <w:rPr>
          <w:spacing w:val="6"/>
          <w:sz w:val="19"/>
          <w:szCs w:val="19"/>
        </w:rPr>
        <w:t>位通知监理机构到场检验，并提交自检资料。</w:t>
      </w:r>
    </w:p>
    <w:p w14:paraId="4199B43B">
      <w:pPr>
        <w:pStyle w:val="2"/>
        <w:spacing w:before="104" w:line="219" w:lineRule="auto"/>
        <w:ind w:left="389"/>
        <w:rPr>
          <w:sz w:val="19"/>
          <w:szCs w:val="19"/>
        </w:rPr>
      </w:pPr>
      <w:r>
        <w:rPr>
          <w:spacing w:val="7"/>
          <w:sz w:val="19"/>
          <w:szCs w:val="19"/>
        </w:rPr>
        <w:t>监理机构应按照如下程序对隐蔽工程施工进行监理：</w:t>
      </w:r>
    </w:p>
    <w:p w14:paraId="266B2731">
      <w:pPr>
        <w:pStyle w:val="2"/>
        <w:spacing w:before="93" w:line="217" w:lineRule="auto"/>
        <w:ind w:left="389"/>
        <w:rPr>
          <w:sz w:val="19"/>
          <w:szCs w:val="19"/>
        </w:rPr>
      </w:pPr>
      <w:r>
        <w:rPr>
          <w:spacing w:val="7"/>
          <w:sz w:val="19"/>
          <w:szCs w:val="19"/>
        </w:rPr>
        <w:t>①承建单位在隐蔽工程开工前必须进行报验。</w:t>
      </w:r>
    </w:p>
    <w:p w14:paraId="77DC5B37">
      <w:pPr>
        <w:pStyle w:val="2"/>
        <w:spacing w:before="87" w:line="217" w:lineRule="auto"/>
        <w:ind w:left="389"/>
        <w:rPr>
          <w:sz w:val="19"/>
          <w:szCs w:val="19"/>
        </w:rPr>
      </w:pPr>
      <w:r>
        <w:rPr>
          <w:spacing w:val="9"/>
          <w:sz w:val="19"/>
          <w:szCs w:val="19"/>
        </w:rPr>
        <w:t>②审核承建单位提交的隐蔽工程报验申请和</w:t>
      </w:r>
      <w:r>
        <w:rPr>
          <w:spacing w:val="8"/>
          <w:sz w:val="19"/>
          <w:szCs w:val="19"/>
        </w:rPr>
        <w:t>隐蔽工程自检记录。</w:t>
      </w:r>
    </w:p>
    <w:p w14:paraId="412FFF30">
      <w:pPr>
        <w:pStyle w:val="2"/>
        <w:spacing w:before="87" w:line="266" w:lineRule="auto"/>
        <w:ind w:right="279" w:firstLine="389"/>
        <w:rPr>
          <w:sz w:val="19"/>
          <w:szCs w:val="19"/>
        </w:rPr>
      </w:pPr>
      <w:r>
        <w:rPr>
          <w:spacing w:val="13"/>
          <w:sz w:val="19"/>
          <w:szCs w:val="19"/>
        </w:rPr>
        <w:t>③在隐蔽工程施工过程中，按照监理实施细则确定的程序，依据设计要求和相关标准、规</w:t>
      </w:r>
      <w:r>
        <w:rPr>
          <w:sz w:val="19"/>
          <w:szCs w:val="19"/>
        </w:rPr>
        <w:t xml:space="preserve"> </w:t>
      </w:r>
      <w:r>
        <w:rPr>
          <w:spacing w:val="7"/>
          <w:sz w:val="19"/>
          <w:szCs w:val="19"/>
        </w:rPr>
        <w:t>范的要求，现场检查隐蔽工程，对验收合格的隐蔽工程进行签认。</w:t>
      </w:r>
    </w:p>
    <w:p w14:paraId="04ED35B5">
      <w:pPr>
        <w:pStyle w:val="2"/>
        <w:spacing w:before="93" w:line="256" w:lineRule="auto"/>
        <w:ind w:right="279" w:firstLine="389"/>
        <w:rPr>
          <w:sz w:val="19"/>
          <w:szCs w:val="19"/>
        </w:rPr>
      </w:pPr>
      <w:r>
        <w:rPr>
          <w:spacing w:val="13"/>
          <w:sz w:val="19"/>
          <w:szCs w:val="19"/>
        </w:rPr>
        <w:t>④如检查发现不合格，发监理通知单要求承建单位整改，整改完毕后应重新进行验收；对</w:t>
      </w:r>
      <w:r>
        <w:rPr>
          <w:sz w:val="19"/>
          <w:szCs w:val="19"/>
        </w:rPr>
        <w:t xml:space="preserve"> </w:t>
      </w:r>
      <w:r>
        <w:rPr>
          <w:spacing w:val="9"/>
          <w:sz w:val="19"/>
          <w:szCs w:val="19"/>
        </w:rPr>
        <w:t>特殊设计或者与原设计变更较大的隐蔽工程，应通知设计单</w:t>
      </w:r>
      <w:r>
        <w:rPr>
          <w:spacing w:val="8"/>
          <w:sz w:val="19"/>
          <w:szCs w:val="19"/>
        </w:rPr>
        <w:t>位到场共同检查签认。</w:t>
      </w:r>
    </w:p>
    <w:p w14:paraId="69F544FD">
      <w:pPr>
        <w:pStyle w:val="2"/>
        <w:spacing w:before="102" w:line="261" w:lineRule="auto"/>
        <w:ind w:right="274" w:firstLine="389"/>
        <w:rPr>
          <w:sz w:val="19"/>
          <w:szCs w:val="19"/>
        </w:rPr>
      </w:pPr>
      <w:r>
        <w:rPr>
          <w:spacing w:val="13"/>
          <w:sz w:val="19"/>
          <w:szCs w:val="19"/>
        </w:rPr>
        <w:t>⑤未经验收或验收不合格的隐蔽工程，监理机构应拒绝签认，并要求承建单位不得进行下</w:t>
      </w:r>
      <w:r>
        <w:rPr>
          <w:spacing w:val="4"/>
          <w:sz w:val="19"/>
          <w:szCs w:val="19"/>
        </w:rPr>
        <w:t xml:space="preserve"> </w:t>
      </w:r>
      <w:r>
        <w:rPr>
          <w:spacing w:val="8"/>
          <w:sz w:val="19"/>
          <w:szCs w:val="19"/>
        </w:rPr>
        <w:t>一道工序的实施。对未经检查签认的隐蔽工程，承建单位不得擅自隐蔽。</w:t>
      </w:r>
    </w:p>
    <w:p w14:paraId="48A91CE0">
      <w:pPr>
        <w:pStyle w:val="2"/>
        <w:spacing w:before="75" w:line="298" w:lineRule="auto"/>
        <w:ind w:right="300" w:firstLine="389"/>
        <w:rPr>
          <w:sz w:val="19"/>
          <w:szCs w:val="19"/>
        </w:rPr>
      </w:pPr>
      <w:r>
        <w:rPr>
          <w:spacing w:val="12"/>
          <w:sz w:val="19"/>
          <w:szCs w:val="19"/>
        </w:rPr>
        <w:t>当监理机构对已验收的隐蔽工程的质量有怀疑时，可以要求承建单位对已验收的隐蔽工程</w:t>
      </w:r>
      <w:r>
        <w:rPr>
          <w:spacing w:val="17"/>
          <w:sz w:val="19"/>
          <w:szCs w:val="19"/>
        </w:rPr>
        <w:t xml:space="preserve"> </w:t>
      </w:r>
      <w:r>
        <w:rPr>
          <w:spacing w:val="8"/>
          <w:sz w:val="19"/>
          <w:szCs w:val="19"/>
        </w:rPr>
        <w:t>进行重新检查。承建单位应按照要求进行配合，并在检查后进行恢复。</w:t>
      </w:r>
    </w:p>
    <w:p w14:paraId="002F77D3">
      <w:pPr>
        <w:pStyle w:val="2"/>
        <w:spacing w:before="27" w:line="219" w:lineRule="auto"/>
        <w:ind w:left="389"/>
        <w:rPr>
          <w:sz w:val="19"/>
          <w:szCs w:val="19"/>
        </w:rPr>
      </w:pPr>
      <w:r>
        <w:rPr>
          <w:spacing w:val="11"/>
          <w:sz w:val="19"/>
          <w:szCs w:val="19"/>
        </w:rPr>
        <w:t>(5)做好检验批、分项、分部工程验收工作。</w:t>
      </w:r>
    </w:p>
    <w:p w14:paraId="548C5CE3">
      <w:pPr>
        <w:pStyle w:val="2"/>
        <w:spacing w:before="83" w:line="297" w:lineRule="auto"/>
        <w:ind w:right="212" w:firstLine="389"/>
        <w:rPr>
          <w:sz w:val="19"/>
          <w:szCs w:val="19"/>
        </w:rPr>
      </w:pPr>
      <w:r>
        <w:rPr>
          <w:spacing w:val="10"/>
          <w:sz w:val="19"/>
          <w:szCs w:val="19"/>
        </w:rPr>
        <w:t>当检验批、分项、分部工程完成后，承建单位先进行自</w:t>
      </w:r>
      <w:r>
        <w:rPr>
          <w:spacing w:val="9"/>
          <w:sz w:val="19"/>
          <w:szCs w:val="19"/>
        </w:rPr>
        <w:t>检，确认其符合相关标准、规范后，</w:t>
      </w:r>
      <w:r>
        <w:rPr>
          <w:sz w:val="19"/>
          <w:szCs w:val="19"/>
        </w:rPr>
        <w:t xml:space="preserve"> </w:t>
      </w:r>
      <w:r>
        <w:rPr>
          <w:spacing w:val="6"/>
          <w:sz w:val="19"/>
          <w:szCs w:val="19"/>
        </w:rPr>
        <w:t>向监理机构提交验收申请，由监理机构检查、验证。</w:t>
      </w:r>
    </w:p>
    <w:p w14:paraId="522C2D19">
      <w:pPr>
        <w:pStyle w:val="2"/>
        <w:spacing w:before="28" w:line="279" w:lineRule="auto"/>
        <w:ind w:right="280" w:firstLine="389"/>
        <w:rPr>
          <w:sz w:val="19"/>
          <w:szCs w:val="19"/>
        </w:rPr>
      </w:pPr>
      <w:r>
        <w:rPr>
          <w:spacing w:val="13"/>
          <w:sz w:val="19"/>
          <w:szCs w:val="19"/>
        </w:rPr>
        <w:t>可按照合同的要求，依据施工图及相关文件、标准、规范等进行检查、检验。若其质量符</w:t>
      </w:r>
      <w:r>
        <w:rPr>
          <w:sz w:val="19"/>
          <w:szCs w:val="19"/>
        </w:rPr>
        <w:t xml:space="preserve"> </w:t>
      </w:r>
      <w:r>
        <w:rPr>
          <w:spacing w:val="5"/>
          <w:sz w:val="19"/>
          <w:szCs w:val="19"/>
        </w:rPr>
        <w:t>合要求，则通过验收。</w:t>
      </w:r>
    </w:p>
    <w:p w14:paraId="320976B4">
      <w:pPr>
        <w:pStyle w:val="2"/>
        <w:spacing w:before="38" w:line="307" w:lineRule="auto"/>
        <w:ind w:right="277" w:firstLine="389"/>
        <w:rPr>
          <w:sz w:val="19"/>
          <w:szCs w:val="19"/>
        </w:rPr>
      </w:pPr>
      <w:r>
        <w:rPr>
          <w:spacing w:val="13"/>
          <w:sz w:val="19"/>
          <w:szCs w:val="19"/>
        </w:rPr>
        <w:t>如果在检查中发现其存在质量问题，发监理通知单要求承建单位限期整改，待质量达到要</w:t>
      </w:r>
      <w:r>
        <w:rPr>
          <w:spacing w:val="1"/>
          <w:sz w:val="19"/>
          <w:szCs w:val="19"/>
        </w:rPr>
        <w:t xml:space="preserve"> </w:t>
      </w:r>
      <w:r>
        <w:rPr>
          <w:spacing w:val="4"/>
          <w:sz w:val="19"/>
          <w:szCs w:val="19"/>
        </w:rPr>
        <w:t>求后，再予以验收。</w:t>
      </w:r>
    </w:p>
    <w:p w14:paraId="4389E75F">
      <w:pPr>
        <w:pStyle w:val="2"/>
        <w:spacing w:before="8" w:line="219" w:lineRule="auto"/>
        <w:ind w:left="389"/>
        <w:rPr>
          <w:sz w:val="19"/>
          <w:szCs w:val="19"/>
        </w:rPr>
      </w:pPr>
      <w:r>
        <w:rPr>
          <w:spacing w:val="11"/>
          <w:sz w:val="19"/>
          <w:szCs w:val="19"/>
        </w:rPr>
        <w:t>(6)监督承建单位严格按进度计划组织实施。</w:t>
      </w:r>
    </w:p>
    <w:p w14:paraId="5178BF6D">
      <w:pPr>
        <w:pStyle w:val="2"/>
        <w:spacing w:before="65" w:line="302" w:lineRule="auto"/>
        <w:ind w:right="212" w:firstLine="389"/>
        <w:rPr>
          <w:sz w:val="19"/>
          <w:szCs w:val="19"/>
        </w:rPr>
      </w:pPr>
      <w:r>
        <w:rPr>
          <w:spacing w:val="10"/>
          <w:sz w:val="19"/>
          <w:szCs w:val="19"/>
        </w:rPr>
        <w:t>承建单位应严格按照合同规定的或经批准的进度计划</w:t>
      </w:r>
      <w:r>
        <w:rPr>
          <w:spacing w:val="9"/>
          <w:sz w:val="19"/>
          <w:szCs w:val="19"/>
        </w:rPr>
        <w:t>组织实施，须及时向监理机构递交周、</w:t>
      </w:r>
      <w:r>
        <w:rPr>
          <w:sz w:val="19"/>
          <w:szCs w:val="19"/>
        </w:rPr>
        <w:t xml:space="preserve"> </w:t>
      </w:r>
      <w:r>
        <w:rPr>
          <w:spacing w:val="13"/>
          <w:sz w:val="19"/>
          <w:szCs w:val="19"/>
        </w:rPr>
        <w:t>月度、季度的项目进展报告，监理机构定期向业主单位报告各项工程实</w:t>
      </w:r>
      <w:r>
        <w:rPr>
          <w:spacing w:val="12"/>
          <w:sz w:val="19"/>
          <w:szCs w:val="19"/>
        </w:rPr>
        <w:t>际进度、与计划进度的</w:t>
      </w:r>
      <w:r>
        <w:rPr>
          <w:sz w:val="19"/>
          <w:szCs w:val="19"/>
        </w:rPr>
        <w:t xml:space="preserve"> </w:t>
      </w:r>
      <w:r>
        <w:rPr>
          <w:spacing w:val="5"/>
          <w:sz w:val="19"/>
          <w:szCs w:val="19"/>
        </w:rPr>
        <w:t>对比以及形象进度情况。</w:t>
      </w:r>
    </w:p>
    <w:p w14:paraId="26170700">
      <w:pPr>
        <w:pStyle w:val="2"/>
        <w:spacing w:before="15" w:line="218" w:lineRule="auto"/>
        <w:ind w:left="389"/>
        <w:rPr>
          <w:sz w:val="19"/>
          <w:szCs w:val="19"/>
        </w:rPr>
      </w:pPr>
      <w:r>
        <w:rPr>
          <w:spacing w:val="6"/>
          <w:sz w:val="19"/>
          <w:szCs w:val="19"/>
        </w:rPr>
        <w:t>实施阶段项目进展报告主要包括以下内容：</w:t>
      </w:r>
    </w:p>
    <w:p w14:paraId="001207C8">
      <w:pPr>
        <w:pStyle w:val="2"/>
        <w:spacing w:before="85" w:line="217" w:lineRule="auto"/>
        <w:ind w:left="389"/>
        <w:rPr>
          <w:sz w:val="19"/>
          <w:szCs w:val="19"/>
        </w:rPr>
      </w:pPr>
      <w:r>
        <w:rPr>
          <w:spacing w:val="8"/>
          <w:sz w:val="19"/>
          <w:szCs w:val="19"/>
        </w:rPr>
        <w:t>①单位、分部、分项工程或应用模块的当期完成工程量和累计完成工程量；</w:t>
      </w:r>
    </w:p>
    <w:p w14:paraId="27A4A99C">
      <w:pPr>
        <w:pStyle w:val="2"/>
        <w:spacing w:before="87" w:line="217" w:lineRule="auto"/>
        <w:ind w:left="389"/>
        <w:rPr>
          <w:sz w:val="19"/>
          <w:szCs w:val="19"/>
        </w:rPr>
      </w:pPr>
      <w:r>
        <w:rPr>
          <w:spacing w:val="6"/>
          <w:sz w:val="19"/>
          <w:szCs w:val="19"/>
        </w:rPr>
        <w:t>②主要设备、材料的实际采购情况；</w:t>
      </w:r>
    </w:p>
    <w:p w14:paraId="0DB6B731">
      <w:pPr>
        <w:pStyle w:val="2"/>
        <w:spacing w:before="87" w:line="217" w:lineRule="auto"/>
        <w:ind w:left="389"/>
        <w:rPr>
          <w:sz w:val="19"/>
          <w:szCs w:val="19"/>
        </w:rPr>
      </w:pPr>
      <w:r>
        <w:rPr>
          <w:spacing w:val="7"/>
          <w:sz w:val="19"/>
          <w:szCs w:val="19"/>
        </w:rPr>
        <w:t>③主要设备进场，以及现有设备维护和使用情况；</w:t>
      </w:r>
    </w:p>
    <w:p w14:paraId="1CD9EB5D">
      <w:pPr>
        <w:pStyle w:val="2"/>
        <w:spacing w:before="76" w:line="217" w:lineRule="auto"/>
        <w:ind w:left="389"/>
        <w:rPr>
          <w:sz w:val="19"/>
          <w:szCs w:val="19"/>
        </w:rPr>
      </w:pPr>
      <w:r>
        <w:rPr>
          <w:spacing w:val="4"/>
          <w:sz w:val="19"/>
          <w:szCs w:val="19"/>
        </w:rPr>
        <w:t>④实施现场各类人员的数量；</w:t>
      </w:r>
    </w:p>
    <w:p w14:paraId="1A2E5D9A">
      <w:pPr>
        <w:pStyle w:val="2"/>
        <w:spacing w:before="87" w:line="217" w:lineRule="auto"/>
        <w:ind w:left="389"/>
        <w:rPr>
          <w:sz w:val="19"/>
          <w:szCs w:val="19"/>
        </w:rPr>
      </w:pPr>
      <w:r>
        <w:rPr>
          <w:spacing w:val="4"/>
          <w:sz w:val="19"/>
          <w:szCs w:val="19"/>
        </w:rPr>
        <w:t>⑤已完成工程的进展进度；</w:t>
      </w:r>
    </w:p>
    <w:p w14:paraId="566DB40F">
      <w:pPr>
        <w:pStyle w:val="2"/>
        <w:spacing w:before="86" w:line="256" w:lineRule="auto"/>
        <w:ind w:right="273" w:firstLine="389"/>
        <w:rPr>
          <w:sz w:val="19"/>
          <w:szCs w:val="19"/>
        </w:rPr>
      </w:pPr>
      <w:r>
        <w:rPr>
          <w:spacing w:val="13"/>
          <w:sz w:val="19"/>
          <w:szCs w:val="19"/>
        </w:rPr>
        <w:t>⑥记录已经延误或可能延误实施进度的影响因素，以及克服这些因素以重新达到预定计划</w:t>
      </w:r>
      <w:r>
        <w:rPr>
          <w:spacing w:val="5"/>
          <w:sz w:val="19"/>
          <w:szCs w:val="19"/>
        </w:rPr>
        <w:t xml:space="preserve"> 进度所采取的措施；</w:t>
      </w:r>
    </w:p>
    <w:p w14:paraId="55B65E24">
      <w:pPr>
        <w:pStyle w:val="2"/>
        <w:spacing w:before="94" w:line="217" w:lineRule="auto"/>
        <w:ind w:left="389"/>
        <w:rPr>
          <w:sz w:val="19"/>
          <w:szCs w:val="19"/>
        </w:rPr>
      </w:pPr>
      <w:r>
        <w:rPr>
          <w:spacing w:val="8"/>
          <w:sz w:val="19"/>
          <w:szCs w:val="19"/>
        </w:rPr>
        <w:t>⑦在实施过程中，从项目使用用户处获得的反馈资料；</w:t>
      </w:r>
    </w:p>
    <w:p w14:paraId="7319C0D9">
      <w:pPr>
        <w:pStyle w:val="2"/>
        <w:spacing w:before="76" w:line="217" w:lineRule="auto"/>
        <w:ind w:left="389"/>
        <w:rPr>
          <w:sz w:val="19"/>
          <w:szCs w:val="19"/>
        </w:rPr>
      </w:pPr>
      <w:r>
        <w:rPr>
          <w:spacing w:val="8"/>
          <w:sz w:val="19"/>
          <w:szCs w:val="19"/>
        </w:rPr>
        <w:t>⑧技术以外的事项，例如质量问题、停工及</w:t>
      </w:r>
      <w:r>
        <w:rPr>
          <w:spacing w:val="7"/>
          <w:sz w:val="19"/>
          <w:szCs w:val="19"/>
        </w:rPr>
        <w:t>复工等情况；</w:t>
      </w:r>
    </w:p>
    <w:p w14:paraId="04A45310">
      <w:pPr>
        <w:pStyle w:val="2"/>
        <w:spacing w:before="87" w:line="217" w:lineRule="auto"/>
        <w:ind w:left="389"/>
        <w:rPr>
          <w:sz w:val="19"/>
          <w:szCs w:val="19"/>
        </w:rPr>
      </w:pPr>
      <w:r>
        <w:rPr>
          <w:spacing w:val="6"/>
          <w:sz w:val="19"/>
          <w:szCs w:val="19"/>
        </w:rPr>
        <w:t>⑨其他需要申报或说明的事项。</w:t>
      </w:r>
    </w:p>
    <w:p w14:paraId="15D8DBBB">
      <w:pPr>
        <w:spacing w:before="62" w:line="302" w:lineRule="auto"/>
        <w:ind w:right="257" w:firstLine="297"/>
        <w:rPr>
          <w:rFonts w:ascii="楷体" w:hAnsi="楷体" w:eastAsia="楷体" w:cs="楷体"/>
          <w:sz w:val="19"/>
          <w:szCs w:val="19"/>
        </w:rPr>
      </w:pPr>
      <w:r>
        <w:rPr>
          <w:rFonts w:ascii="黑体" w:hAnsi="黑体" w:eastAsia="黑体" w:cs="黑体"/>
          <w:b/>
          <w:bCs/>
          <w:spacing w:val="15"/>
          <w:sz w:val="19"/>
          <w:szCs w:val="19"/>
        </w:rPr>
        <w:t>【案例3</w:t>
      </w:r>
      <w:r>
        <w:rPr>
          <w:rFonts w:ascii="楷体" w:hAnsi="楷体" w:eastAsia="楷体" w:cs="楷体"/>
          <w:b/>
          <w:bCs/>
          <w:spacing w:val="15"/>
          <w:sz w:val="19"/>
          <w:szCs w:val="19"/>
        </w:rPr>
        <w:t>】</w:t>
      </w:r>
      <w:r>
        <w:rPr>
          <w:rFonts w:ascii="楷体" w:hAnsi="楷体" w:eastAsia="楷体" w:cs="楷体"/>
          <w:spacing w:val="15"/>
          <w:sz w:val="19"/>
          <w:szCs w:val="19"/>
        </w:rPr>
        <w:t>同样在案例1的项目中，项目涉及前端摄像机、杆件和后端存储交换设备及相关</w:t>
      </w:r>
      <w:r>
        <w:rPr>
          <w:rFonts w:ascii="楷体" w:hAnsi="楷体" w:eastAsia="楷体" w:cs="楷体"/>
          <w:spacing w:val="11"/>
          <w:sz w:val="19"/>
          <w:szCs w:val="19"/>
        </w:rPr>
        <w:t xml:space="preserve"> </w:t>
      </w:r>
      <w:r>
        <w:rPr>
          <w:rFonts w:ascii="楷体" w:hAnsi="楷体" w:eastAsia="楷体" w:cs="楷体"/>
          <w:spacing w:val="9"/>
          <w:sz w:val="19"/>
          <w:szCs w:val="19"/>
        </w:rPr>
        <w:t>辅材的购置，梳理在设备到货验收过程中检查的重点和要求，作为实践参考。</w:t>
      </w:r>
    </w:p>
    <w:p w14:paraId="09E41D89">
      <w:pPr>
        <w:spacing w:line="302" w:lineRule="auto"/>
        <w:rPr>
          <w:rFonts w:ascii="楷体" w:hAnsi="楷体" w:eastAsia="楷体" w:cs="楷体"/>
          <w:sz w:val="19"/>
          <w:szCs w:val="19"/>
        </w:rPr>
        <w:sectPr>
          <w:pgSz w:w="10290" w:h="13300"/>
          <w:pgMar w:top="400" w:right="562" w:bottom="400" w:left="1140" w:header="0" w:footer="0" w:gutter="0"/>
          <w:cols w:space="720" w:num="1"/>
        </w:sectPr>
      </w:pPr>
    </w:p>
    <w:p w14:paraId="6CF591E3">
      <w:pPr>
        <w:pStyle w:val="2"/>
        <w:spacing w:before="77" w:line="219" w:lineRule="auto"/>
        <w:rPr>
          <w:sz w:val="19"/>
          <w:szCs w:val="19"/>
        </w:rPr>
      </w:pPr>
      <w:r>
        <w:rPr>
          <w:rFonts w:ascii="Times New Roman" w:hAnsi="Times New Roman" w:eastAsia="Times New Roman" w:cs="Times New Roman"/>
          <w:b/>
          <w:bCs/>
          <w:spacing w:val="3"/>
          <w:position w:val="1"/>
          <w:sz w:val="19"/>
          <w:szCs w:val="19"/>
        </w:rPr>
        <w:t xml:space="preserve">480              </w:t>
      </w:r>
      <w:r>
        <w:rPr>
          <w:spacing w:val="3"/>
          <w:sz w:val="19"/>
          <w:szCs w:val="19"/>
        </w:rPr>
        <w:t>信息系统监理</w:t>
      </w:r>
      <w:r>
        <w:rPr>
          <w:spacing w:val="2"/>
          <w:sz w:val="19"/>
          <w:szCs w:val="19"/>
        </w:rPr>
        <w:t>师教程(第2版)</w:t>
      </w:r>
    </w:p>
    <w:p w14:paraId="58BC6FB1">
      <w:pPr>
        <w:spacing w:line="319" w:lineRule="auto"/>
        <w:rPr>
          <w:rFonts w:ascii="Arial"/>
          <w:sz w:val="21"/>
        </w:rPr>
      </w:pPr>
    </w:p>
    <w:p w14:paraId="506243E6">
      <w:pPr>
        <w:spacing w:before="62" w:line="227" w:lineRule="auto"/>
        <w:ind w:left="750"/>
        <w:rPr>
          <w:rFonts w:ascii="楷体" w:hAnsi="楷体" w:eastAsia="楷体" w:cs="楷体"/>
          <w:sz w:val="19"/>
          <w:szCs w:val="19"/>
        </w:rPr>
      </w:pPr>
      <w:r>
        <w:rPr>
          <w:rFonts w:ascii="楷体" w:hAnsi="楷体" w:eastAsia="楷体" w:cs="楷体"/>
          <w:spacing w:val="12"/>
          <w:sz w:val="19"/>
          <w:szCs w:val="19"/>
        </w:rPr>
        <w:t>(1)对设备材料的主要检查点如下：</w:t>
      </w:r>
    </w:p>
    <w:p w14:paraId="582DF22C">
      <w:pPr>
        <w:spacing w:before="70" w:line="275" w:lineRule="auto"/>
        <w:ind w:left="369" w:right="89" w:firstLine="380"/>
        <w:rPr>
          <w:rFonts w:ascii="楷体" w:hAnsi="楷体" w:eastAsia="楷体" w:cs="楷体"/>
          <w:sz w:val="19"/>
          <w:szCs w:val="19"/>
        </w:rPr>
      </w:pPr>
      <w:r>
        <w:rPr>
          <w:rFonts w:ascii="楷体" w:hAnsi="楷体" w:eastAsia="楷体" w:cs="楷体"/>
          <w:spacing w:val="13"/>
          <w:sz w:val="19"/>
          <w:szCs w:val="19"/>
        </w:rPr>
        <w:t>①检查工程中所使用的设备材料是否与设计文件完全相符，如与设计文件规定不</w:t>
      </w:r>
      <w:r>
        <w:rPr>
          <w:rFonts w:ascii="楷体" w:hAnsi="楷体" w:eastAsia="楷体" w:cs="楷体"/>
          <w:spacing w:val="12"/>
          <w:sz w:val="19"/>
          <w:szCs w:val="19"/>
        </w:rPr>
        <w:t>符，不得</w:t>
      </w:r>
      <w:r>
        <w:rPr>
          <w:rFonts w:ascii="楷体" w:hAnsi="楷体" w:eastAsia="楷体" w:cs="楷体"/>
          <w:sz w:val="19"/>
          <w:szCs w:val="19"/>
        </w:rPr>
        <w:t xml:space="preserve"> </w:t>
      </w:r>
      <w:r>
        <w:rPr>
          <w:rFonts w:ascii="楷体" w:hAnsi="楷体" w:eastAsia="楷体" w:cs="楷体"/>
          <w:spacing w:val="3"/>
          <w:sz w:val="19"/>
          <w:szCs w:val="19"/>
        </w:rPr>
        <w:t>在工程中使用。</w:t>
      </w:r>
    </w:p>
    <w:p w14:paraId="685DB241">
      <w:pPr>
        <w:spacing w:before="82" w:line="289" w:lineRule="auto"/>
        <w:ind w:left="369" w:right="67" w:firstLine="380"/>
        <w:rPr>
          <w:rFonts w:ascii="楷体" w:hAnsi="楷体" w:eastAsia="楷体" w:cs="楷体"/>
          <w:sz w:val="19"/>
          <w:szCs w:val="19"/>
        </w:rPr>
      </w:pPr>
      <w:r>
        <w:rPr>
          <w:rFonts w:ascii="楷体" w:hAnsi="楷体" w:eastAsia="楷体" w:cs="楷体"/>
          <w:spacing w:val="13"/>
          <w:sz w:val="19"/>
          <w:szCs w:val="19"/>
        </w:rPr>
        <w:t>②要严格按照施工物资材料进场报验流程对进场设备、材料逐项检查、</w:t>
      </w:r>
      <w:r>
        <w:rPr>
          <w:rFonts w:ascii="楷体" w:hAnsi="楷体" w:eastAsia="楷体" w:cs="楷体"/>
          <w:spacing w:val="12"/>
          <w:sz w:val="19"/>
          <w:szCs w:val="19"/>
        </w:rPr>
        <w:t>清点，包括：合格</w:t>
      </w:r>
      <w:r>
        <w:rPr>
          <w:rFonts w:ascii="楷体" w:hAnsi="楷体" w:eastAsia="楷体" w:cs="楷体"/>
          <w:sz w:val="19"/>
          <w:szCs w:val="19"/>
        </w:rPr>
        <w:t xml:space="preserve"> </w:t>
      </w:r>
      <w:r>
        <w:rPr>
          <w:rFonts w:ascii="楷体" w:hAnsi="楷体" w:eastAsia="楷体" w:cs="楷体"/>
          <w:spacing w:val="13"/>
          <w:sz w:val="19"/>
          <w:szCs w:val="19"/>
        </w:rPr>
        <w:t>证、本年批次产品出厂检测报告、外观、数量、规格、型号、产品序列号等；</w:t>
      </w:r>
      <w:r>
        <w:rPr>
          <w:rFonts w:ascii="楷体" w:hAnsi="楷体" w:eastAsia="楷体" w:cs="楷体"/>
          <w:spacing w:val="12"/>
          <w:sz w:val="19"/>
          <w:szCs w:val="19"/>
        </w:rPr>
        <w:t>有些设备还应现</w:t>
      </w:r>
      <w:r>
        <w:rPr>
          <w:rFonts w:ascii="楷体" w:hAnsi="楷体" w:eastAsia="楷体" w:cs="楷体"/>
          <w:sz w:val="19"/>
          <w:szCs w:val="19"/>
        </w:rPr>
        <w:t xml:space="preserve"> </w:t>
      </w:r>
      <w:r>
        <w:rPr>
          <w:rFonts w:ascii="楷体" w:hAnsi="楷体" w:eastAsia="楷体" w:cs="楷体"/>
          <w:spacing w:val="12"/>
          <w:sz w:val="19"/>
          <w:szCs w:val="19"/>
        </w:rPr>
        <w:t>场加电和抽样测试；如有进口产品应检验本批次产品商检证明、原产地证明，开箱时还应检查</w:t>
      </w:r>
      <w:r>
        <w:rPr>
          <w:rFonts w:ascii="楷体" w:hAnsi="楷体" w:eastAsia="楷体" w:cs="楷体"/>
          <w:spacing w:val="9"/>
          <w:sz w:val="19"/>
          <w:szCs w:val="19"/>
        </w:rPr>
        <w:t xml:space="preserve"> </w:t>
      </w:r>
      <w:r>
        <w:rPr>
          <w:rFonts w:ascii="楷体" w:hAnsi="楷体" w:eastAsia="楷体" w:cs="楷体"/>
          <w:spacing w:val="13"/>
          <w:sz w:val="19"/>
          <w:szCs w:val="19"/>
        </w:rPr>
        <w:t>随机文件是否符合要求。经清点、检验和抽</w:t>
      </w:r>
      <w:r>
        <w:rPr>
          <w:rFonts w:ascii="楷体" w:hAnsi="楷体" w:eastAsia="楷体" w:cs="楷体"/>
          <w:spacing w:val="12"/>
          <w:sz w:val="19"/>
          <w:szCs w:val="19"/>
        </w:rPr>
        <w:t>样测试的设备、材料应做好开箱查验记录，对不符</w:t>
      </w:r>
      <w:r>
        <w:rPr>
          <w:rFonts w:ascii="楷体" w:hAnsi="楷体" w:eastAsia="楷体" w:cs="楷体"/>
          <w:sz w:val="19"/>
          <w:szCs w:val="19"/>
        </w:rPr>
        <w:t xml:space="preserve"> </w:t>
      </w:r>
      <w:r>
        <w:rPr>
          <w:rFonts w:ascii="楷体" w:hAnsi="楷体" w:eastAsia="楷体" w:cs="楷体"/>
          <w:spacing w:val="8"/>
          <w:sz w:val="19"/>
          <w:szCs w:val="19"/>
        </w:rPr>
        <w:t>合标准要求的应单独存放，以备检查和处理，并不允许在项目</w:t>
      </w:r>
      <w:r>
        <w:rPr>
          <w:rFonts w:ascii="楷体" w:hAnsi="楷体" w:eastAsia="楷体" w:cs="楷体"/>
          <w:spacing w:val="7"/>
          <w:sz w:val="19"/>
          <w:szCs w:val="19"/>
        </w:rPr>
        <w:t>中使用。</w:t>
      </w:r>
    </w:p>
    <w:p w14:paraId="77E19230">
      <w:pPr>
        <w:spacing w:before="99" w:line="225" w:lineRule="auto"/>
        <w:ind w:left="750"/>
        <w:rPr>
          <w:rFonts w:ascii="楷体" w:hAnsi="楷体" w:eastAsia="楷体" w:cs="楷体"/>
          <w:sz w:val="19"/>
          <w:szCs w:val="19"/>
        </w:rPr>
      </w:pPr>
      <w:r>
        <w:rPr>
          <w:rFonts w:ascii="楷体" w:hAnsi="楷体" w:eastAsia="楷体" w:cs="楷体"/>
          <w:spacing w:val="14"/>
          <w:sz w:val="19"/>
          <w:szCs w:val="19"/>
        </w:rPr>
        <w:t>(2)线缆检验内容如下：</w:t>
      </w:r>
    </w:p>
    <w:p w14:paraId="471EE069">
      <w:pPr>
        <w:spacing w:before="88" w:line="225" w:lineRule="auto"/>
        <w:ind w:left="750"/>
        <w:rPr>
          <w:rFonts w:ascii="楷体" w:hAnsi="楷体" w:eastAsia="楷体" w:cs="楷体"/>
          <w:sz w:val="19"/>
          <w:szCs w:val="19"/>
        </w:rPr>
      </w:pPr>
      <w:r>
        <w:rPr>
          <w:rFonts w:ascii="楷体" w:hAnsi="楷体" w:eastAsia="楷体" w:cs="楷体"/>
          <w:spacing w:val="9"/>
          <w:sz w:val="19"/>
          <w:szCs w:val="19"/>
        </w:rPr>
        <w:t>①项目中使用的双绞线的型号、规格和格式及数量应与设计文</w:t>
      </w:r>
      <w:r>
        <w:rPr>
          <w:rFonts w:ascii="楷体" w:hAnsi="楷体" w:eastAsia="楷体" w:cs="楷体"/>
          <w:spacing w:val="8"/>
          <w:sz w:val="19"/>
          <w:szCs w:val="19"/>
        </w:rPr>
        <w:t>件中一致。</w:t>
      </w:r>
    </w:p>
    <w:p w14:paraId="7A8B4DAC">
      <w:pPr>
        <w:spacing w:before="83" w:line="256" w:lineRule="auto"/>
        <w:ind w:left="369" w:right="78" w:firstLine="380"/>
        <w:rPr>
          <w:rFonts w:ascii="楷体" w:hAnsi="楷体" w:eastAsia="楷体" w:cs="楷体"/>
          <w:sz w:val="19"/>
          <w:szCs w:val="19"/>
        </w:rPr>
      </w:pPr>
      <w:r>
        <w:rPr>
          <w:rFonts w:ascii="楷体" w:hAnsi="楷体" w:eastAsia="楷体" w:cs="楷体"/>
          <w:spacing w:val="13"/>
          <w:sz w:val="19"/>
          <w:szCs w:val="19"/>
        </w:rPr>
        <w:t>②根据材料运单对照检查线缆的包装标志，要求内容应齐全，字迹清晰。外包装应注明线</w:t>
      </w:r>
      <w:r>
        <w:rPr>
          <w:rFonts w:ascii="楷体" w:hAnsi="楷体" w:eastAsia="楷体" w:cs="楷体"/>
          <w:spacing w:val="8"/>
          <w:sz w:val="19"/>
          <w:szCs w:val="19"/>
        </w:rPr>
        <w:t xml:space="preserve"> </w:t>
      </w:r>
      <w:r>
        <w:rPr>
          <w:rFonts w:ascii="楷体" w:hAnsi="楷体" w:eastAsia="楷体" w:cs="楷体"/>
          <w:spacing w:val="9"/>
          <w:sz w:val="19"/>
          <w:szCs w:val="19"/>
        </w:rPr>
        <w:t>缆的型号、规格、线径或芯数、端别、盘号和盘长等情况，并与出厂产品质量合格</w:t>
      </w:r>
      <w:r>
        <w:rPr>
          <w:rFonts w:ascii="楷体" w:hAnsi="楷体" w:eastAsia="楷体" w:cs="楷体"/>
          <w:spacing w:val="8"/>
          <w:sz w:val="19"/>
          <w:szCs w:val="19"/>
        </w:rPr>
        <w:t>证一致。</w:t>
      </w:r>
    </w:p>
    <w:p w14:paraId="7C693AAF">
      <w:pPr>
        <w:spacing w:before="84" w:line="220" w:lineRule="auto"/>
        <w:ind w:left="750"/>
        <w:rPr>
          <w:rFonts w:ascii="楷体" w:hAnsi="楷体" w:eastAsia="楷体" w:cs="楷体"/>
          <w:sz w:val="19"/>
          <w:szCs w:val="19"/>
        </w:rPr>
      </w:pPr>
      <w:r>
        <w:rPr>
          <w:rFonts w:ascii="楷体" w:hAnsi="楷体" w:eastAsia="楷体" w:cs="楷体"/>
          <w:spacing w:val="8"/>
          <w:sz w:val="19"/>
          <w:szCs w:val="19"/>
        </w:rPr>
        <w:t>③</w:t>
      </w:r>
      <w:r>
        <w:rPr>
          <w:rFonts w:ascii="楷体" w:hAnsi="楷体" w:eastAsia="楷体" w:cs="楷体"/>
          <w:spacing w:val="-45"/>
          <w:sz w:val="19"/>
          <w:szCs w:val="19"/>
        </w:rPr>
        <w:t xml:space="preserve"> </w:t>
      </w:r>
      <w:r>
        <w:rPr>
          <w:rFonts w:ascii="楷体" w:hAnsi="楷体" w:eastAsia="楷体" w:cs="楷体"/>
          <w:spacing w:val="8"/>
          <w:sz w:val="19"/>
          <w:szCs w:val="19"/>
        </w:rPr>
        <w:t>线缆外包装应无破损，对缆身应检查外护套是否完整无损，有无压扁或裂纹等现象。</w:t>
      </w:r>
    </w:p>
    <w:p w14:paraId="0DB232C2">
      <w:pPr>
        <w:pStyle w:val="2"/>
        <w:spacing w:before="83" w:line="220" w:lineRule="auto"/>
        <w:ind w:left="750"/>
        <w:rPr>
          <w:rFonts w:ascii="楷体" w:hAnsi="楷体" w:eastAsia="楷体" w:cs="楷体"/>
          <w:sz w:val="19"/>
          <w:szCs w:val="19"/>
        </w:rPr>
      </w:pPr>
      <w:r>
        <w:rPr>
          <w:rFonts w:ascii="楷体" w:hAnsi="楷体" w:eastAsia="楷体" w:cs="楷体"/>
          <w:spacing w:val="8"/>
          <w:sz w:val="19"/>
          <w:szCs w:val="19"/>
        </w:rPr>
        <w:t>④</w:t>
      </w:r>
      <w:r>
        <w:rPr>
          <w:rFonts w:ascii="楷体" w:hAnsi="楷体" w:eastAsia="楷体" w:cs="楷体"/>
          <w:spacing w:val="-68"/>
          <w:sz w:val="19"/>
          <w:szCs w:val="19"/>
        </w:rPr>
        <w:t xml:space="preserve"> </w:t>
      </w:r>
      <w:r>
        <w:rPr>
          <w:rFonts w:ascii="楷体" w:hAnsi="楷体" w:eastAsia="楷体" w:cs="楷体"/>
          <w:spacing w:val="8"/>
          <w:sz w:val="19"/>
          <w:szCs w:val="19"/>
        </w:rPr>
        <w:t>对线缆有端别要求时，应剥开缆头，分清</w:t>
      </w:r>
      <w:r>
        <w:rPr>
          <w:rFonts w:ascii="Times New Roman" w:hAnsi="Times New Roman" w:eastAsia="Times New Roman" w:cs="Times New Roman"/>
          <w:spacing w:val="8"/>
          <w:sz w:val="19"/>
          <w:szCs w:val="19"/>
        </w:rPr>
        <w:t>A</w:t>
      </w:r>
      <w:r>
        <w:rPr>
          <w:rFonts w:ascii="Times New Roman" w:hAnsi="Times New Roman" w:eastAsia="Times New Roman" w:cs="Times New Roman"/>
          <w:spacing w:val="-27"/>
          <w:sz w:val="19"/>
          <w:szCs w:val="19"/>
        </w:rPr>
        <w:t xml:space="preserve"> </w:t>
      </w:r>
      <w:r>
        <w:rPr>
          <w:spacing w:val="8"/>
          <w:sz w:val="19"/>
          <w:szCs w:val="19"/>
        </w:rPr>
        <w:t>、</w:t>
      </w:r>
      <w:r>
        <w:rPr>
          <w:rFonts w:ascii="Times New Roman" w:hAnsi="Times New Roman" w:eastAsia="Times New Roman" w:cs="Times New Roman"/>
          <w:spacing w:val="8"/>
          <w:sz w:val="19"/>
          <w:szCs w:val="19"/>
        </w:rPr>
        <w:t>B</w:t>
      </w:r>
      <w:r>
        <w:rPr>
          <w:rFonts w:ascii="Times New Roman" w:hAnsi="Times New Roman" w:eastAsia="Times New Roman" w:cs="Times New Roman"/>
          <w:spacing w:val="41"/>
          <w:sz w:val="19"/>
          <w:szCs w:val="19"/>
        </w:rPr>
        <w:t xml:space="preserve"> </w:t>
      </w:r>
      <w:r>
        <w:rPr>
          <w:rFonts w:ascii="楷体" w:hAnsi="楷体" w:eastAsia="楷体" w:cs="楷体"/>
          <w:spacing w:val="8"/>
          <w:sz w:val="19"/>
          <w:szCs w:val="19"/>
        </w:rPr>
        <w:t>端别，并在线缆</w:t>
      </w:r>
      <w:r>
        <w:rPr>
          <w:rFonts w:ascii="楷体" w:hAnsi="楷体" w:eastAsia="楷体" w:cs="楷体"/>
          <w:spacing w:val="7"/>
          <w:sz w:val="19"/>
          <w:szCs w:val="19"/>
        </w:rPr>
        <w:t>两端做标识。</w:t>
      </w:r>
    </w:p>
    <w:p w14:paraId="74D397E9">
      <w:pPr>
        <w:spacing w:before="103" w:line="268" w:lineRule="auto"/>
        <w:ind w:left="369" w:right="89" w:firstLine="380"/>
        <w:rPr>
          <w:rFonts w:ascii="楷体" w:hAnsi="楷体" w:eastAsia="楷体" w:cs="楷体"/>
          <w:sz w:val="19"/>
          <w:szCs w:val="19"/>
        </w:rPr>
      </w:pPr>
      <w:r>
        <w:rPr>
          <w:rFonts w:ascii="楷体" w:hAnsi="楷体" w:eastAsia="楷体" w:cs="楷体"/>
          <w:spacing w:val="13"/>
          <w:sz w:val="19"/>
          <w:szCs w:val="19"/>
        </w:rPr>
        <w:t>⑤根据光缆出厂产品质量检验合格证和测试记录，审核光纤的几何、光学和传输</w:t>
      </w:r>
      <w:r>
        <w:rPr>
          <w:rFonts w:ascii="楷体" w:hAnsi="楷体" w:eastAsia="楷体" w:cs="楷体"/>
          <w:spacing w:val="12"/>
          <w:sz w:val="19"/>
          <w:szCs w:val="19"/>
        </w:rPr>
        <w:t>特性及机</w:t>
      </w:r>
      <w:r>
        <w:rPr>
          <w:rFonts w:ascii="楷体" w:hAnsi="楷体" w:eastAsia="楷体" w:cs="楷体"/>
          <w:sz w:val="19"/>
          <w:szCs w:val="19"/>
        </w:rPr>
        <w:t xml:space="preserve"> </w:t>
      </w:r>
      <w:r>
        <w:rPr>
          <w:rFonts w:ascii="楷体" w:hAnsi="楷体" w:eastAsia="楷体" w:cs="楷体"/>
          <w:spacing w:val="5"/>
          <w:sz w:val="19"/>
          <w:szCs w:val="19"/>
        </w:rPr>
        <w:t>械物理性能是否符合要求。</w:t>
      </w:r>
    </w:p>
    <w:p w14:paraId="2267D095">
      <w:pPr>
        <w:pStyle w:val="2"/>
        <w:spacing w:before="79" w:line="251" w:lineRule="auto"/>
        <w:ind w:left="369" w:right="26" w:firstLine="380"/>
        <w:rPr>
          <w:rFonts w:ascii="楷体" w:hAnsi="楷体" w:eastAsia="楷体" w:cs="楷体"/>
          <w:sz w:val="19"/>
          <w:szCs w:val="19"/>
        </w:rPr>
      </w:pPr>
      <w:r>
        <w:rPr>
          <w:rFonts w:ascii="楷体" w:hAnsi="楷体" w:eastAsia="楷体" w:cs="楷体"/>
          <w:spacing w:val="26"/>
          <w:sz w:val="19"/>
          <w:szCs w:val="19"/>
        </w:rPr>
        <w:t>⑥</w:t>
      </w:r>
      <w:r>
        <w:rPr>
          <w:rFonts w:ascii="楷体" w:hAnsi="楷体" w:eastAsia="楷体" w:cs="楷体"/>
          <w:spacing w:val="-57"/>
          <w:sz w:val="19"/>
          <w:szCs w:val="19"/>
        </w:rPr>
        <w:t xml:space="preserve"> </w:t>
      </w:r>
      <w:r>
        <w:rPr>
          <w:rFonts w:ascii="楷体" w:hAnsi="楷体" w:eastAsia="楷体" w:cs="楷体"/>
          <w:spacing w:val="26"/>
          <w:sz w:val="19"/>
          <w:szCs w:val="19"/>
        </w:rPr>
        <w:t>对于电缆的电气性能测试，应从本批量电缆的任意3盘中(目前电</w:t>
      </w:r>
      <w:r>
        <w:rPr>
          <w:rFonts w:ascii="楷体" w:hAnsi="楷体" w:eastAsia="楷体" w:cs="楷体"/>
          <w:spacing w:val="25"/>
          <w:sz w:val="19"/>
          <w:szCs w:val="19"/>
        </w:rPr>
        <w:t>缆</w:t>
      </w:r>
      <w:r>
        <w:rPr>
          <w:rFonts w:ascii="楷体" w:hAnsi="楷体" w:eastAsia="楷体" w:cs="楷体"/>
          <w:spacing w:val="-54"/>
          <w:sz w:val="19"/>
          <w:szCs w:val="19"/>
        </w:rPr>
        <w:t xml:space="preserve"> </w:t>
      </w:r>
      <w:r>
        <w:rPr>
          <w:rFonts w:ascii="楷体" w:hAnsi="楷体" w:eastAsia="楷体" w:cs="楷体"/>
          <w:spacing w:val="25"/>
          <w:sz w:val="19"/>
          <w:szCs w:val="19"/>
        </w:rPr>
        <w:t>一般以305</w:t>
      </w:r>
      <w:r>
        <w:rPr>
          <w:rFonts w:ascii="Times New Roman" w:hAnsi="Times New Roman" w:eastAsia="Times New Roman" w:cs="Times New Roman"/>
          <w:spacing w:val="25"/>
          <w:sz w:val="19"/>
          <w:szCs w:val="19"/>
        </w:rPr>
        <w:t>m</w:t>
      </w:r>
      <w:r>
        <w:rPr>
          <w:spacing w:val="25"/>
          <w:sz w:val="19"/>
          <w:szCs w:val="19"/>
        </w:rPr>
        <w:t>、</w:t>
      </w:r>
      <w:r>
        <w:rPr>
          <w:sz w:val="19"/>
          <w:szCs w:val="19"/>
        </w:rPr>
        <w:t xml:space="preserve"> </w:t>
      </w:r>
      <w:r>
        <w:rPr>
          <w:rFonts w:ascii="Times New Roman" w:hAnsi="Times New Roman" w:eastAsia="Times New Roman" w:cs="Times New Roman"/>
          <w:spacing w:val="9"/>
          <w:sz w:val="19"/>
          <w:szCs w:val="19"/>
        </w:rPr>
        <w:t>500m</w:t>
      </w:r>
      <w:r>
        <w:rPr>
          <w:rFonts w:ascii="Times New Roman" w:hAnsi="Times New Roman" w:eastAsia="Times New Roman" w:cs="Times New Roman"/>
          <w:spacing w:val="-27"/>
          <w:sz w:val="19"/>
          <w:szCs w:val="19"/>
        </w:rPr>
        <w:t xml:space="preserve"> </w:t>
      </w:r>
      <w:r>
        <w:rPr>
          <w:spacing w:val="9"/>
          <w:sz w:val="19"/>
          <w:szCs w:val="19"/>
        </w:rPr>
        <w:t>、</w:t>
      </w:r>
      <w:r>
        <w:rPr>
          <w:rFonts w:ascii="Times New Roman" w:hAnsi="Times New Roman" w:eastAsia="Times New Roman" w:cs="Times New Roman"/>
          <w:spacing w:val="9"/>
          <w:sz w:val="19"/>
          <w:szCs w:val="19"/>
        </w:rPr>
        <w:t xml:space="preserve">1000m  </w:t>
      </w:r>
      <w:r>
        <w:rPr>
          <w:rFonts w:ascii="楷体" w:hAnsi="楷体" w:eastAsia="楷体" w:cs="楷体"/>
          <w:spacing w:val="9"/>
          <w:sz w:val="19"/>
          <w:szCs w:val="19"/>
        </w:rPr>
        <w:t>配盘)截出100</w:t>
      </w:r>
      <w:r>
        <w:rPr>
          <w:rFonts w:ascii="Times New Roman" w:hAnsi="Times New Roman" w:eastAsia="Times New Roman" w:cs="Times New Roman"/>
          <w:spacing w:val="9"/>
          <w:sz w:val="19"/>
          <w:szCs w:val="19"/>
        </w:rPr>
        <w:t xml:space="preserve">m </w:t>
      </w:r>
      <w:r>
        <w:rPr>
          <w:rFonts w:ascii="楷体" w:hAnsi="楷体" w:eastAsia="楷体" w:cs="楷体"/>
          <w:spacing w:val="9"/>
          <w:sz w:val="19"/>
          <w:szCs w:val="19"/>
        </w:rPr>
        <w:t>进行抽样测试，测试结果应符合工程验收基本连接要求。</w:t>
      </w:r>
    </w:p>
    <w:p w14:paraId="1D64569E">
      <w:pPr>
        <w:spacing w:before="83" w:line="266" w:lineRule="auto"/>
        <w:ind w:left="369" w:right="83" w:firstLine="380"/>
        <w:rPr>
          <w:rFonts w:ascii="楷体" w:hAnsi="楷体" w:eastAsia="楷体" w:cs="楷体"/>
          <w:sz w:val="19"/>
          <w:szCs w:val="19"/>
        </w:rPr>
      </w:pPr>
      <w:r>
        <w:rPr>
          <w:rFonts w:ascii="楷体" w:hAnsi="楷体" w:eastAsia="楷体" w:cs="楷体"/>
          <w:spacing w:val="16"/>
          <w:sz w:val="19"/>
          <w:szCs w:val="19"/>
        </w:rPr>
        <w:t>⑦一般使用5类以上电缆测试仪，对电缆的衰</w:t>
      </w:r>
      <w:r>
        <w:rPr>
          <w:rFonts w:ascii="楷体" w:hAnsi="楷体" w:eastAsia="楷体" w:cs="楷体"/>
          <w:spacing w:val="15"/>
          <w:sz w:val="19"/>
          <w:szCs w:val="19"/>
        </w:rPr>
        <w:t>减和近端串扰的技术性能进行测试。其电气</w:t>
      </w:r>
      <w:r>
        <w:rPr>
          <w:rFonts w:ascii="楷体" w:hAnsi="楷体" w:eastAsia="楷体" w:cs="楷体"/>
          <w:sz w:val="19"/>
          <w:szCs w:val="19"/>
        </w:rPr>
        <w:t xml:space="preserve"> </w:t>
      </w:r>
      <w:r>
        <w:rPr>
          <w:rFonts w:ascii="楷体" w:hAnsi="楷体" w:eastAsia="楷体" w:cs="楷体"/>
          <w:spacing w:val="7"/>
          <w:sz w:val="19"/>
          <w:szCs w:val="19"/>
        </w:rPr>
        <w:t>性能指标应符合设计要求及有关标准。</w:t>
      </w:r>
    </w:p>
    <w:p w14:paraId="48950C86">
      <w:pPr>
        <w:spacing w:before="98" w:line="225" w:lineRule="auto"/>
        <w:ind w:left="750"/>
        <w:rPr>
          <w:rFonts w:ascii="楷体" w:hAnsi="楷体" w:eastAsia="楷体" w:cs="楷体"/>
          <w:sz w:val="19"/>
          <w:szCs w:val="19"/>
        </w:rPr>
      </w:pPr>
      <w:r>
        <w:rPr>
          <w:rFonts w:ascii="楷体" w:hAnsi="楷体" w:eastAsia="楷体" w:cs="楷体"/>
          <w:spacing w:val="14"/>
          <w:sz w:val="19"/>
          <w:szCs w:val="19"/>
        </w:rPr>
        <w:t>(3)光纤测试内容如下：</w:t>
      </w:r>
    </w:p>
    <w:p w14:paraId="559C7E4C">
      <w:pPr>
        <w:pStyle w:val="2"/>
        <w:spacing w:before="72" w:line="284" w:lineRule="auto"/>
        <w:ind w:left="369" w:right="68" w:firstLine="380"/>
        <w:rPr>
          <w:rFonts w:ascii="楷体" w:hAnsi="楷体" w:eastAsia="楷体" w:cs="楷体"/>
          <w:sz w:val="19"/>
          <w:szCs w:val="19"/>
        </w:rPr>
      </w:pPr>
      <w:r>
        <w:rPr>
          <w:rFonts w:ascii="楷体" w:hAnsi="楷体" w:eastAsia="楷体" w:cs="楷体"/>
          <w:spacing w:val="13"/>
          <w:sz w:val="19"/>
          <w:szCs w:val="19"/>
        </w:rPr>
        <w:t>①衰减测试。 一般采用光时域反射仪</w:t>
      </w:r>
      <w:r>
        <w:rPr>
          <w:spacing w:val="13"/>
          <w:sz w:val="19"/>
          <w:szCs w:val="19"/>
        </w:rPr>
        <w:t>(</w:t>
      </w:r>
      <w:r>
        <w:rPr>
          <w:sz w:val="19"/>
          <w:szCs w:val="19"/>
        </w:rPr>
        <w:t>DTDR</w:t>
      </w:r>
      <w:r>
        <w:rPr>
          <w:spacing w:val="13"/>
          <w:sz w:val="19"/>
          <w:szCs w:val="19"/>
        </w:rPr>
        <w:t xml:space="preserve">)   </w:t>
      </w:r>
      <w:r>
        <w:rPr>
          <w:rFonts w:ascii="楷体" w:hAnsi="楷体" w:eastAsia="楷体" w:cs="楷体"/>
          <w:spacing w:val="13"/>
          <w:sz w:val="19"/>
          <w:szCs w:val="19"/>
        </w:rPr>
        <w:t>进行测试。如测试结果超出标准，与出厂</w:t>
      </w:r>
      <w:r>
        <w:rPr>
          <w:rFonts w:ascii="楷体" w:hAnsi="楷体" w:eastAsia="楷体" w:cs="楷体"/>
          <w:spacing w:val="3"/>
          <w:sz w:val="19"/>
          <w:szCs w:val="19"/>
        </w:rPr>
        <w:t xml:space="preserve"> </w:t>
      </w:r>
      <w:r>
        <w:rPr>
          <w:rFonts w:ascii="楷体" w:hAnsi="楷体" w:eastAsia="楷体" w:cs="楷体"/>
          <w:spacing w:val="13"/>
          <w:sz w:val="19"/>
          <w:szCs w:val="19"/>
        </w:rPr>
        <w:t>测试数值相差较大时，应查找分析原因，可用光功率计测试，并加以比较，</w:t>
      </w:r>
      <w:r>
        <w:rPr>
          <w:rFonts w:ascii="楷体" w:hAnsi="楷体" w:eastAsia="楷体" w:cs="楷体"/>
          <w:spacing w:val="12"/>
          <w:sz w:val="19"/>
          <w:szCs w:val="19"/>
        </w:rPr>
        <w:t>以便断定是测试误</w:t>
      </w:r>
      <w:r>
        <w:rPr>
          <w:rFonts w:ascii="楷体" w:hAnsi="楷体" w:eastAsia="楷体" w:cs="楷体"/>
          <w:sz w:val="19"/>
          <w:szCs w:val="19"/>
        </w:rPr>
        <w:t xml:space="preserve"> </w:t>
      </w:r>
      <w:r>
        <w:rPr>
          <w:rFonts w:ascii="楷体" w:hAnsi="楷体" w:eastAsia="楷体" w:cs="楷体"/>
          <w:spacing w:val="5"/>
          <w:sz w:val="19"/>
          <w:szCs w:val="19"/>
        </w:rPr>
        <w:t>差还是光纤本身衰减过大。</w:t>
      </w:r>
    </w:p>
    <w:p w14:paraId="02824459">
      <w:pPr>
        <w:spacing w:before="84" w:line="277" w:lineRule="auto"/>
        <w:ind w:left="369" w:right="72" w:firstLine="380"/>
        <w:rPr>
          <w:rFonts w:ascii="楷体" w:hAnsi="楷体" w:eastAsia="楷体" w:cs="楷体"/>
          <w:sz w:val="19"/>
          <w:szCs w:val="19"/>
        </w:rPr>
      </w:pPr>
      <w:r>
        <w:rPr>
          <w:rFonts w:ascii="楷体" w:hAnsi="楷体" w:eastAsia="楷体" w:cs="楷体"/>
          <w:spacing w:val="19"/>
          <w:sz w:val="19"/>
          <w:szCs w:val="19"/>
        </w:rPr>
        <w:t>②长度测试。要求对每根光纤进行测试比较，如在同一盘光缆</w:t>
      </w:r>
      <w:r>
        <w:rPr>
          <w:rFonts w:ascii="楷体" w:hAnsi="楷体" w:eastAsia="楷体" w:cs="楷体"/>
          <w:spacing w:val="18"/>
          <w:sz w:val="19"/>
          <w:szCs w:val="19"/>
        </w:rPr>
        <w:t>中，发现光纤的长度相差</w:t>
      </w:r>
      <w:r>
        <w:rPr>
          <w:rFonts w:ascii="楷体" w:hAnsi="楷体" w:eastAsia="楷体" w:cs="楷体"/>
          <w:sz w:val="19"/>
          <w:szCs w:val="19"/>
        </w:rPr>
        <w:t xml:space="preserve"> </w:t>
      </w:r>
      <w:r>
        <w:rPr>
          <w:rFonts w:ascii="楷体" w:hAnsi="楷体" w:eastAsia="楷体" w:cs="楷体"/>
          <w:spacing w:val="12"/>
          <w:sz w:val="19"/>
          <w:szCs w:val="19"/>
        </w:rPr>
        <w:t>较大时，应从另一端进行复测或做通光检查，看是否有断纤情况。光缆检查后，两端头应密封</w:t>
      </w:r>
      <w:r>
        <w:rPr>
          <w:rFonts w:ascii="楷体" w:hAnsi="楷体" w:eastAsia="楷体" w:cs="楷体"/>
          <w:spacing w:val="11"/>
          <w:sz w:val="19"/>
          <w:szCs w:val="19"/>
        </w:rPr>
        <w:t xml:space="preserve"> </w:t>
      </w:r>
      <w:r>
        <w:rPr>
          <w:rFonts w:ascii="楷体" w:hAnsi="楷体" w:eastAsia="楷体" w:cs="楷体"/>
          <w:spacing w:val="-2"/>
          <w:sz w:val="19"/>
          <w:szCs w:val="19"/>
        </w:rPr>
        <w:t>固定。</w:t>
      </w:r>
    </w:p>
    <w:p w14:paraId="7A25D39E">
      <w:pPr>
        <w:spacing w:before="66" w:line="264" w:lineRule="auto"/>
        <w:ind w:left="369" w:right="83" w:firstLine="380"/>
        <w:rPr>
          <w:rFonts w:ascii="楷体" w:hAnsi="楷体" w:eastAsia="楷体" w:cs="楷体"/>
          <w:sz w:val="19"/>
          <w:szCs w:val="19"/>
        </w:rPr>
      </w:pPr>
      <w:r>
        <w:rPr>
          <w:rFonts w:ascii="楷体" w:hAnsi="楷体" w:eastAsia="楷体" w:cs="楷体"/>
          <w:spacing w:val="13"/>
          <w:sz w:val="19"/>
          <w:szCs w:val="19"/>
        </w:rPr>
        <w:t>③光纤跳线检查。查看外面是否做防火处理，以增强其保护性能，两端的活动连接器的端</w:t>
      </w:r>
      <w:r>
        <w:rPr>
          <w:rFonts w:ascii="楷体" w:hAnsi="楷体" w:eastAsia="楷体" w:cs="楷体"/>
          <w:spacing w:val="3"/>
          <w:sz w:val="19"/>
          <w:szCs w:val="19"/>
        </w:rPr>
        <w:t xml:space="preserve"> </w:t>
      </w:r>
      <w:r>
        <w:rPr>
          <w:rFonts w:ascii="楷体" w:hAnsi="楷体" w:eastAsia="楷体" w:cs="楷体"/>
          <w:spacing w:val="5"/>
          <w:sz w:val="19"/>
          <w:szCs w:val="19"/>
        </w:rPr>
        <w:t>面是否配有保护盖帽。</w:t>
      </w:r>
    </w:p>
    <w:p w14:paraId="3854F4B5">
      <w:pPr>
        <w:spacing w:before="81" w:line="225" w:lineRule="auto"/>
        <w:ind w:left="750"/>
        <w:rPr>
          <w:rFonts w:ascii="楷体" w:hAnsi="楷体" w:eastAsia="楷体" w:cs="楷体"/>
          <w:sz w:val="19"/>
          <w:szCs w:val="19"/>
        </w:rPr>
      </w:pPr>
      <w:r>
        <w:rPr>
          <w:rFonts w:ascii="楷体" w:hAnsi="楷体" w:eastAsia="楷体" w:cs="楷体"/>
          <w:spacing w:val="14"/>
          <w:sz w:val="19"/>
          <w:szCs w:val="19"/>
        </w:rPr>
        <w:t>(4)器材检查内容如下：</w:t>
      </w:r>
    </w:p>
    <w:p w14:paraId="6F961652">
      <w:pPr>
        <w:spacing w:before="83" w:line="256" w:lineRule="auto"/>
        <w:ind w:left="369" w:right="62" w:firstLine="380"/>
        <w:rPr>
          <w:rFonts w:ascii="楷体" w:hAnsi="楷体" w:eastAsia="楷体" w:cs="楷体"/>
          <w:sz w:val="19"/>
          <w:szCs w:val="19"/>
        </w:rPr>
      </w:pPr>
      <w:r>
        <w:rPr>
          <w:rFonts w:ascii="楷体" w:hAnsi="楷体" w:eastAsia="楷体" w:cs="楷体"/>
          <w:spacing w:val="14"/>
          <w:sz w:val="19"/>
          <w:szCs w:val="19"/>
        </w:rPr>
        <w:t>①采用钢管和硬聚氯乙烯塑料管的，应检验其管身是</w:t>
      </w:r>
      <w:r>
        <w:rPr>
          <w:rFonts w:ascii="楷体" w:hAnsi="楷体" w:eastAsia="楷体" w:cs="楷体"/>
          <w:spacing w:val="13"/>
          <w:sz w:val="19"/>
          <w:szCs w:val="19"/>
        </w:rPr>
        <w:t>否光滑、均匀，无伤损和变形，管内</w:t>
      </w:r>
      <w:r>
        <w:rPr>
          <w:rFonts w:ascii="楷体" w:hAnsi="楷体" w:eastAsia="楷体" w:cs="楷体"/>
          <w:sz w:val="19"/>
          <w:szCs w:val="19"/>
        </w:rPr>
        <w:t xml:space="preserve"> </w:t>
      </w:r>
      <w:r>
        <w:rPr>
          <w:rFonts w:ascii="楷体" w:hAnsi="楷体" w:eastAsia="楷体" w:cs="楷体"/>
          <w:spacing w:val="6"/>
          <w:sz w:val="19"/>
          <w:szCs w:val="19"/>
        </w:rPr>
        <w:t>壁光滑，孔径和壁厚均应符合设计要求。</w:t>
      </w:r>
    </w:p>
    <w:p w14:paraId="11DA8F43">
      <w:pPr>
        <w:spacing w:before="83" w:line="256" w:lineRule="auto"/>
        <w:ind w:left="369" w:firstLine="380"/>
        <w:rPr>
          <w:rFonts w:ascii="楷体" w:hAnsi="楷体" w:eastAsia="楷体" w:cs="楷体"/>
          <w:sz w:val="19"/>
          <w:szCs w:val="19"/>
        </w:rPr>
      </w:pPr>
      <w:r>
        <w:rPr>
          <w:rFonts w:ascii="楷体" w:hAnsi="楷体" w:eastAsia="楷体" w:cs="楷体"/>
          <w:spacing w:val="15"/>
          <w:sz w:val="19"/>
          <w:szCs w:val="19"/>
        </w:rPr>
        <w:t>②</w:t>
      </w:r>
      <w:r>
        <w:rPr>
          <w:rFonts w:ascii="楷体" w:hAnsi="楷体" w:eastAsia="楷体" w:cs="楷体"/>
          <w:spacing w:val="-68"/>
          <w:sz w:val="19"/>
          <w:szCs w:val="19"/>
        </w:rPr>
        <w:t xml:space="preserve"> </w:t>
      </w:r>
      <w:r>
        <w:rPr>
          <w:rFonts w:ascii="楷体" w:hAnsi="楷体" w:eastAsia="楷体" w:cs="楷体"/>
          <w:spacing w:val="15"/>
          <w:sz w:val="19"/>
          <w:szCs w:val="19"/>
        </w:rPr>
        <w:t>各种铁件的材质和规格均应符合相关标准中</w:t>
      </w:r>
      <w:r>
        <w:rPr>
          <w:rFonts w:ascii="楷体" w:hAnsi="楷体" w:eastAsia="楷体" w:cs="楷体"/>
          <w:spacing w:val="14"/>
          <w:sz w:val="19"/>
          <w:szCs w:val="19"/>
        </w:rPr>
        <w:t>规定的质量要求，满足项目安装施工要求，</w:t>
      </w:r>
      <w:r>
        <w:rPr>
          <w:rFonts w:ascii="楷体" w:hAnsi="楷体" w:eastAsia="楷体" w:cs="楷体"/>
          <w:sz w:val="19"/>
          <w:szCs w:val="19"/>
        </w:rPr>
        <w:t xml:space="preserve"> </w:t>
      </w:r>
      <w:r>
        <w:rPr>
          <w:rFonts w:ascii="楷体" w:hAnsi="楷体" w:eastAsia="楷体" w:cs="楷体"/>
          <w:spacing w:val="6"/>
          <w:sz w:val="19"/>
          <w:szCs w:val="19"/>
        </w:rPr>
        <w:t>不得有歪斜、扭曲、断裂等破损。</w:t>
      </w:r>
    </w:p>
    <w:p w14:paraId="6FC3022C">
      <w:pPr>
        <w:spacing w:before="86" w:line="223" w:lineRule="auto"/>
        <w:ind w:left="750"/>
        <w:rPr>
          <w:rFonts w:ascii="楷体" w:hAnsi="楷体" w:eastAsia="楷体" w:cs="楷体"/>
          <w:sz w:val="19"/>
          <w:szCs w:val="19"/>
        </w:rPr>
      </w:pPr>
      <w:r>
        <w:rPr>
          <w:rFonts w:ascii="楷体" w:hAnsi="楷体" w:eastAsia="楷体" w:cs="楷体"/>
          <w:spacing w:val="7"/>
          <w:sz w:val="19"/>
          <w:szCs w:val="19"/>
        </w:rPr>
        <w:t>③铁件的表面处理和镀锌层应均匀。</w:t>
      </w:r>
    </w:p>
    <w:p w14:paraId="4D18450D">
      <w:pPr>
        <w:spacing w:line="223" w:lineRule="auto"/>
        <w:rPr>
          <w:rFonts w:ascii="楷体" w:hAnsi="楷体" w:eastAsia="楷体" w:cs="楷体"/>
          <w:sz w:val="19"/>
          <w:szCs w:val="19"/>
        </w:rPr>
        <w:sectPr>
          <w:pgSz w:w="10300" w:h="13380"/>
          <w:pgMar w:top="400" w:right="1065" w:bottom="400" w:left="479" w:header="0" w:footer="0" w:gutter="0"/>
          <w:cols w:space="720" w:num="1"/>
        </w:sectPr>
      </w:pPr>
    </w:p>
    <w:p w14:paraId="6BAD7C6D">
      <w:pPr>
        <w:pStyle w:val="2"/>
        <w:spacing w:before="10"/>
        <w:jc w:val="right"/>
        <w:rPr>
          <w:sz w:val="17"/>
          <w:szCs w:val="17"/>
        </w:rPr>
      </w:pPr>
      <w:r>
        <w:rPr>
          <w:spacing w:val="2"/>
          <w:sz w:val="20"/>
          <w:szCs w:val="20"/>
        </w:rPr>
        <w:t xml:space="preserve">第21章基础设施工程监理      </w:t>
      </w:r>
      <w:r>
        <w:rPr>
          <w:rFonts w:ascii="Times New Roman" w:hAnsi="Times New Roman" w:eastAsia="Times New Roman" w:cs="Times New Roman"/>
          <w:spacing w:val="2"/>
          <w:sz w:val="17"/>
          <w:szCs w:val="17"/>
        </w:rPr>
        <w:t xml:space="preserve">481   </w:t>
      </w:r>
      <w:r>
        <w:rPr>
          <w:position w:val="-7"/>
          <w:sz w:val="17"/>
          <w:szCs w:val="17"/>
        </w:rPr>
        <w:drawing>
          <wp:inline distT="0" distB="0" distL="0" distR="0">
            <wp:extent cx="279400" cy="189865"/>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300"/>
                    <a:stretch>
                      <a:fillRect/>
                    </a:stretch>
                  </pic:blipFill>
                  <pic:spPr>
                    <a:xfrm>
                      <a:off x="0" y="0"/>
                      <a:ext cx="279400" cy="190445"/>
                    </a:xfrm>
                    <a:prstGeom prst="rect">
                      <a:avLst/>
                    </a:prstGeom>
                  </pic:spPr>
                </pic:pic>
              </a:graphicData>
            </a:graphic>
          </wp:inline>
        </w:drawing>
      </w:r>
    </w:p>
    <w:p w14:paraId="744C12D9">
      <w:pPr>
        <w:spacing w:line="260" w:lineRule="auto"/>
        <w:rPr>
          <w:rFonts w:ascii="Arial"/>
          <w:sz w:val="21"/>
        </w:rPr>
      </w:pPr>
    </w:p>
    <w:p w14:paraId="1CB6C14F">
      <w:pPr>
        <w:pStyle w:val="2"/>
        <w:spacing w:before="94" w:line="222" w:lineRule="auto"/>
        <w:ind w:left="4"/>
        <w:rPr>
          <w:rFonts w:ascii="黑体" w:hAnsi="黑体" w:eastAsia="黑体" w:cs="黑体"/>
          <w:sz w:val="29"/>
          <w:szCs w:val="29"/>
        </w:rPr>
      </w:pPr>
      <w:bookmarkStart w:id="719" w:name="bookmark704"/>
      <w:bookmarkEnd w:id="719"/>
      <w:r>
        <w:rPr>
          <w:b/>
          <w:bCs/>
          <w:color w:val="0071E2"/>
          <w:spacing w:val="-10"/>
          <w:sz w:val="29"/>
          <w:szCs w:val="29"/>
        </w:rPr>
        <w:t>21.5</w:t>
      </w:r>
      <w:r>
        <w:rPr>
          <w:color w:val="0071E2"/>
          <w:spacing w:val="113"/>
          <w:sz w:val="29"/>
          <w:szCs w:val="29"/>
        </w:rPr>
        <w:t xml:space="preserve"> </w:t>
      </w:r>
      <w:r>
        <w:rPr>
          <w:rFonts w:ascii="黑体" w:hAnsi="黑体" w:eastAsia="黑体" w:cs="黑体"/>
          <w:b/>
          <w:bCs/>
          <w:color w:val="0071E2"/>
          <w:spacing w:val="-10"/>
          <w:sz w:val="29"/>
          <w:szCs w:val="29"/>
        </w:rPr>
        <w:t>验收阶段监理工作</w:t>
      </w:r>
    </w:p>
    <w:p w14:paraId="3F1459BF">
      <w:pPr>
        <w:pStyle w:val="2"/>
        <w:spacing w:before="262" w:line="291" w:lineRule="auto"/>
        <w:ind w:left="429" w:right="1197"/>
        <w:rPr>
          <w:sz w:val="20"/>
          <w:szCs w:val="20"/>
        </w:rPr>
      </w:pPr>
      <w:r>
        <w:rPr>
          <w:spacing w:val="-1"/>
          <w:sz w:val="20"/>
          <w:szCs w:val="20"/>
        </w:rPr>
        <w:t>本节重点介绍监理单位在基础设施工程验收阶段需要执行的监理活动和主要监理内容。</w:t>
      </w:r>
      <w:r>
        <w:rPr>
          <w:sz w:val="20"/>
          <w:szCs w:val="20"/>
        </w:rPr>
        <w:t xml:space="preserve"> </w:t>
      </w:r>
      <w:r>
        <w:rPr>
          <w:spacing w:val="-2"/>
          <w:sz w:val="20"/>
          <w:szCs w:val="20"/>
        </w:rPr>
        <w:t>在基础设施工程的验收阶段，监理机构应通过监理工作实现以下监理目标：</w:t>
      </w:r>
    </w:p>
    <w:p w14:paraId="24CC73B6">
      <w:pPr>
        <w:pStyle w:val="2"/>
        <w:spacing w:before="10" w:line="219" w:lineRule="auto"/>
        <w:ind w:left="429"/>
        <w:rPr>
          <w:sz w:val="20"/>
          <w:szCs w:val="20"/>
        </w:rPr>
      </w:pPr>
      <w:r>
        <w:rPr>
          <w:spacing w:val="2"/>
          <w:sz w:val="20"/>
          <w:szCs w:val="20"/>
        </w:rPr>
        <w:t>(1)确认工程达到验收条件；</w:t>
      </w:r>
    </w:p>
    <w:p w14:paraId="408A4585">
      <w:pPr>
        <w:pStyle w:val="2"/>
        <w:spacing w:before="82" w:line="219" w:lineRule="auto"/>
        <w:ind w:left="429"/>
        <w:rPr>
          <w:sz w:val="20"/>
          <w:szCs w:val="20"/>
        </w:rPr>
      </w:pPr>
      <w:r>
        <w:rPr>
          <w:spacing w:val="1"/>
          <w:sz w:val="20"/>
          <w:szCs w:val="20"/>
        </w:rPr>
        <w:t>(2)明确测试验收方案的可行性、与承建合同的符合性；</w:t>
      </w:r>
    </w:p>
    <w:p w14:paraId="0AB8F366">
      <w:pPr>
        <w:pStyle w:val="2"/>
        <w:spacing w:before="73" w:line="219" w:lineRule="auto"/>
        <w:ind w:left="429"/>
        <w:rPr>
          <w:sz w:val="20"/>
          <w:szCs w:val="20"/>
        </w:rPr>
      </w:pPr>
      <w:r>
        <w:rPr>
          <w:spacing w:val="1"/>
          <w:sz w:val="20"/>
          <w:szCs w:val="20"/>
        </w:rPr>
        <w:t>(3)确认按照验收方案所规定的验收程序实施初验、试运行和终</w:t>
      </w:r>
      <w:r>
        <w:rPr>
          <w:sz w:val="20"/>
          <w:szCs w:val="20"/>
        </w:rPr>
        <w:t>验；</w:t>
      </w:r>
    </w:p>
    <w:p w14:paraId="6C1EB499">
      <w:pPr>
        <w:pStyle w:val="2"/>
        <w:spacing w:before="81" w:line="219" w:lineRule="auto"/>
        <w:ind w:left="429"/>
        <w:rPr>
          <w:sz w:val="20"/>
          <w:szCs w:val="20"/>
        </w:rPr>
      </w:pPr>
      <w:r>
        <w:rPr>
          <w:spacing w:val="1"/>
          <w:sz w:val="20"/>
          <w:szCs w:val="20"/>
        </w:rPr>
        <w:t>(4)促使基础设施工程的最终功能和性能符合承建合同、法律法规和相关技术标准的</w:t>
      </w:r>
      <w:r>
        <w:rPr>
          <w:sz w:val="20"/>
          <w:szCs w:val="20"/>
        </w:rPr>
        <w:t>要求；</w:t>
      </w:r>
    </w:p>
    <w:p w14:paraId="06880961">
      <w:pPr>
        <w:pStyle w:val="2"/>
        <w:spacing w:before="73" w:line="219" w:lineRule="auto"/>
        <w:ind w:left="429"/>
        <w:rPr>
          <w:sz w:val="20"/>
          <w:szCs w:val="20"/>
        </w:rPr>
      </w:pPr>
      <w:r>
        <w:rPr>
          <w:spacing w:val="1"/>
          <w:sz w:val="20"/>
          <w:szCs w:val="20"/>
        </w:rPr>
        <w:t>(5)促使承建单位所提供的工程各阶段形成的技术、管理文档的内容和种类符合相关</w:t>
      </w:r>
      <w:r>
        <w:rPr>
          <w:sz w:val="20"/>
          <w:szCs w:val="20"/>
        </w:rPr>
        <w:t>标准。</w:t>
      </w:r>
    </w:p>
    <w:p w14:paraId="4E87D333">
      <w:pPr>
        <w:pStyle w:val="2"/>
        <w:spacing w:before="243" w:line="220" w:lineRule="auto"/>
        <w:ind w:left="2"/>
        <w:rPr>
          <w:sz w:val="25"/>
          <w:szCs w:val="25"/>
        </w:rPr>
      </w:pPr>
      <w:r>
        <w:rPr>
          <w:b/>
          <w:bCs/>
          <w:color w:val="0077E0"/>
          <w:spacing w:val="-18"/>
          <w:sz w:val="25"/>
          <w:szCs w:val="25"/>
        </w:rPr>
        <w:t>21.5.1</w:t>
      </w:r>
      <w:r>
        <w:rPr>
          <w:color w:val="0077E0"/>
          <w:spacing w:val="90"/>
          <w:sz w:val="25"/>
          <w:szCs w:val="25"/>
        </w:rPr>
        <w:t xml:space="preserve"> </w:t>
      </w:r>
      <w:r>
        <w:rPr>
          <w:b/>
          <w:bCs/>
          <w:color w:val="0077E0"/>
          <w:spacing w:val="-18"/>
          <w:sz w:val="25"/>
          <w:szCs w:val="25"/>
        </w:rPr>
        <w:t>监理活动</w:t>
      </w:r>
    </w:p>
    <w:p w14:paraId="5119261B">
      <w:pPr>
        <w:pStyle w:val="2"/>
        <w:spacing w:before="163" w:line="219" w:lineRule="auto"/>
        <w:ind w:left="429"/>
        <w:rPr>
          <w:sz w:val="20"/>
          <w:szCs w:val="20"/>
        </w:rPr>
      </w:pPr>
      <w:r>
        <w:rPr>
          <w:spacing w:val="-3"/>
          <w:sz w:val="20"/>
          <w:szCs w:val="20"/>
        </w:rPr>
        <w:t>基础设施工程验收阶段的主要监理活动如下：</w:t>
      </w:r>
    </w:p>
    <w:p w14:paraId="71B0B3BB">
      <w:pPr>
        <w:pStyle w:val="2"/>
        <w:spacing w:before="71" w:line="267" w:lineRule="auto"/>
        <w:ind w:right="861" w:firstLine="429"/>
        <w:rPr>
          <w:sz w:val="20"/>
          <w:szCs w:val="20"/>
        </w:rPr>
      </w:pPr>
      <w:r>
        <w:rPr>
          <w:spacing w:val="7"/>
          <w:sz w:val="20"/>
          <w:szCs w:val="20"/>
        </w:rPr>
        <w:t>(1)协调业主单位和承建单位就验收方案内容(验收目标、双方责任、验收提交清单、验</w:t>
      </w:r>
      <w:r>
        <w:rPr>
          <w:spacing w:val="17"/>
          <w:sz w:val="20"/>
          <w:szCs w:val="20"/>
        </w:rPr>
        <w:t xml:space="preserve"> </w:t>
      </w:r>
      <w:r>
        <w:rPr>
          <w:spacing w:val="1"/>
          <w:sz w:val="20"/>
          <w:szCs w:val="20"/>
        </w:rPr>
        <w:t>收标准、验收方式、验收环境等)达成一致</w:t>
      </w:r>
      <w:r>
        <w:rPr>
          <w:sz w:val="20"/>
          <w:szCs w:val="20"/>
        </w:rPr>
        <w:t>，填报工程备忘录，经三方签认；</w:t>
      </w:r>
    </w:p>
    <w:p w14:paraId="3718DC7C">
      <w:pPr>
        <w:pStyle w:val="2"/>
        <w:spacing w:before="73" w:line="219" w:lineRule="auto"/>
        <w:ind w:left="429"/>
        <w:rPr>
          <w:sz w:val="20"/>
          <w:szCs w:val="20"/>
        </w:rPr>
      </w:pPr>
      <w:r>
        <w:rPr>
          <w:spacing w:val="2"/>
          <w:sz w:val="20"/>
          <w:szCs w:val="20"/>
        </w:rPr>
        <w:t>(2)处理承建单位提交的工程验收申请，审核其中</w:t>
      </w:r>
      <w:r>
        <w:rPr>
          <w:spacing w:val="1"/>
          <w:sz w:val="20"/>
          <w:szCs w:val="20"/>
        </w:rPr>
        <w:t>的验收计划、验收方案等；</w:t>
      </w:r>
    </w:p>
    <w:p w14:paraId="6210D127">
      <w:pPr>
        <w:pStyle w:val="2"/>
        <w:spacing w:before="63" w:line="219" w:lineRule="auto"/>
        <w:ind w:left="429"/>
        <w:rPr>
          <w:sz w:val="20"/>
          <w:szCs w:val="20"/>
        </w:rPr>
      </w:pPr>
      <w:r>
        <w:rPr>
          <w:spacing w:val="1"/>
          <w:sz w:val="20"/>
          <w:szCs w:val="20"/>
        </w:rPr>
        <w:t>(3)检查确认项目达到验收条件，并签署监理意见；</w:t>
      </w:r>
    </w:p>
    <w:p w14:paraId="2D333BE3">
      <w:pPr>
        <w:pStyle w:val="2"/>
        <w:spacing w:before="73" w:line="257" w:lineRule="auto"/>
        <w:ind w:right="790" w:firstLine="429"/>
        <w:rPr>
          <w:sz w:val="20"/>
          <w:szCs w:val="20"/>
        </w:rPr>
      </w:pPr>
      <w:r>
        <w:rPr>
          <w:spacing w:val="7"/>
          <w:sz w:val="20"/>
          <w:szCs w:val="20"/>
        </w:rPr>
        <w:t>(4)协助业主单位按照项目验收方案所规定的验收内容和方式</w:t>
      </w:r>
      <w:r>
        <w:rPr>
          <w:spacing w:val="6"/>
          <w:sz w:val="20"/>
          <w:szCs w:val="20"/>
        </w:rPr>
        <w:t>组织初验、试运行和终验，</w:t>
      </w:r>
      <w:r>
        <w:rPr>
          <w:sz w:val="20"/>
          <w:szCs w:val="20"/>
        </w:rPr>
        <w:t xml:space="preserve"> </w:t>
      </w:r>
      <w:r>
        <w:rPr>
          <w:spacing w:val="-1"/>
          <w:sz w:val="20"/>
          <w:szCs w:val="20"/>
        </w:rPr>
        <w:t>对其结果进行确认，对验收过程中发现的问题提出监理</w:t>
      </w:r>
      <w:r>
        <w:rPr>
          <w:spacing w:val="-2"/>
          <w:sz w:val="20"/>
          <w:szCs w:val="20"/>
        </w:rPr>
        <w:t>意见，并要求承建单位进行整改；</w:t>
      </w:r>
    </w:p>
    <w:p w14:paraId="47A514A6">
      <w:pPr>
        <w:pStyle w:val="2"/>
        <w:spacing w:before="81" w:line="248" w:lineRule="auto"/>
        <w:ind w:right="831" w:firstLine="429"/>
        <w:rPr>
          <w:sz w:val="20"/>
          <w:szCs w:val="20"/>
        </w:rPr>
      </w:pPr>
      <w:r>
        <w:rPr>
          <w:spacing w:val="6"/>
          <w:sz w:val="20"/>
          <w:szCs w:val="20"/>
        </w:rPr>
        <w:t>(5)敦促业主单位、承建单位按照事先约定，编制、签署并</w:t>
      </w:r>
      <w:r>
        <w:rPr>
          <w:spacing w:val="5"/>
          <w:sz w:val="20"/>
          <w:szCs w:val="20"/>
        </w:rPr>
        <w:t>妥善保存验收阶段的各类项目</w:t>
      </w:r>
      <w:r>
        <w:rPr>
          <w:sz w:val="20"/>
          <w:szCs w:val="20"/>
        </w:rPr>
        <w:t xml:space="preserve"> </w:t>
      </w:r>
      <w:r>
        <w:rPr>
          <w:spacing w:val="-2"/>
          <w:sz w:val="20"/>
          <w:szCs w:val="20"/>
        </w:rPr>
        <w:t>文档，敦促业主单位和承建单位及时整理并妥善保管整个项目的相关文档；</w:t>
      </w:r>
    </w:p>
    <w:p w14:paraId="7D03177E">
      <w:pPr>
        <w:pStyle w:val="2"/>
        <w:spacing w:before="73" w:line="218" w:lineRule="auto"/>
        <w:ind w:left="429"/>
        <w:rPr>
          <w:sz w:val="20"/>
          <w:szCs w:val="20"/>
        </w:rPr>
      </w:pPr>
      <w:r>
        <w:rPr>
          <w:spacing w:val="1"/>
          <w:sz w:val="20"/>
          <w:szCs w:val="20"/>
        </w:rPr>
        <w:t>(6)编制项目监理总结报告，整理并向业主单位提交项目有关</w:t>
      </w:r>
      <w:r>
        <w:rPr>
          <w:sz w:val="20"/>
          <w:szCs w:val="20"/>
        </w:rPr>
        <w:t>的全部监理文档；</w:t>
      </w:r>
    </w:p>
    <w:p w14:paraId="4BA6FC68">
      <w:pPr>
        <w:pStyle w:val="2"/>
        <w:spacing w:before="85" w:line="219" w:lineRule="auto"/>
        <w:ind w:left="429"/>
        <w:rPr>
          <w:sz w:val="20"/>
          <w:szCs w:val="20"/>
        </w:rPr>
      </w:pPr>
      <w:r>
        <w:rPr>
          <w:spacing w:val="1"/>
          <w:sz w:val="20"/>
          <w:szCs w:val="20"/>
        </w:rPr>
        <w:t>(7)协助业主单位完成验收工作，协助业主单位和承建单位完</w:t>
      </w:r>
      <w:r>
        <w:rPr>
          <w:sz w:val="20"/>
          <w:szCs w:val="20"/>
        </w:rPr>
        <w:t>成项目移交工作；</w:t>
      </w:r>
    </w:p>
    <w:p w14:paraId="68499751">
      <w:pPr>
        <w:pStyle w:val="2"/>
        <w:spacing w:before="72" w:line="219" w:lineRule="auto"/>
        <w:ind w:left="429"/>
        <w:rPr>
          <w:sz w:val="20"/>
          <w:szCs w:val="20"/>
        </w:rPr>
      </w:pPr>
      <w:r>
        <w:rPr>
          <w:spacing w:val="1"/>
          <w:sz w:val="20"/>
          <w:szCs w:val="20"/>
        </w:rPr>
        <w:t>(8)督促承建单位完成项目实施方案中确定的培训工作。</w:t>
      </w:r>
    </w:p>
    <w:p w14:paraId="61C98020">
      <w:pPr>
        <w:pStyle w:val="2"/>
        <w:spacing w:before="212" w:line="219" w:lineRule="auto"/>
        <w:ind w:left="2"/>
        <w:rPr>
          <w:sz w:val="25"/>
          <w:szCs w:val="25"/>
        </w:rPr>
      </w:pPr>
      <w:r>
        <w:rPr>
          <w:b/>
          <w:bCs/>
          <w:color w:val="006BD6"/>
          <w:spacing w:val="-17"/>
          <w:sz w:val="25"/>
          <w:szCs w:val="25"/>
        </w:rPr>
        <w:t>21.5.2</w:t>
      </w:r>
      <w:r>
        <w:rPr>
          <w:color w:val="006BD6"/>
          <w:spacing w:val="80"/>
          <w:sz w:val="25"/>
          <w:szCs w:val="25"/>
        </w:rPr>
        <w:t xml:space="preserve"> </w:t>
      </w:r>
      <w:r>
        <w:rPr>
          <w:b/>
          <w:bCs/>
          <w:color w:val="006BD6"/>
          <w:spacing w:val="-17"/>
          <w:sz w:val="25"/>
          <w:szCs w:val="25"/>
        </w:rPr>
        <w:t>监理内容</w:t>
      </w:r>
    </w:p>
    <w:p w14:paraId="576D5D27">
      <w:pPr>
        <w:pStyle w:val="2"/>
        <w:spacing w:before="260" w:line="221" w:lineRule="auto"/>
        <w:ind w:left="432"/>
        <w:rPr>
          <w:rFonts w:ascii="黑体" w:hAnsi="黑体" w:eastAsia="黑体" w:cs="黑体"/>
          <w:sz w:val="20"/>
          <w:szCs w:val="20"/>
        </w:rPr>
      </w:pPr>
      <w:r>
        <w:rPr>
          <w:b/>
          <w:bCs/>
          <w:color w:val="006BBD"/>
          <w:spacing w:val="-3"/>
          <w:sz w:val="20"/>
          <w:szCs w:val="20"/>
        </w:rPr>
        <w:t>1.</w:t>
      </w:r>
      <w:r>
        <w:rPr>
          <w:rFonts w:ascii="黑体" w:hAnsi="黑体" w:eastAsia="黑体" w:cs="黑体"/>
          <w:b/>
          <w:bCs/>
          <w:color w:val="006BBD"/>
          <w:spacing w:val="-3"/>
          <w:sz w:val="20"/>
          <w:szCs w:val="20"/>
        </w:rPr>
        <w:t>检查竣工验收条件</w:t>
      </w:r>
    </w:p>
    <w:p w14:paraId="2BDCAF81">
      <w:pPr>
        <w:pStyle w:val="2"/>
        <w:spacing w:before="136" w:line="219" w:lineRule="auto"/>
        <w:ind w:left="429"/>
        <w:rPr>
          <w:sz w:val="20"/>
          <w:szCs w:val="20"/>
        </w:rPr>
      </w:pPr>
      <w:r>
        <w:rPr>
          <w:spacing w:val="-3"/>
          <w:sz w:val="20"/>
          <w:szCs w:val="20"/>
        </w:rPr>
        <w:t>在检查竣工验收条件时，监理单位要做到：</w:t>
      </w:r>
    </w:p>
    <w:p w14:paraId="2C953724">
      <w:pPr>
        <w:pStyle w:val="2"/>
        <w:spacing w:before="73" w:line="219" w:lineRule="auto"/>
        <w:ind w:left="429"/>
        <w:rPr>
          <w:sz w:val="20"/>
          <w:szCs w:val="20"/>
        </w:rPr>
      </w:pPr>
      <w:r>
        <w:rPr>
          <w:spacing w:val="1"/>
          <w:sz w:val="20"/>
          <w:szCs w:val="20"/>
        </w:rPr>
        <w:t>(1)检查承建单位是否完成工程设计和合同约定的各项内容；</w:t>
      </w:r>
    </w:p>
    <w:p w14:paraId="3342895D">
      <w:pPr>
        <w:pStyle w:val="2"/>
        <w:spacing w:before="72" w:line="219" w:lineRule="auto"/>
        <w:ind w:left="429"/>
        <w:rPr>
          <w:sz w:val="20"/>
          <w:szCs w:val="20"/>
        </w:rPr>
      </w:pPr>
      <w:r>
        <w:rPr>
          <w:spacing w:val="1"/>
          <w:sz w:val="20"/>
          <w:szCs w:val="20"/>
        </w:rPr>
        <w:t>(2)确认工程质量是否符合有关工程建设强制性标准；</w:t>
      </w:r>
    </w:p>
    <w:p w14:paraId="27405566">
      <w:pPr>
        <w:pStyle w:val="2"/>
        <w:spacing w:before="63" w:line="219" w:lineRule="auto"/>
        <w:ind w:left="429"/>
        <w:rPr>
          <w:sz w:val="20"/>
          <w:szCs w:val="20"/>
        </w:rPr>
      </w:pPr>
      <w:r>
        <w:rPr>
          <w:spacing w:val="1"/>
          <w:sz w:val="20"/>
          <w:szCs w:val="20"/>
        </w:rPr>
        <w:t>(3)确认工程质量是否符合合同及设计文件的要求；</w:t>
      </w:r>
    </w:p>
    <w:p w14:paraId="68EA7B4F">
      <w:pPr>
        <w:pStyle w:val="2"/>
        <w:spacing w:before="73" w:line="219" w:lineRule="auto"/>
        <w:ind w:left="429"/>
        <w:rPr>
          <w:sz w:val="20"/>
          <w:szCs w:val="20"/>
        </w:rPr>
      </w:pPr>
      <w:r>
        <w:rPr>
          <w:spacing w:val="1"/>
          <w:sz w:val="20"/>
          <w:szCs w:val="20"/>
        </w:rPr>
        <w:t>(4)检查有无完整的技术档案和施工管理资料；</w:t>
      </w:r>
    </w:p>
    <w:p w14:paraId="01B151B9">
      <w:pPr>
        <w:pStyle w:val="2"/>
        <w:spacing w:before="83" w:line="219" w:lineRule="auto"/>
        <w:ind w:left="429"/>
        <w:rPr>
          <w:sz w:val="20"/>
          <w:szCs w:val="20"/>
        </w:rPr>
      </w:pPr>
      <w:r>
        <w:rPr>
          <w:spacing w:val="1"/>
          <w:sz w:val="20"/>
          <w:szCs w:val="20"/>
        </w:rPr>
        <w:t>(5)检查有无公安消防、环保、气象等部门出具的认可文件或准许使用文件。</w:t>
      </w:r>
    </w:p>
    <w:p w14:paraId="4B746BA9">
      <w:pPr>
        <w:pStyle w:val="2"/>
        <w:spacing w:before="138" w:line="222" w:lineRule="auto"/>
        <w:ind w:left="432"/>
        <w:rPr>
          <w:rFonts w:ascii="黑体" w:hAnsi="黑体" w:eastAsia="黑体" w:cs="黑体"/>
          <w:sz w:val="20"/>
          <w:szCs w:val="20"/>
        </w:rPr>
      </w:pPr>
      <w:r>
        <w:rPr>
          <w:b/>
          <w:bCs/>
          <w:color w:val="007FE1"/>
          <w:sz w:val="20"/>
          <w:szCs w:val="20"/>
        </w:rPr>
        <w:t>2.</w:t>
      </w:r>
      <w:r>
        <w:rPr>
          <w:rFonts w:ascii="黑体" w:hAnsi="黑体" w:eastAsia="黑体" w:cs="黑体"/>
          <w:b/>
          <w:bCs/>
          <w:color w:val="007FE1"/>
          <w:sz w:val="20"/>
          <w:szCs w:val="20"/>
        </w:rPr>
        <w:t>审查项目验收资料</w:t>
      </w:r>
    </w:p>
    <w:p w14:paraId="0C206127">
      <w:pPr>
        <w:pStyle w:val="2"/>
        <w:spacing w:before="143" w:line="219" w:lineRule="auto"/>
        <w:ind w:left="429"/>
        <w:rPr>
          <w:sz w:val="20"/>
          <w:szCs w:val="20"/>
        </w:rPr>
      </w:pPr>
      <w:r>
        <w:rPr>
          <w:spacing w:val="-3"/>
          <w:sz w:val="20"/>
          <w:szCs w:val="20"/>
        </w:rPr>
        <w:t>在审查项目验收资料时，应注意以下几点：</w:t>
      </w:r>
    </w:p>
    <w:p w14:paraId="6DC98DCE">
      <w:pPr>
        <w:pStyle w:val="2"/>
        <w:spacing w:before="72" w:line="219" w:lineRule="auto"/>
        <w:ind w:left="429"/>
        <w:rPr>
          <w:sz w:val="20"/>
          <w:szCs w:val="20"/>
        </w:rPr>
      </w:pPr>
      <w:r>
        <w:rPr>
          <w:spacing w:val="3"/>
          <w:sz w:val="20"/>
          <w:szCs w:val="20"/>
        </w:rPr>
        <w:t>(1)材料齐全。具体包括：</w:t>
      </w:r>
    </w:p>
    <w:p w14:paraId="7FDB7D6C">
      <w:pPr>
        <w:pStyle w:val="2"/>
        <w:spacing w:before="64" w:line="219" w:lineRule="auto"/>
        <w:ind w:left="429"/>
        <w:rPr>
          <w:sz w:val="20"/>
          <w:szCs w:val="20"/>
        </w:rPr>
      </w:pPr>
      <w:r>
        <w:rPr>
          <w:sz w:val="20"/>
          <w:szCs w:val="20"/>
        </w:rPr>
        <w:t>●检查项目验收文档符合项目合同验收要求；</w:t>
      </w:r>
    </w:p>
    <w:p w14:paraId="1D42FCC1">
      <w:pPr>
        <w:spacing w:line="219" w:lineRule="auto"/>
        <w:rPr>
          <w:sz w:val="20"/>
          <w:szCs w:val="20"/>
        </w:rPr>
        <w:sectPr>
          <w:pgSz w:w="10290" w:h="13300"/>
          <w:pgMar w:top="400" w:right="19" w:bottom="400" w:left="1080" w:header="0" w:footer="0" w:gutter="0"/>
          <w:cols w:space="720" w:num="1"/>
        </w:sectPr>
      </w:pPr>
    </w:p>
    <w:p w14:paraId="6DC5363C">
      <w:pPr>
        <w:pStyle w:val="2"/>
        <w:spacing w:before="87" w:line="219" w:lineRule="auto"/>
        <w:rPr>
          <w:sz w:val="19"/>
          <w:szCs w:val="19"/>
        </w:rPr>
      </w:pPr>
      <w:r>
        <w:rPr>
          <w:rFonts w:ascii="Times New Roman" w:hAnsi="Times New Roman" w:eastAsia="Times New Roman" w:cs="Times New Roman"/>
          <w:spacing w:val="4"/>
          <w:sz w:val="17"/>
          <w:szCs w:val="17"/>
        </w:rPr>
        <w:t xml:space="preserve">482                </w:t>
      </w:r>
      <w:r>
        <w:rPr>
          <w:spacing w:val="4"/>
          <w:sz w:val="19"/>
          <w:szCs w:val="19"/>
        </w:rPr>
        <w:t>信息系统监理师教程(第2</w:t>
      </w:r>
      <w:r>
        <w:rPr>
          <w:spacing w:val="3"/>
          <w:sz w:val="19"/>
          <w:szCs w:val="19"/>
        </w:rPr>
        <w:t>版)</w:t>
      </w:r>
    </w:p>
    <w:p w14:paraId="403B39DB">
      <w:pPr>
        <w:spacing w:line="321" w:lineRule="auto"/>
        <w:rPr>
          <w:rFonts w:ascii="Arial"/>
          <w:sz w:val="21"/>
        </w:rPr>
      </w:pPr>
    </w:p>
    <w:p w14:paraId="5607FA3B">
      <w:pPr>
        <w:pStyle w:val="2"/>
        <w:spacing w:before="61" w:line="219" w:lineRule="auto"/>
        <w:ind w:left="790"/>
        <w:rPr>
          <w:sz w:val="19"/>
          <w:szCs w:val="19"/>
        </w:rPr>
      </w:pPr>
      <w:r>
        <w:rPr>
          <w:spacing w:val="10"/>
          <w:sz w:val="19"/>
          <w:szCs w:val="19"/>
        </w:rPr>
        <w:t>●对照项目文档自查表，检查项目验收文档齐全情况；</w:t>
      </w:r>
    </w:p>
    <w:p w14:paraId="5AC224E5">
      <w:pPr>
        <w:pStyle w:val="2"/>
        <w:spacing w:before="112" w:line="266" w:lineRule="auto"/>
        <w:ind w:left="1080" w:hanging="290"/>
        <w:rPr>
          <w:sz w:val="19"/>
          <w:szCs w:val="19"/>
        </w:rPr>
      </w:pPr>
      <w:r>
        <w:rPr>
          <w:spacing w:val="21"/>
          <w:sz w:val="19"/>
          <w:szCs w:val="19"/>
        </w:rPr>
        <w:t>●</w:t>
      </w:r>
      <w:r>
        <w:rPr>
          <w:spacing w:val="-45"/>
          <w:sz w:val="19"/>
          <w:szCs w:val="19"/>
        </w:rPr>
        <w:t xml:space="preserve"> </w:t>
      </w:r>
      <w:r>
        <w:rPr>
          <w:spacing w:val="21"/>
          <w:sz w:val="19"/>
          <w:szCs w:val="19"/>
        </w:rPr>
        <w:t>项目验收文档须提供电子验收文档(扫描版文件),按自查表的顺序进行编号、命名，</w:t>
      </w:r>
      <w:r>
        <w:rPr>
          <w:sz w:val="19"/>
          <w:szCs w:val="19"/>
        </w:rPr>
        <w:t xml:space="preserve"> </w:t>
      </w:r>
      <w:r>
        <w:rPr>
          <w:spacing w:val="7"/>
          <w:sz w:val="19"/>
          <w:szCs w:val="19"/>
        </w:rPr>
        <w:t>文件排列顺序与自查表排列顺序一致；</w:t>
      </w:r>
    </w:p>
    <w:p w14:paraId="26AA5627">
      <w:pPr>
        <w:pStyle w:val="2"/>
        <w:spacing w:before="104" w:line="219" w:lineRule="auto"/>
        <w:ind w:left="790"/>
        <w:rPr>
          <w:sz w:val="19"/>
          <w:szCs w:val="19"/>
        </w:rPr>
      </w:pPr>
      <w:r>
        <w:rPr>
          <w:spacing w:val="12"/>
          <w:sz w:val="19"/>
          <w:szCs w:val="19"/>
        </w:rPr>
        <w:t>●格式规范和整洁。</w:t>
      </w:r>
    </w:p>
    <w:p w14:paraId="0BC7DFFA">
      <w:pPr>
        <w:pStyle w:val="2"/>
        <w:spacing w:before="115" w:line="219" w:lineRule="auto"/>
        <w:ind w:left="790"/>
        <w:rPr>
          <w:sz w:val="19"/>
          <w:szCs w:val="19"/>
        </w:rPr>
      </w:pPr>
      <w:r>
        <w:rPr>
          <w:spacing w:val="12"/>
          <w:sz w:val="19"/>
          <w:szCs w:val="19"/>
        </w:rPr>
        <w:t>(2)要素齐全。具体包括：</w:t>
      </w:r>
    </w:p>
    <w:p w14:paraId="4BB109E5">
      <w:pPr>
        <w:pStyle w:val="2"/>
        <w:spacing w:before="73" w:line="219" w:lineRule="auto"/>
        <w:ind w:left="790"/>
        <w:rPr>
          <w:sz w:val="19"/>
          <w:szCs w:val="19"/>
        </w:rPr>
      </w:pPr>
      <w:r>
        <w:rPr>
          <w:spacing w:val="10"/>
          <w:sz w:val="19"/>
          <w:szCs w:val="19"/>
        </w:rPr>
        <w:t>●检查承建单位、监理单位、业主单位或经办人签字、盖章；</w:t>
      </w:r>
    </w:p>
    <w:p w14:paraId="590F61C3">
      <w:pPr>
        <w:pStyle w:val="2"/>
        <w:spacing w:before="106" w:line="219" w:lineRule="auto"/>
        <w:ind w:left="790"/>
        <w:rPr>
          <w:sz w:val="19"/>
          <w:szCs w:val="19"/>
        </w:rPr>
      </w:pPr>
      <w:r>
        <w:rPr>
          <w:spacing w:val="10"/>
          <w:sz w:val="19"/>
          <w:szCs w:val="19"/>
        </w:rPr>
        <w:t>●涉及日期填写的文件，其日期应正确、完整、无逻辑错误。</w:t>
      </w:r>
    </w:p>
    <w:p w14:paraId="1558D442">
      <w:pPr>
        <w:pStyle w:val="2"/>
        <w:spacing w:before="182" w:line="222" w:lineRule="auto"/>
        <w:ind w:left="792"/>
        <w:rPr>
          <w:rFonts w:ascii="黑体" w:hAnsi="黑体" w:eastAsia="黑体" w:cs="黑体"/>
          <w:sz w:val="19"/>
          <w:szCs w:val="19"/>
        </w:rPr>
      </w:pPr>
      <w:r>
        <w:rPr>
          <w:b/>
          <w:bCs/>
          <w:color w:val="017AD7"/>
          <w:spacing w:val="9"/>
          <w:sz w:val="19"/>
          <w:szCs w:val="19"/>
        </w:rPr>
        <w:t>3.</w:t>
      </w:r>
      <w:r>
        <w:rPr>
          <w:rFonts w:ascii="黑体" w:hAnsi="黑体" w:eastAsia="黑体" w:cs="黑体"/>
          <w:b/>
          <w:bCs/>
          <w:color w:val="017AD7"/>
          <w:spacing w:val="9"/>
          <w:sz w:val="19"/>
          <w:szCs w:val="19"/>
        </w:rPr>
        <w:t>质量控制措施</w:t>
      </w:r>
    </w:p>
    <w:p w14:paraId="06D10712">
      <w:pPr>
        <w:pStyle w:val="2"/>
        <w:spacing w:before="164" w:line="219" w:lineRule="auto"/>
        <w:ind w:left="790"/>
        <w:rPr>
          <w:sz w:val="19"/>
          <w:szCs w:val="19"/>
        </w:rPr>
      </w:pPr>
      <w:r>
        <w:rPr>
          <w:spacing w:val="7"/>
          <w:sz w:val="19"/>
          <w:szCs w:val="19"/>
        </w:rPr>
        <w:t>基础设施工程验收阶段的质量控制措施主要包括：</w:t>
      </w:r>
    </w:p>
    <w:p w14:paraId="72063A1F">
      <w:pPr>
        <w:pStyle w:val="2"/>
        <w:spacing w:before="85" w:line="269" w:lineRule="auto"/>
        <w:ind w:left="390" w:right="86" w:firstLine="399"/>
        <w:rPr>
          <w:sz w:val="19"/>
          <w:szCs w:val="19"/>
        </w:rPr>
      </w:pPr>
      <w:r>
        <w:rPr>
          <w:spacing w:val="15"/>
          <w:sz w:val="19"/>
          <w:szCs w:val="19"/>
        </w:rPr>
        <w:t>(1)审查验收计划、验收方案、验收条件等。承建单位应在满足验收条</w:t>
      </w:r>
      <w:r>
        <w:rPr>
          <w:spacing w:val="14"/>
          <w:sz w:val="19"/>
          <w:szCs w:val="19"/>
        </w:rPr>
        <w:t>件的情况下提出验</w:t>
      </w:r>
      <w:r>
        <w:rPr>
          <w:sz w:val="19"/>
          <w:szCs w:val="19"/>
        </w:rPr>
        <w:t xml:space="preserve"> </w:t>
      </w:r>
      <w:r>
        <w:rPr>
          <w:spacing w:val="9"/>
          <w:sz w:val="19"/>
          <w:szCs w:val="19"/>
        </w:rPr>
        <w:t>收申请，得到业主单位和监理机构的审批后，由业主单</w:t>
      </w:r>
      <w:r>
        <w:rPr>
          <w:spacing w:val="8"/>
          <w:sz w:val="19"/>
          <w:szCs w:val="19"/>
        </w:rPr>
        <w:t>位或监理机构组织验收。</w:t>
      </w:r>
    </w:p>
    <w:p w14:paraId="0079C5EF">
      <w:pPr>
        <w:pStyle w:val="2"/>
        <w:spacing w:before="86" w:line="220" w:lineRule="auto"/>
        <w:ind w:left="790"/>
        <w:rPr>
          <w:sz w:val="19"/>
          <w:szCs w:val="19"/>
        </w:rPr>
      </w:pPr>
      <w:r>
        <w:rPr>
          <w:spacing w:val="10"/>
          <w:sz w:val="19"/>
          <w:szCs w:val="19"/>
        </w:rPr>
        <w:t>(2)初验阶段质量控制。具体包括：</w:t>
      </w:r>
    </w:p>
    <w:p w14:paraId="18DDB1C6">
      <w:pPr>
        <w:pStyle w:val="2"/>
        <w:spacing w:before="84" w:line="220" w:lineRule="auto"/>
        <w:ind w:left="790"/>
        <w:rPr>
          <w:sz w:val="19"/>
          <w:szCs w:val="19"/>
        </w:rPr>
      </w:pPr>
      <w:r>
        <w:rPr>
          <w:spacing w:val="11"/>
          <w:sz w:val="19"/>
          <w:szCs w:val="19"/>
        </w:rPr>
        <w:t>●审核初验计划、初验方案；</w:t>
      </w:r>
    </w:p>
    <w:p w14:paraId="0A562655">
      <w:pPr>
        <w:pStyle w:val="2"/>
        <w:spacing w:before="93" w:line="219" w:lineRule="auto"/>
        <w:ind w:left="790"/>
        <w:rPr>
          <w:sz w:val="19"/>
          <w:szCs w:val="19"/>
        </w:rPr>
      </w:pPr>
      <w:r>
        <w:rPr>
          <w:spacing w:val="8"/>
          <w:sz w:val="19"/>
          <w:szCs w:val="19"/>
        </w:rPr>
        <w:t>●</w:t>
      </w:r>
      <w:r>
        <w:rPr>
          <w:spacing w:val="-55"/>
          <w:sz w:val="19"/>
          <w:szCs w:val="19"/>
        </w:rPr>
        <w:t xml:space="preserve"> </w:t>
      </w:r>
      <w:r>
        <w:rPr>
          <w:spacing w:val="8"/>
          <w:sz w:val="19"/>
          <w:szCs w:val="19"/>
        </w:rPr>
        <w:t>收集初验证据；</w:t>
      </w:r>
    </w:p>
    <w:p w14:paraId="50053423">
      <w:pPr>
        <w:pStyle w:val="2"/>
        <w:spacing w:before="103" w:line="219" w:lineRule="auto"/>
        <w:ind w:left="790"/>
        <w:rPr>
          <w:sz w:val="19"/>
          <w:szCs w:val="19"/>
        </w:rPr>
      </w:pPr>
      <w:r>
        <w:rPr>
          <w:spacing w:val="8"/>
          <w:sz w:val="19"/>
          <w:szCs w:val="19"/>
        </w:rPr>
        <w:t>●</w:t>
      </w:r>
      <w:r>
        <w:rPr>
          <w:spacing w:val="-55"/>
          <w:sz w:val="19"/>
          <w:szCs w:val="19"/>
        </w:rPr>
        <w:t xml:space="preserve"> </w:t>
      </w:r>
      <w:r>
        <w:rPr>
          <w:spacing w:val="8"/>
          <w:sz w:val="19"/>
          <w:szCs w:val="19"/>
        </w:rPr>
        <w:t>组织初验会议；</w:t>
      </w:r>
    </w:p>
    <w:p w14:paraId="4543D220">
      <w:pPr>
        <w:pStyle w:val="2"/>
        <w:spacing w:before="96" w:line="219" w:lineRule="auto"/>
        <w:ind w:left="790"/>
        <w:rPr>
          <w:sz w:val="19"/>
          <w:szCs w:val="19"/>
        </w:rPr>
      </w:pPr>
      <w:r>
        <w:rPr>
          <w:spacing w:val="11"/>
          <w:sz w:val="19"/>
          <w:szCs w:val="19"/>
        </w:rPr>
        <w:t>●监督遗留问题处理和质量整改情况。</w:t>
      </w:r>
    </w:p>
    <w:p w14:paraId="083A78AC">
      <w:pPr>
        <w:pStyle w:val="2"/>
        <w:spacing w:before="106" w:line="220" w:lineRule="auto"/>
        <w:ind w:left="790"/>
        <w:rPr>
          <w:sz w:val="19"/>
          <w:szCs w:val="19"/>
        </w:rPr>
      </w:pPr>
      <w:r>
        <w:rPr>
          <w:spacing w:val="11"/>
          <w:sz w:val="19"/>
          <w:szCs w:val="19"/>
        </w:rPr>
        <w:t>(3)试运行阶段质量控制。具体包括：</w:t>
      </w:r>
    </w:p>
    <w:p w14:paraId="53A1EE92">
      <w:pPr>
        <w:pStyle w:val="2"/>
        <w:spacing w:before="83" w:line="220" w:lineRule="auto"/>
        <w:ind w:left="790"/>
        <w:rPr>
          <w:sz w:val="19"/>
          <w:szCs w:val="19"/>
        </w:rPr>
      </w:pPr>
      <w:r>
        <w:rPr>
          <w:spacing w:val="11"/>
          <w:sz w:val="19"/>
          <w:szCs w:val="19"/>
        </w:rPr>
        <w:t>●审核试运行阶段工作计划；</w:t>
      </w:r>
    </w:p>
    <w:p w14:paraId="0B22CBF5">
      <w:pPr>
        <w:pStyle w:val="2"/>
        <w:spacing w:before="93" w:line="219" w:lineRule="auto"/>
        <w:ind w:left="790"/>
        <w:rPr>
          <w:sz w:val="19"/>
          <w:szCs w:val="19"/>
        </w:rPr>
      </w:pPr>
      <w:r>
        <w:rPr>
          <w:spacing w:val="11"/>
          <w:sz w:val="19"/>
          <w:szCs w:val="19"/>
        </w:rPr>
        <w:t>●定期组织检查承建单位的服务质量；</w:t>
      </w:r>
    </w:p>
    <w:p w14:paraId="344D9AB5">
      <w:pPr>
        <w:pStyle w:val="2"/>
        <w:spacing w:before="105" w:line="219" w:lineRule="auto"/>
        <w:ind w:left="790"/>
        <w:rPr>
          <w:sz w:val="19"/>
          <w:szCs w:val="19"/>
        </w:rPr>
      </w:pPr>
      <w:r>
        <w:rPr>
          <w:spacing w:val="10"/>
          <w:sz w:val="19"/>
          <w:szCs w:val="19"/>
        </w:rPr>
        <w:t>●不定期到现场检查承建单位的服务质量；</w:t>
      </w:r>
    </w:p>
    <w:p w14:paraId="266C0D84">
      <w:pPr>
        <w:pStyle w:val="2"/>
        <w:spacing w:before="103" w:line="218" w:lineRule="auto"/>
        <w:ind w:left="790"/>
        <w:rPr>
          <w:sz w:val="19"/>
          <w:szCs w:val="19"/>
        </w:rPr>
      </w:pPr>
      <w:r>
        <w:rPr>
          <w:spacing w:val="11"/>
          <w:sz w:val="19"/>
          <w:szCs w:val="19"/>
        </w:rPr>
        <w:t>●审核试运行记录、试运行报告、试运行总结和故障处理报告。</w:t>
      </w:r>
    </w:p>
    <w:p w14:paraId="0115764C">
      <w:pPr>
        <w:pStyle w:val="2"/>
        <w:spacing w:before="98" w:line="220" w:lineRule="auto"/>
        <w:ind w:left="790"/>
        <w:rPr>
          <w:sz w:val="19"/>
          <w:szCs w:val="19"/>
        </w:rPr>
      </w:pPr>
      <w:r>
        <w:rPr>
          <w:spacing w:val="10"/>
          <w:sz w:val="19"/>
          <w:szCs w:val="19"/>
        </w:rPr>
        <w:t>(4)终验阶段质量控制。具体包括：</w:t>
      </w:r>
    </w:p>
    <w:p w14:paraId="6AF096C9">
      <w:pPr>
        <w:pStyle w:val="2"/>
        <w:spacing w:before="81" w:line="218" w:lineRule="auto"/>
        <w:ind w:left="790"/>
        <w:rPr>
          <w:sz w:val="19"/>
          <w:szCs w:val="19"/>
        </w:rPr>
      </w:pPr>
      <w:r>
        <w:rPr>
          <w:spacing w:val="11"/>
          <w:sz w:val="19"/>
          <w:szCs w:val="19"/>
        </w:rPr>
        <w:t>●审查承建单位提交的竣工总结报告；</w:t>
      </w:r>
    </w:p>
    <w:p w14:paraId="6678056E">
      <w:pPr>
        <w:pStyle w:val="2"/>
        <w:spacing w:before="97" w:line="219" w:lineRule="auto"/>
        <w:ind w:left="790"/>
        <w:rPr>
          <w:sz w:val="19"/>
          <w:szCs w:val="19"/>
        </w:rPr>
      </w:pPr>
      <w:r>
        <w:rPr>
          <w:spacing w:val="11"/>
          <w:sz w:val="19"/>
          <w:szCs w:val="19"/>
        </w:rPr>
        <w:t>●检查竣工验收条件；</w:t>
      </w:r>
    </w:p>
    <w:p w14:paraId="174EBDAE">
      <w:pPr>
        <w:pStyle w:val="2"/>
        <w:spacing w:before="105" w:line="219" w:lineRule="auto"/>
        <w:ind w:left="790"/>
        <w:rPr>
          <w:sz w:val="19"/>
          <w:szCs w:val="19"/>
        </w:rPr>
      </w:pPr>
      <w:r>
        <w:rPr>
          <w:spacing w:val="11"/>
          <w:sz w:val="19"/>
          <w:szCs w:val="19"/>
        </w:rPr>
        <w:t>●协助业主单位做好工程移交工作；</w:t>
      </w:r>
    </w:p>
    <w:p w14:paraId="3DA54696">
      <w:pPr>
        <w:pStyle w:val="2"/>
        <w:spacing w:before="95" w:line="219" w:lineRule="auto"/>
        <w:ind w:left="790"/>
        <w:rPr>
          <w:sz w:val="19"/>
          <w:szCs w:val="19"/>
        </w:rPr>
      </w:pPr>
      <w:r>
        <w:rPr>
          <w:spacing w:val="13"/>
          <w:sz w:val="19"/>
          <w:szCs w:val="19"/>
        </w:rPr>
        <w:t>●做好监理工作总结。</w:t>
      </w:r>
    </w:p>
    <w:p w14:paraId="371B4870">
      <w:pPr>
        <w:pStyle w:val="2"/>
        <w:spacing w:before="104" w:line="219" w:lineRule="auto"/>
        <w:ind w:left="790"/>
        <w:rPr>
          <w:sz w:val="19"/>
          <w:szCs w:val="19"/>
        </w:rPr>
      </w:pPr>
      <w:r>
        <w:rPr>
          <w:spacing w:val="12"/>
          <w:sz w:val="19"/>
          <w:szCs w:val="19"/>
        </w:rPr>
        <w:t>(5)审查竣工文件是否包括了竣工技术文件中的</w:t>
      </w:r>
      <w:r>
        <w:rPr>
          <w:spacing w:val="11"/>
          <w:sz w:val="19"/>
          <w:szCs w:val="19"/>
        </w:rPr>
        <w:t>每张表格。</w:t>
      </w:r>
    </w:p>
    <w:p w14:paraId="6393980A">
      <w:pPr>
        <w:pStyle w:val="2"/>
        <w:spacing w:before="85" w:line="219" w:lineRule="auto"/>
        <w:ind w:left="790"/>
        <w:rPr>
          <w:sz w:val="19"/>
          <w:szCs w:val="19"/>
        </w:rPr>
      </w:pPr>
      <w:r>
        <w:rPr>
          <w:spacing w:val="10"/>
          <w:sz w:val="19"/>
          <w:szCs w:val="19"/>
        </w:rPr>
        <w:t>(6)竣工图纸应重点审查以下内容：</w:t>
      </w:r>
    </w:p>
    <w:p w14:paraId="13A08FFB">
      <w:pPr>
        <w:pStyle w:val="2"/>
        <w:spacing w:before="75" w:line="220" w:lineRule="auto"/>
        <w:ind w:left="790"/>
        <w:rPr>
          <w:sz w:val="19"/>
          <w:szCs w:val="19"/>
        </w:rPr>
      </w:pPr>
      <w:r>
        <w:rPr>
          <w:spacing w:val="5"/>
          <w:sz w:val="19"/>
          <w:szCs w:val="19"/>
        </w:rPr>
        <w:t>●</w:t>
      </w:r>
      <w:r>
        <w:rPr>
          <w:spacing w:val="-47"/>
          <w:sz w:val="19"/>
          <w:szCs w:val="19"/>
        </w:rPr>
        <w:t xml:space="preserve"> </w:t>
      </w:r>
      <w:r>
        <w:rPr>
          <w:spacing w:val="5"/>
          <w:sz w:val="19"/>
          <w:szCs w:val="19"/>
        </w:rPr>
        <w:t>拓扑图；</w:t>
      </w:r>
    </w:p>
    <w:p w14:paraId="7FF63F51">
      <w:pPr>
        <w:pStyle w:val="2"/>
        <w:spacing w:before="83" w:line="219" w:lineRule="auto"/>
        <w:ind w:left="790"/>
        <w:rPr>
          <w:sz w:val="19"/>
          <w:szCs w:val="19"/>
        </w:rPr>
      </w:pPr>
      <w:r>
        <w:rPr>
          <w:spacing w:val="23"/>
          <w:sz w:val="19"/>
          <w:szCs w:val="19"/>
        </w:rPr>
        <w:t>●</w:t>
      </w:r>
      <w:r>
        <w:rPr>
          <w:spacing w:val="-47"/>
          <w:sz w:val="19"/>
          <w:szCs w:val="19"/>
        </w:rPr>
        <w:t xml:space="preserve"> </w:t>
      </w:r>
      <w:r>
        <w:rPr>
          <w:spacing w:val="23"/>
          <w:sz w:val="19"/>
          <w:szCs w:val="19"/>
        </w:rPr>
        <w:t>走线架(线槽)安装图；</w:t>
      </w:r>
    </w:p>
    <w:p w14:paraId="50869F0C">
      <w:pPr>
        <w:pStyle w:val="2"/>
        <w:spacing w:before="93" w:line="219" w:lineRule="auto"/>
        <w:ind w:left="790"/>
        <w:rPr>
          <w:sz w:val="19"/>
          <w:szCs w:val="19"/>
        </w:rPr>
      </w:pPr>
      <w:r>
        <w:rPr>
          <w:spacing w:val="12"/>
          <w:sz w:val="19"/>
          <w:szCs w:val="19"/>
        </w:rPr>
        <w:t>●设备平面布置图；</w:t>
      </w:r>
    </w:p>
    <w:p w14:paraId="528A681E">
      <w:pPr>
        <w:pStyle w:val="2"/>
        <w:spacing w:before="96" w:line="219" w:lineRule="auto"/>
        <w:ind w:left="790"/>
        <w:rPr>
          <w:sz w:val="19"/>
          <w:szCs w:val="19"/>
        </w:rPr>
      </w:pPr>
      <w:r>
        <w:rPr>
          <w:spacing w:val="12"/>
          <w:sz w:val="19"/>
          <w:szCs w:val="19"/>
        </w:rPr>
        <w:t>●设备端子接线图；</w:t>
      </w:r>
    </w:p>
    <w:p w14:paraId="1B596E83">
      <w:pPr>
        <w:pStyle w:val="2"/>
        <w:spacing w:before="95" w:line="220" w:lineRule="auto"/>
        <w:ind w:left="790"/>
        <w:rPr>
          <w:sz w:val="19"/>
          <w:szCs w:val="19"/>
        </w:rPr>
      </w:pPr>
      <w:r>
        <w:rPr>
          <w:spacing w:val="14"/>
          <w:sz w:val="19"/>
          <w:szCs w:val="19"/>
        </w:rPr>
        <w:t>●配线架接线和跳线图。</w:t>
      </w:r>
    </w:p>
    <w:p w14:paraId="2BD62C32">
      <w:pPr>
        <w:pStyle w:val="2"/>
        <w:spacing w:before="103" w:line="219" w:lineRule="auto"/>
        <w:ind w:left="790"/>
        <w:rPr>
          <w:sz w:val="19"/>
          <w:szCs w:val="19"/>
        </w:rPr>
      </w:pPr>
      <w:r>
        <w:rPr>
          <w:spacing w:val="10"/>
          <w:sz w:val="19"/>
          <w:szCs w:val="19"/>
        </w:rPr>
        <w:t>(7)检查质量验收是否符合规定。具体包括：</w:t>
      </w:r>
    </w:p>
    <w:p w14:paraId="088A7408">
      <w:pPr>
        <w:pStyle w:val="2"/>
        <w:spacing w:before="75" w:line="219" w:lineRule="auto"/>
        <w:ind w:left="790"/>
        <w:rPr>
          <w:sz w:val="19"/>
          <w:szCs w:val="19"/>
        </w:rPr>
      </w:pPr>
      <w:r>
        <w:rPr>
          <w:spacing w:val="11"/>
          <w:sz w:val="19"/>
          <w:szCs w:val="19"/>
        </w:rPr>
        <w:t>●检查分项工程质量验收的各检验批的验收资料文件是否完整，是否验收合格；</w:t>
      </w:r>
    </w:p>
    <w:p w14:paraId="20658E55">
      <w:pPr>
        <w:spacing w:line="219" w:lineRule="auto"/>
        <w:rPr>
          <w:sz w:val="19"/>
          <w:szCs w:val="19"/>
        </w:rPr>
        <w:sectPr>
          <w:pgSz w:w="10300" w:h="13380"/>
          <w:pgMar w:top="400" w:right="1004" w:bottom="400" w:left="509" w:header="0" w:footer="0" w:gutter="0"/>
          <w:cols w:space="720" w:num="1"/>
        </w:sectPr>
      </w:pPr>
    </w:p>
    <w:p w14:paraId="69E2217E">
      <w:pPr>
        <w:pStyle w:val="2"/>
        <w:spacing w:before="10"/>
        <w:ind w:left="5192"/>
        <w:rPr>
          <w:rFonts w:ascii="Times New Roman" w:hAnsi="Times New Roman" w:eastAsia="Times New Roman" w:cs="Times New Roman"/>
          <w:sz w:val="19"/>
          <w:szCs w:val="19"/>
        </w:rPr>
      </w:pPr>
      <w:r>
        <w:drawing>
          <wp:anchor distT="0" distB="0" distL="0" distR="0" simplePos="0" relativeHeight="251825152" behindDoc="0" locked="0" layoutInCell="1" allowOverlap="1">
            <wp:simplePos x="0" y="0"/>
            <wp:positionH relativeFrom="column">
              <wp:posOffset>5347970</wp:posOffset>
            </wp:positionH>
            <wp:positionV relativeFrom="paragraph">
              <wp:posOffset>6350</wp:posOffset>
            </wp:positionV>
            <wp:extent cx="304800" cy="196850"/>
            <wp:effectExtent l="0" t="0" r="0" b="0"/>
            <wp:wrapNone/>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301"/>
                    <a:stretch>
                      <a:fillRect/>
                    </a:stretch>
                  </pic:blipFill>
                  <pic:spPr>
                    <a:xfrm>
                      <a:off x="0" y="0"/>
                      <a:ext cx="304818" cy="196864"/>
                    </a:xfrm>
                    <a:prstGeom prst="rect">
                      <a:avLst/>
                    </a:prstGeom>
                  </pic:spPr>
                </pic:pic>
              </a:graphicData>
            </a:graphic>
          </wp:anchor>
        </w:drawing>
      </w:r>
      <w:r>
        <w:rPr>
          <w:spacing w:val="3"/>
          <w:sz w:val="19"/>
          <w:szCs w:val="19"/>
        </w:rPr>
        <w:t>第21章 基础设施工程监理</w:t>
      </w:r>
      <w:r>
        <w:rPr>
          <w:spacing w:val="59"/>
          <w:sz w:val="19"/>
          <w:szCs w:val="19"/>
        </w:rPr>
        <w:t xml:space="preserve"> </w:t>
      </w:r>
      <w:r>
        <w:rPr>
          <w:position w:val="-9"/>
          <w:sz w:val="19"/>
          <w:szCs w:val="19"/>
        </w:rPr>
        <w:drawing>
          <wp:inline distT="0" distB="0" distL="0" distR="0">
            <wp:extent cx="272415" cy="202565"/>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302"/>
                    <a:stretch>
                      <a:fillRect/>
                    </a:stretch>
                  </pic:blipFill>
                  <pic:spPr>
                    <a:xfrm>
                      <a:off x="0" y="0"/>
                      <a:ext cx="272996" cy="203198"/>
                    </a:xfrm>
                    <a:prstGeom prst="rect">
                      <a:avLst/>
                    </a:prstGeom>
                  </pic:spPr>
                </pic:pic>
              </a:graphicData>
            </a:graphic>
          </wp:inline>
        </w:drawing>
      </w:r>
      <w:r>
        <w:rPr>
          <w:spacing w:val="-55"/>
          <w:sz w:val="19"/>
          <w:szCs w:val="19"/>
        </w:rPr>
        <w:t xml:space="preserve"> </w:t>
      </w:r>
      <w:r>
        <w:rPr>
          <w:rFonts w:ascii="Times New Roman" w:hAnsi="Times New Roman" w:eastAsia="Times New Roman" w:cs="Times New Roman"/>
          <w:spacing w:val="3"/>
          <w:position w:val="-2"/>
          <w:sz w:val="19"/>
          <w:szCs w:val="19"/>
        </w:rPr>
        <w:t>483</w:t>
      </w:r>
    </w:p>
    <w:p w14:paraId="105B53F3">
      <w:pPr>
        <w:spacing w:line="275" w:lineRule="auto"/>
        <w:rPr>
          <w:rFonts w:ascii="Arial"/>
          <w:sz w:val="21"/>
        </w:rPr>
      </w:pPr>
    </w:p>
    <w:p w14:paraId="72FD072D">
      <w:pPr>
        <w:pStyle w:val="2"/>
        <w:spacing w:before="61" w:line="307" w:lineRule="auto"/>
        <w:ind w:left="381" w:right="890" w:hanging="289"/>
        <w:rPr>
          <w:sz w:val="19"/>
          <w:szCs w:val="19"/>
        </w:rPr>
      </w:pPr>
      <w:r>
        <w:rPr>
          <w:spacing w:val="18"/>
          <w:sz w:val="19"/>
          <w:szCs w:val="19"/>
        </w:rPr>
        <w:t>●检查分部(子分部)工程质量是否验收合格，质量控制资料是否完整，观感质</w:t>
      </w:r>
      <w:r>
        <w:rPr>
          <w:spacing w:val="17"/>
          <w:sz w:val="19"/>
          <w:szCs w:val="19"/>
        </w:rPr>
        <w:t>量验收是</w:t>
      </w:r>
      <w:r>
        <w:rPr>
          <w:sz w:val="19"/>
          <w:szCs w:val="19"/>
        </w:rPr>
        <w:t xml:space="preserve"> </w:t>
      </w:r>
      <w:r>
        <w:rPr>
          <w:spacing w:val="2"/>
          <w:sz w:val="19"/>
          <w:szCs w:val="19"/>
        </w:rPr>
        <w:t>否符合要求。</w:t>
      </w:r>
    </w:p>
    <w:p w14:paraId="052C0F3C">
      <w:pPr>
        <w:pStyle w:val="2"/>
        <w:spacing w:before="133" w:line="221" w:lineRule="auto"/>
        <w:ind w:left="95"/>
        <w:rPr>
          <w:rFonts w:ascii="黑体" w:hAnsi="黑体" w:eastAsia="黑体" w:cs="黑体"/>
          <w:sz w:val="19"/>
          <w:szCs w:val="19"/>
        </w:rPr>
      </w:pPr>
      <w:r>
        <w:rPr>
          <w:b/>
          <w:bCs/>
          <w:color w:val="0171C7"/>
          <w:spacing w:val="8"/>
          <w:sz w:val="19"/>
          <w:szCs w:val="19"/>
        </w:rPr>
        <w:t>4.</w:t>
      </w:r>
      <w:r>
        <w:rPr>
          <w:rFonts w:ascii="黑体" w:hAnsi="黑体" w:eastAsia="黑体" w:cs="黑体"/>
          <w:b/>
          <w:bCs/>
          <w:color w:val="0171C7"/>
          <w:spacing w:val="8"/>
          <w:sz w:val="19"/>
          <w:szCs w:val="19"/>
        </w:rPr>
        <w:t>审核承建单位的工程竣工结算</w:t>
      </w:r>
    </w:p>
    <w:p w14:paraId="4B042010">
      <w:pPr>
        <w:pStyle w:val="2"/>
        <w:spacing w:before="135" w:line="219" w:lineRule="auto"/>
        <w:ind w:left="92"/>
        <w:rPr>
          <w:sz w:val="19"/>
          <w:szCs w:val="19"/>
        </w:rPr>
      </w:pPr>
      <w:r>
        <w:rPr>
          <w:spacing w:val="6"/>
          <w:sz w:val="19"/>
          <w:szCs w:val="19"/>
        </w:rPr>
        <w:t>在审核承建单位的工程竣工结算时应注意以下几点：</w:t>
      </w:r>
    </w:p>
    <w:p w14:paraId="45F0948B">
      <w:pPr>
        <w:pStyle w:val="2"/>
        <w:spacing w:before="86" w:line="220" w:lineRule="auto"/>
        <w:ind w:left="92"/>
        <w:rPr>
          <w:sz w:val="19"/>
          <w:szCs w:val="19"/>
        </w:rPr>
      </w:pPr>
      <w:r>
        <w:rPr>
          <w:spacing w:val="14"/>
          <w:sz w:val="19"/>
          <w:szCs w:val="19"/>
        </w:rPr>
        <w:t>(1)核对合同款；</w:t>
      </w:r>
    </w:p>
    <w:p w14:paraId="403E538D">
      <w:pPr>
        <w:pStyle w:val="2"/>
        <w:spacing w:before="93" w:line="219" w:lineRule="auto"/>
        <w:ind w:left="92"/>
        <w:rPr>
          <w:sz w:val="19"/>
          <w:szCs w:val="19"/>
        </w:rPr>
      </w:pPr>
      <w:r>
        <w:rPr>
          <w:spacing w:val="11"/>
          <w:sz w:val="19"/>
          <w:szCs w:val="19"/>
        </w:rPr>
        <w:t>(2)检查隐蔽工程验收记录；</w:t>
      </w:r>
    </w:p>
    <w:p w14:paraId="17FA9402">
      <w:pPr>
        <w:pStyle w:val="2"/>
        <w:spacing w:before="95" w:line="220" w:lineRule="auto"/>
        <w:ind w:left="92"/>
        <w:rPr>
          <w:sz w:val="19"/>
          <w:szCs w:val="19"/>
        </w:rPr>
      </w:pPr>
      <w:r>
        <w:rPr>
          <w:spacing w:val="11"/>
          <w:sz w:val="19"/>
          <w:szCs w:val="19"/>
        </w:rPr>
        <w:t>(3)落实设计变更签认；</w:t>
      </w:r>
    </w:p>
    <w:p w14:paraId="3C14C678">
      <w:pPr>
        <w:pStyle w:val="2"/>
        <w:spacing w:before="93" w:line="219" w:lineRule="auto"/>
        <w:ind w:left="92"/>
        <w:rPr>
          <w:sz w:val="19"/>
          <w:szCs w:val="19"/>
        </w:rPr>
      </w:pPr>
      <w:r>
        <w:rPr>
          <w:spacing w:val="12"/>
          <w:sz w:val="19"/>
          <w:szCs w:val="19"/>
        </w:rPr>
        <w:t>(4)按图核实工程量；</w:t>
      </w:r>
    </w:p>
    <w:p w14:paraId="6FA4B803">
      <w:pPr>
        <w:pStyle w:val="2"/>
        <w:spacing w:before="93" w:line="218" w:lineRule="auto"/>
        <w:ind w:left="92"/>
        <w:rPr>
          <w:sz w:val="19"/>
          <w:szCs w:val="19"/>
        </w:rPr>
      </w:pPr>
      <w:r>
        <w:rPr>
          <w:spacing w:val="11"/>
          <w:sz w:val="19"/>
          <w:szCs w:val="19"/>
        </w:rPr>
        <w:t>(5)认真核实单价；</w:t>
      </w:r>
    </w:p>
    <w:p w14:paraId="2A3B0C0F">
      <w:pPr>
        <w:pStyle w:val="2"/>
        <w:spacing w:before="87" w:line="220" w:lineRule="auto"/>
        <w:ind w:left="92"/>
        <w:rPr>
          <w:sz w:val="19"/>
          <w:szCs w:val="19"/>
        </w:rPr>
      </w:pPr>
      <w:r>
        <w:rPr>
          <w:spacing w:val="11"/>
          <w:sz w:val="19"/>
          <w:szCs w:val="19"/>
        </w:rPr>
        <w:t>(6)注意各项费用计取；</w:t>
      </w:r>
    </w:p>
    <w:p w14:paraId="60AA868A">
      <w:pPr>
        <w:pStyle w:val="2"/>
        <w:spacing w:before="84" w:line="219" w:lineRule="auto"/>
        <w:ind w:left="92"/>
        <w:rPr>
          <w:sz w:val="19"/>
          <w:szCs w:val="19"/>
        </w:rPr>
      </w:pPr>
      <w:r>
        <w:rPr>
          <w:spacing w:val="11"/>
          <w:sz w:val="19"/>
          <w:szCs w:val="19"/>
        </w:rPr>
        <w:t>(7)防止各种计算误差。</w:t>
      </w:r>
    </w:p>
    <w:p w14:paraId="0EC09AF5">
      <w:pPr>
        <w:pStyle w:val="2"/>
        <w:spacing w:before="190" w:line="222" w:lineRule="auto"/>
        <w:ind w:left="95"/>
        <w:rPr>
          <w:rFonts w:ascii="黑体" w:hAnsi="黑体" w:eastAsia="黑体" w:cs="黑体"/>
          <w:sz w:val="19"/>
          <w:szCs w:val="19"/>
        </w:rPr>
      </w:pPr>
      <w:r>
        <w:rPr>
          <w:b/>
          <w:bCs/>
          <w:color w:val="1E8AE9"/>
          <w:spacing w:val="6"/>
          <w:sz w:val="19"/>
          <w:szCs w:val="19"/>
        </w:rPr>
        <w:t>5.</w:t>
      </w:r>
      <w:r>
        <w:rPr>
          <w:rFonts w:ascii="黑体" w:hAnsi="黑体" w:eastAsia="黑体" w:cs="黑体"/>
          <w:b/>
          <w:bCs/>
          <w:color w:val="1E8AE9"/>
          <w:spacing w:val="6"/>
          <w:sz w:val="19"/>
          <w:szCs w:val="19"/>
        </w:rPr>
        <w:t>协助做好文档验收和移交工作</w:t>
      </w:r>
    </w:p>
    <w:p w14:paraId="0ED54587">
      <w:pPr>
        <w:pStyle w:val="2"/>
        <w:spacing w:before="144" w:line="219" w:lineRule="auto"/>
        <w:ind w:left="92"/>
        <w:rPr>
          <w:sz w:val="19"/>
          <w:szCs w:val="19"/>
        </w:rPr>
      </w:pPr>
      <w:r>
        <w:rPr>
          <w:spacing w:val="7"/>
          <w:sz w:val="19"/>
          <w:szCs w:val="19"/>
        </w:rPr>
        <w:t>监理单位应协助做好文档验收和移交工作，要注意以下几点：</w:t>
      </w:r>
    </w:p>
    <w:p w14:paraId="6F3FD34E">
      <w:pPr>
        <w:pStyle w:val="2"/>
        <w:spacing w:before="96" w:line="219" w:lineRule="auto"/>
        <w:ind w:left="92"/>
        <w:rPr>
          <w:sz w:val="19"/>
          <w:szCs w:val="19"/>
        </w:rPr>
      </w:pPr>
      <w:r>
        <w:rPr>
          <w:spacing w:val="10"/>
          <w:sz w:val="19"/>
          <w:szCs w:val="19"/>
        </w:rPr>
        <w:t>(1)承建单位在竣工验收阶段要移交的文档至少应包括：</w:t>
      </w:r>
    </w:p>
    <w:p w14:paraId="3B9FB194">
      <w:pPr>
        <w:pStyle w:val="2"/>
        <w:spacing w:before="85" w:line="219" w:lineRule="auto"/>
        <w:ind w:left="92"/>
        <w:rPr>
          <w:sz w:val="19"/>
          <w:szCs w:val="19"/>
        </w:rPr>
      </w:pPr>
      <w:r>
        <w:rPr>
          <w:spacing w:val="8"/>
          <w:sz w:val="19"/>
          <w:szCs w:val="19"/>
        </w:rPr>
        <w:t>●</w:t>
      </w:r>
      <w:r>
        <w:rPr>
          <w:spacing w:val="-56"/>
          <w:sz w:val="19"/>
          <w:szCs w:val="19"/>
        </w:rPr>
        <w:t xml:space="preserve"> </w:t>
      </w:r>
      <w:r>
        <w:rPr>
          <w:spacing w:val="8"/>
          <w:sz w:val="19"/>
          <w:szCs w:val="19"/>
        </w:rPr>
        <w:t>启动阶段文档；</w:t>
      </w:r>
    </w:p>
    <w:p w14:paraId="489227B1">
      <w:pPr>
        <w:pStyle w:val="2"/>
        <w:spacing w:before="105" w:line="219" w:lineRule="auto"/>
        <w:ind w:left="92"/>
        <w:rPr>
          <w:sz w:val="19"/>
          <w:szCs w:val="19"/>
        </w:rPr>
      </w:pPr>
      <w:r>
        <w:rPr>
          <w:spacing w:val="6"/>
          <w:sz w:val="19"/>
          <w:szCs w:val="19"/>
        </w:rPr>
        <w:t>●</w:t>
      </w:r>
      <w:r>
        <w:rPr>
          <w:spacing w:val="-52"/>
          <w:sz w:val="19"/>
          <w:szCs w:val="19"/>
        </w:rPr>
        <w:t xml:space="preserve"> </w:t>
      </w:r>
      <w:r>
        <w:rPr>
          <w:spacing w:val="6"/>
          <w:sz w:val="19"/>
          <w:szCs w:val="19"/>
        </w:rPr>
        <w:t>网络系统设计文件；</w:t>
      </w:r>
    </w:p>
    <w:p w14:paraId="099D4720">
      <w:pPr>
        <w:pStyle w:val="2"/>
        <w:spacing w:before="94" w:line="219" w:lineRule="auto"/>
        <w:ind w:left="92"/>
        <w:rPr>
          <w:sz w:val="19"/>
          <w:szCs w:val="19"/>
        </w:rPr>
      </w:pPr>
      <w:r>
        <w:rPr>
          <w:spacing w:val="6"/>
          <w:sz w:val="19"/>
          <w:szCs w:val="19"/>
        </w:rPr>
        <w:t>●</w:t>
      </w:r>
      <w:r>
        <w:rPr>
          <w:spacing w:val="-52"/>
          <w:sz w:val="19"/>
          <w:szCs w:val="19"/>
        </w:rPr>
        <w:t xml:space="preserve"> </w:t>
      </w:r>
      <w:r>
        <w:rPr>
          <w:spacing w:val="6"/>
          <w:sz w:val="19"/>
          <w:szCs w:val="19"/>
        </w:rPr>
        <w:t>网络系统实施文件；</w:t>
      </w:r>
    </w:p>
    <w:p w14:paraId="76B98671">
      <w:pPr>
        <w:pStyle w:val="2"/>
        <w:spacing w:before="105" w:line="219" w:lineRule="auto"/>
        <w:ind w:left="92"/>
        <w:rPr>
          <w:sz w:val="19"/>
          <w:szCs w:val="19"/>
        </w:rPr>
      </w:pPr>
      <w:r>
        <w:rPr>
          <w:spacing w:val="6"/>
          <w:sz w:val="19"/>
          <w:szCs w:val="19"/>
        </w:rPr>
        <w:t>●</w:t>
      </w:r>
      <w:r>
        <w:rPr>
          <w:spacing w:val="-52"/>
          <w:sz w:val="19"/>
          <w:szCs w:val="19"/>
        </w:rPr>
        <w:t xml:space="preserve"> </w:t>
      </w:r>
      <w:r>
        <w:rPr>
          <w:spacing w:val="6"/>
          <w:sz w:val="19"/>
          <w:szCs w:val="19"/>
        </w:rPr>
        <w:t>网络系统验收文件；</w:t>
      </w:r>
    </w:p>
    <w:p w14:paraId="5DD100DA">
      <w:pPr>
        <w:pStyle w:val="2"/>
        <w:spacing w:before="83" w:line="219" w:lineRule="auto"/>
        <w:ind w:left="92"/>
        <w:rPr>
          <w:sz w:val="19"/>
          <w:szCs w:val="19"/>
        </w:rPr>
      </w:pPr>
      <w:r>
        <w:rPr>
          <w:spacing w:val="10"/>
          <w:sz w:val="19"/>
          <w:szCs w:val="19"/>
        </w:rPr>
        <w:t>●所附电子文件的软件环境说明。</w:t>
      </w:r>
    </w:p>
    <w:p w14:paraId="687365F4">
      <w:pPr>
        <w:pStyle w:val="2"/>
        <w:spacing w:before="96" w:line="219" w:lineRule="auto"/>
        <w:ind w:left="92"/>
        <w:rPr>
          <w:sz w:val="19"/>
          <w:szCs w:val="19"/>
        </w:rPr>
      </w:pPr>
      <w:r>
        <w:rPr>
          <w:spacing w:val="11"/>
          <w:sz w:val="19"/>
          <w:szCs w:val="19"/>
        </w:rPr>
        <w:t>(2)文档验收和移交的要求具体包括：</w:t>
      </w:r>
    </w:p>
    <w:p w14:paraId="3B88A1E2">
      <w:pPr>
        <w:pStyle w:val="2"/>
        <w:spacing w:before="74" w:line="270" w:lineRule="auto"/>
        <w:ind w:left="381" w:right="890" w:hanging="289"/>
        <w:rPr>
          <w:sz w:val="19"/>
          <w:szCs w:val="19"/>
        </w:rPr>
      </w:pPr>
      <w:r>
        <w:rPr>
          <w:spacing w:val="13"/>
          <w:sz w:val="19"/>
          <w:szCs w:val="19"/>
        </w:rPr>
        <w:t>●协助业主单位按照业主单位档案管理要求或国家、地方和行业颁布的文档管理要求进行</w:t>
      </w:r>
      <w:r>
        <w:rPr>
          <w:spacing w:val="1"/>
          <w:sz w:val="19"/>
          <w:szCs w:val="19"/>
        </w:rPr>
        <w:t xml:space="preserve"> </w:t>
      </w:r>
      <w:r>
        <w:rPr>
          <w:spacing w:val="3"/>
          <w:sz w:val="19"/>
          <w:szCs w:val="19"/>
        </w:rPr>
        <w:t>竣工文档归档工作；</w:t>
      </w:r>
    </w:p>
    <w:p w14:paraId="4B579E9A">
      <w:pPr>
        <w:pStyle w:val="2"/>
        <w:spacing w:before="85" w:line="219" w:lineRule="auto"/>
        <w:ind w:left="92"/>
        <w:rPr>
          <w:sz w:val="19"/>
          <w:szCs w:val="19"/>
        </w:rPr>
      </w:pPr>
      <w:r>
        <w:rPr>
          <w:spacing w:val="19"/>
          <w:sz w:val="19"/>
          <w:szCs w:val="19"/>
        </w:rPr>
        <w:t>●文档要按照保存期限做好分类，不满足短期保存期</w:t>
      </w:r>
      <w:r>
        <w:rPr>
          <w:spacing w:val="18"/>
          <w:sz w:val="19"/>
          <w:szCs w:val="19"/>
        </w:rPr>
        <w:t>限要求的，可不列入文档验收范围</w:t>
      </w:r>
    </w:p>
    <w:p w14:paraId="0A699283">
      <w:pPr>
        <w:pStyle w:val="2"/>
        <w:spacing w:before="143" w:line="219" w:lineRule="auto"/>
        <w:ind w:left="382"/>
        <w:rPr>
          <w:sz w:val="16"/>
          <w:szCs w:val="16"/>
        </w:rPr>
      </w:pPr>
      <w:r>
        <w:rPr>
          <w:spacing w:val="-9"/>
          <w:sz w:val="16"/>
          <w:szCs w:val="16"/>
        </w:rPr>
        <w:t>之 内</w:t>
      </w:r>
      <w:r>
        <w:rPr>
          <w:spacing w:val="-28"/>
          <w:sz w:val="16"/>
          <w:szCs w:val="16"/>
        </w:rPr>
        <w:t xml:space="preserve"> </w:t>
      </w:r>
      <w:r>
        <w:rPr>
          <w:spacing w:val="-9"/>
          <w:sz w:val="16"/>
          <w:szCs w:val="16"/>
        </w:rPr>
        <w:t>；</w:t>
      </w:r>
    </w:p>
    <w:p w14:paraId="42EBF1A9">
      <w:pPr>
        <w:pStyle w:val="2"/>
        <w:spacing w:before="100" w:line="285" w:lineRule="auto"/>
        <w:ind w:left="381" w:right="885" w:hanging="289"/>
        <w:rPr>
          <w:sz w:val="16"/>
          <w:szCs w:val="16"/>
        </w:rPr>
      </w:pPr>
      <w:r>
        <w:rPr>
          <w:spacing w:val="19"/>
          <w:sz w:val="19"/>
          <w:szCs w:val="19"/>
        </w:rPr>
        <w:t>●做好业主单位、文档管理部门、承建单位</w:t>
      </w:r>
      <w:r>
        <w:rPr>
          <w:spacing w:val="18"/>
          <w:sz w:val="19"/>
          <w:szCs w:val="19"/>
        </w:rPr>
        <w:t>之间的协调工作，为文档的整理提供准确的</w:t>
      </w:r>
      <w:r>
        <w:rPr>
          <w:sz w:val="19"/>
          <w:szCs w:val="19"/>
        </w:rPr>
        <w:t xml:space="preserve"> </w:t>
      </w:r>
      <w:r>
        <w:rPr>
          <w:spacing w:val="-7"/>
          <w:sz w:val="16"/>
          <w:szCs w:val="16"/>
        </w:rPr>
        <w:t>信</w:t>
      </w:r>
      <w:r>
        <w:rPr>
          <w:spacing w:val="-15"/>
          <w:sz w:val="16"/>
          <w:szCs w:val="16"/>
        </w:rPr>
        <w:t xml:space="preserve"> </w:t>
      </w:r>
      <w:r>
        <w:rPr>
          <w:spacing w:val="-7"/>
          <w:sz w:val="16"/>
          <w:szCs w:val="16"/>
        </w:rPr>
        <w:t>息</w:t>
      </w:r>
      <w:r>
        <w:rPr>
          <w:spacing w:val="-28"/>
          <w:sz w:val="16"/>
          <w:szCs w:val="16"/>
        </w:rPr>
        <w:t xml:space="preserve"> </w:t>
      </w:r>
      <w:r>
        <w:rPr>
          <w:spacing w:val="-7"/>
          <w:sz w:val="16"/>
          <w:szCs w:val="16"/>
        </w:rPr>
        <w:t>；</w:t>
      </w:r>
    </w:p>
    <w:p w14:paraId="743B321F">
      <w:pPr>
        <w:pStyle w:val="2"/>
        <w:spacing w:before="80" w:line="219" w:lineRule="auto"/>
        <w:ind w:left="92"/>
        <w:rPr>
          <w:sz w:val="19"/>
          <w:szCs w:val="19"/>
        </w:rPr>
      </w:pPr>
      <w:r>
        <w:rPr>
          <w:spacing w:val="11"/>
          <w:sz w:val="19"/>
          <w:szCs w:val="19"/>
        </w:rPr>
        <w:t>●保密项目或有保密协议的项目，依照保密条款的约定进行文档的移交工作；</w:t>
      </w:r>
    </w:p>
    <w:p w14:paraId="4A14DF57">
      <w:pPr>
        <w:pStyle w:val="2"/>
        <w:spacing w:before="106" w:line="219" w:lineRule="auto"/>
        <w:ind w:left="92"/>
        <w:rPr>
          <w:sz w:val="19"/>
          <w:szCs w:val="19"/>
        </w:rPr>
      </w:pPr>
      <w:r>
        <w:rPr>
          <w:spacing w:val="10"/>
          <w:sz w:val="19"/>
          <w:szCs w:val="19"/>
        </w:rPr>
        <w:t>●文档要装订成册，并做好编号；</w:t>
      </w:r>
    </w:p>
    <w:p w14:paraId="629B7A5F">
      <w:pPr>
        <w:pStyle w:val="2"/>
        <w:spacing w:before="95" w:line="219" w:lineRule="auto"/>
        <w:ind w:left="92"/>
        <w:rPr>
          <w:sz w:val="19"/>
          <w:szCs w:val="19"/>
        </w:rPr>
      </w:pPr>
      <w:r>
        <w:rPr>
          <w:spacing w:val="11"/>
          <w:sz w:val="19"/>
          <w:szCs w:val="19"/>
        </w:rPr>
        <w:t>●移交的纸质文档要有利益相关方的签字。</w:t>
      </w:r>
    </w:p>
    <w:p w14:paraId="33D86E7D">
      <w:pPr>
        <w:spacing w:before="77" w:line="220" w:lineRule="auto"/>
        <w:rPr>
          <w:rFonts w:ascii="楷体" w:hAnsi="楷体" w:eastAsia="楷体" w:cs="楷体"/>
          <w:sz w:val="19"/>
          <w:szCs w:val="19"/>
        </w:rPr>
      </w:pPr>
      <w:r>
        <w:rPr>
          <w:rFonts w:ascii="黑体" w:hAnsi="黑体" w:eastAsia="黑体" w:cs="黑体"/>
          <w:b/>
          <w:bCs/>
          <w:spacing w:val="3"/>
          <w:sz w:val="19"/>
          <w:szCs w:val="19"/>
        </w:rPr>
        <w:t>【案例4</w:t>
      </w:r>
      <w:r>
        <w:rPr>
          <w:rFonts w:ascii="楷体" w:hAnsi="楷体" w:eastAsia="楷体" w:cs="楷体"/>
          <w:b/>
          <w:bCs/>
          <w:spacing w:val="3"/>
          <w:sz w:val="19"/>
          <w:szCs w:val="19"/>
        </w:rPr>
        <w:t>】</w:t>
      </w:r>
      <w:r>
        <w:rPr>
          <w:rFonts w:ascii="楷体" w:hAnsi="楷体" w:eastAsia="楷体" w:cs="楷体"/>
          <w:spacing w:val="3"/>
          <w:sz w:val="19"/>
          <w:szCs w:val="19"/>
        </w:rPr>
        <w:t>在案例1的项目验收阶段，监理机构需开展验收文档审核工作，并提出监理总结</w:t>
      </w:r>
      <w:r>
        <w:rPr>
          <w:rFonts w:ascii="楷体" w:hAnsi="楷体" w:eastAsia="楷体" w:cs="楷体"/>
          <w:spacing w:val="2"/>
          <w:sz w:val="19"/>
          <w:szCs w:val="19"/>
        </w:rPr>
        <w:t>报告。</w:t>
      </w:r>
    </w:p>
    <w:p w14:paraId="4115385A">
      <w:pPr>
        <w:spacing w:before="73" w:line="220" w:lineRule="auto"/>
        <w:ind w:left="92"/>
        <w:rPr>
          <w:rFonts w:ascii="楷体" w:hAnsi="楷体" w:eastAsia="楷体" w:cs="楷体"/>
          <w:sz w:val="19"/>
          <w:szCs w:val="19"/>
        </w:rPr>
      </w:pPr>
      <w:r>
        <w:rPr>
          <w:rFonts w:ascii="楷体" w:hAnsi="楷体" w:eastAsia="楷体" w:cs="楷体"/>
          <w:spacing w:val="12"/>
          <w:sz w:val="19"/>
          <w:szCs w:val="19"/>
        </w:rPr>
        <w:t>(1)监理机构对关键文档开展审核工作时，提出如下要求：</w:t>
      </w:r>
    </w:p>
    <w:p w14:paraId="5F7AFB76">
      <w:pPr>
        <w:spacing w:before="97" w:line="223" w:lineRule="auto"/>
        <w:ind w:left="92"/>
        <w:rPr>
          <w:rFonts w:ascii="楷体" w:hAnsi="楷体" w:eastAsia="楷体" w:cs="楷体"/>
          <w:sz w:val="19"/>
          <w:szCs w:val="19"/>
        </w:rPr>
      </w:pPr>
      <w:r>
        <w:rPr>
          <w:rFonts w:ascii="楷体" w:hAnsi="楷体" w:eastAsia="楷体" w:cs="楷体"/>
          <w:spacing w:val="6"/>
          <w:sz w:val="19"/>
          <w:szCs w:val="19"/>
        </w:rPr>
        <w:t>①试运行方案的审核要点：</w:t>
      </w:r>
    </w:p>
    <w:p w14:paraId="30AF7AAE">
      <w:pPr>
        <w:pStyle w:val="2"/>
        <w:spacing w:before="85" w:line="220" w:lineRule="auto"/>
        <w:ind w:left="92"/>
        <w:rPr>
          <w:sz w:val="19"/>
          <w:szCs w:val="19"/>
        </w:rPr>
      </w:pPr>
      <w:r>
        <w:rPr>
          <w:spacing w:val="10"/>
          <w:sz w:val="19"/>
          <w:szCs w:val="19"/>
        </w:rPr>
        <w:t>●</w:t>
      </w:r>
      <w:r>
        <w:rPr>
          <w:spacing w:val="-52"/>
          <w:sz w:val="19"/>
          <w:szCs w:val="19"/>
        </w:rPr>
        <w:t xml:space="preserve"> </w:t>
      </w:r>
      <w:r>
        <w:rPr>
          <w:spacing w:val="10"/>
          <w:sz w:val="19"/>
          <w:szCs w:val="19"/>
        </w:rPr>
        <w:t>试运行环境；</w:t>
      </w:r>
    </w:p>
    <w:p w14:paraId="2478DC46">
      <w:pPr>
        <w:pStyle w:val="2"/>
        <w:spacing w:before="83" w:line="219" w:lineRule="auto"/>
        <w:ind w:left="92"/>
        <w:rPr>
          <w:sz w:val="19"/>
          <w:szCs w:val="19"/>
        </w:rPr>
      </w:pPr>
      <w:r>
        <w:rPr>
          <w:spacing w:val="10"/>
          <w:sz w:val="19"/>
          <w:szCs w:val="19"/>
        </w:rPr>
        <w:t>●</w:t>
      </w:r>
      <w:r>
        <w:rPr>
          <w:spacing w:val="-52"/>
          <w:sz w:val="19"/>
          <w:szCs w:val="19"/>
        </w:rPr>
        <w:t xml:space="preserve"> </w:t>
      </w:r>
      <w:r>
        <w:rPr>
          <w:spacing w:val="10"/>
          <w:sz w:val="19"/>
          <w:szCs w:val="19"/>
        </w:rPr>
        <w:t>试运行内容；</w:t>
      </w:r>
    </w:p>
    <w:p w14:paraId="4B0CD00B">
      <w:pPr>
        <w:pStyle w:val="2"/>
        <w:spacing w:before="96" w:line="220" w:lineRule="auto"/>
        <w:ind w:left="92"/>
        <w:rPr>
          <w:sz w:val="19"/>
          <w:szCs w:val="19"/>
        </w:rPr>
      </w:pPr>
      <w:r>
        <w:rPr>
          <w:spacing w:val="9"/>
          <w:sz w:val="19"/>
          <w:szCs w:val="19"/>
        </w:rPr>
        <w:t>●</w:t>
      </w:r>
      <w:r>
        <w:rPr>
          <w:spacing w:val="-43"/>
          <w:sz w:val="19"/>
          <w:szCs w:val="19"/>
        </w:rPr>
        <w:t xml:space="preserve"> </w:t>
      </w:r>
      <w:r>
        <w:rPr>
          <w:spacing w:val="9"/>
          <w:sz w:val="19"/>
          <w:szCs w:val="19"/>
        </w:rPr>
        <w:t>网络环境试运行；</w:t>
      </w:r>
    </w:p>
    <w:p w14:paraId="7E23ACB0">
      <w:pPr>
        <w:spacing w:line="220" w:lineRule="auto"/>
        <w:rPr>
          <w:sz w:val="19"/>
          <w:szCs w:val="19"/>
        </w:rPr>
        <w:sectPr>
          <w:pgSz w:w="10290" w:h="13300"/>
          <w:pgMar w:top="400" w:right="19" w:bottom="400" w:left="1367" w:header="0" w:footer="0" w:gutter="0"/>
          <w:cols w:space="720" w:num="1"/>
        </w:sectPr>
      </w:pPr>
    </w:p>
    <w:p w14:paraId="758132F9">
      <w:pPr>
        <w:pStyle w:val="2"/>
        <w:spacing w:before="67" w:line="219" w:lineRule="auto"/>
        <w:rPr>
          <w:sz w:val="19"/>
          <w:szCs w:val="19"/>
        </w:rPr>
      </w:pPr>
      <w:r>
        <w:rPr>
          <w:rFonts w:ascii="Times New Roman" w:hAnsi="Times New Roman" w:eastAsia="Times New Roman" w:cs="Times New Roman"/>
          <w:b/>
          <w:bCs/>
          <w:spacing w:val="4"/>
          <w:sz w:val="19"/>
          <w:szCs w:val="19"/>
        </w:rPr>
        <w:t xml:space="preserve">484              </w:t>
      </w:r>
      <w:r>
        <w:rPr>
          <w:spacing w:val="4"/>
          <w:sz w:val="19"/>
          <w:szCs w:val="19"/>
        </w:rPr>
        <w:t>信息系统监理师教程(第2版)</w:t>
      </w:r>
    </w:p>
    <w:p w14:paraId="67CB0745">
      <w:pPr>
        <w:spacing w:line="351" w:lineRule="auto"/>
        <w:rPr>
          <w:rFonts w:ascii="Arial"/>
          <w:sz w:val="21"/>
        </w:rPr>
      </w:pPr>
    </w:p>
    <w:p w14:paraId="7FE85BF1">
      <w:pPr>
        <w:spacing w:before="62" w:line="229" w:lineRule="auto"/>
        <w:ind w:left="779"/>
        <w:rPr>
          <w:rFonts w:ascii="楷体" w:hAnsi="楷体" w:eastAsia="楷体" w:cs="楷体"/>
          <w:sz w:val="19"/>
          <w:szCs w:val="19"/>
        </w:rPr>
      </w:pPr>
      <w:r>
        <w:rPr>
          <w:rFonts w:ascii="楷体" w:hAnsi="楷体" w:eastAsia="楷体" w:cs="楷体"/>
          <w:spacing w:val="13"/>
          <w:sz w:val="19"/>
          <w:szCs w:val="19"/>
        </w:rPr>
        <w:t>●安全环境试运行；</w:t>
      </w:r>
    </w:p>
    <w:p w14:paraId="1B2B1D88">
      <w:pPr>
        <w:spacing w:before="84" w:line="229" w:lineRule="auto"/>
        <w:ind w:left="779"/>
        <w:rPr>
          <w:rFonts w:ascii="楷体" w:hAnsi="楷体" w:eastAsia="楷体" w:cs="楷体"/>
          <w:sz w:val="19"/>
          <w:szCs w:val="19"/>
        </w:rPr>
      </w:pPr>
      <w:r>
        <w:rPr>
          <w:rFonts w:ascii="楷体" w:hAnsi="楷体" w:eastAsia="楷体" w:cs="楷体"/>
          <w:spacing w:val="13"/>
          <w:sz w:val="19"/>
          <w:szCs w:val="19"/>
        </w:rPr>
        <w:t>●支撑环境试运行；</w:t>
      </w:r>
    </w:p>
    <w:p w14:paraId="3E7C2514">
      <w:pPr>
        <w:spacing w:before="88" w:line="223" w:lineRule="auto"/>
        <w:ind w:left="779"/>
        <w:rPr>
          <w:rFonts w:ascii="楷体" w:hAnsi="楷体" w:eastAsia="楷体" w:cs="楷体"/>
          <w:sz w:val="19"/>
          <w:szCs w:val="19"/>
        </w:rPr>
      </w:pPr>
      <w:r>
        <w:rPr>
          <w:rFonts w:ascii="楷体" w:hAnsi="楷体" w:eastAsia="楷体" w:cs="楷体"/>
          <w:spacing w:val="13"/>
          <w:sz w:val="19"/>
          <w:szCs w:val="19"/>
        </w:rPr>
        <w:t>●软件系统试运行；</w:t>
      </w:r>
    </w:p>
    <w:p w14:paraId="7F0BB2B2">
      <w:pPr>
        <w:spacing w:before="94" w:line="227" w:lineRule="auto"/>
        <w:ind w:left="779"/>
        <w:rPr>
          <w:rFonts w:ascii="楷体" w:hAnsi="楷体" w:eastAsia="楷体" w:cs="楷体"/>
          <w:sz w:val="19"/>
          <w:szCs w:val="19"/>
        </w:rPr>
      </w:pPr>
      <w:r>
        <w:rPr>
          <w:rFonts w:ascii="楷体" w:hAnsi="楷体" w:eastAsia="楷体" w:cs="楷体"/>
          <w:spacing w:val="11"/>
          <w:sz w:val="19"/>
          <w:szCs w:val="19"/>
        </w:rPr>
        <w:t>●</w:t>
      </w:r>
      <w:r>
        <w:rPr>
          <w:rFonts w:ascii="楷体" w:hAnsi="楷体" w:eastAsia="楷体" w:cs="楷体"/>
          <w:spacing w:val="-59"/>
          <w:sz w:val="19"/>
          <w:szCs w:val="19"/>
        </w:rPr>
        <w:t xml:space="preserve"> </w:t>
      </w:r>
      <w:r>
        <w:rPr>
          <w:rFonts w:ascii="楷体" w:hAnsi="楷体" w:eastAsia="楷体" w:cs="楷体"/>
          <w:spacing w:val="11"/>
          <w:sz w:val="19"/>
          <w:szCs w:val="19"/>
        </w:rPr>
        <w:t>试运行记录；</w:t>
      </w:r>
    </w:p>
    <w:p w14:paraId="2193F155">
      <w:pPr>
        <w:spacing w:before="83" w:line="223" w:lineRule="auto"/>
        <w:ind w:left="779"/>
        <w:rPr>
          <w:rFonts w:ascii="楷体" w:hAnsi="楷体" w:eastAsia="楷体" w:cs="楷体"/>
          <w:sz w:val="19"/>
          <w:szCs w:val="19"/>
        </w:rPr>
      </w:pPr>
      <w:r>
        <w:rPr>
          <w:rFonts w:ascii="楷体" w:hAnsi="楷体" w:eastAsia="楷体" w:cs="楷体"/>
          <w:spacing w:val="13"/>
          <w:sz w:val="19"/>
          <w:szCs w:val="19"/>
        </w:rPr>
        <w:t>●试运行人员安排；</w:t>
      </w:r>
    </w:p>
    <w:p w14:paraId="2157C8E4">
      <w:pPr>
        <w:spacing w:before="105" w:line="227" w:lineRule="auto"/>
        <w:ind w:left="779"/>
        <w:rPr>
          <w:rFonts w:ascii="楷体" w:hAnsi="楷体" w:eastAsia="楷体" w:cs="楷体"/>
          <w:sz w:val="19"/>
          <w:szCs w:val="19"/>
        </w:rPr>
      </w:pPr>
      <w:r>
        <w:rPr>
          <w:rFonts w:ascii="楷体" w:hAnsi="楷体" w:eastAsia="楷体" w:cs="楷体"/>
          <w:spacing w:val="5"/>
          <w:sz w:val="19"/>
          <w:szCs w:val="19"/>
        </w:rPr>
        <w:t>●</w:t>
      </w:r>
      <w:r>
        <w:rPr>
          <w:rFonts w:ascii="楷体" w:hAnsi="楷体" w:eastAsia="楷体" w:cs="楷体"/>
          <w:spacing w:val="-21"/>
          <w:sz w:val="19"/>
          <w:szCs w:val="19"/>
        </w:rPr>
        <w:t xml:space="preserve"> </w:t>
      </w:r>
      <w:r>
        <w:rPr>
          <w:rFonts w:ascii="楷体" w:hAnsi="楷体" w:eastAsia="楷体" w:cs="楷体"/>
          <w:spacing w:val="5"/>
          <w:sz w:val="19"/>
          <w:szCs w:val="19"/>
        </w:rPr>
        <w:t>日常运行维护；</w:t>
      </w:r>
    </w:p>
    <w:p w14:paraId="42E1D92E">
      <w:pPr>
        <w:spacing w:before="93" w:line="224" w:lineRule="auto"/>
        <w:ind w:left="779"/>
        <w:rPr>
          <w:rFonts w:ascii="楷体" w:hAnsi="楷体" w:eastAsia="楷体" w:cs="楷体"/>
          <w:sz w:val="19"/>
          <w:szCs w:val="19"/>
        </w:rPr>
      </w:pPr>
      <w:r>
        <w:rPr>
          <w:rFonts w:ascii="楷体" w:hAnsi="楷体" w:eastAsia="楷体" w:cs="楷体"/>
          <w:spacing w:val="13"/>
          <w:sz w:val="19"/>
          <w:szCs w:val="19"/>
        </w:rPr>
        <w:t>●试运行期间故障响应。</w:t>
      </w:r>
    </w:p>
    <w:p w14:paraId="74C91CEA">
      <w:pPr>
        <w:spacing w:before="87" w:line="273" w:lineRule="auto"/>
        <w:ind w:left="779" w:right="5629"/>
        <w:rPr>
          <w:rFonts w:ascii="楷体" w:hAnsi="楷体" w:eastAsia="楷体" w:cs="楷体"/>
          <w:sz w:val="19"/>
          <w:szCs w:val="19"/>
        </w:rPr>
      </w:pPr>
      <w:r>
        <w:rPr>
          <w:rFonts w:ascii="楷体" w:hAnsi="楷体" w:eastAsia="楷体" w:cs="楷体"/>
          <w:spacing w:val="5"/>
          <w:sz w:val="19"/>
          <w:szCs w:val="19"/>
        </w:rPr>
        <w:t>②试运行报告的审核要点：</w:t>
      </w:r>
      <w:r>
        <w:rPr>
          <w:rFonts w:ascii="楷体" w:hAnsi="楷体" w:eastAsia="楷体" w:cs="楷体"/>
          <w:spacing w:val="3"/>
          <w:sz w:val="19"/>
          <w:szCs w:val="19"/>
        </w:rPr>
        <w:t xml:space="preserve"> </w:t>
      </w:r>
      <w:r>
        <w:rPr>
          <w:rFonts w:ascii="楷体" w:hAnsi="楷体" w:eastAsia="楷体" w:cs="楷体"/>
          <w:spacing w:val="-6"/>
          <w:sz w:val="19"/>
          <w:szCs w:val="19"/>
        </w:rPr>
        <w:t>●</w:t>
      </w:r>
      <w:r>
        <w:rPr>
          <w:rFonts w:ascii="楷体" w:hAnsi="楷体" w:eastAsia="楷体" w:cs="楷体"/>
          <w:spacing w:val="-47"/>
          <w:sz w:val="19"/>
          <w:szCs w:val="19"/>
        </w:rPr>
        <w:t xml:space="preserve"> </w:t>
      </w:r>
      <w:r>
        <w:rPr>
          <w:rFonts w:ascii="楷体" w:hAnsi="楷体" w:eastAsia="楷体" w:cs="楷体"/>
          <w:spacing w:val="-6"/>
          <w:sz w:val="19"/>
          <w:szCs w:val="19"/>
        </w:rPr>
        <w:t>概</w:t>
      </w:r>
      <w:r>
        <w:rPr>
          <w:rFonts w:ascii="楷体" w:hAnsi="楷体" w:eastAsia="楷体" w:cs="楷体"/>
          <w:spacing w:val="-38"/>
          <w:sz w:val="19"/>
          <w:szCs w:val="19"/>
        </w:rPr>
        <w:t xml:space="preserve"> </w:t>
      </w:r>
      <w:r>
        <w:rPr>
          <w:rFonts w:ascii="楷体" w:hAnsi="楷体" w:eastAsia="楷体" w:cs="楷体"/>
          <w:spacing w:val="-6"/>
          <w:sz w:val="19"/>
          <w:szCs w:val="19"/>
        </w:rPr>
        <w:t>述</w:t>
      </w:r>
      <w:r>
        <w:rPr>
          <w:rFonts w:ascii="楷体" w:hAnsi="楷体" w:eastAsia="楷体" w:cs="楷体"/>
          <w:spacing w:val="-49"/>
          <w:sz w:val="19"/>
          <w:szCs w:val="19"/>
        </w:rPr>
        <w:t xml:space="preserve"> </w:t>
      </w:r>
      <w:r>
        <w:rPr>
          <w:rFonts w:ascii="楷体" w:hAnsi="楷体" w:eastAsia="楷体" w:cs="楷体"/>
          <w:spacing w:val="-6"/>
          <w:sz w:val="19"/>
          <w:szCs w:val="19"/>
        </w:rPr>
        <w:t>；</w:t>
      </w:r>
    </w:p>
    <w:p w14:paraId="03C1008B">
      <w:pPr>
        <w:spacing w:before="95" w:line="229" w:lineRule="auto"/>
        <w:ind w:left="779"/>
        <w:rPr>
          <w:rFonts w:ascii="楷体" w:hAnsi="楷体" w:eastAsia="楷体" w:cs="楷体"/>
          <w:sz w:val="19"/>
          <w:szCs w:val="19"/>
        </w:rPr>
      </w:pPr>
      <w:r>
        <w:rPr>
          <w:rFonts w:ascii="楷体" w:hAnsi="楷体" w:eastAsia="楷体" w:cs="楷体"/>
          <w:spacing w:val="11"/>
          <w:sz w:val="19"/>
          <w:szCs w:val="19"/>
        </w:rPr>
        <w:t>●</w:t>
      </w:r>
      <w:r>
        <w:rPr>
          <w:rFonts w:ascii="楷体" w:hAnsi="楷体" w:eastAsia="楷体" w:cs="楷体"/>
          <w:spacing w:val="-59"/>
          <w:sz w:val="19"/>
          <w:szCs w:val="19"/>
        </w:rPr>
        <w:t xml:space="preserve"> </w:t>
      </w:r>
      <w:r>
        <w:rPr>
          <w:rFonts w:ascii="楷体" w:hAnsi="楷体" w:eastAsia="楷体" w:cs="楷体"/>
          <w:spacing w:val="11"/>
          <w:sz w:val="19"/>
          <w:szCs w:val="19"/>
        </w:rPr>
        <w:t>试运行环境；</w:t>
      </w:r>
    </w:p>
    <w:p w14:paraId="7E7EA319">
      <w:pPr>
        <w:spacing w:before="82" w:line="227" w:lineRule="auto"/>
        <w:ind w:left="779"/>
        <w:rPr>
          <w:rFonts w:ascii="楷体" w:hAnsi="楷体" w:eastAsia="楷体" w:cs="楷体"/>
          <w:sz w:val="19"/>
          <w:szCs w:val="19"/>
        </w:rPr>
      </w:pPr>
      <w:r>
        <w:rPr>
          <w:rFonts w:ascii="楷体" w:hAnsi="楷体" w:eastAsia="楷体" w:cs="楷体"/>
          <w:spacing w:val="11"/>
          <w:sz w:val="19"/>
          <w:szCs w:val="19"/>
        </w:rPr>
        <w:t>●</w:t>
      </w:r>
      <w:r>
        <w:rPr>
          <w:rFonts w:ascii="楷体" w:hAnsi="楷体" w:eastAsia="楷体" w:cs="楷体"/>
          <w:spacing w:val="-59"/>
          <w:sz w:val="19"/>
          <w:szCs w:val="19"/>
        </w:rPr>
        <w:t xml:space="preserve"> </w:t>
      </w:r>
      <w:r>
        <w:rPr>
          <w:rFonts w:ascii="楷体" w:hAnsi="楷体" w:eastAsia="楷体" w:cs="楷体"/>
          <w:spacing w:val="11"/>
          <w:sz w:val="19"/>
          <w:szCs w:val="19"/>
        </w:rPr>
        <w:t>试运行时间；</w:t>
      </w:r>
    </w:p>
    <w:p w14:paraId="640FEC8A">
      <w:pPr>
        <w:spacing w:before="96" w:line="227" w:lineRule="auto"/>
        <w:ind w:left="779"/>
        <w:rPr>
          <w:rFonts w:ascii="楷体" w:hAnsi="楷体" w:eastAsia="楷体" w:cs="楷体"/>
          <w:sz w:val="19"/>
          <w:szCs w:val="19"/>
        </w:rPr>
      </w:pPr>
      <w:r>
        <w:rPr>
          <w:rFonts w:ascii="楷体" w:hAnsi="楷体" w:eastAsia="楷体" w:cs="楷体"/>
          <w:spacing w:val="14"/>
          <w:sz w:val="19"/>
          <w:szCs w:val="19"/>
        </w:rPr>
        <w:t>●试运行的使用人员；</w:t>
      </w:r>
    </w:p>
    <w:p w14:paraId="47D58960">
      <w:pPr>
        <w:spacing w:before="97" w:line="227" w:lineRule="auto"/>
        <w:ind w:left="779"/>
        <w:rPr>
          <w:rFonts w:ascii="楷体" w:hAnsi="楷体" w:eastAsia="楷体" w:cs="楷体"/>
          <w:sz w:val="19"/>
          <w:szCs w:val="19"/>
        </w:rPr>
      </w:pPr>
      <w:r>
        <w:rPr>
          <w:rFonts w:ascii="楷体" w:hAnsi="楷体" w:eastAsia="楷体" w:cs="楷体"/>
          <w:spacing w:val="13"/>
          <w:sz w:val="19"/>
          <w:szCs w:val="19"/>
        </w:rPr>
        <w:t>●试运行总体情况；</w:t>
      </w:r>
    </w:p>
    <w:p w14:paraId="7400F25E">
      <w:pPr>
        <w:spacing w:before="86" w:line="227" w:lineRule="auto"/>
        <w:ind w:left="779"/>
        <w:rPr>
          <w:rFonts w:ascii="楷体" w:hAnsi="楷体" w:eastAsia="楷体" w:cs="楷体"/>
          <w:sz w:val="19"/>
          <w:szCs w:val="19"/>
        </w:rPr>
      </w:pPr>
      <w:r>
        <w:rPr>
          <w:rFonts w:ascii="楷体" w:hAnsi="楷体" w:eastAsia="楷体" w:cs="楷体"/>
          <w:spacing w:val="13"/>
          <w:sz w:val="19"/>
          <w:szCs w:val="19"/>
        </w:rPr>
        <w:t>●网络环境试运行情况；</w:t>
      </w:r>
    </w:p>
    <w:p w14:paraId="4A1B923A">
      <w:pPr>
        <w:spacing w:before="86" w:line="227" w:lineRule="auto"/>
        <w:ind w:left="779"/>
        <w:rPr>
          <w:rFonts w:ascii="楷体" w:hAnsi="楷体" w:eastAsia="楷体" w:cs="楷体"/>
          <w:sz w:val="19"/>
          <w:szCs w:val="19"/>
        </w:rPr>
      </w:pPr>
      <w:r>
        <w:rPr>
          <w:rFonts w:ascii="楷体" w:hAnsi="楷体" w:eastAsia="楷体" w:cs="楷体"/>
          <w:spacing w:val="13"/>
          <w:sz w:val="19"/>
          <w:szCs w:val="19"/>
        </w:rPr>
        <w:t>●安全环境试运行情况；</w:t>
      </w:r>
    </w:p>
    <w:p w14:paraId="632FF1BA">
      <w:pPr>
        <w:spacing w:before="97" w:line="227" w:lineRule="auto"/>
        <w:ind w:left="779"/>
        <w:rPr>
          <w:rFonts w:ascii="楷体" w:hAnsi="楷体" w:eastAsia="楷体" w:cs="楷体"/>
          <w:sz w:val="19"/>
          <w:szCs w:val="19"/>
        </w:rPr>
      </w:pPr>
      <w:r>
        <w:rPr>
          <w:rFonts w:ascii="楷体" w:hAnsi="楷体" w:eastAsia="楷体" w:cs="楷体"/>
          <w:spacing w:val="13"/>
          <w:sz w:val="19"/>
          <w:szCs w:val="19"/>
        </w:rPr>
        <w:t>●支撑环境试运行情况；</w:t>
      </w:r>
    </w:p>
    <w:p w14:paraId="5CAF5579">
      <w:pPr>
        <w:spacing w:before="83" w:line="223" w:lineRule="auto"/>
        <w:ind w:left="779"/>
        <w:rPr>
          <w:rFonts w:ascii="楷体" w:hAnsi="楷体" w:eastAsia="楷体" w:cs="楷体"/>
          <w:sz w:val="19"/>
          <w:szCs w:val="19"/>
        </w:rPr>
      </w:pPr>
      <w:r>
        <w:rPr>
          <w:rFonts w:ascii="楷体" w:hAnsi="楷体" w:eastAsia="楷体" w:cs="楷体"/>
          <w:spacing w:val="13"/>
          <w:sz w:val="19"/>
          <w:szCs w:val="19"/>
        </w:rPr>
        <w:t>●软件系统试运行情况；</w:t>
      </w:r>
    </w:p>
    <w:p w14:paraId="55211BF8">
      <w:pPr>
        <w:spacing w:before="103" w:line="225" w:lineRule="auto"/>
        <w:ind w:left="779"/>
        <w:rPr>
          <w:rFonts w:ascii="楷体" w:hAnsi="楷体" w:eastAsia="楷体" w:cs="楷体"/>
          <w:sz w:val="19"/>
          <w:szCs w:val="19"/>
        </w:rPr>
      </w:pPr>
      <w:r>
        <w:rPr>
          <w:rFonts w:ascii="楷体" w:hAnsi="楷体" w:eastAsia="楷体" w:cs="楷体"/>
          <w:spacing w:val="11"/>
          <w:sz w:val="19"/>
          <w:szCs w:val="19"/>
        </w:rPr>
        <w:t>●试运行响应和保障服务情况；</w:t>
      </w:r>
    </w:p>
    <w:p w14:paraId="6F9C1829">
      <w:pPr>
        <w:spacing w:before="88" w:line="226" w:lineRule="auto"/>
        <w:ind w:left="779"/>
        <w:rPr>
          <w:rFonts w:ascii="楷体" w:hAnsi="楷体" w:eastAsia="楷体" w:cs="楷体"/>
          <w:sz w:val="19"/>
          <w:szCs w:val="19"/>
        </w:rPr>
      </w:pPr>
      <w:r>
        <w:rPr>
          <w:rFonts w:ascii="楷体" w:hAnsi="楷体" w:eastAsia="楷体" w:cs="楷体"/>
          <w:spacing w:val="12"/>
          <w:sz w:val="19"/>
          <w:szCs w:val="19"/>
        </w:rPr>
        <w:t>●试运行主要问题及解决情况分析；</w:t>
      </w:r>
    </w:p>
    <w:p w14:paraId="6CAD6A6B">
      <w:pPr>
        <w:spacing w:before="83" w:line="230" w:lineRule="auto"/>
        <w:ind w:left="779"/>
        <w:rPr>
          <w:rFonts w:ascii="楷体" w:hAnsi="楷体" w:eastAsia="楷体" w:cs="楷体"/>
          <w:sz w:val="19"/>
          <w:szCs w:val="19"/>
        </w:rPr>
      </w:pPr>
      <w:r>
        <w:rPr>
          <w:rFonts w:ascii="楷体" w:hAnsi="楷体" w:eastAsia="楷体" w:cs="楷体"/>
          <w:spacing w:val="11"/>
          <w:sz w:val="19"/>
          <w:szCs w:val="19"/>
        </w:rPr>
        <w:t>●</w:t>
      </w:r>
      <w:r>
        <w:rPr>
          <w:rFonts w:ascii="楷体" w:hAnsi="楷体" w:eastAsia="楷体" w:cs="楷体"/>
          <w:spacing w:val="-58"/>
          <w:sz w:val="19"/>
          <w:szCs w:val="19"/>
        </w:rPr>
        <w:t xml:space="preserve"> </w:t>
      </w:r>
      <w:r>
        <w:rPr>
          <w:rFonts w:ascii="楷体" w:hAnsi="楷体" w:eastAsia="楷体" w:cs="楷体"/>
          <w:spacing w:val="11"/>
          <w:sz w:val="19"/>
          <w:szCs w:val="19"/>
        </w:rPr>
        <w:t>试运行结论。</w:t>
      </w:r>
    </w:p>
    <w:p w14:paraId="48A9FF16">
      <w:pPr>
        <w:spacing w:before="85" w:line="223" w:lineRule="auto"/>
        <w:ind w:left="779"/>
        <w:rPr>
          <w:rFonts w:ascii="楷体" w:hAnsi="楷体" w:eastAsia="楷体" w:cs="楷体"/>
          <w:sz w:val="19"/>
          <w:szCs w:val="19"/>
        </w:rPr>
      </w:pPr>
      <w:r>
        <w:rPr>
          <w:rFonts w:ascii="楷体" w:hAnsi="楷体" w:eastAsia="楷体" w:cs="楷体"/>
          <w:spacing w:val="8"/>
          <w:sz w:val="19"/>
          <w:szCs w:val="19"/>
        </w:rPr>
        <w:t>③开展对合同规定的各阶段成果物的核查工作。具</w:t>
      </w:r>
      <w:r>
        <w:rPr>
          <w:rFonts w:ascii="楷体" w:hAnsi="楷体" w:eastAsia="楷体" w:cs="楷体"/>
          <w:spacing w:val="7"/>
          <w:sz w:val="19"/>
          <w:szCs w:val="19"/>
        </w:rPr>
        <w:t>体包括：</w:t>
      </w:r>
    </w:p>
    <w:p w14:paraId="22752648">
      <w:pPr>
        <w:spacing w:before="78" w:line="276" w:lineRule="auto"/>
        <w:ind w:left="1079" w:right="49" w:hanging="300"/>
        <w:rPr>
          <w:rFonts w:ascii="楷体" w:hAnsi="楷体" w:eastAsia="楷体" w:cs="楷体"/>
          <w:sz w:val="19"/>
          <w:szCs w:val="19"/>
        </w:rPr>
      </w:pPr>
      <w:r>
        <w:rPr>
          <w:rFonts w:ascii="楷体" w:hAnsi="楷体" w:eastAsia="楷体" w:cs="楷体"/>
          <w:spacing w:val="13"/>
          <w:sz w:val="19"/>
          <w:szCs w:val="19"/>
        </w:rPr>
        <w:t>●如有缺失、遗漏或文档名称与合同规定不一致，提醒并敦促承建单位做必要的补充、完</w:t>
      </w:r>
      <w:r>
        <w:rPr>
          <w:rFonts w:ascii="楷体" w:hAnsi="楷体" w:eastAsia="楷体" w:cs="楷体"/>
          <w:spacing w:val="7"/>
          <w:sz w:val="19"/>
          <w:szCs w:val="19"/>
        </w:rPr>
        <w:t xml:space="preserve"> </w:t>
      </w:r>
      <w:r>
        <w:rPr>
          <w:rFonts w:ascii="楷体" w:hAnsi="楷体" w:eastAsia="楷体" w:cs="楷体"/>
          <w:spacing w:val="5"/>
          <w:sz w:val="19"/>
          <w:szCs w:val="19"/>
        </w:rPr>
        <w:t>善或说明。</w:t>
      </w:r>
    </w:p>
    <w:p w14:paraId="45248181">
      <w:pPr>
        <w:spacing w:before="82" w:line="270" w:lineRule="auto"/>
        <w:ind w:left="1089" w:right="61" w:hanging="310"/>
        <w:rPr>
          <w:rFonts w:ascii="楷体" w:hAnsi="楷体" w:eastAsia="楷体" w:cs="楷体"/>
          <w:sz w:val="19"/>
          <w:szCs w:val="19"/>
        </w:rPr>
      </w:pPr>
      <w:r>
        <w:rPr>
          <w:rFonts w:ascii="楷体" w:hAnsi="楷体" w:eastAsia="楷体" w:cs="楷体"/>
          <w:spacing w:val="15"/>
          <w:sz w:val="19"/>
          <w:szCs w:val="19"/>
        </w:rPr>
        <w:t>●关注各阶段文档内容与工程/项目建设实际情况表述内容的一致性。若存在问题，提醒</w:t>
      </w:r>
      <w:r>
        <w:rPr>
          <w:rFonts w:ascii="楷体" w:hAnsi="楷体" w:eastAsia="楷体" w:cs="楷体"/>
          <w:spacing w:val="12"/>
          <w:sz w:val="19"/>
          <w:szCs w:val="19"/>
        </w:rPr>
        <w:t xml:space="preserve"> </w:t>
      </w:r>
      <w:r>
        <w:rPr>
          <w:rFonts w:ascii="楷体" w:hAnsi="楷体" w:eastAsia="楷体" w:cs="楷体"/>
          <w:spacing w:val="7"/>
          <w:sz w:val="19"/>
          <w:szCs w:val="19"/>
        </w:rPr>
        <w:t>承建单位强化文档控制管理，指明问题，敦促其务必加以改之。</w:t>
      </w:r>
    </w:p>
    <w:p w14:paraId="4D323433">
      <w:pPr>
        <w:spacing w:before="85" w:line="278" w:lineRule="auto"/>
        <w:ind w:left="399" w:right="58" w:firstLine="379"/>
        <w:rPr>
          <w:rFonts w:ascii="楷体" w:hAnsi="楷体" w:eastAsia="楷体" w:cs="楷体"/>
          <w:sz w:val="19"/>
          <w:szCs w:val="19"/>
        </w:rPr>
      </w:pPr>
      <w:r>
        <w:rPr>
          <w:rFonts w:ascii="楷体" w:hAnsi="楷体" w:eastAsia="楷体" w:cs="楷体"/>
          <w:spacing w:val="15"/>
          <w:sz w:val="19"/>
          <w:szCs w:val="19"/>
        </w:rPr>
        <w:t>(2)结合信息系统工程建设的基础设施工程技术特点和建设实践，编制监理总结报告需要</w:t>
      </w:r>
      <w:r>
        <w:rPr>
          <w:rFonts w:ascii="楷体" w:hAnsi="楷体" w:eastAsia="楷体" w:cs="楷体"/>
          <w:sz w:val="19"/>
          <w:szCs w:val="19"/>
        </w:rPr>
        <w:t xml:space="preserve"> </w:t>
      </w:r>
      <w:r>
        <w:rPr>
          <w:rFonts w:ascii="楷体" w:hAnsi="楷体" w:eastAsia="楷体" w:cs="楷体"/>
          <w:spacing w:val="2"/>
          <w:sz w:val="19"/>
          <w:szCs w:val="19"/>
        </w:rPr>
        <w:t>注重以下要点：</w:t>
      </w:r>
    </w:p>
    <w:p w14:paraId="50E5BFE4">
      <w:pPr>
        <w:spacing w:before="80" w:line="254" w:lineRule="auto"/>
        <w:ind w:left="399" w:right="64" w:firstLine="379"/>
        <w:rPr>
          <w:rFonts w:ascii="楷体" w:hAnsi="楷体" w:eastAsia="楷体" w:cs="楷体"/>
          <w:sz w:val="19"/>
          <w:szCs w:val="19"/>
        </w:rPr>
      </w:pPr>
      <w:r>
        <w:rPr>
          <w:rFonts w:ascii="楷体" w:hAnsi="楷体" w:eastAsia="楷体" w:cs="楷体"/>
          <w:spacing w:val="13"/>
          <w:sz w:val="19"/>
          <w:szCs w:val="19"/>
        </w:rPr>
        <w:t>①项目实施及完成情况概况：对项目实施的质量、进度、投资、变更</w:t>
      </w:r>
      <w:r>
        <w:rPr>
          <w:rFonts w:ascii="楷体" w:hAnsi="楷体" w:eastAsia="楷体" w:cs="楷体"/>
          <w:spacing w:val="12"/>
          <w:sz w:val="19"/>
          <w:szCs w:val="19"/>
        </w:rPr>
        <w:t>和项目成果等内容进</w:t>
      </w:r>
      <w:r>
        <w:rPr>
          <w:rFonts w:ascii="楷体" w:hAnsi="楷体" w:eastAsia="楷体" w:cs="楷体"/>
          <w:sz w:val="19"/>
          <w:szCs w:val="19"/>
        </w:rPr>
        <w:t xml:space="preserve"> </w:t>
      </w:r>
      <w:r>
        <w:rPr>
          <w:rFonts w:ascii="楷体" w:hAnsi="楷体" w:eastAsia="楷体" w:cs="楷体"/>
          <w:spacing w:val="8"/>
          <w:sz w:val="19"/>
          <w:szCs w:val="19"/>
        </w:rPr>
        <w:t>行综合性的总结概述，阐述对承建合同规定的各项建设任务完成情况及必要的说明。</w:t>
      </w:r>
    </w:p>
    <w:p w14:paraId="083CEBF4">
      <w:pPr>
        <w:spacing w:before="73" w:line="264" w:lineRule="auto"/>
        <w:ind w:left="399" w:right="52" w:firstLine="379"/>
        <w:rPr>
          <w:rFonts w:ascii="楷体" w:hAnsi="楷体" w:eastAsia="楷体" w:cs="楷体"/>
          <w:sz w:val="19"/>
          <w:szCs w:val="19"/>
        </w:rPr>
      </w:pPr>
      <w:r>
        <w:rPr>
          <w:rFonts w:ascii="楷体" w:hAnsi="楷体" w:eastAsia="楷体" w:cs="楷体"/>
          <w:spacing w:val="13"/>
          <w:sz w:val="19"/>
          <w:szCs w:val="19"/>
        </w:rPr>
        <w:t>②监理合同履行情况：阐述按合同要求，监理人员投入情况及监理工作完成情况，明确监</w:t>
      </w:r>
      <w:r>
        <w:rPr>
          <w:rFonts w:ascii="楷体" w:hAnsi="楷体" w:eastAsia="楷体" w:cs="楷体"/>
          <w:spacing w:val="4"/>
          <w:sz w:val="19"/>
          <w:szCs w:val="19"/>
        </w:rPr>
        <w:t xml:space="preserve"> </w:t>
      </w:r>
      <w:r>
        <w:rPr>
          <w:rFonts w:ascii="楷体" w:hAnsi="楷体" w:eastAsia="楷体" w:cs="楷体"/>
          <w:spacing w:val="6"/>
          <w:sz w:val="19"/>
          <w:szCs w:val="19"/>
        </w:rPr>
        <w:t>理工作效果或成效。</w:t>
      </w:r>
    </w:p>
    <w:p w14:paraId="64DCADFD">
      <w:pPr>
        <w:spacing w:before="87" w:line="259" w:lineRule="auto"/>
        <w:ind w:left="399" w:firstLine="379"/>
        <w:rPr>
          <w:rFonts w:ascii="楷体" w:hAnsi="楷体" w:eastAsia="楷体" w:cs="楷体"/>
          <w:sz w:val="19"/>
          <w:szCs w:val="19"/>
        </w:rPr>
      </w:pPr>
      <w:r>
        <w:rPr>
          <w:rFonts w:ascii="楷体" w:hAnsi="楷体" w:eastAsia="楷体" w:cs="楷体"/>
          <w:spacing w:val="14"/>
          <w:sz w:val="19"/>
          <w:szCs w:val="19"/>
        </w:rPr>
        <w:t>③质量控制：总结质量控制情况，说明项目重点、难点和出现问题的质量控制管理活动，</w:t>
      </w:r>
      <w:r>
        <w:rPr>
          <w:rFonts w:ascii="楷体" w:hAnsi="楷体" w:eastAsia="楷体" w:cs="楷体"/>
          <w:spacing w:val="17"/>
          <w:sz w:val="19"/>
          <w:szCs w:val="19"/>
        </w:rPr>
        <w:t xml:space="preserve"> </w:t>
      </w:r>
      <w:r>
        <w:rPr>
          <w:rFonts w:ascii="楷体" w:hAnsi="楷体" w:eastAsia="楷体" w:cs="楷体"/>
          <w:spacing w:val="9"/>
          <w:sz w:val="19"/>
          <w:szCs w:val="19"/>
        </w:rPr>
        <w:t>明确说明监理对工程/项目质量的评价意见。</w:t>
      </w:r>
    </w:p>
    <w:p w14:paraId="4A84C5CD">
      <w:pPr>
        <w:spacing w:before="68" w:line="274" w:lineRule="auto"/>
        <w:ind w:left="399" w:right="47" w:firstLine="379"/>
        <w:rPr>
          <w:rFonts w:ascii="楷体" w:hAnsi="楷体" w:eastAsia="楷体" w:cs="楷体"/>
          <w:sz w:val="19"/>
          <w:szCs w:val="19"/>
        </w:rPr>
      </w:pPr>
      <w:r>
        <w:rPr>
          <w:rFonts w:ascii="楷体" w:hAnsi="楷体" w:eastAsia="楷体" w:cs="楷体"/>
          <w:spacing w:val="16"/>
          <w:sz w:val="19"/>
          <w:szCs w:val="19"/>
        </w:rPr>
        <w:t>④进度控制：总结进度控制情况，说明项目进度控制管理活</w:t>
      </w:r>
      <w:r>
        <w:rPr>
          <w:rFonts w:ascii="楷体" w:hAnsi="楷体" w:eastAsia="楷体" w:cs="楷体"/>
          <w:spacing w:val="15"/>
          <w:sz w:val="19"/>
          <w:szCs w:val="19"/>
        </w:rPr>
        <w:t>动，明确说明监理对工程/项</w:t>
      </w:r>
      <w:r>
        <w:rPr>
          <w:rFonts w:ascii="楷体" w:hAnsi="楷体" w:eastAsia="楷体" w:cs="楷体"/>
          <w:sz w:val="19"/>
          <w:szCs w:val="19"/>
        </w:rPr>
        <w:t xml:space="preserve"> </w:t>
      </w:r>
      <w:r>
        <w:rPr>
          <w:rFonts w:ascii="楷体" w:hAnsi="楷体" w:eastAsia="楷体" w:cs="楷体"/>
          <w:spacing w:val="2"/>
          <w:sz w:val="19"/>
          <w:szCs w:val="19"/>
        </w:rPr>
        <w:t>目进度的意见。</w:t>
      </w:r>
    </w:p>
    <w:p w14:paraId="66DAB45D">
      <w:pPr>
        <w:spacing w:before="56" w:line="220" w:lineRule="auto"/>
        <w:ind w:left="779"/>
        <w:rPr>
          <w:rFonts w:ascii="楷体" w:hAnsi="楷体" w:eastAsia="楷体" w:cs="楷体"/>
          <w:sz w:val="19"/>
          <w:szCs w:val="19"/>
        </w:rPr>
      </w:pPr>
      <w:r>
        <w:rPr>
          <w:rFonts w:ascii="楷体" w:hAnsi="楷体" w:eastAsia="楷体" w:cs="楷体"/>
          <w:spacing w:val="14"/>
          <w:sz w:val="19"/>
          <w:szCs w:val="19"/>
        </w:rPr>
        <w:t>⑤投资控制：总结投资控制情况，总结项目资</w:t>
      </w:r>
      <w:r>
        <w:rPr>
          <w:rFonts w:ascii="楷体" w:hAnsi="楷体" w:eastAsia="楷体" w:cs="楷体"/>
          <w:spacing w:val="13"/>
          <w:sz w:val="19"/>
          <w:szCs w:val="19"/>
        </w:rPr>
        <w:t>金使用情况，说明投资控制过程中的监理活</w:t>
      </w:r>
    </w:p>
    <w:p w14:paraId="55BCF05A">
      <w:pPr>
        <w:spacing w:line="220" w:lineRule="auto"/>
        <w:rPr>
          <w:rFonts w:ascii="楷体" w:hAnsi="楷体" w:eastAsia="楷体" w:cs="楷体"/>
          <w:sz w:val="19"/>
          <w:szCs w:val="19"/>
        </w:rPr>
        <w:sectPr>
          <w:pgSz w:w="10300" w:h="13380"/>
          <w:pgMar w:top="400" w:right="1015" w:bottom="400" w:left="530" w:header="0" w:footer="0" w:gutter="0"/>
          <w:cols w:space="720" w:num="1"/>
        </w:sectPr>
      </w:pPr>
    </w:p>
    <w:p w14:paraId="2128CA52">
      <w:pPr>
        <w:pStyle w:val="2"/>
        <w:jc w:val="right"/>
        <w:rPr>
          <w:rFonts w:ascii="Times New Roman" w:hAnsi="Times New Roman" w:eastAsia="Times New Roman" w:cs="Times New Roman"/>
          <w:sz w:val="19"/>
          <w:szCs w:val="19"/>
        </w:rPr>
      </w:pPr>
      <w:bookmarkStart w:id="720" w:name="bookmark705"/>
      <w:bookmarkEnd w:id="720"/>
      <w:r>
        <w:rPr>
          <w:spacing w:val="4"/>
          <w:sz w:val="19"/>
          <w:szCs w:val="19"/>
        </w:rPr>
        <w:t>第21章 基础设施工程监理</w:t>
      </w:r>
      <w:r>
        <w:rPr>
          <w:spacing w:val="51"/>
          <w:w w:val="101"/>
          <w:sz w:val="19"/>
          <w:szCs w:val="19"/>
        </w:rPr>
        <w:t xml:space="preserve"> </w:t>
      </w:r>
      <w:r>
        <w:rPr>
          <w:position w:val="-9"/>
          <w:sz w:val="19"/>
          <w:szCs w:val="19"/>
        </w:rPr>
        <w:drawing>
          <wp:inline distT="0" distB="0" distL="0" distR="0">
            <wp:extent cx="279400" cy="196215"/>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303"/>
                    <a:stretch>
                      <a:fillRect/>
                    </a:stretch>
                  </pic:blipFill>
                  <pic:spPr>
                    <a:xfrm>
                      <a:off x="0" y="0"/>
                      <a:ext cx="279400" cy="196843"/>
                    </a:xfrm>
                    <a:prstGeom prst="rect">
                      <a:avLst/>
                    </a:prstGeom>
                  </pic:spPr>
                </pic:pic>
              </a:graphicData>
            </a:graphic>
          </wp:inline>
        </w:drawing>
      </w:r>
      <w:r>
        <w:rPr>
          <w:rFonts w:ascii="Times New Roman" w:hAnsi="Times New Roman" w:eastAsia="Times New Roman" w:cs="Times New Roman"/>
          <w:spacing w:val="4"/>
          <w:sz w:val="19"/>
          <w:szCs w:val="19"/>
        </w:rPr>
        <w:t>485</w:t>
      </w:r>
    </w:p>
    <w:p w14:paraId="5A4DE242">
      <w:pPr>
        <w:spacing w:line="296" w:lineRule="auto"/>
        <w:rPr>
          <w:rFonts w:ascii="Arial"/>
          <w:sz w:val="21"/>
        </w:rPr>
      </w:pPr>
    </w:p>
    <w:p w14:paraId="5D047CFB">
      <w:pPr>
        <w:spacing w:before="62" w:line="220" w:lineRule="auto"/>
        <w:rPr>
          <w:rFonts w:ascii="楷体" w:hAnsi="楷体" w:eastAsia="楷体" w:cs="楷体"/>
          <w:sz w:val="19"/>
          <w:szCs w:val="19"/>
        </w:rPr>
      </w:pPr>
      <w:r>
        <w:rPr>
          <w:rFonts w:ascii="楷体" w:hAnsi="楷体" w:eastAsia="楷体" w:cs="楷体"/>
          <w:spacing w:val="10"/>
          <w:sz w:val="19"/>
          <w:szCs w:val="19"/>
        </w:rPr>
        <w:t>动，明确说明监理对工程/项目投资管理的意</w:t>
      </w:r>
      <w:r>
        <w:rPr>
          <w:rFonts w:ascii="楷体" w:hAnsi="楷体" w:eastAsia="楷体" w:cs="楷体"/>
          <w:spacing w:val="9"/>
          <w:sz w:val="19"/>
          <w:szCs w:val="19"/>
        </w:rPr>
        <w:t>见。</w:t>
      </w:r>
    </w:p>
    <w:p w14:paraId="2BEA42DC">
      <w:pPr>
        <w:pStyle w:val="2"/>
        <w:spacing w:before="68" w:line="268" w:lineRule="auto"/>
        <w:ind w:right="323" w:firstLine="409"/>
        <w:rPr>
          <w:rFonts w:ascii="楷体" w:hAnsi="楷体" w:eastAsia="楷体" w:cs="楷体"/>
          <w:sz w:val="19"/>
          <w:szCs w:val="19"/>
        </w:rPr>
      </w:pPr>
      <w:r>
        <w:rPr>
          <w:spacing w:val="13"/>
          <w:sz w:val="19"/>
          <w:szCs w:val="19"/>
        </w:rPr>
        <w:t>⑥变更控制：总结变更管理情况，简要说明变更的必要性、合规性</w:t>
      </w:r>
      <w:r>
        <w:rPr>
          <w:spacing w:val="12"/>
          <w:sz w:val="19"/>
          <w:szCs w:val="19"/>
        </w:rPr>
        <w:t>和合理性，控制管理变</w:t>
      </w:r>
      <w:r>
        <w:rPr>
          <w:sz w:val="19"/>
          <w:szCs w:val="19"/>
        </w:rPr>
        <w:t xml:space="preserve"> </w:t>
      </w:r>
      <w:r>
        <w:rPr>
          <w:rFonts w:ascii="楷体" w:hAnsi="楷体" w:eastAsia="楷体" w:cs="楷体"/>
          <w:spacing w:val="8"/>
          <w:sz w:val="19"/>
          <w:szCs w:val="19"/>
        </w:rPr>
        <w:t>更审批程序，监控变更执行过程，明确监理对变更控制管理的效果。</w:t>
      </w:r>
    </w:p>
    <w:p w14:paraId="787FC9AF">
      <w:pPr>
        <w:pStyle w:val="2"/>
        <w:spacing w:before="98" w:line="265" w:lineRule="auto"/>
        <w:ind w:right="304" w:firstLine="409"/>
        <w:rPr>
          <w:rFonts w:ascii="楷体" w:hAnsi="楷体" w:eastAsia="楷体" w:cs="楷体"/>
          <w:sz w:val="19"/>
          <w:szCs w:val="19"/>
        </w:rPr>
      </w:pPr>
      <w:r>
        <w:rPr>
          <w:spacing w:val="13"/>
          <w:sz w:val="19"/>
          <w:szCs w:val="19"/>
        </w:rPr>
        <w:t>⑦文档管理：总结文档管理情况，分述对承建单位文档、监理文档的管理情况，必要时说</w:t>
      </w:r>
      <w:r>
        <w:rPr>
          <w:spacing w:val="9"/>
          <w:sz w:val="19"/>
          <w:szCs w:val="19"/>
        </w:rPr>
        <w:t xml:space="preserve"> </w:t>
      </w:r>
      <w:r>
        <w:rPr>
          <w:rFonts w:ascii="楷体" w:hAnsi="楷体" w:eastAsia="楷体" w:cs="楷体"/>
          <w:spacing w:val="10"/>
          <w:sz w:val="19"/>
          <w:szCs w:val="19"/>
        </w:rPr>
        <w:t>明形成工程/项目档案的情况。</w:t>
      </w:r>
    </w:p>
    <w:p w14:paraId="4D231AF2">
      <w:pPr>
        <w:spacing w:before="79" w:line="256" w:lineRule="auto"/>
        <w:ind w:right="314" w:firstLine="409"/>
        <w:rPr>
          <w:rFonts w:ascii="楷体" w:hAnsi="楷体" w:eastAsia="楷体" w:cs="楷体"/>
          <w:sz w:val="19"/>
          <w:szCs w:val="19"/>
        </w:rPr>
      </w:pPr>
      <w:r>
        <w:rPr>
          <w:rFonts w:ascii="楷体" w:hAnsi="楷体" w:eastAsia="楷体" w:cs="楷体"/>
          <w:spacing w:val="13"/>
          <w:sz w:val="19"/>
          <w:szCs w:val="19"/>
        </w:rPr>
        <w:t>⑧安全管理：总结项目实施过程中所涉及的数据和资料的安全保密情况，项目成果的知识</w:t>
      </w:r>
      <w:r>
        <w:rPr>
          <w:rFonts w:ascii="楷体" w:hAnsi="楷体" w:eastAsia="楷体" w:cs="楷体"/>
          <w:sz w:val="19"/>
          <w:szCs w:val="19"/>
        </w:rPr>
        <w:t xml:space="preserve"> </w:t>
      </w:r>
      <w:r>
        <w:rPr>
          <w:rFonts w:ascii="楷体" w:hAnsi="楷体" w:eastAsia="楷体" w:cs="楷体"/>
          <w:spacing w:val="9"/>
          <w:sz w:val="19"/>
          <w:szCs w:val="19"/>
        </w:rPr>
        <w:t>产权和涉及的第三方知识产权的产品保护情况，信息安全措施落实、安全文明施工等情况。</w:t>
      </w:r>
    </w:p>
    <w:p w14:paraId="01BC8B3C">
      <w:pPr>
        <w:spacing w:before="92" w:line="266" w:lineRule="auto"/>
        <w:ind w:right="269" w:firstLine="409"/>
        <w:rPr>
          <w:rFonts w:ascii="楷体" w:hAnsi="楷体" w:eastAsia="楷体" w:cs="楷体"/>
          <w:sz w:val="19"/>
          <w:szCs w:val="19"/>
        </w:rPr>
      </w:pPr>
      <w:r>
        <w:rPr>
          <w:rFonts w:ascii="楷体" w:hAnsi="楷体" w:eastAsia="楷体" w:cs="楷体"/>
          <w:spacing w:val="13"/>
          <w:sz w:val="19"/>
          <w:szCs w:val="19"/>
        </w:rPr>
        <w:t>⑨</w:t>
      </w:r>
      <w:r>
        <w:rPr>
          <w:rFonts w:ascii="楷体" w:hAnsi="楷体" w:eastAsia="楷体" w:cs="楷体"/>
          <w:spacing w:val="-51"/>
          <w:sz w:val="19"/>
          <w:szCs w:val="19"/>
        </w:rPr>
        <w:t xml:space="preserve"> </w:t>
      </w:r>
      <w:r>
        <w:rPr>
          <w:rFonts w:ascii="楷体" w:hAnsi="楷体" w:eastAsia="楷体" w:cs="楷体"/>
          <w:spacing w:val="13"/>
          <w:sz w:val="19"/>
          <w:szCs w:val="19"/>
        </w:rPr>
        <w:t>监理工作成效：总结监理工作开展效果，对项目目标达成的促进情况进行阐述，列出监</w:t>
      </w:r>
      <w:r>
        <w:rPr>
          <w:rFonts w:ascii="楷体" w:hAnsi="楷体" w:eastAsia="楷体" w:cs="楷体"/>
          <w:sz w:val="19"/>
          <w:szCs w:val="19"/>
        </w:rPr>
        <w:t xml:space="preserve"> </w:t>
      </w:r>
      <w:r>
        <w:rPr>
          <w:rFonts w:ascii="楷体" w:hAnsi="楷体" w:eastAsia="楷体" w:cs="楷体"/>
          <w:spacing w:val="9"/>
          <w:sz w:val="19"/>
          <w:szCs w:val="19"/>
        </w:rPr>
        <w:t>理工作成果。最好能够以量化的形式表述具体内容，并辅以必要</w:t>
      </w:r>
      <w:r>
        <w:rPr>
          <w:rFonts w:ascii="楷体" w:hAnsi="楷体" w:eastAsia="楷体" w:cs="楷体"/>
          <w:spacing w:val="8"/>
          <w:sz w:val="19"/>
          <w:szCs w:val="19"/>
        </w:rPr>
        <w:t>的表单做细节说明。</w:t>
      </w:r>
    </w:p>
    <w:p w14:paraId="1FB79883">
      <w:pPr>
        <w:spacing w:before="86" w:line="270" w:lineRule="auto"/>
        <w:ind w:right="301" w:firstLine="409"/>
        <w:rPr>
          <w:rFonts w:ascii="楷体" w:hAnsi="楷体" w:eastAsia="楷体" w:cs="楷体"/>
          <w:sz w:val="19"/>
          <w:szCs w:val="19"/>
        </w:rPr>
      </w:pPr>
      <w:r>
        <w:rPr>
          <w:rFonts w:ascii="楷体" w:hAnsi="楷体" w:eastAsia="楷体" w:cs="楷体"/>
          <w:spacing w:val="13"/>
          <w:sz w:val="19"/>
          <w:szCs w:val="19"/>
        </w:rPr>
        <w:t>⑩总结评价：归纳性地评价项目实施质量、进度、投资、安全、合同管理、信息管理、组</w:t>
      </w:r>
      <w:r>
        <w:rPr>
          <w:rFonts w:ascii="楷体" w:hAnsi="楷体" w:eastAsia="楷体" w:cs="楷体"/>
          <w:spacing w:val="12"/>
          <w:sz w:val="19"/>
          <w:szCs w:val="19"/>
        </w:rPr>
        <w:t xml:space="preserve"> </w:t>
      </w:r>
      <w:r>
        <w:rPr>
          <w:rFonts w:ascii="楷体" w:hAnsi="楷体" w:eastAsia="楷体" w:cs="楷体"/>
          <w:spacing w:val="4"/>
          <w:sz w:val="19"/>
          <w:szCs w:val="19"/>
        </w:rPr>
        <w:t>织协调等完成情况。</w:t>
      </w:r>
    </w:p>
    <w:p w14:paraId="568E70E3">
      <w:pPr>
        <w:spacing w:before="32" w:line="295" w:lineRule="auto"/>
        <w:ind w:right="308" w:firstLine="409"/>
        <w:rPr>
          <w:rFonts w:ascii="楷体" w:hAnsi="楷体" w:eastAsia="楷体" w:cs="楷体"/>
          <w:sz w:val="19"/>
          <w:szCs w:val="19"/>
        </w:rPr>
      </w:pPr>
      <w:r>
        <w:rPr>
          <w:rFonts w:ascii="Calibri" w:hAnsi="Calibri" w:eastAsia="Calibri" w:cs="Calibri"/>
          <w:spacing w:val="12"/>
          <w:sz w:val="19"/>
          <w:szCs w:val="19"/>
        </w:rPr>
        <w:t>⑪</w:t>
      </w:r>
      <w:r>
        <w:rPr>
          <w:rFonts w:ascii="楷体" w:hAnsi="楷体" w:eastAsia="楷体" w:cs="楷体"/>
          <w:spacing w:val="12"/>
          <w:sz w:val="19"/>
          <w:szCs w:val="19"/>
        </w:rPr>
        <w:t>问题和建议：描述项目的关键事件或问题的</w:t>
      </w:r>
      <w:r>
        <w:rPr>
          <w:rFonts w:ascii="楷体" w:hAnsi="楷体" w:eastAsia="楷体" w:cs="楷体"/>
          <w:spacing w:val="11"/>
          <w:sz w:val="19"/>
          <w:szCs w:val="19"/>
        </w:rPr>
        <w:t>监理应对措施及处理意见，提出后续工作建</w:t>
      </w:r>
      <w:r>
        <w:rPr>
          <w:rFonts w:ascii="楷体" w:hAnsi="楷体" w:eastAsia="楷体" w:cs="楷体"/>
          <w:sz w:val="19"/>
          <w:szCs w:val="19"/>
        </w:rPr>
        <w:t xml:space="preserve"> </w:t>
      </w:r>
      <w:r>
        <w:rPr>
          <w:rFonts w:ascii="楷体" w:hAnsi="楷体" w:eastAsia="楷体" w:cs="楷体"/>
          <w:spacing w:val="8"/>
          <w:sz w:val="19"/>
          <w:szCs w:val="19"/>
        </w:rPr>
        <w:t>议等。</w:t>
      </w:r>
    </w:p>
    <w:p w14:paraId="06075590">
      <w:pPr>
        <w:spacing w:line="333" w:lineRule="auto"/>
        <w:rPr>
          <w:rFonts w:ascii="Arial"/>
          <w:sz w:val="21"/>
        </w:rPr>
      </w:pPr>
    </w:p>
    <w:p w14:paraId="286F8476">
      <w:pPr>
        <w:pStyle w:val="2"/>
        <w:spacing w:before="92" w:line="221" w:lineRule="auto"/>
        <w:ind w:left="4"/>
        <w:rPr>
          <w:rFonts w:ascii="黑体" w:hAnsi="黑体" w:eastAsia="黑体" w:cs="黑体"/>
          <w:sz w:val="28"/>
          <w:szCs w:val="28"/>
        </w:rPr>
      </w:pPr>
      <w:r>
        <w:rPr>
          <w:b/>
          <w:bCs/>
          <w:color w:val="0067C2"/>
          <w:spacing w:val="-5"/>
          <w:sz w:val="28"/>
          <w:szCs w:val="28"/>
        </w:rPr>
        <w:t>21.6</w:t>
      </w:r>
      <w:r>
        <w:rPr>
          <w:color w:val="0067C2"/>
          <w:spacing w:val="127"/>
          <w:sz w:val="28"/>
          <w:szCs w:val="28"/>
        </w:rPr>
        <w:t xml:space="preserve"> </w:t>
      </w:r>
      <w:r>
        <w:rPr>
          <w:rFonts w:ascii="黑体" w:hAnsi="黑体" w:eastAsia="黑体" w:cs="黑体"/>
          <w:b/>
          <w:bCs/>
          <w:color w:val="0067C2"/>
          <w:spacing w:val="-5"/>
          <w:sz w:val="28"/>
          <w:szCs w:val="28"/>
        </w:rPr>
        <w:t>各子系统工程监理内容</w:t>
      </w:r>
    </w:p>
    <w:p w14:paraId="772FBA4F">
      <w:pPr>
        <w:pStyle w:val="2"/>
        <w:spacing w:before="257" w:line="307" w:lineRule="auto"/>
        <w:ind w:right="236" w:firstLine="409"/>
        <w:rPr>
          <w:sz w:val="19"/>
          <w:szCs w:val="19"/>
        </w:rPr>
      </w:pPr>
      <w:r>
        <w:rPr>
          <w:spacing w:val="8"/>
          <w:sz w:val="19"/>
          <w:szCs w:val="19"/>
        </w:rPr>
        <w:t>基础设施工程中常见的子系统工程包括通用布缆系统工程、计算机网络系统工程、安全防范</w:t>
      </w:r>
      <w:r>
        <w:rPr>
          <w:spacing w:val="10"/>
          <w:sz w:val="19"/>
          <w:szCs w:val="19"/>
        </w:rPr>
        <w:t xml:space="preserve"> </w:t>
      </w:r>
      <w:r>
        <w:rPr>
          <w:spacing w:val="6"/>
          <w:sz w:val="19"/>
          <w:szCs w:val="19"/>
        </w:rPr>
        <w:t>系统工程、环境系统工程和动力环境监控系</w:t>
      </w:r>
      <w:r>
        <w:rPr>
          <w:spacing w:val="5"/>
          <w:sz w:val="19"/>
          <w:szCs w:val="19"/>
        </w:rPr>
        <w:t>统工程。本节详细阐述以上各子系统工程的监理内容。</w:t>
      </w:r>
    </w:p>
    <w:p w14:paraId="4380F01F">
      <w:pPr>
        <w:pStyle w:val="2"/>
        <w:spacing w:before="166" w:line="219" w:lineRule="auto"/>
        <w:ind w:left="3"/>
        <w:rPr>
          <w:sz w:val="25"/>
          <w:szCs w:val="25"/>
        </w:rPr>
      </w:pPr>
      <w:r>
        <w:rPr>
          <w:b/>
          <w:bCs/>
          <w:color w:val="2784CB"/>
          <w:spacing w:val="-16"/>
          <w:sz w:val="25"/>
          <w:szCs w:val="25"/>
        </w:rPr>
        <w:t>21.6.1</w:t>
      </w:r>
      <w:r>
        <w:rPr>
          <w:color w:val="2784CB"/>
          <w:spacing w:val="80"/>
          <w:sz w:val="25"/>
          <w:szCs w:val="25"/>
        </w:rPr>
        <w:t xml:space="preserve"> </w:t>
      </w:r>
      <w:r>
        <w:rPr>
          <w:b/>
          <w:bCs/>
          <w:color w:val="2784CB"/>
          <w:spacing w:val="-16"/>
          <w:sz w:val="25"/>
          <w:szCs w:val="25"/>
        </w:rPr>
        <w:t>通用布缆系统工程</w:t>
      </w:r>
    </w:p>
    <w:p w14:paraId="2766668F">
      <w:pPr>
        <w:pStyle w:val="2"/>
        <w:spacing w:before="252" w:line="222" w:lineRule="auto"/>
        <w:ind w:left="412"/>
        <w:rPr>
          <w:rFonts w:ascii="黑体" w:hAnsi="黑体" w:eastAsia="黑体" w:cs="黑体"/>
          <w:sz w:val="19"/>
          <w:szCs w:val="19"/>
        </w:rPr>
      </w:pPr>
      <w:r>
        <w:rPr>
          <w:b/>
          <w:bCs/>
          <w:color w:val="0088F0"/>
          <w:spacing w:val="8"/>
          <w:sz w:val="19"/>
          <w:szCs w:val="19"/>
        </w:rPr>
        <w:t>1.</w:t>
      </w:r>
      <w:r>
        <w:rPr>
          <w:rFonts w:ascii="黑体" w:hAnsi="黑体" w:eastAsia="黑体" w:cs="黑体"/>
          <w:b/>
          <w:bCs/>
          <w:color w:val="0088F0"/>
          <w:spacing w:val="8"/>
          <w:sz w:val="19"/>
          <w:szCs w:val="19"/>
        </w:rPr>
        <w:t>设计阶段监理内容</w:t>
      </w:r>
    </w:p>
    <w:p w14:paraId="1E4A3F83">
      <w:pPr>
        <w:pStyle w:val="2"/>
        <w:spacing w:before="144" w:line="219" w:lineRule="auto"/>
        <w:ind w:left="409"/>
        <w:rPr>
          <w:sz w:val="19"/>
          <w:szCs w:val="19"/>
        </w:rPr>
      </w:pPr>
      <w:r>
        <w:rPr>
          <w:spacing w:val="7"/>
          <w:sz w:val="19"/>
          <w:szCs w:val="19"/>
        </w:rPr>
        <w:t>通用布缆系统工程设计阶段的监理内容具体如下：</w:t>
      </w:r>
    </w:p>
    <w:p w14:paraId="660FCC35">
      <w:pPr>
        <w:pStyle w:val="2"/>
        <w:spacing w:before="85" w:line="219" w:lineRule="auto"/>
        <w:ind w:left="409"/>
        <w:rPr>
          <w:sz w:val="19"/>
          <w:szCs w:val="19"/>
        </w:rPr>
      </w:pPr>
      <w:r>
        <w:rPr>
          <w:spacing w:val="11"/>
          <w:sz w:val="19"/>
          <w:szCs w:val="19"/>
        </w:rPr>
        <w:t>(1)设计需求说明书的审核。具体包括：</w:t>
      </w:r>
    </w:p>
    <w:p w14:paraId="587848B9">
      <w:pPr>
        <w:pStyle w:val="2"/>
        <w:spacing w:before="83" w:line="217" w:lineRule="auto"/>
        <w:ind w:left="409"/>
        <w:rPr>
          <w:sz w:val="19"/>
          <w:szCs w:val="19"/>
        </w:rPr>
      </w:pPr>
      <w:r>
        <w:rPr>
          <w:spacing w:val="5"/>
          <w:sz w:val="19"/>
          <w:szCs w:val="19"/>
        </w:rPr>
        <w:t>①通用布缆系统结构；</w:t>
      </w:r>
    </w:p>
    <w:p w14:paraId="5BF641E2">
      <w:pPr>
        <w:pStyle w:val="2"/>
        <w:spacing w:before="87" w:line="217" w:lineRule="auto"/>
        <w:ind w:left="409"/>
        <w:rPr>
          <w:sz w:val="19"/>
          <w:szCs w:val="19"/>
        </w:rPr>
      </w:pPr>
      <w:r>
        <w:rPr>
          <w:spacing w:val="2"/>
          <w:sz w:val="19"/>
          <w:szCs w:val="19"/>
        </w:rPr>
        <w:t>②线缆的要求；</w:t>
      </w:r>
    </w:p>
    <w:p w14:paraId="2F02C1F5">
      <w:pPr>
        <w:pStyle w:val="2"/>
        <w:spacing w:before="87" w:line="217" w:lineRule="auto"/>
        <w:ind w:left="409"/>
        <w:rPr>
          <w:sz w:val="19"/>
          <w:szCs w:val="19"/>
        </w:rPr>
      </w:pPr>
      <w:r>
        <w:rPr>
          <w:spacing w:val="3"/>
          <w:sz w:val="19"/>
          <w:szCs w:val="19"/>
        </w:rPr>
        <w:t>③室内外管线路由；</w:t>
      </w:r>
    </w:p>
    <w:p w14:paraId="33DAE509">
      <w:pPr>
        <w:pStyle w:val="2"/>
        <w:spacing w:before="77" w:line="217" w:lineRule="auto"/>
        <w:ind w:left="409"/>
        <w:rPr>
          <w:sz w:val="19"/>
          <w:szCs w:val="19"/>
        </w:rPr>
      </w:pPr>
      <w:r>
        <w:rPr>
          <w:spacing w:val="5"/>
          <w:sz w:val="19"/>
          <w:szCs w:val="19"/>
        </w:rPr>
        <w:t>④配线间的布局及位置；</w:t>
      </w:r>
    </w:p>
    <w:p w14:paraId="709941CD">
      <w:pPr>
        <w:pStyle w:val="2"/>
        <w:spacing w:before="86" w:line="217" w:lineRule="auto"/>
        <w:ind w:left="409"/>
        <w:rPr>
          <w:sz w:val="19"/>
          <w:szCs w:val="19"/>
        </w:rPr>
      </w:pPr>
      <w:r>
        <w:rPr>
          <w:spacing w:val="3"/>
          <w:sz w:val="19"/>
          <w:szCs w:val="19"/>
        </w:rPr>
        <w:t>⑤信息插座的位置；</w:t>
      </w:r>
    </w:p>
    <w:p w14:paraId="45B5B632">
      <w:pPr>
        <w:pStyle w:val="2"/>
        <w:spacing w:before="87" w:line="217" w:lineRule="auto"/>
        <w:ind w:left="409"/>
        <w:rPr>
          <w:sz w:val="19"/>
          <w:szCs w:val="19"/>
        </w:rPr>
      </w:pPr>
      <w:r>
        <w:rPr>
          <w:spacing w:val="2"/>
          <w:sz w:val="19"/>
          <w:szCs w:val="19"/>
        </w:rPr>
        <w:t>⑥电源的要求；</w:t>
      </w:r>
    </w:p>
    <w:p w14:paraId="76724008">
      <w:pPr>
        <w:pStyle w:val="2"/>
        <w:spacing w:before="77" w:line="217" w:lineRule="auto"/>
        <w:ind w:left="409"/>
        <w:rPr>
          <w:sz w:val="19"/>
          <w:szCs w:val="19"/>
        </w:rPr>
      </w:pPr>
      <w:r>
        <w:rPr>
          <w:spacing w:val="8"/>
          <w:sz w:val="19"/>
          <w:szCs w:val="19"/>
        </w:rPr>
        <w:t>⑦无线接入用户数、接入速率、信号强度、无线设备位置等。</w:t>
      </w:r>
    </w:p>
    <w:p w14:paraId="0828F97E">
      <w:pPr>
        <w:pStyle w:val="2"/>
        <w:spacing w:before="89" w:line="220" w:lineRule="auto"/>
        <w:ind w:left="409"/>
        <w:rPr>
          <w:sz w:val="19"/>
          <w:szCs w:val="19"/>
        </w:rPr>
      </w:pPr>
      <w:r>
        <w:rPr>
          <w:spacing w:val="10"/>
          <w:sz w:val="19"/>
          <w:szCs w:val="19"/>
        </w:rPr>
        <w:t>(2)工程设计方案的审核。具体包括：</w:t>
      </w:r>
    </w:p>
    <w:p w14:paraId="0C105A63">
      <w:pPr>
        <w:pStyle w:val="2"/>
        <w:spacing w:before="81" w:line="217" w:lineRule="auto"/>
        <w:ind w:left="409"/>
        <w:rPr>
          <w:sz w:val="19"/>
          <w:szCs w:val="19"/>
        </w:rPr>
      </w:pPr>
      <w:r>
        <w:rPr>
          <w:spacing w:val="8"/>
          <w:sz w:val="19"/>
          <w:szCs w:val="19"/>
        </w:rPr>
        <w:t>①承建单位应提交经技术负责人审核签认的工程设计方案。</w:t>
      </w:r>
    </w:p>
    <w:p w14:paraId="7DD8119F">
      <w:pPr>
        <w:pStyle w:val="2"/>
        <w:spacing w:before="77" w:line="217" w:lineRule="auto"/>
        <w:ind w:left="409"/>
        <w:rPr>
          <w:sz w:val="19"/>
          <w:szCs w:val="19"/>
        </w:rPr>
      </w:pPr>
      <w:r>
        <w:rPr>
          <w:spacing w:val="5"/>
          <w:sz w:val="19"/>
          <w:szCs w:val="19"/>
        </w:rPr>
        <w:t>②工程设计方案至少应包括以下内容：</w:t>
      </w:r>
    </w:p>
    <w:p w14:paraId="36AC47F4">
      <w:pPr>
        <w:pStyle w:val="2"/>
        <w:spacing w:before="88" w:line="219" w:lineRule="auto"/>
        <w:ind w:left="409"/>
        <w:rPr>
          <w:sz w:val="19"/>
          <w:szCs w:val="19"/>
        </w:rPr>
      </w:pPr>
      <w:r>
        <w:rPr>
          <w:spacing w:val="10"/>
          <w:sz w:val="19"/>
          <w:szCs w:val="19"/>
        </w:rPr>
        <w:t>●工程名称、范围、内容、目标；</w:t>
      </w:r>
    </w:p>
    <w:p w14:paraId="7AD7BDE8">
      <w:pPr>
        <w:pStyle w:val="2"/>
        <w:spacing w:before="84" w:line="219" w:lineRule="auto"/>
        <w:ind w:left="409"/>
        <w:rPr>
          <w:sz w:val="19"/>
          <w:szCs w:val="19"/>
        </w:rPr>
      </w:pPr>
      <w:r>
        <w:rPr>
          <w:spacing w:val="8"/>
          <w:sz w:val="19"/>
          <w:szCs w:val="19"/>
        </w:rPr>
        <w:t>●</w:t>
      </w:r>
      <w:r>
        <w:rPr>
          <w:spacing w:val="-50"/>
          <w:sz w:val="19"/>
          <w:szCs w:val="19"/>
        </w:rPr>
        <w:t xml:space="preserve"> </w:t>
      </w:r>
      <w:r>
        <w:rPr>
          <w:spacing w:val="8"/>
          <w:sz w:val="19"/>
          <w:szCs w:val="19"/>
        </w:rPr>
        <w:t>设计依据；</w:t>
      </w:r>
    </w:p>
    <w:p w14:paraId="068A614F">
      <w:pPr>
        <w:pStyle w:val="2"/>
        <w:spacing w:before="104" w:line="219" w:lineRule="auto"/>
        <w:ind w:left="409"/>
        <w:rPr>
          <w:sz w:val="19"/>
          <w:szCs w:val="19"/>
        </w:rPr>
      </w:pPr>
      <w:r>
        <w:rPr>
          <w:spacing w:val="12"/>
          <w:sz w:val="19"/>
          <w:szCs w:val="19"/>
        </w:rPr>
        <w:t>●线缆材料选择说明；</w:t>
      </w:r>
    </w:p>
    <w:p w14:paraId="611073E9">
      <w:pPr>
        <w:spacing w:line="219" w:lineRule="auto"/>
        <w:rPr>
          <w:sz w:val="19"/>
          <w:szCs w:val="19"/>
        </w:rPr>
        <w:sectPr>
          <w:pgSz w:w="10290" w:h="13310"/>
          <w:pgMar w:top="399" w:right="548" w:bottom="400" w:left="1100" w:header="0" w:footer="0" w:gutter="0"/>
          <w:cols w:space="720" w:num="1"/>
        </w:sectPr>
      </w:pPr>
    </w:p>
    <w:p w14:paraId="31B3E511">
      <w:pPr>
        <w:pStyle w:val="2"/>
        <w:spacing w:before="67" w:line="219" w:lineRule="auto"/>
        <w:rPr>
          <w:sz w:val="19"/>
          <w:szCs w:val="19"/>
        </w:rPr>
      </w:pPr>
      <w:bookmarkStart w:id="721" w:name="bookmark706"/>
      <w:bookmarkEnd w:id="721"/>
      <w:r>
        <w:rPr>
          <w:rFonts w:ascii="Times New Roman" w:hAnsi="Times New Roman" w:eastAsia="Times New Roman" w:cs="Times New Roman"/>
          <w:spacing w:val="4"/>
          <w:position w:val="1"/>
          <w:sz w:val="16"/>
          <w:szCs w:val="16"/>
        </w:rPr>
        <w:t>486</w:t>
      </w:r>
      <w:r>
        <w:rPr>
          <w:rFonts w:ascii="Times New Roman" w:hAnsi="Times New Roman" w:eastAsia="Times New Roman" w:cs="Times New Roman"/>
          <w:position w:val="1"/>
          <w:sz w:val="16"/>
          <w:szCs w:val="16"/>
        </w:rPr>
        <w:t xml:space="preserve">                   </w:t>
      </w:r>
      <w:r>
        <w:rPr>
          <w:spacing w:val="4"/>
          <w:sz w:val="19"/>
          <w:szCs w:val="19"/>
        </w:rPr>
        <w:t>信息系统监理师教程(第2版)</w:t>
      </w:r>
    </w:p>
    <w:p w14:paraId="33BBA2BB">
      <w:pPr>
        <w:spacing w:line="321" w:lineRule="auto"/>
        <w:rPr>
          <w:rFonts w:ascii="Arial"/>
          <w:sz w:val="21"/>
        </w:rPr>
      </w:pPr>
    </w:p>
    <w:p w14:paraId="072C8222">
      <w:pPr>
        <w:pStyle w:val="2"/>
        <w:spacing w:before="62" w:line="221" w:lineRule="auto"/>
        <w:ind w:left="790"/>
        <w:rPr>
          <w:sz w:val="19"/>
          <w:szCs w:val="19"/>
        </w:rPr>
      </w:pPr>
      <w:r>
        <w:rPr>
          <w:spacing w:val="11"/>
          <w:sz w:val="19"/>
          <w:szCs w:val="19"/>
        </w:rPr>
        <w:t>●施工工艺要求；</w:t>
      </w:r>
    </w:p>
    <w:p w14:paraId="126D6EB5">
      <w:pPr>
        <w:pStyle w:val="2"/>
        <w:spacing w:before="121" w:line="219" w:lineRule="auto"/>
        <w:ind w:left="790"/>
        <w:rPr>
          <w:sz w:val="19"/>
          <w:szCs w:val="19"/>
        </w:rPr>
      </w:pPr>
      <w:r>
        <w:rPr>
          <w:spacing w:val="11"/>
          <w:sz w:val="19"/>
          <w:szCs w:val="19"/>
        </w:rPr>
        <w:t>●测试验收方案；</w:t>
      </w:r>
    </w:p>
    <w:p w14:paraId="1CD6AFE0">
      <w:pPr>
        <w:pStyle w:val="2"/>
        <w:spacing w:before="93" w:line="219" w:lineRule="auto"/>
        <w:ind w:left="790"/>
        <w:rPr>
          <w:sz w:val="19"/>
          <w:szCs w:val="19"/>
        </w:rPr>
      </w:pPr>
      <w:r>
        <w:rPr>
          <w:spacing w:val="17"/>
          <w:sz w:val="19"/>
          <w:szCs w:val="19"/>
        </w:rPr>
        <w:t>●设计图纸(例如系统结构图、平面布置图等)。</w:t>
      </w:r>
    </w:p>
    <w:p w14:paraId="4B659353">
      <w:pPr>
        <w:pStyle w:val="2"/>
        <w:spacing w:before="104" w:line="217" w:lineRule="auto"/>
        <w:ind w:left="790"/>
        <w:rPr>
          <w:sz w:val="19"/>
          <w:szCs w:val="19"/>
        </w:rPr>
      </w:pPr>
      <w:r>
        <w:rPr>
          <w:spacing w:val="8"/>
          <w:sz w:val="19"/>
          <w:szCs w:val="19"/>
        </w:rPr>
        <w:t>③根据招标文件、投标文件、设计需求说明书等，审核工程设计方案的如下方面：</w:t>
      </w:r>
    </w:p>
    <w:p w14:paraId="0B041162">
      <w:pPr>
        <w:pStyle w:val="2"/>
        <w:spacing w:before="87" w:line="219" w:lineRule="auto"/>
        <w:ind w:left="790"/>
        <w:rPr>
          <w:sz w:val="19"/>
          <w:szCs w:val="19"/>
        </w:rPr>
      </w:pPr>
      <w:r>
        <w:rPr>
          <w:spacing w:val="10"/>
          <w:sz w:val="19"/>
          <w:szCs w:val="19"/>
        </w:rPr>
        <w:t>●工程设计所依据的标准及文件应为现行可用，且符合</w:t>
      </w:r>
      <w:r>
        <w:rPr>
          <w:spacing w:val="9"/>
          <w:sz w:val="19"/>
          <w:szCs w:val="19"/>
        </w:rPr>
        <w:t>业主单位需求；</w:t>
      </w:r>
    </w:p>
    <w:p w14:paraId="526E94DF">
      <w:pPr>
        <w:pStyle w:val="2"/>
        <w:spacing w:before="106" w:line="219" w:lineRule="auto"/>
        <w:ind w:left="790"/>
        <w:rPr>
          <w:sz w:val="19"/>
          <w:szCs w:val="19"/>
        </w:rPr>
      </w:pPr>
      <w:r>
        <w:rPr>
          <w:spacing w:val="10"/>
          <w:sz w:val="19"/>
          <w:szCs w:val="19"/>
        </w:rPr>
        <w:t>●工程设计应满足工程应用需求，并符合相关设计规范要求；</w:t>
      </w:r>
    </w:p>
    <w:p w14:paraId="7EA9839B">
      <w:pPr>
        <w:pStyle w:val="2"/>
        <w:spacing w:before="93" w:line="219" w:lineRule="auto"/>
        <w:ind w:left="790"/>
        <w:rPr>
          <w:sz w:val="19"/>
          <w:szCs w:val="19"/>
        </w:rPr>
      </w:pPr>
      <w:r>
        <w:rPr>
          <w:spacing w:val="11"/>
          <w:sz w:val="19"/>
          <w:szCs w:val="19"/>
        </w:rPr>
        <w:t>●通用布缆系统设计一般包括园区主干、楼宇主干、水</w:t>
      </w:r>
      <w:r>
        <w:rPr>
          <w:spacing w:val="10"/>
          <w:sz w:val="19"/>
          <w:szCs w:val="19"/>
        </w:rPr>
        <w:t>平布缆三个布缆子系统的设计；</w:t>
      </w:r>
    </w:p>
    <w:p w14:paraId="424985AA">
      <w:pPr>
        <w:pStyle w:val="2"/>
        <w:spacing w:before="95" w:line="219" w:lineRule="auto"/>
        <w:ind w:left="790"/>
        <w:rPr>
          <w:sz w:val="19"/>
          <w:szCs w:val="19"/>
        </w:rPr>
      </w:pPr>
      <w:r>
        <w:rPr>
          <w:spacing w:val="10"/>
          <w:sz w:val="19"/>
          <w:szCs w:val="19"/>
        </w:rPr>
        <w:t>●通用布缆系统的结构应能支持总线、星形、环形等不</w:t>
      </w:r>
      <w:r>
        <w:rPr>
          <w:spacing w:val="9"/>
          <w:sz w:val="19"/>
          <w:szCs w:val="19"/>
        </w:rPr>
        <w:t>同的拓扑结构；</w:t>
      </w:r>
    </w:p>
    <w:p w14:paraId="281FC066">
      <w:pPr>
        <w:pStyle w:val="2"/>
        <w:spacing w:before="115" w:line="219" w:lineRule="auto"/>
        <w:ind w:left="790"/>
        <w:rPr>
          <w:sz w:val="19"/>
          <w:szCs w:val="19"/>
        </w:rPr>
      </w:pPr>
      <w:r>
        <w:rPr>
          <w:spacing w:val="9"/>
          <w:sz w:val="19"/>
          <w:szCs w:val="19"/>
        </w:rPr>
        <w:t>●线缆材料类别和型号选择符合工程应用需求；</w:t>
      </w:r>
    </w:p>
    <w:p w14:paraId="5BBBB06E">
      <w:pPr>
        <w:pStyle w:val="2"/>
        <w:spacing w:before="96" w:line="219" w:lineRule="auto"/>
        <w:ind w:left="790"/>
        <w:rPr>
          <w:sz w:val="19"/>
          <w:szCs w:val="19"/>
        </w:rPr>
      </w:pPr>
      <w:r>
        <w:rPr>
          <w:spacing w:val="10"/>
          <w:sz w:val="19"/>
          <w:szCs w:val="19"/>
        </w:rPr>
        <w:t>●设备间内的环境要求明确且符合设计规范；</w:t>
      </w:r>
    </w:p>
    <w:p w14:paraId="054D4245">
      <w:pPr>
        <w:pStyle w:val="2"/>
        <w:spacing w:before="104" w:line="219" w:lineRule="auto"/>
        <w:ind w:left="790"/>
        <w:rPr>
          <w:sz w:val="19"/>
          <w:szCs w:val="19"/>
        </w:rPr>
      </w:pPr>
      <w:r>
        <w:rPr>
          <w:spacing w:val="10"/>
          <w:sz w:val="19"/>
          <w:szCs w:val="19"/>
        </w:rPr>
        <w:t>●屏蔽系统的接地措施符合设计规范或要求；</w:t>
      </w:r>
    </w:p>
    <w:p w14:paraId="250DED4C">
      <w:pPr>
        <w:pStyle w:val="2"/>
        <w:spacing w:before="105" w:line="219" w:lineRule="auto"/>
        <w:ind w:left="790"/>
        <w:rPr>
          <w:sz w:val="19"/>
          <w:szCs w:val="19"/>
        </w:rPr>
      </w:pPr>
      <w:r>
        <w:rPr>
          <w:spacing w:val="9"/>
          <w:sz w:val="19"/>
          <w:szCs w:val="19"/>
        </w:rPr>
        <w:t>●关键施工点的工艺流程符合施工规范或要求；</w:t>
      </w:r>
    </w:p>
    <w:p w14:paraId="4F53C808">
      <w:pPr>
        <w:pStyle w:val="2"/>
        <w:spacing w:before="94" w:line="219" w:lineRule="auto"/>
        <w:ind w:left="790"/>
        <w:rPr>
          <w:sz w:val="19"/>
          <w:szCs w:val="19"/>
        </w:rPr>
      </w:pPr>
      <w:r>
        <w:rPr>
          <w:spacing w:val="10"/>
          <w:sz w:val="19"/>
          <w:szCs w:val="19"/>
        </w:rPr>
        <w:t>●隐蔽工程实施方案应明确；</w:t>
      </w:r>
    </w:p>
    <w:p w14:paraId="1257CD18">
      <w:pPr>
        <w:pStyle w:val="2"/>
        <w:spacing w:before="95" w:line="219" w:lineRule="auto"/>
        <w:ind w:left="790"/>
        <w:rPr>
          <w:sz w:val="19"/>
          <w:szCs w:val="19"/>
        </w:rPr>
      </w:pPr>
      <w:r>
        <w:rPr>
          <w:spacing w:val="9"/>
          <w:sz w:val="19"/>
          <w:szCs w:val="19"/>
        </w:rPr>
        <w:t>●</w:t>
      </w:r>
      <w:r>
        <w:rPr>
          <w:spacing w:val="-49"/>
          <w:sz w:val="19"/>
          <w:szCs w:val="19"/>
        </w:rPr>
        <w:t xml:space="preserve"> </w:t>
      </w:r>
      <w:r>
        <w:rPr>
          <w:spacing w:val="9"/>
          <w:sz w:val="19"/>
          <w:szCs w:val="19"/>
        </w:rPr>
        <w:t>图纸与实际环境的相符性。</w:t>
      </w:r>
    </w:p>
    <w:p w14:paraId="722D8DF4">
      <w:pPr>
        <w:pStyle w:val="2"/>
        <w:spacing w:before="92" w:line="217" w:lineRule="auto"/>
        <w:ind w:left="790"/>
        <w:rPr>
          <w:sz w:val="19"/>
          <w:szCs w:val="19"/>
        </w:rPr>
      </w:pPr>
      <w:r>
        <w:rPr>
          <w:spacing w:val="7"/>
          <w:sz w:val="19"/>
          <w:szCs w:val="19"/>
        </w:rPr>
        <w:t>④审查工程设计方案中无线局域网部署技术关键点，包括：</w:t>
      </w:r>
    </w:p>
    <w:p w14:paraId="6596CDC2">
      <w:pPr>
        <w:pStyle w:val="2"/>
        <w:spacing w:before="99" w:line="219" w:lineRule="auto"/>
        <w:ind w:left="790"/>
        <w:rPr>
          <w:sz w:val="19"/>
          <w:szCs w:val="19"/>
        </w:rPr>
      </w:pPr>
      <w:r>
        <w:rPr>
          <w:spacing w:val="10"/>
          <w:sz w:val="19"/>
          <w:szCs w:val="19"/>
        </w:rPr>
        <w:t>●设备与天线的选型符合标准规范；</w:t>
      </w:r>
    </w:p>
    <w:p w14:paraId="4464FB56">
      <w:pPr>
        <w:pStyle w:val="2"/>
        <w:spacing w:before="105" w:line="219" w:lineRule="auto"/>
        <w:ind w:left="790"/>
        <w:rPr>
          <w:sz w:val="19"/>
          <w:szCs w:val="19"/>
        </w:rPr>
      </w:pPr>
      <w:r>
        <w:rPr>
          <w:spacing w:val="11"/>
          <w:sz w:val="19"/>
          <w:szCs w:val="19"/>
        </w:rPr>
        <w:t>●每个无线点的天线增益、高度、方位及信道的选择符</w:t>
      </w:r>
      <w:r>
        <w:rPr>
          <w:spacing w:val="10"/>
          <w:sz w:val="19"/>
          <w:szCs w:val="19"/>
        </w:rPr>
        <w:t>合设计规范；</w:t>
      </w:r>
    </w:p>
    <w:p w14:paraId="55849E87">
      <w:pPr>
        <w:pStyle w:val="2"/>
        <w:spacing w:before="95" w:line="284" w:lineRule="auto"/>
        <w:ind w:left="1070" w:right="88" w:hanging="280"/>
        <w:rPr>
          <w:sz w:val="16"/>
          <w:szCs w:val="16"/>
        </w:rPr>
      </w:pPr>
      <w:r>
        <w:rPr>
          <w:spacing w:val="12"/>
          <w:sz w:val="19"/>
          <w:szCs w:val="19"/>
        </w:rPr>
        <w:t>●天线架设位置应合适，接收发射信号方向上应无遮挡物，所有天线位置应在避雷针的保</w:t>
      </w:r>
      <w:r>
        <w:rPr>
          <w:spacing w:val="7"/>
          <w:sz w:val="19"/>
          <w:szCs w:val="19"/>
        </w:rPr>
        <w:t xml:space="preserve"> </w:t>
      </w:r>
      <w:r>
        <w:rPr>
          <w:spacing w:val="-12"/>
          <w:sz w:val="16"/>
          <w:szCs w:val="16"/>
        </w:rPr>
        <w:t>护</w:t>
      </w:r>
      <w:r>
        <w:rPr>
          <w:spacing w:val="-20"/>
          <w:sz w:val="16"/>
          <w:szCs w:val="16"/>
        </w:rPr>
        <w:t xml:space="preserve"> </w:t>
      </w:r>
      <w:r>
        <w:rPr>
          <w:spacing w:val="-12"/>
          <w:sz w:val="16"/>
          <w:szCs w:val="16"/>
        </w:rPr>
        <w:t>范</w:t>
      </w:r>
      <w:r>
        <w:rPr>
          <w:spacing w:val="-11"/>
          <w:sz w:val="16"/>
          <w:szCs w:val="16"/>
        </w:rPr>
        <w:t xml:space="preserve"> </w:t>
      </w:r>
      <w:r>
        <w:rPr>
          <w:spacing w:val="-12"/>
          <w:sz w:val="16"/>
          <w:szCs w:val="16"/>
        </w:rPr>
        <w:t>围 内</w:t>
      </w:r>
      <w:r>
        <w:rPr>
          <w:spacing w:val="-31"/>
          <w:sz w:val="16"/>
          <w:szCs w:val="16"/>
        </w:rPr>
        <w:t xml:space="preserve"> </w:t>
      </w:r>
      <w:r>
        <w:rPr>
          <w:spacing w:val="-12"/>
          <w:sz w:val="16"/>
          <w:szCs w:val="16"/>
        </w:rPr>
        <w:t>；</w:t>
      </w:r>
    </w:p>
    <w:p w14:paraId="646840DB">
      <w:pPr>
        <w:pStyle w:val="2"/>
        <w:spacing w:before="121" w:line="219" w:lineRule="auto"/>
        <w:ind w:left="790"/>
        <w:rPr>
          <w:sz w:val="19"/>
          <w:szCs w:val="19"/>
        </w:rPr>
      </w:pPr>
      <w:r>
        <w:rPr>
          <w:spacing w:val="11"/>
          <w:sz w:val="19"/>
          <w:szCs w:val="19"/>
        </w:rPr>
        <w:t>●架设天线的支架或铁塔应与接地系统良好连接，天线</w:t>
      </w:r>
      <w:r>
        <w:rPr>
          <w:spacing w:val="10"/>
          <w:sz w:val="19"/>
          <w:szCs w:val="19"/>
        </w:rPr>
        <w:t>接地电阻满足标准要求；</w:t>
      </w:r>
    </w:p>
    <w:p w14:paraId="3A0957CF">
      <w:pPr>
        <w:pStyle w:val="2"/>
        <w:spacing w:before="83" w:line="287" w:lineRule="auto"/>
        <w:ind w:left="1070" w:right="87" w:hanging="280"/>
        <w:rPr>
          <w:sz w:val="19"/>
          <w:szCs w:val="19"/>
        </w:rPr>
      </w:pPr>
      <w:r>
        <w:rPr>
          <w:spacing w:val="12"/>
          <w:sz w:val="19"/>
          <w:szCs w:val="19"/>
        </w:rPr>
        <w:t>●室内设计方案应包括无线点部署位置图，考虑无线电信号覆盖区域接入信号强度、接入</w:t>
      </w:r>
      <w:r>
        <w:rPr>
          <w:spacing w:val="8"/>
          <w:sz w:val="19"/>
          <w:szCs w:val="19"/>
        </w:rPr>
        <w:t xml:space="preserve"> </w:t>
      </w:r>
      <w:r>
        <w:rPr>
          <w:spacing w:val="10"/>
          <w:sz w:val="19"/>
          <w:szCs w:val="19"/>
        </w:rPr>
        <w:t>容量和接入速率的要求。如有可能，应提供无线信号覆盖场强模拟示意图，应避免同频</w:t>
      </w:r>
      <w:r>
        <w:rPr>
          <w:spacing w:val="6"/>
          <w:sz w:val="19"/>
          <w:szCs w:val="19"/>
        </w:rPr>
        <w:t xml:space="preserve"> </w:t>
      </w:r>
      <w:r>
        <w:rPr>
          <w:spacing w:val="4"/>
          <w:sz w:val="19"/>
          <w:szCs w:val="19"/>
        </w:rPr>
        <w:t>无线点之间的干扰。</w:t>
      </w:r>
    </w:p>
    <w:p w14:paraId="1E89EFD5">
      <w:pPr>
        <w:pStyle w:val="2"/>
        <w:spacing w:before="202" w:line="222" w:lineRule="auto"/>
        <w:ind w:left="792"/>
        <w:rPr>
          <w:rFonts w:ascii="黑体" w:hAnsi="黑体" w:eastAsia="黑体" w:cs="黑体"/>
          <w:sz w:val="19"/>
          <w:szCs w:val="19"/>
        </w:rPr>
      </w:pPr>
      <w:r>
        <w:rPr>
          <w:b/>
          <w:bCs/>
          <w:color w:val="0071D4"/>
          <w:spacing w:val="8"/>
          <w:sz w:val="19"/>
          <w:szCs w:val="19"/>
        </w:rPr>
        <w:t>2.</w:t>
      </w:r>
      <w:r>
        <w:rPr>
          <w:rFonts w:ascii="黑体" w:hAnsi="黑体" w:eastAsia="黑体" w:cs="黑体"/>
          <w:b/>
          <w:bCs/>
          <w:color w:val="0071D4"/>
          <w:spacing w:val="8"/>
          <w:sz w:val="19"/>
          <w:szCs w:val="19"/>
        </w:rPr>
        <w:t>实施阶段监理内容</w:t>
      </w:r>
    </w:p>
    <w:p w14:paraId="2E37E86A">
      <w:pPr>
        <w:pStyle w:val="2"/>
        <w:spacing w:before="134" w:line="219" w:lineRule="auto"/>
        <w:ind w:left="790"/>
        <w:rPr>
          <w:sz w:val="19"/>
          <w:szCs w:val="19"/>
        </w:rPr>
      </w:pPr>
      <w:r>
        <w:rPr>
          <w:spacing w:val="7"/>
          <w:sz w:val="19"/>
          <w:szCs w:val="19"/>
        </w:rPr>
        <w:t>通用布缆系统工程实施阶段的监理内容具体如下：</w:t>
      </w:r>
    </w:p>
    <w:p w14:paraId="2D573F0A">
      <w:pPr>
        <w:pStyle w:val="2"/>
        <w:spacing w:before="86" w:line="220" w:lineRule="auto"/>
        <w:ind w:left="790"/>
        <w:rPr>
          <w:sz w:val="19"/>
          <w:szCs w:val="19"/>
        </w:rPr>
      </w:pPr>
      <w:r>
        <w:rPr>
          <w:spacing w:val="11"/>
          <w:sz w:val="19"/>
          <w:szCs w:val="19"/>
        </w:rPr>
        <w:t>(1)工程实施组织设计方案的审核。具体</w:t>
      </w:r>
      <w:r>
        <w:rPr>
          <w:spacing w:val="10"/>
          <w:sz w:val="19"/>
          <w:szCs w:val="19"/>
        </w:rPr>
        <w:t>包括：</w:t>
      </w:r>
    </w:p>
    <w:p w14:paraId="3AFAEF5A">
      <w:pPr>
        <w:pStyle w:val="2"/>
        <w:spacing w:before="110" w:line="266" w:lineRule="auto"/>
        <w:ind w:left="390" w:right="45" w:firstLine="399"/>
        <w:rPr>
          <w:sz w:val="16"/>
          <w:szCs w:val="16"/>
        </w:rPr>
      </w:pPr>
      <w:r>
        <w:rPr>
          <w:spacing w:val="13"/>
          <w:sz w:val="19"/>
          <w:szCs w:val="19"/>
        </w:rPr>
        <w:t>①施工组织结构配置的合理性，配备的项目经理、安全员和质量检查员等应符合工程建设</w:t>
      </w:r>
      <w:r>
        <w:rPr>
          <w:spacing w:val="11"/>
          <w:sz w:val="19"/>
          <w:szCs w:val="19"/>
        </w:rPr>
        <w:t xml:space="preserve"> </w:t>
      </w:r>
      <w:r>
        <w:rPr>
          <w:spacing w:val="-5"/>
          <w:sz w:val="16"/>
          <w:szCs w:val="16"/>
        </w:rPr>
        <w:t>要</w:t>
      </w:r>
      <w:r>
        <w:rPr>
          <w:spacing w:val="-16"/>
          <w:sz w:val="16"/>
          <w:szCs w:val="16"/>
        </w:rPr>
        <w:t xml:space="preserve"> </w:t>
      </w:r>
      <w:r>
        <w:rPr>
          <w:spacing w:val="-5"/>
          <w:sz w:val="16"/>
          <w:szCs w:val="16"/>
        </w:rPr>
        <w:t>求</w:t>
      </w:r>
      <w:r>
        <w:rPr>
          <w:spacing w:val="-23"/>
          <w:sz w:val="16"/>
          <w:szCs w:val="16"/>
        </w:rPr>
        <w:t xml:space="preserve"> </w:t>
      </w:r>
      <w:r>
        <w:rPr>
          <w:spacing w:val="-5"/>
          <w:sz w:val="16"/>
          <w:szCs w:val="16"/>
        </w:rPr>
        <w:t>；</w:t>
      </w:r>
    </w:p>
    <w:p w14:paraId="70B39D61">
      <w:pPr>
        <w:pStyle w:val="2"/>
        <w:spacing w:before="97" w:line="217" w:lineRule="auto"/>
        <w:ind w:left="790"/>
        <w:rPr>
          <w:sz w:val="19"/>
          <w:szCs w:val="19"/>
        </w:rPr>
      </w:pPr>
      <w:r>
        <w:rPr>
          <w:spacing w:val="9"/>
          <w:sz w:val="19"/>
          <w:szCs w:val="19"/>
        </w:rPr>
        <w:t>②施工进度计划应合理，应和其他系统建设的进度计</w:t>
      </w:r>
      <w:r>
        <w:rPr>
          <w:spacing w:val="8"/>
          <w:sz w:val="19"/>
          <w:szCs w:val="19"/>
        </w:rPr>
        <w:t>划协调一致；</w:t>
      </w:r>
    </w:p>
    <w:p w14:paraId="7C01108A">
      <w:pPr>
        <w:pStyle w:val="2"/>
        <w:spacing w:before="86" w:line="217" w:lineRule="auto"/>
        <w:ind w:left="790"/>
        <w:rPr>
          <w:sz w:val="19"/>
          <w:szCs w:val="19"/>
        </w:rPr>
      </w:pPr>
      <w:r>
        <w:rPr>
          <w:spacing w:val="9"/>
          <w:sz w:val="19"/>
          <w:szCs w:val="19"/>
        </w:rPr>
        <w:t>③施工进度计划应包括人力配备计划、设备配备计划、材料供应计划、</w:t>
      </w:r>
      <w:r>
        <w:rPr>
          <w:spacing w:val="8"/>
          <w:sz w:val="19"/>
          <w:szCs w:val="19"/>
        </w:rPr>
        <w:t>实施进度计划等；</w:t>
      </w:r>
    </w:p>
    <w:p w14:paraId="7F0F2DE0">
      <w:pPr>
        <w:pStyle w:val="2"/>
        <w:spacing w:before="77" w:line="217" w:lineRule="auto"/>
        <w:ind w:left="790"/>
        <w:rPr>
          <w:sz w:val="19"/>
          <w:szCs w:val="19"/>
        </w:rPr>
      </w:pPr>
      <w:r>
        <w:rPr>
          <w:spacing w:val="8"/>
          <w:sz w:val="19"/>
          <w:szCs w:val="19"/>
        </w:rPr>
        <w:t>④施工工艺应符合技术规范，工序合理，符合设计方案</w:t>
      </w:r>
      <w:r>
        <w:rPr>
          <w:spacing w:val="7"/>
          <w:sz w:val="19"/>
          <w:szCs w:val="19"/>
        </w:rPr>
        <w:t>要求；</w:t>
      </w:r>
    </w:p>
    <w:p w14:paraId="1E0AAE6D">
      <w:pPr>
        <w:pStyle w:val="2"/>
        <w:spacing w:before="87" w:line="217" w:lineRule="auto"/>
        <w:ind w:left="790"/>
        <w:rPr>
          <w:sz w:val="19"/>
          <w:szCs w:val="19"/>
        </w:rPr>
      </w:pPr>
      <w:r>
        <w:rPr>
          <w:spacing w:val="6"/>
          <w:sz w:val="19"/>
          <w:szCs w:val="19"/>
        </w:rPr>
        <w:t>⑤隐蔽工程工序应合理，有质量检验保证措施；</w:t>
      </w:r>
    </w:p>
    <w:p w14:paraId="3FC9927B">
      <w:pPr>
        <w:pStyle w:val="2"/>
        <w:spacing w:before="86" w:line="217" w:lineRule="auto"/>
        <w:ind w:left="790"/>
        <w:rPr>
          <w:sz w:val="19"/>
          <w:szCs w:val="19"/>
        </w:rPr>
      </w:pPr>
      <w:r>
        <w:rPr>
          <w:spacing w:val="7"/>
          <w:sz w:val="19"/>
          <w:szCs w:val="19"/>
        </w:rPr>
        <w:t>⑥测试仪器设备精度应满足设计方案中规定的测试规范要求；</w:t>
      </w:r>
    </w:p>
    <w:p w14:paraId="61915255">
      <w:pPr>
        <w:pStyle w:val="2"/>
        <w:spacing w:before="77" w:line="217" w:lineRule="auto"/>
        <w:ind w:left="790"/>
        <w:rPr>
          <w:sz w:val="19"/>
          <w:szCs w:val="19"/>
        </w:rPr>
      </w:pPr>
      <w:r>
        <w:rPr>
          <w:spacing w:val="7"/>
          <w:sz w:val="19"/>
          <w:szCs w:val="19"/>
        </w:rPr>
        <w:t>⑦系统维护计划及培训计划合理。</w:t>
      </w:r>
    </w:p>
    <w:p w14:paraId="5CC8293C">
      <w:pPr>
        <w:pStyle w:val="2"/>
        <w:spacing w:before="89" w:line="260" w:lineRule="auto"/>
        <w:ind w:left="390" w:firstLine="399"/>
        <w:rPr>
          <w:sz w:val="19"/>
          <w:szCs w:val="19"/>
        </w:rPr>
      </w:pPr>
      <w:r>
        <w:rPr>
          <w:spacing w:val="17"/>
          <w:sz w:val="19"/>
          <w:szCs w:val="19"/>
        </w:rPr>
        <w:t>(2)工程分包的审核。包括工程分包范围</w:t>
      </w:r>
      <w:r>
        <w:rPr>
          <w:spacing w:val="16"/>
          <w:sz w:val="19"/>
          <w:szCs w:val="19"/>
        </w:rPr>
        <w:t>、质量要求、工期要求、检测验收标准或要求、</w:t>
      </w:r>
      <w:r>
        <w:rPr>
          <w:sz w:val="19"/>
          <w:szCs w:val="19"/>
        </w:rPr>
        <w:t xml:space="preserve"> </w:t>
      </w:r>
      <w:r>
        <w:rPr>
          <w:spacing w:val="8"/>
          <w:sz w:val="19"/>
          <w:szCs w:val="19"/>
        </w:rPr>
        <w:t>分包单位的能力、分包单位的施工组织方案等。</w:t>
      </w:r>
    </w:p>
    <w:p w14:paraId="30A8027F">
      <w:pPr>
        <w:spacing w:line="260" w:lineRule="auto"/>
        <w:rPr>
          <w:sz w:val="19"/>
          <w:szCs w:val="19"/>
        </w:rPr>
        <w:sectPr>
          <w:pgSz w:w="10300" w:h="13390"/>
          <w:pgMar w:top="400" w:right="1054" w:bottom="400" w:left="479" w:header="0" w:footer="0" w:gutter="0"/>
          <w:cols w:space="720" w:num="1"/>
        </w:sectPr>
      </w:pPr>
    </w:p>
    <w:p w14:paraId="01F500BA">
      <w:pPr>
        <w:pStyle w:val="2"/>
        <w:jc w:val="right"/>
        <w:rPr>
          <w:sz w:val="19"/>
          <w:szCs w:val="19"/>
        </w:rPr>
      </w:pPr>
      <w:r>
        <w:rPr>
          <w:spacing w:val="1"/>
          <w:sz w:val="19"/>
          <w:szCs w:val="19"/>
        </w:rPr>
        <w:t>第21章 基础设施工程监理</w:t>
      </w:r>
      <w:r>
        <w:rPr>
          <w:spacing w:val="52"/>
          <w:sz w:val="19"/>
          <w:szCs w:val="19"/>
        </w:rPr>
        <w:t xml:space="preserve"> </w:t>
      </w:r>
      <w:r>
        <w:rPr>
          <w:position w:val="-11"/>
          <w:sz w:val="19"/>
          <w:szCs w:val="19"/>
        </w:rPr>
        <w:drawing>
          <wp:inline distT="0" distB="0" distL="0" distR="0">
            <wp:extent cx="304800" cy="247015"/>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304"/>
                    <a:stretch>
                      <a:fillRect/>
                    </a:stretch>
                  </pic:blipFill>
                  <pic:spPr>
                    <a:xfrm>
                      <a:off x="0" y="0"/>
                      <a:ext cx="304818" cy="247622"/>
                    </a:xfrm>
                    <a:prstGeom prst="rect">
                      <a:avLst/>
                    </a:prstGeom>
                  </pic:spPr>
                </pic:pic>
              </a:graphicData>
            </a:graphic>
          </wp:inline>
        </w:drawing>
      </w:r>
      <w:r>
        <w:rPr>
          <w:rFonts w:ascii="Times New Roman" w:hAnsi="Times New Roman" w:eastAsia="Times New Roman" w:cs="Times New Roman"/>
          <w:spacing w:val="1"/>
          <w:position w:val="1"/>
          <w:sz w:val="19"/>
          <w:szCs w:val="19"/>
        </w:rPr>
        <w:t xml:space="preserve">487   </w:t>
      </w:r>
      <w:r>
        <w:rPr>
          <w:position w:val="-7"/>
          <w:sz w:val="19"/>
          <w:szCs w:val="19"/>
        </w:rPr>
        <w:drawing>
          <wp:inline distT="0" distB="0" distL="0" distR="0">
            <wp:extent cx="292100" cy="196850"/>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305"/>
                    <a:stretch>
                      <a:fillRect/>
                    </a:stretch>
                  </pic:blipFill>
                  <pic:spPr>
                    <a:xfrm>
                      <a:off x="0" y="0"/>
                      <a:ext cx="292141" cy="196864"/>
                    </a:xfrm>
                    <a:prstGeom prst="rect">
                      <a:avLst/>
                    </a:prstGeom>
                  </pic:spPr>
                </pic:pic>
              </a:graphicData>
            </a:graphic>
          </wp:inline>
        </w:drawing>
      </w:r>
    </w:p>
    <w:p w14:paraId="6FCB1792">
      <w:pPr>
        <w:spacing w:line="255" w:lineRule="auto"/>
        <w:rPr>
          <w:rFonts w:ascii="Arial"/>
          <w:sz w:val="21"/>
        </w:rPr>
      </w:pPr>
    </w:p>
    <w:p w14:paraId="628895B1">
      <w:pPr>
        <w:pStyle w:val="2"/>
        <w:spacing w:before="61" w:line="220" w:lineRule="auto"/>
        <w:ind w:left="380"/>
        <w:rPr>
          <w:sz w:val="19"/>
          <w:szCs w:val="19"/>
        </w:rPr>
      </w:pPr>
      <w:r>
        <w:rPr>
          <w:spacing w:val="13"/>
          <w:sz w:val="19"/>
          <w:szCs w:val="19"/>
        </w:rPr>
        <w:t>(3)施工准备的审核。</w:t>
      </w:r>
    </w:p>
    <w:p w14:paraId="408CA6FC">
      <w:pPr>
        <w:pStyle w:val="2"/>
        <w:spacing w:before="92" w:line="305" w:lineRule="auto"/>
        <w:ind w:right="815" w:firstLine="380"/>
        <w:rPr>
          <w:sz w:val="19"/>
          <w:szCs w:val="19"/>
        </w:rPr>
      </w:pPr>
      <w:r>
        <w:rPr>
          <w:spacing w:val="10"/>
          <w:sz w:val="19"/>
          <w:szCs w:val="19"/>
        </w:rPr>
        <w:t>监理机构应及时检查承建单位工程施工准备情况，如满足要求，签认承建单</w:t>
      </w:r>
      <w:r>
        <w:rPr>
          <w:spacing w:val="9"/>
          <w:sz w:val="19"/>
          <w:szCs w:val="19"/>
        </w:rPr>
        <w:t>位的开工申请。</w:t>
      </w:r>
      <w:r>
        <w:rPr>
          <w:sz w:val="19"/>
          <w:szCs w:val="19"/>
        </w:rPr>
        <w:t xml:space="preserve"> </w:t>
      </w:r>
      <w:r>
        <w:rPr>
          <w:spacing w:val="6"/>
          <w:sz w:val="19"/>
          <w:szCs w:val="19"/>
        </w:rPr>
        <w:t>监理机构检查承建单位的施工准备情况，内容如下：</w:t>
      </w:r>
    </w:p>
    <w:p w14:paraId="7E3B7F74">
      <w:pPr>
        <w:pStyle w:val="2"/>
        <w:spacing w:line="217" w:lineRule="auto"/>
        <w:ind w:left="380"/>
        <w:rPr>
          <w:sz w:val="19"/>
          <w:szCs w:val="19"/>
        </w:rPr>
      </w:pPr>
      <w:r>
        <w:rPr>
          <w:spacing w:val="5"/>
          <w:sz w:val="19"/>
          <w:szCs w:val="19"/>
        </w:rPr>
        <w:t>①施工方案签批情况；</w:t>
      </w:r>
    </w:p>
    <w:p w14:paraId="6232EBAA">
      <w:pPr>
        <w:pStyle w:val="2"/>
        <w:spacing w:before="96" w:line="217" w:lineRule="auto"/>
        <w:ind w:left="380"/>
        <w:rPr>
          <w:sz w:val="19"/>
          <w:szCs w:val="19"/>
        </w:rPr>
      </w:pPr>
      <w:r>
        <w:rPr>
          <w:spacing w:val="7"/>
          <w:sz w:val="19"/>
          <w:szCs w:val="19"/>
        </w:rPr>
        <w:t>②关键施工工具、施工人员到位情况；</w:t>
      </w:r>
    </w:p>
    <w:p w14:paraId="746BED03">
      <w:pPr>
        <w:pStyle w:val="2"/>
        <w:spacing w:before="87" w:line="217" w:lineRule="auto"/>
        <w:ind w:left="380"/>
        <w:rPr>
          <w:sz w:val="19"/>
          <w:szCs w:val="19"/>
        </w:rPr>
      </w:pPr>
      <w:r>
        <w:rPr>
          <w:spacing w:val="5"/>
          <w:sz w:val="19"/>
          <w:szCs w:val="19"/>
        </w:rPr>
        <w:t>③关键质量检测设备到位情况；</w:t>
      </w:r>
    </w:p>
    <w:p w14:paraId="43171BEB">
      <w:pPr>
        <w:pStyle w:val="2"/>
        <w:spacing w:before="96" w:line="217" w:lineRule="auto"/>
        <w:ind w:left="380"/>
        <w:rPr>
          <w:sz w:val="19"/>
          <w:szCs w:val="19"/>
        </w:rPr>
      </w:pPr>
      <w:r>
        <w:rPr>
          <w:spacing w:val="6"/>
          <w:sz w:val="19"/>
          <w:szCs w:val="19"/>
        </w:rPr>
        <w:t>④关键线材和连接硬件到货情况；</w:t>
      </w:r>
    </w:p>
    <w:p w14:paraId="06B04BB6">
      <w:pPr>
        <w:pStyle w:val="2"/>
        <w:spacing w:before="87" w:line="217" w:lineRule="auto"/>
        <w:ind w:left="380"/>
        <w:rPr>
          <w:sz w:val="19"/>
          <w:szCs w:val="19"/>
        </w:rPr>
      </w:pPr>
      <w:r>
        <w:rPr>
          <w:spacing w:val="7"/>
          <w:sz w:val="19"/>
          <w:szCs w:val="19"/>
        </w:rPr>
        <w:t>⑤施工安全措施准备情况等。</w:t>
      </w:r>
    </w:p>
    <w:p w14:paraId="229FF024">
      <w:pPr>
        <w:pStyle w:val="2"/>
        <w:spacing w:before="99" w:line="219" w:lineRule="auto"/>
        <w:ind w:left="380"/>
        <w:rPr>
          <w:sz w:val="19"/>
          <w:szCs w:val="19"/>
        </w:rPr>
      </w:pPr>
      <w:r>
        <w:rPr>
          <w:spacing w:val="10"/>
          <w:sz w:val="19"/>
          <w:szCs w:val="19"/>
        </w:rPr>
        <w:t>(4)承建单位质量保证措施的审核。具体包括：</w:t>
      </w:r>
    </w:p>
    <w:p w14:paraId="544004F4">
      <w:pPr>
        <w:pStyle w:val="2"/>
        <w:spacing w:before="82" w:line="217" w:lineRule="auto"/>
        <w:ind w:left="380"/>
        <w:rPr>
          <w:sz w:val="19"/>
          <w:szCs w:val="19"/>
        </w:rPr>
      </w:pPr>
      <w:r>
        <w:rPr>
          <w:spacing w:val="5"/>
          <w:sz w:val="19"/>
          <w:szCs w:val="19"/>
        </w:rPr>
        <w:t>①布缆产品入场质量检查措施；</w:t>
      </w:r>
    </w:p>
    <w:p w14:paraId="74BF993A">
      <w:pPr>
        <w:pStyle w:val="2"/>
        <w:spacing w:before="97" w:line="217" w:lineRule="auto"/>
        <w:ind w:left="380"/>
        <w:rPr>
          <w:sz w:val="19"/>
          <w:szCs w:val="19"/>
        </w:rPr>
      </w:pPr>
      <w:r>
        <w:rPr>
          <w:spacing w:val="5"/>
          <w:sz w:val="19"/>
          <w:szCs w:val="19"/>
        </w:rPr>
        <w:t>②关键施工点的质量检查措施；</w:t>
      </w:r>
    </w:p>
    <w:p w14:paraId="1930CFC8">
      <w:pPr>
        <w:pStyle w:val="2"/>
        <w:spacing w:before="97" w:line="217" w:lineRule="auto"/>
        <w:ind w:left="380"/>
        <w:rPr>
          <w:sz w:val="19"/>
          <w:szCs w:val="19"/>
        </w:rPr>
      </w:pPr>
      <w:r>
        <w:rPr>
          <w:spacing w:val="5"/>
          <w:sz w:val="19"/>
          <w:szCs w:val="19"/>
        </w:rPr>
        <w:t>③隐蔽工程的工序及报验措施；</w:t>
      </w:r>
    </w:p>
    <w:p w14:paraId="4B49B540">
      <w:pPr>
        <w:pStyle w:val="2"/>
        <w:spacing w:before="86" w:line="217" w:lineRule="auto"/>
        <w:ind w:left="380"/>
        <w:rPr>
          <w:sz w:val="19"/>
          <w:szCs w:val="19"/>
        </w:rPr>
      </w:pPr>
      <w:r>
        <w:rPr>
          <w:spacing w:val="7"/>
          <w:sz w:val="19"/>
          <w:szCs w:val="19"/>
        </w:rPr>
        <w:t>④通用布缆链路测试标准和方案等。</w:t>
      </w:r>
    </w:p>
    <w:p w14:paraId="6C4A2407">
      <w:pPr>
        <w:pStyle w:val="2"/>
        <w:spacing w:before="89" w:line="265" w:lineRule="auto"/>
        <w:ind w:right="901" w:firstLine="380"/>
        <w:rPr>
          <w:sz w:val="19"/>
          <w:szCs w:val="19"/>
        </w:rPr>
      </w:pPr>
      <w:r>
        <w:rPr>
          <w:spacing w:val="15"/>
          <w:sz w:val="19"/>
          <w:szCs w:val="19"/>
        </w:rPr>
        <w:t>(5)线材、连接硬件验收。监理机构应对承建单位进场使用的线材、连</w:t>
      </w:r>
      <w:r>
        <w:rPr>
          <w:spacing w:val="14"/>
          <w:sz w:val="19"/>
          <w:szCs w:val="19"/>
        </w:rPr>
        <w:t>接硬件进行检查验</w:t>
      </w:r>
      <w:r>
        <w:rPr>
          <w:sz w:val="19"/>
          <w:szCs w:val="19"/>
        </w:rPr>
        <w:t xml:space="preserve"> </w:t>
      </w:r>
      <w:r>
        <w:rPr>
          <w:spacing w:val="2"/>
          <w:sz w:val="19"/>
          <w:szCs w:val="19"/>
        </w:rPr>
        <w:t>收，内容如下：</w:t>
      </w:r>
    </w:p>
    <w:p w14:paraId="0ED2D2EB">
      <w:pPr>
        <w:pStyle w:val="2"/>
        <w:spacing w:before="92" w:line="260" w:lineRule="auto"/>
        <w:ind w:right="872" w:firstLine="380"/>
        <w:rPr>
          <w:sz w:val="19"/>
          <w:szCs w:val="19"/>
        </w:rPr>
      </w:pPr>
      <w:r>
        <w:rPr>
          <w:spacing w:val="13"/>
          <w:sz w:val="19"/>
          <w:szCs w:val="19"/>
        </w:rPr>
        <w:t>①</w:t>
      </w:r>
      <w:r>
        <w:rPr>
          <w:spacing w:val="-59"/>
          <w:sz w:val="19"/>
          <w:szCs w:val="19"/>
        </w:rPr>
        <w:t xml:space="preserve"> </w:t>
      </w:r>
      <w:r>
        <w:rPr>
          <w:spacing w:val="13"/>
          <w:sz w:val="19"/>
          <w:szCs w:val="19"/>
        </w:rPr>
        <w:t>监理机构在通用布缆系统工程主要材料到场后，</w:t>
      </w:r>
      <w:r>
        <w:rPr>
          <w:spacing w:val="12"/>
          <w:sz w:val="19"/>
          <w:szCs w:val="19"/>
        </w:rPr>
        <w:t>应及时组织业主单位、承建单位进行验</w:t>
      </w:r>
      <w:r>
        <w:rPr>
          <w:sz w:val="19"/>
          <w:szCs w:val="19"/>
        </w:rPr>
        <w:t xml:space="preserve"> </w:t>
      </w:r>
      <w:r>
        <w:rPr>
          <w:spacing w:val="6"/>
          <w:sz w:val="19"/>
          <w:szCs w:val="19"/>
        </w:rPr>
        <w:t>收，检查相关证明材料，验收合格后出具验收报告。</w:t>
      </w:r>
    </w:p>
    <w:p w14:paraId="50248840">
      <w:pPr>
        <w:pStyle w:val="2"/>
        <w:spacing w:before="95" w:line="217" w:lineRule="auto"/>
        <w:ind w:left="380"/>
        <w:rPr>
          <w:sz w:val="19"/>
          <w:szCs w:val="19"/>
        </w:rPr>
      </w:pPr>
      <w:r>
        <w:rPr>
          <w:spacing w:val="6"/>
          <w:sz w:val="19"/>
          <w:szCs w:val="19"/>
        </w:rPr>
        <w:t>②进场线材和连接硬件的检查要点如下：</w:t>
      </w:r>
    </w:p>
    <w:p w14:paraId="3575A2BB">
      <w:pPr>
        <w:pStyle w:val="2"/>
        <w:spacing w:before="88" w:line="219" w:lineRule="auto"/>
        <w:ind w:left="380"/>
        <w:rPr>
          <w:sz w:val="19"/>
          <w:szCs w:val="19"/>
        </w:rPr>
      </w:pPr>
      <w:r>
        <w:rPr>
          <w:spacing w:val="10"/>
          <w:sz w:val="19"/>
          <w:szCs w:val="19"/>
        </w:rPr>
        <w:t>●线材和连接硬件数量、规格、质量与合同、设计方案的符合性；</w:t>
      </w:r>
    </w:p>
    <w:p w14:paraId="3DBA2F0C">
      <w:pPr>
        <w:pStyle w:val="2"/>
        <w:spacing w:before="94" w:line="218" w:lineRule="auto"/>
        <w:ind w:left="380"/>
        <w:rPr>
          <w:sz w:val="19"/>
          <w:szCs w:val="19"/>
        </w:rPr>
      </w:pPr>
      <w:r>
        <w:rPr>
          <w:spacing w:val="10"/>
          <w:sz w:val="19"/>
          <w:szCs w:val="19"/>
        </w:rPr>
        <w:t>●线材和连接硬件的合格证、检验报告等资料的真实性、有效性。</w:t>
      </w:r>
    </w:p>
    <w:p w14:paraId="0B34DB1D">
      <w:pPr>
        <w:pStyle w:val="2"/>
        <w:spacing w:before="95" w:line="217" w:lineRule="auto"/>
        <w:ind w:left="380"/>
        <w:rPr>
          <w:sz w:val="19"/>
          <w:szCs w:val="19"/>
        </w:rPr>
      </w:pPr>
      <w:r>
        <w:rPr>
          <w:spacing w:val="8"/>
          <w:sz w:val="19"/>
          <w:szCs w:val="19"/>
        </w:rPr>
        <w:t>③必要时，监理机构对进场的线材进行抽检测试，并出具抽检测试报告。</w:t>
      </w:r>
    </w:p>
    <w:p w14:paraId="7BD04B37">
      <w:pPr>
        <w:pStyle w:val="2"/>
        <w:spacing w:before="87" w:line="217" w:lineRule="auto"/>
        <w:ind w:left="380"/>
        <w:rPr>
          <w:sz w:val="19"/>
          <w:szCs w:val="19"/>
        </w:rPr>
      </w:pPr>
      <w:r>
        <w:rPr>
          <w:spacing w:val="8"/>
          <w:sz w:val="19"/>
          <w:szCs w:val="19"/>
        </w:rPr>
        <w:t>④检查验收不合格或抽检测试不合格的线缆和连接硬件不得进场使用。</w:t>
      </w:r>
    </w:p>
    <w:p w14:paraId="439131A5">
      <w:pPr>
        <w:pStyle w:val="2"/>
        <w:spacing w:before="89" w:line="220" w:lineRule="auto"/>
        <w:ind w:left="380"/>
        <w:rPr>
          <w:sz w:val="19"/>
          <w:szCs w:val="19"/>
        </w:rPr>
      </w:pPr>
      <w:r>
        <w:rPr>
          <w:spacing w:val="11"/>
          <w:sz w:val="19"/>
          <w:szCs w:val="19"/>
        </w:rPr>
        <w:t>(6)施工过程的监理。具体包括：</w:t>
      </w:r>
    </w:p>
    <w:p w14:paraId="222830D3">
      <w:pPr>
        <w:pStyle w:val="2"/>
        <w:spacing w:before="81" w:line="217" w:lineRule="auto"/>
        <w:ind w:left="380"/>
        <w:rPr>
          <w:sz w:val="19"/>
          <w:szCs w:val="19"/>
        </w:rPr>
      </w:pPr>
      <w:r>
        <w:rPr>
          <w:spacing w:val="9"/>
          <w:sz w:val="19"/>
          <w:szCs w:val="19"/>
        </w:rPr>
        <w:t>①根据监理实施细则确定的检查控制点，对承建单位的施工进行现场检查，</w:t>
      </w:r>
      <w:r>
        <w:rPr>
          <w:spacing w:val="8"/>
          <w:sz w:val="19"/>
          <w:szCs w:val="19"/>
        </w:rPr>
        <w:t>并做检查记录。</w:t>
      </w:r>
    </w:p>
    <w:p w14:paraId="6FFE00D5">
      <w:pPr>
        <w:pStyle w:val="2"/>
        <w:spacing w:before="87" w:line="217" w:lineRule="auto"/>
        <w:ind w:left="380"/>
        <w:rPr>
          <w:sz w:val="19"/>
          <w:szCs w:val="19"/>
        </w:rPr>
      </w:pPr>
      <w:r>
        <w:rPr>
          <w:spacing w:val="8"/>
          <w:sz w:val="19"/>
          <w:szCs w:val="19"/>
        </w:rPr>
        <w:t>②对承建单位的施工进行阶段性的监理抽检测试，并形成报告。</w:t>
      </w:r>
    </w:p>
    <w:p w14:paraId="43745D46">
      <w:pPr>
        <w:pStyle w:val="2"/>
        <w:spacing w:before="87" w:line="217" w:lineRule="auto"/>
        <w:ind w:left="380"/>
        <w:rPr>
          <w:sz w:val="19"/>
          <w:szCs w:val="19"/>
        </w:rPr>
      </w:pPr>
      <w:r>
        <w:rPr>
          <w:spacing w:val="5"/>
          <w:sz w:val="19"/>
          <w:szCs w:val="19"/>
        </w:rPr>
        <w:t>③保护设施安装的检查工作：</w:t>
      </w:r>
    </w:p>
    <w:p w14:paraId="624C47D1">
      <w:pPr>
        <w:pStyle w:val="2"/>
        <w:spacing w:before="89" w:line="219" w:lineRule="auto"/>
        <w:ind w:left="380"/>
        <w:rPr>
          <w:sz w:val="19"/>
          <w:szCs w:val="19"/>
        </w:rPr>
      </w:pPr>
      <w:r>
        <w:rPr>
          <w:spacing w:val="10"/>
          <w:sz w:val="19"/>
          <w:szCs w:val="19"/>
        </w:rPr>
        <w:t>●安装位置、路由和设计方案的符合性；</w:t>
      </w:r>
    </w:p>
    <w:p w14:paraId="3C0AEA1B">
      <w:pPr>
        <w:pStyle w:val="2"/>
        <w:spacing w:before="94" w:line="219" w:lineRule="auto"/>
        <w:ind w:left="380"/>
        <w:rPr>
          <w:sz w:val="19"/>
          <w:szCs w:val="19"/>
        </w:rPr>
      </w:pPr>
      <w:r>
        <w:rPr>
          <w:spacing w:val="11"/>
          <w:sz w:val="19"/>
          <w:szCs w:val="19"/>
        </w:rPr>
        <w:t>●桥架与线槽连接的紧密性；</w:t>
      </w:r>
    </w:p>
    <w:p w14:paraId="29A383C7">
      <w:pPr>
        <w:pStyle w:val="2"/>
        <w:spacing w:before="85" w:line="220" w:lineRule="auto"/>
        <w:ind w:left="380"/>
        <w:rPr>
          <w:sz w:val="19"/>
          <w:szCs w:val="19"/>
        </w:rPr>
      </w:pPr>
      <w:r>
        <w:rPr>
          <w:spacing w:val="11"/>
          <w:sz w:val="19"/>
          <w:szCs w:val="19"/>
        </w:rPr>
        <w:t>●金属桥架接地连接的可靠性；</w:t>
      </w:r>
    </w:p>
    <w:p w14:paraId="0BF62C56">
      <w:pPr>
        <w:pStyle w:val="2"/>
        <w:spacing w:before="93" w:line="219" w:lineRule="auto"/>
        <w:ind w:left="380"/>
        <w:rPr>
          <w:sz w:val="19"/>
          <w:szCs w:val="19"/>
        </w:rPr>
      </w:pPr>
      <w:r>
        <w:rPr>
          <w:spacing w:val="13"/>
          <w:sz w:val="19"/>
          <w:szCs w:val="19"/>
        </w:rPr>
        <w:t>●桥架及线槽的密闭性；</w:t>
      </w:r>
    </w:p>
    <w:p w14:paraId="7B7C1317">
      <w:pPr>
        <w:pStyle w:val="2"/>
        <w:spacing w:before="95" w:line="219" w:lineRule="auto"/>
        <w:ind w:left="380"/>
        <w:rPr>
          <w:sz w:val="19"/>
          <w:szCs w:val="19"/>
        </w:rPr>
      </w:pPr>
      <w:r>
        <w:rPr>
          <w:spacing w:val="11"/>
          <w:sz w:val="19"/>
          <w:szCs w:val="19"/>
        </w:rPr>
        <w:t>●室外立杆或管道施工与相关标准的符合性；</w:t>
      </w:r>
    </w:p>
    <w:p w14:paraId="52BCCE2B">
      <w:pPr>
        <w:pStyle w:val="2"/>
        <w:spacing w:before="93" w:line="219" w:lineRule="auto"/>
        <w:ind w:left="380"/>
        <w:rPr>
          <w:sz w:val="19"/>
          <w:szCs w:val="19"/>
        </w:rPr>
      </w:pPr>
      <w:r>
        <w:rPr>
          <w:spacing w:val="11"/>
          <w:sz w:val="19"/>
          <w:szCs w:val="19"/>
        </w:rPr>
        <w:t>●对于屏蔽布缆系统，屏蔽和等电位联结应完整、可</w:t>
      </w:r>
      <w:r>
        <w:rPr>
          <w:spacing w:val="10"/>
          <w:sz w:val="19"/>
          <w:szCs w:val="19"/>
        </w:rPr>
        <w:t>靠且连续；</w:t>
      </w:r>
    </w:p>
    <w:p w14:paraId="4871C167">
      <w:pPr>
        <w:pStyle w:val="2"/>
        <w:spacing w:before="86" w:line="219" w:lineRule="auto"/>
        <w:ind w:left="380"/>
        <w:rPr>
          <w:sz w:val="19"/>
          <w:szCs w:val="19"/>
        </w:rPr>
      </w:pPr>
      <w:r>
        <w:rPr>
          <w:spacing w:val="12"/>
          <w:sz w:val="19"/>
          <w:szCs w:val="19"/>
        </w:rPr>
        <w:t>●屏蔽系统接地应符合设计规范。</w:t>
      </w:r>
    </w:p>
    <w:p w14:paraId="44178DBD">
      <w:pPr>
        <w:pStyle w:val="2"/>
        <w:spacing w:before="103" w:line="217" w:lineRule="auto"/>
        <w:ind w:left="380"/>
        <w:rPr>
          <w:sz w:val="19"/>
          <w:szCs w:val="19"/>
        </w:rPr>
      </w:pPr>
      <w:r>
        <w:rPr>
          <w:spacing w:val="5"/>
          <w:sz w:val="19"/>
          <w:szCs w:val="19"/>
        </w:rPr>
        <w:t>④机柜、机架安装的检查工作：</w:t>
      </w:r>
    </w:p>
    <w:p w14:paraId="3461E779">
      <w:pPr>
        <w:pStyle w:val="2"/>
        <w:spacing w:before="79" w:line="219" w:lineRule="auto"/>
        <w:ind w:left="380"/>
        <w:rPr>
          <w:sz w:val="19"/>
          <w:szCs w:val="19"/>
        </w:rPr>
      </w:pPr>
      <w:r>
        <w:rPr>
          <w:spacing w:val="11"/>
          <w:sz w:val="19"/>
          <w:szCs w:val="19"/>
        </w:rPr>
        <w:t>●安装符合技术规范要求；</w:t>
      </w:r>
    </w:p>
    <w:p w14:paraId="4D595261">
      <w:pPr>
        <w:pStyle w:val="2"/>
        <w:spacing w:before="84" w:line="220" w:lineRule="auto"/>
        <w:ind w:left="380"/>
        <w:rPr>
          <w:sz w:val="19"/>
          <w:szCs w:val="19"/>
        </w:rPr>
      </w:pPr>
      <w:r>
        <w:rPr>
          <w:spacing w:val="9"/>
          <w:sz w:val="19"/>
          <w:szCs w:val="19"/>
        </w:rPr>
        <w:t>●</w:t>
      </w:r>
      <w:r>
        <w:rPr>
          <w:spacing w:val="-55"/>
          <w:sz w:val="19"/>
          <w:szCs w:val="19"/>
        </w:rPr>
        <w:t xml:space="preserve"> </w:t>
      </w:r>
      <w:r>
        <w:rPr>
          <w:spacing w:val="9"/>
          <w:sz w:val="19"/>
          <w:szCs w:val="19"/>
        </w:rPr>
        <w:t>安装应牢固；</w:t>
      </w:r>
    </w:p>
    <w:p w14:paraId="4578DE42">
      <w:pPr>
        <w:pStyle w:val="2"/>
        <w:spacing w:before="94" w:line="220" w:lineRule="auto"/>
        <w:ind w:left="380"/>
        <w:rPr>
          <w:sz w:val="19"/>
          <w:szCs w:val="19"/>
        </w:rPr>
      </w:pPr>
      <w:r>
        <w:rPr>
          <w:spacing w:val="13"/>
          <w:sz w:val="19"/>
          <w:szCs w:val="19"/>
        </w:rPr>
        <w:t>●接地极进行可靠连接；</w:t>
      </w:r>
    </w:p>
    <w:p w14:paraId="1A2526DC">
      <w:pPr>
        <w:spacing w:line="220" w:lineRule="auto"/>
        <w:rPr>
          <w:sz w:val="19"/>
          <w:szCs w:val="19"/>
        </w:rPr>
        <w:sectPr>
          <w:pgSz w:w="10290" w:h="13300"/>
          <w:pgMar w:top="350" w:right="19" w:bottom="400" w:left="1080" w:header="0" w:footer="0" w:gutter="0"/>
          <w:cols w:space="720" w:num="1"/>
        </w:sectPr>
      </w:pPr>
    </w:p>
    <w:p w14:paraId="4964BC8F">
      <w:pPr>
        <w:pStyle w:val="2"/>
        <w:spacing w:before="77" w:line="219" w:lineRule="auto"/>
        <w:rPr>
          <w:sz w:val="19"/>
          <w:szCs w:val="19"/>
        </w:rPr>
      </w:pPr>
      <w:r>
        <w:rPr>
          <w:rFonts w:ascii="Times New Roman" w:hAnsi="Times New Roman" w:eastAsia="Times New Roman" w:cs="Times New Roman"/>
          <w:b/>
          <w:bCs/>
          <w:spacing w:val="3"/>
          <w:position w:val="-2"/>
          <w:sz w:val="19"/>
          <w:szCs w:val="19"/>
        </w:rPr>
        <w:t xml:space="preserve">488              </w:t>
      </w:r>
      <w:r>
        <w:rPr>
          <w:spacing w:val="3"/>
          <w:sz w:val="19"/>
          <w:szCs w:val="19"/>
        </w:rPr>
        <w:t>信息系统监理师教程(第2版)</w:t>
      </w:r>
    </w:p>
    <w:p w14:paraId="3E1967EC">
      <w:pPr>
        <w:spacing w:line="326" w:lineRule="auto"/>
        <w:rPr>
          <w:rFonts w:ascii="Arial"/>
          <w:sz w:val="21"/>
        </w:rPr>
      </w:pPr>
    </w:p>
    <w:p w14:paraId="253E2149">
      <w:pPr>
        <w:pStyle w:val="2"/>
        <w:spacing w:before="62" w:line="220" w:lineRule="auto"/>
        <w:ind w:left="780"/>
        <w:rPr>
          <w:sz w:val="19"/>
          <w:szCs w:val="19"/>
        </w:rPr>
      </w:pPr>
      <w:r>
        <w:rPr>
          <w:spacing w:val="13"/>
          <w:sz w:val="19"/>
          <w:szCs w:val="19"/>
        </w:rPr>
        <w:t>●配线架标识规范。</w:t>
      </w:r>
    </w:p>
    <w:p w14:paraId="73D4B079">
      <w:pPr>
        <w:pStyle w:val="2"/>
        <w:spacing w:before="110" w:line="217" w:lineRule="auto"/>
        <w:ind w:left="780"/>
        <w:rPr>
          <w:sz w:val="19"/>
          <w:szCs w:val="19"/>
        </w:rPr>
      </w:pPr>
      <w:r>
        <w:rPr>
          <w:spacing w:val="5"/>
          <w:sz w:val="19"/>
          <w:szCs w:val="19"/>
        </w:rPr>
        <w:t>⑤信息插座安装的检查工作：</w:t>
      </w:r>
    </w:p>
    <w:p w14:paraId="3A06F76D">
      <w:pPr>
        <w:pStyle w:val="2"/>
        <w:spacing w:before="78" w:line="219" w:lineRule="auto"/>
        <w:ind w:left="780"/>
        <w:rPr>
          <w:sz w:val="19"/>
          <w:szCs w:val="19"/>
        </w:rPr>
      </w:pPr>
      <w:r>
        <w:rPr>
          <w:spacing w:val="10"/>
          <w:sz w:val="19"/>
          <w:szCs w:val="19"/>
        </w:rPr>
        <w:t>●安装位置和设计方案的相符性；</w:t>
      </w:r>
    </w:p>
    <w:p w14:paraId="7C598A6C">
      <w:pPr>
        <w:pStyle w:val="2"/>
        <w:spacing w:before="115" w:line="220" w:lineRule="auto"/>
        <w:ind w:left="780"/>
        <w:rPr>
          <w:sz w:val="19"/>
          <w:szCs w:val="19"/>
        </w:rPr>
      </w:pPr>
      <w:r>
        <w:rPr>
          <w:spacing w:val="5"/>
          <w:sz w:val="19"/>
          <w:szCs w:val="19"/>
        </w:rPr>
        <w:t>●</w:t>
      </w:r>
      <w:r>
        <w:rPr>
          <w:spacing w:val="-56"/>
          <w:sz w:val="19"/>
          <w:szCs w:val="19"/>
        </w:rPr>
        <w:t xml:space="preserve"> </w:t>
      </w:r>
      <w:r>
        <w:rPr>
          <w:spacing w:val="5"/>
          <w:sz w:val="19"/>
          <w:szCs w:val="19"/>
        </w:rPr>
        <w:t>安装应牢固；</w:t>
      </w:r>
    </w:p>
    <w:p w14:paraId="39A57B2E">
      <w:pPr>
        <w:pStyle w:val="2"/>
        <w:spacing w:before="83" w:line="219" w:lineRule="auto"/>
        <w:ind w:left="780"/>
        <w:rPr>
          <w:sz w:val="19"/>
          <w:szCs w:val="19"/>
        </w:rPr>
      </w:pPr>
      <w:r>
        <w:rPr>
          <w:spacing w:val="10"/>
          <w:sz w:val="19"/>
          <w:szCs w:val="19"/>
        </w:rPr>
        <w:t>●施工符合施工规范；</w:t>
      </w:r>
    </w:p>
    <w:p w14:paraId="64CC51C0">
      <w:pPr>
        <w:pStyle w:val="2"/>
        <w:spacing w:before="104" w:line="219" w:lineRule="auto"/>
        <w:ind w:left="780"/>
        <w:rPr>
          <w:sz w:val="19"/>
          <w:szCs w:val="19"/>
        </w:rPr>
      </w:pPr>
      <w:r>
        <w:rPr>
          <w:spacing w:val="10"/>
          <w:sz w:val="19"/>
          <w:szCs w:val="19"/>
        </w:rPr>
        <w:t>●信息插座标识规范。</w:t>
      </w:r>
    </w:p>
    <w:p w14:paraId="44509C94">
      <w:pPr>
        <w:pStyle w:val="2"/>
        <w:spacing w:before="113" w:line="217" w:lineRule="auto"/>
        <w:ind w:left="780"/>
        <w:rPr>
          <w:sz w:val="19"/>
          <w:szCs w:val="19"/>
        </w:rPr>
      </w:pPr>
      <w:r>
        <w:rPr>
          <w:spacing w:val="4"/>
          <w:sz w:val="19"/>
          <w:szCs w:val="19"/>
        </w:rPr>
        <w:t>⑥连接硬件安装的检查工作：</w:t>
      </w:r>
    </w:p>
    <w:p w14:paraId="52A6C3AF">
      <w:pPr>
        <w:pStyle w:val="2"/>
        <w:spacing w:before="69" w:line="281" w:lineRule="auto"/>
        <w:ind w:left="1050" w:right="1" w:hanging="270"/>
        <w:rPr>
          <w:sz w:val="19"/>
          <w:szCs w:val="19"/>
        </w:rPr>
      </w:pPr>
      <w:r>
        <w:rPr>
          <w:spacing w:val="13"/>
          <w:sz w:val="19"/>
          <w:szCs w:val="19"/>
        </w:rPr>
        <w:t>●园区主干子系统、楼宇主干子系统和水平布缆子系统设备间内的连接硬件安装应符合规</w:t>
      </w:r>
      <w:r>
        <w:rPr>
          <w:sz w:val="19"/>
          <w:szCs w:val="19"/>
        </w:rPr>
        <w:t xml:space="preserve"> </w:t>
      </w:r>
      <w:r>
        <w:rPr>
          <w:spacing w:val="-1"/>
          <w:sz w:val="19"/>
          <w:szCs w:val="19"/>
        </w:rPr>
        <w:t>范要求；</w:t>
      </w:r>
    </w:p>
    <w:p w14:paraId="6C180E2E">
      <w:pPr>
        <w:pStyle w:val="2"/>
        <w:spacing w:before="91" w:line="219" w:lineRule="auto"/>
        <w:ind w:left="780"/>
        <w:rPr>
          <w:sz w:val="19"/>
          <w:szCs w:val="19"/>
        </w:rPr>
      </w:pPr>
      <w:r>
        <w:rPr>
          <w:spacing w:val="10"/>
          <w:sz w:val="19"/>
          <w:szCs w:val="19"/>
        </w:rPr>
        <w:t>●连接硬件应使用压接跳线或快接跳线；</w:t>
      </w:r>
    </w:p>
    <w:p w14:paraId="0B25799D">
      <w:pPr>
        <w:pStyle w:val="2"/>
        <w:spacing w:before="95" w:line="219" w:lineRule="auto"/>
        <w:ind w:left="780"/>
        <w:rPr>
          <w:sz w:val="19"/>
          <w:szCs w:val="19"/>
        </w:rPr>
      </w:pPr>
      <w:r>
        <w:rPr>
          <w:spacing w:val="11"/>
          <w:sz w:val="19"/>
          <w:szCs w:val="19"/>
        </w:rPr>
        <w:t>●连接硬件应有标识和管理手段。</w:t>
      </w:r>
    </w:p>
    <w:p w14:paraId="0F529E64">
      <w:pPr>
        <w:pStyle w:val="2"/>
        <w:spacing w:before="112" w:line="217" w:lineRule="auto"/>
        <w:ind w:left="780"/>
        <w:rPr>
          <w:sz w:val="19"/>
          <w:szCs w:val="19"/>
        </w:rPr>
      </w:pPr>
      <w:r>
        <w:rPr>
          <w:spacing w:val="5"/>
          <w:sz w:val="19"/>
          <w:szCs w:val="19"/>
        </w:rPr>
        <w:t>⑦线缆敷设的检查工作：</w:t>
      </w:r>
    </w:p>
    <w:p w14:paraId="5A115F2F">
      <w:pPr>
        <w:pStyle w:val="2"/>
        <w:spacing w:before="79" w:line="219" w:lineRule="auto"/>
        <w:ind w:left="780"/>
        <w:rPr>
          <w:sz w:val="19"/>
          <w:szCs w:val="19"/>
        </w:rPr>
      </w:pPr>
      <w:r>
        <w:rPr>
          <w:spacing w:val="10"/>
          <w:sz w:val="19"/>
          <w:szCs w:val="19"/>
        </w:rPr>
        <w:t>●路由与设计方案的符合性；</w:t>
      </w:r>
    </w:p>
    <w:p w14:paraId="35F0B18C">
      <w:pPr>
        <w:pStyle w:val="2"/>
        <w:spacing w:before="105" w:line="219" w:lineRule="auto"/>
        <w:ind w:left="780"/>
        <w:rPr>
          <w:sz w:val="19"/>
          <w:szCs w:val="19"/>
        </w:rPr>
      </w:pPr>
      <w:r>
        <w:rPr>
          <w:spacing w:val="9"/>
          <w:sz w:val="19"/>
          <w:szCs w:val="19"/>
        </w:rPr>
        <w:t>●线缆标识应满足技术标准的要求；</w:t>
      </w:r>
    </w:p>
    <w:p w14:paraId="59359EA9">
      <w:pPr>
        <w:pStyle w:val="2"/>
        <w:spacing w:before="94" w:line="219" w:lineRule="auto"/>
        <w:ind w:left="780"/>
        <w:rPr>
          <w:sz w:val="19"/>
          <w:szCs w:val="19"/>
        </w:rPr>
      </w:pPr>
      <w:r>
        <w:rPr>
          <w:spacing w:val="9"/>
          <w:sz w:val="19"/>
          <w:szCs w:val="19"/>
        </w:rPr>
        <w:t>●线缆在管、槽中的填充量应符合规范要求；</w:t>
      </w:r>
    </w:p>
    <w:p w14:paraId="6451887F">
      <w:pPr>
        <w:pStyle w:val="2"/>
        <w:spacing w:before="95" w:line="219" w:lineRule="auto"/>
        <w:ind w:left="780"/>
        <w:rPr>
          <w:sz w:val="19"/>
          <w:szCs w:val="19"/>
        </w:rPr>
      </w:pPr>
      <w:r>
        <w:rPr>
          <w:spacing w:val="9"/>
          <w:sz w:val="19"/>
          <w:szCs w:val="19"/>
        </w:rPr>
        <w:t>●线缆敷设转弯处弯曲半径应符合设计规范；</w:t>
      </w:r>
    </w:p>
    <w:p w14:paraId="12C5A63F">
      <w:pPr>
        <w:pStyle w:val="2"/>
        <w:spacing w:before="94" w:line="219" w:lineRule="auto"/>
        <w:ind w:left="780"/>
        <w:rPr>
          <w:sz w:val="19"/>
          <w:szCs w:val="19"/>
        </w:rPr>
      </w:pPr>
      <w:r>
        <w:rPr>
          <w:spacing w:val="9"/>
          <w:sz w:val="19"/>
          <w:szCs w:val="19"/>
        </w:rPr>
        <w:t>●敷设时应有消除拉伸、急剧弯折和紧捆线缆引起的线缆张力的保护措施；</w:t>
      </w:r>
    </w:p>
    <w:p w14:paraId="76BF383B">
      <w:pPr>
        <w:pStyle w:val="2"/>
        <w:spacing w:before="105" w:line="219" w:lineRule="auto"/>
        <w:ind w:left="780"/>
        <w:rPr>
          <w:sz w:val="19"/>
          <w:szCs w:val="19"/>
        </w:rPr>
      </w:pPr>
      <w:r>
        <w:rPr>
          <w:spacing w:val="10"/>
          <w:sz w:val="19"/>
          <w:szCs w:val="19"/>
        </w:rPr>
        <w:t>●铜缆与其他系统线缆之间的距离应满足相关技术标准要求。</w:t>
      </w:r>
    </w:p>
    <w:p w14:paraId="7E7B287D">
      <w:pPr>
        <w:pStyle w:val="2"/>
        <w:spacing w:before="112" w:line="217" w:lineRule="auto"/>
        <w:ind w:left="780"/>
        <w:rPr>
          <w:sz w:val="19"/>
          <w:szCs w:val="19"/>
        </w:rPr>
      </w:pPr>
      <w:r>
        <w:rPr>
          <w:spacing w:val="5"/>
          <w:sz w:val="19"/>
          <w:szCs w:val="19"/>
        </w:rPr>
        <w:t>⑧标识、记录的检查工作：</w:t>
      </w:r>
    </w:p>
    <w:p w14:paraId="0155703B">
      <w:pPr>
        <w:pStyle w:val="2"/>
        <w:spacing w:before="78" w:line="219" w:lineRule="auto"/>
        <w:ind w:left="780"/>
        <w:rPr>
          <w:sz w:val="19"/>
          <w:szCs w:val="19"/>
        </w:rPr>
      </w:pPr>
      <w:r>
        <w:rPr>
          <w:spacing w:val="9"/>
          <w:sz w:val="19"/>
          <w:szCs w:val="19"/>
        </w:rPr>
        <w:t>●所有线材和连接硬件应标识并记录；</w:t>
      </w:r>
    </w:p>
    <w:p w14:paraId="65C0AA48">
      <w:pPr>
        <w:pStyle w:val="2"/>
        <w:spacing w:before="96" w:line="219" w:lineRule="auto"/>
        <w:ind w:left="780"/>
        <w:rPr>
          <w:sz w:val="19"/>
          <w:szCs w:val="19"/>
        </w:rPr>
      </w:pPr>
      <w:r>
        <w:rPr>
          <w:spacing w:val="11"/>
          <w:sz w:val="19"/>
          <w:szCs w:val="19"/>
        </w:rPr>
        <w:t>●变更的线缆或连接硬件应做记录。</w:t>
      </w:r>
    </w:p>
    <w:p w14:paraId="69AA15B5">
      <w:pPr>
        <w:pStyle w:val="2"/>
        <w:spacing w:before="112" w:line="217" w:lineRule="auto"/>
        <w:ind w:left="780"/>
        <w:rPr>
          <w:sz w:val="19"/>
          <w:szCs w:val="19"/>
        </w:rPr>
      </w:pPr>
      <w:r>
        <w:rPr>
          <w:spacing w:val="5"/>
          <w:sz w:val="19"/>
          <w:szCs w:val="19"/>
        </w:rPr>
        <w:t>⑨无线施工的检查工作：</w:t>
      </w:r>
    </w:p>
    <w:p w14:paraId="4C7D1AA3">
      <w:pPr>
        <w:pStyle w:val="2"/>
        <w:spacing w:before="79" w:line="219" w:lineRule="auto"/>
        <w:ind w:left="780"/>
        <w:rPr>
          <w:sz w:val="19"/>
          <w:szCs w:val="19"/>
        </w:rPr>
      </w:pPr>
      <w:r>
        <w:rPr>
          <w:spacing w:val="10"/>
          <w:sz w:val="19"/>
          <w:szCs w:val="19"/>
        </w:rPr>
        <w:t>●设备放置位置的温湿度应符合设备工作要求，馈线</w:t>
      </w:r>
      <w:r>
        <w:rPr>
          <w:spacing w:val="9"/>
          <w:sz w:val="19"/>
          <w:szCs w:val="19"/>
        </w:rPr>
        <w:t>长度符合要求；</w:t>
      </w:r>
    </w:p>
    <w:p w14:paraId="1B7B3B61">
      <w:pPr>
        <w:pStyle w:val="2"/>
        <w:spacing w:before="95" w:line="219" w:lineRule="auto"/>
        <w:ind w:left="780"/>
        <w:rPr>
          <w:sz w:val="19"/>
          <w:szCs w:val="19"/>
        </w:rPr>
      </w:pPr>
      <w:r>
        <w:rPr>
          <w:spacing w:val="10"/>
          <w:sz w:val="19"/>
          <w:szCs w:val="19"/>
        </w:rPr>
        <w:t>●天线、馈线安装时不能有碰撞，防止受力变形，影</w:t>
      </w:r>
      <w:r>
        <w:rPr>
          <w:spacing w:val="9"/>
          <w:sz w:val="19"/>
          <w:szCs w:val="19"/>
        </w:rPr>
        <w:t>响技术性能；</w:t>
      </w:r>
    </w:p>
    <w:p w14:paraId="3EBAC238">
      <w:pPr>
        <w:pStyle w:val="2"/>
        <w:spacing w:before="94" w:line="219" w:lineRule="auto"/>
        <w:ind w:left="780"/>
        <w:rPr>
          <w:sz w:val="19"/>
          <w:szCs w:val="19"/>
        </w:rPr>
      </w:pPr>
      <w:r>
        <w:rPr>
          <w:spacing w:val="10"/>
          <w:sz w:val="19"/>
          <w:szCs w:val="19"/>
        </w:rPr>
        <w:t>●天线安装的高度和方位应符合设计要求，各安装部</w:t>
      </w:r>
      <w:r>
        <w:rPr>
          <w:spacing w:val="9"/>
          <w:sz w:val="19"/>
          <w:szCs w:val="19"/>
        </w:rPr>
        <w:t>件要紧固良好；</w:t>
      </w:r>
    </w:p>
    <w:p w14:paraId="67C748C2">
      <w:pPr>
        <w:pStyle w:val="2"/>
        <w:spacing w:before="104" w:line="219" w:lineRule="auto"/>
        <w:ind w:left="780"/>
        <w:rPr>
          <w:sz w:val="19"/>
          <w:szCs w:val="19"/>
        </w:rPr>
      </w:pPr>
      <w:r>
        <w:rPr>
          <w:spacing w:val="10"/>
          <w:sz w:val="19"/>
          <w:szCs w:val="19"/>
        </w:rPr>
        <w:t>●馈线弯曲和扭转时，弯曲半径和扭转角度要符合馈</w:t>
      </w:r>
      <w:r>
        <w:rPr>
          <w:spacing w:val="9"/>
          <w:sz w:val="19"/>
          <w:szCs w:val="19"/>
        </w:rPr>
        <w:t>线安装要求；</w:t>
      </w:r>
    </w:p>
    <w:p w14:paraId="67EB1F2F">
      <w:pPr>
        <w:pStyle w:val="2"/>
        <w:spacing w:before="96" w:line="220" w:lineRule="auto"/>
        <w:ind w:left="780"/>
        <w:rPr>
          <w:sz w:val="19"/>
          <w:szCs w:val="19"/>
        </w:rPr>
      </w:pPr>
      <w:r>
        <w:rPr>
          <w:spacing w:val="9"/>
          <w:sz w:val="19"/>
          <w:szCs w:val="19"/>
        </w:rPr>
        <w:t>●天线接地应可靠，馈线固定应牢固；</w:t>
      </w:r>
    </w:p>
    <w:p w14:paraId="2CAD1B97">
      <w:pPr>
        <w:pStyle w:val="2"/>
        <w:spacing w:before="93" w:line="219" w:lineRule="auto"/>
        <w:ind w:left="780"/>
        <w:rPr>
          <w:sz w:val="19"/>
          <w:szCs w:val="19"/>
        </w:rPr>
      </w:pPr>
      <w:r>
        <w:rPr>
          <w:spacing w:val="11"/>
          <w:sz w:val="19"/>
          <w:szCs w:val="19"/>
        </w:rPr>
        <w:t>●馈线衰耗值应符合设计要求；</w:t>
      </w:r>
    </w:p>
    <w:p w14:paraId="0ED94648">
      <w:pPr>
        <w:pStyle w:val="2"/>
        <w:spacing w:before="85" w:line="219" w:lineRule="auto"/>
        <w:ind w:left="780"/>
        <w:rPr>
          <w:sz w:val="19"/>
          <w:szCs w:val="19"/>
        </w:rPr>
      </w:pPr>
      <w:r>
        <w:rPr>
          <w:spacing w:val="10"/>
          <w:sz w:val="19"/>
          <w:szCs w:val="19"/>
        </w:rPr>
        <w:t>●所需线缆的类型应合适，敷设应规范；</w:t>
      </w:r>
    </w:p>
    <w:p w14:paraId="5B1DDF74">
      <w:pPr>
        <w:pStyle w:val="2"/>
        <w:spacing w:before="95" w:line="220" w:lineRule="auto"/>
        <w:ind w:left="780"/>
        <w:rPr>
          <w:sz w:val="19"/>
          <w:szCs w:val="19"/>
        </w:rPr>
      </w:pPr>
      <w:r>
        <w:rPr>
          <w:spacing w:val="10"/>
          <w:sz w:val="19"/>
          <w:szCs w:val="19"/>
        </w:rPr>
        <w:t>●无线设备所需电源安装位置、工艺应规范。</w:t>
      </w:r>
    </w:p>
    <w:p w14:paraId="4ACCE142">
      <w:pPr>
        <w:pStyle w:val="2"/>
        <w:spacing w:before="91" w:line="217" w:lineRule="auto"/>
        <w:ind w:left="780"/>
        <w:rPr>
          <w:sz w:val="19"/>
          <w:szCs w:val="19"/>
        </w:rPr>
      </w:pPr>
      <w:r>
        <w:rPr>
          <w:spacing w:val="4"/>
          <w:sz w:val="19"/>
          <w:szCs w:val="19"/>
        </w:rPr>
        <w:t>⑩实施过程监理关注点：</w:t>
      </w:r>
    </w:p>
    <w:p w14:paraId="0D06CCBE">
      <w:pPr>
        <w:pStyle w:val="2"/>
        <w:spacing w:before="88" w:line="219" w:lineRule="auto"/>
        <w:ind w:left="780"/>
        <w:rPr>
          <w:sz w:val="19"/>
          <w:szCs w:val="19"/>
        </w:rPr>
      </w:pPr>
      <w:r>
        <w:rPr>
          <w:spacing w:val="17"/>
          <w:sz w:val="19"/>
          <w:szCs w:val="19"/>
        </w:rPr>
        <w:t>●机架、配线箱等设备的规格、容量、位置应符合设计文件要求，垂直偏差度不应大于</w:t>
      </w:r>
    </w:p>
    <w:p w14:paraId="78B3F941">
      <w:pPr>
        <w:pStyle w:val="2"/>
        <w:spacing w:before="125" w:line="180" w:lineRule="auto"/>
        <w:ind w:left="1050"/>
        <w:rPr>
          <w:sz w:val="19"/>
          <w:szCs w:val="19"/>
        </w:rPr>
      </w:pPr>
      <w:r>
        <w:rPr>
          <w:rFonts w:ascii="Times New Roman" w:hAnsi="Times New Roman" w:eastAsia="Times New Roman" w:cs="Times New Roman"/>
          <w:spacing w:val="-3"/>
          <w:sz w:val="19"/>
          <w:szCs w:val="19"/>
        </w:rPr>
        <w:t>3mm</w:t>
      </w:r>
      <w:r>
        <w:rPr>
          <w:spacing w:val="-3"/>
          <w:sz w:val="19"/>
          <w:szCs w:val="19"/>
        </w:rPr>
        <w:t>。</w:t>
      </w:r>
    </w:p>
    <w:p w14:paraId="67A877B1">
      <w:pPr>
        <w:pStyle w:val="2"/>
        <w:spacing w:before="103" w:line="285" w:lineRule="auto"/>
        <w:ind w:left="1050" w:hanging="270"/>
        <w:rPr>
          <w:sz w:val="19"/>
          <w:szCs w:val="19"/>
        </w:rPr>
      </w:pPr>
      <w:r>
        <w:rPr>
          <w:spacing w:val="13"/>
          <w:sz w:val="19"/>
          <w:szCs w:val="19"/>
        </w:rPr>
        <w:t>●机架和设备上各种零件不应缺少或碰坏，设备内部不应留有线头等杂物，表面漆面如有</w:t>
      </w:r>
      <w:r>
        <w:rPr>
          <w:spacing w:val="1"/>
          <w:sz w:val="19"/>
          <w:szCs w:val="19"/>
        </w:rPr>
        <w:t xml:space="preserve"> </w:t>
      </w:r>
      <w:r>
        <w:rPr>
          <w:spacing w:val="11"/>
          <w:sz w:val="19"/>
          <w:szCs w:val="19"/>
        </w:rPr>
        <w:t>损坏或脱落，应进行补漆，其颜色应与原来漆色协调一致，各种标识应统一、完整、清</w:t>
      </w:r>
      <w:r>
        <w:rPr>
          <w:spacing w:val="1"/>
          <w:sz w:val="19"/>
          <w:szCs w:val="19"/>
        </w:rPr>
        <w:t xml:space="preserve"> </w:t>
      </w:r>
      <w:r>
        <w:rPr>
          <w:spacing w:val="6"/>
          <w:sz w:val="19"/>
          <w:szCs w:val="19"/>
        </w:rPr>
        <w:t>晰、醒目。</w:t>
      </w:r>
    </w:p>
    <w:p w14:paraId="211D84A9">
      <w:pPr>
        <w:spacing w:line="285" w:lineRule="auto"/>
        <w:rPr>
          <w:sz w:val="19"/>
          <w:szCs w:val="19"/>
        </w:rPr>
        <w:sectPr>
          <w:pgSz w:w="10300" w:h="13380"/>
          <w:pgMar w:top="400" w:right="1090" w:bottom="400" w:left="509" w:header="0" w:footer="0" w:gutter="0"/>
          <w:cols w:space="720" w:num="1"/>
        </w:sectPr>
      </w:pPr>
    </w:p>
    <w:p w14:paraId="6F5916AC">
      <w:pPr>
        <w:pStyle w:val="2"/>
        <w:spacing w:before="57" w:line="219" w:lineRule="auto"/>
        <w:jc w:val="right"/>
        <w:rPr>
          <w:rFonts w:ascii="Times New Roman" w:hAnsi="Times New Roman" w:eastAsia="Times New Roman" w:cs="Times New Roman"/>
          <w:sz w:val="20"/>
          <w:szCs w:val="20"/>
        </w:rPr>
      </w:pPr>
      <w:r>
        <w:rPr>
          <w:spacing w:val="1"/>
          <w:sz w:val="20"/>
          <w:szCs w:val="20"/>
        </w:rPr>
        <w:t xml:space="preserve">第21章基础设施工程监理      </w:t>
      </w:r>
      <w:r>
        <w:rPr>
          <w:rFonts w:ascii="Times New Roman" w:hAnsi="Times New Roman" w:eastAsia="Times New Roman" w:cs="Times New Roman"/>
          <w:spacing w:val="1"/>
          <w:sz w:val="20"/>
          <w:szCs w:val="20"/>
        </w:rPr>
        <w:t>489</w:t>
      </w:r>
    </w:p>
    <w:p w14:paraId="3DCBA658">
      <w:pPr>
        <w:spacing w:line="286" w:lineRule="auto"/>
        <w:rPr>
          <w:rFonts w:ascii="Arial"/>
          <w:sz w:val="21"/>
        </w:rPr>
      </w:pPr>
    </w:p>
    <w:p w14:paraId="088E4E91">
      <w:pPr>
        <w:pStyle w:val="2"/>
        <w:spacing w:before="65" w:line="276" w:lineRule="auto"/>
        <w:ind w:left="260" w:right="327" w:hanging="260"/>
        <w:rPr>
          <w:sz w:val="20"/>
          <w:szCs w:val="20"/>
        </w:rPr>
      </w:pPr>
      <w:r>
        <w:rPr>
          <w:spacing w:val="3"/>
          <w:sz w:val="20"/>
          <w:szCs w:val="20"/>
        </w:rPr>
        <w:t>●机架、配线箱及桥架等设备必须安装牢固可</w:t>
      </w:r>
      <w:r>
        <w:rPr>
          <w:spacing w:val="2"/>
          <w:sz w:val="20"/>
          <w:szCs w:val="20"/>
        </w:rPr>
        <w:t>靠。当有抗震要求时，应根据设计规定或施</w:t>
      </w:r>
      <w:r>
        <w:rPr>
          <w:sz w:val="20"/>
          <w:szCs w:val="20"/>
        </w:rPr>
        <w:t xml:space="preserve"> </w:t>
      </w:r>
      <w:r>
        <w:rPr>
          <w:spacing w:val="1"/>
          <w:sz w:val="20"/>
          <w:szCs w:val="20"/>
        </w:rPr>
        <w:t>工图中防震措施要求进行抗震加固。各种螺丝必须拧紧，无松动、缺少、损坏或锈蚀等</w:t>
      </w:r>
      <w:r>
        <w:rPr>
          <w:sz w:val="20"/>
          <w:szCs w:val="20"/>
        </w:rPr>
        <w:t xml:space="preserve"> </w:t>
      </w:r>
      <w:r>
        <w:rPr>
          <w:spacing w:val="-3"/>
          <w:sz w:val="20"/>
          <w:szCs w:val="20"/>
        </w:rPr>
        <w:t>缺陷，机架更不应有摇晃现象。</w:t>
      </w:r>
    </w:p>
    <w:p w14:paraId="648B12D6">
      <w:pPr>
        <w:pStyle w:val="2"/>
        <w:spacing w:before="79" w:line="271" w:lineRule="auto"/>
        <w:ind w:left="260" w:right="322" w:hanging="260"/>
        <w:rPr>
          <w:sz w:val="20"/>
          <w:szCs w:val="20"/>
        </w:rPr>
      </w:pPr>
      <w:r>
        <w:rPr>
          <w:spacing w:val="8"/>
          <w:sz w:val="20"/>
          <w:szCs w:val="20"/>
        </w:rPr>
        <w:t>●为便于施工和维护人员操作，机柜单排安装时，</w:t>
      </w:r>
      <w:r>
        <w:rPr>
          <w:spacing w:val="7"/>
          <w:sz w:val="20"/>
          <w:szCs w:val="20"/>
        </w:rPr>
        <w:t>前面净空不应小于1000</w:t>
      </w:r>
      <w:r>
        <w:rPr>
          <w:sz w:val="20"/>
          <w:szCs w:val="20"/>
        </w:rPr>
        <w:t>mm</w:t>
      </w:r>
      <w:r>
        <w:rPr>
          <w:spacing w:val="7"/>
          <w:sz w:val="20"/>
          <w:szCs w:val="20"/>
        </w:rPr>
        <w:t>, 后面及侧</w:t>
      </w:r>
      <w:r>
        <w:rPr>
          <w:sz w:val="20"/>
          <w:szCs w:val="20"/>
        </w:rPr>
        <w:t xml:space="preserve"> </w:t>
      </w:r>
      <w:bookmarkStart w:id="722" w:name="bookmark707"/>
      <w:bookmarkEnd w:id="722"/>
      <w:r>
        <w:rPr>
          <w:spacing w:val="3"/>
          <w:sz w:val="20"/>
          <w:szCs w:val="20"/>
        </w:rPr>
        <w:t>面净空不应小于800</w:t>
      </w:r>
      <w:r>
        <w:rPr>
          <w:rFonts w:ascii="Times New Roman" w:hAnsi="Times New Roman" w:eastAsia="Times New Roman" w:cs="Times New Roman"/>
          <w:sz w:val="20"/>
          <w:szCs w:val="20"/>
        </w:rPr>
        <w:t>mm</w:t>
      </w:r>
      <w:r>
        <w:rPr>
          <w:rFonts w:ascii="Times New Roman" w:hAnsi="Times New Roman" w:eastAsia="Times New Roman" w:cs="Times New Roman"/>
          <w:spacing w:val="3"/>
          <w:sz w:val="20"/>
          <w:szCs w:val="20"/>
        </w:rPr>
        <w:t>;</w:t>
      </w:r>
      <w:r>
        <w:rPr>
          <w:rFonts w:ascii="Times New Roman" w:hAnsi="Times New Roman" w:eastAsia="Times New Roman" w:cs="Times New Roman"/>
          <w:spacing w:val="17"/>
          <w:w w:val="101"/>
          <w:sz w:val="20"/>
          <w:szCs w:val="20"/>
        </w:rPr>
        <w:t xml:space="preserve">  </w:t>
      </w:r>
      <w:r>
        <w:rPr>
          <w:spacing w:val="3"/>
          <w:sz w:val="20"/>
          <w:szCs w:val="20"/>
        </w:rPr>
        <w:t>多排安装时，列间距不应小于120</w:t>
      </w:r>
      <w:r>
        <w:rPr>
          <w:spacing w:val="2"/>
          <w:sz w:val="20"/>
          <w:szCs w:val="20"/>
        </w:rPr>
        <w:t>0</w:t>
      </w:r>
      <w:r>
        <w:rPr>
          <w:rFonts w:ascii="Times New Roman" w:hAnsi="Times New Roman" w:eastAsia="Times New Roman" w:cs="Times New Roman"/>
          <w:sz w:val="20"/>
          <w:szCs w:val="20"/>
        </w:rPr>
        <w:t>mm</w:t>
      </w:r>
      <w:r>
        <w:rPr>
          <w:rFonts w:ascii="Times New Roman" w:hAnsi="Times New Roman" w:eastAsia="Times New Roman" w:cs="Times New Roman"/>
          <w:spacing w:val="-23"/>
          <w:sz w:val="20"/>
          <w:szCs w:val="20"/>
        </w:rPr>
        <w:t xml:space="preserve"> </w:t>
      </w:r>
      <w:r>
        <w:rPr>
          <w:spacing w:val="2"/>
          <w:sz w:val="20"/>
          <w:szCs w:val="20"/>
        </w:rPr>
        <w:t>。以便人员施工、维护</w:t>
      </w:r>
      <w:r>
        <w:rPr>
          <w:sz w:val="20"/>
          <w:szCs w:val="20"/>
        </w:rPr>
        <w:t xml:space="preserve"> </w:t>
      </w:r>
      <w:r>
        <w:rPr>
          <w:spacing w:val="-1"/>
          <w:sz w:val="20"/>
          <w:szCs w:val="20"/>
        </w:rPr>
        <w:t>和通行。相邻机架设备应靠近，同列机架和设备的</w:t>
      </w:r>
      <w:r>
        <w:rPr>
          <w:spacing w:val="-2"/>
          <w:sz w:val="20"/>
          <w:szCs w:val="20"/>
        </w:rPr>
        <w:t>机面应排列平齐。</w:t>
      </w:r>
    </w:p>
    <w:p w14:paraId="287F7912">
      <w:pPr>
        <w:pStyle w:val="2"/>
        <w:spacing w:before="112" w:line="219" w:lineRule="auto"/>
        <w:rPr>
          <w:sz w:val="20"/>
          <w:szCs w:val="20"/>
        </w:rPr>
      </w:pPr>
      <w:r>
        <w:rPr>
          <w:spacing w:val="1"/>
          <w:sz w:val="20"/>
          <w:szCs w:val="20"/>
        </w:rPr>
        <w:t>●在数据中心的主机房内通道与设备间的距</w:t>
      </w:r>
      <w:r>
        <w:rPr>
          <w:sz w:val="20"/>
          <w:szCs w:val="20"/>
        </w:rPr>
        <w:t>离还应符合下列规定：</w:t>
      </w:r>
    </w:p>
    <w:p w14:paraId="3797AB1B">
      <w:pPr>
        <w:pStyle w:val="2"/>
        <w:spacing w:before="61" w:line="212" w:lineRule="auto"/>
        <w:ind w:left="260"/>
        <w:rPr>
          <w:sz w:val="20"/>
          <w:szCs w:val="20"/>
        </w:rPr>
      </w:pPr>
      <w:r>
        <w:rPr>
          <w:rFonts w:ascii="Times New Roman" w:hAnsi="Times New Roman" w:eastAsia="Times New Roman" w:cs="Times New Roman"/>
          <w:spacing w:val="1"/>
          <w:sz w:val="20"/>
          <w:szCs w:val="20"/>
        </w:rPr>
        <w:t xml:space="preserve">a)  </w:t>
      </w:r>
      <w:r>
        <w:rPr>
          <w:spacing w:val="1"/>
          <w:sz w:val="20"/>
          <w:szCs w:val="20"/>
        </w:rPr>
        <w:t>用于搬运设备的通道净宽不应小于1.5</w:t>
      </w:r>
      <w:r>
        <w:rPr>
          <w:rFonts w:ascii="Times New Roman" w:hAnsi="Times New Roman" w:eastAsia="Times New Roman" w:cs="Times New Roman"/>
          <w:spacing w:val="1"/>
          <w:sz w:val="20"/>
          <w:szCs w:val="20"/>
        </w:rPr>
        <w:t>m</w:t>
      </w:r>
      <w:r>
        <w:rPr>
          <w:spacing w:val="1"/>
          <w:sz w:val="20"/>
          <w:szCs w:val="20"/>
        </w:rPr>
        <w:t>。</w:t>
      </w:r>
    </w:p>
    <w:p w14:paraId="4180DC4E">
      <w:pPr>
        <w:pStyle w:val="2"/>
        <w:spacing w:before="80" w:line="212" w:lineRule="auto"/>
        <w:ind w:left="260"/>
        <w:rPr>
          <w:sz w:val="20"/>
          <w:szCs w:val="20"/>
        </w:rPr>
      </w:pPr>
      <w:r>
        <w:rPr>
          <w:rFonts w:ascii="Times New Roman" w:hAnsi="Times New Roman" w:eastAsia="Times New Roman" w:cs="Times New Roman"/>
          <w:spacing w:val="7"/>
          <w:sz w:val="20"/>
          <w:szCs w:val="20"/>
        </w:rPr>
        <w:t>b)</w:t>
      </w:r>
      <w:r>
        <w:rPr>
          <w:rFonts w:ascii="Times New Roman" w:hAnsi="Times New Roman" w:eastAsia="Times New Roman" w:cs="Times New Roman"/>
          <w:spacing w:val="16"/>
          <w:w w:val="101"/>
          <w:sz w:val="20"/>
          <w:szCs w:val="20"/>
        </w:rPr>
        <w:t xml:space="preserve">  </w:t>
      </w:r>
      <w:r>
        <w:rPr>
          <w:spacing w:val="7"/>
          <w:sz w:val="20"/>
          <w:szCs w:val="20"/>
        </w:rPr>
        <w:t>面对面布置的机柜(架)正面之间的距离不宜小</w:t>
      </w:r>
      <w:r>
        <w:rPr>
          <w:spacing w:val="6"/>
          <w:sz w:val="20"/>
          <w:szCs w:val="20"/>
        </w:rPr>
        <w:t>于1.2</w:t>
      </w:r>
      <w:r>
        <w:rPr>
          <w:rFonts w:ascii="Times New Roman" w:hAnsi="Times New Roman" w:eastAsia="Times New Roman" w:cs="Times New Roman"/>
          <w:spacing w:val="6"/>
          <w:sz w:val="20"/>
          <w:szCs w:val="20"/>
        </w:rPr>
        <w:t>m</w:t>
      </w:r>
      <w:r>
        <w:rPr>
          <w:spacing w:val="6"/>
          <w:sz w:val="20"/>
          <w:szCs w:val="20"/>
        </w:rPr>
        <w:t>。</w:t>
      </w:r>
    </w:p>
    <w:p w14:paraId="02F4A1E1">
      <w:pPr>
        <w:pStyle w:val="2"/>
        <w:spacing w:before="121" w:line="219" w:lineRule="auto"/>
        <w:ind w:left="260"/>
        <w:rPr>
          <w:sz w:val="20"/>
          <w:szCs w:val="20"/>
        </w:rPr>
      </w:pPr>
      <w:r>
        <w:rPr>
          <w:spacing w:val="6"/>
          <w:sz w:val="20"/>
          <w:szCs w:val="20"/>
        </w:rPr>
        <w:t>c) 背对背布置的机柜(架)背面之间的距离不宜小于0.8m。</w:t>
      </w:r>
    </w:p>
    <w:p w14:paraId="54AFADE6">
      <w:pPr>
        <w:pStyle w:val="2"/>
        <w:spacing w:before="42" w:line="268" w:lineRule="auto"/>
        <w:ind w:left="569" w:right="272" w:hanging="309"/>
        <w:rPr>
          <w:sz w:val="20"/>
          <w:szCs w:val="20"/>
        </w:rPr>
      </w:pPr>
      <w:r>
        <w:rPr>
          <w:rFonts w:ascii="Times New Roman" w:hAnsi="Times New Roman" w:eastAsia="Times New Roman" w:cs="Times New Roman"/>
          <w:spacing w:val="20"/>
          <w:sz w:val="20"/>
          <w:szCs w:val="20"/>
        </w:rPr>
        <w:t xml:space="preserve">d)  </w:t>
      </w:r>
      <w:r>
        <w:rPr>
          <w:spacing w:val="20"/>
          <w:sz w:val="20"/>
          <w:szCs w:val="20"/>
        </w:rPr>
        <w:t>当需要在机柜(架)侧面和后面维修测试时，机柜(架)与机柜(架)、机柜(架)</w:t>
      </w:r>
      <w:r>
        <w:rPr>
          <w:spacing w:val="6"/>
          <w:sz w:val="20"/>
          <w:szCs w:val="20"/>
        </w:rPr>
        <w:t xml:space="preserve"> </w:t>
      </w:r>
      <w:r>
        <w:rPr>
          <w:spacing w:val="-2"/>
          <w:sz w:val="20"/>
          <w:szCs w:val="20"/>
        </w:rPr>
        <w:t>与墙之间的距离不宜小于1.0m。</w:t>
      </w:r>
    </w:p>
    <w:p w14:paraId="0DDCCE82">
      <w:pPr>
        <w:pStyle w:val="2"/>
        <w:spacing w:before="70" w:line="253" w:lineRule="auto"/>
        <w:ind w:left="569" w:right="308" w:hanging="309"/>
        <w:rPr>
          <w:sz w:val="20"/>
          <w:szCs w:val="20"/>
        </w:rPr>
      </w:pPr>
      <w:r>
        <w:rPr>
          <w:rFonts w:ascii="Times New Roman" w:hAnsi="Times New Roman" w:eastAsia="Times New Roman" w:cs="Times New Roman"/>
          <w:spacing w:val="-1"/>
          <w:sz w:val="20"/>
          <w:szCs w:val="20"/>
        </w:rPr>
        <w:t>e)</w:t>
      </w:r>
      <w:r>
        <w:rPr>
          <w:rFonts w:ascii="Times New Roman" w:hAnsi="Times New Roman" w:eastAsia="Times New Roman" w:cs="Times New Roman"/>
          <w:spacing w:val="25"/>
          <w:w w:val="101"/>
          <w:sz w:val="20"/>
          <w:szCs w:val="20"/>
        </w:rPr>
        <w:t xml:space="preserve">  </w:t>
      </w:r>
      <w:r>
        <w:rPr>
          <w:spacing w:val="-1"/>
          <w:sz w:val="20"/>
          <w:szCs w:val="20"/>
        </w:rPr>
        <w:t>成行排列的机柜(架),其长度超过6</w:t>
      </w:r>
      <w:r>
        <w:rPr>
          <w:rFonts w:ascii="Times New Roman" w:hAnsi="Times New Roman" w:eastAsia="Times New Roman" w:cs="Times New Roman"/>
          <w:spacing w:val="-1"/>
          <w:sz w:val="20"/>
          <w:szCs w:val="20"/>
        </w:rPr>
        <w:t>m</w:t>
      </w:r>
      <w:r>
        <w:rPr>
          <w:rFonts w:ascii="Times New Roman" w:hAnsi="Times New Roman" w:eastAsia="Times New Roman" w:cs="Times New Roman"/>
          <w:spacing w:val="-14"/>
          <w:sz w:val="20"/>
          <w:szCs w:val="20"/>
        </w:rPr>
        <w:t xml:space="preserve"> </w:t>
      </w:r>
      <w:r>
        <w:rPr>
          <w:spacing w:val="-1"/>
          <w:sz w:val="20"/>
          <w:szCs w:val="20"/>
        </w:rPr>
        <w:t>时，两端应设有通道；当两个通道之间的距离超</w:t>
      </w:r>
      <w:r>
        <w:rPr>
          <w:sz w:val="20"/>
          <w:szCs w:val="20"/>
        </w:rPr>
        <w:t xml:space="preserve"> </w:t>
      </w:r>
      <w:r>
        <w:rPr>
          <w:spacing w:val="-4"/>
          <w:sz w:val="20"/>
          <w:szCs w:val="20"/>
        </w:rPr>
        <w:t>过15</w:t>
      </w:r>
      <w:r>
        <w:rPr>
          <w:rFonts w:ascii="Times New Roman" w:hAnsi="Times New Roman" w:eastAsia="Times New Roman" w:cs="Times New Roman"/>
          <w:spacing w:val="-4"/>
          <w:sz w:val="20"/>
          <w:szCs w:val="20"/>
        </w:rPr>
        <w:t>m</w:t>
      </w:r>
      <w:r>
        <w:rPr>
          <w:rFonts w:ascii="Times New Roman" w:hAnsi="Times New Roman" w:eastAsia="Times New Roman" w:cs="Times New Roman"/>
          <w:spacing w:val="-12"/>
          <w:sz w:val="20"/>
          <w:szCs w:val="20"/>
        </w:rPr>
        <w:t xml:space="preserve"> </w:t>
      </w:r>
      <w:r>
        <w:rPr>
          <w:spacing w:val="-4"/>
          <w:sz w:val="20"/>
          <w:szCs w:val="20"/>
        </w:rPr>
        <w:t>时，在两个通道之间还应增加通道。通道的宽度不宜小于1</w:t>
      </w:r>
      <w:r>
        <w:rPr>
          <w:rFonts w:ascii="Times New Roman" w:hAnsi="Times New Roman" w:eastAsia="Times New Roman" w:cs="Times New Roman"/>
          <w:spacing w:val="-4"/>
          <w:sz w:val="20"/>
          <w:szCs w:val="20"/>
        </w:rPr>
        <w:t xml:space="preserve">m,  </w:t>
      </w:r>
      <w:r>
        <w:rPr>
          <w:spacing w:val="-4"/>
          <w:sz w:val="20"/>
          <w:szCs w:val="20"/>
        </w:rPr>
        <w:t>局部可为0.8</w:t>
      </w:r>
      <w:r>
        <w:rPr>
          <w:rFonts w:ascii="Times New Roman" w:hAnsi="Times New Roman" w:eastAsia="Times New Roman" w:cs="Times New Roman"/>
          <w:spacing w:val="-4"/>
          <w:sz w:val="20"/>
          <w:szCs w:val="20"/>
        </w:rPr>
        <w:t>m</w:t>
      </w:r>
      <w:r>
        <w:rPr>
          <w:spacing w:val="-4"/>
          <w:sz w:val="20"/>
          <w:szCs w:val="20"/>
        </w:rPr>
        <w:t>。</w:t>
      </w:r>
    </w:p>
    <w:p w14:paraId="7D47A8C1">
      <w:pPr>
        <w:pStyle w:val="2"/>
        <w:spacing w:before="90" w:line="261" w:lineRule="auto"/>
        <w:ind w:left="260" w:right="329" w:hanging="260"/>
        <w:rPr>
          <w:sz w:val="20"/>
          <w:szCs w:val="20"/>
        </w:rPr>
      </w:pPr>
      <w:r>
        <w:rPr>
          <w:spacing w:val="6"/>
          <w:sz w:val="20"/>
          <w:szCs w:val="20"/>
        </w:rPr>
        <w:t>●在公共场所安装配线箱时，壁嵌式箱体底面距地不宜小于1.5m,</w:t>
      </w:r>
      <w:r>
        <w:rPr>
          <w:spacing w:val="56"/>
          <w:sz w:val="20"/>
          <w:szCs w:val="20"/>
        </w:rPr>
        <w:t xml:space="preserve"> </w:t>
      </w:r>
      <w:r>
        <w:rPr>
          <w:spacing w:val="6"/>
          <w:sz w:val="20"/>
          <w:szCs w:val="20"/>
        </w:rPr>
        <w:t>墙挂式箱体底面距地</w:t>
      </w:r>
      <w:r>
        <w:rPr>
          <w:sz w:val="20"/>
          <w:szCs w:val="20"/>
        </w:rPr>
        <w:t xml:space="preserve"> </w:t>
      </w:r>
      <w:r>
        <w:rPr>
          <w:spacing w:val="-1"/>
          <w:sz w:val="20"/>
          <w:szCs w:val="20"/>
        </w:rPr>
        <w:t>不宜小于1.8</w:t>
      </w:r>
      <w:r>
        <w:rPr>
          <w:rFonts w:ascii="Times New Roman" w:hAnsi="Times New Roman" w:eastAsia="Times New Roman" w:cs="Times New Roman"/>
          <w:spacing w:val="-1"/>
          <w:sz w:val="20"/>
          <w:szCs w:val="20"/>
        </w:rPr>
        <w:t>m</w:t>
      </w:r>
      <w:r>
        <w:rPr>
          <w:spacing w:val="-1"/>
          <w:sz w:val="20"/>
          <w:szCs w:val="20"/>
        </w:rPr>
        <w:t>。</w:t>
      </w:r>
    </w:p>
    <w:p w14:paraId="5356A8A5">
      <w:pPr>
        <w:pStyle w:val="2"/>
        <w:spacing w:before="98" w:line="219" w:lineRule="auto"/>
        <w:rPr>
          <w:sz w:val="20"/>
          <w:szCs w:val="20"/>
        </w:rPr>
      </w:pPr>
      <w:r>
        <w:rPr>
          <w:sz w:val="20"/>
          <w:szCs w:val="20"/>
        </w:rPr>
        <w:t>●各类配线部件的安装应符合以下规定要求：</w:t>
      </w:r>
    </w:p>
    <w:p w14:paraId="0A5C0198">
      <w:pPr>
        <w:pStyle w:val="2"/>
        <w:spacing w:before="50" w:line="212" w:lineRule="auto"/>
        <w:ind w:left="260"/>
        <w:rPr>
          <w:sz w:val="20"/>
          <w:szCs w:val="20"/>
        </w:rPr>
      </w:pPr>
      <w:r>
        <w:rPr>
          <w:rFonts w:ascii="Times New Roman" w:hAnsi="Times New Roman" w:eastAsia="Times New Roman" w:cs="Times New Roman"/>
          <w:spacing w:val="-3"/>
          <w:sz w:val="20"/>
          <w:szCs w:val="20"/>
        </w:rPr>
        <w:t>a)</w:t>
      </w:r>
      <w:r>
        <w:rPr>
          <w:rFonts w:ascii="Times New Roman" w:hAnsi="Times New Roman" w:eastAsia="Times New Roman" w:cs="Times New Roman"/>
          <w:spacing w:val="22"/>
          <w:w w:val="101"/>
          <w:sz w:val="20"/>
          <w:szCs w:val="20"/>
        </w:rPr>
        <w:t xml:space="preserve">  </w:t>
      </w:r>
      <w:r>
        <w:rPr>
          <w:spacing w:val="-3"/>
          <w:sz w:val="20"/>
          <w:szCs w:val="20"/>
        </w:rPr>
        <w:t>各部件应完整，安装就位，标志齐全、清晰；</w:t>
      </w:r>
    </w:p>
    <w:p w14:paraId="4FB29326">
      <w:pPr>
        <w:pStyle w:val="2"/>
        <w:spacing w:before="90" w:line="212" w:lineRule="auto"/>
        <w:ind w:left="260"/>
        <w:rPr>
          <w:sz w:val="20"/>
          <w:szCs w:val="20"/>
        </w:rPr>
      </w:pPr>
      <w:r>
        <w:rPr>
          <w:rFonts w:ascii="Times New Roman" w:hAnsi="Times New Roman" w:eastAsia="Times New Roman" w:cs="Times New Roman"/>
          <w:spacing w:val="-1"/>
          <w:sz w:val="20"/>
          <w:szCs w:val="20"/>
        </w:rPr>
        <w:t>b)</w:t>
      </w:r>
      <w:r>
        <w:rPr>
          <w:rFonts w:ascii="Times New Roman" w:hAnsi="Times New Roman" w:eastAsia="Times New Roman" w:cs="Times New Roman"/>
          <w:spacing w:val="19"/>
          <w:w w:val="101"/>
          <w:sz w:val="20"/>
          <w:szCs w:val="20"/>
        </w:rPr>
        <w:t xml:space="preserve">  </w:t>
      </w:r>
      <w:r>
        <w:rPr>
          <w:spacing w:val="-1"/>
          <w:sz w:val="20"/>
          <w:szCs w:val="20"/>
        </w:rPr>
        <w:t>安装螺丝应拧紧，面板应保持在一个平面上。</w:t>
      </w:r>
    </w:p>
    <w:p w14:paraId="5F250804">
      <w:pPr>
        <w:pStyle w:val="2"/>
        <w:spacing w:before="93" w:line="219" w:lineRule="auto"/>
        <w:rPr>
          <w:sz w:val="20"/>
          <w:szCs w:val="20"/>
        </w:rPr>
      </w:pPr>
      <w:r>
        <w:rPr>
          <w:spacing w:val="1"/>
          <w:sz w:val="20"/>
          <w:szCs w:val="20"/>
        </w:rPr>
        <w:t>●信息插座模块安装应符合下列规定：</w:t>
      </w:r>
    </w:p>
    <w:p w14:paraId="4740E3C6">
      <w:pPr>
        <w:pStyle w:val="2"/>
        <w:spacing w:before="71" w:line="263" w:lineRule="auto"/>
        <w:ind w:left="569" w:right="320" w:hanging="309"/>
        <w:rPr>
          <w:sz w:val="20"/>
          <w:szCs w:val="20"/>
        </w:rPr>
      </w:pPr>
      <w:r>
        <w:rPr>
          <w:rFonts w:ascii="Times New Roman" w:hAnsi="Times New Roman" w:eastAsia="Times New Roman" w:cs="Times New Roman"/>
          <w:spacing w:val="4"/>
          <w:sz w:val="20"/>
          <w:szCs w:val="20"/>
        </w:rPr>
        <w:t>a)</w:t>
      </w:r>
      <w:r>
        <w:rPr>
          <w:rFonts w:ascii="Times New Roman" w:hAnsi="Times New Roman" w:eastAsia="Times New Roman" w:cs="Times New Roman"/>
          <w:spacing w:val="19"/>
          <w:sz w:val="20"/>
          <w:szCs w:val="20"/>
        </w:rPr>
        <w:t xml:space="preserve">  </w:t>
      </w:r>
      <w:r>
        <w:rPr>
          <w:spacing w:val="4"/>
          <w:sz w:val="20"/>
          <w:szCs w:val="20"/>
        </w:rPr>
        <w:t>信息插座底盒、多用户信息插座及集合点配线箱、用户单元信息配线箱安装位置和</w:t>
      </w:r>
      <w:r>
        <w:rPr>
          <w:sz w:val="20"/>
          <w:szCs w:val="20"/>
        </w:rPr>
        <w:t xml:space="preserve"> </w:t>
      </w:r>
      <w:r>
        <w:rPr>
          <w:spacing w:val="-4"/>
          <w:sz w:val="20"/>
          <w:szCs w:val="20"/>
        </w:rPr>
        <w:t>高度应符合设计文件要求。</w:t>
      </w:r>
    </w:p>
    <w:p w14:paraId="19E1A079">
      <w:pPr>
        <w:pStyle w:val="2"/>
        <w:spacing w:before="51" w:line="258" w:lineRule="auto"/>
        <w:ind w:left="569" w:right="297" w:hanging="309"/>
        <w:rPr>
          <w:sz w:val="20"/>
          <w:szCs w:val="20"/>
        </w:rPr>
      </w:pPr>
      <w:r>
        <w:rPr>
          <w:rFonts w:ascii="Times New Roman" w:hAnsi="Times New Roman" w:eastAsia="Times New Roman" w:cs="Times New Roman"/>
          <w:spacing w:val="4"/>
          <w:sz w:val="20"/>
          <w:szCs w:val="20"/>
        </w:rPr>
        <w:t>b)</w:t>
      </w:r>
      <w:r>
        <w:rPr>
          <w:rFonts w:ascii="Times New Roman" w:hAnsi="Times New Roman" w:eastAsia="Times New Roman" w:cs="Times New Roman"/>
          <w:spacing w:val="16"/>
          <w:w w:val="101"/>
          <w:sz w:val="20"/>
          <w:szCs w:val="20"/>
        </w:rPr>
        <w:t xml:space="preserve">  </w:t>
      </w:r>
      <w:r>
        <w:rPr>
          <w:spacing w:val="4"/>
          <w:sz w:val="20"/>
          <w:szCs w:val="20"/>
        </w:rPr>
        <w:t>安装在活动地板内或地面上时，应固定在接线盒内</w:t>
      </w:r>
      <w:r>
        <w:rPr>
          <w:spacing w:val="3"/>
          <w:sz w:val="20"/>
          <w:szCs w:val="20"/>
        </w:rPr>
        <w:t>，插座面板采用直立和水平等形</w:t>
      </w:r>
      <w:r>
        <w:rPr>
          <w:sz w:val="20"/>
          <w:szCs w:val="20"/>
        </w:rPr>
        <w:t xml:space="preserve"> </w:t>
      </w:r>
      <w:r>
        <w:rPr>
          <w:spacing w:val="-1"/>
          <w:sz w:val="20"/>
          <w:szCs w:val="20"/>
        </w:rPr>
        <w:t>式；接线盒盖可开启，并应具有防水、防尘、抗压功能。接线盒盖面应与</w:t>
      </w:r>
      <w:r>
        <w:rPr>
          <w:spacing w:val="-2"/>
          <w:sz w:val="20"/>
          <w:szCs w:val="20"/>
        </w:rPr>
        <w:t>地面齐平。</w:t>
      </w:r>
    </w:p>
    <w:p w14:paraId="424BF9D7">
      <w:pPr>
        <w:pStyle w:val="2"/>
        <w:spacing w:before="39" w:line="268" w:lineRule="auto"/>
        <w:ind w:left="569" w:right="328" w:hanging="309"/>
        <w:rPr>
          <w:sz w:val="20"/>
          <w:szCs w:val="20"/>
        </w:rPr>
      </w:pPr>
      <w:r>
        <w:rPr>
          <w:rFonts w:ascii="Times New Roman" w:hAnsi="Times New Roman" w:eastAsia="Times New Roman" w:cs="Times New Roman"/>
          <w:spacing w:val="4"/>
          <w:sz w:val="20"/>
          <w:szCs w:val="20"/>
        </w:rPr>
        <w:t>c)</w:t>
      </w:r>
      <w:r>
        <w:rPr>
          <w:rFonts w:ascii="Times New Roman" w:hAnsi="Times New Roman" w:eastAsia="Times New Roman" w:cs="Times New Roman"/>
          <w:spacing w:val="20"/>
          <w:w w:val="101"/>
          <w:sz w:val="20"/>
          <w:szCs w:val="20"/>
        </w:rPr>
        <w:t xml:space="preserve">  </w:t>
      </w:r>
      <w:r>
        <w:rPr>
          <w:spacing w:val="4"/>
          <w:sz w:val="20"/>
          <w:szCs w:val="20"/>
        </w:rPr>
        <w:t>信息插座底盒同时安装信息插座模块和电源插座时，间</w:t>
      </w:r>
      <w:r>
        <w:rPr>
          <w:spacing w:val="3"/>
          <w:sz w:val="20"/>
          <w:szCs w:val="20"/>
        </w:rPr>
        <w:t>距及采取的防护措施应符合</w:t>
      </w:r>
      <w:r>
        <w:rPr>
          <w:sz w:val="20"/>
          <w:szCs w:val="20"/>
        </w:rPr>
        <w:t xml:space="preserve"> </w:t>
      </w:r>
      <w:r>
        <w:rPr>
          <w:spacing w:val="-5"/>
          <w:sz w:val="20"/>
          <w:szCs w:val="20"/>
        </w:rPr>
        <w:t>设计文件要求。</w:t>
      </w:r>
    </w:p>
    <w:p w14:paraId="625A53D1">
      <w:pPr>
        <w:pStyle w:val="2"/>
        <w:spacing w:before="40" w:line="212" w:lineRule="auto"/>
        <w:ind w:left="260"/>
        <w:rPr>
          <w:sz w:val="20"/>
          <w:szCs w:val="20"/>
        </w:rPr>
      </w:pPr>
      <w:r>
        <w:rPr>
          <w:rFonts w:ascii="Times New Roman" w:hAnsi="Times New Roman" w:eastAsia="Times New Roman" w:cs="Times New Roman"/>
          <w:spacing w:val="-2"/>
          <w:sz w:val="20"/>
          <w:szCs w:val="20"/>
        </w:rPr>
        <w:t>d)</w:t>
      </w:r>
      <w:r>
        <w:rPr>
          <w:rFonts w:ascii="Times New Roman" w:hAnsi="Times New Roman" w:eastAsia="Times New Roman" w:cs="Times New Roman"/>
          <w:spacing w:val="20"/>
          <w:w w:val="101"/>
          <w:sz w:val="20"/>
          <w:szCs w:val="20"/>
        </w:rPr>
        <w:t xml:space="preserve">  </w:t>
      </w:r>
      <w:r>
        <w:rPr>
          <w:spacing w:val="-2"/>
          <w:sz w:val="20"/>
          <w:szCs w:val="20"/>
        </w:rPr>
        <w:t>信息插座底盒明装的固定方法应根据施工现场条件而定。</w:t>
      </w:r>
    </w:p>
    <w:p w14:paraId="2905383B">
      <w:pPr>
        <w:pStyle w:val="2"/>
        <w:spacing w:before="80" w:line="212" w:lineRule="auto"/>
        <w:ind w:left="260"/>
        <w:rPr>
          <w:sz w:val="20"/>
          <w:szCs w:val="20"/>
        </w:rPr>
      </w:pPr>
      <w:r>
        <w:rPr>
          <w:rFonts w:ascii="Times New Roman" w:hAnsi="Times New Roman" w:eastAsia="Times New Roman" w:cs="Times New Roman"/>
          <w:spacing w:val="-2"/>
          <w:sz w:val="20"/>
          <w:szCs w:val="20"/>
        </w:rPr>
        <w:t>e)</w:t>
      </w:r>
      <w:r>
        <w:rPr>
          <w:rFonts w:ascii="Times New Roman" w:hAnsi="Times New Roman" w:eastAsia="Times New Roman" w:cs="Times New Roman"/>
          <w:spacing w:val="16"/>
          <w:w w:val="101"/>
          <w:sz w:val="20"/>
          <w:szCs w:val="20"/>
        </w:rPr>
        <w:t xml:space="preserve">  </w:t>
      </w:r>
      <w:r>
        <w:rPr>
          <w:spacing w:val="-2"/>
          <w:sz w:val="20"/>
          <w:szCs w:val="20"/>
        </w:rPr>
        <w:t>固定螺丝应拧紧，不应产生松动现象。</w:t>
      </w:r>
    </w:p>
    <w:p w14:paraId="191CB264">
      <w:pPr>
        <w:pStyle w:val="2"/>
        <w:spacing w:before="91" w:line="212" w:lineRule="auto"/>
        <w:ind w:left="260"/>
        <w:rPr>
          <w:sz w:val="20"/>
          <w:szCs w:val="20"/>
        </w:rPr>
      </w:pPr>
      <w:r>
        <w:rPr>
          <w:rFonts w:ascii="Times New Roman" w:hAnsi="Times New Roman" w:eastAsia="Times New Roman" w:cs="Times New Roman"/>
          <w:spacing w:val="-1"/>
          <w:sz w:val="20"/>
          <w:szCs w:val="20"/>
        </w:rPr>
        <w:t>f)</w:t>
      </w:r>
      <w:r>
        <w:rPr>
          <w:rFonts w:ascii="Times New Roman" w:hAnsi="Times New Roman" w:eastAsia="Times New Roman" w:cs="Times New Roman"/>
          <w:spacing w:val="30"/>
          <w:w w:val="101"/>
          <w:sz w:val="20"/>
          <w:szCs w:val="20"/>
        </w:rPr>
        <w:t xml:space="preserve">  </w:t>
      </w:r>
      <w:r>
        <w:rPr>
          <w:spacing w:val="-1"/>
          <w:sz w:val="20"/>
          <w:szCs w:val="20"/>
        </w:rPr>
        <w:t>各种插座面板应有标识，以颜色、图形、文字表示所接终端设备业务类型。</w:t>
      </w:r>
    </w:p>
    <w:p w14:paraId="1851BE48">
      <w:pPr>
        <w:pStyle w:val="2"/>
        <w:spacing w:before="59" w:line="268" w:lineRule="auto"/>
        <w:ind w:left="569" w:right="325" w:hanging="309"/>
        <w:rPr>
          <w:sz w:val="20"/>
          <w:szCs w:val="20"/>
        </w:rPr>
      </w:pPr>
      <w:r>
        <w:rPr>
          <w:rFonts w:ascii="Times New Roman" w:hAnsi="Times New Roman" w:eastAsia="Times New Roman" w:cs="Times New Roman"/>
          <w:spacing w:val="3"/>
          <w:sz w:val="20"/>
          <w:szCs w:val="20"/>
        </w:rPr>
        <w:t>g)</w:t>
      </w:r>
      <w:r>
        <w:rPr>
          <w:rFonts w:ascii="Times New Roman" w:hAnsi="Times New Roman" w:eastAsia="Times New Roman" w:cs="Times New Roman"/>
          <w:spacing w:val="29"/>
          <w:w w:val="101"/>
          <w:sz w:val="20"/>
          <w:szCs w:val="20"/>
        </w:rPr>
        <w:t xml:space="preserve">  </w:t>
      </w:r>
      <w:r>
        <w:rPr>
          <w:spacing w:val="3"/>
          <w:sz w:val="20"/>
          <w:szCs w:val="20"/>
        </w:rPr>
        <w:t>工作区内终接光缆的光纤连接器件及适配器安装底盒应具有空间，并应符合设计文</w:t>
      </w:r>
      <w:r>
        <w:rPr>
          <w:sz w:val="20"/>
          <w:szCs w:val="20"/>
        </w:rPr>
        <w:t xml:space="preserve"> </w:t>
      </w:r>
      <w:r>
        <w:rPr>
          <w:spacing w:val="-7"/>
          <w:sz w:val="20"/>
          <w:szCs w:val="20"/>
        </w:rPr>
        <w:t>件要求。</w:t>
      </w:r>
    </w:p>
    <w:p w14:paraId="6BCDA28C">
      <w:pPr>
        <w:pStyle w:val="2"/>
        <w:spacing w:before="63" w:line="219" w:lineRule="auto"/>
        <w:rPr>
          <w:sz w:val="20"/>
          <w:szCs w:val="20"/>
        </w:rPr>
      </w:pPr>
      <w:r>
        <w:rPr>
          <w:spacing w:val="1"/>
          <w:sz w:val="20"/>
          <w:szCs w:val="20"/>
        </w:rPr>
        <w:t>●缆线桥架的安装应符合下列规定：</w:t>
      </w:r>
    </w:p>
    <w:p w14:paraId="1596EA1F">
      <w:pPr>
        <w:pStyle w:val="2"/>
        <w:spacing w:before="70" w:line="212" w:lineRule="auto"/>
        <w:ind w:left="26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a)   </w:t>
      </w:r>
      <w:r>
        <w:rPr>
          <w:spacing w:val="1"/>
          <w:sz w:val="20"/>
          <w:szCs w:val="20"/>
        </w:rPr>
        <w:t>安装位置应符合施工图要求，左右偏差不应超过50</w:t>
      </w:r>
      <w:r>
        <w:rPr>
          <w:rFonts w:ascii="Times New Roman" w:hAnsi="Times New Roman" w:eastAsia="Times New Roman" w:cs="Times New Roman"/>
          <w:sz w:val="20"/>
          <w:szCs w:val="20"/>
        </w:rPr>
        <w:t>mm</w:t>
      </w:r>
      <w:r>
        <w:rPr>
          <w:rFonts w:ascii="Times New Roman" w:hAnsi="Times New Roman" w:eastAsia="Times New Roman" w:cs="Times New Roman"/>
          <w:spacing w:val="1"/>
          <w:sz w:val="20"/>
          <w:szCs w:val="20"/>
        </w:rPr>
        <w:t>;</w:t>
      </w:r>
    </w:p>
    <w:p w14:paraId="4AE77CF4">
      <w:pPr>
        <w:pStyle w:val="2"/>
        <w:spacing w:before="93" w:line="219" w:lineRule="auto"/>
        <w:ind w:left="260"/>
        <w:rPr>
          <w:sz w:val="20"/>
          <w:szCs w:val="20"/>
        </w:rPr>
      </w:pPr>
      <w:r>
        <w:rPr>
          <w:spacing w:val="2"/>
          <w:sz w:val="20"/>
          <w:szCs w:val="20"/>
        </w:rPr>
        <w:t>b) 安装水平度每米偏差不应超过2</w:t>
      </w:r>
      <w:r>
        <w:rPr>
          <w:sz w:val="20"/>
          <w:szCs w:val="20"/>
        </w:rPr>
        <w:t>mm</w:t>
      </w:r>
      <w:r>
        <w:rPr>
          <w:spacing w:val="2"/>
          <w:sz w:val="20"/>
          <w:szCs w:val="20"/>
        </w:rPr>
        <w:t>;</w:t>
      </w:r>
    </w:p>
    <w:p w14:paraId="15E5122F">
      <w:pPr>
        <w:pStyle w:val="2"/>
        <w:spacing w:before="50" w:line="212" w:lineRule="auto"/>
        <w:ind w:left="26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c)   </w:t>
      </w:r>
      <w:r>
        <w:rPr>
          <w:spacing w:val="1"/>
          <w:sz w:val="20"/>
          <w:szCs w:val="20"/>
        </w:rPr>
        <w:t>垂直安装应与地面保持垂直，垂直度偏差不应超过3</w:t>
      </w:r>
      <w:r>
        <w:rPr>
          <w:rFonts w:ascii="Times New Roman" w:hAnsi="Times New Roman" w:eastAsia="Times New Roman" w:cs="Times New Roman"/>
          <w:sz w:val="20"/>
          <w:szCs w:val="20"/>
        </w:rPr>
        <w:t>mm</w:t>
      </w:r>
      <w:r>
        <w:rPr>
          <w:rFonts w:ascii="Times New Roman" w:hAnsi="Times New Roman" w:eastAsia="Times New Roman" w:cs="Times New Roman"/>
          <w:spacing w:val="1"/>
          <w:sz w:val="20"/>
          <w:szCs w:val="20"/>
        </w:rPr>
        <w:t>;</w:t>
      </w:r>
    </w:p>
    <w:p w14:paraId="65330D61">
      <w:pPr>
        <w:pStyle w:val="2"/>
        <w:spacing w:before="70" w:line="212" w:lineRule="auto"/>
        <w:ind w:left="260"/>
        <w:rPr>
          <w:sz w:val="20"/>
          <w:szCs w:val="20"/>
        </w:rPr>
      </w:pPr>
      <w:r>
        <w:rPr>
          <w:rFonts w:ascii="Times New Roman" w:hAnsi="Times New Roman" w:eastAsia="Times New Roman" w:cs="Times New Roman"/>
          <w:spacing w:val="-4"/>
          <w:sz w:val="20"/>
          <w:szCs w:val="20"/>
        </w:rPr>
        <w:t>d)</w:t>
      </w:r>
      <w:r>
        <w:rPr>
          <w:rFonts w:ascii="Times New Roman" w:hAnsi="Times New Roman" w:eastAsia="Times New Roman" w:cs="Times New Roman"/>
          <w:spacing w:val="23"/>
          <w:sz w:val="20"/>
          <w:szCs w:val="20"/>
        </w:rPr>
        <w:t xml:space="preserve">  </w:t>
      </w:r>
      <w:r>
        <w:rPr>
          <w:spacing w:val="-4"/>
          <w:sz w:val="20"/>
          <w:szCs w:val="20"/>
        </w:rPr>
        <w:t>桥架截断处及拼接处应平滑、无毛刺；</w:t>
      </w:r>
    </w:p>
    <w:p w14:paraId="4379D2D6">
      <w:pPr>
        <w:spacing w:line="212" w:lineRule="auto"/>
        <w:rPr>
          <w:sz w:val="20"/>
          <w:szCs w:val="20"/>
        </w:rPr>
        <w:sectPr>
          <w:pgSz w:w="10290" w:h="13310"/>
          <w:pgMar w:top="400" w:right="573" w:bottom="400" w:left="1489" w:header="0" w:footer="0" w:gutter="0"/>
          <w:cols w:space="720" w:num="1"/>
        </w:sectPr>
      </w:pPr>
    </w:p>
    <w:p w14:paraId="0143CC77">
      <w:pPr>
        <w:pStyle w:val="2"/>
        <w:spacing w:before="77" w:line="219" w:lineRule="auto"/>
        <w:rPr>
          <w:sz w:val="19"/>
          <w:szCs w:val="19"/>
        </w:rPr>
      </w:pPr>
      <w:bookmarkStart w:id="723" w:name="bookmark708"/>
      <w:bookmarkEnd w:id="723"/>
      <w:r>
        <w:rPr>
          <w:rFonts w:ascii="Times New Roman" w:hAnsi="Times New Roman" w:eastAsia="Times New Roman" w:cs="Times New Roman"/>
          <w:spacing w:val="4"/>
          <w:position w:val="-4"/>
          <w:sz w:val="19"/>
          <w:szCs w:val="19"/>
        </w:rPr>
        <w:t>490</w:t>
      </w:r>
      <w:r>
        <w:rPr>
          <w:rFonts w:ascii="Times New Roman" w:hAnsi="Times New Roman" w:eastAsia="Times New Roman" w:cs="Times New Roman"/>
          <w:spacing w:val="1"/>
          <w:position w:val="-4"/>
          <w:sz w:val="19"/>
          <w:szCs w:val="19"/>
        </w:rPr>
        <w:t xml:space="preserve">               </w:t>
      </w:r>
      <w:r>
        <w:rPr>
          <w:spacing w:val="4"/>
          <w:sz w:val="19"/>
          <w:szCs w:val="19"/>
        </w:rPr>
        <w:t>信息系统监理师教程(第2版)</w:t>
      </w:r>
    </w:p>
    <w:p w14:paraId="07D794EC">
      <w:pPr>
        <w:spacing w:line="274" w:lineRule="auto"/>
        <w:rPr>
          <w:rFonts w:ascii="Arial"/>
          <w:sz w:val="21"/>
        </w:rPr>
      </w:pPr>
    </w:p>
    <w:p w14:paraId="7701A236">
      <w:pPr>
        <w:pStyle w:val="2"/>
        <w:spacing w:before="62" w:line="212" w:lineRule="auto"/>
        <w:ind w:left="1060"/>
        <w:rPr>
          <w:sz w:val="19"/>
          <w:szCs w:val="19"/>
        </w:rPr>
      </w:pPr>
      <w:r>
        <w:rPr>
          <w:rFonts w:ascii="Times New Roman" w:hAnsi="Times New Roman" w:eastAsia="Times New Roman" w:cs="Times New Roman"/>
          <w:spacing w:val="6"/>
          <w:sz w:val="19"/>
          <w:szCs w:val="19"/>
        </w:rPr>
        <w:t xml:space="preserve">e)   </w:t>
      </w:r>
      <w:r>
        <w:rPr>
          <w:spacing w:val="6"/>
          <w:sz w:val="19"/>
          <w:szCs w:val="19"/>
        </w:rPr>
        <w:t>吊架和支架安装应保持垂直，整齐牢固，无歪斜现象；</w:t>
      </w:r>
    </w:p>
    <w:p w14:paraId="135E18D8">
      <w:pPr>
        <w:pStyle w:val="2"/>
        <w:spacing w:before="121" w:line="212" w:lineRule="auto"/>
        <w:ind w:left="1060"/>
        <w:rPr>
          <w:sz w:val="19"/>
          <w:szCs w:val="19"/>
        </w:rPr>
      </w:pPr>
      <w:r>
        <w:rPr>
          <w:rFonts w:ascii="Times New Roman" w:hAnsi="Times New Roman" w:eastAsia="Times New Roman" w:cs="Times New Roman"/>
          <w:spacing w:val="7"/>
          <w:sz w:val="19"/>
          <w:szCs w:val="19"/>
        </w:rPr>
        <w:t>f)</w:t>
      </w:r>
      <w:r>
        <w:rPr>
          <w:rFonts w:ascii="Times New Roman" w:hAnsi="Times New Roman" w:eastAsia="Times New Roman" w:cs="Times New Roman"/>
          <w:spacing w:val="23"/>
          <w:sz w:val="19"/>
          <w:szCs w:val="19"/>
        </w:rPr>
        <w:t xml:space="preserve">  </w:t>
      </w:r>
      <w:r>
        <w:rPr>
          <w:spacing w:val="7"/>
          <w:sz w:val="19"/>
          <w:szCs w:val="19"/>
        </w:rPr>
        <w:t>金属桥架及金属导管各段之间应保持连接良好，安装牢固；</w:t>
      </w:r>
    </w:p>
    <w:p w14:paraId="557AC0D3">
      <w:pPr>
        <w:pStyle w:val="2"/>
        <w:spacing w:before="111" w:line="212" w:lineRule="auto"/>
        <w:ind w:left="1060"/>
        <w:rPr>
          <w:sz w:val="19"/>
          <w:szCs w:val="19"/>
        </w:rPr>
      </w:pPr>
      <w:r>
        <w:rPr>
          <w:rFonts w:ascii="Times New Roman" w:hAnsi="Times New Roman" w:eastAsia="Times New Roman" w:cs="Times New Roman"/>
          <w:spacing w:val="9"/>
          <w:sz w:val="19"/>
          <w:szCs w:val="19"/>
        </w:rPr>
        <w:t>g)</w:t>
      </w:r>
      <w:r>
        <w:rPr>
          <w:rFonts w:ascii="Times New Roman" w:hAnsi="Times New Roman" w:eastAsia="Times New Roman" w:cs="Times New Roman"/>
          <w:spacing w:val="18"/>
          <w:sz w:val="19"/>
          <w:szCs w:val="19"/>
        </w:rPr>
        <w:t xml:space="preserve">  </w:t>
      </w:r>
      <w:r>
        <w:rPr>
          <w:spacing w:val="9"/>
          <w:sz w:val="19"/>
          <w:szCs w:val="19"/>
        </w:rPr>
        <w:t>采用垂直槽盒布放缆线时，支撑点宜避开地面沟槽和槽盒位置，支撑应牢固。</w:t>
      </w:r>
    </w:p>
    <w:p w14:paraId="055958A3">
      <w:pPr>
        <w:pStyle w:val="2"/>
        <w:spacing w:before="83" w:line="287" w:lineRule="auto"/>
        <w:ind w:left="1060" w:right="32" w:hanging="290"/>
        <w:rPr>
          <w:sz w:val="19"/>
          <w:szCs w:val="19"/>
        </w:rPr>
      </w:pPr>
      <w:r>
        <w:rPr>
          <w:spacing w:val="13"/>
          <w:sz w:val="19"/>
          <w:szCs w:val="19"/>
        </w:rPr>
        <w:t>●安装机柜、配线箱、配线设备屏蔽层及金属导管、桥架使用的接地体应保持良好的电气</w:t>
      </w:r>
      <w:r>
        <w:rPr>
          <w:spacing w:val="4"/>
          <w:sz w:val="19"/>
          <w:szCs w:val="19"/>
        </w:rPr>
        <w:t xml:space="preserve"> </w:t>
      </w:r>
      <w:r>
        <w:rPr>
          <w:spacing w:val="11"/>
          <w:sz w:val="19"/>
          <w:szCs w:val="19"/>
        </w:rPr>
        <w:t>连接。所有与地线连接处应使用接地垫圈，垫圈尖应对向铁件，刺</w:t>
      </w:r>
      <w:r>
        <w:rPr>
          <w:spacing w:val="10"/>
          <w:sz w:val="19"/>
          <w:szCs w:val="19"/>
        </w:rPr>
        <w:t>破其涂层。只允许一</w:t>
      </w:r>
      <w:r>
        <w:rPr>
          <w:sz w:val="19"/>
          <w:szCs w:val="19"/>
        </w:rPr>
        <w:t xml:space="preserve"> </w:t>
      </w:r>
      <w:r>
        <w:rPr>
          <w:spacing w:val="8"/>
          <w:sz w:val="19"/>
          <w:szCs w:val="19"/>
        </w:rPr>
        <w:t>次装好，不得将已装过的垫圈取下重复使用，以保证</w:t>
      </w:r>
      <w:r>
        <w:rPr>
          <w:spacing w:val="7"/>
          <w:sz w:val="19"/>
          <w:szCs w:val="19"/>
        </w:rPr>
        <w:t>接地回路畅通。</w:t>
      </w:r>
    </w:p>
    <w:p w14:paraId="1EB075C8">
      <w:pPr>
        <w:pStyle w:val="2"/>
        <w:spacing w:before="210" w:line="222" w:lineRule="auto"/>
        <w:ind w:left="772"/>
        <w:rPr>
          <w:rFonts w:ascii="黑体" w:hAnsi="黑体" w:eastAsia="黑体" w:cs="黑体"/>
          <w:sz w:val="19"/>
          <w:szCs w:val="19"/>
        </w:rPr>
      </w:pPr>
      <w:r>
        <w:rPr>
          <w:b/>
          <w:bCs/>
          <w:color w:val="006EC3"/>
          <w:spacing w:val="6"/>
          <w:sz w:val="19"/>
          <w:szCs w:val="19"/>
        </w:rPr>
        <w:t>3.</w:t>
      </w:r>
      <w:r>
        <w:rPr>
          <w:rFonts w:ascii="黑体" w:hAnsi="黑体" w:eastAsia="黑体" w:cs="黑体"/>
          <w:b/>
          <w:bCs/>
          <w:color w:val="006EC3"/>
          <w:spacing w:val="6"/>
          <w:sz w:val="19"/>
          <w:szCs w:val="19"/>
        </w:rPr>
        <w:t>验收阶段监理内容</w:t>
      </w:r>
    </w:p>
    <w:p w14:paraId="17436268">
      <w:pPr>
        <w:pStyle w:val="2"/>
        <w:spacing w:before="154" w:line="219" w:lineRule="auto"/>
        <w:ind w:left="770"/>
        <w:rPr>
          <w:sz w:val="19"/>
          <w:szCs w:val="19"/>
        </w:rPr>
      </w:pPr>
      <w:r>
        <w:rPr>
          <w:spacing w:val="7"/>
          <w:sz w:val="19"/>
          <w:szCs w:val="19"/>
        </w:rPr>
        <w:t>通用布缆系统工程验收阶段的监理内容具体如下：</w:t>
      </w:r>
    </w:p>
    <w:p w14:paraId="3FD90126">
      <w:pPr>
        <w:pStyle w:val="2"/>
        <w:spacing w:before="76" w:line="220" w:lineRule="auto"/>
        <w:ind w:left="770"/>
        <w:rPr>
          <w:sz w:val="19"/>
          <w:szCs w:val="19"/>
        </w:rPr>
      </w:pPr>
      <w:r>
        <w:rPr>
          <w:spacing w:val="16"/>
          <w:sz w:val="19"/>
          <w:szCs w:val="19"/>
        </w:rPr>
        <w:t>(1)工程自测。</w:t>
      </w:r>
    </w:p>
    <w:p w14:paraId="721C4141">
      <w:pPr>
        <w:pStyle w:val="2"/>
        <w:spacing w:before="92" w:line="219" w:lineRule="auto"/>
        <w:ind w:left="770"/>
        <w:rPr>
          <w:sz w:val="19"/>
          <w:szCs w:val="19"/>
        </w:rPr>
      </w:pPr>
      <w:r>
        <w:rPr>
          <w:spacing w:val="9"/>
          <w:sz w:val="19"/>
          <w:szCs w:val="19"/>
        </w:rPr>
        <w:t>承建单位应对完成的工程进行自测，监理机</w:t>
      </w:r>
      <w:r>
        <w:rPr>
          <w:spacing w:val="8"/>
          <w:sz w:val="19"/>
          <w:szCs w:val="19"/>
        </w:rPr>
        <w:t>构对承建单位的自测进行检查，具体如下：</w:t>
      </w:r>
    </w:p>
    <w:p w14:paraId="6F3F3ED2">
      <w:pPr>
        <w:pStyle w:val="2"/>
        <w:spacing w:before="96" w:line="219" w:lineRule="auto"/>
        <w:ind w:left="770"/>
        <w:rPr>
          <w:sz w:val="19"/>
          <w:szCs w:val="19"/>
        </w:rPr>
      </w:pPr>
      <w:r>
        <w:rPr>
          <w:spacing w:val="10"/>
          <w:sz w:val="19"/>
          <w:szCs w:val="19"/>
        </w:rPr>
        <w:t>●检查承建单位的测试仪器的有效性和可用性；</w:t>
      </w:r>
    </w:p>
    <w:p w14:paraId="7CF036BD">
      <w:pPr>
        <w:pStyle w:val="2"/>
        <w:spacing w:before="93" w:line="218" w:lineRule="auto"/>
        <w:ind w:left="770"/>
        <w:rPr>
          <w:sz w:val="19"/>
          <w:szCs w:val="19"/>
        </w:rPr>
      </w:pPr>
      <w:r>
        <w:rPr>
          <w:spacing w:val="10"/>
          <w:sz w:val="19"/>
          <w:szCs w:val="19"/>
        </w:rPr>
        <w:t>●要求承建单位对通用布缆系统工程包括的所有链路进行测试，并提交自测报告；</w:t>
      </w:r>
    </w:p>
    <w:p w14:paraId="08285E6B">
      <w:pPr>
        <w:pStyle w:val="2"/>
        <w:spacing w:before="96" w:line="218" w:lineRule="auto"/>
        <w:ind w:left="770"/>
        <w:rPr>
          <w:sz w:val="19"/>
          <w:szCs w:val="19"/>
        </w:rPr>
      </w:pPr>
      <w:r>
        <w:rPr>
          <w:spacing w:val="10"/>
          <w:sz w:val="19"/>
          <w:szCs w:val="19"/>
        </w:rPr>
        <w:t>●审核承建单位提交的测试报告，测试应符合设计方案依据的验收标准；</w:t>
      </w:r>
    </w:p>
    <w:p w14:paraId="3014FD8D">
      <w:pPr>
        <w:pStyle w:val="2"/>
        <w:spacing w:before="95" w:line="271" w:lineRule="auto"/>
        <w:ind w:left="1060" w:hanging="290"/>
        <w:rPr>
          <w:sz w:val="19"/>
          <w:szCs w:val="19"/>
        </w:rPr>
      </w:pPr>
      <w:r>
        <w:rPr>
          <w:spacing w:val="14"/>
          <w:sz w:val="19"/>
          <w:szCs w:val="19"/>
        </w:rPr>
        <w:t>●对于测试不合格的链路，监理机构应要求承建单位在测试报告中记录，采取整改</w:t>
      </w:r>
      <w:r>
        <w:rPr>
          <w:spacing w:val="13"/>
          <w:sz w:val="19"/>
          <w:szCs w:val="19"/>
        </w:rPr>
        <w:t>措施，</w:t>
      </w:r>
      <w:r>
        <w:rPr>
          <w:sz w:val="19"/>
          <w:szCs w:val="19"/>
        </w:rPr>
        <w:t xml:space="preserve"> </w:t>
      </w:r>
      <w:r>
        <w:rPr>
          <w:spacing w:val="3"/>
          <w:sz w:val="19"/>
          <w:szCs w:val="19"/>
        </w:rPr>
        <w:t>直至复测合格；</w:t>
      </w:r>
    </w:p>
    <w:p w14:paraId="775932DC">
      <w:pPr>
        <w:pStyle w:val="2"/>
        <w:spacing w:before="93" w:line="269" w:lineRule="auto"/>
        <w:ind w:left="1060" w:right="35" w:hanging="290"/>
        <w:rPr>
          <w:sz w:val="19"/>
          <w:szCs w:val="19"/>
        </w:rPr>
      </w:pPr>
      <w:r>
        <w:rPr>
          <w:spacing w:val="13"/>
          <w:sz w:val="19"/>
          <w:szCs w:val="19"/>
        </w:rPr>
        <w:t>●监理机构应对布缆系统、无线信号进行抽检测试，验证承建单位施工及测试记录，采取</w:t>
      </w:r>
      <w:r>
        <w:rPr>
          <w:spacing w:val="1"/>
          <w:sz w:val="19"/>
          <w:szCs w:val="19"/>
        </w:rPr>
        <w:t xml:space="preserve"> </w:t>
      </w:r>
      <w:r>
        <w:rPr>
          <w:spacing w:val="7"/>
          <w:sz w:val="19"/>
          <w:szCs w:val="19"/>
        </w:rPr>
        <w:t>整改措施，并向业主单位提交抽检测试报告。</w:t>
      </w:r>
    </w:p>
    <w:p w14:paraId="59E273E1">
      <w:pPr>
        <w:pStyle w:val="2"/>
        <w:spacing w:before="108" w:line="219" w:lineRule="auto"/>
        <w:ind w:left="770"/>
        <w:rPr>
          <w:sz w:val="19"/>
          <w:szCs w:val="19"/>
        </w:rPr>
      </w:pPr>
      <w:r>
        <w:rPr>
          <w:spacing w:val="13"/>
          <w:sz w:val="19"/>
          <w:szCs w:val="19"/>
        </w:rPr>
        <w:t>(2)竣工文档的审查。</w:t>
      </w:r>
    </w:p>
    <w:p w14:paraId="2C89AB1C">
      <w:pPr>
        <w:pStyle w:val="2"/>
        <w:spacing w:before="75" w:line="304" w:lineRule="auto"/>
        <w:ind w:left="390" w:right="29" w:firstLine="379"/>
        <w:jc w:val="both"/>
        <w:rPr>
          <w:sz w:val="19"/>
          <w:szCs w:val="19"/>
        </w:rPr>
      </w:pPr>
      <w:r>
        <w:rPr>
          <w:spacing w:val="13"/>
          <w:sz w:val="19"/>
          <w:szCs w:val="19"/>
        </w:rPr>
        <w:t>通用布缆系统工程中，承建单位的竣工文档主要包括以下内容：承建合同，招标文件，投</w:t>
      </w:r>
      <w:r>
        <w:rPr>
          <w:sz w:val="19"/>
          <w:szCs w:val="19"/>
        </w:rPr>
        <w:t xml:space="preserve"> </w:t>
      </w:r>
      <w:r>
        <w:rPr>
          <w:spacing w:val="13"/>
          <w:sz w:val="19"/>
          <w:szCs w:val="19"/>
        </w:rPr>
        <w:t>标文件，设计方案，工程实施组织设计方案，工程</w:t>
      </w:r>
      <w:r>
        <w:rPr>
          <w:spacing w:val="12"/>
          <w:sz w:val="19"/>
          <w:szCs w:val="19"/>
        </w:rPr>
        <w:t>施工报告，隐蔽工程记录，变更记录，自测</w:t>
      </w:r>
      <w:r>
        <w:rPr>
          <w:sz w:val="19"/>
          <w:szCs w:val="19"/>
        </w:rPr>
        <w:t xml:space="preserve"> </w:t>
      </w:r>
      <w:r>
        <w:rPr>
          <w:spacing w:val="14"/>
          <w:sz w:val="19"/>
          <w:szCs w:val="19"/>
        </w:rPr>
        <w:t>报告，信息点分布图(表),园区、楼宇、水平配线表，楼层平面图及无线设备点位图，无线设</w:t>
      </w:r>
      <w:r>
        <w:rPr>
          <w:spacing w:val="15"/>
          <w:sz w:val="19"/>
          <w:szCs w:val="19"/>
        </w:rPr>
        <w:t xml:space="preserve"> </w:t>
      </w:r>
      <w:r>
        <w:rPr>
          <w:spacing w:val="4"/>
          <w:sz w:val="19"/>
          <w:szCs w:val="19"/>
        </w:rPr>
        <w:t>备信息表，竣工图纸等。</w:t>
      </w:r>
    </w:p>
    <w:p w14:paraId="562ECF4A">
      <w:pPr>
        <w:pStyle w:val="2"/>
        <w:spacing w:before="165" w:line="219" w:lineRule="auto"/>
        <w:ind w:left="362"/>
        <w:rPr>
          <w:sz w:val="25"/>
          <w:szCs w:val="25"/>
        </w:rPr>
      </w:pPr>
      <w:r>
        <w:rPr>
          <w:b/>
          <w:bCs/>
          <w:color w:val="0083DB"/>
          <w:spacing w:val="-18"/>
          <w:sz w:val="25"/>
          <w:szCs w:val="25"/>
        </w:rPr>
        <w:t>21.6.2</w:t>
      </w:r>
      <w:r>
        <w:rPr>
          <w:color w:val="0083DB"/>
          <w:spacing w:val="96"/>
          <w:sz w:val="25"/>
          <w:szCs w:val="25"/>
        </w:rPr>
        <w:t xml:space="preserve"> </w:t>
      </w:r>
      <w:r>
        <w:rPr>
          <w:b/>
          <w:bCs/>
          <w:color w:val="0083DB"/>
          <w:spacing w:val="-18"/>
          <w:sz w:val="25"/>
          <w:szCs w:val="25"/>
        </w:rPr>
        <w:t>计算机网络系统工程</w:t>
      </w:r>
    </w:p>
    <w:p w14:paraId="5491133A">
      <w:pPr>
        <w:pStyle w:val="2"/>
        <w:spacing w:before="272" w:line="222" w:lineRule="auto"/>
        <w:ind w:left="772"/>
        <w:rPr>
          <w:rFonts w:ascii="黑体" w:hAnsi="黑体" w:eastAsia="黑体" w:cs="黑体"/>
          <w:sz w:val="19"/>
          <w:szCs w:val="19"/>
        </w:rPr>
      </w:pPr>
      <w:r>
        <w:rPr>
          <w:b/>
          <w:bCs/>
          <w:color w:val="0082DA"/>
          <w:spacing w:val="6"/>
          <w:sz w:val="19"/>
          <w:szCs w:val="19"/>
        </w:rPr>
        <w:t>1.</w:t>
      </w:r>
      <w:r>
        <w:rPr>
          <w:rFonts w:ascii="黑体" w:hAnsi="黑体" w:eastAsia="黑体" w:cs="黑体"/>
          <w:b/>
          <w:bCs/>
          <w:color w:val="0082DA"/>
          <w:spacing w:val="6"/>
          <w:sz w:val="19"/>
          <w:szCs w:val="19"/>
        </w:rPr>
        <w:t>设计阶段监理内容</w:t>
      </w:r>
    </w:p>
    <w:p w14:paraId="76CBC964">
      <w:pPr>
        <w:pStyle w:val="2"/>
        <w:spacing w:before="144" w:line="219" w:lineRule="auto"/>
        <w:ind w:left="770"/>
        <w:rPr>
          <w:sz w:val="19"/>
          <w:szCs w:val="19"/>
        </w:rPr>
      </w:pPr>
      <w:r>
        <w:rPr>
          <w:spacing w:val="7"/>
          <w:sz w:val="19"/>
          <w:szCs w:val="19"/>
        </w:rPr>
        <w:t>计算机网络系统工程设计阶段的监理内容具体如下：</w:t>
      </w:r>
    </w:p>
    <w:p w14:paraId="71F47A7E">
      <w:pPr>
        <w:pStyle w:val="2"/>
        <w:spacing w:before="107" w:line="220" w:lineRule="auto"/>
        <w:ind w:left="770"/>
        <w:rPr>
          <w:sz w:val="19"/>
          <w:szCs w:val="19"/>
        </w:rPr>
      </w:pPr>
      <w:r>
        <w:rPr>
          <w:spacing w:val="11"/>
          <w:sz w:val="19"/>
          <w:szCs w:val="19"/>
        </w:rPr>
        <w:t>(1)系统需求分析的审核。具体包括：</w:t>
      </w:r>
    </w:p>
    <w:p w14:paraId="107832F8">
      <w:pPr>
        <w:pStyle w:val="2"/>
        <w:spacing w:before="71" w:line="261" w:lineRule="auto"/>
        <w:ind w:left="390" w:right="30" w:firstLine="379"/>
        <w:rPr>
          <w:sz w:val="19"/>
          <w:szCs w:val="19"/>
        </w:rPr>
      </w:pPr>
      <w:r>
        <w:rPr>
          <w:spacing w:val="13"/>
          <w:sz w:val="19"/>
          <w:szCs w:val="19"/>
        </w:rPr>
        <w:t>①网络服务和应用的需求，可列出网络服务以及网络系统建成后在其上运行的应用系统的</w:t>
      </w:r>
      <w:r>
        <w:rPr>
          <w:spacing w:val="6"/>
          <w:sz w:val="19"/>
          <w:szCs w:val="19"/>
        </w:rPr>
        <w:t xml:space="preserve"> 类型、特性、对网络系统的要求等；</w:t>
      </w:r>
    </w:p>
    <w:p w14:paraId="14A2C4F1">
      <w:pPr>
        <w:pStyle w:val="2"/>
        <w:spacing w:before="62" w:line="217" w:lineRule="auto"/>
        <w:ind w:left="770"/>
        <w:rPr>
          <w:sz w:val="19"/>
          <w:szCs w:val="19"/>
        </w:rPr>
      </w:pPr>
      <w:r>
        <w:rPr>
          <w:spacing w:val="6"/>
          <w:sz w:val="19"/>
          <w:szCs w:val="19"/>
        </w:rPr>
        <w:t>②网络用户的类型、特征和数量；</w:t>
      </w:r>
    </w:p>
    <w:p w14:paraId="66935B78">
      <w:pPr>
        <w:pStyle w:val="2"/>
        <w:spacing w:before="87" w:line="217" w:lineRule="auto"/>
        <w:ind w:left="770"/>
        <w:rPr>
          <w:sz w:val="19"/>
          <w:szCs w:val="19"/>
        </w:rPr>
      </w:pPr>
      <w:r>
        <w:rPr>
          <w:spacing w:val="6"/>
          <w:sz w:val="19"/>
          <w:szCs w:val="19"/>
        </w:rPr>
        <w:t>③网络地址和子网划分的要求；</w:t>
      </w:r>
    </w:p>
    <w:p w14:paraId="2AB7F8A4">
      <w:pPr>
        <w:pStyle w:val="2"/>
        <w:spacing w:before="87" w:line="217" w:lineRule="auto"/>
        <w:ind w:left="770"/>
        <w:rPr>
          <w:sz w:val="19"/>
          <w:szCs w:val="19"/>
        </w:rPr>
      </w:pPr>
      <w:r>
        <w:rPr>
          <w:spacing w:val="5"/>
          <w:sz w:val="19"/>
          <w:szCs w:val="19"/>
        </w:rPr>
        <w:t>④网络流量分配及数据流向的要求；</w:t>
      </w:r>
    </w:p>
    <w:p w14:paraId="6FAF71D2">
      <w:pPr>
        <w:pStyle w:val="2"/>
        <w:spacing w:before="86" w:line="217" w:lineRule="auto"/>
        <w:ind w:left="770"/>
        <w:rPr>
          <w:sz w:val="19"/>
          <w:szCs w:val="19"/>
        </w:rPr>
      </w:pPr>
      <w:r>
        <w:rPr>
          <w:spacing w:val="5"/>
          <w:sz w:val="19"/>
          <w:szCs w:val="19"/>
        </w:rPr>
        <w:t>⑤网络路由协议的要求；</w:t>
      </w:r>
    </w:p>
    <w:p w14:paraId="43B82164">
      <w:pPr>
        <w:pStyle w:val="2"/>
        <w:spacing w:before="97" w:line="217" w:lineRule="auto"/>
        <w:ind w:left="770"/>
        <w:rPr>
          <w:sz w:val="19"/>
          <w:szCs w:val="19"/>
        </w:rPr>
      </w:pPr>
      <w:r>
        <w:rPr>
          <w:spacing w:val="6"/>
          <w:sz w:val="19"/>
          <w:szCs w:val="19"/>
        </w:rPr>
        <w:t>⑥网络性能要求，例如带宽、响应时间等；</w:t>
      </w:r>
    </w:p>
    <w:p w14:paraId="222496D3">
      <w:pPr>
        <w:pStyle w:val="2"/>
        <w:spacing w:before="77" w:line="217" w:lineRule="auto"/>
        <w:ind w:left="770"/>
        <w:rPr>
          <w:sz w:val="19"/>
          <w:szCs w:val="19"/>
        </w:rPr>
      </w:pPr>
      <w:r>
        <w:rPr>
          <w:spacing w:val="7"/>
          <w:sz w:val="19"/>
          <w:szCs w:val="19"/>
        </w:rPr>
        <w:t>⑦网络服务质量的要求，例如服务质量模型、服务质量参数等；</w:t>
      </w:r>
    </w:p>
    <w:p w14:paraId="396622ED">
      <w:pPr>
        <w:pStyle w:val="2"/>
        <w:spacing w:before="76" w:line="217" w:lineRule="auto"/>
        <w:ind w:left="770"/>
        <w:rPr>
          <w:sz w:val="19"/>
          <w:szCs w:val="19"/>
        </w:rPr>
      </w:pPr>
      <w:r>
        <w:rPr>
          <w:spacing w:val="7"/>
          <w:sz w:val="19"/>
          <w:szCs w:val="19"/>
        </w:rPr>
        <w:t>⑧网络可靠性要求，例如单点失效、故障恢复能力等；</w:t>
      </w:r>
    </w:p>
    <w:p w14:paraId="73A20613">
      <w:pPr>
        <w:spacing w:line="217" w:lineRule="auto"/>
        <w:rPr>
          <w:sz w:val="19"/>
          <w:szCs w:val="19"/>
        </w:rPr>
        <w:sectPr>
          <w:pgSz w:w="10300" w:h="13380"/>
          <w:pgMar w:top="400" w:right="1085" w:bottom="400" w:left="489" w:header="0" w:footer="0" w:gutter="0"/>
          <w:cols w:space="720" w:num="1"/>
        </w:sectPr>
      </w:pPr>
    </w:p>
    <w:p w14:paraId="43AC65C0">
      <w:pPr>
        <w:pStyle w:val="2"/>
        <w:jc w:val="right"/>
        <w:rPr>
          <w:sz w:val="16"/>
          <w:szCs w:val="16"/>
        </w:rPr>
      </w:pPr>
      <w:r>
        <w:rPr>
          <w:spacing w:val="2"/>
          <w:sz w:val="19"/>
          <w:szCs w:val="19"/>
        </w:rPr>
        <w:t>第21章 基础设施工程监理</w:t>
      </w:r>
      <w:r>
        <w:rPr>
          <w:spacing w:val="58"/>
          <w:sz w:val="19"/>
          <w:szCs w:val="19"/>
        </w:rPr>
        <w:t xml:space="preserve"> </w:t>
      </w:r>
      <w:r>
        <w:rPr>
          <w:position w:val="-10"/>
          <w:sz w:val="19"/>
          <w:szCs w:val="19"/>
        </w:rPr>
        <w:drawing>
          <wp:inline distT="0" distB="0" distL="0" distR="0">
            <wp:extent cx="304800" cy="240665"/>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306"/>
                    <a:stretch>
                      <a:fillRect/>
                    </a:stretch>
                  </pic:blipFill>
                  <pic:spPr>
                    <a:xfrm>
                      <a:off x="0" y="0"/>
                      <a:ext cx="304818" cy="241287"/>
                    </a:xfrm>
                    <a:prstGeom prst="rect">
                      <a:avLst/>
                    </a:prstGeom>
                  </pic:spPr>
                </pic:pic>
              </a:graphicData>
            </a:graphic>
          </wp:inline>
        </w:drawing>
      </w:r>
      <w:r>
        <w:rPr>
          <w:rFonts w:ascii="Times New Roman" w:hAnsi="Times New Roman" w:eastAsia="Times New Roman" w:cs="Times New Roman"/>
          <w:spacing w:val="2"/>
          <w:position w:val="1"/>
          <w:sz w:val="16"/>
          <w:szCs w:val="16"/>
        </w:rPr>
        <w:t xml:space="preserve">491    </w:t>
      </w:r>
      <w:r>
        <w:rPr>
          <w:position w:val="-6"/>
          <w:sz w:val="16"/>
          <w:szCs w:val="16"/>
        </w:rPr>
        <w:drawing>
          <wp:inline distT="0" distB="0" distL="0" distR="0">
            <wp:extent cx="292100" cy="196850"/>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307"/>
                    <a:stretch>
                      <a:fillRect/>
                    </a:stretch>
                  </pic:blipFill>
                  <pic:spPr>
                    <a:xfrm>
                      <a:off x="0" y="0"/>
                      <a:ext cx="292141" cy="196864"/>
                    </a:xfrm>
                    <a:prstGeom prst="rect">
                      <a:avLst/>
                    </a:prstGeom>
                  </pic:spPr>
                </pic:pic>
              </a:graphicData>
            </a:graphic>
          </wp:inline>
        </w:drawing>
      </w:r>
    </w:p>
    <w:p w14:paraId="323A0B80">
      <w:pPr>
        <w:spacing w:line="282" w:lineRule="auto"/>
        <w:rPr>
          <w:rFonts w:ascii="Arial"/>
          <w:sz w:val="21"/>
        </w:rPr>
      </w:pPr>
    </w:p>
    <w:p w14:paraId="0200DF23">
      <w:pPr>
        <w:pStyle w:val="2"/>
        <w:spacing w:before="61" w:line="217" w:lineRule="auto"/>
        <w:ind w:left="399"/>
        <w:rPr>
          <w:sz w:val="19"/>
          <w:szCs w:val="19"/>
        </w:rPr>
      </w:pPr>
      <w:bookmarkStart w:id="724" w:name="bookmark709"/>
      <w:bookmarkEnd w:id="724"/>
      <w:r>
        <w:rPr>
          <w:spacing w:val="4"/>
          <w:sz w:val="19"/>
          <w:szCs w:val="19"/>
        </w:rPr>
        <w:t>⑨网络可扩展性要求；</w:t>
      </w:r>
    </w:p>
    <w:p w14:paraId="196E2E22">
      <w:pPr>
        <w:pStyle w:val="2"/>
        <w:spacing w:before="76" w:line="217" w:lineRule="auto"/>
        <w:ind w:left="399"/>
        <w:rPr>
          <w:sz w:val="19"/>
          <w:szCs w:val="19"/>
        </w:rPr>
      </w:pPr>
      <w:r>
        <w:rPr>
          <w:spacing w:val="6"/>
          <w:sz w:val="19"/>
          <w:szCs w:val="19"/>
        </w:rPr>
        <w:t>⑩如适用，互联网的接入方式、带宽需求；</w:t>
      </w:r>
    </w:p>
    <w:p w14:paraId="4BBD14B1">
      <w:pPr>
        <w:pStyle w:val="2"/>
        <w:spacing w:before="116" w:line="217" w:lineRule="auto"/>
        <w:ind w:left="399"/>
        <w:rPr>
          <w:sz w:val="19"/>
          <w:szCs w:val="19"/>
        </w:rPr>
      </w:pPr>
      <w:r>
        <w:rPr>
          <w:spacing w:val="6"/>
          <w:sz w:val="19"/>
          <w:szCs w:val="19"/>
        </w:rPr>
        <w:t>①网络安全性需求；</w:t>
      </w:r>
    </w:p>
    <w:p w14:paraId="4A8506E6">
      <w:pPr>
        <w:pStyle w:val="2"/>
        <w:spacing w:before="86" w:line="217" w:lineRule="auto"/>
        <w:ind w:left="399"/>
        <w:rPr>
          <w:sz w:val="19"/>
          <w:szCs w:val="19"/>
        </w:rPr>
      </w:pPr>
      <w:r>
        <w:rPr>
          <w:spacing w:val="2"/>
          <w:sz w:val="19"/>
          <w:szCs w:val="19"/>
        </w:rPr>
        <w:t>②网络管理的需求；</w:t>
      </w:r>
    </w:p>
    <w:p w14:paraId="1A23F4EA">
      <w:pPr>
        <w:pStyle w:val="2"/>
        <w:spacing w:before="88" w:line="261" w:lineRule="auto"/>
        <w:ind w:right="871" w:firstLine="399"/>
        <w:rPr>
          <w:sz w:val="19"/>
          <w:szCs w:val="19"/>
        </w:rPr>
      </w:pPr>
      <w:r>
        <w:rPr>
          <w:spacing w:val="13"/>
          <w:sz w:val="19"/>
          <w:szCs w:val="19"/>
        </w:rPr>
        <w:t>③若存在现有网络系统，应对现有网络系统及其业务进行分析，考</w:t>
      </w:r>
      <w:r>
        <w:rPr>
          <w:spacing w:val="12"/>
          <w:sz w:val="19"/>
          <w:szCs w:val="19"/>
        </w:rPr>
        <w:t>虑目标系统与现有网络</w:t>
      </w:r>
      <w:r>
        <w:rPr>
          <w:sz w:val="19"/>
          <w:szCs w:val="19"/>
        </w:rPr>
        <w:t xml:space="preserve"> </w:t>
      </w:r>
      <w:r>
        <w:rPr>
          <w:spacing w:val="5"/>
          <w:sz w:val="19"/>
          <w:szCs w:val="19"/>
        </w:rPr>
        <w:t>系统的兼容性和互操作性要求；</w:t>
      </w:r>
    </w:p>
    <w:p w14:paraId="51D5CBDC">
      <w:pPr>
        <w:pStyle w:val="2"/>
        <w:spacing w:before="102" w:line="217" w:lineRule="auto"/>
        <w:ind w:left="399"/>
        <w:rPr>
          <w:sz w:val="19"/>
          <w:szCs w:val="19"/>
        </w:rPr>
      </w:pPr>
      <w:r>
        <w:rPr>
          <w:spacing w:val="6"/>
          <w:sz w:val="19"/>
          <w:szCs w:val="19"/>
        </w:rPr>
        <w:t>④网络系统的其他需求。</w:t>
      </w:r>
    </w:p>
    <w:p w14:paraId="2B8CE670">
      <w:pPr>
        <w:pStyle w:val="2"/>
        <w:spacing w:before="79" w:line="220" w:lineRule="auto"/>
        <w:ind w:left="399"/>
        <w:rPr>
          <w:sz w:val="19"/>
          <w:szCs w:val="19"/>
        </w:rPr>
      </w:pPr>
      <w:r>
        <w:rPr>
          <w:spacing w:val="10"/>
          <w:sz w:val="19"/>
          <w:szCs w:val="19"/>
        </w:rPr>
        <w:t>(2)工程设计方案的审核。具体包括：</w:t>
      </w:r>
    </w:p>
    <w:p w14:paraId="1F50C664">
      <w:pPr>
        <w:pStyle w:val="2"/>
        <w:spacing w:before="81" w:line="217" w:lineRule="auto"/>
        <w:ind w:left="399"/>
        <w:rPr>
          <w:sz w:val="19"/>
          <w:szCs w:val="19"/>
        </w:rPr>
      </w:pPr>
      <w:r>
        <w:rPr>
          <w:spacing w:val="6"/>
          <w:sz w:val="19"/>
          <w:szCs w:val="19"/>
        </w:rPr>
        <w:t>①设计方案的可行性及其与需求的符合性；</w:t>
      </w:r>
    </w:p>
    <w:p w14:paraId="2220FB8B">
      <w:pPr>
        <w:pStyle w:val="2"/>
        <w:spacing w:before="97" w:line="217" w:lineRule="auto"/>
        <w:ind w:left="399"/>
        <w:rPr>
          <w:sz w:val="19"/>
          <w:szCs w:val="19"/>
        </w:rPr>
      </w:pPr>
      <w:r>
        <w:rPr>
          <w:spacing w:val="7"/>
          <w:sz w:val="19"/>
          <w:szCs w:val="19"/>
        </w:rPr>
        <w:t>②如适用，是否考虑目标系统与现有网络系统的兼容性和互操作性要求；</w:t>
      </w:r>
    </w:p>
    <w:p w14:paraId="053D6620">
      <w:pPr>
        <w:pStyle w:val="2"/>
        <w:spacing w:before="87" w:line="217" w:lineRule="auto"/>
        <w:ind w:left="399"/>
        <w:rPr>
          <w:sz w:val="19"/>
          <w:szCs w:val="19"/>
        </w:rPr>
      </w:pPr>
      <w:r>
        <w:rPr>
          <w:spacing w:val="6"/>
          <w:sz w:val="19"/>
          <w:szCs w:val="19"/>
        </w:rPr>
        <w:t>③网络系统的体系结构和网络拓扑的设计；</w:t>
      </w:r>
    </w:p>
    <w:p w14:paraId="696E8E4D">
      <w:pPr>
        <w:pStyle w:val="2"/>
        <w:spacing w:before="96" w:line="217" w:lineRule="auto"/>
        <w:ind w:left="399"/>
        <w:rPr>
          <w:sz w:val="19"/>
          <w:szCs w:val="19"/>
        </w:rPr>
      </w:pPr>
      <w:r>
        <w:rPr>
          <w:spacing w:val="5"/>
          <w:sz w:val="19"/>
          <w:szCs w:val="19"/>
        </w:rPr>
        <w:t>④网络地址、路由规划和子网划分；</w:t>
      </w:r>
    </w:p>
    <w:p w14:paraId="191A8590">
      <w:pPr>
        <w:pStyle w:val="2"/>
        <w:spacing w:before="97" w:line="217" w:lineRule="auto"/>
        <w:ind w:left="399"/>
        <w:rPr>
          <w:sz w:val="19"/>
          <w:szCs w:val="19"/>
        </w:rPr>
      </w:pPr>
      <w:r>
        <w:rPr>
          <w:spacing w:val="5"/>
          <w:sz w:val="19"/>
          <w:szCs w:val="19"/>
        </w:rPr>
        <w:t>⑤网络系统的接口和整体连通性设计；</w:t>
      </w:r>
    </w:p>
    <w:p w14:paraId="6B6C0DBE">
      <w:pPr>
        <w:pStyle w:val="2"/>
        <w:spacing w:before="87" w:line="217" w:lineRule="auto"/>
        <w:ind w:left="399"/>
        <w:rPr>
          <w:sz w:val="19"/>
          <w:szCs w:val="19"/>
        </w:rPr>
      </w:pPr>
      <w:r>
        <w:rPr>
          <w:spacing w:val="7"/>
          <w:sz w:val="19"/>
          <w:szCs w:val="19"/>
        </w:rPr>
        <w:t>⑥网络基础设施，包括通用布缆的设计，以及主要网络设备的选择和配置等；</w:t>
      </w:r>
    </w:p>
    <w:p w14:paraId="6334E4D6">
      <w:pPr>
        <w:pStyle w:val="2"/>
        <w:spacing w:before="106" w:line="217" w:lineRule="auto"/>
        <w:ind w:left="399"/>
        <w:rPr>
          <w:sz w:val="19"/>
          <w:szCs w:val="19"/>
        </w:rPr>
      </w:pPr>
      <w:r>
        <w:rPr>
          <w:spacing w:val="6"/>
          <w:sz w:val="19"/>
          <w:szCs w:val="19"/>
        </w:rPr>
        <w:t>⑦网络应用层协议及网络服务的选择和配置；</w:t>
      </w:r>
    </w:p>
    <w:p w14:paraId="7EC846A0">
      <w:pPr>
        <w:pStyle w:val="2"/>
        <w:spacing w:before="77" w:line="217" w:lineRule="auto"/>
        <w:ind w:left="399"/>
        <w:rPr>
          <w:sz w:val="19"/>
          <w:szCs w:val="19"/>
        </w:rPr>
      </w:pPr>
      <w:r>
        <w:rPr>
          <w:spacing w:val="5"/>
          <w:sz w:val="19"/>
          <w:szCs w:val="19"/>
        </w:rPr>
        <w:t>⑧网络管理系统的选择和配置；</w:t>
      </w:r>
    </w:p>
    <w:p w14:paraId="6F436E02">
      <w:pPr>
        <w:pStyle w:val="2"/>
        <w:spacing w:before="97" w:line="217" w:lineRule="auto"/>
        <w:ind w:left="399"/>
        <w:rPr>
          <w:sz w:val="19"/>
          <w:szCs w:val="19"/>
        </w:rPr>
      </w:pPr>
      <w:r>
        <w:rPr>
          <w:spacing w:val="2"/>
          <w:sz w:val="19"/>
          <w:szCs w:val="19"/>
        </w:rPr>
        <w:t>⑨网络安全性设计；</w:t>
      </w:r>
    </w:p>
    <w:p w14:paraId="385FB301">
      <w:pPr>
        <w:pStyle w:val="2"/>
        <w:spacing w:before="86" w:line="217" w:lineRule="auto"/>
        <w:ind w:left="399"/>
        <w:rPr>
          <w:sz w:val="19"/>
          <w:szCs w:val="19"/>
        </w:rPr>
      </w:pPr>
      <w:r>
        <w:rPr>
          <w:spacing w:val="2"/>
          <w:sz w:val="19"/>
          <w:szCs w:val="19"/>
        </w:rPr>
        <w:t>⑩网络可靠性设计；</w:t>
      </w:r>
    </w:p>
    <w:p w14:paraId="195D9CE8">
      <w:pPr>
        <w:pStyle w:val="2"/>
        <w:spacing w:before="107" w:line="217" w:lineRule="auto"/>
        <w:ind w:left="399"/>
        <w:rPr>
          <w:sz w:val="19"/>
          <w:szCs w:val="19"/>
        </w:rPr>
      </w:pPr>
      <w:r>
        <w:rPr>
          <w:spacing w:val="7"/>
          <w:sz w:val="19"/>
          <w:szCs w:val="19"/>
        </w:rPr>
        <w:t>①工程关键技术的实现方法、流程及技术保障措施；</w:t>
      </w:r>
    </w:p>
    <w:p w14:paraId="6C36762C">
      <w:pPr>
        <w:pStyle w:val="2"/>
        <w:spacing w:before="87" w:line="217" w:lineRule="auto"/>
        <w:ind w:left="399"/>
        <w:rPr>
          <w:sz w:val="19"/>
          <w:szCs w:val="19"/>
        </w:rPr>
      </w:pPr>
      <w:r>
        <w:rPr>
          <w:spacing w:val="8"/>
          <w:sz w:val="19"/>
          <w:szCs w:val="19"/>
        </w:rPr>
        <w:t>②工程实施的质量保证措施和进度计划的可行性、合理性及文档的完整性。</w:t>
      </w:r>
    </w:p>
    <w:p w14:paraId="7AE34739">
      <w:pPr>
        <w:pStyle w:val="2"/>
        <w:spacing w:before="69" w:line="220" w:lineRule="auto"/>
        <w:ind w:left="399"/>
        <w:rPr>
          <w:sz w:val="19"/>
          <w:szCs w:val="19"/>
        </w:rPr>
      </w:pPr>
      <w:r>
        <w:rPr>
          <w:spacing w:val="11"/>
          <w:sz w:val="19"/>
          <w:szCs w:val="19"/>
        </w:rPr>
        <w:t>(3)工程设计方案中网络基础设施的审核</w:t>
      </w:r>
      <w:r>
        <w:rPr>
          <w:spacing w:val="10"/>
          <w:sz w:val="19"/>
          <w:szCs w:val="19"/>
        </w:rPr>
        <w:t>。具体包括：</w:t>
      </w:r>
    </w:p>
    <w:p w14:paraId="5EF058CA">
      <w:pPr>
        <w:pStyle w:val="2"/>
        <w:spacing w:before="81" w:line="217" w:lineRule="auto"/>
        <w:ind w:left="399"/>
        <w:rPr>
          <w:sz w:val="19"/>
          <w:szCs w:val="19"/>
        </w:rPr>
      </w:pPr>
      <w:r>
        <w:rPr>
          <w:spacing w:val="13"/>
          <w:sz w:val="19"/>
          <w:szCs w:val="19"/>
        </w:rPr>
        <w:t>①网络协议(指物理层、数据链路层、网络层协议，包括路由协议和策略)的选择和配置；</w:t>
      </w:r>
    </w:p>
    <w:p w14:paraId="2B36EB1A">
      <w:pPr>
        <w:pStyle w:val="2"/>
        <w:spacing w:before="96" w:line="217" w:lineRule="auto"/>
        <w:ind w:left="399"/>
        <w:rPr>
          <w:sz w:val="19"/>
          <w:szCs w:val="19"/>
        </w:rPr>
      </w:pPr>
      <w:r>
        <w:rPr>
          <w:spacing w:val="6"/>
          <w:sz w:val="19"/>
          <w:szCs w:val="19"/>
        </w:rPr>
        <w:t>②网络集成的设计，包括接入方式、带宽等；</w:t>
      </w:r>
    </w:p>
    <w:p w14:paraId="00013338">
      <w:pPr>
        <w:pStyle w:val="2"/>
        <w:spacing w:before="87" w:line="217" w:lineRule="auto"/>
        <w:ind w:left="399"/>
        <w:rPr>
          <w:sz w:val="19"/>
          <w:szCs w:val="19"/>
        </w:rPr>
      </w:pPr>
      <w:r>
        <w:rPr>
          <w:spacing w:val="4"/>
          <w:sz w:val="19"/>
          <w:szCs w:val="19"/>
        </w:rPr>
        <w:t>③服务质量实现方式；</w:t>
      </w:r>
    </w:p>
    <w:p w14:paraId="19B9E947">
      <w:pPr>
        <w:pStyle w:val="2"/>
        <w:spacing w:before="87" w:line="217" w:lineRule="auto"/>
        <w:ind w:left="399"/>
        <w:rPr>
          <w:sz w:val="19"/>
          <w:szCs w:val="19"/>
        </w:rPr>
      </w:pPr>
      <w:r>
        <w:rPr>
          <w:spacing w:val="5"/>
          <w:sz w:val="19"/>
          <w:szCs w:val="19"/>
        </w:rPr>
        <w:t>④故障恢复能力和措施；</w:t>
      </w:r>
    </w:p>
    <w:p w14:paraId="0CDBB363">
      <w:pPr>
        <w:pStyle w:val="2"/>
        <w:spacing w:before="77" w:line="217" w:lineRule="auto"/>
        <w:ind w:left="399"/>
        <w:rPr>
          <w:sz w:val="19"/>
          <w:szCs w:val="19"/>
        </w:rPr>
      </w:pPr>
      <w:r>
        <w:rPr>
          <w:spacing w:val="3"/>
          <w:sz w:val="19"/>
          <w:szCs w:val="19"/>
        </w:rPr>
        <w:t>⑤网络安全机制；</w:t>
      </w:r>
    </w:p>
    <w:p w14:paraId="2BDF4D4A">
      <w:pPr>
        <w:pStyle w:val="2"/>
        <w:spacing w:before="86" w:line="217" w:lineRule="auto"/>
        <w:ind w:left="399"/>
        <w:rPr>
          <w:sz w:val="19"/>
          <w:szCs w:val="19"/>
        </w:rPr>
      </w:pPr>
      <w:r>
        <w:rPr>
          <w:spacing w:val="6"/>
          <w:sz w:val="19"/>
          <w:szCs w:val="19"/>
        </w:rPr>
        <w:t>⑥网络设备的交换架构、关键部件的冗余能力；</w:t>
      </w:r>
    </w:p>
    <w:p w14:paraId="0864BAAC">
      <w:pPr>
        <w:pStyle w:val="2"/>
        <w:spacing w:before="87" w:line="217" w:lineRule="auto"/>
        <w:ind w:left="399"/>
        <w:rPr>
          <w:sz w:val="19"/>
          <w:szCs w:val="19"/>
        </w:rPr>
      </w:pPr>
      <w:r>
        <w:rPr>
          <w:spacing w:val="4"/>
          <w:sz w:val="19"/>
          <w:szCs w:val="19"/>
        </w:rPr>
        <w:t>⑦网络端口的可扩容性；</w:t>
      </w:r>
    </w:p>
    <w:p w14:paraId="63A63BD6">
      <w:pPr>
        <w:pStyle w:val="2"/>
        <w:spacing w:before="87" w:line="217" w:lineRule="auto"/>
        <w:ind w:left="399"/>
        <w:rPr>
          <w:sz w:val="19"/>
          <w:szCs w:val="19"/>
        </w:rPr>
      </w:pPr>
      <w:r>
        <w:rPr>
          <w:spacing w:val="5"/>
          <w:sz w:val="19"/>
          <w:szCs w:val="19"/>
        </w:rPr>
        <w:t>⑧固件的维护、升级和可管理能力；</w:t>
      </w:r>
    </w:p>
    <w:p w14:paraId="690A34E2">
      <w:pPr>
        <w:pStyle w:val="2"/>
        <w:spacing w:before="96" w:line="217" w:lineRule="auto"/>
        <w:ind w:left="399"/>
        <w:rPr>
          <w:sz w:val="19"/>
          <w:szCs w:val="19"/>
        </w:rPr>
      </w:pPr>
      <w:r>
        <w:rPr>
          <w:spacing w:val="4"/>
          <w:sz w:val="19"/>
          <w:szCs w:val="19"/>
        </w:rPr>
        <w:t>⑨虚拟专用网的支持能力；</w:t>
      </w:r>
    </w:p>
    <w:p w14:paraId="11BA43A7">
      <w:pPr>
        <w:pStyle w:val="2"/>
        <w:spacing w:before="67" w:line="217" w:lineRule="auto"/>
        <w:ind w:left="399"/>
        <w:rPr>
          <w:sz w:val="19"/>
          <w:szCs w:val="19"/>
        </w:rPr>
      </w:pPr>
      <w:r>
        <w:rPr>
          <w:spacing w:val="6"/>
          <w:sz w:val="19"/>
          <w:szCs w:val="19"/>
        </w:rPr>
        <w:t>⑩网络接入的认证计费实现方式。</w:t>
      </w:r>
    </w:p>
    <w:p w14:paraId="1E73597A">
      <w:pPr>
        <w:pStyle w:val="2"/>
        <w:spacing w:before="89" w:line="219" w:lineRule="auto"/>
        <w:ind w:left="399"/>
        <w:rPr>
          <w:sz w:val="19"/>
          <w:szCs w:val="19"/>
        </w:rPr>
      </w:pPr>
      <w:r>
        <w:rPr>
          <w:spacing w:val="10"/>
          <w:sz w:val="19"/>
          <w:szCs w:val="19"/>
        </w:rPr>
        <w:t>(4)工程设计方案中网络服务的审核。具体包括：</w:t>
      </w:r>
    </w:p>
    <w:p w14:paraId="42C9A3EB">
      <w:pPr>
        <w:pStyle w:val="2"/>
        <w:spacing w:before="82" w:line="217" w:lineRule="auto"/>
        <w:ind w:left="399"/>
        <w:rPr>
          <w:sz w:val="19"/>
          <w:szCs w:val="19"/>
        </w:rPr>
      </w:pPr>
      <w:r>
        <w:rPr>
          <w:spacing w:val="4"/>
          <w:sz w:val="19"/>
          <w:szCs w:val="19"/>
        </w:rPr>
        <w:t>①对应用系统的支持能力；</w:t>
      </w:r>
    </w:p>
    <w:p w14:paraId="1F73394C">
      <w:pPr>
        <w:pStyle w:val="2"/>
        <w:spacing w:before="87" w:line="217" w:lineRule="auto"/>
        <w:ind w:left="399"/>
        <w:rPr>
          <w:sz w:val="19"/>
          <w:szCs w:val="19"/>
        </w:rPr>
      </w:pPr>
      <w:r>
        <w:rPr>
          <w:spacing w:val="4"/>
          <w:sz w:val="19"/>
          <w:szCs w:val="19"/>
        </w:rPr>
        <w:t>②与操作系统的兼容性；</w:t>
      </w:r>
    </w:p>
    <w:p w14:paraId="7B09141B">
      <w:pPr>
        <w:pStyle w:val="2"/>
        <w:spacing w:before="87" w:line="217" w:lineRule="auto"/>
        <w:ind w:left="399"/>
        <w:rPr>
          <w:sz w:val="19"/>
          <w:szCs w:val="19"/>
        </w:rPr>
      </w:pPr>
      <w:r>
        <w:rPr>
          <w:spacing w:val="5"/>
          <w:sz w:val="19"/>
          <w:szCs w:val="19"/>
        </w:rPr>
        <w:t>③应用层协议的选择和配置；</w:t>
      </w:r>
    </w:p>
    <w:p w14:paraId="60F97ED6">
      <w:pPr>
        <w:pStyle w:val="2"/>
        <w:spacing w:before="76" w:line="217" w:lineRule="auto"/>
        <w:ind w:left="399"/>
        <w:rPr>
          <w:sz w:val="19"/>
          <w:szCs w:val="19"/>
        </w:rPr>
      </w:pPr>
      <w:r>
        <w:rPr>
          <w:spacing w:val="4"/>
          <w:sz w:val="19"/>
          <w:szCs w:val="19"/>
        </w:rPr>
        <w:t>④网络服务软件的配置；</w:t>
      </w:r>
    </w:p>
    <w:p w14:paraId="6518B5D6">
      <w:pPr>
        <w:pStyle w:val="2"/>
        <w:spacing w:before="97" w:line="217" w:lineRule="auto"/>
        <w:ind w:left="399"/>
        <w:rPr>
          <w:sz w:val="19"/>
          <w:szCs w:val="19"/>
        </w:rPr>
      </w:pPr>
      <w:r>
        <w:rPr>
          <w:spacing w:val="4"/>
          <w:sz w:val="19"/>
          <w:szCs w:val="19"/>
        </w:rPr>
        <w:t>⑤网络服务的可靠性；</w:t>
      </w:r>
    </w:p>
    <w:p w14:paraId="78DAA009">
      <w:pPr>
        <w:spacing w:line="217" w:lineRule="auto"/>
        <w:rPr>
          <w:sz w:val="19"/>
          <w:szCs w:val="19"/>
        </w:rPr>
        <w:sectPr>
          <w:pgSz w:w="10290" w:h="13300"/>
          <w:pgMar w:top="389" w:right="19" w:bottom="400" w:left="1090" w:header="0" w:footer="0" w:gutter="0"/>
          <w:cols w:space="720" w:num="1"/>
        </w:sectPr>
      </w:pPr>
    </w:p>
    <w:p w14:paraId="0708A305">
      <w:pPr>
        <w:pStyle w:val="2"/>
        <w:spacing w:before="97" w:line="219" w:lineRule="auto"/>
        <w:rPr>
          <w:sz w:val="19"/>
          <w:szCs w:val="19"/>
        </w:rPr>
      </w:pPr>
      <w:r>
        <w:rPr>
          <w:rFonts w:ascii="Times New Roman" w:hAnsi="Times New Roman" w:eastAsia="Times New Roman" w:cs="Times New Roman"/>
          <w:spacing w:val="3"/>
          <w:sz w:val="17"/>
          <w:szCs w:val="17"/>
        </w:rPr>
        <w:t xml:space="preserve">492                </w:t>
      </w:r>
      <w:r>
        <w:rPr>
          <w:spacing w:val="3"/>
          <w:sz w:val="19"/>
          <w:szCs w:val="19"/>
        </w:rPr>
        <w:t>信息系统监理师教程(第2版)</w:t>
      </w:r>
    </w:p>
    <w:p w14:paraId="0B681AD5">
      <w:pPr>
        <w:spacing w:line="328" w:lineRule="auto"/>
        <w:rPr>
          <w:rFonts w:ascii="Arial"/>
          <w:sz w:val="21"/>
        </w:rPr>
      </w:pPr>
    </w:p>
    <w:p w14:paraId="547815B4">
      <w:pPr>
        <w:pStyle w:val="2"/>
        <w:spacing w:before="62" w:line="217" w:lineRule="auto"/>
        <w:ind w:left="740"/>
        <w:rPr>
          <w:sz w:val="19"/>
          <w:szCs w:val="19"/>
        </w:rPr>
      </w:pPr>
      <w:r>
        <w:rPr>
          <w:spacing w:val="3"/>
          <w:sz w:val="19"/>
          <w:szCs w:val="19"/>
        </w:rPr>
        <w:t>⑥网络服务的可扩展性；</w:t>
      </w:r>
    </w:p>
    <w:p w14:paraId="13E6F9F5">
      <w:pPr>
        <w:pStyle w:val="2"/>
        <w:spacing w:before="106" w:line="217" w:lineRule="auto"/>
        <w:ind w:left="740"/>
        <w:rPr>
          <w:sz w:val="19"/>
          <w:szCs w:val="19"/>
        </w:rPr>
      </w:pPr>
      <w:r>
        <w:rPr>
          <w:spacing w:val="4"/>
          <w:sz w:val="19"/>
          <w:szCs w:val="19"/>
        </w:rPr>
        <w:t>⑦网络服务的可维护性；</w:t>
      </w:r>
    </w:p>
    <w:p w14:paraId="27336E13">
      <w:pPr>
        <w:pStyle w:val="2"/>
        <w:spacing w:before="106" w:line="217" w:lineRule="auto"/>
        <w:ind w:left="740"/>
        <w:rPr>
          <w:sz w:val="19"/>
          <w:szCs w:val="19"/>
        </w:rPr>
      </w:pPr>
      <w:r>
        <w:rPr>
          <w:spacing w:val="5"/>
          <w:sz w:val="19"/>
          <w:szCs w:val="19"/>
        </w:rPr>
        <w:t>⑧网络服务的安全性。</w:t>
      </w:r>
    </w:p>
    <w:p w14:paraId="73E78812">
      <w:pPr>
        <w:pStyle w:val="2"/>
        <w:spacing w:before="79" w:line="219" w:lineRule="auto"/>
        <w:ind w:left="740"/>
        <w:rPr>
          <w:sz w:val="19"/>
          <w:szCs w:val="19"/>
        </w:rPr>
      </w:pPr>
      <w:r>
        <w:rPr>
          <w:spacing w:val="11"/>
          <w:sz w:val="19"/>
          <w:szCs w:val="19"/>
        </w:rPr>
        <w:t>(5)工程设计方案中网络管理系统的审核。具体包括：</w:t>
      </w:r>
    </w:p>
    <w:p w14:paraId="1D13AEB9">
      <w:pPr>
        <w:pStyle w:val="2"/>
        <w:spacing w:before="92" w:line="217" w:lineRule="auto"/>
        <w:ind w:left="740"/>
        <w:rPr>
          <w:sz w:val="19"/>
          <w:szCs w:val="19"/>
        </w:rPr>
      </w:pPr>
      <w:r>
        <w:rPr>
          <w:spacing w:val="5"/>
          <w:sz w:val="19"/>
          <w:szCs w:val="19"/>
        </w:rPr>
        <w:t>①网络管理系统的功能，包括：</w:t>
      </w:r>
    </w:p>
    <w:p w14:paraId="066EE3E0">
      <w:pPr>
        <w:pStyle w:val="2"/>
        <w:spacing w:before="99" w:line="219" w:lineRule="auto"/>
        <w:ind w:left="740"/>
        <w:rPr>
          <w:sz w:val="19"/>
          <w:szCs w:val="19"/>
        </w:rPr>
      </w:pPr>
      <w:r>
        <w:rPr>
          <w:spacing w:val="10"/>
          <w:sz w:val="19"/>
          <w:szCs w:val="19"/>
        </w:rPr>
        <w:t>●故障管理：对网络系统中的故障进行检测、隔离，对异常操作进行处理；</w:t>
      </w:r>
    </w:p>
    <w:p w14:paraId="46C647DB">
      <w:pPr>
        <w:pStyle w:val="2"/>
        <w:spacing w:before="95" w:line="219" w:lineRule="auto"/>
        <w:ind w:left="740"/>
        <w:rPr>
          <w:sz w:val="19"/>
          <w:szCs w:val="19"/>
        </w:rPr>
      </w:pPr>
      <w:r>
        <w:rPr>
          <w:spacing w:val="10"/>
          <w:sz w:val="19"/>
          <w:szCs w:val="19"/>
        </w:rPr>
        <w:t>●记账管理：根据网络系统中资源的使用状况确定开销收费管理；</w:t>
      </w:r>
    </w:p>
    <w:p w14:paraId="6EF127CF">
      <w:pPr>
        <w:pStyle w:val="2"/>
        <w:spacing w:before="93" w:line="219" w:lineRule="auto"/>
        <w:ind w:left="740"/>
        <w:rPr>
          <w:sz w:val="19"/>
          <w:szCs w:val="19"/>
        </w:rPr>
      </w:pPr>
      <w:r>
        <w:rPr>
          <w:spacing w:val="10"/>
          <w:sz w:val="19"/>
          <w:szCs w:val="19"/>
        </w:rPr>
        <w:t>●配置管理：对网络系统进行识别、实施控制、搜集数据、提供数据、互连配置等；</w:t>
      </w:r>
    </w:p>
    <w:p w14:paraId="524C1BEB">
      <w:pPr>
        <w:pStyle w:val="2"/>
        <w:spacing w:before="114" w:line="218" w:lineRule="auto"/>
        <w:ind w:left="740"/>
        <w:rPr>
          <w:sz w:val="19"/>
          <w:szCs w:val="19"/>
        </w:rPr>
      </w:pPr>
      <w:r>
        <w:rPr>
          <w:spacing w:val="10"/>
          <w:sz w:val="19"/>
          <w:szCs w:val="19"/>
        </w:rPr>
        <w:t>●性能管理：评估网络系统的资源行为和通信活动；</w:t>
      </w:r>
    </w:p>
    <w:p w14:paraId="2B198330">
      <w:pPr>
        <w:pStyle w:val="2"/>
        <w:spacing w:before="87" w:line="288" w:lineRule="auto"/>
        <w:ind w:left="1050" w:right="86" w:hanging="310"/>
        <w:rPr>
          <w:sz w:val="17"/>
          <w:szCs w:val="17"/>
        </w:rPr>
      </w:pPr>
      <w:r>
        <w:rPr>
          <w:spacing w:val="18"/>
          <w:sz w:val="19"/>
          <w:szCs w:val="19"/>
        </w:rPr>
        <w:t>●安全管理：通过安全管理功能支持安全策略的应用，服务机制管理及事件、信息的处</w:t>
      </w:r>
      <w:r>
        <w:rPr>
          <w:spacing w:val="13"/>
          <w:sz w:val="19"/>
          <w:szCs w:val="19"/>
        </w:rPr>
        <w:t xml:space="preserve"> </w:t>
      </w:r>
      <w:r>
        <w:rPr>
          <w:spacing w:val="13"/>
          <w:sz w:val="17"/>
          <w:szCs w:val="17"/>
        </w:rPr>
        <w:t>理等</w:t>
      </w:r>
      <w:r>
        <w:rPr>
          <w:spacing w:val="-36"/>
          <w:sz w:val="17"/>
          <w:szCs w:val="17"/>
        </w:rPr>
        <w:t xml:space="preserve"> </w:t>
      </w:r>
      <w:r>
        <w:rPr>
          <w:spacing w:val="13"/>
          <w:sz w:val="17"/>
          <w:szCs w:val="17"/>
        </w:rPr>
        <w:t>。</w:t>
      </w:r>
    </w:p>
    <w:p w14:paraId="5CEE6655">
      <w:pPr>
        <w:pStyle w:val="2"/>
        <w:spacing w:before="86" w:line="266" w:lineRule="auto"/>
        <w:ind w:left="370" w:right="88" w:firstLine="369"/>
        <w:rPr>
          <w:sz w:val="19"/>
          <w:szCs w:val="19"/>
        </w:rPr>
      </w:pPr>
      <w:r>
        <w:rPr>
          <w:spacing w:val="13"/>
          <w:sz w:val="19"/>
          <w:szCs w:val="19"/>
        </w:rPr>
        <w:t>②网络管理系统的性能，包括：统计信息搜索的准确性，故障处理的响应时间，网络</w:t>
      </w:r>
      <w:r>
        <w:rPr>
          <w:spacing w:val="12"/>
          <w:sz w:val="19"/>
          <w:szCs w:val="19"/>
        </w:rPr>
        <w:t>管理</w:t>
      </w:r>
      <w:r>
        <w:rPr>
          <w:sz w:val="19"/>
          <w:szCs w:val="19"/>
        </w:rPr>
        <w:t xml:space="preserve"> </w:t>
      </w:r>
      <w:r>
        <w:rPr>
          <w:spacing w:val="7"/>
          <w:sz w:val="19"/>
          <w:szCs w:val="19"/>
        </w:rPr>
        <w:t>数据的存储能力，日志存储能力，时间精度。</w:t>
      </w:r>
    </w:p>
    <w:p w14:paraId="42424BC8">
      <w:pPr>
        <w:pStyle w:val="2"/>
        <w:spacing w:before="92" w:line="266" w:lineRule="auto"/>
        <w:ind w:left="370" w:right="80" w:firstLine="369"/>
        <w:rPr>
          <w:sz w:val="19"/>
          <w:szCs w:val="19"/>
        </w:rPr>
      </w:pPr>
      <w:r>
        <w:rPr>
          <w:spacing w:val="13"/>
          <w:sz w:val="19"/>
          <w:szCs w:val="19"/>
        </w:rPr>
        <w:t>③其他需要考虑的因素，包括：系统的开放性，系统遵循的网络管理协议和标准，系统的</w:t>
      </w:r>
      <w:r>
        <w:rPr>
          <w:spacing w:val="7"/>
          <w:sz w:val="19"/>
          <w:szCs w:val="19"/>
        </w:rPr>
        <w:t xml:space="preserve"> </w:t>
      </w:r>
      <w:r>
        <w:rPr>
          <w:spacing w:val="8"/>
          <w:sz w:val="19"/>
          <w:szCs w:val="19"/>
        </w:rPr>
        <w:t>安全性，网络管理信息对网络吞吐量的影响，网络管理的可视、便捷性，故障的预报警机制。</w:t>
      </w:r>
    </w:p>
    <w:p w14:paraId="655412D9">
      <w:pPr>
        <w:pStyle w:val="2"/>
        <w:spacing w:before="67" w:line="269" w:lineRule="auto"/>
        <w:ind w:left="370" w:right="96" w:firstLine="369"/>
        <w:rPr>
          <w:sz w:val="19"/>
          <w:szCs w:val="19"/>
        </w:rPr>
      </w:pPr>
      <w:r>
        <w:rPr>
          <w:spacing w:val="15"/>
          <w:sz w:val="19"/>
          <w:szCs w:val="19"/>
        </w:rPr>
        <w:t>(6)网络安全性设计的审核。承建单位针对业主单位网络安全方面的风</w:t>
      </w:r>
      <w:r>
        <w:rPr>
          <w:spacing w:val="14"/>
          <w:sz w:val="19"/>
          <w:szCs w:val="19"/>
        </w:rPr>
        <w:t>险和需求，涉及网</w:t>
      </w:r>
      <w:r>
        <w:rPr>
          <w:sz w:val="19"/>
          <w:szCs w:val="19"/>
        </w:rPr>
        <w:t xml:space="preserve"> </w:t>
      </w:r>
      <w:r>
        <w:rPr>
          <w:spacing w:val="7"/>
          <w:sz w:val="19"/>
          <w:szCs w:val="19"/>
        </w:rPr>
        <w:t>络各部分的安全性解决方案，监理机构应从如下方面提出监理意见：</w:t>
      </w:r>
    </w:p>
    <w:p w14:paraId="55F7DD29">
      <w:pPr>
        <w:pStyle w:val="2"/>
        <w:spacing w:before="73" w:line="217" w:lineRule="auto"/>
        <w:ind w:left="740"/>
        <w:rPr>
          <w:sz w:val="19"/>
          <w:szCs w:val="19"/>
        </w:rPr>
      </w:pPr>
      <w:r>
        <w:rPr>
          <w:spacing w:val="7"/>
          <w:sz w:val="19"/>
          <w:szCs w:val="19"/>
        </w:rPr>
        <w:t>①对业主单位的网络安全目标和安全需求理解的准确性；</w:t>
      </w:r>
    </w:p>
    <w:p w14:paraId="53972AA5">
      <w:pPr>
        <w:pStyle w:val="2"/>
        <w:spacing w:before="107" w:line="217" w:lineRule="auto"/>
        <w:ind w:left="740"/>
        <w:rPr>
          <w:sz w:val="19"/>
          <w:szCs w:val="19"/>
        </w:rPr>
      </w:pPr>
      <w:r>
        <w:rPr>
          <w:spacing w:val="6"/>
          <w:sz w:val="19"/>
          <w:szCs w:val="19"/>
        </w:rPr>
        <w:t>②与国家相关法律法规、标准规范的符合性；</w:t>
      </w:r>
    </w:p>
    <w:p w14:paraId="7049F535">
      <w:pPr>
        <w:pStyle w:val="2"/>
        <w:spacing w:before="77" w:line="217" w:lineRule="auto"/>
        <w:ind w:left="740"/>
        <w:rPr>
          <w:sz w:val="19"/>
          <w:szCs w:val="19"/>
        </w:rPr>
      </w:pPr>
      <w:r>
        <w:rPr>
          <w:spacing w:val="5"/>
          <w:sz w:val="19"/>
          <w:szCs w:val="19"/>
        </w:rPr>
        <w:t>③网络安全风险分析；</w:t>
      </w:r>
    </w:p>
    <w:p w14:paraId="4EF6EF8E">
      <w:pPr>
        <w:pStyle w:val="2"/>
        <w:spacing w:before="106" w:line="217" w:lineRule="auto"/>
        <w:ind w:left="740"/>
        <w:rPr>
          <w:sz w:val="19"/>
          <w:szCs w:val="19"/>
        </w:rPr>
      </w:pPr>
      <w:r>
        <w:rPr>
          <w:spacing w:val="6"/>
          <w:sz w:val="19"/>
          <w:szCs w:val="19"/>
        </w:rPr>
        <w:t>④所选网络安全技术的开放性、兼容性、可扩展性；</w:t>
      </w:r>
    </w:p>
    <w:p w14:paraId="358D6D9E">
      <w:pPr>
        <w:pStyle w:val="2"/>
        <w:spacing w:before="77" w:line="217" w:lineRule="auto"/>
        <w:ind w:left="740"/>
        <w:rPr>
          <w:sz w:val="19"/>
          <w:szCs w:val="19"/>
        </w:rPr>
      </w:pPr>
      <w:r>
        <w:rPr>
          <w:spacing w:val="6"/>
          <w:sz w:val="19"/>
          <w:szCs w:val="19"/>
        </w:rPr>
        <w:t>⑤网络安全所遵循的标准和达到的相应等级；</w:t>
      </w:r>
    </w:p>
    <w:p w14:paraId="5F648129">
      <w:pPr>
        <w:pStyle w:val="2"/>
        <w:spacing w:before="97" w:line="261" w:lineRule="auto"/>
        <w:ind w:left="370" w:right="86" w:firstLine="369"/>
        <w:rPr>
          <w:sz w:val="19"/>
          <w:szCs w:val="19"/>
        </w:rPr>
      </w:pPr>
      <w:r>
        <w:rPr>
          <w:spacing w:val="13"/>
          <w:sz w:val="19"/>
          <w:szCs w:val="19"/>
        </w:rPr>
        <w:t>⑥网络安全管理，包括安全策略、组织的安全、资产分类和控制、人员安全、物理与环境</w:t>
      </w:r>
      <w:r>
        <w:rPr>
          <w:sz w:val="19"/>
          <w:szCs w:val="19"/>
        </w:rPr>
        <w:t xml:space="preserve"> </w:t>
      </w:r>
      <w:r>
        <w:rPr>
          <w:spacing w:val="5"/>
          <w:sz w:val="19"/>
          <w:szCs w:val="19"/>
        </w:rPr>
        <w:t>安全、通信安全和操作管理等。</w:t>
      </w:r>
    </w:p>
    <w:p w14:paraId="562CFF8A">
      <w:pPr>
        <w:pStyle w:val="2"/>
        <w:spacing w:before="161" w:line="222" w:lineRule="auto"/>
        <w:ind w:left="742"/>
        <w:rPr>
          <w:rFonts w:ascii="黑体" w:hAnsi="黑体" w:eastAsia="黑体" w:cs="黑体"/>
          <w:sz w:val="19"/>
          <w:szCs w:val="19"/>
        </w:rPr>
      </w:pPr>
      <w:r>
        <w:rPr>
          <w:b/>
          <w:bCs/>
          <w:color w:val="0080D6"/>
          <w:spacing w:val="9"/>
          <w:sz w:val="19"/>
          <w:szCs w:val="19"/>
        </w:rPr>
        <w:t>2.</w:t>
      </w:r>
      <w:r>
        <w:rPr>
          <w:rFonts w:ascii="黑体" w:hAnsi="黑体" w:eastAsia="黑体" w:cs="黑体"/>
          <w:b/>
          <w:bCs/>
          <w:color w:val="0080D6"/>
          <w:spacing w:val="9"/>
          <w:sz w:val="19"/>
          <w:szCs w:val="19"/>
        </w:rPr>
        <w:t>实施阶段监理内容</w:t>
      </w:r>
    </w:p>
    <w:p w14:paraId="0D8551EC">
      <w:pPr>
        <w:pStyle w:val="2"/>
        <w:spacing w:before="164" w:line="219" w:lineRule="auto"/>
        <w:ind w:left="740"/>
        <w:rPr>
          <w:sz w:val="19"/>
          <w:szCs w:val="19"/>
        </w:rPr>
      </w:pPr>
      <w:r>
        <w:rPr>
          <w:spacing w:val="6"/>
          <w:sz w:val="19"/>
          <w:szCs w:val="19"/>
        </w:rPr>
        <w:t>计算机网络系统工程实施阶段的监理内容具体如下：</w:t>
      </w:r>
    </w:p>
    <w:p w14:paraId="1EB9F1D8">
      <w:pPr>
        <w:pStyle w:val="2"/>
        <w:spacing w:before="86" w:line="220" w:lineRule="auto"/>
        <w:ind w:left="740"/>
        <w:rPr>
          <w:sz w:val="19"/>
          <w:szCs w:val="19"/>
        </w:rPr>
      </w:pPr>
      <w:r>
        <w:rPr>
          <w:spacing w:val="10"/>
          <w:sz w:val="19"/>
          <w:szCs w:val="19"/>
        </w:rPr>
        <w:t>(1)工程实施方案的审核。具体包括：</w:t>
      </w:r>
    </w:p>
    <w:p w14:paraId="63343E3F">
      <w:pPr>
        <w:pStyle w:val="2"/>
        <w:spacing w:before="91" w:line="217" w:lineRule="auto"/>
        <w:ind w:left="740"/>
        <w:rPr>
          <w:sz w:val="19"/>
          <w:szCs w:val="19"/>
        </w:rPr>
      </w:pPr>
      <w:r>
        <w:rPr>
          <w:spacing w:val="8"/>
          <w:sz w:val="19"/>
          <w:szCs w:val="19"/>
        </w:rPr>
        <w:t>①设备的安装调试，包括各类设备的采购、进场、配置、调试和管理</w:t>
      </w:r>
      <w:r>
        <w:rPr>
          <w:spacing w:val="7"/>
          <w:sz w:val="19"/>
          <w:szCs w:val="19"/>
        </w:rPr>
        <w:t>等；</w:t>
      </w:r>
    </w:p>
    <w:p w14:paraId="4CA8F90B">
      <w:pPr>
        <w:pStyle w:val="2"/>
        <w:spacing w:before="87" w:line="217" w:lineRule="auto"/>
        <w:ind w:left="740"/>
        <w:rPr>
          <w:sz w:val="19"/>
          <w:szCs w:val="19"/>
        </w:rPr>
      </w:pPr>
      <w:r>
        <w:rPr>
          <w:spacing w:val="8"/>
          <w:sz w:val="19"/>
          <w:szCs w:val="19"/>
        </w:rPr>
        <w:t>②网络系统集成，包括软硬件系统集成、系统连通性验</w:t>
      </w:r>
      <w:r>
        <w:rPr>
          <w:spacing w:val="7"/>
          <w:sz w:val="19"/>
          <w:szCs w:val="19"/>
        </w:rPr>
        <w:t>证等；</w:t>
      </w:r>
    </w:p>
    <w:p w14:paraId="7B4F1F08">
      <w:pPr>
        <w:pStyle w:val="2"/>
        <w:spacing w:before="76" w:line="217" w:lineRule="auto"/>
        <w:ind w:left="740"/>
        <w:rPr>
          <w:sz w:val="19"/>
          <w:szCs w:val="19"/>
        </w:rPr>
      </w:pPr>
      <w:r>
        <w:rPr>
          <w:spacing w:val="7"/>
          <w:sz w:val="19"/>
          <w:szCs w:val="19"/>
        </w:rPr>
        <w:t>③网络系统拓扑图、网络设备布局图、配线图等；</w:t>
      </w:r>
    </w:p>
    <w:p w14:paraId="10669A28">
      <w:pPr>
        <w:pStyle w:val="2"/>
        <w:spacing w:before="77" w:line="266" w:lineRule="auto"/>
        <w:ind w:left="370" w:right="20" w:firstLine="369"/>
        <w:rPr>
          <w:sz w:val="19"/>
          <w:szCs w:val="19"/>
        </w:rPr>
      </w:pPr>
      <w:r>
        <w:rPr>
          <w:spacing w:val="15"/>
          <w:sz w:val="19"/>
          <w:szCs w:val="19"/>
        </w:rPr>
        <w:t>④网络基础设施、网络服务、网络安全和网络管理系统各部分实</w:t>
      </w:r>
      <w:r>
        <w:rPr>
          <w:spacing w:val="14"/>
          <w:sz w:val="19"/>
          <w:szCs w:val="19"/>
        </w:rPr>
        <w:t>施方案合理性和可行性，</w:t>
      </w:r>
      <w:r>
        <w:rPr>
          <w:sz w:val="19"/>
          <w:szCs w:val="19"/>
        </w:rPr>
        <w:t xml:space="preserve"> </w:t>
      </w:r>
      <w:r>
        <w:rPr>
          <w:spacing w:val="6"/>
          <w:sz w:val="19"/>
          <w:szCs w:val="19"/>
        </w:rPr>
        <w:t>与承建合同、工程设计方案的符合性；</w:t>
      </w:r>
    </w:p>
    <w:p w14:paraId="442BE8E5">
      <w:pPr>
        <w:pStyle w:val="2"/>
        <w:spacing w:before="83" w:line="217" w:lineRule="auto"/>
        <w:ind w:left="740"/>
        <w:rPr>
          <w:sz w:val="19"/>
          <w:szCs w:val="19"/>
        </w:rPr>
      </w:pPr>
      <w:r>
        <w:rPr>
          <w:spacing w:val="9"/>
          <w:sz w:val="19"/>
          <w:szCs w:val="19"/>
        </w:rPr>
        <w:t>⑤工程实施组织，包括实施人员、实施顺序、实施测量、安全措施、</w:t>
      </w:r>
      <w:r>
        <w:rPr>
          <w:spacing w:val="8"/>
          <w:sz w:val="19"/>
          <w:szCs w:val="19"/>
        </w:rPr>
        <w:t>特殊处理措施等；</w:t>
      </w:r>
    </w:p>
    <w:p w14:paraId="3CE30EA1">
      <w:pPr>
        <w:pStyle w:val="2"/>
        <w:spacing w:before="76" w:line="217" w:lineRule="auto"/>
        <w:ind w:left="740"/>
        <w:rPr>
          <w:sz w:val="19"/>
          <w:szCs w:val="19"/>
        </w:rPr>
      </w:pPr>
      <w:r>
        <w:rPr>
          <w:spacing w:val="7"/>
          <w:sz w:val="19"/>
          <w:szCs w:val="19"/>
        </w:rPr>
        <w:t>⑥工程实施计划，包括实施步骤、实施方法、实施进度等；</w:t>
      </w:r>
    </w:p>
    <w:p w14:paraId="2581DD2D">
      <w:pPr>
        <w:pStyle w:val="2"/>
        <w:spacing w:before="88" w:line="256" w:lineRule="auto"/>
        <w:ind w:left="370" w:firstLine="369"/>
        <w:rPr>
          <w:sz w:val="19"/>
          <w:szCs w:val="19"/>
        </w:rPr>
      </w:pPr>
      <w:r>
        <w:rPr>
          <w:spacing w:val="10"/>
          <w:sz w:val="19"/>
          <w:szCs w:val="19"/>
        </w:rPr>
        <w:t>⑦如适用，项目分包工程实施方案，包括实施组织、实施方法、实施进度，以及有关质量、</w:t>
      </w:r>
      <w:r>
        <w:rPr>
          <w:spacing w:val="4"/>
          <w:sz w:val="19"/>
          <w:szCs w:val="19"/>
        </w:rPr>
        <w:t xml:space="preserve"> </w:t>
      </w:r>
      <w:r>
        <w:rPr>
          <w:spacing w:val="6"/>
          <w:sz w:val="19"/>
          <w:szCs w:val="19"/>
        </w:rPr>
        <w:t>安全等主要技术和组织措施等。</w:t>
      </w:r>
    </w:p>
    <w:p w14:paraId="2251AD3D">
      <w:pPr>
        <w:spacing w:line="256" w:lineRule="auto"/>
        <w:rPr>
          <w:sz w:val="19"/>
          <w:szCs w:val="19"/>
        </w:rPr>
        <w:sectPr>
          <w:pgSz w:w="10300" w:h="13370"/>
          <w:pgMar w:top="400" w:right="1054" w:bottom="400" w:left="499" w:header="0" w:footer="0" w:gutter="0"/>
          <w:cols w:space="720" w:num="1"/>
        </w:sectPr>
      </w:pPr>
    </w:p>
    <w:p w14:paraId="1C248B8B">
      <w:pPr>
        <w:pStyle w:val="2"/>
        <w:spacing w:before="76" w:line="219" w:lineRule="auto"/>
        <w:jc w:val="right"/>
        <w:rPr>
          <w:rFonts w:ascii="Times New Roman" w:hAnsi="Times New Roman" w:eastAsia="Times New Roman" w:cs="Times New Roman"/>
          <w:sz w:val="19"/>
          <w:szCs w:val="19"/>
        </w:rPr>
      </w:pPr>
      <w:r>
        <w:rPr>
          <w:spacing w:val="3"/>
          <w:sz w:val="19"/>
          <w:szCs w:val="19"/>
        </w:rPr>
        <w:t>第21章 基础设施工程监理</w:t>
      </w:r>
      <w:r>
        <w:rPr>
          <w:spacing w:val="8"/>
          <w:sz w:val="19"/>
          <w:szCs w:val="19"/>
        </w:rPr>
        <w:t xml:space="preserve">      </w:t>
      </w:r>
      <w:r>
        <w:rPr>
          <w:rFonts w:ascii="Times New Roman" w:hAnsi="Times New Roman" w:eastAsia="Times New Roman" w:cs="Times New Roman"/>
          <w:spacing w:val="3"/>
          <w:position w:val="1"/>
          <w:sz w:val="19"/>
          <w:szCs w:val="19"/>
        </w:rPr>
        <w:t>493</w:t>
      </w:r>
    </w:p>
    <w:p w14:paraId="5D2AB411">
      <w:pPr>
        <w:spacing w:line="302" w:lineRule="auto"/>
        <w:rPr>
          <w:rFonts w:ascii="Arial"/>
          <w:sz w:val="21"/>
        </w:rPr>
      </w:pPr>
    </w:p>
    <w:p w14:paraId="248F09A6">
      <w:pPr>
        <w:pStyle w:val="2"/>
        <w:spacing w:before="62" w:line="220" w:lineRule="auto"/>
        <w:ind w:left="389"/>
        <w:rPr>
          <w:sz w:val="19"/>
          <w:szCs w:val="19"/>
        </w:rPr>
      </w:pPr>
      <w:r>
        <w:rPr>
          <w:spacing w:val="11"/>
          <w:sz w:val="19"/>
          <w:szCs w:val="19"/>
        </w:rPr>
        <w:t>(2)工程实施过程的监理。具体包括：</w:t>
      </w:r>
    </w:p>
    <w:p w14:paraId="094C6D28">
      <w:pPr>
        <w:pStyle w:val="2"/>
        <w:spacing w:before="90" w:line="217" w:lineRule="auto"/>
        <w:ind w:left="389"/>
        <w:rPr>
          <w:sz w:val="19"/>
          <w:szCs w:val="19"/>
        </w:rPr>
      </w:pPr>
      <w:r>
        <w:rPr>
          <w:spacing w:val="7"/>
          <w:sz w:val="19"/>
          <w:szCs w:val="19"/>
        </w:rPr>
        <w:t>①工程现场实施人员与实施方案中规定的实施人员的一致性检查；</w:t>
      </w:r>
    </w:p>
    <w:p w14:paraId="29ECBC06">
      <w:pPr>
        <w:pStyle w:val="2"/>
        <w:spacing w:before="106" w:line="217" w:lineRule="auto"/>
        <w:ind w:left="389"/>
        <w:rPr>
          <w:sz w:val="19"/>
          <w:szCs w:val="19"/>
        </w:rPr>
      </w:pPr>
      <w:r>
        <w:rPr>
          <w:spacing w:val="6"/>
          <w:sz w:val="19"/>
          <w:szCs w:val="19"/>
        </w:rPr>
        <w:t>②检查设备的互连线缆是否经过测试并符合要求；</w:t>
      </w:r>
    </w:p>
    <w:p w14:paraId="4EF6C5A3">
      <w:pPr>
        <w:pStyle w:val="2"/>
        <w:spacing w:before="87" w:line="217" w:lineRule="auto"/>
        <w:ind w:left="389"/>
        <w:rPr>
          <w:sz w:val="19"/>
          <w:szCs w:val="19"/>
        </w:rPr>
      </w:pPr>
      <w:r>
        <w:rPr>
          <w:spacing w:val="9"/>
          <w:sz w:val="19"/>
          <w:szCs w:val="19"/>
        </w:rPr>
        <w:t>③设备安装环境和条件的检查，应检查主要网络设备的</w:t>
      </w:r>
      <w:r>
        <w:rPr>
          <w:spacing w:val="8"/>
          <w:sz w:val="19"/>
          <w:szCs w:val="19"/>
        </w:rPr>
        <w:t>安放环境是否符合设备的运行要求；</w:t>
      </w:r>
    </w:p>
    <w:p w14:paraId="6628011D">
      <w:pPr>
        <w:pStyle w:val="2"/>
        <w:spacing w:before="87" w:line="217" w:lineRule="auto"/>
        <w:ind w:left="389"/>
        <w:rPr>
          <w:sz w:val="19"/>
          <w:szCs w:val="19"/>
        </w:rPr>
      </w:pPr>
      <w:r>
        <w:rPr>
          <w:spacing w:val="6"/>
          <w:sz w:val="19"/>
          <w:szCs w:val="19"/>
        </w:rPr>
        <w:t>④设备安装、调试和网络系统集成的检查；</w:t>
      </w:r>
    </w:p>
    <w:p w14:paraId="2E60C6E6">
      <w:pPr>
        <w:pStyle w:val="2"/>
        <w:spacing w:before="86" w:line="217" w:lineRule="auto"/>
        <w:ind w:left="389"/>
        <w:rPr>
          <w:sz w:val="19"/>
          <w:szCs w:val="19"/>
        </w:rPr>
      </w:pPr>
      <w:r>
        <w:rPr>
          <w:spacing w:val="5"/>
          <w:sz w:val="19"/>
          <w:szCs w:val="19"/>
        </w:rPr>
        <w:t>⑤工程实施的安全性检查；</w:t>
      </w:r>
    </w:p>
    <w:p w14:paraId="57183CF4">
      <w:pPr>
        <w:pStyle w:val="2"/>
        <w:spacing w:before="97" w:line="217" w:lineRule="auto"/>
        <w:ind w:left="389"/>
        <w:rPr>
          <w:sz w:val="19"/>
          <w:szCs w:val="19"/>
        </w:rPr>
      </w:pPr>
      <w:r>
        <w:rPr>
          <w:spacing w:val="5"/>
          <w:sz w:val="19"/>
          <w:szCs w:val="19"/>
        </w:rPr>
        <w:t>⑥定期检查、记录工程的进度情况；</w:t>
      </w:r>
    </w:p>
    <w:p w14:paraId="7A51C714">
      <w:pPr>
        <w:pStyle w:val="2"/>
        <w:spacing w:before="107" w:line="256" w:lineRule="auto"/>
        <w:ind w:right="267" w:firstLine="389"/>
        <w:rPr>
          <w:sz w:val="19"/>
          <w:szCs w:val="19"/>
        </w:rPr>
      </w:pPr>
      <w:r>
        <w:rPr>
          <w:spacing w:val="9"/>
          <w:sz w:val="19"/>
          <w:szCs w:val="19"/>
        </w:rPr>
        <w:t>⑦如适用，检查设备到货和工程实施的变更请求的合理性和必要性，评估变更对工程质量、</w:t>
      </w:r>
      <w:r>
        <w:rPr>
          <w:spacing w:val="13"/>
          <w:sz w:val="19"/>
          <w:szCs w:val="19"/>
        </w:rPr>
        <w:t xml:space="preserve"> </w:t>
      </w:r>
      <w:r>
        <w:rPr>
          <w:spacing w:val="6"/>
          <w:sz w:val="19"/>
          <w:szCs w:val="19"/>
        </w:rPr>
        <w:t>进度和投资的影响，并提出监理意见。</w:t>
      </w:r>
    </w:p>
    <w:p w14:paraId="48D4FED1">
      <w:pPr>
        <w:pStyle w:val="2"/>
        <w:spacing w:before="84" w:line="219" w:lineRule="auto"/>
        <w:ind w:left="389"/>
        <w:rPr>
          <w:sz w:val="19"/>
          <w:szCs w:val="19"/>
        </w:rPr>
      </w:pPr>
      <w:r>
        <w:rPr>
          <w:spacing w:val="11"/>
          <w:sz w:val="19"/>
          <w:szCs w:val="19"/>
        </w:rPr>
        <w:t>(3)主要设备到货验收的监理。具体包括：</w:t>
      </w:r>
    </w:p>
    <w:p w14:paraId="2A6DDE03">
      <w:pPr>
        <w:pStyle w:val="2"/>
        <w:spacing w:before="84" w:line="265" w:lineRule="auto"/>
        <w:ind w:right="313" w:firstLine="389"/>
        <w:rPr>
          <w:sz w:val="19"/>
          <w:szCs w:val="19"/>
        </w:rPr>
      </w:pPr>
      <w:r>
        <w:rPr>
          <w:spacing w:val="13"/>
          <w:sz w:val="19"/>
          <w:szCs w:val="19"/>
        </w:rPr>
        <w:t>①监理机构应组织对承建单位提供的主要网络设备、产品及服务进行验收。对于重要网络</w:t>
      </w:r>
      <w:r>
        <w:rPr>
          <w:spacing w:val="10"/>
          <w:sz w:val="19"/>
          <w:szCs w:val="19"/>
        </w:rPr>
        <w:t xml:space="preserve"> </w:t>
      </w:r>
      <w:r>
        <w:rPr>
          <w:spacing w:val="8"/>
          <w:sz w:val="19"/>
          <w:szCs w:val="19"/>
        </w:rPr>
        <w:t>设备可依据承建合同、网络技术标准或事先约定的方法检测其功能和性能。</w:t>
      </w:r>
    </w:p>
    <w:p w14:paraId="47A9064E">
      <w:pPr>
        <w:pStyle w:val="2"/>
        <w:spacing w:before="95" w:line="278" w:lineRule="auto"/>
        <w:ind w:right="312" w:firstLine="389"/>
        <w:rPr>
          <w:sz w:val="19"/>
          <w:szCs w:val="19"/>
        </w:rPr>
      </w:pPr>
      <w:r>
        <w:rPr>
          <w:spacing w:val="13"/>
          <w:sz w:val="19"/>
          <w:szCs w:val="19"/>
        </w:rPr>
        <w:t>②对于数量较大的同类产品，监理机构可进行抽验检查。必要时，监理机构应要求承建单</w:t>
      </w:r>
      <w:r>
        <w:rPr>
          <w:spacing w:val="9"/>
          <w:sz w:val="19"/>
          <w:szCs w:val="19"/>
        </w:rPr>
        <w:t xml:space="preserve"> </w:t>
      </w:r>
      <w:r>
        <w:rPr>
          <w:spacing w:val="13"/>
          <w:sz w:val="19"/>
          <w:szCs w:val="19"/>
        </w:rPr>
        <w:t>位提交第三方测试机构出具的测试报告，并核验产品认证证书、检测报告、入网许</w:t>
      </w:r>
      <w:r>
        <w:rPr>
          <w:spacing w:val="12"/>
          <w:sz w:val="19"/>
          <w:szCs w:val="19"/>
        </w:rPr>
        <w:t>可证的真实</w:t>
      </w:r>
      <w:r>
        <w:rPr>
          <w:sz w:val="19"/>
          <w:szCs w:val="19"/>
        </w:rPr>
        <w:t xml:space="preserve"> </w:t>
      </w:r>
      <w:r>
        <w:rPr>
          <w:spacing w:val="5"/>
          <w:sz w:val="19"/>
          <w:szCs w:val="19"/>
        </w:rPr>
        <w:t>性和有效性。</w:t>
      </w:r>
    </w:p>
    <w:p w14:paraId="5B34E1DB">
      <w:pPr>
        <w:pStyle w:val="2"/>
        <w:spacing w:before="90" w:line="217" w:lineRule="auto"/>
        <w:ind w:left="389"/>
        <w:rPr>
          <w:sz w:val="19"/>
          <w:szCs w:val="19"/>
        </w:rPr>
      </w:pPr>
      <w:r>
        <w:rPr>
          <w:spacing w:val="8"/>
          <w:sz w:val="19"/>
          <w:szCs w:val="19"/>
        </w:rPr>
        <w:t>③监理机构应从如下方面对主要网络设备进行到货验收，并提出监理意见：</w:t>
      </w:r>
    </w:p>
    <w:p w14:paraId="23055343">
      <w:pPr>
        <w:pStyle w:val="2"/>
        <w:spacing w:before="89" w:line="219" w:lineRule="auto"/>
        <w:ind w:left="389"/>
        <w:rPr>
          <w:sz w:val="19"/>
          <w:szCs w:val="19"/>
        </w:rPr>
      </w:pPr>
      <w:r>
        <w:rPr>
          <w:spacing w:val="8"/>
          <w:sz w:val="19"/>
          <w:szCs w:val="19"/>
        </w:rPr>
        <w:t>●</w:t>
      </w:r>
      <w:r>
        <w:rPr>
          <w:spacing w:val="-57"/>
          <w:sz w:val="19"/>
          <w:szCs w:val="19"/>
        </w:rPr>
        <w:t xml:space="preserve"> </w:t>
      </w:r>
      <w:r>
        <w:rPr>
          <w:spacing w:val="8"/>
          <w:sz w:val="19"/>
          <w:szCs w:val="19"/>
        </w:rPr>
        <w:t>外包装检查；</w:t>
      </w:r>
    </w:p>
    <w:p w14:paraId="2374F331">
      <w:pPr>
        <w:pStyle w:val="2"/>
        <w:spacing w:before="104" w:line="219" w:lineRule="auto"/>
        <w:ind w:left="389"/>
        <w:rPr>
          <w:sz w:val="19"/>
          <w:szCs w:val="19"/>
        </w:rPr>
      </w:pPr>
      <w:r>
        <w:rPr>
          <w:spacing w:val="10"/>
          <w:sz w:val="19"/>
          <w:szCs w:val="19"/>
        </w:rPr>
        <w:t>●开箱检查，包括设备型号、类别、数量、附件及文档等；</w:t>
      </w:r>
    </w:p>
    <w:p w14:paraId="68CA5C54">
      <w:pPr>
        <w:pStyle w:val="2"/>
        <w:spacing w:before="96" w:line="219" w:lineRule="auto"/>
        <w:ind w:left="389"/>
        <w:rPr>
          <w:sz w:val="19"/>
          <w:szCs w:val="19"/>
        </w:rPr>
      </w:pPr>
      <w:r>
        <w:rPr>
          <w:spacing w:val="10"/>
          <w:sz w:val="19"/>
          <w:szCs w:val="19"/>
        </w:rPr>
        <w:t>●记录各个产品的唯一性标识，例如产品序列号等；</w:t>
      </w:r>
    </w:p>
    <w:p w14:paraId="264EC298">
      <w:pPr>
        <w:pStyle w:val="2"/>
        <w:spacing w:before="95" w:line="220" w:lineRule="auto"/>
        <w:ind w:left="389"/>
        <w:rPr>
          <w:sz w:val="19"/>
          <w:szCs w:val="19"/>
        </w:rPr>
      </w:pPr>
      <w:r>
        <w:rPr>
          <w:spacing w:val="10"/>
          <w:sz w:val="19"/>
          <w:szCs w:val="19"/>
        </w:rPr>
        <w:t>●必要时，可确认主要设备的合法性；</w:t>
      </w:r>
    </w:p>
    <w:p w14:paraId="210D8656">
      <w:pPr>
        <w:pStyle w:val="2"/>
        <w:spacing w:before="93" w:line="219" w:lineRule="auto"/>
        <w:ind w:left="389"/>
        <w:rPr>
          <w:sz w:val="19"/>
          <w:szCs w:val="19"/>
        </w:rPr>
      </w:pPr>
      <w:r>
        <w:rPr>
          <w:spacing w:val="11"/>
          <w:sz w:val="19"/>
          <w:szCs w:val="19"/>
        </w:rPr>
        <w:t>●对设备的配置信息等进行加电自检测试；</w:t>
      </w:r>
    </w:p>
    <w:p w14:paraId="697FD9C9">
      <w:pPr>
        <w:pStyle w:val="2"/>
        <w:spacing w:before="93" w:line="219" w:lineRule="auto"/>
        <w:ind w:left="389"/>
        <w:rPr>
          <w:sz w:val="19"/>
          <w:szCs w:val="19"/>
        </w:rPr>
      </w:pPr>
      <w:r>
        <w:rPr>
          <w:spacing w:val="11"/>
          <w:sz w:val="19"/>
          <w:szCs w:val="19"/>
        </w:rPr>
        <w:t>●三方共同填写设备到货验收单。</w:t>
      </w:r>
    </w:p>
    <w:p w14:paraId="75C8F953">
      <w:pPr>
        <w:pStyle w:val="2"/>
        <w:spacing w:before="85" w:line="271" w:lineRule="auto"/>
        <w:ind w:right="312" w:firstLine="389"/>
        <w:rPr>
          <w:sz w:val="19"/>
          <w:szCs w:val="19"/>
        </w:rPr>
      </w:pPr>
      <w:r>
        <w:rPr>
          <w:spacing w:val="15"/>
          <w:sz w:val="19"/>
          <w:szCs w:val="19"/>
        </w:rPr>
        <w:t>(4)系统安装调试的监理。监理机构应从如下方面对网络系统的安装调试进行监理，确认</w:t>
      </w:r>
      <w:r>
        <w:rPr>
          <w:spacing w:val="13"/>
          <w:sz w:val="19"/>
          <w:szCs w:val="19"/>
        </w:rPr>
        <w:t xml:space="preserve"> </w:t>
      </w:r>
      <w:r>
        <w:rPr>
          <w:spacing w:val="6"/>
          <w:sz w:val="19"/>
          <w:szCs w:val="19"/>
        </w:rPr>
        <w:t>其达到工程设计方案和实施方案的要求：</w:t>
      </w:r>
    </w:p>
    <w:p w14:paraId="1E4DE191">
      <w:pPr>
        <w:pStyle w:val="2"/>
        <w:spacing w:before="71" w:line="217" w:lineRule="auto"/>
        <w:ind w:left="389"/>
        <w:rPr>
          <w:sz w:val="19"/>
          <w:szCs w:val="19"/>
        </w:rPr>
      </w:pPr>
      <w:r>
        <w:rPr>
          <w:spacing w:val="6"/>
          <w:sz w:val="19"/>
          <w:szCs w:val="19"/>
        </w:rPr>
        <w:t>①网络设备和主机的安装、配置及调试；</w:t>
      </w:r>
    </w:p>
    <w:p w14:paraId="48E01A89">
      <w:pPr>
        <w:pStyle w:val="2"/>
        <w:spacing w:before="87" w:line="217" w:lineRule="auto"/>
        <w:ind w:left="389"/>
        <w:rPr>
          <w:sz w:val="19"/>
          <w:szCs w:val="19"/>
        </w:rPr>
      </w:pPr>
      <w:r>
        <w:rPr>
          <w:spacing w:val="7"/>
          <w:sz w:val="19"/>
          <w:szCs w:val="19"/>
        </w:rPr>
        <w:t>②操作系统、网络管理系统、网络服务及其他软件的安装和配置；</w:t>
      </w:r>
    </w:p>
    <w:p w14:paraId="50EC05B9">
      <w:pPr>
        <w:pStyle w:val="2"/>
        <w:spacing w:before="76" w:line="217" w:lineRule="auto"/>
        <w:ind w:left="389"/>
        <w:rPr>
          <w:sz w:val="19"/>
          <w:szCs w:val="19"/>
        </w:rPr>
      </w:pPr>
      <w:r>
        <w:rPr>
          <w:spacing w:val="5"/>
          <w:sz w:val="19"/>
          <w:szCs w:val="19"/>
        </w:rPr>
        <w:t>③网络系统集成的调试。</w:t>
      </w:r>
    </w:p>
    <w:p w14:paraId="7219FED2">
      <w:pPr>
        <w:pStyle w:val="2"/>
        <w:spacing w:before="89" w:line="219" w:lineRule="auto"/>
        <w:ind w:left="389"/>
        <w:rPr>
          <w:sz w:val="19"/>
          <w:szCs w:val="19"/>
        </w:rPr>
      </w:pPr>
      <w:r>
        <w:rPr>
          <w:spacing w:val="11"/>
          <w:sz w:val="19"/>
          <w:szCs w:val="19"/>
        </w:rPr>
        <w:t>(5)验收测试的监理。具体包括：</w:t>
      </w:r>
    </w:p>
    <w:p w14:paraId="5FC33D3A">
      <w:pPr>
        <w:pStyle w:val="2"/>
        <w:spacing w:before="63" w:line="281" w:lineRule="auto"/>
        <w:ind w:right="306" w:firstLine="389"/>
        <w:rPr>
          <w:sz w:val="19"/>
          <w:szCs w:val="19"/>
        </w:rPr>
      </w:pPr>
      <w:r>
        <w:rPr>
          <w:spacing w:val="13"/>
          <w:sz w:val="19"/>
          <w:szCs w:val="19"/>
        </w:rPr>
        <w:t>①监理机构应参加由业主单位主持的系统验收测试方案编制过程，协助业主单位在初验和</w:t>
      </w:r>
      <w:r>
        <w:rPr>
          <w:spacing w:val="17"/>
          <w:sz w:val="19"/>
          <w:szCs w:val="19"/>
        </w:rPr>
        <w:t xml:space="preserve"> </w:t>
      </w:r>
      <w:r>
        <w:rPr>
          <w:spacing w:val="15"/>
          <w:sz w:val="19"/>
          <w:szCs w:val="19"/>
        </w:rPr>
        <w:t>试运行的基础上，进一步依照承建合同提出终验测试内容及相关指标(包括网络系统的功能测</w:t>
      </w:r>
      <w:r>
        <w:rPr>
          <w:spacing w:val="14"/>
          <w:sz w:val="19"/>
          <w:szCs w:val="19"/>
        </w:rPr>
        <w:t xml:space="preserve"> </w:t>
      </w:r>
      <w:r>
        <w:rPr>
          <w:spacing w:val="13"/>
          <w:sz w:val="19"/>
          <w:szCs w:val="19"/>
        </w:rPr>
        <w:t>试、性能测试等),并同承建单位协商，最终形</w:t>
      </w:r>
      <w:r>
        <w:rPr>
          <w:spacing w:val="12"/>
          <w:sz w:val="19"/>
          <w:szCs w:val="19"/>
        </w:rPr>
        <w:t>成工程终验测试方案，同时确定承建单位应提供</w:t>
      </w:r>
      <w:r>
        <w:rPr>
          <w:sz w:val="19"/>
          <w:szCs w:val="19"/>
        </w:rPr>
        <w:t xml:space="preserve"> </w:t>
      </w:r>
      <w:r>
        <w:rPr>
          <w:spacing w:val="1"/>
          <w:sz w:val="19"/>
          <w:szCs w:val="19"/>
        </w:rPr>
        <w:t>的测试文档清单；</w:t>
      </w:r>
    </w:p>
    <w:p w14:paraId="2065A6BB">
      <w:pPr>
        <w:pStyle w:val="2"/>
        <w:spacing w:before="103" w:line="251" w:lineRule="auto"/>
        <w:ind w:right="294" w:firstLine="389"/>
        <w:rPr>
          <w:sz w:val="19"/>
          <w:szCs w:val="19"/>
        </w:rPr>
      </w:pPr>
      <w:r>
        <w:rPr>
          <w:spacing w:val="14"/>
          <w:sz w:val="19"/>
          <w:szCs w:val="19"/>
        </w:rPr>
        <w:t>②工程终验的测试机构可以是第三方共同成立的测试小组，或是业</w:t>
      </w:r>
      <w:r>
        <w:rPr>
          <w:spacing w:val="13"/>
          <w:sz w:val="19"/>
          <w:szCs w:val="19"/>
        </w:rPr>
        <w:t>主单位聘请的专家测试</w:t>
      </w:r>
      <w:r>
        <w:rPr>
          <w:sz w:val="19"/>
          <w:szCs w:val="19"/>
        </w:rPr>
        <w:t xml:space="preserve"> </w:t>
      </w:r>
      <w:r>
        <w:rPr>
          <w:spacing w:val="7"/>
          <w:sz w:val="19"/>
          <w:szCs w:val="19"/>
        </w:rPr>
        <w:t>小组，必要时可委托专业的第三方测试机构；</w:t>
      </w:r>
    </w:p>
    <w:p w14:paraId="16DA0122">
      <w:pPr>
        <w:pStyle w:val="2"/>
        <w:spacing w:before="93" w:line="217" w:lineRule="auto"/>
        <w:ind w:left="389"/>
        <w:rPr>
          <w:sz w:val="19"/>
          <w:szCs w:val="19"/>
        </w:rPr>
      </w:pPr>
      <w:r>
        <w:rPr>
          <w:spacing w:val="9"/>
          <w:sz w:val="19"/>
          <w:szCs w:val="19"/>
        </w:rPr>
        <w:t>③监理机构应对测试机构提交的测试报告进行审查，测试结果应经三方确认。</w:t>
      </w:r>
    </w:p>
    <w:p w14:paraId="27F6939F">
      <w:pPr>
        <w:spacing w:before="42" w:line="312" w:lineRule="auto"/>
        <w:ind w:right="286" w:firstLine="297"/>
        <w:rPr>
          <w:rFonts w:ascii="楷体" w:hAnsi="楷体" w:eastAsia="楷体" w:cs="楷体"/>
          <w:sz w:val="19"/>
          <w:szCs w:val="19"/>
        </w:rPr>
      </w:pPr>
      <w:bookmarkStart w:id="725" w:name="bookmark710"/>
      <w:bookmarkEnd w:id="725"/>
      <w:r>
        <w:rPr>
          <w:rFonts w:ascii="黑体" w:hAnsi="黑体" w:eastAsia="黑体" w:cs="黑体"/>
          <w:b/>
          <w:bCs/>
          <w:spacing w:val="11"/>
          <w:sz w:val="19"/>
          <w:szCs w:val="19"/>
        </w:rPr>
        <w:t>【案例5】</w:t>
      </w:r>
      <w:r>
        <w:rPr>
          <w:rFonts w:ascii="黑体" w:hAnsi="黑体" w:eastAsia="黑体" w:cs="黑体"/>
          <w:spacing w:val="-4"/>
          <w:sz w:val="19"/>
          <w:szCs w:val="19"/>
        </w:rPr>
        <w:t xml:space="preserve"> </w:t>
      </w:r>
      <w:r>
        <w:rPr>
          <w:rFonts w:ascii="楷体" w:hAnsi="楷体" w:eastAsia="楷体" w:cs="楷体"/>
          <w:spacing w:val="11"/>
          <w:sz w:val="19"/>
          <w:szCs w:val="19"/>
        </w:rPr>
        <w:t>某监理单位受业主单位委托，负责监理某区网络机房建设项目，随着该区直属单</w:t>
      </w:r>
      <w:r>
        <w:rPr>
          <w:rFonts w:ascii="楷体" w:hAnsi="楷体" w:eastAsia="楷体" w:cs="楷体"/>
          <w:sz w:val="19"/>
          <w:szCs w:val="19"/>
        </w:rPr>
        <w:t xml:space="preserve"> </w:t>
      </w:r>
      <w:r>
        <w:rPr>
          <w:rFonts w:ascii="楷体" w:hAnsi="楷体" w:eastAsia="楷体" w:cs="楷体"/>
          <w:spacing w:val="13"/>
          <w:sz w:val="19"/>
          <w:szCs w:val="19"/>
        </w:rPr>
        <w:t>位和驻区单位办公人员的逐渐增多，原有网络机房已经满足不了行政办公的要求。经前期勘察</w:t>
      </w:r>
    </w:p>
    <w:p w14:paraId="478F4FDC">
      <w:pPr>
        <w:spacing w:line="312" w:lineRule="auto"/>
        <w:rPr>
          <w:rFonts w:ascii="楷体" w:hAnsi="楷体" w:eastAsia="楷体" w:cs="楷体"/>
          <w:sz w:val="19"/>
          <w:szCs w:val="19"/>
        </w:rPr>
        <w:sectPr>
          <w:pgSz w:w="10290" w:h="13310"/>
          <w:pgMar w:top="400" w:right="538" w:bottom="400" w:left="1119" w:header="0" w:footer="0" w:gutter="0"/>
          <w:cols w:space="720" w:num="1"/>
        </w:sectPr>
      </w:pPr>
    </w:p>
    <w:p w14:paraId="6ABCA3D9">
      <w:pPr>
        <w:pStyle w:val="2"/>
        <w:spacing w:before="78" w:line="219" w:lineRule="auto"/>
        <w:rPr>
          <w:sz w:val="20"/>
          <w:szCs w:val="20"/>
        </w:rPr>
      </w:pPr>
      <w:r>
        <w:rPr>
          <w:rFonts w:ascii="Times New Roman" w:hAnsi="Times New Roman" w:eastAsia="Times New Roman" w:cs="Times New Roman"/>
          <w:b/>
          <w:bCs/>
          <w:spacing w:val="-2"/>
          <w:position w:val="-3"/>
          <w:sz w:val="20"/>
          <w:szCs w:val="20"/>
        </w:rPr>
        <w:t xml:space="preserve">494              </w:t>
      </w:r>
      <w:r>
        <w:rPr>
          <w:spacing w:val="-2"/>
          <w:sz w:val="20"/>
          <w:szCs w:val="20"/>
        </w:rPr>
        <w:t>信息系统监理师教程(第2版)</w:t>
      </w:r>
    </w:p>
    <w:p w14:paraId="1C7B38B0">
      <w:pPr>
        <w:spacing w:line="282" w:lineRule="auto"/>
        <w:rPr>
          <w:rFonts w:ascii="Arial"/>
          <w:sz w:val="21"/>
        </w:rPr>
      </w:pPr>
    </w:p>
    <w:p w14:paraId="59B79D33">
      <w:pPr>
        <w:spacing w:before="65" w:line="285" w:lineRule="auto"/>
        <w:ind w:left="359" w:right="75"/>
        <w:rPr>
          <w:rFonts w:ascii="楷体" w:hAnsi="楷体" w:eastAsia="楷体" w:cs="楷体"/>
          <w:sz w:val="20"/>
          <w:szCs w:val="20"/>
        </w:rPr>
      </w:pPr>
      <w:r>
        <w:rPr>
          <w:rFonts w:ascii="楷体" w:hAnsi="楷体" w:eastAsia="楷体" w:cs="楷体"/>
          <w:spacing w:val="4"/>
          <w:sz w:val="20"/>
          <w:szCs w:val="20"/>
        </w:rPr>
        <w:t>与调研，业主单位决定再新建一个汇聚机房，</w:t>
      </w:r>
      <w:r>
        <w:rPr>
          <w:rFonts w:ascii="楷体" w:hAnsi="楷体" w:eastAsia="楷体" w:cs="楷体"/>
          <w:spacing w:val="3"/>
          <w:sz w:val="20"/>
          <w:szCs w:val="20"/>
        </w:rPr>
        <w:t>并部署安装无线网络设备，敷设一条裸光纤连接</w:t>
      </w:r>
      <w:r>
        <w:rPr>
          <w:rFonts w:ascii="楷体" w:hAnsi="楷体" w:eastAsia="楷体" w:cs="楷体"/>
          <w:sz w:val="20"/>
          <w:szCs w:val="20"/>
        </w:rPr>
        <w:t xml:space="preserve"> </w:t>
      </w:r>
      <w:r>
        <w:rPr>
          <w:rFonts w:ascii="楷体" w:hAnsi="楷体" w:eastAsia="楷体" w:cs="楷体"/>
          <w:spacing w:val="-5"/>
          <w:sz w:val="20"/>
          <w:szCs w:val="20"/>
        </w:rPr>
        <w:t>至原有网络机房。</w:t>
      </w:r>
    </w:p>
    <w:p w14:paraId="3F5C07F6">
      <w:pPr>
        <w:spacing w:before="16" w:line="223" w:lineRule="auto"/>
        <w:ind w:left="779"/>
        <w:rPr>
          <w:rFonts w:ascii="楷体" w:hAnsi="楷体" w:eastAsia="楷体" w:cs="楷体"/>
          <w:sz w:val="20"/>
          <w:szCs w:val="20"/>
        </w:rPr>
      </w:pPr>
      <w:r>
        <w:rPr>
          <w:rFonts w:ascii="楷体" w:hAnsi="楷体" w:eastAsia="楷体" w:cs="楷体"/>
          <w:spacing w:val="2"/>
          <w:sz w:val="20"/>
          <w:szCs w:val="20"/>
        </w:rPr>
        <w:t>(1)监理机构对方案设计及施工图设计的审查重点如下：</w:t>
      </w:r>
    </w:p>
    <w:p w14:paraId="5DE21E39">
      <w:pPr>
        <w:spacing w:before="66" w:line="270" w:lineRule="auto"/>
        <w:ind w:left="359" w:right="77" w:firstLine="420"/>
        <w:rPr>
          <w:rFonts w:ascii="楷体" w:hAnsi="楷体" w:eastAsia="楷体" w:cs="楷体"/>
          <w:sz w:val="20"/>
          <w:szCs w:val="20"/>
        </w:rPr>
      </w:pPr>
      <w:r>
        <w:rPr>
          <w:rFonts w:ascii="楷体" w:hAnsi="楷体" w:eastAsia="楷体" w:cs="楷体"/>
          <w:spacing w:val="3"/>
          <w:sz w:val="20"/>
          <w:szCs w:val="20"/>
        </w:rPr>
        <w:t>①网络安全性建设。安全是无线网络运行的基础，网络系统本身要有较高的安全性，关键</w:t>
      </w:r>
      <w:r>
        <w:rPr>
          <w:rFonts w:ascii="楷体" w:hAnsi="楷体" w:eastAsia="楷体" w:cs="楷体"/>
          <w:spacing w:val="4"/>
          <w:sz w:val="20"/>
          <w:szCs w:val="20"/>
        </w:rPr>
        <w:t xml:space="preserve"> </w:t>
      </w:r>
      <w:r>
        <w:rPr>
          <w:rFonts w:ascii="楷体" w:hAnsi="楷体" w:eastAsia="楷体" w:cs="楷体"/>
          <w:spacing w:val="3"/>
          <w:sz w:val="20"/>
          <w:szCs w:val="20"/>
        </w:rPr>
        <w:t>设备和模块应有冗余备份，在技术上提供先进、可靠、全面的安全认证方案和应急措施</w:t>
      </w:r>
      <w:r>
        <w:rPr>
          <w:rFonts w:ascii="楷体" w:hAnsi="楷体" w:eastAsia="楷体" w:cs="楷体"/>
          <w:spacing w:val="2"/>
          <w:sz w:val="20"/>
          <w:szCs w:val="20"/>
        </w:rPr>
        <w:t>，确保</w:t>
      </w:r>
      <w:r>
        <w:rPr>
          <w:rFonts w:ascii="楷体" w:hAnsi="楷体" w:eastAsia="楷体" w:cs="楷体"/>
          <w:sz w:val="20"/>
          <w:szCs w:val="20"/>
        </w:rPr>
        <w:t xml:space="preserve"> 系统能够耐受一定程度的大数据量冲击和安全问题干扰(例如蠕虫，黑客扫描、</w:t>
      </w:r>
      <w:r>
        <w:rPr>
          <w:rFonts w:ascii="楷体" w:hAnsi="楷体" w:eastAsia="楷体" w:cs="楷体"/>
          <w:spacing w:val="-35"/>
          <w:sz w:val="20"/>
          <w:szCs w:val="20"/>
        </w:rPr>
        <w:t xml:space="preserve"> </w:t>
      </w:r>
      <w:r>
        <w:rPr>
          <w:rFonts w:ascii="Times New Roman" w:hAnsi="Times New Roman" w:eastAsia="Times New Roman" w:cs="Times New Roman"/>
          <w:sz w:val="20"/>
          <w:szCs w:val="20"/>
        </w:rPr>
        <w:t>DoS</w:t>
      </w:r>
      <w:r>
        <w:rPr>
          <w:rFonts w:ascii="Times New Roman" w:hAnsi="Times New Roman" w:eastAsia="Times New Roman" w:cs="Times New Roman"/>
          <w:spacing w:val="28"/>
          <w:sz w:val="20"/>
          <w:szCs w:val="20"/>
        </w:rPr>
        <w:t xml:space="preserve"> </w:t>
      </w:r>
      <w:r>
        <w:rPr>
          <w:rFonts w:ascii="楷体" w:hAnsi="楷体" w:eastAsia="楷体" w:cs="楷体"/>
          <w:sz w:val="20"/>
          <w:szCs w:val="20"/>
        </w:rPr>
        <w:t>攻击等)。</w:t>
      </w:r>
    </w:p>
    <w:p w14:paraId="417FC17A">
      <w:pPr>
        <w:spacing w:before="79" w:line="277" w:lineRule="auto"/>
        <w:ind w:left="359" w:right="72" w:firstLine="420"/>
        <w:rPr>
          <w:rFonts w:ascii="楷体" w:hAnsi="楷体" w:eastAsia="楷体" w:cs="楷体"/>
          <w:sz w:val="20"/>
          <w:szCs w:val="20"/>
        </w:rPr>
      </w:pPr>
      <w:r>
        <w:rPr>
          <w:rFonts w:ascii="楷体" w:hAnsi="楷体" w:eastAsia="楷体" w:cs="楷体"/>
          <w:spacing w:val="3"/>
          <w:sz w:val="20"/>
          <w:szCs w:val="20"/>
        </w:rPr>
        <w:t>②无线网络可扩展性建设。由于网络信息技术的飞速发展，变化日新月异，网络设计不但</w:t>
      </w:r>
      <w:r>
        <w:rPr>
          <w:rFonts w:ascii="楷体" w:hAnsi="楷体" w:eastAsia="楷体" w:cs="楷体"/>
          <w:spacing w:val="9"/>
          <w:sz w:val="20"/>
          <w:szCs w:val="20"/>
        </w:rPr>
        <w:t xml:space="preserve"> </w:t>
      </w:r>
      <w:r>
        <w:rPr>
          <w:rFonts w:ascii="楷体" w:hAnsi="楷体" w:eastAsia="楷体" w:cs="楷体"/>
          <w:spacing w:val="4"/>
          <w:sz w:val="20"/>
          <w:szCs w:val="20"/>
        </w:rPr>
        <w:t>要保证目前网络传输容量的要求，也要考虑今后网</w:t>
      </w:r>
      <w:r>
        <w:rPr>
          <w:rFonts w:ascii="楷体" w:hAnsi="楷体" w:eastAsia="楷体" w:cs="楷体"/>
          <w:spacing w:val="3"/>
          <w:sz w:val="20"/>
          <w:szCs w:val="20"/>
        </w:rPr>
        <w:t>络的发展，满足当前以及今后相当一段时间</w:t>
      </w:r>
      <w:r>
        <w:rPr>
          <w:rFonts w:ascii="楷体" w:hAnsi="楷体" w:eastAsia="楷体" w:cs="楷体"/>
          <w:sz w:val="20"/>
          <w:szCs w:val="20"/>
        </w:rPr>
        <w:t xml:space="preserve"> </w:t>
      </w:r>
      <w:r>
        <w:rPr>
          <w:rFonts w:ascii="楷体" w:hAnsi="楷体" w:eastAsia="楷体" w:cs="楷体"/>
          <w:spacing w:val="2"/>
          <w:sz w:val="20"/>
          <w:szCs w:val="20"/>
        </w:rPr>
        <w:t>内的网络需求，便于向新技术的升级和衔接，同时又需要保护原有的投资。系统应留有足够的</w:t>
      </w:r>
      <w:r>
        <w:rPr>
          <w:rFonts w:ascii="楷体" w:hAnsi="楷体" w:eastAsia="楷体" w:cs="楷体"/>
          <w:spacing w:val="7"/>
          <w:sz w:val="20"/>
          <w:szCs w:val="20"/>
        </w:rPr>
        <w:t xml:space="preserve"> </w:t>
      </w:r>
      <w:r>
        <w:rPr>
          <w:rFonts w:ascii="楷体" w:hAnsi="楷体" w:eastAsia="楷体" w:cs="楷体"/>
          <w:spacing w:val="-2"/>
          <w:sz w:val="20"/>
          <w:szCs w:val="20"/>
        </w:rPr>
        <w:t>扩容能力，例如端口数量以及带宽等。</w:t>
      </w:r>
    </w:p>
    <w:p w14:paraId="504D6FFF">
      <w:pPr>
        <w:spacing w:before="73" w:line="252" w:lineRule="auto"/>
        <w:ind w:left="359" w:right="98" w:firstLine="420"/>
        <w:rPr>
          <w:rFonts w:ascii="楷体" w:hAnsi="楷体" w:eastAsia="楷体" w:cs="楷体"/>
          <w:sz w:val="20"/>
          <w:szCs w:val="20"/>
        </w:rPr>
      </w:pPr>
      <w:r>
        <w:rPr>
          <w:rFonts w:ascii="楷体" w:hAnsi="楷体" w:eastAsia="楷体" w:cs="楷体"/>
          <w:spacing w:val="3"/>
          <w:sz w:val="20"/>
          <w:szCs w:val="20"/>
        </w:rPr>
        <w:t>③网络的可靠性建设。系统结构设计、设备选型、</w:t>
      </w:r>
      <w:r>
        <w:rPr>
          <w:rFonts w:ascii="楷体" w:hAnsi="楷体" w:eastAsia="楷体" w:cs="楷体"/>
          <w:spacing w:val="2"/>
          <w:sz w:val="20"/>
          <w:szCs w:val="20"/>
        </w:rPr>
        <w:t>系统建设、网络管理需要充分考虑网络</w:t>
      </w:r>
      <w:r>
        <w:rPr>
          <w:rFonts w:ascii="楷体" w:hAnsi="楷体" w:eastAsia="楷体" w:cs="楷体"/>
          <w:sz w:val="20"/>
          <w:szCs w:val="20"/>
        </w:rPr>
        <w:t xml:space="preserve"> </w:t>
      </w:r>
      <w:r>
        <w:rPr>
          <w:rFonts w:ascii="楷体" w:hAnsi="楷体" w:eastAsia="楷体" w:cs="楷体"/>
          <w:spacing w:val="-2"/>
          <w:sz w:val="20"/>
          <w:szCs w:val="20"/>
        </w:rPr>
        <w:t>整体可靠性、可用性以及可维护性，确保网络不间断运行。</w:t>
      </w:r>
    </w:p>
    <w:p w14:paraId="21482AEE">
      <w:pPr>
        <w:pStyle w:val="2"/>
        <w:spacing w:before="91" w:line="249" w:lineRule="auto"/>
        <w:ind w:left="359" w:right="97" w:firstLine="420"/>
        <w:rPr>
          <w:rFonts w:ascii="楷体" w:hAnsi="楷体" w:eastAsia="楷体" w:cs="楷体"/>
          <w:sz w:val="20"/>
          <w:szCs w:val="20"/>
        </w:rPr>
      </w:pPr>
      <w:r>
        <w:rPr>
          <w:rFonts w:ascii="楷体" w:hAnsi="楷体" w:eastAsia="楷体" w:cs="楷体"/>
          <w:spacing w:val="3"/>
          <w:sz w:val="20"/>
          <w:szCs w:val="20"/>
        </w:rPr>
        <w:t>④高性能建设。网络设计应确保系统具有足够的数据</w:t>
      </w:r>
      <w:r>
        <w:rPr>
          <w:rFonts w:ascii="楷体" w:hAnsi="楷体" w:eastAsia="楷体" w:cs="楷体"/>
          <w:spacing w:val="2"/>
          <w:sz w:val="20"/>
          <w:szCs w:val="20"/>
        </w:rPr>
        <w:t>传输带宽，并为可预计的业务提供足</w:t>
      </w:r>
      <w:r>
        <w:rPr>
          <w:rFonts w:ascii="楷体" w:hAnsi="楷体" w:eastAsia="楷体" w:cs="楷体"/>
          <w:sz w:val="20"/>
          <w:szCs w:val="20"/>
        </w:rPr>
        <w:t xml:space="preserve"> </w:t>
      </w:r>
      <w:r>
        <w:rPr>
          <w:rFonts w:ascii="楷体" w:hAnsi="楷体" w:eastAsia="楷体" w:cs="楷体"/>
          <w:spacing w:val="-2"/>
          <w:sz w:val="20"/>
          <w:szCs w:val="20"/>
        </w:rPr>
        <w:t>够的系统容量和</w:t>
      </w:r>
      <w:r>
        <w:rPr>
          <w:rFonts w:ascii="Times New Roman" w:hAnsi="Times New Roman" w:eastAsia="Times New Roman" w:cs="Times New Roman"/>
          <w:spacing w:val="-2"/>
          <w:sz w:val="20"/>
          <w:szCs w:val="20"/>
        </w:rPr>
        <w:t>QoS</w:t>
      </w:r>
      <w:r>
        <w:rPr>
          <w:rFonts w:ascii="Times New Roman" w:hAnsi="Times New Roman" w:eastAsia="Times New Roman" w:cs="Times New Roman"/>
          <w:spacing w:val="-14"/>
          <w:sz w:val="20"/>
          <w:szCs w:val="20"/>
        </w:rPr>
        <w:t xml:space="preserve"> </w:t>
      </w:r>
      <w:r>
        <w:rPr>
          <w:spacing w:val="-2"/>
          <w:sz w:val="20"/>
          <w:szCs w:val="20"/>
        </w:rPr>
        <w:t>、</w:t>
      </w:r>
      <w:r>
        <w:rPr>
          <w:rFonts w:ascii="Times New Roman" w:hAnsi="Times New Roman" w:eastAsia="Times New Roman" w:cs="Times New Roman"/>
          <w:spacing w:val="-2"/>
          <w:sz w:val="20"/>
          <w:szCs w:val="20"/>
        </w:rPr>
        <w:t>CoS</w:t>
      </w:r>
      <w:r>
        <w:rPr>
          <w:rFonts w:ascii="Times New Roman" w:hAnsi="Times New Roman" w:eastAsia="Times New Roman" w:cs="Times New Roman"/>
          <w:spacing w:val="18"/>
          <w:sz w:val="20"/>
          <w:szCs w:val="20"/>
        </w:rPr>
        <w:t xml:space="preserve"> </w:t>
      </w:r>
      <w:r>
        <w:rPr>
          <w:rFonts w:ascii="楷体" w:hAnsi="楷体" w:eastAsia="楷体" w:cs="楷体"/>
          <w:spacing w:val="-2"/>
          <w:sz w:val="20"/>
          <w:szCs w:val="20"/>
        </w:rPr>
        <w:t>等服务质量保证。</w:t>
      </w:r>
    </w:p>
    <w:p w14:paraId="5B1EA030">
      <w:pPr>
        <w:spacing w:before="79" w:line="276" w:lineRule="auto"/>
        <w:ind w:left="359" w:right="74" w:firstLine="420"/>
        <w:rPr>
          <w:rFonts w:ascii="楷体" w:hAnsi="楷体" w:eastAsia="楷体" w:cs="楷体"/>
          <w:sz w:val="20"/>
          <w:szCs w:val="20"/>
        </w:rPr>
      </w:pPr>
      <w:r>
        <w:rPr>
          <w:rFonts w:ascii="楷体" w:hAnsi="楷体" w:eastAsia="楷体" w:cs="楷体"/>
          <w:spacing w:val="3"/>
          <w:sz w:val="20"/>
          <w:szCs w:val="20"/>
        </w:rPr>
        <w:t>⑤可管理性。在网络不断扩展的同时，随着网络中的设备越来越多，网络的复杂性和管理</w:t>
      </w:r>
      <w:r>
        <w:rPr>
          <w:rFonts w:ascii="楷体" w:hAnsi="楷体" w:eastAsia="楷体" w:cs="楷体"/>
          <w:spacing w:val="8"/>
          <w:sz w:val="20"/>
          <w:szCs w:val="20"/>
        </w:rPr>
        <w:t xml:space="preserve"> </w:t>
      </w:r>
      <w:r>
        <w:rPr>
          <w:rFonts w:ascii="楷体" w:hAnsi="楷体" w:eastAsia="楷体" w:cs="楷体"/>
          <w:spacing w:val="3"/>
          <w:sz w:val="20"/>
          <w:szCs w:val="20"/>
        </w:rPr>
        <w:t>的难度相应增加。在设计时，尽量采用简单、清晰的网络拓扑结构，以方便在发生网络故障时 对故障进行定位和排查，同时需尽量减少故障点。为了方便地对网络上不同厂商的设备进行集</w:t>
      </w:r>
      <w:r>
        <w:rPr>
          <w:rFonts w:ascii="楷体" w:hAnsi="楷体" w:eastAsia="楷体" w:cs="楷体"/>
          <w:sz w:val="20"/>
          <w:szCs w:val="20"/>
        </w:rPr>
        <w:t xml:space="preserve"> </w:t>
      </w:r>
      <w:r>
        <w:rPr>
          <w:rFonts w:ascii="楷体" w:hAnsi="楷体" w:eastAsia="楷体" w:cs="楷体"/>
          <w:spacing w:val="3"/>
          <w:sz w:val="20"/>
          <w:szCs w:val="20"/>
        </w:rPr>
        <w:t>中管理，应采用统一的网管系统进行管理，实时</w:t>
      </w:r>
      <w:r>
        <w:rPr>
          <w:rFonts w:ascii="楷体" w:hAnsi="楷体" w:eastAsia="楷体" w:cs="楷体"/>
          <w:spacing w:val="2"/>
          <w:sz w:val="20"/>
          <w:szCs w:val="20"/>
        </w:rPr>
        <w:t>监测网络运行状况，网管系统应具有分析和统</w:t>
      </w:r>
      <w:r>
        <w:rPr>
          <w:rFonts w:ascii="楷体" w:hAnsi="楷体" w:eastAsia="楷体" w:cs="楷体"/>
          <w:sz w:val="20"/>
          <w:szCs w:val="20"/>
        </w:rPr>
        <w:t xml:space="preserve"> </w:t>
      </w:r>
      <w:r>
        <w:rPr>
          <w:rFonts w:ascii="楷体" w:hAnsi="楷体" w:eastAsia="楷体" w:cs="楷体"/>
          <w:spacing w:val="-3"/>
          <w:sz w:val="20"/>
          <w:szCs w:val="20"/>
        </w:rPr>
        <w:t>计网络流量以及故障报警的功能。</w:t>
      </w:r>
    </w:p>
    <w:p w14:paraId="2621475E">
      <w:pPr>
        <w:spacing w:before="80" w:line="223" w:lineRule="auto"/>
        <w:ind w:left="779"/>
        <w:rPr>
          <w:rFonts w:ascii="楷体" w:hAnsi="楷体" w:eastAsia="楷体" w:cs="楷体"/>
          <w:sz w:val="20"/>
          <w:szCs w:val="20"/>
        </w:rPr>
      </w:pPr>
      <w:r>
        <w:rPr>
          <w:rFonts w:ascii="楷体" w:hAnsi="楷体" w:eastAsia="楷体" w:cs="楷体"/>
          <w:spacing w:val="3"/>
          <w:sz w:val="20"/>
          <w:szCs w:val="20"/>
        </w:rPr>
        <w:t>(2)监理机构对工程实施的审查要点如下：</w:t>
      </w:r>
    </w:p>
    <w:p w14:paraId="4F2501D0">
      <w:pPr>
        <w:spacing w:before="75" w:line="259" w:lineRule="auto"/>
        <w:ind w:left="359" w:firstLine="420"/>
        <w:rPr>
          <w:rFonts w:ascii="楷体" w:hAnsi="楷体" w:eastAsia="楷体" w:cs="楷体"/>
          <w:sz w:val="20"/>
          <w:szCs w:val="20"/>
        </w:rPr>
      </w:pPr>
      <w:r>
        <w:rPr>
          <w:rFonts w:ascii="楷体" w:hAnsi="楷体" w:eastAsia="楷体" w:cs="楷体"/>
          <w:sz w:val="20"/>
          <w:szCs w:val="20"/>
        </w:rPr>
        <w:t xml:space="preserve">①开工前提交设备验收计划，检查、审核承建单位的设备验收计划，在计划中是否有缺漏， </w:t>
      </w:r>
      <w:r>
        <w:rPr>
          <w:rFonts w:ascii="楷体" w:hAnsi="楷体" w:eastAsia="楷体" w:cs="楷体"/>
          <w:spacing w:val="-5"/>
          <w:sz w:val="20"/>
          <w:szCs w:val="20"/>
        </w:rPr>
        <w:t>实时跟进设备到货进度；</w:t>
      </w:r>
    </w:p>
    <w:p w14:paraId="42257B13">
      <w:pPr>
        <w:spacing w:before="59" w:line="258" w:lineRule="auto"/>
        <w:ind w:left="359" w:right="71" w:firstLine="420"/>
        <w:rPr>
          <w:rFonts w:ascii="楷体" w:hAnsi="楷体" w:eastAsia="楷体" w:cs="楷体"/>
          <w:sz w:val="20"/>
          <w:szCs w:val="20"/>
        </w:rPr>
      </w:pPr>
      <w:r>
        <w:rPr>
          <w:rFonts w:ascii="楷体" w:hAnsi="楷体" w:eastAsia="楷体" w:cs="楷体"/>
          <w:spacing w:val="3"/>
          <w:sz w:val="20"/>
          <w:szCs w:val="20"/>
        </w:rPr>
        <w:t>②要求承建单位制订详细的监理工作计划和质量检查制度，明确岗位职责，以现场控制为</w:t>
      </w:r>
      <w:r>
        <w:rPr>
          <w:rFonts w:ascii="楷体" w:hAnsi="楷体" w:eastAsia="楷体" w:cs="楷体"/>
          <w:spacing w:val="10"/>
          <w:sz w:val="20"/>
          <w:szCs w:val="20"/>
        </w:rPr>
        <w:t xml:space="preserve"> </w:t>
      </w:r>
      <w:r>
        <w:rPr>
          <w:rFonts w:ascii="楷体" w:hAnsi="楷体" w:eastAsia="楷体" w:cs="楷体"/>
          <w:spacing w:val="-2"/>
          <w:sz w:val="20"/>
          <w:szCs w:val="20"/>
        </w:rPr>
        <w:t>重点，以治理和消灭质量通病为突破口，做好监理工作；</w:t>
      </w:r>
    </w:p>
    <w:p w14:paraId="7A5184F4">
      <w:pPr>
        <w:spacing w:before="80" w:line="267" w:lineRule="auto"/>
        <w:ind w:left="359" w:right="87" w:firstLine="420"/>
        <w:rPr>
          <w:rFonts w:ascii="楷体" w:hAnsi="楷体" w:eastAsia="楷体" w:cs="楷体"/>
          <w:sz w:val="20"/>
          <w:szCs w:val="20"/>
        </w:rPr>
      </w:pPr>
      <w:r>
        <w:rPr>
          <w:rFonts w:ascii="楷体" w:hAnsi="楷体" w:eastAsia="楷体" w:cs="楷体"/>
          <w:spacing w:val="3"/>
          <w:sz w:val="20"/>
          <w:szCs w:val="20"/>
        </w:rPr>
        <w:t>③切实履行监理合同，按合同要求配足合格的监理人员和</w:t>
      </w:r>
      <w:r>
        <w:rPr>
          <w:rFonts w:ascii="楷体" w:hAnsi="楷体" w:eastAsia="楷体" w:cs="楷体"/>
          <w:spacing w:val="2"/>
          <w:sz w:val="20"/>
          <w:szCs w:val="20"/>
        </w:rPr>
        <w:t>监理设施，并按业主单位的要求</w:t>
      </w:r>
      <w:r>
        <w:rPr>
          <w:rFonts w:ascii="楷体" w:hAnsi="楷体" w:eastAsia="楷体" w:cs="楷体"/>
          <w:sz w:val="20"/>
          <w:szCs w:val="20"/>
        </w:rPr>
        <w:t xml:space="preserve"> </w:t>
      </w:r>
      <w:r>
        <w:rPr>
          <w:rFonts w:ascii="楷体" w:hAnsi="楷体" w:eastAsia="楷体" w:cs="楷体"/>
          <w:spacing w:val="3"/>
          <w:sz w:val="20"/>
          <w:szCs w:val="20"/>
        </w:rPr>
        <w:t>及时组织进场，加强对监理人员的技术业务素质和职业道德的教育和培养，使监理人员具有独</w:t>
      </w:r>
      <w:r>
        <w:rPr>
          <w:rFonts w:ascii="楷体" w:hAnsi="楷体" w:eastAsia="楷体" w:cs="楷体"/>
          <w:spacing w:val="9"/>
          <w:sz w:val="20"/>
          <w:szCs w:val="20"/>
        </w:rPr>
        <w:t xml:space="preserve"> </w:t>
      </w:r>
      <w:r>
        <w:rPr>
          <w:rFonts w:ascii="楷体" w:hAnsi="楷体" w:eastAsia="楷体" w:cs="楷体"/>
          <w:spacing w:val="-3"/>
          <w:sz w:val="20"/>
          <w:szCs w:val="20"/>
        </w:rPr>
        <w:t>立、公正、有效开展监理业务的能力和责任感；</w:t>
      </w:r>
    </w:p>
    <w:p w14:paraId="3C5D2BF1">
      <w:pPr>
        <w:spacing w:before="63" w:line="270" w:lineRule="auto"/>
        <w:ind w:left="359" w:right="89" w:firstLine="420"/>
        <w:rPr>
          <w:rFonts w:ascii="楷体" w:hAnsi="楷体" w:eastAsia="楷体" w:cs="楷体"/>
          <w:sz w:val="20"/>
          <w:szCs w:val="20"/>
        </w:rPr>
      </w:pPr>
      <w:r>
        <w:rPr>
          <w:rFonts w:ascii="楷体" w:hAnsi="楷体" w:eastAsia="楷体" w:cs="楷体"/>
          <w:spacing w:val="3"/>
          <w:sz w:val="20"/>
          <w:szCs w:val="20"/>
        </w:rPr>
        <w:t>④现场严格监督和检查承建单位的设备、材料的进场报验工作，</w:t>
      </w:r>
      <w:r>
        <w:rPr>
          <w:rFonts w:ascii="楷体" w:hAnsi="楷体" w:eastAsia="楷体" w:cs="楷体"/>
          <w:spacing w:val="2"/>
          <w:sz w:val="20"/>
          <w:szCs w:val="20"/>
        </w:rPr>
        <w:t>按照信息系统建设规范和</w:t>
      </w:r>
      <w:r>
        <w:rPr>
          <w:rFonts w:ascii="楷体" w:hAnsi="楷体" w:eastAsia="楷体" w:cs="楷体"/>
          <w:sz w:val="20"/>
          <w:szCs w:val="20"/>
        </w:rPr>
        <w:t xml:space="preserve"> </w:t>
      </w:r>
      <w:r>
        <w:rPr>
          <w:rFonts w:ascii="楷体" w:hAnsi="楷体" w:eastAsia="楷体" w:cs="楷体"/>
          <w:spacing w:val="3"/>
          <w:sz w:val="20"/>
          <w:szCs w:val="20"/>
        </w:rPr>
        <w:t>技术要求进行抽样检验和加电检测，严格遵循实事求是的原则，用数据说话，确保检测的权威</w:t>
      </w:r>
      <w:r>
        <w:rPr>
          <w:rFonts w:ascii="楷体" w:hAnsi="楷体" w:eastAsia="楷体" w:cs="楷体"/>
          <w:spacing w:val="6"/>
          <w:sz w:val="20"/>
          <w:szCs w:val="20"/>
        </w:rPr>
        <w:t xml:space="preserve"> </w:t>
      </w:r>
      <w:r>
        <w:rPr>
          <w:rFonts w:ascii="楷体" w:hAnsi="楷体" w:eastAsia="楷体" w:cs="楷体"/>
          <w:spacing w:val="-3"/>
          <w:sz w:val="20"/>
          <w:szCs w:val="20"/>
        </w:rPr>
        <w:t>性和公正性；</w:t>
      </w:r>
    </w:p>
    <w:p w14:paraId="49EF9C82">
      <w:pPr>
        <w:spacing w:before="53" w:line="220" w:lineRule="auto"/>
        <w:ind w:left="779"/>
        <w:rPr>
          <w:rFonts w:ascii="楷体" w:hAnsi="楷体" w:eastAsia="楷体" w:cs="楷体"/>
          <w:sz w:val="20"/>
          <w:szCs w:val="20"/>
        </w:rPr>
      </w:pPr>
      <w:r>
        <w:rPr>
          <w:rFonts w:ascii="楷体" w:hAnsi="楷体" w:eastAsia="楷体" w:cs="楷体"/>
          <w:sz w:val="20"/>
          <w:szCs w:val="20"/>
        </w:rPr>
        <w:t>⑤设备安装前，重点检查施工现场是否具备或满足承建单</w:t>
      </w:r>
      <w:r>
        <w:rPr>
          <w:rFonts w:ascii="楷体" w:hAnsi="楷体" w:eastAsia="楷体" w:cs="楷体"/>
          <w:spacing w:val="-1"/>
          <w:sz w:val="20"/>
          <w:szCs w:val="20"/>
        </w:rPr>
        <w:t>位提出的设备的安装环境；</w:t>
      </w:r>
    </w:p>
    <w:p w14:paraId="508E24CB">
      <w:pPr>
        <w:spacing w:before="62" w:line="284" w:lineRule="auto"/>
        <w:ind w:left="359" w:right="92" w:firstLine="420"/>
        <w:rPr>
          <w:rFonts w:ascii="楷体" w:hAnsi="楷体" w:eastAsia="楷体" w:cs="楷体"/>
          <w:sz w:val="16"/>
          <w:szCs w:val="16"/>
        </w:rPr>
      </w:pPr>
      <w:r>
        <w:rPr>
          <w:rFonts w:ascii="楷体" w:hAnsi="楷体" w:eastAsia="楷体" w:cs="楷体"/>
          <w:spacing w:val="8"/>
          <w:sz w:val="20"/>
          <w:szCs w:val="20"/>
        </w:rPr>
        <w:t>⑥设备安装完成后，对安装情况进行检查，同时检查部署集成情况是否满足原设计方案</w:t>
      </w:r>
      <w:r>
        <w:rPr>
          <w:rFonts w:ascii="楷体" w:hAnsi="楷体" w:eastAsia="楷体" w:cs="楷体"/>
          <w:spacing w:val="2"/>
          <w:sz w:val="20"/>
          <w:szCs w:val="20"/>
        </w:rPr>
        <w:t xml:space="preserve"> </w:t>
      </w:r>
      <w:r>
        <w:rPr>
          <w:rFonts w:ascii="楷体" w:hAnsi="楷体" w:eastAsia="楷体" w:cs="楷体"/>
          <w:spacing w:val="-7"/>
          <w:sz w:val="16"/>
          <w:szCs w:val="16"/>
        </w:rPr>
        <w:t>要</w:t>
      </w:r>
      <w:r>
        <w:rPr>
          <w:rFonts w:ascii="楷体" w:hAnsi="楷体" w:eastAsia="楷体" w:cs="楷体"/>
          <w:spacing w:val="-13"/>
          <w:sz w:val="16"/>
          <w:szCs w:val="16"/>
        </w:rPr>
        <w:t xml:space="preserve"> </w:t>
      </w:r>
      <w:r>
        <w:rPr>
          <w:rFonts w:ascii="楷体" w:hAnsi="楷体" w:eastAsia="楷体" w:cs="楷体"/>
          <w:spacing w:val="-7"/>
          <w:sz w:val="16"/>
          <w:szCs w:val="16"/>
        </w:rPr>
        <w:t>求</w:t>
      </w:r>
      <w:r>
        <w:rPr>
          <w:rFonts w:ascii="楷体" w:hAnsi="楷体" w:eastAsia="楷体" w:cs="楷体"/>
          <w:spacing w:val="-26"/>
          <w:sz w:val="16"/>
          <w:szCs w:val="16"/>
        </w:rPr>
        <w:t xml:space="preserve"> </w:t>
      </w:r>
      <w:r>
        <w:rPr>
          <w:rFonts w:ascii="楷体" w:hAnsi="楷体" w:eastAsia="楷体" w:cs="楷体"/>
          <w:spacing w:val="-7"/>
          <w:sz w:val="16"/>
          <w:szCs w:val="16"/>
        </w:rPr>
        <w:t>。</w:t>
      </w:r>
    </w:p>
    <w:p w14:paraId="78C9ACDE">
      <w:pPr>
        <w:pStyle w:val="2"/>
        <w:spacing w:before="223" w:line="220" w:lineRule="auto"/>
        <w:ind w:left="362"/>
        <w:rPr>
          <w:sz w:val="25"/>
          <w:szCs w:val="25"/>
        </w:rPr>
      </w:pPr>
      <w:r>
        <w:rPr>
          <w:b/>
          <w:bCs/>
          <w:color w:val="1D70B8"/>
          <w:spacing w:val="-16"/>
          <w:sz w:val="25"/>
          <w:szCs w:val="25"/>
        </w:rPr>
        <w:t>21.6.3</w:t>
      </w:r>
      <w:r>
        <w:rPr>
          <w:color w:val="1D70B8"/>
          <w:spacing w:val="90"/>
          <w:sz w:val="25"/>
          <w:szCs w:val="25"/>
        </w:rPr>
        <w:t xml:space="preserve"> </w:t>
      </w:r>
      <w:r>
        <w:rPr>
          <w:b/>
          <w:bCs/>
          <w:color w:val="1D70B8"/>
          <w:spacing w:val="-16"/>
          <w:sz w:val="25"/>
          <w:szCs w:val="25"/>
        </w:rPr>
        <w:t>安全防范系统工程</w:t>
      </w:r>
    </w:p>
    <w:p w14:paraId="29FB3959">
      <w:pPr>
        <w:pStyle w:val="2"/>
        <w:spacing w:before="173" w:line="272" w:lineRule="auto"/>
        <w:ind w:left="359" w:right="68" w:firstLine="420"/>
        <w:rPr>
          <w:sz w:val="20"/>
          <w:szCs w:val="20"/>
        </w:rPr>
      </w:pPr>
      <w:r>
        <w:rPr>
          <w:spacing w:val="9"/>
          <w:sz w:val="20"/>
          <w:szCs w:val="20"/>
        </w:rPr>
        <w:t>安全防范系统工程是指以设备安全为目的，运用安全防范产</w:t>
      </w:r>
      <w:r>
        <w:rPr>
          <w:spacing w:val="8"/>
          <w:sz w:val="20"/>
          <w:szCs w:val="20"/>
        </w:rPr>
        <w:t>品和其他相关措施以维护电</w:t>
      </w:r>
      <w:r>
        <w:rPr>
          <w:sz w:val="20"/>
          <w:szCs w:val="20"/>
        </w:rPr>
        <w:t xml:space="preserve"> </w:t>
      </w:r>
      <w:r>
        <w:rPr>
          <w:spacing w:val="9"/>
          <w:sz w:val="20"/>
          <w:szCs w:val="20"/>
        </w:rPr>
        <w:t>子设备机房产品安全所构成的系统建设，包括出入口控制系统</w:t>
      </w:r>
      <w:r>
        <w:rPr>
          <w:spacing w:val="8"/>
          <w:sz w:val="20"/>
          <w:szCs w:val="20"/>
        </w:rPr>
        <w:t>、视频安全防范监控系统、入</w:t>
      </w:r>
    </w:p>
    <w:p w14:paraId="0D98DC2F">
      <w:pPr>
        <w:spacing w:line="272" w:lineRule="auto"/>
        <w:rPr>
          <w:sz w:val="20"/>
          <w:szCs w:val="20"/>
        </w:rPr>
        <w:sectPr>
          <w:pgSz w:w="10310" w:h="13370"/>
          <w:pgMar w:top="400" w:right="1039" w:bottom="400" w:left="490" w:header="0" w:footer="0" w:gutter="0"/>
          <w:cols w:space="720" w:num="1"/>
        </w:sectPr>
      </w:pPr>
    </w:p>
    <w:p w14:paraId="5A608AC5">
      <w:pPr>
        <w:pStyle w:val="2"/>
        <w:jc w:val="right"/>
        <w:rPr>
          <w:rFonts w:ascii="Times New Roman" w:hAnsi="Times New Roman" w:eastAsia="Times New Roman" w:cs="Times New Roman"/>
          <w:sz w:val="19"/>
          <w:szCs w:val="19"/>
        </w:rPr>
      </w:pPr>
      <w:r>
        <w:rPr>
          <w:spacing w:val="3"/>
          <w:sz w:val="19"/>
          <w:szCs w:val="19"/>
        </w:rPr>
        <w:t>第21章 基础设施工程监理</w:t>
      </w:r>
      <w:r>
        <w:rPr>
          <w:spacing w:val="67"/>
          <w:w w:val="101"/>
          <w:sz w:val="19"/>
          <w:szCs w:val="19"/>
        </w:rPr>
        <w:t xml:space="preserve"> </w:t>
      </w:r>
      <w:r>
        <w:rPr>
          <w:position w:val="-6"/>
          <w:sz w:val="19"/>
          <w:szCs w:val="19"/>
        </w:rPr>
        <w:drawing>
          <wp:inline distT="0" distB="0" distL="0" distR="0">
            <wp:extent cx="266700" cy="196850"/>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308"/>
                    <a:stretch>
                      <a:fillRect/>
                    </a:stretch>
                  </pic:blipFill>
                  <pic:spPr>
                    <a:xfrm>
                      <a:off x="0" y="0"/>
                      <a:ext cx="266727" cy="196864"/>
                    </a:xfrm>
                    <a:prstGeom prst="rect">
                      <a:avLst/>
                    </a:prstGeom>
                  </pic:spPr>
                </pic:pic>
              </a:graphicData>
            </a:graphic>
          </wp:inline>
        </w:drawing>
      </w:r>
      <w:r>
        <w:rPr>
          <w:spacing w:val="-56"/>
          <w:sz w:val="19"/>
          <w:szCs w:val="19"/>
        </w:rPr>
        <w:t xml:space="preserve"> </w:t>
      </w:r>
      <w:r>
        <w:rPr>
          <w:rFonts w:ascii="Times New Roman" w:hAnsi="Times New Roman" w:eastAsia="Times New Roman" w:cs="Times New Roman"/>
          <w:spacing w:val="3"/>
          <w:sz w:val="19"/>
          <w:szCs w:val="19"/>
        </w:rPr>
        <w:t>495</w:t>
      </w:r>
    </w:p>
    <w:p w14:paraId="0D0E031B">
      <w:pPr>
        <w:spacing w:line="313" w:lineRule="auto"/>
        <w:rPr>
          <w:rFonts w:ascii="Arial"/>
          <w:sz w:val="21"/>
        </w:rPr>
      </w:pPr>
    </w:p>
    <w:p w14:paraId="6E1706EA">
      <w:pPr>
        <w:pStyle w:val="2"/>
        <w:spacing w:before="61" w:line="295" w:lineRule="auto"/>
        <w:ind w:right="353"/>
        <w:rPr>
          <w:sz w:val="19"/>
          <w:szCs w:val="19"/>
        </w:rPr>
      </w:pPr>
      <w:r>
        <w:rPr>
          <w:spacing w:val="23"/>
          <w:sz w:val="19"/>
          <w:szCs w:val="19"/>
        </w:rPr>
        <w:t>侵报警系统、巡更管理系统和防鼠害等，或</w:t>
      </w:r>
      <w:r>
        <w:rPr>
          <w:spacing w:val="22"/>
          <w:sz w:val="19"/>
          <w:szCs w:val="19"/>
        </w:rPr>
        <w:t>由这些系统为子系统组合或集成的电子系统或</w:t>
      </w:r>
      <w:r>
        <w:rPr>
          <w:sz w:val="19"/>
          <w:szCs w:val="19"/>
        </w:rPr>
        <w:t xml:space="preserve"> </w:t>
      </w:r>
      <w:r>
        <w:rPr>
          <w:spacing w:val="8"/>
          <w:sz w:val="19"/>
          <w:szCs w:val="19"/>
        </w:rPr>
        <w:t>网络。</w:t>
      </w:r>
    </w:p>
    <w:p w14:paraId="4D00839C">
      <w:pPr>
        <w:pStyle w:val="2"/>
        <w:spacing w:before="109" w:line="222" w:lineRule="auto"/>
        <w:ind w:left="402"/>
        <w:rPr>
          <w:rFonts w:ascii="黑体" w:hAnsi="黑体" w:eastAsia="黑体" w:cs="黑体"/>
          <w:sz w:val="19"/>
          <w:szCs w:val="19"/>
        </w:rPr>
      </w:pPr>
      <w:r>
        <w:rPr>
          <w:b/>
          <w:bCs/>
          <w:color w:val="0060C0"/>
          <w:spacing w:val="6"/>
          <w:sz w:val="19"/>
          <w:szCs w:val="19"/>
        </w:rPr>
        <w:t>1.</w:t>
      </w:r>
      <w:r>
        <w:rPr>
          <w:rFonts w:ascii="黑体" w:hAnsi="黑体" w:eastAsia="黑体" w:cs="黑体"/>
          <w:b/>
          <w:bCs/>
          <w:color w:val="0060C0"/>
          <w:spacing w:val="6"/>
          <w:sz w:val="19"/>
          <w:szCs w:val="19"/>
        </w:rPr>
        <w:t>设计阶段监理内容</w:t>
      </w:r>
    </w:p>
    <w:p w14:paraId="34BE3BC5">
      <w:pPr>
        <w:pStyle w:val="2"/>
        <w:spacing w:before="165" w:line="219" w:lineRule="auto"/>
        <w:ind w:left="400"/>
        <w:rPr>
          <w:sz w:val="19"/>
          <w:szCs w:val="19"/>
        </w:rPr>
      </w:pPr>
      <w:r>
        <w:rPr>
          <w:spacing w:val="6"/>
          <w:sz w:val="19"/>
          <w:szCs w:val="19"/>
        </w:rPr>
        <w:t>安全防范系统工程设计阶段的监理内容具体如下：</w:t>
      </w:r>
    </w:p>
    <w:p w14:paraId="76B5ED3E">
      <w:pPr>
        <w:pStyle w:val="2"/>
        <w:spacing w:before="83" w:line="267" w:lineRule="auto"/>
        <w:ind w:right="266" w:firstLine="400"/>
        <w:rPr>
          <w:sz w:val="19"/>
          <w:szCs w:val="19"/>
        </w:rPr>
      </w:pPr>
      <w:r>
        <w:rPr>
          <w:spacing w:val="11"/>
          <w:sz w:val="19"/>
          <w:szCs w:val="19"/>
        </w:rPr>
        <w:t>(1)安全防范系统工程设计的防护级别必须符合被保护对象的风险等级，配置先进、可靠、</w:t>
      </w:r>
      <w:r>
        <w:rPr>
          <w:spacing w:val="18"/>
          <w:sz w:val="19"/>
          <w:szCs w:val="19"/>
        </w:rPr>
        <w:t xml:space="preserve"> </w:t>
      </w:r>
      <w:r>
        <w:rPr>
          <w:spacing w:val="-1"/>
          <w:sz w:val="19"/>
          <w:szCs w:val="19"/>
        </w:rPr>
        <w:t>合理、适用；</w:t>
      </w:r>
    </w:p>
    <w:p w14:paraId="32C7D350">
      <w:pPr>
        <w:pStyle w:val="2"/>
        <w:spacing w:before="82" w:line="265" w:lineRule="auto"/>
        <w:ind w:right="266" w:firstLine="400"/>
        <w:rPr>
          <w:sz w:val="19"/>
          <w:szCs w:val="19"/>
        </w:rPr>
      </w:pPr>
      <w:r>
        <w:rPr>
          <w:spacing w:val="11"/>
          <w:sz w:val="19"/>
          <w:szCs w:val="19"/>
        </w:rPr>
        <w:t>(2)审核设计文件与业主单位需求的符合性，重点审查门禁控制的房间以及通道、摄像机、</w:t>
      </w:r>
      <w:r>
        <w:rPr>
          <w:spacing w:val="18"/>
          <w:sz w:val="19"/>
          <w:szCs w:val="19"/>
        </w:rPr>
        <w:t xml:space="preserve"> </w:t>
      </w:r>
      <w:r>
        <w:rPr>
          <w:spacing w:val="8"/>
          <w:sz w:val="19"/>
          <w:szCs w:val="19"/>
        </w:rPr>
        <w:t>监视范围、入侵报警探测范围和巡更路线是否满足业主</w:t>
      </w:r>
      <w:r>
        <w:rPr>
          <w:spacing w:val="7"/>
          <w:sz w:val="19"/>
          <w:szCs w:val="19"/>
        </w:rPr>
        <w:t>单位的需求。</w:t>
      </w:r>
    </w:p>
    <w:p w14:paraId="7C732305">
      <w:pPr>
        <w:pStyle w:val="2"/>
        <w:spacing w:before="160" w:line="222" w:lineRule="auto"/>
        <w:ind w:left="402"/>
        <w:rPr>
          <w:rFonts w:ascii="黑体" w:hAnsi="黑体" w:eastAsia="黑体" w:cs="黑体"/>
          <w:sz w:val="19"/>
          <w:szCs w:val="19"/>
        </w:rPr>
      </w:pPr>
      <w:r>
        <w:rPr>
          <w:b/>
          <w:bCs/>
          <w:color w:val="0066CC"/>
          <w:spacing w:val="6"/>
          <w:sz w:val="19"/>
          <w:szCs w:val="19"/>
        </w:rPr>
        <w:t>2.</w:t>
      </w:r>
      <w:r>
        <w:rPr>
          <w:rFonts w:ascii="黑体" w:hAnsi="黑体" w:eastAsia="黑体" w:cs="黑体"/>
          <w:b/>
          <w:bCs/>
          <w:color w:val="0066CC"/>
          <w:spacing w:val="6"/>
          <w:sz w:val="19"/>
          <w:szCs w:val="19"/>
        </w:rPr>
        <w:t>实施阶段监理内容</w:t>
      </w:r>
    </w:p>
    <w:p w14:paraId="13676673">
      <w:pPr>
        <w:pStyle w:val="2"/>
        <w:spacing w:before="176" w:line="219" w:lineRule="auto"/>
        <w:ind w:left="400"/>
        <w:rPr>
          <w:sz w:val="19"/>
          <w:szCs w:val="19"/>
        </w:rPr>
      </w:pPr>
      <w:r>
        <w:rPr>
          <w:spacing w:val="6"/>
          <w:sz w:val="19"/>
          <w:szCs w:val="19"/>
        </w:rPr>
        <w:t>安全防范系统工程实施阶段的监理内容具体如下：</w:t>
      </w:r>
    </w:p>
    <w:p w14:paraId="024A5978">
      <w:pPr>
        <w:pStyle w:val="2"/>
        <w:spacing w:before="85" w:line="264" w:lineRule="auto"/>
        <w:ind w:right="304" w:firstLine="400"/>
        <w:rPr>
          <w:sz w:val="19"/>
          <w:szCs w:val="19"/>
        </w:rPr>
      </w:pPr>
      <w:r>
        <w:rPr>
          <w:spacing w:val="16"/>
          <w:sz w:val="19"/>
          <w:szCs w:val="19"/>
        </w:rPr>
        <w:t>(1)安全防范施工质量检查和观感质量验收，</w:t>
      </w:r>
      <w:r>
        <w:rPr>
          <w:spacing w:val="15"/>
          <w:sz w:val="19"/>
          <w:szCs w:val="19"/>
        </w:rPr>
        <w:t>应根据合同技术文件、设计施工图纸，从以</w:t>
      </w:r>
      <w:r>
        <w:rPr>
          <w:sz w:val="19"/>
          <w:szCs w:val="19"/>
        </w:rPr>
        <w:t xml:space="preserve"> </w:t>
      </w:r>
      <w:r>
        <w:rPr>
          <w:spacing w:val="3"/>
          <w:sz w:val="19"/>
          <w:szCs w:val="19"/>
        </w:rPr>
        <w:t>下几个方面进行监理：</w:t>
      </w:r>
    </w:p>
    <w:p w14:paraId="7A8B2705">
      <w:pPr>
        <w:pStyle w:val="2"/>
        <w:spacing w:before="95" w:line="256" w:lineRule="auto"/>
        <w:ind w:right="314" w:firstLine="400"/>
        <w:rPr>
          <w:sz w:val="19"/>
          <w:szCs w:val="19"/>
        </w:rPr>
      </w:pPr>
      <w:r>
        <w:rPr>
          <w:spacing w:val="18"/>
          <w:sz w:val="19"/>
          <w:szCs w:val="19"/>
        </w:rPr>
        <w:t>①电(光)缆敷设与布线应检验管线的防水、防潮，电缆排列位置，布放、绑扎质量，桥</w:t>
      </w:r>
      <w:r>
        <w:rPr>
          <w:spacing w:val="4"/>
          <w:sz w:val="19"/>
          <w:szCs w:val="19"/>
        </w:rPr>
        <w:t xml:space="preserve"> </w:t>
      </w:r>
      <w:r>
        <w:rPr>
          <w:spacing w:val="8"/>
          <w:sz w:val="19"/>
          <w:szCs w:val="19"/>
        </w:rPr>
        <w:t>架的架设质量，缆线在桥架内的安装质量，焊接及插接头安装质量和接线盒接线质量等；</w:t>
      </w:r>
    </w:p>
    <w:p w14:paraId="53568F07">
      <w:pPr>
        <w:pStyle w:val="2"/>
        <w:spacing w:before="102" w:line="217" w:lineRule="auto"/>
        <w:ind w:left="400"/>
        <w:rPr>
          <w:sz w:val="19"/>
          <w:szCs w:val="19"/>
        </w:rPr>
      </w:pPr>
      <w:r>
        <w:rPr>
          <w:spacing w:val="8"/>
          <w:sz w:val="19"/>
          <w:szCs w:val="19"/>
        </w:rPr>
        <w:t>②</w:t>
      </w:r>
      <w:r>
        <w:rPr>
          <w:spacing w:val="-50"/>
          <w:sz w:val="19"/>
          <w:szCs w:val="19"/>
        </w:rPr>
        <w:t xml:space="preserve"> </w:t>
      </w:r>
      <w:r>
        <w:rPr>
          <w:spacing w:val="8"/>
          <w:sz w:val="19"/>
          <w:szCs w:val="19"/>
        </w:rPr>
        <w:t>对接地线应检验接地材料、接地线焊接质</w:t>
      </w:r>
      <w:r>
        <w:rPr>
          <w:spacing w:val="7"/>
          <w:sz w:val="19"/>
          <w:szCs w:val="19"/>
        </w:rPr>
        <w:t>量、接地电阻等；</w:t>
      </w:r>
    </w:p>
    <w:p w14:paraId="0FA9C23D">
      <w:pPr>
        <w:pStyle w:val="2"/>
        <w:spacing w:before="87" w:line="278" w:lineRule="auto"/>
        <w:ind w:right="312" w:firstLine="400"/>
        <w:rPr>
          <w:sz w:val="19"/>
          <w:szCs w:val="19"/>
        </w:rPr>
      </w:pPr>
      <w:r>
        <w:rPr>
          <w:spacing w:val="13"/>
          <w:sz w:val="19"/>
          <w:szCs w:val="19"/>
        </w:rPr>
        <w:t>③对系统的各类探测器、摄像机、云台、防护罩、控制器、辅助电源、电锁、对讲设备等</w:t>
      </w:r>
      <w:r>
        <w:rPr>
          <w:spacing w:val="11"/>
          <w:sz w:val="19"/>
          <w:szCs w:val="19"/>
        </w:rPr>
        <w:t xml:space="preserve"> </w:t>
      </w:r>
      <w:r>
        <w:rPr>
          <w:spacing w:val="12"/>
          <w:sz w:val="19"/>
          <w:szCs w:val="19"/>
        </w:rPr>
        <w:t>的安装部位、安装质量和观感质量等进行检验，应符</w:t>
      </w:r>
      <w:r>
        <w:rPr>
          <w:spacing w:val="11"/>
          <w:sz w:val="19"/>
          <w:szCs w:val="19"/>
        </w:rPr>
        <w:t>合</w:t>
      </w:r>
      <w:r>
        <w:rPr>
          <w:rFonts w:ascii="Times New Roman" w:hAnsi="Times New Roman" w:eastAsia="Times New Roman" w:cs="Times New Roman"/>
          <w:sz w:val="19"/>
          <w:szCs w:val="19"/>
        </w:rPr>
        <w:t>GB</w:t>
      </w:r>
      <w:r>
        <w:rPr>
          <w:rFonts w:ascii="Times New Roman" w:hAnsi="Times New Roman" w:eastAsia="Times New Roman" w:cs="Times New Roman"/>
          <w:spacing w:val="11"/>
          <w:sz w:val="19"/>
          <w:szCs w:val="19"/>
        </w:rPr>
        <w:t>/T   2887</w:t>
      </w:r>
      <w:r>
        <w:rPr>
          <w:spacing w:val="11"/>
          <w:sz w:val="19"/>
          <w:szCs w:val="19"/>
        </w:rPr>
        <w:t>《计算机场地通用规范》的</w:t>
      </w:r>
      <w:r>
        <w:rPr>
          <w:sz w:val="19"/>
          <w:szCs w:val="19"/>
        </w:rPr>
        <w:t xml:space="preserve"> </w:t>
      </w:r>
      <w:r>
        <w:rPr>
          <w:spacing w:val="-1"/>
          <w:sz w:val="19"/>
          <w:szCs w:val="19"/>
        </w:rPr>
        <w:t>有关规定；</w:t>
      </w:r>
    </w:p>
    <w:p w14:paraId="70D4B1C4">
      <w:pPr>
        <w:pStyle w:val="2"/>
        <w:spacing w:before="91" w:line="256" w:lineRule="auto"/>
        <w:ind w:right="312" w:firstLine="400"/>
        <w:rPr>
          <w:sz w:val="19"/>
          <w:szCs w:val="19"/>
        </w:rPr>
      </w:pPr>
      <w:r>
        <w:rPr>
          <w:spacing w:val="12"/>
          <w:sz w:val="19"/>
          <w:szCs w:val="19"/>
        </w:rPr>
        <w:t>④同轴电缆的敷设，摄像机、机架、监视器等的安装质量检验，应符合</w:t>
      </w:r>
      <w:r>
        <w:rPr>
          <w:rFonts w:ascii="Times New Roman" w:hAnsi="Times New Roman" w:eastAsia="Times New Roman" w:cs="Times New Roman"/>
          <w:sz w:val="19"/>
          <w:szCs w:val="19"/>
        </w:rPr>
        <w:t>GB</w:t>
      </w:r>
      <w:r>
        <w:rPr>
          <w:rFonts w:ascii="Times New Roman" w:hAnsi="Times New Roman" w:eastAsia="Times New Roman" w:cs="Times New Roman"/>
          <w:spacing w:val="12"/>
          <w:sz w:val="19"/>
          <w:szCs w:val="19"/>
        </w:rPr>
        <w:t>/T   288</w:t>
      </w:r>
      <w:r>
        <w:rPr>
          <w:rFonts w:ascii="Times New Roman" w:hAnsi="Times New Roman" w:eastAsia="Times New Roman" w:cs="Times New Roman"/>
          <w:spacing w:val="11"/>
          <w:sz w:val="19"/>
          <w:szCs w:val="19"/>
        </w:rPr>
        <w:t>7</w:t>
      </w:r>
      <w:r>
        <w:rPr>
          <w:spacing w:val="11"/>
          <w:sz w:val="19"/>
          <w:szCs w:val="19"/>
        </w:rPr>
        <w:t>《计算</w:t>
      </w:r>
      <w:r>
        <w:rPr>
          <w:sz w:val="19"/>
          <w:szCs w:val="19"/>
        </w:rPr>
        <w:t xml:space="preserve"> </w:t>
      </w:r>
      <w:r>
        <w:rPr>
          <w:spacing w:val="5"/>
          <w:sz w:val="19"/>
          <w:szCs w:val="19"/>
        </w:rPr>
        <w:t>机场地通用规范》的有关规定；</w:t>
      </w:r>
    </w:p>
    <w:p w14:paraId="0759C441">
      <w:pPr>
        <w:pStyle w:val="2"/>
        <w:spacing w:before="84" w:line="257" w:lineRule="auto"/>
        <w:ind w:right="312" w:firstLine="400"/>
        <w:rPr>
          <w:sz w:val="19"/>
          <w:szCs w:val="19"/>
        </w:rPr>
      </w:pPr>
      <w:r>
        <w:rPr>
          <w:spacing w:val="10"/>
          <w:sz w:val="19"/>
          <w:szCs w:val="19"/>
        </w:rPr>
        <w:t>⑤控制柜/箱与控制台的安装质量检验，应符合</w:t>
      </w:r>
      <w:r>
        <w:rPr>
          <w:rFonts w:ascii="Times New Roman" w:hAnsi="Times New Roman" w:eastAsia="Times New Roman" w:cs="Times New Roman"/>
          <w:sz w:val="19"/>
          <w:szCs w:val="19"/>
        </w:rPr>
        <w:t>GB</w:t>
      </w:r>
      <w:r>
        <w:rPr>
          <w:rFonts w:ascii="Times New Roman" w:hAnsi="Times New Roman" w:eastAsia="Times New Roman" w:cs="Times New Roman"/>
          <w:spacing w:val="9"/>
          <w:sz w:val="19"/>
          <w:szCs w:val="19"/>
        </w:rPr>
        <w:t>/T   2887</w:t>
      </w:r>
      <w:r>
        <w:rPr>
          <w:spacing w:val="9"/>
          <w:sz w:val="19"/>
          <w:szCs w:val="19"/>
        </w:rPr>
        <w:t>《计算机场地通用规范》的有关</w:t>
      </w:r>
      <w:r>
        <w:rPr>
          <w:sz w:val="19"/>
          <w:szCs w:val="19"/>
        </w:rPr>
        <w:t xml:space="preserve"> </w:t>
      </w:r>
      <w:r>
        <w:rPr>
          <w:spacing w:val="8"/>
          <w:sz w:val="19"/>
          <w:szCs w:val="19"/>
        </w:rPr>
        <w:t>规定。</w:t>
      </w:r>
    </w:p>
    <w:p w14:paraId="5D5F086E">
      <w:pPr>
        <w:pStyle w:val="2"/>
        <w:spacing w:before="81" w:line="265" w:lineRule="auto"/>
        <w:ind w:right="310" w:firstLine="400"/>
        <w:rPr>
          <w:sz w:val="19"/>
          <w:szCs w:val="19"/>
        </w:rPr>
      </w:pPr>
      <w:r>
        <w:rPr>
          <w:spacing w:val="15"/>
          <w:sz w:val="19"/>
          <w:szCs w:val="19"/>
        </w:rPr>
        <w:t xml:space="preserve">(2)督促承建单位对各类探测器、控制器、执行器等部件的电气性能和功能进行自检，自 </w:t>
      </w:r>
      <w:r>
        <w:rPr>
          <w:spacing w:val="5"/>
          <w:sz w:val="19"/>
          <w:szCs w:val="19"/>
        </w:rPr>
        <w:t>检采用逐点测试的形式进行。</w:t>
      </w:r>
    </w:p>
    <w:p w14:paraId="48DDB593">
      <w:pPr>
        <w:pStyle w:val="2"/>
        <w:spacing w:before="76" w:line="274" w:lineRule="auto"/>
        <w:ind w:right="246" w:firstLine="400"/>
        <w:rPr>
          <w:sz w:val="19"/>
          <w:szCs w:val="19"/>
        </w:rPr>
      </w:pPr>
      <w:r>
        <w:rPr>
          <w:spacing w:val="12"/>
          <w:sz w:val="19"/>
          <w:szCs w:val="19"/>
        </w:rPr>
        <w:t>(3)检查承建单位用于工程的材料、构配件应符合国家相应的法律法规和标准规范的</w:t>
      </w:r>
      <w:r>
        <w:rPr>
          <w:spacing w:val="11"/>
          <w:sz w:val="19"/>
          <w:szCs w:val="19"/>
        </w:rPr>
        <w:t>要求，</w:t>
      </w:r>
      <w:r>
        <w:rPr>
          <w:sz w:val="19"/>
          <w:szCs w:val="19"/>
        </w:rPr>
        <w:t xml:space="preserve"> </w:t>
      </w:r>
      <w:r>
        <w:rPr>
          <w:spacing w:val="9"/>
          <w:sz w:val="19"/>
          <w:szCs w:val="19"/>
        </w:rPr>
        <w:t>并与正式设计文件、合同的内容相符合，设备及器材的进场验收按照</w:t>
      </w:r>
      <w:r>
        <w:rPr>
          <w:rFonts w:ascii="Times New Roman" w:hAnsi="Times New Roman" w:eastAsia="Times New Roman" w:cs="Times New Roman"/>
          <w:sz w:val="19"/>
          <w:szCs w:val="19"/>
        </w:rPr>
        <w:t>GB</w:t>
      </w:r>
      <w:r>
        <w:rPr>
          <w:rFonts w:ascii="Times New Roman" w:hAnsi="Times New Roman" w:eastAsia="Times New Roman" w:cs="Times New Roman"/>
          <w:spacing w:val="9"/>
          <w:sz w:val="19"/>
          <w:szCs w:val="19"/>
        </w:rPr>
        <w:t xml:space="preserve">   50339</w:t>
      </w:r>
      <w:r>
        <w:rPr>
          <w:spacing w:val="9"/>
          <w:sz w:val="19"/>
          <w:szCs w:val="19"/>
        </w:rPr>
        <w:t xml:space="preserve">《智能建筑工程 </w:t>
      </w:r>
      <w:r>
        <w:rPr>
          <w:spacing w:val="7"/>
          <w:sz w:val="19"/>
          <w:szCs w:val="19"/>
        </w:rPr>
        <w:t>质量验收规范》的相关规定执行。</w:t>
      </w:r>
    </w:p>
    <w:p w14:paraId="7ACC58D1">
      <w:pPr>
        <w:pStyle w:val="2"/>
        <w:spacing w:before="83" w:line="219" w:lineRule="auto"/>
        <w:ind w:left="400"/>
        <w:rPr>
          <w:sz w:val="19"/>
          <w:szCs w:val="19"/>
        </w:rPr>
      </w:pPr>
      <w:r>
        <w:rPr>
          <w:spacing w:val="11"/>
          <w:sz w:val="19"/>
          <w:szCs w:val="19"/>
        </w:rPr>
        <w:t>(4)督促承建单位完善质量保证体系，把影响工序质量的因素都</w:t>
      </w:r>
      <w:r>
        <w:rPr>
          <w:spacing w:val="10"/>
          <w:sz w:val="19"/>
          <w:szCs w:val="19"/>
        </w:rPr>
        <w:t>纳入受控状态。</w:t>
      </w:r>
    </w:p>
    <w:p w14:paraId="79EF48AB">
      <w:pPr>
        <w:pStyle w:val="2"/>
        <w:spacing w:before="76" w:line="264" w:lineRule="auto"/>
        <w:ind w:right="311" w:firstLine="400"/>
        <w:rPr>
          <w:sz w:val="19"/>
          <w:szCs w:val="19"/>
        </w:rPr>
      </w:pPr>
      <w:r>
        <w:rPr>
          <w:spacing w:val="15"/>
          <w:sz w:val="19"/>
          <w:szCs w:val="19"/>
        </w:rPr>
        <w:t>(5)安全防范系统线缆敷设、设备安装前，现场应具备下列条件：预埋管、预留件、桥架</w:t>
      </w:r>
      <w:r>
        <w:rPr>
          <w:spacing w:val="14"/>
          <w:sz w:val="19"/>
          <w:szCs w:val="19"/>
        </w:rPr>
        <w:t xml:space="preserve"> </w:t>
      </w:r>
      <w:r>
        <w:rPr>
          <w:spacing w:val="7"/>
          <w:sz w:val="19"/>
          <w:szCs w:val="19"/>
        </w:rPr>
        <w:t>等的安装符合设计要求，机房、弱电竖井的施工已结束。</w:t>
      </w:r>
    </w:p>
    <w:p w14:paraId="6B689CCC">
      <w:pPr>
        <w:pStyle w:val="2"/>
        <w:spacing w:before="75" w:line="260" w:lineRule="auto"/>
        <w:ind w:right="313" w:firstLine="400"/>
        <w:rPr>
          <w:sz w:val="19"/>
          <w:szCs w:val="19"/>
        </w:rPr>
      </w:pPr>
      <w:r>
        <w:rPr>
          <w:spacing w:val="21"/>
          <w:sz w:val="19"/>
          <w:szCs w:val="19"/>
        </w:rPr>
        <w:t>(6)安全防范系统的电缆桥架、电缆沟、电缆竖</w:t>
      </w:r>
      <w:r>
        <w:rPr>
          <w:spacing w:val="20"/>
          <w:sz w:val="19"/>
          <w:szCs w:val="19"/>
        </w:rPr>
        <w:t>井、电线导管的施工及线缆敷设应符合</w:t>
      </w:r>
      <w:r>
        <w:rPr>
          <w:sz w:val="19"/>
          <w:szCs w:val="19"/>
        </w:rPr>
        <w:t xml:space="preserve"> </w:t>
      </w:r>
      <w:r>
        <w:rPr>
          <w:rFonts w:ascii="Times New Roman" w:hAnsi="Times New Roman" w:eastAsia="Times New Roman" w:cs="Times New Roman"/>
          <w:sz w:val="19"/>
          <w:szCs w:val="19"/>
        </w:rPr>
        <w:t>GB</w:t>
      </w:r>
      <w:r>
        <w:rPr>
          <w:rFonts w:ascii="Times New Roman" w:hAnsi="Times New Roman" w:eastAsia="Times New Roman" w:cs="Times New Roman"/>
          <w:spacing w:val="7"/>
          <w:sz w:val="19"/>
          <w:szCs w:val="19"/>
        </w:rPr>
        <w:t>/T</w:t>
      </w:r>
      <w:r>
        <w:rPr>
          <w:rFonts w:ascii="Times New Roman" w:hAnsi="Times New Roman" w:eastAsia="Times New Roman" w:cs="Times New Roman"/>
          <w:spacing w:val="21"/>
          <w:sz w:val="19"/>
          <w:szCs w:val="19"/>
        </w:rPr>
        <w:t xml:space="preserve">  </w:t>
      </w:r>
      <w:r>
        <w:rPr>
          <w:rFonts w:ascii="Times New Roman" w:hAnsi="Times New Roman" w:eastAsia="Times New Roman" w:cs="Times New Roman"/>
          <w:spacing w:val="7"/>
          <w:sz w:val="19"/>
          <w:szCs w:val="19"/>
        </w:rPr>
        <w:t>2887</w:t>
      </w:r>
      <w:r>
        <w:rPr>
          <w:spacing w:val="7"/>
          <w:sz w:val="19"/>
          <w:szCs w:val="19"/>
        </w:rPr>
        <w:t>《计算机场地通用规范》的有关规定，如有特殊要求应</w:t>
      </w:r>
      <w:r>
        <w:rPr>
          <w:spacing w:val="6"/>
          <w:sz w:val="19"/>
          <w:szCs w:val="19"/>
        </w:rPr>
        <w:t>以设计施工图为准。</w:t>
      </w:r>
    </w:p>
    <w:p w14:paraId="2FB0ACA5">
      <w:pPr>
        <w:pStyle w:val="2"/>
        <w:spacing w:before="76" w:line="265" w:lineRule="auto"/>
        <w:ind w:right="313" w:firstLine="400"/>
        <w:rPr>
          <w:sz w:val="19"/>
          <w:szCs w:val="19"/>
        </w:rPr>
      </w:pPr>
      <w:r>
        <w:rPr>
          <w:spacing w:val="14"/>
          <w:sz w:val="19"/>
          <w:szCs w:val="19"/>
        </w:rPr>
        <w:t>(7)检查现场的设备安装必须符合</w:t>
      </w:r>
      <w:r>
        <w:rPr>
          <w:rFonts w:ascii="Times New Roman" w:hAnsi="Times New Roman" w:eastAsia="Times New Roman" w:cs="Times New Roman"/>
          <w:sz w:val="19"/>
          <w:szCs w:val="19"/>
        </w:rPr>
        <w:t>GB</w:t>
      </w:r>
      <w:r>
        <w:rPr>
          <w:rFonts w:ascii="Times New Roman" w:hAnsi="Times New Roman" w:eastAsia="Times New Roman" w:cs="Times New Roman"/>
          <w:spacing w:val="14"/>
          <w:sz w:val="19"/>
          <w:szCs w:val="19"/>
        </w:rPr>
        <w:t>/T   2887</w:t>
      </w:r>
      <w:r>
        <w:rPr>
          <w:spacing w:val="14"/>
          <w:sz w:val="19"/>
          <w:szCs w:val="19"/>
        </w:rPr>
        <w:t>《计算机场地通用规</w:t>
      </w:r>
      <w:r>
        <w:rPr>
          <w:spacing w:val="13"/>
          <w:sz w:val="19"/>
          <w:szCs w:val="19"/>
        </w:rPr>
        <w:t>范》的有关规定和设计</w:t>
      </w:r>
      <w:r>
        <w:rPr>
          <w:sz w:val="19"/>
          <w:szCs w:val="19"/>
        </w:rPr>
        <w:t xml:space="preserve"> </w:t>
      </w:r>
      <w:r>
        <w:rPr>
          <w:spacing w:val="8"/>
          <w:sz w:val="19"/>
          <w:szCs w:val="19"/>
        </w:rPr>
        <w:t>文件要求。</w:t>
      </w:r>
    </w:p>
    <w:p w14:paraId="3490C60B">
      <w:pPr>
        <w:pStyle w:val="2"/>
        <w:spacing w:before="63" w:line="265" w:lineRule="auto"/>
        <w:ind w:right="246" w:firstLine="400"/>
        <w:rPr>
          <w:sz w:val="19"/>
          <w:szCs w:val="19"/>
        </w:rPr>
      </w:pPr>
      <w:r>
        <w:rPr>
          <w:spacing w:val="12"/>
          <w:sz w:val="19"/>
          <w:szCs w:val="19"/>
        </w:rPr>
        <w:t>(8)系统功能与主要性能检验应由具有检测资质的机构检测，并出具检测报告，检</w:t>
      </w:r>
      <w:r>
        <w:rPr>
          <w:spacing w:val="11"/>
          <w:sz w:val="19"/>
          <w:szCs w:val="19"/>
        </w:rPr>
        <w:t>测内容、</w:t>
      </w:r>
      <w:r>
        <w:rPr>
          <w:sz w:val="19"/>
          <w:szCs w:val="19"/>
        </w:rPr>
        <w:t xml:space="preserve"> </w:t>
      </w:r>
      <w:r>
        <w:rPr>
          <w:spacing w:val="7"/>
          <w:sz w:val="19"/>
          <w:szCs w:val="19"/>
        </w:rPr>
        <w:t>合格判据应执行</w:t>
      </w:r>
      <w:r>
        <w:rPr>
          <w:sz w:val="19"/>
          <w:szCs w:val="19"/>
        </w:rPr>
        <w:t>GB</w:t>
      </w:r>
      <w:r>
        <w:rPr>
          <w:spacing w:val="7"/>
          <w:sz w:val="19"/>
          <w:szCs w:val="19"/>
        </w:rPr>
        <w:t>/T</w:t>
      </w:r>
      <w:r>
        <w:rPr>
          <w:spacing w:val="2"/>
          <w:sz w:val="19"/>
          <w:szCs w:val="19"/>
        </w:rPr>
        <w:t xml:space="preserve">  </w:t>
      </w:r>
      <w:r>
        <w:rPr>
          <w:spacing w:val="7"/>
          <w:sz w:val="19"/>
          <w:szCs w:val="19"/>
        </w:rPr>
        <w:t>9361《计算机场地安全要求》的有关规定。</w:t>
      </w:r>
    </w:p>
    <w:p w14:paraId="400DC804">
      <w:pPr>
        <w:spacing w:line="265" w:lineRule="auto"/>
        <w:rPr>
          <w:sz w:val="19"/>
          <w:szCs w:val="19"/>
        </w:rPr>
        <w:sectPr>
          <w:pgSz w:w="10270" w:h="13300"/>
          <w:pgMar w:top="389" w:right="498" w:bottom="400" w:left="1130" w:header="0" w:footer="0" w:gutter="0"/>
          <w:cols w:space="720" w:num="1"/>
        </w:sectPr>
      </w:pPr>
    </w:p>
    <w:p w14:paraId="7ECBF9C6">
      <w:pPr>
        <w:pStyle w:val="2"/>
        <w:spacing w:before="67" w:line="219" w:lineRule="auto"/>
        <w:rPr>
          <w:sz w:val="19"/>
          <w:szCs w:val="19"/>
        </w:rPr>
      </w:pPr>
      <w:r>
        <w:rPr>
          <w:rFonts w:ascii="Times New Roman" w:hAnsi="Times New Roman" w:eastAsia="Times New Roman" w:cs="Times New Roman"/>
          <w:b/>
          <w:bCs/>
          <w:spacing w:val="4"/>
          <w:position w:val="1"/>
          <w:sz w:val="19"/>
          <w:szCs w:val="19"/>
        </w:rPr>
        <w:t>496</w:t>
      </w:r>
      <w:r>
        <w:rPr>
          <w:rFonts w:ascii="Times New Roman" w:hAnsi="Times New Roman" w:eastAsia="Times New Roman" w:cs="Times New Roman"/>
          <w:b/>
          <w:bCs/>
          <w:position w:val="1"/>
          <w:sz w:val="19"/>
          <w:szCs w:val="19"/>
        </w:rPr>
        <w:t xml:space="preserve">               </w:t>
      </w:r>
      <w:r>
        <w:rPr>
          <w:spacing w:val="4"/>
          <w:sz w:val="19"/>
          <w:szCs w:val="19"/>
        </w:rPr>
        <w:t>信息系统监理师教程(第2版)</w:t>
      </w:r>
    </w:p>
    <w:p w14:paraId="3F04DECC">
      <w:pPr>
        <w:spacing w:line="329" w:lineRule="auto"/>
        <w:rPr>
          <w:rFonts w:ascii="Arial"/>
          <w:sz w:val="21"/>
        </w:rPr>
      </w:pPr>
    </w:p>
    <w:p w14:paraId="0D56C053">
      <w:pPr>
        <w:pStyle w:val="2"/>
        <w:spacing w:before="61" w:line="270" w:lineRule="auto"/>
        <w:ind w:left="369" w:right="102" w:firstLine="400"/>
        <w:rPr>
          <w:sz w:val="19"/>
          <w:szCs w:val="19"/>
        </w:rPr>
      </w:pPr>
      <w:r>
        <w:rPr>
          <w:spacing w:val="9"/>
          <w:sz w:val="19"/>
          <w:szCs w:val="19"/>
        </w:rPr>
        <w:t>(9)检查设备和系统的防雷接地应符合</w:t>
      </w:r>
      <w:r>
        <w:rPr>
          <w:sz w:val="19"/>
          <w:szCs w:val="19"/>
        </w:rPr>
        <w:t>GB</w:t>
      </w:r>
      <w:r>
        <w:rPr>
          <w:spacing w:val="9"/>
          <w:sz w:val="19"/>
          <w:szCs w:val="19"/>
        </w:rPr>
        <w:t>/T 2887《计算</w:t>
      </w:r>
      <w:r>
        <w:rPr>
          <w:spacing w:val="8"/>
          <w:sz w:val="19"/>
          <w:szCs w:val="19"/>
        </w:rPr>
        <w:t>机场地通用规范》和</w:t>
      </w:r>
      <w:r>
        <w:rPr>
          <w:sz w:val="19"/>
          <w:szCs w:val="19"/>
        </w:rPr>
        <w:t>GB</w:t>
      </w:r>
      <w:r>
        <w:rPr>
          <w:spacing w:val="8"/>
          <w:sz w:val="19"/>
          <w:szCs w:val="19"/>
        </w:rPr>
        <w:t>/T9361《 计</w:t>
      </w:r>
      <w:r>
        <w:rPr>
          <w:sz w:val="19"/>
          <w:szCs w:val="19"/>
        </w:rPr>
        <w:t xml:space="preserve"> </w:t>
      </w:r>
      <w:r>
        <w:rPr>
          <w:spacing w:val="7"/>
          <w:sz w:val="19"/>
          <w:szCs w:val="19"/>
        </w:rPr>
        <w:t>算机场地安全要求》的有关规定和设计文件的要求。</w:t>
      </w:r>
    </w:p>
    <w:p w14:paraId="105A7B81">
      <w:pPr>
        <w:pStyle w:val="2"/>
        <w:spacing w:before="151" w:line="221" w:lineRule="auto"/>
        <w:ind w:left="772"/>
        <w:rPr>
          <w:rFonts w:ascii="黑体" w:hAnsi="黑体" w:eastAsia="黑体" w:cs="黑体"/>
          <w:sz w:val="19"/>
          <w:szCs w:val="19"/>
        </w:rPr>
      </w:pPr>
      <w:r>
        <w:rPr>
          <w:b/>
          <w:bCs/>
          <w:color w:val="007FD5"/>
          <w:spacing w:val="18"/>
          <w:sz w:val="19"/>
          <w:szCs w:val="19"/>
        </w:rPr>
        <w:t>3.</w:t>
      </w:r>
      <w:r>
        <w:rPr>
          <w:rFonts w:ascii="黑体" w:hAnsi="黑体" w:eastAsia="黑体" w:cs="黑体"/>
          <w:b/>
          <w:bCs/>
          <w:color w:val="007FD5"/>
          <w:spacing w:val="18"/>
          <w:sz w:val="19"/>
          <w:szCs w:val="19"/>
        </w:rPr>
        <w:t>出入口控制(门禁)系统监理要点</w:t>
      </w:r>
    </w:p>
    <w:p w14:paraId="57B2BDC0">
      <w:pPr>
        <w:pStyle w:val="2"/>
        <w:spacing w:before="177" w:line="219" w:lineRule="auto"/>
        <w:ind w:left="769"/>
        <w:rPr>
          <w:sz w:val="19"/>
          <w:szCs w:val="19"/>
        </w:rPr>
      </w:pPr>
      <w:r>
        <w:rPr>
          <w:spacing w:val="13"/>
          <w:sz w:val="19"/>
          <w:szCs w:val="19"/>
        </w:rPr>
        <w:t>安全防范系统工程出入口控制(门禁)系统的监理要点具体如下：</w:t>
      </w:r>
    </w:p>
    <w:p w14:paraId="0AC6F7F5">
      <w:pPr>
        <w:pStyle w:val="2"/>
        <w:spacing w:before="84" w:line="219" w:lineRule="auto"/>
        <w:ind w:left="769"/>
        <w:rPr>
          <w:sz w:val="19"/>
          <w:szCs w:val="19"/>
        </w:rPr>
      </w:pPr>
      <w:r>
        <w:rPr>
          <w:spacing w:val="18"/>
          <w:sz w:val="19"/>
          <w:szCs w:val="19"/>
        </w:rPr>
        <w:t>(1)出入口控制(门禁)系统的功能检测。具体包括：</w:t>
      </w:r>
    </w:p>
    <w:p w14:paraId="1390FBE4">
      <w:pPr>
        <w:pStyle w:val="2"/>
        <w:spacing w:before="82" w:line="268" w:lineRule="auto"/>
        <w:ind w:left="369" w:right="81" w:firstLine="400"/>
        <w:rPr>
          <w:sz w:val="19"/>
          <w:szCs w:val="19"/>
        </w:rPr>
      </w:pPr>
      <w:r>
        <w:rPr>
          <w:spacing w:val="18"/>
          <w:sz w:val="19"/>
          <w:szCs w:val="19"/>
        </w:rPr>
        <w:t>①系统主机在离线的情况下，出入口(门禁)控制器独立工作的准确性、实时性和储存信</w:t>
      </w:r>
      <w:r>
        <w:rPr>
          <w:sz w:val="19"/>
          <w:szCs w:val="19"/>
        </w:rPr>
        <w:t xml:space="preserve"> </w:t>
      </w:r>
      <w:r>
        <w:rPr>
          <w:spacing w:val="-1"/>
          <w:sz w:val="19"/>
          <w:szCs w:val="19"/>
        </w:rPr>
        <w:t>息的功能；</w:t>
      </w:r>
    </w:p>
    <w:p w14:paraId="745EDC96">
      <w:pPr>
        <w:pStyle w:val="2"/>
        <w:spacing w:before="90" w:line="270" w:lineRule="auto"/>
        <w:ind w:left="369" w:firstLine="400"/>
        <w:rPr>
          <w:sz w:val="19"/>
          <w:szCs w:val="19"/>
        </w:rPr>
      </w:pPr>
      <w:r>
        <w:rPr>
          <w:spacing w:val="25"/>
          <w:sz w:val="19"/>
          <w:szCs w:val="19"/>
        </w:rPr>
        <w:t>②系统主机对出入口(门禁)控制器在线控制时，出入口(门禁)控制器工作的准确性、</w:t>
      </w:r>
      <w:r>
        <w:rPr>
          <w:sz w:val="19"/>
          <w:szCs w:val="19"/>
        </w:rPr>
        <w:t xml:space="preserve"> </w:t>
      </w:r>
      <w:r>
        <w:rPr>
          <w:spacing w:val="14"/>
          <w:sz w:val="19"/>
          <w:szCs w:val="19"/>
        </w:rPr>
        <w:t>实时性和储存信息的功能，以及出入口(门禁)控制器和系</w:t>
      </w:r>
      <w:r>
        <w:rPr>
          <w:spacing w:val="13"/>
          <w:sz w:val="19"/>
          <w:szCs w:val="19"/>
        </w:rPr>
        <w:t>统主机之间的信息传输功能；</w:t>
      </w:r>
    </w:p>
    <w:p w14:paraId="4E7242D0">
      <w:pPr>
        <w:pStyle w:val="2"/>
        <w:spacing w:before="83" w:line="217" w:lineRule="auto"/>
        <w:ind w:left="769"/>
        <w:rPr>
          <w:sz w:val="19"/>
          <w:szCs w:val="19"/>
        </w:rPr>
      </w:pPr>
      <w:r>
        <w:rPr>
          <w:spacing w:val="9"/>
          <w:sz w:val="19"/>
          <w:szCs w:val="19"/>
        </w:rPr>
        <w:t>③检测掉电后系统启用备用电源应急工作的准确性、实时性、信息</w:t>
      </w:r>
      <w:r>
        <w:rPr>
          <w:spacing w:val="8"/>
          <w:sz w:val="19"/>
          <w:szCs w:val="19"/>
        </w:rPr>
        <w:t>的存储和恢复能力；</w:t>
      </w:r>
    </w:p>
    <w:p w14:paraId="3E580D55">
      <w:pPr>
        <w:pStyle w:val="2"/>
        <w:spacing w:before="87" w:line="261" w:lineRule="auto"/>
        <w:ind w:left="369" w:right="48" w:firstLine="400"/>
        <w:rPr>
          <w:sz w:val="19"/>
          <w:szCs w:val="19"/>
        </w:rPr>
      </w:pPr>
      <w:r>
        <w:rPr>
          <w:spacing w:val="24"/>
          <w:sz w:val="19"/>
          <w:szCs w:val="19"/>
        </w:rPr>
        <w:t>④通过系统主机、出入口(门禁)控制器及其他控制终端，实时监控出入控制点的人员</w:t>
      </w:r>
      <w:r>
        <w:rPr>
          <w:spacing w:val="13"/>
          <w:sz w:val="19"/>
          <w:szCs w:val="19"/>
        </w:rPr>
        <w:t xml:space="preserve"> </w:t>
      </w:r>
      <w:r>
        <w:rPr>
          <w:spacing w:val="-2"/>
          <w:sz w:val="19"/>
          <w:szCs w:val="19"/>
        </w:rPr>
        <w:t>状况；</w:t>
      </w:r>
    </w:p>
    <w:p w14:paraId="1E7D5D08">
      <w:pPr>
        <w:pStyle w:val="2"/>
        <w:spacing w:before="83" w:line="217" w:lineRule="auto"/>
        <w:ind w:left="769"/>
        <w:rPr>
          <w:sz w:val="19"/>
          <w:szCs w:val="19"/>
        </w:rPr>
      </w:pPr>
      <w:r>
        <w:rPr>
          <w:spacing w:val="6"/>
          <w:sz w:val="19"/>
          <w:szCs w:val="19"/>
        </w:rPr>
        <w:t>⑤系统对非法强行入侵及时报警的能力；</w:t>
      </w:r>
    </w:p>
    <w:p w14:paraId="1C8A1409">
      <w:pPr>
        <w:pStyle w:val="2"/>
        <w:spacing w:before="97" w:line="217" w:lineRule="auto"/>
        <w:ind w:left="769"/>
        <w:rPr>
          <w:sz w:val="19"/>
          <w:szCs w:val="19"/>
        </w:rPr>
      </w:pPr>
      <w:r>
        <w:rPr>
          <w:spacing w:val="8"/>
          <w:sz w:val="19"/>
          <w:szCs w:val="19"/>
        </w:rPr>
        <w:t>⑥检测本系统与消防系统报警时的联动功能，保证火灾情况下的紧急逃生；</w:t>
      </w:r>
    </w:p>
    <w:p w14:paraId="0525634F">
      <w:pPr>
        <w:pStyle w:val="2"/>
        <w:spacing w:before="96" w:line="217" w:lineRule="auto"/>
        <w:ind w:left="769"/>
        <w:rPr>
          <w:sz w:val="19"/>
          <w:szCs w:val="19"/>
        </w:rPr>
      </w:pPr>
      <w:r>
        <w:rPr>
          <w:spacing w:val="9"/>
          <w:sz w:val="19"/>
          <w:szCs w:val="19"/>
        </w:rPr>
        <w:t>⑦出入口管理系统的数据存储记录保存时间应满足管理要求。</w:t>
      </w:r>
    </w:p>
    <w:p w14:paraId="1192FAF7">
      <w:pPr>
        <w:pStyle w:val="2"/>
        <w:spacing w:before="79" w:line="219" w:lineRule="auto"/>
        <w:ind w:left="769"/>
        <w:rPr>
          <w:sz w:val="19"/>
          <w:szCs w:val="19"/>
        </w:rPr>
      </w:pPr>
      <w:r>
        <w:rPr>
          <w:spacing w:val="11"/>
          <w:sz w:val="19"/>
          <w:szCs w:val="19"/>
        </w:rPr>
        <w:t>(2)系统的软件检测。具体包括：</w:t>
      </w:r>
    </w:p>
    <w:p w14:paraId="6B735AD3">
      <w:pPr>
        <w:pStyle w:val="2"/>
        <w:spacing w:before="93" w:line="217" w:lineRule="auto"/>
        <w:ind w:left="769"/>
        <w:rPr>
          <w:sz w:val="19"/>
          <w:szCs w:val="19"/>
        </w:rPr>
      </w:pPr>
      <w:r>
        <w:rPr>
          <w:spacing w:val="8"/>
          <w:sz w:val="19"/>
          <w:szCs w:val="19"/>
        </w:rPr>
        <w:t>①演示软件的所有功能，以证明软件功能与任务书或合同要求一致。</w:t>
      </w:r>
    </w:p>
    <w:p w14:paraId="0094C6FD">
      <w:pPr>
        <w:pStyle w:val="2"/>
        <w:spacing w:before="97" w:line="261" w:lineRule="auto"/>
        <w:ind w:left="369" w:right="86" w:firstLine="400"/>
        <w:rPr>
          <w:sz w:val="19"/>
          <w:szCs w:val="19"/>
        </w:rPr>
      </w:pPr>
      <w:r>
        <w:rPr>
          <w:spacing w:val="13"/>
          <w:sz w:val="19"/>
          <w:szCs w:val="19"/>
        </w:rPr>
        <w:t>②根据需求说明书中规定的性能要求，包括时间、适应性、稳定性等，以及图形化界面友</w:t>
      </w:r>
      <w:r>
        <w:rPr>
          <w:sz w:val="19"/>
          <w:szCs w:val="19"/>
        </w:rPr>
        <w:t xml:space="preserve"> </w:t>
      </w:r>
      <w:r>
        <w:rPr>
          <w:spacing w:val="5"/>
          <w:sz w:val="19"/>
          <w:szCs w:val="19"/>
        </w:rPr>
        <w:t>好程度，对软件逐项进行测试。</w:t>
      </w:r>
    </w:p>
    <w:p w14:paraId="26A32A4D">
      <w:pPr>
        <w:pStyle w:val="2"/>
        <w:spacing w:before="101" w:line="252" w:lineRule="auto"/>
        <w:ind w:left="369" w:right="81" w:firstLine="400"/>
        <w:rPr>
          <w:sz w:val="19"/>
          <w:szCs w:val="19"/>
        </w:rPr>
      </w:pPr>
      <w:r>
        <w:rPr>
          <w:spacing w:val="13"/>
          <w:sz w:val="19"/>
          <w:szCs w:val="19"/>
        </w:rPr>
        <w:t>③对软件系统操作的安全性进行测试，如系统操作人员的分级授权，系统操作人员操作信</w:t>
      </w:r>
      <w:r>
        <w:rPr>
          <w:spacing w:val="5"/>
          <w:sz w:val="19"/>
          <w:szCs w:val="19"/>
        </w:rPr>
        <w:t xml:space="preserve"> 息的存储记录等。</w:t>
      </w:r>
    </w:p>
    <w:p w14:paraId="451F128F">
      <w:pPr>
        <w:pStyle w:val="2"/>
        <w:spacing w:before="102" w:line="217" w:lineRule="auto"/>
        <w:ind w:left="769"/>
        <w:rPr>
          <w:sz w:val="19"/>
          <w:szCs w:val="19"/>
        </w:rPr>
      </w:pPr>
      <w:r>
        <w:rPr>
          <w:spacing w:val="8"/>
          <w:sz w:val="19"/>
          <w:szCs w:val="19"/>
        </w:rPr>
        <w:t>④在软件测试的基础上，对被验收软件进行综合评审，给出综合评审结论，包括：</w:t>
      </w:r>
    </w:p>
    <w:p w14:paraId="38BF369D">
      <w:pPr>
        <w:pStyle w:val="2"/>
        <w:spacing w:before="79" w:line="219" w:lineRule="auto"/>
        <w:ind w:left="769"/>
        <w:rPr>
          <w:sz w:val="19"/>
          <w:szCs w:val="19"/>
        </w:rPr>
      </w:pPr>
      <w:r>
        <w:rPr>
          <w:spacing w:val="11"/>
          <w:sz w:val="19"/>
          <w:szCs w:val="19"/>
        </w:rPr>
        <w:t>●软件设计与需求的一致性；</w:t>
      </w:r>
    </w:p>
    <w:p w14:paraId="2D633BCB">
      <w:pPr>
        <w:pStyle w:val="2"/>
        <w:spacing w:before="95" w:line="219" w:lineRule="auto"/>
        <w:ind w:left="769"/>
        <w:rPr>
          <w:sz w:val="19"/>
          <w:szCs w:val="19"/>
        </w:rPr>
      </w:pPr>
      <w:r>
        <w:rPr>
          <w:spacing w:val="11"/>
          <w:sz w:val="19"/>
          <w:szCs w:val="19"/>
        </w:rPr>
        <w:t>●程序与软件设计的一致性；</w:t>
      </w:r>
    </w:p>
    <w:p w14:paraId="4DDDD960">
      <w:pPr>
        <w:pStyle w:val="2"/>
        <w:spacing w:before="114" w:line="219" w:lineRule="auto"/>
        <w:ind w:left="769"/>
        <w:rPr>
          <w:sz w:val="19"/>
          <w:szCs w:val="19"/>
        </w:rPr>
      </w:pPr>
      <w:r>
        <w:rPr>
          <w:spacing w:val="11"/>
          <w:sz w:val="19"/>
          <w:szCs w:val="19"/>
        </w:rPr>
        <w:t>●文档描述与程序的一致性、完整性、准确性和标准化程度等。</w:t>
      </w:r>
    </w:p>
    <w:p w14:paraId="03DD80AE">
      <w:pPr>
        <w:pStyle w:val="2"/>
        <w:spacing w:before="160" w:line="221" w:lineRule="auto"/>
        <w:ind w:left="772"/>
        <w:rPr>
          <w:rFonts w:ascii="黑体" w:hAnsi="黑体" w:eastAsia="黑体" w:cs="黑体"/>
          <w:sz w:val="19"/>
          <w:szCs w:val="19"/>
        </w:rPr>
      </w:pPr>
      <w:r>
        <w:rPr>
          <w:b/>
          <w:bCs/>
          <w:color w:val="008EE1"/>
          <w:spacing w:val="8"/>
          <w:sz w:val="19"/>
          <w:szCs w:val="19"/>
        </w:rPr>
        <w:t>4.</w:t>
      </w:r>
      <w:r>
        <w:rPr>
          <w:rFonts w:ascii="黑体" w:hAnsi="黑体" w:eastAsia="黑体" w:cs="黑体"/>
          <w:b/>
          <w:bCs/>
          <w:color w:val="008EE1"/>
          <w:spacing w:val="8"/>
          <w:sz w:val="19"/>
          <w:szCs w:val="19"/>
        </w:rPr>
        <w:t>视频监控系统监理要点</w:t>
      </w:r>
    </w:p>
    <w:p w14:paraId="64FB4BE3">
      <w:pPr>
        <w:pStyle w:val="2"/>
        <w:spacing w:before="178" w:line="220" w:lineRule="auto"/>
        <w:ind w:left="769"/>
        <w:rPr>
          <w:sz w:val="19"/>
          <w:szCs w:val="19"/>
        </w:rPr>
      </w:pPr>
      <w:r>
        <w:rPr>
          <w:spacing w:val="7"/>
          <w:sz w:val="19"/>
          <w:szCs w:val="19"/>
        </w:rPr>
        <w:t>安全防范系统工程视频监控系统的监理要点具体如下：</w:t>
      </w:r>
    </w:p>
    <w:p w14:paraId="54FB51CC">
      <w:pPr>
        <w:pStyle w:val="2"/>
        <w:spacing w:before="63" w:line="260" w:lineRule="auto"/>
        <w:ind w:left="369" w:right="80" w:firstLine="400"/>
        <w:rPr>
          <w:sz w:val="19"/>
          <w:szCs w:val="19"/>
        </w:rPr>
      </w:pPr>
      <w:r>
        <w:rPr>
          <w:spacing w:val="15"/>
          <w:sz w:val="19"/>
          <w:szCs w:val="19"/>
        </w:rPr>
        <w:t>(1)系统功能检测：云台转动，镜头、光圈的调节，调焦变倍，图像切换，防护罩功能的</w:t>
      </w:r>
      <w:r>
        <w:rPr>
          <w:spacing w:val="8"/>
          <w:sz w:val="19"/>
          <w:szCs w:val="19"/>
        </w:rPr>
        <w:t xml:space="preserve"> 检测。</w:t>
      </w:r>
    </w:p>
    <w:p w14:paraId="65EC03FF">
      <w:pPr>
        <w:pStyle w:val="2"/>
        <w:spacing w:before="94" w:line="219" w:lineRule="auto"/>
        <w:ind w:left="769"/>
        <w:rPr>
          <w:sz w:val="19"/>
          <w:szCs w:val="19"/>
        </w:rPr>
      </w:pPr>
      <w:r>
        <w:rPr>
          <w:spacing w:val="11"/>
          <w:sz w:val="19"/>
          <w:szCs w:val="19"/>
        </w:rPr>
        <w:t>(2)图像质量检测：在摄像机标准照度下进行图像清晰度及抗干扰能力的检测。</w:t>
      </w:r>
    </w:p>
    <w:p w14:paraId="50EA8C9D">
      <w:pPr>
        <w:pStyle w:val="2"/>
        <w:spacing w:before="76" w:line="219" w:lineRule="auto"/>
        <w:ind w:left="769"/>
        <w:rPr>
          <w:sz w:val="19"/>
          <w:szCs w:val="19"/>
        </w:rPr>
      </w:pPr>
      <w:r>
        <w:rPr>
          <w:spacing w:val="11"/>
          <w:sz w:val="19"/>
          <w:szCs w:val="19"/>
        </w:rPr>
        <w:t>(3)系统整体功能检测：</w:t>
      </w:r>
    </w:p>
    <w:p w14:paraId="22F4BA8A">
      <w:pPr>
        <w:pStyle w:val="2"/>
        <w:spacing w:before="93" w:line="256" w:lineRule="auto"/>
        <w:ind w:left="1048" w:right="61" w:hanging="279"/>
        <w:rPr>
          <w:sz w:val="19"/>
          <w:szCs w:val="19"/>
        </w:rPr>
      </w:pPr>
      <w:r>
        <w:rPr>
          <w:spacing w:val="19"/>
          <w:sz w:val="19"/>
          <w:szCs w:val="19"/>
        </w:rPr>
        <w:t>●功能检测应包括视频安全防范监控系统的监控范围，矩阵监控主机的切换、控制、编</w:t>
      </w:r>
      <w:r>
        <w:rPr>
          <w:sz w:val="19"/>
          <w:szCs w:val="19"/>
        </w:rPr>
        <w:t xml:space="preserve"> </w:t>
      </w:r>
      <w:r>
        <w:rPr>
          <w:spacing w:val="6"/>
          <w:sz w:val="19"/>
          <w:szCs w:val="19"/>
        </w:rPr>
        <w:t>程、巡检、记录等功能；</w:t>
      </w:r>
    </w:p>
    <w:p w14:paraId="00D7F4E9">
      <w:pPr>
        <w:pStyle w:val="2"/>
        <w:spacing w:before="94" w:line="270" w:lineRule="auto"/>
        <w:ind w:left="1048" w:right="73" w:hanging="279"/>
        <w:rPr>
          <w:sz w:val="19"/>
          <w:szCs w:val="19"/>
        </w:rPr>
      </w:pPr>
      <w:r>
        <w:rPr>
          <w:spacing w:val="19"/>
          <w:sz w:val="19"/>
          <w:szCs w:val="19"/>
        </w:rPr>
        <w:t>●对数字视频录像式监控系统，还应检查主机死机记录，图</w:t>
      </w:r>
      <w:r>
        <w:rPr>
          <w:spacing w:val="18"/>
          <w:sz w:val="19"/>
          <w:szCs w:val="19"/>
        </w:rPr>
        <w:t>像显示和记录速度，图像质</w:t>
      </w:r>
      <w:r>
        <w:rPr>
          <w:sz w:val="19"/>
          <w:szCs w:val="19"/>
        </w:rPr>
        <w:t xml:space="preserve"> </w:t>
      </w:r>
      <w:r>
        <w:rPr>
          <w:spacing w:val="9"/>
          <w:sz w:val="19"/>
          <w:szCs w:val="19"/>
        </w:rPr>
        <w:t>量，对前端设备的控制功能，通信接口功能，</w:t>
      </w:r>
      <w:r>
        <w:rPr>
          <w:spacing w:val="8"/>
          <w:sz w:val="19"/>
          <w:szCs w:val="19"/>
        </w:rPr>
        <w:t>远端联网功能等；</w:t>
      </w:r>
    </w:p>
    <w:p w14:paraId="31F21BD6">
      <w:pPr>
        <w:spacing w:line="270" w:lineRule="auto"/>
        <w:rPr>
          <w:sz w:val="19"/>
          <w:szCs w:val="19"/>
        </w:rPr>
        <w:sectPr>
          <w:pgSz w:w="10330" w:h="13370"/>
          <w:pgMar w:top="400" w:right="1024" w:bottom="400" w:left="530" w:header="0" w:footer="0" w:gutter="0"/>
          <w:cols w:space="720" w:num="1"/>
        </w:sectPr>
      </w:pPr>
    </w:p>
    <w:p w14:paraId="5728D427">
      <w:pPr>
        <w:pStyle w:val="2"/>
        <w:spacing w:before="106" w:line="219" w:lineRule="auto"/>
        <w:jc w:val="right"/>
        <w:rPr>
          <w:rFonts w:ascii="Times New Roman" w:hAnsi="Times New Roman" w:eastAsia="Times New Roman" w:cs="Times New Roman"/>
          <w:sz w:val="19"/>
          <w:szCs w:val="19"/>
        </w:rPr>
      </w:pPr>
      <w:r>
        <w:rPr>
          <w:spacing w:val="3"/>
          <w:sz w:val="19"/>
          <w:szCs w:val="19"/>
        </w:rPr>
        <w:t>第21章 基础设施工程监理</w:t>
      </w:r>
      <w:r>
        <w:rPr>
          <w:spacing w:val="10"/>
          <w:sz w:val="19"/>
          <w:szCs w:val="19"/>
        </w:rPr>
        <w:t xml:space="preserve">      </w:t>
      </w:r>
      <w:r>
        <w:rPr>
          <w:rFonts w:ascii="Times New Roman" w:hAnsi="Times New Roman" w:eastAsia="Times New Roman" w:cs="Times New Roman"/>
          <w:spacing w:val="3"/>
          <w:position w:val="1"/>
          <w:sz w:val="19"/>
          <w:szCs w:val="19"/>
        </w:rPr>
        <w:t>497</w:t>
      </w:r>
    </w:p>
    <w:p w14:paraId="51DE8DCA">
      <w:pPr>
        <w:spacing w:line="322" w:lineRule="auto"/>
        <w:rPr>
          <w:rFonts w:ascii="Arial"/>
          <w:sz w:val="21"/>
        </w:rPr>
      </w:pPr>
    </w:p>
    <w:p w14:paraId="5F8FCEDB">
      <w:pPr>
        <w:pStyle w:val="2"/>
        <w:spacing w:before="61" w:line="219" w:lineRule="auto"/>
        <w:ind w:left="399"/>
        <w:rPr>
          <w:sz w:val="19"/>
          <w:szCs w:val="19"/>
        </w:rPr>
      </w:pPr>
      <w:r>
        <w:rPr>
          <w:spacing w:val="11"/>
          <w:sz w:val="19"/>
          <w:szCs w:val="19"/>
        </w:rPr>
        <w:t>●对数字硬盘录像监控系统，除检测其记录速度外，</w:t>
      </w:r>
      <w:r>
        <w:rPr>
          <w:spacing w:val="10"/>
          <w:sz w:val="19"/>
          <w:szCs w:val="19"/>
        </w:rPr>
        <w:t>还应检测记录的检索、回放等功能。</w:t>
      </w:r>
    </w:p>
    <w:p w14:paraId="237EFA26">
      <w:pPr>
        <w:pStyle w:val="2"/>
        <w:spacing w:before="114" w:line="260" w:lineRule="auto"/>
        <w:ind w:right="303" w:firstLine="399"/>
        <w:rPr>
          <w:sz w:val="19"/>
          <w:szCs w:val="19"/>
        </w:rPr>
      </w:pPr>
      <w:r>
        <w:rPr>
          <w:spacing w:val="20"/>
          <w:sz w:val="19"/>
          <w:szCs w:val="19"/>
        </w:rPr>
        <w:t>(4)系统联动功能检测应包括与出入口控制(门禁)系统、入侵报警系</w:t>
      </w:r>
      <w:r>
        <w:rPr>
          <w:spacing w:val="19"/>
          <w:sz w:val="19"/>
          <w:szCs w:val="19"/>
        </w:rPr>
        <w:t>统、巡更管理系统</w:t>
      </w:r>
      <w:r>
        <w:rPr>
          <w:sz w:val="19"/>
          <w:szCs w:val="19"/>
        </w:rPr>
        <w:t xml:space="preserve"> </w:t>
      </w:r>
      <w:r>
        <w:rPr>
          <w:spacing w:val="4"/>
          <w:sz w:val="19"/>
          <w:szCs w:val="19"/>
        </w:rPr>
        <w:t>等的联动控制功能。</w:t>
      </w:r>
    </w:p>
    <w:p w14:paraId="3372CC9D">
      <w:pPr>
        <w:pStyle w:val="2"/>
        <w:spacing w:before="105" w:line="219" w:lineRule="auto"/>
        <w:ind w:left="399"/>
        <w:rPr>
          <w:sz w:val="19"/>
          <w:szCs w:val="19"/>
        </w:rPr>
      </w:pPr>
      <w:r>
        <w:rPr>
          <w:spacing w:val="11"/>
          <w:sz w:val="19"/>
          <w:szCs w:val="19"/>
        </w:rPr>
        <w:t>(5)视频安全防范监控系统的图像记录保存时间应满足管理要求。</w:t>
      </w:r>
    </w:p>
    <w:p w14:paraId="2E1178EA">
      <w:pPr>
        <w:pStyle w:val="2"/>
        <w:spacing w:before="150" w:line="221" w:lineRule="auto"/>
        <w:ind w:left="402"/>
        <w:rPr>
          <w:rFonts w:ascii="黑体" w:hAnsi="黑体" w:eastAsia="黑体" w:cs="黑体"/>
          <w:sz w:val="19"/>
          <w:szCs w:val="19"/>
        </w:rPr>
      </w:pPr>
      <w:r>
        <w:rPr>
          <w:b/>
          <w:bCs/>
          <w:color w:val="007DDD"/>
          <w:spacing w:val="6"/>
          <w:sz w:val="19"/>
          <w:szCs w:val="19"/>
        </w:rPr>
        <w:t>5.</w:t>
      </w:r>
      <w:r>
        <w:rPr>
          <w:rFonts w:ascii="黑体" w:hAnsi="黑体" w:eastAsia="黑体" w:cs="黑体"/>
          <w:b/>
          <w:bCs/>
          <w:color w:val="007DDD"/>
          <w:spacing w:val="6"/>
          <w:sz w:val="19"/>
          <w:szCs w:val="19"/>
        </w:rPr>
        <w:t>入侵报警系统监理要点</w:t>
      </w:r>
    </w:p>
    <w:p w14:paraId="13991A65">
      <w:pPr>
        <w:pStyle w:val="2"/>
        <w:spacing w:before="187" w:line="219" w:lineRule="auto"/>
        <w:ind w:left="399"/>
        <w:rPr>
          <w:sz w:val="19"/>
          <w:szCs w:val="19"/>
        </w:rPr>
      </w:pPr>
      <w:r>
        <w:rPr>
          <w:spacing w:val="7"/>
          <w:sz w:val="19"/>
          <w:szCs w:val="19"/>
        </w:rPr>
        <w:t>安全防范系统工程入侵报警系统的监理要点</w:t>
      </w:r>
      <w:r>
        <w:rPr>
          <w:spacing w:val="6"/>
          <w:sz w:val="19"/>
          <w:szCs w:val="19"/>
        </w:rPr>
        <w:t>具体如下：</w:t>
      </w:r>
    </w:p>
    <w:p w14:paraId="32B7F4E5">
      <w:pPr>
        <w:pStyle w:val="2"/>
        <w:spacing w:before="94" w:line="219" w:lineRule="auto"/>
        <w:ind w:left="399"/>
        <w:rPr>
          <w:sz w:val="19"/>
          <w:szCs w:val="19"/>
        </w:rPr>
      </w:pPr>
      <w:r>
        <w:rPr>
          <w:spacing w:val="10"/>
          <w:sz w:val="19"/>
          <w:szCs w:val="19"/>
        </w:rPr>
        <w:t>(1)探测器的盲区检测，防动物侵入功能检测；</w:t>
      </w:r>
    </w:p>
    <w:p w14:paraId="553BB99C">
      <w:pPr>
        <w:pStyle w:val="2"/>
        <w:spacing w:before="105" w:line="260" w:lineRule="auto"/>
        <w:ind w:right="236" w:firstLine="399"/>
        <w:rPr>
          <w:sz w:val="19"/>
          <w:szCs w:val="19"/>
        </w:rPr>
      </w:pPr>
      <w:r>
        <w:rPr>
          <w:spacing w:val="12"/>
          <w:sz w:val="19"/>
          <w:szCs w:val="19"/>
        </w:rPr>
        <w:t>(2)探测器的防破坏功能检测应包括报警器的防拆报警功能</w:t>
      </w:r>
      <w:r>
        <w:rPr>
          <w:spacing w:val="11"/>
          <w:sz w:val="19"/>
          <w:szCs w:val="19"/>
        </w:rPr>
        <w:t>，信号线开路、短路报警功能，</w:t>
      </w:r>
      <w:r>
        <w:rPr>
          <w:sz w:val="19"/>
          <w:szCs w:val="19"/>
        </w:rPr>
        <w:t xml:space="preserve"> </w:t>
      </w:r>
      <w:r>
        <w:rPr>
          <w:spacing w:val="3"/>
          <w:sz w:val="19"/>
          <w:szCs w:val="19"/>
        </w:rPr>
        <w:t>电源线被剪的报警功能；</w:t>
      </w:r>
    </w:p>
    <w:p w14:paraId="6A5D9C64">
      <w:pPr>
        <w:pStyle w:val="2"/>
        <w:spacing w:before="95" w:line="219" w:lineRule="auto"/>
        <w:ind w:left="399"/>
        <w:rPr>
          <w:sz w:val="19"/>
          <w:szCs w:val="19"/>
        </w:rPr>
      </w:pPr>
      <w:r>
        <w:rPr>
          <w:spacing w:val="10"/>
          <w:sz w:val="19"/>
          <w:szCs w:val="19"/>
        </w:rPr>
        <w:t>(3)探测器的灵敏度检测；</w:t>
      </w:r>
    </w:p>
    <w:p w14:paraId="3031335A">
      <w:pPr>
        <w:pStyle w:val="2"/>
        <w:spacing w:before="84" w:line="275" w:lineRule="auto"/>
        <w:ind w:right="303" w:firstLine="399"/>
        <w:rPr>
          <w:sz w:val="19"/>
          <w:szCs w:val="19"/>
        </w:rPr>
      </w:pPr>
      <w:r>
        <w:rPr>
          <w:spacing w:val="15"/>
          <w:sz w:val="19"/>
          <w:szCs w:val="19"/>
        </w:rPr>
        <w:t>(4)系统功能检测应包括系统的布设、撤出功能，关机报警功能，系统后备电源自动切换</w:t>
      </w:r>
      <w:r>
        <w:rPr>
          <w:spacing w:val="2"/>
          <w:sz w:val="19"/>
          <w:szCs w:val="19"/>
        </w:rPr>
        <w:t xml:space="preserve"> </w:t>
      </w:r>
      <w:r>
        <w:rPr>
          <w:spacing w:val="-1"/>
          <w:sz w:val="19"/>
          <w:szCs w:val="19"/>
        </w:rPr>
        <w:t>功能等；</w:t>
      </w:r>
    </w:p>
    <w:p w14:paraId="200B4555">
      <w:pPr>
        <w:pStyle w:val="2"/>
        <w:spacing w:before="93" w:line="219" w:lineRule="auto"/>
        <w:ind w:left="399"/>
        <w:rPr>
          <w:sz w:val="19"/>
          <w:szCs w:val="19"/>
        </w:rPr>
      </w:pPr>
      <w:r>
        <w:rPr>
          <w:spacing w:val="10"/>
          <w:sz w:val="19"/>
          <w:szCs w:val="19"/>
        </w:rPr>
        <w:t>(5)系统通信功能检测应包括报警信息传输，报警响应功能；</w:t>
      </w:r>
    </w:p>
    <w:p w14:paraId="14EE0B30">
      <w:pPr>
        <w:pStyle w:val="2"/>
        <w:spacing w:before="67" w:line="280" w:lineRule="auto"/>
        <w:ind w:right="280" w:firstLine="399"/>
        <w:rPr>
          <w:sz w:val="19"/>
          <w:szCs w:val="19"/>
        </w:rPr>
      </w:pPr>
      <w:r>
        <w:rPr>
          <w:spacing w:val="15"/>
          <w:sz w:val="19"/>
          <w:szCs w:val="19"/>
        </w:rPr>
        <w:t>(6)系统的联动功能检测应包括报警信号对相关报警现场照明系统的自动触发，对监控摄</w:t>
      </w:r>
      <w:r>
        <w:rPr>
          <w:spacing w:val="2"/>
          <w:sz w:val="19"/>
          <w:szCs w:val="19"/>
        </w:rPr>
        <w:t xml:space="preserve"> </w:t>
      </w:r>
      <w:r>
        <w:rPr>
          <w:spacing w:val="13"/>
          <w:sz w:val="19"/>
          <w:szCs w:val="19"/>
        </w:rPr>
        <w:t>像机的自动启动，视频安全防范监视画面的自动调入，相关的出入口自动启闭，录像设备的自</w:t>
      </w:r>
      <w:r>
        <w:rPr>
          <w:spacing w:val="17"/>
          <w:sz w:val="19"/>
          <w:szCs w:val="19"/>
        </w:rPr>
        <w:t xml:space="preserve"> </w:t>
      </w:r>
      <w:r>
        <w:rPr>
          <w:spacing w:val="-1"/>
          <w:sz w:val="19"/>
          <w:szCs w:val="19"/>
        </w:rPr>
        <w:t>动启动等；</w:t>
      </w:r>
    </w:p>
    <w:p w14:paraId="006FC676">
      <w:pPr>
        <w:pStyle w:val="2"/>
        <w:spacing w:before="104" w:line="219" w:lineRule="auto"/>
        <w:ind w:left="399"/>
        <w:rPr>
          <w:sz w:val="19"/>
          <w:szCs w:val="19"/>
        </w:rPr>
      </w:pPr>
      <w:r>
        <w:rPr>
          <w:spacing w:val="18"/>
          <w:sz w:val="19"/>
          <w:szCs w:val="19"/>
        </w:rPr>
        <w:t>(7)报警系统管理软件(含电子地图)功能检测；</w:t>
      </w:r>
    </w:p>
    <w:p w14:paraId="35110381">
      <w:pPr>
        <w:pStyle w:val="2"/>
        <w:spacing w:before="74" w:line="219" w:lineRule="auto"/>
        <w:ind w:left="399"/>
        <w:rPr>
          <w:sz w:val="19"/>
          <w:szCs w:val="19"/>
        </w:rPr>
      </w:pPr>
      <w:r>
        <w:rPr>
          <w:spacing w:val="11"/>
          <w:sz w:val="19"/>
          <w:szCs w:val="19"/>
        </w:rPr>
        <w:t>(8)报警信号联网上传功能的检测；</w:t>
      </w:r>
    </w:p>
    <w:p w14:paraId="5787EAAB">
      <w:pPr>
        <w:pStyle w:val="2"/>
        <w:spacing w:before="96" w:line="219" w:lineRule="auto"/>
        <w:ind w:left="399"/>
        <w:rPr>
          <w:sz w:val="19"/>
          <w:szCs w:val="19"/>
        </w:rPr>
      </w:pPr>
      <w:r>
        <w:rPr>
          <w:spacing w:val="10"/>
          <w:sz w:val="19"/>
          <w:szCs w:val="19"/>
        </w:rPr>
        <w:t>(9)报警系统报警事件存储记录的保存时间应满足管理要求。</w:t>
      </w:r>
    </w:p>
    <w:p w14:paraId="391BEC24">
      <w:pPr>
        <w:pStyle w:val="2"/>
        <w:spacing w:before="150" w:line="221" w:lineRule="auto"/>
        <w:ind w:left="402"/>
        <w:rPr>
          <w:rFonts w:ascii="黑体" w:hAnsi="黑体" w:eastAsia="黑体" w:cs="黑体"/>
          <w:sz w:val="19"/>
          <w:szCs w:val="19"/>
        </w:rPr>
      </w:pPr>
      <w:r>
        <w:rPr>
          <w:b/>
          <w:bCs/>
          <w:color w:val="0071D4"/>
          <w:spacing w:val="6"/>
          <w:sz w:val="19"/>
          <w:szCs w:val="19"/>
        </w:rPr>
        <w:t>6.</w:t>
      </w:r>
      <w:r>
        <w:rPr>
          <w:rFonts w:ascii="黑体" w:hAnsi="黑体" w:eastAsia="黑体" w:cs="黑体"/>
          <w:b/>
          <w:bCs/>
          <w:color w:val="0071D4"/>
          <w:spacing w:val="6"/>
          <w:sz w:val="19"/>
          <w:szCs w:val="19"/>
        </w:rPr>
        <w:t>巡更管理系统监理要点</w:t>
      </w:r>
    </w:p>
    <w:p w14:paraId="2C61EBB9">
      <w:pPr>
        <w:pStyle w:val="2"/>
        <w:spacing w:before="167" w:line="219" w:lineRule="auto"/>
        <w:ind w:left="399"/>
        <w:rPr>
          <w:sz w:val="19"/>
          <w:szCs w:val="19"/>
        </w:rPr>
      </w:pPr>
      <w:r>
        <w:rPr>
          <w:spacing w:val="7"/>
          <w:sz w:val="19"/>
          <w:szCs w:val="19"/>
        </w:rPr>
        <w:t>安全防范系统工程巡更管理系统的监理要点</w:t>
      </w:r>
      <w:r>
        <w:rPr>
          <w:spacing w:val="6"/>
          <w:sz w:val="19"/>
          <w:szCs w:val="19"/>
        </w:rPr>
        <w:t>具体如下：</w:t>
      </w:r>
    </w:p>
    <w:p w14:paraId="4C8C2FA4">
      <w:pPr>
        <w:pStyle w:val="2"/>
        <w:spacing w:before="83" w:line="219" w:lineRule="auto"/>
        <w:ind w:left="399"/>
        <w:rPr>
          <w:sz w:val="19"/>
          <w:szCs w:val="19"/>
        </w:rPr>
      </w:pPr>
      <w:r>
        <w:rPr>
          <w:spacing w:val="10"/>
          <w:sz w:val="19"/>
          <w:szCs w:val="19"/>
        </w:rPr>
        <w:t>(1)按照巡更路线图检查系统的巡更终端、读卡机的响应功能；</w:t>
      </w:r>
    </w:p>
    <w:p w14:paraId="1813016E">
      <w:pPr>
        <w:pStyle w:val="2"/>
        <w:spacing w:before="85" w:line="219" w:lineRule="auto"/>
        <w:ind w:left="399"/>
        <w:rPr>
          <w:sz w:val="19"/>
          <w:szCs w:val="19"/>
        </w:rPr>
      </w:pPr>
      <w:r>
        <w:rPr>
          <w:spacing w:val="10"/>
          <w:sz w:val="19"/>
          <w:szCs w:val="19"/>
        </w:rPr>
        <w:t>(2)检查巡更管理系统的编程、修改功能，撤防、布防功能；</w:t>
      </w:r>
    </w:p>
    <w:p w14:paraId="716E1195">
      <w:pPr>
        <w:pStyle w:val="2"/>
        <w:spacing w:before="84" w:line="219" w:lineRule="auto"/>
        <w:ind w:left="399"/>
        <w:rPr>
          <w:sz w:val="19"/>
          <w:szCs w:val="19"/>
        </w:rPr>
      </w:pPr>
      <w:r>
        <w:rPr>
          <w:spacing w:val="10"/>
          <w:sz w:val="19"/>
          <w:szCs w:val="19"/>
        </w:rPr>
        <w:t>(3)检查系统的运行状态、信息传输、故障报警和指示故障位置的功能；</w:t>
      </w:r>
    </w:p>
    <w:p w14:paraId="5D405C3E">
      <w:pPr>
        <w:pStyle w:val="2"/>
        <w:spacing w:before="76" w:line="266" w:lineRule="auto"/>
        <w:ind w:right="302" w:firstLine="399"/>
        <w:rPr>
          <w:sz w:val="19"/>
          <w:szCs w:val="19"/>
        </w:rPr>
      </w:pPr>
      <w:r>
        <w:rPr>
          <w:spacing w:val="15"/>
          <w:sz w:val="19"/>
          <w:szCs w:val="19"/>
        </w:rPr>
        <w:t>(4)检查巡更管理系统对巡更人员的监督和记录情况，安全保障措施，对意外情况及时报</w:t>
      </w:r>
      <w:r>
        <w:rPr>
          <w:spacing w:val="3"/>
          <w:sz w:val="19"/>
          <w:szCs w:val="19"/>
        </w:rPr>
        <w:t xml:space="preserve"> </w:t>
      </w:r>
      <w:r>
        <w:rPr>
          <w:spacing w:val="-1"/>
          <w:sz w:val="19"/>
          <w:szCs w:val="19"/>
        </w:rPr>
        <w:t>警的处理手段；</w:t>
      </w:r>
    </w:p>
    <w:p w14:paraId="7F491F2D">
      <w:pPr>
        <w:pStyle w:val="2"/>
        <w:spacing w:before="63" w:line="265" w:lineRule="auto"/>
        <w:ind w:right="303" w:firstLine="399"/>
        <w:rPr>
          <w:sz w:val="19"/>
          <w:szCs w:val="19"/>
        </w:rPr>
      </w:pPr>
      <w:r>
        <w:rPr>
          <w:spacing w:val="15"/>
          <w:sz w:val="19"/>
          <w:szCs w:val="19"/>
        </w:rPr>
        <w:t>(5)对在线联网式巡更管理系统，还需要检查电子地图上的显示信息，遇有故障时的报警</w:t>
      </w:r>
      <w:r>
        <w:rPr>
          <w:spacing w:val="2"/>
          <w:sz w:val="19"/>
          <w:szCs w:val="19"/>
        </w:rPr>
        <w:t xml:space="preserve"> </w:t>
      </w:r>
      <w:r>
        <w:rPr>
          <w:spacing w:val="6"/>
          <w:sz w:val="19"/>
          <w:szCs w:val="19"/>
        </w:rPr>
        <w:t>信号，与视频安全防范监控系统的联动功能；</w:t>
      </w:r>
    </w:p>
    <w:p w14:paraId="298CE93A">
      <w:pPr>
        <w:pStyle w:val="2"/>
        <w:spacing w:before="94" w:line="219" w:lineRule="auto"/>
        <w:ind w:left="399"/>
        <w:rPr>
          <w:sz w:val="19"/>
          <w:szCs w:val="19"/>
        </w:rPr>
      </w:pPr>
      <w:r>
        <w:rPr>
          <w:spacing w:val="12"/>
          <w:sz w:val="19"/>
          <w:szCs w:val="19"/>
        </w:rPr>
        <w:t>(6)巡更系统的数据存储记录保存时间应满足管理</w:t>
      </w:r>
      <w:r>
        <w:rPr>
          <w:spacing w:val="11"/>
          <w:sz w:val="19"/>
          <w:szCs w:val="19"/>
        </w:rPr>
        <w:t>要求。</w:t>
      </w:r>
    </w:p>
    <w:p w14:paraId="47688AC7">
      <w:pPr>
        <w:pStyle w:val="2"/>
        <w:spacing w:before="150" w:line="221" w:lineRule="auto"/>
        <w:ind w:left="402"/>
        <w:rPr>
          <w:rFonts w:ascii="黑体" w:hAnsi="黑体" w:eastAsia="黑体" w:cs="黑体"/>
          <w:sz w:val="19"/>
          <w:szCs w:val="19"/>
        </w:rPr>
      </w:pPr>
      <w:r>
        <w:rPr>
          <w:b/>
          <w:bCs/>
          <w:color w:val="0075D0"/>
          <w:spacing w:val="8"/>
          <w:sz w:val="19"/>
          <w:szCs w:val="19"/>
        </w:rPr>
        <w:t>7.</w:t>
      </w:r>
      <w:r>
        <w:rPr>
          <w:rFonts w:ascii="黑体" w:hAnsi="黑体" w:eastAsia="黑体" w:cs="黑体"/>
          <w:b/>
          <w:bCs/>
          <w:color w:val="0075D0"/>
          <w:spacing w:val="8"/>
          <w:sz w:val="19"/>
          <w:szCs w:val="19"/>
        </w:rPr>
        <w:t>防鼠害监理要点</w:t>
      </w:r>
    </w:p>
    <w:p w14:paraId="5BBCA623">
      <w:pPr>
        <w:pStyle w:val="2"/>
        <w:spacing w:before="168" w:line="220" w:lineRule="auto"/>
        <w:ind w:left="399"/>
        <w:rPr>
          <w:sz w:val="19"/>
          <w:szCs w:val="19"/>
        </w:rPr>
      </w:pPr>
      <w:r>
        <w:rPr>
          <w:spacing w:val="6"/>
          <w:sz w:val="19"/>
          <w:szCs w:val="19"/>
        </w:rPr>
        <w:t>安全防范系统工程防鼠害的监理要点具体如下：</w:t>
      </w:r>
    </w:p>
    <w:p w14:paraId="64ACA8B1">
      <w:pPr>
        <w:pStyle w:val="2"/>
        <w:spacing w:before="72" w:line="219" w:lineRule="auto"/>
        <w:ind w:left="399"/>
        <w:rPr>
          <w:sz w:val="19"/>
          <w:szCs w:val="19"/>
        </w:rPr>
      </w:pPr>
      <w:r>
        <w:rPr>
          <w:spacing w:val="11"/>
          <w:sz w:val="19"/>
          <w:szCs w:val="19"/>
        </w:rPr>
        <w:t>(1)机房内所有的孔洞在施工完成后都应及时封堵；</w:t>
      </w:r>
    </w:p>
    <w:p w14:paraId="0F9903A6">
      <w:pPr>
        <w:pStyle w:val="2"/>
        <w:spacing w:before="86" w:line="219" w:lineRule="auto"/>
        <w:ind w:left="399"/>
        <w:rPr>
          <w:sz w:val="19"/>
          <w:szCs w:val="19"/>
        </w:rPr>
      </w:pPr>
      <w:r>
        <w:rPr>
          <w:spacing w:val="11"/>
          <w:sz w:val="19"/>
          <w:szCs w:val="19"/>
        </w:rPr>
        <w:t>(2)所有的线槽都应盖好、密封；</w:t>
      </w:r>
    </w:p>
    <w:p w14:paraId="5FD511CF">
      <w:pPr>
        <w:pStyle w:val="2"/>
        <w:spacing w:before="74" w:line="219" w:lineRule="auto"/>
        <w:ind w:left="399"/>
        <w:rPr>
          <w:sz w:val="19"/>
          <w:szCs w:val="19"/>
        </w:rPr>
      </w:pPr>
      <w:r>
        <w:rPr>
          <w:spacing w:val="11"/>
          <w:sz w:val="19"/>
          <w:szCs w:val="19"/>
        </w:rPr>
        <w:t>(3)所有电缆竖井都应用防火泥封堵。</w:t>
      </w:r>
    </w:p>
    <w:p w14:paraId="471D06A0">
      <w:pPr>
        <w:spacing w:line="219" w:lineRule="auto"/>
        <w:rPr>
          <w:sz w:val="19"/>
          <w:szCs w:val="19"/>
        </w:rPr>
        <w:sectPr>
          <w:pgSz w:w="10290" w:h="13390"/>
          <w:pgMar w:top="400" w:right="528" w:bottom="400" w:left="1140" w:header="0" w:footer="0" w:gutter="0"/>
          <w:cols w:space="720" w:num="1"/>
        </w:sectPr>
      </w:pPr>
    </w:p>
    <w:p w14:paraId="1A6834D1">
      <w:pPr>
        <w:pStyle w:val="2"/>
        <w:spacing w:before="10"/>
        <w:rPr>
          <w:sz w:val="20"/>
          <w:szCs w:val="20"/>
        </w:rPr>
      </w:pPr>
      <w:r>
        <w:rPr>
          <w:rFonts w:ascii="Times New Roman" w:hAnsi="Times New Roman" w:eastAsia="Times New Roman" w:cs="Times New Roman"/>
          <w:position w:val="-5"/>
          <w:sz w:val="20"/>
          <w:szCs w:val="20"/>
        </w:rPr>
        <w:drawing>
          <wp:inline distT="0" distB="0" distL="0" distR="0">
            <wp:extent cx="285750" cy="208915"/>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309"/>
                    <a:stretch>
                      <a:fillRect/>
                    </a:stretch>
                  </pic:blipFill>
                  <pic:spPr>
                    <a:xfrm>
                      <a:off x="0" y="0"/>
                      <a:ext cx="285754" cy="209528"/>
                    </a:xfrm>
                    <a:prstGeom prst="rect">
                      <a:avLst/>
                    </a:prstGeom>
                  </pic:spPr>
                </pic:pic>
              </a:graphicData>
            </a:graphic>
          </wp:inline>
        </w:drawing>
      </w:r>
      <w:r>
        <w:rPr>
          <w:rFonts w:ascii="Times New Roman" w:hAnsi="Times New Roman" w:eastAsia="Times New Roman" w:cs="Times New Roman"/>
          <w:spacing w:val="11"/>
          <w:position w:val="-3"/>
          <w:sz w:val="20"/>
          <w:szCs w:val="20"/>
        </w:rPr>
        <w:t xml:space="preserve"> </w:t>
      </w:r>
      <w:r>
        <w:rPr>
          <w:rFonts w:ascii="Times New Roman" w:hAnsi="Times New Roman" w:eastAsia="Times New Roman" w:cs="Times New Roman"/>
          <w:spacing w:val="-3"/>
          <w:position w:val="-3"/>
          <w:sz w:val="20"/>
          <w:szCs w:val="20"/>
        </w:rPr>
        <w:t>498</w:t>
      </w:r>
      <w:r>
        <w:rPr>
          <w:rFonts w:ascii="Times New Roman" w:hAnsi="Times New Roman" w:eastAsia="Times New Roman" w:cs="Times New Roman"/>
          <w:spacing w:val="2"/>
          <w:position w:val="-3"/>
          <w:sz w:val="20"/>
          <w:szCs w:val="20"/>
        </w:rPr>
        <w:t xml:space="preserve">             </w:t>
      </w:r>
      <w:r>
        <w:rPr>
          <w:spacing w:val="-3"/>
          <w:sz w:val="20"/>
          <w:szCs w:val="20"/>
        </w:rPr>
        <w:t>信息系统监理师教程(第2版)</w:t>
      </w:r>
    </w:p>
    <w:p w14:paraId="75112D92">
      <w:pPr>
        <w:spacing w:line="311" w:lineRule="auto"/>
        <w:rPr>
          <w:rFonts w:ascii="Arial"/>
          <w:sz w:val="21"/>
        </w:rPr>
      </w:pPr>
    </w:p>
    <w:p w14:paraId="1243451B">
      <w:pPr>
        <w:pStyle w:val="2"/>
        <w:spacing w:before="81" w:line="220" w:lineRule="auto"/>
        <w:ind w:left="863"/>
        <w:rPr>
          <w:sz w:val="25"/>
          <w:szCs w:val="25"/>
        </w:rPr>
      </w:pPr>
      <w:bookmarkStart w:id="726" w:name="bookmark711"/>
      <w:bookmarkEnd w:id="726"/>
      <w:r>
        <w:rPr>
          <w:b/>
          <w:bCs/>
          <w:color w:val="008BE9"/>
          <w:spacing w:val="-17"/>
          <w:sz w:val="25"/>
          <w:szCs w:val="25"/>
        </w:rPr>
        <w:t>21.6.4</w:t>
      </w:r>
      <w:r>
        <w:rPr>
          <w:color w:val="008BE9"/>
          <w:spacing w:val="74"/>
          <w:sz w:val="25"/>
          <w:szCs w:val="25"/>
        </w:rPr>
        <w:t xml:space="preserve"> </w:t>
      </w:r>
      <w:r>
        <w:rPr>
          <w:b/>
          <w:bCs/>
          <w:color w:val="008BE9"/>
          <w:spacing w:val="-17"/>
          <w:sz w:val="25"/>
          <w:szCs w:val="25"/>
        </w:rPr>
        <w:t>环境系统工程</w:t>
      </w:r>
    </w:p>
    <w:p w14:paraId="36942232">
      <w:pPr>
        <w:pStyle w:val="2"/>
        <w:spacing w:before="201" w:line="292" w:lineRule="auto"/>
        <w:ind w:left="860" w:firstLine="399"/>
        <w:rPr>
          <w:sz w:val="20"/>
          <w:szCs w:val="20"/>
        </w:rPr>
      </w:pPr>
      <w:r>
        <w:rPr>
          <w:spacing w:val="4"/>
          <w:sz w:val="20"/>
          <w:szCs w:val="20"/>
        </w:rPr>
        <w:t>环境系统工程是指电子设备机房的室内空间环境、室内电磁环境</w:t>
      </w:r>
      <w:r>
        <w:rPr>
          <w:spacing w:val="3"/>
          <w:sz w:val="20"/>
          <w:szCs w:val="20"/>
        </w:rPr>
        <w:t>、室内空气环境、视觉照</w:t>
      </w:r>
      <w:r>
        <w:rPr>
          <w:sz w:val="20"/>
          <w:szCs w:val="20"/>
        </w:rPr>
        <w:t xml:space="preserve"> </w:t>
      </w:r>
      <w:r>
        <w:rPr>
          <w:spacing w:val="-4"/>
          <w:sz w:val="20"/>
          <w:szCs w:val="20"/>
        </w:rPr>
        <w:t>明环境和室内噪声环境等系统工程。</w:t>
      </w:r>
    </w:p>
    <w:p w14:paraId="38657178">
      <w:pPr>
        <w:pStyle w:val="2"/>
        <w:spacing w:before="104" w:line="222" w:lineRule="auto"/>
        <w:ind w:left="1262"/>
        <w:rPr>
          <w:rFonts w:ascii="黑体" w:hAnsi="黑体" w:eastAsia="黑体" w:cs="黑体"/>
          <w:sz w:val="20"/>
          <w:szCs w:val="20"/>
        </w:rPr>
      </w:pPr>
      <w:r>
        <w:rPr>
          <w:b/>
          <w:bCs/>
          <w:color w:val="0082DA"/>
          <w:spacing w:val="-2"/>
          <w:sz w:val="20"/>
          <w:szCs w:val="20"/>
        </w:rPr>
        <w:t>1.</w:t>
      </w:r>
      <w:r>
        <w:rPr>
          <w:rFonts w:ascii="黑体" w:hAnsi="黑体" w:eastAsia="黑体" w:cs="黑体"/>
          <w:b/>
          <w:bCs/>
          <w:color w:val="0082DA"/>
          <w:spacing w:val="-2"/>
          <w:sz w:val="20"/>
          <w:szCs w:val="20"/>
        </w:rPr>
        <w:t>设计阶段监理内容</w:t>
      </w:r>
    </w:p>
    <w:p w14:paraId="7C6565C0">
      <w:pPr>
        <w:pStyle w:val="2"/>
        <w:spacing w:before="183" w:line="219" w:lineRule="auto"/>
        <w:ind w:left="1259"/>
        <w:rPr>
          <w:sz w:val="20"/>
          <w:szCs w:val="20"/>
        </w:rPr>
      </w:pPr>
      <w:r>
        <w:rPr>
          <w:spacing w:val="-3"/>
          <w:sz w:val="20"/>
          <w:szCs w:val="20"/>
        </w:rPr>
        <w:t>环境系统工程设计阶段的监理内容具体如下：</w:t>
      </w:r>
    </w:p>
    <w:p w14:paraId="0E6DABAE">
      <w:pPr>
        <w:pStyle w:val="2"/>
        <w:spacing w:before="71" w:line="219" w:lineRule="auto"/>
        <w:ind w:left="1259"/>
        <w:rPr>
          <w:sz w:val="20"/>
          <w:szCs w:val="20"/>
        </w:rPr>
      </w:pPr>
      <w:r>
        <w:rPr>
          <w:spacing w:val="2"/>
          <w:sz w:val="20"/>
          <w:szCs w:val="20"/>
        </w:rPr>
        <w:t>(1)审核室内空间、照明设计是否满足材料、电气设备的安装及使用要求；</w:t>
      </w:r>
    </w:p>
    <w:p w14:paraId="576B4D96">
      <w:pPr>
        <w:pStyle w:val="2"/>
        <w:spacing w:before="74" w:line="287" w:lineRule="auto"/>
        <w:ind w:left="860" w:right="1" w:firstLine="399"/>
        <w:rPr>
          <w:sz w:val="16"/>
          <w:szCs w:val="16"/>
        </w:rPr>
      </w:pPr>
      <w:r>
        <w:rPr>
          <w:spacing w:val="11"/>
          <w:sz w:val="20"/>
          <w:szCs w:val="20"/>
        </w:rPr>
        <w:t>(2)审核设计方案中通信设备、电气设备等产生的电磁干扰是否符合国家电磁辐射防护</w:t>
      </w:r>
      <w:r>
        <w:rPr>
          <w:spacing w:val="14"/>
          <w:sz w:val="20"/>
          <w:szCs w:val="20"/>
        </w:rPr>
        <w:t xml:space="preserve"> </w:t>
      </w:r>
      <w:r>
        <w:rPr>
          <w:spacing w:val="-6"/>
          <w:sz w:val="16"/>
          <w:szCs w:val="16"/>
        </w:rPr>
        <w:t>规</w:t>
      </w:r>
      <w:r>
        <w:rPr>
          <w:spacing w:val="-8"/>
          <w:sz w:val="16"/>
          <w:szCs w:val="16"/>
        </w:rPr>
        <w:t xml:space="preserve"> </w:t>
      </w:r>
      <w:r>
        <w:rPr>
          <w:spacing w:val="-6"/>
          <w:sz w:val="16"/>
          <w:szCs w:val="16"/>
        </w:rPr>
        <w:t>定</w:t>
      </w:r>
      <w:r>
        <w:rPr>
          <w:spacing w:val="-18"/>
          <w:sz w:val="16"/>
          <w:szCs w:val="16"/>
        </w:rPr>
        <w:t xml:space="preserve"> </w:t>
      </w:r>
      <w:r>
        <w:rPr>
          <w:spacing w:val="-6"/>
          <w:sz w:val="16"/>
          <w:szCs w:val="16"/>
        </w:rPr>
        <w:t>；</w:t>
      </w:r>
    </w:p>
    <w:p w14:paraId="19ED2FC7">
      <w:pPr>
        <w:pStyle w:val="2"/>
        <w:spacing w:before="110" w:line="219" w:lineRule="auto"/>
        <w:ind w:left="1259"/>
        <w:rPr>
          <w:sz w:val="20"/>
          <w:szCs w:val="20"/>
        </w:rPr>
      </w:pPr>
      <w:r>
        <w:rPr>
          <w:spacing w:val="1"/>
          <w:sz w:val="20"/>
          <w:szCs w:val="20"/>
        </w:rPr>
        <w:t>(3)审核设计方案中室内空气指标是否符合</w:t>
      </w:r>
      <w:r>
        <w:rPr>
          <w:rFonts w:ascii="Times New Roman" w:hAnsi="Times New Roman" w:eastAsia="Times New Roman" w:cs="Times New Roman"/>
          <w:sz w:val="20"/>
          <w:szCs w:val="20"/>
        </w:rPr>
        <w:t>GB</w:t>
      </w:r>
      <w:r>
        <w:rPr>
          <w:rFonts w:ascii="Times New Roman" w:hAnsi="Times New Roman" w:eastAsia="Times New Roman" w:cs="Times New Roman"/>
          <w:spacing w:val="1"/>
          <w:sz w:val="20"/>
          <w:szCs w:val="20"/>
        </w:rPr>
        <w:t>/T  18883</w:t>
      </w:r>
      <w:r>
        <w:rPr>
          <w:spacing w:val="1"/>
          <w:sz w:val="20"/>
          <w:szCs w:val="20"/>
        </w:rPr>
        <w:t>《室内空气质量标准》的规定；</w:t>
      </w:r>
    </w:p>
    <w:p w14:paraId="7146CFB6">
      <w:pPr>
        <w:pStyle w:val="2"/>
        <w:spacing w:before="73" w:line="219" w:lineRule="auto"/>
        <w:ind w:left="1259"/>
        <w:rPr>
          <w:sz w:val="20"/>
          <w:szCs w:val="20"/>
        </w:rPr>
      </w:pPr>
      <w:r>
        <w:rPr>
          <w:spacing w:val="2"/>
          <w:sz w:val="20"/>
          <w:szCs w:val="20"/>
        </w:rPr>
        <w:t>(4)审核环境噪声指标是否满足国家噪声标准的</w:t>
      </w:r>
      <w:r>
        <w:rPr>
          <w:spacing w:val="1"/>
          <w:sz w:val="20"/>
          <w:szCs w:val="20"/>
        </w:rPr>
        <w:t>规定要求。</w:t>
      </w:r>
    </w:p>
    <w:p w14:paraId="65FB83EF">
      <w:pPr>
        <w:pStyle w:val="2"/>
        <w:spacing w:before="149" w:line="222" w:lineRule="auto"/>
        <w:ind w:left="1262"/>
        <w:rPr>
          <w:rFonts w:ascii="黑体" w:hAnsi="黑体" w:eastAsia="黑体" w:cs="黑体"/>
          <w:sz w:val="20"/>
          <w:szCs w:val="20"/>
        </w:rPr>
      </w:pPr>
      <w:r>
        <w:rPr>
          <w:b/>
          <w:bCs/>
          <w:color w:val="0076C5"/>
          <w:sz w:val="20"/>
          <w:szCs w:val="20"/>
        </w:rPr>
        <w:t>2.</w:t>
      </w:r>
      <w:r>
        <w:rPr>
          <w:rFonts w:ascii="黑体" w:hAnsi="黑体" w:eastAsia="黑体" w:cs="黑体"/>
          <w:b/>
          <w:bCs/>
          <w:color w:val="0076C5"/>
          <w:sz w:val="20"/>
          <w:szCs w:val="20"/>
        </w:rPr>
        <w:t>实施阶段监理内容</w:t>
      </w:r>
    </w:p>
    <w:p w14:paraId="34CC9356">
      <w:pPr>
        <w:pStyle w:val="2"/>
        <w:spacing w:before="163" w:line="219" w:lineRule="auto"/>
        <w:ind w:left="1259"/>
        <w:rPr>
          <w:sz w:val="20"/>
          <w:szCs w:val="20"/>
        </w:rPr>
      </w:pPr>
      <w:r>
        <w:rPr>
          <w:spacing w:val="-3"/>
          <w:sz w:val="20"/>
          <w:szCs w:val="20"/>
        </w:rPr>
        <w:t>环境系统工程实施阶段的监理内容具体如下：</w:t>
      </w:r>
    </w:p>
    <w:p w14:paraId="745B763B">
      <w:pPr>
        <w:pStyle w:val="2"/>
        <w:spacing w:before="83" w:line="219" w:lineRule="auto"/>
        <w:ind w:left="1259"/>
        <w:rPr>
          <w:sz w:val="20"/>
          <w:szCs w:val="20"/>
        </w:rPr>
      </w:pPr>
      <w:r>
        <w:rPr>
          <w:spacing w:val="2"/>
          <w:sz w:val="20"/>
          <w:szCs w:val="20"/>
        </w:rPr>
        <w:t>(1)室内空间环境的监理要点。具体包括：</w:t>
      </w:r>
    </w:p>
    <w:p w14:paraId="2C7CDBF5">
      <w:pPr>
        <w:pStyle w:val="2"/>
        <w:spacing w:before="92" w:line="219" w:lineRule="auto"/>
        <w:ind w:left="1259"/>
        <w:rPr>
          <w:sz w:val="20"/>
          <w:szCs w:val="20"/>
        </w:rPr>
      </w:pPr>
      <w:r>
        <w:rPr>
          <w:spacing w:val="1"/>
          <w:sz w:val="20"/>
          <w:szCs w:val="20"/>
        </w:rPr>
        <w:t>●结构工程外加剂的用量控制，不宜使用早强剂、膨胀剂，严格控制掺加剂用量；</w:t>
      </w:r>
    </w:p>
    <w:p w14:paraId="252C973C">
      <w:pPr>
        <w:pStyle w:val="2"/>
        <w:spacing w:before="94" w:line="219" w:lineRule="auto"/>
        <w:ind w:left="1259"/>
        <w:rPr>
          <w:sz w:val="20"/>
          <w:szCs w:val="20"/>
        </w:rPr>
      </w:pPr>
      <w:r>
        <w:rPr>
          <w:spacing w:val="1"/>
          <w:sz w:val="20"/>
          <w:szCs w:val="20"/>
        </w:rPr>
        <w:t>●如围护结构使用透明玻璃，宜在表面增加装饰，以便识别；</w:t>
      </w:r>
    </w:p>
    <w:p w14:paraId="2D9E9259">
      <w:pPr>
        <w:pStyle w:val="2"/>
        <w:spacing w:before="92" w:line="277" w:lineRule="auto"/>
        <w:ind w:left="1538" w:right="7" w:hanging="279"/>
        <w:rPr>
          <w:sz w:val="16"/>
          <w:szCs w:val="16"/>
        </w:rPr>
      </w:pPr>
      <w:r>
        <w:rPr>
          <w:spacing w:val="6"/>
          <w:sz w:val="20"/>
          <w:szCs w:val="20"/>
        </w:rPr>
        <w:t>●装饰材料进场和使用控制应符合</w:t>
      </w:r>
      <w:r>
        <w:rPr>
          <w:sz w:val="20"/>
          <w:szCs w:val="20"/>
        </w:rPr>
        <w:t>GB</w:t>
      </w:r>
      <w:r>
        <w:rPr>
          <w:spacing w:val="6"/>
          <w:sz w:val="20"/>
          <w:szCs w:val="20"/>
        </w:rPr>
        <w:t xml:space="preserve">  18582《建筑用墙面涂料中有害</w:t>
      </w:r>
      <w:r>
        <w:rPr>
          <w:spacing w:val="5"/>
          <w:sz w:val="20"/>
          <w:szCs w:val="20"/>
        </w:rPr>
        <w:t>物质限量》的有关</w:t>
      </w:r>
      <w:r>
        <w:rPr>
          <w:sz w:val="20"/>
          <w:szCs w:val="20"/>
        </w:rPr>
        <w:t xml:space="preserve"> </w:t>
      </w:r>
      <w:r>
        <w:rPr>
          <w:spacing w:val="-6"/>
          <w:sz w:val="16"/>
          <w:szCs w:val="16"/>
        </w:rPr>
        <w:t>规</w:t>
      </w:r>
      <w:r>
        <w:rPr>
          <w:spacing w:val="-8"/>
          <w:sz w:val="16"/>
          <w:szCs w:val="16"/>
        </w:rPr>
        <w:t xml:space="preserve"> </w:t>
      </w:r>
      <w:r>
        <w:rPr>
          <w:spacing w:val="-6"/>
          <w:sz w:val="16"/>
          <w:szCs w:val="16"/>
        </w:rPr>
        <w:t>定</w:t>
      </w:r>
      <w:r>
        <w:rPr>
          <w:spacing w:val="-18"/>
          <w:sz w:val="16"/>
          <w:szCs w:val="16"/>
        </w:rPr>
        <w:t xml:space="preserve"> </w:t>
      </w:r>
      <w:r>
        <w:rPr>
          <w:spacing w:val="-6"/>
          <w:sz w:val="16"/>
          <w:szCs w:val="16"/>
        </w:rPr>
        <w:t>；</w:t>
      </w:r>
    </w:p>
    <w:p w14:paraId="3D77975E">
      <w:pPr>
        <w:pStyle w:val="2"/>
        <w:spacing w:before="118" w:line="218" w:lineRule="auto"/>
        <w:ind w:left="1259"/>
        <w:rPr>
          <w:sz w:val="20"/>
          <w:szCs w:val="20"/>
        </w:rPr>
      </w:pPr>
      <w:r>
        <w:rPr>
          <w:spacing w:val="1"/>
          <w:sz w:val="20"/>
          <w:szCs w:val="20"/>
        </w:rPr>
        <w:t>●装饰材料放射性抽样检验报告的检查；</w:t>
      </w:r>
    </w:p>
    <w:p w14:paraId="3D7EB50B">
      <w:pPr>
        <w:pStyle w:val="2"/>
        <w:spacing w:before="94" w:line="218" w:lineRule="auto"/>
        <w:ind w:left="1259"/>
        <w:rPr>
          <w:sz w:val="20"/>
          <w:szCs w:val="20"/>
        </w:rPr>
      </w:pPr>
      <w:r>
        <w:rPr>
          <w:spacing w:val="1"/>
          <w:sz w:val="20"/>
          <w:szCs w:val="20"/>
        </w:rPr>
        <w:t>●装饰工程结束后有害气体的检验报告的检查，检测值应符合设</w:t>
      </w:r>
      <w:r>
        <w:rPr>
          <w:sz w:val="20"/>
          <w:szCs w:val="20"/>
        </w:rPr>
        <w:t>计要求；</w:t>
      </w:r>
    </w:p>
    <w:p w14:paraId="38874685">
      <w:pPr>
        <w:pStyle w:val="2"/>
        <w:spacing w:before="86" w:line="219" w:lineRule="auto"/>
        <w:ind w:left="1259"/>
        <w:rPr>
          <w:sz w:val="20"/>
          <w:szCs w:val="20"/>
        </w:rPr>
      </w:pPr>
      <w:r>
        <w:rPr>
          <w:spacing w:val="2"/>
          <w:sz w:val="20"/>
          <w:szCs w:val="20"/>
        </w:rPr>
        <w:t>●室内净空高度应符合要求；</w:t>
      </w:r>
    </w:p>
    <w:p w14:paraId="550DD5B8">
      <w:pPr>
        <w:pStyle w:val="2"/>
        <w:spacing w:before="83" w:line="219" w:lineRule="auto"/>
        <w:ind w:left="1259"/>
        <w:rPr>
          <w:sz w:val="20"/>
          <w:szCs w:val="20"/>
        </w:rPr>
      </w:pPr>
      <w:r>
        <w:rPr>
          <w:spacing w:val="1"/>
          <w:sz w:val="20"/>
          <w:szCs w:val="20"/>
        </w:rPr>
        <w:t>●门窗设置应满足窗台高度和外墙面积比要求。</w:t>
      </w:r>
    </w:p>
    <w:p w14:paraId="65F953EE">
      <w:pPr>
        <w:pStyle w:val="2"/>
        <w:spacing w:before="103" w:line="220" w:lineRule="auto"/>
        <w:ind w:left="1259"/>
        <w:rPr>
          <w:sz w:val="20"/>
          <w:szCs w:val="20"/>
        </w:rPr>
      </w:pPr>
      <w:r>
        <w:rPr>
          <w:spacing w:val="2"/>
          <w:sz w:val="20"/>
          <w:szCs w:val="20"/>
        </w:rPr>
        <w:t>(2)电磁环境的监理要点。具体包括：</w:t>
      </w:r>
    </w:p>
    <w:p w14:paraId="6F4B2FBC">
      <w:pPr>
        <w:pStyle w:val="2"/>
        <w:spacing w:before="80" w:line="253" w:lineRule="auto"/>
        <w:ind w:left="1538" w:right="4" w:hanging="279"/>
        <w:rPr>
          <w:sz w:val="20"/>
          <w:szCs w:val="20"/>
        </w:rPr>
      </w:pPr>
      <w:r>
        <w:rPr>
          <w:spacing w:val="4"/>
          <w:sz w:val="20"/>
          <w:szCs w:val="20"/>
        </w:rPr>
        <w:t>●材料、设备质量控制检查，应符合国家有关电磁辐射</w:t>
      </w:r>
      <w:r>
        <w:rPr>
          <w:spacing w:val="3"/>
          <w:sz w:val="20"/>
          <w:szCs w:val="20"/>
        </w:rPr>
        <w:t>防护标准和设计文件技术要求，宜</w:t>
      </w:r>
      <w:r>
        <w:rPr>
          <w:sz w:val="20"/>
          <w:szCs w:val="20"/>
        </w:rPr>
        <w:t xml:space="preserve"> </w:t>
      </w:r>
      <w:r>
        <w:rPr>
          <w:spacing w:val="-4"/>
          <w:sz w:val="20"/>
          <w:szCs w:val="20"/>
        </w:rPr>
        <w:t>进行相应的检验；</w:t>
      </w:r>
    </w:p>
    <w:p w14:paraId="0C60DEB8">
      <w:pPr>
        <w:pStyle w:val="2"/>
        <w:spacing w:before="82" w:line="219" w:lineRule="auto"/>
        <w:ind w:left="1259"/>
        <w:rPr>
          <w:sz w:val="20"/>
          <w:szCs w:val="20"/>
        </w:rPr>
      </w:pPr>
      <w:r>
        <w:rPr>
          <w:spacing w:val="1"/>
          <w:sz w:val="20"/>
          <w:szCs w:val="20"/>
        </w:rPr>
        <w:t>●传输线缆应检查布置位置、防干扰接地质量；</w:t>
      </w:r>
    </w:p>
    <w:p w14:paraId="2D873E9E">
      <w:pPr>
        <w:pStyle w:val="2"/>
        <w:spacing w:before="92" w:line="219" w:lineRule="auto"/>
        <w:ind w:left="1259"/>
        <w:rPr>
          <w:sz w:val="20"/>
          <w:szCs w:val="20"/>
        </w:rPr>
      </w:pPr>
      <w:r>
        <w:rPr>
          <w:spacing w:val="1"/>
          <w:sz w:val="20"/>
          <w:szCs w:val="20"/>
        </w:rPr>
        <w:t>●进线管道的布置位置和施工质量的检查；</w:t>
      </w:r>
    </w:p>
    <w:p w14:paraId="523AC919">
      <w:pPr>
        <w:pStyle w:val="2"/>
        <w:spacing w:before="85" w:line="219" w:lineRule="auto"/>
        <w:ind w:left="1259"/>
        <w:rPr>
          <w:sz w:val="20"/>
          <w:szCs w:val="20"/>
        </w:rPr>
      </w:pPr>
      <w:r>
        <w:rPr>
          <w:spacing w:val="1"/>
          <w:sz w:val="20"/>
          <w:szCs w:val="20"/>
        </w:rPr>
        <w:t>●强弱电线管的走线方式和接地装置质量的检查；</w:t>
      </w:r>
    </w:p>
    <w:p w14:paraId="2DF31309">
      <w:pPr>
        <w:pStyle w:val="2"/>
        <w:spacing w:before="71" w:line="257" w:lineRule="auto"/>
        <w:ind w:left="1538" w:right="7" w:hanging="279"/>
        <w:rPr>
          <w:sz w:val="20"/>
          <w:szCs w:val="20"/>
        </w:rPr>
      </w:pPr>
      <w:r>
        <w:rPr>
          <w:spacing w:val="4"/>
          <w:sz w:val="20"/>
          <w:szCs w:val="20"/>
        </w:rPr>
        <w:t>●通信设备、电气设备是否满足防电磁干扰或抗</w:t>
      </w:r>
      <w:r>
        <w:rPr>
          <w:spacing w:val="3"/>
          <w:sz w:val="20"/>
          <w:szCs w:val="20"/>
        </w:rPr>
        <w:t>电磁干扰性能指标，对达不到防干扰标准</w:t>
      </w:r>
      <w:r>
        <w:rPr>
          <w:sz w:val="20"/>
          <w:szCs w:val="20"/>
        </w:rPr>
        <w:t xml:space="preserve"> </w:t>
      </w:r>
      <w:r>
        <w:rPr>
          <w:spacing w:val="-4"/>
          <w:sz w:val="20"/>
          <w:szCs w:val="20"/>
        </w:rPr>
        <w:t>的设备应采取屏蔽措施；</w:t>
      </w:r>
    </w:p>
    <w:p w14:paraId="34AB54CC">
      <w:pPr>
        <w:pStyle w:val="2"/>
        <w:spacing w:before="94" w:line="219" w:lineRule="auto"/>
        <w:ind w:left="1259"/>
        <w:rPr>
          <w:sz w:val="20"/>
          <w:szCs w:val="20"/>
        </w:rPr>
      </w:pPr>
      <w:r>
        <w:rPr>
          <w:spacing w:val="1"/>
          <w:sz w:val="20"/>
          <w:szCs w:val="20"/>
        </w:rPr>
        <w:t>●通信设备、电气设备的安装位置是否符合设计文件的要求；</w:t>
      </w:r>
    </w:p>
    <w:p w14:paraId="5BD28602">
      <w:pPr>
        <w:pStyle w:val="2"/>
        <w:spacing w:before="72" w:line="219" w:lineRule="auto"/>
        <w:ind w:left="1259"/>
        <w:rPr>
          <w:sz w:val="20"/>
          <w:szCs w:val="20"/>
        </w:rPr>
      </w:pPr>
      <w:r>
        <w:rPr>
          <w:spacing w:val="1"/>
          <w:sz w:val="20"/>
          <w:szCs w:val="20"/>
        </w:rPr>
        <w:t>●相关设备的无线电干扰测试应符合设计规</w:t>
      </w:r>
      <w:r>
        <w:rPr>
          <w:sz w:val="20"/>
          <w:szCs w:val="20"/>
        </w:rPr>
        <w:t>范要求；</w:t>
      </w:r>
    </w:p>
    <w:p w14:paraId="47C388ED">
      <w:pPr>
        <w:pStyle w:val="2"/>
        <w:spacing w:before="94" w:line="219" w:lineRule="auto"/>
        <w:ind w:left="1259"/>
        <w:rPr>
          <w:sz w:val="20"/>
          <w:szCs w:val="20"/>
        </w:rPr>
      </w:pPr>
      <w:r>
        <w:rPr>
          <w:spacing w:val="1"/>
          <w:sz w:val="20"/>
          <w:szCs w:val="20"/>
        </w:rPr>
        <w:t>●相关设备的无线电抗扰度测试应符合设计规范要求；</w:t>
      </w:r>
    </w:p>
    <w:p w14:paraId="2CDAFC1B">
      <w:pPr>
        <w:pStyle w:val="2"/>
        <w:spacing w:before="71" w:line="219" w:lineRule="auto"/>
        <w:ind w:left="1259"/>
        <w:rPr>
          <w:sz w:val="20"/>
          <w:szCs w:val="20"/>
        </w:rPr>
      </w:pPr>
      <w:r>
        <w:rPr>
          <w:spacing w:val="1"/>
          <w:sz w:val="20"/>
          <w:szCs w:val="20"/>
        </w:rPr>
        <w:t>●各类主机房及监控室室内电磁场强的检测；</w:t>
      </w:r>
    </w:p>
    <w:p w14:paraId="3600071C">
      <w:pPr>
        <w:pStyle w:val="2"/>
        <w:spacing w:before="84" w:line="219" w:lineRule="auto"/>
        <w:ind w:left="1259"/>
        <w:rPr>
          <w:sz w:val="20"/>
          <w:szCs w:val="20"/>
        </w:rPr>
      </w:pPr>
      <w:r>
        <w:rPr>
          <w:spacing w:val="-1"/>
          <w:sz w:val="20"/>
          <w:szCs w:val="20"/>
        </w:rPr>
        <w:t>●</w:t>
      </w:r>
      <w:r>
        <w:rPr>
          <w:spacing w:val="50"/>
          <w:sz w:val="20"/>
          <w:szCs w:val="20"/>
        </w:rPr>
        <w:t xml:space="preserve"> </w:t>
      </w:r>
      <w:r>
        <w:rPr>
          <w:spacing w:val="-1"/>
          <w:sz w:val="20"/>
          <w:szCs w:val="20"/>
        </w:rPr>
        <w:t>ITE分级检测指标中准峰值、平均峰值、准峰极限值、</w:t>
      </w:r>
      <w:r>
        <w:rPr>
          <w:spacing w:val="-2"/>
          <w:sz w:val="20"/>
          <w:szCs w:val="20"/>
        </w:rPr>
        <w:t>测量距离的检测。</w:t>
      </w:r>
    </w:p>
    <w:p w14:paraId="4A5F5BA9">
      <w:pPr>
        <w:spacing w:line="219" w:lineRule="auto"/>
        <w:rPr>
          <w:sz w:val="20"/>
          <w:szCs w:val="20"/>
        </w:rPr>
        <w:sectPr>
          <w:pgSz w:w="10300" w:h="13590"/>
          <w:pgMar w:top="400" w:right="1093" w:bottom="400" w:left="0" w:header="0" w:footer="0" w:gutter="0"/>
          <w:cols w:space="720" w:num="1"/>
        </w:sectPr>
      </w:pPr>
    </w:p>
    <w:p w14:paraId="5E5D383B">
      <w:pPr>
        <w:pStyle w:val="2"/>
        <w:jc w:val="right"/>
        <w:rPr>
          <w:rFonts w:ascii="Times New Roman" w:hAnsi="Times New Roman" w:eastAsia="Times New Roman" w:cs="Times New Roman"/>
          <w:sz w:val="16"/>
          <w:szCs w:val="16"/>
        </w:rPr>
      </w:pPr>
      <w:r>
        <w:rPr>
          <w:spacing w:val="-4"/>
          <w:sz w:val="20"/>
          <w:szCs w:val="20"/>
        </w:rPr>
        <w:t>第21章 基础设施工程监理</w:t>
      </w:r>
      <w:r>
        <w:rPr>
          <w:spacing w:val="30"/>
          <w:sz w:val="20"/>
          <w:szCs w:val="20"/>
        </w:rPr>
        <w:t xml:space="preserve"> </w:t>
      </w:r>
      <w:r>
        <w:rPr>
          <w:position w:val="-16"/>
          <w:sz w:val="20"/>
          <w:szCs w:val="20"/>
        </w:rPr>
        <w:drawing>
          <wp:inline distT="0" distB="0" distL="0" distR="0">
            <wp:extent cx="311150" cy="266065"/>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310"/>
                    <a:stretch>
                      <a:fillRect/>
                    </a:stretch>
                  </pic:blipFill>
                  <pic:spPr>
                    <a:xfrm>
                      <a:off x="0" y="0"/>
                      <a:ext cx="311156" cy="266677"/>
                    </a:xfrm>
                    <a:prstGeom prst="rect">
                      <a:avLst/>
                    </a:prstGeom>
                  </pic:spPr>
                </pic:pic>
              </a:graphicData>
            </a:graphic>
          </wp:inline>
        </w:drawing>
      </w:r>
      <w:r>
        <w:rPr>
          <w:rFonts w:ascii="Times New Roman" w:hAnsi="Times New Roman" w:eastAsia="Times New Roman" w:cs="Times New Roman"/>
          <w:spacing w:val="-4"/>
          <w:sz w:val="16"/>
          <w:szCs w:val="16"/>
        </w:rPr>
        <w:t>499</w:t>
      </w:r>
    </w:p>
    <w:p w14:paraId="138E04C9">
      <w:pPr>
        <w:pStyle w:val="2"/>
        <w:spacing w:before="268" w:line="219" w:lineRule="auto"/>
        <w:ind w:left="399"/>
        <w:rPr>
          <w:sz w:val="20"/>
          <w:szCs w:val="20"/>
        </w:rPr>
      </w:pPr>
      <w:bookmarkStart w:id="727" w:name="bookmark712"/>
      <w:bookmarkEnd w:id="727"/>
      <w:r>
        <w:rPr>
          <w:spacing w:val="1"/>
          <w:sz w:val="20"/>
          <w:szCs w:val="20"/>
        </w:rPr>
        <w:t>(3)室内空气环境的监理要点。具体包括：</w:t>
      </w:r>
    </w:p>
    <w:p w14:paraId="7BDD89DD">
      <w:pPr>
        <w:pStyle w:val="2"/>
        <w:spacing w:before="71" w:line="263" w:lineRule="auto"/>
        <w:ind w:left="678" w:right="265" w:hanging="279"/>
        <w:rPr>
          <w:sz w:val="20"/>
          <w:szCs w:val="20"/>
        </w:rPr>
      </w:pPr>
      <w:r>
        <w:rPr>
          <w:spacing w:val="4"/>
          <w:sz w:val="20"/>
          <w:szCs w:val="20"/>
        </w:rPr>
        <w:t>●室内空气洁净度和有害气体的检验检测，其检验检测结果</w:t>
      </w:r>
      <w:r>
        <w:rPr>
          <w:spacing w:val="3"/>
          <w:sz w:val="20"/>
          <w:szCs w:val="20"/>
        </w:rPr>
        <w:t>应符合</w:t>
      </w:r>
      <w:r>
        <w:rPr>
          <w:sz w:val="20"/>
          <w:szCs w:val="20"/>
        </w:rPr>
        <w:t>GB</w:t>
      </w:r>
      <w:r>
        <w:rPr>
          <w:spacing w:val="3"/>
          <w:sz w:val="20"/>
          <w:szCs w:val="20"/>
        </w:rPr>
        <w:t>/T</w:t>
      </w:r>
      <w:r>
        <w:rPr>
          <w:spacing w:val="85"/>
          <w:sz w:val="20"/>
          <w:szCs w:val="20"/>
        </w:rPr>
        <w:t xml:space="preserve"> </w:t>
      </w:r>
      <w:r>
        <w:rPr>
          <w:spacing w:val="3"/>
          <w:sz w:val="20"/>
          <w:szCs w:val="20"/>
        </w:rPr>
        <w:t>2887《计算机场</w:t>
      </w:r>
      <w:r>
        <w:rPr>
          <w:sz w:val="20"/>
          <w:szCs w:val="20"/>
        </w:rPr>
        <w:t xml:space="preserve"> </w:t>
      </w:r>
      <w:r>
        <w:rPr>
          <w:spacing w:val="-5"/>
          <w:sz w:val="20"/>
          <w:szCs w:val="20"/>
        </w:rPr>
        <w:t>地通用规范》的规定；</w:t>
      </w:r>
    </w:p>
    <w:p w14:paraId="38DA595D">
      <w:pPr>
        <w:pStyle w:val="2"/>
        <w:spacing w:before="101" w:line="219" w:lineRule="auto"/>
        <w:ind w:left="399"/>
        <w:rPr>
          <w:sz w:val="20"/>
          <w:szCs w:val="20"/>
        </w:rPr>
      </w:pPr>
      <w:r>
        <w:rPr>
          <w:sz w:val="20"/>
          <w:szCs w:val="20"/>
        </w:rPr>
        <w:t>●室内通风条件和换气条件检查验收；</w:t>
      </w:r>
    </w:p>
    <w:p w14:paraId="0BE7DEAC">
      <w:pPr>
        <w:pStyle w:val="2"/>
        <w:spacing w:before="72" w:line="219" w:lineRule="auto"/>
        <w:ind w:left="399"/>
        <w:rPr>
          <w:sz w:val="20"/>
          <w:szCs w:val="20"/>
        </w:rPr>
      </w:pPr>
      <w:r>
        <w:rPr>
          <w:sz w:val="20"/>
          <w:szCs w:val="20"/>
        </w:rPr>
        <w:t>●室内温、湿度条件的检查验收；</w:t>
      </w:r>
    </w:p>
    <w:p w14:paraId="346173E1">
      <w:pPr>
        <w:pStyle w:val="2"/>
        <w:spacing w:before="92" w:line="219" w:lineRule="auto"/>
        <w:ind w:left="399"/>
        <w:rPr>
          <w:sz w:val="20"/>
          <w:szCs w:val="20"/>
        </w:rPr>
      </w:pPr>
      <w:r>
        <w:rPr>
          <w:sz w:val="20"/>
          <w:szCs w:val="20"/>
        </w:rPr>
        <w:t>●室内风速的检查验收；</w:t>
      </w:r>
    </w:p>
    <w:p w14:paraId="52944E21">
      <w:pPr>
        <w:pStyle w:val="2"/>
        <w:spacing w:before="91" w:line="218" w:lineRule="auto"/>
        <w:ind w:left="399"/>
        <w:rPr>
          <w:sz w:val="20"/>
          <w:szCs w:val="20"/>
        </w:rPr>
      </w:pPr>
      <w:r>
        <w:rPr>
          <w:spacing w:val="1"/>
          <w:sz w:val="20"/>
          <w:szCs w:val="20"/>
        </w:rPr>
        <w:t>●相应检查验收、检验测量的书面报告的检查复核。</w:t>
      </w:r>
    </w:p>
    <w:p w14:paraId="47930753">
      <w:pPr>
        <w:pStyle w:val="2"/>
        <w:spacing w:before="96" w:line="248" w:lineRule="auto"/>
        <w:ind w:right="264" w:firstLine="399"/>
        <w:rPr>
          <w:sz w:val="20"/>
          <w:szCs w:val="20"/>
        </w:rPr>
      </w:pPr>
      <w:r>
        <w:rPr>
          <w:spacing w:val="6"/>
          <w:sz w:val="20"/>
          <w:szCs w:val="20"/>
        </w:rPr>
        <w:t>(4)室内照明的监理要点。照度质量验收应包括以下内容：照度水平、</w:t>
      </w:r>
      <w:r>
        <w:rPr>
          <w:spacing w:val="5"/>
          <w:sz w:val="20"/>
          <w:szCs w:val="20"/>
        </w:rPr>
        <w:t>亮度分布、照度均</w:t>
      </w:r>
      <w:r>
        <w:rPr>
          <w:sz w:val="20"/>
          <w:szCs w:val="20"/>
        </w:rPr>
        <w:t xml:space="preserve"> </w:t>
      </w:r>
      <w:r>
        <w:rPr>
          <w:spacing w:val="-2"/>
          <w:sz w:val="20"/>
          <w:szCs w:val="20"/>
        </w:rPr>
        <w:t>匀度、阴影、眩光控制、颜色和照度稳定性。</w:t>
      </w:r>
    </w:p>
    <w:p w14:paraId="1ACCA291">
      <w:pPr>
        <w:pStyle w:val="2"/>
        <w:spacing w:before="83" w:line="219" w:lineRule="auto"/>
        <w:ind w:left="399"/>
        <w:rPr>
          <w:sz w:val="20"/>
          <w:szCs w:val="20"/>
        </w:rPr>
      </w:pPr>
      <w:r>
        <w:rPr>
          <w:spacing w:val="1"/>
          <w:sz w:val="20"/>
          <w:szCs w:val="20"/>
        </w:rPr>
        <w:t>(5)室内噪声环境的监理要点。具体包括：</w:t>
      </w:r>
    </w:p>
    <w:p w14:paraId="6033D98B">
      <w:pPr>
        <w:pStyle w:val="2"/>
        <w:spacing w:before="82" w:line="219" w:lineRule="auto"/>
        <w:ind w:left="399"/>
        <w:rPr>
          <w:sz w:val="20"/>
          <w:szCs w:val="20"/>
        </w:rPr>
      </w:pPr>
      <w:r>
        <w:rPr>
          <w:spacing w:val="1"/>
          <w:sz w:val="20"/>
          <w:szCs w:val="20"/>
        </w:rPr>
        <w:t>●降低噪声，防止噪声扩散的措施检查验收；</w:t>
      </w:r>
    </w:p>
    <w:p w14:paraId="19B3200B">
      <w:pPr>
        <w:pStyle w:val="2"/>
        <w:spacing w:before="82" w:line="219" w:lineRule="auto"/>
        <w:ind w:left="399"/>
        <w:rPr>
          <w:sz w:val="20"/>
          <w:szCs w:val="20"/>
        </w:rPr>
      </w:pPr>
      <w:r>
        <w:rPr>
          <w:spacing w:val="1"/>
          <w:sz w:val="20"/>
          <w:szCs w:val="20"/>
        </w:rPr>
        <w:t>●建筑布局和设备安装位置对噪声控制的影响以及处理措施的检</w:t>
      </w:r>
      <w:r>
        <w:rPr>
          <w:sz w:val="20"/>
          <w:szCs w:val="20"/>
        </w:rPr>
        <w:t>查验收；</w:t>
      </w:r>
    </w:p>
    <w:p w14:paraId="215F11AE">
      <w:pPr>
        <w:pStyle w:val="2"/>
        <w:spacing w:before="94" w:line="219" w:lineRule="auto"/>
        <w:ind w:left="399"/>
        <w:rPr>
          <w:sz w:val="20"/>
          <w:szCs w:val="20"/>
        </w:rPr>
      </w:pPr>
      <w:r>
        <w:rPr>
          <w:sz w:val="20"/>
          <w:szCs w:val="20"/>
        </w:rPr>
        <w:t>●高噪声环境中的特殊措施的检查验收；</w:t>
      </w:r>
    </w:p>
    <w:p w14:paraId="75C48BB5">
      <w:pPr>
        <w:pStyle w:val="2"/>
        <w:spacing w:before="91" w:line="219" w:lineRule="auto"/>
        <w:ind w:left="399"/>
        <w:rPr>
          <w:sz w:val="20"/>
          <w:szCs w:val="20"/>
        </w:rPr>
      </w:pPr>
      <w:r>
        <w:rPr>
          <w:sz w:val="20"/>
          <w:szCs w:val="20"/>
        </w:rPr>
        <w:t>●隔绝材料和隔绝措施的质量验收；</w:t>
      </w:r>
    </w:p>
    <w:p w14:paraId="14D41ECA">
      <w:pPr>
        <w:pStyle w:val="2"/>
        <w:spacing w:before="74" w:line="219" w:lineRule="auto"/>
        <w:ind w:left="399"/>
        <w:rPr>
          <w:sz w:val="20"/>
          <w:szCs w:val="20"/>
        </w:rPr>
      </w:pPr>
      <w:r>
        <w:rPr>
          <w:spacing w:val="2"/>
          <w:sz w:val="20"/>
          <w:szCs w:val="20"/>
        </w:rPr>
        <w:t>●室内噪声控制测试控制值应满足相应规范和设</w:t>
      </w:r>
      <w:r>
        <w:rPr>
          <w:spacing w:val="1"/>
          <w:sz w:val="20"/>
          <w:szCs w:val="20"/>
        </w:rPr>
        <w:t>计技术要求。</w:t>
      </w:r>
    </w:p>
    <w:p w14:paraId="53104EBF">
      <w:pPr>
        <w:spacing w:before="76" w:line="307" w:lineRule="auto"/>
        <w:ind w:right="243" w:firstLine="299"/>
        <w:jc w:val="both"/>
        <w:rPr>
          <w:rFonts w:ascii="楷体" w:hAnsi="楷体" w:eastAsia="楷体" w:cs="楷体"/>
          <w:sz w:val="16"/>
          <w:szCs w:val="16"/>
        </w:rPr>
      </w:pPr>
      <w:r>
        <w:rPr>
          <w:rFonts w:ascii="黑体" w:hAnsi="黑体" w:eastAsia="黑体" w:cs="黑体"/>
          <w:spacing w:val="4"/>
          <w:sz w:val="20"/>
          <w:szCs w:val="20"/>
        </w:rPr>
        <w:t>【案例6】</w:t>
      </w:r>
      <w:r>
        <w:rPr>
          <w:rFonts w:ascii="楷体" w:hAnsi="楷体" w:eastAsia="楷体" w:cs="楷体"/>
          <w:spacing w:val="4"/>
          <w:sz w:val="20"/>
          <w:szCs w:val="20"/>
        </w:rPr>
        <w:t>某监理单位受业主单位委托，负责对网络机房建设项目进行监</w:t>
      </w:r>
      <w:r>
        <w:rPr>
          <w:rFonts w:ascii="楷体" w:hAnsi="楷体" w:eastAsia="楷体" w:cs="楷体"/>
          <w:spacing w:val="3"/>
          <w:sz w:val="20"/>
          <w:szCs w:val="20"/>
        </w:rPr>
        <w:t>理，该项目建设内</w:t>
      </w:r>
      <w:r>
        <w:rPr>
          <w:rFonts w:ascii="楷体" w:hAnsi="楷体" w:eastAsia="楷体" w:cs="楷体"/>
          <w:sz w:val="20"/>
          <w:szCs w:val="20"/>
        </w:rPr>
        <w:t xml:space="preserve"> </w:t>
      </w:r>
      <w:r>
        <w:rPr>
          <w:rFonts w:ascii="楷体" w:hAnsi="楷体" w:eastAsia="楷体" w:cs="楷体"/>
          <w:spacing w:val="3"/>
          <w:sz w:val="20"/>
          <w:szCs w:val="20"/>
        </w:rPr>
        <w:t>容中包含环境系统工程。结合项目经验，总监理工程师要求监理人员在项目实施过程中注意以</w:t>
      </w:r>
      <w:r>
        <w:rPr>
          <w:rFonts w:ascii="楷体" w:hAnsi="楷体" w:eastAsia="楷体" w:cs="楷体"/>
          <w:spacing w:val="13"/>
          <w:sz w:val="20"/>
          <w:szCs w:val="20"/>
        </w:rPr>
        <w:t xml:space="preserve"> </w:t>
      </w:r>
      <w:r>
        <w:rPr>
          <w:rFonts w:ascii="楷体" w:hAnsi="楷体" w:eastAsia="楷体" w:cs="楷体"/>
          <w:spacing w:val="20"/>
          <w:sz w:val="16"/>
          <w:szCs w:val="16"/>
        </w:rPr>
        <w:t>下事项</w:t>
      </w:r>
      <w:r>
        <w:rPr>
          <w:rFonts w:ascii="楷体" w:hAnsi="楷体" w:eastAsia="楷体" w:cs="楷体"/>
          <w:spacing w:val="-32"/>
          <w:sz w:val="16"/>
          <w:szCs w:val="16"/>
        </w:rPr>
        <w:t xml:space="preserve"> </w:t>
      </w:r>
      <w:r>
        <w:rPr>
          <w:rFonts w:ascii="楷体" w:hAnsi="楷体" w:eastAsia="楷体" w:cs="楷体"/>
          <w:spacing w:val="20"/>
          <w:sz w:val="16"/>
          <w:szCs w:val="16"/>
        </w:rPr>
        <w:t>：</w:t>
      </w:r>
    </w:p>
    <w:p w14:paraId="292F81B1">
      <w:pPr>
        <w:spacing w:before="17" w:line="257" w:lineRule="auto"/>
        <w:ind w:right="276" w:firstLine="399"/>
        <w:rPr>
          <w:rFonts w:ascii="楷体" w:hAnsi="楷体" w:eastAsia="楷体" w:cs="楷体"/>
          <w:sz w:val="20"/>
          <w:szCs w:val="20"/>
        </w:rPr>
      </w:pPr>
      <w:r>
        <w:rPr>
          <w:rFonts w:ascii="楷体" w:hAnsi="楷体" w:eastAsia="楷体" w:cs="楷体"/>
          <w:spacing w:val="6"/>
          <w:sz w:val="20"/>
          <w:szCs w:val="20"/>
        </w:rPr>
        <w:t>(1)装修工程施工完成后，可委托空气质</w:t>
      </w:r>
      <w:r>
        <w:rPr>
          <w:rFonts w:ascii="楷体" w:hAnsi="楷体" w:eastAsia="楷体" w:cs="楷体"/>
          <w:spacing w:val="5"/>
          <w:sz w:val="20"/>
          <w:szCs w:val="20"/>
        </w:rPr>
        <w:t>量测试机构开展空气质量监测，若空气质量不达</w:t>
      </w:r>
      <w:r>
        <w:rPr>
          <w:rFonts w:ascii="楷体" w:hAnsi="楷体" w:eastAsia="楷体" w:cs="楷体"/>
          <w:sz w:val="20"/>
          <w:szCs w:val="20"/>
        </w:rPr>
        <w:t xml:space="preserve"> </w:t>
      </w:r>
      <w:r>
        <w:rPr>
          <w:rFonts w:ascii="楷体" w:hAnsi="楷体" w:eastAsia="楷体" w:cs="楷体"/>
          <w:spacing w:val="-4"/>
          <w:sz w:val="20"/>
          <w:szCs w:val="20"/>
        </w:rPr>
        <w:t>标可开展空气污染物处理；</w:t>
      </w:r>
    </w:p>
    <w:p w14:paraId="607F44E4">
      <w:pPr>
        <w:spacing w:before="64" w:line="220" w:lineRule="auto"/>
        <w:ind w:left="399"/>
        <w:rPr>
          <w:rFonts w:ascii="楷体" w:hAnsi="楷体" w:eastAsia="楷体" w:cs="楷体"/>
          <w:sz w:val="20"/>
          <w:szCs w:val="20"/>
        </w:rPr>
      </w:pPr>
      <w:r>
        <w:rPr>
          <w:rFonts w:ascii="楷体" w:hAnsi="楷体" w:eastAsia="楷体" w:cs="楷体"/>
          <w:spacing w:val="2"/>
          <w:sz w:val="20"/>
          <w:szCs w:val="20"/>
        </w:rPr>
        <w:t>(2)墙面刷漆需掌握刷漆间隔时间，每次刷漆需漆干后才可继续刷漆。</w:t>
      </w:r>
    </w:p>
    <w:p w14:paraId="4E1C60D1">
      <w:pPr>
        <w:pStyle w:val="2"/>
        <w:spacing w:before="238" w:line="219" w:lineRule="auto"/>
        <w:ind w:left="2"/>
        <w:rPr>
          <w:sz w:val="25"/>
          <w:szCs w:val="25"/>
        </w:rPr>
      </w:pPr>
      <w:r>
        <w:rPr>
          <w:b/>
          <w:bCs/>
          <w:color w:val="0066CD"/>
          <w:spacing w:val="-18"/>
          <w:sz w:val="25"/>
          <w:szCs w:val="25"/>
        </w:rPr>
        <w:t>21.6.5</w:t>
      </w:r>
      <w:r>
        <w:rPr>
          <w:color w:val="0066CD"/>
          <w:spacing w:val="101"/>
          <w:sz w:val="25"/>
          <w:szCs w:val="25"/>
        </w:rPr>
        <w:t xml:space="preserve"> </w:t>
      </w:r>
      <w:r>
        <w:rPr>
          <w:b/>
          <w:bCs/>
          <w:color w:val="0066CD"/>
          <w:spacing w:val="-18"/>
          <w:sz w:val="25"/>
          <w:szCs w:val="25"/>
        </w:rPr>
        <w:t>动力环境监控系统工程</w:t>
      </w:r>
    </w:p>
    <w:p w14:paraId="17323D5B">
      <w:pPr>
        <w:pStyle w:val="2"/>
        <w:spacing w:before="166" w:line="277" w:lineRule="auto"/>
        <w:ind w:right="268" w:firstLine="399"/>
        <w:jc w:val="both"/>
        <w:rPr>
          <w:sz w:val="20"/>
          <w:szCs w:val="20"/>
        </w:rPr>
      </w:pPr>
      <w:r>
        <w:rPr>
          <w:spacing w:val="3"/>
          <w:sz w:val="20"/>
          <w:szCs w:val="20"/>
        </w:rPr>
        <w:t>动力环境监控系统工程是指以保障设备正常运行为目的，通过运用相关数据监测手段，对</w:t>
      </w:r>
      <w:r>
        <w:rPr>
          <w:spacing w:val="10"/>
          <w:sz w:val="20"/>
          <w:szCs w:val="20"/>
        </w:rPr>
        <w:t xml:space="preserve"> </w:t>
      </w:r>
      <w:r>
        <w:rPr>
          <w:spacing w:val="3"/>
          <w:sz w:val="20"/>
          <w:szCs w:val="20"/>
        </w:rPr>
        <w:t>电子设备机房内的各高低压供电设备、通信电源、空调系统运行状态，以及电子设备机房环境</w:t>
      </w:r>
      <w:r>
        <w:rPr>
          <w:spacing w:val="4"/>
          <w:sz w:val="20"/>
          <w:szCs w:val="20"/>
        </w:rPr>
        <w:t xml:space="preserve"> </w:t>
      </w:r>
      <w:r>
        <w:rPr>
          <w:spacing w:val="-2"/>
          <w:sz w:val="20"/>
          <w:szCs w:val="20"/>
        </w:rPr>
        <w:t>的温度、湿度和漏水等情况进行监控的综合系</w:t>
      </w:r>
      <w:r>
        <w:rPr>
          <w:spacing w:val="-3"/>
          <w:sz w:val="20"/>
          <w:szCs w:val="20"/>
        </w:rPr>
        <w:t>统工程。</w:t>
      </w:r>
    </w:p>
    <w:p w14:paraId="53999490">
      <w:pPr>
        <w:pStyle w:val="2"/>
        <w:spacing w:before="30" w:line="271" w:lineRule="auto"/>
        <w:ind w:right="177" w:firstLine="399"/>
        <w:jc w:val="both"/>
        <w:rPr>
          <w:sz w:val="20"/>
          <w:szCs w:val="20"/>
        </w:rPr>
      </w:pPr>
      <w:r>
        <w:rPr>
          <w:spacing w:val="4"/>
          <w:sz w:val="20"/>
          <w:szCs w:val="20"/>
        </w:rPr>
        <w:t>动力环境监控系统是采用数据采集技术、计算</w:t>
      </w:r>
      <w:r>
        <w:rPr>
          <w:spacing w:val="3"/>
          <w:sz w:val="20"/>
          <w:szCs w:val="20"/>
        </w:rPr>
        <w:t>机技术和网络技术，以有效提高通信电源系</w:t>
      </w:r>
      <w:r>
        <w:rPr>
          <w:sz w:val="20"/>
          <w:szCs w:val="20"/>
        </w:rPr>
        <w:t xml:space="preserve">  </w:t>
      </w:r>
      <w:r>
        <w:rPr>
          <w:spacing w:val="3"/>
          <w:sz w:val="20"/>
          <w:szCs w:val="20"/>
        </w:rPr>
        <w:t>统、机房空调系统及环境维护质量的先进手段。对分布的各个独立的动力设备和机房环境监控</w:t>
      </w:r>
      <w:r>
        <w:rPr>
          <w:spacing w:val="2"/>
          <w:sz w:val="20"/>
          <w:szCs w:val="20"/>
        </w:rPr>
        <w:t xml:space="preserve">  </w:t>
      </w:r>
      <w:r>
        <w:rPr>
          <w:spacing w:val="3"/>
          <w:sz w:val="20"/>
          <w:szCs w:val="20"/>
        </w:rPr>
        <w:t>对象进行遥测、遥信等采集，实时监视系统和设备的运行状态，记录和处理相关数据，及时侦</w:t>
      </w:r>
      <w:r>
        <w:rPr>
          <w:spacing w:val="4"/>
          <w:sz w:val="20"/>
          <w:szCs w:val="20"/>
        </w:rPr>
        <w:t xml:space="preserve">  </w:t>
      </w:r>
      <w:r>
        <w:rPr>
          <w:spacing w:val="8"/>
          <w:sz w:val="20"/>
          <w:szCs w:val="20"/>
        </w:rPr>
        <w:t>测故障，并做必要的遥控操作，适时通知人员处理。实现机房的少人/</w:t>
      </w:r>
      <w:r>
        <w:rPr>
          <w:spacing w:val="7"/>
          <w:sz w:val="20"/>
          <w:szCs w:val="20"/>
        </w:rPr>
        <w:t>无人值守，以及电源、</w:t>
      </w:r>
      <w:r>
        <w:rPr>
          <w:sz w:val="20"/>
          <w:szCs w:val="20"/>
        </w:rPr>
        <w:t xml:space="preserve"> </w:t>
      </w:r>
      <w:r>
        <w:rPr>
          <w:spacing w:val="-1"/>
          <w:sz w:val="20"/>
          <w:szCs w:val="20"/>
        </w:rPr>
        <w:t>空调的集中监控维护管理，提高供电系统的可靠</w:t>
      </w:r>
      <w:r>
        <w:rPr>
          <w:spacing w:val="-2"/>
          <w:sz w:val="20"/>
          <w:szCs w:val="20"/>
        </w:rPr>
        <w:t>性和通信设备的安全性。</w:t>
      </w:r>
    </w:p>
    <w:p w14:paraId="1C16BFB7">
      <w:pPr>
        <w:pStyle w:val="2"/>
        <w:spacing w:before="60" w:line="219" w:lineRule="auto"/>
        <w:ind w:left="399"/>
        <w:rPr>
          <w:sz w:val="20"/>
          <w:szCs w:val="20"/>
        </w:rPr>
      </w:pPr>
      <w:r>
        <w:rPr>
          <w:spacing w:val="-3"/>
          <w:sz w:val="20"/>
          <w:szCs w:val="20"/>
        </w:rPr>
        <w:t>动力环境监控系统的监测对象分为以下几类：</w:t>
      </w:r>
    </w:p>
    <w:p w14:paraId="3E726ED5">
      <w:pPr>
        <w:pStyle w:val="2"/>
        <w:spacing w:before="63" w:line="257" w:lineRule="auto"/>
        <w:ind w:right="268" w:firstLine="399"/>
        <w:rPr>
          <w:sz w:val="20"/>
          <w:szCs w:val="20"/>
        </w:rPr>
      </w:pPr>
      <w:r>
        <w:rPr>
          <w:spacing w:val="2"/>
          <w:sz w:val="20"/>
          <w:szCs w:val="20"/>
        </w:rPr>
        <w:t>(1)动力系统：交流供电系统，包括高低压配电、列头柜、</w:t>
      </w:r>
      <w:r>
        <w:rPr>
          <w:sz w:val="20"/>
          <w:szCs w:val="20"/>
        </w:rPr>
        <w:t>UPS</w:t>
      </w:r>
      <w:r>
        <w:rPr>
          <w:spacing w:val="2"/>
          <w:sz w:val="20"/>
          <w:szCs w:val="20"/>
        </w:rPr>
        <w:t>、</w:t>
      </w:r>
      <w:r>
        <w:rPr>
          <w:sz w:val="20"/>
          <w:szCs w:val="20"/>
        </w:rPr>
        <w:t>ATS</w:t>
      </w:r>
      <w:r>
        <w:rPr>
          <w:spacing w:val="1"/>
          <w:sz w:val="20"/>
          <w:szCs w:val="20"/>
        </w:rPr>
        <w:t>、</w:t>
      </w:r>
      <w:r>
        <w:rPr>
          <w:spacing w:val="63"/>
          <w:sz w:val="20"/>
          <w:szCs w:val="20"/>
        </w:rPr>
        <w:t xml:space="preserve"> </w:t>
      </w:r>
      <w:r>
        <w:rPr>
          <w:spacing w:val="1"/>
          <w:sz w:val="20"/>
          <w:szCs w:val="20"/>
        </w:rPr>
        <w:t>柴油发电机、稳压</w:t>
      </w:r>
      <w:r>
        <w:rPr>
          <w:sz w:val="20"/>
          <w:szCs w:val="20"/>
        </w:rPr>
        <w:t xml:space="preserve"> </w:t>
      </w:r>
      <w:r>
        <w:rPr>
          <w:spacing w:val="-1"/>
          <w:sz w:val="20"/>
          <w:szCs w:val="20"/>
        </w:rPr>
        <w:t>器、逆变器等；直流供电系统，包括整流电源</w:t>
      </w:r>
      <w:r>
        <w:rPr>
          <w:spacing w:val="-2"/>
          <w:sz w:val="20"/>
          <w:szCs w:val="20"/>
        </w:rPr>
        <w:t>、逆变器、蓄电池组、</w:t>
      </w:r>
      <w:r>
        <w:rPr>
          <w:rFonts w:ascii="Times New Roman" w:hAnsi="Times New Roman" w:eastAsia="Times New Roman" w:cs="Times New Roman"/>
          <w:spacing w:val="-2"/>
          <w:sz w:val="20"/>
          <w:szCs w:val="20"/>
        </w:rPr>
        <w:t>DC/DC</w:t>
      </w:r>
      <w:r>
        <w:rPr>
          <w:rFonts w:ascii="Times New Roman" w:hAnsi="Times New Roman" w:eastAsia="Times New Roman" w:cs="Times New Roman"/>
          <w:spacing w:val="13"/>
          <w:sz w:val="20"/>
          <w:szCs w:val="20"/>
        </w:rPr>
        <w:t xml:space="preserve"> </w:t>
      </w:r>
      <w:r>
        <w:rPr>
          <w:spacing w:val="-2"/>
          <w:sz w:val="20"/>
          <w:szCs w:val="20"/>
        </w:rPr>
        <w:t>变换电源等；</w:t>
      </w:r>
    </w:p>
    <w:p w14:paraId="477D7A06">
      <w:pPr>
        <w:pStyle w:val="2"/>
        <w:spacing w:before="64" w:line="219" w:lineRule="auto"/>
        <w:ind w:left="399"/>
        <w:rPr>
          <w:sz w:val="20"/>
          <w:szCs w:val="20"/>
        </w:rPr>
      </w:pPr>
      <w:r>
        <w:rPr>
          <w:spacing w:val="2"/>
          <w:sz w:val="20"/>
          <w:szCs w:val="20"/>
        </w:rPr>
        <w:t>(2)环境系统：温湿度、水浸、液位、消防等；</w:t>
      </w:r>
    </w:p>
    <w:p w14:paraId="315E979E">
      <w:pPr>
        <w:pStyle w:val="2"/>
        <w:spacing w:before="81" w:line="219" w:lineRule="auto"/>
        <w:ind w:left="399"/>
        <w:rPr>
          <w:sz w:val="20"/>
          <w:szCs w:val="20"/>
        </w:rPr>
      </w:pPr>
      <w:r>
        <w:rPr>
          <w:spacing w:val="2"/>
          <w:sz w:val="20"/>
          <w:szCs w:val="20"/>
        </w:rPr>
        <w:t>(3)空调及节能系统：普通空调、精密空调、大型冷水机组、新</w:t>
      </w:r>
      <w:r>
        <w:rPr>
          <w:spacing w:val="1"/>
          <w:sz w:val="20"/>
          <w:szCs w:val="20"/>
        </w:rPr>
        <w:t>风系统、照明控制等；</w:t>
      </w:r>
    </w:p>
    <w:p w14:paraId="52CD6AC5">
      <w:pPr>
        <w:spacing w:line="219" w:lineRule="auto"/>
        <w:rPr>
          <w:sz w:val="20"/>
          <w:szCs w:val="20"/>
        </w:rPr>
        <w:sectPr>
          <w:pgSz w:w="10290" w:h="13290"/>
          <w:pgMar w:top="360" w:right="592" w:bottom="400" w:left="1100" w:header="0" w:footer="0" w:gutter="0"/>
          <w:cols w:space="720" w:num="1"/>
        </w:sectPr>
      </w:pPr>
    </w:p>
    <w:p w14:paraId="0AAFE1CF">
      <w:pPr>
        <w:pStyle w:val="2"/>
        <w:spacing w:before="67" w:line="219" w:lineRule="auto"/>
        <w:rPr>
          <w:sz w:val="19"/>
          <w:szCs w:val="19"/>
        </w:rPr>
      </w:pPr>
      <w:r>
        <w:rPr>
          <w:rFonts w:ascii="Times New Roman" w:hAnsi="Times New Roman" w:eastAsia="Times New Roman" w:cs="Times New Roman"/>
          <w:spacing w:val="4"/>
          <w:sz w:val="19"/>
          <w:szCs w:val="19"/>
        </w:rPr>
        <w:t>500</w:t>
      </w:r>
      <w:r>
        <w:rPr>
          <w:rFonts w:ascii="Times New Roman" w:hAnsi="Times New Roman" w:eastAsia="Times New Roman" w:cs="Times New Roman"/>
          <w:spacing w:val="1"/>
          <w:sz w:val="19"/>
          <w:szCs w:val="19"/>
        </w:rPr>
        <w:t xml:space="preserve">              </w:t>
      </w:r>
      <w:r>
        <w:rPr>
          <w:spacing w:val="4"/>
          <w:sz w:val="19"/>
          <w:szCs w:val="19"/>
        </w:rPr>
        <w:t>信息系统监理师教程(第2版)</w:t>
      </w:r>
    </w:p>
    <w:p w14:paraId="276DC242">
      <w:pPr>
        <w:spacing w:line="340" w:lineRule="auto"/>
        <w:rPr>
          <w:rFonts w:ascii="Arial"/>
          <w:sz w:val="21"/>
        </w:rPr>
      </w:pPr>
    </w:p>
    <w:p w14:paraId="62F63EB0">
      <w:pPr>
        <w:pStyle w:val="2"/>
        <w:spacing w:before="62" w:line="219" w:lineRule="auto"/>
        <w:ind w:left="739"/>
        <w:rPr>
          <w:sz w:val="19"/>
          <w:szCs w:val="19"/>
        </w:rPr>
      </w:pPr>
      <w:r>
        <w:rPr>
          <w:spacing w:val="7"/>
          <w:sz w:val="19"/>
          <w:szCs w:val="19"/>
        </w:rPr>
        <w:t>(4)安保系统：门禁管理、视频监控、入侵防盗、</w:t>
      </w:r>
      <w:r>
        <w:rPr>
          <w:spacing w:val="-25"/>
          <w:sz w:val="19"/>
          <w:szCs w:val="19"/>
        </w:rPr>
        <w:t xml:space="preserve"> </w:t>
      </w:r>
      <w:r>
        <w:rPr>
          <w:rFonts w:ascii="Times New Roman" w:hAnsi="Times New Roman" w:eastAsia="Times New Roman" w:cs="Times New Roman"/>
          <w:sz w:val="19"/>
          <w:szCs w:val="19"/>
        </w:rPr>
        <w:t>IP</w:t>
      </w:r>
      <w:r>
        <w:rPr>
          <w:rFonts w:ascii="Times New Roman" w:hAnsi="Times New Roman" w:eastAsia="Times New Roman" w:cs="Times New Roman"/>
          <w:spacing w:val="18"/>
          <w:w w:val="101"/>
          <w:sz w:val="19"/>
          <w:szCs w:val="19"/>
        </w:rPr>
        <w:t xml:space="preserve"> </w:t>
      </w:r>
      <w:r>
        <w:rPr>
          <w:spacing w:val="6"/>
          <w:sz w:val="19"/>
          <w:szCs w:val="19"/>
        </w:rPr>
        <w:t>对讲等；</w:t>
      </w:r>
    </w:p>
    <w:p w14:paraId="080B6A63">
      <w:pPr>
        <w:pStyle w:val="2"/>
        <w:spacing w:before="73" w:line="212" w:lineRule="auto"/>
        <w:ind w:left="739"/>
        <w:rPr>
          <w:sz w:val="19"/>
          <w:szCs w:val="19"/>
        </w:rPr>
      </w:pPr>
      <w:r>
        <w:rPr>
          <w:rFonts w:ascii="Times New Roman" w:hAnsi="Times New Roman" w:eastAsia="Times New Roman" w:cs="Times New Roman"/>
          <w:spacing w:val="8"/>
          <w:sz w:val="19"/>
          <w:szCs w:val="19"/>
        </w:rPr>
        <w:t>(5)</w:t>
      </w:r>
      <w:r>
        <w:rPr>
          <w:rFonts w:ascii="Times New Roman" w:hAnsi="Times New Roman" w:eastAsia="Times New Roman" w:cs="Times New Roman"/>
          <w:sz w:val="19"/>
          <w:szCs w:val="19"/>
        </w:rPr>
        <w:t>IT</w:t>
      </w:r>
      <w:r>
        <w:rPr>
          <w:rFonts w:ascii="Times New Roman" w:hAnsi="Times New Roman" w:eastAsia="Times New Roman" w:cs="Times New Roman"/>
          <w:spacing w:val="8"/>
          <w:sz w:val="19"/>
          <w:szCs w:val="19"/>
        </w:rPr>
        <w:t xml:space="preserve">    </w:t>
      </w:r>
      <w:r>
        <w:rPr>
          <w:spacing w:val="8"/>
          <w:sz w:val="19"/>
          <w:szCs w:val="19"/>
        </w:rPr>
        <w:t>系统：服务器、路由器、交</w:t>
      </w:r>
      <w:r>
        <w:rPr>
          <w:spacing w:val="7"/>
          <w:sz w:val="19"/>
          <w:szCs w:val="19"/>
        </w:rPr>
        <w:t>换机、防火墙、操作系统等。</w:t>
      </w:r>
    </w:p>
    <w:p w14:paraId="0665E551">
      <w:pPr>
        <w:pStyle w:val="2"/>
        <w:spacing w:before="209" w:line="222" w:lineRule="auto"/>
        <w:ind w:left="742"/>
        <w:rPr>
          <w:rFonts w:ascii="黑体" w:hAnsi="黑体" w:eastAsia="黑体" w:cs="黑体"/>
          <w:sz w:val="19"/>
          <w:szCs w:val="19"/>
        </w:rPr>
      </w:pPr>
      <w:r>
        <w:rPr>
          <w:b/>
          <w:bCs/>
          <w:color w:val="007CDB"/>
          <w:spacing w:val="8"/>
          <w:sz w:val="19"/>
          <w:szCs w:val="19"/>
        </w:rPr>
        <w:t>1.</w:t>
      </w:r>
      <w:r>
        <w:rPr>
          <w:rFonts w:ascii="黑体" w:hAnsi="黑体" w:eastAsia="黑体" w:cs="黑体"/>
          <w:b/>
          <w:bCs/>
          <w:color w:val="007CDB"/>
          <w:spacing w:val="8"/>
          <w:sz w:val="19"/>
          <w:szCs w:val="19"/>
        </w:rPr>
        <w:t>设计阶段监理内容</w:t>
      </w:r>
    </w:p>
    <w:p w14:paraId="34D06293">
      <w:pPr>
        <w:pStyle w:val="2"/>
        <w:spacing w:before="155" w:line="219" w:lineRule="auto"/>
        <w:ind w:left="739"/>
        <w:rPr>
          <w:sz w:val="19"/>
          <w:szCs w:val="19"/>
        </w:rPr>
      </w:pPr>
      <w:r>
        <w:rPr>
          <w:spacing w:val="7"/>
          <w:sz w:val="19"/>
          <w:szCs w:val="19"/>
        </w:rPr>
        <w:t>动力环境监控系统工程设计阶段的监理内容具</w:t>
      </w:r>
      <w:r>
        <w:rPr>
          <w:spacing w:val="6"/>
          <w:sz w:val="19"/>
          <w:szCs w:val="19"/>
        </w:rPr>
        <w:t>体如下：</w:t>
      </w:r>
    </w:p>
    <w:p w14:paraId="7E4740CC">
      <w:pPr>
        <w:pStyle w:val="2"/>
        <w:spacing w:before="95" w:line="219" w:lineRule="auto"/>
        <w:ind w:left="739"/>
        <w:rPr>
          <w:sz w:val="19"/>
          <w:szCs w:val="19"/>
        </w:rPr>
      </w:pPr>
      <w:r>
        <w:rPr>
          <w:spacing w:val="11"/>
          <w:sz w:val="19"/>
          <w:szCs w:val="19"/>
        </w:rPr>
        <w:t>(1)审核系统架构及集成管理平台是否满</w:t>
      </w:r>
      <w:r>
        <w:rPr>
          <w:spacing w:val="10"/>
          <w:sz w:val="19"/>
          <w:szCs w:val="19"/>
        </w:rPr>
        <w:t>足业主的使用需求；</w:t>
      </w:r>
    </w:p>
    <w:p w14:paraId="2ABF9F0C">
      <w:pPr>
        <w:pStyle w:val="2"/>
        <w:spacing w:before="84" w:line="265" w:lineRule="auto"/>
        <w:ind w:left="359" w:right="66" w:firstLine="379"/>
        <w:rPr>
          <w:sz w:val="19"/>
          <w:szCs w:val="19"/>
        </w:rPr>
      </w:pPr>
      <w:r>
        <w:rPr>
          <w:spacing w:val="15"/>
          <w:sz w:val="19"/>
          <w:szCs w:val="19"/>
        </w:rPr>
        <w:t>(2)审核对电气、通信电源、通风空调等相关设备的监测参数，以及对温</w:t>
      </w:r>
      <w:r>
        <w:rPr>
          <w:spacing w:val="14"/>
          <w:sz w:val="19"/>
          <w:szCs w:val="19"/>
        </w:rPr>
        <w:t>度、湿度及漏水</w:t>
      </w:r>
      <w:r>
        <w:rPr>
          <w:sz w:val="19"/>
          <w:szCs w:val="19"/>
        </w:rPr>
        <w:t xml:space="preserve"> </w:t>
      </w:r>
      <w:r>
        <w:rPr>
          <w:spacing w:val="7"/>
          <w:sz w:val="19"/>
          <w:szCs w:val="19"/>
        </w:rPr>
        <w:t>探测等环境监测是否满足环境要求；</w:t>
      </w:r>
    </w:p>
    <w:p w14:paraId="2509325B">
      <w:pPr>
        <w:pStyle w:val="2"/>
        <w:spacing w:before="93" w:line="219" w:lineRule="auto"/>
        <w:ind w:left="739"/>
        <w:rPr>
          <w:sz w:val="19"/>
          <w:szCs w:val="19"/>
        </w:rPr>
      </w:pPr>
      <w:r>
        <w:rPr>
          <w:spacing w:val="10"/>
          <w:sz w:val="19"/>
          <w:szCs w:val="19"/>
        </w:rPr>
        <w:t>(3)审核各类传感设备布置方案是否满足技术规范要求；</w:t>
      </w:r>
    </w:p>
    <w:p w14:paraId="7BD06A2A">
      <w:pPr>
        <w:pStyle w:val="2"/>
        <w:spacing w:before="96" w:line="219" w:lineRule="auto"/>
        <w:ind w:left="739"/>
        <w:rPr>
          <w:sz w:val="19"/>
          <w:szCs w:val="19"/>
        </w:rPr>
      </w:pPr>
      <w:r>
        <w:rPr>
          <w:spacing w:val="13"/>
          <w:sz w:val="19"/>
          <w:szCs w:val="19"/>
        </w:rPr>
        <w:t>(4)协助业主根据需求确定动环组网的</w:t>
      </w:r>
      <w:r>
        <w:rPr>
          <w:rFonts w:ascii="Times New Roman" w:hAnsi="Times New Roman" w:eastAsia="Times New Roman" w:cs="Times New Roman"/>
          <w:sz w:val="19"/>
          <w:szCs w:val="19"/>
        </w:rPr>
        <w:t>IP</w:t>
      </w:r>
      <w:r>
        <w:rPr>
          <w:rFonts w:ascii="Times New Roman" w:hAnsi="Times New Roman" w:eastAsia="Times New Roman" w:cs="Times New Roman"/>
          <w:spacing w:val="33"/>
          <w:w w:val="101"/>
          <w:sz w:val="19"/>
          <w:szCs w:val="19"/>
        </w:rPr>
        <w:t xml:space="preserve"> </w:t>
      </w:r>
      <w:r>
        <w:rPr>
          <w:spacing w:val="13"/>
          <w:sz w:val="19"/>
          <w:szCs w:val="19"/>
        </w:rPr>
        <w:t>地址规划；</w:t>
      </w:r>
    </w:p>
    <w:p w14:paraId="2D45A146">
      <w:pPr>
        <w:pStyle w:val="2"/>
        <w:spacing w:before="94" w:line="219" w:lineRule="auto"/>
        <w:ind w:left="739"/>
        <w:rPr>
          <w:sz w:val="19"/>
          <w:szCs w:val="19"/>
        </w:rPr>
      </w:pPr>
      <w:r>
        <w:rPr>
          <w:spacing w:val="10"/>
          <w:sz w:val="19"/>
          <w:szCs w:val="19"/>
        </w:rPr>
        <w:t>(5)审核弱电机柜、设备安装是否满足使用技术要求；</w:t>
      </w:r>
    </w:p>
    <w:p w14:paraId="421B41BE">
      <w:pPr>
        <w:pStyle w:val="2"/>
        <w:spacing w:before="94" w:line="219" w:lineRule="auto"/>
        <w:ind w:right="20"/>
        <w:jc w:val="right"/>
        <w:rPr>
          <w:sz w:val="19"/>
          <w:szCs w:val="19"/>
        </w:rPr>
      </w:pPr>
      <w:r>
        <w:rPr>
          <w:spacing w:val="11"/>
          <w:sz w:val="19"/>
          <w:szCs w:val="19"/>
        </w:rPr>
        <w:t>(6)审核集成管理平台提供的远程访问接口类型、网络安全设计是否满足业主的使用</w:t>
      </w:r>
      <w:r>
        <w:rPr>
          <w:spacing w:val="10"/>
          <w:sz w:val="19"/>
          <w:szCs w:val="19"/>
        </w:rPr>
        <w:t>要求；</w:t>
      </w:r>
    </w:p>
    <w:p w14:paraId="72493D11">
      <w:pPr>
        <w:pStyle w:val="2"/>
        <w:spacing w:before="86" w:line="219" w:lineRule="auto"/>
        <w:ind w:left="739"/>
        <w:rPr>
          <w:sz w:val="19"/>
          <w:szCs w:val="19"/>
        </w:rPr>
      </w:pPr>
      <w:r>
        <w:rPr>
          <w:spacing w:val="10"/>
          <w:sz w:val="19"/>
          <w:szCs w:val="19"/>
        </w:rPr>
        <w:t>(7)审核集成管理平台客户端界面的功能模块是否满足业主的使用要求；</w:t>
      </w:r>
    </w:p>
    <w:p w14:paraId="47BAD315">
      <w:pPr>
        <w:pStyle w:val="2"/>
        <w:spacing w:before="83" w:line="219" w:lineRule="auto"/>
        <w:ind w:left="739"/>
        <w:rPr>
          <w:sz w:val="19"/>
          <w:szCs w:val="19"/>
        </w:rPr>
      </w:pPr>
      <w:r>
        <w:rPr>
          <w:spacing w:val="10"/>
          <w:sz w:val="19"/>
          <w:szCs w:val="19"/>
        </w:rPr>
        <w:t>(8)审核设备平面布置是否满足业主的使用要求；</w:t>
      </w:r>
    </w:p>
    <w:p w14:paraId="29AFA906">
      <w:pPr>
        <w:pStyle w:val="2"/>
        <w:spacing w:before="86" w:line="219" w:lineRule="auto"/>
        <w:ind w:left="739"/>
        <w:rPr>
          <w:sz w:val="19"/>
          <w:szCs w:val="19"/>
        </w:rPr>
      </w:pPr>
      <w:r>
        <w:rPr>
          <w:spacing w:val="11"/>
          <w:sz w:val="19"/>
          <w:szCs w:val="19"/>
        </w:rPr>
        <w:t>(9)审核存储设备空间是否满足使用技术要求。</w:t>
      </w:r>
    </w:p>
    <w:p w14:paraId="2721D91F">
      <w:pPr>
        <w:pStyle w:val="2"/>
        <w:spacing w:before="191" w:line="222" w:lineRule="auto"/>
        <w:ind w:left="742"/>
        <w:rPr>
          <w:rFonts w:ascii="黑体" w:hAnsi="黑体" w:eastAsia="黑体" w:cs="黑体"/>
          <w:sz w:val="19"/>
          <w:szCs w:val="19"/>
        </w:rPr>
      </w:pPr>
      <w:r>
        <w:rPr>
          <w:b/>
          <w:bCs/>
          <w:color w:val="0081E4"/>
          <w:spacing w:val="8"/>
          <w:sz w:val="19"/>
          <w:szCs w:val="19"/>
        </w:rPr>
        <w:t>2.</w:t>
      </w:r>
      <w:r>
        <w:rPr>
          <w:rFonts w:ascii="黑体" w:hAnsi="黑体" w:eastAsia="黑体" w:cs="黑体"/>
          <w:b/>
          <w:bCs/>
          <w:color w:val="0081E4"/>
          <w:spacing w:val="8"/>
          <w:sz w:val="19"/>
          <w:szCs w:val="19"/>
        </w:rPr>
        <w:t>实施阶段监理内容</w:t>
      </w:r>
    </w:p>
    <w:p w14:paraId="2D4952E3">
      <w:pPr>
        <w:pStyle w:val="2"/>
        <w:spacing w:before="146" w:line="219" w:lineRule="auto"/>
        <w:ind w:left="739"/>
        <w:rPr>
          <w:sz w:val="19"/>
          <w:szCs w:val="19"/>
        </w:rPr>
      </w:pPr>
      <w:r>
        <w:rPr>
          <w:spacing w:val="7"/>
          <w:sz w:val="19"/>
          <w:szCs w:val="19"/>
        </w:rPr>
        <w:t>动力环境监控系统工程实施阶段的监理内容具</w:t>
      </w:r>
      <w:r>
        <w:rPr>
          <w:spacing w:val="6"/>
          <w:sz w:val="19"/>
          <w:szCs w:val="19"/>
        </w:rPr>
        <w:t>体如下：</w:t>
      </w:r>
    </w:p>
    <w:p w14:paraId="2DC7D971">
      <w:pPr>
        <w:pStyle w:val="2"/>
        <w:spacing w:before="73" w:line="265" w:lineRule="auto"/>
        <w:ind w:left="349" w:firstLine="389"/>
        <w:rPr>
          <w:sz w:val="19"/>
          <w:szCs w:val="19"/>
        </w:rPr>
      </w:pPr>
      <w:r>
        <w:rPr>
          <w:spacing w:val="11"/>
          <w:sz w:val="19"/>
          <w:szCs w:val="19"/>
        </w:rPr>
        <w:t>(1)进场的设备、材料的检验。检验工程所用安装材料、监测设备是否符合设计规范要求，</w:t>
      </w:r>
      <w:r>
        <w:rPr>
          <w:spacing w:val="18"/>
          <w:sz w:val="19"/>
          <w:szCs w:val="19"/>
        </w:rPr>
        <w:t xml:space="preserve"> </w:t>
      </w:r>
      <w:r>
        <w:rPr>
          <w:spacing w:val="7"/>
          <w:sz w:val="19"/>
          <w:szCs w:val="19"/>
        </w:rPr>
        <w:t>对检验不合格的设备、材料不应在工程中使用。</w:t>
      </w:r>
    </w:p>
    <w:p w14:paraId="7A15572A">
      <w:pPr>
        <w:pStyle w:val="2"/>
        <w:spacing w:before="86" w:line="219" w:lineRule="auto"/>
        <w:ind w:left="739"/>
        <w:rPr>
          <w:sz w:val="19"/>
          <w:szCs w:val="19"/>
        </w:rPr>
      </w:pPr>
      <w:r>
        <w:rPr>
          <w:spacing w:val="11"/>
          <w:sz w:val="19"/>
          <w:szCs w:val="19"/>
        </w:rPr>
        <w:t>(2)电线管、线槽施工的检查。具体包括：</w:t>
      </w:r>
    </w:p>
    <w:p w14:paraId="3D6CA280">
      <w:pPr>
        <w:pStyle w:val="2"/>
        <w:spacing w:before="94" w:line="219" w:lineRule="auto"/>
        <w:ind w:left="739"/>
        <w:rPr>
          <w:sz w:val="19"/>
          <w:szCs w:val="19"/>
        </w:rPr>
      </w:pPr>
      <w:r>
        <w:rPr>
          <w:spacing w:val="9"/>
          <w:sz w:val="19"/>
          <w:szCs w:val="19"/>
        </w:rPr>
        <w:t>●检验安装位置、高度及路由走向应符合设计要求；</w:t>
      </w:r>
    </w:p>
    <w:p w14:paraId="531D1781">
      <w:pPr>
        <w:pStyle w:val="2"/>
        <w:spacing w:before="95" w:line="219" w:lineRule="auto"/>
        <w:ind w:left="739"/>
        <w:rPr>
          <w:sz w:val="19"/>
          <w:szCs w:val="19"/>
        </w:rPr>
      </w:pPr>
      <w:r>
        <w:rPr>
          <w:spacing w:val="7"/>
          <w:sz w:val="19"/>
          <w:szCs w:val="19"/>
        </w:rPr>
        <w:t>●</w:t>
      </w:r>
      <w:r>
        <w:rPr>
          <w:spacing w:val="-38"/>
          <w:sz w:val="19"/>
          <w:szCs w:val="19"/>
        </w:rPr>
        <w:t xml:space="preserve"> </w:t>
      </w:r>
      <w:r>
        <w:rPr>
          <w:spacing w:val="7"/>
          <w:sz w:val="19"/>
          <w:szCs w:val="19"/>
        </w:rPr>
        <w:t>安装工艺满足</w:t>
      </w:r>
      <w:r>
        <w:rPr>
          <w:sz w:val="19"/>
          <w:szCs w:val="19"/>
        </w:rPr>
        <w:t>GB</w:t>
      </w:r>
      <w:r>
        <w:rPr>
          <w:spacing w:val="7"/>
          <w:sz w:val="19"/>
          <w:szCs w:val="19"/>
        </w:rPr>
        <w:t xml:space="preserve">  50303《建筑电气工程施工质量验收规范》的规范要求；</w:t>
      </w:r>
    </w:p>
    <w:p w14:paraId="3F382DFE">
      <w:pPr>
        <w:pStyle w:val="2"/>
        <w:spacing w:before="104" w:line="265" w:lineRule="auto"/>
        <w:ind w:left="1019" w:right="67" w:hanging="280"/>
        <w:rPr>
          <w:sz w:val="19"/>
          <w:szCs w:val="19"/>
        </w:rPr>
      </w:pPr>
      <w:r>
        <w:rPr>
          <w:spacing w:val="13"/>
          <w:sz w:val="19"/>
          <w:szCs w:val="19"/>
        </w:rPr>
        <w:t>●在隐蔽工程中，检验敷设的电线管、线槽在隐蔽前是否符合设计</w:t>
      </w:r>
      <w:r>
        <w:rPr>
          <w:spacing w:val="12"/>
          <w:sz w:val="19"/>
          <w:szCs w:val="19"/>
        </w:rPr>
        <w:t>及规范要求，检验不合</w:t>
      </w:r>
      <w:r>
        <w:rPr>
          <w:sz w:val="19"/>
          <w:szCs w:val="19"/>
        </w:rPr>
        <w:t xml:space="preserve"> </w:t>
      </w:r>
      <w:r>
        <w:rPr>
          <w:spacing w:val="5"/>
          <w:sz w:val="19"/>
          <w:szCs w:val="19"/>
        </w:rPr>
        <w:t>格不应进行下一道工序。</w:t>
      </w:r>
    </w:p>
    <w:p w14:paraId="26ED8DC2">
      <w:pPr>
        <w:pStyle w:val="2"/>
        <w:spacing w:before="105" w:line="219" w:lineRule="auto"/>
        <w:ind w:left="739"/>
        <w:rPr>
          <w:sz w:val="19"/>
          <w:szCs w:val="19"/>
        </w:rPr>
      </w:pPr>
      <w:r>
        <w:rPr>
          <w:spacing w:val="11"/>
          <w:sz w:val="19"/>
          <w:szCs w:val="19"/>
        </w:rPr>
        <w:t>(3)对线、电缆穿管和线槽敷设施工的检查。具体包括：</w:t>
      </w:r>
    </w:p>
    <w:p w14:paraId="77E7C025">
      <w:pPr>
        <w:pStyle w:val="2"/>
        <w:spacing w:before="85" w:line="219" w:lineRule="auto"/>
        <w:ind w:left="739"/>
        <w:rPr>
          <w:sz w:val="19"/>
          <w:szCs w:val="19"/>
        </w:rPr>
      </w:pPr>
      <w:r>
        <w:rPr>
          <w:spacing w:val="11"/>
          <w:sz w:val="19"/>
          <w:szCs w:val="19"/>
        </w:rPr>
        <w:t>●在电线管、线槽中敷设线缆前，检查对管、槽内清洁</w:t>
      </w:r>
      <w:r>
        <w:rPr>
          <w:spacing w:val="10"/>
          <w:sz w:val="19"/>
          <w:szCs w:val="19"/>
        </w:rPr>
        <w:t>处理结果是否符合规范要求。</w:t>
      </w:r>
    </w:p>
    <w:p w14:paraId="358AE253">
      <w:pPr>
        <w:pStyle w:val="2"/>
        <w:spacing w:before="83" w:line="265" w:lineRule="auto"/>
        <w:ind w:left="1019" w:right="66" w:hanging="280"/>
        <w:rPr>
          <w:sz w:val="19"/>
          <w:szCs w:val="19"/>
        </w:rPr>
      </w:pPr>
      <w:r>
        <w:rPr>
          <w:spacing w:val="13"/>
          <w:sz w:val="19"/>
          <w:szCs w:val="19"/>
        </w:rPr>
        <w:t>●电线管、线槽内部不应有线缆接头，网络不应中间接头。电缆敷设</w:t>
      </w:r>
      <w:r>
        <w:rPr>
          <w:spacing w:val="12"/>
          <w:sz w:val="19"/>
          <w:szCs w:val="19"/>
        </w:rPr>
        <w:t>时应根据设计图上各</w:t>
      </w:r>
      <w:r>
        <w:rPr>
          <w:sz w:val="19"/>
          <w:szCs w:val="19"/>
        </w:rPr>
        <w:t xml:space="preserve"> </w:t>
      </w:r>
      <w:r>
        <w:rPr>
          <w:spacing w:val="8"/>
          <w:sz w:val="19"/>
          <w:szCs w:val="19"/>
        </w:rPr>
        <w:t>段线路的长度来选配电缆。避免电缆接续，当必须中途接续时应采用接插件。</w:t>
      </w:r>
    </w:p>
    <w:p w14:paraId="6CE8F34C">
      <w:pPr>
        <w:pStyle w:val="2"/>
        <w:spacing w:before="96" w:line="219" w:lineRule="auto"/>
        <w:ind w:left="739"/>
        <w:rPr>
          <w:sz w:val="19"/>
          <w:szCs w:val="19"/>
        </w:rPr>
      </w:pPr>
      <w:r>
        <w:rPr>
          <w:spacing w:val="10"/>
          <w:sz w:val="19"/>
          <w:szCs w:val="19"/>
        </w:rPr>
        <w:t>●强、弱电线缆不应同管或同槽敷设。</w:t>
      </w:r>
    </w:p>
    <w:p w14:paraId="1A245622">
      <w:pPr>
        <w:pStyle w:val="2"/>
        <w:spacing w:before="94" w:line="219" w:lineRule="auto"/>
        <w:ind w:left="739"/>
        <w:rPr>
          <w:sz w:val="19"/>
          <w:szCs w:val="19"/>
        </w:rPr>
      </w:pPr>
      <w:r>
        <w:rPr>
          <w:spacing w:val="11"/>
          <w:sz w:val="19"/>
          <w:szCs w:val="19"/>
        </w:rPr>
        <w:t>●线缆在走线架和垂直线槽敷设时需要绑扎整齐、牢固。</w:t>
      </w:r>
    </w:p>
    <w:p w14:paraId="6CD6A4C1">
      <w:pPr>
        <w:pStyle w:val="2"/>
        <w:spacing w:before="85" w:line="265" w:lineRule="auto"/>
        <w:ind w:left="1019" w:right="63" w:hanging="280"/>
        <w:rPr>
          <w:sz w:val="19"/>
          <w:szCs w:val="19"/>
        </w:rPr>
      </w:pPr>
      <w:r>
        <w:rPr>
          <w:spacing w:val="13"/>
          <w:sz w:val="19"/>
          <w:szCs w:val="19"/>
        </w:rPr>
        <w:t>●线缆两端的标识清晰，缆线在布放前两端应贴有标签，以表明起始和终端</w:t>
      </w:r>
      <w:r>
        <w:rPr>
          <w:spacing w:val="12"/>
          <w:sz w:val="19"/>
          <w:szCs w:val="19"/>
        </w:rPr>
        <w:t>位置，标签书</w:t>
      </w:r>
      <w:r>
        <w:rPr>
          <w:sz w:val="19"/>
          <w:szCs w:val="19"/>
        </w:rPr>
        <w:t xml:space="preserve"> </w:t>
      </w:r>
      <w:r>
        <w:rPr>
          <w:spacing w:val="4"/>
          <w:sz w:val="19"/>
          <w:szCs w:val="19"/>
        </w:rPr>
        <w:t>写应清晰、端正和正确。</w:t>
      </w:r>
    </w:p>
    <w:p w14:paraId="6D4EA7DC">
      <w:pPr>
        <w:pStyle w:val="2"/>
        <w:spacing w:before="95" w:line="219" w:lineRule="auto"/>
        <w:ind w:left="739"/>
        <w:rPr>
          <w:sz w:val="19"/>
          <w:szCs w:val="19"/>
        </w:rPr>
      </w:pPr>
      <w:r>
        <w:rPr>
          <w:spacing w:val="11"/>
          <w:sz w:val="19"/>
          <w:szCs w:val="19"/>
        </w:rPr>
        <w:t>(4)设备安装情况的检查。具体包括：</w:t>
      </w:r>
    </w:p>
    <w:p w14:paraId="5C5B4147">
      <w:pPr>
        <w:pStyle w:val="2"/>
        <w:spacing w:before="84" w:line="257" w:lineRule="auto"/>
        <w:ind w:left="1019" w:right="66" w:hanging="280"/>
        <w:rPr>
          <w:sz w:val="19"/>
          <w:szCs w:val="19"/>
        </w:rPr>
      </w:pPr>
      <w:r>
        <w:rPr>
          <w:spacing w:val="13"/>
          <w:sz w:val="19"/>
          <w:szCs w:val="19"/>
        </w:rPr>
        <w:t>●检查各类传感设备、控制设备、系统主机、传输设备的安装位置、</w:t>
      </w:r>
      <w:r>
        <w:rPr>
          <w:spacing w:val="12"/>
          <w:sz w:val="19"/>
          <w:szCs w:val="19"/>
        </w:rPr>
        <w:t>安装工艺是否符合设</w:t>
      </w:r>
      <w:r>
        <w:rPr>
          <w:sz w:val="19"/>
          <w:szCs w:val="19"/>
        </w:rPr>
        <w:t xml:space="preserve"> </w:t>
      </w:r>
      <w:r>
        <w:rPr>
          <w:spacing w:val="3"/>
          <w:sz w:val="19"/>
          <w:szCs w:val="19"/>
        </w:rPr>
        <w:t>计要求；</w:t>
      </w:r>
    </w:p>
    <w:p w14:paraId="531A8FE6">
      <w:pPr>
        <w:pStyle w:val="2"/>
        <w:spacing w:before="100" w:line="219" w:lineRule="auto"/>
        <w:ind w:left="739"/>
        <w:rPr>
          <w:sz w:val="19"/>
          <w:szCs w:val="19"/>
        </w:rPr>
      </w:pPr>
      <w:r>
        <w:rPr>
          <w:spacing w:val="11"/>
          <w:sz w:val="19"/>
          <w:szCs w:val="19"/>
        </w:rPr>
        <w:t>●检查设备机柜、控制箱等的接地是否符合设计规范。</w:t>
      </w:r>
    </w:p>
    <w:p w14:paraId="0E1C6EE5">
      <w:pPr>
        <w:spacing w:line="219" w:lineRule="auto"/>
        <w:rPr>
          <w:sz w:val="19"/>
          <w:szCs w:val="19"/>
        </w:rPr>
        <w:sectPr>
          <w:pgSz w:w="10300" w:h="13390"/>
          <w:pgMar w:top="400" w:right="1034" w:bottom="400" w:left="550" w:header="0" w:footer="0" w:gutter="0"/>
          <w:cols w:space="720" w:num="1"/>
        </w:sectPr>
      </w:pPr>
    </w:p>
    <w:p w14:paraId="6927C94A">
      <w:pPr>
        <w:pStyle w:val="2"/>
        <w:spacing w:before="56" w:line="219" w:lineRule="auto"/>
        <w:jc w:val="right"/>
        <w:rPr>
          <w:rFonts w:ascii="Times New Roman" w:hAnsi="Times New Roman" w:eastAsia="Times New Roman" w:cs="Times New Roman"/>
          <w:sz w:val="16"/>
          <w:szCs w:val="16"/>
        </w:rPr>
      </w:pPr>
      <w:bookmarkStart w:id="728" w:name="bookmark713"/>
      <w:bookmarkEnd w:id="728"/>
      <w:r>
        <w:rPr>
          <w:spacing w:val="-5"/>
          <w:sz w:val="20"/>
          <w:szCs w:val="20"/>
        </w:rPr>
        <w:t>第21章 基础设施工程监理</w:t>
      </w:r>
      <w:r>
        <w:rPr>
          <w:spacing w:val="3"/>
          <w:sz w:val="20"/>
          <w:szCs w:val="20"/>
        </w:rPr>
        <w:t xml:space="preserve">      </w:t>
      </w:r>
      <w:r>
        <w:rPr>
          <w:rFonts w:ascii="Times New Roman" w:hAnsi="Times New Roman" w:eastAsia="Times New Roman" w:cs="Times New Roman"/>
          <w:spacing w:val="-5"/>
          <w:sz w:val="16"/>
          <w:szCs w:val="16"/>
        </w:rPr>
        <w:t>501</w:t>
      </w:r>
    </w:p>
    <w:p w14:paraId="02874FB4">
      <w:pPr>
        <w:spacing w:line="315" w:lineRule="auto"/>
        <w:rPr>
          <w:rFonts w:ascii="Arial"/>
          <w:sz w:val="21"/>
        </w:rPr>
      </w:pPr>
    </w:p>
    <w:p w14:paraId="7EB5A249">
      <w:pPr>
        <w:pStyle w:val="2"/>
        <w:spacing w:before="65" w:line="292" w:lineRule="auto"/>
        <w:ind w:right="273" w:firstLine="389"/>
        <w:rPr>
          <w:sz w:val="20"/>
          <w:szCs w:val="20"/>
        </w:rPr>
      </w:pPr>
      <w:r>
        <w:rPr>
          <w:spacing w:val="3"/>
          <w:sz w:val="20"/>
          <w:szCs w:val="20"/>
        </w:rPr>
        <w:t>动力环境监控系统一般由前端探头、信号采集转换设备、控制主机</w:t>
      </w:r>
      <w:r>
        <w:rPr>
          <w:spacing w:val="2"/>
          <w:sz w:val="20"/>
          <w:szCs w:val="20"/>
        </w:rPr>
        <w:t>、监控软件平台、报警</w:t>
      </w:r>
      <w:r>
        <w:rPr>
          <w:sz w:val="20"/>
          <w:szCs w:val="20"/>
        </w:rPr>
        <w:t xml:space="preserve"> </w:t>
      </w:r>
      <w:r>
        <w:rPr>
          <w:spacing w:val="-3"/>
          <w:sz w:val="20"/>
          <w:szCs w:val="20"/>
        </w:rPr>
        <w:t>系统等部分组成。设备安装过程中，应注意以下事项：</w:t>
      </w:r>
    </w:p>
    <w:p w14:paraId="143F5F09">
      <w:pPr>
        <w:pStyle w:val="2"/>
        <w:spacing w:before="7" w:line="253" w:lineRule="auto"/>
        <w:ind w:right="290" w:firstLine="389"/>
        <w:rPr>
          <w:sz w:val="20"/>
          <w:szCs w:val="20"/>
        </w:rPr>
      </w:pPr>
      <w:r>
        <w:rPr>
          <w:spacing w:val="5"/>
          <w:sz w:val="20"/>
          <w:szCs w:val="20"/>
        </w:rPr>
        <w:t>(1)温湿度传感器安装在机房发热设备比较密集的房顶位置，安装</w:t>
      </w:r>
      <w:r>
        <w:rPr>
          <w:spacing w:val="4"/>
          <w:sz w:val="20"/>
          <w:szCs w:val="20"/>
        </w:rPr>
        <w:t>应牢固，接好温湿度电</w:t>
      </w:r>
      <w:r>
        <w:rPr>
          <w:sz w:val="20"/>
          <w:szCs w:val="20"/>
        </w:rPr>
        <w:t xml:space="preserve"> </w:t>
      </w:r>
      <w:r>
        <w:rPr>
          <w:spacing w:val="-2"/>
          <w:sz w:val="20"/>
          <w:szCs w:val="20"/>
        </w:rPr>
        <w:t>源线及信号线，用万用表查网线是否完好及通断。</w:t>
      </w:r>
    </w:p>
    <w:p w14:paraId="688E495C">
      <w:pPr>
        <w:pStyle w:val="2"/>
        <w:spacing w:before="83" w:line="270" w:lineRule="auto"/>
        <w:ind w:right="270" w:firstLine="389"/>
        <w:rPr>
          <w:sz w:val="20"/>
          <w:szCs w:val="20"/>
        </w:rPr>
      </w:pPr>
      <w:r>
        <w:rPr>
          <w:spacing w:val="5"/>
          <w:sz w:val="20"/>
          <w:szCs w:val="20"/>
        </w:rPr>
        <w:t>(2)安装漏水感应线探头前要将地面打扫干净，安装漏水感应线要紧贴地面，在可能出现</w:t>
      </w:r>
      <w:r>
        <w:rPr>
          <w:spacing w:val="7"/>
          <w:sz w:val="20"/>
          <w:szCs w:val="20"/>
        </w:rPr>
        <w:t xml:space="preserve"> 漏水的地方(例如空调排水管等)密布感应线探头，安装漏水控制器及引出线，接漏水系统电</w:t>
      </w:r>
      <w:r>
        <w:rPr>
          <w:spacing w:val="13"/>
          <w:sz w:val="20"/>
          <w:szCs w:val="20"/>
        </w:rPr>
        <w:t xml:space="preserve"> </w:t>
      </w:r>
      <w:r>
        <w:rPr>
          <w:spacing w:val="-2"/>
          <w:sz w:val="20"/>
          <w:szCs w:val="20"/>
        </w:rPr>
        <w:t>源线及信号线，用万用表查网线是否完好及通断。</w:t>
      </w:r>
    </w:p>
    <w:p w14:paraId="5A58E4A6">
      <w:pPr>
        <w:pStyle w:val="2"/>
        <w:spacing w:before="101" w:line="280" w:lineRule="auto"/>
        <w:ind w:right="268" w:firstLine="389"/>
        <w:rPr>
          <w:sz w:val="16"/>
          <w:szCs w:val="16"/>
        </w:rPr>
      </w:pPr>
      <w:r>
        <w:rPr>
          <w:spacing w:val="5"/>
          <w:sz w:val="20"/>
          <w:szCs w:val="20"/>
        </w:rPr>
        <w:t>(3)数字电表安装牢固，美观，接线标准无误。电线的颜色采用国标点线。分清互感器正</w:t>
      </w:r>
      <w:r>
        <w:rPr>
          <w:spacing w:val="11"/>
          <w:sz w:val="20"/>
          <w:szCs w:val="20"/>
        </w:rPr>
        <w:t xml:space="preserve"> </w:t>
      </w:r>
      <w:r>
        <w:rPr>
          <w:spacing w:val="3"/>
          <w:sz w:val="20"/>
          <w:szCs w:val="20"/>
        </w:rPr>
        <w:t>负、倍率，确定互感器一端接地良好。不能带</w:t>
      </w:r>
      <w:r>
        <w:rPr>
          <w:spacing w:val="2"/>
          <w:sz w:val="20"/>
          <w:szCs w:val="20"/>
        </w:rPr>
        <w:t>电作业，施工完成后注意清扫，清除工作中留下</w:t>
      </w:r>
      <w:r>
        <w:rPr>
          <w:sz w:val="20"/>
          <w:szCs w:val="20"/>
        </w:rPr>
        <w:t xml:space="preserve"> </w:t>
      </w:r>
      <w:r>
        <w:rPr>
          <w:spacing w:val="-9"/>
          <w:sz w:val="16"/>
          <w:szCs w:val="16"/>
        </w:rPr>
        <w:t>的</w:t>
      </w:r>
      <w:r>
        <w:rPr>
          <w:spacing w:val="-20"/>
          <w:sz w:val="16"/>
          <w:szCs w:val="16"/>
        </w:rPr>
        <w:t xml:space="preserve"> </w:t>
      </w:r>
      <w:r>
        <w:rPr>
          <w:spacing w:val="-9"/>
          <w:sz w:val="16"/>
          <w:szCs w:val="16"/>
        </w:rPr>
        <w:t>杂</w:t>
      </w:r>
      <w:r>
        <w:rPr>
          <w:spacing w:val="-23"/>
          <w:sz w:val="16"/>
          <w:szCs w:val="16"/>
        </w:rPr>
        <w:t xml:space="preserve"> </w:t>
      </w:r>
      <w:r>
        <w:rPr>
          <w:spacing w:val="-9"/>
          <w:sz w:val="16"/>
          <w:szCs w:val="16"/>
        </w:rPr>
        <w:t>物</w:t>
      </w:r>
      <w:r>
        <w:rPr>
          <w:spacing w:val="-29"/>
          <w:sz w:val="16"/>
          <w:szCs w:val="16"/>
        </w:rPr>
        <w:t xml:space="preserve"> </w:t>
      </w:r>
      <w:r>
        <w:rPr>
          <w:spacing w:val="-9"/>
          <w:sz w:val="16"/>
          <w:szCs w:val="16"/>
        </w:rPr>
        <w:t>。</w:t>
      </w:r>
    </w:p>
    <w:p w14:paraId="1F8E697E">
      <w:pPr>
        <w:pStyle w:val="2"/>
        <w:spacing w:before="69" w:line="264" w:lineRule="auto"/>
        <w:ind w:right="313" w:firstLine="389"/>
        <w:rPr>
          <w:sz w:val="20"/>
          <w:szCs w:val="20"/>
        </w:rPr>
      </w:pPr>
      <w:r>
        <w:rPr>
          <w:spacing w:val="1"/>
          <w:sz w:val="20"/>
          <w:szCs w:val="20"/>
        </w:rPr>
        <w:t>(4)信号防雷器串接在设备中，电源防雷器并接入电路中，信号防雷器的接地线≥2.5</w:t>
      </w:r>
      <w:r>
        <w:rPr>
          <w:rFonts w:ascii="Times New Roman" w:hAnsi="Times New Roman" w:eastAsia="Times New Roman" w:cs="Times New Roman"/>
          <w:sz w:val="20"/>
          <w:szCs w:val="20"/>
        </w:rPr>
        <w:t>mm</w:t>
      </w:r>
      <w:r>
        <w:rPr>
          <w:rFonts w:ascii="Times New Roman" w:hAnsi="Times New Roman" w:eastAsia="Times New Roman" w:cs="Times New Roman"/>
          <w:spacing w:val="1"/>
          <w:sz w:val="20"/>
          <w:szCs w:val="20"/>
        </w:rPr>
        <w:t>²,</w:t>
      </w:r>
      <w:r>
        <w:rPr>
          <w:rFonts w:ascii="Times New Roman" w:hAnsi="Times New Roman" w:eastAsia="Times New Roman" w:cs="Times New Roman"/>
          <w:spacing w:val="4"/>
          <w:sz w:val="20"/>
          <w:szCs w:val="20"/>
        </w:rPr>
        <w:t xml:space="preserve"> </w:t>
      </w:r>
      <w:r>
        <w:rPr>
          <w:spacing w:val="-1"/>
          <w:sz w:val="20"/>
          <w:szCs w:val="20"/>
        </w:rPr>
        <w:t>电源防雷器的接地线≥10</w:t>
      </w:r>
      <w:r>
        <w:rPr>
          <w:rFonts w:ascii="Times New Roman" w:hAnsi="Times New Roman" w:eastAsia="Times New Roman" w:cs="Times New Roman"/>
          <w:spacing w:val="-1"/>
          <w:sz w:val="20"/>
          <w:szCs w:val="20"/>
        </w:rPr>
        <w:t>mm²</w:t>
      </w:r>
      <w:r>
        <w:rPr>
          <w:spacing w:val="-1"/>
          <w:sz w:val="20"/>
          <w:szCs w:val="20"/>
        </w:rPr>
        <w:t>。接地线连接应牢固美观。</w:t>
      </w:r>
    </w:p>
    <w:p w14:paraId="731AB998">
      <w:pPr>
        <w:pStyle w:val="2"/>
        <w:spacing w:before="187" w:line="222" w:lineRule="auto"/>
        <w:ind w:left="392"/>
        <w:rPr>
          <w:rFonts w:ascii="黑体" w:hAnsi="黑体" w:eastAsia="黑体" w:cs="黑体"/>
          <w:sz w:val="20"/>
          <w:szCs w:val="20"/>
        </w:rPr>
      </w:pPr>
      <w:r>
        <w:rPr>
          <w:b/>
          <w:bCs/>
          <w:color w:val="0077D2"/>
          <w:spacing w:val="-1"/>
          <w:sz w:val="20"/>
          <w:szCs w:val="20"/>
        </w:rPr>
        <w:t>3.</w:t>
      </w:r>
      <w:r>
        <w:rPr>
          <w:rFonts w:ascii="黑体" w:hAnsi="黑体" w:eastAsia="黑体" w:cs="黑体"/>
          <w:b/>
          <w:bCs/>
          <w:color w:val="0077D2"/>
          <w:spacing w:val="-1"/>
          <w:sz w:val="20"/>
          <w:szCs w:val="20"/>
        </w:rPr>
        <w:t>验收阶段监理内容</w:t>
      </w:r>
    </w:p>
    <w:p w14:paraId="65A22DA7">
      <w:pPr>
        <w:pStyle w:val="2"/>
        <w:spacing w:before="124" w:line="219" w:lineRule="auto"/>
        <w:ind w:left="389"/>
        <w:rPr>
          <w:sz w:val="20"/>
          <w:szCs w:val="20"/>
        </w:rPr>
      </w:pPr>
      <w:r>
        <w:rPr>
          <w:spacing w:val="-3"/>
          <w:sz w:val="20"/>
          <w:szCs w:val="20"/>
        </w:rPr>
        <w:t>动力环境监控系统工程验收段的监理内容具体如下：</w:t>
      </w:r>
    </w:p>
    <w:p w14:paraId="29C3E4FF">
      <w:pPr>
        <w:pStyle w:val="2"/>
        <w:spacing w:before="82" w:line="219" w:lineRule="auto"/>
        <w:ind w:left="389"/>
        <w:rPr>
          <w:sz w:val="20"/>
          <w:szCs w:val="20"/>
        </w:rPr>
      </w:pPr>
      <w:r>
        <w:rPr>
          <w:spacing w:val="5"/>
          <w:sz w:val="20"/>
          <w:szCs w:val="20"/>
        </w:rPr>
        <w:t>(1)核实</w:t>
      </w:r>
      <w:r>
        <w:rPr>
          <w:rFonts w:ascii="Times New Roman" w:hAnsi="Times New Roman" w:eastAsia="Times New Roman" w:cs="Times New Roman"/>
          <w:sz w:val="20"/>
          <w:szCs w:val="20"/>
        </w:rPr>
        <w:t>IP</w:t>
      </w:r>
      <w:r>
        <w:rPr>
          <w:rFonts w:ascii="Times New Roman" w:hAnsi="Times New Roman" w:eastAsia="Times New Roman" w:cs="Times New Roman"/>
          <w:spacing w:val="5"/>
          <w:sz w:val="20"/>
          <w:szCs w:val="20"/>
        </w:rPr>
        <w:t xml:space="preserve"> </w:t>
      </w:r>
      <w:r>
        <w:rPr>
          <w:spacing w:val="5"/>
          <w:sz w:val="20"/>
          <w:szCs w:val="20"/>
        </w:rPr>
        <w:t>地址的分配情况是否满足前期</w:t>
      </w:r>
      <w:r>
        <w:rPr>
          <w:rFonts w:ascii="Times New Roman" w:hAnsi="Times New Roman" w:eastAsia="Times New Roman" w:cs="Times New Roman"/>
          <w:sz w:val="20"/>
          <w:szCs w:val="20"/>
        </w:rPr>
        <w:t>IP</w:t>
      </w:r>
      <w:r>
        <w:rPr>
          <w:rFonts w:ascii="Times New Roman" w:hAnsi="Times New Roman" w:eastAsia="Times New Roman" w:cs="Times New Roman"/>
          <w:spacing w:val="5"/>
          <w:sz w:val="20"/>
          <w:szCs w:val="20"/>
        </w:rPr>
        <w:t xml:space="preserve"> </w:t>
      </w:r>
      <w:r>
        <w:rPr>
          <w:spacing w:val="5"/>
          <w:sz w:val="20"/>
          <w:szCs w:val="20"/>
        </w:rPr>
        <w:t>地址规划要求；</w:t>
      </w:r>
    </w:p>
    <w:p w14:paraId="33388306">
      <w:pPr>
        <w:pStyle w:val="2"/>
        <w:spacing w:before="83" w:line="219" w:lineRule="auto"/>
        <w:ind w:left="389"/>
        <w:rPr>
          <w:sz w:val="20"/>
          <w:szCs w:val="20"/>
        </w:rPr>
      </w:pPr>
      <w:r>
        <w:rPr>
          <w:spacing w:val="1"/>
          <w:sz w:val="20"/>
          <w:szCs w:val="20"/>
        </w:rPr>
        <w:t>(2)检查各类参数的数值、刷新时间等是否符合技术规范和使</w:t>
      </w:r>
      <w:r>
        <w:rPr>
          <w:sz w:val="20"/>
          <w:szCs w:val="20"/>
        </w:rPr>
        <w:t>用要求；</w:t>
      </w:r>
    </w:p>
    <w:p w14:paraId="7F137D47">
      <w:pPr>
        <w:pStyle w:val="2"/>
        <w:spacing w:before="83" w:line="219" w:lineRule="auto"/>
        <w:ind w:left="389"/>
        <w:rPr>
          <w:sz w:val="20"/>
          <w:szCs w:val="20"/>
        </w:rPr>
      </w:pPr>
      <w:r>
        <w:rPr>
          <w:spacing w:val="1"/>
          <w:sz w:val="20"/>
          <w:szCs w:val="20"/>
        </w:rPr>
        <w:t>(3)检查集成管理平台的各项功能是否符合技术规范和设计要</w:t>
      </w:r>
      <w:r>
        <w:rPr>
          <w:sz w:val="20"/>
          <w:szCs w:val="20"/>
        </w:rPr>
        <w:t>求；</w:t>
      </w:r>
    </w:p>
    <w:p w14:paraId="7160CCD3">
      <w:pPr>
        <w:pStyle w:val="2"/>
        <w:spacing w:before="71" w:line="219" w:lineRule="auto"/>
        <w:ind w:left="389"/>
        <w:rPr>
          <w:sz w:val="20"/>
          <w:szCs w:val="20"/>
        </w:rPr>
      </w:pPr>
      <w:r>
        <w:rPr>
          <w:spacing w:val="1"/>
          <w:sz w:val="20"/>
          <w:szCs w:val="20"/>
        </w:rPr>
        <w:t>(4)检查数据传输是否可靠，传输时间是否符合设计和使用要</w:t>
      </w:r>
      <w:r>
        <w:rPr>
          <w:sz w:val="20"/>
          <w:szCs w:val="20"/>
        </w:rPr>
        <w:t>求；</w:t>
      </w:r>
    </w:p>
    <w:p w14:paraId="5031FDBC">
      <w:pPr>
        <w:pStyle w:val="2"/>
        <w:spacing w:before="74" w:line="219" w:lineRule="auto"/>
        <w:ind w:left="389"/>
        <w:rPr>
          <w:sz w:val="20"/>
          <w:szCs w:val="20"/>
        </w:rPr>
      </w:pPr>
      <w:r>
        <w:rPr>
          <w:spacing w:val="2"/>
          <w:sz w:val="20"/>
          <w:szCs w:val="20"/>
        </w:rPr>
        <w:t>(5)审查测试遗留问题的整改结果是否符合设计要</w:t>
      </w:r>
      <w:r>
        <w:rPr>
          <w:spacing w:val="1"/>
          <w:sz w:val="20"/>
          <w:szCs w:val="20"/>
        </w:rPr>
        <w:t>求；</w:t>
      </w:r>
    </w:p>
    <w:p w14:paraId="09AD5C3C">
      <w:pPr>
        <w:pStyle w:val="2"/>
        <w:spacing w:before="73" w:line="219" w:lineRule="auto"/>
        <w:ind w:left="389"/>
        <w:rPr>
          <w:sz w:val="20"/>
          <w:szCs w:val="20"/>
        </w:rPr>
      </w:pPr>
      <w:r>
        <w:rPr>
          <w:spacing w:val="2"/>
          <w:sz w:val="20"/>
          <w:szCs w:val="20"/>
        </w:rPr>
        <w:t>(6)审查竣工文档和竣工图纸是否符合要求。</w:t>
      </w:r>
    </w:p>
    <w:p w14:paraId="048132A5">
      <w:pPr>
        <w:spacing w:before="64" w:line="298" w:lineRule="auto"/>
        <w:ind w:right="252" w:firstLine="289"/>
        <w:jc w:val="both"/>
        <w:rPr>
          <w:rFonts w:ascii="楷体" w:hAnsi="楷体" w:eastAsia="楷体" w:cs="楷体"/>
          <w:sz w:val="16"/>
          <w:szCs w:val="16"/>
        </w:rPr>
      </w:pPr>
      <w:r>
        <w:rPr>
          <w:rFonts w:ascii="黑体" w:hAnsi="黑体" w:eastAsia="黑体" w:cs="黑体"/>
          <w:spacing w:val="6"/>
          <w:sz w:val="20"/>
          <w:szCs w:val="20"/>
        </w:rPr>
        <w:t>【案例7】</w:t>
      </w:r>
      <w:r>
        <w:rPr>
          <w:rFonts w:ascii="黑体" w:hAnsi="黑体" w:eastAsia="黑体" w:cs="黑体"/>
          <w:spacing w:val="-6"/>
          <w:sz w:val="20"/>
          <w:szCs w:val="20"/>
        </w:rPr>
        <w:t xml:space="preserve"> </w:t>
      </w:r>
      <w:r>
        <w:rPr>
          <w:rFonts w:ascii="楷体" w:hAnsi="楷体" w:eastAsia="楷体" w:cs="楷体"/>
          <w:spacing w:val="6"/>
          <w:sz w:val="20"/>
          <w:szCs w:val="20"/>
        </w:rPr>
        <w:t>某监理单位受业主单位委托，负责对网络机房建设项目进行监理，该项目建设</w:t>
      </w:r>
      <w:r>
        <w:rPr>
          <w:rFonts w:ascii="楷体" w:hAnsi="楷体" w:eastAsia="楷体" w:cs="楷体"/>
          <w:sz w:val="20"/>
          <w:szCs w:val="20"/>
        </w:rPr>
        <w:t xml:space="preserve"> </w:t>
      </w:r>
      <w:r>
        <w:rPr>
          <w:rFonts w:ascii="楷体" w:hAnsi="楷体" w:eastAsia="楷体" w:cs="楷体"/>
          <w:spacing w:val="2"/>
          <w:sz w:val="20"/>
          <w:szCs w:val="20"/>
        </w:rPr>
        <w:t>内容中包含动力环境监控系统工程。在项目实施过程中，除了对进场设备及材料的检验和实施</w:t>
      </w:r>
      <w:r>
        <w:rPr>
          <w:rFonts w:ascii="楷体" w:hAnsi="楷体" w:eastAsia="楷体" w:cs="楷体"/>
          <w:spacing w:val="13"/>
          <w:sz w:val="20"/>
          <w:szCs w:val="20"/>
        </w:rPr>
        <w:t xml:space="preserve"> </w:t>
      </w:r>
      <w:r>
        <w:rPr>
          <w:rFonts w:ascii="楷体" w:hAnsi="楷体" w:eastAsia="楷体" w:cs="楷体"/>
          <w:spacing w:val="2"/>
          <w:sz w:val="20"/>
          <w:szCs w:val="20"/>
        </w:rPr>
        <w:t>过程的检查外，还应对出现故障时的应急响应方案进行检查。以下是对故障的应急措施的监理</w:t>
      </w:r>
      <w:r>
        <w:rPr>
          <w:rFonts w:ascii="楷体" w:hAnsi="楷体" w:eastAsia="楷体" w:cs="楷体"/>
          <w:spacing w:val="13"/>
          <w:sz w:val="20"/>
          <w:szCs w:val="20"/>
        </w:rPr>
        <w:t xml:space="preserve"> </w:t>
      </w:r>
      <w:r>
        <w:rPr>
          <w:rFonts w:ascii="楷体" w:hAnsi="楷体" w:eastAsia="楷体" w:cs="楷体"/>
          <w:spacing w:val="-5"/>
          <w:sz w:val="16"/>
          <w:szCs w:val="16"/>
        </w:rPr>
        <w:t>建</w:t>
      </w:r>
      <w:r>
        <w:rPr>
          <w:rFonts w:ascii="楷体" w:hAnsi="楷体" w:eastAsia="楷体" w:cs="楷体"/>
          <w:spacing w:val="-19"/>
          <w:sz w:val="16"/>
          <w:szCs w:val="16"/>
        </w:rPr>
        <w:t xml:space="preserve"> </w:t>
      </w:r>
      <w:r>
        <w:rPr>
          <w:rFonts w:ascii="楷体" w:hAnsi="楷体" w:eastAsia="楷体" w:cs="楷体"/>
          <w:spacing w:val="-5"/>
          <w:sz w:val="16"/>
          <w:szCs w:val="16"/>
        </w:rPr>
        <w:t>议</w:t>
      </w:r>
      <w:r>
        <w:rPr>
          <w:rFonts w:ascii="楷体" w:hAnsi="楷体" w:eastAsia="楷体" w:cs="楷体"/>
          <w:spacing w:val="-28"/>
          <w:sz w:val="16"/>
          <w:szCs w:val="16"/>
        </w:rPr>
        <w:t xml:space="preserve"> </w:t>
      </w:r>
      <w:r>
        <w:rPr>
          <w:rFonts w:ascii="楷体" w:hAnsi="楷体" w:eastAsia="楷体" w:cs="楷体"/>
          <w:spacing w:val="-5"/>
          <w:sz w:val="16"/>
          <w:szCs w:val="16"/>
        </w:rPr>
        <w:t>：</w:t>
      </w:r>
    </w:p>
    <w:p w14:paraId="4816409C">
      <w:pPr>
        <w:spacing w:before="4" w:line="264" w:lineRule="auto"/>
        <w:ind w:right="249" w:firstLine="389"/>
        <w:rPr>
          <w:rFonts w:ascii="楷体" w:hAnsi="楷体" w:eastAsia="楷体" w:cs="楷体"/>
          <w:sz w:val="20"/>
          <w:szCs w:val="20"/>
        </w:rPr>
      </w:pPr>
      <w:r>
        <w:rPr>
          <w:rFonts w:ascii="楷体" w:hAnsi="楷体" w:eastAsia="楷体" w:cs="楷体"/>
          <w:spacing w:val="6"/>
          <w:sz w:val="20"/>
          <w:szCs w:val="20"/>
        </w:rPr>
        <w:t>(1)环境监控系统能够监测到故障，单故障处理需要一定的时间，因此</w:t>
      </w:r>
      <w:r>
        <w:rPr>
          <w:rFonts w:ascii="楷体" w:hAnsi="楷体" w:eastAsia="楷体" w:cs="楷体"/>
          <w:spacing w:val="5"/>
          <w:sz w:val="20"/>
          <w:szCs w:val="20"/>
        </w:rPr>
        <w:t>在环境监控系统建</w:t>
      </w:r>
      <w:r>
        <w:rPr>
          <w:rFonts w:ascii="楷体" w:hAnsi="楷体" w:eastAsia="楷体" w:cs="楷体"/>
          <w:sz w:val="20"/>
          <w:szCs w:val="20"/>
        </w:rPr>
        <w:t xml:space="preserve"> </w:t>
      </w:r>
      <w:r>
        <w:rPr>
          <w:rFonts w:ascii="楷体" w:hAnsi="楷体" w:eastAsia="楷体" w:cs="楷体"/>
          <w:spacing w:val="2"/>
          <w:sz w:val="20"/>
          <w:szCs w:val="20"/>
        </w:rPr>
        <w:t>设时，要考虑故障发生时的临时应急措施。例如，空调下方需做漏水围堰及排水系统，在发生</w:t>
      </w:r>
      <w:r>
        <w:rPr>
          <w:rFonts w:ascii="楷体" w:hAnsi="楷体" w:eastAsia="楷体" w:cs="楷体"/>
          <w:spacing w:val="17"/>
          <w:sz w:val="20"/>
          <w:szCs w:val="20"/>
        </w:rPr>
        <w:t xml:space="preserve"> </w:t>
      </w:r>
      <w:r>
        <w:rPr>
          <w:rFonts w:ascii="楷体" w:hAnsi="楷体" w:eastAsia="楷体" w:cs="楷体"/>
          <w:spacing w:val="-2"/>
          <w:sz w:val="20"/>
          <w:szCs w:val="20"/>
        </w:rPr>
        <w:t>空调漏水时可及时排水、控制漫水面积，为故障处理争取时间。</w:t>
      </w:r>
    </w:p>
    <w:p w14:paraId="1ED67D0C">
      <w:pPr>
        <w:spacing w:before="82" w:line="220" w:lineRule="auto"/>
        <w:ind w:left="389"/>
        <w:rPr>
          <w:rFonts w:ascii="楷体" w:hAnsi="楷体" w:eastAsia="楷体" w:cs="楷体"/>
          <w:sz w:val="20"/>
          <w:szCs w:val="20"/>
        </w:rPr>
      </w:pPr>
      <w:r>
        <w:rPr>
          <w:rFonts w:ascii="楷体" w:hAnsi="楷体" w:eastAsia="楷体" w:cs="楷体"/>
          <w:spacing w:val="2"/>
          <w:sz w:val="20"/>
          <w:szCs w:val="20"/>
        </w:rPr>
        <w:t>(2)环境监控系统的模型比例、位置与现实环境保持一致，能够形象地体现监测情况。</w:t>
      </w:r>
    </w:p>
    <w:p w14:paraId="4EA4DC2C">
      <w:pPr>
        <w:spacing w:line="220" w:lineRule="auto"/>
        <w:rPr>
          <w:rFonts w:ascii="楷体" w:hAnsi="楷体" w:eastAsia="楷体" w:cs="楷体"/>
          <w:sz w:val="20"/>
          <w:szCs w:val="20"/>
        </w:rPr>
        <w:sectPr>
          <w:pgSz w:w="10290" w:h="13380"/>
          <w:pgMar w:top="400" w:right="617" w:bottom="400" w:left="1100" w:header="0" w:footer="0" w:gutter="0"/>
          <w:cols w:space="720" w:num="1"/>
        </w:sectPr>
      </w:pPr>
    </w:p>
    <w:p w14:paraId="2820A77A">
      <w:pPr>
        <w:spacing w:line="268" w:lineRule="auto"/>
        <w:rPr>
          <w:rFonts w:ascii="Arial"/>
          <w:sz w:val="21"/>
        </w:rPr>
      </w:pPr>
    </w:p>
    <w:p w14:paraId="77342F38">
      <w:pPr>
        <w:spacing w:line="268" w:lineRule="auto"/>
        <w:rPr>
          <w:rFonts w:ascii="Arial"/>
          <w:sz w:val="21"/>
        </w:rPr>
      </w:pPr>
    </w:p>
    <w:p w14:paraId="3C5E27E5">
      <w:pPr>
        <w:spacing w:line="268" w:lineRule="auto"/>
        <w:rPr>
          <w:rFonts w:ascii="Arial"/>
          <w:sz w:val="21"/>
        </w:rPr>
      </w:pPr>
    </w:p>
    <w:p w14:paraId="219600D8">
      <w:pPr>
        <w:spacing w:before="130" w:line="241" w:lineRule="auto"/>
        <w:ind w:left="39"/>
        <w:rPr>
          <w:sz w:val="40"/>
          <w:szCs w:val="40"/>
        </w:rPr>
      </w:pPr>
      <w:r>
        <w:rPr>
          <w:rFonts w:ascii="黑体" w:hAnsi="黑体" w:eastAsia="黑体" w:cs="黑体"/>
          <w:color w:val="008AF4"/>
          <w:position w:val="-5"/>
          <w:sz w:val="40"/>
          <w:szCs w:val="40"/>
        </w:rPr>
        <w:drawing>
          <wp:inline distT="0" distB="0" distL="0" distR="0">
            <wp:extent cx="628650" cy="266700"/>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311"/>
                    <a:stretch>
                      <a:fillRect/>
                    </a:stretch>
                  </pic:blipFill>
                  <pic:spPr>
                    <a:xfrm>
                      <a:off x="0" y="0"/>
                      <a:ext cx="628672" cy="266741"/>
                    </a:xfrm>
                    <a:prstGeom prst="rect">
                      <a:avLst/>
                    </a:prstGeom>
                  </pic:spPr>
                </pic:pic>
              </a:graphicData>
            </a:graphic>
          </wp:inline>
        </w:drawing>
      </w:r>
      <w:r>
        <w:rPr>
          <w:rFonts w:ascii="黑体" w:hAnsi="黑体" w:eastAsia="黑体" w:cs="黑体"/>
          <w:color w:val="008AF4"/>
          <w:spacing w:val="17"/>
          <w:sz w:val="40"/>
          <w:szCs w:val="40"/>
        </w:rPr>
        <w:t xml:space="preserve">     </w:t>
      </w:r>
      <w:r>
        <w:rPr>
          <w:rFonts w:ascii="黑体" w:hAnsi="黑体" w:eastAsia="黑体" w:cs="黑体"/>
          <w:b/>
          <w:bCs/>
          <w:color w:val="008AF4"/>
          <w:spacing w:val="11"/>
          <w:sz w:val="40"/>
          <w:szCs w:val="40"/>
        </w:rPr>
        <w:t>第22章</w:t>
      </w:r>
      <w:r>
        <w:rPr>
          <w:rFonts w:ascii="黑体" w:hAnsi="黑体" w:eastAsia="黑体" w:cs="黑体"/>
          <w:color w:val="008AF4"/>
          <w:spacing w:val="8"/>
          <w:sz w:val="40"/>
          <w:szCs w:val="40"/>
        </w:rPr>
        <w:t xml:space="preserve">  </w:t>
      </w:r>
      <w:r>
        <w:rPr>
          <w:rFonts w:ascii="黑体" w:hAnsi="黑体" w:eastAsia="黑体" w:cs="黑体"/>
          <w:b/>
          <w:bCs/>
          <w:color w:val="008AF4"/>
          <w:spacing w:val="11"/>
          <w:sz w:val="40"/>
          <w:szCs w:val="40"/>
        </w:rPr>
        <w:t>软件工程监理</w:t>
      </w:r>
      <w:r>
        <w:rPr>
          <w:rFonts w:ascii="黑体" w:hAnsi="黑体" w:eastAsia="黑体" w:cs="黑体"/>
          <w:color w:val="008AF4"/>
          <w:spacing w:val="11"/>
          <w:sz w:val="40"/>
          <w:szCs w:val="40"/>
        </w:rPr>
        <w:t xml:space="preserve">     </w:t>
      </w:r>
      <w:r>
        <w:rPr>
          <w:position w:val="-2"/>
          <w:sz w:val="40"/>
          <w:szCs w:val="40"/>
        </w:rPr>
        <w:drawing>
          <wp:inline distT="0" distB="0" distL="0" distR="0">
            <wp:extent cx="628015" cy="266700"/>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312"/>
                    <a:stretch>
                      <a:fillRect/>
                    </a:stretch>
                  </pic:blipFill>
                  <pic:spPr>
                    <a:xfrm>
                      <a:off x="0" y="0"/>
                      <a:ext cx="628607" cy="266742"/>
                    </a:xfrm>
                    <a:prstGeom prst="rect">
                      <a:avLst/>
                    </a:prstGeom>
                  </pic:spPr>
                </pic:pic>
              </a:graphicData>
            </a:graphic>
          </wp:inline>
        </w:drawing>
      </w:r>
    </w:p>
    <w:p w14:paraId="09E43D92">
      <w:pPr>
        <w:spacing w:line="352" w:lineRule="auto"/>
        <w:rPr>
          <w:rFonts w:ascii="Arial"/>
          <w:sz w:val="21"/>
        </w:rPr>
      </w:pPr>
    </w:p>
    <w:p w14:paraId="1294DFCB">
      <w:pPr>
        <w:spacing w:line="353" w:lineRule="auto"/>
        <w:rPr>
          <w:rFonts w:ascii="Arial"/>
          <w:sz w:val="21"/>
        </w:rPr>
      </w:pPr>
    </w:p>
    <w:p w14:paraId="5D71C97D">
      <w:pPr>
        <w:pStyle w:val="2"/>
        <w:spacing w:before="65" w:line="291" w:lineRule="auto"/>
        <w:ind w:right="23" w:firstLine="399"/>
        <w:jc w:val="both"/>
        <w:rPr>
          <w:sz w:val="20"/>
          <w:szCs w:val="20"/>
        </w:rPr>
      </w:pPr>
      <w:r>
        <w:rPr>
          <w:spacing w:val="3"/>
          <w:sz w:val="20"/>
          <w:szCs w:val="20"/>
        </w:rPr>
        <w:t>在当今数字时代，软件工程在各类信息系统建设中发挥着至</w:t>
      </w:r>
      <w:r>
        <w:rPr>
          <w:spacing w:val="2"/>
          <w:sz w:val="20"/>
          <w:szCs w:val="20"/>
        </w:rPr>
        <w:t>关重要的作用。为确保项目的</w:t>
      </w:r>
      <w:r>
        <w:rPr>
          <w:sz w:val="20"/>
          <w:szCs w:val="20"/>
        </w:rPr>
        <w:t xml:space="preserve"> </w:t>
      </w:r>
      <w:r>
        <w:rPr>
          <w:spacing w:val="3"/>
          <w:sz w:val="20"/>
          <w:szCs w:val="20"/>
        </w:rPr>
        <w:t>顺利进行和高质量完成，软件工程监理成为不可或缺的环节。软件工程在招标、设计、实施和</w:t>
      </w:r>
      <w:r>
        <w:rPr>
          <w:spacing w:val="2"/>
          <w:sz w:val="20"/>
          <w:szCs w:val="20"/>
        </w:rPr>
        <w:t xml:space="preserve"> </w:t>
      </w:r>
      <w:r>
        <w:rPr>
          <w:spacing w:val="3"/>
          <w:sz w:val="20"/>
          <w:szCs w:val="20"/>
        </w:rPr>
        <w:t>验收过程中，从需求分析、设计、编码、测试到部署等多个方面如何进行有</w:t>
      </w:r>
      <w:r>
        <w:rPr>
          <w:spacing w:val="2"/>
          <w:sz w:val="20"/>
          <w:szCs w:val="20"/>
        </w:rPr>
        <w:t>效监管，需要监理</w:t>
      </w:r>
      <w:r>
        <w:rPr>
          <w:sz w:val="20"/>
          <w:szCs w:val="20"/>
        </w:rPr>
        <w:t xml:space="preserve"> </w:t>
      </w:r>
      <w:r>
        <w:rPr>
          <w:spacing w:val="3"/>
          <w:sz w:val="20"/>
          <w:szCs w:val="20"/>
        </w:rPr>
        <w:t>人员掌握监理服务的关键活动、主要内容和要求，以及软件监理服务的监理要</w:t>
      </w:r>
      <w:r>
        <w:rPr>
          <w:spacing w:val="2"/>
          <w:sz w:val="20"/>
          <w:szCs w:val="20"/>
        </w:rPr>
        <w:t>点、监理主要输</w:t>
      </w:r>
      <w:r>
        <w:rPr>
          <w:sz w:val="20"/>
          <w:szCs w:val="20"/>
        </w:rPr>
        <w:t xml:space="preserve"> </w:t>
      </w:r>
      <w:r>
        <w:rPr>
          <w:spacing w:val="3"/>
          <w:sz w:val="20"/>
          <w:szCs w:val="20"/>
        </w:rPr>
        <w:t>出文档等。本章对监理人员开展软件工程监理工作，对监理机构编制监理大纲、</w:t>
      </w:r>
      <w:r>
        <w:rPr>
          <w:spacing w:val="2"/>
          <w:sz w:val="20"/>
          <w:szCs w:val="20"/>
        </w:rPr>
        <w:t>监理规划和监</w:t>
      </w:r>
      <w:r>
        <w:rPr>
          <w:sz w:val="20"/>
          <w:szCs w:val="20"/>
        </w:rPr>
        <w:t xml:space="preserve"> </w:t>
      </w:r>
      <w:r>
        <w:rPr>
          <w:spacing w:val="-2"/>
          <w:sz w:val="20"/>
          <w:szCs w:val="20"/>
        </w:rPr>
        <w:t>理实施细则，以及项目作业指导书或监理文档等起到必要的指导作用。</w:t>
      </w:r>
    </w:p>
    <w:p w14:paraId="366A9482">
      <w:pPr>
        <w:spacing w:line="311" w:lineRule="auto"/>
        <w:rPr>
          <w:rFonts w:ascii="Arial"/>
          <w:sz w:val="21"/>
        </w:rPr>
      </w:pPr>
    </w:p>
    <w:p w14:paraId="1E51FE0E">
      <w:pPr>
        <w:pStyle w:val="2"/>
        <w:spacing w:before="94" w:line="221" w:lineRule="auto"/>
        <w:ind w:left="3"/>
        <w:rPr>
          <w:rFonts w:ascii="黑体" w:hAnsi="黑体" w:eastAsia="黑体" w:cs="黑体"/>
          <w:sz w:val="29"/>
          <w:szCs w:val="29"/>
        </w:rPr>
      </w:pPr>
      <w:r>
        <w:rPr>
          <w:b/>
          <w:bCs/>
          <w:color w:val="0085DF"/>
          <w:spacing w:val="-13"/>
          <w:sz w:val="29"/>
          <w:szCs w:val="29"/>
        </w:rPr>
        <w:t>22.1</w:t>
      </w:r>
      <w:r>
        <w:rPr>
          <w:color w:val="0085DF"/>
          <w:spacing w:val="7"/>
          <w:sz w:val="29"/>
          <w:szCs w:val="29"/>
        </w:rPr>
        <w:t xml:space="preserve">  </w:t>
      </w:r>
      <w:r>
        <w:rPr>
          <w:rFonts w:ascii="黑体" w:hAnsi="黑体" w:eastAsia="黑体" w:cs="黑体"/>
          <w:b/>
          <w:bCs/>
          <w:color w:val="0085DF"/>
          <w:spacing w:val="-13"/>
          <w:sz w:val="29"/>
          <w:szCs w:val="29"/>
        </w:rPr>
        <w:t>概述</w:t>
      </w:r>
    </w:p>
    <w:p w14:paraId="40F0CB79">
      <w:pPr>
        <w:pStyle w:val="2"/>
        <w:spacing w:before="256" w:line="277" w:lineRule="auto"/>
        <w:ind w:firstLine="399"/>
        <w:jc w:val="both"/>
        <w:rPr>
          <w:sz w:val="20"/>
          <w:szCs w:val="20"/>
        </w:rPr>
      </w:pPr>
      <w:r>
        <w:rPr>
          <w:spacing w:val="-2"/>
          <w:sz w:val="20"/>
          <w:szCs w:val="20"/>
        </w:rPr>
        <w:t>软件工程各阶段和支持过程的监理工作，应符合软件工程建设要求和监理合同所</w:t>
      </w:r>
      <w:r>
        <w:rPr>
          <w:spacing w:val="-3"/>
          <w:sz w:val="20"/>
          <w:szCs w:val="20"/>
        </w:rPr>
        <w:t>约束的监理</w:t>
      </w:r>
      <w:r>
        <w:rPr>
          <w:sz w:val="20"/>
          <w:szCs w:val="20"/>
        </w:rPr>
        <w:t xml:space="preserve"> </w:t>
      </w:r>
      <w:r>
        <w:rPr>
          <w:spacing w:val="-2"/>
          <w:sz w:val="20"/>
          <w:szCs w:val="20"/>
        </w:rPr>
        <w:t>服务要求，严格执行强制性国家标准、行业标准和地方标准，并按照监理规范、有关建设内容的</w:t>
      </w:r>
      <w:r>
        <w:rPr>
          <w:spacing w:val="8"/>
          <w:sz w:val="20"/>
          <w:szCs w:val="20"/>
        </w:rPr>
        <w:t xml:space="preserve"> </w:t>
      </w:r>
      <w:r>
        <w:rPr>
          <w:spacing w:val="-6"/>
          <w:sz w:val="20"/>
          <w:szCs w:val="20"/>
        </w:rPr>
        <w:t>技术标准及规范开展必要的监理活动，落实监理内容，提出监理意见或建议，做好监理工作记录。</w:t>
      </w:r>
    </w:p>
    <w:p w14:paraId="442ED169">
      <w:pPr>
        <w:pStyle w:val="2"/>
        <w:spacing w:before="216" w:line="219" w:lineRule="auto"/>
        <w:ind w:left="2"/>
        <w:rPr>
          <w:sz w:val="25"/>
          <w:szCs w:val="25"/>
        </w:rPr>
      </w:pPr>
      <w:r>
        <w:rPr>
          <w:b/>
          <w:bCs/>
          <w:color w:val="0084DC"/>
          <w:spacing w:val="-17"/>
          <w:sz w:val="25"/>
          <w:szCs w:val="25"/>
        </w:rPr>
        <w:t>22.1.1</w:t>
      </w:r>
      <w:r>
        <w:rPr>
          <w:color w:val="0084DC"/>
          <w:spacing w:val="91"/>
          <w:sz w:val="25"/>
          <w:szCs w:val="25"/>
        </w:rPr>
        <w:t xml:space="preserve"> </w:t>
      </w:r>
      <w:r>
        <w:rPr>
          <w:b/>
          <w:bCs/>
          <w:color w:val="0084DC"/>
          <w:spacing w:val="-17"/>
          <w:sz w:val="25"/>
          <w:szCs w:val="25"/>
        </w:rPr>
        <w:t>基本概念</w:t>
      </w:r>
    </w:p>
    <w:p w14:paraId="14EA5CF9">
      <w:pPr>
        <w:pStyle w:val="2"/>
        <w:spacing w:before="182" w:line="222" w:lineRule="auto"/>
        <w:ind w:left="402"/>
        <w:rPr>
          <w:rFonts w:ascii="黑体" w:hAnsi="黑体" w:eastAsia="黑体" w:cs="黑体"/>
          <w:sz w:val="20"/>
          <w:szCs w:val="20"/>
        </w:rPr>
      </w:pPr>
      <w:r>
        <w:rPr>
          <w:b/>
          <w:bCs/>
          <w:color w:val="007DD1"/>
          <w:spacing w:val="-1"/>
          <w:sz w:val="20"/>
          <w:szCs w:val="20"/>
        </w:rPr>
        <w:t>1.</w:t>
      </w:r>
      <w:r>
        <w:rPr>
          <w:rFonts w:ascii="黑体" w:hAnsi="黑体" w:eastAsia="黑体" w:cs="黑体"/>
          <w:b/>
          <w:bCs/>
          <w:color w:val="007DD1"/>
          <w:spacing w:val="-1"/>
          <w:sz w:val="20"/>
          <w:szCs w:val="20"/>
        </w:rPr>
        <w:t>软件工程</w:t>
      </w:r>
    </w:p>
    <w:p w14:paraId="6513B2E4">
      <w:pPr>
        <w:pStyle w:val="2"/>
        <w:spacing w:before="132" w:line="273" w:lineRule="auto"/>
        <w:ind w:right="30" w:firstLine="399"/>
        <w:rPr>
          <w:sz w:val="20"/>
          <w:szCs w:val="20"/>
        </w:rPr>
      </w:pPr>
      <w:r>
        <w:rPr>
          <w:spacing w:val="3"/>
          <w:sz w:val="20"/>
          <w:szCs w:val="20"/>
        </w:rPr>
        <w:t>应用计算机科学理论和技术以及工程管理原则和方法，按预算和进度，实现满足用户要求</w:t>
      </w:r>
      <w:r>
        <w:rPr>
          <w:spacing w:val="1"/>
          <w:sz w:val="20"/>
          <w:szCs w:val="20"/>
        </w:rPr>
        <w:t xml:space="preserve"> </w:t>
      </w:r>
      <w:r>
        <w:rPr>
          <w:spacing w:val="-2"/>
          <w:sz w:val="20"/>
          <w:szCs w:val="20"/>
        </w:rPr>
        <w:t>的软件产品的定义、开发、发布和维护的工程或进行研究的科学。</w:t>
      </w:r>
    </w:p>
    <w:p w14:paraId="2802C782">
      <w:pPr>
        <w:pStyle w:val="2"/>
        <w:spacing w:before="156" w:line="222" w:lineRule="auto"/>
        <w:ind w:left="402"/>
        <w:rPr>
          <w:rFonts w:ascii="黑体" w:hAnsi="黑体" w:eastAsia="黑体" w:cs="黑体"/>
          <w:sz w:val="20"/>
          <w:szCs w:val="20"/>
        </w:rPr>
      </w:pPr>
      <w:r>
        <w:rPr>
          <w:b/>
          <w:bCs/>
          <w:color w:val="0078D5"/>
          <w:spacing w:val="-1"/>
          <w:sz w:val="20"/>
          <w:szCs w:val="20"/>
        </w:rPr>
        <w:t>2.</w:t>
      </w:r>
      <w:r>
        <w:rPr>
          <w:rFonts w:ascii="黑体" w:hAnsi="黑体" w:eastAsia="黑体" w:cs="黑体"/>
          <w:b/>
          <w:bCs/>
          <w:color w:val="0078D5"/>
          <w:spacing w:val="-1"/>
          <w:sz w:val="20"/>
          <w:szCs w:val="20"/>
        </w:rPr>
        <w:t>就绪可用软件产品</w:t>
      </w:r>
    </w:p>
    <w:p w14:paraId="4815C310">
      <w:pPr>
        <w:pStyle w:val="2"/>
        <w:spacing w:before="112" w:line="219" w:lineRule="auto"/>
        <w:ind w:left="399"/>
        <w:rPr>
          <w:sz w:val="20"/>
          <w:szCs w:val="20"/>
        </w:rPr>
      </w:pPr>
      <w:r>
        <w:rPr>
          <w:spacing w:val="-2"/>
          <w:sz w:val="20"/>
          <w:szCs w:val="20"/>
        </w:rPr>
        <w:t>可供任何用户使用，不需要经过实施开发活动的软件产品。</w:t>
      </w:r>
    </w:p>
    <w:p w14:paraId="05BB4830">
      <w:pPr>
        <w:pStyle w:val="2"/>
        <w:spacing w:before="179" w:line="221" w:lineRule="auto"/>
        <w:ind w:left="402"/>
        <w:rPr>
          <w:rFonts w:ascii="黑体" w:hAnsi="黑体" w:eastAsia="黑体" w:cs="黑体"/>
          <w:sz w:val="20"/>
          <w:szCs w:val="20"/>
        </w:rPr>
      </w:pPr>
      <w:r>
        <w:rPr>
          <w:b/>
          <w:bCs/>
          <w:color w:val="008ADB"/>
          <w:sz w:val="20"/>
          <w:szCs w:val="20"/>
        </w:rPr>
        <w:t>3.</w:t>
      </w:r>
      <w:r>
        <w:rPr>
          <w:rFonts w:ascii="黑体" w:hAnsi="黑体" w:eastAsia="黑体" w:cs="黑体"/>
          <w:b/>
          <w:bCs/>
          <w:color w:val="008ADB"/>
          <w:sz w:val="20"/>
          <w:szCs w:val="20"/>
        </w:rPr>
        <w:t>单元测试</w:t>
      </w:r>
    </w:p>
    <w:p w14:paraId="7150C163">
      <w:pPr>
        <w:pStyle w:val="2"/>
        <w:spacing w:before="133" w:line="272" w:lineRule="auto"/>
        <w:ind w:right="28" w:firstLine="399"/>
        <w:jc w:val="both"/>
        <w:rPr>
          <w:sz w:val="20"/>
          <w:szCs w:val="20"/>
        </w:rPr>
      </w:pPr>
      <w:r>
        <w:rPr>
          <w:sz w:val="20"/>
          <w:szCs w:val="20"/>
        </w:rPr>
        <w:t>对软件中的最小可测试单元进行检查和验证。对于单元测试中单元的含义， 一般来说，要</w:t>
      </w:r>
      <w:r>
        <w:rPr>
          <w:spacing w:val="18"/>
          <w:sz w:val="20"/>
          <w:szCs w:val="20"/>
        </w:rPr>
        <w:t xml:space="preserve"> </w:t>
      </w:r>
      <w:r>
        <w:rPr>
          <w:spacing w:val="2"/>
          <w:sz w:val="20"/>
          <w:szCs w:val="20"/>
        </w:rPr>
        <w:t>根据实际情况去判定其具体含义，如</w:t>
      </w:r>
      <w:r>
        <w:rPr>
          <w:rFonts w:ascii="Times New Roman" w:hAnsi="Times New Roman" w:eastAsia="Times New Roman" w:cs="Times New Roman"/>
          <w:spacing w:val="2"/>
          <w:sz w:val="20"/>
          <w:szCs w:val="20"/>
        </w:rPr>
        <w:t>C</w:t>
      </w:r>
      <w:r>
        <w:rPr>
          <w:rFonts w:ascii="Times New Roman" w:hAnsi="Times New Roman" w:eastAsia="Times New Roman" w:cs="Times New Roman"/>
          <w:spacing w:val="21"/>
          <w:w w:val="101"/>
          <w:sz w:val="20"/>
          <w:szCs w:val="20"/>
        </w:rPr>
        <w:t xml:space="preserve"> </w:t>
      </w:r>
      <w:r>
        <w:rPr>
          <w:spacing w:val="2"/>
          <w:sz w:val="20"/>
          <w:szCs w:val="20"/>
        </w:rPr>
        <w:t>语言中单元指一个函数，</w:t>
      </w:r>
      <w:r>
        <w:rPr>
          <w:rFonts w:ascii="Times New Roman" w:hAnsi="Times New Roman" w:eastAsia="Times New Roman" w:cs="Times New Roman"/>
          <w:sz w:val="20"/>
          <w:szCs w:val="20"/>
        </w:rPr>
        <w:t>Java</w:t>
      </w:r>
      <w:r>
        <w:rPr>
          <w:rFonts w:ascii="Times New Roman" w:hAnsi="Times New Roman" w:eastAsia="Times New Roman" w:cs="Times New Roman"/>
          <w:spacing w:val="29"/>
          <w:sz w:val="20"/>
          <w:szCs w:val="20"/>
        </w:rPr>
        <w:t xml:space="preserve"> </w:t>
      </w:r>
      <w:r>
        <w:rPr>
          <w:spacing w:val="2"/>
          <w:sz w:val="20"/>
          <w:szCs w:val="20"/>
        </w:rPr>
        <w:t>中单元指一个类，图形化</w:t>
      </w:r>
      <w:r>
        <w:rPr>
          <w:sz w:val="20"/>
          <w:szCs w:val="20"/>
        </w:rPr>
        <w:t xml:space="preserve"> </w:t>
      </w:r>
      <w:r>
        <w:rPr>
          <w:spacing w:val="3"/>
          <w:sz w:val="20"/>
          <w:szCs w:val="20"/>
        </w:rPr>
        <w:t>软件中单元可以指一个窗口或一个菜单等。总的来说，单元就是人为规定的最小</w:t>
      </w:r>
      <w:r>
        <w:rPr>
          <w:spacing w:val="2"/>
          <w:sz w:val="20"/>
          <w:szCs w:val="20"/>
        </w:rPr>
        <w:t>的被测功能模</w:t>
      </w:r>
      <w:r>
        <w:rPr>
          <w:sz w:val="20"/>
          <w:szCs w:val="20"/>
        </w:rPr>
        <w:t xml:space="preserve"> </w:t>
      </w:r>
      <w:r>
        <w:rPr>
          <w:spacing w:val="3"/>
          <w:sz w:val="20"/>
          <w:szCs w:val="20"/>
        </w:rPr>
        <w:t>块。单元测试是在软件开发过程中要进行的最低级别的测试活动，软件的独立单元将在</w:t>
      </w:r>
      <w:r>
        <w:rPr>
          <w:spacing w:val="2"/>
          <w:sz w:val="20"/>
          <w:szCs w:val="20"/>
        </w:rPr>
        <w:t>与程序</w:t>
      </w:r>
      <w:r>
        <w:rPr>
          <w:sz w:val="20"/>
          <w:szCs w:val="20"/>
        </w:rPr>
        <w:t xml:space="preserve"> </w:t>
      </w:r>
      <w:r>
        <w:rPr>
          <w:spacing w:val="-3"/>
          <w:sz w:val="20"/>
          <w:szCs w:val="20"/>
        </w:rPr>
        <w:t>的其他部分相隔离的情况下进行测试。</w:t>
      </w:r>
    </w:p>
    <w:p w14:paraId="4A045417">
      <w:pPr>
        <w:pStyle w:val="2"/>
        <w:spacing w:before="165" w:line="221" w:lineRule="auto"/>
        <w:ind w:left="402"/>
        <w:rPr>
          <w:rFonts w:ascii="黑体" w:hAnsi="黑体" w:eastAsia="黑体" w:cs="黑体"/>
          <w:sz w:val="20"/>
          <w:szCs w:val="20"/>
        </w:rPr>
      </w:pPr>
      <w:r>
        <w:rPr>
          <w:b/>
          <w:bCs/>
          <w:color w:val="0078C9"/>
          <w:spacing w:val="-2"/>
          <w:sz w:val="20"/>
          <w:szCs w:val="20"/>
        </w:rPr>
        <w:t>4.</w:t>
      </w:r>
      <w:r>
        <w:rPr>
          <w:rFonts w:ascii="黑体" w:hAnsi="黑体" w:eastAsia="黑体" w:cs="黑体"/>
          <w:b/>
          <w:bCs/>
          <w:color w:val="0078C9"/>
          <w:spacing w:val="-2"/>
          <w:sz w:val="20"/>
          <w:szCs w:val="20"/>
        </w:rPr>
        <w:t>集成测试</w:t>
      </w:r>
    </w:p>
    <w:p w14:paraId="43087B74">
      <w:pPr>
        <w:pStyle w:val="2"/>
        <w:spacing w:before="156" w:line="254" w:lineRule="auto"/>
        <w:ind w:right="30" w:firstLine="399"/>
        <w:rPr>
          <w:sz w:val="20"/>
          <w:szCs w:val="20"/>
        </w:rPr>
      </w:pPr>
      <w:r>
        <w:rPr>
          <w:spacing w:val="8"/>
          <w:sz w:val="20"/>
          <w:szCs w:val="20"/>
        </w:rPr>
        <w:t>集成测试，也叫组装测试或联合测试。在单元测试的基础上，将所有模块按照设计要求</w:t>
      </w:r>
      <w:r>
        <w:rPr>
          <w:spacing w:val="14"/>
          <w:sz w:val="20"/>
          <w:szCs w:val="20"/>
        </w:rPr>
        <w:t xml:space="preserve"> </w:t>
      </w:r>
      <w:r>
        <w:rPr>
          <w:spacing w:val="2"/>
          <w:sz w:val="20"/>
          <w:szCs w:val="20"/>
        </w:rPr>
        <w:t>(如根据结构图)组装成为子系统或系统，进行集成测试。</w:t>
      </w:r>
    </w:p>
    <w:p w14:paraId="32F1DD47">
      <w:pPr>
        <w:pStyle w:val="2"/>
        <w:spacing w:before="134" w:line="221" w:lineRule="auto"/>
        <w:ind w:left="402"/>
        <w:rPr>
          <w:rFonts w:ascii="黑体" w:hAnsi="黑体" w:eastAsia="黑体" w:cs="黑体"/>
          <w:sz w:val="20"/>
          <w:szCs w:val="20"/>
        </w:rPr>
      </w:pPr>
      <w:r>
        <w:rPr>
          <w:b/>
          <w:bCs/>
          <w:color w:val="007ED3"/>
          <w:spacing w:val="-2"/>
          <w:sz w:val="20"/>
          <w:szCs w:val="20"/>
        </w:rPr>
        <w:t>5.</w:t>
      </w:r>
      <w:r>
        <w:rPr>
          <w:rFonts w:ascii="黑体" w:hAnsi="黑体" w:eastAsia="黑体" w:cs="黑体"/>
          <w:b/>
          <w:bCs/>
          <w:color w:val="007ED3"/>
          <w:spacing w:val="-2"/>
          <w:sz w:val="20"/>
          <w:szCs w:val="20"/>
        </w:rPr>
        <w:t>系统测试</w:t>
      </w:r>
    </w:p>
    <w:p w14:paraId="0D8BC5AD">
      <w:pPr>
        <w:spacing w:before="131" w:line="220" w:lineRule="auto"/>
        <w:ind w:right="25"/>
        <w:jc w:val="right"/>
        <w:rPr>
          <w:rFonts w:ascii="仿宋" w:hAnsi="仿宋" w:eastAsia="仿宋" w:cs="仿宋"/>
          <w:sz w:val="20"/>
          <w:szCs w:val="20"/>
        </w:rPr>
      </w:pPr>
      <w:r>
        <w:rPr>
          <w:rFonts w:ascii="仿宋" w:hAnsi="仿宋" w:eastAsia="仿宋" w:cs="仿宋"/>
          <w:spacing w:val="3"/>
          <w:sz w:val="20"/>
          <w:szCs w:val="20"/>
        </w:rPr>
        <w:t>对整套系统的测试，将硬件、软件、操作人员看作一个整体，检验它是否有不符合系统说</w:t>
      </w:r>
    </w:p>
    <w:p w14:paraId="67F2563A">
      <w:pPr>
        <w:spacing w:line="220" w:lineRule="auto"/>
        <w:rPr>
          <w:rFonts w:ascii="仿宋" w:hAnsi="仿宋" w:eastAsia="仿宋" w:cs="仿宋"/>
          <w:sz w:val="20"/>
          <w:szCs w:val="20"/>
        </w:rPr>
        <w:sectPr>
          <w:pgSz w:w="10300" w:h="13520"/>
          <w:pgMar w:top="400" w:right="1069" w:bottom="400" w:left="880" w:header="0" w:footer="0" w:gutter="0"/>
          <w:cols w:space="720" w:num="1"/>
        </w:sectPr>
      </w:pPr>
    </w:p>
    <w:p w14:paraId="0EEAADAE">
      <w:pPr>
        <w:pStyle w:val="2"/>
        <w:spacing w:before="10"/>
        <w:jc w:val="right"/>
        <w:rPr>
          <w:sz w:val="20"/>
          <w:szCs w:val="20"/>
        </w:rPr>
      </w:pPr>
      <w:r>
        <w:rPr>
          <w:spacing w:val="-2"/>
          <w:sz w:val="20"/>
          <w:szCs w:val="20"/>
        </w:rPr>
        <w:t>第22章 软件工程监理</w:t>
      </w:r>
      <w:r>
        <w:rPr>
          <w:spacing w:val="2"/>
          <w:sz w:val="20"/>
          <w:szCs w:val="20"/>
        </w:rPr>
        <w:t xml:space="preserve">      </w:t>
      </w:r>
      <w:r>
        <w:rPr>
          <w:rFonts w:ascii="Times New Roman" w:hAnsi="Times New Roman" w:eastAsia="Times New Roman" w:cs="Times New Roman"/>
          <w:spacing w:val="-2"/>
          <w:position w:val="-4"/>
          <w:sz w:val="20"/>
          <w:szCs w:val="20"/>
        </w:rPr>
        <w:t xml:space="preserve">503   </w:t>
      </w:r>
      <w:r>
        <w:rPr>
          <w:position w:val="-7"/>
          <w:sz w:val="20"/>
          <w:szCs w:val="20"/>
        </w:rPr>
        <w:drawing>
          <wp:inline distT="0" distB="0" distL="0" distR="0">
            <wp:extent cx="285115" cy="189865"/>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313"/>
                    <a:stretch>
                      <a:fillRect/>
                    </a:stretch>
                  </pic:blipFill>
                  <pic:spPr>
                    <a:xfrm>
                      <a:off x="0" y="0"/>
                      <a:ext cx="285737" cy="190452"/>
                    </a:xfrm>
                    <a:prstGeom prst="rect">
                      <a:avLst/>
                    </a:prstGeom>
                  </pic:spPr>
                </pic:pic>
              </a:graphicData>
            </a:graphic>
          </wp:inline>
        </w:drawing>
      </w:r>
    </w:p>
    <w:p w14:paraId="712BE6FC">
      <w:pPr>
        <w:spacing w:line="257" w:lineRule="auto"/>
        <w:rPr>
          <w:rFonts w:ascii="Arial"/>
          <w:sz w:val="21"/>
        </w:rPr>
      </w:pPr>
    </w:p>
    <w:p w14:paraId="751D1B60">
      <w:pPr>
        <w:pStyle w:val="2"/>
        <w:spacing w:before="65" w:line="219" w:lineRule="auto"/>
        <w:rPr>
          <w:sz w:val="20"/>
          <w:szCs w:val="20"/>
        </w:rPr>
      </w:pPr>
      <w:r>
        <w:rPr>
          <w:spacing w:val="-8"/>
          <w:sz w:val="20"/>
          <w:szCs w:val="20"/>
        </w:rPr>
        <w:t>明书的地方。</w:t>
      </w:r>
    </w:p>
    <w:p w14:paraId="074F321D">
      <w:pPr>
        <w:pStyle w:val="2"/>
        <w:spacing w:before="189" w:line="221" w:lineRule="auto"/>
        <w:ind w:left="402"/>
        <w:rPr>
          <w:rFonts w:ascii="黑体" w:hAnsi="黑体" w:eastAsia="黑体" w:cs="黑体"/>
          <w:sz w:val="20"/>
          <w:szCs w:val="20"/>
        </w:rPr>
      </w:pPr>
      <w:bookmarkStart w:id="729" w:name="bookmark714"/>
      <w:bookmarkEnd w:id="729"/>
      <w:r>
        <w:rPr>
          <w:b/>
          <w:bCs/>
          <w:color w:val="0082CE"/>
          <w:spacing w:val="-2"/>
          <w:sz w:val="20"/>
          <w:szCs w:val="20"/>
        </w:rPr>
        <w:t>6.</w:t>
      </w:r>
      <w:r>
        <w:rPr>
          <w:rFonts w:ascii="黑体" w:hAnsi="黑体" w:eastAsia="黑体" w:cs="黑体"/>
          <w:b/>
          <w:bCs/>
          <w:color w:val="0082CE"/>
          <w:spacing w:val="-2"/>
          <w:sz w:val="20"/>
          <w:szCs w:val="20"/>
        </w:rPr>
        <w:t>验收测试</w:t>
      </w:r>
    </w:p>
    <w:p w14:paraId="3BC1E82E">
      <w:pPr>
        <w:pStyle w:val="2"/>
        <w:spacing w:before="155" w:line="281" w:lineRule="auto"/>
        <w:ind w:right="902" w:firstLine="400"/>
        <w:rPr>
          <w:sz w:val="20"/>
          <w:szCs w:val="20"/>
        </w:rPr>
      </w:pPr>
      <w:r>
        <w:rPr>
          <w:spacing w:val="-2"/>
          <w:sz w:val="20"/>
          <w:szCs w:val="20"/>
        </w:rPr>
        <w:t>部署软件之前的最后一个测试操作，是在软件产品完成了单元测试、集成测试和系</w:t>
      </w:r>
      <w:r>
        <w:rPr>
          <w:spacing w:val="-3"/>
          <w:sz w:val="20"/>
          <w:szCs w:val="20"/>
        </w:rPr>
        <w:t>统测试之</w:t>
      </w:r>
      <w:r>
        <w:rPr>
          <w:sz w:val="20"/>
          <w:szCs w:val="20"/>
        </w:rPr>
        <w:t xml:space="preserve"> </w:t>
      </w:r>
      <w:r>
        <w:rPr>
          <w:spacing w:val="-6"/>
          <w:sz w:val="20"/>
          <w:szCs w:val="20"/>
        </w:rPr>
        <w:t>后，在产品发布之前所进行的软件测试活动。它是技术测试的最后一个阶段，也称为交付测试。</w:t>
      </w:r>
    </w:p>
    <w:p w14:paraId="772B89FD">
      <w:pPr>
        <w:pStyle w:val="2"/>
        <w:spacing w:before="189" w:line="219" w:lineRule="auto"/>
        <w:ind w:left="2"/>
        <w:rPr>
          <w:sz w:val="25"/>
          <w:szCs w:val="25"/>
        </w:rPr>
      </w:pPr>
      <w:r>
        <w:rPr>
          <w:b/>
          <w:bCs/>
          <w:color w:val="0087E2"/>
          <w:spacing w:val="-16"/>
          <w:sz w:val="25"/>
          <w:szCs w:val="25"/>
        </w:rPr>
        <w:t>22.1.2</w:t>
      </w:r>
      <w:r>
        <w:rPr>
          <w:color w:val="0087E2"/>
          <w:spacing w:val="109"/>
          <w:sz w:val="25"/>
          <w:szCs w:val="25"/>
        </w:rPr>
        <w:t xml:space="preserve"> </w:t>
      </w:r>
      <w:r>
        <w:rPr>
          <w:b/>
          <w:bCs/>
          <w:color w:val="0087E2"/>
          <w:spacing w:val="-16"/>
          <w:sz w:val="25"/>
          <w:szCs w:val="25"/>
        </w:rPr>
        <w:t>软件工程建设阶段划分及监理任务</w:t>
      </w:r>
    </w:p>
    <w:p w14:paraId="568D64B3">
      <w:pPr>
        <w:pStyle w:val="2"/>
        <w:spacing w:before="260" w:line="221" w:lineRule="auto"/>
        <w:ind w:left="462"/>
        <w:rPr>
          <w:rFonts w:ascii="黑体" w:hAnsi="黑体" w:eastAsia="黑体" w:cs="黑体"/>
          <w:sz w:val="20"/>
          <w:szCs w:val="20"/>
        </w:rPr>
      </w:pPr>
      <w:r>
        <w:rPr>
          <w:b/>
          <w:bCs/>
          <w:color w:val="0081D7"/>
          <w:spacing w:val="-5"/>
          <w:sz w:val="20"/>
          <w:szCs w:val="20"/>
        </w:rPr>
        <w:t>1.</w:t>
      </w:r>
      <w:r>
        <w:rPr>
          <w:rFonts w:ascii="黑体" w:hAnsi="黑体" w:eastAsia="黑体" w:cs="黑体"/>
          <w:b/>
          <w:bCs/>
          <w:color w:val="0081D7"/>
          <w:spacing w:val="-5"/>
          <w:sz w:val="20"/>
          <w:szCs w:val="20"/>
        </w:rPr>
        <w:t>软件工程规划阶段的监理任务</w:t>
      </w:r>
    </w:p>
    <w:p w14:paraId="544EDFEE">
      <w:pPr>
        <w:pStyle w:val="2"/>
        <w:spacing w:before="124" w:line="292" w:lineRule="auto"/>
        <w:ind w:right="900" w:firstLine="400"/>
        <w:rPr>
          <w:sz w:val="20"/>
          <w:szCs w:val="20"/>
        </w:rPr>
      </w:pPr>
      <w:r>
        <w:rPr>
          <w:spacing w:val="3"/>
          <w:sz w:val="20"/>
          <w:szCs w:val="20"/>
        </w:rPr>
        <w:t>软件工程规划的主要监理任务是为业主单位提供咨询服务，在业主单位的要求下，可以包</w:t>
      </w:r>
      <w:r>
        <w:rPr>
          <w:sz w:val="20"/>
          <w:szCs w:val="20"/>
        </w:rPr>
        <w:t xml:space="preserve"> </w:t>
      </w:r>
      <w:r>
        <w:rPr>
          <w:spacing w:val="-8"/>
          <w:sz w:val="20"/>
          <w:szCs w:val="20"/>
        </w:rPr>
        <w:t>含如下内容：</w:t>
      </w:r>
    </w:p>
    <w:p w14:paraId="618C3B82">
      <w:pPr>
        <w:pStyle w:val="2"/>
        <w:spacing w:before="18" w:line="219" w:lineRule="auto"/>
        <w:ind w:left="400"/>
        <w:rPr>
          <w:sz w:val="20"/>
          <w:szCs w:val="20"/>
        </w:rPr>
      </w:pPr>
      <w:r>
        <w:rPr>
          <w:spacing w:val="1"/>
          <w:sz w:val="20"/>
          <w:szCs w:val="20"/>
        </w:rPr>
        <w:t>(1)协助业主单位梳理业务目标，制定软件系统建设目标；</w:t>
      </w:r>
    </w:p>
    <w:p w14:paraId="7F88FE3E">
      <w:pPr>
        <w:pStyle w:val="2"/>
        <w:spacing w:before="83" w:line="219" w:lineRule="auto"/>
        <w:ind w:left="400"/>
        <w:rPr>
          <w:sz w:val="20"/>
          <w:szCs w:val="20"/>
        </w:rPr>
      </w:pPr>
      <w:r>
        <w:rPr>
          <w:spacing w:val="1"/>
          <w:sz w:val="20"/>
          <w:szCs w:val="20"/>
        </w:rPr>
        <w:t>(2)协助业主单位开展软件系统需求分析工作；</w:t>
      </w:r>
    </w:p>
    <w:p w14:paraId="63E30656">
      <w:pPr>
        <w:pStyle w:val="2"/>
        <w:spacing w:before="72" w:line="248" w:lineRule="auto"/>
        <w:ind w:right="901" w:firstLine="400"/>
        <w:rPr>
          <w:sz w:val="20"/>
          <w:szCs w:val="20"/>
        </w:rPr>
      </w:pPr>
      <w:r>
        <w:rPr>
          <w:spacing w:val="5"/>
          <w:sz w:val="20"/>
          <w:szCs w:val="20"/>
        </w:rPr>
        <w:t>(3)协助业主单位对软件系统建设方案进行可行性分析、必要性分析，确定软件系统的技</w:t>
      </w:r>
      <w:r>
        <w:rPr>
          <w:spacing w:val="17"/>
          <w:sz w:val="20"/>
          <w:szCs w:val="20"/>
        </w:rPr>
        <w:t xml:space="preserve"> </w:t>
      </w:r>
      <w:r>
        <w:rPr>
          <w:spacing w:val="-6"/>
          <w:sz w:val="20"/>
          <w:szCs w:val="20"/>
        </w:rPr>
        <w:t>术架构和建设方案；</w:t>
      </w:r>
    </w:p>
    <w:p w14:paraId="611C5734">
      <w:pPr>
        <w:pStyle w:val="2"/>
        <w:spacing w:before="81" w:line="218" w:lineRule="auto"/>
        <w:ind w:left="400"/>
        <w:rPr>
          <w:sz w:val="20"/>
          <w:szCs w:val="20"/>
        </w:rPr>
      </w:pPr>
      <w:r>
        <w:rPr>
          <w:spacing w:val="2"/>
          <w:sz w:val="20"/>
          <w:szCs w:val="20"/>
        </w:rPr>
        <w:t>(4)协助业主单位确定软件系统的工程造价。</w:t>
      </w:r>
    </w:p>
    <w:p w14:paraId="73850E96">
      <w:pPr>
        <w:pStyle w:val="2"/>
        <w:spacing w:before="181" w:line="221" w:lineRule="auto"/>
        <w:ind w:left="402"/>
        <w:rPr>
          <w:rFonts w:ascii="黑体" w:hAnsi="黑体" w:eastAsia="黑体" w:cs="黑体"/>
          <w:sz w:val="20"/>
          <w:szCs w:val="20"/>
        </w:rPr>
      </w:pPr>
      <w:r>
        <w:rPr>
          <w:b/>
          <w:bCs/>
          <w:color w:val="0078D5"/>
          <w:spacing w:val="-2"/>
          <w:sz w:val="20"/>
          <w:szCs w:val="20"/>
        </w:rPr>
        <w:t>2.</w:t>
      </w:r>
      <w:r>
        <w:rPr>
          <w:rFonts w:ascii="黑体" w:hAnsi="黑体" w:eastAsia="黑体" w:cs="黑体"/>
          <w:b/>
          <w:bCs/>
          <w:color w:val="0078D5"/>
          <w:spacing w:val="-2"/>
          <w:sz w:val="20"/>
          <w:szCs w:val="20"/>
        </w:rPr>
        <w:t>软件工程实施阶段的监理任务</w:t>
      </w:r>
    </w:p>
    <w:p w14:paraId="008FE8C9">
      <w:pPr>
        <w:pStyle w:val="2"/>
        <w:spacing w:before="145" w:line="264" w:lineRule="auto"/>
        <w:ind w:right="829" w:firstLine="400"/>
        <w:rPr>
          <w:sz w:val="20"/>
          <w:szCs w:val="20"/>
        </w:rPr>
      </w:pPr>
      <w:r>
        <w:rPr>
          <w:spacing w:val="7"/>
          <w:sz w:val="20"/>
          <w:szCs w:val="20"/>
        </w:rPr>
        <w:t>软件工程建设过程中，结合软件开发的一般要求，将软件工程监理过程分布于4个阶段，</w:t>
      </w:r>
      <w:r>
        <w:rPr>
          <w:spacing w:val="16"/>
          <w:sz w:val="20"/>
          <w:szCs w:val="20"/>
        </w:rPr>
        <w:t xml:space="preserve"> </w:t>
      </w:r>
      <w:r>
        <w:rPr>
          <w:spacing w:val="6"/>
          <w:sz w:val="20"/>
          <w:szCs w:val="20"/>
        </w:rPr>
        <w:t>可划分为13个活动，如表22-1所示。</w:t>
      </w:r>
    </w:p>
    <w:p w14:paraId="74104EC6">
      <w:pPr>
        <w:spacing w:before="104" w:line="221" w:lineRule="auto"/>
        <w:ind w:left="2892"/>
        <w:rPr>
          <w:rFonts w:ascii="黑体" w:hAnsi="黑体" w:eastAsia="黑体" w:cs="黑体"/>
          <w:sz w:val="20"/>
          <w:szCs w:val="20"/>
        </w:rPr>
      </w:pPr>
      <w:r>
        <w:rPr>
          <w:rFonts w:ascii="黑体" w:hAnsi="黑体" w:eastAsia="黑体" w:cs="黑体"/>
          <w:b/>
          <w:bCs/>
          <w:spacing w:val="-15"/>
          <w:sz w:val="20"/>
          <w:szCs w:val="20"/>
        </w:rPr>
        <w:t>表22-1</w:t>
      </w:r>
      <w:r>
        <w:rPr>
          <w:rFonts w:ascii="黑体" w:hAnsi="黑体" w:eastAsia="黑体" w:cs="黑体"/>
          <w:spacing w:val="74"/>
          <w:sz w:val="20"/>
          <w:szCs w:val="20"/>
        </w:rPr>
        <w:t xml:space="preserve"> </w:t>
      </w:r>
      <w:r>
        <w:rPr>
          <w:rFonts w:ascii="黑体" w:hAnsi="黑体" w:eastAsia="黑体" w:cs="黑体"/>
          <w:b/>
          <w:bCs/>
          <w:spacing w:val="-15"/>
          <w:sz w:val="20"/>
          <w:szCs w:val="20"/>
        </w:rPr>
        <w:t>软件工程监理过程说明</w:t>
      </w:r>
    </w:p>
    <w:p w14:paraId="34308A40">
      <w:pPr>
        <w:spacing w:line="122" w:lineRule="exact"/>
      </w:pPr>
    </w:p>
    <w:tbl>
      <w:tblPr>
        <w:tblStyle w:val="5"/>
        <w:tblW w:w="830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9"/>
        <w:gridCol w:w="6620"/>
      </w:tblGrid>
      <w:tr w14:paraId="21211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1689" w:type="dxa"/>
            <w:tcBorders>
              <w:left w:val="nil"/>
            </w:tcBorders>
            <w:vAlign w:val="top"/>
          </w:tcPr>
          <w:p w14:paraId="2E8FBB4C">
            <w:pPr>
              <w:pStyle w:val="6"/>
              <w:spacing w:before="60" w:line="221" w:lineRule="auto"/>
              <w:ind w:left="662"/>
              <w:rPr>
                <w:sz w:val="18"/>
                <w:szCs w:val="18"/>
              </w:rPr>
            </w:pPr>
            <w:r>
              <w:rPr>
                <w:b/>
                <w:bCs/>
                <w:spacing w:val="-6"/>
                <w:sz w:val="18"/>
                <w:szCs w:val="18"/>
              </w:rPr>
              <w:t>阶段</w:t>
            </w:r>
          </w:p>
        </w:tc>
        <w:tc>
          <w:tcPr>
            <w:tcW w:w="6620" w:type="dxa"/>
            <w:tcBorders>
              <w:right w:val="nil"/>
            </w:tcBorders>
            <w:vAlign w:val="top"/>
          </w:tcPr>
          <w:p w14:paraId="2F54F301">
            <w:pPr>
              <w:pStyle w:val="6"/>
              <w:spacing w:before="60" w:line="220" w:lineRule="auto"/>
              <w:ind w:left="2958"/>
              <w:rPr>
                <w:sz w:val="18"/>
                <w:szCs w:val="18"/>
              </w:rPr>
            </w:pPr>
            <w:r>
              <w:rPr>
                <w:b/>
                <w:bCs/>
                <w:spacing w:val="-4"/>
                <w:sz w:val="18"/>
                <w:szCs w:val="18"/>
              </w:rPr>
              <w:t>监理活动</w:t>
            </w:r>
          </w:p>
        </w:tc>
      </w:tr>
      <w:tr w14:paraId="6B11D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689" w:type="dxa"/>
            <w:tcBorders>
              <w:left w:val="nil"/>
            </w:tcBorders>
            <w:vAlign w:val="top"/>
          </w:tcPr>
          <w:p w14:paraId="48F6A9A1">
            <w:pPr>
              <w:pStyle w:val="6"/>
              <w:spacing w:before="49" w:line="220" w:lineRule="auto"/>
              <w:ind w:left="479"/>
              <w:rPr>
                <w:sz w:val="18"/>
                <w:szCs w:val="18"/>
              </w:rPr>
            </w:pPr>
            <w:r>
              <w:rPr>
                <w:spacing w:val="-2"/>
                <w:sz w:val="18"/>
                <w:szCs w:val="18"/>
              </w:rPr>
              <w:t>招标阶段</w:t>
            </w:r>
          </w:p>
        </w:tc>
        <w:tc>
          <w:tcPr>
            <w:tcW w:w="6620" w:type="dxa"/>
            <w:tcBorders>
              <w:right w:val="nil"/>
            </w:tcBorders>
            <w:vAlign w:val="top"/>
          </w:tcPr>
          <w:p w14:paraId="40125810">
            <w:pPr>
              <w:pStyle w:val="6"/>
              <w:spacing w:before="49" w:line="220" w:lineRule="auto"/>
              <w:ind w:left="35"/>
              <w:rPr>
                <w:sz w:val="18"/>
                <w:szCs w:val="18"/>
              </w:rPr>
            </w:pPr>
            <w:r>
              <w:rPr>
                <w:spacing w:val="-1"/>
                <w:sz w:val="18"/>
                <w:szCs w:val="18"/>
              </w:rPr>
              <w:t>招标准备的监理；招标的监理；合同签订的监理</w:t>
            </w:r>
          </w:p>
        </w:tc>
      </w:tr>
      <w:tr w14:paraId="5899D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89" w:type="dxa"/>
            <w:tcBorders>
              <w:left w:val="nil"/>
            </w:tcBorders>
            <w:vAlign w:val="top"/>
          </w:tcPr>
          <w:p w14:paraId="662D0035">
            <w:pPr>
              <w:pStyle w:val="6"/>
              <w:spacing w:before="62" w:line="221" w:lineRule="auto"/>
              <w:ind w:left="479"/>
              <w:rPr>
                <w:sz w:val="18"/>
                <w:szCs w:val="18"/>
              </w:rPr>
            </w:pPr>
            <w:r>
              <w:rPr>
                <w:spacing w:val="-2"/>
                <w:sz w:val="18"/>
                <w:szCs w:val="18"/>
              </w:rPr>
              <w:t>设计阶段</w:t>
            </w:r>
          </w:p>
        </w:tc>
        <w:tc>
          <w:tcPr>
            <w:tcW w:w="6620" w:type="dxa"/>
            <w:tcBorders>
              <w:right w:val="nil"/>
            </w:tcBorders>
            <w:vAlign w:val="top"/>
          </w:tcPr>
          <w:p w14:paraId="5AF811B7">
            <w:pPr>
              <w:pStyle w:val="6"/>
              <w:spacing w:before="61" w:line="219" w:lineRule="auto"/>
              <w:ind w:left="35"/>
              <w:rPr>
                <w:sz w:val="18"/>
                <w:szCs w:val="18"/>
              </w:rPr>
            </w:pPr>
            <w:r>
              <w:rPr>
                <w:sz w:val="18"/>
                <w:szCs w:val="18"/>
              </w:rPr>
              <w:t>计划制订的监理；需求分析的监理；概要(结构)设计的监理</w:t>
            </w:r>
            <w:r>
              <w:rPr>
                <w:spacing w:val="-1"/>
                <w:sz w:val="18"/>
                <w:szCs w:val="18"/>
              </w:rPr>
              <w:t>；详细设计的监理</w:t>
            </w:r>
          </w:p>
        </w:tc>
      </w:tr>
      <w:tr w14:paraId="3EBFD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89" w:type="dxa"/>
            <w:tcBorders>
              <w:left w:val="nil"/>
            </w:tcBorders>
            <w:vAlign w:val="top"/>
          </w:tcPr>
          <w:p w14:paraId="70056835">
            <w:pPr>
              <w:pStyle w:val="6"/>
              <w:spacing w:before="63" w:line="220" w:lineRule="auto"/>
              <w:ind w:left="479"/>
              <w:rPr>
                <w:sz w:val="18"/>
                <w:szCs w:val="18"/>
              </w:rPr>
            </w:pPr>
            <w:r>
              <w:rPr>
                <w:spacing w:val="-3"/>
                <w:sz w:val="18"/>
                <w:szCs w:val="18"/>
              </w:rPr>
              <w:t>实施阶段</w:t>
            </w:r>
          </w:p>
        </w:tc>
        <w:tc>
          <w:tcPr>
            <w:tcW w:w="6620" w:type="dxa"/>
            <w:tcBorders>
              <w:right w:val="nil"/>
            </w:tcBorders>
            <w:vAlign w:val="top"/>
          </w:tcPr>
          <w:p w14:paraId="1EF82572">
            <w:pPr>
              <w:pStyle w:val="6"/>
              <w:spacing w:before="63" w:line="219" w:lineRule="auto"/>
              <w:ind w:left="35"/>
              <w:rPr>
                <w:sz w:val="18"/>
                <w:szCs w:val="18"/>
              </w:rPr>
            </w:pPr>
            <w:r>
              <w:rPr>
                <w:spacing w:val="-1"/>
                <w:sz w:val="18"/>
                <w:szCs w:val="18"/>
              </w:rPr>
              <w:t>编码及测试的监理；系统部署的监理</w:t>
            </w:r>
          </w:p>
        </w:tc>
      </w:tr>
      <w:tr w14:paraId="1BD0D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1689" w:type="dxa"/>
            <w:tcBorders>
              <w:left w:val="nil"/>
            </w:tcBorders>
            <w:vAlign w:val="top"/>
          </w:tcPr>
          <w:p w14:paraId="0577FE0A">
            <w:pPr>
              <w:pStyle w:val="6"/>
              <w:spacing w:before="55" w:line="219" w:lineRule="auto"/>
              <w:ind w:left="479"/>
              <w:rPr>
                <w:sz w:val="18"/>
                <w:szCs w:val="18"/>
              </w:rPr>
            </w:pPr>
            <w:r>
              <w:rPr>
                <w:spacing w:val="-2"/>
                <w:sz w:val="18"/>
                <w:szCs w:val="18"/>
              </w:rPr>
              <w:t>验收阶段</w:t>
            </w:r>
          </w:p>
        </w:tc>
        <w:tc>
          <w:tcPr>
            <w:tcW w:w="6620" w:type="dxa"/>
            <w:tcBorders>
              <w:right w:val="nil"/>
            </w:tcBorders>
            <w:vAlign w:val="top"/>
          </w:tcPr>
          <w:p w14:paraId="59F3638E">
            <w:pPr>
              <w:pStyle w:val="6"/>
              <w:spacing w:before="55" w:line="220" w:lineRule="auto"/>
              <w:ind w:left="35"/>
              <w:rPr>
                <w:sz w:val="18"/>
                <w:szCs w:val="18"/>
              </w:rPr>
            </w:pPr>
            <w:r>
              <w:rPr>
                <w:sz w:val="18"/>
                <w:szCs w:val="18"/>
              </w:rPr>
              <w:t>项目初验的监理；项目试运行的监理；项目</w:t>
            </w:r>
            <w:r>
              <w:rPr>
                <w:spacing w:val="-1"/>
                <w:sz w:val="18"/>
                <w:szCs w:val="18"/>
              </w:rPr>
              <w:t>终验的监理；培训的监理</w:t>
            </w:r>
          </w:p>
        </w:tc>
      </w:tr>
    </w:tbl>
    <w:p w14:paraId="712A8141">
      <w:pPr>
        <w:pStyle w:val="2"/>
        <w:spacing w:before="148" w:line="221" w:lineRule="auto"/>
        <w:ind w:left="402"/>
        <w:rPr>
          <w:rFonts w:ascii="黑体" w:hAnsi="黑体" w:eastAsia="黑体" w:cs="黑体"/>
          <w:sz w:val="20"/>
          <w:szCs w:val="20"/>
        </w:rPr>
      </w:pPr>
      <w:r>
        <w:rPr>
          <w:b/>
          <w:bCs/>
          <w:color w:val="007CCF"/>
          <w:spacing w:val="-3"/>
          <w:sz w:val="20"/>
          <w:szCs w:val="20"/>
        </w:rPr>
        <w:t>3.</w:t>
      </w:r>
      <w:r>
        <w:rPr>
          <w:rFonts w:ascii="黑体" w:hAnsi="黑体" w:eastAsia="黑体" w:cs="黑体"/>
          <w:b/>
          <w:bCs/>
          <w:color w:val="007CCF"/>
          <w:spacing w:val="-3"/>
          <w:sz w:val="20"/>
          <w:szCs w:val="20"/>
        </w:rPr>
        <w:t>软件工程支持过程的监理任务</w:t>
      </w:r>
    </w:p>
    <w:p w14:paraId="3A9CF2C9">
      <w:pPr>
        <w:pStyle w:val="2"/>
        <w:spacing w:before="135" w:line="273" w:lineRule="auto"/>
        <w:ind w:right="922" w:firstLine="400"/>
        <w:rPr>
          <w:sz w:val="20"/>
          <w:szCs w:val="20"/>
        </w:rPr>
      </w:pPr>
      <w:r>
        <w:rPr>
          <w:spacing w:val="2"/>
          <w:sz w:val="20"/>
          <w:szCs w:val="20"/>
        </w:rPr>
        <w:t>在软件工程招标、设计、实施和验收阶段，对软件生存周期支持过程也应进行监理，包括</w:t>
      </w:r>
      <w:r>
        <w:rPr>
          <w:spacing w:val="18"/>
          <w:sz w:val="20"/>
          <w:szCs w:val="20"/>
        </w:rPr>
        <w:t xml:space="preserve"> </w:t>
      </w:r>
      <w:r>
        <w:rPr>
          <w:spacing w:val="-1"/>
          <w:sz w:val="20"/>
          <w:szCs w:val="20"/>
        </w:rPr>
        <w:t>对文档编制过程的监理、对配置管理过程的监理和对质量保证过程的</w:t>
      </w:r>
      <w:r>
        <w:rPr>
          <w:spacing w:val="-2"/>
          <w:sz w:val="20"/>
          <w:szCs w:val="20"/>
        </w:rPr>
        <w:t>监理。</w:t>
      </w:r>
    </w:p>
    <w:p w14:paraId="39C7FFEE">
      <w:pPr>
        <w:spacing w:line="280" w:lineRule="auto"/>
        <w:rPr>
          <w:rFonts w:ascii="Arial"/>
          <w:sz w:val="21"/>
        </w:rPr>
      </w:pPr>
    </w:p>
    <w:p w14:paraId="2BE6FBF0">
      <w:pPr>
        <w:pStyle w:val="2"/>
        <w:spacing w:before="95" w:line="222" w:lineRule="auto"/>
        <w:ind w:left="4"/>
        <w:rPr>
          <w:rFonts w:ascii="黑体" w:hAnsi="黑体" w:eastAsia="黑体" w:cs="黑体"/>
          <w:sz w:val="29"/>
          <w:szCs w:val="29"/>
        </w:rPr>
      </w:pPr>
      <w:r>
        <w:rPr>
          <w:b/>
          <w:bCs/>
          <w:color w:val="0078D4"/>
          <w:spacing w:val="-10"/>
          <w:sz w:val="29"/>
          <w:szCs w:val="29"/>
        </w:rPr>
        <w:t>22.2</w:t>
      </w:r>
      <w:r>
        <w:rPr>
          <w:color w:val="0078D4"/>
          <w:spacing w:val="-10"/>
          <w:sz w:val="29"/>
          <w:szCs w:val="29"/>
        </w:rPr>
        <w:t xml:space="preserve">  </w:t>
      </w:r>
      <w:r>
        <w:rPr>
          <w:rFonts w:ascii="黑体" w:hAnsi="黑体" w:eastAsia="黑体" w:cs="黑体"/>
          <w:b/>
          <w:bCs/>
          <w:color w:val="0078D4"/>
          <w:spacing w:val="-10"/>
          <w:sz w:val="29"/>
          <w:szCs w:val="29"/>
        </w:rPr>
        <w:t>招标阶段监理工作</w:t>
      </w:r>
    </w:p>
    <w:p w14:paraId="588470C7">
      <w:pPr>
        <w:pStyle w:val="2"/>
        <w:spacing w:before="232" w:line="219" w:lineRule="auto"/>
        <w:ind w:left="400"/>
        <w:rPr>
          <w:sz w:val="20"/>
          <w:szCs w:val="20"/>
        </w:rPr>
      </w:pPr>
      <w:r>
        <w:rPr>
          <w:spacing w:val="-2"/>
          <w:sz w:val="20"/>
          <w:szCs w:val="20"/>
        </w:rPr>
        <w:t>本节重点介绍监理单位在软件工程招标阶段需要执行的监理活动和主要监理内容。</w:t>
      </w:r>
    </w:p>
    <w:p w14:paraId="2F7D03A1">
      <w:pPr>
        <w:pStyle w:val="2"/>
        <w:spacing w:before="254" w:line="220" w:lineRule="auto"/>
        <w:ind w:left="3"/>
        <w:rPr>
          <w:sz w:val="25"/>
          <w:szCs w:val="25"/>
        </w:rPr>
      </w:pPr>
      <w:r>
        <w:rPr>
          <w:b/>
          <w:bCs/>
          <w:color w:val="0075DC"/>
          <w:spacing w:val="-16"/>
          <w:sz w:val="25"/>
          <w:szCs w:val="25"/>
        </w:rPr>
        <w:t>22.2.1</w:t>
      </w:r>
      <w:r>
        <w:rPr>
          <w:color w:val="0075DC"/>
          <w:spacing w:val="70"/>
          <w:sz w:val="25"/>
          <w:szCs w:val="25"/>
        </w:rPr>
        <w:t xml:space="preserve"> </w:t>
      </w:r>
      <w:r>
        <w:rPr>
          <w:b/>
          <w:bCs/>
          <w:color w:val="0075DC"/>
          <w:spacing w:val="-16"/>
          <w:sz w:val="25"/>
          <w:szCs w:val="25"/>
        </w:rPr>
        <w:t>监理活动</w:t>
      </w:r>
    </w:p>
    <w:p w14:paraId="65CFB173">
      <w:pPr>
        <w:pStyle w:val="2"/>
        <w:spacing w:before="143" w:line="219" w:lineRule="auto"/>
        <w:ind w:left="400"/>
        <w:rPr>
          <w:sz w:val="20"/>
          <w:szCs w:val="20"/>
        </w:rPr>
      </w:pPr>
      <w:r>
        <w:rPr>
          <w:spacing w:val="-3"/>
          <w:sz w:val="20"/>
          <w:szCs w:val="20"/>
        </w:rPr>
        <w:t>软件工程招标阶段的主要监理活动如下：</w:t>
      </w:r>
    </w:p>
    <w:p w14:paraId="4477CDEF">
      <w:pPr>
        <w:pStyle w:val="2"/>
        <w:spacing w:before="61" w:line="264" w:lineRule="auto"/>
        <w:ind w:right="809" w:firstLine="400"/>
        <w:rPr>
          <w:sz w:val="20"/>
          <w:szCs w:val="20"/>
        </w:rPr>
      </w:pPr>
      <w:r>
        <w:rPr>
          <w:spacing w:val="8"/>
          <w:sz w:val="20"/>
          <w:szCs w:val="20"/>
        </w:rPr>
        <w:t>(1)招标前收集相关资料，了解软件工程项目建设相关的业务目</w:t>
      </w:r>
      <w:r>
        <w:rPr>
          <w:spacing w:val="7"/>
          <w:sz w:val="20"/>
          <w:szCs w:val="20"/>
        </w:rPr>
        <w:t>标、软件系统建设目标、</w:t>
      </w:r>
      <w:r>
        <w:rPr>
          <w:sz w:val="20"/>
          <w:szCs w:val="20"/>
        </w:rPr>
        <w:t xml:space="preserve"> </w:t>
      </w:r>
      <w:r>
        <w:rPr>
          <w:spacing w:val="3"/>
          <w:sz w:val="20"/>
          <w:szCs w:val="20"/>
        </w:rPr>
        <w:t>现行和预期的业务模式、信息化基础和发展规划、软件系统建设需求等信息，协</w:t>
      </w:r>
      <w:r>
        <w:rPr>
          <w:spacing w:val="2"/>
          <w:sz w:val="20"/>
          <w:szCs w:val="20"/>
        </w:rPr>
        <w:t>助业主单位开</w:t>
      </w:r>
    </w:p>
    <w:p w14:paraId="716242E1">
      <w:pPr>
        <w:spacing w:line="264" w:lineRule="auto"/>
        <w:rPr>
          <w:sz w:val="20"/>
          <w:szCs w:val="20"/>
        </w:rPr>
        <w:sectPr>
          <w:pgSz w:w="10290" w:h="13330"/>
          <w:pgMar w:top="400" w:right="9" w:bottom="400" w:left="1059" w:header="0" w:footer="0" w:gutter="0"/>
          <w:cols w:space="720" w:num="1"/>
        </w:sectPr>
      </w:pPr>
    </w:p>
    <w:p w14:paraId="5262F9BC">
      <w:pPr>
        <w:pStyle w:val="2"/>
        <w:spacing w:before="19"/>
        <w:rPr>
          <w:sz w:val="19"/>
          <w:szCs w:val="19"/>
        </w:rPr>
      </w:pPr>
      <w:r>
        <w:rPr>
          <w:rFonts w:ascii="Times New Roman" w:hAnsi="Times New Roman" w:eastAsia="Times New Roman" w:cs="Times New Roman"/>
          <w:position w:val="-8"/>
          <w:sz w:val="24"/>
          <w:szCs w:val="24"/>
        </w:rPr>
        <w:drawing>
          <wp:inline distT="0" distB="0" distL="0" distR="0">
            <wp:extent cx="297815" cy="203200"/>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314"/>
                    <a:stretch>
                      <a:fillRect/>
                    </a:stretch>
                  </pic:blipFill>
                  <pic:spPr>
                    <a:xfrm>
                      <a:off x="0" y="0"/>
                      <a:ext cx="298443" cy="203229"/>
                    </a:xfrm>
                    <a:prstGeom prst="rect">
                      <a:avLst/>
                    </a:prstGeom>
                  </pic:spPr>
                </pic:pic>
              </a:graphicData>
            </a:graphic>
          </wp:inline>
        </w:drawing>
      </w:r>
      <w:r>
        <w:rPr>
          <w:rFonts w:ascii="Times New Roman" w:hAnsi="Times New Roman" w:eastAsia="Times New Roman" w:cs="Times New Roman"/>
          <w:spacing w:val="34"/>
          <w:w w:val="101"/>
          <w:position w:val="-3"/>
          <w:sz w:val="24"/>
          <w:szCs w:val="24"/>
        </w:rPr>
        <w:t xml:space="preserve"> </w:t>
      </w:r>
      <w:r>
        <w:rPr>
          <w:rFonts w:ascii="Times New Roman" w:hAnsi="Times New Roman" w:eastAsia="Times New Roman" w:cs="Times New Roman"/>
          <w:spacing w:val="3"/>
          <w:position w:val="-3"/>
          <w:sz w:val="24"/>
          <w:szCs w:val="24"/>
        </w:rPr>
        <w:t xml:space="preserve">504          </w:t>
      </w:r>
      <w:r>
        <w:rPr>
          <w:spacing w:val="3"/>
          <w:sz w:val="19"/>
          <w:szCs w:val="19"/>
        </w:rPr>
        <w:t>信息系统监理师教程(第2版)</w:t>
      </w:r>
    </w:p>
    <w:p w14:paraId="70358ACD">
      <w:pPr>
        <w:spacing w:line="342" w:lineRule="auto"/>
        <w:rPr>
          <w:rFonts w:ascii="Arial"/>
          <w:sz w:val="21"/>
        </w:rPr>
      </w:pPr>
    </w:p>
    <w:p w14:paraId="34F6977F">
      <w:pPr>
        <w:pStyle w:val="2"/>
        <w:spacing w:before="61" w:line="219" w:lineRule="auto"/>
        <w:ind w:left="890"/>
        <w:rPr>
          <w:sz w:val="19"/>
          <w:szCs w:val="19"/>
        </w:rPr>
      </w:pPr>
      <w:r>
        <w:rPr>
          <w:spacing w:val="9"/>
          <w:sz w:val="19"/>
          <w:szCs w:val="19"/>
        </w:rPr>
        <w:t>展招标准备工作，参与编制招标文件，或审</w:t>
      </w:r>
      <w:r>
        <w:rPr>
          <w:spacing w:val="8"/>
          <w:sz w:val="19"/>
          <w:szCs w:val="19"/>
        </w:rPr>
        <w:t>核招标文件技术需求、招标实施合规性等；</w:t>
      </w:r>
    </w:p>
    <w:p w14:paraId="5D4FD4D0">
      <w:pPr>
        <w:pStyle w:val="2"/>
        <w:spacing w:before="104" w:line="219" w:lineRule="auto"/>
        <w:jc w:val="right"/>
        <w:rPr>
          <w:sz w:val="19"/>
          <w:szCs w:val="19"/>
        </w:rPr>
      </w:pPr>
      <w:r>
        <w:rPr>
          <w:spacing w:val="2"/>
          <w:sz w:val="19"/>
          <w:szCs w:val="19"/>
        </w:rPr>
        <w:t>(2)接受业主单位委托参加招标活动，协助业主单位开展招标工作、选定软件工程的承建单位；</w:t>
      </w:r>
    </w:p>
    <w:p w14:paraId="0BBE92CA">
      <w:pPr>
        <w:pStyle w:val="2"/>
        <w:spacing w:before="95" w:line="219" w:lineRule="auto"/>
        <w:jc w:val="right"/>
        <w:rPr>
          <w:sz w:val="19"/>
          <w:szCs w:val="19"/>
        </w:rPr>
      </w:pPr>
      <w:r>
        <w:rPr>
          <w:spacing w:val="7"/>
          <w:sz w:val="19"/>
          <w:szCs w:val="19"/>
        </w:rPr>
        <w:t>(3)参与业主单位与承建单位合同谈判，协助业主单位签订</w:t>
      </w:r>
      <w:r>
        <w:rPr>
          <w:spacing w:val="6"/>
          <w:sz w:val="19"/>
          <w:szCs w:val="19"/>
        </w:rPr>
        <w:t>承建合同，提出必要的监理意见。</w:t>
      </w:r>
    </w:p>
    <w:p w14:paraId="54AC1B03">
      <w:pPr>
        <w:pStyle w:val="2"/>
        <w:spacing w:before="243" w:line="219" w:lineRule="auto"/>
        <w:ind w:left="892"/>
        <w:rPr>
          <w:sz w:val="24"/>
          <w:szCs w:val="24"/>
        </w:rPr>
      </w:pPr>
      <w:bookmarkStart w:id="730" w:name="bookmark715"/>
      <w:bookmarkEnd w:id="730"/>
      <w:r>
        <w:rPr>
          <w:b/>
          <w:bCs/>
          <w:color w:val="026DAB"/>
          <w:spacing w:val="-14"/>
          <w:sz w:val="24"/>
          <w:szCs w:val="24"/>
        </w:rPr>
        <w:t>22.2.2</w:t>
      </w:r>
      <w:r>
        <w:rPr>
          <w:color w:val="026DAB"/>
          <w:spacing w:val="109"/>
          <w:sz w:val="24"/>
          <w:szCs w:val="24"/>
        </w:rPr>
        <w:t xml:space="preserve"> </w:t>
      </w:r>
      <w:r>
        <w:rPr>
          <w:b/>
          <w:bCs/>
          <w:color w:val="026DAB"/>
          <w:spacing w:val="-14"/>
          <w:sz w:val="24"/>
          <w:szCs w:val="24"/>
        </w:rPr>
        <w:t>监理内容</w:t>
      </w:r>
    </w:p>
    <w:p w14:paraId="5F8C42E7">
      <w:pPr>
        <w:pStyle w:val="2"/>
        <w:spacing w:before="264" w:line="223" w:lineRule="auto"/>
        <w:ind w:left="1292"/>
        <w:rPr>
          <w:rFonts w:ascii="黑体" w:hAnsi="黑体" w:eastAsia="黑体" w:cs="黑体"/>
          <w:sz w:val="19"/>
          <w:szCs w:val="19"/>
        </w:rPr>
      </w:pPr>
      <w:r>
        <w:rPr>
          <w:b/>
          <w:bCs/>
          <w:color w:val="008BDD"/>
          <w:spacing w:val="7"/>
          <w:sz w:val="19"/>
          <w:szCs w:val="19"/>
        </w:rPr>
        <w:t>1.</w:t>
      </w:r>
      <w:r>
        <w:rPr>
          <w:rFonts w:ascii="黑体" w:hAnsi="黑体" w:eastAsia="黑体" w:cs="黑体"/>
          <w:b/>
          <w:bCs/>
          <w:color w:val="008BDD"/>
          <w:spacing w:val="7"/>
          <w:sz w:val="19"/>
          <w:szCs w:val="19"/>
        </w:rPr>
        <w:t>招标准备的监理</w:t>
      </w:r>
    </w:p>
    <w:p w14:paraId="08073A0D">
      <w:pPr>
        <w:pStyle w:val="2"/>
        <w:spacing w:before="173" w:line="219" w:lineRule="auto"/>
        <w:ind w:left="1289"/>
        <w:rPr>
          <w:sz w:val="19"/>
          <w:szCs w:val="19"/>
        </w:rPr>
      </w:pPr>
      <w:r>
        <w:rPr>
          <w:spacing w:val="6"/>
          <w:sz w:val="19"/>
          <w:szCs w:val="19"/>
        </w:rPr>
        <w:t>招标准备的监理内容具体如下：</w:t>
      </w:r>
    </w:p>
    <w:p w14:paraId="4BB29622">
      <w:pPr>
        <w:pStyle w:val="2"/>
        <w:spacing w:before="95" w:line="219" w:lineRule="auto"/>
        <w:ind w:left="1289"/>
        <w:rPr>
          <w:sz w:val="19"/>
          <w:szCs w:val="19"/>
        </w:rPr>
      </w:pPr>
      <w:r>
        <w:rPr>
          <w:spacing w:val="11"/>
          <w:sz w:val="19"/>
          <w:szCs w:val="19"/>
        </w:rPr>
        <w:t>(1)收集软件工程的相关资料，了解和掌握软件需求。</w:t>
      </w:r>
    </w:p>
    <w:p w14:paraId="7666ED95">
      <w:pPr>
        <w:pStyle w:val="2"/>
        <w:spacing w:before="83" w:line="307" w:lineRule="auto"/>
        <w:ind w:left="890" w:right="85" w:firstLine="399"/>
        <w:rPr>
          <w:sz w:val="19"/>
          <w:szCs w:val="19"/>
        </w:rPr>
      </w:pPr>
      <w:r>
        <w:rPr>
          <w:spacing w:val="12"/>
          <w:sz w:val="19"/>
          <w:szCs w:val="19"/>
        </w:rPr>
        <w:t>监理机构应取得必要的资料，了解并与业主单位沟通软件工程项目的相关信息，将其作为</w:t>
      </w:r>
      <w:r>
        <w:rPr>
          <w:spacing w:val="10"/>
          <w:sz w:val="19"/>
          <w:szCs w:val="19"/>
        </w:rPr>
        <w:t xml:space="preserve"> </w:t>
      </w:r>
      <w:r>
        <w:rPr>
          <w:spacing w:val="6"/>
          <w:sz w:val="19"/>
          <w:szCs w:val="19"/>
        </w:rPr>
        <w:t>监理工作的依据之一。这些资料包括：</w:t>
      </w:r>
    </w:p>
    <w:p w14:paraId="09A17A29">
      <w:pPr>
        <w:pStyle w:val="2"/>
        <w:spacing w:before="19" w:line="219" w:lineRule="auto"/>
        <w:ind w:left="1289"/>
        <w:rPr>
          <w:sz w:val="19"/>
          <w:szCs w:val="19"/>
        </w:rPr>
      </w:pPr>
      <w:r>
        <w:rPr>
          <w:spacing w:val="10"/>
          <w:sz w:val="19"/>
          <w:szCs w:val="19"/>
        </w:rPr>
        <w:t>●软件工程项目建设方案；</w:t>
      </w:r>
    </w:p>
    <w:p w14:paraId="3832BF2C">
      <w:pPr>
        <w:pStyle w:val="2"/>
        <w:spacing w:before="95" w:line="219" w:lineRule="auto"/>
        <w:ind w:left="1289"/>
        <w:rPr>
          <w:sz w:val="19"/>
          <w:szCs w:val="19"/>
        </w:rPr>
      </w:pPr>
      <w:r>
        <w:rPr>
          <w:spacing w:val="10"/>
          <w:sz w:val="19"/>
          <w:szCs w:val="19"/>
        </w:rPr>
        <w:t>●软件工程项目相关的业务现状和业务流程；</w:t>
      </w:r>
    </w:p>
    <w:p w14:paraId="10B5D1B3">
      <w:pPr>
        <w:pStyle w:val="2"/>
        <w:spacing w:before="104" w:line="219" w:lineRule="auto"/>
        <w:ind w:left="1289"/>
        <w:rPr>
          <w:sz w:val="19"/>
          <w:szCs w:val="19"/>
        </w:rPr>
      </w:pPr>
      <w:r>
        <w:rPr>
          <w:spacing w:val="10"/>
          <w:sz w:val="19"/>
          <w:szCs w:val="19"/>
        </w:rPr>
        <w:t>●软件系统的功能和性能指标；</w:t>
      </w:r>
    </w:p>
    <w:p w14:paraId="777C52B9">
      <w:pPr>
        <w:pStyle w:val="2"/>
        <w:spacing w:before="105" w:line="219" w:lineRule="auto"/>
        <w:ind w:left="1289"/>
        <w:rPr>
          <w:sz w:val="19"/>
          <w:szCs w:val="19"/>
        </w:rPr>
      </w:pPr>
      <w:r>
        <w:rPr>
          <w:spacing w:val="10"/>
          <w:sz w:val="19"/>
          <w:szCs w:val="19"/>
        </w:rPr>
        <w:t>●实现软件系统建设目标所必需的资源；</w:t>
      </w:r>
    </w:p>
    <w:p w14:paraId="6A733B72">
      <w:pPr>
        <w:pStyle w:val="2"/>
        <w:spacing w:before="85" w:line="273" w:lineRule="auto"/>
        <w:ind w:left="1609" w:right="88" w:hanging="320"/>
        <w:rPr>
          <w:sz w:val="19"/>
          <w:szCs w:val="19"/>
        </w:rPr>
      </w:pPr>
      <w:r>
        <w:rPr>
          <w:spacing w:val="12"/>
          <w:sz w:val="19"/>
          <w:szCs w:val="19"/>
        </w:rPr>
        <w:t>●如适用，还应包括信息资源规划、业务流程再造的策略、业务持续改进计划、业务指标</w:t>
      </w:r>
      <w:r>
        <w:rPr>
          <w:spacing w:val="8"/>
          <w:sz w:val="19"/>
          <w:szCs w:val="19"/>
        </w:rPr>
        <w:t xml:space="preserve"> </w:t>
      </w:r>
      <w:r>
        <w:rPr>
          <w:spacing w:val="7"/>
          <w:sz w:val="19"/>
          <w:szCs w:val="19"/>
        </w:rPr>
        <w:t>评价体系、业主单位信息化人力资源规划等。</w:t>
      </w:r>
    </w:p>
    <w:p w14:paraId="383C6D38">
      <w:pPr>
        <w:pStyle w:val="2"/>
        <w:spacing w:before="108" w:line="219" w:lineRule="auto"/>
        <w:ind w:left="1289"/>
        <w:rPr>
          <w:sz w:val="19"/>
          <w:szCs w:val="19"/>
        </w:rPr>
      </w:pPr>
      <w:r>
        <w:rPr>
          <w:spacing w:val="11"/>
          <w:sz w:val="19"/>
          <w:szCs w:val="19"/>
        </w:rPr>
        <w:t>(2)梳理软件工程建设需求，明确监理质量、进度等控制目标。</w:t>
      </w:r>
    </w:p>
    <w:p w14:paraId="567FA480">
      <w:pPr>
        <w:pStyle w:val="2"/>
        <w:spacing w:before="74" w:line="219" w:lineRule="auto"/>
        <w:ind w:left="1289"/>
        <w:rPr>
          <w:sz w:val="19"/>
          <w:szCs w:val="19"/>
        </w:rPr>
      </w:pPr>
      <w:r>
        <w:rPr>
          <w:spacing w:val="7"/>
          <w:sz w:val="19"/>
          <w:szCs w:val="19"/>
        </w:rPr>
        <w:t>协助业主单位初步定义软件系统的建设范围、系统需求和约束条件，应包括：</w:t>
      </w:r>
    </w:p>
    <w:p w14:paraId="01388C5C">
      <w:pPr>
        <w:pStyle w:val="2"/>
        <w:spacing w:before="95" w:line="219" w:lineRule="auto"/>
        <w:ind w:left="1289"/>
        <w:rPr>
          <w:sz w:val="19"/>
          <w:szCs w:val="19"/>
        </w:rPr>
      </w:pPr>
      <w:r>
        <w:rPr>
          <w:spacing w:val="10"/>
          <w:sz w:val="19"/>
          <w:szCs w:val="19"/>
        </w:rPr>
        <w:t>●业务、组织和用户需求；</w:t>
      </w:r>
    </w:p>
    <w:p w14:paraId="71AFCB08">
      <w:pPr>
        <w:pStyle w:val="2"/>
        <w:spacing w:before="95" w:line="219" w:lineRule="auto"/>
        <w:ind w:left="1289"/>
        <w:rPr>
          <w:sz w:val="19"/>
          <w:szCs w:val="19"/>
        </w:rPr>
      </w:pPr>
      <w:r>
        <w:rPr>
          <w:spacing w:val="10"/>
          <w:sz w:val="19"/>
          <w:szCs w:val="19"/>
        </w:rPr>
        <w:t>●系统规模、投资和进度要求；</w:t>
      </w:r>
    </w:p>
    <w:p w14:paraId="7D881BD3">
      <w:pPr>
        <w:pStyle w:val="2"/>
        <w:spacing w:before="95" w:line="220" w:lineRule="auto"/>
        <w:ind w:left="1289"/>
        <w:rPr>
          <w:sz w:val="19"/>
          <w:szCs w:val="19"/>
        </w:rPr>
      </w:pPr>
      <w:r>
        <w:rPr>
          <w:spacing w:val="12"/>
          <w:sz w:val="19"/>
          <w:szCs w:val="19"/>
        </w:rPr>
        <w:t>●安全保密性要求；</w:t>
      </w:r>
    </w:p>
    <w:p w14:paraId="493C0F3F">
      <w:pPr>
        <w:pStyle w:val="2"/>
        <w:spacing w:before="103" w:line="219" w:lineRule="auto"/>
        <w:ind w:left="1289"/>
        <w:rPr>
          <w:sz w:val="19"/>
          <w:szCs w:val="19"/>
        </w:rPr>
      </w:pPr>
      <w:r>
        <w:rPr>
          <w:spacing w:val="11"/>
          <w:sz w:val="19"/>
          <w:szCs w:val="19"/>
        </w:rPr>
        <w:t>●应遵循的标准、规程；</w:t>
      </w:r>
    </w:p>
    <w:p w14:paraId="70284747">
      <w:pPr>
        <w:pStyle w:val="2"/>
        <w:spacing w:before="94" w:line="219" w:lineRule="auto"/>
        <w:ind w:left="1289"/>
        <w:rPr>
          <w:sz w:val="19"/>
          <w:szCs w:val="19"/>
        </w:rPr>
      </w:pPr>
      <w:r>
        <w:rPr>
          <w:spacing w:val="11"/>
          <w:sz w:val="19"/>
          <w:szCs w:val="19"/>
        </w:rPr>
        <w:t>●与测试有关的要求和验收准则；</w:t>
      </w:r>
    </w:p>
    <w:p w14:paraId="4739FCBA">
      <w:pPr>
        <w:pStyle w:val="2"/>
        <w:spacing w:before="95" w:line="219" w:lineRule="auto"/>
        <w:ind w:left="1289"/>
        <w:rPr>
          <w:sz w:val="19"/>
          <w:szCs w:val="19"/>
        </w:rPr>
      </w:pPr>
      <w:r>
        <w:rPr>
          <w:spacing w:val="9"/>
          <w:sz w:val="19"/>
          <w:szCs w:val="19"/>
        </w:rPr>
        <w:t>●</w:t>
      </w:r>
      <w:r>
        <w:rPr>
          <w:spacing w:val="-53"/>
          <w:sz w:val="19"/>
          <w:szCs w:val="19"/>
        </w:rPr>
        <w:t xml:space="preserve"> </w:t>
      </w:r>
      <w:r>
        <w:rPr>
          <w:spacing w:val="9"/>
          <w:sz w:val="19"/>
          <w:szCs w:val="19"/>
        </w:rPr>
        <w:t>知识产权要求；</w:t>
      </w:r>
    </w:p>
    <w:p w14:paraId="37DB76D7">
      <w:pPr>
        <w:pStyle w:val="2"/>
        <w:spacing w:before="105" w:line="219" w:lineRule="auto"/>
        <w:ind w:left="1289"/>
        <w:rPr>
          <w:sz w:val="19"/>
          <w:szCs w:val="19"/>
        </w:rPr>
      </w:pPr>
      <w:r>
        <w:rPr>
          <w:spacing w:val="12"/>
          <w:sz w:val="19"/>
          <w:szCs w:val="19"/>
        </w:rPr>
        <w:t>●数据所有权要求。</w:t>
      </w:r>
    </w:p>
    <w:p w14:paraId="46396EED">
      <w:pPr>
        <w:pStyle w:val="2"/>
        <w:spacing w:before="84" w:line="265" w:lineRule="auto"/>
        <w:ind w:left="1289" w:right="1430"/>
        <w:rPr>
          <w:sz w:val="19"/>
          <w:szCs w:val="19"/>
        </w:rPr>
      </w:pPr>
      <w:r>
        <w:rPr>
          <w:spacing w:val="11"/>
          <w:sz w:val="19"/>
          <w:szCs w:val="19"/>
        </w:rPr>
        <w:t>(3)参与招标文件的编制，或审核招标文件技术需求、招标实</w:t>
      </w:r>
      <w:r>
        <w:rPr>
          <w:spacing w:val="10"/>
          <w:sz w:val="19"/>
          <w:szCs w:val="19"/>
        </w:rPr>
        <w:t>施合规性等。</w:t>
      </w:r>
      <w:r>
        <w:rPr>
          <w:sz w:val="19"/>
          <w:szCs w:val="19"/>
        </w:rPr>
        <w:t xml:space="preserve"> </w:t>
      </w:r>
      <w:r>
        <w:rPr>
          <w:spacing w:val="4"/>
          <w:sz w:val="19"/>
          <w:szCs w:val="19"/>
        </w:rPr>
        <w:t>明确招标文件应包括：</w:t>
      </w:r>
    </w:p>
    <w:p w14:paraId="5E8E6490">
      <w:pPr>
        <w:pStyle w:val="2"/>
        <w:spacing w:before="85" w:line="219" w:lineRule="auto"/>
        <w:ind w:left="1289"/>
        <w:rPr>
          <w:sz w:val="19"/>
          <w:szCs w:val="19"/>
        </w:rPr>
      </w:pPr>
      <w:r>
        <w:rPr>
          <w:spacing w:val="11"/>
          <w:sz w:val="19"/>
          <w:szCs w:val="19"/>
        </w:rPr>
        <w:t>●建设内容的完整性；</w:t>
      </w:r>
    </w:p>
    <w:p w14:paraId="1F01A7D9">
      <w:pPr>
        <w:pStyle w:val="2"/>
        <w:spacing w:before="104" w:line="219" w:lineRule="auto"/>
        <w:ind w:left="1289"/>
        <w:rPr>
          <w:sz w:val="19"/>
          <w:szCs w:val="19"/>
        </w:rPr>
      </w:pPr>
      <w:r>
        <w:rPr>
          <w:spacing w:val="11"/>
          <w:sz w:val="19"/>
          <w:szCs w:val="19"/>
        </w:rPr>
        <w:t>●适用的法律法规及标准的要求；</w:t>
      </w:r>
    </w:p>
    <w:p w14:paraId="539D1B00">
      <w:pPr>
        <w:pStyle w:val="2"/>
        <w:spacing w:before="85" w:line="219" w:lineRule="auto"/>
        <w:ind w:left="1289"/>
        <w:rPr>
          <w:sz w:val="19"/>
          <w:szCs w:val="19"/>
        </w:rPr>
      </w:pPr>
      <w:r>
        <w:rPr>
          <w:spacing w:val="11"/>
          <w:sz w:val="19"/>
          <w:szCs w:val="19"/>
        </w:rPr>
        <w:t>●软件主要功能和性能指标要求；</w:t>
      </w:r>
    </w:p>
    <w:p w14:paraId="40883BA4">
      <w:pPr>
        <w:pStyle w:val="2"/>
        <w:spacing w:before="85" w:line="219" w:lineRule="auto"/>
        <w:ind w:left="1289"/>
        <w:rPr>
          <w:sz w:val="19"/>
          <w:szCs w:val="19"/>
        </w:rPr>
      </w:pPr>
      <w:r>
        <w:rPr>
          <w:spacing w:val="10"/>
          <w:sz w:val="19"/>
          <w:szCs w:val="19"/>
        </w:rPr>
        <w:t>●合同执行的里程碑节点；</w:t>
      </w:r>
    </w:p>
    <w:p w14:paraId="4CB374AF">
      <w:pPr>
        <w:pStyle w:val="2"/>
        <w:spacing w:before="104" w:line="219" w:lineRule="auto"/>
        <w:ind w:left="1289"/>
        <w:rPr>
          <w:sz w:val="19"/>
          <w:szCs w:val="19"/>
        </w:rPr>
      </w:pPr>
      <w:r>
        <w:rPr>
          <w:spacing w:val="10"/>
          <w:sz w:val="19"/>
          <w:szCs w:val="19"/>
        </w:rPr>
        <w:t>●关键节点文档提交、审核及确认的要求；</w:t>
      </w:r>
    </w:p>
    <w:p w14:paraId="450F7D2E">
      <w:pPr>
        <w:pStyle w:val="2"/>
        <w:spacing w:before="85" w:line="219" w:lineRule="auto"/>
        <w:ind w:left="1289"/>
        <w:rPr>
          <w:sz w:val="19"/>
          <w:szCs w:val="19"/>
        </w:rPr>
      </w:pPr>
      <w:r>
        <w:rPr>
          <w:spacing w:val="11"/>
          <w:sz w:val="19"/>
          <w:szCs w:val="19"/>
        </w:rPr>
        <w:t>●验收方式和验收标准；</w:t>
      </w:r>
    </w:p>
    <w:p w14:paraId="056EC00B">
      <w:pPr>
        <w:pStyle w:val="2"/>
        <w:spacing w:before="95" w:line="220" w:lineRule="auto"/>
        <w:ind w:left="1289"/>
        <w:rPr>
          <w:sz w:val="19"/>
          <w:szCs w:val="19"/>
        </w:rPr>
      </w:pPr>
      <w:r>
        <w:rPr>
          <w:spacing w:val="12"/>
          <w:sz w:val="19"/>
          <w:szCs w:val="19"/>
        </w:rPr>
        <w:t>●安全保密性要求；</w:t>
      </w:r>
    </w:p>
    <w:p w14:paraId="6A0F9B91">
      <w:pPr>
        <w:pStyle w:val="2"/>
        <w:spacing w:before="83" w:line="219" w:lineRule="auto"/>
        <w:ind w:left="1289"/>
        <w:rPr>
          <w:sz w:val="19"/>
          <w:szCs w:val="19"/>
        </w:rPr>
      </w:pPr>
      <w:r>
        <w:rPr>
          <w:spacing w:val="12"/>
          <w:sz w:val="19"/>
          <w:szCs w:val="19"/>
        </w:rPr>
        <w:t>●知识产权要求等。</w:t>
      </w:r>
    </w:p>
    <w:p w14:paraId="715455FA">
      <w:pPr>
        <w:pStyle w:val="2"/>
        <w:spacing w:before="103" w:line="218" w:lineRule="auto"/>
        <w:ind w:left="1279"/>
        <w:rPr>
          <w:sz w:val="19"/>
          <w:szCs w:val="19"/>
        </w:rPr>
      </w:pPr>
      <w:r>
        <w:rPr>
          <w:spacing w:val="12"/>
          <w:sz w:val="19"/>
          <w:szCs w:val="19"/>
        </w:rPr>
        <w:t>(4)协助审查已有可利用产品的再用价值、可用性等。</w:t>
      </w:r>
    </w:p>
    <w:p w14:paraId="0C1221BF">
      <w:pPr>
        <w:spacing w:line="218" w:lineRule="auto"/>
        <w:rPr>
          <w:sz w:val="19"/>
          <w:szCs w:val="19"/>
        </w:rPr>
        <w:sectPr>
          <w:pgSz w:w="10300" w:h="13470"/>
          <w:pgMar w:top="400" w:right="1014" w:bottom="400" w:left="19" w:header="0" w:footer="0" w:gutter="0"/>
          <w:cols w:space="720" w:num="1"/>
        </w:sectPr>
      </w:pPr>
    </w:p>
    <w:p w14:paraId="1A2410F9">
      <w:pPr>
        <w:pStyle w:val="2"/>
        <w:jc w:val="right"/>
        <w:rPr>
          <w:rFonts w:ascii="Times New Roman" w:hAnsi="Times New Roman" w:eastAsia="Times New Roman" w:cs="Times New Roman"/>
          <w:sz w:val="17"/>
          <w:szCs w:val="17"/>
        </w:rPr>
      </w:pPr>
      <w:bookmarkStart w:id="731" w:name="bookmark716"/>
      <w:bookmarkEnd w:id="731"/>
      <w:r>
        <w:rPr>
          <w:spacing w:val="2"/>
          <w:sz w:val="19"/>
          <w:szCs w:val="19"/>
        </w:rPr>
        <w:t>第22章</w:t>
      </w:r>
      <w:r>
        <w:rPr>
          <w:spacing w:val="36"/>
          <w:sz w:val="19"/>
          <w:szCs w:val="19"/>
        </w:rPr>
        <w:t xml:space="preserve"> </w:t>
      </w:r>
      <w:r>
        <w:rPr>
          <w:spacing w:val="2"/>
          <w:sz w:val="19"/>
          <w:szCs w:val="19"/>
        </w:rPr>
        <w:t>软件工程监理</w:t>
      </w:r>
      <w:r>
        <w:rPr>
          <w:spacing w:val="28"/>
          <w:sz w:val="19"/>
          <w:szCs w:val="19"/>
        </w:rPr>
        <w:t xml:space="preserve"> </w:t>
      </w:r>
      <w:r>
        <w:rPr>
          <w:position w:val="-15"/>
          <w:sz w:val="19"/>
          <w:szCs w:val="19"/>
        </w:rPr>
        <w:drawing>
          <wp:inline distT="0" distB="0" distL="0" distR="0">
            <wp:extent cx="317500" cy="259715"/>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315"/>
                    <a:stretch>
                      <a:fillRect/>
                    </a:stretch>
                  </pic:blipFill>
                  <pic:spPr>
                    <a:xfrm>
                      <a:off x="0" y="0"/>
                      <a:ext cx="317512" cy="260310"/>
                    </a:xfrm>
                    <a:prstGeom prst="rect">
                      <a:avLst/>
                    </a:prstGeom>
                  </pic:spPr>
                </pic:pic>
              </a:graphicData>
            </a:graphic>
          </wp:inline>
        </w:drawing>
      </w:r>
      <w:r>
        <w:rPr>
          <w:rFonts w:ascii="Times New Roman" w:hAnsi="Times New Roman" w:eastAsia="Times New Roman" w:cs="Times New Roman"/>
          <w:spacing w:val="2"/>
          <w:sz w:val="17"/>
          <w:szCs w:val="17"/>
        </w:rPr>
        <w:t>505</w:t>
      </w:r>
    </w:p>
    <w:p w14:paraId="3D76B48A">
      <w:pPr>
        <w:pStyle w:val="2"/>
        <w:spacing w:before="297" w:line="219" w:lineRule="auto"/>
        <w:ind w:left="360"/>
        <w:rPr>
          <w:sz w:val="19"/>
          <w:szCs w:val="19"/>
        </w:rPr>
      </w:pPr>
      <w:r>
        <w:rPr>
          <w:spacing w:val="7"/>
          <w:sz w:val="19"/>
          <w:szCs w:val="19"/>
        </w:rPr>
        <w:t>当要获取就绪可用软件产品时，宜协助业主单位</w:t>
      </w:r>
      <w:r>
        <w:rPr>
          <w:spacing w:val="6"/>
          <w:sz w:val="19"/>
          <w:szCs w:val="19"/>
        </w:rPr>
        <w:t>审查对其的要求，包括：</w:t>
      </w:r>
    </w:p>
    <w:p w14:paraId="6F066C9E">
      <w:pPr>
        <w:spacing w:before="89" w:line="223" w:lineRule="auto"/>
        <w:ind w:left="360"/>
        <w:rPr>
          <w:rFonts w:ascii="楷体" w:hAnsi="楷体" w:eastAsia="楷体" w:cs="楷体"/>
          <w:sz w:val="19"/>
          <w:szCs w:val="19"/>
        </w:rPr>
      </w:pPr>
      <w:r>
        <w:rPr>
          <w:rFonts w:ascii="楷体" w:hAnsi="楷体" w:eastAsia="楷体" w:cs="楷体"/>
          <w:spacing w:val="10"/>
          <w:sz w:val="19"/>
          <w:szCs w:val="19"/>
        </w:rPr>
        <w:t>●满足系统建设目标和系统需求；</w:t>
      </w:r>
    </w:p>
    <w:p w14:paraId="217E9BC8">
      <w:pPr>
        <w:spacing w:before="105" w:line="228" w:lineRule="auto"/>
        <w:ind w:left="360"/>
        <w:rPr>
          <w:rFonts w:ascii="楷体" w:hAnsi="楷体" w:eastAsia="楷体" w:cs="楷体"/>
          <w:sz w:val="19"/>
          <w:szCs w:val="19"/>
        </w:rPr>
      </w:pPr>
      <w:r>
        <w:rPr>
          <w:rFonts w:ascii="楷体" w:hAnsi="楷体" w:eastAsia="楷体" w:cs="楷体"/>
          <w:spacing w:val="13"/>
          <w:sz w:val="19"/>
          <w:szCs w:val="19"/>
        </w:rPr>
        <w:t>●对文档的要求；</w:t>
      </w:r>
    </w:p>
    <w:p w14:paraId="5BAC6CA8">
      <w:pPr>
        <w:spacing w:before="80" w:line="223" w:lineRule="auto"/>
        <w:ind w:left="360"/>
        <w:rPr>
          <w:rFonts w:ascii="楷体" w:hAnsi="楷体" w:eastAsia="楷体" w:cs="楷体"/>
          <w:sz w:val="19"/>
          <w:szCs w:val="19"/>
        </w:rPr>
      </w:pPr>
      <w:r>
        <w:rPr>
          <w:rFonts w:ascii="楷体" w:hAnsi="楷体" w:eastAsia="楷体" w:cs="楷体"/>
          <w:spacing w:val="12"/>
          <w:sz w:val="19"/>
          <w:szCs w:val="19"/>
        </w:rPr>
        <w:t>●对知识产权的要求；</w:t>
      </w:r>
    </w:p>
    <w:p w14:paraId="4F3EC387">
      <w:pPr>
        <w:spacing w:before="106" w:line="228" w:lineRule="auto"/>
        <w:ind w:left="360"/>
        <w:rPr>
          <w:rFonts w:ascii="楷体" w:hAnsi="楷体" w:eastAsia="楷体" w:cs="楷体"/>
          <w:sz w:val="19"/>
          <w:szCs w:val="19"/>
        </w:rPr>
      </w:pPr>
      <w:r>
        <w:rPr>
          <w:rFonts w:ascii="楷体" w:hAnsi="楷体" w:eastAsia="楷体" w:cs="楷体"/>
          <w:spacing w:val="13"/>
          <w:sz w:val="19"/>
          <w:szCs w:val="19"/>
        </w:rPr>
        <w:t>●对安全的要求；</w:t>
      </w:r>
    </w:p>
    <w:p w14:paraId="5A48DF1D">
      <w:pPr>
        <w:spacing w:before="90" w:line="223" w:lineRule="auto"/>
        <w:ind w:left="360"/>
        <w:rPr>
          <w:rFonts w:ascii="楷体" w:hAnsi="楷体" w:eastAsia="楷体" w:cs="楷体"/>
          <w:sz w:val="19"/>
          <w:szCs w:val="19"/>
        </w:rPr>
      </w:pPr>
      <w:r>
        <w:rPr>
          <w:rFonts w:ascii="楷体" w:hAnsi="楷体" w:eastAsia="楷体" w:cs="楷体"/>
          <w:spacing w:val="10"/>
          <w:sz w:val="19"/>
          <w:szCs w:val="19"/>
        </w:rPr>
        <w:t>●对此软件产品的服务和支持的要求；</w:t>
      </w:r>
    </w:p>
    <w:p w14:paraId="4051F672">
      <w:pPr>
        <w:spacing w:before="100" w:line="223" w:lineRule="auto"/>
        <w:ind w:left="360"/>
        <w:rPr>
          <w:rFonts w:ascii="楷体" w:hAnsi="楷体" w:eastAsia="楷体" w:cs="楷体"/>
          <w:sz w:val="19"/>
          <w:szCs w:val="19"/>
        </w:rPr>
      </w:pPr>
      <w:r>
        <w:rPr>
          <w:rFonts w:ascii="楷体" w:hAnsi="楷体" w:eastAsia="楷体" w:cs="楷体"/>
          <w:spacing w:val="11"/>
          <w:sz w:val="19"/>
          <w:szCs w:val="19"/>
        </w:rPr>
        <w:t>●对供货单位提供此软件产品能力的要求。</w:t>
      </w:r>
    </w:p>
    <w:p w14:paraId="38FC2CD2">
      <w:pPr>
        <w:pStyle w:val="2"/>
        <w:spacing w:before="193" w:line="223" w:lineRule="auto"/>
        <w:ind w:left="362"/>
        <w:rPr>
          <w:rFonts w:ascii="黑体" w:hAnsi="黑体" w:eastAsia="黑体" w:cs="黑体"/>
          <w:sz w:val="19"/>
          <w:szCs w:val="19"/>
        </w:rPr>
      </w:pPr>
      <w:r>
        <w:rPr>
          <w:b/>
          <w:bCs/>
          <w:color w:val="007BC3"/>
          <w:spacing w:val="9"/>
          <w:sz w:val="19"/>
          <w:szCs w:val="19"/>
        </w:rPr>
        <w:t>2.</w:t>
      </w:r>
      <w:r>
        <w:rPr>
          <w:rFonts w:ascii="黑体" w:hAnsi="黑体" w:eastAsia="黑体" w:cs="黑体"/>
          <w:b/>
          <w:bCs/>
          <w:color w:val="007BC3"/>
          <w:spacing w:val="9"/>
          <w:sz w:val="19"/>
          <w:szCs w:val="19"/>
        </w:rPr>
        <w:t>招标的监理</w:t>
      </w:r>
    </w:p>
    <w:p w14:paraId="5151ACFB">
      <w:pPr>
        <w:pStyle w:val="2"/>
        <w:spacing w:before="152" w:line="219" w:lineRule="auto"/>
        <w:ind w:left="360"/>
        <w:rPr>
          <w:sz w:val="19"/>
          <w:szCs w:val="19"/>
        </w:rPr>
      </w:pPr>
      <w:r>
        <w:rPr>
          <w:spacing w:val="12"/>
          <w:sz w:val="19"/>
          <w:szCs w:val="19"/>
        </w:rPr>
        <w:t>具体参见第20章有关章节的内容。</w:t>
      </w:r>
    </w:p>
    <w:p w14:paraId="5EA2F671">
      <w:pPr>
        <w:spacing w:before="184" w:line="223" w:lineRule="auto"/>
        <w:ind w:left="362"/>
        <w:rPr>
          <w:rFonts w:ascii="黑体" w:hAnsi="黑体" w:eastAsia="黑体" w:cs="黑体"/>
          <w:sz w:val="19"/>
          <w:szCs w:val="19"/>
        </w:rPr>
      </w:pPr>
      <w:r>
        <w:rPr>
          <w:rFonts w:ascii="黑体" w:hAnsi="黑体" w:eastAsia="黑体" w:cs="黑体"/>
          <w:b/>
          <w:bCs/>
          <w:color w:val="119BF8"/>
          <w:spacing w:val="7"/>
          <w:sz w:val="19"/>
          <w:szCs w:val="19"/>
        </w:rPr>
        <w:t>3.合同签订的监理</w:t>
      </w:r>
    </w:p>
    <w:p w14:paraId="0C442DE8">
      <w:pPr>
        <w:pStyle w:val="2"/>
        <w:spacing w:before="161" w:line="219" w:lineRule="auto"/>
        <w:ind w:left="360"/>
        <w:rPr>
          <w:sz w:val="19"/>
          <w:szCs w:val="19"/>
        </w:rPr>
      </w:pPr>
      <w:r>
        <w:rPr>
          <w:spacing w:val="12"/>
          <w:sz w:val="19"/>
          <w:szCs w:val="19"/>
        </w:rPr>
        <w:t>具体参见第20章有关章节的内容。</w:t>
      </w:r>
    </w:p>
    <w:p w14:paraId="2D0F855A">
      <w:pPr>
        <w:spacing w:before="67" w:line="299" w:lineRule="auto"/>
        <w:ind w:right="270" w:firstLine="265"/>
        <w:rPr>
          <w:rFonts w:ascii="楷体" w:hAnsi="楷体" w:eastAsia="楷体" w:cs="楷体"/>
          <w:sz w:val="19"/>
          <w:szCs w:val="19"/>
        </w:rPr>
      </w:pPr>
      <w:r>
        <w:rPr>
          <w:rFonts w:ascii="黑体" w:hAnsi="黑体" w:eastAsia="黑体" w:cs="黑体"/>
          <w:spacing w:val="6"/>
          <w:sz w:val="19"/>
          <w:szCs w:val="19"/>
        </w:rPr>
        <w:t>【案例1】</w:t>
      </w:r>
      <w:r>
        <w:rPr>
          <w:rFonts w:ascii="黑体" w:hAnsi="黑体" w:eastAsia="黑体" w:cs="黑体"/>
          <w:spacing w:val="-24"/>
          <w:sz w:val="19"/>
          <w:szCs w:val="19"/>
        </w:rPr>
        <w:t xml:space="preserve"> </w:t>
      </w:r>
      <w:r>
        <w:rPr>
          <w:rFonts w:ascii="楷体" w:hAnsi="楷体" w:eastAsia="楷体" w:cs="楷体"/>
          <w:spacing w:val="6"/>
          <w:sz w:val="19"/>
          <w:szCs w:val="19"/>
        </w:rPr>
        <w:t>某省级社保系统应用软件升级改造项目选择监理服务，要求监理机构代表业主单位</w:t>
      </w:r>
      <w:r>
        <w:rPr>
          <w:rFonts w:ascii="楷体" w:hAnsi="楷体" w:eastAsia="楷体" w:cs="楷体"/>
          <w:sz w:val="19"/>
          <w:szCs w:val="19"/>
        </w:rPr>
        <w:t xml:space="preserve"> </w:t>
      </w:r>
      <w:r>
        <w:rPr>
          <w:rFonts w:ascii="楷体" w:hAnsi="楷体" w:eastAsia="楷体" w:cs="楷体"/>
          <w:spacing w:val="3"/>
          <w:sz w:val="19"/>
          <w:szCs w:val="19"/>
        </w:rPr>
        <w:t>参与该项目招标阶段全过程工作。遵照业主单位工作要求，监理</w:t>
      </w:r>
      <w:r>
        <w:rPr>
          <w:rFonts w:ascii="楷体" w:hAnsi="楷体" w:eastAsia="楷体" w:cs="楷体"/>
          <w:spacing w:val="2"/>
          <w:sz w:val="19"/>
          <w:szCs w:val="19"/>
        </w:rPr>
        <w:t>机构在项目招标阶段开展了采购需</w:t>
      </w:r>
      <w:r>
        <w:rPr>
          <w:rFonts w:ascii="楷体" w:hAnsi="楷体" w:eastAsia="楷体" w:cs="楷体"/>
          <w:sz w:val="19"/>
          <w:szCs w:val="19"/>
        </w:rPr>
        <w:t xml:space="preserve"> </w:t>
      </w:r>
      <w:r>
        <w:rPr>
          <w:rFonts w:ascii="楷体" w:hAnsi="楷体" w:eastAsia="楷体" w:cs="楷体"/>
          <w:spacing w:val="2"/>
          <w:sz w:val="19"/>
          <w:szCs w:val="19"/>
        </w:rPr>
        <w:t>求审核、软件合同审核等工作。在具体工作中，监理工程师针对审核对象，采取了如下审核</w:t>
      </w:r>
      <w:r>
        <w:rPr>
          <w:rFonts w:ascii="楷体" w:hAnsi="楷体" w:eastAsia="楷体" w:cs="楷体"/>
          <w:spacing w:val="1"/>
          <w:sz w:val="19"/>
          <w:szCs w:val="19"/>
        </w:rPr>
        <w:t>要点：</w:t>
      </w:r>
    </w:p>
    <w:p w14:paraId="41E0E601">
      <w:pPr>
        <w:spacing w:before="41" w:line="223" w:lineRule="auto"/>
        <w:ind w:left="360"/>
        <w:rPr>
          <w:rFonts w:ascii="楷体" w:hAnsi="楷体" w:eastAsia="楷体" w:cs="楷体"/>
          <w:sz w:val="19"/>
          <w:szCs w:val="19"/>
        </w:rPr>
      </w:pPr>
      <w:r>
        <w:rPr>
          <w:rFonts w:ascii="楷体" w:hAnsi="楷体" w:eastAsia="楷体" w:cs="楷体"/>
          <w:spacing w:val="12"/>
          <w:sz w:val="19"/>
          <w:szCs w:val="19"/>
        </w:rPr>
        <w:t>(1)采购需求的审核要点具体如下：</w:t>
      </w:r>
    </w:p>
    <w:p w14:paraId="78814D2A">
      <w:pPr>
        <w:spacing w:before="83" w:line="225" w:lineRule="auto"/>
        <w:ind w:left="360"/>
        <w:rPr>
          <w:rFonts w:ascii="楷体" w:hAnsi="楷体" w:eastAsia="楷体" w:cs="楷体"/>
          <w:sz w:val="19"/>
          <w:szCs w:val="19"/>
        </w:rPr>
      </w:pPr>
      <w:r>
        <w:rPr>
          <w:rFonts w:ascii="楷体" w:hAnsi="楷体" w:eastAsia="楷体" w:cs="楷体"/>
          <w:spacing w:val="19"/>
          <w:sz w:val="19"/>
          <w:szCs w:val="19"/>
        </w:rPr>
        <w:t>●项目概况(基本信息、项目背景等)的完整性；</w:t>
      </w:r>
    </w:p>
    <w:p w14:paraId="596092F2">
      <w:pPr>
        <w:spacing w:before="101" w:line="228" w:lineRule="auto"/>
        <w:ind w:left="360"/>
        <w:rPr>
          <w:rFonts w:ascii="楷体" w:hAnsi="楷体" w:eastAsia="楷体" w:cs="楷体"/>
          <w:sz w:val="19"/>
          <w:szCs w:val="19"/>
        </w:rPr>
      </w:pPr>
      <w:r>
        <w:rPr>
          <w:rFonts w:ascii="楷体" w:hAnsi="楷体" w:eastAsia="楷体" w:cs="楷体"/>
          <w:spacing w:val="13"/>
          <w:sz w:val="19"/>
          <w:szCs w:val="19"/>
        </w:rPr>
        <w:t>●项目预算的使用；</w:t>
      </w:r>
    </w:p>
    <w:p w14:paraId="0297E6AF">
      <w:pPr>
        <w:spacing w:before="82" w:line="224" w:lineRule="auto"/>
        <w:ind w:left="360"/>
        <w:rPr>
          <w:rFonts w:ascii="楷体" w:hAnsi="楷体" w:eastAsia="楷体" w:cs="楷体"/>
          <w:sz w:val="19"/>
          <w:szCs w:val="19"/>
        </w:rPr>
      </w:pPr>
      <w:r>
        <w:rPr>
          <w:rFonts w:ascii="楷体" w:hAnsi="楷体" w:eastAsia="楷体" w:cs="楷体"/>
          <w:spacing w:val="13"/>
          <w:sz w:val="19"/>
          <w:szCs w:val="19"/>
        </w:rPr>
        <w:t>●服务期限的设定；</w:t>
      </w:r>
    </w:p>
    <w:p w14:paraId="0EA15A47">
      <w:pPr>
        <w:spacing w:before="100" w:line="225" w:lineRule="auto"/>
        <w:ind w:left="360"/>
        <w:rPr>
          <w:rFonts w:ascii="楷体" w:hAnsi="楷体" w:eastAsia="楷体" w:cs="楷体"/>
          <w:sz w:val="19"/>
          <w:szCs w:val="19"/>
        </w:rPr>
      </w:pPr>
      <w:r>
        <w:rPr>
          <w:rFonts w:ascii="楷体" w:hAnsi="楷体" w:eastAsia="楷体" w:cs="楷体"/>
          <w:spacing w:val="12"/>
          <w:sz w:val="19"/>
          <w:szCs w:val="19"/>
        </w:rPr>
        <w:t>●服务内容的全面性；</w:t>
      </w:r>
    </w:p>
    <w:p w14:paraId="02071AB7">
      <w:pPr>
        <w:spacing w:before="89" w:line="225" w:lineRule="auto"/>
        <w:ind w:left="360"/>
        <w:rPr>
          <w:rFonts w:ascii="楷体" w:hAnsi="楷体" w:eastAsia="楷体" w:cs="楷体"/>
          <w:sz w:val="19"/>
          <w:szCs w:val="19"/>
        </w:rPr>
      </w:pPr>
      <w:r>
        <w:rPr>
          <w:rFonts w:ascii="楷体" w:hAnsi="楷体" w:eastAsia="楷体" w:cs="楷体"/>
          <w:spacing w:val="12"/>
          <w:sz w:val="19"/>
          <w:szCs w:val="19"/>
        </w:rPr>
        <w:t>●服务要求的准确性；</w:t>
      </w:r>
    </w:p>
    <w:p w14:paraId="73401607">
      <w:pPr>
        <w:spacing w:before="76" w:line="223" w:lineRule="auto"/>
        <w:ind w:left="360"/>
        <w:rPr>
          <w:rFonts w:ascii="楷体" w:hAnsi="楷体" w:eastAsia="楷体" w:cs="楷体"/>
          <w:sz w:val="19"/>
          <w:szCs w:val="19"/>
        </w:rPr>
      </w:pPr>
      <w:r>
        <w:rPr>
          <w:rFonts w:ascii="楷体" w:hAnsi="楷体" w:eastAsia="楷体" w:cs="楷体"/>
          <w:spacing w:val="16"/>
          <w:sz w:val="19"/>
          <w:szCs w:val="19"/>
        </w:rPr>
        <w:t>●技术要求(总体技术、技术路线、系统功能、技术指标要求)的可执行性；</w:t>
      </w:r>
    </w:p>
    <w:p w14:paraId="14EB1FF0">
      <w:pPr>
        <w:spacing w:before="92" w:line="224" w:lineRule="auto"/>
        <w:ind w:left="360"/>
        <w:rPr>
          <w:rFonts w:ascii="楷体" w:hAnsi="楷体" w:eastAsia="楷体" w:cs="楷体"/>
          <w:sz w:val="19"/>
          <w:szCs w:val="19"/>
        </w:rPr>
      </w:pPr>
      <w:r>
        <w:rPr>
          <w:rFonts w:ascii="楷体" w:hAnsi="楷体" w:eastAsia="楷体" w:cs="楷体"/>
          <w:spacing w:val="17"/>
          <w:sz w:val="19"/>
          <w:szCs w:val="19"/>
        </w:rPr>
        <w:t>●进度要求(实施进度、验收期限、成果交付期限)的明确性；</w:t>
      </w:r>
    </w:p>
    <w:p w14:paraId="7EA342DF">
      <w:pPr>
        <w:spacing w:before="88" w:line="223" w:lineRule="auto"/>
        <w:ind w:left="360"/>
        <w:rPr>
          <w:rFonts w:ascii="楷体" w:hAnsi="楷体" w:eastAsia="楷体" w:cs="楷体"/>
          <w:sz w:val="19"/>
          <w:szCs w:val="19"/>
        </w:rPr>
      </w:pPr>
      <w:r>
        <w:rPr>
          <w:rFonts w:ascii="楷体" w:hAnsi="楷体" w:eastAsia="楷体" w:cs="楷体"/>
          <w:spacing w:val="17"/>
          <w:sz w:val="19"/>
          <w:szCs w:val="19"/>
        </w:rPr>
        <w:t>●管理要求(服务人员、组织实施要求、成果要求)的可落实性；</w:t>
      </w:r>
    </w:p>
    <w:p w14:paraId="4D6B39D6">
      <w:pPr>
        <w:spacing w:before="100" w:line="223" w:lineRule="auto"/>
        <w:ind w:left="360"/>
        <w:rPr>
          <w:rFonts w:ascii="楷体" w:hAnsi="楷体" w:eastAsia="楷体" w:cs="楷体"/>
          <w:sz w:val="19"/>
          <w:szCs w:val="19"/>
        </w:rPr>
      </w:pPr>
      <w:r>
        <w:rPr>
          <w:rFonts w:ascii="楷体" w:hAnsi="楷体" w:eastAsia="楷体" w:cs="楷体"/>
          <w:spacing w:val="11"/>
          <w:sz w:val="19"/>
          <w:szCs w:val="19"/>
        </w:rPr>
        <w:t>●验收标准与方式的可操作性；</w:t>
      </w:r>
    </w:p>
    <w:p w14:paraId="5D63E7F8">
      <w:pPr>
        <w:spacing w:before="80" w:line="270" w:lineRule="auto"/>
        <w:ind w:left="670" w:right="191" w:hanging="310"/>
        <w:rPr>
          <w:rFonts w:ascii="楷体" w:hAnsi="楷体" w:eastAsia="楷体" w:cs="楷体"/>
          <w:sz w:val="19"/>
          <w:szCs w:val="19"/>
        </w:rPr>
      </w:pPr>
      <w:r>
        <w:rPr>
          <w:rFonts w:ascii="楷体" w:hAnsi="楷体" w:eastAsia="楷体" w:cs="楷体"/>
          <w:spacing w:val="18"/>
          <w:sz w:val="19"/>
          <w:szCs w:val="19"/>
        </w:rPr>
        <w:t>●其他要求(如商务要求、培训要求、服务响应要求、资产</w:t>
      </w:r>
      <w:r>
        <w:rPr>
          <w:rFonts w:ascii="楷体" w:hAnsi="楷体" w:eastAsia="楷体" w:cs="楷体"/>
          <w:spacing w:val="17"/>
          <w:sz w:val="19"/>
          <w:szCs w:val="19"/>
        </w:rPr>
        <w:t>权属、保密要求、廉政要求、</w:t>
      </w:r>
      <w:r>
        <w:rPr>
          <w:rFonts w:ascii="楷体" w:hAnsi="楷体" w:eastAsia="楷体" w:cs="楷体"/>
          <w:sz w:val="19"/>
          <w:szCs w:val="19"/>
        </w:rPr>
        <w:t xml:space="preserve"> </w:t>
      </w:r>
      <w:r>
        <w:rPr>
          <w:rFonts w:ascii="楷体" w:hAnsi="楷体" w:eastAsia="楷体" w:cs="楷体"/>
          <w:spacing w:val="12"/>
          <w:sz w:val="19"/>
          <w:szCs w:val="19"/>
        </w:rPr>
        <w:t>监理要求等)阐述的关联性、协调性；</w:t>
      </w:r>
    </w:p>
    <w:p w14:paraId="68600EA7">
      <w:pPr>
        <w:spacing w:before="78" w:line="226" w:lineRule="auto"/>
        <w:ind w:left="360"/>
        <w:rPr>
          <w:rFonts w:ascii="楷体" w:hAnsi="楷体" w:eastAsia="楷体" w:cs="楷体"/>
          <w:sz w:val="19"/>
          <w:szCs w:val="19"/>
        </w:rPr>
      </w:pPr>
      <w:r>
        <w:rPr>
          <w:rFonts w:ascii="楷体" w:hAnsi="楷体" w:eastAsia="楷体" w:cs="楷体"/>
          <w:spacing w:val="13"/>
          <w:sz w:val="19"/>
          <w:szCs w:val="19"/>
        </w:rPr>
        <w:t>●付款方式与要求的合理性等。</w:t>
      </w:r>
    </w:p>
    <w:p w14:paraId="70278CC9">
      <w:pPr>
        <w:spacing w:before="84" w:line="223" w:lineRule="auto"/>
        <w:ind w:left="360"/>
        <w:rPr>
          <w:rFonts w:ascii="楷体" w:hAnsi="楷体" w:eastAsia="楷体" w:cs="楷体"/>
          <w:sz w:val="19"/>
          <w:szCs w:val="19"/>
        </w:rPr>
      </w:pPr>
      <w:r>
        <w:rPr>
          <w:rFonts w:ascii="楷体" w:hAnsi="楷体" w:eastAsia="楷体" w:cs="楷体"/>
          <w:spacing w:val="12"/>
          <w:sz w:val="19"/>
          <w:szCs w:val="19"/>
        </w:rPr>
        <w:t>(2)承建合同的审核要点具体如下：</w:t>
      </w:r>
    </w:p>
    <w:p w14:paraId="240E7980">
      <w:pPr>
        <w:spacing w:before="70" w:line="222" w:lineRule="auto"/>
        <w:ind w:left="360"/>
        <w:rPr>
          <w:rFonts w:ascii="楷体" w:hAnsi="楷体" w:eastAsia="楷体" w:cs="楷体"/>
          <w:sz w:val="19"/>
          <w:szCs w:val="19"/>
        </w:rPr>
      </w:pPr>
      <w:r>
        <w:rPr>
          <w:rFonts w:ascii="楷体" w:hAnsi="楷体" w:eastAsia="楷体" w:cs="楷体"/>
          <w:spacing w:val="16"/>
          <w:sz w:val="19"/>
          <w:szCs w:val="19"/>
        </w:rPr>
        <w:t>●总则(相关术语的定义与解释、声明与保证等);</w:t>
      </w:r>
    </w:p>
    <w:p w14:paraId="57B0FD4E">
      <w:pPr>
        <w:spacing w:before="102" w:line="223" w:lineRule="auto"/>
        <w:ind w:left="360"/>
        <w:rPr>
          <w:rFonts w:ascii="楷体" w:hAnsi="楷体" w:eastAsia="楷体" w:cs="楷体"/>
          <w:sz w:val="19"/>
          <w:szCs w:val="19"/>
        </w:rPr>
      </w:pPr>
      <w:r>
        <w:rPr>
          <w:rFonts w:ascii="楷体" w:hAnsi="楷体" w:eastAsia="楷体" w:cs="楷体"/>
          <w:spacing w:val="11"/>
          <w:sz w:val="19"/>
          <w:szCs w:val="19"/>
        </w:rPr>
        <w:t>●合同主体的权利与义务；</w:t>
      </w:r>
    </w:p>
    <w:p w14:paraId="0C70FA04">
      <w:pPr>
        <w:spacing w:before="93" w:line="224" w:lineRule="auto"/>
        <w:ind w:left="360"/>
        <w:rPr>
          <w:rFonts w:ascii="楷体" w:hAnsi="楷体" w:eastAsia="楷体" w:cs="楷体"/>
          <w:sz w:val="19"/>
          <w:szCs w:val="19"/>
        </w:rPr>
      </w:pPr>
      <w:r>
        <w:rPr>
          <w:rFonts w:ascii="楷体" w:hAnsi="楷体" w:eastAsia="楷体" w:cs="楷体"/>
          <w:spacing w:val="12"/>
          <w:sz w:val="19"/>
          <w:szCs w:val="19"/>
        </w:rPr>
        <w:t>●服务内容及服务期限；</w:t>
      </w:r>
    </w:p>
    <w:p w14:paraId="199A97AE">
      <w:pPr>
        <w:spacing w:before="77" w:line="223" w:lineRule="auto"/>
        <w:ind w:left="360"/>
        <w:rPr>
          <w:rFonts w:ascii="楷体" w:hAnsi="楷体" w:eastAsia="楷体" w:cs="楷体"/>
          <w:sz w:val="19"/>
          <w:szCs w:val="19"/>
        </w:rPr>
      </w:pPr>
      <w:r>
        <w:rPr>
          <w:rFonts w:ascii="楷体" w:hAnsi="楷体" w:eastAsia="楷体" w:cs="楷体"/>
          <w:spacing w:val="12"/>
          <w:sz w:val="19"/>
          <w:szCs w:val="19"/>
        </w:rPr>
        <w:t>●服务实施和验收约束；</w:t>
      </w:r>
    </w:p>
    <w:p w14:paraId="4CFE113C">
      <w:pPr>
        <w:spacing w:before="94" w:line="227" w:lineRule="auto"/>
        <w:ind w:left="360"/>
        <w:rPr>
          <w:rFonts w:ascii="楷体" w:hAnsi="楷体" w:eastAsia="楷体" w:cs="楷体"/>
          <w:sz w:val="19"/>
          <w:szCs w:val="19"/>
        </w:rPr>
      </w:pPr>
      <w:r>
        <w:rPr>
          <w:rFonts w:ascii="楷体" w:hAnsi="楷体" w:eastAsia="楷体" w:cs="楷体"/>
          <w:spacing w:val="13"/>
          <w:sz w:val="19"/>
          <w:szCs w:val="19"/>
        </w:rPr>
        <w:t>●项目进度保障；</w:t>
      </w:r>
    </w:p>
    <w:p w14:paraId="3871E41E">
      <w:pPr>
        <w:spacing w:before="88" w:line="227" w:lineRule="auto"/>
        <w:ind w:left="360"/>
        <w:rPr>
          <w:rFonts w:ascii="楷体" w:hAnsi="楷体" w:eastAsia="楷体" w:cs="楷体"/>
          <w:sz w:val="19"/>
          <w:szCs w:val="19"/>
        </w:rPr>
      </w:pPr>
      <w:r>
        <w:rPr>
          <w:rFonts w:ascii="楷体" w:hAnsi="楷体" w:eastAsia="楷体" w:cs="楷体"/>
          <w:spacing w:val="13"/>
          <w:sz w:val="19"/>
          <w:szCs w:val="19"/>
        </w:rPr>
        <w:t>●项目质量保证；</w:t>
      </w:r>
    </w:p>
    <w:p w14:paraId="2BC7B20B">
      <w:pPr>
        <w:spacing w:before="67" w:line="229" w:lineRule="auto"/>
        <w:ind w:left="360"/>
        <w:rPr>
          <w:rFonts w:ascii="楷体" w:hAnsi="楷体" w:eastAsia="楷体" w:cs="楷体"/>
          <w:sz w:val="19"/>
          <w:szCs w:val="19"/>
        </w:rPr>
      </w:pPr>
      <w:r>
        <w:rPr>
          <w:rFonts w:ascii="楷体" w:hAnsi="楷体" w:eastAsia="楷体" w:cs="楷体"/>
          <w:spacing w:val="11"/>
          <w:sz w:val="19"/>
          <w:szCs w:val="19"/>
        </w:rPr>
        <w:t>●</w:t>
      </w:r>
      <w:r>
        <w:rPr>
          <w:rFonts w:ascii="楷体" w:hAnsi="楷体" w:eastAsia="楷体" w:cs="楷体"/>
          <w:spacing w:val="-60"/>
          <w:sz w:val="19"/>
          <w:szCs w:val="19"/>
        </w:rPr>
        <w:t xml:space="preserve"> </w:t>
      </w:r>
      <w:r>
        <w:rPr>
          <w:rFonts w:ascii="楷体" w:hAnsi="楷体" w:eastAsia="楷体" w:cs="楷体"/>
          <w:spacing w:val="11"/>
          <w:sz w:val="19"/>
          <w:szCs w:val="19"/>
        </w:rPr>
        <w:t>项目安全防护；</w:t>
      </w:r>
    </w:p>
    <w:p w14:paraId="5A74401D">
      <w:pPr>
        <w:spacing w:line="229" w:lineRule="auto"/>
        <w:rPr>
          <w:rFonts w:ascii="楷体" w:hAnsi="楷体" w:eastAsia="楷体" w:cs="楷体"/>
          <w:sz w:val="19"/>
          <w:szCs w:val="19"/>
        </w:rPr>
        <w:sectPr>
          <w:pgSz w:w="10280" w:h="13340"/>
          <w:pgMar w:top="350" w:right="593" w:bottom="400" w:left="1129" w:header="0" w:footer="0" w:gutter="0"/>
          <w:cols w:space="720" w:num="1"/>
        </w:sectPr>
      </w:pPr>
    </w:p>
    <w:p w14:paraId="6F028040">
      <w:pPr>
        <w:pStyle w:val="2"/>
        <w:rPr>
          <w:sz w:val="19"/>
          <w:szCs w:val="19"/>
        </w:rPr>
      </w:pPr>
      <w:r>
        <w:rPr>
          <w:rFonts w:ascii="Times New Roman" w:hAnsi="Times New Roman" w:eastAsia="Times New Roman" w:cs="Times New Roman"/>
          <w:spacing w:val="5"/>
          <w:position w:val="-3"/>
          <w:sz w:val="19"/>
          <w:szCs w:val="19"/>
        </w:rPr>
        <w:t>506</w:t>
      </w:r>
      <w:r>
        <w:rPr>
          <w:rFonts w:ascii="Times New Roman" w:hAnsi="Times New Roman" w:eastAsia="Times New Roman" w:cs="Times New Roman"/>
          <w:spacing w:val="38"/>
          <w:position w:val="-3"/>
          <w:sz w:val="19"/>
          <w:szCs w:val="19"/>
        </w:rPr>
        <w:t xml:space="preserve"> </w:t>
      </w:r>
      <w:r>
        <w:rPr>
          <w:position w:val="-11"/>
          <w:sz w:val="19"/>
          <w:szCs w:val="19"/>
        </w:rPr>
        <w:drawing>
          <wp:inline distT="0" distB="0" distL="0" distR="0">
            <wp:extent cx="272415" cy="247015"/>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316"/>
                    <a:stretch>
                      <a:fillRect/>
                    </a:stretch>
                  </pic:blipFill>
                  <pic:spPr>
                    <a:xfrm>
                      <a:off x="0" y="0"/>
                      <a:ext cx="273000" cy="247622"/>
                    </a:xfrm>
                    <a:prstGeom prst="rect">
                      <a:avLst/>
                    </a:prstGeom>
                  </pic:spPr>
                </pic:pic>
              </a:graphicData>
            </a:graphic>
          </wp:inline>
        </w:drawing>
      </w:r>
      <w:r>
        <w:rPr>
          <w:rFonts w:ascii="Times New Roman" w:hAnsi="Times New Roman" w:eastAsia="Times New Roman" w:cs="Times New Roman"/>
          <w:spacing w:val="9"/>
          <w:position w:val="-3"/>
          <w:sz w:val="19"/>
          <w:szCs w:val="19"/>
        </w:rPr>
        <w:t xml:space="preserve">   </w:t>
      </w:r>
      <w:r>
        <w:rPr>
          <w:spacing w:val="5"/>
          <w:sz w:val="19"/>
          <w:szCs w:val="19"/>
        </w:rPr>
        <w:t>信息系统监理师教程(第2版)</w:t>
      </w:r>
    </w:p>
    <w:p w14:paraId="01C3D40F">
      <w:pPr>
        <w:spacing w:line="294" w:lineRule="auto"/>
        <w:rPr>
          <w:rFonts w:ascii="Arial"/>
          <w:sz w:val="21"/>
        </w:rPr>
      </w:pPr>
    </w:p>
    <w:p w14:paraId="08A0F6DE">
      <w:pPr>
        <w:pStyle w:val="2"/>
        <w:spacing w:before="62" w:line="219" w:lineRule="auto"/>
        <w:ind w:left="749"/>
        <w:rPr>
          <w:sz w:val="19"/>
          <w:szCs w:val="19"/>
        </w:rPr>
      </w:pPr>
      <w:r>
        <w:rPr>
          <w:spacing w:val="10"/>
          <w:sz w:val="19"/>
          <w:szCs w:val="19"/>
        </w:rPr>
        <w:t>●</w:t>
      </w:r>
      <w:r>
        <w:rPr>
          <w:spacing w:val="-52"/>
          <w:sz w:val="19"/>
          <w:szCs w:val="19"/>
        </w:rPr>
        <w:t xml:space="preserve"> </w:t>
      </w:r>
      <w:r>
        <w:rPr>
          <w:spacing w:val="10"/>
          <w:sz w:val="19"/>
          <w:szCs w:val="19"/>
        </w:rPr>
        <w:t>项目管理要求；</w:t>
      </w:r>
    </w:p>
    <w:p w14:paraId="2DD322E1">
      <w:pPr>
        <w:pStyle w:val="2"/>
        <w:spacing w:before="105" w:line="220" w:lineRule="auto"/>
        <w:ind w:left="749"/>
        <w:rPr>
          <w:sz w:val="19"/>
          <w:szCs w:val="19"/>
        </w:rPr>
      </w:pPr>
      <w:r>
        <w:rPr>
          <w:spacing w:val="9"/>
          <w:sz w:val="19"/>
          <w:szCs w:val="19"/>
        </w:rPr>
        <w:t>●</w:t>
      </w:r>
      <w:r>
        <w:rPr>
          <w:spacing w:val="-46"/>
          <w:sz w:val="19"/>
          <w:szCs w:val="19"/>
        </w:rPr>
        <w:t xml:space="preserve"> </w:t>
      </w:r>
      <w:r>
        <w:rPr>
          <w:spacing w:val="9"/>
          <w:sz w:val="19"/>
          <w:szCs w:val="19"/>
        </w:rPr>
        <w:t>项目变更；</w:t>
      </w:r>
    </w:p>
    <w:p w14:paraId="0168C398">
      <w:pPr>
        <w:pStyle w:val="2"/>
        <w:spacing w:before="123" w:line="219" w:lineRule="auto"/>
        <w:ind w:left="749"/>
        <w:rPr>
          <w:sz w:val="19"/>
          <w:szCs w:val="19"/>
        </w:rPr>
      </w:pPr>
      <w:r>
        <w:rPr>
          <w:spacing w:val="10"/>
          <w:sz w:val="19"/>
          <w:szCs w:val="19"/>
        </w:rPr>
        <w:t>●</w:t>
      </w:r>
      <w:r>
        <w:rPr>
          <w:spacing w:val="-52"/>
          <w:sz w:val="19"/>
          <w:szCs w:val="19"/>
        </w:rPr>
        <w:t xml:space="preserve"> </w:t>
      </w:r>
      <w:r>
        <w:rPr>
          <w:spacing w:val="10"/>
          <w:sz w:val="19"/>
          <w:szCs w:val="19"/>
        </w:rPr>
        <w:t>服务验收；</w:t>
      </w:r>
    </w:p>
    <w:p w14:paraId="53ED038F">
      <w:pPr>
        <w:pStyle w:val="2"/>
        <w:spacing w:before="84" w:line="219" w:lineRule="auto"/>
        <w:ind w:left="749"/>
        <w:rPr>
          <w:sz w:val="19"/>
          <w:szCs w:val="19"/>
        </w:rPr>
      </w:pPr>
      <w:r>
        <w:rPr>
          <w:spacing w:val="12"/>
          <w:sz w:val="19"/>
          <w:szCs w:val="19"/>
        </w:rPr>
        <w:t>●合同金额与结算方式；</w:t>
      </w:r>
    </w:p>
    <w:p w14:paraId="5A137BB2">
      <w:pPr>
        <w:pStyle w:val="2"/>
        <w:spacing w:before="114" w:line="219" w:lineRule="auto"/>
        <w:ind w:left="749"/>
        <w:rPr>
          <w:sz w:val="19"/>
          <w:szCs w:val="19"/>
        </w:rPr>
      </w:pPr>
      <w:r>
        <w:rPr>
          <w:spacing w:val="12"/>
          <w:sz w:val="19"/>
          <w:szCs w:val="19"/>
        </w:rPr>
        <w:t>●不可抗力和法律变更；</w:t>
      </w:r>
    </w:p>
    <w:p w14:paraId="49FFF4DA">
      <w:pPr>
        <w:pStyle w:val="2"/>
        <w:spacing w:before="94" w:line="219" w:lineRule="auto"/>
        <w:ind w:left="749"/>
        <w:rPr>
          <w:sz w:val="19"/>
          <w:szCs w:val="19"/>
        </w:rPr>
      </w:pPr>
      <w:r>
        <w:rPr>
          <w:spacing w:val="10"/>
          <w:sz w:val="19"/>
          <w:szCs w:val="19"/>
        </w:rPr>
        <w:t>●</w:t>
      </w:r>
      <w:r>
        <w:rPr>
          <w:spacing w:val="-52"/>
          <w:sz w:val="19"/>
          <w:szCs w:val="19"/>
        </w:rPr>
        <w:t xml:space="preserve"> </w:t>
      </w:r>
      <w:r>
        <w:rPr>
          <w:spacing w:val="10"/>
          <w:sz w:val="19"/>
          <w:szCs w:val="19"/>
        </w:rPr>
        <w:t>合同解除；</w:t>
      </w:r>
    </w:p>
    <w:p w14:paraId="2DD89DE3">
      <w:pPr>
        <w:pStyle w:val="2"/>
        <w:spacing w:before="114" w:line="219" w:lineRule="auto"/>
        <w:ind w:left="749"/>
        <w:rPr>
          <w:sz w:val="19"/>
          <w:szCs w:val="19"/>
        </w:rPr>
      </w:pPr>
      <w:r>
        <w:rPr>
          <w:spacing w:val="9"/>
          <w:sz w:val="19"/>
          <w:szCs w:val="19"/>
        </w:rPr>
        <w:t>●</w:t>
      </w:r>
      <w:r>
        <w:rPr>
          <w:spacing w:val="-64"/>
          <w:sz w:val="19"/>
          <w:szCs w:val="19"/>
        </w:rPr>
        <w:t xml:space="preserve"> </w:t>
      </w:r>
      <w:r>
        <w:rPr>
          <w:spacing w:val="9"/>
          <w:sz w:val="19"/>
          <w:szCs w:val="19"/>
        </w:rPr>
        <w:t>违约处理等。</w:t>
      </w:r>
    </w:p>
    <w:p w14:paraId="2E703B6B">
      <w:pPr>
        <w:spacing w:line="356" w:lineRule="auto"/>
        <w:rPr>
          <w:rFonts w:ascii="Arial"/>
          <w:sz w:val="21"/>
        </w:rPr>
      </w:pPr>
    </w:p>
    <w:p w14:paraId="1842580E">
      <w:pPr>
        <w:pStyle w:val="2"/>
        <w:spacing w:before="95" w:line="222" w:lineRule="auto"/>
        <w:ind w:left="343"/>
        <w:rPr>
          <w:rFonts w:ascii="黑体" w:hAnsi="黑体" w:eastAsia="黑体" w:cs="黑体"/>
          <w:sz w:val="29"/>
          <w:szCs w:val="29"/>
        </w:rPr>
      </w:pPr>
      <w:r>
        <w:rPr>
          <w:b/>
          <w:bCs/>
          <w:color w:val="0071C9"/>
          <w:spacing w:val="-12"/>
          <w:sz w:val="29"/>
          <w:szCs w:val="29"/>
        </w:rPr>
        <w:t>22.3</w:t>
      </w:r>
      <w:r>
        <w:rPr>
          <w:color w:val="0071C9"/>
          <w:spacing w:val="-12"/>
          <w:sz w:val="29"/>
          <w:szCs w:val="29"/>
        </w:rPr>
        <w:t xml:space="preserve">  </w:t>
      </w:r>
      <w:r>
        <w:rPr>
          <w:rFonts w:ascii="黑体" w:hAnsi="黑体" w:eastAsia="黑体" w:cs="黑体"/>
          <w:b/>
          <w:bCs/>
          <w:color w:val="0071C9"/>
          <w:spacing w:val="-12"/>
          <w:sz w:val="29"/>
          <w:szCs w:val="29"/>
        </w:rPr>
        <w:t>设计阶段监理工作</w:t>
      </w:r>
    </w:p>
    <w:p w14:paraId="75DDD2BA">
      <w:pPr>
        <w:pStyle w:val="2"/>
        <w:spacing w:before="282" w:line="219" w:lineRule="auto"/>
        <w:ind w:left="749"/>
        <w:rPr>
          <w:sz w:val="19"/>
          <w:szCs w:val="19"/>
        </w:rPr>
      </w:pPr>
      <w:r>
        <w:rPr>
          <w:spacing w:val="8"/>
          <w:sz w:val="19"/>
          <w:szCs w:val="19"/>
        </w:rPr>
        <w:t>本节重点介绍监理单位在软件工程设计阶段需要执行的监理活动和主要监理内容。</w:t>
      </w:r>
    </w:p>
    <w:p w14:paraId="1A0E98E0">
      <w:pPr>
        <w:pStyle w:val="2"/>
        <w:spacing w:before="235" w:line="220" w:lineRule="auto"/>
        <w:ind w:left="342"/>
        <w:rPr>
          <w:sz w:val="25"/>
          <w:szCs w:val="25"/>
        </w:rPr>
      </w:pPr>
      <w:r>
        <w:rPr>
          <w:b/>
          <w:bCs/>
          <w:color w:val="0063B0"/>
          <w:spacing w:val="-17"/>
          <w:sz w:val="25"/>
          <w:szCs w:val="25"/>
        </w:rPr>
        <w:t>22.3.1</w:t>
      </w:r>
      <w:r>
        <w:rPr>
          <w:color w:val="0063B0"/>
          <w:spacing w:val="80"/>
          <w:sz w:val="25"/>
          <w:szCs w:val="25"/>
        </w:rPr>
        <w:t xml:space="preserve"> </w:t>
      </w:r>
      <w:r>
        <w:rPr>
          <w:b/>
          <w:bCs/>
          <w:color w:val="0063B0"/>
          <w:spacing w:val="-17"/>
          <w:sz w:val="25"/>
          <w:szCs w:val="25"/>
        </w:rPr>
        <w:t>监理活动</w:t>
      </w:r>
    </w:p>
    <w:p w14:paraId="43DC511F">
      <w:pPr>
        <w:pStyle w:val="2"/>
        <w:spacing w:before="183" w:line="219" w:lineRule="auto"/>
        <w:ind w:left="749"/>
        <w:rPr>
          <w:sz w:val="19"/>
          <w:szCs w:val="19"/>
        </w:rPr>
      </w:pPr>
      <w:r>
        <w:rPr>
          <w:spacing w:val="6"/>
          <w:sz w:val="19"/>
          <w:szCs w:val="19"/>
        </w:rPr>
        <w:t>软件工程设计阶段的主要监理活动如下：</w:t>
      </w:r>
    </w:p>
    <w:p w14:paraId="489BEF7B">
      <w:pPr>
        <w:pStyle w:val="2"/>
        <w:spacing w:before="73" w:line="267" w:lineRule="auto"/>
        <w:ind w:left="340" w:firstLine="409"/>
        <w:rPr>
          <w:sz w:val="19"/>
          <w:szCs w:val="19"/>
        </w:rPr>
      </w:pPr>
      <w:r>
        <w:rPr>
          <w:spacing w:val="15"/>
          <w:sz w:val="19"/>
          <w:szCs w:val="19"/>
        </w:rPr>
        <w:t>(1)审查承建单位提交的软件工程项目计划，促使项目计划合理、</w:t>
      </w:r>
      <w:r>
        <w:rPr>
          <w:spacing w:val="14"/>
          <w:sz w:val="19"/>
          <w:szCs w:val="19"/>
        </w:rPr>
        <w:t>可行，并符合承建合同</w:t>
      </w:r>
      <w:r>
        <w:rPr>
          <w:sz w:val="19"/>
          <w:szCs w:val="19"/>
        </w:rPr>
        <w:t xml:space="preserve"> </w:t>
      </w:r>
      <w:r>
        <w:rPr>
          <w:spacing w:val="1"/>
          <w:sz w:val="19"/>
          <w:szCs w:val="19"/>
        </w:rPr>
        <w:t>的要求；</w:t>
      </w:r>
    </w:p>
    <w:p w14:paraId="6B331D22">
      <w:pPr>
        <w:pStyle w:val="2"/>
        <w:spacing w:before="81" w:line="270" w:lineRule="auto"/>
        <w:ind w:left="340" w:right="7" w:firstLine="409"/>
        <w:rPr>
          <w:sz w:val="19"/>
          <w:szCs w:val="19"/>
        </w:rPr>
      </w:pPr>
      <w:r>
        <w:rPr>
          <w:spacing w:val="15"/>
          <w:sz w:val="19"/>
          <w:szCs w:val="19"/>
        </w:rPr>
        <w:t>(2)参与调研工作，督促承建单位形成调研记录，</w:t>
      </w:r>
      <w:r>
        <w:rPr>
          <w:spacing w:val="14"/>
          <w:sz w:val="19"/>
          <w:szCs w:val="19"/>
        </w:rPr>
        <w:t>监督承建单位系统需求分析过程，促使</w:t>
      </w:r>
      <w:r>
        <w:rPr>
          <w:sz w:val="19"/>
          <w:szCs w:val="19"/>
        </w:rPr>
        <w:t xml:space="preserve"> </w:t>
      </w:r>
      <w:r>
        <w:rPr>
          <w:spacing w:val="7"/>
          <w:sz w:val="19"/>
          <w:szCs w:val="19"/>
        </w:rPr>
        <w:t>系统需求具有正确性、完备性、可测试性和一致</w:t>
      </w:r>
      <w:r>
        <w:rPr>
          <w:spacing w:val="6"/>
          <w:sz w:val="19"/>
          <w:szCs w:val="19"/>
        </w:rPr>
        <w:t>性；</w:t>
      </w:r>
    </w:p>
    <w:p w14:paraId="654BA982">
      <w:pPr>
        <w:pStyle w:val="2"/>
        <w:spacing w:before="75" w:line="270" w:lineRule="auto"/>
        <w:ind w:left="340" w:right="8" w:firstLine="409"/>
        <w:rPr>
          <w:sz w:val="19"/>
          <w:szCs w:val="19"/>
        </w:rPr>
      </w:pPr>
      <w:r>
        <w:rPr>
          <w:spacing w:val="15"/>
          <w:sz w:val="19"/>
          <w:szCs w:val="19"/>
        </w:rPr>
        <w:t>(3)组织和参与对承建单位在设计阶段形成的文</w:t>
      </w:r>
      <w:r>
        <w:rPr>
          <w:spacing w:val="14"/>
          <w:sz w:val="19"/>
          <w:szCs w:val="19"/>
        </w:rPr>
        <w:t>档的评审，促使设计阶段文档符合承建合</w:t>
      </w:r>
      <w:r>
        <w:rPr>
          <w:sz w:val="19"/>
          <w:szCs w:val="19"/>
        </w:rPr>
        <w:t xml:space="preserve"> </w:t>
      </w:r>
      <w:r>
        <w:rPr>
          <w:spacing w:val="8"/>
          <w:sz w:val="19"/>
          <w:szCs w:val="19"/>
        </w:rPr>
        <w:t>同的要求，满足软件工程项目的系统需求，符</w:t>
      </w:r>
      <w:r>
        <w:rPr>
          <w:spacing w:val="7"/>
          <w:sz w:val="19"/>
          <w:szCs w:val="19"/>
        </w:rPr>
        <w:t>合有关法规、标准的要求；</w:t>
      </w:r>
    </w:p>
    <w:p w14:paraId="16973F92">
      <w:pPr>
        <w:pStyle w:val="2"/>
        <w:spacing w:before="84" w:line="219" w:lineRule="auto"/>
        <w:ind w:left="749"/>
        <w:rPr>
          <w:sz w:val="19"/>
          <w:szCs w:val="19"/>
        </w:rPr>
      </w:pPr>
      <w:r>
        <w:rPr>
          <w:spacing w:val="11"/>
          <w:sz w:val="19"/>
          <w:szCs w:val="19"/>
        </w:rPr>
        <w:t>(4)及时对变更进行响应，并做好变更控制工作。</w:t>
      </w:r>
    </w:p>
    <w:p w14:paraId="35C74712">
      <w:pPr>
        <w:pStyle w:val="2"/>
        <w:spacing w:before="264" w:line="219" w:lineRule="auto"/>
        <w:ind w:left="342"/>
        <w:rPr>
          <w:sz w:val="25"/>
          <w:szCs w:val="25"/>
        </w:rPr>
      </w:pPr>
      <w:r>
        <w:rPr>
          <w:b/>
          <w:bCs/>
          <w:color w:val="0069BA"/>
          <w:spacing w:val="-18"/>
          <w:sz w:val="25"/>
          <w:szCs w:val="25"/>
        </w:rPr>
        <w:t>22.3.2</w:t>
      </w:r>
      <w:r>
        <w:rPr>
          <w:color w:val="0069BA"/>
          <w:spacing w:val="90"/>
          <w:sz w:val="25"/>
          <w:szCs w:val="25"/>
        </w:rPr>
        <w:t xml:space="preserve"> </w:t>
      </w:r>
      <w:r>
        <w:rPr>
          <w:b/>
          <w:bCs/>
          <w:color w:val="0069BA"/>
          <w:spacing w:val="-18"/>
          <w:sz w:val="25"/>
          <w:szCs w:val="25"/>
        </w:rPr>
        <w:t>监理内容</w:t>
      </w:r>
    </w:p>
    <w:p w14:paraId="6FEBA70E">
      <w:pPr>
        <w:spacing w:before="270" w:line="222" w:lineRule="auto"/>
        <w:ind w:left="752"/>
        <w:rPr>
          <w:rFonts w:ascii="黑体" w:hAnsi="黑体" w:eastAsia="黑体" w:cs="黑体"/>
          <w:sz w:val="19"/>
          <w:szCs w:val="19"/>
        </w:rPr>
      </w:pPr>
      <w:r>
        <w:rPr>
          <w:rFonts w:ascii="黑体" w:hAnsi="黑体" w:eastAsia="黑体" w:cs="黑体"/>
          <w:b/>
          <w:bCs/>
          <w:color w:val="005893"/>
          <w:spacing w:val="7"/>
          <w:sz w:val="19"/>
          <w:szCs w:val="19"/>
        </w:rPr>
        <w:t>1.项目计划的监理</w:t>
      </w:r>
    </w:p>
    <w:p w14:paraId="24A3AD21">
      <w:pPr>
        <w:pStyle w:val="2"/>
        <w:spacing w:before="125" w:line="308" w:lineRule="auto"/>
        <w:ind w:left="340" w:right="10" w:firstLine="409"/>
        <w:rPr>
          <w:sz w:val="19"/>
          <w:szCs w:val="19"/>
        </w:rPr>
      </w:pPr>
      <w:r>
        <w:rPr>
          <w:spacing w:val="12"/>
          <w:sz w:val="19"/>
          <w:szCs w:val="19"/>
        </w:rPr>
        <w:t>监理机构应审查承建单位的项目计划，签署监理审查意见，经业主单位同意后执行。监理</w:t>
      </w:r>
      <w:r>
        <w:rPr>
          <w:spacing w:val="17"/>
          <w:sz w:val="19"/>
          <w:szCs w:val="19"/>
        </w:rPr>
        <w:t xml:space="preserve"> </w:t>
      </w:r>
      <w:r>
        <w:rPr>
          <w:spacing w:val="3"/>
          <w:sz w:val="19"/>
          <w:szCs w:val="19"/>
        </w:rPr>
        <w:t>内容和要点如下：</w:t>
      </w:r>
    </w:p>
    <w:p w14:paraId="647E008E">
      <w:pPr>
        <w:pStyle w:val="2"/>
        <w:spacing w:before="7" w:line="219" w:lineRule="auto"/>
        <w:ind w:left="749"/>
        <w:rPr>
          <w:sz w:val="19"/>
          <w:szCs w:val="19"/>
        </w:rPr>
      </w:pPr>
      <w:r>
        <w:rPr>
          <w:spacing w:val="10"/>
          <w:sz w:val="19"/>
          <w:szCs w:val="19"/>
        </w:rPr>
        <w:t>(1)应要求承建单位提交项目计划，并要求其包含以下内容：</w:t>
      </w:r>
    </w:p>
    <w:p w14:paraId="4E804550">
      <w:pPr>
        <w:pStyle w:val="2"/>
        <w:spacing w:before="84" w:line="219" w:lineRule="auto"/>
        <w:ind w:left="749"/>
        <w:rPr>
          <w:sz w:val="19"/>
          <w:szCs w:val="19"/>
        </w:rPr>
      </w:pPr>
      <w:r>
        <w:rPr>
          <w:spacing w:val="10"/>
          <w:sz w:val="19"/>
          <w:szCs w:val="19"/>
        </w:rPr>
        <w:t>●确定范围，明确与其他关联任务及计划的关系、边界；</w:t>
      </w:r>
    </w:p>
    <w:p w14:paraId="71A89CA1">
      <w:pPr>
        <w:pStyle w:val="2"/>
        <w:spacing w:before="95" w:line="219" w:lineRule="auto"/>
        <w:ind w:left="749"/>
        <w:rPr>
          <w:sz w:val="19"/>
          <w:szCs w:val="19"/>
        </w:rPr>
      </w:pPr>
      <w:r>
        <w:rPr>
          <w:spacing w:val="8"/>
          <w:sz w:val="19"/>
          <w:szCs w:val="19"/>
        </w:rPr>
        <w:t>●</w:t>
      </w:r>
      <w:r>
        <w:rPr>
          <w:spacing w:val="-58"/>
          <w:sz w:val="19"/>
          <w:szCs w:val="19"/>
        </w:rPr>
        <w:t xml:space="preserve"> </w:t>
      </w:r>
      <w:r>
        <w:rPr>
          <w:spacing w:val="8"/>
          <w:sz w:val="19"/>
          <w:szCs w:val="19"/>
        </w:rPr>
        <w:t>遵循的标准；</w:t>
      </w:r>
    </w:p>
    <w:p w14:paraId="1BF87EB1">
      <w:pPr>
        <w:pStyle w:val="2"/>
        <w:spacing w:before="95" w:line="219" w:lineRule="auto"/>
        <w:ind w:left="749"/>
        <w:rPr>
          <w:sz w:val="19"/>
          <w:szCs w:val="19"/>
        </w:rPr>
      </w:pPr>
      <w:r>
        <w:rPr>
          <w:spacing w:val="14"/>
          <w:sz w:val="19"/>
          <w:szCs w:val="19"/>
        </w:rPr>
        <w:t>●项目的组织结构(包括外部组织)、人员职责及其能力要求；</w:t>
      </w:r>
    </w:p>
    <w:p w14:paraId="48B576E3">
      <w:pPr>
        <w:pStyle w:val="2"/>
        <w:spacing w:before="94" w:line="219" w:lineRule="auto"/>
        <w:ind w:left="749"/>
        <w:rPr>
          <w:sz w:val="19"/>
          <w:szCs w:val="19"/>
        </w:rPr>
      </w:pPr>
      <w:r>
        <w:rPr>
          <w:spacing w:val="10"/>
          <w:sz w:val="19"/>
          <w:szCs w:val="19"/>
        </w:rPr>
        <w:t>●项目环境，包括生产环境、测试环境、程序库、设备、设施、标准、规程和工具；</w:t>
      </w:r>
    </w:p>
    <w:p w14:paraId="70DA9B0E">
      <w:pPr>
        <w:pStyle w:val="2"/>
        <w:spacing w:before="85" w:line="219" w:lineRule="auto"/>
        <w:ind w:left="749"/>
        <w:rPr>
          <w:sz w:val="19"/>
          <w:szCs w:val="19"/>
        </w:rPr>
      </w:pPr>
      <w:r>
        <w:rPr>
          <w:spacing w:val="10"/>
          <w:sz w:val="19"/>
          <w:szCs w:val="19"/>
        </w:rPr>
        <w:t>●任务分解安排，包括人员、资源和相关的任务进度安排；</w:t>
      </w:r>
    </w:p>
    <w:p w14:paraId="2253891D">
      <w:pPr>
        <w:pStyle w:val="2"/>
        <w:spacing w:before="93" w:line="218" w:lineRule="auto"/>
        <w:ind w:left="749"/>
        <w:rPr>
          <w:sz w:val="19"/>
          <w:szCs w:val="19"/>
        </w:rPr>
      </w:pPr>
      <w:r>
        <w:rPr>
          <w:spacing w:val="12"/>
          <w:sz w:val="19"/>
          <w:szCs w:val="19"/>
        </w:rPr>
        <w:t>●进度跟踪和报告方法；</w:t>
      </w:r>
    </w:p>
    <w:p w14:paraId="7BA4124E">
      <w:pPr>
        <w:pStyle w:val="2"/>
        <w:spacing w:before="97" w:line="219" w:lineRule="auto"/>
        <w:ind w:left="749"/>
        <w:rPr>
          <w:sz w:val="19"/>
          <w:szCs w:val="19"/>
        </w:rPr>
      </w:pPr>
      <w:r>
        <w:rPr>
          <w:spacing w:val="10"/>
          <w:sz w:val="19"/>
          <w:szCs w:val="19"/>
        </w:rPr>
        <w:t>●软件产品或服务的质量特性的管理，必要时制订独立的质量保证计划；</w:t>
      </w:r>
    </w:p>
    <w:p w14:paraId="1C5E4F2D">
      <w:pPr>
        <w:pStyle w:val="2"/>
        <w:spacing w:before="85" w:line="265" w:lineRule="auto"/>
        <w:ind w:left="1029" w:right="1" w:hanging="280"/>
        <w:rPr>
          <w:sz w:val="19"/>
          <w:szCs w:val="19"/>
        </w:rPr>
      </w:pPr>
      <w:r>
        <w:rPr>
          <w:spacing w:val="13"/>
          <w:sz w:val="19"/>
          <w:szCs w:val="19"/>
        </w:rPr>
        <w:t>●软件配置管理，包括活动、技术及方法、工具、对供货单</w:t>
      </w:r>
      <w:r>
        <w:rPr>
          <w:spacing w:val="12"/>
          <w:sz w:val="19"/>
          <w:szCs w:val="19"/>
        </w:rPr>
        <w:t>位的控制、记录的收集维护和</w:t>
      </w:r>
      <w:r>
        <w:rPr>
          <w:sz w:val="19"/>
          <w:szCs w:val="19"/>
        </w:rPr>
        <w:t xml:space="preserve"> </w:t>
      </w:r>
      <w:r>
        <w:rPr>
          <w:spacing w:val="-2"/>
          <w:sz w:val="19"/>
          <w:szCs w:val="19"/>
        </w:rPr>
        <w:t>保存；</w:t>
      </w:r>
    </w:p>
    <w:p w14:paraId="552A94FA">
      <w:pPr>
        <w:spacing w:line="265" w:lineRule="auto"/>
        <w:rPr>
          <w:sz w:val="19"/>
          <w:szCs w:val="19"/>
        </w:rPr>
        <w:sectPr>
          <w:pgSz w:w="10300" w:h="13470"/>
          <w:pgMar w:top="360" w:right="1123" w:bottom="400" w:left="520" w:header="0" w:footer="0" w:gutter="0"/>
          <w:cols w:space="720" w:num="1"/>
        </w:sectPr>
      </w:pPr>
    </w:p>
    <w:p w14:paraId="101E9E8E">
      <w:pPr>
        <w:pStyle w:val="2"/>
        <w:spacing w:before="10"/>
        <w:jc w:val="right"/>
        <w:rPr>
          <w:rFonts w:ascii="Times New Roman" w:hAnsi="Times New Roman" w:eastAsia="Times New Roman" w:cs="Times New Roman"/>
          <w:sz w:val="19"/>
          <w:szCs w:val="19"/>
        </w:rPr>
      </w:pPr>
      <w:bookmarkStart w:id="732" w:name="bookmark717"/>
      <w:bookmarkEnd w:id="732"/>
      <w:r>
        <w:rPr>
          <w:spacing w:val="2"/>
          <w:sz w:val="19"/>
          <w:szCs w:val="19"/>
        </w:rPr>
        <w:t>第22章</w:t>
      </w:r>
      <w:r>
        <w:rPr>
          <w:spacing w:val="35"/>
          <w:sz w:val="19"/>
          <w:szCs w:val="19"/>
        </w:rPr>
        <w:t xml:space="preserve"> </w:t>
      </w:r>
      <w:r>
        <w:rPr>
          <w:spacing w:val="2"/>
          <w:sz w:val="19"/>
          <w:szCs w:val="19"/>
        </w:rPr>
        <w:t>软件工程监理</w:t>
      </w:r>
      <w:r>
        <w:rPr>
          <w:spacing w:val="28"/>
          <w:sz w:val="19"/>
          <w:szCs w:val="19"/>
        </w:rPr>
        <w:t xml:space="preserve"> </w:t>
      </w:r>
      <w:r>
        <w:rPr>
          <w:position w:val="-11"/>
          <w:sz w:val="19"/>
          <w:szCs w:val="19"/>
        </w:rPr>
        <w:drawing>
          <wp:inline distT="0" distB="0" distL="0" distR="0">
            <wp:extent cx="311150" cy="240665"/>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317"/>
                    <a:stretch>
                      <a:fillRect/>
                    </a:stretch>
                  </pic:blipFill>
                  <pic:spPr>
                    <a:xfrm>
                      <a:off x="0" y="0"/>
                      <a:ext cx="311156" cy="241239"/>
                    </a:xfrm>
                    <a:prstGeom prst="rect">
                      <a:avLst/>
                    </a:prstGeom>
                  </pic:spPr>
                </pic:pic>
              </a:graphicData>
            </a:graphic>
          </wp:inline>
        </w:drawing>
      </w:r>
      <w:r>
        <w:rPr>
          <w:rFonts w:ascii="Times New Roman" w:hAnsi="Times New Roman" w:eastAsia="Times New Roman" w:cs="Times New Roman"/>
          <w:spacing w:val="2"/>
          <w:position w:val="-4"/>
          <w:sz w:val="19"/>
          <w:szCs w:val="19"/>
        </w:rPr>
        <w:t>507</w:t>
      </w:r>
    </w:p>
    <w:p w14:paraId="1B11B891">
      <w:pPr>
        <w:spacing w:line="274" w:lineRule="auto"/>
        <w:rPr>
          <w:rFonts w:ascii="Arial"/>
          <w:sz w:val="21"/>
        </w:rPr>
      </w:pPr>
    </w:p>
    <w:p w14:paraId="4F4F9DD8">
      <w:pPr>
        <w:pStyle w:val="2"/>
        <w:spacing w:before="62" w:line="219" w:lineRule="auto"/>
        <w:ind w:left="380"/>
        <w:rPr>
          <w:sz w:val="19"/>
          <w:szCs w:val="19"/>
        </w:rPr>
      </w:pPr>
      <w:r>
        <w:rPr>
          <w:spacing w:val="1"/>
          <w:sz w:val="19"/>
          <w:szCs w:val="19"/>
        </w:rPr>
        <w:t>●软件产品或服务的安全、保密和其他关键需求的管理，必要时制订独立的</w:t>
      </w:r>
      <w:r>
        <w:rPr>
          <w:sz w:val="19"/>
          <w:szCs w:val="19"/>
        </w:rPr>
        <w:t>安全、保密计划；</w:t>
      </w:r>
    </w:p>
    <w:p w14:paraId="13E6DC3E">
      <w:pPr>
        <w:pStyle w:val="2"/>
        <w:spacing w:before="114" w:line="219" w:lineRule="auto"/>
        <w:ind w:left="380"/>
        <w:rPr>
          <w:sz w:val="19"/>
          <w:szCs w:val="19"/>
        </w:rPr>
      </w:pPr>
      <w:r>
        <w:rPr>
          <w:spacing w:val="9"/>
          <w:sz w:val="19"/>
          <w:szCs w:val="19"/>
        </w:rPr>
        <w:t>●如适用，应包括对分包单位的管理；</w:t>
      </w:r>
    </w:p>
    <w:p w14:paraId="61148D47">
      <w:pPr>
        <w:pStyle w:val="2"/>
        <w:spacing w:before="84" w:line="219" w:lineRule="auto"/>
        <w:ind w:left="380"/>
        <w:rPr>
          <w:sz w:val="19"/>
          <w:szCs w:val="19"/>
        </w:rPr>
      </w:pPr>
      <w:r>
        <w:rPr>
          <w:spacing w:val="10"/>
          <w:sz w:val="19"/>
          <w:szCs w:val="19"/>
        </w:rPr>
        <w:t>●验证和确认的方式和条件；</w:t>
      </w:r>
    </w:p>
    <w:p w14:paraId="2ED7FDC3">
      <w:pPr>
        <w:pStyle w:val="2"/>
        <w:spacing w:before="114" w:line="219" w:lineRule="auto"/>
        <w:ind w:left="380"/>
        <w:rPr>
          <w:sz w:val="19"/>
          <w:szCs w:val="19"/>
        </w:rPr>
      </w:pPr>
      <w:r>
        <w:rPr>
          <w:spacing w:val="9"/>
          <w:sz w:val="19"/>
          <w:szCs w:val="19"/>
        </w:rPr>
        <w:t>●</w:t>
      </w:r>
      <w:r>
        <w:rPr>
          <w:spacing w:val="-55"/>
          <w:sz w:val="19"/>
          <w:szCs w:val="19"/>
        </w:rPr>
        <w:t xml:space="preserve"> </w:t>
      </w:r>
      <w:r>
        <w:rPr>
          <w:spacing w:val="9"/>
          <w:sz w:val="19"/>
          <w:szCs w:val="19"/>
        </w:rPr>
        <w:t>风险管理；</w:t>
      </w:r>
    </w:p>
    <w:p w14:paraId="069ADF7F">
      <w:pPr>
        <w:pStyle w:val="2"/>
        <w:spacing w:before="85" w:line="220" w:lineRule="auto"/>
        <w:ind w:left="380"/>
        <w:rPr>
          <w:sz w:val="19"/>
          <w:szCs w:val="19"/>
        </w:rPr>
      </w:pPr>
      <w:r>
        <w:rPr>
          <w:spacing w:val="11"/>
          <w:sz w:val="19"/>
          <w:szCs w:val="19"/>
        </w:rPr>
        <w:t>●</w:t>
      </w:r>
      <w:r>
        <w:rPr>
          <w:spacing w:val="-60"/>
          <w:sz w:val="19"/>
          <w:szCs w:val="19"/>
        </w:rPr>
        <w:t xml:space="preserve"> </w:t>
      </w:r>
      <w:r>
        <w:rPr>
          <w:spacing w:val="11"/>
          <w:sz w:val="19"/>
          <w:szCs w:val="19"/>
        </w:rPr>
        <w:t>用户培训计划。</w:t>
      </w:r>
    </w:p>
    <w:p w14:paraId="0DF2F776">
      <w:pPr>
        <w:pStyle w:val="2"/>
        <w:spacing w:before="113" w:line="219" w:lineRule="auto"/>
        <w:ind w:left="380"/>
        <w:rPr>
          <w:sz w:val="19"/>
          <w:szCs w:val="19"/>
        </w:rPr>
      </w:pPr>
      <w:r>
        <w:rPr>
          <w:spacing w:val="11"/>
          <w:sz w:val="19"/>
          <w:szCs w:val="19"/>
        </w:rPr>
        <w:t>(2)应根据下列准则审核项目计划，并提出监理意见：</w:t>
      </w:r>
    </w:p>
    <w:p w14:paraId="30DF6A37">
      <w:pPr>
        <w:pStyle w:val="2"/>
        <w:spacing w:before="94" w:line="219" w:lineRule="auto"/>
        <w:ind w:left="380"/>
        <w:rPr>
          <w:sz w:val="19"/>
          <w:szCs w:val="19"/>
        </w:rPr>
      </w:pPr>
      <w:r>
        <w:rPr>
          <w:spacing w:val="10"/>
          <w:sz w:val="19"/>
          <w:szCs w:val="19"/>
        </w:rPr>
        <w:t>●与承建合同的一致性、可追溯性；</w:t>
      </w:r>
    </w:p>
    <w:p w14:paraId="2E62EA98">
      <w:pPr>
        <w:pStyle w:val="2"/>
        <w:spacing w:before="95" w:line="219" w:lineRule="auto"/>
        <w:ind w:left="380"/>
        <w:rPr>
          <w:sz w:val="19"/>
          <w:szCs w:val="19"/>
        </w:rPr>
      </w:pPr>
      <w:r>
        <w:rPr>
          <w:spacing w:val="9"/>
          <w:sz w:val="19"/>
          <w:szCs w:val="19"/>
        </w:rPr>
        <w:t>●系统范围及工作任务分解的完整性；</w:t>
      </w:r>
    </w:p>
    <w:p w14:paraId="515A84C4">
      <w:pPr>
        <w:pStyle w:val="2"/>
        <w:spacing w:before="115" w:line="219" w:lineRule="auto"/>
        <w:ind w:left="380"/>
        <w:rPr>
          <w:sz w:val="19"/>
          <w:szCs w:val="19"/>
        </w:rPr>
      </w:pPr>
      <w:r>
        <w:rPr>
          <w:spacing w:val="10"/>
          <w:sz w:val="19"/>
          <w:szCs w:val="19"/>
        </w:rPr>
        <w:t>●项目过程及主要里程碑划分的合理性，包括适宜的软件生存周期模型；</w:t>
      </w:r>
    </w:p>
    <w:p w14:paraId="7AD6DCF3">
      <w:pPr>
        <w:pStyle w:val="2"/>
        <w:spacing w:before="93" w:line="218" w:lineRule="auto"/>
        <w:ind w:left="380"/>
        <w:rPr>
          <w:sz w:val="19"/>
          <w:szCs w:val="19"/>
        </w:rPr>
      </w:pPr>
      <w:r>
        <w:rPr>
          <w:spacing w:val="10"/>
          <w:sz w:val="19"/>
          <w:szCs w:val="19"/>
        </w:rPr>
        <w:t>●项目规模估算方法的正确性，包括项目任务和工</w:t>
      </w:r>
      <w:r>
        <w:rPr>
          <w:spacing w:val="9"/>
          <w:sz w:val="19"/>
          <w:szCs w:val="19"/>
        </w:rPr>
        <w:t>作产品规模、时间安排、资源使用等；</w:t>
      </w:r>
    </w:p>
    <w:p w14:paraId="7F12D578">
      <w:pPr>
        <w:pStyle w:val="2"/>
        <w:spacing w:before="107" w:line="219" w:lineRule="auto"/>
        <w:ind w:left="380"/>
        <w:rPr>
          <w:sz w:val="19"/>
          <w:szCs w:val="19"/>
        </w:rPr>
      </w:pPr>
      <w:r>
        <w:rPr>
          <w:spacing w:val="10"/>
          <w:sz w:val="19"/>
          <w:szCs w:val="19"/>
        </w:rPr>
        <w:t>●项目进度的合理性，包括项目质量保证计划、配置管理计划等；</w:t>
      </w:r>
    </w:p>
    <w:p w14:paraId="54BF4A01">
      <w:pPr>
        <w:pStyle w:val="2"/>
        <w:spacing w:before="105" w:line="219" w:lineRule="auto"/>
        <w:ind w:left="380"/>
        <w:rPr>
          <w:sz w:val="19"/>
          <w:szCs w:val="19"/>
        </w:rPr>
      </w:pPr>
      <w:r>
        <w:rPr>
          <w:spacing w:val="18"/>
          <w:sz w:val="19"/>
          <w:szCs w:val="19"/>
        </w:rPr>
        <w:t>●项目计划中部署全部可用产品(软件和硬件)</w:t>
      </w:r>
      <w:r>
        <w:rPr>
          <w:spacing w:val="17"/>
          <w:sz w:val="19"/>
          <w:szCs w:val="19"/>
        </w:rPr>
        <w:t>的可行性；</w:t>
      </w:r>
    </w:p>
    <w:p w14:paraId="56E09D4A">
      <w:pPr>
        <w:pStyle w:val="2"/>
        <w:spacing w:before="95" w:line="220" w:lineRule="auto"/>
        <w:ind w:left="380"/>
        <w:rPr>
          <w:sz w:val="19"/>
          <w:szCs w:val="19"/>
        </w:rPr>
      </w:pPr>
      <w:r>
        <w:rPr>
          <w:spacing w:val="11"/>
          <w:sz w:val="19"/>
          <w:szCs w:val="19"/>
        </w:rPr>
        <w:t>●对项目风险有必要的识别、分析、处理和跟踪。</w:t>
      </w:r>
    </w:p>
    <w:p w14:paraId="64CDA282">
      <w:pPr>
        <w:pStyle w:val="2"/>
        <w:spacing w:before="102" w:line="255" w:lineRule="auto"/>
        <w:ind w:right="279" w:firstLine="380"/>
        <w:rPr>
          <w:sz w:val="19"/>
          <w:szCs w:val="19"/>
        </w:rPr>
      </w:pPr>
      <w:r>
        <w:rPr>
          <w:spacing w:val="16"/>
          <w:sz w:val="19"/>
          <w:szCs w:val="19"/>
        </w:rPr>
        <w:t>(3)应组织业主单位和承建单位对项目计划</w:t>
      </w:r>
      <w:r>
        <w:rPr>
          <w:spacing w:val="15"/>
          <w:sz w:val="19"/>
          <w:szCs w:val="19"/>
        </w:rPr>
        <w:t>和相关文档进行评审，并及时取得各方对项目</w:t>
      </w:r>
      <w:r>
        <w:rPr>
          <w:sz w:val="19"/>
          <w:szCs w:val="19"/>
        </w:rPr>
        <w:t xml:space="preserve"> </w:t>
      </w:r>
      <w:r>
        <w:rPr>
          <w:spacing w:val="5"/>
          <w:sz w:val="19"/>
          <w:szCs w:val="19"/>
        </w:rPr>
        <w:t>计划的书面批准和承诺。</w:t>
      </w:r>
    </w:p>
    <w:p w14:paraId="02DF42F5">
      <w:pPr>
        <w:pStyle w:val="2"/>
        <w:spacing w:before="173" w:line="222" w:lineRule="auto"/>
        <w:ind w:left="382"/>
        <w:rPr>
          <w:rFonts w:ascii="黑体" w:hAnsi="黑体" w:eastAsia="黑体" w:cs="黑体"/>
          <w:sz w:val="19"/>
          <w:szCs w:val="19"/>
        </w:rPr>
      </w:pPr>
      <w:r>
        <w:rPr>
          <w:b/>
          <w:bCs/>
          <w:color w:val="005FCD"/>
          <w:spacing w:val="8"/>
          <w:sz w:val="19"/>
          <w:szCs w:val="19"/>
        </w:rPr>
        <w:t>2.</w:t>
      </w:r>
      <w:r>
        <w:rPr>
          <w:rFonts w:ascii="黑体" w:hAnsi="黑体" w:eastAsia="黑体" w:cs="黑体"/>
          <w:b/>
          <w:bCs/>
          <w:color w:val="005FCD"/>
          <w:spacing w:val="8"/>
          <w:sz w:val="19"/>
          <w:szCs w:val="19"/>
        </w:rPr>
        <w:t>需求分析的监理</w:t>
      </w:r>
    </w:p>
    <w:p w14:paraId="60161B0E">
      <w:pPr>
        <w:pStyle w:val="2"/>
        <w:spacing w:before="164" w:line="298" w:lineRule="auto"/>
        <w:ind w:right="307" w:firstLine="380"/>
        <w:rPr>
          <w:sz w:val="19"/>
          <w:szCs w:val="19"/>
        </w:rPr>
      </w:pPr>
      <w:r>
        <w:rPr>
          <w:spacing w:val="13"/>
          <w:sz w:val="19"/>
          <w:szCs w:val="19"/>
        </w:rPr>
        <w:t>监理机构应审查承建单位提交的需求分析计划，监督承建单位开</w:t>
      </w:r>
      <w:r>
        <w:rPr>
          <w:spacing w:val="12"/>
          <w:sz w:val="19"/>
          <w:szCs w:val="19"/>
        </w:rPr>
        <w:t>展需求分析活动，组织对</w:t>
      </w:r>
      <w:r>
        <w:rPr>
          <w:sz w:val="19"/>
          <w:szCs w:val="19"/>
        </w:rPr>
        <w:t xml:space="preserve"> </w:t>
      </w:r>
      <w:r>
        <w:rPr>
          <w:spacing w:val="5"/>
          <w:sz w:val="19"/>
          <w:szCs w:val="19"/>
        </w:rPr>
        <w:t>系统需求进行评审。监理内容和要点如下：</w:t>
      </w:r>
    </w:p>
    <w:p w14:paraId="21FFD04E">
      <w:pPr>
        <w:pStyle w:val="2"/>
        <w:spacing w:before="27" w:line="219" w:lineRule="auto"/>
        <w:ind w:left="380"/>
        <w:rPr>
          <w:sz w:val="19"/>
          <w:szCs w:val="19"/>
        </w:rPr>
      </w:pPr>
      <w:r>
        <w:rPr>
          <w:spacing w:val="11"/>
          <w:sz w:val="19"/>
          <w:szCs w:val="19"/>
        </w:rPr>
        <w:t>(1)要求承建单位提交需求分析过程的详细计划，审查后报业主</w:t>
      </w:r>
      <w:r>
        <w:rPr>
          <w:spacing w:val="10"/>
          <w:sz w:val="19"/>
          <w:szCs w:val="19"/>
        </w:rPr>
        <w:t>单位。</w:t>
      </w:r>
    </w:p>
    <w:p w14:paraId="62D79361">
      <w:pPr>
        <w:pStyle w:val="2"/>
        <w:spacing w:before="75" w:line="219" w:lineRule="auto"/>
        <w:ind w:left="380"/>
        <w:rPr>
          <w:sz w:val="19"/>
          <w:szCs w:val="19"/>
        </w:rPr>
      </w:pPr>
      <w:r>
        <w:rPr>
          <w:spacing w:val="11"/>
          <w:sz w:val="19"/>
          <w:szCs w:val="19"/>
        </w:rPr>
        <w:t>(2)监督承建单位按照计划开展需求分析的各项活动，并协调业</w:t>
      </w:r>
      <w:r>
        <w:rPr>
          <w:spacing w:val="10"/>
          <w:sz w:val="19"/>
          <w:szCs w:val="19"/>
        </w:rPr>
        <w:t>主单位予以相应的配合。</w:t>
      </w:r>
    </w:p>
    <w:p w14:paraId="37A20DA8">
      <w:pPr>
        <w:pStyle w:val="2"/>
        <w:spacing w:before="73" w:line="264" w:lineRule="auto"/>
        <w:ind w:right="287" w:firstLine="380"/>
        <w:rPr>
          <w:sz w:val="19"/>
          <w:szCs w:val="19"/>
        </w:rPr>
      </w:pPr>
      <w:r>
        <w:rPr>
          <w:spacing w:val="15"/>
          <w:sz w:val="19"/>
          <w:szCs w:val="19"/>
        </w:rPr>
        <w:t>(3)宜组织业主单位及承建单位，定义并分析系统建设目标；如适用，宜定义和分析业务</w:t>
      </w:r>
      <w:r>
        <w:rPr>
          <w:spacing w:val="12"/>
          <w:sz w:val="19"/>
          <w:szCs w:val="19"/>
        </w:rPr>
        <w:t xml:space="preserve"> </w:t>
      </w:r>
      <w:r>
        <w:rPr>
          <w:spacing w:val="7"/>
          <w:sz w:val="19"/>
          <w:szCs w:val="19"/>
        </w:rPr>
        <w:t>流程再造、业务持续改进、信息资源规划及业务指标评价体系。</w:t>
      </w:r>
    </w:p>
    <w:p w14:paraId="41EB4868">
      <w:pPr>
        <w:pStyle w:val="2"/>
        <w:spacing w:before="88" w:line="219" w:lineRule="auto"/>
        <w:ind w:left="380"/>
        <w:rPr>
          <w:sz w:val="19"/>
          <w:szCs w:val="19"/>
        </w:rPr>
      </w:pPr>
      <w:r>
        <w:rPr>
          <w:spacing w:val="11"/>
          <w:sz w:val="19"/>
          <w:szCs w:val="19"/>
        </w:rPr>
        <w:t>(4)要求承建单位提交系统需求文档，需求文档应符合相关标准</w:t>
      </w:r>
      <w:r>
        <w:rPr>
          <w:spacing w:val="10"/>
          <w:sz w:val="19"/>
          <w:szCs w:val="19"/>
        </w:rPr>
        <w:t>要求。</w:t>
      </w:r>
    </w:p>
    <w:p w14:paraId="5964E6E7">
      <w:pPr>
        <w:pStyle w:val="2"/>
        <w:spacing w:before="73" w:line="265" w:lineRule="auto"/>
        <w:ind w:right="308" w:firstLine="380"/>
        <w:rPr>
          <w:sz w:val="19"/>
          <w:szCs w:val="19"/>
        </w:rPr>
      </w:pPr>
      <w:r>
        <w:rPr>
          <w:spacing w:val="15"/>
          <w:sz w:val="19"/>
          <w:szCs w:val="19"/>
        </w:rPr>
        <w:t>(5)审查系统需求文档，组织业主单位和承建单位对需求规格说明书</w:t>
      </w:r>
      <w:r>
        <w:rPr>
          <w:spacing w:val="14"/>
          <w:sz w:val="19"/>
          <w:szCs w:val="19"/>
        </w:rPr>
        <w:t>进行检查及对需求进</w:t>
      </w:r>
      <w:r>
        <w:rPr>
          <w:sz w:val="19"/>
          <w:szCs w:val="19"/>
        </w:rPr>
        <w:t xml:space="preserve"> </w:t>
      </w:r>
      <w:r>
        <w:rPr>
          <w:spacing w:val="12"/>
          <w:sz w:val="19"/>
          <w:szCs w:val="19"/>
        </w:rPr>
        <w:t>行评审，形成需求规格说明书检查表(如表22-2所示)、需求评审意见。</w:t>
      </w:r>
    </w:p>
    <w:p w14:paraId="297A1F07">
      <w:pPr>
        <w:spacing w:before="152" w:line="221" w:lineRule="auto"/>
        <w:ind w:left="2872"/>
        <w:rPr>
          <w:rFonts w:ascii="黑体" w:hAnsi="黑体" w:eastAsia="黑体" w:cs="黑体"/>
          <w:sz w:val="19"/>
          <w:szCs w:val="19"/>
        </w:rPr>
      </w:pPr>
      <w:r>
        <w:rPr>
          <w:rFonts w:ascii="黑体" w:hAnsi="黑体" w:eastAsia="黑体" w:cs="黑体"/>
          <w:b/>
          <w:bCs/>
          <w:spacing w:val="-9"/>
          <w:sz w:val="19"/>
          <w:szCs w:val="19"/>
        </w:rPr>
        <w:t>表22-2</w:t>
      </w:r>
      <w:r>
        <w:rPr>
          <w:rFonts w:ascii="黑体" w:hAnsi="黑体" w:eastAsia="黑体" w:cs="黑体"/>
          <w:spacing w:val="-9"/>
          <w:sz w:val="19"/>
          <w:szCs w:val="19"/>
        </w:rPr>
        <w:t xml:space="preserve">  </w:t>
      </w:r>
      <w:r>
        <w:rPr>
          <w:rFonts w:ascii="黑体" w:hAnsi="黑体" w:eastAsia="黑体" w:cs="黑体"/>
          <w:b/>
          <w:bCs/>
          <w:spacing w:val="-9"/>
          <w:sz w:val="19"/>
          <w:szCs w:val="19"/>
        </w:rPr>
        <w:t>需求规格说明书检查表</w:t>
      </w:r>
    </w:p>
    <w:p w14:paraId="72EEA35F">
      <w:pPr>
        <w:spacing w:line="104" w:lineRule="exact"/>
      </w:pPr>
    </w:p>
    <w:tbl>
      <w:tblPr>
        <w:tblStyle w:val="5"/>
        <w:tblW w:w="830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0"/>
        <w:gridCol w:w="7140"/>
      </w:tblGrid>
      <w:tr w14:paraId="2916A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160" w:type="dxa"/>
            <w:tcBorders>
              <w:left w:val="nil"/>
            </w:tcBorders>
            <w:vAlign w:val="top"/>
          </w:tcPr>
          <w:p w14:paraId="69E26872">
            <w:pPr>
              <w:pStyle w:val="6"/>
              <w:spacing w:before="50" w:line="219" w:lineRule="auto"/>
              <w:ind w:left="202"/>
            </w:pPr>
            <w:r>
              <w:rPr>
                <w:b/>
                <w:bCs/>
                <w:spacing w:val="5"/>
              </w:rPr>
              <w:t>检查类目</w:t>
            </w:r>
          </w:p>
        </w:tc>
        <w:tc>
          <w:tcPr>
            <w:tcW w:w="7140" w:type="dxa"/>
            <w:tcBorders>
              <w:right w:val="nil"/>
            </w:tcBorders>
            <w:vAlign w:val="top"/>
          </w:tcPr>
          <w:p w14:paraId="5C10F877">
            <w:pPr>
              <w:pStyle w:val="6"/>
              <w:spacing w:before="50" w:line="219" w:lineRule="auto"/>
              <w:ind w:left="3217"/>
            </w:pPr>
            <w:r>
              <w:rPr>
                <w:b/>
                <w:bCs/>
                <w:spacing w:val="-4"/>
              </w:rPr>
              <w:t>检查内容</w:t>
            </w:r>
          </w:p>
        </w:tc>
      </w:tr>
      <w:tr w14:paraId="704C6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restart"/>
            <w:tcBorders>
              <w:left w:val="nil"/>
              <w:bottom w:val="nil"/>
            </w:tcBorders>
            <w:vAlign w:val="top"/>
          </w:tcPr>
          <w:p w14:paraId="3D7D27E9">
            <w:pPr>
              <w:spacing w:line="290" w:lineRule="auto"/>
              <w:rPr>
                <w:rFonts w:ascii="Arial"/>
                <w:sz w:val="21"/>
              </w:rPr>
            </w:pPr>
          </w:p>
          <w:p w14:paraId="20344C67">
            <w:pPr>
              <w:spacing w:line="290" w:lineRule="auto"/>
              <w:rPr>
                <w:rFonts w:ascii="Arial"/>
                <w:sz w:val="21"/>
              </w:rPr>
            </w:pPr>
          </w:p>
          <w:p w14:paraId="7DCA9FDF">
            <w:pPr>
              <w:spacing w:line="290" w:lineRule="auto"/>
              <w:rPr>
                <w:rFonts w:ascii="Arial"/>
                <w:sz w:val="21"/>
              </w:rPr>
            </w:pPr>
          </w:p>
          <w:p w14:paraId="301C7442">
            <w:pPr>
              <w:spacing w:line="290" w:lineRule="auto"/>
              <w:rPr>
                <w:rFonts w:ascii="Arial"/>
                <w:sz w:val="21"/>
              </w:rPr>
            </w:pPr>
          </w:p>
          <w:p w14:paraId="5396A83E">
            <w:pPr>
              <w:pStyle w:val="6"/>
              <w:spacing w:before="62" w:line="220" w:lineRule="auto"/>
              <w:ind w:left="289"/>
            </w:pPr>
            <w:r>
              <w:rPr>
                <w:spacing w:val="-2"/>
              </w:rPr>
              <w:t>清晰性</w:t>
            </w:r>
          </w:p>
        </w:tc>
        <w:tc>
          <w:tcPr>
            <w:tcW w:w="7140" w:type="dxa"/>
            <w:tcBorders>
              <w:right w:val="nil"/>
            </w:tcBorders>
            <w:vAlign w:val="top"/>
          </w:tcPr>
          <w:p w14:paraId="2B12667D">
            <w:pPr>
              <w:pStyle w:val="6"/>
              <w:spacing w:before="49" w:line="220" w:lineRule="auto"/>
              <w:ind w:left="35"/>
            </w:pPr>
            <w:r>
              <w:t>系统的目标是否已定义</w:t>
            </w:r>
          </w:p>
        </w:tc>
      </w:tr>
      <w:tr w14:paraId="68E0D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160" w:type="dxa"/>
            <w:vMerge w:val="continue"/>
            <w:tcBorders>
              <w:top w:val="nil"/>
              <w:left w:val="nil"/>
              <w:bottom w:val="nil"/>
            </w:tcBorders>
            <w:vAlign w:val="top"/>
          </w:tcPr>
          <w:p w14:paraId="249C74A0">
            <w:pPr>
              <w:rPr>
                <w:rFonts w:ascii="Arial"/>
                <w:sz w:val="21"/>
              </w:rPr>
            </w:pPr>
          </w:p>
        </w:tc>
        <w:tc>
          <w:tcPr>
            <w:tcW w:w="7140" w:type="dxa"/>
            <w:tcBorders>
              <w:right w:val="nil"/>
            </w:tcBorders>
            <w:vAlign w:val="top"/>
          </w:tcPr>
          <w:p w14:paraId="0400A4F4">
            <w:pPr>
              <w:pStyle w:val="6"/>
              <w:spacing w:before="48" w:line="214" w:lineRule="auto"/>
              <w:ind w:left="35"/>
            </w:pPr>
            <w:r>
              <w:rPr>
                <w:spacing w:val="-1"/>
              </w:rPr>
              <w:t>是否对关键术语和缩略语进行了定义和描述</w:t>
            </w:r>
          </w:p>
        </w:tc>
      </w:tr>
      <w:tr w14:paraId="24ECA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continue"/>
            <w:tcBorders>
              <w:top w:val="nil"/>
              <w:left w:val="nil"/>
              <w:bottom w:val="nil"/>
            </w:tcBorders>
            <w:vAlign w:val="top"/>
          </w:tcPr>
          <w:p w14:paraId="55E3FDE9">
            <w:pPr>
              <w:rPr>
                <w:rFonts w:ascii="Arial"/>
                <w:sz w:val="21"/>
              </w:rPr>
            </w:pPr>
          </w:p>
        </w:tc>
        <w:tc>
          <w:tcPr>
            <w:tcW w:w="7140" w:type="dxa"/>
            <w:tcBorders>
              <w:right w:val="nil"/>
            </w:tcBorders>
            <w:vAlign w:val="top"/>
          </w:tcPr>
          <w:p w14:paraId="685E64F5">
            <w:pPr>
              <w:pStyle w:val="6"/>
              <w:spacing w:before="50" w:line="219" w:lineRule="auto"/>
              <w:ind w:left="35"/>
            </w:pPr>
            <w:r>
              <w:rPr>
                <w:spacing w:val="-1"/>
              </w:rPr>
              <w:t>所使用的术语是否和用户使用的一致</w:t>
            </w:r>
          </w:p>
        </w:tc>
      </w:tr>
      <w:tr w14:paraId="6F806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160" w:type="dxa"/>
            <w:vMerge w:val="continue"/>
            <w:tcBorders>
              <w:top w:val="nil"/>
              <w:left w:val="nil"/>
              <w:bottom w:val="nil"/>
            </w:tcBorders>
            <w:vAlign w:val="top"/>
          </w:tcPr>
          <w:p w14:paraId="13A6B83D">
            <w:pPr>
              <w:rPr>
                <w:rFonts w:ascii="Arial"/>
                <w:sz w:val="21"/>
              </w:rPr>
            </w:pPr>
          </w:p>
        </w:tc>
        <w:tc>
          <w:tcPr>
            <w:tcW w:w="7140" w:type="dxa"/>
            <w:tcBorders>
              <w:right w:val="nil"/>
            </w:tcBorders>
            <w:vAlign w:val="top"/>
          </w:tcPr>
          <w:p w14:paraId="771F1403">
            <w:pPr>
              <w:pStyle w:val="6"/>
              <w:spacing w:before="51" w:line="211" w:lineRule="auto"/>
              <w:ind w:left="35"/>
            </w:pPr>
            <w:r>
              <w:rPr>
                <w:spacing w:val="1"/>
              </w:rPr>
              <w:t>需求的描述是否清晰，不含糊</w:t>
            </w:r>
          </w:p>
        </w:tc>
      </w:tr>
      <w:tr w14:paraId="5FAB7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continue"/>
            <w:tcBorders>
              <w:top w:val="nil"/>
              <w:left w:val="nil"/>
              <w:bottom w:val="nil"/>
            </w:tcBorders>
            <w:vAlign w:val="top"/>
          </w:tcPr>
          <w:p w14:paraId="39B5125C">
            <w:pPr>
              <w:rPr>
                <w:rFonts w:ascii="Arial"/>
                <w:sz w:val="21"/>
              </w:rPr>
            </w:pPr>
          </w:p>
        </w:tc>
        <w:tc>
          <w:tcPr>
            <w:tcW w:w="7140" w:type="dxa"/>
            <w:tcBorders>
              <w:right w:val="nil"/>
            </w:tcBorders>
            <w:vAlign w:val="top"/>
          </w:tcPr>
          <w:p w14:paraId="10C76A65">
            <w:pPr>
              <w:pStyle w:val="6"/>
              <w:spacing w:before="52" w:line="219" w:lineRule="auto"/>
              <w:ind w:left="35"/>
            </w:pPr>
            <w:r>
              <w:rPr>
                <w:spacing w:val="-1"/>
              </w:rPr>
              <w:t>是否对整个系统进行了功能概述</w:t>
            </w:r>
          </w:p>
        </w:tc>
      </w:tr>
      <w:tr w14:paraId="21E36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160" w:type="dxa"/>
            <w:vMerge w:val="continue"/>
            <w:tcBorders>
              <w:top w:val="nil"/>
              <w:left w:val="nil"/>
              <w:bottom w:val="nil"/>
            </w:tcBorders>
            <w:vAlign w:val="top"/>
          </w:tcPr>
          <w:p w14:paraId="695291E6">
            <w:pPr>
              <w:rPr>
                <w:rFonts w:ascii="Arial"/>
                <w:sz w:val="21"/>
              </w:rPr>
            </w:pPr>
          </w:p>
        </w:tc>
        <w:tc>
          <w:tcPr>
            <w:tcW w:w="7140" w:type="dxa"/>
            <w:tcBorders>
              <w:right w:val="nil"/>
            </w:tcBorders>
            <w:vAlign w:val="top"/>
          </w:tcPr>
          <w:p w14:paraId="50CFBFD0">
            <w:pPr>
              <w:pStyle w:val="6"/>
              <w:spacing w:before="53" w:line="209" w:lineRule="auto"/>
              <w:ind w:left="35"/>
            </w:pPr>
            <w:r>
              <w:rPr>
                <w:spacing w:val="1"/>
              </w:rPr>
              <w:t>是否已详细说明了软件环境(共存的软件)和硬件环境(特定的配置)</w:t>
            </w:r>
          </w:p>
        </w:tc>
      </w:tr>
      <w:tr w14:paraId="09D75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160" w:type="dxa"/>
            <w:vMerge w:val="continue"/>
            <w:tcBorders>
              <w:top w:val="nil"/>
              <w:left w:val="nil"/>
              <w:bottom w:val="nil"/>
            </w:tcBorders>
            <w:vAlign w:val="top"/>
          </w:tcPr>
          <w:p w14:paraId="05DEAD92">
            <w:pPr>
              <w:rPr>
                <w:rFonts w:ascii="Arial"/>
                <w:sz w:val="21"/>
              </w:rPr>
            </w:pPr>
          </w:p>
        </w:tc>
        <w:tc>
          <w:tcPr>
            <w:tcW w:w="7140" w:type="dxa"/>
            <w:tcBorders>
              <w:right w:val="nil"/>
            </w:tcBorders>
            <w:vAlign w:val="top"/>
          </w:tcPr>
          <w:p w14:paraId="06F95B7E">
            <w:pPr>
              <w:pStyle w:val="6"/>
              <w:spacing w:before="53" w:line="209" w:lineRule="auto"/>
              <w:ind w:left="35"/>
            </w:pPr>
            <w:r>
              <w:rPr>
                <w:spacing w:val="1"/>
              </w:rPr>
              <w:t>如果有可能影响实施的假设情况，是否已经</w:t>
            </w:r>
            <w:r>
              <w:t>声明</w:t>
            </w:r>
          </w:p>
        </w:tc>
      </w:tr>
      <w:tr w14:paraId="78D2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continue"/>
            <w:tcBorders>
              <w:top w:val="nil"/>
              <w:left w:val="nil"/>
              <w:bottom w:val="nil"/>
            </w:tcBorders>
            <w:vAlign w:val="top"/>
          </w:tcPr>
          <w:p w14:paraId="2A529A1E">
            <w:pPr>
              <w:rPr>
                <w:rFonts w:ascii="Arial"/>
                <w:sz w:val="21"/>
              </w:rPr>
            </w:pPr>
          </w:p>
        </w:tc>
        <w:tc>
          <w:tcPr>
            <w:tcW w:w="7140" w:type="dxa"/>
            <w:tcBorders>
              <w:right w:val="nil"/>
            </w:tcBorders>
            <w:vAlign w:val="top"/>
          </w:tcPr>
          <w:p w14:paraId="0D8D258B">
            <w:pPr>
              <w:pStyle w:val="6"/>
              <w:spacing w:before="55" w:line="217" w:lineRule="auto"/>
              <w:ind w:left="35"/>
            </w:pPr>
            <w:r>
              <w:rPr>
                <w:spacing w:val="1"/>
              </w:rPr>
              <w:t>是否已经对每个业务逻辑进行输入、输出以</w:t>
            </w:r>
            <w:r>
              <w:t>及过程的详细说明</w:t>
            </w:r>
          </w:p>
        </w:tc>
      </w:tr>
      <w:tr w14:paraId="2B954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160" w:type="dxa"/>
            <w:vMerge w:val="continue"/>
            <w:tcBorders>
              <w:top w:val="nil"/>
              <w:left w:val="nil"/>
            </w:tcBorders>
            <w:vAlign w:val="top"/>
          </w:tcPr>
          <w:p w14:paraId="432115E7">
            <w:pPr>
              <w:rPr>
                <w:rFonts w:ascii="Arial"/>
                <w:sz w:val="21"/>
              </w:rPr>
            </w:pPr>
          </w:p>
        </w:tc>
        <w:tc>
          <w:tcPr>
            <w:tcW w:w="7140" w:type="dxa"/>
            <w:tcBorders>
              <w:right w:val="nil"/>
            </w:tcBorders>
            <w:vAlign w:val="top"/>
          </w:tcPr>
          <w:p w14:paraId="426A59A1">
            <w:pPr>
              <w:pStyle w:val="6"/>
              <w:spacing w:before="56" w:line="211" w:lineRule="auto"/>
              <w:ind w:left="35"/>
            </w:pPr>
            <w:r>
              <w:t>图表是否清楚，在不补充说明时易于理解</w:t>
            </w:r>
          </w:p>
        </w:tc>
      </w:tr>
    </w:tbl>
    <w:p w14:paraId="3F172D9A">
      <w:pPr>
        <w:rPr>
          <w:rFonts w:ascii="Arial"/>
          <w:sz w:val="21"/>
        </w:rPr>
      </w:pPr>
    </w:p>
    <w:p w14:paraId="0C6D8ADA">
      <w:pPr>
        <w:rPr>
          <w:rFonts w:ascii="Arial" w:hAnsi="Arial" w:eastAsia="Arial" w:cs="Arial"/>
          <w:sz w:val="21"/>
          <w:szCs w:val="21"/>
        </w:rPr>
        <w:sectPr>
          <w:pgSz w:w="10290" w:h="13330"/>
          <w:pgMar w:top="400" w:right="554" w:bottom="400" w:left="1140" w:header="0" w:footer="0" w:gutter="0"/>
          <w:cols w:space="720" w:num="1"/>
        </w:sectPr>
      </w:pPr>
    </w:p>
    <w:p w14:paraId="617BFD44">
      <w:pPr>
        <w:pStyle w:val="2"/>
        <w:rPr>
          <w:sz w:val="20"/>
          <w:szCs w:val="20"/>
        </w:rPr>
      </w:pPr>
      <w:bookmarkStart w:id="733" w:name="bookmark718"/>
      <w:bookmarkEnd w:id="733"/>
      <w:r>
        <w:rPr>
          <w:rFonts w:ascii="Times New Roman" w:hAnsi="Times New Roman" w:eastAsia="Times New Roman" w:cs="Times New Roman"/>
          <w:spacing w:val="-2"/>
          <w:sz w:val="20"/>
          <w:szCs w:val="20"/>
        </w:rPr>
        <w:t>508</w:t>
      </w:r>
      <w:r>
        <w:rPr>
          <w:rFonts w:ascii="Times New Roman" w:hAnsi="Times New Roman" w:eastAsia="Times New Roman" w:cs="Times New Roman"/>
          <w:spacing w:val="35"/>
          <w:w w:val="101"/>
          <w:sz w:val="20"/>
          <w:szCs w:val="20"/>
        </w:rPr>
        <w:t xml:space="preserve"> </w:t>
      </w:r>
      <w:r>
        <w:rPr>
          <w:position w:val="-12"/>
          <w:sz w:val="20"/>
          <w:szCs w:val="20"/>
        </w:rPr>
        <w:drawing>
          <wp:inline distT="0" distB="0" distL="0" distR="0">
            <wp:extent cx="297815" cy="253365"/>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318"/>
                    <a:stretch>
                      <a:fillRect/>
                    </a:stretch>
                  </pic:blipFill>
                  <pic:spPr>
                    <a:xfrm>
                      <a:off x="0" y="0"/>
                      <a:ext cx="298443" cy="253983"/>
                    </a:xfrm>
                    <a:prstGeom prst="rect">
                      <a:avLst/>
                    </a:prstGeom>
                  </pic:spPr>
                </pic:pic>
              </a:graphicData>
            </a:graphic>
          </wp:inline>
        </w:drawing>
      </w:r>
      <w:r>
        <w:rPr>
          <w:rFonts w:ascii="Times New Roman" w:hAnsi="Times New Roman" w:eastAsia="Times New Roman" w:cs="Times New Roman"/>
          <w:spacing w:val="15"/>
          <w:sz w:val="20"/>
          <w:szCs w:val="20"/>
        </w:rPr>
        <w:t xml:space="preserve">  </w:t>
      </w:r>
      <w:r>
        <w:rPr>
          <w:spacing w:val="-2"/>
          <w:sz w:val="20"/>
          <w:szCs w:val="20"/>
        </w:rPr>
        <w:t>信息系统监理师教程(第2版)</w:t>
      </w:r>
    </w:p>
    <w:p w14:paraId="40026168">
      <w:pPr>
        <w:spacing w:line="262" w:lineRule="auto"/>
        <w:rPr>
          <w:rFonts w:ascii="Arial"/>
          <w:sz w:val="21"/>
        </w:rPr>
      </w:pPr>
    </w:p>
    <w:p w14:paraId="7F0E4FB5">
      <w:pPr>
        <w:pStyle w:val="2"/>
        <w:spacing w:before="65" w:line="220" w:lineRule="auto"/>
        <w:jc w:val="right"/>
        <w:rPr>
          <w:sz w:val="20"/>
          <w:szCs w:val="20"/>
        </w:rPr>
      </w:pPr>
      <w:r>
        <w:rPr>
          <w:spacing w:val="-2"/>
          <w:sz w:val="20"/>
          <w:szCs w:val="20"/>
        </w:rPr>
        <w:t>(续表)</w:t>
      </w:r>
    </w:p>
    <w:p w14:paraId="3EBC7348">
      <w:pPr>
        <w:spacing w:line="67" w:lineRule="exact"/>
      </w:pPr>
    </w:p>
    <w:tbl>
      <w:tblPr>
        <w:tblStyle w:val="5"/>
        <w:tblW w:w="8329" w:type="dxa"/>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0"/>
        <w:gridCol w:w="7169"/>
      </w:tblGrid>
      <w:tr w14:paraId="1A4D2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1160" w:type="dxa"/>
            <w:tcBorders>
              <w:left w:val="nil"/>
            </w:tcBorders>
            <w:vAlign w:val="top"/>
          </w:tcPr>
          <w:p w14:paraId="0D818827">
            <w:pPr>
              <w:pStyle w:val="6"/>
              <w:spacing w:before="60" w:line="219" w:lineRule="auto"/>
              <w:ind w:left="202"/>
            </w:pPr>
            <w:r>
              <w:rPr>
                <w:b/>
                <w:bCs/>
                <w:spacing w:val="5"/>
              </w:rPr>
              <w:t>检查类目</w:t>
            </w:r>
          </w:p>
        </w:tc>
        <w:tc>
          <w:tcPr>
            <w:tcW w:w="7169" w:type="dxa"/>
            <w:tcBorders>
              <w:right w:val="nil"/>
            </w:tcBorders>
            <w:vAlign w:val="top"/>
          </w:tcPr>
          <w:p w14:paraId="00E50F5B">
            <w:pPr>
              <w:pStyle w:val="6"/>
              <w:spacing w:before="60" w:line="219" w:lineRule="auto"/>
              <w:ind w:left="3217"/>
            </w:pPr>
            <w:r>
              <w:rPr>
                <w:b/>
                <w:bCs/>
                <w:spacing w:val="-4"/>
              </w:rPr>
              <w:t>检查内容</w:t>
            </w:r>
          </w:p>
        </w:tc>
      </w:tr>
      <w:tr w14:paraId="18741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160" w:type="dxa"/>
            <w:vMerge w:val="restart"/>
            <w:tcBorders>
              <w:left w:val="nil"/>
              <w:bottom w:val="nil"/>
            </w:tcBorders>
            <w:vAlign w:val="top"/>
          </w:tcPr>
          <w:p w14:paraId="7EA309D7">
            <w:pPr>
              <w:spacing w:line="260" w:lineRule="auto"/>
              <w:rPr>
                <w:rFonts w:ascii="Arial"/>
                <w:sz w:val="21"/>
              </w:rPr>
            </w:pPr>
          </w:p>
          <w:p w14:paraId="024EA548">
            <w:pPr>
              <w:spacing w:line="260" w:lineRule="auto"/>
              <w:rPr>
                <w:rFonts w:ascii="Arial"/>
                <w:sz w:val="21"/>
              </w:rPr>
            </w:pPr>
          </w:p>
          <w:p w14:paraId="0F5E64B3">
            <w:pPr>
              <w:spacing w:line="260" w:lineRule="auto"/>
              <w:rPr>
                <w:rFonts w:ascii="Arial"/>
                <w:sz w:val="21"/>
              </w:rPr>
            </w:pPr>
          </w:p>
          <w:p w14:paraId="1ED9BE27">
            <w:pPr>
              <w:spacing w:line="260" w:lineRule="auto"/>
              <w:rPr>
                <w:rFonts w:ascii="Arial"/>
                <w:sz w:val="21"/>
              </w:rPr>
            </w:pPr>
          </w:p>
          <w:p w14:paraId="7283C42E">
            <w:pPr>
              <w:pStyle w:val="6"/>
              <w:spacing w:before="62" w:line="219" w:lineRule="auto"/>
              <w:ind w:left="289"/>
            </w:pPr>
            <w:r>
              <w:rPr>
                <w:spacing w:val="-2"/>
              </w:rPr>
              <w:t>完整性</w:t>
            </w:r>
          </w:p>
        </w:tc>
        <w:tc>
          <w:tcPr>
            <w:tcW w:w="7169" w:type="dxa"/>
            <w:tcBorders>
              <w:right w:val="nil"/>
            </w:tcBorders>
            <w:vAlign w:val="top"/>
          </w:tcPr>
          <w:p w14:paraId="505F5047">
            <w:pPr>
              <w:pStyle w:val="6"/>
              <w:spacing w:before="59" w:line="220" w:lineRule="auto"/>
              <w:ind w:left="54"/>
            </w:pPr>
            <w:r>
              <w:t>是否规定了用户要求的功能</w:t>
            </w:r>
          </w:p>
        </w:tc>
      </w:tr>
      <w:tr w14:paraId="1EFED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160" w:type="dxa"/>
            <w:vMerge w:val="continue"/>
            <w:tcBorders>
              <w:top w:val="nil"/>
              <w:left w:val="nil"/>
              <w:bottom w:val="nil"/>
            </w:tcBorders>
            <w:vAlign w:val="top"/>
          </w:tcPr>
          <w:p w14:paraId="0E32B57C">
            <w:pPr>
              <w:rPr>
                <w:rFonts w:ascii="Arial"/>
                <w:sz w:val="21"/>
              </w:rPr>
            </w:pPr>
          </w:p>
        </w:tc>
        <w:tc>
          <w:tcPr>
            <w:tcW w:w="7169" w:type="dxa"/>
            <w:tcBorders>
              <w:right w:val="nil"/>
            </w:tcBorders>
            <w:vAlign w:val="top"/>
          </w:tcPr>
          <w:p w14:paraId="1127FD24">
            <w:pPr>
              <w:pStyle w:val="6"/>
              <w:spacing w:before="58" w:line="219" w:lineRule="auto"/>
              <w:ind w:left="54"/>
            </w:pPr>
            <w:r>
              <w:rPr>
                <w:spacing w:val="-1"/>
              </w:rPr>
              <w:t>是否完整、清晰、准确地反映用户的要求</w:t>
            </w:r>
          </w:p>
        </w:tc>
      </w:tr>
      <w:tr w14:paraId="418D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continue"/>
            <w:tcBorders>
              <w:top w:val="nil"/>
              <w:left w:val="nil"/>
              <w:bottom w:val="nil"/>
            </w:tcBorders>
            <w:vAlign w:val="top"/>
          </w:tcPr>
          <w:p w14:paraId="2A238218">
            <w:pPr>
              <w:rPr>
                <w:rFonts w:ascii="Arial"/>
                <w:sz w:val="21"/>
              </w:rPr>
            </w:pPr>
          </w:p>
        </w:tc>
        <w:tc>
          <w:tcPr>
            <w:tcW w:w="7169" w:type="dxa"/>
            <w:tcBorders>
              <w:right w:val="nil"/>
            </w:tcBorders>
            <w:vAlign w:val="top"/>
          </w:tcPr>
          <w:p w14:paraId="21B68D16">
            <w:pPr>
              <w:pStyle w:val="6"/>
              <w:spacing w:before="48" w:line="219" w:lineRule="auto"/>
              <w:ind w:left="54"/>
            </w:pPr>
            <w:r>
              <w:t>是否列出了系统所必需的依赖、假设以及约束</w:t>
            </w:r>
          </w:p>
        </w:tc>
      </w:tr>
      <w:tr w14:paraId="079BD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160" w:type="dxa"/>
            <w:vMerge w:val="continue"/>
            <w:tcBorders>
              <w:top w:val="nil"/>
              <w:left w:val="nil"/>
              <w:bottom w:val="nil"/>
            </w:tcBorders>
            <w:vAlign w:val="top"/>
          </w:tcPr>
          <w:p w14:paraId="26722315">
            <w:pPr>
              <w:rPr>
                <w:rFonts w:ascii="Arial"/>
                <w:sz w:val="21"/>
              </w:rPr>
            </w:pPr>
          </w:p>
        </w:tc>
        <w:tc>
          <w:tcPr>
            <w:tcW w:w="7169" w:type="dxa"/>
            <w:tcBorders>
              <w:right w:val="nil"/>
            </w:tcBorders>
            <w:vAlign w:val="top"/>
          </w:tcPr>
          <w:p w14:paraId="386A25E0">
            <w:pPr>
              <w:pStyle w:val="6"/>
              <w:spacing w:before="50" w:line="219" w:lineRule="auto"/>
              <w:ind w:left="54"/>
            </w:pPr>
            <w:r>
              <w:rPr>
                <w:spacing w:val="1"/>
              </w:rPr>
              <w:t>是否对每个提交物或阶段实施都进行了需求</w:t>
            </w:r>
            <w:r>
              <w:t>说明</w:t>
            </w:r>
          </w:p>
        </w:tc>
      </w:tr>
      <w:tr w14:paraId="7087F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160" w:type="dxa"/>
            <w:vMerge w:val="continue"/>
            <w:tcBorders>
              <w:top w:val="nil"/>
              <w:left w:val="nil"/>
              <w:bottom w:val="nil"/>
            </w:tcBorders>
            <w:vAlign w:val="top"/>
          </w:tcPr>
          <w:p w14:paraId="2F6344B5">
            <w:pPr>
              <w:rPr>
                <w:rFonts w:ascii="Arial"/>
                <w:sz w:val="21"/>
              </w:rPr>
            </w:pPr>
          </w:p>
        </w:tc>
        <w:tc>
          <w:tcPr>
            <w:tcW w:w="7169" w:type="dxa"/>
            <w:tcBorders>
              <w:right w:val="nil"/>
            </w:tcBorders>
            <w:vAlign w:val="top"/>
          </w:tcPr>
          <w:p w14:paraId="0A74F705">
            <w:pPr>
              <w:pStyle w:val="6"/>
              <w:spacing w:before="70" w:line="242" w:lineRule="auto"/>
              <w:ind w:left="54" w:right="1"/>
            </w:pPr>
            <w:r>
              <w:rPr>
                <w:spacing w:val="-8"/>
              </w:rPr>
              <w:t>需求说明书是否已经包括了主要的质量属性，例如有效性、高效性、灵活性、完整性、互</w:t>
            </w:r>
            <w:r>
              <w:rPr>
                <w:spacing w:val="8"/>
              </w:rPr>
              <w:t xml:space="preserve"> </w:t>
            </w:r>
            <w:r>
              <w:t>操作性、可靠性、健壮性、可用性、可维护性、可移植性、可重</w:t>
            </w:r>
            <w:r>
              <w:rPr>
                <w:spacing w:val="-1"/>
              </w:rPr>
              <w:t>用性和可测试性等</w:t>
            </w:r>
          </w:p>
        </w:tc>
      </w:tr>
      <w:tr w14:paraId="664CC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160" w:type="dxa"/>
            <w:vMerge w:val="continue"/>
            <w:tcBorders>
              <w:top w:val="nil"/>
              <w:left w:val="nil"/>
              <w:bottom w:val="nil"/>
            </w:tcBorders>
            <w:vAlign w:val="top"/>
          </w:tcPr>
          <w:p w14:paraId="1717F9AA">
            <w:pPr>
              <w:rPr>
                <w:rFonts w:ascii="Arial"/>
                <w:sz w:val="21"/>
              </w:rPr>
            </w:pPr>
          </w:p>
        </w:tc>
        <w:tc>
          <w:tcPr>
            <w:tcW w:w="7169" w:type="dxa"/>
            <w:tcBorders>
              <w:right w:val="nil"/>
            </w:tcBorders>
            <w:vAlign w:val="top"/>
          </w:tcPr>
          <w:p w14:paraId="54AE3FC9">
            <w:pPr>
              <w:pStyle w:val="6"/>
              <w:spacing w:before="51" w:line="219" w:lineRule="auto"/>
              <w:ind w:left="54"/>
            </w:pPr>
            <w:r>
              <w:rPr>
                <w:spacing w:val="1"/>
              </w:rPr>
              <w:t>是否有业务流程图和数据流程图</w:t>
            </w:r>
          </w:p>
        </w:tc>
      </w:tr>
      <w:tr w14:paraId="255D3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160" w:type="dxa"/>
            <w:vMerge w:val="continue"/>
            <w:tcBorders>
              <w:top w:val="nil"/>
              <w:left w:val="nil"/>
            </w:tcBorders>
            <w:vAlign w:val="top"/>
          </w:tcPr>
          <w:p w14:paraId="446E0356">
            <w:pPr>
              <w:rPr>
                <w:rFonts w:ascii="Arial"/>
                <w:sz w:val="21"/>
              </w:rPr>
            </w:pPr>
          </w:p>
        </w:tc>
        <w:tc>
          <w:tcPr>
            <w:tcW w:w="7169" w:type="dxa"/>
            <w:tcBorders>
              <w:right w:val="nil"/>
            </w:tcBorders>
            <w:vAlign w:val="top"/>
          </w:tcPr>
          <w:p w14:paraId="7219B556">
            <w:pPr>
              <w:pStyle w:val="6"/>
              <w:spacing w:before="61" w:line="219" w:lineRule="auto"/>
              <w:ind w:left="54"/>
            </w:pPr>
            <w:r>
              <w:rPr>
                <w:spacing w:val="-2"/>
              </w:rPr>
              <w:t>是否包含接口需求</w:t>
            </w:r>
          </w:p>
        </w:tc>
      </w:tr>
      <w:tr w14:paraId="187B9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160" w:type="dxa"/>
            <w:tcBorders>
              <w:left w:val="nil"/>
            </w:tcBorders>
            <w:vAlign w:val="top"/>
          </w:tcPr>
          <w:p w14:paraId="769AEF71">
            <w:pPr>
              <w:pStyle w:val="6"/>
              <w:spacing w:before="61" w:line="219" w:lineRule="auto"/>
              <w:ind w:left="289"/>
            </w:pPr>
            <w:r>
              <w:rPr>
                <w:spacing w:val="-2"/>
              </w:rPr>
              <w:t>依从性</w:t>
            </w:r>
          </w:p>
        </w:tc>
        <w:tc>
          <w:tcPr>
            <w:tcW w:w="7169" w:type="dxa"/>
            <w:tcBorders>
              <w:right w:val="nil"/>
            </w:tcBorders>
            <w:vAlign w:val="top"/>
          </w:tcPr>
          <w:p w14:paraId="381DD58A">
            <w:pPr>
              <w:pStyle w:val="6"/>
              <w:spacing w:before="62" w:line="219" w:lineRule="auto"/>
              <w:ind w:left="54"/>
            </w:pPr>
            <w:r>
              <w:rPr>
                <w:spacing w:val="-1"/>
              </w:rPr>
              <w:t>是否遵从了该项目的文档编写标准</w:t>
            </w:r>
          </w:p>
        </w:tc>
      </w:tr>
      <w:tr w14:paraId="783C2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restart"/>
            <w:tcBorders>
              <w:left w:val="nil"/>
              <w:bottom w:val="nil"/>
            </w:tcBorders>
            <w:vAlign w:val="top"/>
          </w:tcPr>
          <w:p w14:paraId="298D753D">
            <w:pPr>
              <w:pStyle w:val="6"/>
              <w:spacing w:before="203" w:line="220" w:lineRule="auto"/>
              <w:ind w:left="289"/>
            </w:pPr>
            <w:r>
              <w:rPr>
                <w:spacing w:val="-4"/>
              </w:rPr>
              <w:t>一致性</w:t>
            </w:r>
          </w:p>
        </w:tc>
        <w:tc>
          <w:tcPr>
            <w:tcW w:w="7169" w:type="dxa"/>
            <w:tcBorders>
              <w:right w:val="nil"/>
            </w:tcBorders>
            <w:vAlign w:val="top"/>
          </w:tcPr>
          <w:p w14:paraId="02D70606">
            <w:pPr>
              <w:pStyle w:val="6"/>
              <w:spacing w:before="51" w:line="219" w:lineRule="auto"/>
              <w:ind w:left="54"/>
            </w:pPr>
            <w:r>
              <w:rPr>
                <w:spacing w:val="2"/>
              </w:rPr>
              <w:t>需求说明是否存在直接相互矛盾的条目</w:t>
            </w:r>
          </w:p>
        </w:tc>
      </w:tr>
      <w:tr w14:paraId="2A4F2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160" w:type="dxa"/>
            <w:vMerge w:val="continue"/>
            <w:tcBorders>
              <w:top w:val="nil"/>
              <w:left w:val="nil"/>
            </w:tcBorders>
            <w:vAlign w:val="top"/>
          </w:tcPr>
          <w:p w14:paraId="195EC773">
            <w:pPr>
              <w:rPr>
                <w:rFonts w:ascii="Arial"/>
                <w:sz w:val="21"/>
              </w:rPr>
            </w:pPr>
          </w:p>
        </w:tc>
        <w:tc>
          <w:tcPr>
            <w:tcW w:w="7169" w:type="dxa"/>
            <w:tcBorders>
              <w:right w:val="nil"/>
            </w:tcBorders>
            <w:vAlign w:val="top"/>
          </w:tcPr>
          <w:p w14:paraId="7D5930A2">
            <w:pPr>
              <w:pStyle w:val="6"/>
              <w:spacing w:before="52" w:line="219" w:lineRule="auto"/>
              <w:ind w:left="54"/>
            </w:pPr>
            <w:r>
              <w:t>需求说明书是否与相关需求素材一致</w:t>
            </w:r>
          </w:p>
        </w:tc>
      </w:tr>
      <w:tr w14:paraId="003DF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160" w:type="dxa"/>
            <w:vMerge w:val="restart"/>
            <w:tcBorders>
              <w:left w:val="nil"/>
              <w:bottom w:val="nil"/>
            </w:tcBorders>
            <w:vAlign w:val="top"/>
          </w:tcPr>
          <w:p w14:paraId="443A8755">
            <w:pPr>
              <w:spacing w:line="439" w:lineRule="auto"/>
              <w:rPr>
                <w:rFonts w:ascii="Arial"/>
                <w:sz w:val="21"/>
              </w:rPr>
            </w:pPr>
          </w:p>
          <w:p w14:paraId="27B80DC6">
            <w:pPr>
              <w:pStyle w:val="6"/>
              <w:spacing w:before="62" w:line="220" w:lineRule="auto"/>
              <w:ind w:left="289"/>
            </w:pPr>
            <w:r>
              <w:rPr>
                <w:spacing w:val="-2"/>
              </w:rPr>
              <w:t>可行性</w:t>
            </w:r>
          </w:p>
        </w:tc>
        <w:tc>
          <w:tcPr>
            <w:tcW w:w="7169" w:type="dxa"/>
            <w:tcBorders>
              <w:right w:val="nil"/>
            </w:tcBorders>
            <w:vAlign w:val="top"/>
          </w:tcPr>
          <w:p w14:paraId="5DAAA9BA">
            <w:pPr>
              <w:pStyle w:val="6"/>
              <w:spacing w:before="53" w:line="219" w:lineRule="auto"/>
              <w:ind w:left="54"/>
            </w:pPr>
            <w:r>
              <w:rPr>
                <w:spacing w:val="-1"/>
              </w:rPr>
              <w:t>所描述的功能是否必要，并充分满足用户/系统目标</w:t>
            </w:r>
          </w:p>
        </w:tc>
      </w:tr>
      <w:tr w14:paraId="1DE17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continue"/>
            <w:tcBorders>
              <w:top w:val="nil"/>
              <w:left w:val="nil"/>
              <w:bottom w:val="nil"/>
            </w:tcBorders>
            <w:vAlign w:val="top"/>
          </w:tcPr>
          <w:p w14:paraId="3055C7DD">
            <w:pPr>
              <w:rPr>
                <w:rFonts w:ascii="Arial"/>
                <w:sz w:val="21"/>
              </w:rPr>
            </w:pPr>
          </w:p>
        </w:tc>
        <w:tc>
          <w:tcPr>
            <w:tcW w:w="7169" w:type="dxa"/>
            <w:tcBorders>
              <w:right w:val="nil"/>
            </w:tcBorders>
            <w:vAlign w:val="top"/>
          </w:tcPr>
          <w:p w14:paraId="717AAA03">
            <w:pPr>
              <w:pStyle w:val="6"/>
              <w:spacing w:before="52" w:line="219" w:lineRule="auto"/>
              <w:ind w:left="54"/>
            </w:pPr>
            <w:r>
              <w:t>需求说明书的描述是否满足下一阶段设计所需</w:t>
            </w:r>
          </w:p>
        </w:tc>
      </w:tr>
      <w:tr w14:paraId="7FA23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continue"/>
            <w:tcBorders>
              <w:top w:val="nil"/>
              <w:left w:val="nil"/>
              <w:bottom w:val="nil"/>
            </w:tcBorders>
            <w:vAlign w:val="top"/>
          </w:tcPr>
          <w:p w14:paraId="0FCB77C6">
            <w:pPr>
              <w:rPr>
                <w:rFonts w:ascii="Arial"/>
                <w:sz w:val="21"/>
              </w:rPr>
            </w:pPr>
          </w:p>
        </w:tc>
        <w:tc>
          <w:tcPr>
            <w:tcW w:w="7169" w:type="dxa"/>
            <w:tcBorders>
              <w:right w:val="nil"/>
            </w:tcBorders>
            <w:vAlign w:val="top"/>
          </w:tcPr>
          <w:p w14:paraId="31B5995F">
            <w:pPr>
              <w:pStyle w:val="6"/>
              <w:spacing w:before="54" w:line="218" w:lineRule="auto"/>
              <w:ind w:left="54"/>
            </w:pPr>
            <w:r>
              <w:rPr>
                <w:spacing w:val="2"/>
              </w:rPr>
              <w:t>是否已经详细说明已知的限制(局限)</w:t>
            </w:r>
          </w:p>
        </w:tc>
      </w:tr>
      <w:tr w14:paraId="4810E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160" w:type="dxa"/>
            <w:vMerge w:val="continue"/>
            <w:tcBorders>
              <w:top w:val="nil"/>
              <w:left w:val="nil"/>
            </w:tcBorders>
            <w:vAlign w:val="top"/>
          </w:tcPr>
          <w:p w14:paraId="6FFD8ECF">
            <w:pPr>
              <w:rPr>
                <w:rFonts w:ascii="Arial"/>
                <w:sz w:val="21"/>
              </w:rPr>
            </w:pPr>
          </w:p>
        </w:tc>
        <w:tc>
          <w:tcPr>
            <w:tcW w:w="7169" w:type="dxa"/>
            <w:tcBorders>
              <w:right w:val="nil"/>
            </w:tcBorders>
            <w:vAlign w:val="top"/>
          </w:tcPr>
          <w:p w14:paraId="19E95968">
            <w:pPr>
              <w:pStyle w:val="6"/>
              <w:spacing w:before="55" w:line="218" w:lineRule="auto"/>
              <w:ind w:left="54"/>
            </w:pPr>
            <w:r>
              <w:rPr>
                <w:spacing w:val="1"/>
              </w:rPr>
              <w:t>是否已确定每个需求的优先级别</w:t>
            </w:r>
          </w:p>
        </w:tc>
      </w:tr>
      <w:tr w14:paraId="497AA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160" w:type="dxa"/>
            <w:vMerge w:val="restart"/>
            <w:tcBorders>
              <w:left w:val="nil"/>
              <w:bottom w:val="nil"/>
            </w:tcBorders>
            <w:vAlign w:val="top"/>
          </w:tcPr>
          <w:p w14:paraId="10D54A72">
            <w:pPr>
              <w:spacing w:line="302" w:lineRule="auto"/>
              <w:rPr>
                <w:rFonts w:ascii="Arial"/>
                <w:sz w:val="21"/>
              </w:rPr>
            </w:pPr>
          </w:p>
          <w:p w14:paraId="2FF6E3E9">
            <w:pPr>
              <w:pStyle w:val="6"/>
              <w:spacing w:before="62" w:line="219" w:lineRule="auto"/>
              <w:ind w:left="199"/>
            </w:pPr>
            <w:r>
              <w:rPr>
                <w:spacing w:val="-2"/>
              </w:rPr>
              <w:t>可管理性</w:t>
            </w:r>
          </w:p>
        </w:tc>
        <w:tc>
          <w:tcPr>
            <w:tcW w:w="7169" w:type="dxa"/>
            <w:tcBorders>
              <w:right w:val="nil"/>
            </w:tcBorders>
            <w:vAlign w:val="top"/>
          </w:tcPr>
          <w:p w14:paraId="016DAF85">
            <w:pPr>
              <w:pStyle w:val="6"/>
              <w:spacing w:before="64" w:line="218" w:lineRule="auto"/>
              <w:ind w:left="54"/>
            </w:pPr>
            <w:r>
              <w:t>是否将需求分别陈述，确保每个需求都是独立的，并且是可检查的</w:t>
            </w:r>
          </w:p>
        </w:tc>
      </w:tr>
      <w:tr w14:paraId="340B2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160" w:type="dxa"/>
            <w:vMerge w:val="continue"/>
            <w:tcBorders>
              <w:top w:val="nil"/>
              <w:left w:val="nil"/>
              <w:bottom w:val="nil"/>
            </w:tcBorders>
            <w:vAlign w:val="top"/>
          </w:tcPr>
          <w:p w14:paraId="2984A0FB">
            <w:pPr>
              <w:rPr>
                <w:rFonts w:ascii="Arial"/>
                <w:sz w:val="21"/>
              </w:rPr>
            </w:pPr>
          </w:p>
        </w:tc>
        <w:tc>
          <w:tcPr>
            <w:tcW w:w="7169" w:type="dxa"/>
            <w:tcBorders>
              <w:right w:val="nil"/>
            </w:tcBorders>
            <w:vAlign w:val="top"/>
          </w:tcPr>
          <w:p w14:paraId="1A966C32">
            <w:pPr>
              <w:pStyle w:val="6"/>
              <w:spacing w:before="55" w:line="217" w:lineRule="auto"/>
              <w:ind w:left="54"/>
            </w:pPr>
            <w:r>
              <w:t>是否所有需求都可以回溯到相应的需求素材，反之亦然</w:t>
            </w:r>
          </w:p>
        </w:tc>
      </w:tr>
      <w:tr w14:paraId="410B3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160" w:type="dxa"/>
            <w:vMerge w:val="continue"/>
            <w:tcBorders>
              <w:top w:val="nil"/>
              <w:left w:val="nil"/>
            </w:tcBorders>
            <w:vAlign w:val="top"/>
          </w:tcPr>
          <w:p w14:paraId="1A640B27">
            <w:pPr>
              <w:rPr>
                <w:rFonts w:ascii="Arial"/>
                <w:sz w:val="21"/>
              </w:rPr>
            </w:pPr>
          </w:p>
        </w:tc>
        <w:tc>
          <w:tcPr>
            <w:tcW w:w="7169" w:type="dxa"/>
            <w:tcBorders>
              <w:right w:val="nil"/>
            </w:tcBorders>
            <w:vAlign w:val="top"/>
          </w:tcPr>
          <w:p w14:paraId="6FFF104F">
            <w:pPr>
              <w:pStyle w:val="6"/>
              <w:spacing w:before="57" w:line="219" w:lineRule="auto"/>
              <w:ind w:left="54"/>
            </w:pPr>
            <w:r>
              <w:rPr>
                <w:spacing w:val="-1"/>
              </w:rPr>
              <w:t>是否已详细说明需求变更的过程</w:t>
            </w:r>
          </w:p>
        </w:tc>
      </w:tr>
    </w:tbl>
    <w:p w14:paraId="5E3E62EA">
      <w:pPr>
        <w:pStyle w:val="2"/>
        <w:spacing w:before="232" w:line="219" w:lineRule="auto"/>
        <w:ind w:left="689"/>
        <w:rPr>
          <w:sz w:val="20"/>
          <w:szCs w:val="20"/>
        </w:rPr>
      </w:pPr>
      <w:r>
        <w:rPr>
          <w:spacing w:val="1"/>
          <w:sz w:val="20"/>
          <w:szCs w:val="20"/>
        </w:rPr>
        <w:t>(6)参与系统需求的联合评审，形成需求确认表。评审时需要考虑的准则包括：</w:t>
      </w:r>
    </w:p>
    <w:p w14:paraId="4FBC96C8">
      <w:pPr>
        <w:pStyle w:val="2"/>
        <w:spacing w:before="74" w:line="219" w:lineRule="auto"/>
        <w:ind w:left="689"/>
        <w:rPr>
          <w:sz w:val="20"/>
          <w:szCs w:val="20"/>
        </w:rPr>
      </w:pPr>
      <w:r>
        <w:rPr>
          <w:spacing w:val="-5"/>
          <w:sz w:val="20"/>
          <w:szCs w:val="20"/>
        </w:rPr>
        <w:t>●与承建合同的可追溯性、 一致性；</w:t>
      </w:r>
    </w:p>
    <w:p w14:paraId="3F94AA26">
      <w:pPr>
        <w:pStyle w:val="2"/>
        <w:spacing w:before="102" w:line="219" w:lineRule="auto"/>
        <w:ind w:left="689"/>
        <w:rPr>
          <w:sz w:val="20"/>
          <w:szCs w:val="20"/>
        </w:rPr>
      </w:pPr>
      <w:r>
        <w:rPr>
          <w:spacing w:val="-3"/>
          <w:sz w:val="20"/>
          <w:szCs w:val="20"/>
        </w:rPr>
        <w:t>●与业务目标和系统建设目标的可追溯性、</w:t>
      </w:r>
      <w:r>
        <w:rPr>
          <w:spacing w:val="-20"/>
          <w:sz w:val="20"/>
          <w:szCs w:val="20"/>
        </w:rPr>
        <w:t xml:space="preserve"> </w:t>
      </w:r>
      <w:r>
        <w:rPr>
          <w:spacing w:val="-3"/>
          <w:sz w:val="20"/>
          <w:szCs w:val="20"/>
        </w:rPr>
        <w:t>一致性；</w:t>
      </w:r>
    </w:p>
    <w:p w14:paraId="176C1BF6">
      <w:pPr>
        <w:pStyle w:val="2"/>
        <w:spacing w:before="72" w:line="219" w:lineRule="auto"/>
        <w:ind w:left="689"/>
        <w:rPr>
          <w:sz w:val="20"/>
          <w:szCs w:val="20"/>
        </w:rPr>
      </w:pPr>
      <w:r>
        <w:rPr>
          <w:spacing w:val="2"/>
          <w:sz w:val="20"/>
          <w:szCs w:val="20"/>
        </w:rPr>
        <w:t>●软件设计的可行性；</w:t>
      </w:r>
    </w:p>
    <w:p w14:paraId="4CB5BDA1">
      <w:pPr>
        <w:pStyle w:val="2"/>
        <w:spacing w:before="73" w:line="220" w:lineRule="auto"/>
        <w:ind w:left="689"/>
        <w:rPr>
          <w:sz w:val="20"/>
          <w:szCs w:val="20"/>
        </w:rPr>
      </w:pPr>
      <w:r>
        <w:rPr>
          <w:spacing w:val="4"/>
          <w:sz w:val="20"/>
          <w:szCs w:val="20"/>
        </w:rPr>
        <w:t>●运行和维护的可行性。</w:t>
      </w:r>
    </w:p>
    <w:p w14:paraId="1337FDB5">
      <w:pPr>
        <w:pStyle w:val="2"/>
        <w:spacing w:before="110" w:line="219" w:lineRule="auto"/>
        <w:ind w:left="689"/>
        <w:rPr>
          <w:sz w:val="20"/>
          <w:szCs w:val="20"/>
        </w:rPr>
      </w:pPr>
      <w:r>
        <w:rPr>
          <w:spacing w:val="2"/>
          <w:sz w:val="20"/>
          <w:szCs w:val="20"/>
        </w:rPr>
        <w:t>(7)在需求调研阶段，监理机构应要求承建单位开始编制系统验收初步方案。</w:t>
      </w:r>
    </w:p>
    <w:p w14:paraId="29647571">
      <w:pPr>
        <w:pStyle w:val="2"/>
        <w:spacing w:before="63" w:line="219" w:lineRule="auto"/>
        <w:ind w:left="689"/>
        <w:rPr>
          <w:sz w:val="20"/>
          <w:szCs w:val="20"/>
        </w:rPr>
      </w:pPr>
      <w:r>
        <w:rPr>
          <w:spacing w:val="2"/>
          <w:sz w:val="20"/>
          <w:szCs w:val="20"/>
        </w:rPr>
        <w:t>(8)督促承建单位解决系统需求分析中发现的问题和不合格项，提出监理意见。</w:t>
      </w:r>
    </w:p>
    <w:p w14:paraId="10EF4EAF">
      <w:pPr>
        <w:pStyle w:val="2"/>
        <w:spacing w:before="159" w:line="221" w:lineRule="auto"/>
        <w:ind w:left="692"/>
        <w:rPr>
          <w:rFonts w:ascii="黑体" w:hAnsi="黑体" w:eastAsia="黑体" w:cs="黑体"/>
          <w:sz w:val="20"/>
          <w:szCs w:val="20"/>
        </w:rPr>
      </w:pPr>
      <w:r>
        <w:rPr>
          <w:b/>
          <w:bCs/>
          <w:color w:val="008CD3"/>
          <w:spacing w:val="14"/>
          <w:sz w:val="20"/>
          <w:szCs w:val="20"/>
        </w:rPr>
        <w:t>3.</w:t>
      </w:r>
      <w:r>
        <w:rPr>
          <w:rFonts w:ascii="黑体" w:hAnsi="黑体" w:eastAsia="黑体" w:cs="黑体"/>
          <w:b/>
          <w:bCs/>
          <w:color w:val="008CD3"/>
          <w:spacing w:val="14"/>
          <w:sz w:val="20"/>
          <w:szCs w:val="20"/>
        </w:rPr>
        <w:t>概要(结构)设计的监理</w:t>
      </w:r>
    </w:p>
    <w:p w14:paraId="4B1A4F5F">
      <w:pPr>
        <w:pStyle w:val="2"/>
        <w:spacing w:before="145" w:line="255" w:lineRule="auto"/>
        <w:ind w:left="290" w:right="105" w:firstLine="399"/>
        <w:rPr>
          <w:sz w:val="20"/>
          <w:szCs w:val="20"/>
        </w:rPr>
      </w:pPr>
      <w:r>
        <w:rPr>
          <w:spacing w:val="14"/>
          <w:sz w:val="20"/>
          <w:szCs w:val="20"/>
        </w:rPr>
        <w:t>监理机构应督促承建单位开展概要(结构)设计活动，审查承建单位</w:t>
      </w:r>
      <w:r>
        <w:rPr>
          <w:spacing w:val="13"/>
          <w:sz w:val="20"/>
          <w:szCs w:val="20"/>
        </w:rPr>
        <w:t>的概要(结构)设计</w:t>
      </w:r>
      <w:r>
        <w:rPr>
          <w:sz w:val="20"/>
          <w:szCs w:val="20"/>
        </w:rPr>
        <w:t xml:space="preserve"> </w:t>
      </w:r>
      <w:r>
        <w:rPr>
          <w:spacing w:val="-4"/>
          <w:sz w:val="20"/>
          <w:szCs w:val="20"/>
        </w:rPr>
        <w:t>文档。监理内容和要点如下：</w:t>
      </w:r>
    </w:p>
    <w:p w14:paraId="6F9BE015">
      <w:pPr>
        <w:pStyle w:val="2"/>
        <w:spacing w:before="57" w:line="219" w:lineRule="auto"/>
        <w:ind w:left="689"/>
        <w:rPr>
          <w:sz w:val="20"/>
          <w:szCs w:val="20"/>
        </w:rPr>
      </w:pPr>
      <w:r>
        <w:rPr>
          <w:spacing w:val="9"/>
          <w:sz w:val="20"/>
          <w:szCs w:val="20"/>
        </w:rPr>
        <w:t>(1)督促承建单位按照计划的要求开展系统概</w:t>
      </w:r>
      <w:r>
        <w:rPr>
          <w:spacing w:val="8"/>
          <w:sz w:val="20"/>
          <w:szCs w:val="20"/>
        </w:rPr>
        <w:t>要(结构)设计活动。</w:t>
      </w:r>
    </w:p>
    <w:p w14:paraId="0ECAA59E">
      <w:pPr>
        <w:pStyle w:val="2"/>
        <w:spacing w:before="73" w:line="258" w:lineRule="auto"/>
        <w:ind w:left="290" w:right="13" w:firstLine="399"/>
        <w:rPr>
          <w:sz w:val="20"/>
          <w:szCs w:val="20"/>
        </w:rPr>
      </w:pPr>
      <w:r>
        <w:rPr>
          <w:spacing w:val="6"/>
          <w:sz w:val="20"/>
          <w:szCs w:val="20"/>
        </w:rPr>
        <w:t>(2)宜配合业主单位制定相应的业务指标评价体系，监督承建单位对系统结构开展合理的</w:t>
      </w:r>
      <w:r>
        <w:rPr>
          <w:spacing w:val="2"/>
          <w:sz w:val="20"/>
          <w:szCs w:val="20"/>
        </w:rPr>
        <w:t xml:space="preserve">  </w:t>
      </w:r>
      <w:r>
        <w:rPr>
          <w:spacing w:val="6"/>
          <w:sz w:val="20"/>
          <w:szCs w:val="20"/>
        </w:rPr>
        <w:t>方案设计。如适用，监理机构宜组织业主单位和承建单</w:t>
      </w:r>
      <w:r>
        <w:rPr>
          <w:spacing w:val="5"/>
          <w:sz w:val="20"/>
          <w:szCs w:val="20"/>
        </w:rPr>
        <w:t>位按照计划的要求开展业务流程再造、</w:t>
      </w:r>
      <w:r>
        <w:rPr>
          <w:sz w:val="20"/>
          <w:szCs w:val="20"/>
        </w:rPr>
        <w:t xml:space="preserve"> </w:t>
      </w:r>
      <w:r>
        <w:rPr>
          <w:spacing w:val="-2"/>
          <w:sz w:val="20"/>
          <w:szCs w:val="20"/>
        </w:rPr>
        <w:t>业务持续改进、信息资源利用的设计活动。</w:t>
      </w:r>
    </w:p>
    <w:p w14:paraId="30CADFC1">
      <w:pPr>
        <w:pStyle w:val="2"/>
        <w:spacing w:before="93"/>
        <w:ind w:left="290" w:right="105" w:firstLine="399"/>
        <w:rPr>
          <w:sz w:val="20"/>
          <w:szCs w:val="20"/>
        </w:rPr>
      </w:pPr>
      <w:r>
        <w:rPr>
          <w:spacing w:val="16"/>
          <w:sz w:val="20"/>
          <w:szCs w:val="20"/>
        </w:rPr>
        <w:t>(3)要求承建单位提交系统概要(结构)设计文档，概要(结构)设计文档应符</w:t>
      </w:r>
      <w:r>
        <w:rPr>
          <w:spacing w:val="15"/>
          <w:sz w:val="20"/>
          <w:szCs w:val="20"/>
        </w:rPr>
        <w:t>合相关标</w:t>
      </w:r>
      <w:r>
        <w:rPr>
          <w:sz w:val="20"/>
          <w:szCs w:val="20"/>
        </w:rPr>
        <w:t xml:space="preserve"> </w:t>
      </w:r>
      <w:r>
        <w:rPr>
          <w:spacing w:val="-2"/>
          <w:sz w:val="20"/>
          <w:szCs w:val="20"/>
        </w:rPr>
        <w:t>准要求。</w:t>
      </w:r>
    </w:p>
    <w:p w14:paraId="099F398E">
      <w:pPr>
        <w:pStyle w:val="2"/>
        <w:spacing w:before="90" w:line="219" w:lineRule="auto"/>
        <w:ind w:left="689"/>
        <w:rPr>
          <w:sz w:val="20"/>
          <w:szCs w:val="20"/>
        </w:rPr>
      </w:pPr>
      <w:r>
        <w:rPr>
          <w:spacing w:val="17"/>
          <w:sz w:val="20"/>
          <w:szCs w:val="20"/>
        </w:rPr>
        <w:t>(4)组织业主单位和承建单位对系统概要(结构)设计文档进行检查，</w:t>
      </w:r>
      <w:r>
        <w:rPr>
          <w:spacing w:val="16"/>
          <w:sz w:val="20"/>
          <w:szCs w:val="20"/>
        </w:rPr>
        <w:t>形成概要(结构)</w:t>
      </w:r>
    </w:p>
    <w:p w14:paraId="635E2C0C">
      <w:pPr>
        <w:spacing w:line="219" w:lineRule="auto"/>
        <w:rPr>
          <w:sz w:val="20"/>
          <w:szCs w:val="20"/>
        </w:rPr>
        <w:sectPr>
          <w:pgSz w:w="10300" w:h="13440"/>
          <w:pgMar w:top="360" w:right="1056" w:bottom="400" w:left="509" w:header="0" w:footer="0" w:gutter="0"/>
          <w:cols w:space="720" w:num="1"/>
        </w:sectPr>
      </w:pPr>
    </w:p>
    <w:p w14:paraId="3C109B7C">
      <w:pPr>
        <w:pStyle w:val="2"/>
        <w:jc w:val="right"/>
        <w:rPr>
          <w:rFonts w:ascii="Times New Roman" w:hAnsi="Times New Roman" w:eastAsia="Times New Roman" w:cs="Times New Roman"/>
          <w:sz w:val="17"/>
          <w:szCs w:val="17"/>
        </w:rPr>
      </w:pPr>
      <w:r>
        <w:rPr>
          <w:spacing w:val="3"/>
          <w:sz w:val="19"/>
          <w:szCs w:val="19"/>
        </w:rPr>
        <w:t>第22章</w:t>
      </w:r>
      <w:r>
        <w:rPr>
          <w:spacing w:val="33"/>
          <w:sz w:val="19"/>
          <w:szCs w:val="19"/>
        </w:rPr>
        <w:t xml:space="preserve"> </w:t>
      </w:r>
      <w:r>
        <w:rPr>
          <w:spacing w:val="3"/>
          <w:sz w:val="19"/>
          <w:szCs w:val="19"/>
        </w:rPr>
        <w:t>软件工程监理</w:t>
      </w:r>
      <w:r>
        <w:rPr>
          <w:spacing w:val="38"/>
          <w:sz w:val="19"/>
          <w:szCs w:val="19"/>
        </w:rPr>
        <w:t xml:space="preserve"> </w:t>
      </w:r>
      <w:r>
        <w:rPr>
          <w:position w:val="-11"/>
          <w:sz w:val="19"/>
          <w:szCs w:val="19"/>
        </w:rPr>
        <w:drawing>
          <wp:inline distT="0" distB="0" distL="0" distR="0">
            <wp:extent cx="310515" cy="240665"/>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319"/>
                    <a:stretch>
                      <a:fillRect/>
                    </a:stretch>
                  </pic:blipFill>
                  <pic:spPr>
                    <a:xfrm>
                      <a:off x="0" y="0"/>
                      <a:ext cx="311114" cy="241262"/>
                    </a:xfrm>
                    <a:prstGeom prst="rect">
                      <a:avLst/>
                    </a:prstGeom>
                  </pic:spPr>
                </pic:pic>
              </a:graphicData>
            </a:graphic>
          </wp:inline>
        </w:drawing>
      </w:r>
      <w:r>
        <w:rPr>
          <w:rFonts w:ascii="Times New Roman" w:hAnsi="Times New Roman" w:eastAsia="Times New Roman" w:cs="Times New Roman"/>
          <w:spacing w:val="3"/>
          <w:position w:val="1"/>
          <w:sz w:val="17"/>
          <w:szCs w:val="17"/>
        </w:rPr>
        <w:t>509</w:t>
      </w:r>
    </w:p>
    <w:p w14:paraId="064686F3">
      <w:pPr>
        <w:spacing w:line="283" w:lineRule="auto"/>
        <w:rPr>
          <w:rFonts w:ascii="Arial"/>
          <w:sz w:val="21"/>
        </w:rPr>
      </w:pPr>
    </w:p>
    <w:p w14:paraId="7DF7641D">
      <w:pPr>
        <w:pStyle w:val="2"/>
        <w:spacing w:before="61" w:line="219" w:lineRule="auto"/>
        <w:rPr>
          <w:sz w:val="19"/>
          <w:szCs w:val="19"/>
        </w:rPr>
      </w:pPr>
      <w:r>
        <w:rPr>
          <w:spacing w:val="14"/>
          <w:sz w:val="19"/>
          <w:szCs w:val="19"/>
        </w:rPr>
        <w:t>设计检查表(如表22-3所示，供参考)。</w:t>
      </w:r>
    </w:p>
    <w:p w14:paraId="4318AC76">
      <w:pPr>
        <w:spacing w:before="141" w:line="221" w:lineRule="auto"/>
        <w:ind w:left="2762"/>
        <w:rPr>
          <w:rFonts w:ascii="黑体" w:hAnsi="黑体" w:eastAsia="黑体" w:cs="黑体"/>
          <w:sz w:val="19"/>
          <w:szCs w:val="19"/>
        </w:rPr>
      </w:pPr>
      <w:r>
        <w:rPr>
          <w:rFonts w:ascii="黑体" w:hAnsi="黑体" w:eastAsia="黑体" w:cs="黑体"/>
          <w:b/>
          <w:bCs/>
          <w:spacing w:val="2"/>
          <w:sz w:val="19"/>
          <w:szCs w:val="19"/>
        </w:rPr>
        <w:t>表22-3</w:t>
      </w:r>
      <w:r>
        <w:rPr>
          <w:rFonts w:ascii="黑体" w:hAnsi="黑体" w:eastAsia="黑体" w:cs="黑体"/>
          <w:spacing w:val="3"/>
          <w:sz w:val="19"/>
          <w:szCs w:val="19"/>
        </w:rPr>
        <w:t xml:space="preserve">  </w:t>
      </w:r>
      <w:r>
        <w:rPr>
          <w:rFonts w:ascii="黑体" w:hAnsi="黑体" w:eastAsia="黑体" w:cs="黑体"/>
          <w:b/>
          <w:bCs/>
          <w:spacing w:val="2"/>
          <w:sz w:val="19"/>
          <w:szCs w:val="19"/>
        </w:rPr>
        <w:t>概要(结构)设计检查表</w:t>
      </w:r>
    </w:p>
    <w:p w14:paraId="04C5C767">
      <w:pPr>
        <w:spacing w:line="114" w:lineRule="exact"/>
      </w:pPr>
    </w:p>
    <w:tbl>
      <w:tblPr>
        <w:tblStyle w:val="5"/>
        <w:tblW w:w="83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0"/>
        <w:gridCol w:w="7360"/>
      </w:tblGrid>
      <w:tr w14:paraId="4899C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970" w:type="dxa"/>
            <w:tcBorders>
              <w:left w:val="nil"/>
            </w:tcBorders>
            <w:vAlign w:val="top"/>
          </w:tcPr>
          <w:p w14:paraId="77D93ED9">
            <w:pPr>
              <w:pStyle w:val="6"/>
              <w:spacing w:before="59" w:line="219" w:lineRule="auto"/>
              <w:ind w:left="122"/>
              <w:rPr>
                <w:sz w:val="18"/>
                <w:szCs w:val="18"/>
              </w:rPr>
            </w:pPr>
            <w:r>
              <w:rPr>
                <w:b/>
                <w:bCs/>
                <w:spacing w:val="5"/>
                <w:sz w:val="18"/>
                <w:szCs w:val="18"/>
              </w:rPr>
              <w:t>检查类目</w:t>
            </w:r>
          </w:p>
        </w:tc>
        <w:tc>
          <w:tcPr>
            <w:tcW w:w="7360" w:type="dxa"/>
            <w:tcBorders>
              <w:right w:val="nil"/>
            </w:tcBorders>
            <w:vAlign w:val="top"/>
          </w:tcPr>
          <w:p w14:paraId="7DAC8304">
            <w:pPr>
              <w:pStyle w:val="6"/>
              <w:spacing w:before="59" w:line="219" w:lineRule="auto"/>
              <w:ind w:left="3307"/>
              <w:rPr>
                <w:sz w:val="18"/>
                <w:szCs w:val="18"/>
              </w:rPr>
            </w:pPr>
            <w:r>
              <w:rPr>
                <w:b/>
                <w:bCs/>
                <w:spacing w:val="-4"/>
                <w:sz w:val="18"/>
                <w:szCs w:val="18"/>
              </w:rPr>
              <w:t>检查内容</w:t>
            </w:r>
          </w:p>
        </w:tc>
      </w:tr>
      <w:tr w14:paraId="518C1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restart"/>
            <w:tcBorders>
              <w:left w:val="nil"/>
              <w:bottom w:val="nil"/>
            </w:tcBorders>
            <w:vAlign w:val="top"/>
          </w:tcPr>
          <w:p w14:paraId="53AF3CE9">
            <w:pPr>
              <w:spacing w:line="298" w:lineRule="auto"/>
              <w:rPr>
                <w:rFonts w:ascii="Arial"/>
                <w:sz w:val="21"/>
              </w:rPr>
            </w:pPr>
          </w:p>
          <w:p w14:paraId="423545B3">
            <w:pPr>
              <w:pStyle w:val="6"/>
              <w:spacing w:before="59" w:line="220" w:lineRule="auto"/>
              <w:ind w:left="210"/>
              <w:rPr>
                <w:sz w:val="18"/>
                <w:szCs w:val="18"/>
              </w:rPr>
            </w:pPr>
            <w:r>
              <w:rPr>
                <w:spacing w:val="-2"/>
                <w:sz w:val="18"/>
                <w:szCs w:val="18"/>
              </w:rPr>
              <w:t>清晰性</w:t>
            </w:r>
          </w:p>
        </w:tc>
        <w:tc>
          <w:tcPr>
            <w:tcW w:w="7360" w:type="dxa"/>
            <w:tcBorders>
              <w:right w:val="nil"/>
            </w:tcBorders>
            <w:vAlign w:val="top"/>
          </w:tcPr>
          <w:p w14:paraId="514035A3">
            <w:pPr>
              <w:pStyle w:val="6"/>
              <w:spacing w:before="58" w:line="219" w:lineRule="auto"/>
              <w:ind w:left="55"/>
              <w:rPr>
                <w:sz w:val="18"/>
                <w:szCs w:val="18"/>
              </w:rPr>
            </w:pPr>
            <w:r>
              <w:rPr>
                <w:spacing w:val="1"/>
                <w:sz w:val="18"/>
                <w:szCs w:val="18"/>
              </w:rPr>
              <w:t>是否所设计的架构都被清楚地表达了，包括数据流、控制</w:t>
            </w:r>
            <w:r>
              <w:rPr>
                <w:sz w:val="18"/>
                <w:szCs w:val="18"/>
              </w:rPr>
              <w:t>流和接口</w:t>
            </w:r>
          </w:p>
        </w:tc>
      </w:tr>
      <w:tr w14:paraId="13C4F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970" w:type="dxa"/>
            <w:vMerge w:val="continue"/>
            <w:tcBorders>
              <w:top w:val="nil"/>
              <w:left w:val="nil"/>
              <w:bottom w:val="nil"/>
            </w:tcBorders>
            <w:vAlign w:val="top"/>
          </w:tcPr>
          <w:p w14:paraId="4CE5D61E">
            <w:pPr>
              <w:rPr>
                <w:rFonts w:ascii="Arial"/>
                <w:sz w:val="21"/>
              </w:rPr>
            </w:pPr>
          </w:p>
        </w:tc>
        <w:tc>
          <w:tcPr>
            <w:tcW w:w="7360" w:type="dxa"/>
            <w:tcBorders>
              <w:right w:val="nil"/>
            </w:tcBorders>
            <w:vAlign w:val="top"/>
          </w:tcPr>
          <w:p w14:paraId="2C702EDA">
            <w:pPr>
              <w:pStyle w:val="6"/>
              <w:spacing w:before="57" w:line="219" w:lineRule="auto"/>
              <w:ind w:left="55"/>
              <w:rPr>
                <w:sz w:val="18"/>
                <w:szCs w:val="18"/>
              </w:rPr>
            </w:pPr>
            <w:r>
              <w:rPr>
                <w:spacing w:val="1"/>
                <w:sz w:val="18"/>
                <w:szCs w:val="18"/>
              </w:rPr>
              <w:t>是否所有的假设、约束、策略及依赖都被记录了</w:t>
            </w:r>
          </w:p>
        </w:tc>
      </w:tr>
      <w:tr w14:paraId="0C099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970" w:type="dxa"/>
            <w:vMerge w:val="continue"/>
            <w:tcBorders>
              <w:top w:val="nil"/>
              <w:left w:val="nil"/>
            </w:tcBorders>
            <w:vAlign w:val="top"/>
          </w:tcPr>
          <w:p w14:paraId="5FD15825">
            <w:pPr>
              <w:rPr>
                <w:rFonts w:ascii="Arial"/>
                <w:sz w:val="21"/>
              </w:rPr>
            </w:pPr>
          </w:p>
        </w:tc>
        <w:tc>
          <w:tcPr>
            <w:tcW w:w="7360" w:type="dxa"/>
            <w:tcBorders>
              <w:right w:val="nil"/>
            </w:tcBorders>
            <w:vAlign w:val="top"/>
          </w:tcPr>
          <w:p w14:paraId="5D5F08B7">
            <w:pPr>
              <w:pStyle w:val="6"/>
              <w:spacing w:before="60" w:line="220" w:lineRule="auto"/>
              <w:ind w:left="55"/>
              <w:rPr>
                <w:sz w:val="18"/>
                <w:szCs w:val="18"/>
              </w:rPr>
            </w:pPr>
            <w:r>
              <w:rPr>
                <w:spacing w:val="-1"/>
                <w:sz w:val="18"/>
                <w:szCs w:val="18"/>
              </w:rPr>
              <w:t>是否定义了总体设计目标</w:t>
            </w:r>
          </w:p>
        </w:tc>
      </w:tr>
      <w:tr w14:paraId="7827F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970" w:type="dxa"/>
            <w:vMerge w:val="restart"/>
            <w:tcBorders>
              <w:left w:val="nil"/>
              <w:bottom w:val="nil"/>
            </w:tcBorders>
            <w:vAlign w:val="top"/>
          </w:tcPr>
          <w:p w14:paraId="3015E8D6">
            <w:pPr>
              <w:spacing w:line="294" w:lineRule="auto"/>
              <w:rPr>
                <w:rFonts w:ascii="Arial"/>
                <w:sz w:val="21"/>
              </w:rPr>
            </w:pPr>
          </w:p>
          <w:p w14:paraId="381D6036">
            <w:pPr>
              <w:spacing w:line="294" w:lineRule="auto"/>
              <w:rPr>
                <w:rFonts w:ascii="Arial"/>
                <w:sz w:val="21"/>
              </w:rPr>
            </w:pPr>
          </w:p>
          <w:p w14:paraId="1B2BD464">
            <w:pPr>
              <w:pStyle w:val="6"/>
              <w:spacing w:before="58" w:line="219" w:lineRule="auto"/>
              <w:ind w:left="210"/>
              <w:rPr>
                <w:sz w:val="18"/>
                <w:szCs w:val="18"/>
              </w:rPr>
            </w:pPr>
            <w:r>
              <w:rPr>
                <w:spacing w:val="-2"/>
                <w:sz w:val="18"/>
                <w:szCs w:val="18"/>
              </w:rPr>
              <w:t>完整性</w:t>
            </w:r>
          </w:p>
        </w:tc>
        <w:tc>
          <w:tcPr>
            <w:tcW w:w="7360" w:type="dxa"/>
            <w:tcBorders>
              <w:right w:val="nil"/>
            </w:tcBorders>
            <w:vAlign w:val="top"/>
          </w:tcPr>
          <w:p w14:paraId="1AD9C201">
            <w:pPr>
              <w:pStyle w:val="6"/>
              <w:spacing w:before="50" w:line="219" w:lineRule="auto"/>
              <w:ind w:left="55"/>
              <w:rPr>
                <w:sz w:val="18"/>
                <w:szCs w:val="18"/>
              </w:rPr>
            </w:pPr>
            <w:r>
              <w:rPr>
                <w:spacing w:val="1"/>
                <w:sz w:val="18"/>
                <w:szCs w:val="18"/>
              </w:rPr>
              <w:t>是否所有以前的软件需求都已经被解决了</w:t>
            </w:r>
          </w:p>
        </w:tc>
      </w:tr>
      <w:tr w14:paraId="4592A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970" w:type="dxa"/>
            <w:vMerge w:val="continue"/>
            <w:tcBorders>
              <w:top w:val="nil"/>
              <w:left w:val="nil"/>
              <w:bottom w:val="nil"/>
            </w:tcBorders>
            <w:vAlign w:val="top"/>
          </w:tcPr>
          <w:p w14:paraId="2CE5E95B">
            <w:pPr>
              <w:rPr>
                <w:rFonts w:ascii="Arial"/>
                <w:sz w:val="21"/>
              </w:rPr>
            </w:pPr>
          </w:p>
        </w:tc>
        <w:tc>
          <w:tcPr>
            <w:tcW w:w="7360" w:type="dxa"/>
            <w:tcBorders>
              <w:right w:val="nil"/>
            </w:tcBorders>
            <w:vAlign w:val="top"/>
          </w:tcPr>
          <w:p w14:paraId="04C42187">
            <w:pPr>
              <w:pStyle w:val="6"/>
              <w:spacing w:before="49" w:line="219" w:lineRule="auto"/>
              <w:ind w:left="55"/>
              <w:rPr>
                <w:sz w:val="18"/>
                <w:szCs w:val="18"/>
              </w:rPr>
            </w:pPr>
            <w:r>
              <w:rPr>
                <w:spacing w:val="-1"/>
                <w:sz w:val="18"/>
                <w:szCs w:val="18"/>
              </w:rPr>
              <w:t>是否设计已经可以支持本文档中遗留的软件需求有可能带来的变更</w:t>
            </w:r>
          </w:p>
        </w:tc>
      </w:tr>
      <w:tr w14:paraId="6EC62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bottom w:val="nil"/>
            </w:tcBorders>
            <w:vAlign w:val="top"/>
          </w:tcPr>
          <w:p w14:paraId="01886DA1">
            <w:pPr>
              <w:rPr>
                <w:rFonts w:ascii="Arial"/>
                <w:sz w:val="21"/>
              </w:rPr>
            </w:pPr>
          </w:p>
        </w:tc>
        <w:tc>
          <w:tcPr>
            <w:tcW w:w="7360" w:type="dxa"/>
            <w:tcBorders>
              <w:right w:val="nil"/>
            </w:tcBorders>
            <w:vAlign w:val="top"/>
          </w:tcPr>
          <w:p w14:paraId="72C5C140">
            <w:pPr>
              <w:pStyle w:val="6"/>
              <w:spacing w:before="58" w:line="218" w:lineRule="auto"/>
              <w:ind w:left="55"/>
              <w:rPr>
                <w:sz w:val="18"/>
                <w:szCs w:val="18"/>
              </w:rPr>
            </w:pPr>
            <w:r>
              <w:rPr>
                <w:spacing w:val="1"/>
                <w:sz w:val="18"/>
                <w:szCs w:val="18"/>
              </w:rPr>
              <w:t>是否所有软件需求的影响都已经被评估了</w:t>
            </w:r>
          </w:p>
        </w:tc>
      </w:tr>
      <w:tr w14:paraId="7132A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970" w:type="dxa"/>
            <w:vMerge w:val="continue"/>
            <w:tcBorders>
              <w:top w:val="nil"/>
              <w:left w:val="nil"/>
              <w:bottom w:val="nil"/>
            </w:tcBorders>
            <w:vAlign w:val="top"/>
          </w:tcPr>
          <w:p w14:paraId="009D645D">
            <w:pPr>
              <w:rPr>
                <w:rFonts w:ascii="Arial"/>
                <w:sz w:val="21"/>
              </w:rPr>
            </w:pPr>
          </w:p>
        </w:tc>
        <w:tc>
          <w:tcPr>
            <w:tcW w:w="7360" w:type="dxa"/>
            <w:tcBorders>
              <w:right w:val="nil"/>
            </w:tcBorders>
            <w:vAlign w:val="top"/>
          </w:tcPr>
          <w:p w14:paraId="2EA0C9CF">
            <w:pPr>
              <w:pStyle w:val="6"/>
              <w:spacing w:before="60" w:line="219" w:lineRule="auto"/>
              <w:ind w:left="55"/>
              <w:rPr>
                <w:sz w:val="18"/>
                <w:szCs w:val="18"/>
              </w:rPr>
            </w:pPr>
            <w:r>
              <w:rPr>
                <w:spacing w:val="-1"/>
                <w:sz w:val="18"/>
                <w:szCs w:val="18"/>
              </w:rPr>
              <w:t>是否仍存在可能不可行的设计部分</w:t>
            </w:r>
          </w:p>
        </w:tc>
      </w:tr>
      <w:tr w14:paraId="35E29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tcBorders>
            <w:vAlign w:val="top"/>
          </w:tcPr>
          <w:p w14:paraId="366C6128">
            <w:pPr>
              <w:rPr>
                <w:rFonts w:ascii="Arial"/>
                <w:sz w:val="21"/>
              </w:rPr>
            </w:pPr>
          </w:p>
        </w:tc>
        <w:tc>
          <w:tcPr>
            <w:tcW w:w="7360" w:type="dxa"/>
            <w:tcBorders>
              <w:right w:val="nil"/>
            </w:tcBorders>
            <w:vAlign w:val="top"/>
          </w:tcPr>
          <w:p w14:paraId="53B62AD2">
            <w:pPr>
              <w:pStyle w:val="6"/>
              <w:spacing w:before="60" w:line="219" w:lineRule="auto"/>
              <w:ind w:left="55"/>
              <w:rPr>
                <w:sz w:val="18"/>
                <w:szCs w:val="18"/>
              </w:rPr>
            </w:pPr>
            <w:r>
              <w:rPr>
                <w:sz w:val="18"/>
                <w:szCs w:val="18"/>
              </w:rPr>
              <w:t>是否已记录设计时的权衡考虑，该文档是否包括了权衡选择的标准和不选择其他方案的原因</w:t>
            </w:r>
          </w:p>
        </w:tc>
      </w:tr>
      <w:tr w14:paraId="4707B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tcBorders>
              <w:left w:val="nil"/>
            </w:tcBorders>
            <w:vAlign w:val="top"/>
          </w:tcPr>
          <w:p w14:paraId="7E063C5B">
            <w:pPr>
              <w:pStyle w:val="6"/>
              <w:spacing w:before="60" w:line="219" w:lineRule="auto"/>
              <w:ind w:left="210"/>
              <w:rPr>
                <w:sz w:val="18"/>
                <w:szCs w:val="18"/>
              </w:rPr>
            </w:pPr>
            <w:r>
              <w:rPr>
                <w:spacing w:val="-2"/>
                <w:sz w:val="18"/>
                <w:szCs w:val="18"/>
              </w:rPr>
              <w:t>依从性</w:t>
            </w:r>
          </w:p>
        </w:tc>
        <w:tc>
          <w:tcPr>
            <w:tcW w:w="7360" w:type="dxa"/>
            <w:tcBorders>
              <w:right w:val="nil"/>
            </w:tcBorders>
            <w:vAlign w:val="top"/>
          </w:tcPr>
          <w:p w14:paraId="721C04FD">
            <w:pPr>
              <w:pStyle w:val="6"/>
              <w:spacing w:before="61" w:line="219" w:lineRule="auto"/>
              <w:ind w:left="55"/>
              <w:rPr>
                <w:sz w:val="18"/>
                <w:szCs w:val="18"/>
              </w:rPr>
            </w:pPr>
            <w:r>
              <w:rPr>
                <w:spacing w:val="-1"/>
                <w:sz w:val="18"/>
                <w:szCs w:val="18"/>
              </w:rPr>
              <w:t>是否遵守了该项目的文档编写标准</w:t>
            </w:r>
          </w:p>
        </w:tc>
      </w:tr>
      <w:tr w14:paraId="32184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970" w:type="dxa"/>
            <w:vMerge w:val="restart"/>
            <w:tcBorders>
              <w:left w:val="nil"/>
              <w:bottom w:val="nil"/>
            </w:tcBorders>
            <w:vAlign w:val="top"/>
          </w:tcPr>
          <w:p w14:paraId="7F84001E">
            <w:pPr>
              <w:pStyle w:val="6"/>
              <w:spacing w:before="211" w:line="220" w:lineRule="auto"/>
              <w:ind w:left="210"/>
              <w:rPr>
                <w:sz w:val="18"/>
                <w:szCs w:val="18"/>
              </w:rPr>
            </w:pPr>
            <w:r>
              <w:rPr>
                <w:spacing w:val="-4"/>
                <w:sz w:val="18"/>
                <w:szCs w:val="18"/>
              </w:rPr>
              <w:t>一致性</w:t>
            </w:r>
          </w:p>
        </w:tc>
        <w:tc>
          <w:tcPr>
            <w:tcW w:w="7360" w:type="dxa"/>
            <w:tcBorders>
              <w:right w:val="nil"/>
            </w:tcBorders>
            <w:vAlign w:val="top"/>
          </w:tcPr>
          <w:p w14:paraId="43CE2192">
            <w:pPr>
              <w:pStyle w:val="6"/>
              <w:spacing w:before="61" w:line="219" w:lineRule="auto"/>
              <w:ind w:left="55"/>
              <w:rPr>
                <w:sz w:val="18"/>
                <w:szCs w:val="18"/>
              </w:rPr>
            </w:pPr>
            <w:r>
              <w:rPr>
                <w:sz w:val="18"/>
                <w:szCs w:val="18"/>
              </w:rPr>
              <w:t>数据元素、流程和对象的命名及使用，在整套系统和</w:t>
            </w:r>
            <w:r>
              <w:rPr>
                <w:spacing w:val="-1"/>
                <w:sz w:val="18"/>
                <w:szCs w:val="18"/>
              </w:rPr>
              <w:t>外部接口之间是否一致</w:t>
            </w:r>
          </w:p>
        </w:tc>
      </w:tr>
      <w:tr w14:paraId="6422F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970" w:type="dxa"/>
            <w:vMerge w:val="continue"/>
            <w:tcBorders>
              <w:top w:val="nil"/>
              <w:left w:val="nil"/>
            </w:tcBorders>
            <w:vAlign w:val="top"/>
          </w:tcPr>
          <w:p w14:paraId="26DDA249">
            <w:pPr>
              <w:rPr>
                <w:rFonts w:ascii="Arial"/>
                <w:sz w:val="21"/>
              </w:rPr>
            </w:pPr>
          </w:p>
        </w:tc>
        <w:tc>
          <w:tcPr>
            <w:tcW w:w="7360" w:type="dxa"/>
            <w:tcBorders>
              <w:right w:val="nil"/>
            </w:tcBorders>
            <w:vAlign w:val="top"/>
          </w:tcPr>
          <w:p w14:paraId="70FCCFDB">
            <w:pPr>
              <w:pStyle w:val="6"/>
              <w:spacing w:before="61" w:line="219" w:lineRule="auto"/>
              <w:ind w:left="55"/>
              <w:rPr>
                <w:sz w:val="18"/>
                <w:szCs w:val="18"/>
              </w:rPr>
            </w:pPr>
            <w:r>
              <w:rPr>
                <w:spacing w:val="1"/>
                <w:sz w:val="18"/>
                <w:szCs w:val="18"/>
              </w:rPr>
              <w:t>该设计是否反映了实际操作环境(硬件、软件、支持软件)</w:t>
            </w:r>
          </w:p>
        </w:tc>
      </w:tr>
      <w:tr w14:paraId="6D78D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restart"/>
            <w:tcBorders>
              <w:left w:val="nil"/>
              <w:bottom w:val="nil"/>
            </w:tcBorders>
            <w:vAlign w:val="top"/>
          </w:tcPr>
          <w:p w14:paraId="58CF7206">
            <w:pPr>
              <w:pStyle w:val="6"/>
              <w:spacing w:before="212" w:line="220" w:lineRule="auto"/>
              <w:ind w:left="210"/>
              <w:rPr>
                <w:sz w:val="18"/>
                <w:szCs w:val="18"/>
              </w:rPr>
            </w:pPr>
            <w:r>
              <w:rPr>
                <w:spacing w:val="-2"/>
                <w:sz w:val="18"/>
                <w:szCs w:val="18"/>
              </w:rPr>
              <w:t>可行性</w:t>
            </w:r>
          </w:p>
        </w:tc>
        <w:tc>
          <w:tcPr>
            <w:tcW w:w="7360" w:type="dxa"/>
            <w:tcBorders>
              <w:right w:val="nil"/>
            </w:tcBorders>
            <w:vAlign w:val="top"/>
          </w:tcPr>
          <w:p w14:paraId="512ED9AC">
            <w:pPr>
              <w:pStyle w:val="6"/>
              <w:spacing w:before="61" w:line="219" w:lineRule="auto"/>
              <w:ind w:left="55"/>
              <w:rPr>
                <w:sz w:val="18"/>
                <w:szCs w:val="18"/>
              </w:rPr>
            </w:pPr>
            <w:r>
              <w:rPr>
                <w:spacing w:val="-1"/>
                <w:sz w:val="18"/>
                <w:szCs w:val="18"/>
              </w:rPr>
              <w:t>从功能、成果、进度、预算和技术角度上看，该设计是否可行</w:t>
            </w:r>
          </w:p>
        </w:tc>
      </w:tr>
      <w:tr w14:paraId="07D5B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970" w:type="dxa"/>
            <w:vMerge w:val="continue"/>
            <w:tcBorders>
              <w:top w:val="nil"/>
              <w:left w:val="nil"/>
            </w:tcBorders>
            <w:vAlign w:val="top"/>
          </w:tcPr>
          <w:p w14:paraId="10161DA6">
            <w:pPr>
              <w:rPr>
                <w:rFonts w:ascii="Arial"/>
                <w:sz w:val="21"/>
              </w:rPr>
            </w:pPr>
          </w:p>
        </w:tc>
        <w:tc>
          <w:tcPr>
            <w:tcW w:w="7360" w:type="dxa"/>
            <w:tcBorders>
              <w:right w:val="nil"/>
            </w:tcBorders>
            <w:vAlign w:val="top"/>
          </w:tcPr>
          <w:p w14:paraId="2B775DCC">
            <w:pPr>
              <w:pStyle w:val="6"/>
              <w:spacing w:before="62" w:line="219" w:lineRule="auto"/>
              <w:ind w:left="55"/>
              <w:rPr>
                <w:sz w:val="18"/>
                <w:szCs w:val="18"/>
              </w:rPr>
            </w:pPr>
            <w:r>
              <w:rPr>
                <w:spacing w:val="-1"/>
                <w:sz w:val="18"/>
                <w:szCs w:val="18"/>
              </w:rPr>
              <w:t>是否存在错误的、缺少的或不完整的逻辑</w:t>
            </w:r>
          </w:p>
        </w:tc>
      </w:tr>
      <w:tr w14:paraId="11603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970" w:type="dxa"/>
            <w:vMerge w:val="restart"/>
            <w:tcBorders>
              <w:left w:val="nil"/>
              <w:bottom w:val="nil"/>
            </w:tcBorders>
            <w:vAlign w:val="top"/>
          </w:tcPr>
          <w:p w14:paraId="4D9BF951">
            <w:pPr>
              <w:spacing w:line="293" w:lineRule="auto"/>
              <w:rPr>
                <w:rFonts w:ascii="Arial"/>
                <w:sz w:val="21"/>
              </w:rPr>
            </w:pPr>
          </w:p>
          <w:p w14:paraId="1D8AE630">
            <w:pPr>
              <w:pStyle w:val="6"/>
              <w:spacing w:before="58" w:line="219" w:lineRule="auto"/>
              <w:ind w:left="120"/>
              <w:rPr>
                <w:sz w:val="18"/>
                <w:szCs w:val="18"/>
              </w:rPr>
            </w:pPr>
            <w:r>
              <w:rPr>
                <w:spacing w:val="5"/>
                <w:sz w:val="18"/>
                <w:szCs w:val="18"/>
              </w:rPr>
              <w:t>数据使用</w:t>
            </w:r>
          </w:p>
        </w:tc>
        <w:tc>
          <w:tcPr>
            <w:tcW w:w="7360" w:type="dxa"/>
            <w:tcBorders>
              <w:right w:val="nil"/>
            </w:tcBorders>
            <w:vAlign w:val="top"/>
          </w:tcPr>
          <w:p w14:paraId="295DB0B0">
            <w:pPr>
              <w:pStyle w:val="6"/>
              <w:spacing w:before="53" w:line="219" w:lineRule="auto"/>
              <w:ind w:left="55"/>
              <w:rPr>
                <w:sz w:val="18"/>
                <w:szCs w:val="18"/>
              </w:rPr>
            </w:pPr>
            <w:r>
              <w:rPr>
                <w:spacing w:val="-1"/>
                <w:sz w:val="18"/>
                <w:szCs w:val="18"/>
              </w:rPr>
              <w:t>所有复合数据元素、参数以及对象的概念，是否都已文档化</w:t>
            </w:r>
          </w:p>
        </w:tc>
      </w:tr>
      <w:tr w14:paraId="33C7D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bottom w:val="nil"/>
            </w:tcBorders>
            <w:vAlign w:val="top"/>
          </w:tcPr>
          <w:p w14:paraId="2FA221BB">
            <w:pPr>
              <w:rPr>
                <w:rFonts w:ascii="Arial"/>
                <w:sz w:val="21"/>
              </w:rPr>
            </w:pPr>
          </w:p>
        </w:tc>
        <w:tc>
          <w:tcPr>
            <w:tcW w:w="7360" w:type="dxa"/>
            <w:tcBorders>
              <w:right w:val="nil"/>
            </w:tcBorders>
            <w:vAlign w:val="top"/>
          </w:tcPr>
          <w:p w14:paraId="76AF1035">
            <w:pPr>
              <w:pStyle w:val="6"/>
              <w:spacing w:before="64" w:line="219" w:lineRule="auto"/>
              <w:ind w:left="55"/>
              <w:rPr>
                <w:sz w:val="18"/>
                <w:szCs w:val="18"/>
              </w:rPr>
            </w:pPr>
            <w:r>
              <w:rPr>
                <w:spacing w:val="-1"/>
                <w:sz w:val="18"/>
                <w:szCs w:val="18"/>
              </w:rPr>
              <w:t>是否还有任何需要的但还没有定义的数据结构，反之亦然</w:t>
            </w:r>
          </w:p>
        </w:tc>
      </w:tr>
      <w:tr w14:paraId="6791D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tcBorders>
            <w:vAlign w:val="top"/>
          </w:tcPr>
          <w:p w14:paraId="58759C5C">
            <w:pPr>
              <w:rPr>
                <w:rFonts w:ascii="Arial"/>
                <w:sz w:val="21"/>
              </w:rPr>
            </w:pPr>
          </w:p>
        </w:tc>
        <w:tc>
          <w:tcPr>
            <w:tcW w:w="7360" w:type="dxa"/>
            <w:tcBorders>
              <w:right w:val="nil"/>
            </w:tcBorders>
            <w:vAlign w:val="top"/>
          </w:tcPr>
          <w:p w14:paraId="64444FE7">
            <w:pPr>
              <w:pStyle w:val="6"/>
              <w:spacing w:before="64" w:line="219" w:lineRule="auto"/>
              <w:ind w:left="55"/>
              <w:rPr>
                <w:sz w:val="18"/>
                <w:szCs w:val="18"/>
              </w:rPr>
            </w:pPr>
            <w:r>
              <w:rPr>
                <w:sz w:val="18"/>
                <w:szCs w:val="18"/>
              </w:rPr>
              <w:t>是否已描述最低级别数据元素，是否已详细说明其取值范围</w:t>
            </w:r>
          </w:p>
        </w:tc>
      </w:tr>
      <w:tr w14:paraId="4CE05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restart"/>
            <w:tcBorders>
              <w:left w:val="nil"/>
              <w:bottom w:val="nil"/>
            </w:tcBorders>
            <w:vAlign w:val="top"/>
          </w:tcPr>
          <w:p w14:paraId="4C0881E0">
            <w:pPr>
              <w:pStyle w:val="6"/>
              <w:spacing w:before="215" w:line="221" w:lineRule="auto"/>
              <w:ind w:left="210"/>
              <w:rPr>
                <w:sz w:val="18"/>
                <w:szCs w:val="18"/>
              </w:rPr>
            </w:pPr>
            <w:r>
              <w:rPr>
                <w:spacing w:val="-3"/>
                <w:sz w:val="18"/>
                <w:szCs w:val="18"/>
              </w:rPr>
              <w:t>功能性</w:t>
            </w:r>
          </w:p>
        </w:tc>
        <w:tc>
          <w:tcPr>
            <w:tcW w:w="7360" w:type="dxa"/>
            <w:tcBorders>
              <w:right w:val="nil"/>
            </w:tcBorders>
            <w:vAlign w:val="top"/>
          </w:tcPr>
          <w:p w14:paraId="5A003AE5">
            <w:pPr>
              <w:pStyle w:val="6"/>
              <w:spacing w:before="64" w:line="219" w:lineRule="auto"/>
              <w:ind w:left="55"/>
              <w:rPr>
                <w:sz w:val="18"/>
                <w:szCs w:val="18"/>
              </w:rPr>
            </w:pPr>
            <w:r>
              <w:rPr>
                <w:spacing w:val="1"/>
                <w:sz w:val="18"/>
                <w:szCs w:val="18"/>
              </w:rPr>
              <w:t>是否对每一下级模块进行了概要算法说明</w:t>
            </w:r>
          </w:p>
        </w:tc>
      </w:tr>
      <w:tr w14:paraId="2CC50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tcBorders>
            <w:vAlign w:val="top"/>
          </w:tcPr>
          <w:p w14:paraId="5FC1E9B8">
            <w:pPr>
              <w:rPr>
                <w:rFonts w:ascii="Arial"/>
                <w:sz w:val="21"/>
              </w:rPr>
            </w:pPr>
          </w:p>
        </w:tc>
        <w:tc>
          <w:tcPr>
            <w:tcW w:w="7360" w:type="dxa"/>
            <w:tcBorders>
              <w:right w:val="nil"/>
            </w:tcBorders>
            <w:vAlign w:val="top"/>
          </w:tcPr>
          <w:p w14:paraId="58CA9E4F">
            <w:pPr>
              <w:pStyle w:val="6"/>
              <w:spacing w:before="64" w:line="219" w:lineRule="auto"/>
              <w:ind w:left="55"/>
              <w:rPr>
                <w:sz w:val="18"/>
                <w:szCs w:val="18"/>
              </w:rPr>
            </w:pPr>
            <w:r>
              <w:rPr>
                <w:spacing w:val="-1"/>
                <w:sz w:val="18"/>
                <w:szCs w:val="18"/>
              </w:rPr>
              <w:t>所选择的设计和算法能否描述所有的需求</w:t>
            </w:r>
          </w:p>
        </w:tc>
      </w:tr>
      <w:tr w14:paraId="1AD15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970" w:type="dxa"/>
            <w:vMerge w:val="restart"/>
            <w:tcBorders>
              <w:left w:val="nil"/>
              <w:bottom w:val="nil"/>
            </w:tcBorders>
            <w:vAlign w:val="top"/>
          </w:tcPr>
          <w:p w14:paraId="7A380F7B">
            <w:pPr>
              <w:spacing w:line="293" w:lineRule="auto"/>
              <w:rPr>
                <w:rFonts w:ascii="Arial"/>
                <w:sz w:val="21"/>
              </w:rPr>
            </w:pPr>
          </w:p>
          <w:p w14:paraId="22FF8C49">
            <w:pPr>
              <w:spacing w:line="294" w:lineRule="auto"/>
              <w:rPr>
                <w:rFonts w:ascii="Arial"/>
                <w:sz w:val="21"/>
              </w:rPr>
            </w:pPr>
          </w:p>
          <w:p w14:paraId="204DFEB5">
            <w:pPr>
              <w:spacing w:line="294" w:lineRule="auto"/>
              <w:rPr>
                <w:rFonts w:ascii="Arial"/>
                <w:sz w:val="21"/>
              </w:rPr>
            </w:pPr>
          </w:p>
          <w:p w14:paraId="062285DF">
            <w:pPr>
              <w:pStyle w:val="6"/>
              <w:spacing w:before="58" w:line="221" w:lineRule="auto"/>
              <w:ind w:left="300"/>
              <w:rPr>
                <w:sz w:val="18"/>
                <w:szCs w:val="18"/>
              </w:rPr>
            </w:pPr>
            <w:r>
              <w:rPr>
                <w:spacing w:val="13"/>
                <w:sz w:val="18"/>
                <w:szCs w:val="18"/>
              </w:rPr>
              <w:t>接口</w:t>
            </w:r>
          </w:p>
        </w:tc>
        <w:tc>
          <w:tcPr>
            <w:tcW w:w="7360" w:type="dxa"/>
            <w:tcBorders>
              <w:right w:val="nil"/>
            </w:tcBorders>
            <w:vAlign w:val="top"/>
          </w:tcPr>
          <w:p w14:paraId="39680931">
            <w:pPr>
              <w:pStyle w:val="6"/>
              <w:spacing w:before="53" w:line="219" w:lineRule="auto"/>
              <w:ind w:left="55"/>
              <w:rPr>
                <w:sz w:val="18"/>
                <w:szCs w:val="18"/>
              </w:rPr>
            </w:pPr>
            <w:r>
              <w:rPr>
                <w:spacing w:val="-1"/>
                <w:sz w:val="18"/>
                <w:szCs w:val="18"/>
              </w:rPr>
              <w:t>操作界面的设计是否有为用户考虑</w:t>
            </w:r>
          </w:p>
        </w:tc>
      </w:tr>
      <w:tr w14:paraId="512A9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bottom w:val="nil"/>
            </w:tcBorders>
            <w:vAlign w:val="top"/>
          </w:tcPr>
          <w:p w14:paraId="6DA29AFF">
            <w:pPr>
              <w:rPr>
                <w:rFonts w:ascii="Arial"/>
                <w:sz w:val="21"/>
              </w:rPr>
            </w:pPr>
          </w:p>
        </w:tc>
        <w:tc>
          <w:tcPr>
            <w:tcW w:w="7360" w:type="dxa"/>
            <w:tcBorders>
              <w:right w:val="nil"/>
            </w:tcBorders>
            <w:vAlign w:val="top"/>
          </w:tcPr>
          <w:p w14:paraId="7ED5B56F">
            <w:pPr>
              <w:pStyle w:val="6"/>
              <w:spacing w:before="65" w:line="219" w:lineRule="auto"/>
              <w:ind w:left="55"/>
              <w:rPr>
                <w:sz w:val="18"/>
                <w:szCs w:val="18"/>
              </w:rPr>
            </w:pPr>
            <w:r>
              <w:rPr>
                <w:spacing w:val="-1"/>
                <w:sz w:val="18"/>
                <w:szCs w:val="18"/>
              </w:rPr>
              <w:t>是否已描述界面的功能特性</w:t>
            </w:r>
          </w:p>
        </w:tc>
      </w:tr>
      <w:tr w14:paraId="0BA88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bottom w:val="nil"/>
            </w:tcBorders>
            <w:vAlign w:val="top"/>
          </w:tcPr>
          <w:p w14:paraId="7F1E5483">
            <w:pPr>
              <w:rPr>
                <w:rFonts w:ascii="Arial"/>
                <w:sz w:val="21"/>
              </w:rPr>
            </w:pPr>
          </w:p>
        </w:tc>
        <w:tc>
          <w:tcPr>
            <w:tcW w:w="7360" w:type="dxa"/>
            <w:tcBorders>
              <w:right w:val="nil"/>
            </w:tcBorders>
            <w:vAlign w:val="top"/>
          </w:tcPr>
          <w:p w14:paraId="58CE0A9C">
            <w:pPr>
              <w:pStyle w:val="6"/>
              <w:spacing w:before="65" w:line="219" w:lineRule="auto"/>
              <w:ind w:left="55"/>
              <w:rPr>
                <w:sz w:val="18"/>
                <w:szCs w:val="18"/>
              </w:rPr>
            </w:pPr>
            <w:r>
              <w:rPr>
                <w:spacing w:val="-1"/>
                <w:sz w:val="18"/>
                <w:szCs w:val="18"/>
              </w:rPr>
              <w:t>界面是否有利于问题解决</w:t>
            </w:r>
          </w:p>
        </w:tc>
      </w:tr>
      <w:tr w14:paraId="0CF0B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bottom w:val="nil"/>
            </w:tcBorders>
            <w:vAlign w:val="top"/>
          </w:tcPr>
          <w:p w14:paraId="69D22E70">
            <w:pPr>
              <w:rPr>
                <w:rFonts w:ascii="Arial"/>
                <w:sz w:val="21"/>
              </w:rPr>
            </w:pPr>
          </w:p>
        </w:tc>
        <w:tc>
          <w:tcPr>
            <w:tcW w:w="7360" w:type="dxa"/>
            <w:tcBorders>
              <w:right w:val="nil"/>
            </w:tcBorders>
            <w:vAlign w:val="top"/>
          </w:tcPr>
          <w:p w14:paraId="429F5A7B">
            <w:pPr>
              <w:pStyle w:val="6"/>
              <w:spacing w:before="65" w:line="219" w:lineRule="auto"/>
              <w:ind w:left="55"/>
              <w:rPr>
                <w:sz w:val="18"/>
                <w:szCs w:val="18"/>
              </w:rPr>
            </w:pPr>
            <w:r>
              <w:rPr>
                <w:sz w:val="18"/>
                <w:szCs w:val="18"/>
              </w:rPr>
              <w:t>是否所有界面都互相一致，与其他模块一致，以及和更</w:t>
            </w:r>
            <w:r>
              <w:rPr>
                <w:spacing w:val="-1"/>
                <w:sz w:val="18"/>
                <w:szCs w:val="18"/>
              </w:rPr>
              <w:t>高级别文档中的需求一致</w:t>
            </w:r>
          </w:p>
        </w:tc>
      </w:tr>
      <w:tr w14:paraId="0F8AF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970" w:type="dxa"/>
            <w:vMerge w:val="continue"/>
            <w:tcBorders>
              <w:top w:val="nil"/>
              <w:left w:val="nil"/>
              <w:bottom w:val="nil"/>
            </w:tcBorders>
            <w:vAlign w:val="top"/>
          </w:tcPr>
          <w:p w14:paraId="63549DAD">
            <w:pPr>
              <w:rPr>
                <w:rFonts w:ascii="Arial"/>
                <w:sz w:val="21"/>
              </w:rPr>
            </w:pPr>
          </w:p>
        </w:tc>
        <w:tc>
          <w:tcPr>
            <w:tcW w:w="7360" w:type="dxa"/>
            <w:tcBorders>
              <w:right w:val="nil"/>
            </w:tcBorders>
            <w:vAlign w:val="top"/>
          </w:tcPr>
          <w:p w14:paraId="6CD0C569">
            <w:pPr>
              <w:pStyle w:val="6"/>
              <w:spacing w:before="54" w:line="219" w:lineRule="auto"/>
              <w:ind w:left="55"/>
              <w:rPr>
                <w:sz w:val="18"/>
                <w:szCs w:val="18"/>
              </w:rPr>
            </w:pPr>
            <w:r>
              <w:rPr>
                <w:sz w:val="18"/>
                <w:szCs w:val="18"/>
              </w:rPr>
              <w:t>是否所有的界面都提供了所要求的信息</w:t>
            </w:r>
          </w:p>
        </w:tc>
      </w:tr>
      <w:tr w14:paraId="6AACD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970" w:type="dxa"/>
            <w:vMerge w:val="continue"/>
            <w:tcBorders>
              <w:top w:val="nil"/>
              <w:left w:val="nil"/>
              <w:bottom w:val="nil"/>
            </w:tcBorders>
            <w:vAlign w:val="top"/>
          </w:tcPr>
          <w:p w14:paraId="12C7BF0D">
            <w:pPr>
              <w:rPr>
                <w:rFonts w:ascii="Arial"/>
                <w:sz w:val="21"/>
              </w:rPr>
            </w:pPr>
          </w:p>
        </w:tc>
        <w:tc>
          <w:tcPr>
            <w:tcW w:w="7360" w:type="dxa"/>
            <w:tcBorders>
              <w:right w:val="nil"/>
            </w:tcBorders>
            <w:vAlign w:val="top"/>
          </w:tcPr>
          <w:p w14:paraId="04523127">
            <w:pPr>
              <w:pStyle w:val="6"/>
              <w:spacing w:before="55" w:line="219" w:lineRule="auto"/>
              <w:ind w:left="55"/>
              <w:rPr>
                <w:sz w:val="18"/>
                <w:szCs w:val="18"/>
              </w:rPr>
            </w:pPr>
            <w:r>
              <w:rPr>
                <w:spacing w:val="1"/>
                <w:sz w:val="18"/>
                <w:szCs w:val="18"/>
              </w:rPr>
              <w:t>是否已说明内部各界面之间的关系</w:t>
            </w:r>
          </w:p>
        </w:tc>
      </w:tr>
      <w:tr w14:paraId="4C0C5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970" w:type="dxa"/>
            <w:vMerge w:val="continue"/>
            <w:tcBorders>
              <w:top w:val="nil"/>
              <w:left w:val="nil"/>
            </w:tcBorders>
            <w:vAlign w:val="top"/>
          </w:tcPr>
          <w:p w14:paraId="33E1E330">
            <w:pPr>
              <w:rPr>
                <w:rFonts w:ascii="Arial"/>
                <w:sz w:val="21"/>
              </w:rPr>
            </w:pPr>
          </w:p>
        </w:tc>
        <w:tc>
          <w:tcPr>
            <w:tcW w:w="7360" w:type="dxa"/>
            <w:tcBorders>
              <w:right w:val="nil"/>
            </w:tcBorders>
            <w:vAlign w:val="top"/>
          </w:tcPr>
          <w:p w14:paraId="281088AA">
            <w:pPr>
              <w:pStyle w:val="6"/>
              <w:spacing w:before="55" w:line="219" w:lineRule="auto"/>
              <w:ind w:left="55"/>
              <w:rPr>
                <w:sz w:val="18"/>
                <w:szCs w:val="18"/>
              </w:rPr>
            </w:pPr>
            <w:r>
              <w:rPr>
                <w:sz w:val="18"/>
                <w:szCs w:val="18"/>
              </w:rPr>
              <w:t>界面的数量和复杂程度是否已减少到最小</w:t>
            </w:r>
          </w:p>
        </w:tc>
      </w:tr>
      <w:tr w14:paraId="3D3D9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restart"/>
            <w:tcBorders>
              <w:left w:val="nil"/>
              <w:bottom w:val="nil"/>
            </w:tcBorders>
            <w:vAlign w:val="top"/>
          </w:tcPr>
          <w:p w14:paraId="6A66A47E">
            <w:pPr>
              <w:spacing w:line="295" w:lineRule="auto"/>
              <w:rPr>
                <w:rFonts w:ascii="Arial"/>
                <w:sz w:val="21"/>
              </w:rPr>
            </w:pPr>
          </w:p>
          <w:p w14:paraId="65087EFC">
            <w:pPr>
              <w:pStyle w:val="6"/>
              <w:spacing w:before="59" w:line="220" w:lineRule="auto"/>
              <w:ind w:left="120"/>
              <w:rPr>
                <w:sz w:val="18"/>
                <w:szCs w:val="18"/>
              </w:rPr>
            </w:pPr>
            <w:r>
              <w:rPr>
                <w:spacing w:val="-2"/>
                <w:sz w:val="18"/>
                <w:szCs w:val="18"/>
              </w:rPr>
              <w:t>可维护性</w:t>
            </w:r>
          </w:p>
        </w:tc>
        <w:tc>
          <w:tcPr>
            <w:tcW w:w="7360" w:type="dxa"/>
            <w:tcBorders>
              <w:right w:val="nil"/>
            </w:tcBorders>
            <w:vAlign w:val="top"/>
          </w:tcPr>
          <w:p w14:paraId="571C2531">
            <w:pPr>
              <w:pStyle w:val="6"/>
              <w:spacing w:before="65" w:line="219" w:lineRule="auto"/>
              <w:ind w:left="55"/>
              <w:rPr>
                <w:sz w:val="18"/>
                <w:szCs w:val="18"/>
              </w:rPr>
            </w:pPr>
            <w:r>
              <w:rPr>
                <w:spacing w:val="1"/>
                <w:sz w:val="18"/>
                <w:szCs w:val="18"/>
              </w:rPr>
              <w:t>该设计是否是模块化的</w:t>
            </w:r>
          </w:p>
        </w:tc>
      </w:tr>
      <w:tr w14:paraId="3A43E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bottom w:val="nil"/>
            </w:tcBorders>
            <w:vAlign w:val="top"/>
          </w:tcPr>
          <w:p w14:paraId="5DC67799">
            <w:pPr>
              <w:rPr>
                <w:rFonts w:ascii="Arial"/>
                <w:sz w:val="21"/>
              </w:rPr>
            </w:pPr>
          </w:p>
        </w:tc>
        <w:tc>
          <w:tcPr>
            <w:tcW w:w="7360" w:type="dxa"/>
            <w:tcBorders>
              <w:right w:val="nil"/>
            </w:tcBorders>
            <w:vAlign w:val="top"/>
          </w:tcPr>
          <w:p w14:paraId="56F5A9FE">
            <w:pPr>
              <w:pStyle w:val="6"/>
              <w:spacing w:before="65" w:line="219" w:lineRule="auto"/>
              <w:ind w:left="55"/>
              <w:rPr>
                <w:sz w:val="18"/>
                <w:szCs w:val="18"/>
              </w:rPr>
            </w:pPr>
            <w:r>
              <w:rPr>
                <w:spacing w:val="-1"/>
                <w:sz w:val="18"/>
                <w:szCs w:val="18"/>
              </w:rPr>
              <w:t>这些模块是否具有高内聚度和低耦合度</w:t>
            </w:r>
          </w:p>
        </w:tc>
      </w:tr>
      <w:tr w14:paraId="32326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970" w:type="dxa"/>
            <w:vMerge w:val="continue"/>
            <w:tcBorders>
              <w:top w:val="nil"/>
              <w:left w:val="nil"/>
            </w:tcBorders>
            <w:vAlign w:val="top"/>
          </w:tcPr>
          <w:p w14:paraId="507C2AC4">
            <w:pPr>
              <w:rPr>
                <w:rFonts w:ascii="Arial"/>
                <w:sz w:val="21"/>
              </w:rPr>
            </w:pPr>
          </w:p>
        </w:tc>
        <w:tc>
          <w:tcPr>
            <w:tcW w:w="7360" w:type="dxa"/>
            <w:tcBorders>
              <w:right w:val="nil"/>
            </w:tcBorders>
            <w:vAlign w:val="top"/>
          </w:tcPr>
          <w:p w14:paraId="446C616D">
            <w:pPr>
              <w:pStyle w:val="6"/>
              <w:spacing w:before="55" w:line="219" w:lineRule="auto"/>
              <w:ind w:left="55"/>
              <w:rPr>
                <w:sz w:val="18"/>
                <w:szCs w:val="18"/>
              </w:rPr>
            </w:pPr>
            <w:r>
              <w:rPr>
                <w:sz w:val="18"/>
                <w:szCs w:val="18"/>
              </w:rPr>
              <w:t>是否已经对继承设计、代码或先前选择工具的使用进行了详细说明</w:t>
            </w:r>
          </w:p>
        </w:tc>
      </w:tr>
      <w:tr w14:paraId="40B23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970" w:type="dxa"/>
            <w:tcBorders>
              <w:left w:val="nil"/>
            </w:tcBorders>
            <w:vAlign w:val="top"/>
          </w:tcPr>
          <w:p w14:paraId="68BCE20B">
            <w:pPr>
              <w:pStyle w:val="6"/>
              <w:spacing w:before="57" w:line="218" w:lineRule="auto"/>
              <w:ind w:left="300"/>
              <w:rPr>
                <w:sz w:val="18"/>
                <w:szCs w:val="18"/>
              </w:rPr>
            </w:pPr>
            <w:r>
              <w:rPr>
                <w:spacing w:val="-3"/>
                <w:sz w:val="18"/>
                <w:szCs w:val="18"/>
              </w:rPr>
              <w:t>性能</w:t>
            </w:r>
          </w:p>
        </w:tc>
        <w:tc>
          <w:tcPr>
            <w:tcW w:w="7360" w:type="dxa"/>
            <w:tcBorders>
              <w:right w:val="nil"/>
            </w:tcBorders>
            <w:vAlign w:val="top"/>
          </w:tcPr>
          <w:p w14:paraId="0D34BDE6">
            <w:pPr>
              <w:pStyle w:val="6"/>
              <w:spacing w:before="56" w:line="219" w:lineRule="auto"/>
              <w:ind w:left="55"/>
              <w:rPr>
                <w:sz w:val="18"/>
                <w:szCs w:val="18"/>
              </w:rPr>
            </w:pPr>
            <w:r>
              <w:rPr>
                <w:spacing w:val="1"/>
                <w:sz w:val="18"/>
                <w:szCs w:val="18"/>
              </w:rPr>
              <w:t>主要性能参数是否已被详细说明</w:t>
            </w:r>
          </w:p>
        </w:tc>
      </w:tr>
      <w:tr w14:paraId="12A2E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restart"/>
            <w:tcBorders>
              <w:left w:val="nil"/>
              <w:bottom w:val="nil"/>
            </w:tcBorders>
            <w:vAlign w:val="top"/>
          </w:tcPr>
          <w:p w14:paraId="62D4A158">
            <w:pPr>
              <w:spacing w:line="446" w:lineRule="auto"/>
              <w:rPr>
                <w:rFonts w:ascii="Arial"/>
                <w:sz w:val="21"/>
              </w:rPr>
            </w:pPr>
          </w:p>
          <w:p w14:paraId="24F61BE0">
            <w:pPr>
              <w:pStyle w:val="6"/>
              <w:spacing w:before="58" w:line="221" w:lineRule="auto"/>
              <w:ind w:left="210"/>
              <w:rPr>
                <w:sz w:val="18"/>
                <w:szCs w:val="18"/>
              </w:rPr>
            </w:pPr>
            <w:r>
              <w:rPr>
                <w:spacing w:val="-2"/>
                <w:sz w:val="18"/>
                <w:szCs w:val="18"/>
              </w:rPr>
              <w:t>可靠性</w:t>
            </w:r>
          </w:p>
        </w:tc>
        <w:tc>
          <w:tcPr>
            <w:tcW w:w="7360" w:type="dxa"/>
            <w:tcBorders>
              <w:right w:val="nil"/>
            </w:tcBorders>
            <w:vAlign w:val="top"/>
          </w:tcPr>
          <w:p w14:paraId="0521320B">
            <w:pPr>
              <w:pStyle w:val="6"/>
              <w:spacing w:before="65" w:line="219" w:lineRule="auto"/>
              <w:ind w:left="55"/>
              <w:rPr>
                <w:sz w:val="18"/>
                <w:szCs w:val="18"/>
              </w:rPr>
            </w:pPr>
            <w:r>
              <w:rPr>
                <w:spacing w:val="-1"/>
                <w:sz w:val="18"/>
                <w:szCs w:val="18"/>
              </w:rPr>
              <w:t>该设计是否能够提供错误检测和恢复</w:t>
            </w:r>
          </w:p>
        </w:tc>
      </w:tr>
      <w:tr w14:paraId="6EC8E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970" w:type="dxa"/>
            <w:vMerge w:val="continue"/>
            <w:tcBorders>
              <w:top w:val="nil"/>
              <w:left w:val="nil"/>
              <w:bottom w:val="nil"/>
            </w:tcBorders>
            <w:vAlign w:val="top"/>
          </w:tcPr>
          <w:p w14:paraId="2EA8715C">
            <w:pPr>
              <w:rPr>
                <w:rFonts w:ascii="Arial"/>
                <w:sz w:val="21"/>
              </w:rPr>
            </w:pPr>
          </w:p>
        </w:tc>
        <w:tc>
          <w:tcPr>
            <w:tcW w:w="7360" w:type="dxa"/>
            <w:tcBorders>
              <w:right w:val="nil"/>
            </w:tcBorders>
            <w:vAlign w:val="top"/>
          </w:tcPr>
          <w:p w14:paraId="35A52C2E">
            <w:pPr>
              <w:pStyle w:val="6"/>
              <w:spacing w:before="55" w:line="219" w:lineRule="auto"/>
              <w:ind w:left="55"/>
              <w:rPr>
                <w:sz w:val="18"/>
                <w:szCs w:val="18"/>
              </w:rPr>
            </w:pPr>
            <w:r>
              <w:rPr>
                <w:spacing w:val="-1"/>
                <w:sz w:val="18"/>
                <w:szCs w:val="18"/>
              </w:rPr>
              <w:t>是否已考虑非正常情况</w:t>
            </w:r>
          </w:p>
        </w:tc>
      </w:tr>
      <w:tr w14:paraId="3B368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70" w:type="dxa"/>
            <w:vMerge w:val="continue"/>
            <w:tcBorders>
              <w:top w:val="nil"/>
              <w:left w:val="nil"/>
              <w:bottom w:val="nil"/>
            </w:tcBorders>
            <w:vAlign w:val="top"/>
          </w:tcPr>
          <w:p w14:paraId="15D1D652">
            <w:pPr>
              <w:rPr>
                <w:rFonts w:ascii="Arial"/>
                <w:sz w:val="21"/>
              </w:rPr>
            </w:pPr>
          </w:p>
        </w:tc>
        <w:tc>
          <w:tcPr>
            <w:tcW w:w="7360" w:type="dxa"/>
            <w:tcBorders>
              <w:right w:val="nil"/>
            </w:tcBorders>
            <w:vAlign w:val="top"/>
          </w:tcPr>
          <w:p w14:paraId="5EC19848">
            <w:pPr>
              <w:pStyle w:val="6"/>
              <w:spacing w:before="65" w:line="219" w:lineRule="auto"/>
              <w:ind w:left="55"/>
              <w:rPr>
                <w:sz w:val="18"/>
                <w:szCs w:val="18"/>
              </w:rPr>
            </w:pPr>
            <w:r>
              <w:rPr>
                <w:spacing w:val="-1"/>
                <w:sz w:val="18"/>
                <w:szCs w:val="18"/>
              </w:rPr>
              <w:t>是否考虑了网络安全、数据安全</w:t>
            </w:r>
          </w:p>
        </w:tc>
      </w:tr>
      <w:tr w14:paraId="6FF5A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970" w:type="dxa"/>
            <w:vMerge w:val="continue"/>
            <w:tcBorders>
              <w:top w:val="nil"/>
              <w:left w:val="nil"/>
            </w:tcBorders>
            <w:vAlign w:val="top"/>
          </w:tcPr>
          <w:p w14:paraId="05132D47">
            <w:pPr>
              <w:rPr>
                <w:rFonts w:ascii="Arial"/>
                <w:sz w:val="21"/>
              </w:rPr>
            </w:pPr>
          </w:p>
        </w:tc>
        <w:tc>
          <w:tcPr>
            <w:tcW w:w="7360" w:type="dxa"/>
            <w:tcBorders>
              <w:right w:val="nil"/>
            </w:tcBorders>
            <w:vAlign w:val="top"/>
          </w:tcPr>
          <w:p w14:paraId="369129C8">
            <w:pPr>
              <w:pStyle w:val="6"/>
              <w:spacing w:before="56" w:line="219" w:lineRule="auto"/>
              <w:ind w:left="55"/>
              <w:rPr>
                <w:sz w:val="18"/>
                <w:szCs w:val="18"/>
              </w:rPr>
            </w:pPr>
            <w:r>
              <w:rPr>
                <w:sz w:val="18"/>
                <w:szCs w:val="18"/>
              </w:rPr>
              <w:t>是否满足该系统进行集成时所遵守的约定</w:t>
            </w:r>
          </w:p>
        </w:tc>
      </w:tr>
      <w:tr w14:paraId="03418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970" w:type="dxa"/>
            <w:vMerge w:val="restart"/>
            <w:tcBorders>
              <w:left w:val="nil"/>
              <w:bottom w:val="nil"/>
            </w:tcBorders>
            <w:vAlign w:val="top"/>
          </w:tcPr>
          <w:p w14:paraId="01D887F2">
            <w:pPr>
              <w:pStyle w:val="6"/>
              <w:spacing w:before="207" w:line="221" w:lineRule="auto"/>
              <w:ind w:left="210"/>
              <w:rPr>
                <w:sz w:val="18"/>
                <w:szCs w:val="18"/>
              </w:rPr>
            </w:pPr>
            <w:r>
              <w:rPr>
                <w:spacing w:val="2"/>
                <w:sz w:val="18"/>
                <w:szCs w:val="18"/>
              </w:rPr>
              <w:t>易测性</w:t>
            </w:r>
          </w:p>
        </w:tc>
        <w:tc>
          <w:tcPr>
            <w:tcW w:w="7360" w:type="dxa"/>
            <w:tcBorders>
              <w:right w:val="nil"/>
            </w:tcBorders>
            <w:vAlign w:val="top"/>
          </w:tcPr>
          <w:p w14:paraId="5E702F24">
            <w:pPr>
              <w:pStyle w:val="6"/>
              <w:spacing w:before="56" w:line="218" w:lineRule="auto"/>
              <w:ind w:left="55"/>
              <w:rPr>
                <w:sz w:val="18"/>
                <w:szCs w:val="18"/>
              </w:rPr>
            </w:pPr>
            <w:r>
              <w:rPr>
                <w:sz w:val="18"/>
                <w:szCs w:val="18"/>
              </w:rPr>
              <w:t>是否能够对该系统进行测试、演示、分析或检查来说明它是满足需求的</w:t>
            </w:r>
          </w:p>
        </w:tc>
      </w:tr>
      <w:tr w14:paraId="1BAC3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970" w:type="dxa"/>
            <w:vMerge w:val="continue"/>
            <w:tcBorders>
              <w:top w:val="nil"/>
              <w:left w:val="nil"/>
            </w:tcBorders>
            <w:vAlign w:val="top"/>
          </w:tcPr>
          <w:p w14:paraId="358D3B63">
            <w:pPr>
              <w:rPr>
                <w:rFonts w:ascii="Arial"/>
                <w:sz w:val="21"/>
              </w:rPr>
            </w:pPr>
          </w:p>
        </w:tc>
        <w:tc>
          <w:tcPr>
            <w:tcW w:w="7360" w:type="dxa"/>
            <w:tcBorders>
              <w:right w:val="nil"/>
            </w:tcBorders>
            <w:vAlign w:val="top"/>
          </w:tcPr>
          <w:p w14:paraId="47DFA0A3">
            <w:pPr>
              <w:pStyle w:val="6"/>
              <w:spacing w:before="67" w:line="219" w:lineRule="auto"/>
              <w:ind w:left="55"/>
              <w:rPr>
                <w:sz w:val="18"/>
                <w:szCs w:val="18"/>
              </w:rPr>
            </w:pPr>
            <w:r>
              <w:rPr>
                <w:spacing w:val="-1"/>
                <w:sz w:val="18"/>
                <w:szCs w:val="18"/>
              </w:rPr>
              <w:t>该系统是否能用增量型的方法来集成和测试</w:t>
            </w:r>
          </w:p>
        </w:tc>
      </w:tr>
    </w:tbl>
    <w:p w14:paraId="620565E6">
      <w:pPr>
        <w:rPr>
          <w:rFonts w:ascii="Arial"/>
          <w:sz w:val="21"/>
        </w:rPr>
      </w:pPr>
    </w:p>
    <w:p w14:paraId="108ACF55">
      <w:pPr>
        <w:rPr>
          <w:rFonts w:ascii="Arial" w:hAnsi="Arial" w:eastAsia="Arial" w:cs="Arial"/>
          <w:sz w:val="21"/>
          <w:szCs w:val="21"/>
        </w:rPr>
        <w:sectPr>
          <w:pgSz w:w="10280" w:h="13280"/>
          <w:pgMar w:top="350" w:right="583" w:bottom="400" w:left="1139" w:header="0" w:footer="0" w:gutter="0"/>
          <w:cols w:space="720" w:num="1"/>
        </w:sectPr>
      </w:pPr>
    </w:p>
    <w:p w14:paraId="323C41F4">
      <w:pPr>
        <w:pStyle w:val="2"/>
        <w:rPr>
          <w:sz w:val="20"/>
          <w:szCs w:val="20"/>
        </w:rPr>
      </w:pPr>
      <w:r>
        <w:rPr>
          <w:rFonts w:ascii="Times New Roman" w:hAnsi="Times New Roman" w:eastAsia="Times New Roman" w:cs="Times New Roman"/>
          <w:b/>
          <w:bCs/>
          <w:spacing w:val="-3"/>
          <w:position w:val="1"/>
          <w:sz w:val="17"/>
          <w:szCs w:val="17"/>
        </w:rPr>
        <w:t>510</w:t>
      </w:r>
      <w:r>
        <w:rPr>
          <w:rFonts w:ascii="Times New Roman" w:hAnsi="Times New Roman" w:eastAsia="Times New Roman" w:cs="Times New Roman"/>
          <w:b/>
          <w:bCs/>
          <w:spacing w:val="12"/>
          <w:w w:val="102"/>
          <w:position w:val="1"/>
          <w:sz w:val="17"/>
          <w:szCs w:val="17"/>
        </w:rPr>
        <w:t xml:space="preserve">  </w:t>
      </w:r>
      <w:r>
        <w:rPr>
          <w:position w:val="-11"/>
          <w:sz w:val="17"/>
          <w:szCs w:val="17"/>
        </w:rPr>
        <w:drawing>
          <wp:inline distT="0" distB="0" distL="0" distR="0">
            <wp:extent cx="285750" cy="247015"/>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320"/>
                    <a:stretch>
                      <a:fillRect/>
                    </a:stretch>
                  </pic:blipFill>
                  <pic:spPr>
                    <a:xfrm>
                      <a:off x="0" y="0"/>
                      <a:ext cx="285754" cy="247619"/>
                    </a:xfrm>
                    <a:prstGeom prst="rect">
                      <a:avLst/>
                    </a:prstGeom>
                  </pic:spPr>
                </pic:pic>
              </a:graphicData>
            </a:graphic>
          </wp:inline>
        </w:drawing>
      </w:r>
      <w:r>
        <w:rPr>
          <w:rFonts w:ascii="Times New Roman" w:hAnsi="Times New Roman" w:eastAsia="Times New Roman" w:cs="Times New Roman"/>
          <w:b/>
          <w:bCs/>
          <w:spacing w:val="14"/>
          <w:position w:val="1"/>
          <w:sz w:val="17"/>
          <w:szCs w:val="17"/>
        </w:rPr>
        <w:t xml:space="preserve">   </w:t>
      </w:r>
      <w:r>
        <w:rPr>
          <w:spacing w:val="-3"/>
          <w:sz w:val="20"/>
          <w:szCs w:val="20"/>
        </w:rPr>
        <w:t>信息系统监理师教程(第2版)</w:t>
      </w:r>
    </w:p>
    <w:p w14:paraId="16829F96">
      <w:pPr>
        <w:spacing w:line="252" w:lineRule="auto"/>
        <w:rPr>
          <w:rFonts w:ascii="Arial"/>
          <w:sz w:val="21"/>
        </w:rPr>
      </w:pPr>
    </w:p>
    <w:p w14:paraId="6489830A">
      <w:pPr>
        <w:pStyle w:val="2"/>
        <w:spacing w:before="65" w:line="220" w:lineRule="auto"/>
        <w:jc w:val="right"/>
        <w:rPr>
          <w:sz w:val="20"/>
          <w:szCs w:val="20"/>
        </w:rPr>
      </w:pPr>
      <w:r>
        <w:rPr>
          <w:spacing w:val="-2"/>
          <w:sz w:val="20"/>
          <w:szCs w:val="20"/>
        </w:rPr>
        <w:t>(续表)</w:t>
      </w:r>
    </w:p>
    <w:p w14:paraId="45272F50">
      <w:pPr>
        <w:spacing w:line="57" w:lineRule="exact"/>
      </w:pPr>
    </w:p>
    <w:tbl>
      <w:tblPr>
        <w:tblStyle w:val="5"/>
        <w:tblW w:w="8320" w:type="dxa"/>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0"/>
        <w:gridCol w:w="7350"/>
      </w:tblGrid>
      <w:tr w14:paraId="1AD9C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970" w:type="dxa"/>
            <w:tcBorders>
              <w:left w:val="nil"/>
            </w:tcBorders>
            <w:vAlign w:val="top"/>
          </w:tcPr>
          <w:p w14:paraId="33577EBF">
            <w:pPr>
              <w:pStyle w:val="6"/>
              <w:spacing w:before="60" w:line="219" w:lineRule="auto"/>
              <w:ind w:left="102"/>
            </w:pPr>
            <w:r>
              <w:rPr>
                <w:b/>
                <w:bCs/>
                <w:spacing w:val="5"/>
              </w:rPr>
              <w:t>检查类目</w:t>
            </w:r>
          </w:p>
        </w:tc>
        <w:tc>
          <w:tcPr>
            <w:tcW w:w="7350" w:type="dxa"/>
            <w:tcBorders>
              <w:right w:val="nil"/>
            </w:tcBorders>
            <w:vAlign w:val="top"/>
          </w:tcPr>
          <w:p w14:paraId="442450EF">
            <w:pPr>
              <w:pStyle w:val="6"/>
              <w:spacing w:before="60" w:line="219" w:lineRule="auto"/>
              <w:ind w:left="3317"/>
            </w:pPr>
            <w:r>
              <w:rPr>
                <w:b/>
                <w:bCs/>
                <w:spacing w:val="-4"/>
              </w:rPr>
              <w:t>检查内容</w:t>
            </w:r>
          </w:p>
        </w:tc>
      </w:tr>
      <w:tr w14:paraId="1E7F9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970" w:type="dxa"/>
            <w:vMerge w:val="restart"/>
            <w:tcBorders>
              <w:left w:val="nil"/>
              <w:bottom w:val="nil"/>
            </w:tcBorders>
            <w:vAlign w:val="top"/>
          </w:tcPr>
          <w:p w14:paraId="0E268897">
            <w:pPr>
              <w:spacing w:line="297" w:lineRule="auto"/>
              <w:rPr>
                <w:rFonts w:ascii="Arial"/>
                <w:sz w:val="21"/>
              </w:rPr>
            </w:pPr>
          </w:p>
          <w:p w14:paraId="31BE722F">
            <w:pPr>
              <w:pStyle w:val="6"/>
              <w:spacing w:before="62" w:line="219" w:lineRule="auto"/>
              <w:ind w:left="100"/>
            </w:pPr>
            <w:r>
              <w:rPr>
                <w:spacing w:val="-2"/>
              </w:rPr>
              <w:t>可追溯性</w:t>
            </w:r>
          </w:p>
        </w:tc>
        <w:tc>
          <w:tcPr>
            <w:tcW w:w="7350" w:type="dxa"/>
            <w:tcBorders>
              <w:right w:val="nil"/>
            </w:tcBorders>
            <w:vAlign w:val="top"/>
          </w:tcPr>
          <w:p w14:paraId="3509C9A6">
            <w:pPr>
              <w:pStyle w:val="6"/>
              <w:spacing w:before="49" w:line="219" w:lineRule="auto"/>
              <w:ind w:left="25"/>
            </w:pPr>
            <w:r>
              <w:rPr>
                <w:spacing w:val="-1"/>
              </w:rPr>
              <w:t>是否各部分的设计都能追溯到需求说明书的需求</w:t>
            </w:r>
          </w:p>
        </w:tc>
      </w:tr>
      <w:tr w14:paraId="1DA88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970" w:type="dxa"/>
            <w:vMerge w:val="continue"/>
            <w:tcBorders>
              <w:top w:val="nil"/>
              <w:left w:val="nil"/>
              <w:bottom w:val="nil"/>
            </w:tcBorders>
            <w:vAlign w:val="top"/>
          </w:tcPr>
          <w:p w14:paraId="32DC2172">
            <w:pPr>
              <w:rPr>
                <w:rFonts w:ascii="Arial"/>
                <w:sz w:val="21"/>
              </w:rPr>
            </w:pPr>
          </w:p>
        </w:tc>
        <w:tc>
          <w:tcPr>
            <w:tcW w:w="7350" w:type="dxa"/>
            <w:tcBorders>
              <w:right w:val="nil"/>
            </w:tcBorders>
            <w:vAlign w:val="top"/>
          </w:tcPr>
          <w:p w14:paraId="07F0DC43">
            <w:pPr>
              <w:pStyle w:val="6"/>
              <w:spacing w:before="62" w:line="219" w:lineRule="auto"/>
              <w:ind w:left="25"/>
            </w:pPr>
            <w:r>
              <w:rPr>
                <w:spacing w:val="-1"/>
              </w:rPr>
              <w:t>是否所有的设计决策都能追溯到原来确定的权衡因素</w:t>
            </w:r>
          </w:p>
        </w:tc>
      </w:tr>
      <w:tr w14:paraId="02D7E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970" w:type="dxa"/>
            <w:vMerge w:val="continue"/>
            <w:tcBorders>
              <w:top w:val="nil"/>
              <w:left w:val="nil"/>
            </w:tcBorders>
            <w:vAlign w:val="top"/>
          </w:tcPr>
          <w:p w14:paraId="52256A42">
            <w:pPr>
              <w:rPr>
                <w:rFonts w:ascii="Arial"/>
                <w:sz w:val="21"/>
              </w:rPr>
            </w:pPr>
          </w:p>
        </w:tc>
        <w:tc>
          <w:tcPr>
            <w:tcW w:w="7350" w:type="dxa"/>
            <w:tcBorders>
              <w:right w:val="nil"/>
            </w:tcBorders>
            <w:vAlign w:val="top"/>
          </w:tcPr>
          <w:p w14:paraId="685D0F31">
            <w:pPr>
              <w:pStyle w:val="6"/>
              <w:spacing w:before="54" w:line="219" w:lineRule="auto"/>
              <w:ind w:left="25"/>
            </w:pPr>
            <w:r>
              <w:rPr>
                <w:spacing w:val="-1"/>
              </w:rPr>
              <w:t>所继承设计的已知风险是否已确定和分析</w:t>
            </w:r>
          </w:p>
        </w:tc>
      </w:tr>
    </w:tbl>
    <w:p w14:paraId="0BD630AA">
      <w:pPr>
        <w:pStyle w:val="2"/>
        <w:spacing w:before="221" w:line="252" w:lineRule="auto"/>
        <w:ind w:left="319" w:right="125" w:firstLine="400"/>
        <w:rPr>
          <w:sz w:val="20"/>
          <w:szCs w:val="20"/>
        </w:rPr>
      </w:pPr>
      <w:r>
        <w:rPr>
          <w:spacing w:val="10"/>
          <w:sz w:val="20"/>
          <w:szCs w:val="20"/>
        </w:rPr>
        <w:t>(5)协助业主单位以审核、确认、联合评审等方式对系统概要(结构)设计进行评</w:t>
      </w:r>
      <w:r>
        <w:rPr>
          <w:spacing w:val="9"/>
          <w:sz w:val="20"/>
          <w:szCs w:val="20"/>
        </w:rPr>
        <w:t>价。监</w:t>
      </w:r>
      <w:r>
        <w:rPr>
          <w:sz w:val="20"/>
          <w:szCs w:val="20"/>
        </w:rPr>
        <w:t xml:space="preserve"> </w:t>
      </w:r>
      <w:r>
        <w:rPr>
          <w:spacing w:val="6"/>
          <w:sz w:val="20"/>
          <w:szCs w:val="20"/>
        </w:rPr>
        <w:t>理在概要(结构)设计评价时应遵守如下准则：</w:t>
      </w:r>
    </w:p>
    <w:p w14:paraId="51BD4FE3">
      <w:pPr>
        <w:pStyle w:val="2"/>
        <w:spacing w:before="95" w:line="219" w:lineRule="auto"/>
        <w:ind w:left="719"/>
        <w:rPr>
          <w:sz w:val="20"/>
          <w:szCs w:val="20"/>
        </w:rPr>
      </w:pPr>
      <w:r>
        <w:rPr>
          <w:spacing w:val="-4"/>
          <w:sz w:val="20"/>
          <w:szCs w:val="20"/>
        </w:rPr>
        <w:t>●与承建合同的可追溯性、</w:t>
      </w:r>
      <w:r>
        <w:rPr>
          <w:spacing w:val="-17"/>
          <w:sz w:val="20"/>
          <w:szCs w:val="20"/>
        </w:rPr>
        <w:t xml:space="preserve"> </w:t>
      </w:r>
      <w:r>
        <w:rPr>
          <w:spacing w:val="-4"/>
          <w:sz w:val="20"/>
          <w:szCs w:val="20"/>
        </w:rPr>
        <w:t>一致性；</w:t>
      </w:r>
    </w:p>
    <w:p w14:paraId="777810DF">
      <w:pPr>
        <w:pStyle w:val="2"/>
        <w:spacing w:before="73" w:line="219" w:lineRule="auto"/>
        <w:ind w:left="719"/>
        <w:rPr>
          <w:sz w:val="20"/>
          <w:szCs w:val="20"/>
        </w:rPr>
      </w:pPr>
      <w:r>
        <w:rPr>
          <w:spacing w:val="2"/>
          <w:sz w:val="20"/>
          <w:szCs w:val="20"/>
        </w:rPr>
        <w:t>●与业务目标的符合性；</w:t>
      </w:r>
    </w:p>
    <w:p w14:paraId="533EF70D">
      <w:pPr>
        <w:pStyle w:val="2"/>
        <w:spacing w:before="92" w:line="219" w:lineRule="auto"/>
        <w:ind w:left="719"/>
        <w:rPr>
          <w:sz w:val="20"/>
          <w:szCs w:val="20"/>
        </w:rPr>
      </w:pPr>
      <w:r>
        <w:rPr>
          <w:spacing w:val="-4"/>
          <w:sz w:val="20"/>
          <w:szCs w:val="20"/>
        </w:rPr>
        <w:t>●系统需求的可追溯性、</w:t>
      </w:r>
      <w:r>
        <w:rPr>
          <w:spacing w:val="-22"/>
          <w:sz w:val="20"/>
          <w:szCs w:val="20"/>
        </w:rPr>
        <w:t xml:space="preserve"> </w:t>
      </w:r>
      <w:r>
        <w:rPr>
          <w:spacing w:val="-4"/>
          <w:sz w:val="20"/>
          <w:szCs w:val="20"/>
        </w:rPr>
        <w:t>一致性；</w:t>
      </w:r>
    </w:p>
    <w:p w14:paraId="1D574B41">
      <w:pPr>
        <w:pStyle w:val="2"/>
        <w:spacing w:before="93" w:line="219" w:lineRule="auto"/>
        <w:ind w:left="719"/>
        <w:rPr>
          <w:sz w:val="20"/>
          <w:szCs w:val="20"/>
        </w:rPr>
      </w:pPr>
      <w:r>
        <w:rPr>
          <w:sz w:val="20"/>
          <w:szCs w:val="20"/>
        </w:rPr>
        <w:t>●所使用的设计标准和方法的适宜性；</w:t>
      </w:r>
    </w:p>
    <w:p w14:paraId="2D079257">
      <w:pPr>
        <w:pStyle w:val="2"/>
        <w:spacing w:before="83" w:line="219" w:lineRule="auto"/>
        <w:ind w:left="719"/>
        <w:rPr>
          <w:sz w:val="20"/>
          <w:szCs w:val="20"/>
        </w:rPr>
      </w:pPr>
      <w:r>
        <w:rPr>
          <w:sz w:val="20"/>
          <w:szCs w:val="20"/>
        </w:rPr>
        <w:t>●软件项满足指定需求的可行性；</w:t>
      </w:r>
    </w:p>
    <w:p w14:paraId="5E6840B4">
      <w:pPr>
        <w:pStyle w:val="2"/>
        <w:spacing w:before="91" w:line="218" w:lineRule="auto"/>
        <w:ind w:left="719"/>
        <w:rPr>
          <w:sz w:val="20"/>
          <w:szCs w:val="20"/>
        </w:rPr>
      </w:pPr>
      <w:r>
        <w:rPr>
          <w:spacing w:val="1"/>
          <w:sz w:val="20"/>
          <w:szCs w:val="20"/>
        </w:rPr>
        <w:t>●基于信息资源规划和业务指标评价体系的</w:t>
      </w:r>
      <w:r>
        <w:rPr>
          <w:sz w:val="20"/>
          <w:szCs w:val="20"/>
        </w:rPr>
        <w:t>可测试性；</w:t>
      </w:r>
    </w:p>
    <w:p w14:paraId="58B92474">
      <w:pPr>
        <w:pStyle w:val="2"/>
        <w:spacing w:before="96" w:line="219" w:lineRule="auto"/>
        <w:ind w:left="719"/>
        <w:rPr>
          <w:sz w:val="20"/>
          <w:szCs w:val="20"/>
        </w:rPr>
      </w:pPr>
      <w:r>
        <w:rPr>
          <w:spacing w:val="1"/>
          <w:sz w:val="20"/>
          <w:szCs w:val="20"/>
        </w:rPr>
        <w:t>●业务流程再造、业务持续改进、信息资源开发的可行性；</w:t>
      </w:r>
    </w:p>
    <w:p w14:paraId="08DDF881">
      <w:pPr>
        <w:pStyle w:val="2"/>
        <w:spacing w:before="73" w:line="220" w:lineRule="auto"/>
        <w:ind w:left="719"/>
        <w:rPr>
          <w:sz w:val="20"/>
          <w:szCs w:val="20"/>
        </w:rPr>
      </w:pPr>
      <w:r>
        <w:rPr>
          <w:spacing w:val="2"/>
          <w:sz w:val="20"/>
          <w:szCs w:val="20"/>
        </w:rPr>
        <w:t>●运行和维护的可行性。</w:t>
      </w:r>
    </w:p>
    <w:p w14:paraId="34C82BA8">
      <w:pPr>
        <w:pStyle w:val="2"/>
        <w:spacing w:before="91" w:line="219" w:lineRule="auto"/>
        <w:ind w:left="719"/>
        <w:rPr>
          <w:sz w:val="20"/>
          <w:szCs w:val="20"/>
        </w:rPr>
      </w:pPr>
      <w:r>
        <w:rPr>
          <w:spacing w:val="-4"/>
          <w:sz w:val="20"/>
          <w:szCs w:val="20"/>
        </w:rPr>
        <w:t>(6)监督承建单位及时解决系统概要(结构)设计中发现的问</w:t>
      </w:r>
      <w:r>
        <w:rPr>
          <w:spacing w:val="-5"/>
          <w:sz w:val="20"/>
          <w:szCs w:val="20"/>
        </w:rPr>
        <w:t>题和不合格项，并提出监理意见。</w:t>
      </w:r>
    </w:p>
    <w:p w14:paraId="131B07E2">
      <w:pPr>
        <w:pStyle w:val="2"/>
        <w:spacing w:before="158" w:line="222" w:lineRule="auto"/>
        <w:ind w:left="722"/>
        <w:rPr>
          <w:rFonts w:ascii="黑体" w:hAnsi="黑体" w:eastAsia="黑体" w:cs="黑体"/>
          <w:sz w:val="20"/>
          <w:szCs w:val="20"/>
        </w:rPr>
      </w:pPr>
      <w:r>
        <w:rPr>
          <w:b/>
          <w:bCs/>
          <w:color w:val="0085DF"/>
          <w:spacing w:val="-2"/>
          <w:sz w:val="20"/>
          <w:szCs w:val="20"/>
        </w:rPr>
        <w:t>4.</w:t>
      </w:r>
      <w:r>
        <w:rPr>
          <w:rFonts w:ascii="黑体" w:hAnsi="黑体" w:eastAsia="黑体" w:cs="黑体"/>
          <w:b/>
          <w:bCs/>
          <w:color w:val="0085DF"/>
          <w:spacing w:val="-2"/>
          <w:sz w:val="20"/>
          <w:szCs w:val="20"/>
        </w:rPr>
        <w:t>详细设计的监理</w:t>
      </w:r>
    </w:p>
    <w:p w14:paraId="0DC7BB6B">
      <w:pPr>
        <w:pStyle w:val="2"/>
        <w:spacing w:before="143" w:line="219" w:lineRule="auto"/>
        <w:ind w:left="719"/>
        <w:rPr>
          <w:sz w:val="20"/>
          <w:szCs w:val="20"/>
        </w:rPr>
      </w:pPr>
      <w:r>
        <w:rPr>
          <w:spacing w:val="-2"/>
          <w:sz w:val="20"/>
          <w:szCs w:val="20"/>
        </w:rPr>
        <w:t>监理机构应督促承建单位开展详细设计活动。监理内容和要点如下：</w:t>
      </w:r>
    </w:p>
    <w:p w14:paraId="13A4C7F7">
      <w:pPr>
        <w:pStyle w:val="2"/>
        <w:spacing w:before="83" w:line="219" w:lineRule="auto"/>
        <w:ind w:left="719"/>
        <w:rPr>
          <w:sz w:val="20"/>
          <w:szCs w:val="20"/>
        </w:rPr>
      </w:pPr>
      <w:r>
        <w:rPr>
          <w:spacing w:val="2"/>
          <w:sz w:val="20"/>
          <w:szCs w:val="20"/>
        </w:rPr>
        <w:t>(1)督促承建单位按照计划的要求开展软件详细设计活动；</w:t>
      </w:r>
    </w:p>
    <w:p w14:paraId="094039B5">
      <w:pPr>
        <w:pStyle w:val="2"/>
        <w:spacing w:before="64" w:line="219" w:lineRule="auto"/>
        <w:ind w:left="719"/>
        <w:rPr>
          <w:sz w:val="20"/>
          <w:szCs w:val="20"/>
        </w:rPr>
      </w:pPr>
      <w:r>
        <w:rPr>
          <w:spacing w:val="2"/>
          <w:sz w:val="20"/>
          <w:szCs w:val="20"/>
        </w:rPr>
        <w:t>(2)如适用，应要求承建单位提交详细设计文档；</w:t>
      </w:r>
    </w:p>
    <w:p w14:paraId="0E8A9E23">
      <w:pPr>
        <w:pStyle w:val="2"/>
        <w:spacing w:before="92" w:line="219" w:lineRule="auto"/>
        <w:ind w:left="719"/>
        <w:rPr>
          <w:sz w:val="20"/>
          <w:szCs w:val="20"/>
        </w:rPr>
      </w:pPr>
      <w:r>
        <w:rPr>
          <w:spacing w:val="2"/>
          <w:sz w:val="20"/>
          <w:szCs w:val="20"/>
        </w:rPr>
        <w:t>(3)如适用，应检查承建单位编制的接口的详细设计和</w:t>
      </w:r>
      <w:r>
        <w:rPr>
          <w:spacing w:val="1"/>
          <w:sz w:val="20"/>
          <w:szCs w:val="20"/>
        </w:rPr>
        <w:t>数据库的详细设计；</w:t>
      </w:r>
    </w:p>
    <w:p w14:paraId="0A3C7BE4">
      <w:pPr>
        <w:pStyle w:val="2"/>
        <w:spacing w:before="62" w:line="252" w:lineRule="auto"/>
        <w:ind w:left="319" w:right="86" w:firstLine="400"/>
        <w:rPr>
          <w:sz w:val="20"/>
          <w:szCs w:val="20"/>
        </w:rPr>
      </w:pPr>
      <w:r>
        <w:rPr>
          <w:spacing w:val="6"/>
          <w:sz w:val="20"/>
          <w:szCs w:val="20"/>
        </w:rPr>
        <w:t>(4)宜评价软件详细设计和测试需求，评价结果应形成监理意见。监理在详细设</w:t>
      </w:r>
      <w:r>
        <w:rPr>
          <w:spacing w:val="5"/>
          <w:sz w:val="20"/>
          <w:szCs w:val="20"/>
        </w:rPr>
        <w:t>计和测试</w:t>
      </w:r>
      <w:r>
        <w:rPr>
          <w:sz w:val="20"/>
          <w:szCs w:val="20"/>
        </w:rPr>
        <w:t xml:space="preserve"> </w:t>
      </w:r>
      <w:r>
        <w:rPr>
          <w:spacing w:val="-5"/>
          <w:sz w:val="20"/>
          <w:szCs w:val="20"/>
        </w:rPr>
        <w:t>需求评价时应遵守如下准则：</w:t>
      </w:r>
    </w:p>
    <w:p w14:paraId="67EC0BDE">
      <w:pPr>
        <w:pStyle w:val="2"/>
        <w:spacing w:before="75" w:line="219" w:lineRule="auto"/>
        <w:ind w:left="719"/>
        <w:rPr>
          <w:sz w:val="20"/>
          <w:szCs w:val="20"/>
        </w:rPr>
      </w:pPr>
      <w:r>
        <w:rPr>
          <w:sz w:val="20"/>
          <w:szCs w:val="20"/>
        </w:rPr>
        <w:t>●软件各项需求的可追溯性；</w:t>
      </w:r>
    </w:p>
    <w:p w14:paraId="373B06E7">
      <w:pPr>
        <w:pStyle w:val="2"/>
        <w:spacing w:before="83" w:line="219" w:lineRule="auto"/>
        <w:ind w:left="719"/>
        <w:rPr>
          <w:sz w:val="20"/>
          <w:szCs w:val="20"/>
        </w:rPr>
      </w:pPr>
      <w:r>
        <w:rPr>
          <w:spacing w:val="13"/>
          <w:sz w:val="20"/>
          <w:szCs w:val="20"/>
        </w:rPr>
        <w:t>●与概要(结构)设计的一致性；</w:t>
      </w:r>
    </w:p>
    <w:p w14:paraId="4C5A3B1F">
      <w:pPr>
        <w:pStyle w:val="2"/>
        <w:spacing w:before="81" w:line="219" w:lineRule="auto"/>
        <w:ind w:left="719"/>
        <w:rPr>
          <w:sz w:val="20"/>
          <w:szCs w:val="20"/>
        </w:rPr>
      </w:pPr>
      <w:r>
        <w:rPr>
          <w:sz w:val="20"/>
          <w:szCs w:val="20"/>
        </w:rPr>
        <w:t>●所采用的设计方法和标准的适宜性；</w:t>
      </w:r>
    </w:p>
    <w:p w14:paraId="5676E859">
      <w:pPr>
        <w:pStyle w:val="2"/>
        <w:spacing w:before="94" w:line="219" w:lineRule="auto"/>
        <w:ind w:left="719"/>
        <w:rPr>
          <w:sz w:val="20"/>
          <w:szCs w:val="20"/>
        </w:rPr>
      </w:pPr>
      <w:r>
        <w:rPr>
          <w:spacing w:val="1"/>
          <w:sz w:val="20"/>
          <w:szCs w:val="20"/>
        </w:rPr>
        <w:t>●测试的可行性、完备性；</w:t>
      </w:r>
    </w:p>
    <w:p w14:paraId="465BC23A">
      <w:pPr>
        <w:pStyle w:val="2"/>
        <w:spacing w:before="83" w:line="219" w:lineRule="auto"/>
        <w:ind w:left="719"/>
        <w:rPr>
          <w:sz w:val="20"/>
          <w:szCs w:val="20"/>
        </w:rPr>
      </w:pPr>
      <w:r>
        <w:rPr>
          <w:sz w:val="20"/>
          <w:szCs w:val="20"/>
        </w:rPr>
        <w:t>●软件运行和维护的可行性；</w:t>
      </w:r>
    </w:p>
    <w:p w14:paraId="0C7A2CEA">
      <w:pPr>
        <w:pStyle w:val="2"/>
        <w:spacing w:before="83" w:line="219" w:lineRule="auto"/>
        <w:ind w:left="719"/>
        <w:rPr>
          <w:sz w:val="20"/>
          <w:szCs w:val="20"/>
        </w:rPr>
      </w:pPr>
      <w:r>
        <w:rPr>
          <w:spacing w:val="1"/>
          <w:sz w:val="20"/>
          <w:szCs w:val="20"/>
        </w:rPr>
        <w:t>●压力测试对主要指标的验证；</w:t>
      </w:r>
    </w:p>
    <w:p w14:paraId="1F8CB3DF">
      <w:pPr>
        <w:pStyle w:val="2"/>
        <w:spacing w:before="83" w:line="219" w:lineRule="auto"/>
        <w:ind w:left="719"/>
        <w:rPr>
          <w:sz w:val="20"/>
          <w:szCs w:val="20"/>
        </w:rPr>
      </w:pPr>
      <w:r>
        <w:rPr>
          <w:spacing w:val="1"/>
          <w:sz w:val="20"/>
          <w:szCs w:val="20"/>
        </w:rPr>
        <w:t>●回归测试的验证、管控等管理事项。</w:t>
      </w:r>
    </w:p>
    <w:p w14:paraId="22F3EAAB">
      <w:pPr>
        <w:pStyle w:val="2"/>
        <w:spacing w:before="91" w:line="219" w:lineRule="auto"/>
        <w:ind w:left="719"/>
        <w:rPr>
          <w:sz w:val="20"/>
          <w:szCs w:val="20"/>
        </w:rPr>
      </w:pPr>
      <w:r>
        <w:rPr>
          <w:spacing w:val="2"/>
          <w:sz w:val="20"/>
          <w:szCs w:val="20"/>
        </w:rPr>
        <w:t>(5)督促承建单位解决软件详细设计中发现的问题和不合格项，并提出监理意见。</w:t>
      </w:r>
    </w:p>
    <w:p w14:paraId="71B13E00">
      <w:pPr>
        <w:pStyle w:val="2"/>
        <w:spacing w:before="130" w:line="222" w:lineRule="auto"/>
        <w:ind w:left="722"/>
        <w:rPr>
          <w:rFonts w:ascii="黑体" w:hAnsi="黑体" w:eastAsia="黑体" w:cs="黑体"/>
          <w:sz w:val="20"/>
          <w:szCs w:val="20"/>
        </w:rPr>
      </w:pPr>
      <w:r>
        <w:rPr>
          <w:b/>
          <w:bCs/>
          <w:color w:val="0079CA"/>
          <w:spacing w:val="-2"/>
          <w:sz w:val="20"/>
          <w:szCs w:val="20"/>
        </w:rPr>
        <w:t>5.</w:t>
      </w:r>
      <w:r>
        <w:rPr>
          <w:rFonts w:ascii="黑体" w:hAnsi="黑体" w:eastAsia="黑体" w:cs="黑体"/>
          <w:b/>
          <w:bCs/>
          <w:color w:val="0079CA"/>
          <w:spacing w:val="-2"/>
          <w:sz w:val="20"/>
          <w:szCs w:val="20"/>
        </w:rPr>
        <w:t>设计阶段的需求管理</w:t>
      </w:r>
    </w:p>
    <w:p w14:paraId="43CD0586">
      <w:pPr>
        <w:pStyle w:val="2"/>
        <w:spacing w:before="133" w:line="272" w:lineRule="auto"/>
        <w:ind w:left="319" w:right="104" w:firstLine="400"/>
        <w:rPr>
          <w:sz w:val="20"/>
          <w:szCs w:val="20"/>
        </w:rPr>
      </w:pPr>
      <w:r>
        <w:rPr>
          <w:spacing w:val="3"/>
          <w:sz w:val="20"/>
          <w:szCs w:val="20"/>
        </w:rPr>
        <w:t>设计阶段的需求管理主要包括四个过程，即需求获取、需求分析、需求规格编写和需求验</w:t>
      </w:r>
      <w:r>
        <w:rPr>
          <w:sz w:val="20"/>
          <w:szCs w:val="20"/>
        </w:rPr>
        <w:t xml:space="preserve"> </w:t>
      </w:r>
      <w:r>
        <w:rPr>
          <w:spacing w:val="-3"/>
          <w:sz w:val="20"/>
          <w:szCs w:val="20"/>
        </w:rPr>
        <w:t>证。其中，验证需求可采用以下方式进行：</w:t>
      </w:r>
    </w:p>
    <w:p w14:paraId="27DE5589">
      <w:pPr>
        <w:pStyle w:val="2"/>
        <w:spacing w:before="51" w:line="219" w:lineRule="auto"/>
        <w:ind w:left="719"/>
        <w:rPr>
          <w:sz w:val="20"/>
          <w:szCs w:val="20"/>
        </w:rPr>
      </w:pPr>
      <w:r>
        <w:rPr>
          <w:spacing w:val="6"/>
          <w:sz w:val="20"/>
          <w:szCs w:val="20"/>
        </w:rPr>
        <w:t>(1)审查需求文档：对需求文档进行正式审查是保证软件质量的很有效的方法。组</w:t>
      </w:r>
      <w:r>
        <w:rPr>
          <w:spacing w:val="5"/>
          <w:sz w:val="20"/>
          <w:szCs w:val="20"/>
        </w:rPr>
        <w:t>织一个</w:t>
      </w:r>
    </w:p>
    <w:p w14:paraId="5229431E">
      <w:pPr>
        <w:spacing w:line="219" w:lineRule="auto"/>
        <w:rPr>
          <w:sz w:val="20"/>
          <w:szCs w:val="20"/>
        </w:rPr>
        <w:sectPr>
          <w:pgSz w:w="10300" w:h="13350"/>
          <w:pgMar w:top="360" w:right="1026" w:bottom="400" w:left="530" w:header="0" w:footer="0" w:gutter="0"/>
          <w:cols w:space="720" w:num="1"/>
        </w:sectPr>
      </w:pPr>
    </w:p>
    <w:p w14:paraId="14D23AB8">
      <w:pPr>
        <w:pStyle w:val="2"/>
        <w:spacing w:before="10"/>
        <w:jc w:val="right"/>
        <w:rPr>
          <w:sz w:val="20"/>
          <w:szCs w:val="20"/>
        </w:rPr>
      </w:pPr>
      <w:r>
        <w:rPr>
          <w:spacing w:val="-2"/>
          <w:sz w:val="20"/>
          <w:szCs w:val="20"/>
        </w:rPr>
        <w:t>第22章 软件工程监理</w:t>
      </w:r>
      <w:r>
        <w:rPr>
          <w:spacing w:val="6"/>
          <w:sz w:val="20"/>
          <w:szCs w:val="20"/>
        </w:rPr>
        <w:t xml:space="preserve">      </w:t>
      </w:r>
      <w:r>
        <w:rPr>
          <w:rFonts w:ascii="Times New Roman" w:hAnsi="Times New Roman" w:eastAsia="Times New Roman" w:cs="Times New Roman"/>
          <w:spacing w:val="-2"/>
          <w:sz w:val="20"/>
          <w:szCs w:val="20"/>
        </w:rPr>
        <w:t>511</w:t>
      </w:r>
      <w:r>
        <w:rPr>
          <w:rFonts w:ascii="Times New Roman" w:hAnsi="Times New Roman" w:eastAsia="Times New Roman" w:cs="Times New Roman"/>
          <w:spacing w:val="30"/>
          <w:w w:val="101"/>
          <w:sz w:val="20"/>
          <w:szCs w:val="20"/>
        </w:rPr>
        <w:t xml:space="preserve"> </w:t>
      </w:r>
      <w:r>
        <w:rPr>
          <w:position w:val="-5"/>
          <w:sz w:val="20"/>
          <w:szCs w:val="20"/>
        </w:rPr>
        <w:drawing>
          <wp:inline distT="0" distB="0" distL="0" distR="0">
            <wp:extent cx="260350" cy="189865"/>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321"/>
                    <a:stretch>
                      <a:fillRect/>
                    </a:stretch>
                  </pic:blipFill>
                  <pic:spPr>
                    <a:xfrm>
                      <a:off x="0" y="0"/>
                      <a:ext cx="260385" cy="190452"/>
                    </a:xfrm>
                    <a:prstGeom prst="rect">
                      <a:avLst/>
                    </a:prstGeom>
                  </pic:spPr>
                </pic:pic>
              </a:graphicData>
            </a:graphic>
          </wp:inline>
        </w:drawing>
      </w:r>
    </w:p>
    <w:p w14:paraId="422C7A5A">
      <w:pPr>
        <w:spacing w:line="292" w:lineRule="auto"/>
        <w:rPr>
          <w:rFonts w:ascii="Arial"/>
          <w:sz w:val="21"/>
        </w:rPr>
      </w:pPr>
    </w:p>
    <w:p w14:paraId="33B22333">
      <w:pPr>
        <w:pStyle w:val="2"/>
        <w:spacing w:before="65" w:line="292" w:lineRule="auto"/>
        <w:ind w:right="863"/>
        <w:rPr>
          <w:sz w:val="20"/>
          <w:szCs w:val="20"/>
        </w:rPr>
      </w:pPr>
      <w:r>
        <w:rPr>
          <w:spacing w:val="7"/>
          <w:sz w:val="20"/>
          <w:szCs w:val="20"/>
        </w:rPr>
        <w:t>由不同代表(如分析人员、客户、设计人员、测试人员)组成的小组，对需求规格说明书</w:t>
      </w:r>
      <w:r>
        <w:rPr>
          <w:spacing w:val="6"/>
          <w:sz w:val="20"/>
          <w:szCs w:val="20"/>
        </w:rPr>
        <w:t>及相</w:t>
      </w:r>
      <w:r>
        <w:rPr>
          <w:sz w:val="20"/>
          <w:szCs w:val="20"/>
        </w:rPr>
        <w:t xml:space="preserve"> </w:t>
      </w:r>
      <w:r>
        <w:rPr>
          <w:spacing w:val="-2"/>
          <w:sz w:val="20"/>
          <w:szCs w:val="20"/>
        </w:rPr>
        <w:t>关模型进行仔细检查。另外，在需求开发期间所做的非正式评审也是有所裨益的。</w:t>
      </w:r>
    </w:p>
    <w:p w14:paraId="45C7E8C9">
      <w:pPr>
        <w:pStyle w:val="2"/>
        <w:spacing w:before="9" w:line="276" w:lineRule="auto"/>
        <w:ind w:right="833" w:firstLine="389"/>
        <w:rPr>
          <w:sz w:val="20"/>
          <w:szCs w:val="20"/>
        </w:rPr>
      </w:pPr>
      <w:r>
        <w:rPr>
          <w:spacing w:val="5"/>
          <w:sz w:val="20"/>
          <w:szCs w:val="20"/>
        </w:rPr>
        <w:t>(2)依据需求编写监理验证用的测试用例：根据用户需求所要求的产品特性，编制监理开</w:t>
      </w:r>
      <w:r>
        <w:rPr>
          <w:spacing w:val="17"/>
          <w:sz w:val="20"/>
          <w:szCs w:val="20"/>
        </w:rPr>
        <w:t xml:space="preserve"> </w:t>
      </w:r>
      <w:r>
        <w:rPr>
          <w:spacing w:val="3"/>
          <w:sz w:val="20"/>
          <w:szCs w:val="20"/>
        </w:rPr>
        <w:t>展验证测试可能应用的黑盒功能测试用例，确认是否达到了期望的要求。还</w:t>
      </w:r>
      <w:r>
        <w:rPr>
          <w:spacing w:val="2"/>
          <w:sz w:val="20"/>
          <w:szCs w:val="20"/>
        </w:rPr>
        <w:t>可以通过测试用例</w:t>
      </w:r>
      <w:r>
        <w:rPr>
          <w:sz w:val="20"/>
          <w:szCs w:val="20"/>
        </w:rPr>
        <w:t xml:space="preserve"> </w:t>
      </w:r>
      <w:r>
        <w:rPr>
          <w:spacing w:val="3"/>
          <w:sz w:val="20"/>
          <w:szCs w:val="20"/>
        </w:rPr>
        <w:t>追溯回功能需求以确保没有需求被疏忽，并且确保所有测试结果</w:t>
      </w:r>
      <w:r>
        <w:rPr>
          <w:spacing w:val="2"/>
          <w:sz w:val="20"/>
          <w:szCs w:val="20"/>
        </w:rPr>
        <w:t>与测试用例相一致。同时，也</w:t>
      </w:r>
      <w:r>
        <w:rPr>
          <w:sz w:val="20"/>
          <w:szCs w:val="20"/>
        </w:rPr>
        <w:t xml:space="preserve"> </w:t>
      </w:r>
      <w:r>
        <w:rPr>
          <w:spacing w:val="-2"/>
          <w:sz w:val="20"/>
          <w:szCs w:val="20"/>
        </w:rPr>
        <w:t>可使用测试用例验证需求模型的正确性，如对话框图和原</w:t>
      </w:r>
      <w:r>
        <w:rPr>
          <w:spacing w:val="-3"/>
          <w:sz w:val="20"/>
          <w:szCs w:val="20"/>
        </w:rPr>
        <w:t>型等。</w:t>
      </w:r>
    </w:p>
    <w:p w14:paraId="235071B5">
      <w:pPr>
        <w:pStyle w:val="2"/>
        <w:spacing w:before="69" w:line="277" w:lineRule="auto"/>
        <w:ind w:right="831" w:firstLine="389"/>
        <w:rPr>
          <w:sz w:val="20"/>
          <w:szCs w:val="20"/>
        </w:rPr>
      </w:pPr>
      <w:r>
        <w:rPr>
          <w:spacing w:val="11"/>
          <w:sz w:val="20"/>
          <w:szCs w:val="20"/>
        </w:rPr>
        <w:t>(3)敦促编写用户手册：在需求开发早期即可起草一份用户</w:t>
      </w:r>
      <w:r>
        <w:rPr>
          <w:spacing w:val="10"/>
          <w:sz w:val="20"/>
          <w:szCs w:val="20"/>
        </w:rPr>
        <w:t>手册，用它作为需求规格说</w:t>
      </w:r>
      <w:r>
        <w:rPr>
          <w:sz w:val="20"/>
          <w:szCs w:val="20"/>
        </w:rPr>
        <w:t xml:space="preserve"> </w:t>
      </w:r>
      <w:r>
        <w:rPr>
          <w:spacing w:val="8"/>
          <w:sz w:val="20"/>
          <w:szCs w:val="20"/>
        </w:rPr>
        <w:t>明的参考并辅助需求分析。优秀的用户手册要用浅显易懂的语言描述出所</w:t>
      </w:r>
      <w:r>
        <w:rPr>
          <w:spacing w:val="7"/>
          <w:sz w:val="20"/>
          <w:szCs w:val="20"/>
        </w:rPr>
        <w:t>有对用户可见的功</w:t>
      </w:r>
      <w:r>
        <w:rPr>
          <w:sz w:val="20"/>
          <w:szCs w:val="20"/>
        </w:rPr>
        <w:t xml:space="preserve"> </w:t>
      </w:r>
      <w:r>
        <w:rPr>
          <w:spacing w:val="8"/>
          <w:sz w:val="20"/>
          <w:szCs w:val="20"/>
        </w:rPr>
        <w:t>能。而辅助需求(如质量属性、性能需求及对用户不可见的功能)</w:t>
      </w:r>
      <w:r>
        <w:rPr>
          <w:spacing w:val="7"/>
          <w:sz w:val="20"/>
          <w:szCs w:val="20"/>
        </w:rPr>
        <w:t>则在需求规格说明书中予以</w:t>
      </w:r>
      <w:r>
        <w:rPr>
          <w:sz w:val="20"/>
          <w:szCs w:val="20"/>
        </w:rPr>
        <w:t xml:space="preserve"> </w:t>
      </w:r>
      <w:r>
        <w:rPr>
          <w:spacing w:val="-9"/>
          <w:sz w:val="20"/>
          <w:szCs w:val="20"/>
        </w:rPr>
        <w:t>说明。</w:t>
      </w:r>
    </w:p>
    <w:p w14:paraId="6504641D">
      <w:pPr>
        <w:pStyle w:val="2"/>
        <w:spacing w:before="81" w:line="253" w:lineRule="auto"/>
        <w:ind w:right="840" w:firstLine="389"/>
        <w:rPr>
          <w:sz w:val="20"/>
          <w:szCs w:val="20"/>
        </w:rPr>
      </w:pPr>
      <w:r>
        <w:rPr>
          <w:spacing w:val="5"/>
          <w:sz w:val="20"/>
          <w:szCs w:val="20"/>
        </w:rPr>
        <w:t>(4)确定合格的标准：让用户描述什么样的产品才算满足他们的要求和适合他们使用。将</w:t>
      </w:r>
      <w:r>
        <w:rPr>
          <w:spacing w:val="18"/>
          <w:sz w:val="20"/>
          <w:szCs w:val="20"/>
        </w:rPr>
        <w:t xml:space="preserve"> </w:t>
      </w:r>
      <w:r>
        <w:rPr>
          <w:spacing w:val="-2"/>
          <w:sz w:val="20"/>
          <w:szCs w:val="20"/>
        </w:rPr>
        <w:t>合格的测试建立在使用情景描述或使用实例的基础之上。</w:t>
      </w:r>
    </w:p>
    <w:p w14:paraId="3AE4115A">
      <w:pPr>
        <w:spacing w:before="64" w:line="282" w:lineRule="auto"/>
        <w:ind w:right="749" w:firstLine="289"/>
        <w:jc w:val="both"/>
        <w:rPr>
          <w:rFonts w:ascii="楷体" w:hAnsi="楷体" w:eastAsia="楷体" w:cs="楷体"/>
          <w:sz w:val="20"/>
          <w:szCs w:val="20"/>
        </w:rPr>
      </w:pPr>
      <w:r>
        <w:rPr>
          <w:rFonts w:ascii="黑体" w:hAnsi="黑体" w:eastAsia="黑体" w:cs="黑体"/>
          <w:spacing w:val="11"/>
          <w:sz w:val="20"/>
          <w:szCs w:val="20"/>
        </w:rPr>
        <w:t>【案例2】</w:t>
      </w:r>
      <w:r>
        <w:rPr>
          <w:rFonts w:ascii="楷体" w:hAnsi="楷体" w:eastAsia="楷体" w:cs="楷体"/>
          <w:spacing w:val="11"/>
          <w:sz w:val="20"/>
          <w:szCs w:val="20"/>
        </w:rPr>
        <w:t>在案例1的基础上，监理机构需进行必要的软件需求管理等工作，</w:t>
      </w:r>
      <w:r>
        <w:rPr>
          <w:rFonts w:ascii="楷体" w:hAnsi="楷体" w:eastAsia="楷体" w:cs="楷体"/>
          <w:spacing w:val="10"/>
          <w:sz w:val="20"/>
          <w:szCs w:val="20"/>
        </w:rPr>
        <w:t>把控需求调</w:t>
      </w:r>
      <w:r>
        <w:rPr>
          <w:rFonts w:ascii="楷体" w:hAnsi="楷体" w:eastAsia="楷体" w:cs="楷体"/>
          <w:sz w:val="20"/>
          <w:szCs w:val="20"/>
        </w:rPr>
        <w:t xml:space="preserve">  </w:t>
      </w:r>
      <w:r>
        <w:rPr>
          <w:rFonts w:ascii="楷体" w:hAnsi="楷体" w:eastAsia="楷体" w:cs="楷体"/>
          <w:spacing w:val="3"/>
          <w:sz w:val="20"/>
          <w:szCs w:val="20"/>
        </w:rPr>
        <w:t>研、需求确认和需求成果文档。其中，需求调研的用户主要包含参</w:t>
      </w:r>
      <w:r>
        <w:rPr>
          <w:rFonts w:ascii="楷体" w:hAnsi="楷体" w:eastAsia="楷体" w:cs="楷体"/>
          <w:spacing w:val="2"/>
          <w:sz w:val="20"/>
          <w:szCs w:val="20"/>
        </w:rPr>
        <w:t>保个人、参保单位、业务经</w:t>
      </w:r>
      <w:r>
        <w:rPr>
          <w:rFonts w:ascii="楷体" w:hAnsi="楷体" w:eastAsia="楷体" w:cs="楷体"/>
          <w:sz w:val="20"/>
          <w:szCs w:val="20"/>
        </w:rPr>
        <w:t xml:space="preserve">  </w:t>
      </w:r>
      <w:r>
        <w:rPr>
          <w:rFonts w:ascii="楷体" w:hAnsi="楷体" w:eastAsia="楷体" w:cs="楷体"/>
          <w:spacing w:val="3"/>
          <w:sz w:val="20"/>
          <w:szCs w:val="20"/>
        </w:rPr>
        <w:t>办人员、市区人社局管理人员、上级领导和系统运维人员等六类人员，各类人员的需求调研内</w:t>
      </w:r>
      <w:r>
        <w:rPr>
          <w:rFonts w:ascii="楷体" w:hAnsi="楷体" w:eastAsia="楷体" w:cs="楷体"/>
          <w:spacing w:val="9"/>
          <w:sz w:val="20"/>
          <w:szCs w:val="20"/>
        </w:rPr>
        <w:t xml:space="preserve"> </w:t>
      </w:r>
      <w:r>
        <w:rPr>
          <w:rFonts w:ascii="楷体" w:hAnsi="楷体" w:eastAsia="楷体" w:cs="楷体"/>
          <w:spacing w:val="5"/>
          <w:sz w:val="20"/>
          <w:szCs w:val="20"/>
        </w:rPr>
        <w:t>容不一致，需求确认的环节涉及的用户多。监理机构通过实践，总结出需求确认</w:t>
      </w:r>
      <w:r>
        <w:rPr>
          <w:rFonts w:ascii="楷体" w:hAnsi="楷体" w:eastAsia="楷体" w:cs="楷体"/>
          <w:spacing w:val="4"/>
          <w:sz w:val="20"/>
          <w:szCs w:val="20"/>
        </w:rPr>
        <w:t>的监理要点。</w:t>
      </w:r>
      <w:r>
        <w:rPr>
          <w:rFonts w:ascii="楷体" w:hAnsi="楷体" w:eastAsia="楷体" w:cs="楷体"/>
          <w:sz w:val="20"/>
          <w:szCs w:val="20"/>
        </w:rPr>
        <w:t xml:space="preserve"> </w:t>
      </w:r>
      <w:r>
        <w:rPr>
          <w:rFonts w:ascii="楷体" w:hAnsi="楷体" w:eastAsia="楷体" w:cs="楷体"/>
          <w:spacing w:val="-5"/>
          <w:sz w:val="20"/>
          <w:szCs w:val="20"/>
        </w:rPr>
        <w:t>提供的参考如下：</w:t>
      </w:r>
    </w:p>
    <w:p w14:paraId="1A6A531B">
      <w:pPr>
        <w:spacing w:before="66" w:line="223" w:lineRule="auto"/>
        <w:ind w:left="389"/>
        <w:rPr>
          <w:rFonts w:ascii="楷体" w:hAnsi="楷体" w:eastAsia="楷体" w:cs="楷体"/>
          <w:sz w:val="20"/>
          <w:szCs w:val="20"/>
        </w:rPr>
      </w:pPr>
      <w:r>
        <w:rPr>
          <w:rFonts w:ascii="楷体" w:hAnsi="楷体" w:eastAsia="楷体" w:cs="楷体"/>
          <w:spacing w:val="1"/>
          <w:sz w:val="20"/>
          <w:szCs w:val="20"/>
        </w:rPr>
        <w:t>●需求确认活动应明确要确认的内容、确认方式、责任人、进度安排等；</w:t>
      </w:r>
    </w:p>
    <w:p w14:paraId="115808C5">
      <w:pPr>
        <w:spacing w:before="81" w:line="225" w:lineRule="auto"/>
        <w:ind w:left="389"/>
        <w:rPr>
          <w:rFonts w:ascii="楷体" w:hAnsi="楷体" w:eastAsia="楷体" w:cs="楷体"/>
          <w:sz w:val="20"/>
          <w:szCs w:val="20"/>
        </w:rPr>
      </w:pPr>
      <w:r>
        <w:rPr>
          <w:rFonts w:ascii="楷体" w:hAnsi="楷体" w:eastAsia="楷体" w:cs="楷体"/>
          <w:spacing w:val="1"/>
          <w:sz w:val="20"/>
          <w:szCs w:val="20"/>
        </w:rPr>
        <w:t>●积极协调业主单位和承建单位的确认过程；</w:t>
      </w:r>
    </w:p>
    <w:p w14:paraId="2792F294">
      <w:pPr>
        <w:spacing w:before="71" w:line="220" w:lineRule="auto"/>
        <w:ind w:left="389"/>
        <w:rPr>
          <w:rFonts w:ascii="楷体" w:hAnsi="楷体" w:eastAsia="楷体" w:cs="楷体"/>
          <w:sz w:val="20"/>
          <w:szCs w:val="20"/>
        </w:rPr>
      </w:pPr>
      <w:r>
        <w:rPr>
          <w:rFonts w:ascii="楷体" w:hAnsi="楷体" w:eastAsia="楷体" w:cs="楷体"/>
          <w:spacing w:val="1"/>
          <w:sz w:val="20"/>
          <w:szCs w:val="20"/>
        </w:rPr>
        <w:t>●确认过程和结果要形成文档，避免后续引起争执。</w:t>
      </w:r>
    </w:p>
    <w:p w14:paraId="6D677A41">
      <w:pPr>
        <w:pStyle w:val="2"/>
        <w:spacing w:before="89" w:line="277" w:lineRule="auto"/>
        <w:ind w:right="821" w:firstLine="389"/>
        <w:jc w:val="both"/>
        <w:rPr>
          <w:sz w:val="20"/>
          <w:szCs w:val="20"/>
        </w:rPr>
      </w:pPr>
      <w:r>
        <w:rPr>
          <w:spacing w:val="4"/>
          <w:sz w:val="20"/>
          <w:szCs w:val="20"/>
        </w:rPr>
        <w:t>在此基础上输出软件需求规格说明书，据此进</w:t>
      </w:r>
      <w:r>
        <w:rPr>
          <w:spacing w:val="3"/>
          <w:sz w:val="20"/>
          <w:szCs w:val="20"/>
        </w:rPr>
        <w:t>行下一步的软件设计工作，因此监理单位应</w:t>
      </w:r>
      <w:r>
        <w:rPr>
          <w:sz w:val="20"/>
          <w:szCs w:val="20"/>
        </w:rPr>
        <w:t xml:space="preserve"> </w:t>
      </w:r>
      <w:r>
        <w:rPr>
          <w:spacing w:val="3"/>
          <w:sz w:val="20"/>
          <w:szCs w:val="20"/>
        </w:rPr>
        <w:t>组织承建单位对需求规格说明书进行全面检查。具</w:t>
      </w:r>
      <w:r>
        <w:rPr>
          <w:spacing w:val="2"/>
          <w:sz w:val="20"/>
          <w:szCs w:val="20"/>
        </w:rPr>
        <w:t>体按照表22-2需求规格说明书检查表中的清</w:t>
      </w:r>
      <w:r>
        <w:rPr>
          <w:sz w:val="20"/>
          <w:szCs w:val="20"/>
        </w:rPr>
        <w:t xml:space="preserve"> </w:t>
      </w:r>
      <w:r>
        <w:rPr>
          <w:spacing w:val="-2"/>
          <w:sz w:val="20"/>
          <w:szCs w:val="20"/>
        </w:rPr>
        <w:t>晰性、完整性、依从性、一致性、可行性和可管理性进行审查。</w:t>
      </w:r>
    </w:p>
    <w:p w14:paraId="4FB2E9CC">
      <w:pPr>
        <w:spacing w:line="252" w:lineRule="auto"/>
        <w:rPr>
          <w:rFonts w:ascii="Arial"/>
          <w:sz w:val="21"/>
        </w:rPr>
      </w:pPr>
    </w:p>
    <w:p w14:paraId="04552664">
      <w:pPr>
        <w:pStyle w:val="2"/>
        <w:spacing w:before="94" w:line="222" w:lineRule="auto"/>
        <w:ind w:left="3"/>
        <w:rPr>
          <w:rFonts w:ascii="黑体" w:hAnsi="黑体" w:eastAsia="黑体" w:cs="黑体"/>
          <w:sz w:val="29"/>
          <w:szCs w:val="29"/>
        </w:rPr>
      </w:pPr>
      <w:r>
        <w:rPr>
          <w:b/>
          <w:bCs/>
          <w:color w:val="0071E3"/>
          <w:spacing w:val="-13"/>
          <w:sz w:val="29"/>
          <w:szCs w:val="29"/>
        </w:rPr>
        <w:t>22.4</w:t>
      </w:r>
      <w:r>
        <w:rPr>
          <w:color w:val="0071E3"/>
          <w:spacing w:val="141"/>
          <w:sz w:val="29"/>
          <w:szCs w:val="29"/>
        </w:rPr>
        <w:t xml:space="preserve"> </w:t>
      </w:r>
      <w:r>
        <w:rPr>
          <w:rFonts w:ascii="黑体" w:hAnsi="黑体" w:eastAsia="黑体" w:cs="黑体"/>
          <w:b/>
          <w:bCs/>
          <w:color w:val="0071E3"/>
          <w:spacing w:val="-13"/>
          <w:sz w:val="29"/>
          <w:szCs w:val="29"/>
        </w:rPr>
        <w:t>实施阶段监理工作</w:t>
      </w:r>
    </w:p>
    <w:p w14:paraId="03758C39">
      <w:pPr>
        <w:pStyle w:val="2"/>
        <w:spacing w:before="273" w:line="219" w:lineRule="auto"/>
        <w:ind w:left="389"/>
        <w:rPr>
          <w:sz w:val="20"/>
          <w:szCs w:val="20"/>
        </w:rPr>
      </w:pPr>
      <w:r>
        <w:rPr>
          <w:spacing w:val="-1"/>
          <w:sz w:val="20"/>
          <w:szCs w:val="20"/>
        </w:rPr>
        <w:t>本节重点介绍监理单位在软件工程实施阶段需要执行的监理活动和主要监理内</w:t>
      </w:r>
      <w:r>
        <w:rPr>
          <w:spacing w:val="-2"/>
          <w:sz w:val="20"/>
          <w:szCs w:val="20"/>
        </w:rPr>
        <w:t>容。</w:t>
      </w:r>
    </w:p>
    <w:p w14:paraId="2CF44102">
      <w:pPr>
        <w:pStyle w:val="2"/>
        <w:spacing w:before="193" w:line="220" w:lineRule="auto"/>
        <w:ind w:left="2"/>
        <w:rPr>
          <w:sz w:val="26"/>
          <w:szCs w:val="26"/>
        </w:rPr>
      </w:pPr>
      <w:r>
        <w:rPr>
          <w:b/>
          <w:bCs/>
          <w:color w:val="0074E8"/>
          <w:spacing w:val="-23"/>
          <w:sz w:val="26"/>
          <w:szCs w:val="26"/>
        </w:rPr>
        <w:t>22.4.1</w:t>
      </w:r>
      <w:r>
        <w:rPr>
          <w:color w:val="0074E8"/>
          <w:spacing w:val="82"/>
          <w:sz w:val="26"/>
          <w:szCs w:val="26"/>
        </w:rPr>
        <w:t xml:space="preserve"> </w:t>
      </w:r>
      <w:r>
        <w:rPr>
          <w:b/>
          <w:bCs/>
          <w:color w:val="0074E8"/>
          <w:spacing w:val="-23"/>
          <w:sz w:val="26"/>
          <w:szCs w:val="26"/>
        </w:rPr>
        <w:t>监理活动</w:t>
      </w:r>
    </w:p>
    <w:p w14:paraId="226EB9FC">
      <w:pPr>
        <w:pStyle w:val="2"/>
        <w:spacing w:before="181" w:line="219" w:lineRule="auto"/>
        <w:ind w:left="389"/>
        <w:rPr>
          <w:sz w:val="20"/>
          <w:szCs w:val="20"/>
        </w:rPr>
      </w:pPr>
      <w:r>
        <w:rPr>
          <w:spacing w:val="-3"/>
          <w:sz w:val="20"/>
          <w:szCs w:val="20"/>
        </w:rPr>
        <w:t>软件工程实施阶段的主要监理活动如下：</w:t>
      </w:r>
    </w:p>
    <w:p w14:paraId="22CB3E64">
      <w:pPr>
        <w:pStyle w:val="2"/>
        <w:spacing w:before="52" w:line="262" w:lineRule="auto"/>
        <w:ind w:right="841" w:firstLine="389"/>
        <w:rPr>
          <w:sz w:val="20"/>
          <w:szCs w:val="20"/>
        </w:rPr>
      </w:pPr>
      <w:r>
        <w:rPr>
          <w:spacing w:val="5"/>
          <w:sz w:val="20"/>
          <w:szCs w:val="20"/>
        </w:rPr>
        <w:t>(1)督促承建单位开展编码、测试、系统部署活动，提交详细的、符合承建合同及项目计</w:t>
      </w:r>
      <w:r>
        <w:rPr>
          <w:spacing w:val="17"/>
          <w:sz w:val="20"/>
          <w:szCs w:val="20"/>
        </w:rPr>
        <w:t xml:space="preserve"> </w:t>
      </w:r>
      <w:r>
        <w:rPr>
          <w:spacing w:val="-4"/>
          <w:sz w:val="20"/>
          <w:szCs w:val="20"/>
        </w:rPr>
        <w:t>划的阶段计划，并按计划开展工作；</w:t>
      </w:r>
    </w:p>
    <w:p w14:paraId="22E86D62">
      <w:pPr>
        <w:pStyle w:val="2"/>
        <w:spacing w:before="53" w:line="262" w:lineRule="auto"/>
        <w:ind w:right="834" w:firstLine="389"/>
        <w:rPr>
          <w:sz w:val="20"/>
          <w:szCs w:val="20"/>
        </w:rPr>
      </w:pPr>
      <w:r>
        <w:rPr>
          <w:spacing w:val="6"/>
          <w:sz w:val="20"/>
          <w:szCs w:val="20"/>
        </w:rPr>
        <w:t>(2)对软件编码、测试的过程和成果进行检查，促使</w:t>
      </w:r>
      <w:r>
        <w:rPr>
          <w:spacing w:val="5"/>
          <w:sz w:val="20"/>
          <w:szCs w:val="20"/>
        </w:rPr>
        <w:t>软件编码及测试符合相关技术标准的</w:t>
      </w:r>
      <w:r>
        <w:rPr>
          <w:sz w:val="20"/>
          <w:szCs w:val="20"/>
        </w:rPr>
        <w:t xml:space="preserve"> </w:t>
      </w:r>
      <w:r>
        <w:rPr>
          <w:spacing w:val="-4"/>
          <w:sz w:val="20"/>
          <w:szCs w:val="20"/>
        </w:rPr>
        <w:t>要求，保证软件产品的质量；</w:t>
      </w:r>
    </w:p>
    <w:p w14:paraId="5B540125">
      <w:pPr>
        <w:pStyle w:val="2"/>
        <w:spacing w:before="22" w:line="268" w:lineRule="auto"/>
        <w:ind w:right="840" w:firstLine="389"/>
        <w:rPr>
          <w:sz w:val="20"/>
          <w:szCs w:val="20"/>
        </w:rPr>
      </w:pPr>
      <w:r>
        <w:rPr>
          <w:spacing w:val="5"/>
          <w:sz w:val="20"/>
          <w:szCs w:val="20"/>
        </w:rPr>
        <w:t>(3)监督承建单位的单元测试、集成测试和系统测试情况，验证软件符合系统需求和系统</w:t>
      </w:r>
      <w:r>
        <w:rPr>
          <w:spacing w:val="18"/>
          <w:sz w:val="20"/>
          <w:szCs w:val="20"/>
        </w:rPr>
        <w:t xml:space="preserve"> </w:t>
      </w:r>
      <w:r>
        <w:rPr>
          <w:spacing w:val="-9"/>
          <w:sz w:val="20"/>
          <w:szCs w:val="20"/>
        </w:rPr>
        <w:t>设计的要求；</w:t>
      </w:r>
    </w:p>
    <w:p w14:paraId="46D7C56D">
      <w:pPr>
        <w:pStyle w:val="2"/>
        <w:spacing w:before="80" w:line="219" w:lineRule="auto"/>
        <w:ind w:left="389"/>
        <w:rPr>
          <w:sz w:val="20"/>
          <w:szCs w:val="20"/>
        </w:rPr>
      </w:pPr>
      <w:r>
        <w:rPr>
          <w:spacing w:val="2"/>
          <w:sz w:val="20"/>
          <w:szCs w:val="20"/>
        </w:rPr>
        <w:t>(4)及时对变更进行响应，并做好变更控制工作。</w:t>
      </w:r>
    </w:p>
    <w:p w14:paraId="7D7A860C">
      <w:pPr>
        <w:spacing w:line="219" w:lineRule="auto"/>
        <w:rPr>
          <w:sz w:val="20"/>
          <w:szCs w:val="20"/>
        </w:rPr>
        <w:sectPr>
          <w:pgSz w:w="10290" w:h="13330"/>
          <w:pgMar w:top="400" w:right="9" w:bottom="400" w:left="1130" w:header="0" w:footer="0" w:gutter="0"/>
          <w:cols w:space="720" w:num="1"/>
        </w:sectPr>
      </w:pPr>
    </w:p>
    <w:p w14:paraId="2C15FA50">
      <w:pPr>
        <w:pStyle w:val="2"/>
        <w:rPr>
          <w:sz w:val="19"/>
          <w:szCs w:val="19"/>
        </w:rPr>
      </w:pPr>
      <w:r>
        <w:rPr>
          <w:rFonts w:ascii="Times New Roman" w:hAnsi="Times New Roman" w:eastAsia="Times New Roman" w:cs="Times New Roman"/>
          <w:position w:val="-7"/>
          <w:sz w:val="19"/>
          <w:szCs w:val="19"/>
        </w:rPr>
        <w:drawing>
          <wp:inline distT="0" distB="0" distL="0" distR="0">
            <wp:extent cx="285750" cy="203200"/>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322"/>
                    <a:stretch>
                      <a:fillRect/>
                    </a:stretch>
                  </pic:blipFill>
                  <pic:spPr>
                    <a:xfrm>
                      <a:off x="0" y="0"/>
                      <a:ext cx="285754" cy="203223"/>
                    </a:xfrm>
                    <a:prstGeom prst="rect">
                      <a:avLst/>
                    </a:prstGeom>
                  </pic:spPr>
                </pic:pic>
              </a:graphicData>
            </a:graphic>
          </wp:inline>
        </w:drawing>
      </w:r>
      <w:r>
        <w:rPr>
          <w:rFonts w:ascii="Times New Roman" w:hAnsi="Times New Roman" w:eastAsia="Times New Roman" w:cs="Times New Roman"/>
          <w:spacing w:val="13"/>
          <w:position w:val="-5"/>
          <w:sz w:val="19"/>
          <w:szCs w:val="19"/>
        </w:rPr>
        <w:t xml:space="preserve"> </w:t>
      </w:r>
      <w:r>
        <w:rPr>
          <w:rFonts w:ascii="Times New Roman" w:hAnsi="Times New Roman" w:eastAsia="Times New Roman" w:cs="Times New Roman"/>
          <w:spacing w:val="4"/>
          <w:position w:val="-5"/>
          <w:sz w:val="19"/>
          <w:szCs w:val="19"/>
        </w:rPr>
        <w:t xml:space="preserve">512              </w:t>
      </w:r>
      <w:r>
        <w:rPr>
          <w:spacing w:val="4"/>
          <w:sz w:val="19"/>
          <w:szCs w:val="19"/>
        </w:rPr>
        <w:t>信息系统监</w:t>
      </w:r>
      <w:r>
        <w:rPr>
          <w:spacing w:val="3"/>
          <w:sz w:val="19"/>
          <w:szCs w:val="19"/>
        </w:rPr>
        <w:t>理师教程(第2版)</w:t>
      </w:r>
    </w:p>
    <w:p w14:paraId="0D445E96">
      <w:pPr>
        <w:spacing w:line="262" w:lineRule="auto"/>
        <w:rPr>
          <w:rFonts w:ascii="Arial"/>
          <w:sz w:val="21"/>
        </w:rPr>
      </w:pPr>
    </w:p>
    <w:p w14:paraId="6F613B7A">
      <w:pPr>
        <w:pStyle w:val="2"/>
        <w:spacing w:before="82" w:line="219" w:lineRule="auto"/>
        <w:ind w:left="852"/>
        <w:rPr>
          <w:sz w:val="25"/>
          <w:szCs w:val="25"/>
        </w:rPr>
      </w:pPr>
      <w:bookmarkStart w:id="734" w:name="bookmark719"/>
      <w:bookmarkEnd w:id="734"/>
      <w:r>
        <w:rPr>
          <w:b/>
          <w:bCs/>
          <w:color w:val="008DEB"/>
          <w:spacing w:val="-20"/>
          <w:sz w:val="25"/>
          <w:szCs w:val="25"/>
        </w:rPr>
        <w:t>22.4.2</w:t>
      </w:r>
      <w:r>
        <w:rPr>
          <w:color w:val="008DEB"/>
          <w:spacing w:val="3"/>
          <w:sz w:val="25"/>
          <w:szCs w:val="25"/>
        </w:rPr>
        <w:t xml:space="preserve">  </w:t>
      </w:r>
      <w:r>
        <w:rPr>
          <w:b/>
          <w:bCs/>
          <w:color w:val="008DEB"/>
          <w:spacing w:val="-20"/>
          <w:sz w:val="25"/>
          <w:szCs w:val="25"/>
        </w:rPr>
        <w:t>监理内容</w:t>
      </w:r>
    </w:p>
    <w:p w14:paraId="588065F8">
      <w:pPr>
        <w:pStyle w:val="2"/>
        <w:spacing w:before="279" w:line="221" w:lineRule="auto"/>
        <w:ind w:left="1252"/>
        <w:rPr>
          <w:rFonts w:ascii="黑体" w:hAnsi="黑体" w:eastAsia="黑体" w:cs="黑体"/>
          <w:sz w:val="19"/>
          <w:szCs w:val="19"/>
        </w:rPr>
      </w:pPr>
      <w:r>
        <w:rPr>
          <w:b/>
          <w:bCs/>
          <w:color w:val="0077BC"/>
          <w:spacing w:val="5"/>
          <w:sz w:val="19"/>
          <w:szCs w:val="19"/>
        </w:rPr>
        <w:t>1.</w:t>
      </w:r>
      <w:r>
        <w:rPr>
          <w:rFonts w:ascii="黑体" w:hAnsi="黑体" w:eastAsia="黑体" w:cs="黑体"/>
          <w:b/>
          <w:bCs/>
          <w:color w:val="0077BC"/>
          <w:spacing w:val="5"/>
          <w:sz w:val="19"/>
          <w:szCs w:val="19"/>
        </w:rPr>
        <w:t>编码及测试的监理</w:t>
      </w:r>
    </w:p>
    <w:p w14:paraId="4CCAE13C">
      <w:pPr>
        <w:pStyle w:val="2"/>
        <w:spacing w:before="177" w:line="219" w:lineRule="auto"/>
        <w:ind w:left="1250"/>
        <w:rPr>
          <w:sz w:val="19"/>
          <w:szCs w:val="19"/>
        </w:rPr>
      </w:pPr>
      <w:r>
        <w:rPr>
          <w:spacing w:val="6"/>
          <w:sz w:val="19"/>
          <w:szCs w:val="19"/>
        </w:rPr>
        <w:t>编码及测试的监理内容具体如下：</w:t>
      </w:r>
    </w:p>
    <w:p w14:paraId="79520B7F">
      <w:pPr>
        <w:pStyle w:val="2"/>
        <w:spacing w:before="74" w:line="270" w:lineRule="auto"/>
        <w:ind w:left="849" w:right="87" w:firstLine="400"/>
        <w:rPr>
          <w:sz w:val="19"/>
          <w:szCs w:val="19"/>
        </w:rPr>
      </w:pPr>
      <w:r>
        <w:rPr>
          <w:spacing w:val="15"/>
          <w:sz w:val="19"/>
          <w:szCs w:val="19"/>
        </w:rPr>
        <w:t>(1)要求承建单位为软件编码过程和单元测试过</w:t>
      </w:r>
      <w:r>
        <w:rPr>
          <w:spacing w:val="14"/>
          <w:sz w:val="19"/>
          <w:szCs w:val="19"/>
        </w:rPr>
        <w:t>程的实施提交详细的计划，并督促承建单</w:t>
      </w:r>
      <w:r>
        <w:rPr>
          <w:sz w:val="19"/>
          <w:szCs w:val="19"/>
        </w:rPr>
        <w:t xml:space="preserve"> </w:t>
      </w:r>
      <w:r>
        <w:rPr>
          <w:spacing w:val="8"/>
          <w:sz w:val="19"/>
          <w:szCs w:val="19"/>
        </w:rPr>
        <w:t>位按照计划的要求开展工作。</w:t>
      </w:r>
    </w:p>
    <w:p w14:paraId="1DEAB072">
      <w:pPr>
        <w:pStyle w:val="2"/>
        <w:spacing w:before="93" w:line="219" w:lineRule="auto"/>
        <w:ind w:left="1250"/>
        <w:rPr>
          <w:sz w:val="19"/>
          <w:szCs w:val="19"/>
        </w:rPr>
      </w:pPr>
      <w:r>
        <w:rPr>
          <w:spacing w:val="3"/>
          <w:sz w:val="19"/>
          <w:szCs w:val="19"/>
        </w:rPr>
        <w:t>(2)要求承建单位制定软件编码规范，并督促承建单位实施。软件编码规范应满足以下要求：</w:t>
      </w:r>
    </w:p>
    <w:p w14:paraId="6B66D7FD">
      <w:pPr>
        <w:pStyle w:val="2"/>
        <w:spacing w:before="95" w:line="219" w:lineRule="auto"/>
        <w:ind w:left="1250"/>
        <w:rPr>
          <w:sz w:val="19"/>
          <w:szCs w:val="19"/>
        </w:rPr>
      </w:pPr>
      <w:r>
        <w:rPr>
          <w:spacing w:val="10"/>
          <w:sz w:val="19"/>
          <w:szCs w:val="19"/>
        </w:rPr>
        <w:t>●遵循开发流程，在设计的指导下进行代码编写；</w:t>
      </w:r>
    </w:p>
    <w:p w14:paraId="3513F9EC">
      <w:pPr>
        <w:pStyle w:val="2"/>
        <w:spacing w:before="105" w:line="219" w:lineRule="auto"/>
        <w:ind w:left="1250"/>
        <w:rPr>
          <w:sz w:val="19"/>
          <w:szCs w:val="19"/>
        </w:rPr>
      </w:pPr>
      <w:r>
        <w:rPr>
          <w:spacing w:val="9"/>
          <w:sz w:val="19"/>
          <w:szCs w:val="19"/>
        </w:rPr>
        <w:t>●代码编写以实现设计的功能和性能为目标；</w:t>
      </w:r>
    </w:p>
    <w:p w14:paraId="7293209B">
      <w:pPr>
        <w:pStyle w:val="2"/>
        <w:spacing w:before="104" w:line="219" w:lineRule="auto"/>
        <w:ind w:left="1250"/>
        <w:rPr>
          <w:sz w:val="19"/>
          <w:szCs w:val="19"/>
        </w:rPr>
      </w:pPr>
      <w:r>
        <w:rPr>
          <w:spacing w:val="10"/>
          <w:sz w:val="19"/>
          <w:szCs w:val="19"/>
        </w:rPr>
        <w:t>●程序具有良好的结构，能够提高程序的封装性、降低程</w:t>
      </w:r>
      <w:r>
        <w:rPr>
          <w:spacing w:val="9"/>
          <w:sz w:val="19"/>
          <w:szCs w:val="19"/>
        </w:rPr>
        <w:t>序的耦合程度；</w:t>
      </w:r>
    </w:p>
    <w:p w14:paraId="0FC3B69B">
      <w:pPr>
        <w:pStyle w:val="2"/>
        <w:spacing w:before="105" w:line="219" w:lineRule="auto"/>
        <w:ind w:left="1250"/>
        <w:rPr>
          <w:sz w:val="19"/>
          <w:szCs w:val="19"/>
        </w:rPr>
      </w:pPr>
      <w:r>
        <w:rPr>
          <w:spacing w:val="11"/>
          <w:sz w:val="19"/>
          <w:szCs w:val="19"/>
        </w:rPr>
        <w:t>●程序可读性强，易于理解；</w:t>
      </w:r>
    </w:p>
    <w:p w14:paraId="7A7AF630">
      <w:pPr>
        <w:pStyle w:val="2"/>
        <w:spacing w:before="95" w:line="219" w:lineRule="auto"/>
        <w:ind w:left="1250"/>
        <w:rPr>
          <w:sz w:val="19"/>
          <w:szCs w:val="19"/>
        </w:rPr>
      </w:pPr>
      <w:r>
        <w:rPr>
          <w:spacing w:val="10"/>
          <w:sz w:val="19"/>
          <w:szCs w:val="19"/>
        </w:rPr>
        <w:t>●软件易于使用和维护；</w:t>
      </w:r>
    </w:p>
    <w:p w14:paraId="04D1AF2C">
      <w:pPr>
        <w:pStyle w:val="2"/>
        <w:spacing w:before="104" w:line="219" w:lineRule="auto"/>
        <w:ind w:left="1250"/>
        <w:rPr>
          <w:sz w:val="19"/>
          <w:szCs w:val="19"/>
        </w:rPr>
      </w:pPr>
      <w:r>
        <w:rPr>
          <w:spacing w:val="12"/>
          <w:sz w:val="19"/>
          <w:szCs w:val="19"/>
        </w:rPr>
        <w:t>●软件具有良好的可扩展性。</w:t>
      </w:r>
    </w:p>
    <w:p w14:paraId="5B5BF6CB">
      <w:pPr>
        <w:pStyle w:val="2"/>
        <w:spacing w:before="95" w:line="219" w:lineRule="auto"/>
        <w:ind w:left="1250"/>
        <w:rPr>
          <w:sz w:val="19"/>
          <w:szCs w:val="19"/>
        </w:rPr>
      </w:pPr>
      <w:r>
        <w:rPr>
          <w:spacing w:val="10"/>
          <w:sz w:val="19"/>
          <w:szCs w:val="19"/>
        </w:rPr>
        <w:t>(3)如适用，可要求承建单位开放系统源代码，抽查其是否符合软件编码规范。</w:t>
      </w:r>
    </w:p>
    <w:p w14:paraId="25149B09">
      <w:pPr>
        <w:pStyle w:val="2"/>
        <w:spacing w:before="93" w:line="219" w:lineRule="auto"/>
        <w:ind w:left="1250"/>
        <w:rPr>
          <w:sz w:val="19"/>
          <w:szCs w:val="19"/>
        </w:rPr>
      </w:pPr>
      <w:r>
        <w:rPr>
          <w:spacing w:val="11"/>
          <w:sz w:val="19"/>
          <w:szCs w:val="19"/>
        </w:rPr>
        <w:t>(4)督促承建单位是否依据系统需求和设计</w:t>
      </w:r>
      <w:r>
        <w:rPr>
          <w:spacing w:val="10"/>
          <w:sz w:val="19"/>
          <w:szCs w:val="19"/>
        </w:rPr>
        <w:t>文档进行开发，保证程序实现和需求相一致。</w:t>
      </w:r>
    </w:p>
    <w:p w14:paraId="04210138">
      <w:pPr>
        <w:pStyle w:val="2"/>
        <w:spacing w:before="75" w:line="266" w:lineRule="auto"/>
        <w:ind w:left="849" w:right="87" w:firstLine="400"/>
        <w:rPr>
          <w:sz w:val="19"/>
          <w:szCs w:val="19"/>
        </w:rPr>
      </w:pPr>
      <w:r>
        <w:rPr>
          <w:spacing w:val="15"/>
          <w:sz w:val="19"/>
          <w:szCs w:val="19"/>
        </w:rPr>
        <w:t>(5)宜督促承建单位按照规范要求开展单元测试</w:t>
      </w:r>
      <w:r>
        <w:rPr>
          <w:spacing w:val="14"/>
          <w:sz w:val="19"/>
          <w:szCs w:val="19"/>
        </w:rPr>
        <w:t>、集成测试和系统测试工作，保证程序提</w:t>
      </w:r>
      <w:r>
        <w:rPr>
          <w:sz w:val="19"/>
          <w:szCs w:val="19"/>
        </w:rPr>
        <w:t xml:space="preserve"> </w:t>
      </w:r>
      <w:r>
        <w:rPr>
          <w:spacing w:val="3"/>
          <w:sz w:val="19"/>
          <w:szCs w:val="19"/>
        </w:rPr>
        <w:t>交质量。</w:t>
      </w:r>
    </w:p>
    <w:p w14:paraId="1E0E6ED1">
      <w:pPr>
        <w:pStyle w:val="2"/>
        <w:spacing w:before="83" w:line="265" w:lineRule="auto"/>
        <w:ind w:left="849" w:right="20" w:firstLine="400"/>
        <w:rPr>
          <w:sz w:val="19"/>
          <w:szCs w:val="19"/>
        </w:rPr>
      </w:pPr>
      <w:r>
        <w:rPr>
          <w:spacing w:val="16"/>
          <w:sz w:val="19"/>
          <w:szCs w:val="19"/>
        </w:rPr>
        <w:t>(6)宜检查承建单位测试过程中的问题记录，督促承建单位解决软件测试中发现的问题，</w:t>
      </w:r>
      <w:r>
        <w:rPr>
          <w:spacing w:val="8"/>
          <w:sz w:val="19"/>
          <w:szCs w:val="19"/>
        </w:rPr>
        <w:t xml:space="preserve"> </w:t>
      </w:r>
      <w:r>
        <w:rPr>
          <w:spacing w:val="5"/>
          <w:sz w:val="19"/>
          <w:szCs w:val="19"/>
        </w:rPr>
        <w:t>并检查其改正的记录。</w:t>
      </w:r>
    </w:p>
    <w:p w14:paraId="7CE12DDF">
      <w:pPr>
        <w:pStyle w:val="2"/>
        <w:spacing w:before="84" w:line="264" w:lineRule="auto"/>
        <w:ind w:left="849" w:right="86" w:firstLine="400"/>
        <w:rPr>
          <w:sz w:val="19"/>
          <w:szCs w:val="19"/>
        </w:rPr>
      </w:pPr>
      <w:r>
        <w:rPr>
          <w:spacing w:val="15"/>
          <w:sz w:val="19"/>
          <w:szCs w:val="19"/>
        </w:rPr>
        <w:t>(7)在系统测试阶段应督促承建单位跟进业主单</w:t>
      </w:r>
      <w:r>
        <w:rPr>
          <w:spacing w:val="14"/>
          <w:sz w:val="19"/>
          <w:szCs w:val="19"/>
        </w:rPr>
        <w:t>位或第三方测评机构的测评情况，并应取</w:t>
      </w:r>
      <w:r>
        <w:rPr>
          <w:sz w:val="19"/>
          <w:szCs w:val="19"/>
        </w:rPr>
        <w:t xml:space="preserve"> </w:t>
      </w:r>
      <w:r>
        <w:rPr>
          <w:spacing w:val="7"/>
          <w:sz w:val="19"/>
          <w:szCs w:val="19"/>
        </w:rPr>
        <w:t>得系统测试报告以及回归测试的测试记录。</w:t>
      </w:r>
    </w:p>
    <w:p w14:paraId="0F499448">
      <w:pPr>
        <w:pStyle w:val="2"/>
        <w:spacing w:before="86" w:line="265" w:lineRule="auto"/>
        <w:ind w:left="849" w:right="86" w:firstLine="400"/>
        <w:rPr>
          <w:sz w:val="19"/>
          <w:szCs w:val="19"/>
        </w:rPr>
      </w:pPr>
      <w:r>
        <w:rPr>
          <w:spacing w:val="15"/>
          <w:sz w:val="19"/>
          <w:szCs w:val="19"/>
        </w:rPr>
        <w:t>(8)对于就绪可用软件产品，应验证其是否满足</w:t>
      </w:r>
      <w:r>
        <w:rPr>
          <w:spacing w:val="14"/>
          <w:sz w:val="19"/>
          <w:szCs w:val="19"/>
        </w:rPr>
        <w:t>承建合同要求、知识产权要求、服务要求</w:t>
      </w:r>
      <w:r>
        <w:rPr>
          <w:sz w:val="19"/>
          <w:szCs w:val="19"/>
        </w:rPr>
        <w:t xml:space="preserve"> </w:t>
      </w:r>
      <w:r>
        <w:rPr>
          <w:spacing w:val="7"/>
          <w:sz w:val="19"/>
          <w:szCs w:val="19"/>
        </w:rPr>
        <w:t>等，并要求承建单位提供有效的证明文档。</w:t>
      </w:r>
    </w:p>
    <w:p w14:paraId="25B3A0D8">
      <w:pPr>
        <w:pStyle w:val="2"/>
        <w:spacing w:before="86" w:line="265" w:lineRule="auto"/>
        <w:ind w:left="849" w:firstLine="400"/>
        <w:rPr>
          <w:sz w:val="19"/>
          <w:szCs w:val="19"/>
        </w:rPr>
      </w:pPr>
      <w:r>
        <w:rPr>
          <w:spacing w:val="17"/>
          <w:sz w:val="19"/>
          <w:szCs w:val="19"/>
        </w:rPr>
        <w:t>(9)如适用，要求承建单位编制数据迁移方案，分析历史数据结</w:t>
      </w:r>
      <w:r>
        <w:rPr>
          <w:spacing w:val="16"/>
          <w:sz w:val="19"/>
          <w:szCs w:val="19"/>
        </w:rPr>
        <w:t>构、编制数据迁移脚本、</w:t>
      </w:r>
      <w:r>
        <w:rPr>
          <w:sz w:val="19"/>
          <w:szCs w:val="19"/>
        </w:rPr>
        <w:t xml:space="preserve"> </w:t>
      </w:r>
      <w:r>
        <w:rPr>
          <w:spacing w:val="5"/>
          <w:sz w:val="19"/>
          <w:szCs w:val="19"/>
        </w:rPr>
        <w:t>验证数据迁移效果。</w:t>
      </w:r>
    </w:p>
    <w:p w14:paraId="6F90BD84">
      <w:pPr>
        <w:pStyle w:val="2"/>
        <w:spacing w:before="160" w:line="221" w:lineRule="auto"/>
        <w:ind w:left="1252"/>
        <w:rPr>
          <w:rFonts w:ascii="黑体" w:hAnsi="黑体" w:eastAsia="黑体" w:cs="黑体"/>
          <w:sz w:val="19"/>
          <w:szCs w:val="19"/>
        </w:rPr>
      </w:pPr>
      <w:r>
        <w:rPr>
          <w:b/>
          <w:bCs/>
          <w:color w:val="008BDC"/>
          <w:spacing w:val="7"/>
          <w:sz w:val="19"/>
          <w:szCs w:val="19"/>
        </w:rPr>
        <w:t>2.</w:t>
      </w:r>
      <w:r>
        <w:rPr>
          <w:rFonts w:ascii="黑体" w:hAnsi="黑体" w:eastAsia="黑体" w:cs="黑体"/>
          <w:b/>
          <w:bCs/>
          <w:color w:val="008BDC"/>
          <w:spacing w:val="7"/>
          <w:sz w:val="19"/>
          <w:szCs w:val="19"/>
        </w:rPr>
        <w:t>系统部署的监理</w:t>
      </w:r>
    </w:p>
    <w:p w14:paraId="40047981">
      <w:pPr>
        <w:pStyle w:val="2"/>
        <w:spacing w:before="167" w:line="219" w:lineRule="auto"/>
        <w:ind w:left="1250"/>
        <w:rPr>
          <w:sz w:val="19"/>
          <w:szCs w:val="19"/>
        </w:rPr>
      </w:pPr>
      <w:r>
        <w:rPr>
          <w:spacing w:val="5"/>
          <w:sz w:val="19"/>
          <w:szCs w:val="19"/>
        </w:rPr>
        <w:t>系统部署的监理内容具体如下：</w:t>
      </w:r>
    </w:p>
    <w:p w14:paraId="12B6F5CB">
      <w:pPr>
        <w:pStyle w:val="2"/>
        <w:spacing w:before="85" w:line="256" w:lineRule="auto"/>
        <w:ind w:left="849" w:right="67" w:firstLine="400"/>
        <w:rPr>
          <w:sz w:val="19"/>
          <w:szCs w:val="19"/>
        </w:rPr>
      </w:pPr>
      <w:r>
        <w:rPr>
          <w:spacing w:val="15"/>
          <w:sz w:val="19"/>
          <w:szCs w:val="19"/>
        </w:rPr>
        <w:t>(1)要求承建单位提交系统部署计划。该计划应包括应用环境和基础设施需求、职责和进</w:t>
      </w:r>
      <w:r>
        <w:rPr>
          <w:spacing w:val="1"/>
          <w:sz w:val="19"/>
          <w:szCs w:val="19"/>
        </w:rPr>
        <w:t xml:space="preserve"> </w:t>
      </w:r>
      <w:r>
        <w:rPr>
          <w:spacing w:val="8"/>
          <w:sz w:val="19"/>
          <w:szCs w:val="19"/>
        </w:rPr>
        <w:t>度安排。</w:t>
      </w:r>
    </w:p>
    <w:p w14:paraId="11BA61B0">
      <w:pPr>
        <w:pStyle w:val="2"/>
        <w:spacing w:before="93" w:line="219" w:lineRule="auto"/>
        <w:ind w:left="1250"/>
        <w:rPr>
          <w:sz w:val="19"/>
          <w:szCs w:val="19"/>
        </w:rPr>
      </w:pPr>
      <w:r>
        <w:rPr>
          <w:spacing w:val="11"/>
          <w:sz w:val="19"/>
          <w:szCs w:val="19"/>
        </w:rPr>
        <w:t>(2)应在系统部署之前，审查软件产品是否具备系统集成实施</w:t>
      </w:r>
      <w:r>
        <w:rPr>
          <w:spacing w:val="10"/>
          <w:sz w:val="19"/>
          <w:szCs w:val="19"/>
        </w:rPr>
        <w:t>的条件和环境。</w:t>
      </w:r>
    </w:p>
    <w:p w14:paraId="2D76534B">
      <w:pPr>
        <w:pStyle w:val="2"/>
        <w:spacing w:before="93" w:line="256" w:lineRule="auto"/>
        <w:ind w:left="849" w:right="30" w:firstLine="400"/>
        <w:rPr>
          <w:sz w:val="19"/>
          <w:szCs w:val="19"/>
        </w:rPr>
      </w:pPr>
      <w:r>
        <w:rPr>
          <w:spacing w:val="16"/>
          <w:sz w:val="19"/>
          <w:szCs w:val="19"/>
        </w:rPr>
        <w:t>(3)督促承建单位按照部署计划的要求开展系统集成活动并提交系统部署文档。部署</w:t>
      </w:r>
      <w:r>
        <w:rPr>
          <w:spacing w:val="15"/>
          <w:sz w:val="19"/>
          <w:szCs w:val="19"/>
        </w:rPr>
        <w:t>文档</w:t>
      </w:r>
      <w:r>
        <w:rPr>
          <w:sz w:val="19"/>
          <w:szCs w:val="19"/>
        </w:rPr>
        <w:t xml:space="preserve"> </w:t>
      </w:r>
      <w:r>
        <w:rPr>
          <w:spacing w:val="4"/>
          <w:sz w:val="19"/>
          <w:szCs w:val="19"/>
        </w:rPr>
        <w:t>应包含以下内容：</w:t>
      </w:r>
    </w:p>
    <w:p w14:paraId="216B331A">
      <w:pPr>
        <w:pStyle w:val="2"/>
        <w:spacing w:before="75" w:line="220" w:lineRule="auto"/>
        <w:ind w:left="1250"/>
        <w:rPr>
          <w:sz w:val="19"/>
          <w:szCs w:val="19"/>
        </w:rPr>
      </w:pPr>
      <w:r>
        <w:rPr>
          <w:spacing w:val="7"/>
          <w:sz w:val="19"/>
          <w:szCs w:val="19"/>
        </w:rPr>
        <w:t>●</w:t>
      </w:r>
      <w:r>
        <w:rPr>
          <w:spacing w:val="-54"/>
          <w:sz w:val="19"/>
          <w:szCs w:val="19"/>
        </w:rPr>
        <w:t xml:space="preserve"> </w:t>
      </w:r>
      <w:r>
        <w:rPr>
          <w:spacing w:val="7"/>
          <w:sz w:val="19"/>
          <w:szCs w:val="19"/>
        </w:rPr>
        <w:t>系统安装；</w:t>
      </w:r>
    </w:p>
    <w:p w14:paraId="05BB6C06">
      <w:pPr>
        <w:pStyle w:val="2"/>
        <w:spacing w:before="93" w:line="219" w:lineRule="auto"/>
        <w:ind w:left="1250"/>
        <w:rPr>
          <w:sz w:val="19"/>
          <w:szCs w:val="19"/>
        </w:rPr>
      </w:pPr>
      <w:r>
        <w:rPr>
          <w:spacing w:val="12"/>
          <w:sz w:val="19"/>
          <w:szCs w:val="19"/>
        </w:rPr>
        <w:t>●安装后的软件检验；</w:t>
      </w:r>
    </w:p>
    <w:p w14:paraId="0B0E83E8">
      <w:pPr>
        <w:pStyle w:val="2"/>
        <w:spacing w:before="85" w:line="219" w:lineRule="auto"/>
        <w:ind w:left="1250"/>
        <w:rPr>
          <w:sz w:val="19"/>
          <w:szCs w:val="19"/>
        </w:rPr>
      </w:pPr>
      <w:r>
        <w:rPr>
          <w:spacing w:val="9"/>
          <w:sz w:val="19"/>
          <w:szCs w:val="19"/>
        </w:rPr>
        <w:t>●</w:t>
      </w:r>
      <w:r>
        <w:rPr>
          <w:spacing w:val="-54"/>
          <w:sz w:val="19"/>
          <w:szCs w:val="19"/>
        </w:rPr>
        <w:t xml:space="preserve"> </w:t>
      </w:r>
      <w:r>
        <w:rPr>
          <w:spacing w:val="9"/>
          <w:sz w:val="19"/>
          <w:szCs w:val="19"/>
        </w:rPr>
        <w:t>数据初始化；</w:t>
      </w:r>
    </w:p>
    <w:p w14:paraId="6696481A">
      <w:pPr>
        <w:pStyle w:val="2"/>
        <w:spacing w:before="95" w:line="219" w:lineRule="auto"/>
        <w:ind w:left="1250"/>
        <w:rPr>
          <w:sz w:val="19"/>
          <w:szCs w:val="19"/>
        </w:rPr>
      </w:pPr>
      <w:r>
        <w:rPr>
          <w:spacing w:val="12"/>
          <w:sz w:val="19"/>
          <w:szCs w:val="19"/>
        </w:rPr>
        <w:t>●新老系统并行运行；</w:t>
      </w:r>
    </w:p>
    <w:p w14:paraId="5EBB2444">
      <w:pPr>
        <w:spacing w:line="219" w:lineRule="auto"/>
        <w:rPr>
          <w:sz w:val="19"/>
          <w:szCs w:val="19"/>
        </w:rPr>
        <w:sectPr>
          <w:pgSz w:w="10300" w:h="13430"/>
          <w:pgMar w:top="390" w:right="1064" w:bottom="400" w:left="0" w:header="0" w:footer="0" w:gutter="0"/>
          <w:cols w:space="720" w:num="1"/>
        </w:sectPr>
      </w:pPr>
    </w:p>
    <w:p w14:paraId="6FEFA8F7">
      <w:pPr>
        <w:pStyle w:val="2"/>
        <w:jc w:val="right"/>
        <w:rPr>
          <w:sz w:val="18"/>
          <w:szCs w:val="18"/>
        </w:rPr>
      </w:pPr>
      <w:bookmarkStart w:id="735" w:name="bookmark720"/>
      <w:bookmarkEnd w:id="735"/>
      <w:r>
        <w:rPr>
          <w:spacing w:val="10"/>
          <w:sz w:val="18"/>
          <w:szCs w:val="18"/>
        </w:rPr>
        <w:t>第22章</w:t>
      </w:r>
      <w:r>
        <w:rPr>
          <w:spacing w:val="46"/>
          <w:sz w:val="18"/>
          <w:szCs w:val="18"/>
        </w:rPr>
        <w:t xml:space="preserve"> </w:t>
      </w:r>
      <w:r>
        <w:rPr>
          <w:spacing w:val="10"/>
          <w:sz w:val="18"/>
          <w:szCs w:val="18"/>
        </w:rPr>
        <w:t>软件工程监理</w:t>
      </w:r>
      <w:r>
        <w:rPr>
          <w:spacing w:val="64"/>
          <w:sz w:val="18"/>
          <w:szCs w:val="18"/>
        </w:rPr>
        <w:t xml:space="preserve"> </w:t>
      </w:r>
      <w:r>
        <w:rPr>
          <w:position w:val="-7"/>
          <w:sz w:val="18"/>
          <w:szCs w:val="18"/>
        </w:rPr>
        <w:drawing>
          <wp:inline distT="0" distB="0" distL="0" distR="0">
            <wp:extent cx="273050" cy="20256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323"/>
                    <a:stretch>
                      <a:fillRect/>
                    </a:stretch>
                  </pic:blipFill>
                  <pic:spPr>
                    <a:xfrm>
                      <a:off x="0" y="0"/>
                      <a:ext cx="273062" cy="203165"/>
                    </a:xfrm>
                    <a:prstGeom prst="rect">
                      <a:avLst/>
                    </a:prstGeom>
                  </pic:spPr>
                </pic:pic>
              </a:graphicData>
            </a:graphic>
          </wp:inline>
        </w:drawing>
      </w:r>
      <w:r>
        <w:rPr>
          <w:rFonts w:ascii="Times New Roman" w:hAnsi="Times New Roman" w:eastAsia="Times New Roman" w:cs="Times New Roman"/>
          <w:spacing w:val="10"/>
          <w:position w:val="1"/>
          <w:sz w:val="18"/>
          <w:szCs w:val="18"/>
        </w:rPr>
        <w:t>513</w:t>
      </w:r>
      <w:r>
        <w:rPr>
          <w:rFonts w:ascii="Times New Roman" w:hAnsi="Times New Roman" w:eastAsia="Times New Roman" w:cs="Times New Roman"/>
          <w:spacing w:val="19"/>
          <w:w w:val="101"/>
          <w:position w:val="1"/>
          <w:sz w:val="18"/>
          <w:szCs w:val="18"/>
        </w:rPr>
        <w:t xml:space="preserve">  </w:t>
      </w:r>
      <w:r>
        <w:rPr>
          <w:position w:val="-7"/>
          <w:sz w:val="18"/>
          <w:szCs w:val="18"/>
        </w:rPr>
        <w:drawing>
          <wp:inline distT="0" distB="0" distL="0" distR="0">
            <wp:extent cx="292100" cy="196215"/>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324"/>
                    <a:stretch>
                      <a:fillRect/>
                    </a:stretch>
                  </pic:blipFill>
                  <pic:spPr>
                    <a:xfrm>
                      <a:off x="0" y="0"/>
                      <a:ext cx="292141" cy="196822"/>
                    </a:xfrm>
                    <a:prstGeom prst="rect">
                      <a:avLst/>
                    </a:prstGeom>
                  </pic:spPr>
                </pic:pic>
              </a:graphicData>
            </a:graphic>
          </wp:inline>
        </w:drawing>
      </w:r>
    </w:p>
    <w:p w14:paraId="7A54871F">
      <w:pPr>
        <w:spacing w:line="327" w:lineRule="auto"/>
        <w:rPr>
          <w:rFonts w:ascii="Arial"/>
          <w:sz w:val="21"/>
        </w:rPr>
      </w:pPr>
    </w:p>
    <w:p w14:paraId="2DC87A41">
      <w:pPr>
        <w:pStyle w:val="2"/>
        <w:spacing w:before="58" w:line="219" w:lineRule="auto"/>
        <w:ind w:left="389"/>
        <w:rPr>
          <w:sz w:val="18"/>
          <w:szCs w:val="18"/>
        </w:rPr>
      </w:pPr>
      <w:r>
        <w:rPr>
          <w:spacing w:val="20"/>
          <w:sz w:val="18"/>
          <w:szCs w:val="18"/>
        </w:rPr>
        <w:t>●</w:t>
      </w:r>
      <w:r>
        <w:rPr>
          <w:spacing w:val="-51"/>
          <w:sz w:val="18"/>
          <w:szCs w:val="18"/>
        </w:rPr>
        <w:t xml:space="preserve"> </w:t>
      </w:r>
      <w:r>
        <w:rPr>
          <w:spacing w:val="20"/>
          <w:sz w:val="18"/>
          <w:szCs w:val="18"/>
        </w:rPr>
        <w:t>对操作手册和用户手册中的过程进行演练性运行。</w:t>
      </w:r>
    </w:p>
    <w:p w14:paraId="139FF662">
      <w:pPr>
        <w:pStyle w:val="2"/>
        <w:spacing w:before="93" w:line="280" w:lineRule="auto"/>
        <w:ind w:right="830" w:firstLine="389"/>
        <w:rPr>
          <w:sz w:val="18"/>
          <w:szCs w:val="18"/>
        </w:rPr>
      </w:pPr>
      <w:r>
        <w:rPr>
          <w:spacing w:val="28"/>
          <w:sz w:val="18"/>
          <w:szCs w:val="18"/>
        </w:rPr>
        <w:t>(4)宜根据前期工作成果(招投标文件、承建</w:t>
      </w:r>
      <w:r>
        <w:rPr>
          <w:spacing w:val="27"/>
          <w:sz w:val="18"/>
          <w:szCs w:val="18"/>
        </w:rPr>
        <w:t>合同、需求规格说明书),审核已部署系统，</w:t>
      </w:r>
      <w:r>
        <w:rPr>
          <w:sz w:val="18"/>
          <w:szCs w:val="18"/>
        </w:rPr>
        <w:t xml:space="preserve"> </w:t>
      </w:r>
      <w:r>
        <w:rPr>
          <w:spacing w:val="18"/>
          <w:sz w:val="18"/>
          <w:szCs w:val="18"/>
        </w:rPr>
        <w:t>对功能需求、性能需求、安全需求、保密需求等内容提出监理</w:t>
      </w:r>
      <w:r>
        <w:rPr>
          <w:spacing w:val="17"/>
          <w:sz w:val="18"/>
          <w:szCs w:val="18"/>
        </w:rPr>
        <w:t>意见，包括：</w:t>
      </w:r>
    </w:p>
    <w:p w14:paraId="74B82BFF">
      <w:pPr>
        <w:pStyle w:val="2"/>
        <w:spacing w:before="96" w:line="219" w:lineRule="auto"/>
        <w:ind w:left="389"/>
        <w:rPr>
          <w:sz w:val="18"/>
          <w:szCs w:val="18"/>
        </w:rPr>
      </w:pPr>
      <w:r>
        <w:rPr>
          <w:spacing w:val="11"/>
          <w:sz w:val="18"/>
          <w:szCs w:val="18"/>
        </w:rPr>
        <w:t>●</w:t>
      </w:r>
      <w:r>
        <w:rPr>
          <w:spacing w:val="-49"/>
          <w:sz w:val="18"/>
          <w:szCs w:val="18"/>
        </w:rPr>
        <w:t xml:space="preserve"> </w:t>
      </w:r>
      <w:r>
        <w:rPr>
          <w:spacing w:val="11"/>
          <w:sz w:val="18"/>
          <w:szCs w:val="18"/>
        </w:rPr>
        <w:t>与承建合同的</w:t>
      </w:r>
      <w:r>
        <w:rPr>
          <w:spacing w:val="-50"/>
          <w:sz w:val="18"/>
          <w:szCs w:val="18"/>
        </w:rPr>
        <w:t xml:space="preserve"> </w:t>
      </w:r>
      <w:r>
        <w:rPr>
          <w:spacing w:val="11"/>
          <w:sz w:val="18"/>
          <w:szCs w:val="18"/>
        </w:rPr>
        <w:t>一</w:t>
      </w:r>
      <w:r>
        <w:rPr>
          <w:spacing w:val="-53"/>
          <w:sz w:val="18"/>
          <w:szCs w:val="18"/>
        </w:rPr>
        <w:t xml:space="preserve"> </w:t>
      </w:r>
      <w:r>
        <w:rPr>
          <w:spacing w:val="11"/>
          <w:sz w:val="18"/>
          <w:szCs w:val="18"/>
        </w:rPr>
        <w:t>致性；</w:t>
      </w:r>
    </w:p>
    <w:p w14:paraId="1BCA97AF">
      <w:pPr>
        <w:pStyle w:val="2"/>
        <w:spacing w:before="116" w:line="220" w:lineRule="auto"/>
        <w:ind w:left="389"/>
        <w:rPr>
          <w:sz w:val="18"/>
          <w:szCs w:val="18"/>
        </w:rPr>
      </w:pPr>
      <w:r>
        <w:rPr>
          <w:spacing w:val="12"/>
          <w:sz w:val="18"/>
          <w:szCs w:val="18"/>
        </w:rPr>
        <w:t>●</w:t>
      </w:r>
      <w:r>
        <w:rPr>
          <w:spacing w:val="-42"/>
          <w:sz w:val="18"/>
          <w:szCs w:val="18"/>
        </w:rPr>
        <w:t xml:space="preserve"> </w:t>
      </w:r>
      <w:r>
        <w:rPr>
          <w:spacing w:val="12"/>
          <w:sz w:val="18"/>
          <w:szCs w:val="18"/>
        </w:rPr>
        <w:t>与系统需求的</w:t>
      </w:r>
      <w:r>
        <w:rPr>
          <w:spacing w:val="-52"/>
          <w:sz w:val="18"/>
          <w:szCs w:val="18"/>
        </w:rPr>
        <w:t xml:space="preserve"> </w:t>
      </w:r>
      <w:r>
        <w:rPr>
          <w:spacing w:val="12"/>
          <w:sz w:val="18"/>
          <w:szCs w:val="18"/>
        </w:rPr>
        <w:t>一致性；</w:t>
      </w:r>
    </w:p>
    <w:p w14:paraId="23032B57">
      <w:pPr>
        <w:pStyle w:val="2"/>
        <w:spacing w:before="116" w:line="219" w:lineRule="auto"/>
        <w:ind w:left="389"/>
        <w:rPr>
          <w:sz w:val="18"/>
          <w:szCs w:val="18"/>
        </w:rPr>
      </w:pPr>
      <w:r>
        <w:rPr>
          <w:spacing w:val="16"/>
          <w:sz w:val="18"/>
          <w:szCs w:val="18"/>
        </w:rPr>
        <w:t>●</w:t>
      </w:r>
      <w:r>
        <w:rPr>
          <w:spacing w:val="-52"/>
          <w:sz w:val="18"/>
          <w:szCs w:val="18"/>
        </w:rPr>
        <w:t xml:space="preserve"> </w:t>
      </w:r>
      <w:r>
        <w:rPr>
          <w:spacing w:val="16"/>
          <w:sz w:val="18"/>
          <w:szCs w:val="18"/>
        </w:rPr>
        <w:t>业务目标的符合性；</w:t>
      </w:r>
    </w:p>
    <w:p w14:paraId="582F9203">
      <w:pPr>
        <w:pStyle w:val="2"/>
        <w:spacing w:before="115" w:line="219" w:lineRule="auto"/>
        <w:ind w:left="389"/>
        <w:rPr>
          <w:sz w:val="18"/>
          <w:szCs w:val="18"/>
        </w:rPr>
      </w:pPr>
      <w:r>
        <w:rPr>
          <w:spacing w:val="18"/>
          <w:sz w:val="18"/>
          <w:szCs w:val="18"/>
        </w:rPr>
        <w:t>●</w:t>
      </w:r>
      <w:r>
        <w:rPr>
          <w:spacing w:val="-58"/>
          <w:sz w:val="18"/>
          <w:szCs w:val="18"/>
        </w:rPr>
        <w:t xml:space="preserve"> </w:t>
      </w:r>
      <w:r>
        <w:rPr>
          <w:spacing w:val="18"/>
          <w:sz w:val="18"/>
          <w:szCs w:val="18"/>
        </w:rPr>
        <w:t>所采用的测试方法和标准的适宜性；</w:t>
      </w:r>
    </w:p>
    <w:p w14:paraId="1FDCBD9B">
      <w:pPr>
        <w:pStyle w:val="2"/>
        <w:spacing w:before="87" w:line="288" w:lineRule="auto"/>
        <w:ind w:left="688" w:right="890" w:hanging="299"/>
        <w:rPr>
          <w:sz w:val="18"/>
          <w:szCs w:val="18"/>
        </w:rPr>
      </w:pPr>
      <w:r>
        <w:rPr>
          <w:spacing w:val="22"/>
          <w:sz w:val="18"/>
          <w:szCs w:val="18"/>
        </w:rPr>
        <w:t>●</w:t>
      </w:r>
      <w:r>
        <w:rPr>
          <w:spacing w:val="-55"/>
          <w:sz w:val="18"/>
          <w:szCs w:val="18"/>
        </w:rPr>
        <w:t xml:space="preserve"> </w:t>
      </w:r>
      <w:r>
        <w:rPr>
          <w:spacing w:val="22"/>
          <w:sz w:val="18"/>
          <w:szCs w:val="18"/>
        </w:rPr>
        <w:t>与预期结果的符合程度，包括但不限于与信息资源规划、业务流程再造需求</w:t>
      </w:r>
      <w:r>
        <w:rPr>
          <w:spacing w:val="21"/>
          <w:sz w:val="18"/>
          <w:szCs w:val="18"/>
        </w:rPr>
        <w:t>、业务持续</w:t>
      </w:r>
      <w:r>
        <w:rPr>
          <w:sz w:val="18"/>
          <w:szCs w:val="18"/>
        </w:rPr>
        <w:t xml:space="preserve"> </w:t>
      </w:r>
      <w:r>
        <w:rPr>
          <w:spacing w:val="16"/>
          <w:sz w:val="18"/>
          <w:szCs w:val="18"/>
        </w:rPr>
        <w:t>改进需求、业务指标评价体系的符合程度；</w:t>
      </w:r>
    </w:p>
    <w:p w14:paraId="2426BE0C">
      <w:pPr>
        <w:pStyle w:val="2"/>
        <w:spacing w:before="129" w:line="219" w:lineRule="auto"/>
        <w:ind w:left="389"/>
        <w:rPr>
          <w:sz w:val="18"/>
          <w:szCs w:val="18"/>
        </w:rPr>
      </w:pPr>
      <w:r>
        <w:rPr>
          <w:spacing w:val="17"/>
          <w:sz w:val="18"/>
          <w:szCs w:val="18"/>
        </w:rPr>
        <w:t>●</w:t>
      </w:r>
      <w:r>
        <w:rPr>
          <w:spacing w:val="-43"/>
          <w:sz w:val="18"/>
          <w:szCs w:val="18"/>
        </w:rPr>
        <w:t xml:space="preserve"> </w:t>
      </w:r>
      <w:r>
        <w:rPr>
          <w:spacing w:val="17"/>
          <w:sz w:val="18"/>
          <w:szCs w:val="18"/>
        </w:rPr>
        <w:t>系统合格性测试的可行性；</w:t>
      </w:r>
    </w:p>
    <w:p w14:paraId="0060D8E4">
      <w:pPr>
        <w:pStyle w:val="2"/>
        <w:spacing w:before="97" w:line="220" w:lineRule="auto"/>
        <w:ind w:left="389"/>
        <w:rPr>
          <w:sz w:val="18"/>
          <w:szCs w:val="18"/>
        </w:rPr>
      </w:pPr>
      <w:r>
        <w:rPr>
          <w:spacing w:val="20"/>
          <w:sz w:val="18"/>
          <w:szCs w:val="18"/>
        </w:rPr>
        <w:t>●</w:t>
      </w:r>
      <w:r>
        <w:rPr>
          <w:spacing w:val="-52"/>
          <w:sz w:val="18"/>
          <w:szCs w:val="18"/>
        </w:rPr>
        <w:t xml:space="preserve"> </w:t>
      </w:r>
      <w:r>
        <w:rPr>
          <w:spacing w:val="20"/>
          <w:sz w:val="18"/>
          <w:szCs w:val="18"/>
        </w:rPr>
        <w:t>运行和维护的可行性。</w:t>
      </w:r>
    </w:p>
    <w:p w14:paraId="0DAC811C">
      <w:pPr>
        <w:pStyle w:val="2"/>
        <w:spacing w:before="115" w:line="219" w:lineRule="auto"/>
        <w:ind w:left="389"/>
        <w:rPr>
          <w:sz w:val="18"/>
          <w:szCs w:val="18"/>
        </w:rPr>
      </w:pPr>
      <w:r>
        <w:rPr>
          <w:spacing w:val="21"/>
          <w:sz w:val="18"/>
          <w:szCs w:val="18"/>
        </w:rPr>
        <w:t>(5)监督承建单位解决系统部署中发现的问题和不合格项，形</w:t>
      </w:r>
      <w:r>
        <w:rPr>
          <w:spacing w:val="20"/>
          <w:sz w:val="18"/>
          <w:szCs w:val="18"/>
        </w:rPr>
        <w:t>成系统问题跟踪的记录。</w:t>
      </w:r>
    </w:p>
    <w:p w14:paraId="5A4094DE">
      <w:pPr>
        <w:pStyle w:val="2"/>
        <w:spacing w:before="96" w:line="219" w:lineRule="auto"/>
        <w:ind w:left="389"/>
        <w:rPr>
          <w:sz w:val="18"/>
          <w:szCs w:val="18"/>
        </w:rPr>
      </w:pPr>
      <w:r>
        <w:rPr>
          <w:spacing w:val="20"/>
          <w:sz w:val="18"/>
          <w:szCs w:val="18"/>
        </w:rPr>
        <w:t>(6)如适用，应组织对就绪可用软件产品进行查验，并做好记</w:t>
      </w:r>
      <w:r>
        <w:rPr>
          <w:spacing w:val="19"/>
          <w:sz w:val="18"/>
          <w:szCs w:val="18"/>
        </w:rPr>
        <w:t>录。</w:t>
      </w:r>
    </w:p>
    <w:p w14:paraId="7909561E">
      <w:pPr>
        <w:pStyle w:val="2"/>
        <w:spacing w:before="66" w:line="219" w:lineRule="auto"/>
        <w:ind w:left="389"/>
        <w:rPr>
          <w:sz w:val="18"/>
          <w:szCs w:val="18"/>
        </w:rPr>
      </w:pPr>
      <w:r>
        <w:rPr>
          <w:spacing w:val="25"/>
          <w:sz w:val="18"/>
          <w:szCs w:val="18"/>
        </w:rPr>
        <w:t>(7)如适用，应督促承建单位验证数据迁移结果，保证数据迁移的完整性和准确性，</w:t>
      </w:r>
      <w:r>
        <w:rPr>
          <w:spacing w:val="24"/>
          <w:sz w:val="18"/>
          <w:szCs w:val="18"/>
        </w:rPr>
        <w:t>并做</w:t>
      </w:r>
    </w:p>
    <w:p w14:paraId="6E48F081">
      <w:pPr>
        <w:pStyle w:val="2"/>
        <w:spacing w:before="137" w:line="219" w:lineRule="auto"/>
        <w:rPr>
          <w:sz w:val="18"/>
          <w:szCs w:val="18"/>
        </w:rPr>
      </w:pPr>
      <w:r>
        <w:rPr>
          <w:spacing w:val="18"/>
          <w:sz w:val="18"/>
          <w:szCs w:val="18"/>
        </w:rPr>
        <w:t>好记录，形成数据迁移验证和确认检查表。</w:t>
      </w:r>
    </w:p>
    <w:p w14:paraId="50A70359">
      <w:pPr>
        <w:spacing w:before="80" w:line="320" w:lineRule="auto"/>
        <w:ind w:right="845" w:firstLine="302"/>
        <w:rPr>
          <w:rFonts w:ascii="楷体" w:hAnsi="楷体" w:eastAsia="楷体" w:cs="楷体"/>
          <w:sz w:val="18"/>
          <w:szCs w:val="18"/>
        </w:rPr>
      </w:pPr>
      <w:r>
        <w:rPr>
          <w:rFonts w:ascii="黑体" w:hAnsi="黑体" w:eastAsia="黑体" w:cs="黑体"/>
          <w:b/>
          <w:bCs/>
          <w:spacing w:val="18"/>
          <w:sz w:val="18"/>
          <w:szCs w:val="18"/>
        </w:rPr>
        <w:t>【</w:t>
      </w:r>
      <w:r>
        <w:rPr>
          <w:rFonts w:ascii="黑体" w:hAnsi="黑体" w:eastAsia="黑体" w:cs="黑体"/>
          <w:spacing w:val="18"/>
          <w:sz w:val="18"/>
          <w:szCs w:val="18"/>
        </w:rPr>
        <w:t xml:space="preserve"> </w:t>
      </w:r>
      <w:r>
        <w:rPr>
          <w:rFonts w:ascii="黑体" w:hAnsi="黑体" w:eastAsia="黑体" w:cs="黑体"/>
          <w:b/>
          <w:bCs/>
          <w:spacing w:val="18"/>
          <w:sz w:val="18"/>
          <w:szCs w:val="18"/>
        </w:rPr>
        <w:t>案</w:t>
      </w:r>
      <w:r>
        <w:rPr>
          <w:rFonts w:ascii="黑体" w:hAnsi="黑体" w:eastAsia="黑体" w:cs="黑体"/>
          <w:spacing w:val="-31"/>
          <w:sz w:val="18"/>
          <w:szCs w:val="18"/>
        </w:rPr>
        <w:t xml:space="preserve"> </w:t>
      </w:r>
      <w:r>
        <w:rPr>
          <w:rFonts w:ascii="黑体" w:hAnsi="黑体" w:eastAsia="黑体" w:cs="黑体"/>
          <w:b/>
          <w:bCs/>
          <w:spacing w:val="18"/>
          <w:sz w:val="18"/>
          <w:szCs w:val="18"/>
        </w:rPr>
        <w:t>例</w:t>
      </w:r>
      <w:r>
        <w:rPr>
          <w:rFonts w:ascii="黑体" w:hAnsi="黑体" w:eastAsia="黑体" w:cs="黑体"/>
          <w:spacing w:val="-28"/>
          <w:sz w:val="18"/>
          <w:szCs w:val="18"/>
        </w:rPr>
        <w:t xml:space="preserve"> </w:t>
      </w:r>
      <w:r>
        <w:rPr>
          <w:rFonts w:ascii="黑体" w:hAnsi="黑体" w:eastAsia="黑体" w:cs="黑体"/>
          <w:b/>
          <w:bCs/>
          <w:spacing w:val="18"/>
          <w:sz w:val="18"/>
          <w:szCs w:val="18"/>
        </w:rPr>
        <w:t>3</w:t>
      </w:r>
      <w:r>
        <w:rPr>
          <w:rFonts w:ascii="楷体" w:hAnsi="楷体" w:eastAsia="楷体" w:cs="楷体"/>
          <w:b/>
          <w:bCs/>
          <w:spacing w:val="18"/>
          <w:sz w:val="18"/>
          <w:szCs w:val="18"/>
        </w:rPr>
        <w:t>】</w:t>
      </w:r>
      <w:r>
        <w:rPr>
          <w:rFonts w:ascii="楷体" w:hAnsi="楷体" w:eastAsia="楷体" w:cs="楷体"/>
          <w:spacing w:val="18"/>
          <w:sz w:val="18"/>
          <w:szCs w:val="18"/>
        </w:rPr>
        <w:t>在案例1的项目中，监理机构制定了软件测试阶段的</w:t>
      </w:r>
      <w:r>
        <w:rPr>
          <w:rFonts w:ascii="楷体" w:hAnsi="楷体" w:eastAsia="楷体" w:cs="楷体"/>
          <w:spacing w:val="17"/>
          <w:sz w:val="18"/>
          <w:szCs w:val="18"/>
        </w:rPr>
        <w:t>质量控制流程，如图22-</w:t>
      </w:r>
      <w:r>
        <w:rPr>
          <w:rFonts w:ascii="楷体" w:hAnsi="楷体" w:eastAsia="楷体" w:cs="楷体"/>
          <w:spacing w:val="-50"/>
          <w:sz w:val="18"/>
          <w:szCs w:val="18"/>
        </w:rPr>
        <w:t xml:space="preserve"> </w:t>
      </w:r>
      <w:r>
        <w:rPr>
          <w:rFonts w:ascii="楷体" w:hAnsi="楷体" w:eastAsia="楷体" w:cs="楷体"/>
          <w:spacing w:val="17"/>
          <w:sz w:val="18"/>
          <w:szCs w:val="18"/>
        </w:rPr>
        <w:t>1所</w:t>
      </w:r>
      <w:r>
        <w:rPr>
          <w:rFonts w:ascii="楷体" w:hAnsi="楷体" w:eastAsia="楷体" w:cs="楷体"/>
          <w:sz w:val="18"/>
          <w:szCs w:val="18"/>
        </w:rPr>
        <w:t xml:space="preserve"> </w:t>
      </w:r>
      <w:r>
        <w:rPr>
          <w:rFonts w:ascii="楷体" w:hAnsi="楷体" w:eastAsia="楷体" w:cs="楷体"/>
          <w:spacing w:val="18"/>
          <w:sz w:val="18"/>
          <w:szCs w:val="18"/>
        </w:rPr>
        <w:t>示。如流程所示，监理机构结合前述各节内容，适时开展了必要的监</w:t>
      </w:r>
      <w:r>
        <w:rPr>
          <w:rFonts w:ascii="楷体" w:hAnsi="楷体" w:eastAsia="楷体" w:cs="楷体"/>
          <w:spacing w:val="17"/>
          <w:sz w:val="18"/>
          <w:szCs w:val="18"/>
        </w:rPr>
        <w:t>理工作。</w:t>
      </w:r>
    </w:p>
    <w:p w14:paraId="2AF65A07">
      <w:pPr>
        <w:pStyle w:val="2"/>
        <w:spacing w:before="35" w:line="5670" w:lineRule="exact"/>
        <w:ind w:firstLine="1040"/>
      </w:pPr>
      <w:r>
        <w:rPr>
          <w:position w:val="-113"/>
        </w:rPr>
        <w:pict>
          <v:group id="_x0000_s1589" o:spid="_x0000_s1589" o:spt="203" style="height:283.55pt;width:316.05pt;" coordsize="6320,5670">
            <o:lock v:ext="edit"/>
            <v:shape id="_x0000_s1590" o:spid="_x0000_s1590" o:spt="75" type="#_x0000_t75" style="position:absolute;left:0;top:0;height:5670;width:6320;" filled="f" stroked="f" coordsize="21600,21600">
              <v:path/>
              <v:fill on="f" focussize="0,0"/>
              <v:stroke on="f"/>
              <v:imagedata r:id="rId325" o:title=""/>
              <o:lock v:ext="edit" aspectratio="t"/>
            </v:shape>
            <v:shape id="_x0000_s1591" o:spid="_x0000_s1591" o:spt="202" type="#_x0000_t202" style="position:absolute;left:119;top:197;height:5290;width:5834;" filled="f" stroked="f" coordsize="21600,21600">
              <v:path/>
              <v:fill on="f" focussize="0,0"/>
              <v:stroke on="f"/>
              <v:imagedata o:title=""/>
              <o:lock v:ext="edit" aspectratio="f"/>
              <v:textbox inset="0mm,0mm,0mm,0mm">
                <w:txbxContent>
                  <w:p w14:paraId="79AB609F">
                    <w:pPr>
                      <w:spacing w:before="19" w:line="209" w:lineRule="auto"/>
                      <w:ind w:left="2339" w:right="1858" w:hanging="589"/>
                      <w:rPr>
                        <w:rFonts w:ascii="宋体" w:hAnsi="宋体" w:eastAsia="宋体" w:cs="宋体"/>
                        <w:sz w:val="18"/>
                        <w:szCs w:val="18"/>
                      </w:rPr>
                    </w:pPr>
                    <w:r>
                      <w:rPr>
                        <w:rFonts w:ascii="宋体" w:hAnsi="宋体" w:eastAsia="宋体" w:cs="宋体"/>
                        <w:spacing w:val="-9"/>
                        <w:sz w:val="18"/>
                        <w:szCs w:val="18"/>
                      </w:rPr>
                      <w:t>承建单位提交《测试计划》和</w:t>
                    </w:r>
                    <w:r>
                      <w:rPr>
                        <w:rFonts w:ascii="宋体" w:hAnsi="宋体" w:eastAsia="宋体" w:cs="宋体"/>
                        <w:sz w:val="18"/>
                        <w:szCs w:val="18"/>
                      </w:rPr>
                      <w:t xml:space="preserve"> </w:t>
                    </w:r>
                    <w:r>
                      <w:rPr>
                        <w:rFonts w:ascii="宋体" w:hAnsi="宋体" w:eastAsia="宋体" w:cs="宋体"/>
                        <w:spacing w:val="-6"/>
                        <w:sz w:val="18"/>
                        <w:szCs w:val="18"/>
                      </w:rPr>
                      <w:t>《测试用例》</w:t>
                    </w:r>
                  </w:p>
                  <w:p w14:paraId="49CE296F">
                    <w:pPr>
                      <w:spacing w:line="303" w:lineRule="auto"/>
                      <w:rPr>
                        <w:rFonts w:ascii="Arial"/>
                        <w:sz w:val="21"/>
                      </w:rPr>
                    </w:pPr>
                  </w:p>
                  <w:p w14:paraId="78B0D4B4">
                    <w:pPr>
                      <w:spacing w:before="58" w:line="219" w:lineRule="auto"/>
                      <w:ind w:left="1239"/>
                      <w:rPr>
                        <w:rFonts w:ascii="宋体" w:hAnsi="宋体" w:eastAsia="宋体" w:cs="宋体"/>
                        <w:sz w:val="18"/>
                        <w:szCs w:val="18"/>
                      </w:rPr>
                    </w:pPr>
                    <w:r>
                      <w:rPr>
                        <w:rFonts w:ascii="宋体" w:hAnsi="宋体" w:eastAsia="宋体" w:cs="宋体"/>
                        <w:spacing w:val="-12"/>
                        <w:sz w:val="18"/>
                        <w:szCs w:val="18"/>
                      </w:rPr>
                      <w:t>监理工程师审核《测试计划》和《测试用例》</w:t>
                    </w:r>
                  </w:p>
                  <w:p w14:paraId="28846B86">
                    <w:pPr>
                      <w:spacing w:before="246" w:line="174" w:lineRule="auto"/>
                      <w:ind w:left="1750"/>
                      <w:rPr>
                        <w:rFonts w:ascii="黑体" w:hAnsi="黑体" w:eastAsia="黑体" w:cs="黑体"/>
                        <w:sz w:val="18"/>
                        <w:szCs w:val="18"/>
                      </w:rPr>
                    </w:pPr>
                    <w:r>
                      <w:rPr>
                        <w:rFonts w:ascii="黑体" w:hAnsi="黑体" w:eastAsia="黑体" w:cs="黑体"/>
                        <w:sz w:val="18"/>
                        <w:szCs w:val="18"/>
                      </w:rPr>
                      <w:t>否</w:t>
                    </w:r>
                  </w:p>
                  <w:p w14:paraId="286087EA">
                    <w:pPr>
                      <w:spacing w:line="213" w:lineRule="auto"/>
                      <w:ind w:left="2430"/>
                      <w:rPr>
                        <w:rFonts w:ascii="宋体" w:hAnsi="宋体" w:eastAsia="宋体" w:cs="宋体"/>
                        <w:sz w:val="18"/>
                        <w:szCs w:val="18"/>
                      </w:rPr>
                    </w:pPr>
                    <w:r>
                      <w:rPr>
                        <w:rFonts w:ascii="宋体" w:hAnsi="宋体" w:eastAsia="宋体" w:cs="宋体"/>
                        <w:spacing w:val="-2"/>
                        <w:sz w:val="18"/>
                        <w:szCs w:val="18"/>
                      </w:rPr>
                      <w:t>通过?</w:t>
                    </w:r>
                  </w:p>
                  <w:p w14:paraId="23FA154E">
                    <w:pPr>
                      <w:spacing w:before="145" w:line="223" w:lineRule="auto"/>
                      <w:ind w:left="2680"/>
                      <w:rPr>
                        <w:rFonts w:ascii="宋体" w:hAnsi="宋体" w:eastAsia="宋体" w:cs="宋体"/>
                        <w:sz w:val="18"/>
                        <w:szCs w:val="18"/>
                      </w:rPr>
                    </w:pPr>
                    <w:r>
                      <w:rPr>
                        <w:rFonts w:ascii="宋体" w:hAnsi="宋体" w:eastAsia="宋体" w:cs="宋体"/>
                        <w:sz w:val="18"/>
                        <w:szCs w:val="18"/>
                      </w:rPr>
                      <w:t>是</w:t>
                    </w:r>
                  </w:p>
                  <w:p w14:paraId="1BB84882">
                    <w:pPr>
                      <w:spacing w:before="39" w:line="219" w:lineRule="auto"/>
                      <w:ind w:left="1750"/>
                      <w:rPr>
                        <w:rFonts w:ascii="宋体" w:hAnsi="宋体" w:eastAsia="宋体" w:cs="宋体"/>
                        <w:sz w:val="18"/>
                        <w:szCs w:val="18"/>
                      </w:rPr>
                    </w:pPr>
                    <w:r>
                      <w:rPr>
                        <w:rFonts w:ascii="宋体" w:hAnsi="宋体" w:eastAsia="宋体" w:cs="宋体"/>
                        <w:spacing w:val="-9"/>
                        <w:sz w:val="18"/>
                        <w:szCs w:val="18"/>
                      </w:rPr>
                      <w:t>监理工程师审核测试准备情况</w:t>
                    </w:r>
                  </w:p>
                  <w:p w14:paraId="6FB88EC8">
                    <w:pPr>
                      <w:spacing w:before="237" w:line="170" w:lineRule="auto"/>
                      <w:ind w:left="1750"/>
                      <w:rPr>
                        <w:rFonts w:ascii="黑体" w:hAnsi="黑体" w:eastAsia="黑体" w:cs="黑体"/>
                        <w:sz w:val="18"/>
                        <w:szCs w:val="18"/>
                      </w:rPr>
                    </w:pPr>
                    <w:r>
                      <w:rPr>
                        <w:rFonts w:ascii="黑体" w:hAnsi="黑体" w:eastAsia="黑体" w:cs="黑体"/>
                        <w:sz w:val="18"/>
                        <w:szCs w:val="18"/>
                      </w:rPr>
                      <w:t>否</w:t>
                    </w:r>
                  </w:p>
                  <w:p w14:paraId="0F956465">
                    <w:pPr>
                      <w:spacing w:line="145" w:lineRule="exact"/>
                      <w:ind w:left="2430"/>
                      <w:rPr>
                        <w:rFonts w:ascii="黑体" w:hAnsi="黑体" w:eastAsia="黑体" w:cs="黑体"/>
                        <w:sz w:val="18"/>
                        <w:szCs w:val="18"/>
                      </w:rPr>
                    </w:pPr>
                    <w:r>
                      <w:rPr>
                        <w:rFonts w:ascii="黑体" w:hAnsi="黑体" w:eastAsia="黑体" w:cs="黑体"/>
                        <w:spacing w:val="-8"/>
                        <w:position w:val="-3"/>
                        <w:sz w:val="18"/>
                        <w:szCs w:val="18"/>
                      </w:rPr>
                      <w:t>通过?</w:t>
                    </w:r>
                  </w:p>
                  <w:p w14:paraId="3C5766DF">
                    <w:pPr>
                      <w:spacing w:line="150" w:lineRule="exact"/>
                      <w:ind w:right="18"/>
                      <w:jc w:val="right"/>
                      <w:rPr>
                        <w:rFonts w:ascii="宋体" w:hAnsi="宋体" w:eastAsia="宋体" w:cs="宋体"/>
                        <w:sz w:val="18"/>
                        <w:szCs w:val="18"/>
                      </w:rPr>
                    </w:pPr>
                    <w:r>
                      <w:rPr>
                        <w:rFonts w:ascii="宋体" w:hAnsi="宋体" w:eastAsia="宋体" w:cs="宋体"/>
                        <w:spacing w:val="-2"/>
                        <w:position w:val="-1"/>
                        <w:sz w:val="18"/>
                        <w:szCs w:val="18"/>
                      </w:rPr>
                      <w:t>集成测试</w:t>
                    </w:r>
                  </w:p>
                  <w:p w14:paraId="1C63E219">
                    <w:pPr>
                      <w:spacing w:before="1" w:line="184" w:lineRule="auto"/>
                      <w:ind w:left="2829"/>
                      <w:rPr>
                        <w:rFonts w:ascii="宋体" w:hAnsi="宋体" w:eastAsia="宋体" w:cs="宋体"/>
                        <w:sz w:val="18"/>
                        <w:szCs w:val="18"/>
                      </w:rPr>
                    </w:pPr>
                    <w:r>
                      <w:rPr>
                        <w:rFonts w:ascii="宋体" w:hAnsi="宋体" w:eastAsia="宋体" w:cs="宋体"/>
                        <w:sz w:val="18"/>
                        <w:szCs w:val="18"/>
                      </w:rPr>
                      <w:t>是</w:t>
                    </w:r>
                  </w:p>
                  <w:p w14:paraId="2926A5EA">
                    <w:pPr>
                      <w:spacing w:line="163" w:lineRule="auto"/>
                      <w:ind w:right="20"/>
                      <w:jc w:val="right"/>
                      <w:rPr>
                        <w:rFonts w:ascii="宋体" w:hAnsi="宋体" w:eastAsia="宋体" w:cs="宋体"/>
                        <w:sz w:val="18"/>
                        <w:szCs w:val="18"/>
                      </w:rPr>
                    </w:pPr>
                    <w:r>
                      <w:rPr>
                        <w:rFonts w:ascii="宋体" w:hAnsi="宋体" w:eastAsia="宋体" w:cs="宋体"/>
                        <w:spacing w:val="-2"/>
                        <w:sz w:val="18"/>
                        <w:szCs w:val="18"/>
                      </w:rPr>
                      <w:t>功能测试</w:t>
                    </w:r>
                  </w:p>
                  <w:p w14:paraId="295A10F8">
                    <w:pPr>
                      <w:spacing w:before="1" w:line="195" w:lineRule="auto"/>
                      <w:ind w:left="1670"/>
                      <w:rPr>
                        <w:rFonts w:ascii="宋体" w:hAnsi="宋体" w:eastAsia="宋体" w:cs="宋体"/>
                        <w:sz w:val="18"/>
                        <w:szCs w:val="18"/>
                      </w:rPr>
                    </w:pPr>
                    <w:r>
                      <w:rPr>
                        <w:rFonts w:ascii="宋体" w:hAnsi="宋体" w:eastAsia="宋体" w:cs="宋体"/>
                        <w:spacing w:val="-9"/>
                        <w:sz w:val="18"/>
                        <w:szCs w:val="18"/>
                      </w:rPr>
                      <w:t>监理工程师审核测试过程有效性</w:t>
                    </w:r>
                  </w:p>
                  <w:p w14:paraId="15CF1FEE">
                    <w:pPr>
                      <w:spacing w:line="220" w:lineRule="auto"/>
                      <w:ind w:right="19"/>
                      <w:jc w:val="right"/>
                      <w:rPr>
                        <w:rFonts w:ascii="宋体" w:hAnsi="宋体" w:eastAsia="宋体" w:cs="宋体"/>
                        <w:sz w:val="18"/>
                        <w:szCs w:val="18"/>
                      </w:rPr>
                    </w:pPr>
                    <w:r>
                      <w:rPr>
                        <w:rFonts w:ascii="宋体" w:hAnsi="宋体" w:eastAsia="宋体" w:cs="宋体"/>
                        <w:spacing w:val="-2"/>
                        <w:sz w:val="18"/>
                        <w:szCs w:val="18"/>
                      </w:rPr>
                      <w:t>性能测试</w:t>
                    </w:r>
                  </w:p>
                  <w:p w14:paraId="4C8332EA">
                    <w:pPr>
                      <w:spacing w:before="143" w:line="187" w:lineRule="auto"/>
                      <w:ind w:left="1690"/>
                      <w:rPr>
                        <w:rFonts w:ascii="宋体" w:hAnsi="宋体" w:eastAsia="宋体" w:cs="宋体"/>
                        <w:sz w:val="18"/>
                        <w:szCs w:val="18"/>
                      </w:rPr>
                    </w:pPr>
                    <w:r>
                      <w:rPr>
                        <w:rFonts w:ascii="宋体" w:hAnsi="宋体" w:eastAsia="宋体" w:cs="宋体"/>
                        <w:spacing w:val="-10"/>
                        <w:sz w:val="18"/>
                        <w:szCs w:val="18"/>
                      </w:rPr>
                      <w:t>监理工程师审核测试记录和报告</w:t>
                    </w:r>
                  </w:p>
                  <w:p w14:paraId="009CF9C2">
                    <w:pPr>
                      <w:spacing w:line="220" w:lineRule="auto"/>
                      <w:ind w:right="20"/>
                      <w:jc w:val="right"/>
                      <w:rPr>
                        <w:rFonts w:ascii="宋体" w:hAnsi="宋体" w:eastAsia="宋体" w:cs="宋体"/>
                        <w:sz w:val="18"/>
                        <w:szCs w:val="18"/>
                      </w:rPr>
                    </w:pPr>
                    <w:r>
                      <w:rPr>
                        <w:rFonts w:ascii="宋体" w:hAnsi="宋体" w:eastAsia="宋体" w:cs="宋体"/>
                        <w:spacing w:val="-2"/>
                        <w:sz w:val="18"/>
                        <w:szCs w:val="18"/>
                      </w:rPr>
                      <w:t>安全测试</w:t>
                    </w:r>
                  </w:p>
                  <w:p w14:paraId="2FDF53DB">
                    <w:pPr>
                      <w:spacing w:before="124" w:line="159" w:lineRule="auto"/>
                      <w:ind w:right="20"/>
                      <w:jc w:val="right"/>
                      <w:rPr>
                        <w:rFonts w:ascii="宋体" w:hAnsi="宋体" w:eastAsia="宋体" w:cs="宋体"/>
                        <w:sz w:val="18"/>
                        <w:szCs w:val="18"/>
                      </w:rPr>
                    </w:pPr>
                    <w:r>
                      <w:rPr>
                        <w:rFonts w:ascii="宋体" w:hAnsi="宋体" w:eastAsia="宋体" w:cs="宋体"/>
                        <w:spacing w:val="-2"/>
                        <w:sz w:val="18"/>
                        <w:szCs w:val="18"/>
                      </w:rPr>
                      <w:t>安装测试</w:t>
                    </w:r>
                  </w:p>
                  <w:p w14:paraId="42B3581E">
                    <w:pPr>
                      <w:spacing w:line="193" w:lineRule="auto"/>
                      <w:ind w:left="20"/>
                      <w:rPr>
                        <w:rFonts w:ascii="宋体" w:hAnsi="宋体" w:eastAsia="宋体" w:cs="宋体"/>
                        <w:sz w:val="18"/>
                        <w:szCs w:val="18"/>
                      </w:rPr>
                    </w:pPr>
                    <w:r>
                      <w:rPr>
                        <w:rFonts w:ascii="宋体" w:hAnsi="宋体" w:eastAsia="宋体" w:cs="宋体"/>
                        <w:spacing w:val="-8"/>
                        <w:sz w:val="18"/>
                        <w:szCs w:val="18"/>
                      </w:rPr>
                      <w:t>承建单位整改</w:t>
                    </w:r>
                  </w:p>
                  <w:p w14:paraId="18A11112">
                    <w:pPr>
                      <w:spacing w:before="67" w:line="222" w:lineRule="auto"/>
                      <w:ind w:left="2860"/>
                      <w:rPr>
                        <w:rFonts w:ascii="黑体" w:hAnsi="黑体" w:eastAsia="黑体" w:cs="黑体"/>
                        <w:sz w:val="18"/>
                        <w:szCs w:val="18"/>
                      </w:rPr>
                    </w:pPr>
                    <w:r>
                      <w:rPr>
                        <w:rFonts w:ascii="黑体" w:hAnsi="黑体" w:eastAsia="黑体" w:cs="黑体"/>
                        <w:sz w:val="18"/>
                        <w:szCs w:val="18"/>
                      </w:rPr>
                      <w:t>是</w:t>
                    </w:r>
                  </w:p>
                  <w:p w14:paraId="64462807">
                    <w:pPr>
                      <w:spacing w:before="113" w:line="219" w:lineRule="auto"/>
                      <w:ind w:left="1750"/>
                      <w:rPr>
                        <w:rFonts w:ascii="宋体" w:hAnsi="宋体" w:eastAsia="宋体" w:cs="宋体"/>
                        <w:sz w:val="18"/>
                        <w:szCs w:val="18"/>
                      </w:rPr>
                    </w:pPr>
                    <w:r>
                      <w:rPr>
                        <w:rFonts w:ascii="宋体" w:hAnsi="宋体" w:eastAsia="宋体" w:cs="宋体"/>
                        <w:spacing w:val="-8"/>
                        <w:sz w:val="18"/>
                        <w:szCs w:val="18"/>
                      </w:rPr>
                      <w:t>监理工程师签认测试合格证明</w:t>
                    </w:r>
                  </w:p>
                </w:txbxContent>
              </v:textbox>
            </v:shape>
            <v:shape id="_x0000_s1592" o:spid="_x0000_s1592" o:spt="202" type="#_x0000_t202" style="position:absolute;left:109;top:1597;height:220;width:1078;" filled="f" stroked="f" coordsize="21600,21600">
              <v:path/>
              <v:fill on="f" focussize="0,0"/>
              <v:stroke on="f"/>
              <v:imagedata o:title=""/>
              <o:lock v:ext="edit" aspectratio="f"/>
              <v:textbox inset="0mm,0mm,0mm,0mm">
                <w:txbxContent>
                  <w:p w14:paraId="5ACA389A">
                    <w:pPr>
                      <w:spacing w:before="20" w:line="219" w:lineRule="auto"/>
                      <w:ind w:left="20"/>
                      <w:rPr>
                        <w:rFonts w:ascii="宋体" w:hAnsi="宋体" w:eastAsia="宋体" w:cs="宋体"/>
                        <w:sz w:val="18"/>
                        <w:szCs w:val="18"/>
                      </w:rPr>
                    </w:pPr>
                    <w:r>
                      <w:rPr>
                        <w:rFonts w:ascii="宋体" w:hAnsi="宋体" w:eastAsia="宋体" w:cs="宋体"/>
                        <w:spacing w:val="-6"/>
                        <w:sz w:val="18"/>
                        <w:szCs w:val="18"/>
                      </w:rPr>
                      <w:t>承建单位整改</w:t>
                    </w:r>
                  </w:p>
                </w:txbxContent>
              </v:textbox>
            </v:shape>
            <v:shape id="_x0000_s1593" o:spid="_x0000_s1593" o:spt="202" type="#_x0000_t202" style="position:absolute;left:2529;top:4644;height:220;width:482;" filled="f" stroked="f" coordsize="21600,21600">
              <v:path/>
              <v:fill on="f" focussize="0,0"/>
              <v:stroke on="f"/>
              <v:imagedata o:title=""/>
              <o:lock v:ext="edit" aspectratio="f"/>
              <v:textbox inset="0mm,0mm,0mm,0mm">
                <w:txbxContent>
                  <w:p w14:paraId="1E94D61B">
                    <w:pPr>
                      <w:spacing w:before="19" w:line="227" w:lineRule="auto"/>
                      <w:ind w:left="20"/>
                      <w:rPr>
                        <w:rFonts w:ascii="宋体" w:hAnsi="宋体" w:eastAsia="宋体" w:cs="宋体"/>
                        <w:sz w:val="18"/>
                        <w:szCs w:val="18"/>
                      </w:rPr>
                    </w:pPr>
                    <w:r>
                      <w:rPr>
                        <w:rFonts w:ascii="宋体" w:hAnsi="宋体" w:eastAsia="宋体" w:cs="宋体"/>
                        <w:spacing w:val="-2"/>
                        <w:sz w:val="18"/>
                        <w:szCs w:val="18"/>
                      </w:rPr>
                      <w:t>通过?</w:t>
                    </w:r>
                  </w:p>
                </w:txbxContent>
              </v:textbox>
            </v:shape>
            <v:shape id="_x0000_s1594" o:spid="_x0000_s1594" o:spt="202" type="#_x0000_t202" style="position:absolute;left:1929;top:4487;height:220;width:207;" filled="f" stroked="f" coordsize="21600,21600">
              <v:path/>
              <v:fill on="f" focussize="0,0"/>
              <v:stroke on="f"/>
              <v:imagedata o:title=""/>
              <o:lock v:ext="edit" aspectratio="f"/>
              <v:textbox inset="0mm,0mm,0mm,0mm">
                <w:txbxContent>
                  <w:p w14:paraId="4C0EB0AD">
                    <w:pPr>
                      <w:spacing w:before="20" w:line="220" w:lineRule="auto"/>
                      <w:ind w:left="20"/>
                      <w:rPr>
                        <w:rFonts w:ascii="宋体" w:hAnsi="宋体" w:eastAsia="宋体" w:cs="宋体"/>
                        <w:sz w:val="18"/>
                        <w:szCs w:val="18"/>
                      </w:rPr>
                    </w:pPr>
                    <w:r>
                      <w:rPr>
                        <w:rFonts w:ascii="宋体" w:hAnsi="宋体" w:eastAsia="宋体" w:cs="宋体"/>
                        <w:sz w:val="18"/>
                        <w:szCs w:val="18"/>
                      </w:rPr>
                      <w:t>否</w:t>
                    </w:r>
                  </w:p>
                </w:txbxContent>
              </v:textbox>
            </v:shape>
            <w10:wrap type="none"/>
            <w10:anchorlock/>
          </v:group>
        </w:pict>
      </w:r>
    </w:p>
    <w:p w14:paraId="299BF8CC">
      <w:pPr>
        <w:pStyle w:val="2"/>
        <w:spacing w:before="48" w:line="220" w:lineRule="auto"/>
        <w:ind w:left="2949"/>
        <w:rPr>
          <w:sz w:val="18"/>
          <w:szCs w:val="18"/>
        </w:rPr>
      </w:pPr>
      <w:r>
        <w:rPr>
          <w:spacing w:val="1"/>
          <w:sz w:val="18"/>
          <w:szCs w:val="18"/>
        </w:rPr>
        <w:t>图22-1</w:t>
      </w:r>
      <w:r>
        <w:rPr>
          <w:spacing w:val="80"/>
          <w:sz w:val="18"/>
          <w:szCs w:val="18"/>
        </w:rPr>
        <w:t xml:space="preserve"> </w:t>
      </w:r>
      <w:r>
        <w:rPr>
          <w:spacing w:val="1"/>
          <w:sz w:val="18"/>
          <w:szCs w:val="18"/>
        </w:rPr>
        <w:t>测试阶段质量控制流程</w:t>
      </w:r>
    </w:p>
    <w:p w14:paraId="5E22618E">
      <w:pPr>
        <w:spacing w:line="220" w:lineRule="auto"/>
        <w:rPr>
          <w:sz w:val="18"/>
          <w:szCs w:val="18"/>
        </w:rPr>
        <w:sectPr>
          <w:pgSz w:w="10290" w:h="13320"/>
          <w:pgMar w:top="390" w:right="9" w:bottom="400" w:left="1090" w:header="0" w:footer="0" w:gutter="0"/>
          <w:cols w:space="720" w:num="1"/>
        </w:sectPr>
      </w:pPr>
    </w:p>
    <w:p w14:paraId="749927B4">
      <w:pPr>
        <w:pStyle w:val="2"/>
        <w:spacing w:before="98" w:line="219" w:lineRule="auto"/>
        <w:rPr>
          <w:sz w:val="20"/>
          <w:szCs w:val="20"/>
        </w:rPr>
      </w:pPr>
      <w:r>
        <w:rPr>
          <w:rFonts w:ascii="Times New Roman" w:hAnsi="Times New Roman" w:eastAsia="Times New Roman" w:cs="Times New Roman"/>
          <w:spacing w:val="-1"/>
          <w:sz w:val="17"/>
          <w:szCs w:val="17"/>
        </w:rPr>
        <w:t xml:space="preserve">514                 </w:t>
      </w:r>
      <w:r>
        <w:rPr>
          <w:spacing w:val="-1"/>
          <w:sz w:val="20"/>
          <w:szCs w:val="20"/>
        </w:rPr>
        <w:t>信息系统监理师教程(第2版)</w:t>
      </w:r>
    </w:p>
    <w:p w14:paraId="7218DC98">
      <w:pPr>
        <w:spacing w:line="274" w:lineRule="auto"/>
        <w:rPr>
          <w:rFonts w:ascii="Arial"/>
          <w:sz w:val="21"/>
        </w:rPr>
      </w:pPr>
    </w:p>
    <w:p w14:paraId="7EE0BA7C">
      <w:pPr>
        <w:pStyle w:val="2"/>
        <w:spacing w:before="94" w:line="222" w:lineRule="auto"/>
        <w:ind w:left="344"/>
        <w:outlineLvl w:val="0"/>
        <w:rPr>
          <w:rFonts w:ascii="黑体" w:hAnsi="黑体" w:eastAsia="黑体" w:cs="黑体"/>
          <w:sz w:val="29"/>
          <w:szCs w:val="29"/>
        </w:rPr>
      </w:pPr>
      <w:bookmarkStart w:id="736" w:name="bookmark721"/>
      <w:bookmarkEnd w:id="736"/>
      <w:r>
        <w:rPr>
          <w:b/>
          <w:bCs/>
          <w:color w:val="006DB7"/>
          <w:spacing w:val="-9"/>
          <w:sz w:val="29"/>
          <w:szCs w:val="29"/>
        </w:rPr>
        <w:t>22.5</w:t>
      </w:r>
      <w:r>
        <w:rPr>
          <w:color w:val="006DB7"/>
          <w:spacing w:val="110"/>
          <w:sz w:val="29"/>
          <w:szCs w:val="29"/>
        </w:rPr>
        <w:t xml:space="preserve"> </w:t>
      </w:r>
      <w:r>
        <w:rPr>
          <w:rFonts w:ascii="黑体" w:hAnsi="黑体" w:eastAsia="黑体" w:cs="黑体"/>
          <w:b/>
          <w:bCs/>
          <w:color w:val="006DB7"/>
          <w:spacing w:val="-9"/>
          <w:sz w:val="29"/>
          <w:szCs w:val="29"/>
        </w:rPr>
        <w:t>验收阶段监理工作</w:t>
      </w:r>
    </w:p>
    <w:p w14:paraId="3E52864B">
      <w:pPr>
        <w:pStyle w:val="2"/>
        <w:spacing w:before="302" w:line="219" w:lineRule="auto"/>
        <w:ind w:left="759"/>
        <w:rPr>
          <w:sz w:val="20"/>
          <w:szCs w:val="20"/>
        </w:rPr>
      </w:pPr>
      <w:r>
        <w:rPr>
          <w:spacing w:val="-1"/>
          <w:sz w:val="20"/>
          <w:szCs w:val="20"/>
        </w:rPr>
        <w:t>本节重点介绍监理单位在软件工程验收阶段需要执行的监理活动和主要监理内</w:t>
      </w:r>
      <w:r>
        <w:rPr>
          <w:spacing w:val="-2"/>
          <w:sz w:val="20"/>
          <w:szCs w:val="20"/>
        </w:rPr>
        <w:t>容。</w:t>
      </w:r>
    </w:p>
    <w:p w14:paraId="7749E61B">
      <w:pPr>
        <w:pStyle w:val="2"/>
        <w:spacing w:before="223" w:line="220" w:lineRule="auto"/>
        <w:ind w:left="342"/>
        <w:outlineLvl w:val="1"/>
        <w:rPr>
          <w:sz w:val="25"/>
          <w:szCs w:val="25"/>
        </w:rPr>
      </w:pPr>
      <w:r>
        <w:rPr>
          <w:b/>
          <w:bCs/>
          <w:color w:val="147DC4"/>
          <w:spacing w:val="-17"/>
          <w:sz w:val="25"/>
          <w:szCs w:val="25"/>
        </w:rPr>
        <w:t>22.5.1</w:t>
      </w:r>
      <w:r>
        <w:rPr>
          <w:color w:val="147DC4"/>
          <w:spacing w:val="80"/>
          <w:sz w:val="25"/>
          <w:szCs w:val="25"/>
        </w:rPr>
        <w:t xml:space="preserve"> </w:t>
      </w:r>
      <w:r>
        <w:rPr>
          <w:b/>
          <w:bCs/>
          <w:color w:val="147DC4"/>
          <w:spacing w:val="-17"/>
          <w:sz w:val="25"/>
          <w:szCs w:val="25"/>
        </w:rPr>
        <w:t>监理活动</w:t>
      </w:r>
    </w:p>
    <w:p w14:paraId="68272046">
      <w:pPr>
        <w:pStyle w:val="2"/>
        <w:spacing w:before="202" w:line="219" w:lineRule="auto"/>
        <w:ind w:left="759"/>
        <w:rPr>
          <w:sz w:val="20"/>
          <w:szCs w:val="20"/>
        </w:rPr>
      </w:pPr>
      <w:r>
        <w:rPr>
          <w:spacing w:val="-3"/>
          <w:sz w:val="20"/>
          <w:szCs w:val="20"/>
        </w:rPr>
        <w:t>软件工程验收阶段的主要监理活动如下：</w:t>
      </w:r>
    </w:p>
    <w:p w14:paraId="6262A73B">
      <w:pPr>
        <w:pStyle w:val="2"/>
        <w:spacing w:before="61" w:line="219" w:lineRule="auto"/>
        <w:ind w:left="759"/>
        <w:rPr>
          <w:sz w:val="20"/>
          <w:szCs w:val="20"/>
        </w:rPr>
      </w:pPr>
      <w:r>
        <w:rPr>
          <w:spacing w:val="2"/>
          <w:sz w:val="20"/>
          <w:szCs w:val="20"/>
        </w:rPr>
        <w:t>(1)监督培训过程，促使培训达到承建合同要求；</w:t>
      </w:r>
    </w:p>
    <w:p w14:paraId="03731E07">
      <w:pPr>
        <w:pStyle w:val="2"/>
        <w:spacing w:before="74" w:line="262" w:lineRule="auto"/>
        <w:ind w:left="340" w:right="39" w:firstLine="419"/>
        <w:rPr>
          <w:sz w:val="20"/>
          <w:szCs w:val="20"/>
        </w:rPr>
      </w:pPr>
      <w:r>
        <w:rPr>
          <w:spacing w:val="6"/>
          <w:sz w:val="20"/>
          <w:szCs w:val="20"/>
        </w:rPr>
        <w:t>(2)协助业主单位进行初验、试运行和终验的工作，促使软件工程项目最终的功能和性能</w:t>
      </w:r>
      <w:r>
        <w:rPr>
          <w:sz w:val="20"/>
          <w:szCs w:val="20"/>
        </w:rPr>
        <w:t xml:space="preserve"> </w:t>
      </w:r>
      <w:r>
        <w:rPr>
          <w:spacing w:val="-3"/>
          <w:sz w:val="20"/>
          <w:szCs w:val="20"/>
        </w:rPr>
        <w:t>等指标符合承建合同、法律法规和标准的要求；</w:t>
      </w:r>
    </w:p>
    <w:p w14:paraId="0748674D">
      <w:pPr>
        <w:pStyle w:val="2"/>
        <w:spacing w:before="81" w:line="219" w:lineRule="auto"/>
        <w:ind w:left="759"/>
        <w:rPr>
          <w:sz w:val="20"/>
          <w:szCs w:val="20"/>
        </w:rPr>
      </w:pPr>
      <w:r>
        <w:rPr>
          <w:spacing w:val="1"/>
          <w:sz w:val="20"/>
          <w:szCs w:val="20"/>
        </w:rPr>
        <w:t>(3)如适用，协调承建单位配合第三方测评机构进行系统测试；</w:t>
      </w:r>
    </w:p>
    <w:p w14:paraId="71282057">
      <w:pPr>
        <w:pStyle w:val="2"/>
        <w:spacing w:before="74" w:line="275" w:lineRule="auto"/>
        <w:ind w:left="340" w:right="35" w:firstLine="419"/>
        <w:rPr>
          <w:sz w:val="17"/>
          <w:szCs w:val="17"/>
        </w:rPr>
      </w:pPr>
      <w:r>
        <w:rPr>
          <w:spacing w:val="17"/>
          <w:sz w:val="20"/>
          <w:szCs w:val="20"/>
        </w:rPr>
        <w:t>(4)协助业主单位、承建单位进行软件工程项目的移交工作，促使软件工程项</w:t>
      </w:r>
      <w:r>
        <w:rPr>
          <w:spacing w:val="16"/>
          <w:sz w:val="20"/>
          <w:szCs w:val="20"/>
        </w:rPr>
        <w:t>目顺利</w:t>
      </w:r>
      <w:r>
        <w:rPr>
          <w:sz w:val="20"/>
          <w:szCs w:val="20"/>
        </w:rPr>
        <w:t xml:space="preserve"> </w:t>
      </w:r>
      <w:r>
        <w:rPr>
          <w:spacing w:val="-6"/>
          <w:sz w:val="17"/>
          <w:szCs w:val="17"/>
        </w:rPr>
        <w:t>完</w:t>
      </w:r>
      <w:r>
        <w:rPr>
          <w:spacing w:val="-23"/>
          <w:sz w:val="17"/>
          <w:szCs w:val="17"/>
        </w:rPr>
        <w:t xml:space="preserve"> </w:t>
      </w:r>
      <w:r>
        <w:rPr>
          <w:spacing w:val="-6"/>
          <w:sz w:val="17"/>
          <w:szCs w:val="17"/>
        </w:rPr>
        <w:t>成</w:t>
      </w:r>
      <w:r>
        <w:rPr>
          <w:spacing w:val="-31"/>
          <w:sz w:val="17"/>
          <w:szCs w:val="17"/>
        </w:rPr>
        <w:t xml:space="preserve"> </w:t>
      </w:r>
      <w:r>
        <w:rPr>
          <w:spacing w:val="-6"/>
          <w:sz w:val="17"/>
          <w:szCs w:val="17"/>
        </w:rPr>
        <w:t>。</w:t>
      </w:r>
    </w:p>
    <w:p w14:paraId="731D3C8B">
      <w:pPr>
        <w:pStyle w:val="2"/>
        <w:spacing w:before="228" w:line="219" w:lineRule="auto"/>
        <w:ind w:left="342"/>
        <w:rPr>
          <w:sz w:val="25"/>
          <w:szCs w:val="25"/>
        </w:rPr>
      </w:pPr>
      <w:r>
        <w:rPr>
          <w:b/>
          <w:bCs/>
          <w:color w:val="097AC6"/>
          <w:spacing w:val="-18"/>
          <w:sz w:val="25"/>
          <w:szCs w:val="25"/>
        </w:rPr>
        <w:t>22.5.2</w:t>
      </w:r>
      <w:r>
        <w:rPr>
          <w:color w:val="097AC6"/>
          <w:spacing w:val="90"/>
          <w:sz w:val="25"/>
          <w:szCs w:val="25"/>
        </w:rPr>
        <w:t xml:space="preserve"> </w:t>
      </w:r>
      <w:r>
        <w:rPr>
          <w:b/>
          <w:bCs/>
          <w:color w:val="097AC6"/>
          <w:spacing w:val="-18"/>
          <w:sz w:val="25"/>
          <w:szCs w:val="25"/>
        </w:rPr>
        <w:t>监理内容</w:t>
      </w:r>
    </w:p>
    <w:p w14:paraId="470E5D97">
      <w:pPr>
        <w:pStyle w:val="2"/>
        <w:spacing w:before="261" w:line="222" w:lineRule="auto"/>
        <w:ind w:left="762"/>
        <w:rPr>
          <w:rFonts w:ascii="黑体" w:hAnsi="黑体" w:eastAsia="黑体" w:cs="黑体"/>
          <w:sz w:val="20"/>
          <w:szCs w:val="20"/>
        </w:rPr>
      </w:pPr>
      <w:r>
        <w:rPr>
          <w:b/>
          <w:bCs/>
          <w:color w:val="0063A5"/>
          <w:spacing w:val="-2"/>
          <w:sz w:val="20"/>
          <w:szCs w:val="20"/>
        </w:rPr>
        <w:t>1.</w:t>
      </w:r>
      <w:r>
        <w:rPr>
          <w:rFonts w:ascii="黑体" w:hAnsi="黑体" w:eastAsia="黑体" w:cs="黑体"/>
          <w:b/>
          <w:bCs/>
          <w:color w:val="0063A5"/>
          <w:spacing w:val="-2"/>
          <w:sz w:val="20"/>
          <w:szCs w:val="20"/>
        </w:rPr>
        <w:t>项目初验的监理</w:t>
      </w:r>
    </w:p>
    <w:p w14:paraId="47B20C5A">
      <w:pPr>
        <w:pStyle w:val="2"/>
        <w:spacing w:before="153" w:line="219" w:lineRule="auto"/>
        <w:ind w:left="759"/>
        <w:rPr>
          <w:sz w:val="20"/>
          <w:szCs w:val="20"/>
        </w:rPr>
      </w:pPr>
      <w:r>
        <w:rPr>
          <w:spacing w:val="-4"/>
          <w:sz w:val="20"/>
          <w:szCs w:val="20"/>
        </w:rPr>
        <w:t>项目初验的监理内容具体如下：</w:t>
      </w:r>
    </w:p>
    <w:p w14:paraId="0C89BC1B">
      <w:pPr>
        <w:pStyle w:val="2"/>
        <w:spacing w:before="73" w:line="262" w:lineRule="auto"/>
        <w:ind w:left="340" w:firstLine="419"/>
        <w:rPr>
          <w:sz w:val="20"/>
          <w:szCs w:val="20"/>
        </w:rPr>
      </w:pPr>
      <w:r>
        <w:rPr>
          <w:spacing w:val="7"/>
          <w:sz w:val="20"/>
          <w:szCs w:val="20"/>
        </w:rPr>
        <w:t>(1)依据承建合同，与业主单位和承建单位一起，对软件系统功能的完成情况进行检</w:t>
      </w:r>
      <w:r>
        <w:rPr>
          <w:spacing w:val="6"/>
          <w:sz w:val="20"/>
          <w:szCs w:val="20"/>
        </w:rPr>
        <w:t>查，</w:t>
      </w:r>
      <w:r>
        <w:rPr>
          <w:sz w:val="20"/>
          <w:szCs w:val="20"/>
        </w:rPr>
        <w:t xml:space="preserve"> </w:t>
      </w:r>
      <w:r>
        <w:rPr>
          <w:spacing w:val="-3"/>
          <w:sz w:val="20"/>
          <w:szCs w:val="20"/>
        </w:rPr>
        <w:t>形成软件系统功能检查表。</w:t>
      </w:r>
    </w:p>
    <w:p w14:paraId="5A7857CC">
      <w:pPr>
        <w:pStyle w:val="2"/>
        <w:spacing w:before="81" w:line="219" w:lineRule="auto"/>
        <w:ind w:left="759"/>
        <w:rPr>
          <w:sz w:val="20"/>
          <w:szCs w:val="20"/>
        </w:rPr>
      </w:pPr>
      <w:r>
        <w:rPr>
          <w:spacing w:val="2"/>
          <w:sz w:val="20"/>
          <w:szCs w:val="20"/>
        </w:rPr>
        <w:t>(2)依据承建合同，审核承建单位提交的初验申请。初</w:t>
      </w:r>
      <w:r>
        <w:rPr>
          <w:spacing w:val="1"/>
          <w:sz w:val="20"/>
          <w:szCs w:val="20"/>
        </w:rPr>
        <w:t>验应满足如下条件：</w:t>
      </w:r>
    </w:p>
    <w:p w14:paraId="2B8D8140">
      <w:pPr>
        <w:pStyle w:val="2"/>
        <w:spacing w:before="74" w:line="219" w:lineRule="auto"/>
        <w:ind w:left="759"/>
        <w:rPr>
          <w:sz w:val="20"/>
          <w:szCs w:val="20"/>
        </w:rPr>
      </w:pPr>
      <w:r>
        <w:rPr>
          <w:sz w:val="20"/>
          <w:szCs w:val="20"/>
        </w:rPr>
        <w:t>●软件产品已纳入配置管理并可交付；</w:t>
      </w:r>
    </w:p>
    <w:p w14:paraId="03CCDE31">
      <w:pPr>
        <w:pStyle w:val="2"/>
        <w:spacing w:before="83" w:line="219" w:lineRule="auto"/>
        <w:ind w:left="759"/>
        <w:rPr>
          <w:sz w:val="20"/>
          <w:szCs w:val="20"/>
        </w:rPr>
      </w:pPr>
      <w:r>
        <w:rPr>
          <w:spacing w:val="1"/>
          <w:sz w:val="20"/>
          <w:szCs w:val="20"/>
        </w:rPr>
        <w:t>●已提交承建合同规定的项目文档；</w:t>
      </w:r>
    </w:p>
    <w:p w14:paraId="30D4DCBB">
      <w:pPr>
        <w:pStyle w:val="2"/>
        <w:spacing w:before="83" w:line="219" w:lineRule="auto"/>
        <w:ind w:left="759"/>
        <w:rPr>
          <w:sz w:val="20"/>
          <w:szCs w:val="20"/>
        </w:rPr>
      </w:pPr>
      <w:r>
        <w:rPr>
          <w:spacing w:val="2"/>
          <w:sz w:val="20"/>
          <w:szCs w:val="20"/>
        </w:rPr>
        <w:t>●软件系统已通过测试。</w:t>
      </w:r>
    </w:p>
    <w:p w14:paraId="29C43BF3">
      <w:pPr>
        <w:pStyle w:val="2"/>
        <w:spacing w:before="102" w:line="248" w:lineRule="auto"/>
        <w:ind w:left="340" w:right="41" w:firstLine="419"/>
        <w:rPr>
          <w:sz w:val="20"/>
          <w:szCs w:val="20"/>
        </w:rPr>
      </w:pPr>
      <w:r>
        <w:rPr>
          <w:spacing w:val="6"/>
          <w:sz w:val="20"/>
          <w:szCs w:val="20"/>
        </w:rPr>
        <w:t>(3)要求承建单位提交验收方案。验收方案应包括验收范围、各方责任、验收标</w:t>
      </w:r>
      <w:r>
        <w:rPr>
          <w:spacing w:val="5"/>
          <w:sz w:val="20"/>
          <w:szCs w:val="20"/>
        </w:rPr>
        <w:t>准、验收</w:t>
      </w:r>
      <w:r>
        <w:rPr>
          <w:sz w:val="20"/>
          <w:szCs w:val="20"/>
        </w:rPr>
        <w:t xml:space="preserve"> </w:t>
      </w:r>
      <w:r>
        <w:rPr>
          <w:spacing w:val="-4"/>
          <w:sz w:val="20"/>
          <w:szCs w:val="20"/>
        </w:rPr>
        <w:t>方式和验收成果等内容。</w:t>
      </w:r>
    </w:p>
    <w:p w14:paraId="68F4DADA">
      <w:pPr>
        <w:pStyle w:val="2"/>
        <w:spacing w:before="71" w:line="218" w:lineRule="auto"/>
        <w:ind w:left="759"/>
        <w:rPr>
          <w:sz w:val="20"/>
          <w:szCs w:val="20"/>
        </w:rPr>
      </w:pPr>
      <w:r>
        <w:rPr>
          <w:spacing w:val="1"/>
          <w:sz w:val="20"/>
          <w:szCs w:val="20"/>
        </w:rPr>
        <w:t>(4)协助业主单位组织项目初验，评价系统满足以下要求的程度：</w:t>
      </w:r>
    </w:p>
    <w:p w14:paraId="5A71EF28">
      <w:pPr>
        <w:pStyle w:val="2"/>
        <w:spacing w:before="76" w:line="219" w:lineRule="auto"/>
        <w:ind w:left="759"/>
        <w:rPr>
          <w:sz w:val="20"/>
          <w:szCs w:val="20"/>
        </w:rPr>
      </w:pPr>
      <w:r>
        <w:rPr>
          <w:spacing w:val="3"/>
          <w:sz w:val="20"/>
          <w:szCs w:val="20"/>
        </w:rPr>
        <w:t>●与承建合同的一致性；</w:t>
      </w:r>
    </w:p>
    <w:p w14:paraId="01002280">
      <w:pPr>
        <w:pStyle w:val="2"/>
        <w:spacing w:before="93" w:line="220" w:lineRule="auto"/>
        <w:ind w:left="759"/>
        <w:rPr>
          <w:sz w:val="20"/>
          <w:szCs w:val="20"/>
        </w:rPr>
      </w:pPr>
      <w:r>
        <w:rPr>
          <w:spacing w:val="3"/>
          <w:sz w:val="20"/>
          <w:szCs w:val="20"/>
        </w:rPr>
        <w:t>●与系统需求的一致性；</w:t>
      </w:r>
    </w:p>
    <w:p w14:paraId="536962EA">
      <w:pPr>
        <w:pStyle w:val="2"/>
        <w:spacing w:before="81" w:line="256" w:lineRule="auto"/>
        <w:ind w:left="1029" w:right="41" w:hanging="270"/>
        <w:rPr>
          <w:sz w:val="20"/>
          <w:szCs w:val="20"/>
        </w:rPr>
      </w:pPr>
      <w:r>
        <w:rPr>
          <w:spacing w:val="4"/>
          <w:sz w:val="20"/>
          <w:szCs w:val="20"/>
        </w:rPr>
        <w:t>●与预期结果的符合性，包括但不限于与信息</w:t>
      </w:r>
      <w:r>
        <w:rPr>
          <w:spacing w:val="3"/>
          <w:sz w:val="20"/>
          <w:szCs w:val="20"/>
        </w:rPr>
        <w:t>资源规划、业务流程再造需求、业务持续改</w:t>
      </w:r>
      <w:r>
        <w:rPr>
          <w:sz w:val="20"/>
          <w:szCs w:val="20"/>
        </w:rPr>
        <w:t xml:space="preserve"> </w:t>
      </w:r>
      <w:r>
        <w:rPr>
          <w:spacing w:val="-3"/>
          <w:sz w:val="20"/>
          <w:szCs w:val="20"/>
        </w:rPr>
        <w:t>进需求和业务指标评价体系的符合性；</w:t>
      </w:r>
    </w:p>
    <w:p w14:paraId="197A0150">
      <w:pPr>
        <w:pStyle w:val="2"/>
        <w:spacing w:before="86" w:line="219" w:lineRule="auto"/>
        <w:ind w:left="759"/>
        <w:rPr>
          <w:sz w:val="20"/>
          <w:szCs w:val="20"/>
        </w:rPr>
      </w:pPr>
      <w:r>
        <w:rPr>
          <w:spacing w:val="2"/>
          <w:sz w:val="20"/>
          <w:szCs w:val="20"/>
        </w:rPr>
        <w:t>●与业务需求的符合性；</w:t>
      </w:r>
    </w:p>
    <w:p w14:paraId="080B4411">
      <w:pPr>
        <w:pStyle w:val="2"/>
        <w:spacing w:before="73" w:line="220" w:lineRule="auto"/>
        <w:ind w:left="759"/>
        <w:rPr>
          <w:sz w:val="20"/>
          <w:szCs w:val="20"/>
        </w:rPr>
      </w:pPr>
      <w:r>
        <w:rPr>
          <w:spacing w:val="2"/>
          <w:sz w:val="20"/>
          <w:szCs w:val="20"/>
        </w:rPr>
        <w:t>●与运行环境的适应性；</w:t>
      </w:r>
    </w:p>
    <w:p w14:paraId="5218BE79">
      <w:pPr>
        <w:pStyle w:val="2"/>
        <w:spacing w:before="82" w:line="220" w:lineRule="auto"/>
        <w:ind w:left="759"/>
        <w:rPr>
          <w:sz w:val="20"/>
          <w:szCs w:val="20"/>
        </w:rPr>
      </w:pPr>
      <w:r>
        <w:rPr>
          <w:spacing w:val="2"/>
          <w:sz w:val="20"/>
          <w:szCs w:val="20"/>
        </w:rPr>
        <w:t>●运行和维护的可行性。</w:t>
      </w:r>
    </w:p>
    <w:p w14:paraId="6BEC18C3">
      <w:pPr>
        <w:pStyle w:val="2"/>
        <w:spacing w:before="81" w:line="219" w:lineRule="auto"/>
        <w:ind w:left="759"/>
        <w:rPr>
          <w:sz w:val="20"/>
          <w:szCs w:val="20"/>
        </w:rPr>
      </w:pPr>
      <w:r>
        <w:rPr>
          <w:spacing w:val="3"/>
          <w:sz w:val="20"/>
          <w:szCs w:val="20"/>
        </w:rPr>
        <w:t>(5)对验收中发现的问题予以记录。</w:t>
      </w:r>
    </w:p>
    <w:p w14:paraId="1333012F">
      <w:pPr>
        <w:pStyle w:val="2"/>
        <w:spacing w:before="80" w:line="249" w:lineRule="auto"/>
        <w:ind w:left="340" w:right="38" w:firstLine="419"/>
        <w:rPr>
          <w:sz w:val="20"/>
          <w:szCs w:val="20"/>
        </w:rPr>
      </w:pPr>
      <w:r>
        <w:rPr>
          <w:spacing w:val="6"/>
          <w:sz w:val="20"/>
          <w:szCs w:val="20"/>
        </w:rPr>
        <w:t>(6)协助业主单位组织对初验中发现的质量问题进行评估，根据质量问题的性质和影响范</w:t>
      </w:r>
      <w:r>
        <w:rPr>
          <w:sz w:val="20"/>
          <w:szCs w:val="20"/>
        </w:rPr>
        <w:t xml:space="preserve"> 围，确定整改要求和整改后的确认方式，必</w:t>
      </w:r>
      <w:r>
        <w:rPr>
          <w:spacing w:val="-1"/>
          <w:sz w:val="20"/>
          <w:szCs w:val="20"/>
        </w:rPr>
        <w:t>要时，应组织重新验收。</w:t>
      </w:r>
    </w:p>
    <w:p w14:paraId="2845B8FB">
      <w:pPr>
        <w:pStyle w:val="2"/>
        <w:spacing w:before="61" w:line="218" w:lineRule="auto"/>
        <w:ind w:left="759"/>
        <w:rPr>
          <w:sz w:val="20"/>
          <w:szCs w:val="20"/>
        </w:rPr>
      </w:pPr>
      <w:r>
        <w:rPr>
          <w:spacing w:val="3"/>
          <w:sz w:val="20"/>
          <w:szCs w:val="20"/>
        </w:rPr>
        <w:t>(7)参与对初验结果的确认，签署初验报告。</w:t>
      </w:r>
    </w:p>
    <w:p w14:paraId="49B66D1E">
      <w:pPr>
        <w:spacing w:line="218" w:lineRule="auto"/>
        <w:rPr>
          <w:sz w:val="20"/>
          <w:szCs w:val="20"/>
        </w:rPr>
        <w:sectPr>
          <w:pgSz w:w="10300" w:h="13420"/>
          <w:pgMar w:top="400" w:right="1040" w:bottom="400" w:left="520" w:header="0" w:footer="0" w:gutter="0"/>
          <w:cols w:space="720" w:num="1"/>
        </w:sectPr>
      </w:pPr>
    </w:p>
    <w:p w14:paraId="64C3554E">
      <w:pPr>
        <w:pStyle w:val="2"/>
        <w:jc w:val="right"/>
        <w:rPr>
          <w:sz w:val="19"/>
          <w:szCs w:val="19"/>
        </w:rPr>
      </w:pPr>
      <w:r>
        <w:rPr>
          <w:spacing w:val="4"/>
          <w:sz w:val="19"/>
          <w:szCs w:val="19"/>
        </w:rPr>
        <w:t>第22章</w:t>
      </w:r>
      <w:r>
        <w:rPr>
          <w:spacing w:val="34"/>
          <w:w w:val="101"/>
          <w:sz w:val="19"/>
          <w:szCs w:val="19"/>
        </w:rPr>
        <w:t xml:space="preserve"> </w:t>
      </w:r>
      <w:r>
        <w:rPr>
          <w:spacing w:val="4"/>
          <w:sz w:val="19"/>
          <w:szCs w:val="19"/>
        </w:rPr>
        <w:t xml:space="preserve">软件工程监理 </w:t>
      </w:r>
      <w:r>
        <w:rPr>
          <w:position w:val="-13"/>
          <w:sz w:val="19"/>
          <w:szCs w:val="19"/>
        </w:rPr>
        <w:drawing>
          <wp:inline distT="0" distB="0" distL="0" distR="0">
            <wp:extent cx="316865" cy="241300"/>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326"/>
                    <a:stretch>
                      <a:fillRect/>
                    </a:stretch>
                  </pic:blipFill>
                  <pic:spPr>
                    <a:xfrm>
                      <a:off x="0" y="0"/>
                      <a:ext cx="317494" cy="241300"/>
                    </a:xfrm>
                    <a:prstGeom prst="rect">
                      <a:avLst/>
                    </a:prstGeom>
                  </pic:spPr>
                </pic:pic>
              </a:graphicData>
            </a:graphic>
          </wp:inline>
        </w:drawing>
      </w:r>
      <w:r>
        <w:rPr>
          <w:rFonts w:ascii="Times New Roman" w:hAnsi="Times New Roman" w:eastAsia="Times New Roman" w:cs="Times New Roman"/>
          <w:spacing w:val="4"/>
          <w:sz w:val="19"/>
          <w:szCs w:val="19"/>
        </w:rPr>
        <w:t xml:space="preserve">515  </w:t>
      </w:r>
      <w:r>
        <w:rPr>
          <w:position w:val="-10"/>
          <w:sz w:val="19"/>
          <w:szCs w:val="19"/>
        </w:rPr>
        <w:drawing>
          <wp:inline distT="0" distB="0" distL="0" distR="0">
            <wp:extent cx="292100" cy="196215"/>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327"/>
                    <a:stretch>
                      <a:fillRect/>
                    </a:stretch>
                  </pic:blipFill>
                  <pic:spPr>
                    <a:xfrm>
                      <a:off x="0" y="0"/>
                      <a:ext cx="292141" cy="196843"/>
                    </a:xfrm>
                    <a:prstGeom prst="rect">
                      <a:avLst/>
                    </a:prstGeom>
                  </pic:spPr>
                </pic:pic>
              </a:graphicData>
            </a:graphic>
          </wp:inline>
        </w:drawing>
      </w:r>
    </w:p>
    <w:p w14:paraId="26188B4A">
      <w:pPr>
        <w:spacing w:line="259" w:lineRule="auto"/>
        <w:rPr>
          <w:rFonts w:ascii="Arial"/>
          <w:sz w:val="21"/>
        </w:rPr>
      </w:pPr>
    </w:p>
    <w:p w14:paraId="474641A0">
      <w:pPr>
        <w:pStyle w:val="2"/>
        <w:spacing w:before="62" w:line="221" w:lineRule="auto"/>
        <w:ind w:left="412"/>
        <w:rPr>
          <w:rFonts w:ascii="黑体" w:hAnsi="黑体" w:eastAsia="黑体" w:cs="黑体"/>
          <w:sz w:val="19"/>
          <w:szCs w:val="19"/>
        </w:rPr>
      </w:pPr>
      <w:bookmarkStart w:id="737" w:name="bookmark722"/>
      <w:bookmarkEnd w:id="737"/>
      <w:r>
        <w:rPr>
          <w:b/>
          <w:bCs/>
          <w:color w:val="0082D9"/>
          <w:spacing w:val="4"/>
          <w:sz w:val="19"/>
          <w:szCs w:val="19"/>
        </w:rPr>
        <w:t>2.</w:t>
      </w:r>
      <w:r>
        <w:rPr>
          <w:color w:val="0082D9"/>
          <w:spacing w:val="-54"/>
          <w:sz w:val="19"/>
          <w:szCs w:val="19"/>
        </w:rPr>
        <w:t xml:space="preserve"> </w:t>
      </w:r>
      <w:r>
        <w:rPr>
          <w:rFonts w:ascii="黑体" w:hAnsi="黑体" w:eastAsia="黑体" w:cs="黑体"/>
          <w:b/>
          <w:bCs/>
          <w:color w:val="0082D9"/>
          <w:spacing w:val="4"/>
          <w:sz w:val="19"/>
          <w:szCs w:val="19"/>
        </w:rPr>
        <w:t>系统试运行的监理</w:t>
      </w:r>
    </w:p>
    <w:p w14:paraId="128E17FD">
      <w:pPr>
        <w:pStyle w:val="2"/>
        <w:spacing w:before="157" w:line="219" w:lineRule="auto"/>
        <w:ind w:left="410"/>
        <w:rPr>
          <w:sz w:val="19"/>
          <w:szCs w:val="19"/>
        </w:rPr>
      </w:pPr>
      <w:r>
        <w:rPr>
          <w:spacing w:val="5"/>
          <w:sz w:val="19"/>
          <w:szCs w:val="19"/>
        </w:rPr>
        <w:t>系统试运行的监理内容具体如下：</w:t>
      </w:r>
    </w:p>
    <w:p w14:paraId="75488E88">
      <w:pPr>
        <w:pStyle w:val="2"/>
        <w:spacing w:before="93" w:line="219" w:lineRule="auto"/>
        <w:ind w:left="410"/>
        <w:rPr>
          <w:sz w:val="19"/>
          <w:szCs w:val="19"/>
        </w:rPr>
      </w:pPr>
      <w:r>
        <w:rPr>
          <w:spacing w:val="11"/>
          <w:sz w:val="19"/>
          <w:szCs w:val="19"/>
        </w:rPr>
        <w:t>(1)要求承建单位提交系统试运行计划，报业主单位审核确认</w:t>
      </w:r>
      <w:r>
        <w:rPr>
          <w:spacing w:val="10"/>
          <w:sz w:val="19"/>
          <w:szCs w:val="19"/>
        </w:rPr>
        <w:t>后，督促其实施；</w:t>
      </w:r>
    </w:p>
    <w:p w14:paraId="02B7697E">
      <w:pPr>
        <w:pStyle w:val="2"/>
        <w:spacing w:before="65" w:line="275" w:lineRule="auto"/>
        <w:ind w:right="815" w:firstLine="410"/>
        <w:rPr>
          <w:sz w:val="19"/>
          <w:szCs w:val="19"/>
        </w:rPr>
      </w:pPr>
      <w:r>
        <w:rPr>
          <w:spacing w:val="11"/>
          <w:sz w:val="19"/>
          <w:szCs w:val="19"/>
        </w:rPr>
        <w:t>(2)如需要进行新旧系统切换，在系统切换前要求承建单位提交系统切换及数据迁移申请，</w:t>
      </w:r>
      <w:r>
        <w:rPr>
          <w:spacing w:val="17"/>
          <w:sz w:val="19"/>
          <w:szCs w:val="19"/>
        </w:rPr>
        <w:t xml:space="preserve"> </w:t>
      </w:r>
      <w:r>
        <w:rPr>
          <w:spacing w:val="3"/>
          <w:sz w:val="19"/>
          <w:szCs w:val="19"/>
        </w:rPr>
        <w:t>审核后报业主单位确认；</w:t>
      </w:r>
    </w:p>
    <w:p w14:paraId="37FB1891">
      <w:pPr>
        <w:pStyle w:val="2"/>
        <w:spacing w:before="63" w:line="276" w:lineRule="auto"/>
        <w:ind w:right="870" w:firstLine="410"/>
        <w:rPr>
          <w:sz w:val="19"/>
          <w:szCs w:val="19"/>
        </w:rPr>
      </w:pPr>
      <w:r>
        <w:rPr>
          <w:spacing w:val="15"/>
          <w:sz w:val="19"/>
          <w:szCs w:val="19"/>
        </w:rPr>
        <w:t>(3)督促承建单位做好试运行记录，及时解决试运行过程中发现的问题和不合格项，形成</w:t>
      </w:r>
      <w:r>
        <w:rPr>
          <w:spacing w:val="3"/>
          <w:sz w:val="19"/>
          <w:szCs w:val="19"/>
        </w:rPr>
        <w:t xml:space="preserve"> </w:t>
      </w:r>
      <w:r>
        <w:rPr>
          <w:spacing w:val="2"/>
          <w:sz w:val="19"/>
          <w:szCs w:val="19"/>
        </w:rPr>
        <w:t>系统问题跟踪记录；</w:t>
      </w:r>
    </w:p>
    <w:p w14:paraId="48AA4AE1">
      <w:pPr>
        <w:pStyle w:val="2"/>
        <w:spacing w:before="70" w:line="281" w:lineRule="auto"/>
        <w:ind w:right="871" w:firstLine="410"/>
        <w:rPr>
          <w:sz w:val="19"/>
          <w:szCs w:val="19"/>
        </w:rPr>
      </w:pPr>
      <w:r>
        <w:rPr>
          <w:spacing w:val="15"/>
          <w:sz w:val="19"/>
          <w:szCs w:val="19"/>
        </w:rPr>
        <w:t>(4)系统试运行发生项目变更的，宜组织业主单位和承建单位对变更风险进行评估，包括</w:t>
      </w:r>
      <w:r>
        <w:rPr>
          <w:spacing w:val="1"/>
          <w:sz w:val="19"/>
          <w:szCs w:val="19"/>
        </w:rPr>
        <w:t xml:space="preserve"> </w:t>
      </w:r>
      <w:r>
        <w:rPr>
          <w:spacing w:val="13"/>
          <w:sz w:val="19"/>
          <w:szCs w:val="19"/>
        </w:rPr>
        <w:t>对新旧系统的影响，对费用、效益、质量和进度等的影响，做好与变更有关的申请、评估、计</w:t>
      </w:r>
      <w:r>
        <w:rPr>
          <w:spacing w:val="4"/>
          <w:sz w:val="19"/>
          <w:szCs w:val="19"/>
        </w:rPr>
        <w:t xml:space="preserve"> </w:t>
      </w:r>
      <w:r>
        <w:rPr>
          <w:spacing w:val="7"/>
          <w:sz w:val="19"/>
          <w:szCs w:val="19"/>
        </w:rPr>
        <w:t>划、实施、验证等活动的记录和文档资料的保管；</w:t>
      </w:r>
    </w:p>
    <w:p w14:paraId="29BE4339">
      <w:pPr>
        <w:pStyle w:val="2"/>
        <w:spacing w:before="93" w:line="218" w:lineRule="auto"/>
        <w:ind w:left="410"/>
        <w:rPr>
          <w:sz w:val="19"/>
          <w:szCs w:val="19"/>
        </w:rPr>
      </w:pPr>
      <w:r>
        <w:rPr>
          <w:spacing w:val="11"/>
          <w:sz w:val="19"/>
          <w:szCs w:val="19"/>
        </w:rPr>
        <w:t>(5)要求承建单位提交系统试运行报告；</w:t>
      </w:r>
    </w:p>
    <w:p w14:paraId="6A6B3CEC">
      <w:pPr>
        <w:pStyle w:val="2"/>
        <w:spacing w:before="98" w:line="219" w:lineRule="auto"/>
        <w:ind w:left="410"/>
        <w:rPr>
          <w:sz w:val="19"/>
          <w:szCs w:val="19"/>
        </w:rPr>
      </w:pPr>
      <w:r>
        <w:rPr>
          <w:spacing w:val="13"/>
          <w:sz w:val="19"/>
          <w:szCs w:val="19"/>
        </w:rPr>
        <w:t>(6)协调业主单位和/或使用单位提交系统使用意</w:t>
      </w:r>
      <w:r>
        <w:rPr>
          <w:spacing w:val="12"/>
          <w:sz w:val="19"/>
          <w:szCs w:val="19"/>
        </w:rPr>
        <w:t>见。</w:t>
      </w:r>
    </w:p>
    <w:p w14:paraId="58818F0E">
      <w:pPr>
        <w:pStyle w:val="2"/>
        <w:spacing w:before="180" w:line="222" w:lineRule="auto"/>
        <w:ind w:left="412"/>
        <w:rPr>
          <w:rFonts w:ascii="黑体" w:hAnsi="黑体" w:eastAsia="黑体" w:cs="黑体"/>
          <w:sz w:val="19"/>
          <w:szCs w:val="19"/>
        </w:rPr>
      </w:pPr>
      <w:r>
        <w:rPr>
          <w:b/>
          <w:bCs/>
          <w:color w:val="0081D7"/>
          <w:spacing w:val="9"/>
          <w:sz w:val="19"/>
          <w:szCs w:val="19"/>
        </w:rPr>
        <w:t>3.</w:t>
      </w:r>
      <w:r>
        <w:rPr>
          <w:rFonts w:ascii="黑体" w:hAnsi="黑体" w:eastAsia="黑体" w:cs="黑体"/>
          <w:b/>
          <w:bCs/>
          <w:color w:val="0081D7"/>
          <w:spacing w:val="9"/>
          <w:sz w:val="19"/>
          <w:szCs w:val="19"/>
        </w:rPr>
        <w:t>项目终验的监理</w:t>
      </w:r>
    </w:p>
    <w:p w14:paraId="48182495">
      <w:pPr>
        <w:pStyle w:val="2"/>
        <w:spacing w:before="156" w:line="219" w:lineRule="auto"/>
        <w:ind w:left="410"/>
        <w:rPr>
          <w:sz w:val="19"/>
          <w:szCs w:val="19"/>
        </w:rPr>
      </w:pPr>
      <w:r>
        <w:rPr>
          <w:spacing w:val="5"/>
          <w:sz w:val="19"/>
          <w:szCs w:val="19"/>
        </w:rPr>
        <w:t>系统终验的监理内容具体如下：</w:t>
      </w:r>
    </w:p>
    <w:p w14:paraId="5A00176A">
      <w:pPr>
        <w:pStyle w:val="2"/>
        <w:spacing w:before="84" w:line="219" w:lineRule="auto"/>
        <w:ind w:left="410"/>
        <w:rPr>
          <w:sz w:val="19"/>
          <w:szCs w:val="19"/>
        </w:rPr>
      </w:pPr>
      <w:r>
        <w:rPr>
          <w:spacing w:val="10"/>
          <w:sz w:val="19"/>
          <w:szCs w:val="19"/>
        </w:rPr>
        <w:t>(1)协助业主单位确认是否满足终验条件：</w:t>
      </w:r>
    </w:p>
    <w:p w14:paraId="69522671">
      <w:pPr>
        <w:pStyle w:val="2"/>
        <w:spacing w:before="95" w:line="219" w:lineRule="auto"/>
        <w:ind w:left="410"/>
        <w:rPr>
          <w:sz w:val="19"/>
          <w:szCs w:val="19"/>
        </w:rPr>
      </w:pPr>
      <w:r>
        <w:rPr>
          <w:spacing w:val="10"/>
          <w:sz w:val="19"/>
          <w:szCs w:val="19"/>
        </w:rPr>
        <w:t>(2)审核承建单位提交的终验方案；</w:t>
      </w:r>
    </w:p>
    <w:p w14:paraId="0DC33988">
      <w:pPr>
        <w:pStyle w:val="2"/>
        <w:spacing w:before="83" w:line="218" w:lineRule="auto"/>
        <w:ind w:left="410"/>
        <w:rPr>
          <w:sz w:val="19"/>
          <w:szCs w:val="19"/>
        </w:rPr>
      </w:pPr>
      <w:r>
        <w:rPr>
          <w:spacing w:val="10"/>
          <w:sz w:val="19"/>
          <w:szCs w:val="19"/>
        </w:rPr>
        <w:t>(3)参与终验，签署终验报告，验收活动和结果应形成文档；</w:t>
      </w:r>
    </w:p>
    <w:p w14:paraId="0663AB2A">
      <w:pPr>
        <w:pStyle w:val="2"/>
        <w:spacing w:before="96" w:line="219" w:lineRule="auto"/>
        <w:ind w:left="410"/>
        <w:rPr>
          <w:sz w:val="19"/>
          <w:szCs w:val="19"/>
        </w:rPr>
      </w:pPr>
      <w:r>
        <w:rPr>
          <w:spacing w:val="10"/>
          <w:sz w:val="19"/>
          <w:szCs w:val="19"/>
        </w:rPr>
        <w:t>(4)督促承建单位解决终验中发现的问题和不合格项；</w:t>
      </w:r>
    </w:p>
    <w:p w14:paraId="42A1DAE8">
      <w:pPr>
        <w:pStyle w:val="2"/>
        <w:spacing w:before="65" w:line="270" w:lineRule="auto"/>
        <w:ind w:right="891" w:firstLine="410"/>
        <w:rPr>
          <w:sz w:val="19"/>
          <w:szCs w:val="19"/>
        </w:rPr>
      </w:pPr>
      <w:r>
        <w:rPr>
          <w:spacing w:val="15"/>
          <w:sz w:val="19"/>
          <w:szCs w:val="19"/>
        </w:rPr>
        <w:t>(5)要求承建单位提交项目移交申请，宜包括软</w:t>
      </w:r>
      <w:r>
        <w:rPr>
          <w:spacing w:val="14"/>
          <w:sz w:val="19"/>
          <w:szCs w:val="19"/>
        </w:rPr>
        <w:t>件交付清单、相关工程文档和必要的联系</w:t>
      </w:r>
      <w:r>
        <w:rPr>
          <w:sz w:val="19"/>
          <w:szCs w:val="19"/>
        </w:rPr>
        <w:t xml:space="preserve"> </w:t>
      </w:r>
      <w:r>
        <w:rPr>
          <w:spacing w:val="7"/>
          <w:sz w:val="19"/>
          <w:szCs w:val="19"/>
        </w:rPr>
        <w:t>信息，并做好交接记录，形成软件工程项目移交清单；</w:t>
      </w:r>
    </w:p>
    <w:p w14:paraId="52841773">
      <w:pPr>
        <w:pStyle w:val="2"/>
        <w:spacing w:before="63" w:line="227" w:lineRule="auto"/>
        <w:ind w:right="869" w:firstLine="410"/>
        <w:rPr>
          <w:sz w:val="19"/>
          <w:szCs w:val="19"/>
        </w:rPr>
      </w:pPr>
      <w:r>
        <w:rPr>
          <w:spacing w:val="15"/>
          <w:sz w:val="19"/>
          <w:szCs w:val="19"/>
        </w:rPr>
        <w:t>(6)审核承建单位所提供的工程各阶段形成的技术、管理文档的内容和种类，确保验收文</w:t>
      </w:r>
      <w:r>
        <w:rPr>
          <w:spacing w:val="4"/>
          <w:sz w:val="19"/>
          <w:szCs w:val="19"/>
        </w:rPr>
        <w:t xml:space="preserve"> </w:t>
      </w:r>
      <w:r>
        <w:rPr>
          <w:spacing w:val="3"/>
          <w:sz w:val="19"/>
          <w:szCs w:val="19"/>
        </w:rPr>
        <w:t>档符合相关标准；</w:t>
      </w:r>
    </w:p>
    <w:p w14:paraId="407C01BB">
      <w:pPr>
        <w:pStyle w:val="2"/>
        <w:spacing w:before="14" w:line="160" w:lineRule="auto"/>
        <w:ind w:left="5999"/>
        <w:rPr>
          <w:sz w:val="19"/>
          <w:szCs w:val="19"/>
        </w:rPr>
      </w:pPr>
      <w:r>
        <w:drawing>
          <wp:anchor distT="0" distB="0" distL="0" distR="0" simplePos="0" relativeHeight="251826176" behindDoc="1" locked="0" layoutInCell="1" allowOverlap="1">
            <wp:simplePos x="0" y="0"/>
            <wp:positionH relativeFrom="column">
              <wp:posOffset>2743200</wp:posOffset>
            </wp:positionH>
            <wp:positionV relativeFrom="paragraph">
              <wp:posOffset>-97155</wp:posOffset>
            </wp:positionV>
            <wp:extent cx="2603500" cy="2749550"/>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328"/>
                    <a:stretch>
                      <a:fillRect/>
                    </a:stretch>
                  </pic:blipFill>
                  <pic:spPr>
                    <a:xfrm>
                      <a:off x="0" y="0"/>
                      <a:ext cx="2603466" cy="2749556"/>
                    </a:xfrm>
                    <a:prstGeom prst="rect">
                      <a:avLst/>
                    </a:prstGeom>
                  </pic:spPr>
                </pic:pic>
              </a:graphicData>
            </a:graphic>
          </wp:anchor>
        </w:drawing>
      </w:r>
      <w:r>
        <w:rPr>
          <w:spacing w:val="-18"/>
          <w:sz w:val="19"/>
          <w:szCs w:val="19"/>
        </w:rPr>
        <w:t>承建单位提交系统试运行申请</w:t>
      </w:r>
    </w:p>
    <w:p w14:paraId="0EC18C23">
      <w:pPr>
        <w:pStyle w:val="2"/>
        <w:spacing w:before="1" w:line="253" w:lineRule="auto"/>
        <w:ind w:right="5109" w:firstLine="410"/>
        <w:rPr>
          <w:sz w:val="19"/>
          <w:szCs w:val="19"/>
        </w:rPr>
      </w:pPr>
      <w:r>
        <w:rPr>
          <w:spacing w:val="18"/>
          <w:sz w:val="19"/>
          <w:szCs w:val="19"/>
        </w:rPr>
        <w:t>(7)依据承建合同审核承建单位提交的工</w:t>
      </w:r>
      <w:r>
        <w:rPr>
          <w:spacing w:val="12"/>
          <w:sz w:val="19"/>
          <w:szCs w:val="19"/>
        </w:rPr>
        <w:t xml:space="preserve"> </w:t>
      </w:r>
      <w:r>
        <w:rPr>
          <w:spacing w:val="6"/>
          <w:sz w:val="19"/>
          <w:szCs w:val="19"/>
        </w:rPr>
        <w:t>程结算；</w:t>
      </w:r>
    </w:p>
    <w:p w14:paraId="6A8B16AE">
      <w:pPr>
        <w:pStyle w:val="2"/>
        <w:spacing w:before="45" w:line="235" w:lineRule="auto"/>
        <w:ind w:left="410"/>
        <w:rPr>
          <w:sz w:val="19"/>
          <w:szCs w:val="19"/>
        </w:rPr>
      </w:pPr>
      <w:r>
        <w:rPr>
          <w:spacing w:val="5"/>
          <w:position w:val="-1"/>
          <w:sz w:val="19"/>
          <w:szCs w:val="19"/>
        </w:rPr>
        <w:t xml:space="preserve">(8)完成工程监理总结报告，整理工程有                    </w:t>
      </w:r>
      <w:r>
        <w:rPr>
          <w:spacing w:val="5"/>
          <w:position w:val="2"/>
          <w:sz w:val="19"/>
          <w:szCs w:val="19"/>
        </w:rPr>
        <w:t>监理单</w:t>
      </w:r>
      <w:r>
        <w:rPr>
          <w:spacing w:val="4"/>
          <w:position w:val="2"/>
          <w:sz w:val="19"/>
          <w:szCs w:val="19"/>
        </w:rPr>
        <w:t>位审查系统运行计划</w:t>
      </w:r>
    </w:p>
    <w:p w14:paraId="165AC11D">
      <w:pPr>
        <w:pStyle w:val="2"/>
        <w:spacing w:before="87" w:line="219" w:lineRule="auto"/>
        <w:rPr>
          <w:sz w:val="19"/>
          <w:szCs w:val="19"/>
        </w:rPr>
      </w:pPr>
      <w:r>
        <w:rPr>
          <w:spacing w:val="6"/>
          <w:sz w:val="19"/>
          <w:szCs w:val="19"/>
        </w:rPr>
        <w:t>关的全部监理文档，并移交业主单位。</w:t>
      </w:r>
    </w:p>
    <w:p w14:paraId="3F3C5254">
      <w:pPr>
        <w:pStyle w:val="2"/>
        <w:spacing w:before="36" w:line="193" w:lineRule="auto"/>
        <w:ind w:left="315"/>
        <w:rPr>
          <w:sz w:val="19"/>
          <w:szCs w:val="19"/>
        </w:rPr>
      </w:pPr>
      <w:r>
        <w:pict>
          <v:shape id="_x0000_s1595" o:spid="_x0000_s1595" o:spt="202" type="#_x0000_t202" style="position:absolute;left:0pt;margin-left:225.5pt;margin-top:13.2pt;height:11.5pt;width:36.4pt;z-index:251828224;mso-width-relative:page;mso-height-relative:page;" filled="f" stroked="f" coordsize="21600,21600">
            <v:path/>
            <v:fill on="f" focussize="0,0"/>
            <v:stroke on="f"/>
            <v:imagedata o:title=""/>
            <o:lock v:ext="edit" aspectratio="f"/>
            <v:textbox inset="0mm,0mm,0mm,0mm">
              <w:txbxContent>
                <w:p w14:paraId="3A1843B6">
                  <w:pPr>
                    <w:pStyle w:val="2"/>
                    <w:spacing w:before="20" w:line="184" w:lineRule="auto"/>
                    <w:ind w:right="1"/>
                    <w:jc w:val="right"/>
                    <w:rPr>
                      <w:sz w:val="19"/>
                      <w:szCs w:val="19"/>
                    </w:rPr>
                  </w:pPr>
                  <w:r>
                    <w:rPr>
                      <w:spacing w:val="-15"/>
                      <w:sz w:val="19"/>
                      <w:szCs w:val="19"/>
                    </w:rPr>
                    <w:t>进行整</w:t>
                  </w:r>
                  <w:r>
                    <w:rPr>
                      <w:spacing w:val="-11"/>
                      <w:sz w:val="19"/>
                      <w:szCs w:val="19"/>
                    </w:rPr>
                    <w:t>改</w:t>
                  </w:r>
                </w:p>
              </w:txbxContent>
            </v:textbox>
          </v:shape>
        </w:pict>
      </w:r>
      <w:r>
        <w:rPr>
          <w:rFonts w:ascii="黑体" w:hAnsi="黑体" w:eastAsia="黑体" w:cs="黑体"/>
          <w:spacing w:val="10"/>
          <w:sz w:val="19"/>
          <w:szCs w:val="19"/>
        </w:rPr>
        <w:t>【案例4</w:t>
      </w:r>
      <w:r>
        <w:rPr>
          <w:spacing w:val="10"/>
          <w:sz w:val="19"/>
          <w:szCs w:val="19"/>
        </w:rPr>
        <w:t>】</w:t>
      </w:r>
      <w:r>
        <w:rPr>
          <w:rFonts w:ascii="楷体" w:hAnsi="楷体" w:eastAsia="楷体" w:cs="楷体"/>
          <w:spacing w:val="10"/>
          <w:sz w:val="19"/>
          <w:szCs w:val="19"/>
        </w:rPr>
        <w:t>同样在案例1的项目中，根据项</w:t>
      </w:r>
      <w:r>
        <w:rPr>
          <w:rFonts w:ascii="楷体" w:hAnsi="楷体" w:eastAsia="楷体" w:cs="楷体"/>
          <w:spacing w:val="9"/>
          <w:sz w:val="19"/>
          <w:szCs w:val="19"/>
        </w:rPr>
        <w:t xml:space="preserve">    </w:t>
      </w:r>
      <w:r>
        <w:rPr>
          <w:spacing w:val="10"/>
          <w:sz w:val="19"/>
          <w:szCs w:val="19"/>
        </w:rPr>
        <w:t xml:space="preserve">承建单位   </w:t>
      </w:r>
      <w:r>
        <w:rPr>
          <w:spacing w:val="10"/>
          <w:position w:val="5"/>
          <w:sz w:val="19"/>
          <w:szCs w:val="19"/>
        </w:rPr>
        <w:t xml:space="preserve">否           </w:t>
      </w:r>
      <w:r>
        <w:rPr>
          <w:spacing w:val="10"/>
          <w:position w:val="-7"/>
          <w:sz w:val="19"/>
          <w:szCs w:val="19"/>
        </w:rPr>
        <w:t>合格?</w:t>
      </w:r>
    </w:p>
    <w:p w14:paraId="20B7CFC1">
      <w:pPr>
        <w:pStyle w:val="2"/>
        <w:spacing w:before="30" w:line="184" w:lineRule="auto"/>
        <w:rPr>
          <w:sz w:val="19"/>
          <w:szCs w:val="19"/>
        </w:rPr>
      </w:pPr>
      <w:r>
        <w:rPr>
          <w:spacing w:val="13"/>
          <w:sz w:val="19"/>
          <w:szCs w:val="19"/>
        </w:rPr>
        <w:t>目招标文件和合同要求，监理机构开展了软件</w:t>
      </w:r>
    </w:p>
    <w:p w14:paraId="4C16729A">
      <w:pPr>
        <w:pStyle w:val="2"/>
        <w:spacing w:before="111" w:line="219" w:lineRule="auto"/>
        <w:rPr>
          <w:sz w:val="19"/>
          <w:szCs w:val="19"/>
        </w:rPr>
      </w:pPr>
      <w:r>
        <w:pict>
          <v:shape id="_x0000_s1596" o:spid="_x0000_s1596" o:spt="202" type="#_x0000_t202" style="position:absolute;left:0pt;margin-left:360.5pt;margin-top:-1.7pt;height:11.5pt;width:11pt;z-index:251829248;mso-width-relative:page;mso-height-relative:page;" filled="f" stroked="f" coordsize="21600,21600">
            <v:path/>
            <v:fill on="f" focussize="0,0"/>
            <v:stroke on="f"/>
            <v:imagedata o:title=""/>
            <o:lock v:ext="edit" aspectratio="f"/>
            <v:textbox inset="0mm,0mm,0mm,0mm">
              <w:txbxContent>
                <w:p w14:paraId="1D7392E8">
                  <w:pPr>
                    <w:pStyle w:val="2"/>
                    <w:spacing w:before="20" w:line="184" w:lineRule="auto"/>
                    <w:ind w:left="20"/>
                    <w:rPr>
                      <w:sz w:val="19"/>
                      <w:szCs w:val="19"/>
                    </w:rPr>
                  </w:pPr>
                  <w:r>
                    <w:rPr>
                      <w:sz w:val="19"/>
                      <w:szCs w:val="19"/>
                    </w:rPr>
                    <w:t>是</w:t>
                  </w:r>
                </w:p>
              </w:txbxContent>
            </v:textbox>
          </v:shape>
        </w:pict>
      </w:r>
      <w:r>
        <w:rPr>
          <w:spacing w:val="14"/>
          <w:sz w:val="19"/>
          <w:szCs w:val="19"/>
        </w:rPr>
        <w:t>试运行全过程监理，并参与了软件培训的监理</w:t>
      </w:r>
    </w:p>
    <w:p w14:paraId="36310019">
      <w:pPr>
        <w:pStyle w:val="2"/>
        <w:spacing w:before="15" w:line="228" w:lineRule="auto"/>
        <w:rPr>
          <w:sz w:val="19"/>
          <w:szCs w:val="19"/>
        </w:rPr>
      </w:pPr>
      <w:r>
        <w:rPr>
          <w:spacing w:val="7"/>
          <w:position w:val="-1"/>
          <w:sz w:val="19"/>
          <w:szCs w:val="19"/>
        </w:rPr>
        <w:t xml:space="preserve">工作，对所开展工作所取得的相应效果进行评                          </w:t>
      </w:r>
      <w:r>
        <w:rPr>
          <w:spacing w:val="7"/>
          <w:position w:val="4"/>
          <w:sz w:val="19"/>
          <w:szCs w:val="19"/>
        </w:rPr>
        <w:t>系统试运行</w:t>
      </w:r>
    </w:p>
    <w:p w14:paraId="096ABA1B">
      <w:pPr>
        <w:spacing w:before="71" w:line="208" w:lineRule="auto"/>
        <w:rPr>
          <w:rFonts w:ascii="楷体" w:hAnsi="楷体" w:eastAsia="楷体" w:cs="楷体"/>
          <w:sz w:val="19"/>
          <w:szCs w:val="19"/>
        </w:rPr>
      </w:pPr>
      <w:r>
        <w:rPr>
          <w:rFonts w:ascii="楷体" w:hAnsi="楷体" w:eastAsia="楷体" w:cs="楷体"/>
          <w:spacing w:val="14"/>
          <w:sz w:val="19"/>
          <w:szCs w:val="19"/>
        </w:rPr>
        <w:t>估。监理机构还根据招标文件、合同和规范的</w:t>
      </w:r>
    </w:p>
    <w:p w14:paraId="5A069575">
      <w:pPr>
        <w:pStyle w:val="2"/>
        <w:spacing w:before="1" w:line="194" w:lineRule="auto"/>
        <w:rPr>
          <w:sz w:val="19"/>
          <w:szCs w:val="19"/>
        </w:rPr>
      </w:pPr>
      <w:r>
        <w:pict>
          <v:shape id="_x0000_s1597" o:spid="_x0000_s1597" o:spt="202" type="#_x0000_t202" style="position:absolute;left:0pt;margin-left:334.5pt;margin-top:7.05pt;height:13.1pt;width:44.45pt;z-index:251827200;mso-width-relative:page;mso-height-relative:page;" filled="f" stroked="f" coordsize="21600,21600">
            <v:path/>
            <v:fill on="f" focussize="0,0"/>
            <v:stroke on="f"/>
            <v:imagedata o:title=""/>
            <o:lock v:ext="edit" aspectratio="f"/>
            <v:textbox inset="0mm,0mm,0mm,0mm">
              <w:txbxContent>
                <w:p w14:paraId="1A6EE827">
                  <w:pPr>
                    <w:pStyle w:val="2"/>
                    <w:spacing w:before="19" w:line="216" w:lineRule="auto"/>
                    <w:jc w:val="right"/>
                    <w:rPr>
                      <w:sz w:val="19"/>
                      <w:szCs w:val="19"/>
                    </w:rPr>
                  </w:pPr>
                  <w:r>
                    <w:rPr>
                      <w:spacing w:val="-23"/>
                      <w:w w:val="99"/>
                      <w:sz w:val="19"/>
                      <w:szCs w:val="19"/>
                    </w:rPr>
                    <w:t>试运</w:t>
                  </w:r>
                  <w:r>
                    <w:rPr>
                      <w:spacing w:val="-22"/>
                      <w:w w:val="99"/>
                      <w:sz w:val="19"/>
                      <w:szCs w:val="19"/>
                    </w:rPr>
                    <w:t>行审</w:t>
                  </w:r>
                  <w:r>
                    <w:rPr>
                      <w:spacing w:val="-10"/>
                      <w:w w:val="99"/>
                      <w:sz w:val="19"/>
                      <w:szCs w:val="19"/>
                    </w:rPr>
                    <w:t>查</w:t>
                  </w:r>
                </w:p>
              </w:txbxContent>
            </v:textbox>
          </v:shape>
        </w:pict>
      </w:r>
      <w:r>
        <w:rPr>
          <w:spacing w:val="11"/>
          <w:position w:val="-1"/>
          <w:sz w:val="19"/>
          <w:szCs w:val="19"/>
        </w:rPr>
        <w:t xml:space="preserve">要求，制定了具体试运行阶段和培训阶段的质    </w:t>
      </w:r>
      <w:r>
        <w:rPr>
          <w:spacing w:val="10"/>
          <w:position w:val="-1"/>
          <w:sz w:val="19"/>
          <w:szCs w:val="19"/>
        </w:rPr>
        <w:t xml:space="preserve">      </w:t>
      </w:r>
      <w:r>
        <w:rPr>
          <w:spacing w:val="10"/>
          <w:position w:val="7"/>
          <w:sz w:val="19"/>
          <w:szCs w:val="19"/>
        </w:rPr>
        <w:t>不合格</w:t>
      </w:r>
    </w:p>
    <w:p w14:paraId="7C274DD6">
      <w:pPr>
        <w:spacing w:before="102" w:line="212" w:lineRule="auto"/>
        <w:rPr>
          <w:rFonts w:ascii="楷体" w:hAnsi="楷体" w:eastAsia="楷体" w:cs="楷体"/>
          <w:sz w:val="19"/>
          <w:szCs w:val="19"/>
        </w:rPr>
      </w:pPr>
      <w:r>
        <w:rPr>
          <w:rFonts w:ascii="楷体" w:hAnsi="楷体" w:eastAsia="楷体" w:cs="楷体"/>
          <w:spacing w:val="21"/>
          <w:sz w:val="19"/>
          <w:szCs w:val="19"/>
        </w:rPr>
        <w:t>量控制流程，如图22-2和图22-3所示，可作</w:t>
      </w:r>
    </w:p>
    <w:p w14:paraId="5859AE4C">
      <w:pPr>
        <w:spacing w:before="1" w:line="234" w:lineRule="auto"/>
        <w:rPr>
          <w:rFonts w:ascii="黑体" w:hAnsi="黑体" w:eastAsia="黑体" w:cs="黑体"/>
          <w:sz w:val="19"/>
          <w:szCs w:val="19"/>
        </w:rPr>
      </w:pPr>
      <w:r>
        <w:rPr>
          <w:rFonts w:ascii="楷体" w:hAnsi="楷体" w:eastAsia="楷体" w:cs="楷体"/>
          <w:position w:val="-2"/>
          <w:sz w:val="19"/>
          <w:szCs w:val="19"/>
        </w:rPr>
        <w:t xml:space="preserve">为实践参考。                                      </w:t>
      </w:r>
      <w:r>
        <w:rPr>
          <w:rFonts w:ascii="楷体" w:hAnsi="楷体" w:eastAsia="楷体" w:cs="楷体"/>
          <w:spacing w:val="-1"/>
          <w:position w:val="-2"/>
          <w:sz w:val="19"/>
          <w:szCs w:val="19"/>
        </w:rPr>
        <w:t xml:space="preserve">                          </w:t>
      </w:r>
      <w:r>
        <w:rPr>
          <w:rFonts w:ascii="黑体" w:hAnsi="黑体" w:eastAsia="黑体" w:cs="黑体"/>
          <w:spacing w:val="-1"/>
          <w:position w:val="6"/>
          <w:sz w:val="19"/>
          <w:szCs w:val="19"/>
        </w:rPr>
        <w:t>合格</w:t>
      </w:r>
    </w:p>
    <w:p w14:paraId="2674EC12">
      <w:pPr>
        <w:pStyle w:val="2"/>
        <w:spacing w:before="8" w:line="221" w:lineRule="auto"/>
        <w:ind w:left="6780"/>
        <w:rPr>
          <w:sz w:val="19"/>
          <w:szCs w:val="19"/>
        </w:rPr>
      </w:pPr>
      <w:r>
        <w:rPr>
          <w:spacing w:val="-14"/>
          <w:sz w:val="19"/>
          <w:szCs w:val="19"/>
        </w:rPr>
        <w:t>监理签认</w:t>
      </w:r>
    </w:p>
    <w:p w14:paraId="30C86C23">
      <w:pPr>
        <w:pStyle w:val="2"/>
        <w:spacing w:before="222" w:line="220" w:lineRule="auto"/>
        <w:ind w:left="5060"/>
        <w:rPr>
          <w:sz w:val="19"/>
          <w:szCs w:val="19"/>
        </w:rPr>
      </w:pPr>
      <w:r>
        <w:rPr>
          <w:spacing w:val="-9"/>
          <w:sz w:val="19"/>
          <w:szCs w:val="19"/>
        </w:rPr>
        <w:t>图22-2</w:t>
      </w:r>
      <w:r>
        <w:rPr>
          <w:spacing w:val="84"/>
          <w:sz w:val="19"/>
          <w:szCs w:val="19"/>
        </w:rPr>
        <w:t xml:space="preserve"> </w:t>
      </w:r>
      <w:r>
        <w:rPr>
          <w:spacing w:val="-9"/>
          <w:sz w:val="19"/>
          <w:szCs w:val="19"/>
        </w:rPr>
        <w:t>试运行阶段质量控制流程</w:t>
      </w:r>
    </w:p>
    <w:p w14:paraId="116BE75F">
      <w:pPr>
        <w:spacing w:line="220" w:lineRule="auto"/>
        <w:rPr>
          <w:sz w:val="19"/>
          <w:szCs w:val="19"/>
        </w:rPr>
        <w:sectPr>
          <w:pgSz w:w="10290" w:h="13310"/>
          <w:pgMar w:top="350" w:right="19" w:bottom="400" w:left="1069" w:header="0" w:footer="0" w:gutter="0"/>
          <w:cols w:space="720" w:num="1"/>
        </w:sectPr>
      </w:pPr>
    </w:p>
    <w:p w14:paraId="5E12B218">
      <w:pPr>
        <w:pStyle w:val="2"/>
        <w:rPr>
          <w:sz w:val="18"/>
          <w:szCs w:val="18"/>
        </w:rPr>
      </w:pPr>
      <w:bookmarkStart w:id="738" w:name="bookmark723"/>
      <w:bookmarkEnd w:id="738"/>
      <w:r>
        <w:rPr>
          <w:rFonts w:ascii="Times New Roman" w:hAnsi="Times New Roman" w:eastAsia="Times New Roman" w:cs="Times New Roman"/>
          <w:spacing w:val="11"/>
          <w:position w:val="1"/>
          <w:sz w:val="18"/>
          <w:szCs w:val="18"/>
        </w:rPr>
        <w:t xml:space="preserve">516  </w:t>
      </w:r>
      <w:r>
        <w:rPr>
          <w:position w:val="-12"/>
          <w:sz w:val="18"/>
          <w:szCs w:val="18"/>
        </w:rPr>
        <w:drawing>
          <wp:inline distT="0" distB="0" distL="0" distR="0">
            <wp:extent cx="304165" cy="260350"/>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329"/>
                    <a:stretch>
                      <a:fillRect/>
                    </a:stretch>
                  </pic:blipFill>
                  <pic:spPr>
                    <a:xfrm>
                      <a:off x="0" y="0"/>
                      <a:ext cx="304787" cy="260374"/>
                    </a:xfrm>
                    <a:prstGeom prst="rect">
                      <a:avLst/>
                    </a:prstGeom>
                  </pic:spPr>
                </pic:pic>
              </a:graphicData>
            </a:graphic>
          </wp:inline>
        </w:drawing>
      </w:r>
      <w:r>
        <w:rPr>
          <w:rFonts w:ascii="Times New Roman" w:hAnsi="Times New Roman" w:eastAsia="Times New Roman" w:cs="Times New Roman"/>
          <w:spacing w:val="19"/>
          <w:w w:val="102"/>
          <w:position w:val="1"/>
          <w:sz w:val="18"/>
          <w:szCs w:val="18"/>
        </w:rPr>
        <w:t xml:space="preserve">  </w:t>
      </w:r>
      <w:r>
        <w:rPr>
          <w:spacing w:val="11"/>
          <w:sz w:val="18"/>
          <w:szCs w:val="18"/>
        </w:rPr>
        <w:t>信息系统监理师教程(第2版)</w:t>
      </w:r>
    </w:p>
    <w:p w14:paraId="46C6C9C6">
      <w:pPr>
        <w:pStyle w:val="2"/>
        <w:spacing w:before="239" w:line="7690" w:lineRule="exact"/>
        <w:ind w:firstLine="1399"/>
      </w:pPr>
      <w:r>
        <w:rPr>
          <w:position w:val="-153"/>
        </w:rPr>
        <w:pict>
          <v:group id="_x0000_s1598" o:spid="_x0000_s1598" o:spt="203" style="height:384.5pt;width:310.5pt;" coordsize="6210,7690">
            <o:lock v:ext="edit"/>
            <v:shape id="_x0000_s1599" o:spid="_x0000_s1599" o:spt="75" type="#_x0000_t75" style="position:absolute;left:0;top:0;height:7690;width:6210;" filled="f" stroked="f" coordsize="21600,21600">
              <v:path/>
              <v:fill on="f" focussize="0,0"/>
              <v:stroke on="f"/>
              <v:imagedata r:id="rId330" o:title=""/>
              <o:lock v:ext="edit" aspectratio="t"/>
            </v:shape>
            <v:shape id="_x0000_s1600" o:spid="_x0000_s1600" o:spt="202" type="#_x0000_t202" style="position:absolute;left:139;top:207;height:7290;width:5862;" filled="f" stroked="f" coordsize="21600,21600">
              <v:path/>
              <v:fill on="f" focussize="0,0"/>
              <v:stroke on="f"/>
              <v:imagedata o:title=""/>
              <o:lock v:ext="edit" aspectratio="f"/>
              <v:textbox inset="0mm,0mm,0mm,0mm">
                <w:txbxContent>
                  <w:p w14:paraId="0ABC6DFD">
                    <w:pPr>
                      <w:spacing w:line="20" w:lineRule="exact"/>
                    </w:pPr>
                  </w:p>
                  <w:tbl>
                    <w:tblPr>
                      <w:tblStyle w:val="5"/>
                      <w:tblW w:w="5822"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84"/>
                      <w:gridCol w:w="417"/>
                      <w:gridCol w:w="2668"/>
                      <w:gridCol w:w="1453"/>
                    </w:tblGrid>
                    <w:tr w14:paraId="38A8E5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31" w:hRule="atLeast"/>
                      </w:trPr>
                      <w:tc>
                        <w:tcPr>
                          <w:tcW w:w="1284" w:type="dxa"/>
                          <w:vAlign w:val="top"/>
                        </w:tcPr>
                        <w:p w14:paraId="29206283">
                          <w:pPr>
                            <w:rPr>
                              <w:rFonts w:ascii="Arial"/>
                              <w:sz w:val="21"/>
                            </w:rPr>
                          </w:pPr>
                        </w:p>
                      </w:tc>
                      <w:tc>
                        <w:tcPr>
                          <w:tcW w:w="417" w:type="dxa"/>
                          <w:vAlign w:val="top"/>
                        </w:tcPr>
                        <w:p w14:paraId="2CD37C3A">
                          <w:pPr>
                            <w:rPr>
                              <w:rFonts w:ascii="Arial"/>
                              <w:sz w:val="21"/>
                            </w:rPr>
                          </w:pPr>
                        </w:p>
                      </w:tc>
                      <w:tc>
                        <w:tcPr>
                          <w:tcW w:w="2668" w:type="dxa"/>
                          <w:vAlign w:val="top"/>
                        </w:tcPr>
                        <w:p w14:paraId="567BA1B7">
                          <w:pPr>
                            <w:spacing w:line="219" w:lineRule="auto"/>
                            <w:ind w:left="279"/>
                            <w:rPr>
                              <w:rFonts w:ascii="宋体" w:hAnsi="宋体" w:eastAsia="宋体" w:cs="宋体"/>
                              <w:sz w:val="18"/>
                              <w:szCs w:val="18"/>
                            </w:rPr>
                          </w:pPr>
                          <w:r>
                            <w:rPr>
                              <w:rFonts w:ascii="宋体" w:hAnsi="宋体" w:eastAsia="宋体" w:cs="宋体"/>
                              <w:spacing w:val="-9"/>
                              <w:sz w:val="18"/>
                              <w:szCs w:val="18"/>
                            </w:rPr>
                            <w:t>承建单位提交《培训计划》</w:t>
                          </w:r>
                        </w:p>
                        <w:p w14:paraId="428C6973">
                          <w:pPr>
                            <w:spacing w:line="376" w:lineRule="auto"/>
                            <w:rPr>
                              <w:rFonts w:ascii="Arial"/>
                              <w:sz w:val="21"/>
                            </w:rPr>
                          </w:pPr>
                        </w:p>
                        <w:p w14:paraId="6072414E">
                          <w:pPr>
                            <w:spacing w:before="58" w:line="220" w:lineRule="auto"/>
                            <w:ind w:left="279"/>
                            <w:rPr>
                              <w:rFonts w:ascii="宋体" w:hAnsi="宋体" w:eastAsia="宋体" w:cs="宋体"/>
                              <w:sz w:val="18"/>
                              <w:szCs w:val="18"/>
                            </w:rPr>
                          </w:pPr>
                          <w:r>
                            <w:rPr>
                              <w:rFonts w:ascii="宋体" w:hAnsi="宋体" w:eastAsia="宋体" w:cs="宋体"/>
                              <w:spacing w:val="-9"/>
                              <w:sz w:val="18"/>
                              <w:szCs w:val="18"/>
                            </w:rPr>
                            <w:t>监理单位审核《培训计划》</w:t>
                          </w:r>
                        </w:p>
                      </w:tc>
                      <w:tc>
                        <w:tcPr>
                          <w:tcW w:w="1453" w:type="dxa"/>
                          <w:vAlign w:val="top"/>
                        </w:tcPr>
                        <w:p w14:paraId="4F0132FB">
                          <w:pPr>
                            <w:rPr>
                              <w:rFonts w:ascii="Arial"/>
                              <w:sz w:val="21"/>
                            </w:rPr>
                          </w:pPr>
                        </w:p>
                      </w:tc>
                    </w:tr>
                    <w:tr w14:paraId="2F1790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2" w:hRule="atLeast"/>
                      </w:trPr>
                      <w:tc>
                        <w:tcPr>
                          <w:tcW w:w="1284" w:type="dxa"/>
                          <w:vAlign w:val="top"/>
                        </w:tcPr>
                        <w:p w14:paraId="33AE6096">
                          <w:pPr>
                            <w:spacing w:line="289" w:lineRule="auto"/>
                            <w:rPr>
                              <w:rFonts w:ascii="Arial"/>
                              <w:sz w:val="21"/>
                            </w:rPr>
                          </w:pPr>
                        </w:p>
                        <w:p w14:paraId="3FF4013D">
                          <w:pPr>
                            <w:spacing w:before="58" w:line="219" w:lineRule="auto"/>
                            <w:rPr>
                              <w:rFonts w:ascii="宋体" w:hAnsi="宋体" w:eastAsia="宋体" w:cs="宋体"/>
                              <w:sz w:val="18"/>
                              <w:szCs w:val="18"/>
                            </w:rPr>
                          </w:pPr>
                          <w:r>
                            <w:rPr>
                              <w:rFonts w:ascii="宋体" w:hAnsi="宋体" w:eastAsia="宋体" w:cs="宋体"/>
                              <w:spacing w:val="-8"/>
                              <w:sz w:val="18"/>
                              <w:szCs w:val="18"/>
                            </w:rPr>
                            <w:t>承建单位整改</w:t>
                          </w:r>
                        </w:p>
                      </w:tc>
                      <w:tc>
                        <w:tcPr>
                          <w:tcW w:w="417" w:type="dxa"/>
                          <w:vAlign w:val="top"/>
                        </w:tcPr>
                        <w:p w14:paraId="65C59831">
                          <w:pPr>
                            <w:spacing w:before="199" w:line="223" w:lineRule="auto"/>
                            <w:ind w:right="10"/>
                            <w:jc w:val="right"/>
                            <w:rPr>
                              <w:rFonts w:ascii="黑体" w:hAnsi="黑体" w:eastAsia="黑体" w:cs="黑体"/>
                              <w:sz w:val="18"/>
                              <w:szCs w:val="18"/>
                            </w:rPr>
                          </w:pPr>
                          <w:r>
                            <w:rPr>
                              <w:rFonts w:ascii="黑体" w:hAnsi="黑体" w:eastAsia="黑体" w:cs="黑体"/>
                              <w:color w:val="FFFFFF"/>
                              <w:sz w:val="18"/>
                              <w:szCs w:val="18"/>
                            </w:rPr>
                            <w:t>否</w:t>
                          </w:r>
                        </w:p>
                      </w:tc>
                      <w:tc>
                        <w:tcPr>
                          <w:tcW w:w="2668" w:type="dxa"/>
                          <w:vAlign w:val="top"/>
                        </w:tcPr>
                        <w:p w14:paraId="63F17B9B">
                          <w:pPr>
                            <w:spacing w:line="295" w:lineRule="auto"/>
                            <w:rPr>
                              <w:rFonts w:ascii="Arial"/>
                              <w:sz w:val="21"/>
                            </w:rPr>
                          </w:pPr>
                        </w:p>
                        <w:p w14:paraId="266530F4">
                          <w:pPr>
                            <w:spacing w:before="58" w:line="227" w:lineRule="auto"/>
                            <w:ind w:left="999"/>
                            <w:rPr>
                              <w:rFonts w:ascii="宋体" w:hAnsi="宋体" w:eastAsia="宋体" w:cs="宋体"/>
                              <w:sz w:val="18"/>
                              <w:szCs w:val="18"/>
                            </w:rPr>
                          </w:pPr>
                          <w:r>
                            <w:rPr>
                              <w:rFonts w:ascii="宋体" w:hAnsi="宋体" w:eastAsia="宋体" w:cs="宋体"/>
                              <w:spacing w:val="-2"/>
                              <w:sz w:val="18"/>
                              <w:szCs w:val="18"/>
                            </w:rPr>
                            <w:t>通过?</w:t>
                          </w:r>
                        </w:p>
                      </w:tc>
                      <w:tc>
                        <w:tcPr>
                          <w:tcW w:w="1453" w:type="dxa"/>
                          <w:vAlign w:val="top"/>
                        </w:tcPr>
                        <w:p w14:paraId="440EDE92">
                          <w:pPr>
                            <w:rPr>
                              <w:rFonts w:ascii="Arial"/>
                              <w:sz w:val="21"/>
                            </w:rPr>
                          </w:pPr>
                        </w:p>
                      </w:tc>
                    </w:tr>
                    <w:tr w14:paraId="65E13F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52" w:hRule="atLeast"/>
                      </w:trPr>
                      <w:tc>
                        <w:tcPr>
                          <w:tcW w:w="1284" w:type="dxa"/>
                          <w:vAlign w:val="top"/>
                        </w:tcPr>
                        <w:p w14:paraId="31339353">
                          <w:pPr>
                            <w:rPr>
                              <w:rFonts w:ascii="Arial"/>
                              <w:sz w:val="21"/>
                            </w:rPr>
                          </w:pPr>
                        </w:p>
                      </w:tc>
                      <w:tc>
                        <w:tcPr>
                          <w:tcW w:w="417" w:type="dxa"/>
                          <w:vAlign w:val="top"/>
                        </w:tcPr>
                        <w:p w14:paraId="6E613830">
                          <w:pPr>
                            <w:rPr>
                              <w:rFonts w:ascii="Arial"/>
                              <w:sz w:val="21"/>
                            </w:rPr>
                          </w:pPr>
                        </w:p>
                      </w:tc>
                      <w:tc>
                        <w:tcPr>
                          <w:tcW w:w="2668" w:type="dxa"/>
                          <w:vAlign w:val="top"/>
                        </w:tcPr>
                        <w:p w14:paraId="716D58A4">
                          <w:pPr>
                            <w:spacing w:before="170" w:line="223" w:lineRule="auto"/>
                            <w:ind w:left="1329"/>
                            <w:rPr>
                              <w:rFonts w:ascii="宋体" w:hAnsi="宋体" w:eastAsia="宋体" w:cs="宋体"/>
                              <w:sz w:val="18"/>
                              <w:szCs w:val="18"/>
                            </w:rPr>
                          </w:pPr>
                          <w:r>
                            <w:rPr>
                              <w:rFonts w:ascii="宋体" w:hAnsi="宋体" w:eastAsia="宋体" w:cs="宋体"/>
                              <w:sz w:val="18"/>
                              <w:szCs w:val="18"/>
                            </w:rPr>
                            <w:t>是</w:t>
                          </w:r>
                        </w:p>
                        <w:p w14:paraId="703ECD01">
                          <w:pPr>
                            <w:spacing w:before="119" w:line="219" w:lineRule="auto"/>
                            <w:ind w:left="368"/>
                            <w:rPr>
                              <w:rFonts w:ascii="宋体" w:hAnsi="宋体" w:eastAsia="宋体" w:cs="宋体"/>
                              <w:sz w:val="18"/>
                              <w:szCs w:val="18"/>
                            </w:rPr>
                          </w:pPr>
                          <w:r>
                            <w:rPr>
                              <w:rFonts w:ascii="宋体" w:hAnsi="宋体" w:eastAsia="宋体" w:cs="宋体"/>
                              <w:spacing w:val="-10"/>
                              <w:sz w:val="18"/>
                              <w:szCs w:val="18"/>
                            </w:rPr>
                            <w:t>承建单位进行培训准备</w:t>
                          </w:r>
                        </w:p>
                      </w:tc>
                      <w:tc>
                        <w:tcPr>
                          <w:tcW w:w="1453" w:type="dxa"/>
                          <w:vAlign w:val="top"/>
                        </w:tcPr>
                        <w:p w14:paraId="6193F475">
                          <w:pPr>
                            <w:spacing w:before="66" w:line="216" w:lineRule="auto"/>
                            <w:ind w:left="251"/>
                            <w:rPr>
                              <w:rFonts w:ascii="宋体" w:hAnsi="宋体" w:eastAsia="宋体" w:cs="宋体"/>
                              <w:sz w:val="18"/>
                              <w:szCs w:val="18"/>
                            </w:rPr>
                          </w:pPr>
                          <w:r>
                            <w:rPr>
                              <w:rFonts w:ascii="宋体" w:hAnsi="宋体" w:eastAsia="宋体" w:cs="宋体"/>
                              <w:color w:val="0096ED"/>
                              <w:spacing w:val="-12"/>
                              <w:sz w:val="18"/>
                              <w:szCs w:val="18"/>
                            </w:rPr>
                            <w:t>●培训</w:t>
                          </w:r>
                          <w:r>
                            <w:rPr>
                              <w:rFonts w:ascii="宋体" w:hAnsi="宋体" w:eastAsia="宋体" w:cs="宋体"/>
                              <w:spacing w:val="-12"/>
                              <w:sz w:val="18"/>
                              <w:szCs w:val="18"/>
                            </w:rPr>
                            <w:t>材</w:t>
                          </w:r>
                          <w:r>
                            <w:rPr>
                              <w:rFonts w:ascii="宋体" w:hAnsi="宋体" w:eastAsia="宋体" w:cs="宋体"/>
                              <w:color w:val="0096ED"/>
                              <w:spacing w:val="-12"/>
                              <w:sz w:val="18"/>
                              <w:szCs w:val="18"/>
                            </w:rPr>
                            <w:t>料</w:t>
                          </w:r>
                        </w:p>
                        <w:p w14:paraId="69484253">
                          <w:pPr>
                            <w:spacing w:line="216" w:lineRule="auto"/>
                            <w:ind w:left="251"/>
                            <w:rPr>
                              <w:rFonts w:ascii="宋体" w:hAnsi="宋体" w:eastAsia="宋体" w:cs="宋体"/>
                              <w:sz w:val="18"/>
                              <w:szCs w:val="18"/>
                            </w:rPr>
                          </w:pPr>
                          <w:r>
                            <w:rPr>
                              <w:rFonts w:ascii="宋体" w:hAnsi="宋体" w:eastAsia="宋体" w:cs="宋体"/>
                              <w:color w:val="0096ED"/>
                              <w:spacing w:val="-14"/>
                              <w:sz w:val="18"/>
                              <w:szCs w:val="18"/>
                            </w:rPr>
                            <w:t>●</w:t>
                          </w:r>
                          <w:r>
                            <w:rPr>
                              <w:rFonts w:ascii="宋体" w:hAnsi="宋体" w:eastAsia="宋体" w:cs="宋体"/>
                              <w:spacing w:val="-14"/>
                              <w:sz w:val="18"/>
                              <w:szCs w:val="18"/>
                            </w:rPr>
                            <w:t>培训讲义</w:t>
                          </w:r>
                        </w:p>
                        <w:p w14:paraId="5642F5D1">
                          <w:pPr>
                            <w:spacing w:line="220" w:lineRule="auto"/>
                            <w:ind w:right="26"/>
                            <w:jc w:val="right"/>
                            <w:rPr>
                              <w:rFonts w:ascii="宋体" w:hAnsi="宋体" w:eastAsia="宋体" w:cs="宋体"/>
                              <w:sz w:val="18"/>
                              <w:szCs w:val="18"/>
                            </w:rPr>
                          </w:pPr>
                          <w:r>
                            <w:rPr>
                              <w:rFonts w:ascii="宋体" w:hAnsi="宋体" w:eastAsia="宋体" w:cs="宋体"/>
                              <w:spacing w:val="-6"/>
                              <w:sz w:val="18"/>
                              <w:szCs w:val="18"/>
                            </w:rPr>
                            <w:t>培训场地设施</w:t>
                          </w:r>
                        </w:p>
                        <w:p w14:paraId="7BC7401D">
                          <w:pPr>
                            <w:spacing w:before="14" w:line="219" w:lineRule="auto"/>
                            <w:ind w:right="19"/>
                            <w:jc w:val="right"/>
                            <w:rPr>
                              <w:rFonts w:ascii="宋体" w:hAnsi="宋体" w:eastAsia="宋体" w:cs="宋体"/>
                              <w:sz w:val="18"/>
                              <w:szCs w:val="18"/>
                            </w:rPr>
                          </w:pPr>
                          <w:r>
                            <w:rPr>
                              <w:rFonts w:ascii="宋体" w:hAnsi="宋体" w:eastAsia="宋体" w:cs="宋体"/>
                              <w:color w:val="0082F4"/>
                              <w:spacing w:val="-12"/>
                              <w:sz w:val="18"/>
                              <w:szCs w:val="18"/>
                            </w:rPr>
                            <w:t>●</w:t>
                          </w:r>
                          <w:r>
                            <w:rPr>
                              <w:rFonts w:ascii="宋体" w:hAnsi="宋体" w:eastAsia="宋体" w:cs="宋体"/>
                              <w:spacing w:val="-12"/>
                              <w:sz w:val="18"/>
                              <w:szCs w:val="18"/>
                            </w:rPr>
                            <w:t>培训教师资质</w:t>
                          </w:r>
                        </w:p>
                        <w:p w14:paraId="31784C86">
                          <w:pPr>
                            <w:spacing w:before="16" w:line="200" w:lineRule="auto"/>
                            <w:ind w:left="251"/>
                            <w:rPr>
                              <w:rFonts w:ascii="宋体" w:hAnsi="宋体" w:eastAsia="宋体" w:cs="宋体"/>
                              <w:sz w:val="18"/>
                              <w:szCs w:val="18"/>
                            </w:rPr>
                          </w:pPr>
                          <w:r>
                            <w:rPr>
                              <w:rFonts w:ascii="宋体" w:hAnsi="宋体" w:eastAsia="宋体" w:cs="宋体"/>
                              <w:color w:val="0082F4"/>
                              <w:spacing w:val="-14"/>
                              <w:sz w:val="18"/>
                              <w:szCs w:val="18"/>
                            </w:rPr>
                            <w:t>●</w:t>
                          </w:r>
                          <w:r>
                            <w:rPr>
                              <w:rFonts w:ascii="宋体" w:hAnsi="宋体" w:eastAsia="宋体" w:cs="宋体"/>
                              <w:spacing w:val="-14"/>
                              <w:sz w:val="18"/>
                              <w:szCs w:val="18"/>
                            </w:rPr>
                            <w:t>培训考核</w:t>
                          </w:r>
                        </w:p>
                      </w:tc>
                    </w:tr>
                    <w:tr w14:paraId="36D6B3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1284" w:type="dxa"/>
                          <w:vAlign w:val="top"/>
                        </w:tcPr>
                        <w:p w14:paraId="75B76264">
                          <w:pPr>
                            <w:rPr>
                              <w:rFonts w:ascii="Arial"/>
                              <w:sz w:val="21"/>
                            </w:rPr>
                          </w:pPr>
                        </w:p>
                      </w:tc>
                      <w:tc>
                        <w:tcPr>
                          <w:tcW w:w="417" w:type="dxa"/>
                          <w:vAlign w:val="top"/>
                        </w:tcPr>
                        <w:p w14:paraId="2B91EF8F">
                          <w:pPr>
                            <w:rPr>
                              <w:rFonts w:ascii="Arial"/>
                              <w:sz w:val="21"/>
                            </w:rPr>
                          </w:pPr>
                        </w:p>
                      </w:tc>
                      <w:tc>
                        <w:tcPr>
                          <w:tcW w:w="2668" w:type="dxa"/>
                          <w:vAlign w:val="top"/>
                        </w:tcPr>
                        <w:p w14:paraId="60CA996B">
                          <w:pPr>
                            <w:spacing w:before="25" w:line="219" w:lineRule="auto"/>
                            <w:ind w:left="189"/>
                            <w:rPr>
                              <w:rFonts w:ascii="宋体" w:hAnsi="宋体" w:eastAsia="宋体" w:cs="宋体"/>
                              <w:sz w:val="18"/>
                              <w:szCs w:val="18"/>
                            </w:rPr>
                          </w:pPr>
                          <w:r>
                            <w:rPr>
                              <w:rFonts w:ascii="宋体" w:hAnsi="宋体" w:eastAsia="宋体" w:cs="宋体"/>
                              <w:spacing w:val="-8"/>
                              <w:sz w:val="18"/>
                              <w:szCs w:val="18"/>
                            </w:rPr>
                            <w:t>监理单位检查培训准备情况</w:t>
                          </w:r>
                        </w:p>
                      </w:tc>
                      <w:tc>
                        <w:tcPr>
                          <w:tcW w:w="1453" w:type="dxa"/>
                          <w:vAlign w:val="top"/>
                        </w:tcPr>
                        <w:p w14:paraId="0419D4CF">
                          <w:pPr>
                            <w:rPr>
                              <w:rFonts w:ascii="Arial"/>
                              <w:sz w:val="21"/>
                            </w:rPr>
                          </w:pPr>
                        </w:p>
                      </w:tc>
                    </w:tr>
                    <w:tr w14:paraId="5BC8E9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40" w:hRule="atLeast"/>
                      </w:trPr>
                      <w:tc>
                        <w:tcPr>
                          <w:tcW w:w="1284" w:type="dxa"/>
                          <w:vAlign w:val="top"/>
                        </w:tcPr>
                        <w:p w14:paraId="0AF094FA">
                          <w:pPr>
                            <w:spacing w:line="285" w:lineRule="auto"/>
                            <w:rPr>
                              <w:rFonts w:ascii="Arial"/>
                              <w:sz w:val="21"/>
                            </w:rPr>
                          </w:pPr>
                        </w:p>
                        <w:p w14:paraId="6787E163">
                          <w:pPr>
                            <w:spacing w:before="58" w:line="219" w:lineRule="auto"/>
                            <w:rPr>
                              <w:rFonts w:ascii="宋体" w:hAnsi="宋体" w:eastAsia="宋体" w:cs="宋体"/>
                              <w:sz w:val="18"/>
                              <w:szCs w:val="18"/>
                            </w:rPr>
                          </w:pPr>
                          <w:r>
                            <w:rPr>
                              <w:rFonts w:ascii="宋体" w:hAnsi="宋体" w:eastAsia="宋体" w:cs="宋体"/>
                              <w:spacing w:val="-8"/>
                              <w:sz w:val="18"/>
                              <w:szCs w:val="18"/>
                            </w:rPr>
                            <w:t>承建单位整改</w:t>
                          </w:r>
                        </w:p>
                      </w:tc>
                      <w:tc>
                        <w:tcPr>
                          <w:tcW w:w="417" w:type="dxa"/>
                          <w:vAlign w:val="top"/>
                        </w:tcPr>
                        <w:p w14:paraId="122C55AD">
                          <w:pPr>
                            <w:spacing w:before="195" w:line="223" w:lineRule="auto"/>
                            <w:ind w:right="10"/>
                            <w:jc w:val="right"/>
                            <w:rPr>
                              <w:rFonts w:ascii="黑体" w:hAnsi="黑体" w:eastAsia="黑体" w:cs="黑体"/>
                              <w:sz w:val="18"/>
                              <w:szCs w:val="18"/>
                            </w:rPr>
                          </w:pPr>
                          <w:r>
                            <w:rPr>
                              <w:rFonts w:ascii="黑体" w:hAnsi="黑体" w:eastAsia="黑体" w:cs="黑体"/>
                              <w:sz w:val="18"/>
                              <w:szCs w:val="18"/>
                            </w:rPr>
                            <w:t>否</w:t>
                          </w:r>
                        </w:p>
                      </w:tc>
                      <w:tc>
                        <w:tcPr>
                          <w:tcW w:w="2668" w:type="dxa"/>
                          <w:vAlign w:val="top"/>
                        </w:tcPr>
                        <w:p w14:paraId="7695A56F">
                          <w:pPr>
                            <w:spacing w:line="291" w:lineRule="auto"/>
                            <w:rPr>
                              <w:rFonts w:ascii="Arial"/>
                              <w:sz w:val="21"/>
                            </w:rPr>
                          </w:pPr>
                        </w:p>
                        <w:p w14:paraId="339674C5">
                          <w:pPr>
                            <w:spacing w:before="58" w:line="227" w:lineRule="auto"/>
                            <w:ind w:left="999"/>
                            <w:rPr>
                              <w:rFonts w:ascii="宋体" w:hAnsi="宋体" w:eastAsia="宋体" w:cs="宋体"/>
                              <w:sz w:val="18"/>
                              <w:szCs w:val="18"/>
                            </w:rPr>
                          </w:pPr>
                          <w:r>
                            <w:rPr>
                              <w:rFonts w:ascii="宋体" w:hAnsi="宋体" w:eastAsia="宋体" w:cs="宋体"/>
                              <w:spacing w:val="-2"/>
                              <w:sz w:val="18"/>
                              <w:szCs w:val="18"/>
                            </w:rPr>
                            <w:t>通过?</w:t>
                          </w:r>
                        </w:p>
                        <w:p w14:paraId="6B2BEC42">
                          <w:pPr>
                            <w:spacing w:before="185" w:line="223" w:lineRule="auto"/>
                            <w:ind w:left="1329"/>
                            <w:rPr>
                              <w:rFonts w:ascii="宋体" w:hAnsi="宋体" w:eastAsia="宋体" w:cs="宋体"/>
                              <w:sz w:val="18"/>
                              <w:szCs w:val="18"/>
                            </w:rPr>
                          </w:pPr>
                          <w:r>
                            <w:rPr>
                              <w:rFonts w:ascii="宋体" w:hAnsi="宋体" w:eastAsia="宋体" w:cs="宋体"/>
                              <w:sz w:val="18"/>
                              <w:szCs w:val="18"/>
                            </w:rPr>
                            <w:t>是</w:t>
                          </w:r>
                        </w:p>
                        <w:p w14:paraId="4F13C500">
                          <w:pPr>
                            <w:spacing w:before="119" w:line="219" w:lineRule="auto"/>
                            <w:ind w:left="18"/>
                            <w:rPr>
                              <w:rFonts w:ascii="宋体" w:hAnsi="宋体" w:eastAsia="宋体" w:cs="宋体"/>
                              <w:sz w:val="18"/>
                              <w:szCs w:val="18"/>
                            </w:rPr>
                          </w:pPr>
                          <w:r>
                            <w:rPr>
                              <w:rFonts w:ascii="宋体" w:hAnsi="宋体" w:eastAsia="宋体" w:cs="宋体"/>
                              <w:spacing w:val="-9"/>
                              <w:sz w:val="18"/>
                              <w:szCs w:val="18"/>
                            </w:rPr>
                            <w:t>承建单位根据培训计划组织培训</w:t>
                          </w:r>
                        </w:p>
                      </w:tc>
                      <w:tc>
                        <w:tcPr>
                          <w:tcW w:w="1453" w:type="dxa"/>
                          <w:vAlign w:val="top"/>
                        </w:tcPr>
                        <w:p w14:paraId="06E6E816">
                          <w:pPr>
                            <w:rPr>
                              <w:rFonts w:ascii="Arial"/>
                              <w:sz w:val="21"/>
                            </w:rPr>
                          </w:pPr>
                        </w:p>
                      </w:tc>
                    </w:tr>
                    <w:tr w14:paraId="12CE48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0" w:hRule="atLeast"/>
                      </w:trPr>
                      <w:tc>
                        <w:tcPr>
                          <w:tcW w:w="1284" w:type="dxa"/>
                          <w:vAlign w:val="top"/>
                        </w:tcPr>
                        <w:p w14:paraId="66119174">
                          <w:pPr>
                            <w:rPr>
                              <w:rFonts w:ascii="Arial"/>
                              <w:sz w:val="21"/>
                            </w:rPr>
                          </w:pPr>
                        </w:p>
                      </w:tc>
                      <w:tc>
                        <w:tcPr>
                          <w:tcW w:w="417" w:type="dxa"/>
                          <w:vAlign w:val="top"/>
                        </w:tcPr>
                        <w:p w14:paraId="592C382E">
                          <w:pPr>
                            <w:rPr>
                              <w:rFonts w:ascii="Arial"/>
                              <w:sz w:val="21"/>
                            </w:rPr>
                          </w:pPr>
                        </w:p>
                      </w:tc>
                      <w:tc>
                        <w:tcPr>
                          <w:tcW w:w="2668" w:type="dxa"/>
                          <w:vAlign w:val="top"/>
                        </w:tcPr>
                        <w:p w14:paraId="30EEC356">
                          <w:pPr>
                            <w:rPr>
                              <w:rFonts w:ascii="Arial"/>
                              <w:sz w:val="21"/>
                            </w:rPr>
                          </w:pPr>
                        </w:p>
                      </w:tc>
                      <w:tc>
                        <w:tcPr>
                          <w:tcW w:w="1453" w:type="dxa"/>
                          <w:vAlign w:val="top"/>
                        </w:tcPr>
                        <w:p w14:paraId="1F66950D">
                          <w:pPr>
                            <w:spacing w:before="65" w:line="189" w:lineRule="auto"/>
                            <w:jc w:val="right"/>
                            <w:rPr>
                              <w:rFonts w:ascii="宋体" w:hAnsi="宋体" w:eastAsia="宋体" w:cs="宋体"/>
                              <w:sz w:val="18"/>
                              <w:szCs w:val="18"/>
                            </w:rPr>
                          </w:pPr>
                          <w:r>
                            <w:rPr>
                              <w:rFonts w:ascii="宋体" w:hAnsi="宋体" w:eastAsia="宋体" w:cs="宋体"/>
                              <w:spacing w:val="-2"/>
                              <w:sz w:val="18"/>
                              <w:szCs w:val="18"/>
                            </w:rPr>
                            <w:t>培训签到记录</w:t>
                          </w:r>
                        </w:p>
                      </w:tc>
                    </w:tr>
                    <w:tr w14:paraId="7BE7A1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9" w:hRule="atLeast"/>
                      </w:trPr>
                      <w:tc>
                        <w:tcPr>
                          <w:tcW w:w="1284" w:type="dxa"/>
                          <w:vAlign w:val="top"/>
                        </w:tcPr>
                        <w:p w14:paraId="025A068D">
                          <w:pPr>
                            <w:rPr>
                              <w:rFonts w:ascii="Arial"/>
                              <w:sz w:val="21"/>
                            </w:rPr>
                          </w:pPr>
                        </w:p>
                      </w:tc>
                      <w:tc>
                        <w:tcPr>
                          <w:tcW w:w="417" w:type="dxa"/>
                          <w:vAlign w:val="top"/>
                        </w:tcPr>
                        <w:p w14:paraId="3A2B2326">
                          <w:pPr>
                            <w:rPr>
                              <w:rFonts w:ascii="Arial"/>
                              <w:sz w:val="21"/>
                            </w:rPr>
                          </w:pPr>
                        </w:p>
                      </w:tc>
                      <w:tc>
                        <w:tcPr>
                          <w:tcW w:w="2668" w:type="dxa"/>
                          <w:vAlign w:val="top"/>
                        </w:tcPr>
                        <w:p w14:paraId="3BB06559">
                          <w:pPr>
                            <w:spacing w:before="125" w:line="219" w:lineRule="auto"/>
                            <w:ind w:left="368"/>
                            <w:rPr>
                              <w:rFonts w:ascii="宋体" w:hAnsi="宋体" w:eastAsia="宋体" w:cs="宋体"/>
                              <w:sz w:val="18"/>
                              <w:szCs w:val="18"/>
                            </w:rPr>
                          </w:pPr>
                          <w:r>
                            <w:rPr>
                              <w:rFonts w:ascii="宋体" w:hAnsi="宋体" w:eastAsia="宋体" w:cs="宋体"/>
                              <w:spacing w:val="-10"/>
                              <w:sz w:val="18"/>
                              <w:szCs w:val="18"/>
                            </w:rPr>
                            <w:t>监理单位检查培训记录</w:t>
                          </w:r>
                        </w:p>
                      </w:tc>
                      <w:tc>
                        <w:tcPr>
                          <w:tcW w:w="1453" w:type="dxa"/>
                          <w:vAlign w:val="top"/>
                        </w:tcPr>
                        <w:p w14:paraId="7CBB66E7">
                          <w:pPr>
                            <w:spacing w:before="15" w:line="219" w:lineRule="auto"/>
                            <w:ind w:right="26"/>
                            <w:jc w:val="right"/>
                            <w:rPr>
                              <w:rFonts w:ascii="宋体" w:hAnsi="宋体" w:eastAsia="宋体" w:cs="宋体"/>
                              <w:sz w:val="18"/>
                              <w:szCs w:val="18"/>
                            </w:rPr>
                          </w:pPr>
                          <w:r>
                            <w:rPr>
                              <w:rFonts w:ascii="宋体" w:hAnsi="宋体" w:eastAsia="宋体" w:cs="宋体"/>
                              <w:spacing w:val="-6"/>
                              <w:sz w:val="18"/>
                              <w:szCs w:val="18"/>
                            </w:rPr>
                            <w:t>培训考核记录</w:t>
                          </w:r>
                        </w:p>
                        <w:p w14:paraId="3B81A654">
                          <w:pPr>
                            <w:spacing w:before="6" w:line="220" w:lineRule="auto"/>
                            <w:ind w:left="251"/>
                            <w:rPr>
                              <w:rFonts w:ascii="宋体" w:hAnsi="宋体" w:eastAsia="宋体" w:cs="宋体"/>
                              <w:sz w:val="18"/>
                              <w:szCs w:val="18"/>
                            </w:rPr>
                          </w:pPr>
                          <w:r>
                            <w:rPr>
                              <w:rFonts w:ascii="宋体" w:hAnsi="宋体" w:eastAsia="宋体" w:cs="宋体"/>
                              <w:color w:val="007EDF"/>
                              <w:spacing w:val="-14"/>
                              <w:sz w:val="18"/>
                              <w:szCs w:val="18"/>
                            </w:rPr>
                            <w:t>●</w:t>
                          </w:r>
                          <w:r>
                            <w:rPr>
                              <w:rFonts w:ascii="宋体" w:hAnsi="宋体" w:eastAsia="宋体" w:cs="宋体"/>
                              <w:spacing w:val="-14"/>
                              <w:sz w:val="18"/>
                              <w:szCs w:val="18"/>
                            </w:rPr>
                            <w:t>培训总结</w:t>
                          </w:r>
                        </w:p>
                        <w:p w14:paraId="01067BA6">
                          <w:pPr>
                            <w:spacing w:before="5" w:line="219" w:lineRule="auto"/>
                            <w:ind w:right="28"/>
                            <w:jc w:val="right"/>
                            <w:rPr>
                              <w:rFonts w:ascii="宋体" w:hAnsi="宋体" w:eastAsia="宋体" w:cs="宋体"/>
                              <w:sz w:val="18"/>
                              <w:szCs w:val="18"/>
                            </w:rPr>
                          </w:pPr>
                          <w:r>
                            <w:rPr>
                              <w:rFonts w:ascii="宋体" w:hAnsi="宋体" w:eastAsia="宋体" w:cs="宋体"/>
                              <w:color w:val="0087E2"/>
                              <w:spacing w:val="-13"/>
                              <w:sz w:val="18"/>
                              <w:szCs w:val="18"/>
                            </w:rPr>
                            <w:t>●</w:t>
                          </w:r>
                          <w:r>
                            <w:rPr>
                              <w:rFonts w:ascii="宋体" w:hAnsi="宋体" w:eastAsia="宋体" w:cs="宋体"/>
                              <w:spacing w:val="-13"/>
                              <w:sz w:val="18"/>
                              <w:szCs w:val="18"/>
                            </w:rPr>
                            <w:t>用户反馈意见</w:t>
                          </w:r>
                        </w:p>
                      </w:tc>
                    </w:tr>
                    <w:tr w14:paraId="5C4303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1284" w:type="dxa"/>
                          <w:vAlign w:val="top"/>
                        </w:tcPr>
                        <w:p w14:paraId="188E964A">
                          <w:pPr>
                            <w:rPr>
                              <w:rFonts w:ascii="Arial"/>
                              <w:sz w:val="21"/>
                            </w:rPr>
                          </w:pPr>
                        </w:p>
                      </w:tc>
                      <w:tc>
                        <w:tcPr>
                          <w:tcW w:w="417" w:type="dxa"/>
                          <w:vAlign w:val="top"/>
                        </w:tcPr>
                        <w:p w14:paraId="5E308D50">
                          <w:pPr>
                            <w:rPr>
                              <w:rFonts w:ascii="Arial"/>
                              <w:sz w:val="21"/>
                            </w:rPr>
                          </w:pPr>
                        </w:p>
                      </w:tc>
                      <w:tc>
                        <w:tcPr>
                          <w:tcW w:w="2668" w:type="dxa"/>
                          <w:vAlign w:val="top"/>
                        </w:tcPr>
                        <w:p w14:paraId="1CCA2075">
                          <w:pPr>
                            <w:spacing w:before="64" w:line="218" w:lineRule="auto"/>
                            <w:ind w:left="368"/>
                            <w:rPr>
                              <w:rFonts w:ascii="宋体" w:hAnsi="宋体" w:eastAsia="宋体" w:cs="宋体"/>
                              <w:sz w:val="18"/>
                              <w:szCs w:val="18"/>
                            </w:rPr>
                          </w:pPr>
                          <w:r>
                            <w:rPr>
                              <w:rFonts w:ascii="宋体" w:hAnsi="宋体" w:eastAsia="宋体" w:cs="宋体"/>
                              <w:spacing w:val="-10"/>
                              <w:sz w:val="18"/>
                              <w:szCs w:val="18"/>
                            </w:rPr>
                            <w:t>监理单位进行培训评估</w:t>
                          </w:r>
                        </w:p>
                      </w:tc>
                      <w:tc>
                        <w:tcPr>
                          <w:tcW w:w="1453" w:type="dxa"/>
                          <w:vAlign w:val="top"/>
                        </w:tcPr>
                        <w:p w14:paraId="6B3F4976">
                          <w:pPr>
                            <w:rPr>
                              <w:rFonts w:ascii="Arial"/>
                              <w:sz w:val="21"/>
                            </w:rPr>
                          </w:pPr>
                        </w:p>
                      </w:tc>
                    </w:tr>
                    <w:tr w14:paraId="47071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15" w:hRule="atLeast"/>
                      </w:trPr>
                      <w:tc>
                        <w:tcPr>
                          <w:tcW w:w="1284" w:type="dxa"/>
                          <w:vAlign w:val="top"/>
                        </w:tcPr>
                        <w:p w14:paraId="6C61E1BC">
                          <w:pPr>
                            <w:spacing w:line="295" w:lineRule="auto"/>
                            <w:rPr>
                              <w:rFonts w:ascii="Arial"/>
                              <w:sz w:val="21"/>
                            </w:rPr>
                          </w:pPr>
                        </w:p>
                        <w:p w14:paraId="06F56E56">
                          <w:pPr>
                            <w:spacing w:before="59" w:line="219" w:lineRule="auto"/>
                            <w:ind w:left="40"/>
                            <w:rPr>
                              <w:rFonts w:ascii="宋体" w:hAnsi="宋体" w:eastAsia="宋体" w:cs="宋体"/>
                              <w:sz w:val="18"/>
                              <w:szCs w:val="18"/>
                            </w:rPr>
                          </w:pPr>
                          <w:r>
                            <w:rPr>
                              <w:rFonts w:ascii="宋体" w:hAnsi="宋体" w:eastAsia="宋体" w:cs="宋体"/>
                              <w:spacing w:val="-9"/>
                              <w:sz w:val="18"/>
                              <w:szCs w:val="18"/>
                            </w:rPr>
                            <w:t>协商解决方案</w:t>
                          </w:r>
                        </w:p>
                      </w:tc>
                      <w:tc>
                        <w:tcPr>
                          <w:tcW w:w="417" w:type="dxa"/>
                          <w:vAlign w:val="top"/>
                        </w:tcPr>
                        <w:p w14:paraId="3A03CA0C">
                          <w:pPr>
                            <w:spacing w:before="206" w:line="223" w:lineRule="auto"/>
                            <w:ind w:right="10"/>
                            <w:jc w:val="right"/>
                            <w:rPr>
                              <w:rFonts w:ascii="黑体" w:hAnsi="黑体" w:eastAsia="黑体" w:cs="黑体"/>
                              <w:sz w:val="18"/>
                              <w:szCs w:val="18"/>
                            </w:rPr>
                          </w:pPr>
                          <w:r>
                            <w:rPr>
                              <w:rFonts w:ascii="黑体" w:hAnsi="黑体" w:eastAsia="黑体" w:cs="黑体"/>
                              <w:sz w:val="18"/>
                              <w:szCs w:val="18"/>
                            </w:rPr>
                            <w:t>否</w:t>
                          </w:r>
                        </w:p>
                      </w:tc>
                      <w:tc>
                        <w:tcPr>
                          <w:tcW w:w="2668" w:type="dxa"/>
                          <w:vAlign w:val="top"/>
                        </w:tcPr>
                        <w:p w14:paraId="7F0667A5">
                          <w:pPr>
                            <w:spacing w:line="282" w:lineRule="auto"/>
                            <w:rPr>
                              <w:rFonts w:ascii="Arial"/>
                              <w:sz w:val="21"/>
                            </w:rPr>
                          </w:pPr>
                        </w:p>
                        <w:p w14:paraId="5C735782">
                          <w:pPr>
                            <w:spacing w:before="58" w:line="227" w:lineRule="auto"/>
                            <w:ind w:left="999"/>
                            <w:rPr>
                              <w:rFonts w:ascii="宋体" w:hAnsi="宋体" w:eastAsia="宋体" w:cs="宋体"/>
                              <w:sz w:val="18"/>
                              <w:szCs w:val="18"/>
                            </w:rPr>
                          </w:pPr>
                          <w:r>
                            <w:rPr>
                              <w:rFonts w:ascii="宋体" w:hAnsi="宋体" w:eastAsia="宋体" w:cs="宋体"/>
                              <w:spacing w:val="-2"/>
                              <w:sz w:val="18"/>
                              <w:szCs w:val="18"/>
                            </w:rPr>
                            <w:t>通过?</w:t>
                          </w:r>
                        </w:p>
                        <w:p w14:paraId="7AE9CAF3">
                          <w:pPr>
                            <w:spacing w:before="215" w:line="223" w:lineRule="auto"/>
                            <w:ind w:left="1329"/>
                            <w:rPr>
                              <w:rFonts w:ascii="宋体" w:hAnsi="宋体" w:eastAsia="宋体" w:cs="宋体"/>
                              <w:sz w:val="18"/>
                              <w:szCs w:val="18"/>
                            </w:rPr>
                          </w:pPr>
                          <w:r>
                            <w:rPr>
                              <w:rFonts w:ascii="宋体" w:hAnsi="宋体" w:eastAsia="宋体" w:cs="宋体"/>
                              <w:sz w:val="18"/>
                              <w:szCs w:val="18"/>
                            </w:rPr>
                            <w:t>是</w:t>
                          </w:r>
                        </w:p>
                        <w:p w14:paraId="4646145D">
                          <w:pPr>
                            <w:spacing w:before="139" w:line="173" w:lineRule="auto"/>
                            <w:ind w:left="869"/>
                            <w:rPr>
                              <w:rFonts w:ascii="宋体" w:hAnsi="宋体" w:eastAsia="宋体" w:cs="宋体"/>
                              <w:sz w:val="18"/>
                              <w:szCs w:val="18"/>
                            </w:rPr>
                          </w:pPr>
                          <w:r>
                            <w:rPr>
                              <w:rFonts w:ascii="宋体" w:hAnsi="宋体" w:eastAsia="宋体" w:cs="宋体"/>
                              <w:spacing w:val="-6"/>
                              <w:sz w:val="18"/>
                              <w:szCs w:val="18"/>
                            </w:rPr>
                            <w:t>培训结束</w:t>
                          </w:r>
                        </w:p>
                      </w:tc>
                      <w:tc>
                        <w:tcPr>
                          <w:tcW w:w="1453" w:type="dxa"/>
                          <w:vAlign w:val="top"/>
                        </w:tcPr>
                        <w:p w14:paraId="29313627">
                          <w:pPr>
                            <w:rPr>
                              <w:rFonts w:ascii="Arial"/>
                              <w:sz w:val="21"/>
                            </w:rPr>
                          </w:pPr>
                        </w:p>
                      </w:tc>
                    </w:tr>
                  </w:tbl>
                  <w:p w14:paraId="3157BCA3">
                    <w:pPr>
                      <w:rPr>
                        <w:rFonts w:ascii="Arial"/>
                        <w:sz w:val="21"/>
                      </w:rPr>
                    </w:pPr>
                  </w:p>
                </w:txbxContent>
              </v:textbox>
            </v:shape>
            <w10:wrap type="none"/>
            <w10:anchorlock/>
          </v:group>
        </w:pict>
      </w:r>
    </w:p>
    <w:p w14:paraId="0F75EB67">
      <w:pPr>
        <w:pStyle w:val="2"/>
        <w:spacing w:before="67" w:line="220" w:lineRule="auto"/>
        <w:ind w:left="3269"/>
        <w:rPr>
          <w:sz w:val="18"/>
          <w:szCs w:val="18"/>
        </w:rPr>
      </w:pPr>
      <w:r>
        <w:rPr>
          <w:spacing w:val="1"/>
          <w:sz w:val="18"/>
          <w:szCs w:val="18"/>
        </w:rPr>
        <w:t>图22-3</w:t>
      </w:r>
      <w:r>
        <w:rPr>
          <w:spacing w:val="80"/>
          <w:sz w:val="18"/>
          <w:szCs w:val="18"/>
        </w:rPr>
        <w:t xml:space="preserve"> </w:t>
      </w:r>
      <w:r>
        <w:rPr>
          <w:spacing w:val="1"/>
          <w:sz w:val="18"/>
          <w:szCs w:val="18"/>
        </w:rPr>
        <w:t>培训阶段质量控制流程</w:t>
      </w:r>
    </w:p>
    <w:p w14:paraId="05DBA837">
      <w:pPr>
        <w:spacing w:line="469" w:lineRule="auto"/>
        <w:rPr>
          <w:rFonts w:ascii="Arial"/>
          <w:sz w:val="21"/>
        </w:rPr>
      </w:pPr>
    </w:p>
    <w:p w14:paraId="51505605">
      <w:pPr>
        <w:pStyle w:val="2"/>
        <w:spacing w:before="91" w:line="222" w:lineRule="auto"/>
        <w:ind w:left="344"/>
        <w:rPr>
          <w:rFonts w:ascii="黑体" w:hAnsi="黑体" w:eastAsia="黑体" w:cs="黑体"/>
          <w:sz w:val="28"/>
          <w:szCs w:val="28"/>
        </w:rPr>
      </w:pPr>
      <w:r>
        <w:rPr>
          <w:b/>
          <w:bCs/>
          <w:color w:val="006AB2"/>
          <w:spacing w:val="-4"/>
          <w:sz w:val="28"/>
          <w:szCs w:val="28"/>
        </w:rPr>
        <w:t>22.6</w:t>
      </w:r>
      <w:r>
        <w:rPr>
          <w:color w:val="006AB2"/>
          <w:spacing w:val="-4"/>
          <w:sz w:val="28"/>
          <w:szCs w:val="28"/>
        </w:rPr>
        <w:t xml:space="preserve">  </w:t>
      </w:r>
      <w:r>
        <w:rPr>
          <w:rFonts w:ascii="黑体" w:hAnsi="黑体" w:eastAsia="黑体" w:cs="黑体"/>
          <w:b/>
          <w:bCs/>
          <w:color w:val="006AB2"/>
          <w:spacing w:val="-4"/>
          <w:sz w:val="28"/>
          <w:szCs w:val="28"/>
        </w:rPr>
        <w:t>软件支持过程的监理工作</w:t>
      </w:r>
    </w:p>
    <w:p w14:paraId="0A3120C5">
      <w:pPr>
        <w:pStyle w:val="2"/>
        <w:spacing w:before="245" w:line="319" w:lineRule="auto"/>
        <w:ind w:left="340" w:right="15" w:firstLine="399"/>
        <w:rPr>
          <w:sz w:val="18"/>
          <w:szCs w:val="18"/>
        </w:rPr>
      </w:pPr>
      <w:r>
        <w:rPr>
          <w:spacing w:val="23"/>
          <w:sz w:val="18"/>
          <w:szCs w:val="18"/>
        </w:rPr>
        <w:t>软件支持过程的监理工作包括文档编制过程的监理、配置管理过程的监理和质量保</w:t>
      </w:r>
      <w:r>
        <w:rPr>
          <w:spacing w:val="22"/>
          <w:sz w:val="18"/>
          <w:szCs w:val="18"/>
        </w:rPr>
        <w:t>证过程</w:t>
      </w:r>
      <w:r>
        <w:rPr>
          <w:sz w:val="18"/>
          <w:szCs w:val="18"/>
        </w:rPr>
        <w:t xml:space="preserve"> </w:t>
      </w:r>
      <w:r>
        <w:rPr>
          <w:spacing w:val="15"/>
          <w:sz w:val="18"/>
          <w:szCs w:val="18"/>
        </w:rPr>
        <w:t>的监理。</w:t>
      </w:r>
    </w:p>
    <w:p w14:paraId="2A70548A">
      <w:pPr>
        <w:pStyle w:val="2"/>
        <w:spacing w:before="157" w:line="219" w:lineRule="auto"/>
        <w:ind w:left="342"/>
        <w:rPr>
          <w:sz w:val="25"/>
          <w:szCs w:val="25"/>
        </w:rPr>
      </w:pPr>
      <w:r>
        <w:rPr>
          <w:b/>
          <w:bCs/>
          <w:color w:val="006FB9"/>
          <w:spacing w:val="-17"/>
          <w:sz w:val="25"/>
          <w:szCs w:val="25"/>
        </w:rPr>
        <w:t>22.6.1</w:t>
      </w:r>
      <w:r>
        <w:rPr>
          <w:color w:val="006FB9"/>
          <w:spacing w:val="81"/>
          <w:sz w:val="25"/>
          <w:szCs w:val="25"/>
        </w:rPr>
        <w:t xml:space="preserve"> </w:t>
      </w:r>
      <w:r>
        <w:rPr>
          <w:b/>
          <w:bCs/>
          <w:color w:val="006FB9"/>
          <w:spacing w:val="-17"/>
          <w:sz w:val="25"/>
          <w:szCs w:val="25"/>
        </w:rPr>
        <w:t>文档编制过程的监理</w:t>
      </w:r>
    </w:p>
    <w:p w14:paraId="6F0B2767">
      <w:pPr>
        <w:pStyle w:val="2"/>
        <w:spacing w:before="154" w:line="309" w:lineRule="auto"/>
        <w:ind w:left="340" w:firstLine="399"/>
        <w:jc w:val="both"/>
        <w:rPr>
          <w:sz w:val="18"/>
          <w:szCs w:val="18"/>
        </w:rPr>
      </w:pPr>
      <w:r>
        <w:rPr>
          <w:spacing w:val="23"/>
          <w:sz w:val="18"/>
          <w:szCs w:val="18"/>
        </w:rPr>
        <w:t>软件工程文档编制过程中，监理机构宜与业主单位、承建单位共同制订软件工程所需文档</w:t>
      </w:r>
      <w:r>
        <w:rPr>
          <w:spacing w:val="5"/>
          <w:sz w:val="18"/>
          <w:szCs w:val="18"/>
        </w:rPr>
        <w:t xml:space="preserve"> </w:t>
      </w:r>
      <w:r>
        <w:rPr>
          <w:spacing w:val="23"/>
          <w:sz w:val="18"/>
          <w:szCs w:val="18"/>
        </w:rPr>
        <w:t>的编制、审核及确认计划，并共同对工程所需文档的内容、设计和开发、编制过程、维护提出</w:t>
      </w:r>
      <w:r>
        <w:rPr>
          <w:spacing w:val="7"/>
          <w:sz w:val="18"/>
          <w:szCs w:val="18"/>
        </w:rPr>
        <w:t xml:space="preserve"> </w:t>
      </w:r>
      <w:r>
        <w:rPr>
          <w:spacing w:val="13"/>
          <w:sz w:val="18"/>
          <w:szCs w:val="18"/>
        </w:rPr>
        <w:t>明确要求。</w:t>
      </w:r>
    </w:p>
    <w:p w14:paraId="1881898A">
      <w:pPr>
        <w:pStyle w:val="2"/>
        <w:spacing w:before="35" w:line="219" w:lineRule="auto"/>
        <w:ind w:left="739"/>
        <w:rPr>
          <w:sz w:val="18"/>
          <w:szCs w:val="18"/>
        </w:rPr>
      </w:pPr>
      <w:r>
        <w:rPr>
          <w:spacing w:val="16"/>
          <w:sz w:val="18"/>
          <w:szCs w:val="18"/>
        </w:rPr>
        <w:t>在工作过程中，监理机构的工作内容和要点如下：</w:t>
      </w:r>
    </w:p>
    <w:p w14:paraId="3BB32C43">
      <w:pPr>
        <w:spacing w:line="219" w:lineRule="auto"/>
        <w:rPr>
          <w:sz w:val="18"/>
          <w:szCs w:val="18"/>
        </w:rPr>
        <w:sectPr>
          <w:pgSz w:w="10300" w:h="13400"/>
          <w:pgMar w:top="339" w:right="1088" w:bottom="400" w:left="540" w:header="0" w:footer="0" w:gutter="0"/>
          <w:cols w:space="720" w:num="1"/>
        </w:sectPr>
      </w:pPr>
    </w:p>
    <w:p w14:paraId="7FBB7960">
      <w:pPr>
        <w:pStyle w:val="2"/>
        <w:jc w:val="right"/>
        <w:rPr>
          <w:sz w:val="19"/>
          <w:szCs w:val="19"/>
        </w:rPr>
      </w:pPr>
      <w:bookmarkStart w:id="739" w:name="bookmark724"/>
      <w:bookmarkEnd w:id="739"/>
      <w:r>
        <w:rPr>
          <w:spacing w:val="3"/>
          <w:sz w:val="19"/>
          <w:szCs w:val="19"/>
        </w:rPr>
        <w:t>第22章</w:t>
      </w:r>
      <w:r>
        <w:rPr>
          <w:spacing w:val="37"/>
          <w:sz w:val="19"/>
          <w:szCs w:val="19"/>
        </w:rPr>
        <w:t xml:space="preserve"> </w:t>
      </w:r>
      <w:r>
        <w:rPr>
          <w:spacing w:val="3"/>
          <w:sz w:val="19"/>
          <w:szCs w:val="19"/>
        </w:rPr>
        <w:t xml:space="preserve">软件工程监理      </w:t>
      </w:r>
      <w:r>
        <w:rPr>
          <w:rFonts w:ascii="Times New Roman" w:hAnsi="Times New Roman" w:eastAsia="Times New Roman" w:cs="Times New Roman"/>
          <w:spacing w:val="3"/>
          <w:sz w:val="19"/>
          <w:szCs w:val="19"/>
        </w:rPr>
        <w:t>517</w:t>
      </w:r>
      <w:r>
        <w:rPr>
          <w:rFonts w:ascii="Times New Roman" w:hAnsi="Times New Roman" w:eastAsia="Times New Roman" w:cs="Times New Roman"/>
          <w:spacing w:val="5"/>
          <w:sz w:val="19"/>
          <w:szCs w:val="19"/>
        </w:rPr>
        <w:t xml:space="preserve">  </w:t>
      </w:r>
      <w:r>
        <w:rPr>
          <w:position w:val="-9"/>
          <w:sz w:val="19"/>
          <w:szCs w:val="19"/>
        </w:rPr>
        <w:drawing>
          <wp:inline distT="0" distB="0" distL="0" distR="0">
            <wp:extent cx="273050" cy="196215"/>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331"/>
                    <a:stretch>
                      <a:fillRect/>
                    </a:stretch>
                  </pic:blipFill>
                  <pic:spPr>
                    <a:xfrm>
                      <a:off x="0" y="0"/>
                      <a:ext cx="273061" cy="196842"/>
                    </a:xfrm>
                    <a:prstGeom prst="rect">
                      <a:avLst/>
                    </a:prstGeom>
                  </pic:spPr>
                </pic:pic>
              </a:graphicData>
            </a:graphic>
          </wp:inline>
        </w:drawing>
      </w:r>
    </w:p>
    <w:p w14:paraId="2A9217E7">
      <w:pPr>
        <w:spacing w:line="284" w:lineRule="auto"/>
        <w:rPr>
          <w:rFonts w:ascii="Arial"/>
          <w:sz w:val="21"/>
        </w:rPr>
      </w:pPr>
    </w:p>
    <w:p w14:paraId="2EDAEC33">
      <w:pPr>
        <w:pStyle w:val="2"/>
        <w:spacing w:before="62" w:line="219" w:lineRule="auto"/>
        <w:ind w:left="420"/>
        <w:rPr>
          <w:sz w:val="19"/>
          <w:szCs w:val="19"/>
        </w:rPr>
      </w:pPr>
      <w:r>
        <w:rPr>
          <w:spacing w:val="10"/>
          <w:sz w:val="19"/>
          <w:szCs w:val="19"/>
        </w:rPr>
        <w:t>(1)对文档内容的要求。每种文档应包括如下内容：</w:t>
      </w:r>
    </w:p>
    <w:p w14:paraId="6CFD58D5">
      <w:pPr>
        <w:pStyle w:val="2"/>
        <w:spacing w:before="85" w:line="220" w:lineRule="auto"/>
        <w:ind w:left="420"/>
        <w:rPr>
          <w:sz w:val="19"/>
          <w:szCs w:val="19"/>
        </w:rPr>
      </w:pPr>
      <w:r>
        <w:rPr>
          <w:spacing w:val="8"/>
          <w:sz w:val="19"/>
          <w:szCs w:val="19"/>
        </w:rPr>
        <w:t>●</w:t>
      </w:r>
      <w:r>
        <w:rPr>
          <w:spacing w:val="-58"/>
          <w:sz w:val="19"/>
          <w:szCs w:val="19"/>
        </w:rPr>
        <w:t xml:space="preserve"> </w:t>
      </w:r>
      <w:r>
        <w:rPr>
          <w:spacing w:val="8"/>
          <w:sz w:val="19"/>
          <w:szCs w:val="19"/>
        </w:rPr>
        <w:t>标题或名称；</w:t>
      </w:r>
    </w:p>
    <w:p w14:paraId="3D8CC419">
      <w:pPr>
        <w:pStyle w:val="2"/>
        <w:spacing w:before="103" w:line="219" w:lineRule="auto"/>
        <w:ind w:left="420"/>
        <w:rPr>
          <w:sz w:val="19"/>
          <w:szCs w:val="19"/>
        </w:rPr>
      </w:pPr>
      <w:r>
        <w:rPr>
          <w:spacing w:val="6"/>
          <w:sz w:val="19"/>
          <w:szCs w:val="19"/>
        </w:rPr>
        <w:t>●</w:t>
      </w:r>
      <w:r>
        <w:rPr>
          <w:spacing w:val="-58"/>
          <w:sz w:val="19"/>
          <w:szCs w:val="19"/>
        </w:rPr>
        <w:t xml:space="preserve"> </w:t>
      </w:r>
      <w:r>
        <w:rPr>
          <w:spacing w:val="6"/>
          <w:sz w:val="19"/>
          <w:szCs w:val="19"/>
        </w:rPr>
        <w:t>编制目的；</w:t>
      </w:r>
    </w:p>
    <w:p w14:paraId="277258AE">
      <w:pPr>
        <w:pStyle w:val="2"/>
        <w:spacing w:before="104" w:line="219" w:lineRule="auto"/>
        <w:ind w:left="420"/>
        <w:rPr>
          <w:sz w:val="19"/>
          <w:szCs w:val="19"/>
        </w:rPr>
      </w:pPr>
      <w:r>
        <w:rPr>
          <w:spacing w:val="10"/>
          <w:sz w:val="19"/>
          <w:szCs w:val="19"/>
        </w:rPr>
        <w:t>●文档的使用单位及人员；</w:t>
      </w:r>
    </w:p>
    <w:p w14:paraId="493ADB5E">
      <w:pPr>
        <w:pStyle w:val="2"/>
        <w:spacing w:before="94" w:line="219" w:lineRule="auto"/>
        <w:ind w:left="420"/>
        <w:rPr>
          <w:sz w:val="19"/>
          <w:szCs w:val="19"/>
        </w:rPr>
      </w:pPr>
      <w:r>
        <w:rPr>
          <w:spacing w:val="-2"/>
          <w:sz w:val="19"/>
          <w:szCs w:val="19"/>
        </w:rPr>
        <w:t>●有关输入、开发、评审、修改、批准、生产、贮存、发行、维护和配置管理的规程和职责；</w:t>
      </w:r>
    </w:p>
    <w:p w14:paraId="1356E32C">
      <w:pPr>
        <w:pStyle w:val="2"/>
        <w:spacing w:before="93" w:line="219" w:lineRule="auto"/>
        <w:ind w:left="420"/>
        <w:rPr>
          <w:sz w:val="19"/>
          <w:szCs w:val="19"/>
        </w:rPr>
      </w:pPr>
      <w:r>
        <w:rPr>
          <w:spacing w:val="12"/>
          <w:sz w:val="19"/>
          <w:szCs w:val="19"/>
        </w:rPr>
        <w:t>●中间和最终版本的日程安排。</w:t>
      </w:r>
    </w:p>
    <w:p w14:paraId="72BC9BD9">
      <w:pPr>
        <w:pStyle w:val="2"/>
        <w:spacing w:before="95" w:line="219" w:lineRule="auto"/>
        <w:ind w:left="420"/>
        <w:rPr>
          <w:sz w:val="19"/>
          <w:szCs w:val="19"/>
        </w:rPr>
      </w:pPr>
      <w:r>
        <w:rPr>
          <w:spacing w:val="10"/>
          <w:sz w:val="19"/>
          <w:szCs w:val="19"/>
        </w:rPr>
        <w:t>(2)对文档设计、开发的要求。具体如下：</w:t>
      </w:r>
    </w:p>
    <w:p w14:paraId="632831B5">
      <w:pPr>
        <w:pStyle w:val="2"/>
        <w:spacing w:before="95" w:line="265" w:lineRule="auto"/>
        <w:ind w:left="690" w:right="840" w:hanging="270"/>
        <w:rPr>
          <w:sz w:val="19"/>
          <w:szCs w:val="19"/>
        </w:rPr>
      </w:pPr>
      <w:r>
        <w:rPr>
          <w:spacing w:val="18"/>
          <w:sz w:val="19"/>
          <w:szCs w:val="19"/>
        </w:rPr>
        <w:t>●每一种指明的文档应根据适合的文档编写标准进行设计，这些标准包括</w:t>
      </w:r>
      <w:r>
        <w:rPr>
          <w:spacing w:val="17"/>
          <w:sz w:val="19"/>
          <w:szCs w:val="19"/>
        </w:rPr>
        <w:t>格式、内容叙</w:t>
      </w:r>
      <w:r>
        <w:rPr>
          <w:sz w:val="19"/>
          <w:szCs w:val="19"/>
        </w:rPr>
        <w:t xml:space="preserve"> </w:t>
      </w:r>
      <w:r>
        <w:rPr>
          <w:spacing w:val="9"/>
          <w:sz w:val="19"/>
          <w:szCs w:val="19"/>
        </w:rPr>
        <w:t>述、页码编写、插图、表格安排、专利标志</w:t>
      </w:r>
      <w:r>
        <w:rPr>
          <w:spacing w:val="8"/>
          <w:sz w:val="19"/>
          <w:szCs w:val="19"/>
        </w:rPr>
        <w:t>、保密安全标志、封装以及其他叙述项目；</w:t>
      </w:r>
    </w:p>
    <w:p w14:paraId="487763DA">
      <w:pPr>
        <w:pStyle w:val="2"/>
        <w:spacing w:before="105" w:line="219" w:lineRule="auto"/>
        <w:ind w:left="420"/>
        <w:rPr>
          <w:sz w:val="19"/>
          <w:szCs w:val="19"/>
        </w:rPr>
      </w:pPr>
      <w:r>
        <w:rPr>
          <w:spacing w:val="10"/>
          <w:sz w:val="19"/>
          <w:szCs w:val="19"/>
        </w:rPr>
        <w:t>●文档输入数据的来源和适应性应加以确认，可以使用自动化的文档编制工具；</w:t>
      </w:r>
    </w:p>
    <w:p w14:paraId="35636164">
      <w:pPr>
        <w:pStyle w:val="2"/>
        <w:spacing w:before="103" w:line="267" w:lineRule="auto"/>
        <w:ind w:left="690" w:right="842" w:hanging="270"/>
        <w:rPr>
          <w:sz w:val="19"/>
          <w:szCs w:val="19"/>
        </w:rPr>
      </w:pPr>
      <w:r>
        <w:rPr>
          <w:spacing w:val="12"/>
          <w:sz w:val="19"/>
          <w:szCs w:val="19"/>
        </w:rPr>
        <w:t>●编制的文档应按照其文档编制标准加以评审和编辑，以便符合格式、技术内容和表述方</w:t>
      </w:r>
      <w:r>
        <w:rPr>
          <w:spacing w:val="18"/>
          <w:sz w:val="19"/>
          <w:szCs w:val="19"/>
        </w:rPr>
        <w:t xml:space="preserve"> </w:t>
      </w:r>
      <w:r>
        <w:rPr>
          <w:spacing w:val="-1"/>
          <w:sz w:val="19"/>
          <w:szCs w:val="19"/>
        </w:rPr>
        <w:t>式要求；</w:t>
      </w:r>
    </w:p>
    <w:p w14:paraId="283E7F0A">
      <w:pPr>
        <w:pStyle w:val="2"/>
        <w:spacing w:before="90" w:line="219" w:lineRule="auto"/>
        <w:ind w:left="420"/>
        <w:rPr>
          <w:sz w:val="19"/>
          <w:szCs w:val="19"/>
        </w:rPr>
      </w:pPr>
      <w:r>
        <w:rPr>
          <w:spacing w:val="12"/>
          <w:sz w:val="19"/>
          <w:szCs w:val="19"/>
        </w:rPr>
        <w:t>●文档在发布前应由授权人批准。</w:t>
      </w:r>
    </w:p>
    <w:p w14:paraId="6309C83B">
      <w:pPr>
        <w:pStyle w:val="2"/>
        <w:spacing w:before="96" w:line="219" w:lineRule="auto"/>
        <w:ind w:left="420"/>
        <w:rPr>
          <w:sz w:val="19"/>
          <w:szCs w:val="19"/>
        </w:rPr>
      </w:pPr>
      <w:r>
        <w:rPr>
          <w:spacing w:val="11"/>
          <w:sz w:val="19"/>
          <w:szCs w:val="19"/>
        </w:rPr>
        <w:t>(3)对文档编制过程的要求。具体如下：</w:t>
      </w:r>
    </w:p>
    <w:p w14:paraId="42A1B6EB">
      <w:pPr>
        <w:pStyle w:val="2"/>
        <w:spacing w:before="74" w:line="270" w:lineRule="auto"/>
        <w:ind w:left="690" w:right="840" w:hanging="270"/>
        <w:rPr>
          <w:sz w:val="19"/>
          <w:szCs w:val="19"/>
        </w:rPr>
      </w:pPr>
      <w:r>
        <w:rPr>
          <w:spacing w:val="13"/>
          <w:sz w:val="19"/>
          <w:szCs w:val="19"/>
        </w:rPr>
        <w:t>●文档应按照计划编制和提供。文档的编制和发</w:t>
      </w:r>
      <w:r>
        <w:rPr>
          <w:spacing w:val="12"/>
          <w:sz w:val="19"/>
          <w:szCs w:val="19"/>
        </w:rPr>
        <w:t>行可以使用纸张、电子或其他媒体。主要</w:t>
      </w:r>
      <w:r>
        <w:rPr>
          <w:sz w:val="19"/>
          <w:szCs w:val="19"/>
        </w:rPr>
        <w:t xml:space="preserve"> </w:t>
      </w:r>
      <w:r>
        <w:rPr>
          <w:spacing w:val="8"/>
          <w:sz w:val="19"/>
          <w:szCs w:val="19"/>
        </w:rPr>
        <w:t>资料应按照有关记录保存、保密安全、维护和备份的要求妥善贮存。</w:t>
      </w:r>
    </w:p>
    <w:p w14:paraId="334E027E">
      <w:pPr>
        <w:pStyle w:val="2"/>
        <w:spacing w:before="95" w:line="219" w:lineRule="auto"/>
        <w:ind w:left="420"/>
        <w:rPr>
          <w:sz w:val="19"/>
          <w:szCs w:val="19"/>
        </w:rPr>
      </w:pPr>
      <w:r>
        <w:rPr>
          <w:spacing w:val="12"/>
          <w:sz w:val="19"/>
          <w:szCs w:val="19"/>
        </w:rPr>
        <w:t>●应按照配置管理过程进行控制。</w:t>
      </w:r>
    </w:p>
    <w:p w14:paraId="4F165C47">
      <w:pPr>
        <w:pStyle w:val="2"/>
        <w:spacing w:before="105" w:line="219" w:lineRule="auto"/>
        <w:ind w:left="420"/>
        <w:rPr>
          <w:sz w:val="19"/>
          <w:szCs w:val="19"/>
        </w:rPr>
      </w:pPr>
      <w:r>
        <w:rPr>
          <w:spacing w:val="10"/>
          <w:sz w:val="19"/>
          <w:szCs w:val="19"/>
        </w:rPr>
        <w:t>(4)对文档维护的要求。具体如下：</w:t>
      </w:r>
    </w:p>
    <w:p w14:paraId="55E60A0A">
      <w:pPr>
        <w:pStyle w:val="2"/>
        <w:spacing w:before="83" w:line="219" w:lineRule="auto"/>
        <w:ind w:left="420"/>
        <w:rPr>
          <w:sz w:val="19"/>
          <w:szCs w:val="19"/>
        </w:rPr>
      </w:pPr>
      <w:r>
        <w:rPr>
          <w:spacing w:val="10"/>
          <w:sz w:val="19"/>
          <w:szCs w:val="19"/>
        </w:rPr>
        <w:t>●对文档的修改应按照业主单位、监理机构、承建单位共同确定</w:t>
      </w:r>
      <w:r>
        <w:rPr>
          <w:spacing w:val="9"/>
          <w:sz w:val="19"/>
          <w:szCs w:val="19"/>
        </w:rPr>
        <w:t>的流程执行；</w:t>
      </w:r>
    </w:p>
    <w:p w14:paraId="76841DA4">
      <w:pPr>
        <w:pStyle w:val="2"/>
        <w:spacing w:before="96" w:line="219" w:lineRule="auto"/>
        <w:ind w:left="420"/>
        <w:rPr>
          <w:sz w:val="19"/>
          <w:szCs w:val="19"/>
        </w:rPr>
      </w:pPr>
      <w:r>
        <w:rPr>
          <w:spacing w:val="11"/>
          <w:sz w:val="19"/>
          <w:szCs w:val="19"/>
        </w:rPr>
        <w:t>●对于配置管理下的文档，修改工作应按照配置管理过</w:t>
      </w:r>
      <w:r>
        <w:rPr>
          <w:spacing w:val="10"/>
          <w:sz w:val="19"/>
          <w:szCs w:val="19"/>
        </w:rPr>
        <w:t>程进行管控。</w:t>
      </w:r>
    </w:p>
    <w:p w14:paraId="4A857147">
      <w:pPr>
        <w:pStyle w:val="2"/>
        <w:spacing w:before="243" w:line="219" w:lineRule="auto"/>
        <w:ind w:left="2"/>
        <w:rPr>
          <w:sz w:val="25"/>
          <w:szCs w:val="25"/>
        </w:rPr>
      </w:pPr>
      <w:r>
        <w:rPr>
          <w:b/>
          <w:bCs/>
          <w:color w:val="006EDC"/>
          <w:spacing w:val="-17"/>
          <w:sz w:val="25"/>
          <w:szCs w:val="25"/>
        </w:rPr>
        <w:t>22.6.2</w:t>
      </w:r>
      <w:r>
        <w:rPr>
          <w:color w:val="006EDC"/>
          <w:spacing w:val="90"/>
          <w:sz w:val="25"/>
          <w:szCs w:val="25"/>
        </w:rPr>
        <w:t xml:space="preserve"> </w:t>
      </w:r>
      <w:r>
        <w:rPr>
          <w:b/>
          <w:bCs/>
          <w:color w:val="006EDC"/>
          <w:spacing w:val="-17"/>
          <w:sz w:val="25"/>
          <w:szCs w:val="25"/>
        </w:rPr>
        <w:t>配置管理过程的监理</w:t>
      </w:r>
    </w:p>
    <w:p w14:paraId="470D2DB4">
      <w:pPr>
        <w:pStyle w:val="2"/>
        <w:spacing w:before="155" w:line="293" w:lineRule="auto"/>
        <w:ind w:right="834" w:firstLine="420"/>
        <w:jc w:val="both"/>
        <w:rPr>
          <w:sz w:val="19"/>
          <w:szCs w:val="19"/>
        </w:rPr>
      </w:pPr>
      <w:r>
        <w:rPr>
          <w:spacing w:val="13"/>
          <w:sz w:val="19"/>
          <w:szCs w:val="19"/>
        </w:rPr>
        <w:t>软件配置管理是保证软件质量和软件研制进度的重</w:t>
      </w:r>
      <w:r>
        <w:rPr>
          <w:spacing w:val="12"/>
          <w:sz w:val="19"/>
          <w:szCs w:val="19"/>
        </w:rPr>
        <w:t>要手段，软件配置管理包括标识给定时</w:t>
      </w:r>
      <w:r>
        <w:rPr>
          <w:sz w:val="19"/>
          <w:szCs w:val="19"/>
        </w:rPr>
        <w:t xml:space="preserve"> </w:t>
      </w:r>
      <w:r>
        <w:rPr>
          <w:spacing w:val="13"/>
          <w:sz w:val="19"/>
          <w:szCs w:val="19"/>
        </w:rPr>
        <w:t>间点的软件配置，系统地控制这些配置的更改，并在软件生命周期中保持这些配置的完整性和</w:t>
      </w:r>
      <w:r>
        <w:rPr>
          <w:spacing w:val="1"/>
          <w:sz w:val="19"/>
          <w:szCs w:val="19"/>
        </w:rPr>
        <w:t xml:space="preserve"> </w:t>
      </w:r>
      <w:r>
        <w:rPr>
          <w:spacing w:val="5"/>
          <w:sz w:val="19"/>
          <w:szCs w:val="19"/>
        </w:rPr>
        <w:t>可跟踪性。</w:t>
      </w:r>
    </w:p>
    <w:p w14:paraId="290787CE">
      <w:pPr>
        <w:pStyle w:val="2"/>
        <w:spacing w:before="45" w:line="219" w:lineRule="auto"/>
        <w:ind w:left="420"/>
        <w:rPr>
          <w:sz w:val="19"/>
          <w:szCs w:val="19"/>
        </w:rPr>
      </w:pPr>
      <w:r>
        <w:rPr>
          <w:spacing w:val="6"/>
          <w:sz w:val="19"/>
          <w:szCs w:val="19"/>
        </w:rPr>
        <w:t>软件工程配置管理过程的监理内容和要点如下：</w:t>
      </w:r>
    </w:p>
    <w:p w14:paraId="201B2EEE">
      <w:pPr>
        <w:pStyle w:val="2"/>
        <w:spacing w:before="65" w:line="265" w:lineRule="auto"/>
        <w:ind w:right="755" w:firstLine="420"/>
        <w:rPr>
          <w:sz w:val="19"/>
          <w:szCs w:val="19"/>
        </w:rPr>
      </w:pPr>
      <w:r>
        <w:rPr>
          <w:spacing w:val="12"/>
          <w:sz w:val="19"/>
          <w:szCs w:val="19"/>
        </w:rPr>
        <w:t>(1)敦促承建单位建立有效的配置管理过程，确定实施管理</w:t>
      </w:r>
      <w:r>
        <w:rPr>
          <w:spacing w:val="11"/>
          <w:sz w:val="19"/>
          <w:szCs w:val="19"/>
        </w:rPr>
        <w:t>和技术规程的策略，以及标识、</w:t>
      </w:r>
      <w:r>
        <w:rPr>
          <w:sz w:val="19"/>
          <w:szCs w:val="19"/>
        </w:rPr>
        <w:t xml:space="preserve"> </w:t>
      </w:r>
      <w:r>
        <w:rPr>
          <w:spacing w:val="7"/>
          <w:sz w:val="19"/>
          <w:szCs w:val="19"/>
        </w:rPr>
        <w:t>定义系统中的软件项并制定基线。</w:t>
      </w:r>
    </w:p>
    <w:p w14:paraId="7C014F07">
      <w:pPr>
        <w:pStyle w:val="2"/>
        <w:spacing w:before="72" w:line="266" w:lineRule="auto"/>
        <w:ind w:right="821" w:firstLine="420"/>
        <w:rPr>
          <w:sz w:val="19"/>
          <w:szCs w:val="19"/>
        </w:rPr>
      </w:pPr>
      <w:r>
        <w:rPr>
          <w:spacing w:val="15"/>
          <w:sz w:val="19"/>
          <w:szCs w:val="19"/>
        </w:rPr>
        <w:t>(2)监督承建单位配置管理的执行情况，包括控制软件项的修改和发行，记录和报告软件</w:t>
      </w:r>
      <w:r>
        <w:rPr>
          <w:spacing w:val="2"/>
          <w:sz w:val="19"/>
          <w:szCs w:val="19"/>
        </w:rPr>
        <w:t xml:space="preserve"> </w:t>
      </w:r>
      <w:r>
        <w:rPr>
          <w:spacing w:val="5"/>
          <w:sz w:val="19"/>
          <w:szCs w:val="19"/>
        </w:rPr>
        <w:t>项的状态和修改申请。</w:t>
      </w:r>
    </w:p>
    <w:p w14:paraId="005BC4A5">
      <w:pPr>
        <w:pStyle w:val="2"/>
        <w:spacing w:before="75" w:line="219" w:lineRule="auto"/>
        <w:ind w:left="420"/>
        <w:rPr>
          <w:sz w:val="19"/>
          <w:szCs w:val="19"/>
        </w:rPr>
      </w:pPr>
      <w:r>
        <w:rPr>
          <w:spacing w:val="11"/>
          <w:sz w:val="19"/>
          <w:szCs w:val="19"/>
        </w:rPr>
        <w:t>(3)与业主单位、承建单位共同对配置管理做出要求，应包含如</w:t>
      </w:r>
      <w:r>
        <w:rPr>
          <w:spacing w:val="10"/>
          <w:sz w:val="19"/>
          <w:szCs w:val="19"/>
        </w:rPr>
        <w:t>下内容：</w:t>
      </w:r>
    </w:p>
    <w:p w14:paraId="6558EEBD">
      <w:pPr>
        <w:pStyle w:val="2"/>
        <w:spacing w:before="85" w:line="219" w:lineRule="auto"/>
        <w:ind w:left="420"/>
        <w:rPr>
          <w:sz w:val="19"/>
          <w:szCs w:val="19"/>
        </w:rPr>
      </w:pPr>
      <w:r>
        <w:rPr>
          <w:spacing w:val="11"/>
          <w:sz w:val="19"/>
          <w:szCs w:val="19"/>
        </w:rPr>
        <w:t>●配置项的完整性、协调性和正确性；</w:t>
      </w:r>
    </w:p>
    <w:p w14:paraId="445DFC26">
      <w:pPr>
        <w:pStyle w:val="2"/>
        <w:spacing w:before="84" w:line="219" w:lineRule="auto"/>
        <w:ind w:left="420"/>
        <w:rPr>
          <w:sz w:val="19"/>
          <w:szCs w:val="19"/>
        </w:rPr>
      </w:pPr>
      <w:r>
        <w:rPr>
          <w:spacing w:val="11"/>
          <w:sz w:val="19"/>
          <w:szCs w:val="19"/>
        </w:rPr>
        <w:t>●对配置项的储存、处理和交付的控制。</w:t>
      </w:r>
    </w:p>
    <w:p w14:paraId="0B835867">
      <w:pPr>
        <w:pStyle w:val="2"/>
        <w:spacing w:before="254" w:line="220" w:lineRule="auto"/>
        <w:ind w:left="2"/>
        <w:rPr>
          <w:sz w:val="25"/>
          <w:szCs w:val="25"/>
        </w:rPr>
      </w:pPr>
      <w:r>
        <w:rPr>
          <w:b/>
          <w:bCs/>
          <w:color w:val="006CD9"/>
          <w:spacing w:val="-18"/>
          <w:sz w:val="25"/>
          <w:szCs w:val="25"/>
        </w:rPr>
        <w:t>22.6.3</w:t>
      </w:r>
      <w:r>
        <w:rPr>
          <w:color w:val="006CD9"/>
          <w:spacing w:val="106"/>
          <w:sz w:val="25"/>
          <w:szCs w:val="25"/>
        </w:rPr>
        <w:t xml:space="preserve"> </w:t>
      </w:r>
      <w:r>
        <w:rPr>
          <w:b/>
          <w:bCs/>
          <w:color w:val="006CD9"/>
          <w:spacing w:val="-18"/>
          <w:sz w:val="25"/>
          <w:szCs w:val="25"/>
        </w:rPr>
        <w:t>质量保证过程的监理</w:t>
      </w:r>
    </w:p>
    <w:p w14:paraId="3697B191">
      <w:pPr>
        <w:pStyle w:val="2"/>
        <w:spacing w:before="163" w:line="219" w:lineRule="auto"/>
        <w:ind w:left="420"/>
        <w:rPr>
          <w:sz w:val="19"/>
          <w:szCs w:val="19"/>
        </w:rPr>
      </w:pPr>
      <w:r>
        <w:rPr>
          <w:spacing w:val="9"/>
          <w:sz w:val="19"/>
          <w:szCs w:val="19"/>
        </w:rPr>
        <w:t>软件质量是指反映软件系统或者软件产品满足规定或隐含需求的能力的特</w:t>
      </w:r>
      <w:r>
        <w:rPr>
          <w:spacing w:val="8"/>
          <w:sz w:val="19"/>
          <w:szCs w:val="19"/>
        </w:rPr>
        <w:t>征和特征全体。</w:t>
      </w:r>
    </w:p>
    <w:p w14:paraId="1CE5E27F">
      <w:pPr>
        <w:spacing w:line="219" w:lineRule="auto"/>
        <w:rPr>
          <w:sz w:val="19"/>
          <w:szCs w:val="19"/>
        </w:rPr>
        <w:sectPr>
          <w:pgSz w:w="10290" w:h="13270"/>
          <w:pgMar w:top="399" w:right="9" w:bottom="400" w:left="1119" w:header="0" w:footer="0" w:gutter="0"/>
          <w:cols w:space="720" w:num="1"/>
        </w:sectPr>
      </w:pPr>
    </w:p>
    <w:p w14:paraId="0144AB87">
      <w:pPr>
        <w:spacing w:before="30"/>
        <w:rPr>
          <w:rFonts w:ascii="Times New Roman" w:hAnsi="Times New Roman" w:eastAsia="Times New Roman" w:cs="Times New Roman"/>
          <w:sz w:val="19"/>
          <w:szCs w:val="19"/>
        </w:rPr>
      </w:pPr>
      <w:bookmarkStart w:id="740" w:name="bookmark725"/>
      <w:bookmarkEnd w:id="740"/>
      <w:r>
        <w:rPr>
          <w:rFonts w:ascii="Times New Roman" w:hAnsi="Times New Roman" w:eastAsia="Times New Roman" w:cs="Times New Roman"/>
          <w:position w:val="-9"/>
          <w:sz w:val="19"/>
          <w:szCs w:val="19"/>
        </w:rPr>
        <w:drawing>
          <wp:inline distT="0" distB="0" distL="0" distR="0">
            <wp:extent cx="285750" cy="20256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332"/>
                    <a:stretch>
                      <a:fillRect/>
                    </a:stretch>
                  </pic:blipFill>
                  <pic:spPr>
                    <a:xfrm>
                      <a:off x="0" y="0"/>
                      <a:ext cx="285754" cy="203132"/>
                    </a:xfrm>
                    <a:prstGeom prst="rect">
                      <a:avLst/>
                    </a:prstGeom>
                  </pic:spPr>
                </pic:pic>
              </a:graphicData>
            </a:graphic>
          </wp:inline>
        </w:drawing>
      </w:r>
      <w:r>
        <w:rPr>
          <w:rFonts w:ascii="Times New Roman" w:hAnsi="Times New Roman" w:eastAsia="Times New Roman" w:cs="Times New Roman"/>
          <w:b/>
          <w:bCs/>
          <w:spacing w:val="3"/>
          <w:sz w:val="19"/>
          <w:szCs w:val="19"/>
        </w:rPr>
        <w:t xml:space="preserve"> </w:t>
      </w:r>
      <w:r>
        <w:rPr>
          <w:rFonts w:ascii="Times New Roman" w:hAnsi="Times New Roman" w:eastAsia="Times New Roman" w:cs="Times New Roman"/>
          <w:b/>
          <w:bCs/>
          <w:spacing w:val="-2"/>
          <w:sz w:val="19"/>
          <w:szCs w:val="19"/>
        </w:rPr>
        <w:t>518</w:t>
      </w:r>
    </w:p>
    <w:p w14:paraId="141B0F7D">
      <w:pPr>
        <w:spacing w:line="30" w:lineRule="exact"/>
      </w:pPr>
    </w:p>
    <w:p w14:paraId="25DBD422">
      <w:pPr>
        <w:spacing w:line="14" w:lineRule="auto"/>
        <w:rPr>
          <w:rFonts w:ascii="Arial"/>
          <w:sz w:val="2"/>
        </w:rPr>
      </w:pPr>
      <w:r>
        <w:rPr>
          <w:rFonts w:ascii="Arial" w:hAnsi="Arial" w:eastAsia="Arial" w:cs="Arial"/>
          <w:sz w:val="2"/>
          <w:szCs w:val="2"/>
        </w:rPr>
        <w:br w:type="column"/>
      </w:r>
    </w:p>
    <w:p w14:paraId="4D572726">
      <w:pPr>
        <w:pStyle w:val="2"/>
        <w:spacing w:before="86" w:line="219" w:lineRule="auto"/>
        <w:rPr>
          <w:sz w:val="19"/>
          <w:szCs w:val="19"/>
        </w:rPr>
      </w:pPr>
      <w:r>
        <w:rPr>
          <w:spacing w:val="6"/>
          <w:sz w:val="19"/>
          <w:szCs w:val="19"/>
        </w:rPr>
        <w:t>信息系统监理师教程(第2版)</w:t>
      </w:r>
    </w:p>
    <w:p w14:paraId="2CF04CCE">
      <w:pPr>
        <w:spacing w:line="219" w:lineRule="auto"/>
        <w:rPr>
          <w:sz w:val="19"/>
          <w:szCs w:val="19"/>
        </w:rPr>
        <w:sectPr>
          <w:pgSz w:w="10300" w:h="13340"/>
          <w:pgMar w:top="330" w:right="1097" w:bottom="400" w:left="0" w:header="0" w:footer="0" w:gutter="0"/>
          <w:cols w:equalWidth="0" w:num="2">
            <w:col w:w="1361" w:space="100"/>
            <w:col w:w="7743"/>
          </w:cols>
        </w:sectPr>
      </w:pPr>
    </w:p>
    <w:p w14:paraId="30EEA55F">
      <w:pPr>
        <w:spacing w:line="253" w:lineRule="auto"/>
        <w:rPr>
          <w:rFonts w:ascii="Arial"/>
          <w:sz w:val="21"/>
        </w:rPr>
      </w:pPr>
      <w:r>
        <w:drawing>
          <wp:anchor distT="0" distB="0" distL="0" distR="0" simplePos="0" relativeHeight="251830272" behindDoc="0" locked="0" layoutInCell="1" allowOverlap="1">
            <wp:simplePos x="0" y="0"/>
            <wp:positionH relativeFrom="column">
              <wp:posOffset>552450</wp:posOffset>
            </wp:positionH>
            <wp:positionV relativeFrom="paragraph">
              <wp:posOffset>-241300</wp:posOffset>
            </wp:positionV>
            <wp:extent cx="298450" cy="241300"/>
            <wp:effectExtent l="0" t="0" r="0" b="0"/>
            <wp:wrapNone/>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333"/>
                    <a:stretch>
                      <a:fillRect/>
                    </a:stretch>
                  </pic:blipFill>
                  <pic:spPr>
                    <a:xfrm>
                      <a:off x="0" y="0"/>
                      <a:ext cx="298443" cy="241251"/>
                    </a:xfrm>
                    <a:prstGeom prst="rect">
                      <a:avLst/>
                    </a:prstGeom>
                  </pic:spPr>
                </pic:pic>
              </a:graphicData>
            </a:graphic>
          </wp:anchor>
        </w:drawing>
      </w:r>
    </w:p>
    <w:p w14:paraId="4335F378">
      <w:pPr>
        <w:pStyle w:val="2"/>
        <w:spacing w:before="62" w:line="219" w:lineRule="auto"/>
        <w:ind w:left="1240"/>
        <w:rPr>
          <w:sz w:val="19"/>
          <w:szCs w:val="19"/>
        </w:rPr>
      </w:pPr>
      <w:r>
        <w:rPr>
          <w:spacing w:val="10"/>
          <w:sz w:val="19"/>
          <w:szCs w:val="19"/>
        </w:rPr>
        <w:t>从管理的角度列出影响软件质量的主要因素，如表22-4所示。</w:t>
      </w:r>
    </w:p>
    <w:p w14:paraId="0DBE6438">
      <w:pPr>
        <w:spacing w:before="153" w:line="222" w:lineRule="auto"/>
        <w:ind w:left="3662"/>
        <w:rPr>
          <w:rFonts w:ascii="黑体" w:hAnsi="黑体" w:eastAsia="黑体" w:cs="黑体"/>
          <w:sz w:val="19"/>
          <w:szCs w:val="19"/>
        </w:rPr>
      </w:pPr>
      <w:r>
        <w:rPr>
          <w:rFonts w:ascii="黑体" w:hAnsi="黑体" w:eastAsia="黑体" w:cs="黑体"/>
          <w:b/>
          <w:bCs/>
          <w:spacing w:val="-9"/>
          <w:sz w:val="19"/>
          <w:szCs w:val="19"/>
        </w:rPr>
        <w:t>表22-4</w:t>
      </w:r>
      <w:r>
        <w:rPr>
          <w:rFonts w:ascii="黑体" w:hAnsi="黑体" w:eastAsia="黑体" w:cs="黑体"/>
          <w:spacing w:val="-9"/>
          <w:sz w:val="19"/>
          <w:szCs w:val="19"/>
        </w:rPr>
        <w:t xml:space="preserve">  </w:t>
      </w:r>
      <w:r>
        <w:rPr>
          <w:rFonts w:ascii="黑体" w:hAnsi="黑体" w:eastAsia="黑体" w:cs="黑体"/>
          <w:b/>
          <w:bCs/>
          <w:spacing w:val="-9"/>
          <w:sz w:val="19"/>
          <w:szCs w:val="19"/>
        </w:rPr>
        <w:t>影响软件质量的主要因素</w:t>
      </w:r>
    </w:p>
    <w:p w14:paraId="3AC61866">
      <w:pPr>
        <w:spacing w:line="121" w:lineRule="exact"/>
      </w:pPr>
    </w:p>
    <w:tbl>
      <w:tblPr>
        <w:tblStyle w:val="5"/>
        <w:tblW w:w="8332" w:type="dxa"/>
        <w:tblInd w:w="8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0"/>
        <w:gridCol w:w="1470"/>
        <w:gridCol w:w="6002"/>
      </w:tblGrid>
      <w:tr w14:paraId="5B69F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860" w:type="dxa"/>
            <w:tcBorders>
              <w:left w:val="nil"/>
            </w:tcBorders>
            <w:vAlign w:val="top"/>
          </w:tcPr>
          <w:p w14:paraId="57CF8461">
            <w:pPr>
              <w:pStyle w:val="6"/>
              <w:spacing w:before="78" w:line="219" w:lineRule="auto"/>
              <w:ind w:left="52"/>
            </w:pPr>
            <w:r>
              <w:rPr>
                <w:b/>
                <w:bCs/>
                <w:spacing w:val="-5"/>
              </w:rPr>
              <w:t>管理角度</w:t>
            </w:r>
          </w:p>
        </w:tc>
        <w:tc>
          <w:tcPr>
            <w:tcW w:w="1470" w:type="dxa"/>
            <w:vAlign w:val="top"/>
          </w:tcPr>
          <w:p w14:paraId="1384CF27">
            <w:pPr>
              <w:pStyle w:val="6"/>
              <w:spacing w:before="80" w:line="219" w:lineRule="auto"/>
              <w:ind w:left="347"/>
            </w:pPr>
            <w:r>
              <w:rPr>
                <w:b/>
                <w:bCs/>
                <w:spacing w:val="-4"/>
              </w:rPr>
              <w:t>质量因素</w:t>
            </w:r>
          </w:p>
        </w:tc>
        <w:tc>
          <w:tcPr>
            <w:tcW w:w="6002" w:type="dxa"/>
            <w:tcBorders>
              <w:right w:val="nil"/>
            </w:tcBorders>
            <w:vAlign w:val="top"/>
          </w:tcPr>
          <w:p w14:paraId="3450636B">
            <w:pPr>
              <w:pStyle w:val="6"/>
              <w:spacing w:before="80" w:line="220" w:lineRule="auto"/>
              <w:ind w:left="2817"/>
            </w:pPr>
            <w:r>
              <w:rPr>
                <w:b/>
                <w:bCs/>
                <w:spacing w:val="-5"/>
              </w:rPr>
              <w:t>定义</w:t>
            </w:r>
          </w:p>
        </w:tc>
      </w:tr>
      <w:tr w14:paraId="6B8AF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860" w:type="dxa"/>
            <w:vMerge w:val="restart"/>
            <w:tcBorders>
              <w:left w:val="nil"/>
              <w:bottom w:val="nil"/>
            </w:tcBorders>
            <w:vAlign w:val="top"/>
          </w:tcPr>
          <w:p w14:paraId="3E7973ED">
            <w:pPr>
              <w:spacing w:line="280" w:lineRule="auto"/>
              <w:rPr>
                <w:rFonts w:ascii="Arial"/>
                <w:sz w:val="21"/>
              </w:rPr>
            </w:pPr>
          </w:p>
          <w:p w14:paraId="6E4F891B">
            <w:pPr>
              <w:spacing w:line="280" w:lineRule="auto"/>
              <w:rPr>
                <w:rFonts w:ascii="Arial"/>
                <w:sz w:val="21"/>
              </w:rPr>
            </w:pPr>
          </w:p>
          <w:p w14:paraId="550994A7">
            <w:pPr>
              <w:spacing w:line="280" w:lineRule="auto"/>
              <w:rPr>
                <w:rFonts w:ascii="Arial"/>
                <w:sz w:val="21"/>
              </w:rPr>
            </w:pPr>
          </w:p>
          <w:p w14:paraId="6F7257DA">
            <w:pPr>
              <w:spacing w:line="280" w:lineRule="auto"/>
              <w:rPr>
                <w:rFonts w:ascii="Arial"/>
                <w:sz w:val="21"/>
              </w:rPr>
            </w:pPr>
          </w:p>
          <w:p w14:paraId="0C39437D">
            <w:pPr>
              <w:pStyle w:val="6"/>
              <w:spacing w:before="62" w:line="219" w:lineRule="auto"/>
              <w:ind w:left="49"/>
            </w:pPr>
            <w:r>
              <w:rPr>
                <w:spacing w:val="-2"/>
              </w:rPr>
              <w:t>产品运行</w:t>
            </w:r>
          </w:p>
        </w:tc>
        <w:tc>
          <w:tcPr>
            <w:tcW w:w="1470" w:type="dxa"/>
            <w:vAlign w:val="top"/>
          </w:tcPr>
          <w:p w14:paraId="33C62F3E">
            <w:pPr>
              <w:pStyle w:val="6"/>
              <w:spacing w:before="189" w:line="220" w:lineRule="auto"/>
              <w:ind w:left="444"/>
            </w:pPr>
            <w:r>
              <w:rPr>
                <w:spacing w:val="-3"/>
              </w:rPr>
              <w:t>正确性</w:t>
            </w:r>
          </w:p>
        </w:tc>
        <w:tc>
          <w:tcPr>
            <w:tcW w:w="6002" w:type="dxa"/>
            <w:tcBorders>
              <w:right w:val="nil"/>
            </w:tcBorders>
            <w:vAlign w:val="top"/>
          </w:tcPr>
          <w:p w14:paraId="16EFDED0">
            <w:pPr>
              <w:pStyle w:val="6"/>
              <w:spacing w:before="58" w:line="243" w:lineRule="auto"/>
              <w:ind w:left="34" w:right="9" w:firstLine="40"/>
            </w:pPr>
            <w:r>
              <w:rPr>
                <w:spacing w:val="-5"/>
              </w:rPr>
              <w:t>系统满足规格说明和用户目标的程度，即在预定环境</w:t>
            </w:r>
            <w:r>
              <w:rPr>
                <w:spacing w:val="-6"/>
              </w:rPr>
              <w:t>下能正确地完成预期</w:t>
            </w:r>
            <w:r>
              <w:t xml:space="preserve"> </w:t>
            </w:r>
            <w:r>
              <w:rPr>
                <w:spacing w:val="2"/>
              </w:rPr>
              <w:t>功能的程度</w:t>
            </w:r>
          </w:p>
        </w:tc>
      </w:tr>
      <w:tr w14:paraId="08DE2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860" w:type="dxa"/>
            <w:vMerge w:val="continue"/>
            <w:tcBorders>
              <w:top w:val="nil"/>
              <w:left w:val="nil"/>
              <w:bottom w:val="nil"/>
            </w:tcBorders>
            <w:vAlign w:val="top"/>
          </w:tcPr>
          <w:p w14:paraId="3D5B9D1A">
            <w:pPr>
              <w:rPr>
                <w:rFonts w:ascii="Arial"/>
                <w:sz w:val="21"/>
              </w:rPr>
            </w:pPr>
          </w:p>
        </w:tc>
        <w:tc>
          <w:tcPr>
            <w:tcW w:w="1470" w:type="dxa"/>
            <w:vAlign w:val="top"/>
          </w:tcPr>
          <w:p w14:paraId="02D0A769">
            <w:pPr>
              <w:pStyle w:val="6"/>
              <w:spacing w:before="189" w:line="219" w:lineRule="auto"/>
              <w:ind w:left="444"/>
            </w:pPr>
            <w:r>
              <w:rPr>
                <w:spacing w:val="-2"/>
              </w:rPr>
              <w:t>健壮性</w:t>
            </w:r>
          </w:p>
        </w:tc>
        <w:tc>
          <w:tcPr>
            <w:tcW w:w="6002" w:type="dxa"/>
            <w:tcBorders>
              <w:right w:val="nil"/>
            </w:tcBorders>
            <w:vAlign w:val="top"/>
          </w:tcPr>
          <w:p w14:paraId="3474770B">
            <w:pPr>
              <w:pStyle w:val="6"/>
              <w:spacing w:before="58" w:line="243" w:lineRule="auto"/>
              <w:ind w:left="34"/>
            </w:pPr>
            <w:r>
              <w:rPr>
                <w:spacing w:val="-4"/>
              </w:rPr>
              <w:t>在硬件发生故障、输入的数据无效或操作错误等意外环境下，系统能做出</w:t>
            </w:r>
            <w:r>
              <w:rPr>
                <w:spacing w:val="9"/>
              </w:rPr>
              <w:t xml:space="preserve"> </w:t>
            </w:r>
            <w:r>
              <w:rPr>
                <w:spacing w:val="-1"/>
              </w:rPr>
              <w:t>适当响应的程度</w:t>
            </w:r>
          </w:p>
        </w:tc>
      </w:tr>
      <w:tr w14:paraId="5611C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860" w:type="dxa"/>
            <w:vMerge w:val="continue"/>
            <w:tcBorders>
              <w:top w:val="nil"/>
              <w:left w:val="nil"/>
              <w:bottom w:val="nil"/>
            </w:tcBorders>
            <w:vAlign w:val="top"/>
          </w:tcPr>
          <w:p w14:paraId="1F06E0BB">
            <w:pPr>
              <w:rPr>
                <w:rFonts w:ascii="Arial"/>
                <w:sz w:val="21"/>
              </w:rPr>
            </w:pPr>
          </w:p>
        </w:tc>
        <w:tc>
          <w:tcPr>
            <w:tcW w:w="1470" w:type="dxa"/>
            <w:vAlign w:val="top"/>
          </w:tcPr>
          <w:p w14:paraId="2B85D5A8">
            <w:pPr>
              <w:pStyle w:val="6"/>
              <w:spacing w:before="81" w:line="219" w:lineRule="auto"/>
              <w:ind w:left="534"/>
            </w:pPr>
            <w:r>
              <w:rPr>
                <w:spacing w:val="4"/>
              </w:rPr>
              <w:t>效率</w:t>
            </w:r>
          </w:p>
        </w:tc>
        <w:tc>
          <w:tcPr>
            <w:tcW w:w="6002" w:type="dxa"/>
            <w:tcBorders>
              <w:right w:val="nil"/>
            </w:tcBorders>
            <w:vAlign w:val="top"/>
          </w:tcPr>
          <w:p w14:paraId="0C8E70AC">
            <w:pPr>
              <w:pStyle w:val="6"/>
              <w:spacing w:before="81" w:line="219" w:lineRule="auto"/>
              <w:ind w:left="34"/>
            </w:pPr>
            <w:r>
              <w:t>为了完成预定的功能，系统需要的计算资源的多少</w:t>
            </w:r>
          </w:p>
        </w:tc>
      </w:tr>
      <w:tr w14:paraId="61969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860" w:type="dxa"/>
            <w:vMerge w:val="continue"/>
            <w:tcBorders>
              <w:top w:val="nil"/>
              <w:left w:val="nil"/>
              <w:bottom w:val="nil"/>
            </w:tcBorders>
            <w:vAlign w:val="top"/>
          </w:tcPr>
          <w:p w14:paraId="0765F94D">
            <w:pPr>
              <w:rPr>
                <w:rFonts w:ascii="Arial"/>
                <w:sz w:val="21"/>
              </w:rPr>
            </w:pPr>
          </w:p>
        </w:tc>
        <w:tc>
          <w:tcPr>
            <w:tcW w:w="1470" w:type="dxa"/>
            <w:vAlign w:val="top"/>
          </w:tcPr>
          <w:p w14:paraId="5DAC72D6">
            <w:pPr>
              <w:pStyle w:val="6"/>
              <w:spacing w:before="81" w:line="219" w:lineRule="auto"/>
              <w:ind w:left="64"/>
            </w:pPr>
            <w:r>
              <w:rPr>
                <w:spacing w:val="5"/>
              </w:rPr>
              <w:t>完整性(安全性)</w:t>
            </w:r>
          </w:p>
        </w:tc>
        <w:tc>
          <w:tcPr>
            <w:tcW w:w="6002" w:type="dxa"/>
            <w:tcBorders>
              <w:right w:val="nil"/>
            </w:tcBorders>
            <w:vAlign w:val="top"/>
          </w:tcPr>
          <w:p w14:paraId="3CF00F50">
            <w:pPr>
              <w:pStyle w:val="6"/>
              <w:spacing w:before="81" w:line="219" w:lineRule="auto"/>
              <w:ind w:left="34"/>
            </w:pPr>
            <w:r>
              <w:t>对未经授权的人使用软件或数据的企图，系统能够控</w:t>
            </w:r>
            <w:r>
              <w:rPr>
                <w:spacing w:val="-1"/>
              </w:rPr>
              <w:t>制(禁止)的程度</w:t>
            </w:r>
          </w:p>
        </w:tc>
      </w:tr>
      <w:tr w14:paraId="6B53A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60" w:type="dxa"/>
            <w:vMerge w:val="continue"/>
            <w:tcBorders>
              <w:top w:val="nil"/>
              <w:left w:val="nil"/>
              <w:bottom w:val="nil"/>
            </w:tcBorders>
            <w:vAlign w:val="top"/>
          </w:tcPr>
          <w:p w14:paraId="435D0BDD">
            <w:pPr>
              <w:rPr>
                <w:rFonts w:ascii="Arial"/>
                <w:sz w:val="21"/>
              </w:rPr>
            </w:pPr>
          </w:p>
        </w:tc>
        <w:tc>
          <w:tcPr>
            <w:tcW w:w="1470" w:type="dxa"/>
            <w:vAlign w:val="top"/>
          </w:tcPr>
          <w:p w14:paraId="4BAF1E63">
            <w:pPr>
              <w:pStyle w:val="6"/>
              <w:spacing w:before="82" w:line="221" w:lineRule="auto"/>
              <w:ind w:left="444"/>
            </w:pPr>
            <w:r>
              <w:rPr>
                <w:spacing w:val="-2"/>
              </w:rPr>
              <w:t>可用性</w:t>
            </w:r>
          </w:p>
        </w:tc>
        <w:tc>
          <w:tcPr>
            <w:tcW w:w="6002" w:type="dxa"/>
            <w:tcBorders>
              <w:right w:val="nil"/>
            </w:tcBorders>
            <w:vAlign w:val="top"/>
          </w:tcPr>
          <w:p w14:paraId="3237DDF2">
            <w:pPr>
              <w:pStyle w:val="6"/>
              <w:spacing w:before="80" w:line="219" w:lineRule="auto"/>
              <w:ind w:left="34"/>
            </w:pPr>
            <w:r>
              <w:t>系统在完成预定应该完成的功能时令人满意的程度</w:t>
            </w:r>
          </w:p>
        </w:tc>
      </w:tr>
      <w:tr w14:paraId="15502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60" w:type="dxa"/>
            <w:vMerge w:val="continue"/>
            <w:tcBorders>
              <w:top w:val="nil"/>
              <w:left w:val="nil"/>
            </w:tcBorders>
            <w:vAlign w:val="top"/>
          </w:tcPr>
          <w:p w14:paraId="77815923">
            <w:pPr>
              <w:rPr>
                <w:rFonts w:ascii="Arial"/>
                <w:sz w:val="21"/>
              </w:rPr>
            </w:pPr>
          </w:p>
        </w:tc>
        <w:tc>
          <w:tcPr>
            <w:tcW w:w="1470" w:type="dxa"/>
            <w:vAlign w:val="top"/>
          </w:tcPr>
          <w:p w14:paraId="7CF16E8F">
            <w:pPr>
              <w:pStyle w:val="6"/>
              <w:spacing w:before="83" w:line="220" w:lineRule="auto"/>
              <w:ind w:left="534"/>
            </w:pPr>
            <w:r>
              <w:rPr>
                <w:spacing w:val="-3"/>
              </w:rPr>
              <w:t>风险</w:t>
            </w:r>
          </w:p>
        </w:tc>
        <w:tc>
          <w:tcPr>
            <w:tcW w:w="6002" w:type="dxa"/>
            <w:tcBorders>
              <w:right w:val="nil"/>
            </w:tcBorders>
            <w:vAlign w:val="top"/>
          </w:tcPr>
          <w:p w14:paraId="2FD03D78">
            <w:pPr>
              <w:pStyle w:val="6"/>
              <w:spacing w:before="81" w:line="219" w:lineRule="auto"/>
              <w:ind w:left="34"/>
            </w:pPr>
            <w:r>
              <w:rPr>
                <w:spacing w:val="-1"/>
              </w:rPr>
              <w:t>按预定的成本和进度将系统开发处理，并且为用户满意的概率</w:t>
            </w:r>
          </w:p>
        </w:tc>
      </w:tr>
      <w:tr w14:paraId="4FCEA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60" w:type="dxa"/>
            <w:vMerge w:val="restart"/>
            <w:tcBorders>
              <w:left w:val="nil"/>
              <w:bottom w:val="nil"/>
            </w:tcBorders>
            <w:vAlign w:val="top"/>
          </w:tcPr>
          <w:p w14:paraId="6420C242">
            <w:pPr>
              <w:spacing w:line="264" w:lineRule="auto"/>
              <w:rPr>
                <w:rFonts w:ascii="Arial"/>
                <w:sz w:val="21"/>
              </w:rPr>
            </w:pPr>
          </w:p>
          <w:p w14:paraId="20704E01">
            <w:pPr>
              <w:spacing w:line="265" w:lineRule="auto"/>
              <w:rPr>
                <w:rFonts w:ascii="Arial"/>
                <w:sz w:val="21"/>
              </w:rPr>
            </w:pPr>
          </w:p>
          <w:p w14:paraId="2E909DB1">
            <w:pPr>
              <w:pStyle w:val="6"/>
              <w:spacing w:before="61" w:line="219" w:lineRule="auto"/>
              <w:ind w:left="49"/>
            </w:pPr>
            <w:r>
              <w:rPr>
                <w:spacing w:val="-2"/>
              </w:rPr>
              <w:t>产品修改</w:t>
            </w:r>
          </w:p>
        </w:tc>
        <w:tc>
          <w:tcPr>
            <w:tcW w:w="1470" w:type="dxa"/>
            <w:vAlign w:val="top"/>
          </w:tcPr>
          <w:p w14:paraId="294C771B">
            <w:pPr>
              <w:pStyle w:val="6"/>
              <w:spacing w:before="84" w:line="220" w:lineRule="auto"/>
              <w:ind w:left="344"/>
            </w:pPr>
            <w:r>
              <w:rPr>
                <w:spacing w:val="-2"/>
              </w:rPr>
              <w:t>可理解性</w:t>
            </w:r>
          </w:p>
        </w:tc>
        <w:tc>
          <w:tcPr>
            <w:tcW w:w="6002" w:type="dxa"/>
            <w:tcBorders>
              <w:right w:val="nil"/>
            </w:tcBorders>
            <w:vAlign w:val="top"/>
          </w:tcPr>
          <w:p w14:paraId="207EF5FE">
            <w:pPr>
              <w:pStyle w:val="6"/>
              <w:spacing w:before="83" w:line="219" w:lineRule="auto"/>
              <w:ind w:left="34"/>
            </w:pPr>
            <w:r>
              <w:t>理解和使用该系统的容易程度</w:t>
            </w:r>
          </w:p>
        </w:tc>
      </w:tr>
      <w:tr w14:paraId="2FAC5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60" w:type="dxa"/>
            <w:vMerge w:val="continue"/>
            <w:tcBorders>
              <w:top w:val="nil"/>
              <w:left w:val="nil"/>
              <w:bottom w:val="nil"/>
            </w:tcBorders>
            <w:vAlign w:val="top"/>
          </w:tcPr>
          <w:p w14:paraId="4B98A42B">
            <w:pPr>
              <w:rPr>
                <w:rFonts w:ascii="Arial"/>
                <w:sz w:val="21"/>
              </w:rPr>
            </w:pPr>
          </w:p>
        </w:tc>
        <w:tc>
          <w:tcPr>
            <w:tcW w:w="1470" w:type="dxa"/>
            <w:vAlign w:val="top"/>
          </w:tcPr>
          <w:p w14:paraId="6B30A3C1">
            <w:pPr>
              <w:pStyle w:val="6"/>
              <w:spacing w:before="74" w:line="219" w:lineRule="auto"/>
              <w:ind w:left="344"/>
            </w:pPr>
            <w:r>
              <w:rPr>
                <w:spacing w:val="-2"/>
              </w:rPr>
              <w:t>可维修性</w:t>
            </w:r>
          </w:p>
        </w:tc>
        <w:tc>
          <w:tcPr>
            <w:tcW w:w="6002" w:type="dxa"/>
            <w:tcBorders>
              <w:right w:val="nil"/>
            </w:tcBorders>
            <w:vAlign w:val="top"/>
          </w:tcPr>
          <w:p w14:paraId="2BFA7E20">
            <w:pPr>
              <w:pStyle w:val="6"/>
              <w:spacing w:before="74" w:line="219" w:lineRule="auto"/>
              <w:ind w:left="34"/>
            </w:pPr>
            <w:r>
              <w:t>诊断和改正在运行现场发现的错误所需的工作量的多少</w:t>
            </w:r>
          </w:p>
        </w:tc>
      </w:tr>
      <w:tr w14:paraId="28CD0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60" w:type="dxa"/>
            <w:vMerge w:val="continue"/>
            <w:tcBorders>
              <w:top w:val="nil"/>
              <w:left w:val="nil"/>
              <w:bottom w:val="nil"/>
            </w:tcBorders>
            <w:vAlign w:val="top"/>
          </w:tcPr>
          <w:p w14:paraId="720E456A">
            <w:pPr>
              <w:rPr>
                <w:rFonts w:ascii="Arial"/>
                <w:sz w:val="21"/>
              </w:rPr>
            </w:pPr>
          </w:p>
        </w:tc>
        <w:tc>
          <w:tcPr>
            <w:tcW w:w="1470" w:type="dxa"/>
            <w:vAlign w:val="top"/>
          </w:tcPr>
          <w:p w14:paraId="6B9E04BE">
            <w:pPr>
              <w:pStyle w:val="6"/>
              <w:spacing w:before="75" w:line="220" w:lineRule="auto"/>
              <w:ind w:left="64"/>
            </w:pPr>
            <w:r>
              <w:rPr>
                <w:spacing w:val="5"/>
              </w:rPr>
              <w:t>灵活性(适应性)</w:t>
            </w:r>
          </w:p>
        </w:tc>
        <w:tc>
          <w:tcPr>
            <w:tcW w:w="6002" w:type="dxa"/>
            <w:tcBorders>
              <w:right w:val="nil"/>
            </w:tcBorders>
            <w:vAlign w:val="top"/>
          </w:tcPr>
          <w:p w14:paraId="3FAA00FB">
            <w:pPr>
              <w:pStyle w:val="6"/>
              <w:spacing w:before="75" w:line="219" w:lineRule="auto"/>
              <w:ind w:left="34"/>
            </w:pPr>
            <w:r>
              <w:t>修改或改进正在运行的系统需要的工作量的多少</w:t>
            </w:r>
          </w:p>
        </w:tc>
      </w:tr>
      <w:tr w14:paraId="0CAEF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60" w:type="dxa"/>
            <w:vMerge w:val="continue"/>
            <w:tcBorders>
              <w:top w:val="nil"/>
              <w:left w:val="nil"/>
            </w:tcBorders>
            <w:vAlign w:val="top"/>
          </w:tcPr>
          <w:p w14:paraId="62524E01">
            <w:pPr>
              <w:rPr>
                <w:rFonts w:ascii="Arial"/>
                <w:sz w:val="21"/>
              </w:rPr>
            </w:pPr>
          </w:p>
        </w:tc>
        <w:tc>
          <w:tcPr>
            <w:tcW w:w="1470" w:type="dxa"/>
            <w:vAlign w:val="top"/>
          </w:tcPr>
          <w:p w14:paraId="1D985F63">
            <w:pPr>
              <w:pStyle w:val="6"/>
              <w:spacing w:before="85" w:line="221" w:lineRule="auto"/>
              <w:ind w:left="344"/>
            </w:pPr>
            <w:r>
              <w:rPr>
                <w:spacing w:val="-2"/>
              </w:rPr>
              <w:t>可测试性</w:t>
            </w:r>
          </w:p>
        </w:tc>
        <w:tc>
          <w:tcPr>
            <w:tcW w:w="6002" w:type="dxa"/>
            <w:tcBorders>
              <w:right w:val="nil"/>
            </w:tcBorders>
            <w:vAlign w:val="top"/>
          </w:tcPr>
          <w:p w14:paraId="022EC5FD">
            <w:pPr>
              <w:pStyle w:val="6"/>
              <w:spacing w:before="85" w:line="219" w:lineRule="auto"/>
              <w:ind w:left="34"/>
            </w:pPr>
            <w:r>
              <w:rPr>
                <w:spacing w:val="1"/>
              </w:rPr>
              <w:t>软件容易测试的程度</w:t>
            </w:r>
          </w:p>
        </w:tc>
      </w:tr>
      <w:tr w14:paraId="64359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860" w:type="dxa"/>
            <w:vMerge w:val="restart"/>
            <w:tcBorders>
              <w:left w:val="nil"/>
              <w:bottom w:val="nil"/>
            </w:tcBorders>
            <w:vAlign w:val="top"/>
          </w:tcPr>
          <w:p w14:paraId="7F82EE7C">
            <w:pPr>
              <w:rPr>
                <w:rFonts w:ascii="Arial"/>
                <w:sz w:val="21"/>
              </w:rPr>
            </w:pPr>
          </w:p>
          <w:p w14:paraId="11D5C7D4">
            <w:pPr>
              <w:spacing w:line="241" w:lineRule="auto"/>
              <w:rPr>
                <w:rFonts w:ascii="Arial"/>
                <w:sz w:val="21"/>
              </w:rPr>
            </w:pPr>
          </w:p>
          <w:p w14:paraId="2C5670C2">
            <w:pPr>
              <w:pStyle w:val="6"/>
              <w:spacing w:before="62" w:line="219" w:lineRule="auto"/>
              <w:ind w:left="49"/>
            </w:pPr>
            <w:r>
              <w:rPr>
                <w:spacing w:val="-2"/>
              </w:rPr>
              <w:t>产品转移</w:t>
            </w:r>
          </w:p>
        </w:tc>
        <w:tc>
          <w:tcPr>
            <w:tcW w:w="1470" w:type="dxa"/>
            <w:vAlign w:val="top"/>
          </w:tcPr>
          <w:p w14:paraId="3910CFDD">
            <w:pPr>
              <w:pStyle w:val="6"/>
              <w:spacing w:before="196" w:line="219" w:lineRule="auto"/>
              <w:ind w:left="344"/>
            </w:pPr>
            <w:r>
              <w:rPr>
                <w:spacing w:val="-2"/>
              </w:rPr>
              <w:t>可移植性</w:t>
            </w:r>
          </w:p>
        </w:tc>
        <w:tc>
          <w:tcPr>
            <w:tcW w:w="6002" w:type="dxa"/>
            <w:tcBorders>
              <w:right w:val="nil"/>
            </w:tcBorders>
            <w:vAlign w:val="top"/>
          </w:tcPr>
          <w:p w14:paraId="097AE1D7">
            <w:pPr>
              <w:pStyle w:val="6"/>
              <w:spacing w:before="75" w:line="235" w:lineRule="auto"/>
              <w:ind w:left="34"/>
            </w:pPr>
            <w:r>
              <w:rPr>
                <w:spacing w:val="-4"/>
              </w:rPr>
              <w:t>把程序从一种硬件配置和(或)软件系统环境转移到另一种配置和环境时，</w:t>
            </w:r>
            <w:r>
              <w:rPr>
                <w:spacing w:val="13"/>
              </w:rPr>
              <w:t xml:space="preserve"> </w:t>
            </w:r>
            <w:r>
              <w:rPr>
                <w:spacing w:val="-1"/>
              </w:rPr>
              <w:t>需要的工作量的多少</w:t>
            </w:r>
          </w:p>
        </w:tc>
      </w:tr>
      <w:tr w14:paraId="12745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60" w:type="dxa"/>
            <w:vMerge w:val="continue"/>
            <w:tcBorders>
              <w:top w:val="nil"/>
              <w:left w:val="nil"/>
              <w:bottom w:val="nil"/>
            </w:tcBorders>
            <w:vAlign w:val="top"/>
          </w:tcPr>
          <w:p w14:paraId="3045FDDF">
            <w:pPr>
              <w:rPr>
                <w:rFonts w:ascii="Arial"/>
                <w:sz w:val="21"/>
              </w:rPr>
            </w:pPr>
          </w:p>
        </w:tc>
        <w:tc>
          <w:tcPr>
            <w:tcW w:w="1470" w:type="dxa"/>
            <w:vAlign w:val="top"/>
          </w:tcPr>
          <w:p w14:paraId="1DAD76DF">
            <w:pPr>
              <w:pStyle w:val="6"/>
              <w:spacing w:before="87" w:line="220" w:lineRule="auto"/>
              <w:ind w:left="344"/>
            </w:pPr>
            <w:r>
              <w:rPr>
                <w:spacing w:val="-2"/>
              </w:rPr>
              <w:t>可再用性</w:t>
            </w:r>
          </w:p>
        </w:tc>
        <w:tc>
          <w:tcPr>
            <w:tcW w:w="6002" w:type="dxa"/>
            <w:tcBorders>
              <w:right w:val="nil"/>
            </w:tcBorders>
            <w:vAlign w:val="top"/>
          </w:tcPr>
          <w:p w14:paraId="6287C7A3">
            <w:pPr>
              <w:pStyle w:val="6"/>
              <w:spacing w:before="86" w:line="219" w:lineRule="auto"/>
              <w:ind w:left="34"/>
            </w:pPr>
            <w:r>
              <w:rPr>
                <w:spacing w:val="1"/>
              </w:rPr>
              <w:t>在其他应用中该程序可以被再次使用的程度(或范围)</w:t>
            </w:r>
          </w:p>
        </w:tc>
      </w:tr>
      <w:tr w14:paraId="5A68F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860" w:type="dxa"/>
            <w:vMerge w:val="continue"/>
            <w:tcBorders>
              <w:top w:val="nil"/>
              <w:left w:val="nil"/>
            </w:tcBorders>
            <w:vAlign w:val="top"/>
          </w:tcPr>
          <w:p w14:paraId="65F0A227">
            <w:pPr>
              <w:rPr>
                <w:rFonts w:ascii="Arial"/>
                <w:sz w:val="21"/>
              </w:rPr>
            </w:pPr>
          </w:p>
        </w:tc>
        <w:tc>
          <w:tcPr>
            <w:tcW w:w="1470" w:type="dxa"/>
            <w:vAlign w:val="top"/>
          </w:tcPr>
          <w:p w14:paraId="7CEBAD22">
            <w:pPr>
              <w:pStyle w:val="6"/>
              <w:spacing w:before="78" w:line="220" w:lineRule="auto"/>
              <w:ind w:left="344"/>
            </w:pPr>
            <w:r>
              <w:rPr>
                <w:spacing w:val="-2"/>
              </w:rPr>
              <w:t>互运行性</w:t>
            </w:r>
          </w:p>
        </w:tc>
        <w:tc>
          <w:tcPr>
            <w:tcW w:w="6002" w:type="dxa"/>
            <w:tcBorders>
              <w:right w:val="nil"/>
            </w:tcBorders>
            <w:vAlign w:val="top"/>
          </w:tcPr>
          <w:p w14:paraId="1E12E08F">
            <w:pPr>
              <w:pStyle w:val="6"/>
              <w:spacing w:before="78" w:line="219" w:lineRule="auto"/>
              <w:ind w:left="34"/>
            </w:pPr>
            <w:r>
              <w:t>把系统和另一个系统结合起来需要的工作量的多少</w:t>
            </w:r>
          </w:p>
        </w:tc>
      </w:tr>
    </w:tbl>
    <w:p w14:paraId="296DBE82">
      <w:pPr>
        <w:pStyle w:val="2"/>
        <w:spacing w:before="242" w:line="219" w:lineRule="auto"/>
        <w:ind w:left="1240"/>
        <w:rPr>
          <w:sz w:val="19"/>
          <w:szCs w:val="19"/>
        </w:rPr>
      </w:pPr>
      <w:r>
        <w:rPr>
          <w:spacing w:val="6"/>
          <w:sz w:val="19"/>
          <w:szCs w:val="19"/>
        </w:rPr>
        <w:t>软件工程质量保证过程的监理内容和要点如下：</w:t>
      </w:r>
    </w:p>
    <w:p w14:paraId="124D6ECE">
      <w:pPr>
        <w:pStyle w:val="2"/>
        <w:spacing w:before="94" w:line="219" w:lineRule="auto"/>
        <w:ind w:left="1240"/>
        <w:rPr>
          <w:sz w:val="19"/>
          <w:szCs w:val="19"/>
        </w:rPr>
      </w:pPr>
      <w:r>
        <w:rPr>
          <w:spacing w:val="11"/>
          <w:sz w:val="19"/>
          <w:szCs w:val="19"/>
        </w:rPr>
        <w:t>(1)要求承建单位制订执行质量保证过程活动和任务的计划文档。计划应包含如下内容：</w:t>
      </w:r>
    </w:p>
    <w:p w14:paraId="08037D0F">
      <w:pPr>
        <w:pStyle w:val="2"/>
        <w:spacing w:before="75" w:line="220" w:lineRule="auto"/>
        <w:ind w:left="1240"/>
        <w:rPr>
          <w:sz w:val="19"/>
          <w:szCs w:val="19"/>
        </w:rPr>
      </w:pPr>
      <w:r>
        <w:rPr>
          <w:spacing w:val="10"/>
          <w:sz w:val="19"/>
          <w:szCs w:val="19"/>
        </w:rPr>
        <w:t>●开展质量保证活动的质量标准、方法、规程和工具；</w:t>
      </w:r>
    </w:p>
    <w:p w14:paraId="34CDEF4C">
      <w:pPr>
        <w:pStyle w:val="2"/>
        <w:spacing w:before="93" w:line="219" w:lineRule="auto"/>
        <w:ind w:left="1240"/>
        <w:rPr>
          <w:sz w:val="19"/>
          <w:szCs w:val="19"/>
        </w:rPr>
      </w:pPr>
      <w:r>
        <w:rPr>
          <w:spacing w:val="10"/>
          <w:sz w:val="19"/>
          <w:szCs w:val="19"/>
        </w:rPr>
        <w:t>●质量记录的标识、收集、归档、维护和处理的规程；</w:t>
      </w:r>
    </w:p>
    <w:p w14:paraId="3D3D30EA">
      <w:pPr>
        <w:pStyle w:val="2"/>
        <w:spacing w:before="95" w:line="220" w:lineRule="auto"/>
        <w:ind w:left="1240"/>
        <w:rPr>
          <w:sz w:val="19"/>
          <w:szCs w:val="19"/>
        </w:rPr>
      </w:pPr>
      <w:r>
        <w:rPr>
          <w:spacing w:val="10"/>
          <w:sz w:val="19"/>
          <w:szCs w:val="19"/>
        </w:rPr>
        <w:t>●开展质量保证活动的资源、日程和职责；</w:t>
      </w:r>
    </w:p>
    <w:p w14:paraId="5553DDE2">
      <w:pPr>
        <w:pStyle w:val="2"/>
        <w:spacing w:before="93" w:line="219" w:lineRule="auto"/>
        <w:ind w:left="1240"/>
        <w:rPr>
          <w:sz w:val="19"/>
          <w:szCs w:val="19"/>
        </w:rPr>
      </w:pPr>
      <w:r>
        <w:rPr>
          <w:spacing w:val="10"/>
          <w:sz w:val="19"/>
          <w:szCs w:val="19"/>
        </w:rPr>
        <w:t>●</w:t>
      </w:r>
      <w:r>
        <w:rPr>
          <w:spacing w:val="-51"/>
          <w:sz w:val="19"/>
          <w:szCs w:val="19"/>
        </w:rPr>
        <w:t xml:space="preserve"> </w:t>
      </w:r>
      <w:r>
        <w:rPr>
          <w:spacing w:val="10"/>
          <w:sz w:val="19"/>
          <w:szCs w:val="19"/>
        </w:rPr>
        <w:t>活动和任务。</w:t>
      </w:r>
    </w:p>
    <w:p w14:paraId="414C21B7">
      <w:pPr>
        <w:pStyle w:val="2"/>
        <w:spacing w:before="105" w:line="219" w:lineRule="auto"/>
        <w:ind w:left="1240"/>
        <w:rPr>
          <w:sz w:val="19"/>
          <w:szCs w:val="19"/>
        </w:rPr>
      </w:pPr>
      <w:r>
        <w:rPr>
          <w:spacing w:val="11"/>
          <w:sz w:val="19"/>
          <w:szCs w:val="19"/>
        </w:rPr>
        <w:t>(2)要求承建单位实施计划中的以及持续</w:t>
      </w:r>
      <w:r>
        <w:rPr>
          <w:spacing w:val="10"/>
          <w:sz w:val="19"/>
          <w:szCs w:val="19"/>
        </w:rPr>
        <w:t>的质量保证活动和任务。</w:t>
      </w:r>
    </w:p>
    <w:p w14:paraId="14D39388">
      <w:pPr>
        <w:pStyle w:val="2"/>
        <w:spacing w:before="84" w:line="261" w:lineRule="auto"/>
        <w:ind w:left="839" w:right="57" w:firstLine="400"/>
        <w:rPr>
          <w:sz w:val="19"/>
          <w:szCs w:val="19"/>
        </w:rPr>
      </w:pPr>
      <w:r>
        <w:rPr>
          <w:spacing w:val="15"/>
          <w:sz w:val="19"/>
          <w:szCs w:val="19"/>
        </w:rPr>
        <w:t>(3)要求承建单位编制并保存质量活动和任务及其实施情况、发</w:t>
      </w:r>
      <w:r>
        <w:rPr>
          <w:spacing w:val="14"/>
          <w:sz w:val="19"/>
          <w:szCs w:val="19"/>
        </w:rPr>
        <w:t>现的问题以及解决办法的</w:t>
      </w:r>
      <w:r>
        <w:rPr>
          <w:sz w:val="19"/>
          <w:szCs w:val="19"/>
        </w:rPr>
        <w:t xml:space="preserve"> </w:t>
      </w:r>
      <w:r>
        <w:rPr>
          <w:spacing w:val="4"/>
          <w:sz w:val="19"/>
          <w:szCs w:val="19"/>
        </w:rPr>
        <w:t>过程记录。</w:t>
      </w:r>
    </w:p>
    <w:p w14:paraId="73B33785">
      <w:pPr>
        <w:pStyle w:val="2"/>
        <w:spacing w:before="82" w:line="255" w:lineRule="auto"/>
        <w:ind w:left="839" w:right="45" w:firstLine="400"/>
        <w:rPr>
          <w:sz w:val="19"/>
          <w:szCs w:val="19"/>
        </w:rPr>
      </w:pPr>
      <w:r>
        <w:rPr>
          <w:spacing w:val="15"/>
          <w:sz w:val="19"/>
          <w:szCs w:val="19"/>
        </w:rPr>
        <w:t>(4)存在分包工程时，协助业主单位要求承建单位对分包单位进行必要的质量管理、过程</w:t>
      </w:r>
      <w:r>
        <w:rPr>
          <w:sz w:val="19"/>
          <w:szCs w:val="19"/>
        </w:rPr>
        <w:t xml:space="preserve"> </w:t>
      </w:r>
      <w:r>
        <w:rPr>
          <w:spacing w:val="6"/>
          <w:sz w:val="19"/>
          <w:szCs w:val="19"/>
        </w:rPr>
        <w:t>控制并承担各自角色的责任，落实到位。</w:t>
      </w:r>
    </w:p>
    <w:p w14:paraId="1D31C717">
      <w:pPr>
        <w:spacing w:line="347" w:lineRule="auto"/>
        <w:rPr>
          <w:rFonts w:ascii="Arial"/>
          <w:sz w:val="21"/>
        </w:rPr>
      </w:pPr>
    </w:p>
    <w:p w14:paraId="0E3D5F5A">
      <w:pPr>
        <w:pStyle w:val="2"/>
        <w:spacing w:before="95" w:line="222" w:lineRule="auto"/>
        <w:ind w:left="844"/>
        <w:rPr>
          <w:rFonts w:ascii="黑体" w:hAnsi="黑体" w:eastAsia="黑体" w:cs="黑体"/>
          <w:sz w:val="29"/>
          <w:szCs w:val="29"/>
        </w:rPr>
      </w:pPr>
      <w:r>
        <w:rPr>
          <w:b/>
          <w:bCs/>
          <w:color w:val="007DEC"/>
          <w:spacing w:val="-12"/>
          <w:sz w:val="29"/>
          <w:szCs w:val="29"/>
        </w:rPr>
        <w:t>22.7</w:t>
      </w:r>
      <w:r>
        <w:rPr>
          <w:color w:val="007DEC"/>
          <w:spacing w:val="139"/>
          <w:sz w:val="29"/>
          <w:szCs w:val="29"/>
        </w:rPr>
        <w:t xml:space="preserve"> </w:t>
      </w:r>
      <w:r>
        <w:rPr>
          <w:rFonts w:ascii="黑体" w:hAnsi="黑体" w:eastAsia="黑体" w:cs="黑体"/>
          <w:b/>
          <w:bCs/>
          <w:color w:val="007DEC"/>
          <w:spacing w:val="-12"/>
          <w:sz w:val="29"/>
          <w:szCs w:val="29"/>
        </w:rPr>
        <w:t>软件工程项目文档清单</w:t>
      </w:r>
    </w:p>
    <w:p w14:paraId="624BD6D2">
      <w:pPr>
        <w:pStyle w:val="2"/>
        <w:spacing w:before="233" w:line="238" w:lineRule="auto"/>
        <w:ind w:left="839" w:right="43" w:firstLine="400"/>
        <w:rPr>
          <w:sz w:val="19"/>
          <w:szCs w:val="19"/>
        </w:rPr>
      </w:pPr>
      <w:r>
        <w:rPr>
          <w:spacing w:val="12"/>
          <w:sz w:val="19"/>
          <w:szCs w:val="19"/>
        </w:rPr>
        <w:t>软件工程项目中，业主单位、承建单位和监理单位文档一般如表22-5所示。监理机构制订</w:t>
      </w:r>
      <w:r>
        <w:rPr>
          <w:spacing w:val="16"/>
          <w:sz w:val="19"/>
          <w:szCs w:val="19"/>
        </w:rPr>
        <w:t xml:space="preserve"> </w:t>
      </w:r>
      <w:r>
        <w:rPr>
          <w:spacing w:val="7"/>
          <w:sz w:val="19"/>
          <w:szCs w:val="19"/>
        </w:rPr>
        <w:t>工程所需文档计划时，可参考使用。</w:t>
      </w:r>
    </w:p>
    <w:p w14:paraId="075871A1">
      <w:pPr>
        <w:spacing w:line="238" w:lineRule="auto"/>
        <w:rPr>
          <w:sz w:val="19"/>
          <w:szCs w:val="19"/>
        </w:rPr>
        <w:sectPr>
          <w:type w:val="continuous"/>
          <w:pgSz w:w="10300" w:h="13340"/>
          <w:pgMar w:top="330" w:right="1097" w:bottom="400" w:left="0" w:header="0" w:footer="0" w:gutter="0"/>
          <w:cols w:equalWidth="0" w:num="1">
            <w:col w:w="9203"/>
          </w:cols>
        </w:sectPr>
      </w:pPr>
    </w:p>
    <w:p w14:paraId="5F782046">
      <w:pPr>
        <w:pStyle w:val="2"/>
        <w:jc w:val="right"/>
        <w:rPr>
          <w:rFonts w:ascii="Times New Roman" w:hAnsi="Times New Roman" w:eastAsia="Times New Roman" w:cs="Times New Roman"/>
          <w:sz w:val="19"/>
          <w:szCs w:val="19"/>
        </w:rPr>
      </w:pPr>
      <w:r>
        <w:rPr>
          <w:spacing w:val="2"/>
          <w:sz w:val="19"/>
          <w:szCs w:val="19"/>
        </w:rPr>
        <w:t>第22章</w:t>
      </w:r>
      <w:r>
        <w:rPr>
          <w:spacing w:val="35"/>
          <w:sz w:val="19"/>
          <w:szCs w:val="19"/>
        </w:rPr>
        <w:t xml:space="preserve"> </w:t>
      </w:r>
      <w:r>
        <w:rPr>
          <w:spacing w:val="2"/>
          <w:sz w:val="19"/>
          <w:szCs w:val="19"/>
        </w:rPr>
        <w:t>软件工程监理</w:t>
      </w:r>
      <w:r>
        <w:rPr>
          <w:spacing w:val="38"/>
          <w:sz w:val="19"/>
          <w:szCs w:val="19"/>
        </w:rPr>
        <w:t xml:space="preserve"> </w:t>
      </w:r>
      <w:r>
        <w:rPr>
          <w:position w:val="-9"/>
          <w:sz w:val="19"/>
          <w:szCs w:val="19"/>
        </w:rPr>
        <w:drawing>
          <wp:inline distT="0" distB="0" distL="0" distR="0">
            <wp:extent cx="292100" cy="234950"/>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334"/>
                    <a:stretch>
                      <a:fillRect/>
                    </a:stretch>
                  </pic:blipFill>
                  <pic:spPr>
                    <a:xfrm>
                      <a:off x="0" y="0"/>
                      <a:ext cx="292141" cy="234961"/>
                    </a:xfrm>
                    <a:prstGeom prst="rect">
                      <a:avLst/>
                    </a:prstGeom>
                  </pic:spPr>
                </pic:pic>
              </a:graphicData>
            </a:graphic>
          </wp:inline>
        </w:drawing>
      </w:r>
      <w:r>
        <w:rPr>
          <w:rFonts w:ascii="Times New Roman" w:hAnsi="Times New Roman" w:eastAsia="Times New Roman" w:cs="Times New Roman"/>
          <w:spacing w:val="2"/>
          <w:position w:val="-2"/>
          <w:sz w:val="19"/>
          <w:szCs w:val="19"/>
        </w:rPr>
        <w:t>519</w:t>
      </w:r>
    </w:p>
    <w:p w14:paraId="29714036">
      <w:pPr>
        <w:spacing w:line="250" w:lineRule="auto"/>
        <w:rPr>
          <w:rFonts w:ascii="Arial"/>
          <w:sz w:val="21"/>
        </w:rPr>
      </w:pPr>
    </w:p>
    <w:p w14:paraId="1DEFC124">
      <w:pPr>
        <w:spacing w:before="61" w:line="221" w:lineRule="auto"/>
        <w:ind w:left="2682"/>
        <w:rPr>
          <w:rFonts w:ascii="黑体" w:hAnsi="黑体" w:eastAsia="黑体" w:cs="黑体"/>
          <w:sz w:val="19"/>
          <w:szCs w:val="19"/>
        </w:rPr>
      </w:pPr>
      <w:r>
        <w:rPr>
          <w:rFonts w:ascii="黑体" w:hAnsi="黑体" w:eastAsia="黑体" w:cs="黑体"/>
          <w:b/>
          <w:bCs/>
          <w:spacing w:val="-9"/>
          <w:sz w:val="19"/>
          <w:szCs w:val="19"/>
        </w:rPr>
        <w:t>表22-5</w:t>
      </w:r>
      <w:r>
        <w:rPr>
          <w:rFonts w:ascii="黑体" w:hAnsi="黑体" w:eastAsia="黑体" w:cs="黑体"/>
          <w:spacing w:val="-9"/>
          <w:sz w:val="19"/>
          <w:szCs w:val="19"/>
        </w:rPr>
        <w:t xml:space="preserve">  </w:t>
      </w:r>
      <w:r>
        <w:rPr>
          <w:rFonts w:ascii="黑体" w:hAnsi="黑体" w:eastAsia="黑体" w:cs="黑体"/>
          <w:b/>
          <w:bCs/>
          <w:spacing w:val="-9"/>
          <w:sz w:val="19"/>
          <w:szCs w:val="19"/>
        </w:rPr>
        <w:t>软件工程项目三方文档清单</w:t>
      </w:r>
    </w:p>
    <w:p w14:paraId="63654672">
      <w:pPr>
        <w:spacing w:line="124" w:lineRule="exact"/>
      </w:pPr>
    </w:p>
    <w:tbl>
      <w:tblPr>
        <w:tblStyle w:val="5"/>
        <w:tblW w:w="83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19"/>
        <w:gridCol w:w="3220"/>
        <w:gridCol w:w="2480"/>
      </w:tblGrid>
      <w:tr w14:paraId="3563C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619" w:type="dxa"/>
            <w:tcBorders>
              <w:left w:val="nil"/>
            </w:tcBorders>
            <w:vAlign w:val="top"/>
          </w:tcPr>
          <w:p w14:paraId="70B6E3F3">
            <w:pPr>
              <w:pStyle w:val="6"/>
              <w:spacing w:before="83" w:line="219" w:lineRule="auto"/>
              <w:ind w:left="770"/>
            </w:pPr>
            <w:r>
              <w:rPr>
                <w:spacing w:val="2"/>
              </w:rPr>
              <w:t>业主单位文档</w:t>
            </w:r>
          </w:p>
        </w:tc>
        <w:tc>
          <w:tcPr>
            <w:tcW w:w="3220" w:type="dxa"/>
            <w:vAlign w:val="top"/>
          </w:tcPr>
          <w:p w14:paraId="71C62894">
            <w:pPr>
              <w:pStyle w:val="6"/>
              <w:spacing w:before="83" w:line="219" w:lineRule="auto"/>
              <w:ind w:left="1075"/>
            </w:pPr>
            <w:r>
              <w:rPr>
                <w:spacing w:val="2"/>
              </w:rPr>
              <w:t>承建单位文档</w:t>
            </w:r>
          </w:p>
        </w:tc>
        <w:tc>
          <w:tcPr>
            <w:tcW w:w="2480" w:type="dxa"/>
            <w:tcBorders>
              <w:right w:val="nil"/>
            </w:tcBorders>
            <w:vAlign w:val="top"/>
          </w:tcPr>
          <w:p w14:paraId="3D0EC7F5">
            <w:pPr>
              <w:pStyle w:val="6"/>
              <w:spacing w:before="80" w:line="219" w:lineRule="auto"/>
              <w:ind w:left="708"/>
            </w:pPr>
            <w:r>
              <w:rPr>
                <w:b/>
                <w:bCs/>
                <w:spacing w:val="-4"/>
              </w:rPr>
              <w:t>监理单位文档</w:t>
            </w:r>
          </w:p>
        </w:tc>
      </w:tr>
      <w:tr w14:paraId="299D4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5" w:hRule="atLeast"/>
        </w:trPr>
        <w:tc>
          <w:tcPr>
            <w:tcW w:w="2619" w:type="dxa"/>
            <w:tcBorders>
              <w:left w:val="nil"/>
            </w:tcBorders>
            <w:vAlign w:val="top"/>
          </w:tcPr>
          <w:p w14:paraId="054D0B65">
            <w:pPr>
              <w:spacing w:line="260" w:lineRule="auto"/>
              <w:rPr>
                <w:rFonts w:ascii="Arial"/>
                <w:sz w:val="21"/>
              </w:rPr>
            </w:pPr>
          </w:p>
          <w:p w14:paraId="4281D129">
            <w:pPr>
              <w:spacing w:line="260" w:lineRule="auto"/>
              <w:rPr>
                <w:rFonts w:ascii="Arial"/>
                <w:sz w:val="21"/>
              </w:rPr>
            </w:pPr>
          </w:p>
          <w:p w14:paraId="045219A1">
            <w:pPr>
              <w:spacing w:line="260" w:lineRule="auto"/>
              <w:rPr>
                <w:rFonts w:ascii="Arial"/>
                <w:sz w:val="21"/>
              </w:rPr>
            </w:pPr>
          </w:p>
          <w:p w14:paraId="3104B2E1">
            <w:pPr>
              <w:spacing w:line="260" w:lineRule="auto"/>
              <w:rPr>
                <w:rFonts w:ascii="Arial"/>
                <w:sz w:val="21"/>
              </w:rPr>
            </w:pPr>
          </w:p>
          <w:p w14:paraId="0487FA81">
            <w:pPr>
              <w:spacing w:line="260" w:lineRule="auto"/>
              <w:rPr>
                <w:rFonts w:ascii="Arial"/>
                <w:sz w:val="21"/>
              </w:rPr>
            </w:pPr>
          </w:p>
          <w:p w14:paraId="351589DF">
            <w:pPr>
              <w:spacing w:line="260" w:lineRule="auto"/>
              <w:rPr>
                <w:rFonts w:ascii="Arial"/>
                <w:sz w:val="21"/>
              </w:rPr>
            </w:pPr>
          </w:p>
          <w:p w14:paraId="55860340">
            <w:pPr>
              <w:spacing w:line="260" w:lineRule="auto"/>
              <w:rPr>
                <w:rFonts w:ascii="Arial"/>
                <w:sz w:val="21"/>
              </w:rPr>
            </w:pPr>
          </w:p>
          <w:p w14:paraId="57882EC4">
            <w:pPr>
              <w:spacing w:line="261" w:lineRule="auto"/>
              <w:rPr>
                <w:rFonts w:ascii="Arial"/>
                <w:sz w:val="21"/>
              </w:rPr>
            </w:pPr>
          </w:p>
          <w:p w14:paraId="316CC8A8">
            <w:pPr>
              <w:spacing w:line="261" w:lineRule="auto"/>
              <w:rPr>
                <w:rFonts w:ascii="Arial"/>
                <w:sz w:val="21"/>
              </w:rPr>
            </w:pPr>
          </w:p>
          <w:p w14:paraId="7416FE49">
            <w:pPr>
              <w:pStyle w:val="6"/>
              <w:spacing w:before="62" w:line="219" w:lineRule="auto"/>
              <w:ind w:left="69"/>
            </w:pPr>
            <w:r>
              <w:t>●项目立项文档(项目建议</w:t>
            </w:r>
          </w:p>
          <w:p w14:paraId="00A9F7C5">
            <w:pPr>
              <w:pStyle w:val="6"/>
              <w:spacing w:before="41" w:line="252" w:lineRule="auto"/>
              <w:ind w:left="330" w:firstLine="19"/>
            </w:pPr>
            <w:r>
              <w:rPr>
                <w:spacing w:val="-2"/>
              </w:rPr>
              <w:t>书、可行性研究报告、项目</w:t>
            </w:r>
            <w:r>
              <w:rPr>
                <w:spacing w:val="7"/>
              </w:rPr>
              <w:t xml:space="preserve"> </w:t>
            </w:r>
            <w:r>
              <w:rPr>
                <w:spacing w:val="4"/>
              </w:rPr>
              <w:t>建设方案)</w:t>
            </w:r>
          </w:p>
          <w:p w14:paraId="5B268930">
            <w:pPr>
              <w:pStyle w:val="6"/>
              <w:spacing w:before="34" w:line="219" w:lineRule="auto"/>
              <w:ind w:left="69"/>
            </w:pPr>
            <w:r>
              <w:rPr>
                <w:spacing w:val="1"/>
              </w:rPr>
              <w:t>●批复文件</w:t>
            </w:r>
          </w:p>
          <w:p w14:paraId="620110D0">
            <w:pPr>
              <w:pStyle w:val="6"/>
              <w:spacing w:before="54" w:line="219" w:lineRule="auto"/>
              <w:ind w:left="69"/>
            </w:pPr>
            <w:r>
              <w:rPr>
                <w:spacing w:val="1"/>
              </w:rPr>
              <w:t>●工程招标文件</w:t>
            </w:r>
          </w:p>
          <w:p w14:paraId="1DDCEBFD">
            <w:pPr>
              <w:pStyle w:val="6"/>
              <w:spacing w:before="54" w:line="219" w:lineRule="auto"/>
              <w:ind w:left="69"/>
            </w:pPr>
            <w:r>
              <w:rPr>
                <w:spacing w:val="3"/>
              </w:rPr>
              <w:t>●承建合同</w:t>
            </w:r>
          </w:p>
          <w:p w14:paraId="5E1AF92C">
            <w:pPr>
              <w:pStyle w:val="6"/>
              <w:spacing w:before="45" w:line="219" w:lineRule="auto"/>
              <w:ind w:left="69"/>
            </w:pPr>
            <w:r>
              <w:rPr>
                <w:spacing w:val="1"/>
              </w:rPr>
              <w:t>●工程投标文件</w:t>
            </w:r>
          </w:p>
          <w:p w14:paraId="62613BB9">
            <w:pPr>
              <w:pStyle w:val="6"/>
              <w:spacing w:before="53"/>
              <w:ind w:left="339" w:hanging="260"/>
            </w:pPr>
            <w:r>
              <w:t>●评标文件、评分标准及打分</w:t>
            </w:r>
            <w:r>
              <w:rPr>
                <w:spacing w:val="7"/>
              </w:rPr>
              <w:t xml:space="preserve"> </w:t>
            </w:r>
            <w:r>
              <w:rPr>
                <w:spacing w:val="-1"/>
              </w:rPr>
              <w:t>表、评标报告、中标通知书</w:t>
            </w:r>
          </w:p>
          <w:p w14:paraId="27F6BBAA">
            <w:pPr>
              <w:pStyle w:val="6"/>
              <w:spacing w:before="36" w:line="218" w:lineRule="auto"/>
              <w:ind w:left="69"/>
            </w:pPr>
            <w:r>
              <w:rPr>
                <w:spacing w:val="2"/>
              </w:rPr>
              <w:t>●用户报告</w:t>
            </w:r>
          </w:p>
        </w:tc>
        <w:tc>
          <w:tcPr>
            <w:tcW w:w="3220" w:type="dxa"/>
            <w:vAlign w:val="top"/>
          </w:tcPr>
          <w:p w14:paraId="74B4246B">
            <w:pPr>
              <w:pStyle w:val="6"/>
              <w:spacing w:before="57" w:line="219" w:lineRule="auto"/>
              <w:ind w:left="56"/>
            </w:pPr>
            <w:r>
              <w:rPr>
                <w:spacing w:val="2"/>
              </w:rPr>
              <w:t>●项目计划书</w:t>
            </w:r>
          </w:p>
          <w:p w14:paraId="6BB910C7">
            <w:pPr>
              <w:pStyle w:val="6"/>
              <w:spacing w:before="54" w:line="219" w:lineRule="auto"/>
              <w:ind w:left="56"/>
            </w:pPr>
            <w:r>
              <w:rPr>
                <w:spacing w:val="1"/>
              </w:rPr>
              <w:t>●需求规格说明书</w:t>
            </w:r>
          </w:p>
          <w:p w14:paraId="18B4D96D">
            <w:pPr>
              <w:pStyle w:val="6"/>
              <w:spacing w:before="64" w:line="219" w:lineRule="auto"/>
              <w:ind w:left="56"/>
            </w:pPr>
            <w:r>
              <w:rPr>
                <w:spacing w:val="1"/>
              </w:rPr>
              <w:t>●概要设计说明书</w:t>
            </w:r>
          </w:p>
          <w:p w14:paraId="655254CA">
            <w:pPr>
              <w:pStyle w:val="6"/>
              <w:spacing w:before="34" w:line="219" w:lineRule="auto"/>
              <w:ind w:left="56"/>
            </w:pPr>
            <w:r>
              <w:rPr>
                <w:spacing w:val="1"/>
              </w:rPr>
              <w:t>●详细设计说明书</w:t>
            </w:r>
          </w:p>
          <w:p w14:paraId="7C991D7E">
            <w:pPr>
              <w:pStyle w:val="6"/>
              <w:spacing w:before="65" w:line="219" w:lineRule="auto"/>
              <w:ind w:left="56"/>
            </w:pPr>
            <w:r>
              <w:rPr>
                <w:spacing w:val="1"/>
              </w:rPr>
              <w:t>●数据库设计说明书</w:t>
            </w:r>
          </w:p>
          <w:p w14:paraId="2953F2FC">
            <w:pPr>
              <w:pStyle w:val="6"/>
              <w:spacing w:before="36" w:line="219" w:lineRule="auto"/>
              <w:ind w:left="56"/>
            </w:pPr>
            <w:r>
              <w:t>●编码计划、代码编写规范</w:t>
            </w:r>
          </w:p>
          <w:p w14:paraId="59AAA231">
            <w:pPr>
              <w:pStyle w:val="6"/>
              <w:spacing w:before="54" w:line="245" w:lineRule="auto"/>
              <w:ind w:left="345" w:right="83" w:hanging="279"/>
            </w:pPr>
            <w:r>
              <w:rPr>
                <w:spacing w:val="1"/>
              </w:rPr>
              <w:t>●二次开发支持文件、接口设计说明</w:t>
            </w:r>
            <w:r>
              <w:rPr>
                <w:spacing w:val="3"/>
              </w:rPr>
              <w:t xml:space="preserve"> 书、程序员开发手册(如有)</w:t>
            </w:r>
          </w:p>
          <w:p w14:paraId="3489443B">
            <w:pPr>
              <w:pStyle w:val="6"/>
              <w:spacing w:before="56" w:line="219" w:lineRule="auto"/>
              <w:ind w:left="56"/>
            </w:pPr>
            <w:r>
              <w:t>●系统维护手册、软件安装盘</w:t>
            </w:r>
          </w:p>
          <w:p w14:paraId="03F3AEDE">
            <w:pPr>
              <w:pStyle w:val="6"/>
              <w:spacing w:before="43" w:line="246" w:lineRule="auto"/>
              <w:ind w:left="335" w:right="105" w:hanging="279"/>
            </w:pPr>
            <w:r>
              <w:t>●系统上线保障方案、应急预案、事</w:t>
            </w:r>
            <w:r>
              <w:rPr>
                <w:spacing w:val="7"/>
              </w:rPr>
              <w:t xml:space="preserve"> </w:t>
            </w:r>
            <w:r>
              <w:rPr>
                <w:spacing w:val="-2"/>
              </w:rPr>
              <w:t>故及问题处理文件</w:t>
            </w:r>
          </w:p>
          <w:p w14:paraId="4708D0B2">
            <w:pPr>
              <w:pStyle w:val="6"/>
              <w:spacing w:before="36" w:line="221" w:lineRule="auto"/>
              <w:ind w:left="56"/>
            </w:pPr>
            <w:r>
              <w:rPr>
                <w:spacing w:val="2"/>
              </w:rPr>
              <w:t>●测试计划</w:t>
            </w:r>
          </w:p>
          <w:p w14:paraId="201DB99E">
            <w:pPr>
              <w:pStyle w:val="6"/>
              <w:spacing w:before="53" w:line="221" w:lineRule="auto"/>
              <w:ind w:left="56"/>
            </w:pPr>
            <w:r>
              <w:rPr>
                <w:spacing w:val="1"/>
              </w:rPr>
              <w:t>●测试记录</w:t>
            </w:r>
          </w:p>
          <w:p w14:paraId="081A3566">
            <w:pPr>
              <w:pStyle w:val="6"/>
              <w:spacing w:before="39" w:line="218" w:lineRule="auto"/>
              <w:ind w:left="56"/>
            </w:pPr>
            <w:r>
              <w:rPr>
                <w:spacing w:val="2"/>
              </w:rPr>
              <w:t>●测试报告</w:t>
            </w:r>
          </w:p>
          <w:p w14:paraId="12F9866D">
            <w:pPr>
              <w:pStyle w:val="6"/>
              <w:spacing w:before="58" w:line="220" w:lineRule="auto"/>
              <w:ind w:left="56"/>
            </w:pPr>
            <w:r>
              <w:rPr>
                <w:spacing w:val="1"/>
              </w:rPr>
              <w:t>●用户手册</w:t>
            </w:r>
          </w:p>
          <w:p w14:paraId="31FE517F">
            <w:pPr>
              <w:pStyle w:val="6"/>
              <w:spacing w:before="44" w:line="220" w:lineRule="auto"/>
              <w:ind w:left="56"/>
            </w:pPr>
            <w:r>
              <w:rPr>
                <w:spacing w:val="2"/>
              </w:rPr>
              <w:t>●用户培训计划</w:t>
            </w:r>
          </w:p>
          <w:p w14:paraId="6D9827F2">
            <w:pPr>
              <w:pStyle w:val="6"/>
              <w:spacing w:before="63" w:line="219" w:lineRule="auto"/>
              <w:ind w:left="56"/>
            </w:pPr>
            <w:r>
              <w:rPr>
                <w:spacing w:val="2"/>
              </w:rPr>
              <w:t>●培训文档</w:t>
            </w:r>
          </w:p>
          <w:p w14:paraId="008C2C19">
            <w:pPr>
              <w:pStyle w:val="6"/>
              <w:spacing w:before="45" w:line="219" w:lineRule="auto"/>
              <w:ind w:left="56"/>
            </w:pPr>
            <w:r>
              <w:rPr>
                <w:spacing w:val="1"/>
              </w:rPr>
              <w:t>●开发进度月报</w:t>
            </w:r>
          </w:p>
          <w:p w14:paraId="630019C2">
            <w:pPr>
              <w:pStyle w:val="6"/>
              <w:spacing w:before="32" w:line="218" w:lineRule="auto"/>
              <w:ind w:left="56"/>
            </w:pPr>
            <w:r>
              <w:rPr>
                <w:spacing w:val="2"/>
              </w:rPr>
              <w:t>●试运行报告</w:t>
            </w:r>
          </w:p>
          <w:p w14:paraId="49513AED">
            <w:pPr>
              <w:pStyle w:val="6"/>
              <w:spacing w:before="46" w:line="218" w:lineRule="auto"/>
              <w:ind w:left="56"/>
            </w:pPr>
            <w:r>
              <w:rPr>
                <w:spacing w:val="1"/>
              </w:rPr>
              <w:t>●开发总结报告</w:t>
            </w:r>
          </w:p>
          <w:p w14:paraId="0271A1D4">
            <w:pPr>
              <w:pStyle w:val="6"/>
              <w:spacing w:before="66" w:line="219" w:lineRule="auto"/>
              <w:ind w:left="56"/>
            </w:pPr>
            <w:r>
              <w:t>●授权书、软件许可协议</w:t>
            </w:r>
          </w:p>
          <w:p w14:paraId="5B52E005">
            <w:pPr>
              <w:pStyle w:val="6"/>
              <w:spacing w:before="27" w:line="220" w:lineRule="auto"/>
              <w:ind w:left="56"/>
            </w:pPr>
            <w:r>
              <w:rPr>
                <w:spacing w:val="1"/>
              </w:rPr>
              <w:t>●交接清单</w:t>
            </w:r>
          </w:p>
          <w:p w14:paraId="3D827FC0">
            <w:pPr>
              <w:pStyle w:val="6"/>
              <w:spacing w:before="53" w:line="220" w:lineRule="auto"/>
              <w:ind w:left="56"/>
            </w:pPr>
            <w:r>
              <w:rPr>
                <w:spacing w:val="1"/>
              </w:rPr>
              <w:t>●工程延期审批表</w:t>
            </w:r>
          </w:p>
          <w:p w14:paraId="5A0034AA">
            <w:pPr>
              <w:pStyle w:val="6"/>
              <w:spacing w:before="43" w:line="219" w:lineRule="auto"/>
              <w:ind w:left="56"/>
            </w:pPr>
            <w:r>
              <w:rPr>
                <w:spacing w:val="1"/>
              </w:rPr>
              <w:t>●支付申请</w:t>
            </w:r>
          </w:p>
          <w:p w14:paraId="50732D96">
            <w:pPr>
              <w:pStyle w:val="6"/>
              <w:spacing w:before="35" w:line="219" w:lineRule="auto"/>
              <w:ind w:left="56"/>
            </w:pPr>
            <w:r>
              <w:rPr>
                <w:spacing w:val="1"/>
              </w:rPr>
              <w:t>●验收申请</w:t>
            </w:r>
          </w:p>
          <w:p w14:paraId="748E61A0">
            <w:pPr>
              <w:pStyle w:val="6"/>
              <w:spacing w:before="63" w:line="219" w:lineRule="auto"/>
              <w:ind w:left="56"/>
            </w:pPr>
            <w:r>
              <w:t>●项目例会、协调会纪要、备忘录</w:t>
            </w:r>
          </w:p>
          <w:p w14:paraId="0B4BD1FE">
            <w:pPr>
              <w:pStyle w:val="6"/>
              <w:spacing w:before="45" w:line="192" w:lineRule="auto"/>
              <w:ind w:left="56"/>
            </w:pPr>
            <w:r>
              <w:t>●竣工验收报告、验收委员会签字表</w:t>
            </w:r>
          </w:p>
        </w:tc>
        <w:tc>
          <w:tcPr>
            <w:tcW w:w="2480" w:type="dxa"/>
            <w:tcBorders>
              <w:right w:val="nil"/>
            </w:tcBorders>
            <w:vAlign w:val="top"/>
          </w:tcPr>
          <w:p w14:paraId="7CBB6B7C">
            <w:pPr>
              <w:spacing w:line="255" w:lineRule="auto"/>
              <w:rPr>
                <w:rFonts w:ascii="Arial"/>
                <w:sz w:val="21"/>
              </w:rPr>
            </w:pPr>
          </w:p>
          <w:p w14:paraId="14915DB4">
            <w:pPr>
              <w:spacing w:line="255" w:lineRule="auto"/>
              <w:rPr>
                <w:rFonts w:ascii="Arial"/>
                <w:sz w:val="21"/>
              </w:rPr>
            </w:pPr>
          </w:p>
          <w:p w14:paraId="0C253E43">
            <w:pPr>
              <w:spacing w:line="255" w:lineRule="auto"/>
              <w:rPr>
                <w:rFonts w:ascii="Arial"/>
                <w:sz w:val="21"/>
              </w:rPr>
            </w:pPr>
          </w:p>
          <w:p w14:paraId="4D5EC0E5">
            <w:pPr>
              <w:spacing w:line="255" w:lineRule="auto"/>
              <w:rPr>
                <w:rFonts w:ascii="Arial"/>
                <w:sz w:val="21"/>
              </w:rPr>
            </w:pPr>
          </w:p>
          <w:p w14:paraId="41DB8278">
            <w:pPr>
              <w:spacing w:line="255" w:lineRule="auto"/>
              <w:rPr>
                <w:rFonts w:ascii="Arial"/>
                <w:sz w:val="21"/>
              </w:rPr>
            </w:pPr>
          </w:p>
          <w:p w14:paraId="55B9C04C">
            <w:pPr>
              <w:spacing w:line="255" w:lineRule="auto"/>
              <w:rPr>
                <w:rFonts w:ascii="Arial"/>
                <w:sz w:val="21"/>
              </w:rPr>
            </w:pPr>
          </w:p>
          <w:p w14:paraId="703A8094">
            <w:pPr>
              <w:spacing w:line="255" w:lineRule="auto"/>
              <w:rPr>
                <w:rFonts w:ascii="Arial"/>
                <w:sz w:val="21"/>
              </w:rPr>
            </w:pPr>
          </w:p>
          <w:p w14:paraId="28EA62EC">
            <w:pPr>
              <w:pStyle w:val="6"/>
              <w:spacing w:before="62" w:line="221" w:lineRule="auto"/>
              <w:ind w:left="88"/>
            </w:pPr>
            <w:r>
              <w:rPr>
                <w:b/>
                <w:bCs/>
              </w:rPr>
              <w:t>●监理合同</w:t>
            </w:r>
          </w:p>
          <w:p w14:paraId="0E5218E1">
            <w:pPr>
              <w:pStyle w:val="6"/>
              <w:spacing w:before="42" w:line="221" w:lineRule="auto"/>
              <w:ind w:left="88"/>
            </w:pPr>
            <w:r>
              <w:rPr>
                <w:b/>
                <w:bCs/>
                <w:spacing w:val="-1"/>
              </w:rPr>
              <w:t>●监理规划</w:t>
            </w:r>
          </w:p>
          <w:p w14:paraId="2FB21941">
            <w:pPr>
              <w:pStyle w:val="6"/>
              <w:spacing w:before="50" w:line="220" w:lineRule="auto"/>
              <w:ind w:left="88"/>
            </w:pPr>
            <w:r>
              <w:rPr>
                <w:b/>
                <w:bCs/>
                <w:spacing w:val="-1"/>
              </w:rPr>
              <w:t>●监理实施细则</w:t>
            </w:r>
          </w:p>
          <w:p w14:paraId="093C40BA">
            <w:pPr>
              <w:pStyle w:val="6"/>
              <w:spacing w:before="51" w:line="219" w:lineRule="auto"/>
              <w:ind w:left="88"/>
            </w:pPr>
            <w:r>
              <w:rPr>
                <w:b/>
                <w:bCs/>
                <w:spacing w:val="-2"/>
              </w:rPr>
              <w:t>●开工令、停工令、复工令</w:t>
            </w:r>
          </w:p>
          <w:p w14:paraId="155F8CEC">
            <w:pPr>
              <w:pStyle w:val="6"/>
              <w:spacing w:before="46" w:line="219" w:lineRule="auto"/>
              <w:ind w:left="88"/>
            </w:pPr>
            <w:r>
              <w:rPr>
                <w:b/>
                <w:bCs/>
                <w:spacing w:val="-2"/>
              </w:rPr>
              <w:t>●监理意见</w:t>
            </w:r>
          </w:p>
          <w:p w14:paraId="6ED015F0">
            <w:pPr>
              <w:pStyle w:val="6"/>
              <w:spacing w:before="53" w:line="218" w:lineRule="auto"/>
              <w:ind w:left="88"/>
            </w:pPr>
            <w:r>
              <w:rPr>
                <w:b/>
                <w:bCs/>
                <w:spacing w:val="-1"/>
              </w:rPr>
              <w:t>●监理评审报告</w:t>
            </w:r>
          </w:p>
          <w:p w14:paraId="6290E9A9">
            <w:pPr>
              <w:pStyle w:val="6"/>
              <w:spacing w:before="57" w:line="219" w:lineRule="auto"/>
              <w:ind w:left="88"/>
            </w:pPr>
            <w:r>
              <w:rPr>
                <w:b/>
                <w:bCs/>
                <w:spacing w:val="-2"/>
              </w:rPr>
              <w:t>●监理月报</w:t>
            </w:r>
          </w:p>
          <w:p w14:paraId="2665E775">
            <w:pPr>
              <w:pStyle w:val="6"/>
              <w:spacing w:before="54" w:line="219" w:lineRule="auto"/>
              <w:ind w:left="88"/>
            </w:pPr>
            <w:r>
              <w:rPr>
                <w:b/>
                <w:bCs/>
                <w:spacing w:val="-1"/>
              </w:rPr>
              <w:t>●支付意见书</w:t>
            </w:r>
          </w:p>
          <w:p w14:paraId="1574C7D6">
            <w:pPr>
              <w:pStyle w:val="6"/>
              <w:spacing w:before="46" w:line="220" w:lineRule="auto"/>
              <w:ind w:left="88"/>
            </w:pPr>
            <w:r>
              <w:rPr>
                <w:b/>
                <w:bCs/>
                <w:spacing w:val="-2"/>
              </w:rPr>
              <w:t>●监理通知单</w:t>
            </w:r>
          </w:p>
          <w:p w14:paraId="73005547">
            <w:pPr>
              <w:pStyle w:val="6"/>
              <w:spacing w:before="34" w:line="220" w:lineRule="auto"/>
              <w:ind w:left="88"/>
            </w:pPr>
            <w:r>
              <w:rPr>
                <w:b/>
                <w:bCs/>
                <w:spacing w:val="-2"/>
              </w:rPr>
              <w:t>●监理联系单</w:t>
            </w:r>
          </w:p>
          <w:p w14:paraId="734F894C">
            <w:pPr>
              <w:pStyle w:val="6"/>
              <w:spacing w:before="51" w:line="243" w:lineRule="auto"/>
              <w:ind w:left="88" w:right="1432"/>
            </w:pPr>
            <w:r>
              <w:rPr>
                <w:b/>
                <w:bCs/>
                <w:spacing w:val="-2"/>
              </w:rPr>
              <w:t>●会议纪要</w:t>
            </w:r>
            <w:r>
              <w:rPr>
                <w:spacing w:val="3"/>
              </w:rPr>
              <w:t xml:space="preserve"> </w:t>
            </w:r>
            <w:r>
              <w:rPr>
                <w:b/>
                <w:bCs/>
                <w:spacing w:val="-2"/>
              </w:rPr>
              <w:t>●备忘录</w:t>
            </w:r>
          </w:p>
          <w:p w14:paraId="54560928">
            <w:pPr>
              <w:pStyle w:val="6"/>
              <w:spacing w:before="61" w:line="219" w:lineRule="auto"/>
              <w:ind w:left="88"/>
            </w:pPr>
            <w:r>
              <w:rPr>
                <w:b/>
                <w:bCs/>
                <w:spacing w:val="-2"/>
              </w:rPr>
              <w:t>●监理费申请表</w:t>
            </w:r>
          </w:p>
          <w:p w14:paraId="4F502BB0">
            <w:pPr>
              <w:pStyle w:val="6"/>
              <w:spacing w:before="33" w:line="218" w:lineRule="auto"/>
              <w:ind w:left="88"/>
            </w:pPr>
            <w:r>
              <w:rPr>
                <w:b/>
                <w:bCs/>
                <w:spacing w:val="-2"/>
              </w:rPr>
              <w:t>●监理工作总结报告</w:t>
            </w:r>
          </w:p>
        </w:tc>
      </w:tr>
    </w:tbl>
    <w:p w14:paraId="503877A3">
      <w:pPr>
        <w:rPr>
          <w:rFonts w:ascii="Arial"/>
          <w:sz w:val="21"/>
        </w:rPr>
      </w:pPr>
    </w:p>
    <w:p w14:paraId="00BDA5F8">
      <w:pPr>
        <w:rPr>
          <w:rFonts w:ascii="Arial" w:hAnsi="Arial" w:eastAsia="Arial" w:cs="Arial"/>
          <w:sz w:val="21"/>
          <w:szCs w:val="21"/>
        </w:rPr>
        <w:sectPr>
          <w:pgSz w:w="10290" w:h="13310"/>
          <w:pgMar w:top="329" w:right="624" w:bottom="400" w:left="1090" w:header="0" w:footer="0" w:gutter="0"/>
          <w:cols w:space="720" w:num="1"/>
        </w:sectPr>
      </w:pPr>
    </w:p>
    <w:p w14:paraId="0AE110B1">
      <w:pPr>
        <w:spacing w:line="257" w:lineRule="auto"/>
        <w:rPr>
          <w:rFonts w:ascii="Arial"/>
          <w:sz w:val="21"/>
        </w:rPr>
      </w:pPr>
    </w:p>
    <w:p w14:paraId="7C36E25B">
      <w:pPr>
        <w:spacing w:line="257" w:lineRule="auto"/>
        <w:rPr>
          <w:rFonts w:ascii="Arial"/>
          <w:sz w:val="21"/>
        </w:rPr>
      </w:pPr>
    </w:p>
    <w:p w14:paraId="100221AE">
      <w:pPr>
        <w:spacing w:line="257" w:lineRule="auto"/>
        <w:rPr>
          <w:rFonts w:ascii="Arial"/>
          <w:sz w:val="21"/>
        </w:rPr>
      </w:pPr>
    </w:p>
    <w:p w14:paraId="5C6F845B">
      <w:pPr>
        <w:spacing w:before="133" w:line="235" w:lineRule="auto"/>
        <w:ind w:left="30"/>
        <w:rPr>
          <w:sz w:val="41"/>
          <w:szCs w:val="41"/>
        </w:rPr>
      </w:pPr>
      <w:r>
        <w:rPr>
          <w:rFonts w:ascii="黑体" w:hAnsi="黑体" w:eastAsia="黑体" w:cs="黑体"/>
          <w:color w:val="008BF7"/>
          <w:position w:val="-4"/>
          <w:sz w:val="41"/>
          <w:szCs w:val="41"/>
        </w:rPr>
        <w:drawing>
          <wp:inline distT="0" distB="0" distL="0" distR="0">
            <wp:extent cx="622300" cy="26606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335"/>
                    <a:stretch>
                      <a:fillRect/>
                    </a:stretch>
                  </pic:blipFill>
                  <pic:spPr>
                    <a:xfrm>
                      <a:off x="0" y="0"/>
                      <a:ext cx="622343" cy="266672"/>
                    </a:xfrm>
                    <a:prstGeom prst="rect">
                      <a:avLst/>
                    </a:prstGeom>
                  </pic:spPr>
                </pic:pic>
              </a:graphicData>
            </a:graphic>
          </wp:inline>
        </w:drawing>
      </w:r>
      <w:r>
        <w:rPr>
          <w:rFonts w:ascii="黑体" w:hAnsi="黑体" w:eastAsia="黑体" w:cs="黑体"/>
          <w:color w:val="008BF7"/>
          <w:spacing w:val="11"/>
          <w:sz w:val="41"/>
          <w:szCs w:val="41"/>
        </w:rPr>
        <w:t xml:space="preserve">     </w:t>
      </w:r>
      <w:r>
        <w:rPr>
          <w:rFonts w:ascii="黑体" w:hAnsi="黑体" w:eastAsia="黑体" w:cs="黑体"/>
          <w:b/>
          <w:bCs/>
          <w:color w:val="008BF7"/>
          <w:spacing w:val="8"/>
          <w:sz w:val="41"/>
          <w:szCs w:val="41"/>
        </w:rPr>
        <w:t>第23章</w:t>
      </w:r>
      <w:r>
        <w:rPr>
          <w:rFonts w:ascii="黑体" w:hAnsi="黑体" w:eastAsia="黑体" w:cs="黑体"/>
          <w:color w:val="008BF7"/>
          <w:spacing w:val="170"/>
          <w:sz w:val="41"/>
          <w:szCs w:val="41"/>
        </w:rPr>
        <w:t xml:space="preserve"> </w:t>
      </w:r>
      <w:r>
        <w:rPr>
          <w:rFonts w:ascii="黑体" w:hAnsi="黑体" w:eastAsia="黑体" w:cs="黑体"/>
          <w:b/>
          <w:bCs/>
          <w:color w:val="008BF7"/>
          <w:spacing w:val="8"/>
          <w:sz w:val="41"/>
          <w:szCs w:val="41"/>
        </w:rPr>
        <w:t>数据中心监理</w:t>
      </w:r>
      <w:r>
        <w:rPr>
          <w:rFonts w:ascii="黑体" w:hAnsi="黑体" w:eastAsia="黑体" w:cs="黑体"/>
          <w:color w:val="008BF7"/>
          <w:spacing w:val="3"/>
          <w:sz w:val="41"/>
          <w:szCs w:val="41"/>
        </w:rPr>
        <w:t xml:space="preserve">     </w:t>
      </w:r>
      <w:r>
        <w:rPr>
          <w:position w:val="-3"/>
          <w:sz w:val="41"/>
          <w:szCs w:val="41"/>
        </w:rPr>
        <w:drawing>
          <wp:inline distT="0" distB="0" distL="0" distR="0">
            <wp:extent cx="635000" cy="26606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336"/>
                    <a:stretch>
                      <a:fillRect/>
                    </a:stretch>
                  </pic:blipFill>
                  <pic:spPr>
                    <a:xfrm>
                      <a:off x="0" y="0"/>
                      <a:ext cx="635044" cy="266672"/>
                    </a:xfrm>
                    <a:prstGeom prst="rect">
                      <a:avLst/>
                    </a:prstGeom>
                  </pic:spPr>
                </pic:pic>
              </a:graphicData>
            </a:graphic>
          </wp:inline>
        </w:drawing>
      </w:r>
    </w:p>
    <w:p w14:paraId="2A45C543">
      <w:pPr>
        <w:spacing w:line="349" w:lineRule="auto"/>
        <w:rPr>
          <w:rFonts w:ascii="Arial"/>
          <w:sz w:val="21"/>
        </w:rPr>
      </w:pPr>
    </w:p>
    <w:p w14:paraId="435F4254">
      <w:pPr>
        <w:spacing w:line="350" w:lineRule="auto"/>
        <w:rPr>
          <w:rFonts w:ascii="Arial"/>
          <w:sz w:val="21"/>
        </w:rPr>
      </w:pPr>
    </w:p>
    <w:p w14:paraId="2D7070DB">
      <w:pPr>
        <w:pStyle w:val="2"/>
        <w:spacing w:before="65" w:line="289" w:lineRule="auto"/>
        <w:ind w:firstLine="380"/>
        <w:jc w:val="both"/>
        <w:rPr>
          <w:sz w:val="16"/>
          <w:szCs w:val="16"/>
        </w:rPr>
      </w:pPr>
      <w:r>
        <w:rPr>
          <w:spacing w:val="3"/>
          <w:sz w:val="20"/>
          <w:szCs w:val="20"/>
        </w:rPr>
        <w:t>在现代企业和社会发展中，数据中心作为信息技术基础设施的核心部分，其安全、高效和</w:t>
      </w:r>
      <w:r>
        <w:rPr>
          <w:spacing w:val="9"/>
          <w:sz w:val="20"/>
          <w:szCs w:val="20"/>
        </w:rPr>
        <w:t xml:space="preserve">  </w:t>
      </w:r>
      <w:r>
        <w:rPr>
          <w:spacing w:val="3"/>
          <w:sz w:val="20"/>
          <w:szCs w:val="20"/>
        </w:rPr>
        <w:t>稳定的运行至关重要。因此，在数据中心的建设过程中，由专业的监理单位</w:t>
      </w:r>
      <w:r>
        <w:rPr>
          <w:spacing w:val="2"/>
          <w:sz w:val="20"/>
          <w:szCs w:val="20"/>
        </w:rPr>
        <w:t>进行全过程监督与</w:t>
      </w:r>
      <w:r>
        <w:rPr>
          <w:sz w:val="20"/>
          <w:szCs w:val="20"/>
        </w:rPr>
        <w:t xml:space="preserve">  </w:t>
      </w:r>
      <w:r>
        <w:rPr>
          <w:spacing w:val="5"/>
          <w:sz w:val="20"/>
          <w:szCs w:val="20"/>
        </w:rPr>
        <w:t>指导显得尤为关键。本章对数据中心的监理工作进行介绍，并结合实际场景及</w:t>
      </w:r>
      <w:r>
        <w:rPr>
          <w:spacing w:val="4"/>
          <w:sz w:val="20"/>
          <w:szCs w:val="20"/>
        </w:rPr>
        <w:t>案例，分小节、</w:t>
      </w:r>
      <w:r>
        <w:rPr>
          <w:sz w:val="20"/>
          <w:szCs w:val="20"/>
        </w:rPr>
        <w:t xml:space="preserve"> 分重点地提出分析和指导意见，重点讲述数据中心监理服务过程中的关键监理活动、监理内容、 </w:t>
      </w:r>
      <w:r>
        <w:rPr>
          <w:spacing w:val="3"/>
          <w:sz w:val="20"/>
          <w:szCs w:val="20"/>
        </w:rPr>
        <w:t>监理要点、标志性成果等内容，帮助监理人员开展数据中心</w:t>
      </w:r>
      <w:r>
        <w:rPr>
          <w:spacing w:val="2"/>
          <w:sz w:val="20"/>
          <w:szCs w:val="20"/>
        </w:rPr>
        <w:t>监理工作，同时对监理机构编制监</w:t>
      </w:r>
      <w:r>
        <w:rPr>
          <w:sz w:val="20"/>
          <w:szCs w:val="20"/>
        </w:rPr>
        <w:t xml:space="preserve">  </w:t>
      </w:r>
      <w:r>
        <w:rPr>
          <w:spacing w:val="3"/>
          <w:sz w:val="20"/>
          <w:szCs w:val="20"/>
        </w:rPr>
        <w:t>理大纲、监理规划和监理实施细则等文件，以及项目作业指导书或监</w:t>
      </w:r>
      <w:r>
        <w:rPr>
          <w:spacing w:val="2"/>
          <w:sz w:val="20"/>
          <w:szCs w:val="20"/>
        </w:rPr>
        <w:t>理文档等起到必要的指导</w:t>
      </w:r>
      <w:r>
        <w:rPr>
          <w:sz w:val="20"/>
          <w:szCs w:val="20"/>
        </w:rPr>
        <w:t xml:space="preserve">  </w:t>
      </w:r>
      <w:r>
        <w:rPr>
          <w:spacing w:val="-5"/>
          <w:sz w:val="16"/>
          <w:szCs w:val="16"/>
        </w:rPr>
        <w:t>作</w:t>
      </w:r>
      <w:r>
        <w:rPr>
          <w:spacing w:val="-18"/>
          <w:sz w:val="16"/>
          <w:szCs w:val="16"/>
        </w:rPr>
        <w:t xml:space="preserve"> </w:t>
      </w:r>
      <w:r>
        <w:rPr>
          <w:spacing w:val="-5"/>
          <w:sz w:val="16"/>
          <w:szCs w:val="16"/>
        </w:rPr>
        <w:t>用</w:t>
      </w:r>
      <w:r>
        <w:rPr>
          <w:spacing w:val="-25"/>
          <w:sz w:val="16"/>
          <w:szCs w:val="16"/>
        </w:rPr>
        <w:t xml:space="preserve"> </w:t>
      </w:r>
      <w:r>
        <w:rPr>
          <w:spacing w:val="-5"/>
          <w:sz w:val="16"/>
          <w:szCs w:val="16"/>
        </w:rPr>
        <w:t>。</w:t>
      </w:r>
    </w:p>
    <w:p w14:paraId="2B3C85FB">
      <w:pPr>
        <w:spacing w:line="340" w:lineRule="auto"/>
        <w:rPr>
          <w:rFonts w:ascii="Arial"/>
          <w:sz w:val="21"/>
        </w:rPr>
      </w:pPr>
    </w:p>
    <w:p w14:paraId="2C23F9AE">
      <w:pPr>
        <w:pStyle w:val="2"/>
        <w:spacing w:before="94" w:line="221" w:lineRule="auto"/>
        <w:ind w:left="3"/>
        <w:rPr>
          <w:rFonts w:ascii="黑体" w:hAnsi="黑体" w:eastAsia="黑体" w:cs="黑体"/>
          <w:sz w:val="29"/>
          <w:szCs w:val="29"/>
        </w:rPr>
      </w:pPr>
      <w:r>
        <w:rPr>
          <w:b/>
          <w:bCs/>
          <w:color w:val="0072BF"/>
          <w:spacing w:val="-16"/>
          <w:sz w:val="29"/>
          <w:szCs w:val="29"/>
        </w:rPr>
        <w:t>23.1</w:t>
      </w:r>
      <w:r>
        <w:rPr>
          <w:color w:val="0072BF"/>
          <w:spacing w:val="6"/>
          <w:sz w:val="29"/>
          <w:szCs w:val="29"/>
        </w:rPr>
        <w:t xml:space="preserve">  </w:t>
      </w:r>
      <w:r>
        <w:rPr>
          <w:rFonts w:ascii="黑体" w:hAnsi="黑体" w:eastAsia="黑体" w:cs="黑体"/>
          <w:b/>
          <w:bCs/>
          <w:color w:val="0072BF"/>
          <w:spacing w:val="-16"/>
          <w:sz w:val="29"/>
          <w:szCs w:val="29"/>
        </w:rPr>
        <w:t>概述</w:t>
      </w:r>
    </w:p>
    <w:p w14:paraId="3FC8CE29">
      <w:pPr>
        <w:pStyle w:val="2"/>
        <w:spacing w:before="236" w:line="281" w:lineRule="auto"/>
        <w:ind w:right="89" w:firstLine="380"/>
        <w:jc w:val="both"/>
        <w:rPr>
          <w:sz w:val="20"/>
          <w:szCs w:val="20"/>
        </w:rPr>
      </w:pPr>
      <w:r>
        <w:rPr>
          <w:spacing w:val="3"/>
          <w:sz w:val="20"/>
          <w:szCs w:val="20"/>
        </w:rPr>
        <w:t>围绕数据中心电子设备机房、基础设备、信息系统软硬件等建设内</w:t>
      </w:r>
      <w:r>
        <w:rPr>
          <w:spacing w:val="2"/>
          <w:sz w:val="20"/>
          <w:szCs w:val="20"/>
        </w:rPr>
        <w:t>容，数据中心在招标阶</w:t>
      </w:r>
      <w:r>
        <w:rPr>
          <w:sz w:val="20"/>
          <w:szCs w:val="20"/>
        </w:rPr>
        <w:t xml:space="preserve"> </w:t>
      </w:r>
      <w:r>
        <w:rPr>
          <w:spacing w:val="3"/>
          <w:sz w:val="20"/>
          <w:szCs w:val="20"/>
        </w:rPr>
        <w:t>段、设计阶段、实施阶段和验收阶段的监理工作，应符合数据</w:t>
      </w:r>
      <w:r>
        <w:rPr>
          <w:spacing w:val="2"/>
          <w:sz w:val="20"/>
          <w:szCs w:val="20"/>
        </w:rPr>
        <w:t>中心建设要求和监理合同所约束</w:t>
      </w:r>
      <w:r>
        <w:rPr>
          <w:sz w:val="20"/>
          <w:szCs w:val="20"/>
        </w:rPr>
        <w:t xml:space="preserve"> </w:t>
      </w:r>
      <w:r>
        <w:rPr>
          <w:spacing w:val="3"/>
          <w:sz w:val="20"/>
          <w:szCs w:val="20"/>
        </w:rPr>
        <w:t>的监理服务要求，严格执行强制性国家标准、行业标准和</w:t>
      </w:r>
      <w:r>
        <w:rPr>
          <w:spacing w:val="2"/>
          <w:sz w:val="20"/>
          <w:szCs w:val="20"/>
        </w:rPr>
        <w:t>地方标准，并按照监理规范、有关建</w:t>
      </w:r>
      <w:r>
        <w:rPr>
          <w:sz w:val="20"/>
          <w:szCs w:val="20"/>
        </w:rPr>
        <w:t xml:space="preserve"> </w:t>
      </w:r>
      <w:r>
        <w:rPr>
          <w:spacing w:val="3"/>
          <w:sz w:val="20"/>
          <w:szCs w:val="20"/>
        </w:rPr>
        <w:t>设内容的技术标准及规范开展必要的监理活动，落实监理内</w:t>
      </w:r>
      <w:r>
        <w:rPr>
          <w:spacing w:val="2"/>
          <w:sz w:val="20"/>
          <w:szCs w:val="20"/>
        </w:rPr>
        <w:t>容，提出监理意见或建议，做好监</w:t>
      </w:r>
      <w:r>
        <w:rPr>
          <w:sz w:val="20"/>
          <w:szCs w:val="20"/>
        </w:rPr>
        <w:t xml:space="preserve"> </w:t>
      </w:r>
      <w:r>
        <w:rPr>
          <w:spacing w:val="-6"/>
          <w:sz w:val="20"/>
          <w:szCs w:val="20"/>
        </w:rPr>
        <w:t>理工作记录。</w:t>
      </w:r>
    </w:p>
    <w:p w14:paraId="2D5980E3">
      <w:pPr>
        <w:pStyle w:val="2"/>
        <w:spacing w:before="234" w:line="219" w:lineRule="auto"/>
        <w:ind w:left="2"/>
        <w:rPr>
          <w:sz w:val="25"/>
          <w:szCs w:val="25"/>
        </w:rPr>
      </w:pPr>
      <w:r>
        <w:rPr>
          <w:b/>
          <w:bCs/>
          <w:color w:val="006FBA"/>
          <w:spacing w:val="-18"/>
          <w:sz w:val="25"/>
          <w:szCs w:val="25"/>
        </w:rPr>
        <w:t>23.1.1</w:t>
      </w:r>
      <w:r>
        <w:rPr>
          <w:color w:val="006FBA"/>
          <w:spacing w:val="91"/>
          <w:sz w:val="25"/>
          <w:szCs w:val="25"/>
        </w:rPr>
        <w:t xml:space="preserve"> </w:t>
      </w:r>
      <w:r>
        <w:rPr>
          <w:b/>
          <w:bCs/>
          <w:color w:val="006FBA"/>
          <w:spacing w:val="-18"/>
          <w:sz w:val="25"/>
          <w:szCs w:val="25"/>
        </w:rPr>
        <w:t>基本概念</w:t>
      </w:r>
    </w:p>
    <w:p w14:paraId="7CF6F646">
      <w:pPr>
        <w:pStyle w:val="2"/>
        <w:spacing w:before="263" w:line="222" w:lineRule="auto"/>
        <w:ind w:left="382"/>
        <w:rPr>
          <w:rFonts w:ascii="黑体" w:hAnsi="黑体" w:eastAsia="黑体" w:cs="黑体"/>
          <w:sz w:val="20"/>
          <w:szCs w:val="20"/>
        </w:rPr>
      </w:pPr>
      <w:r>
        <w:rPr>
          <w:b/>
          <w:bCs/>
          <w:color w:val="0066A2"/>
          <w:spacing w:val="-7"/>
          <w:sz w:val="20"/>
          <w:szCs w:val="20"/>
        </w:rPr>
        <w:t>1.</w:t>
      </w:r>
      <w:r>
        <w:rPr>
          <w:rFonts w:ascii="黑体" w:hAnsi="黑体" w:eastAsia="黑体" w:cs="黑体"/>
          <w:b/>
          <w:bCs/>
          <w:color w:val="0066A2"/>
          <w:spacing w:val="-7"/>
          <w:sz w:val="20"/>
          <w:szCs w:val="20"/>
        </w:rPr>
        <w:t>数据中心</w:t>
      </w:r>
    </w:p>
    <w:p w14:paraId="06B831F4">
      <w:pPr>
        <w:pStyle w:val="2"/>
        <w:spacing w:before="133" w:line="268" w:lineRule="auto"/>
        <w:ind w:right="20" w:firstLine="380"/>
        <w:jc w:val="both"/>
        <w:rPr>
          <w:sz w:val="20"/>
          <w:szCs w:val="20"/>
        </w:rPr>
      </w:pPr>
      <w:r>
        <w:rPr>
          <w:spacing w:val="4"/>
          <w:sz w:val="20"/>
          <w:szCs w:val="20"/>
        </w:rPr>
        <w:t>以信息技术为支撑，由电子设备机房、其他基础设</w:t>
      </w:r>
      <w:r>
        <w:rPr>
          <w:spacing w:val="3"/>
          <w:sz w:val="20"/>
          <w:szCs w:val="20"/>
        </w:rPr>
        <w:t>施、信息系统软硬件、信息资源(数据)</w:t>
      </w:r>
      <w:r>
        <w:rPr>
          <w:sz w:val="20"/>
          <w:szCs w:val="20"/>
        </w:rPr>
        <w:t xml:space="preserve"> </w:t>
      </w:r>
      <w:r>
        <w:rPr>
          <w:spacing w:val="4"/>
          <w:sz w:val="20"/>
          <w:szCs w:val="20"/>
        </w:rPr>
        <w:t>和人员以及相应的规章制度组成的，以实现应用集中处理和数据集中存放，提供数据的构建、</w:t>
      </w:r>
      <w:r>
        <w:rPr>
          <w:spacing w:val="15"/>
          <w:sz w:val="20"/>
          <w:szCs w:val="20"/>
        </w:rPr>
        <w:t xml:space="preserve"> </w:t>
      </w:r>
      <w:r>
        <w:rPr>
          <w:spacing w:val="-3"/>
          <w:sz w:val="20"/>
          <w:szCs w:val="20"/>
        </w:rPr>
        <w:t>交换、集成、共享等信息服务的基础环境。</w:t>
      </w:r>
    </w:p>
    <w:p w14:paraId="7590794F">
      <w:pPr>
        <w:pStyle w:val="2"/>
        <w:spacing w:before="134" w:line="222" w:lineRule="auto"/>
        <w:ind w:left="382"/>
        <w:rPr>
          <w:rFonts w:ascii="黑体" w:hAnsi="黑体" w:eastAsia="黑体" w:cs="黑体"/>
          <w:sz w:val="20"/>
          <w:szCs w:val="20"/>
        </w:rPr>
      </w:pPr>
      <w:r>
        <w:rPr>
          <w:b/>
          <w:bCs/>
          <w:color w:val="015E9D"/>
          <w:spacing w:val="1"/>
          <w:sz w:val="20"/>
          <w:szCs w:val="20"/>
        </w:rPr>
        <w:t>2.</w:t>
      </w:r>
      <w:r>
        <w:rPr>
          <w:rFonts w:ascii="黑体" w:hAnsi="黑体" w:eastAsia="黑体" w:cs="黑体"/>
          <w:b/>
          <w:bCs/>
          <w:color w:val="015E9D"/>
          <w:spacing w:val="1"/>
          <w:sz w:val="20"/>
          <w:szCs w:val="20"/>
        </w:rPr>
        <w:t>设计交底</w:t>
      </w:r>
    </w:p>
    <w:p w14:paraId="0F0ACC98">
      <w:pPr>
        <w:pStyle w:val="2"/>
        <w:spacing w:before="153" w:line="269" w:lineRule="auto"/>
        <w:ind w:right="77" w:firstLine="380"/>
        <w:jc w:val="both"/>
        <w:rPr>
          <w:sz w:val="20"/>
          <w:szCs w:val="20"/>
        </w:rPr>
      </w:pPr>
      <w:r>
        <w:rPr>
          <w:spacing w:val="3"/>
          <w:sz w:val="20"/>
          <w:szCs w:val="20"/>
        </w:rPr>
        <w:t>一种由业主单位组织，数据中心设计单位将已通过评审的施工图向承建单位、监理单位进</w:t>
      </w:r>
      <w:r>
        <w:rPr>
          <w:spacing w:val="10"/>
          <w:sz w:val="20"/>
          <w:szCs w:val="20"/>
        </w:rPr>
        <w:t xml:space="preserve"> </w:t>
      </w:r>
      <w:r>
        <w:rPr>
          <w:spacing w:val="3"/>
          <w:sz w:val="20"/>
          <w:szCs w:val="20"/>
        </w:rPr>
        <w:t>行详细说明的技术活动，帮助承建单位和监理单位正确贯彻设计意图，掌握关键工程部位</w:t>
      </w:r>
      <w:r>
        <w:rPr>
          <w:spacing w:val="2"/>
          <w:sz w:val="20"/>
          <w:szCs w:val="20"/>
        </w:rPr>
        <w:t>的质</w:t>
      </w:r>
      <w:r>
        <w:rPr>
          <w:sz w:val="20"/>
          <w:szCs w:val="20"/>
        </w:rPr>
        <w:t xml:space="preserve"> </w:t>
      </w:r>
      <w:r>
        <w:rPr>
          <w:spacing w:val="-4"/>
          <w:sz w:val="20"/>
          <w:szCs w:val="20"/>
        </w:rPr>
        <w:t>量要求，确保工程质量。</w:t>
      </w:r>
    </w:p>
    <w:p w14:paraId="19F6383F">
      <w:pPr>
        <w:pStyle w:val="2"/>
        <w:spacing w:before="143" w:line="222" w:lineRule="auto"/>
        <w:ind w:left="382"/>
        <w:rPr>
          <w:rFonts w:ascii="黑体" w:hAnsi="黑体" w:eastAsia="黑体" w:cs="黑体"/>
          <w:sz w:val="20"/>
          <w:szCs w:val="20"/>
        </w:rPr>
      </w:pPr>
      <w:r>
        <w:rPr>
          <w:b/>
          <w:bCs/>
          <w:color w:val="0072B4"/>
          <w:spacing w:val="-5"/>
          <w:sz w:val="20"/>
          <w:szCs w:val="20"/>
        </w:rPr>
        <w:t>3.</w:t>
      </w:r>
      <w:r>
        <w:rPr>
          <w:rFonts w:ascii="黑体" w:hAnsi="黑体" w:eastAsia="黑体" w:cs="黑体"/>
          <w:b/>
          <w:bCs/>
          <w:color w:val="0072B4"/>
          <w:spacing w:val="-5"/>
          <w:sz w:val="20"/>
          <w:szCs w:val="20"/>
        </w:rPr>
        <w:t>深化设计</w:t>
      </w:r>
    </w:p>
    <w:p w14:paraId="51BA3669">
      <w:pPr>
        <w:pStyle w:val="2"/>
        <w:spacing w:before="113" w:line="273" w:lineRule="auto"/>
        <w:ind w:right="110" w:firstLine="380"/>
        <w:rPr>
          <w:sz w:val="20"/>
          <w:szCs w:val="20"/>
        </w:rPr>
      </w:pPr>
      <w:r>
        <w:rPr>
          <w:spacing w:val="3"/>
          <w:sz w:val="20"/>
          <w:szCs w:val="20"/>
        </w:rPr>
        <w:t>承建单位在原设计方案和图纸基础上，结合现场实际情况，对图纸进</w:t>
      </w:r>
      <w:r>
        <w:rPr>
          <w:spacing w:val="2"/>
          <w:sz w:val="20"/>
          <w:szCs w:val="20"/>
        </w:rPr>
        <w:t>行细化、补充、完善</w:t>
      </w:r>
      <w:r>
        <w:rPr>
          <w:sz w:val="20"/>
          <w:szCs w:val="20"/>
        </w:rPr>
        <w:t xml:space="preserve"> </w:t>
      </w:r>
      <w:r>
        <w:rPr>
          <w:spacing w:val="-3"/>
          <w:sz w:val="20"/>
          <w:szCs w:val="20"/>
        </w:rPr>
        <w:t>后形成施工设计文件的过程。</w:t>
      </w:r>
    </w:p>
    <w:p w14:paraId="7FF1CB14">
      <w:pPr>
        <w:spacing w:before="126" w:line="223" w:lineRule="auto"/>
        <w:ind w:left="382"/>
        <w:rPr>
          <w:rFonts w:ascii="黑体" w:hAnsi="黑体" w:eastAsia="黑体" w:cs="黑体"/>
          <w:sz w:val="20"/>
          <w:szCs w:val="20"/>
        </w:rPr>
      </w:pPr>
      <w:r>
        <w:rPr>
          <w:rFonts w:ascii="黑体" w:hAnsi="黑体" w:eastAsia="黑体" w:cs="黑体"/>
          <w:b/>
          <w:bCs/>
          <w:color w:val="0079CA"/>
          <w:spacing w:val="-3"/>
          <w:sz w:val="20"/>
          <w:szCs w:val="20"/>
        </w:rPr>
        <w:t>4.上电自检</w:t>
      </w:r>
    </w:p>
    <w:p w14:paraId="07589FB0">
      <w:pPr>
        <w:pStyle w:val="2"/>
        <w:spacing w:before="130" w:line="219" w:lineRule="auto"/>
        <w:ind w:left="380"/>
        <w:rPr>
          <w:sz w:val="20"/>
          <w:szCs w:val="20"/>
        </w:rPr>
      </w:pPr>
      <w:r>
        <w:rPr>
          <w:spacing w:val="3"/>
          <w:sz w:val="20"/>
          <w:szCs w:val="20"/>
        </w:rPr>
        <w:t>计算机设备按照正常电压接通电源后执行自我检查例行程序，在固件控制的输</w:t>
      </w:r>
      <w:r>
        <w:rPr>
          <w:spacing w:val="2"/>
          <w:sz w:val="20"/>
          <w:szCs w:val="20"/>
        </w:rPr>
        <w:t>出设备上显</w:t>
      </w:r>
    </w:p>
    <w:p w14:paraId="78C73809">
      <w:pPr>
        <w:spacing w:line="219" w:lineRule="auto"/>
        <w:rPr>
          <w:sz w:val="20"/>
          <w:szCs w:val="20"/>
        </w:rPr>
        <w:sectPr>
          <w:pgSz w:w="10310" w:h="13400"/>
          <w:pgMar w:top="400" w:right="1019" w:bottom="400" w:left="889" w:header="0" w:footer="0" w:gutter="0"/>
          <w:cols w:space="720" w:num="1"/>
        </w:sectPr>
      </w:pPr>
    </w:p>
    <w:p w14:paraId="05A0A7C4">
      <w:pPr>
        <w:pStyle w:val="2"/>
        <w:jc w:val="right"/>
        <w:rPr>
          <w:rFonts w:ascii="Times New Roman" w:hAnsi="Times New Roman" w:eastAsia="Times New Roman" w:cs="Times New Roman"/>
          <w:sz w:val="19"/>
          <w:szCs w:val="19"/>
        </w:rPr>
      </w:pPr>
      <w:r>
        <w:rPr>
          <w:spacing w:val="2"/>
          <w:sz w:val="19"/>
          <w:szCs w:val="19"/>
        </w:rPr>
        <w:t>第23章</w:t>
      </w:r>
      <w:r>
        <w:rPr>
          <w:spacing w:val="35"/>
          <w:sz w:val="19"/>
          <w:szCs w:val="19"/>
        </w:rPr>
        <w:t xml:space="preserve"> </w:t>
      </w:r>
      <w:r>
        <w:rPr>
          <w:spacing w:val="2"/>
          <w:sz w:val="19"/>
          <w:szCs w:val="19"/>
        </w:rPr>
        <w:t>数据中心监理</w:t>
      </w:r>
      <w:r>
        <w:rPr>
          <w:spacing w:val="38"/>
          <w:sz w:val="19"/>
          <w:szCs w:val="19"/>
        </w:rPr>
        <w:t xml:space="preserve"> </w:t>
      </w:r>
      <w:r>
        <w:rPr>
          <w:position w:val="-11"/>
          <w:sz w:val="19"/>
          <w:szCs w:val="19"/>
        </w:rPr>
        <w:drawing>
          <wp:inline distT="0" distB="0" distL="0" distR="0">
            <wp:extent cx="304165" cy="234315"/>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337"/>
                    <a:stretch>
                      <a:fillRect/>
                    </a:stretch>
                  </pic:blipFill>
                  <pic:spPr>
                    <a:xfrm>
                      <a:off x="0" y="0"/>
                      <a:ext cx="304783" cy="234937"/>
                    </a:xfrm>
                    <a:prstGeom prst="rect">
                      <a:avLst/>
                    </a:prstGeom>
                  </pic:spPr>
                </pic:pic>
              </a:graphicData>
            </a:graphic>
          </wp:inline>
        </w:drawing>
      </w:r>
      <w:r>
        <w:rPr>
          <w:rFonts w:ascii="Times New Roman" w:hAnsi="Times New Roman" w:eastAsia="Times New Roman" w:cs="Times New Roman"/>
          <w:spacing w:val="2"/>
          <w:sz w:val="19"/>
          <w:szCs w:val="19"/>
        </w:rPr>
        <w:t>521</w:t>
      </w:r>
    </w:p>
    <w:p w14:paraId="739739B8">
      <w:pPr>
        <w:spacing w:line="264" w:lineRule="auto"/>
        <w:rPr>
          <w:rFonts w:ascii="Arial"/>
          <w:sz w:val="21"/>
        </w:rPr>
      </w:pPr>
    </w:p>
    <w:p w14:paraId="1177E99E">
      <w:pPr>
        <w:pStyle w:val="2"/>
        <w:spacing w:before="62" w:line="220" w:lineRule="auto"/>
        <w:rPr>
          <w:sz w:val="19"/>
          <w:szCs w:val="19"/>
        </w:rPr>
      </w:pPr>
      <w:r>
        <w:rPr>
          <w:spacing w:val="3"/>
          <w:sz w:val="19"/>
          <w:szCs w:val="19"/>
        </w:rPr>
        <w:t>示结果的过程。</w:t>
      </w:r>
    </w:p>
    <w:p w14:paraId="3DBF3D96">
      <w:pPr>
        <w:pStyle w:val="2"/>
        <w:spacing w:before="178" w:line="221" w:lineRule="auto"/>
        <w:ind w:left="402"/>
        <w:rPr>
          <w:rFonts w:ascii="黑体" w:hAnsi="黑体" w:eastAsia="黑体" w:cs="黑体"/>
          <w:sz w:val="19"/>
          <w:szCs w:val="19"/>
        </w:rPr>
      </w:pPr>
      <w:r>
        <w:rPr>
          <w:b/>
          <w:bCs/>
          <w:color w:val="005384"/>
          <w:spacing w:val="9"/>
          <w:sz w:val="19"/>
          <w:szCs w:val="19"/>
        </w:rPr>
        <w:t>5.</w:t>
      </w:r>
      <w:r>
        <w:rPr>
          <w:rFonts w:ascii="黑体" w:hAnsi="黑体" w:eastAsia="黑体" w:cs="黑体"/>
          <w:b/>
          <w:bCs/>
          <w:color w:val="005384"/>
          <w:spacing w:val="9"/>
          <w:sz w:val="19"/>
          <w:szCs w:val="19"/>
        </w:rPr>
        <w:t>信息资源规划</w:t>
      </w:r>
    </w:p>
    <w:p w14:paraId="017A8ABF">
      <w:pPr>
        <w:pStyle w:val="2"/>
        <w:spacing w:before="157" w:line="288" w:lineRule="auto"/>
        <w:ind w:right="297" w:firstLine="399"/>
        <w:rPr>
          <w:sz w:val="19"/>
          <w:szCs w:val="19"/>
        </w:rPr>
      </w:pPr>
      <w:r>
        <w:rPr>
          <w:spacing w:val="13"/>
          <w:sz w:val="19"/>
          <w:szCs w:val="19"/>
        </w:rPr>
        <w:t>对企事业单位或政府部门业务管理信息的采集、处理、传输和利</w:t>
      </w:r>
      <w:r>
        <w:rPr>
          <w:spacing w:val="12"/>
          <w:sz w:val="19"/>
          <w:szCs w:val="19"/>
        </w:rPr>
        <w:t>用进行全面规划，侧重数</w:t>
      </w:r>
      <w:r>
        <w:rPr>
          <w:sz w:val="19"/>
          <w:szCs w:val="19"/>
        </w:rPr>
        <w:t xml:space="preserve"> </w:t>
      </w:r>
      <w:r>
        <w:rPr>
          <w:spacing w:val="7"/>
          <w:sz w:val="19"/>
          <w:szCs w:val="19"/>
        </w:rPr>
        <w:t>据流分析，为实现信息资源整合与应用系统集成的总体规划。</w:t>
      </w:r>
    </w:p>
    <w:p w14:paraId="1F2105C1">
      <w:pPr>
        <w:pStyle w:val="2"/>
        <w:spacing w:before="132" w:line="221" w:lineRule="auto"/>
        <w:ind w:left="402"/>
        <w:rPr>
          <w:rFonts w:ascii="黑体" w:hAnsi="黑体" w:eastAsia="黑体" w:cs="黑体"/>
          <w:sz w:val="19"/>
          <w:szCs w:val="19"/>
        </w:rPr>
      </w:pPr>
      <w:r>
        <w:rPr>
          <w:b/>
          <w:bCs/>
          <w:color w:val="0089D9"/>
          <w:spacing w:val="8"/>
          <w:sz w:val="19"/>
          <w:szCs w:val="19"/>
        </w:rPr>
        <w:t>6.</w:t>
      </w:r>
      <w:r>
        <w:rPr>
          <w:rFonts w:ascii="黑体" w:hAnsi="黑体" w:eastAsia="黑体" w:cs="黑体"/>
          <w:b/>
          <w:bCs/>
          <w:color w:val="0089D9"/>
          <w:spacing w:val="8"/>
          <w:sz w:val="19"/>
          <w:szCs w:val="19"/>
        </w:rPr>
        <w:t>服务级别指标</w:t>
      </w:r>
    </w:p>
    <w:p w14:paraId="260C7C2B">
      <w:pPr>
        <w:pStyle w:val="2"/>
        <w:spacing w:before="145" w:line="218" w:lineRule="auto"/>
        <w:ind w:left="399"/>
        <w:rPr>
          <w:sz w:val="19"/>
          <w:szCs w:val="19"/>
        </w:rPr>
      </w:pPr>
      <w:r>
        <w:rPr>
          <w:spacing w:val="6"/>
          <w:sz w:val="19"/>
          <w:szCs w:val="19"/>
        </w:rPr>
        <w:t>用于评估、衡量供方信息技术服务能力的参数。</w:t>
      </w:r>
    </w:p>
    <w:p w14:paraId="556D560F">
      <w:pPr>
        <w:pStyle w:val="2"/>
        <w:spacing w:before="183" w:line="221" w:lineRule="auto"/>
        <w:ind w:left="402"/>
        <w:rPr>
          <w:sz w:val="19"/>
          <w:szCs w:val="19"/>
        </w:rPr>
      </w:pPr>
      <w:r>
        <w:rPr>
          <w:b/>
          <w:bCs/>
          <w:color w:val="006FBA"/>
          <w:spacing w:val="8"/>
          <w:sz w:val="19"/>
          <w:szCs w:val="19"/>
        </w:rPr>
        <w:t>7.</w:t>
      </w:r>
      <w:r>
        <w:rPr>
          <w:rFonts w:ascii="黑体" w:hAnsi="黑体" w:eastAsia="黑体" w:cs="黑体"/>
          <w:b/>
          <w:bCs/>
          <w:color w:val="006FBA"/>
          <w:spacing w:val="8"/>
          <w:sz w:val="19"/>
          <w:szCs w:val="19"/>
        </w:rPr>
        <w:t>服务级别协议</w:t>
      </w:r>
      <w:r>
        <w:rPr>
          <w:b/>
          <w:bCs/>
          <w:color w:val="006FBA"/>
          <w:spacing w:val="8"/>
          <w:sz w:val="19"/>
          <w:szCs w:val="19"/>
        </w:rPr>
        <w:t>(</w:t>
      </w:r>
      <w:r>
        <w:rPr>
          <w:b/>
          <w:bCs/>
          <w:color w:val="006FBA"/>
          <w:sz w:val="19"/>
          <w:szCs w:val="19"/>
        </w:rPr>
        <w:t>SLA</w:t>
      </w:r>
      <w:r>
        <w:rPr>
          <w:b/>
          <w:bCs/>
          <w:color w:val="006FBA"/>
          <w:spacing w:val="8"/>
          <w:sz w:val="19"/>
          <w:szCs w:val="19"/>
        </w:rPr>
        <w:t>)</w:t>
      </w:r>
    </w:p>
    <w:p w14:paraId="4DC5D508">
      <w:pPr>
        <w:pStyle w:val="2"/>
        <w:spacing w:before="146" w:line="219" w:lineRule="auto"/>
        <w:ind w:left="399"/>
        <w:rPr>
          <w:sz w:val="19"/>
          <w:szCs w:val="19"/>
        </w:rPr>
      </w:pPr>
      <w:r>
        <w:rPr>
          <w:spacing w:val="8"/>
          <w:sz w:val="19"/>
          <w:szCs w:val="19"/>
        </w:rPr>
        <w:t>信息技术服务供方与需方之间签署的，描述服</w:t>
      </w:r>
      <w:r>
        <w:rPr>
          <w:spacing w:val="7"/>
          <w:sz w:val="19"/>
          <w:szCs w:val="19"/>
        </w:rPr>
        <w:t>务和约定服务级别的协议。</w:t>
      </w:r>
    </w:p>
    <w:p w14:paraId="17342D05">
      <w:pPr>
        <w:pStyle w:val="2"/>
        <w:spacing w:before="254" w:line="219" w:lineRule="auto"/>
        <w:ind w:left="2"/>
        <w:rPr>
          <w:sz w:val="25"/>
          <w:szCs w:val="25"/>
        </w:rPr>
      </w:pPr>
      <w:r>
        <w:rPr>
          <w:b/>
          <w:bCs/>
          <w:color w:val="0080E2"/>
          <w:spacing w:val="-18"/>
          <w:sz w:val="25"/>
          <w:szCs w:val="25"/>
        </w:rPr>
        <w:t>23.1.2</w:t>
      </w:r>
      <w:r>
        <w:rPr>
          <w:color w:val="0080E2"/>
          <w:spacing w:val="106"/>
          <w:sz w:val="25"/>
          <w:szCs w:val="25"/>
        </w:rPr>
        <w:t xml:space="preserve"> </w:t>
      </w:r>
      <w:r>
        <w:rPr>
          <w:b/>
          <w:bCs/>
          <w:color w:val="0080E2"/>
          <w:spacing w:val="-18"/>
          <w:sz w:val="25"/>
          <w:szCs w:val="25"/>
        </w:rPr>
        <w:t>数据中心工程主要建设任务</w:t>
      </w:r>
    </w:p>
    <w:p w14:paraId="2D57A3C9">
      <w:pPr>
        <w:pStyle w:val="2"/>
        <w:spacing w:before="270" w:line="220" w:lineRule="auto"/>
        <w:ind w:left="402"/>
        <w:rPr>
          <w:rFonts w:ascii="黑体" w:hAnsi="黑体" w:eastAsia="黑体" w:cs="黑体"/>
          <w:sz w:val="19"/>
          <w:szCs w:val="19"/>
        </w:rPr>
      </w:pPr>
      <w:r>
        <w:rPr>
          <w:b/>
          <w:bCs/>
          <w:color w:val="0060A1"/>
          <w:spacing w:val="6"/>
          <w:sz w:val="19"/>
          <w:szCs w:val="19"/>
        </w:rPr>
        <w:t>1.</w:t>
      </w:r>
      <w:r>
        <w:rPr>
          <w:rFonts w:ascii="黑体" w:hAnsi="黑体" w:eastAsia="黑体" w:cs="黑体"/>
          <w:b/>
          <w:bCs/>
          <w:color w:val="0060A1"/>
          <w:spacing w:val="6"/>
          <w:sz w:val="19"/>
          <w:szCs w:val="19"/>
        </w:rPr>
        <w:t>电子设备机房</w:t>
      </w:r>
    </w:p>
    <w:p w14:paraId="19E3C9AB">
      <w:pPr>
        <w:pStyle w:val="2"/>
        <w:spacing w:before="147" w:line="219" w:lineRule="auto"/>
        <w:ind w:left="399"/>
        <w:rPr>
          <w:sz w:val="19"/>
          <w:szCs w:val="19"/>
        </w:rPr>
      </w:pPr>
      <w:r>
        <w:rPr>
          <w:spacing w:val="6"/>
          <w:sz w:val="19"/>
          <w:szCs w:val="19"/>
        </w:rPr>
        <w:t>数据中心电子设备机房的主要建设任务包括：</w:t>
      </w:r>
    </w:p>
    <w:p w14:paraId="32D4E9A6">
      <w:pPr>
        <w:pStyle w:val="2"/>
        <w:spacing w:before="94" w:line="261" w:lineRule="auto"/>
        <w:ind w:right="296" w:firstLine="399"/>
        <w:rPr>
          <w:sz w:val="19"/>
          <w:szCs w:val="19"/>
        </w:rPr>
      </w:pPr>
      <w:r>
        <w:rPr>
          <w:spacing w:val="15"/>
          <w:sz w:val="19"/>
          <w:szCs w:val="19"/>
        </w:rPr>
        <w:t>(1)供配电系统工程：为电子设备机房中所有有源设备和设施提供符合要</w:t>
      </w:r>
      <w:r>
        <w:rPr>
          <w:spacing w:val="14"/>
          <w:sz w:val="19"/>
          <w:szCs w:val="19"/>
        </w:rPr>
        <w:t>求的电源的系统</w:t>
      </w:r>
      <w:r>
        <w:rPr>
          <w:sz w:val="19"/>
          <w:szCs w:val="19"/>
        </w:rPr>
        <w:t xml:space="preserve"> </w:t>
      </w:r>
      <w:r>
        <w:rPr>
          <w:spacing w:val="5"/>
          <w:sz w:val="19"/>
          <w:szCs w:val="19"/>
        </w:rPr>
        <w:t>工程。包括但不限于以下内容：</w:t>
      </w:r>
    </w:p>
    <w:p w14:paraId="3C921A4D">
      <w:pPr>
        <w:pStyle w:val="2"/>
        <w:spacing w:before="85" w:line="220" w:lineRule="auto"/>
        <w:ind w:left="399"/>
        <w:rPr>
          <w:sz w:val="19"/>
          <w:szCs w:val="19"/>
        </w:rPr>
      </w:pPr>
      <w:r>
        <w:rPr>
          <w:spacing w:val="21"/>
          <w:sz w:val="19"/>
          <w:szCs w:val="19"/>
        </w:rPr>
        <w:t>●</w:t>
      </w:r>
      <w:r>
        <w:rPr>
          <w:spacing w:val="-45"/>
          <w:sz w:val="19"/>
          <w:szCs w:val="19"/>
        </w:rPr>
        <w:t xml:space="preserve"> </w:t>
      </w:r>
      <w:r>
        <w:rPr>
          <w:spacing w:val="21"/>
          <w:sz w:val="19"/>
          <w:szCs w:val="19"/>
        </w:rPr>
        <w:t>配电柜(箱)安装、测试；</w:t>
      </w:r>
    </w:p>
    <w:p w14:paraId="15FA770F">
      <w:pPr>
        <w:pStyle w:val="2"/>
        <w:spacing w:before="93" w:line="219" w:lineRule="auto"/>
        <w:ind w:left="399"/>
        <w:rPr>
          <w:sz w:val="19"/>
          <w:szCs w:val="19"/>
        </w:rPr>
      </w:pPr>
      <w:r>
        <w:rPr>
          <w:spacing w:val="5"/>
          <w:sz w:val="19"/>
          <w:szCs w:val="19"/>
        </w:rPr>
        <w:t>●</w:t>
      </w:r>
      <w:r>
        <w:rPr>
          <w:spacing w:val="-44"/>
          <w:sz w:val="19"/>
          <w:szCs w:val="19"/>
        </w:rPr>
        <w:t xml:space="preserve"> </w:t>
      </w:r>
      <w:r>
        <w:rPr>
          <w:spacing w:val="5"/>
          <w:sz w:val="19"/>
          <w:szCs w:val="19"/>
        </w:rPr>
        <w:t>不间断电源</w:t>
      </w:r>
      <w:r>
        <w:rPr>
          <w:spacing w:val="-33"/>
          <w:sz w:val="19"/>
          <w:szCs w:val="19"/>
        </w:rPr>
        <w:t xml:space="preserve"> </w:t>
      </w:r>
      <w:r>
        <w:rPr>
          <w:spacing w:val="5"/>
          <w:sz w:val="19"/>
          <w:szCs w:val="19"/>
        </w:rPr>
        <w:t>(</w:t>
      </w:r>
      <w:r>
        <w:rPr>
          <w:sz w:val="19"/>
          <w:szCs w:val="19"/>
        </w:rPr>
        <w:t>UPS</w:t>
      </w:r>
      <w:r>
        <w:rPr>
          <w:spacing w:val="5"/>
          <w:sz w:val="19"/>
          <w:szCs w:val="19"/>
        </w:rPr>
        <w:t>)</w:t>
      </w:r>
      <w:r>
        <w:rPr>
          <w:spacing w:val="27"/>
          <w:w w:val="101"/>
          <w:sz w:val="19"/>
          <w:szCs w:val="19"/>
        </w:rPr>
        <w:t xml:space="preserve">  </w:t>
      </w:r>
      <w:r>
        <w:rPr>
          <w:spacing w:val="5"/>
          <w:sz w:val="19"/>
          <w:szCs w:val="19"/>
        </w:rPr>
        <w:t>设备安装和测试；</w:t>
      </w:r>
    </w:p>
    <w:p w14:paraId="62EBCF6D">
      <w:pPr>
        <w:pStyle w:val="2"/>
        <w:spacing w:before="105" w:line="219" w:lineRule="auto"/>
        <w:ind w:left="399"/>
        <w:rPr>
          <w:sz w:val="19"/>
          <w:szCs w:val="19"/>
        </w:rPr>
      </w:pPr>
      <w:r>
        <w:rPr>
          <w:spacing w:val="11"/>
          <w:sz w:val="19"/>
          <w:szCs w:val="19"/>
        </w:rPr>
        <w:t>●蓄电池安装、测试；</w:t>
      </w:r>
    </w:p>
    <w:p w14:paraId="0E349016">
      <w:pPr>
        <w:pStyle w:val="2"/>
        <w:spacing w:before="95" w:line="219" w:lineRule="auto"/>
        <w:ind w:left="399"/>
        <w:rPr>
          <w:sz w:val="19"/>
          <w:szCs w:val="19"/>
        </w:rPr>
      </w:pPr>
      <w:r>
        <w:rPr>
          <w:spacing w:val="7"/>
          <w:sz w:val="19"/>
          <w:szCs w:val="19"/>
        </w:rPr>
        <w:t>●</w:t>
      </w:r>
      <w:r>
        <w:rPr>
          <w:spacing w:val="-44"/>
          <w:sz w:val="19"/>
          <w:szCs w:val="19"/>
        </w:rPr>
        <w:t xml:space="preserve"> </w:t>
      </w:r>
      <w:r>
        <w:rPr>
          <w:spacing w:val="7"/>
          <w:sz w:val="19"/>
          <w:szCs w:val="19"/>
        </w:rPr>
        <w:t>电缆桥架安装和桥架内电缆敷设；</w:t>
      </w:r>
    </w:p>
    <w:p w14:paraId="6DB81992">
      <w:pPr>
        <w:pStyle w:val="2"/>
        <w:spacing w:before="84" w:line="219" w:lineRule="auto"/>
        <w:ind w:left="399"/>
        <w:rPr>
          <w:sz w:val="19"/>
          <w:szCs w:val="19"/>
        </w:rPr>
      </w:pPr>
      <w:r>
        <w:rPr>
          <w:spacing w:val="6"/>
          <w:sz w:val="19"/>
          <w:szCs w:val="19"/>
        </w:rPr>
        <w:t>●</w:t>
      </w:r>
      <w:r>
        <w:rPr>
          <w:spacing w:val="-39"/>
          <w:sz w:val="19"/>
          <w:szCs w:val="19"/>
        </w:rPr>
        <w:t xml:space="preserve"> </w:t>
      </w:r>
      <w:r>
        <w:rPr>
          <w:spacing w:val="6"/>
          <w:sz w:val="19"/>
          <w:szCs w:val="19"/>
        </w:rPr>
        <w:t>电线电缆穿管和线槽敷线；</w:t>
      </w:r>
    </w:p>
    <w:p w14:paraId="54F08F4E">
      <w:pPr>
        <w:pStyle w:val="2"/>
        <w:spacing w:before="105" w:line="219" w:lineRule="auto"/>
        <w:ind w:left="399"/>
        <w:rPr>
          <w:sz w:val="19"/>
          <w:szCs w:val="19"/>
        </w:rPr>
      </w:pPr>
      <w:r>
        <w:rPr>
          <w:spacing w:val="7"/>
          <w:sz w:val="19"/>
          <w:szCs w:val="19"/>
        </w:rPr>
        <w:t>●</w:t>
      </w:r>
      <w:r>
        <w:rPr>
          <w:spacing w:val="-47"/>
          <w:sz w:val="19"/>
          <w:szCs w:val="19"/>
        </w:rPr>
        <w:t xml:space="preserve"> </w:t>
      </w:r>
      <w:r>
        <w:rPr>
          <w:spacing w:val="7"/>
          <w:sz w:val="19"/>
          <w:szCs w:val="19"/>
        </w:rPr>
        <w:t>电缆头制作、接线和绝缘测试；</w:t>
      </w:r>
    </w:p>
    <w:p w14:paraId="33407C6E">
      <w:pPr>
        <w:pStyle w:val="2"/>
        <w:spacing w:before="95" w:line="219" w:lineRule="auto"/>
        <w:ind w:left="399"/>
        <w:rPr>
          <w:sz w:val="19"/>
          <w:szCs w:val="19"/>
        </w:rPr>
      </w:pPr>
      <w:r>
        <w:rPr>
          <w:spacing w:val="10"/>
          <w:sz w:val="19"/>
          <w:szCs w:val="19"/>
        </w:rPr>
        <w:t>●照明、开关、插座安装和检查；</w:t>
      </w:r>
    </w:p>
    <w:p w14:paraId="5FED1ABA">
      <w:pPr>
        <w:pStyle w:val="2"/>
        <w:spacing w:before="85" w:line="220" w:lineRule="auto"/>
        <w:ind w:left="399"/>
        <w:rPr>
          <w:sz w:val="19"/>
          <w:szCs w:val="19"/>
        </w:rPr>
      </w:pPr>
      <w:r>
        <w:rPr>
          <w:spacing w:val="14"/>
          <w:sz w:val="19"/>
          <w:szCs w:val="19"/>
        </w:rPr>
        <w:t>●防雷、接地装置安装。</w:t>
      </w:r>
    </w:p>
    <w:p w14:paraId="57E58C5A">
      <w:pPr>
        <w:pStyle w:val="2"/>
        <w:spacing w:before="93" w:line="265" w:lineRule="auto"/>
        <w:ind w:right="296" w:firstLine="399"/>
        <w:rPr>
          <w:sz w:val="19"/>
          <w:szCs w:val="19"/>
        </w:rPr>
      </w:pPr>
      <w:r>
        <w:rPr>
          <w:spacing w:val="15"/>
          <w:sz w:val="19"/>
          <w:szCs w:val="19"/>
        </w:rPr>
        <w:t>(2)空调系统工程：为满足电子设备机房内所有电子设备对运行环境的温</w:t>
      </w:r>
      <w:r>
        <w:rPr>
          <w:spacing w:val="14"/>
          <w:sz w:val="19"/>
          <w:szCs w:val="19"/>
        </w:rPr>
        <w:t>度、湿度要求而</w:t>
      </w:r>
      <w:r>
        <w:rPr>
          <w:sz w:val="19"/>
          <w:szCs w:val="19"/>
        </w:rPr>
        <w:t xml:space="preserve"> </w:t>
      </w:r>
      <w:r>
        <w:rPr>
          <w:spacing w:val="6"/>
          <w:sz w:val="19"/>
          <w:szCs w:val="19"/>
        </w:rPr>
        <w:t>进行的系统工程。包括但不限于以下内容：</w:t>
      </w:r>
    </w:p>
    <w:p w14:paraId="74B07A02">
      <w:pPr>
        <w:pStyle w:val="2"/>
        <w:spacing w:before="73" w:line="219" w:lineRule="auto"/>
        <w:ind w:left="399"/>
        <w:rPr>
          <w:sz w:val="19"/>
          <w:szCs w:val="19"/>
        </w:rPr>
      </w:pPr>
      <w:r>
        <w:rPr>
          <w:spacing w:val="11"/>
          <w:sz w:val="19"/>
          <w:szCs w:val="19"/>
        </w:rPr>
        <w:t>●空调机组设备安装；</w:t>
      </w:r>
    </w:p>
    <w:p w14:paraId="1500D811">
      <w:pPr>
        <w:pStyle w:val="2"/>
        <w:spacing w:before="96" w:line="219" w:lineRule="auto"/>
        <w:ind w:left="399"/>
        <w:rPr>
          <w:sz w:val="19"/>
          <w:szCs w:val="19"/>
        </w:rPr>
      </w:pPr>
      <w:r>
        <w:rPr>
          <w:spacing w:val="6"/>
          <w:sz w:val="19"/>
          <w:szCs w:val="19"/>
        </w:rPr>
        <w:t>●</w:t>
      </w:r>
      <w:r>
        <w:rPr>
          <w:spacing w:val="-58"/>
          <w:sz w:val="19"/>
          <w:szCs w:val="19"/>
        </w:rPr>
        <w:t xml:space="preserve"> </w:t>
      </w:r>
      <w:r>
        <w:rPr>
          <w:spacing w:val="6"/>
          <w:sz w:val="19"/>
          <w:szCs w:val="19"/>
        </w:rPr>
        <w:t>风管制作；</w:t>
      </w:r>
    </w:p>
    <w:p w14:paraId="274624FE">
      <w:pPr>
        <w:pStyle w:val="2"/>
        <w:spacing w:before="95" w:line="219" w:lineRule="auto"/>
        <w:ind w:left="399"/>
        <w:rPr>
          <w:sz w:val="19"/>
          <w:szCs w:val="19"/>
        </w:rPr>
      </w:pPr>
      <w:r>
        <w:rPr>
          <w:spacing w:val="11"/>
          <w:sz w:val="19"/>
          <w:szCs w:val="19"/>
        </w:rPr>
        <w:t>●风管及部件安装；</w:t>
      </w:r>
    </w:p>
    <w:p w14:paraId="75DEAE39">
      <w:pPr>
        <w:pStyle w:val="2"/>
        <w:spacing w:before="84" w:line="219" w:lineRule="auto"/>
        <w:ind w:left="399"/>
        <w:rPr>
          <w:sz w:val="19"/>
          <w:szCs w:val="19"/>
        </w:rPr>
      </w:pPr>
      <w:r>
        <w:rPr>
          <w:spacing w:val="8"/>
          <w:sz w:val="19"/>
          <w:szCs w:val="19"/>
        </w:rPr>
        <w:t>●</w:t>
      </w:r>
      <w:r>
        <w:rPr>
          <w:spacing w:val="-49"/>
          <w:sz w:val="19"/>
          <w:szCs w:val="19"/>
        </w:rPr>
        <w:t xml:space="preserve"> </w:t>
      </w:r>
      <w:r>
        <w:rPr>
          <w:spacing w:val="8"/>
          <w:sz w:val="19"/>
          <w:szCs w:val="19"/>
        </w:rPr>
        <w:t>管道安装；</w:t>
      </w:r>
    </w:p>
    <w:p w14:paraId="05E7DFF1">
      <w:pPr>
        <w:pStyle w:val="2"/>
        <w:spacing w:before="95" w:line="219" w:lineRule="auto"/>
        <w:ind w:left="399"/>
        <w:rPr>
          <w:sz w:val="19"/>
          <w:szCs w:val="19"/>
        </w:rPr>
      </w:pPr>
      <w:r>
        <w:rPr>
          <w:spacing w:val="11"/>
          <w:sz w:val="19"/>
          <w:szCs w:val="19"/>
        </w:rPr>
        <w:t>●风管、管道保温；</w:t>
      </w:r>
    </w:p>
    <w:p w14:paraId="55779ADB">
      <w:pPr>
        <w:pStyle w:val="2"/>
        <w:spacing w:before="95" w:line="220" w:lineRule="auto"/>
        <w:ind w:left="399"/>
        <w:rPr>
          <w:sz w:val="19"/>
          <w:szCs w:val="19"/>
        </w:rPr>
      </w:pPr>
      <w:r>
        <w:rPr>
          <w:spacing w:val="11"/>
          <w:sz w:val="19"/>
          <w:szCs w:val="19"/>
        </w:rPr>
        <w:t>●空调系统调试及综合效能试验。</w:t>
      </w:r>
    </w:p>
    <w:p w14:paraId="2508231F">
      <w:pPr>
        <w:pStyle w:val="2"/>
        <w:spacing w:before="72" w:line="274" w:lineRule="auto"/>
        <w:ind w:right="295" w:firstLine="399"/>
        <w:rPr>
          <w:sz w:val="19"/>
          <w:szCs w:val="19"/>
        </w:rPr>
      </w:pPr>
      <w:r>
        <w:rPr>
          <w:spacing w:val="15"/>
          <w:sz w:val="19"/>
          <w:szCs w:val="19"/>
        </w:rPr>
        <w:t>(3)消防系统工程：为满足电子设备机房及设施防火监测、火灾自动</w:t>
      </w:r>
      <w:r>
        <w:rPr>
          <w:spacing w:val="14"/>
          <w:sz w:val="19"/>
          <w:szCs w:val="19"/>
        </w:rPr>
        <w:t>报警、自动气体灭火</w:t>
      </w:r>
      <w:r>
        <w:rPr>
          <w:sz w:val="19"/>
          <w:szCs w:val="19"/>
        </w:rPr>
        <w:t xml:space="preserve"> </w:t>
      </w:r>
      <w:r>
        <w:rPr>
          <w:spacing w:val="13"/>
          <w:sz w:val="19"/>
          <w:szCs w:val="19"/>
        </w:rPr>
        <w:t>启动、防烟和排烟、安全疏散与引导、消防联动控制、建筑</w:t>
      </w:r>
      <w:r>
        <w:rPr>
          <w:spacing w:val="12"/>
          <w:sz w:val="19"/>
          <w:szCs w:val="19"/>
        </w:rPr>
        <w:t>消防设施使用管理与维护等要求而</w:t>
      </w:r>
      <w:r>
        <w:rPr>
          <w:sz w:val="19"/>
          <w:szCs w:val="19"/>
        </w:rPr>
        <w:t xml:space="preserve"> </w:t>
      </w:r>
      <w:r>
        <w:rPr>
          <w:spacing w:val="6"/>
          <w:sz w:val="19"/>
          <w:szCs w:val="19"/>
        </w:rPr>
        <w:t>进行的系统工程。包括但不限于以下内容：</w:t>
      </w:r>
    </w:p>
    <w:p w14:paraId="365C7991">
      <w:pPr>
        <w:pStyle w:val="2"/>
        <w:spacing w:before="95" w:line="219" w:lineRule="auto"/>
        <w:ind w:left="399"/>
        <w:rPr>
          <w:sz w:val="19"/>
          <w:szCs w:val="19"/>
        </w:rPr>
      </w:pPr>
      <w:r>
        <w:rPr>
          <w:spacing w:val="8"/>
          <w:sz w:val="19"/>
          <w:szCs w:val="19"/>
        </w:rPr>
        <w:t>●</w:t>
      </w:r>
      <w:r>
        <w:rPr>
          <w:spacing w:val="-56"/>
          <w:sz w:val="19"/>
          <w:szCs w:val="19"/>
        </w:rPr>
        <w:t xml:space="preserve"> </w:t>
      </w:r>
      <w:r>
        <w:rPr>
          <w:spacing w:val="8"/>
          <w:sz w:val="19"/>
          <w:szCs w:val="19"/>
        </w:rPr>
        <w:t>火灾早期报警；</w:t>
      </w:r>
    </w:p>
    <w:p w14:paraId="24BA51FF">
      <w:pPr>
        <w:spacing w:line="219" w:lineRule="auto"/>
        <w:rPr>
          <w:sz w:val="19"/>
          <w:szCs w:val="19"/>
        </w:rPr>
        <w:sectPr>
          <w:pgSz w:w="10280" w:h="13280"/>
          <w:pgMar w:top="360" w:right="514" w:bottom="400" w:left="1159" w:header="0" w:footer="0" w:gutter="0"/>
          <w:cols w:space="720" w:num="1"/>
        </w:sectPr>
      </w:pPr>
    </w:p>
    <w:p w14:paraId="419C7515">
      <w:pPr>
        <w:pStyle w:val="2"/>
        <w:spacing w:before="38" w:line="219" w:lineRule="auto"/>
        <w:rPr>
          <w:sz w:val="20"/>
          <w:szCs w:val="20"/>
        </w:rPr>
      </w:pPr>
      <w:bookmarkStart w:id="741" w:name="bookmark726"/>
      <w:bookmarkEnd w:id="741"/>
      <w:r>
        <w:rPr>
          <w:rFonts w:ascii="Times New Roman" w:hAnsi="Times New Roman" w:eastAsia="Times New Roman" w:cs="Times New Roman"/>
          <w:spacing w:val="-1"/>
          <w:position w:val="-4"/>
          <w:sz w:val="20"/>
          <w:szCs w:val="20"/>
        </w:rPr>
        <w:t xml:space="preserve">522             </w:t>
      </w:r>
      <w:r>
        <w:rPr>
          <w:spacing w:val="-1"/>
          <w:sz w:val="20"/>
          <w:szCs w:val="20"/>
        </w:rPr>
        <w:t>信息系统监理师教程(第2版)</w:t>
      </w:r>
    </w:p>
    <w:p w14:paraId="50918DA5">
      <w:pPr>
        <w:spacing w:line="290" w:lineRule="auto"/>
        <w:rPr>
          <w:rFonts w:ascii="Arial"/>
          <w:sz w:val="21"/>
        </w:rPr>
      </w:pPr>
    </w:p>
    <w:p w14:paraId="29FADA21">
      <w:pPr>
        <w:pStyle w:val="2"/>
        <w:spacing w:before="65" w:line="219" w:lineRule="auto"/>
        <w:ind w:left="730"/>
        <w:rPr>
          <w:sz w:val="20"/>
          <w:szCs w:val="20"/>
        </w:rPr>
      </w:pPr>
      <w:r>
        <w:rPr>
          <w:spacing w:val="1"/>
          <w:sz w:val="20"/>
          <w:szCs w:val="20"/>
        </w:rPr>
        <w:t>●火灾自动报警、广播；</w:t>
      </w:r>
    </w:p>
    <w:p w14:paraId="07EEA555">
      <w:pPr>
        <w:pStyle w:val="2"/>
        <w:spacing w:before="93" w:line="220" w:lineRule="auto"/>
        <w:ind w:left="730"/>
        <w:rPr>
          <w:sz w:val="20"/>
          <w:szCs w:val="20"/>
        </w:rPr>
      </w:pPr>
      <w:r>
        <w:rPr>
          <w:spacing w:val="5"/>
          <w:sz w:val="20"/>
          <w:szCs w:val="20"/>
        </w:rPr>
        <w:t>●气体消防；</w:t>
      </w:r>
    </w:p>
    <w:p w14:paraId="7F24615B">
      <w:pPr>
        <w:pStyle w:val="2"/>
        <w:spacing w:before="99" w:line="219" w:lineRule="auto"/>
        <w:ind w:left="730"/>
        <w:rPr>
          <w:sz w:val="20"/>
          <w:szCs w:val="20"/>
        </w:rPr>
      </w:pPr>
      <w:r>
        <w:rPr>
          <w:spacing w:val="3"/>
          <w:sz w:val="20"/>
          <w:szCs w:val="20"/>
        </w:rPr>
        <w:t>●干粉灭火及消防联动；</w:t>
      </w:r>
    </w:p>
    <w:p w14:paraId="00F6603B">
      <w:pPr>
        <w:pStyle w:val="2"/>
        <w:spacing w:before="84" w:line="219" w:lineRule="auto"/>
        <w:ind w:left="730"/>
        <w:rPr>
          <w:sz w:val="20"/>
          <w:szCs w:val="20"/>
        </w:rPr>
      </w:pPr>
      <w:r>
        <w:rPr>
          <w:sz w:val="20"/>
          <w:szCs w:val="20"/>
        </w:rPr>
        <w:t>●必要的管理制度、管理岗位设定及上墙明示；</w:t>
      </w:r>
    </w:p>
    <w:p w14:paraId="6E86EFC3">
      <w:pPr>
        <w:pStyle w:val="2"/>
        <w:spacing w:before="83" w:line="219" w:lineRule="auto"/>
        <w:ind w:left="730"/>
        <w:rPr>
          <w:sz w:val="20"/>
          <w:szCs w:val="20"/>
        </w:rPr>
      </w:pPr>
      <w:r>
        <w:rPr>
          <w:spacing w:val="3"/>
          <w:sz w:val="20"/>
          <w:szCs w:val="20"/>
        </w:rPr>
        <w:t>●必要的疏散引导标识。</w:t>
      </w:r>
    </w:p>
    <w:p w14:paraId="3AA60D3B">
      <w:pPr>
        <w:pStyle w:val="2"/>
        <w:spacing w:before="91" w:line="219" w:lineRule="auto"/>
        <w:ind w:left="730"/>
        <w:rPr>
          <w:sz w:val="20"/>
          <w:szCs w:val="20"/>
        </w:rPr>
      </w:pPr>
      <w:r>
        <w:rPr>
          <w:spacing w:val="12"/>
          <w:sz w:val="20"/>
          <w:szCs w:val="20"/>
        </w:rPr>
        <w:t>(4)安全防范系统工程(具体参见第21章)。</w:t>
      </w:r>
    </w:p>
    <w:p w14:paraId="52AABA7E">
      <w:pPr>
        <w:pStyle w:val="2"/>
        <w:spacing w:before="83" w:line="219" w:lineRule="auto"/>
        <w:ind w:left="730"/>
        <w:rPr>
          <w:sz w:val="20"/>
          <w:szCs w:val="20"/>
        </w:rPr>
      </w:pPr>
      <w:r>
        <w:rPr>
          <w:spacing w:val="14"/>
          <w:sz w:val="20"/>
          <w:szCs w:val="20"/>
        </w:rPr>
        <w:t>(5)环境系统工程(具体参见第21章)。</w:t>
      </w:r>
    </w:p>
    <w:p w14:paraId="7062C18A">
      <w:pPr>
        <w:pStyle w:val="2"/>
        <w:spacing w:before="72" w:line="219" w:lineRule="auto"/>
        <w:ind w:left="730"/>
        <w:rPr>
          <w:sz w:val="20"/>
          <w:szCs w:val="20"/>
        </w:rPr>
      </w:pPr>
      <w:r>
        <w:rPr>
          <w:spacing w:val="11"/>
          <w:sz w:val="20"/>
          <w:szCs w:val="20"/>
        </w:rPr>
        <w:t>(6)动力环境监控系统工程(具体参见第21章)。</w:t>
      </w:r>
    </w:p>
    <w:p w14:paraId="7DB904C1">
      <w:pPr>
        <w:pStyle w:val="2"/>
        <w:spacing w:before="73" w:line="287" w:lineRule="auto"/>
        <w:ind w:left="330" w:right="51" w:firstLine="400"/>
        <w:jc w:val="both"/>
        <w:rPr>
          <w:sz w:val="20"/>
          <w:szCs w:val="20"/>
        </w:rPr>
      </w:pPr>
      <w:r>
        <w:rPr>
          <w:spacing w:val="3"/>
          <w:sz w:val="20"/>
          <w:szCs w:val="20"/>
        </w:rPr>
        <w:t>说明：根据数据中心的实际建设情况，可能还有其他必要的、可</w:t>
      </w:r>
      <w:r>
        <w:rPr>
          <w:spacing w:val="2"/>
          <w:sz w:val="20"/>
          <w:szCs w:val="20"/>
        </w:rPr>
        <w:t>以纳入数据中心计算机机</w:t>
      </w:r>
      <w:r>
        <w:rPr>
          <w:sz w:val="20"/>
          <w:szCs w:val="20"/>
        </w:rPr>
        <w:t xml:space="preserve"> </w:t>
      </w:r>
      <w:r>
        <w:rPr>
          <w:spacing w:val="3"/>
          <w:sz w:val="20"/>
          <w:szCs w:val="20"/>
        </w:rPr>
        <w:t>房建设范围内的分项工程，监理人员参阅本书前述有关章节开展监理工作，也可以参阅有关技</w:t>
      </w:r>
      <w:r>
        <w:rPr>
          <w:spacing w:val="5"/>
          <w:sz w:val="20"/>
          <w:szCs w:val="20"/>
        </w:rPr>
        <w:t xml:space="preserve"> </w:t>
      </w:r>
      <w:r>
        <w:rPr>
          <w:spacing w:val="-2"/>
          <w:sz w:val="20"/>
          <w:szCs w:val="20"/>
        </w:rPr>
        <w:t>术文献、标准规范等适当扩展必要的监理内容。</w:t>
      </w:r>
    </w:p>
    <w:p w14:paraId="369DB66C">
      <w:pPr>
        <w:pStyle w:val="2"/>
        <w:spacing w:before="104" w:line="221" w:lineRule="auto"/>
        <w:ind w:left="732"/>
        <w:rPr>
          <w:rFonts w:ascii="黑体" w:hAnsi="黑体" w:eastAsia="黑体" w:cs="黑体"/>
          <w:sz w:val="20"/>
          <w:szCs w:val="20"/>
        </w:rPr>
      </w:pPr>
      <w:r>
        <w:rPr>
          <w:b/>
          <w:bCs/>
          <w:color w:val="0073C0"/>
          <w:spacing w:val="-1"/>
          <w:sz w:val="20"/>
          <w:szCs w:val="20"/>
        </w:rPr>
        <w:t>2.</w:t>
      </w:r>
      <w:r>
        <w:rPr>
          <w:rFonts w:ascii="黑体" w:hAnsi="黑体" w:eastAsia="黑体" w:cs="黑体"/>
          <w:b/>
          <w:bCs/>
          <w:color w:val="0073C0"/>
          <w:spacing w:val="-1"/>
          <w:sz w:val="20"/>
          <w:szCs w:val="20"/>
        </w:rPr>
        <w:t>其他基础设施</w:t>
      </w:r>
    </w:p>
    <w:p w14:paraId="20678CDD">
      <w:pPr>
        <w:pStyle w:val="2"/>
        <w:spacing w:before="134" w:line="291" w:lineRule="auto"/>
        <w:ind w:left="330" w:firstLine="400"/>
        <w:rPr>
          <w:sz w:val="20"/>
          <w:szCs w:val="20"/>
        </w:rPr>
      </w:pPr>
      <w:r>
        <w:rPr>
          <w:spacing w:val="5"/>
          <w:sz w:val="20"/>
          <w:szCs w:val="20"/>
        </w:rPr>
        <w:t>信息系统工程中涉及的通用布缆工程、计算机网络工</w:t>
      </w:r>
      <w:r>
        <w:rPr>
          <w:spacing w:val="4"/>
          <w:sz w:val="20"/>
          <w:szCs w:val="20"/>
        </w:rPr>
        <w:t>程和电子设备机房系统建设的工程，</w:t>
      </w:r>
      <w:r>
        <w:rPr>
          <w:sz w:val="20"/>
          <w:szCs w:val="20"/>
        </w:rPr>
        <w:t xml:space="preserve"> </w:t>
      </w:r>
      <w:r>
        <w:rPr>
          <w:spacing w:val="-2"/>
          <w:sz w:val="20"/>
          <w:szCs w:val="20"/>
        </w:rPr>
        <w:t>不包括上述电子设备机房已经阐述的建设内容。</w:t>
      </w:r>
    </w:p>
    <w:p w14:paraId="6AE36B9C">
      <w:pPr>
        <w:pStyle w:val="2"/>
        <w:spacing w:before="116" w:line="221" w:lineRule="auto"/>
        <w:ind w:left="732"/>
        <w:rPr>
          <w:rFonts w:ascii="黑体" w:hAnsi="黑体" w:eastAsia="黑体" w:cs="黑体"/>
          <w:sz w:val="20"/>
          <w:szCs w:val="20"/>
        </w:rPr>
      </w:pPr>
      <w:r>
        <w:rPr>
          <w:b/>
          <w:bCs/>
          <w:color w:val="006BC9"/>
          <w:sz w:val="20"/>
          <w:szCs w:val="20"/>
        </w:rPr>
        <w:t>3.</w:t>
      </w:r>
      <w:r>
        <w:rPr>
          <w:rFonts w:ascii="黑体" w:hAnsi="黑体" w:eastAsia="黑体" w:cs="黑体"/>
          <w:b/>
          <w:bCs/>
          <w:color w:val="006BC9"/>
          <w:sz w:val="20"/>
          <w:szCs w:val="20"/>
        </w:rPr>
        <w:t>信息系统软硬件</w:t>
      </w:r>
    </w:p>
    <w:p w14:paraId="1634D114">
      <w:pPr>
        <w:pStyle w:val="2"/>
        <w:spacing w:before="134" w:line="264" w:lineRule="auto"/>
        <w:ind w:left="330" w:right="53" w:firstLine="400"/>
        <w:rPr>
          <w:sz w:val="20"/>
          <w:szCs w:val="20"/>
        </w:rPr>
      </w:pPr>
      <w:r>
        <w:rPr>
          <w:spacing w:val="3"/>
          <w:sz w:val="20"/>
          <w:szCs w:val="20"/>
        </w:rPr>
        <w:t>为了支撑数据中心正常运行的信息存储设备、信息交换设备、信息处理设备和信息安全保</w:t>
      </w:r>
      <w:r>
        <w:rPr>
          <w:spacing w:val="8"/>
          <w:sz w:val="20"/>
          <w:szCs w:val="20"/>
        </w:rPr>
        <w:t xml:space="preserve"> </w:t>
      </w:r>
      <w:r>
        <w:rPr>
          <w:spacing w:val="-3"/>
          <w:sz w:val="20"/>
          <w:szCs w:val="20"/>
        </w:rPr>
        <w:t>障设备，以及必要的支持服务设备等。</w:t>
      </w:r>
    </w:p>
    <w:p w14:paraId="2353429B">
      <w:pPr>
        <w:pStyle w:val="2"/>
        <w:spacing w:before="125" w:line="221" w:lineRule="auto"/>
        <w:ind w:left="732"/>
        <w:rPr>
          <w:rFonts w:ascii="黑体" w:hAnsi="黑体" w:eastAsia="黑体" w:cs="黑体"/>
          <w:sz w:val="20"/>
          <w:szCs w:val="20"/>
        </w:rPr>
      </w:pPr>
      <w:r>
        <w:rPr>
          <w:b/>
          <w:bCs/>
          <w:color w:val="0068D1"/>
          <w:spacing w:val="15"/>
          <w:sz w:val="20"/>
          <w:szCs w:val="20"/>
        </w:rPr>
        <w:t>4.</w:t>
      </w:r>
      <w:r>
        <w:rPr>
          <w:rFonts w:ascii="黑体" w:hAnsi="黑体" w:eastAsia="黑体" w:cs="黑体"/>
          <w:b/>
          <w:bCs/>
          <w:color w:val="0068D1"/>
          <w:spacing w:val="15"/>
          <w:sz w:val="20"/>
          <w:szCs w:val="20"/>
        </w:rPr>
        <w:t>信息资源(数据)规划</w:t>
      </w:r>
    </w:p>
    <w:p w14:paraId="38B1062E">
      <w:pPr>
        <w:pStyle w:val="2"/>
        <w:spacing w:before="165" w:line="264" w:lineRule="auto"/>
        <w:ind w:left="330" w:right="51" w:firstLine="400"/>
        <w:rPr>
          <w:sz w:val="20"/>
          <w:szCs w:val="20"/>
        </w:rPr>
      </w:pPr>
      <w:r>
        <w:rPr>
          <w:spacing w:val="3"/>
          <w:sz w:val="20"/>
          <w:szCs w:val="20"/>
        </w:rPr>
        <w:t>信息资源规划需要对数据中心所要收纳、管理和提供服务的信息资源进行全面的规划，并</w:t>
      </w:r>
      <w:r>
        <w:rPr>
          <w:spacing w:val="10"/>
          <w:sz w:val="20"/>
          <w:szCs w:val="20"/>
        </w:rPr>
        <w:t xml:space="preserve"> </w:t>
      </w:r>
      <w:r>
        <w:rPr>
          <w:spacing w:val="-1"/>
          <w:sz w:val="20"/>
          <w:szCs w:val="20"/>
        </w:rPr>
        <w:t>将信息资源的集成、共享发挥到最符合业务</w:t>
      </w:r>
      <w:r>
        <w:rPr>
          <w:spacing w:val="-2"/>
          <w:sz w:val="20"/>
          <w:szCs w:val="20"/>
        </w:rPr>
        <w:t>协同的理想状态。</w:t>
      </w:r>
    </w:p>
    <w:p w14:paraId="2F17BE0C">
      <w:pPr>
        <w:pStyle w:val="2"/>
        <w:spacing w:before="58" w:line="268" w:lineRule="auto"/>
        <w:ind w:left="330" w:right="51" w:firstLine="400"/>
        <w:rPr>
          <w:sz w:val="20"/>
          <w:szCs w:val="20"/>
        </w:rPr>
      </w:pPr>
      <w:r>
        <w:rPr>
          <w:spacing w:val="3"/>
          <w:sz w:val="20"/>
          <w:szCs w:val="20"/>
        </w:rPr>
        <w:t>信息资源规划的重点是分析数据流、建立数据模型，形成数据信息资源应用与管理标准体</w:t>
      </w:r>
      <w:r>
        <w:rPr>
          <w:spacing w:val="10"/>
          <w:sz w:val="20"/>
          <w:szCs w:val="20"/>
        </w:rPr>
        <w:t xml:space="preserve"> </w:t>
      </w:r>
      <w:r>
        <w:rPr>
          <w:spacing w:val="3"/>
          <w:sz w:val="20"/>
          <w:szCs w:val="20"/>
        </w:rPr>
        <w:t>系，整合所有业务信息数据资源，提出数据集成、信息共享和应用协同的方法，实现信息资源</w:t>
      </w:r>
      <w:r>
        <w:rPr>
          <w:spacing w:val="5"/>
          <w:sz w:val="20"/>
          <w:szCs w:val="20"/>
        </w:rPr>
        <w:t xml:space="preserve"> </w:t>
      </w:r>
      <w:r>
        <w:rPr>
          <w:spacing w:val="-3"/>
          <w:sz w:val="20"/>
          <w:szCs w:val="20"/>
        </w:rPr>
        <w:t>从效率到效能、从分散到集约、从封闭到开放的转变。</w:t>
      </w:r>
    </w:p>
    <w:p w14:paraId="55D341CE">
      <w:pPr>
        <w:spacing w:before="127" w:line="225" w:lineRule="auto"/>
        <w:ind w:left="730"/>
        <w:rPr>
          <w:rFonts w:ascii="楷体" w:hAnsi="楷体" w:eastAsia="楷体" w:cs="楷体"/>
          <w:sz w:val="20"/>
          <w:szCs w:val="20"/>
        </w:rPr>
      </w:pPr>
      <w:r>
        <w:rPr>
          <w:rFonts w:ascii="楷体" w:hAnsi="楷体" w:eastAsia="楷体" w:cs="楷体"/>
          <w:spacing w:val="6"/>
          <w:sz w:val="20"/>
          <w:szCs w:val="20"/>
        </w:rPr>
        <w:t>1)信息资源规划的基本思路</w:t>
      </w:r>
    </w:p>
    <w:p w14:paraId="7C7C647A">
      <w:pPr>
        <w:pStyle w:val="2"/>
        <w:spacing w:before="69" w:line="277" w:lineRule="auto"/>
        <w:ind w:left="330" w:right="51" w:firstLine="400"/>
        <w:rPr>
          <w:sz w:val="20"/>
          <w:szCs w:val="20"/>
        </w:rPr>
      </w:pPr>
      <w:r>
        <w:rPr>
          <w:spacing w:val="3"/>
          <w:sz w:val="20"/>
          <w:szCs w:val="20"/>
        </w:rPr>
        <w:t>应广泛重视信息资源系统应用过程中各类用户和信息系统设计人员、信息资源设计人员等</w:t>
      </w:r>
      <w:r>
        <w:rPr>
          <w:spacing w:val="10"/>
          <w:sz w:val="20"/>
          <w:szCs w:val="20"/>
        </w:rPr>
        <w:t xml:space="preserve"> </w:t>
      </w:r>
      <w:r>
        <w:rPr>
          <w:spacing w:val="3"/>
          <w:sz w:val="20"/>
          <w:szCs w:val="20"/>
        </w:rPr>
        <w:t>开发人员的协同参与，对系统的所有应用进行全面的梳理与优化，运用信息系统工程的方法建</w:t>
      </w:r>
      <w:r>
        <w:rPr>
          <w:spacing w:val="5"/>
          <w:sz w:val="20"/>
          <w:szCs w:val="20"/>
        </w:rPr>
        <w:t xml:space="preserve"> </w:t>
      </w:r>
      <w:r>
        <w:rPr>
          <w:spacing w:val="-4"/>
          <w:sz w:val="20"/>
          <w:szCs w:val="20"/>
        </w:rPr>
        <w:t>立数据应用模型。包括以下内容：</w:t>
      </w:r>
    </w:p>
    <w:p w14:paraId="2C1EFB97">
      <w:pPr>
        <w:pStyle w:val="2"/>
        <w:spacing w:before="38" w:line="248" w:lineRule="auto"/>
        <w:ind w:left="330" w:right="52" w:firstLine="400"/>
        <w:rPr>
          <w:sz w:val="20"/>
          <w:szCs w:val="20"/>
        </w:rPr>
      </w:pPr>
      <w:r>
        <w:rPr>
          <w:spacing w:val="6"/>
          <w:sz w:val="20"/>
          <w:szCs w:val="20"/>
        </w:rPr>
        <w:t>(1)通过对所涉及的业务所有数据应用与展现的规范化和</w:t>
      </w:r>
      <w:r>
        <w:rPr>
          <w:spacing w:val="5"/>
          <w:sz w:val="20"/>
          <w:szCs w:val="20"/>
        </w:rPr>
        <w:t>结构化分析，进行数据流的定性</w:t>
      </w:r>
      <w:r>
        <w:rPr>
          <w:sz w:val="20"/>
          <w:szCs w:val="20"/>
        </w:rPr>
        <w:t xml:space="preserve"> </w:t>
      </w:r>
      <w:r>
        <w:rPr>
          <w:spacing w:val="-2"/>
          <w:sz w:val="20"/>
          <w:szCs w:val="20"/>
        </w:rPr>
        <w:t>和定量分析，从中抽取信息资源规划的基本数据元素和基本表单；</w:t>
      </w:r>
    </w:p>
    <w:p w14:paraId="1867969B">
      <w:pPr>
        <w:pStyle w:val="2"/>
        <w:spacing w:before="84" w:line="248" w:lineRule="auto"/>
        <w:ind w:left="330" w:right="47" w:firstLine="400"/>
        <w:rPr>
          <w:sz w:val="20"/>
          <w:szCs w:val="20"/>
        </w:rPr>
      </w:pPr>
      <w:r>
        <w:rPr>
          <w:spacing w:val="6"/>
          <w:sz w:val="20"/>
          <w:szCs w:val="20"/>
        </w:rPr>
        <w:t>(2)通过分析信息资源应用全范围的数据库，以概念数据库及逻辑数据</w:t>
      </w:r>
      <w:r>
        <w:rPr>
          <w:spacing w:val="5"/>
          <w:sz w:val="20"/>
          <w:szCs w:val="20"/>
        </w:rPr>
        <w:t>库等方式构筑典型</w:t>
      </w:r>
      <w:r>
        <w:rPr>
          <w:sz w:val="20"/>
          <w:szCs w:val="20"/>
        </w:rPr>
        <w:t xml:space="preserve"> </w:t>
      </w:r>
      <w:r>
        <w:rPr>
          <w:spacing w:val="-1"/>
          <w:sz w:val="20"/>
          <w:szCs w:val="20"/>
        </w:rPr>
        <w:t>专业化数据模型，并通过体系结构模型指导物理实体库表的</w:t>
      </w:r>
      <w:r>
        <w:rPr>
          <w:spacing w:val="-2"/>
          <w:sz w:val="20"/>
          <w:szCs w:val="20"/>
        </w:rPr>
        <w:t>设计与建造。</w:t>
      </w:r>
    </w:p>
    <w:p w14:paraId="4D72A06B">
      <w:pPr>
        <w:spacing w:before="141" w:line="226" w:lineRule="auto"/>
        <w:ind w:left="730"/>
        <w:rPr>
          <w:rFonts w:ascii="楷体" w:hAnsi="楷体" w:eastAsia="楷体" w:cs="楷体"/>
          <w:sz w:val="20"/>
          <w:szCs w:val="20"/>
        </w:rPr>
      </w:pPr>
      <w:r>
        <w:rPr>
          <w:rFonts w:ascii="楷体" w:hAnsi="楷体" w:eastAsia="楷体" w:cs="楷体"/>
          <w:spacing w:val="9"/>
          <w:sz w:val="20"/>
          <w:szCs w:val="20"/>
        </w:rPr>
        <w:t>2)信息资源规划的步骤</w:t>
      </w:r>
    </w:p>
    <w:p w14:paraId="6A0BFC1C">
      <w:pPr>
        <w:pStyle w:val="2"/>
        <w:spacing w:before="67" w:line="219" w:lineRule="auto"/>
        <w:ind w:left="730"/>
        <w:rPr>
          <w:sz w:val="20"/>
          <w:szCs w:val="20"/>
        </w:rPr>
      </w:pPr>
      <w:r>
        <w:rPr>
          <w:spacing w:val="-4"/>
          <w:sz w:val="20"/>
          <w:szCs w:val="20"/>
        </w:rPr>
        <w:t>信息资源规划的步骤具体如下：</w:t>
      </w:r>
    </w:p>
    <w:p w14:paraId="04D05455">
      <w:pPr>
        <w:pStyle w:val="2"/>
        <w:spacing w:before="62" w:line="219" w:lineRule="auto"/>
        <w:ind w:left="730"/>
        <w:rPr>
          <w:sz w:val="20"/>
          <w:szCs w:val="20"/>
        </w:rPr>
      </w:pPr>
      <w:r>
        <w:rPr>
          <w:spacing w:val="3"/>
          <w:sz w:val="20"/>
          <w:szCs w:val="20"/>
        </w:rPr>
        <w:t>(1)应用数据资源规划。主要包括：</w:t>
      </w:r>
    </w:p>
    <w:p w14:paraId="699D9A31">
      <w:pPr>
        <w:spacing w:line="219" w:lineRule="auto"/>
        <w:rPr>
          <w:sz w:val="20"/>
          <w:szCs w:val="20"/>
        </w:rPr>
        <w:sectPr>
          <w:pgSz w:w="10300" w:h="13360"/>
          <w:pgMar w:top="400" w:right="1099" w:bottom="400" w:left="489" w:header="0" w:footer="0" w:gutter="0"/>
          <w:cols w:space="720" w:num="1"/>
        </w:sectPr>
      </w:pPr>
    </w:p>
    <w:p w14:paraId="7E6C5D88">
      <w:pPr>
        <w:pStyle w:val="2"/>
        <w:spacing w:before="106" w:line="219" w:lineRule="auto"/>
        <w:jc w:val="right"/>
        <w:rPr>
          <w:rFonts w:ascii="Times New Roman" w:hAnsi="Times New Roman" w:eastAsia="Times New Roman" w:cs="Times New Roman"/>
          <w:sz w:val="19"/>
          <w:szCs w:val="19"/>
        </w:rPr>
      </w:pPr>
      <w:r>
        <w:rPr>
          <w:spacing w:val="3"/>
          <w:sz w:val="19"/>
          <w:szCs w:val="19"/>
        </w:rPr>
        <w:t>第23章</w:t>
      </w:r>
      <w:r>
        <w:rPr>
          <w:spacing w:val="32"/>
          <w:sz w:val="19"/>
          <w:szCs w:val="19"/>
        </w:rPr>
        <w:t xml:space="preserve"> </w:t>
      </w:r>
      <w:r>
        <w:rPr>
          <w:spacing w:val="3"/>
          <w:sz w:val="19"/>
          <w:szCs w:val="19"/>
        </w:rPr>
        <w:t>数据中心监理</w:t>
      </w:r>
      <w:r>
        <w:rPr>
          <w:spacing w:val="7"/>
          <w:sz w:val="19"/>
          <w:szCs w:val="19"/>
        </w:rPr>
        <w:t xml:space="preserve">      </w:t>
      </w:r>
      <w:r>
        <w:rPr>
          <w:rFonts w:ascii="Times New Roman" w:hAnsi="Times New Roman" w:eastAsia="Times New Roman" w:cs="Times New Roman"/>
          <w:spacing w:val="3"/>
          <w:sz w:val="19"/>
          <w:szCs w:val="19"/>
        </w:rPr>
        <w:t>523</w:t>
      </w:r>
    </w:p>
    <w:p w14:paraId="013C5611">
      <w:pPr>
        <w:spacing w:line="294" w:lineRule="auto"/>
        <w:rPr>
          <w:rFonts w:ascii="Arial"/>
          <w:sz w:val="21"/>
        </w:rPr>
      </w:pPr>
    </w:p>
    <w:p w14:paraId="06CDD5A8">
      <w:pPr>
        <w:pStyle w:val="2"/>
        <w:spacing w:before="62" w:line="280" w:lineRule="auto"/>
        <w:ind w:left="708" w:right="331" w:hanging="300"/>
        <w:rPr>
          <w:sz w:val="19"/>
          <w:szCs w:val="19"/>
        </w:rPr>
      </w:pPr>
      <w:bookmarkStart w:id="742" w:name="bookmark727"/>
      <w:bookmarkEnd w:id="742"/>
      <w:r>
        <w:rPr>
          <w:rFonts w:ascii="楷体" w:hAnsi="楷体" w:eastAsia="楷体" w:cs="楷体"/>
          <w:spacing w:val="13"/>
          <w:sz w:val="19"/>
          <w:szCs w:val="19"/>
        </w:rPr>
        <w:t>●体现业务行业职能的整体需求，构建既符合信息化要求</w:t>
      </w:r>
      <w:r>
        <w:rPr>
          <w:rFonts w:ascii="楷体" w:hAnsi="楷体" w:eastAsia="楷体" w:cs="楷体"/>
          <w:spacing w:val="12"/>
          <w:sz w:val="19"/>
          <w:szCs w:val="19"/>
        </w:rPr>
        <w:t>又符合业务职能履职要求的数据</w:t>
      </w:r>
      <w:r>
        <w:rPr>
          <w:rFonts w:ascii="楷体" w:hAnsi="楷体" w:eastAsia="楷体" w:cs="楷体"/>
          <w:sz w:val="19"/>
          <w:szCs w:val="19"/>
        </w:rPr>
        <w:t xml:space="preserve"> </w:t>
      </w:r>
      <w:r>
        <w:rPr>
          <w:spacing w:val="-4"/>
          <w:sz w:val="19"/>
          <w:szCs w:val="19"/>
        </w:rPr>
        <w:t>系统；</w:t>
      </w:r>
    </w:p>
    <w:p w14:paraId="6B6DAADA">
      <w:pPr>
        <w:pStyle w:val="2"/>
        <w:spacing w:before="83" w:line="269" w:lineRule="auto"/>
        <w:ind w:left="708" w:right="329" w:hanging="300"/>
        <w:rPr>
          <w:sz w:val="19"/>
          <w:szCs w:val="19"/>
        </w:rPr>
      </w:pPr>
      <w:r>
        <w:rPr>
          <w:rFonts w:ascii="楷体" w:hAnsi="楷体" w:eastAsia="楷体" w:cs="楷体"/>
          <w:spacing w:val="13"/>
          <w:sz w:val="19"/>
          <w:szCs w:val="19"/>
        </w:rPr>
        <w:t>●满足服务对象的需求，从划分行政职能功能和应用服务的角</w:t>
      </w:r>
      <w:r>
        <w:rPr>
          <w:rFonts w:ascii="楷体" w:hAnsi="楷体" w:eastAsia="楷体" w:cs="楷体"/>
          <w:spacing w:val="12"/>
          <w:sz w:val="19"/>
          <w:szCs w:val="19"/>
        </w:rPr>
        <w:t>度提取和整合行政管理逻辑</w:t>
      </w:r>
      <w:r>
        <w:rPr>
          <w:rFonts w:ascii="楷体" w:hAnsi="楷体" w:eastAsia="楷体" w:cs="楷体"/>
          <w:sz w:val="19"/>
          <w:szCs w:val="19"/>
        </w:rPr>
        <w:t xml:space="preserve"> </w:t>
      </w:r>
      <w:r>
        <w:rPr>
          <w:spacing w:val="5"/>
          <w:sz w:val="19"/>
          <w:szCs w:val="19"/>
        </w:rPr>
        <w:t>相关的信息数据。</w:t>
      </w:r>
    </w:p>
    <w:p w14:paraId="0EB4F1AC">
      <w:pPr>
        <w:pStyle w:val="2"/>
        <w:spacing w:before="102" w:line="293" w:lineRule="auto"/>
        <w:ind w:left="8" w:right="324" w:firstLine="399"/>
        <w:jc w:val="both"/>
        <w:rPr>
          <w:sz w:val="19"/>
          <w:szCs w:val="19"/>
        </w:rPr>
      </w:pPr>
      <w:r>
        <w:rPr>
          <w:spacing w:val="13"/>
          <w:sz w:val="19"/>
          <w:szCs w:val="19"/>
        </w:rPr>
        <w:t>具体的规划方法，可从当前业务组织机构相应的职能部门抽调既熟悉业务</w:t>
      </w:r>
      <w:r>
        <w:rPr>
          <w:spacing w:val="12"/>
          <w:sz w:val="19"/>
          <w:szCs w:val="19"/>
        </w:rPr>
        <w:t>情况又了解和掌</w:t>
      </w:r>
      <w:r>
        <w:rPr>
          <w:sz w:val="19"/>
          <w:szCs w:val="19"/>
        </w:rPr>
        <w:t xml:space="preserve"> </w:t>
      </w:r>
      <w:r>
        <w:rPr>
          <w:spacing w:val="13"/>
          <w:sz w:val="19"/>
          <w:szCs w:val="19"/>
        </w:rPr>
        <w:t>握一定信息化技术的人员入手，共同分析确定应用类别，</w:t>
      </w:r>
      <w:r>
        <w:rPr>
          <w:spacing w:val="12"/>
          <w:sz w:val="19"/>
          <w:szCs w:val="19"/>
        </w:rPr>
        <w:t>按照各个业务功能的逻辑性形成资源</w:t>
      </w:r>
      <w:r>
        <w:rPr>
          <w:sz w:val="19"/>
          <w:szCs w:val="19"/>
        </w:rPr>
        <w:t xml:space="preserve"> </w:t>
      </w:r>
      <w:r>
        <w:rPr>
          <w:spacing w:val="6"/>
          <w:sz w:val="19"/>
          <w:szCs w:val="19"/>
        </w:rPr>
        <w:t>应用链，归整成不同信息资源应用域。</w:t>
      </w:r>
    </w:p>
    <w:p w14:paraId="6D4DCF27">
      <w:pPr>
        <w:pStyle w:val="2"/>
        <w:spacing w:before="47" w:line="219" w:lineRule="auto"/>
        <w:ind w:left="408"/>
        <w:rPr>
          <w:sz w:val="19"/>
          <w:szCs w:val="19"/>
        </w:rPr>
      </w:pPr>
      <w:r>
        <w:rPr>
          <w:spacing w:val="11"/>
          <w:sz w:val="19"/>
          <w:szCs w:val="19"/>
        </w:rPr>
        <w:t>(2)数据信息资源规划。主要包括：</w:t>
      </w:r>
    </w:p>
    <w:p w14:paraId="78709D6D">
      <w:pPr>
        <w:pStyle w:val="2"/>
        <w:spacing w:before="76" w:line="274" w:lineRule="auto"/>
        <w:ind w:left="708" w:right="326" w:hanging="300"/>
        <w:rPr>
          <w:sz w:val="19"/>
          <w:szCs w:val="19"/>
        </w:rPr>
      </w:pPr>
      <w:r>
        <w:rPr>
          <w:rFonts w:ascii="楷体" w:hAnsi="楷体" w:eastAsia="楷体" w:cs="楷体"/>
          <w:spacing w:val="13"/>
          <w:sz w:val="19"/>
          <w:szCs w:val="19"/>
        </w:rPr>
        <w:t>●做好数据信息资源共享的底层规划，例如网络、运行环境、软件平</w:t>
      </w:r>
      <w:r>
        <w:rPr>
          <w:rFonts w:ascii="楷体" w:hAnsi="楷体" w:eastAsia="楷体" w:cs="楷体"/>
          <w:spacing w:val="12"/>
          <w:sz w:val="19"/>
          <w:szCs w:val="19"/>
        </w:rPr>
        <w:t>台、物联网、分析工</w:t>
      </w:r>
      <w:r>
        <w:rPr>
          <w:rFonts w:ascii="楷体" w:hAnsi="楷体" w:eastAsia="楷体" w:cs="楷体"/>
          <w:sz w:val="19"/>
          <w:szCs w:val="19"/>
        </w:rPr>
        <w:t xml:space="preserve"> </w:t>
      </w:r>
      <w:r>
        <w:rPr>
          <w:spacing w:val="3"/>
          <w:sz w:val="19"/>
          <w:szCs w:val="19"/>
        </w:rPr>
        <w:t>具等方面的数据信息；</w:t>
      </w:r>
    </w:p>
    <w:p w14:paraId="62A86A23">
      <w:pPr>
        <w:pStyle w:val="2"/>
        <w:spacing w:before="87" w:line="289" w:lineRule="auto"/>
        <w:ind w:left="708" w:right="305" w:hanging="300"/>
        <w:rPr>
          <w:sz w:val="19"/>
          <w:szCs w:val="19"/>
        </w:rPr>
      </w:pPr>
      <w:r>
        <w:rPr>
          <w:rFonts w:ascii="楷体" w:hAnsi="楷体" w:eastAsia="楷体" w:cs="楷体"/>
          <w:spacing w:val="13"/>
          <w:sz w:val="19"/>
          <w:szCs w:val="19"/>
        </w:rPr>
        <w:t>●做好各类应用系统和功能模块产生、控制和使用的数据实体分析，</w:t>
      </w:r>
      <w:r>
        <w:rPr>
          <w:rFonts w:ascii="楷体" w:hAnsi="楷体" w:eastAsia="楷体" w:cs="楷体"/>
          <w:spacing w:val="12"/>
          <w:sz w:val="19"/>
          <w:szCs w:val="19"/>
        </w:rPr>
        <w:t>按照数据信息的相关</w:t>
      </w:r>
      <w:r>
        <w:rPr>
          <w:rFonts w:ascii="楷体" w:hAnsi="楷体" w:eastAsia="楷体" w:cs="楷体"/>
          <w:sz w:val="19"/>
          <w:szCs w:val="19"/>
        </w:rPr>
        <w:t xml:space="preserve"> </w:t>
      </w:r>
      <w:r>
        <w:rPr>
          <w:spacing w:val="11"/>
          <w:sz w:val="19"/>
          <w:szCs w:val="19"/>
        </w:rPr>
        <w:t>逻辑，对数据进行分析、筛选、整合、归并等技术论证，确定数据</w:t>
      </w:r>
      <w:r>
        <w:rPr>
          <w:spacing w:val="10"/>
          <w:sz w:val="19"/>
          <w:szCs w:val="19"/>
        </w:rPr>
        <w:t>库之间的关系以及主</w:t>
      </w:r>
      <w:r>
        <w:rPr>
          <w:sz w:val="19"/>
          <w:szCs w:val="19"/>
        </w:rPr>
        <w:t xml:space="preserve"> </w:t>
      </w:r>
      <w:r>
        <w:rPr>
          <w:spacing w:val="2"/>
          <w:sz w:val="19"/>
          <w:szCs w:val="19"/>
        </w:rPr>
        <w:t>要数据表等。</w:t>
      </w:r>
    </w:p>
    <w:p w14:paraId="4B535CFD">
      <w:pPr>
        <w:pStyle w:val="2"/>
        <w:spacing w:before="95" w:line="219" w:lineRule="auto"/>
        <w:ind w:left="408"/>
        <w:rPr>
          <w:sz w:val="19"/>
          <w:szCs w:val="19"/>
        </w:rPr>
      </w:pPr>
      <w:r>
        <w:rPr>
          <w:spacing w:val="11"/>
          <w:sz w:val="19"/>
          <w:szCs w:val="19"/>
        </w:rPr>
        <w:t>(3)保障数据资源规划。主要包括：</w:t>
      </w:r>
    </w:p>
    <w:p w14:paraId="7321AB65">
      <w:pPr>
        <w:pStyle w:val="2"/>
        <w:spacing w:before="100" w:line="267" w:lineRule="auto"/>
        <w:ind w:left="708" w:right="327" w:hanging="300"/>
        <w:rPr>
          <w:sz w:val="19"/>
          <w:szCs w:val="19"/>
        </w:rPr>
      </w:pPr>
      <w:r>
        <w:rPr>
          <w:rFonts w:ascii="楷体" w:hAnsi="楷体" w:eastAsia="楷体" w:cs="楷体"/>
          <w:spacing w:val="13"/>
          <w:sz w:val="19"/>
          <w:szCs w:val="19"/>
        </w:rPr>
        <w:t>●从物理层、网络层、系统层、应用层、管理层等层次的安全措</w:t>
      </w:r>
      <w:r>
        <w:rPr>
          <w:rFonts w:ascii="楷体" w:hAnsi="楷体" w:eastAsia="楷体" w:cs="楷体"/>
          <w:spacing w:val="12"/>
          <w:sz w:val="19"/>
          <w:szCs w:val="19"/>
        </w:rPr>
        <w:t>施及管理制度等方面进行</w:t>
      </w:r>
      <w:r>
        <w:rPr>
          <w:rFonts w:ascii="楷体" w:hAnsi="楷体" w:eastAsia="楷体" w:cs="楷体"/>
          <w:sz w:val="19"/>
          <w:szCs w:val="19"/>
        </w:rPr>
        <w:t xml:space="preserve"> </w:t>
      </w:r>
      <w:r>
        <w:rPr>
          <w:spacing w:val="8"/>
          <w:sz w:val="19"/>
          <w:szCs w:val="19"/>
        </w:rPr>
        <w:t>规划，满足各阶层业务用户对远程访问和可视展示的智能化展示、安全管理等要求；</w:t>
      </w:r>
    </w:p>
    <w:p w14:paraId="79A72E2B">
      <w:pPr>
        <w:pStyle w:val="2"/>
        <w:spacing w:before="87" w:line="277" w:lineRule="auto"/>
        <w:ind w:left="708" w:right="327" w:hanging="300"/>
        <w:rPr>
          <w:sz w:val="19"/>
          <w:szCs w:val="19"/>
        </w:rPr>
      </w:pPr>
      <w:r>
        <w:rPr>
          <w:rFonts w:ascii="楷体" w:hAnsi="楷体" w:eastAsia="楷体" w:cs="楷体"/>
          <w:spacing w:val="13"/>
          <w:sz w:val="19"/>
          <w:szCs w:val="19"/>
        </w:rPr>
        <w:t>●以应用架构为基础的标准化的评估体系，规划可以量化的考核指</w:t>
      </w:r>
      <w:r>
        <w:rPr>
          <w:rFonts w:ascii="楷体" w:hAnsi="楷体" w:eastAsia="楷体" w:cs="楷体"/>
          <w:spacing w:val="12"/>
          <w:sz w:val="19"/>
          <w:szCs w:val="19"/>
        </w:rPr>
        <w:t>标，同时提出绩效评估</w:t>
      </w:r>
      <w:r>
        <w:rPr>
          <w:rFonts w:ascii="楷体" w:hAnsi="楷体" w:eastAsia="楷体" w:cs="楷体"/>
          <w:sz w:val="19"/>
          <w:szCs w:val="19"/>
        </w:rPr>
        <w:t xml:space="preserve"> </w:t>
      </w:r>
      <w:r>
        <w:rPr>
          <w:spacing w:val="8"/>
          <w:sz w:val="19"/>
          <w:szCs w:val="19"/>
        </w:rPr>
        <w:t>方法，能根据不同的分类标准，进行内评估、外评估、事前评估和事后评估等；</w:t>
      </w:r>
    </w:p>
    <w:p w14:paraId="343EA420">
      <w:pPr>
        <w:pStyle w:val="2"/>
        <w:spacing w:before="73" w:line="268" w:lineRule="auto"/>
        <w:ind w:left="708" w:right="335" w:hanging="300"/>
        <w:rPr>
          <w:sz w:val="19"/>
          <w:szCs w:val="19"/>
        </w:rPr>
      </w:pPr>
      <w:r>
        <w:rPr>
          <w:rFonts w:ascii="楷体" w:hAnsi="楷体" w:eastAsia="楷体" w:cs="楷体"/>
          <w:spacing w:val="13"/>
          <w:sz w:val="19"/>
          <w:szCs w:val="19"/>
        </w:rPr>
        <w:t>●依照明确的政策法规、规范标准和组织机构等</w:t>
      </w:r>
      <w:r>
        <w:rPr>
          <w:rFonts w:ascii="楷体" w:hAnsi="楷体" w:eastAsia="楷体" w:cs="楷体"/>
          <w:spacing w:val="12"/>
          <w:sz w:val="19"/>
          <w:szCs w:val="19"/>
        </w:rPr>
        <w:t>方面的规划需求、规划范围和相关内容进</w:t>
      </w:r>
      <w:r>
        <w:rPr>
          <w:rFonts w:ascii="楷体" w:hAnsi="楷体" w:eastAsia="楷体" w:cs="楷体"/>
          <w:sz w:val="19"/>
          <w:szCs w:val="19"/>
        </w:rPr>
        <w:t xml:space="preserve"> </w:t>
      </w:r>
      <w:r>
        <w:rPr>
          <w:spacing w:val="3"/>
          <w:sz w:val="19"/>
          <w:szCs w:val="19"/>
        </w:rPr>
        <w:t>行规划。</w:t>
      </w:r>
    </w:p>
    <w:p w14:paraId="079E56EF">
      <w:pPr>
        <w:spacing w:before="85" w:line="283" w:lineRule="auto"/>
        <w:ind w:left="8" w:right="306" w:firstLine="304"/>
        <w:rPr>
          <w:rFonts w:ascii="楷体" w:hAnsi="楷体" w:eastAsia="楷体" w:cs="楷体"/>
          <w:sz w:val="19"/>
          <w:szCs w:val="19"/>
        </w:rPr>
      </w:pPr>
      <w:r>
        <w:rPr>
          <w:rFonts w:ascii="黑体" w:hAnsi="黑体" w:eastAsia="黑体" w:cs="黑体"/>
          <w:spacing w:val="16"/>
          <w:sz w:val="19"/>
          <w:szCs w:val="19"/>
        </w:rPr>
        <w:t>【案例1】</w:t>
      </w:r>
      <w:r>
        <w:rPr>
          <w:rFonts w:ascii="黑体" w:hAnsi="黑体" w:eastAsia="黑体" w:cs="黑体"/>
          <w:spacing w:val="-11"/>
          <w:sz w:val="19"/>
          <w:szCs w:val="19"/>
        </w:rPr>
        <w:t xml:space="preserve"> </w:t>
      </w:r>
      <w:r>
        <w:rPr>
          <w:rFonts w:ascii="楷体" w:hAnsi="楷体" w:eastAsia="楷体" w:cs="楷体"/>
          <w:spacing w:val="16"/>
          <w:sz w:val="19"/>
          <w:szCs w:val="19"/>
        </w:rPr>
        <w:t>某部委牵头组织，提出项目立项报告及可行性研究报告，经国家发改委等有关</w:t>
      </w:r>
      <w:r>
        <w:rPr>
          <w:rFonts w:ascii="楷体" w:hAnsi="楷体" w:eastAsia="楷体" w:cs="楷体"/>
          <w:sz w:val="19"/>
          <w:szCs w:val="19"/>
        </w:rPr>
        <w:t xml:space="preserve"> </w:t>
      </w:r>
      <w:r>
        <w:rPr>
          <w:rFonts w:ascii="楷体" w:hAnsi="楷体" w:eastAsia="楷体" w:cs="楷体"/>
          <w:spacing w:val="15"/>
          <w:sz w:val="19"/>
          <w:szCs w:val="19"/>
        </w:rPr>
        <w:t>部门审核、批复，决定建设“智慧政务工程”,该工程建设任务中的数据</w:t>
      </w:r>
      <w:r>
        <w:rPr>
          <w:rFonts w:ascii="楷体" w:hAnsi="楷体" w:eastAsia="楷体" w:cs="楷体"/>
          <w:spacing w:val="14"/>
          <w:sz w:val="19"/>
          <w:szCs w:val="19"/>
        </w:rPr>
        <w:t>中心是核心建设内容</w:t>
      </w:r>
    </w:p>
    <w:p w14:paraId="348C3DAF">
      <w:pPr>
        <w:spacing w:before="55" w:line="237" w:lineRule="auto"/>
        <w:rPr>
          <w:rFonts w:ascii="楷体" w:hAnsi="楷体" w:eastAsia="楷体" w:cs="楷体"/>
          <w:sz w:val="19"/>
          <w:szCs w:val="19"/>
        </w:rPr>
      </w:pPr>
      <w:r>
        <w:rPr>
          <w:rFonts w:ascii="楷体" w:hAnsi="楷体" w:eastAsia="楷体" w:cs="楷体"/>
          <w:i/>
          <w:iCs/>
          <w:spacing w:val="10"/>
          <w:sz w:val="19"/>
          <w:szCs w:val="19"/>
        </w:rPr>
        <w:t>之一。</w:t>
      </w:r>
    </w:p>
    <w:p w14:paraId="792BF3F7">
      <w:pPr>
        <w:spacing w:before="51" w:line="291" w:lineRule="auto"/>
        <w:ind w:left="8" w:right="316" w:firstLine="399"/>
        <w:jc w:val="both"/>
        <w:rPr>
          <w:rFonts w:ascii="楷体" w:hAnsi="楷体" w:eastAsia="楷体" w:cs="楷体"/>
          <w:sz w:val="19"/>
          <w:szCs w:val="19"/>
        </w:rPr>
      </w:pPr>
      <w:r>
        <w:rPr>
          <w:rFonts w:ascii="楷体" w:hAnsi="楷体" w:eastAsia="楷体" w:cs="楷体"/>
          <w:spacing w:val="13"/>
          <w:sz w:val="19"/>
          <w:szCs w:val="19"/>
        </w:rPr>
        <w:t>该案例较为典型地反映了信息资源规划如何响应业务实</w:t>
      </w:r>
      <w:r>
        <w:rPr>
          <w:rFonts w:ascii="楷体" w:hAnsi="楷体" w:eastAsia="楷体" w:cs="楷体"/>
          <w:spacing w:val="12"/>
          <w:sz w:val="19"/>
          <w:szCs w:val="19"/>
        </w:rPr>
        <w:t>际的需要，以及在数据中心工程建</w:t>
      </w:r>
      <w:r>
        <w:rPr>
          <w:rFonts w:ascii="楷体" w:hAnsi="楷体" w:eastAsia="楷体" w:cs="楷体"/>
          <w:sz w:val="19"/>
          <w:szCs w:val="19"/>
        </w:rPr>
        <w:t xml:space="preserve"> </w:t>
      </w:r>
      <w:r>
        <w:rPr>
          <w:rFonts w:ascii="楷体" w:hAnsi="楷体" w:eastAsia="楷体" w:cs="楷体"/>
          <w:spacing w:val="13"/>
          <w:sz w:val="19"/>
          <w:szCs w:val="19"/>
        </w:rPr>
        <w:t>设的立项、设计、实施与应用的过程中，必须做好信息资源规划的设计、审核、实</w:t>
      </w:r>
      <w:r>
        <w:rPr>
          <w:rFonts w:ascii="楷体" w:hAnsi="楷体" w:eastAsia="楷体" w:cs="楷体"/>
          <w:spacing w:val="12"/>
          <w:sz w:val="19"/>
          <w:szCs w:val="19"/>
        </w:rPr>
        <w:t>现及应用的</w:t>
      </w:r>
      <w:r>
        <w:rPr>
          <w:rFonts w:ascii="楷体" w:hAnsi="楷体" w:eastAsia="楷体" w:cs="楷体"/>
          <w:sz w:val="19"/>
          <w:szCs w:val="19"/>
        </w:rPr>
        <w:t xml:space="preserve"> </w:t>
      </w:r>
      <w:r>
        <w:rPr>
          <w:rFonts w:ascii="楷体" w:hAnsi="楷体" w:eastAsia="楷体" w:cs="楷体"/>
          <w:spacing w:val="4"/>
          <w:sz w:val="19"/>
          <w:szCs w:val="19"/>
        </w:rPr>
        <w:t>全过程典型作用。</w:t>
      </w:r>
    </w:p>
    <w:p w14:paraId="4701E7CA">
      <w:pPr>
        <w:spacing w:before="41" w:line="275" w:lineRule="auto"/>
        <w:ind w:left="408" w:right="3060"/>
        <w:rPr>
          <w:rFonts w:ascii="楷体" w:hAnsi="楷体" w:eastAsia="楷体" w:cs="楷体"/>
          <w:sz w:val="19"/>
          <w:szCs w:val="19"/>
        </w:rPr>
      </w:pPr>
      <w:r>
        <w:rPr>
          <w:rFonts w:ascii="楷体" w:hAnsi="楷体" w:eastAsia="楷体" w:cs="楷体"/>
          <w:spacing w:val="8"/>
          <w:sz w:val="19"/>
          <w:szCs w:val="19"/>
        </w:rPr>
        <w:t>该案例中，数据中心整体建设可概括为“124”,具体如下：</w:t>
      </w:r>
      <w:r>
        <w:rPr>
          <w:rFonts w:ascii="楷体" w:hAnsi="楷体" w:eastAsia="楷体" w:cs="楷体"/>
          <w:spacing w:val="10"/>
          <w:sz w:val="19"/>
          <w:szCs w:val="19"/>
        </w:rPr>
        <w:t xml:space="preserve"> </w:t>
      </w:r>
      <w:r>
        <w:rPr>
          <w:rFonts w:ascii="楷体" w:hAnsi="楷体" w:eastAsia="楷体" w:cs="楷体"/>
          <w:spacing w:val="15"/>
          <w:sz w:val="19"/>
          <w:szCs w:val="19"/>
        </w:rPr>
        <w:t>●"1",建立国家级的某智慧政务运行服务中心；</w:t>
      </w:r>
    </w:p>
    <w:p w14:paraId="4DB71684">
      <w:pPr>
        <w:spacing w:before="64" w:line="222" w:lineRule="auto"/>
        <w:ind w:left="408"/>
        <w:rPr>
          <w:rFonts w:ascii="楷体" w:hAnsi="楷体" w:eastAsia="楷体" w:cs="楷体"/>
          <w:sz w:val="19"/>
          <w:szCs w:val="19"/>
        </w:rPr>
      </w:pPr>
      <w:r>
        <w:rPr>
          <w:rFonts w:ascii="楷体" w:hAnsi="楷体" w:eastAsia="楷体" w:cs="楷体"/>
          <w:spacing w:val="5"/>
          <w:sz w:val="19"/>
          <w:szCs w:val="19"/>
        </w:rPr>
        <w:t>●</w:t>
      </w:r>
      <w:r>
        <w:rPr>
          <w:rFonts w:ascii="楷体" w:hAnsi="楷体" w:eastAsia="楷体" w:cs="楷体"/>
          <w:spacing w:val="-27"/>
          <w:sz w:val="19"/>
          <w:szCs w:val="19"/>
        </w:rPr>
        <w:t xml:space="preserve"> </w:t>
      </w:r>
      <w:r>
        <w:rPr>
          <w:rFonts w:ascii="楷体" w:hAnsi="楷体" w:eastAsia="楷体" w:cs="楷体"/>
          <w:spacing w:val="5"/>
          <w:sz w:val="19"/>
          <w:szCs w:val="19"/>
        </w:rPr>
        <w:t>“2”,建设统一的信息管理平台和国家级指挥调度平台；</w:t>
      </w:r>
    </w:p>
    <w:p w14:paraId="0010DCBC">
      <w:pPr>
        <w:spacing w:before="90" w:line="285" w:lineRule="auto"/>
        <w:ind w:left="408" w:right="470"/>
        <w:rPr>
          <w:rFonts w:ascii="楷体" w:hAnsi="楷体" w:eastAsia="楷体" w:cs="楷体"/>
          <w:sz w:val="19"/>
          <w:szCs w:val="19"/>
        </w:rPr>
      </w:pPr>
      <w:r>
        <w:rPr>
          <w:rFonts w:ascii="楷体" w:hAnsi="楷体" w:eastAsia="楷体" w:cs="楷体"/>
          <w:spacing w:val="9"/>
          <w:sz w:val="19"/>
          <w:szCs w:val="19"/>
        </w:rPr>
        <w:t>● “4”,建立4个数据中心的支撑体系，即数据采集、</w:t>
      </w:r>
      <w:r>
        <w:rPr>
          <w:rFonts w:ascii="楷体" w:hAnsi="楷体" w:eastAsia="楷体" w:cs="楷体"/>
          <w:spacing w:val="8"/>
          <w:sz w:val="19"/>
          <w:szCs w:val="19"/>
        </w:rPr>
        <w:t>网络传输、应用支撑和公共服务。</w:t>
      </w:r>
      <w:r>
        <w:rPr>
          <w:rFonts w:ascii="楷体" w:hAnsi="楷体" w:eastAsia="楷体" w:cs="楷体"/>
          <w:sz w:val="19"/>
          <w:szCs w:val="19"/>
        </w:rPr>
        <w:t xml:space="preserve"> </w:t>
      </w:r>
      <w:r>
        <w:rPr>
          <w:rFonts w:ascii="楷体" w:hAnsi="楷体" w:eastAsia="楷体" w:cs="楷体"/>
          <w:spacing w:val="9"/>
          <w:sz w:val="19"/>
          <w:szCs w:val="19"/>
        </w:rPr>
        <w:t>其中涉及数据中心的建设项目预期的建设成果又被定义为“</w:t>
      </w:r>
      <w:r>
        <w:rPr>
          <w:rFonts w:ascii="楷体" w:hAnsi="楷体" w:eastAsia="楷体" w:cs="楷体"/>
          <w:spacing w:val="8"/>
          <w:sz w:val="19"/>
          <w:szCs w:val="19"/>
        </w:rPr>
        <w:t>666”,具体如下：</w:t>
      </w:r>
    </w:p>
    <w:p w14:paraId="50DF1C8C">
      <w:pPr>
        <w:spacing w:before="38" w:line="224" w:lineRule="auto"/>
        <w:ind w:left="408"/>
        <w:rPr>
          <w:rFonts w:ascii="楷体" w:hAnsi="楷体" w:eastAsia="楷体" w:cs="楷体"/>
          <w:sz w:val="19"/>
          <w:szCs w:val="19"/>
        </w:rPr>
      </w:pPr>
      <w:r>
        <w:rPr>
          <w:rFonts w:ascii="楷体" w:hAnsi="楷体" w:eastAsia="楷体" w:cs="楷体"/>
          <w:spacing w:val="14"/>
          <w:sz w:val="19"/>
          <w:szCs w:val="19"/>
        </w:rPr>
        <w:t>(1)六个构建。包括：</w:t>
      </w:r>
    </w:p>
    <w:p w14:paraId="0CAB7A4E">
      <w:pPr>
        <w:spacing w:before="78" w:line="223" w:lineRule="auto"/>
        <w:ind w:left="408"/>
        <w:rPr>
          <w:rFonts w:ascii="楷体" w:hAnsi="楷体" w:eastAsia="楷体" w:cs="楷体"/>
          <w:sz w:val="19"/>
          <w:szCs w:val="19"/>
        </w:rPr>
      </w:pPr>
      <w:r>
        <w:rPr>
          <w:rFonts w:ascii="楷体" w:hAnsi="楷体" w:eastAsia="楷体" w:cs="楷体"/>
          <w:spacing w:val="12"/>
          <w:sz w:val="19"/>
          <w:szCs w:val="19"/>
        </w:rPr>
        <w:t>●构建全面准确的业务监测体系；</w:t>
      </w:r>
    </w:p>
    <w:p w14:paraId="4EBF938B">
      <w:pPr>
        <w:spacing w:before="90" w:line="223" w:lineRule="auto"/>
        <w:ind w:left="408"/>
        <w:rPr>
          <w:rFonts w:ascii="楷体" w:hAnsi="楷体" w:eastAsia="楷体" w:cs="楷体"/>
          <w:sz w:val="19"/>
          <w:szCs w:val="19"/>
        </w:rPr>
      </w:pPr>
      <w:r>
        <w:rPr>
          <w:rFonts w:ascii="楷体" w:hAnsi="楷体" w:eastAsia="楷体" w:cs="楷体"/>
          <w:spacing w:val="12"/>
          <w:sz w:val="19"/>
          <w:szCs w:val="19"/>
        </w:rPr>
        <w:t>●构建先进兼容的网络传输体系；</w:t>
      </w:r>
    </w:p>
    <w:p w14:paraId="0C71F017">
      <w:pPr>
        <w:spacing w:before="83" w:line="225" w:lineRule="auto"/>
        <w:ind w:left="408"/>
        <w:rPr>
          <w:rFonts w:ascii="楷体" w:hAnsi="楷体" w:eastAsia="楷体" w:cs="楷体"/>
          <w:sz w:val="19"/>
          <w:szCs w:val="19"/>
        </w:rPr>
      </w:pPr>
      <w:r>
        <w:rPr>
          <w:rFonts w:ascii="楷体" w:hAnsi="楷体" w:eastAsia="楷体" w:cs="楷体"/>
          <w:spacing w:val="13"/>
          <w:sz w:val="19"/>
          <w:szCs w:val="19"/>
        </w:rPr>
        <w:t>●构建云计算数据处理中心；</w:t>
      </w:r>
    </w:p>
    <w:p w14:paraId="0AEC5B9C">
      <w:pPr>
        <w:spacing w:before="86" w:line="223" w:lineRule="auto"/>
        <w:ind w:left="408"/>
        <w:rPr>
          <w:rFonts w:ascii="楷体" w:hAnsi="楷体" w:eastAsia="楷体" w:cs="楷体"/>
          <w:sz w:val="19"/>
          <w:szCs w:val="19"/>
        </w:rPr>
      </w:pPr>
      <w:r>
        <w:rPr>
          <w:rFonts w:ascii="楷体" w:hAnsi="楷体" w:eastAsia="楷体" w:cs="楷体"/>
          <w:spacing w:val="12"/>
          <w:sz w:val="19"/>
          <w:szCs w:val="19"/>
        </w:rPr>
        <w:t>●构建面向行业的管理支持体系；</w:t>
      </w:r>
    </w:p>
    <w:p w14:paraId="616FD1F5">
      <w:pPr>
        <w:spacing w:line="223" w:lineRule="auto"/>
        <w:rPr>
          <w:rFonts w:ascii="楷体" w:hAnsi="楷体" w:eastAsia="楷体" w:cs="楷体"/>
          <w:sz w:val="19"/>
          <w:szCs w:val="19"/>
        </w:rPr>
        <w:sectPr>
          <w:pgSz w:w="10290" w:h="13310"/>
          <w:pgMar w:top="400" w:right="544" w:bottom="400" w:left="1101" w:header="0" w:footer="0" w:gutter="0"/>
          <w:cols w:space="720" w:num="1"/>
        </w:sectPr>
      </w:pPr>
    </w:p>
    <w:p w14:paraId="03C75918">
      <w:pPr>
        <w:pStyle w:val="2"/>
        <w:spacing w:before="107" w:line="218" w:lineRule="auto"/>
        <w:rPr>
          <w:sz w:val="18"/>
          <w:szCs w:val="18"/>
        </w:rPr>
      </w:pPr>
      <w:bookmarkStart w:id="743" w:name="bookmark728"/>
      <w:bookmarkEnd w:id="743"/>
      <w:r>
        <w:rPr>
          <w:rFonts w:ascii="Times New Roman" w:hAnsi="Times New Roman" w:eastAsia="Times New Roman" w:cs="Times New Roman"/>
          <w:spacing w:val="9"/>
          <w:position w:val="-3"/>
          <w:sz w:val="18"/>
          <w:szCs w:val="18"/>
        </w:rPr>
        <w:t xml:space="preserve">524              </w:t>
      </w:r>
      <w:r>
        <w:rPr>
          <w:spacing w:val="9"/>
          <w:sz w:val="18"/>
          <w:szCs w:val="18"/>
        </w:rPr>
        <w:t>信息系</w:t>
      </w:r>
      <w:r>
        <w:rPr>
          <w:spacing w:val="8"/>
          <w:sz w:val="18"/>
          <w:szCs w:val="18"/>
        </w:rPr>
        <w:t>统监理师教程(第2版)</w:t>
      </w:r>
    </w:p>
    <w:p w14:paraId="137405FD">
      <w:pPr>
        <w:spacing w:line="345" w:lineRule="auto"/>
        <w:rPr>
          <w:rFonts w:ascii="Arial"/>
          <w:sz w:val="21"/>
        </w:rPr>
      </w:pPr>
    </w:p>
    <w:p w14:paraId="463C376C">
      <w:pPr>
        <w:spacing w:before="58" w:line="223" w:lineRule="auto"/>
        <w:ind w:left="730"/>
        <w:rPr>
          <w:rFonts w:ascii="楷体" w:hAnsi="楷体" w:eastAsia="楷体" w:cs="楷体"/>
          <w:sz w:val="18"/>
          <w:szCs w:val="18"/>
        </w:rPr>
      </w:pPr>
      <w:r>
        <w:rPr>
          <w:rFonts w:ascii="楷体" w:hAnsi="楷体" w:eastAsia="楷体" w:cs="楷体"/>
          <w:spacing w:val="19"/>
          <w:sz w:val="18"/>
          <w:szCs w:val="18"/>
        </w:rPr>
        <w:t>●</w:t>
      </w:r>
      <w:r>
        <w:rPr>
          <w:rFonts w:ascii="楷体" w:hAnsi="楷体" w:eastAsia="楷体" w:cs="楷体"/>
          <w:spacing w:val="-57"/>
          <w:sz w:val="18"/>
          <w:szCs w:val="18"/>
        </w:rPr>
        <w:t xml:space="preserve"> </w:t>
      </w:r>
      <w:r>
        <w:rPr>
          <w:rFonts w:ascii="楷体" w:hAnsi="楷体" w:eastAsia="楷体" w:cs="楷体"/>
          <w:spacing w:val="19"/>
          <w:sz w:val="18"/>
          <w:szCs w:val="18"/>
        </w:rPr>
        <w:t>构建面向公众的服务支持体系；</w:t>
      </w:r>
    </w:p>
    <w:p w14:paraId="7205DDC9">
      <w:pPr>
        <w:spacing w:before="103" w:line="224" w:lineRule="auto"/>
        <w:ind w:left="730"/>
        <w:rPr>
          <w:rFonts w:ascii="楷体" w:hAnsi="楷体" w:eastAsia="楷体" w:cs="楷体"/>
          <w:sz w:val="18"/>
          <w:szCs w:val="18"/>
        </w:rPr>
      </w:pPr>
      <w:r>
        <w:rPr>
          <w:rFonts w:ascii="楷体" w:hAnsi="楷体" w:eastAsia="楷体" w:cs="楷体"/>
          <w:spacing w:val="20"/>
          <w:sz w:val="18"/>
          <w:szCs w:val="18"/>
        </w:rPr>
        <w:t>●</w:t>
      </w:r>
      <w:r>
        <w:rPr>
          <w:rFonts w:ascii="楷体" w:hAnsi="楷体" w:eastAsia="楷体" w:cs="楷体"/>
          <w:spacing w:val="-52"/>
          <w:sz w:val="18"/>
          <w:szCs w:val="18"/>
        </w:rPr>
        <w:t xml:space="preserve"> </w:t>
      </w:r>
      <w:r>
        <w:rPr>
          <w:rFonts w:ascii="楷体" w:hAnsi="楷体" w:eastAsia="楷体" w:cs="楷体"/>
          <w:spacing w:val="20"/>
          <w:sz w:val="18"/>
          <w:szCs w:val="18"/>
        </w:rPr>
        <w:t>构建智慧业务的示范基地。</w:t>
      </w:r>
    </w:p>
    <w:p w14:paraId="31F2D5DB">
      <w:pPr>
        <w:spacing w:before="113" w:line="224" w:lineRule="auto"/>
        <w:ind w:left="730"/>
        <w:rPr>
          <w:rFonts w:ascii="楷体" w:hAnsi="楷体" w:eastAsia="楷体" w:cs="楷体"/>
          <w:sz w:val="18"/>
          <w:szCs w:val="18"/>
        </w:rPr>
      </w:pPr>
      <w:r>
        <w:rPr>
          <w:rFonts w:ascii="楷体" w:hAnsi="楷体" w:eastAsia="楷体" w:cs="楷体"/>
          <w:spacing w:val="22"/>
          <w:sz w:val="18"/>
          <w:szCs w:val="18"/>
        </w:rPr>
        <w:t>(2)六个形成。包括：</w:t>
      </w:r>
    </w:p>
    <w:p w14:paraId="72F5EDAE">
      <w:pPr>
        <w:spacing w:before="90" w:line="224" w:lineRule="auto"/>
        <w:ind w:left="730"/>
        <w:rPr>
          <w:rFonts w:ascii="楷体" w:hAnsi="楷体" w:eastAsia="楷体" w:cs="楷体"/>
          <w:sz w:val="18"/>
          <w:szCs w:val="18"/>
        </w:rPr>
      </w:pPr>
      <w:r>
        <w:rPr>
          <w:rFonts w:ascii="楷体" w:hAnsi="楷体" w:eastAsia="楷体" w:cs="楷体"/>
          <w:spacing w:val="19"/>
          <w:sz w:val="18"/>
          <w:szCs w:val="18"/>
        </w:rPr>
        <w:t>●</w:t>
      </w:r>
      <w:r>
        <w:rPr>
          <w:rFonts w:ascii="楷体" w:hAnsi="楷体" w:eastAsia="楷体" w:cs="楷体"/>
          <w:spacing w:val="-46"/>
          <w:sz w:val="18"/>
          <w:szCs w:val="18"/>
        </w:rPr>
        <w:t xml:space="preserve"> </w:t>
      </w:r>
      <w:r>
        <w:rPr>
          <w:rFonts w:ascii="楷体" w:hAnsi="楷体" w:eastAsia="楷体" w:cs="楷体"/>
          <w:spacing w:val="19"/>
          <w:sz w:val="18"/>
          <w:szCs w:val="18"/>
        </w:rPr>
        <w:t>形成一个智慧业务运行服务中心；</w:t>
      </w:r>
    </w:p>
    <w:p w14:paraId="63D9395A">
      <w:pPr>
        <w:spacing w:before="111" w:line="224" w:lineRule="auto"/>
        <w:ind w:left="730"/>
        <w:rPr>
          <w:rFonts w:ascii="楷体" w:hAnsi="楷体" w:eastAsia="楷体" w:cs="楷体"/>
          <w:sz w:val="18"/>
          <w:szCs w:val="18"/>
        </w:rPr>
      </w:pPr>
      <w:r>
        <w:rPr>
          <w:rFonts w:ascii="楷体" w:hAnsi="楷体" w:eastAsia="楷体" w:cs="楷体"/>
          <w:spacing w:val="18"/>
          <w:sz w:val="18"/>
          <w:szCs w:val="18"/>
        </w:rPr>
        <w:t>●</w:t>
      </w:r>
      <w:r>
        <w:rPr>
          <w:rFonts w:ascii="楷体" w:hAnsi="楷体" w:eastAsia="楷体" w:cs="楷体"/>
          <w:spacing w:val="-54"/>
          <w:sz w:val="18"/>
          <w:szCs w:val="18"/>
        </w:rPr>
        <w:t xml:space="preserve"> </w:t>
      </w:r>
      <w:r>
        <w:rPr>
          <w:rFonts w:ascii="楷体" w:hAnsi="楷体" w:eastAsia="楷体" w:cs="楷体"/>
          <w:spacing w:val="18"/>
          <w:sz w:val="18"/>
          <w:szCs w:val="18"/>
        </w:rPr>
        <w:t>形成一个智慧业务研究机构；</w:t>
      </w:r>
    </w:p>
    <w:p w14:paraId="0955FCA6">
      <w:pPr>
        <w:spacing w:before="114" w:line="225" w:lineRule="auto"/>
        <w:ind w:left="730"/>
        <w:rPr>
          <w:rFonts w:ascii="楷体" w:hAnsi="楷体" w:eastAsia="楷体" w:cs="楷体"/>
          <w:sz w:val="18"/>
          <w:szCs w:val="18"/>
        </w:rPr>
      </w:pPr>
      <w:r>
        <w:rPr>
          <w:rFonts w:ascii="楷体" w:hAnsi="楷体" w:eastAsia="楷体" w:cs="楷体"/>
          <w:spacing w:val="16"/>
          <w:sz w:val="18"/>
          <w:szCs w:val="18"/>
        </w:rPr>
        <w:t>●</w:t>
      </w:r>
      <w:r>
        <w:rPr>
          <w:rFonts w:ascii="楷体" w:hAnsi="楷体" w:eastAsia="楷体" w:cs="楷体"/>
          <w:spacing w:val="-55"/>
          <w:sz w:val="18"/>
          <w:szCs w:val="18"/>
        </w:rPr>
        <w:t xml:space="preserve"> </w:t>
      </w:r>
      <w:r>
        <w:rPr>
          <w:rFonts w:ascii="楷体" w:hAnsi="楷体" w:eastAsia="楷体" w:cs="楷体"/>
          <w:spacing w:val="16"/>
          <w:sz w:val="18"/>
          <w:szCs w:val="18"/>
        </w:rPr>
        <w:t>形成一</w:t>
      </w:r>
      <w:r>
        <w:rPr>
          <w:rFonts w:ascii="楷体" w:hAnsi="楷体" w:eastAsia="楷体" w:cs="楷体"/>
          <w:spacing w:val="-48"/>
          <w:sz w:val="18"/>
          <w:szCs w:val="18"/>
        </w:rPr>
        <w:t xml:space="preserve"> </w:t>
      </w:r>
      <w:r>
        <w:rPr>
          <w:rFonts w:ascii="楷体" w:hAnsi="楷体" w:eastAsia="楷体" w:cs="楷体"/>
          <w:spacing w:val="16"/>
          <w:sz w:val="18"/>
          <w:szCs w:val="18"/>
        </w:rPr>
        <w:t>支装备现代的基层服务队伍；</w:t>
      </w:r>
    </w:p>
    <w:p w14:paraId="23BDB1D5">
      <w:pPr>
        <w:spacing w:before="108" w:line="223" w:lineRule="auto"/>
        <w:ind w:left="730"/>
        <w:rPr>
          <w:rFonts w:ascii="楷体" w:hAnsi="楷体" w:eastAsia="楷体" w:cs="楷体"/>
          <w:sz w:val="18"/>
          <w:szCs w:val="18"/>
        </w:rPr>
      </w:pPr>
      <w:r>
        <w:rPr>
          <w:rFonts w:ascii="楷体" w:hAnsi="楷体" w:eastAsia="楷体" w:cs="楷体"/>
          <w:spacing w:val="16"/>
          <w:sz w:val="18"/>
          <w:szCs w:val="18"/>
        </w:rPr>
        <w:t>●</w:t>
      </w:r>
      <w:r>
        <w:rPr>
          <w:rFonts w:ascii="楷体" w:hAnsi="楷体" w:eastAsia="楷体" w:cs="楷体"/>
          <w:spacing w:val="-41"/>
          <w:sz w:val="18"/>
          <w:szCs w:val="18"/>
        </w:rPr>
        <w:t xml:space="preserve"> </w:t>
      </w:r>
      <w:r>
        <w:rPr>
          <w:rFonts w:ascii="楷体" w:hAnsi="楷体" w:eastAsia="楷体" w:cs="楷体"/>
          <w:spacing w:val="16"/>
          <w:sz w:val="18"/>
          <w:szCs w:val="18"/>
        </w:rPr>
        <w:t>形成一</w:t>
      </w:r>
      <w:r>
        <w:rPr>
          <w:rFonts w:ascii="楷体" w:hAnsi="楷体" w:eastAsia="楷体" w:cs="楷体"/>
          <w:spacing w:val="-48"/>
          <w:sz w:val="18"/>
          <w:szCs w:val="18"/>
        </w:rPr>
        <w:t xml:space="preserve"> </w:t>
      </w:r>
      <w:r>
        <w:rPr>
          <w:rFonts w:ascii="楷体" w:hAnsi="楷体" w:eastAsia="楷体" w:cs="楷体"/>
          <w:spacing w:val="16"/>
          <w:sz w:val="18"/>
          <w:szCs w:val="18"/>
        </w:rPr>
        <w:t>支基层智慧业务管理服务队伍；</w:t>
      </w:r>
    </w:p>
    <w:p w14:paraId="54692B31">
      <w:pPr>
        <w:spacing w:before="112" w:line="223" w:lineRule="auto"/>
        <w:ind w:left="730"/>
        <w:rPr>
          <w:rFonts w:ascii="楷体" w:hAnsi="楷体" w:eastAsia="楷体" w:cs="楷体"/>
          <w:sz w:val="18"/>
          <w:szCs w:val="18"/>
        </w:rPr>
      </w:pPr>
      <w:r>
        <w:rPr>
          <w:rFonts w:ascii="楷体" w:hAnsi="楷体" w:eastAsia="楷体" w:cs="楷体"/>
          <w:spacing w:val="16"/>
          <w:sz w:val="18"/>
          <w:szCs w:val="18"/>
        </w:rPr>
        <w:t>●</w:t>
      </w:r>
      <w:r>
        <w:rPr>
          <w:rFonts w:ascii="楷体" w:hAnsi="楷体" w:eastAsia="楷体" w:cs="楷体"/>
          <w:spacing w:val="-42"/>
          <w:sz w:val="18"/>
          <w:szCs w:val="18"/>
        </w:rPr>
        <w:t xml:space="preserve"> </w:t>
      </w:r>
      <w:r>
        <w:rPr>
          <w:rFonts w:ascii="楷体" w:hAnsi="楷体" w:eastAsia="楷体" w:cs="楷体"/>
          <w:spacing w:val="16"/>
          <w:sz w:val="18"/>
          <w:szCs w:val="18"/>
        </w:rPr>
        <w:t>形成</w:t>
      </w:r>
      <w:r>
        <w:rPr>
          <w:rFonts w:ascii="楷体" w:hAnsi="楷体" w:eastAsia="楷体" w:cs="楷体"/>
          <w:spacing w:val="-53"/>
          <w:sz w:val="18"/>
          <w:szCs w:val="18"/>
        </w:rPr>
        <w:t xml:space="preserve"> </w:t>
      </w:r>
      <w:r>
        <w:rPr>
          <w:rFonts w:ascii="楷体" w:hAnsi="楷体" w:eastAsia="楷体" w:cs="楷体"/>
          <w:spacing w:val="16"/>
          <w:sz w:val="18"/>
          <w:szCs w:val="18"/>
        </w:rPr>
        <w:t>一套协同管理工作机制；</w:t>
      </w:r>
    </w:p>
    <w:p w14:paraId="736408F7">
      <w:pPr>
        <w:spacing w:before="113" w:line="223" w:lineRule="auto"/>
        <w:ind w:left="730"/>
        <w:rPr>
          <w:rFonts w:ascii="楷体" w:hAnsi="楷体" w:eastAsia="楷体" w:cs="楷体"/>
          <w:sz w:val="18"/>
          <w:szCs w:val="18"/>
        </w:rPr>
      </w:pPr>
      <w:r>
        <w:rPr>
          <w:rFonts w:ascii="楷体" w:hAnsi="楷体" w:eastAsia="楷体" w:cs="楷体"/>
          <w:spacing w:val="15"/>
          <w:sz w:val="18"/>
          <w:szCs w:val="18"/>
        </w:rPr>
        <w:t>●</w:t>
      </w:r>
      <w:r>
        <w:rPr>
          <w:rFonts w:ascii="楷体" w:hAnsi="楷体" w:eastAsia="楷体" w:cs="楷体"/>
          <w:spacing w:val="-48"/>
          <w:sz w:val="18"/>
          <w:szCs w:val="18"/>
        </w:rPr>
        <w:t xml:space="preserve"> </w:t>
      </w:r>
      <w:r>
        <w:rPr>
          <w:rFonts w:ascii="楷体" w:hAnsi="楷体" w:eastAsia="楷体" w:cs="楷体"/>
          <w:spacing w:val="15"/>
          <w:sz w:val="18"/>
          <w:szCs w:val="18"/>
        </w:rPr>
        <w:t>形成</w:t>
      </w:r>
      <w:r>
        <w:rPr>
          <w:rFonts w:ascii="楷体" w:hAnsi="楷体" w:eastAsia="楷体" w:cs="楷体"/>
          <w:spacing w:val="-54"/>
          <w:sz w:val="18"/>
          <w:szCs w:val="18"/>
        </w:rPr>
        <w:t xml:space="preserve"> </w:t>
      </w:r>
      <w:r>
        <w:rPr>
          <w:rFonts w:ascii="楷体" w:hAnsi="楷体" w:eastAsia="楷体" w:cs="楷体"/>
          <w:spacing w:val="15"/>
          <w:sz w:val="18"/>
          <w:szCs w:val="18"/>
        </w:rPr>
        <w:t>一套建设管理标准。</w:t>
      </w:r>
    </w:p>
    <w:p w14:paraId="1FB0017C">
      <w:pPr>
        <w:spacing w:before="114" w:line="224" w:lineRule="auto"/>
        <w:ind w:left="730"/>
        <w:rPr>
          <w:rFonts w:ascii="楷体" w:hAnsi="楷体" w:eastAsia="楷体" w:cs="楷体"/>
          <w:sz w:val="18"/>
          <w:szCs w:val="18"/>
        </w:rPr>
      </w:pPr>
      <w:r>
        <w:rPr>
          <w:rFonts w:ascii="楷体" w:hAnsi="楷体" w:eastAsia="楷体" w:cs="楷体"/>
          <w:spacing w:val="22"/>
          <w:sz w:val="18"/>
          <w:szCs w:val="18"/>
        </w:rPr>
        <w:t>(3)六个实现。包括：</w:t>
      </w:r>
    </w:p>
    <w:p w14:paraId="55260A9C">
      <w:pPr>
        <w:spacing w:before="73" w:line="269" w:lineRule="auto"/>
        <w:ind w:left="730" w:right="5870"/>
        <w:rPr>
          <w:rFonts w:ascii="楷体" w:hAnsi="楷体" w:eastAsia="楷体" w:cs="楷体"/>
          <w:sz w:val="18"/>
          <w:szCs w:val="18"/>
        </w:rPr>
      </w:pPr>
      <w:r>
        <w:rPr>
          <w:rFonts w:ascii="楷体" w:hAnsi="楷体" w:eastAsia="楷体" w:cs="楷体"/>
          <w:spacing w:val="13"/>
          <w:sz w:val="18"/>
          <w:szCs w:val="18"/>
        </w:rPr>
        <w:t>实现采集站网的全覆盖；</w:t>
      </w:r>
      <w:r>
        <w:rPr>
          <w:rFonts w:ascii="楷体" w:hAnsi="楷体" w:eastAsia="楷体" w:cs="楷体"/>
          <w:spacing w:val="6"/>
          <w:sz w:val="18"/>
          <w:szCs w:val="18"/>
        </w:rPr>
        <w:t xml:space="preserve"> </w:t>
      </w:r>
      <w:r>
        <w:rPr>
          <w:rFonts w:ascii="楷体" w:hAnsi="楷体" w:eastAsia="楷体" w:cs="楷体"/>
          <w:spacing w:val="13"/>
          <w:sz w:val="18"/>
          <w:szCs w:val="18"/>
        </w:rPr>
        <w:t>实现资源共享协作；</w:t>
      </w:r>
    </w:p>
    <w:p w14:paraId="677A0C55">
      <w:pPr>
        <w:spacing w:before="93" w:line="223" w:lineRule="auto"/>
        <w:ind w:left="730"/>
        <w:rPr>
          <w:rFonts w:ascii="楷体" w:hAnsi="楷体" w:eastAsia="楷体" w:cs="楷体"/>
          <w:sz w:val="18"/>
          <w:szCs w:val="18"/>
        </w:rPr>
      </w:pPr>
      <w:r>
        <w:rPr>
          <w:rFonts w:ascii="楷体" w:hAnsi="楷体" w:eastAsia="楷体" w:cs="楷体"/>
          <w:spacing w:val="13"/>
          <w:sz w:val="18"/>
          <w:szCs w:val="18"/>
        </w:rPr>
        <w:t>实现应用综合管理；</w:t>
      </w:r>
    </w:p>
    <w:p w14:paraId="3BC40710">
      <w:pPr>
        <w:spacing w:before="92" w:line="304" w:lineRule="auto"/>
        <w:ind w:left="730" w:right="5870"/>
        <w:rPr>
          <w:rFonts w:ascii="楷体" w:hAnsi="楷体" w:eastAsia="楷体" w:cs="楷体"/>
          <w:sz w:val="18"/>
          <w:szCs w:val="18"/>
        </w:rPr>
      </w:pPr>
      <w:r>
        <w:rPr>
          <w:rFonts w:ascii="楷体" w:hAnsi="楷体" w:eastAsia="楷体" w:cs="楷体"/>
          <w:spacing w:val="13"/>
          <w:sz w:val="18"/>
          <w:szCs w:val="18"/>
        </w:rPr>
        <w:t>实现信息统一综合展示；</w:t>
      </w:r>
      <w:r>
        <w:rPr>
          <w:rFonts w:ascii="楷体" w:hAnsi="楷体" w:eastAsia="楷体" w:cs="楷体"/>
          <w:spacing w:val="6"/>
          <w:sz w:val="18"/>
          <w:szCs w:val="18"/>
        </w:rPr>
        <w:t xml:space="preserve"> </w:t>
      </w:r>
      <w:r>
        <w:rPr>
          <w:rFonts w:ascii="楷体" w:hAnsi="楷体" w:eastAsia="楷体" w:cs="楷体"/>
          <w:spacing w:val="13"/>
          <w:sz w:val="18"/>
          <w:szCs w:val="18"/>
        </w:rPr>
        <w:t>实现监测全能服务；</w:t>
      </w:r>
    </w:p>
    <w:p w14:paraId="78AD0E48">
      <w:pPr>
        <w:spacing w:before="34" w:line="229" w:lineRule="auto"/>
        <w:ind w:left="730"/>
        <w:rPr>
          <w:rFonts w:ascii="楷体" w:hAnsi="楷体" w:eastAsia="楷体" w:cs="楷体"/>
          <w:sz w:val="18"/>
          <w:szCs w:val="18"/>
        </w:rPr>
      </w:pPr>
      <w:r>
        <w:rPr>
          <w:rFonts w:ascii="楷体" w:hAnsi="楷体" w:eastAsia="楷体" w:cs="楷体"/>
          <w:spacing w:val="13"/>
          <w:sz w:val="18"/>
          <w:szCs w:val="18"/>
        </w:rPr>
        <w:t>实现应急联动响应。</w:t>
      </w:r>
    </w:p>
    <w:p w14:paraId="076CDFBC">
      <w:pPr>
        <w:spacing w:before="99" w:line="313" w:lineRule="auto"/>
        <w:ind w:left="340" w:right="40" w:firstLine="390"/>
        <w:rPr>
          <w:rFonts w:ascii="楷体" w:hAnsi="楷体" w:eastAsia="楷体" w:cs="楷体"/>
          <w:sz w:val="18"/>
          <w:szCs w:val="18"/>
        </w:rPr>
      </w:pPr>
      <w:r>
        <w:rPr>
          <w:rFonts w:ascii="黑体" w:hAnsi="黑体" w:eastAsia="黑体" w:cs="黑体"/>
          <w:spacing w:val="19"/>
          <w:sz w:val="18"/>
          <w:szCs w:val="18"/>
        </w:rPr>
        <w:t>案</w:t>
      </w:r>
      <w:r>
        <w:rPr>
          <w:rFonts w:ascii="黑体" w:hAnsi="黑体" w:eastAsia="黑体" w:cs="黑体"/>
          <w:spacing w:val="-43"/>
          <w:sz w:val="18"/>
          <w:szCs w:val="18"/>
        </w:rPr>
        <w:t xml:space="preserve"> </w:t>
      </w:r>
      <w:r>
        <w:rPr>
          <w:rFonts w:ascii="黑体" w:hAnsi="黑体" w:eastAsia="黑体" w:cs="黑体"/>
          <w:spacing w:val="19"/>
          <w:sz w:val="18"/>
          <w:szCs w:val="18"/>
        </w:rPr>
        <w:t>例</w:t>
      </w:r>
      <w:r>
        <w:rPr>
          <w:rFonts w:ascii="黑体" w:hAnsi="黑体" w:eastAsia="黑体" w:cs="黑体"/>
          <w:spacing w:val="-37"/>
          <w:sz w:val="18"/>
          <w:szCs w:val="18"/>
        </w:rPr>
        <w:t xml:space="preserve"> </w:t>
      </w:r>
      <w:r>
        <w:rPr>
          <w:rFonts w:ascii="黑体" w:hAnsi="黑体" w:eastAsia="黑体" w:cs="黑体"/>
          <w:spacing w:val="19"/>
          <w:sz w:val="18"/>
          <w:szCs w:val="18"/>
        </w:rPr>
        <w:t>说</w:t>
      </w:r>
      <w:r>
        <w:rPr>
          <w:rFonts w:ascii="黑体" w:hAnsi="黑体" w:eastAsia="黑体" w:cs="黑体"/>
          <w:spacing w:val="-33"/>
          <w:sz w:val="18"/>
          <w:szCs w:val="18"/>
        </w:rPr>
        <w:t xml:space="preserve"> </w:t>
      </w:r>
      <w:r>
        <w:rPr>
          <w:rFonts w:ascii="黑体" w:hAnsi="黑体" w:eastAsia="黑体" w:cs="黑体"/>
          <w:spacing w:val="19"/>
          <w:sz w:val="18"/>
          <w:szCs w:val="18"/>
        </w:rPr>
        <w:t>明</w:t>
      </w:r>
      <w:r>
        <w:rPr>
          <w:rFonts w:ascii="楷体" w:hAnsi="楷体" w:eastAsia="楷体" w:cs="楷体"/>
          <w:spacing w:val="19"/>
          <w:sz w:val="18"/>
          <w:szCs w:val="18"/>
        </w:rPr>
        <w:t>：通过该案例允许公开的信息，可以比较详细、完整地理解该工</w:t>
      </w:r>
      <w:r>
        <w:rPr>
          <w:rFonts w:ascii="楷体" w:hAnsi="楷体" w:eastAsia="楷体" w:cs="楷体"/>
          <w:spacing w:val="18"/>
          <w:sz w:val="18"/>
          <w:szCs w:val="18"/>
        </w:rPr>
        <w:t>程在数据中心建</w:t>
      </w:r>
      <w:r>
        <w:rPr>
          <w:rFonts w:ascii="楷体" w:hAnsi="楷体" w:eastAsia="楷体" w:cs="楷体"/>
          <w:sz w:val="18"/>
          <w:szCs w:val="18"/>
        </w:rPr>
        <w:t xml:space="preserve"> </w:t>
      </w:r>
      <w:r>
        <w:rPr>
          <w:rFonts w:ascii="楷体" w:hAnsi="楷体" w:eastAsia="楷体" w:cs="楷体"/>
          <w:spacing w:val="23"/>
          <w:sz w:val="18"/>
          <w:szCs w:val="18"/>
        </w:rPr>
        <w:t>设的过程中，如何做好与业务系统建设相关联的信息资源规划基本思路</w:t>
      </w:r>
      <w:r>
        <w:rPr>
          <w:rFonts w:ascii="楷体" w:hAnsi="楷体" w:eastAsia="楷体" w:cs="楷体"/>
          <w:spacing w:val="22"/>
          <w:sz w:val="18"/>
          <w:szCs w:val="18"/>
        </w:rPr>
        <w:t>、规划范围和规划重点</w:t>
      </w:r>
      <w:r>
        <w:rPr>
          <w:rFonts w:ascii="楷体" w:hAnsi="楷体" w:eastAsia="楷体" w:cs="楷体"/>
          <w:sz w:val="18"/>
          <w:szCs w:val="18"/>
        </w:rPr>
        <w:t xml:space="preserve"> </w:t>
      </w:r>
      <w:r>
        <w:rPr>
          <w:rFonts w:ascii="楷体" w:hAnsi="楷体" w:eastAsia="楷体" w:cs="楷体"/>
          <w:spacing w:val="23"/>
          <w:sz w:val="18"/>
          <w:szCs w:val="18"/>
        </w:rPr>
        <w:t>等要点，了解和掌握在数据中心建设过程中如何把握信息资</w:t>
      </w:r>
      <w:r>
        <w:rPr>
          <w:rFonts w:ascii="楷体" w:hAnsi="楷体" w:eastAsia="楷体" w:cs="楷体"/>
          <w:spacing w:val="22"/>
          <w:sz w:val="18"/>
          <w:szCs w:val="18"/>
        </w:rPr>
        <w:t>源规划的监理工作要点，检查、核</w:t>
      </w:r>
      <w:r>
        <w:rPr>
          <w:rFonts w:ascii="楷体" w:hAnsi="楷体" w:eastAsia="楷体" w:cs="楷体"/>
          <w:sz w:val="18"/>
          <w:szCs w:val="18"/>
        </w:rPr>
        <w:t xml:space="preserve"> </w:t>
      </w:r>
      <w:r>
        <w:rPr>
          <w:rFonts w:ascii="楷体" w:hAnsi="楷体" w:eastAsia="楷体" w:cs="楷体"/>
          <w:spacing w:val="26"/>
          <w:sz w:val="18"/>
          <w:szCs w:val="18"/>
        </w:rPr>
        <w:t>实及评价信息资源规划是否符合工程/项目建设需求，也可以帮助监理单位</w:t>
      </w:r>
      <w:r>
        <w:rPr>
          <w:rFonts w:ascii="楷体" w:hAnsi="楷体" w:eastAsia="楷体" w:cs="楷体"/>
          <w:spacing w:val="25"/>
          <w:sz w:val="18"/>
          <w:szCs w:val="18"/>
        </w:rPr>
        <w:t>在制定监理大纲、</w:t>
      </w:r>
      <w:r>
        <w:rPr>
          <w:rFonts w:ascii="楷体" w:hAnsi="楷体" w:eastAsia="楷体" w:cs="楷体"/>
          <w:sz w:val="18"/>
          <w:szCs w:val="18"/>
        </w:rPr>
        <w:t xml:space="preserve"> </w:t>
      </w:r>
      <w:r>
        <w:rPr>
          <w:rFonts w:ascii="楷体" w:hAnsi="楷体" w:eastAsia="楷体" w:cs="楷体"/>
          <w:spacing w:val="22"/>
          <w:sz w:val="18"/>
          <w:szCs w:val="18"/>
        </w:rPr>
        <w:t>监理规划和监理实施细则时深入理解工程建设的重要意义，并进一</w:t>
      </w:r>
      <w:r>
        <w:rPr>
          <w:rFonts w:ascii="楷体" w:hAnsi="楷体" w:eastAsia="楷体" w:cs="楷体"/>
          <w:spacing w:val="-52"/>
          <w:sz w:val="18"/>
          <w:szCs w:val="18"/>
        </w:rPr>
        <w:t xml:space="preserve"> </w:t>
      </w:r>
      <w:r>
        <w:rPr>
          <w:rFonts w:ascii="楷体" w:hAnsi="楷体" w:eastAsia="楷体" w:cs="楷体"/>
          <w:spacing w:val="22"/>
          <w:sz w:val="18"/>
          <w:szCs w:val="18"/>
        </w:rPr>
        <w:t>步为</w:t>
      </w:r>
      <w:r>
        <w:rPr>
          <w:rFonts w:ascii="楷体" w:hAnsi="楷体" w:eastAsia="楷体" w:cs="楷体"/>
          <w:spacing w:val="21"/>
          <w:sz w:val="18"/>
          <w:szCs w:val="18"/>
        </w:rPr>
        <w:t>细化编制监理文件提供</w:t>
      </w:r>
      <w:r>
        <w:rPr>
          <w:rFonts w:ascii="楷体" w:hAnsi="楷体" w:eastAsia="楷体" w:cs="楷体"/>
          <w:sz w:val="18"/>
          <w:szCs w:val="18"/>
        </w:rPr>
        <w:t xml:space="preserve"> </w:t>
      </w:r>
      <w:r>
        <w:rPr>
          <w:rFonts w:ascii="楷体" w:hAnsi="楷体" w:eastAsia="楷体" w:cs="楷体"/>
          <w:spacing w:val="15"/>
          <w:sz w:val="18"/>
          <w:szCs w:val="18"/>
        </w:rPr>
        <w:t>必要的指导。</w:t>
      </w:r>
    </w:p>
    <w:p w14:paraId="53CBB0B2">
      <w:pPr>
        <w:spacing w:before="44" w:line="315" w:lineRule="auto"/>
        <w:ind w:left="250" w:firstLine="480"/>
        <w:jc w:val="both"/>
        <w:rPr>
          <w:rFonts w:ascii="楷体" w:hAnsi="楷体" w:eastAsia="楷体" w:cs="楷体"/>
          <w:sz w:val="18"/>
          <w:szCs w:val="18"/>
        </w:rPr>
      </w:pPr>
      <w:r>
        <w:rPr>
          <w:rFonts w:ascii="黑体" w:hAnsi="黑体" w:eastAsia="黑体" w:cs="黑体"/>
          <w:spacing w:val="21"/>
          <w:sz w:val="18"/>
          <w:szCs w:val="18"/>
        </w:rPr>
        <w:t>实践效果</w:t>
      </w:r>
      <w:r>
        <w:rPr>
          <w:rFonts w:ascii="楷体" w:hAnsi="楷体" w:eastAsia="楷体" w:cs="楷体"/>
          <w:spacing w:val="21"/>
          <w:sz w:val="18"/>
          <w:szCs w:val="18"/>
        </w:rPr>
        <w:t>：</w:t>
      </w:r>
      <w:r>
        <w:rPr>
          <w:rFonts w:ascii="楷体" w:hAnsi="楷体" w:eastAsia="楷体" w:cs="楷体"/>
          <w:spacing w:val="-33"/>
          <w:sz w:val="18"/>
          <w:szCs w:val="18"/>
        </w:rPr>
        <w:t xml:space="preserve"> </w:t>
      </w:r>
      <w:r>
        <w:rPr>
          <w:rFonts w:ascii="楷体" w:hAnsi="楷体" w:eastAsia="楷体" w:cs="楷体"/>
          <w:spacing w:val="21"/>
          <w:sz w:val="18"/>
          <w:szCs w:val="18"/>
        </w:rPr>
        <w:t>在本工程建设的监理服务过程中，监理机构围绕“124”“666”的中心任务，</w:t>
      </w:r>
      <w:r>
        <w:rPr>
          <w:rFonts w:ascii="楷体" w:hAnsi="楷体" w:eastAsia="楷体" w:cs="楷体"/>
          <w:sz w:val="18"/>
          <w:szCs w:val="18"/>
        </w:rPr>
        <w:t xml:space="preserve"> </w:t>
      </w:r>
      <w:r>
        <w:rPr>
          <w:rFonts w:ascii="楷体" w:hAnsi="楷体" w:eastAsia="楷体" w:cs="楷体"/>
          <w:spacing w:val="28"/>
          <w:sz w:val="18"/>
          <w:szCs w:val="18"/>
        </w:rPr>
        <w:t>开展了有针对性、有步骤的信息资源规划的全过程技术管控。在业主单位统</w:t>
      </w:r>
      <w:r>
        <w:rPr>
          <w:rFonts w:ascii="楷体" w:hAnsi="楷体" w:eastAsia="楷体" w:cs="楷体"/>
          <w:spacing w:val="-51"/>
          <w:sz w:val="18"/>
          <w:szCs w:val="18"/>
        </w:rPr>
        <w:t xml:space="preserve"> </w:t>
      </w:r>
      <w:r>
        <w:rPr>
          <w:rFonts w:ascii="楷体" w:hAnsi="楷体" w:eastAsia="楷体" w:cs="楷体"/>
          <w:spacing w:val="28"/>
          <w:sz w:val="18"/>
          <w:szCs w:val="18"/>
        </w:rPr>
        <w:t>一</w:t>
      </w:r>
      <w:r>
        <w:rPr>
          <w:rFonts w:ascii="楷体" w:hAnsi="楷体" w:eastAsia="楷体" w:cs="楷体"/>
          <w:spacing w:val="-51"/>
          <w:sz w:val="18"/>
          <w:szCs w:val="18"/>
        </w:rPr>
        <w:t xml:space="preserve"> </w:t>
      </w:r>
      <w:r>
        <w:rPr>
          <w:rFonts w:ascii="楷体" w:hAnsi="楷体" w:eastAsia="楷体" w:cs="楷体"/>
          <w:spacing w:val="28"/>
          <w:sz w:val="18"/>
          <w:szCs w:val="18"/>
        </w:rPr>
        <w:t>指导</w:t>
      </w:r>
      <w:r>
        <w:rPr>
          <w:rFonts w:ascii="楷体" w:hAnsi="楷体" w:eastAsia="楷体" w:cs="楷体"/>
          <w:spacing w:val="27"/>
          <w:sz w:val="18"/>
          <w:szCs w:val="18"/>
        </w:rPr>
        <w:t>下，监理</w:t>
      </w:r>
      <w:r>
        <w:rPr>
          <w:rFonts w:ascii="楷体" w:hAnsi="楷体" w:eastAsia="楷体" w:cs="楷体"/>
          <w:sz w:val="18"/>
          <w:szCs w:val="18"/>
        </w:rPr>
        <w:t xml:space="preserve">  </w:t>
      </w:r>
      <w:r>
        <w:rPr>
          <w:rFonts w:ascii="楷体" w:hAnsi="楷体" w:eastAsia="楷体" w:cs="楷体"/>
          <w:spacing w:val="30"/>
          <w:sz w:val="18"/>
          <w:szCs w:val="18"/>
        </w:rPr>
        <w:t>机构敦促有关承建单位完成了信息资源规划的原始数据产生与结构设计、信息资源整合、信</w:t>
      </w:r>
      <w:r>
        <w:rPr>
          <w:rFonts w:ascii="楷体" w:hAnsi="楷体" w:eastAsia="楷体" w:cs="楷体"/>
          <w:spacing w:val="1"/>
          <w:sz w:val="18"/>
          <w:szCs w:val="18"/>
        </w:rPr>
        <w:t xml:space="preserve">  </w:t>
      </w:r>
      <w:r>
        <w:rPr>
          <w:rFonts w:ascii="楷体" w:hAnsi="楷体" w:eastAsia="楷体" w:cs="楷体"/>
          <w:spacing w:val="26"/>
          <w:sz w:val="18"/>
          <w:szCs w:val="18"/>
        </w:rPr>
        <w:t>息资源利用和系统应用绩效评估评价相关联等过程，保证了数据资源采集、</w:t>
      </w:r>
      <w:r>
        <w:rPr>
          <w:rFonts w:ascii="楷体" w:hAnsi="楷体" w:eastAsia="楷体" w:cs="楷体"/>
          <w:spacing w:val="25"/>
          <w:sz w:val="18"/>
          <w:szCs w:val="18"/>
        </w:rPr>
        <w:t>传输、分项集成、</w:t>
      </w:r>
      <w:r>
        <w:rPr>
          <w:rFonts w:ascii="楷体" w:hAnsi="楷体" w:eastAsia="楷体" w:cs="楷体"/>
          <w:sz w:val="18"/>
          <w:szCs w:val="18"/>
        </w:rPr>
        <w:t xml:space="preserve"> </w:t>
      </w:r>
      <w:r>
        <w:rPr>
          <w:rFonts w:ascii="楷体" w:hAnsi="楷体" w:eastAsia="楷体" w:cs="楷体"/>
          <w:spacing w:val="32"/>
          <w:sz w:val="18"/>
          <w:szCs w:val="18"/>
        </w:rPr>
        <w:t>资源整合及数据应用的综合效果，为“智慧政务工程”的数据资源建设提供了必要的设</w:t>
      </w:r>
      <w:r>
        <w:rPr>
          <w:rFonts w:ascii="楷体" w:hAnsi="楷体" w:eastAsia="楷体" w:cs="楷体"/>
          <w:spacing w:val="31"/>
          <w:sz w:val="18"/>
          <w:szCs w:val="18"/>
        </w:rPr>
        <w:t>计、</w:t>
      </w:r>
      <w:r>
        <w:rPr>
          <w:rFonts w:ascii="楷体" w:hAnsi="楷体" w:eastAsia="楷体" w:cs="楷体"/>
          <w:sz w:val="18"/>
          <w:szCs w:val="18"/>
        </w:rPr>
        <w:t xml:space="preserve"> </w:t>
      </w:r>
      <w:r>
        <w:rPr>
          <w:rFonts w:ascii="楷体" w:hAnsi="楷体" w:eastAsia="楷体" w:cs="楷体"/>
          <w:spacing w:val="27"/>
          <w:sz w:val="18"/>
          <w:szCs w:val="18"/>
        </w:rPr>
        <w:t>评审、应用和评价全过程监理咨询服务，也为最终的工程竣工验收提供了必</w:t>
      </w:r>
      <w:r>
        <w:rPr>
          <w:rFonts w:ascii="楷体" w:hAnsi="楷体" w:eastAsia="楷体" w:cs="楷体"/>
          <w:spacing w:val="26"/>
          <w:sz w:val="18"/>
          <w:szCs w:val="18"/>
        </w:rPr>
        <w:t>要的保障。最终，</w:t>
      </w:r>
      <w:r>
        <w:rPr>
          <w:rFonts w:ascii="楷体" w:hAnsi="楷体" w:eastAsia="楷体" w:cs="楷体"/>
          <w:sz w:val="18"/>
          <w:szCs w:val="18"/>
        </w:rPr>
        <w:t xml:space="preserve"> </w:t>
      </w:r>
      <w:r>
        <w:rPr>
          <w:rFonts w:ascii="楷体" w:hAnsi="楷体" w:eastAsia="楷体" w:cs="楷体"/>
          <w:spacing w:val="27"/>
          <w:sz w:val="18"/>
          <w:szCs w:val="18"/>
        </w:rPr>
        <w:t>“智慧政务工程”在国家有关部委牵头组织下，经历5年的建设</w:t>
      </w:r>
      <w:r>
        <w:rPr>
          <w:rFonts w:ascii="楷体" w:hAnsi="楷体" w:eastAsia="楷体" w:cs="楷体"/>
          <w:spacing w:val="26"/>
          <w:sz w:val="18"/>
          <w:szCs w:val="18"/>
        </w:rPr>
        <w:t>历程后投入使用，不仅形成了</w:t>
      </w:r>
      <w:r>
        <w:rPr>
          <w:rFonts w:ascii="楷体" w:hAnsi="楷体" w:eastAsia="楷体" w:cs="楷体"/>
          <w:sz w:val="18"/>
          <w:szCs w:val="18"/>
        </w:rPr>
        <w:t xml:space="preserve">  </w:t>
      </w:r>
      <w:r>
        <w:rPr>
          <w:rFonts w:ascii="楷体" w:hAnsi="楷体" w:eastAsia="楷体" w:cs="楷体"/>
          <w:spacing w:val="30"/>
          <w:sz w:val="18"/>
          <w:szCs w:val="18"/>
        </w:rPr>
        <w:t>一批创新转型、改进效能的业务，也扩展了服务范围，更为国家建设、经济发展和民生福利</w:t>
      </w:r>
      <w:r>
        <w:rPr>
          <w:rFonts w:ascii="楷体" w:hAnsi="楷体" w:eastAsia="楷体" w:cs="楷体"/>
          <w:spacing w:val="4"/>
          <w:sz w:val="18"/>
          <w:szCs w:val="18"/>
        </w:rPr>
        <w:t xml:space="preserve">  </w:t>
      </w:r>
      <w:r>
        <w:rPr>
          <w:rFonts w:ascii="楷体" w:hAnsi="楷体" w:eastAsia="楷体" w:cs="楷体"/>
          <w:spacing w:val="31"/>
          <w:sz w:val="18"/>
          <w:szCs w:val="18"/>
        </w:rPr>
        <w:t>带来诸多益处。</w:t>
      </w:r>
    </w:p>
    <w:p w14:paraId="1E511448">
      <w:pPr>
        <w:pStyle w:val="2"/>
        <w:spacing w:before="162" w:line="221" w:lineRule="auto"/>
        <w:ind w:left="732"/>
        <w:rPr>
          <w:rFonts w:ascii="黑体" w:hAnsi="黑体" w:eastAsia="黑体" w:cs="黑体"/>
          <w:sz w:val="18"/>
          <w:szCs w:val="18"/>
        </w:rPr>
      </w:pPr>
      <w:r>
        <w:rPr>
          <w:b/>
          <w:bCs/>
          <w:color w:val="007DDE"/>
          <w:spacing w:val="16"/>
          <w:sz w:val="18"/>
          <w:szCs w:val="18"/>
        </w:rPr>
        <w:t>5.</w:t>
      </w:r>
      <w:r>
        <w:rPr>
          <w:rFonts w:ascii="黑体" w:hAnsi="黑体" w:eastAsia="黑体" w:cs="黑体"/>
          <w:b/>
          <w:bCs/>
          <w:color w:val="007DDE"/>
          <w:spacing w:val="16"/>
          <w:sz w:val="18"/>
          <w:szCs w:val="18"/>
        </w:rPr>
        <w:t>主要人员的角色、职能</w:t>
      </w:r>
    </w:p>
    <w:p w14:paraId="5FE5C51D">
      <w:pPr>
        <w:pStyle w:val="2"/>
        <w:spacing w:before="159" w:line="219" w:lineRule="auto"/>
        <w:ind w:left="730"/>
        <w:rPr>
          <w:sz w:val="18"/>
          <w:szCs w:val="18"/>
        </w:rPr>
      </w:pPr>
      <w:r>
        <w:rPr>
          <w:spacing w:val="19"/>
          <w:sz w:val="18"/>
          <w:szCs w:val="18"/>
        </w:rPr>
        <w:t>数据中心人员主要分为两大类：研发实施类的技术岗位、服</w:t>
      </w:r>
      <w:r>
        <w:rPr>
          <w:spacing w:val="18"/>
          <w:sz w:val="18"/>
          <w:szCs w:val="18"/>
        </w:rPr>
        <w:t>务类的管理岗位。</w:t>
      </w:r>
    </w:p>
    <w:p w14:paraId="15ECE5F2">
      <w:pPr>
        <w:pStyle w:val="2"/>
        <w:spacing w:before="146" w:line="219" w:lineRule="auto"/>
        <w:ind w:left="730"/>
        <w:rPr>
          <w:sz w:val="18"/>
          <w:szCs w:val="18"/>
        </w:rPr>
      </w:pPr>
      <w:r>
        <w:rPr>
          <w:spacing w:val="23"/>
          <w:sz w:val="18"/>
          <w:szCs w:val="18"/>
        </w:rPr>
        <w:t>1)研发实施类技术岗位人员及主要职能</w:t>
      </w:r>
    </w:p>
    <w:p w14:paraId="6F79F241">
      <w:pPr>
        <w:pStyle w:val="2"/>
        <w:spacing w:before="117" w:line="219" w:lineRule="auto"/>
        <w:ind w:left="730"/>
        <w:rPr>
          <w:sz w:val="18"/>
          <w:szCs w:val="18"/>
        </w:rPr>
      </w:pPr>
      <w:r>
        <w:rPr>
          <w:spacing w:val="16"/>
          <w:sz w:val="18"/>
          <w:szCs w:val="18"/>
        </w:rPr>
        <w:t>研发实施类技术岗位人员及主要职能具体如下：</w:t>
      </w:r>
    </w:p>
    <w:p w14:paraId="260FD974">
      <w:pPr>
        <w:spacing w:before="89" w:line="220" w:lineRule="auto"/>
        <w:ind w:left="730"/>
        <w:rPr>
          <w:rFonts w:ascii="楷体" w:hAnsi="楷体" w:eastAsia="楷体" w:cs="楷体"/>
          <w:sz w:val="18"/>
          <w:szCs w:val="18"/>
        </w:rPr>
      </w:pPr>
      <w:r>
        <w:rPr>
          <w:rFonts w:ascii="楷体" w:hAnsi="楷体" w:eastAsia="楷体" w:cs="楷体"/>
          <w:spacing w:val="22"/>
          <w:sz w:val="18"/>
          <w:szCs w:val="18"/>
        </w:rPr>
        <w:t>●</w:t>
      </w:r>
      <w:r>
        <w:rPr>
          <w:rFonts w:ascii="楷体" w:hAnsi="楷体" w:eastAsia="楷体" w:cs="楷体"/>
          <w:spacing w:val="-29"/>
          <w:sz w:val="18"/>
          <w:szCs w:val="18"/>
        </w:rPr>
        <w:t xml:space="preserve"> </w:t>
      </w:r>
      <w:r>
        <w:rPr>
          <w:rFonts w:ascii="楷体" w:hAnsi="楷体" w:eastAsia="楷体" w:cs="楷体"/>
          <w:spacing w:val="22"/>
          <w:sz w:val="18"/>
          <w:szCs w:val="18"/>
        </w:rPr>
        <w:t>大数据分析工程师。基于各种分析手段，利用大数据技术对信息资源进行科学分析、挖</w:t>
      </w:r>
    </w:p>
    <w:p w14:paraId="18B93430">
      <w:pPr>
        <w:spacing w:line="220" w:lineRule="auto"/>
        <w:rPr>
          <w:rFonts w:ascii="楷体" w:hAnsi="楷体" w:eastAsia="楷体" w:cs="楷体"/>
          <w:sz w:val="18"/>
          <w:szCs w:val="18"/>
        </w:rPr>
        <w:sectPr>
          <w:pgSz w:w="10300" w:h="13410"/>
          <w:pgMar w:top="400" w:right="1059" w:bottom="400" w:left="509" w:header="0" w:footer="0" w:gutter="0"/>
          <w:cols w:space="720" w:num="1"/>
        </w:sectPr>
      </w:pPr>
    </w:p>
    <w:p w14:paraId="39FE3D2A">
      <w:pPr>
        <w:pStyle w:val="2"/>
        <w:spacing w:before="47" w:line="219" w:lineRule="auto"/>
        <w:jc w:val="right"/>
        <w:rPr>
          <w:rFonts w:ascii="Times New Roman" w:hAnsi="Times New Roman" w:eastAsia="Times New Roman" w:cs="Times New Roman"/>
          <w:sz w:val="19"/>
          <w:szCs w:val="19"/>
        </w:rPr>
      </w:pPr>
      <w:r>
        <w:rPr>
          <w:spacing w:val="3"/>
          <w:sz w:val="19"/>
          <w:szCs w:val="19"/>
        </w:rPr>
        <w:t>第23章</w:t>
      </w:r>
      <w:r>
        <w:rPr>
          <w:spacing w:val="37"/>
          <w:sz w:val="19"/>
          <w:szCs w:val="19"/>
        </w:rPr>
        <w:t xml:space="preserve"> </w:t>
      </w:r>
      <w:r>
        <w:rPr>
          <w:spacing w:val="3"/>
          <w:sz w:val="19"/>
          <w:szCs w:val="19"/>
        </w:rPr>
        <w:t xml:space="preserve">数据中心监理      </w:t>
      </w:r>
      <w:r>
        <w:rPr>
          <w:rFonts w:ascii="Times New Roman" w:hAnsi="Times New Roman" w:eastAsia="Times New Roman" w:cs="Times New Roman"/>
          <w:spacing w:val="3"/>
          <w:position w:val="-3"/>
          <w:sz w:val="19"/>
          <w:szCs w:val="19"/>
        </w:rPr>
        <w:t>525</w:t>
      </w:r>
    </w:p>
    <w:p w14:paraId="4038983A">
      <w:pPr>
        <w:spacing w:line="295" w:lineRule="auto"/>
        <w:rPr>
          <w:rFonts w:ascii="Arial"/>
          <w:sz w:val="21"/>
        </w:rPr>
      </w:pPr>
    </w:p>
    <w:p w14:paraId="52D84691">
      <w:pPr>
        <w:pStyle w:val="2"/>
        <w:spacing w:before="62" w:line="219" w:lineRule="auto"/>
        <w:ind w:left="670"/>
        <w:rPr>
          <w:sz w:val="19"/>
          <w:szCs w:val="19"/>
        </w:rPr>
      </w:pPr>
      <w:r>
        <w:rPr>
          <w:spacing w:val="6"/>
          <w:sz w:val="19"/>
          <w:szCs w:val="19"/>
        </w:rPr>
        <w:t>掘、展现，并用于决策支持的规划管理。</w:t>
      </w:r>
    </w:p>
    <w:p w14:paraId="36475352">
      <w:pPr>
        <w:pStyle w:val="2"/>
        <w:spacing w:before="103" w:line="301" w:lineRule="auto"/>
        <w:ind w:left="669" w:right="210" w:hanging="280"/>
        <w:rPr>
          <w:sz w:val="19"/>
          <w:szCs w:val="19"/>
        </w:rPr>
      </w:pPr>
      <w:r>
        <w:rPr>
          <w:spacing w:val="12"/>
          <w:sz w:val="19"/>
          <w:szCs w:val="19"/>
        </w:rPr>
        <w:t>●数据研发工程师。通常分为三种角色，即数据挖掘工程师、数据算法工程师和数据安全</w:t>
      </w:r>
      <w:r>
        <w:rPr>
          <w:spacing w:val="4"/>
          <w:sz w:val="19"/>
          <w:szCs w:val="19"/>
        </w:rPr>
        <w:t xml:space="preserve">  </w:t>
      </w:r>
      <w:r>
        <w:rPr>
          <w:spacing w:val="10"/>
          <w:sz w:val="19"/>
          <w:szCs w:val="19"/>
        </w:rPr>
        <w:t>研究工程师。数据挖掘工程师也可以叫作数据挖掘专家，他们通过分析数据，从大量数</w:t>
      </w:r>
      <w:r>
        <w:rPr>
          <w:spacing w:val="3"/>
          <w:sz w:val="19"/>
          <w:szCs w:val="19"/>
        </w:rPr>
        <w:t xml:space="preserve">  </w:t>
      </w:r>
      <w:r>
        <w:rPr>
          <w:spacing w:val="10"/>
          <w:sz w:val="19"/>
          <w:szCs w:val="19"/>
        </w:rPr>
        <w:t>据中寻找其有业务规律、数据规律和应用规律的可应用技术，将数据集成化处理并提供</w:t>
      </w:r>
      <w:r>
        <w:rPr>
          <w:spacing w:val="2"/>
          <w:sz w:val="19"/>
          <w:szCs w:val="19"/>
        </w:rPr>
        <w:t xml:space="preserve">  </w:t>
      </w:r>
      <w:r>
        <w:rPr>
          <w:spacing w:val="12"/>
          <w:sz w:val="19"/>
          <w:szCs w:val="19"/>
        </w:rPr>
        <w:t>共享应用。数据算法工程师通过数据挖掘、互联网搜索算法等技术，展示并应用</w:t>
      </w:r>
      <w:r>
        <w:rPr>
          <w:spacing w:val="11"/>
          <w:sz w:val="19"/>
          <w:szCs w:val="19"/>
        </w:rPr>
        <w:t>数据。</w:t>
      </w:r>
      <w:r>
        <w:rPr>
          <w:sz w:val="19"/>
          <w:szCs w:val="19"/>
        </w:rPr>
        <w:t xml:space="preserve"> </w:t>
      </w:r>
      <w:r>
        <w:rPr>
          <w:spacing w:val="10"/>
          <w:sz w:val="19"/>
          <w:szCs w:val="19"/>
        </w:rPr>
        <w:t>目前，体现大数据发展方向的算法及应用越来越流行，数据算法工程师也逐渐向</w:t>
      </w:r>
      <w:r>
        <w:rPr>
          <w:spacing w:val="9"/>
          <w:sz w:val="19"/>
          <w:szCs w:val="19"/>
        </w:rPr>
        <w:t>人工智</w:t>
      </w:r>
      <w:r>
        <w:rPr>
          <w:sz w:val="19"/>
          <w:szCs w:val="19"/>
        </w:rPr>
        <w:t xml:space="preserve">  </w:t>
      </w:r>
      <w:r>
        <w:rPr>
          <w:spacing w:val="11"/>
          <w:sz w:val="19"/>
          <w:szCs w:val="19"/>
        </w:rPr>
        <w:t>能</w:t>
      </w:r>
      <w:r>
        <w:rPr>
          <w:spacing w:val="-20"/>
          <w:sz w:val="19"/>
          <w:szCs w:val="19"/>
        </w:rPr>
        <w:t xml:space="preserve"> </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AI</w:t>
      </w:r>
      <w:r>
        <w:rPr>
          <w:rFonts w:ascii="Times New Roman" w:hAnsi="Times New Roman" w:eastAsia="Times New Roman" w:cs="Times New Roman"/>
          <w:spacing w:val="11"/>
          <w:sz w:val="19"/>
          <w:szCs w:val="19"/>
        </w:rPr>
        <w:t xml:space="preserve">)    </w:t>
      </w:r>
      <w:r>
        <w:rPr>
          <w:spacing w:val="11"/>
          <w:sz w:val="19"/>
          <w:szCs w:val="19"/>
        </w:rPr>
        <w:t>的方向发展，未来可期。数据安</w:t>
      </w:r>
      <w:r>
        <w:rPr>
          <w:spacing w:val="10"/>
          <w:sz w:val="19"/>
          <w:szCs w:val="19"/>
        </w:rPr>
        <w:t>全研究工程师主要负责数据中心大型服务器、</w:t>
      </w:r>
      <w:r>
        <w:rPr>
          <w:sz w:val="19"/>
          <w:szCs w:val="19"/>
        </w:rPr>
        <w:t xml:space="preserve"> </w:t>
      </w:r>
      <w:r>
        <w:rPr>
          <w:spacing w:val="12"/>
          <w:sz w:val="19"/>
          <w:szCs w:val="19"/>
        </w:rPr>
        <w:t>存储、数据安全的管理工作，并对网络安全、信息安全等项目进行规划、设计和实施，</w:t>
      </w:r>
      <w:r>
        <w:rPr>
          <w:spacing w:val="17"/>
          <w:sz w:val="19"/>
          <w:szCs w:val="19"/>
        </w:rPr>
        <w:t xml:space="preserve"> </w:t>
      </w:r>
      <w:r>
        <w:rPr>
          <w:spacing w:val="10"/>
          <w:sz w:val="19"/>
          <w:szCs w:val="19"/>
        </w:rPr>
        <w:t>对数据中心安全运行状态进行监控和分析，采取必要的措施适时规避安全风险、及时处</w:t>
      </w:r>
      <w:r>
        <w:rPr>
          <w:spacing w:val="3"/>
          <w:sz w:val="19"/>
          <w:szCs w:val="19"/>
        </w:rPr>
        <w:t xml:space="preserve">  </w:t>
      </w:r>
      <w:r>
        <w:rPr>
          <w:spacing w:val="6"/>
          <w:sz w:val="19"/>
          <w:szCs w:val="19"/>
        </w:rPr>
        <w:t>理事故。</w:t>
      </w:r>
    </w:p>
    <w:p w14:paraId="53C35BEC">
      <w:pPr>
        <w:pStyle w:val="2"/>
        <w:spacing w:before="123" w:line="264" w:lineRule="auto"/>
        <w:ind w:left="669" w:right="266" w:hanging="280"/>
        <w:rPr>
          <w:sz w:val="19"/>
          <w:szCs w:val="19"/>
        </w:rPr>
      </w:pPr>
      <w:r>
        <w:rPr>
          <w:spacing w:val="13"/>
          <w:sz w:val="19"/>
          <w:szCs w:val="19"/>
        </w:rPr>
        <w:t>●应用开发工程师。基于业务需求，在数据分析基础上，将信息资源通过必要的应用系统</w:t>
      </w:r>
      <w:r>
        <w:rPr>
          <w:spacing w:val="1"/>
          <w:sz w:val="19"/>
          <w:szCs w:val="19"/>
        </w:rPr>
        <w:t xml:space="preserve"> </w:t>
      </w:r>
      <w:r>
        <w:rPr>
          <w:spacing w:val="7"/>
          <w:sz w:val="19"/>
          <w:szCs w:val="19"/>
        </w:rPr>
        <w:t>以再集成、可视化图表等形式展示给业务用户，提供决策支持。</w:t>
      </w:r>
    </w:p>
    <w:p w14:paraId="514D6C82">
      <w:pPr>
        <w:pStyle w:val="2"/>
        <w:spacing w:before="186" w:line="219" w:lineRule="auto"/>
        <w:ind w:left="389"/>
        <w:rPr>
          <w:sz w:val="19"/>
          <w:szCs w:val="19"/>
        </w:rPr>
      </w:pPr>
      <w:r>
        <w:rPr>
          <w:spacing w:val="15"/>
          <w:sz w:val="19"/>
          <w:szCs w:val="19"/>
        </w:rPr>
        <w:t>2)服务类管理岗位人员及主要职能</w:t>
      </w:r>
    </w:p>
    <w:p w14:paraId="773B47C4">
      <w:pPr>
        <w:pStyle w:val="2"/>
        <w:spacing w:before="74" w:line="289" w:lineRule="auto"/>
        <w:ind w:right="265" w:firstLine="389"/>
        <w:rPr>
          <w:sz w:val="19"/>
          <w:szCs w:val="19"/>
        </w:rPr>
      </w:pPr>
      <w:r>
        <w:rPr>
          <w:spacing w:val="13"/>
          <w:sz w:val="19"/>
          <w:szCs w:val="19"/>
        </w:rPr>
        <w:t>数据中心管理岗以数据中心管理员为主，根据需要可适当配备其他必要的人员。其主要职</w:t>
      </w:r>
      <w:r>
        <w:rPr>
          <w:spacing w:val="2"/>
          <w:sz w:val="19"/>
          <w:szCs w:val="19"/>
        </w:rPr>
        <w:t xml:space="preserve"> </w:t>
      </w:r>
      <w:r>
        <w:rPr>
          <w:spacing w:val="1"/>
          <w:sz w:val="19"/>
          <w:szCs w:val="19"/>
        </w:rPr>
        <w:t>责包括但不限于：</w:t>
      </w:r>
    </w:p>
    <w:p w14:paraId="41715026">
      <w:pPr>
        <w:pStyle w:val="2"/>
        <w:spacing w:before="35" w:line="219" w:lineRule="auto"/>
        <w:ind w:left="389"/>
        <w:rPr>
          <w:sz w:val="19"/>
          <w:szCs w:val="19"/>
        </w:rPr>
      </w:pPr>
      <w:r>
        <w:rPr>
          <w:spacing w:val="11"/>
          <w:sz w:val="19"/>
          <w:szCs w:val="19"/>
        </w:rPr>
        <w:t>●参与数据中心网络的架构设计、建设，负责其日常维</w:t>
      </w:r>
      <w:r>
        <w:rPr>
          <w:spacing w:val="10"/>
          <w:sz w:val="19"/>
          <w:szCs w:val="19"/>
        </w:rPr>
        <w:t>护、优化等工作；</w:t>
      </w:r>
    </w:p>
    <w:p w14:paraId="16B4BE53">
      <w:pPr>
        <w:pStyle w:val="2"/>
        <w:spacing w:before="103" w:line="218" w:lineRule="auto"/>
        <w:ind w:left="389"/>
        <w:rPr>
          <w:sz w:val="19"/>
          <w:szCs w:val="19"/>
        </w:rPr>
      </w:pPr>
      <w:r>
        <w:rPr>
          <w:spacing w:val="11"/>
          <w:sz w:val="19"/>
          <w:szCs w:val="19"/>
        </w:rPr>
        <w:t>●负责数据中心网络安全策略的评估、制定和实施；</w:t>
      </w:r>
    </w:p>
    <w:p w14:paraId="33DB159B">
      <w:pPr>
        <w:pStyle w:val="2"/>
        <w:spacing w:before="98" w:line="219" w:lineRule="auto"/>
        <w:ind w:left="389"/>
        <w:rPr>
          <w:sz w:val="19"/>
          <w:szCs w:val="19"/>
        </w:rPr>
      </w:pPr>
      <w:r>
        <w:rPr>
          <w:spacing w:val="11"/>
          <w:sz w:val="19"/>
          <w:szCs w:val="19"/>
        </w:rPr>
        <w:t>●负责数据中心网络线路、网络设备及域名等的日常运</w:t>
      </w:r>
      <w:r>
        <w:rPr>
          <w:spacing w:val="10"/>
          <w:sz w:val="19"/>
          <w:szCs w:val="19"/>
        </w:rPr>
        <w:t>维、监控和管理；</w:t>
      </w:r>
    </w:p>
    <w:p w14:paraId="39C933E0">
      <w:pPr>
        <w:pStyle w:val="2"/>
        <w:spacing w:before="94" w:line="219" w:lineRule="auto"/>
        <w:ind w:left="389"/>
        <w:rPr>
          <w:sz w:val="19"/>
          <w:szCs w:val="19"/>
        </w:rPr>
      </w:pPr>
      <w:r>
        <w:rPr>
          <w:spacing w:val="10"/>
          <w:sz w:val="19"/>
          <w:szCs w:val="19"/>
        </w:rPr>
        <w:t>●负责相关业务上线的网络方案的测试、实施及保障；</w:t>
      </w:r>
    </w:p>
    <w:p w14:paraId="7182EA1F">
      <w:pPr>
        <w:pStyle w:val="2"/>
        <w:spacing w:before="85" w:line="219" w:lineRule="auto"/>
        <w:ind w:left="389"/>
        <w:rPr>
          <w:sz w:val="19"/>
          <w:szCs w:val="19"/>
        </w:rPr>
      </w:pPr>
      <w:r>
        <w:rPr>
          <w:spacing w:val="12"/>
          <w:sz w:val="19"/>
          <w:szCs w:val="19"/>
        </w:rPr>
        <w:t>●负责对数据中心管理制度的监督执行、检查和考核。</w:t>
      </w:r>
    </w:p>
    <w:p w14:paraId="668F98E2">
      <w:pPr>
        <w:pStyle w:val="2"/>
        <w:spacing w:before="170" w:line="222" w:lineRule="auto"/>
        <w:ind w:left="392"/>
        <w:rPr>
          <w:rFonts w:ascii="黑体" w:hAnsi="黑体" w:eastAsia="黑体" w:cs="黑体"/>
          <w:sz w:val="19"/>
          <w:szCs w:val="19"/>
        </w:rPr>
      </w:pPr>
      <w:r>
        <w:rPr>
          <w:b/>
          <w:bCs/>
          <w:color w:val="0076DF"/>
          <w:spacing w:val="8"/>
          <w:sz w:val="19"/>
          <w:szCs w:val="19"/>
        </w:rPr>
        <w:t>6.</w:t>
      </w:r>
      <w:r>
        <w:rPr>
          <w:rFonts w:ascii="黑体" w:hAnsi="黑体" w:eastAsia="黑体" w:cs="黑体"/>
          <w:b/>
          <w:bCs/>
          <w:color w:val="0076DF"/>
          <w:spacing w:val="8"/>
          <w:sz w:val="19"/>
          <w:szCs w:val="19"/>
        </w:rPr>
        <w:t>数据中心的主要规章制度</w:t>
      </w:r>
    </w:p>
    <w:p w14:paraId="4D9B1244">
      <w:pPr>
        <w:pStyle w:val="2"/>
        <w:spacing w:before="165" w:line="292" w:lineRule="auto"/>
        <w:ind w:right="261" w:firstLine="389"/>
        <w:jc w:val="both"/>
        <w:rPr>
          <w:sz w:val="19"/>
          <w:szCs w:val="19"/>
        </w:rPr>
      </w:pPr>
      <w:r>
        <w:rPr>
          <w:spacing w:val="13"/>
          <w:sz w:val="19"/>
          <w:szCs w:val="19"/>
        </w:rPr>
        <w:t>监理人员可结合数据中心建设与应用的实际情况，协助数据中心业主单位开展必要的建章</w:t>
      </w:r>
      <w:r>
        <w:rPr>
          <w:spacing w:val="5"/>
          <w:sz w:val="19"/>
          <w:szCs w:val="19"/>
        </w:rPr>
        <w:t xml:space="preserve"> </w:t>
      </w:r>
      <w:r>
        <w:rPr>
          <w:spacing w:val="13"/>
          <w:sz w:val="19"/>
          <w:szCs w:val="19"/>
        </w:rPr>
        <w:t>立制工作，开展必要的咨询工作，促进业主单位不断完善</w:t>
      </w:r>
      <w:r>
        <w:rPr>
          <w:spacing w:val="12"/>
          <w:sz w:val="19"/>
          <w:szCs w:val="19"/>
        </w:rPr>
        <w:t>有关制度、管理规程和办法，适时开</w:t>
      </w:r>
      <w:r>
        <w:rPr>
          <w:sz w:val="19"/>
          <w:szCs w:val="19"/>
        </w:rPr>
        <w:t xml:space="preserve"> </w:t>
      </w:r>
      <w:r>
        <w:rPr>
          <w:spacing w:val="9"/>
          <w:sz w:val="19"/>
          <w:szCs w:val="19"/>
        </w:rPr>
        <w:t>展必要的敦促、检查，及时处理相关问题，并做好</w:t>
      </w:r>
      <w:r>
        <w:rPr>
          <w:spacing w:val="8"/>
          <w:sz w:val="19"/>
          <w:szCs w:val="19"/>
        </w:rPr>
        <w:t>工作记录备查。</w:t>
      </w:r>
    </w:p>
    <w:p w14:paraId="349527C4">
      <w:pPr>
        <w:pStyle w:val="2"/>
        <w:spacing w:before="29" w:line="219" w:lineRule="auto"/>
        <w:ind w:left="389"/>
        <w:rPr>
          <w:sz w:val="19"/>
          <w:szCs w:val="19"/>
        </w:rPr>
      </w:pPr>
      <w:r>
        <w:rPr>
          <w:spacing w:val="6"/>
          <w:sz w:val="19"/>
          <w:szCs w:val="19"/>
        </w:rPr>
        <w:t>数据中心涉及的管理制度包括但不限于：</w:t>
      </w:r>
    </w:p>
    <w:p w14:paraId="0957A189">
      <w:pPr>
        <w:pStyle w:val="2"/>
        <w:spacing w:before="75" w:line="219" w:lineRule="auto"/>
        <w:ind w:left="389"/>
        <w:rPr>
          <w:sz w:val="19"/>
          <w:szCs w:val="19"/>
        </w:rPr>
      </w:pPr>
      <w:r>
        <w:rPr>
          <w:spacing w:val="8"/>
          <w:sz w:val="19"/>
          <w:szCs w:val="19"/>
        </w:rPr>
        <w:t>●</w:t>
      </w:r>
      <w:r>
        <w:rPr>
          <w:spacing w:val="-50"/>
          <w:sz w:val="19"/>
          <w:szCs w:val="19"/>
        </w:rPr>
        <w:t xml:space="preserve"> </w:t>
      </w:r>
      <w:r>
        <w:rPr>
          <w:spacing w:val="8"/>
          <w:sz w:val="19"/>
          <w:szCs w:val="19"/>
        </w:rPr>
        <w:t>出入口门禁管理办法；</w:t>
      </w:r>
    </w:p>
    <w:p w14:paraId="1521482D">
      <w:pPr>
        <w:pStyle w:val="2"/>
        <w:spacing w:before="93" w:line="219" w:lineRule="auto"/>
        <w:ind w:left="389"/>
        <w:rPr>
          <w:sz w:val="19"/>
          <w:szCs w:val="19"/>
        </w:rPr>
      </w:pPr>
      <w:r>
        <w:rPr>
          <w:spacing w:val="12"/>
          <w:sz w:val="19"/>
          <w:szCs w:val="19"/>
        </w:rPr>
        <w:t>●各角色人员职责明示；</w:t>
      </w:r>
    </w:p>
    <w:p w14:paraId="1BE4CAC6">
      <w:pPr>
        <w:pStyle w:val="2"/>
        <w:spacing w:before="94" w:line="218" w:lineRule="auto"/>
        <w:ind w:left="389"/>
        <w:rPr>
          <w:sz w:val="19"/>
          <w:szCs w:val="19"/>
        </w:rPr>
      </w:pPr>
      <w:r>
        <w:rPr>
          <w:spacing w:val="12"/>
          <w:sz w:val="19"/>
          <w:szCs w:val="19"/>
        </w:rPr>
        <w:t>●设备故障报告流程；</w:t>
      </w:r>
    </w:p>
    <w:p w14:paraId="6E5E26BD">
      <w:pPr>
        <w:pStyle w:val="2"/>
        <w:spacing w:before="86" w:line="218" w:lineRule="auto"/>
        <w:ind w:left="389"/>
        <w:rPr>
          <w:sz w:val="19"/>
          <w:szCs w:val="19"/>
        </w:rPr>
      </w:pPr>
      <w:r>
        <w:rPr>
          <w:spacing w:val="12"/>
          <w:sz w:val="19"/>
          <w:szCs w:val="19"/>
        </w:rPr>
        <w:t>●安全事故报告流程；</w:t>
      </w:r>
    </w:p>
    <w:p w14:paraId="51926B17">
      <w:pPr>
        <w:pStyle w:val="2"/>
        <w:spacing w:before="107" w:line="219" w:lineRule="auto"/>
        <w:ind w:left="389"/>
        <w:rPr>
          <w:sz w:val="19"/>
          <w:szCs w:val="19"/>
        </w:rPr>
      </w:pPr>
      <w:r>
        <w:rPr>
          <w:spacing w:val="12"/>
          <w:sz w:val="19"/>
          <w:szCs w:val="19"/>
        </w:rPr>
        <w:t>●故障、事故处理确认流程。</w:t>
      </w:r>
    </w:p>
    <w:p w14:paraId="03004327">
      <w:pPr>
        <w:spacing w:line="319" w:lineRule="auto"/>
        <w:rPr>
          <w:rFonts w:ascii="Arial"/>
          <w:sz w:val="21"/>
        </w:rPr>
      </w:pPr>
    </w:p>
    <w:p w14:paraId="1E7AB527">
      <w:pPr>
        <w:pStyle w:val="2"/>
        <w:spacing w:before="92" w:line="222" w:lineRule="auto"/>
        <w:ind w:left="4"/>
        <w:rPr>
          <w:rFonts w:ascii="黑体" w:hAnsi="黑体" w:eastAsia="黑体" w:cs="黑体"/>
          <w:sz w:val="28"/>
          <w:szCs w:val="28"/>
        </w:rPr>
      </w:pPr>
      <w:r>
        <w:rPr>
          <w:b/>
          <w:bCs/>
          <w:color w:val="0075DC"/>
          <w:spacing w:val="-5"/>
          <w:sz w:val="28"/>
          <w:szCs w:val="28"/>
        </w:rPr>
        <w:t>23.2</w:t>
      </w:r>
      <w:r>
        <w:rPr>
          <w:color w:val="0075DC"/>
          <w:spacing w:val="135"/>
          <w:sz w:val="28"/>
          <w:szCs w:val="28"/>
        </w:rPr>
        <w:t xml:space="preserve"> </w:t>
      </w:r>
      <w:r>
        <w:rPr>
          <w:rFonts w:ascii="黑体" w:hAnsi="黑体" w:eastAsia="黑体" w:cs="黑体"/>
          <w:b/>
          <w:bCs/>
          <w:color w:val="0075DC"/>
          <w:spacing w:val="-5"/>
          <w:sz w:val="28"/>
          <w:szCs w:val="28"/>
        </w:rPr>
        <w:t>招标阶段监理工作</w:t>
      </w:r>
    </w:p>
    <w:p w14:paraId="58F2435B">
      <w:pPr>
        <w:pStyle w:val="2"/>
        <w:spacing w:before="255" w:line="309" w:lineRule="auto"/>
        <w:ind w:right="268" w:firstLine="389"/>
        <w:rPr>
          <w:sz w:val="19"/>
          <w:szCs w:val="19"/>
        </w:rPr>
      </w:pPr>
      <w:r>
        <w:rPr>
          <w:spacing w:val="13"/>
          <w:sz w:val="19"/>
          <w:szCs w:val="19"/>
        </w:rPr>
        <w:t>本节重点介绍监理单位在数据中心工程招标阶段需要执行的监理活动、主要监理内容和监</w:t>
      </w:r>
      <w:r>
        <w:rPr>
          <w:sz w:val="19"/>
          <w:szCs w:val="19"/>
        </w:rPr>
        <w:t xml:space="preserve"> </w:t>
      </w:r>
      <w:r>
        <w:rPr>
          <w:spacing w:val="6"/>
          <w:sz w:val="19"/>
          <w:szCs w:val="19"/>
        </w:rPr>
        <w:t>理流程。</w:t>
      </w:r>
    </w:p>
    <w:p w14:paraId="5F2242C1">
      <w:pPr>
        <w:spacing w:line="309" w:lineRule="auto"/>
        <w:rPr>
          <w:sz w:val="19"/>
          <w:szCs w:val="19"/>
        </w:rPr>
        <w:sectPr>
          <w:pgSz w:w="10300" w:h="13270"/>
          <w:pgMar w:top="400" w:right="584" w:bottom="400" w:left="1140" w:header="0" w:footer="0" w:gutter="0"/>
          <w:cols w:space="720" w:num="1"/>
        </w:sectPr>
      </w:pPr>
    </w:p>
    <w:p w14:paraId="13CDB2BE">
      <w:pPr>
        <w:pStyle w:val="2"/>
        <w:spacing w:before="68" w:line="219" w:lineRule="auto"/>
        <w:rPr>
          <w:sz w:val="20"/>
          <w:szCs w:val="20"/>
        </w:rPr>
      </w:pPr>
      <w:r>
        <w:rPr>
          <w:rFonts w:ascii="Times New Roman" w:hAnsi="Times New Roman" w:eastAsia="Times New Roman" w:cs="Times New Roman"/>
          <w:position w:val="-2"/>
          <w:sz w:val="20"/>
          <w:szCs w:val="20"/>
        </w:rPr>
        <w:t xml:space="preserve">526             </w:t>
      </w:r>
      <w:r>
        <w:rPr>
          <w:sz w:val="20"/>
          <w:szCs w:val="20"/>
        </w:rPr>
        <w:t>信息系统监理师教程(第2版)</w:t>
      </w:r>
    </w:p>
    <w:p w14:paraId="570C9856">
      <w:pPr>
        <w:spacing w:line="283" w:lineRule="auto"/>
        <w:rPr>
          <w:rFonts w:ascii="Arial"/>
          <w:sz w:val="21"/>
        </w:rPr>
      </w:pPr>
    </w:p>
    <w:p w14:paraId="3AD25E45">
      <w:pPr>
        <w:pStyle w:val="2"/>
        <w:spacing w:before="81" w:line="220" w:lineRule="auto"/>
        <w:ind w:left="343"/>
        <w:rPr>
          <w:sz w:val="25"/>
          <w:szCs w:val="25"/>
        </w:rPr>
      </w:pPr>
      <w:r>
        <w:rPr>
          <w:b/>
          <w:bCs/>
          <w:color w:val="0079CA"/>
          <w:spacing w:val="-16"/>
          <w:sz w:val="25"/>
          <w:szCs w:val="25"/>
        </w:rPr>
        <w:t>23.2.1</w:t>
      </w:r>
      <w:r>
        <w:rPr>
          <w:color w:val="0079CA"/>
          <w:spacing w:val="70"/>
          <w:sz w:val="25"/>
          <w:szCs w:val="25"/>
        </w:rPr>
        <w:t xml:space="preserve"> </w:t>
      </w:r>
      <w:r>
        <w:rPr>
          <w:b/>
          <w:bCs/>
          <w:color w:val="0079CA"/>
          <w:spacing w:val="-16"/>
          <w:sz w:val="25"/>
          <w:szCs w:val="25"/>
        </w:rPr>
        <w:t>监理活动</w:t>
      </w:r>
    </w:p>
    <w:p w14:paraId="417FED96">
      <w:pPr>
        <w:pStyle w:val="2"/>
        <w:spacing w:before="172" w:line="219" w:lineRule="auto"/>
        <w:ind w:left="749"/>
        <w:rPr>
          <w:sz w:val="20"/>
          <w:szCs w:val="20"/>
        </w:rPr>
      </w:pPr>
      <w:r>
        <w:rPr>
          <w:spacing w:val="-3"/>
          <w:sz w:val="20"/>
          <w:szCs w:val="20"/>
        </w:rPr>
        <w:t>数据中心工程招标阶段的主要监理活动如下：</w:t>
      </w:r>
    </w:p>
    <w:p w14:paraId="2DFADF2A">
      <w:pPr>
        <w:pStyle w:val="2"/>
        <w:spacing w:before="82" w:line="252" w:lineRule="auto"/>
        <w:ind w:left="369" w:right="14" w:firstLine="379"/>
        <w:rPr>
          <w:sz w:val="20"/>
          <w:szCs w:val="20"/>
        </w:rPr>
      </w:pPr>
      <w:r>
        <w:rPr>
          <w:spacing w:val="6"/>
          <w:sz w:val="20"/>
          <w:szCs w:val="20"/>
        </w:rPr>
        <w:t>(1)在业主单位的授权下，参加招标文件的编制过程，提供咨询服务，针对业主单位的质</w:t>
      </w:r>
      <w:r>
        <w:rPr>
          <w:spacing w:val="1"/>
          <w:sz w:val="20"/>
          <w:szCs w:val="20"/>
        </w:rPr>
        <w:t xml:space="preserve"> </w:t>
      </w:r>
      <w:r>
        <w:rPr>
          <w:spacing w:val="-6"/>
          <w:sz w:val="20"/>
          <w:szCs w:val="20"/>
        </w:rPr>
        <w:t>询，提供监理意见；</w:t>
      </w:r>
    </w:p>
    <w:p w14:paraId="693D1CF0">
      <w:pPr>
        <w:pStyle w:val="2"/>
        <w:spacing w:before="41" w:line="272" w:lineRule="auto"/>
        <w:ind w:left="369" w:right="29" w:firstLine="379"/>
        <w:rPr>
          <w:sz w:val="20"/>
          <w:szCs w:val="20"/>
        </w:rPr>
      </w:pPr>
      <w:r>
        <w:rPr>
          <w:spacing w:val="8"/>
          <w:sz w:val="20"/>
          <w:szCs w:val="20"/>
        </w:rPr>
        <w:t>(2)在业主单位的授权下，参加业主单位与承建单位合同或服务级别协议</w:t>
      </w:r>
      <w:r>
        <w:rPr>
          <w:spacing w:val="-59"/>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SLA</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7"/>
          <w:sz w:val="20"/>
          <w:szCs w:val="20"/>
        </w:rPr>
        <w:t xml:space="preserve"> </w:t>
      </w:r>
      <w:r>
        <w:rPr>
          <w:spacing w:val="7"/>
          <w:sz w:val="20"/>
          <w:szCs w:val="20"/>
        </w:rPr>
        <w:t>谈判过</w:t>
      </w:r>
      <w:r>
        <w:rPr>
          <w:sz w:val="20"/>
          <w:szCs w:val="20"/>
        </w:rPr>
        <w:t xml:space="preserve"> </w:t>
      </w:r>
      <w:r>
        <w:rPr>
          <w:spacing w:val="-2"/>
          <w:sz w:val="20"/>
          <w:szCs w:val="20"/>
        </w:rPr>
        <w:t>程，提供咨询服务，针对业主单位的质询，</w:t>
      </w:r>
      <w:r>
        <w:rPr>
          <w:spacing w:val="-3"/>
          <w:sz w:val="20"/>
          <w:szCs w:val="20"/>
        </w:rPr>
        <w:t>提供监理意见。</w:t>
      </w:r>
    </w:p>
    <w:p w14:paraId="2A0E7610">
      <w:pPr>
        <w:pStyle w:val="2"/>
        <w:spacing w:before="237" w:line="222" w:lineRule="auto"/>
        <w:ind w:left="372"/>
        <w:rPr>
          <w:sz w:val="25"/>
          <w:szCs w:val="25"/>
        </w:rPr>
      </w:pPr>
      <w:r>
        <w:rPr>
          <w:b/>
          <w:bCs/>
          <w:color w:val="0085D3"/>
          <w:spacing w:val="-18"/>
          <w:sz w:val="25"/>
          <w:szCs w:val="25"/>
        </w:rPr>
        <w:t>23.2.2</w:t>
      </w:r>
      <w:r>
        <w:rPr>
          <w:color w:val="0085D3"/>
          <w:spacing w:val="100"/>
          <w:sz w:val="25"/>
          <w:szCs w:val="25"/>
        </w:rPr>
        <w:t xml:space="preserve"> </w:t>
      </w:r>
      <w:r>
        <w:rPr>
          <w:b/>
          <w:bCs/>
          <w:color w:val="0085D3"/>
          <w:spacing w:val="-18"/>
          <w:sz w:val="25"/>
          <w:szCs w:val="25"/>
        </w:rPr>
        <w:t>监理要点</w:t>
      </w:r>
    </w:p>
    <w:p w14:paraId="43832FE1">
      <w:pPr>
        <w:pStyle w:val="2"/>
        <w:spacing w:before="242" w:line="222" w:lineRule="auto"/>
        <w:ind w:left="752"/>
        <w:rPr>
          <w:rFonts w:ascii="黑体" w:hAnsi="黑体" w:eastAsia="黑体" w:cs="黑体"/>
          <w:sz w:val="20"/>
          <w:szCs w:val="20"/>
        </w:rPr>
      </w:pPr>
      <w:r>
        <w:rPr>
          <w:b/>
          <w:bCs/>
          <w:color w:val="0081CC"/>
          <w:spacing w:val="-4"/>
          <w:sz w:val="20"/>
          <w:szCs w:val="20"/>
        </w:rPr>
        <w:t>1.</w:t>
      </w:r>
      <w:r>
        <w:rPr>
          <w:rFonts w:ascii="黑体" w:hAnsi="黑体" w:eastAsia="黑体" w:cs="黑体"/>
          <w:b/>
          <w:bCs/>
          <w:color w:val="0081CC"/>
          <w:spacing w:val="-4"/>
          <w:sz w:val="20"/>
          <w:szCs w:val="20"/>
        </w:rPr>
        <w:t>数据中心招标文件的审核要点</w:t>
      </w:r>
    </w:p>
    <w:p w14:paraId="1E23C740">
      <w:pPr>
        <w:pStyle w:val="2"/>
        <w:spacing w:before="153" w:line="277" w:lineRule="auto"/>
        <w:ind w:left="369" w:firstLine="379"/>
        <w:jc w:val="both"/>
        <w:rPr>
          <w:sz w:val="20"/>
          <w:szCs w:val="20"/>
        </w:rPr>
      </w:pPr>
      <w:r>
        <w:rPr>
          <w:spacing w:val="3"/>
          <w:sz w:val="20"/>
          <w:szCs w:val="20"/>
        </w:rPr>
        <w:t>监理机构可根据数据中心建设需求，依据招标投标法</w:t>
      </w:r>
      <w:r>
        <w:rPr>
          <w:spacing w:val="2"/>
          <w:sz w:val="20"/>
          <w:szCs w:val="20"/>
        </w:rPr>
        <w:t>和政府采购法等法律法规、项目立项</w:t>
      </w:r>
      <w:r>
        <w:rPr>
          <w:sz w:val="20"/>
          <w:szCs w:val="20"/>
        </w:rPr>
        <w:t xml:space="preserve"> </w:t>
      </w:r>
      <w:r>
        <w:rPr>
          <w:spacing w:val="3"/>
          <w:sz w:val="20"/>
          <w:szCs w:val="20"/>
        </w:rPr>
        <w:t>报告、可行性研究报告及批复、初步设计报告及批复等文件，为业主单位在招标文件编制过程</w:t>
      </w:r>
      <w:r>
        <w:rPr>
          <w:spacing w:val="12"/>
          <w:sz w:val="20"/>
          <w:szCs w:val="20"/>
        </w:rPr>
        <w:t xml:space="preserve"> </w:t>
      </w:r>
      <w:r>
        <w:rPr>
          <w:spacing w:val="-4"/>
          <w:sz w:val="20"/>
          <w:szCs w:val="20"/>
        </w:rPr>
        <w:t>中提供必要的服务，并提出咨询意见。</w:t>
      </w:r>
    </w:p>
    <w:p w14:paraId="22211B59">
      <w:pPr>
        <w:pStyle w:val="2"/>
        <w:spacing w:before="49" w:line="219" w:lineRule="auto"/>
        <w:ind w:left="749"/>
        <w:rPr>
          <w:sz w:val="20"/>
          <w:szCs w:val="20"/>
        </w:rPr>
      </w:pPr>
      <w:r>
        <w:rPr>
          <w:spacing w:val="-3"/>
          <w:sz w:val="20"/>
          <w:szCs w:val="20"/>
        </w:rPr>
        <w:t>监理机构应对招标文件重点审核以下内容：</w:t>
      </w:r>
    </w:p>
    <w:p w14:paraId="455E9879">
      <w:pPr>
        <w:pStyle w:val="2"/>
        <w:spacing w:before="65" w:line="219" w:lineRule="auto"/>
        <w:ind w:left="749"/>
        <w:rPr>
          <w:sz w:val="20"/>
          <w:szCs w:val="20"/>
        </w:rPr>
      </w:pPr>
      <w:r>
        <w:rPr>
          <w:spacing w:val="1"/>
          <w:sz w:val="20"/>
          <w:szCs w:val="20"/>
        </w:rPr>
        <w:t>(1)审核招标方式与立项批复招标方式的符合性；</w:t>
      </w:r>
    </w:p>
    <w:p w14:paraId="07EE9B77">
      <w:pPr>
        <w:pStyle w:val="2"/>
        <w:spacing w:before="92" w:line="219" w:lineRule="auto"/>
        <w:ind w:left="749"/>
        <w:rPr>
          <w:sz w:val="20"/>
          <w:szCs w:val="20"/>
        </w:rPr>
      </w:pPr>
      <w:r>
        <w:rPr>
          <w:spacing w:val="2"/>
          <w:sz w:val="20"/>
          <w:szCs w:val="20"/>
        </w:rPr>
        <w:t>(2)结合工程建设需求和现状，审核招标内容</w:t>
      </w:r>
      <w:r>
        <w:rPr>
          <w:spacing w:val="1"/>
          <w:sz w:val="20"/>
          <w:szCs w:val="20"/>
        </w:rPr>
        <w:t>与工程初步设计及概算批复的符合性；</w:t>
      </w:r>
    </w:p>
    <w:p w14:paraId="0FE2CF3F">
      <w:pPr>
        <w:pStyle w:val="2"/>
        <w:spacing w:before="73" w:line="219" w:lineRule="auto"/>
        <w:ind w:left="749"/>
        <w:rPr>
          <w:sz w:val="20"/>
          <w:szCs w:val="20"/>
        </w:rPr>
      </w:pPr>
      <w:r>
        <w:rPr>
          <w:spacing w:val="2"/>
          <w:sz w:val="20"/>
          <w:szCs w:val="20"/>
        </w:rPr>
        <w:t>(3)审核投标单位资质要求的合规性，注意规避</w:t>
      </w:r>
      <w:r>
        <w:rPr>
          <w:spacing w:val="1"/>
          <w:sz w:val="20"/>
          <w:szCs w:val="20"/>
        </w:rPr>
        <w:t>可能存在的歧视和违规性表述；</w:t>
      </w:r>
    </w:p>
    <w:p w14:paraId="4FBD4341">
      <w:pPr>
        <w:pStyle w:val="2"/>
        <w:spacing w:before="63" w:line="219" w:lineRule="auto"/>
        <w:ind w:left="749"/>
        <w:rPr>
          <w:sz w:val="20"/>
          <w:szCs w:val="20"/>
        </w:rPr>
      </w:pPr>
      <w:r>
        <w:rPr>
          <w:spacing w:val="1"/>
          <w:sz w:val="20"/>
          <w:szCs w:val="20"/>
        </w:rPr>
        <w:t>(4)审核招标文件获取及递交时间的合规性；</w:t>
      </w:r>
    </w:p>
    <w:p w14:paraId="21CE7517">
      <w:pPr>
        <w:pStyle w:val="2"/>
        <w:spacing w:before="73" w:line="219" w:lineRule="auto"/>
        <w:ind w:left="749"/>
        <w:rPr>
          <w:sz w:val="20"/>
          <w:szCs w:val="20"/>
        </w:rPr>
      </w:pPr>
      <w:r>
        <w:rPr>
          <w:spacing w:val="2"/>
          <w:sz w:val="20"/>
          <w:szCs w:val="20"/>
        </w:rPr>
        <w:t>(5)审核资格审查程序和条件的合规性；</w:t>
      </w:r>
    </w:p>
    <w:p w14:paraId="25866F2C">
      <w:pPr>
        <w:pStyle w:val="2"/>
        <w:spacing w:before="73" w:line="220" w:lineRule="auto"/>
        <w:ind w:left="749"/>
        <w:rPr>
          <w:sz w:val="20"/>
          <w:szCs w:val="20"/>
        </w:rPr>
      </w:pPr>
      <w:r>
        <w:rPr>
          <w:spacing w:val="1"/>
          <w:sz w:val="20"/>
          <w:szCs w:val="20"/>
        </w:rPr>
        <w:t>(6)审核投标保证金、履约保证金约定的合理性；</w:t>
      </w:r>
    </w:p>
    <w:p w14:paraId="08A61782">
      <w:pPr>
        <w:pStyle w:val="2"/>
        <w:spacing w:before="71" w:line="219" w:lineRule="auto"/>
        <w:ind w:left="749"/>
        <w:rPr>
          <w:sz w:val="20"/>
          <w:szCs w:val="20"/>
        </w:rPr>
      </w:pPr>
      <w:r>
        <w:rPr>
          <w:spacing w:val="2"/>
          <w:sz w:val="20"/>
          <w:szCs w:val="20"/>
        </w:rPr>
        <w:t>(7)审核评标办法、评分标准的合理性；</w:t>
      </w:r>
    </w:p>
    <w:p w14:paraId="04D8753A">
      <w:pPr>
        <w:pStyle w:val="2"/>
        <w:spacing w:before="83" w:line="219" w:lineRule="auto"/>
        <w:ind w:left="749"/>
        <w:rPr>
          <w:sz w:val="20"/>
          <w:szCs w:val="20"/>
        </w:rPr>
      </w:pPr>
      <w:r>
        <w:rPr>
          <w:spacing w:val="2"/>
          <w:sz w:val="20"/>
          <w:szCs w:val="20"/>
        </w:rPr>
        <w:t>(8)审核废标条件的合规性；</w:t>
      </w:r>
    </w:p>
    <w:p w14:paraId="75B24D27">
      <w:pPr>
        <w:pStyle w:val="2"/>
        <w:spacing w:before="81" w:line="218" w:lineRule="auto"/>
        <w:ind w:left="749"/>
        <w:rPr>
          <w:sz w:val="20"/>
          <w:szCs w:val="20"/>
        </w:rPr>
      </w:pPr>
      <w:r>
        <w:rPr>
          <w:spacing w:val="1"/>
          <w:sz w:val="20"/>
          <w:szCs w:val="20"/>
        </w:rPr>
        <w:t>(9)根据工程初步设计报告、招标技术需求等，审核工程质量要求和进度要求的合规性；</w:t>
      </w:r>
    </w:p>
    <w:p w14:paraId="2EE7ED8F">
      <w:pPr>
        <w:pStyle w:val="2"/>
        <w:spacing w:before="53" w:line="257" w:lineRule="auto"/>
        <w:ind w:left="369" w:right="24" w:firstLine="379"/>
        <w:rPr>
          <w:sz w:val="20"/>
          <w:szCs w:val="20"/>
        </w:rPr>
      </w:pPr>
      <w:r>
        <w:rPr>
          <w:spacing w:val="6"/>
          <w:sz w:val="20"/>
          <w:szCs w:val="20"/>
        </w:rPr>
        <w:t>(10)根据工程/项目的初步设计报告、概预算批复意见</w:t>
      </w:r>
      <w:r>
        <w:rPr>
          <w:spacing w:val="5"/>
          <w:sz w:val="20"/>
          <w:szCs w:val="20"/>
        </w:rPr>
        <w:t>和当前市场行情等，审核安全生产</w:t>
      </w:r>
      <w:r>
        <w:rPr>
          <w:sz w:val="20"/>
          <w:szCs w:val="20"/>
        </w:rPr>
        <w:t xml:space="preserve"> </w:t>
      </w:r>
      <w:r>
        <w:rPr>
          <w:spacing w:val="-4"/>
          <w:sz w:val="20"/>
          <w:szCs w:val="20"/>
        </w:rPr>
        <w:t>和文明施工等措施费用与计价合规性；</w:t>
      </w:r>
    </w:p>
    <w:p w14:paraId="7DE5571D">
      <w:pPr>
        <w:pStyle w:val="2"/>
        <w:spacing w:before="84" w:line="219" w:lineRule="auto"/>
        <w:ind w:left="749"/>
        <w:rPr>
          <w:sz w:val="20"/>
          <w:szCs w:val="20"/>
        </w:rPr>
      </w:pPr>
      <w:r>
        <w:rPr>
          <w:spacing w:val="1"/>
          <w:sz w:val="20"/>
          <w:szCs w:val="20"/>
        </w:rPr>
        <w:t>(11)审核变更、计量、材料及人工费调整、违约、结算审计等约定的合规性；</w:t>
      </w:r>
    </w:p>
    <w:p w14:paraId="7DBC6E95">
      <w:pPr>
        <w:pStyle w:val="2"/>
        <w:spacing w:before="84" w:line="219" w:lineRule="auto"/>
        <w:ind w:left="749"/>
        <w:rPr>
          <w:sz w:val="20"/>
          <w:szCs w:val="20"/>
        </w:rPr>
      </w:pPr>
      <w:r>
        <w:rPr>
          <w:spacing w:val="2"/>
          <w:sz w:val="20"/>
          <w:szCs w:val="20"/>
        </w:rPr>
        <w:t>(12)响应业主单位提出的其他咨询要求，提出监理意见和建议。</w:t>
      </w:r>
    </w:p>
    <w:p w14:paraId="2F2A63C8">
      <w:pPr>
        <w:pStyle w:val="2"/>
        <w:spacing w:before="148" w:line="221" w:lineRule="auto"/>
        <w:ind w:left="752"/>
        <w:rPr>
          <w:rFonts w:ascii="黑体" w:hAnsi="黑体" w:eastAsia="黑体" w:cs="黑体"/>
          <w:sz w:val="20"/>
          <w:szCs w:val="20"/>
        </w:rPr>
      </w:pPr>
      <w:r>
        <w:rPr>
          <w:b/>
          <w:bCs/>
          <w:color w:val="0083DB"/>
          <w:spacing w:val="-1"/>
          <w:sz w:val="20"/>
          <w:szCs w:val="20"/>
        </w:rPr>
        <w:t>2.</w:t>
      </w:r>
      <w:r>
        <w:rPr>
          <w:rFonts w:ascii="黑体" w:hAnsi="黑体" w:eastAsia="黑体" w:cs="黑体"/>
          <w:b/>
          <w:bCs/>
          <w:color w:val="0083DB"/>
          <w:spacing w:val="-1"/>
          <w:sz w:val="20"/>
          <w:szCs w:val="20"/>
        </w:rPr>
        <w:t>承建单位合同或服务级别协议</w:t>
      </w:r>
      <w:r>
        <w:rPr>
          <w:b/>
          <w:bCs/>
          <w:color w:val="0083DB"/>
          <w:spacing w:val="-1"/>
          <w:sz w:val="20"/>
          <w:szCs w:val="20"/>
        </w:rPr>
        <w:t>(SLA)</w:t>
      </w:r>
      <w:r>
        <w:rPr>
          <w:color w:val="0083DB"/>
          <w:spacing w:val="32"/>
          <w:sz w:val="20"/>
          <w:szCs w:val="20"/>
        </w:rPr>
        <w:t xml:space="preserve">  </w:t>
      </w:r>
      <w:r>
        <w:rPr>
          <w:rFonts w:ascii="黑体" w:hAnsi="黑体" w:eastAsia="黑体" w:cs="黑体"/>
          <w:b/>
          <w:bCs/>
          <w:color w:val="0083DB"/>
          <w:spacing w:val="-1"/>
          <w:sz w:val="20"/>
          <w:szCs w:val="20"/>
        </w:rPr>
        <w:t>的审核重点</w:t>
      </w:r>
    </w:p>
    <w:p w14:paraId="4263F58A">
      <w:pPr>
        <w:pStyle w:val="2"/>
        <w:spacing w:before="113" w:line="212" w:lineRule="auto"/>
        <w:ind w:left="749"/>
        <w:rPr>
          <w:sz w:val="20"/>
          <w:szCs w:val="20"/>
        </w:rPr>
      </w:pPr>
      <w:r>
        <w:rPr>
          <w:spacing w:val="4"/>
          <w:sz w:val="20"/>
          <w:szCs w:val="20"/>
        </w:rPr>
        <w:t>监理机构可以根据数据中心建设需求及招标文件，对承建合同或服务级别协议</w:t>
      </w:r>
      <w:r>
        <w:rPr>
          <w:spacing w:val="-56"/>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SLA</w:t>
      </w:r>
      <w:r>
        <w:rPr>
          <w:rFonts w:ascii="Times New Roman" w:hAnsi="Times New Roman" w:eastAsia="Times New Roman" w:cs="Times New Roman"/>
          <w:spacing w:val="4"/>
          <w:sz w:val="20"/>
          <w:szCs w:val="20"/>
        </w:rPr>
        <w:t xml:space="preserve">)    </w:t>
      </w:r>
      <w:r>
        <w:rPr>
          <w:spacing w:val="4"/>
          <w:sz w:val="20"/>
          <w:szCs w:val="20"/>
        </w:rPr>
        <w:t>的</w:t>
      </w:r>
    </w:p>
    <w:p w14:paraId="4ED43766">
      <w:pPr>
        <w:pStyle w:val="2"/>
        <w:spacing w:before="103" w:line="219" w:lineRule="auto"/>
        <w:ind w:left="369"/>
        <w:rPr>
          <w:sz w:val="20"/>
          <w:szCs w:val="20"/>
        </w:rPr>
      </w:pPr>
      <w:r>
        <w:rPr>
          <w:spacing w:val="-3"/>
          <w:sz w:val="20"/>
          <w:szCs w:val="20"/>
        </w:rPr>
        <w:t>如下方面进行重点审核，并提出咨询意见：</w:t>
      </w:r>
    </w:p>
    <w:p w14:paraId="74A3CF83">
      <w:pPr>
        <w:pStyle w:val="2"/>
        <w:spacing w:before="83" w:line="248" w:lineRule="auto"/>
        <w:ind w:left="369" w:right="27" w:firstLine="379"/>
        <w:rPr>
          <w:sz w:val="20"/>
          <w:szCs w:val="20"/>
        </w:rPr>
      </w:pPr>
      <w:r>
        <w:rPr>
          <w:spacing w:val="6"/>
          <w:sz w:val="20"/>
          <w:szCs w:val="20"/>
        </w:rPr>
        <w:t>(1)审核合同范围、双方职责、权利和义务的描述与招标文件</w:t>
      </w:r>
      <w:r>
        <w:rPr>
          <w:spacing w:val="5"/>
          <w:sz w:val="20"/>
          <w:szCs w:val="20"/>
        </w:rPr>
        <w:t>的一致性，比对合同或协议</w:t>
      </w:r>
      <w:r>
        <w:rPr>
          <w:sz w:val="20"/>
          <w:szCs w:val="20"/>
        </w:rPr>
        <w:t xml:space="preserve"> </w:t>
      </w:r>
      <w:r>
        <w:rPr>
          <w:spacing w:val="-4"/>
          <w:sz w:val="20"/>
          <w:szCs w:val="20"/>
        </w:rPr>
        <w:t>与招标文件、投标文件可能存在的差异；</w:t>
      </w:r>
    </w:p>
    <w:p w14:paraId="31D28086">
      <w:pPr>
        <w:pStyle w:val="2"/>
        <w:spacing w:before="61" w:line="219" w:lineRule="auto"/>
        <w:ind w:left="749"/>
        <w:rPr>
          <w:sz w:val="20"/>
          <w:szCs w:val="20"/>
        </w:rPr>
      </w:pPr>
      <w:r>
        <w:rPr>
          <w:spacing w:val="1"/>
          <w:sz w:val="20"/>
          <w:szCs w:val="20"/>
        </w:rPr>
        <w:t>(2)审核采购货物参数和服务级别指标的明确性；</w:t>
      </w:r>
    </w:p>
    <w:p w14:paraId="4D358EB2">
      <w:pPr>
        <w:pStyle w:val="2"/>
        <w:spacing w:before="74" w:line="219" w:lineRule="auto"/>
        <w:ind w:left="749"/>
        <w:rPr>
          <w:sz w:val="20"/>
          <w:szCs w:val="20"/>
        </w:rPr>
      </w:pPr>
      <w:r>
        <w:rPr>
          <w:spacing w:val="1"/>
          <w:sz w:val="20"/>
          <w:szCs w:val="20"/>
        </w:rPr>
        <w:t>(3)审核实施工艺、工序及验收指标的合规性；</w:t>
      </w:r>
    </w:p>
    <w:p w14:paraId="39476EEA">
      <w:pPr>
        <w:pStyle w:val="2"/>
        <w:spacing w:before="83" w:line="219" w:lineRule="auto"/>
        <w:ind w:left="749"/>
        <w:rPr>
          <w:sz w:val="20"/>
          <w:szCs w:val="20"/>
        </w:rPr>
      </w:pPr>
      <w:r>
        <w:rPr>
          <w:spacing w:val="3"/>
          <w:sz w:val="20"/>
          <w:szCs w:val="20"/>
        </w:rPr>
        <w:t>(4)审核交付过程与交付成果的可操作性与合规性。</w:t>
      </w:r>
    </w:p>
    <w:p w14:paraId="041D9FE6">
      <w:pPr>
        <w:spacing w:line="219" w:lineRule="auto"/>
        <w:rPr>
          <w:sz w:val="20"/>
          <w:szCs w:val="20"/>
        </w:rPr>
        <w:sectPr>
          <w:pgSz w:w="10300" w:h="13330"/>
          <w:pgMar w:top="400" w:right="1062" w:bottom="400" w:left="530" w:header="0" w:footer="0" w:gutter="0"/>
          <w:cols w:space="720" w:num="1"/>
        </w:sectPr>
      </w:pPr>
    </w:p>
    <w:p w14:paraId="76E35DEF">
      <w:pPr>
        <w:pStyle w:val="2"/>
        <w:spacing w:before="66" w:line="219" w:lineRule="auto"/>
        <w:jc w:val="right"/>
        <w:rPr>
          <w:rFonts w:ascii="Times New Roman" w:hAnsi="Times New Roman" w:eastAsia="Times New Roman" w:cs="Times New Roman"/>
          <w:sz w:val="18"/>
          <w:szCs w:val="18"/>
        </w:rPr>
      </w:pPr>
      <w:r>
        <w:rPr>
          <w:spacing w:val="8"/>
          <w:sz w:val="18"/>
          <w:szCs w:val="18"/>
        </w:rPr>
        <w:t>第23章</w:t>
      </w:r>
      <w:r>
        <w:rPr>
          <w:spacing w:val="52"/>
          <w:sz w:val="18"/>
          <w:szCs w:val="18"/>
        </w:rPr>
        <w:t xml:space="preserve"> </w:t>
      </w:r>
      <w:r>
        <w:rPr>
          <w:spacing w:val="8"/>
          <w:sz w:val="18"/>
          <w:szCs w:val="18"/>
        </w:rPr>
        <w:t>数据中心监理</w:t>
      </w:r>
      <w:r>
        <w:rPr>
          <w:sz w:val="18"/>
          <w:szCs w:val="18"/>
        </w:rPr>
        <w:t xml:space="preserve">       </w:t>
      </w:r>
      <w:r>
        <w:rPr>
          <w:rFonts w:ascii="Times New Roman" w:hAnsi="Times New Roman" w:eastAsia="Times New Roman" w:cs="Times New Roman"/>
          <w:spacing w:val="8"/>
          <w:sz w:val="18"/>
          <w:szCs w:val="18"/>
        </w:rPr>
        <w:t>527</w:t>
      </w:r>
    </w:p>
    <w:p w14:paraId="041116D8">
      <w:pPr>
        <w:spacing w:line="324" w:lineRule="auto"/>
        <w:rPr>
          <w:rFonts w:ascii="Arial"/>
          <w:sz w:val="21"/>
        </w:rPr>
      </w:pPr>
    </w:p>
    <w:p w14:paraId="2D9E92C9">
      <w:pPr>
        <w:pStyle w:val="2"/>
        <w:spacing w:before="59" w:line="222" w:lineRule="auto"/>
        <w:ind w:left="412"/>
        <w:rPr>
          <w:rFonts w:ascii="黑体" w:hAnsi="黑体" w:eastAsia="黑体" w:cs="黑体"/>
          <w:sz w:val="18"/>
          <w:szCs w:val="18"/>
        </w:rPr>
      </w:pPr>
      <w:bookmarkStart w:id="744" w:name="bookmark729"/>
      <w:bookmarkEnd w:id="744"/>
      <w:r>
        <w:rPr>
          <w:b/>
          <w:bCs/>
          <w:color w:val="006AB1"/>
          <w:spacing w:val="17"/>
          <w:sz w:val="18"/>
          <w:szCs w:val="18"/>
        </w:rPr>
        <w:t>3.</w:t>
      </w:r>
      <w:r>
        <w:rPr>
          <w:rFonts w:ascii="黑体" w:hAnsi="黑体" w:eastAsia="黑体" w:cs="黑体"/>
          <w:b/>
          <w:bCs/>
          <w:color w:val="006AB1"/>
          <w:spacing w:val="17"/>
          <w:sz w:val="18"/>
          <w:szCs w:val="18"/>
        </w:rPr>
        <w:t>监理单位的响应措施</w:t>
      </w:r>
    </w:p>
    <w:p w14:paraId="491EA371">
      <w:pPr>
        <w:pStyle w:val="2"/>
        <w:spacing w:before="165" w:line="330" w:lineRule="auto"/>
        <w:ind w:right="302" w:firstLine="409"/>
        <w:jc w:val="both"/>
        <w:rPr>
          <w:sz w:val="18"/>
          <w:szCs w:val="18"/>
        </w:rPr>
      </w:pPr>
      <w:r>
        <w:rPr>
          <w:spacing w:val="22"/>
          <w:sz w:val="18"/>
          <w:szCs w:val="18"/>
        </w:rPr>
        <w:t>监理机构在提出上述监理意见，或根据实际咨询要求提出可行的建议后，可以依照具体情</w:t>
      </w:r>
      <w:r>
        <w:rPr>
          <w:spacing w:val="9"/>
          <w:sz w:val="18"/>
          <w:szCs w:val="18"/>
        </w:rPr>
        <w:t xml:space="preserve"> </w:t>
      </w:r>
      <w:r>
        <w:rPr>
          <w:spacing w:val="23"/>
          <w:sz w:val="18"/>
          <w:szCs w:val="18"/>
        </w:rPr>
        <w:t>况提出专题监理报告，或适时的口头监理意见辅以必要的监理文档，予以记录或</w:t>
      </w:r>
      <w:r>
        <w:rPr>
          <w:spacing w:val="22"/>
          <w:sz w:val="18"/>
          <w:szCs w:val="18"/>
        </w:rPr>
        <w:t>补充报备相关</w:t>
      </w:r>
      <w:r>
        <w:rPr>
          <w:sz w:val="18"/>
          <w:szCs w:val="18"/>
        </w:rPr>
        <w:t xml:space="preserve"> </w:t>
      </w:r>
      <w:r>
        <w:rPr>
          <w:spacing w:val="10"/>
          <w:sz w:val="18"/>
          <w:szCs w:val="18"/>
        </w:rPr>
        <w:t>信息。</w:t>
      </w:r>
    </w:p>
    <w:p w14:paraId="1FA2B43E">
      <w:pPr>
        <w:pStyle w:val="2"/>
        <w:spacing w:before="155" w:line="220" w:lineRule="auto"/>
        <w:ind w:left="3"/>
        <w:outlineLvl w:val="1"/>
        <w:rPr>
          <w:sz w:val="25"/>
          <w:szCs w:val="25"/>
        </w:rPr>
      </w:pPr>
      <w:r>
        <w:rPr>
          <w:b/>
          <w:bCs/>
          <w:color w:val="0071BD"/>
          <w:spacing w:val="-16"/>
          <w:sz w:val="25"/>
          <w:szCs w:val="25"/>
        </w:rPr>
        <w:t>23.2.3</w:t>
      </w:r>
      <w:r>
        <w:rPr>
          <w:color w:val="0071BD"/>
          <w:spacing w:val="70"/>
          <w:sz w:val="25"/>
          <w:szCs w:val="25"/>
        </w:rPr>
        <w:t xml:space="preserve"> </w:t>
      </w:r>
      <w:r>
        <w:rPr>
          <w:b/>
          <w:bCs/>
          <w:color w:val="0071BD"/>
          <w:spacing w:val="-16"/>
          <w:sz w:val="25"/>
          <w:szCs w:val="25"/>
        </w:rPr>
        <w:t>监理流程</w:t>
      </w:r>
    </w:p>
    <w:p w14:paraId="4ADCEE2F">
      <w:pPr>
        <w:pStyle w:val="2"/>
        <w:spacing w:before="192" w:line="219" w:lineRule="auto"/>
        <w:ind w:left="409"/>
        <w:rPr>
          <w:sz w:val="18"/>
          <w:szCs w:val="18"/>
        </w:rPr>
      </w:pPr>
      <w:r>
        <w:rPr>
          <w:spacing w:val="18"/>
          <w:sz w:val="18"/>
          <w:szCs w:val="18"/>
        </w:rPr>
        <w:t>数据中心工程招标阶段监理流程如图23-1所示。</w:t>
      </w:r>
    </w:p>
    <w:p w14:paraId="59FD2241">
      <w:pPr>
        <w:pStyle w:val="2"/>
        <w:spacing w:before="139" w:line="5460" w:lineRule="exact"/>
        <w:ind w:firstLine="449"/>
      </w:pPr>
      <w:r>
        <w:rPr>
          <w:position w:val="-109"/>
        </w:rPr>
        <w:pict>
          <v:group id="_x0000_s1601" o:spid="_x0000_s1601" o:spt="203" style="height:273.05pt;width:372.55pt;" coordsize="7450,5460">
            <o:lock v:ext="edit"/>
            <v:shape id="_x0000_s1602" o:spid="_x0000_s1602" o:spt="75" type="#_x0000_t75" style="position:absolute;left:0;top:0;height:5460;width:7450;" filled="f" stroked="f" coordsize="21600,21600">
              <v:path/>
              <v:fill on="f" focussize="0,0"/>
              <v:stroke on="f"/>
              <v:imagedata r:id="rId338" o:title=""/>
              <o:lock v:ext="edit" aspectratio="t"/>
            </v:shape>
            <v:shape id="_x0000_s1603" o:spid="_x0000_s1603" o:spt="202" type="#_x0000_t202" style="position:absolute;left:429;top:197;height:4660;width:3951;" filled="f" stroked="f" coordsize="21600,21600">
              <v:path/>
              <v:fill on="f" focussize="0,0"/>
              <v:stroke on="f"/>
              <v:imagedata o:title=""/>
              <o:lock v:ext="edit" aspectratio="f"/>
              <v:textbox inset="0mm,0mm,0mm,0mm">
                <w:txbxContent>
                  <w:p w14:paraId="3F7BBA1D">
                    <w:pPr>
                      <w:spacing w:before="20" w:line="220" w:lineRule="auto"/>
                      <w:ind w:left="3010"/>
                      <w:rPr>
                        <w:rFonts w:ascii="宋体" w:hAnsi="宋体" w:eastAsia="宋体" w:cs="宋体"/>
                        <w:sz w:val="18"/>
                        <w:szCs w:val="18"/>
                      </w:rPr>
                    </w:pPr>
                    <w:r>
                      <w:rPr>
                        <w:rFonts w:ascii="宋体" w:hAnsi="宋体" w:eastAsia="宋体" w:cs="宋体"/>
                        <w:spacing w:val="-7"/>
                        <w:sz w:val="18"/>
                        <w:szCs w:val="18"/>
                      </w:rPr>
                      <w:t>业主单位</w:t>
                    </w:r>
                  </w:p>
                  <w:p w14:paraId="4F584868">
                    <w:pPr>
                      <w:spacing w:line="423" w:lineRule="auto"/>
                      <w:rPr>
                        <w:rFonts w:ascii="Arial"/>
                        <w:sz w:val="21"/>
                      </w:rPr>
                    </w:pPr>
                  </w:p>
                  <w:p w14:paraId="55A83771">
                    <w:pPr>
                      <w:spacing w:before="59" w:line="219" w:lineRule="auto"/>
                      <w:ind w:left="20"/>
                      <w:rPr>
                        <w:rFonts w:ascii="宋体" w:hAnsi="宋体" w:eastAsia="宋体" w:cs="宋体"/>
                        <w:sz w:val="18"/>
                        <w:szCs w:val="18"/>
                      </w:rPr>
                    </w:pPr>
                    <w:r>
                      <w:rPr>
                        <w:rFonts w:ascii="宋体" w:hAnsi="宋体" w:eastAsia="宋体" w:cs="宋体"/>
                        <w:spacing w:val="-7"/>
                        <w:sz w:val="18"/>
                        <w:szCs w:val="18"/>
                      </w:rPr>
                      <w:t>招标文件</w:t>
                    </w:r>
                  </w:p>
                  <w:p w14:paraId="0774DB54">
                    <w:pPr>
                      <w:spacing w:before="139" w:line="222" w:lineRule="auto"/>
                      <w:ind w:right="16"/>
                      <w:jc w:val="right"/>
                      <w:rPr>
                        <w:rFonts w:ascii="宋体" w:hAnsi="宋体" w:eastAsia="宋体" w:cs="宋体"/>
                        <w:sz w:val="18"/>
                        <w:szCs w:val="18"/>
                      </w:rPr>
                    </w:pPr>
                    <w:r>
                      <w:rPr>
                        <w:rFonts w:ascii="宋体" w:hAnsi="宋体" w:eastAsia="宋体" w:cs="宋体"/>
                        <w:spacing w:val="-3"/>
                        <w:sz w:val="18"/>
                        <w:szCs w:val="18"/>
                      </w:rPr>
                      <w:t>不通过</w:t>
                    </w:r>
                  </w:p>
                  <w:p w14:paraId="63350AA3">
                    <w:pPr>
                      <w:spacing w:before="291" w:line="220" w:lineRule="auto"/>
                      <w:ind w:left="3210"/>
                      <w:rPr>
                        <w:rFonts w:ascii="宋体" w:hAnsi="宋体" w:eastAsia="宋体" w:cs="宋体"/>
                        <w:sz w:val="18"/>
                        <w:szCs w:val="18"/>
                      </w:rPr>
                    </w:pPr>
                    <w:r>
                      <w:rPr>
                        <w:rFonts w:ascii="宋体" w:hAnsi="宋体" w:eastAsia="宋体" w:cs="宋体"/>
                        <w:spacing w:val="-5"/>
                        <w:sz w:val="18"/>
                        <w:szCs w:val="18"/>
                      </w:rPr>
                      <w:t>审查</w:t>
                    </w:r>
                  </w:p>
                  <w:p w14:paraId="2FBC9451">
                    <w:pPr>
                      <w:spacing w:before="255" w:line="222" w:lineRule="auto"/>
                      <w:ind w:left="3400"/>
                      <w:rPr>
                        <w:rFonts w:ascii="黑体" w:hAnsi="黑体" w:eastAsia="黑体" w:cs="黑体"/>
                        <w:sz w:val="18"/>
                        <w:szCs w:val="18"/>
                      </w:rPr>
                    </w:pPr>
                    <w:r>
                      <w:rPr>
                        <w:rFonts w:ascii="黑体" w:hAnsi="黑体" w:eastAsia="黑体" w:cs="黑体"/>
                        <w:spacing w:val="-2"/>
                        <w:sz w:val="18"/>
                        <w:szCs w:val="18"/>
                      </w:rPr>
                      <w:t>通过</w:t>
                    </w:r>
                  </w:p>
                  <w:p w14:paraId="75EA7472">
                    <w:pPr>
                      <w:spacing w:before="184" w:line="224" w:lineRule="auto"/>
                      <w:ind w:left="3210"/>
                      <w:rPr>
                        <w:rFonts w:ascii="黑体" w:hAnsi="黑体" w:eastAsia="黑体" w:cs="黑体"/>
                        <w:sz w:val="18"/>
                        <w:szCs w:val="18"/>
                      </w:rPr>
                    </w:pPr>
                    <w:r>
                      <w:rPr>
                        <w:rFonts w:ascii="黑体" w:hAnsi="黑体" w:eastAsia="黑体" w:cs="黑体"/>
                        <w:spacing w:val="-2"/>
                        <w:sz w:val="18"/>
                        <w:szCs w:val="18"/>
                      </w:rPr>
                      <w:t>招标</w:t>
                    </w:r>
                  </w:p>
                  <w:p w14:paraId="4ACA4096">
                    <w:pPr>
                      <w:spacing w:line="246" w:lineRule="auto"/>
                      <w:rPr>
                        <w:rFonts w:ascii="Arial"/>
                        <w:sz w:val="21"/>
                      </w:rPr>
                    </w:pPr>
                  </w:p>
                  <w:p w14:paraId="4195E9B5">
                    <w:pPr>
                      <w:spacing w:line="246" w:lineRule="auto"/>
                      <w:rPr>
                        <w:rFonts w:ascii="Arial"/>
                        <w:sz w:val="21"/>
                      </w:rPr>
                    </w:pPr>
                  </w:p>
                  <w:p w14:paraId="3FFA4343">
                    <w:pPr>
                      <w:spacing w:line="246" w:lineRule="auto"/>
                      <w:rPr>
                        <w:rFonts w:ascii="Arial"/>
                        <w:sz w:val="21"/>
                      </w:rPr>
                    </w:pPr>
                  </w:p>
                  <w:p w14:paraId="7832FD84">
                    <w:pPr>
                      <w:spacing w:before="58" w:line="220" w:lineRule="auto"/>
                      <w:ind w:left="2850"/>
                      <w:rPr>
                        <w:rFonts w:ascii="宋体" w:hAnsi="宋体" w:eastAsia="宋体" w:cs="宋体"/>
                        <w:sz w:val="18"/>
                        <w:szCs w:val="18"/>
                      </w:rPr>
                    </w:pPr>
                    <w:r>
                      <w:rPr>
                        <w:rFonts w:ascii="宋体" w:hAnsi="宋体" w:eastAsia="宋体" w:cs="宋体"/>
                        <w:color w:val="0A68A7"/>
                        <w:spacing w:val="-7"/>
                        <w:sz w:val="18"/>
                        <w:szCs w:val="18"/>
                      </w:rPr>
                      <w:t>合</w:t>
                    </w:r>
                    <w:r>
                      <w:rPr>
                        <w:rFonts w:ascii="宋体" w:hAnsi="宋体" w:eastAsia="宋体" w:cs="宋体"/>
                        <w:spacing w:val="-7"/>
                        <w:sz w:val="18"/>
                        <w:szCs w:val="18"/>
                      </w:rPr>
                      <w:t>同签订审查</w:t>
                    </w:r>
                  </w:p>
                  <w:p w14:paraId="45A36292">
                    <w:pPr>
                      <w:spacing w:line="251" w:lineRule="auto"/>
                      <w:rPr>
                        <w:rFonts w:ascii="Arial"/>
                        <w:sz w:val="21"/>
                      </w:rPr>
                    </w:pPr>
                  </w:p>
                  <w:p w14:paraId="2CAB9325">
                    <w:pPr>
                      <w:spacing w:before="58" w:line="227" w:lineRule="auto"/>
                      <w:ind w:left="3400"/>
                      <w:rPr>
                        <w:rFonts w:ascii="宋体" w:hAnsi="宋体" w:eastAsia="宋体" w:cs="宋体"/>
                        <w:sz w:val="18"/>
                        <w:szCs w:val="18"/>
                      </w:rPr>
                    </w:pPr>
                    <w:r>
                      <w:rPr>
                        <w:rFonts w:ascii="宋体" w:hAnsi="宋体" w:eastAsia="宋体" w:cs="宋体"/>
                        <w:spacing w:val="-2"/>
                        <w:sz w:val="18"/>
                        <w:szCs w:val="18"/>
                      </w:rPr>
                      <w:t>通过</w:t>
                    </w:r>
                  </w:p>
                  <w:p w14:paraId="33354C44">
                    <w:pPr>
                      <w:spacing w:before="243" w:line="219" w:lineRule="auto"/>
                      <w:ind w:left="2870"/>
                      <w:rPr>
                        <w:rFonts w:ascii="宋体" w:hAnsi="宋体" w:eastAsia="宋体" w:cs="宋体"/>
                        <w:sz w:val="18"/>
                        <w:szCs w:val="18"/>
                      </w:rPr>
                    </w:pPr>
                    <w:r>
                      <w:rPr>
                        <w:rFonts w:ascii="宋体" w:hAnsi="宋体" w:eastAsia="宋体" w:cs="宋体"/>
                        <w:spacing w:val="-10"/>
                        <w:sz w:val="18"/>
                        <w:szCs w:val="18"/>
                      </w:rPr>
                      <w:t>出具监理意见</w:t>
                    </w:r>
                  </w:p>
                </w:txbxContent>
              </v:textbox>
            </v:shape>
            <v:shape id="_x0000_s1604" o:spid="_x0000_s1604" o:spt="202" type="#_x0000_t202" style="position:absolute;left:6350;top:3537;height:220;width:753;" filled="f" stroked="f" coordsize="21600,21600">
              <v:path/>
              <v:fill on="f" focussize="0,0"/>
              <v:stroke on="f"/>
              <v:imagedata o:title=""/>
              <o:lock v:ext="edit" aspectratio="f"/>
              <v:textbox inset="0mm,0mm,0mm,0mm">
                <w:txbxContent>
                  <w:p w14:paraId="7FE2C7E6">
                    <w:pPr>
                      <w:spacing w:before="20" w:line="219" w:lineRule="auto"/>
                      <w:ind w:left="20"/>
                      <w:rPr>
                        <w:rFonts w:ascii="宋体" w:hAnsi="宋体" w:eastAsia="宋体" w:cs="宋体"/>
                        <w:sz w:val="18"/>
                        <w:szCs w:val="18"/>
                      </w:rPr>
                    </w:pPr>
                    <w:r>
                      <w:rPr>
                        <w:rFonts w:ascii="宋体" w:hAnsi="宋体" w:eastAsia="宋体" w:cs="宋体"/>
                        <w:spacing w:val="-2"/>
                        <w:sz w:val="18"/>
                        <w:szCs w:val="18"/>
                      </w:rPr>
                      <w:t>监理意见</w:t>
                    </w:r>
                  </w:p>
                </w:txbxContent>
              </v:textbox>
            </v:shape>
            <v:shape id="_x0000_s1605" o:spid="_x0000_s1605" o:spt="202" type="#_x0000_t202" style="position:absolute;left:6340;top:1737;height:220;width:729;" filled="f" stroked="f" coordsize="21600,21600">
              <v:path/>
              <v:fill on="f" focussize="0,0"/>
              <v:stroke on="f"/>
              <v:imagedata o:title=""/>
              <o:lock v:ext="edit" aspectratio="f"/>
              <v:textbox inset="0mm,0mm,0mm,0mm">
                <w:txbxContent>
                  <w:p w14:paraId="463275FF">
                    <w:pPr>
                      <w:spacing w:before="20" w:line="219" w:lineRule="auto"/>
                      <w:ind w:left="20"/>
                      <w:rPr>
                        <w:rFonts w:ascii="宋体" w:hAnsi="宋体" w:eastAsia="宋体" w:cs="宋体"/>
                        <w:sz w:val="18"/>
                        <w:szCs w:val="18"/>
                      </w:rPr>
                    </w:pPr>
                    <w:r>
                      <w:rPr>
                        <w:rFonts w:ascii="宋体" w:hAnsi="宋体" w:eastAsia="宋体" w:cs="宋体"/>
                        <w:spacing w:val="-6"/>
                        <w:sz w:val="18"/>
                        <w:szCs w:val="18"/>
                      </w:rPr>
                      <w:t>监理意见</w:t>
                    </w:r>
                  </w:p>
                </w:txbxContent>
              </v:textbox>
            </v:shape>
            <v:shape id="_x0000_s1606" o:spid="_x0000_s1606" o:spt="202" type="#_x0000_t202" style="position:absolute;left:1850;top:937;height:220;width:728;" filled="f" stroked="f" coordsize="21600,21600">
              <v:path/>
              <v:fill on="f" focussize="0,0"/>
              <v:stroke on="f"/>
              <v:imagedata o:title=""/>
              <o:lock v:ext="edit" aspectratio="f"/>
              <v:textbox inset="0mm,0mm,0mm,0mm">
                <w:txbxContent>
                  <w:p w14:paraId="75B3279B">
                    <w:pPr>
                      <w:spacing w:before="20" w:line="219" w:lineRule="auto"/>
                      <w:ind w:left="20"/>
                      <w:rPr>
                        <w:rFonts w:ascii="宋体" w:hAnsi="宋体" w:eastAsia="宋体" w:cs="宋体"/>
                        <w:sz w:val="18"/>
                        <w:szCs w:val="18"/>
                      </w:rPr>
                    </w:pPr>
                    <w:r>
                      <w:rPr>
                        <w:rFonts w:ascii="宋体" w:hAnsi="宋体" w:eastAsia="宋体" w:cs="宋体"/>
                        <w:spacing w:val="-7"/>
                        <w:sz w:val="18"/>
                        <w:szCs w:val="18"/>
                      </w:rPr>
                      <w:t>招标文件</w:t>
                    </w:r>
                  </w:p>
                </w:txbxContent>
              </v:textbox>
            </v:shape>
            <v:shape id="_x0000_s1607" o:spid="_x0000_s1607" o:spt="202" type="#_x0000_t202" style="position:absolute;left:4900;top:1777;height:220;width:726;" filled="f" stroked="f" coordsize="21600,21600">
              <v:path/>
              <v:fill on="f" focussize="0,0"/>
              <v:stroke on="f"/>
              <v:imagedata o:title=""/>
              <o:lock v:ext="edit" aspectratio="f"/>
              <v:textbox inset="0mm,0mm,0mm,0mm">
                <w:txbxContent>
                  <w:p w14:paraId="36A813F0">
                    <w:pPr>
                      <w:spacing w:before="20" w:line="219" w:lineRule="auto"/>
                      <w:ind w:left="20"/>
                      <w:rPr>
                        <w:rFonts w:ascii="宋体" w:hAnsi="宋体" w:eastAsia="宋体" w:cs="宋体"/>
                        <w:sz w:val="18"/>
                        <w:szCs w:val="18"/>
                      </w:rPr>
                    </w:pPr>
                    <w:r>
                      <w:rPr>
                        <w:rFonts w:ascii="宋体" w:hAnsi="宋体" w:eastAsia="宋体" w:cs="宋体"/>
                        <w:spacing w:val="-7"/>
                        <w:sz w:val="18"/>
                        <w:szCs w:val="18"/>
                      </w:rPr>
                      <w:t>意见反馈</w:t>
                    </w:r>
                  </w:p>
                </w:txbxContent>
              </v:textbox>
            </v:shape>
            <v:shape id="_x0000_s1608" o:spid="_x0000_s1608" o:spt="202" type="#_x0000_t202" style="position:absolute;left:4900;top:3637;height:220;width:726;" filled="f" stroked="f" coordsize="21600,21600">
              <v:path/>
              <v:fill on="f" focussize="0,0"/>
              <v:stroke on="f"/>
              <v:imagedata o:title=""/>
              <o:lock v:ext="edit" aspectratio="f"/>
              <v:textbox inset="0mm,0mm,0mm,0mm">
                <w:txbxContent>
                  <w:p w14:paraId="3E70618F">
                    <w:pPr>
                      <w:spacing w:before="20" w:line="219" w:lineRule="auto"/>
                      <w:ind w:left="20"/>
                      <w:rPr>
                        <w:rFonts w:ascii="宋体" w:hAnsi="宋体" w:eastAsia="宋体" w:cs="宋体"/>
                        <w:sz w:val="18"/>
                        <w:szCs w:val="18"/>
                      </w:rPr>
                    </w:pPr>
                    <w:r>
                      <w:rPr>
                        <w:rFonts w:ascii="宋体" w:hAnsi="宋体" w:eastAsia="宋体" w:cs="宋体"/>
                        <w:spacing w:val="-7"/>
                        <w:sz w:val="18"/>
                        <w:szCs w:val="18"/>
                      </w:rPr>
                      <w:t>意见反馈</w:t>
                    </w:r>
                  </w:p>
                </w:txbxContent>
              </v:textbox>
            </v:shape>
            <v:shape id="_x0000_s1609" o:spid="_x0000_s1609" o:spt="202" type="#_x0000_t202" style="position:absolute;left:4900;top:187;height:220;width:726;" filled="f" stroked="f" coordsize="21600,21600">
              <v:path/>
              <v:fill on="f" focussize="0,0"/>
              <v:stroke on="f"/>
              <v:imagedata o:title=""/>
              <o:lock v:ext="edit" aspectratio="f"/>
              <v:textbox inset="0mm,0mm,0mm,0mm">
                <w:txbxContent>
                  <w:p w14:paraId="3C0EF54F">
                    <w:pPr>
                      <w:spacing w:before="20" w:line="220" w:lineRule="auto"/>
                      <w:ind w:left="20"/>
                      <w:rPr>
                        <w:rFonts w:ascii="宋体" w:hAnsi="宋体" w:eastAsia="宋体" w:cs="宋体"/>
                        <w:sz w:val="18"/>
                        <w:szCs w:val="18"/>
                      </w:rPr>
                    </w:pPr>
                    <w:r>
                      <w:rPr>
                        <w:rFonts w:ascii="宋体" w:hAnsi="宋体" w:eastAsia="宋体" w:cs="宋体"/>
                        <w:spacing w:val="-7"/>
                        <w:sz w:val="18"/>
                        <w:szCs w:val="18"/>
                      </w:rPr>
                      <w:t>监理单位</w:t>
                    </w:r>
                  </w:p>
                </w:txbxContent>
              </v:textbox>
            </v:shape>
            <v:shape id="_x0000_s1610" o:spid="_x0000_s1610" o:spt="202" type="#_x0000_t202" style="position:absolute;left:1919;top:197;height:220;width:716;" filled="f" stroked="f" coordsize="21600,21600">
              <v:path/>
              <v:fill on="f" focussize="0,0"/>
              <v:stroke on="f"/>
              <v:imagedata o:title=""/>
              <o:lock v:ext="edit" aspectratio="f"/>
              <v:textbox inset="0mm,0mm,0mm,0mm">
                <w:txbxContent>
                  <w:p w14:paraId="5DB89F08">
                    <w:pPr>
                      <w:spacing w:before="20" w:line="220" w:lineRule="auto"/>
                      <w:ind w:left="20"/>
                      <w:rPr>
                        <w:rFonts w:ascii="宋体" w:hAnsi="宋体" w:eastAsia="宋体" w:cs="宋体"/>
                        <w:sz w:val="18"/>
                        <w:szCs w:val="18"/>
                      </w:rPr>
                    </w:pPr>
                    <w:r>
                      <w:rPr>
                        <w:rFonts w:ascii="宋体" w:hAnsi="宋体" w:eastAsia="宋体" w:cs="宋体"/>
                        <w:spacing w:val="-9"/>
                        <w:sz w:val="18"/>
                        <w:szCs w:val="18"/>
                      </w:rPr>
                      <w:t>招标单位</w:t>
                    </w:r>
                  </w:p>
                </w:txbxContent>
              </v:textbox>
            </v:shape>
            <v:shape id="_x0000_s1611" o:spid="_x0000_s1611" o:spt="202" type="#_x0000_t202" style="position:absolute;left:429;top:3439;height:220;width:693;" filled="f" stroked="f" coordsize="21600,21600">
              <v:path/>
              <v:fill on="f" focussize="0,0"/>
              <v:stroke on="f"/>
              <v:imagedata o:title=""/>
              <o:lock v:ext="edit" aspectratio="f"/>
              <v:textbox inset="0mm,0mm,0mm,0mm">
                <w:txbxContent>
                  <w:p w14:paraId="0BCA4574">
                    <w:pPr>
                      <w:spacing w:before="20" w:line="221" w:lineRule="auto"/>
                      <w:ind w:left="20"/>
                      <w:rPr>
                        <w:rFonts w:ascii="宋体" w:hAnsi="宋体" w:eastAsia="宋体" w:cs="宋体"/>
                        <w:sz w:val="18"/>
                        <w:szCs w:val="18"/>
                      </w:rPr>
                    </w:pPr>
                    <w:r>
                      <w:rPr>
                        <w:rFonts w:ascii="宋体" w:hAnsi="宋体" w:eastAsia="宋体" w:cs="宋体"/>
                        <w:spacing w:val="-11"/>
                        <w:sz w:val="18"/>
                        <w:szCs w:val="18"/>
                      </w:rPr>
                      <w:t>合同/SLA</w:t>
                    </w:r>
                  </w:p>
                </w:txbxContent>
              </v:textbox>
            </v:shape>
            <v:shape id="_x0000_s1612" o:spid="_x0000_s1612" o:spt="202" type="#_x0000_t202" style="position:absolute;left:6479;top:197;height:220;width:394;" filled="f" stroked="f" coordsize="21600,21600">
              <v:path/>
              <v:fill on="f" focussize="0,0"/>
              <v:stroke on="f"/>
              <v:imagedata o:title=""/>
              <o:lock v:ext="edit" aspectratio="f"/>
              <v:textbox inset="0mm,0mm,0mm,0mm">
                <w:txbxContent>
                  <w:p w14:paraId="679097E9">
                    <w:pPr>
                      <w:spacing w:before="20" w:line="219" w:lineRule="auto"/>
                      <w:ind w:left="20"/>
                      <w:rPr>
                        <w:rFonts w:ascii="宋体" w:hAnsi="宋体" w:eastAsia="宋体" w:cs="宋体"/>
                        <w:sz w:val="18"/>
                        <w:szCs w:val="18"/>
                      </w:rPr>
                    </w:pPr>
                    <w:r>
                      <w:rPr>
                        <w:rFonts w:ascii="宋体" w:hAnsi="宋体" w:eastAsia="宋体" w:cs="宋体"/>
                        <w:spacing w:val="-2"/>
                        <w:sz w:val="18"/>
                        <w:szCs w:val="18"/>
                      </w:rPr>
                      <w:t>输出</w:t>
                    </w:r>
                  </w:p>
                </w:txbxContent>
              </v:textbox>
            </v:shape>
            <v:shape id="_x0000_s1613" o:spid="_x0000_s1613" o:spt="202" type="#_x0000_t202" style="position:absolute;left:589;top:217;height:220;width:394;" filled="f" stroked="f" coordsize="21600,21600">
              <v:path/>
              <v:fill on="f" focussize="0,0"/>
              <v:stroke on="f"/>
              <v:imagedata o:title=""/>
              <o:lock v:ext="edit" aspectratio="f"/>
              <v:textbox inset="0mm,0mm,0mm,0mm">
                <w:txbxContent>
                  <w:p w14:paraId="74C03F93">
                    <w:pPr>
                      <w:spacing w:before="20" w:line="219" w:lineRule="auto"/>
                      <w:ind w:left="20"/>
                      <w:rPr>
                        <w:rFonts w:ascii="宋体" w:hAnsi="宋体" w:eastAsia="宋体" w:cs="宋体"/>
                        <w:sz w:val="18"/>
                        <w:szCs w:val="18"/>
                      </w:rPr>
                    </w:pPr>
                    <w:r>
                      <w:rPr>
                        <w:rFonts w:ascii="宋体" w:hAnsi="宋体" w:eastAsia="宋体" w:cs="宋体"/>
                        <w:spacing w:val="-2"/>
                        <w:sz w:val="18"/>
                        <w:szCs w:val="18"/>
                      </w:rPr>
                      <w:t>输入</w:t>
                    </w:r>
                  </w:p>
                </w:txbxContent>
              </v:textbox>
            </v:shape>
            <w10:wrap type="none"/>
            <w10:anchorlock/>
          </v:group>
        </w:pict>
      </w:r>
    </w:p>
    <w:p w14:paraId="2CE32E94">
      <w:pPr>
        <w:pStyle w:val="2"/>
        <w:spacing w:before="87" w:line="219" w:lineRule="auto"/>
        <w:ind w:left="2570"/>
        <w:rPr>
          <w:sz w:val="18"/>
          <w:szCs w:val="18"/>
        </w:rPr>
      </w:pPr>
      <w:r>
        <w:rPr>
          <w:sz w:val="18"/>
          <w:szCs w:val="18"/>
        </w:rPr>
        <w:t>图23-1</w:t>
      </w:r>
      <w:r>
        <w:rPr>
          <w:spacing w:val="71"/>
          <w:sz w:val="18"/>
          <w:szCs w:val="18"/>
        </w:rPr>
        <w:t xml:space="preserve"> </w:t>
      </w:r>
      <w:r>
        <w:rPr>
          <w:sz w:val="18"/>
          <w:szCs w:val="18"/>
        </w:rPr>
        <w:t>数据中心工程招标阶段监理流程</w:t>
      </w:r>
    </w:p>
    <w:p w14:paraId="3CBCB4B7">
      <w:pPr>
        <w:spacing w:line="418" w:lineRule="auto"/>
        <w:rPr>
          <w:rFonts w:ascii="Arial"/>
          <w:sz w:val="21"/>
        </w:rPr>
      </w:pPr>
    </w:p>
    <w:p w14:paraId="6CAF637D">
      <w:pPr>
        <w:pStyle w:val="2"/>
        <w:spacing w:before="94" w:line="222" w:lineRule="auto"/>
        <w:ind w:left="4"/>
        <w:rPr>
          <w:rFonts w:ascii="黑体" w:hAnsi="黑体" w:eastAsia="黑体" w:cs="黑体"/>
          <w:sz w:val="29"/>
          <w:szCs w:val="29"/>
        </w:rPr>
      </w:pPr>
      <w:r>
        <w:rPr>
          <w:b/>
          <w:bCs/>
          <w:color w:val="0064B2"/>
          <w:spacing w:val="-10"/>
          <w:sz w:val="29"/>
          <w:szCs w:val="29"/>
        </w:rPr>
        <w:t>23.3</w:t>
      </w:r>
      <w:r>
        <w:rPr>
          <w:color w:val="0064B2"/>
          <w:spacing w:val="113"/>
          <w:sz w:val="29"/>
          <w:szCs w:val="29"/>
        </w:rPr>
        <w:t xml:space="preserve"> </w:t>
      </w:r>
      <w:r>
        <w:rPr>
          <w:rFonts w:ascii="黑体" w:hAnsi="黑体" w:eastAsia="黑体" w:cs="黑体"/>
          <w:b/>
          <w:bCs/>
          <w:color w:val="0064B2"/>
          <w:spacing w:val="-10"/>
          <w:sz w:val="29"/>
          <w:szCs w:val="29"/>
        </w:rPr>
        <w:t>设计阶段监理工作</w:t>
      </w:r>
    </w:p>
    <w:p w14:paraId="5AB4BF74">
      <w:pPr>
        <w:pStyle w:val="2"/>
        <w:spacing w:before="252" w:line="347" w:lineRule="auto"/>
        <w:ind w:right="303" w:firstLine="409"/>
        <w:rPr>
          <w:sz w:val="18"/>
          <w:szCs w:val="18"/>
        </w:rPr>
      </w:pPr>
      <w:r>
        <w:rPr>
          <w:spacing w:val="23"/>
          <w:sz w:val="18"/>
          <w:szCs w:val="18"/>
        </w:rPr>
        <w:t>本节重点介绍监理单位在数据中心工程设计阶段需要执行的监理</w:t>
      </w:r>
      <w:r>
        <w:rPr>
          <w:spacing w:val="22"/>
          <w:sz w:val="18"/>
          <w:szCs w:val="18"/>
        </w:rPr>
        <w:t>活动、主要监理内容、监</w:t>
      </w:r>
      <w:r>
        <w:rPr>
          <w:sz w:val="18"/>
          <w:szCs w:val="18"/>
        </w:rPr>
        <w:t xml:space="preserve"> </w:t>
      </w:r>
      <w:r>
        <w:rPr>
          <w:spacing w:val="15"/>
          <w:sz w:val="18"/>
          <w:szCs w:val="18"/>
        </w:rPr>
        <w:t>理要点和监理流程。</w:t>
      </w:r>
    </w:p>
    <w:p w14:paraId="0628E3E9">
      <w:pPr>
        <w:pStyle w:val="2"/>
        <w:spacing w:before="104" w:line="220" w:lineRule="auto"/>
        <w:ind w:left="2"/>
        <w:rPr>
          <w:sz w:val="25"/>
          <w:szCs w:val="25"/>
        </w:rPr>
      </w:pPr>
      <w:r>
        <w:rPr>
          <w:b/>
          <w:bCs/>
          <w:color w:val="0084EA"/>
          <w:spacing w:val="-17"/>
          <w:sz w:val="25"/>
          <w:szCs w:val="25"/>
        </w:rPr>
        <w:t>23.3.1</w:t>
      </w:r>
      <w:r>
        <w:rPr>
          <w:color w:val="0084EA"/>
          <w:spacing w:val="100"/>
          <w:sz w:val="25"/>
          <w:szCs w:val="25"/>
        </w:rPr>
        <w:t xml:space="preserve"> </w:t>
      </w:r>
      <w:r>
        <w:rPr>
          <w:b/>
          <w:bCs/>
          <w:color w:val="0084EA"/>
          <w:spacing w:val="-17"/>
          <w:sz w:val="25"/>
          <w:szCs w:val="25"/>
        </w:rPr>
        <w:t>监理活动</w:t>
      </w:r>
    </w:p>
    <w:p w14:paraId="3A33F090">
      <w:pPr>
        <w:pStyle w:val="2"/>
        <w:spacing w:before="182" w:line="219" w:lineRule="auto"/>
        <w:ind w:left="409"/>
        <w:rPr>
          <w:sz w:val="18"/>
          <w:szCs w:val="18"/>
        </w:rPr>
      </w:pPr>
      <w:r>
        <w:rPr>
          <w:spacing w:val="17"/>
          <w:sz w:val="18"/>
          <w:szCs w:val="18"/>
        </w:rPr>
        <w:t>数据中心工程设计阶段的主要监理活动如下：</w:t>
      </w:r>
    </w:p>
    <w:p w14:paraId="751772DA">
      <w:pPr>
        <w:pStyle w:val="2"/>
        <w:spacing w:before="47" w:line="355" w:lineRule="auto"/>
        <w:ind w:right="277" w:firstLine="409"/>
        <w:rPr>
          <w:sz w:val="18"/>
          <w:szCs w:val="18"/>
        </w:rPr>
      </w:pPr>
      <w:r>
        <w:rPr>
          <w:spacing w:val="25"/>
          <w:sz w:val="18"/>
          <w:szCs w:val="18"/>
        </w:rPr>
        <w:t>(1)根据数据中心工程建设实际需要，可向业主单位提供咨询服务，协助建立起符合项目</w:t>
      </w:r>
      <w:r>
        <w:rPr>
          <w:spacing w:val="3"/>
          <w:sz w:val="18"/>
          <w:szCs w:val="18"/>
        </w:rPr>
        <w:t xml:space="preserve"> </w:t>
      </w:r>
      <w:r>
        <w:rPr>
          <w:spacing w:val="15"/>
          <w:sz w:val="18"/>
          <w:szCs w:val="18"/>
        </w:rPr>
        <w:t>建设需求的规章管理制度体系；</w:t>
      </w:r>
    </w:p>
    <w:p w14:paraId="6C0B7552">
      <w:pPr>
        <w:spacing w:line="355" w:lineRule="auto"/>
        <w:rPr>
          <w:sz w:val="18"/>
          <w:szCs w:val="18"/>
        </w:rPr>
        <w:sectPr>
          <w:pgSz w:w="10290" w:h="13310"/>
          <w:pgMar w:top="400" w:right="568" w:bottom="400" w:left="1100" w:header="0" w:footer="0" w:gutter="0"/>
          <w:cols w:space="720" w:num="1"/>
        </w:sectPr>
      </w:pPr>
    </w:p>
    <w:p w14:paraId="051C3CF2">
      <w:pPr>
        <w:pStyle w:val="2"/>
        <w:spacing w:before="48" w:line="219" w:lineRule="auto"/>
        <w:rPr>
          <w:sz w:val="20"/>
          <w:szCs w:val="20"/>
        </w:rPr>
      </w:pPr>
      <w:bookmarkStart w:id="745" w:name="bookmark730"/>
      <w:bookmarkEnd w:id="745"/>
      <w:r>
        <w:rPr>
          <w:rFonts w:ascii="Times New Roman" w:hAnsi="Times New Roman" w:eastAsia="Times New Roman" w:cs="Times New Roman"/>
          <w:spacing w:val="-2"/>
          <w:position w:val="1"/>
          <w:sz w:val="16"/>
          <w:szCs w:val="16"/>
        </w:rPr>
        <w:t xml:space="preserve">528                   </w:t>
      </w:r>
      <w:r>
        <w:rPr>
          <w:spacing w:val="-2"/>
          <w:sz w:val="20"/>
          <w:szCs w:val="20"/>
        </w:rPr>
        <w:t>信息系统监理师教程(第2版)</w:t>
      </w:r>
    </w:p>
    <w:p w14:paraId="32DCD05B">
      <w:pPr>
        <w:spacing w:line="305" w:lineRule="auto"/>
        <w:rPr>
          <w:rFonts w:ascii="Arial"/>
          <w:sz w:val="21"/>
        </w:rPr>
      </w:pPr>
    </w:p>
    <w:p w14:paraId="5B74E6EA">
      <w:pPr>
        <w:pStyle w:val="2"/>
        <w:spacing w:before="65" w:line="266" w:lineRule="auto"/>
        <w:ind w:left="349" w:right="24" w:firstLine="390"/>
        <w:rPr>
          <w:sz w:val="20"/>
          <w:szCs w:val="20"/>
        </w:rPr>
      </w:pPr>
      <w:r>
        <w:rPr>
          <w:spacing w:val="5"/>
          <w:sz w:val="20"/>
          <w:szCs w:val="20"/>
        </w:rPr>
        <w:t>(2)根据合同要求，对承建单位报送的开工手续进行审查，对开工条件进行核验，出具监</w:t>
      </w:r>
      <w:r>
        <w:rPr>
          <w:spacing w:val="17"/>
          <w:sz w:val="20"/>
          <w:szCs w:val="20"/>
        </w:rPr>
        <w:t xml:space="preserve"> </w:t>
      </w:r>
      <w:r>
        <w:rPr>
          <w:spacing w:val="-6"/>
          <w:sz w:val="20"/>
          <w:szCs w:val="20"/>
        </w:rPr>
        <w:t>理意见，签发开工令；</w:t>
      </w:r>
    </w:p>
    <w:p w14:paraId="526546DE">
      <w:pPr>
        <w:pStyle w:val="2"/>
        <w:spacing w:before="63" w:line="262" w:lineRule="auto"/>
        <w:ind w:left="349" w:right="22" w:firstLine="390"/>
        <w:rPr>
          <w:sz w:val="20"/>
          <w:szCs w:val="20"/>
        </w:rPr>
      </w:pPr>
      <w:r>
        <w:rPr>
          <w:spacing w:val="5"/>
          <w:sz w:val="20"/>
          <w:szCs w:val="20"/>
        </w:rPr>
        <w:t>(3)开展工程协调服务，协助业主单位组织设计交底，记录交底结果，组织承建单位确认</w:t>
      </w:r>
      <w:r>
        <w:rPr>
          <w:spacing w:val="18"/>
          <w:sz w:val="20"/>
          <w:szCs w:val="20"/>
        </w:rPr>
        <w:t xml:space="preserve"> </w:t>
      </w:r>
      <w:r>
        <w:rPr>
          <w:spacing w:val="-2"/>
          <w:sz w:val="20"/>
          <w:szCs w:val="20"/>
        </w:rPr>
        <w:t>工程建设目标、关键部位、工艺工序质量要求和进</w:t>
      </w:r>
      <w:r>
        <w:rPr>
          <w:spacing w:val="-3"/>
          <w:sz w:val="20"/>
          <w:szCs w:val="20"/>
        </w:rPr>
        <w:t>度要求；</w:t>
      </w:r>
    </w:p>
    <w:p w14:paraId="0762118F">
      <w:pPr>
        <w:pStyle w:val="2"/>
        <w:spacing w:before="71" w:line="219" w:lineRule="auto"/>
        <w:ind w:left="739"/>
        <w:rPr>
          <w:sz w:val="20"/>
          <w:szCs w:val="20"/>
        </w:rPr>
      </w:pPr>
      <w:r>
        <w:rPr>
          <w:spacing w:val="1"/>
          <w:sz w:val="20"/>
          <w:szCs w:val="20"/>
        </w:rPr>
        <w:t>(4)督促承建单位制订工程计划，按照计划对工程建设现场进行</w:t>
      </w:r>
      <w:r>
        <w:rPr>
          <w:sz w:val="20"/>
          <w:szCs w:val="20"/>
        </w:rPr>
        <w:t>实地勘查；</w:t>
      </w:r>
    </w:p>
    <w:p w14:paraId="3F43A9EA">
      <w:pPr>
        <w:pStyle w:val="2"/>
        <w:spacing w:before="73" w:line="262" w:lineRule="auto"/>
        <w:ind w:left="349" w:right="20" w:firstLine="390"/>
        <w:rPr>
          <w:sz w:val="20"/>
          <w:szCs w:val="20"/>
        </w:rPr>
      </w:pPr>
      <w:r>
        <w:rPr>
          <w:spacing w:val="6"/>
          <w:sz w:val="20"/>
          <w:szCs w:val="20"/>
        </w:rPr>
        <w:t>(5)依据承建合同，审查承建单位提交的工程</w:t>
      </w:r>
      <w:r>
        <w:rPr>
          <w:spacing w:val="5"/>
          <w:sz w:val="20"/>
          <w:szCs w:val="20"/>
        </w:rPr>
        <w:t>计划和深化设计方案，提出监理意见，协助</w:t>
      </w:r>
      <w:r>
        <w:rPr>
          <w:sz w:val="20"/>
          <w:szCs w:val="20"/>
        </w:rPr>
        <w:t xml:space="preserve"> </w:t>
      </w:r>
      <w:r>
        <w:rPr>
          <w:spacing w:val="-3"/>
          <w:sz w:val="20"/>
          <w:szCs w:val="20"/>
        </w:rPr>
        <w:t>承建单位进行完善，直至满足业主单位工程要求；</w:t>
      </w:r>
    </w:p>
    <w:p w14:paraId="704974EB">
      <w:pPr>
        <w:pStyle w:val="2"/>
        <w:spacing w:before="83" w:line="219" w:lineRule="auto"/>
        <w:ind w:left="739"/>
        <w:rPr>
          <w:sz w:val="20"/>
          <w:szCs w:val="20"/>
        </w:rPr>
      </w:pPr>
      <w:r>
        <w:rPr>
          <w:spacing w:val="1"/>
          <w:sz w:val="20"/>
          <w:szCs w:val="20"/>
        </w:rPr>
        <w:t>(6)协助业主单位组织评审承建单位制订的工程计划和深化设计方案；</w:t>
      </w:r>
    </w:p>
    <w:p w14:paraId="004740B4">
      <w:pPr>
        <w:pStyle w:val="2"/>
        <w:spacing w:before="83" w:line="248" w:lineRule="auto"/>
        <w:ind w:left="349" w:firstLine="390"/>
        <w:rPr>
          <w:sz w:val="20"/>
          <w:szCs w:val="20"/>
        </w:rPr>
      </w:pPr>
      <w:r>
        <w:rPr>
          <w:spacing w:val="6"/>
          <w:sz w:val="20"/>
          <w:szCs w:val="20"/>
        </w:rPr>
        <w:t>(7)监督承建单位对数据中心应用系统开展信息资源规划需求分析，检查信息资源规划需</w:t>
      </w:r>
      <w:r>
        <w:rPr>
          <w:spacing w:val="1"/>
          <w:sz w:val="20"/>
          <w:szCs w:val="20"/>
        </w:rPr>
        <w:t xml:space="preserve"> </w:t>
      </w:r>
      <w:r>
        <w:rPr>
          <w:spacing w:val="-2"/>
          <w:sz w:val="20"/>
          <w:szCs w:val="20"/>
        </w:rPr>
        <w:t>求成果是否符合合同与深化设计方案的要求，提出监理意</w:t>
      </w:r>
      <w:r>
        <w:rPr>
          <w:spacing w:val="-3"/>
          <w:sz w:val="20"/>
          <w:szCs w:val="20"/>
        </w:rPr>
        <w:t>见；</w:t>
      </w:r>
    </w:p>
    <w:p w14:paraId="137F10AF">
      <w:pPr>
        <w:pStyle w:val="2"/>
        <w:spacing w:before="83" w:line="257" w:lineRule="auto"/>
        <w:ind w:left="349" w:right="25" w:firstLine="390"/>
        <w:rPr>
          <w:sz w:val="20"/>
          <w:szCs w:val="20"/>
        </w:rPr>
      </w:pPr>
      <w:r>
        <w:rPr>
          <w:spacing w:val="5"/>
          <w:sz w:val="20"/>
          <w:szCs w:val="20"/>
        </w:rPr>
        <w:t>(8)监督承建单位根据信息资源规划需求分析成果开展信息系统设计，并协助业主单位组</w:t>
      </w:r>
      <w:r>
        <w:rPr>
          <w:spacing w:val="15"/>
          <w:sz w:val="20"/>
          <w:szCs w:val="20"/>
        </w:rPr>
        <w:t xml:space="preserve"> </w:t>
      </w:r>
      <w:r>
        <w:rPr>
          <w:spacing w:val="-3"/>
          <w:sz w:val="20"/>
          <w:szCs w:val="20"/>
        </w:rPr>
        <w:t>织对承建单位信息系统设计成果进行评审；</w:t>
      </w:r>
    </w:p>
    <w:p w14:paraId="7653B484">
      <w:pPr>
        <w:pStyle w:val="2"/>
        <w:spacing w:before="82" w:line="219" w:lineRule="auto"/>
        <w:ind w:left="739"/>
        <w:rPr>
          <w:sz w:val="20"/>
          <w:szCs w:val="20"/>
        </w:rPr>
      </w:pPr>
      <w:r>
        <w:rPr>
          <w:spacing w:val="2"/>
          <w:sz w:val="20"/>
          <w:szCs w:val="20"/>
        </w:rPr>
        <w:t>(9)监督承建单位根据已通过评审的信息系统设计方案</w:t>
      </w:r>
      <w:r>
        <w:rPr>
          <w:spacing w:val="1"/>
          <w:sz w:val="20"/>
          <w:szCs w:val="20"/>
        </w:rPr>
        <w:t>开展信息系统开发。</w:t>
      </w:r>
    </w:p>
    <w:p w14:paraId="33AA5849">
      <w:pPr>
        <w:pStyle w:val="2"/>
        <w:spacing w:before="232" w:line="219" w:lineRule="auto"/>
        <w:ind w:left="352"/>
        <w:rPr>
          <w:sz w:val="25"/>
          <w:szCs w:val="25"/>
        </w:rPr>
      </w:pPr>
      <w:r>
        <w:rPr>
          <w:b/>
          <w:bCs/>
          <w:color w:val="007DEB"/>
          <w:spacing w:val="-20"/>
          <w:sz w:val="25"/>
          <w:szCs w:val="25"/>
        </w:rPr>
        <w:t>23.3.2</w:t>
      </w:r>
      <w:r>
        <w:rPr>
          <w:color w:val="007DEB"/>
          <w:spacing w:val="120"/>
          <w:sz w:val="25"/>
          <w:szCs w:val="25"/>
        </w:rPr>
        <w:t xml:space="preserve"> </w:t>
      </w:r>
      <w:r>
        <w:rPr>
          <w:b/>
          <w:bCs/>
          <w:color w:val="007DEB"/>
          <w:spacing w:val="-20"/>
          <w:sz w:val="25"/>
          <w:szCs w:val="25"/>
        </w:rPr>
        <w:t>监理内容</w:t>
      </w:r>
    </w:p>
    <w:p w14:paraId="785F713C">
      <w:pPr>
        <w:pStyle w:val="2"/>
        <w:spacing w:before="240" w:line="222" w:lineRule="auto"/>
        <w:ind w:left="742"/>
        <w:rPr>
          <w:rFonts w:ascii="黑体" w:hAnsi="黑体" w:eastAsia="黑体" w:cs="黑体"/>
          <w:sz w:val="20"/>
          <w:szCs w:val="20"/>
        </w:rPr>
      </w:pPr>
      <w:r>
        <w:rPr>
          <w:b/>
          <w:bCs/>
          <w:color w:val="008AE6"/>
          <w:spacing w:val="-5"/>
          <w:sz w:val="20"/>
          <w:szCs w:val="20"/>
        </w:rPr>
        <w:t>1.</w:t>
      </w:r>
      <w:r>
        <w:rPr>
          <w:rFonts w:ascii="黑体" w:hAnsi="黑体" w:eastAsia="黑体" w:cs="黑体"/>
          <w:b/>
          <w:bCs/>
          <w:color w:val="008AE6"/>
          <w:spacing w:val="-5"/>
          <w:sz w:val="20"/>
          <w:szCs w:val="20"/>
        </w:rPr>
        <w:t>规章管理制度体系的咨询和监理</w:t>
      </w:r>
    </w:p>
    <w:p w14:paraId="7BC03670">
      <w:pPr>
        <w:pStyle w:val="2"/>
        <w:spacing w:before="144" w:line="281" w:lineRule="auto"/>
        <w:ind w:left="349" w:right="14" w:firstLine="390"/>
        <w:rPr>
          <w:sz w:val="20"/>
          <w:szCs w:val="20"/>
        </w:rPr>
      </w:pPr>
      <w:r>
        <w:rPr>
          <w:spacing w:val="3"/>
          <w:sz w:val="20"/>
          <w:szCs w:val="20"/>
        </w:rPr>
        <w:t>根据业主单位的项目需求状况，对于业主单位制定的工程建设管理规范，以及配套管理制</w:t>
      </w:r>
      <w:r>
        <w:rPr>
          <w:spacing w:val="9"/>
          <w:sz w:val="20"/>
          <w:szCs w:val="20"/>
        </w:rPr>
        <w:t xml:space="preserve"> </w:t>
      </w:r>
      <w:r>
        <w:rPr>
          <w:spacing w:val="-3"/>
          <w:sz w:val="20"/>
          <w:szCs w:val="20"/>
        </w:rPr>
        <w:t>度，监理机构重点审核以下内容，并提出咨询意见：</w:t>
      </w:r>
    </w:p>
    <w:p w14:paraId="606FA929">
      <w:pPr>
        <w:pStyle w:val="2"/>
        <w:spacing w:before="41" w:line="219" w:lineRule="auto"/>
        <w:ind w:left="739"/>
        <w:rPr>
          <w:sz w:val="20"/>
          <w:szCs w:val="20"/>
        </w:rPr>
      </w:pPr>
      <w:r>
        <w:rPr>
          <w:spacing w:val="2"/>
          <w:sz w:val="20"/>
          <w:szCs w:val="20"/>
        </w:rPr>
        <w:t>(1)业主单位、承建单位与监理单位的工作范围与协作交接的</w:t>
      </w:r>
      <w:r>
        <w:rPr>
          <w:spacing w:val="1"/>
          <w:sz w:val="20"/>
          <w:szCs w:val="20"/>
        </w:rPr>
        <w:t>流程；</w:t>
      </w:r>
    </w:p>
    <w:p w14:paraId="50F83C20">
      <w:pPr>
        <w:pStyle w:val="2"/>
        <w:spacing w:before="63" w:line="219" w:lineRule="auto"/>
        <w:ind w:left="739"/>
        <w:rPr>
          <w:sz w:val="20"/>
          <w:szCs w:val="20"/>
        </w:rPr>
      </w:pPr>
      <w:r>
        <w:rPr>
          <w:spacing w:val="1"/>
          <w:sz w:val="20"/>
          <w:szCs w:val="20"/>
        </w:rPr>
        <w:t>(2)各方服务交付环节与产出物规格；</w:t>
      </w:r>
    </w:p>
    <w:p w14:paraId="2CFCA103">
      <w:pPr>
        <w:pStyle w:val="2"/>
        <w:spacing w:before="83" w:line="219" w:lineRule="auto"/>
        <w:ind w:left="739"/>
        <w:rPr>
          <w:sz w:val="20"/>
          <w:szCs w:val="20"/>
        </w:rPr>
      </w:pPr>
      <w:r>
        <w:rPr>
          <w:spacing w:val="3"/>
          <w:sz w:val="20"/>
          <w:szCs w:val="20"/>
        </w:rPr>
        <w:t>(3)工作的责任人与职责；</w:t>
      </w:r>
    </w:p>
    <w:p w14:paraId="544ADC9C">
      <w:pPr>
        <w:pStyle w:val="2"/>
        <w:spacing w:before="73" w:line="220" w:lineRule="auto"/>
        <w:ind w:left="739"/>
        <w:rPr>
          <w:sz w:val="20"/>
          <w:szCs w:val="20"/>
        </w:rPr>
      </w:pPr>
      <w:r>
        <w:rPr>
          <w:spacing w:val="1"/>
          <w:sz w:val="20"/>
          <w:szCs w:val="20"/>
        </w:rPr>
        <w:t>(4)各方质量保证体系落实与生效的制度；</w:t>
      </w:r>
    </w:p>
    <w:p w14:paraId="09AB2ED6">
      <w:pPr>
        <w:pStyle w:val="2"/>
        <w:spacing w:before="71" w:line="219" w:lineRule="auto"/>
        <w:ind w:left="739"/>
        <w:rPr>
          <w:sz w:val="20"/>
          <w:szCs w:val="20"/>
        </w:rPr>
      </w:pPr>
      <w:r>
        <w:rPr>
          <w:spacing w:val="5"/>
          <w:sz w:val="20"/>
          <w:szCs w:val="20"/>
        </w:rPr>
        <w:t>(5)工作合格标准；</w:t>
      </w:r>
    </w:p>
    <w:p w14:paraId="19C7F684">
      <w:pPr>
        <w:pStyle w:val="2"/>
        <w:spacing w:before="73" w:line="220" w:lineRule="auto"/>
        <w:ind w:left="739"/>
        <w:rPr>
          <w:sz w:val="20"/>
          <w:szCs w:val="20"/>
        </w:rPr>
      </w:pPr>
      <w:r>
        <w:rPr>
          <w:spacing w:val="3"/>
          <w:sz w:val="20"/>
          <w:szCs w:val="20"/>
        </w:rPr>
        <w:t>(6)工程变更程序与手续。</w:t>
      </w:r>
    </w:p>
    <w:p w14:paraId="5564FFB8">
      <w:pPr>
        <w:pStyle w:val="2"/>
        <w:spacing w:before="169" w:line="222" w:lineRule="auto"/>
        <w:ind w:left="742"/>
        <w:rPr>
          <w:rFonts w:ascii="黑体" w:hAnsi="黑体" w:eastAsia="黑体" w:cs="黑体"/>
          <w:sz w:val="20"/>
          <w:szCs w:val="20"/>
        </w:rPr>
      </w:pPr>
      <w:r>
        <w:rPr>
          <w:b/>
          <w:bCs/>
          <w:color w:val="008DEB"/>
          <w:sz w:val="20"/>
          <w:szCs w:val="20"/>
        </w:rPr>
        <w:t>2.</w:t>
      </w:r>
      <w:r>
        <w:rPr>
          <w:rFonts w:ascii="黑体" w:hAnsi="黑体" w:eastAsia="黑体" w:cs="黑体"/>
          <w:b/>
          <w:bCs/>
          <w:color w:val="008DEB"/>
          <w:sz w:val="20"/>
          <w:szCs w:val="20"/>
        </w:rPr>
        <w:t>开工申请的审核</w:t>
      </w:r>
    </w:p>
    <w:p w14:paraId="7C36814E">
      <w:pPr>
        <w:pStyle w:val="2"/>
        <w:spacing w:before="132" w:line="322" w:lineRule="auto"/>
        <w:ind w:left="349" w:right="23" w:firstLine="390"/>
        <w:rPr>
          <w:sz w:val="16"/>
          <w:szCs w:val="16"/>
        </w:rPr>
      </w:pPr>
      <w:r>
        <w:rPr>
          <w:spacing w:val="3"/>
          <w:sz w:val="20"/>
          <w:szCs w:val="20"/>
        </w:rPr>
        <w:t>监理机构对承建单位报送的开工申请进行审核，重点审核以下内容，并监督承建单位完成</w:t>
      </w:r>
      <w:r>
        <w:rPr>
          <w:spacing w:val="1"/>
          <w:sz w:val="20"/>
          <w:szCs w:val="20"/>
        </w:rPr>
        <w:t xml:space="preserve"> </w:t>
      </w:r>
      <w:r>
        <w:rPr>
          <w:spacing w:val="-7"/>
          <w:sz w:val="16"/>
          <w:szCs w:val="16"/>
        </w:rPr>
        <w:t>整</w:t>
      </w:r>
      <w:r>
        <w:rPr>
          <w:spacing w:val="-11"/>
          <w:sz w:val="16"/>
          <w:szCs w:val="16"/>
        </w:rPr>
        <w:t xml:space="preserve"> </w:t>
      </w:r>
      <w:r>
        <w:rPr>
          <w:spacing w:val="-7"/>
          <w:sz w:val="16"/>
          <w:szCs w:val="16"/>
        </w:rPr>
        <w:t>改</w:t>
      </w:r>
      <w:r>
        <w:rPr>
          <w:spacing w:val="-23"/>
          <w:sz w:val="16"/>
          <w:szCs w:val="16"/>
        </w:rPr>
        <w:t xml:space="preserve"> </w:t>
      </w:r>
      <w:r>
        <w:rPr>
          <w:spacing w:val="-7"/>
          <w:sz w:val="16"/>
          <w:szCs w:val="16"/>
        </w:rPr>
        <w:t>：</w:t>
      </w:r>
    </w:p>
    <w:p w14:paraId="16912E51">
      <w:pPr>
        <w:pStyle w:val="2"/>
        <w:spacing w:before="11" w:line="219" w:lineRule="auto"/>
        <w:ind w:left="739"/>
        <w:rPr>
          <w:sz w:val="20"/>
          <w:szCs w:val="20"/>
        </w:rPr>
      </w:pPr>
      <w:r>
        <w:rPr>
          <w:spacing w:val="2"/>
          <w:sz w:val="20"/>
          <w:szCs w:val="20"/>
        </w:rPr>
        <w:t>(1)承建单位项目组织机构核心人员岗位职责与合同约定的交付要求的一致</w:t>
      </w:r>
      <w:r>
        <w:rPr>
          <w:spacing w:val="1"/>
          <w:sz w:val="20"/>
          <w:szCs w:val="20"/>
        </w:rPr>
        <w:t>性；</w:t>
      </w:r>
    </w:p>
    <w:p w14:paraId="605DA233">
      <w:pPr>
        <w:pStyle w:val="2"/>
        <w:spacing w:before="64" w:line="219" w:lineRule="auto"/>
        <w:ind w:left="739"/>
        <w:rPr>
          <w:sz w:val="20"/>
          <w:szCs w:val="20"/>
        </w:rPr>
      </w:pPr>
      <w:r>
        <w:rPr>
          <w:spacing w:val="1"/>
          <w:sz w:val="20"/>
          <w:szCs w:val="20"/>
        </w:rPr>
        <w:t>(2)承建单位进场作业人员的资格和资质的合规性；</w:t>
      </w:r>
    </w:p>
    <w:p w14:paraId="0A9003CF">
      <w:pPr>
        <w:pStyle w:val="2"/>
        <w:spacing w:before="63" w:line="219" w:lineRule="auto"/>
        <w:ind w:left="739"/>
        <w:rPr>
          <w:sz w:val="20"/>
          <w:szCs w:val="20"/>
        </w:rPr>
      </w:pPr>
      <w:r>
        <w:rPr>
          <w:spacing w:val="1"/>
          <w:sz w:val="20"/>
          <w:szCs w:val="20"/>
        </w:rPr>
        <w:t>(3)承建单位进场手续的完备性和可操作性；</w:t>
      </w:r>
    </w:p>
    <w:p w14:paraId="09FC1B15">
      <w:pPr>
        <w:pStyle w:val="2"/>
        <w:spacing w:before="72" w:line="219" w:lineRule="auto"/>
        <w:ind w:left="739"/>
        <w:rPr>
          <w:sz w:val="20"/>
          <w:szCs w:val="20"/>
        </w:rPr>
      </w:pPr>
      <w:r>
        <w:rPr>
          <w:spacing w:val="1"/>
          <w:sz w:val="20"/>
          <w:szCs w:val="20"/>
        </w:rPr>
        <w:t>(4)承建单位进场人员的安全承诺和保密承诺与开工条件的符合性。</w:t>
      </w:r>
    </w:p>
    <w:p w14:paraId="552FE9A1">
      <w:pPr>
        <w:pStyle w:val="2"/>
        <w:spacing w:before="148" w:line="221" w:lineRule="auto"/>
        <w:ind w:left="742"/>
        <w:rPr>
          <w:rFonts w:ascii="黑体" w:hAnsi="黑体" w:eastAsia="黑体" w:cs="黑体"/>
          <w:sz w:val="20"/>
          <w:szCs w:val="20"/>
        </w:rPr>
      </w:pPr>
      <w:r>
        <w:rPr>
          <w:b/>
          <w:bCs/>
          <w:color w:val="0084DC"/>
          <w:spacing w:val="-2"/>
          <w:sz w:val="20"/>
          <w:szCs w:val="20"/>
        </w:rPr>
        <w:t>3.</w:t>
      </w:r>
      <w:r>
        <w:rPr>
          <w:rFonts w:ascii="黑体" w:hAnsi="黑体" w:eastAsia="黑体" w:cs="黑体"/>
          <w:b/>
          <w:bCs/>
          <w:color w:val="0084DC"/>
          <w:spacing w:val="-2"/>
          <w:sz w:val="20"/>
          <w:szCs w:val="20"/>
        </w:rPr>
        <w:t>深化设计方案和图纸的审核</w:t>
      </w:r>
    </w:p>
    <w:p w14:paraId="00BCFBE1">
      <w:pPr>
        <w:pStyle w:val="2"/>
        <w:spacing w:before="154" w:line="219" w:lineRule="auto"/>
        <w:ind w:left="739"/>
        <w:rPr>
          <w:sz w:val="20"/>
          <w:szCs w:val="20"/>
        </w:rPr>
      </w:pPr>
      <w:r>
        <w:rPr>
          <w:spacing w:val="-8"/>
          <w:sz w:val="20"/>
          <w:szCs w:val="20"/>
        </w:rPr>
        <w:t>监理机构应协助业主单位组织对承建单位数据中心深化设计</w:t>
      </w:r>
      <w:r>
        <w:rPr>
          <w:spacing w:val="-9"/>
          <w:sz w:val="20"/>
          <w:szCs w:val="20"/>
        </w:rPr>
        <w:t>方案和图纸的以下内容进行评审：</w:t>
      </w:r>
    </w:p>
    <w:p w14:paraId="0745E9EE">
      <w:pPr>
        <w:pStyle w:val="2"/>
        <w:spacing w:before="65" w:line="220" w:lineRule="auto"/>
        <w:ind w:left="739"/>
        <w:rPr>
          <w:sz w:val="20"/>
          <w:szCs w:val="20"/>
        </w:rPr>
      </w:pPr>
      <w:r>
        <w:rPr>
          <w:spacing w:val="3"/>
          <w:sz w:val="20"/>
          <w:szCs w:val="20"/>
        </w:rPr>
        <w:t>(1)施工方案和施工组织设计范围与合同要求的一致性；</w:t>
      </w:r>
    </w:p>
    <w:p w14:paraId="54464C7A">
      <w:pPr>
        <w:pStyle w:val="2"/>
        <w:spacing w:before="61" w:line="219" w:lineRule="auto"/>
        <w:ind w:left="739"/>
        <w:rPr>
          <w:sz w:val="20"/>
          <w:szCs w:val="20"/>
        </w:rPr>
      </w:pPr>
      <w:r>
        <w:rPr>
          <w:spacing w:val="2"/>
          <w:sz w:val="20"/>
          <w:szCs w:val="20"/>
        </w:rPr>
        <w:t>(2)工程质量技术保障措施的完备性、合规性；</w:t>
      </w:r>
    </w:p>
    <w:p w14:paraId="48DC07AE">
      <w:pPr>
        <w:spacing w:line="219" w:lineRule="auto"/>
        <w:rPr>
          <w:sz w:val="20"/>
          <w:szCs w:val="20"/>
        </w:rPr>
        <w:sectPr>
          <w:pgSz w:w="10310" w:h="13390"/>
          <w:pgMar w:top="400" w:right="1107" w:bottom="400" w:left="520" w:header="0" w:footer="0" w:gutter="0"/>
          <w:cols w:space="720" w:num="1"/>
        </w:sectPr>
      </w:pPr>
    </w:p>
    <w:p w14:paraId="4ACF73A6">
      <w:pPr>
        <w:pStyle w:val="2"/>
        <w:jc w:val="right"/>
        <w:rPr>
          <w:sz w:val="19"/>
          <w:szCs w:val="19"/>
        </w:rPr>
      </w:pPr>
      <w:r>
        <w:rPr>
          <w:spacing w:val="3"/>
          <w:sz w:val="19"/>
          <w:szCs w:val="19"/>
        </w:rPr>
        <w:t>第23章</w:t>
      </w:r>
      <w:r>
        <w:rPr>
          <w:spacing w:val="25"/>
          <w:sz w:val="19"/>
          <w:szCs w:val="19"/>
        </w:rPr>
        <w:t xml:space="preserve"> </w:t>
      </w:r>
      <w:r>
        <w:rPr>
          <w:spacing w:val="3"/>
          <w:sz w:val="19"/>
          <w:szCs w:val="19"/>
        </w:rPr>
        <w:t>数据中心监理</w:t>
      </w:r>
      <w:r>
        <w:rPr>
          <w:spacing w:val="7"/>
          <w:sz w:val="19"/>
          <w:szCs w:val="19"/>
        </w:rPr>
        <w:t xml:space="preserve">      </w:t>
      </w:r>
      <w:r>
        <w:rPr>
          <w:rFonts w:ascii="Times New Roman" w:hAnsi="Times New Roman" w:eastAsia="Times New Roman" w:cs="Times New Roman"/>
          <w:spacing w:val="3"/>
          <w:sz w:val="19"/>
          <w:szCs w:val="19"/>
        </w:rPr>
        <w:t xml:space="preserve">529  </w:t>
      </w:r>
      <w:r>
        <w:rPr>
          <w:position w:val="-7"/>
          <w:sz w:val="19"/>
          <w:szCs w:val="19"/>
        </w:rPr>
        <w:drawing>
          <wp:inline distT="0" distB="0" distL="0" distR="0">
            <wp:extent cx="273050" cy="196215"/>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339"/>
                    <a:stretch>
                      <a:fillRect/>
                    </a:stretch>
                  </pic:blipFill>
                  <pic:spPr>
                    <a:xfrm>
                      <a:off x="0" y="0"/>
                      <a:ext cx="273061" cy="196780"/>
                    </a:xfrm>
                    <a:prstGeom prst="rect">
                      <a:avLst/>
                    </a:prstGeom>
                  </pic:spPr>
                </pic:pic>
              </a:graphicData>
            </a:graphic>
          </wp:inline>
        </w:drawing>
      </w:r>
    </w:p>
    <w:p w14:paraId="730E0A1D">
      <w:pPr>
        <w:spacing w:line="304" w:lineRule="auto"/>
        <w:rPr>
          <w:rFonts w:ascii="Arial"/>
          <w:sz w:val="21"/>
        </w:rPr>
      </w:pPr>
    </w:p>
    <w:p w14:paraId="1097064C">
      <w:pPr>
        <w:pStyle w:val="2"/>
        <w:spacing w:before="62" w:line="219" w:lineRule="auto"/>
        <w:ind w:left="409"/>
        <w:rPr>
          <w:sz w:val="19"/>
          <w:szCs w:val="19"/>
        </w:rPr>
      </w:pPr>
      <w:r>
        <w:rPr>
          <w:spacing w:val="10"/>
          <w:sz w:val="19"/>
          <w:szCs w:val="19"/>
        </w:rPr>
        <w:t>(3)施工图施工部位技术指标参数与工程量的明确性；</w:t>
      </w:r>
    </w:p>
    <w:p w14:paraId="266B831D">
      <w:pPr>
        <w:pStyle w:val="2"/>
        <w:spacing w:before="94" w:line="219" w:lineRule="auto"/>
        <w:ind w:left="409"/>
        <w:rPr>
          <w:sz w:val="19"/>
          <w:szCs w:val="19"/>
        </w:rPr>
      </w:pPr>
      <w:r>
        <w:rPr>
          <w:spacing w:val="11"/>
          <w:sz w:val="19"/>
          <w:szCs w:val="19"/>
        </w:rPr>
        <w:t>(4)统计资料或管理图表和工序要求与施</w:t>
      </w:r>
      <w:r>
        <w:rPr>
          <w:spacing w:val="10"/>
          <w:sz w:val="19"/>
          <w:szCs w:val="19"/>
        </w:rPr>
        <w:t>工动态的符合性；</w:t>
      </w:r>
    </w:p>
    <w:p w14:paraId="7D7B185D">
      <w:pPr>
        <w:pStyle w:val="2"/>
        <w:spacing w:before="94" w:line="219" w:lineRule="auto"/>
        <w:ind w:left="409"/>
        <w:rPr>
          <w:sz w:val="19"/>
          <w:szCs w:val="19"/>
        </w:rPr>
      </w:pPr>
      <w:r>
        <w:rPr>
          <w:spacing w:val="11"/>
          <w:sz w:val="19"/>
          <w:szCs w:val="19"/>
        </w:rPr>
        <w:t>(5)设计变更与技术核定的一致性、合规性。</w:t>
      </w:r>
    </w:p>
    <w:p w14:paraId="625F3C32">
      <w:pPr>
        <w:pStyle w:val="2"/>
        <w:spacing w:before="172" w:line="223" w:lineRule="auto"/>
        <w:ind w:left="412"/>
        <w:rPr>
          <w:rFonts w:ascii="黑体" w:hAnsi="黑体" w:eastAsia="黑体" w:cs="黑体"/>
          <w:sz w:val="19"/>
          <w:szCs w:val="19"/>
        </w:rPr>
      </w:pPr>
      <w:r>
        <w:rPr>
          <w:b/>
          <w:bCs/>
          <w:color w:val="008DE0"/>
          <w:spacing w:val="8"/>
          <w:sz w:val="19"/>
          <w:szCs w:val="19"/>
        </w:rPr>
        <w:t>4.</w:t>
      </w:r>
      <w:r>
        <w:rPr>
          <w:rFonts w:ascii="黑体" w:hAnsi="黑体" w:eastAsia="黑体" w:cs="黑体"/>
          <w:b/>
          <w:bCs/>
          <w:color w:val="008DE0"/>
          <w:spacing w:val="8"/>
          <w:sz w:val="19"/>
          <w:szCs w:val="19"/>
        </w:rPr>
        <w:t>施工计划的监理</w:t>
      </w:r>
    </w:p>
    <w:p w14:paraId="195B0A35">
      <w:pPr>
        <w:pStyle w:val="2"/>
        <w:spacing w:before="162" w:line="292" w:lineRule="auto"/>
        <w:ind w:right="847" w:firstLine="409"/>
        <w:jc w:val="both"/>
        <w:rPr>
          <w:sz w:val="19"/>
          <w:szCs w:val="19"/>
        </w:rPr>
      </w:pPr>
      <w:r>
        <w:rPr>
          <w:spacing w:val="13"/>
          <w:sz w:val="19"/>
          <w:szCs w:val="19"/>
        </w:rPr>
        <w:t>监理机构应协助业主单位，根据建设内容和建设工期的要求，督促承建单位按照数据中心</w:t>
      </w:r>
      <w:r>
        <w:rPr>
          <w:spacing w:val="4"/>
          <w:sz w:val="19"/>
          <w:szCs w:val="19"/>
        </w:rPr>
        <w:t xml:space="preserve"> </w:t>
      </w:r>
      <w:r>
        <w:rPr>
          <w:spacing w:val="13"/>
          <w:sz w:val="19"/>
          <w:szCs w:val="19"/>
        </w:rPr>
        <w:t>的工作内容、工作程序、持续时间和衔接关系编制施工</w:t>
      </w:r>
      <w:r>
        <w:rPr>
          <w:spacing w:val="12"/>
          <w:sz w:val="19"/>
          <w:szCs w:val="19"/>
        </w:rPr>
        <w:t>计划。经监理机构审核及业主单位审批</w:t>
      </w:r>
      <w:r>
        <w:rPr>
          <w:sz w:val="19"/>
          <w:szCs w:val="19"/>
        </w:rPr>
        <w:t xml:space="preserve"> </w:t>
      </w:r>
      <w:r>
        <w:rPr>
          <w:spacing w:val="7"/>
          <w:sz w:val="19"/>
          <w:szCs w:val="19"/>
        </w:rPr>
        <w:t>通过后，督促承建单位按计划实施。</w:t>
      </w:r>
    </w:p>
    <w:p w14:paraId="29FA6E6A">
      <w:pPr>
        <w:pStyle w:val="2"/>
        <w:spacing w:before="37" w:line="219" w:lineRule="auto"/>
        <w:ind w:left="409"/>
        <w:rPr>
          <w:sz w:val="19"/>
          <w:szCs w:val="19"/>
        </w:rPr>
      </w:pPr>
      <w:r>
        <w:rPr>
          <w:spacing w:val="5"/>
          <w:sz w:val="19"/>
          <w:szCs w:val="19"/>
        </w:rPr>
        <w:t>监理机构对施工计划审核的内容如下：</w:t>
      </w:r>
    </w:p>
    <w:p w14:paraId="7B977852">
      <w:pPr>
        <w:pStyle w:val="2"/>
        <w:spacing w:before="96" w:line="219" w:lineRule="auto"/>
        <w:ind w:left="409"/>
        <w:rPr>
          <w:sz w:val="19"/>
          <w:szCs w:val="19"/>
        </w:rPr>
      </w:pPr>
      <w:r>
        <w:rPr>
          <w:spacing w:val="12"/>
          <w:sz w:val="19"/>
          <w:szCs w:val="19"/>
        </w:rPr>
        <w:t>(1)施工计划中建设前期的各项工作应衔接紧密、前后一</w:t>
      </w:r>
      <w:r>
        <w:rPr>
          <w:spacing w:val="11"/>
          <w:sz w:val="19"/>
          <w:szCs w:val="19"/>
        </w:rPr>
        <w:t>致、时间可控；</w:t>
      </w:r>
    </w:p>
    <w:p w14:paraId="573053B5">
      <w:pPr>
        <w:pStyle w:val="2"/>
        <w:spacing w:before="95" w:line="219" w:lineRule="auto"/>
        <w:ind w:left="409"/>
        <w:rPr>
          <w:sz w:val="19"/>
          <w:szCs w:val="19"/>
        </w:rPr>
      </w:pPr>
      <w:r>
        <w:rPr>
          <w:spacing w:val="11"/>
          <w:sz w:val="19"/>
          <w:szCs w:val="19"/>
        </w:rPr>
        <w:t>(2)施工计划中的项目确定投资额、工程量、建设条件均能落实；</w:t>
      </w:r>
    </w:p>
    <w:p w14:paraId="3594548F">
      <w:pPr>
        <w:pStyle w:val="2"/>
        <w:spacing w:before="84" w:line="219" w:lineRule="auto"/>
        <w:ind w:left="409"/>
        <w:rPr>
          <w:sz w:val="19"/>
          <w:szCs w:val="19"/>
        </w:rPr>
      </w:pPr>
      <w:r>
        <w:rPr>
          <w:spacing w:val="4"/>
          <w:sz w:val="19"/>
          <w:szCs w:val="19"/>
        </w:rPr>
        <w:t>(3)施工计划中的施工准备工作、施工总进度、各子项任务的进度计划具</w:t>
      </w:r>
      <w:r>
        <w:rPr>
          <w:spacing w:val="3"/>
          <w:sz w:val="19"/>
          <w:szCs w:val="19"/>
        </w:rPr>
        <w:t>备合理性、可行性。</w:t>
      </w:r>
    </w:p>
    <w:p w14:paraId="0E6E1C87">
      <w:pPr>
        <w:pStyle w:val="2"/>
        <w:spacing w:before="248" w:line="222" w:lineRule="auto"/>
        <w:ind w:left="3"/>
        <w:rPr>
          <w:sz w:val="25"/>
          <w:szCs w:val="25"/>
        </w:rPr>
      </w:pPr>
      <w:r>
        <w:rPr>
          <w:b/>
          <w:bCs/>
          <w:color w:val="0082D9"/>
          <w:spacing w:val="-16"/>
          <w:sz w:val="25"/>
          <w:szCs w:val="25"/>
        </w:rPr>
        <w:t>23.3.3</w:t>
      </w:r>
      <w:r>
        <w:rPr>
          <w:color w:val="0082D9"/>
          <w:spacing w:val="100"/>
          <w:sz w:val="25"/>
          <w:szCs w:val="25"/>
        </w:rPr>
        <w:t xml:space="preserve"> </w:t>
      </w:r>
      <w:r>
        <w:rPr>
          <w:b/>
          <w:bCs/>
          <w:color w:val="0082D9"/>
          <w:spacing w:val="-16"/>
          <w:sz w:val="25"/>
          <w:szCs w:val="25"/>
        </w:rPr>
        <w:t>监理要点</w:t>
      </w:r>
    </w:p>
    <w:p w14:paraId="717AC32F">
      <w:pPr>
        <w:pStyle w:val="2"/>
        <w:spacing w:before="262" w:line="222" w:lineRule="auto"/>
        <w:ind w:left="412"/>
        <w:rPr>
          <w:rFonts w:ascii="黑体" w:hAnsi="黑体" w:eastAsia="黑体" w:cs="黑体"/>
          <w:sz w:val="19"/>
          <w:szCs w:val="19"/>
        </w:rPr>
      </w:pPr>
      <w:r>
        <w:rPr>
          <w:b/>
          <w:bCs/>
          <w:color w:val="007FD4"/>
          <w:spacing w:val="6"/>
          <w:sz w:val="19"/>
          <w:szCs w:val="19"/>
        </w:rPr>
        <w:t>1.</w:t>
      </w:r>
      <w:r>
        <w:rPr>
          <w:rFonts w:ascii="黑体" w:hAnsi="黑体" w:eastAsia="黑体" w:cs="黑体"/>
          <w:b/>
          <w:bCs/>
          <w:color w:val="007FD4"/>
          <w:spacing w:val="6"/>
          <w:sz w:val="19"/>
          <w:szCs w:val="19"/>
        </w:rPr>
        <w:t>数据中心设计的需求分析审核要点</w:t>
      </w:r>
    </w:p>
    <w:p w14:paraId="7F672F96">
      <w:pPr>
        <w:pStyle w:val="2"/>
        <w:spacing w:before="135" w:line="307" w:lineRule="auto"/>
        <w:ind w:right="785" w:firstLine="409"/>
        <w:rPr>
          <w:sz w:val="19"/>
          <w:szCs w:val="19"/>
        </w:rPr>
      </w:pPr>
      <w:r>
        <w:rPr>
          <w:spacing w:val="10"/>
          <w:sz w:val="19"/>
          <w:szCs w:val="19"/>
        </w:rPr>
        <w:t>通常情况下，监理在介入数据中心设计方案评审前，</w:t>
      </w:r>
      <w:r>
        <w:rPr>
          <w:spacing w:val="9"/>
          <w:sz w:val="19"/>
          <w:szCs w:val="19"/>
        </w:rPr>
        <w:t>要理解数据中心规划需求、建设目的、</w:t>
      </w:r>
      <w:r>
        <w:rPr>
          <w:sz w:val="19"/>
          <w:szCs w:val="19"/>
        </w:rPr>
        <w:t xml:space="preserve"> </w:t>
      </w:r>
      <w:r>
        <w:rPr>
          <w:spacing w:val="8"/>
          <w:sz w:val="19"/>
          <w:szCs w:val="19"/>
        </w:rPr>
        <w:t>应用要点，为此，监理机构有必要重点识别数</w:t>
      </w:r>
      <w:r>
        <w:rPr>
          <w:spacing w:val="7"/>
          <w:sz w:val="19"/>
          <w:szCs w:val="19"/>
        </w:rPr>
        <w:t>据中心规划的需求：</w:t>
      </w:r>
    </w:p>
    <w:p w14:paraId="3DFBB58E">
      <w:pPr>
        <w:pStyle w:val="2"/>
        <w:spacing w:before="9" w:line="219" w:lineRule="auto"/>
        <w:ind w:left="409"/>
        <w:rPr>
          <w:sz w:val="19"/>
          <w:szCs w:val="19"/>
        </w:rPr>
      </w:pPr>
      <w:r>
        <w:rPr>
          <w:spacing w:val="11"/>
          <w:sz w:val="19"/>
          <w:szCs w:val="19"/>
        </w:rPr>
        <w:t>(1)最大化地适应业务需求的高可用性；</w:t>
      </w:r>
    </w:p>
    <w:p w14:paraId="53F6BF12">
      <w:pPr>
        <w:pStyle w:val="2"/>
        <w:spacing w:before="94" w:line="219" w:lineRule="auto"/>
        <w:ind w:left="409"/>
        <w:rPr>
          <w:sz w:val="19"/>
          <w:szCs w:val="19"/>
        </w:rPr>
      </w:pPr>
      <w:r>
        <w:rPr>
          <w:spacing w:val="10"/>
          <w:sz w:val="19"/>
          <w:szCs w:val="19"/>
        </w:rPr>
        <w:t>(2)准确的数据挖掘、整理、再计算的高可靠性；</w:t>
      </w:r>
    </w:p>
    <w:p w14:paraId="59B54191">
      <w:pPr>
        <w:pStyle w:val="2"/>
        <w:spacing w:before="75" w:line="219" w:lineRule="auto"/>
        <w:ind w:left="409"/>
        <w:rPr>
          <w:sz w:val="19"/>
          <w:szCs w:val="19"/>
        </w:rPr>
      </w:pPr>
      <w:r>
        <w:rPr>
          <w:spacing w:val="12"/>
          <w:sz w:val="19"/>
          <w:szCs w:val="19"/>
        </w:rPr>
        <w:t>(3)高效节约、绿色低排放的建设方案；</w:t>
      </w:r>
    </w:p>
    <w:p w14:paraId="3389CFE1">
      <w:pPr>
        <w:pStyle w:val="2"/>
        <w:spacing w:before="85" w:line="219" w:lineRule="auto"/>
        <w:ind w:left="409"/>
        <w:rPr>
          <w:sz w:val="19"/>
          <w:szCs w:val="19"/>
        </w:rPr>
      </w:pPr>
      <w:r>
        <w:rPr>
          <w:spacing w:val="13"/>
          <w:sz w:val="19"/>
          <w:szCs w:val="19"/>
        </w:rPr>
        <w:t>(4)最适宜的运营维护策略等。</w:t>
      </w:r>
    </w:p>
    <w:p w14:paraId="227606D0">
      <w:pPr>
        <w:pStyle w:val="2"/>
        <w:spacing w:before="180" w:line="221" w:lineRule="auto"/>
        <w:ind w:left="412"/>
        <w:rPr>
          <w:rFonts w:ascii="黑体" w:hAnsi="黑体" w:eastAsia="黑体" w:cs="黑体"/>
          <w:sz w:val="19"/>
          <w:szCs w:val="19"/>
        </w:rPr>
      </w:pPr>
      <w:r>
        <w:rPr>
          <w:b/>
          <w:bCs/>
          <w:color w:val="008FE2"/>
          <w:spacing w:val="8"/>
          <w:sz w:val="19"/>
          <w:szCs w:val="19"/>
        </w:rPr>
        <w:t>2.</w:t>
      </w:r>
      <w:r>
        <w:rPr>
          <w:rFonts w:ascii="黑体" w:hAnsi="黑体" w:eastAsia="黑体" w:cs="黑体"/>
          <w:b/>
          <w:bCs/>
          <w:color w:val="008FE2"/>
          <w:spacing w:val="8"/>
          <w:sz w:val="19"/>
          <w:szCs w:val="19"/>
        </w:rPr>
        <w:t>数据中心设计方案的评审要点</w:t>
      </w:r>
    </w:p>
    <w:p w14:paraId="4600AB8E">
      <w:pPr>
        <w:pStyle w:val="2"/>
        <w:spacing w:before="146" w:line="219" w:lineRule="auto"/>
        <w:ind w:left="409"/>
        <w:rPr>
          <w:sz w:val="19"/>
          <w:szCs w:val="19"/>
        </w:rPr>
      </w:pPr>
      <w:r>
        <w:rPr>
          <w:spacing w:val="6"/>
          <w:sz w:val="19"/>
          <w:szCs w:val="19"/>
        </w:rPr>
        <w:t>监理机构对数据中心设计方案的评审要点包括：</w:t>
      </w:r>
    </w:p>
    <w:p w14:paraId="7BA35D2D">
      <w:pPr>
        <w:pStyle w:val="2"/>
        <w:spacing w:before="75" w:line="219" w:lineRule="auto"/>
        <w:ind w:left="409"/>
        <w:rPr>
          <w:sz w:val="19"/>
          <w:szCs w:val="19"/>
        </w:rPr>
      </w:pPr>
      <w:r>
        <w:rPr>
          <w:spacing w:val="11"/>
          <w:sz w:val="19"/>
          <w:szCs w:val="19"/>
        </w:rPr>
        <w:t>(1)设计方案整体架构要做到层次明了、架构清晰、主次分明、</w:t>
      </w:r>
      <w:r>
        <w:rPr>
          <w:spacing w:val="10"/>
          <w:sz w:val="19"/>
          <w:szCs w:val="19"/>
        </w:rPr>
        <w:t>易读易懂；</w:t>
      </w:r>
    </w:p>
    <w:p w14:paraId="59097129">
      <w:pPr>
        <w:pStyle w:val="2"/>
        <w:spacing w:before="84" w:line="219" w:lineRule="auto"/>
        <w:ind w:left="409"/>
        <w:rPr>
          <w:sz w:val="19"/>
          <w:szCs w:val="19"/>
        </w:rPr>
      </w:pPr>
      <w:r>
        <w:rPr>
          <w:spacing w:val="10"/>
          <w:sz w:val="19"/>
          <w:szCs w:val="19"/>
        </w:rPr>
        <w:t>(2)每一项设计内容要做到有分析、有结论，结论要明确，描述要精练；</w:t>
      </w:r>
    </w:p>
    <w:p w14:paraId="68EFFE35">
      <w:pPr>
        <w:pStyle w:val="2"/>
        <w:spacing w:before="84" w:line="219" w:lineRule="auto"/>
        <w:ind w:left="409"/>
        <w:rPr>
          <w:sz w:val="19"/>
          <w:szCs w:val="19"/>
        </w:rPr>
      </w:pPr>
      <w:r>
        <w:rPr>
          <w:spacing w:val="11"/>
          <w:sz w:val="19"/>
          <w:szCs w:val="19"/>
        </w:rPr>
        <w:t>(3)设计思路和设计展示要基于科学、严</w:t>
      </w:r>
      <w:r>
        <w:rPr>
          <w:spacing w:val="10"/>
          <w:sz w:val="19"/>
          <w:szCs w:val="19"/>
        </w:rPr>
        <w:t>谨、有依据的数据推导过程和分析，切忌猜测；</w:t>
      </w:r>
    </w:p>
    <w:p w14:paraId="5054DA36">
      <w:pPr>
        <w:pStyle w:val="2"/>
        <w:spacing w:before="86" w:line="219" w:lineRule="auto"/>
        <w:ind w:left="409"/>
        <w:rPr>
          <w:sz w:val="19"/>
          <w:szCs w:val="19"/>
        </w:rPr>
      </w:pPr>
      <w:r>
        <w:rPr>
          <w:spacing w:val="11"/>
          <w:sz w:val="19"/>
          <w:szCs w:val="19"/>
        </w:rPr>
        <w:t>(4)设计方案应充分展示高度的逻辑思维</w:t>
      </w:r>
      <w:r>
        <w:rPr>
          <w:spacing w:val="10"/>
          <w:sz w:val="19"/>
          <w:szCs w:val="19"/>
        </w:rPr>
        <w:t>、判断和推导，语言表述能够被读懂；</w:t>
      </w:r>
    </w:p>
    <w:p w14:paraId="5A7DB656">
      <w:pPr>
        <w:pStyle w:val="2"/>
        <w:spacing w:before="75" w:line="219" w:lineRule="auto"/>
        <w:ind w:left="409"/>
        <w:rPr>
          <w:sz w:val="19"/>
          <w:szCs w:val="19"/>
        </w:rPr>
      </w:pPr>
      <w:r>
        <w:rPr>
          <w:spacing w:val="11"/>
          <w:sz w:val="19"/>
          <w:szCs w:val="19"/>
        </w:rPr>
        <w:t>(5)设计方案一定要基于广泛收集的、可</w:t>
      </w:r>
      <w:r>
        <w:rPr>
          <w:spacing w:val="10"/>
          <w:sz w:val="19"/>
          <w:szCs w:val="19"/>
        </w:rPr>
        <w:t>靠的数据，论据完整、可信；</w:t>
      </w:r>
    </w:p>
    <w:p w14:paraId="4E26318F">
      <w:pPr>
        <w:pStyle w:val="2"/>
        <w:spacing w:before="83" w:line="219" w:lineRule="auto"/>
        <w:ind w:left="409"/>
        <w:rPr>
          <w:sz w:val="19"/>
          <w:szCs w:val="19"/>
        </w:rPr>
      </w:pPr>
      <w:r>
        <w:rPr>
          <w:spacing w:val="10"/>
          <w:sz w:val="19"/>
          <w:szCs w:val="19"/>
        </w:rPr>
        <w:t>(6)设计方案应适当以图表展示，结合必要的文字表述，既简练又达意；</w:t>
      </w:r>
    </w:p>
    <w:p w14:paraId="061F0E4A">
      <w:pPr>
        <w:pStyle w:val="2"/>
        <w:spacing w:before="76" w:line="265" w:lineRule="auto"/>
        <w:ind w:right="850" w:firstLine="409"/>
        <w:rPr>
          <w:sz w:val="19"/>
          <w:szCs w:val="19"/>
        </w:rPr>
      </w:pPr>
      <w:r>
        <w:rPr>
          <w:spacing w:val="11"/>
          <w:sz w:val="19"/>
          <w:szCs w:val="19"/>
        </w:rPr>
        <w:t>(7)设计方案应具备完整性，宜以“发现问题</w:t>
      </w:r>
      <w:r>
        <w:rPr>
          <w:spacing w:val="-63"/>
          <w:sz w:val="19"/>
          <w:szCs w:val="19"/>
        </w:rPr>
        <w:t xml:space="preserve"> </w:t>
      </w:r>
      <w:r>
        <w:rPr>
          <w:spacing w:val="11"/>
          <w:sz w:val="19"/>
          <w:szCs w:val="19"/>
        </w:rPr>
        <w:t>→</w:t>
      </w:r>
      <w:r>
        <w:rPr>
          <w:spacing w:val="-69"/>
          <w:sz w:val="19"/>
          <w:szCs w:val="19"/>
        </w:rPr>
        <w:t xml:space="preserve"> </w:t>
      </w:r>
      <w:r>
        <w:rPr>
          <w:spacing w:val="11"/>
          <w:sz w:val="19"/>
          <w:szCs w:val="19"/>
        </w:rPr>
        <w:t>分析问题</w:t>
      </w:r>
      <w:r>
        <w:rPr>
          <w:spacing w:val="-63"/>
          <w:sz w:val="19"/>
          <w:szCs w:val="19"/>
        </w:rPr>
        <w:t xml:space="preserve"> </w:t>
      </w:r>
      <w:r>
        <w:rPr>
          <w:spacing w:val="11"/>
          <w:sz w:val="19"/>
          <w:szCs w:val="19"/>
        </w:rPr>
        <w:t>→</w:t>
      </w:r>
      <w:r>
        <w:rPr>
          <w:spacing w:val="-72"/>
          <w:sz w:val="19"/>
          <w:szCs w:val="19"/>
        </w:rPr>
        <w:t xml:space="preserve"> </w:t>
      </w:r>
      <w:r>
        <w:rPr>
          <w:spacing w:val="11"/>
          <w:sz w:val="19"/>
          <w:szCs w:val="19"/>
        </w:rPr>
        <w:t>解决问题</w:t>
      </w:r>
      <w:r>
        <w:rPr>
          <w:spacing w:val="-63"/>
          <w:sz w:val="19"/>
          <w:szCs w:val="19"/>
        </w:rPr>
        <w:t xml:space="preserve"> </w:t>
      </w:r>
      <w:r>
        <w:rPr>
          <w:spacing w:val="10"/>
          <w:sz w:val="19"/>
          <w:szCs w:val="19"/>
        </w:rPr>
        <w:t>→</w:t>
      </w:r>
      <w:r>
        <w:rPr>
          <w:spacing w:val="-68"/>
          <w:sz w:val="19"/>
          <w:szCs w:val="19"/>
        </w:rPr>
        <w:t xml:space="preserve"> </w:t>
      </w:r>
      <w:r>
        <w:rPr>
          <w:spacing w:val="10"/>
          <w:sz w:val="19"/>
          <w:szCs w:val="19"/>
        </w:rPr>
        <w:t>关闭问题”的闭环</w:t>
      </w:r>
      <w:r>
        <w:rPr>
          <w:sz w:val="19"/>
          <w:szCs w:val="19"/>
        </w:rPr>
        <w:t xml:space="preserve"> </w:t>
      </w:r>
      <w:r>
        <w:rPr>
          <w:spacing w:val="3"/>
          <w:sz w:val="19"/>
          <w:szCs w:val="19"/>
        </w:rPr>
        <w:t>思路进行表述；</w:t>
      </w:r>
    </w:p>
    <w:p w14:paraId="67B3FF43">
      <w:pPr>
        <w:pStyle w:val="2"/>
        <w:spacing w:before="75" w:line="219" w:lineRule="auto"/>
        <w:ind w:left="409"/>
        <w:rPr>
          <w:sz w:val="19"/>
          <w:szCs w:val="19"/>
        </w:rPr>
      </w:pPr>
      <w:r>
        <w:rPr>
          <w:spacing w:val="11"/>
          <w:sz w:val="19"/>
          <w:szCs w:val="19"/>
        </w:rPr>
        <w:t>(8)设计方案既要提出解决方案，也要提出必要的辅助性、支</w:t>
      </w:r>
      <w:r>
        <w:rPr>
          <w:spacing w:val="10"/>
          <w:sz w:val="19"/>
          <w:szCs w:val="19"/>
        </w:rPr>
        <w:t>撑性的建议。</w:t>
      </w:r>
    </w:p>
    <w:p w14:paraId="402FEE5B">
      <w:pPr>
        <w:pStyle w:val="2"/>
        <w:spacing w:before="172" w:line="223" w:lineRule="auto"/>
        <w:ind w:left="412"/>
        <w:rPr>
          <w:rFonts w:ascii="黑体" w:hAnsi="黑体" w:eastAsia="黑体" w:cs="黑体"/>
          <w:sz w:val="19"/>
          <w:szCs w:val="19"/>
        </w:rPr>
      </w:pPr>
      <w:r>
        <w:rPr>
          <w:b/>
          <w:bCs/>
          <w:color w:val="008DDF"/>
          <w:spacing w:val="7"/>
          <w:sz w:val="19"/>
          <w:szCs w:val="19"/>
        </w:rPr>
        <w:t>3.</w:t>
      </w:r>
      <w:r>
        <w:rPr>
          <w:rFonts w:ascii="黑体" w:hAnsi="黑体" w:eastAsia="黑体" w:cs="黑体"/>
          <w:b/>
          <w:bCs/>
          <w:color w:val="008DDF"/>
          <w:spacing w:val="7"/>
          <w:sz w:val="19"/>
          <w:szCs w:val="19"/>
        </w:rPr>
        <w:t>监理响应措施</w:t>
      </w:r>
    </w:p>
    <w:p w14:paraId="69DD4158">
      <w:pPr>
        <w:pStyle w:val="2"/>
        <w:spacing w:before="131" w:line="293" w:lineRule="auto"/>
        <w:ind w:right="785" w:firstLine="409"/>
        <w:jc w:val="both"/>
        <w:rPr>
          <w:sz w:val="19"/>
          <w:szCs w:val="19"/>
        </w:rPr>
      </w:pPr>
      <w:r>
        <w:rPr>
          <w:spacing w:val="10"/>
          <w:sz w:val="19"/>
          <w:szCs w:val="19"/>
        </w:rPr>
        <w:t>监理机构在做出上述分析、论证和评审意见，或根据</w:t>
      </w:r>
      <w:r>
        <w:rPr>
          <w:spacing w:val="9"/>
          <w:sz w:val="19"/>
          <w:szCs w:val="19"/>
        </w:rPr>
        <w:t>实际咨询要求提出可行的解决办法后，</w:t>
      </w:r>
      <w:r>
        <w:rPr>
          <w:sz w:val="19"/>
          <w:szCs w:val="19"/>
        </w:rPr>
        <w:t xml:space="preserve"> </w:t>
      </w:r>
      <w:r>
        <w:rPr>
          <w:spacing w:val="13"/>
          <w:sz w:val="19"/>
          <w:szCs w:val="19"/>
        </w:rPr>
        <w:t>可依照具体情况提出专题监理报告等形式的书面意见</w:t>
      </w:r>
      <w:r>
        <w:rPr>
          <w:spacing w:val="12"/>
          <w:sz w:val="19"/>
          <w:szCs w:val="19"/>
        </w:rPr>
        <w:t>，或适时的口头监理意见辅以必要的监理</w:t>
      </w:r>
      <w:r>
        <w:rPr>
          <w:sz w:val="19"/>
          <w:szCs w:val="19"/>
        </w:rPr>
        <w:t xml:space="preserve">  </w:t>
      </w:r>
      <w:r>
        <w:rPr>
          <w:spacing w:val="16"/>
          <w:sz w:val="19"/>
          <w:szCs w:val="19"/>
        </w:rPr>
        <w:t>文档(监理日志、监理日报、监理周报等)</w:t>
      </w:r>
      <w:r>
        <w:rPr>
          <w:spacing w:val="15"/>
          <w:sz w:val="19"/>
          <w:szCs w:val="19"/>
        </w:rPr>
        <w:t>予以记录并补报。</w:t>
      </w:r>
    </w:p>
    <w:p w14:paraId="68EF9EF4">
      <w:pPr>
        <w:spacing w:line="293" w:lineRule="auto"/>
        <w:rPr>
          <w:sz w:val="19"/>
          <w:szCs w:val="19"/>
        </w:rPr>
        <w:sectPr>
          <w:pgSz w:w="10290" w:h="13300"/>
          <w:pgMar w:top="400" w:right="9" w:bottom="400" w:left="1100" w:header="0" w:footer="0" w:gutter="0"/>
          <w:cols w:space="720" w:num="1"/>
        </w:sectPr>
      </w:pPr>
    </w:p>
    <w:p w14:paraId="1F80993F">
      <w:pPr>
        <w:pStyle w:val="2"/>
        <w:spacing w:before="67" w:line="219" w:lineRule="auto"/>
        <w:rPr>
          <w:sz w:val="19"/>
          <w:szCs w:val="19"/>
        </w:rPr>
      </w:pPr>
      <w:r>
        <w:rPr>
          <w:rFonts w:ascii="Times New Roman" w:hAnsi="Times New Roman" w:eastAsia="Times New Roman" w:cs="Times New Roman"/>
          <w:spacing w:val="3"/>
          <w:sz w:val="19"/>
          <w:szCs w:val="19"/>
        </w:rPr>
        <w:t xml:space="preserve">530              </w:t>
      </w:r>
      <w:r>
        <w:rPr>
          <w:spacing w:val="3"/>
          <w:sz w:val="19"/>
          <w:szCs w:val="19"/>
        </w:rPr>
        <w:t>信息系统监理师教程(第2版)</w:t>
      </w:r>
    </w:p>
    <w:p w14:paraId="70903837">
      <w:pPr>
        <w:spacing w:line="339" w:lineRule="auto"/>
        <w:rPr>
          <w:rFonts w:ascii="Arial"/>
          <w:sz w:val="21"/>
        </w:rPr>
      </w:pPr>
    </w:p>
    <w:p w14:paraId="16413D68">
      <w:pPr>
        <w:pStyle w:val="2"/>
        <w:spacing w:before="62" w:line="289" w:lineRule="auto"/>
        <w:ind w:left="369" w:right="2" w:firstLine="369"/>
        <w:rPr>
          <w:sz w:val="19"/>
          <w:szCs w:val="19"/>
        </w:rPr>
      </w:pPr>
      <w:r>
        <w:rPr>
          <w:spacing w:val="14"/>
          <w:sz w:val="19"/>
          <w:szCs w:val="19"/>
        </w:rPr>
        <w:t>必要时，监理机构可以专题工作报告、工作</w:t>
      </w:r>
      <w:r>
        <w:rPr>
          <w:spacing w:val="13"/>
          <w:sz w:val="19"/>
          <w:szCs w:val="19"/>
        </w:rPr>
        <w:t>专报等形式予以重点说明，向业主单位专题性</w:t>
      </w:r>
      <w:r>
        <w:rPr>
          <w:sz w:val="19"/>
          <w:szCs w:val="19"/>
        </w:rPr>
        <w:t xml:space="preserve"> </w:t>
      </w:r>
      <w:r>
        <w:rPr>
          <w:spacing w:val="5"/>
          <w:sz w:val="19"/>
          <w:szCs w:val="19"/>
        </w:rPr>
        <w:t>地提出监理意见或建议。</w:t>
      </w:r>
    </w:p>
    <w:p w14:paraId="70FAF45E">
      <w:pPr>
        <w:pStyle w:val="2"/>
        <w:spacing w:before="166" w:line="220" w:lineRule="auto"/>
        <w:ind w:left="362"/>
        <w:rPr>
          <w:sz w:val="26"/>
          <w:szCs w:val="26"/>
        </w:rPr>
      </w:pPr>
      <w:bookmarkStart w:id="746" w:name="bookmark731"/>
      <w:bookmarkEnd w:id="746"/>
      <w:r>
        <w:rPr>
          <w:b/>
          <w:bCs/>
          <w:color w:val="0092E7"/>
          <w:spacing w:val="-25"/>
          <w:sz w:val="26"/>
          <w:szCs w:val="26"/>
        </w:rPr>
        <w:t>23.3.4</w:t>
      </w:r>
      <w:r>
        <w:rPr>
          <w:color w:val="0092E7"/>
          <w:spacing w:val="86"/>
          <w:sz w:val="26"/>
          <w:szCs w:val="26"/>
        </w:rPr>
        <w:t xml:space="preserve"> </w:t>
      </w:r>
      <w:r>
        <w:rPr>
          <w:b/>
          <w:bCs/>
          <w:color w:val="0092E7"/>
          <w:spacing w:val="-25"/>
          <w:sz w:val="26"/>
          <w:szCs w:val="26"/>
        </w:rPr>
        <w:t>监理流程</w:t>
      </w:r>
    </w:p>
    <w:p w14:paraId="5561C042">
      <w:pPr>
        <w:pStyle w:val="2"/>
        <w:spacing w:before="190" w:line="219" w:lineRule="auto"/>
        <w:ind w:left="739"/>
        <w:rPr>
          <w:sz w:val="19"/>
          <w:szCs w:val="19"/>
        </w:rPr>
      </w:pPr>
      <w:r>
        <w:rPr>
          <w:spacing w:val="9"/>
          <w:sz w:val="19"/>
          <w:szCs w:val="19"/>
        </w:rPr>
        <w:t>数据中心工程设计阶段监理流程如图23-2所示。</w:t>
      </w:r>
    </w:p>
    <w:p w14:paraId="521C577E">
      <w:pPr>
        <w:spacing w:line="352" w:lineRule="auto"/>
        <w:rPr>
          <w:rFonts w:ascii="Arial"/>
          <w:sz w:val="21"/>
        </w:rPr>
      </w:pPr>
    </w:p>
    <w:p w14:paraId="74A93F4B">
      <w:pPr>
        <w:pStyle w:val="2"/>
        <w:spacing w:before="48" w:line="219" w:lineRule="auto"/>
        <w:ind w:left="2669"/>
        <w:rPr>
          <w:sz w:val="15"/>
          <w:szCs w:val="15"/>
        </w:rPr>
      </w:pPr>
      <w:r>
        <w:pict>
          <v:shape id="_x0000_s1614" o:spid="_x0000_s1614" o:spt="202" type="#_x0000_t202" style="position:absolute;left:0pt;margin-left:302.95pt;margin-top:0.95pt;height:10.95pt;width:33.3pt;z-index:251837440;mso-width-relative:page;mso-height-relative:page;" filled="f" stroked="f" coordsize="21600,21600">
            <v:path/>
            <v:fill on="f" focussize="0,0"/>
            <v:stroke on="f"/>
            <v:imagedata o:title=""/>
            <o:lock v:ext="edit" aspectratio="f"/>
            <v:textbox inset="0mm,0mm,0mm,0mm">
              <w:txbxContent>
                <w:p w14:paraId="072CDB9F">
                  <w:pPr>
                    <w:pStyle w:val="2"/>
                    <w:spacing w:before="20" w:line="220" w:lineRule="auto"/>
                    <w:ind w:left="20"/>
                    <w:rPr>
                      <w:sz w:val="15"/>
                      <w:szCs w:val="15"/>
                    </w:rPr>
                  </w:pPr>
                  <w:r>
                    <w:rPr>
                      <w:spacing w:val="6"/>
                      <w:sz w:val="15"/>
                      <w:szCs w:val="15"/>
                    </w:rPr>
                    <w:t>业主单位</w:t>
                  </w:r>
                </w:p>
              </w:txbxContent>
            </v:textbox>
          </v:shape>
        </w:pict>
      </w:r>
      <w:r>
        <w:pict>
          <v:shape id="_x0000_s1615" o:spid="_x0000_s1615" o:spt="202" type="#_x0000_t202" style="position:absolute;left:0pt;margin-left:54.95pt;margin-top:0.9pt;height:10.95pt;width:18.85pt;z-index:251842560;mso-width-relative:page;mso-height-relative:page;" filled="f" stroked="f" coordsize="21600,21600">
            <v:path/>
            <v:fill on="f" focussize="0,0"/>
            <v:stroke on="f"/>
            <v:imagedata o:title=""/>
            <o:lock v:ext="edit" aspectratio="f"/>
            <v:textbox inset="0mm,0mm,0mm,0mm">
              <w:txbxContent>
                <w:p w14:paraId="1F2A54A1">
                  <w:pPr>
                    <w:pStyle w:val="2"/>
                    <w:spacing w:before="20" w:line="219" w:lineRule="auto"/>
                    <w:ind w:left="20"/>
                    <w:rPr>
                      <w:sz w:val="15"/>
                      <w:szCs w:val="15"/>
                    </w:rPr>
                  </w:pPr>
                  <w:r>
                    <w:rPr>
                      <w:spacing w:val="20"/>
                      <w:sz w:val="15"/>
                      <w:szCs w:val="15"/>
                    </w:rPr>
                    <w:t>输入</w:t>
                  </w:r>
                </w:p>
              </w:txbxContent>
            </v:textbox>
          </v:shape>
        </w:pict>
      </w:r>
      <w:r>
        <w:pict>
          <v:shape id="_x0000_s1616" o:spid="_x0000_s1616" o:spt="202" type="#_x0000_t202" style="position:absolute;left:0pt;margin-left:218.95pt;margin-top:0.95pt;height:10.95pt;width:32.8pt;z-index:251838464;mso-width-relative:page;mso-height-relative:page;" filled="f" stroked="f" coordsize="21600,21600">
            <v:path/>
            <v:fill on="f" focussize="0,0"/>
            <v:stroke on="f"/>
            <v:imagedata o:title=""/>
            <o:lock v:ext="edit" aspectratio="f"/>
            <v:textbox inset="0mm,0mm,0mm,0mm">
              <w:txbxContent>
                <w:p w14:paraId="6ADF9A3F">
                  <w:pPr>
                    <w:pStyle w:val="2"/>
                    <w:spacing w:before="20" w:line="220" w:lineRule="auto"/>
                    <w:ind w:left="20"/>
                    <w:rPr>
                      <w:sz w:val="15"/>
                      <w:szCs w:val="15"/>
                    </w:rPr>
                  </w:pPr>
                  <w:r>
                    <w:rPr>
                      <w:spacing w:val="3"/>
                      <w:sz w:val="15"/>
                      <w:szCs w:val="15"/>
                    </w:rPr>
                    <w:t>监理单位</w:t>
                  </w:r>
                </w:p>
              </w:txbxContent>
            </v:textbox>
          </v:shape>
        </w:pict>
      </w:r>
      <w:r>
        <w:pict>
          <v:shape id="_x0000_s1617" o:spid="_x0000_s1617" o:spt="202" type="#_x0000_t202" style="position:absolute;left:0pt;margin-left:386.95pt;margin-top:1.4pt;height:10.95pt;width:18.45pt;z-index:251843584;mso-width-relative:page;mso-height-relative:page;" filled="f" stroked="f" coordsize="21600,21600">
            <v:path/>
            <v:fill on="f" focussize="0,0"/>
            <v:stroke on="f"/>
            <v:imagedata o:title=""/>
            <o:lock v:ext="edit" aspectratio="f"/>
            <v:textbox inset="0mm,0mm,0mm,0mm">
              <w:txbxContent>
                <w:p w14:paraId="27768B41">
                  <w:pPr>
                    <w:pStyle w:val="2"/>
                    <w:spacing w:before="20" w:line="219" w:lineRule="auto"/>
                    <w:ind w:left="20"/>
                    <w:rPr>
                      <w:sz w:val="15"/>
                      <w:szCs w:val="15"/>
                    </w:rPr>
                  </w:pPr>
                  <w:r>
                    <w:rPr>
                      <w:spacing w:val="14"/>
                      <w:sz w:val="15"/>
                      <w:szCs w:val="15"/>
                    </w:rPr>
                    <w:t>输出</w:t>
                  </w:r>
                </w:p>
              </w:txbxContent>
            </v:textbox>
          </v:shape>
        </w:pict>
      </w:r>
      <w:r>
        <w:drawing>
          <wp:anchor distT="0" distB="0" distL="0" distR="0" simplePos="0" relativeHeight="251831296" behindDoc="1" locked="0" layoutInCell="1" allowOverlap="1">
            <wp:simplePos x="0" y="0"/>
            <wp:positionH relativeFrom="column">
              <wp:posOffset>329565</wp:posOffset>
            </wp:positionH>
            <wp:positionV relativeFrom="paragraph">
              <wp:posOffset>-125095</wp:posOffset>
            </wp:positionV>
            <wp:extent cx="5181600" cy="5676900"/>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340"/>
                    <a:stretch>
                      <a:fillRect/>
                    </a:stretch>
                  </pic:blipFill>
                  <pic:spPr>
                    <a:xfrm>
                      <a:off x="0" y="0"/>
                      <a:ext cx="5181579" cy="5676879"/>
                    </a:xfrm>
                    <a:prstGeom prst="rect">
                      <a:avLst/>
                    </a:prstGeom>
                  </pic:spPr>
                </pic:pic>
              </a:graphicData>
            </a:graphic>
          </wp:anchor>
        </w:drawing>
      </w:r>
      <w:r>
        <w:rPr>
          <w:spacing w:val="6"/>
          <w:sz w:val="15"/>
          <w:szCs w:val="15"/>
        </w:rPr>
        <w:t>承建单位</w:t>
      </w:r>
    </w:p>
    <w:p w14:paraId="601A92F0">
      <w:pPr>
        <w:spacing w:line="401" w:lineRule="auto"/>
        <w:rPr>
          <w:rFonts w:ascii="Arial"/>
          <w:sz w:val="21"/>
        </w:rPr>
      </w:pPr>
    </w:p>
    <w:p w14:paraId="132A6516">
      <w:pPr>
        <w:pStyle w:val="2"/>
        <w:spacing w:before="50" w:line="232" w:lineRule="auto"/>
        <w:ind w:left="2409" w:right="5276" w:hanging="50"/>
        <w:rPr>
          <w:sz w:val="15"/>
          <w:szCs w:val="15"/>
        </w:rPr>
      </w:pPr>
      <w:r>
        <w:pict>
          <v:shape id="_x0000_s1618" o:spid="_x0000_s1618" o:spt="202" type="#_x0000_t202" style="position:absolute;left:0pt;margin-left:199.95pt;margin-top:7.5pt;height:11.05pt;width:25.75pt;z-index:251840512;mso-width-relative:page;mso-height-relative:page;" filled="f" stroked="f" coordsize="21600,21600">
            <v:path/>
            <v:fill on="f" focussize="0,0"/>
            <v:stroke on="f"/>
            <v:imagedata o:title=""/>
            <o:lock v:ext="edit" aspectratio="f"/>
            <v:textbox inset="0mm,0mm,0mm,0mm">
              <w:txbxContent>
                <w:p w14:paraId="57893F5B">
                  <w:pPr>
                    <w:pStyle w:val="2"/>
                    <w:spacing w:before="20" w:line="222" w:lineRule="auto"/>
                    <w:ind w:left="20"/>
                    <w:rPr>
                      <w:sz w:val="15"/>
                      <w:szCs w:val="15"/>
                    </w:rPr>
                  </w:pPr>
                  <w:r>
                    <w:rPr>
                      <w:spacing w:val="-10"/>
                      <w:sz w:val="15"/>
                      <w:szCs w:val="15"/>
                    </w:rPr>
                    <w:t>不通过-</w:t>
                  </w:r>
                </w:p>
              </w:txbxContent>
            </v:textbox>
          </v:shape>
        </w:pict>
      </w:r>
      <w:r>
        <w:pict>
          <v:shape id="_x0000_s1619" o:spid="_x0000_s1619" o:spt="202" type="#_x0000_t202" style="position:absolute;left:0pt;margin-left:39.45pt;margin-top:15.85pt;height:10.9pt;width:48.55pt;z-index:251836416;mso-width-relative:page;mso-height-relative:page;" filled="f" stroked="f" coordsize="21600,21600">
            <v:path/>
            <v:fill on="f" focussize="0,0"/>
            <v:stroke on="f"/>
            <v:imagedata o:title=""/>
            <o:lock v:ext="edit" aspectratio="f"/>
            <v:textbox inset="0mm,0mm,0mm,0mm">
              <w:txbxContent>
                <w:p w14:paraId="4380E4AF">
                  <w:pPr>
                    <w:pStyle w:val="2"/>
                    <w:spacing w:before="19" w:line="218" w:lineRule="auto"/>
                    <w:ind w:left="20"/>
                    <w:rPr>
                      <w:sz w:val="15"/>
                      <w:szCs w:val="15"/>
                    </w:rPr>
                  </w:pPr>
                  <w:r>
                    <w:rPr>
                      <w:spacing w:val="5"/>
                      <w:sz w:val="15"/>
                      <w:szCs w:val="15"/>
                    </w:rPr>
                    <w:t>工程环境报告</w:t>
                  </w:r>
                </w:p>
              </w:txbxContent>
            </v:textbox>
          </v:shape>
        </w:pict>
      </w:r>
      <w:r>
        <w:rPr>
          <w:spacing w:val="-1"/>
          <w:sz w:val="15"/>
          <w:szCs w:val="15"/>
        </w:rPr>
        <w:t>开工前的准备工</w:t>
      </w:r>
      <w:r>
        <w:rPr>
          <w:sz w:val="15"/>
          <w:szCs w:val="15"/>
        </w:rPr>
        <w:t xml:space="preserve"> </w:t>
      </w:r>
      <w:r>
        <w:rPr>
          <w:spacing w:val="-1"/>
          <w:sz w:val="15"/>
          <w:szCs w:val="15"/>
        </w:rPr>
        <w:t>作和文档提交</w:t>
      </w:r>
    </w:p>
    <w:p w14:paraId="72E69D99">
      <w:pPr>
        <w:pStyle w:val="2"/>
        <w:spacing w:before="42" w:line="219" w:lineRule="auto"/>
        <w:ind w:left="7369"/>
        <w:rPr>
          <w:sz w:val="15"/>
          <w:szCs w:val="15"/>
        </w:rPr>
      </w:pPr>
      <w:r>
        <w:rPr>
          <w:spacing w:val="3"/>
          <w:sz w:val="15"/>
          <w:szCs w:val="15"/>
        </w:rPr>
        <w:t>工程环境报验单</w:t>
      </w:r>
    </w:p>
    <w:p w14:paraId="038D2099">
      <w:pPr>
        <w:pStyle w:val="2"/>
        <w:spacing w:before="82" w:line="220" w:lineRule="auto"/>
        <w:ind w:left="4559"/>
        <w:rPr>
          <w:sz w:val="15"/>
          <w:szCs w:val="15"/>
        </w:rPr>
      </w:pPr>
      <w:r>
        <w:rPr>
          <w:spacing w:val="3"/>
          <w:sz w:val="15"/>
          <w:szCs w:val="15"/>
        </w:rPr>
        <w:t>审查</w:t>
      </w:r>
    </w:p>
    <w:p w14:paraId="7EBCE6C1">
      <w:pPr>
        <w:spacing w:line="265" w:lineRule="auto"/>
        <w:rPr>
          <w:rFonts w:ascii="Arial"/>
          <w:sz w:val="21"/>
        </w:rPr>
      </w:pPr>
    </w:p>
    <w:p w14:paraId="5D7244D9">
      <w:pPr>
        <w:pStyle w:val="2"/>
        <w:spacing w:before="50" w:line="227" w:lineRule="auto"/>
        <w:ind w:left="4329"/>
        <w:rPr>
          <w:sz w:val="15"/>
          <w:szCs w:val="15"/>
        </w:rPr>
      </w:pPr>
      <w:r>
        <w:pict>
          <v:shape id="_x0000_s1620" o:spid="_x0000_s1620" o:spt="202" type="#_x0000_t202" style="position:absolute;left:0pt;margin-left:312.45pt;margin-top:0.7pt;height:10.95pt;width:17.9pt;z-index:251845632;mso-width-relative:page;mso-height-relative:page;" filled="f" stroked="f" coordsize="21600,21600">
            <v:path/>
            <v:fill on="f" focussize="0,0"/>
            <v:stroke on="f"/>
            <v:imagedata o:title=""/>
            <o:lock v:ext="edit" aspectratio="f"/>
            <v:textbox inset="0mm,0mm,0mm,0mm">
              <w:txbxContent>
                <w:p w14:paraId="0827742C">
                  <w:pPr>
                    <w:pStyle w:val="2"/>
                    <w:spacing w:before="20" w:line="220" w:lineRule="auto"/>
                    <w:ind w:left="20"/>
                    <w:rPr>
                      <w:sz w:val="15"/>
                      <w:szCs w:val="15"/>
                    </w:rPr>
                  </w:pPr>
                  <w:r>
                    <w:rPr>
                      <w:spacing w:val="8"/>
                      <w:sz w:val="15"/>
                      <w:szCs w:val="15"/>
                    </w:rPr>
                    <w:t>确认</w:t>
                  </w:r>
                </w:p>
              </w:txbxContent>
            </v:textbox>
          </v:shape>
        </w:pict>
      </w:r>
      <w:r>
        <w:rPr>
          <w:spacing w:val="7"/>
          <w:sz w:val="15"/>
          <w:szCs w:val="15"/>
        </w:rPr>
        <w:t>通过</w:t>
      </w:r>
    </w:p>
    <w:p w14:paraId="61E2F4C8">
      <w:pPr>
        <w:pStyle w:val="2"/>
        <w:spacing w:before="40" w:line="219" w:lineRule="auto"/>
        <w:ind w:left="7519"/>
        <w:rPr>
          <w:sz w:val="15"/>
          <w:szCs w:val="15"/>
        </w:rPr>
      </w:pPr>
      <w:r>
        <w:rPr>
          <w:spacing w:val="7"/>
          <w:sz w:val="15"/>
          <w:szCs w:val="15"/>
        </w:rPr>
        <w:t>开工申请表</w:t>
      </w:r>
    </w:p>
    <w:p w14:paraId="5B274E19">
      <w:pPr>
        <w:pStyle w:val="2"/>
        <w:spacing w:before="73" w:line="221" w:lineRule="auto"/>
        <w:ind w:left="4289"/>
        <w:rPr>
          <w:sz w:val="15"/>
          <w:szCs w:val="15"/>
        </w:rPr>
      </w:pPr>
      <w:r>
        <w:rPr>
          <w:spacing w:val="-2"/>
          <w:sz w:val="15"/>
          <w:szCs w:val="15"/>
        </w:rPr>
        <w:t>组织设计交底</w:t>
      </w:r>
    </w:p>
    <w:p w14:paraId="616852C4">
      <w:pPr>
        <w:pStyle w:val="2"/>
        <w:spacing w:before="120" w:line="221" w:lineRule="auto"/>
        <w:ind w:left="7679"/>
        <w:rPr>
          <w:sz w:val="15"/>
          <w:szCs w:val="15"/>
        </w:rPr>
      </w:pPr>
      <w:r>
        <w:rPr>
          <w:spacing w:val="9"/>
          <w:sz w:val="15"/>
          <w:szCs w:val="15"/>
        </w:rPr>
        <w:t>备忘录</w:t>
      </w:r>
    </w:p>
    <w:p w14:paraId="525B5E98">
      <w:pPr>
        <w:spacing w:line="308" w:lineRule="auto"/>
        <w:rPr>
          <w:rFonts w:ascii="Arial"/>
          <w:sz w:val="21"/>
        </w:rPr>
      </w:pPr>
    </w:p>
    <w:p w14:paraId="7CC551E9">
      <w:pPr>
        <w:pStyle w:val="2"/>
        <w:spacing w:before="49" w:line="180" w:lineRule="auto"/>
        <w:ind w:left="7579"/>
        <w:rPr>
          <w:sz w:val="15"/>
          <w:szCs w:val="15"/>
        </w:rPr>
      </w:pPr>
      <w:r>
        <w:pict>
          <v:shape id="_x0000_s1621" o:spid="_x0000_s1621" o:spt="202" type="#_x0000_t202" style="position:absolute;left:0pt;margin-left:35.95pt;margin-top:-5.5pt;height:117.45pt;width:62.3pt;z-index:251832320;mso-width-relative:page;mso-height-relative:page;" filled="f" stroked="f" coordsize="21600,21600">
            <v:path/>
            <v:fill on="f" focussize="0,0"/>
            <v:stroke on="f"/>
            <v:imagedata o:title=""/>
            <o:lock v:ext="edit" aspectratio="f"/>
            <v:textbox inset="0mm,0mm,0mm,0mm">
              <w:txbxContent>
                <w:p w14:paraId="081CB392">
                  <w:pPr>
                    <w:pStyle w:val="2"/>
                    <w:spacing w:before="20" w:line="225" w:lineRule="auto"/>
                    <w:ind w:left="179" w:right="310"/>
                    <w:jc w:val="both"/>
                    <w:rPr>
                      <w:sz w:val="15"/>
                      <w:szCs w:val="15"/>
                    </w:rPr>
                  </w:pPr>
                  <w:r>
                    <w:rPr>
                      <w:spacing w:val="1"/>
                      <w:sz w:val="15"/>
                      <w:szCs w:val="15"/>
                    </w:rPr>
                    <w:t>技术方案、</w:t>
                  </w:r>
                  <w:r>
                    <w:rPr>
                      <w:sz w:val="15"/>
                      <w:szCs w:val="15"/>
                    </w:rPr>
                    <w:t xml:space="preserve"> </w:t>
                  </w:r>
                  <w:r>
                    <w:rPr>
                      <w:spacing w:val="1"/>
                      <w:sz w:val="15"/>
                      <w:szCs w:val="15"/>
                    </w:rPr>
                    <w:t>实施方案、</w:t>
                  </w:r>
                  <w:r>
                    <w:rPr>
                      <w:sz w:val="15"/>
                      <w:szCs w:val="15"/>
                    </w:rPr>
                    <w:t xml:space="preserve"> </w:t>
                  </w:r>
                  <w:r>
                    <w:rPr>
                      <w:spacing w:val="5"/>
                      <w:sz w:val="15"/>
                      <w:szCs w:val="15"/>
                    </w:rPr>
                    <w:t>进度计划</w:t>
                  </w:r>
                </w:p>
                <w:p w14:paraId="260DCBA7">
                  <w:pPr>
                    <w:spacing w:line="288" w:lineRule="auto"/>
                    <w:rPr>
                      <w:rFonts w:ascii="Arial"/>
                      <w:sz w:val="21"/>
                    </w:rPr>
                  </w:pPr>
                </w:p>
                <w:p w14:paraId="4F14AE0A">
                  <w:pPr>
                    <w:spacing w:line="288" w:lineRule="auto"/>
                    <w:rPr>
                      <w:rFonts w:ascii="Arial"/>
                      <w:sz w:val="21"/>
                    </w:rPr>
                  </w:pPr>
                </w:p>
                <w:p w14:paraId="41E00617">
                  <w:pPr>
                    <w:spacing w:line="289" w:lineRule="auto"/>
                    <w:rPr>
                      <w:rFonts w:ascii="Arial"/>
                      <w:sz w:val="21"/>
                    </w:rPr>
                  </w:pPr>
                </w:p>
                <w:p w14:paraId="43611C53">
                  <w:pPr>
                    <w:spacing w:line="289" w:lineRule="auto"/>
                    <w:rPr>
                      <w:rFonts w:ascii="Arial"/>
                      <w:sz w:val="21"/>
                    </w:rPr>
                  </w:pPr>
                </w:p>
                <w:p w14:paraId="58CBFB1C">
                  <w:pPr>
                    <w:pStyle w:val="2"/>
                    <w:spacing w:before="49" w:line="225" w:lineRule="auto"/>
                    <w:ind w:left="20" w:right="20"/>
                    <w:jc w:val="right"/>
                    <w:rPr>
                      <w:sz w:val="15"/>
                      <w:szCs w:val="15"/>
                    </w:rPr>
                  </w:pPr>
                  <w:r>
                    <w:rPr>
                      <w:sz w:val="15"/>
                      <w:szCs w:val="15"/>
                    </w:rPr>
                    <w:t>概要设计说明书、</w:t>
                  </w:r>
                  <w:r>
                    <w:rPr>
                      <w:spacing w:val="4"/>
                      <w:sz w:val="15"/>
                      <w:szCs w:val="15"/>
                    </w:rPr>
                    <w:t xml:space="preserve"> </w:t>
                  </w:r>
                  <w:r>
                    <w:rPr>
                      <w:sz w:val="15"/>
                      <w:szCs w:val="15"/>
                    </w:rPr>
                    <w:t>详细设计说明书、</w:t>
                  </w:r>
                  <w:r>
                    <w:rPr>
                      <w:spacing w:val="4"/>
                      <w:sz w:val="15"/>
                      <w:szCs w:val="15"/>
                    </w:rPr>
                    <w:t xml:space="preserve"> </w:t>
                  </w:r>
                  <w:r>
                    <w:rPr>
                      <w:spacing w:val="6"/>
                      <w:sz w:val="15"/>
                      <w:szCs w:val="15"/>
                    </w:rPr>
                    <w:t>测试计划初稿</w:t>
                  </w:r>
                </w:p>
              </w:txbxContent>
            </v:textbox>
          </v:shape>
        </w:pict>
      </w:r>
      <w:r>
        <w:pict>
          <v:shape id="_x0000_s1622" o:spid="_x0000_s1622" o:spt="202" type="#_x0000_t202" style="position:absolute;left:0pt;margin-left:116.95pt;margin-top:-2.5pt;height:29.5pt;width:54.25pt;z-index:251833344;mso-width-relative:page;mso-height-relative:page;" filled="f" stroked="f" coordsize="21600,21600">
            <v:path/>
            <v:fill on="f" focussize="0,0"/>
            <v:stroke on="f"/>
            <v:imagedata o:title=""/>
            <o:lock v:ext="edit" aspectratio="f"/>
            <v:textbox inset="0mm,0mm,0mm,0mm">
              <w:txbxContent>
                <w:p w14:paraId="4E9D2919">
                  <w:pPr>
                    <w:pStyle w:val="2"/>
                    <w:spacing w:before="20" w:line="225" w:lineRule="auto"/>
                    <w:ind w:left="20" w:right="20"/>
                    <w:jc w:val="both"/>
                    <w:rPr>
                      <w:sz w:val="15"/>
                      <w:szCs w:val="15"/>
                    </w:rPr>
                  </w:pPr>
                  <w:r>
                    <w:rPr>
                      <w:spacing w:val="-1"/>
                      <w:sz w:val="15"/>
                      <w:szCs w:val="15"/>
                    </w:rPr>
                    <w:t>信息系统深化设</w:t>
                  </w:r>
                  <w:r>
                    <w:rPr>
                      <w:sz w:val="15"/>
                      <w:szCs w:val="15"/>
                    </w:rPr>
                    <w:t xml:space="preserve"> </w:t>
                  </w:r>
                  <w:r>
                    <w:rPr>
                      <w:spacing w:val="-1"/>
                      <w:sz w:val="15"/>
                      <w:szCs w:val="15"/>
                    </w:rPr>
                    <w:t>计方案、实施方</w:t>
                  </w:r>
                  <w:r>
                    <w:rPr>
                      <w:sz w:val="15"/>
                      <w:szCs w:val="15"/>
                    </w:rPr>
                    <w:t xml:space="preserve"> </w:t>
                  </w:r>
                  <w:r>
                    <w:rPr>
                      <w:spacing w:val="7"/>
                      <w:sz w:val="15"/>
                      <w:szCs w:val="15"/>
                    </w:rPr>
                    <w:t>案和进度计划</w:t>
                  </w:r>
                </w:p>
              </w:txbxContent>
            </v:textbox>
          </v:shape>
        </w:pict>
      </w:r>
      <w:r>
        <w:rPr>
          <w:spacing w:val="4"/>
          <w:sz w:val="15"/>
          <w:szCs w:val="15"/>
        </w:rPr>
        <w:t>会议纪要</w:t>
      </w:r>
    </w:p>
    <w:p w14:paraId="5E1A25A7">
      <w:pPr>
        <w:pStyle w:val="2"/>
        <w:spacing w:before="1" w:line="217" w:lineRule="auto"/>
        <w:ind w:left="4019"/>
        <w:rPr>
          <w:sz w:val="15"/>
          <w:szCs w:val="15"/>
        </w:rPr>
      </w:pPr>
      <w:r>
        <w:rPr>
          <w:spacing w:val="-10"/>
          <w:sz w:val="15"/>
          <w:szCs w:val="15"/>
        </w:rPr>
        <w:t>不通过-</w:t>
      </w:r>
    </w:p>
    <w:p w14:paraId="37B776C6">
      <w:pPr>
        <w:spacing w:line="386" w:lineRule="auto"/>
        <w:rPr>
          <w:rFonts w:ascii="Arial"/>
          <w:sz w:val="21"/>
        </w:rPr>
      </w:pPr>
    </w:p>
    <w:p w14:paraId="17836A19">
      <w:pPr>
        <w:pStyle w:val="2"/>
        <w:spacing w:before="49" w:line="220" w:lineRule="auto"/>
        <w:ind w:left="4559"/>
        <w:rPr>
          <w:sz w:val="15"/>
          <w:szCs w:val="15"/>
        </w:rPr>
      </w:pPr>
      <w:r>
        <w:pict>
          <v:shape id="_x0000_s1623" o:spid="_x0000_s1623" o:spt="202" type="#_x0000_t202" style="position:absolute;left:0pt;margin-left:371pt;margin-top:-6.55pt;height:29pt;width:47.9pt;z-index:251834368;mso-width-relative:page;mso-height-relative:page;" filled="f" stroked="f" coordsize="21600,21600">
            <v:path/>
            <v:fill on="f" focussize="0,0"/>
            <v:stroke on="f"/>
            <v:imagedata o:title=""/>
            <o:lock v:ext="edit" aspectratio="f"/>
            <v:textbox inset="0mm,0mm,0mm,0mm">
              <w:txbxContent>
                <w:p w14:paraId="5DA7F91A">
                  <w:pPr>
                    <w:pStyle w:val="2"/>
                    <w:spacing w:before="20" w:line="221" w:lineRule="auto"/>
                    <w:ind w:left="20" w:right="20"/>
                    <w:rPr>
                      <w:sz w:val="15"/>
                      <w:szCs w:val="15"/>
                    </w:rPr>
                  </w:pPr>
                  <w:r>
                    <w:rPr>
                      <w:sz w:val="15"/>
                      <w:szCs w:val="15"/>
                    </w:rPr>
                    <w:t>技术、设计、</w:t>
                  </w:r>
                  <w:r>
                    <w:rPr>
                      <w:spacing w:val="4"/>
                      <w:sz w:val="15"/>
                      <w:szCs w:val="15"/>
                    </w:rPr>
                    <w:t xml:space="preserve"> </w:t>
                  </w:r>
                  <w:r>
                    <w:rPr>
                      <w:spacing w:val="2"/>
                      <w:sz w:val="15"/>
                      <w:szCs w:val="15"/>
                    </w:rPr>
                    <w:t>实施方案、进 度计划评审表</w:t>
                  </w:r>
                </w:p>
              </w:txbxContent>
            </v:textbox>
          </v:shape>
        </w:pict>
      </w:r>
      <w:r>
        <w:rPr>
          <w:spacing w:val="3"/>
          <w:sz w:val="15"/>
          <w:szCs w:val="15"/>
        </w:rPr>
        <w:t>审查</w:t>
      </w:r>
    </w:p>
    <w:p w14:paraId="17B36008">
      <w:pPr>
        <w:spacing w:line="265" w:lineRule="auto"/>
        <w:rPr>
          <w:rFonts w:ascii="Arial"/>
          <w:sz w:val="21"/>
        </w:rPr>
      </w:pPr>
    </w:p>
    <w:p w14:paraId="196CDF6A">
      <w:pPr>
        <w:pStyle w:val="2"/>
        <w:spacing w:before="50" w:line="227" w:lineRule="auto"/>
        <w:ind w:left="3359"/>
        <w:rPr>
          <w:sz w:val="15"/>
          <w:szCs w:val="15"/>
        </w:rPr>
      </w:pPr>
      <w:r>
        <w:pict>
          <v:shape id="_x0000_s1624" o:spid="_x0000_s1624" o:spt="202" type="#_x0000_t202" style="position:absolute;left:0pt;margin-left:312.45pt;margin-top:-2.75pt;height:10.95pt;width:17.9pt;z-index:251844608;mso-width-relative:page;mso-height-relative:page;" filled="f" stroked="f" coordsize="21600,21600">
            <v:path/>
            <v:fill on="f" focussize="0,0"/>
            <v:stroke on="f"/>
            <v:imagedata o:title=""/>
            <o:lock v:ext="edit" aspectratio="f"/>
            <v:textbox inset="0mm,0mm,0mm,0mm">
              <w:txbxContent>
                <w:p w14:paraId="66D1C079">
                  <w:pPr>
                    <w:pStyle w:val="2"/>
                    <w:spacing w:before="20" w:line="220" w:lineRule="auto"/>
                    <w:ind w:left="20"/>
                    <w:rPr>
                      <w:sz w:val="15"/>
                      <w:szCs w:val="15"/>
                    </w:rPr>
                  </w:pPr>
                  <w:r>
                    <w:rPr>
                      <w:spacing w:val="8"/>
                      <w:sz w:val="15"/>
                      <w:szCs w:val="15"/>
                    </w:rPr>
                    <w:t>确认</w:t>
                  </w:r>
                </w:p>
              </w:txbxContent>
            </v:textbox>
          </v:shape>
        </w:pict>
      </w:r>
      <w:r>
        <w:rPr>
          <w:spacing w:val="12"/>
          <w:sz w:val="15"/>
          <w:szCs w:val="15"/>
        </w:rPr>
        <w:t>通过</w:t>
      </w:r>
    </w:p>
    <w:p w14:paraId="7424CDD1">
      <w:pPr>
        <w:pStyle w:val="2"/>
        <w:spacing w:before="180" w:line="222" w:lineRule="auto"/>
        <w:ind w:left="2718" w:right="5375" w:hanging="309"/>
        <w:rPr>
          <w:sz w:val="15"/>
          <w:szCs w:val="15"/>
        </w:rPr>
      </w:pPr>
      <w:r>
        <w:pict>
          <v:shape id="_x0000_s1625" o:spid="_x0000_s1625" o:spt="202" type="#_x0000_t202" style="position:absolute;left:0pt;margin-left:367.45pt;margin-top:9.5pt;height:10.95pt;width:56.2pt;z-index:251835392;mso-width-relative:page;mso-height-relative:page;" filled="f" stroked="f" coordsize="21600,21600">
            <v:path/>
            <v:fill on="f" focussize="0,0"/>
            <v:stroke on="f"/>
            <v:imagedata o:title=""/>
            <o:lock v:ext="edit" aspectratio="f"/>
            <v:textbox inset="0mm,0mm,0mm,0mm">
              <w:txbxContent>
                <w:p w14:paraId="213A2721">
                  <w:pPr>
                    <w:pStyle w:val="2"/>
                    <w:spacing w:before="20" w:line="220" w:lineRule="auto"/>
                    <w:ind w:left="20"/>
                    <w:rPr>
                      <w:sz w:val="15"/>
                      <w:szCs w:val="15"/>
                    </w:rPr>
                  </w:pPr>
                  <w:r>
                    <w:rPr>
                      <w:spacing w:val="4"/>
                      <w:sz w:val="15"/>
                      <w:szCs w:val="15"/>
                    </w:rPr>
                    <w:t>监理规划与细则</w:t>
                  </w:r>
                </w:p>
              </w:txbxContent>
            </v:textbox>
          </v:shape>
        </w:pict>
      </w:r>
      <w:r>
        <w:pict>
          <v:shape id="_x0000_s1626" o:spid="_x0000_s1626" o:spt="202" type="#_x0000_t202" style="position:absolute;left:0pt;margin-left:199.95pt;margin-top:14.6pt;height:11.05pt;width:25.8pt;z-index:251839488;mso-width-relative:page;mso-height-relative:page;" filled="f" stroked="f" coordsize="21600,21600">
            <v:path/>
            <v:fill on="f" focussize="0,0"/>
            <v:stroke on="f"/>
            <v:imagedata o:title=""/>
            <o:lock v:ext="edit" aspectratio="f"/>
            <v:textbox inset="0mm,0mm,0mm,0mm">
              <w:txbxContent>
                <w:p w14:paraId="6F04866A">
                  <w:pPr>
                    <w:pStyle w:val="2"/>
                    <w:spacing w:before="20" w:line="222" w:lineRule="auto"/>
                    <w:ind w:left="20"/>
                    <w:rPr>
                      <w:sz w:val="15"/>
                      <w:szCs w:val="15"/>
                    </w:rPr>
                  </w:pPr>
                  <w:r>
                    <w:rPr>
                      <w:spacing w:val="8"/>
                      <w:sz w:val="15"/>
                      <w:szCs w:val="15"/>
                    </w:rPr>
                    <w:t>不通过</w:t>
                  </w:r>
                </w:p>
              </w:txbxContent>
            </v:textbox>
          </v:shape>
        </w:pict>
      </w:r>
      <w:r>
        <w:rPr>
          <w:spacing w:val="-1"/>
          <w:sz w:val="15"/>
          <w:szCs w:val="15"/>
        </w:rPr>
        <w:t>信息资源规划</w:t>
      </w:r>
      <w:r>
        <w:rPr>
          <w:sz w:val="15"/>
          <w:szCs w:val="15"/>
        </w:rPr>
        <w:t xml:space="preserve"> </w:t>
      </w:r>
      <w:r>
        <w:rPr>
          <w:spacing w:val="8"/>
          <w:sz w:val="15"/>
          <w:szCs w:val="15"/>
        </w:rPr>
        <w:t>设计</w:t>
      </w:r>
    </w:p>
    <w:p w14:paraId="442F3AB0">
      <w:pPr>
        <w:spacing w:line="279" w:lineRule="auto"/>
        <w:rPr>
          <w:rFonts w:ascii="Arial"/>
          <w:sz w:val="21"/>
        </w:rPr>
      </w:pPr>
    </w:p>
    <w:p w14:paraId="3C62D60D">
      <w:pPr>
        <w:pStyle w:val="2"/>
        <w:spacing w:before="49" w:line="220" w:lineRule="auto"/>
        <w:ind w:left="4559"/>
        <w:rPr>
          <w:sz w:val="15"/>
          <w:szCs w:val="15"/>
        </w:rPr>
      </w:pPr>
      <w:r>
        <w:rPr>
          <w:spacing w:val="3"/>
          <w:sz w:val="15"/>
          <w:szCs w:val="15"/>
        </w:rPr>
        <w:t>审查</w:t>
      </w:r>
    </w:p>
    <w:p w14:paraId="5A930D13">
      <w:pPr>
        <w:pStyle w:val="2"/>
        <w:spacing w:before="1" w:line="219" w:lineRule="auto"/>
        <w:ind w:left="7579"/>
        <w:rPr>
          <w:sz w:val="15"/>
          <w:szCs w:val="15"/>
        </w:rPr>
      </w:pPr>
      <w:r>
        <w:rPr>
          <w:spacing w:val="4"/>
          <w:sz w:val="15"/>
          <w:szCs w:val="15"/>
        </w:rPr>
        <w:t>监理意见</w:t>
      </w:r>
    </w:p>
    <w:p w14:paraId="560927AE">
      <w:pPr>
        <w:pStyle w:val="2"/>
        <w:spacing w:before="117" w:line="227" w:lineRule="auto"/>
        <w:ind w:left="3359"/>
        <w:rPr>
          <w:sz w:val="15"/>
          <w:szCs w:val="15"/>
        </w:rPr>
      </w:pPr>
      <w:r>
        <w:pict>
          <v:shape id="_x0000_s1627" o:spid="_x0000_s1627" o:spt="202" type="#_x0000_t202" style="position:absolute;left:0pt;margin-left:312.45pt;margin-top:1.55pt;height:10.95pt;width:18.9pt;z-index:251841536;mso-width-relative:page;mso-height-relative:page;" filled="f" stroked="f" coordsize="21600,21600">
            <v:path/>
            <v:fill on="f" focussize="0,0"/>
            <v:stroke on="f"/>
            <v:imagedata o:title=""/>
            <o:lock v:ext="edit" aspectratio="f"/>
            <v:textbox inset="0mm,0mm,0mm,0mm">
              <w:txbxContent>
                <w:p w14:paraId="28D8077B">
                  <w:pPr>
                    <w:pStyle w:val="2"/>
                    <w:spacing w:before="20" w:line="220" w:lineRule="auto"/>
                    <w:ind w:left="20"/>
                    <w:rPr>
                      <w:sz w:val="15"/>
                      <w:szCs w:val="15"/>
                    </w:rPr>
                  </w:pPr>
                  <w:r>
                    <w:rPr>
                      <w:spacing w:val="21"/>
                      <w:sz w:val="15"/>
                      <w:szCs w:val="15"/>
                    </w:rPr>
                    <w:t>确认</w:t>
                  </w:r>
                </w:p>
              </w:txbxContent>
            </v:textbox>
          </v:shape>
        </w:pict>
      </w:r>
      <w:r>
        <w:rPr>
          <w:spacing w:val="12"/>
          <w:sz w:val="15"/>
          <w:szCs w:val="15"/>
        </w:rPr>
        <w:t>通过</w:t>
      </w:r>
    </w:p>
    <w:p w14:paraId="6752EB6C">
      <w:pPr>
        <w:spacing w:line="280" w:lineRule="auto"/>
        <w:rPr>
          <w:rFonts w:ascii="Arial"/>
          <w:sz w:val="21"/>
        </w:rPr>
      </w:pPr>
    </w:p>
    <w:p w14:paraId="1F56733B">
      <w:pPr>
        <w:pStyle w:val="2"/>
        <w:spacing w:before="49" w:line="222" w:lineRule="auto"/>
        <w:ind w:left="2559"/>
        <w:rPr>
          <w:sz w:val="15"/>
          <w:szCs w:val="15"/>
        </w:rPr>
      </w:pPr>
      <w:r>
        <w:rPr>
          <w:spacing w:val="-3"/>
          <w:sz w:val="15"/>
          <w:szCs w:val="15"/>
        </w:rPr>
        <w:t>系统开发</w:t>
      </w:r>
      <w:r>
        <w:rPr>
          <w:spacing w:val="1"/>
          <w:sz w:val="15"/>
          <w:szCs w:val="15"/>
        </w:rPr>
        <w:t xml:space="preserve">           </w:t>
      </w:r>
      <w:r>
        <w:rPr>
          <w:spacing w:val="-3"/>
          <w:sz w:val="15"/>
          <w:szCs w:val="15"/>
        </w:rPr>
        <w:t>不通过-</w:t>
      </w:r>
    </w:p>
    <w:p w14:paraId="12C664C1">
      <w:pPr>
        <w:spacing w:line="317" w:lineRule="auto"/>
        <w:rPr>
          <w:rFonts w:ascii="Arial"/>
          <w:sz w:val="21"/>
        </w:rPr>
      </w:pPr>
    </w:p>
    <w:p w14:paraId="57E43F85">
      <w:pPr>
        <w:spacing w:before="50" w:line="168" w:lineRule="auto"/>
        <w:ind w:left="4559"/>
        <w:rPr>
          <w:rFonts w:ascii="黑体" w:hAnsi="黑体" w:eastAsia="黑体" w:cs="黑体"/>
          <w:sz w:val="15"/>
          <w:szCs w:val="15"/>
        </w:rPr>
      </w:pPr>
      <w:r>
        <w:rPr>
          <w:rFonts w:ascii="黑体" w:hAnsi="黑体" w:eastAsia="黑体" w:cs="黑体"/>
          <w:spacing w:val="-3"/>
          <w:sz w:val="15"/>
          <w:szCs w:val="15"/>
        </w:rPr>
        <w:t>审查</w:t>
      </w:r>
    </w:p>
    <w:p w14:paraId="5577AC2F">
      <w:pPr>
        <w:pStyle w:val="2"/>
        <w:spacing w:line="199" w:lineRule="auto"/>
        <w:ind w:left="7579"/>
        <w:rPr>
          <w:sz w:val="15"/>
          <w:szCs w:val="15"/>
        </w:rPr>
      </w:pPr>
      <w:r>
        <w:rPr>
          <w:spacing w:val="4"/>
          <w:sz w:val="15"/>
          <w:szCs w:val="15"/>
        </w:rPr>
        <w:t>监理意见</w:t>
      </w:r>
    </w:p>
    <w:p w14:paraId="259AC122">
      <w:pPr>
        <w:spacing w:before="111" w:line="222" w:lineRule="auto"/>
        <w:ind w:left="6269"/>
        <w:rPr>
          <w:rFonts w:ascii="黑体" w:hAnsi="黑体" w:eastAsia="黑体" w:cs="黑体"/>
          <w:sz w:val="15"/>
          <w:szCs w:val="15"/>
        </w:rPr>
      </w:pPr>
      <w:r>
        <w:rPr>
          <w:rFonts w:ascii="黑体" w:hAnsi="黑体" w:eastAsia="黑体" w:cs="黑体"/>
          <w:spacing w:val="7"/>
          <w:sz w:val="15"/>
          <w:szCs w:val="15"/>
        </w:rPr>
        <w:t>确认</w:t>
      </w:r>
    </w:p>
    <w:p w14:paraId="073E15FD">
      <w:pPr>
        <w:spacing w:before="1" w:line="222" w:lineRule="auto"/>
        <w:ind w:left="4559"/>
        <w:rPr>
          <w:rFonts w:ascii="黑体" w:hAnsi="黑体" w:eastAsia="黑体" w:cs="黑体"/>
          <w:sz w:val="15"/>
          <w:szCs w:val="15"/>
        </w:rPr>
      </w:pPr>
      <w:r>
        <w:rPr>
          <w:rFonts w:ascii="黑体" w:hAnsi="黑体" w:eastAsia="黑体" w:cs="黑体"/>
          <w:spacing w:val="-2"/>
          <w:sz w:val="15"/>
          <w:szCs w:val="15"/>
        </w:rPr>
        <w:t>通过</w:t>
      </w:r>
    </w:p>
    <w:p w14:paraId="2C3A97C2">
      <w:pPr>
        <w:pStyle w:val="2"/>
        <w:spacing w:before="280" w:line="220" w:lineRule="auto"/>
        <w:ind w:left="4269"/>
        <w:rPr>
          <w:sz w:val="15"/>
          <w:szCs w:val="15"/>
        </w:rPr>
      </w:pPr>
      <w:r>
        <w:rPr>
          <w:spacing w:val="2"/>
          <w:sz w:val="15"/>
          <w:szCs w:val="15"/>
        </w:rPr>
        <w:t>进入实施阶段</w:t>
      </w:r>
    </w:p>
    <w:p w14:paraId="0786924F">
      <w:pPr>
        <w:spacing w:line="248" w:lineRule="auto"/>
        <w:rPr>
          <w:rFonts w:ascii="Arial"/>
          <w:sz w:val="21"/>
        </w:rPr>
      </w:pPr>
    </w:p>
    <w:p w14:paraId="7F963051">
      <w:pPr>
        <w:spacing w:line="249" w:lineRule="auto"/>
        <w:rPr>
          <w:rFonts w:ascii="Arial"/>
          <w:sz w:val="21"/>
        </w:rPr>
      </w:pPr>
    </w:p>
    <w:p w14:paraId="18A257DE">
      <w:pPr>
        <w:pStyle w:val="2"/>
        <w:spacing w:before="62" w:line="219" w:lineRule="auto"/>
        <w:ind w:left="2879"/>
        <w:rPr>
          <w:sz w:val="19"/>
          <w:szCs w:val="19"/>
        </w:rPr>
      </w:pPr>
      <w:r>
        <w:rPr>
          <w:spacing w:val="-8"/>
          <w:sz w:val="19"/>
          <w:szCs w:val="19"/>
        </w:rPr>
        <w:t>图23-2</w:t>
      </w:r>
      <w:r>
        <w:rPr>
          <w:spacing w:val="81"/>
          <w:sz w:val="19"/>
          <w:szCs w:val="19"/>
        </w:rPr>
        <w:t xml:space="preserve"> </w:t>
      </w:r>
      <w:r>
        <w:rPr>
          <w:spacing w:val="-8"/>
          <w:sz w:val="19"/>
          <w:szCs w:val="19"/>
        </w:rPr>
        <w:t>数据中心工程设计阶段监理流程</w:t>
      </w:r>
    </w:p>
    <w:p w14:paraId="2DAAB613">
      <w:pPr>
        <w:spacing w:line="219" w:lineRule="auto"/>
        <w:rPr>
          <w:sz w:val="19"/>
          <w:szCs w:val="19"/>
        </w:rPr>
        <w:sectPr>
          <w:pgSz w:w="10300" w:h="13390"/>
          <w:pgMar w:top="400" w:right="1100" w:bottom="400" w:left="520" w:header="0" w:footer="0" w:gutter="0"/>
          <w:cols w:space="720" w:num="1"/>
        </w:sectPr>
      </w:pPr>
    </w:p>
    <w:p w14:paraId="69421232">
      <w:pPr>
        <w:pStyle w:val="2"/>
        <w:jc w:val="right"/>
        <w:rPr>
          <w:sz w:val="19"/>
          <w:szCs w:val="19"/>
        </w:rPr>
      </w:pPr>
      <w:r>
        <w:rPr>
          <w:spacing w:val="3"/>
          <w:sz w:val="19"/>
          <w:szCs w:val="19"/>
        </w:rPr>
        <w:t>第23章</w:t>
      </w:r>
      <w:r>
        <w:rPr>
          <w:spacing w:val="32"/>
          <w:sz w:val="19"/>
          <w:szCs w:val="19"/>
        </w:rPr>
        <w:t xml:space="preserve"> </w:t>
      </w:r>
      <w:r>
        <w:rPr>
          <w:spacing w:val="3"/>
          <w:sz w:val="19"/>
          <w:szCs w:val="19"/>
        </w:rPr>
        <w:t>数据中心监理</w:t>
      </w:r>
      <w:r>
        <w:rPr>
          <w:spacing w:val="8"/>
          <w:sz w:val="19"/>
          <w:szCs w:val="19"/>
        </w:rPr>
        <w:t xml:space="preserve">      </w:t>
      </w:r>
      <w:r>
        <w:rPr>
          <w:rFonts w:ascii="Times New Roman" w:hAnsi="Times New Roman" w:eastAsia="Times New Roman" w:cs="Times New Roman"/>
          <w:spacing w:val="3"/>
          <w:sz w:val="19"/>
          <w:szCs w:val="19"/>
        </w:rPr>
        <w:t>531</w:t>
      </w:r>
      <w:r>
        <w:rPr>
          <w:rFonts w:ascii="Times New Roman" w:hAnsi="Times New Roman" w:eastAsia="Times New Roman" w:cs="Times New Roman"/>
          <w:spacing w:val="52"/>
          <w:w w:val="101"/>
          <w:sz w:val="19"/>
          <w:szCs w:val="19"/>
        </w:rPr>
        <w:t xml:space="preserve"> </w:t>
      </w:r>
      <w:r>
        <w:rPr>
          <w:position w:val="-9"/>
          <w:sz w:val="19"/>
          <w:szCs w:val="19"/>
        </w:rPr>
        <w:drawing>
          <wp:inline distT="0" distB="0" distL="0" distR="0">
            <wp:extent cx="316865" cy="190500"/>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341"/>
                    <a:stretch>
                      <a:fillRect/>
                    </a:stretch>
                  </pic:blipFill>
                  <pic:spPr>
                    <a:xfrm>
                      <a:off x="0" y="0"/>
                      <a:ext cx="317494" cy="190504"/>
                    </a:xfrm>
                    <a:prstGeom prst="rect">
                      <a:avLst/>
                    </a:prstGeom>
                  </pic:spPr>
                </pic:pic>
              </a:graphicData>
            </a:graphic>
          </wp:inline>
        </w:drawing>
      </w:r>
    </w:p>
    <w:p w14:paraId="7E84FE5C">
      <w:pPr>
        <w:spacing w:line="250" w:lineRule="auto"/>
        <w:rPr>
          <w:rFonts w:ascii="Arial"/>
          <w:sz w:val="21"/>
        </w:rPr>
      </w:pPr>
    </w:p>
    <w:p w14:paraId="56A98A84">
      <w:pPr>
        <w:pStyle w:val="2"/>
        <w:spacing w:before="94" w:line="222" w:lineRule="auto"/>
        <w:ind w:left="3"/>
        <w:rPr>
          <w:rFonts w:ascii="黑体" w:hAnsi="黑体" w:eastAsia="黑体" w:cs="黑体"/>
          <w:sz w:val="29"/>
          <w:szCs w:val="29"/>
        </w:rPr>
      </w:pPr>
      <w:bookmarkStart w:id="747" w:name="bookmark732"/>
      <w:bookmarkEnd w:id="747"/>
      <w:r>
        <w:rPr>
          <w:b/>
          <w:bCs/>
          <w:color w:val="0076DF"/>
          <w:spacing w:val="-11"/>
          <w:sz w:val="29"/>
          <w:szCs w:val="29"/>
        </w:rPr>
        <w:t>23.4</w:t>
      </w:r>
      <w:r>
        <w:rPr>
          <w:color w:val="0076DF"/>
          <w:spacing w:val="-11"/>
          <w:sz w:val="29"/>
          <w:szCs w:val="29"/>
        </w:rPr>
        <w:t xml:space="preserve">  </w:t>
      </w:r>
      <w:r>
        <w:rPr>
          <w:rFonts w:ascii="黑体" w:hAnsi="黑体" w:eastAsia="黑体" w:cs="黑体"/>
          <w:b/>
          <w:bCs/>
          <w:color w:val="0076DF"/>
          <w:spacing w:val="-11"/>
          <w:sz w:val="29"/>
          <w:szCs w:val="29"/>
        </w:rPr>
        <w:t>实施阶段监理工作</w:t>
      </w:r>
    </w:p>
    <w:p w14:paraId="613C311E">
      <w:pPr>
        <w:pStyle w:val="2"/>
        <w:spacing w:before="271" w:line="290" w:lineRule="auto"/>
        <w:ind w:right="911" w:firstLine="420"/>
        <w:rPr>
          <w:sz w:val="19"/>
          <w:szCs w:val="19"/>
        </w:rPr>
      </w:pPr>
      <w:r>
        <w:rPr>
          <w:spacing w:val="13"/>
          <w:sz w:val="19"/>
          <w:szCs w:val="19"/>
        </w:rPr>
        <w:t>本节重点介绍监理单位在数据中心工程实施阶段需要执行的监理活动、主要监理内容、监</w:t>
      </w:r>
      <w:r>
        <w:rPr>
          <w:spacing w:val="10"/>
          <w:sz w:val="19"/>
          <w:szCs w:val="19"/>
        </w:rPr>
        <w:t xml:space="preserve"> </w:t>
      </w:r>
      <w:r>
        <w:rPr>
          <w:spacing w:val="6"/>
          <w:sz w:val="19"/>
          <w:szCs w:val="19"/>
        </w:rPr>
        <w:t>理记录要求和监理流程。</w:t>
      </w:r>
    </w:p>
    <w:p w14:paraId="5D8D7503">
      <w:pPr>
        <w:pStyle w:val="2"/>
        <w:spacing w:before="204" w:line="220" w:lineRule="auto"/>
        <w:ind w:left="3"/>
        <w:outlineLvl w:val="1"/>
        <w:rPr>
          <w:sz w:val="25"/>
          <w:szCs w:val="25"/>
        </w:rPr>
      </w:pPr>
      <w:r>
        <w:rPr>
          <w:b/>
          <w:bCs/>
          <w:color w:val="0070D2"/>
          <w:spacing w:val="-18"/>
          <w:sz w:val="25"/>
          <w:szCs w:val="25"/>
        </w:rPr>
        <w:t>23.4.1</w:t>
      </w:r>
      <w:r>
        <w:rPr>
          <w:color w:val="0070D2"/>
          <w:spacing w:val="88"/>
          <w:sz w:val="25"/>
          <w:szCs w:val="25"/>
        </w:rPr>
        <w:t xml:space="preserve"> </w:t>
      </w:r>
      <w:r>
        <w:rPr>
          <w:b/>
          <w:bCs/>
          <w:color w:val="0070D2"/>
          <w:spacing w:val="-18"/>
          <w:sz w:val="25"/>
          <w:szCs w:val="25"/>
        </w:rPr>
        <w:t>监理活动</w:t>
      </w:r>
    </w:p>
    <w:p w14:paraId="561A4D72">
      <w:pPr>
        <w:pStyle w:val="2"/>
        <w:spacing w:before="152" w:line="293" w:lineRule="auto"/>
        <w:ind w:right="911" w:firstLine="420"/>
        <w:jc w:val="both"/>
        <w:rPr>
          <w:sz w:val="19"/>
          <w:szCs w:val="19"/>
        </w:rPr>
      </w:pPr>
      <w:r>
        <w:rPr>
          <w:spacing w:val="16"/>
          <w:sz w:val="19"/>
          <w:szCs w:val="19"/>
        </w:rPr>
        <w:t>数据中心工程实施阶段的监理对象包括数据中心信息系统软硬</w:t>
      </w:r>
      <w:r>
        <w:rPr>
          <w:spacing w:val="15"/>
          <w:sz w:val="19"/>
          <w:szCs w:val="19"/>
        </w:rPr>
        <w:t>件建设过程、信息资源(数</w:t>
      </w:r>
      <w:r>
        <w:rPr>
          <w:sz w:val="19"/>
          <w:szCs w:val="19"/>
        </w:rPr>
        <w:t xml:space="preserve"> </w:t>
      </w:r>
      <w:r>
        <w:rPr>
          <w:spacing w:val="15"/>
          <w:sz w:val="19"/>
          <w:szCs w:val="19"/>
        </w:rPr>
        <w:t>据)实现过程、数据中心人员及相关规章制度建立过程。因此数据中心工程实施阶段的监理活</w:t>
      </w:r>
      <w:r>
        <w:rPr>
          <w:spacing w:val="16"/>
          <w:sz w:val="19"/>
          <w:szCs w:val="19"/>
        </w:rPr>
        <w:t xml:space="preserve"> </w:t>
      </w:r>
      <w:r>
        <w:rPr>
          <w:spacing w:val="2"/>
          <w:sz w:val="19"/>
          <w:szCs w:val="19"/>
        </w:rPr>
        <w:t>动一般应包括：</w:t>
      </w:r>
    </w:p>
    <w:p w14:paraId="712D92CB">
      <w:pPr>
        <w:pStyle w:val="2"/>
        <w:spacing w:before="45" w:line="219" w:lineRule="auto"/>
        <w:ind w:left="420"/>
        <w:rPr>
          <w:sz w:val="19"/>
          <w:szCs w:val="19"/>
        </w:rPr>
      </w:pPr>
      <w:r>
        <w:rPr>
          <w:spacing w:val="11"/>
          <w:sz w:val="19"/>
          <w:szCs w:val="19"/>
        </w:rPr>
        <w:t>(1)监督承建单位严格按照设计图纸、施工标准和规范进行施工。</w:t>
      </w:r>
    </w:p>
    <w:p w14:paraId="1578534B">
      <w:pPr>
        <w:pStyle w:val="2"/>
        <w:spacing w:before="83" w:line="265" w:lineRule="auto"/>
        <w:ind w:right="909" w:firstLine="420"/>
        <w:rPr>
          <w:sz w:val="19"/>
          <w:szCs w:val="19"/>
        </w:rPr>
      </w:pPr>
      <w:r>
        <w:rPr>
          <w:spacing w:val="15"/>
          <w:sz w:val="19"/>
          <w:szCs w:val="19"/>
        </w:rPr>
        <w:t>(2)督促承建单位建立健全工程质量保证体系，落实现场工程质量自检制度、重要结构部</w:t>
      </w:r>
      <w:r>
        <w:rPr>
          <w:spacing w:val="14"/>
          <w:sz w:val="19"/>
          <w:szCs w:val="19"/>
        </w:rPr>
        <w:t xml:space="preserve"> </w:t>
      </w:r>
      <w:r>
        <w:rPr>
          <w:spacing w:val="8"/>
          <w:sz w:val="19"/>
          <w:szCs w:val="19"/>
        </w:rPr>
        <w:t>位和隐蔽工程质量预检复检制度、设备材料质量检查制度。</w:t>
      </w:r>
    </w:p>
    <w:p w14:paraId="705C9CD8">
      <w:pPr>
        <w:pStyle w:val="2"/>
        <w:spacing w:before="106" w:line="219" w:lineRule="auto"/>
        <w:ind w:left="420"/>
        <w:rPr>
          <w:sz w:val="19"/>
          <w:szCs w:val="19"/>
        </w:rPr>
      </w:pPr>
      <w:r>
        <w:rPr>
          <w:spacing w:val="12"/>
          <w:sz w:val="19"/>
          <w:szCs w:val="19"/>
        </w:rPr>
        <w:t>(3)加强对施工各阶段的质量、投资、进度、安全</w:t>
      </w:r>
      <w:r>
        <w:rPr>
          <w:spacing w:val="11"/>
          <w:sz w:val="19"/>
          <w:szCs w:val="19"/>
        </w:rPr>
        <w:t>控制管理，确保工程质量。</w:t>
      </w:r>
    </w:p>
    <w:p w14:paraId="1FB50225">
      <w:pPr>
        <w:pStyle w:val="2"/>
        <w:spacing w:before="74" w:line="270" w:lineRule="auto"/>
        <w:ind w:right="912" w:firstLine="420"/>
        <w:rPr>
          <w:sz w:val="19"/>
          <w:szCs w:val="19"/>
        </w:rPr>
      </w:pPr>
      <w:r>
        <w:rPr>
          <w:spacing w:val="15"/>
          <w:sz w:val="19"/>
          <w:szCs w:val="19"/>
        </w:rPr>
        <w:t>(4)协助业主单位严格控制工程变更，及时做好工程结算。对于确因以下客观原因发生变</w:t>
      </w:r>
      <w:r>
        <w:rPr>
          <w:spacing w:val="11"/>
          <w:sz w:val="19"/>
          <w:szCs w:val="19"/>
        </w:rPr>
        <w:t xml:space="preserve"> </w:t>
      </w:r>
      <w:r>
        <w:rPr>
          <w:spacing w:val="6"/>
          <w:sz w:val="19"/>
          <w:szCs w:val="19"/>
        </w:rPr>
        <w:t>更的，报业主单位审批方能组织洽商：</w:t>
      </w:r>
    </w:p>
    <w:p w14:paraId="4444C465">
      <w:pPr>
        <w:pStyle w:val="2"/>
        <w:spacing w:before="86" w:line="221" w:lineRule="auto"/>
        <w:ind w:left="420"/>
        <w:rPr>
          <w:sz w:val="19"/>
          <w:szCs w:val="19"/>
        </w:rPr>
      </w:pPr>
      <w:r>
        <w:rPr>
          <w:spacing w:val="12"/>
          <w:sz w:val="19"/>
          <w:szCs w:val="19"/>
        </w:rPr>
        <w:t>●变更建设地点的；</w:t>
      </w:r>
    </w:p>
    <w:p w14:paraId="226915A7">
      <w:pPr>
        <w:pStyle w:val="2"/>
        <w:spacing w:before="92" w:line="220" w:lineRule="auto"/>
        <w:ind w:left="420"/>
        <w:rPr>
          <w:sz w:val="19"/>
          <w:szCs w:val="19"/>
        </w:rPr>
      </w:pPr>
      <w:r>
        <w:rPr>
          <w:spacing w:val="12"/>
          <w:sz w:val="19"/>
          <w:szCs w:val="19"/>
        </w:rPr>
        <w:t>●变更建设性质的；</w:t>
      </w:r>
    </w:p>
    <w:p w14:paraId="4059A708">
      <w:pPr>
        <w:pStyle w:val="2"/>
        <w:spacing w:before="103" w:line="220" w:lineRule="auto"/>
        <w:ind w:left="420"/>
        <w:rPr>
          <w:sz w:val="19"/>
          <w:szCs w:val="19"/>
        </w:rPr>
      </w:pPr>
      <w:r>
        <w:rPr>
          <w:spacing w:val="12"/>
          <w:sz w:val="19"/>
          <w:szCs w:val="19"/>
        </w:rPr>
        <w:t>●变更业主单位的；</w:t>
      </w:r>
    </w:p>
    <w:p w14:paraId="381545C8">
      <w:pPr>
        <w:pStyle w:val="2"/>
        <w:spacing w:before="104" w:line="220" w:lineRule="auto"/>
        <w:ind w:left="420"/>
        <w:rPr>
          <w:sz w:val="19"/>
          <w:szCs w:val="19"/>
        </w:rPr>
      </w:pPr>
      <w:r>
        <w:rPr>
          <w:spacing w:val="12"/>
          <w:sz w:val="19"/>
          <w:szCs w:val="19"/>
        </w:rPr>
        <w:t>●变更招标方案的；</w:t>
      </w:r>
    </w:p>
    <w:p w14:paraId="5F354FEC">
      <w:pPr>
        <w:pStyle w:val="2"/>
        <w:spacing w:before="92" w:line="262" w:lineRule="auto"/>
        <w:ind w:left="709" w:right="911" w:hanging="289"/>
        <w:rPr>
          <w:sz w:val="19"/>
          <w:szCs w:val="19"/>
        </w:rPr>
      </w:pPr>
      <w:r>
        <w:rPr>
          <w:spacing w:val="18"/>
          <w:sz w:val="19"/>
          <w:szCs w:val="19"/>
        </w:rPr>
        <w:t>●变更建设内容、建设规模、建设标准、技术方案等，导致项目主要使用(服务)功能发</w:t>
      </w:r>
      <w:r>
        <w:rPr>
          <w:spacing w:val="5"/>
          <w:sz w:val="19"/>
          <w:szCs w:val="19"/>
        </w:rPr>
        <w:t xml:space="preserve"> </w:t>
      </w:r>
      <w:r>
        <w:rPr>
          <w:spacing w:val="3"/>
          <w:sz w:val="19"/>
          <w:szCs w:val="19"/>
        </w:rPr>
        <w:t>生变化的；</w:t>
      </w:r>
    </w:p>
    <w:p w14:paraId="360DD93E">
      <w:pPr>
        <w:pStyle w:val="2"/>
        <w:spacing w:before="92" w:line="219" w:lineRule="auto"/>
        <w:ind w:left="420"/>
        <w:rPr>
          <w:sz w:val="19"/>
          <w:szCs w:val="19"/>
        </w:rPr>
      </w:pPr>
      <w:r>
        <w:rPr>
          <w:spacing w:val="17"/>
          <w:sz w:val="19"/>
          <w:szCs w:val="19"/>
        </w:rPr>
        <w:t>●项目实施过程中投资变动超过批准初步设计概算总投资的约定比例的(如10%)。</w:t>
      </w:r>
    </w:p>
    <w:p w14:paraId="16BAF0F0">
      <w:pPr>
        <w:pStyle w:val="2"/>
        <w:spacing w:before="93" w:line="219" w:lineRule="auto"/>
        <w:ind w:left="420"/>
        <w:rPr>
          <w:sz w:val="19"/>
          <w:szCs w:val="19"/>
        </w:rPr>
      </w:pPr>
      <w:r>
        <w:rPr>
          <w:spacing w:val="11"/>
          <w:sz w:val="19"/>
          <w:szCs w:val="19"/>
        </w:rPr>
        <w:t>(5)协调业主单位、承建单位、材料设备供应商等各方工作，有效推进施工进度。</w:t>
      </w:r>
    </w:p>
    <w:p w14:paraId="6B39E66B">
      <w:pPr>
        <w:pStyle w:val="2"/>
        <w:spacing w:before="86" w:line="219" w:lineRule="auto"/>
        <w:ind w:left="420"/>
        <w:rPr>
          <w:sz w:val="19"/>
          <w:szCs w:val="19"/>
        </w:rPr>
      </w:pPr>
      <w:r>
        <w:rPr>
          <w:spacing w:val="11"/>
          <w:sz w:val="19"/>
          <w:szCs w:val="19"/>
        </w:rPr>
        <w:t>(6)协助业主单位、承建单位认真落实安全管理制度，保障施工</w:t>
      </w:r>
      <w:r>
        <w:rPr>
          <w:spacing w:val="10"/>
          <w:sz w:val="19"/>
          <w:szCs w:val="19"/>
        </w:rPr>
        <w:t>安全。</w:t>
      </w:r>
    </w:p>
    <w:p w14:paraId="0403DDD8">
      <w:pPr>
        <w:pStyle w:val="2"/>
        <w:spacing w:before="75" w:line="272" w:lineRule="auto"/>
        <w:ind w:right="912" w:firstLine="420"/>
        <w:rPr>
          <w:sz w:val="19"/>
          <w:szCs w:val="19"/>
        </w:rPr>
      </w:pPr>
      <w:r>
        <w:rPr>
          <w:spacing w:val="15"/>
          <w:sz w:val="19"/>
          <w:szCs w:val="19"/>
        </w:rPr>
        <w:t>(7)对数据中心工程的信息系统软硬件实施过程进行旁站和检查，实施随工检测，做好监</w:t>
      </w:r>
      <w:r>
        <w:rPr>
          <w:spacing w:val="11"/>
          <w:sz w:val="19"/>
          <w:szCs w:val="19"/>
        </w:rPr>
        <w:t xml:space="preserve"> </w:t>
      </w:r>
      <w:r>
        <w:rPr>
          <w:spacing w:val="3"/>
          <w:sz w:val="19"/>
          <w:szCs w:val="19"/>
        </w:rPr>
        <w:t>理记录。</w:t>
      </w:r>
    </w:p>
    <w:p w14:paraId="6B88CE14">
      <w:pPr>
        <w:pStyle w:val="2"/>
        <w:spacing w:before="60" w:line="219" w:lineRule="auto"/>
        <w:ind w:left="420"/>
        <w:rPr>
          <w:sz w:val="19"/>
          <w:szCs w:val="19"/>
        </w:rPr>
      </w:pPr>
      <w:r>
        <w:rPr>
          <w:spacing w:val="16"/>
          <w:sz w:val="19"/>
          <w:szCs w:val="19"/>
        </w:rPr>
        <w:t>(8)对数据中心工程的信息资源(数据)实施过程进行审查和组织评审，做好监理记录。</w:t>
      </w:r>
    </w:p>
    <w:p w14:paraId="74B70A71">
      <w:pPr>
        <w:pStyle w:val="2"/>
        <w:spacing w:before="93" w:line="219" w:lineRule="auto"/>
        <w:ind w:left="420"/>
        <w:rPr>
          <w:sz w:val="19"/>
          <w:szCs w:val="19"/>
        </w:rPr>
      </w:pPr>
      <w:r>
        <w:rPr>
          <w:spacing w:val="11"/>
          <w:sz w:val="19"/>
          <w:szCs w:val="19"/>
        </w:rPr>
        <w:t>(9)对数据中心工程的人员及相关规章制度实施过程进行咨询和</w:t>
      </w:r>
      <w:r>
        <w:rPr>
          <w:spacing w:val="10"/>
          <w:sz w:val="19"/>
          <w:szCs w:val="19"/>
        </w:rPr>
        <w:t>协调，做好监理记录。</w:t>
      </w:r>
    </w:p>
    <w:p w14:paraId="5067CCF3">
      <w:pPr>
        <w:pStyle w:val="2"/>
        <w:spacing w:before="235" w:line="219" w:lineRule="auto"/>
        <w:ind w:left="2"/>
        <w:rPr>
          <w:sz w:val="25"/>
          <w:szCs w:val="25"/>
        </w:rPr>
      </w:pPr>
      <w:r>
        <w:rPr>
          <w:b/>
          <w:bCs/>
          <w:color w:val="006EEC"/>
          <w:spacing w:val="-17"/>
          <w:sz w:val="25"/>
          <w:szCs w:val="25"/>
        </w:rPr>
        <w:t>23.4.2</w:t>
      </w:r>
      <w:r>
        <w:rPr>
          <w:color w:val="006EEC"/>
          <w:spacing w:val="-17"/>
          <w:sz w:val="25"/>
          <w:szCs w:val="25"/>
        </w:rPr>
        <w:t xml:space="preserve">  </w:t>
      </w:r>
      <w:r>
        <w:rPr>
          <w:b/>
          <w:bCs/>
          <w:color w:val="006EEC"/>
          <w:spacing w:val="-17"/>
          <w:sz w:val="25"/>
          <w:szCs w:val="25"/>
        </w:rPr>
        <w:t>监理内容</w:t>
      </w:r>
    </w:p>
    <w:p w14:paraId="66839152">
      <w:pPr>
        <w:pStyle w:val="2"/>
        <w:spacing w:before="270" w:line="221" w:lineRule="auto"/>
        <w:ind w:left="422"/>
        <w:rPr>
          <w:rFonts w:ascii="黑体" w:hAnsi="黑体" w:eastAsia="黑体" w:cs="黑体"/>
          <w:sz w:val="19"/>
          <w:szCs w:val="19"/>
        </w:rPr>
      </w:pPr>
      <w:r>
        <w:rPr>
          <w:b/>
          <w:bCs/>
          <w:color w:val="006AD4"/>
          <w:spacing w:val="7"/>
          <w:sz w:val="19"/>
          <w:szCs w:val="19"/>
        </w:rPr>
        <w:t>1.</w:t>
      </w:r>
      <w:r>
        <w:rPr>
          <w:rFonts w:ascii="黑体" w:hAnsi="黑体" w:eastAsia="黑体" w:cs="黑体"/>
          <w:b/>
          <w:bCs/>
          <w:color w:val="006AD4"/>
          <w:spacing w:val="7"/>
          <w:sz w:val="19"/>
          <w:szCs w:val="19"/>
        </w:rPr>
        <w:t>实施方案的审核</w:t>
      </w:r>
    </w:p>
    <w:p w14:paraId="135D1992">
      <w:pPr>
        <w:pStyle w:val="2"/>
        <w:spacing w:before="115" w:line="293" w:lineRule="auto"/>
        <w:ind w:right="902" w:firstLine="420"/>
        <w:jc w:val="both"/>
        <w:rPr>
          <w:sz w:val="19"/>
          <w:szCs w:val="19"/>
        </w:rPr>
      </w:pPr>
      <w:r>
        <w:rPr>
          <w:spacing w:val="14"/>
          <w:sz w:val="19"/>
          <w:szCs w:val="19"/>
        </w:rPr>
        <w:t>严格按照承建合同、业主单位明确指令和相</w:t>
      </w:r>
      <w:r>
        <w:rPr>
          <w:spacing w:val="13"/>
          <w:sz w:val="19"/>
          <w:szCs w:val="19"/>
        </w:rPr>
        <w:t>关技术标准、规范，监督承建单位准备信息系</w:t>
      </w:r>
      <w:r>
        <w:rPr>
          <w:sz w:val="19"/>
          <w:szCs w:val="19"/>
        </w:rPr>
        <w:t xml:space="preserve"> </w:t>
      </w:r>
      <w:r>
        <w:rPr>
          <w:spacing w:val="13"/>
          <w:sz w:val="19"/>
          <w:szCs w:val="19"/>
        </w:rPr>
        <w:t>统软硬件设备到货验收、安装配置、上电自检、系统调试等环节所需的环境条件，监督承建单</w:t>
      </w:r>
      <w:r>
        <w:rPr>
          <w:spacing w:val="4"/>
          <w:sz w:val="19"/>
          <w:szCs w:val="19"/>
        </w:rPr>
        <w:t xml:space="preserve"> </w:t>
      </w:r>
      <w:r>
        <w:rPr>
          <w:spacing w:val="7"/>
          <w:sz w:val="19"/>
          <w:szCs w:val="19"/>
        </w:rPr>
        <w:t>位编制详细的实施方案，并开展审核，出具监理意见。</w:t>
      </w:r>
    </w:p>
    <w:p w14:paraId="47DCCA4C">
      <w:pPr>
        <w:pStyle w:val="2"/>
        <w:spacing w:before="26" w:line="219" w:lineRule="auto"/>
        <w:ind w:left="420"/>
        <w:rPr>
          <w:sz w:val="19"/>
          <w:szCs w:val="19"/>
        </w:rPr>
      </w:pPr>
      <w:r>
        <w:rPr>
          <w:spacing w:val="7"/>
          <w:sz w:val="19"/>
          <w:szCs w:val="19"/>
        </w:rPr>
        <w:t>监理机构对实施方案的审核要求如下：</w:t>
      </w:r>
    </w:p>
    <w:p w14:paraId="15AFD20C">
      <w:pPr>
        <w:pStyle w:val="2"/>
        <w:spacing w:before="85" w:line="219" w:lineRule="auto"/>
        <w:ind w:left="420"/>
        <w:rPr>
          <w:sz w:val="19"/>
          <w:szCs w:val="19"/>
        </w:rPr>
      </w:pPr>
      <w:r>
        <w:rPr>
          <w:spacing w:val="11"/>
          <w:sz w:val="19"/>
          <w:szCs w:val="19"/>
        </w:rPr>
        <w:t>(1)到货日程安排是否符合工程实际要求；</w:t>
      </w:r>
    </w:p>
    <w:p w14:paraId="51D93CA4">
      <w:pPr>
        <w:spacing w:line="219" w:lineRule="auto"/>
        <w:rPr>
          <w:sz w:val="19"/>
          <w:szCs w:val="19"/>
        </w:rPr>
        <w:sectPr>
          <w:pgSz w:w="10290" w:h="13310"/>
          <w:pgMar w:top="399" w:right="19" w:bottom="400" w:left="1009" w:header="0" w:footer="0" w:gutter="0"/>
          <w:cols w:space="720" w:num="1"/>
        </w:sectPr>
      </w:pPr>
    </w:p>
    <w:p w14:paraId="56E463CD">
      <w:pPr>
        <w:pStyle w:val="2"/>
        <w:spacing w:before="77" w:line="219" w:lineRule="auto"/>
        <w:rPr>
          <w:sz w:val="19"/>
          <w:szCs w:val="19"/>
        </w:rPr>
      </w:pPr>
      <w:r>
        <w:rPr>
          <w:rFonts w:ascii="Times New Roman" w:hAnsi="Times New Roman" w:eastAsia="Times New Roman" w:cs="Times New Roman"/>
          <w:spacing w:val="4"/>
          <w:sz w:val="19"/>
          <w:szCs w:val="19"/>
        </w:rPr>
        <w:t xml:space="preserve">532              </w:t>
      </w:r>
      <w:r>
        <w:rPr>
          <w:spacing w:val="4"/>
          <w:sz w:val="19"/>
          <w:szCs w:val="19"/>
        </w:rPr>
        <w:t>信息系统监理师教程(第2版)</w:t>
      </w:r>
    </w:p>
    <w:p w14:paraId="00F27B65">
      <w:pPr>
        <w:spacing w:line="319" w:lineRule="auto"/>
        <w:rPr>
          <w:rFonts w:ascii="Arial"/>
          <w:sz w:val="21"/>
        </w:rPr>
      </w:pPr>
    </w:p>
    <w:p w14:paraId="792DBF5E">
      <w:pPr>
        <w:pStyle w:val="2"/>
        <w:spacing w:before="62" w:line="219" w:lineRule="auto"/>
        <w:ind w:left="769"/>
        <w:rPr>
          <w:sz w:val="19"/>
          <w:szCs w:val="19"/>
        </w:rPr>
      </w:pPr>
      <w:r>
        <w:rPr>
          <w:spacing w:val="11"/>
          <w:sz w:val="19"/>
          <w:szCs w:val="19"/>
        </w:rPr>
        <w:t>(2)软硬件到货清单是否符合合同要求，到货批次安排是否合</w:t>
      </w:r>
      <w:r>
        <w:rPr>
          <w:spacing w:val="10"/>
          <w:sz w:val="19"/>
          <w:szCs w:val="19"/>
        </w:rPr>
        <w:t>理；</w:t>
      </w:r>
    </w:p>
    <w:p w14:paraId="3C71A963">
      <w:pPr>
        <w:pStyle w:val="2"/>
        <w:spacing w:before="94" w:line="219" w:lineRule="auto"/>
        <w:ind w:left="769"/>
        <w:rPr>
          <w:sz w:val="19"/>
          <w:szCs w:val="19"/>
        </w:rPr>
      </w:pPr>
      <w:r>
        <w:rPr>
          <w:spacing w:val="11"/>
          <w:sz w:val="19"/>
          <w:szCs w:val="19"/>
        </w:rPr>
        <w:t>(3)到货验收的清点方式、工具、技术要求和指南性文件是否</w:t>
      </w:r>
      <w:r>
        <w:rPr>
          <w:spacing w:val="10"/>
          <w:sz w:val="19"/>
          <w:szCs w:val="19"/>
        </w:rPr>
        <w:t>符合设备的技术说明；</w:t>
      </w:r>
    </w:p>
    <w:p w14:paraId="49BC5BCC">
      <w:pPr>
        <w:pStyle w:val="2"/>
        <w:spacing w:before="94" w:line="219" w:lineRule="auto"/>
        <w:ind w:left="769"/>
        <w:rPr>
          <w:sz w:val="19"/>
          <w:szCs w:val="19"/>
        </w:rPr>
      </w:pPr>
      <w:r>
        <w:rPr>
          <w:spacing w:val="11"/>
          <w:sz w:val="19"/>
          <w:szCs w:val="19"/>
        </w:rPr>
        <w:t>(4)到货验收环境及必要的资源是否齐备，例如备件、知识库</w:t>
      </w:r>
      <w:r>
        <w:rPr>
          <w:spacing w:val="10"/>
          <w:sz w:val="19"/>
          <w:szCs w:val="19"/>
        </w:rPr>
        <w:t>等；</w:t>
      </w:r>
    </w:p>
    <w:p w14:paraId="19C9B137">
      <w:pPr>
        <w:pStyle w:val="2"/>
        <w:spacing w:before="105" w:line="219" w:lineRule="auto"/>
        <w:ind w:left="769"/>
        <w:rPr>
          <w:sz w:val="19"/>
          <w:szCs w:val="19"/>
        </w:rPr>
      </w:pPr>
      <w:r>
        <w:rPr>
          <w:spacing w:val="10"/>
          <w:sz w:val="19"/>
          <w:szCs w:val="19"/>
        </w:rPr>
        <w:t>(5)到货验收过程中的安全要求及保障措施是否合理；</w:t>
      </w:r>
    </w:p>
    <w:p w14:paraId="6FADB686">
      <w:pPr>
        <w:pStyle w:val="2"/>
        <w:spacing w:before="94" w:line="219" w:lineRule="auto"/>
        <w:ind w:left="769"/>
        <w:rPr>
          <w:sz w:val="19"/>
          <w:szCs w:val="19"/>
        </w:rPr>
      </w:pPr>
      <w:r>
        <w:rPr>
          <w:spacing w:val="10"/>
          <w:sz w:val="19"/>
          <w:szCs w:val="19"/>
        </w:rPr>
        <w:t>(6)到货验收手续清单及预定结论是否妥当；</w:t>
      </w:r>
    </w:p>
    <w:p w14:paraId="739046D7">
      <w:pPr>
        <w:pStyle w:val="2"/>
        <w:spacing w:before="86" w:line="219" w:lineRule="auto"/>
        <w:ind w:left="769"/>
        <w:rPr>
          <w:sz w:val="19"/>
          <w:szCs w:val="19"/>
        </w:rPr>
      </w:pPr>
      <w:r>
        <w:rPr>
          <w:spacing w:val="12"/>
          <w:sz w:val="19"/>
          <w:szCs w:val="19"/>
        </w:rPr>
        <w:t>(7)出现异议及遗留问题的处理原则是否得当、可行等。</w:t>
      </w:r>
    </w:p>
    <w:p w14:paraId="298ABB82">
      <w:pPr>
        <w:pStyle w:val="2"/>
        <w:spacing w:before="171" w:line="222" w:lineRule="auto"/>
        <w:ind w:left="772"/>
        <w:rPr>
          <w:rFonts w:ascii="黑体" w:hAnsi="黑体" w:eastAsia="黑体" w:cs="黑体"/>
          <w:sz w:val="19"/>
          <w:szCs w:val="19"/>
        </w:rPr>
      </w:pPr>
      <w:bookmarkStart w:id="748" w:name="bookmark733"/>
      <w:bookmarkEnd w:id="748"/>
      <w:r>
        <w:rPr>
          <w:b/>
          <w:bCs/>
          <w:color w:val="007FCA"/>
          <w:spacing w:val="9"/>
          <w:sz w:val="19"/>
          <w:szCs w:val="19"/>
        </w:rPr>
        <w:t>2.</w:t>
      </w:r>
      <w:r>
        <w:rPr>
          <w:rFonts w:ascii="黑体" w:hAnsi="黑体" w:eastAsia="黑体" w:cs="黑体"/>
          <w:b/>
          <w:bCs/>
          <w:color w:val="007FCA"/>
          <w:spacing w:val="9"/>
          <w:sz w:val="19"/>
          <w:szCs w:val="19"/>
        </w:rPr>
        <w:t>实施阶段的随工检测</w:t>
      </w:r>
    </w:p>
    <w:p w14:paraId="134B1C31">
      <w:pPr>
        <w:pStyle w:val="2"/>
        <w:spacing w:before="175" w:line="298" w:lineRule="auto"/>
        <w:ind w:left="379" w:right="87" w:firstLine="389"/>
        <w:rPr>
          <w:sz w:val="19"/>
          <w:szCs w:val="19"/>
        </w:rPr>
      </w:pPr>
      <w:r>
        <w:rPr>
          <w:spacing w:val="13"/>
          <w:sz w:val="19"/>
          <w:szCs w:val="19"/>
        </w:rPr>
        <w:t>监督承建单位按照设计方案、数据中心要求和技术标准实施，根据实际情况督促承建单位</w:t>
      </w:r>
      <w:r>
        <w:rPr>
          <w:sz w:val="19"/>
          <w:szCs w:val="19"/>
        </w:rPr>
        <w:t xml:space="preserve"> </w:t>
      </w:r>
      <w:r>
        <w:rPr>
          <w:spacing w:val="7"/>
          <w:sz w:val="19"/>
          <w:szCs w:val="19"/>
        </w:rPr>
        <w:t>做好随工检测，并记录阶段性结果。</w:t>
      </w:r>
    </w:p>
    <w:p w14:paraId="2B0E50E6">
      <w:pPr>
        <w:pStyle w:val="2"/>
        <w:spacing w:before="7" w:line="219" w:lineRule="auto"/>
        <w:ind w:left="769"/>
        <w:rPr>
          <w:sz w:val="19"/>
          <w:szCs w:val="19"/>
        </w:rPr>
      </w:pPr>
      <w:r>
        <w:rPr>
          <w:spacing w:val="12"/>
          <w:sz w:val="19"/>
          <w:szCs w:val="19"/>
        </w:rPr>
        <w:t>(1)随工检测包括以下内容：</w:t>
      </w:r>
    </w:p>
    <w:p w14:paraId="72CC3461">
      <w:pPr>
        <w:pStyle w:val="2"/>
        <w:spacing w:before="84" w:line="270" w:lineRule="auto"/>
        <w:ind w:left="1049" w:right="87" w:hanging="280"/>
        <w:rPr>
          <w:sz w:val="19"/>
          <w:szCs w:val="19"/>
        </w:rPr>
      </w:pPr>
      <w:r>
        <w:rPr>
          <w:spacing w:val="13"/>
          <w:sz w:val="19"/>
          <w:szCs w:val="19"/>
        </w:rPr>
        <w:t>●功能检测：根据设计要求和承建合同，对数据中心系统的硬件和软件功能是否符合或达</w:t>
      </w:r>
      <w:r>
        <w:rPr>
          <w:sz w:val="19"/>
          <w:szCs w:val="19"/>
        </w:rPr>
        <w:t xml:space="preserve"> </w:t>
      </w:r>
      <w:r>
        <w:rPr>
          <w:spacing w:val="4"/>
          <w:sz w:val="19"/>
          <w:szCs w:val="19"/>
        </w:rPr>
        <w:t>到合同要求的标准进行检测；</w:t>
      </w:r>
    </w:p>
    <w:p w14:paraId="71EED5A1">
      <w:pPr>
        <w:pStyle w:val="2"/>
        <w:spacing w:before="103" w:line="219" w:lineRule="auto"/>
        <w:ind w:left="769"/>
        <w:rPr>
          <w:sz w:val="19"/>
          <w:szCs w:val="19"/>
        </w:rPr>
      </w:pPr>
      <w:r>
        <w:rPr>
          <w:spacing w:val="10"/>
          <w:sz w:val="19"/>
          <w:szCs w:val="19"/>
        </w:rPr>
        <w:t>●性能检测：采用专业的检测设备、测试工具对数据中心应用系统的性能进行测试；</w:t>
      </w:r>
    </w:p>
    <w:p w14:paraId="2B8D9AC1">
      <w:pPr>
        <w:pStyle w:val="2"/>
        <w:spacing w:before="86" w:line="274" w:lineRule="auto"/>
        <w:ind w:left="1049" w:right="40" w:hanging="280"/>
        <w:rPr>
          <w:sz w:val="19"/>
          <w:szCs w:val="19"/>
        </w:rPr>
      </w:pPr>
      <w:r>
        <w:rPr>
          <w:spacing w:val="14"/>
          <w:sz w:val="19"/>
          <w:szCs w:val="19"/>
        </w:rPr>
        <w:t>●安全检测：采用专业检测设备，对数据中心应用系统进行漏洞扫描及必要的安全测试，</w:t>
      </w:r>
      <w:r>
        <w:rPr>
          <w:spacing w:val="7"/>
          <w:sz w:val="19"/>
          <w:szCs w:val="19"/>
        </w:rPr>
        <w:t xml:space="preserve"> 及时发现安全漏洞并采取补救措施。</w:t>
      </w:r>
    </w:p>
    <w:p w14:paraId="46210181">
      <w:pPr>
        <w:pStyle w:val="2"/>
        <w:spacing w:before="96" w:line="219" w:lineRule="auto"/>
        <w:ind w:left="769"/>
        <w:rPr>
          <w:sz w:val="19"/>
          <w:szCs w:val="19"/>
        </w:rPr>
      </w:pPr>
      <w:r>
        <w:rPr>
          <w:spacing w:val="10"/>
          <w:sz w:val="19"/>
          <w:szCs w:val="19"/>
        </w:rPr>
        <w:t>(2)信息网络系统的随工检测包括以下内容：</w:t>
      </w:r>
    </w:p>
    <w:p w14:paraId="1BF523E9">
      <w:pPr>
        <w:pStyle w:val="2"/>
        <w:spacing w:before="73" w:line="275" w:lineRule="auto"/>
        <w:ind w:left="1049" w:right="87" w:hanging="280"/>
        <w:rPr>
          <w:sz w:val="19"/>
          <w:szCs w:val="19"/>
        </w:rPr>
      </w:pPr>
      <w:r>
        <w:rPr>
          <w:spacing w:val="23"/>
          <w:sz w:val="19"/>
          <w:szCs w:val="19"/>
        </w:rPr>
        <w:t>●</w:t>
      </w:r>
      <w:r>
        <w:rPr>
          <w:spacing w:val="-60"/>
          <w:sz w:val="19"/>
          <w:szCs w:val="19"/>
        </w:rPr>
        <w:t xml:space="preserve"> </w:t>
      </w:r>
      <w:r>
        <w:rPr>
          <w:spacing w:val="23"/>
          <w:sz w:val="19"/>
          <w:szCs w:val="19"/>
        </w:rPr>
        <w:t>检测部位：数据中心信息网络系统软硬件部署位置，例如数据中心机房核心交换机</w:t>
      </w:r>
      <w:r>
        <w:rPr>
          <w:sz w:val="19"/>
          <w:szCs w:val="19"/>
        </w:rPr>
        <w:t xml:space="preserve"> </w:t>
      </w:r>
      <w:r>
        <w:rPr>
          <w:spacing w:val="4"/>
          <w:sz w:val="19"/>
          <w:szCs w:val="19"/>
        </w:rPr>
        <w:t>机柜。</w:t>
      </w:r>
    </w:p>
    <w:p w14:paraId="1AF7AF19">
      <w:pPr>
        <w:pStyle w:val="2"/>
        <w:spacing w:before="104" w:line="281" w:lineRule="auto"/>
        <w:ind w:left="1049" w:hanging="280"/>
        <w:rPr>
          <w:sz w:val="19"/>
          <w:szCs w:val="19"/>
        </w:rPr>
      </w:pPr>
      <w:r>
        <w:rPr>
          <w:spacing w:val="15"/>
          <w:sz w:val="19"/>
          <w:szCs w:val="19"/>
        </w:rPr>
        <w:t>●主体项目检测内容：计算机网络设备安装、计算机网络软件安装、网络安全设备安装、</w:t>
      </w:r>
      <w:r>
        <w:rPr>
          <w:spacing w:val="9"/>
          <w:sz w:val="19"/>
          <w:szCs w:val="19"/>
        </w:rPr>
        <w:t xml:space="preserve"> </w:t>
      </w:r>
      <w:r>
        <w:rPr>
          <w:spacing w:val="16"/>
          <w:sz w:val="19"/>
          <w:szCs w:val="19"/>
        </w:rPr>
        <w:t>网络安全软件安装。检测时应记录设备型号、软件版本、主要配置参数、当前运行状</w:t>
      </w:r>
      <w:r>
        <w:rPr>
          <w:spacing w:val="7"/>
          <w:sz w:val="19"/>
          <w:szCs w:val="19"/>
        </w:rPr>
        <w:t xml:space="preserve">  </w:t>
      </w:r>
      <w:r>
        <w:rPr>
          <w:spacing w:val="4"/>
          <w:sz w:val="19"/>
          <w:szCs w:val="19"/>
        </w:rPr>
        <w:t>态等。</w:t>
      </w:r>
    </w:p>
    <w:p w14:paraId="3FA39731">
      <w:pPr>
        <w:pStyle w:val="2"/>
        <w:spacing w:before="104" w:line="265" w:lineRule="auto"/>
        <w:ind w:left="1049" w:hanging="280"/>
        <w:rPr>
          <w:sz w:val="19"/>
          <w:szCs w:val="19"/>
        </w:rPr>
      </w:pPr>
      <w:r>
        <w:rPr>
          <w:spacing w:val="15"/>
          <w:sz w:val="19"/>
          <w:szCs w:val="19"/>
        </w:rPr>
        <w:t>●一般项目检测内容：系统调试、试运行情况。例如，检测的频次数目、当前主要问题、</w:t>
      </w:r>
      <w:r>
        <w:rPr>
          <w:spacing w:val="9"/>
          <w:sz w:val="19"/>
          <w:szCs w:val="19"/>
        </w:rPr>
        <w:t xml:space="preserve"> </w:t>
      </w:r>
      <w:r>
        <w:rPr>
          <w:spacing w:val="5"/>
          <w:sz w:val="19"/>
          <w:szCs w:val="19"/>
        </w:rPr>
        <w:t>前次问题处理状态等。</w:t>
      </w:r>
    </w:p>
    <w:p w14:paraId="02BB34AD">
      <w:pPr>
        <w:pStyle w:val="2"/>
        <w:spacing w:before="95" w:line="219" w:lineRule="auto"/>
        <w:ind w:left="769"/>
        <w:rPr>
          <w:sz w:val="19"/>
          <w:szCs w:val="19"/>
        </w:rPr>
      </w:pPr>
      <w:r>
        <w:rPr>
          <w:spacing w:val="10"/>
          <w:sz w:val="19"/>
          <w:szCs w:val="19"/>
        </w:rPr>
        <w:t>(3)信息应用系统的随工检测包括以下内容：</w:t>
      </w:r>
    </w:p>
    <w:p w14:paraId="2DA9FBB7">
      <w:pPr>
        <w:pStyle w:val="2"/>
        <w:spacing w:before="94" w:line="265" w:lineRule="auto"/>
        <w:ind w:left="1049" w:right="84" w:hanging="280"/>
        <w:rPr>
          <w:sz w:val="19"/>
          <w:szCs w:val="19"/>
        </w:rPr>
      </w:pPr>
      <w:r>
        <w:rPr>
          <w:spacing w:val="13"/>
          <w:sz w:val="19"/>
          <w:szCs w:val="19"/>
        </w:rPr>
        <w:t>●检测部位：信息应用系统中展示数据中心处理的关键工作流程的子系统、功能模块、核</w:t>
      </w:r>
      <w:r>
        <w:rPr>
          <w:spacing w:val="3"/>
          <w:sz w:val="19"/>
          <w:szCs w:val="19"/>
        </w:rPr>
        <w:t xml:space="preserve"> </w:t>
      </w:r>
      <w:r>
        <w:rPr>
          <w:spacing w:val="2"/>
          <w:sz w:val="19"/>
          <w:szCs w:val="19"/>
        </w:rPr>
        <w:t>心节点等；</w:t>
      </w:r>
    </w:p>
    <w:p w14:paraId="3043F2C6">
      <w:pPr>
        <w:pStyle w:val="2"/>
        <w:spacing w:before="86" w:line="280" w:lineRule="auto"/>
        <w:ind w:left="1049" w:right="74" w:hanging="280"/>
        <w:rPr>
          <w:sz w:val="19"/>
          <w:szCs w:val="19"/>
        </w:rPr>
      </w:pPr>
      <w:r>
        <w:rPr>
          <w:spacing w:val="16"/>
          <w:sz w:val="19"/>
          <w:szCs w:val="19"/>
        </w:rPr>
        <w:t>●主体项目检测内容：被检查设备的性能指标(建议以技术规范或设</w:t>
      </w:r>
      <w:r>
        <w:rPr>
          <w:spacing w:val="15"/>
          <w:sz w:val="19"/>
          <w:szCs w:val="19"/>
        </w:rPr>
        <w:t>计方案、技术方案中</w:t>
      </w:r>
      <w:r>
        <w:rPr>
          <w:sz w:val="19"/>
          <w:szCs w:val="19"/>
        </w:rPr>
        <w:t xml:space="preserve"> </w:t>
      </w:r>
      <w:r>
        <w:rPr>
          <w:spacing w:val="14"/>
          <w:sz w:val="19"/>
          <w:szCs w:val="19"/>
        </w:rPr>
        <w:t>预定的指标与实际检测指标两项数值为记录</w:t>
      </w:r>
      <w:r>
        <w:rPr>
          <w:spacing w:val="13"/>
          <w:sz w:val="19"/>
          <w:szCs w:val="19"/>
        </w:rPr>
        <w:t>项)、业务功能和业务流程、应用软件功能</w:t>
      </w:r>
      <w:r>
        <w:rPr>
          <w:sz w:val="19"/>
          <w:szCs w:val="19"/>
        </w:rPr>
        <w:t xml:space="preserve"> </w:t>
      </w:r>
      <w:r>
        <w:rPr>
          <w:spacing w:val="6"/>
          <w:sz w:val="19"/>
          <w:szCs w:val="19"/>
        </w:rPr>
        <w:t>和性能测试、应用软件修改后的回归测试；</w:t>
      </w:r>
    </w:p>
    <w:p w14:paraId="27B4B545">
      <w:pPr>
        <w:pStyle w:val="2"/>
        <w:spacing w:before="105" w:line="260" w:lineRule="auto"/>
        <w:ind w:left="1049" w:right="87" w:hanging="280"/>
        <w:rPr>
          <w:sz w:val="19"/>
          <w:szCs w:val="19"/>
        </w:rPr>
      </w:pPr>
      <w:r>
        <w:rPr>
          <w:spacing w:val="13"/>
          <w:sz w:val="19"/>
          <w:szCs w:val="19"/>
        </w:rPr>
        <w:t>●一般项目检测内容：应用软件功能和性能测试情况、运行软件产品的设备中与应用软件</w:t>
      </w:r>
      <w:r>
        <w:rPr>
          <w:sz w:val="19"/>
          <w:szCs w:val="19"/>
        </w:rPr>
        <w:t xml:space="preserve"> </w:t>
      </w:r>
      <w:r>
        <w:rPr>
          <w:spacing w:val="5"/>
          <w:sz w:val="19"/>
          <w:szCs w:val="19"/>
        </w:rPr>
        <w:t>无关的软件检查。</w:t>
      </w:r>
    </w:p>
    <w:p w14:paraId="410D464F">
      <w:pPr>
        <w:pStyle w:val="2"/>
        <w:spacing w:before="210" w:line="222" w:lineRule="auto"/>
        <w:ind w:left="772"/>
        <w:rPr>
          <w:rFonts w:ascii="黑体" w:hAnsi="黑体" w:eastAsia="黑体" w:cs="黑体"/>
          <w:sz w:val="19"/>
          <w:szCs w:val="19"/>
        </w:rPr>
      </w:pPr>
      <w:r>
        <w:rPr>
          <w:b/>
          <w:bCs/>
          <w:color w:val="0087E2"/>
          <w:spacing w:val="7"/>
          <w:sz w:val="19"/>
          <w:szCs w:val="19"/>
        </w:rPr>
        <w:t>3.</w:t>
      </w:r>
      <w:r>
        <w:rPr>
          <w:rFonts w:ascii="黑体" w:hAnsi="黑体" w:eastAsia="黑体" w:cs="黑体"/>
          <w:b/>
          <w:bCs/>
          <w:color w:val="0087E2"/>
          <w:spacing w:val="7"/>
          <w:sz w:val="19"/>
          <w:szCs w:val="19"/>
        </w:rPr>
        <w:t>软硬件设备资产的审核</w:t>
      </w:r>
    </w:p>
    <w:p w14:paraId="744B5DBA">
      <w:pPr>
        <w:pStyle w:val="2"/>
        <w:spacing w:before="105" w:line="298" w:lineRule="auto"/>
        <w:ind w:left="369" w:right="79" w:firstLine="399"/>
        <w:rPr>
          <w:sz w:val="19"/>
          <w:szCs w:val="19"/>
        </w:rPr>
      </w:pPr>
      <w:r>
        <w:rPr>
          <w:spacing w:val="13"/>
          <w:sz w:val="19"/>
          <w:szCs w:val="19"/>
        </w:rPr>
        <w:t>根据数据中心业务系统的范围和特点，应对承建单位编制的计算机软硬件设备资产清单和</w:t>
      </w:r>
      <w:r>
        <w:rPr>
          <w:spacing w:val="7"/>
          <w:sz w:val="19"/>
          <w:szCs w:val="19"/>
        </w:rPr>
        <w:t xml:space="preserve"> </w:t>
      </w:r>
      <w:r>
        <w:rPr>
          <w:spacing w:val="6"/>
          <w:sz w:val="19"/>
          <w:szCs w:val="19"/>
        </w:rPr>
        <w:t>参数配置档案进行审核，重点审核以下内容：</w:t>
      </w:r>
    </w:p>
    <w:p w14:paraId="11522FAA">
      <w:pPr>
        <w:pStyle w:val="2"/>
        <w:spacing w:before="8" w:line="219" w:lineRule="auto"/>
        <w:ind w:left="769"/>
        <w:rPr>
          <w:sz w:val="19"/>
          <w:szCs w:val="19"/>
        </w:rPr>
      </w:pPr>
      <w:r>
        <w:rPr>
          <w:spacing w:val="11"/>
          <w:sz w:val="19"/>
          <w:szCs w:val="19"/>
        </w:rPr>
        <w:t>(1)资产清单台账和配置参数与实际状况</w:t>
      </w:r>
      <w:r>
        <w:rPr>
          <w:spacing w:val="10"/>
          <w:sz w:val="19"/>
          <w:szCs w:val="19"/>
        </w:rPr>
        <w:t>的一致性；</w:t>
      </w:r>
    </w:p>
    <w:p w14:paraId="6C30C9FD">
      <w:pPr>
        <w:spacing w:line="219" w:lineRule="auto"/>
        <w:rPr>
          <w:sz w:val="19"/>
          <w:szCs w:val="19"/>
        </w:rPr>
        <w:sectPr>
          <w:pgSz w:w="10300" w:h="13400"/>
          <w:pgMar w:top="400" w:right="984" w:bottom="400" w:left="540" w:header="0" w:footer="0" w:gutter="0"/>
          <w:cols w:space="720" w:num="1"/>
        </w:sectPr>
      </w:pPr>
    </w:p>
    <w:p w14:paraId="214AD0D2">
      <w:pPr>
        <w:pStyle w:val="2"/>
        <w:spacing w:before="46" w:line="219" w:lineRule="auto"/>
        <w:jc w:val="right"/>
        <w:rPr>
          <w:rFonts w:ascii="Times New Roman" w:hAnsi="Times New Roman" w:eastAsia="Times New Roman" w:cs="Times New Roman"/>
          <w:sz w:val="17"/>
          <w:szCs w:val="17"/>
        </w:rPr>
      </w:pPr>
      <w:r>
        <w:rPr>
          <w:spacing w:val="-2"/>
          <w:sz w:val="20"/>
          <w:szCs w:val="20"/>
        </w:rPr>
        <w:t>第23章 数据中心监理</w:t>
      </w:r>
      <w:r>
        <w:rPr>
          <w:spacing w:val="3"/>
          <w:sz w:val="20"/>
          <w:szCs w:val="20"/>
        </w:rPr>
        <w:t xml:space="preserve">      </w:t>
      </w:r>
      <w:r>
        <w:rPr>
          <w:rFonts w:ascii="Times New Roman" w:hAnsi="Times New Roman" w:eastAsia="Times New Roman" w:cs="Times New Roman"/>
          <w:spacing w:val="-2"/>
          <w:sz w:val="17"/>
          <w:szCs w:val="17"/>
        </w:rPr>
        <w:t>533</w:t>
      </w:r>
    </w:p>
    <w:p w14:paraId="23CDBAF6">
      <w:pPr>
        <w:spacing w:line="307" w:lineRule="auto"/>
        <w:rPr>
          <w:rFonts w:ascii="Arial"/>
          <w:sz w:val="21"/>
        </w:rPr>
      </w:pPr>
    </w:p>
    <w:p w14:paraId="189B5DFF">
      <w:pPr>
        <w:pStyle w:val="2"/>
        <w:spacing w:before="65" w:line="219" w:lineRule="auto"/>
        <w:ind w:left="389"/>
        <w:rPr>
          <w:sz w:val="20"/>
          <w:szCs w:val="20"/>
        </w:rPr>
      </w:pPr>
      <w:r>
        <w:rPr>
          <w:spacing w:val="1"/>
          <w:sz w:val="20"/>
          <w:szCs w:val="20"/>
        </w:rPr>
        <w:t>(2)设备资产入库手续的合规性、完备性；</w:t>
      </w:r>
    </w:p>
    <w:p w14:paraId="471FDFEF">
      <w:pPr>
        <w:pStyle w:val="2"/>
        <w:spacing w:before="82" w:line="219" w:lineRule="auto"/>
        <w:ind w:left="389"/>
        <w:rPr>
          <w:sz w:val="20"/>
          <w:szCs w:val="20"/>
        </w:rPr>
      </w:pPr>
      <w:r>
        <w:rPr>
          <w:spacing w:val="3"/>
          <w:sz w:val="20"/>
          <w:szCs w:val="20"/>
        </w:rPr>
        <w:t>(3)资产标识的规范性、可追溯性。</w:t>
      </w:r>
    </w:p>
    <w:p w14:paraId="05D1C518">
      <w:pPr>
        <w:pStyle w:val="2"/>
        <w:spacing w:before="179" w:line="222" w:lineRule="auto"/>
        <w:ind w:left="392"/>
        <w:rPr>
          <w:rFonts w:ascii="黑体" w:hAnsi="黑体" w:eastAsia="黑体" w:cs="黑体"/>
          <w:sz w:val="20"/>
          <w:szCs w:val="20"/>
        </w:rPr>
      </w:pPr>
      <w:r>
        <w:rPr>
          <w:b/>
          <w:bCs/>
          <w:color w:val="0074DB"/>
          <w:spacing w:val="-1"/>
          <w:sz w:val="20"/>
          <w:szCs w:val="20"/>
        </w:rPr>
        <w:t>4.</w:t>
      </w:r>
      <w:r>
        <w:rPr>
          <w:rFonts w:ascii="黑体" w:hAnsi="黑体" w:eastAsia="黑体" w:cs="黑体"/>
          <w:b/>
          <w:bCs/>
          <w:color w:val="0074DB"/>
          <w:spacing w:val="-1"/>
          <w:sz w:val="20"/>
          <w:szCs w:val="20"/>
        </w:rPr>
        <w:t>其他监理控制措施</w:t>
      </w:r>
    </w:p>
    <w:p w14:paraId="34F071A3">
      <w:pPr>
        <w:pStyle w:val="2"/>
        <w:spacing w:before="133" w:line="219" w:lineRule="auto"/>
        <w:ind w:left="389"/>
        <w:rPr>
          <w:sz w:val="20"/>
          <w:szCs w:val="20"/>
        </w:rPr>
      </w:pPr>
      <w:r>
        <w:rPr>
          <w:spacing w:val="-3"/>
          <w:sz w:val="20"/>
          <w:szCs w:val="20"/>
        </w:rPr>
        <w:t>数据中心工程实施阶段的其他监理控制措施包括：</w:t>
      </w:r>
    </w:p>
    <w:p w14:paraId="04B35DD3">
      <w:pPr>
        <w:pStyle w:val="2"/>
        <w:spacing w:before="72" w:line="262" w:lineRule="auto"/>
        <w:ind w:right="226" w:firstLine="389"/>
        <w:rPr>
          <w:sz w:val="20"/>
          <w:szCs w:val="20"/>
        </w:rPr>
      </w:pPr>
      <w:r>
        <w:rPr>
          <w:spacing w:val="2"/>
          <w:sz w:val="20"/>
          <w:szCs w:val="20"/>
        </w:rPr>
        <w:t>(1)监督承建单位按照数据中心设计的拓扑结构，对验货合格的软硬件设备进行合理</w:t>
      </w:r>
      <w:r>
        <w:rPr>
          <w:spacing w:val="1"/>
          <w:sz w:val="20"/>
          <w:szCs w:val="20"/>
        </w:rPr>
        <w:t>摆放、</w:t>
      </w:r>
      <w:r>
        <w:rPr>
          <w:sz w:val="20"/>
          <w:szCs w:val="20"/>
        </w:rPr>
        <w:t xml:space="preserve"> </w:t>
      </w:r>
      <w:r>
        <w:rPr>
          <w:spacing w:val="-2"/>
          <w:sz w:val="20"/>
          <w:szCs w:val="20"/>
        </w:rPr>
        <w:t>安装、集成、配置和上电自检，并根据应用需求进行性能调优，做好监理工作记录；</w:t>
      </w:r>
    </w:p>
    <w:p w14:paraId="6735B227">
      <w:pPr>
        <w:pStyle w:val="2"/>
        <w:spacing w:before="81" w:line="254" w:lineRule="auto"/>
        <w:ind w:right="289" w:firstLine="389"/>
        <w:rPr>
          <w:sz w:val="20"/>
          <w:szCs w:val="20"/>
        </w:rPr>
      </w:pPr>
      <w:r>
        <w:rPr>
          <w:spacing w:val="5"/>
          <w:sz w:val="20"/>
          <w:szCs w:val="20"/>
        </w:rPr>
        <w:t>(2)检查承建单位对数据中心计算机软硬件设备的施工质量保证措施落实情况，防止出现</w:t>
      </w:r>
      <w:r>
        <w:rPr>
          <w:spacing w:val="16"/>
          <w:sz w:val="20"/>
          <w:szCs w:val="20"/>
        </w:rPr>
        <w:t xml:space="preserve"> </w:t>
      </w:r>
      <w:r>
        <w:rPr>
          <w:spacing w:val="-5"/>
          <w:sz w:val="20"/>
          <w:szCs w:val="20"/>
        </w:rPr>
        <w:t>工程质量事故与质量缺陷；</w:t>
      </w:r>
    </w:p>
    <w:p w14:paraId="3E44E00C">
      <w:pPr>
        <w:pStyle w:val="2"/>
        <w:spacing w:before="70" w:line="258" w:lineRule="auto"/>
        <w:ind w:right="290" w:firstLine="389"/>
        <w:rPr>
          <w:sz w:val="20"/>
          <w:szCs w:val="20"/>
        </w:rPr>
      </w:pPr>
      <w:r>
        <w:rPr>
          <w:spacing w:val="5"/>
          <w:sz w:val="20"/>
          <w:szCs w:val="20"/>
        </w:rPr>
        <w:t>(3)提醒并指导业主单位、敦促承建单位整理竣工图纸、安装措施、施工记录、检测材料</w:t>
      </w:r>
      <w:r>
        <w:rPr>
          <w:spacing w:val="15"/>
          <w:sz w:val="20"/>
          <w:szCs w:val="20"/>
        </w:rPr>
        <w:t xml:space="preserve"> </w:t>
      </w:r>
      <w:r>
        <w:rPr>
          <w:spacing w:val="-4"/>
          <w:sz w:val="20"/>
          <w:szCs w:val="20"/>
        </w:rPr>
        <w:t>等资料，做好工程档案管理；</w:t>
      </w:r>
    </w:p>
    <w:p w14:paraId="5C0194B3">
      <w:pPr>
        <w:pStyle w:val="2"/>
        <w:spacing w:before="92" w:line="249" w:lineRule="auto"/>
        <w:ind w:right="267" w:firstLine="389"/>
        <w:rPr>
          <w:sz w:val="20"/>
          <w:szCs w:val="20"/>
        </w:rPr>
      </w:pPr>
      <w:r>
        <w:rPr>
          <w:spacing w:val="6"/>
          <w:sz w:val="20"/>
          <w:szCs w:val="20"/>
        </w:rPr>
        <w:t>(4)协助业主单位做好工程协调工作，包括数据中心工程设计与实施、设备及材料供</w:t>
      </w:r>
      <w:r>
        <w:rPr>
          <w:spacing w:val="5"/>
          <w:sz w:val="20"/>
          <w:szCs w:val="20"/>
        </w:rPr>
        <w:t>应等</w:t>
      </w:r>
      <w:r>
        <w:rPr>
          <w:sz w:val="20"/>
          <w:szCs w:val="20"/>
        </w:rPr>
        <w:t xml:space="preserve"> </w:t>
      </w:r>
      <w:r>
        <w:rPr>
          <w:spacing w:val="-5"/>
          <w:sz w:val="20"/>
          <w:szCs w:val="20"/>
        </w:rPr>
        <w:t>单位的计划协调。</w:t>
      </w:r>
    </w:p>
    <w:p w14:paraId="42AB1F89">
      <w:pPr>
        <w:pStyle w:val="2"/>
        <w:spacing w:before="166" w:line="221" w:lineRule="auto"/>
        <w:ind w:left="392"/>
        <w:rPr>
          <w:rFonts w:ascii="黑体" w:hAnsi="黑体" w:eastAsia="黑体" w:cs="黑体"/>
          <w:sz w:val="20"/>
          <w:szCs w:val="20"/>
        </w:rPr>
      </w:pPr>
      <w:r>
        <w:rPr>
          <w:b/>
          <w:bCs/>
          <w:color w:val="006EDC"/>
          <w:spacing w:val="14"/>
          <w:sz w:val="20"/>
          <w:szCs w:val="20"/>
        </w:rPr>
        <w:t>5.</w:t>
      </w:r>
      <w:r>
        <w:rPr>
          <w:rFonts w:ascii="黑体" w:hAnsi="黑体" w:eastAsia="黑体" w:cs="黑体"/>
          <w:b/>
          <w:bCs/>
          <w:color w:val="006EDC"/>
          <w:spacing w:val="14"/>
          <w:sz w:val="20"/>
          <w:szCs w:val="20"/>
        </w:rPr>
        <w:t>信息资源(数据)监理</w:t>
      </w:r>
    </w:p>
    <w:p w14:paraId="08BD94C4">
      <w:pPr>
        <w:pStyle w:val="2"/>
        <w:spacing w:before="156" w:line="219" w:lineRule="auto"/>
        <w:ind w:left="389"/>
        <w:rPr>
          <w:sz w:val="20"/>
          <w:szCs w:val="20"/>
        </w:rPr>
      </w:pPr>
      <w:r>
        <w:rPr>
          <w:spacing w:val="6"/>
          <w:sz w:val="20"/>
          <w:szCs w:val="20"/>
        </w:rPr>
        <w:t>数据中心工程实施阶段的信息资源(数据)</w:t>
      </w:r>
      <w:r>
        <w:rPr>
          <w:spacing w:val="5"/>
          <w:sz w:val="20"/>
          <w:szCs w:val="20"/>
        </w:rPr>
        <w:t>监理内容包括：</w:t>
      </w:r>
    </w:p>
    <w:p w14:paraId="6E7AD4B2">
      <w:pPr>
        <w:pStyle w:val="2"/>
        <w:spacing w:before="81" w:line="264" w:lineRule="auto"/>
        <w:ind w:right="227" w:firstLine="389"/>
        <w:rPr>
          <w:sz w:val="20"/>
          <w:szCs w:val="20"/>
        </w:rPr>
      </w:pPr>
      <w:r>
        <w:rPr>
          <w:spacing w:val="2"/>
          <w:sz w:val="20"/>
          <w:szCs w:val="20"/>
        </w:rPr>
        <w:t>(1)监督承建单位根据需求方案进行信息资源规划，提高数据中心应用系统数据管</w:t>
      </w:r>
      <w:r>
        <w:rPr>
          <w:spacing w:val="1"/>
          <w:sz w:val="20"/>
          <w:szCs w:val="20"/>
        </w:rPr>
        <w:t>理质量，</w:t>
      </w:r>
      <w:r>
        <w:rPr>
          <w:sz w:val="20"/>
          <w:szCs w:val="20"/>
        </w:rPr>
        <w:t xml:space="preserve"> </w:t>
      </w:r>
      <w:r>
        <w:rPr>
          <w:spacing w:val="3"/>
          <w:sz w:val="20"/>
          <w:szCs w:val="20"/>
        </w:rPr>
        <w:t>实现信息资源整合与应用系统集成，检查承建单位建设方案</w:t>
      </w:r>
      <w:r>
        <w:rPr>
          <w:spacing w:val="2"/>
          <w:sz w:val="20"/>
          <w:szCs w:val="20"/>
        </w:rPr>
        <w:t>是否满足业主单位需求以及标准要</w:t>
      </w:r>
      <w:r>
        <w:rPr>
          <w:sz w:val="20"/>
          <w:szCs w:val="20"/>
        </w:rPr>
        <w:t xml:space="preserve"> </w:t>
      </w:r>
      <w:r>
        <w:rPr>
          <w:spacing w:val="-4"/>
          <w:sz w:val="20"/>
          <w:szCs w:val="20"/>
        </w:rPr>
        <w:t>求，提出监理意见。</w:t>
      </w:r>
    </w:p>
    <w:p w14:paraId="35E6361B">
      <w:pPr>
        <w:pStyle w:val="2"/>
        <w:spacing w:before="72" w:line="253" w:lineRule="auto"/>
        <w:ind w:right="282" w:firstLine="389"/>
        <w:rPr>
          <w:sz w:val="20"/>
          <w:szCs w:val="20"/>
        </w:rPr>
      </w:pPr>
      <w:r>
        <w:rPr>
          <w:spacing w:val="6"/>
          <w:sz w:val="20"/>
          <w:szCs w:val="20"/>
        </w:rPr>
        <w:t>(2)检查承建单位的数据交换和共享技术实施过程</w:t>
      </w:r>
      <w:r>
        <w:rPr>
          <w:spacing w:val="5"/>
          <w:sz w:val="20"/>
          <w:szCs w:val="20"/>
        </w:rPr>
        <w:t>是否符合信息资源规划，所采用的信息</w:t>
      </w:r>
      <w:r>
        <w:rPr>
          <w:sz w:val="20"/>
          <w:szCs w:val="20"/>
        </w:rPr>
        <w:t xml:space="preserve"> </w:t>
      </w:r>
      <w:r>
        <w:rPr>
          <w:spacing w:val="-2"/>
          <w:sz w:val="20"/>
          <w:szCs w:val="20"/>
        </w:rPr>
        <w:t>共享服务内容是否满足业主单位应用需求，提出监理意见。</w:t>
      </w:r>
    </w:p>
    <w:p w14:paraId="00FA21DC">
      <w:pPr>
        <w:pStyle w:val="2"/>
        <w:spacing w:before="83" w:line="219" w:lineRule="auto"/>
        <w:ind w:left="389"/>
        <w:rPr>
          <w:sz w:val="20"/>
          <w:szCs w:val="20"/>
        </w:rPr>
      </w:pPr>
      <w:r>
        <w:rPr>
          <w:spacing w:val="7"/>
          <w:sz w:val="20"/>
          <w:szCs w:val="20"/>
        </w:rPr>
        <w:t>(3)做好对数据中心信息资源(数据)的监理检查并记录。具体包括：</w:t>
      </w:r>
    </w:p>
    <w:p w14:paraId="2F33937F">
      <w:pPr>
        <w:pStyle w:val="2"/>
        <w:spacing w:before="72" w:line="275" w:lineRule="auto"/>
        <w:ind w:left="688" w:right="279" w:hanging="299"/>
        <w:rPr>
          <w:sz w:val="17"/>
          <w:szCs w:val="17"/>
        </w:rPr>
      </w:pPr>
      <w:r>
        <w:rPr>
          <w:spacing w:val="3"/>
          <w:sz w:val="20"/>
          <w:szCs w:val="20"/>
        </w:rPr>
        <w:t>●检测部位：应是能体现数据中心的信息资源接收、处理、交换、展示等核心功能的节点</w:t>
      </w:r>
      <w:r>
        <w:rPr>
          <w:spacing w:val="9"/>
          <w:sz w:val="20"/>
          <w:szCs w:val="20"/>
        </w:rPr>
        <w:t xml:space="preserve"> </w:t>
      </w:r>
      <w:r>
        <w:rPr>
          <w:spacing w:val="13"/>
          <w:sz w:val="17"/>
          <w:szCs w:val="17"/>
        </w:rPr>
        <w:t>部位</w:t>
      </w:r>
      <w:r>
        <w:rPr>
          <w:spacing w:val="-36"/>
          <w:sz w:val="17"/>
          <w:szCs w:val="17"/>
        </w:rPr>
        <w:t xml:space="preserve"> </w:t>
      </w:r>
      <w:r>
        <w:rPr>
          <w:spacing w:val="13"/>
          <w:sz w:val="17"/>
          <w:szCs w:val="17"/>
        </w:rPr>
        <w:t>。</w:t>
      </w:r>
    </w:p>
    <w:p w14:paraId="6F6D0AD9">
      <w:pPr>
        <w:pStyle w:val="2"/>
        <w:spacing w:before="69" w:line="262" w:lineRule="auto"/>
        <w:ind w:left="688" w:right="287" w:hanging="299"/>
        <w:rPr>
          <w:sz w:val="20"/>
          <w:szCs w:val="20"/>
        </w:rPr>
      </w:pPr>
      <w:r>
        <w:rPr>
          <w:spacing w:val="3"/>
          <w:sz w:val="20"/>
          <w:szCs w:val="20"/>
        </w:rPr>
        <w:t>●主体项目检测内容：用户视图与数据流、数据结构与建模、数据接口规范等。应以技术</w:t>
      </w:r>
      <w:r>
        <w:rPr>
          <w:spacing w:val="1"/>
          <w:sz w:val="20"/>
          <w:szCs w:val="20"/>
        </w:rPr>
        <w:t xml:space="preserve"> </w:t>
      </w:r>
      <w:r>
        <w:rPr>
          <w:spacing w:val="-1"/>
          <w:sz w:val="20"/>
          <w:szCs w:val="20"/>
        </w:rPr>
        <w:t>规范或设计方案、技术方案中预定的指标与实际检测指</w:t>
      </w:r>
      <w:r>
        <w:rPr>
          <w:spacing w:val="-2"/>
          <w:sz w:val="20"/>
          <w:szCs w:val="20"/>
        </w:rPr>
        <w:t>标为记录内容。</w:t>
      </w:r>
    </w:p>
    <w:p w14:paraId="2A4C3FCC">
      <w:pPr>
        <w:pStyle w:val="2"/>
        <w:spacing w:before="83" w:line="219" w:lineRule="auto"/>
        <w:ind w:left="389"/>
        <w:rPr>
          <w:sz w:val="20"/>
          <w:szCs w:val="20"/>
        </w:rPr>
      </w:pPr>
      <w:r>
        <w:rPr>
          <w:sz w:val="20"/>
          <w:szCs w:val="20"/>
        </w:rPr>
        <w:t>●一般项目检测内容：系统调试、试运行情况。</w:t>
      </w:r>
    </w:p>
    <w:p w14:paraId="45D7C5D6">
      <w:pPr>
        <w:pStyle w:val="2"/>
        <w:spacing w:before="168" w:line="221" w:lineRule="auto"/>
        <w:ind w:left="392"/>
        <w:rPr>
          <w:rFonts w:ascii="黑体" w:hAnsi="黑体" w:eastAsia="黑体" w:cs="黑体"/>
          <w:sz w:val="20"/>
          <w:szCs w:val="20"/>
        </w:rPr>
      </w:pPr>
      <w:r>
        <w:rPr>
          <w:b/>
          <w:bCs/>
          <w:color w:val="0069D2"/>
          <w:spacing w:val="-3"/>
          <w:sz w:val="20"/>
          <w:szCs w:val="20"/>
        </w:rPr>
        <w:t>6.</w:t>
      </w:r>
      <w:r>
        <w:rPr>
          <w:rFonts w:ascii="黑体" w:hAnsi="黑体" w:eastAsia="黑体" w:cs="黑体"/>
          <w:b/>
          <w:bCs/>
          <w:color w:val="0069D2"/>
          <w:spacing w:val="-3"/>
          <w:sz w:val="20"/>
          <w:szCs w:val="20"/>
        </w:rPr>
        <w:t>人员及相关规章制度监理</w:t>
      </w:r>
    </w:p>
    <w:p w14:paraId="6B53CB8F">
      <w:pPr>
        <w:pStyle w:val="2"/>
        <w:spacing w:before="134" w:line="219" w:lineRule="auto"/>
        <w:ind w:left="389"/>
        <w:rPr>
          <w:sz w:val="20"/>
          <w:szCs w:val="20"/>
        </w:rPr>
      </w:pPr>
      <w:r>
        <w:rPr>
          <w:spacing w:val="-2"/>
          <w:sz w:val="20"/>
          <w:szCs w:val="20"/>
        </w:rPr>
        <w:t>数据中心工程实施阶段的人员及相关规章制度监理的内容包括：</w:t>
      </w:r>
    </w:p>
    <w:p w14:paraId="0D6F4FE0">
      <w:pPr>
        <w:pStyle w:val="2"/>
        <w:spacing w:before="54" w:line="262" w:lineRule="auto"/>
        <w:ind w:right="246" w:firstLine="389"/>
        <w:rPr>
          <w:sz w:val="20"/>
          <w:szCs w:val="20"/>
        </w:rPr>
      </w:pPr>
      <w:r>
        <w:rPr>
          <w:spacing w:val="1"/>
          <w:sz w:val="20"/>
          <w:szCs w:val="20"/>
        </w:rPr>
        <w:t>(1)协助业主单位明确数据中心人员岗位职责，依照实际情况可分为技术实施岗及管理岗，</w:t>
      </w:r>
      <w:r>
        <w:rPr>
          <w:spacing w:val="18"/>
          <w:sz w:val="20"/>
          <w:szCs w:val="20"/>
        </w:rPr>
        <w:t xml:space="preserve"> </w:t>
      </w:r>
      <w:r>
        <w:rPr>
          <w:spacing w:val="-3"/>
          <w:sz w:val="20"/>
          <w:szCs w:val="20"/>
        </w:rPr>
        <w:t>定岗定责，保证数据中心的稳定运行。</w:t>
      </w:r>
    </w:p>
    <w:p w14:paraId="1FA652F6">
      <w:pPr>
        <w:pStyle w:val="2"/>
        <w:spacing w:before="52" w:line="281" w:lineRule="auto"/>
        <w:ind w:right="286" w:firstLine="389"/>
        <w:rPr>
          <w:sz w:val="17"/>
          <w:szCs w:val="17"/>
        </w:rPr>
      </w:pPr>
      <w:r>
        <w:rPr>
          <w:spacing w:val="5"/>
          <w:sz w:val="20"/>
          <w:szCs w:val="20"/>
        </w:rPr>
        <w:t>(2)协助业主单位制定数据中心相关规章制度，制度的拟定要体现其全面性、完整性和实</w:t>
      </w:r>
      <w:r>
        <w:rPr>
          <w:spacing w:val="18"/>
          <w:sz w:val="20"/>
          <w:szCs w:val="20"/>
        </w:rPr>
        <w:t xml:space="preserve"> </w:t>
      </w:r>
      <w:r>
        <w:rPr>
          <w:spacing w:val="-8"/>
          <w:sz w:val="17"/>
          <w:szCs w:val="17"/>
        </w:rPr>
        <w:t>时</w:t>
      </w:r>
      <w:r>
        <w:rPr>
          <w:spacing w:val="-25"/>
          <w:sz w:val="17"/>
          <w:szCs w:val="17"/>
        </w:rPr>
        <w:t xml:space="preserve"> </w:t>
      </w:r>
      <w:r>
        <w:rPr>
          <w:spacing w:val="-8"/>
          <w:sz w:val="17"/>
          <w:szCs w:val="17"/>
        </w:rPr>
        <w:t>性</w:t>
      </w:r>
      <w:r>
        <w:rPr>
          <w:spacing w:val="-33"/>
          <w:sz w:val="17"/>
          <w:szCs w:val="17"/>
        </w:rPr>
        <w:t xml:space="preserve"> </w:t>
      </w:r>
      <w:r>
        <w:rPr>
          <w:spacing w:val="-8"/>
          <w:sz w:val="17"/>
          <w:szCs w:val="17"/>
        </w:rPr>
        <w:t>。</w:t>
      </w:r>
    </w:p>
    <w:p w14:paraId="038BC753">
      <w:pPr>
        <w:pStyle w:val="2"/>
        <w:spacing w:before="77" w:line="219" w:lineRule="auto"/>
        <w:ind w:left="389"/>
        <w:rPr>
          <w:sz w:val="20"/>
          <w:szCs w:val="20"/>
        </w:rPr>
      </w:pPr>
      <w:r>
        <w:rPr>
          <w:spacing w:val="1"/>
          <w:sz w:val="20"/>
          <w:szCs w:val="20"/>
        </w:rPr>
        <w:t>(3)对承建单位现场作业人员的实施能力和设备进行检查。检查重点包括：</w:t>
      </w:r>
    </w:p>
    <w:p w14:paraId="3235CC93">
      <w:pPr>
        <w:pStyle w:val="2"/>
        <w:spacing w:before="53" w:line="219" w:lineRule="auto"/>
        <w:ind w:left="389"/>
        <w:rPr>
          <w:sz w:val="20"/>
          <w:szCs w:val="20"/>
        </w:rPr>
      </w:pPr>
      <w:r>
        <w:rPr>
          <w:sz w:val="20"/>
          <w:szCs w:val="20"/>
        </w:rPr>
        <w:t>●关键施工工艺、新技术、新工艺是否顺利应用并实施；</w:t>
      </w:r>
    </w:p>
    <w:p w14:paraId="22F73384">
      <w:pPr>
        <w:pStyle w:val="2"/>
        <w:spacing w:before="93" w:line="219" w:lineRule="auto"/>
        <w:ind w:left="389"/>
        <w:rPr>
          <w:sz w:val="20"/>
          <w:szCs w:val="20"/>
        </w:rPr>
      </w:pPr>
      <w:r>
        <w:rPr>
          <w:sz w:val="20"/>
          <w:szCs w:val="20"/>
        </w:rPr>
        <w:t>●施工规范和施工技术操作规程是否得到贯彻；</w:t>
      </w:r>
    </w:p>
    <w:p w14:paraId="078BBD08">
      <w:pPr>
        <w:pStyle w:val="2"/>
        <w:spacing w:before="73" w:line="219" w:lineRule="auto"/>
        <w:ind w:left="389"/>
        <w:rPr>
          <w:sz w:val="20"/>
          <w:szCs w:val="20"/>
        </w:rPr>
      </w:pPr>
      <w:r>
        <w:rPr>
          <w:spacing w:val="2"/>
          <w:sz w:val="20"/>
          <w:szCs w:val="20"/>
        </w:rPr>
        <w:t>●安全施工、文明施工的管理要求是否完善、到位。</w:t>
      </w:r>
    </w:p>
    <w:p w14:paraId="3FC16BF8">
      <w:pPr>
        <w:spacing w:line="219" w:lineRule="auto"/>
        <w:rPr>
          <w:sz w:val="20"/>
          <w:szCs w:val="20"/>
        </w:rPr>
        <w:sectPr>
          <w:pgSz w:w="10290" w:h="13330"/>
          <w:pgMar w:top="400" w:right="613" w:bottom="400" w:left="1080" w:header="0" w:footer="0" w:gutter="0"/>
          <w:cols w:space="720" w:num="1"/>
        </w:sectPr>
      </w:pPr>
    </w:p>
    <w:p w14:paraId="7C3FC262">
      <w:pPr>
        <w:pStyle w:val="2"/>
        <w:spacing w:before="58" w:line="219" w:lineRule="auto"/>
        <w:rPr>
          <w:sz w:val="20"/>
          <w:szCs w:val="20"/>
        </w:rPr>
      </w:pPr>
      <w:r>
        <w:rPr>
          <w:rFonts w:ascii="Times New Roman" w:hAnsi="Times New Roman" w:eastAsia="Times New Roman" w:cs="Times New Roman"/>
          <w:spacing w:val="-1"/>
          <w:sz w:val="17"/>
          <w:szCs w:val="17"/>
        </w:rPr>
        <w:t xml:space="preserve">534                 </w:t>
      </w:r>
      <w:r>
        <w:rPr>
          <w:spacing w:val="-1"/>
          <w:sz w:val="20"/>
          <w:szCs w:val="20"/>
        </w:rPr>
        <w:t>信息系统</w:t>
      </w:r>
      <w:r>
        <w:rPr>
          <w:spacing w:val="-2"/>
          <w:sz w:val="20"/>
          <w:szCs w:val="20"/>
        </w:rPr>
        <w:t>监理师教程(第2版)</w:t>
      </w:r>
    </w:p>
    <w:p w14:paraId="5C3459F0">
      <w:pPr>
        <w:spacing w:line="305" w:lineRule="auto"/>
        <w:rPr>
          <w:rFonts w:ascii="Arial"/>
          <w:sz w:val="21"/>
        </w:rPr>
      </w:pPr>
    </w:p>
    <w:p w14:paraId="27802CEF">
      <w:pPr>
        <w:pStyle w:val="2"/>
        <w:spacing w:before="65" w:line="289" w:lineRule="auto"/>
        <w:ind w:left="360" w:right="87" w:firstLine="379"/>
        <w:rPr>
          <w:sz w:val="17"/>
          <w:szCs w:val="17"/>
        </w:rPr>
      </w:pPr>
      <w:r>
        <w:rPr>
          <w:spacing w:val="17"/>
          <w:sz w:val="20"/>
          <w:szCs w:val="20"/>
        </w:rPr>
        <w:t>(4)协助业主单位制定应急预案，建立灾难预警和预告机制，明确灾难恢</w:t>
      </w:r>
      <w:r>
        <w:rPr>
          <w:spacing w:val="16"/>
          <w:sz w:val="20"/>
          <w:szCs w:val="20"/>
        </w:rPr>
        <w:t>复环境必需</w:t>
      </w:r>
      <w:r>
        <w:rPr>
          <w:sz w:val="20"/>
          <w:szCs w:val="20"/>
        </w:rPr>
        <w:t xml:space="preserve"> </w:t>
      </w:r>
      <w:r>
        <w:rPr>
          <w:spacing w:val="19"/>
          <w:sz w:val="20"/>
          <w:szCs w:val="20"/>
        </w:rPr>
        <w:t>的资源和配置，并预制定期进行测试演练的计划，以保证灾难恢复所需资源和配</w:t>
      </w:r>
      <w:r>
        <w:rPr>
          <w:spacing w:val="18"/>
          <w:sz w:val="20"/>
          <w:szCs w:val="20"/>
        </w:rPr>
        <w:t>置的有</w:t>
      </w:r>
      <w:r>
        <w:rPr>
          <w:sz w:val="20"/>
          <w:szCs w:val="20"/>
        </w:rPr>
        <w:t xml:space="preserve"> </w:t>
      </w:r>
      <w:r>
        <w:rPr>
          <w:spacing w:val="-7"/>
          <w:sz w:val="17"/>
          <w:szCs w:val="17"/>
        </w:rPr>
        <w:t>效</w:t>
      </w:r>
      <w:r>
        <w:rPr>
          <w:spacing w:val="-21"/>
          <w:sz w:val="17"/>
          <w:szCs w:val="17"/>
        </w:rPr>
        <w:t xml:space="preserve"> </w:t>
      </w:r>
      <w:r>
        <w:rPr>
          <w:spacing w:val="-7"/>
          <w:sz w:val="17"/>
          <w:szCs w:val="17"/>
        </w:rPr>
        <w:t>性</w:t>
      </w:r>
      <w:r>
        <w:rPr>
          <w:spacing w:val="-30"/>
          <w:sz w:val="17"/>
          <w:szCs w:val="17"/>
        </w:rPr>
        <w:t xml:space="preserve"> </w:t>
      </w:r>
      <w:r>
        <w:rPr>
          <w:spacing w:val="-7"/>
          <w:sz w:val="17"/>
          <w:szCs w:val="17"/>
        </w:rPr>
        <w:t>。</w:t>
      </w:r>
    </w:p>
    <w:p w14:paraId="7416A9F0">
      <w:pPr>
        <w:pStyle w:val="2"/>
        <w:spacing w:before="69" w:line="282" w:lineRule="auto"/>
        <w:ind w:left="360" w:right="81" w:firstLine="379"/>
        <w:rPr>
          <w:sz w:val="17"/>
          <w:szCs w:val="17"/>
        </w:rPr>
      </w:pPr>
      <w:r>
        <w:rPr>
          <w:spacing w:val="9"/>
          <w:sz w:val="20"/>
          <w:szCs w:val="20"/>
        </w:rPr>
        <w:t>(5)定期检查和核对数据中心应急预案的变更情况(例如成</w:t>
      </w:r>
      <w:r>
        <w:rPr>
          <w:spacing w:val="8"/>
          <w:sz w:val="20"/>
          <w:szCs w:val="20"/>
        </w:rPr>
        <w:t>员及联络方式的变更、信息系</w:t>
      </w:r>
      <w:r>
        <w:rPr>
          <w:sz w:val="20"/>
          <w:szCs w:val="20"/>
        </w:rPr>
        <w:t xml:space="preserve"> </w:t>
      </w:r>
      <w:r>
        <w:rPr>
          <w:spacing w:val="8"/>
          <w:sz w:val="20"/>
          <w:szCs w:val="20"/>
        </w:rPr>
        <w:t>统的日常变更等),协助业主单位对应急预案进行及时的文档更新及分发</w:t>
      </w:r>
      <w:r>
        <w:rPr>
          <w:spacing w:val="7"/>
          <w:sz w:val="20"/>
          <w:szCs w:val="20"/>
        </w:rPr>
        <w:t>，确保应急预案切实</w:t>
      </w:r>
      <w:r>
        <w:rPr>
          <w:sz w:val="20"/>
          <w:szCs w:val="20"/>
        </w:rPr>
        <w:t xml:space="preserve"> </w:t>
      </w:r>
      <w:r>
        <w:rPr>
          <w:spacing w:val="-7"/>
          <w:sz w:val="17"/>
          <w:szCs w:val="17"/>
        </w:rPr>
        <w:t>有</w:t>
      </w:r>
      <w:r>
        <w:rPr>
          <w:spacing w:val="-19"/>
          <w:sz w:val="17"/>
          <w:szCs w:val="17"/>
        </w:rPr>
        <w:t xml:space="preserve"> </w:t>
      </w:r>
      <w:r>
        <w:rPr>
          <w:spacing w:val="-7"/>
          <w:sz w:val="17"/>
          <w:szCs w:val="17"/>
        </w:rPr>
        <w:t>效</w:t>
      </w:r>
      <w:r>
        <w:rPr>
          <w:spacing w:val="-32"/>
          <w:sz w:val="17"/>
          <w:szCs w:val="17"/>
        </w:rPr>
        <w:t xml:space="preserve"> </w:t>
      </w:r>
      <w:r>
        <w:rPr>
          <w:spacing w:val="-7"/>
          <w:sz w:val="17"/>
          <w:szCs w:val="17"/>
        </w:rPr>
        <w:t>。</w:t>
      </w:r>
    </w:p>
    <w:p w14:paraId="0411D818">
      <w:pPr>
        <w:pStyle w:val="2"/>
        <w:spacing w:before="86" w:line="219" w:lineRule="auto"/>
        <w:ind w:left="740"/>
        <w:rPr>
          <w:sz w:val="20"/>
          <w:szCs w:val="20"/>
        </w:rPr>
      </w:pPr>
      <w:r>
        <w:rPr>
          <w:spacing w:val="1"/>
          <w:sz w:val="20"/>
          <w:szCs w:val="20"/>
        </w:rPr>
        <w:t>(6)做好对数据中心人员以及相关规章制</w:t>
      </w:r>
      <w:r>
        <w:rPr>
          <w:sz w:val="20"/>
          <w:szCs w:val="20"/>
        </w:rPr>
        <w:t>度的监理检查并记录。检查内容包括：</w:t>
      </w:r>
    </w:p>
    <w:p w14:paraId="0466C19E">
      <w:pPr>
        <w:pStyle w:val="2"/>
        <w:spacing w:before="71" w:line="267" w:lineRule="auto"/>
        <w:ind w:left="1070" w:right="138" w:hanging="330"/>
        <w:rPr>
          <w:sz w:val="20"/>
          <w:szCs w:val="20"/>
        </w:rPr>
      </w:pPr>
      <w:r>
        <w:rPr>
          <w:rFonts w:ascii="楷体" w:hAnsi="楷体" w:eastAsia="楷体" w:cs="楷体"/>
          <w:spacing w:val="2"/>
          <w:sz w:val="20"/>
          <w:szCs w:val="20"/>
        </w:rPr>
        <w:t>●主体项目检查内容：人员的岗位职责、人员的培训记录、规章制度的全面性、规章制度</w:t>
      </w:r>
      <w:r>
        <w:rPr>
          <w:rFonts w:ascii="楷体" w:hAnsi="楷体" w:eastAsia="楷体" w:cs="楷体"/>
          <w:spacing w:val="11"/>
          <w:sz w:val="20"/>
          <w:szCs w:val="20"/>
        </w:rPr>
        <w:t xml:space="preserve"> </w:t>
      </w:r>
      <w:r>
        <w:rPr>
          <w:spacing w:val="-5"/>
          <w:sz w:val="20"/>
          <w:szCs w:val="20"/>
        </w:rPr>
        <w:t>的完整性、规章制度的实时性；</w:t>
      </w:r>
    </w:p>
    <w:p w14:paraId="40BBE54C">
      <w:pPr>
        <w:spacing w:before="89" w:line="223" w:lineRule="auto"/>
        <w:ind w:left="740"/>
        <w:rPr>
          <w:rFonts w:ascii="楷体" w:hAnsi="楷体" w:eastAsia="楷体" w:cs="楷体"/>
          <w:sz w:val="20"/>
          <w:szCs w:val="20"/>
        </w:rPr>
      </w:pPr>
      <w:r>
        <w:rPr>
          <w:rFonts w:ascii="楷体" w:hAnsi="楷体" w:eastAsia="楷体" w:cs="楷体"/>
          <w:spacing w:val="1"/>
          <w:sz w:val="20"/>
          <w:szCs w:val="20"/>
        </w:rPr>
        <w:t>●一般项目检查内容：系统调试、试运行情况。</w:t>
      </w:r>
    </w:p>
    <w:p w14:paraId="52C108C2">
      <w:pPr>
        <w:pStyle w:val="2"/>
        <w:spacing w:before="81" w:line="298" w:lineRule="auto"/>
        <w:ind w:left="360" w:right="88" w:firstLine="379"/>
        <w:jc w:val="both"/>
        <w:rPr>
          <w:sz w:val="17"/>
          <w:szCs w:val="17"/>
        </w:rPr>
      </w:pPr>
      <w:r>
        <w:rPr>
          <w:spacing w:val="8"/>
          <w:sz w:val="20"/>
          <w:szCs w:val="20"/>
        </w:rPr>
        <w:t>检查结果记录：无论是主体项目还是一般项目，对人员及相关制度的检查，</w:t>
      </w:r>
      <w:r>
        <w:rPr>
          <w:spacing w:val="7"/>
          <w:sz w:val="20"/>
          <w:szCs w:val="20"/>
        </w:rPr>
        <w:t>通过“预案</w:t>
      </w:r>
      <w:r>
        <w:rPr>
          <w:sz w:val="20"/>
          <w:szCs w:val="20"/>
        </w:rPr>
        <w:t xml:space="preserve"> </w:t>
      </w:r>
      <w:r>
        <w:rPr>
          <w:spacing w:val="8"/>
          <w:sz w:val="20"/>
          <w:szCs w:val="20"/>
        </w:rPr>
        <w:t>应急响应”方式实施核查比较切实可行。例如，人员的岗位职责，不应仅仅查看是否在数据</w:t>
      </w:r>
      <w:r>
        <w:rPr>
          <w:sz w:val="20"/>
          <w:szCs w:val="20"/>
        </w:rPr>
        <w:t xml:space="preserve"> </w:t>
      </w:r>
      <w:r>
        <w:rPr>
          <w:spacing w:val="8"/>
          <w:sz w:val="20"/>
          <w:szCs w:val="20"/>
        </w:rPr>
        <w:t>中心机房、工作间等处张贴了岗位职责告示，还应用设定预案捡取某种事故，实际</w:t>
      </w:r>
      <w:r>
        <w:rPr>
          <w:spacing w:val="7"/>
          <w:sz w:val="20"/>
          <w:szCs w:val="20"/>
        </w:rPr>
        <w:t>查看被考</w:t>
      </w:r>
      <w:r>
        <w:rPr>
          <w:sz w:val="20"/>
          <w:szCs w:val="20"/>
        </w:rPr>
        <w:t xml:space="preserve"> </w:t>
      </w:r>
      <w:r>
        <w:rPr>
          <w:spacing w:val="8"/>
          <w:sz w:val="20"/>
          <w:szCs w:val="20"/>
        </w:rPr>
        <w:t>察人员对事故“应急处理”的响应程度，对工作流程的熟悉程度，对贯彻落实制</w:t>
      </w:r>
      <w:r>
        <w:rPr>
          <w:spacing w:val="7"/>
          <w:sz w:val="20"/>
          <w:szCs w:val="20"/>
        </w:rPr>
        <w:t>度的严肃程</w:t>
      </w:r>
      <w:r>
        <w:rPr>
          <w:sz w:val="20"/>
          <w:szCs w:val="20"/>
        </w:rPr>
        <w:t xml:space="preserve"> </w:t>
      </w:r>
      <w:r>
        <w:rPr>
          <w:spacing w:val="-5"/>
          <w:sz w:val="17"/>
          <w:szCs w:val="17"/>
        </w:rPr>
        <w:t>度</w:t>
      </w:r>
      <w:r>
        <w:rPr>
          <w:spacing w:val="-25"/>
          <w:sz w:val="17"/>
          <w:szCs w:val="17"/>
        </w:rPr>
        <w:t xml:space="preserve"> </w:t>
      </w:r>
      <w:r>
        <w:rPr>
          <w:spacing w:val="-5"/>
          <w:sz w:val="17"/>
          <w:szCs w:val="17"/>
        </w:rPr>
        <w:t>等</w:t>
      </w:r>
      <w:r>
        <w:rPr>
          <w:spacing w:val="-32"/>
          <w:sz w:val="17"/>
          <w:szCs w:val="17"/>
        </w:rPr>
        <w:t xml:space="preserve"> </w:t>
      </w:r>
      <w:r>
        <w:rPr>
          <w:spacing w:val="-5"/>
          <w:sz w:val="17"/>
          <w:szCs w:val="17"/>
        </w:rPr>
        <w:t>。</w:t>
      </w:r>
    </w:p>
    <w:p w14:paraId="31EC5A32">
      <w:pPr>
        <w:pStyle w:val="2"/>
        <w:spacing w:before="15" w:line="287" w:lineRule="auto"/>
        <w:ind w:left="360" w:right="86" w:firstLine="379"/>
        <w:jc w:val="both"/>
        <w:rPr>
          <w:sz w:val="20"/>
          <w:szCs w:val="20"/>
        </w:rPr>
      </w:pPr>
      <w:r>
        <w:rPr>
          <w:spacing w:val="-1"/>
          <w:sz w:val="20"/>
          <w:szCs w:val="20"/>
        </w:rPr>
        <w:t>同样，对于规章制度的全面性、完整性和实时性等</w:t>
      </w:r>
      <w:r>
        <w:rPr>
          <w:spacing w:val="-2"/>
          <w:sz w:val="20"/>
          <w:szCs w:val="20"/>
        </w:rPr>
        <w:t>，也都可以利用“预案”模式实施检验、</w:t>
      </w:r>
      <w:r>
        <w:rPr>
          <w:sz w:val="20"/>
          <w:szCs w:val="20"/>
        </w:rPr>
        <w:t xml:space="preserve"> </w:t>
      </w:r>
      <w:r>
        <w:rPr>
          <w:spacing w:val="3"/>
          <w:sz w:val="20"/>
          <w:szCs w:val="20"/>
        </w:rPr>
        <w:t>检查并完成记录。对于一般项目的系统调试、试运行，也建议在这两个过程中，对</w:t>
      </w:r>
      <w:r>
        <w:rPr>
          <w:spacing w:val="2"/>
          <w:sz w:val="20"/>
          <w:szCs w:val="20"/>
        </w:rPr>
        <w:t>有关人员或</w:t>
      </w:r>
      <w:r>
        <w:rPr>
          <w:sz w:val="20"/>
          <w:szCs w:val="20"/>
        </w:rPr>
        <w:t xml:space="preserve"> </w:t>
      </w:r>
      <w:r>
        <w:rPr>
          <w:spacing w:val="-3"/>
          <w:sz w:val="20"/>
          <w:szCs w:val="20"/>
        </w:rPr>
        <w:t>制度发挥作用的显效程度予以检查。</w:t>
      </w:r>
    </w:p>
    <w:p w14:paraId="52AB23E1">
      <w:pPr>
        <w:spacing w:before="2" w:line="286" w:lineRule="auto"/>
        <w:ind w:left="360" w:right="115" w:firstLine="282"/>
        <w:rPr>
          <w:rFonts w:ascii="楷体" w:hAnsi="楷体" w:eastAsia="楷体" w:cs="楷体"/>
          <w:sz w:val="20"/>
          <w:szCs w:val="20"/>
        </w:rPr>
      </w:pPr>
      <w:r>
        <w:rPr>
          <w:rFonts w:ascii="黑体" w:hAnsi="黑体" w:eastAsia="黑体" w:cs="黑体"/>
          <w:b/>
          <w:bCs/>
          <w:spacing w:val="3"/>
          <w:sz w:val="20"/>
          <w:szCs w:val="20"/>
        </w:rPr>
        <w:t>【案例2】</w:t>
      </w:r>
      <w:r>
        <w:rPr>
          <w:rFonts w:ascii="楷体" w:hAnsi="楷体" w:eastAsia="楷体" w:cs="楷体"/>
          <w:spacing w:val="3"/>
          <w:sz w:val="20"/>
          <w:szCs w:val="20"/>
        </w:rPr>
        <w:t>某工程数据中心建设项目，对涉</w:t>
      </w:r>
      <w:r>
        <w:rPr>
          <w:rFonts w:ascii="楷体" w:hAnsi="楷体" w:eastAsia="楷体" w:cs="楷体"/>
          <w:spacing w:val="2"/>
          <w:sz w:val="20"/>
          <w:szCs w:val="20"/>
        </w:rPr>
        <w:t>及计算机机房等信息系统软硬件的购买、到货验</w:t>
      </w:r>
      <w:r>
        <w:rPr>
          <w:rFonts w:ascii="楷体" w:hAnsi="楷体" w:eastAsia="楷体" w:cs="楷体"/>
          <w:sz w:val="20"/>
          <w:szCs w:val="20"/>
        </w:rPr>
        <w:t xml:space="preserve"> </w:t>
      </w:r>
      <w:r>
        <w:rPr>
          <w:rFonts w:ascii="楷体" w:hAnsi="楷体" w:eastAsia="楷体" w:cs="楷体"/>
          <w:spacing w:val="-3"/>
          <w:sz w:val="20"/>
          <w:szCs w:val="20"/>
        </w:rPr>
        <w:t>收等采购工作提出技术规格需求要求，摘要如下：</w:t>
      </w:r>
    </w:p>
    <w:p w14:paraId="02AFD87E">
      <w:pPr>
        <w:spacing w:before="10" w:line="286" w:lineRule="auto"/>
        <w:ind w:left="360" w:right="82" w:firstLine="379"/>
        <w:rPr>
          <w:rFonts w:ascii="楷体" w:hAnsi="楷体" w:eastAsia="楷体" w:cs="楷体"/>
          <w:sz w:val="20"/>
          <w:szCs w:val="20"/>
        </w:rPr>
      </w:pPr>
      <w:r>
        <w:rPr>
          <w:rFonts w:ascii="楷体" w:hAnsi="楷体" w:eastAsia="楷体" w:cs="楷体"/>
          <w:spacing w:val="6"/>
          <w:sz w:val="20"/>
          <w:szCs w:val="20"/>
        </w:rPr>
        <w:t xml:space="preserve">(1)按招标文件中的采购要求，对全部设备、材料的型号、规格、数量、外形、外观、包 </w:t>
      </w:r>
      <w:r>
        <w:rPr>
          <w:rFonts w:ascii="楷体" w:hAnsi="楷体" w:eastAsia="楷体" w:cs="楷体"/>
          <w:spacing w:val="-2"/>
          <w:sz w:val="20"/>
          <w:szCs w:val="20"/>
        </w:rPr>
        <w:t>装及资料、文件等进行验收，必须满足招标文件要求。</w:t>
      </w:r>
    </w:p>
    <w:p w14:paraId="2F618C85">
      <w:pPr>
        <w:spacing w:before="39" w:line="220" w:lineRule="auto"/>
        <w:ind w:left="740"/>
        <w:rPr>
          <w:rFonts w:ascii="楷体" w:hAnsi="楷体" w:eastAsia="楷体" w:cs="楷体"/>
          <w:sz w:val="20"/>
          <w:szCs w:val="20"/>
        </w:rPr>
      </w:pPr>
      <w:r>
        <w:rPr>
          <w:rFonts w:ascii="楷体" w:hAnsi="楷体" w:eastAsia="楷体" w:cs="楷体"/>
          <w:spacing w:val="-2"/>
          <w:sz w:val="20"/>
          <w:szCs w:val="20"/>
        </w:rPr>
        <w:t>其中，对中标人所提供货物应包含的资料提出明确要求，具体如下：</w:t>
      </w:r>
    </w:p>
    <w:p w14:paraId="02D63827">
      <w:pPr>
        <w:spacing w:before="65" w:line="222" w:lineRule="auto"/>
        <w:ind w:left="740"/>
        <w:rPr>
          <w:rFonts w:ascii="楷体" w:hAnsi="楷体" w:eastAsia="楷体" w:cs="楷体"/>
          <w:sz w:val="20"/>
          <w:szCs w:val="20"/>
        </w:rPr>
      </w:pPr>
      <w:r>
        <w:rPr>
          <w:rFonts w:ascii="楷体" w:hAnsi="楷体" w:eastAsia="楷体" w:cs="楷体"/>
          <w:spacing w:val="1"/>
          <w:sz w:val="20"/>
          <w:szCs w:val="20"/>
        </w:rPr>
        <w:t>●国际品牌的产品需要提供设备在中国设厂的产地证明资料；</w:t>
      </w:r>
    </w:p>
    <w:p w14:paraId="3D190B29">
      <w:pPr>
        <w:spacing w:before="80" w:line="223" w:lineRule="auto"/>
        <w:ind w:left="740"/>
        <w:rPr>
          <w:rFonts w:ascii="楷体" w:hAnsi="楷体" w:eastAsia="楷体" w:cs="楷体"/>
          <w:sz w:val="20"/>
          <w:szCs w:val="20"/>
        </w:rPr>
      </w:pPr>
      <w:r>
        <w:rPr>
          <w:rFonts w:ascii="楷体" w:hAnsi="楷体" w:eastAsia="楷体" w:cs="楷体"/>
          <w:spacing w:val="2"/>
          <w:sz w:val="20"/>
          <w:szCs w:val="20"/>
        </w:rPr>
        <w:t>●生产商对每台设备的标定证明材料；</w:t>
      </w:r>
    </w:p>
    <w:p w14:paraId="754E1703">
      <w:pPr>
        <w:spacing w:before="88" w:line="223" w:lineRule="auto"/>
        <w:ind w:left="740"/>
        <w:rPr>
          <w:rFonts w:ascii="楷体" w:hAnsi="楷体" w:eastAsia="楷体" w:cs="楷体"/>
          <w:sz w:val="20"/>
          <w:szCs w:val="20"/>
        </w:rPr>
      </w:pPr>
      <w:r>
        <w:rPr>
          <w:rFonts w:ascii="楷体" w:hAnsi="楷体" w:eastAsia="楷体" w:cs="楷体"/>
          <w:spacing w:val="2"/>
          <w:sz w:val="20"/>
          <w:szCs w:val="20"/>
        </w:rPr>
        <w:t>●设备到货及装箱清单；</w:t>
      </w:r>
    </w:p>
    <w:p w14:paraId="702FDFEE">
      <w:pPr>
        <w:spacing w:before="99" w:line="223" w:lineRule="auto"/>
        <w:ind w:left="740"/>
        <w:rPr>
          <w:rFonts w:ascii="楷体" w:hAnsi="楷体" w:eastAsia="楷体" w:cs="楷体"/>
          <w:sz w:val="20"/>
          <w:szCs w:val="20"/>
        </w:rPr>
      </w:pPr>
      <w:r>
        <w:rPr>
          <w:rFonts w:ascii="楷体" w:hAnsi="楷体" w:eastAsia="楷体" w:cs="楷体"/>
          <w:spacing w:val="1"/>
          <w:sz w:val="20"/>
          <w:szCs w:val="20"/>
        </w:rPr>
        <w:t>●产品出厂检验合格证、产品质量保证书及</w:t>
      </w:r>
      <w:r>
        <w:rPr>
          <w:rFonts w:ascii="楷体" w:hAnsi="楷体" w:eastAsia="楷体" w:cs="楷体"/>
          <w:sz w:val="20"/>
          <w:szCs w:val="20"/>
        </w:rPr>
        <w:t>设备调试报告；</w:t>
      </w:r>
    </w:p>
    <w:p w14:paraId="0A3C47A7">
      <w:pPr>
        <w:spacing w:before="72" w:line="227" w:lineRule="auto"/>
        <w:ind w:left="740"/>
        <w:rPr>
          <w:rFonts w:ascii="楷体" w:hAnsi="楷体" w:eastAsia="楷体" w:cs="楷体"/>
          <w:sz w:val="20"/>
          <w:szCs w:val="20"/>
        </w:rPr>
      </w:pPr>
      <w:r>
        <w:rPr>
          <w:rFonts w:ascii="楷体" w:hAnsi="楷体" w:eastAsia="楷体" w:cs="楷体"/>
          <w:spacing w:val="6"/>
          <w:sz w:val="20"/>
          <w:szCs w:val="20"/>
        </w:rPr>
        <w:t>●设备保修证明；</w:t>
      </w:r>
    </w:p>
    <w:p w14:paraId="5826FD6D">
      <w:pPr>
        <w:spacing w:before="70" w:line="223" w:lineRule="auto"/>
        <w:ind w:left="740"/>
        <w:rPr>
          <w:rFonts w:ascii="楷体" w:hAnsi="楷体" w:eastAsia="楷体" w:cs="楷体"/>
          <w:sz w:val="20"/>
          <w:szCs w:val="20"/>
        </w:rPr>
      </w:pPr>
      <w:r>
        <w:rPr>
          <w:rFonts w:ascii="楷体" w:hAnsi="楷体" w:eastAsia="楷体" w:cs="楷体"/>
          <w:spacing w:val="2"/>
          <w:sz w:val="20"/>
          <w:szCs w:val="20"/>
        </w:rPr>
        <w:t>●中文版的设备安装、操作和维修保养手册。</w:t>
      </w:r>
    </w:p>
    <w:p w14:paraId="6B1807DE">
      <w:pPr>
        <w:spacing w:before="91" w:line="225" w:lineRule="auto"/>
        <w:ind w:left="740"/>
        <w:rPr>
          <w:rFonts w:ascii="楷体" w:hAnsi="楷体" w:eastAsia="楷体" w:cs="楷体"/>
          <w:sz w:val="20"/>
          <w:szCs w:val="20"/>
        </w:rPr>
      </w:pPr>
      <w:r>
        <w:rPr>
          <w:rFonts w:ascii="楷体" w:hAnsi="楷体" w:eastAsia="楷体" w:cs="楷体"/>
          <w:spacing w:val="2"/>
          <w:sz w:val="20"/>
          <w:szCs w:val="20"/>
        </w:rPr>
        <w:t>(2)中标人提供的各种文件载明的内容必须真实、有效。</w:t>
      </w:r>
    </w:p>
    <w:p w14:paraId="08F61B2F">
      <w:pPr>
        <w:spacing w:before="42" w:line="280" w:lineRule="auto"/>
        <w:ind w:left="360" w:right="39" w:firstLine="379"/>
        <w:rPr>
          <w:rFonts w:ascii="楷体" w:hAnsi="楷体" w:eastAsia="楷体" w:cs="楷体"/>
          <w:sz w:val="17"/>
          <w:szCs w:val="17"/>
        </w:rPr>
      </w:pPr>
      <w:r>
        <w:rPr>
          <w:rFonts w:ascii="楷体" w:hAnsi="楷体" w:eastAsia="楷体" w:cs="楷体"/>
          <w:spacing w:val="2"/>
          <w:sz w:val="20"/>
          <w:szCs w:val="20"/>
        </w:rPr>
        <w:t>(3)拆箱后，中标人应对其全部产品、零件、配件、用户许可证书、资料、介质造册登记，</w:t>
      </w:r>
      <w:r>
        <w:rPr>
          <w:rFonts w:ascii="楷体" w:hAnsi="楷体" w:eastAsia="楷体" w:cs="楷体"/>
          <w:spacing w:val="6"/>
          <w:sz w:val="20"/>
          <w:szCs w:val="20"/>
        </w:rPr>
        <w:t xml:space="preserve"> </w:t>
      </w:r>
      <w:r>
        <w:rPr>
          <w:rFonts w:ascii="楷体" w:hAnsi="楷体" w:eastAsia="楷体" w:cs="楷体"/>
          <w:spacing w:val="2"/>
          <w:sz w:val="20"/>
          <w:szCs w:val="20"/>
        </w:rPr>
        <w:t>并与装箱单对比。如有出入应立即书面记录，由本中标人解决；如影响安装则按合同有关条款</w:t>
      </w:r>
      <w:r>
        <w:rPr>
          <w:rFonts w:ascii="楷体" w:hAnsi="楷体" w:eastAsia="楷体" w:cs="楷体"/>
          <w:spacing w:val="3"/>
          <w:sz w:val="20"/>
          <w:szCs w:val="20"/>
        </w:rPr>
        <w:t xml:space="preserve">  </w:t>
      </w:r>
      <w:r>
        <w:rPr>
          <w:rFonts w:ascii="楷体" w:hAnsi="楷体" w:eastAsia="楷体" w:cs="楷体"/>
          <w:spacing w:val="-5"/>
          <w:sz w:val="17"/>
          <w:szCs w:val="17"/>
        </w:rPr>
        <w:t>处</w:t>
      </w:r>
      <w:r>
        <w:rPr>
          <w:rFonts w:ascii="楷体" w:hAnsi="楷体" w:eastAsia="楷体" w:cs="楷体"/>
          <w:spacing w:val="-26"/>
          <w:sz w:val="17"/>
          <w:szCs w:val="17"/>
        </w:rPr>
        <w:t xml:space="preserve"> </w:t>
      </w:r>
      <w:r>
        <w:rPr>
          <w:rFonts w:ascii="楷体" w:hAnsi="楷体" w:eastAsia="楷体" w:cs="楷体"/>
          <w:spacing w:val="-5"/>
          <w:sz w:val="17"/>
          <w:szCs w:val="17"/>
        </w:rPr>
        <w:t>理</w:t>
      </w:r>
      <w:r>
        <w:rPr>
          <w:rFonts w:ascii="楷体" w:hAnsi="楷体" w:eastAsia="楷体" w:cs="楷体"/>
          <w:spacing w:val="-33"/>
          <w:sz w:val="17"/>
          <w:szCs w:val="17"/>
        </w:rPr>
        <w:t xml:space="preserve"> </w:t>
      </w:r>
      <w:r>
        <w:rPr>
          <w:rFonts w:ascii="楷体" w:hAnsi="楷体" w:eastAsia="楷体" w:cs="楷体"/>
          <w:spacing w:val="-5"/>
          <w:sz w:val="17"/>
          <w:szCs w:val="17"/>
        </w:rPr>
        <w:t>。</w:t>
      </w:r>
    </w:p>
    <w:p w14:paraId="30476E51">
      <w:pPr>
        <w:spacing w:before="74" w:line="220" w:lineRule="auto"/>
        <w:ind w:left="740"/>
        <w:rPr>
          <w:rFonts w:ascii="楷体" w:hAnsi="楷体" w:eastAsia="楷体" w:cs="楷体"/>
          <w:sz w:val="20"/>
          <w:szCs w:val="20"/>
        </w:rPr>
      </w:pPr>
      <w:r>
        <w:rPr>
          <w:rFonts w:ascii="楷体" w:hAnsi="楷体" w:eastAsia="楷体" w:cs="楷体"/>
          <w:spacing w:val="2"/>
          <w:sz w:val="20"/>
          <w:szCs w:val="20"/>
        </w:rPr>
        <w:t>(4)设备通电测试应单台进行，所有设备通电自检正常后，才能相互连接。</w:t>
      </w:r>
    </w:p>
    <w:p w14:paraId="5F2284C7">
      <w:pPr>
        <w:spacing w:before="72" w:line="246" w:lineRule="auto"/>
        <w:ind w:left="360" w:firstLine="379"/>
        <w:rPr>
          <w:rFonts w:ascii="楷体" w:hAnsi="楷体" w:eastAsia="楷体" w:cs="楷体"/>
          <w:sz w:val="20"/>
          <w:szCs w:val="20"/>
        </w:rPr>
      </w:pPr>
      <w:r>
        <w:rPr>
          <w:rFonts w:ascii="楷体" w:hAnsi="楷体" w:eastAsia="楷体" w:cs="楷体"/>
          <w:spacing w:val="8"/>
          <w:sz w:val="20"/>
          <w:szCs w:val="20"/>
        </w:rPr>
        <w:t xml:space="preserve">(5)硬件全部安装完成且连接完毕进行系统测试，应严格按测试计划、内容和方法进行， </w:t>
      </w:r>
      <w:r>
        <w:rPr>
          <w:rFonts w:ascii="楷体" w:hAnsi="楷体" w:eastAsia="楷体" w:cs="楷体"/>
          <w:spacing w:val="-1"/>
          <w:sz w:val="20"/>
          <w:szCs w:val="20"/>
        </w:rPr>
        <w:t>并做好各项测试记录。</w:t>
      </w:r>
    </w:p>
    <w:p w14:paraId="26BCDD1F">
      <w:pPr>
        <w:spacing w:line="246" w:lineRule="auto"/>
        <w:rPr>
          <w:rFonts w:ascii="楷体" w:hAnsi="楷体" w:eastAsia="楷体" w:cs="楷体"/>
          <w:sz w:val="20"/>
          <w:szCs w:val="20"/>
        </w:rPr>
        <w:sectPr>
          <w:pgSz w:w="10300" w:h="13430"/>
          <w:pgMar w:top="400" w:right="1020" w:bottom="400" w:left="509" w:header="0" w:footer="0" w:gutter="0"/>
          <w:cols w:space="720" w:num="1"/>
        </w:sectPr>
      </w:pPr>
    </w:p>
    <w:p w14:paraId="3448B4F3">
      <w:pPr>
        <w:pStyle w:val="2"/>
        <w:spacing w:before="46" w:line="219" w:lineRule="auto"/>
        <w:jc w:val="right"/>
        <w:rPr>
          <w:rFonts w:ascii="Times New Roman" w:hAnsi="Times New Roman" w:eastAsia="Times New Roman" w:cs="Times New Roman"/>
          <w:sz w:val="19"/>
          <w:szCs w:val="19"/>
        </w:rPr>
      </w:pPr>
      <w:r>
        <w:rPr>
          <w:spacing w:val="4"/>
          <w:sz w:val="19"/>
          <w:szCs w:val="19"/>
        </w:rPr>
        <w:t>第23章</w:t>
      </w:r>
      <w:r>
        <w:rPr>
          <w:spacing w:val="41"/>
          <w:sz w:val="19"/>
          <w:szCs w:val="19"/>
        </w:rPr>
        <w:t xml:space="preserve"> </w:t>
      </w:r>
      <w:r>
        <w:rPr>
          <w:spacing w:val="4"/>
          <w:sz w:val="19"/>
          <w:szCs w:val="19"/>
        </w:rPr>
        <w:t xml:space="preserve">数据中心监理      </w:t>
      </w:r>
      <w:r>
        <w:rPr>
          <w:rFonts w:ascii="Times New Roman" w:hAnsi="Times New Roman" w:eastAsia="Times New Roman" w:cs="Times New Roman"/>
          <w:b/>
          <w:bCs/>
          <w:spacing w:val="4"/>
          <w:sz w:val="19"/>
          <w:szCs w:val="19"/>
        </w:rPr>
        <w:t>535</w:t>
      </w:r>
    </w:p>
    <w:p w14:paraId="599EE0C8">
      <w:pPr>
        <w:spacing w:line="324" w:lineRule="auto"/>
        <w:rPr>
          <w:rFonts w:ascii="Arial"/>
          <w:sz w:val="21"/>
        </w:rPr>
      </w:pPr>
    </w:p>
    <w:p w14:paraId="4B88EEBD">
      <w:pPr>
        <w:spacing w:before="62" w:line="258" w:lineRule="auto"/>
        <w:ind w:right="304" w:firstLine="380"/>
        <w:rPr>
          <w:rFonts w:ascii="楷体" w:hAnsi="楷体" w:eastAsia="楷体" w:cs="楷体"/>
          <w:sz w:val="19"/>
          <w:szCs w:val="19"/>
        </w:rPr>
      </w:pPr>
      <w:r>
        <w:rPr>
          <w:rFonts w:ascii="楷体" w:hAnsi="楷体" w:eastAsia="楷体" w:cs="楷体"/>
          <w:spacing w:val="16"/>
          <w:sz w:val="19"/>
          <w:szCs w:val="19"/>
        </w:rPr>
        <w:t>(6)系统测试中如发现设备性能指标或功能不符合招标文件要</w:t>
      </w:r>
      <w:r>
        <w:rPr>
          <w:rFonts w:ascii="楷体" w:hAnsi="楷体" w:eastAsia="楷体" w:cs="楷体"/>
          <w:spacing w:val="15"/>
          <w:sz w:val="19"/>
          <w:szCs w:val="19"/>
        </w:rPr>
        <w:t>求时，将被视为不合格，招</w:t>
      </w:r>
      <w:r>
        <w:rPr>
          <w:rFonts w:ascii="楷体" w:hAnsi="楷体" w:eastAsia="楷体" w:cs="楷体"/>
          <w:sz w:val="19"/>
          <w:szCs w:val="19"/>
        </w:rPr>
        <w:t xml:space="preserve"> </w:t>
      </w:r>
      <w:r>
        <w:rPr>
          <w:rFonts w:ascii="楷体" w:hAnsi="楷体" w:eastAsia="楷体" w:cs="楷体"/>
          <w:spacing w:val="6"/>
          <w:sz w:val="19"/>
          <w:szCs w:val="19"/>
        </w:rPr>
        <w:t>标人有权拒收并要求赔偿。</w:t>
      </w:r>
    </w:p>
    <w:p w14:paraId="10F07A71">
      <w:pPr>
        <w:spacing w:before="78" w:line="220" w:lineRule="auto"/>
        <w:ind w:left="380"/>
        <w:rPr>
          <w:rFonts w:ascii="楷体" w:hAnsi="楷体" w:eastAsia="楷体" w:cs="楷体"/>
          <w:sz w:val="19"/>
          <w:szCs w:val="19"/>
        </w:rPr>
      </w:pPr>
      <w:r>
        <w:rPr>
          <w:rFonts w:ascii="楷体" w:hAnsi="楷体" w:eastAsia="楷体" w:cs="楷体"/>
          <w:spacing w:val="12"/>
          <w:sz w:val="19"/>
          <w:szCs w:val="19"/>
        </w:rPr>
        <w:t>(7)货物经招标人验收合格签字后，并不能免除中标人对货物应承担的责任。</w:t>
      </w:r>
    </w:p>
    <w:p w14:paraId="2DBD845B">
      <w:pPr>
        <w:spacing w:before="83" w:line="220" w:lineRule="auto"/>
        <w:ind w:left="380"/>
        <w:rPr>
          <w:rFonts w:ascii="楷体" w:hAnsi="楷体" w:eastAsia="楷体" w:cs="楷体"/>
          <w:sz w:val="19"/>
          <w:szCs w:val="19"/>
        </w:rPr>
      </w:pPr>
      <w:r>
        <w:rPr>
          <w:rFonts w:ascii="楷体" w:hAnsi="楷体" w:eastAsia="楷体" w:cs="楷体"/>
          <w:spacing w:val="16"/>
          <w:sz w:val="19"/>
          <w:szCs w:val="19"/>
        </w:rPr>
        <w:t>(8)监理单位全程跟踪、参与设备到货、加电测试和集成联调过程，做</w:t>
      </w:r>
      <w:r>
        <w:rPr>
          <w:rFonts w:ascii="楷体" w:hAnsi="楷体" w:eastAsia="楷体" w:cs="楷体"/>
          <w:spacing w:val="15"/>
          <w:sz w:val="19"/>
          <w:szCs w:val="19"/>
        </w:rPr>
        <w:t>好记录，中标人必</w:t>
      </w:r>
    </w:p>
    <w:p w14:paraId="44D7D00E">
      <w:pPr>
        <w:spacing w:before="113" w:line="220" w:lineRule="auto"/>
        <w:rPr>
          <w:rFonts w:ascii="楷体" w:hAnsi="楷体" w:eastAsia="楷体" w:cs="楷体"/>
          <w:sz w:val="19"/>
          <w:szCs w:val="19"/>
        </w:rPr>
      </w:pPr>
      <w:r>
        <w:rPr>
          <w:rFonts w:ascii="楷体" w:hAnsi="楷体" w:eastAsia="楷体" w:cs="楷体"/>
          <w:spacing w:val="9"/>
          <w:sz w:val="19"/>
          <w:szCs w:val="19"/>
        </w:rPr>
        <w:t>须接受监理单位的监督、管理，并配合完成相应</w:t>
      </w:r>
      <w:r>
        <w:rPr>
          <w:rFonts w:ascii="楷体" w:hAnsi="楷体" w:eastAsia="楷体" w:cs="楷体"/>
          <w:spacing w:val="8"/>
          <w:sz w:val="19"/>
          <w:szCs w:val="19"/>
        </w:rPr>
        <w:t>工作。</w:t>
      </w:r>
    </w:p>
    <w:p w14:paraId="0BFE6965">
      <w:pPr>
        <w:spacing w:before="61" w:line="298" w:lineRule="auto"/>
        <w:ind w:right="300" w:firstLine="380"/>
        <w:jc w:val="both"/>
        <w:rPr>
          <w:rFonts w:ascii="楷体" w:hAnsi="楷体" w:eastAsia="楷体" w:cs="楷体"/>
          <w:sz w:val="19"/>
          <w:szCs w:val="19"/>
        </w:rPr>
      </w:pPr>
      <w:r>
        <w:rPr>
          <w:rFonts w:ascii="楷体" w:hAnsi="楷体" w:eastAsia="楷体" w:cs="楷体"/>
          <w:spacing w:val="17"/>
          <w:sz w:val="19"/>
          <w:szCs w:val="19"/>
        </w:rPr>
        <w:t>本案例对数据中心基础设施采购提出明确要求，在一定程度上帮助了监理机构的监理工</w:t>
      </w:r>
      <w:r>
        <w:rPr>
          <w:rFonts w:ascii="楷体" w:hAnsi="楷体" w:eastAsia="楷体" w:cs="楷体"/>
          <w:spacing w:val="12"/>
          <w:sz w:val="19"/>
          <w:szCs w:val="19"/>
        </w:rPr>
        <w:t xml:space="preserve"> </w:t>
      </w:r>
      <w:r>
        <w:rPr>
          <w:rFonts w:ascii="楷体" w:hAnsi="楷体" w:eastAsia="楷体" w:cs="楷体"/>
          <w:spacing w:val="18"/>
          <w:sz w:val="19"/>
          <w:szCs w:val="19"/>
        </w:rPr>
        <w:t>程师充分理解采购需求方面的细节，对数据中心建设所涉及的信息系</w:t>
      </w:r>
      <w:r>
        <w:rPr>
          <w:rFonts w:ascii="楷体" w:hAnsi="楷体" w:eastAsia="楷体" w:cs="楷体"/>
          <w:spacing w:val="17"/>
          <w:sz w:val="19"/>
          <w:szCs w:val="19"/>
        </w:rPr>
        <w:t>统软硬件的监理服务更</w:t>
      </w:r>
      <w:r>
        <w:rPr>
          <w:rFonts w:ascii="楷体" w:hAnsi="楷体" w:eastAsia="楷体" w:cs="楷体"/>
          <w:sz w:val="19"/>
          <w:szCs w:val="19"/>
        </w:rPr>
        <w:t xml:space="preserve"> </w:t>
      </w:r>
      <w:r>
        <w:rPr>
          <w:rFonts w:ascii="楷体" w:hAnsi="楷体" w:eastAsia="楷体" w:cs="楷体"/>
          <w:spacing w:val="24"/>
          <w:sz w:val="19"/>
          <w:szCs w:val="19"/>
        </w:rPr>
        <w:t>加清晰、明确，对于监理机构如何把控关键设</w:t>
      </w:r>
      <w:r>
        <w:rPr>
          <w:rFonts w:ascii="楷体" w:hAnsi="楷体" w:eastAsia="楷体" w:cs="楷体"/>
          <w:spacing w:val="23"/>
          <w:sz w:val="19"/>
          <w:szCs w:val="19"/>
        </w:rPr>
        <w:t>备技术指标、把握监理工作要点，如何对应</w:t>
      </w:r>
      <w:r>
        <w:rPr>
          <w:rFonts w:ascii="楷体" w:hAnsi="楷体" w:eastAsia="楷体" w:cs="楷体"/>
          <w:sz w:val="19"/>
          <w:szCs w:val="19"/>
        </w:rPr>
        <w:t xml:space="preserve"> </w:t>
      </w:r>
      <w:r>
        <w:rPr>
          <w:rFonts w:ascii="楷体" w:hAnsi="楷体" w:eastAsia="楷体" w:cs="楷体"/>
          <w:spacing w:val="23"/>
          <w:sz w:val="19"/>
          <w:szCs w:val="19"/>
        </w:rPr>
        <w:t>地采取必要的监理措施并做好监理记录等起到了非常有价值的指导意义，可在实践中参考</w:t>
      </w:r>
      <w:r>
        <w:rPr>
          <w:rFonts w:ascii="楷体" w:hAnsi="楷体" w:eastAsia="楷体" w:cs="楷体"/>
          <w:spacing w:val="13"/>
          <w:sz w:val="19"/>
          <w:szCs w:val="19"/>
        </w:rPr>
        <w:t xml:space="preserve"> </w:t>
      </w:r>
      <w:r>
        <w:rPr>
          <w:rFonts w:ascii="楷体" w:hAnsi="楷体" w:eastAsia="楷体" w:cs="楷体"/>
          <w:spacing w:val="8"/>
          <w:sz w:val="19"/>
          <w:szCs w:val="19"/>
        </w:rPr>
        <w:t>应用。</w:t>
      </w:r>
    </w:p>
    <w:p w14:paraId="4E3F39A6">
      <w:pPr>
        <w:pStyle w:val="2"/>
        <w:spacing w:before="237" w:line="221" w:lineRule="auto"/>
        <w:ind w:left="2"/>
        <w:rPr>
          <w:sz w:val="25"/>
          <w:szCs w:val="25"/>
        </w:rPr>
      </w:pPr>
      <w:r>
        <w:rPr>
          <w:b/>
          <w:bCs/>
          <w:color w:val="0070E0"/>
          <w:spacing w:val="-19"/>
          <w:sz w:val="25"/>
          <w:szCs w:val="25"/>
        </w:rPr>
        <w:t>23.4.3</w:t>
      </w:r>
      <w:r>
        <w:rPr>
          <w:color w:val="0070E0"/>
          <w:spacing w:val="94"/>
          <w:sz w:val="25"/>
          <w:szCs w:val="25"/>
        </w:rPr>
        <w:t xml:space="preserve"> </w:t>
      </w:r>
      <w:r>
        <w:rPr>
          <w:b/>
          <w:bCs/>
          <w:color w:val="0070E0"/>
          <w:spacing w:val="-19"/>
          <w:sz w:val="25"/>
          <w:szCs w:val="25"/>
        </w:rPr>
        <w:t>监理记录要求</w:t>
      </w:r>
    </w:p>
    <w:p w14:paraId="52B6173B">
      <w:pPr>
        <w:pStyle w:val="2"/>
        <w:spacing w:before="161" w:line="287" w:lineRule="auto"/>
        <w:ind w:right="323" w:firstLine="380"/>
        <w:rPr>
          <w:sz w:val="19"/>
          <w:szCs w:val="19"/>
        </w:rPr>
      </w:pPr>
      <w:r>
        <w:rPr>
          <w:spacing w:val="13"/>
          <w:sz w:val="19"/>
          <w:szCs w:val="19"/>
        </w:rPr>
        <w:t>监理人员开展必要的监理活动时，应做好对应活动的监理记录。实施阶段做好监理记录的</w:t>
      </w:r>
      <w:r>
        <w:rPr>
          <w:spacing w:val="6"/>
          <w:sz w:val="19"/>
          <w:szCs w:val="19"/>
        </w:rPr>
        <w:t xml:space="preserve"> </w:t>
      </w:r>
      <w:r>
        <w:rPr>
          <w:spacing w:val="3"/>
          <w:sz w:val="19"/>
          <w:szCs w:val="19"/>
        </w:rPr>
        <w:t>基本要求如下：</w:t>
      </w:r>
    </w:p>
    <w:p w14:paraId="2312E291">
      <w:pPr>
        <w:pStyle w:val="2"/>
        <w:spacing w:before="50" w:line="255" w:lineRule="auto"/>
        <w:ind w:right="326" w:firstLine="380"/>
        <w:rPr>
          <w:sz w:val="19"/>
          <w:szCs w:val="19"/>
        </w:rPr>
      </w:pPr>
      <w:r>
        <w:rPr>
          <w:spacing w:val="29"/>
          <w:sz w:val="19"/>
          <w:szCs w:val="19"/>
        </w:rPr>
        <w:t>(1)视项目管理和监理工作的具体情况，监理人员所做的监理记录</w:t>
      </w:r>
      <w:r>
        <w:rPr>
          <w:spacing w:val="-33"/>
          <w:sz w:val="19"/>
          <w:szCs w:val="19"/>
        </w:rPr>
        <w:t xml:space="preserve"> </w:t>
      </w:r>
      <w:r>
        <w:rPr>
          <w:spacing w:val="29"/>
          <w:sz w:val="19"/>
          <w:szCs w:val="19"/>
        </w:rPr>
        <w:t>一</w:t>
      </w:r>
      <w:r>
        <w:rPr>
          <w:spacing w:val="-54"/>
          <w:sz w:val="19"/>
          <w:szCs w:val="19"/>
        </w:rPr>
        <w:t xml:space="preserve"> </w:t>
      </w:r>
      <w:r>
        <w:rPr>
          <w:spacing w:val="29"/>
          <w:sz w:val="19"/>
          <w:szCs w:val="19"/>
        </w:rPr>
        <w:t>般应包括如下</w:t>
      </w:r>
      <w:r>
        <w:rPr>
          <w:sz w:val="19"/>
          <w:szCs w:val="19"/>
        </w:rPr>
        <w:t xml:space="preserve"> </w:t>
      </w:r>
      <w:r>
        <w:rPr>
          <w:spacing w:val="-2"/>
          <w:sz w:val="19"/>
          <w:szCs w:val="19"/>
        </w:rPr>
        <w:t>内容：</w:t>
      </w:r>
    </w:p>
    <w:p w14:paraId="0B463831">
      <w:pPr>
        <w:pStyle w:val="2"/>
        <w:spacing w:before="74" w:line="287" w:lineRule="auto"/>
        <w:ind w:left="700" w:right="290" w:hanging="320"/>
        <w:rPr>
          <w:sz w:val="19"/>
          <w:szCs w:val="19"/>
        </w:rPr>
      </w:pPr>
      <w:r>
        <w:rPr>
          <w:spacing w:val="14"/>
          <w:sz w:val="19"/>
          <w:szCs w:val="19"/>
        </w:rPr>
        <w:t>●项目当前情况。记录项目有关监理工作，例</w:t>
      </w:r>
      <w:r>
        <w:rPr>
          <w:spacing w:val="13"/>
          <w:sz w:val="19"/>
          <w:szCs w:val="19"/>
        </w:rPr>
        <w:t>如，当前所处里程碑，项目质量、进度、投</w:t>
      </w:r>
      <w:r>
        <w:rPr>
          <w:sz w:val="19"/>
          <w:szCs w:val="19"/>
        </w:rPr>
        <w:t xml:space="preserve"> </w:t>
      </w:r>
      <w:r>
        <w:rPr>
          <w:spacing w:val="11"/>
          <w:sz w:val="19"/>
          <w:szCs w:val="19"/>
        </w:rPr>
        <w:t>资的控制情况，合同、信息、安全的管理，事务协调等的推进情况，存在的问题，相应</w:t>
      </w:r>
      <w:r>
        <w:rPr>
          <w:sz w:val="19"/>
          <w:szCs w:val="19"/>
        </w:rPr>
        <w:t xml:space="preserve"> </w:t>
      </w:r>
      <w:r>
        <w:rPr>
          <w:spacing w:val="5"/>
          <w:sz w:val="19"/>
          <w:szCs w:val="19"/>
        </w:rPr>
        <w:t>的对策措施、工作安排等。</w:t>
      </w:r>
    </w:p>
    <w:p w14:paraId="2C18E00E">
      <w:pPr>
        <w:pStyle w:val="2"/>
        <w:spacing w:before="105" w:line="260" w:lineRule="auto"/>
        <w:ind w:left="700" w:right="315" w:hanging="320"/>
        <w:rPr>
          <w:sz w:val="19"/>
          <w:szCs w:val="19"/>
        </w:rPr>
      </w:pPr>
      <w:r>
        <w:rPr>
          <w:spacing w:val="13"/>
          <w:sz w:val="19"/>
          <w:szCs w:val="19"/>
        </w:rPr>
        <w:t>●项目巡查情况。据实记录现场巡查情况，针对发现的质量、安全、文明施工等问题提出</w:t>
      </w:r>
      <w:r>
        <w:rPr>
          <w:spacing w:val="14"/>
          <w:sz w:val="19"/>
          <w:szCs w:val="19"/>
        </w:rPr>
        <w:t xml:space="preserve"> </w:t>
      </w:r>
      <w:r>
        <w:rPr>
          <w:spacing w:val="6"/>
          <w:sz w:val="19"/>
          <w:szCs w:val="19"/>
        </w:rPr>
        <w:t>改进措施，并记录其落实情况。</w:t>
      </w:r>
    </w:p>
    <w:p w14:paraId="4ECCCB07">
      <w:pPr>
        <w:pStyle w:val="2"/>
        <w:spacing w:before="94" w:line="219" w:lineRule="auto"/>
        <w:ind w:left="380"/>
        <w:rPr>
          <w:sz w:val="19"/>
          <w:szCs w:val="19"/>
        </w:rPr>
      </w:pPr>
      <w:r>
        <w:rPr>
          <w:spacing w:val="11"/>
          <w:sz w:val="19"/>
          <w:szCs w:val="19"/>
        </w:rPr>
        <w:t>●业主单位交办事宜的落实情况。记录业主单位交办工作的进展、结果等。</w:t>
      </w:r>
    </w:p>
    <w:p w14:paraId="602E295F">
      <w:pPr>
        <w:pStyle w:val="2"/>
        <w:spacing w:before="94" w:line="219" w:lineRule="auto"/>
        <w:ind w:left="380"/>
        <w:rPr>
          <w:sz w:val="19"/>
          <w:szCs w:val="19"/>
        </w:rPr>
      </w:pPr>
      <w:r>
        <w:rPr>
          <w:spacing w:val="11"/>
          <w:sz w:val="19"/>
          <w:szCs w:val="19"/>
        </w:rPr>
        <w:t>●会议情况。据实记录各种与所记录事件有关的会议的重点内容、决议等。</w:t>
      </w:r>
    </w:p>
    <w:p w14:paraId="63BBEEF3">
      <w:pPr>
        <w:pStyle w:val="2"/>
        <w:spacing w:before="105" w:line="219" w:lineRule="auto"/>
        <w:ind w:left="380"/>
        <w:rPr>
          <w:sz w:val="19"/>
          <w:szCs w:val="19"/>
        </w:rPr>
      </w:pPr>
      <w:r>
        <w:rPr>
          <w:spacing w:val="11"/>
          <w:sz w:val="19"/>
          <w:szCs w:val="19"/>
        </w:rPr>
        <w:t>●其他必要的情况。监理人员认为应该记录的与项目管理有关的其他情况。</w:t>
      </w:r>
    </w:p>
    <w:p w14:paraId="49981FD0">
      <w:pPr>
        <w:pStyle w:val="2"/>
        <w:spacing w:before="74" w:line="265" w:lineRule="auto"/>
        <w:ind w:right="330" w:firstLine="380"/>
        <w:rPr>
          <w:sz w:val="19"/>
          <w:szCs w:val="19"/>
        </w:rPr>
      </w:pPr>
      <w:r>
        <w:rPr>
          <w:spacing w:val="15"/>
          <w:sz w:val="19"/>
          <w:szCs w:val="19"/>
        </w:rPr>
        <w:t>(2)监理人员应及时记录，或在事件发生的当日记录。应做到记录内容完整准确、表述条</w:t>
      </w:r>
      <w:r>
        <w:rPr>
          <w:spacing w:val="2"/>
          <w:sz w:val="19"/>
          <w:szCs w:val="19"/>
        </w:rPr>
        <w:t xml:space="preserve"> </w:t>
      </w:r>
      <w:r>
        <w:rPr>
          <w:spacing w:val="9"/>
          <w:sz w:val="19"/>
          <w:szCs w:val="19"/>
        </w:rPr>
        <w:t>理清晰、语言简练达意、表单清楚整齐，手工记录应字迹工整，为</w:t>
      </w:r>
      <w:r>
        <w:rPr>
          <w:spacing w:val="8"/>
          <w:sz w:val="19"/>
          <w:szCs w:val="19"/>
        </w:rPr>
        <w:t>档案管理做好准备。</w:t>
      </w:r>
    </w:p>
    <w:p w14:paraId="37654EB8">
      <w:pPr>
        <w:pStyle w:val="2"/>
        <w:spacing w:before="65" w:line="270" w:lineRule="auto"/>
        <w:ind w:right="283" w:firstLine="380"/>
        <w:rPr>
          <w:sz w:val="19"/>
          <w:szCs w:val="19"/>
        </w:rPr>
      </w:pPr>
      <w:r>
        <w:rPr>
          <w:spacing w:val="16"/>
          <w:sz w:val="19"/>
          <w:szCs w:val="19"/>
        </w:rPr>
        <w:t>(3)监理记录应定期归档。监理人员如有变动，监理机构应及时办理内部或阶段性移交，</w:t>
      </w:r>
      <w:r>
        <w:rPr>
          <w:spacing w:val="8"/>
          <w:sz w:val="19"/>
          <w:szCs w:val="19"/>
        </w:rPr>
        <w:t xml:space="preserve"> </w:t>
      </w:r>
      <w:r>
        <w:rPr>
          <w:spacing w:val="1"/>
          <w:sz w:val="19"/>
          <w:szCs w:val="19"/>
        </w:rPr>
        <w:t>并做好移交手续。</w:t>
      </w:r>
    </w:p>
    <w:p w14:paraId="31BB27CE">
      <w:pPr>
        <w:pStyle w:val="2"/>
        <w:spacing w:before="244" w:line="220" w:lineRule="auto"/>
        <w:ind w:left="2"/>
        <w:rPr>
          <w:sz w:val="25"/>
          <w:szCs w:val="25"/>
        </w:rPr>
      </w:pPr>
      <w:r>
        <w:rPr>
          <w:b/>
          <w:bCs/>
          <w:color w:val="006EDD"/>
          <w:spacing w:val="-19"/>
          <w:sz w:val="25"/>
          <w:szCs w:val="25"/>
        </w:rPr>
        <w:t>23.4.4</w:t>
      </w:r>
      <w:r>
        <w:rPr>
          <w:color w:val="006EDD"/>
          <w:spacing w:val="130"/>
          <w:sz w:val="25"/>
          <w:szCs w:val="25"/>
        </w:rPr>
        <w:t xml:space="preserve"> </w:t>
      </w:r>
      <w:r>
        <w:rPr>
          <w:b/>
          <w:bCs/>
          <w:color w:val="006EDD"/>
          <w:spacing w:val="-19"/>
          <w:sz w:val="25"/>
          <w:szCs w:val="25"/>
        </w:rPr>
        <w:t>监理流程</w:t>
      </w:r>
    </w:p>
    <w:p w14:paraId="081B11ED">
      <w:pPr>
        <w:pStyle w:val="2"/>
        <w:spacing w:before="163" w:line="219" w:lineRule="auto"/>
        <w:ind w:left="380"/>
        <w:rPr>
          <w:sz w:val="19"/>
          <w:szCs w:val="19"/>
        </w:rPr>
      </w:pPr>
      <w:r>
        <w:rPr>
          <w:spacing w:val="10"/>
          <w:sz w:val="19"/>
          <w:szCs w:val="19"/>
        </w:rPr>
        <w:t>数据中心工程实施阶段监理流程如图23-3所示。</w:t>
      </w:r>
    </w:p>
    <w:p w14:paraId="7EA8999B">
      <w:pPr>
        <w:spacing w:line="219" w:lineRule="auto"/>
        <w:rPr>
          <w:sz w:val="19"/>
          <w:szCs w:val="19"/>
        </w:rPr>
        <w:sectPr>
          <w:pgSz w:w="10290" w:h="13290"/>
          <w:pgMar w:top="400" w:right="571" w:bottom="400" w:left="1090" w:header="0" w:footer="0" w:gutter="0"/>
          <w:cols w:space="720" w:num="1"/>
        </w:sectPr>
      </w:pPr>
    </w:p>
    <w:p w14:paraId="77D8B872">
      <w:pPr>
        <w:pStyle w:val="2"/>
        <w:rPr>
          <w:sz w:val="17"/>
          <w:szCs w:val="17"/>
        </w:rPr>
      </w:pPr>
      <w:r>
        <w:rPr>
          <w:rFonts w:ascii="Times New Roman" w:hAnsi="Times New Roman" w:eastAsia="Times New Roman" w:cs="Times New Roman"/>
          <w:spacing w:val="16"/>
          <w:position w:val="-4"/>
          <w:sz w:val="17"/>
          <w:szCs w:val="17"/>
        </w:rPr>
        <w:t>536</w:t>
      </w:r>
      <w:r>
        <w:rPr>
          <w:rFonts w:ascii="Times New Roman" w:hAnsi="Times New Roman" w:eastAsia="Times New Roman" w:cs="Times New Roman"/>
          <w:spacing w:val="2"/>
          <w:position w:val="-4"/>
          <w:sz w:val="17"/>
          <w:szCs w:val="17"/>
        </w:rPr>
        <w:t xml:space="preserve">   </w:t>
      </w:r>
      <w:r>
        <w:rPr>
          <w:position w:val="-10"/>
          <w:sz w:val="17"/>
          <w:szCs w:val="17"/>
        </w:rPr>
        <w:drawing>
          <wp:inline distT="0" distB="0" distL="0" distR="0">
            <wp:extent cx="285115" cy="247650"/>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342"/>
                    <a:stretch>
                      <a:fillRect/>
                    </a:stretch>
                  </pic:blipFill>
                  <pic:spPr>
                    <a:xfrm>
                      <a:off x="0" y="0"/>
                      <a:ext cx="285719" cy="247652"/>
                    </a:xfrm>
                    <a:prstGeom prst="rect">
                      <a:avLst/>
                    </a:prstGeom>
                  </pic:spPr>
                </pic:pic>
              </a:graphicData>
            </a:graphic>
          </wp:inline>
        </w:drawing>
      </w:r>
      <w:r>
        <w:rPr>
          <w:spacing w:val="16"/>
          <w:sz w:val="17"/>
          <w:szCs w:val="17"/>
        </w:rPr>
        <w:t>信息系统监理师教程(第2版)</w:t>
      </w:r>
    </w:p>
    <w:p w14:paraId="06A0ECE6">
      <w:pPr>
        <w:spacing w:line="288" w:lineRule="auto"/>
        <w:rPr>
          <w:rFonts w:ascii="Arial"/>
          <w:sz w:val="21"/>
        </w:rPr>
      </w:pPr>
    </w:p>
    <w:p w14:paraId="69C0F021">
      <w:pPr>
        <w:pStyle w:val="2"/>
        <w:spacing w:line="7970" w:lineRule="exact"/>
        <w:ind w:firstLine="849"/>
      </w:pPr>
      <w:r>
        <w:rPr>
          <w:position w:val="-159"/>
        </w:rPr>
        <w:pict>
          <v:group id="_x0000_s1628" o:spid="_x0000_s1628" o:spt="203" style="height:398.5pt;width:370.55pt;" coordsize="7410,7970">
            <o:lock v:ext="edit"/>
            <v:shape id="_x0000_s1629" o:spid="_x0000_s1629" o:spt="75" type="#_x0000_t75" style="position:absolute;left:0;top:0;height:7970;width:7410;" filled="f" stroked="f" coordsize="21600,21600">
              <v:path/>
              <v:fill on="f" focussize="0,0"/>
              <v:stroke on="f"/>
              <v:imagedata r:id="rId343" o:title=""/>
              <o:lock v:ext="edit" aspectratio="t"/>
            </v:shape>
            <v:shape id="_x0000_s1630" o:spid="_x0000_s1630" o:spt="202" type="#_x0000_t202" style="position:absolute;left:250;top:196;height:7230;width:7027;" filled="f" stroked="f" coordsize="21600,21600">
              <v:path/>
              <v:fill on="f" focussize="0,0"/>
              <v:stroke on="f"/>
              <v:imagedata o:title=""/>
              <o:lock v:ext="edit" aspectratio="f"/>
              <v:textbox inset="0mm,0mm,0mm,0mm">
                <w:txbxContent>
                  <w:p w14:paraId="552660F7">
                    <w:pPr>
                      <w:spacing w:line="20" w:lineRule="exact"/>
                    </w:pPr>
                  </w:p>
                  <w:tbl>
                    <w:tblPr>
                      <w:tblStyle w:val="5"/>
                      <w:tblW w:w="6937" w:type="dxa"/>
                      <w:tblInd w:w="69" w:type="dxa"/>
                      <w:tblLayout w:type="fixed"/>
                      <w:tblCellMar>
                        <w:top w:w="0" w:type="dxa"/>
                        <w:left w:w="0" w:type="dxa"/>
                        <w:bottom w:w="0" w:type="dxa"/>
                        <w:right w:w="0" w:type="dxa"/>
                      </w:tblCellMar>
                    </w:tblPr>
                    <w:tblGrid>
                      <w:gridCol w:w="1187"/>
                      <w:gridCol w:w="1408"/>
                      <w:gridCol w:w="1701"/>
                      <w:gridCol w:w="1309"/>
                      <w:gridCol w:w="1332"/>
                    </w:tblGrid>
                    <w:tr w14:paraId="2584DA36">
                      <w:tblPrEx>
                        <w:tblCellMar>
                          <w:top w:w="0" w:type="dxa"/>
                          <w:left w:w="0" w:type="dxa"/>
                          <w:bottom w:w="0" w:type="dxa"/>
                          <w:right w:w="0" w:type="dxa"/>
                        </w:tblCellMar>
                      </w:tblPrEx>
                      <w:trPr>
                        <w:trHeight w:val="5336" w:hRule="atLeast"/>
                      </w:trPr>
                      <w:tc>
                        <w:tcPr>
                          <w:tcW w:w="1187" w:type="dxa"/>
                          <w:vAlign w:val="top"/>
                        </w:tcPr>
                        <w:p w14:paraId="60D52D61">
                          <w:pPr>
                            <w:spacing w:before="30" w:line="219" w:lineRule="auto"/>
                            <w:ind w:left="289"/>
                            <w:rPr>
                              <w:rFonts w:ascii="宋体" w:hAnsi="宋体" w:eastAsia="宋体" w:cs="宋体"/>
                              <w:sz w:val="17"/>
                              <w:szCs w:val="17"/>
                            </w:rPr>
                          </w:pPr>
                          <w:r>
                            <w:rPr>
                              <w:rFonts w:ascii="宋体" w:hAnsi="宋体" w:eastAsia="宋体" w:cs="宋体"/>
                              <w:spacing w:val="8"/>
                              <w:sz w:val="17"/>
                              <w:szCs w:val="17"/>
                            </w:rPr>
                            <w:t>输入</w:t>
                          </w:r>
                        </w:p>
                        <w:p w14:paraId="486255FF">
                          <w:pPr>
                            <w:spacing w:line="299" w:lineRule="auto"/>
                            <w:rPr>
                              <w:rFonts w:ascii="Arial"/>
                              <w:sz w:val="21"/>
                            </w:rPr>
                          </w:pPr>
                        </w:p>
                        <w:p w14:paraId="76151103">
                          <w:pPr>
                            <w:spacing w:before="56" w:line="219" w:lineRule="auto"/>
                            <w:ind w:left="140"/>
                            <w:rPr>
                              <w:rFonts w:ascii="宋体" w:hAnsi="宋体" w:eastAsia="宋体" w:cs="宋体"/>
                              <w:sz w:val="17"/>
                              <w:szCs w:val="17"/>
                            </w:rPr>
                          </w:pPr>
                          <w:r>
                            <w:rPr>
                              <w:rFonts w:ascii="宋体" w:hAnsi="宋体" w:eastAsia="宋体" w:cs="宋体"/>
                              <w:spacing w:val="-3"/>
                              <w:sz w:val="17"/>
                              <w:szCs w:val="17"/>
                            </w:rPr>
                            <w:t>到货方案</w:t>
                          </w:r>
                        </w:p>
                        <w:p w14:paraId="33725C1A">
                          <w:pPr>
                            <w:spacing w:line="259" w:lineRule="auto"/>
                            <w:rPr>
                              <w:rFonts w:ascii="Arial"/>
                              <w:sz w:val="21"/>
                            </w:rPr>
                          </w:pPr>
                        </w:p>
                        <w:p w14:paraId="60F9B893">
                          <w:pPr>
                            <w:spacing w:line="260" w:lineRule="auto"/>
                            <w:rPr>
                              <w:rFonts w:ascii="Arial"/>
                              <w:sz w:val="21"/>
                            </w:rPr>
                          </w:pPr>
                        </w:p>
                        <w:p w14:paraId="187A3161">
                          <w:pPr>
                            <w:spacing w:line="260" w:lineRule="auto"/>
                            <w:rPr>
                              <w:rFonts w:ascii="Arial"/>
                              <w:sz w:val="21"/>
                            </w:rPr>
                          </w:pPr>
                        </w:p>
                        <w:p w14:paraId="598EA72F">
                          <w:pPr>
                            <w:spacing w:before="55" w:line="232" w:lineRule="auto"/>
                            <w:ind w:left="79" w:right="263"/>
                            <w:jc w:val="both"/>
                            <w:rPr>
                              <w:rFonts w:ascii="宋体" w:hAnsi="宋体" w:eastAsia="宋体" w:cs="宋体"/>
                              <w:sz w:val="17"/>
                              <w:szCs w:val="17"/>
                            </w:rPr>
                          </w:pPr>
                          <w:r>
                            <w:rPr>
                              <w:rFonts w:ascii="宋体" w:hAnsi="宋体" w:eastAsia="宋体" w:cs="宋体"/>
                              <w:spacing w:val="-2"/>
                              <w:sz w:val="17"/>
                              <w:szCs w:val="17"/>
                            </w:rPr>
                            <w:t>计算机系统</w:t>
                          </w:r>
                          <w:r>
                            <w:rPr>
                              <w:rFonts w:ascii="宋体" w:hAnsi="宋体" w:eastAsia="宋体" w:cs="宋体"/>
                              <w:spacing w:val="2"/>
                              <w:sz w:val="17"/>
                              <w:szCs w:val="17"/>
                            </w:rPr>
                            <w:t xml:space="preserve"> </w:t>
                          </w:r>
                          <w:r>
                            <w:rPr>
                              <w:rFonts w:ascii="宋体" w:hAnsi="宋体" w:eastAsia="宋体" w:cs="宋体"/>
                              <w:spacing w:val="-2"/>
                              <w:sz w:val="17"/>
                              <w:szCs w:val="17"/>
                            </w:rPr>
                            <w:t>软硬件报验</w:t>
                          </w:r>
                          <w:r>
                            <w:rPr>
                              <w:rFonts w:ascii="宋体" w:hAnsi="宋体" w:eastAsia="宋体" w:cs="宋体"/>
                              <w:sz w:val="17"/>
                              <w:szCs w:val="17"/>
                            </w:rPr>
                            <w:t xml:space="preserve"> </w:t>
                          </w:r>
                          <w:r>
                            <w:rPr>
                              <w:rFonts w:ascii="宋体" w:hAnsi="宋体" w:eastAsia="宋体" w:cs="宋体"/>
                              <w:spacing w:val="-2"/>
                              <w:sz w:val="17"/>
                              <w:szCs w:val="17"/>
                            </w:rPr>
                            <w:t>单、安装配</w:t>
                          </w:r>
                          <w:r>
                            <w:rPr>
                              <w:rFonts w:ascii="宋体" w:hAnsi="宋体" w:eastAsia="宋体" w:cs="宋体"/>
                              <w:spacing w:val="1"/>
                              <w:sz w:val="17"/>
                              <w:szCs w:val="17"/>
                            </w:rPr>
                            <w:t xml:space="preserve"> </w:t>
                          </w:r>
                          <w:r>
                            <w:rPr>
                              <w:rFonts w:ascii="宋体" w:hAnsi="宋体" w:eastAsia="宋体" w:cs="宋体"/>
                              <w:spacing w:val="7"/>
                              <w:sz w:val="17"/>
                              <w:szCs w:val="17"/>
                            </w:rPr>
                            <w:t>置计划</w:t>
                          </w:r>
                        </w:p>
                        <w:p w14:paraId="7ABF3739">
                          <w:pPr>
                            <w:spacing w:line="258" w:lineRule="auto"/>
                            <w:rPr>
                              <w:rFonts w:ascii="Arial"/>
                              <w:sz w:val="21"/>
                            </w:rPr>
                          </w:pPr>
                        </w:p>
                        <w:p w14:paraId="55FAB829">
                          <w:pPr>
                            <w:spacing w:before="55" w:line="228" w:lineRule="auto"/>
                            <w:ind w:right="171"/>
                            <w:rPr>
                              <w:rFonts w:ascii="宋体" w:hAnsi="宋体" w:eastAsia="宋体" w:cs="宋体"/>
                              <w:sz w:val="17"/>
                              <w:szCs w:val="17"/>
                            </w:rPr>
                          </w:pPr>
                          <w:r>
                            <w:rPr>
                              <w:rFonts w:ascii="宋体" w:hAnsi="宋体" w:eastAsia="宋体" w:cs="宋体"/>
                              <w:spacing w:val="-1"/>
                              <w:sz w:val="17"/>
                              <w:szCs w:val="17"/>
                            </w:rPr>
                            <w:t>到货验收单、</w:t>
                          </w:r>
                          <w:r>
                            <w:rPr>
                              <w:rFonts w:ascii="宋体" w:hAnsi="宋体" w:eastAsia="宋体" w:cs="宋体"/>
                              <w:sz w:val="17"/>
                              <w:szCs w:val="17"/>
                            </w:rPr>
                            <w:t xml:space="preserve"> </w:t>
                          </w:r>
                          <w:r>
                            <w:rPr>
                              <w:rFonts w:ascii="宋体" w:hAnsi="宋体" w:eastAsia="宋体" w:cs="宋体"/>
                              <w:spacing w:val="-2"/>
                              <w:sz w:val="17"/>
                              <w:szCs w:val="17"/>
                            </w:rPr>
                            <w:t>设备上电自</w:t>
                          </w:r>
                          <w:r>
                            <w:rPr>
                              <w:rFonts w:ascii="宋体" w:hAnsi="宋体" w:eastAsia="宋体" w:cs="宋体"/>
                              <w:sz w:val="17"/>
                              <w:szCs w:val="17"/>
                            </w:rPr>
                            <w:t xml:space="preserve">   </w:t>
                          </w:r>
                          <w:r>
                            <w:rPr>
                              <w:rFonts w:ascii="宋体" w:hAnsi="宋体" w:eastAsia="宋体" w:cs="宋体"/>
                              <w:spacing w:val="10"/>
                              <w:sz w:val="17"/>
                              <w:szCs w:val="17"/>
                            </w:rPr>
                            <w:t>检报告</w:t>
                          </w:r>
                        </w:p>
                        <w:p w14:paraId="0EB17509">
                          <w:pPr>
                            <w:spacing w:line="344" w:lineRule="auto"/>
                            <w:rPr>
                              <w:rFonts w:ascii="Arial"/>
                              <w:sz w:val="21"/>
                            </w:rPr>
                          </w:pPr>
                        </w:p>
                        <w:p w14:paraId="1BC74BC7">
                          <w:pPr>
                            <w:spacing w:before="55" w:line="221" w:lineRule="auto"/>
                            <w:ind w:left="140"/>
                            <w:rPr>
                              <w:rFonts w:ascii="宋体" w:hAnsi="宋体" w:eastAsia="宋体" w:cs="宋体"/>
                              <w:sz w:val="17"/>
                              <w:szCs w:val="17"/>
                            </w:rPr>
                          </w:pPr>
                          <w:r>
                            <w:rPr>
                              <w:rFonts w:ascii="宋体" w:hAnsi="宋体" w:eastAsia="宋体" w:cs="宋体"/>
                              <w:spacing w:val="-2"/>
                              <w:sz w:val="17"/>
                              <w:szCs w:val="17"/>
                            </w:rPr>
                            <w:t>测试计划</w:t>
                          </w:r>
                        </w:p>
                        <w:p w14:paraId="7EB9432F">
                          <w:pPr>
                            <w:spacing w:line="248" w:lineRule="auto"/>
                            <w:rPr>
                              <w:rFonts w:ascii="Arial"/>
                              <w:sz w:val="21"/>
                            </w:rPr>
                          </w:pPr>
                        </w:p>
                        <w:p w14:paraId="69C6C7A7">
                          <w:pPr>
                            <w:spacing w:line="248" w:lineRule="auto"/>
                            <w:rPr>
                              <w:rFonts w:ascii="Arial"/>
                              <w:sz w:val="21"/>
                            </w:rPr>
                          </w:pPr>
                        </w:p>
                        <w:p w14:paraId="441F95C2">
                          <w:pPr>
                            <w:spacing w:line="248" w:lineRule="auto"/>
                            <w:rPr>
                              <w:rFonts w:ascii="Arial"/>
                              <w:sz w:val="21"/>
                            </w:rPr>
                          </w:pPr>
                        </w:p>
                        <w:p w14:paraId="6B57AE12">
                          <w:pPr>
                            <w:spacing w:line="248" w:lineRule="auto"/>
                            <w:rPr>
                              <w:rFonts w:ascii="Arial"/>
                              <w:sz w:val="21"/>
                            </w:rPr>
                          </w:pPr>
                        </w:p>
                        <w:p w14:paraId="5490ECA3">
                          <w:pPr>
                            <w:spacing w:before="55" w:line="218" w:lineRule="auto"/>
                            <w:ind w:left="140"/>
                            <w:rPr>
                              <w:rFonts w:ascii="宋体" w:hAnsi="宋体" w:eastAsia="宋体" w:cs="宋体"/>
                              <w:sz w:val="17"/>
                              <w:szCs w:val="17"/>
                            </w:rPr>
                          </w:pPr>
                          <w:r>
                            <w:rPr>
                              <w:rFonts w:ascii="宋体" w:hAnsi="宋体" w:eastAsia="宋体" w:cs="宋体"/>
                              <w:spacing w:val="-2"/>
                              <w:sz w:val="17"/>
                              <w:szCs w:val="17"/>
                            </w:rPr>
                            <w:t>测试报告</w:t>
                          </w:r>
                        </w:p>
                      </w:tc>
                      <w:tc>
                        <w:tcPr>
                          <w:tcW w:w="1408" w:type="dxa"/>
                          <w:vAlign w:val="top"/>
                        </w:tcPr>
                        <w:p w14:paraId="67DD9096">
                          <w:pPr>
                            <w:spacing w:line="219" w:lineRule="auto"/>
                            <w:ind w:left="482"/>
                            <w:rPr>
                              <w:rFonts w:ascii="宋体" w:hAnsi="宋体" w:eastAsia="宋体" w:cs="宋体"/>
                              <w:sz w:val="17"/>
                              <w:szCs w:val="17"/>
                            </w:rPr>
                          </w:pPr>
                          <w:r>
                            <w:rPr>
                              <w:rFonts w:ascii="宋体" w:hAnsi="宋体" w:eastAsia="宋体" w:cs="宋体"/>
                              <w:spacing w:val="-2"/>
                              <w:sz w:val="17"/>
                              <w:szCs w:val="17"/>
                            </w:rPr>
                            <w:t>承建单位</w:t>
                          </w:r>
                        </w:p>
                        <w:p w14:paraId="2E75BEAC">
                          <w:pPr>
                            <w:spacing w:line="389" w:lineRule="auto"/>
                            <w:rPr>
                              <w:rFonts w:ascii="Arial"/>
                              <w:sz w:val="21"/>
                            </w:rPr>
                          </w:pPr>
                        </w:p>
                        <w:p w14:paraId="51151B8B">
                          <w:pPr>
                            <w:spacing w:before="55" w:line="219" w:lineRule="auto"/>
                            <w:ind w:left="172"/>
                            <w:rPr>
                              <w:rFonts w:ascii="宋体" w:hAnsi="宋体" w:eastAsia="宋体" w:cs="宋体"/>
                              <w:sz w:val="17"/>
                              <w:szCs w:val="17"/>
                            </w:rPr>
                          </w:pPr>
                          <w:r>
                            <w:rPr>
                              <w:rFonts w:ascii="宋体" w:hAnsi="宋体" w:eastAsia="宋体" w:cs="宋体"/>
                              <w:spacing w:val="3"/>
                              <w:sz w:val="17"/>
                              <w:szCs w:val="17"/>
                            </w:rPr>
                            <w:t>到货计划报</w:t>
                          </w:r>
                          <w:r>
                            <w:rPr>
                              <w:rFonts w:ascii="宋体" w:hAnsi="宋体" w:eastAsia="宋体" w:cs="宋体"/>
                              <w:color w:val="0090D9"/>
                              <w:spacing w:val="3"/>
                              <w:sz w:val="17"/>
                              <w:szCs w:val="17"/>
                            </w:rPr>
                            <w:t>审</w:t>
                          </w:r>
                        </w:p>
                        <w:p w14:paraId="3E8AC06C">
                          <w:pPr>
                            <w:spacing w:line="289" w:lineRule="auto"/>
                            <w:rPr>
                              <w:rFonts w:ascii="Arial"/>
                              <w:sz w:val="21"/>
                            </w:rPr>
                          </w:pPr>
                        </w:p>
                        <w:p w14:paraId="2FFAF48A">
                          <w:pPr>
                            <w:spacing w:line="290" w:lineRule="auto"/>
                            <w:rPr>
                              <w:rFonts w:ascii="Arial"/>
                              <w:sz w:val="21"/>
                            </w:rPr>
                          </w:pPr>
                        </w:p>
                        <w:p w14:paraId="0D0B6C51">
                          <w:pPr>
                            <w:spacing w:line="290" w:lineRule="auto"/>
                            <w:rPr>
                              <w:rFonts w:ascii="Arial"/>
                              <w:sz w:val="21"/>
                            </w:rPr>
                          </w:pPr>
                        </w:p>
                        <w:p w14:paraId="74C4DA25">
                          <w:pPr>
                            <w:spacing w:line="290" w:lineRule="auto"/>
                            <w:rPr>
                              <w:rFonts w:ascii="Arial"/>
                              <w:sz w:val="21"/>
                            </w:rPr>
                          </w:pPr>
                        </w:p>
                        <w:p w14:paraId="21A535C6">
                          <w:pPr>
                            <w:spacing w:before="55" w:line="234" w:lineRule="auto"/>
                            <w:ind w:left="402" w:right="205" w:hanging="100"/>
                            <w:rPr>
                              <w:rFonts w:ascii="宋体" w:hAnsi="宋体" w:eastAsia="宋体" w:cs="宋体"/>
                              <w:sz w:val="17"/>
                              <w:szCs w:val="17"/>
                            </w:rPr>
                          </w:pPr>
                          <w:r>
                            <w:rPr>
                              <w:rFonts w:ascii="宋体" w:hAnsi="宋体" w:eastAsia="宋体" w:cs="宋体"/>
                              <w:spacing w:val="-6"/>
                              <w:sz w:val="17"/>
                              <w:szCs w:val="17"/>
                            </w:rPr>
                            <w:t>到货验收与|</w:t>
                          </w:r>
                          <w:r>
                            <w:rPr>
                              <w:rFonts w:ascii="宋体" w:hAnsi="宋体" w:eastAsia="宋体" w:cs="宋体"/>
                              <w:sz w:val="17"/>
                              <w:szCs w:val="17"/>
                            </w:rPr>
                            <w:t xml:space="preserve"> </w:t>
                          </w:r>
                          <w:r>
                            <w:rPr>
                              <w:rFonts w:ascii="宋体" w:hAnsi="宋体" w:eastAsia="宋体" w:cs="宋体"/>
                              <w:spacing w:val="-2"/>
                              <w:sz w:val="17"/>
                              <w:szCs w:val="17"/>
                            </w:rPr>
                            <w:t>安装调试</w:t>
                          </w:r>
                        </w:p>
                        <w:p w14:paraId="154EA415">
                          <w:pPr>
                            <w:spacing w:line="268" w:lineRule="auto"/>
                            <w:rPr>
                              <w:rFonts w:ascii="Arial"/>
                              <w:sz w:val="21"/>
                            </w:rPr>
                          </w:pPr>
                        </w:p>
                        <w:p w14:paraId="190A3345">
                          <w:pPr>
                            <w:spacing w:line="269" w:lineRule="auto"/>
                            <w:rPr>
                              <w:rFonts w:ascii="Arial"/>
                              <w:sz w:val="21"/>
                            </w:rPr>
                          </w:pPr>
                        </w:p>
                        <w:p w14:paraId="4C88D33E">
                          <w:pPr>
                            <w:spacing w:line="269" w:lineRule="auto"/>
                            <w:rPr>
                              <w:rFonts w:ascii="Arial"/>
                              <w:sz w:val="21"/>
                            </w:rPr>
                          </w:pPr>
                        </w:p>
                        <w:p w14:paraId="6E418CC2">
                          <w:pPr>
                            <w:spacing w:line="269" w:lineRule="auto"/>
                            <w:rPr>
                              <w:rFonts w:ascii="Arial"/>
                              <w:sz w:val="21"/>
                            </w:rPr>
                          </w:pPr>
                        </w:p>
                        <w:p w14:paraId="06FB054F">
                          <w:pPr>
                            <w:spacing w:line="269" w:lineRule="auto"/>
                            <w:rPr>
                              <w:rFonts w:ascii="Arial"/>
                              <w:sz w:val="21"/>
                            </w:rPr>
                          </w:pPr>
                        </w:p>
                        <w:p w14:paraId="558E4392">
                          <w:pPr>
                            <w:spacing w:before="55" w:line="221" w:lineRule="auto"/>
                            <w:ind w:left="402"/>
                            <w:rPr>
                              <w:rFonts w:ascii="宋体" w:hAnsi="宋体" w:eastAsia="宋体" w:cs="宋体"/>
                              <w:sz w:val="17"/>
                              <w:szCs w:val="17"/>
                            </w:rPr>
                          </w:pPr>
                          <w:r>
                            <w:rPr>
                              <w:rFonts w:ascii="宋体" w:hAnsi="宋体" w:eastAsia="宋体" w:cs="宋体"/>
                              <w:spacing w:val="-2"/>
                              <w:sz w:val="17"/>
                              <w:szCs w:val="17"/>
                            </w:rPr>
                            <w:t>系统调试</w:t>
                          </w:r>
                        </w:p>
                      </w:tc>
                      <w:tc>
                        <w:tcPr>
                          <w:tcW w:w="1701" w:type="dxa"/>
                          <w:vAlign w:val="top"/>
                        </w:tcPr>
                        <w:p w14:paraId="4CB14FEF">
                          <w:pPr>
                            <w:spacing w:before="10" w:line="220" w:lineRule="auto"/>
                            <w:ind w:left="614"/>
                            <w:rPr>
                              <w:rFonts w:ascii="宋体" w:hAnsi="宋体" w:eastAsia="宋体" w:cs="宋体"/>
                              <w:sz w:val="17"/>
                              <w:szCs w:val="17"/>
                            </w:rPr>
                          </w:pPr>
                          <w:r>
                            <w:rPr>
                              <w:rFonts w:ascii="宋体" w:hAnsi="宋体" w:eastAsia="宋体" w:cs="宋体"/>
                              <w:spacing w:val="-2"/>
                              <w:sz w:val="17"/>
                              <w:szCs w:val="17"/>
                            </w:rPr>
                            <w:t>监理单位</w:t>
                          </w:r>
                        </w:p>
                        <w:p w14:paraId="4D564E8A">
                          <w:pPr>
                            <w:spacing w:before="289" w:line="222" w:lineRule="auto"/>
                            <w:ind w:left="254"/>
                            <w:rPr>
                              <w:rFonts w:ascii="宋体" w:hAnsi="宋体" w:eastAsia="宋体" w:cs="宋体"/>
                              <w:sz w:val="17"/>
                              <w:szCs w:val="17"/>
                            </w:rPr>
                          </w:pPr>
                          <w:r>
                            <w:rPr>
                              <w:rFonts w:ascii="宋体" w:hAnsi="宋体" w:eastAsia="宋体" w:cs="宋体"/>
                              <w:spacing w:val="-3"/>
                              <w:sz w:val="17"/>
                              <w:szCs w:val="17"/>
                            </w:rPr>
                            <w:t>不通过</w:t>
                          </w:r>
                        </w:p>
                        <w:p w14:paraId="4676AC6D">
                          <w:pPr>
                            <w:spacing w:line="375" w:lineRule="auto"/>
                            <w:rPr>
                              <w:rFonts w:ascii="Arial"/>
                              <w:sz w:val="21"/>
                            </w:rPr>
                          </w:pPr>
                        </w:p>
                        <w:p w14:paraId="110C69FF">
                          <w:pPr>
                            <w:spacing w:before="56" w:line="220" w:lineRule="auto"/>
                            <w:ind w:left="754"/>
                            <w:rPr>
                              <w:rFonts w:ascii="宋体" w:hAnsi="宋体" w:eastAsia="宋体" w:cs="宋体"/>
                              <w:sz w:val="17"/>
                              <w:szCs w:val="17"/>
                            </w:rPr>
                          </w:pPr>
                          <w:r>
                            <w:rPr>
                              <w:rFonts w:ascii="宋体" w:hAnsi="宋体" w:eastAsia="宋体" w:cs="宋体"/>
                              <w:spacing w:val="4"/>
                              <w:sz w:val="17"/>
                              <w:szCs w:val="17"/>
                            </w:rPr>
                            <w:t>审查</w:t>
                          </w:r>
                        </w:p>
                        <w:p w14:paraId="01909F5A">
                          <w:pPr>
                            <w:spacing w:before="232" w:line="227" w:lineRule="auto"/>
                            <w:ind w:left="404"/>
                            <w:rPr>
                              <w:rFonts w:ascii="宋体" w:hAnsi="宋体" w:eastAsia="宋体" w:cs="宋体"/>
                              <w:sz w:val="17"/>
                              <w:szCs w:val="17"/>
                            </w:rPr>
                          </w:pPr>
                          <w:r>
                            <w:rPr>
                              <w:rFonts w:ascii="宋体" w:hAnsi="宋体" w:eastAsia="宋体" w:cs="宋体"/>
                              <w:spacing w:val="8"/>
                              <w:sz w:val="17"/>
                              <w:szCs w:val="17"/>
                            </w:rPr>
                            <w:t>通过</w:t>
                          </w:r>
                        </w:p>
                        <w:p w14:paraId="0613496D">
                          <w:pPr>
                            <w:spacing w:before="287" w:line="222" w:lineRule="auto"/>
                            <w:ind w:left="254"/>
                            <w:rPr>
                              <w:rFonts w:ascii="宋体" w:hAnsi="宋体" w:eastAsia="宋体" w:cs="宋体"/>
                              <w:sz w:val="17"/>
                              <w:szCs w:val="17"/>
                            </w:rPr>
                          </w:pPr>
                          <w:r>
                            <w:rPr>
                              <w:rFonts w:ascii="宋体" w:hAnsi="宋体" w:eastAsia="宋体" w:cs="宋体"/>
                              <w:spacing w:val="-3"/>
                              <w:sz w:val="17"/>
                              <w:szCs w:val="17"/>
                            </w:rPr>
                            <w:t>不通过</w:t>
                          </w:r>
                        </w:p>
                        <w:p w14:paraId="7A713ACA">
                          <w:pPr>
                            <w:spacing w:line="272" w:lineRule="auto"/>
                            <w:rPr>
                              <w:rFonts w:ascii="Arial"/>
                              <w:sz w:val="21"/>
                            </w:rPr>
                          </w:pPr>
                        </w:p>
                        <w:p w14:paraId="655C4F84">
                          <w:pPr>
                            <w:spacing w:line="272" w:lineRule="auto"/>
                            <w:rPr>
                              <w:rFonts w:ascii="Arial"/>
                              <w:sz w:val="21"/>
                            </w:rPr>
                          </w:pPr>
                        </w:p>
                        <w:p w14:paraId="6843A388">
                          <w:pPr>
                            <w:spacing w:before="56" w:line="220" w:lineRule="auto"/>
                            <w:ind w:left="754"/>
                            <w:rPr>
                              <w:rFonts w:ascii="宋体" w:hAnsi="宋体" w:eastAsia="宋体" w:cs="宋体"/>
                              <w:sz w:val="17"/>
                              <w:szCs w:val="17"/>
                            </w:rPr>
                          </w:pPr>
                          <w:r>
                            <w:rPr>
                              <w:rFonts w:ascii="宋体" w:hAnsi="宋体" w:eastAsia="宋体" w:cs="宋体"/>
                              <w:spacing w:val="4"/>
                              <w:sz w:val="17"/>
                              <w:szCs w:val="17"/>
                            </w:rPr>
                            <w:t>审查</w:t>
                          </w:r>
                        </w:p>
                        <w:p w14:paraId="34AB4999">
                          <w:pPr>
                            <w:spacing w:before="233" w:line="227" w:lineRule="auto"/>
                            <w:ind w:left="404"/>
                            <w:rPr>
                              <w:rFonts w:ascii="宋体" w:hAnsi="宋体" w:eastAsia="宋体" w:cs="宋体"/>
                              <w:sz w:val="17"/>
                              <w:szCs w:val="17"/>
                            </w:rPr>
                          </w:pPr>
                          <w:r>
                            <w:rPr>
                              <w:rFonts w:ascii="宋体" w:hAnsi="宋体" w:eastAsia="宋体" w:cs="宋体"/>
                              <w:color w:val="36AFEC"/>
                              <w:spacing w:val="8"/>
                              <w:sz w:val="17"/>
                              <w:szCs w:val="17"/>
                            </w:rPr>
                            <w:t>通过</w:t>
                          </w:r>
                        </w:p>
                        <w:p w14:paraId="090C4C10">
                          <w:pPr>
                            <w:spacing w:before="268" w:line="222" w:lineRule="auto"/>
                            <w:ind w:left="204"/>
                            <w:rPr>
                              <w:rFonts w:ascii="宋体" w:hAnsi="宋体" w:eastAsia="宋体" w:cs="宋体"/>
                              <w:sz w:val="17"/>
                              <w:szCs w:val="17"/>
                            </w:rPr>
                          </w:pPr>
                          <w:r>
                            <w:rPr>
                              <w:rFonts w:ascii="宋体" w:hAnsi="宋体" w:eastAsia="宋体" w:cs="宋体"/>
                              <w:spacing w:val="5"/>
                              <w:sz w:val="17"/>
                              <w:szCs w:val="17"/>
                            </w:rPr>
                            <w:t>不通过</w:t>
                          </w:r>
                        </w:p>
                        <w:p w14:paraId="5C2DD6ED">
                          <w:pPr>
                            <w:spacing w:line="254" w:lineRule="auto"/>
                            <w:rPr>
                              <w:rFonts w:ascii="Arial"/>
                              <w:sz w:val="21"/>
                            </w:rPr>
                          </w:pPr>
                        </w:p>
                        <w:p w14:paraId="3CD02338">
                          <w:pPr>
                            <w:spacing w:line="254" w:lineRule="auto"/>
                            <w:rPr>
                              <w:rFonts w:ascii="Arial"/>
                              <w:sz w:val="21"/>
                            </w:rPr>
                          </w:pPr>
                        </w:p>
                        <w:p w14:paraId="10C28940">
                          <w:pPr>
                            <w:spacing w:line="255" w:lineRule="auto"/>
                            <w:rPr>
                              <w:rFonts w:ascii="Arial"/>
                              <w:sz w:val="21"/>
                            </w:rPr>
                          </w:pPr>
                        </w:p>
                        <w:p w14:paraId="07FFE2AE">
                          <w:pPr>
                            <w:spacing w:before="56" w:line="220" w:lineRule="auto"/>
                            <w:ind w:left="754"/>
                            <w:rPr>
                              <w:rFonts w:ascii="宋体" w:hAnsi="宋体" w:eastAsia="宋体" w:cs="宋体"/>
                              <w:sz w:val="17"/>
                              <w:szCs w:val="17"/>
                            </w:rPr>
                          </w:pPr>
                          <w:r>
                            <w:rPr>
                              <w:rFonts w:ascii="宋体" w:hAnsi="宋体" w:eastAsia="宋体" w:cs="宋体"/>
                              <w:spacing w:val="4"/>
                              <w:sz w:val="17"/>
                              <w:szCs w:val="17"/>
                            </w:rPr>
                            <w:t>审查</w:t>
                          </w:r>
                        </w:p>
                        <w:p w14:paraId="56FA212E">
                          <w:pPr>
                            <w:spacing w:before="143" w:line="174" w:lineRule="auto"/>
                            <w:ind w:left="404"/>
                            <w:rPr>
                              <w:rFonts w:ascii="宋体" w:hAnsi="宋体" w:eastAsia="宋体" w:cs="宋体"/>
                              <w:sz w:val="17"/>
                              <w:szCs w:val="17"/>
                            </w:rPr>
                          </w:pPr>
                          <w:r>
                            <w:rPr>
                              <w:rFonts w:ascii="宋体" w:hAnsi="宋体" w:eastAsia="宋体" w:cs="宋体"/>
                              <w:spacing w:val="8"/>
                              <w:sz w:val="17"/>
                              <w:szCs w:val="17"/>
                            </w:rPr>
                            <w:t>通过</w:t>
                          </w:r>
                        </w:p>
                      </w:tc>
                      <w:tc>
                        <w:tcPr>
                          <w:tcW w:w="1309" w:type="dxa"/>
                          <w:vAlign w:val="top"/>
                        </w:tcPr>
                        <w:p w14:paraId="0A91DBB2">
                          <w:pPr>
                            <w:spacing w:before="10" w:line="220" w:lineRule="auto"/>
                            <w:ind w:left="413"/>
                            <w:rPr>
                              <w:rFonts w:ascii="宋体" w:hAnsi="宋体" w:eastAsia="宋体" w:cs="宋体"/>
                              <w:sz w:val="17"/>
                              <w:szCs w:val="17"/>
                            </w:rPr>
                          </w:pPr>
                          <w:r>
                            <w:rPr>
                              <w:rFonts w:ascii="宋体" w:hAnsi="宋体" w:eastAsia="宋体" w:cs="宋体"/>
                              <w:spacing w:val="-2"/>
                              <w:sz w:val="17"/>
                              <w:szCs w:val="17"/>
                            </w:rPr>
                            <w:t>建设单位</w:t>
                          </w:r>
                        </w:p>
                        <w:p w14:paraId="48F18162">
                          <w:pPr>
                            <w:spacing w:line="248" w:lineRule="auto"/>
                            <w:rPr>
                              <w:rFonts w:ascii="Arial"/>
                              <w:sz w:val="21"/>
                            </w:rPr>
                          </w:pPr>
                        </w:p>
                        <w:p w14:paraId="3C03E10D">
                          <w:pPr>
                            <w:spacing w:line="249" w:lineRule="auto"/>
                            <w:rPr>
                              <w:rFonts w:ascii="Arial"/>
                              <w:sz w:val="21"/>
                            </w:rPr>
                          </w:pPr>
                        </w:p>
                        <w:p w14:paraId="2E9CF388">
                          <w:pPr>
                            <w:spacing w:line="249" w:lineRule="auto"/>
                            <w:rPr>
                              <w:rFonts w:ascii="Arial"/>
                              <w:sz w:val="21"/>
                            </w:rPr>
                          </w:pPr>
                        </w:p>
                        <w:p w14:paraId="261B782A">
                          <w:pPr>
                            <w:spacing w:line="249" w:lineRule="auto"/>
                            <w:rPr>
                              <w:rFonts w:ascii="Arial"/>
                              <w:sz w:val="21"/>
                            </w:rPr>
                          </w:pPr>
                        </w:p>
                        <w:p w14:paraId="76399B03">
                          <w:pPr>
                            <w:spacing w:line="249" w:lineRule="auto"/>
                            <w:rPr>
                              <w:rFonts w:ascii="Arial"/>
                              <w:sz w:val="21"/>
                            </w:rPr>
                          </w:pPr>
                        </w:p>
                        <w:p w14:paraId="0F93E61D">
                          <w:pPr>
                            <w:spacing w:before="55" w:line="220" w:lineRule="auto"/>
                            <w:ind w:left="593"/>
                            <w:rPr>
                              <w:rFonts w:ascii="宋体" w:hAnsi="宋体" w:eastAsia="宋体" w:cs="宋体"/>
                              <w:sz w:val="17"/>
                              <w:szCs w:val="17"/>
                            </w:rPr>
                          </w:pPr>
                          <w:r>
                            <w:rPr>
                              <w:rFonts w:ascii="宋体" w:hAnsi="宋体" w:eastAsia="宋体" w:cs="宋体"/>
                              <w:spacing w:val="14"/>
                              <w:sz w:val="17"/>
                              <w:szCs w:val="17"/>
                            </w:rPr>
                            <w:t>确认</w:t>
                          </w:r>
                        </w:p>
                        <w:p w14:paraId="7C7218C9">
                          <w:pPr>
                            <w:spacing w:line="243" w:lineRule="auto"/>
                            <w:rPr>
                              <w:rFonts w:ascii="Arial"/>
                              <w:sz w:val="21"/>
                            </w:rPr>
                          </w:pPr>
                        </w:p>
                        <w:p w14:paraId="6891B4BB">
                          <w:pPr>
                            <w:spacing w:line="244" w:lineRule="auto"/>
                            <w:rPr>
                              <w:rFonts w:ascii="Arial"/>
                              <w:sz w:val="21"/>
                            </w:rPr>
                          </w:pPr>
                        </w:p>
                        <w:p w14:paraId="43CC334C">
                          <w:pPr>
                            <w:spacing w:line="244" w:lineRule="auto"/>
                            <w:rPr>
                              <w:rFonts w:ascii="Arial"/>
                              <w:sz w:val="21"/>
                            </w:rPr>
                          </w:pPr>
                        </w:p>
                        <w:p w14:paraId="733216B7">
                          <w:pPr>
                            <w:spacing w:line="244" w:lineRule="auto"/>
                            <w:rPr>
                              <w:rFonts w:ascii="Arial"/>
                              <w:sz w:val="21"/>
                            </w:rPr>
                          </w:pPr>
                        </w:p>
                        <w:p w14:paraId="2135E88B">
                          <w:pPr>
                            <w:spacing w:line="244" w:lineRule="auto"/>
                            <w:rPr>
                              <w:rFonts w:ascii="Arial"/>
                              <w:sz w:val="21"/>
                            </w:rPr>
                          </w:pPr>
                        </w:p>
                        <w:p w14:paraId="582BD8F6">
                          <w:pPr>
                            <w:spacing w:line="244" w:lineRule="auto"/>
                            <w:rPr>
                              <w:rFonts w:ascii="Arial"/>
                              <w:sz w:val="21"/>
                            </w:rPr>
                          </w:pPr>
                        </w:p>
                        <w:p w14:paraId="1D5FE51C">
                          <w:pPr>
                            <w:spacing w:before="55" w:line="220" w:lineRule="auto"/>
                            <w:ind w:left="593"/>
                            <w:rPr>
                              <w:rFonts w:ascii="宋体" w:hAnsi="宋体" w:eastAsia="宋体" w:cs="宋体"/>
                              <w:sz w:val="17"/>
                              <w:szCs w:val="17"/>
                            </w:rPr>
                          </w:pPr>
                          <w:r>
                            <w:rPr>
                              <w:rFonts w:ascii="宋体" w:hAnsi="宋体" w:eastAsia="宋体" w:cs="宋体"/>
                              <w:spacing w:val="14"/>
                              <w:sz w:val="17"/>
                              <w:szCs w:val="17"/>
                            </w:rPr>
                            <w:t>确认</w:t>
                          </w:r>
                        </w:p>
                        <w:p w14:paraId="2218D57D">
                          <w:pPr>
                            <w:spacing w:line="273" w:lineRule="auto"/>
                            <w:rPr>
                              <w:rFonts w:ascii="Arial"/>
                              <w:sz w:val="21"/>
                            </w:rPr>
                          </w:pPr>
                        </w:p>
                        <w:p w14:paraId="2BE53FAC">
                          <w:pPr>
                            <w:spacing w:line="273" w:lineRule="auto"/>
                            <w:rPr>
                              <w:rFonts w:ascii="Arial"/>
                              <w:sz w:val="21"/>
                            </w:rPr>
                          </w:pPr>
                        </w:p>
                        <w:p w14:paraId="665FF7D9">
                          <w:pPr>
                            <w:spacing w:line="273" w:lineRule="auto"/>
                            <w:rPr>
                              <w:rFonts w:ascii="Arial"/>
                              <w:sz w:val="21"/>
                            </w:rPr>
                          </w:pPr>
                        </w:p>
                        <w:p w14:paraId="578E30D2">
                          <w:pPr>
                            <w:spacing w:line="274" w:lineRule="auto"/>
                            <w:rPr>
                              <w:rFonts w:ascii="Arial"/>
                              <w:sz w:val="21"/>
                            </w:rPr>
                          </w:pPr>
                        </w:p>
                        <w:p w14:paraId="54CE5AD0">
                          <w:pPr>
                            <w:spacing w:line="274" w:lineRule="auto"/>
                            <w:rPr>
                              <w:rFonts w:ascii="Arial"/>
                              <w:sz w:val="21"/>
                            </w:rPr>
                          </w:pPr>
                        </w:p>
                        <w:p w14:paraId="0607D42F">
                          <w:pPr>
                            <w:spacing w:line="274" w:lineRule="auto"/>
                            <w:rPr>
                              <w:rFonts w:ascii="Arial"/>
                              <w:sz w:val="21"/>
                            </w:rPr>
                          </w:pPr>
                        </w:p>
                        <w:p w14:paraId="41186484">
                          <w:pPr>
                            <w:spacing w:before="56" w:line="180" w:lineRule="auto"/>
                            <w:ind w:left="593"/>
                            <w:rPr>
                              <w:rFonts w:ascii="宋体" w:hAnsi="宋体" w:eastAsia="宋体" w:cs="宋体"/>
                              <w:sz w:val="17"/>
                              <w:szCs w:val="17"/>
                            </w:rPr>
                          </w:pPr>
                          <w:r>
                            <w:rPr>
                              <w:rFonts w:ascii="宋体" w:hAnsi="宋体" w:eastAsia="宋体" w:cs="宋体"/>
                              <w:spacing w:val="14"/>
                              <w:sz w:val="17"/>
                              <w:szCs w:val="17"/>
                            </w:rPr>
                            <w:t>确认</w:t>
                          </w:r>
                        </w:p>
                      </w:tc>
                      <w:tc>
                        <w:tcPr>
                          <w:tcW w:w="1332" w:type="dxa"/>
                          <w:vAlign w:val="top"/>
                        </w:tcPr>
                        <w:p w14:paraId="0493EFAF">
                          <w:pPr>
                            <w:spacing w:line="219" w:lineRule="auto"/>
                            <w:ind w:left="614"/>
                            <w:rPr>
                              <w:rFonts w:ascii="宋体" w:hAnsi="宋体" w:eastAsia="宋体" w:cs="宋体"/>
                              <w:sz w:val="17"/>
                              <w:szCs w:val="17"/>
                            </w:rPr>
                          </w:pPr>
                          <w:r>
                            <w:rPr>
                              <w:rFonts w:ascii="宋体" w:hAnsi="宋体" w:eastAsia="宋体" w:cs="宋体"/>
                              <w:spacing w:val="-2"/>
                              <w:sz w:val="17"/>
                              <w:szCs w:val="17"/>
                            </w:rPr>
                            <w:t>输出</w:t>
                          </w:r>
                        </w:p>
                        <w:p w14:paraId="248994B2">
                          <w:pPr>
                            <w:spacing w:line="269" w:lineRule="auto"/>
                            <w:rPr>
                              <w:rFonts w:ascii="Arial"/>
                              <w:sz w:val="21"/>
                            </w:rPr>
                          </w:pPr>
                        </w:p>
                        <w:p w14:paraId="7DEE8AC9">
                          <w:pPr>
                            <w:spacing w:line="269" w:lineRule="auto"/>
                            <w:rPr>
                              <w:rFonts w:ascii="Arial"/>
                              <w:sz w:val="21"/>
                            </w:rPr>
                          </w:pPr>
                        </w:p>
                        <w:p w14:paraId="3071381A">
                          <w:pPr>
                            <w:spacing w:line="270" w:lineRule="auto"/>
                            <w:rPr>
                              <w:rFonts w:ascii="Arial"/>
                              <w:sz w:val="21"/>
                            </w:rPr>
                          </w:pPr>
                        </w:p>
                        <w:p w14:paraId="432CA7F9">
                          <w:pPr>
                            <w:spacing w:before="55" w:line="219" w:lineRule="auto"/>
                            <w:ind w:left="444"/>
                            <w:rPr>
                              <w:rFonts w:ascii="宋体" w:hAnsi="宋体" w:eastAsia="宋体" w:cs="宋体"/>
                              <w:sz w:val="17"/>
                              <w:szCs w:val="17"/>
                            </w:rPr>
                          </w:pPr>
                          <w:r>
                            <w:rPr>
                              <w:rFonts w:ascii="宋体" w:hAnsi="宋体" w:eastAsia="宋体" w:cs="宋体"/>
                              <w:spacing w:val="-2"/>
                              <w:sz w:val="17"/>
                              <w:szCs w:val="17"/>
                            </w:rPr>
                            <w:t>监理意见</w:t>
                          </w:r>
                        </w:p>
                        <w:p w14:paraId="09BA56DF">
                          <w:pPr>
                            <w:spacing w:line="420" w:lineRule="auto"/>
                            <w:rPr>
                              <w:rFonts w:ascii="Arial"/>
                              <w:sz w:val="21"/>
                            </w:rPr>
                          </w:pPr>
                        </w:p>
                        <w:p w14:paraId="1C95FF54">
                          <w:pPr>
                            <w:spacing w:before="55" w:line="229" w:lineRule="auto"/>
                            <w:ind w:left="224"/>
                            <w:rPr>
                              <w:rFonts w:ascii="宋体" w:hAnsi="宋体" w:eastAsia="宋体" w:cs="宋体"/>
                              <w:sz w:val="17"/>
                              <w:szCs w:val="17"/>
                            </w:rPr>
                          </w:pPr>
                          <w:r>
                            <w:rPr>
                              <w:rFonts w:ascii="宋体" w:hAnsi="宋体" w:eastAsia="宋体" w:cs="宋体"/>
                              <w:spacing w:val="-7"/>
                              <w:sz w:val="17"/>
                              <w:szCs w:val="17"/>
                            </w:rPr>
                            <w:t>总/监理工程</w:t>
                          </w:r>
                          <w:r>
                            <w:rPr>
                              <w:rFonts w:ascii="宋体" w:hAnsi="宋体" w:eastAsia="宋体" w:cs="宋体"/>
                              <w:color w:val="25AAE3"/>
                              <w:spacing w:val="-7"/>
                              <w:sz w:val="17"/>
                              <w:szCs w:val="17"/>
                            </w:rPr>
                            <w:t>师</w:t>
                          </w:r>
                          <w:r>
                            <w:rPr>
                              <w:rFonts w:ascii="宋体" w:hAnsi="宋体" w:eastAsia="宋体" w:cs="宋体"/>
                              <w:color w:val="25AAE3"/>
                              <w:spacing w:val="3"/>
                              <w:sz w:val="17"/>
                              <w:szCs w:val="17"/>
                            </w:rPr>
                            <w:t xml:space="preserve"> </w:t>
                          </w:r>
                          <w:r>
                            <w:rPr>
                              <w:rFonts w:ascii="宋体" w:hAnsi="宋体" w:eastAsia="宋体" w:cs="宋体"/>
                              <w:sz w:val="17"/>
                              <w:szCs w:val="17"/>
                            </w:rPr>
                            <w:t>旁站/巡视</w:t>
                          </w:r>
                          <w:r>
                            <w:rPr>
                              <w:rFonts w:ascii="宋体" w:hAnsi="宋体" w:eastAsia="宋体" w:cs="宋体"/>
                              <w:color w:val="20A3EF"/>
                              <w:sz w:val="17"/>
                              <w:szCs w:val="17"/>
                            </w:rPr>
                            <w:t>记录</w:t>
                          </w:r>
                        </w:p>
                        <w:p w14:paraId="21A18F52">
                          <w:pPr>
                            <w:spacing w:line="247" w:lineRule="auto"/>
                            <w:rPr>
                              <w:rFonts w:ascii="Arial"/>
                              <w:sz w:val="21"/>
                            </w:rPr>
                          </w:pPr>
                        </w:p>
                        <w:p w14:paraId="51F5FD18">
                          <w:pPr>
                            <w:spacing w:line="247" w:lineRule="auto"/>
                            <w:rPr>
                              <w:rFonts w:ascii="Arial"/>
                              <w:sz w:val="21"/>
                            </w:rPr>
                          </w:pPr>
                        </w:p>
                        <w:p w14:paraId="79B730E0">
                          <w:pPr>
                            <w:spacing w:before="56" w:line="224" w:lineRule="auto"/>
                            <w:ind w:left="444"/>
                            <w:rPr>
                              <w:rFonts w:ascii="宋体" w:hAnsi="宋体" w:eastAsia="宋体" w:cs="宋体"/>
                              <w:sz w:val="17"/>
                              <w:szCs w:val="17"/>
                            </w:rPr>
                          </w:pPr>
                          <w:r>
                            <w:rPr>
                              <w:rFonts w:ascii="宋体" w:hAnsi="宋体" w:eastAsia="宋体" w:cs="宋体"/>
                              <w:spacing w:val="-2"/>
                              <w:sz w:val="17"/>
                              <w:szCs w:val="17"/>
                            </w:rPr>
                            <w:t>监理日志</w:t>
                          </w:r>
                        </w:p>
                        <w:p w14:paraId="58F7427D">
                          <w:pPr>
                            <w:rPr>
                              <w:rFonts w:ascii="Arial"/>
                              <w:sz w:val="21"/>
                            </w:rPr>
                          </w:pPr>
                        </w:p>
                        <w:p w14:paraId="2A2A247C">
                          <w:pPr>
                            <w:spacing w:line="241" w:lineRule="auto"/>
                            <w:rPr>
                              <w:rFonts w:ascii="Arial"/>
                              <w:sz w:val="21"/>
                            </w:rPr>
                          </w:pPr>
                        </w:p>
                        <w:p w14:paraId="623105D5">
                          <w:pPr>
                            <w:spacing w:before="55" w:line="221" w:lineRule="auto"/>
                            <w:ind w:left="444"/>
                            <w:rPr>
                              <w:rFonts w:ascii="宋体" w:hAnsi="宋体" w:eastAsia="宋体" w:cs="宋体"/>
                              <w:sz w:val="17"/>
                              <w:szCs w:val="17"/>
                            </w:rPr>
                          </w:pPr>
                          <w:r>
                            <w:rPr>
                              <w:rFonts w:ascii="宋体" w:hAnsi="宋体" w:eastAsia="宋体" w:cs="宋体"/>
                              <w:spacing w:val="-2"/>
                              <w:sz w:val="17"/>
                              <w:szCs w:val="17"/>
                            </w:rPr>
                            <w:t>测试计划</w:t>
                          </w:r>
                        </w:p>
                        <w:p w14:paraId="6629D972">
                          <w:pPr>
                            <w:spacing w:before="35" w:line="219" w:lineRule="auto"/>
                            <w:ind w:left="534"/>
                            <w:rPr>
                              <w:rFonts w:ascii="宋体" w:hAnsi="宋体" w:eastAsia="宋体" w:cs="宋体"/>
                              <w:sz w:val="17"/>
                              <w:szCs w:val="17"/>
                            </w:rPr>
                          </w:pPr>
                          <w:r>
                            <w:rPr>
                              <w:rFonts w:ascii="宋体" w:hAnsi="宋体" w:eastAsia="宋体" w:cs="宋体"/>
                              <w:spacing w:val="5"/>
                              <w:sz w:val="17"/>
                              <w:szCs w:val="17"/>
                            </w:rPr>
                            <w:t>申请表</w:t>
                          </w:r>
                        </w:p>
                        <w:p w14:paraId="723B2905">
                          <w:pPr>
                            <w:spacing w:line="259" w:lineRule="auto"/>
                            <w:rPr>
                              <w:rFonts w:ascii="Arial"/>
                              <w:sz w:val="21"/>
                            </w:rPr>
                          </w:pPr>
                        </w:p>
                        <w:p w14:paraId="7210DCA3">
                          <w:pPr>
                            <w:spacing w:line="260" w:lineRule="auto"/>
                            <w:rPr>
                              <w:rFonts w:ascii="Arial"/>
                              <w:sz w:val="21"/>
                            </w:rPr>
                          </w:pPr>
                        </w:p>
                        <w:p w14:paraId="2323CC43">
                          <w:pPr>
                            <w:spacing w:line="260" w:lineRule="auto"/>
                            <w:rPr>
                              <w:rFonts w:ascii="Arial"/>
                              <w:sz w:val="21"/>
                            </w:rPr>
                          </w:pPr>
                        </w:p>
                        <w:p w14:paraId="07B7901B">
                          <w:pPr>
                            <w:spacing w:before="56" w:line="227" w:lineRule="auto"/>
                            <w:ind w:left="354" w:right="35" w:hanging="130"/>
                            <w:rPr>
                              <w:rFonts w:ascii="宋体" w:hAnsi="宋体" w:eastAsia="宋体" w:cs="宋体"/>
                              <w:sz w:val="17"/>
                              <w:szCs w:val="17"/>
                            </w:rPr>
                          </w:pPr>
                          <w:r>
                            <w:rPr>
                              <w:rFonts w:ascii="宋体" w:hAnsi="宋体" w:eastAsia="宋体" w:cs="宋体"/>
                              <w:spacing w:val="-5"/>
                              <w:sz w:val="17"/>
                              <w:szCs w:val="17"/>
                            </w:rPr>
                            <w:t>测试计划/方</w:t>
                          </w:r>
                          <w:r>
                            <w:rPr>
                              <w:rFonts w:ascii="宋体" w:hAnsi="宋体" w:eastAsia="宋体" w:cs="宋体"/>
                              <w:color w:val="007ACC"/>
                              <w:spacing w:val="-5"/>
                              <w:sz w:val="17"/>
                              <w:szCs w:val="17"/>
                            </w:rPr>
                            <w:t>案</w:t>
                          </w:r>
                          <w:r>
                            <w:rPr>
                              <w:rFonts w:ascii="宋体" w:hAnsi="宋体" w:eastAsia="宋体" w:cs="宋体"/>
                              <w:color w:val="007ACC"/>
                              <w:spacing w:val="1"/>
                              <w:sz w:val="17"/>
                              <w:szCs w:val="17"/>
                            </w:rPr>
                            <w:t xml:space="preserve"> </w:t>
                          </w:r>
                          <w:r>
                            <w:rPr>
                              <w:rFonts w:ascii="宋体" w:hAnsi="宋体" w:eastAsia="宋体" w:cs="宋体"/>
                              <w:spacing w:val="9"/>
                              <w:sz w:val="17"/>
                              <w:szCs w:val="17"/>
                            </w:rPr>
                            <w:t>报告评</w:t>
                          </w:r>
                          <w:r>
                            <w:rPr>
                              <w:rFonts w:ascii="宋体" w:hAnsi="宋体" w:eastAsia="宋体" w:cs="宋体"/>
                              <w:color w:val="2190DA"/>
                              <w:spacing w:val="9"/>
                              <w:sz w:val="17"/>
                              <w:szCs w:val="17"/>
                            </w:rPr>
                            <w:t>审表</w:t>
                          </w:r>
                        </w:p>
                      </w:tc>
                    </w:tr>
                  </w:tbl>
                  <w:p w14:paraId="24428B62">
                    <w:pPr>
                      <w:spacing w:line="365" w:lineRule="auto"/>
                      <w:rPr>
                        <w:rFonts w:ascii="Arial"/>
                        <w:sz w:val="21"/>
                      </w:rPr>
                    </w:pPr>
                  </w:p>
                  <w:p w14:paraId="348CEC8C">
                    <w:pPr>
                      <w:spacing w:before="56" w:line="218" w:lineRule="auto"/>
                      <w:ind w:left="20" w:right="5813"/>
                      <w:jc w:val="both"/>
                      <w:rPr>
                        <w:rFonts w:ascii="宋体" w:hAnsi="宋体" w:eastAsia="宋体" w:cs="宋体"/>
                        <w:sz w:val="17"/>
                        <w:szCs w:val="17"/>
                      </w:rPr>
                    </w:pPr>
                    <w:r>
                      <w:rPr>
                        <w:rFonts w:ascii="宋体" w:hAnsi="宋体" w:eastAsia="宋体" w:cs="宋体"/>
                        <w:sz w:val="17"/>
                        <w:szCs w:val="17"/>
                      </w:rPr>
                      <w:t>用户操作手册</w:t>
                    </w:r>
                    <w:r>
                      <w:rPr>
                        <w:rFonts w:ascii="宋体" w:hAnsi="宋体" w:eastAsia="宋体" w:cs="宋体"/>
                        <w:color w:val="28B2ED"/>
                        <w:sz w:val="17"/>
                        <w:szCs w:val="17"/>
                      </w:rPr>
                      <w:t>、</w:t>
                    </w:r>
                    <w:r>
                      <w:rPr>
                        <w:rFonts w:ascii="宋体" w:hAnsi="宋体" w:eastAsia="宋体" w:cs="宋体"/>
                        <w:color w:val="28B2ED"/>
                        <w:spacing w:val="3"/>
                        <w:sz w:val="17"/>
                        <w:szCs w:val="17"/>
                      </w:rPr>
                      <w:t xml:space="preserve"> </w:t>
                    </w:r>
                    <w:r>
                      <w:rPr>
                        <w:rFonts w:ascii="宋体" w:hAnsi="宋体" w:eastAsia="宋体" w:cs="宋体"/>
                        <w:sz w:val="17"/>
                        <w:szCs w:val="17"/>
                      </w:rPr>
                      <w:t>用户安装手册、</w:t>
                    </w:r>
                    <w:r>
                      <w:rPr>
                        <w:rFonts w:ascii="宋体" w:hAnsi="宋体" w:eastAsia="宋体" w:cs="宋体"/>
                        <w:spacing w:val="3"/>
                        <w:sz w:val="17"/>
                        <w:szCs w:val="17"/>
                      </w:rPr>
                      <w:t xml:space="preserve"> </w:t>
                    </w:r>
                    <w:r>
                      <w:rPr>
                        <w:rFonts w:ascii="宋体" w:hAnsi="宋体" w:eastAsia="宋体" w:cs="宋体"/>
                        <w:spacing w:val="-2"/>
                        <w:sz w:val="17"/>
                        <w:szCs w:val="17"/>
                      </w:rPr>
                      <w:t>管理员手册</w:t>
                    </w:r>
                  </w:p>
                  <w:p w14:paraId="2191C438">
                    <w:pPr>
                      <w:spacing w:line="299" w:lineRule="auto"/>
                      <w:rPr>
                        <w:rFonts w:ascii="Arial"/>
                        <w:sz w:val="21"/>
                      </w:rPr>
                    </w:pPr>
                  </w:p>
                  <w:p w14:paraId="6C295AB5">
                    <w:pPr>
                      <w:spacing w:line="300" w:lineRule="auto"/>
                      <w:rPr>
                        <w:rFonts w:ascii="Arial"/>
                        <w:sz w:val="21"/>
                      </w:rPr>
                    </w:pPr>
                  </w:p>
                  <w:p w14:paraId="3C70E8CB">
                    <w:pPr>
                      <w:spacing w:before="55" w:line="219" w:lineRule="auto"/>
                      <w:ind w:left="3279"/>
                      <w:rPr>
                        <w:rFonts w:ascii="宋体" w:hAnsi="宋体" w:eastAsia="宋体" w:cs="宋体"/>
                        <w:sz w:val="17"/>
                        <w:szCs w:val="17"/>
                      </w:rPr>
                    </w:pPr>
                    <w:r>
                      <w:rPr>
                        <w:rFonts w:ascii="宋体" w:hAnsi="宋体" w:eastAsia="宋体" w:cs="宋体"/>
                        <w:spacing w:val="-1"/>
                        <w:sz w:val="17"/>
                        <w:szCs w:val="17"/>
                      </w:rPr>
                      <w:t>进入验收</w:t>
                    </w:r>
                  </w:p>
                </w:txbxContent>
              </v:textbox>
            </v:shape>
            <v:shape id="_x0000_s1631" o:spid="_x0000_s1631" o:spt="202" type="#_x0000_t202" style="position:absolute;left:1890;top:6057;height:210;width:739;" filled="f" stroked="f" coordsize="21600,21600">
              <v:path/>
              <v:fill on="f" focussize="0,0"/>
              <v:stroke on="f"/>
              <v:imagedata o:title=""/>
              <o:lock v:ext="edit" aspectratio="f"/>
              <v:textbox inset="0mm,0mm,0mm,0mm">
                <w:txbxContent>
                  <w:p w14:paraId="46B4EC3C">
                    <w:pPr>
                      <w:spacing w:before="20" w:line="220" w:lineRule="auto"/>
                      <w:ind w:left="20"/>
                      <w:rPr>
                        <w:rFonts w:ascii="宋体" w:hAnsi="宋体" w:eastAsia="宋体" w:cs="宋体"/>
                        <w:sz w:val="17"/>
                        <w:szCs w:val="17"/>
                      </w:rPr>
                    </w:pPr>
                    <w:r>
                      <w:rPr>
                        <w:rFonts w:ascii="宋体" w:hAnsi="宋体" w:eastAsia="宋体" w:cs="宋体"/>
                        <w:spacing w:val="4"/>
                        <w:sz w:val="17"/>
                        <w:szCs w:val="17"/>
                      </w:rPr>
                      <w:t>用户培训</w:t>
                    </w:r>
                  </w:p>
                </w:txbxContent>
              </v:textbox>
            </v:shape>
            <w10:wrap type="none"/>
            <w10:anchorlock/>
          </v:group>
        </w:pict>
      </w:r>
    </w:p>
    <w:p w14:paraId="1743C58E">
      <w:pPr>
        <w:pStyle w:val="2"/>
        <w:spacing w:before="87" w:line="219" w:lineRule="auto"/>
        <w:ind w:left="2939"/>
        <w:rPr>
          <w:sz w:val="17"/>
          <w:szCs w:val="17"/>
        </w:rPr>
      </w:pPr>
      <w:r>
        <w:rPr>
          <w:spacing w:val="9"/>
          <w:sz w:val="17"/>
          <w:szCs w:val="17"/>
        </w:rPr>
        <w:t>图23-3</w:t>
      </w:r>
      <w:r>
        <w:rPr>
          <w:spacing w:val="79"/>
          <w:sz w:val="17"/>
          <w:szCs w:val="17"/>
        </w:rPr>
        <w:t xml:space="preserve"> </w:t>
      </w:r>
      <w:r>
        <w:rPr>
          <w:spacing w:val="9"/>
          <w:sz w:val="17"/>
          <w:szCs w:val="17"/>
        </w:rPr>
        <w:t>数据中心工程实施阶段监理流程</w:t>
      </w:r>
    </w:p>
    <w:p w14:paraId="0C91FE32">
      <w:pPr>
        <w:spacing w:line="340" w:lineRule="auto"/>
        <w:rPr>
          <w:rFonts w:ascii="Arial"/>
          <w:sz w:val="21"/>
        </w:rPr>
      </w:pPr>
    </w:p>
    <w:p w14:paraId="203118D0">
      <w:pPr>
        <w:pStyle w:val="2"/>
        <w:spacing w:before="95" w:line="222" w:lineRule="auto"/>
        <w:ind w:left="374"/>
        <w:rPr>
          <w:rFonts w:ascii="黑体" w:hAnsi="黑体" w:eastAsia="黑体" w:cs="黑体"/>
          <w:sz w:val="29"/>
          <w:szCs w:val="29"/>
        </w:rPr>
      </w:pPr>
      <w:r>
        <w:rPr>
          <w:b/>
          <w:bCs/>
          <w:color w:val="0078D5"/>
          <w:spacing w:val="-9"/>
          <w:sz w:val="29"/>
          <w:szCs w:val="29"/>
        </w:rPr>
        <w:t>23.5</w:t>
      </w:r>
      <w:r>
        <w:rPr>
          <w:color w:val="0078D5"/>
          <w:spacing w:val="90"/>
          <w:sz w:val="29"/>
          <w:szCs w:val="29"/>
        </w:rPr>
        <w:t xml:space="preserve"> </w:t>
      </w:r>
      <w:r>
        <w:rPr>
          <w:rFonts w:ascii="黑体" w:hAnsi="黑体" w:eastAsia="黑体" w:cs="黑体"/>
          <w:b/>
          <w:bCs/>
          <w:color w:val="0078D5"/>
          <w:spacing w:val="-9"/>
          <w:sz w:val="29"/>
          <w:szCs w:val="29"/>
        </w:rPr>
        <w:t>验收阶段监理工作</w:t>
      </w:r>
    </w:p>
    <w:p w14:paraId="6394E729">
      <w:pPr>
        <w:pStyle w:val="2"/>
        <w:spacing w:before="261" w:line="336" w:lineRule="auto"/>
        <w:ind w:left="369" w:right="40" w:firstLine="400"/>
        <w:rPr>
          <w:sz w:val="17"/>
          <w:szCs w:val="17"/>
        </w:rPr>
      </w:pPr>
      <w:r>
        <w:rPr>
          <w:spacing w:val="33"/>
          <w:sz w:val="17"/>
          <w:szCs w:val="17"/>
        </w:rPr>
        <w:t>本节重点介绍监理单位在数据中心工程验收阶段需要执行的监理</w:t>
      </w:r>
      <w:r>
        <w:rPr>
          <w:spacing w:val="32"/>
          <w:sz w:val="17"/>
          <w:szCs w:val="17"/>
        </w:rPr>
        <w:t>活动、主要监理内容和监</w:t>
      </w:r>
      <w:r>
        <w:rPr>
          <w:sz w:val="17"/>
          <w:szCs w:val="17"/>
        </w:rPr>
        <w:t xml:space="preserve"> </w:t>
      </w:r>
      <w:r>
        <w:rPr>
          <w:spacing w:val="19"/>
          <w:sz w:val="17"/>
          <w:szCs w:val="17"/>
        </w:rPr>
        <w:t>理流程</w:t>
      </w:r>
      <w:r>
        <w:rPr>
          <w:spacing w:val="-43"/>
          <w:sz w:val="17"/>
          <w:szCs w:val="17"/>
        </w:rPr>
        <w:t xml:space="preserve"> </w:t>
      </w:r>
      <w:r>
        <w:rPr>
          <w:spacing w:val="19"/>
          <w:sz w:val="17"/>
          <w:szCs w:val="17"/>
        </w:rPr>
        <w:t>。</w:t>
      </w:r>
    </w:p>
    <w:p w14:paraId="0278A019">
      <w:pPr>
        <w:pStyle w:val="2"/>
        <w:spacing w:before="172" w:line="220" w:lineRule="auto"/>
        <w:ind w:left="342"/>
        <w:rPr>
          <w:sz w:val="25"/>
          <w:szCs w:val="25"/>
        </w:rPr>
      </w:pPr>
      <w:r>
        <w:rPr>
          <w:b/>
          <w:bCs/>
          <w:color w:val="0076C6"/>
          <w:spacing w:val="-18"/>
          <w:sz w:val="25"/>
          <w:szCs w:val="25"/>
        </w:rPr>
        <w:t>23.5.1</w:t>
      </w:r>
      <w:r>
        <w:rPr>
          <w:color w:val="0076C6"/>
          <w:spacing w:val="100"/>
          <w:sz w:val="25"/>
          <w:szCs w:val="25"/>
        </w:rPr>
        <w:t xml:space="preserve"> </w:t>
      </w:r>
      <w:r>
        <w:rPr>
          <w:b/>
          <w:bCs/>
          <w:color w:val="0076C6"/>
          <w:spacing w:val="-18"/>
          <w:sz w:val="25"/>
          <w:szCs w:val="25"/>
        </w:rPr>
        <w:t>监理活动</w:t>
      </w:r>
    </w:p>
    <w:p w14:paraId="7E1476BB">
      <w:pPr>
        <w:pStyle w:val="2"/>
        <w:spacing w:before="161" w:line="219" w:lineRule="auto"/>
        <w:ind w:left="769"/>
        <w:rPr>
          <w:sz w:val="17"/>
          <w:szCs w:val="17"/>
        </w:rPr>
      </w:pPr>
      <w:r>
        <w:rPr>
          <w:spacing w:val="26"/>
          <w:sz w:val="17"/>
          <w:szCs w:val="17"/>
        </w:rPr>
        <w:t>数据中心工程验收阶段的主要监理活动如下：</w:t>
      </w:r>
    </w:p>
    <w:p w14:paraId="64352728">
      <w:pPr>
        <w:pStyle w:val="2"/>
        <w:spacing w:before="117" w:line="219" w:lineRule="auto"/>
        <w:ind w:left="769"/>
        <w:rPr>
          <w:sz w:val="17"/>
          <w:szCs w:val="17"/>
        </w:rPr>
      </w:pPr>
      <w:r>
        <w:rPr>
          <w:spacing w:val="30"/>
          <w:sz w:val="17"/>
          <w:szCs w:val="17"/>
        </w:rPr>
        <w:t>(1)依照承建合同对承建单位是否达到验收条件进行检查，提出监理意见；</w:t>
      </w:r>
    </w:p>
    <w:p w14:paraId="66415044">
      <w:pPr>
        <w:pStyle w:val="2"/>
        <w:spacing w:before="89" w:line="272" w:lineRule="auto"/>
        <w:ind w:left="369" w:firstLine="400"/>
        <w:rPr>
          <w:sz w:val="17"/>
          <w:szCs w:val="17"/>
        </w:rPr>
      </w:pPr>
      <w:r>
        <w:rPr>
          <w:spacing w:val="35"/>
          <w:sz w:val="17"/>
          <w:szCs w:val="17"/>
        </w:rPr>
        <w:t>(2)承建单位完成承建合同约定的任务并经监理机构确认后，向监理机构报送验收申请手</w:t>
      </w:r>
      <w:r>
        <w:rPr>
          <w:spacing w:val="1"/>
          <w:sz w:val="17"/>
          <w:szCs w:val="17"/>
        </w:rPr>
        <w:t xml:space="preserve"> </w:t>
      </w:r>
      <w:r>
        <w:rPr>
          <w:spacing w:val="27"/>
          <w:sz w:val="17"/>
          <w:szCs w:val="17"/>
        </w:rPr>
        <w:t>续，监理机构对验收申请进行审查，提出监理意见；</w:t>
      </w:r>
    </w:p>
    <w:p w14:paraId="78D40C7F">
      <w:pPr>
        <w:spacing w:line="272" w:lineRule="auto"/>
        <w:rPr>
          <w:sz w:val="17"/>
          <w:szCs w:val="17"/>
        </w:rPr>
        <w:sectPr>
          <w:pgSz w:w="10320" w:h="13370"/>
          <w:pgMar w:top="369" w:right="1092" w:bottom="400" w:left="510" w:header="0" w:footer="0" w:gutter="0"/>
          <w:cols w:space="720" w:num="1"/>
        </w:sectPr>
      </w:pPr>
    </w:p>
    <w:p w14:paraId="0C6A1213">
      <w:pPr>
        <w:pStyle w:val="2"/>
        <w:jc w:val="right"/>
        <w:rPr>
          <w:rFonts w:ascii="Times New Roman" w:hAnsi="Times New Roman" w:eastAsia="Times New Roman" w:cs="Times New Roman"/>
          <w:sz w:val="19"/>
          <w:szCs w:val="19"/>
        </w:rPr>
      </w:pPr>
      <w:r>
        <w:rPr>
          <w:spacing w:val="3"/>
          <w:sz w:val="19"/>
          <w:szCs w:val="19"/>
        </w:rPr>
        <w:t>第23章</w:t>
      </w:r>
      <w:r>
        <w:rPr>
          <w:spacing w:val="32"/>
          <w:sz w:val="19"/>
          <w:szCs w:val="19"/>
        </w:rPr>
        <w:t xml:space="preserve"> </w:t>
      </w:r>
      <w:r>
        <w:rPr>
          <w:spacing w:val="3"/>
          <w:sz w:val="19"/>
          <w:szCs w:val="19"/>
        </w:rPr>
        <w:t>数据中心监理</w:t>
      </w:r>
      <w:r>
        <w:rPr>
          <w:spacing w:val="68"/>
          <w:sz w:val="19"/>
          <w:szCs w:val="19"/>
        </w:rPr>
        <w:t xml:space="preserve"> </w:t>
      </w:r>
      <w:r>
        <w:rPr>
          <w:position w:val="-9"/>
          <w:sz w:val="19"/>
          <w:szCs w:val="19"/>
        </w:rPr>
        <w:drawing>
          <wp:inline distT="0" distB="0" distL="0" distR="0">
            <wp:extent cx="285750" cy="203200"/>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344"/>
                    <a:stretch>
                      <a:fillRect/>
                    </a:stretch>
                  </pic:blipFill>
                  <pic:spPr>
                    <a:xfrm>
                      <a:off x="0" y="0"/>
                      <a:ext cx="285803" cy="203230"/>
                    </a:xfrm>
                    <a:prstGeom prst="rect">
                      <a:avLst/>
                    </a:prstGeom>
                  </pic:spPr>
                </pic:pic>
              </a:graphicData>
            </a:graphic>
          </wp:inline>
        </w:drawing>
      </w:r>
      <w:r>
        <w:rPr>
          <w:rFonts w:ascii="Times New Roman" w:hAnsi="Times New Roman" w:eastAsia="Times New Roman" w:cs="Times New Roman"/>
          <w:spacing w:val="3"/>
          <w:sz w:val="19"/>
          <w:szCs w:val="19"/>
        </w:rPr>
        <w:t>537</w:t>
      </w:r>
    </w:p>
    <w:p w14:paraId="0D370CAE">
      <w:pPr>
        <w:spacing w:line="273" w:lineRule="auto"/>
        <w:rPr>
          <w:rFonts w:ascii="Arial"/>
          <w:sz w:val="21"/>
        </w:rPr>
      </w:pPr>
    </w:p>
    <w:p w14:paraId="169CAD39">
      <w:pPr>
        <w:pStyle w:val="2"/>
        <w:spacing w:before="62" w:line="308" w:lineRule="auto"/>
        <w:ind w:right="347" w:firstLine="409"/>
        <w:rPr>
          <w:sz w:val="19"/>
          <w:szCs w:val="19"/>
        </w:rPr>
      </w:pPr>
      <w:r>
        <w:rPr>
          <w:spacing w:val="14"/>
          <w:sz w:val="19"/>
          <w:szCs w:val="19"/>
        </w:rPr>
        <w:t>(3)业主单位批准监理机构提交的可以进行验收的确认意见后，监理机</w:t>
      </w:r>
      <w:r>
        <w:rPr>
          <w:spacing w:val="13"/>
          <w:sz w:val="19"/>
          <w:szCs w:val="19"/>
        </w:rPr>
        <w:t>构宜组织对承建单</w:t>
      </w:r>
      <w:r>
        <w:rPr>
          <w:sz w:val="19"/>
          <w:szCs w:val="19"/>
        </w:rPr>
        <w:t xml:space="preserve"> </w:t>
      </w:r>
      <w:r>
        <w:rPr>
          <w:spacing w:val="2"/>
          <w:sz w:val="19"/>
          <w:szCs w:val="19"/>
        </w:rPr>
        <w:t>位进行验收。</w:t>
      </w:r>
    </w:p>
    <w:p w14:paraId="16428605">
      <w:pPr>
        <w:pStyle w:val="2"/>
        <w:spacing w:before="156" w:line="219" w:lineRule="auto"/>
        <w:ind w:left="2"/>
        <w:rPr>
          <w:sz w:val="25"/>
          <w:szCs w:val="25"/>
        </w:rPr>
      </w:pPr>
      <w:r>
        <w:rPr>
          <w:b/>
          <w:bCs/>
          <w:color w:val="0F64C6"/>
          <w:spacing w:val="-16"/>
          <w:sz w:val="25"/>
          <w:szCs w:val="25"/>
        </w:rPr>
        <w:t>23.5.2</w:t>
      </w:r>
      <w:r>
        <w:rPr>
          <w:color w:val="0F64C6"/>
          <w:spacing w:val="-16"/>
          <w:sz w:val="25"/>
          <w:szCs w:val="25"/>
        </w:rPr>
        <w:t xml:space="preserve">  </w:t>
      </w:r>
      <w:r>
        <w:rPr>
          <w:b/>
          <w:bCs/>
          <w:color w:val="0F64C6"/>
          <w:spacing w:val="-16"/>
          <w:sz w:val="25"/>
          <w:szCs w:val="25"/>
        </w:rPr>
        <w:t>监理内容</w:t>
      </w:r>
    </w:p>
    <w:p w14:paraId="0CB41DF1">
      <w:pPr>
        <w:pStyle w:val="2"/>
        <w:spacing w:before="174" w:line="219" w:lineRule="auto"/>
        <w:ind w:left="409"/>
        <w:rPr>
          <w:sz w:val="19"/>
          <w:szCs w:val="19"/>
        </w:rPr>
      </w:pPr>
      <w:r>
        <w:rPr>
          <w:spacing w:val="6"/>
          <w:sz w:val="19"/>
          <w:szCs w:val="19"/>
        </w:rPr>
        <w:t>数据中心工程验收阶段的主要监理内容如下：</w:t>
      </w:r>
    </w:p>
    <w:p w14:paraId="36EE9A9D">
      <w:pPr>
        <w:pStyle w:val="2"/>
        <w:spacing w:before="103" w:line="256" w:lineRule="auto"/>
        <w:ind w:right="295" w:firstLine="409"/>
        <w:rPr>
          <w:sz w:val="19"/>
          <w:szCs w:val="19"/>
        </w:rPr>
      </w:pPr>
      <w:r>
        <w:rPr>
          <w:spacing w:val="15"/>
          <w:sz w:val="19"/>
          <w:szCs w:val="19"/>
        </w:rPr>
        <w:t>(1)审查承建单位提出的验收方案，会同业主单位按照有关技术规程和验收规范，认真做</w:t>
      </w:r>
      <w:r>
        <w:rPr>
          <w:spacing w:val="3"/>
          <w:sz w:val="19"/>
          <w:szCs w:val="19"/>
        </w:rPr>
        <w:t xml:space="preserve"> </w:t>
      </w:r>
      <w:r>
        <w:rPr>
          <w:spacing w:val="5"/>
          <w:sz w:val="19"/>
          <w:szCs w:val="19"/>
        </w:rPr>
        <w:t>好工程验收。</w:t>
      </w:r>
    </w:p>
    <w:p w14:paraId="0AA0E459">
      <w:pPr>
        <w:pStyle w:val="2"/>
        <w:spacing w:before="94" w:line="219" w:lineRule="auto"/>
        <w:ind w:left="409"/>
        <w:rPr>
          <w:sz w:val="19"/>
          <w:szCs w:val="19"/>
        </w:rPr>
      </w:pPr>
      <w:r>
        <w:rPr>
          <w:spacing w:val="11"/>
          <w:sz w:val="19"/>
          <w:szCs w:val="19"/>
        </w:rPr>
        <w:t>(2)按照承建合同的要求和施工的实际情况，参照质量评定标准，协助业主单位组织验</w:t>
      </w:r>
      <w:r>
        <w:rPr>
          <w:spacing w:val="10"/>
          <w:sz w:val="19"/>
          <w:szCs w:val="19"/>
        </w:rPr>
        <w:t>收。</w:t>
      </w:r>
    </w:p>
    <w:p w14:paraId="6FDC98CF">
      <w:pPr>
        <w:pStyle w:val="2"/>
        <w:spacing w:before="84" w:line="219" w:lineRule="auto"/>
        <w:ind w:left="409"/>
        <w:rPr>
          <w:sz w:val="19"/>
          <w:szCs w:val="19"/>
        </w:rPr>
      </w:pPr>
      <w:r>
        <w:rPr>
          <w:spacing w:val="10"/>
          <w:sz w:val="19"/>
          <w:szCs w:val="19"/>
        </w:rPr>
        <w:t>(3)验收前应满足以下条件：</w:t>
      </w:r>
    </w:p>
    <w:p w14:paraId="2B7C584C">
      <w:pPr>
        <w:pStyle w:val="2"/>
        <w:spacing w:before="94" w:line="219" w:lineRule="auto"/>
        <w:ind w:left="409"/>
        <w:rPr>
          <w:sz w:val="19"/>
          <w:szCs w:val="19"/>
        </w:rPr>
      </w:pPr>
      <w:r>
        <w:rPr>
          <w:spacing w:val="10"/>
          <w:sz w:val="19"/>
          <w:szCs w:val="19"/>
        </w:rPr>
        <w:t>●经过业主单位批准的工程技术文件完成各项施工；</w:t>
      </w:r>
    </w:p>
    <w:p w14:paraId="0FAC5D6E">
      <w:pPr>
        <w:pStyle w:val="2"/>
        <w:spacing w:before="105" w:line="219" w:lineRule="auto"/>
        <w:ind w:left="409"/>
        <w:rPr>
          <w:sz w:val="19"/>
          <w:szCs w:val="19"/>
        </w:rPr>
      </w:pPr>
      <w:r>
        <w:rPr>
          <w:spacing w:val="9"/>
          <w:sz w:val="19"/>
          <w:szCs w:val="19"/>
        </w:rPr>
        <w:t>●完成调试及自检，并出具系统自检记录；</w:t>
      </w:r>
    </w:p>
    <w:p w14:paraId="4E09C12C">
      <w:pPr>
        <w:pStyle w:val="2"/>
        <w:spacing w:before="94" w:line="219" w:lineRule="auto"/>
        <w:ind w:left="409"/>
        <w:rPr>
          <w:sz w:val="19"/>
          <w:szCs w:val="19"/>
        </w:rPr>
      </w:pPr>
      <w:r>
        <w:rPr>
          <w:spacing w:val="9"/>
          <w:sz w:val="19"/>
          <w:szCs w:val="19"/>
        </w:rPr>
        <w:t>●工程质量检验合格，并出具工程质量检测记录；</w:t>
      </w:r>
    </w:p>
    <w:p w14:paraId="0AF80EF8">
      <w:pPr>
        <w:pStyle w:val="2"/>
        <w:spacing w:before="93" w:line="218" w:lineRule="auto"/>
        <w:ind w:left="409"/>
        <w:rPr>
          <w:sz w:val="19"/>
          <w:szCs w:val="19"/>
        </w:rPr>
      </w:pPr>
      <w:r>
        <w:rPr>
          <w:spacing w:val="10"/>
          <w:sz w:val="19"/>
          <w:szCs w:val="19"/>
        </w:rPr>
        <w:t>●完成系统试运行，并出具系统试运行报告；</w:t>
      </w:r>
    </w:p>
    <w:p w14:paraId="3729655D">
      <w:pPr>
        <w:pStyle w:val="2"/>
        <w:spacing w:before="108" w:line="219" w:lineRule="auto"/>
        <w:ind w:left="409"/>
        <w:rPr>
          <w:sz w:val="19"/>
          <w:szCs w:val="19"/>
        </w:rPr>
      </w:pPr>
      <w:r>
        <w:rPr>
          <w:spacing w:val="9"/>
          <w:sz w:val="19"/>
          <w:szCs w:val="19"/>
        </w:rPr>
        <w:t>●系统检测合格，并出具系统检测记录；</w:t>
      </w:r>
    </w:p>
    <w:p w14:paraId="470DE6C7">
      <w:pPr>
        <w:pStyle w:val="2"/>
        <w:spacing w:before="94" w:line="219" w:lineRule="auto"/>
        <w:ind w:left="409"/>
        <w:rPr>
          <w:sz w:val="19"/>
          <w:szCs w:val="19"/>
        </w:rPr>
      </w:pPr>
      <w:r>
        <w:rPr>
          <w:spacing w:val="12"/>
          <w:sz w:val="19"/>
          <w:szCs w:val="19"/>
        </w:rPr>
        <w:t>●完成技术培训，并出具培训记录。</w:t>
      </w:r>
    </w:p>
    <w:p w14:paraId="1C6A23D5">
      <w:pPr>
        <w:pStyle w:val="2"/>
        <w:spacing w:before="104" w:line="260" w:lineRule="auto"/>
        <w:ind w:right="261" w:firstLine="409"/>
        <w:rPr>
          <w:sz w:val="19"/>
          <w:szCs w:val="19"/>
        </w:rPr>
      </w:pPr>
      <w:r>
        <w:rPr>
          <w:spacing w:val="10"/>
          <w:sz w:val="19"/>
          <w:szCs w:val="19"/>
        </w:rPr>
        <w:t>(4)协助业主单位组织第三方评测机构，根据深化设计方案和承建合同要求，对数据中心进</w:t>
      </w:r>
      <w:r>
        <w:rPr>
          <w:spacing w:val="1"/>
          <w:sz w:val="19"/>
          <w:szCs w:val="19"/>
        </w:rPr>
        <w:t xml:space="preserve"> </w:t>
      </w:r>
      <w:r>
        <w:rPr>
          <w:spacing w:val="5"/>
          <w:sz w:val="19"/>
          <w:szCs w:val="19"/>
        </w:rPr>
        <w:t>行能效等验证性评测。监理机构对数据中心应用</w:t>
      </w:r>
      <w:r>
        <w:rPr>
          <w:spacing w:val="4"/>
          <w:sz w:val="19"/>
          <w:szCs w:val="19"/>
        </w:rPr>
        <w:t>系统功能、性能和设备的能效比等指标进行记录。</w:t>
      </w:r>
    </w:p>
    <w:p w14:paraId="7065628F">
      <w:pPr>
        <w:pStyle w:val="2"/>
        <w:spacing w:before="86" w:line="219" w:lineRule="auto"/>
        <w:ind w:left="409"/>
        <w:rPr>
          <w:sz w:val="19"/>
          <w:szCs w:val="19"/>
        </w:rPr>
      </w:pPr>
      <w:r>
        <w:rPr>
          <w:spacing w:val="10"/>
          <w:sz w:val="19"/>
          <w:szCs w:val="19"/>
        </w:rPr>
        <w:t>(5)监督和检查承建单位落实评测及验收遗留问题的整改。</w:t>
      </w:r>
    </w:p>
    <w:p w14:paraId="574AF3F7">
      <w:pPr>
        <w:pStyle w:val="2"/>
        <w:spacing w:before="94" w:line="219" w:lineRule="auto"/>
        <w:ind w:left="409"/>
        <w:rPr>
          <w:sz w:val="19"/>
          <w:szCs w:val="19"/>
        </w:rPr>
      </w:pPr>
      <w:r>
        <w:rPr>
          <w:spacing w:val="10"/>
          <w:sz w:val="19"/>
          <w:szCs w:val="19"/>
        </w:rPr>
        <w:t>(6)协助业主单位监督承建单位按照试运行计划做好试运行服务。</w:t>
      </w:r>
    </w:p>
    <w:p w14:paraId="686EE975">
      <w:pPr>
        <w:pStyle w:val="2"/>
        <w:spacing w:before="65" w:line="273" w:lineRule="auto"/>
        <w:ind w:right="295" w:firstLine="409"/>
        <w:rPr>
          <w:sz w:val="19"/>
          <w:szCs w:val="19"/>
        </w:rPr>
      </w:pPr>
      <w:r>
        <w:rPr>
          <w:spacing w:val="15"/>
          <w:sz w:val="19"/>
          <w:szCs w:val="19"/>
        </w:rPr>
        <w:t>(7)工程各项建设内容完成，并履行相应的验收及审查、备案手续后，监理机构应协助业</w:t>
      </w:r>
      <w:r>
        <w:rPr>
          <w:sz w:val="19"/>
          <w:szCs w:val="19"/>
        </w:rPr>
        <w:t xml:space="preserve"> </w:t>
      </w:r>
      <w:r>
        <w:rPr>
          <w:spacing w:val="13"/>
          <w:sz w:val="19"/>
          <w:szCs w:val="19"/>
        </w:rPr>
        <w:t>主单位对项目建设情况和建设成效进行全面总结回顾，进行竣工财务决算和审计，收集整理工</w:t>
      </w:r>
      <w:r>
        <w:rPr>
          <w:spacing w:val="6"/>
          <w:sz w:val="19"/>
          <w:szCs w:val="19"/>
        </w:rPr>
        <w:t xml:space="preserve"> </w:t>
      </w:r>
      <w:r>
        <w:rPr>
          <w:spacing w:val="7"/>
          <w:sz w:val="19"/>
          <w:szCs w:val="19"/>
        </w:rPr>
        <w:t>程档案，撰写监理单位工作总结报告，开展竣工验收。</w:t>
      </w:r>
    </w:p>
    <w:p w14:paraId="7A795F9B">
      <w:pPr>
        <w:pStyle w:val="2"/>
        <w:spacing w:before="95" w:line="218" w:lineRule="auto"/>
        <w:ind w:left="409"/>
        <w:rPr>
          <w:sz w:val="19"/>
          <w:szCs w:val="19"/>
        </w:rPr>
      </w:pPr>
      <w:r>
        <w:rPr>
          <w:spacing w:val="10"/>
          <w:sz w:val="19"/>
          <w:szCs w:val="19"/>
        </w:rPr>
        <w:t>(8)监理单位的工作总结报告一般应包括以下内容：</w:t>
      </w:r>
    </w:p>
    <w:p w14:paraId="3491DD67">
      <w:pPr>
        <w:pStyle w:val="2"/>
        <w:spacing w:before="88" w:line="219" w:lineRule="auto"/>
        <w:ind w:left="409"/>
        <w:rPr>
          <w:sz w:val="19"/>
          <w:szCs w:val="19"/>
        </w:rPr>
      </w:pPr>
      <w:r>
        <w:rPr>
          <w:spacing w:val="10"/>
          <w:sz w:val="19"/>
          <w:szCs w:val="19"/>
        </w:rPr>
        <w:t>●项目建设总体完成情况；</w:t>
      </w:r>
    </w:p>
    <w:p w14:paraId="6B4128AA">
      <w:pPr>
        <w:pStyle w:val="2"/>
        <w:spacing w:before="94" w:line="219" w:lineRule="auto"/>
        <w:ind w:left="409"/>
        <w:rPr>
          <w:sz w:val="19"/>
          <w:szCs w:val="19"/>
        </w:rPr>
      </w:pPr>
      <w:r>
        <w:rPr>
          <w:spacing w:val="10"/>
          <w:sz w:val="19"/>
          <w:szCs w:val="19"/>
        </w:rPr>
        <w:t>●项目资金到位及使用情况；</w:t>
      </w:r>
    </w:p>
    <w:p w14:paraId="13C652DF">
      <w:pPr>
        <w:pStyle w:val="2"/>
        <w:spacing w:before="95" w:line="220" w:lineRule="auto"/>
        <w:ind w:left="409"/>
        <w:rPr>
          <w:sz w:val="19"/>
          <w:szCs w:val="19"/>
        </w:rPr>
      </w:pPr>
      <w:r>
        <w:rPr>
          <w:spacing w:val="10"/>
          <w:sz w:val="19"/>
          <w:szCs w:val="19"/>
        </w:rPr>
        <w:t>●项目变更情况；</w:t>
      </w:r>
    </w:p>
    <w:p w14:paraId="1BB52DE6">
      <w:pPr>
        <w:pStyle w:val="2"/>
        <w:spacing w:before="94" w:line="220" w:lineRule="auto"/>
        <w:ind w:left="409"/>
        <w:rPr>
          <w:sz w:val="19"/>
          <w:szCs w:val="19"/>
        </w:rPr>
      </w:pPr>
      <w:r>
        <w:rPr>
          <w:spacing w:val="10"/>
          <w:sz w:val="19"/>
          <w:szCs w:val="19"/>
        </w:rPr>
        <w:t>●工程质量情况；</w:t>
      </w:r>
    </w:p>
    <w:p w14:paraId="6A5139A0">
      <w:pPr>
        <w:pStyle w:val="2"/>
        <w:spacing w:before="93" w:line="219" w:lineRule="auto"/>
        <w:ind w:left="409"/>
        <w:rPr>
          <w:sz w:val="19"/>
          <w:szCs w:val="19"/>
        </w:rPr>
      </w:pPr>
      <w:r>
        <w:rPr>
          <w:spacing w:val="9"/>
          <w:sz w:val="19"/>
          <w:szCs w:val="19"/>
        </w:rPr>
        <w:t>●法律法规和标准规范的落实执行情况；</w:t>
      </w:r>
    </w:p>
    <w:p w14:paraId="48F37496">
      <w:pPr>
        <w:pStyle w:val="2"/>
        <w:spacing w:before="95" w:line="219" w:lineRule="auto"/>
        <w:ind w:left="409"/>
        <w:rPr>
          <w:sz w:val="19"/>
          <w:szCs w:val="19"/>
        </w:rPr>
      </w:pPr>
      <w:r>
        <w:rPr>
          <w:spacing w:val="10"/>
          <w:sz w:val="19"/>
          <w:szCs w:val="19"/>
        </w:rPr>
        <w:t>●档案资料情况；</w:t>
      </w:r>
    </w:p>
    <w:p w14:paraId="234B405B">
      <w:pPr>
        <w:pStyle w:val="2"/>
        <w:spacing w:before="84" w:line="219" w:lineRule="auto"/>
        <w:ind w:left="409"/>
        <w:rPr>
          <w:sz w:val="19"/>
          <w:szCs w:val="19"/>
        </w:rPr>
      </w:pPr>
      <w:r>
        <w:rPr>
          <w:spacing w:val="10"/>
          <w:sz w:val="19"/>
          <w:szCs w:val="19"/>
        </w:rPr>
        <w:t>●竣工决算情况；</w:t>
      </w:r>
    </w:p>
    <w:p w14:paraId="7B35CABC">
      <w:pPr>
        <w:pStyle w:val="2"/>
        <w:spacing w:before="95" w:line="219" w:lineRule="auto"/>
        <w:ind w:left="409"/>
        <w:rPr>
          <w:sz w:val="19"/>
          <w:szCs w:val="19"/>
        </w:rPr>
      </w:pPr>
      <w:r>
        <w:rPr>
          <w:spacing w:val="10"/>
          <w:sz w:val="19"/>
          <w:szCs w:val="19"/>
        </w:rPr>
        <w:t>●运行管理情况；</w:t>
      </w:r>
    </w:p>
    <w:p w14:paraId="7B3FD2E3">
      <w:pPr>
        <w:pStyle w:val="2"/>
        <w:spacing w:before="95" w:line="220" w:lineRule="auto"/>
        <w:ind w:left="409"/>
        <w:rPr>
          <w:sz w:val="19"/>
          <w:szCs w:val="19"/>
        </w:rPr>
      </w:pPr>
      <w:r>
        <w:rPr>
          <w:spacing w:val="10"/>
          <w:sz w:val="19"/>
          <w:szCs w:val="19"/>
        </w:rPr>
        <w:t>●项目建设成效；</w:t>
      </w:r>
    </w:p>
    <w:p w14:paraId="7BA20D90">
      <w:pPr>
        <w:pStyle w:val="2"/>
        <w:spacing w:before="83" w:line="219" w:lineRule="auto"/>
        <w:ind w:left="409"/>
        <w:rPr>
          <w:sz w:val="19"/>
          <w:szCs w:val="19"/>
        </w:rPr>
      </w:pPr>
      <w:r>
        <w:rPr>
          <w:spacing w:val="13"/>
          <w:sz w:val="19"/>
          <w:szCs w:val="19"/>
        </w:rPr>
        <w:t>●有关问题及建议等。</w:t>
      </w:r>
    </w:p>
    <w:p w14:paraId="30769081">
      <w:pPr>
        <w:pStyle w:val="2"/>
        <w:spacing w:before="83" w:line="219" w:lineRule="auto"/>
        <w:ind w:left="409"/>
        <w:rPr>
          <w:sz w:val="19"/>
          <w:szCs w:val="19"/>
        </w:rPr>
      </w:pPr>
      <w:r>
        <w:rPr>
          <w:spacing w:val="11"/>
          <w:sz w:val="19"/>
          <w:szCs w:val="19"/>
        </w:rPr>
        <w:t>(9)督促承建单位系统整理工程竣工验收技术资料、图纸和管理资料。</w:t>
      </w:r>
    </w:p>
    <w:p w14:paraId="381F68A0">
      <w:pPr>
        <w:pStyle w:val="2"/>
        <w:spacing w:before="76" w:line="265" w:lineRule="auto"/>
        <w:ind w:right="299" w:firstLine="409"/>
        <w:rPr>
          <w:sz w:val="19"/>
          <w:szCs w:val="19"/>
        </w:rPr>
      </w:pPr>
      <w:r>
        <w:rPr>
          <w:spacing w:val="12"/>
          <w:sz w:val="19"/>
          <w:szCs w:val="19"/>
        </w:rPr>
        <w:t>(10)按照数据中心承建单位服务合同交付完成情况、工程资料达标情况，协助业主单位组</w:t>
      </w:r>
      <w:r>
        <w:rPr>
          <w:spacing w:val="13"/>
          <w:sz w:val="19"/>
          <w:szCs w:val="19"/>
        </w:rPr>
        <w:t xml:space="preserve"> </w:t>
      </w:r>
      <w:r>
        <w:rPr>
          <w:spacing w:val="8"/>
          <w:sz w:val="19"/>
          <w:szCs w:val="19"/>
        </w:rPr>
        <w:t>织竣工验收，做好记录，对发现的问题提出监理意见。</w:t>
      </w:r>
    </w:p>
    <w:p w14:paraId="5B9810E0">
      <w:pPr>
        <w:spacing w:line="265" w:lineRule="auto"/>
        <w:rPr>
          <w:sz w:val="19"/>
          <w:szCs w:val="19"/>
        </w:rPr>
        <w:sectPr>
          <w:pgSz w:w="10290" w:h="13280"/>
          <w:pgMar w:top="399" w:right="514" w:bottom="400" w:left="1150" w:header="0" w:footer="0" w:gutter="0"/>
          <w:cols w:space="720" w:num="1"/>
        </w:sectPr>
      </w:pPr>
    </w:p>
    <w:p w14:paraId="1D9696D0">
      <w:pPr>
        <w:pStyle w:val="2"/>
        <w:spacing w:before="48" w:line="219" w:lineRule="auto"/>
        <w:rPr>
          <w:sz w:val="20"/>
          <w:szCs w:val="20"/>
        </w:rPr>
      </w:pPr>
      <w:r>
        <w:rPr>
          <w:rFonts w:ascii="Times New Roman" w:hAnsi="Times New Roman" w:eastAsia="Times New Roman" w:cs="Times New Roman"/>
          <w:spacing w:val="-1"/>
          <w:position w:val="1"/>
          <w:sz w:val="17"/>
          <w:szCs w:val="17"/>
        </w:rPr>
        <w:t xml:space="preserve">538                 </w:t>
      </w:r>
      <w:r>
        <w:rPr>
          <w:spacing w:val="-1"/>
          <w:sz w:val="20"/>
          <w:szCs w:val="20"/>
        </w:rPr>
        <w:t>信息系统</w:t>
      </w:r>
      <w:r>
        <w:rPr>
          <w:spacing w:val="-2"/>
          <w:sz w:val="20"/>
          <w:szCs w:val="20"/>
        </w:rPr>
        <w:t>监理师教程(第2版)</w:t>
      </w:r>
    </w:p>
    <w:p w14:paraId="319157B1">
      <w:pPr>
        <w:spacing w:line="276" w:lineRule="auto"/>
        <w:rPr>
          <w:rFonts w:ascii="Arial"/>
          <w:sz w:val="21"/>
        </w:rPr>
      </w:pPr>
    </w:p>
    <w:p w14:paraId="3118E385">
      <w:pPr>
        <w:pStyle w:val="2"/>
        <w:spacing w:before="65" w:line="274" w:lineRule="auto"/>
        <w:ind w:left="349" w:right="92" w:firstLine="369"/>
        <w:rPr>
          <w:sz w:val="20"/>
          <w:szCs w:val="20"/>
        </w:rPr>
      </w:pPr>
      <w:r>
        <w:rPr>
          <w:spacing w:val="3"/>
          <w:sz w:val="20"/>
          <w:szCs w:val="20"/>
        </w:rPr>
        <w:t>(11)监督承建单位总结分析交付过程，可提出监理工作建议，以提高后续服务效率。监理</w:t>
      </w:r>
      <w:r>
        <w:rPr>
          <w:spacing w:val="12"/>
          <w:sz w:val="20"/>
          <w:szCs w:val="20"/>
        </w:rPr>
        <w:t xml:space="preserve"> </w:t>
      </w:r>
      <w:r>
        <w:rPr>
          <w:spacing w:val="-3"/>
          <w:sz w:val="20"/>
          <w:szCs w:val="20"/>
        </w:rPr>
        <w:t>机构工作建议报告一般包括以下内容：</w:t>
      </w:r>
    </w:p>
    <w:p w14:paraId="721E9145">
      <w:pPr>
        <w:pStyle w:val="2"/>
        <w:spacing w:before="65" w:line="219" w:lineRule="auto"/>
        <w:ind w:left="719"/>
        <w:rPr>
          <w:sz w:val="20"/>
          <w:szCs w:val="20"/>
        </w:rPr>
      </w:pPr>
      <w:r>
        <w:rPr>
          <w:spacing w:val="-1"/>
          <w:sz w:val="20"/>
          <w:szCs w:val="20"/>
        </w:rPr>
        <w:t>●分析服务交付过程，提出改善建议；</w:t>
      </w:r>
    </w:p>
    <w:p w14:paraId="190FF41D">
      <w:pPr>
        <w:pStyle w:val="2"/>
        <w:spacing w:before="102" w:line="219" w:lineRule="auto"/>
        <w:ind w:left="719"/>
        <w:rPr>
          <w:sz w:val="20"/>
          <w:szCs w:val="20"/>
        </w:rPr>
      </w:pPr>
      <w:r>
        <w:rPr>
          <w:spacing w:val="1"/>
          <w:sz w:val="20"/>
          <w:szCs w:val="20"/>
        </w:rPr>
        <w:t>●分析未达成服务级别协议的情况，提出改</w:t>
      </w:r>
      <w:r>
        <w:rPr>
          <w:sz w:val="20"/>
          <w:szCs w:val="20"/>
        </w:rPr>
        <w:t>善建议；</w:t>
      </w:r>
    </w:p>
    <w:p w14:paraId="2EADA889">
      <w:pPr>
        <w:pStyle w:val="2"/>
        <w:spacing w:before="83" w:line="219" w:lineRule="auto"/>
        <w:ind w:left="719"/>
        <w:rPr>
          <w:sz w:val="20"/>
          <w:szCs w:val="20"/>
        </w:rPr>
      </w:pPr>
      <w:r>
        <w:rPr>
          <w:sz w:val="20"/>
          <w:szCs w:val="20"/>
        </w:rPr>
        <w:t>●分析用户不满意的情况，提出改善建议；</w:t>
      </w:r>
    </w:p>
    <w:p w14:paraId="73C35070">
      <w:pPr>
        <w:pStyle w:val="2"/>
        <w:spacing w:before="81" w:line="218" w:lineRule="auto"/>
        <w:ind w:left="719"/>
        <w:rPr>
          <w:sz w:val="20"/>
          <w:szCs w:val="20"/>
        </w:rPr>
      </w:pPr>
      <w:r>
        <w:rPr>
          <w:sz w:val="20"/>
          <w:szCs w:val="20"/>
        </w:rPr>
        <w:t>●分析服务过程，改善服务交付，挖掘服务价值；</w:t>
      </w:r>
    </w:p>
    <w:p w14:paraId="185B3460">
      <w:pPr>
        <w:pStyle w:val="2"/>
        <w:spacing w:before="94" w:line="219" w:lineRule="auto"/>
        <w:ind w:left="719"/>
        <w:rPr>
          <w:sz w:val="20"/>
          <w:szCs w:val="20"/>
        </w:rPr>
      </w:pPr>
      <w:r>
        <w:rPr>
          <w:sz w:val="20"/>
          <w:szCs w:val="20"/>
        </w:rPr>
        <w:t>●建立内部主动服务改进机制，跟踪服务改善情况。</w:t>
      </w:r>
    </w:p>
    <w:p w14:paraId="434992D7">
      <w:pPr>
        <w:pStyle w:val="2"/>
        <w:spacing w:before="94" w:line="276" w:lineRule="auto"/>
        <w:ind w:left="349" w:right="69" w:firstLine="369"/>
        <w:rPr>
          <w:sz w:val="17"/>
          <w:szCs w:val="17"/>
        </w:rPr>
      </w:pPr>
      <w:r>
        <w:rPr>
          <w:spacing w:val="3"/>
          <w:sz w:val="20"/>
          <w:szCs w:val="20"/>
        </w:rPr>
        <w:t>(12)其他必要、典型的验收准备工作。为了确保数据中心整体验收顺利进行，监理机构应</w:t>
      </w:r>
      <w:r>
        <w:rPr>
          <w:spacing w:val="14"/>
          <w:sz w:val="20"/>
          <w:szCs w:val="20"/>
        </w:rPr>
        <w:t xml:space="preserve"> </w:t>
      </w:r>
      <w:r>
        <w:rPr>
          <w:spacing w:val="3"/>
          <w:sz w:val="20"/>
          <w:szCs w:val="20"/>
        </w:rPr>
        <w:t>在上述工作的基础上，适时做好以下必要、典型的准备工作。结合监理实践活动，提出如下操</w:t>
      </w:r>
      <w:r>
        <w:rPr>
          <w:spacing w:val="6"/>
          <w:sz w:val="20"/>
          <w:szCs w:val="20"/>
        </w:rPr>
        <w:t xml:space="preserve"> </w:t>
      </w:r>
      <w:r>
        <w:rPr>
          <w:spacing w:val="20"/>
          <w:sz w:val="17"/>
          <w:szCs w:val="17"/>
        </w:rPr>
        <w:t>作指导</w:t>
      </w:r>
      <w:r>
        <w:rPr>
          <w:spacing w:val="-42"/>
          <w:sz w:val="17"/>
          <w:szCs w:val="17"/>
        </w:rPr>
        <w:t xml:space="preserve"> </w:t>
      </w:r>
      <w:r>
        <w:rPr>
          <w:spacing w:val="20"/>
          <w:sz w:val="17"/>
          <w:szCs w:val="17"/>
        </w:rPr>
        <w:t>：</w:t>
      </w:r>
    </w:p>
    <w:p w14:paraId="409F1AD3">
      <w:pPr>
        <w:pStyle w:val="2"/>
        <w:spacing w:before="87" w:line="261" w:lineRule="auto"/>
        <w:ind w:left="1049" w:right="131" w:hanging="330"/>
        <w:rPr>
          <w:sz w:val="20"/>
          <w:szCs w:val="20"/>
        </w:rPr>
      </w:pPr>
      <w:r>
        <w:rPr>
          <w:spacing w:val="3"/>
          <w:sz w:val="20"/>
          <w:szCs w:val="20"/>
        </w:rPr>
        <w:t>●协助业主单位、指导承建单位做好数据中</w:t>
      </w:r>
      <w:r>
        <w:rPr>
          <w:spacing w:val="2"/>
          <w:sz w:val="20"/>
          <w:szCs w:val="20"/>
        </w:rPr>
        <w:t>心建设投资的决算，适时开展必要的财务审计</w:t>
      </w:r>
      <w:r>
        <w:rPr>
          <w:sz w:val="20"/>
          <w:szCs w:val="20"/>
        </w:rPr>
        <w:t xml:space="preserve"> </w:t>
      </w:r>
      <w:r>
        <w:rPr>
          <w:spacing w:val="-2"/>
          <w:sz w:val="20"/>
          <w:szCs w:val="20"/>
        </w:rPr>
        <w:t>工作，备妥第三方机构的决算报告或审计报告。</w:t>
      </w:r>
    </w:p>
    <w:p w14:paraId="1C37B153">
      <w:pPr>
        <w:pStyle w:val="2"/>
        <w:spacing w:before="75" w:line="262" w:lineRule="auto"/>
        <w:ind w:left="1049" w:right="119" w:hanging="330"/>
        <w:rPr>
          <w:sz w:val="20"/>
          <w:szCs w:val="20"/>
        </w:rPr>
      </w:pPr>
      <w:r>
        <w:rPr>
          <w:spacing w:val="3"/>
          <w:sz w:val="20"/>
          <w:szCs w:val="20"/>
        </w:rPr>
        <w:t>●协助业主单位梳理数据中心建设产生的固定资产目录，必要时协助资</w:t>
      </w:r>
      <w:r>
        <w:rPr>
          <w:spacing w:val="2"/>
          <w:sz w:val="20"/>
          <w:szCs w:val="20"/>
        </w:rPr>
        <w:t>产管理部门完成固</w:t>
      </w:r>
      <w:r>
        <w:rPr>
          <w:sz w:val="20"/>
          <w:szCs w:val="20"/>
        </w:rPr>
        <w:t xml:space="preserve"> </w:t>
      </w:r>
      <w:r>
        <w:rPr>
          <w:spacing w:val="-2"/>
          <w:sz w:val="20"/>
          <w:szCs w:val="20"/>
        </w:rPr>
        <w:t>定资产登记造册工作。此项工作可与决算、审计同步进行。</w:t>
      </w:r>
    </w:p>
    <w:p w14:paraId="1FD59259">
      <w:pPr>
        <w:pStyle w:val="2"/>
        <w:spacing w:before="72" w:line="267" w:lineRule="auto"/>
        <w:ind w:left="1049" w:right="127" w:hanging="330"/>
        <w:rPr>
          <w:sz w:val="20"/>
          <w:szCs w:val="20"/>
        </w:rPr>
      </w:pPr>
      <w:r>
        <w:rPr>
          <w:spacing w:val="3"/>
          <w:sz w:val="20"/>
          <w:szCs w:val="20"/>
        </w:rPr>
        <w:t>●协助业主单位、指导承建单位做好数据中心建设过</w:t>
      </w:r>
      <w:r>
        <w:rPr>
          <w:spacing w:val="2"/>
          <w:sz w:val="20"/>
          <w:szCs w:val="20"/>
        </w:rPr>
        <w:t>程资料梳理、初步归档，直至完成项</w:t>
      </w:r>
      <w:r>
        <w:rPr>
          <w:sz w:val="20"/>
          <w:szCs w:val="20"/>
        </w:rPr>
        <w:t xml:space="preserve"> 目/工程的档案管理，形成符合规范要求的数据中心建设的工程档案。</w:t>
      </w:r>
    </w:p>
    <w:p w14:paraId="2D5C717B">
      <w:pPr>
        <w:pStyle w:val="2"/>
        <w:spacing w:before="73" w:line="276" w:lineRule="auto"/>
        <w:ind w:left="1049" w:right="110" w:hanging="330"/>
        <w:rPr>
          <w:sz w:val="20"/>
          <w:szCs w:val="20"/>
        </w:rPr>
      </w:pPr>
      <w:r>
        <w:rPr>
          <w:spacing w:val="3"/>
          <w:sz w:val="20"/>
          <w:szCs w:val="20"/>
        </w:rPr>
        <w:t>●协助业主单位邀请数据中心验收专家组成</w:t>
      </w:r>
      <w:r>
        <w:rPr>
          <w:spacing w:val="2"/>
          <w:sz w:val="20"/>
          <w:szCs w:val="20"/>
        </w:rPr>
        <w:t>员，成立数据中心验收整体协调组织或临时机</w:t>
      </w:r>
      <w:r>
        <w:rPr>
          <w:sz w:val="20"/>
          <w:szCs w:val="20"/>
        </w:rPr>
        <w:t xml:space="preserve"> 构，对验收筹备工作提出咨询意见和建议。通常情况下，编</w:t>
      </w:r>
      <w:r>
        <w:rPr>
          <w:spacing w:val="-1"/>
          <w:sz w:val="20"/>
          <w:szCs w:val="20"/>
        </w:rPr>
        <w:t>制一个可以指导数据中心验</w:t>
      </w:r>
      <w:r>
        <w:rPr>
          <w:sz w:val="20"/>
          <w:szCs w:val="20"/>
        </w:rPr>
        <w:t xml:space="preserve"> </w:t>
      </w:r>
      <w:r>
        <w:rPr>
          <w:spacing w:val="-4"/>
          <w:sz w:val="20"/>
          <w:szCs w:val="20"/>
        </w:rPr>
        <w:t>收工作实施的工作方案为宜。</w:t>
      </w:r>
    </w:p>
    <w:p w14:paraId="296DACF8">
      <w:pPr>
        <w:pStyle w:val="2"/>
        <w:spacing w:before="91" w:line="258" w:lineRule="auto"/>
        <w:ind w:left="1049" w:right="91" w:hanging="330"/>
        <w:rPr>
          <w:sz w:val="20"/>
          <w:szCs w:val="20"/>
        </w:rPr>
      </w:pPr>
      <w:r>
        <w:rPr>
          <w:spacing w:val="4"/>
          <w:sz w:val="20"/>
          <w:szCs w:val="20"/>
        </w:rPr>
        <w:t>●敦促承建单位完成数据中心建设的总结报告</w:t>
      </w:r>
      <w:r>
        <w:rPr>
          <w:spacing w:val="3"/>
          <w:sz w:val="20"/>
          <w:szCs w:val="20"/>
        </w:rPr>
        <w:t>，包括技术要点、管理特点、适应效果或应</w:t>
      </w:r>
      <w:r>
        <w:rPr>
          <w:sz w:val="20"/>
          <w:szCs w:val="20"/>
        </w:rPr>
        <w:t xml:space="preserve"> </w:t>
      </w:r>
      <w:r>
        <w:rPr>
          <w:spacing w:val="-3"/>
          <w:sz w:val="20"/>
          <w:szCs w:val="20"/>
        </w:rPr>
        <w:t>用效能、综合管理及运维设想等。</w:t>
      </w:r>
    </w:p>
    <w:p w14:paraId="223810F0">
      <w:pPr>
        <w:pStyle w:val="2"/>
        <w:spacing w:before="71" w:line="276" w:lineRule="auto"/>
        <w:ind w:left="1049" w:right="68" w:hanging="330"/>
        <w:rPr>
          <w:sz w:val="20"/>
          <w:szCs w:val="20"/>
        </w:rPr>
      </w:pPr>
      <w:r>
        <w:rPr>
          <w:spacing w:val="3"/>
          <w:sz w:val="20"/>
          <w:szCs w:val="20"/>
        </w:rPr>
        <w:t>●配合业主单位、指导承建单位共同做好数</w:t>
      </w:r>
      <w:r>
        <w:rPr>
          <w:spacing w:val="2"/>
          <w:sz w:val="20"/>
          <w:szCs w:val="20"/>
        </w:rPr>
        <w:t>据中心验收的工作汇报、典型演示、问题答疑</w:t>
      </w:r>
      <w:r>
        <w:rPr>
          <w:sz w:val="20"/>
          <w:szCs w:val="20"/>
        </w:rPr>
        <w:t xml:space="preserve"> </w:t>
      </w:r>
      <w:r>
        <w:rPr>
          <w:spacing w:val="3"/>
          <w:sz w:val="20"/>
          <w:szCs w:val="20"/>
        </w:rPr>
        <w:t>预案和有关验收会议的备审材料、会议手册(代拟稿，包括会议议程、参会人员、专家</w:t>
      </w:r>
      <w:r>
        <w:rPr>
          <w:spacing w:val="16"/>
          <w:sz w:val="20"/>
          <w:szCs w:val="20"/>
        </w:rPr>
        <w:t xml:space="preserve"> </w:t>
      </w:r>
      <w:r>
        <w:rPr>
          <w:spacing w:val="2"/>
          <w:sz w:val="20"/>
          <w:szCs w:val="20"/>
        </w:rPr>
        <w:t>组成、注意事项等)等必要的验收会议准备工作。</w:t>
      </w:r>
    </w:p>
    <w:p w14:paraId="6B7CF2B8">
      <w:pPr>
        <w:pStyle w:val="2"/>
        <w:spacing w:before="92" w:line="218" w:lineRule="auto"/>
        <w:ind w:left="719"/>
        <w:rPr>
          <w:sz w:val="20"/>
          <w:szCs w:val="20"/>
        </w:rPr>
      </w:pPr>
      <w:r>
        <w:rPr>
          <w:spacing w:val="1"/>
          <w:sz w:val="20"/>
          <w:szCs w:val="20"/>
        </w:rPr>
        <w:t>●在监理总结报告的基础上，拟定在数据中心验收会议上准备宣读的监理意见。</w:t>
      </w:r>
    </w:p>
    <w:p w14:paraId="3E59B598">
      <w:pPr>
        <w:spacing w:before="57" w:line="279" w:lineRule="auto"/>
        <w:ind w:left="349" w:right="80" w:firstLine="269"/>
        <w:jc w:val="both"/>
        <w:rPr>
          <w:rFonts w:ascii="楷体" w:hAnsi="楷体" w:eastAsia="楷体" w:cs="楷体"/>
          <w:sz w:val="20"/>
          <w:szCs w:val="20"/>
        </w:rPr>
      </w:pPr>
      <w:r>
        <w:rPr>
          <w:rFonts w:ascii="黑体" w:hAnsi="黑体" w:eastAsia="黑体" w:cs="黑体"/>
          <w:spacing w:val="6"/>
          <w:sz w:val="20"/>
          <w:szCs w:val="20"/>
        </w:rPr>
        <w:t>【案例3</w:t>
      </w:r>
      <w:r>
        <w:rPr>
          <w:rFonts w:ascii="楷体" w:hAnsi="楷体" w:eastAsia="楷体" w:cs="楷体"/>
          <w:spacing w:val="6"/>
          <w:sz w:val="20"/>
          <w:szCs w:val="20"/>
        </w:rPr>
        <w:t>】在案例2的工程建设的招投标过程中，招标文件技术规格说明书明确要</w:t>
      </w:r>
      <w:r>
        <w:rPr>
          <w:rFonts w:ascii="楷体" w:hAnsi="楷体" w:eastAsia="楷体" w:cs="楷体"/>
          <w:spacing w:val="5"/>
          <w:sz w:val="20"/>
          <w:szCs w:val="20"/>
        </w:rPr>
        <w:t>求在实施</w:t>
      </w:r>
      <w:r>
        <w:rPr>
          <w:rFonts w:ascii="楷体" w:hAnsi="楷体" w:eastAsia="楷体" w:cs="楷体"/>
          <w:sz w:val="20"/>
          <w:szCs w:val="20"/>
        </w:rPr>
        <w:t xml:space="preserve"> </w:t>
      </w:r>
      <w:r>
        <w:rPr>
          <w:rFonts w:ascii="楷体" w:hAnsi="楷体" w:eastAsia="楷体" w:cs="楷体"/>
          <w:spacing w:val="3"/>
          <w:sz w:val="20"/>
          <w:szCs w:val="20"/>
        </w:rPr>
        <w:t>阶段要对系统调试、配合第三方测评或验证，以及工程验收等三个环节进行验收。</w:t>
      </w:r>
      <w:r>
        <w:rPr>
          <w:rFonts w:ascii="楷体" w:hAnsi="楷体" w:eastAsia="楷体" w:cs="楷体"/>
          <w:spacing w:val="2"/>
          <w:sz w:val="20"/>
          <w:szCs w:val="20"/>
        </w:rPr>
        <w:t>监理工程师</w:t>
      </w:r>
      <w:r>
        <w:rPr>
          <w:rFonts w:ascii="楷体" w:hAnsi="楷体" w:eastAsia="楷体" w:cs="楷体"/>
          <w:sz w:val="20"/>
          <w:szCs w:val="20"/>
        </w:rPr>
        <w:t xml:space="preserve"> </w:t>
      </w:r>
      <w:r>
        <w:rPr>
          <w:rFonts w:ascii="楷体" w:hAnsi="楷体" w:eastAsia="楷体" w:cs="楷体"/>
          <w:spacing w:val="3"/>
          <w:sz w:val="20"/>
          <w:szCs w:val="20"/>
        </w:rPr>
        <w:t>可参考本案例提出有针对性的验收阶段监理措施，制定监理规划、监理实施</w:t>
      </w:r>
      <w:r>
        <w:rPr>
          <w:rFonts w:ascii="楷体" w:hAnsi="楷体" w:eastAsia="楷体" w:cs="楷体"/>
          <w:spacing w:val="2"/>
          <w:sz w:val="20"/>
          <w:szCs w:val="20"/>
        </w:rPr>
        <w:t>细则，并对承建单</w:t>
      </w:r>
      <w:r>
        <w:rPr>
          <w:rFonts w:ascii="楷体" w:hAnsi="楷体" w:eastAsia="楷体" w:cs="楷体"/>
          <w:sz w:val="20"/>
          <w:szCs w:val="20"/>
        </w:rPr>
        <w:t xml:space="preserve"> </w:t>
      </w:r>
      <w:r>
        <w:rPr>
          <w:rFonts w:ascii="楷体" w:hAnsi="楷体" w:eastAsia="楷体" w:cs="楷体"/>
          <w:spacing w:val="-2"/>
          <w:sz w:val="20"/>
          <w:szCs w:val="20"/>
        </w:rPr>
        <w:t>位提出项目建设实施方案及验收实施过程的工作要求。</w:t>
      </w:r>
    </w:p>
    <w:p w14:paraId="52349890">
      <w:pPr>
        <w:spacing w:before="52" w:line="220" w:lineRule="auto"/>
        <w:ind w:left="719"/>
        <w:rPr>
          <w:rFonts w:ascii="楷体" w:hAnsi="楷体" w:eastAsia="楷体" w:cs="楷体"/>
          <w:sz w:val="20"/>
          <w:szCs w:val="20"/>
        </w:rPr>
      </w:pPr>
      <w:r>
        <w:rPr>
          <w:rFonts w:ascii="楷体" w:hAnsi="楷体" w:eastAsia="楷体" w:cs="楷体"/>
          <w:spacing w:val="-1"/>
          <w:sz w:val="20"/>
          <w:szCs w:val="20"/>
        </w:rPr>
        <w:t>对本案例中具体的验收要求，摘要可供参考的具体</w:t>
      </w:r>
      <w:r>
        <w:rPr>
          <w:rFonts w:ascii="楷体" w:hAnsi="楷体" w:eastAsia="楷体" w:cs="楷体"/>
          <w:spacing w:val="-2"/>
          <w:sz w:val="20"/>
          <w:szCs w:val="20"/>
        </w:rPr>
        <w:t>内容如下。</w:t>
      </w:r>
    </w:p>
    <w:p w14:paraId="0DD11AFC">
      <w:pPr>
        <w:spacing w:before="65" w:line="223" w:lineRule="auto"/>
        <w:ind w:left="719"/>
        <w:rPr>
          <w:rFonts w:ascii="楷体" w:hAnsi="楷体" w:eastAsia="楷体" w:cs="楷体"/>
          <w:sz w:val="20"/>
          <w:szCs w:val="20"/>
        </w:rPr>
      </w:pPr>
      <w:r>
        <w:rPr>
          <w:rFonts w:ascii="楷体" w:hAnsi="楷体" w:eastAsia="楷体" w:cs="楷体"/>
          <w:spacing w:val="6"/>
          <w:sz w:val="20"/>
          <w:szCs w:val="20"/>
        </w:rPr>
        <w:t>1)系统调试验收要求</w:t>
      </w:r>
    </w:p>
    <w:p w14:paraId="05C5DB38">
      <w:pPr>
        <w:spacing w:before="65" w:line="220" w:lineRule="auto"/>
        <w:ind w:left="719"/>
        <w:rPr>
          <w:rFonts w:ascii="楷体" w:hAnsi="楷体" w:eastAsia="楷体" w:cs="楷体"/>
          <w:sz w:val="20"/>
          <w:szCs w:val="20"/>
        </w:rPr>
      </w:pPr>
      <w:r>
        <w:rPr>
          <w:rFonts w:ascii="楷体" w:hAnsi="楷体" w:eastAsia="楷体" w:cs="楷体"/>
          <w:spacing w:val="-1"/>
          <w:sz w:val="20"/>
          <w:szCs w:val="20"/>
        </w:rPr>
        <w:t>在数据中心项目收尾阶段，需进行单系统调试和系</w:t>
      </w:r>
      <w:r>
        <w:rPr>
          <w:rFonts w:ascii="楷体" w:hAnsi="楷体" w:eastAsia="楷体" w:cs="楷体"/>
          <w:spacing w:val="-2"/>
          <w:sz w:val="20"/>
          <w:szCs w:val="20"/>
        </w:rPr>
        <w:t>统联调。</w:t>
      </w:r>
    </w:p>
    <w:p w14:paraId="41F28639">
      <w:pPr>
        <w:spacing w:before="75" w:line="223" w:lineRule="auto"/>
        <w:ind w:left="719"/>
        <w:rPr>
          <w:rFonts w:ascii="楷体" w:hAnsi="楷体" w:eastAsia="楷体" w:cs="楷体"/>
          <w:sz w:val="20"/>
          <w:szCs w:val="20"/>
        </w:rPr>
      </w:pPr>
      <w:r>
        <w:rPr>
          <w:rFonts w:ascii="楷体" w:hAnsi="楷体" w:eastAsia="楷体" w:cs="楷体"/>
          <w:spacing w:val="3"/>
          <w:sz w:val="20"/>
          <w:szCs w:val="20"/>
        </w:rPr>
        <w:t>(1)中标人必须在投标文件中对系统测试给出具体调试计</w:t>
      </w:r>
      <w:r>
        <w:rPr>
          <w:rFonts w:ascii="楷体" w:hAnsi="楷体" w:eastAsia="楷体" w:cs="楷体"/>
          <w:spacing w:val="2"/>
          <w:sz w:val="20"/>
          <w:szCs w:val="20"/>
        </w:rPr>
        <w:t>划、调试内容和方法；</w:t>
      </w:r>
    </w:p>
    <w:p w14:paraId="3B71E213">
      <w:pPr>
        <w:spacing w:before="45" w:line="253" w:lineRule="auto"/>
        <w:ind w:left="349" w:right="85" w:firstLine="369"/>
        <w:rPr>
          <w:rFonts w:ascii="楷体" w:hAnsi="楷体" w:eastAsia="楷体" w:cs="楷体"/>
          <w:sz w:val="20"/>
          <w:szCs w:val="20"/>
        </w:rPr>
      </w:pPr>
      <w:r>
        <w:rPr>
          <w:rFonts w:ascii="楷体" w:hAnsi="楷体" w:eastAsia="楷体" w:cs="楷体"/>
          <w:spacing w:val="6"/>
          <w:sz w:val="20"/>
          <w:szCs w:val="20"/>
        </w:rPr>
        <w:t>(2)系统安装完成后，中标人应首先就投标文件中给出的具体调试计划、内容和方法与招</w:t>
      </w:r>
      <w:r>
        <w:rPr>
          <w:rFonts w:ascii="楷体" w:hAnsi="楷体" w:eastAsia="楷体" w:cs="楷体"/>
          <w:spacing w:val="3"/>
          <w:sz w:val="20"/>
          <w:szCs w:val="20"/>
        </w:rPr>
        <w:t xml:space="preserve"> </w:t>
      </w:r>
      <w:r>
        <w:rPr>
          <w:rFonts w:ascii="楷体" w:hAnsi="楷体" w:eastAsia="楷体" w:cs="楷体"/>
          <w:spacing w:val="-3"/>
          <w:sz w:val="20"/>
          <w:szCs w:val="20"/>
        </w:rPr>
        <w:t>标人讨论并通过后，方可按计划进行调试；</w:t>
      </w:r>
    </w:p>
    <w:p w14:paraId="64452D89">
      <w:pPr>
        <w:spacing w:before="82" w:line="220" w:lineRule="auto"/>
        <w:jc w:val="right"/>
        <w:rPr>
          <w:rFonts w:ascii="楷体" w:hAnsi="楷体" w:eastAsia="楷体" w:cs="楷体"/>
          <w:sz w:val="20"/>
          <w:szCs w:val="20"/>
        </w:rPr>
      </w:pPr>
      <w:r>
        <w:rPr>
          <w:rFonts w:ascii="楷体" w:hAnsi="楷体" w:eastAsia="楷体" w:cs="楷体"/>
          <w:spacing w:val="3"/>
          <w:sz w:val="20"/>
          <w:szCs w:val="20"/>
        </w:rPr>
        <w:t>(3)调试过程必须在业主单位和监理单位的参与下进行，调试的过程和结果必须详细记录，</w:t>
      </w:r>
    </w:p>
    <w:p w14:paraId="77E096BB">
      <w:pPr>
        <w:spacing w:line="220" w:lineRule="auto"/>
        <w:rPr>
          <w:rFonts w:ascii="楷体" w:hAnsi="楷体" w:eastAsia="楷体" w:cs="楷体"/>
          <w:sz w:val="20"/>
          <w:szCs w:val="20"/>
        </w:rPr>
        <w:sectPr>
          <w:pgSz w:w="10300" w:h="13350"/>
          <w:pgMar w:top="400" w:right="1080" w:bottom="400" w:left="469" w:header="0" w:footer="0" w:gutter="0"/>
          <w:cols w:space="720" w:num="1"/>
        </w:sectPr>
      </w:pPr>
    </w:p>
    <w:p w14:paraId="278CE646">
      <w:pPr>
        <w:pStyle w:val="2"/>
        <w:jc w:val="right"/>
        <w:rPr>
          <w:rFonts w:ascii="Times New Roman" w:hAnsi="Times New Roman" w:eastAsia="Times New Roman" w:cs="Times New Roman"/>
          <w:sz w:val="28"/>
          <w:szCs w:val="28"/>
        </w:rPr>
      </w:pPr>
      <w:r>
        <w:rPr>
          <w:spacing w:val="-8"/>
          <w:position w:val="2"/>
          <w:sz w:val="20"/>
          <w:szCs w:val="20"/>
        </w:rPr>
        <w:t>第23章 数据中心监理</w:t>
      </w:r>
      <w:r>
        <w:rPr>
          <w:spacing w:val="20"/>
          <w:position w:val="2"/>
          <w:sz w:val="20"/>
          <w:szCs w:val="20"/>
        </w:rPr>
        <w:t xml:space="preserve"> </w:t>
      </w:r>
      <w:r>
        <w:rPr>
          <w:position w:val="-9"/>
          <w:sz w:val="20"/>
          <w:szCs w:val="20"/>
        </w:rPr>
        <w:drawing>
          <wp:inline distT="0" distB="0" distL="0" distR="0">
            <wp:extent cx="316865" cy="241300"/>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345"/>
                    <a:stretch>
                      <a:fillRect/>
                    </a:stretch>
                  </pic:blipFill>
                  <pic:spPr>
                    <a:xfrm>
                      <a:off x="0" y="0"/>
                      <a:ext cx="317475" cy="241300"/>
                    </a:xfrm>
                    <a:prstGeom prst="rect">
                      <a:avLst/>
                    </a:prstGeom>
                  </pic:spPr>
                </pic:pic>
              </a:graphicData>
            </a:graphic>
          </wp:inline>
        </w:drawing>
      </w:r>
      <w:r>
        <w:rPr>
          <w:rFonts w:ascii="Times New Roman" w:hAnsi="Times New Roman" w:eastAsia="Times New Roman" w:cs="Times New Roman"/>
          <w:spacing w:val="-8"/>
          <w:position w:val="-7"/>
          <w:sz w:val="28"/>
          <w:szCs w:val="28"/>
        </w:rPr>
        <w:t>539</w:t>
      </w:r>
    </w:p>
    <w:p w14:paraId="793DCC3D">
      <w:pPr>
        <w:spacing w:before="272" w:line="223" w:lineRule="auto"/>
        <w:rPr>
          <w:rFonts w:ascii="楷体" w:hAnsi="楷体" w:eastAsia="楷体" w:cs="楷体"/>
          <w:sz w:val="20"/>
          <w:szCs w:val="20"/>
        </w:rPr>
      </w:pPr>
      <w:r>
        <w:rPr>
          <w:rFonts w:ascii="楷体" w:hAnsi="楷体" w:eastAsia="楷体" w:cs="楷体"/>
          <w:spacing w:val="-1"/>
          <w:sz w:val="20"/>
          <w:szCs w:val="20"/>
        </w:rPr>
        <w:t>经各方签字后作为验收的文件之一。</w:t>
      </w:r>
    </w:p>
    <w:p w14:paraId="0B4390FE">
      <w:pPr>
        <w:spacing w:before="78" w:line="223" w:lineRule="auto"/>
        <w:ind w:left="390"/>
        <w:rPr>
          <w:rFonts w:ascii="楷体" w:hAnsi="楷体" w:eastAsia="楷体" w:cs="楷体"/>
          <w:sz w:val="20"/>
          <w:szCs w:val="20"/>
        </w:rPr>
      </w:pPr>
      <w:r>
        <w:rPr>
          <w:rFonts w:ascii="楷体" w:hAnsi="楷体" w:eastAsia="楷体" w:cs="楷体"/>
          <w:spacing w:val="5"/>
          <w:sz w:val="20"/>
          <w:szCs w:val="20"/>
        </w:rPr>
        <w:t>2)配合第三方测评或验证要求</w:t>
      </w:r>
    </w:p>
    <w:p w14:paraId="33B263EA">
      <w:pPr>
        <w:spacing w:before="77" w:line="287" w:lineRule="auto"/>
        <w:ind w:right="289" w:firstLine="390"/>
        <w:rPr>
          <w:rFonts w:ascii="楷体" w:hAnsi="楷体" w:eastAsia="楷体" w:cs="楷体"/>
          <w:sz w:val="20"/>
          <w:szCs w:val="20"/>
        </w:rPr>
      </w:pPr>
      <w:r>
        <w:rPr>
          <w:rFonts w:ascii="楷体" w:hAnsi="楷体" w:eastAsia="楷体" w:cs="楷体"/>
          <w:spacing w:val="5"/>
          <w:sz w:val="20"/>
          <w:szCs w:val="20"/>
        </w:rPr>
        <w:t>本项目第三方验证工作由其他专业团队完成。承建单位须在第三方验证过程中全程配合。</w:t>
      </w:r>
      <w:r>
        <w:rPr>
          <w:rFonts w:ascii="楷体" w:hAnsi="楷体" w:eastAsia="楷体" w:cs="楷体"/>
          <w:spacing w:val="4"/>
          <w:sz w:val="20"/>
          <w:szCs w:val="20"/>
        </w:rPr>
        <w:t xml:space="preserve"> </w:t>
      </w:r>
      <w:r>
        <w:rPr>
          <w:rFonts w:ascii="楷体" w:hAnsi="楷体" w:eastAsia="楷体" w:cs="楷体"/>
          <w:spacing w:val="3"/>
          <w:sz w:val="20"/>
          <w:szCs w:val="20"/>
        </w:rPr>
        <w:t>提供第三方验证所需基础物理设施相关的系统和设备相关的资料，并提供第三方验证过程的技</w:t>
      </w:r>
      <w:r>
        <w:rPr>
          <w:rFonts w:ascii="楷体" w:hAnsi="楷体" w:eastAsia="楷体" w:cs="楷体"/>
          <w:sz w:val="20"/>
          <w:szCs w:val="20"/>
        </w:rPr>
        <w:t xml:space="preserve"> </w:t>
      </w:r>
      <w:r>
        <w:rPr>
          <w:rFonts w:ascii="楷体" w:hAnsi="楷体" w:eastAsia="楷体" w:cs="楷体"/>
          <w:spacing w:val="-6"/>
          <w:sz w:val="20"/>
          <w:szCs w:val="20"/>
        </w:rPr>
        <w:t>术支持等。</w:t>
      </w:r>
    </w:p>
    <w:p w14:paraId="0031140E">
      <w:pPr>
        <w:spacing w:before="23" w:line="228" w:lineRule="auto"/>
        <w:ind w:left="390"/>
        <w:rPr>
          <w:rFonts w:ascii="楷体" w:hAnsi="楷体" w:eastAsia="楷体" w:cs="楷体"/>
          <w:sz w:val="20"/>
          <w:szCs w:val="20"/>
        </w:rPr>
      </w:pPr>
      <w:r>
        <w:rPr>
          <w:rFonts w:ascii="楷体" w:hAnsi="楷体" w:eastAsia="楷体" w:cs="楷体"/>
          <w:spacing w:val="11"/>
          <w:sz w:val="20"/>
          <w:szCs w:val="20"/>
        </w:rPr>
        <w:t>3)工程验收要求</w:t>
      </w:r>
    </w:p>
    <w:p w14:paraId="56C00BDC">
      <w:pPr>
        <w:spacing w:before="54" w:line="293" w:lineRule="auto"/>
        <w:ind w:right="289" w:firstLine="390"/>
        <w:rPr>
          <w:rFonts w:ascii="楷体" w:hAnsi="楷体" w:eastAsia="楷体" w:cs="楷体"/>
          <w:sz w:val="20"/>
          <w:szCs w:val="20"/>
        </w:rPr>
      </w:pPr>
      <w:r>
        <w:rPr>
          <w:rFonts w:ascii="楷体" w:hAnsi="楷体" w:eastAsia="楷体" w:cs="楷体"/>
          <w:spacing w:val="5"/>
          <w:sz w:val="20"/>
          <w:szCs w:val="20"/>
        </w:rPr>
        <w:t>上述系统联调、第三方验证合格后，进入工程验收阶段。本工程验收工作分为项目初验、</w:t>
      </w:r>
      <w:r>
        <w:rPr>
          <w:rFonts w:ascii="楷体" w:hAnsi="楷体" w:eastAsia="楷体" w:cs="楷体"/>
          <w:spacing w:val="4"/>
          <w:sz w:val="20"/>
          <w:szCs w:val="20"/>
        </w:rPr>
        <w:t xml:space="preserve"> </w:t>
      </w:r>
      <w:r>
        <w:rPr>
          <w:rFonts w:ascii="楷体" w:hAnsi="楷体" w:eastAsia="楷体" w:cs="楷体"/>
          <w:spacing w:val="6"/>
          <w:sz w:val="20"/>
          <w:szCs w:val="20"/>
        </w:rPr>
        <w:t>试运行和项目终验(竣工验收)三个典型节点予以实施。</w:t>
      </w:r>
    </w:p>
    <w:p w14:paraId="129CDABB">
      <w:pPr>
        <w:spacing w:before="1" w:line="224" w:lineRule="auto"/>
        <w:ind w:left="390"/>
        <w:rPr>
          <w:rFonts w:ascii="楷体" w:hAnsi="楷体" w:eastAsia="楷体" w:cs="楷体"/>
          <w:sz w:val="20"/>
          <w:szCs w:val="20"/>
        </w:rPr>
      </w:pPr>
      <w:r>
        <w:rPr>
          <w:rFonts w:ascii="楷体" w:hAnsi="楷体" w:eastAsia="楷体" w:cs="楷体"/>
          <w:spacing w:val="7"/>
          <w:sz w:val="20"/>
          <w:szCs w:val="20"/>
        </w:rPr>
        <w:t>(1)初验应具备的条件：</w:t>
      </w:r>
    </w:p>
    <w:p w14:paraId="51F4441C">
      <w:pPr>
        <w:spacing w:before="75" w:line="223" w:lineRule="auto"/>
        <w:ind w:left="390"/>
        <w:rPr>
          <w:rFonts w:ascii="楷体" w:hAnsi="楷体" w:eastAsia="楷体" w:cs="楷体"/>
          <w:sz w:val="20"/>
          <w:szCs w:val="20"/>
        </w:rPr>
      </w:pPr>
      <w:r>
        <w:rPr>
          <w:rFonts w:ascii="楷体" w:hAnsi="楷体" w:eastAsia="楷体" w:cs="楷体"/>
          <w:spacing w:val="1"/>
          <w:sz w:val="20"/>
          <w:szCs w:val="20"/>
        </w:rPr>
        <w:t>●完成建设工程设计和合同约定的各项内容；</w:t>
      </w:r>
    </w:p>
    <w:p w14:paraId="2855579D">
      <w:pPr>
        <w:spacing w:before="98" w:line="223" w:lineRule="auto"/>
        <w:ind w:left="390"/>
        <w:rPr>
          <w:rFonts w:ascii="楷体" w:hAnsi="楷体" w:eastAsia="楷体" w:cs="楷体"/>
          <w:sz w:val="20"/>
          <w:szCs w:val="20"/>
        </w:rPr>
      </w:pPr>
      <w:r>
        <w:rPr>
          <w:rFonts w:ascii="楷体" w:hAnsi="楷体" w:eastAsia="楷体" w:cs="楷体"/>
          <w:spacing w:val="1"/>
          <w:sz w:val="20"/>
          <w:szCs w:val="20"/>
        </w:rPr>
        <w:t>●有完整齐全的技术档案和施工管理资料；</w:t>
      </w:r>
    </w:p>
    <w:p w14:paraId="4A055D94">
      <w:pPr>
        <w:spacing w:before="91" w:line="225" w:lineRule="auto"/>
        <w:ind w:left="390"/>
        <w:rPr>
          <w:rFonts w:ascii="楷体" w:hAnsi="楷体" w:eastAsia="楷体" w:cs="楷体"/>
          <w:sz w:val="20"/>
          <w:szCs w:val="20"/>
        </w:rPr>
      </w:pPr>
      <w:r>
        <w:rPr>
          <w:rFonts w:ascii="楷体" w:hAnsi="楷体" w:eastAsia="楷体" w:cs="楷体"/>
          <w:spacing w:val="2"/>
          <w:sz w:val="20"/>
          <w:szCs w:val="20"/>
        </w:rPr>
        <w:t>●有工程使用的主要设备、材料、构配件的进场测试和检测报告；</w:t>
      </w:r>
    </w:p>
    <w:p w14:paraId="40E5A866">
      <w:pPr>
        <w:spacing w:before="84" w:line="223" w:lineRule="auto"/>
        <w:ind w:left="390"/>
        <w:rPr>
          <w:rFonts w:ascii="楷体" w:hAnsi="楷体" w:eastAsia="楷体" w:cs="楷体"/>
          <w:sz w:val="20"/>
          <w:szCs w:val="20"/>
        </w:rPr>
      </w:pPr>
      <w:r>
        <w:rPr>
          <w:rFonts w:ascii="楷体" w:hAnsi="楷体" w:eastAsia="楷体" w:cs="楷体"/>
          <w:spacing w:val="1"/>
          <w:sz w:val="20"/>
          <w:szCs w:val="20"/>
        </w:rPr>
        <w:t>●本中标人完成自身质量检查、调试工作；</w:t>
      </w:r>
    </w:p>
    <w:p w14:paraId="46452DD1">
      <w:pPr>
        <w:spacing w:before="68" w:line="223" w:lineRule="auto"/>
        <w:ind w:left="390"/>
        <w:rPr>
          <w:rFonts w:ascii="楷体" w:hAnsi="楷体" w:eastAsia="楷体" w:cs="楷体"/>
          <w:sz w:val="20"/>
          <w:szCs w:val="20"/>
        </w:rPr>
      </w:pPr>
      <w:r>
        <w:rPr>
          <w:rFonts w:ascii="楷体" w:hAnsi="楷体" w:eastAsia="楷体" w:cs="楷体"/>
          <w:spacing w:val="3"/>
          <w:sz w:val="20"/>
          <w:szCs w:val="20"/>
        </w:rPr>
        <w:t>●完成初验其他准备工作。</w:t>
      </w:r>
    </w:p>
    <w:p w14:paraId="20635121">
      <w:pPr>
        <w:spacing w:before="81" w:line="224" w:lineRule="auto"/>
        <w:ind w:left="390"/>
        <w:rPr>
          <w:rFonts w:ascii="楷体" w:hAnsi="楷体" w:eastAsia="楷体" w:cs="楷体"/>
          <w:sz w:val="20"/>
          <w:szCs w:val="20"/>
        </w:rPr>
      </w:pPr>
      <w:r>
        <w:rPr>
          <w:rFonts w:ascii="楷体" w:hAnsi="楷体" w:eastAsia="楷体" w:cs="楷体"/>
          <w:spacing w:val="6"/>
          <w:sz w:val="20"/>
          <w:szCs w:val="20"/>
        </w:rPr>
        <w:t>(2)试运行应具备的条件：</w:t>
      </w:r>
    </w:p>
    <w:p w14:paraId="02367959">
      <w:pPr>
        <w:spacing w:before="62" w:line="220" w:lineRule="auto"/>
        <w:ind w:left="390"/>
        <w:rPr>
          <w:rFonts w:ascii="楷体" w:hAnsi="楷体" w:eastAsia="楷体" w:cs="楷体"/>
          <w:sz w:val="20"/>
          <w:szCs w:val="20"/>
        </w:rPr>
      </w:pPr>
      <w:r>
        <w:rPr>
          <w:rFonts w:ascii="楷体" w:hAnsi="楷体" w:eastAsia="楷体" w:cs="楷体"/>
          <w:spacing w:val="1"/>
          <w:sz w:val="20"/>
          <w:szCs w:val="20"/>
        </w:rPr>
        <w:t>●完成初验，并有验收结论意见；</w:t>
      </w:r>
    </w:p>
    <w:p w14:paraId="20177C8F">
      <w:pPr>
        <w:spacing w:before="101" w:line="264" w:lineRule="auto"/>
        <w:ind w:left="689" w:right="289" w:hanging="299"/>
        <w:rPr>
          <w:rFonts w:ascii="楷体" w:hAnsi="楷体" w:eastAsia="楷体" w:cs="楷体"/>
          <w:sz w:val="20"/>
          <w:szCs w:val="20"/>
        </w:rPr>
      </w:pPr>
      <w:r>
        <w:rPr>
          <w:rFonts w:ascii="楷体" w:hAnsi="楷体" w:eastAsia="楷体" w:cs="楷体"/>
          <w:spacing w:val="5"/>
          <w:sz w:val="20"/>
          <w:szCs w:val="20"/>
        </w:rPr>
        <w:t>●承建单位提出试运行工作方案，明确说明试运行工作任务、故障响应机制、人员配备、</w:t>
      </w:r>
      <w:r>
        <w:rPr>
          <w:rFonts w:ascii="楷体" w:hAnsi="楷体" w:eastAsia="楷体" w:cs="楷体"/>
          <w:spacing w:val="4"/>
          <w:sz w:val="20"/>
          <w:szCs w:val="20"/>
        </w:rPr>
        <w:t xml:space="preserve"> </w:t>
      </w:r>
      <w:r>
        <w:rPr>
          <w:rFonts w:ascii="楷体" w:hAnsi="楷体" w:eastAsia="楷体" w:cs="楷体"/>
          <w:spacing w:val="-3"/>
          <w:sz w:val="20"/>
          <w:szCs w:val="20"/>
        </w:rPr>
        <w:t>试运行记录和问题处理应急预案等；</w:t>
      </w:r>
    </w:p>
    <w:p w14:paraId="3A1B51FB">
      <w:pPr>
        <w:spacing w:before="85" w:line="227" w:lineRule="auto"/>
        <w:ind w:left="390"/>
        <w:rPr>
          <w:rFonts w:ascii="楷体" w:hAnsi="楷体" w:eastAsia="楷体" w:cs="楷体"/>
          <w:sz w:val="20"/>
          <w:szCs w:val="20"/>
        </w:rPr>
      </w:pPr>
      <w:r>
        <w:rPr>
          <w:rFonts w:ascii="楷体" w:hAnsi="楷体" w:eastAsia="楷体" w:cs="楷体"/>
          <w:spacing w:val="1"/>
          <w:sz w:val="20"/>
          <w:szCs w:val="20"/>
        </w:rPr>
        <w:t>●明确对初验可能存在的问题逐一逐项解决的措施或方法；</w:t>
      </w:r>
    </w:p>
    <w:p w14:paraId="172D642F">
      <w:pPr>
        <w:spacing w:before="50" w:line="264" w:lineRule="auto"/>
        <w:ind w:left="689" w:right="289" w:hanging="299"/>
        <w:rPr>
          <w:rFonts w:ascii="楷体" w:hAnsi="楷体" w:eastAsia="楷体" w:cs="楷体"/>
          <w:sz w:val="20"/>
          <w:szCs w:val="20"/>
        </w:rPr>
      </w:pPr>
      <w:r>
        <w:rPr>
          <w:rFonts w:ascii="楷体" w:hAnsi="楷体" w:eastAsia="楷体" w:cs="楷体"/>
          <w:spacing w:val="8"/>
          <w:sz w:val="20"/>
          <w:szCs w:val="20"/>
        </w:rPr>
        <w:t>●对试运行故障或问题形成“闭环”(发现问题、分析问</w:t>
      </w:r>
      <w:r>
        <w:rPr>
          <w:rFonts w:ascii="楷体" w:hAnsi="楷体" w:eastAsia="楷体" w:cs="楷体"/>
          <w:spacing w:val="7"/>
          <w:sz w:val="20"/>
          <w:szCs w:val="20"/>
        </w:rPr>
        <w:t>题并提出解决措施、处理问题、</w:t>
      </w:r>
      <w:r>
        <w:rPr>
          <w:rFonts w:ascii="楷体" w:hAnsi="楷体" w:eastAsia="楷体" w:cs="楷体"/>
          <w:sz w:val="20"/>
          <w:szCs w:val="20"/>
        </w:rPr>
        <w:t xml:space="preserve"> </w:t>
      </w:r>
      <w:r>
        <w:rPr>
          <w:rFonts w:ascii="楷体" w:hAnsi="楷体" w:eastAsia="楷体" w:cs="楷体"/>
          <w:spacing w:val="4"/>
          <w:sz w:val="20"/>
          <w:szCs w:val="20"/>
        </w:rPr>
        <w:t>验证处理后结果是否达到预期目标)管理；</w:t>
      </w:r>
    </w:p>
    <w:p w14:paraId="192AA25C">
      <w:pPr>
        <w:spacing w:before="76" w:line="220" w:lineRule="auto"/>
        <w:ind w:left="390"/>
        <w:rPr>
          <w:rFonts w:ascii="楷体" w:hAnsi="楷体" w:eastAsia="楷体" w:cs="楷体"/>
          <w:sz w:val="20"/>
          <w:szCs w:val="20"/>
        </w:rPr>
      </w:pPr>
      <w:r>
        <w:rPr>
          <w:rFonts w:ascii="楷体" w:hAnsi="楷体" w:eastAsia="楷体" w:cs="楷体"/>
          <w:spacing w:val="1"/>
          <w:sz w:val="20"/>
          <w:szCs w:val="20"/>
        </w:rPr>
        <w:t>●监理提出对试运行方案的审核意见，业主单位批准实施。</w:t>
      </w:r>
    </w:p>
    <w:p w14:paraId="12A8EAEF">
      <w:pPr>
        <w:spacing w:before="87" w:line="224" w:lineRule="auto"/>
        <w:ind w:left="390"/>
        <w:rPr>
          <w:rFonts w:ascii="楷体" w:hAnsi="楷体" w:eastAsia="楷体" w:cs="楷体"/>
          <w:sz w:val="20"/>
          <w:szCs w:val="20"/>
        </w:rPr>
      </w:pPr>
      <w:r>
        <w:rPr>
          <w:rFonts w:ascii="楷体" w:hAnsi="楷体" w:eastAsia="楷体" w:cs="楷体"/>
          <w:spacing w:val="15"/>
          <w:sz w:val="20"/>
          <w:szCs w:val="20"/>
        </w:rPr>
        <w:t>(3)终验(竣工验收)应具备的条件：</w:t>
      </w:r>
    </w:p>
    <w:p w14:paraId="3965FDF1">
      <w:pPr>
        <w:spacing w:before="72" w:line="220" w:lineRule="auto"/>
        <w:ind w:left="390"/>
        <w:rPr>
          <w:rFonts w:ascii="楷体" w:hAnsi="楷体" w:eastAsia="楷体" w:cs="楷体"/>
          <w:sz w:val="20"/>
          <w:szCs w:val="20"/>
        </w:rPr>
      </w:pPr>
      <w:r>
        <w:rPr>
          <w:rFonts w:ascii="楷体" w:hAnsi="楷体" w:eastAsia="楷体" w:cs="楷体"/>
          <w:spacing w:val="1"/>
          <w:sz w:val="20"/>
          <w:szCs w:val="20"/>
        </w:rPr>
        <w:t>●完成系统试运行，并有完备的试运行记录材料，或试运行阶段总结报告；</w:t>
      </w:r>
    </w:p>
    <w:p w14:paraId="184E9D72">
      <w:pPr>
        <w:spacing w:before="81" w:line="220" w:lineRule="auto"/>
        <w:ind w:left="390"/>
        <w:rPr>
          <w:rFonts w:ascii="楷体" w:hAnsi="楷体" w:eastAsia="楷体" w:cs="楷体"/>
          <w:sz w:val="20"/>
          <w:szCs w:val="20"/>
        </w:rPr>
      </w:pPr>
      <w:r>
        <w:rPr>
          <w:rFonts w:ascii="楷体" w:hAnsi="楷体" w:eastAsia="楷体" w:cs="楷体"/>
          <w:spacing w:val="1"/>
          <w:sz w:val="20"/>
          <w:szCs w:val="20"/>
        </w:rPr>
        <w:t>●要求在单项产品测试和系统联机测试均达到合同要求，并实现系统正常运行；</w:t>
      </w:r>
    </w:p>
    <w:p w14:paraId="6C88A83D">
      <w:pPr>
        <w:spacing w:before="51" w:line="265" w:lineRule="auto"/>
        <w:ind w:left="689" w:right="289" w:hanging="299"/>
        <w:rPr>
          <w:rFonts w:ascii="楷体" w:hAnsi="楷体" w:eastAsia="楷体" w:cs="楷体"/>
          <w:sz w:val="20"/>
          <w:szCs w:val="20"/>
        </w:rPr>
      </w:pPr>
      <w:r>
        <w:rPr>
          <w:rFonts w:ascii="楷体" w:hAnsi="楷体" w:eastAsia="楷体" w:cs="楷体"/>
          <w:spacing w:val="5"/>
          <w:sz w:val="20"/>
          <w:szCs w:val="20"/>
        </w:rPr>
        <w:t>●中标人负责按照国家工程竣工验收有关标准和规定，提供完整的竣工资料、竣工图纸，</w:t>
      </w:r>
      <w:r>
        <w:rPr>
          <w:rFonts w:ascii="楷体" w:hAnsi="楷体" w:eastAsia="楷体" w:cs="楷体"/>
          <w:spacing w:val="3"/>
          <w:sz w:val="20"/>
          <w:szCs w:val="20"/>
        </w:rPr>
        <w:t xml:space="preserve"> </w:t>
      </w:r>
      <w:r>
        <w:rPr>
          <w:rFonts w:ascii="楷体" w:hAnsi="楷体" w:eastAsia="楷体" w:cs="楷体"/>
          <w:spacing w:val="10"/>
          <w:sz w:val="20"/>
          <w:szCs w:val="20"/>
        </w:rPr>
        <w:t>提供3份精装竣工资料和图纸(包括电子文</w:t>
      </w:r>
      <w:r>
        <w:rPr>
          <w:rFonts w:ascii="楷体" w:hAnsi="楷体" w:eastAsia="楷体" w:cs="楷体"/>
          <w:spacing w:val="9"/>
          <w:sz w:val="20"/>
          <w:szCs w:val="20"/>
        </w:rPr>
        <w:t>档);</w:t>
      </w:r>
    </w:p>
    <w:p w14:paraId="2FB91642">
      <w:pPr>
        <w:spacing w:before="68" w:line="262" w:lineRule="auto"/>
        <w:ind w:left="689" w:right="388" w:hanging="299"/>
        <w:rPr>
          <w:rFonts w:ascii="楷体" w:hAnsi="楷体" w:eastAsia="楷体" w:cs="楷体"/>
          <w:sz w:val="20"/>
          <w:szCs w:val="20"/>
        </w:rPr>
      </w:pPr>
      <w:r>
        <w:rPr>
          <w:rFonts w:ascii="楷体" w:hAnsi="楷体" w:eastAsia="楷体" w:cs="楷体"/>
          <w:spacing w:val="3"/>
          <w:sz w:val="20"/>
          <w:szCs w:val="20"/>
        </w:rPr>
        <w:t>●在项目验收时，中标人将系统设计施工相关产品</w:t>
      </w:r>
      <w:r>
        <w:rPr>
          <w:rFonts w:ascii="楷体" w:hAnsi="楷体" w:eastAsia="楷体" w:cs="楷体"/>
          <w:spacing w:val="2"/>
          <w:sz w:val="20"/>
          <w:szCs w:val="20"/>
        </w:rPr>
        <w:t>说明书、原厂家安装手册、资料，以及</w:t>
      </w:r>
      <w:r>
        <w:rPr>
          <w:rFonts w:ascii="楷体" w:hAnsi="楷体" w:eastAsia="楷体" w:cs="楷体"/>
          <w:sz w:val="20"/>
          <w:szCs w:val="20"/>
        </w:rPr>
        <w:t xml:space="preserve"> </w:t>
      </w:r>
      <w:r>
        <w:rPr>
          <w:rFonts w:ascii="楷体" w:hAnsi="楷体" w:eastAsia="楷体" w:cs="楷体"/>
          <w:spacing w:val="-1"/>
          <w:sz w:val="20"/>
          <w:szCs w:val="20"/>
        </w:rPr>
        <w:t>测试报告等全部技术文件、图纸汇集整理成册，按招标人要求的数量交付招标人；</w:t>
      </w:r>
    </w:p>
    <w:p w14:paraId="47571DBD">
      <w:pPr>
        <w:spacing w:before="87" w:line="225" w:lineRule="auto"/>
        <w:ind w:left="390"/>
        <w:rPr>
          <w:rFonts w:ascii="楷体" w:hAnsi="楷体" w:eastAsia="楷体" w:cs="楷体"/>
          <w:sz w:val="20"/>
          <w:szCs w:val="20"/>
        </w:rPr>
      </w:pPr>
      <w:r>
        <w:rPr>
          <w:rFonts w:ascii="楷体" w:hAnsi="楷体" w:eastAsia="楷体" w:cs="楷体"/>
          <w:spacing w:val="1"/>
          <w:sz w:val="20"/>
          <w:szCs w:val="20"/>
        </w:rPr>
        <w:t>●提供设计、施工、监理等单位分别签署的质量合格文件；</w:t>
      </w:r>
    </w:p>
    <w:p w14:paraId="0EDC3FAE">
      <w:pPr>
        <w:spacing w:before="76" w:line="225" w:lineRule="auto"/>
        <w:ind w:left="390"/>
        <w:rPr>
          <w:rFonts w:ascii="楷体" w:hAnsi="楷体" w:eastAsia="楷体" w:cs="楷体"/>
          <w:sz w:val="20"/>
          <w:szCs w:val="20"/>
        </w:rPr>
      </w:pPr>
      <w:r>
        <w:rPr>
          <w:rFonts w:ascii="楷体" w:hAnsi="楷体" w:eastAsia="楷体" w:cs="楷体"/>
          <w:spacing w:val="1"/>
          <w:sz w:val="20"/>
          <w:szCs w:val="20"/>
        </w:rPr>
        <w:t>●提供中标人签署的工程保修书；</w:t>
      </w:r>
    </w:p>
    <w:p w14:paraId="41BCBA70">
      <w:pPr>
        <w:spacing w:before="64" w:line="223" w:lineRule="auto"/>
        <w:ind w:left="390"/>
        <w:rPr>
          <w:rFonts w:ascii="楷体" w:hAnsi="楷体" w:eastAsia="楷体" w:cs="楷体"/>
          <w:sz w:val="20"/>
          <w:szCs w:val="20"/>
        </w:rPr>
      </w:pPr>
      <w:r>
        <w:rPr>
          <w:rFonts w:ascii="楷体" w:hAnsi="楷体" w:eastAsia="楷体" w:cs="楷体"/>
          <w:spacing w:val="5"/>
          <w:sz w:val="20"/>
          <w:szCs w:val="20"/>
        </w:rPr>
        <w:t>●完成终验的其他准备工作。</w:t>
      </w:r>
    </w:p>
    <w:p w14:paraId="0F267D9E">
      <w:pPr>
        <w:spacing w:before="65" w:line="277" w:lineRule="auto"/>
        <w:ind w:right="372" w:firstLine="390"/>
        <w:rPr>
          <w:rFonts w:ascii="楷体" w:hAnsi="楷体" w:eastAsia="楷体" w:cs="楷体"/>
          <w:sz w:val="20"/>
          <w:szCs w:val="20"/>
        </w:rPr>
      </w:pPr>
      <w:r>
        <w:rPr>
          <w:rFonts w:ascii="楷体" w:hAnsi="楷体" w:eastAsia="楷体" w:cs="楷体"/>
          <w:spacing w:val="3"/>
          <w:sz w:val="20"/>
          <w:szCs w:val="20"/>
        </w:rPr>
        <w:t>中标人未达到以上条件而提交的竣工验收申请和竣工验收报告均被视作无效文件，并</w:t>
      </w:r>
      <w:r>
        <w:rPr>
          <w:rFonts w:ascii="楷体" w:hAnsi="楷体" w:eastAsia="楷体" w:cs="楷体"/>
          <w:spacing w:val="2"/>
          <w:sz w:val="20"/>
          <w:szCs w:val="20"/>
        </w:rPr>
        <w:t>不予</w:t>
      </w:r>
      <w:r>
        <w:rPr>
          <w:rFonts w:ascii="楷体" w:hAnsi="楷体" w:eastAsia="楷体" w:cs="楷体"/>
          <w:sz w:val="20"/>
          <w:szCs w:val="20"/>
        </w:rPr>
        <w:t xml:space="preserve"> </w:t>
      </w:r>
      <w:r>
        <w:rPr>
          <w:rFonts w:ascii="楷体" w:hAnsi="楷体" w:eastAsia="楷体" w:cs="楷体"/>
          <w:spacing w:val="-3"/>
          <w:sz w:val="20"/>
          <w:szCs w:val="20"/>
        </w:rPr>
        <w:t>受理，也不作为实际竣工日期的评判依据。</w:t>
      </w:r>
    </w:p>
    <w:p w14:paraId="3AABDF34">
      <w:pPr>
        <w:spacing w:before="10" w:line="277" w:lineRule="auto"/>
        <w:ind w:right="342" w:firstLine="390"/>
        <w:rPr>
          <w:rFonts w:ascii="楷体" w:hAnsi="楷体" w:eastAsia="楷体" w:cs="楷体"/>
          <w:sz w:val="20"/>
          <w:szCs w:val="20"/>
        </w:rPr>
      </w:pPr>
      <w:r>
        <w:rPr>
          <w:rFonts w:ascii="楷体" w:hAnsi="楷体" w:eastAsia="楷体" w:cs="楷体"/>
          <w:spacing w:val="4"/>
          <w:sz w:val="20"/>
          <w:szCs w:val="20"/>
        </w:rPr>
        <w:t>该案例包含了数据中心招标文件主要服务需求，可为监</w:t>
      </w:r>
      <w:r>
        <w:rPr>
          <w:rFonts w:ascii="楷体" w:hAnsi="楷体" w:eastAsia="楷体" w:cs="楷体"/>
          <w:spacing w:val="3"/>
          <w:sz w:val="20"/>
          <w:szCs w:val="20"/>
        </w:rPr>
        <w:t>理单位开展招标阶段监理服务提供</w:t>
      </w:r>
      <w:r>
        <w:rPr>
          <w:rFonts w:ascii="楷体" w:hAnsi="楷体" w:eastAsia="楷体" w:cs="楷体"/>
          <w:sz w:val="20"/>
          <w:szCs w:val="20"/>
        </w:rPr>
        <w:t xml:space="preserve"> </w:t>
      </w:r>
      <w:r>
        <w:rPr>
          <w:rFonts w:ascii="楷体" w:hAnsi="楷体" w:eastAsia="楷体" w:cs="楷体"/>
          <w:spacing w:val="3"/>
          <w:sz w:val="20"/>
          <w:szCs w:val="20"/>
        </w:rPr>
        <w:t>必要的理解和帮助；同时，有关验收条件、验收手续等为监理单位和监理人员开展必要的工作</w:t>
      </w:r>
    </w:p>
    <w:p w14:paraId="735D71B0">
      <w:pPr>
        <w:spacing w:line="277" w:lineRule="auto"/>
        <w:rPr>
          <w:rFonts w:ascii="楷体" w:hAnsi="楷体" w:eastAsia="楷体" w:cs="楷体"/>
          <w:sz w:val="20"/>
          <w:szCs w:val="20"/>
        </w:rPr>
        <w:sectPr>
          <w:pgSz w:w="10300" w:h="13310"/>
          <w:pgMar w:top="380" w:right="460" w:bottom="400" w:left="1159" w:header="0" w:footer="0" w:gutter="0"/>
          <w:cols w:space="720" w:num="1"/>
        </w:sectPr>
      </w:pPr>
    </w:p>
    <w:p w14:paraId="48897925">
      <w:pPr>
        <w:pStyle w:val="2"/>
        <w:ind w:left="819"/>
        <w:rPr>
          <w:sz w:val="17"/>
          <w:szCs w:val="17"/>
        </w:rPr>
      </w:pPr>
      <w:r>
        <w:pict>
          <v:shape id="_x0000_s1632" o:spid="_x0000_s1632" o:spt="202" type="#_x0000_t202" style="position:absolute;left:0pt;margin-left:-1pt;margin-top:-1pt;height:21.5pt;width:37.35pt;z-index:251847680;mso-width-relative:page;mso-height-relative:page;" filled="f" stroked="f" coordsize="21600,21600">
            <v:path/>
            <v:fill on="f" focussize="0,0"/>
            <v:stroke on="f"/>
            <v:imagedata o:title=""/>
            <o:lock v:ext="edit" aspectratio="f"/>
            <v:textbox inset="0mm,0mm,0mm,0mm">
              <w:txbxContent>
                <w:p w14:paraId="7C6EAC37">
                  <w:pPr>
                    <w:spacing w:before="20"/>
                    <w:ind w:left="20"/>
                    <w:rPr>
                      <w:rFonts w:ascii="Times New Roman" w:hAnsi="Times New Roman" w:eastAsia="Times New Roman" w:cs="Times New Roman"/>
                      <w:sz w:val="17"/>
                      <w:szCs w:val="17"/>
                    </w:rPr>
                  </w:pPr>
                  <w:r>
                    <w:rPr>
                      <w:rFonts w:ascii="Times New Roman" w:hAnsi="Times New Roman" w:eastAsia="Times New Roman" w:cs="Times New Roman"/>
                      <w:position w:val="-10"/>
                      <w:sz w:val="17"/>
                      <w:szCs w:val="17"/>
                    </w:rPr>
                    <w:drawing>
                      <wp:inline distT="0" distB="0" distL="0" distR="0">
                        <wp:extent cx="266700" cy="247015"/>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346"/>
                                <a:stretch>
                                  <a:fillRect/>
                                </a:stretch>
                              </pic:blipFill>
                              <pic:spPr>
                                <a:xfrm>
                                  <a:off x="0" y="0"/>
                                  <a:ext cx="266721" cy="247597"/>
                                </a:xfrm>
                                <a:prstGeom prst="rect">
                                  <a:avLst/>
                                </a:prstGeom>
                              </pic:spPr>
                            </pic:pic>
                          </a:graphicData>
                        </a:graphic>
                      </wp:inline>
                    </w:drawing>
                  </w:r>
                  <w:r>
                    <w:rPr>
                      <w:rFonts w:ascii="Times New Roman" w:hAnsi="Times New Roman" w:eastAsia="Times New Roman" w:cs="Times New Roman"/>
                      <w:spacing w:val="-3"/>
                      <w:sz w:val="17"/>
                      <w:szCs w:val="17"/>
                    </w:rPr>
                    <w:t xml:space="preserve"> </w:t>
                  </w:r>
                  <w:r>
                    <w:rPr>
                      <w:rFonts w:ascii="Times New Roman" w:hAnsi="Times New Roman" w:eastAsia="Times New Roman" w:cs="Times New Roman"/>
                      <w:spacing w:val="-2"/>
                      <w:sz w:val="17"/>
                      <w:szCs w:val="17"/>
                    </w:rPr>
                    <w:t>540</w:t>
                  </w:r>
                </w:p>
              </w:txbxContent>
            </v:textbox>
          </v:shape>
        </w:pict>
      </w:r>
      <w:r>
        <w:rPr>
          <w:position w:val="-10"/>
          <w:sz w:val="17"/>
          <w:szCs w:val="17"/>
        </w:rPr>
        <w:drawing>
          <wp:inline distT="0" distB="0" distL="0" distR="0">
            <wp:extent cx="291465" cy="247015"/>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347"/>
                    <a:stretch>
                      <a:fillRect/>
                    </a:stretch>
                  </pic:blipFill>
                  <pic:spPr>
                    <a:xfrm>
                      <a:off x="0" y="0"/>
                      <a:ext cx="292098" cy="247597"/>
                    </a:xfrm>
                    <a:prstGeom prst="rect">
                      <a:avLst/>
                    </a:prstGeom>
                  </pic:spPr>
                </pic:pic>
              </a:graphicData>
            </a:graphic>
          </wp:inline>
        </w:drawing>
      </w:r>
      <w:r>
        <w:rPr>
          <w:spacing w:val="74"/>
          <w:sz w:val="17"/>
          <w:szCs w:val="17"/>
        </w:rPr>
        <w:t xml:space="preserve"> </w:t>
      </w:r>
      <w:r>
        <w:rPr>
          <w:spacing w:val="23"/>
          <w:sz w:val="17"/>
          <w:szCs w:val="17"/>
        </w:rPr>
        <w:t>信息系统监理师教程(第2版)</w:t>
      </w:r>
    </w:p>
    <w:p w14:paraId="6298A40E">
      <w:pPr>
        <w:spacing w:line="306" w:lineRule="auto"/>
        <w:rPr>
          <w:rFonts w:ascii="Arial"/>
          <w:sz w:val="21"/>
        </w:rPr>
      </w:pPr>
    </w:p>
    <w:p w14:paraId="6C304ED4">
      <w:pPr>
        <w:spacing w:before="55" w:line="224" w:lineRule="auto"/>
        <w:ind w:left="839"/>
        <w:rPr>
          <w:rFonts w:ascii="楷体" w:hAnsi="楷体" w:eastAsia="楷体" w:cs="楷体"/>
          <w:sz w:val="17"/>
          <w:szCs w:val="17"/>
        </w:rPr>
      </w:pPr>
      <w:r>
        <w:rPr>
          <w:rFonts w:ascii="楷体" w:hAnsi="楷体" w:eastAsia="楷体" w:cs="楷体"/>
          <w:spacing w:val="25"/>
          <w:sz w:val="17"/>
          <w:szCs w:val="17"/>
        </w:rPr>
        <w:t>记录予以提醒和指导。</w:t>
      </w:r>
    </w:p>
    <w:p w14:paraId="17E6502D">
      <w:pPr>
        <w:spacing w:before="115" w:line="225" w:lineRule="auto"/>
        <w:ind w:left="1259"/>
        <w:rPr>
          <w:rFonts w:ascii="楷体" w:hAnsi="楷体" w:eastAsia="楷体" w:cs="楷体"/>
          <w:sz w:val="17"/>
          <w:szCs w:val="17"/>
        </w:rPr>
      </w:pPr>
      <w:r>
        <w:rPr>
          <w:rFonts w:ascii="楷体" w:hAnsi="楷体" w:eastAsia="楷体" w:cs="楷体"/>
          <w:spacing w:val="26"/>
          <w:sz w:val="17"/>
          <w:szCs w:val="17"/>
        </w:rPr>
        <w:t>以上案例的相关内容供监理实践适当借鉴应用。</w:t>
      </w:r>
    </w:p>
    <w:p w14:paraId="1BE77C55">
      <w:pPr>
        <w:pStyle w:val="2"/>
        <w:spacing w:before="254" w:line="220" w:lineRule="auto"/>
        <w:ind w:left="802"/>
        <w:outlineLvl w:val="1"/>
        <w:rPr>
          <w:sz w:val="24"/>
          <w:szCs w:val="24"/>
        </w:rPr>
      </w:pPr>
      <w:bookmarkStart w:id="749" w:name="bookmark734"/>
      <w:bookmarkEnd w:id="749"/>
      <w:r>
        <w:rPr>
          <w:b/>
          <w:bCs/>
          <w:color w:val="0055A1"/>
          <w:spacing w:val="-15"/>
          <w:sz w:val="24"/>
          <w:szCs w:val="24"/>
        </w:rPr>
        <w:t>23.5.3</w:t>
      </w:r>
      <w:r>
        <w:rPr>
          <w:color w:val="0055A1"/>
          <w:spacing w:val="86"/>
          <w:sz w:val="24"/>
          <w:szCs w:val="24"/>
        </w:rPr>
        <w:t xml:space="preserve"> </w:t>
      </w:r>
      <w:r>
        <w:rPr>
          <w:b/>
          <w:bCs/>
          <w:color w:val="0055A1"/>
          <w:spacing w:val="-15"/>
          <w:sz w:val="24"/>
          <w:szCs w:val="24"/>
        </w:rPr>
        <w:t>监理流程</w:t>
      </w:r>
    </w:p>
    <w:p w14:paraId="7358256E">
      <w:pPr>
        <w:pStyle w:val="2"/>
        <w:spacing w:before="213" w:line="219" w:lineRule="auto"/>
        <w:ind w:left="1230"/>
        <w:rPr>
          <w:sz w:val="17"/>
          <w:szCs w:val="17"/>
        </w:rPr>
      </w:pPr>
      <w:r>
        <w:rPr>
          <w:spacing w:val="24"/>
          <w:sz w:val="17"/>
          <w:szCs w:val="17"/>
        </w:rPr>
        <w:t>数据中心工程验收阶段监理流程如图23</w:t>
      </w:r>
      <w:r>
        <w:rPr>
          <w:spacing w:val="-40"/>
          <w:sz w:val="17"/>
          <w:szCs w:val="17"/>
        </w:rPr>
        <w:t xml:space="preserve"> </w:t>
      </w:r>
      <w:r>
        <w:rPr>
          <w:spacing w:val="24"/>
          <w:sz w:val="17"/>
          <w:szCs w:val="17"/>
        </w:rPr>
        <w:t>-</w:t>
      </w:r>
      <w:r>
        <w:rPr>
          <w:spacing w:val="-49"/>
          <w:sz w:val="17"/>
          <w:szCs w:val="17"/>
        </w:rPr>
        <w:t xml:space="preserve"> </w:t>
      </w:r>
      <w:r>
        <w:rPr>
          <w:spacing w:val="24"/>
          <w:sz w:val="17"/>
          <w:szCs w:val="17"/>
        </w:rPr>
        <w:t>4所示。</w:t>
      </w:r>
    </w:p>
    <w:p w14:paraId="16C7ADE3">
      <w:pPr>
        <w:spacing w:line="310" w:lineRule="auto"/>
        <w:rPr>
          <w:rFonts w:ascii="Arial"/>
          <w:sz w:val="21"/>
        </w:rPr>
      </w:pPr>
    </w:p>
    <w:p w14:paraId="30345293">
      <w:pPr>
        <w:pStyle w:val="2"/>
        <w:spacing w:before="56" w:line="221" w:lineRule="auto"/>
        <w:ind w:left="1769"/>
        <w:rPr>
          <w:sz w:val="17"/>
          <w:szCs w:val="17"/>
        </w:rPr>
      </w:pPr>
      <w:r>
        <w:drawing>
          <wp:anchor distT="0" distB="0" distL="0" distR="0" simplePos="0" relativeHeight="251846656" behindDoc="1" locked="0" layoutInCell="1" allowOverlap="1">
            <wp:simplePos x="0" y="0"/>
            <wp:positionH relativeFrom="column">
              <wp:posOffset>742315</wp:posOffset>
            </wp:positionH>
            <wp:positionV relativeFrom="paragraph">
              <wp:posOffset>-120650</wp:posOffset>
            </wp:positionV>
            <wp:extent cx="4826000" cy="6178550"/>
            <wp:effectExtent l="0" t="0" r="0" b="0"/>
            <wp:wrapNone/>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348"/>
                    <a:stretch>
                      <a:fillRect/>
                    </a:stretch>
                  </pic:blipFill>
                  <pic:spPr>
                    <a:xfrm>
                      <a:off x="0" y="0"/>
                      <a:ext cx="4826038" cy="6178534"/>
                    </a:xfrm>
                    <a:prstGeom prst="rect">
                      <a:avLst/>
                    </a:prstGeom>
                  </pic:spPr>
                </pic:pic>
              </a:graphicData>
            </a:graphic>
          </wp:anchor>
        </w:drawing>
      </w:r>
      <w:r>
        <w:rPr>
          <w:spacing w:val="1"/>
          <w:sz w:val="17"/>
          <w:szCs w:val="17"/>
        </w:rPr>
        <w:t>输</w:t>
      </w:r>
      <w:r>
        <w:rPr>
          <w:spacing w:val="-36"/>
          <w:sz w:val="17"/>
          <w:szCs w:val="17"/>
        </w:rPr>
        <w:t xml:space="preserve"> </w:t>
      </w:r>
      <w:r>
        <w:rPr>
          <w:spacing w:val="1"/>
          <w:sz w:val="17"/>
          <w:szCs w:val="17"/>
        </w:rPr>
        <w:t>入</w:t>
      </w:r>
      <w:r>
        <w:rPr>
          <w:spacing w:val="7"/>
          <w:sz w:val="17"/>
          <w:szCs w:val="17"/>
        </w:rPr>
        <w:t xml:space="preserve">           </w:t>
      </w:r>
      <w:r>
        <w:rPr>
          <w:spacing w:val="1"/>
          <w:position w:val="1"/>
          <w:sz w:val="17"/>
          <w:szCs w:val="17"/>
        </w:rPr>
        <w:t>承建单位</w:t>
      </w:r>
      <w:r>
        <w:rPr>
          <w:spacing w:val="4"/>
          <w:position w:val="1"/>
          <w:sz w:val="17"/>
          <w:szCs w:val="17"/>
        </w:rPr>
        <w:t xml:space="preserve">          </w:t>
      </w:r>
      <w:r>
        <w:rPr>
          <w:spacing w:val="1"/>
          <w:position w:val="-1"/>
          <w:sz w:val="17"/>
          <w:szCs w:val="17"/>
        </w:rPr>
        <w:t>监理单位</w:t>
      </w:r>
      <w:r>
        <w:rPr>
          <w:spacing w:val="4"/>
          <w:position w:val="-1"/>
          <w:sz w:val="17"/>
          <w:szCs w:val="17"/>
        </w:rPr>
        <w:t xml:space="preserve">          </w:t>
      </w:r>
      <w:r>
        <w:rPr>
          <w:spacing w:val="1"/>
          <w:sz w:val="17"/>
          <w:szCs w:val="17"/>
        </w:rPr>
        <w:t>业主单位</w:t>
      </w:r>
    </w:p>
    <w:p w14:paraId="6ABDE644">
      <w:pPr>
        <w:spacing w:before="135"/>
      </w:pPr>
    </w:p>
    <w:tbl>
      <w:tblPr>
        <w:tblStyle w:val="5"/>
        <w:tblW w:w="5518" w:type="dxa"/>
        <w:tblInd w:w="13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2"/>
        <w:gridCol w:w="1545"/>
        <w:gridCol w:w="1804"/>
        <w:gridCol w:w="827"/>
      </w:tblGrid>
      <w:tr w14:paraId="59C4A8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70" w:hRule="atLeast"/>
        </w:trPr>
        <w:tc>
          <w:tcPr>
            <w:tcW w:w="1342" w:type="dxa"/>
            <w:vAlign w:val="top"/>
          </w:tcPr>
          <w:p w14:paraId="4824F336">
            <w:pPr>
              <w:pStyle w:val="6"/>
              <w:spacing w:line="219" w:lineRule="auto"/>
              <w:ind w:left="9"/>
              <w:rPr>
                <w:sz w:val="17"/>
                <w:szCs w:val="17"/>
              </w:rPr>
            </w:pPr>
            <w:r>
              <w:rPr>
                <w:spacing w:val="2"/>
                <w:sz w:val="17"/>
                <w:szCs w:val="17"/>
              </w:rPr>
              <w:t>工程初验申请</w:t>
            </w:r>
            <w:r>
              <w:rPr>
                <w:color w:val="0082D9"/>
                <w:spacing w:val="2"/>
                <w:sz w:val="17"/>
                <w:szCs w:val="17"/>
              </w:rPr>
              <w:t>表</w:t>
            </w:r>
          </w:p>
          <w:p w14:paraId="67D33241">
            <w:pPr>
              <w:spacing w:line="321" w:lineRule="auto"/>
              <w:rPr>
                <w:rFonts w:ascii="Arial"/>
                <w:sz w:val="21"/>
              </w:rPr>
            </w:pPr>
          </w:p>
          <w:p w14:paraId="51426827">
            <w:pPr>
              <w:pStyle w:val="6"/>
              <w:spacing w:before="55" w:line="219" w:lineRule="auto"/>
              <w:ind w:left="259"/>
              <w:rPr>
                <w:sz w:val="17"/>
                <w:szCs w:val="17"/>
              </w:rPr>
            </w:pPr>
            <w:r>
              <w:rPr>
                <w:spacing w:val="-2"/>
                <w:sz w:val="17"/>
                <w:szCs w:val="17"/>
              </w:rPr>
              <w:t>验收计划</w:t>
            </w:r>
          </w:p>
          <w:p w14:paraId="34488AD2">
            <w:pPr>
              <w:spacing w:line="253" w:lineRule="auto"/>
              <w:rPr>
                <w:rFonts w:ascii="Arial"/>
                <w:sz w:val="21"/>
              </w:rPr>
            </w:pPr>
          </w:p>
          <w:p w14:paraId="4071FA96">
            <w:pPr>
              <w:spacing w:line="254" w:lineRule="auto"/>
              <w:rPr>
                <w:rFonts w:ascii="Arial"/>
                <w:sz w:val="21"/>
              </w:rPr>
            </w:pPr>
          </w:p>
          <w:p w14:paraId="3FAC4840">
            <w:pPr>
              <w:spacing w:line="254" w:lineRule="auto"/>
              <w:rPr>
                <w:rFonts w:ascii="Arial"/>
                <w:sz w:val="21"/>
              </w:rPr>
            </w:pPr>
          </w:p>
          <w:p w14:paraId="5146D410">
            <w:pPr>
              <w:spacing w:line="254" w:lineRule="auto"/>
              <w:rPr>
                <w:rFonts w:ascii="Arial"/>
                <w:sz w:val="21"/>
              </w:rPr>
            </w:pPr>
          </w:p>
          <w:p w14:paraId="57F5BBE6">
            <w:pPr>
              <w:pStyle w:val="6"/>
              <w:spacing w:before="55" w:line="218" w:lineRule="auto"/>
              <w:ind w:left="259"/>
              <w:rPr>
                <w:sz w:val="17"/>
                <w:szCs w:val="17"/>
              </w:rPr>
            </w:pPr>
            <w:r>
              <w:rPr>
                <w:spacing w:val="-2"/>
                <w:sz w:val="17"/>
                <w:szCs w:val="17"/>
              </w:rPr>
              <w:t>初验报告</w:t>
            </w:r>
          </w:p>
          <w:p w14:paraId="3EFC8A8C">
            <w:pPr>
              <w:spacing w:line="293" w:lineRule="auto"/>
              <w:rPr>
                <w:rFonts w:ascii="Arial"/>
                <w:sz w:val="21"/>
              </w:rPr>
            </w:pPr>
          </w:p>
          <w:p w14:paraId="0179651B">
            <w:pPr>
              <w:pStyle w:val="6"/>
              <w:spacing w:before="55" w:line="219" w:lineRule="auto"/>
              <w:ind w:left="169"/>
              <w:rPr>
                <w:sz w:val="17"/>
                <w:szCs w:val="17"/>
              </w:rPr>
            </w:pPr>
            <w:r>
              <w:rPr>
                <w:spacing w:val="3"/>
                <w:sz w:val="17"/>
                <w:szCs w:val="17"/>
              </w:rPr>
              <w:t>试运行申请</w:t>
            </w:r>
          </w:p>
          <w:p w14:paraId="140CBADE">
            <w:pPr>
              <w:spacing w:line="253" w:lineRule="auto"/>
              <w:rPr>
                <w:rFonts w:ascii="Arial"/>
                <w:sz w:val="21"/>
              </w:rPr>
            </w:pPr>
          </w:p>
          <w:p w14:paraId="5F1B4363">
            <w:pPr>
              <w:spacing w:line="253" w:lineRule="auto"/>
              <w:rPr>
                <w:rFonts w:ascii="Arial"/>
                <w:sz w:val="21"/>
              </w:rPr>
            </w:pPr>
          </w:p>
          <w:p w14:paraId="749BA518">
            <w:pPr>
              <w:spacing w:line="253" w:lineRule="auto"/>
              <w:rPr>
                <w:rFonts w:ascii="Arial"/>
                <w:sz w:val="21"/>
              </w:rPr>
            </w:pPr>
          </w:p>
          <w:p w14:paraId="544F753B">
            <w:pPr>
              <w:spacing w:line="253" w:lineRule="auto"/>
              <w:rPr>
                <w:rFonts w:ascii="Arial"/>
                <w:sz w:val="21"/>
              </w:rPr>
            </w:pPr>
          </w:p>
          <w:p w14:paraId="252E09A1">
            <w:pPr>
              <w:spacing w:line="254" w:lineRule="auto"/>
              <w:rPr>
                <w:rFonts w:ascii="Arial"/>
                <w:sz w:val="21"/>
              </w:rPr>
            </w:pPr>
          </w:p>
          <w:p w14:paraId="55422B74">
            <w:pPr>
              <w:spacing w:line="254" w:lineRule="auto"/>
              <w:rPr>
                <w:rFonts w:ascii="Arial"/>
                <w:sz w:val="21"/>
              </w:rPr>
            </w:pPr>
          </w:p>
          <w:p w14:paraId="047C9DAE">
            <w:pPr>
              <w:spacing w:line="254" w:lineRule="auto"/>
              <w:rPr>
                <w:rFonts w:ascii="Arial"/>
                <w:sz w:val="21"/>
              </w:rPr>
            </w:pPr>
          </w:p>
          <w:p w14:paraId="07D3C5F7">
            <w:pPr>
              <w:spacing w:line="254" w:lineRule="auto"/>
              <w:rPr>
                <w:rFonts w:ascii="Arial"/>
                <w:sz w:val="21"/>
              </w:rPr>
            </w:pPr>
          </w:p>
          <w:p w14:paraId="222AE59F">
            <w:pPr>
              <w:pStyle w:val="6"/>
              <w:spacing w:before="56" w:line="218" w:lineRule="auto"/>
              <w:ind w:left="169"/>
              <w:rPr>
                <w:sz w:val="17"/>
                <w:szCs w:val="17"/>
              </w:rPr>
            </w:pPr>
            <w:r>
              <w:rPr>
                <w:spacing w:val="4"/>
                <w:sz w:val="17"/>
                <w:szCs w:val="17"/>
              </w:rPr>
              <w:t>试运行报告</w:t>
            </w:r>
          </w:p>
          <w:p w14:paraId="4846B501">
            <w:pPr>
              <w:spacing w:line="276" w:lineRule="auto"/>
              <w:rPr>
                <w:rFonts w:ascii="Arial"/>
                <w:sz w:val="21"/>
              </w:rPr>
            </w:pPr>
          </w:p>
          <w:p w14:paraId="434CC2A5">
            <w:pPr>
              <w:spacing w:line="276" w:lineRule="auto"/>
              <w:rPr>
                <w:rFonts w:ascii="Arial"/>
                <w:sz w:val="21"/>
              </w:rPr>
            </w:pPr>
          </w:p>
          <w:p w14:paraId="6E587E79">
            <w:pPr>
              <w:pStyle w:val="6"/>
              <w:spacing w:before="56" w:line="486" w:lineRule="auto"/>
              <w:ind w:left="258" w:right="137" w:hanging="259"/>
              <w:rPr>
                <w:sz w:val="17"/>
                <w:szCs w:val="17"/>
              </w:rPr>
            </w:pPr>
            <w:r>
              <w:rPr>
                <w:spacing w:val="2"/>
                <w:sz w:val="17"/>
                <w:szCs w:val="17"/>
              </w:rPr>
              <w:t>工程终验申请</w:t>
            </w:r>
            <w:r>
              <w:rPr>
                <w:color w:val="2496E3"/>
                <w:spacing w:val="2"/>
                <w:sz w:val="17"/>
                <w:szCs w:val="17"/>
              </w:rPr>
              <w:t>表</w:t>
            </w:r>
            <w:r>
              <w:rPr>
                <w:color w:val="2496E3"/>
                <w:sz w:val="17"/>
                <w:szCs w:val="17"/>
              </w:rPr>
              <w:t xml:space="preserve"> </w:t>
            </w:r>
            <w:r>
              <w:rPr>
                <w:spacing w:val="-2"/>
                <w:sz w:val="17"/>
                <w:szCs w:val="17"/>
              </w:rPr>
              <w:t>验收计划</w:t>
            </w:r>
          </w:p>
          <w:p w14:paraId="1E901D51">
            <w:pPr>
              <w:pStyle w:val="6"/>
              <w:spacing w:before="3" w:line="239" w:lineRule="auto"/>
              <w:ind w:left="419" w:right="224" w:hanging="340"/>
              <w:rPr>
                <w:sz w:val="17"/>
                <w:szCs w:val="17"/>
              </w:rPr>
            </w:pPr>
            <w:r>
              <w:rPr>
                <w:spacing w:val="3"/>
                <w:sz w:val="17"/>
                <w:szCs w:val="17"/>
              </w:rPr>
              <w:t>工程交付设备</w:t>
            </w:r>
            <w:r>
              <w:rPr>
                <w:sz w:val="17"/>
                <w:szCs w:val="17"/>
              </w:rPr>
              <w:t xml:space="preserve"> </w:t>
            </w:r>
            <w:r>
              <w:rPr>
                <w:spacing w:val="22"/>
                <w:sz w:val="17"/>
                <w:szCs w:val="17"/>
              </w:rPr>
              <w:t>总表</w:t>
            </w:r>
          </w:p>
          <w:p w14:paraId="000F40FE">
            <w:pPr>
              <w:pStyle w:val="6"/>
              <w:spacing w:before="131" w:line="219" w:lineRule="auto"/>
              <w:ind w:left="79"/>
              <w:rPr>
                <w:sz w:val="17"/>
                <w:szCs w:val="17"/>
              </w:rPr>
            </w:pPr>
            <w:r>
              <w:rPr>
                <w:spacing w:val="7"/>
                <w:sz w:val="17"/>
                <w:szCs w:val="17"/>
              </w:rPr>
              <w:t>竣工文档交付</w:t>
            </w:r>
          </w:p>
          <w:p w14:paraId="429702FA">
            <w:pPr>
              <w:pStyle w:val="6"/>
              <w:spacing w:before="19" w:line="221" w:lineRule="auto"/>
              <w:ind w:left="419"/>
              <w:rPr>
                <w:sz w:val="17"/>
                <w:szCs w:val="17"/>
              </w:rPr>
            </w:pPr>
            <w:r>
              <w:rPr>
                <w:color w:val="FFFFFF"/>
                <w:spacing w:val="9"/>
                <w:sz w:val="17"/>
                <w:szCs w:val="17"/>
              </w:rPr>
              <w:t>总表</w:t>
            </w:r>
          </w:p>
          <w:p w14:paraId="3DCB0474">
            <w:pPr>
              <w:pStyle w:val="6"/>
              <w:spacing w:before="164" w:line="218" w:lineRule="auto"/>
              <w:ind w:left="259"/>
              <w:rPr>
                <w:sz w:val="17"/>
                <w:szCs w:val="17"/>
              </w:rPr>
            </w:pPr>
            <w:r>
              <w:rPr>
                <w:spacing w:val="2"/>
                <w:sz w:val="17"/>
                <w:szCs w:val="17"/>
              </w:rPr>
              <w:t>终验报告</w:t>
            </w:r>
          </w:p>
        </w:tc>
        <w:tc>
          <w:tcPr>
            <w:tcW w:w="1545" w:type="dxa"/>
            <w:vAlign w:val="top"/>
          </w:tcPr>
          <w:p w14:paraId="4E9B75FF">
            <w:pPr>
              <w:pStyle w:val="6"/>
              <w:spacing w:before="70" w:line="219" w:lineRule="auto"/>
              <w:ind w:left="128"/>
              <w:rPr>
                <w:sz w:val="17"/>
                <w:szCs w:val="17"/>
              </w:rPr>
            </w:pPr>
            <w:r>
              <w:rPr>
                <w:spacing w:val="9"/>
                <w:sz w:val="17"/>
                <w:szCs w:val="17"/>
              </w:rPr>
              <w:t>提交初验申请</w:t>
            </w:r>
            <w:r>
              <w:rPr>
                <w:color w:val="157BE2"/>
                <w:spacing w:val="9"/>
                <w:sz w:val="17"/>
                <w:szCs w:val="17"/>
              </w:rPr>
              <w:t>表</w:t>
            </w:r>
          </w:p>
          <w:p w14:paraId="08987B88">
            <w:pPr>
              <w:spacing w:line="306" w:lineRule="auto"/>
              <w:rPr>
                <w:rFonts w:ascii="Arial"/>
                <w:sz w:val="21"/>
              </w:rPr>
            </w:pPr>
          </w:p>
          <w:p w14:paraId="344C0A50">
            <w:pPr>
              <w:spacing w:line="306" w:lineRule="auto"/>
              <w:rPr>
                <w:rFonts w:ascii="Arial"/>
                <w:sz w:val="21"/>
              </w:rPr>
            </w:pPr>
          </w:p>
          <w:p w14:paraId="7EE4F510">
            <w:pPr>
              <w:spacing w:line="306" w:lineRule="auto"/>
              <w:rPr>
                <w:rFonts w:ascii="Arial"/>
                <w:sz w:val="21"/>
              </w:rPr>
            </w:pPr>
          </w:p>
          <w:p w14:paraId="6F980A4D">
            <w:pPr>
              <w:pStyle w:val="6"/>
              <w:spacing w:before="55" w:line="221" w:lineRule="auto"/>
              <w:ind w:left="437"/>
              <w:rPr>
                <w:sz w:val="17"/>
                <w:szCs w:val="17"/>
              </w:rPr>
            </w:pPr>
            <w:r>
              <w:rPr>
                <w:spacing w:val="-2"/>
                <w:sz w:val="17"/>
                <w:szCs w:val="17"/>
              </w:rPr>
              <w:t>系统初验</w:t>
            </w:r>
          </w:p>
          <w:p w14:paraId="167BB0D3">
            <w:pPr>
              <w:spacing w:line="308" w:lineRule="auto"/>
              <w:rPr>
                <w:rFonts w:ascii="Arial"/>
                <w:sz w:val="21"/>
              </w:rPr>
            </w:pPr>
          </w:p>
          <w:p w14:paraId="51B94A67">
            <w:pPr>
              <w:spacing w:line="308" w:lineRule="auto"/>
              <w:rPr>
                <w:rFonts w:ascii="Arial"/>
                <w:sz w:val="21"/>
              </w:rPr>
            </w:pPr>
          </w:p>
          <w:p w14:paraId="23530678">
            <w:pPr>
              <w:spacing w:line="308" w:lineRule="auto"/>
              <w:rPr>
                <w:rFonts w:ascii="Arial"/>
                <w:sz w:val="21"/>
              </w:rPr>
            </w:pPr>
          </w:p>
          <w:p w14:paraId="1F497F9D">
            <w:pPr>
              <w:pStyle w:val="6"/>
              <w:spacing w:before="55" w:line="219" w:lineRule="auto"/>
              <w:ind w:left="128"/>
              <w:rPr>
                <w:sz w:val="17"/>
                <w:szCs w:val="17"/>
              </w:rPr>
            </w:pPr>
            <w:r>
              <w:rPr>
                <w:spacing w:val="2"/>
                <w:sz w:val="17"/>
                <w:szCs w:val="17"/>
              </w:rPr>
              <w:t>提交试运行申请</w:t>
            </w:r>
          </w:p>
          <w:p w14:paraId="491B9848">
            <w:pPr>
              <w:spacing w:line="250" w:lineRule="auto"/>
              <w:rPr>
                <w:rFonts w:ascii="Arial"/>
                <w:sz w:val="21"/>
              </w:rPr>
            </w:pPr>
          </w:p>
          <w:p w14:paraId="6FA73966">
            <w:pPr>
              <w:spacing w:line="250" w:lineRule="auto"/>
              <w:rPr>
                <w:rFonts w:ascii="Arial"/>
                <w:sz w:val="21"/>
              </w:rPr>
            </w:pPr>
          </w:p>
          <w:p w14:paraId="4963937E">
            <w:pPr>
              <w:spacing w:line="251" w:lineRule="auto"/>
              <w:rPr>
                <w:rFonts w:ascii="Arial"/>
                <w:sz w:val="21"/>
              </w:rPr>
            </w:pPr>
          </w:p>
          <w:p w14:paraId="65ACFF79">
            <w:pPr>
              <w:spacing w:line="251" w:lineRule="auto"/>
              <w:rPr>
                <w:rFonts w:ascii="Arial"/>
                <w:sz w:val="21"/>
              </w:rPr>
            </w:pPr>
          </w:p>
          <w:p w14:paraId="2C70F5CD">
            <w:pPr>
              <w:spacing w:line="251" w:lineRule="auto"/>
              <w:rPr>
                <w:rFonts w:ascii="Arial"/>
                <w:sz w:val="21"/>
              </w:rPr>
            </w:pPr>
          </w:p>
          <w:p w14:paraId="546A15D6">
            <w:pPr>
              <w:spacing w:line="251" w:lineRule="auto"/>
              <w:rPr>
                <w:rFonts w:ascii="Arial"/>
                <w:sz w:val="21"/>
              </w:rPr>
            </w:pPr>
          </w:p>
          <w:p w14:paraId="7CFE4DA6">
            <w:pPr>
              <w:pStyle w:val="6"/>
              <w:spacing w:before="56" w:line="227" w:lineRule="auto"/>
              <w:ind w:left="128" w:right="227" w:firstLine="199"/>
              <w:rPr>
                <w:sz w:val="17"/>
                <w:szCs w:val="17"/>
              </w:rPr>
            </w:pPr>
            <w:r>
              <w:rPr>
                <w:spacing w:val="3"/>
                <w:sz w:val="17"/>
                <w:szCs w:val="17"/>
              </w:rPr>
              <w:t>进入试运行</w:t>
            </w:r>
            <w:r>
              <w:rPr>
                <w:spacing w:val="1"/>
                <w:sz w:val="17"/>
                <w:szCs w:val="17"/>
              </w:rPr>
              <w:t xml:space="preserve">  </w:t>
            </w:r>
            <w:r>
              <w:rPr>
                <w:spacing w:val="-1"/>
                <w:sz w:val="17"/>
                <w:szCs w:val="17"/>
              </w:rPr>
              <w:t>提交试运行报</w:t>
            </w:r>
            <w:r>
              <w:rPr>
                <w:color w:val="138BDC"/>
                <w:spacing w:val="-1"/>
                <w:sz w:val="17"/>
                <w:szCs w:val="17"/>
              </w:rPr>
              <w:t>告</w:t>
            </w:r>
          </w:p>
          <w:p w14:paraId="7AC13E61">
            <w:pPr>
              <w:spacing w:line="266" w:lineRule="auto"/>
              <w:rPr>
                <w:rFonts w:ascii="Arial"/>
                <w:sz w:val="21"/>
              </w:rPr>
            </w:pPr>
          </w:p>
          <w:p w14:paraId="103712AB">
            <w:pPr>
              <w:spacing w:line="267" w:lineRule="auto"/>
              <w:rPr>
                <w:rFonts w:ascii="Arial"/>
                <w:sz w:val="21"/>
              </w:rPr>
            </w:pPr>
          </w:p>
          <w:p w14:paraId="51230688">
            <w:pPr>
              <w:spacing w:line="267" w:lineRule="auto"/>
              <w:rPr>
                <w:rFonts w:ascii="Arial"/>
                <w:sz w:val="21"/>
              </w:rPr>
            </w:pPr>
          </w:p>
          <w:p w14:paraId="144A99DD">
            <w:pPr>
              <w:pStyle w:val="6"/>
              <w:spacing w:before="55" w:line="219" w:lineRule="auto"/>
              <w:ind w:left="128"/>
              <w:rPr>
                <w:sz w:val="17"/>
                <w:szCs w:val="17"/>
              </w:rPr>
            </w:pPr>
            <w:r>
              <w:rPr>
                <w:spacing w:val="2"/>
                <w:sz w:val="17"/>
                <w:szCs w:val="17"/>
              </w:rPr>
              <w:t>提交终验申请</w:t>
            </w:r>
          </w:p>
          <w:p w14:paraId="094F2C80">
            <w:pPr>
              <w:spacing w:line="302" w:lineRule="auto"/>
              <w:rPr>
                <w:rFonts w:ascii="Arial"/>
                <w:sz w:val="21"/>
              </w:rPr>
            </w:pPr>
          </w:p>
          <w:p w14:paraId="2B810E16">
            <w:pPr>
              <w:spacing w:line="303" w:lineRule="auto"/>
              <w:rPr>
                <w:rFonts w:ascii="Arial"/>
                <w:sz w:val="21"/>
              </w:rPr>
            </w:pPr>
          </w:p>
          <w:p w14:paraId="265657BD">
            <w:pPr>
              <w:spacing w:line="303" w:lineRule="auto"/>
              <w:rPr>
                <w:rFonts w:ascii="Arial"/>
                <w:sz w:val="21"/>
              </w:rPr>
            </w:pPr>
          </w:p>
          <w:p w14:paraId="3EEA5D46">
            <w:pPr>
              <w:pStyle w:val="6"/>
              <w:spacing w:before="56" w:line="221" w:lineRule="auto"/>
              <w:ind w:left="427"/>
              <w:rPr>
                <w:sz w:val="17"/>
                <w:szCs w:val="17"/>
              </w:rPr>
            </w:pPr>
            <w:r>
              <w:rPr>
                <w:spacing w:val="-2"/>
                <w:sz w:val="17"/>
                <w:szCs w:val="17"/>
              </w:rPr>
              <w:t>系统终验</w:t>
            </w:r>
          </w:p>
        </w:tc>
        <w:tc>
          <w:tcPr>
            <w:tcW w:w="1804" w:type="dxa"/>
            <w:vAlign w:val="top"/>
          </w:tcPr>
          <w:p w14:paraId="546C8A09">
            <w:pPr>
              <w:pStyle w:val="6"/>
              <w:spacing w:before="52" w:line="222" w:lineRule="auto"/>
              <w:ind w:left="173"/>
              <w:rPr>
                <w:sz w:val="17"/>
                <w:szCs w:val="17"/>
              </w:rPr>
            </w:pPr>
            <w:r>
              <w:rPr>
                <w:spacing w:val="-10"/>
                <w:sz w:val="17"/>
                <w:szCs w:val="17"/>
              </w:rPr>
              <w:t>不通过-</w:t>
            </w:r>
          </w:p>
          <w:p w14:paraId="6AFEB3FF">
            <w:pPr>
              <w:pStyle w:val="6"/>
              <w:spacing w:before="183" w:line="220" w:lineRule="auto"/>
              <w:ind w:left="702"/>
              <w:rPr>
                <w:sz w:val="17"/>
                <w:szCs w:val="17"/>
              </w:rPr>
            </w:pPr>
            <w:r>
              <w:rPr>
                <w:spacing w:val="-4"/>
                <w:sz w:val="17"/>
                <w:szCs w:val="17"/>
              </w:rPr>
              <w:t>审查</w:t>
            </w:r>
          </w:p>
          <w:p w14:paraId="34C9EE25">
            <w:pPr>
              <w:pStyle w:val="6"/>
              <w:spacing w:before="182" w:line="227" w:lineRule="auto"/>
              <w:ind w:left="272"/>
              <w:rPr>
                <w:sz w:val="17"/>
                <w:szCs w:val="17"/>
              </w:rPr>
            </w:pPr>
            <w:r>
              <w:rPr>
                <w:spacing w:val="-10"/>
                <w:sz w:val="17"/>
                <w:szCs w:val="17"/>
              </w:rPr>
              <w:t>通过-</w:t>
            </w:r>
          </w:p>
          <w:p w14:paraId="18EC94A3">
            <w:pPr>
              <w:pStyle w:val="6"/>
              <w:spacing w:before="197" w:line="222" w:lineRule="auto"/>
              <w:ind w:left="173"/>
              <w:rPr>
                <w:sz w:val="17"/>
                <w:szCs w:val="17"/>
              </w:rPr>
            </w:pPr>
            <w:r>
              <w:rPr>
                <w:spacing w:val="-14"/>
                <w:w w:val="99"/>
                <w:sz w:val="17"/>
                <w:szCs w:val="17"/>
              </w:rPr>
              <w:t>不通过-</w:t>
            </w:r>
          </w:p>
          <w:p w14:paraId="320EC8DA">
            <w:pPr>
              <w:pStyle w:val="6"/>
              <w:spacing w:before="214" w:line="220" w:lineRule="auto"/>
              <w:ind w:left="702"/>
              <w:rPr>
                <w:sz w:val="17"/>
                <w:szCs w:val="17"/>
              </w:rPr>
            </w:pPr>
            <w:r>
              <w:rPr>
                <w:spacing w:val="-4"/>
                <w:sz w:val="17"/>
                <w:szCs w:val="17"/>
              </w:rPr>
              <w:t>审查</w:t>
            </w:r>
          </w:p>
          <w:p w14:paraId="6B66A532">
            <w:pPr>
              <w:pStyle w:val="6"/>
              <w:spacing w:before="224" w:line="420" w:lineRule="auto"/>
              <w:ind w:left="173" w:right="1104" w:firstLine="139"/>
              <w:rPr>
                <w:sz w:val="17"/>
                <w:szCs w:val="17"/>
              </w:rPr>
            </w:pPr>
            <w:r>
              <w:rPr>
                <w:spacing w:val="-11"/>
                <w:w w:val="93"/>
                <w:sz w:val="17"/>
                <w:szCs w:val="17"/>
              </w:rPr>
              <w:t>通过-</w:t>
            </w:r>
            <w:r>
              <w:rPr>
                <w:spacing w:val="1"/>
                <w:sz w:val="17"/>
                <w:szCs w:val="17"/>
              </w:rPr>
              <w:t xml:space="preserve"> </w:t>
            </w:r>
            <w:r>
              <w:rPr>
                <w:spacing w:val="5"/>
                <w:sz w:val="17"/>
                <w:szCs w:val="17"/>
              </w:rPr>
              <w:t>不通过</w:t>
            </w:r>
          </w:p>
          <w:p w14:paraId="178E4F88">
            <w:pPr>
              <w:pStyle w:val="6"/>
              <w:spacing w:line="220" w:lineRule="auto"/>
              <w:ind w:left="702"/>
              <w:rPr>
                <w:sz w:val="17"/>
                <w:szCs w:val="17"/>
              </w:rPr>
            </w:pPr>
            <w:r>
              <w:rPr>
                <w:spacing w:val="-4"/>
                <w:sz w:val="17"/>
                <w:szCs w:val="17"/>
              </w:rPr>
              <w:t>审查</w:t>
            </w:r>
          </w:p>
          <w:p w14:paraId="5D79B1E0">
            <w:pPr>
              <w:pStyle w:val="6"/>
              <w:spacing w:before="172" w:line="227" w:lineRule="auto"/>
              <w:ind w:left="513"/>
              <w:rPr>
                <w:sz w:val="17"/>
                <w:szCs w:val="17"/>
              </w:rPr>
            </w:pPr>
            <w:r>
              <w:rPr>
                <w:spacing w:val="1"/>
                <w:sz w:val="17"/>
                <w:szCs w:val="17"/>
              </w:rPr>
              <w:t>通</w:t>
            </w:r>
            <w:r>
              <w:rPr>
                <w:color w:val="016ECF"/>
                <w:spacing w:val="1"/>
                <w:sz w:val="17"/>
                <w:szCs w:val="17"/>
              </w:rPr>
              <w:t>过</w:t>
            </w:r>
          </w:p>
          <w:p w14:paraId="41E360E7">
            <w:pPr>
              <w:pStyle w:val="6"/>
              <w:spacing w:before="116" w:line="221" w:lineRule="auto"/>
              <w:ind w:left="513"/>
              <w:rPr>
                <w:sz w:val="17"/>
                <w:szCs w:val="17"/>
              </w:rPr>
            </w:pPr>
            <w:r>
              <w:rPr>
                <w:spacing w:val="-2"/>
                <w:sz w:val="17"/>
                <w:szCs w:val="17"/>
              </w:rPr>
              <w:t>三方签认</w:t>
            </w:r>
          </w:p>
          <w:p w14:paraId="769117BA">
            <w:pPr>
              <w:spacing w:line="249" w:lineRule="auto"/>
              <w:rPr>
                <w:rFonts w:ascii="Arial"/>
                <w:sz w:val="21"/>
              </w:rPr>
            </w:pPr>
          </w:p>
          <w:p w14:paraId="17211E79">
            <w:pPr>
              <w:spacing w:line="250" w:lineRule="auto"/>
              <w:rPr>
                <w:rFonts w:ascii="Arial"/>
                <w:sz w:val="21"/>
              </w:rPr>
            </w:pPr>
          </w:p>
          <w:p w14:paraId="03629109">
            <w:pPr>
              <w:pStyle w:val="6"/>
              <w:spacing w:before="57" w:line="222" w:lineRule="auto"/>
              <w:ind w:left="173"/>
              <w:rPr>
                <w:sz w:val="17"/>
                <w:szCs w:val="17"/>
              </w:rPr>
            </w:pPr>
            <w:r>
              <w:rPr>
                <w:spacing w:val="-3"/>
                <w:sz w:val="17"/>
                <w:szCs w:val="17"/>
              </w:rPr>
              <w:t>不通</w:t>
            </w:r>
            <w:r>
              <w:rPr>
                <w:color w:val="34A7EA"/>
                <w:spacing w:val="-3"/>
                <w:sz w:val="17"/>
                <w:szCs w:val="17"/>
              </w:rPr>
              <w:t>过</w:t>
            </w:r>
          </w:p>
          <w:p w14:paraId="5D3E753B">
            <w:pPr>
              <w:pStyle w:val="6"/>
              <w:spacing w:before="173" w:line="220" w:lineRule="auto"/>
              <w:ind w:left="702"/>
              <w:rPr>
                <w:sz w:val="17"/>
                <w:szCs w:val="17"/>
              </w:rPr>
            </w:pPr>
            <w:r>
              <w:rPr>
                <w:spacing w:val="-4"/>
                <w:sz w:val="17"/>
                <w:szCs w:val="17"/>
              </w:rPr>
              <w:t>审查</w:t>
            </w:r>
          </w:p>
          <w:p w14:paraId="26D49CD2">
            <w:pPr>
              <w:pStyle w:val="6"/>
              <w:spacing w:before="243" w:line="397" w:lineRule="auto"/>
              <w:ind w:left="173" w:right="1032" w:firstLine="139"/>
              <w:rPr>
                <w:sz w:val="17"/>
                <w:szCs w:val="17"/>
              </w:rPr>
            </w:pPr>
            <w:r>
              <w:rPr>
                <w:spacing w:val="-14"/>
                <w:w w:val="98"/>
                <w:sz w:val="17"/>
                <w:szCs w:val="17"/>
              </w:rPr>
              <w:t>通过一</w:t>
            </w:r>
            <w:r>
              <w:rPr>
                <w:sz w:val="17"/>
                <w:szCs w:val="17"/>
              </w:rPr>
              <w:t xml:space="preserve"> </w:t>
            </w:r>
            <w:r>
              <w:rPr>
                <w:spacing w:val="5"/>
                <w:sz w:val="17"/>
                <w:szCs w:val="17"/>
              </w:rPr>
              <w:t>不通过</w:t>
            </w:r>
          </w:p>
          <w:p w14:paraId="369FA381">
            <w:pPr>
              <w:pStyle w:val="6"/>
              <w:spacing w:before="24" w:line="431" w:lineRule="auto"/>
              <w:ind w:left="313" w:right="776" w:firstLine="389"/>
              <w:rPr>
                <w:sz w:val="17"/>
                <w:szCs w:val="17"/>
              </w:rPr>
            </w:pPr>
            <w:r>
              <w:rPr>
                <w:spacing w:val="-8"/>
                <w:sz w:val="17"/>
                <w:szCs w:val="17"/>
              </w:rPr>
              <w:t>审查</w:t>
            </w:r>
            <w:r>
              <w:rPr>
                <w:sz w:val="17"/>
                <w:szCs w:val="17"/>
              </w:rPr>
              <w:t xml:space="preserve"> </w:t>
            </w:r>
            <w:r>
              <w:rPr>
                <w:spacing w:val="-10"/>
                <w:sz w:val="17"/>
                <w:szCs w:val="17"/>
              </w:rPr>
              <w:t>通过-</w:t>
            </w:r>
          </w:p>
          <w:p w14:paraId="68057282">
            <w:pPr>
              <w:pStyle w:val="6"/>
              <w:spacing w:before="48" w:line="222" w:lineRule="auto"/>
              <w:ind w:left="173"/>
              <w:rPr>
                <w:sz w:val="17"/>
                <w:szCs w:val="17"/>
              </w:rPr>
            </w:pPr>
            <w:r>
              <w:rPr>
                <w:spacing w:val="5"/>
                <w:sz w:val="17"/>
                <w:szCs w:val="17"/>
              </w:rPr>
              <w:t>不通过</w:t>
            </w:r>
          </w:p>
          <w:p w14:paraId="129C84FB">
            <w:pPr>
              <w:pStyle w:val="6"/>
              <w:spacing w:before="153" w:line="220" w:lineRule="auto"/>
              <w:ind w:left="702"/>
              <w:rPr>
                <w:sz w:val="17"/>
                <w:szCs w:val="17"/>
              </w:rPr>
            </w:pPr>
            <w:r>
              <w:rPr>
                <w:spacing w:val="-4"/>
                <w:sz w:val="17"/>
                <w:szCs w:val="17"/>
              </w:rPr>
              <w:t>审查</w:t>
            </w:r>
          </w:p>
          <w:p w14:paraId="75C25441">
            <w:pPr>
              <w:pStyle w:val="6"/>
              <w:spacing w:before="109" w:line="221" w:lineRule="auto"/>
              <w:ind w:left="472"/>
              <w:rPr>
                <w:sz w:val="24"/>
                <w:szCs w:val="24"/>
              </w:rPr>
            </w:pPr>
            <w:r>
              <w:rPr>
                <w:spacing w:val="-3"/>
                <w:sz w:val="24"/>
                <w:szCs w:val="24"/>
              </w:rPr>
              <w:t>通过</w:t>
            </w:r>
          </w:p>
          <w:p w14:paraId="3102C24B">
            <w:pPr>
              <w:pStyle w:val="6"/>
              <w:spacing w:before="2" w:line="200" w:lineRule="auto"/>
              <w:ind w:left="512" w:right="372" w:hanging="240"/>
              <w:rPr>
                <w:sz w:val="17"/>
                <w:szCs w:val="17"/>
              </w:rPr>
            </w:pPr>
            <w:r>
              <w:rPr>
                <w:spacing w:val="-5"/>
                <w:sz w:val="17"/>
                <w:szCs w:val="17"/>
              </w:rPr>
              <w:t>相关文档提交、</w:t>
            </w:r>
            <w:r>
              <w:rPr>
                <w:spacing w:val="2"/>
                <w:sz w:val="17"/>
                <w:szCs w:val="17"/>
              </w:rPr>
              <w:t xml:space="preserve"> </w:t>
            </w:r>
            <w:r>
              <w:rPr>
                <w:spacing w:val="-2"/>
                <w:sz w:val="17"/>
                <w:szCs w:val="17"/>
              </w:rPr>
              <w:t>整理装订</w:t>
            </w:r>
          </w:p>
        </w:tc>
        <w:tc>
          <w:tcPr>
            <w:tcW w:w="827" w:type="dxa"/>
            <w:vAlign w:val="top"/>
          </w:tcPr>
          <w:p w14:paraId="0F46A2D9">
            <w:pPr>
              <w:spacing w:line="340" w:lineRule="auto"/>
              <w:rPr>
                <w:rFonts w:ascii="Arial"/>
                <w:sz w:val="21"/>
              </w:rPr>
            </w:pPr>
          </w:p>
          <w:p w14:paraId="6E916BD9">
            <w:pPr>
              <w:spacing w:line="341" w:lineRule="auto"/>
              <w:rPr>
                <w:rFonts w:ascii="Arial"/>
                <w:sz w:val="21"/>
              </w:rPr>
            </w:pPr>
          </w:p>
          <w:p w14:paraId="69B40810">
            <w:pPr>
              <w:pStyle w:val="6"/>
              <w:spacing w:before="55" w:line="220" w:lineRule="auto"/>
              <w:jc w:val="right"/>
              <w:rPr>
                <w:sz w:val="17"/>
                <w:szCs w:val="17"/>
              </w:rPr>
            </w:pPr>
            <w:r>
              <w:rPr>
                <w:spacing w:val="14"/>
                <w:sz w:val="17"/>
                <w:szCs w:val="17"/>
              </w:rPr>
              <w:t>确认</w:t>
            </w:r>
          </w:p>
          <w:p w14:paraId="28838D10">
            <w:pPr>
              <w:spacing w:line="318" w:lineRule="auto"/>
              <w:rPr>
                <w:rFonts w:ascii="Arial"/>
                <w:sz w:val="21"/>
              </w:rPr>
            </w:pPr>
          </w:p>
          <w:p w14:paraId="39AFA0D7">
            <w:pPr>
              <w:spacing w:line="319" w:lineRule="auto"/>
              <w:rPr>
                <w:rFonts w:ascii="Arial"/>
                <w:sz w:val="21"/>
              </w:rPr>
            </w:pPr>
          </w:p>
          <w:p w14:paraId="14A912BF">
            <w:pPr>
              <w:spacing w:line="319" w:lineRule="auto"/>
              <w:rPr>
                <w:rFonts w:ascii="Arial"/>
                <w:sz w:val="21"/>
              </w:rPr>
            </w:pPr>
          </w:p>
          <w:p w14:paraId="2067FE66">
            <w:pPr>
              <w:pStyle w:val="6"/>
              <w:spacing w:before="55" w:line="220" w:lineRule="auto"/>
              <w:jc w:val="right"/>
              <w:rPr>
                <w:sz w:val="17"/>
                <w:szCs w:val="17"/>
              </w:rPr>
            </w:pPr>
            <w:r>
              <w:rPr>
                <w:spacing w:val="14"/>
                <w:sz w:val="17"/>
                <w:szCs w:val="17"/>
              </w:rPr>
              <w:t>确认</w:t>
            </w:r>
          </w:p>
          <w:p w14:paraId="126599FC">
            <w:pPr>
              <w:spacing w:line="308" w:lineRule="auto"/>
              <w:rPr>
                <w:rFonts w:ascii="Arial"/>
                <w:sz w:val="21"/>
              </w:rPr>
            </w:pPr>
          </w:p>
          <w:p w14:paraId="2726CCD0">
            <w:pPr>
              <w:spacing w:line="309" w:lineRule="auto"/>
              <w:rPr>
                <w:rFonts w:ascii="Arial"/>
                <w:sz w:val="21"/>
              </w:rPr>
            </w:pPr>
          </w:p>
          <w:p w14:paraId="6E77E0A6">
            <w:pPr>
              <w:spacing w:line="309" w:lineRule="auto"/>
              <w:rPr>
                <w:rFonts w:ascii="Arial"/>
                <w:sz w:val="21"/>
              </w:rPr>
            </w:pPr>
          </w:p>
          <w:p w14:paraId="050D626D">
            <w:pPr>
              <w:pStyle w:val="6"/>
              <w:spacing w:before="55" w:line="220" w:lineRule="auto"/>
              <w:jc w:val="right"/>
              <w:rPr>
                <w:sz w:val="17"/>
                <w:szCs w:val="17"/>
              </w:rPr>
            </w:pPr>
            <w:r>
              <w:rPr>
                <w:spacing w:val="14"/>
                <w:sz w:val="17"/>
                <w:szCs w:val="17"/>
              </w:rPr>
              <w:t>确认</w:t>
            </w:r>
          </w:p>
          <w:p w14:paraId="4FCEBE73">
            <w:pPr>
              <w:spacing w:line="265" w:lineRule="auto"/>
              <w:rPr>
                <w:rFonts w:ascii="Arial"/>
                <w:sz w:val="21"/>
              </w:rPr>
            </w:pPr>
          </w:p>
          <w:p w14:paraId="0882B412">
            <w:pPr>
              <w:spacing w:line="265" w:lineRule="auto"/>
              <w:rPr>
                <w:rFonts w:ascii="Arial"/>
                <w:sz w:val="21"/>
              </w:rPr>
            </w:pPr>
          </w:p>
          <w:p w14:paraId="10A22D42">
            <w:pPr>
              <w:spacing w:line="265" w:lineRule="auto"/>
              <w:rPr>
                <w:rFonts w:ascii="Arial"/>
                <w:sz w:val="21"/>
              </w:rPr>
            </w:pPr>
          </w:p>
          <w:p w14:paraId="0BA5C9A8">
            <w:pPr>
              <w:spacing w:line="265" w:lineRule="auto"/>
              <w:rPr>
                <w:rFonts w:ascii="Arial"/>
                <w:sz w:val="21"/>
              </w:rPr>
            </w:pPr>
          </w:p>
          <w:p w14:paraId="2C38162E">
            <w:pPr>
              <w:spacing w:line="266" w:lineRule="auto"/>
              <w:rPr>
                <w:rFonts w:ascii="Arial"/>
                <w:sz w:val="21"/>
              </w:rPr>
            </w:pPr>
          </w:p>
          <w:p w14:paraId="704062F0">
            <w:pPr>
              <w:spacing w:line="266" w:lineRule="auto"/>
              <w:rPr>
                <w:rFonts w:ascii="Arial"/>
                <w:sz w:val="21"/>
              </w:rPr>
            </w:pPr>
          </w:p>
          <w:p w14:paraId="1D1B95E2">
            <w:pPr>
              <w:pStyle w:val="6"/>
              <w:spacing w:before="55" w:line="220" w:lineRule="auto"/>
              <w:jc w:val="right"/>
              <w:rPr>
                <w:sz w:val="17"/>
                <w:szCs w:val="17"/>
              </w:rPr>
            </w:pPr>
            <w:r>
              <w:rPr>
                <w:spacing w:val="14"/>
                <w:sz w:val="17"/>
                <w:szCs w:val="17"/>
              </w:rPr>
              <w:t>确认</w:t>
            </w:r>
          </w:p>
          <w:p w14:paraId="4DF85D3A">
            <w:pPr>
              <w:spacing w:line="308" w:lineRule="auto"/>
              <w:rPr>
                <w:rFonts w:ascii="Arial"/>
                <w:sz w:val="21"/>
              </w:rPr>
            </w:pPr>
          </w:p>
          <w:p w14:paraId="559CA6C1">
            <w:pPr>
              <w:spacing w:line="309" w:lineRule="auto"/>
              <w:rPr>
                <w:rFonts w:ascii="Arial"/>
                <w:sz w:val="21"/>
              </w:rPr>
            </w:pPr>
          </w:p>
          <w:p w14:paraId="4985252F">
            <w:pPr>
              <w:spacing w:line="309" w:lineRule="auto"/>
              <w:rPr>
                <w:rFonts w:ascii="Arial"/>
                <w:sz w:val="21"/>
              </w:rPr>
            </w:pPr>
          </w:p>
          <w:p w14:paraId="116BF491">
            <w:pPr>
              <w:pStyle w:val="6"/>
              <w:spacing w:before="56" w:line="220" w:lineRule="auto"/>
              <w:jc w:val="right"/>
              <w:rPr>
                <w:sz w:val="17"/>
                <w:szCs w:val="17"/>
              </w:rPr>
            </w:pPr>
            <w:r>
              <w:rPr>
                <w:spacing w:val="14"/>
                <w:sz w:val="17"/>
                <w:szCs w:val="17"/>
              </w:rPr>
              <w:t>确认</w:t>
            </w:r>
          </w:p>
          <w:p w14:paraId="0139C598">
            <w:pPr>
              <w:spacing w:line="312" w:lineRule="auto"/>
              <w:rPr>
                <w:rFonts w:ascii="Arial"/>
                <w:sz w:val="21"/>
              </w:rPr>
            </w:pPr>
          </w:p>
          <w:p w14:paraId="12698AD5">
            <w:pPr>
              <w:spacing w:line="312" w:lineRule="auto"/>
              <w:rPr>
                <w:rFonts w:ascii="Arial"/>
                <w:sz w:val="21"/>
              </w:rPr>
            </w:pPr>
          </w:p>
          <w:p w14:paraId="6D358A8F">
            <w:pPr>
              <w:spacing w:line="312" w:lineRule="auto"/>
              <w:rPr>
                <w:rFonts w:ascii="Arial"/>
                <w:sz w:val="21"/>
              </w:rPr>
            </w:pPr>
          </w:p>
          <w:p w14:paraId="6C2B0065">
            <w:pPr>
              <w:pStyle w:val="6"/>
              <w:spacing w:before="55" w:line="220" w:lineRule="auto"/>
              <w:jc w:val="right"/>
              <w:rPr>
                <w:sz w:val="17"/>
                <w:szCs w:val="17"/>
              </w:rPr>
            </w:pPr>
            <w:r>
              <w:rPr>
                <w:spacing w:val="14"/>
                <w:sz w:val="17"/>
                <w:szCs w:val="17"/>
              </w:rPr>
              <w:t>确认</w:t>
            </w:r>
          </w:p>
        </w:tc>
      </w:tr>
    </w:tbl>
    <w:p w14:paraId="638F6462">
      <w:pPr>
        <w:spacing w:line="272" w:lineRule="auto"/>
        <w:rPr>
          <w:rFonts w:ascii="Arial"/>
          <w:sz w:val="21"/>
        </w:rPr>
      </w:pPr>
    </w:p>
    <w:p w14:paraId="199B6440">
      <w:pPr>
        <w:pStyle w:val="2"/>
        <w:spacing w:before="57" w:line="219" w:lineRule="auto"/>
        <w:ind w:left="3390"/>
        <w:rPr>
          <w:sz w:val="17"/>
          <w:szCs w:val="17"/>
        </w:rPr>
      </w:pPr>
      <w:r>
        <w:rPr>
          <w:spacing w:val="8"/>
          <w:sz w:val="17"/>
          <w:szCs w:val="17"/>
        </w:rPr>
        <w:t>三方(专家组)签认验收合格，项目监理结束</w:t>
      </w:r>
    </w:p>
    <w:p w14:paraId="3530FA0C">
      <w:pPr>
        <w:spacing w:line="321" w:lineRule="auto"/>
        <w:rPr>
          <w:rFonts w:ascii="Arial"/>
          <w:sz w:val="21"/>
        </w:rPr>
      </w:pPr>
    </w:p>
    <w:p w14:paraId="20883FBD">
      <w:pPr>
        <w:pStyle w:val="2"/>
        <w:spacing w:before="55" w:line="184" w:lineRule="auto"/>
        <w:ind w:left="3349"/>
        <w:rPr>
          <w:sz w:val="17"/>
          <w:szCs w:val="17"/>
        </w:rPr>
      </w:pPr>
      <w:r>
        <w:rPr>
          <w:spacing w:val="9"/>
          <w:sz w:val="17"/>
          <w:szCs w:val="17"/>
        </w:rPr>
        <w:t>图23-4</w:t>
      </w:r>
      <w:r>
        <w:rPr>
          <w:spacing w:val="88"/>
          <w:sz w:val="17"/>
          <w:szCs w:val="17"/>
        </w:rPr>
        <w:t xml:space="preserve"> </w:t>
      </w:r>
      <w:r>
        <w:rPr>
          <w:spacing w:val="9"/>
          <w:sz w:val="17"/>
          <w:szCs w:val="17"/>
        </w:rPr>
        <w:t>数据中心工程验收阶段监理流程</w:t>
      </w:r>
    </w:p>
    <w:p w14:paraId="5EBF9E68">
      <w:pPr>
        <w:spacing w:line="14" w:lineRule="auto"/>
        <w:rPr>
          <w:rFonts w:ascii="Arial"/>
          <w:sz w:val="2"/>
        </w:rPr>
      </w:pPr>
      <w:r>
        <w:rPr>
          <w:rFonts w:ascii="Arial" w:hAnsi="Arial" w:eastAsia="Arial" w:cs="Arial"/>
          <w:sz w:val="2"/>
          <w:szCs w:val="2"/>
        </w:rPr>
        <w:br w:type="column"/>
      </w:r>
    </w:p>
    <w:p w14:paraId="7B09687B">
      <w:pPr>
        <w:spacing w:line="255" w:lineRule="auto"/>
        <w:rPr>
          <w:rFonts w:ascii="Arial"/>
          <w:sz w:val="21"/>
        </w:rPr>
      </w:pPr>
    </w:p>
    <w:p w14:paraId="077A8D6D">
      <w:pPr>
        <w:spacing w:line="255" w:lineRule="auto"/>
        <w:rPr>
          <w:rFonts w:ascii="Arial"/>
          <w:sz w:val="21"/>
        </w:rPr>
      </w:pPr>
    </w:p>
    <w:p w14:paraId="7038F65E">
      <w:pPr>
        <w:spacing w:line="255" w:lineRule="auto"/>
        <w:rPr>
          <w:rFonts w:ascii="Arial"/>
          <w:sz w:val="21"/>
        </w:rPr>
      </w:pPr>
    </w:p>
    <w:p w14:paraId="08752CB8">
      <w:pPr>
        <w:spacing w:line="255" w:lineRule="auto"/>
        <w:rPr>
          <w:rFonts w:ascii="Arial"/>
          <w:sz w:val="21"/>
        </w:rPr>
      </w:pPr>
    </w:p>
    <w:p w14:paraId="79AA2443">
      <w:pPr>
        <w:spacing w:line="255" w:lineRule="auto"/>
        <w:rPr>
          <w:rFonts w:ascii="Arial"/>
          <w:sz w:val="21"/>
        </w:rPr>
      </w:pPr>
    </w:p>
    <w:p w14:paraId="491EB258">
      <w:pPr>
        <w:spacing w:line="255" w:lineRule="auto"/>
        <w:rPr>
          <w:rFonts w:ascii="Arial"/>
          <w:sz w:val="21"/>
        </w:rPr>
      </w:pPr>
    </w:p>
    <w:p w14:paraId="5BC99843">
      <w:pPr>
        <w:spacing w:line="256" w:lineRule="auto"/>
        <w:rPr>
          <w:rFonts w:ascii="Arial"/>
          <w:sz w:val="21"/>
        </w:rPr>
      </w:pPr>
    </w:p>
    <w:p w14:paraId="60A4FF80">
      <w:pPr>
        <w:spacing w:line="256" w:lineRule="auto"/>
        <w:rPr>
          <w:rFonts w:ascii="Arial"/>
          <w:sz w:val="21"/>
        </w:rPr>
      </w:pPr>
    </w:p>
    <w:p w14:paraId="1D62FB44">
      <w:pPr>
        <w:spacing w:line="256" w:lineRule="auto"/>
        <w:rPr>
          <w:rFonts w:ascii="Arial"/>
          <w:sz w:val="21"/>
        </w:rPr>
      </w:pPr>
    </w:p>
    <w:p w14:paraId="1DF85BC3">
      <w:pPr>
        <w:spacing w:line="256" w:lineRule="auto"/>
        <w:rPr>
          <w:rFonts w:ascii="Arial"/>
          <w:sz w:val="21"/>
        </w:rPr>
      </w:pPr>
    </w:p>
    <w:p w14:paraId="773ED26C">
      <w:pPr>
        <w:pStyle w:val="2"/>
        <w:spacing w:before="55" w:line="219" w:lineRule="auto"/>
        <w:ind w:left="489"/>
        <w:rPr>
          <w:sz w:val="17"/>
          <w:szCs w:val="17"/>
        </w:rPr>
      </w:pPr>
      <w:r>
        <w:rPr>
          <w:spacing w:val="10"/>
          <w:sz w:val="17"/>
          <w:szCs w:val="17"/>
        </w:rPr>
        <w:t>输出</w:t>
      </w:r>
    </w:p>
    <w:p w14:paraId="408278D2">
      <w:pPr>
        <w:spacing w:line="250" w:lineRule="auto"/>
        <w:rPr>
          <w:rFonts w:ascii="Arial"/>
          <w:sz w:val="21"/>
        </w:rPr>
      </w:pPr>
    </w:p>
    <w:p w14:paraId="61439681">
      <w:pPr>
        <w:spacing w:line="250" w:lineRule="auto"/>
        <w:rPr>
          <w:rFonts w:ascii="Arial"/>
          <w:sz w:val="21"/>
        </w:rPr>
      </w:pPr>
    </w:p>
    <w:p w14:paraId="07055DAF">
      <w:pPr>
        <w:spacing w:line="250" w:lineRule="auto"/>
        <w:rPr>
          <w:rFonts w:ascii="Arial"/>
          <w:sz w:val="21"/>
        </w:rPr>
      </w:pPr>
    </w:p>
    <w:p w14:paraId="07E5E27F">
      <w:pPr>
        <w:spacing w:line="250" w:lineRule="auto"/>
        <w:rPr>
          <w:rFonts w:ascii="Arial"/>
          <w:sz w:val="21"/>
        </w:rPr>
      </w:pPr>
    </w:p>
    <w:p w14:paraId="46A07D20">
      <w:pPr>
        <w:spacing w:line="250" w:lineRule="auto"/>
        <w:rPr>
          <w:rFonts w:ascii="Arial"/>
          <w:sz w:val="21"/>
        </w:rPr>
      </w:pPr>
    </w:p>
    <w:p w14:paraId="5B6809DC">
      <w:pPr>
        <w:spacing w:line="250" w:lineRule="auto"/>
        <w:rPr>
          <w:rFonts w:ascii="Arial"/>
          <w:sz w:val="21"/>
        </w:rPr>
      </w:pPr>
    </w:p>
    <w:p w14:paraId="687C2E55">
      <w:pPr>
        <w:spacing w:line="250" w:lineRule="auto"/>
        <w:rPr>
          <w:rFonts w:ascii="Arial"/>
          <w:sz w:val="21"/>
        </w:rPr>
      </w:pPr>
    </w:p>
    <w:p w14:paraId="0C7FB860">
      <w:pPr>
        <w:spacing w:line="250" w:lineRule="auto"/>
        <w:rPr>
          <w:rFonts w:ascii="Arial"/>
          <w:sz w:val="21"/>
        </w:rPr>
      </w:pPr>
    </w:p>
    <w:p w14:paraId="1442C243">
      <w:pPr>
        <w:pStyle w:val="2"/>
        <w:spacing w:before="56" w:line="219" w:lineRule="auto"/>
        <w:ind w:left="29"/>
        <w:rPr>
          <w:sz w:val="17"/>
          <w:szCs w:val="17"/>
        </w:rPr>
      </w:pPr>
      <w:r>
        <w:rPr>
          <w:spacing w:val="4"/>
          <w:sz w:val="17"/>
          <w:szCs w:val="17"/>
        </w:rPr>
        <w:t>初验验收评审表</w:t>
      </w:r>
    </w:p>
    <w:p w14:paraId="08F13362">
      <w:pPr>
        <w:spacing w:line="249" w:lineRule="auto"/>
        <w:rPr>
          <w:rFonts w:ascii="Arial"/>
          <w:sz w:val="21"/>
        </w:rPr>
      </w:pPr>
    </w:p>
    <w:p w14:paraId="2A2A278D">
      <w:pPr>
        <w:spacing w:line="249" w:lineRule="auto"/>
        <w:rPr>
          <w:rFonts w:ascii="Arial"/>
          <w:sz w:val="21"/>
        </w:rPr>
      </w:pPr>
    </w:p>
    <w:p w14:paraId="0DD0D92E">
      <w:pPr>
        <w:spacing w:line="249" w:lineRule="auto"/>
        <w:rPr>
          <w:rFonts w:ascii="Arial"/>
          <w:sz w:val="21"/>
        </w:rPr>
      </w:pPr>
    </w:p>
    <w:p w14:paraId="0F0452FE">
      <w:pPr>
        <w:spacing w:line="249" w:lineRule="auto"/>
        <w:rPr>
          <w:rFonts w:ascii="Arial"/>
          <w:sz w:val="21"/>
        </w:rPr>
      </w:pPr>
    </w:p>
    <w:p w14:paraId="27741159">
      <w:pPr>
        <w:spacing w:line="250" w:lineRule="auto"/>
        <w:rPr>
          <w:rFonts w:ascii="Arial"/>
          <w:sz w:val="21"/>
        </w:rPr>
      </w:pPr>
    </w:p>
    <w:p w14:paraId="5B2870FD">
      <w:pPr>
        <w:spacing w:line="250" w:lineRule="auto"/>
        <w:rPr>
          <w:rFonts w:ascii="Arial"/>
          <w:sz w:val="21"/>
        </w:rPr>
      </w:pPr>
    </w:p>
    <w:p w14:paraId="41D3E634">
      <w:pPr>
        <w:spacing w:line="250" w:lineRule="auto"/>
        <w:rPr>
          <w:rFonts w:ascii="Arial"/>
          <w:sz w:val="21"/>
        </w:rPr>
      </w:pPr>
    </w:p>
    <w:p w14:paraId="29C69364">
      <w:pPr>
        <w:spacing w:line="250" w:lineRule="auto"/>
        <w:rPr>
          <w:rFonts w:ascii="Arial"/>
          <w:sz w:val="21"/>
        </w:rPr>
      </w:pPr>
    </w:p>
    <w:p w14:paraId="33ED317D">
      <w:pPr>
        <w:spacing w:line="250" w:lineRule="auto"/>
        <w:rPr>
          <w:rFonts w:ascii="Arial"/>
          <w:sz w:val="21"/>
        </w:rPr>
      </w:pPr>
    </w:p>
    <w:p w14:paraId="013331E3">
      <w:pPr>
        <w:spacing w:line="250" w:lineRule="auto"/>
        <w:rPr>
          <w:rFonts w:ascii="Arial"/>
          <w:sz w:val="21"/>
        </w:rPr>
      </w:pPr>
    </w:p>
    <w:p w14:paraId="03CC7BB3">
      <w:pPr>
        <w:spacing w:line="250" w:lineRule="auto"/>
        <w:rPr>
          <w:rFonts w:ascii="Arial"/>
          <w:sz w:val="21"/>
        </w:rPr>
      </w:pPr>
    </w:p>
    <w:p w14:paraId="5AAABBE1">
      <w:pPr>
        <w:pStyle w:val="2"/>
        <w:spacing w:before="55" w:line="220" w:lineRule="auto"/>
        <w:ind w:left="90"/>
        <w:rPr>
          <w:sz w:val="17"/>
          <w:szCs w:val="17"/>
        </w:rPr>
      </w:pPr>
      <w:r>
        <w:rPr>
          <w:spacing w:val="2"/>
          <w:sz w:val="17"/>
          <w:szCs w:val="17"/>
        </w:rPr>
        <w:t>试运行评审表</w:t>
      </w:r>
    </w:p>
    <w:p w14:paraId="70EC5A25">
      <w:pPr>
        <w:spacing w:line="271" w:lineRule="auto"/>
        <w:rPr>
          <w:rFonts w:ascii="Arial"/>
          <w:sz w:val="21"/>
        </w:rPr>
      </w:pPr>
    </w:p>
    <w:p w14:paraId="584B24C8">
      <w:pPr>
        <w:spacing w:line="271" w:lineRule="auto"/>
        <w:rPr>
          <w:rFonts w:ascii="Arial"/>
          <w:sz w:val="21"/>
        </w:rPr>
      </w:pPr>
    </w:p>
    <w:p w14:paraId="20E40946">
      <w:pPr>
        <w:spacing w:line="271" w:lineRule="auto"/>
        <w:rPr>
          <w:rFonts w:ascii="Arial"/>
          <w:sz w:val="21"/>
        </w:rPr>
      </w:pPr>
    </w:p>
    <w:p w14:paraId="1019683F">
      <w:pPr>
        <w:spacing w:line="271" w:lineRule="auto"/>
        <w:rPr>
          <w:rFonts w:ascii="Arial"/>
          <w:sz w:val="21"/>
        </w:rPr>
      </w:pPr>
    </w:p>
    <w:p w14:paraId="2F97898B">
      <w:pPr>
        <w:spacing w:line="272" w:lineRule="auto"/>
        <w:rPr>
          <w:rFonts w:ascii="Arial"/>
          <w:sz w:val="21"/>
        </w:rPr>
      </w:pPr>
    </w:p>
    <w:p w14:paraId="6DDC668C">
      <w:pPr>
        <w:spacing w:line="272" w:lineRule="auto"/>
        <w:rPr>
          <w:rFonts w:ascii="Arial"/>
          <w:sz w:val="21"/>
        </w:rPr>
      </w:pPr>
    </w:p>
    <w:p w14:paraId="660DF217">
      <w:pPr>
        <w:spacing w:line="272" w:lineRule="auto"/>
        <w:rPr>
          <w:rFonts w:ascii="Arial"/>
          <w:sz w:val="21"/>
        </w:rPr>
      </w:pPr>
    </w:p>
    <w:p w14:paraId="1BEF7738">
      <w:pPr>
        <w:pStyle w:val="2"/>
        <w:spacing w:before="55" w:line="219" w:lineRule="auto"/>
        <w:rPr>
          <w:sz w:val="17"/>
          <w:szCs w:val="17"/>
        </w:rPr>
      </w:pPr>
      <w:r>
        <w:rPr>
          <w:color w:val="007CDC"/>
          <w:spacing w:val="3"/>
          <w:sz w:val="17"/>
          <w:szCs w:val="17"/>
        </w:rPr>
        <w:t>终</w:t>
      </w:r>
      <w:r>
        <w:rPr>
          <w:spacing w:val="3"/>
          <w:sz w:val="17"/>
          <w:szCs w:val="17"/>
        </w:rPr>
        <w:t>验验收评审</w:t>
      </w:r>
      <w:r>
        <w:rPr>
          <w:color w:val="007CDC"/>
          <w:spacing w:val="3"/>
          <w:sz w:val="17"/>
          <w:szCs w:val="17"/>
        </w:rPr>
        <w:t>表</w:t>
      </w:r>
    </w:p>
    <w:p w14:paraId="6E293546">
      <w:pPr>
        <w:pStyle w:val="2"/>
        <w:spacing w:before="288" w:line="259" w:lineRule="auto"/>
        <w:ind w:left="439" w:right="232" w:hanging="349"/>
        <w:rPr>
          <w:sz w:val="17"/>
          <w:szCs w:val="17"/>
        </w:rPr>
      </w:pPr>
      <w:r>
        <w:rPr>
          <w:spacing w:val="2"/>
          <w:sz w:val="17"/>
          <w:szCs w:val="17"/>
        </w:rPr>
        <w:t>监理文档移交</w:t>
      </w:r>
      <w:r>
        <w:rPr>
          <w:spacing w:val="4"/>
          <w:sz w:val="17"/>
          <w:szCs w:val="17"/>
        </w:rPr>
        <w:t xml:space="preserve"> </w:t>
      </w:r>
      <w:r>
        <w:rPr>
          <w:spacing w:val="13"/>
          <w:sz w:val="17"/>
          <w:szCs w:val="17"/>
        </w:rPr>
        <w:t>清单</w:t>
      </w:r>
    </w:p>
    <w:p w14:paraId="3FF7A911">
      <w:pPr>
        <w:pStyle w:val="2"/>
        <w:spacing w:before="204" w:line="255" w:lineRule="auto"/>
        <w:ind w:left="430" w:right="240" w:hanging="340"/>
        <w:rPr>
          <w:sz w:val="17"/>
          <w:szCs w:val="17"/>
        </w:rPr>
      </w:pPr>
      <w:r>
        <w:rPr>
          <w:color w:val="0D97DC"/>
          <w:spacing w:val="1"/>
          <w:sz w:val="17"/>
          <w:szCs w:val="17"/>
        </w:rPr>
        <w:t>监理工作总</w:t>
      </w:r>
      <w:r>
        <w:rPr>
          <w:spacing w:val="1"/>
          <w:sz w:val="17"/>
          <w:szCs w:val="17"/>
        </w:rPr>
        <w:t>结</w:t>
      </w:r>
      <w:r>
        <w:rPr>
          <w:spacing w:val="2"/>
          <w:sz w:val="17"/>
          <w:szCs w:val="17"/>
        </w:rPr>
        <w:t xml:space="preserve"> </w:t>
      </w:r>
      <w:r>
        <w:rPr>
          <w:spacing w:val="-3"/>
          <w:sz w:val="17"/>
          <w:szCs w:val="17"/>
        </w:rPr>
        <w:t>报</w:t>
      </w:r>
      <w:r>
        <w:rPr>
          <w:spacing w:val="-28"/>
          <w:sz w:val="17"/>
          <w:szCs w:val="17"/>
        </w:rPr>
        <w:t xml:space="preserve"> </w:t>
      </w:r>
      <w:r>
        <w:rPr>
          <w:spacing w:val="-3"/>
          <w:sz w:val="17"/>
          <w:szCs w:val="17"/>
        </w:rPr>
        <w:t>告</w:t>
      </w:r>
    </w:p>
    <w:p w14:paraId="4594A785">
      <w:pPr>
        <w:spacing w:line="255" w:lineRule="auto"/>
        <w:rPr>
          <w:sz w:val="17"/>
          <w:szCs w:val="17"/>
        </w:rPr>
        <w:sectPr>
          <w:pgSz w:w="10300" w:h="13390"/>
          <w:pgMar w:top="330" w:right="1529" w:bottom="400" w:left="0" w:header="0" w:footer="0" w:gutter="0"/>
          <w:cols w:equalWidth="0" w:num="2">
            <w:col w:w="7311" w:space="100"/>
            <w:col w:w="1361"/>
          </w:cols>
        </w:sectPr>
      </w:pPr>
    </w:p>
    <w:p w14:paraId="2C486B56">
      <w:pPr>
        <w:spacing w:line="241" w:lineRule="auto"/>
        <w:rPr>
          <w:rFonts w:ascii="Arial"/>
          <w:sz w:val="21"/>
        </w:rPr>
      </w:pPr>
    </w:p>
    <w:p w14:paraId="64509829">
      <w:pPr>
        <w:spacing w:line="242" w:lineRule="auto"/>
        <w:rPr>
          <w:rFonts w:ascii="Arial"/>
          <w:sz w:val="21"/>
        </w:rPr>
      </w:pPr>
    </w:p>
    <w:p w14:paraId="33B66D80">
      <w:pPr>
        <w:spacing w:line="242" w:lineRule="auto"/>
        <w:rPr>
          <w:rFonts w:ascii="Arial"/>
          <w:sz w:val="21"/>
        </w:rPr>
      </w:pPr>
    </w:p>
    <w:p w14:paraId="28D9F1F2">
      <w:pPr>
        <w:spacing w:before="130" w:line="227" w:lineRule="auto"/>
        <w:ind w:left="2105"/>
        <w:rPr>
          <w:sz w:val="40"/>
          <w:szCs w:val="40"/>
        </w:rPr>
      </w:pPr>
      <w:bookmarkStart w:id="750" w:name="bookmark735"/>
      <w:bookmarkEnd w:id="750"/>
      <w:r>
        <w:rPr>
          <w:rFonts w:ascii="黑体" w:hAnsi="黑体" w:eastAsia="黑体" w:cs="黑体"/>
          <w:b/>
          <w:bCs/>
          <w:color w:val="0073E6"/>
          <w:spacing w:val="12"/>
          <w:sz w:val="40"/>
          <w:szCs w:val="40"/>
        </w:rPr>
        <w:t>第24章</w:t>
      </w:r>
      <w:r>
        <w:rPr>
          <w:rFonts w:ascii="黑体" w:hAnsi="黑体" w:eastAsia="黑体" w:cs="黑体"/>
          <w:color w:val="0073E6"/>
          <w:spacing w:val="201"/>
          <w:sz w:val="40"/>
          <w:szCs w:val="40"/>
        </w:rPr>
        <w:t xml:space="preserve"> </w:t>
      </w:r>
      <w:r>
        <w:rPr>
          <w:rFonts w:ascii="黑体" w:hAnsi="黑体" w:eastAsia="黑体" w:cs="黑体"/>
          <w:b/>
          <w:bCs/>
          <w:color w:val="0073E6"/>
          <w:spacing w:val="12"/>
          <w:sz w:val="40"/>
          <w:szCs w:val="40"/>
        </w:rPr>
        <w:t>信息安全监理</w:t>
      </w:r>
      <w:r>
        <w:rPr>
          <w:rFonts w:ascii="黑体" w:hAnsi="黑体" w:eastAsia="黑体" w:cs="黑体"/>
          <w:color w:val="0073E6"/>
          <w:spacing w:val="8"/>
          <w:sz w:val="40"/>
          <w:szCs w:val="40"/>
        </w:rPr>
        <w:t xml:space="preserve">     </w:t>
      </w:r>
      <w:r>
        <w:rPr>
          <w:position w:val="-5"/>
          <w:sz w:val="40"/>
          <w:szCs w:val="40"/>
        </w:rPr>
        <w:drawing>
          <wp:inline distT="0" distB="0" distL="0" distR="0">
            <wp:extent cx="647700" cy="266065"/>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349"/>
                    <a:stretch>
                      <a:fillRect/>
                    </a:stretch>
                  </pic:blipFill>
                  <pic:spPr>
                    <a:xfrm>
                      <a:off x="0" y="0"/>
                      <a:ext cx="647730" cy="266655"/>
                    </a:xfrm>
                    <a:prstGeom prst="rect">
                      <a:avLst/>
                    </a:prstGeom>
                  </pic:spPr>
                </pic:pic>
              </a:graphicData>
            </a:graphic>
          </wp:inline>
        </w:drawing>
      </w:r>
    </w:p>
    <w:p w14:paraId="5EC988D8">
      <w:pPr>
        <w:spacing w:line="353" w:lineRule="auto"/>
        <w:rPr>
          <w:rFonts w:ascii="Arial"/>
          <w:sz w:val="21"/>
        </w:rPr>
      </w:pPr>
    </w:p>
    <w:p w14:paraId="47500D48">
      <w:pPr>
        <w:spacing w:line="354" w:lineRule="auto"/>
        <w:rPr>
          <w:rFonts w:ascii="Arial"/>
          <w:sz w:val="21"/>
        </w:rPr>
      </w:pPr>
    </w:p>
    <w:p w14:paraId="320873A2">
      <w:pPr>
        <w:pStyle w:val="2"/>
        <w:spacing w:before="65" w:line="279" w:lineRule="auto"/>
        <w:ind w:right="51" w:firstLine="410"/>
        <w:jc w:val="both"/>
        <w:rPr>
          <w:sz w:val="20"/>
          <w:szCs w:val="20"/>
        </w:rPr>
      </w:pPr>
      <w:r>
        <w:rPr>
          <w:spacing w:val="-1"/>
          <w:sz w:val="20"/>
          <w:szCs w:val="20"/>
        </w:rPr>
        <w:t>在当前数字化时代，信息安全已成为各类信息系统工程建设项</w:t>
      </w:r>
      <w:r>
        <w:rPr>
          <w:spacing w:val="-2"/>
          <w:sz w:val="20"/>
          <w:szCs w:val="20"/>
        </w:rPr>
        <w:t>目不可忽视的一个重要环节，</w:t>
      </w:r>
      <w:r>
        <w:rPr>
          <w:sz w:val="20"/>
          <w:szCs w:val="20"/>
        </w:rPr>
        <w:t xml:space="preserve"> </w:t>
      </w:r>
      <w:r>
        <w:rPr>
          <w:spacing w:val="3"/>
          <w:sz w:val="20"/>
          <w:szCs w:val="20"/>
        </w:rPr>
        <w:t>信息安全问题关系到系统稳定、数据保密和用户信任等关键因素。信息安全监理人员</w:t>
      </w:r>
      <w:r>
        <w:rPr>
          <w:spacing w:val="2"/>
          <w:sz w:val="20"/>
          <w:szCs w:val="20"/>
        </w:rPr>
        <w:t>需要关注</w:t>
      </w:r>
      <w:r>
        <w:rPr>
          <w:sz w:val="20"/>
          <w:szCs w:val="20"/>
        </w:rPr>
        <w:t xml:space="preserve"> </w:t>
      </w:r>
      <w:r>
        <w:rPr>
          <w:spacing w:val="3"/>
          <w:sz w:val="20"/>
          <w:szCs w:val="20"/>
        </w:rPr>
        <w:t>信息安全政策与法规、风险评估与防范措施、安全技术及工具、应急响应能力等</w:t>
      </w:r>
      <w:r>
        <w:rPr>
          <w:spacing w:val="2"/>
          <w:sz w:val="20"/>
          <w:szCs w:val="20"/>
        </w:rPr>
        <w:t>，帮助业主单</w:t>
      </w:r>
      <w:r>
        <w:rPr>
          <w:sz w:val="20"/>
          <w:szCs w:val="20"/>
        </w:rPr>
        <w:t xml:space="preserve"> </w:t>
      </w:r>
      <w:r>
        <w:rPr>
          <w:spacing w:val="-2"/>
          <w:sz w:val="20"/>
          <w:szCs w:val="20"/>
        </w:rPr>
        <w:t>位及承建单位提高信息安全意识，采取有效措施确保信息系统的安全性与可靠性。</w:t>
      </w:r>
    </w:p>
    <w:p w14:paraId="017BAFA9">
      <w:pPr>
        <w:pStyle w:val="2"/>
        <w:spacing w:before="49" w:line="283" w:lineRule="auto"/>
        <w:ind w:firstLine="410"/>
        <w:jc w:val="both"/>
        <w:rPr>
          <w:sz w:val="20"/>
          <w:szCs w:val="20"/>
        </w:rPr>
      </w:pPr>
      <w:r>
        <w:rPr>
          <w:spacing w:val="3"/>
          <w:sz w:val="20"/>
          <w:szCs w:val="20"/>
        </w:rPr>
        <w:t>本章主要介绍信息安全监理服务过程中的关键监理活动、内容、要点和</w:t>
      </w:r>
      <w:r>
        <w:rPr>
          <w:spacing w:val="2"/>
          <w:sz w:val="20"/>
          <w:szCs w:val="20"/>
        </w:rPr>
        <w:t>标志性成果等。在</w:t>
      </w:r>
      <w:r>
        <w:rPr>
          <w:sz w:val="20"/>
          <w:szCs w:val="20"/>
        </w:rPr>
        <w:t xml:space="preserve">  </w:t>
      </w:r>
      <w:r>
        <w:rPr>
          <w:spacing w:val="3"/>
          <w:sz w:val="20"/>
          <w:szCs w:val="20"/>
        </w:rPr>
        <w:t>监理活动方面，重点关注安全及密码设备的到货验收、安全检查指导、安全风险评估</w:t>
      </w:r>
      <w:r>
        <w:rPr>
          <w:spacing w:val="2"/>
          <w:sz w:val="20"/>
          <w:szCs w:val="20"/>
        </w:rPr>
        <w:t>、安全整</w:t>
      </w:r>
      <w:r>
        <w:rPr>
          <w:sz w:val="20"/>
          <w:szCs w:val="20"/>
        </w:rPr>
        <w:t xml:space="preserve">  </w:t>
      </w:r>
      <w:r>
        <w:rPr>
          <w:spacing w:val="3"/>
          <w:sz w:val="20"/>
          <w:szCs w:val="20"/>
        </w:rPr>
        <w:t>改和加固过程的监督以及网络安全等级保护测评和商用密码应用安全评估过程的跟</w:t>
      </w:r>
      <w:r>
        <w:rPr>
          <w:spacing w:val="2"/>
          <w:sz w:val="20"/>
          <w:szCs w:val="20"/>
        </w:rPr>
        <w:t>踪，同时参</w:t>
      </w:r>
      <w:r>
        <w:rPr>
          <w:sz w:val="20"/>
          <w:szCs w:val="20"/>
        </w:rPr>
        <w:t xml:space="preserve">  </w:t>
      </w:r>
      <w:r>
        <w:rPr>
          <w:spacing w:val="5"/>
          <w:sz w:val="20"/>
          <w:szCs w:val="20"/>
        </w:rPr>
        <w:t>与审查信息安全相关技术方案和相关文档。监理内容主要聚焦于信息安全监理的检查、审核、</w:t>
      </w:r>
      <w:r>
        <w:rPr>
          <w:spacing w:val="3"/>
          <w:sz w:val="20"/>
          <w:szCs w:val="20"/>
        </w:rPr>
        <w:t xml:space="preserve"> 跟踪、测试、监督、评估和培训等实践活动。而监理要点则更多地描述了每项</w:t>
      </w:r>
      <w:r>
        <w:rPr>
          <w:spacing w:val="2"/>
          <w:sz w:val="20"/>
          <w:szCs w:val="20"/>
        </w:rPr>
        <w:t>具体工作是否达</w:t>
      </w:r>
      <w:r>
        <w:rPr>
          <w:sz w:val="20"/>
          <w:szCs w:val="20"/>
        </w:rPr>
        <w:t xml:space="preserve">  </w:t>
      </w:r>
      <w:r>
        <w:rPr>
          <w:spacing w:val="3"/>
          <w:sz w:val="20"/>
          <w:szCs w:val="20"/>
        </w:rPr>
        <w:t>到初步设计预定的信息安全目标，以及具体指标是否通过了等级保护测评和商用密</w:t>
      </w:r>
      <w:r>
        <w:rPr>
          <w:spacing w:val="2"/>
          <w:sz w:val="20"/>
          <w:szCs w:val="20"/>
        </w:rPr>
        <w:t>码应用安全</w:t>
      </w:r>
      <w:r>
        <w:rPr>
          <w:sz w:val="20"/>
          <w:szCs w:val="20"/>
        </w:rPr>
        <w:t xml:space="preserve">  </w:t>
      </w:r>
      <w:r>
        <w:rPr>
          <w:spacing w:val="3"/>
          <w:sz w:val="20"/>
          <w:szCs w:val="20"/>
        </w:rPr>
        <w:t>评估。此外，还需关注测评和评估中发现的不符合项是否完成了必要的信息安</w:t>
      </w:r>
      <w:r>
        <w:rPr>
          <w:spacing w:val="2"/>
          <w:sz w:val="20"/>
          <w:szCs w:val="20"/>
        </w:rPr>
        <w:t>全整改。至于标</w:t>
      </w:r>
      <w:r>
        <w:rPr>
          <w:sz w:val="20"/>
          <w:szCs w:val="20"/>
        </w:rPr>
        <w:t xml:space="preserve">  </w:t>
      </w:r>
      <w:r>
        <w:rPr>
          <w:spacing w:val="3"/>
          <w:sz w:val="20"/>
          <w:szCs w:val="20"/>
        </w:rPr>
        <w:t>志性成果，则对应于信息安全管理和实施的管理程序、审查安全方案和相关文件的</w:t>
      </w:r>
      <w:r>
        <w:rPr>
          <w:spacing w:val="2"/>
          <w:sz w:val="20"/>
          <w:szCs w:val="20"/>
        </w:rPr>
        <w:t>监理专题报</w:t>
      </w:r>
      <w:r>
        <w:rPr>
          <w:sz w:val="20"/>
          <w:szCs w:val="20"/>
        </w:rPr>
        <w:t xml:space="preserve">  </w:t>
      </w:r>
      <w:r>
        <w:rPr>
          <w:spacing w:val="-2"/>
          <w:sz w:val="20"/>
          <w:szCs w:val="20"/>
        </w:rPr>
        <w:t>告、网络安全等级保护测评报告以及商用密码应用安全评估报告。</w:t>
      </w:r>
    </w:p>
    <w:p w14:paraId="1252A21F">
      <w:pPr>
        <w:spacing w:line="348" w:lineRule="auto"/>
        <w:rPr>
          <w:rFonts w:ascii="Arial"/>
          <w:sz w:val="21"/>
        </w:rPr>
      </w:pPr>
    </w:p>
    <w:p w14:paraId="2CCAA78E">
      <w:pPr>
        <w:pStyle w:val="2"/>
        <w:spacing w:before="88" w:line="221" w:lineRule="auto"/>
        <w:ind w:left="3"/>
        <w:rPr>
          <w:rFonts w:ascii="黑体" w:hAnsi="黑体" w:eastAsia="黑体" w:cs="黑体"/>
          <w:sz w:val="27"/>
          <w:szCs w:val="27"/>
        </w:rPr>
      </w:pPr>
      <w:r>
        <w:rPr>
          <w:b/>
          <w:bCs/>
          <w:color w:val="0071E2"/>
          <w:spacing w:val="-6"/>
          <w:sz w:val="27"/>
          <w:szCs w:val="27"/>
        </w:rPr>
        <w:t>24.1</w:t>
      </w:r>
      <w:r>
        <w:rPr>
          <w:color w:val="0071E2"/>
          <w:spacing w:val="17"/>
          <w:sz w:val="27"/>
          <w:szCs w:val="27"/>
        </w:rPr>
        <w:t xml:space="preserve">  </w:t>
      </w:r>
      <w:r>
        <w:rPr>
          <w:rFonts w:ascii="黑体" w:hAnsi="黑体" w:eastAsia="黑体" w:cs="黑体"/>
          <w:b/>
          <w:bCs/>
          <w:color w:val="0071E2"/>
          <w:spacing w:val="-6"/>
          <w:sz w:val="27"/>
          <w:szCs w:val="27"/>
        </w:rPr>
        <w:t>概述</w:t>
      </w:r>
    </w:p>
    <w:p w14:paraId="7AE61AA6">
      <w:pPr>
        <w:pStyle w:val="2"/>
        <w:spacing w:before="258" w:line="282" w:lineRule="auto"/>
        <w:ind w:right="80" w:firstLine="410"/>
        <w:jc w:val="both"/>
        <w:rPr>
          <w:sz w:val="20"/>
          <w:szCs w:val="20"/>
        </w:rPr>
      </w:pPr>
      <w:r>
        <w:rPr>
          <w:spacing w:val="3"/>
          <w:sz w:val="20"/>
          <w:szCs w:val="20"/>
        </w:rPr>
        <w:t>为规范网络安全等级保护管理，提高信息安全保障能力和水平，维护国家安</w:t>
      </w:r>
      <w:r>
        <w:rPr>
          <w:spacing w:val="2"/>
          <w:sz w:val="20"/>
          <w:szCs w:val="20"/>
        </w:rPr>
        <w:t>全、社会稳定</w:t>
      </w:r>
      <w:r>
        <w:rPr>
          <w:sz w:val="20"/>
          <w:szCs w:val="20"/>
        </w:rPr>
        <w:t xml:space="preserve"> </w:t>
      </w:r>
      <w:r>
        <w:rPr>
          <w:spacing w:val="3"/>
          <w:sz w:val="20"/>
          <w:szCs w:val="20"/>
        </w:rPr>
        <w:t>和公共利益，保障和促进党政机关、企事业单位信息系统规范建设，信息安全监理依据当前网</w:t>
      </w:r>
      <w:r>
        <w:rPr>
          <w:spacing w:val="5"/>
          <w:sz w:val="20"/>
          <w:szCs w:val="20"/>
        </w:rPr>
        <w:t xml:space="preserve"> </w:t>
      </w:r>
      <w:r>
        <w:rPr>
          <w:spacing w:val="3"/>
          <w:sz w:val="20"/>
          <w:szCs w:val="20"/>
        </w:rPr>
        <w:t>络安全等级保护、涉密信息系统分级保护、商用密码安全应用、关键信息基础设施保</w:t>
      </w:r>
      <w:r>
        <w:rPr>
          <w:spacing w:val="2"/>
          <w:sz w:val="20"/>
          <w:szCs w:val="20"/>
        </w:rPr>
        <w:t>护相关要</w:t>
      </w:r>
      <w:r>
        <w:rPr>
          <w:sz w:val="20"/>
          <w:szCs w:val="20"/>
        </w:rPr>
        <w:t xml:space="preserve"> </w:t>
      </w:r>
      <w:r>
        <w:rPr>
          <w:spacing w:val="3"/>
          <w:sz w:val="20"/>
          <w:szCs w:val="20"/>
        </w:rPr>
        <w:t>求，参照监理规范，遵循监理合同，协助业主单位识别风险、分析差距、审核承建</w:t>
      </w:r>
      <w:r>
        <w:rPr>
          <w:spacing w:val="2"/>
          <w:sz w:val="20"/>
          <w:szCs w:val="20"/>
        </w:rPr>
        <w:t>单位的安全</w:t>
      </w:r>
      <w:r>
        <w:rPr>
          <w:sz w:val="20"/>
          <w:szCs w:val="20"/>
        </w:rPr>
        <w:t xml:space="preserve"> </w:t>
      </w:r>
      <w:r>
        <w:rPr>
          <w:spacing w:val="3"/>
          <w:sz w:val="20"/>
          <w:szCs w:val="20"/>
        </w:rPr>
        <w:t>技术方案、配合专业第三方机构开展专业测评工作，根据测评结果组织承建单位对系统进行加</w:t>
      </w:r>
      <w:r>
        <w:rPr>
          <w:spacing w:val="1"/>
          <w:sz w:val="20"/>
          <w:szCs w:val="20"/>
        </w:rPr>
        <w:t xml:space="preserve"> </w:t>
      </w:r>
      <w:r>
        <w:rPr>
          <w:spacing w:val="-2"/>
          <w:sz w:val="20"/>
          <w:szCs w:val="20"/>
        </w:rPr>
        <w:t>固，确保信息安全强制性国家标准和行业标准在项目实施过程中得到严格落实。</w:t>
      </w:r>
    </w:p>
    <w:p w14:paraId="46C2F433">
      <w:pPr>
        <w:pStyle w:val="2"/>
        <w:spacing w:before="166" w:line="219" w:lineRule="auto"/>
        <w:ind w:left="2"/>
        <w:rPr>
          <w:sz w:val="27"/>
          <w:szCs w:val="27"/>
        </w:rPr>
      </w:pPr>
      <w:r>
        <w:rPr>
          <w:b/>
          <w:bCs/>
          <w:color w:val="0076DE"/>
          <w:spacing w:val="-29"/>
          <w:sz w:val="27"/>
          <w:szCs w:val="27"/>
        </w:rPr>
        <w:t>24.1.1</w:t>
      </w:r>
      <w:r>
        <w:rPr>
          <w:color w:val="0076DE"/>
          <w:spacing w:val="61"/>
          <w:sz w:val="27"/>
          <w:szCs w:val="27"/>
        </w:rPr>
        <w:t xml:space="preserve"> </w:t>
      </w:r>
      <w:r>
        <w:rPr>
          <w:b/>
          <w:bCs/>
          <w:color w:val="0076DE"/>
          <w:spacing w:val="-29"/>
          <w:sz w:val="27"/>
          <w:szCs w:val="27"/>
        </w:rPr>
        <w:t>基本概念</w:t>
      </w:r>
    </w:p>
    <w:p w14:paraId="0A6C3FAA">
      <w:pPr>
        <w:pStyle w:val="2"/>
        <w:spacing w:before="238" w:line="221" w:lineRule="auto"/>
        <w:ind w:left="412"/>
        <w:rPr>
          <w:rFonts w:ascii="黑体" w:hAnsi="黑体" w:eastAsia="黑体" w:cs="黑体"/>
          <w:sz w:val="20"/>
          <w:szCs w:val="20"/>
        </w:rPr>
      </w:pPr>
      <w:r>
        <w:rPr>
          <w:b/>
          <w:bCs/>
          <w:color w:val="006AC8"/>
          <w:spacing w:val="-6"/>
          <w:sz w:val="20"/>
          <w:szCs w:val="20"/>
        </w:rPr>
        <w:t>1.</w:t>
      </w:r>
      <w:r>
        <w:rPr>
          <w:rFonts w:ascii="黑体" w:hAnsi="黑体" w:eastAsia="黑体" w:cs="黑体"/>
          <w:b/>
          <w:bCs/>
          <w:color w:val="006AC8"/>
          <w:spacing w:val="-6"/>
          <w:sz w:val="20"/>
          <w:szCs w:val="20"/>
        </w:rPr>
        <w:t>信息系统</w:t>
      </w:r>
    </w:p>
    <w:p w14:paraId="515903DE">
      <w:pPr>
        <w:pStyle w:val="2"/>
        <w:spacing w:before="135" w:line="219" w:lineRule="auto"/>
        <w:ind w:left="410"/>
        <w:rPr>
          <w:sz w:val="20"/>
          <w:szCs w:val="20"/>
        </w:rPr>
      </w:pPr>
      <w:r>
        <w:rPr>
          <w:spacing w:val="-2"/>
          <w:sz w:val="20"/>
          <w:szCs w:val="20"/>
        </w:rPr>
        <w:t>应用、服务、信息技术资产或其他信息处理组件。</w:t>
      </w:r>
    </w:p>
    <w:p w14:paraId="6CC75FD7">
      <w:pPr>
        <w:pStyle w:val="2"/>
        <w:spacing w:before="158" w:line="221" w:lineRule="auto"/>
        <w:ind w:left="412"/>
        <w:rPr>
          <w:rFonts w:ascii="黑体" w:hAnsi="黑体" w:eastAsia="黑体" w:cs="黑体"/>
          <w:sz w:val="20"/>
          <w:szCs w:val="20"/>
        </w:rPr>
      </w:pPr>
      <w:r>
        <w:rPr>
          <w:b/>
          <w:bCs/>
          <w:color w:val="006ED0"/>
          <w:spacing w:val="-1"/>
          <w:sz w:val="20"/>
          <w:szCs w:val="20"/>
        </w:rPr>
        <w:t>2.</w:t>
      </w:r>
      <w:r>
        <w:rPr>
          <w:rFonts w:ascii="黑体" w:hAnsi="黑体" w:eastAsia="黑体" w:cs="黑体"/>
          <w:b/>
          <w:bCs/>
          <w:color w:val="006ED0"/>
          <w:spacing w:val="-1"/>
          <w:sz w:val="20"/>
          <w:szCs w:val="20"/>
        </w:rPr>
        <w:t>网络安全</w:t>
      </w:r>
    </w:p>
    <w:p w14:paraId="32E8A378">
      <w:pPr>
        <w:pStyle w:val="2"/>
        <w:spacing w:before="133" w:line="283" w:lineRule="auto"/>
        <w:ind w:firstLine="410"/>
        <w:rPr>
          <w:sz w:val="20"/>
          <w:szCs w:val="20"/>
        </w:rPr>
      </w:pPr>
      <w:r>
        <w:rPr>
          <w:spacing w:val="5"/>
          <w:sz w:val="20"/>
          <w:szCs w:val="20"/>
        </w:rPr>
        <w:t>通过采取必要的措施，防范对网络的攻击、侵入、干扰、破坏和非法使用以及意外事故，</w:t>
      </w:r>
      <w:r>
        <w:rPr>
          <w:spacing w:val="3"/>
          <w:sz w:val="20"/>
          <w:szCs w:val="20"/>
        </w:rPr>
        <w:t xml:space="preserve"> </w:t>
      </w:r>
      <w:r>
        <w:rPr>
          <w:spacing w:val="-1"/>
          <w:sz w:val="20"/>
          <w:szCs w:val="20"/>
        </w:rPr>
        <w:t>使网络处于稳定可靠运行的状态，以及保障网络数据的完整性、保密性、可用性的能力。</w:t>
      </w:r>
    </w:p>
    <w:p w14:paraId="745C6E2F">
      <w:pPr>
        <w:pStyle w:val="2"/>
        <w:spacing w:before="85" w:line="222" w:lineRule="auto"/>
        <w:ind w:left="412"/>
        <w:rPr>
          <w:rFonts w:ascii="黑体" w:hAnsi="黑体" w:eastAsia="黑体" w:cs="黑体"/>
          <w:sz w:val="20"/>
          <w:szCs w:val="20"/>
        </w:rPr>
      </w:pPr>
      <w:r>
        <w:rPr>
          <w:b/>
          <w:bCs/>
          <w:color w:val="0070D2"/>
          <w:spacing w:val="-2"/>
          <w:sz w:val="20"/>
          <w:szCs w:val="20"/>
        </w:rPr>
        <w:t>3.</w:t>
      </w:r>
      <w:r>
        <w:rPr>
          <w:rFonts w:ascii="黑体" w:hAnsi="黑体" w:eastAsia="黑体" w:cs="黑体"/>
          <w:b/>
          <w:bCs/>
          <w:color w:val="0070D2"/>
          <w:spacing w:val="-2"/>
          <w:sz w:val="20"/>
          <w:szCs w:val="20"/>
        </w:rPr>
        <w:t>信息安全工程</w:t>
      </w:r>
    </w:p>
    <w:p w14:paraId="384F3DB2">
      <w:pPr>
        <w:pStyle w:val="2"/>
        <w:spacing w:before="134" w:line="219" w:lineRule="auto"/>
        <w:ind w:left="410"/>
        <w:rPr>
          <w:sz w:val="20"/>
          <w:szCs w:val="20"/>
        </w:rPr>
      </w:pPr>
      <w:r>
        <w:rPr>
          <w:spacing w:val="3"/>
          <w:sz w:val="20"/>
          <w:szCs w:val="20"/>
        </w:rPr>
        <w:t>为确保信息系统的保密性、完整性、可用性等目标而进行的系统实施过程，包括信息系统</w:t>
      </w:r>
    </w:p>
    <w:p w14:paraId="3318D523">
      <w:pPr>
        <w:spacing w:line="219" w:lineRule="auto"/>
        <w:rPr>
          <w:sz w:val="20"/>
          <w:szCs w:val="20"/>
        </w:rPr>
        <w:sectPr>
          <w:pgSz w:w="10290" w:h="13310"/>
          <w:pgMar w:top="400" w:right="760" w:bottom="400" w:left="1119" w:header="0" w:footer="0" w:gutter="0"/>
          <w:cols w:space="720" w:num="1"/>
        </w:sectPr>
      </w:pPr>
    </w:p>
    <w:p w14:paraId="05052E16">
      <w:pPr>
        <w:pStyle w:val="2"/>
        <w:spacing w:before="68" w:line="219" w:lineRule="auto"/>
        <w:rPr>
          <w:sz w:val="20"/>
          <w:szCs w:val="20"/>
        </w:rPr>
      </w:pPr>
      <w:r>
        <w:rPr>
          <w:rFonts w:ascii="Times New Roman" w:hAnsi="Times New Roman" w:eastAsia="Times New Roman" w:cs="Times New Roman"/>
          <w:b/>
          <w:bCs/>
          <w:spacing w:val="-1"/>
          <w:position w:val="1"/>
          <w:sz w:val="17"/>
          <w:szCs w:val="17"/>
        </w:rPr>
        <w:t>542</w:t>
      </w:r>
      <w:r>
        <w:rPr>
          <w:rFonts w:ascii="Times New Roman" w:hAnsi="Times New Roman" w:eastAsia="Times New Roman" w:cs="Times New Roman"/>
          <w:b/>
          <w:bCs/>
          <w:spacing w:val="2"/>
          <w:position w:val="1"/>
          <w:sz w:val="17"/>
          <w:szCs w:val="17"/>
        </w:rPr>
        <w:t xml:space="preserve">                </w:t>
      </w:r>
      <w:r>
        <w:rPr>
          <w:spacing w:val="-1"/>
          <w:sz w:val="20"/>
          <w:szCs w:val="20"/>
        </w:rPr>
        <w:t>信息系统监理师教程(第2版)</w:t>
      </w:r>
    </w:p>
    <w:p w14:paraId="783606CA">
      <w:pPr>
        <w:spacing w:line="315" w:lineRule="auto"/>
        <w:rPr>
          <w:rFonts w:ascii="Arial"/>
          <w:sz w:val="21"/>
        </w:rPr>
      </w:pPr>
    </w:p>
    <w:p w14:paraId="2EE91A89">
      <w:pPr>
        <w:pStyle w:val="2"/>
        <w:spacing w:before="65" w:line="219" w:lineRule="auto"/>
        <w:ind w:left="369"/>
        <w:rPr>
          <w:sz w:val="20"/>
          <w:szCs w:val="20"/>
        </w:rPr>
      </w:pPr>
      <w:r>
        <w:rPr>
          <w:spacing w:val="6"/>
          <w:sz w:val="20"/>
          <w:szCs w:val="20"/>
        </w:rPr>
        <w:t>工程(含云服务类的信息系统)建设和运维阶段的安全集成。</w:t>
      </w:r>
    </w:p>
    <w:p w14:paraId="678F62F8">
      <w:pPr>
        <w:pStyle w:val="2"/>
        <w:spacing w:before="160" w:line="223" w:lineRule="auto"/>
        <w:ind w:left="742"/>
        <w:rPr>
          <w:rFonts w:ascii="黑体" w:hAnsi="黑体" w:eastAsia="黑体" w:cs="黑体"/>
          <w:sz w:val="20"/>
          <w:szCs w:val="20"/>
        </w:rPr>
      </w:pPr>
      <w:bookmarkStart w:id="751" w:name="bookmark736"/>
      <w:bookmarkEnd w:id="751"/>
      <w:r>
        <w:rPr>
          <w:b/>
          <w:bCs/>
          <w:color w:val="0085D3"/>
          <w:spacing w:val="1"/>
          <w:sz w:val="20"/>
          <w:szCs w:val="20"/>
        </w:rPr>
        <w:t>4.</w:t>
      </w:r>
      <w:r>
        <w:rPr>
          <w:rFonts w:ascii="黑体" w:hAnsi="黑体" w:eastAsia="黑体" w:cs="黑体"/>
          <w:b/>
          <w:bCs/>
          <w:color w:val="0085D3"/>
          <w:spacing w:val="1"/>
          <w:sz w:val="20"/>
          <w:szCs w:val="20"/>
        </w:rPr>
        <w:t>信息安全监理</w:t>
      </w:r>
    </w:p>
    <w:p w14:paraId="3C808FB0">
      <w:pPr>
        <w:pStyle w:val="2"/>
        <w:spacing w:before="149" w:line="287" w:lineRule="auto"/>
        <w:ind w:left="369" w:firstLine="380"/>
        <w:jc w:val="both"/>
        <w:rPr>
          <w:sz w:val="20"/>
          <w:szCs w:val="20"/>
        </w:rPr>
      </w:pPr>
      <w:r>
        <w:rPr>
          <w:spacing w:val="3"/>
          <w:sz w:val="20"/>
          <w:szCs w:val="20"/>
        </w:rPr>
        <w:t>依据信息安全方面的标准和要求，在工程建设各阶段向业主单位提供相关咨询，并协助业</w:t>
      </w:r>
      <w:r>
        <w:rPr>
          <w:spacing w:val="4"/>
          <w:sz w:val="20"/>
          <w:szCs w:val="20"/>
        </w:rPr>
        <w:t xml:space="preserve">  </w:t>
      </w:r>
      <w:r>
        <w:rPr>
          <w:spacing w:val="5"/>
          <w:sz w:val="20"/>
          <w:szCs w:val="20"/>
        </w:rPr>
        <w:t>主单位对承建单位在工程建设中的信息安全实施服务实施控制和管理的一种专业</w:t>
      </w:r>
      <w:r>
        <w:rPr>
          <w:spacing w:val="4"/>
          <w:sz w:val="20"/>
          <w:szCs w:val="20"/>
        </w:rPr>
        <w:t>化服务活动，</w:t>
      </w:r>
      <w:r>
        <w:rPr>
          <w:sz w:val="20"/>
          <w:szCs w:val="20"/>
        </w:rPr>
        <w:t xml:space="preserve"> </w:t>
      </w:r>
      <w:r>
        <w:rPr>
          <w:spacing w:val="-1"/>
          <w:sz w:val="20"/>
          <w:szCs w:val="20"/>
        </w:rPr>
        <w:t>信息安全监理还可以包括对信息系统运维阶段的其他信息安全实施服务进行监理。</w:t>
      </w:r>
    </w:p>
    <w:p w14:paraId="042CFCDC">
      <w:pPr>
        <w:pStyle w:val="2"/>
        <w:spacing w:before="123" w:line="221" w:lineRule="auto"/>
        <w:ind w:left="752"/>
        <w:rPr>
          <w:rFonts w:ascii="黑体" w:hAnsi="黑体" w:eastAsia="黑体" w:cs="黑体"/>
          <w:sz w:val="20"/>
          <w:szCs w:val="20"/>
        </w:rPr>
      </w:pPr>
      <w:r>
        <w:rPr>
          <w:b/>
          <w:bCs/>
          <w:color w:val="0087D6"/>
          <w:spacing w:val="-2"/>
          <w:sz w:val="20"/>
          <w:szCs w:val="20"/>
        </w:rPr>
        <w:t>5.</w:t>
      </w:r>
      <w:r>
        <w:rPr>
          <w:rFonts w:ascii="黑体" w:hAnsi="黑体" w:eastAsia="黑体" w:cs="黑体"/>
          <w:b/>
          <w:bCs/>
          <w:color w:val="0087D6"/>
          <w:spacing w:val="-2"/>
          <w:sz w:val="20"/>
          <w:szCs w:val="20"/>
        </w:rPr>
        <w:t>网络安全等级保护</w:t>
      </w:r>
    </w:p>
    <w:p w14:paraId="65861DF2">
      <w:pPr>
        <w:pStyle w:val="2"/>
        <w:spacing w:before="146" w:line="291" w:lineRule="auto"/>
        <w:ind w:left="369" w:right="119" w:firstLine="380"/>
        <w:rPr>
          <w:sz w:val="20"/>
          <w:szCs w:val="20"/>
        </w:rPr>
      </w:pPr>
      <w:r>
        <w:rPr>
          <w:spacing w:val="3"/>
          <w:sz w:val="20"/>
          <w:szCs w:val="20"/>
        </w:rPr>
        <w:t>国家通过制定统一的网络安全等级保护管理规范和</w:t>
      </w:r>
      <w:r>
        <w:rPr>
          <w:spacing w:val="2"/>
          <w:sz w:val="20"/>
          <w:szCs w:val="20"/>
        </w:rPr>
        <w:t>技术标准，组织公民、法人和其他组织</w:t>
      </w:r>
      <w:r>
        <w:rPr>
          <w:sz w:val="20"/>
          <w:szCs w:val="20"/>
        </w:rPr>
        <w:t xml:space="preserve"> </w:t>
      </w:r>
      <w:r>
        <w:rPr>
          <w:spacing w:val="-1"/>
          <w:sz w:val="20"/>
          <w:szCs w:val="20"/>
        </w:rPr>
        <w:t>对信息系统分等级实行安全保护，对等级保护工作的实施进行监督、</w:t>
      </w:r>
      <w:r>
        <w:rPr>
          <w:spacing w:val="-2"/>
          <w:sz w:val="20"/>
          <w:szCs w:val="20"/>
        </w:rPr>
        <w:t>管理。</w:t>
      </w:r>
    </w:p>
    <w:p w14:paraId="256EB876">
      <w:pPr>
        <w:pStyle w:val="2"/>
        <w:spacing w:before="28" w:line="219" w:lineRule="auto"/>
        <w:ind w:left="749"/>
        <w:rPr>
          <w:sz w:val="20"/>
          <w:szCs w:val="20"/>
        </w:rPr>
      </w:pPr>
      <w:r>
        <w:rPr>
          <w:spacing w:val="-2"/>
          <w:sz w:val="20"/>
          <w:szCs w:val="20"/>
        </w:rPr>
        <w:t>公安机关负责网络安全等级保护工作的监督、检查、指导。</w:t>
      </w:r>
    </w:p>
    <w:p w14:paraId="4B8D776A">
      <w:pPr>
        <w:pStyle w:val="2"/>
        <w:spacing w:before="139" w:line="221" w:lineRule="auto"/>
        <w:ind w:left="752"/>
        <w:rPr>
          <w:rFonts w:ascii="黑体" w:hAnsi="黑体" w:eastAsia="黑体" w:cs="黑体"/>
          <w:sz w:val="20"/>
          <w:szCs w:val="20"/>
        </w:rPr>
      </w:pPr>
      <w:r>
        <w:rPr>
          <w:b/>
          <w:bCs/>
          <w:color w:val="0085D3"/>
          <w:spacing w:val="-1"/>
          <w:sz w:val="20"/>
          <w:szCs w:val="20"/>
        </w:rPr>
        <w:t>6.</w:t>
      </w:r>
      <w:r>
        <w:rPr>
          <w:rFonts w:ascii="黑体" w:hAnsi="黑体" w:eastAsia="黑体" w:cs="黑体"/>
          <w:b/>
          <w:bCs/>
          <w:color w:val="0085D3"/>
          <w:spacing w:val="-1"/>
          <w:sz w:val="20"/>
          <w:szCs w:val="20"/>
        </w:rPr>
        <w:t>等级保护基本原则</w:t>
      </w:r>
    </w:p>
    <w:p w14:paraId="1CBF8F00">
      <w:pPr>
        <w:pStyle w:val="2"/>
        <w:spacing w:before="165" w:line="219" w:lineRule="auto"/>
        <w:ind w:left="749"/>
        <w:rPr>
          <w:sz w:val="20"/>
          <w:szCs w:val="20"/>
        </w:rPr>
      </w:pPr>
      <w:r>
        <w:rPr>
          <w:spacing w:val="-2"/>
          <w:sz w:val="20"/>
          <w:szCs w:val="20"/>
        </w:rPr>
        <w:t>自主保护原则、重点保护原则、同步建设原则、动态调整原则。</w:t>
      </w:r>
    </w:p>
    <w:p w14:paraId="5F69B08D">
      <w:pPr>
        <w:pStyle w:val="2"/>
        <w:spacing w:before="148" w:line="221" w:lineRule="auto"/>
        <w:ind w:left="752"/>
        <w:rPr>
          <w:rFonts w:ascii="黑体" w:hAnsi="黑体" w:eastAsia="黑体" w:cs="黑体"/>
          <w:sz w:val="20"/>
          <w:szCs w:val="20"/>
        </w:rPr>
      </w:pPr>
      <w:r>
        <w:rPr>
          <w:b/>
          <w:bCs/>
          <w:color w:val="0085D3"/>
          <w:spacing w:val="-3"/>
          <w:sz w:val="20"/>
          <w:szCs w:val="20"/>
        </w:rPr>
        <w:t>7.</w:t>
      </w:r>
      <w:r>
        <w:rPr>
          <w:rFonts w:ascii="黑体" w:hAnsi="黑体" w:eastAsia="黑体" w:cs="黑体"/>
          <w:b/>
          <w:bCs/>
          <w:color w:val="0085D3"/>
          <w:spacing w:val="-3"/>
          <w:sz w:val="20"/>
          <w:szCs w:val="20"/>
        </w:rPr>
        <w:t>等级保护实施基本流程</w:t>
      </w:r>
    </w:p>
    <w:p w14:paraId="7F19E183">
      <w:pPr>
        <w:pStyle w:val="2"/>
        <w:spacing w:before="154" w:line="283" w:lineRule="auto"/>
        <w:ind w:left="369" w:right="121" w:firstLine="380"/>
        <w:rPr>
          <w:sz w:val="20"/>
          <w:szCs w:val="20"/>
        </w:rPr>
      </w:pPr>
      <w:r>
        <w:rPr>
          <w:spacing w:val="3"/>
          <w:sz w:val="20"/>
          <w:szCs w:val="20"/>
        </w:rPr>
        <w:t>等级保护实施基本流程包括等级保护对象定</w:t>
      </w:r>
      <w:r>
        <w:rPr>
          <w:spacing w:val="2"/>
          <w:sz w:val="20"/>
          <w:szCs w:val="20"/>
        </w:rPr>
        <w:t>级与备案阶段，总体安全规划阶段，安全设计</w:t>
      </w:r>
      <w:r>
        <w:rPr>
          <w:sz w:val="20"/>
          <w:szCs w:val="20"/>
        </w:rPr>
        <w:t xml:space="preserve"> </w:t>
      </w:r>
      <w:r>
        <w:rPr>
          <w:spacing w:val="-2"/>
          <w:sz w:val="20"/>
          <w:szCs w:val="20"/>
        </w:rPr>
        <w:t>与实施阶段，安全运行与维护阶段和定级对象终止阶段。</w:t>
      </w:r>
    </w:p>
    <w:p w14:paraId="09F3763D">
      <w:pPr>
        <w:pStyle w:val="2"/>
        <w:spacing w:before="114" w:line="221" w:lineRule="auto"/>
        <w:ind w:left="752"/>
        <w:rPr>
          <w:rFonts w:ascii="黑体" w:hAnsi="黑体" w:eastAsia="黑体" w:cs="黑体"/>
          <w:sz w:val="20"/>
          <w:szCs w:val="20"/>
        </w:rPr>
      </w:pPr>
      <w:r>
        <w:rPr>
          <w:b/>
          <w:bCs/>
          <w:color w:val="0079CB"/>
          <w:spacing w:val="-2"/>
          <w:sz w:val="20"/>
          <w:szCs w:val="20"/>
        </w:rPr>
        <w:t>8.</w:t>
      </w:r>
      <w:r>
        <w:rPr>
          <w:rFonts w:ascii="黑体" w:hAnsi="黑体" w:eastAsia="黑体" w:cs="黑体"/>
          <w:b/>
          <w:bCs/>
          <w:color w:val="0079CB"/>
          <w:spacing w:val="-2"/>
          <w:sz w:val="20"/>
          <w:szCs w:val="20"/>
        </w:rPr>
        <w:t>涉密信息系统分级保护</w:t>
      </w:r>
    </w:p>
    <w:p w14:paraId="091502C8">
      <w:pPr>
        <w:pStyle w:val="2"/>
        <w:spacing w:before="135" w:line="278" w:lineRule="auto"/>
        <w:ind w:left="369" w:right="92" w:firstLine="380"/>
        <w:jc w:val="both"/>
        <w:rPr>
          <w:sz w:val="20"/>
          <w:szCs w:val="20"/>
        </w:rPr>
      </w:pPr>
      <w:r>
        <w:rPr>
          <w:spacing w:val="3"/>
          <w:sz w:val="20"/>
          <w:szCs w:val="20"/>
        </w:rPr>
        <w:t>依据国家网络安全等级保护的基本要求，对</w:t>
      </w:r>
      <w:r>
        <w:rPr>
          <w:spacing w:val="2"/>
          <w:sz w:val="20"/>
          <w:szCs w:val="20"/>
        </w:rPr>
        <w:t>存储、处理国家秘密的计算机信息系统按照涉</w:t>
      </w:r>
      <w:r>
        <w:rPr>
          <w:sz w:val="20"/>
          <w:szCs w:val="20"/>
        </w:rPr>
        <w:t xml:space="preserve"> </w:t>
      </w:r>
      <w:r>
        <w:rPr>
          <w:spacing w:val="3"/>
          <w:sz w:val="20"/>
          <w:szCs w:val="20"/>
        </w:rPr>
        <w:t>密程度实行分级保护。按照国家保密工作部门有关涉密信</w:t>
      </w:r>
      <w:r>
        <w:rPr>
          <w:spacing w:val="2"/>
          <w:sz w:val="20"/>
          <w:szCs w:val="20"/>
        </w:rPr>
        <w:t>息系统分级保护的管理规定和技术标</w:t>
      </w:r>
      <w:r>
        <w:rPr>
          <w:sz w:val="20"/>
          <w:szCs w:val="20"/>
        </w:rPr>
        <w:t xml:space="preserve"> </w:t>
      </w:r>
      <w:r>
        <w:rPr>
          <w:spacing w:val="-3"/>
          <w:sz w:val="20"/>
          <w:szCs w:val="20"/>
        </w:rPr>
        <w:t>准，结合系统实际情况进行保护。</w:t>
      </w:r>
    </w:p>
    <w:p w14:paraId="03E17017">
      <w:pPr>
        <w:pStyle w:val="2"/>
        <w:spacing w:before="37" w:line="219" w:lineRule="auto"/>
        <w:ind w:left="749"/>
        <w:rPr>
          <w:sz w:val="20"/>
          <w:szCs w:val="20"/>
        </w:rPr>
      </w:pPr>
      <w:r>
        <w:rPr>
          <w:spacing w:val="-2"/>
          <w:sz w:val="20"/>
          <w:szCs w:val="20"/>
        </w:rPr>
        <w:t>国家保密工作部门负责等级保护工作中有关保密工作的监督、检查、指导。</w:t>
      </w:r>
    </w:p>
    <w:p w14:paraId="11E00BA8">
      <w:pPr>
        <w:pStyle w:val="2"/>
        <w:spacing w:before="91" w:line="219" w:lineRule="auto"/>
        <w:ind w:left="749"/>
        <w:rPr>
          <w:sz w:val="20"/>
          <w:szCs w:val="20"/>
        </w:rPr>
      </w:pPr>
      <w:r>
        <w:rPr>
          <w:sz w:val="20"/>
          <w:szCs w:val="20"/>
        </w:rPr>
        <w:t>涉密信息系统分级保护有特定程序要求，本教材不涉及涉密</w:t>
      </w:r>
      <w:r>
        <w:rPr>
          <w:spacing w:val="-1"/>
          <w:sz w:val="20"/>
          <w:szCs w:val="20"/>
        </w:rPr>
        <w:t>信息系统建设及监理内容。</w:t>
      </w:r>
    </w:p>
    <w:p w14:paraId="44322486">
      <w:pPr>
        <w:pStyle w:val="2"/>
        <w:spacing w:before="159" w:line="221" w:lineRule="auto"/>
        <w:ind w:left="752"/>
        <w:rPr>
          <w:rFonts w:ascii="黑体" w:hAnsi="黑体" w:eastAsia="黑体" w:cs="黑体"/>
          <w:sz w:val="20"/>
          <w:szCs w:val="20"/>
        </w:rPr>
      </w:pPr>
      <w:r>
        <w:rPr>
          <w:b/>
          <w:bCs/>
          <w:color w:val="0087D6"/>
          <w:spacing w:val="9"/>
          <w:sz w:val="20"/>
          <w:szCs w:val="20"/>
        </w:rPr>
        <w:t>9.</w:t>
      </w:r>
      <w:r>
        <w:rPr>
          <w:rFonts w:ascii="黑体" w:hAnsi="黑体" w:eastAsia="黑体" w:cs="黑体"/>
          <w:b/>
          <w:bCs/>
          <w:color w:val="0087D6"/>
          <w:spacing w:val="9"/>
          <w:sz w:val="20"/>
          <w:szCs w:val="20"/>
        </w:rPr>
        <w:t>密码</w:t>
      </w:r>
    </w:p>
    <w:p w14:paraId="7867A1AC">
      <w:pPr>
        <w:pStyle w:val="2"/>
        <w:spacing w:before="134" w:line="287" w:lineRule="auto"/>
        <w:ind w:left="369" w:right="82" w:firstLine="380"/>
        <w:jc w:val="both"/>
        <w:rPr>
          <w:sz w:val="20"/>
          <w:szCs w:val="20"/>
        </w:rPr>
      </w:pPr>
      <w:r>
        <w:rPr>
          <w:spacing w:val="3"/>
          <w:sz w:val="20"/>
          <w:szCs w:val="20"/>
        </w:rPr>
        <w:t>密码是指按特定法则编成，用以对通信双方</w:t>
      </w:r>
      <w:r>
        <w:rPr>
          <w:spacing w:val="2"/>
          <w:sz w:val="20"/>
          <w:szCs w:val="20"/>
        </w:rPr>
        <w:t>的信息进行明密变换的符号，是一种用来混淆</w:t>
      </w:r>
      <w:r>
        <w:rPr>
          <w:sz w:val="20"/>
          <w:szCs w:val="20"/>
        </w:rPr>
        <w:t xml:space="preserve"> </w:t>
      </w:r>
      <w:r>
        <w:rPr>
          <w:spacing w:val="8"/>
          <w:sz w:val="20"/>
          <w:szCs w:val="20"/>
        </w:rPr>
        <w:t>的技术，使用者希望将正常的(可识别的)信息转变为无法识别的信</w:t>
      </w:r>
      <w:r>
        <w:rPr>
          <w:spacing w:val="7"/>
          <w:sz w:val="20"/>
          <w:szCs w:val="20"/>
        </w:rPr>
        <w:t>息，但这部分信息是可以</w:t>
      </w:r>
      <w:r>
        <w:rPr>
          <w:sz w:val="20"/>
          <w:szCs w:val="20"/>
        </w:rPr>
        <w:t xml:space="preserve"> </w:t>
      </w:r>
      <w:r>
        <w:rPr>
          <w:spacing w:val="-3"/>
          <w:sz w:val="20"/>
          <w:szCs w:val="20"/>
        </w:rPr>
        <w:t>再加工并恢复的，也是可以破解的。</w:t>
      </w:r>
    </w:p>
    <w:p w14:paraId="0A2E7811">
      <w:pPr>
        <w:pStyle w:val="2"/>
        <w:spacing w:before="29" w:line="219" w:lineRule="auto"/>
        <w:ind w:left="749"/>
        <w:rPr>
          <w:sz w:val="20"/>
          <w:szCs w:val="20"/>
        </w:rPr>
      </w:pPr>
      <w:r>
        <w:rPr>
          <w:spacing w:val="-1"/>
          <w:sz w:val="20"/>
          <w:szCs w:val="20"/>
        </w:rPr>
        <w:t>国家密码管理部门负责等级保护工作中有关密码工作的监督、检查、指导。</w:t>
      </w:r>
    </w:p>
    <w:p w14:paraId="1266C5DA">
      <w:pPr>
        <w:pStyle w:val="2"/>
        <w:spacing w:before="148" w:line="221" w:lineRule="auto"/>
        <w:ind w:left="752"/>
        <w:rPr>
          <w:rFonts w:ascii="黑体" w:hAnsi="黑体" w:eastAsia="黑体" w:cs="黑体"/>
          <w:sz w:val="20"/>
          <w:szCs w:val="20"/>
        </w:rPr>
      </w:pPr>
      <w:r>
        <w:rPr>
          <w:b/>
          <w:bCs/>
          <w:color w:val="007FD4"/>
          <w:spacing w:val="-4"/>
          <w:sz w:val="20"/>
          <w:szCs w:val="20"/>
        </w:rPr>
        <w:t>10.</w:t>
      </w:r>
      <w:r>
        <w:rPr>
          <w:rFonts w:ascii="黑体" w:hAnsi="黑体" w:eastAsia="黑体" w:cs="黑体"/>
          <w:b/>
          <w:bCs/>
          <w:color w:val="007FD4"/>
          <w:spacing w:val="-4"/>
          <w:sz w:val="20"/>
          <w:szCs w:val="20"/>
        </w:rPr>
        <w:t>商用密码</w:t>
      </w:r>
    </w:p>
    <w:p w14:paraId="1C79EA88">
      <w:pPr>
        <w:pStyle w:val="2"/>
        <w:spacing w:before="124" w:line="283" w:lineRule="auto"/>
        <w:ind w:left="369" w:right="121" w:firstLine="380"/>
        <w:rPr>
          <w:sz w:val="20"/>
          <w:szCs w:val="20"/>
        </w:rPr>
      </w:pPr>
      <w:r>
        <w:rPr>
          <w:spacing w:val="3"/>
          <w:sz w:val="20"/>
          <w:szCs w:val="20"/>
        </w:rPr>
        <w:t>商用密码是指采用特定变换的方法对不属于</w:t>
      </w:r>
      <w:r>
        <w:rPr>
          <w:spacing w:val="2"/>
          <w:sz w:val="20"/>
          <w:szCs w:val="20"/>
        </w:rPr>
        <w:t>国家秘密的信息进行加密保护、安全认证的技</w:t>
      </w:r>
      <w:r>
        <w:rPr>
          <w:sz w:val="20"/>
          <w:szCs w:val="20"/>
        </w:rPr>
        <w:t xml:space="preserve"> </w:t>
      </w:r>
      <w:r>
        <w:rPr>
          <w:spacing w:val="-5"/>
          <w:sz w:val="20"/>
          <w:szCs w:val="20"/>
        </w:rPr>
        <w:t>术、产品和服务。</w:t>
      </w:r>
    </w:p>
    <w:p w14:paraId="6F6E8D30">
      <w:pPr>
        <w:pStyle w:val="2"/>
        <w:spacing w:before="16" w:line="278" w:lineRule="auto"/>
        <w:ind w:left="369" w:right="61" w:firstLine="380"/>
        <w:jc w:val="both"/>
        <w:rPr>
          <w:sz w:val="20"/>
          <w:szCs w:val="20"/>
        </w:rPr>
      </w:pPr>
      <w:r>
        <w:rPr>
          <w:spacing w:val="3"/>
          <w:sz w:val="20"/>
          <w:szCs w:val="20"/>
        </w:rPr>
        <w:t>国家密码管理部门负责管理全国的商用密码工作。县级以上各级密码管理部门负责管理本</w:t>
      </w:r>
      <w:r>
        <w:rPr>
          <w:spacing w:val="11"/>
          <w:sz w:val="20"/>
          <w:szCs w:val="20"/>
        </w:rPr>
        <w:t xml:space="preserve"> </w:t>
      </w:r>
      <w:r>
        <w:rPr>
          <w:spacing w:val="3"/>
          <w:sz w:val="20"/>
          <w:szCs w:val="20"/>
        </w:rPr>
        <w:t>行政区域的商用密码工作。国家网信、商务、海关、市场监督管理等有关部门在各自职责范围</w:t>
      </w:r>
      <w:r>
        <w:rPr>
          <w:spacing w:val="14"/>
          <w:sz w:val="20"/>
          <w:szCs w:val="20"/>
        </w:rPr>
        <w:t xml:space="preserve"> </w:t>
      </w:r>
      <w:r>
        <w:rPr>
          <w:spacing w:val="-4"/>
          <w:sz w:val="20"/>
          <w:szCs w:val="20"/>
        </w:rPr>
        <w:t>内，负责商用密码有关管理工作。</w:t>
      </w:r>
    </w:p>
    <w:p w14:paraId="2ADCAB07">
      <w:pPr>
        <w:pStyle w:val="2"/>
        <w:spacing w:before="94" w:line="221" w:lineRule="auto"/>
        <w:ind w:left="752"/>
        <w:rPr>
          <w:rFonts w:ascii="黑体" w:hAnsi="黑体" w:eastAsia="黑体" w:cs="黑体"/>
          <w:sz w:val="20"/>
          <w:szCs w:val="20"/>
        </w:rPr>
      </w:pPr>
      <w:r>
        <w:rPr>
          <w:b/>
          <w:bCs/>
          <w:color w:val="007ED2"/>
          <w:spacing w:val="-2"/>
          <w:sz w:val="20"/>
          <w:szCs w:val="20"/>
        </w:rPr>
        <w:t>11.</w:t>
      </w:r>
      <w:r>
        <w:rPr>
          <w:rFonts w:ascii="黑体" w:hAnsi="黑体" w:eastAsia="黑体" w:cs="黑体"/>
          <w:b/>
          <w:bCs/>
          <w:color w:val="007ED2"/>
          <w:spacing w:val="-2"/>
          <w:sz w:val="20"/>
          <w:szCs w:val="20"/>
        </w:rPr>
        <w:t>商用密码应用系统</w:t>
      </w:r>
    </w:p>
    <w:p w14:paraId="37B43C33">
      <w:pPr>
        <w:pStyle w:val="2"/>
        <w:spacing w:before="154" w:line="219" w:lineRule="auto"/>
        <w:jc w:val="right"/>
        <w:rPr>
          <w:sz w:val="20"/>
          <w:szCs w:val="20"/>
        </w:rPr>
      </w:pPr>
      <w:r>
        <w:rPr>
          <w:spacing w:val="1"/>
          <w:sz w:val="20"/>
          <w:szCs w:val="20"/>
        </w:rPr>
        <w:t>采用商用密码产品或者含有密码技术的产品</w:t>
      </w:r>
      <w:r>
        <w:rPr>
          <w:sz w:val="20"/>
          <w:szCs w:val="20"/>
        </w:rPr>
        <w:t>集成建设的，实现相关信息的机密性、完整性、</w:t>
      </w:r>
    </w:p>
    <w:p w14:paraId="43BCB349">
      <w:pPr>
        <w:spacing w:line="219" w:lineRule="auto"/>
        <w:rPr>
          <w:sz w:val="20"/>
          <w:szCs w:val="20"/>
        </w:rPr>
        <w:sectPr>
          <w:pgSz w:w="10310" w:h="13420"/>
          <w:pgMar w:top="400" w:right="1029" w:bottom="400" w:left="510" w:header="0" w:footer="0" w:gutter="0"/>
          <w:cols w:space="720" w:num="1"/>
        </w:sectPr>
      </w:pPr>
    </w:p>
    <w:p w14:paraId="7FE48AB8">
      <w:pPr>
        <w:pStyle w:val="2"/>
        <w:spacing w:before="9"/>
        <w:jc w:val="right"/>
        <w:rPr>
          <w:sz w:val="19"/>
          <w:szCs w:val="19"/>
        </w:rPr>
      </w:pPr>
      <w:r>
        <w:rPr>
          <w:spacing w:val="3"/>
          <w:sz w:val="19"/>
          <w:szCs w:val="19"/>
        </w:rPr>
        <w:t>第24章</w:t>
      </w:r>
      <w:r>
        <w:rPr>
          <w:spacing w:val="32"/>
          <w:sz w:val="19"/>
          <w:szCs w:val="19"/>
        </w:rPr>
        <w:t xml:space="preserve"> </w:t>
      </w:r>
      <w:r>
        <w:rPr>
          <w:spacing w:val="3"/>
          <w:sz w:val="19"/>
          <w:szCs w:val="19"/>
        </w:rPr>
        <w:t>信息安全监理</w:t>
      </w:r>
      <w:r>
        <w:rPr>
          <w:spacing w:val="10"/>
          <w:sz w:val="19"/>
          <w:szCs w:val="19"/>
        </w:rPr>
        <w:t xml:space="preserve">      </w:t>
      </w:r>
      <w:r>
        <w:rPr>
          <w:rFonts w:ascii="Times New Roman" w:hAnsi="Times New Roman" w:eastAsia="Times New Roman" w:cs="Times New Roman"/>
          <w:spacing w:val="3"/>
          <w:sz w:val="19"/>
          <w:szCs w:val="19"/>
        </w:rPr>
        <w:t>543</w:t>
      </w:r>
      <w:r>
        <w:rPr>
          <w:rFonts w:ascii="Times New Roman" w:hAnsi="Times New Roman" w:eastAsia="Times New Roman" w:cs="Times New Roman"/>
          <w:spacing w:val="50"/>
          <w:sz w:val="19"/>
          <w:szCs w:val="19"/>
        </w:rPr>
        <w:t xml:space="preserve"> </w:t>
      </w:r>
      <w:r>
        <w:rPr>
          <w:position w:val="-6"/>
          <w:sz w:val="19"/>
          <w:szCs w:val="19"/>
        </w:rPr>
        <w:drawing>
          <wp:inline distT="0" distB="0" distL="0" distR="0">
            <wp:extent cx="260350" cy="190500"/>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350"/>
                    <a:stretch>
                      <a:fillRect/>
                    </a:stretch>
                  </pic:blipFill>
                  <pic:spPr>
                    <a:xfrm>
                      <a:off x="0" y="0"/>
                      <a:ext cx="260385" cy="190504"/>
                    </a:xfrm>
                    <a:prstGeom prst="rect">
                      <a:avLst/>
                    </a:prstGeom>
                  </pic:spPr>
                </pic:pic>
              </a:graphicData>
            </a:graphic>
          </wp:inline>
        </w:drawing>
      </w:r>
    </w:p>
    <w:p w14:paraId="10534FB6">
      <w:pPr>
        <w:spacing w:line="314" w:lineRule="auto"/>
        <w:rPr>
          <w:rFonts w:ascii="Arial"/>
          <w:sz w:val="21"/>
        </w:rPr>
      </w:pPr>
    </w:p>
    <w:p w14:paraId="5A016BEB">
      <w:pPr>
        <w:pStyle w:val="2"/>
        <w:spacing w:before="62" w:line="219" w:lineRule="auto"/>
        <w:rPr>
          <w:sz w:val="19"/>
          <w:szCs w:val="19"/>
        </w:rPr>
      </w:pPr>
      <w:r>
        <w:rPr>
          <w:spacing w:val="6"/>
          <w:sz w:val="19"/>
          <w:szCs w:val="19"/>
        </w:rPr>
        <w:t>真实性、抗抵赖性等功能的应用系统。</w:t>
      </w:r>
    </w:p>
    <w:p w14:paraId="07074D4C">
      <w:pPr>
        <w:pStyle w:val="2"/>
        <w:spacing w:before="150" w:line="221" w:lineRule="auto"/>
        <w:ind w:left="422"/>
        <w:rPr>
          <w:rFonts w:ascii="黑体" w:hAnsi="黑体" w:eastAsia="黑体" w:cs="黑体"/>
          <w:sz w:val="19"/>
          <w:szCs w:val="19"/>
        </w:rPr>
      </w:pPr>
      <w:bookmarkStart w:id="752" w:name="bookmark737"/>
      <w:bookmarkEnd w:id="752"/>
      <w:r>
        <w:rPr>
          <w:b/>
          <w:bCs/>
          <w:color w:val="0076D1"/>
          <w:spacing w:val="6"/>
          <w:sz w:val="19"/>
          <w:szCs w:val="19"/>
        </w:rPr>
        <w:t>12.</w:t>
      </w:r>
      <w:r>
        <w:rPr>
          <w:rFonts w:ascii="黑体" w:hAnsi="黑体" w:eastAsia="黑体" w:cs="黑体"/>
          <w:b/>
          <w:bCs/>
          <w:color w:val="0076D1"/>
          <w:spacing w:val="6"/>
          <w:sz w:val="19"/>
          <w:szCs w:val="19"/>
        </w:rPr>
        <w:t>商用密码应用安全性评估</w:t>
      </w:r>
    </w:p>
    <w:p w14:paraId="3C66D232">
      <w:pPr>
        <w:pStyle w:val="2"/>
        <w:spacing w:before="196" w:line="296" w:lineRule="auto"/>
        <w:ind w:right="831" w:firstLine="420"/>
        <w:rPr>
          <w:sz w:val="19"/>
          <w:szCs w:val="19"/>
        </w:rPr>
      </w:pPr>
      <w:r>
        <w:rPr>
          <w:spacing w:val="13"/>
          <w:sz w:val="19"/>
          <w:szCs w:val="19"/>
        </w:rPr>
        <w:t>由国家密码管理部门认定的密码测评机构在采用商用密码技术、产</w:t>
      </w:r>
      <w:r>
        <w:rPr>
          <w:spacing w:val="12"/>
          <w:sz w:val="19"/>
          <w:szCs w:val="19"/>
        </w:rPr>
        <w:t>品和服务集成建设的网</w:t>
      </w:r>
      <w:r>
        <w:rPr>
          <w:sz w:val="19"/>
          <w:szCs w:val="19"/>
        </w:rPr>
        <w:t xml:space="preserve"> </w:t>
      </w:r>
      <w:r>
        <w:rPr>
          <w:spacing w:val="9"/>
          <w:sz w:val="19"/>
          <w:szCs w:val="19"/>
        </w:rPr>
        <w:t>络和信息系统中，对其密码应用的合规性、正确性和有效性等</w:t>
      </w:r>
      <w:r>
        <w:rPr>
          <w:spacing w:val="8"/>
          <w:sz w:val="19"/>
          <w:szCs w:val="19"/>
        </w:rPr>
        <w:t>进行评估。</w:t>
      </w:r>
    </w:p>
    <w:p w14:paraId="5359C79C">
      <w:pPr>
        <w:pStyle w:val="2"/>
        <w:spacing w:before="76" w:line="221" w:lineRule="auto"/>
        <w:ind w:left="422"/>
        <w:rPr>
          <w:rFonts w:ascii="黑体" w:hAnsi="黑体" w:eastAsia="黑体" w:cs="黑体"/>
          <w:sz w:val="19"/>
          <w:szCs w:val="19"/>
        </w:rPr>
      </w:pPr>
      <w:r>
        <w:rPr>
          <w:b/>
          <w:bCs/>
          <w:color w:val="0073D8"/>
          <w:spacing w:val="5"/>
          <w:sz w:val="19"/>
          <w:szCs w:val="19"/>
        </w:rPr>
        <w:t>13.</w:t>
      </w:r>
      <w:r>
        <w:rPr>
          <w:rFonts w:ascii="黑体" w:hAnsi="黑体" w:eastAsia="黑体" w:cs="黑体"/>
          <w:b/>
          <w:bCs/>
          <w:color w:val="0073D8"/>
          <w:spacing w:val="5"/>
          <w:sz w:val="19"/>
          <w:szCs w:val="19"/>
        </w:rPr>
        <w:t>关键信息基础设施</w:t>
      </w:r>
    </w:p>
    <w:p w14:paraId="1BF65A3C">
      <w:pPr>
        <w:pStyle w:val="2"/>
        <w:spacing w:before="177" w:line="302" w:lineRule="auto"/>
        <w:ind w:right="754" w:firstLine="420"/>
        <w:jc w:val="both"/>
        <w:rPr>
          <w:sz w:val="19"/>
          <w:szCs w:val="19"/>
        </w:rPr>
      </w:pPr>
      <w:r>
        <w:rPr>
          <w:spacing w:val="13"/>
          <w:sz w:val="19"/>
          <w:szCs w:val="19"/>
        </w:rPr>
        <w:t>关键信息基础设施，是指公共通信和信息服务、能</w:t>
      </w:r>
      <w:r>
        <w:rPr>
          <w:spacing w:val="12"/>
          <w:sz w:val="19"/>
          <w:szCs w:val="19"/>
        </w:rPr>
        <w:t>源、交通、水利、金融、公共服务、电</w:t>
      </w:r>
      <w:r>
        <w:rPr>
          <w:sz w:val="19"/>
          <w:szCs w:val="19"/>
        </w:rPr>
        <w:t xml:space="preserve">  </w:t>
      </w:r>
      <w:r>
        <w:rPr>
          <w:spacing w:val="10"/>
          <w:sz w:val="19"/>
          <w:szCs w:val="19"/>
        </w:rPr>
        <w:t>子政务、国防科技工业等重要行业和领域的，以及其他一旦遭到破坏、丧失功能或者数据泄露，</w:t>
      </w:r>
      <w:r>
        <w:rPr>
          <w:spacing w:val="4"/>
          <w:sz w:val="19"/>
          <w:szCs w:val="19"/>
        </w:rPr>
        <w:t xml:space="preserve"> </w:t>
      </w:r>
      <w:r>
        <w:rPr>
          <w:spacing w:val="9"/>
          <w:sz w:val="19"/>
          <w:szCs w:val="19"/>
        </w:rPr>
        <w:t>可能严重危害国家安全、国计民生、公共利益的重要网络设施、信息系统</w:t>
      </w:r>
      <w:r>
        <w:rPr>
          <w:spacing w:val="8"/>
          <w:sz w:val="19"/>
          <w:szCs w:val="19"/>
        </w:rPr>
        <w:t>等。</w:t>
      </w:r>
    </w:p>
    <w:p w14:paraId="2FE8C41A">
      <w:pPr>
        <w:pStyle w:val="2"/>
        <w:spacing w:before="28" w:line="219" w:lineRule="auto"/>
        <w:ind w:left="420"/>
        <w:rPr>
          <w:sz w:val="19"/>
          <w:szCs w:val="19"/>
        </w:rPr>
      </w:pPr>
      <w:r>
        <w:rPr>
          <w:spacing w:val="-3"/>
          <w:sz w:val="19"/>
          <w:szCs w:val="19"/>
        </w:rPr>
        <w:t>在国家网信办统筹协调下，国务院公安部门负责指导、监督关键信息基础设施的</w:t>
      </w:r>
      <w:r>
        <w:rPr>
          <w:spacing w:val="-4"/>
          <w:sz w:val="19"/>
          <w:szCs w:val="19"/>
        </w:rPr>
        <w:t>安全保护工作。</w:t>
      </w:r>
    </w:p>
    <w:p w14:paraId="33D59396">
      <w:pPr>
        <w:pStyle w:val="2"/>
        <w:spacing w:before="170" w:line="221" w:lineRule="auto"/>
        <w:ind w:left="422"/>
        <w:rPr>
          <w:rFonts w:ascii="黑体" w:hAnsi="黑体" w:eastAsia="黑体" w:cs="黑体"/>
          <w:sz w:val="19"/>
          <w:szCs w:val="19"/>
        </w:rPr>
      </w:pPr>
      <w:r>
        <w:rPr>
          <w:b/>
          <w:bCs/>
          <w:color w:val="0075DC"/>
          <w:spacing w:val="7"/>
          <w:sz w:val="19"/>
          <w:szCs w:val="19"/>
        </w:rPr>
        <w:t>14.</w:t>
      </w:r>
      <w:r>
        <w:rPr>
          <w:rFonts w:ascii="黑体" w:hAnsi="黑体" w:eastAsia="黑体" w:cs="黑体"/>
          <w:b/>
          <w:bCs/>
          <w:color w:val="0075DC"/>
          <w:spacing w:val="7"/>
          <w:sz w:val="19"/>
          <w:szCs w:val="19"/>
        </w:rPr>
        <w:t>关键信息基础设施安全保护</w:t>
      </w:r>
    </w:p>
    <w:p w14:paraId="1F7F0DE6">
      <w:pPr>
        <w:pStyle w:val="2"/>
        <w:spacing w:before="155" w:line="299" w:lineRule="auto"/>
        <w:ind w:right="754" w:firstLine="420"/>
        <w:rPr>
          <w:sz w:val="19"/>
          <w:szCs w:val="19"/>
        </w:rPr>
      </w:pPr>
      <w:r>
        <w:rPr>
          <w:spacing w:val="15"/>
          <w:sz w:val="19"/>
          <w:szCs w:val="19"/>
        </w:rPr>
        <w:t>关键信息基础设施安全保护包括分析识别、安全保护、检测评估</w:t>
      </w:r>
      <w:r>
        <w:rPr>
          <w:spacing w:val="14"/>
          <w:sz w:val="19"/>
          <w:szCs w:val="19"/>
        </w:rPr>
        <w:t>、监测预警、主动防御、</w:t>
      </w:r>
      <w:r>
        <w:rPr>
          <w:sz w:val="19"/>
          <w:szCs w:val="19"/>
        </w:rPr>
        <w:t xml:space="preserve"> </w:t>
      </w:r>
      <w:r>
        <w:rPr>
          <w:spacing w:val="3"/>
          <w:sz w:val="19"/>
          <w:szCs w:val="19"/>
        </w:rPr>
        <w:t>事件处置六个方面。</w:t>
      </w:r>
    </w:p>
    <w:p w14:paraId="42D61C4F">
      <w:pPr>
        <w:pStyle w:val="2"/>
        <w:spacing w:before="165" w:line="219" w:lineRule="auto"/>
        <w:ind w:left="2"/>
        <w:rPr>
          <w:sz w:val="25"/>
          <w:szCs w:val="25"/>
        </w:rPr>
      </w:pPr>
      <w:r>
        <w:rPr>
          <w:b/>
          <w:bCs/>
          <w:color w:val="0063D5"/>
          <w:spacing w:val="-16"/>
          <w:sz w:val="25"/>
          <w:szCs w:val="25"/>
        </w:rPr>
        <w:t>24.1.2</w:t>
      </w:r>
      <w:r>
        <w:rPr>
          <w:color w:val="0063D5"/>
          <w:spacing w:val="89"/>
          <w:sz w:val="25"/>
          <w:szCs w:val="25"/>
        </w:rPr>
        <w:t xml:space="preserve"> </w:t>
      </w:r>
      <w:r>
        <w:rPr>
          <w:b/>
          <w:bCs/>
          <w:color w:val="0063D5"/>
          <w:spacing w:val="-16"/>
          <w:sz w:val="25"/>
          <w:szCs w:val="25"/>
        </w:rPr>
        <w:t>信息安全建设阶段划分及监理任务</w:t>
      </w:r>
    </w:p>
    <w:p w14:paraId="2FFE5A31">
      <w:pPr>
        <w:pStyle w:val="2"/>
        <w:spacing w:before="205" w:line="292" w:lineRule="auto"/>
        <w:ind w:right="725" w:firstLine="420"/>
        <w:jc w:val="both"/>
        <w:rPr>
          <w:sz w:val="19"/>
          <w:szCs w:val="19"/>
        </w:rPr>
      </w:pPr>
      <w:r>
        <w:rPr>
          <w:spacing w:val="15"/>
          <w:sz w:val="19"/>
          <w:szCs w:val="19"/>
        </w:rPr>
        <w:t>按照信息安全系统的建设过程，信息安全监理划分为规划设计阶段监理、招标阶段监理、</w:t>
      </w:r>
      <w:r>
        <w:rPr>
          <w:spacing w:val="18"/>
          <w:sz w:val="19"/>
          <w:szCs w:val="19"/>
        </w:rPr>
        <w:t xml:space="preserve"> </w:t>
      </w:r>
      <w:r>
        <w:rPr>
          <w:spacing w:val="13"/>
          <w:sz w:val="19"/>
          <w:szCs w:val="19"/>
        </w:rPr>
        <w:t>深化设计阶段监理、实施阶段监理、测试评估阶段监理、验收阶段监理。监理</w:t>
      </w:r>
      <w:r>
        <w:rPr>
          <w:spacing w:val="12"/>
          <w:sz w:val="19"/>
          <w:szCs w:val="19"/>
        </w:rPr>
        <w:t>机构在各阶段都</w:t>
      </w:r>
      <w:r>
        <w:rPr>
          <w:sz w:val="19"/>
          <w:szCs w:val="19"/>
        </w:rPr>
        <w:t xml:space="preserve">  </w:t>
      </w:r>
      <w:r>
        <w:rPr>
          <w:spacing w:val="9"/>
          <w:sz w:val="19"/>
          <w:szCs w:val="19"/>
        </w:rPr>
        <w:t>有明确的监理任务，如表24-1所示。</w:t>
      </w:r>
    </w:p>
    <w:p w14:paraId="01360C40">
      <w:pPr>
        <w:spacing w:before="84" w:line="221" w:lineRule="auto"/>
        <w:ind w:left="2622"/>
        <w:rPr>
          <w:rFonts w:ascii="黑体" w:hAnsi="黑体" w:eastAsia="黑体" w:cs="黑体"/>
          <w:sz w:val="19"/>
          <w:szCs w:val="19"/>
        </w:rPr>
      </w:pPr>
      <w:r>
        <w:rPr>
          <w:rFonts w:ascii="黑体" w:hAnsi="黑体" w:eastAsia="黑体" w:cs="黑体"/>
          <w:b/>
          <w:bCs/>
          <w:spacing w:val="-8"/>
          <w:sz w:val="19"/>
          <w:szCs w:val="19"/>
        </w:rPr>
        <w:t>表24-1</w:t>
      </w:r>
      <w:r>
        <w:rPr>
          <w:rFonts w:ascii="黑体" w:hAnsi="黑体" w:eastAsia="黑体" w:cs="黑体"/>
          <w:spacing w:val="64"/>
          <w:sz w:val="19"/>
          <w:szCs w:val="19"/>
        </w:rPr>
        <w:t xml:space="preserve"> </w:t>
      </w:r>
      <w:r>
        <w:rPr>
          <w:rFonts w:ascii="黑体" w:hAnsi="黑体" w:eastAsia="黑体" w:cs="黑体"/>
          <w:b/>
          <w:bCs/>
          <w:spacing w:val="-8"/>
          <w:sz w:val="19"/>
          <w:szCs w:val="19"/>
        </w:rPr>
        <w:t>信息安全监理各阶段主要任务</w:t>
      </w:r>
    </w:p>
    <w:p w14:paraId="225CF3BA">
      <w:pPr>
        <w:spacing w:line="114" w:lineRule="exact"/>
      </w:pPr>
    </w:p>
    <w:tbl>
      <w:tblPr>
        <w:tblStyle w:val="5"/>
        <w:tblW w:w="8335"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0"/>
        <w:gridCol w:w="1160"/>
        <w:gridCol w:w="6625"/>
      </w:tblGrid>
      <w:tr w14:paraId="69CB6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50" w:type="dxa"/>
            <w:tcBorders>
              <w:left w:val="nil"/>
            </w:tcBorders>
            <w:vAlign w:val="top"/>
          </w:tcPr>
          <w:p w14:paraId="7A49BF3F">
            <w:pPr>
              <w:pStyle w:val="6"/>
              <w:spacing w:before="81" w:line="221" w:lineRule="auto"/>
              <w:ind w:left="82"/>
            </w:pPr>
            <w:r>
              <w:rPr>
                <w:b/>
                <w:bCs/>
                <w:spacing w:val="-4"/>
              </w:rPr>
              <w:t>序号</w:t>
            </w:r>
          </w:p>
        </w:tc>
        <w:tc>
          <w:tcPr>
            <w:tcW w:w="1160" w:type="dxa"/>
            <w:vAlign w:val="top"/>
          </w:tcPr>
          <w:p w14:paraId="5FB17778">
            <w:pPr>
              <w:pStyle w:val="6"/>
              <w:spacing w:before="81" w:line="221" w:lineRule="auto"/>
              <w:ind w:left="387"/>
            </w:pPr>
            <w:r>
              <w:rPr>
                <w:b/>
                <w:bCs/>
                <w:spacing w:val="-6"/>
              </w:rPr>
              <w:t>阶段</w:t>
            </w:r>
          </w:p>
        </w:tc>
        <w:tc>
          <w:tcPr>
            <w:tcW w:w="6625" w:type="dxa"/>
            <w:tcBorders>
              <w:right w:val="nil"/>
            </w:tcBorders>
            <w:vAlign w:val="top"/>
          </w:tcPr>
          <w:p w14:paraId="060F00B1">
            <w:pPr>
              <w:pStyle w:val="6"/>
              <w:spacing w:before="80" w:line="219" w:lineRule="auto"/>
              <w:ind w:left="2397"/>
            </w:pPr>
            <w:r>
              <w:rPr>
                <w:b/>
                <w:bCs/>
                <w:spacing w:val="-3"/>
              </w:rPr>
              <w:t>信息安全监理主要任务</w:t>
            </w:r>
          </w:p>
        </w:tc>
      </w:tr>
      <w:tr w14:paraId="4F4F1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6" w:hRule="atLeast"/>
        </w:trPr>
        <w:tc>
          <w:tcPr>
            <w:tcW w:w="550" w:type="dxa"/>
            <w:tcBorders>
              <w:left w:val="nil"/>
            </w:tcBorders>
            <w:vAlign w:val="top"/>
          </w:tcPr>
          <w:p w14:paraId="78392359">
            <w:pPr>
              <w:spacing w:line="279" w:lineRule="auto"/>
              <w:rPr>
                <w:rFonts w:ascii="Arial"/>
                <w:sz w:val="21"/>
              </w:rPr>
            </w:pPr>
          </w:p>
          <w:p w14:paraId="428079C4">
            <w:pPr>
              <w:spacing w:line="280" w:lineRule="auto"/>
              <w:rPr>
                <w:rFonts w:ascii="Arial"/>
                <w:sz w:val="21"/>
              </w:rPr>
            </w:pPr>
          </w:p>
          <w:p w14:paraId="0BF38713">
            <w:pPr>
              <w:spacing w:line="280" w:lineRule="auto"/>
              <w:rPr>
                <w:rFonts w:ascii="Arial"/>
                <w:sz w:val="21"/>
              </w:rPr>
            </w:pPr>
          </w:p>
          <w:p w14:paraId="26FE8CFB">
            <w:pPr>
              <w:pStyle w:val="6"/>
              <w:spacing w:before="62" w:line="184" w:lineRule="auto"/>
              <w:ind w:left="220"/>
            </w:pPr>
            <w:r>
              <w:t>1</w:t>
            </w:r>
          </w:p>
        </w:tc>
        <w:tc>
          <w:tcPr>
            <w:tcW w:w="1160" w:type="dxa"/>
            <w:vAlign w:val="top"/>
          </w:tcPr>
          <w:p w14:paraId="2D959212">
            <w:pPr>
              <w:spacing w:line="264" w:lineRule="auto"/>
              <w:rPr>
                <w:rFonts w:ascii="Arial"/>
                <w:sz w:val="21"/>
              </w:rPr>
            </w:pPr>
          </w:p>
          <w:p w14:paraId="04771D57">
            <w:pPr>
              <w:spacing w:line="264" w:lineRule="auto"/>
              <w:rPr>
                <w:rFonts w:ascii="Arial"/>
                <w:sz w:val="21"/>
              </w:rPr>
            </w:pPr>
          </w:p>
          <w:p w14:paraId="75617034">
            <w:pPr>
              <w:spacing w:line="265" w:lineRule="auto"/>
              <w:rPr>
                <w:rFonts w:ascii="Arial"/>
                <w:sz w:val="21"/>
              </w:rPr>
            </w:pPr>
          </w:p>
          <w:p w14:paraId="20389E39">
            <w:pPr>
              <w:pStyle w:val="6"/>
              <w:spacing w:before="62" w:line="221" w:lineRule="auto"/>
              <w:ind w:right="1"/>
              <w:jc w:val="right"/>
            </w:pPr>
            <w:r>
              <w:rPr>
                <w:spacing w:val="-2"/>
              </w:rPr>
              <w:t>规划设计阶段</w:t>
            </w:r>
          </w:p>
        </w:tc>
        <w:tc>
          <w:tcPr>
            <w:tcW w:w="6625" w:type="dxa"/>
            <w:tcBorders>
              <w:right w:val="nil"/>
            </w:tcBorders>
            <w:vAlign w:val="top"/>
          </w:tcPr>
          <w:p w14:paraId="3EAA8759">
            <w:pPr>
              <w:pStyle w:val="6"/>
              <w:spacing w:before="57" w:line="247" w:lineRule="auto"/>
              <w:ind w:left="324" w:right="3" w:hanging="310"/>
            </w:pPr>
            <w:r>
              <w:rPr>
                <w:spacing w:val="-1"/>
              </w:rPr>
              <w:t>●配合业主单位和相关供应商进行充分沟通，</w:t>
            </w:r>
            <w:r>
              <w:rPr>
                <w:spacing w:val="-2"/>
              </w:rPr>
              <w:t>分析原有系统的脆弱性及面临的安</w:t>
            </w:r>
            <w:r>
              <w:t xml:space="preserve"> </w:t>
            </w:r>
            <w:r>
              <w:rPr>
                <w:spacing w:val="-1"/>
              </w:rPr>
              <w:t>全威胁，形成安全需求</w:t>
            </w:r>
          </w:p>
          <w:p w14:paraId="0C328BA3">
            <w:pPr>
              <w:pStyle w:val="6"/>
              <w:spacing w:before="42" w:line="241" w:lineRule="auto"/>
              <w:ind w:left="324" w:right="4" w:hanging="299"/>
            </w:pPr>
            <w:r>
              <w:rPr>
                <w:spacing w:val="-2"/>
              </w:rPr>
              <w:t>●配合业主单位完成网络安全等级保护方案、商用密码应用系统建设方案编制及</w:t>
            </w:r>
            <w:r>
              <w:rPr>
                <w:spacing w:val="9"/>
              </w:rPr>
              <w:t xml:space="preserve"> </w:t>
            </w:r>
            <w:r>
              <w:t>审核工作，并及时出具监理意见</w:t>
            </w:r>
          </w:p>
          <w:p w14:paraId="726C89C5">
            <w:pPr>
              <w:pStyle w:val="6"/>
              <w:spacing w:before="42" w:line="218" w:lineRule="auto"/>
              <w:ind w:left="14"/>
            </w:pPr>
            <w:r>
              <w:t>●协助业主单位开展方案评估工作，并配合完成规划设计资料报审</w:t>
            </w:r>
          </w:p>
          <w:p w14:paraId="32AC6F18">
            <w:pPr>
              <w:pStyle w:val="6"/>
              <w:spacing w:before="26" w:line="237" w:lineRule="auto"/>
              <w:ind w:left="341" w:hanging="327"/>
            </w:pPr>
            <w:r>
              <w:rPr>
                <w:spacing w:val="-1"/>
              </w:rPr>
              <w:t>●配合业主单位开展关键信息基础设施分析识别工作、</w:t>
            </w:r>
            <w:r>
              <w:rPr>
                <w:spacing w:val="-2"/>
              </w:rPr>
              <w:t>安全防护方案编制工作，</w:t>
            </w:r>
            <w:r>
              <w:t xml:space="preserve"> </w:t>
            </w:r>
            <w:r>
              <w:rPr>
                <w:spacing w:val="-1"/>
              </w:rPr>
              <w:t>并及时出具监理意见</w:t>
            </w:r>
          </w:p>
        </w:tc>
      </w:tr>
      <w:tr w14:paraId="62BAB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50" w:type="dxa"/>
            <w:tcBorders>
              <w:left w:val="nil"/>
            </w:tcBorders>
            <w:vAlign w:val="top"/>
          </w:tcPr>
          <w:p w14:paraId="5C6F8F02">
            <w:pPr>
              <w:pStyle w:val="6"/>
              <w:spacing w:before="121" w:line="183" w:lineRule="auto"/>
              <w:ind w:left="220"/>
            </w:pPr>
            <w:r>
              <w:t>2</w:t>
            </w:r>
          </w:p>
        </w:tc>
        <w:tc>
          <w:tcPr>
            <w:tcW w:w="1160" w:type="dxa"/>
            <w:vAlign w:val="top"/>
          </w:tcPr>
          <w:p w14:paraId="25B2AD04">
            <w:pPr>
              <w:pStyle w:val="6"/>
              <w:spacing w:before="73" w:line="220" w:lineRule="auto"/>
              <w:ind w:left="195"/>
            </w:pPr>
            <w:r>
              <w:rPr>
                <w:spacing w:val="-2"/>
              </w:rPr>
              <w:t>招标阶段</w:t>
            </w:r>
          </w:p>
        </w:tc>
        <w:tc>
          <w:tcPr>
            <w:tcW w:w="6625" w:type="dxa"/>
            <w:tcBorders>
              <w:right w:val="nil"/>
            </w:tcBorders>
            <w:vAlign w:val="top"/>
          </w:tcPr>
          <w:p w14:paraId="50CF6BBC">
            <w:pPr>
              <w:pStyle w:val="6"/>
              <w:spacing w:before="73" w:line="219" w:lineRule="auto"/>
              <w:jc w:val="right"/>
            </w:pPr>
            <w:r>
              <w:rPr>
                <w:spacing w:val="-7"/>
              </w:rPr>
              <w:t>●对招标文件编制、招投标过程、合同签订过程进行合规性审核，并出具监理意见</w:t>
            </w:r>
          </w:p>
        </w:tc>
      </w:tr>
      <w:tr w14:paraId="1CC5F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8" w:hRule="atLeast"/>
        </w:trPr>
        <w:tc>
          <w:tcPr>
            <w:tcW w:w="550" w:type="dxa"/>
            <w:tcBorders>
              <w:left w:val="nil"/>
            </w:tcBorders>
            <w:vAlign w:val="top"/>
          </w:tcPr>
          <w:p w14:paraId="0FD3AA2E">
            <w:pPr>
              <w:spacing w:line="437" w:lineRule="auto"/>
              <w:rPr>
                <w:rFonts w:ascii="Arial"/>
                <w:sz w:val="21"/>
              </w:rPr>
            </w:pPr>
          </w:p>
          <w:p w14:paraId="67BBE2B6">
            <w:pPr>
              <w:pStyle w:val="6"/>
              <w:spacing w:before="62" w:line="183" w:lineRule="auto"/>
              <w:ind w:left="220"/>
            </w:pPr>
            <w:r>
              <w:t>3</w:t>
            </w:r>
          </w:p>
        </w:tc>
        <w:tc>
          <w:tcPr>
            <w:tcW w:w="1160" w:type="dxa"/>
            <w:vAlign w:val="top"/>
          </w:tcPr>
          <w:p w14:paraId="59FD3E08">
            <w:pPr>
              <w:spacing w:line="389" w:lineRule="auto"/>
              <w:rPr>
                <w:rFonts w:ascii="Arial"/>
                <w:sz w:val="21"/>
              </w:rPr>
            </w:pPr>
          </w:p>
          <w:p w14:paraId="7EF9F880">
            <w:pPr>
              <w:pStyle w:val="6"/>
              <w:spacing w:before="62" w:line="221" w:lineRule="auto"/>
              <w:ind w:right="1"/>
              <w:jc w:val="right"/>
            </w:pPr>
            <w:r>
              <w:rPr>
                <w:spacing w:val="-2"/>
              </w:rPr>
              <w:t>深化设计阶段</w:t>
            </w:r>
          </w:p>
        </w:tc>
        <w:tc>
          <w:tcPr>
            <w:tcW w:w="6625" w:type="dxa"/>
            <w:tcBorders>
              <w:right w:val="nil"/>
            </w:tcBorders>
            <w:vAlign w:val="top"/>
          </w:tcPr>
          <w:p w14:paraId="6B3A2A4F">
            <w:pPr>
              <w:pStyle w:val="6"/>
              <w:spacing w:before="72" w:line="219" w:lineRule="auto"/>
              <w:ind w:left="14"/>
            </w:pPr>
            <w:r>
              <w:t>●协助业主单位梳理并制定工程建设管理规范以及配套管理制度</w:t>
            </w:r>
          </w:p>
          <w:p w14:paraId="2B96465D">
            <w:pPr>
              <w:pStyle w:val="6"/>
              <w:spacing w:before="23" w:line="251" w:lineRule="auto"/>
              <w:ind w:left="14" w:right="2" w:firstLine="10"/>
            </w:pPr>
            <w:r>
              <w:rPr>
                <w:spacing w:val="-2"/>
              </w:rPr>
              <w:t>●督促承建单位进场完成现场踏勘，进行差距分析，并对网络安全等级保护、商</w:t>
            </w:r>
            <w:r>
              <w:rPr>
                <w:spacing w:val="11"/>
              </w:rPr>
              <w:t xml:space="preserve"> </w:t>
            </w:r>
            <w:r>
              <w:rPr>
                <w:spacing w:val="-1"/>
              </w:rPr>
              <w:t>用密码安全应用等安全方案进行深化设计</w:t>
            </w:r>
          </w:p>
          <w:p w14:paraId="0F047D6D">
            <w:pPr>
              <w:pStyle w:val="6"/>
              <w:spacing w:before="24" w:line="209" w:lineRule="auto"/>
              <w:jc w:val="right"/>
            </w:pPr>
            <w:r>
              <w:rPr>
                <w:spacing w:val="-7"/>
              </w:rPr>
              <w:t>●审核深化设计方案及相关方提出的变更申请，必要时配合业主单位组织专家评审</w:t>
            </w:r>
          </w:p>
        </w:tc>
      </w:tr>
      <w:tr w14:paraId="23DC7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2" w:hRule="atLeast"/>
        </w:trPr>
        <w:tc>
          <w:tcPr>
            <w:tcW w:w="550" w:type="dxa"/>
            <w:tcBorders>
              <w:left w:val="nil"/>
            </w:tcBorders>
            <w:vAlign w:val="top"/>
          </w:tcPr>
          <w:p w14:paraId="404B740A">
            <w:pPr>
              <w:spacing w:line="289" w:lineRule="auto"/>
              <w:rPr>
                <w:rFonts w:ascii="Arial"/>
                <w:sz w:val="21"/>
              </w:rPr>
            </w:pPr>
          </w:p>
          <w:p w14:paraId="4BA0B76D">
            <w:pPr>
              <w:spacing w:line="289" w:lineRule="auto"/>
              <w:rPr>
                <w:rFonts w:ascii="Arial"/>
                <w:sz w:val="21"/>
              </w:rPr>
            </w:pPr>
          </w:p>
          <w:p w14:paraId="5760CEAE">
            <w:pPr>
              <w:pStyle w:val="6"/>
              <w:spacing w:before="62" w:line="183" w:lineRule="auto"/>
              <w:ind w:left="220"/>
            </w:pPr>
            <w:r>
              <w:t>4</w:t>
            </w:r>
          </w:p>
        </w:tc>
        <w:tc>
          <w:tcPr>
            <w:tcW w:w="1160" w:type="dxa"/>
            <w:vAlign w:val="top"/>
          </w:tcPr>
          <w:p w14:paraId="3C76F060">
            <w:pPr>
              <w:spacing w:line="265" w:lineRule="auto"/>
              <w:rPr>
                <w:rFonts w:ascii="Arial"/>
                <w:sz w:val="21"/>
              </w:rPr>
            </w:pPr>
          </w:p>
          <w:p w14:paraId="25936F68">
            <w:pPr>
              <w:spacing w:line="265" w:lineRule="auto"/>
              <w:rPr>
                <w:rFonts w:ascii="Arial"/>
                <w:sz w:val="21"/>
              </w:rPr>
            </w:pPr>
          </w:p>
          <w:p w14:paraId="3B821593">
            <w:pPr>
              <w:pStyle w:val="6"/>
              <w:spacing w:before="62" w:line="220" w:lineRule="auto"/>
              <w:ind w:left="195"/>
            </w:pPr>
            <w:r>
              <w:rPr>
                <w:spacing w:val="-3"/>
              </w:rPr>
              <w:t>实施阶段</w:t>
            </w:r>
          </w:p>
        </w:tc>
        <w:tc>
          <w:tcPr>
            <w:tcW w:w="6625" w:type="dxa"/>
            <w:tcBorders>
              <w:right w:val="nil"/>
            </w:tcBorders>
            <w:vAlign w:val="top"/>
          </w:tcPr>
          <w:p w14:paraId="3FEE1695">
            <w:pPr>
              <w:pStyle w:val="6"/>
              <w:spacing w:before="45" w:line="249" w:lineRule="auto"/>
              <w:ind w:left="14"/>
            </w:pPr>
            <w:r>
              <w:rPr>
                <w:spacing w:val="-1"/>
              </w:rPr>
              <w:t>●核查专用安全设备、商用密码产品的准予销售证明</w:t>
            </w:r>
            <w:r>
              <w:rPr>
                <w:spacing w:val="-2"/>
              </w:rPr>
              <w:t>材料及专业测评机构出具的</w:t>
            </w:r>
            <w:r>
              <w:t xml:space="preserve"> </w:t>
            </w:r>
            <w:r>
              <w:rPr>
                <w:spacing w:val="3"/>
              </w:rPr>
              <w:t>测评报告</w:t>
            </w:r>
          </w:p>
          <w:p w14:paraId="31B67098">
            <w:pPr>
              <w:pStyle w:val="6"/>
              <w:spacing w:before="27" w:line="245" w:lineRule="auto"/>
              <w:ind w:left="14"/>
            </w:pPr>
            <w:r>
              <w:rPr>
                <w:spacing w:val="-1"/>
              </w:rPr>
              <w:t>●督促承建单位在等级保护对象定级、规划设计、实施</w:t>
            </w:r>
            <w:r>
              <w:rPr>
                <w:spacing w:val="-2"/>
              </w:rPr>
              <w:t>过程中，对工程的质量、</w:t>
            </w:r>
            <w:r>
              <w:t xml:space="preserve"> </w:t>
            </w:r>
            <w:r>
              <w:rPr>
                <w:spacing w:val="-3"/>
              </w:rPr>
              <w:t>进度、文档和变更等方面的工作进行内部控制和科学管理</w:t>
            </w:r>
          </w:p>
          <w:p w14:paraId="632724D7">
            <w:pPr>
              <w:pStyle w:val="6"/>
              <w:spacing w:before="55" w:line="202" w:lineRule="auto"/>
              <w:ind w:left="14"/>
            </w:pPr>
            <w:r>
              <w:t>●监理机构对承建单位的管理成果进行监督</w:t>
            </w:r>
          </w:p>
        </w:tc>
      </w:tr>
    </w:tbl>
    <w:p w14:paraId="4D8FC539">
      <w:pPr>
        <w:rPr>
          <w:rFonts w:ascii="Arial"/>
          <w:sz w:val="21"/>
        </w:rPr>
      </w:pPr>
    </w:p>
    <w:p w14:paraId="05DEB1C3">
      <w:pPr>
        <w:rPr>
          <w:rFonts w:ascii="Arial" w:hAnsi="Arial" w:eastAsia="Arial" w:cs="Arial"/>
          <w:sz w:val="21"/>
          <w:szCs w:val="21"/>
        </w:rPr>
        <w:sectPr>
          <w:pgSz w:w="10290" w:h="13310"/>
          <w:pgMar w:top="400" w:right="9" w:bottom="400" w:left="1119" w:header="0" w:footer="0" w:gutter="0"/>
          <w:cols w:space="720" w:num="1"/>
        </w:sectPr>
      </w:pPr>
    </w:p>
    <w:p w14:paraId="54A14E2A">
      <w:pPr>
        <w:pStyle w:val="2"/>
        <w:spacing w:before="47" w:line="219" w:lineRule="auto"/>
        <w:ind w:left="979"/>
        <w:rPr>
          <w:sz w:val="19"/>
          <w:szCs w:val="19"/>
        </w:rPr>
      </w:pPr>
      <w:r>
        <w:pict>
          <v:shape id="_x0000_s1633" o:spid="_x0000_s1633" o:spt="202" type="#_x0000_t202" style="position:absolute;left:0pt;margin-left:-1pt;margin-top:3.5pt;height:12.4pt;width:18.7pt;z-index:251849728;mso-width-relative:page;mso-height-relative:page;" filled="f" stroked="f" coordsize="21600,21600">
            <v:path/>
            <v:fill on="f" focussize="0,0"/>
            <v:stroke on="f"/>
            <v:imagedata o:title=""/>
            <o:lock v:ext="edit" aspectratio="f"/>
            <v:textbox inset="0mm,0mm,0mm,0mm">
              <w:txbxContent>
                <w:p w14:paraId="4F09C233">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544</w:t>
                  </w:r>
                </w:p>
              </w:txbxContent>
            </v:textbox>
          </v:shape>
        </w:pict>
      </w:r>
      <w:r>
        <w:drawing>
          <wp:anchor distT="0" distB="0" distL="0" distR="0" simplePos="0" relativeHeight="251848704" behindDoc="0" locked="0" layoutInCell="0" allowOverlap="1">
            <wp:simplePos x="0" y="0"/>
            <wp:positionH relativeFrom="page">
              <wp:posOffset>551815</wp:posOffset>
            </wp:positionH>
            <wp:positionV relativeFrom="page">
              <wp:posOffset>209550</wp:posOffset>
            </wp:positionV>
            <wp:extent cx="304800" cy="24130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351"/>
                    <a:stretch>
                      <a:fillRect/>
                    </a:stretch>
                  </pic:blipFill>
                  <pic:spPr>
                    <a:xfrm>
                      <a:off x="0" y="0"/>
                      <a:ext cx="304821" cy="241325"/>
                    </a:xfrm>
                    <a:prstGeom prst="rect">
                      <a:avLst/>
                    </a:prstGeom>
                  </pic:spPr>
                </pic:pic>
              </a:graphicData>
            </a:graphic>
          </wp:anchor>
        </w:drawing>
      </w:r>
      <w:r>
        <w:rPr>
          <w:spacing w:val="5"/>
          <w:sz w:val="19"/>
          <w:szCs w:val="19"/>
        </w:rPr>
        <w:t>信息系统监理师教程(第2版)</w:t>
      </w:r>
    </w:p>
    <w:p w14:paraId="0F8B2900">
      <w:pPr>
        <w:spacing w:line="321" w:lineRule="auto"/>
        <w:rPr>
          <w:rFonts w:ascii="Arial"/>
          <w:sz w:val="21"/>
        </w:rPr>
      </w:pPr>
    </w:p>
    <w:p w14:paraId="48D324DA">
      <w:pPr>
        <w:pStyle w:val="2"/>
        <w:spacing w:before="62" w:line="220" w:lineRule="auto"/>
        <w:ind w:right="3"/>
        <w:jc w:val="right"/>
        <w:rPr>
          <w:sz w:val="19"/>
          <w:szCs w:val="19"/>
        </w:rPr>
      </w:pPr>
      <w:r>
        <w:rPr>
          <w:spacing w:val="5"/>
          <w:sz w:val="19"/>
          <w:szCs w:val="19"/>
        </w:rPr>
        <w:t>(续表)</w:t>
      </w:r>
    </w:p>
    <w:p w14:paraId="0C03D547">
      <w:pPr>
        <w:spacing w:line="50" w:lineRule="exact"/>
      </w:pPr>
    </w:p>
    <w:tbl>
      <w:tblPr>
        <w:tblStyle w:val="5"/>
        <w:tblW w:w="8325" w:type="dxa"/>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0"/>
        <w:gridCol w:w="1150"/>
        <w:gridCol w:w="6615"/>
      </w:tblGrid>
      <w:tr w14:paraId="282FE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560" w:type="dxa"/>
            <w:tcBorders>
              <w:left w:val="nil"/>
            </w:tcBorders>
            <w:vAlign w:val="top"/>
          </w:tcPr>
          <w:p w14:paraId="5D03A5AD">
            <w:pPr>
              <w:pStyle w:val="6"/>
              <w:spacing w:before="81" w:line="221" w:lineRule="auto"/>
              <w:ind w:left="92"/>
            </w:pPr>
            <w:r>
              <w:rPr>
                <w:b/>
                <w:bCs/>
                <w:spacing w:val="-4"/>
              </w:rPr>
              <w:t>序号</w:t>
            </w:r>
          </w:p>
        </w:tc>
        <w:tc>
          <w:tcPr>
            <w:tcW w:w="1150" w:type="dxa"/>
            <w:vAlign w:val="top"/>
          </w:tcPr>
          <w:p w14:paraId="4913D839">
            <w:pPr>
              <w:pStyle w:val="6"/>
              <w:spacing w:before="81" w:line="221" w:lineRule="auto"/>
              <w:ind w:left="377"/>
            </w:pPr>
            <w:r>
              <w:rPr>
                <w:b/>
                <w:bCs/>
                <w:spacing w:val="-6"/>
              </w:rPr>
              <w:t>阶段</w:t>
            </w:r>
          </w:p>
        </w:tc>
        <w:tc>
          <w:tcPr>
            <w:tcW w:w="6615" w:type="dxa"/>
            <w:tcBorders>
              <w:right w:val="nil"/>
            </w:tcBorders>
            <w:vAlign w:val="top"/>
          </w:tcPr>
          <w:p w14:paraId="6A3CD302">
            <w:pPr>
              <w:pStyle w:val="6"/>
              <w:spacing w:before="80" w:line="219" w:lineRule="auto"/>
              <w:ind w:left="2407"/>
            </w:pPr>
            <w:r>
              <w:rPr>
                <w:b/>
                <w:bCs/>
                <w:spacing w:val="-3"/>
              </w:rPr>
              <w:t>信息安全监理主要任务</w:t>
            </w:r>
          </w:p>
        </w:tc>
      </w:tr>
      <w:tr w14:paraId="5BF94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5" w:hRule="atLeast"/>
        </w:trPr>
        <w:tc>
          <w:tcPr>
            <w:tcW w:w="560" w:type="dxa"/>
            <w:tcBorders>
              <w:left w:val="nil"/>
            </w:tcBorders>
            <w:vAlign w:val="top"/>
          </w:tcPr>
          <w:p w14:paraId="5827411B">
            <w:pPr>
              <w:spacing w:line="297" w:lineRule="auto"/>
              <w:rPr>
                <w:rFonts w:ascii="Arial"/>
                <w:sz w:val="21"/>
              </w:rPr>
            </w:pPr>
          </w:p>
          <w:p w14:paraId="53D77186">
            <w:pPr>
              <w:spacing w:line="297" w:lineRule="auto"/>
              <w:rPr>
                <w:rFonts w:ascii="Arial"/>
                <w:sz w:val="21"/>
              </w:rPr>
            </w:pPr>
          </w:p>
          <w:p w14:paraId="1B24ADA5">
            <w:pPr>
              <w:pStyle w:val="6"/>
              <w:spacing w:before="62" w:line="182" w:lineRule="auto"/>
              <w:ind w:left="230"/>
            </w:pPr>
            <w:r>
              <w:t>5</w:t>
            </w:r>
          </w:p>
        </w:tc>
        <w:tc>
          <w:tcPr>
            <w:tcW w:w="1150" w:type="dxa"/>
            <w:vAlign w:val="top"/>
          </w:tcPr>
          <w:p w14:paraId="02D63A6C">
            <w:pPr>
              <w:spacing w:line="271" w:lineRule="auto"/>
              <w:rPr>
                <w:rFonts w:ascii="Arial"/>
                <w:sz w:val="21"/>
              </w:rPr>
            </w:pPr>
          </w:p>
          <w:p w14:paraId="1E7E3749">
            <w:pPr>
              <w:spacing w:line="271" w:lineRule="auto"/>
              <w:rPr>
                <w:rFonts w:ascii="Arial"/>
                <w:sz w:val="21"/>
              </w:rPr>
            </w:pPr>
          </w:p>
          <w:p w14:paraId="45F75A5E">
            <w:pPr>
              <w:pStyle w:val="6"/>
              <w:spacing w:before="62" w:line="218" w:lineRule="auto"/>
              <w:jc w:val="right"/>
            </w:pPr>
            <w:r>
              <w:rPr>
                <w:spacing w:val="-3"/>
              </w:rPr>
              <w:t>测试评估阶段</w:t>
            </w:r>
          </w:p>
        </w:tc>
        <w:tc>
          <w:tcPr>
            <w:tcW w:w="6615" w:type="dxa"/>
            <w:tcBorders>
              <w:right w:val="nil"/>
            </w:tcBorders>
            <w:vAlign w:val="top"/>
          </w:tcPr>
          <w:p w14:paraId="69094AC0">
            <w:pPr>
              <w:pStyle w:val="6"/>
              <w:spacing w:before="78" w:line="246" w:lineRule="auto"/>
              <w:ind w:left="64" w:hanging="29"/>
            </w:pPr>
            <w:r>
              <w:rPr>
                <w:spacing w:val="-2"/>
              </w:rPr>
              <w:t>●建议业主单位委托主管单位授权的专业检测机构开展测试评估</w:t>
            </w:r>
            <w:r>
              <w:rPr>
                <w:spacing w:val="-3"/>
              </w:rPr>
              <w:t>工作且应当将测</w:t>
            </w:r>
            <w:r>
              <w:t xml:space="preserve"> </w:t>
            </w:r>
            <w:r>
              <w:rPr>
                <w:spacing w:val="-1"/>
              </w:rPr>
              <w:t>评结果报相应的主管部门备案</w:t>
            </w:r>
          </w:p>
          <w:p w14:paraId="5FEDB1F8">
            <w:pPr>
              <w:pStyle w:val="6"/>
              <w:spacing w:before="53" w:line="219" w:lineRule="auto"/>
              <w:ind w:left="65"/>
            </w:pPr>
            <w:r>
              <w:t>●跟踪测评过程，督促相关方按计划完成测评工作</w:t>
            </w:r>
          </w:p>
          <w:p w14:paraId="228C3A1D">
            <w:pPr>
              <w:pStyle w:val="6"/>
              <w:spacing w:before="53" w:line="232" w:lineRule="auto"/>
              <w:ind w:left="65" w:right="6" w:hanging="20"/>
            </w:pPr>
            <w:r>
              <w:rPr>
                <w:spacing w:val="-3"/>
              </w:rPr>
              <w:t>●根据检测评估发现的高风险项及测试评估单位给出的整改建议，督促相关方落</w:t>
            </w:r>
            <w:r>
              <w:rPr>
                <w:spacing w:val="12"/>
              </w:rPr>
              <w:t xml:space="preserve"> </w:t>
            </w:r>
            <w:r>
              <w:rPr>
                <w:spacing w:val="1"/>
              </w:rPr>
              <w:t>实整改措施</w:t>
            </w:r>
          </w:p>
        </w:tc>
      </w:tr>
      <w:tr w14:paraId="0D0BE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1" w:hRule="atLeast"/>
        </w:trPr>
        <w:tc>
          <w:tcPr>
            <w:tcW w:w="560" w:type="dxa"/>
            <w:tcBorders>
              <w:left w:val="nil"/>
            </w:tcBorders>
            <w:vAlign w:val="top"/>
          </w:tcPr>
          <w:p w14:paraId="5A9C142E">
            <w:pPr>
              <w:spacing w:line="459" w:lineRule="auto"/>
              <w:rPr>
                <w:rFonts w:ascii="Arial"/>
                <w:sz w:val="21"/>
              </w:rPr>
            </w:pPr>
          </w:p>
          <w:p w14:paraId="3C5B9ECD">
            <w:pPr>
              <w:pStyle w:val="6"/>
              <w:spacing w:before="61" w:line="183" w:lineRule="auto"/>
              <w:ind w:left="230"/>
            </w:pPr>
            <w:r>
              <w:t>6</w:t>
            </w:r>
          </w:p>
        </w:tc>
        <w:tc>
          <w:tcPr>
            <w:tcW w:w="1150" w:type="dxa"/>
            <w:vAlign w:val="top"/>
          </w:tcPr>
          <w:p w14:paraId="229D4D25">
            <w:pPr>
              <w:spacing w:line="410" w:lineRule="auto"/>
              <w:rPr>
                <w:rFonts w:ascii="Arial"/>
                <w:sz w:val="21"/>
              </w:rPr>
            </w:pPr>
          </w:p>
          <w:p w14:paraId="3877A5D5">
            <w:pPr>
              <w:pStyle w:val="6"/>
              <w:spacing w:before="62" w:line="219" w:lineRule="auto"/>
              <w:ind w:left="185"/>
            </w:pPr>
            <w:r>
              <w:rPr>
                <w:spacing w:val="-2"/>
              </w:rPr>
              <w:t>验收阶段</w:t>
            </w:r>
          </w:p>
        </w:tc>
        <w:tc>
          <w:tcPr>
            <w:tcW w:w="6615" w:type="dxa"/>
            <w:tcBorders>
              <w:right w:val="nil"/>
            </w:tcBorders>
            <w:vAlign w:val="top"/>
          </w:tcPr>
          <w:p w14:paraId="131E8989">
            <w:pPr>
              <w:pStyle w:val="6"/>
              <w:spacing w:before="83" w:line="218" w:lineRule="auto"/>
              <w:ind w:left="65"/>
            </w:pPr>
            <w:r>
              <w:t>●核查安全测评报告结论</w:t>
            </w:r>
          </w:p>
          <w:p w14:paraId="4B34C72B">
            <w:pPr>
              <w:pStyle w:val="6"/>
              <w:spacing w:before="47" w:line="219" w:lineRule="auto"/>
              <w:ind w:left="65"/>
            </w:pPr>
            <w:r>
              <w:t>●整理监理档案，配合整理业主单位档案，指导承建单位完成档案组卷工作</w:t>
            </w:r>
          </w:p>
          <w:p w14:paraId="5186E5EE">
            <w:pPr>
              <w:pStyle w:val="6"/>
              <w:spacing w:before="54" w:line="219" w:lineRule="auto"/>
              <w:ind w:left="65"/>
            </w:pPr>
            <w:r>
              <w:t>●协助编制或审核验收方案</w:t>
            </w:r>
          </w:p>
          <w:p w14:paraId="58D73AC9">
            <w:pPr>
              <w:pStyle w:val="6"/>
              <w:spacing w:before="64" w:line="191" w:lineRule="auto"/>
              <w:ind w:left="65"/>
            </w:pPr>
            <w:r>
              <w:t>●配合完成其他各项验收准备工作</w:t>
            </w:r>
          </w:p>
        </w:tc>
      </w:tr>
    </w:tbl>
    <w:p w14:paraId="2B386273">
      <w:pPr>
        <w:spacing w:line="314" w:lineRule="auto"/>
        <w:rPr>
          <w:rFonts w:ascii="Arial"/>
          <w:sz w:val="21"/>
        </w:rPr>
      </w:pPr>
    </w:p>
    <w:p w14:paraId="68D3DE0E">
      <w:pPr>
        <w:pStyle w:val="2"/>
        <w:spacing w:before="94" w:line="222" w:lineRule="auto"/>
        <w:ind w:left="333"/>
        <w:rPr>
          <w:rFonts w:ascii="黑体" w:hAnsi="黑体" w:eastAsia="黑体" w:cs="黑体"/>
          <w:sz w:val="29"/>
          <w:szCs w:val="29"/>
        </w:rPr>
      </w:pPr>
      <w:r>
        <w:rPr>
          <w:b/>
          <w:bCs/>
          <w:color w:val="0087E1"/>
          <w:spacing w:val="-14"/>
          <w:sz w:val="29"/>
          <w:szCs w:val="29"/>
        </w:rPr>
        <w:t>24.2</w:t>
      </w:r>
      <w:r>
        <w:rPr>
          <w:color w:val="0087E1"/>
          <w:spacing w:val="16"/>
          <w:sz w:val="29"/>
          <w:szCs w:val="29"/>
        </w:rPr>
        <w:t xml:space="preserve">  </w:t>
      </w:r>
      <w:r>
        <w:rPr>
          <w:rFonts w:ascii="黑体" w:hAnsi="黑体" w:eastAsia="黑体" w:cs="黑体"/>
          <w:b/>
          <w:bCs/>
          <w:color w:val="0087E1"/>
          <w:spacing w:val="-14"/>
          <w:sz w:val="29"/>
          <w:szCs w:val="29"/>
        </w:rPr>
        <w:t>规划设计阶段监理工作</w:t>
      </w:r>
    </w:p>
    <w:p w14:paraId="64B8C58A">
      <w:pPr>
        <w:pStyle w:val="2"/>
        <w:spacing w:before="282" w:line="310" w:lineRule="auto"/>
        <w:ind w:left="329" w:right="88" w:firstLine="400"/>
        <w:rPr>
          <w:sz w:val="16"/>
          <w:szCs w:val="16"/>
        </w:rPr>
      </w:pPr>
      <w:r>
        <w:rPr>
          <w:spacing w:val="19"/>
          <w:sz w:val="19"/>
          <w:szCs w:val="19"/>
        </w:rPr>
        <w:t>本节重点介绍监理单位在信息安全系统的规划设计阶段需要执行的监理活</w:t>
      </w:r>
      <w:r>
        <w:rPr>
          <w:spacing w:val="18"/>
          <w:sz w:val="19"/>
          <w:szCs w:val="19"/>
        </w:rPr>
        <w:t>动和主要监理</w:t>
      </w:r>
      <w:r>
        <w:rPr>
          <w:sz w:val="19"/>
          <w:szCs w:val="19"/>
        </w:rPr>
        <w:t xml:space="preserve"> </w:t>
      </w:r>
      <w:r>
        <w:rPr>
          <w:spacing w:val="-11"/>
          <w:sz w:val="16"/>
          <w:szCs w:val="16"/>
        </w:rPr>
        <w:t>内 容</w:t>
      </w:r>
      <w:r>
        <w:rPr>
          <w:spacing w:val="-14"/>
          <w:sz w:val="16"/>
          <w:szCs w:val="16"/>
        </w:rPr>
        <w:t xml:space="preserve"> </w:t>
      </w:r>
      <w:r>
        <w:rPr>
          <w:spacing w:val="-11"/>
          <w:sz w:val="16"/>
          <w:szCs w:val="16"/>
        </w:rPr>
        <w:t>。</w:t>
      </w:r>
    </w:p>
    <w:p w14:paraId="354024B0">
      <w:pPr>
        <w:pStyle w:val="2"/>
        <w:spacing w:before="44" w:line="292" w:lineRule="auto"/>
        <w:ind w:left="329" w:right="19" w:firstLine="400"/>
        <w:jc w:val="both"/>
        <w:rPr>
          <w:sz w:val="19"/>
          <w:szCs w:val="19"/>
        </w:rPr>
      </w:pPr>
      <w:r>
        <w:rPr>
          <w:spacing w:val="15"/>
          <w:sz w:val="19"/>
          <w:szCs w:val="19"/>
        </w:rPr>
        <w:t>业主单位在规划设计项目时，应遵循相关法律法规要求，满足等级保护、商用密码应用、</w:t>
      </w:r>
      <w:r>
        <w:rPr>
          <w:spacing w:val="9"/>
          <w:sz w:val="19"/>
          <w:szCs w:val="19"/>
        </w:rPr>
        <w:t xml:space="preserve"> </w:t>
      </w:r>
      <w:r>
        <w:rPr>
          <w:spacing w:val="13"/>
          <w:sz w:val="19"/>
          <w:szCs w:val="19"/>
        </w:rPr>
        <w:t xml:space="preserve">关键信息基础设施保护等方面的要求。监理机构可以通过向业主单位提供规划设计咨询监理服 </w:t>
      </w:r>
      <w:r>
        <w:rPr>
          <w:spacing w:val="8"/>
          <w:sz w:val="19"/>
          <w:szCs w:val="19"/>
        </w:rPr>
        <w:t>务，协助业主单位完成相关信息安全方案，实现如下监理目标：</w:t>
      </w:r>
    </w:p>
    <w:p w14:paraId="579482C7">
      <w:pPr>
        <w:pStyle w:val="2"/>
        <w:spacing w:before="26" w:line="218" w:lineRule="auto"/>
        <w:ind w:left="729"/>
        <w:rPr>
          <w:sz w:val="19"/>
          <w:szCs w:val="19"/>
        </w:rPr>
      </w:pPr>
      <w:r>
        <w:rPr>
          <w:spacing w:val="11"/>
          <w:sz w:val="19"/>
          <w:szCs w:val="19"/>
        </w:rPr>
        <w:t>(1)建议并协助业主单位在规划设计阶段</w:t>
      </w:r>
      <w:r>
        <w:rPr>
          <w:spacing w:val="10"/>
          <w:sz w:val="19"/>
          <w:szCs w:val="19"/>
        </w:rPr>
        <w:t>开展风险评估；</w:t>
      </w:r>
    </w:p>
    <w:p w14:paraId="618FF8B0">
      <w:pPr>
        <w:pStyle w:val="2"/>
        <w:spacing w:before="87" w:line="219" w:lineRule="auto"/>
        <w:ind w:left="729"/>
        <w:rPr>
          <w:sz w:val="19"/>
          <w:szCs w:val="19"/>
        </w:rPr>
      </w:pPr>
      <w:r>
        <w:rPr>
          <w:spacing w:val="11"/>
          <w:sz w:val="19"/>
          <w:szCs w:val="19"/>
        </w:rPr>
        <w:t>(2)协助业主单位明确信息系统工程的安全目标；</w:t>
      </w:r>
    </w:p>
    <w:p w14:paraId="4811BE0F">
      <w:pPr>
        <w:pStyle w:val="2"/>
        <w:spacing w:before="95" w:line="219" w:lineRule="auto"/>
        <w:ind w:left="729"/>
        <w:rPr>
          <w:sz w:val="19"/>
          <w:szCs w:val="19"/>
        </w:rPr>
      </w:pPr>
      <w:r>
        <w:rPr>
          <w:spacing w:val="11"/>
          <w:sz w:val="19"/>
          <w:szCs w:val="19"/>
        </w:rPr>
        <w:t>(3)协助业主单位确定信息系统工程的安全需求；</w:t>
      </w:r>
    </w:p>
    <w:p w14:paraId="021F6392">
      <w:pPr>
        <w:pStyle w:val="2"/>
        <w:spacing w:before="95" w:line="219" w:lineRule="auto"/>
        <w:ind w:left="729"/>
        <w:rPr>
          <w:sz w:val="19"/>
          <w:szCs w:val="19"/>
        </w:rPr>
      </w:pPr>
      <w:r>
        <w:rPr>
          <w:spacing w:val="12"/>
          <w:sz w:val="19"/>
          <w:szCs w:val="19"/>
        </w:rPr>
        <w:t>(4)协助业主单位申报信息系统工程安全保护等级手续。</w:t>
      </w:r>
    </w:p>
    <w:p w14:paraId="29F9011C">
      <w:pPr>
        <w:pStyle w:val="2"/>
        <w:spacing w:before="204" w:line="220" w:lineRule="auto"/>
        <w:ind w:left="332"/>
        <w:rPr>
          <w:sz w:val="26"/>
          <w:szCs w:val="26"/>
        </w:rPr>
      </w:pPr>
      <w:r>
        <w:rPr>
          <w:b/>
          <w:bCs/>
          <w:color w:val="007CDC"/>
          <w:spacing w:val="-23"/>
          <w:sz w:val="26"/>
          <w:szCs w:val="26"/>
        </w:rPr>
        <w:t>24.2.1</w:t>
      </w:r>
      <w:r>
        <w:rPr>
          <w:color w:val="007CDC"/>
          <w:spacing w:val="92"/>
          <w:sz w:val="26"/>
          <w:szCs w:val="26"/>
        </w:rPr>
        <w:t xml:space="preserve"> </w:t>
      </w:r>
      <w:r>
        <w:rPr>
          <w:b/>
          <w:bCs/>
          <w:color w:val="007CDC"/>
          <w:spacing w:val="-23"/>
          <w:sz w:val="26"/>
          <w:szCs w:val="26"/>
        </w:rPr>
        <w:t>监理活动</w:t>
      </w:r>
    </w:p>
    <w:p w14:paraId="190CF81C">
      <w:pPr>
        <w:pStyle w:val="2"/>
        <w:spacing w:before="190" w:line="219" w:lineRule="auto"/>
        <w:ind w:left="729"/>
        <w:rPr>
          <w:sz w:val="19"/>
          <w:szCs w:val="19"/>
        </w:rPr>
      </w:pPr>
      <w:r>
        <w:rPr>
          <w:spacing w:val="7"/>
          <w:sz w:val="19"/>
          <w:szCs w:val="19"/>
        </w:rPr>
        <w:t>信息安全系统规划设计阶段的主要监理活动如下：</w:t>
      </w:r>
    </w:p>
    <w:p w14:paraId="62DC2AB3">
      <w:pPr>
        <w:pStyle w:val="2"/>
        <w:spacing w:before="94" w:line="219" w:lineRule="auto"/>
        <w:ind w:left="729"/>
        <w:rPr>
          <w:sz w:val="19"/>
          <w:szCs w:val="19"/>
        </w:rPr>
      </w:pPr>
      <w:r>
        <w:rPr>
          <w:spacing w:val="11"/>
          <w:sz w:val="19"/>
          <w:szCs w:val="19"/>
        </w:rPr>
        <w:t>(1)促使业主单位充分考虑信息系统工程的信息安全规划和设计；</w:t>
      </w:r>
    </w:p>
    <w:p w14:paraId="67E38775">
      <w:pPr>
        <w:pStyle w:val="2"/>
        <w:spacing w:before="84" w:line="218" w:lineRule="auto"/>
        <w:ind w:left="729"/>
        <w:rPr>
          <w:sz w:val="19"/>
          <w:szCs w:val="19"/>
        </w:rPr>
      </w:pPr>
      <w:r>
        <w:rPr>
          <w:spacing w:val="10"/>
          <w:sz w:val="19"/>
          <w:szCs w:val="19"/>
        </w:rPr>
        <w:t>(2)建议业主单位基于业务开展风险评估工作；</w:t>
      </w:r>
    </w:p>
    <w:p w14:paraId="41B12BF5">
      <w:pPr>
        <w:pStyle w:val="2"/>
        <w:spacing w:before="97" w:line="256" w:lineRule="auto"/>
        <w:ind w:left="329" w:right="83" w:firstLine="400"/>
        <w:rPr>
          <w:sz w:val="19"/>
          <w:szCs w:val="19"/>
        </w:rPr>
      </w:pPr>
      <w:r>
        <w:rPr>
          <w:spacing w:val="16"/>
          <w:sz w:val="19"/>
          <w:szCs w:val="19"/>
        </w:rPr>
        <w:t>(3)协助业主单位根据系统的安全风险、法律法规和政</w:t>
      </w:r>
      <w:r>
        <w:rPr>
          <w:spacing w:val="15"/>
          <w:sz w:val="19"/>
          <w:szCs w:val="19"/>
        </w:rPr>
        <w:t>策的约束，确定信息系统工程的安</w:t>
      </w:r>
      <w:r>
        <w:rPr>
          <w:sz w:val="19"/>
          <w:szCs w:val="19"/>
        </w:rPr>
        <w:t xml:space="preserve"> </w:t>
      </w:r>
      <w:r>
        <w:rPr>
          <w:spacing w:val="5"/>
          <w:sz w:val="19"/>
          <w:szCs w:val="19"/>
        </w:rPr>
        <w:t>全目标和安全需求；</w:t>
      </w:r>
    </w:p>
    <w:p w14:paraId="4A6CE2A8">
      <w:pPr>
        <w:pStyle w:val="2"/>
        <w:spacing w:before="94" w:line="255" w:lineRule="auto"/>
        <w:ind w:left="329" w:firstLine="400"/>
        <w:rPr>
          <w:sz w:val="19"/>
          <w:szCs w:val="19"/>
        </w:rPr>
      </w:pPr>
      <w:r>
        <w:rPr>
          <w:spacing w:val="18"/>
          <w:sz w:val="19"/>
          <w:szCs w:val="19"/>
        </w:rPr>
        <w:t>(4)检查业主单位提出的安全需求与安全目标是否一致，与国家</w:t>
      </w:r>
      <w:r>
        <w:rPr>
          <w:spacing w:val="17"/>
          <w:sz w:val="19"/>
          <w:szCs w:val="19"/>
        </w:rPr>
        <w:t>和地方的信息安全法律、</w:t>
      </w:r>
      <w:r>
        <w:rPr>
          <w:sz w:val="19"/>
          <w:szCs w:val="19"/>
        </w:rPr>
        <w:t xml:space="preserve"> </w:t>
      </w:r>
      <w:r>
        <w:rPr>
          <w:spacing w:val="6"/>
          <w:sz w:val="19"/>
          <w:szCs w:val="19"/>
        </w:rPr>
        <w:t>法规、政策、标准是否符合；</w:t>
      </w:r>
    </w:p>
    <w:p w14:paraId="22114DB9">
      <w:pPr>
        <w:pStyle w:val="2"/>
        <w:spacing w:before="85" w:line="255" w:lineRule="auto"/>
        <w:ind w:left="329" w:right="80" w:firstLine="400"/>
        <w:rPr>
          <w:sz w:val="19"/>
          <w:szCs w:val="19"/>
        </w:rPr>
      </w:pPr>
      <w:r>
        <w:rPr>
          <w:spacing w:val="16"/>
          <w:sz w:val="19"/>
          <w:szCs w:val="19"/>
        </w:rPr>
        <w:t>(5)审核信息安全设计方案中涉及网络安全等级保护、商用密</w:t>
      </w:r>
      <w:r>
        <w:rPr>
          <w:spacing w:val="15"/>
          <w:sz w:val="19"/>
          <w:szCs w:val="19"/>
        </w:rPr>
        <w:t>码应用系统建设、关键信息</w:t>
      </w:r>
      <w:r>
        <w:rPr>
          <w:sz w:val="19"/>
          <w:szCs w:val="19"/>
        </w:rPr>
        <w:t xml:space="preserve"> </w:t>
      </w:r>
      <w:r>
        <w:rPr>
          <w:spacing w:val="5"/>
          <w:sz w:val="19"/>
          <w:szCs w:val="19"/>
        </w:rPr>
        <w:t>基础设施保护的内容；</w:t>
      </w:r>
    </w:p>
    <w:p w14:paraId="66113E74">
      <w:pPr>
        <w:pStyle w:val="2"/>
        <w:spacing w:before="85" w:line="219" w:lineRule="auto"/>
        <w:ind w:left="729"/>
        <w:rPr>
          <w:sz w:val="19"/>
          <w:szCs w:val="19"/>
        </w:rPr>
      </w:pPr>
      <w:r>
        <w:rPr>
          <w:spacing w:val="11"/>
          <w:sz w:val="19"/>
          <w:szCs w:val="19"/>
        </w:rPr>
        <w:t>(6)协助业主单位制定信息安全管理制度，开展或完善安全体系建设；</w:t>
      </w:r>
    </w:p>
    <w:p w14:paraId="5CF5C80C">
      <w:pPr>
        <w:pStyle w:val="2"/>
        <w:spacing w:before="93" w:line="256" w:lineRule="auto"/>
        <w:ind w:left="329" w:right="83" w:firstLine="400"/>
        <w:rPr>
          <w:sz w:val="19"/>
          <w:szCs w:val="19"/>
        </w:rPr>
      </w:pPr>
      <w:r>
        <w:rPr>
          <w:spacing w:val="16"/>
          <w:sz w:val="19"/>
          <w:szCs w:val="19"/>
        </w:rPr>
        <w:t>(7)如适用，宜协助业主单位依据国家等级保护相关标</w:t>
      </w:r>
      <w:r>
        <w:rPr>
          <w:spacing w:val="15"/>
          <w:sz w:val="19"/>
          <w:szCs w:val="19"/>
        </w:rPr>
        <w:t>准，确定信息安全保护等级，协助</w:t>
      </w:r>
      <w:r>
        <w:rPr>
          <w:sz w:val="19"/>
          <w:szCs w:val="19"/>
        </w:rPr>
        <w:t xml:space="preserve"> </w:t>
      </w:r>
      <w:r>
        <w:rPr>
          <w:spacing w:val="8"/>
          <w:sz w:val="19"/>
          <w:szCs w:val="19"/>
        </w:rPr>
        <w:t>业主单位完成信息系统定级及备案工作；</w:t>
      </w:r>
    </w:p>
    <w:p w14:paraId="72FEEEDB">
      <w:pPr>
        <w:pStyle w:val="2"/>
        <w:spacing w:before="93" w:line="218" w:lineRule="auto"/>
        <w:ind w:left="729"/>
        <w:rPr>
          <w:sz w:val="19"/>
          <w:szCs w:val="19"/>
        </w:rPr>
      </w:pPr>
      <w:r>
        <w:rPr>
          <w:spacing w:val="16"/>
          <w:sz w:val="19"/>
          <w:szCs w:val="19"/>
        </w:rPr>
        <w:t>(8)如适用，宜协助业主单位按照相关规定完成信息安全方案评估工作，评估结果作为项</w:t>
      </w:r>
    </w:p>
    <w:p w14:paraId="0DA69CF7">
      <w:pPr>
        <w:spacing w:line="218" w:lineRule="auto"/>
        <w:rPr>
          <w:sz w:val="19"/>
          <w:szCs w:val="19"/>
        </w:rPr>
        <w:sectPr>
          <w:pgSz w:w="10310" w:h="13410"/>
          <w:pgMar w:top="400" w:right="1044" w:bottom="400" w:left="510" w:header="0" w:footer="0" w:gutter="0"/>
          <w:cols w:space="720" w:num="1"/>
        </w:sectPr>
      </w:pPr>
    </w:p>
    <w:p w14:paraId="46EA2983">
      <w:pPr>
        <w:pStyle w:val="2"/>
        <w:jc w:val="right"/>
        <w:rPr>
          <w:rFonts w:ascii="Times New Roman" w:hAnsi="Times New Roman" w:eastAsia="Times New Roman" w:cs="Times New Roman"/>
          <w:sz w:val="19"/>
          <w:szCs w:val="19"/>
        </w:rPr>
      </w:pPr>
      <w:r>
        <w:rPr>
          <w:spacing w:val="4"/>
          <w:sz w:val="19"/>
          <w:szCs w:val="19"/>
        </w:rPr>
        <w:t>第24章</w:t>
      </w:r>
      <w:r>
        <w:rPr>
          <w:spacing w:val="33"/>
          <w:sz w:val="19"/>
          <w:szCs w:val="19"/>
        </w:rPr>
        <w:t xml:space="preserve"> </w:t>
      </w:r>
      <w:r>
        <w:rPr>
          <w:spacing w:val="4"/>
          <w:sz w:val="19"/>
          <w:szCs w:val="19"/>
        </w:rPr>
        <w:t xml:space="preserve">信息安全监理 </w:t>
      </w:r>
      <w:r>
        <w:rPr>
          <w:position w:val="-11"/>
          <w:sz w:val="19"/>
          <w:szCs w:val="19"/>
        </w:rPr>
        <w:drawing>
          <wp:inline distT="0" distB="0" distL="0" distR="0">
            <wp:extent cx="316865" cy="241300"/>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352"/>
                    <a:stretch>
                      <a:fillRect/>
                    </a:stretch>
                  </pic:blipFill>
                  <pic:spPr>
                    <a:xfrm>
                      <a:off x="0" y="0"/>
                      <a:ext cx="317494" cy="241300"/>
                    </a:xfrm>
                    <a:prstGeom prst="rect">
                      <a:avLst/>
                    </a:prstGeom>
                  </pic:spPr>
                </pic:pic>
              </a:graphicData>
            </a:graphic>
          </wp:inline>
        </w:drawing>
      </w:r>
      <w:r>
        <w:rPr>
          <w:rFonts w:ascii="Times New Roman" w:hAnsi="Times New Roman" w:eastAsia="Times New Roman" w:cs="Times New Roman"/>
          <w:spacing w:val="4"/>
          <w:sz w:val="19"/>
          <w:szCs w:val="19"/>
        </w:rPr>
        <w:t>545</w:t>
      </w:r>
    </w:p>
    <w:p w14:paraId="5B66C8A1">
      <w:pPr>
        <w:spacing w:line="273" w:lineRule="auto"/>
        <w:rPr>
          <w:rFonts w:ascii="Arial"/>
          <w:sz w:val="21"/>
        </w:rPr>
      </w:pPr>
    </w:p>
    <w:p w14:paraId="42CCE0FE">
      <w:pPr>
        <w:pStyle w:val="2"/>
        <w:spacing w:before="61" w:line="219" w:lineRule="auto"/>
        <w:ind w:left="27"/>
        <w:rPr>
          <w:sz w:val="19"/>
          <w:szCs w:val="19"/>
        </w:rPr>
      </w:pPr>
      <w:r>
        <w:rPr>
          <w:spacing w:val="6"/>
          <w:sz w:val="19"/>
          <w:szCs w:val="19"/>
        </w:rPr>
        <w:t>目规划立项的重要依据和申报资金的必备材</w:t>
      </w:r>
      <w:r>
        <w:rPr>
          <w:spacing w:val="5"/>
          <w:sz w:val="19"/>
          <w:szCs w:val="19"/>
        </w:rPr>
        <w:t>料；</w:t>
      </w:r>
    </w:p>
    <w:p w14:paraId="61035AA0">
      <w:pPr>
        <w:pStyle w:val="2"/>
        <w:spacing w:before="84" w:line="298" w:lineRule="auto"/>
        <w:ind w:left="27" w:right="321" w:firstLine="389"/>
        <w:rPr>
          <w:sz w:val="19"/>
          <w:szCs w:val="19"/>
        </w:rPr>
      </w:pPr>
      <w:r>
        <w:rPr>
          <w:spacing w:val="15"/>
          <w:sz w:val="19"/>
          <w:szCs w:val="19"/>
        </w:rPr>
        <w:t>(9)配合业主单位按相关规定完成立项文件编制及送审工作，并及时获得相关管理部</w:t>
      </w:r>
      <w:r>
        <w:rPr>
          <w:spacing w:val="14"/>
          <w:sz w:val="19"/>
          <w:szCs w:val="19"/>
        </w:rPr>
        <w:t>门的</w:t>
      </w:r>
      <w:r>
        <w:rPr>
          <w:sz w:val="19"/>
          <w:szCs w:val="19"/>
        </w:rPr>
        <w:t xml:space="preserve"> </w:t>
      </w:r>
      <w:r>
        <w:rPr>
          <w:spacing w:val="5"/>
          <w:sz w:val="19"/>
          <w:szCs w:val="19"/>
        </w:rPr>
        <w:t>批复意见。</w:t>
      </w:r>
    </w:p>
    <w:p w14:paraId="09F246FC">
      <w:pPr>
        <w:pStyle w:val="2"/>
        <w:spacing w:before="176" w:line="219" w:lineRule="auto"/>
        <w:rPr>
          <w:sz w:val="25"/>
          <w:szCs w:val="25"/>
        </w:rPr>
      </w:pPr>
      <w:r>
        <w:rPr>
          <w:b/>
          <w:bCs/>
          <w:color w:val="0075DC"/>
          <w:spacing w:val="-17"/>
          <w:sz w:val="25"/>
          <w:szCs w:val="25"/>
        </w:rPr>
        <w:t>24.2.2</w:t>
      </w:r>
      <w:r>
        <w:rPr>
          <w:color w:val="0075DC"/>
          <w:spacing w:val="-17"/>
          <w:sz w:val="25"/>
          <w:szCs w:val="25"/>
        </w:rPr>
        <w:t xml:space="preserve">  </w:t>
      </w:r>
      <w:r>
        <w:rPr>
          <w:b/>
          <w:bCs/>
          <w:color w:val="0075DC"/>
          <w:spacing w:val="-17"/>
          <w:sz w:val="25"/>
          <w:szCs w:val="25"/>
        </w:rPr>
        <w:t>监理内容</w:t>
      </w:r>
    </w:p>
    <w:p w14:paraId="32FFA94B">
      <w:pPr>
        <w:pStyle w:val="2"/>
        <w:spacing w:before="174" w:line="295" w:lineRule="auto"/>
        <w:ind w:left="27" w:right="220" w:firstLine="389"/>
        <w:jc w:val="both"/>
        <w:rPr>
          <w:sz w:val="19"/>
          <w:szCs w:val="19"/>
        </w:rPr>
      </w:pPr>
      <w:r>
        <w:rPr>
          <w:spacing w:val="13"/>
          <w:sz w:val="19"/>
          <w:szCs w:val="19"/>
        </w:rPr>
        <w:t>监理机构应组织业主单位和相关供应商进行充分沟通，分析原有系统的脆弱性及面临的安</w:t>
      </w:r>
      <w:r>
        <w:rPr>
          <w:spacing w:val="6"/>
          <w:sz w:val="19"/>
          <w:szCs w:val="19"/>
        </w:rPr>
        <w:t xml:space="preserve">  </w:t>
      </w:r>
      <w:r>
        <w:rPr>
          <w:spacing w:val="10"/>
          <w:sz w:val="19"/>
          <w:szCs w:val="19"/>
        </w:rPr>
        <w:t>全威胁，形成完整安全需求，为网络安全等级保护方案编制、商用密码应用系统建设方案编制、</w:t>
      </w:r>
      <w:r>
        <w:rPr>
          <w:spacing w:val="4"/>
          <w:sz w:val="19"/>
          <w:szCs w:val="19"/>
        </w:rPr>
        <w:t xml:space="preserve"> </w:t>
      </w:r>
      <w:r>
        <w:rPr>
          <w:spacing w:val="13"/>
          <w:sz w:val="19"/>
          <w:szCs w:val="19"/>
        </w:rPr>
        <w:t>关键信息基础设施保护打下坚实基础。监理机构应对各安全建设方案的完整性</w:t>
      </w:r>
      <w:r>
        <w:rPr>
          <w:spacing w:val="12"/>
          <w:sz w:val="19"/>
          <w:szCs w:val="19"/>
        </w:rPr>
        <w:t>、合规性、针对</w:t>
      </w:r>
      <w:r>
        <w:rPr>
          <w:sz w:val="19"/>
          <w:szCs w:val="19"/>
        </w:rPr>
        <w:t xml:space="preserve">  </w:t>
      </w:r>
      <w:r>
        <w:rPr>
          <w:spacing w:val="5"/>
          <w:sz w:val="19"/>
          <w:szCs w:val="19"/>
        </w:rPr>
        <w:t>性进行审核。</w:t>
      </w:r>
    </w:p>
    <w:p w14:paraId="437F6E54">
      <w:pPr>
        <w:pStyle w:val="2"/>
        <w:spacing w:before="132" w:line="222" w:lineRule="auto"/>
        <w:ind w:left="419"/>
        <w:rPr>
          <w:rFonts w:ascii="黑体" w:hAnsi="黑体" w:eastAsia="黑体" w:cs="黑体"/>
          <w:sz w:val="19"/>
          <w:szCs w:val="19"/>
        </w:rPr>
      </w:pPr>
      <w:r>
        <w:rPr>
          <w:b/>
          <w:bCs/>
          <w:color w:val="0071D4"/>
          <w:spacing w:val="6"/>
          <w:sz w:val="19"/>
          <w:szCs w:val="19"/>
        </w:rPr>
        <w:t>1.</w:t>
      </w:r>
      <w:r>
        <w:rPr>
          <w:rFonts w:ascii="黑体" w:hAnsi="黑体" w:eastAsia="黑体" w:cs="黑体"/>
          <w:b/>
          <w:bCs/>
          <w:color w:val="0071D4"/>
          <w:spacing w:val="6"/>
          <w:sz w:val="19"/>
          <w:szCs w:val="19"/>
        </w:rPr>
        <w:t>安全风险评估</w:t>
      </w:r>
    </w:p>
    <w:p w14:paraId="3CBFD35C">
      <w:pPr>
        <w:pStyle w:val="2"/>
        <w:spacing w:before="174" w:line="218" w:lineRule="auto"/>
        <w:ind w:left="417"/>
        <w:rPr>
          <w:sz w:val="19"/>
          <w:szCs w:val="19"/>
        </w:rPr>
      </w:pPr>
      <w:r>
        <w:rPr>
          <w:spacing w:val="7"/>
          <w:sz w:val="19"/>
          <w:szCs w:val="19"/>
        </w:rPr>
        <w:t>监理机构应从如下方面对业主单位的风险评估工作提出建议：</w:t>
      </w:r>
    </w:p>
    <w:p w14:paraId="574A0AD0">
      <w:pPr>
        <w:pStyle w:val="2"/>
        <w:spacing w:before="85" w:line="218" w:lineRule="auto"/>
        <w:ind w:left="417"/>
        <w:rPr>
          <w:sz w:val="19"/>
          <w:szCs w:val="19"/>
        </w:rPr>
      </w:pPr>
      <w:r>
        <w:rPr>
          <w:spacing w:val="10"/>
          <w:sz w:val="19"/>
          <w:szCs w:val="19"/>
        </w:rPr>
        <w:t>(1)对预期的信息系统展开全方位的风险评估，应包括：</w:t>
      </w:r>
    </w:p>
    <w:p w14:paraId="0887B1B4">
      <w:pPr>
        <w:pStyle w:val="2"/>
        <w:spacing w:before="86" w:line="219" w:lineRule="auto"/>
        <w:ind w:left="417"/>
        <w:rPr>
          <w:sz w:val="19"/>
          <w:szCs w:val="19"/>
        </w:rPr>
      </w:pPr>
      <w:r>
        <w:rPr>
          <w:spacing w:val="11"/>
          <w:sz w:val="19"/>
          <w:szCs w:val="19"/>
        </w:rPr>
        <w:t>●信息系统基本情况分析；</w:t>
      </w:r>
    </w:p>
    <w:p w14:paraId="239EA87F">
      <w:pPr>
        <w:pStyle w:val="2"/>
        <w:spacing w:before="105" w:line="219" w:lineRule="auto"/>
        <w:ind w:left="417"/>
        <w:rPr>
          <w:sz w:val="19"/>
          <w:szCs w:val="19"/>
        </w:rPr>
      </w:pPr>
      <w:r>
        <w:rPr>
          <w:spacing w:val="11"/>
          <w:sz w:val="19"/>
          <w:szCs w:val="19"/>
        </w:rPr>
        <w:t>●信息系统基本安全状况调查；</w:t>
      </w:r>
    </w:p>
    <w:p w14:paraId="25B37FB5">
      <w:pPr>
        <w:pStyle w:val="2"/>
        <w:spacing w:before="96" w:line="219" w:lineRule="auto"/>
        <w:ind w:left="417"/>
        <w:rPr>
          <w:sz w:val="19"/>
          <w:szCs w:val="19"/>
        </w:rPr>
      </w:pPr>
      <w:r>
        <w:rPr>
          <w:spacing w:val="11"/>
          <w:sz w:val="19"/>
          <w:szCs w:val="19"/>
        </w:rPr>
        <w:t>●信息系统安全组织；</w:t>
      </w:r>
    </w:p>
    <w:p w14:paraId="5C713425">
      <w:pPr>
        <w:pStyle w:val="2"/>
        <w:spacing w:before="105" w:line="219" w:lineRule="auto"/>
        <w:ind w:left="417"/>
        <w:rPr>
          <w:sz w:val="19"/>
          <w:szCs w:val="19"/>
        </w:rPr>
      </w:pPr>
      <w:r>
        <w:rPr>
          <w:spacing w:val="11"/>
          <w:sz w:val="19"/>
          <w:szCs w:val="19"/>
        </w:rPr>
        <w:t>●信息系统弱点漏洞分析；</w:t>
      </w:r>
    </w:p>
    <w:p w14:paraId="0E1CDAC1">
      <w:pPr>
        <w:pStyle w:val="2"/>
        <w:spacing w:before="94" w:line="219" w:lineRule="auto"/>
        <w:ind w:left="417"/>
        <w:rPr>
          <w:sz w:val="19"/>
          <w:szCs w:val="19"/>
        </w:rPr>
      </w:pPr>
      <w:r>
        <w:rPr>
          <w:spacing w:val="13"/>
          <w:sz w:val="19"/>
          <w:szCs w:val="19"/>
        </w:rPr>
        <w:t>●政策情况分析等。</w:t>
      </w:r>
    </w:p>
    <w:p w14:paraId="68D53F20">
      <w:pPr>
        <w:pStyle w:val="2"/>
        <w:spacing w:before="94" w:line="274" w:lineRule="auto"/>
        <w:ind w:left="27" w:right="288" w:firstLine="389"/>
        <w:rPr>
          <w:sz w:val="19"/>
          <w:szCs w:val="19"/>
        </w:rPr>
      </w:pPr>
      <w:r>
        <w:rPr>
          <w:spacing w:val="15"/>
          <w:sz w:val="19"/>
          <w:szCs w:val="19"/>
        </w:rPr>
        <w:t>(2)确定预期信息系统的资产，并明确资产的价值。资产包括：信息资产、纸质文件、软</w:t>
      </w:r>
      <w:r>
        <w:rPr>
          <w:spacing w:val="12"/>
          <w:sz w:val="19"/>
          <w:szCs w:val="19"/>
        </w:rPr>
        <w:t xml:space="preserve"> </w:t>
      </w:r>
      <w:r>
        <w:rPr>
          <w:spacing w:val="13"/>
          <w:sz w:val="19"/>
          <w:szCs w:val="19"/>
        </w:rPr>
        <w:t xml:space="preserve">件资产、物理资产、人员、公司形象和声誉、服务等。资产的评估应当从关键业务开始，最终 </w:t>
      </w:r>
      <w:r>
        <w:rPr>
          <w:spacing w:val="8"/>
          <w:sz w:val="19"/>
          <w:szCs w:val="19"/>
        </w:rPr>
        <w:t>覆盖所有的关键资产。</w:t>
      </w:r>
    </w:p>
    <w:p w14:paraId="66A9AF56">
      <w:pPr>
        <w:pStyle w:val="2"/>
        <w:spacing w:before="93" w:line="256" w:lineRule="auto"/>
        <w:ind w:left="27" w:right="308" w:firstLine="389"/>
        <w:rPr>
          <w:sz w:val="19"/>
          <w:szCs w:val="19"/>
        </w:rPr>
      </w:pPr>
      <w:r>
        <w:rPr>
          <w:spacing w:val="15"/>
          <w:sz w:val="19"/>
          <w:szCs w:val="19"/>
        </w:rPr>
        <w:t>(3)对预期信息系统进行细致周密的脆弱性和威胁分析，发现它的脆弱点及所引发的威胁</w:t>
      </w:r>
      <w:r>
        <w:rPr>
          <w:spacing w:val="11"/>
          <w:sz w:val="19"/>
          <w:szCs w:val="19"/>
        </w:rPr>
        <w:t xml:space="preserve"> </w:t>
      </w:r>
      <w:r>
        <w:rPr>
          <w:spacing w:val="7"/>
          <w:sz w:val="19"/>
          <w:szCs w:val="19"/>
        </w:rPr>
        <w:t>被利用后所造成的损失等。</w:t>
      </w:r>
    </w:p>
    <w:p w14:paraId="0C14A815">
      <w:pPr>
        <w:pStyle w:val="2"/>
        <w:spacing w:before="95" w:line="219" w:lineRule="auto"/>
        <w:ind w:left="417"/>
        <w:rPr>
          <w:sz w:val="19"/>
          <w:szCs w:val="19"/>
        </w:rPr>
      </w:pPr>
      <w:r>
        <w:rPr>
          <w:spacing w:val="11"/>
          <w:sz w:val="19"/>
          <w:szCs w:val="19"/>
        </w:rPr>
        <w:t>(4)对风险进行优先级排序，并形成安全措施需求清单。</w:t>
      </w:r>
    </w:p>
    <w:p w14:paraId="00333B54">
      <w:pPr>
        <w:pStyle w:val="2"/>
        <w:spacing w:before="63" w:line="267" w:lineRule="auto"/>
        <w:ind w:left="27" w:right="308" w:firstLine="389"/>
        <w:rPr>
          <w:sz w:val="19"/>
          <w:szCs w:val="19"/>
        </w:rPr>
      </w:pPr>
      <w:r>
        <w:rPr>
          <w:spacing w:val="15"/>
          <w:sz w:val="19"/>
          <w:szCs w:val="19"/>
        </w:rPr>
        <w:t>(5)如适用，建立与业务战略相一致的安全规划，制定总体的安全方针，并得到最高管理</w:t>
      </w:r>
      <w:r>
        <w:rPr>
          <w:spacing w:val="11"/>
          <w:sz w:val="19"/>
          <w:szCs w:val="19"/>
        </w:rPr>
        <w:t xml:space="preserve"> </w:t>
      </w:r>
      <w:r>
        <w:rPr>
          <w:spacing w:val="5"/>
          <w:sz w:val="19"/>
          <w:szCs w:val="19"/>
        </w:rPr>
        <w:t>者的认可。</w:t>
      </w:r>
    </w:p>
    <w:p w14:paraId="2F56E84C">
      <w:pPr>
        <w:pStyle w:val="2"/>
        <w:spacing w:before="158" w:line="222" w:lineRule="auto"/>
        <w:ind w:left="419"/>
        <w:rPr>
          <w:rFonts w:ascii="黑体" w:hAnsi="黑体" w:eastAsia="黑体" w:cs="黑体"/>
          <w:sz w:val="19"/>
          <w:szCs w:val="19"/>
        </w:rPr>
      </w:pPr>
      <w:r>
        <w:rPr>
          <w:b/>
          <w:bCs/>
          <w:color w:val="0082E7"/>
          <w:spacing w:val="6"/>
          <w:sz w:val="19"/>
          <w:szCs w:val="19"/>
        </w:rPr>
        <w:t>2.</w:t>
      </w:r>
      <w:r>
        <w:rPr>
          <w:rFonts w:ascii="黑体" w:hAnsi="黑体" w:eastAsia="黑体" w:cs="黑体"/>
          <w:b/>
          <w:bCs/>
          <w:color w:val="0082E7"/>
          <w:spacing w:val="6"/>
          <w:sz w:val="19"/>
          <w:szCs w:val="19"/>
        </w:rPr>
        <w:t>安全需求确定</w:t>
      </w:r>
    </w:p>
    <w:p w14:paraId="5411E395">
      <w:pPr>
        <w:pStyle w:val="2"/>
        <w:spacing w:before="154" w:line="219" w:lineRule="auto"/>
        <w:ind w:left="417"/>
        <w:rPr>
          <w:sz w:val="19"/>
          <w:szCs w:val="19"/>
        </w:rPr>
      </w:pPr>
      <w:r>
        <w:rPr>
          <w:spacing w:val="6"/>
          <w:sz w:val="19"/>
          <w:szCs w:val="19"/>
        </w:rPr>
        <w:t>监理机构应从如下方面协助业主单位确定需求：</w:t>
      </w:r>
    </w:p>
    <w:p w14:paraId="39F35D3E">
      <w:pPr>
        <w:pStyle w:val="2"/>
        <w:spacing w:before="75" w:line="266" w:lineRule="auto"/>
        <w:ind w:left="27" w:right="305" w:firstLine="389"/>
        <w:rPr>
          <w:sz w:val="19"/>
          <w:szCs w:val="19"/>
        </w:rPr>
      </w:pPr>
      <w:r>
        <w:rPr>
          <w:spacing w:val="15"/>
          <w:sz w:val="19"/>
          <w:szCs w:val="19"/>
        </w:rPr>
        <w:t>(1)协助业主单位通过风险评估，明确信息系统工程建设的安全目标，从安全目标导出安</w:t>
      </w:r>
      <w:r>
        <w:rPr>
          <w:spacing w:val="14"/>
          <w:sz w:val="19"/>
          <w:szCs w:val="19"/>
        </w:rPr>
        <w:t xml:space="preserve"> </w:t>
      </w:r>
      <w:r>
        <w:rPr>
          <w:spacing w:val="-1"/>
          <w:sz w:val="19"/>
          <w:szCs w:val="19"/>
        </w:rPr>
        <w:t>全需求；</w:t>
      </w:r>
    </w:p>
    <w:p w14:paraId="3AFCD111">
      <w:pPr>
        <w:pStyle w:val="2"/>
        <w:spacing w:before="63" w:line="270" w:lineRule="auto"/>
        <w:ind w:left="27" w:right="308" w:firstLine="389"/>
        <w:rPr>
          <w:sz w:val="19"/>
          <w:szCs w:val="19"/>
        </w:rPr>
      </w:pPr>
      <w:r>
        <w:rPr>
          <w:spacing w:val="15"/>
          <w:sz w:val="19"/>
          <w:szCs w:val="19"/>
        </w:rPr>
        <w:t>(2)应检查业主单位提出的安全需求与安全目标的一致性，与国家和地方信息安全法律法</w:t>
      </w:r>
      <w:r>
        <w:rPr>
          <w:spacing w:val="11"/>
          <w:sz w:val="19"/>
          <w:szCs w:val="19"/>
        </w:rPr>
        <w:t xml:space="preserve"> </w:t>
      </w:r>
      <w:r>
        <w:rPr>
          <w:spacing w:val="5"/>
          <w:sz w:val="19"/>
          <w:szCs w:val="19"/>
        </w:rPr>
        <w:t>规、标准和政策的符合性；</w:t>
      </w:r>
    </w:p>
    <w:p w14:paraId="4AB3669C">
      <w:pPr>
        <w:pStyle w:val="2"/>
        <w:spacing w:before="62" w:line="271" w:lineRule="auto"/>
        <w:ind w:left="27" w:right="308" w:firstLine="389"/>
        <w:rPr>
          <w:sz w:val="19"/>
          <w:szCs w:val="19"/>
        </w:rPr>
      </w:pPr>
      <w:r>
        <w:rPr>
          <w:spacing w:val="15"/>
          <w:sz w:val="19"/>
          <w:szCs w:val="19"/>
        </w:rPr>
        <w:t>(3)如适用，监理机构宜检查信息系统工程的项目建议书、可行性研究报告、初步设计方</w:t>
      </w:r>
      <w:r>
        <w:rPr>
          <w:spacing w:val="11"/>
          <w:sz w:val="19"/>
          <w:szCs w:val="19"/>
        </w:rPr>
        <w:t xml:space="preserve"> </w:t>
      </w:r>
      <w:r>
        <w:rPr>
          <w:spacing w:val="7"/>
          <w:sz w:val="19"/>
          <w:szCs w:val="19"/>
        </w:rPr>
        <w:t>案是否包含明确的安全需求。</w:t>
      </w:r>
    </w:p>
    <w:p w14:paraId="276B8903">
      <w:pPr>
        <w:pStyle w:val="2"/>
        <w:spacing w:before="161" w:line="221" w:lineRule="auto"/>
        <w:ind w:left="419"/>
        <w:rPr>
          <w:rFonts w:ascii="黑体" w:hAnsi="黑体" w:eastAsia="黑体" w:cs="黑体"/>
          <w:sz w:val="19"/>
          <w:szCs w:val="19"/>
        </w:rPr>
      </w:pPr>
      <w:r>
        <w:rPr>
          <w:b/>
          <w:bCs/>
          <w:color w:val="007BDA"/>
          <w:spacing w:val="7"/>
          <w:sz w:val="19"/>
          <w:szCs w:val="19"/>
        </w:rPr>
        <w:t>3.</w:t>
      </w:r>
      <w:r>
        <w:rPr>
          <w:rFonts w:ascii="黑体" w:hAnsi="黑体" w:eastAsia="黑体" w:cs="黑体"/>
          <w:b/>
          <w:bCs/>
          <w:color w:val="007BDA"/>
          <w:spacing w:val="7"/>
          <w:sz w:val="19"/>
          <w:szCs w:val="19"/>
        </w:rPr>
        <w:t>网络安全等级保护方案的审核</w:t>
      </w:r>
    </w:p>
    <w:p w14:paraId="359A2A1F">
      <w:pPr>
        <w:pStyle w:val="2"/>
        <w:spacing w:before="145" w:line="219" w:lineRule="auto"/>
        <w:ind w:left="417"/>
        <w:rPr>
          <w:sz w:val="19"/>
          <w:szCs w:val="19"/>
        </w:rPr>
      </w:pPr>
      <w:r>
        <w:rPr>
          <w:spacing w:val="15"/>
          <w:sz w:val="19"/>
          <w:szCs w:val="19"/>
        </w:rPr>
        <w:t>监理机构应配合业主单位、安全供应商完成定级备案程序。定级备案具体工作内容包括：</w:t>
      </w:r>
    </w:p>
    <w:p w14:paraId="35453652">
      <w:pPr>
        <w:spacing w:line="219" w:lineRule="auto"/>
        <w:rPr>
          <w:sz w:val="19"/>
          <w:szCs w:val="19"/>
        </w:rPr>
        <w:sectPr>
          <w:pgSz w:w="10290" w:h="13310"/>
          <w:pgMar w:top="350" w:right="574" w:bottom="400" w:left="1062" w:header="0" w:footer="0" w:gutter="0"/>
          <w:cols w:space="720" w:num="1"/>
        </w:sectPr>
      </w:pPr>
    </w:p>
    <w:p w14:paraId="04791656">
      <w:pPr>
        <w:pStyle w:val="2"/>
        <w:spacing w:before="87" w:line="219" w:lineRule="auto"/>
        <w:rPr>
          <w:sz w:val="19"/>
          <w:szCs w:val="19"/>
        </w:rPr>
      </w:pPr>
      <w:r>
        <w:rPr>
          <w:rFonts w:ascii="Times New Roman" w:hAnsi="Times New Roman" w:eastAsia="Times New Roman" w:cs="Times New Roman"/>
          <w:spacing w:val="3"/>
          <w:sz w:val="19"/>
          <w:szCs w:val="19"/>
        </w:rPr>
        <w:t xml:space="preserve">546              </w:t>
      </w:r>
      <w:r>
        <w:rPr>
          <w:spacing w:val="3"/>
          <w:sz w:val="19"/>
          <w:szCs w:val="19"/>
        </w:rPr>
        <w:t>信息系统监理师教程(第2版)</w:t>
      </w:r>
    </w:p>
    <w:p w14:paraId="34D534A8">
      <w:pPr>
        <w:spacing w:line="321" w:lineRule="auto"/>
        <w:rPr>
          <w:rFonts w:ascii="Arial"/>
          <w:sz w:val="21"/>
        </w:rPr>
      </w:pPr>
    </w:p>
    <w:p w14:paraId="36ABF39B">
      <w:pPr>
        <w:pStyle w:val="2"/>
        <w:spacing w:before="62" w:line="305" w:lineRule="auto"/>
        <w:ind w:left="349"/>
        <w:rPr>
          <w:sz w:val="19"/>
          <w:szCs w:val="19"/>
        </w:rPr>
      </w:pPr>
      <w:r>
        <w:rPr>
          <w:spacing w:val="14"/>
          <w:sz w:val="19"/>
          <w:szCs w:val="19"/>
        </w:rPr>
        <w:t>等级保护对象分析，定级对象确定，确定安全保护等级，对定级结果进行评审、审核和核查，</w:t>
      </w:r>
      <w:r>
        <w:rPr>
          <w:spacing w:val="9"/>
          <w:sz w:val="19"/>
          <w:szCs w:val="19"/>
        </w:rPr>
        <w:t xml:space="preserve"> </w:t>
      </w:r>
      <w:r>
        <w:rPr>
          <w:spacing w:val="7"/>
          <w:sz w:val="19"/>
          <w:szCs w:val="19"/>
        </w:rPr>
        <w:t>形成定级报告，完成定级结果备案。</w:t>
      </w:r>
    </w:p>
    <w:p w14:paraId="1860D5FF">
      <w:pPr>
        <w:pStyle w:val="2"/>
        <w:spacing w:before="11" w:line="306" w:lineRule="auto"/>
        <w:ind w:left="349" w:right="27" w:firstLine="409"/>
        <w:jc w:val="both"/>
        <w:rPr>
          <w:sz w:val="19"/>
          <w:szCs w:val="19"/>
        </w:rPr>
      </w:pPr>
      <w:r>
        <w:rPr>
          <w:spacing w:val="13"/>
          <w:sz w:val="19"/>
          <w:szCs w:val="19"/>
        </w:rPr>
        <w:t>监理机构应协助业主单位、安全供应商完成总体安全规划工作。总体安全规划的目标是根</w:t>
      </w:r>
      <w:r>
        <w:rPr>
          <w:sz w:val="19"/>
          <w:szCs w:val="19"/>
        </w:rPr>
        <w:t xml:space="preserve"> </w:t>
      </w:r>
      <w:r>
        <w:rPr>
          <w:spacing w:val="14"/>
          <w:sz w:val="19"/>
          <w:szCs w:val="19"/>
        </w:rPr>
        <w:t>据等级保护对象的划分情况、等级保护对象的定级情况</w:t>
      </w:r>
      <w:r>
        <w:rPr>
          <w:spacing w:val="13"/>
          <w:sz w:val="19"/>
          <w:szCs w:val="19"/>
        </w:rPr>
        <w:t>、等级保护对象承载业务情况，通过分</w:t>
      </w:r>
      <w:r>
        <w:rPr>
          <w:sz w:val="19"/>
          <w:szCs w:val="19"/>
        </w:rPr>
        <w:t xml:space="preserve"> </w:t>
      </w:r>
      <w:r>
        <w:rPr>
          <w:spacing w:val="13"/>
          <w:sz w:val="19"/>
          <w:szCs w:val="19"/>
        </w:rPr>
        <w:t>析明确等级保护对象安全需求，设计合理的、满足等级保护要求的总体安全方案，并制订出安</w:t>
      </w:r>
      <w:r>
        <w:rPr>
          <w:spacing w:val="7"/>
          <w:sz w:val="19"/>
          <w:szCs w:val="19"/>
        </w:rPr>
        <w:t xml:space="preserve"> </w:t>
      </w:r>
      <w:r>
        <w:rPr>
          <w:spacing w:val="13"/>
          <w:sz w:val="19"/>
          <w:szCs w:val="19"/>
        </w:rPr>
        <w:t>全实施计划，以指导后续的等级保护对象安全建设工程实施。总体安全规划阶段的工作流程包</w:t>
      </w:r>
      <w:r>
        <w:rPr>
          <w:spacing w:val="4"/>
          <w:sz w:val="19"/>
          <w:szCs w:val="19"/>
        </w:rPr>
        <w:t xml:space="preserve"> </w:t>
      </w:r>
      <w:r>
        <w:rPr>
          <w:spacing w:val="8"/>
          <w:sz w:val="19"/>
          <w:szCs w:val="19"/>
        </w:rPr>
        <w:t>括安全需求分析、总体安全设计、安全建设项目规划。</w:t>
      </w:r>
    </w:p>
    <w:p w14:paraId="44DD8215">
      <w:pPr>
        <w:pStyle w:val="2"/>
        <w:spacing w:before="13" w:line="267" w:lineRule="auto"/>
        <w:ind w:left="349" w:right="46" w:firstLine="409"/>
        <w:rPr>
          <w:sz w:val="19"/>
          <w:szCs w:val="19"/>
        </w:rPr>
      </w:pPr>
      <w:r>
        <w:rPr>
          <w:spacing w:val="15"/>
          <w:sz w:val="19"/>
          <w:szCs w:val="19"/>
        </w:rPr>
        <w:t>(1)进行安全需求分析，形成需求分析报告。需求分析包括基本安全需求分析、特殊安全</w:t>
      </w:r>
      <w:r>
        <w:rPr>
          <w:spacing w:val="3"/>
          <w:sz w:val="19"/>
          <w:szCs w:val="19"/>
        </w:rPr>
        <w:t xml:space="preserve"> </w:t>
      </w:r>
      <w:r>
        <w:rPr>
          <w:spacing w:val="5"/>
          <w:sz w:val="19"/>
          <w:szCs w:val="19"/>
        </w:rPr>
        <w:t>需求分析。</w:t>
      </w:r>
    </w:p>
    <w:p w14:paraId="27246D95">
      <w:pPr>
        <w:pStyle w:val="2"/>
        <w:spacing w:before="110" w:line="217" w:lineRule="auto"/>
        <w:ind w:left="759"/>
        <w:rPr>
          <w:sz w:val="19"/>
          <w:szCs w:val="19"/>
        </w:rPr>
      </w:pPr>
      <w:r>
        <w:rPr>
          <w:spacing w:val="5"/>
          <w:sz w:val="19"/>
          <w:szCs w:val="19"/>
        </w:rPr>
        <w:t>①基本安全需求分析。</w:t>
      </w:r>
    </w:p>
    <w:p w14:paraId="6B947B0C">
      <w:pPr>
        <w:pStyle w:val="2"/>
        <w:spacing w:before="69" w:line="294" w:lineRule="auto"/>
        <w:ind w:left="349" w:right="37" w:firstLine="409"/>
        <w:rPr>
          <w:sz w:val="19"/>
          <w:szCs w:val="19"/>
        </w:rPr>
      </w:pPr>
      <w:r>
        <w:rPr>
          <w:spacing w:val="13"/>
          <w:sz w:val="19"/>
          <w:szCs w:val="19"/>
        </w:rPr>
        <w:t>全面了解等级保护对象的业务应用、业务流程情况，明确不同等级的等级保护对象的范围</w:t>
      </w:r>
      <w:r>
        <w:rPr>
          <w:spacing w:val="9"/>
          <w:sz w:val="19"/>
          <w:szCs w:val="19"/>
        </w:rPr>
        <w:t xml:space="preserve"> </w:t>
      </w:r>
      <w:r>
        <w:rPr>
          <w:spacing w:val="10"/>
          <w:sz w:val="19"/>
          <w:szCs w:val="19"/>
        </w:rPr>
        <w:t>和边界。根据各个等级保护对象的安全保护等级，从</w:t>
      </w:r>
      <w:r>
        <w:rPr>
          <w:rFonts w:ascii="Times New Roman" w:hAnsi="Times New Roman" w:eastAsia="Times New Roman" w:cs="Times New Roman"/>
          <w:sz w:val="19"/>
          <w:szCs w:val="19"/>
        </w:rPr>
        <w:t>GB</w:t>
      </w:r>
      <w:r>
        <w:rPr>
          <w:rFonts w:ascii="Times New Roman" w:hAnsi="Times New Roman" w:eastAsia="Times New Roman" w:cs="Times New Roman"/>
          <w:spacing w:val="10"/>
          <w:sz w:val="19"/>
          <w:szCs w:val="19"/>
        </w:rPr>
        <w:t xml:space="preserve">/T </w:t>
      </w:r>
      <w:r>
        <w:rPr>
          <w:rFonts w:ascii="Times New Roman" w:hAnsi="Times New Roman" w:eastAsia="Times New Roman" w:cs="Times New Roman"/>
          <w:spacing w:val="9"/>
          <w:sz w:val="19"/>
          <w:szCs w:val="19"/>
        </w:rPr>
        <w:t xml:space="preserve">  22239</w:t>
      </w:r>
      <w:r>
        <w:rPr>
          <w:spacing w:val="9"/>
          <w:sz w:val="19"/>
          <w:szCs w:val="19"/>
        </w:rPr>
        <w:t>《信息安全技术网络安全等级</w:t>
      </w:r>
      <w:r>
        <w:rPr>
          <w:sz w:val="19"/>
          <w:szCs w:val="19"/>
        </w:rPr>
        <w:t xml:space="preserve"> </w:t>
      </w:r>
      <w:r>
        <w:rPr>
          <w:spacing w:val="8"/>
          <w:sz w:val="19"/>
          <w:szCs w:val="19"/>
        </w:rPr>
        <w:t>保护基本要求》、行业基本要求中选择相应等级的要求，形成基本安全需求。对于已建等级保护</w:t>
      </w:r>
      <w:r>
        <w:rPr>
          <w:spacing w:val="17"/>
          <w:sz w:val="19"/>
          <w:szCs w:val="19"/>
        </w:rPr>
        <w:t xml:space="preserve"> </w:t>
      </w:r>
      <w:r>
        <w:rPr>
          <w:spacing w:val="8"/>
          <w:sz w:val="19"/>
          <w:szCs w:val="19"/>
        </w:rPr>
        <w:t>对象，应根据原等级测评结果分析整改需求，形成基本安全需求。</w:t>
      </w:r>
    </w:p>
    <w:p w14:paraId="04E03DD7">
      <w:pPr>
        <w:pStyle w:val="2"/>
        <w:spacing w:before="47" w:line="217" w:lineRule="auto"/>
        <w:ind w:left="759"/>
        <w:rPr>
          <w:sz w:val="19"/>
          <w:szCs w:val="19"/>
        </w:rPr>
      </w:pPr>
      <w:r>
        <w:rPr>
          <w:spacing w:val="5"/>
          <w:sz w:val="19"/>
          <w:szCs w:val="19"/>
        </w:rPr>
        <w:t>②特殊安全需求分析。</w:t>
      </w:r>
    </w:p>
    <w:p w14:paraId="6346DF44">
      <w:pPr>
        <w:pStyle w:val="2"/>
        <w:spacing w:before="107" w:line="289" w:lineRule="auto"/>
        <w:ind w:left="349" w:right="26" w:firstLine="409"/>
        <w:rPr>
          <w:sz w:val="19"/>
          <w:szCs w:val="19"/>
        </w:rPr>
      </w:pPr>
      <w:r>
        <w:rPr>
          <w:spacing w:val="14"/>
          <w:sz w:val="19"/>
          <w:szCs w:val="19"/>
        </w:rPr>
        <w:t>通过分析重要资产的特殊保护要求，采用需求分</w:t>
      </w:r>
      <w:r>
        <w:rPr>
          <w:spacing w:val="13"/>
          <w:sz w:val="19"/>
          <w:szCs w:val="19"/>
        </w:rPr>
        <w:t>析或风险分析的方法，确定可能的安全风</w:t>
      </w:r>
      <w:r>
        <w:rPr>
          <w:sz w:val="19"/>
          <w:szCs w:val="19"/>
        </w:rPr>
        <w:t xml:space="preserve"> </w:t>
      </w:r>
      <w:r>
        <w:rPr>
          <w:spacing w:val="9"/>
          <w:sz w:val="19"/>
          <w:szCs w:val="19"/>
        </w:rPr>
        <w:t>险，判断实施特殊安全措施的必要性，提出</w:t>
      </w:r>
      <w:r>
        <w:rPr>
          <w:spacing w:val="8"/>
          <w:sz w:val="19"/>
          <w:szCs w:val="19"/>
        </w:rPr>
        <w:t>等级保护对象的特殊安全保护需求，包括：</w:t>
      </w:r>
    </w:p>
    <w:p w14:paraId="62B721F1">
      <w:pPr>
        <w:pStyle w:val="2"/>
        <w:spacing w:before="17" w:line="270" w:lineRule="auto"/>
        <w:ind w:left="1049" w:right="46" w:hanging="290"/>
        <w:rPr>
          <w:sz w:val="19"/>
          <w:szCs w:val="19"/>
        </w:rPr>
      </w:pPr>
      <w:r>
        <w:rPr>
          <w:spacing w:val="13"/>
          <w:sz w:val="19"/>
          <w:szCs w:val="19"/>
        </w:rPr>
        <w:t>●重要资产分析：明确等级保护对象中的重要部件，如边界设备、网关设备、核心网络设</w:t>
      </w:r>
      <w:r>
        <w:rPr>
          <w:spacing w:val="1"/>
          <w:sz w:val="19"/>
          <w:szCs w:val="19"/>
        </w:rPr>
        <w:t xml:space="preserve"> </w:t>
      </w:r>
      <w:r>
        <w:rPr>
          <w:spacing w:val="7"/>
          <w:sz w:val="19"/>
          <w:szCs w:val="19"/>
        </w:rPr>
        <w:t>备、重要服务器、重要应用系统等。</w:t>
      </w:r>
    </w:p>
    <w:p w14:paraId="7FC56024">
      <w:pPr>
        <w:pStyle w:val="2"/>
        <w:spacing w:before="92" w:line="268" w:lineRule="auto"/>
        <w:ind w:left="1049" w:right="46" w:hanging="290"/>
        <w:rPr>
          <w:sz w:val="19"/>
          <w:szCs w:val="19"/>
        </w:rPr>
      </w:pPr>
      <w:r>
        <w:rPr>
          <w:spacing w:val="15"/>
          <w:sz w:val="19"/>
          <w:szCs w:val="19"/>
        </w:rPr>
        <w:t>●重要资产安全弱点评估：检查或判断上述重要部件可能存在的弱点(包括技术和管理两</w:t>
      </w:r>
      <w:r>
        <w:rPr>
          <w:spacing w:val="18"/>
          <w:sz w:val="19"/>
          <w:szCs w:val="19"/>
        </w:rPr>
        <w:t xml:space="preserve"> </w:t>
      </w:r>
      <w:r>
        <w:rPr>
          <w:spacing w:val="14"/>
          <w:sz w:val="19"/>
          <w:szCs w:val="19"/>
        </w:rPr>
        <w:t>方面),分析安全弱点被利用的可能性。</w:t>
      </w:r>
    </w:p>
    <w:p w14:paraId="6613DF17">
      <w:pPr>
        <w:pStyle w:val="2"/>
        <w:spacing w:before="99" w:line="271" w:lineRule="auto"/>
        <w:ind w:left="1049" w:right="60" w:hanging="290"/>
        <w:rPr>
          <w:sz w:val="19"/>
          <w:szCs w:val="19"/>
        </w:rPr>
      </w:pPr>
      <w:r>
        <w:rPr>
          <w:spacing w:val="13"/>
          <w:sz w:val="19"/>
          <w:szCs w:val="19"/>
        </w:rPr>
        <w:t>●重要资产面临威胁评估：分析和判断上述重要部件可能</w:t>
      </w:r>
      <w:r>
        <w:rPr>
          <w:spacing w:val="12"/>
          <w:sz w:val="19"/>
          <w:szCs w:val="19"/>
        </w:rPr>
        <w:t>面临的威胁，包括外部、内部的</w:t>
      </w:r>
      <w:r>
        <w:rPr>
          <w:sz w:val="19"/>
          <w:szCs w:val="19"/>
        </w:rPr>
        <w:t xml:space="preserve"> </w:t>
      </w:r>
      <w:r>
        <w:rPr>
          <w:spacing w:val="7"/>
          <w:sz w:val="19"/>
          <w:szCs w:val="19"/>
        </w:rPr>
        <w:t>威胁、威胁发生的可能性或概率。</w:t>
      </w:r>
    </w:p>
    <w:p w14:paraId="50177D01">
      <w:pPr>
        <w:pStyle w:val="2"/>
        <w:spacing w:before="93" w:line="287" w:lineRule="auto"/>
        <w:ind w:left="1049" w:right="45" w:hanging="290"/>
        <w:rPr>
          <w:sz w:val="19"/>
          <w:szCs w:val="19"/>
        </w:rPr>
      </w:pPr>
      <w:r>
        <w:rPr>
          <w:spacing w:val="13"/>
          <w:sz w:val="19"/>
          <w:szCs w:val="19"/>
        </w:rPr>
        <w:t>●综合风险分析：分析威胁利用弱点可能产生的结果，结果产生的可能性或概率，结果造</w:t>
      </w:r>
      <w:r>
        <w:rPr>
          <w:sz w:val="19"/>
          <w:szCs w:val="19"/>
        </w:rPr>
        <w:t xml:space="preserve"> </w:t>
      </w:r>
      <w:r>
        <w:rPr>
          <w:spacing w:val="11"/>
          <w:sz w:val="19"/>
          <w:szCs w:val="19"/>
        </w:rPr>
        <w:t>成的损害或影响的大小，以及避免上述结果产生的可能性、必要</w:t>
      </w:r>
      <w:r>
        <w:rPr>
          <w:spacing w:val="10"/>
          <w:sz w:val="19"/>
          <w:szCs w:val="19"/>
        </w:rPr>
        <w:t>性和经济性。按照重要</w:t>
      </w:r>
      <w:r>
        <w:rPr>
          <w:sz w:val="19"/>
          <w:szCs w:val="19"/>
        </w:rPr>
        <w:t xml:space="preserve"> </w:t>
      </w:r>
      <w:r>
        <w:rPr>
          <w:spacing w:val="6"/>
          <w:sz w:val="19"/>
          <w:szCs w:val="19"/>
        </w:rPr>
        <w:t>资产的排序和风险的排序确定安全保护的要求。</w:t>
      </w:r>
    </w:p>
    <w:p w14:paraId="1D6740F4">
      <w:pPr>
        <w:pStyle w:val="2"/>
        <w:spacing w:before="93" w:line="218" w:lineRule="auto"/>
        <w:ind w:left="759"/>
        <w:rPr>
          <w:sz w:val="19"/>
          <w:szCs w:val="19"/>
        </w:rPr>
      </w:pPr>
      <w:r>
        <w:rPr>
          <w:spacing w:val="11"/>
          <w:sz w:val="19"/>
          <w:szCs w:val="19"/>
        </w:rPr>
        <w:t>●总结基本安全需求和特殊安全需求，形成安全需求报</w:t>
      </w:r>
      <w:r>
        <w:rPr>
          <w:spacing w:val="10"/>
          <w:sz w:val="19"/>
          <w:szCs w:val="19"/>
        </w:rPr>
        <w:t>告。</w:t>
      </w:r>
    </w:p>
    <w:p w14:paraId="42CB71E9">
      <w:pPr>
        <w:pStyle w:val="2"/>
        <w:spacing w:before="98" w:line="220" w:lineRule="auto"/>
        <w:ind w:left="759"/>
        <w:rPr>
          <w:sz w:val="19"/>
          <w:szCs w:val="19"/>
        </w:rPr>
      </w:pPr>
      <w:r>
        <w:rPr>
          <w:spacing w:val="11"/>
          <w:sz w:val="19"/>
          <w:szCs w:val="19"/>
        </w:rPr>
        <w:t>(2)开展总体安全设计，形成总体安全设计方案。</w:t>
      </w:r>
    </w:p>
    <w:p w14:paraId="5A903124">
      <w:pPr>
        <w:pStyle w:val="2"/>
        <w:spacing w:before="81" w:line="217" w:lineRule="auto"/>
        <w:ind w:left="759"/>
        <w:rPr>
          <w:sz w:val="19"/>
          <w:szCs w:val="19"/>
        </w:rPr>
      </w:pPr>
      <w:r>
        <w:rPr>
          <w:spacing w:val="5"/>
          <w:sz w:val="19"/>
          <w:szCs w:val="19"/>
        </w:rPr>
        <w:t>①总体安全策略设计。</w:t>
      </w:r>
    </w:p>
    <w:p w14:paraId="12AD4FE0">
      <w:pPr>
        <w:pStyle w:val="2"/>
        <w:spacing w:before="77" w:line="295" w:lineRule="auto"/>
        <w:ind w:left="349" w:right="42" w:firstLine="409"/>
        <w:rPr>
          <w:sz w:val="19"/>
          <w:szCs w:val="19"/>
        </w:rPr>
      </w:pPr>
      <w:r>
        <w:rPr>
          <w:spacing w:val="13"/>
          <w:sz w:val="19"/>
          <w:szCs w:val="19"/>
        </w:rPr>
        <w:t>根据等级保护对象详细描述文件、安全保护等级定级报告、安全需求分析报告，形成机构</w:t>
      </w:r>
      <w:r>
        <w:rPr>
          <w:spacing w:val="4"/>
          <w:sz w:val="19"/>
          <w:szCs w:val="19"/>
        </w:rPr>
        <w:t xml:space="preserve"> </w:t>
      </w:r>
      <w:r>
        <w:rPr>
          <w:spacing w:val="13"/>
          <w:sz w:val="19"/>
          <w:szCs w:val="19"/>
        </w:rPr>
        <w:t>纲领性的安全策略文件。包括确定安全方针，制定安全策略，形成总体安全策略文件，以便结</w:t>
      </w:r>
      <w:r>
        <w:rPr>
          <w:spacing w:val="7"/>
          <w:sz w:val="19"/>
          <w:szCs w:val="19"/>
        </w:rPr>
        <w:t xml:space="preserve"> </w:t>
      </w:r>
      <w:r>
        <w:rPr>
          <w:spacing w:val="13"/>
          <w:sz w:val="19"/>
          <w:szCs w:val="19"/>
        </w:rPr>
        <w:t>合等级保护基本要求系列标准、行业基准要求和安全保护特殊要求，构</w:t>
      </w:r>
      <w:r>
        <w:rPr>
          <w:spacing w:val="12"/>
          <w:sz w:val="19"/>
          <w:szCs w:val="19"/>
        </w:rPr>
        <w:t>建机构等级保护对象的</w:t>
      </w:r>
      <w:r>
        <w:rPr>
          <w:sz w:val="19"/>
          <w:szCs w:val="19"/>
        </w:rPr>
        <w:t xml:space="preserve"> </w:t>
      </w:r>
      <w:r>
        <w:rPr>
          <w:spacing w:val="7"/>
          <w:sz w:val="19"/>
          <w:szCs w:val="19"/>
        </w:rPr>
        <w:t>安全技术体系结构和安全管理体系结构。</w:t>
      </w:r>
    </w:p>
    <w:p w14:paraId="64175214">
      <w:pPr>
        <w:pStyle w:val="2"/>
        <w:spacing w:before="15" w:line="217" w:lineRule="auto"/>
        <w:ind w:left="759"/>
        <w:rPr>
          <w:sz w:val="19"/>
          <w:szCs w:val="19"/>
        </w:rPr>
      </w:pPr>
      <w:r>
        <w:rPr>
          <w:spacing w:val="7"/>
          <w:sz w:val="19"/>
          <w:szCs w:val="19"/>
        </w:rPr>
        <w:t>②安全技术体系结构设计。</w:t>
      </w:r>
    </w:p>
    <w:p w14:paraId="5BDD4BE7">
      <w:pPr>
        <w:pStyle w:val="2"/>
        <w:spacing w:before="87" w:line="293" w:lineRule="auto"/>
        <w:ind w:left="349" w:firstLine="409"/>
        <w:rPr>
          <w:sz w:val="19"/>
          <w:szCs w:val="19"/>
        </w:rPr>
      </w:pPr>
      <w:r>
        <w:rPr>
          <w:spacing w:val="13"/>
          <w:sz w:val="19"/>
          <w:szCs w:val="19"/>
        </w:rPr>
        <w:t>根据总体安全策略文件、等级保护对象详细描述文件、安全保护等级定级报告、安全需求</w:t>
      </w:r>
      <w:r>
        <w:rPr>
          <w:spacing w:val="1"/>
          <w:sz w:val="19"/>
          <w:szCs w:val="19"/>
        </w:rPr>
        <w:t xml:space="preserve"> </w:t>
      </w:r>
      <w:r>
        <w:rPr>
          <w:spacing w:val="11"/>
          <w:sz w:val="19"/>
          <w:szCs w:val="19"/>
        </w:rPr>
        <w:t>分析报告，结合</w:t>
      </w:r>
      <w:r>
        <w:rPr>
          <w:sz w:val="19"/>
          <w:szCs w:val="19"/>
        </w:rPr>
        <w:t>GB</w:t>
      </w:r>
      <w:r>
        <w:rPr>
          <w:spacing w:val="11"/>
          <w:sz w:val="19"/>
          <w:szCs w:val="19"/>
        </w:rPr>
        <w:t>/T</w:t>
      </w:r>
      <w:r>
        <w:rPr>
          <w:spacing w:val="8"/>
          <w:sz w:val="19"/>
          <w:szCs w:val="19"/>
        </w:rPr>
        <w:t xml:space="preserve">  </w:t>
      </w:r>
      <w:r>
        <w:rPr>
          <w:spacing w:val="11"/>
          <w:sz w:val="19"/>
          <w:szCs w:val="19"/>
        </w:rPr>
        <w:t>22239《信息安全技术网络安全等级保护基本要求》以及行业基本要求，</w:t>
      </w:r>
      <w:r>
        <w:rPr>
          <w:sz w:val="19"/>
          <w:szCs w:val="19"/>
        </w:rPr>
        <w:t xml:space="preserve"> </w:t>
      </w:r>
      <w:bookmarkStart w:id="753" w:name="bookmark738"/>
      <w:bookmarkEnd w:id="753"/>
      <w:r>
        <w:rPr>
          <w:spacing w:val="14"/>
          <w:sz w:val="19"/>
          <w:szCs w:val="19"/>
        </w:rPr>
        <w:t>完成安全技术体系结构设计。包括：安全技术体系架构</w:t>
      </w:r>
      <w:r>
        <w:rPr>
          <w:spacing w:val="13"/>
          <w:sz w:val="19"/>
          <w:szCs w:val="19"/>
        </w:rPr>
        <w:t>设计，规定不同级别定级对象物理环境</w:t>
      </w:r>
    </w:p>
    <w:p w14:paraId="1E91FA91">
      <w:pPr>
        <w:spacing w:line="293" w:lineRule="auto"/>
        <w:rPr>
          <w:sz w:val="19"/>
          <w:szCs w:val="19"/>
        </w:rPr>
        <w:sectPr>
          <w:pgSz w:w="10300" w:h="13400"/>
          <w:pgMar w:top="400" w:right="1024" w:bottom="400" w:left="550" w:header="0" w:footer="0" w:gutter="0"/>
          <w:cols w:space="720" w:num="1"/>
        </w:sectPr>
      </w:pPr>
    </w:p>
    <w:p w14:paraId="3F9853C4">
      <w:pPr>
        <w:pStyle w:val="2"/>
        <w:spacing w:before="36" w:line="219" w:lineRule="auto"/>
        <w:ind w:left="5869"/>
        <w:rPr>
          <w:sz w:val="19"/>
          <w:szCs w:val="19"/>
        </w:rPr>
      </w:pPr>
      <w:r>
        <w:rPr>
          <w:spacing w:val="4"/>
          <w:sz w:val="19"/>
          <w:szCs w:val="19"/>
        </w:rPr>
        <w:t>第24章</w:t>
      </w:r>
      <w:r>
        <w:rPr>
          <w:spacing w:val="30"/>
          <w:sz w:val="19"/>
          <w:szCs w:val="19"/>
        </w:rPr>
        <w:t xml:space="preserve"> </w:t>
      </w:r>
      <w:r>
        <w:rPr>
          <w:spacing w:val="4"/>
          <w:sz w:val="19"/>
          <w:szCs w:val="19"/>
        </w:rPr>
        <w:t>信息安全监理</w:t>
      </w:r>
    </w:p>
    <w:p w14:paraId="70666DF5">
      <w:pPr>
        <w:spacing w:line="14" w:lineRule="auto"/>
        <w:rPr>
          <w:rFonts w:ascii="Arial"/>
          <w:sz w:val="2"/>
        </w:rPr>
      </w:pPr>
      <w:r>
        <w:rPr>
          <w:rFonts w:ascii="Arial" w:hAnsi="Arial" w:eastAsia="Arial" w:cs="Arial"/>
          <w:sz w:val="2"/>
          <w:szCs w:val="2"/>
        </w:rPr>
        <w:br w:type="column"/>
      </w:r>
    </w:p>
    <w:p w14:paraId="110F45BF">
      <w:pPr>
        <w:rPr>
          <w:rFonts w:ascii="Times New Roman" w:hAnsi="Times New Roman" w:eastAsia="Times New Roman" w:cs="Times New Roman"/>
          <w:sz w:val="19"/>
          <w:szCs w:val="19"/>
        </w:rPr>
      </w:pPr>
      <w:bookmarkStart w:id="754" w:name="bookmark739"/>
      <w:bookmarkEnd w:id="754"/>
      <w:r>
        <w:rPr>
          <w:rFonts w:ascii="Times New Roman" w:hAnsi="Times New Roman" w:eastAsia="Times New Roman" w:cs="Times New Roman"/>
          <w:position w:val="-10"/>
          <w:sz w:val="19"/>
          <w:szCs w:val="19"/>
        </w:rPr>
        <w:drawing>
          <wp:inline distT="0" distB="0" distL="0" distR="0">
            <wp:extent cx="273050" cy="195580"/>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353"/>
                    <a:stretch>
                      <a:fillRect/>
                    </a:stretch>
                  </pic:blipFill>
                  <pic:spPr>
                    <a:xfrm>
                      <a:off x="0" y="0"/>
                      <a:ext cx="273062" cy="195966"/>
                    </a:xfrm>
                    <a:prstGeom prst="rect">
                      <a:avLst/>
                    </a:prstGeom>
                  </pic:spPr>
                </pic:pic>
              </a:graphicData>
            </a:graphic>
          </wp:inline>
        </w:drawing>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pacing w:val="-3"/>
          <w:sz w:val="19"/>
          <w:szCs w:val="19"/>
        </w:rPr>
        <w:t>547</w:t>
      </w:r>
    </w:p>
    <w:p w14:paraId="1BE0F567">
      <w:pPr>
        <w:rPr>
          <w:rFonts w:ascii="Times New Roman" w:hAnsi="Times New Roman" w:eastAsia="Times New Roman" w:cs="Times New Roman"/>
          <w:sz w:val="19"/>
          <w:szCs w:val="19"/>
        </w:rPr>
        <w:sectPr>
          <w:pgSz w:w="10290" w:h="13270"/>
          <w:pgMar w:top="399" w:right="9" w:bottom="400" w:left="1030" w:header="0" w:footer="0" w:gutter="0"/>
          <w:cols w:equalWidth="0" w:num="2">
            <w:col w:w="7790" w:space="100"/>
            <w:col w:w="1361"/>
          </w:cols>
        </w:sectPr>
      </w:pPr>
    </w:p>
    <w:p w14:paraId="09DE9F2A">
      <w:pPr>
        <w:spacing w:line="263" w:lineRule="auto"/>
        <w:rPr>
          <w:rFonts w:ascii="Arial"/>
          <w:sz w:val="21"/>
        </w:rPr>
      </w:pPr>
      <w:r>
        <w:drawing>
          <wp:anchor distT="0" distB="0" distL="0" distR="0" simplePos="0" relativeHeight="251851776" behindDoc="0" locked="0" layoutInCell="1" allowOverlap="1">
            <wp:simplePos x="0" y="0"/>
            <wp:positionH relativeFrom="column">
              <wp:posOffset>5549900</wp:posOffset>
            </wp:positionH>
            <wp:positionV relativeFrom="paragraph">
              <wp:posOffset>-197485</wp:posOffset>
            </wp:positionV>
            <wp:extent cx="323850" cy="196850"/>
            <wp:effectExtent l="0" t="0" r="0" b="0"/>
            <wp:wrapNone/>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354"/>
                    <a:stretch>
                      <a:fillRect/>
                    </a:stretch>
                  </pic:blipFill>
                  <pic:spPr>
                    <a:xfrm>
                      <a:off x="0" y="0"/>
                      <a:ext cx="323832" cy="196842"/>
                    </a:xfrm>
                    <a:prstGeom prst="rect">
                      <a:avLst/>
                    </a:prstGeom>
                  </pic:spPr>
                </pic:pic>
              </a:graphicData>
            </a:graphic>
          </wp:anchor>
        </w:drawing>
      </w:r>
    </w:p>
    <w:p w14:paraId="0A8E0677">
      <w:pPr>
        <w:pStyle w:val="2"/>
        <w:spacing w:before="61" w:line="305" w:lineRule="auto"/>
        <w:ind w:right="926"/>
        <w:jc w:val="both"/>
        <w:rPr>
          <w:sz w:val="19"/>
          <w:szCs w:val="19"/>
        </w:rPr>
      </w:pPr>
      <w:r>
        <w:rPr>
          <w:spacing w:val="13"/>
          <w:sz w:val="19"/>
          <w:szCs w:val="19"/>
        </w:rPr>
        <w:t>的安全保护技术措施，规定通信网络的安全保护技术措施，规定不同级别定级对象的边界保护</w:t>
      </w:r>
      <w:r>
        <w:rPr>
          <w:sz w:val="19"/>
          <w:szCs w:val="19"/>
        </w:rPr>
        <w:t xml:space="preserve"> </w:t>
      </w:r>
      <w:r>
        <w:rPr>
          <w:spacing w:val="13"/>
          <w:sz w:val="19"/>
          <w:szCs w:val="19"/>
        </w:rPr>
        <w:t>技术措施，规定定级对象之间互连的安全技术措施，规定不同级别定级对象内</w:t>
      </w:r>
      <w:r>
        <w:rPr>
          <w:spacing w:val="12"/>
          <w:sz w:val="19"/>
          <w:szCs w:val="19"/>
        </w:rPr>
        <w:t>部的安全保护技</w:t>
      </w:r>
      <w:r>
        <w:rPr>
          <w:sz w:val="19"/>
          <w:szCs w:val="19"/>
        </w:rPr>
        <w:t xml:space="preserve"> </w:t>
      </w:r>
      <w:r>
        <w:rPr>
          <w:spacing w:val="13"/>
          <w:sz w:val="19"/>
          <w:szCs w:val="19"/>
        </w:rPr>
        <w:t>术措施，规定云计算、移动互联等新技术的安全保护技术措施，形成等级保护</w:t>
      </w:r>
      <w:r>
        <w:rPr>
          <w:spacing w:val="12"/>
          <w:sz w:val="19"/>
          <w:szCs w:val="19"/>
        </w:rPr>
        <w:t>对象安全技术体</w:t>
      </w:r>
      <w:r>
        <w:rPr>
          <w:sz w:val="19"/>
          <w:szCs w:val="19"/>
        </w:rPr>
        <w:t xml:space="preserve"> </w:t>
      </w:r>
      <w:r>
        <w:rPr>
          <w:spacing w:val="1"/>
          <w:sz w:val="19"/>
          <w:szCs w:val="19"/>
        </w:rPr>
        <w:t>系结构。</w:t>
      </w:r>
    </w:p>
    <w:p w14:paraId="76B255FA">
      <w:pPr>
        <w:pStyle w:val="2"/>
        <w:spacing w:before="13" w:line="217" w:lineRule="auto"/>
        <w:ind w:left="389"/>
        <w:rPr>
          <w:sz w:val="19"/>
          <w:szCs w:val="19"/>
        </w:rPr>
      </w:pPr>
      <w:r>
        <w:drawing>
          <wp:anchor distT="0" distB="0" distL="0" distR="0" simplePos="0" relativeHeight="251850752" behindDoc="0" locked="0" layoutInCell="1" allowOverlap="1">
            <wp:simplePos x="0" y="0"/>
            <wp:positionH relativeFrom="column">
              <wp:posOffset>2895600</wp:posOffset>
            </wp:positionH>
            <wp:positionV relativeFrom="paragraph">
              <wp:posOffset>189230</wp:posOffset>
            </wp:positionV>
            <wp:extent cx="2413000" cy="213995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355"/>
                    <a:stretch>
                      <a:fillRect/>
                    </a:stretch>
                  </pic:blipFill>
                  <pic:spPr>
                    <a:xfrm>
                      <a:off x="0" y="0"/>
                      <a:ext cx="2412996" cy="2139896"/>
                    </a:xfrm>
                    <a:prstGeom prst="rect">
                      <a:avLst/>
                    </a:prstGeom>
                  </pic:spPr>
                </pic:pic>
              </a:graphicData>
            </a:graphic>
          </wp:anchor>
        </w:drawing>
      </w:r>
      <w:r>
        <w:rPr>
          <w:spacing w:val="6"/>
          <w:sz w:val="19"/>
          <w:szCs w:val="19"/>
        </w:rPr>
        <w:t>③整体安全管理体系结构设计。</w:t>
      </w:r>
    </w:p>
    <w:p w14:paraId="3FE954C0">
      <w:pPr>
        <w:pStyle w:val="2"/>
        <w:spacing w:before="75" w:line="303" w:lineRule="auto"/>
        <w:ind w:right="4854" w:firstLine="389"/>
        <w:rPr>
          <w:sz w:val="19"/>
          <w:szCs w:val="19"/>
        </w:rPr>
      </w:pPr>
      <w:r>
        <w:rPr>
          <w:spacing w:val="19"/>
          <w:sz w:val="19"/>
          <w:szCs w:val="19"/>
        </w:rPr>
        <w:t>等级保护对象安全管理体系框架分为四层，</w:t>
      </w:r>
      <w:r>
        <w:rPr>
          <w:spacing w:val="2"/>
          <w:sz w:val="19"/>
          <w:szCs w:val="19"/>
        </w:rPr>
        <w:t xml:space="preserve"> </w:t>
      </w:r>
      <w:r>
        <w:rPr>
          <w:spacing w:val="17"/>
          <w:sz w:val="19"/>
          <w:szCs w:val="19"/>
        </w:rPr>
        <w:t>如图24-1所示。第一层为总体方针、安全策略，</w:t>
      </w:r>
      <w:r>
        <w:rPr>
          <w:spacing w:val="12"/>
          <w:sz w:val="19"/>
          <w:szCs w:val="19"/>
        </w:rPr>
        <w:t xml:space="preserve"> </w:t>
      </w:r>
      <w:r>
        <w:rPr>
          <w:spacing w:val="15"/>
          <w:sz w:val="19"/>
          <w:szCs w:val="19"/>
        </w:rPr>
        <w:t>通过网络安全总体方针、安全策略明确机构网络</w:t>
      </w:r>
      <w:r>
        <w:rPr>
          <w:spacing w:val="1"/>
          <w:sz w:val="19"/>
          <w:szCs w:val="19"/>
        </w:rPr>
        <w:t xml:space="preserve">  </w:t>
      </w:r>
      <w:r>
        <w:rPr>
          <w:spacing w:val="15"/>
          <w:sz w:val="19"/>
          <w:szCs w:val="19"/>
        </w:rPr>
        <w:t>安全工作的总体目标、范围、原则等。第二层为</w:t>
      </w:r>
      <w:r>
        <w:rPr>
          <w:spacing w:val="1"/>
          <w:sz w:val="19"/>
          <w:szCs w:val="19"/>
        </w:rPr>
        <w:t xml:space="preserve">  </w:t>
      </w:r>
      <w:r>
        <w:rPr>
          <w:spacing w:val="15"/>
          <w:sz w:val="19"/>
          <w:szCs w:val="19"/>
        </w:rPr>
        <w:t>网络安全管理制度，通过对网络安全活动中的各</w:t>
      </w:r>
      <w:r>
        <w:rPr>
          <w:spacing w:val="1"/>
          <w:sz w:val="19"/>
          <w:szCs w:val="19"/>
        </w:rPr>
        <w:t xml:space="preserve">  </w:t>
      </w:r>
      <w:r>
        <w:rPr>
          <w:spacing w:val="19"/>
          <w:sz w:val="19"/>
          <w:szCs w:val="19"/>
        </w:rPr>
        <w:t>类内容建立管理制度，约束网络安全相关行为。</w:t>
      </w:r>
      <w:r>
        <w:rPr>
          <w:spacing w:val="5"/>
          <w:sz w:val="19"/>
          <w:szCs w:val="19"/>
        </w:rPr>
        <w:t xml:space="preserve"> </w:t>
      </w:r>
      <w:r>
        <w:rPr>
          <w:spacing w:val="16"/>
          <w:sz w:val="19"/>
          <w:szCs w:val="19"/>
        </w:rPr>
        <w:t>第三层为安全技术标准、操作规程，通过对管理</w:t>
      </w:r>
      <w:r>
        <w:rPr>
          <w:sz w:val="19"/>
          <w:szCs w:val="19"/>
        </w:rPr>
        <w:t xml:space="preserve"> </w:t>
      </w:r>
      <w:r>
        <w:rPr>
          <w:spacing w:val="15"/>
          <w:sz w:val="19"/>
          <w:szCs w:val="19"/>
        </w:rPr>
        <w:t>人员或操作人员执行的日常管理行为建立操作规</w:t>
      </w:r>
      <w:r>
        <w:rPr>
          <w:spacing w:val="1"/>
          <w:sz w:val="19"/>
          <w:szCs w:val="19"/>
        </w:rPr>
        <w:t xml:space="preserve">  </w:t>
      </w:r>
      <w:r>
        <w:rPr>
          <w:spacing w:val="25"/>
          <w:sz w:val="19"/>
          <w:szCs w:val="19"/>
        </w:rPr>
        <w:t>程，规范网络安全管理制度的具体技术实现细</w:t>
      </w:r>
      <w:r>
        <w:rPr>
          <w:spacing w:val="5"/>
          <w:sz w:val="19"/>
          <w:szCs w:val="19"/>
        </w:rPr>
        <w:t xml:space="preserve">  </w:t>
      </w:r>
      <w:r>
        <w:rPr>
          <w:spacing w:val="15"/>
          <w:sz w:val="19"/>
          <w:szCs w:val="19"/>
        </w:rPr>
        <w:t>节。第四层为记录、表单，包括网络安全管理制</w:t>
      </w:r>
      <w:r>
        <w:rPr>
          <w:spacing w:val="5"/>
          <w:sz w:val="19"/>
          <w:szCs w:val="19"/>
        </w:rPr>
        <w:t xml:space="preserve">  </w:t>
      </w:r>
      <w:r>
        <w:rPr>
          <w:spacing w:val="16"/>
          <w:sz w:val="19"/>
          <w:szCs w:val="19"/>
        </w:rPr>
        <w:t>度、操作规程实施时需填写和需保留的表单、操</w:t>
      </w:r>
    </w:p>
    <w:p w14:paraId="332AEA01">
      <w:pPr>
        <w:pStyle w:val="2"/>
        <w:spacing w:before="2" w:line="231" w:lineRule="auto"/>
        <w:rPr>
          <w:sz w:val="19"/>
          <w:szCs w:val="19"/>
        </w:rPr>
      </w:pPr>
      <w:r>
        <w:rPr>
          <w:spacing w:val="-3"/>
          <w:position w:val="-2"/>
          <w:sz w:val="19"/>
          <w:szCs w:val="19"/>
        </w:rPr>
        <w:t xml:space="preserve">作记录。                        </w:t>
      </w:r>
      <w:r>
        <w:rPr>
          <w:spacing w:val="-4"/>
          <w:position w:val="-2"/>
          <w:sz w:val="19"/>
          <w:szCs w:val="19"/>
        </w:rPr>
        <w:t xml:space="preserve">                   </w:t>
      </w:r>
      <w:r>
        <w:rPr>
          <w:spacing w:val="-4"/>
          <w:sz w:val="19"/>
          <w:szCs w:val="19"/>
        </w:rPr>
        <w:t>图24-1  等级保护对象的安全管理体系框架</w:t>
      </w:r>
    </w:p>
    <w:p w14:paraId="0675F5E0">
      <w:pPr>
        <w:pStyle w:val="2"/>
        <w:spacing w:before="81" w:line="217" w:lineRule="auto"/>
        <w:ind w:left="389"/>
        <w:rPr>
          <w:sz w:val="19"/>
          <w:szCs w:val="19"/>
        </w:rPr>
      </w:pPr>
      <w:r>
        <w:rPr>
          <w:spacing w:val="8"/>
          <w:sz w:val="19"/>
          <w:szCs w:val="19"/>
        </w:rPr>
        <w:t>④</w:t>
      </w:r>
      <w:r>
        <w:rPr>
          <w:spacing w:val="-36"/>
          <w:sz w:val="19"/>
          <w:szCs w:val="19"/>
        </w:rPr>
        <w:t xml:space="preserve"> </w:t>
      </w:r>
      <w:r>
        <w:rPr>
          <w:spacing w:val="8"/>
          <w:sz w:val="19"/>
          <w:szCs w:val="19"/>
        </w:rPr>
        <w:t>形成等级保护对象总体安全设计方案。具体包括：</w:t>
      </w:r>
    </w:p>
    <w:p w14:paraId="02D83AE8">
      <w:pPr>
        <w:pStyle w:val="2"/>
        <w:spacing w:before="99" w:line="219" w:lineRule="auto"/>
        <w:ind w:left="389"/>
        <w:rPr>
          <w:sz w:val="19"/>
          <w:szCs w:val="19"/>
        </w:rPr>
      </w:pPr>
      <w:r>
        <w:rPr>
          <w:spacing w:val="12"/>
          <w:sz w:val="19"/>
          <w:szCs w:val="19"/>
        </w:rPr>
        <w:t>●等级保护对象概述；</w:t>
      </w:r>
    </w:p>
    <w:p w14:paraId="4C790BD6">
      <w:pPr>
        <w:pStyle w:val="2"/>
        <w:spacing w:before="95" w:line="220" w:lineRule="auto"/>
        <w:ind w:left="389"/>
        <w:rPr>
          <w:sz w:val="19"/>
          <w:szCs w:val="19"/>
        </w:rPr>
      </w:pPr>
      <w:r>
        <w:rPr>
          <w:spacing w:val="8"/>
          <w:sz w:val="19"/>
          <w:szCs w:val="19"/>
        </w:rPr>
        <w:t>●</w:t>
      </w:r>
      <w:r>
        <w:rPr>
          <w:spacing w:val="-56"/>
          <w:sz w:val="19"/>
          <w:szCs w:val="19"/>
        </w:rPr>
        <w:t xml:space="preserve"> </w:t>
      </w:r>
      <w:r>
        <w:rPr>
          <w:spacing w:val="8"/>
          <w:sz w:val="19"/>
          <w:szCs w:val="19"/>
        </w:rPr>
        <w:t>总体安全策略；</w:t>
      </w:r>
    </w:p>
    <w:p w14:paraId="685AB232">
      <w:pPr>
        <w:pStyle w:val="2"/>
        <w:spacing w:before="93" w:line="219" w:lineRule="auto"/>
        <w:ind w:left="389"/>
        <w:rPr>
          <w:sz w:val="19"/>
          <w:szCs w:val="19"/>
        </w:rPr>
      </w:pPr>
      <w:r>
        <w:rPr>
          <w:spacing w:val="10"/>
          <w:sz w:val="19"/>
          <w:szCs w:val="19"/>
        </w:rPr>
        <w:t>●等级保护对象安全技术体系结构；</w:t>
      </w:r>
    </w:p>
    <w:p w14:paraId="4843AF73">
      <w:pPr>
        <w:pStyle w:val="2"/>
        <w:spacing w:before="95" w:line="219" w:lineRule="auto"/>
        <w:ind w:left="389"/>
        <w:rPr>
          <w:sz w:val="19"/>
          <w:szCs w:val="19"/>
        </w:rPr>
      </w:pPr>
      <w:r>
        <w:rPr>
          <w:spacing w:val="11"/>
          <w:sz w:val="19"/>
          <w:szCs w:val="19"/>
        </w:rPr>
        <w:t>●等级保护对象安全管理体系结构。</w:t>
      </w:r>
    </w:p>
    <w:p w14:paraId="42B54180">
      <w:pPr>
        <w:pStyle w:val="2"/>
        <w:spacing w:before="85" w:line="220" w:lineRule="auto"/>
        <w:ind w:left="389"/>
        <w:rPr>
          <w:sz w:val="19"/>
          <w:szCs w:val="19"/>
        </w:rPr>
      </w:pPr>
      <w:r>
        <w:rPr>
          <w:spacing w:val="12"/>
          <w:sz w:val="19"/>
          <w:szCs w:val="19"/>
        </w:rPr>
        <w:t>(3)开展安全建设项目规划，形成安全建设项目</w:t>
      </w:r>
      <w:r>
        <w:rPr>
          <w:spacing w:val="11"/>
          <w:sz w:val="19"/>
          <w:szCs w:val="19"/>
        </w:rPr>
        <w:t>规划方案。</w:t>
      </w:r>
    </w:p>
    <w:p w14:paraId="2B6B01BE">
      <w:pPr>
        <w:pStyle w:val="2"/>
        <w:spacing w:before="90" w:line="217" w:lineRule="auto"/>
        <w:ind w:left="389"/>
        <w:rPr>
          <w:sz w:val="19"/>
          <w:szCs w:val="19"/>
        </w:rPr>
      </w:pPr>
      <w:r>
        <w:rPr>
          <w:spacing w:val="6"/>
          <w:sz w:val="19"/>
          <w:szCs w:val="19"/>
        </w:rPr>
        <w:t>①安全建设目标确定。</w:t>
      </w:r>
    </w:p>
    <w:p w14:paraId="4C69896E">
      <w:pPr>
        <w:pStyle w:val="2"/>
        <w:spacing w:before="79" w:line="298" w:lineRule="auto"/>
        <w:ind w:right="931" w:firstLine="389"/>
        <w:rPr>
          <w:sz w:val="19"/>
          <w:szCs w:val="19"/>
        </w:rPr>
      </w:pPr>
      <w:r>
        <w:rPr>
          <w:spacing w:val="13"/>
          <w:sz w:val="19"/>
          <w:szCs w:val="19"/>
        </w:rPr>
        <w:t>依据等级保护对象安全总体方案(一个或多个文件构成)、单位信息化建设的中长期</w:t>
      </w:r>
      <w:r>
        <w:rPr>
          <w:spacing w:val="12"/>
          <w:sz w:val="19"/>
          <w:szCs w:val="19"/>
        </w:rPr>
        <w:t>发展规</w:t>
      </w:r>
      <w:r>
        <w:rPr>
          <w:sz w:val="19"/>
          <w:szCs w:val="19"/>
        </w:rPr>
        <w:t xml:space="preserve"> </w:t>
      </w:r>
      <w:r>
        <w:rPr>
          <w:spacing w:val="8"/>
          <w:sz w:val="19"/>
          <w:szCs w:val="19"/>
        </w:rPr>
        <w:t>划和安全建设资金状况，确定各个时期的安全建设目标。</w:t>
      </w:r>
    </w:p>
    <w:p w14:paraId="477D5A39">
      <w:pPr>
        <w:pStyle w:val="2"/>
        <w:spacing w:before="25" w:line="217" w:lineRule="auto"/>
        <w:ind w:left="389"/>
        <w:rPr>
          <w:sz w:val="19"/>
          <w:szCs w:val="19"/>
        </w:rPr>
      </w:pPr>
      <w:r>
        <w:rPr>
          <w:spacing w:val="6"/>
          <w:sz w:val="19"/>
          <w:szCs w:val="19"/>
        </w:rPr>
        <w:t>②安全建设内容规划。</w:t>
      </w:r>
    </w:p>
    <w:p w14:paraId="0F6E4DCE">
      <w:pPr>
        <w:pStyle w:val="2"/>
        <w:spacing w:before="58" w:line="297" w:lineRule="auto"/>
        <w:ind w:right="914" w:firstLine="389"/>
        <w:rPr>
          <w:sz w:val="19"/>
          <w:szCs w:val="19"/>
        </w:rPr>
      </w:pPr>
      <w:r>
        <w:rPr>
          <w:spacing w:val="14"/>
          <w:sz w:val="19"/>
          <w:szCs w:val="19"/>
        </w:rPr>
        <w:t>根据安全建设目标和等级保护对象总体安全设计方案的要求，</w:t>
      </w:r>
      <w:r>
        <w:rPr>
          <w:spacing w:val="13"/>
          <w:sz w:val="19"/>
          <w:szCs w:val="19"/>
        </w:rPr>
        <w:t>设计分期分批的主要建设内</w:t>
      </w:r>
      <w:r>
        <w:rPr>
          <w:sz w:val="19"/>
          <w:szCs w:val="19"/>
        </w:rPr>
        <w:t xml:space="preserve"> </w:t>
      </w:r>
      <w:r>
        <w:rPr>
          <w:spacing w:val="9"/>
          <w:sz w:val="19"/>
          <w:szCs w:val="19"/>
        </w:rPr>
        <w:t>容，并将建设内容组合成不同项目，阐明项目间的依赖或</w:t>
      </w:r>
      <w:r>
        <w:rPr>
          <w:spacing w:val="8"/>
          <w:sz w:val="19"/>
          <w:szCs w:val="19"/>
        </w:rPr>
        <w:t>促进关系等。具体包括：</w:t>
      </w:r>
    </w:p>
    <w:p w14:paraId="48868E1A">
      <w:pPr>
        <w:pStyle w:val="2"/>
        <w:spacing w:before="20" w:line="221" w:lineRule="auto"/>
        <w:ind w:left="389"/>
        <w:rPr>
          <w:sz w:val="19"/>
          <w:szCs w:val="19"/>
        </w:rPr>
      </w:pPr>
      <w:r>
        <w:rPr>
          <w:spacing w:val="12"/>
          <w:sz w:val="19"/>
          <w:szCs w:val="19"/>
        </w:rPr>
        <w:t>●安全基础设施建设；</w:t>
      </w:r>
    </w:p>
    <w:p w14:paraId="1B839A52">
      <w:pPr>
        <w:pStyle w:val="2"/>
        <w:spacing w:before="93" w:line="221" w:lineRule="auto"/>
        <w:ind w:left="389"/>
        <w:rPr>
          <w:sz w:val="19"/>
          <w:szCs w:val="19"/>
        </w:rPr>
      </w:pPr>
      <w:r>
        <w:rPr>
          <w:spacing w:val="7"/>
          <w:sz w:val="19"/>
          <w:szCs w:val="19"/>
        </w:rPr>
        <w:t>●</w:t>
      </w:r>
      <w:r>
        <w:rPr>
          <w:spacing w:val="-48"/>
          <w:sz w:val="19"/>
          <w:szCs w:val="19"/>
        </w:rPr>
        <w:t xml:space="preserve"> </w:t>
      </w:r>
      <w:r>
        <w:rPr>
          <w:spacing w:val="7"/>
          <w:sz w:val="19"/>
          <w:szCs w:val="19"/>
        </w:rPr>
        <w:t>网络安全建设；</w:t>
      </w:r>
    </w:p>
    <w:p w14:paraId="7902136C">
      <w:pPr>
        <w:pStyle w:val="2"/>
        <w:spacing w:before="92" w:line="221" w:lineRule="auto"/>
        <w:ind w:left="389"/>
        <w:rPr>
          <w:sz w:val="19"/>
          <w:szCs w:val="19"/>
        </w:rPr>
      </w:pPr>
      <w:r>
        <w:rPr>
          <w:spacing w:val="11"/>
          <w:sz w:val="19"/>
          <w:szCs w:val="19"/>
        </w:rPr>
        <w:t>●系统平台和应用平台安全建设；</w:t>
      </w:r>
    </w:p>
    <w:p w14:paraId="4858A0BD">
      <w:pPr>
        <w:pStyle w:val="2"/>
        <w:spacing w:before="82" w:line="219" w:lineRule="auto"/>
        <w:ind w:left="389"/>
        <w:rPr>
          <w:sz w:val="19"/>
          <w:szCs w:val="19"/>
        </w:rPr>
      </w:pPr>
      <w:r>
        <w:rPr>
          <w:spacing w:val="12"/>
          <w:sz w:val="19"/>
          <w:szCs w:val="19"/>
        </w:rPr>
        <w:t>●数据系统安全建设；</w:t>
      </w:r>
    </w:p>
    <w:p w14:paraId="28EEB935">
      <w:pPr>
        <w:pStyle w:val="2"/>
        <w:spacing w:before="95" w:line="220" w:lineRule="auto"/>
        <w:ind w:left="389"/>
        <w:rPr>
          <w:sz w:val="19"/>
          <w:szCs w:val="19"/>
        </w:rPr>
      </w:pPr>
      <w:r>
        <w:rPr>
          <w:spacing w:val="12"/>
          <w:sz w:val="19"/>
          <w:szCs w:val="19"/>
        </w:rPr>
        <w:t>●安全标准体系建设；</w:t>
      </w:r>
    </w:p>
    <w:p w14:paraId="2D487881">
      <w:pPr>
        <w:pStyle w:val="2"/>
        <w:spacing w:before="92" w:line="219" w:lineRule="auto"/>
        <w:ind w:left="389"/>
        <w:rPr>
          <w:sz w:val="19"/>
          <w:szCs w:val="19"/>
        </w:rPr>
      </w:pPr>
      <w:r>
        <w:rPr>
          <w:spacing w:val="12"/>
          <w:sz w:val="19"/>
          <w:szCs w:val="19"/>
        </w:rPr>
        <w:t>●人才培养体系建设；</w:t>
      </w:r>
    </w:p>
    <w:p w14:paraId="772F5774">
      <w:pPr>
        <w:pStyle w:val="2"/>
        <w:spacing w:before="86" w:line="219" w:lineRule="auto"/>
        <w:ind w:left="389"/>
        <w:rPr>
          <w:sz w:val="19"/>
          <w:szCs w:val="19"/>
        </w:rPr>
      </w:pPr>
      <w:r>
        <w:rPr>
          <w:spacing w:val="12"/>
          <w:sz w:val="19"/>
          <w:szCs w:val="19"/>
        </w:rPr>
        <w:t>●安全管理体系建设；</w:t>
      </w:r>
    </w:p>
    <w:p w14:paraId="239CF440">
      <w:pPr>
        <w:pStyle w:val="2"/>
        <w:spacing w:before="95" w:line="184" w:lineRule="auto"/>
        <w:ind w:left="389"/>
        <w:rPr>
          <w:sz w:val="19"/>
          <w:szCs w:val="19"/>
        </w:rPr>
      </w:pPr>
      <w:r>
        <w:rPr>
          <w:spacing w:val="14"/>
          <w:sz w:val="19"/>
          <w:szCs w:val="19"/>
        </w:rPr>
        <w:t>●确定主要安全建设项目。</w:t>
      </w:r>
    </w:p>
    <w:p w14:paraId="6A0ED2E4">
      <w:pPr>
        <w:spacing w:line="184" w:lineRule="auto"/>
        <w:rPr>
          <w:sz w:val="19"/>
          <w:szCs w:val="19"/>
        </w:rPr>
        <w:sectPr>
          <w:type w:val="continuous"/>
          <w:pgSz w:w="10290" w:h="13270"/>
          <w:pgMar w:top="399" w:right="9" w:bottom="400" w:left="1030" w:header="0" w:footer="0" w:gutter="0"/>
          <w:cols w:equalWidth="0" w:num="1">
            <w:col w:w="9250"/>
          </w:cols>
        </w:sectPr>
      </w:pPr>
    </w:p>
    <w:p w14:paraId="45A904FD">
      <w:pPr>
        <w:pStyle w:val="2"/>
        <w:spacing w:before="77" w:line="219" w:lineRule="auto"/>
        <w:rPr>
          <w:sz w:val="19"/>
          <w:szCs w:val="19"/>
        </w:rPr>
      </w:pPr>
      <w:r>
        <w:rPr>
          <w:rFonts w:ascii="Times New Roman" w:hAnsi="Times New Roman" w:eastAsia="Times New Roman" w:cs="Times New Roman"/>
          <w:spacing w:val="3"/>
          <w:sz w:val="19"/>
          <w:szCs w:val="19"/>
        </w:rPr>
        <w:t xml:space="preserve">548              </w:t>
      </w:r>
      <w:r>
        <w:rPr>
          <w:spacing w:val="3"/>
          <w:sz w:val="19"/>
          <w:szCs w:val="19"/>
        </w:rPr>
        <w:t>信息系统监理师教程(第2版)</w:t>
      </w:r>
    </w:p>
    <w:p w14:paraId="5FD8676C">
      <w:pPr>
        <w:spacing w:line="328" w:lineRule="auto"/>
        <w:rPr>
          <w:rFonts w:ascii="Arial"/>
          <w:sz w:val="21"/>
        </w:rPr>
      </w:pPr>
    </w:p>
    <w:p w14:paraId="69732E34">
      <w:pPr>
        <w:pStyle w:val="2"/>
        <w:spacing w:before="62" w:line="217" w:lineRule="auto"/>
        <w:ind w:left="759"/>
        <w:rPr>
          <w:sz w:val="19"/>
          <w:szCs w:val="19"/>
        </w:rPr>
      </w:pPr>
      <w:r>
        <w:rPr>
          <w:spacing w:val="6"/>
          <w:sz w:val="19"/>
          <w:szCs w:val="19"/>
        </w:rPr>
        <w:t>③形成安全建设项目规划方案。</w:t>
      </w:r>
    </w:p>
    <w:p w14:paraId="78DD5A35">
      <w:pPr>
        <w:pStyle w:val="2"/>
        <w:spacing w:before="67" w:line="306" w:lineRule="auto"/>
        <w:ind w:left="379" w:right="84" w:firstLine="380"/>
        <w:rPr>
          <w:sz w:val="19"/>
          <w:szCs w:val="19"/>
        </w:rPr>
      </w:pPr>
      <w:r>
        <w:rPr>
          <w:spacing w:val="13"/>
          <w:sz w:val="19"/>
          <w:szCs w:val="19"/>
        </w:rPr>
        <w:t>根据建设目标和建设内容，在时间和经费上对安全建设项目列表进行总体考虑，分解到不</w:t>
      </w:r>
      <w:r>
        <w:rPr>
          <w:spacing w:val="12"/>
          <w:sz w:val="19"/>
          <w:szCs w:val="19"/>
        </w:rPr>
        <w:t xml:space="preserve"> </w:t>
      </w:r>
      <w:r>
        <w:rPr>
          <w:spacing w:val="8"/>
          <w:sz w:val="19"/>
          <w:szCs w:val="19"/>
        </w:rPr>
        <w:t>同的时期和阶段，设计建设顺序，进行投资估算，形成安全建设项目规划。具体包括：</w:t>
      </w:r>
    </w:p>
    <w:p w14:paraId="166401B2">
      <w:pPr>
        <w:pStyle w:val="2"/>
        <w:spacing w:before="10" w:line="219" w:lineRule="auto"/>
        <w:ind w:left="759"/>
        <w:rPr>
          <w:sz w:val="19"/>
          <w:szCs w:val="19"/>
        </w:rPr>
      </w:pPr>
      <w:r>
        <w:rPr>
          <w:spacing w:val="12"/>
          <w:sz w:val="19"/>
          <w:szCs w:val="19"/>
        </w:rPr>
        <w:t>●规划建设的依据和原则；</w:t>
      </w:r>
    </w:p>
    <w:p w14:paraId="4948F9C7">
      <w:pPr>
        <w:pStyle w:val="2"/>
        <w:spacing w:before="96" w:line="220" w:lineRule="auto"/>
        <w:ind w:left="759"/>
        <w:rPr>
          <w:sz w:val="19"/>
          <w:szCs w:val="19"/>
        </w:rPr>
      </w:pPr>
      <w:r>
        <w:rPr>
          <w:spacing w:val="12"/>
          <w:sz w:val="19"/>
          <w:szCs w:val="19"/>
        </w:rPr>
        <w:t>●规划建设的目标和范围；</w:t>
      </w:r>
    </w:p>
    <w:p w14:paraId="48C5C208">
      <w:pPr>
        <w:pStyle w:val="2"/>
        <w:spacing w:before="103" w:line="219" w:lineRule="auto"/>
        <w:ind w:left="759"/>
        <w:rPr>
          <w:sz w:val="19"/>
          <w:szCs w:val="19"/>
        </w:rPr>
      </w:pPr>
      <w:r>
        <w:rPr>
          <w:spacing w:val="12"/>
          <w:sz w:val="19"/>
          <w:szCs w:val="19"/>
        </w:rPr>
        <w:t>●等级保护对象安全现状；</w:t>
      </w:r>
    </w:p>
    <w:p w14:paraId="2FADC963">
      <w:pPr>
        <w:pStyle w:val="2"/>
        <w:spacing w:before="115" w:line="219" w:lineRule="auto"/>
        <w:ind w:left="759"/>
        <w:rPr>
          <w:sz w:val="19"/>
          <w:szCs w:val="19"/>
        </w:rPr>
      </w:pPr>
      <w:r>
        <w:rPr>
          <w:spacing w:val="11"/>
          <w:sz w:val="19"/>
          <w:szCs w:val="19"/>
        </w:rPr>
        <w:t>●信息化的中长期发展规划；</w:t>
      </w:r>
    </w:p>
    <w:p w14:paraId="6A5A55B2">
      <w:pPr>
        <w:pStyle w:val="2"/>
        <w:spacing w:before="84" w:line="219" w:lineRule="auto"/>
        <w:ind w:left="759"/>
        <w:rPr>
          <w:sz w:val="19"/>
          <w:szCs w:val="19"/>
        </w:rPr>
      </w:pPr>
      <w:r>
        <w:rPr>
          <w:spacing w:val="10"/>
          <w:sz w:val="19"/>
          <w:szCs w:val="19"/>
        </w:rPr>
        <w:t>●等级保护对象安全建设的总体框架；</w:t>
      </w:r>
    </w:p>
    <w:p w14:paraId="2F071AD9">
      <w:pPr>
        <w:pStyle w:val="2"/>
        <w:spacing w:before="105" w:line="219" w:lineRule="auto"/>
        <w:ind w:left="759"/>
        <w:rPr>
          <w:sz w:val="19"/>
          <w:szCs w:val="19"/>
        </w:rPr>
      </w:pPr>
      <w:r>
        <w:rPr>
          <w:spacing w:val="12"/>
          <w:sz w:val="19"/>
          <w:szCs w:val="19"/>
        </w:rPr>
        <w:t>●安全技术体系建设规划；</w:t>
      </w:r>
    </w:p>
    <w:p w14:paraId="7DA46F9C">
      <w:pPr>
        <w:pStyle w:val="2"/>
        <w:spacing w:before="105" w:line="219" w:lineRule="auto"/>
        <w:ind w:left="759"/>
        <w:rPr>
          <w:sz w:val="19"/>
          <w:szCs w:val="19"/>
        </w:rPr>
      </w:pPr>
      <w:r>
        <w:rPr>
          <w:spacing w:val="10"/>
          <w:sz w:val="19"/>
          <w:szCs w:val="19"/>
        </w:rPr>
        <w:t>●安全管理与安全保障体系建设规划；</w:t>
      </w:r>
    </w:p>
    <w:p w14:paraId="3931CC2F">
      <w:pPr>
        <w:pStyle w:val="2"/>
        <w:spacing w:before="94" w:line="219" w:lineRule="auto"/>
        <w:ind w:left="759"/>
        <w:rPr>
          <w:sz w:val="19"/>
          <w:szCs w:val="19"/>
        </w:rPr>
      </w:pPr>
      <w:r>
        <w:rPr>
          <w:spacing w:val="10"/>
          <w:sz w:val="19"/>
          <w:szCs w:val="19"/>
        </w:rPr>
        <w:t>●等级保护对象安全建设的实施保障。</w:t>
      </w:r>
    </w:p>
    <w:p w14:paraId="749B3287">
      <w:pPr>
        <w:pStyle w:val="2"/>
        <w:spacing w:before="102" w:line="217" w:lineRule="auto"/>
        <w:ind w:left="759"/>
        <w:rPr>
          <w:sz w:val="19"/>
          <w:szCs w:val="19"/>
        </w:rPr>
      </w:pPr>
      <w:r>
        <w:rPr>
          <w:spacing w:val="6"/>
          <w:sz w:val="19"/>
          <w:szCs w:val="19"/>
        </w:rPr>
        <w:t>④形成安全建设详细设计方案。</w:t>
      </w:r>
    </w:p>
    <w:p w14:paraId="18B3FE61">
      <w:pPr>
        <w:pStyle w:val="2"/>
        <w:spacing w:before="88" w:line="219" w:lineRule="auto"/>
        <w:ind w:left="759"/>
        <w:rPr>
          <w:sz w:val="19"/>
          <w:szCs w:val="19"/>
        </w:rPr>
      </w:pPr>
      <w:r>
        <w:rPr>
          <w:spacing w:val="8"/>
          <w:sz w:val="19"/>
          <w:szCs w:val="19"/>
        </w:rPr>
        <w:t>监理机构协助业主单位、安全供应商完成安全方案详细设计工作。具体包括：</w:t>
      </w:r>
    </w:p>
    <w:p w14:paraId="7E936F1F">
      <w:pPr>
        <w:pStyle w:val="2"/>
        <w:spacing w:before="86" w:line="219" w:lineRule="auto"/>
        <w:ind w:left="759"/>
        <w:rPr>
          <w:sz w:val="19"/>
          <w:szCs w:val="19"/>
        </w:rPr>
      </w:pPr>
      <w:r>
        <w:rPr>
          <w:spacing w:val="12"/>
          <w:sz w:val="19"/>
          <w:szCs w:val="19"/>
        </w:rPr>
        <w:t>●技术措施实施方案的设计。</w:t>
      </w:r>
    </w:p>
    <w:p w14:paraId="6BB0DB4F">
      <w:pPr>
        <w:pStyle w:val="2"/>
        <w:spacing w:before="94" w:line="288" w:lineRule="auto"/>
        <w:ind w:left="379" w:right="100" w:firstLine="380"/>
        <w:rPr>
          <w:sz w:val="19"/>
          <w:szCs w:val="19"/>
        </w:rPr>
      </w:pPr>
      <w:r>
        <w:rPr>
          <w:spacing w:val="13"/>
          <w:sz w:val="19"/>
          <w:szCs w:val="19"/>
        </w:rPr>
        <w:t>完成结构构架设计、安全功能要求设计、性能要求设计、部署方案设计、制订安</w:t>
      </w:r>
      <w:r>
        <w:rPr>
          <w:spacing w:val="12"/>
          <w:sz w:val="19"/>
          <w:szCs w:val="19"/>
        </w:rPr>
        <w:t>全策略的</w:t>
      </w:r>
      <w:r>
        <w:rPr>
          <w:sz w:val="19"/>
          <w:szCs w:val="19"/>
        </w:rPr>
        <w:t xml:space="preserve"> </w:t>
      </w:r>
      <w:r>
        <w:rPr>
          <w:spacing w:val="5"/>
          <w:sz w:val="19"/>
          <w:szCs w:val="19"/>
        </w:rPr>
        <w:t>实现计划等。</w:t>
      </w:r>
    </w:p>
    <w:p w14:paraId="6F4C96B9">
      <w:pPr>
        <w:pStyle w:val="2"/>
        <w:spacing w:before="28" w:line="219" w:lineRule="auto"/>
        <w:ind w:left="759"/>
        <w:rPr>
          <w:sz w:val="19"/>
          <w:szCs w:val="19"/>
        </w:rPr>
      </w:pPr>
      <w:r>
        <w:rPr>
          <w:spacing w:val="12"/>
          <w:sz w:val="19"/>
          <w:szCs w:val="19"/>
        </w:rPr>
        <w:t>●管理措施实施内容的设计。</w:t>
      </w:r>
    </w:p>
    <w:p w14:paraId="5D62B003">
      <w:pPr>
        <w:pStyle w:val="2"/>
        <w:spacing w:before="85" w:line="292" w:lineRule="auto"/>
        <w:ind w:left="379" w:right="86" w:firstLine="380"/>
        <w:rPr>
          <w:sz w:val="19"/>
          <w:szCs w:val="19"/>
        </w:rPr>
      </w:pPr>
      <w:r>
        <w:rPr>
          <w:spacing w:val="13"/>
          <w:sz w:val="19"/>
          <w:szCs w:val="19"/>
        </w:rPr>
        <w:t>根据总体安全设计方案、安全建设项目规划，结合等级保护对象运</w:t>
      </w:r>
      <w:r>
        <w:rPr>
          <w:spacing w:val="12"/>
          <w:sz w:val="19"/>
          <w:szCs w:val="19"/>
        </w:rPr>
        <w:t>营、使用单位当前安全</w:t>
      </w:r>
      <w:r>
        <w:rPr>
          <w:sz w:val="19"/>
          <w:szCs w:val="19"/>
        </w:rPr>
        <w:t xml:space="preserve"> </w:t>
      </w:r>
      <w:r>
        <w:rPr>
          <w:spacing w:val="13"/>
          <w:sz w:val="19"/>
          <w:szCs w:val="19"/>
        </w:rPr>
        <w:t>管理需要和安全技术保障需要，提出与等级保护对象总体安</w:t>
      </w:r>
      <w:r>
        <w:rPr>
          <w:spacing w:val="12"/>
          <w:sz w:val="19"/>
          <w:szCs w:val="19"/>
        </w:rPr>
        <w:t>全设计方案中管理部分相适应的本</w:t>
      </w:r>
      <w:r>
        <w:rPr>
          <w:sz w:val="19"/>
          <w:szCs w:val="19"/>
        </w:rPr>
        <w:t xml:space="preserve"> </w:t>
      </w:r>
      <w:r>
        <w:rPr>
          <w:spacing w:val="9"/>
          <w:sz w:val="19"/>
          <w:szCs w:val="19"/>
        </w:rPr>
        <w:t>期安全实施内容，以保证在安全技术建设的同时，安全管理得以同步建设。</w:t>
      </w:r>
    </w:p>
    <w:p w14:paraId="3F147FF2">
      <w:pPr>
        <w:pStyle w:val="2"/>
        <w:spacing w:before="38" w:line="220" w:lineRule="auto"/>
        <w:ind w:left="759"/>
        <w:rPr>
          <w:sz w:val="19"/>
          <w:szCs w:val="19"/>
        </w:rPr>
      </w:pPr>
      <w:r>
        <w:rPr>
          <w:spacing w:val="13"/>
          <w:sz w:val="19"/>
          <w:szCs w:val="19"/>
        </w:rPr>
        <w:t>●形成安全建设详细设计方案。</w:t>
      </w:r>
    </w:p>
    <w:p w14:paraId="1E37AB85">
      <w:pPr>
        <w:pStyle w:val="2"/>
        <w:spacing w:before="93" w:line="298" w:lineRule="auto"/>
        <w:ind w:left="379" w:right="50" w:firstLine="380"/>
        <w:rPr>
          <w:sz w:val="19"/>
          <w:szCs w:val="19"/>
        </w:rPr>
      </w:pPr>
      <w:r>
        <w:rPr>
          <w:spacing w:val="14"/>
          <w:sz w:val="19"/>
          <w:szCs w:val="19"/>
        </w:rPr>
        <w:t>对技术措施实施方案中的技术实施内容和管理措施实施方案中的管理实施内容进行整理，</w:t>
      </w:r>
      <w:r>
        <w:rPr>
          <w:spacing w:val="8"/>
          <w:sz w:val="19"/>
          <w:szCs w:val="19"/>
        </w:rPr>
        <w:t xml:space="preserve"> </w:t>
      </w:r>
      <w:r>
        <w:rPr>
          <w:spacing w:val="7"/>
          <w:sz w:val="19"/>
          <w:szCs w:val="19"/>
        </w:rPr>
        <w:t>形成等级保护对象安全建设详细设计方案。</w:t>
      </w:r>
    </w:p>
    <w:p w14:paraId="1E5D95F0">
      <w:pPr>
        <w:pStyle w:val="2"/>
        <w:spacing w:before="113" w:line="221" w:lineRule="auto"/>
        <w:ind w:left="762"/>
        <w:rPr>
          <w:rFonts w:ascii="黑体" w:hAnsi="黑体" w:eastAsia="黑体" w:cs="黑体"/>
          <w:sz w:val="19"/>
          <w:szCs w:val="19"/>
        </w:rPr>
      </w:pPr>
      <w:bookmarkStart w:id="755" w:name="bookmark740"/>
      <w:bookmarkEnd w:id="755"/>
      <w:r>
        <w:rPr>
          <w:b/>
          <w:bCs/>
          <w:color w:val="007FD5"/>
          <w:spacing w:val="7"/>
          <w:sz w:val="19"/>
          <w:szCs w:val="19"/>
        </w:rPr>
        <w:t>4.</w:t>
      </w:r>
      <w:r>
        <w:rPr>
          <w:rFonts w:ascii="黑体" w:hAnsi="黑体" w:eastAsia="黑体" w:cs="黑体"/>
          <w:b/>
          <w:bCs/>
          <w:color w:val="007FD5"/>
          <w:spacing w:val="7"/>
          <w:sz w:val="19"/>
          <w:szCs w:val="19"/>
        </w:rPr>
        <w:t>商用密码应用系统建设方案的审核</w:t>
      </w:r>
    </w:p>
    <w:p w14:paraId="22C66F0E">
      <w:pPr>
        <w:pStyle w:val="2"/>
        <w:spacing w:before="136" w:line="302" w:lineRule="auto"/>
        <w:ind w:left="379" w:firstLine="380"/>
        <w:jc w:val="both"/>
        <w:rPr>
          <w:sz w:val="19"/>
          <w:szCs w:val="19"/>
        </w:rPr>
      </w:pPr>
      <w:r>
        <w:rPr>
          <w:spacing w:val="13"/>
          <w:sz w:val="19"/>
          <w:szCs w:val="19"/>
        </w:rPr>
        <w:t>商用密码应用系统建设方案的具体内容包括：项目建设背景、信息系统概</w:t>
      </w:r>
      <w:r>
        <w:rPr>
          <w:spacing w:val="12"/>
          <w:sz w:val="19"/>
          <w:szCs w:val="19"/>
        </w:rPr>
        <w:t>述、密码应用需</w:t>
      </w:r>
      <w:r>
        <w:rPr>
          <w:sz w:val="19"/>
          <w:szCs w:val="19"/>
        </w:rPr>
        <w:t xml:space="preserve">  </w:t>
      </w:r>
      <w:r>
        <w:rPr>
          <w:spacing w:val="12"/>
          <w:sz w:val="19"/>
          <w:szCs w:val="19"/>
        </w:rPr>
        <w:t>求分析、设计目标及设计原则、商用密码应用方案、实施保障方案(包括实施内容、实施计划、</w:t>
      </w:r>
      <w:r>
        <w:rPr>
          <w:spacing w:val="5"/>
          <w:sz w:val="19"/>
          <w:szCs w:val="19"/>
        </w:rPr>
        <w:t xml:space="preserve"> </w:t>
      </w:r>
      <w:r>
        <w:rPr>
          <w:spacing w:val="9"/>
          <w:sz w:val="19"/>
          <w:szCs w:val="19"/>
        </w:rPr>
        <w:t>保障措施)、经费概算、商用密码产品清单、商用密码应用系统的安全管理与维护策略</w:t>
      </w:r>
      <w:r>
        <w:rPr>
          <w:spacing w:val="8"/>
          <w:sz w:val="19"/>
          <w:szCs w:val="19"/>
        </w:rPr>
        <w:t>等。</w:t>
      </w:r>
    </w:p>
    <w:p w14:paraId="6B93458A">
      <w:pPr>
        <w:pStyle w:val="2"/>
        <w:spacing w:before="9" w:line="292" w:lineRule="auto"/>
        <w:ind w:left="379" w:right="68" w:firstLine="380"/>
        <w:jc w:val="both"/>
        <w:rPr>
          <w:sz w:val="19"/>
          <w:szCs w:val="19"/>
        </w:rPr>
      </w:pPr>
      <w:r>
        <w:rPr>
          <w:spacing w:val="13"/>
          <w:sz w:val="19"/>
          <w:szCs w:val="19"/>
        </w:rPr>
        <w:t>商用密码应用方案包含技术方案、管理方案。其中，技术方案应包括物理和环境安全、网</w:t>
      </w:r>
      <w:r>
        <w:rPr>
          <w:sz w:val="19"/>
          <w:szCs w:val="19"/>
        </w:rPr>
        <w:t xml:space="preserve"> </w:t>
      </w:r>
      <w:r>
        <w:rPr>
          <w:spacing w:val="13"/>
          <w:sz w:val="19"/>
          <w:szCs w:val="19"/>
        </w:rPr>
        <w:t>络和通信安全、设备和计算安全、应用和数据安全四个层面；管理方案应包括信息系统的管理</w:t>
      </w:r>
      <w:r>
        <w:rPr>
          <w:spacing w:val="2"/>
          <w:sz w:val="19"/>
          <w:szCs w:val="19"/>
        </w:rPr>
        <w:t xml:space="preserve"> </w:t>
      </w:r>
      <w:r>
        <w:rPr>
          <w:spacing w:val="7"/>
          <w:sz w:val="19"/>
          <w:szCs w:val="19"/>
        </w:rPr>
        <w:t>制度、人员管理、建设运行和应急处置四个方面。</w:t>
      </w:r>
    </w:p>
    <w:p w14:paraId="1523D248">
      <w:pPr>
        <w:pStyle w:val="2"/>
        <w:spacing w:before="18" w:line="296" w:lineRule="auto"/>
        <w:ind w:left="379" w:right="103" w:firstLine="380"/>
        <w:rPr>
          <w:sz w:val="19"/>
          <w:szCs w:val="19"/>
        </w:rPr>
      </w:pPr>
      <w:r>
        <w:rPr>
          <w:spacing w:val="13"/>
          <w:sz w:val="19"/>
          <w:szCs w:val="19"/>
        </w:rPr>
        <w:t>监理机构应根据下述要点对方案进行完整性、合规性审核，确保安全设计</w:t>
      </w:r>
      <w:r>
        <w:rPr>
          <w:spacing w:val="12"/>
          <w:sz w:val="19"/>
          <w:szCs w:val="19"/>
        </w:rPr>
        <w:t>方案满足安全需</w:t>
      </w:r>
      <w:r>
        <w:rPr>
          <w:sz w:val="19"/>
          <w:szCs w:val="19"/>
        </w:rPr>
        <w:t xml:space="preserve"> </w:t>
      </w:r>
      <w:r>
        <w:rPr>
          <w:spacing w:val="9"/>
          <w:sz w:val="19"/>
          <w:szCs w:val="19"/>
        </w:rPr>
        <w:t>求且具有可验证性，符合相关的法律法规、政策和标</w:t>
      </w:r>
      <w:r>
        <w:rPr>
          <w:spacing w:val="8"/>
          <w:sz w:val="19"/>
          <w:szCs w:val="19"/>
        </w:rPr>
        <w:t>准，并与信息系统工程整体建设相符。</w:t>
      </w:r>
    </w:p>
    <w:p w14:paraId="0C7B78E9">
      <w:pPr>
        <w:pStyle w:val="2"/>
        <w:spacing w:line="265" w:lineRule="auto"/>
        <w:ind w:left="379" w:right="104" w:firstLine="380"/>
        <w:rPr>
          <w:sz w:val="19"/>
          <w:szCs w:val="19"/>
        </w:rPr>
      </w:pPr>
      <w:r>
        <w:rPr>
          <w:spacing w:val="15"/>
          <w:sz w:val="19"/>
          <w:szCs w:val="19"/>
        </w:rPr>
        <w:t>(1)商用密码应用技术方案。商用密码应用技术方案应体现机密性、完整性</w:t>
      </w:r>
      <w:r>
        <w:rPr>
          <w:spacing w:val="14"/>
          <w:sz w:val="19"/>
          <w:szCs w:val="19"/>
        </w:rPr>
        <w:t>、真实性、不</w:t>
      </w:r>
      <w:r>
        <w:rPr>
          <w:sz w:val="19"/>
          <w:szCs w:val="19"/>
        </w:rPr>
        <w:t xml:space="preserve"> </w:t>
      </w:r>
      <w:r>
        <w:rPr>
          <w:spacing w:val="7"/>
          <w:sz w:val="19"/>
          <w:szCs w:val="19"/>
        </w:rPr>
        <w:t>可否认性等四个密码安全功能维度。具体保护对象或应用场景包括：</w:t>
      </w:r>
    </w:p>
    <w:p w14:paraId="04E09EB6">
      <w:pPr>
        <w:pStyle w:val="2"/>
        <w:spacing w:before="73" w:line="217" w:lineRule="auto"/>
        <w:ind w:left="759"/>
        <w:rPr>
          <w:sz w:val="19"/>
          <w:szCs w:val="19"/>
        </w:rPr>
      </w:pPr>
      <w:r>
        <w:rPr>
          <w:spacing w:val="7"/>
          <w:sz w:val="19"/>
          <w:szCs w:val="19"/>
        </w:rPr>
        <w:t>①机密性技术要求保护对象。</w:t>
      </w:r>
    </w:p>
    <w:p w14:paraId="494175EB">
      <w:pPr>
        <w:pStyle w:val="2"/>
        <w:spacing w:before="87" w:line="219" w:lineRule="auto"/>
        <w:ind w:left="759"/>
        <w:rPr>
          <w:sz w:val="19"/>
          <w:szCs w:val="19"/>
        </w:rPr>
      </w:pPr>
      <w:r>
        <w:rPr>
          <w:spacing w:val="8"/>
          <w:sz w:val="19"/>
          <w:szCs w:val="19"/>
        </w:rPr>
        <w:t>使用密码技术的加解密功能实现机密性，信息系统中保护的对象为：</w:t>
      </w:r>
    </w:p>
    <w:p w14:paraId="34C64088">
      <w:pPr>
        <w:spacing w:line="219" w:lineRule="auto"/>
        <w:rPr>
          <w:sz w:val="19"/>
          <w:szCs w:val="19"/>
        </w:rPr>
        <w:sectPr>
          <w:pgSz w:w="10310" w:h="13330"/>
          <w:pgMar w:top="400" w:right="974" w:bottom="400" w:left="560" w:header="0" w:footer="0" w:gutter="0"/>
          <w:cols w:space="720" w:num="1"/>
        </w:sectPr>
      </w:pPr>
    </w:p>
    <w:p w14:paraId="5A7520DB">
      <w:pPr>
        <w:pStyle w:val="2"/>
        <w:jc w:val="right"/>
        <w:rPr>
          <w:sz w:val="16"/>
          <w:szCs w:val="16"/>
        </w:rPr>
      </w:pPr>
      <w:r>
        <w:rPr>
          <w:spacing w:val="5"/>
          <w:sz w:val="19"/>
          <w:szCs w:val="19"/>
        </w:rPr>
        <w:t>第24章</w:t>
      </w:r>
      <w:r>
        <w:rPr>
          <w:spacing w:val="27"/>
          <w:sz w:val="19"/>
          <w:szCs w:val="19"/>
        </w:rPr>
        <w:t xml:space="preserve"> </w:t>
      </w:r>
      <w:r>
        <w:rPr>
          <w:spacing w:val="5"/>
          <w:sz w:val="19"/>
          <w:szCs w:val="19"/>
        </w:rPr>
        <w:t>信息安全监理</w:t>
      </w:r>
      <w:r>
        <w:rPr>
          <w:spacing w:val="39"/>
          <w:sz w:val="19"/>
          <w:szCs w:val="19"/>
        </w:rPr>
        <w:t xml:space="preserve"> </w:t>
      </w:r>
      <w:r>
        <w:rPr>
          <w:position w:val="-12"/>
          <w:sz w:val="19"/>
          <w:szCs w:val="19"/>
        </w:rPr>
        <w:drawing>
          <wp:inline distT="0" distB="0" distL="0" distR="0">
            <wp:extent cx="298450" cy="247015"/>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356"/>
                    <a:stretch>
                      <a:fillRect/>
                    </a:stretch>
                  </pic:blipFill>
                  <pic:spPr>
                    <a:xfrm>
                      <a:off x="0" y="0"/>
                      <a:ext cx="298450" cy="247639"/>
                    </a:xfrm>
                    <a:prstGeom prst="rect">
                      <a:avLst/>
                    </a:prstGeom>
                  </pic:spPr>
                </pic:pic>
              </a:graphicData>
            </a:graphic>
          </wp:inline>
        </w:drawing>
      </w:r>
      <w:r>
        <w:rPr>
          <w:rFonts w:ascii="Times New Roman" w:hAnsi="Times New Roman" w:eastAsia="Times New Roman" w:cs="Times New Roman"/>
          <w:spacing w:val="5"/>
          <w:sz w:val="16"/>
          <w:szCs w:val="16"/>
        </w:rPr>
        <w:t>549</w:t>
      </w:r>
      <w:r>
        <w:rPr>
          <w:rFonts w:ascii="Times New Roman" w:hAnsi="Times New Roman" w:eastAsia="Times New Roman" w:cs="Times New Roman"/>
          <w:spacing w:val="12"/>
          <w:w w:val="101"/>
          <w:sz w:val="16"/>
          <w:szCs w:val="16"/>
        </w:rPr>
        <w:t xml:space="preserve">   </w:t>
      </w:r>
      <w:r>
        <w:rPr>
          <w:position w:val="-8"/>
          <w:sz w:val="16"/>
          <w:szCs w:val="16"/>
        </w:rPr>
        <w:drawing>
          <wp:inline distT="0" distB="0" distL="0" distR="0">
            <wp:extent cx="273050" cy="190500"/>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357"/>
                    <a:stretch>
                      <a:fillRect/>
                    </a:stretch>
                  </pic:blipFill>
                  <pic:spPr>
                    <a:xfrm>
                      <a:off x="0" y="0"/>
                      <a:ext cx="273057" cy="190504"/>
                    </a:xfrm>
                    <a:prstGeom prst="rect">
                      <a:avLst/>
                    </a:prstGeom>
                  </pic:spPr>
                </pic:pic>
              </a:graphicData>
            </a:graphic>
          </wp:inline>
        </w:drawing>
      </w:r>
    </w:p>
    <w:p w14:paraId="158A63FF">
      <w:pPr>
        <w:spacing w:line="264" w:lineRule="auto"/>
        <w:rPr>
          <w:rFonts w:ascii="Arial"/>
          <w:sz w:val="21"/>
        </w:rPr>
      </w:pPr>
    </w:p>
    <w:p w14:paraId="5500DEE1">
      <w:pPr>
        <w:pStyle w:val="2"/>
        <w:spacing w:before="62" w:line="219" w:lineRule="auto"/>
        <w:ind w:left="399"/>
        <w:rPr>
          <w:sz w:val="19"/>
          <w:szCs w:val="19"/>
        </w:rPr>
      </w:pPr>
      <w:bookmarkStart w:id="756" w:name="bookmark741"/>
      <w:bookmarkEnd w:id="756"/>
      <w:r>
        <w:rPr>
          <w:spacing w:val="8"/>
          <w:sz w:val="19"/>
          <w:szCs w:val="19"/>
        </w:rPr>
        <w:t>●</w:t>
      </w:r>
      <w:r>
        <w:rPr>
          <w:spacing w:val="-56"/>
          <w:sz w:val="19"/>
          <w:szCs w:val="19"/>
        </w:rPr>
        <w:t xml:space="preserve"> </w:t>
      </w:r>
      <w:r>
        <w:rPr>
          <w:spacing w:val="8"/>
          <w:sz w:val="19"/>
          <w:szCs w:val="19"/>
        </w:rPr>
        <w:t>身份鉴别信息；</w:t>
      </w:r>
    </w:p>
    <w:p w14:paraId="0ABFA260">
      <w:pPr>
        <w:pStyle w:val="2"/>
        <w:spacing w:before="94" w:line="219" w:lineRule="auto"/>
        <w:ind w:left="399"/>
        <w:rPr>
          <w:sz w:val="19"/>
          <w:szCs w:val="19"/>
        </w:rPr>
      </w:pPr>
      <w:r>
        <w:rPr>
          <w:spacing w:val="9"/>
          <w:sz w:val="19"/>
          <w:szCs w:val="19"/>
        </w:rPr>
        <w:t>●</w:t>
      </w:r>
      <w:r>
        <w:rPr>
          <w:spacing w:val="-55"/>
          <w:sz w:val="19"/>
          <w:szCs w:val="19"/>
        </w:rPr>
        <w:t xml:space="preserve"> </w:t>
      </w:r>
      <w:r>
        <w:rPr>
          <w:spacing w:val="9"/>
          <w:sz w:val="19"/>
          <w:szCs w:val="19"/>
        </w:rPr>
        <w:t>密钥数据；</w:t>
      </w:r>
    </w:p>
    <w:p w14:paraId="2DFC5229">
      <w:pPr>
        <w:pStyle w:val="2"/>
        <w:spacing w:before="93" w:line="219" w:lineRule="auto"/>
        <w:ind w:left="399"/>
        <w:rPr>
          <w:sz w:val="19"/>
          <w:szCs w:val="19"/>
        </w:rPr>
      </w:pPr>
      <w:r>
        <w:rPr>
          <w:spacing w:val="12"/>
          <w:sz w:val="19"/>
          <w:szCs w:val="19"/>
        </w:rPr>
        <w:t>●传输的重要数据；</w:t>
      </w:r>
    </w:p>
    <w:p w14:paraId="15407A38">
      <w:pPr>
        <w:pStyle w:val="2"/>
        <w:spacing w:before="105" w:line="219" w:lineRule="auto"/>
        <w:ind w:left="399"/>
        <w:rPr>
          <w:sz w:val="19"/>
          <w:szCs w:val="19"/>
        </w:rPr>
      </w:pPr>
      <w:r>
        <w:rPr>
          <w:spacing w:val="11"/>
          <w:sz w:val="19"/>
          <w:szCs w:val="19"/>
        </w:rPr>
        <w:t>●信息系统应用中所有存储的重要数据。</w:t>
      </w:r>
    </w:p>
    <w:p w14:paraId="6D84EE68">
      <w:pPr>
        <w:pStyle w:val="2"/>
        <w:spacing w:before="112" w:line="217" w:lineRule="auto"/>
        <w:ind w:left="399"/>
        <w:rPr>
          <w:sz w:val="19"/>
          <w:szCs w:val="19"/>
        </w:rPr>
      </w:pPr>
      <w:r>
        <w:rPr>
          <w:spacing w:val="5"/>
          <w:sz w:val="19"/>
          <w:szCs w:val="19"/>
        </w:rPr>
        <w:t>②完整性技术要求保护对象。</w:t>
      </w:r>
    </w:p>
    <w:p w14:paraId="0C4ABC68">
      <w:pPr>
        <w:pStyle w:val="2"/>
        <w:spacing w:before="89" w:line="297" w:lineRule="auto"/>
        <w:ind w:right="855" w:firstLine="399"/>
        <w:rPr>
          <w:sz w:val="19"/>
          <w:szCs w:val="19"/>
        </w:rPr>
      </w:pPr>
      <w:r>
        <w:rPr>
          <w:spacing w:val="13"/>
          <w:sz w:val="19"/>
          <w:szCs w:val="19"/>
        </w:rPr>
        <w:t>使用基于对称密码算法或密码杂凑算法的消息鉴别码机制、基于公钥密码算法的数字签名</w:t>
      </w:r>
      <w:r>
        <w:rPr>
          <w:spacing w:val="16"/>
          <w:sz w:val="19"/>
          <w:szCs w:val="19"/>
        </w:rPr>
        <w:t xml:space="preserve"> </w:t>
      </w:r>
      <w:r>
        <w:rPr>
          <w:spacing w:val="7"/>
          <w:sz w:val="19"/>
          <w:szCs w:val="19"/>
        </w:rPr>
        <w:t>机制等密码技术实现完整性，信息系统中保护的对象为：</w:t>
      </w:r>
    </w:p>
    <w:p w14:paraId="05CE0492">
      <w:pPr>
        <w:pStyle w:val="2"/>
        <w:spacing w:before="9" w:line="219" w:lineRule="auto"/>
        <w:ind w:left="399"/>
        <w:rPr>
          <w:sz w:val="19"/>
          <w:szCs w:val="19"/>
        </w:rPr>
      </w:pPr>
      <w:r>
        <w:rPr>
          <w:spacing w:val="8"/>
          <w:sz w:val="19"/>
          <w:szCs w:val="19"/>
        </w:rPr>
        <w:t>●</w:t>
      </w:r>
      <w:r>
        <w:rPr>
          <w:spacing w:val="-56"/>
          <w:sz w:val="19"/>
          <w:szCs w:val="19"/>
        </w:rPr>
        <w:t xml:space="preserve"> </w:t>
      </w:r>
      <w:r>
        <w:rPr>
          <w:spacing w:val="8"/>
          <w:sz w:val="19"/>
          <w:szCs w:val="19"/>
        </w:rPr>
        <w:t>身份鉴别信息；</w:t>
      </w:r>
    </w:p>
    <w:p w14:paraId="06080F46">
      <w:pPr>
        <w:pStyle w:val="2"/>
        <w:spacing w:before="104" w:line="219" w:lineRule="auto"/>
        <w:ind w:left="399"/>
        <w:rPr>
          <w:sz w:val="19"/>
          <w:szCs w:val="19"/>
        </w:rPr>
      </w:pPr>
      <w:r>
        <w:rPr>
          <w:spacing w:val="9"/>
          <w:sz w:val="19"/>
          <w:szCs w:val="19"/>
        </w:rPr>
        <w:t>●</w:t>
      </w:r>
      <w:r>
        <w:rPr>
          <w:spacing w:val="-55"/>
          <w:sz w:val="19"/>
          <w:szCs w:val="19"/>
        </w:rPr>
        <w:t xml:space="preserve"> </w:t>
      </w:r>
      <w:r>
        <w:rPr>
          <w:spacing w:val="9"/>
          <w:sz w:val="19"/>
          <w:szCs w:val="19"/>
        </w:rPr>
        <w:t>密钥数据；</w:t>
      </w:r>
    </w:p>
    <w:p w14:paraId="366B7BCE">
      <w:pPr>
        <w:pStyle w:val="2"/>
        <w:spacing w:before="97" w:line="221" w:lineRule="auto"/>
        <w:ind w:left="399"/>
        <w:rPr>
          <w:sz w:val="19"/>
          <w:szCs w:val="19"/>
        </w:rPr>
      </w:pPr>
      <w:r>
        <w:rPr>
          <w:spacing w:val="3"/>
          <w:sz w:val="19"/>
          <w:szCs w:val="19"/>
        </w:rPr>
        <w:t>●</w:t>
      </w:r>
      <w:r>
        <w:rPr>
          <w:spacing w:val="-20"/>
          <w:sz w:val="19"/>
          <w:szCs w:val="19"/>
        </w:rPr>
        <w:t xml:space="preserve"> </w:t>
      </w:r>
      <w:r>
        <w:rPr>
          <w:spacing w:val="3"/>
          <w:sz w:val="19"/>
          <w:szCs w:val="19"/>
        </w:rPr>
        <w:t>日志记录；</w:t>
      </w:r>
    </w:p>
    <w:p w14:paraId="5E4DC16D">
      <w:pPr>
        <w:pStyle w:val="2"/>
        <w:spacing w:before="100" w:line="219" w:lineRule="auto"/>
        <w:ind w:left="399"/>
        <w:rPr>
          <w:sz w:val="19"/>
          <w:szCs w:val="19"/>
        </w:rPr>
      </w:pPr>
      <w:r>
        <w:rPr>
          <w:spacing w:val="10"/>
          <w:sz w:val="19"/>
          <w:szCs w:val="19"/>
        </w:rPr>
        <w:t>●访问控制信息；</w:t>
      </w:r>
    </w:p>
    <w:p w14:paraId="29192568">
      <w:pPr>
        <w:pStyle w:val="2"/>
        <w:spacing w:before="105" w:line="219" w:lineRule="auto"/>
        <w:ind w:left="399"/>
        <w:rPr>
          <w:sz w:val="19"/>
          <w:szCs w:val="19"/>
        </w:rPr>
      </w:pPr>
      <w:r>
        <w:rPr>
          <w:spacing w:val="10"/>
          <w:sz w:val="19"/>
          <w:szCs w:val="19"/>
        </w:rPr>
        <w:t>●重要信息资源安全标记；</w:t>
      </w:r>
    </w:p>
    <w:p w14:paraId="7271CE60">
      <w:pPr>
        <w:pStyle w:val="2"/>
        <w:spacing w:before="105" w:line="219" w:lineRule="auto"/>
        <w:ind w:left="399"/>
        <w:rPr>
          <w:sz w:val="19"/>
          <w:szCs w:val="19"/>
        </w:rPr>
      </w:pPr>
      <w:r>
        <w:rPr>
          <w:spacing w:val="12"/>
          <w:sz w:val="19"/>
          <w:szCs w:val="19"/>
        </w:rPr>
        <w:t>●重要可执行程序；</w:t>
      </w:r>
    </w:p>
    <w:p w14:paraId="2914091B">
      <w:pPr>
        <w:pStyle w:val="2"/>
        <w:spacing w:before="94" w:line="219" w:lineRule="auto"/>
        <w:ind w:left="399"/>
        <w:rPr>
          <w:sz w:val="19"/>
          <w:szCs w:val="19"/>
        </w:rPr>
      </w:pPr>
      <w:r>
        <w:rPr>
          <w:spacing w:val="12"/>
          <w:sz w:val="19"/>
          <w:szCs w:val="19"/>
        </w:rPr>
        <w:t>●视频监控音像记录；</w:t>
      </w:r>
    </w:p>
    <w:p w14:paraId="0EDF4646">
      <w:pPr>
        <w:pStyle w:val="2"/>
        <w:spacing w:before="95" w:line="219" w:lineRule="auto"/>
        <w:ind w:left="399"/>
        <w:rPr>
          <w:sz w:val="19"/>
          <w:szCs w:val="19"/>
        </w:rPr>
      </w:pPr>
      <w:r>
        <w:rPr>
          <w:spacing w:val="6"/>
          <w:sz w:val="19"/>
          <w:szCs w:val="19"/>
        </w:rPr>
        <w:t>●</w:t>
      </w:r>
      <w:r>
        <w:rPr>
          <w:spacing w:val="-44"/>
          <w:sz w:val="19"/>
          <w:szCs w:val="19"/>
        </w:rPr>
        <w:t xml:space="preserve"> </w:t>
      </w:r>
      <w:r>
        <w:rPr>
          <w:spacing w:val="6"/>
          <w:sz w:val="19"/>
          <w:szCs w:val="19"/>
        </w:rPr>
        <w:t>电子门禁系统进出记录；</w:t>
      </w:r>
    </w:p>
    <w:p w14:paraId="25680348">
      <w:pPr>
        <w:pStyle w:val="2"/>
        <w:spacing w:before="103" w:line="219" w:lineRule="auto"/>
        <w:ind w:left="399"/>
        <w:rPr>
          <w:sz w:val="19"/>
          <w:szCs w:val="19"/>
        </w:rPr>
      </w:pPr>
      <w:r>
        <w:rPr>
          <w:spacing w:val="12"/>
          <w:sz w:val="19"/>
          <w:szCs w:val="19"/>
        </w:rPr>
        <w:t>●传输的重要数据；</w:t>
      </w:r>
    </w:p>
    <w:p w14:paraId="1F7A7276">
      <w:pPr>
        <w:pStyle w:val="2"/>
        <w:spacing w:before="96" w:line="219" w:lineRule="auto"/>
        <w:ind w:left="399"/>
        <w:rPr>
          <w:sz w:val="19"/>
          <w:szCs w:val="19"/>
        </w:rPr>
      </w:pPr>
      <w:r>
        <w:rPr>
          <w:spacing w:val="11"/>
          <w:sz w:val="19"/>
          <w:szCs w:val="19"/>
        </w:rPr>
        <w:t>●信息系统应用中所有存储的重要数据。</w:t>
      </w:r>
    </w:p>
    <w:p w14:paraId="21B1E8B9">
      <w:pPr>
        <w:pStyle w:val="2"/>
        <w:spacing w:before="112" w:line="217" w:lineRule="auto"/>
        <w:ind w:left="399"/>
        <w:rPr>
          <w:sz w:val="19"/>
          <w:szCs w:val="19"/>
        </w:rPr>
      </w:pPr>
      <w:r>
        <w:rPr>
          <w:spacing w:val="5"/>
          <w:sz w:val="19"/>
          <w:szCs w:val="19"/>
        </w:rPr>
        <w:t>③真实性技术要求应用场景。</w:t>
      </w:r>
    </w:p>
    <w:p w14:paraId="0A20B592">
      <w:pPr>
        <w:pStyle w:val="2"/>
        <w:spacing w:before="69" w:line="306" w:lineRule="auto"/>
        <w:ind w:right="871" w:firstLine="399"/>
        <w:rPr>
          <w:sz w:val="19"/>
          <w:szCs w:val="19"/>
        </w:rPr>
      </w:pPr>
      <w:r>
        <w:rPr>
          <w:spacing w:val="13"/>
          <w:sz w:val="19"/>
          <w:szCs w:val="19"/>
        </w:rPr>
        <w:t>使用动态口令机制、基于对称密码算法或密码杂凑算法的信息鉴别机制、基于公钥密码算</w:t>
      </w:r>
      <w:r>
        <w:rPr>
          <w:sz w:val="19"/>
          <w:szCs w:val="19"/>
        </w:rPr>
        <w:t xml:space="preserve"> </w:t>
      </w:r>
      <w:r>
        <w:rPr>
          <w:spacing w:val="8"/>
          <w:sz w:val="19"/>
          <w:szCs w:val="19"/>
        </w:rPr>
        <w:t>法的数字签名机制等密码技术实现真实性，信息系统中应用的场景为：</w:t>
      </w:r>
    </w:p>
    <w:p w14:paraId="407DF34B">
      <w:pPr>
        <w:pStyle w:val="2"/>
        <w:spacing w:line="219" w:lineRule="auto"/>
        <w:ind w:left="399"/>
        <w:rPr>
          <w:sz w:val="19"/>
          <w:szCs w:val="19"/>
        </w:rPr>
      </w:pPr>
      <w:r>
        <w:rPr>
          <w:spacing w:val="10"/>
          <w:sz w:val="19"/>
          <w:szCs w:val="19"/>
        </w:rPr>
        <w:t>●进入重要物理区域人员的身份鉴别；</w:t>
      </w:r>
    </w:p>
    <w:p w14:paraId="182F6580">
      <w:pPr>
        <w:pStyle w:val="2"/>
        <w:spacing w:before="95" w:line="219" w:lineRule="auto"/>
        <w:ind w:left="399"/>
        <w:rPr>
          <w:sz w:val="19"/>
          <w:szCs w:val="19"/>
        </w:rPr>
      </w:pPr>
      <w:r>
        <w:rPr>
          <w:spacing w:val="11"/>
          <w:sz w:val="19"/>
          <w:szCs w:val="19"/>
        </w:rPr>
        <w:t>●通信双方的身份鉴别；</w:t>
      </w:r>
    </w:p>
    <w:p w14:paraId="5CCF112E">
      <w:pPr>
        <w:pStyle w:val="2"/>
        <w:spacing w:before="85" w:line="219" w:lineRule="auto"/>
        <w:ind w:left="399"/>
        <w:rPr>
          <w:sz w:val="19"/>
          <w:szCs w:val="19"/>
        </w:rPr>
      </w:pPr>
      <w:r>
        <w:rPr>
          <w:spacing w:val="11"/>
          <w:sz w:val="19"/>
          <w:szCs w:val="19"/>
        </w:rPr>
        <w:t>●网络设备接入时的身份鉴别；</w:t>
      </w:r>
    </w:p>
    <w:p w14:paraId="4D343FB3">
      <w:pPr>
        <w:pStyle w:val="2"/>
        <w:spacing w:before="104" w:line="219" w:lineRule="auto"/>
        <w:ind w:left="399"/>
        <w:rPr>
          <w:sz w:val="19"/>
          <w:szCs w:val="19"/>
        </w:rPr>
      </w:pPr>
      <w:r>
        <w:rPr>
          <w:spacing w:val="10"/>
          <w:sz w:val="19"/>
          <w:szCs w:val="19"/>
        </w:rPr>
        <w:t>●重要可执行程序的来源真实性保证；</w:t>
      </w:r>
    </w:p>
    <w:p w14:paraId="72D09B9A">
      <w:pPr>
        <w:pStyle w:val="2"/>
        <w:spacing w:before="95" w:line="219" w:lineRule="auto"/>
        <w:ind w:left="399"/>
        <w:rPr>
          <w:sz w:val="19"/>
          <w:szCs w:val="19"/>
        </w:rPr>
      </w:pPr>
      <w:r>
        <w:rPr>
          <w:spacing w:val="10"/>
          <w:sz w:val="19"/>
          <w:szCs w:val="19"/>
        </w:rPr>
        <w:t>●登录操作系统和数据库系统的用户身份鉴别；</w:t>
      </w:r>
    </w:p>
    <w:p w14:paraId="53FE3E13">
      <w:pPr>
        <w:pStyle w:val="2"/>
        <w:spacing w:before="95" w:line="219" w:lineRule="auto"/>
        <w:ind w:left="399"/>
        <w:rPr>
          <w:sz w:val="19"/>
          <w:szCs w:val="19"/>
        </w:rPr>
      </w:pPr>
      <w:r>
        <w:rPr>
          <w:spacing w:val="11"/>
          <w:sz w:val="19"/>
          <w:szCs w:val="19"/>
        </w:rPr>
        <w:t>●应用系统的用户身份鉴别。</w:t>
      </w:r>
    </w:p>
    <w:p w14:paraId="79D735CB">
      <w:pPr>
        <w:pStyle w:val="2"/>
        <w:spacing w:before="82" w:line="217" w:lineRule="auto"/>
        <w:ind w:left="399"/>
        <w:rPr>
          <w:sz w:val="19"/>
          <w:szCs w:val="19"/>
        </w:rPr>
      </w:pPr>
      <w:r>
        <w:rPr>
          <w:spacing w:val="6"/>
          <w:sz w:val="19"/>
          <w:szCs w:val="19"/>
        </w:rPr>
        <w:t>④不可否认性技术要求保护对象。</w:t>
      </w:r>
    </w:p>
    <w:p w14:paraId="7C9A23DA">
      <w:pPr>
        <w:pStyle w:val="2"/>
        <w:spacing w:before="78" w:line="298" w:lineRule="auto"/>
        <w:ind w:right="872" w:firstLine="399"/>
        <w:rPr>
          <w:sz w:val="19"/>
          <w:szCs w:val="19"/>
        </w:rPr>
      </w:pPr>
      <w:r>
        <w:rPr>
          <w:spacing w:val="13"/>
          <w:sz w:val="19"/>
          <w:szCs w:val="19"/>
        </w:rPr>
        <w:t>使用基于公钥密码算法的数字签名机制等密码技术来保证数据原发行为的不可否认性和数</w:t>
      </w:r>
      <w:r>
        <w:rPr>
          <w:sz w:val="19"/>
          <w:szCs w:val="19"/>
        </w:rPr>
        <w:t xml:space="preserve"> </w:t>
      </w:r>
      <w:r>
        <w:rPr>
          <w:spacing w:val="7"/>
          <w:sz w:val="19"/>
          <w:szCs w:val="19"/>
        </w:rPr>
        <w:t>据接收行为的不可否认性。</w:t>
      </w:r>
    </w:p>
    <w:p w14:paraId="4FC4BA81">
      <w:pPr>
        <w:pStyle w:val="2"/>
        <w:spacing w:before="18" w:line="255" w:lineRule="auto"/>
        <w:ind w:right="872" w:firstLine="399"/>
        <w:rPr>
          <w:sz w:val="19"/>
          <w:szCs w:val="19"/>
        </w:rPr>
      </w:pPr>
      <w:r>
        <w:rPr>
          <w:spacing w:val="15"/>
          <w:sz w:val="19"/>
          <w:szCs w:val="19"/>
        </w:rPr>
        <w:t>(2)商用密码应用管理方案。商用密码应用管理方案应体现管理制度、人员管理、建设运</w:t>
      </w:r>
      <w:r>
        <w:rPr>
          <w:spacing w:val="1"/>
          <w:sz w:val="19"/>
          <w:szCs w:val="19"/>
        </w:rPr>
        <w:t xml:space="preserve"> </w:t>
      </w:r>
      <w:r>
        <w:rPr>
          <w:spacing w:val="6"/>
          <w:sz w:val="19"/>
          <w:szCs w:val="19"/>
        </w:rPr>
        <w:t>行、应急处置等四个密码应用管理维度，具体如下：</w:t>
      </w:r>
    </w:p>
    <w:p w14:paraId="6D932455">
      <w:pPr>
        <w:pStyle w:val="2"/>
        <w:spacing w:before="82" w:line="217" w:lineRule="auto"/>
        <w:ind w:left="399"/>
        <w:rPr>
          <w:sz w:val="19"/>
          <w:szCs w:val="19"/>
        </w:rPr>
      </w:pPr>
      <w:r>
        <w:rPr>
          <w:spacing w:val="7"/>
          <w:sz w:val="19"/>
          <w:szCs w:val="19"/>
        </w:rPr>
        <w:t>①</w:t>
      </w:r>
      <w:r>
        <w:rPr>
          <w:spacing w:val="-49"/>
          <w:sz w:val="19"/>
          <w:szCs w:val="19"/>
        </w:rPr>
        <w:t xml:space="preserve"> </w:t>
      </w:r>
      <w:r>
        <w:rPr>
          <w:spacing w:val="7"/>
          <w:sz w:val="19"/>
          <w:szCs w:val="19"/>
        </w:rPr>
        <w:t>密码应用安全管理相关流程制度的制定、发布、修订的规范性要求；</w:t>
      </w:r>
    </w:p>
    <w:p w14:paraId="25726EAE">
      <w:pPr>
        <w:pStyle w:val="2"/>
        <w:spacing w:before="88" w:line="256" w:lineRule="auto"/>
        <w:ind w:right="805" w:firstLine="399"/>
        <w:rPr>
          <w:sz w:val="19"/>
          <w:szCs w:val="19"/>
        </w:rPr>
      </w:pPr>
      <w:r>
        <w:rPr>
          <w:spacing w:val="15"/>
          <w:sz w:val="19"/>
          <w:szCs w:val="19"/>
        </w:rPr>
        <w:t>②密码相关安全人员的密码安全意识以及关键密码安全岗位员</w:t>
      </w:r>
      <w:r>
        <w:rPr>
          <w:spacing w:val="14"/>
          <w:sz w:val="19"/>
          <w:szCs w:val="19"/>
        </w:rPr>
        <w:t>工的密码安全能力的培养，</w:t>
      </w:r>
      <w:r>
        <w:rPr>
          <w:sz w:val="19"/>
          <w:szCs w:val="19"/>
        </w:rPr>
        <w:t xml:space="preserve"> </w:t>
      </w:r>
      <w:r>
        <w:rPr>
          <w:spacing w:val="3"/>
          <w:sz w:val="19"/>
          <w:szCs w:val="19"/>
        </w:rPr>
        <w:t>人员工作流程要求等；</w:t>
      </w:r>
    </w:p>
    <w:p w14:paraId="4BA86FA8">
      <w:pPr>
        <w:pStyle w:val="2"/>
        <w:spacing w:before="92" w:line="217" w:lineRule="auto"/>
        <w:ind w:left="399"/>
        <w:rPr>
          <w:sz w:val="19"/>
          <w:szCs w:val="19"/>
        </w:rPr>
      </w:pPr>
      <w:r>
        <w:rPr>
          <w:spacing w:val="9"/>
          <w:sz w:val="19"/>
          <w:szCs w:val="19"/>
        </w:rPr>
        <w:t>③建设运行过程中密码应用安全要求及方案落地</w:t>
      </w:r>
      <w:r>
        <w:rPr>
          <w:spacing w:val="8"/>
          <w:sz w:val="19"/>
          <w:szCs w:val="19"/>
        </w:rPr>
        <w:t>执行的一致性和有效性要求；</w:t>
      </w:r>
    </w:p>
    <w:p w14:paraId="0D11936E">
      <w:pPr>
        <w:pStyle w:val="2"/>
        <w:spacing w:before="77" w:line="217" w:lineRule="auto"/>
        <w:ind w:left="399"/>
        <w:rPr>
          <w:sz w:val="19"/>
          <w:szCs w:val="19"/>
        </w:rPr>
      </w:pPr>
      <w:r>
        <w:rPr>
          <w:spacing w:val="8"/>
          <w:sz w:val="19"/>
          <w:szCs w:val="19"/>
        </w:rPr>
        <w:t>④处理密码应用安全相关的应急突发事件的能力要求。</w:t>
      </w:r>
    </w:p>
    <w:p w14:paraId="5EF475D3">
      <w:pPr>
        <w:spacing w:line="217" w:lineRule="auto"/>
        <w:rPr>
          <w:sz w:val="19"/>
          <w:szCs w:val="19"/>
        </w:rPr>
        <w:sectPr>
          <w:pgSz w:w="10280" w:h="13310"/>
          <w:pgMar w:top="360" w:right="9" w:bottom="400" w:left="1080" w:header="0" w:footer="0" w:gutter="0"/>
          <w:cols w:space="720" w:num="1"/>
        </w:sectPr>
      </w:pPr>
    </w:p>
    <w:p w14:paraId="5F67C6C7">
      <w:pPr>
        <w:pStyle w:val="2"/>
        <w:spacing w:before="37" w:line="219" w:lineRule="auto"/>
        <w:rPr>
          <w:sz w:val="19"/>
          <w:szCs w:val="19"/>
        </w:rPr>
      </w:pPr>
      <w:r>
        <w:rPr>
          <w:rFonts w:ascii="Times New Roman" w:hAnsi="Times New Roman" w:eastAsia="Times New Roman" w:cs="Times New Roman"/>
          <w:spacing w:val="5"/>
          <w:sz w:val="19"/>
          <w:szCs w:val="19"/>
        </w:rPr>
        <w:t xml:space="preserve">550              </w:t>
      </w:r>
      <w:r>
        <w:rPr>
          <w:spacing w:val="5"/>
          <w:sz w:val="19"/>
          <w:szCs w:val="19"/>
        </w:rPr>
        <w:t>信息系统</w:t>
      </w:r>
      <w:r>
        <w:rPr>
          <w:spacing w:val="4"/>
          <w:sz w:val="19"/>
          <w:szCs w:val="19"/>
        </w:rPr>
        <w:t>监理师教程(第2版)</w:t>
      </w:r>
    </w:p>
    <w:p w14:paraId="5F54C557">
      <w:pPr>
        <w:spacing w:line="320" w:lineRule="auto"/>
        <w:rPr>
          <w:rFonts w:ascii="Arial"/>
          <w:sz w:val="21"/>
        </w:rPr>
      </w:pPr>
    </w:p>
    <w:p w14:paraId="0228460F">
      <w:pPr>
        <w:pStyle w:val="2"/>
        <w:spacing w:before="62" w:line="288" w:lineRule="auto"/>
        <w:ind w:left="380" w:firstLine="409"/>
        <w:rPr>
          <w:sz w:val="19"/>
          <w:szCs w:val="19"/>
        </w:rPr>
      </w:pPr>
      <w:r>
        <w:rPr>
          <w:spacing w:val="17"/>
          <w:sz w:val="19"/>
          <w:szCs w:val="19"/>
        </w:rPr>
        <w:t>(3)信息系统密码应用等级保护能力要求</w:t>
      </w:r>
      <w:r>
        <w:rPr>
          <w:spacing w:val="16"/>
          <w:sz w:val="19"/>
          <w:szCs w:val="19"/>
        </w:rPr>
        <w:t>。信息系统密码应用自低向高划分为五个等级，</w:t>
      </w:r>
      <w:r>
        <w:rPr>
          <w:sz w:val="19"/>
          <w:szCs w:val="19"/>
        </w:rPr>
        <w:t xml:space="preserve"> </w:t>
      </w:r>
      <w:r>
        <w:rPr>
          <w:spacing w:val="15"/>
          <w:sz w:val="19"/>
          <w:szCs w:val="19"/>
        </w:rPr>
        <w:t>参照等级保护对象应具备的基本安全保护能力要求，密码保障能力逐级增加，用一、二、</w:t>
      </w:r>
      <w:r>
        <w:rPr>
          <w:spacing w:val="14"/>
          <w:sz w:val="19"/>
          <w:szCs w:val="19"/>
        </w:rPr>
        <w:t>三、</w:t>
      </w:r>
      <w:r>
        <w:rPr>
          <w:sz w:val="19"/>
          <w:szCs w:val="19"/>
        </w:rPr>
        <w:t xml:space="preserve"> </w:t>
      </w:r>
      <w:r>
        <w:rPr>
          <w:spacing w:val="16"/>
          <w:sz w:val="19"/>
          <w:szCs w:val="19"/>
        </w:rPr>
        <w:t>四</w:t>
      </w:r>
      <w:r>
        <w:rPr>
          <w:spacing w:val="-20"/>
          <w:sz w:val="19"/>
          <w:szCs w:val="19"/>
        </w:rPr>
        <w:t xml:space="preserve"> </w:t>
      </w:r>
      <w:r>
        <w:rPr>
          <w:spacing w:val="16"/>
          <w:sz w:val="19"/>
          <w:szCs w:val="19"/>
        </w:rPr>
        <w:t>、五级表示。密码应用方案应按照业务实际情况选择相应级别的密码保障技术能力及管理</w:t>
      </w:r>
      <w:r>
        <w:rPr>
          <w:sz w:val="19"/>
          <w:szCs w:val="19"/>
        </w:rPr>
        <w:t xml:space="preserve">  </w:t>
      </w:r>
      <w:r>
        <w:rPr>
          <w:spacing w:val="1"/>
          <w:sz w:val="19"/>
          <w:szCs w:val="19"/>
        </w:rPr>
        <w:t>能力。</w:t>
      </w:r>
    </w:p>
    <w:p w14:paraId="2CC5D727">
      <w:pPr>
        <w:pStyle w:val="2"/>
        <w:spacing w:before="114" w:line="219" w:lineRule="auto"/>
        <w:ind w:left="790"/>
        <w:rPr>
          <w:sz w:val="19"/>
          <w:szCs w:val="19"/>
        </w:rPr>
      </w:pPr>
      <w:r>
        <w:rPr>
          <w:spacing w:val="6"/>
          <w:sz w:val="19"/>
          <w:szCs w:val="19"/>
        </w:rPr>
        <w:t>第一级到第五级的信息系统应符合以下通用要求：</w:t>
      </w:r>
    </w:p>
    <w:p w14:paraId="131354D2">
      <w:pPr>
        <w:pStyle w:val="2"/>
        <w:spacing w:before="71" w:line="267" w:lineRule="auto"/>
        <w:ind w:left="380" w:right="84" w:firstLine="409"/>
        <w:rPr>
          <w:sz w:val="19"/>
          <w:szCs w:val="19"/>
        </w:rPr>
      </w:pPr>
      <w:r>
        <w:rPr>
          <w:spacing w:val="13"/>
          <w:sz w:val="19"/>
          <w:szCs w:val="19"/>
        </w:rPr>
        <w:t>①信息系统中使用的密码算法应符合法律法规的规定和密码相关国家</w:t>
      </w:r>
      <w:r>
        <w:rPr>
          <w:spacing w:val="12"/>
          <w:sz w:val="19"/>
          <w:szCs w:val="19"/>
        </w:rPr>
        <w:t>标准、行业标准的有</w:t>
      </w:r>
      <w:r>
        <w:rPr>
          <w:sz w:val="19"/>
          <w:szCs w:val="19"/>
        </w:rPr>
        <w:t xml:space="preserve"> </w:t>
      </w:r>
      <w:r>
        <w:rPr>
          <w:spacing w:val="-1"/>
          <w:sz w:val="19"/>
          <w:szCs w:val="19"/>
        </w:rPr>
        <w:t>关要求；</w:t>
      </w:r>
    </w:p>
    <w:p w14:paraId="23C7C797">
      <w:pPr>
        <w:pStyle w:val="2"/>
        <w:spacing w:before="91" w:line="217" w:lineRule="auto"/>
        <w:ind w:left="790"/>
        <w:rPr>
          <w:sz w:val="19"/>
          <w:szCs w:val="19"/>
        </w:rPr>
      </w:pPr>
      <w:r>
        <w:rPr>
          <w:spacing w:val="8"/>
          <w:sz w:val="19"/>
          <w:szCs w:val="19"/>
        </w:rPr>
        <w:t>②信息系统中使用的密码技术应遵循密码相关国家标</w:t>
      </w:r>
      <w:r>
        <w:rPr>
          <w:spacing w:val="7"/>
          <w:sz w:val="19"/>
          <w:szCs w:val="19"/>
        </w:rPr>
        <w:t>准和行业标准；</w:t>
      </w:r>
    </w:p>
    <w:p w14:paraId="0D59E0B9">
      <w:pPr>
        <w:pStyle w:val="2"/>
        <w:spacing w:before="97" w:line="217" w:lineRule="auto"/>
        <w:ind w:left="790"/>
        <w:rPr>
          <w:sz w:val="19"/>
          <w:szCs w:val="19"/>
        </w:rPr>
      </w:pPr>
      <w:r>
        <w:rPr>
          <w:spacing w:val="8"/>
          <w:sz w:val="19"/>
          <w:szCs w:val="19"/>
        </w:rPr>
        <w:t>③信息系统中使用的密码产品、密码服务应符合法律法规的相关要求。</w:t>
      </w:r>
    </w:p>
    <w:p w14:paraId="739669B2">
      <w:pPr>
        <w:pStyle w:val="2"/>
        <w:spacing w:before="88" w:line="297" w:lineRule="auto"/>
        <w:ind w:left="380" w:right="107" w:firstLine="409"/>
        <w:rPr>
          <w:sz w:val="19"/>
          <w:szCs w:val="19"/>
        </w:rPr>
      </w:pPr>
      <w:r>
        <w:rPr>
          <w:spacing w:val="12"/>
          <w:sz w:val="19"/>
          <w:szCs w:val="19"/>
        </w:rPr>
        <w:t>在现阶段信息系统工程实践中，信息系统以三级安全防护能力要求最为常见，为此对第三</w:t>
      </w:r>
      <w:r>
        <w:rPr>
          <w:spacing w:val="8"/>
          <w:sz w:val="19"/>
          <w:szCs w:val="19"/>
        </w:rPr>
        <w:t xml:space="preserve"> </w:t>
      </w:r>
      <w:r>
        <w:rPr>
          <w:spacing w:val="6"/>
          <w:sz w:val="19"/>
          <w:szCs w:val="19"/>
        </w:rPr>
        <w:t>级密码应用基本要求进行详细描述：</w:t>
      </w:r>
    </w:p>
    <w:p w14:paraId="228F4B09">
      <w:pPr>
        <w:pStyle w:val="2"/>
        <w:spacing w:before="30" w:line="220" w:lineRule="auto"/>
        <w:ind w:left="790"/>
        <w:rPr>
          <w:sz w:val="19"/>
          <w:szCs w:val="19"/>
        </w:rPr>
      </w:pPr>
      <w:r>
        <w:rPr>
          <w:spacing w:val="10"/>
          <w:sz w:val="19"/>
          <w:szCs w:val="19"/>
        </w:rPr>
        <w:t>●物理和环境安全。具体要求如下：</w:t>
      </w:r>
    </w:p>
    <w:p w14:paraId="1A71E1C7">
      <w:pPr>
        <w:pStyle w:val="2"/>
        <w:spacing w:before="82" w:line="212" w:lineRule="auto"/>
        <w:ind w:left="1049"/>
        <w:rPr>
          <w:sz w:val="19"/>
          <w:szCs w:val="19"/>
        </w:rPr>
      </w:pPr>
      <w:r>
        <w:rPr>
          <w:rFonts w:ascii="Times New Roman" w:hAnsi="Times New Roman" w:eastAsia="Times New Roman" w:cs="Times New Roman"/>
          <w:spacing w:val="7"/>
          <w:sz w:val="19"/>
          <w:szCs w:val="19"/>
        </w:rPr>
        <w:t xml:space="preserve">a)   </w:t>
      </w:r>
      <w:r>
        <w:rPr>
          <w:spacing w:val="7"/>
          <w:sz w:val="19"/>
          <w:szCs w:val="19"/>
        </w:rPr>
        <w:t>宜采用密码技术进行物理访问身份鉴别，保证重要区域进入人员身份的真实性；</w:t>
      </w:r>
    </w:p>
    <w:p w14:paraId="2DEDE857">
      <w:pPr>
        <w:pStyle w:val="2"/>
        <w:spacing w:before="91" w:line="212" w:lineRule="auto"/>
        <w:ind w:left="1049"/>
        <w:rPr>
          <w:sz w:val="19"/>
          <w:szCs w:val="19"/>
        </w:rPr>
      </w:pPr>
      <w:r>
        <w:rPr>
          <w:rFonts w:ascii="Times New Roman" w:hAnsi="Times New Roman" w:eastAsia="Times New Roman" w:cs="Times New Roman"/>
          <w:spacing w:val="7"/>
          <w:sz w:val="19"/>
          <w:szCs w:val="19"/>
        </w:rPr>
        <w:t>b)</w:t>
      </w:r>
      <w:r>
        <w:rPr>
          <w:rFonts w:ascii="Times New Roman" w:hAnsi="Times New Roman" w:eastAsia="Times New Roman" w:cs="Times New Roman"/>
          <w:spacing w:val="25"/>
          <w:sz w:val="19"/>
          <w:szCs w:val="19"/>
        </w:rPr>
        <w:t xml:space="preserve">  </w:t>
      </w:r>
      <w:r>
        <w:rPr>
          <w:spacing w:val="7"/>
          <w:sz w:val="19"/>
          <w:szCs w:val="19"/>
        </w:rPr>
        <w:t>宜采用密码技术保证电子门禁系统进出记录数据的存储完整性；</w:t>
      </w:r>
    </w:p>
    <w:p w14:paraId="7CFD6FBC">
      <w:pPr>
        <w:pStyle w:val="2"/>
        <w:spacing w:before="102" w:line="212" w:lineRule="auto"/>
        <w:ind w:left="1049"/>
        <w:rPr>
          <w:sz w:val="19"/>
          <w:szCs w:val="19"/>
        </w:rPr>
      </w:pPr>
      <w:r>
        <w:rPr>
          <w:rFonts w:ascii="Times New Roman" w:hAnsi="Times New Roman" w:eastAsia="Times New Roman" w:cs="Times New Roman"/>
          <w:spacing w:val="7"/>
          <w:sz w:val="19"/>
          <w:szCs w:val="19"/>
        </w:rPr>
        <w:t>c)</w:t>
      </w:r>
      <w:r>
        <w:rPr>
          <w:rFonts w:ascii="Times New Roman" w:hAnsi="Times New Roman" w:eastAsia="Times New Roman" w:cs="Times New Roman"/>
          <w:spacing w:val="22"/>
          <w:w w:val="101"/>
          <w:sz w:val="19"/>
          <w:szCs w:val="19"/>
        </w:rPr>
        <w:t xml:space="preserve">  </w:t>
      </w:r>
      <w:r>
        <w:rPr>
          <w:spacing w:val="7"/>
          <w:sz w:val="19"/>
          <w:szCs w:val="19"/>
        </w:rPr>
        <w:t>宜采用密码技术保证视频监控音像记录数据的存储完整性；</w:t>
      </w:r>
    </w:p>
    <w:p w14:paraId="6B5FF8B2">
      <w:pPr>
        <w:pStyle w:val="2"/>
        <w:spacing w:before="82" w:line="275" w:lineRule="auto"/>
        <w:ind w:left="1359" w:right="104" w:hanging="310"/>
        <w:rPr>
          <w:sz w:val="19"/>
          <w:szCs w:val="19"/>
        </w:rPr>
      </w:pPr>
      <w:r>
        <w:rPr>
          <w:rFonts w:ascii="Times New Roman" w:hAnsi="Times New Roman" w:eastAsia="Times New Roman" w:cs="Times New Roman"/>
          <w:spacing w:val="12"/>
          <w:sz w:val="19"/>
          <w:szCs w:val="19"/>
        </w:rPr>
        <w:t xml:space="preserve">d)   </w:t>
      </w:r>
      <w:r>
        <w:rPr>
          <w:spacing w:val="12"/>
          <w:sz w:val="19"/>
          <w:szCs w:val="19"/>
        </w:rPr>
        <w:t>以上如采用密码服务，该密码服务应符合法律法规的相关要求，需依法接</w:t>
      </w:r>
      <w:r>
        <w:rPr>
          <w:spacing w:val="11"/>
          <w:sz w:val="19"/>
          <w:szCs w:val="19"/>
        </w:rPr>
        <w:t>受检测认</w:t>
      </w:r>
      <w:r>
        <w:rPr>
          <w:sz w:val="19"/>
          <w:szCs w:val="19"/>
        </w:rPr>
        <w:t xml:space="preserve"> </w:t>
      </w:r>
      <w:r>
        <w:rPr>
          <w:spacing w:val="5"/>
          <w:sz w:val="19"/>
          <w:szCs w:val="19"/>
        </w:rPr>
        <w:t>证的，应经商用密码认证机构认证合格；</w:t>
      </w:r>
    </w:p>
    <w:p w14:paraId="4259CF2C">
      <w:pPr>
        <w:pStyle w:val="2"/>
        <w:spacing w:before="64" w:line="277" w:lineRule="auto"/>
        <w:ind w:left="1359" w:right="84" w:hanging="310"/>
        <w:rPr>
          <w:sz w:val="19"/>
          <w:szCs w:val="19"/>
        </w:rPr>
      </w:pPr>
      <w:r>
        <w:rPr>
          <w:rFonts w:ascii="Times New Roman" w:hAnsi="Times New Roman" w:eastAsia="Times New Roman" w:cs="Times New Roman"/>
          <w:spacing w:val="9"/>
          <w:sz w:val="19"/>
          <w:szCs w:val="19"/>
        </w:rPr>
        <w:t xml:space="preserve">e)   </w:t>
      </w:r>
      <w:r>
        <w:rPr>
          <w:spacing w:val="9"/>
          <w:sz w:val="19"/>
          <w:szCs w:val="19"/>
        </w:rPr>
        <w:t>以上采用的密码产品应达到</w:t>
      </w:r>
      <w:r>
        <w:rPr>
          <w:rFonts w:ascii="Times New Roman" w:hAnsi="Times New Roman" w:eastAsia="Times New Roman" w:cs="Times New Roman"/>
          <w:sz w:val="19"/>
          <w:szCs w:val="19"/>
        </w:rPr>
        <w:t>GB</w:t>
      </w:r>
      <w:r>
        <w:rPr>
          <w:rFonts w:ascii="Times New Roman" w:hAnsi="Times New Roman" w:eastAsia="Times New Roman" w:cs="Times New Roman"/>
          <w:spacing w:val="9"/>
          <w:sz w:val="19"/>
          <w:szCs w:val="19"/>
        </w:rPr>
        <w:t>/T   37092</w:t>
      </w:r>
      <w:r>
        <w:rPr>
          <w:spacing w:val="9"/>
          <w:sz w:val="19"/>
          <w:szCs w:val="19"/>
        </w:rPr>
        <w:t>《信息安全技术密码模块安全要求》二级及</w:t>
      </w:r>
      <w:r>
        <w:rPr>
          <w:spacing w:val="5"/>
          <w:sz w:val="19"/>
          <w:szCs w:val="19"/>
        </w:rPr>
        <w:t xml:space="preserve"> </w:t>
      </w:r>
      <w:r>
        <w:rPr>
          <w:spacing w:val="3"/>
          <w:sz w:val="19"/>
          <w:szCs w:val="19"/>
        </w:rPr>
        <w:t>以上安全要求。</w:t>
      </w:r>
    </w:p>
    <w:p w14:paraId="6FE12EBF">
      <w:pPr>
        <w:pStyle w:val="2"/>
        <w:spacing w:before="91" w:line="219" w:lineRule="auto"/>
        <w:ind w:left="790"/>
        <w:rPr>
          <w:sz w:val="19"/>
          <w:szCs w:val="19"/>
        </w:rPr>
      </w:pPr>
      <w:r>
        <w:rPr>
          <w:spacing w:val="10"/>
          <w:sz w:val="19"/>
          <w:szCs w:val="19"/>
        </w:rPr>
        <w:t>●网络和通信安全。具体要求如下：</w:t>
      </w:r>
    </w:p>
    <w:p w14:paraId="314EE6AD">
      <w:pPr>
        <w:pStyle w:val="2"/>
        <w:spacing w:before="73" w:line="212" w:lineRule="auto"/>
        <w:ind w:left="1049"/>
        <w:rPr>
          <w:sz w:val="19"/>
          <w:szCs w:val="19"/>
        </w:rPr>
      </w:pPr>
      <w:r>
        <w:rPr>
          <w:rFonts w:ascii="Times New Roman" w:hAnsi="Times New Roman" w:eastAsia="Times New Roman" w:cs="Times New Roman"/>
          <w:spacing w:val="8"/>
          <w:sz w:val="19"/>
          <w:szCs w:val="19"/>
        </w:rPr>
        <w:t>a)</w:t>
      </w:r>
      <w:r>
        <w:rPr>
          <w:rFonts w:ascii="Times New Roman" w:hAnsi="Times New Roman" w:eastAsia="Times New Roman" w:cs="Times New Roman"/>
          <w:spacing w:val="22"/>
          <w:w w:val="101"/>
          <w:sz w:val="19"/>
          <w:szCs w:val="19"/>
        </w:rPr>
        <w:t xml:space="preserve">  </w:t>
      </w:r>
      <w:r>
        <w:rPr>
          <w:spacing w:val="8"/>
          <w:sz w:val="19"/>
          <w:szCs w:val="19"/>
        </w:rPr>
        <w:t>应采用密码技术对通信实体进行身份鉴别，保证通信实体身</w:t>
      </w:r>
      <w:r>
        <w:rPr>
          <w:spacing w:val="7"/>
          <w:sz w:val="19"/>
          <w:szCs w:val="19"/>
        </w:rPr>
        <w:t>份的真实性；</w:t>
      </w:r>
    </w:p>
    <w:p w14:paraId="065430A5">
      <w:pPr>
        <w:pStyle w:val="2"/>
        <w:spacing w:before="102" w:line="212" w:lineRule="auto"/>
        <w:ind w:left="1049"/>
        <w:rPr>
          <w:sz w:val="19"/>
          <w:szCs w:val="19"/>
        </w:rPr>
      </w:pPr>
      <w:r>
        <w:rPr>
          <w:rFonts w:ascii="Times New Roman" w:hAnsi="Times New Roman" w:eastAsia="Times New Roman" w:cs="Times New Roman"/>
          <w:spacing w:val="7"/>
          <w:sz w:val="19"/>
          <w:szCs w:val="19"/>
        </w:rPr>
        <w:t>b)</w:t>
      </w:r>
      <w:r>
        <w:rPr>
          <w:rFonts w:ascii="Times New Roman" w:hAnsi="Times New Roman" w:eastAsia="Times New Roman" w:cs="Times New Roman"/>
          <w:spacing w:val="24"/>
          <w:w w:val="101"/>
          <w:sz w:val="19"/>
          <w:szCs w:val="19"/>
        </w:rPr>
        <w:t xml:space="preserve">  </w:t>
      </w:r>
      <w:r>
        <w:rPr>
          <w:spacing w:val="7"/>
          <w:sz w:val="19"/>
          <w:szCs w:val="19"/>
        </w:rPr>
        <w:t>宜采用密码技术保证通信过程中数据的完整性；</w:t>
      </w:r>
    </w:p>
    <w:p w14:paraId="684D1007">
      <w:pPr>
        <w:pStyle w:val="2"/>
        <w:spacing w:before="102" w:line="212" w:lineRule="auto"/>
        <w:ind w:left="1049"/>
        <w:rPr>
          <w:sz w:val="19"/>
          <w:szCs w:val="19"/>
        </w:rPr>
      </w:pPr>
      <w:r>
        <w:rPr>
          <w:rFonts w:ascii="Times New Roman" w:hAnsi="Times New Roman" w:eastAsia="Times New Roman" w:cs="Times New Roman"/>
          <w:spacing w:val="7"/>
          <w:sz w:val="19"/>
          <w:szCs w:val="19"/>
        </w:rPr>
        <w:t xml:space="preserve">c)   </w:t>
      </w:r>
      <w:r>
        <w:rPr>
          <w:spacing w:val="7"/>
          <w:sz w:val="19"/>
          <w:szCs w:val="19"/>
        </w:rPr>
        <w:t>应采用密码技术保证通信过程中重要数据的机</w:t>
      </w:r>
      <w:r>
        <w:rPr>
          <w:spacing w:val="6"/>
          <w:sz w:val="19"/>
          <w:szCs w:val="19"/>
        </w:rPr>
        <w:t>密性；</w:t>
      </w:r>
    </w:p>
    <w:p w14:paraId="7D348285">
      <w:pPr>
        <w:pStyle w:val="2"/>
        <w:spacing w:before="92" w:line="212" w:lineRule="auto"/>
        <w:ind w:left="1049"/>
        <w:rPr>
          <w:sz w:val="19"/>
          <w:szCs w:val="19"/>
        </w:rPr>
      </w:pPr>
      <w:r>
        <w:rPr>
          <w:rFonts w:ascii="Times New Roman" w:hAnsi="Times New Roman" w:eastAsia="Times New Roman" w:cs="Times New Roman"/>
          <w:spacing w:val="7"/>
          <w:sz w:val="19"/>
          <w:szCs w:val="19"/>
        </w:rPr>
        <w:t>d)</w:t>
      </w:r>
      <w:r>
        <w:rPr>
          <w:rFonts w:ascii="Times New Roman" w:hAnsi="Times New Roman" w:eastAsia="Times New Roman" w:cs="Times New Roman"/>
          <w:spacing w:val="21"/>
          <w:w w:val="101"/>
          <w:sz w:val="19"/>
          <w:szCs w:val="19"/>
        </w:rPr>
        <w:t xml:space="preserve">  </w:t>
      </w:r>
      <w:r>
        <w:rPr>
          <w:spacing w:val="7"/>
          <w:sz w:val="19"/>
          <w:szCs w:val="19"/>
        </w:rPr>
        <w:t>宜采用密码技术保证网络边界访问控制信息</w:t>
      </w:r>
      <w:r>
        <w:rPr>
          <w:spacing w:val="6"/>
          <w:sz w:val="19"/>
          <w:szCs w:val="19"/>
        </w:rPr>
        <w:t>的完整性；</w:t>
      </w:r>
    </w:p>
    <w:p w14:paraId="479FFCDC">
      <w:pPr>
        <w:pStyle w:val="2"/>
        <w:spacing w:before="101" w:line="271" w:lineRule="auto"/>
        <w:ind w:left="1359" w:right="80" w:hanging="310"/>
        <w:rPr>
          <w:sz w:val="19"/>
          <w:szCs w:val="19"/>
        </w:rPr>
      </w:pPr>
      <w:r>
        <w:rPr>
          <w:rFonts w:ascii="Times New Roman" w:hAnsi="Times New Roman" w:eastAsia="Times New Roman" w:cs="Times New Roman"/>
          <w:spacing w:val="13"/>
          <w:sz w:val="19"/>
          <w:szCs w:val="19"/>
        </w:rPr>
        <w:t xml:space="preserve">e)   </w:t>
      </w:r>
      <w:r>
        <w:rPr>
          <w:spacing w:val="13"/>
          <w:sz w:val="19"/>
          <w:szCs w:val="19"/>
        </w:rPr>
        <w:t>可采用密码技术对从外部连接到内部网络的设备进行接入</w:t>
      </w:r>
      <w:r>
        <w:rPr>
          <w:spacing w:val="12"/>
          <w:sz w:val="19"/>
          <w:szCs w:val="19"/>
        </w:rPr>
        <w:t>认证，确保接入的设备身</w:t>
      </w:r>
      <w:r>
        <w:rPr>
          <w:sz w:val="19"/>
          <w:szCs w:val="19"/>
        </w:rPr>
        <w:t xml:space="preserve"> </w:t>
      </w:r>
      <w:r>
        <w:rPr>
          <w:spacing w:val="-1"/>
          <w:sz w:val="19"/>
          <w:szCs w:val="19"/>
        </w:rPr>
        <w:t>份真实性；</w:t>
      </w:r>
    </w:p>
    <w:p w14:paraId="29D210CE">
      <w:pPr>
        <w:pStyle w:val="2"/>
        <w:spacing w:before="53" w:line="275" w:lineRule="auto"/>
        <w:ind w:left="1359" w:right="84" w:hanging="310"/>
        <w:rPr>
          <w:sz w:val="19"/>
          <w:szCs w:val="19"/>
        </w:rPr>
      </w:pPr>
      <w:r>
        <w:rPr>
          <w:rFonts w:ascii="Times New Roman" w:hAnsi="Times New Roman" w:eastAsia="Times New Roman" w:cs="Times New Roman"/>
          <w:spacing w:val="13"/>
          <w:sz w:val="19"/>
          <w:szCs w:val="19"/>
        </w:rPr>
        <w:t xml:space="preserve">f)   </w:t>
      </w:r>
      <w:r>
        <w:rPr>
          <w:spacing w:val="13"/>
          <w:sz w:val="19"/>
          <w:szCs w:val="19"/>
        </w:rPr>
        <w:t>以上如采用密码服务，该密码服务应符合法律法规的相关要求，需依法接受检测认</w:t>
      </w:r>
      <w:r>
        <w:rPr>
          <w:spacing w:val="6"/>
          <w:sz w:val="19"/>
          <w:szCs w:val="19"/>
        </w:rPr>
        <w:t xml:space="preserve"> </w:t>
      </w:r>
      <w:r>
        <w:rPr>
          <w:spacing w:val="5"/>
          <w:sz w:val="19"/>
          <w:szCs w:val="19"/>
        </w:rPr>
        <w:t>证的，应经商用密码认证机构认证合格；</w:t>
      </w:r>
    </w:p>
    <w:p w14:paraId="4DE4684B">
      <w:pPr>
        <w:pStyle w:val="2"/>
        <w:spacing w:before="83" w:line="212" w:lineRule="auto"/>
        <w:ind w:left="1049"/>
        <w:rPr>
          <w:sz w:val="19"/>
          <w:szCs w:val="19"/>
        </w:rPr>
      </w:pPr>
      <w:r>
        <w:rPr>
          <w:rFonts w:ascii="Times New Roman" w:hAnsi="Times New Roman" w:eastAsia="Times New Roman" w:cs="Times New Roman"/>
          <w:spacing w:val="7"/>
          <w:sz w:val="19"/>
          <w:szCs w:val="19"/>
        </w:rPr>
        <w:t xml:space="preserve">g)   </w:t>
      </w:r>
      <w:r>
        <w:rPr>
          <w:spacing w:val="7"/>
          <w:sz w:val="19"/>
          <w:szCs w:val="19"/>
        </w:rPr>
        <w:t>以上采用的密码产品应达到</w:t>
      </w:r>
      <w:r>
        <w:rPr>
          <w:rFonts w:ascii="Times New Roman" w:hAnsi="Times New Roman" w:eastAsia="Times New Roman" w:cs="Times New Roman"/>
          <w:sz w:val="19"/>
          <w:szCs w:val="19"/>
        </w:rPr>
        <w:t>GB</w:t>
      </w:r>
      <w:r>
        <w:rPr>
          <w:rFonts w:ascii="Times New Roman" w:hAnsi="Times New Roman" w:eastAsia="Times New Roman" w:cs="Times New Roman"/>
          <w:spacing w:val="7"/>
          <w:sz w:val="19"/>
          <w:szCs w:val="19"/>
        </w:rPr>
        <w:t>/T   37092</w:t>
      </w:r>
      <w:r>
        <w:rPr>
          <w:spacing w:val="7"/>
          <w:sz w:val="19"/>
          <w:szCs w:val="19"/>
        </w:rPr>
        <w:t>二级及以</w:t>
      </w:r>
      <w:r>
        <w:rPr>
          <w:spacing w:val="6"/>
          <w:sz w:val="19"/>
          <w:szCs w:val="19"/>
        </w:rPr>
        <w:t>上安全要求。</w:t>
      </w:r>
    </w:p>
    <w:p w14:paraId="3ECD7FA7">
      <w:pPr>
        <w:pStyle w:val="2"/>
        <w:spacing w:before="94" w:line="219" w:lineRule="auto"/>
        <w:ind w:left="790"/>
        <w:rPr>
          <w:sz w:val="19"/>
          <w:szCs w:val="19"/>
        </w:rPr>
      </w:pPr>
      <w:r>
        <w:rPr>
          <w:spacing w:val="10"/>
          <w:sz w:val="19"/>
          <w:szCs w:val="19"/>
        </w:rPr>
        <w:t>●设备和计算安全。具体要求如下：</w:t>
      </w:r>
    </w:p>
    <w:p w14:paraId="7AD5E180">
      <w:pPr>
        <w:pStyle w:val="2"/>
        <w:spacing w:before="83" w:line="212" w:lineRule="auto"/>
        <w:ind w:left="1049"/>
        <w:rPr>
          <w:sz w:val="19"/>
          <w:szCs w:val="19"/>
        </w:rPr>
      </w:pPr>
      <w:r>
        <w:rPr>
          <w:rFonts w:ascii="Times New Roman" w:hAnsi="Times New Roman" w:eastAsia="Times New Roman" w:cs="Times New Roman"/>
          <w:spacing w:val="8"/>
          <w:sz w:val="19"/>
          <w:szCs w:val="19"/>
        </w:rPr>
        <w:t>a)</w:t>
      </w:r>
      <w:r>
        <w:rPr>
          <w:rFonts w:ascii="Times New Roman" w:hAnsi="Times New Roman" w:eastAsia="Times New Roman" w:cs="Times New Roman"/>
          <w:spacing w:val="23"/>
          <w:w w:val="101"/>
          <w:sz w:val="19"/>
          <w:szCs w:val="19"/>
        </w:rPr>
        <w:t xml:space="preserve">  </w:t>
      </w:r>
      <w:r>
        <w:rPr>
          <w:spacing w:val="8"/>
          <w:sz w:val="19"/>
          <w:szCs w:val="19"/>
        </w:rPr>
        <w:t>应采用密码技术对登录的用户进行身份鉴别，保证用户身份的真实性；</w:t>
      </w:r>
    </w:p>
    <w:p w14:paraId="65BC3669">
      <w:pPr>
        <w:pStyle w:val="2"/>
        <w:spacing w:before="82" w:line="212" w:lineRule="auto"/>
        <w:ind w:left="1049"/>
        <w:rPr>
          <w:sz w:val="19"/>
          <w:szCs w:val="19"/>
        </w:rPr>
      </w:pPr>
      <w:r>
        <w:rPr>
          <w:rFonts w:ascii="Times New Roman" w:hAnsi="Times New Roman" w:eastAsia="Times New Roman" w:cs="Times New Roman"/>
          <w:spacing w:val="8"/>
          <w:sz w:val="19"/>
          <w:szCs w:val="19"/>
        </w:rPr>
        <w:t xml:space="preserve">b)  </w:t>
      </w:r>
      <w:r>
        <w:rPr>
          <w:spacing w:val="8"/>
          <w:sz w:val="19"/>
          <w:szCs w:val="19"/>
        </w:rPr>
        <w:t>远程管理设备时，应采用密码技术建立安全的信息传输通道；</w:t>
      </w:r>
    </w:p>
    <w:p w14:paraId="287E47DB">
      <w:pPr>
        <w:pStyle w:val="2"/>
        <w:spacing w:before="82" w:line="212" w:lineRule="auto"/>
        <w:ind w:left="1049"/>
        <w:rPr>
          <w:sz w:val="19"/>
          <w:szCs w:val="19"/>
        </w:rPr>
      </w:pPr>
      <w:r>
        <w:rPr>
          <w:rFonts w:ascii="Times New Roman" w:hAnsi="Times New Roman" w:eastAsia="Times New Roman" w:cs="Times New Roman"/>
          <w:spacing w:val="6"/>
          <w:sz w:val="19"/>
          <w:szCs w:val="19"/>
        </w:rPr>
        <w:t xml:space="preserve">c)   </w:t>
      </w:r>
      <w:r>
        <w:rPr>
          <w:spacing w:val="6"/>
          <w:sz w:val="19"/>
          <w:szCs w:val="19"/>
        </w:rPr>
        <w:t>宜采用密码技术保证系统资源访问控制信息的完整性；</w:t>
      </w:r>
    </w:p>
    <w:p w14:paraId="26F68FC0">
      <w:pPr>
        <w:pStyle w:val="2"/>
        <w:spacing w:before="102" w:line="212" w:lineRule="auto"/>
        <w:ind w:left="1049"/>
        <w:rPr>
          <w:sz w:val="19"/>
          <w:szCs w:val="19"/>
        </w:rPr>
      </w:pPr>
      <w:r>
        <w:rPr>
          <w:rFonts w:ascii="Times New Roman" w:hAnsi="Times New Roman" w:eastAsia="Times New Roman" w:cs="Times New Roman"/>
          <w:spacing w:val="7"/>
          <w:sz w:val="19"/>
          <w:szCs w:val="19"/>
        </w:rPr>
        <w:t xml:space="preserve">d)   </w:t>
      </w:r>
      <w:r>
        <w:rPr>
          <w:spacing w:val="7"/>
          <w:sz w:val="19"/>
          <w:szCs w:val="19"/>
        </w:rPr>
        <w:t>宜采用密码技术保证设备中的重要信息资源安全标记的完整性；</w:t>
      </w:r>
    </w:p>
    <w:p w14:paraId="09F049D6">
      <w:pPr>
        <w:pStyle w:val="2"/>
        <w:spacing w:before="82" w:line="212" w:lineRule="auto"/>
        <w:ind w:left="1049"/>
        <w:rPr>
          <w:sz w:val="19"/>
          <w:szCs w:val="19"/>
        </w:rPr>
      </w:pPr>
      <w:r>
        <w:rPr>
          <w:rFonts w:ascii="Times New Roman" w:hAnsi="Times New Roman" w:eastAsia="Times New Roman" w:cs="Times New Roman"/>
          <w:spacing w:val="6"/>
          <w:sz w:val="19"/>
          <w:szCs w:val="19"/>
        </w:rPr>
        <w:t>e)</w:t>
      </w:r>
      <w:r>
        <w:rPr>
          <w:rFonts w:ascii="Times New Roman" w:hAnsi="Times New Roman" w:eastAsia="Times New Roman" w:cs="Times New Roman"/>
          <w:spacing w:val="25"/>
          <w:w w:val="101"/>
          <w:sz w:val="19"/>
          <w:szCs w:val="19"/>
        </w:rPr>
        <w:t xml:space="preserve">  </w:t>
      </w:r>
      <w:r>
        <w:rPr>
          <w:spacing w:val="6"/>
          <w:sz w:val="19"/>
          <w:szCs w:val="19"/>
        </w:rPr>
        <w:t>宜采用密码技术保证日志记录的完整性；</w:t>
      </w:r>
    </w:p>
    <w:p w14:paraId="5BAD0584">
      <w:pPr>
        <w:pStyle w:val="2"/>
        <w:spacing w:before="101" w:line="212" w:lineRule="auto"/>
        <w:ind w:left="1049"/>
        <w:rPr>
          <w:sz w:val="19"/>
          <w:szCs w:val="19"/>
        </w:rPr>
      </w:pPr>
      <w:r>
        <w:rPr>
          <w:rFonts w:ascii="Times New Roman" w:hAnsi="Times New Roman" w:eastAsia="Times New Roman" w:cs="Times New Roman"/>
          <w:spacing w:val="8"/>
          <w:sz w:val="19"/>
          <w:szCs w:val="19"/>
        </w:rPr>
        <w:t>f)</w:t>
      </w:r>
      <w:r>
        <w:rPr>
          <w:rFonts w:ascii="Times New Roman" w:hAnsi="Times New Roman" w:eastAsia="Times New Roman" w:cs="Times New Roman"/>
          <w:spacing w:val="24"/>
          <w:sz w:val="19"/>
          <w:szCs w:val="19"/>
        </w:rPr>
        <w:t xml:space="preserve">  </w:t>
      </w:r>
      <w:r>
        <w:rPr>
          <w:spacing w:val="8"/>
          <w:sz w:val="19"/>
          <w:szCs w:val="19"/>
        </w:rPr>
        <w:t>宜采用密码技术对重要可执行程序进行完整性保护，并对其来源进行真实性验证；</w:t>
      </w:r>
    </w:p>
    <w:p w14:paraId="66AC39D1">
      <w:pPr>
        <w:pStyle w:val="2"/>
        <w:spacing w:before="82" w:line="212" w:lineRule="auto"/>
        <w:ind w:left="1049"/>
        <w:rPr>
          <w:sz w:val="19"/>
          <w:szCs w:val="19"/>
        </w:rPr>
      </w:pPr>
      <w:r>
        <w:rPr>
          <w:rFonts w:ascii="Times New Roman" w:hAnsi="Times New Roman" w:eastAsia="Times New Roman" w:cs="Times New Roman"/>
          <w:spacing w:val="12"/>
          <w:sz w:val="19"/>
          <w:szCs w:val="19"/>
        </w:rPr>
        <w:t xml:space="preserve">g)   </w:t>
      </w:r>
      <w:r>
        <w:rPr>
          <w:spacing w:val="12"/>
          <w:sz w:val="19"/>
          <w:szCs w:val="19"/>
        </w:rPr>
        <w:t>以上如采用密码服务，该密码服务应符合法律法规的相关要求，需依法接受检测认</w:t>
      </w:r>
    </w:p>
    <w:p w14:paraId="7127B02A">
      <w:pPr>
        <w:spacing w:line="212" w:lineRule="auto"/>
        <w:rPr>
          <w:sz w:val="19"/>
          <w:szCs w:val="19"/>
        </w:rPr>
        <w:sectPr>
          <w:pgSz w:w="10300" w:h="13400"/>
          <w:pgMar w:top="400" w:right="1025" w:bottom="400" w:left="489" w:header="0" w:footer="0" w:gutter="0"/>
          <w:cols w:space="720" w:num="1"/>
        </w:sectPr>
      </w:pPr>
    </w:p>
    <w:p w14:paraId="3046027B">
      <w:pPr>
        <w:pStyle w:val="2"/>
        <w:spacing w:line="216" w:lineRule="auto"/>
        <w:jc w:val="right"/>
        <w:rPr>
          <w:rFonts w:ascii="Times New Roman" w:hAnsi="Times New Roman" w:eastAsia="Times New Roman" w:cs="Times New Roman"/>
          <w:sz w:val="28"/>
          <w:szCs w:val="28"/>
        </w:rPr>
      </w:pPr>
      <w:r>
        <w:rPr>
          <w:spacing w:val="-3"/>
          <w:position w:val="1"/>
          <w:sz w:val="20"/>
          <w:szCs w:val="20"/>
        </w:rPr>
        <w:t xml:space="preserve">第24章 信息安全监理      </w:t>
      </w:r>
      <w:r>
        <w:rPr>
          <w:rFonts w:ascii="Times New Roman" w:hAnsi="Times New Roman" w:eastAsia="Times New Roman" w:cs="Times New Roman"/>
          <w:spacing w:val="-3"/>
          <w:position w:val="-4"/>
          <w:sz w:val="28"/>
          <w:szCs w:val="28"/>
        </w:rPr>
        <w:t>551</w:t>
      </w:r>
    </w:p>
    <w:p w14:paraId="7B065AE8">
      <w:pPr>
        <w:spacing w:line="273" w:lineRule="auto"/>
        <w:rPr>
          <w:rFonts w:ascii="Arial"/>
          <w:sz w:val="21"/>
        </w:rPr>
      </w:pPr>
    </w:p>
    <w:p w14:paraId="3BB67BED">
      <w:pPr>
        <w:pStyle w:val="2"/>
        <w:spacing w:before="65" w:line="219" w:lineRule="auto"/>
        <w:ind w:left="550"/>
        <w:rPr>
          <w:sz w:val="20"/>
          <w:szCs w:val="20"/>
        </w:rPr>
      </w:pPr>
      <w:r>
        <w:rPr>
          <w:spacing w:val="-3"/>
          <w:sz w:val="20"/>
          <w:szCs w:val="20"/>
        </w:rPr>
        <w:t>证的，应经商用密码认证机构认证合格；</w:t>
      </w:r>
    </w:p>
    <w:p w14:paraId="23AD8604">
      <w:pPr>
        <w:pStyle w:val="2"/>
        <w:spacing w:before="51" w:line="212" w:lineRule="auto"/>
        <w:ind w:left="229"/>
        <w:rPr>
          <w:sz w:val="20"/>
          <w:szCs w:val="20"/>
        </w:rPr>
      </w:pPr>
      <w:r>
        <w:rPr>
          <w:rFonts w:ascii="Times New Roman" w:hAnsi="Times New Roman" w:eastAsia="Times New Roman" w:cs="Times New Roman"/>
          <w:sz w:val="20"/>
          <w:szCs w:val="20"/>
        </w:rPr>
        <w:t xml:space="preserve">h)   </w:t>
      </w:r>
      <w:r>
        <w:rPr>
          <w:sz w:val="20"/>
          <w:szCs w:val="20"/>
        </w:rPr>
        <w:t>以上采用的密码产品应达到</w:t>
      </w:r>
      <w:r>
        <w:rPr>
          <w:rFonts w:ascii="Times New Roman" w:hAnsi="Times New Roman" w:eastAsia="Times New Roman" w:cs="Times New Roman"/>
          <w:sz w:val="20"/>
          <w:szCs w:val="20"/>
        </w:rPr>
        <w:t>GB/T  37092</w:t>
      </w:r>
      <w:r>
        <w:rPr>
          <w:sz w:val="20"/>
          <w:szCs w:val="20"/>
        </w:rPr>
        <w:t>二级及以上安全要求。</w:t>
      </w:r>
    </w:p>
    <w:p w14:paraId="07126988">
      <w:pPr>
        <w:pStyle w:val="2"/>
        <w:spacing w:before="103" w:line="219" w:lineRule="auto"/>
        <w:rPr>
          <w:sz w:val="20"/>
          <w:szCs w:val="20"/>
        </w:rPr>
      </w:pPr>
      <w:r>
        <w:rPr>
          <w:sz w:val="20"/>
          <w:szCs w:val="20"/>
        </w:rPr>
        <w:t>●应用和数据安全。具体要求如下：</w:t>
      </w:r>
    </w:p>
    <w:p w14:paraId="242EBF74">
      <w:pPr>
        <w:pStyle w:val="2"/>
        <w:spacing w:before="70" w:line="212" w:lineRule="auto"/>
        <w:ind w:left="229"/>
        <w:rPr>
          <w:sz w:val="20"/>
          <w:szCs w:val="20"/>
        </w:rPr>
      </w:pPr>
      <w:r>
        <w:rPr>
          <w:rFonts w:ascii="Times New Roman" w:hAnsi="Times New Roman" w:eastAsia="Times New Roman" w:cs="Times New Roman"/>
          <w:sz w:val="20"/>
          <w:szCs w:val="20"/>
        </w:rPr>
        <w:t xml:space="preserve">a)  </w:t>
      </w:r>
      <w:r>
        <w:rPr>
          <w:sz w:val="20"/>
          <w:szCs w:val="20"/>
        </w:rPr>
        <w:t>应采用密码技术对登录用户进行身份鉴别</w:t>
      </w:r>
      <w:r>
        <w:rPr>
          <w:spacing w:val="-1"/>
          <w:sz w:val="20"/>
          <w:szCs w:val="20"/>
        </w:rPr>
        <w:t>，保证应用系统用户身份的真实性；</w:t>
      </w:r>
    </w:p>
    <w:p w14:paraId="2EA438BC">
      <w:pPr>
        <w:pStyle w:val="2"/>
        <w:spacing w:before="80" w:line="212" w:lineRule="auto"/>
        <w:ind w:left="229"/>
        <w:rPr>
          <w:sz w:val="20"/>
          <w:szCs w:val="20"/>
        </w:rPr>
      </w:pPr>
      <w:r>
        <w:rPr>
          <w:rFonts w:ascii="Times New Roman" w:hAnsi="Times New Roman" w:eastAsia="Times New Roman" w:cs="Times New Roman"/>
          <w:spacing w:val="-1"/>
          <w:sz w:val="20"/>
          <w:szCs w:val="20"/>
        </w:rPr>
        <w:t xml:space="preserve">b)  </w:t>
      </w:r>
      <w:r>
        <w:rPr>
          <w:spacing w:val="-1"/>
          <w:sz w:val="20"/>
          <w:szCs w:val="20"/>
        </w:rPr>
        <w:t>宜采用密码技术保证信息系统应用的访问控制信息的</w:t>
      </w:r>
      <w:r>
        <w:rPr>
          <w:spacing w:val="-2"/>
          <w:sz w:val="20"/>
          <w:szCs w:val="20"/>
        </w:rPr>
        <w:t>完整性；</w:t>
      </w:r>
    </w:p>
    <w:p w14:paraId="14366DD0">
      <w:pPr>
        <w:pStyle w:val="2"/>
        <w:spacing w:before="90" w:line="212" w:lineRule="auto"/>
        <w:ind w:left="229"/>
        <w:rPr>
          <w:sz w:val="20"/>
          <w:szCs w:val="20"/>
        </w:rPr>
      </w:pPr>
      <w:r>
        <w:rPr>
          <w:rFonts w:ascii="Times New Roman" w:hAnsi="Times New Roman" w:eastAsia="Times New Roman" w:cs="Times New Roman"/>
          <w:spacing w:val="-2"/>
          <w:sz w:val="20"/>
          <w:szCs w:val="20"/>
        </w:rPr>
        <w:t>c)</w:t>
      </w:r>
      <w:r>
        <w:rPr>
          <w:rFonts w:ascii="Times New Roman" w:hAnsi="Times New Roman" w:eastAsia="Times New Roman" w:cs="Times New Roman"/>
          <w:spacing w:val="16"/>
          <w:sz w:val="20"/>
          <w:szCs w:val="20"/>
        </w:rPr>
        <w:t xml:space="preserve">  </w:t>
      </w:r>
      <w:r>
        <w:rPr>
          <w:spacing w:val="-2"/>
          <w:sz w:val="20"/>
          <w:szCs w:val="20"/>
        </w:rPr>
        <w:t>宜采用密码技术保证信息系统应用的重要信息资源安全标记的完整性；</w:t>
      </w:r>
    </w:p>
    <w:p w14:paraId="6183A055">
      <w:pPr>
        <w:pStyle w:val="2"/>
        <w:spacing w:before="80" w:line="212" w:lineRule="auto"/>
        <w:ind w:left="229"/>
        <w:rPr>
          <w:sz w:val="20"/>
          <w:szCs w:val="20"/>
        </w:rPr>
      </w:pPr>
      <w:r>
        <w:rPr>
          <w:rFonts w:ascii="Times New Roman" w:hAnsi="Times New Roman" w:eastAsia="Times New Roman" w:cs="Times New Roman"/>
          <w:spacing w:val="-2"/>
          <w:sz w:val="20"/>
          <w:szCs w:val="20"/>
        </w:rPr>
        <w:t>d)</w:t>
      </w:r>
      <w:r>
        <w:rPr>
          <w:rFonts w:ascii="Times New Roman" w:hAnsi="Times New Roman" w:eastAsia="Times New Roman" w:cs="Times New Roman"/>
          <w:spacing w:val="15"/>
          <w:w w:val="101"/>
          <w:sz w:val="20"/>
          <w:szCs w:val="20"/>
        </w:rPr>
        <w:t xml:space="preserve">  </w:t>
      </w:r>
      <w:r>
        <w:rPr>
          <w:spacing w:val="-2"/>
          <w:sz w:val="20"/>
          <w:szCs w:val="20"/>
        </w:rPr>
        <w:t>宜采用密码技术保证信息系统应用的重要数据在传输过程中的机密性；</w:t>
      </w:r>
    </w:p>
    <w:p w14:paraId="2E85B720">
      <w:pPr>
        <w:pStyle w:val="2"/>
        <w:spacing w:before="90" w:line="212" w:lineRule="auto"/>
        <w:ind w:left="229"/>
        <w:rPr>
          <w:sz w:val="20"/>
          <w:szCs w:val="20"/>
        </w:rPr>
      </w:pPr>
      <w:r>
        <w:rPr>
          <w:rFonts w:ascii="Times New Roman" w:hAnsi="Times New Roman" w:eastAsia="Times New Roman" w:cs="Times New Roman"/>
          <w:spacing w:val="-1"/>
          <w:sz w:val="20"/>
          <w:szCs w:val="20"/>
        </w:rPr>
        <w:t xml:space="preserve">e)  </w:t>
      </w:r>
      <w:r>
        <w:rPr>
          <w:spacing w:val="-1"/>
          <w:sz w:val="20"/>
          <w:szCs w:val="20"/>
        </w:rPr>
        <w:t>宜采用密码技术保证信息系统应用的重要数据在存</w:t>
      </w:r>
      <w:r>
        <w:rPr>
          <w:spacing w:val="-2"/>
          <w:sz w:val="20"/>
          <w:szCs w:val="20"/>
        </w:rPr>
        <w:t>储过程中的机密性；</w:t>
      </w:r>
    </w:p>
    <w:p w14:paraId="3FCED4C6">
      <w:pPr>
        <w:pStyle w:val="2"/>
        <w:spacing w:before="80" w:line="212" w:lineRule="auto"/>
        <w:ind w:left="229"/>
        <w:rPr>
          <w:sz w:val="20"/>
          <w:szCs w:val="20"/>
        </w:rPr>
      </w:pPr>
      <w:r>
        <w:rPr>
          <w:rFonts w:ascii="Times New Roman" w:hAnsi="Times New Roman" w:eastAsia="Times New Roman" w:cs="Times New Roman"/>
          <w:spacing w:val="-2"/>
          <w:sz w:val="20"/>
          <w:szCs w:val="20"/>
        </w:rPr>
        <w:t>f)</w:t>
      </w:r>
      <w:r>
        <w:rPr>
          <w:rFonts w:ascii="Times New Roman" w:hAnsi="Times New Roman" w:eastAsia="Times New Roman" w:cs="Times New Roman"/>
          <w:spacing w:val="12"/>
          <w:w w:val="101"/>
          <w:sz w:val="20"/>
          <w:szCs w:val="20"/>
        </w:rPr>
        <w:t xml:space="preserve">  </w:t>
      </w:r>
      <w:r>
        <w:rPr>
          <w:spacing w:val="-2"/>
          <w:sz w:val="20"/>
          <w:szCs w:val="20"/>
        </w:rPr>
        <w:t>宜采用密码技术保证信息系统应用的重要数据在传输过程中的完整性；</w:t>
      </w:r>
    </w:p>
    <w:p w14:paraId="24B782FF">
      <w:pPr>
        <w:pStyle w:val="2"/>
        <w:spacing w:before="110" w:line="212" w:lineRule="auto"/>
        <w:ind w:left="229"/>
        <w:rPr>
          <w:sz w:val="20"/>
          <w:szCs w:val="20"/>
        </w:rPr>
      </w:pPr>
      <w:r>
        <w:rPr>
          <w:rFonts w:ascii="Times New Roman" w:hAnsi="Times New Roman" w:eastAsia="Times New Roman" w:cs="Times New Roman"/>
          <w:spacing w:val="-1"/>
          <w:sz w:val="20"/>
          <w:szCs w:val="20"/>
        </w:rPr>
        <w:t xml:space="preserve">g)  </w:t>
      </w:r>
      <w:r>
        <w:rPr>
          <w:spacing w:val="-1"/>
          <w:sz w:val="20"/>
          <w:szCs w:val="20"/>
        </w:rPr>
        <w:t>宜采用密码技术保证信息系统应用的重要数据在</w:t>
      </w:r>
      <w:r>
        <w:rPr>
          <w:spacing w:val="-2"/>
          <w:sz w:val="20"/>
          <w:szCs w:val="20"/>
        </w:rPr>
        <w:t>存储过程中的完整性；</w:t>
      </w:r>
    </w:p>
    <w:p w14:paraId="0A41647C">
      <w:pPr>
        <w:pStyle w:val="2"/>
        <w:spacing w:before="70" w:line="268" w:lineRule="auto"/>
        <w:ind w:left="549" w:right="403" w:hanging="320"/>
        <w:rPr>
          <w:sz w:val="20"/>
          <w:szCs w:val="20"/>
        </w:rPr>
      </w:pPr>
      <w:r>
        <w:rPr>
          <w:rFonts w:ascii="Times New Roman" w:hAnsi="Times New Roman" w:eastAsia="Times New Roman" w:cs="Times New Roman"/>
          <w:spacing w:val="5"/>
          <w:sz w:val="20"/>
          <w:szCs w:val="20"/>
        </w:rPr>
        <w:t xml:space="preserve">h)  </w:t>
      </w:r>
      <w:r>
        <w:rPr>
          <w:spacing w:val="5"/>
          <w:sz w:val="20"/>
          <w:szCs w:val="20"/>
        </w:rPr>
        <w:t>在可能涉及法律责任认定的应用中</w:t>
      </w:r>
      <w:r>
        <w:rPr>
          <w:spacing w:val="4"/>
          <w:sz w:val="20"/>
          <w:szCs w:val="20"/>
        </w:rPr>
        <w:t>，宜采用密码技术提供数据原发证据和数据接收</w:t>
      </w:r>
      <w:r>
        <w:rPr>
          <w:sz w:val="20"/>
          <w:szCs w:val="20"/>
        </w:rPr>
        <w:t xml:space="preserve"> </w:t>
      </w:r>
      <w:r>
        <w:rPr>
          <w:spacing w:val="-2"/>
          <w:sz w:val="20"/>
          <w:szCs w:val="20"/>
        </w:rPr>
        <w:t>证据，实现数据原发行为的不可否认性和数据接收行为的不可否认性；</w:t>
      </w:r>
    </w:p>
    <w:p w14:paraId="00CF2C65">
      <w:pPr>
        <w:pStyle w:val="2"/>
        <w:spacing w:before="50" w:line="267" w:lineRule="auto"/>
        <w:ind w:left="549" w:right="421" w:hanging="320"/>
        <w:rPr>
          <w:sz w:val="20"/>
          <w:szCs w:val="20"/>
        </w:rPr>
      </w:pPr>
      <w:r>
        <w:rPr>
          <w:rFonts w:ascii="Times New Roman" w:hAnsi="Times New Roman" w:eastAsia="Times New Roman" w:cs="Times New Roman"/>
          <w:spacing w:val="4"/>
          <w:sz w:val="20"/>
          <w:szCs w:val="20"/>
        </w:rPr>
        <w:t xml:space="preserve">i)   </w:t>
      </w:r>
      <w:r>
        <w:rPr>
          <w:spacing w:val="4"/>
          <w:sz w:val="20"/>
          <w:szCs w:val="20"/>
        </w:rPr>
        <w:t>以上如采用密码服务，该密码服务应符合法律法规的相关要求，</w:t>
      </w:r>
      <w:r>
        <w:rPr>
          <w:spacing w:val="3"/>
          <w:sz w:val="20"/>
          <w:szCs w:val="20"/>
        </w:rPr>
        <w:t>需依法接受检测认</w:t>
      </w:r>
      <w:r>
        <w:rPr>
          <w:sz w:val="20"/>
          <w:szCs w:val="20"/>
        </w:rPr>
        <w:t xml:space="preserve"> </w:t>
      </w:r>
      <w:r>
        <w:rPr>
          <w:spacing w:val="-3"/>
          <w:sz w:val="20"/>
          <w:szCs w:val="20"/>
        </w:rPr>
        <w:t>证的，应经商用密码认证机构认证合格；</w:t>
      </w:r>
    </w:p>
    <w:p w14:paraId="476D08AC">
      <w:pPr>
        <w:pStyle w:val="2"/>
        <w:spacing w:before="81" w:line="212" w:lineRule="auto"/>
        <w:ind w:left="229"/>
        <w:rPr>
          <w:sz w:val="20"/>
          <w:szCs w:val="20"/>
        </w:rPr>
      </w:pPr>
      <w:r>
        <w:rPr>
          <w:rFonts w:ascii="Times New Roman" w:hAnsi="Times New Roman" w:eastAsia="Times New Roman" w:cs="Times New Roman"/>
          <w:spacing w:val="1"/>
          <w:sz w:val="20"/>
          <w:szCs w:val="20"/>
        </w:rPr>
        <w:t>j)</w:t>
      </w:r>
      <w:r>
        <w:rPr>
          <w:rFonts w:ascii="Times New Roman" w:hAnsi="Times New Roman" w:eastAsia="Times New Roman" w:cs="Times New Roman"/>
          <w:spacing w:val="29"/>
          <w:sz w:val="20"/>
          <w:szCs w:val="20"/>
        </w:rPr>
        <w:t xml:space="preserve">  </w:t>
      </w:r>
      <w:r>
        <w:rPr>
          <w:spacing w:val="1"/>
          <w:sz w:val="20"/>
          <w:szCs w:val="20"/>
        </w:rPr>
        <w:t>以上采用的密码产品应达到</w:t>
      </w:r>
      <w:r>
        <w:rPr>
          <w:rFonts w:ascii="Times New Roman" w:hAnsi="Times New Roman" w:eastAsia="Times New Roman" w:cs="Times New Roman"/>
          <w:sz w:val="20"/>
          <w:szCs w:val="20"/>
        </w:rPr>
        <w:t>GB</w:t>
      </w:r>
      <w:r>
        <w:rPr>
          <w:rFonts w:ascii="Times New Roman" w:hAnsi="Times New Roman" w:eastAsia="Times New Roman" w:cs="Times New Roman"/>
          <w:spacing w:val="1"/>
          <w:sz w:val="20"/>
          <w:szCs w:val="20"/>
        </w:rPr>
        <w:t>/T  37092</w:t>
      </w:r>
      <w:r>
        <w:rPr>
          <w:spacing w:val="1"/>
          <w:sz w:val="20"/>
          <w:szCs w:val="20"/>
        </w:rPr>
        <w:t>二级及以上安全要求。</w:t>
      </w:r>
    </w:p>
    <w:p w14:paraId="6ED7B2F7">
      <w:pPr>
        <w:pStyle w:val="2"/>
        <w:spacing w:before="73" w:line="219" w:lineRule="auto"/>
        <w:rPr>
          <w:sz w:val="20"/>
          <w:szCs w:val="20"/>
        </w:rPr>
      </w:pPr>
      <w:r>
        <w:rPr>
          <w:spacing w:val="1"/>
          <w:sz w:val="20"/>
          <w:szCs w:val="20"/>
        </w:rPr>
        <w:t>●管理制度。具体要求如下：</w:t>
      </w:r>
    </w:p>
    <w:p w14:paraId="43D33890">
      <w:pPr>
        <w:pStyle w:val="2"/>
        <w:spacing w:before="71" w:line="262" w:lineRule="auto"/>
        <w:ind w:left="549" w:right="402" w:hanging="320"/>
        <w:rPr>
          <w:sz w:val="20"/>
          <w:szCs w:val="20"/>
        </w:rPr>
      </w:pPr>
      <w:r>
        <w:rPr>
          <w:rFonts w:ascii="Times New Roman" w:hAnsi="Times New Roman" w:eastAsia="Times New Roman" w:cs="Times New Roman"/>
          <w:spacing w:val="4"/>
          <w:sz w:val="20"/>
          <w:szCs w:val="20"/>
        </w:rPr>
        <w:t>a)</w:t>
      </w:r>
      <w:r>
        <w:rPr>
          <w:rFonts w:ascii="Times New Roman" w:hAnsi="Times New Roman" w:eastAsia="Times New Roman" w:cs="Times New Roman"/>
          <w:spacing w:val="20"/>
          <w:sz w:val="20"/>
          <w:szCs w:val="20"/>
        </w:rPr>
        <w:t xml:space="preserve">  </w:t>
      </w:r>
      <w:r>
        <w:rPr>
          <w:spacing w:val="4"/>
          <w:sz w:val="20"/>
          <w:szCs w:val="20"/>
        </w:rPr>
        <w:t>应具备密码应用安全管理制度，包括密码人员管理、密钥管理、建设运行、应急处</w:t>
      </w:r>
      <w:r>
        <w:rPr>
          <w:sz w:val="20"/>
          <w:szCs w:val="20"/>
        </w:rPr>
        <w:t xml:space="preserve"> </w:t>
      </w:r>
      <w:r>
        <w:rPr>
          <w:spacing w:val="-4"/>
          <w:sz w:val="20"/>
          <w:szCs w:val="20"/>
        </w:rPr>
        <w:t>置、密码软硬件及介质管理制度；</w:t>
      </w:r>
    </w:p>
    <w:p w14:paraId="709B11AD">
      <w:pPr>
        <w:pStyle w:val="2"/>
        <w:spacing w:before="62" w:line="212" w:lineRule="auto"/>
        <w:ind w:left="229"/>
        <w:rPr>
          <w:sz w:val="20"/>
          <w:szCs w:val="20"/>
        </w:rPr>
      </w:pPr>
      <w:r>
        <w:rPr>
          <w:rFonts w:ascii="Times New Roman" w:hAnsi="Times New Roman" w:eastAsia="Times New Roman" w:cs="Times New Roman"/>
          <w:spacing w:val="-2"/>
          <w:sz w:val="20"/>
          <w:szCs w:val="20"/>
        </w:rPr>
        <w:t xml:space="preserve">b)  </w:t>
      </w:r>
      <w:r>
        <w:rPr>
          <w:spacing w:val="-2"/>
          <w:sz w:val="20"/>
          <w:szCs w:val="20"/>
        </w:rPr>
        <w:t>应根据密码应用方案建立相应密钥管理规则；</w:t>
      </w:r>
    </w:p>
    <w:p w14:paraId="14BED6F0">
      <w:pPr>
        <w:pStyle w:val="2"/>
        <w:spacing w:before="80" w:line="212" w:lineRule="auto"/>
        <w:ind w:left="229"/>
        <w:rPr>
          <w:sz w:val="20"/>
          <w:szCs w:val="20"/>
        </w:rPr>
      </w:pPr>
      <w:r>
        <w:rPr>
          <w:rFonts w:ascii="Times New Roman" w:hAnsi="Times New Roman" w:eastAsia="Times New Roman" w:cs="Times New Roman"/>
          <w:spacing w:val="-1"/>
          <w:sz w:val="20"/>
          <w:szCs w:val="20"/>
        </w:rPr>
        <w:t xml:space="preserve">c)  </w:t>
      </w:r>
      <w:r>
        <w:rPr>
          <w:spacing w:val="-1"/>
          <w:sz w:val="20"/>
          <w:szCs w:val="20"/>
        </w:rPr>
        <w:t>应对管理人员或操作人员执行的日常管理操作建立操作规程；</w:t>
      </w:r>
    </w:p>
    <w:p w14:paraId="6D198B51">
      <w:pPr>
        <w:pStyle w:val="2"/>
        <w:spacing w:before="81" w:line="263" w:lineRule="auto"/>
        <w:ind w:left="549" w:right="402" w:hanging="320"/>
        <w:rPr>
          <w:sz w:val="20"/>
          <w:szCs w:val="20"/>
        </w:rPr>
      </w:pPr>
      <w:r>
        <w:rPr>
          <w:rFonts w:ascii="Times New Roman" w:hAnsi="Times New Roman" w:eastAsia="Times New Roman" w:cs="Times New Roman"/>
          <w:spacing w:val="5"/>
          <w:sz w:val="20"/>
          <w:szCs w:val="20"/>
        </w:rPr>
        <w:t xml:space="preserve">d)  </w:t>
      </w:r>
      <w:r>
        <w:rPr>
          <w:spacing w:val="5"/>
          <w:sz w:val="20"/>
          <w:szCs w:val="20"/>
        </w:rPr>
        <w:t>应定期对密码应用安全管理制度和操</w:t>
      </w:r>
      <w:r>
        <w:rPr>
          <w:spacing w:val="4"/>
          <w:sz w:val="20"/>
          <w:szCs w:val="20"/>
        </w:rPr>
        <w:t>作规程的合理性和适用性进行论证和审定，对</w:t>
      </w:r>
      <w:r>
        <w:rPr>
          <w:sz w:val="20"/>
          <w:szCs w:val="20"/>
        </w:rPr>
        <w:t xml:space="preserve"> </w:t>
      </w:r>
      <w:r>
        <w:rPr>
          <w:spacing w:val="-4"/>
          <w:sz w:val="20"/>
          <w:szCs w:val="20"/>
        </w:rPr>
        <w:t>存在不足或需要改进之处进行修订；</w:t>
      </w:r>
    </w:p>
    <w:p w14:paraId="708B2F6A">
      <w:pPr>
        <w:pStyle w:val="2"/>
        <w:spacing w:before="50" w:line="212" w:lineRule="auto"/>
        <w:ind w:left="229"/>
        <w:rPr>
          <w:sz w:val="20"/>
          <w:szCs w:val="20"/>
        </w:rPr>
      </w:pPr>
      <w:r>
        <w:rPr>
          <w:rFonts w:ascii="Times New Roman" w:hAnsi="Times New Roman" w:eastAsia="Times New Roman" w:cs="Times New Roman"/>
          <w:sz w:val="20"/>
          <w:szCs w:val="20"/>
        </w:rPr>
        <w:t xml:space="preserve">e)  </w:t>
      </w:r>
      <w:r>
        <w:rPr>
          <w:sz w:val="20"/>
          <w:szCs w:val="20"/>
        </w:rPr>
        <w:t>应明确相关密码应用安全管理制度和操</w:t>
      </w:r>
      <w:r>
        <w:rPr>
          <w:spacing w:val="-1"/>
          <w:sz w:val="20"/>
          <w:szCs w:val="20"/>
        </w:rPr>
        <w:t>作规程的发布流程并进行版本控制；</w:t>
      </w:r>
    </w:p>
    <w:p w14:paraId="7161B4D5">
      <w:pPr>
        <w:pStyle w:val="2"/>
        <w:spacing w:before="80" w:line="212" w:lineRule="auto"/>
        <w:ind w:left="229"/>
        <w:rPr>
          <w:sz w:val="20"/>
          <w:szCs w:val="20"/>
        </w:rPr>
      </w:pPr>
      <w:r>
        <w:rPr>
          <w:rFonts w:ascii="Times New Roman" w:hAnsi="Times New Roman" w:eastAsia="Times New Roman" w:cs="Times New Roman"/>
          <w:spacing w:val="-2"/>
          <w:sz w:val="20"/>
          <w:szCs w:val="20"/>
        </w:rPr>
        <w:t>f)</w:t>
      </w:r>
      <w:r>
        <w:rPr>
          <w:rFonts w:ascii="Times New Roman" w:hAnsi="Times New Roman" w:eastAsia="Times New Roman" w:cs="Times New Roman"/>
          <w:spacing w:val="16"/>
          <w:sz w:val="20"/>
          <w:szCs w:val="20"/>
        </w:rPr>
        <w:t xml:space="preserve">  </w:t>
      </w:r>
      <w:r>
        <w:rPr>
          <w:spacing w:val="-2"/>
          <w:sz w:val="20"/>
          <w:szCs w:val="20"/>
        </w:rPr>
        <w:t>应具有密码应用操作规程的相关执行记录并妥善保存。</w:t>
      </w:r>
    </w:p>
    <w:p w14:paraId="566D25BA">
      <w:pPr>
        <w:pStyle w:val="2"/>
        <w:spacing w:before="103" w:line="219" w:lineRule="auto"/>
        <w:rPr>
          <w:sz w:val="20"/>
          <w:szCs w:val="20"/>
        </w:rPr>
      </w:pPr>
      <w:r>
        <w:rPr>
          <w:spacing w:val="1"/>
          <w:sz w:val="20"/>
          <w:szCs w:val="20"/>
        </w:rPr>
        <w:t>●人员管理要求。具体如下：</w:t>
      </w:r>
    </w:p>
    <w:p w14:paraId="507DE84C">
      <w:pPr>
        <w:pStyle w:val="2"/>
        <w:spacing w:before="60" w:line="212" w:lineRule="auto"/>
        <w:ind w:left="229"/>
        <w:rPr>
          <w:sz w:val="20"/>
          <w:szCs w:val="20"/>
        </w:rPr>
      </w:pPr>
      <w:r>
        <w:rPr>
          <w:rFonts w:ascii="Times New Roman" w:hAnsi="Times New Roman" w:eastAsia="Times New Roman" w:cs="Times New Roman"/>
          <w:spacing w:val="-1"/>
          <w:sz w:val="20"/>
          <w:szCs w:val="20"/>
        </w:rPr>
        <w:t xml:space="preserve">a)  </w:t>
      </w:r>
      <w:r>
        <w:rPr>
          <w:spacing w:val="-1"/>
          <w:sz w:val="20"/>
          <w:szCs w:val="20"/>
        </w:rPr>
        <w:t>相关人员应了解并遵守密码相关法律法规、密码应用安</w:t>
      </w:r>
      <w:r>
        <w:rPr>
          <w:spacing w:val="-2"/>
          <w:sz w:val="20"/>
          <w:szCs w:val="20"/>
        </w:rPr>
        <w:t>全管理制度；</w:t>
      </w:r>
    </w:p>
    <w:p w14:paraId="55ACC021">
      <w:pPr>
        <w:pStyle w:val="2"/>
        <w:spacing w:before="70" w:line="212" w:lineRule="auto"/>
        <w:ind w:left="229"/>
        <w:rPr>
          <w:sz w:val="20"/>
          <w:szCs w:val="20"/>
        </w:rPr>
      </w:pPr>
      <w:r>
        <w:rPr>
          <w:rFonts w:ascii="Times New Roman" w:hAnsi="Times New Roman" w:eastAsia="Times New Roman" w:cs="Times New Roman"/>
          <w:spacing w:val="-1"/>
          <w:sz w:val="20"/>
          <w:szCs w:val="20"/>
        </w:rPr>
        <w:t xml:space="preserve">b)  </w:t>
      </w:r>
      <w:r>
        <w:rPr>
          <w:spacing w:val="-1"/>
          <w:sz w:val="20"/>
          <w:szCs w:val="20"/>
        </w:rPr>
        <w:t>应建立密码应用岗位责任制度，明确各岗位在安全系统中的职</w:t>
      </w:r>
      <w:r>
        <w:rPr>
          <w:spacing w:val="-2"/>
          <w:sz w:val="20"/>
          <w:szCs w:val="20"/>
        </w:rPr>
        <w:t>责和权限；</w:t>
      </w:r>
    </w:p>
    <w:p w14:paraId="58BAB011">
      <w:pPr>
        <w:pStyle w:val="2"/>
        <w:spacing w:before="100" w:line="277" w:lineRule="auto"/>
        <w:ind w:left="549" w:right="403" w:hanging="320"/>
        <w:rPr>
          <w:sz w:val="17"/>
          <w:szCs w:val="17"/>
        </w:rPr>
      </w:pPr>
      <w:r>
        <w:rPr>
          <w:rFonts w:ascii="Times New Roman" w:hAnsi="Times New Roman" w:eastAsia="Times New Roman" w:cs="Times New Roman"/>
          <w:spacing w:val="4"/>
          <w:sz w:val="20"/>
          <w:szCs w:val="20"/>
        </w:rPr>
        <w:t>c)</w:t>
      </w:r>
      <w:r>
        <w:rPr>
          <w:rFonts w:ascii="Times New Roman" w:hAnsi="Times New Roman" w:eastAsia="Times New Roman" w:cs="Times New Roman"/>
          <w:spacing w:val="20"/>
          <w:w w:val="101"/>
          <w:sz w:val="20"/>
          <w:szCs w:val="20"/>
        </w:rPr>
        <w:t xml:space="preserve">  </w:t>
      </w:r>
      <w:r>
        <w:rPr>
          <w:spacing w:val="4"/>
          <w:sz w:val="20"/>
          <w:szCs w:val="20"/>
        </w:rPr>
        <w:t>根据密码应用的实际情况，设置密钥管理员、密码安全审计员、密码操作员等</w:t>
      </w:r>
      <w:r>
        <w:rPr>
          <w:spacing w:val="3"/>
          <w:sz w:val="20"/>
          <w:szCs w:val="20"/>
        </w:rPr>
        <w:t>关键</w:t>
      </w:r>
      <w:r>
        <w:rPr>
          <w:sz w:val="20"/>
          <w:szCs w:val="20"/>
        </w:rPr>
        <w:t xml:space="preserve"> </w:t>
      </w:r>
      <w:r>
        <w:rPr>
          <w:spacing w:val="16"/>
          <w:sz w:val="17"/>
          <w:szCs w:val="17"/>
        </w:rPr>
        <w:t>安全岗位；</w:t>
      </w:r>
    </w:p>
    <w:p w14:paraId="738184C5">
      <w:pPr>
        <w:pStyle w:val="2"/>
        <w:spacing w:before="46" w:line="212" w:lineRule="auto"/>
        <w:ind w:left="229"/>
        <w:rPr>
          <w:sz w:val="20"/>
          <w:szCs w:val="20"/>
        </w:rPr>
      </w:pPr>
      <w:r>
        <w:rPr>
          <w:rFonts w:ascii="Times New Roman" w:hAnsi="Times New Roman" w:eastAsia="Times New Roman" w:cs="Times New Roman"/>
          <w:spacing w:val="-1"/>
          <w:sz w:val="20"/>
          <w:szCs w:val="20"/>
        </w:rPr>
        <w:t xml:space="preserve">d)  </w:t>
      </w:r>
      <w:r>
        <w:rPr>
          <w:spacing w:val="-1"/>
          <w:sz w:val="20"/>
          <w:szCs w:val="20"/>
        </w:rPr>
        <w:t>对关键岗位建立多人共管机制；</w:t>
      </w:r>
    </w:p>
    <w:p w14:paraId="4435D463">
      <w:pPr>
        <w:pStyle w:val="2"/>
        <w:spacing w:before="89" w:line="254" w:lineRule="auto"/>
        <w:ind w:left="549" w:right="381" w:hanging="320"/>
        <w:rPr>
          <w:sz w:val="20"/>
          <w:szCs w:val="20"/>
        </w:rPr>
      </w:pPr>
      <w:r>
        <w:rPr>
          <w:rFonts w:ascii="Times New Roman" w:hAnsi="Times New Roman" w:eastAsia="Times New Roman" w:cs="Times New Roman"/>
          <w:spacing w:val="5"/>
          <w:sz w:val="20"/>
          <w:szCs w:val="20"/>
        </w:rPr>
        <w:t>e)</w:t>
      </w:r>
      <w:r>
        <w:rPr>
          <w:rFonts w:ascii="Times New Roman" w:hAnsi="Times New Roman" w:eastAsia="Times New Roman" w:cs="Times New Roman"/>
          <w:spacing w:val="16"/>
          <w:w w:val="101"/>
          <w:sz w:val="20"/>
          <w:szCs w:val="20"/>
        </w:rPr>
        <w:t xml:space="preserve">  </w:t>
      </w:r>
      <w:r>
        <w:rPr>
          <w:spacing w:val="5"/>
          <w:sz w:val="20"/>
          <w:szCs w:val="20"/>
        </w:rPr>
        <w:t>密钥管理、密码安全审计、密码操作人员职责互相制约、互</w:t>
      </w:r>
      <w:r>
        <w:rPr>
          <w:spacing w:val="4"/>
          <w:sz w:val="20"/>
          <w:szCs w:val="20"/>
        </w:rPr>
        <w:t>相监管，其中密码安全</w:t>
      </w:r>
      <w:r>
        <w:rPr>
          <w:sz w:val="20"/>
          <w:szCs w:val="20"/>
        </w:rPr>
        <w:t xml:space="preserve"> </w:t>
      </w:r>
      <w:r>
        <w:rPr>
          <w:spacing w:val="-3"/>
          <w:sz w:val="20"/>
          <w:szCs w:val="20"/>
        </w:rPr>
        <w:t>审计员岗位不可与密钥管理员、密码操作员兼任；</w:t>
      </w:r>
    </w:p>
    <w:p w14:paraId="79012FB7">
      <w:pPr>
        <w:pStyle w:val="2"/>
        <w:spacing w:before="51" w:line="212" w:lineRule="auto"/>
        <w:ind w:left="229"/>
        <w:rPr>
          <w:sz w:val="20"/>
          <w:szCs w:val="20"/>
        </w:rPr>
      </w:pPr>
      <w:r>
        <w:rPr>
          <w:rFonts w:ascii="Times New Roman" w:hAnsi="Times New Roman" w:eastAsia="Times New Roman" w:cs="Times New Roman"/>
          <w:spacing w:val="-3"/>
          <w:sz w:val="20"/>
          <w:szCs w:val="20"/>
        </w:rPr>
        <w:t>f)</w:t>
      </w:r>
      <w:r>
        <w:rPr>
          <w:rFonts w:ascii="Times New Roman" w:hAnsi="Times New Roman" w:eastAsia="Times New Roman" w:cs="Times New Roman"/>
          <w:spacing w:val="17"/>
          <w:w w:val="101"/>
          <w:sz w:val="20"/>
          <w:szCs w:val="20"/>
        </w:rPr>
        <w:t xml:space="preserve">  </w:t>
      </w:r>
      <w:r>
        <w:rPr>
          <w:spacing w:val="-3"/>
          <w:sz w:val="20"/>
          <w:szCs w:val="20"/>
        </w:rPr>
        <w:t>相关设备与系统的管理和使用账号不得多人共用；</w:t>
      </w:r>
    </w:p>
    <w:p w14:paraId="7A7A77F3">
      <w:pPr>
        <w:pStyle w:val="2"/>
        <w:spacing w:before="60" w:line="273" w:lineRule="auto"/>
        <w:ind w:left="549" w:right="404" w:hanging="320"/>
        <w:rPr>
          <w:sz w:val="20"/>
          <w:szCs w:val="20"/>
        </w:rPr>
      </w:pPr>
      <w:r>
        <w:rPr>
          <w:rFonts w:ascii="Times New Roman" w:hAnsi="Times New Roman" w:eastAsia="Times New Roman" w:cs="Times New Roman"/>
          <w:spacing w:val="4"/>
          <w:sz w:val="20"/>
          <w:szCs w:val="20"/>
        </w:rPr>
        <w:t>g)</w:t>
      </w:r>
      <w:r>
        <w:rPr>
          <w:rFonts w:ascii="Times New Roman" w:hAnsi="Times New Roman" w:eastAsia="Times New Roman" w:cs="Times New Roman"/>
          <w:spacing w:val="15"/>
          <w:sz w:val="20"/>
          <w:szCs w:val="20"/>
        </w:rPr>
        <w:t xml:space="preserve">  </w:t>
      </w:r>
      <w:r>
        <w:rPr>
          <w:spacing w:val="4"/>
          <w:sz w:val="20"/>
          <w:szCs w:val="20"/>
        </w:rPr>
        <w:t>应建立上岗人员培训制度，对于涉及密码的操作和管理的人员进行专门培训</w:t>
      </w:r>
      <w:r>
        <w:rPr>
          <w:spacing w:val="3"/>
          <w:sz w:val="20"/>
          <w:szCs w:val="20"/>
        </w:rPr>
        <w:t>，确保</w:t>
      </w:r>
      <w:r>
        <w:rPr>
          <w:sz w:val="20"/>
          <w:szCs w:val="20"/>
        </w:rPr>
        <w:t xml:space="preserve"> </w:t>
      </w:r>
      <w:r>
        <w:rPr>
          <w:spacing w:val="-5"/>
          <w:sz w:val="20"/>
          <w:szCs w:val="20"/>
        </w:rPr>
        <w:t>其具备岗位所需专业技能；</w:t>
      </w:r>
    </w:p>
    <w:p w14:paraId="1048816D">
      <w:pPr>
        <w:pStyle w:val="2"/>
        <w:spacing w:before="48" w:line="212" w:lineRule="auto"/>
        <w:ind w:left="229"/>
        <w:rPr>
          <w:sz w:val="20"/>
          <w:szCs w:val="20"/>
        </w:rPr>
      </w:pPr>
      <w:r>
        <w:rPr>
          <w:rFonts w:ascii="Times New Roman" w:hAnsi="Times New Roman" w:eastAsia="Times New Roman" w:cs="Times New Roman"/>
          <w:spacing w:val="-1"/>
          <w:sz w:val="20"/>
          <w:szCs w:val="20"/>
        </w:rPr>
        <w:t xml:space="preserve">h)  </w:t>
      </w:r>
      <w:r>
        <w:rPr>
          <w:spacing w:val="-1"/>
          <w:sz w:val="20"/>
          <w:szCs w:val="20"/>
        </w:rPr>
        <w:t>应定期对密码应用安全岗位人员进行考核；</w:t>
      </w:r>
    </w:p>
    <w:p w14:paraId="43CE97F6">
      <w:pPr>
        <w:pStyle w:val="2"/>
        <w:spacing w:before="61" w:line="212" w:lineRule="auto"/>
        <w:ind w:left="229"/>
        <w:rPr>
          <w:sz w:val="20"/>
          <w:szCs w:val="20"/>
        </w:rPr>
      </w:pPr>
      <w:r>
        <w:rPr>
          <w:rFonts w:ascii="Times New Roman" w:hAnsi="Times New Roman" w:eastAsia="Times New Roman" w:cs="Times New Roman"/>
          <w:spacing w:val="-1"/>
          <w:sz w:val="20"/>
          <w:szCs w:val="20"/>
        </w:rPr>
        <w:t>i)</w:t>
      </w:r>
      <w:r>
        <w:rPr>
          <w:rFonts w:ascii="Times New Roman" w:hAnsi="Times New Roman" w:eastAsia="Times New Roman" w:cs="Times New Roman"/>
          <w:spacing w:val="17"/>
          <w:sz w:val="20"/>
          <w:szCs w:val="20"/>
        </w:rPr>
        <w:t xml:space="preserve">  </w:t>
      </w:r>
      <w:r>
        <w:rPr>
          <w:spacing w:val="-1"/>
          <w:sz w:val="20"/>
          <w:szCs w:val="20"/>
        </w:rPr>
        <w:t>应建立关键人员保密制度和调离制度，签订保密</w:t>
      </w:r>
      <w:r>
        <w:rPr>
          <w:spacing w:val="-2"/>
          <w:sz w:val="20"/>
          <w:szCs w:val="20"/>
        </w:rPr>
        <w:t>合同，承担保密义务。</w:t>
      </w:r>
    </w:p>
    <w:p w14:paraId="3FB6A140">
      <w:pPr>
        <w:spacing w:line="212" w:lineRule="auto"/>
        <w:rPr>
          <w:sz w:val="20"/>
          <w:szCs w:val="20"/>
        </w:rPr>
        <w:sectPr>
          <w:pgSz w:w="10290" w:h="13290"/>
          <w:pgMar w:top="397" w:right="468" w:bottom="400" w:left="1540" w:header="0" w:footer="0" w:gutter="0"/>
          <w:cols w:space="720" w:num="1"/>
        </w:sectPr>
      </w:pPr>
    </w:p>
    <w:p w14:paraId="230FC4DA">
      <w:pPr>
        <w:pStyle w:val="2"/>
        <w:spacing w:before="47" w:line="220" w:lineRule="auto"/>
        <w:rPr>
          <w:sz w:val="20"/>
          <w:szCs w:val="20"/>
        </w:rPr>
      </w:pPr>
      <w:r>
        <w:rPr>
          <w:rFonts w:ascii="Times New Roman" w:hAnsi="Times New Roman" w:eastAsia="Times New Roman" w:cs="Times New Roman"/>
          <w:spacing w:val="-2"/>
          <w:position w:val="-4"/>
          <w:sz w:val="23"/>
          <w:szCs w:val="23"/>
        </w:rPr>
        <w:t xml:space="preserve">552           </w:t>
      </w:r>
      <w:r>
        <w:rPr>
          <w:spacing w:val="-2"/>
          <w:sz w:val="20"/>
          <w:szCs w:val="20"/>
        </w:rPr>
        <w:t>信息系统监理师教程(第2版)</w:t>
      </w:r>
    </w:p>
    <w:p w14:paraId="7DACE05D">
      <w:pPr>
        <w:spacing w:line="275" w:lineRule="auto"/>
        <w:rPr>
          <w:rFonts w:ascii="Arial"/>
          <w:sz w:val="21"/>
        </w:rPr>
      </w:pPr>
    </w:p>
    <w:p w14:paraId="5306C4B9">
      <w:pPr>
        <w:pStyle w:val="2"/>
        <w:spacing w:before="65" w:line="220" w:lineRule="auto"/>
        <w:ind w:left="760"/>
        <w:rPr>
          <w:sz w:val="20"/>
          <w:szCs w:val="20"/>
        </w:rPr>
      </w:pPr>
      <w:r>
        <w:rPr>
          <w:spacing w:val="1"/>
          <w:sz w:val="20"/>
          <w:szCs w:val="20"/>
        </w:rPr>
        <w:t>●建设运行要求。具体如下：</w:t>
      </w:r>
    </w:p>
    <w:p w14:paraId="46DF8C81">
      <w:pPr>
        <w:pStyle w:val="2"/>
        <w:spacing w:before="88" w:line="212" w:lineRule="auto"/>
        <w:ind w:left="1049"/>
        <w:rPr>
          <w:sz w:val="20"/>
          <w:szCs w:val="20"/>
        </w:rPr>
      </w:pPr>
      <w:r>
        <w:rPr>
          <w:rFonts w:ascii="Times New Roman" w:hAnsi="Times New Roman" w:eastAsia="Times New Roman" w:cs="Times New Roman"/>
          <w:spacing w:val="-2"/>
          <w:sz w:val="20"/>
          <w:szCs w:val="20"/>
        </w:rPr>
        <w:t>a)</w:t>
      </w:r>
      <w:r>
        <w:rPr>
          <w:rFonts w:ascii="Times New Roman" w:hAnsi="Times New Roman" w:eastAsia="Times New Roman" w:cs="Times New Roman"/>
          <w:spacing w:val="16"/>
          <w:sz w:val="20"/>
          <w:szCs w:val="20"/>
        </w:rPr>
        <w:t xml:space="preserve">  </w:t>
      </w:r>
      <w:r>
        <w:rPr>
          <w:spacing w:val="-2"/>
          <w:sz w:val="20"/>
          <w:szCs w:val="20"/>
        </w:rPr>
        <w:t>应依据密码相关标准和密码应用需求，制定密码</w:t>
      </w:r>
      <w:r>
        <w:rPr>
          <w:spacing w:val="-3"/>
          <w:sz w:val="20"/>
          <w:szCs w:val="20"/>
        </w:rPr>
        <w:t>应用方案；</w:t>
      </w:r>
    </w:p>
    <w:p w14:paraId="399C67C5">
      <w:pPr>
        <w:pStyle w:val="2"/>
        <w:spacing w:before="80" w:line="212" w:lineRule="auto"/>
        <w:ind w:left="1049"/>
        <w:rPr>
          <w:sz w:val="20"/>
          <w:szCs w:val="20"/>
        </w:rPr>
      </w:pPr>
      <w:r>
        <w:rPr>
          <w:rFonts w:ascii="Times New Roman" w:hAnsi="Times New Roman" w:eastAsia="Times New Roman" w:cs="Times New Roman"/>
          <w:spacing w:val="-1"/>
          <w:sz w:val="20"/>
          <w:szCs w:val="20"/>
        </w:rPr>
        <w:t xml:space="preserve">b)  </w:t>
      </w:r>
      <w:r>
        <w:rPr>
          <w:spacing w:val="-1"/>
          <w:sz w:val="20"/>
          <w:szCs w:val="20"/>
        </w:rPr>
        <w:t>应根据密码应用方案，确定系统涉及的密钥种类、体系及其生存周</w:t>
      </w:r>
      <w:r>
        <w:rPr>
          <w:spacing w:val="-2"/>
          <w:sz w:val="20"/>
          <w:szCs w:val="20"/>
        </w:rPr>
        <w:t>期环节；</w:t>
      </w:r>
    </w:p>
    <w:p w14:paraId="3719D056">
      <w:pPr>
        <w:pStyle w:val="2"/>
        <w:spacing w:before="100" w:line="212" w:lineRule="auto"/>
        <w:ind w:left="1049"/>
        <w:rPr>
          <w:sz w:val="20"/>
          <w:szCs w:val="20"/>
        </w:rPr>
      </w:pPr>
      <w:r>
        <w:rPr>
          <w:rFonts w:ascii="Times New Roman" w:hAnsi="Times New Roman" w:eastAsia="Times New Roman" w:cs="Times New Roman"/>
          <w:spacing w:val="-1"/>
          <w:sz w:val="20"/>
          <w:szCs w:val="20"/>
        </w:rPr>
        <w:t xml:space="preserve">c)  </w:t>
      </w:r>
      <w:r>
        <w:rPr>
          <w:spacing w:val="-1"/>
          <w:sz w:val="20"/>
          <w:szCs w:val="20"/>
        </w:rPr>
        <w:t>应按照应用方案实施建设；</w:t>
      </w:r>
    </w:p>
    <w:p w14:paraId="68468595">
      <w:pPr>
        <w:pStyle w:val="2"/>
        <w:spacing w:before="70" w:line="212" w:lineRule="auto"/>
        <w:ind w:left="1049"/>
        <w:rPr>
          <w:sz w:val="20"/>
          <w:szCs w:val="20"/>
        </w:rPr>
      </w:pPr>
      <w:r>
        <w:rPr>
          <w:rFonts w:ascii="Times New Roman" w:hAnsi="Times New Roman" w:eastAsia="Times New Roman" w:cs="Times New Roman"/>
          <w:spacing w:val="-1"/>
          <w:sz w:val="20"/>
          <w:szCs w:val="20"/>
        </w:rPr>
        <w:t xml:space="preserve">d)  </w:t>
      </w:r>
      <w:r>
        <w:rPr>
          <w:spacing w:val="-1"/>
          <w:sz w:val="20"/>
          <w:szCs w:val="20"/>
        </w:rPr>
        <w:t>投入运行前应进行密码应用安全性评估，评估通过后系统</w:t>
      </w:r>
      <w:r>
        <w:rPr>
          <w:spacing w:val="-2"/>
          <w:sz w:val="20"/>
          <w:szCs w:val="20"/>
        </w:rPr>
        <w:t>方可正式运行；</w:t>
      </w:r>
    </w:p>
    <w:p w14:paraId="0744F744">
      <w:pPr>
        <w:pStyle w:val="2"/>
        <w:spacing w:before="80" w:line="271" w:lineRule="auto"/>
        <w:ind w:left="1349" w:right="25" w:hanging="300"/>
        <w:rPr>
          <w:sz w:val="20"/>
          <w:szCs w:val="20"/>
        </w:rPr>
      </w:pPr>
      <w:r>
        <w:rPr>
          <w:rFonts w:ascii="Times New Roman" w:hAnsi="Times New Roman" w:eastAsia="Times New Roman" w:cs="Times New Roman"/>
          <w:spacing w:val="4"/>
          <w:sz w:val="20"/>
          <w:szCs w:val="20"/>
        </w:rPr>
        <w:t>e)</w:t>
      </w:r>
      <w:r>
        <w:rPr>
          <w:rFonts w:ascii="Times New Roman" w:hAnsi="Times New Roman" w:eastAsia="Times New Roman" w:cs="Times New Roman"/>
          <w:spacing w:val="16"/>
          <w:sz w:val="20"/>
          <w:szCs w:val="20"/>
        </w:rPr>
        <w:t xml:space="preserve">  </w:t>
      </w:r>
      <w:r>
        <w:rPr>
          <w:spacing w:val="4"/>
          <w:sz w:val="20"/>
          <w:szCs w:val="20"/>
        </w:rPr>
        <w:t>在运行过程中，应严格执行既定的密码应用安全管理制度，应</w:t>
      </w:r>
      <w:r>
        <w:rPr>
          <w:spacing w:val="3"/>
          <w:sz w:val="20"/>
          <w:szCs w:val="20"/>
        </w:rPr>
        <w:t>定期开展密码应用安</w:t>
      </w:r>
      <w:r>
        <w:rPr>
          <w:sz w:val="20"/>
          <w:szCs w:val="20"/>
        </w:rPr>
        <w:t xml:space="preserve"> </w:t>
      </w:r>
      <w:r>
        <w:rPr>
          <w:spacing w:val="-2"/>
          <w:sz w:val="20"/>
          <w:szCs w:val="20"/>
        </w:rPr>
        <w:t>全性评估及攻防对抗演习，并根据评估结果进行整改。</w:t>
      </w:r>
    </w:p>
    <w:p w14:paraId="0E6E0333">
      <w:pPr>
        <w:pStyle w:val="2"/>
        <w:spacing w:before="76" w:line="220" w:lineRule="auto"/>
        <w:ind w:left="760"/>
        <w:rPr>
          <w:sz w:val="20"/>
          <w:szCs w:val="20"/>
        </w:rPr>
      </w:pPr>
      <w:r>
        <w:rPr>
          <w:spacing w:val="1"/>
          <w:sz w:val="20"/>
          <w:szCs w:val="20"/>
        </w:rPr>
        <w:t>●应急处置要求。具体如下：</w:t>
      </w:r>
    </w:p>
    <w:p w14:paraId="57559A5F">
      <w:pPr>
        <w:pStyle w:val="2"/>
        <w:spacing w:before="58" w:line="273" w:lineRule="auto"/>
        <w:ind w:left="1349" w:right="29" w:hanging="300"/>
        <w:rPr>
          <w:sz w:val="20"/>
          <w:szCs w:val="20"/>
        </w:rPr>
      </w:pPr>
      <w:r>
        <w:rPr>
          <w:rFonts w:ascii="Times New Roman" w:hAnsi="Times New Roman" w:eastAsia="Times New Roman" w:cs="Times New Roman"/>
          <w:spacing w:val="4"/>
          <w:sz w:val="20"/>
          <w:szCs w:val="20"/>
        </w:rPr>
        <w:t>a)</w:t>
      </w:r>
      <w:r>
        <w:rPr>
          <w:rFonts w:ascii="Times New Roman" w:hAnsi="Times New Roman" w:eastAsia="Times New Roman" w:cs="Times New Roman"/>
          <w:spacing w:val="16"/>
          <w:sz w:val="20"/>
          <w:szCs w:val="20"/>
        </w:rPr>
        <w:t xml:space="preserve">  </w:t>
      </w:r>
      <w:r>
        <w:rPr>
          <w:spacing w:val="4"/>
          <w:sz w:val="20"/>
          <w:szCs w:val="20"/>
        </w:rPr>
        <w:t>应制定密码应用应急策略，做好应急资源准备，当密</w:t>
      </w:r>
      <w:r>
        <w:rPr>
          <w:spacing w:val="3"/>
          <w:sz w:val="20"/>
          <w:szCs w:val="20"/>
        </w:rPr>
        <w:t>码应用安全事件发生时，应立</w:t>
      </w:r>
      <w:r>
        <w:rPr>
          <w:sz w:val="20"/>
          <w:szCs w:val="20"/>
        </w:rPr>
        <w:t xml:space="preserve"> </w:t>
      </w:r>
      <w:r>
        <w:rPr>
          <w:spacing w:val="-4"/>
          <w:sz w:val="20"/>
          <w:szCs w:val="20"/>
        </w:rPr>
        <w:t>即启动应急处置措施，结合实际情况及时处置；</w:t>
      </w:r>
    </w:p>
    <w:p w14:paraId="582E6698">
      <w:pPr>
        <w:pStyle w:val="2"/>
        <w:spacing w:before="59" w:line="212" w:lineRule="auto"/>
        <w:ind w:left="1049"/>
        <w:rPr>
          <w:sz w:val="20"/>
          <w:szCs w:val="20"/>
        </w:rPr>
      </w:pPr>
      <w:r>
        <w:rPr>
          <w:rFonts w:ascii="Times New Roman" w:hAnsi="Times New Roman" w:eastAsia="Times New Roman" w:cs="Times New Roman"/>
          <w:sz w:val="20"/>
          <w:szCs w:val="20"/>
        </w:rPr>
        <w:t xml:space="preserve">b)  </w:t>
      </w:r>
      <w:r>
        <w:rPr>
          <w:sz w:val="20"/>
          <w:szCs w:val="20"/>
        </w:rPr>
        <w:t>事件发生后，应及时向信息系统主管</w:t>
      </w:r>
      <w:r>
        <w:rPr>
          <w:spacing w:val="-1"/>
          <w:sz w:val="20"/>
          <w:szCs w:val="20"/>
        </w:rPr>
        <w:t>部门进行报告；</w:t>
      </w:r>
    </w:p>
    <w:p w14:paraId="608BE4C8">
      <w:pPr>
        <w:pStyle w:val="2"/>
        <w:spacing w:before="92" w:line="263" w:lineRule="auto"/>
        <w:ind w:left="1349" w:right="27" w:hanging="300"/>
        <w:rPr>
          <w:sz w:val="20"/>
          <w:szCs w:val="20"/>
        </w:rPr>
      </w:pPr>
      <w:r>
        <w:rPr>
          <w:spacing w:val="4"/>
          <w:sz w:val="20"/>
          <w:szCs w:val="20"/>
        </w:rPr>
        <w:t>c)</w:t>
      </w:r>
      <w:r>
        <w:rPr>
          <w:spacing w:val="-18"/>
          <w:sz w:val="20"/>
          <w:szCs w:val="20"/>
        </w:rPr>
        <w:t xml:space="preserve"> </w:t>
      </w:r>
      <w:r>
        <w:rPr>
          <w:spacing w:val="4"/>
          <w:sz w:val="20"/>
          <w:szCs w:val="20"/>
        </w:rPr>
        <w:t>事件处置完成后，应及时向信息系统主管部门及归属的密码管理部门</w:t>
      </w:r>
      <w:r>
        <w:rPr>
          <w:spacing w:val="3"/>
          <w:sz w:val="20"/>
          <w:szCs w:val="20"/>
        </w:rPr>
        <w:t>报告事件发生</w:t>
      </w:r>
      <w:r>
        <w:rPr>
          <w:sz w:val="20"/>
          <w:szCs w:val="20"/>
        </w:rPr>
        <w:t xml:space="preserve"> </w:t>
      </w:r>
      <w:r>
        <w:rPr>
          <w:spacing w:val="-5"/>
          <w:sz w:val="20"/>
          <w:szCs w:val="20"/>
        </w:rPr>
        <w:t>情况及处置情况。</w:t>
      </w:r>
    </w:p>
    <w:p w14:paraId="4BF7C7CF">
      <w:pPr>
        <w:pStyle w:val="2"/>
        <w:spacing w:before="61" w:line="290" w:lineRule="auto"/>
        <w:ind w:left="369" w:right="49" w:firstLine="390"/>
        <w:rPr>
          <w:sz w:val="20"/>
          <w:szCs w:val="20"/>
        </w:rPr>
      </w:pPr>
      <w:r>
        <w:rPr>
          <w:spacing w:val="8"/>
          <w:sz w:val="20"/>
          <w:szCs w:val="20"/>
        </w:rPr>
        <w:t>第三级以上(含第三级，下同)信息系统的商用密</w:t>
      </w:r>
      <w:r>
        <w:rPr>
          <w:spacing w:val="7"/>
          <w:sz w:val="20"/>
          <w:szCs w:val="20"/>
        </w:rPr>
        <w:t>码应用系统建设方案应当通过密码管理</w:t>
      </w:r>
      <w:r>
        <w:rPr>
          <w:sz w:val="20"/>
          <w:szCs w:val="20"/>
        </w:rPr>
        <w:t xml:space="preserve"> </w:t>
      </w:r>
      <w:r>
        <w:rPr>
          <w:spacing w:val="-2"/>
          <w:sz w:val="20"/>
          <w:szCs w:val="20"/>
        </w:rPr>
        <w:t>部门组织的评审后方可实施。监理机构应协助业主单位完成方案报审工作。</w:t>
      </w:r>
    </w:p>
    <w:p w14:paraId="48F2645B">
      <w:pPr>
        <w:pStyle w:val="2"/>
        <w:spacing w:before="87" w:line="221" w:lineRule="auto"/>
        <w:ind w:left="762"/>
        <w:rPr>
          <w:rFonts w:ascii="黑体" w:hAnsi="黑体" w:eastAsia="黑体" w:cs="黑体"/>
          <w:sz w:val="20"/>
          <w:szCs w:val="20"/>
        </w:rPr>
      </w:pPr>
      <w:r>
        <w:rPr>
          <w:b/>
          <w:bCs/>
          <w:color w:val="0089D9"/>
          <w:spacing w:val="-3"/>
          <w:sz w:val="20"/>
          <w:szCs w:val="20"/>
        </w:rPr>
        <w:t>5.</w:t>
      </w:r>
      <w:r>
        <w:rPr>
          <w:rFonts w:ascii="黑体" w:hAnsi="黑体" w:eastAsia="黑体" w:cs="黑体"/>
          <w:b/>
          <w:bCs/>
          <w:color w:val="0089D9"/>
          <w:spacing w:val="-3"/>
          <w:sz w:val="20"/>
          <w:szCs w:val="20"/>
        </w:rPr>
        <w:t>关键信息基础设施安全防护方案的审核</w:t>
      </w:r>
    </w:p>
    <w:p w14:paraId="46EE118E">
      <w:pPr>
        <w:spacing w:before="241" w:line="232" w:lineRule="auto"/>
        <w:ind w:left="760"/>
        <w:rPr>
          <w:rFonts w:ascii="楷体" w:hAnsi="楷体" w:eastAsia="楷体" w:cs="楷体"/>
          <w:sz w:val="20"/>
          <w:szCs w:val="20"/>
        </w:rPr>
      </w:pPr>
      <w:r>
        <w:rPr>
          <w:rFonts w:ascii="楷体" w:hAnsi="楷体" w:eastAsia="楷体" w:cs="楷体"/>
          <w:spacing w:val="6"/>
          <w:sz w:val="20"/>
          <w:szCs w:val="20"/>
        </w:rPr>
        <w:t>1)关键信息基础设施识别</w:t>
      </w:r>
    </w:p>
    <w:p w14:paraId="3799F668">
      <w:pPr>
        <w:pStyle w:val="2"/>
        <w:spacing w:before="42" w:line="292" w:lineRule="auto"/>
        <w:ind w:left="369" w:right="42" w:firstLine="390"/>
        <w:rPr>
          <w:sz w:val="20"/>
          <w:szCs w:val="20"/>
        </w:rPr>
      </w:pPr>
      <w:r>
        <w:rPr>
          <w:spacing w:val="3"/>
          <w:sz w:val="20"/>
          <w:szCs w:val="20"/>
        </w:rPr>
        <w:t>协助业主单位分析识别关键信息基础设施承载的关键业务</w:t>
      </w:r>
      <w:r>
        <w:rPr>
          <w:spacing w:val="2"/>
          <w:sz w:val="20"/>
          <w:szCs w:val="20"/>
        </w:rPr>
        <w:t>，开展业务依赖性识别、关键资</w:t>
      </w:r>
      <w:r>
        <w:rPr>
          <w:sz w:val="20"/>
          <w:szCs w:val="20"/>
        </w:rPr>
        <w:t xml:space="preserve"> </w:t>
      </w:r>
      <w:r>
        <w:rPr>
          <w:spacing w:val="-3"/>
          <w:sz w:val="20"/>
          <w:szCs w:val="20"/>
        </w:rPr>
        <w:t>产识别、风险识别等活动。</w:t>
      </w:r>
    </w:p>
    <w:p w14:paraId="2BB76220">
      <w:pPr>
        <w:spacing w:before="89" w:line="228" w:lineRule="auto"/>
        <w:ind w:left="760"/>
        <w:rPr>
          <w:rFonts w:ascii="楷体" w:hAnsi="楷体" w:eastAsia="楷体" w:cs="楷体"/>
          <w:sz w:val="20"/>
          <w:szCs w:val="20"/>
        </w:rPr>
      </w:pPr>
      <w:r>
        <w:rPr>
          <w:rFonts w:ascii="楷体" w:hAnsi="楷体" w:eastAsia="楷体" w:cs="楷体"/>
          <w:spacing w:val="4"/>
          <w:sz w:val="20"/>
          <w:szCs w:val="20"/>
        </w:rPr>
        <w:t>2)落实关键信息基础设施安全防护要求</w:t>
      </w:r>
    </w:p>
    <w:p w14:paraId="5FA32386">
      <w:pPr>
        <w:pStyle w:val="2"/>
        <w:spacing w:before="74" w:line="293" w:lineRule="auto"/>
        <w:ind w:left="369" w:right="26" w:firstLine="390"/>
        <w:rPr>
          <w:sz w:val="16"/>
          <w:szCs w:val="16"/>
        </w:rPr>
      </w:pPr>
      <w:r>
        <w:rPr>
          <w:spacing w:val="3"/>
          <w:sz w:val="20"/>
          <w:szCs w:val="20"/>
        </w:rPr>
        <w:t>协助业主单位落实关键信息基础设施安全防护要求：根据已识别的关键业务、资产、安全</w:t>
      </w:r>
      <w:r>
        <w:rPr>
          <w:spacing w:val="1"/>
          <w:sz w:val="20"/>
          <w:szCs w:val="20"/>
        </w:rPr>
        <w:t xml:space="preserve"> </w:t>
      </w:r>
      <w:r>
        <w:rPr>
          <w:spacing w:val="3"/>
          <w:sz w:val="20"/>
          <w:szCs w:val="20"/>
        </w:rPr>
        <w:t>风险，在安全管理制度、安全管理机构、安全管理人员、安</w:t>
      </w:r>
      <w:r>
        <w:rPr>
          <w:spacing w:val="2"/>
          <w:sz w:val="20"/>
          <w:szCs w:val="20"/>
        </w:rPr>
        <w:t>全通信网络、安全计算环境、安全</w:t>
      </w:r>
      <w:r>
        <w:rPr>
          <w:sz w:val="20"/>
          <w:szCs w:val="20"/>
        </w:rPr>
        <w:t xml:space="preserve"> </w:t>
      </w:r>
      <w:r>
        <w:rPr>
          <w:spacing w:val="3"/>
          <w:sz w:val="20"/>
          <w:szCs w:val="20"/>
        </w:rPr>
        <w:t>建设管理、安全运维管理等方面实施安全管理和技术保护措施</w:t>
      </w:r>
      <w:r>
        <w:rPr>
          <w:spacing w:val="2"/>
          <w:sz w:val="20"/>
          <w:szCs w:val="20"/>
        </w:rPr>
        <w:t>，确保关键信息基础设施的运行</w:t>
      </w:r>
      <w:r>
        <w:rPr>
          <w:sz w:val="20"/>
          <w:szCs w:val="20"/>
        </w:rPr>
        <w:t xml:space="preserve"> </w:t>
      </w:r>
      <w:r>
        <w:rPr>
          <w:spacing w:val="-6"/>
          <w:sz w:val="16"/>
          <w:szCs w:val="16"/>
        </w:rPr>
        <w:t>安</w:t>
      </w:r>
      <w:r>
        <w:rPr>
          <w:spacing w:val="-17"/>
          <w:sz w:val="16"/>
          <w:szCs w:val="16"/>
        </w:rPr>
        <w:t xml:space="preserve"> </w:t>
      </w:r>
      <w:r>
        <w:rPr>
          <w:spacing w:val="-6"/>
          <w:sz w:val="16"/>
          <w:szCs w:val="16"/>
        </w:rPr>
        <w:t>全</w:t>
      </w:r>
      <w:r>
        <w:rPr>
          <w:spacing w:val="-23"/>
          <w:sz w:val="16"/>
          <w:szCs w:val="16"/>
        </w:rPr>
        <w:t xml:space="preserve"> </w:t>
      </w:r>
      <w:r>
        <w:rPr>
          <w:spacing w:val="-6"/>
          <w:sz w:val="16"/>
          <w:szCs w:val="16"/>
        </w:rPr>
        <w:t>。</w:t>
      </w:r>
    </w:p>
    <w:p w14:paraId="07ABEAF9">
      <w:pPr>
        <w:spacing w:before="117" w:line="223" w:lineRule="auto"/>
        <w:ind w:left="760"/>
        <w:rPr>
          <w:rFonts w:ascii="楷体" w:hAnsi="楷体" w:eastAsia="楷体" w:cs="楷体"/>
          <w:sz w:val="20"/>
          <w:szCs w:val="20"/>
        </w:rPr>
      </w:pPr>
      <w:r>
        <w:rPr>
          <w:rFonts w:ascii="楷体" w:hAnsi="楷体" w:eastAsia="楷体" w:cs="楷体"/>
          <w:spacing w:val="6"/>
          <w:sz w:val="20"/>
          <w:szCs w:val="20"/>
        </w:rPr>
        <w:t>3)关键信息基础设施检测评估</w:t>
      </w:r>
    </w:p>
    <w:p w14:paraId="54E2A0E7">
      <w:pPr>
        <w:pStyle w:val="2"/>
        <w:spacing w:before="62" w:line="278" w:lineRule="auto"/>
        <w:ind w:left="369" w:right="27" w:firstLine="390"/>
        <w:rPr>
          <w:sz w:val="20"/>
          <w:szCs w:val="20"/>
        </w:rPr>
      </w:pPr>
      <w:r>
        <w:rPr>
          <w:spacing w:val="3"/>
          <w:sz w:val="20"/>
          <w:szCs w:val="20"/>
        </w:rPr>
        <w:t>配合检测单位开展检测评估工作。业主单位应建立相应的检</w:t>
      </w:r>
      <w:r>
        <w:rPr>
          <w:spacing w:val="2"/>
          <w:sz w:val="20"/>
          <w:szCs w:val="20"/>
        </w:rPr>
        <w:t>测评估制度，确定检测评估的</w:t>
      </w:r>
      <w:r>
        <w:rPr>
          <w:sz w:val="20"/>
          <w:szCs w:val="20"/>
        </w:rPr>
        <w:t xml:space="preserve"> </w:t>
      </w:r>
      <w:r>
        <w:rPr>
          <w:spacing w:val="3"/>
          <w:sz w:val="20"/>
          <w:szCs w:val="20"/>
        </w:rPr>
        <w:t>流程及内容等，开展安全检测及风险隐患评估，分析潜在安</w:t>
      </w:r>
      <w:r>
        <w:rPr>
          <w:spacing w:val="2"/>
          <w:sz w:val="20"/>
          <w:szCs w:val="20"/>
        </w:rPr>
        <w:t>全风险可能引发的安全事件，为监</w:t>
      </w:r>
      <w:r>
        <w:rPr>
          <w:sz w:val="20"/>
          <w:szCs w:val="20"/>
        </w:rPr>
        <w:t xml:space="preserve"> </w:t>
      </w:r>
      <w:r>
        <w:rPr>
          <w:spacing w:val="-2"/>
          <w:sz w:val="20"/>
          <w:szCs w:val="20"/>
        </w:rPr>
        <w:t>测预警、主动防御、事件处置打下坚实基础。</w:t>
      </w:r>
    </w:p>
    <w:p w14:paraId="267790BA">
      <w:pPr>
        <w:spacing w:before="111" w:line="229" w:lineRule="auto"/>
        <w:ind w:left="760"/>
        <w:rPr>
          <w:rFonts w:ascii="楷体" w:hAnsi="楷体" w:eastAsia="楷体" w:cs="楷体"/>
          <w:sz w:val="20"/>
          <w:szCs w:val="20"/>
        </w:rPr>
      </w:pPr>
      <w:r>
        <w:rPr>
          <w:rFonts w:ascii="楷体" w:hAnsi="楷体" w:eastAsia="楷体" w:cs="楷体"/>
          <w:spacing w:val="4"/>
          <w:sz w:val="20"/>
          <w:szCs w:val="20"/>
        </w:rPr>
        <w:t>4)关键信息基础设施保护制度建设</w:t>
      </w:r>
    </w:p>
    <w:p w14:paraId="046170E6">
      <w:pPr>
        <w:pStyle w:val="2"/>
        <w:spacing w:before="47" w:line="280" w:lineRule="auto"/>
        <w:ind w:left="369" w:firstLine="390"/>
        <w:rPr>
          <w:sz w:val="20"/>
          <w:szCs w:val="20"/>
        </w:rPr>
      </w:pPr>
      <w:r>
        <w:rPr>
          <w:spacing w:val="3"/>
          <w:sz w:val="20"/>
          <w:szCs w:val="20"/>
        </w:rPr>
        <w:t>业主单位应当建立健全关键信息基础设施网络安全保护制度和责任制，设置专门安全</w:t>
      </w:r>
      <w:r>
        <w:rPr>
          <w:spacing w:val="2"/>
          <w:sz w:val="20"/>
          <w:szCs w:val="20"/>
        </w:rPr>
        <w:t>管理</w:t>
      </w:r>
      <w:r>
        <w:rPr>
          <w:sz w:val="20"/>
          <w:szCs w:val="20"/>
        </w:rPr>
        <w:t xml:space="preserve"> </w:t>
      </w:r>
      <w:r>
        <w:rPr>
          <w:spacing w:val="3"/>
          <w:sz w:val="20"/>
          <w:szCs w:val="20"/>
        </w:rPr>
        <w:t>机构，并对专门安全管理机构负责人和关键岗位人员进行安</w:t>
      </w:r>
      <w:r>
        <w:rPr>
          <w:spacing w:val="2"/>
          <w:sz w:val="20"/>
          <w:szCs w:val="20"/>
        </w:rPr>
        <w:t>全背景审查。业主单位应当按照关</w:t>
      </w:r>
      <w:r>
        <w:rPr>
          <w:sz w:val="20"/>
          <w:szCs w:val="20"/>
        </w:rPr>
        <w:t xml:space="preserve"> </w:t>
      </w:r>
      <w:r>
        <w:rPr>
          <w:spacing w:val="3"/>
          <w:sz w:val="20"/>
          <w:szCs w:val="20"/>
        </w:rPr>
        <w:t>键信息基础设施认定规则认定项目涉及的关键信息基础设施，监理机构可以协助业主单位编制</w:t>
      </w:r>
      <w:r>
        <w:rPr>
          <w:spacing w:val="12"/>
          <w:sz w:val="20"/>
          <w:szCs w:val="20"/>
        </w:rPr>
        <w:t xml:space="preserve"> </w:t>
      </w:r>
      <w:r>
        <w:rPr>
          <w:spacing w:val="-1"/>
          <w:sz w:val="20"/>
          <w:szCs w:val="20"/>
        </w:rPr>
        <w:t>关键信息基础设施安全保护方案、应急预案，建立健全个人信息和数据安全保护制</w:t>
      </w:r>
      <w:r>
        <w:rPr>
          <w:spacing w:val="-2"/>
          <w:sz w:val="20"/>
          <w:szCs w:val="20"/>
        </w:rPr>
        <w:t>度。</w:t>
      </w:r>
    </w:p>
    <w:p w14:paraId="44F4CA02">
      <w:pPr>
        <w:spacing w:before="109" w:line="227" w:lineRule="auto"/>
        <w:ind w:left="760"/>
        <w:rPr>
          <w:rFonts w:ascii="楷体" w:hAnsi="楷体" w:eastAsia="楷体" w:cs="楷体"/>
          <w:sz w:val="20"/>
          <w:szCs w:val="20"/>
        </w:rPr>
      </w:pPr>
      <w:r>
        <w:rPr>
          <w:rFonts w:ascii="楷体" w:hAnsi="楷体" w:eastAsia="楷体" w:cs="楷体"/>
          <w:spacing w:val="7"/>
          <w:sz w:val="20"/>
          <w:szCs w:val="20"/>
        </w:rPr>
        <w:t>5)关键信息基础设施采购要求</w:t>
      </w:r>
    </w:p>
    <w:p w14:paraId="15652775">
      <w:pPr>
        <w:pStyle w:val="2"/>
        <w:spacing w:before="62" w:line="219" w:lineRule="auto"/>
        <w:ind w:right="8"/>
        <w:jc w:val="right"/>
        <w:rPr>
          <w:sz w:val="20"/>
          <w:szCs w:val="20"/>
        </w:rPr>
      </w:pPr>
      <w:r>
        <w:rPr>
          <w:spacing w:val="4"/>
          <w:sz w:val="20"/>
          <w:szCs w:val="20"/>
        </w:rPr>
        <w:t>关键信息基础设施建设应当优先采购安全可信</w:t>
      </w:r>
      <w:r>
        <w:rPr>
          <w:spacing w:val="3"/>
          <w:sz w:val="20"/>
          <w:szCs w:val="20"/>
        </w:rPr>
        <w:t>的网络产品和服务。采购网络产品和服务可</w:t>
      </w:r>
    </w:p>
    <w:p w14:paraId="7DEC28B3">
      <w:pPr>
        <w:spacing w:line="219" w:lineRule="auto"/>
        <w:rPr>
          <w:sz w:val="20"/>
          <w:szCs w:val="20"/>
        </w:rPr>
        <w:sectPr>
          <w:pgSz w:w="10300" w:h="13390"/>
          <w:pgMar w:top="400" w:right="1123" w:bottom="400" w:left="469" w:header="0" w:footer="0" w:gutter="0"/>
          <w:cols w:space="720" w:num="1"/>
        </w:sectPr>
      </w:pPr>
    </w:p>
    <w:p w14:paraId="3BE8EF9D">
      <w:pPr>
        <w:pStyle w:val="2"/>
        <w:jc w:val="right"/>
        <w:rPr>
          <w:rFonts w:ascii="Times New Roman" w:hAnsi="Times New Roman" w:eastAsia="Times New Roman" w:cs="Times New Roman"/>
          <w:sz w:val="19"/>
          <w:szCs w:val="19"/>
        </w:rPr>
      </w:pPr>
      <w:r>
        <w:rPr>
          <w:spacing w:val="3"/>
          <w:sz w:val="19"/>
          <w:szCs w:val="19"/>
        </w:rPr>
        <w:t>第24章</w:t>
      </w:r>
      <w:r>
        <w:rPr>
          <w:spacing w:val="32"/>
          <w:sz w:val="19"/>
          <w:szCs w:val="19"/>
        </w:rPr>
        <w:t xml:space="preserve"> </w:t>
      </w:r>
      <w:r>
        <w:rPr>
          <w:spacing w:val="3"/>
          <w:sz w:val="19"/>
          <w:szCs w:val="19"/>
        </w:rPr>
        <w:t>信息安全监理</w:t>
      </w:r>
      <w:r>
        <w:rPr>
          <w:spacing w:val="38"/>
          <w:sz w:val="19"/>
          <w:szCs w:val="19"/>
        </w:rPr>
        <w:t xml:space="preserve"> </w:t>
      </w:r>
      <w:r>
        <w:rPr>
          <w:position w:val="-11"/>
          <w:sz w:val="19"/>
          <w:szCs w:val="19"/>
        </w:rPr>
        <w:drawing>
          <wp:inline distT="0" distB="0" distL="0" distR="0">
            <wp:extent cx="297815" cy="240665"/>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358"/>
                    <a:stretch>
                      <a:fillRect/>
                    </a:stretch>
                  </pic:blipFill>
                  <pic:spPr>
                    <a:xfrm>
                      <a:off x="0" y="0"/>
                      <a:ext cx="298414" cy="241249"/>
                    </a:xfrm>
                    <a:prstGeom prst="rect">
                      <a:avLst/>
                    </a:prstGeom>
                  </pic:spPr>
                </pic:pic>
              </a:graphicData>
            </a:graphic>
          </wp:inline>
        </w:drawing>
      </w:r>
      <w:r>
        <w:rPr>
          <w:rFonts w:ascii="Times New Roman" w:hAnsi="Times New Roman" w:eastAsia="Times New Roman" w:cs="Times New Roman"/>
          <w:spacing w:val="3"/>
          <w:sz w:val="19"/>
          <w:szCs w:val="19"/>
        </w:rPr>
        <w:t>553</w:t>
      </w:r>
    </w:p>
    <w:p w14:paraId="5577F0F3">
      <w:pPr>
        <w:spacing w:line="254" w:lineRule="auto"/>
        <w:rPr>
          <w:rFonts w:ascii="Arial"/>
          <w:sz w:val="21"/>
        </w:rPr>
      </w:pPr>
    </w:p>
    <w:p w14:paraId="460C7389">
      <w:pPr>
        <w:pStyle w:val="2"/>
        <w:spacing w:before="62" w:line="219" w:lineRule="auto"/>
        <w:rPr>
          <w:sz w:val="19"/>
          <w:szCs w:val="19"/>
        </w:rPr>
      </w:pPr>
      <w:r>
        <w:rPr>
          <w:spacing w:val="8"/>
          <w:sz w:val="19"/>
          <w:szCs w:val="19"/>
        </w:rPr>
        <w:t>能影响国家安全的，应当按照国家网络安全规定通过安全审查。</w:t>
      </w:r>
    </w:p>
    <w:p w14:paraId="3724A9C8">
      <w:pPr>
        <w:spacing w:line="329" w:lineRule="auto"/>
        <w:rPr>
          <w:rFonts w:ascii="Arial"/>
          <w:sz w:val="21"/>
        </w:rPr>
      </w:pPr>
    </w:p>
    <w:p w14:paraId="5B45E346">
      <w:pPr>
        <w:pStyle w:val="2"/>
        <w:spacing w:before="91" w:line="222" w:lineRule="auto"/>
        <w:ind w:left="4"/>
        <w:rPr>
          <w:rFonts w:ascii="黑体" w:hAnsi="黑体" w:eastAsia="黑体" w:cs="黑体"/>
          <w:sz w:val="28"/>
          <w:szCs w:val="28"/>
        </w:rPr>
      </w:pPr>
      <w:r>
        <w:rPr>
          <w:b/>
          <w:bCs/>
          <w:color w:val="0079E3"/>
          <w:spacing w:val="-5"/>
          <w:sz w:val="28"/>
          <w:szCs w:val="28"/>
        </w:rPr>
        <w:t>24.3</w:t>
      </w:r>
      <w:r>
        <w:rPr>
          <w:color w:val="0079E3"/>
          <w:spacing w:val="135"/>
          <w:sz w:val="28"/>
          <w:szCs w:val="28"/>
        </w:rPr>
        <w:t xml:space="preserve"> </w:t>
      </w:r>
      <w:r>
        <w:rPr>
          <w:rFonts w:ascii="黑体" w:hAnsi="黑体" w:eastAsia="黑体" w:cs="黑体"/>
          <w:b/>
          <w:bCs/>
          <w:color w:val="0079E3"/>
          <w:spacing w:val="-5"/>
          <w:sz w:val="28"/>
          <w:szCs w:val="28"/>
        </w:rPr>
        <w:t>招标阶段监理工作</w:t>
      </w:r>
    </w:p>
    <w:p w14:paraId="28F9EEF0">
      <w:pPr>
        <w:pStyle w:val="2"/>
        <w:spacing w:before="284" w:line="219" w:lineRule="auto"/>
        <w:ind w:left="389"/>
        <w:rPr>
          <w:sz w:val="19"/>
          <w:szCs w:val="19"/>
        </w:rPr>
      </w:pPr>
      <w:r>
        <w:rPr>
          <w:spacing w:val="9"/>
          <w:sz w:val="19"/>
          <w:szCs w:val="19"/>
        </w:rPr>
        <w:t>本节重点介绍监理单位在信息安全系统的招标阶段需要执行的监理活动和主要监理内容。</w:t>
      </w:r>
    </w:p>
    <w:p w14:paraId="7D553473">
      <w:pPr>
        <w:pStyle w:val="2"/>
        <w:spacing w:before="255" w:line="220" w:lineRule="auto"/>
        <w:ind w:left="2"/>
        <w:rPr>
          <w:sz w:val="24"/>
          <w:szCs w:val="24"/>
        </w:rPr>
      </w:pPr>
      <w:r>
        <w:rPr>
          <w:b/>
          <w:bCs/>
          <w:color w:val="006FDF"/>
          <w:spacing w:val="-12"/>
          <w:sz w:val="24"/>
          <w:szCs w:val="24"/>
        </w:rPr>
        <w:t>24.3.1</w:t>
      </w:r>
      <w:r>
        <w:rPr>
          <w:color w:val="006FDF"/>
          <w:spacing w:val="104"/>
          <w:sz w:val="24"/>
          <w:szCs w:val="24"/>
        </w:rPr>
        <w:t xml:space="preserve"> </w:t>
      </w:r>
      <w:r>
        <w:rPr>
          <w:b/>
          <w:bCs/>
          <w:color w:val="006FDF"/>
          <w:spacing w:val="-12"/>
          <w:sz w:val="24"/>
          <w:szCs w:val="24"/>
        </w:rPr>
        <w:t>监理活动</w:t>
      </w:r>
    </w:p>
    <w:p w14:paraId="1B76779B">
      <w:pPr>
        <w:pStyle w:val="2"/>
        <w:spacing w:before="164" w:line="219" w:lineRule="auto"/>
        <w:ind w:left="389"/>
        <w:rPr>
          <w:sz w:val="19"/>
          <w:szCs w:val="19"/>
        </w:rPr>
      </w:pPr>
      <w:r>
        <w:rPr>
          <w:spacing w:val="8"/>
          <w:sz w:val="19"/>
          <w:szCs w:val="19"/>
        </w:rPr>
        <w:t>除通用招标监理活动外，信息安全系统招标时还应开展以下工作：</w:t>
      </w:r>
    </w:p>
    <w:p w14:paraId="32490FA2">
      <w:pPr>
        <w:pStyle w:val="2"/>
        <w:spacing w:before="104" w:line="252" w:lineRule="auto"/>
        <w:ind w:right="297" w:firstLine="389"/>
        <w:rPr>
          <w:sz w:val="19"/>
          <w:szCs w:val="19"/>
        </w:rPr>
      </w:pPr>
      <w:r>
        <w:rPr>
          <w:spacing w:val="15"/>
          <w:sz w:val="19"/>
          <w:szCs w:val="19"/>
        </w:rPr>
        <w:t>(1)确保招标文件中涉及安全的条款满足安全需求，并符合法律法规、政策文件和标准规</w:t>
      </w:r>
      <w:r>
        <w:rPr>
          <w:spacing w:val="2"/>
          <w:sz w:val="19"/>
          <w:szCs w:val="19"/>
        </w:rPr>
        <w:t xml:space="preserve"> </w:t>
      </w:r>
      <w:r>
        <w:rPr>
          <w:spacing w:val="-1"/>
          <w:sz w:val="19"/>
          <w:szCs w:val="19"/>
        </w:rPr>
        <w:t>范要求；</w:t>
      </w:r>
    </w:p>
    <w:p w14:paraId="76A1F510">
      <w:pPr>
        <w:pStyle w:val="2"/>
        <w:spacing w:before="110" w:line="219" w:lineRule="auto"/>
        <w:ind w:left="389"/>
        <w:rPr>
          <w:sz w:val="19"/>
          <w:szCs w:val="19"/>
        </w:rPr>
      </w:pPr>
      <w:r>
        <w:rPr>
          <w:spacing w:val="11"/>
          <w:sz w:val="19"/>
          <w:szCs w:val="19"/>
        </w:rPr>
        <w:t>(2)确保承建合同中所提供的安全产品和服务满足招标文件要</w:t>
      </w:r>
      <w:r>
        <w:rPr>
          <w:spacing w:val="10"/>
          <w:sz w:val="19"/>
          <w:szCs w:val="19"/>
        </w:rPr>
        <w:t>求；</w:t>
      </w:r>
    </w:p>
    <w:p w14:paraId="1160AD71">
      <w:pPr>
        <w:pStyle w:val="2"/>
        <w:spacing w:before="76" w:line="219" w:lineRule="auto"/>
        <w:ind w:left="389"/>
        <w:rPr>
          <w:sz w:val="19"/>
          <w:szCs w:val="19"/>
        </w:rPr>
      </w:pPr>
      <w:r>
        <w:rPr>
          <w:spacing w:val="11"/>
          <w:sz w:val="19"/>
          <w:szCs w:val="19"/>
        </w:rPr>
        <w:t>(3)确保承建合同中与安全相关的条款在技术、经济上合理有效。</w:t>
      </w:r>
    </w:p>
    <w:p w14:paraId="0A09E5DD">
      <w:pPr>
        <w:pStyle w:val="2"/>
        <w:spacing w:before="253" w:line="219" w:lineRule="auto"/>
        <w:ind w:left="2"/>
        <w:rPr>
          <w:sz w:val="24"/>
          <w:szCs w:val="24"/>
        </w:rPr>
      </w:pPr>
      <w:r>
        <w:rPr>
          <w:b/>
          <w:bCs/>
          <w:color w:val="2272C3"/>
          <w:spacing w:val="-15"/>
          <w:sz w:val="24"/>
          <w:szCs w:val="24"/>
        </w:rPr>
        <w:t>24.3.2</w:t>
      </w:r>
      <w:r>
        <w:rPr>
          <w:color w:val="2272C3"/>
          <w:spacing w:val="-15"/>
          <w:sz w:val="24"/>
          <w:szCs w:val="24"/>
        </w:rPr>
        <w:t xml:space="preserve">  </w:t>
      </w:r>
      <w:r>
        <w:rPr>
          <w:b/>
          <w:bCs/>
          <w:color w:val="2272C3"/>
          <w:spacing w:val="-15"/>
          <w:sz w:val="24"/>
          <w:szCs w:val="24"/>
        </w:rPr>
        <w:t>监理内容</w:t>
      </w:r>
    </w:p>
    <w:p w14:paraId="49251AEE">
      <w:pPr>
        <w:pStyle w:val="2"/>
        <w:spacing w:before="283" w:line="222" w:lineRule="auto"/>
        <w:ind w:left="392"/>
        <w:rPr>
          <w:rFonts w:ascii="黑体" w:hAnsi="黑体" w:eastAsia="黑体" w:cs="黑体"/>
          <w:sz w:val="19"/>
          <w:szCs w:val="19"/>
        </w:rPr>
      </w:pPr>
      <w:r>
        <w:rPr>
          <w:b/>
          <w:bCs/>
          <w:color w:val="1783D7"/>
          <w:spacing w:val="5"/>
          <w:sz w:val="19"/>
          <w:szCs w:val="19"/>
        </w:rPr>
        <w:t>1.</w:t>
      </w:r>
      <w:r>
        <w:rPr>
          <w:rFonts w:ascii="黑体" w:hAnsi="黑体" w:eastAsia="黑体" w:cs="黑体"/>
          <w:b/>
          <w:bCs/>
          <w:color w:val="1783D7"/>
          <w:spacing w:val="5"/>
          <w:sz w:val="19"/>
          <w:szCs w:val="19"/>
        </w:rPr>
        <w:t>协助招标准备工作</w:t>
      </w:r>
    </w:p>
    <w:p w14:paraId="7E66B0FC">
      <w:pPr>
        <w:pStyle w:val="2"/>
        <w:spacing w:before="134" w:line="219" w:lineRule="auto"/>
        <w:ind w:left="389"/>
        <w:rPr>
          <w:sz w:val="19"/>
          <w:szCs w:val="19"/>
        </w:rPr>
      </w:pPr>
      <w:r>
        <w:rPr>
          <w:spacing w:val="8"/>
          <w:sz w:val="19"/>
          <w:szCs w:val="19"/>
        </w:rPr>
        <w:t>监理机构应协助业务单位进行招标准备工作，具体如下：</w:t>
      </w:r>
    </w:p>
    <w:p w14:paraId="72BFE6EA">
      <w:pPr>
        <w:pStyle w:val="2"/>
        <w:spacing w:before="85" w:line="266" w:lineRule="auto"/>
        <w:ind w:right="322" w:firstLine="389"/>
        <w:rPr>
          <w:sz w:val="19"/>
          <w:szCs w:val="19"/>
        </w:rPr>
      </w:pPr>
      <w:r>
        <w:rPr>
          <w:spacing w:val="14"/>
          <w:sz w:val="19"/>
          <w:szCs w:val="19"/>
        </w:rPr>
        <w:t>(1)协助业主单位完成招标方案及招标方式的制定，拟定承建单位遴选标准，支撑有关信</w:t>
      </w:r>
      <w:r>
        <w:rPr>
          <w:spacing w:val="17"/>
          <w:sz w:val="19"/>
          <w:szCs w:val="19"/>
        </w:rPr>
        <w:t xml:space="preserve"> </w:t>
      </w:r>
      <w:r>
        <w:rPr>
          <w:spacing w:val="1"/>
          <w:sz w:val="19"/>
          <w:szCs w:val="19"/>
        </w:rPr>
        <w:t>息安全招标目标；</w:t>
      </w:r>
    </w:p>
    <w:p w14:paraId="128497FF">
      <w:pPr>
        <w:pStyle w:val="2"/>
        <w:spacing w:before="82" w:line="219" w:lineRule="auto"/>
        <w:ind w:left="389"/>
        <w:rPr>
          <w:sz w:val="19"/>
          <w:szCs w:val="19"/>
        </w:rPr>
      </w:pPr>
      <w:r>
        <w:rPr>
          <w:spacing w:val="10"/>
          <w:sz w:val="19"/>
          <w:szCs w:val="19"/>
        </w:rPr>
        <w:t>(2)协助业主单位明确信息安全招标采购需求；</w:t>
      </w:r>
    </w:p>
    <w:p w14:paraId="6817EDE8">
      <w:pPr>
        <w:pStyle w:val="2"/>
        <w:spacing w:before="76" w:line="265" w:lineRule="auto"/>
        <w:ind w:right="327" w:firstLine="389"/>
        <w:rPr>
          <w:sz w:val="19"/>
          <w:szCs w:val="19"/>
        </w:rPr>
      </w:pPr>
      <w:r>
        <w:rPr>
          <w:spacing w:val="14"/>
          <w:sz w:val="19"/>
          <w:szCs w:val="19"/>
        </w:rPr>
        <w:t>(3)检查招标文件中工程的安全目标、安全需求、工作范围，以及相关的产品及服务等技</w:t>
      </w:r>
      <w:r>
        <w:rPr>
          <w:spacing w:val="12"/>
          <w:sz w:val="19"/>
          <w:szCs w:val="19"/>
        </w:rPr>
        <w:t xml:space="preserve"> </w:t>
      </w:r>
      <w:r>
        <w:rPr>
          <w:spacing w:val="6"/>
          <w:sz w:val="19"/>
          <w:szCs w:val="19"/>
        </w:rPr>
        <w:t>术要求是否明确，是否合法合规。</w:t>
      </w:r>
    </w:p>
    <w:p w14:paraId="58FD0791">
      <w:pPr>
        <w:pStyle w:val="2"/>
        <w:spacing w:before="170" w:line="221" w:lineRule="auto"/>
        <w:ind w:left="392"/>
        <w:rPr>
          <w:rFonts w:ascii="黑体" w:hAnsi="黑体" w:eastAsia="黑体" w:cs="黑体"/>
          <w:sz w:val="19"/>
          <w:szCs w:val="19"/>
        </w:rPr>
      </w:pPr>
      <w:r>
        <w:rPr>
          <w:b/>
          <w:bCs/>
          <w:color w:val="0063C7"/>
          <w:spacing w:val="7"/>
          <w:sz w:val="19"/>
          <w:szCs w:val="19"/>
        </w:rPr>
        <w:t>2.</w:t>
      </w:r>
      <w:r>
        <w:rPr>
          <w:rFonts w:ascii="黑体" w:hAnsi="黑体" w:eastAsia="黑体" w:cs="黑体"/>
          <w:b/>
          <w:bCs/>
          <w:color w:val="0063C7"/>
          <w:spacing w:val="7"/>
          <w:sz w:val="19"/>
          <w:szCs w:val="19"/>
        </w:rPr>
        <w:t>协助编写或审核招标文件</w:t>
      </w:r>
    </w:p>
    <w:p w14:paraId="747B2FA9">
      <w:pPr>
        <w:pStyle w:val="2"/>
        <w:spacing w:before="156" w:line="219" w:lineRule="auto"/>
        <w:ind w:left="389"/>
        <w:rPr>
          <w:sz w:val="19"/>
          <w:szCs w:val="19"/>
        </w:rPr>
      </w:pPr>
      <w:r>
        <w:rPr>
          <w:spacing w:val="7"/>
          <w:sz w:val="19"/>
          <w:szCs w:val="19"/>
        </w:rPr>
        <w:t>监理机构应从如下方面对招标文件提出监理意见：</w:t>
      </w:r>
    </w:p>
    <w:p w14:paraId="79C1BE73">
      <w:pPr>
        <w:pStyle w:val="2"/>
        <w:spacing w:before="66" w:line="265" w:lineRule="auto"/>
        <w:ind w:right="240" w:firstLine="389"/>
        <w:rPr>
          <w:sz w:val="19"/>
          <w:szCs w:val="19"/>
        </w:rPr>
      </w:pPr>
      <w:r>
        <w:rPr>
          <w:spacing w:val="11"/>
          <w:sz w:val="19"/>
          <w:szCs w:val="19"/>
        </w:rPr>
        <w:t>(1)信息安全技术要求应能满足既定的安全目标与安全需求，包括功能、性能、技术指标、</w:t>
      </w:r>
      <w:r>
        <w:rPr>
          <w:spacing w:val="18"/>
          <w:sz w:val="19"/>
          <w:szCs w:val="19"/>
        </w:rPr>
        <w:t xml:space="preserve"> </w:t>
      </w:r>
      <w:r>
        <w:rPr>
          <w:spacing w:val="6"/>
          <w:sz w:val="19"/>
          <w:szCs w:val="19"/>
        </w:rPr>
        <w:t>信息安全规划目标、国产化等。</w:t>
      </w:r>
    </w:p>
    <w:p w14:paraId="78EFE922">
      <w:pPr>
        <w:pStyle w:val="2"/>
        <w:spacing w:before="84" w:line="219" w:lineRule="auto"/>
        <w:ind w:left="389"/>
        <w:rPr>
          <w:sz w:val="19"/>
          <w:szCs w:val="19"/>
        </w:rPr>
      </w:pPr>
      <w:r>
        <w:rPr>
          <w:spacing w:val="10"/>
          <w:sz w:val="19"/>
          <w:szCs w:val="19"/>
        </w:rPr>
        <w:t>(2)对投标单位综合履约能力的要求，应与信息安全项目相匹配，包括：</w:t>
      </w:r>
    </w:p>
    <w:p w14:paraId="4ACA685A">
      <w:pPr>
        <w:pStyle w:val="2"/>
        <w:spacing w:before="75" w:line="219" w:lineRule="auto"/>
        <w:ind w:left="389"/>
        <w:rPr>
          <w:sz w:val="19"/>
          <w:szCs w:val="19"/>
        </w:rPr>
      </w:pPr>
      <w:r>
        <w:rPr>
          <w:spacing w:val="10"/>
          <w:sz w:val="19"/>
          <w:szCs w:val="19"/>
        </w:rPr>
        <w:t>●投标单位的资质要求，例如信息安全服务相关资质、类似项目</w:t>
      </w:r>
      <w:r>
        <w:rPr>
          <w:spacing w:val="9"/>
          <w:sz w:val="19"/>
          <w:szCs w:val="19"/>
        </w:rPr>
        <w:t>成功案例等；</w:t>
      </w:r>
    </w:p>
    <w:p w14:paraId="3F978093">
      <w:pPr>
        <w:pStyle w:val="2"/>
        <w:spacing w:before="104" w:line="265" w:lineRule="auto"/>
        <w:ind w:left="659" w:right="297" w:hanging="270"/>
        <w:rPr>
          <w:sz w:val="19"/>
          <w:szCs w:val="19"/>
        </w:rPr>
      </w:pPr>
      <w:r>
        <w:rPr>
          <w:spacing w:val="13"/>
          <w:sz w:val="19"/>
          <w:szCs w:val="19"/>
        </w:rPr>
        <w:t>●投标单位和项目组人员的资格要求，例如信息安全领域的相关资格、工作年限和项目经</w:t>
      </w:r>
      <w:r>
        <w:rPr>
          <w:sz w:val="19"/>
          <w:szCs w:val="19"/>
        </w:rPr>
        <w:t xml:space="preserve"> </w:t>
      </w:r>
      <w:r>
        <w:rPr>
          <w:spacing w:val="1"/>
          <w:sz w:val="19"/>
          <w:szCs w:val="19"/>
        </w:rPr>
        <w:t>验等；</w:t>
      </w:r>
    </w:p>
    <w:p w14:paraId="54BB5580">
      <w:pPr>
        <w:pStyle w:val="2"/>
        <w:spacing w:before="85" w:line="219" w:lineRule="auto"/>
        <w:ind w:left="389"/>
        <w:rPr>
          <w:sz w:val="19"/>
          <w:szCs w:val="19"/>
        </w:rPr>
      </w:pPr>
      <w:r>
        <w:rPr>
          <w:spacing w:val="11"/>
          <w:sz w:val="19"/>
          <w:szCs w:val="19"/>
        </w:rPr>
        <w:t>●投标单位的服务过程管理、质量保障体系、应急响应能力等要求。</w:t>
      </w:r>
    </w:p>
    <w:p w14:paraId="4EC0C122">
      <w:pPr>
        <w:pStyle w:val="2"/>
        <w:spacing w:before="95" w:line="219" w:lineRule="auto"/>
        <w:ind w:left="389"/>
        <w:rPr>
          <w:sz w:val="19"/>
          <w:szCs w:val="19"/>
        </w:rPr>
      </w:pPr>
      <w:r>
        <w:rPr>
          <w:spacing w:val="11"/>
          <w:sz w:val="19"/>
          <w:szCs w:val="19"/>
        </w:rPr>
        <w:t>(3)新建工程项目对原有信息系统安全性的可能影响及处理措施。</w:t>
      </w:r>
    </w:p>
    <w:p w14:paraId="3B45F43D">
      <w:pPr>
        <w:pStyle w:val="2"/>
        <w:spacing w:before="64" w:line="265" w:lineRule="auto"/>
        <w:ind w:right="290" w:firstLine="389"/>
        <w:rPr>
          <w:sz w:val="19"/>
          <w:szCs w:val="19"/>
        </w:rPr>
      </w:pPr>
      <w:r>
        <w:rPr>
          <w:spacing w:val="15"/>
          <w:sz w:val="19"/>
          <w:szCs w:val="19"/>
        </w:rPr>
        <w:t>(4)如适用，审核是否明确了信息系统安全建设等级及相关测评要求，并协助采购相关测</w:t>
      </w:r>
      <w:r>
        <w:rPr>
          <w:spacing w:val="9"/>
          <w:sz w:val="19"/>
          <w:szCs w:val="19"/>
        </w:rPr>
        <w:t xml:space="preserve"> </w:t>
      </w:r>
      <w:r>
        <w:rPr>
          <w:spacing w:val="5"/>
          <w:sz w:val="19"/>
          <w:szCs w:val="19"/>
        </w:rPr>
        <w:t>评服务。具体包括：</w:t>
      </w:r>
    </w:p>
    <w:p w14:paraId="1880C39D">
      <w:pPr>
        <w:pStyle w:val="2"/>
        <w:spacing w:before="74" w:line="219" w:lineRule="auto"/>
        <w:ind w:left="389"/>
        <w:rPr>
          <w:sz w:val="19"/>
          <w:szCs w:val="19"/>
        </w:rPr>
      </w:pPr>
      <w:r>
        <w:rPr>
          <w:spacing w:val="11"/>
          <w:sz w:val="19"/>
          <w:szCs w:val="19"/>
        </w:rPr>
        <w:t>●根据公安部门发布的测评机构目录，协助业主单位</w:t>
      </w:r>
      <w:r>
        <w:rPr>
          <w:spacing w:val="10"/>
          <w:sz w:val="19"/>
          <w:szCs w:val="19"/>
        </w:rPr>
        <w:t>采购信息安全等级测评服务；</w:t>
      </w:r>
    </w:p>
    <w:p w14:paraId="383E7642">
      <w:pPr>
        <w:pStyle w:val="2"/>
        <w:spacing w:before="104" w:line="219" w:lineRule="auto"/>
        <w:ind w:left="389"/>
        <w:rPr>
          <w:sz w:val="19"/>
          <w:szCs w:val="19"/>
        </w:rPr>
      </w:pPr>
      <w:r>
        <w:rPr>
          <w:spacing w:val="11"/>
          <w:sz w:val="19"/>
          <w:szCs w:val="19"/>
        </w:rPr>
        <w:t>●根据国家密码管理部门发布的测评机构目录，协助</w:t>
      </w:r>
      <w:r>
        <w:rPr>
          <w:spacing w:val="10"/>
          <w:sz w:val="19"/>
          <w:szCs w:val="19"/>
        </w:rPr>
        <w:t>业主单位采购密码测评服务。</w:t>
      </w:r>
    </w:p>
    <w:p w14:paraId="64FA3AFF">
      <w:pPr>
        <w:spacing w:line="219" w:lineRule="auto"/>
        <w:rPr>
          <w:sz w:val="19"/>
          <w:szCs w:val="19"/>
        </w:rPr>
        <w:sectPr>
          <w:pgSz w:w="10290" w:h="13270"/>
          <w:pgMar w:top="350" w:right="544" w:bottom="400" w:left="1140" w:header="0" w:footer="0" w:gutter="0"/>
          <w:cols w:space="720" w:num="1"/>
        </w:sectPr>
      </w:pPr>
    </w:p>
    <w:p w14:paraId="3AB8B29F">
      <w:pPr>
        <w:pStyle w:val="2"/>
        <w:spacing w:before="17" w:line="220" w:lineRule="auto"/>
        <w:rPr>
          <w:sz w:val="20"/>
          <w:szCs w:val="20"/>
        </w:rPr>
      </w:pPr>
      <w:r>
        <w:rPr>
          <w:rFonts w:ascii="Times New Roman" w:hAnsi="Times New Roman" w:eastAsia="Times New Roman" w:cs="Times New Roman"/>
          <w:spacing w:val="-2"/>
          <w:position w:val="-4"/>
          <w:sz w:val="20"/>
          <w:szCs w:val="20"/>
        </w:rPr>
        <w:t xml:space="preserve">554              </w:t>
      </w:r>
      <w:r>
        <w:rPr>
          <w:spacing w:val="-2"/>
          <w:sz w:val="20"/>
          <w:szCs w:val="20"/>
        </w:rPr>
        <w:t>信息系统监理师教程(</w:t>
      </w:r>
      <w:r>
        <w:rPr>
          <w:spacing w:val="-3"/>
          <w:sz w:val="20"/>
          <w:szCs w:val="20"/>
        </w:rPr>
        <w:t>第2版)</w:t>
      </w:r>
    </w:p>
    <w:p w14:paraId="6ADF1625">
      <w:pPr>
        <w:spacing w:line="296" w:lineRule="auto"/>
        <w:rPr>
          <w:rFonts w:ascii="Arial"/>
          <w:sz w:val="21"/>
        </w:rPr>
      </w:pPr>
    </w:p>
    <w:p w14:paraId="7036900C">
      <w:pPr>
        <w:pStyle w:val="2"/>
        <w:spacing w:before="65" w:line="222" w:lineRule="auto"/>
        <w:ind w:left="752"/>
        <w:rPr>
          <w:rFonts w:ascii="黑体" w:hAnsi="黑体" w:eastAsia="黑体" w:cs="黑体"/>
          <w:sz w:val="20"/>
          <w:szCs w:val="20"/>
        </w:rPr>
      </w:pPr>
      <w:bookmarkStart w:id="757" w:name="bookmark742"/>
      <w:bookmarkEnd w:id="757"/>
      <w:r>
        <w:rPr>
          <w:b/>
          <w:bCs/>
          <w:color w:val="008CD3"/>
          <w:spacing w:val="-4"/>
          <w:sz w:val="20"/>
          <w:szCs w:val="20"/>
        </w:rPr>
        <w:t>3.</w:t>
      </w:r>
      <w:r>
        <w:rPr>
          <w:rFonts w:ascii="黑体" w:hAnsi="黑体" w:eastAsia="黑体" w:cs="黑体"/>
          <w:b/>
          <w:bCs/>
          <w:color w:val="008CD3"/>
          <w:spacing w:val="-4"/>
          <w:sz w:val="20"/>
          <w:szCs w:val="20"/>
        </w:rPr>
        <w:t>根据业主单位委托参与评标工作</w:t>
      </w:r>
    </w:p>
    <w:p w14:paraId="7E403E87">
      <w:pPr>
        <w:pStyle w:val="2"/>
        <w:spacing w:before="152" w:line="219" w:lineRule="auto"/>
        <w:ind w:left="750"/>
        <w:rPr>
          <w:sz w:val="20"/>
          <w:szCs w:val="20"/>
        </w:rPr>
      </w:pPr>
      <w:r>
        <w:rPr>
          <w:spacing w:val="-2"/>
          <w:sz w:val="20"/>
          <w:szCs w:val="20"/>
        </w:rPr>
        <w:t>监理机构应根据业主单位委托参与评标工作，具</w:t>
      </w:r>
      <w:r>
        <w:rPr>
          <w:spacing w:val="-3"/>
          <w:sz w:val="20"/>
          <w:szCs w:val="20"/>
        </w:rPr>
        <w:t>体如下：</w:t>
      </w:r>
    </w:p>
    <w:p w14:paraId="04DACCB5">
      <w:pPr>
        <w:pStyle w:val="2"/>
        <w:spacing w:before="64" w:line="267" w:lineRule="auto"/>
        <w:ind w:left="350" w:right="86" w:firstLine="399"/>
        <w:rPr>
          <w:sz w:val="20"/>
          <w:szCs w:val="20"/>
        </w:rPr>
      </w:pPr>
      <w:r>
        <w:rPr>
          <w:spacing w:val="5"/>
          <w:sz w:val="20"/>
          <w:szCs w:val="20"/>
        </w:rPr>
        <w:t>(1)协助审查投标单位的资质能力，例如信息安全服务和信息系统集成</w:t>
      </w:r>
      <w:r>
        <w:rPr>
          <w:spacing w:val="4"/>
          <w:sz w:val="20"/>
          <w:szCs w:val="20"/>
        </w:rPr>
        <w:t>等资质及类似成功</w:t>
      </w:r>
      <w:r>
        <w:rPr>
          <w:sz w:val="20"/>
          <w:szCs w:val="20"/>
        </w:rPr>
        <w:t xml:space="preserve"> </w:t>
      </w:r>
      <w:r>
        <w:rPr>
          <w:spacing w:val="-13"/>
          <w:sz w:val="20"/>
          <w:szCs w:val="20"/>
        </w:rPr>
        <w:t>案例；</w:t>
      </w:r>
    </w:p>
    <w:p w14:paraId="4FD2B33C">
      <w:pPr>
        <w:pStyle w:val="2"/>
        <w:spacing w:before="61" w:line="257" w:lineRule="auto"/>
        <w:ind w:left="350" w:right="89" w:firstLine="399"/>
        <w:rPr>
          <w:sz w:val="20"/>
          <w:szCs w:val="20"/>
        </w:rPr>
      </w:pPr>
      <w:r>
        <w:rPr>
          <w:spacing w:val="5"/>
          <w:sz w:val="20"/>
          <w:szCs w:val="20"/>
        </w:rPr>
        <w:t>(2)协助审查投标单位项目组人员的资格能力，例如信息安全领</w:t>
      </w:r>
      <w:r>
        <w:rPr>
          <w:spacing w:val="4"/>
          <w:sz w:val="20"/>
          <w:szCs w:val="20"/>
        </w:rPr>
        <w:t>域的相关资格、工作年限</w:t>
      </w:r>
      <w:r>
        <w:rPr>
          <w:sz w:val="20"/>
          <w:szCs w:val="20"/>
        </w:rPr>
        <w:t xml:space="preserve"> </w:t>
      </w:r>
      <w:r>
        <w:rPr>
          <w:spacing w:val="-4"/>
          <w:sz w:val="20"/>
          <w:szCs w:val="20"/>
        </w:rPr>
        <w:t>和项目经验等；</w:t>
      </w:r>
    </w:p>
    <w:p w14:paraId="2012D530">
      <w:pPr>
        <w:pStyle w:val="2"/>
        <w:spacing w:before="73" w:line="257" w:lineRule="auto"/>
        <w:ind w:left="350" w:right="89" w:firstLine="399"/>
        <w:rPr>
          <w:sz w:val="20"/>
          <w:szCs w:val="20"/>
        </w:rPr>
      </w:pPr>
      <w:r>
        <w:rPr>
          <w:spacing w:val="5"/>
          <w:sz w:val="20"/>
          <w:szCs w:val="20"/>
        </w:rPr>
        <w:t>(3)协助审查投标单位的服务过程管理、质量保障体系、应急响</w:t>
      </w:r>
      <w:r>
        <w:rPr>
          <w:spacing w:val="4"/>
          <w:sz w:val="20"/>
          <w:szCs w:val="20"/>
        </w:rPr>
        <w:t>应能力，投标单位对原有</w:t>
      </w:r>
      <w:r>
        <w:rPr>
          <w:sz w:val="20"/>
          <w:szCs w:val="20"/>
        </w:rPr>
        <w:t xml:space="preserve"> </w:t>
      </w:r>
      <w:r>
        <w:rPr>
          <w:spacing w:val="-3"/>
          <w:sz w:val="20"/>
          <w:szCs w:val="20"/>
        </w:rPr>
        <w:t>信息系统安全性的可能影响及处理措施等；</w:t>
      </w:r>
    </w:p>
    <w:p w14:paraId="7A6B284C">
      <w:pPr>
        <w:pStyle w:val="2"/>
        <w:spacing w:before="83" w:line="219" w:lineRule="auto"/>
        <w:ind w:left="750"/>
        <w:rPr>
          <w:sz w:val="20"/>
          <w:szCs w:val="20"/>
        </w:rPr>
      </w:pPr>
      <w:r>
        <w:rPr>
          <w:spacing w:val="2"/>
          <w:sz w:val="20"/>
          <w:szCs w:val="20"/>
        </w:rPr>
        <w:t>(4)协助确定满足需求的投标方案和投标单位。</w:t>
      </w:r>
    </w:p>
    <w:p w14:paraId="1E30A588">
      <w:pPr>
        <w:pStyle w:val="2"/>
        <w:spacing w:before="159" w:line="222" w:lineRule="auto"/>
        <w:ind w:left="752"/>
        <w:rPr>
          <w:rFonts w:ascii="黑体" w:hAnsi="黑体" w:eastAsia="黑体" w:cs="黑体"/>
          <w:sz w:val="20"/>
          <w:szCs w:val="20"/>
        </w:rPr>
      </w:pPr>
      <w:r>
        <w:rPr>
          <w:b/>
          <w:bCs/>
          <w:color w:val="008ADA"/>
          <w:spacing w:val="-2"/>
          <w:sz w:val="20"/>
          <w:szCs w:val="20"/>
        </w:rPr>
        <w:t>4.</w:t>
      </w:r>
      <w:r>
        <w:rPr>
          <w:rFonts w:ascii="黑体" w:hAnsi="黑体" w:eastAsia="黑体" w:cs="黑体"/>
          <w:b/>
          <w:bCs/>
          <w:color w:val="008ADA"/>
          <w:spacing w:val="-2"/>
          <w:sz w:val="20"/>
          <w:szCs w:val="20"/>
        </w:rPr>
        <w:t>承建合同的监理</w:t>
      </w:r>
    </w:p>
    <w:p w14:paraId="140891D9">
      <w:pPr>
        <w:pStyle w:val="2"/>
        <w:spacing w:before="152" w:line="264" w:lineRule="auto"/>
        <w:ind w:left="350" w:right="76" w:firstLine="399"/>
        <w:rPr>
          <w:sz w:val="20"/>
          <w:szCs w:val="20"/>
        </w:rPr>
      </w:pPr>
      <w:r>
        <w:rPr>
          <w:spacing w:val="3"/>
          <w:sz w:val="20"/>
          <w:szCs w:val="20"/>
        </w:rPr>
        <w:t>监理机构应参与承建合同的签订，协助业主单位对承建</w:t>
      </w:r>
      <w:r>
        <w:rPr>
          <w:spacing w:val="2"/>
          <w:sz w:val="20"/>
          <w:szCs w:val="20"/>
        </w:rPr>
        <w:t>合同的如下内容进行检查，并提出</w:t>
      </w:r>
      <w:r>
        <w:rPr>
          <w:sz w:val="20"/>
          <w:szCs w:val="20"/>
        </w:rPr>
        <w:t xml:space="preserve"> </w:t>
      </w:r>
      <w:r>
        <w:rPr>
          <w:spacing w:val="-9"/>
          <w:sz w:val="20"/>
          <w:szCs w:val="20"/>
        </w:rPr>
        <w:t>监理意见：</w:t>
      </w:r>
    </w:p>
    <w:p w14:paraId="5C22A13C">
      <w:pPr>
        <w:pStyle w:val="2"/>
        <w:spacing w:before="49" w:line="219" w:lineRule="auto"/>
        <w:ind w:left="750"/>
        <w:rPr>
          <w:sz w:val="20"/>
          <w:szCs w:val="20"/>
        </w:rPr>
      </w:pPr>
      <w:r>
        <w:rPr>
          <w:spacing w:val="1"/>
          <w:sz w:val="20"/>
          <w:szCs w:val="20"/>
        </w:rPr>
        <w:t>(1)信息安全相关建设内容和技术要求应与投标文件一致；</w:t>
      </w:r>
    </w:p>
    <w:p w14:paraId="32B3BD19">
      <w:pPr>
        <w:pStyle w:val="2"/>
        <w:spacing w:before="83" w:line="219" w:lineRule="auto"/>
        <w:ind w:left="750"/>
        <w:rPr>
          <w:sz w:val="20"/>
          <w:szCs w:val="20"/>
        </w:rPr>
      </w:pPr>
      <w:r>
        <w:rPr>
          <w:spacing w:val="1"/>
          <w:sz w:val="20"/>
          <w:szCs w:val="20"/>
        </w:rPr>
        <w:t>(2)应包括适用的保密条款、安全风险控制和安全责任条款；</w:t>
      </w:r>
    </w:p>
    <w:p w14:paraId="2B6811F0">
      <w:pPr>
        <w:pStyle w:val="2"/>
        <w:spacing w:before="72" w:line="219" w:lineRule="auto"/>
        <w:ind w:left="750"/>
        <w:rPr>
          <w:sz w:val="20"/>
          <w:szCs w:val="20"/>
        </w:rPr>
      </w:pPr>
      <w:r>
        <w:rPr>
          <w:sz w:val="20"/>
          <w:szCs w:val="20"/>
        </w:rPr>
        <w:t>(3)应包括项目验收和安全测评的标准、方法及交付文档；</w:t>
      </w:r>
    </w:p>
    <w:p w14:paraId="0C5213E1">
      <w:pPr>
        <w:pStyle w:val="2"/>
        <w:spacing w:before="74" w:line="220" w:lineRule="auto"/>
        <w:ind w:left="750"/>
        <w:rPr>
          <w:sz w:val="20"/>
          <w:szCs w:val="20"/>
        </w:rPr>
      </w:pPr>
      <w:r>
        <w:rPr>
          <w:spacing w:val="1"/>
          <w:sz w:val="20"/>
          <w:szCs w:val="20"/>
        </w:rPr>
        <w:t>(4)应包括工程变更和扩展引发安全问题的处理方法；</w:t>
      </w:r>
    </w:p>
    <w:p w14:paraId="4FD2B7C7">
      <w:pPr>
        <w:pStyle w:val="2"/>
        <w:spacing w:before="71" w:line="219" w:lineRule="auto"/>
        <w:ind w:left="750"/>
        <w:rPr>
          <w:sz w:val="20"/>
          <w:szCs w:val="20"/>
        </w:rPr>
      </w:pPr>
      <w:r>
        <w:rPr>
          <w:spacing w:val="1"/>
          <w:sz w:val="20"/>
          <w:szCs w:val="20"/>
        </w:rPr>
        <w:t>(5)检查承建合同中安全功能、技术要求、测试标准、验收要求和质量责任条款的合</w:t>
      </w:r>
      <w:r>
        <w:rPr>
          <w:sz w:val="20"/>
          <w:szCs w:val="20"/>
        </w:rPr>
        <w:t>理性；</w:t>
      </w:r>
    </w:p>
    <w:p w14:paraId="0B055D9A">
      <w:pPr>
        <w:pStyle w:val="2"/>
        <w:spacing w:before="71" w:line="218" w:lineRule="auto"/>
        <w:ind w:left="750"/>
        <w:rPr>
          <w:sz w:val="20"/>
          <w:szCs w:val="20"/>
        </w:rPr>
      </w:pPr>
      <w:r>
        <w:rPr>
          <w:spacing w:val="1"/>
          <w:sz w:val="20"/>
          <w:szCs w:val="20"/>
        </w:rPr>
        <w:t>(6)若发现安全需求缺失或不当，应及时</w:t>
      </w:r>
      <w:r>
        <w:rPr>
          <w:sz w:val="20"/>
          <w:szCs w:val="20"/>
        </w:rPr>
        <w:t>告知业主单位；</w:t>
      </w:r>
    </w:p>
    <w:p w14:paraId="6F04B4AC">
      <w:pPr>
        <w:pStyle w:val="2"/>
        <w:spacing w:before="74" w:line="257" w:lineRule="auto"/>
        <w:ind w:left="350" w:firstLine="399"/>
        <w:rPr>
          <w:sz w:val="20"/>
          <w:szCs w:val="20"/>
        </w:rPr>
      </w:pPr>
      <w:r>
        <w:rPr>
          <w:spacing w:val="4"/>
          <w:sz w:val="20"/>
          <w:szCs w:val="20"/>
        </w:rPr>
        <w:t>(7)若项目中涉及内部敏感信息，监理机构应促使各方(业主单位、承建单位、监理机构、</w:t>
      </w:r>
      <w:r>
        <w:rPr>
          <w:spacing w:val="15"/>
          <w:sz w:val="20"/>
          <w:szCs w:val="20"/>
        </w:rPr>
        <w:t xml:space="preserve"> </w:t>
      </w:r>
      <w:r>
        <w:rPr>
          <w:spacing w:val="4"/>
          <w:sz w:val="20"/>
          <w:szCs w:val="20"/>
        </w:rPr>
        <w:t>测评机构等)签署保密协议。</w:t>
      </w:r>
    </w:p>
    <w:p w14:paraId="42A6C585">
      <w:pPr>
        <w:spacing w:line="325" w:lineRule="auto"/>
        <w:rPr>
          <w:rFonts w:ascii="Arial"/>
          <w:sz w:val="21"/>
        </w:rPr>
      </w:pPr>
    </w:p>
    <w:p w14:paraId="726A8360">
      <w:pPr>
        <w:pStyle w:val="2"/>
        <w:spacing w:before="95" w:line="222" w:lineRule="auto"/>
        <w:ind w:left="354"/>
        <w:outlineLvl w:val="0"/>
        <w:rPr>
          <w:rFonts w:ascii="黑体" w:hAnsi="黑体" w:eastAsia="黑体" w:cs="黑体"/>
          <w:sz w:val="29"/>
          <w:szCs w:val="29"/>
        </w:rPr>
      </w:pPr>
      <w:r>
        <w:rPr>
          <w:b/>
          <w:bCs/>
          <w:color w:val="0088E3"/>
          <w:spacing w:val="-13"/>
          <w:sz w:val="29"/>
          <w:szCs w:val="29"/>
        </w:rPr>
        <w:t>24.4</w:t>
      </w:r>
      <w:r>
        <w:rPr>
          <w:color w:val="0088E3"/>
          <w:spacing w:val="131"/>
          <w:sz w:val="29"/>
          <w:szCs w:val="29"/>
        </w:rPr>
        <w:t xml:space="preserve"> </w:t>
      </w:r>
      <w:r>
        <w:rPr>
          <w:rFonts w:ascii="黑体" w:hAnsi="黑体" w:eastAsia="黑体" w:cs="黑体"/>
          <w:b/>
          <w:bCs/>
          <w:color w:val="0088E3"/>
          <w:spacing w:val="-13"/>
          <w:sz w:val="29"/>
          <w:szCs w:val="29"/>
        </w:rPr>
        <w:t>设计阶段监理工作</w:t>
      </w:r>
    </w:p>
    <w:p w14:paraId="70B0A28F">
      <w:pPr>
        <w:pStyle w:val="2"/>
        <w:spacing w:before="252" w:line="283" w:lineRule="auto"/>
        <w:ind w:left="350" w:firstLine="399"/>
        <w:rPr>
          <w:sz w:val="20"/>
          <w:szCs w:val="20"/>
        </w:rPr>
      </w:pPr>
      <w:r>
        <w:rPr>
          <w:spacing w:val="5"/>
          <w:sz w:val="20"/>
          <w:szCs w:val="20"/>
        </w:rPr>
        <w:t>本节重点介绍监理单位在信息安全系统的设计阶段</w:t>
      </w:r>
      <w:r>
        <w:rPr>
          <w:spacing w:val="4"/>
          <w:sz w:val="20"/>
          <w:szCs w:val="20"/>
        </w:rPr>
        <w:t>需要执行的监理活动和主要监理内容。</w:t>
      </w:r>
      <w:r>
        <w:rPr>
          <w:sz w:val="20"/>
          <w:szCs w:val="20"/>
        </w:rPr>
        <w:t xml:space="preserve"> </w:t>
      </w:r>
      <w:r>
        <w:rPr>
          <w:spacing w:val="-1"/>
          <w:sz w:val="20"/>
          <w:szCs w:val="20"/>
        </w:rPr>
        <w:t>结合监理实践，将信息安全设计监理工作分为设计阶段和深化设计阶段两个部分进行阐</w:t>
      </w:r>
      <w:r>
        <w:rPr>
          <w:spacing w:val="-2"/>
          <w:sz w:val="20"/>
          <w:szCs w:val="20"/>
        </w:rPr>
        <w:t>述。</w:t>
      </w:r>
    </w:p>
    <w:p w14:paraId="639CA6A3">
      <w:pPr>
        <w:pStyle w:val="2"/>
        <w:spacing w:before="178" w:line="220" w:lineRule="auto"/>
        <w:ind w:left="353"/>
        <w:rPr>
          <w:sz w:val="25"/>
          <w:szCs w:val="25"/>
        </w:rPr>
      </w:pPr>
      <w:r>
        <w:rPr>
          <w:b/>
          <w:bCs/>
          <w:color w:val="007FD5"/>
          <w:spacing w:val="-16"/>
          <w:sz w:val="25"/>
          <w:szCs w:val="25"/>
        </w:rPr>
        <w:t>24.4.1</w:t>
      </w:r>
      <w:r>
        <w:rPr>
          <w:color w:val="007FD5"/>
          <w:spacing w:val="88"/>
          <w:sz w:val="25"/>
          <w:szCs w:val="25"/>
        </w:rPr>
        <w:t xml:space="preserve"> </w:t>
      </w:r>
      <w:r>
        <w:rPr>
          <w:b/>
          <w:bCs/>
          <w:color w:val="007FD5"/>
          <w:spacing w:val="-16"/>
          <w:sz w:val="25"/>
          <w:szCs w:val="25"/>
        </w:rPr>
        <w:t>设计阶段监理活动</w:t>
      </w:r>
    </w:p>
    <w:p w14:paraId="0FBE9047">
      <w:pPr>
        <w:pStyle w:val="2"/>
        <w:spacing w:before="153" w:line="219" w:lineRule="auto"/>
        <w:ind w:left="750"/>
        <w:rPr>
          <w:sz w:val="20"/>
          <w:szCs w:val="20"/>
        </w:rPr>
      </w:pPr>
      <w:r>
        <w:rPr>
          <w:spacing w:val="-3"/>
          <w:sz w:val="20"/>
          <w:szCs w:val="20"/>
        </w:rPr>
        <w:t>信息安全系统设计阶段的主要监理活动如下：</w:t>
      </w:r>
    </w:p>
    <w:p w14:paraId="6E050A16">
      <w:pPr>
        <w:pStyle w:val="2"/>
        <w:spacing w:before="91" w:line="219" w:lineRule="auto"/>
        <w:ind w:left="750"/>
        <w:rPr>
          <w:sz w:val="20"/>
          <w:szCs w:val="20"/>
        </w:rPr>
      </w:pPr>
      <w:r>
        <w:rPr>
          <w:spacing w:val="1"/>
          <w:sz w:val="20"/>
          <w:szCs w:val="20"/>
        </w:rPr>
        <w:t>(1)促使业主单位和承建单位就信息安全需求进行充分沟通，并形成一致的理解；</w:t>
      </w:r>
    </w:p>
    <w:p w14:paraId="563C157E">
      <w:pPr>
        <w:pStyle w:val="2"/>
        <w:spacing w:before="53" w:line="253" w:lineRule="auto"/>
        <w:ind w:left="350" w:right="60" w:firstLine="399"/>
        <w:rPr>
          <w:sz w:val="20"/>
          <w:szCs w:val="20"/>
        </w:rPr>
      </w:pPr>
      <w:r>
        <w:rPr>
          <w:spacing w:val="5"/>
          <w:sz w:val="20"/>
          <w:szCs w:val="20"/>
        </w:rPr>
        <w:t>(2)建议承建单位根据信息安全风险评估报告和信息安全需求进行安全设计，在此期间若</w:t>
      </w:r>
      <w:r>
        <w:rPr>
          <w:spacing w:val="18"/>
          <w:sz w:val="20"/>
          <w:szCs w:val="20"/>
        </w:rPr>
        <w:t xml:space="preserve"> </w:t>
      </w:r>
      <w:r>
        <w:rPr>
          <w:spacing w:val="-3"/>
          <w:sz w:val="20"/>
          <w:szCs w:val="20"/>
        </w:rPr>
        <w:t>发现新的风险或安全需求，应及时通知业主单位和承建单位；</w:t>
      </w:r>
    </w:p>
    <w:p w14:paraId="1D54E7AC">
      <w:pPr>
        <w:pStyle w:val="2"/>
        <w:spacing w:before="72" w:line="254" w:lineRule="auto"/>
        <w:ind w:left="350" w:right="60" w:firstLine="399"/>
        <w:rPr>
          <w:sz w:val="20"/>
          <w:szCs w:val="20"/>
        </w:rPr>
      </w:pPr>
      <w:r>
        <w:rPr>
          <w:spacing w:val="11"/>
          <w:sz w:val="20"/>
          <w:szCs w:val="20"/>
        </w:rPr>
        <w:t>(3)督促承建单位对信息系统工程的安全技术要求进行规范化</w:t>
      </w:r>
      <w:r>
        <w:rPr>
          <w:spacing w:val="10"/>
          <w:sz w:val="20"/>
          <w:szCs w:val="20"/>
        </w:rPr>
        <w:t>描述，形成安全设计方案</w:t>
      </w:r>
      <w:r>
        <w:rPr>
          <w:sz w:val="20"/>
          <w:szCs w:val="20"/>
        </w:rPr>
        <w:t xml:space="preserve"> </w:t>
      </w:r>
      <w:r>
        <w:rPr>
          <w:spacing w:val="-1"/>
          <w:sz w:val="20"/>
          <w:szCs w:val="20"/>
        </w:rPr>
        <w:t>(包括体系结构设计和详细设计);</w:t>
      </w:r>
    </w:p>
    <w:p w14:paraId="6993B2B3">
      <w:pPr>
        <w:pStyle w:val="2"/>
        <w:spacing w:before="60" w:line="253" w:lineRule="auto"/>
        <w:ind w:left="350" w:right="55" w:firstLine="399"/>
        <w:rPr>
          <w:sz w:val="20"/>
          <w:szCs w:val="20"/>
        </w:rPr>
      </w:pPr>
      <w:r>
        <w:rPr>
          <w:spacing w:val="6"/>
          <w:sz w:val="20"/>
          <w:szCs w:val="20"/>
        </w:rPr>
        <w:t>(4)如适用，对已确定将要实行等级保护的系统，</w:t>
      </w:r>
      <w:r>
        <w:rPr>
          <w:spacing w:val="5"/>
          <w:sz w:val="20"/>
          <w:szCs w:val="20"/>
        </w:rPr>
        <w:t>应审核设计方案是否符合相应等级保护</w:t>
      </w:r>
      <w:r>
        <w:rPr>
          <w:sz w:val="20"/>
          <w:szCs w:val="20"/>
        </w:rPr>
        <w:t xml:space="preserve"> </w:t>
      </w:r>
      <w:r>
        <w:rPr>
          <w:spacing w:val="-5"/>
          <w:sz w:val="20"/>
          <w:szCs w:val="20"/>
        </w:rPr>
        <w:t>对应的安全技术要求；</w:t>
      </w:r>
    </w:p>
    <w:p w14:paraId="3C864356">
      <w:pPr>
        <w:pStyle w:val="2"/>
        <w:spacing w:before="81" w:line="219" w:lineRule="auto"/>
        <w:ind w:left="750"/>
        <w:rPr>
          <w:sz w:val="20"/>
          <w:szCs w:val="20"/>
        </w:rPr>
      </w:pPr>
      <w:r>
        <w:rPr>
          <w:spacing w:val="5"/>
          <w:sz w:val="20"/>
          <w:szCs w:val="20"/>
        </w:rPr>
        <w:t>(5)审核承建单位的体系结构设计和详细设计，确保设计依据合规、安全控制措施能满足</w:t>
      </w:r>
    </w:p>
    <w:p w14:paraId="25C3C69B">
      <w:pPr>
        <w:spacing w:line="219" w:lineRule="auto"/>
        <w:rPr>
          <w:sz w:val="20"/>
          <w:szCs w:val="20"/>
        </w:rPr>
        <w:sectPr>
          <w:pgSz w:w="10300" w:h="13340"/>
          <w:pgMar w:top="400" w:right="1059" w:bottom="400" w:left="509" w:header="0" w:footer="0" w:gutter="0"/>
          <w:cols w:space="720" w:num="1"/>
        </w:sectPr>
      </w:pPr>
    </w:p>
    <w:p w14:paraId="78DE335C">
      <w:pPr>
        <w:pStyle w:val="2"/>
        <w:spacing w:before="96" w:line="219" w:lineRule="auto"/>
        <w:jc w:val="right"/>
        <w:rPr>
          <w:rFonts w:ascii="Times New Roman" w:hAnsi="Times New Roman" w:eastAsia="Times New Roman" w:cs="Times New Roman"/>
          <w:sz w:val="19"/>
          <w:szCs w:val="19"/>
        </w:rPr>
      </w:pPr>
      <w:r>
        <w:rPr>
          <w:spacing w:val="3"/>
          <w:sz w:val="19"/>
          <w:szCs w:val="19"/>
        </w:rPr>
        <w:t>第24章</w:t>
      </w:r>
      <w:r>
        <w:rPr>
          <w:spacing w:val="23"/>
          <w:sz w:val="19"/>
          <w:szCs w:val="19"/>
        </w:rPr>
        <w:t xml:space="preserve"> </w:t>
      </w:r>
      <w:r>
        <w:rPr>
          <w:spacing w:val="3"/>
          <w:sz w:val="19"/>
          <w:szCs w:val="19"/>
        </w:rPr>
        <w:t>信息安全监理</w:t>
      </w:r>
      <w:r>
        <w:rPr>
          <w:spacing w:val="8"/>
          <w:sz w:val="19"/>
          <w:szCs w:val="19"/>
        </w:rPr>
        <w:t xml:space="preserve">      </w:t>
      </w:r>
      <w:r>
        <w:rPr>
          <w:rFonts w:ascii="Times New Roman" w:hAnsi="Times New Roman" w:eastAsia="Times New Roman" w:cs="Times New Roman"/>
          <w:spacing w:val="3"/>
          <w:position w:val="1"/>
          <w:sz w:val="19"/>
          <w:szCs w:val="19"/>
        </w:rPr>
        <w:t>555</w:t>
      </w:r>
    </w:p>
    <w:p w14:paraId="7466EC45">
      <w:pPr>
        <w:spacing w:line="322" w:lineRule="auto"/>
        <w:rPr>
          <w:rFonts w:ascii="Arial"/>
          <w:sz w:val="21"/>
        </w:rPr>
      </w:pPr>
    </w:p>
    <w:p w14:paraId="3662757A">
      <w:pPr>
        <w:pStyle w:val="2"/>
        <w:spacing w:before="61" w:line="219" w:lineRule="auto"/>
        <w:rPr>
          <w:sz w:val="19"/>
          <w:szCs w:val="19"/>
        </w:rPr>
      </w:pPr>
      <w:r>
        <w:rPr>
          <w:spacing w:val="-1"/>
          <w:sz w:val="19"/>
          <w:szCs w:val="19"/>
        </w:rPr>
        <w:t>安全技术要求；</w:t>
      </w:r>
    </w:p>
    <w:p w14:paraId="77DC78CD">
      <w:pPr>
        <w:pStyle w:val="2"/>
        <w:spacing w:before="84" w:line="266" w:lineRule="auto"/>
        <w:ind w:right="306" w:firstLine="389"/>
        <w:rPr>
          <w:sz w:val="19"/>
          <w:szCs w:val="19"/>
        </w:rPr>
      </w:pPr>
      <w:r>
        <w:rPr>
          <w:spacing w:val="15"/>
          <w:sz w:val="19"/>
          <w:szCs w:val="19"/>
        </w:rPr>
        <w:t>(6)协助业主单位和监理单位与信息安全相关主管部门进行充分的沟通和</w:t>
      </w:r>
      <w:r>
        <w:rPr>
          <w:spacing w:val="14"/>
          <w:sz w:val="19"/>
          <w:szCs w:val="19"/>
        </w:rPr>
        <w:t>协调，确保安全</w:t>
      </w:r>
      <w:r>
        <w:rPr>
          <w:sz w:val="19"/>
          <w:szCs w:val="19"/>
        </w:rPr>
        <w:t xml:space="preserve"> </w:t>
      </w:r>
      <w:r>
        <w:rPr>
          <w:spacing w:val="3"/>
          <w:sz w:val="19"/>
          <w:szCs w:val="19"/>
        </w:rPr>
        <w:t>设计方案的合规性要求；</w:t>
      </w:r>
    </w:p>
    <w:p w14:paraId="6B077ACD">
      <w:pPr>
        <w:pStyle w:val="2"/>
        <w:spacing w:before="82" w:line="270" w:lineRule="auto"/>
        <w:ind w:right="307" w:firstLine="389"/>
        <w:rPr>
          <w:sz w:val="19"/>
          <w:szCs w:val="19"/>
        </w:rPr>
      </w:pPr>
      <w:r>
        <w:rPr>
          <w:spacing w:val="15"/>
          <w:sz w:val="19"/>
          <w:szCs w:val="19"/>
        </w:rPr>
        <w:t>(7)建议承建单位在进行安全设计时，充分考虑新建项目对现有系统和</w:t>
      </w:r>
      <w:r>
        <w:rPr>
          <w:spacing w:val="14"/>
          <w:sz w:val="19"/>
          <w:szCs w:val="19"/>
        </w:rPr>
        <w:t>目标系统安全性可</w:t>
      </w:r>
      <w:r>
        <w:rPr>
          <w:sz w:val="19"/>
          <w:szCs w:val="19"/>
        </w:rPr>
        <w:t xml:space="preserve"> </w:t>
      </w:r>
      <w:r>
        <w:rPr>
          <w:spacing w:val="6"/>
          <w:sz w:val="19"/>
          <w:szCs w:val="19"/>
        </w:rPr>
        <w:t>能造成的影响，并在设计方案中有所体现；</w:t>
      </w:r>
    </w:p>
    <w:p w14:paraId="2ED7221F">
      <w:pPr>
        <w:pStyle w:val="2"/>
        <w:spacing w:before="74" w:line="275" w:lineRule="auto"/>
        <w:ind w:right="300" w:firstLine="389"/>
        <w:rPr>
          <w:sz w:val="19"/>
          <w:szCs w:val="19"/>
        </w:rPr>
      </w:pPr>
      <w:r>
        <w:rPr>
          <w:spacing w:val="15"/>
          <w:sz w:val="19"/>
          <w:szCs w:val="19"/>
        </w:rPr>
        <w:t>(8)确保安全设计方案满足信息安全需求且具有可验证性，符合相关的法律法规、政策和</w:t>
      </w:r>
      <w:r>
        <w:rPr>
          <w:sz w:val="19"/>
          <w:szCs w:val="19"/>
        </w:rPr>
        <w:t xml:space="preserve"> </w:t>
      </w:r>
      <w:r>
        <w:rPr>
          <w:spacing w:val="5"/>
          <w:sz w:val="19"/>
          <w:szCs w:val="19"/>
        </w:rPr>
        <w:t>标准，并与信息系统工程整体建设相符；</w:t>
      </w:r>
    </w:p>
    <w:p w14:paraId="1DC11104">
      <w:pPr>
        <w:pStyle w:val="2"/>
        <w:spacing w:before="64" w:line="265" w:lineRule="auto"/>
        <w:ind w:right="307" w:firstLine="389"/>
        <w:rPr>
          <w:sz w:val="19"/>
          <w:szCs w:val="19"/>
        </w:rPr>
      </w:pPr>
      <w:r>
        <w:rPr>
          <w:spacing w:val="15"/>
          <w:sz w:val="19"/>
          <w:szCs w:val="19"/>
        </w:rPr>
        <w:t>(9)要求承建单位提交工程设计方案和工程实施组织设计方案，监理机</w:t>
      </w:r>
      <w:r>
        <w:rPr>
          <w:spacing w:val="14"/>
          <w:sz w:val="19"/>
          <w:szCs w:val="19"/>
        </w:rPr>
        <w:t>构对其中的安全涉</w:t>
      </w:r>
      <w:r>
        <w:rPr>
          <w:sz w:val="19"/>
          <w:szCs w:val="19"/>
        </w:rPr>
        <w:t xml:space="preserve"> </w:t>
      </w:r>
      <w:r>
        <w:rPr>
          <w:spacing w:val="3"/>
          <w:sz w:val="19"/>
          <w:szCs w:val="19"/>
        </w:rPr>
        <w:t>及内容进行审核；</w:t>
      </w:r>
    </w:p>
    <w:p w14:paraId="24B27797">
      <w:pPr>
        <w:pStyle w:val="2"/>
        <w:spacing w:before="85" w:line="265" w:lineRule="auto"/>
        <w:ind w:right="308" w:firstLine="389"/>
        <w:rPr>
          <w:sz w:val="19"/>
          <w:szCs w:val="19"/>
        </w:rPr>
      </w:pPr>
      <w:r>
        <w:rPr>
          <w:spacing w:val="12"/>
          <w:sz w:val="19"/>
          <w:szCs w:val="19"/>
        </w:rPr>
        <w:t>(10)协助业主单位配合承建单位完成工程设计前的安全需求调查和分析工作，就设计阶段</w:t>
      </w:r>
      <w:r>
        <w:rPr>
          <w:spacing w:val="4"/>
          <w:sz w:val="19"/>
          <w:szCs w:val="19"/>
        </w:rPr>
        <w:t xml:space="preserve"> </w:t>
      </w:r>
      <w:r>
        <w:rPr>
          <w:spacing w:val="6"/>
          <w:sz w:val="19"/>
          <w:szCs w:val="19"/>
        </w:rPr>
        <w:t>的各种变更对工程安全性的可能影响提出监理意见；</w:t>
      </w:r>
    </w:p>
    <w:p w14:paraId="3F5CBEDD">
      <w:pPr>
        <w:pStyle w:val="2"/>
        <w:spacing w:before="93" w:line="219" w:lineRule="auto"/>
        <w:ind w:left="389"/>
        <w:rPr>
          <w:sz w:val="19"/>
          <w:szCs w:val="19"/>
        </w:rPr>
      </w:pPr>
      <w:r>
        <w:rPr>
          <w:spacing w:val="10"/>
          <w:sz w:val="19"/>
          <w:szCs w:val="19"/>
        </w:rPr>
        <w:t>(11)督促承建单位提供与安全设计方案配套的其他安全输入。</w:t>
      </w:r>
    </w:p>
    <w:p w14:paraId="62A840A1">
      <w:pPr>
        <w:pStyle w:val="2"/>
        <w:spacing w:before="245" w:line="219" w:lineRule="auto"/>
        <w:ind w:left="2"/>
        <w:rPr>
          <w:sz w:val="25"/>
          <w:szCs w:val="25"/>
        </w:rPr>
      </w:pPr>
      <w:bookmarkStart w:id="758" w:name="bookmark743"/>
      <w:bookmarkEnd w:id="758"/>
      <w:r>
        <w:rPr>
          <w:b/>
          <w:bCs/>
          <w:color w:val="0076DE"/>
          <w:spacing w:val="-17"/>
          <w:sz w:val="25"/>
          <w:szCs w:val="25"/>
        </w:rPr>
        <w:t>24.4.2</w:t>
      </w:r>
      <w:r>
        <w:rPr>
          <w:color w:val="0076DE"/>
          <w:spacing w:val="88"/>
          <w:sz w:val="25"/>
          <w:szCs w:val="25"/>
        </w:rPr>
        <w:t xml:space="preserve"> </w:t>
      </w:r>
      <w:r>
        <w:rPr>
          <w:b/>
          <w:bCs/>
          <w:color w:val="0076DE"/>
          <w:spacing w:val="-17"/>
          <w:sz w:val="25"/>
          <w:szCs w:val="25"/>
        </w:rPr>
        <w:t>设计阶段监理内容</w:t>
      </w:r>
    </w:p>
    <w:p w14:paraId="20F430C0">
      <w:pPr>
        <w:pStyle w:val="2"/>
        <w:spacing w:before="175" w:line="302" w:lineRule="auto"/>
        <w:ind w:right="304" w:firstLine="389"/>
        <w:jc w:val="both"/>
        <w:rPr>
          <w:sz w:val="19"/>
          <w:szCs w:val="19"/>
        </w:rPr>
      </w:pPr>
      <w:r>
        <w:rPr>
          <w:spacing w:val="13"/>
          <w:sz w:val="19"/>
          <w:szCs w:val="19"/>
        </w:rPr>
        <w:t>信息系统工程信息安全建设的依据包括相应的法律法规与标准规范，监</w:t>
      </w:r>
      <w:r>
        <w:rPr>
          <w:spacing w:val="12"/>
          <w:sz w:val="19"/>
          <w:szCs w:val="19"/>
        </w:rPr>
        <w:t>理机构应协助业主</w:t>
      </w:r>
      <w:r>
        <w:rPr>
          <w:sz w:val="19"/>
          <w:szCs w:val="19"/>
        </w:rPr>
        <w:t xml:space="preserve"> </w:t>
      </w:r>
      <w:r>
        <w:rPr>
          <w:spacing w:val="13"/>
          <w:sz w:val="19"/>
          <w:szCs w:val="19"/>
        </w:rPr>
        <w:t>单位确定适用的设计依据(宜采用最新发布的法律法规、标准规范),如</w:t>
      </w:r>
      <w:r>
        <w:rPr>
          <w:rFonts w:ascii="Times New Roman" w:hAnsi="Times New Roman" w:eastAsia="Times New Roman" w:cs="Times New Roman"/>
          <w:sz w:val="19"/>
          <w:szCs w:val="19"/>
        </w:rPr>
        <w:t>GB</w:t>
      </w:r>
      <w:r>
        <w:rPr>
          <w:rFonts w:ascii="Times New Roman" w:hAnsi="Times New Roman" w:eastAsia="Times New Roman" w:cs="Times New Roman"/>
          <w:spacing w:val="13"/>
          <w:sz w:val="19"/>
          <w:szCs w:val="19"/>
        </w:rPr>
        <w:t>/T   9361</w:t>
      </w:r>
      <w:r>
        <w:rPr>
          <w:spacing w:val="13"/>
          <w:sz w:val="19"/>
          <w:szCs w:val="19"/>
        </w:rPr>
        <w:t>《计算机场</w:t>
      </w:r>
      <w:r>
        <w:rPr>
          <w:spacing w:val="2"/>
          <w:sz w:val="19"/>
          <w:szCs w:val="19"/>
        </w:rPr>
        <w:t xml:space="preserve"> </w:t>
      </w:r>
      <w:r>
        <w:rPr>
          <w:spacing w:val="9"/>
          <w:sz w:val="19"/>
          <w:szCs w:val="19"/>
        </w:rPr>
        <w:t>地安全要求》、</w:t>
      </w:r>
      <w:r>
        <w:rPr>
          <w:rFonts w:ascii="Times New Roman" w:hAnsi="Times New Roman" w:eastAsia="Times New Roman" w:cs="Times New Roman"/>
          <w:sz w:val="19"/>
          <w:szCs w:val="19"/>
        </w:rPr>
        <w:t>GB</w:t>
      </w:r>
      <w:r>
        <w:rPr>
          <w:rFonts w:ascii="Times New Roman" w:hAnsi="Times New Roman" w:eastAsia="Times New Roman" w:cs="Times New Roman"/>
          <w:spacing w:val="9"/>
          <w:sz w:val="19"/>
          <w:szCs w:val="19"/>
        </w:rPr>
        <w:t>/T</w:t>
      </w:r>
      <w:r>
        <w:rPr>
          <w:rFonts w:ascii="Times New Roman" w:hAnsi="Times New Roman" w:eastAsia="Times New Roman" w:cs="Times New Roman"/>
          <w:spacing w:val="23"/>
          <w:sz w:val="19"/>
          <w:szCs w:val="19"/>
        </w:rPr>
        <w:t xml:space="preserve">  </w:t>
      </w:r>
      <w:r>
        <w:rPr>
          <w:rFonts w:ascii="Times New Roman" w:hAnsi="Times New Roman" w:eastAsia="Times New Roman" w:cs="Times New Roman"/>
          <w:spacing w:val="9"/>
          <w:sz w:val="19"/>
          <w:szCs w:val="19"/>
        </w:rPr>
        <w:t>30283</w:t>
      </w:r>
      <w:r>
        <w:rPr>
          <w:spacing w:val="9"/>
          <w:sz w:val="19"/>
          <w:szCs w:val="19"/>
        </w:rPr>
        <w:t>《信息安全技术信息安全服务分类与代码》等。</w:t>
      </w:r>
    </w:p>
    <w:p w14:paraId="500A5B32">
      <w:pPr>
        <w:pStyle w:val="2"/>
        <w:spacing w:before="113" w:line="222" w:lineRule="auto"/>
        <w:ind w:left="392"/>
        <w:rPr>
          <w:rFonts w:ascii="黑体" w:hAnsi="黑体" w:eastAsia="黑体" w:cs="黑体"/>
          <w:sz w:val="19"/>
          <w:szCs w:val="19"/>
        </w:rPr>
      </w:pPr>
      <w:r>
        <w:rPr>
          <w:b/>
          <w:bCs/>
          <w:color w:val="0081D7"/>
          <w:spacing w:val="6"/>
          <w:sz w:val="19"/>
          <w:szCs w:val="19"/>
        </w:rPr>
        <w:t>1.</w:t>
      </w:r>
      <w:r>
        <w:rPr>
          <w:rFonts w:ascii="黑体" w:hAnsi="黑体" w:eastAsia="黑体" w:cs="黑体"/>
          <w:b/>
          <w:bCs/>
          <w:color w:val="0081D7"/>
          <w:spacing w:val="6"/>
          <w:sz w:val="19"/>
          <w:szCs w:val="19"/>
        </w:rPr>
        <w:t>体系结构设计的审核</w:t>
      </w:r>
    </w:p>
    <w:p w14:paraId="6F7FDB69">
      <w:pPr>
        <w:pStyle w:val="2"/>
        <w:spacing w:before="154" w:line="219" w:lineRule="auto"/>
        <w:ind w:left="389"/>
        <w:rPr>
          <w:sz w:val="19"/>
          <w:szCs w:val="19"/>
        </w:rPr>
      </w:pPr>
      <w:r>
        <w:rPr>
          <w:spacing w:val="8"/>
          <w:sz w:val="19"/>
          <w:szCs w:val="19"/>
        </w:rPr>
        <w:t>监理机构应从如下方面对系统体系结构设计进</w:t>
      </w:r>
      <w:r>
        <w:rPr>
          <w:spacing w:val="7"/>
          <w:sz w:val="19"/>
          <w:szCs w:val="19"/>
        </w:rPr>
        <w:t>行审核，并提出监理意见：</w:t>
      </w:r>
    </w:p>
    <w:p w14:paraId="7C4EBE85">
      <w:pPr>
        <w:pStyle w:val="2"/>
        <w:spacing w:before="77" w:line="220" w:lineRule="auto"/>
        <w:ind w:left="389"/>
        <w:rPr>
          <w:sz w:val="19"/>
          <w:szCs w:val="19"/>
        </w:rPr>
      </w:pPr>
      <w:r>
        <w:rPr>
          <w:spacing w:val="10"/>
          <w:sz w:val="19"/>
          <w:szCs w:val="19"/>
        </w:rPr>
        <w:t>(1)安全设计与安全目标和安全需求的一致性。</w:t>
      </w:r>
    </w:p>
    <w:p w14:paraId="7732AC2A">
      <w:pPr>
        <w:pStyle w:val="2"/>
        <w:spacing w:before="92" w:line="219" w:lineRule="auto"/>
        <w:ind w:left="389"/>
        <w:rPr>
          <w:sz w:val="19"/>
          <w:szCs w:val="19"/>
        </w:rPr>
      </w:pPr>
      <w:r>
        <w:rPr>
          <w:spacing w:val="10"/>
          <w:sz w:val="19"/>
          <w:szCs w:val="19"/>
        </w:rPr>
        <w:t>(2)根据安全技术要求，选择安全模型时应考虑以下内容：</w:t>
      </w:r>
    </w:p>
    <w:p w14:paraId="2859B710">
      <w:pPr>
        <w:pStyle w:val="2"/>
        <w:spacing w:before="76" w:line="220" w:lineRule="auto"/>
        <w:ind w:left="389"/>
        <w:rPr>
          <w:sz w:val="19"/>
          <w:szCs w:val="19"/>
        </w:rPr>
      </w:pPr>
      <w:r>
        <w:rPr>
          <w:spacing w:val="10"/>
          <w:sz w:val="19"/>
          <w:szCs w:val="19"/>
        </w:rPr>
        <w:t>●安全体系结构设计的合理性；</w:t>
      </w:r>
    </w:p>
    <w:p w14:paraId="19BD91BB">
      <w:pPr>
        <w:pStyle w:val="2"/>
        <w:spacing w:before="93" w:line="219" w:lineRule="auto"/>
        <w:ind w:left="389"/>
        <w:rPr>
          <w:sz w:val="19"/>
          <w:szCs w:val="19"/>
        </w:rPr>
      </w:pPr>
      <w:r>
        <w:rPr>
          <w:spacing w:val="11"/>
          <w:sz w:val="19"/>
          <w:szCs w:val="19"/>
        </w:rPr>
        <w:t>●安全解决方案的针对性；</w:t>
      </w:r>
    </w:p>
    <w:p w14:paraId="2ED4C24B">
      <w:pPr>
        <w:pStyle w:val="2"/>
        <w:spacing w:before="95" w:line="220" w:lineRule="auto"/>
        <w:ind w:left="389"/>
        <w:rPr>
          <w:sz w:val="19"/>
          <w:szCs w:val="19"/>
        </w:rPr>
      </w:pPr>
      <w:r>
        <w:rPr>
          <w:spacing w:val="11"/>
          <w:sz w:val="19"/>
          <w:szCs w:val="19"/>
        </w:rPr>
        <w:t>●安全控制措施的有效性；</w:t>
      </w:r>
    </w:p>
    <w:p w14:paraId="2227E384">
      <w:pPr>
        <w:pStyle w:val="2"/>
        <w:spacing w:before="94" w:line="220" w:lineRule="auto"/>
        <w:ind w:left="389"/>
        <w:rPr>
          <w:sz w:val="19"/>
          <w:szCs w:val="19"/>
        </w:rPr>
      </w:pPr>
      <w:r>
        <w:rPr>
          <w:spacing w:val="11"/>
          <w:sz w:val="19"/>
          <w:szCs w:val="19"/>
        </w:rPr>
        <w:t>●</w:t>
      </w:r>
      <w:r>
        <w:rPr>
          <w:spacing w:val="-57"/>
          <w:sz w:val="19"/>
          <w:szCs w:val="19"/>
        </w:rPr>
        <w:t xml:space="preserve"> </w:t>
      </w:r>
      <w:r>
        <w:rPr>
          <w:spacing w:val="11"/>
          <w:sz w:val="19"/>
          <w:szCs w:val="19"/>
        </w:rPr>
        <w:t>残余风险。</w:t>
      </w:r>
    </w:p>
    <w:p w14:paraId="14410EA0">
      <w:pPr>
        <w:pStyle w:val="2"/>
        <w:spacing w:before="91" w:line="219" w:lineRule="auto"/>
        <w:ind w:left="389"/>
        <w:rPr>
          <w:sz w:val="19"/>
          <w:szCs w:val="19"/>
        </w:rPr>
      </w:pPr>
      <w:r>
        <w:rPr>
          <w:spacing w:val="11"/>
          <w:sz w:val="19"/>
          <w:szCs w:val="19"/>
        </w:rPr>
        <w:t>(3)安全控制措施应覆盖物理、主机、网络、应用、数据和信息安全管理等方面。</w:t>
      </w:r>
    </w:p>
    <w:p w14:paraId="243EB384">
      <w:pPr>
        <w:pStyle w:val="2"/>
        <w:spacing w:before="87" w:line="220" w:lineRule="auto"/>
        <w:ind w:left="389"/>
        <w:rPr>
          <w:sz w:val="19"/>
          <w:szCs w:val="19"/>
        </w:rPr>
      </w:pPr>
      <w:r>
        <w:rPr>
          <w:spacing w:val="11"/>
          <w:sz w:val="19"/>
          <w:szCs w:val="19"/>
        </w:rPr>
        <w:t>(4)项目各阶段的安全风险分析和控制措施的全面性、合理性。</w:t>
      </w:r>
    </w:p>
    <w:p w14:paraId="6F8E8AF1">
      <w:pPr>
        <w:pStyle w:val="2"/>
        <w:spacing w:before="83" w:line="219" w:lineRule="auto"/>
        <w:ind w:left="389"/>
        <w:rPr>
          <w:sz w:val="19"/>
          <w:szCs w:val="19"/>
        </w:rPr>
      </w:pPr>
      <w:r>
        <w:rPr>
          <w:spacing w:val="10"/>
          <w:sz w:val="19"/>
          <w:szCs w:val="19"/>
        </w:rPr>
        <w:t>(5)安全性检验手段应具有可操作性、有效性。</w:t>
      </w:r>
    </w:p>
    <w:p w14:paraId="08D151B0">
      <w:pPr>
        <w:pStyle w:val="2"/>
        <w:spacing w:before="64" w:line="271" w:lineRule="auto"/>
        <w:ind w:right="220" w:firstLine="389"/>
        <w:rPr>
          <w:sz w:val="19"/>
          <w:szCs w:val="19"/>
        </w:rPr>
      </w:pPr>
      <w:r>
        <w:rPr>
          <w:spacing w:val="12"/>
          <w:sz w:val="19"/>
          <w:szCs w:val="19"/>
        </w:rPr>
        <w:t>(6)如适用，应督促承建单位组织相关部门和有关安全技术专家对体系结构设计的</w:t>
      </w:r>
      <w:r>
        <w:rPr>
          <w:spacing w:val="11"/>
          <w:sz w:val="19"/>
          <w:szCs w:val="19"/>
        </w:rPr>
        <w:t>合理性、</w:t>
      </w:r>
      <w:r>
        <w:rPr>
          <w:sz w:val="19"/>
          <w:szCs w:val="19"/>
        </w:rPr>
        <w:t xml:space="preserve"> </w:t>
      </w:r>
      <w:r>
        <w:rPr>
          <w:spacing w:val="5"/>
          <w:sz w:val="19"/>
          <w:szCs w:val="19"/>
        </w:rPr>
        <w:t>确定性进行论证和审定。</w:t>
      </w:r>
    </w:p>
    <w:p w14:paraId="2CB00BCA">
      <w:pPr>
        <w:pStyle w:val="2"/>
        <w:spacing w:before="159" w:line="222" w:lineRule="auto"/>
        <w:ind w:left="392"/>
        <w:rPr>
          <w:rFonts w:ascii="黑体" w:hAnsi="黑体" w:eastAsia="黑体" w:cs="黑体"/>
          <w:sz w:val="19"/>
          <w:szCs w:val="19"/>
        </w:rPr>
      </w:pPr>
      <w:r>
        <w:rPr>
          <w:b/>
          <w:bCs/>
          <w:color w:val="007EDF"/>
          <w:spacing w:val="8"/>
          <w:sz w:val="19"/>
          <w:szCs w:val="19"/>
        </w:rPr>
        <w:t>2.</w:t>
      </w:r>
      <w:r>
        <w:rPr>
          <w:rFonts w:ascii="黑体" w:hAnsi="黑体" w:eastAsia="黑体" w:cs="黑体"/>
          <w:b/>
          <w:bCs/>
          <w:color w:val="007EDF"/>
          <w:spacing w:val="8"/>
          <w:sz w:val="19"/>
          <w:szCs w:val="19"/>
        </w:rPr>
        <w:t>详细设计的审核</w:t>
      </w:r>
    </w:p>
    <w:p w14:paraId="5AC8BE98">
      <w:pPr>
        <w:pStyle w:val="2"/>
        <w:spacing w:before="144" w:line="219" w:lineRule="auto"/>
        <w:ind w:left="389"/>
        <w:rPr>
          <w:sz w:val="19"/>
          <w:szCs w:val="19"/>
        </w:rPr>
      </w:pPr>
      <w:r>
        <w:rPr>
          <w:spacing w:val="8"/>
          <w:sz w:val="19"/>
          <w:szCs w:val="19"/>
        </w:rPr>
        <w:t>监理机构应从如下方面对系统详细设计进行审核，并提出监理意见：</w:t>
      </w:r>
    </w:p>
    <w:p w14:paraId="625F4E49">
      <w:pPr>
        <w:pStyle w:val="2"/>
        <w:spacing w:before="55" w:line="275" w:lineRule="auto"/>
        <w:ind w:right="221" w:firstLine="389"/>
        <w:rPr>
          <w:sz w:val="19"/>
          <w:szCs w:val="19"/>
        </w:rPr>
      </w:pPr>
      <w:r>
        <w:rPr>
          <w:spacing w:val="17"/>
          <w:sz w:val="19"/>
          <w:szCs w:val="19"/>
        </w:rPr>
        <w:t>(1)详细设计应遵循体系结构设计，确定并明晰系统安全设计要素，如安全功能和性</w:t>
      </w:r>
      <w:r>
        <w:rPr>
          <w:spacing w:val="16"/>
          <w:sz w:val="19"/>
          <w:szCs w:val="19"/>
        </w:rPr>
        <w:t>能、</w:t>
      </w:r>
      <w:r>
        <w:rPr>
          <w:sz w:val="19"/>
          <w:szCs w:val="19"/>
        </w:rPr>
        <w:t xml:space="preserve"> </w:t>
      </w:r>
      <w:r>
        <w:rPr>
          <w:spacing w:val="5"/>
          <w:sz w:val="19"/>
          <w:szCs w:val="19"/>
        </w:rPr>
        <w:t>系统接口、安全控制措施、安全规范等；</w:t>
      </w:r>
    </w:p>
    <w:p w14:paraId="09891F41">
      <w:pPr>
        <w:pStyle w:val="2"/>
        <w:spacing w:before="65" w:line="265" w:lineRule="auto"/>
        <w:ind w:right="286" w:firstLine="389"/>
        <w:rPr>
          <w:sz w:val="19"/>
          <w:szCs w:val="19"/>
        </w:rPr>
      </w:pPr>
      <w:r>
        <w:rPr>
          <w:spacing w:val="15"/>
          <w:sz w:val="19"/>
          <w:szCs w:val="19"/>
        </w:rPr>
        <w:t>(2)安全控制措施应考虑计算机设备、设施(包括机房建筑、供电、空调等)、通信与</w:t>
      </w:r>
      <w:r>
        <w:rPr>
          <w:spacing w:val="14"/>
          <w:sz w:val="19"/>
          <w:szCs w:val="19"/>
        </w:rPr>
        <w:t>网络</w:t>
      </w:r>
      <w:r>
        <w:rPr>
          <w:sz w:val="19"/>
          <w:szCs w:val="19"/>
        </w:rPr>
        <w:t xml:space="preserve"> </w:t>
      </w:r>
      <w:r>
        <w:rPr>
          <w:spacing w:val="13"/>
          <w:sz w:val="19"/>
          <w:szCs w:val="19"/>
        </w:rPr>
        <w:t>设备、存储设备、身份鉴别、访问控制、安全审计、系统和信息集成、产品</w:t>
      </w:r>
      <w:r>
        <w:rPr>
          <w:spacing w:val="12"/>
          <w:sz w:val="19"/>
          <w:szCs w:val="19"/>
        </w:rPr>
        <w:t>和服务获取、配置</w:t>
      </w:r>
    </w:p>
    <w:p w14:paraId="0DD75125">
      <w:pPr>
        <w:spacing w:line="265" w:lineRule="auto"/>
        <w:rPr>
          <w:sz w:val="19"/>
          <w:szCs w:val="19"/>
        </w:rPr>
        <w:sectPr>
          <w:pgSz w:w="10300" w:h="13300"/>
          <w:pgMar w:top="400" w:right="544" w:bottom="400" w:left="1149" w:header="0" w:footer="0" w:gutter="0"/>
          <w:cols w:space="720" w:num="1"/>
        </w:sectPr>
      </w:pPr>
    </w:p>
    <w:p w14:paraId="132DE684">
      <w:pPr>
        <w:pStyle w:val="2"/>
        <w:spacing w:before="97" w:line="219" w:lineRule="auto"/>
        <w:rPr>
          <w:sz w:val="19"/>
          <w:szCs w:val="19"/>
        </w:rPr>
      </w:pPr>
      <w:r>
        <w:rPr>
          <w:rFonts w:ascii="Times New Roman" w:hAnsi="Times New Roman" w:eastAsia="Times New Roman" w:cs="Times New Roman"/>
          <w:spacing w:val="3"/>
          <w:position w:val="1"/>
          <w:sz w:val="19"/>
          <w:szCs w:val="19"/>
        </w:rPr>
        <w:t xml:space="preserve">556              </w:t>
      </w:r>
      <w:r>
        <w:rPr>
          <w:spacing w:val="3"/>
          <w:sz w:val="19"/>
          <w:szCs w:val="19"/>
        </w:rPr>
        <w:t>信息系统监理师教程(第2版)</w:t>
      </w:r>
    </w:p>
    <w:p w14:paraId="55DA259F">
      <w:pPr>
        <w:spacing w:line="329" w:lineRule="auto"/>
        <w:rPr>
          <w:rFonts w:ascii="Arial"/>
          <w:sz w:val="21"/>
        </w:rPr>
      </w:pPr>
    </w:p>
    <w:p w14:paraId="6E9566C4">
      <w:pPr>
        <w:pStyle w:val="2"/>
        <w:spacing w:before="62" w:line="290" w:lineRule="auto"/>
        <w:ind w:left="349" w:right="10"/>
        <w:rPr>
          <w:sz w:val="19"/>
          <w:szCs w:val="19"/>
        </w:rPr>
      </w:pPr>
      <w:r>
        <w:rPr>
          <w:spacing w:val="13"/>
          <w:sz w:val="19"/>
          <w:szCs w:val="19"/>
        </w:rPr>
        <w:t>管理、应急计划、事件响应、安全评估与认证、安全意识和培训等方面，以及针对特定需求的</w:t>
      </w:r>
      <w:r>
        <w:rPr>
          <w:spacing w:val="1"/>
          <w:sz w:val="19"/>
          <w:szCs w:val="19"/>
        </w:rPr>
        <w:t xml:space="preserve"> </w:t>
      </w:r>
      <w:r>
        <w:rPr>
          <w:spacing w:val="2"/>
          <w:sz w:val="19"/>
          <w:szCs w:val="19"/>
        </w:rPr>
        <w:t>安全控制措施；</w:t>
      </w:r>
    </w:p>
    <w:p w14:paraId="5A39D274">
      <w:pPr>
        <w:pStyle w:val="2"/>
        <w:spacing w:before="24" w:line="265" w:lineRule="auto"/>
        <w:ind w:left="349" w:right="46" w:firstLine="390"/>
        <w:rPr>
          <w:sz w:val="19"/>
          <w:szCs w:val="19"/>
        </w:rPr>
      </w:pPr>
      <w:r>
        <w:rPr>
          <w:spacing w:val="17"/>
          <w:sz w:val="19"/>
          <w:szCs w:val="19"/>
        </w:rPr>
        <w:t>(3)选择具体的安全产品和服务，设计安全产品和服务中应具备的安全机制(例如</w:t>
      </w:r>
      <w:r>
        <w:rPr>
          <w:spacing w:val="16"/>
          <w:sz w:val="19"/>
          <w:szCs w:val="19"/>
        </w:rPr>
        <w:t>配置策</w:t>
      </w:r>
      <w:r>
        <w:rPr>
          <w:sz w:val="19"/>
          <w:szCs w:val="19"/>
        </w:rPr>
        <w:t xml:space="preserve"> </w:t>
      </w:r>
      <w:r>
        <w:rPr>
          <w:spacing w:val="10"/>
          <w:sz w:val="19"/>
          <w:szCs w:val="19"/>
        </w:rPr>
        <w:t>略等);</w:t>
      </w:r>
    </w:p>
    <w:p w14:paraId="6EBD5374">
      <w:pPr>
        <w:pStyle w:val="2"/>
        <w:spacing w:before="93" w:line="219" w:lineRule="auto"/>
        <w:ind w:left="740"/>
        <w:rPr>
          <w:sz w:val="19"/>
          <w:szCs w:val="19"/>
        </w:rPr>
      </w:pPr>
      <w:r>
        <w:rPr>
          <w:spacing w:val="10"/>
          <w:sz w:val="19"/>
          <w:szCs w:val="19"/>
        </w:rPr>
        <w:t>(4)安全产品采购和使用应符合国家有关规定；</w:t>
      </w:r>
    </w:p>
    <w:p w14:paraId="48DD1028">
      <w:pPr>
        <w:pStyle w:val="2"/>
        <w:spacing w:before="95" w:line="219" w:lineRule="auto"/>
        <w:ind w:left="740"/>
        <w:rPr>
          <w:sz w:val="19"/>
          <w:szCs w:val="19"/>
        </w:rPr>
      </w:pPr>
      <w:r>
        <w:rPr>
          <w:spacing w:val="10"/>
          <w:sz w:val="19"/>
          <w:szCs w:val="19"/>
        </w:rPr>
        <w:t>(5)可预先对产品进行选型测试；</w:t>
      </w:r>
    </w:p>
    <w:p w14:paraId="7B4C1B71">
      <w:pPr>
        <w:pStyle w:val="2"/>
        <w:spacing w:before="95" w:line="219" w:lineRule="auto"/>
        <w:ind w:left="740"/>
        <w:rPr>
          <w:sz w:val="19"/>
          <w:szCs w:val="19"/>
        </w:rPr>
      </w:pPr>
      <w:r>
        <w:rPr>
          <w:spacing w:val="10"/>
          <w:sz w:val="19"/>
          <w:szCs w:val="19"/>
        </w:rPr>
        <w:t>(6)工程实施组织设计，相关的操作指南或手册；</w:t>
      </w:r>
    </w:p>
    <w:p w14:paraId="4FB440AF">
      <w:pPr>
        <w:pStyle w:val="2"/>
        <w:spacing w:before="93" w:line="219" w:lineRule="auto"/>
        <w:ind w:left="740"/>
        <w:rPr>
          <w:sz w:val="19"/>
          <w:szCs w:val="19"/>
        </w:rPr>
      </w:pPr>
      <w:r>
        <w:rPr>
          <w:spacing w:val="10"/>
          <w:sz w:val="19"/>
          <w:szCs w:val="19"/>
        </w:rPr>
        <w:t>(7)为系统用户和管理员提供安全运行指南；</w:t>
      </w:r>
    </w:p>
    <w:p w14:paraId="33DFE78A">
      <w:pPr>
        <w:pStyle w:val="2"/>
        <w:spacing w:before="85" w:line="271" w:lineRule="auto"/>
        <w:ind w:left="349" w:right="45" w:firstLine="390"/>
        <w:rPr>
          <w:sz w:val="19"/>
          <w:szCs w:val="19"/>
        </w:rPr>
      </w:pPr>
      <w:r>
        <w:rPr>
          <w:spacing w:val="15"/>
          <w:sz w:val="19"/>
          <w:szCs w:val="19"/>
        </w:rPr>
        <w:t>(8)应督促承建单位组织相关部门和有关安全技术</w:t>
      </w:r>
      <w:r>
        <w:rPr>
          <w:spacing w:val="14"/>
          <w:sz w:val="19"/>
          <w:szCs w:val="19"/>
        </w:rPr>
        <w:t>专家对详细设计的合理性、正确性进行</w:t>
      </w:r>
      <w:r>
        <w:rPr>
          <w:sz w:val="19"/>
          <w:szCs w:val="19"/>
        </w:rPr>
        <w:t xml:space="preserve"> </w:t>
      </w:r>
      <w:r>
        <w:rPr>
          <w:spacing w:val="2"/>
          <w:sz w:val="19"/>
          <w:szCs w:val="19"/>
        </w:rPr>
        <w:t>论证和审定。</w:t>
      </w:r>
    </w:p>
    <w:p w14:paraId="043E1CEA">
      <w:pPr>
        <w:pStyle w:val="2"/>
        <w:spacing w:before="243" w:line="220" w:lineRule="auto"/>
        <w:ind w:left="353"/>
        <w:rPr>
          <w:sz w:val="25"/>
          <w:szCs w:val="25"/>
        </w:rPr>
      </w:pPr>
      <w:bookmarkStart w:id="759" w:name="bookmark744"/>
      <w:bookmarkEnd w:id="759"/>
      <w:r>
        <w:rPr>
          <w:b/>
          <w:bCs/>
          <w:color w:val="0071D4"/>
          <w:spacing w:val="-18"/>
          <w:sz w:val="25"/>
          <w:szCs w:val="25"/>
        </w:rPr>
        <w:t>24.4.3</w:t>
      </w:r>
      <w:r>
        <w:rPr>
          <w:color w:val="0071D4"/>
          <w:spacing w:val="112"/>
          <w:sz w:val="25"/>
          <w:szCs w:val="25"/>
        </w:rPr>
        <w:t xml:space="preserve"> </w:t>
      </w:r>
      <w:r>
        <w:rPr>
          <w:b/>
          <w:bCs/>
          <w:color w:val="0071D4"/>
          <w:spacing w:val="-18"/>
          <w:sz w:val="25"/>
          <w:szCs w:val="25"/>
        </w:rPr>
        <w:t>深化设计阶段监理活动</w:t>
      </w:r>
    </w:p>
    <w:p w14:paraId="073EC5F2">
      <w:pPr>
        <w:pStyle w:val="2"/>
        <w:spacing w:before="181" w:line="219" w:lineRule="auto"/>
        <w:ind w:left="740"/>
        <w:rPr>
          <w:sz w:val="19"/>
          <w:szCs w:val="19"/>
        </w:rPr>
      </w:pPr>
      <w:r>
        <w:rPr>
          <w:spacing w:val="6"/>
          <w:sz w:val="19"/>
          <w:szCs w:val="19"/>
        </w:rPr>
        <w:t>在此阶段，监理机构主要开展以下活动：</w:t>
      </w:r>
    </w:p>
    <w:p w14:paraId="49B2E514">
      <w:pPr>
        <w:pStyle w:val="2"/>
        <w:spacing w:before="85" w:line="219" w:lineRule="auto"/>
        <w:ind w:left="740"/>
        <w:rPr>
          <w:sz w:val="19"/>
          <w:szCs w:val="19"/>
        </w:rPr>
      </w:pPr>
      <w:r>
        <w:rPr>
          <w:spacing w:val="11"/>
          <w:sz w:val="19"/>
          <w:szCs w:val="19"/>
        </w:rPr>
        <w:t>(1)复核承建单位资质、拟派人员资格；</w:t>
      </w:r>
    </w:p>
    <w:p w14:paraId="4AFC5F0D">
      <w:pPr>
        <w:pStyle w:val="2"/>
        <w:spacing w:before="86" w:line="219" w:lineRule="auto"/>
        <w:ind w:left="740"/>
        <w:rPr>
          <w:sz w:val="19"/>
          <w:szCs w:val="19"/>
        </w:rPr>
      </w:pPr>
      <w:r>
        <w:rPr>
          <w:spacing w:val="10"/>
          <w:sz w:val="19"/>
          <w:szCs w:val="19"/>
        </w:rPr>
        <w:t>(2)审核工程实施方案，检查实施方案与承建合同、设计方案的一致性；</w:t>
      </w:r>
    </w:p>
    <w:p w14:paraId="119C807C">
      <w:pPr>
        <w:pStyle w:val="2"/>
        <w:spacing w:before="83" w:line="267" w:lineRule="auto"/>
        <w:ind w:left="349" w:right="47" w:firstLine="390"/>
        <w:rPr>
          <w:sz w:val="19"/>
          <w:szCs w:val="19"/>
        </w:rPr>
      </w:pPr>
      <w:r>
        <w:rPr>
          <w:spacing w:val="15"/>
          <w:sz w:val="19"/>
          <w:szCs w:val="19"/>
        </w:rPr>
        <w:t>(3)审核承建单位提交的工程进度计划，保证</w:t>
      </w:r>
      <w:r>
        <w:rPr>
          <w:spacing w:val="14"/>
          <w:sz w:val="19"/>
          <w:szCs w:val="19"/>
        </w:rPr>
        <w:t>信息系统工程中的各项安全控制措施实施符</w:t>
      </w:r>
      <w:r>
        <w:rPr>
          <w:sz w:val="19"/>
          <w:szCs w:val="19"/>
        </w:rPr>
        <w:t xml:space="preserve"> </w:t>
      </w:r>
      <w:r>
        <w:rPr>
          <w:spacing w:val="4"/>
          <w:sz w:val="19"/>
          <w:szCs w:val="19"/>
        </w:rPr>
        <w:t>合总体时间安排；</w:t>
      </w:r>
    </w:p>
    <w:p w14:paraId="3E488438">
      <w:pPr>
        <w:pStyle w:val="2"/>
        <w:spacing w:before="72" w:line="274" w:lineRule="auto"/>
        <w:ind w:left="349" w:right="47" w:firstLine="390"/>
        <w:rPr>
          <w:sz w:val="19"/>
          <w:szCs w:val="19"/>
        </w:rPr>
      </w:pPr>
      <w:r>
        <w:rPr>
          <w:spacing w:val="15"/>
          <w:sz w:val="19"/>
          <w:szCs w:val="19"/>
        </w:rPr>
        <w:t>(4)审核承建单位提交的开工报审材料，具备开</w:t>
      </w:r>
      <w:r>
        <w:rPr>
          <w:spacing w:val="14"/>
          <w:sz w:val="19"/>
          <w:szCs w:val="19"/>
        </w:rPr>
        <w:t>工条件且经业主单位批准后，及时签发开</w:t>
      </w:r>
      <w:r>
        <w:rPr>
          <w:sz w:val="19"/>
          <w:szCs w:val="19"/>
        </w:rPr>
        <w:t xml:space="preserve"> </w:t>
      </w:r>
      <w:r>
        <w:rPr>
          <w:spacing w:val="1"/>
          <w:sz w:val="19"/>
          <w:szCs w:val="19"/>
        </w:rPr>
        <w:t>工令；</w:t>
      </w:r>
    </w:p>
    <w:p w14:paraId="49C696E2">
      <w:pPr>
        <w:pStyle w:val="2"/>
        <w:spacing w:before="65" w:line="266" w:lineRule="auto"/>
        <w:ind w:left="349" w:right="47" w:firstLine="390"/>
        <w:rPr>
          <w:sz w:val="19"/>
          <w:szCs w:val="19"/>
        </w:rPr>
      </w:pPr>
      <w:r>
        <w:rPr>
          <w:spacing w:val="15"/>
          <w:sz w:val="19"/>
          <w:szCs w:val="19"/>
        </w:rPr>
        <w:t>(5)督促承建单位实地了解建设环境及现状，熟</w:t>
      </w:r>
      <w:r>
        <w:rPr>
          <w:spacing w:val="14"/>
          <w:sz w:val="19"/>
          <w:szCs w:val="19"/>
        </w:rPr>
        <w:t>悉规划设计文件，并在此基础上开展深化</w:t>
      </w:r>
      <w:r>
        <w:rPr>
          <w:sz w:val="19"/>
          <w:szCs w:val="19"/>
        </w:rPr>
        <w:t xml:space="preserve"> </w:t>
      </w:r>
      <w:r>
        <w:rPr>
          <w:spacing w:val="3"/>
          <w:sz w:val="19"/>
          <w:szCs w:val="19"/>
        </w:rPr>
        <w:t>设计工作；</w:t>
      </w:r>
    </w:p>
    <w:p w14:paraId="6DBF600C">
      <w:pPr>
        <w:pStyle w:val="2"/>
        <w:spacing w:before="92" w:line="219" w:lineRule="auto"/>
        <w:ind w:left="740"/>
        <w:rPr>
          <w:sz w:val="19"/>
          <w:szCs w:val="19"/>
        </w:rPr>
      </w:pPr>
      <w:r>
        <w:rPr>
          <w:spacing w:val="10"/>
          <w:sz w:val="19"/>
          <w:szCs w:val="19"/>
        </w:rPr>
        <w:t>(6)协调相关方，落实物理环境、电力供应、网络通信等相关资源配置；</w:t>
      </w:r>
    </w:p>
    <w:p w14:paraId="67A00748">
      <w:pPr>
        <w:pStyle w:val="2"/>
        <w:spacing w:before="86" w:line="219" w:lineRule="auto"/>
        <w:ind w:left="740"/>
        <w:rPr>
          <w:sz w:val="19"/>
          <w:szCs w:val="19"/>
        </w:rPr>
      </w:pPr>
      <w:r>
        <w:rPr>
          <w:spacing w:val="10"/>
          <w:sz w:val="19"/>
          <w:szCs w:val="19"/>
        </w:rPr>
        <w:t>(7)审核深化设计阶段各方提出的变更文件；</w:t>
      </w:r>
    </w:p>
    <w:p w14:paraId="56779326">
      <w:pPr>
        <w:pStyle w:val="2"/>
        <w:spacing w:before="93" w:line="219" w:lineRule="auto"/>
        <w:ind w:left="740"/>
        <w:rPr>
          <w:sz w:val="19"/>
          <w:szCs w:val="19"/>
        </w:rPr>
      </w:pPr>
      <w:r>
        <w:rPr>
          <w:spacing w:val="10"/>
          <w:sz w:val="19"/>
          <w:szCs w:val="19"/>
        </w:rPr>
        <w:t>(8)及时出具书面审核意见，并监督相关方按照要求在规定时间内落实；</w:t>
      </w:r>
    </w:p>
    <w:p w14:paraId="6B2AAF6E">
      <w:pPr>
        <w:pStyle w:val="2"/>
        <w:spacing w:before="86" w:line="219" w:lineRule="auto"/>
        <w:ind w:left="740"/>
        <w:rPr>
          <w:sz w:val="19"/>
          <w:szCs w:val="19"/>
        </w:rPr>
      </w:pPr>
      <w:r>
        <w:rPr>
          <w:spacing w:val="11"/>
          <w:sz w:val="19"/>
          <w:szCs w:val="19"/>
        </w:rPr>
        <w:t>(9)根据项目实际需求，配合业主单位组</w:t>
      </w:r>
      <w:r>
        <w:rPr>
          <w:spacing w:val="10"/>
          <w:sz w:val="19"/>
          <w:szCs w:val="19"/>
        </w:rPr>
        <w:t>织深化设计评审工作。</w:t>
      </w:r>
    </w:p>
    <w:p w14:paraId="61377B88">
      <w:pPr>
        <w:pStyle w:val="2"/>
        <w:spacing w:before="223" w:line="219" w:lineRule="auto"/>
        <w:ind w:left="352"/>
        <w:rPr>
          <w:sz w:val="25"/>
          <w:szCs w:val="25"/>
        </w:rPr>
      </w:pPr>
      <w:r>
        <w:rPr>
          <w:b/>
          <w:bCs/>
          <w:color w:val="0072E4"/>
          <w:spacing w:val="-18"/>
          <w:sz w:val="25"/>
          <w:szCs w:val="25"/>
        </w:rPr>
        <w:t>24.4.4</w:t>
      </w:r>
      <w:r>
        <w:rPr>
          <w:color w:val="0072E4"/>
          <w:spacing w:val="106"/>
          <w:sz w:val="25"/>
          <w:szCs w:val="25"/>
        </w:rPr>
        <w:t xml:space="preserve"> </w:t>
      </w:r>
      <w:r>
        <w:rPr>
          <w:b/>
          <w:bCs/>
          <w:color w:val="0072E4"/>
          <w:spacing w:val="-18"/>
          <w:sz w:val="25"/>
          <w:szCs w:val="25"/>
        </w:rPr>
        <w:t>深化设计阶段监理内容</w:t>
      </w:r>
    </w:p>
    <w:p w14:paraId="53CF423A">
      <w:pPr>
        <w:pStyle w:val="2"/>
        <w:spacing w:before="270" w:line="221" w:lineRule="auto"/>
        <w:ind w:left="742"/>
        <w:rPr>
          <w:rFonts w:ascii="黑体" w:hAnsi="黑体" w:eastAsia="黑体" w:cs="黑体"/>
          <w:sz w:val="19"/>
          <w:szCs w:val="19"/>
        </w:rPr>
      </w:pPr>
      <w:r>
        <w:rPr>
          <w:b/>
          <w:bCs/>
          <w:color w:val="006CBF"/>
          <w:spacing w:val="8"/>
          <w:sz w:val="19"/>
          <w:szCs w:val="19"/>
        </w:rPr>
        <w:t>1.</w:t>
      </w:r>
      <w:r>
        <w:rPr>
          <w:rFonts w:ascii="黑体" w:hAnsi="黑体" w:eastAsia="黑体" w:cs="黑体"/>
          <w:b/>
          <w:bCs/>
          <w:color w:val="006CBF"/>
          <w:spacing w:val="8"/>
          <w:sz w:val="19"/>
          <w:szCs w:val="19"/>
        </w:rPr>
        <w:t>深化设计方案的审核</w:t>
      </w:r>
    </w:p>
    <w:p w14:paraId="72AEDD1D">
      <w:pPr>
        <w:pStyle w:val="2"/>
        <w:spacing w:before="147" w:line="292" w:lineRule="auto"/>
        <w:ind w:left="349" w:right="16" w:firstLine="390"/>
        <w:jc w:val="both"/>
        <w:rPr>
          <w:sz w:val="19"/>
          <w:szCs w:val="19"/>
        </w:rPr>
      </w:pPr>
      <w:r>
        <w:rPr>
          <w:spacing w:val="13"/>
          <w:sz w:val="19"/>
          <w:szCs w:val="19"/>
        </w:rPr>
        <w:t>承建单位进场后，为确保安全物理环境满足</w:t>
      </w:r>
      <w:r>
        <w:rPr>
          <w:spacing w:val="12"/>
          <w:sz w:val="19"/>
          <w:szCs w:val="19"/>
        </w:rPr>
        <w:t>等级保护要求，应开展现场检查工作，根据检</w:t>
      </w:r>
      <w:r>
        <w:rPr>
          <w:sz w:val="19"/>
          <w:szCs w:val="19"/>
        </w:rPr>
        <w:t xml:space="preserve"> </w:t>
      </w:r>
      <w:r>
        <w:rPr>
          <w:spacing w:val="13"/>
          <w:sz w:val="19"/>
          <w:szCs w:val="19"/>
        </w:rPr>
        <w:t>查结果，在详细设计方案的基础上开展深化设计工作，如涉及工程变更事项，应</w:t>
      </w:r>
      <w:r>
        <w:rPr>
          <w:spacing w:val="12"/>
          <w:sz w:val="19"/>
          <w:szCs w:val="19"/>
        </w:rPr>
        <w:t>及时履行变更</w:t>
      </w:r>
      <w:r>
        <w:rPr>
          <w:sz w:val="19"/>
          <w:szCs w:val="19"/>
        </w:rPr>
        <w:t xml:space="preserve"> </w:t>
      </w:r>
      <w:r>
        <w:rPr>
          <w:spacing w:val="8"/>
          <w:sz w:val="19"/>
          <w:szCs w:val="19"/>
        </w:rPr>
        <w:t>程序。监理机构应及时审核并出具监理审核意见。</w:t>
      </w:r>
    </w:p>
    <w:p w14:paraId="3EFB89C2">
      <w:pPr>
        <w:pStyle w:val="2"/>
        <w:spacing w:before="38" w:line="219" w:lineRule="auto"/>
        <w:ind w:left="740"/>
        <w:rPr>
          <w:sz w:val="19"/>
          <w:szCs w:val="19"/>
        </w:rPr>
      </w:pPr>
      <w:r>
        <w:rPr>
          <w:spacing w:val="11"/>
          <w:sz w:val="19"/>
          <w:szCs w:val="19"/>
        </w:rPr>
        <w:t>(1)承建单位应踏勘机房场地，了解安全</w:t>
      </w:r>
      <w:r>
        <w:rPr>
          <w:spacing w:val="10"/>
          <w:sz w:val="19"/>
          <w:szCs w:val="19"/>
        </w:rPr>
        <w:t>设备部署的物理位置；</w:t>
      </w:r>
    </w:p>
    <w:p w14:paraId="17B7CEC7">
      <w:pPr>
        <w:pStyle w:val="2"/>
        <w:spacing w:before="74" w:line="219" w:lineRule="auto"/>
        <w:jc w:val="right"/>
        <w:rPr>
          <w:sz w:val="19"/>
          <w:szCs w:val="19"/>
        </w:rPr>
      </w:pPr>
      <w:r>
        <w:rPr>
          <w:spacing w:val="11"/>
          <w:sz w:val="19"/>
          <w:szCs w:val="19"/>
        </w:rPr>
        <w:t>(2)承建单位应检查机房出入口门禁系统，确认物理访问控制措</w:t>
      </w:r>
      <w:r>
        <w:rPr>
          <w:spacing w:val="10"/>
          <w:sz w:val="19"/>
          <w:szCs w:val="19"/>
        </w:rPr>
        <w:t>施是否满足等级保护要求；</w:t>
      </w:r>
    </w:p>
    <w:p w14:paraId="146CB611">
      <w:pPr>
        <w:pStyle w:val="2"/>
        <w:spacing w:before="74" w:line="261" w:lineRule="auto"/>
        <w:ind w:left="349" w:right="15" w:firstLine="390"/>
        <w:rPr>
          <w:sz w:val="19"/>
          <w:szCs w:val="19"/>
        </w:rPr>
      </w:pPr>
      <w:r>
        <w:rPr>
          <w:spacing w:val="15"/>
          <w:sz w:val="19"/>
          <w:szCs w:val="19"/>
        </w:rPr>
        <w:t>(3)承建单位应检查机房防盗报警系统、机柜接地系统及其他防护设施，确认安全物理环</w:t>
      </w:r>
      <w:r>
        <w:rPr>
          <w:spacing w:val="13"/>
          <w:sz w:val="19"/>
          <w:szCs w:val="19"/>
        </w:rPr>
        <w:t xml:space="preserve"> </w:t>
      </w:r>
      <w:r>
        <w:rPr>
          <w:spacing w:val="7"/>
          <w:sz w:val="19"/>
          <w:szCs w:val="19"/>
        </w:rPr>
        <w:t>境是否满足等级保护要求；</w:t>
      </w:r>
    </w:p>
    <w:p w14:paraId="185BF913">
      <w:pPr>
        <w:pStyle w:val="2"/>
        <w:spacing w:before="85" w:line="260" w:lineRule="auto"/>
        <w:ind w:left="349" w:right="10" w:firstLine="390"/>
        <w:rPr>
          <w:sz w:val="19"/>
          <w:szCs w:val="19"/>
        </w:rPr>
      </w:pPr>
      <w:r>
        <w:rPr>
          <w:spacing w:val="15"/>
          <w:sz w:val="19"/>
          <w:szCs w:val="19"/>
        </w:rPr>
        <w:t>(4)承建单位应了解安全设备部署环境的线缆敷设要求及网络架构，确保安全设备接入的</w:t>
      </w:r>
      <w:r>
        <w:rPr>
          <w:spacing w:val="18"/>
          <w:sz w:val="19"/>
          <w:szCs w:val="19"/>
        </w:rPr>
        <w:t xml:space="preserve"> </w:t>
      </w:r>
      <w:r>
        <w:rPr>
          <w:spacing w:val="6"/>
          <w:sz w:val="19"/>
          <w:szCs w:val="19"/>
        </w:rPr>
        <w:t>网络链路顺畅。</w:t>
      </w:r>
    </w:p>
    <w:p w14:paraId="0C3E4713">
      <w:pPr>
        <w:spacing w:line="260" w:lineRule="auto"/>
        <w:rPr>
          <w:sz w:val="19"/>
          <w:szCs w:val="19"/>
        </w:rPr>
        <w:sectPr>
          <w:pgSz w:w="10300" w:h="13390"/>
          <w:pgMar w:top="400" w:right="1124" w:bottom="400" w:left="489" w:header="0" w:footer="0" w:gutter="0"/>
          <w:cols w:space="720" w:num="1"/>
        </w:sectPr>
      </w:pPr>
    </w:p>
    <w:p w14:paraId="4868D3CF">
      <w:pPr>
        <w:pStyle w:val="2"/>
        <w:spacing w:before="47" w:line="227" w:lineRule="auto"/>
        <w:jc w:val="right"/>
        <w:rPr>
          <w:rFonts w:ascii="Times New Roman" w:hAnsi="Times New Roman" w:eastAsia="Times New Roman" w:cs="Times New Roman"/>
          <w:sz w:val="24"/>
          <w:szCs w:val="24"/>
        </w:rPr>
      </w:pPr>
      <w:r>
        <w:rPr>
          <w:spacing w:val="4"/>
          <w:sz w:val="19"/>
          <w:szCs w:val="19"/>
        </w:rPr>
        <w:t>第24章</w:t>
      </w:r>
      <w:r>
        <w:rPr>
          <w:spacing w:val="36"/>
          <w:sz w:val="19"/>
          <w:szCs w:val="19"/>
        </w:rPr>
        <w:t xml:space="preserve"> </w:t>
      </w:r>
      <w:r>
        <w:rPr>
          <w:spacing w:val="4"/>
          <w:sz w:val="19"/>
          <w:szCs w:val="19"/>
        </w:rPr>
        <w:t xml:space="preserve">信息安全监理      </w:t>
      </w:r>
      <w:r>
        <w:rPr>
          <w:rFonts w:ascii="Times New Roman" w:hAnsi="Times New Roman" w:eastAsia="Times New Roman" w:cs="Times New Roman"/>
          <w:color w:val="0094EB"/>
          <w:spacing w:val="4"/>
          <w:position w:val="-3"/>
          <w:sz w:val="24"/>
          <w:szCs w:val="24"/>
        </w:rPr>
        <w:t>5</w:t>
      </w:r>
      <w:r>
        <w:rPr>
          <w:rFonts w:ascii="Times New Roman" w:hAnsi="Times New Roman" w:eastAsia="Times New Roman" w:cs="Times New Roman"/>
          <w:spacing w:val="4"/>
          <w:position w:val="-3"/>
          <w:sz w:val="24"/>
          <w:szCs w:val="24"/>
        </w:rPr>
        <w:t>57</w:t>
      </w:r>
    </w:p>
    <w:p w14:paraId="437315CA">
      <w:pPr>
        <w:spacing w:line="291" w:lineRule="auto"/>
        <w:rPr>
          <w:rFonts w:ascii="Arial"/>
          <w:sz w:val="21"/>
        </w:rPr>
      </w:pPr>
    </w:p>
    <w:p w14:paraId="29BEB313">
      <w:pPr>
        <w:pStyle w:val="2"/>
        <w:spacing w:before="61" w:line="221" w:lineRule="auto"/>
        <w:ind w:left="392"/>
        <w:rPr>
          <w:rFonts w:ascii="黑体" w:hAnsi="黑体" w:eastAsia="黑体" w:cs="黑体"/>
          <w:sz w:val="19"/>
          <w:szCs w:val="19"/>
        </w:rPr>
      </w:pPr>
      <w:bookmarkStart w:id="760" w:name="bookmark745"/>
      <w:bookmarkEnd w:id="760"/>
      <w:r>
        <w:rPr>
          <w:b/>
          <w:bCs/>
          <w:color w:val="0079D7"/>
          <w:spacing w:val="8"/>
          <w:sz w:val="19"/>
          <w:szCs w:val="19"/>
        </w:rPr>
        <w:t>2.</w:t>
      </w:r>
      <w:r>
        <w:rPr>
          <w:rFonts w:ascii="黑体" w:hAnsi="黑体" w:eastAsia="黑体" w:cs="黑体"/>
          <w:b/>
          <w:bCs/>
          <w:color w:val="0079D7"/>
          <w:spacing w:val="8"/>
          <w:sz w:val="19"/>
          <w:szCs w:val="19"/>
        </w:rPr>
        <w:t>项目实施方案的审核</w:t>
      </w:r>
    </w:p>
    <w:p w14:paraId="5930501B">
      <w:pPr>
        <w:pStyle w:val="2"/>
        <w:spacing w:before="136" w:line="299" w:lineRule="auto"/>
        <w:ind w:right="401" w:firstLine="390"/>
        <w:rPr>
          <w:sz w:val="19"/>
          <w:szCs w:val="19"/>
        </w:rPr>
      </w:pPr>
      <w:r>
        <w:rPr>
          <w:spacing w:val="12"/>
          <w:sz w:val="19"/>
          <w:szCs w:val="19"/>
        </w:rPr>
        <w:t>监理机构应督促承建单位编制项目实施方案。实施方案一般包括技术措施实现方案、管理</w:t>
      </w:r>
      <w:r>
        <w:rPr>
          <w:spacing w:val="17"/>
          <w:sz w:val="19"/>
          <w:szCs w:val="19"/>
        </w:rPr>
        <w:t xml:space="preserve"> </w:t>
      </w:r>
      <w:r>
        <w:rPr>
          <w:spacing w:val="6"/>
          <w:sz w:val="19"/>
          <w:szCs w:val="19"/>
        </w:rPr>
        <w:t>措施实现方案。</w:t>
      </w:r>
    </w:p>
    <w:p w14:paraId="2D3AE78A">
      <w:pPr>
        <w:spacing w:before="93" w:line="227" w:lineRule="auto"/>
        <w:ind w:left="390"/>
        <w:rPr>
          <w:rFonts w:ascii="楷体" w:hAnsi="楷体" w:eastAsia="楷体" w:cs="楷体"/>
          <w:sz w:val="19"/>
          <w:szCs w:val="19"/>
        </w:rPr>
      </w:pPr>
      <w:r>
        <w:rPr>
          <w:rFonts w:ascii="楷体" w:hAnsi="楷体" w:eastAsia="楷体" w:cs="楷体"/>
          <w:spacing w:val="17"/>
          <w:sz w:val="19"/>
          <w:szCs w:val="19"/>
        </w:rPr>
        <w:t>1)技术措施实现方案</w:t>
      </w:r>
    </w:p>
    <w:p w14:paraId="5F61A773">
      <w:pPr>
        <w:pStyle w:val="2"/>
        <w:spacing w:before="87" w:line="219" w:lineRule="auto"/>
        <w:ind w:left="390"/>
        <w:rPr>
          <w:sz w:val="19"/>
          <w:szCs w:val="19"/>
        </w:rPr>
      </w:pPr>
      <w:r>
        <w:rPr>
          <w:spacing w:val="6"/>
          <w:sz w:val="19"/>
          <w:szCs w:val="19"/>
        </w:rPr>
        <w:t>技术措施实现方案具体包括以下几个方面：</w:t>
      </w:r>
    </w:p>
    <w:p w14:paraId="46E4BA30">
      <w:pPr>
        <w:pStyle w:val="2"/>
        <w:spacing w:before="104" w:line="219" w:lineRule="auto"/>
        <w:ind w:left="390"/>
        <w:rPr>
          <w:sz w:val="19"/>
          <w:szCs w:val="19"/>
        </w:rPr>
      </w:pPr>
      <w:r>
        <w:rPr>
          <w:spacing w:val="12"/>
          <w:sz w:val="19"/>
          <w:szCs w:val="19"/>
        </w:rPr>
        <w:t>(1)网络安全产品或服务采购。</w:t>
      </w:r>
    </w:p>
    <w:p w14:paraId="3BC05693">
      <w:pPr>
        <w:pStyle w:val="2"/>
        <w:spacing w:before="84" w:line="293" w:lineRule="auto"/>
        <w:ind w:right="313" w:firstLine="390"/>
        <w:rPr>
          <w:sz w:val="19"/>
          <w:szCs w:val="19"/>
        </w:rPr>
      </w:pPr>
      <w:r>
        <w:rPr>
          <w:spacing w:val="15"/>
          <w:sz w:val="19"/>
          <w:szCs w:val="19"/>
        </w:rPr>
        <w:t>承建单位应按照安全详细设计方案、深化设计方案、招标文件</w:t>
      </w:r>
      <w:r>
        <w:rPr>
          <w:spacing w:val="14"/>
          <w:sz w:val="19"/>
          <w:szCs w:val="19"/>
        </w:rPr>
        <w:t>、合同文件要求进行采购，</w:t>
      </w:r>
      <w:r>
        <w:rPr>
          <w:sz w:val="19"/>
          <w:szCs w:val="19"/>
        </w:rPr>
        <w:t xml:space="preserve"> </w:t>
      </w:r>
      <w:r>
        <w:rPr>
          <w:spacing w:val="13"/>
          <w:sz w:val="19"/>
          <w:szCs w:val="19"/>
        </w:rPr>
        <w:t>根据产品、产品组合或服务实现的功能、性能和安全性满足安全设计要</w:t>
      </w:r>
      <w:r>
        <w:rPr>
          <w:spacing w:val="12"/>
          <w:sz w:val="19"/>
          <w:szCs w:val="19"/>
        </w:rPr>
        <w:t>求的情况来选购所需的</w:t>
      </w:r>
      <w:r>
        <w:rPr>
          <w:sz w:val="19"/>
          <w:szCs w:val="19"/>
        </w:rPr>
        <w:t xml:space="preserve"> </w:t>
      </w:r>
      <w:r>
        <w:rPr>
          <w:spacing w:val="5"/>
          <w:sz w:val="19"/>
          <w:szCs w:val="19"/>
        </w:rPr>
        <w:t>网络安全产品或服务。</w:t>
      </w:r>
    </w:p>
    <w:p w14:paraId="6D366B03">
      <w:pPr>
        <w:pStyle w:val="2"/>
        <w:spacing w:before="26" w:line="219" w:lineRule="auto"/>
        <w:ind w:left="390"/>
        <w:rPr>
          <w:sz w:val="19"/>
          <w:szCs w:val="19"/>
        </w:rPr>
      </w:pPr>
      <w:r>
        <w:rPr>
          <w:spacing w:val="11"/>
          <w:sz w:val="19"/>
          <w:szCs w:val="19"/>
        </w:rPr>
        <w:t>●制订产品或服务采购计划。</w:t>
      </w:r>
    </w:p>
    <w:p w14:paraId="22723301">
      <w:pPr>
        <w:pStyle w:val="2"/>
        <w:spacing w:before="116" w:line="284" w:lineRule="auto"/>
        <w:ind w:right="360" w:firstLine="390"/>
        <w:rPr>
          <w:sz w:val="19"/>
          <w:szCs w:val="19"/>
        </w:rPr>
      </w:pPr>
      <w:r>
        <w:rPr>
          <w:spacing w:val="13"/>
          <w:sz w:val="19"/>
          <w:szCs w:val="19"/>
        </w:rPr>
        <w:t>网络安全产品或服务选型过程要依据安全详细设计方案、深化设计方案的设计要求，制订</w:t>
      </w:r>
      <w:r>
        <w:rPr>
          <w:spacing w:val="1"/>
          <w:sz w:val="19"/>
          <w:szCs w:val="19"/>
        </w:rPr>
        <w:t xml:space="preserve"> </w:t>
      </w:r>
      <w:r>
        <w:rPr>
          <w:spacing w:val="13"/>
          <w:sz w:val="19"/>
          <w:szCs w:val="19"/>
        </w:rPr>
        <w:t>产品或服务采购计划，对产品或服务的采购原则、采购范围、技术指标要求、采购方式等方面</w:t>
      </w:r>
      <w:r>
        <w:rPr>
          <w:spacing w:val="4"/>
          <w:sz w:val="19"/>
          <w:szCs w:val="19"/>
        </w:rPr>
        <w:t xml:space="preserve"> </w:t>
      </w:r>
      <w:r>
        <w:rPr>
          <w:spacing w:val="13"/>
          <w:sz w:val="19"/>
          <w:szCs w:val="19"/>
        </w:rPr>
        <w:t>进行说明。对于产品的功能、性能和安全性指标，可以依据第三方测试机构所出具的产品测试</w:t>
      </w:r>
      <w:r>
        <w:rPr>
          <w:spacing w:val="3"/>
          <w:sz w:val="19"/>
          <w:szCs w:val="19"/>
        </w:rPr>
        <w:t xml:space="preserve"> </w:t>
      </w:r>
      <w:r>
        <w:rPr>
          <w:spacing w:val="8"/>
          <w:sz w:val="19"/>
          <w:szCs w:val="19"/>
        </w:rPr>
        <w:t>报告，也可以依据用户自行组织的网络安全产品功能、性能和安全性选型测试结果。</w:t>
      </w:r>
    </w:p>
    <w:p w14:paraId="4A61BDE0">
      <w:pPr>
        <w:pStyle w:val="2"/>
        <w:spacing w:before="70" w:line="219" w:lineRule="auto"/>
        <w:ind w:left="390"/>
        <w:rPr>
          <w:sz w:val="19"/>
          <w:szCs w:val="19"/>
        </w:rPr>
      </w:pPr>
      <w:r>
        <w:rPr>
          <w:spacing w:val="14"/>
          <w:sz w:val="19"/>
          <w:szCs w:val="19"/>
        </w:rPr>
        <w:t>●采购产品或服务。</w:t>
      </w:r>
    </w:p>
    <w:p w14:paraId="38615346">
      <w:pPr>
        <w:pStyle w:val="2"/>
        <w:spacing w:before="83" w:line="297" w:lineRule="auto"/>
        <w:ind w:right="375" w:firstLine="390"/>
        <w:rPr>
          <w:sz w:val="19"/>
          <w:szCs w:val="19"/>
        </w:rPr>
      </w:pPr>
      <w:r>
        <w:rPr>
          <w:spacing w:val="13"/>
          <w:sz w:val="19"/>
          <w:szCs w:val="19"/>
        </w:rPr>
        <w:t>在依据产品或服务采购计划对现有产品或服务进行选择时，不仅要考虑产品或</w:t>
      </w:r>
      <w:r>
        <w:rPr>
          <w:spacing w:val="12"/>
          <w:sz w:val="19"/>
          <w:szCs w:val="19"/>
        </w:rPr>
        <w:t>服务的使用</w:t>
      </w:r>
      <w:r>
        <w:rPr>
          <w:sz w:val="19"/>
          <w:szCs w:val="19"/>
        </w:rPr>
        <w:t xml:space="preserve"> </w:t>
      </w:r>
      <w:r>
        <w:rPr>
          <w:spacing w:val="12"/>
          <w:sz w:val="19"/>
          <w:szCs w:val="19"/>
        </w:rPr>
        <w:t>环境、安全功能、成本(包括采购和维护成本)、易用性、可扩展性、与其他产品或服务的互动</w:t>
      </w:r>
      <w:r>
        <w:rPr>
          <w:spacing w:val="18"/>
          <w:sz w:val="19"/>
          <w:szCs w:val="19"/>
        </w:rPr>
        <w:t xml:space="preserve"> </w:t>
      </w:r>
      <w:r>
        <w:rPr>
          <w:spacing w:val="13"/>
          <w:sz w:val="19"/>
          <w:szCs w:val="19"/>
        </w:rPr>
        <w:t>和兼容性等因素，还要考虑产品或服务的质量和可信性。产</w:t>
      </w:r>
      <w:r>
        <w:rPr>
          <w:spacing w:val="12"/>
          <w:sz w:val="19"/>
          <w:szCs w:val="19"/>
        </w:rPr>
        <w:t>品或服务的可信性是保证系统安全</w:t>
      </w:r>
      <w:r>
        <w:rPr>
          <w:sz w:val="19"/>
          <w:szCs w:val="19"/>
        </w:rPr>
        <w:t xml:space="preserve"> </w:t>
      </w:r>
      <w:r>
        <w:rPr>
          <w:spacing w:val="13"/>
          <w:sz w:val="19"/>
          <w:szCs w:val="19"/>
        </w:rPr>
        <w:t>的基础，在选择网络安全产品时应确保符合国家关于网络</w:t>
      </w:r>
      <w:r>
        <w:rPr>
          <w:spacing w:val="12"/>
          <w:sz w:val="19"/>
          <w:szCs w:val="19"/>
        </w:rPr>
        <w:t>安全产品使用的有关规定。对于网络</w:t>
      </w:r>
      <w:r>
        <w:rPr>
          <w:sz w:val="19"/>
          <w:szCs w:val="19"/>
        </w:rPr>
        <w:t xml:space="preserve"> </w:t>
      </w:r>
      <w:r>
        <w:rPr>
          <w:spacing w:val="13"/>
          <w:sz w:val="19"/>
          <w:szCs w:val="19"/>
        </w:rPr>
        <w:t>安全产品及密码产品的使用，应按照公安部门、国家密码</w:t>
      </w:r>
      <w:r>
        <w:rPr>
          <w:spacing w:val="12"/>
          <w:sz w:val="19"/>
          <w:szCs w:val="19"/>
        </w:rPr>
        <w:t>管理的相关规定进行选择和使用。对</w:t>
      </w:r>
      <w:r>
        <w:rPr>
          <w:sz w:val="19"/>
          <w:szCs w:val="19"/>
        </w:rPr>
        <w:t xml:space="preserve"> </w:t>
      </w:r>
      <w:r>
        <w:rPr>
          <w:spacing w:val="7"/>
          <w:sz w:val="19"/>
          <w:szCs w:val="19"/>
        </w:rPr>
        <w:t>于网络安全服务，应选取有相关领域资质的网络安全服务机构。</w:t>
      </w:r>
    </w:p>
    <w:p w14:paraId="727C06B1">
      <w:pPr>
        <w:pStyle w:val="2"/>
        <w:spacing w:before="49" w:line="220" w:lineRule="auto"/>
        <w:ind w:left="390"/>
        <w:rPr>
          <w:sz w:val="19"/>
          <w:szCs w:val="19"/>
        </w:rPr>
      </w:pPr>
      <w:r>
        <w:rPr>
          <w:spacing w:val="13"/>
          <w:sz w:val="19"/>
          <w:szCs w:val="19"/>
        </w:rPr>
        <w:t>(2)安全控制的定制开发。</w:t>
      </w:r>
    </w:p>
    <w:p w14:paraId="0F954F34">
      <w:pPr>
        <w:pStyle w:val="2"/>
        <w:spacing w:before="92" w:line="286" w:lineRule="auto"/>
        <w:ind w:right="293" w:firstLine="390"/>
        <w:rPr>
          <w:sz w:val="19"/>
          <w:szCs w:val="19"/>
        </w:rPr>
      </w:pPr>
      <w:r>
        <w:rPr>
          <w:spacing w:val="14"/>
          <w:sz w:val="19"/>
          <w:szCs w:val="19"/>
        </w:rPr>
        <w:t>对于一些不能通过采购现有网络安全产品来实现的安全措施</w:t>
      </w:r>
      <w:r>
        <w:rPr>
          <w:spacing w:val="13"/>
          <w:sz w:val="19"/>
          <w:szCs w:val="19"/>
        </w:rPr>
        <w:t>和安全功能，通过专门进行的</w:t>
      </w:r>
      <w:r>
        <w:rPr>
          <w:sz w:val="19"/>
          <w:szCs w:val="19"/>
        </w:rPr>
        <w:t xml:space="preserve"> </w:t>
      </w:r>
      <w:r>
        <w:rPr>
          <w:spacing w:val="15"/>
          <w:sz w:val="19"/>
          <w:szCs w:val="19"/>
        </w:rPr>
        <w:t>设计、开发来实现。由于应用系统一旦开发完成后，再增加安全措</w:t>
      </w:r>
      <w:r>
        <w:rPr>
          <w:spacing w:val="14"/>
          <w:sz w:val="19"/>
          <w:szCs w:val="19"/>
        </w:rPr>
        <w:t>施会造成很大的成本投入，</w:t>
      </w:r>
      <w:r>
        <w:rPr>
          <w:sz w:val="19"/>
          <w:szCs w:val="19"/>
        </w:rPr>
        <w:t xml:space="preserve"> </w:t>
      </w:r>
      <w:r>
        <w:rPr>
          <w:spacing w:val="13"/>
          <w:sz w:val="19"/>
          <w:szCs w:val="19"/>
        </w:rPr>
        <w:t>安全控制的定制开发应与系统的应用开发同步设计、同步实</w:t>
      </w:r>
      <w:r>
        <w:rPr>
          <w:spacing w:val="12"/>
          <w:sz w:val="19"/>
          <w:szCs w:val="19"/>
        </w:rPr>
        <w:t>施，保证系统应用与安全控制同步</w:t>
      </w:r>
      <w:r>
        <w:rPr>
          <w:sz w:val="19"/>
          <w:szCs w:val="19"/>
        </w:rPr>
        <w:t xml:space="preserve">  </w:t>
      </w:r>
      <w:r>
        <w:rPr>
          <w:spacing w:val="5"/>
          <w:sz w:val="19"/>
          <w:szCs w:val="19"/>
        </w:rPr>
        <w:t>建设。</w:t>
      </w:r>
    </w:p>
    <w:p w14:paraId="60AC5C3E">
      <w:pPr>
        <w:pStyle w:val="2"/>
        <w:spacing w:before="52" w:line="275" w:lineRule="auto"/>
        <w:ind w:left="679" w:right="359" w:hanging="289"/>
        <w:rPr>
          <w:sz w:val="19"/>
          <w:szCs w:val="19"/>
        </w:rPr>
      </w:pPr>
      <w:r>
        <w:rPr>
          <w:spacing w:val="13"/>
          <w:sz w:val="19"/>
          <w:szCs w:val="19"/>
        </w:rPr>
        <w:t>●安全措施需求分析。以规范的形式准确表达安全方案中的指标要求，在采用云计算、移</w:t>
      </w:r>
      <w:r>
        <w:rPr>
          <w:spacing w:val="2"/>
          <w:sz w:val="19"/>
          <w:szCs w:val="19"/>
        </w:rPr>
        <w:t xml:space="preserve"> </w:t>
      </w:r>
      <w:r>
        <w:rPr>
          <w:spacing w:val="11"/>
          <w:sz w:val="19"/>
          <w:szCs w:val="19"/>
        </w:rPr>
        <w:t>动互联等新技术情况下分析特有的安全威胁，确定对应的安全措施及其同其他系统相关</w:t>
      </w:r>
      <w:r>
        <w:rPr>
          <w:spacing w:val="10"/>
          <w:sz w:val="19"/>
          <w:szCs w:val="19"/>
        </w:rPr>
        <w:t xml:space="preserve"> </w:t>
      </w:r>
      <w:r>
        <w:rPr>
          <w:spacing w:val="5"/>
          <w:sz w:val="19"/>
          <w:szCs w:val="19"/>
        </w:rPr>
        <w:t>的接口细节。</w:t>
      </w:r>
    </w:p>
    <w:p w14:paraId="7C383B8B">
      <w:pPr>
        <w:pStyle w:val="2"/>
        <w:spacing w:before="102" w:line="281" w:lineRule="auto"/>
        <w:ind w:left="679" w:right="293" w:hanging="289"/>
        <w:rPr>
          <w:sz w:val="19"/>
          <w:szCs w:val="19"/>
        </w:rPr>
      </w:pPr>
      <w:r>
        <w:rPr>
          <w:spacing w:val="18"/>
          <w:sz w:val="19"/>
          <w:szCs w:val="19"/>
        </w:rPr>
        <w:t>●概要设计。概要设计要考虑安全方案中关于身份鉴别、访问控制、安全审计、软件容</w:t>
      </w:r>
      <w:r>
        <w:rPr>
          <w:spacing w:val="7"/>
          <w:sz w:val="19"/>
          <w:szCs w:val="19"/>
        </w:rPr>
        <w:t xml:space="preserve">  </w:t>
      </w:r>
      <w:r>
        <w:rPr>
          <w:spacing w:val="11"/>
          <w:sz w:val="19"/>
          <w:szCs w:val="19"/>
        </w:rPr>
        <w:t>错、资源控制、数据完整性、数据保密性、数据备份恢复</w:t>
      </w:r>
      <w:r>
        <w:rPr>
          <w:spacing w:val="10"/>
          <w:sz w:val="19"/>
          <w:szCs w:val="19"/>
        </w:rPr>
        <w:t>、剩余信息保护和个人信息保</w:t>
      </w:r>
      <w:r>
        <w:rPr>
          <w:sz w:val="19"/>
          <w:szCs w:val="19"/>
        </w:rPr>
        <w:t xml:space="preserve">  </w:t>
      </w:r>
      <w:r>
        <w:rPr>
          <w:spacing w:val="13"/>
          <w:sz w:val="19"/>
          <w:szCs w:val="19"/>
        </w:rPr>
        <w:t>护等方面的指标要求，设计安全措施模块的体系结构，定义开发安全措施的模块组成，</w:t>
      </w:r>
      <w:r>
        <w:rPr>
          <w:sz w:val="19"/>
          <w:szCs w:val="19"/>
        </w:rPr>
        <w:t xml:space="preserve"> </w:t>
      </w:r>
      <w:r>
        <w:rPr>
          <w:spacing w:val="7"/>
          <w:sz w:val="19"/>
          <w:szCs w:val="19"/>
        </w:rPr>
        <w:t>定义每个模块的主要功能和模块之间的接口。</w:t>
      </w:r>
    </w:p>
    <w:p w14:paraId="0A99231D">
      <w:pPr>
        <w:pStyle w:val="2"/>
        <w:spacing w:before="92" w:line="281" w:lineRule="auto"/>
        <w:ind w:left="679" w:right="372" w:hanging="289"/>
        <w:rPr>
          <w:sz w:val="19"/>
          <w:szCs w:val="19"/>
        </w:rPr>
      </w:pPr>
      <w:r>
        <w:rPr>
          <w:spacing w:val="13"/>
          <w:sz w:val="19"/>
          <w:szCs w:val="19"/>
        </w:rPr>
        <w:t>●详细设计。依据概要设计说明书，将安全控制的开发进一步细化，对每个安全功能模块</w:t>
      </w:r>
      <w:r>
        <w:rPr>
          <w:sz w:val="19"/>
          <w:szCs w:val="19"/>
        </w:rPr>
        <w:t xml:space="preserve"> </w:t>
      </w:r>
      <w:r>
        <w:rPr>
          <w:spacing w:val="11"/>
          <w:sz w:val="19"/>
          <w:szCs w:val="19"/>
        </w:rPr>
        <w:t>的接口、函数要求、各接口之间的关系、各部分的内在实现机理都要进行详细</w:t>
      </w:r>
      <w:r>
        <w:rPr>
          <w:spacing w:val="10"/>
          <w:sz w:val="19"/>
          <w:szCs w:val="19"/>
        </w:rPr>
        <w:t>的分析和</w:t>
      </w:r>
      <w:r>
        <w:rPr>
          <w:sz w:val="19"/>
          <w:szCs w:val="19"/>
        </w:rPr>
        <w:t xml:space="preserve"> </w:t>
      </w:r>
      <w:r>
        <w:rPr>
          <w:spacing w:val="11"/>
          <w:sz w:val="19"/>
          <w:szCs w:val="19"/>
        </w:rPr>
        <w:t>细化设计。按照功能的需求和模块划分进行各个部分的详</w:t>
      </w:r>
      <w:r>
        <w:rPr>
          <w:spacing w:val="10"/>
          <w:sz w:val="19"/>
          <w:szCs w:val="19"/>
        </w:rPr>
        <w:t>细设计，包含接口设计和管理</w:t>
      </w:r>
    </w:p>
    <w:p w14:paraId="58EE6164">
      <w:pPr>
        <w:spacing w:line="281" w:lineRule="auto"/>
        <w:rPr>
          <w:sz w:val="19"/>
          <w:szCs w:val="19"/>
        </w:rPr>
        <w:sectPr>
          <w:pgSz w:w="10290" w:h="13270"/>
          <w:pgMar w:top="400" w:right="421" w:bottom="400" w:left="1179" w:header="0" w:footer="0" w:gutter="0"/>
          <w:cols w:space="720" w:num="1"/>
        </w:sectPr>
      </w:pPr>
    </w:p>
    <w:p w14:paraId="01928A16">
      <w:pPr>
        <w:pStyle w:val="2"/>
        <w:rPr>
          <w:sz w:val="20"/>
          <w:szCs w:val="20"/>
        </w:rPr>
      </w:pPr>
      <w:bookmarkStart w:id="761" w:name="bookmark746"/>
      <w:bookmarkEnd w:id="761"/>
      <w:r>
        <w:rPr>
          <w:rFonts w:ascii="Times New Roman" w:hAnsi="Times New Roman" w:eastAsia="Times New Roman" w:cs="Times New Roman"/>
          <w:b/>
          <w:bCs/>
          <w:spacing w:val="-1"/>
          <w:position w:val="-2"/>
          <w:sz w:val="20"/>
          <w:szCs w:val="20"/>
        </w:rPr>
        <w:t>558</w:t>
      </w:r>
      <w:r>
        <w:rPr>
          <w:rFonts w:ascii="Times New Roman" w:hAnsi="Times New Roman" w:eastAsia="Times New Roman" w:cs="Times New Roman"/>
          <w:b/>
          <w:bCs/>
          <w:spacing w:val="18"/>
          <w:position w:val="-2"/>
          <w:sz w:val="20"/>
          <w:szCs w:val="20"/>
        </w:rPr>
        <w:t xml:space="preserve"> </w:t>
      </w:r>
      <w:r>
        <w:rPr>
          <w:position w:val="-7"/>
          <w:sz w:val="20"/>
          <w:szCs w:val="20"/>
        </w:rPr>
        <w:drawing>
          <wp:inline distT="0" distB="0" distL="0" distR="0">
            <wp:extent cx="247650" cy="209550"/>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359"/>
                    <a:stretch>
                      <a:fillRect/>
                    </a:stretch>
                  </pic:blipFill>
                  <pic:spPr>
                    <a:xfrm>
                      <a:off x="0" y="0"/>
                      <a:ext cx="247688" cy="209557"/>
                    </a:xfrm>
                    <a:prstGeom prst="rect">
                      <a:avLst/>
                    </a:prstGeom>
                  </pic:spPr>
                </pic:pic>
              </a:graphicData>
            </a:graphic>
          </wp:inline>
        </w:drawing>
      </w:r>
      <w:r>
        <w:rPr>
          <w:rFonts w:ascii="Times New Roman" w:hAnsi="Times New Roman" w:eastAsia="Times New Roman" w:cs="Times New Roman"/>
          <w:b/>
          <w:bCs/>
          <w:spacing w:val="2"/>
          <w:position w:val="-2"/>
          <w:sz w:val="20"/>
          <w:szCs w:val="20"/>
        </w:rPr>
        <w:t xml:space="preserve">    </w:t>
      </w:r>
      <w:r>
        <w:rPr>
          <w:spacing w:val="-1"/>
          <w:sz w:val="20"/>
          <w:szCs w:val="20"/>
        </w:rPr>
        <w:t>信息系统监理师教程(第2版)</w:t>
      </w:r>
    </w:p>
    <w:p w14:paraId="45CAE819">
      <w:pPr>
        <w:spacing w:line="292" w:lineRule="auto"/>
        <w:rPr>
          <w:rFonts w:ascii="Arial"/>
          <w:sz w:val="21"/>
        </w:rPr>
      </w:pPr>
    </w:p>
    <w:p w14:paraId="60F95645">
      <w:pPr>
        <w:pStyle w:val="2"/>
        <w:spacing w:before="65" w:line="295" w:lineRule="auto"/>
        <w:ind w:left="1049" w:right="84"/>
        <w:jc w:val="both"/>
        <w:rPr>
          <w:sz w:val="20"/>
          <w:szCs w:val="20"/>
        </w:rPr>
      </w:pPr>
      <w:r>
        <w:rPr>
          <w:spacing w:val="1"/>
          <w:sz w:val="20"/>
          <w:szCs w:val="20"/>
        </w:rPr>
        <w:t>方式设计等。详细设计是设计人员根据概要设计进行的模块设计，将总体设计所获得的</w:t>
      </w:r>
      <w:r>
        <w:rPr>
          <w:spacing w:val="6"/>
          <w:sz w:val="20"/>
          <w:szCs w:val="20"/>
        </w:rPr>
        <w:t xml:space="preserve"> </w:t>
      </w:r>
      <w:r>
        <w:rPr>
          <w:spacing w:val="1"/>
          <w:sz w:val="20"/>
          <w:szCs w:val="20"/>
        </w:rPr>
        <w:t xml:space="preserve">模块按照单元、程序、过程的顺序逐步细化，详细定义各个单元的数据结构、程序的实 </w:t>
      </w:r>
      <w:r>
        <w:rPr>
          <w:spacing w:val="-2"/>
          <w:sz w:val="20"/>
          <w:szCs w:val="20"/>
        </w:rPr>
        <w:t>现算法以及程序、单元、模块之间的接口等，作为以后编码工作的依据。</w:t>
      </w:r>
    </w:p>
    <w:p w14:paraId="4D0AED20">
      <w:pPr>
        <w:pStyle w:val="2"/>
        <w:spacing w:before="20" w:line="262" w:lineRule="auto"/>
        <w:ind w:left="1049" w:right="92" w:hanging="289"/>
        <w:rPr>
          <w:sz w:val="20"/>
          <w:szCs w:val="20"/>
        </w:rPr>
      </w:pPr>
      <w:r>
        <w:rPr>
          <w:spacing w:val="3"/>
          <w:sz w:val="20"/>
          <w:szCs w:val="20"/>
        </w:rPr>
        <w:t>●编码实现。按照设计进行硬件调试和软件的编码，在编码和开发过程中，要关注硬件组</w:t>
      </w:r>
      <w:r>
        <w:rPr>
          <w:spacing w:val="9"/>
          <w:sz w:val="20"/>
          <w:szCs w:val="20"/>
        </w:rPr>
        <w:t xml:space="preserve"> </w:t>
      </w:r>
      <w:r>
        <w:rPr>
          <w:spacing w:val="-1"/>
          <w:sz w:val="20"/>
          <w:szCs w:val="20"/>
        </w:rPr>
        <w:t>合的安全性和编码的安全性，开展论证和测试，并保留论证</w:t>
      </w:r>
      <w:r>
        <w:rPr>
          <w:spacing w:val="-2"/>
          <w:sz w:val="20"/>
          <w:szCs w:val="20"/>
        </w:rPr>
        <w:t>和测试记录。</w:t>
      </w:r>
    </w:p>
    <w:p w14:paraId="1ABE89A3">
      <w:pPr>
        <w:pStyle w:val="2"/>
        <w:spacing w:before="83" w:line="283" w:lineRule="auto"/>
        <w:ind w:left="1049" w:right="83" w:hanging="289"/>
        <w:rPr>
          <w:sz w:val="20"/>
          <w:szCs w:val="20"/>
        </w:rPr>
      </w:pPr>
      <w:r>
        <w:rPr>
          <w:spacing w:val="3"/>
          <w:sz w:val="20"/>
          <w:szCs w:val="20"/>
        </w:rPr>
        <w:t>●测试。开发基本完成后要进行功能和安全性测试，保证功能和安全性的实现。安全性测</w:t>
      </w:r>
      <w:r>
        <w:rPr>
          <w:spacing w:val="18"/>
          <w:sz w:val="20"/>
          <w:szCs w:val="20"/>
        </w:rPr>
        <w:t xml:space="preserve"> </w:t>
      </w:r>
      <w:r>
        <w:rPr>
          <w:spacing w:val="1"/>
          <w:sz w:val="20"/>
          <w:szCs w:val="20"/>
        </w:rPr>
        <w:t>试需要涵盖基线安全配置扫描和渗透测试，第三级以上系统应进行源代码安全审核。如</w:t>
      </w:r>
      <w:r>
        <w:rPr>
          <w:spacing w:val="5"/>
          <w:sz w:val="20"/>
          <w:szCs w:val="20"/>
        </w:rPr>
        <w:t xml:space="preserve"> </w:t>
      </w:r>
      <w:r>
        <w:rPr>
          <w:spacing w:val="1"/>
          <w:sz w:val="20"/>
          <w:szCs w:val="20"/>
        </w:rPr>
        <w:t>有行业内或新技术专项要求，应开展专项测试，如国家政务信息化领域的网络安全等级</w:t>
      </w:r>
      <w:r>
        <w:rPr>
          <w:spacing w:val="3"/>
          <w:sz w:val="20"/>
          <w:szCs w:val="20"/>
        </w:rPr>
        <w:t xml:space="preserve"> </w:t>
      </w:r>
      <w:r>
        <w:rPr>
          <w:spacing w:val="-1"/>
          <w:sz w:val="20"/>
          <w:szCs w:val="20"/>
        </w:rPr>
        <w:t>保护三级测评、云计算环境安全控制措施测评、移动终端应用软件安全测</w:t>
      </w:r>
      <w:r>
        <w:rPr>
          <w:spacing w:val="-2"/>
          <w:sz w:val="20"/>
          <w:szCs w:val="20"/>
        </w:rPr>
        <w:t>试等。</w:t>
      </w:r>
    </w:p>
    <w:p w14:paraId="73F1A59F">
      <w:pPr>
        <w:pStyle w:val="2"/>
        <w:spacing w:before="81" w:line="288" w:lineRule="auto"/>
        <w:ind w:left="1049" w:right="91" w:hanging="289"/>
        <w:rPr>
          <w:sz w:val="16"/>
          <w:szCs w:val="16"/>
        </w:rPr>
      </w:pPr>
      <w:r>
        <w:rPr>
          <w:spacing w:val="3"/>
          <w:sz w:val="20"/>
          <w:szCs w:val="20"/>
        </w:rPr>
        <w:t>●安全控制的开发过程文档化。安全控制的开发过程需要将概要设计说明书、详细设计说</w:t>
      </w:r>
      <w:r>
        <w:rPr>
          <w:spacing w:val="10"/>
          <w:sz w:val="20"/>
          <w:szCs w:val="20"/>
        </w:rPr>
        <w:t xml:space="preserve"> </w:t>
      </w:r>
      <w:r>
        <w:rPr>
          <w:spacing w:val="1"/>
          <w:sz w:val="20"/>
          <w:szCs w:val="20"/>
        </w:rPr>
        <w:t>明书、开发测试报告以及开发说明书等整理归档，形成安</w:t>
      </w:r>
      <w:r>
        <w:rPr>
          <w:sz w:val="20"/>
          <w:szCs w:val="20"/>
        </w:rPr>
        <w:t xml:space="preserve">全控制的开发过程相关文档与 </w:t>
      </w:r>
      <w:r>
        <w:rPr>
          <w:spacing w:val="-5"/>
          <w:sz w:val="16"/>
          <w:szCs w:val="16"/>
        </w:rPr>
        <w:t>记</w:t>
      </w:r>
      <w:r>
        <w:rPr>
          <w:spacing w:val="-13"/>
          <w:sz w:val="16"/>
          <w:szCs w:val="16"/>
        </w:rPr>
        <w:t xml:space="preserve"> </w:t>
      </w:r>
      <w:r>
        <w:rPr>
          <w:spacing w:val="-5"/>
          <w:sz w:val="16"/>
          <w:szCs w:val="16"/>
        </w:rPr>
        <w:t>录</w:t>
      </w:r>
      <w:r>
        <w:rPr>
          <w:spacing w:val="-20"/>
          <w:sz w:val="16"/>
          <w:szCs w:val="16"/>
        </w:rPr>
        <w:t xml:space="preserve"> </w:t>
      </w:r>
      <w:r>
        <w:rPr>
          <w:spacing w:val="-5"/>
          <w:sz w:val="16"/>
          <w:szCs w:val="16"/>
        </w:rPr>
        <w:t>。</w:t>
      </w:r>
    </w:p>
    <w:p w14:paraId="5CF62A77">
      <w:pPr>
        <w:pStyle w:val="2"/>
        <w:spacing w:before="98" w:line="219" w:lineRule="auto"/>
        <w:ind w:left="760"/>
        <w:rPr>
          <w:sz w:val="20"/>
          <w:szCs w:val="20"/>
        </w:rPr>
      </w:pPr>
      <w:r>
        <w:rPr>
          <w:spacing w:val="7"/>
          <w:sz w:val="20"/>
          <w:szCs w:val="20"/>
        </w:rPr>
        <w:t>(3)安全控制集成。</w:t>
      </w:r>
    </w:p>
    <w:p w14:paraId="1CF239D3">
      <w:pPr>
        <w:pStyle w:val="2"/>
        <w:spacing w:before="71" w:line="281" w:lineRule="auto"/>
        <w:ind w:left="390" w:firstLine="369"/>
        <w:jc w:val="both"/>
        <w:rPr>
          <w:sz w:val="20"/>
          <w:szCs w:val="20"/>
        </w:rPr>
      </w:pPr>
      <w:r>
        <w:rPr>
          <w:spacing w:val="3"/>
          <w:sz w:val="20"/>
          <w:szCs w:val="20"/>
        </w:rPr>
        <w:t>将不同的软硬件产品进行集成，依据安全详细设计方案，将网络安全产品、系统软件平台</w:t>
      </w:r>
      <w:r>
        <w:rPr>
          <w:spacing w:val="1"/>
          <w:sz w:val="20"/>
          <w:szCs w:val="20"/>
        </w:rPr>
        <w:t xml:space="preserve">  </w:t>
      </w:r>
      <w:r>
        <w:rPr>
          <w:spacing w:val="5"/>
          <w:sz w:val="20"/>
          <w:szCs w:val="20"/>
        </w:rPr>
        <w:t>和开发的安全控制模块与各种应用系统整合成为一个系</w:t>
      </w:r>
      <w:r>
        <w:rPr>
          <w:spacing w:val="4"/>
          <w:sz w:val="20"/>
          <w:szCs w:val="20"/>
        </w:rPr>
        <w:t>统。安全控制集成的过程可以由运营、</w:t>
      </w:r>
      <w:r>
        <w:rPr>
          <w:sz w:val="20"/>
          <w:szCs w:val="20"/>
        </w:rPr>
        <w:t xml:space="preserve"> </w:t>
      </w:r>
      <w:r>
        <w:rPr>
          <w:spacing w:val="3"/>
          <w:sz w:val="20"/>
          <w:szCs w:val="20"/>
        </w:rPr>
        <w:t>使用单位与网络安全服务机构共同参与、相互配合，把安全实施、风险控制、</w:t>
      </w:r>
      <w:r>
        <w:rPr>
          <w:spacing w:val="2"/>
          <w:sz w:val="20"/>
          <w:szCs w:val="20"/>
        </w:rPr>
        <w:t>质量控制等有机</w:t>
      </w:r>
      <w:r>
        <w:rPr>
          <w:sz w:val="20"/>
          <w:szCs w:val="20"/>
        </w:rPr>
        <w:t xml:space="preserve"> </w:t>
      </w:r>
      <w:r>
        <w:rPr>
          <w:spacing w:val="3"/>
          <w:sz w:val="20"/>
          <w:szCs w:val="20"/>
        </w:rPr>
        <w:t>结合起来，实现安全态势感知、监测通报预警、应急处置追踪溯源等安全措施，构</w:t>
      </w:r>
      <w:r>
        <w:rPr>
          <w:spacing w:val="2"/>
          <w:sz w:val="20"/>
          <w:szCs w:val="20"/>
        </w:rPr>
        <w:t>建统一安全</w:t>
      </w:r>
      <w:r>
        <w:rPr>
          <w:sz w:val="20"/>
          <w:szCs w:val="20"/>
        </w:rPr>
        <w:t xml:space="preserve"> </w:t>
      </w:r>
      <w:r>
        <w:rPr>
          <w:spacing w:val="-7"/>
          <w:sz w:val="20"/>
          <w:szCs w:val="20"/>
        </w:rPr>
        <w:t>管理平台。</w:t>
      </w:r>
    </w:p>
    <w:p w14:paraId="50C10983">
      <w:pPr>
        <w:pStyle w:val="2"/>
        <w:spacing w:before="38" w:line="280" w:lineRule="auto"/>
        <w:ind w:left="1049" w:right="19" w:hanging="289"/>
        <w:rPr>
          <w:sz w:val="20"/>
          <w:szCs w:val="20"/>
        </w:rPr>
      </w:pPr>
      <w:r>
        <w:rPr>
          <w:spacing w:val="5"/>
          <w:sz w:val="20"/>
          <w:szCs w:val="20"/>
        </w:rPr>
        <w:t>●集成准备。主要工作内容是对实施环境进行准备，</w:t>
      </w:r>
      <w:r>
        <w:rPr>
          <w:spacing w:val="4"/>
          <w:sz w:val="20"/>
          <w:szCs w:val="20"/>
        </w:rPr>
        <w:t>包括硬件设备准备、软件系统准备、</w:t>
      </w:r>
      <w:r>
        <w:rPr>
          <w:sz w:val="20"/>
          <w:szCs w:val="20"/>
        </w:rPr>
        <w:t xml:space="preserve"> </w:t>
      </w:r>
      <w:r>
        <w:rPr>
          <w:spacing w:val="1"/>
          <w:sz w:val="20"/>
          <w:szCs w:val="20"/>
        </w:rPr>
        <w:t>环境准备。为了保证系统实施质量，承建单位应依据系统设计方案，制定一套可行的系</w:t>
      </w:r>
      <w:r>
        <w:rPr>
          <w:spacing w:val="10"/>
          <w:sz w:val="20"/>
          <w:szCs w:val="20"/>
        </w:rPr>
        <w:t xml:space="preserve"> </w:t>
      </w:r>
      <w:r>
        <w:rPr>
          <w:spacing w:val="1"/>
          <w:sz w:val="20"/>
          <w:szCs w:val="20"/>
        </w:rPr>
        <w:t>统质量控制方案，以便有效指导系统实施过程。该质量控制方案应确定系统实施各</w:t>
      </w:r>
      <w:r>
        <w:rPr>
          <w:sz w:val="20"/>
          <w:szCs w:val="20"/>
        </w:rPr>
        <w:t xml:space="preserve">阶段 </w:t>
      </w:r>
      <w:r>
        <w:rPr>
          <w:spacing w:val="3"/>
          <w:sz w:val="20"/>
          <w:szCs w:val="20"/>
        </w:rPr>
        <w:t>的质量控制目标、控制措施、工程质量问题的处理流程、系统实施人员的职</w:t>
      </w:r>
      <w:r>
        <w:rPr>
          <w:spacing w:val="2"/>
          <w:sz w:val="20"/>
          <w:szCs w:val="20"/>
        </w:rPr>
        <w:t>责要求等，</w:t>
      </w:r>
      <w:r>
        <w:rPr>
          <w:sz w:val="20"/>
          <w:szCs w:val="20"/>
        </w:rPr>
        <w:t xml:space="preserve"> </w:t>
      </w:r>
      <w:r>
        <w:rPr>
          <w:spacing w:val="-3"/>
          <w:sz w:val="20"/>
          <w:szCs w:val="20"/>
        </w:rPr>
        <w:t>并提供详细的安全控制集成进度表。</w:t>
      </w:r>
    </w:p>
    <w:p w14:paraId="4029E9D7">
      <w:pPr>
        <w:pStyle w:val="2"/>
        <w:spacing w:before="104" w:line="280" w:lineRule="auto"/>
        <w:ind w:left="1049" w:right="65" w:hanging="289"/>
        <w:rPr>
          <w:sz w:val="20"/>
          <w:szCs w:val="20"/>
        </w:rPr>
      </w:pPr>
      <w:r>
        <w:rPr>
          <w:spacing w:val="3"/>
          <w:sz w:val="20"/>
          <w:szCs w:val="20"/>
        </w:rPr>
        <w:t>●集成实施。主要工作内容是将配置好策略的网络安全产品和开发控制模块部署到实际应</w:t>
      </w:r>
      <w:r>
        <w:rPr>
          <w:spacing w:val="10"/>
          <w:sz w:val="20"/>
          <w:szCs w:val="20"/>
        </w:rPr>
        <w:t xml:space="preserve"> </w:t>
      </w:r>
      <w:r>
        <w:rPr>
          <w:spacing w:val="1"/>
          <w:sz w:val="20"/>
          <w:szCs w:val="20"/>
        </w:rPr>
        <w:t>用环境中并调试相关策略。集成实施应严格按照集成进度安排进行，出现问题时各方应</w:t>
      </w:r>
      <w:r>
        <w:rPr>
          <w:sz w:val="20"/>
          <w:szCs w:val="20"/>
        </w:rPr>
        <w:t xml:space="preserve"> </w:t>
      </w:r>
      <w:r>
        <w:rPr>
          <w:spacing w:val="2"/>
          <w:sz w:val="20"/>
          <w:szCs w:val="20"/>
        </w:rPr>
        <w:t>及时沟通。系统实施的各个环节应遵照质量</w:t>
      </w:r>
      <w:r>
        <w:rPr>
          <w:spacing w:val="1"/>
          <w:sz w:val="20"/>
          <w:szCs w:val="20"/>
        </w:rPr>
        <w:t>控制方案要求，分别进行系统集成测试，逐</w:t>
      </w:r>
      <w:r>
        <w:rPr>
          <w:sz w:val="20"/>
          <w:szCs w:val="20"/>
        </w:rPr>
        <w:t xml:space="preserve"> </w:t>
      </w:r>
      <w:r>
        <w:rPr>
          <w:spacing w:val="2"/>
          <w:sz w:val="20"/>
          <w:szCs w:val="20"/>
        </w:rPr>
        <w:t>步实现质量控制目标。例如，综合布线系统施工过程中</w:t>
      </w:r>
      <w:r>
        <w:rPr>
          <w:spacing w:val="1"/>
          <w:sz w:val="20"/>
          <w:szCs w:val="20"/>
        </w:rPr>
        <w:t>，应及时利用网络测试仪测定线</w:t>
      </w:r>
      <w:r>
        <w:rPr>
          <w:sz w:val="20"/>
          <w:szCs w:val="20"/>
        </w:rPr>
        <w:t xml:space="preserve"> </w:t>
      </w:r>
      <w:r>
        <w:rPr>
          <w:spacing w:val="-3"/>
          <w:sz w:val="20"/>
          <w:szCs w:val="20"/>
        </w:rPr>
        <w:t>路质量，及早发现并解决质量问题。</w:t>
      </w:r>
    </w:p>
    <w:p w14:paraId="14DA0E51">
      <w:pPr>
        <w:pStyle w:val="2"/>
        <w:spacing w:before="93" w:line="270" w:lineRule="auto"/>
        <w:ind w:left="1049" w:right="69" w:hanging="289"/>
        <w:rPr>
          <w:sz w:val="20"/>
          <w:szCs w:val="20"/>
        </w:rPr>
      </w:pPr>
      <w:r>
        <w:rPr>
          <w:spacing w:val="9"/>
          <w:sz w:val="20"/>
          <w:szCs w:val="20"/>
        </w:rPr>
        <w:t>●培训。信息安全系统建设完成后，承建单位应向业主单</w:t>
      </w:r>
      <w:r>
        <w:rPr>
          <w:spacing w:val="8"/>
          <w:sz w:val="20"/>
          <w:szCs w:val="20"/>
        </w:rPr>
        <w:t>位、监理机构提供建设过程文</w:t>
      </w:r>
      <w:r>
        <w:rPr>
          <w:sz w:val="20"/>
          <w:szCs w:val="20"/>
        </w:rPr>
        <w:t xml:space="preserve"> </w:t>
      </w:r>
      <w:r>
        <w:rPr>
          <w:spacing w:val="2"/>
          <w:sz w:val="20"/>
          <w:szCs w:val="20"/>
        </w:rPr>
        <w:t>档，同时需要对系统维护人员进行必要的培训，</w:t>
      </w:r>
      <w:r>
        <w:rPr>
          <w:spacing w:val="1"/>
          <w:sz w:val="20"/>
          <w:szCs w:val="20"/>
        </w:rPr>
        <w:t>培训效果的好坏将直接影响今后系统能</w:t>
      </w:r>
      <w:r>
        <w:rPr>
          <w:sz w:val="20"/>
          <w:szCs w:val="20"/>
        </w:rPr>
        <w:t xml:space="preserve"> </w:t>
      </w:r>
      <w:r>
        <w:rPr>
          <w:spacing w:val="-5"/>
          <w:sz w:val="20"/>
          <w:szCs w:val="20"/>
        </w:rPr>
        <w:t>否安全稳定运行。</w:t>
      </w:r>
    </w:p>
    <w:p w14:paraId="792C59E2">
      <w:pPr>
        <w:pStyle w:val="2"/>
        <w:spacing w:before="72" w:line="270" w:lineRule="auto"/>
        <w:ind w:left="1049" w:right="70" w:hanging="289"/>
        <w:rPr>
          <w:sz w:val="20"/>
          <w:szCs w:val="20"/>
        </w:rPr>
      </w:pPr>
      <w:r>
        <w:rPr>
          <w:spacing w:val="3"/>
          <w:sz w:val="20"/>
          <w:szCs w:val="20"/>
        </w:rPr>
        <w:t>●形成安全控制集成联调测试报告。应将安全控制集成过程相关内容文档化，并形成安全</w:t>
      </w:r>
      <w:r>
        <w:rPr>
          <w:spacing w:val="11"/>
          <w:sz w:val="20"/>
          <w:szCs w:val="20"/>
        </w:rPr>
        <w:t xml:space="preserve"> </w:t>
      </w:r>
      <w:r>
        <w:rPr>
          <w:spacing w:val="2"/>
          <w:sz w:val="20"/>
          <w:szCs w:val="20"/>
        </w:rPr>
        <w:t>控制集成联调测试报告，一般包括集成实施方</w:t>
      </w:r>
      <w:r>
        <w:rPr>
          <w:spacing w:val="1"/>
          <w:sz w:val="20"/>
          <w:szCs w:val="20"/>
        </w:rPr>
        <w:t>案、质量控制方案、集成实施报告以及培</w:t>
      </w:r>
      <w:r>
        <w:rPr>
          <w:sz w:val="20"/>
          <w:szCs w:val="20"/>
        </w:rPr>
        <w:t xml:space="preserve"> </w:t>
      </w:r>
      <w:r>
        <w:rPr>
          <w:spacing w:val="-4"/>
          <w:sz w:val="20"/>
          <w:szCs w:val="20"/>
        </w:rPr>
        <w:t>训考核记录等内容。</w:t>
      </w:r>
    </w:p>
    <w:p w14:paraId="065254E4">
      <w:pPr>
        <w:spacing w:before="158" w:line="223" w:lineRule="auto"/>
        <w:ind w:left="760"/>
        <w:rPr>
          <w:rFonts w:ascii="楷体" w:hAnsi="楷体" w:eastAsia="楷体" w:cs="楷体"/>
          <w:sz w:val="20"/>
          <w:szCs w:val="20"/>
        </w:rPr>
      </w:pPr>
      <w:r>
        <w:rPr>
          <w:rFonts w:ascii="楷体" w:hAnsi="楷体" w:eastAsia="楷体" w:cs="楷体"/>
          <w:spacing w:val="9"/>
          <w:sz w:val="20"/>
          <w:szCs w:val="20"/>
        </w:rPr>
        <w:t>2)管理措施实现方案</w:t>
      </w:r>
    </w:p>
    <w:p w14:paraId="1984C06C">
      <w:pPr>
        <w:pStyle w:val="2"/>
        <w:spacing w:before="62" w:line="219" w:lineRule="auto"/>
        <w:ind w:left="760"/>
        <w:rPr>
          <w:sz w:val="20"/>
          <w:szCs w:val="20"/>
        </w:rPr>
      </w:pPr>
      <w:r>
        <w:rPr>
          <w:spacing w:val="-3"/>
          <w:sz w:val="20"/>
          <w:szCs w:val="20"/>
        </w:rPr>
        <w:t>管理措施实现方案具体包括以下几个方面：</w:t>
      </w:r>
    </w:p>
    <w:p w14:paraId="3DB12FB6">
      <w:pPr>
        <w:spacing w:line="219" w:lineRule="auto"/>
        <w:rPr>
          <w:sz w:val="20"/>
          <w:szCs w:val="20"/>
        </w:rPr>
        <w:sectPr>
          <w:pgSz w:w="10300" w:h="13350"/>
          <w:pgMar w:top="399" w:right="1040" w:bottom="400" w:left="479" w:header="0" w:footer="0" w:gutter="0"/>
          <w:cols w:space="720" w:num="1"/>
        </w:sectPr>
      </w:pPr>
    </w:p>
    <w:p w14:paraId="4487355F">
      <w:pPr>
        <w:pStyle w:val="2"/>
        <w:spacing w:before="66" w:line="219" w:lineRule="auto"/>
        <w:jc w:val="right"/>
        <w:rPr>
          <w:rFonts w:ascii="Times New Roman" w:hAnsi="Times New Roman" w:eastAsia="Times New Roman" w:cs="Times New Roman"/>
          <w:sz w:val="19"/>
          <w:szCs w:val="19"/>
        </w:rPr>
      </w:pPr>
      <w:r>
        <w:rPr>
          <w:spacing w:val="3"/>
          <w:sz w:val="19"/>
          <w:szCs w:val="19"/>
        </w:rPr>
        <w:t>第24章</w:t>
      </w:r>
      <w:r>
        <w:rPr>
          <w:spacing w:val="32"/>
          <w:sz w:val="19"/>
          <w:szCs w:val="19"/>
        </w:rPr>
        <w:t xml:space="preserve"> </w:t>
      </w:r>
      <w:r>
        <w:rPr>
          <w:spacing w:val="3"/>
          <w:sz w:val="19"/>
          <w:szCs w:val="19"/>
        </w:rPr>
        <w:t>信息安全监理</w:t>
      </w:r>
      <w:r>
        <w:rPr>
          <w:spacing w:val="8"/>
          <w:sz w:val="19"/>
          <w:szCs w:val="19"/>
        </w:rPr>
        <w:t xml:space="preserve">      </w:t>
      </w:r>
      <w:r>
        <w:rPr>
          <w:rFonts w:ascii="Times New Roman" w:hAnsi="Times New Roman" w:eastAsia="Times New Roman" w:cs="Times New Roman"/>
          <w:spacing w:val="3"/>
          <w:sz w:val="19"/>
          <w:szCs w:val="19"/>
        </w:rPr>
        <w:t>559</w:t>
      </w:r>
    </w:p>
    <w:p w14:paraId="6BA60DB0">
      <w:pPr>
        <w:spacing w:line="342" w:lineRule="auto"/>
        <w:rPr>
          <w:rFonts w:ascii="Arial"/>
          <w:sz w:val="21"/>
        </w:rPr>
      </w:pPr>
    </w:p>
    <w:p w14:paraId="2D9F2024">
      <w:pPr>
        <w:pStyle w:val="2"/>
        <w:spacing w:before="61" w:line="219" w:lineRule="auto"/>
        <w:ind w:left="409"/>
        <w:rPr>
          <w:sz w:val="19"/>
          <w:szCs w:val="19"/>
        </w:rPr>
      </w:pPr>
      <w:r>
        <w:rPr>
          <w:spacing w:val="12"/>
          <w:sz w:val="19"/>
          <w:szCs w:val="19"/>
        </w:rPr>
        <w:t>(1)安全管理制度的建设和修订。</w:t>
      </w:r>
    </w:p>
    <w:p w14:paraId="2B6756A8">
      <w:pPr>
        <w:pStyle w:val="2"/>
        <w:spacing w:before="82" w:line="295" w:lineRule="auto"/>
        <w:ind w:right="320" w:firstLine="409"/>
        <w:rPr>
          <w:sz w:val="19"/>
          <w:szCs w:val="19"/>
        </w:rPr>
      </w:pPr>
      <w:r>
        <w:rPr>
          <w:spacing w:val="13"/>
          <w:sz w:val="19"/>
          <w:szCs w:val="19"/>
        </w:rPr>
        <w:t>依据国家网络安全相关政策、标准、规范，制定、修订并落实与等级保护对象安全</w:t>
      </w:r>
      <w:r>
        <w:rPr>
          <w:spacing w:val="12"/>
          <w:sz w:val="19"/>
          <w:szCs w:val="19"/>
        </w:rPr>
        <w:t>管理相</w:t>
      </w:r>
      <w:r>
        <w:rPr>
          <w:sz w:val="19"/>
          <w:szCs w:val="19"/>
        </w:rPr>
        <w:t xml:space="preserve"> </w:t>
      </w:r>
      <w:r>
        <w:rPr>
          <w:spacing w:val="13"/>
          <w:sz w:val="19"/>
          <w:szCs w:val="19"/>
        </w:rPr>
        <w:t>配套的安全管理制度，包括等级保护对象的建设、开发、运行、维护、升级和</w:t>
      </w:r>
      <w:r>
        <w:rPr>
          <w:spacing w:val="12"/>
          <w:sz w:val="19"/>
          <w:szCs w:val="19"/>
        </w:rPr>
        <w:t>改造等各个阶段</w:t>
      </w:r>
      <w:r>
        <w:rPr>
          <w:sz w:val="19"/>
          <w:szCs w:val="19"/>
        </w:rPr>
        <w:t xml:space="preserve"> </w:t>
      </w:r>
      <w:r>
        <w:rPr>
          <w:spacing w:val="13"/>
          <w:sz w:val="19"/>
          <w:szCs w:val="19"/>
        </w:rPr>
        <w:t>和环节所应遵循的行为规范和操作规程，包括安全策略、各项管理制度和操作规范、管</w:t>
      </w:r>
      <w:r>
        <w:rPr>
          <w:spacing w:val="12"/>
          <w:sz w:val="19"/>
          <w:szCs w:val="19"/>
        </w:rPr>
        <w:t>理制度</w:t>
      </w:r>
      <w:r>
        <w:rPr>
          <w:sz w:val="19"/>
          <w:szCs w:val="19"/>
        </w:rPr>
        <w:t xml:space="preserve"> </w:t>
      </w:r>
      <w:r>
        <w:rPr>
          <w:spacing w:val="3"/>
          <w:sz w:val="19"/>
          <w:szCs w:val="19"/>
        </w:rPr>
        <w:t>评审修订记录。</w:t>
      </w:r>
    </w:p>
    <w:p w14:paraId="2F9376AD">
      <w:pPr>
        <w:pStyle w:val="2"/>
        <w:spacing w:before="47" w:line="265" w:lineRule="auto"/>
        <w:ind w:left="698" w:right="241" w:hanging="289"/>
        <w:rPr>
          <w:sz w:val="19"/>
          <w:szCs w:val="19"/>
        </w:rPr>
      </w:pPr>
      <w:r>
        <w:rPr>
          <w:spacing w:val="15"/>
          <w:sz w:val="19"/>
          <w:szCs w:val="19"/>
        </w:rPr>
        <w:t>●明确应用范围。管理制度的建立首先要明确制度的应用范围，如机房管理、账号管</w:t>
      </w:r>
      <w:r>
        <w:rPr>
          <w:spacing w:val="14"/>
          <w:sz w:val="19"/>
          <w:szCs w:val="19"/>
        </w:rPr>
        <w:t>理、</w:t>
      </w:r>
      <w:r>
        <w:rPr>
          <w:sz w:val="19"/>
          <w:szCs w:val="19"/>
        </w:rPr>
        <w:t xml:space="preserve"> </w:t>
      </w:r>
      <w:r>
        <w:rPr>
          <w:spacing w:val="8"/>
          <w:sz w:val="19"/>
          <w:szCs w:val="19"/>
        </w:rPr>
        <w:t>远程访问管理、特殊权限管理、设备管理、变更管理、资源管理等方面。</w:t>
      </w:r>
    </w:p>
    <w:p w14:paraId="6E903C21">
      <w:pPr>
        <w:pStyle w:val="2"/>
        <w:spacing w:before="104" w:line="266" w:lineRule="auto"/>
        <w:ind w:left="698" w:right="325" w:hanging="289"/>
        <w:rPr>
          <w:sz w:val="19"/>
          <w:szCs w:val="19"/>
        </w:rPr>
      </w:pPr>
      <w:r>
        <w:rPr>
          <w:spacing w:val="13"/>
          <w:sz w:val="19"/>
          <w:szCs w:val="19"/>
        </w:rPr>
        <w:t>●规定行为规范。管理制度是通过制度化、规范化的流程和行为约束，</w:t>
      </w:r>
      <w:r>
        <w:rPr>
          <w:spacing w:val="12"/>
          <w:sz w:val="19"/>
          <w:szCs w:val="19"/>
        </w:rPr>
        <w:t>来保证各项管理工</w:t>
      </w:r>
      <w:r>
        <w:rPr>
          <w:sz w:val="19"/>
          <w:szCs w:val="19"/>
        </w:rPr>
        <w:t xml:space="preserve"> </w:t>
      </w:r>
      <w:r>
        <w:rPr>
          <w:spacing w:val="5"/>
          <w:sz w:val="19"/>
          <w:szCs w:val="19"/>
        </w:rPr>
        <w:t>作的规范性。</w:t>
      </w:r>
    </w:p>
    <w:p w14:paraId="481D31F6">
      <w:pPr>
        <w:pStyle w:val="2"/>
        <w:spacing w:before="112" w:line="288" w:lineRule="auto"/>
        <w:ind w:left="698" w:right="240" w:hanging="289"/>
        <w:rPr>
          <w:sz w:val="19"/>
          <w:szCs w:val="19"/>
        </w:rPr>
      </w:pPr>
      <w:r>
        <w:rPr>
          <w:spacing w:val="13"/>
          <w:sz w:val="19"/>
          <w:szCs w:val="19"/>
        </w:rPr>
        <w:t>●评估与完善。制度在发布、执行过程中，要定期进行评估，保留评估或</w:t>
      </w:r>
      <w:r>
        <w:rPr>
          <w:spacing w:val="12"/>
          <w:sz w:val="19"/>
          <w:szCs w:val="19"/>
        </w:rPr>
        <w:t>评审记录。根据</w:t>
      </w:r>
      <w:r>
        <w:rPr>
          <w:sz w:val="19"/>
          <w:szCs w:val="19"/>
        </w:rPr>
        <w:t xml:space="preserve">  </w:t>
      </w:r>
      <w:r>
        <w:rPr>
          <w:spacing w:val="13"/>
          <w:sz w:val="19"/>
          <w:szCs w:val="19"/>
        </w:rPr>
        <w:t>实际环境和情况的变化，对制度进行修改和完善，规范总体安全</w:t>
      </w:r>
      <w:r>
        <w:rPr>
          <w:spacing w:val="12"/>
          <w:sz w:val="19"/>
          <w:szCs w:val="19"/>
        </w:rPr>
        <w:t>方针、安全管理制度、</w:t>
      </w:r>
      <w:r>
        <w:rPr>
          <w:sz w:val="19"/>
          <w:szCs w:val="19"/>
        </w:rPr>
        <w:t xml:space="preserve"> </w:t>
      </w:r>
      <w:r>
        <w:rPr>
          <w:spacing w:val="10"/>
          <w:sz w:val="19"/>
          <w:szCs w:val="19"/>
        </w:rPr>
        <w:t>安全操作规程、安全运维记录和表单四层体系文件的一致性，必要时考虑管理制度的重</w:t>
      </w:r>
      <w:r>
        <w:rPr>
          <w:spacing w:val="8"/>
          <w:sz w:val="19"/>
          <w:szCs w:val="19"/>
        </w:rPr>
        <w:t xml:space="preserve">  </w:t>
      </w:r>
      <w:r>
        <w:rPr>
          <w:spacing w:val="6"/>
          <w:sz w:val="19"/>
          <w:szCs w:val="19"/>
        </w:rPr>
        <w:t>新制定，并保留版本修订记录。</w:t>
      </w:r>
    </w:p>
    <w:p w14:paraId="620CDDBE">
      <w:pPr>
        <w:pStyle w:val="2"/>
        <w:spacing w:before="104" w:line="219" w:lineRule="auto"/>
        <w:ind w:left="409"/>
        <w:rPr>
          <w:sz w:val="19"/>
          <w:szCs w:val="19"/>
        </w:rPr>
      </w:pPr>
      <w:r>
        <w:rPr>
          <w:spacing w:val="12"/>
          <w:sz w:val="19"/>
          <w:szCs w:val="19"/>
        </w:rPr>
        <w:t>(2)安全管理机构和人员的设置。</w:t>
      </w:r>
    </w:p>
    <w:p w14:paraId="71160F12">
      <w:pPr>
        <w:pStyle w:val="2"/>
        <w:spacing w:before="96" w:line="292" w:lineRule="auto"/>
        <w:ind w:right="301" w:firstLine="409"/>
        <w:jc w:val="both"/>
        <w:rPr>
          <w:sz w:val="19"/>
          <w:szCs w:val="19"/>
        </w:rPr>
      </w:pPr>
      <w:r>
        <w:rPr>
          <w:spacing w:val="13"/>
          <w:sz w:val="19"/>
          <w:szCs w:val="19"/>
        </w:rPr>
        <w:t>建立配套的安全管理职能部门，通过管理机构的岗位设置、人员的</w:t>
      </w:r>
      <w:r>
        <w:rPr>
          <w:spacing w:val="12"/>
          <w:sz w:val="19"/>
          <w:szCs w:val="19"/>
        </w:rPr>
        <w:t>分工和岗位培训以及各</w:t>
      </w:r>
      <w:r>
        <w:rPr>
          <w:sz w:val="19"/>
          <w:szCs w:val="19"/>
        </w:rPr>
        <w:t xml:space="preserve"> </w:t>
      </w:r>
      <w:r>
        <w:rPr>
          <w:spacing w:val="13"/>
          <w:sz w:val="19"/>
          <w:szCs w:val="19"/>
        </w:rPr>
        <w:t>种资源的配备，保证人员具有与其岗位职责相适应的技术能力和管理能力，为等级保护对象的</w:t>
      </w:r>
      <w:r>
        <w:rPr>
          <w:sz w:val="19"/>
          <w:szCs w:val="19"/>
        </w:rPr>
        <w:t xml:space="preserve"> </w:t>
      </w:r>
      <w:r>
        <w:rPr>
          <w:spacing w:val="9"/>
          <w:sz w:val="19"/>
          <w:szCs w:val="19"/>
        </w:rPr>
        <w:t>安全管理提供组织上的保障。文档包括机构、角色与职责说明</w:t>
      </w:r>
      <w:r>
        <w:rPr>
          <w:spacing w:val="8"/>
          <w:sz w:val="19"/>
          <w:szCs w:val="19"/>
        </w:rPr>
        <w:t>书、培训记录及上岗资格证书等。</w:t>
      </w:r>
    </w:p>
    <w:p w14:paraId="3EBE55CF">
      <w:pPr>
        <w:pStyle w:val="2"/>
        <w:spacing w:before="38" w:line="270" w:lineRule="auto"/>
        <w:ind w:left="698" w:right="325" w:hanging="289"/>
        <w:rPr>
          <w:sz w:val="19"/>
          <w:szCs w:val="19"/>
        </w:rPr>
      </w:pPr>
      <w:r>
        <w:rPr>
          <w:spacing w:val="13"/>
          <w:sz w:val="19"/>
          <w:szCs w:val="19"/>
        </w:rPr>
        <w:t>●安全组织确定。识别与网络安全管理有关的组织成员及其角色，例如</w:t>
      </w:r>
      <w:r>
        <w:rPr>
          <w:spacing w:val="12"/>
          <w:sz w:val="19"/>
          <w:szCs w:val="19"/>
        </w:rPr>
        <w:t>操作人员、文档管</w:t>
      </w:r>
      <w:r>
        <w:rPr>
          <w:sz w:val="19"/>
          <w:szCs w:val="19"/>
        </w:rPr>
        <w:t xml:space="preserve"> </w:t>
      </w:r>
      <w:r>
        <w:rPr>
          <w:spacing w:val="8"/>
          <w:sz w:val="19"/>
          <w:szCs w:val="19"/>
        </w:rPr>
        <w:t>理员、系统管理员、安全管理员等，形成安全组织</w:t>
      </w:r>
      <w:r>
        <w:rPr>
          <w:spacing w:val="7"/>
          <w:sz w:val="19"/>
          <w:szCs w:val="19"/>
        </w:rPr>
        <w:t>结构表。</w:t>
      </w:r>
    </w:p>
    <w:p w14:paraId="4AD0EEF9">
      <w:pPr>
        <w:pStyle w:val="2"/>
        <w:spacing w:before="95" w:line="265" w:lineRule="auto"/>
        <w:ind w:left="698" w:right="324" w:hanging="289"/>
        <w:rPr>
          <w:sz w:val="19"/>
          <w:szCs w:val="19"/>
        </w:rPr>
      </w:pPr>
      <w:r>
        <w:rPr>
          <w:spacing w:val="13"/>
          <w:sz w:val="19"/>
          <w:szCs w:val="19"/>
        </w:rPr>
        <w:t>●角色说明。以书面的形式详细描述每个角色与职责，明确相关岗位人员</w:t>
      </w:r>
      <w:r>
        <w:rPr>
          <w:spacing w:val="12"/>
          <w:sz w:val="19"/>
          <w:szCs w:val="19"/>
        </w:rPr>
        <w:t>的责任和权限范</w:t>
      </w:r>
      <w:r>
        <w:rPr>
          <w:sz w:val="19"/>
          <w:szCs w:val="19"/>
        </w:rPr>
        <w:t xml:space="preserve"> </w:t>
      </w:r>
      <w:r>
        <w:rPr>
          <w:spacing w:val="9"/>
          <w:sz w:val="19"/>
          <w:szCs w:val="19"/>
        </w:rPr>
        <w:t>围，并征求相关人员的意见，要保证责任明确，确保所有</w:t>
      </w:r>
      <w:r>
        <w:rPr>
          <w:spacing w:val="8"/>
          <w:sz w:val="19"/>
          <w:szCs w:val="19"/>
        </w:rPr>
        <w:t>的风险都有人负责处理。</w:t>
      </w:r>
    </w:p>
    <w:p w14:paraId="1FD6A210">
      <w:pPr>
        <w:pStyle w:val="2"/>
        <w:spacing w:before="103" w:line="260" w:lineRule="auto"/>
        <w:ind w:left="698" w:right="326" w:hanging="289"/>
        <w:rPr>
          <w:sz w:val="19"/>
          <w:szCs w:val="19"/>
        </w:rPr>
      </w:pPr>
      <w:r>
        <w:rPr>
          <w:spacing w:val="13"/>
          <w:sz w:val="19"/>
          <w:szCs w:val="19"/>
        </w:rPr>
        <w:t>●人员安全管理。针对普通员工、管理员、开发人员、主管人员及安</w:t>
      </w:r>
      <w:r>
        <w:rPr>
          <w:spacing w:val="12"/>
          <w:sz w:val="19"/>
          <w:szCs w:val="19"/>
        </w:rPr>
        <w:t>全人员开展特定技能</w:t>
      </w:r>
      <w:r>
        <w:rPr>
          <w:sz w:val="19"/>
          <w:szCs w:val="19"/>
        </w:rPr>
        <w:t xml:space="preserve"> </w:t>
      </w:r>
      <w:r>
        <w:rPr>
          <w:spacing w:val="8"/>
          <w:sz w:val="19"/>
          <w:szCs w:val="19"/>
        </w:rPr>
        <w:t>和安全意识培训，培训后进行考核，合格者颁发上岗资格证书。</w:t>
      </w:r>
    </w:p>
    <w:p w14:paraId="07495CC5">
      <w:pPr>
        <w:spacing w:line="310" w:lineRule="auto"/>
        <w:rPr>
          <w:rFonts w:ascii="Arial"/>
          <w:sz w:val="21"/>
        </w:rPr>
      </w:pPr>
    </w:p>
    <w:p w14:paraId="7EEDACCB">
      <w:pPr>
        <w:pStyle w:val="2"/>
        <w:spacing w:before="92" w:line="222" w:lineRule="auto"/>
        <w:ind w:left="4"/>
        <w:rPr>
          <w:rFonts w:ascii="黑体" w:hAnsi="黑体" w:eastAsia="黑体" w:cs="黑体"/>
          <w:sz w:val="28"/>
          <w:szCs w:val="28"/>
        </w:rPr>
      </w:pPr>
      <w:r>
        <w:rPr>
          <w:b/>
          <w:bCs/>
          <w:color w:val="0061E2"/>
          <w:spacing w:val="-5"/>
          <w:sz w:val="28"/>
          <w:szCs w:val="28"/>
        </w:rPr>
        <w:t>24.5</w:t>
      </w:r>
      <w:r>
        <w:rPr>
          <w:color w:val="0061E2"/>
          <w:spacing w:val="-5"/>
          <w:sz w:val="28"/>
          <w:szCs w:val="28"/>
        </w:rPr>
        <w:t xml:space="preserve">  </w:t>
      </w:r>
      <w:r>
        <w:rPr>
          <w:rFonts w:ascii="黑体" w:hAnsi="黑体" w:eastAsia="黑体" w:cs="黑体"/>
          <w:b/>
          <w:bCs/>
          <w:color w:val="0061E2"/>
          <w:spacing w:val="-5"/>
          <w:sz w:val="28"/>
          <w:szCs w:val="28"/>
        </w:rPr>
        <w:t>实施阶段监理工作</w:t>
      </w:r>
    </w:p>
    <w:p w14:paraId="31B8C0CD">
      <w:pPr>
        <w:pStyle w:val="2"/>
        <w:spacing w:before="284" w:line="219" w:lineRule="auto"/>
        <w:ind w:left="409"/>
        <w:rPr>
          <w:sz w:val="19"/>
          <w:szCs w:val="19"/>
        </w:rPr>
      </w:pPr>
      <w:r>
        <w:rPr>
          <w:spacing w:val="9"/>
          <w:sz w:val="19"/>
          <w:szCs w:val="19"/>
        </w:rPr>
        <w:t>本节重点介绍监理单位在信息安全系统的实施阶段</w:t>
      </w:r>
      <w:r>
        <w:rPr>
          <w:spacing w:val="8"/>
          <w:sz w:val="19"/>
          <w:szCs w:val="19"/>
        </w:rPr>
        <w:t>需要执行的监理活动和主要监理内容。</w:t>
      </w:r>
    </w:p>
    <w:p w14:paraId="7899F0D2">
      <w:pPr>
        <w:pStyle w:val="2"/>
        <w:spacing w:before="226" w:line="220" w:lineRule="auto"/>
        <w:ind w:left="2"/>
        <w:rPr>
          <w:sz w:val="25"/>
          <w:szCs w:val="25"/>
        </w:rPr>
      </w:pPr>
      <w:r>
        <w:rPr>
          <w:b/>
          <w:bCs/>
          <w:color w:val="005DD7"/>
          <w:spacing w:val="-17"/>
          <w:sz w:val="25"/>
          <w:szCs w:val="25"/>
        </w:rPr>
        <w:t>24.5.1</w:t>
      </w:r>
      <w:r>
        <w:rPr>
          <w:color w:val="005DD7"/>
          <w:spacing w:val="90"/>
          <w:sz w:val="25"/>
          <w:szCs w:val="25"/>
        </w:rPr>
        <w:t xml:space="preserve"> </w:t>
      </w:r>
      <w:r>
        <w:rPr>
          <w:b/>
          <w:bCs/>
          <w:color w:val="005DD7"/>
          <w:spacing w:val="-17"/>
          <w:sz w:val="25"/>
          <w:szCs w:val="25"/>
        </w:rPr>
        <w:t>监理活动</w:t>
      </w:r>
    </w:p>
    <w:p w14:paraId="5658A16E">
      <w:pPr>
        <w:pStyle w:val="2"/>
        <w:spacing w:before="182" w:line="219" w:lineRule="auto"/>
        <w:ind w:left="409"/>
        <w:rPr>
          <w:sz w:val="19"/>
          <w:szCs w:val="19"/>
        </w:rPr>
      </w:pPr>
      <w:r>
        <w:rPr>
          <w:spacing w:val="7"/>
          <w:sz w:val="19"/>
          <w:szCs w:val="19"/>
        </w:rPr>
        <w:t>信息安全系统实施阶段的主要监理活动如下：</w:t>
      </w:r>
    </w:p>
    <w:p w14:paraId="320734DE">
      <w:pPr>
        <w:pStyle w:val="2"/>
        <w:spacing w:before="74" w:line="219" w:lineRule="auto"/>
        <w:ind w:left="409"/>
        <w:rPr>
          <w:sz w:val="19"/>
          <w:szCs w:val="19"/>
        </w:rPr>
      </w:pPr>
      <w:r>
        <w:rPr>
          <w:spacing w:val="11"/>
          <w:sz w:val="19"/>
          <w:szCs w:val="19"/>
        </w:rPr>
        <w:t>(1)在工程实施前，督促承建单位提供工程实施方案，确定项目组织结构；</w:t>
      </w:r>
    </w:p>
    <w:p w14:paraId="35F3776A">
      <w:pPr>
        <w:pStyle w:val="2"/>
        <w:spacing w:before="86" w:line="260" w:lineRule="auto"/>
        <w:ind w:right="297" w:firstLine="409"/>
        <w:rPr>
          <w:sz w:val="19"/>
          <w:szCs w:val="19"/>
        </w:rPr>
      </w:pPr>
      <w:r>
        <w:rPr>
          <w:spacing w:val="16"/>
          <w:sz w:val="19"/>
          <w:szCs w:val="19"/>
        </w:rPr>
        <w:t>(2)确保工程实施方案合规、合理、可操作、</w:t>
      </w:r>
      <w:r>
        <w:rPr>
          <w:spacing w:val="15"/>
          <w:sz w:val="19"/>
          <w:szCs w:val="19"/>
        </w:rPr>
        <w:t>可核查，满足承建合同提出的建设内容和技</w:t>
      </w:r>
      <w:r>
        <w:rPr>
          <w:sz w:val="19"/>
          <w:szCs w:val="19"/>
        </w:rPr>
        <w:t xml:space="preserve"> </w:t>
      </w:r>
      <w:r>
        <w:rPr>
          <w:spacing w:val="5"/>
          <w:sz w:val="19"/>
          <w:szCs w:val="19"/>
        </w:rPr>
        <w:t>术要求，并与安全设计方案相符；</w:t>
      </w:r>
    </w:p>
    <w:p w14:paraId="63785ECC">
      <w:pPr>
        <w:pStyle w:val="2"/>
        <w:spacing w:before="74" w:line="219" w:lineRule="auto"/>
        <w:ind w:left="409"/>
        <w:rPr>
          <w:sz w:val="19"/>
          <w:szCs w:val="19"/>
        </w:rPr>
      </w:pPr>
      <w:r>
        <w:rPr>
          <w:spacing w:val="10"/>
          <w:sz w:val="19"/>
          <w:szCs w:val="19"/>
        </w:rPr>
        <w:t>(3)检查工程实施过程与工程实施方案的一致性；</w:t>
      </w:r>
    </w:p>
    <w:p w14:paraId="4A3B35F4">
      <w:pPr>
        <w:pStyle w:val="2"/>
        <w:spacing w:before="85" w:line="219" w:lineRule="auto"/>
        <w:ind w:left="409"/>
        <w:rPr>
          <w:sz w:val="19"/>
          <w:szCs w:val="19"/>
        </w:rPr>
      </w:pPr>
      <w:r>
        <w:rPr>
          <w:spacing w:val="11"/>
          <w:sz w:val="19"/>
          <w:szCs w:val="19"/>
        </w:rPr>
        <w:t>(4)监督承建单位落实安全控制措施，确保其有效实施，且达到设计要求；</w:t>
      </w:r>
    </w:p>
    <w:p w14:paraId="0C3C2EBD">
      <w:pPr>
        <w:pStyle w:val="2"/>
        <w:spacing w:before="95" w:line="219" w:lineRule="auto"/>
        <w:ind w:left="409"/>
        <w:rPr>
          <w:sz w:val="19"/>
          <w:szCs w:val="19"/>
        </w:rPr>
      </w:pPr>
      <w:r>
        <w:rPr>
          <w:spacing w:val="11"/>
          <w:sz w:val="19"/>
          <w:szCs w:val="19"/>
        </w:rPr>
        <w:t>(5)确保工程中所使用的产品和服务符合安全设计方案，符合相关法律法规；</w:t>
      </w:r>
    </w:p>
    <w:p w14:paraId="3C340573">
      <w:pPr>
        <w:pStyle w:val="2"/>
        <w:spacing w:before="73" w:line="219" w:lineRule="auto"/>
        <w:ind w:left="409"/>
        <w:rPr>
          <w:sz w:val="19"/>
          <w:szCs w:val="19"/>
        </w:rPr>
      </w:pPr>
      <w:r>
        <w:rPr>
          <w:spacing w:val="11"/>
          <w:sz w:val="19"/>
          <w:szCs w:val="19"/>
        </w:rPr>
        <w:t>(6)监督对安全设备的到货验收，督促承建单位规范进行设备安装及系统调试；</w:t>
      </w:r>
    </w:p>
    <w:p w14:paraId="3141314D">
      <w:pPr>
        <w:spacing w:line="219" w:lineRule="auto"/>
        <w:rPr>
          <w:sz w:val="19"/>
          <w:szCs w:val="19"/>
        </w:rPr>
        <w:sectPr>
          <w:pgSz w:w="10290" w:h="13300"/>
          <w:pgMar w:top="400" w:right="564" w:bottom="400" w:left="1080" w:header="0" w:footer="0" w:gutter="0"/>
          <w:cols w:space="720" w:num="1"/>
        </w:sectPr>
      </w:pPr>
    </w:p>
    <w:p w14:paraId="6C2DE0B2">
      <w:pPr>
        <w:pStyle w:val="2"/>
        <w:spacing w:before="47" w:line="219" w:lineRule="auto"/>
        <w:rPr>
          <w:sz w:val="19"/>
          <w:szCs w:val="19"/>
        </w:rPr>
      </w:pPr>
      <w:r>
        <w:rPr>
          <w:rFonts w:ascii="Times New Roman" w:hAnsi="Times New Roman" w:eastAsia="Times New Roman" w:cs="Times New Roman"/>
          <w:spacing w:val="3"/>
          <w:position w:val="1"/>
          <w:sz w:val="19"/>
          <w:szCs w:val="19"/>
        </w:rPr>
        <w:t xml:space="preserve">560              </w:t>
      </w:r>
      <w:r>
        <w:rPr>
          <w:spacing w:val="3"/>
          <w:sz w:val="19"/>
          <w:szCs w:val="19"/>
        </w:rPr>
        <w:t>信息系统监理师教程(第2版)</w:t>
      </w:r>
    </w:p>
    <w:p w14:paraId="2A6B4893">
      <w:pPr>
        <w:spacing w:line="330" w:lineRule="auto"/>
        <w:rPr>
          <w:rFonts w:ascii="Arial"/>
          <w:sz w:val="21"/>
        </w:rPr>
      </w:pPr>
    </w:p>
    <w:p w14:paraId="5DE3093E">
      <w:pPr>
        <w:pStyle w:val="2"/>
        <w:spacing w:before="62" w:line="219" w:lineRule="auto"/>
        <w:ind w:left="739"/>
        <w:rPr>
          <w:sz w:val="19"/>
          <w:szCs w:val="19"/>
        </w:rPr>
      </w:pPr>
      <w:r>
        <w:rPr>
          <w:spacing w:val="11"/>
          <w:sz w:val="19"/>
          <w:szCs w:val="19"/>
        </w:rPr>
        <w:t>(7)对安全子系统或安全设备进行功能与</w:t>
      </w:r>
      <w:r>
        <w:rPr>
          <w:spacing w:val="10"/>
          <w:sz w:val="19"/>
          <w:szCs w:val="19"/>
        </w:rPr>
        <w:t>性能符合性检查；</w:t>
      </w:r>
    </w:p>
    <w:p w14:paraId="049A54CF">
      <w:pPr>
        <w:pStyle w:val="2"/>
        <w:spacing w:before="103" w:line="219" w:lineRule="auto"/>
        <w:ind w:left="739"/>
        <w:rPr>
          <w:sz w:val="19"/>
          <w:szCs w:val="19"/>
        </w:rPr>
      </w:pPr>
      <w:r>
        <w:rPr>
          <w:spacing w:val="10"/>
          <w:sz w:val="19"/>
          <w:szCs w:val="19"/>
        </w:rPr>
        <w:t>(8)督促承建单位做好工程实施中的安全管理工</w:t>
      </w:r>
      <w:r>
        <w:rPr>
          <w:spacing w:val="9"/>
          <w:sz w:val="19"/>
          <w:szCs w:val="19"/>
        </w:rPr>
        <w:t>作；</w:t>
      </w:r>
    </w:p>
    <w:p w14:paraId="4CD9FC10">
      <w:pPr>
        <w:pStyle w:val="2"/>
        <w:spacing w:before="83" w:line="281" w:lineRule="auto"/>
        <w:ind w:left="349" w:right="53" w:firstLine="389"/>
        <w:rPr>
          <w:sz w:val="19"/>
          <w:szCs w:val="19"/>
        </w:rPr>
      </w:pPr>
      <w:r>
        <w:rPr>
          <w:spacing w:val="15"/>
          <w:sz w:val="19"/>
          <w:szCs w:val="19"/>
        </w:rPr>
        <w:t>(9)如工程实施中存在重大变更，督促承建单位履行变更程序，并协调业主单位对系统安</w:t>
      </w:r>
      <w:r>
        <w:rPr>
          <w:spacing w:val="5"/>
          <w:sz w:val="19"/>
          <w:szCs w:val="19"/>
        </w:rPr>
        <w:t xml:space="preserve"> </w:t>
      </w:r>
      <w:r>
        <w:rPr>
          <w:spacing w:val="13"/>
          <w:sz w:val="19"/>
          <w:szCs w:val="19"/>
        </w:rPr>
        <w:t>全性进行再评估。第三级以上信息系统发生重大变更时，信息</w:t>
      </w:r>
      <w:r>
        <w:rPr>
          <w:spacing w:val="12"/>
          <w:sz w:val="19"/>
          <w:szCs w:val="19"/>
        </w:rPr>
        <w:t>系统的责任单位应将变更情况及</w:t>
      </w:r>
      <w:r>
        <w:rPr>
          <w:sz w:val="19"/>
          <w:szCs w:val="19"/>
        </w:rPr>
        <w:t xml:space="preserve"> </w:t>
      </w:r>
      <w:r>
        <w:rPr>
          <w:spacing w:val="9"/>
          <w:sz w:val="19"/>
          <w:szCs w:val="19"/>
        </w:rPr>
        <w:t>时上报相应的主管部门，并按照主管部门的要</w:t>
      </w:r>
      <w:r>
        <w:rPr>
          <w:spacing w:val="8"/>
          <w:sz w:val="19"/>
          <w:szCs w:val="19"/>
        </w:rPr>
        <w:t>求办理相关事项。</w:t>
      </w:r>
    </w:p>
    <w:p w14:paraId="2D6FE9F4">
      <w:pPr>
        <w:pStyle w:val="2"/>
        <w:spacing w:before="233" w:line="219" w:lineRule="auto"/>
        <w:ind w:left="352"/>
        <w:rPr>
          <w:sz w:val="24"/>
          <w:szCs w:val="24"/>
        </w:rPr>
      </w:pPr>
      <w:r>
        <w:rPr>
          <w:b/>
          <w:bCs/>
          <w:color w:val="007BE7"/>
          <w:spacing w:val="-15"/>
          <w:sz w:val="24"/>
          <w:szCs w:val="24"/>
        </w:rPr>
        <w:t>24.5.2</w:t>
      </w:r>
      <w:r>
        <w:rPr>
          <w:color w:val="007BE7"/>
          <w:spacing w:val="3"/>
          <w:sz w:val="24"/>
          <w:szCs w:val="24"/>
        </w:rPr>
        <w:t xml:space="preserve">  </w:t>
      </w:r>
      <w:r>
        <w:rPr>
          <w:b/>
          <w:bCs/>
          <w:color w:val="007BE7"/>
          <w:spacing w:val="-15"/>
          <w:sz w:val="24"/>
          <w:szCs w:val="24"/>
        </w:rPr>
        <w:t>监理内容</w:t>
      </w:r>
    </w:p>
    <w:p w14:paraId="67AE956A">
      <w:pPr>
        <w:pStyle w:val="2"/>
        <w:spacing w:before="272" w:line="221" w:lineRule="auto"/>
        <w:ind w:left="742"/>
        <w:rPr>
          <w:rFonts w:ascii="黑体" w:hAnsi="黑体" w:eastAsia="黑体" w:cs="黑体"/>
          <w:sz w:val="19"/>
          <w:szCs w:val="19"/>
        </w:rPr>
      </w:pPr>
      <w:r>
        <w:rPr>
          <w:b/>
          <w:bCs/>
          <w:color w:val="007CCF"/>
          <w:spacing w:val="7"/>
          <w:sz w:val="19"/>
          <w:szCs w:val="19"/>
        </w:rPr>
        <w:t>1.</w:t>
      </w:r>
      <w:r>
        <w:rPr>
          <w:rFonts w:ascii="黑体" w:hAnsi="黑体" w:eastAsia="黑体" w:cs="黑体"/>
          <w:b/>
          <w:bCs/>
          <w:color w:val="007CCF"/>
          <w:spacing w:val="7"/>
          <w:sz w:val="19"/>
          <w:szCs w:val="19"/>
        </w:rPr>
        <w:t>工程实施方案的审核</w:t>
      </w:r>
    </w:p>
    <w:p w14:paraId="7634FD05">
      <w:pPr>
        <w:pStyle w:val="2"/>
        <w:spacing w:before="186" w:line="219" w:lineRule="auto"/>
        <w:ind w:left="739"/>
        <w:rPr>
          <w:sz w:val="19"/>
          <w:szCs w:val="19"/>
        </w:rPr>
      </w:pPr>
      <w:r>
        <w:rPr>
          <w:spacing w:val="7"/>
          <w:sz w:val="19"/>
          <w:szCs w:val="19"/>
        </w:rPr>
        <w:t>监理机构应对工程实施方案进行审核，审核内容具体如下：</w:t>
      </w:r>
    </w:p>
    <w:p w14:paraId="53F6DEC7">
      <w:pPr>
        <w:pStyle w:val="2"/>
        <w:spacing w:before="86" w:line="219" w:lineRule="auto"/>
        <w:ind w:left="739"/>
        <w:rPr>
          <w:sz w:val="19"/>
          <w:szCs w:val="19"/>
        </w:rPr>
      </w:pPr>
      <w:r>
        <w:rPr>
          <w:spacing w:val="11"/>
          <w:sz w:val="19"/>
          <w:szCs w:val="19"/>
        </w:rPr>
        <w:t>(1)实施方案与设计方案的符合性；</w:t>
      </w:r>
    </w:p>
    <w:p w14:paraId="3A45FAF8">
      <w:pPr>
        <w:pStyle w:val="2"/>
        <w:spacing w:before="95" w:line="220" w:lineRule="auto"/>
        <w:ind w:left="739"/>
        <w:rPr>
          <w:sz w:val="19"/>
          <w:szCs w:val="19"/>
        </w:rPr>
      </w:pPr>
      <w:r>
        <w:rPr>
          <w:spacing w:val="10"/>
          <w:sz w:val="19"/>
          <w:szCs w:val="19"/>
        </w:rPr>
        <w:t>(2)详细的工程实施计划、工程控制过程；</w:t>
      </w:r>
    </w:p>
    <w:p w14:paraId="4344445A">
      <w:pPr>
        <w:pStyle w:val="2"/>
        <w:spacing w:before="92" w:line="256" w:lineRule="auto"/>
        <w:ind w:left="349" w:right="36" w:firstLine="389"/>
        <w:rPr>
          <w:sz w:val="19"/>
          <w:szCs w:val="19"/>
        </w:rPr>
      </w:pPr>
      <w:r>
        <w:rPr>
          <w:spacing w:val="21"/>
          <w:sz w:val="19"/>
          <w:szCs w:val="19"/>
        </w:rPr>
        <w:t>(3)安全设备安装调试计划，包括各类安全设备的采购、进场、配置、</w:t>
      </w:r>
      <w:r>
        <w:rPr>
          <w:spacing w:val="20"/>
          <w:sz w:val="19"/>
          <w:szCs w:val="19"/>
        </w:rPr>
        <w:t>调试和管理的计</w:t>
      </w:r>
      <w:r>
        <w:rPr>
          <w:sz w:val="19"/>
          <w:szCs w:val="19"/>
        </w:rPr>
        <w:t xml:space="preserve"> </w:t>
      </w:r>
      <w:r>
        <w:rPr>
          <w:spacing w:val="-4"/>
          <w:sz w:val="19"/>
          <w:szCs w:val="19"/>
        </w:rPr>
        <w:t>划等；</w:t>
      </w:r>
    </w:p>
    <w:p w14:paraId="6826AC9F">
      <w:pPr>
        <w:pStyle w:val="2"/>
        <w:spacing w:before="84" w:line="265" w:lineRule="auto"/>
        <w:ind w:left="349" w:right="54" w:firstLine="389"/>
        <w:rPr>
          <w:sz w:val="19"/>
          <w:szCs w:val="19"/>
        </w:rPr>
      </w:pPr>
      <w:r>
        <w:rPr>
          <w:spacing w:val="15"/>
          <w:sz w:val="19"/>
          <w:szCs w:val="19"/>
        </w:rPr>
        <w:t>(4)工程实施组织中的安全，例如工程实施人员安全管理措施、工程实施步骤安全管理措</w:t>
      </w:r>
      <w:r>
        <w:rPr>
          <w:spacing w:val="4"/>
          <w:sz w:val="19"/>
          <w:szCs w:val="19"/>
        </w:rPr>
        <w:t xml:space="preserve"> </w:t>
      </w:r>
      <w:r>
        <w:rPr>
          <w:spacing w:val="-4"/>
          <w:sz w:val="19"/>
          <w:szCs w:val="19"/>
        </w:rPr>
        <w:t>施等；</w:t>
      </w:r>
    </w:p>
    <w:p w14:paraId="1A8DE8C9">
      <w:pPr>
        <w:pStyle w:val="2"/>
        <w:spacing w:before="85" w:line="219" w:lineRule="auto"/>
        <w:ind w:left="739"/>
        <w:rPr>
          <w:sz w:val="19"/>
          <w:szCs w:val="19"/>
        </w:rPr>
      </w:pPr>
      <w:r>
        <w:rPr>
          <w:spacing w:val="11"/>
          <w:sz w:val="19"/>
          <w:szCs w:val="19"/>
        </w:rPr>
        <w:t>(5)如存在项目分包，审核分包工程实施</w:t>
      </w:r>
      <w:r>
        <w:rPr>
          <w:spacing w:val="10"/>
          <w:sz w:val="19"/>
          <w:szCs w:val="19"/>
        </w:rPr>
        <w:t>的安全管理措施；</w:t>
      </w:r>
    </w:p>
    <w:p w14:paraId="10BF5ADA">
      <w:pPr>
        <w:pStyle w:val="2"/>
        <w:spacing w:before="85" w:line="265" w:lineRule="auto"/>
        <w:ind w:left="349" w:right="55" w:firstLine="389"/>
        <w:rPr>
          <w:sz w:val="19"/>
          <w:szCs w:val="19"/>
        </w:rPr>
      </w:pPr>
      <w:r>
        <w:rPr>
          <w:spacing w:val="15"/>
          <w:sz w:val="19"/>
          <w:szCs w:val="19"/>
        </w:rPr>
        <w:t>(6)依据体系结构设计和详细设计所采用的安全技术框架、安全管理策略，形成工程实施</w:t>
      </w:r>
      <w:r>
        <w:rPr>
          <w:spacing w:val="3"/>
          <w:sz w:val="19"/>
          <w:szCs w:val="19"/>
        </w:rPr>
        <w:t xml:space="preserve"> 方案的配套文件；</w:t>
      </w:r>
    </w:p>
    <w:p w14:paraId="734B0A40">
      <w:pPr>
        <w:pStyle w:val="2"/>
        <w:spacing w:before="83" w:line="271" w:lineRule="auto"/>
        <w:ind w:left="349" w:firstLine="389"/>
        <w:rPr>
          <w:sz w:val="19"/>
          <w:szCs w:val="19"/>
        </w:rPr>
      </w:pPr>
      <w:r>
        <w:rPr>
          <w:spacing w:val="17"/>
          <w:sz w:val="19"/>
          <w:szCs w:val="19"/>
        </w:rPr>
        <w:t>(7)如适用，督促承建单位组织相关部门</w:t>
      </w:r>
      <w:r>
        <w:rPr>
          <w:spacing w:val="16"/>
          <w:sz w:val="19"/>
          <w:szCs w:val="19"/>
        </w:rPr>
        <w:t>和有关安全技术专家对工程实施方案的合理性、</w:t>
      </w:r>
      <w:r>
        <w:rPr>
          <w:sz w:val="19"/>
          <w:szCs w:val="19"/>
        </w:rPr>
        <w:t xml:space="preserve"> </w:t>
      </w:r>
      <w:r>
        <w:rPr>
          <w:spacing w:val="5"/>
          <w:sz w:val="19"/>
          <w:szCs w:val="19"/>
        </w:rPr>
        <w:t>正确性进行论证和审定。</w:t>
      </w:r>
    </w:p>
    <w:p w14:paraId="466F09FD">
      <w:pPr>
        <w:pStyle w:val="2"/>
        <w:spacing w:before="161" w:line="222" w:lineRule="auto"/>
        <w:ind w:left="742"/>
        <w:rPr>
          <w:rFonts w:ascii="黑体" w:hAnsi="黑体" w:eastAsia="黑体" w:cs="黑体"/>
          <w:sz w:val="19"/>
          <w:szCs w:val="19"/>
        </w:rPr>
      </w:pPr>
      <w:r>
        <w:rPr>
          <w:b/>
          <w:bCs/>
          <w:color w:val="007FD4"/>
          <w:spacing w:val="7"/>
          <w:sz w:val="19"/>
          <w:szCs w:val="19"/>
        </w:rPr>
        <w:t>2.</w:t>
      </w:r>
      <w:r>
        <w:rPr>
          <w:rFonts w:ascii="黑体" w:hAnsi="黑体" w:eastAsia="黑体" w:cs="黑体"/>
          <w:b/>
          <w:bCs/>
          <w:color w:val="007FD4"/>
          <w:spacing w:val="7"/>
          <w:sz w:val="19"/>
          <w:szCs w:val="19"/>
        </w:rPr>
        <w:t>安全控制措施的审核</w:t>
      </w:r>
    </w:p>
    <w:p w14:paraId="28DAC8FF">
      <w:pPr>
        <w:pStyle w:val="2"/>
        <w:spacing w:before="163" w:line="219" w:lineRule="auto"/>
        <w:ind w:left="739"/>
        <w:rPr>
          <w:sz w:val="19"/>
          <w:szCs w:val="19"/>
        </w:rPr>
      </w:pPr>
      <w:r>
        <w:rPr>
          <w:spacing w:val="7"/>
          <w:sz w:val="19"/>
          <w:szCs w:val="19"/>
        </w:rPr>
        <w:t>监理机构应对安全控制措施进行审核，审核内容具体如下：</w:t>
      </w:r>
    </w:p>
    <w:p w14:paraId="39FA4B05">
      <w:pPr>
        <w:pStyle w:val="2"/>
        <w:spacing w:before="85" w:line="219" w:lineRule="auto"/>
        <w:ind w:left="739"/>
        <w:rPr>
          <w:sz w:val="19"/>
          <w:szCs w:val="19"/>
        </w:rPr>
      </w:pPr>
      <w:r>
        <w:rPr>
          <w:spacing w:val="11"/>
          <w:sz w:val="19"/>
          <w:szCs w:val="19"/>
        </w:rPr>
        <w:t>(1)确认集成到信息系统工程中的安全控</w:t>
      </w:r>
      <w:r>
        <w:rPr>
          <w:spacing w:val="10"/>
          <w:sz w:val="19"/>
          <w:szCs w:val="19"/>
        </w:rPr>
        <w:t>制措施及其配置；</w:t>
      </w:r>
    </w:p>
    <w:p w14:paraId="67024CFB">
      <w:pPr>
        <w:pStyle w:val="2"/>
        <w:spacing w:before="95" w:line="219" w:lineRule="auto"/>
        <w:ind w:left="739"/>
        <w:rPr>
          <w:sz w:val="19"/>
          <w:szCs w:val="19"/>
        </w:rPr>
      </w:pPr>
      <w:r>
        <w:rPr>
          <w:spacing w:val="10"/>
          <w:sz w:val="19"/>
          <w:szCs w:val="19"/>
        </w:rPr>
        <w:t>(2)确认安全控制措施达到设计要求，有效降低风险；</w:t>
      </w:r>
    </w:p>
    <w:p w14:paraId="031452C0">
      <w:pPr>
        <w:pStyle w:val="2"/>
        <w:spacing w:before="75" w:line="265" w:lineRule="auto"/>
        <w:ind w:left="349" w:right="55" w:firstLine="389"/>
        <w:rPr>
          <w:sz w:val="19"/>
          <w:szCs w:val="19"/>
        </w:rPr>
      </w:pPr>
      <w:r>
        <w:rPr>
          <w:spacing w:val="15"/>
          <w:sz w:val="19"/>
          <w:szCs w:val="19"/>
        </w:rPr>
        <w:t>(3)工程实施部署后，督促承建单位对系统的运行情况进行监控，及时发现安全控制措施</w:t>
      </w:r>
      <w:r>
        <w:rPr>
          <w:spacing w:val="3"/>
          <w:sz w:val="19"/>
          <w:szCs w:val="19"/>
        </w:rPr>
        <w:t xml:space="preserve"> </w:t>
      </w:r>
      <w:r>
        <w:rPr>
          <w:spacing w:val="6"/>
          <w:sz w:val="19"/>
          <w:szCs w:val="19"/>
        </w:rPr>
        <w:t>状态变化及安全事件，并进行适当的处置；</w:t>
      </w:r>
    </w:p>
    <w:p w14:paraId="22A3A669">
      <w:pPr>
        <w:pStyle w:val="2"/>
        <w:spacing w:before="94" w:line="256" w:lineRule="auto"/>
        <w:ind w:left="349" w:right="55" w:firstLine="389"/>
        <w:rPr>
          <w:sz w:val="19"/>
          <w:szCs w:val="19"/>
        </w:rPr>
      </w:pPr>
      <w:r>
        <w:rPr>
          <w:spacing w:val="15"/>
          <w:sz w:val="19"/>
          <w:szCs w:val="19"/>
        </w:rPr>
        <w:t>(4)如适用，应督促承建单位建立安全态势监控机制，监控安全防护措施功能、性能的有</w:t>
      </w:r>
      <w:r>
        <w:rPr>
          <w:spacing w:val="3"/>
          <w:sz w:val="19"/>
          <w:szCs w:val="19"/>
        </w:rPr>
        <w:t xml:space="preserve"> </w:t>
      </w:r>
      <w:r>
        <w:rPr>
          <w:spacing w:val="-4"/>
          <w:sz w:val="19"/>
          <w:szCs w:val="19"/>
        </w:rPr>
        <w:t>效性；</w:t>
      </w:r>
    </w:p>
    <w:p w14:paraId="59D3E5F6">
      <w:pPr>
        <w:pStyle w:val="2"/>
        <w:spacing w:before="92" w:line="219" w:lineRule="auto"/>
        <w:ind w:left="739"/>
        <w:rPr>
          <w:sz w:val="19"/>
          <w:szCs w:val="19"/>
        </w:rPr>
      </w:pPr>
      <w:r>
        <w:rPr>
          <w:spacing w:val="11"/>
          <w:sz w:val="19"/>
          <w:szCs w:val="19"/>
        </w:rPr>
        <w:t>(5)督促承建单位对系统用户和管理员进行相关的安全意识教育和技能培训；</w:t>
      </w:r>
    </w:p>
    <w:p w14:paraId="24771C42">
      <w:pPr>
        <w:pStyle w:val="2"/>
        <w:spacing w:before="75" w:line="219" w:lineRule="auto"/>
        <w:ind w:left="739"/>
        <w:rPr>
          <w:sz w:val="19"/>
          <w:szCs w:val="19"/>
        </w:rPr>
      </w:pPr>
      <w:r>
        <w:rPr>
          <w:spacing w:val="11"/>
          <w:sz w:val="19"/>
          <w:szCs w:val="19"/>
        </w:rPr>
        <w:t>(6)如适用，督促承建单位建立安全控制措施的定期维护机制。</w:t>
      </w:r>
    </w:p>
    <w:p w14:paraId="3D534010">
      <w:pPr>
        <w:pStyle w:val="2"/>
        <w:spacing w:before="161" w:line="222" w:lineRule="auto"/>
        <w:ind w:left="742"/>
        <w:rPr>
          <w:rFonts w:ascii="黑体" w:hAnsi="黑体" w:eastAsia="黑体" w:cs="黑体"/>
          <w:sz w:val="19"/>
          <w:szCs w:val="19"/>
        </w:rPr>
      </w:pPr>
      <w:r>
        <w:rPr>
          <w:b/>
          <w:bCs/>
          <w:color w:val="007CCF"/>
          <w:spacing w:val="6"/>
          <w:sz w:val="19"/>
          <w:szCs w:val="19"/>
        </w:rPr>
        <w:t>3.</w:t>
      </w:r>
      <w:r>
        <w:rPr>
          <w:rFonts w:ascii="黑体" w:hAnsi="黑体" w:eastAsia="黑体" w:cs="黑体"/>
          <w:b/>
          <w:bCs/>
          <w:color w:val="007CCF"/>
          <w:spacing w:val="6"/>
          <w:sz w:val="19"/>
          <w:szCs w:val="19"/>
        </w:rPr>
        <w:t>安全设备的验收</w:t>
      </w:r>
    </w:p>
    <w:p w14:paraId="3286C423">
      <w:pPr>
        <w:pStyle w:val="2"/>
        <w:spacing w:before="155" w:line="219" w:lineRule="auto"/>
        <w:ind w:left="739"/>
        <w:rPr>
          <w:sz w:val="19"/>
          <w:szCs w:val="19"/>
        </w:rPr>
      </w:pPr>
      <w:r>
        <w:rPr>
          <w:spacing w:val="7"/>
          <w:sz w:val="19"/>
          <w:szCs w:val="19"/>
        </w:rPr>
        <w:t>监理机构在安全设备验收时要重点关注以下几点：</w:t>
      </w:r>
    </w:p>
    <w:p w14:paraId="5831DBDB">
      <w:pPr>
        <w:pStyle w:val="2"/>
        <w:spacing w:before="84" w:line="219" w:lineRule="auto"/>
        <w:ind w:left="739"/>
        <w:rPr>
          <w:sz w:val="19"/>
          <w:szCs w:val="19"/>
        </w:rPr>
      </w:pPr>
      <w:r>
        <w:rPr>
          <w:spacing w:val="12"/>
          <w:sz w:val="19"/>
          <w:szCs w:val="19"/>
        </w:rPr>
        <w:t>(1)设备及其配件、模块的类型和数量与到</w:t>
      </w:r>
      <w:r>
        <w:rPr>
          <w:spacing w:val="11"/>
          <w:sz w:val="19"/>
          <w:szCs w:val="19"/>
        </w:rPr>
        <w:t>货清单一致；</w:t>
      </w:r>
    </w:p>
    <w:p w14:paraId="3D3CA3FD">
      <w:pPr>
        <w:pStyle w:val="2"/>
        <w:spacing w:before="86" w:line="219" w:lineRule="auto"/>
        <w:ind w:left="739"/>
        <w:rPr>
          <w:sz w:val="19"/>
          <w:szCs w:val="19"/>
        </w:rPr>
      </w:pPr>
      <w:r>
        <w:rPr>
          <w:spacing w:val="11"/>
          <w:sz w:val="19"/>
          <w:szCs w:val="19"/>
        </w:rPr>
        <w:t>(2)安全设备具有公安部颁发的销售许可证，且在有效期内；</w:t>
      </w:r>
    </w:p>
    <w:p w14:paraId="7D6D1A3C">
      <w:pPr>
        <w:pStyle w:val="2"/>
        <w:spacing w:before="63" w:line="219" w:lineRule="auto"/>
        <w:ind w:left="739"/>
        <w:rPr>
          <w:sz w:val="19"/>
          <w:szCs w:val="19"/>
        </w:rPr>
      </w:pPr>
      <w:r>
        <w:rPr>
          <w:spacing w:val="11"/>
          <w:sz w:val="19"/>
          <w:szCs w:val="19"/>
        </w:rPr>
        <w:t>(3)安全设备及型号与销售许可证一致，产品销售所需的证书齐全；</w:t>
      </w:r>
    </w:p>
    <w:p w14:paraId="0B0EF12D">
      <w:pPr>
        <w:spacing w:line="219" w:lineRule="auto"/>
        <w:rPr>
          <w:sz w:val="19"/>
          <w:szCs w:val="19"/>
        </w:rPr>
        <w:sectPr>
          <w:pgSz w:w="10300" w:h="13390"/>
          <w:pgMar w:top="400" w:right="1064" w:bottom="400" w:left="520" w:header="0" w:footer="0" w:gutter="0"/>
          <w:cols w:space="720" w:num="1"/>
        </w:sectPr>
      </w:pPr>
    </w:p>
    <w:p w14:paraId="4AE2B40B">
      <w:pPr>
        <w:pStyle w:val="2"/>
        <w:jc w:val="right"/>
        <w:rPr>
          <w:rFonts w:ascii="Times New Roman" w:hAnsi="Times New Roman" w:eastAsia="Times New Roman" w:cs="Times New Roman"/>
          <w:sz w:val="19"/>
          <w:szCs w:val="19"/>
        </w:rPr>
      </w:pPr>
      <w:r>
        <w:rPr>
          <w:spacing w:val="4"/>
          <w:sz w:val="19"/>
          <w:szCs w:val="19"/>
        </w:rPr>
        <w:t>第24章</w:t>
      </w:r>
      <w:r>
        <w:rPr>
          <w:spacing w:val="23"/>
          <w:sz w:val="19"/>
          <w:szCs w:val="19"/>
        </w:rPr>
        <w:t xml:space="preserve"> </w:t>
      </w:r>
      <w:r>
        <w:rPr>
          <w:spacing w:val="4"/>
          <w:sz w:val="19"/>
          <w:szCs w:val="19"/>
        </w:rPr>
        <w:t xml:space="preserve">信息安全监理 </w:t>
      </w:r>
      <w:r>
        <w:rPr>
          <w:position w:val="-10"/>
          <w:sz w:val="19"/>
          <w:szCs w:val="19"/>
        </w:rPr>
        <w:drawing>
          <wp:inline distT="0" distB="0" distL="0" distR="0">
            <wp:extent cx="317500" cy="240665"/>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360"/>
                    <a:stretch>
                      <a:fillRect/>
                    </a:stretch>
                  </pic:blipFill>
                  <pic:spPr>
                    <a:xfrm>
                      <a:off x="0" y="0"/>
                      <a:ext cx="317541" cy="241292"/>
                    </a:xfrm>
                    <a:prstGeom prst="rect">
                      <a:avLst/>
                    </a:prstGeom>
                  </pic:spPr>
                </pic:pic>
              </a:graphicData>
            </a:graphic>
          </wp:inline>
        </w:drawing>
      </w:r>
      <w:r>
        <w:rPr>
          <w:rFonts w:ascii="Times New Roman" w:hAnsi="Times New Roman" w:eastAsia="Times New Roman" w:cs="Times New Roman"/>
          <w:spacing w:val="4"/>
          <w:position w:val="1"/>
          <w:sz w:val="19"/>
          <w:szCs w:val="19"/>
        </w:rPr>
        <w:t>561</w:t>
      </w:r>
    </w:p>
    <w:p w14:paraId="0B340B33">
      <w:pPr>
        <w:spacing w:line="274" w:lineRule="auto"/>
        <w:rPr>
          <w:rFonts w:ascii="Arial"/>
          <w:sz w:val="21"/>
        </w:rPr>
      </w:pPr>
    </w:p>
    <w:p w14:paraId="518C43B5">
      <w:pPr>
        <w:pStyle w:val="2"/>
        <w:spacing w:before="62" w:line="219" w:lineRule="auto"/>
        <w:ind w:left="419"/>
        <w:rPr>
          <w:sz w:val="19"/>
          <w:szCs w:val="19"/>
        </w:rPr>
      </w:pPr>
      <w:r>
        <w:rPr>
          <w:spacing w:val="10"/>
          <w:sz w:val="19"/>
          <w:szCs w:val="19"/>
        </w:rPr>
        <w:t>(4)符合安全设计方案所规定的功能、性能；</w:t>
      </w:r>
    </w:p>
    <w:p w14:paraId="7C2EA624">
      <w:pPr>
        <w:pStyle w:val="2"/>
        <w:spacing w:before="92" w:line="218" w:lineRule="auto"/>
        <w:ind w:left="419"/>
        <w:rPr>
          <w:sz w:val="19"/>
          <w:szCs w:val="19"/>
        </w:rPr>
      </w:pPr>
      <w:r>
        <w:rPr>
          <w:spacing w:val="11"/>
          <w:sz w:val="19"/>
          <w:szCs w:val="19"/>
        </w:rPr>
        <w:t>(5)如适用，提供由第三方安全测试机构出具的测试报告；</w:t>
      </w:r>
    </w:p>
    <w:p w14:paraId="4F5EC6A4">
      <w:pPr>
        <w:pStyle w:val="2"/>
        <w:spacing w:before="97" w:line="219" w:lineRule="auto"/>
        <w:ind w:left="419"/>
        <w:rPr>
          <w:sz w:val="19"/>
          <w:szCs w:val="19"/>
        </w:rPr>
      </w:pPr>
      <w:r>
        <w:rPr>
          <w:spacing w:val="11"/>
          <w:sz w:val="19"/>
          <w:szCs w:val="19"/>
        </w:rPr>
        <w:t>(6)设备部署后运转正常，功能、性能达到合同要求和设计指标。</w:t>
      </w:r>
    </w:p>
    <w:p w14:paraId="081D2F6E">
      <w:pPr>
        <w:pStyle w:val="2"/>
        <w:spacing w:before="140" w:line="222" w:lineRule="auto"/>
        <w:ind w:left="422"/>
        <w:rPr>
          <w:rFonts w:ascii="黑体" w:hAnsi="黑体" w:eastAsia="黑体" w:cs="黑体"/>
          <w:sz w:val="19"/>
          <w:szCs w:val="19"/>
        </w:rPr>
      </w:pPr>
      <w:r>
        <w:rPr>
          <w:b/>
          <w:bCs/>
          <w:color w:val="0081D8"/>
          <w:spacing w:val="7"/>
          <w:sz w:val="19"/>
          <w:szCs w:val="19"/>
        </w:rPr>
        <w:t>4.</w:t>
      </w:r>
      <w:r>
        <w:rPr>
          <w:rFonts w:ascii="黑体" w:hAnsi="黑体" w:eastAsia="黑体" w:cs="黑体"/>
          <w:b/>
          <w:bCs/>
          <w:color w:val="0081D8"/>
          <w:spacing w:val="7"/>
          <w:sz w:val="19"/>
          <w:szCs w:val="19"/>
        </w:rPr>
        <w:t>工程实施中的安全管理</w:t>
      </w:r>
    </w:p>
    <w:p w14:paraId="55CB6F5E">
      <w:pPr>
        <w:pStyle w:val="2"/>
        <w:spacing w:before="184" w:line="219" w:lineRule="auto"/>
        <w:ind w:left="419"/>
        <w:rPr>
          <w:sz w:val="19"/>
          <w:szCs w:val="19"/>
        </w:rPr>
      </w:pPr>
      <w:r>
        <w:rPr>
          <w:spacing w:val="8"/>
          <w:sz w:val="19"/>
          <w:szCs w:val="19"/>
        </w:rPr>
        <w:t>监理机构在进行工程实施中的安全管理时要重点关注以下几点：</w:t>
      </w:r>
    </w:p>
    <w:p w14:paraId="2FEAFA04">
      <w:pPr>
        <w:pStyle w:val="2"/>
        <w:spacing w:before="84" w:line="219" w:lineRule="auto"/>
        <w:ind w:left="419"/>
        <w:rPr>
          <w:sz w:val="19"/>
          <w:szCs w:val="19"/>
        </w:rPr>
      </w:pPr>
      <w:r>
        <w:rPr>
          <w:spacing w:val="11"/>
          <w:sz w:val="19"/>
          <w:szCs w:val="19"/>
        </w:rPr>
        <w:t>(1)督促承建单位指定或授权专门的部门和人员负责工程实施</w:t>
      </w:r>
      <w:r>
        <w:rPr>
          <w:spacing w:val="10"/>
          <w:sz w:val="19"/>
          <w:szCs w:val="19"/>
        </w:rPr>
        <w:t>过程的安全管理；</w:t>
      </w:r>
    </w:p>
    <w:p w14:paraId="001A389E">
      <w:pPr>
        <w:pStyle w:val="2"/>
        <w:spacing w:before="96" w:line="256" w:lineRule="auto"/>
        <w:ind w:right="305" w:firstLine="419"/>
        <w:rPr>
          <w:sz w:val="19"/>
          <w:szCs w:val="19"/>
        </w:rPr>
      </w:pPr>
      <w:r>
        <w:rPr>
          <w:spacing w:val="15"/>
          <w:sz w:val="19"/>
          <w:szCs w:val="19"/>
        </w:rPr>
        <w:t>(2)督促承建单位严格按照审批通过的实施方案进行施工，确保实施过程与实施方案的一</w:t>
      </w:r>
      <w:r>
        <w:rPr>
          <w:spacing w:val="4"/>
          <w:sz w:val="19"/>
          <w:szCs w:val="19"/>
        </w:rPr>
        <w:t xml:space="preserve"> </w:t>
      </w:r>
      <w:r>
        <w:rPr>
          <w:spacing w:val="-2"/>
          <w:sz w:val="19"/>
          <w:szCs w:val="19"/>
        </w:rPr>
        <w:t>致性；</w:t>
      </w:r>
    </w:p>
    <w:p w14:paraId="31FD7C83">
      <w:pPr>
        <w:pStyle w:val="2"/>
        <w:spacing w:before="82" w:line="219" w:lineRule="auto"/>
        <w:ind w:left="419"/>
        <w:rPr>
          <w:sz w:val="19"/>
          <w:szCs w:val="19"/>
        </w:rPr>
      </w:pPr>
      <w:r>
        <w:rPr>
          <w:spacing w:val="10"/>
          <w:sz w:val="19"/>
          <w:szCs w:val="19"/>
        </w:rPr>
        <w:t>(3)如适用，督促承建单位按其能力成熟度级别执行安全工程过程；</w:t>
      </w:r>
    </w:p>
    <w:p w14:paraId="66ED8CC2">
      <w:pPr>
        <w:pStyle w:val="2"/>
        <w:spacing w:before="96" w:line="219" w:lineRule="auto"/>
        <w:ind w:left="419"/>
        <w:rPr>
          <w:sz w:val="19"/>
          <w:szCs w:val="19"/>
        </w:rPr>
      </w:pPr>
      <w:r>
        <w:rPr>
          <w:spacing w:val="14"/>
          <w:sz w:val="19"/>
          <w:szCs w:val="19"/>
        </w:rPr>
        <w:t>(4)审查工程实施方面的管理制度(实施过程的控制方法、人员行为</w:t>
      </w:r>
      <w:r>
        <w:rPr>
          <w:spacing w:val="13"/>
          <w:sz w:val="19"/>
          <w:szCs w:val="19"/>
        </w:rPr>
        <w:t>准则等);</w:t>
      </w:r>
    </w:p>
    <w:p w14:paraId="52811C48">
      <w:pPr>
        <w:pStyle w:val="2"/>
        <w:spacing w:before="85" w:line="219" w:lineRule="auto"/>
        <w:ind w:left="419"/>
        <w:rPr>
          <w:sz w:val="19"/>
          <w:szCs w:val="19"/>
        </w:rPr>
      </w:pPr>
      <w:r>
        <w:rPr>
          <w:spacing w:val="11"/>
          <w:sz w:val="19"/>
          <w:szCs w:val="19"/>
        </w:rPr>
        <w:t>(5)审查承建单位施工人员的身份与资格；</w:t>
      </w:r>
    </w:p>
    <w:p w14:paraId="308BBDEB">
      <w:pPr>
        <w:pStyle w:val="2"/>
        <w:spacing w:before="83" w:line="219" w:lineRule="auto"/>
        <w:ind w:left="419"/>
        <w:rPr>
          <w:sz w:val="19"/>
          <w:szCs w:val="19"/>
        </w:rPr>
      </w:pPr>
      <w:r>
        <w:rPr>
          <w:spacing w:val="11"/>
          <w:sz w:val="19"/>
          <w:szCs w:val="19"/>
        </w:rPr>
        <w:t>(6)督促承建单位在施工中严格遵守业主</w:t>
      </w:r>
      <w:r>
        <w:rPr>
          <w:spacing w:val="10"/>
          <w:sz w:val="19"/>
          <w:szCs w:val="19"/>
        </w:rPr>
        <w:t>单位的相关安全管理规定。</w:t>
      </w:r>
    </w:p>
    <w:p w14:paraId="07DB7C3F">
      <w:pPr>
        <w:spacing w:line="326" w:lineRule="auto"/>
        <w:rPr>
          <w:rFonts w:ascii="Arial"/>
          <w:sz w:val="21"/>
        </w:rPr>
      </w:pPr>
    </w:p>
    <w:p w14:paraId="2D95DF3E">
      <w:pPr>
        <w:pStyle w:val="2"/>
        <w:spacing w:before="95" w:line="221" w:lineRule="auto"/>
        <w:ind w:left="4"/>
        <w:rPr>
          <w:rFonts w:ascii="黑体" w:hAnsi="黑体" w:eastAsia="黑体" w:cs="黑体"/>
          <w:sz w:val="29"/>
          <w:szCs w:val="29"/>
        </w:rPr>
      </w:pPr>
      <w:r>
        <w:rPr>
          <w:b/>
          <w:bCs/>
          <w:color w:val="0078E2"/>
          <w:spacing w:val="-11"/>
          <w:sz w:val="29"/>
          <w:szCs w:val="29"/>
        </w:rPr>
        <w:t>24.6</w:t>
      </w:r>
      <w:r>
        <w:rPr>
          <w:color w:val="0078E2"/>
          <w:spacing w:val="112"/>
          <w:sz w:val="29"/>
          <w:szCs w:val="29"/>
        </w:rPr>
        <w:t xml:space="preserve"> </w:t>
      </w:r>
      <w:r>
        <w:rPr>
          <w:rFonts w:ascii="黑体" w:hAnsi="黑体" w:eastAsia="黑体" w:cs="黑体"/>
          <w:b/>
          <w:bCs/>
          <w:color w:val="0078E2"/>
          <w:spacing w:val="-11"/>
          <w:sz w:val="29"/>
          <w:szCs w:val="29"/>
        </w:rPr>
        <w:t>测试评估阶段监理工作</w:t>
      </w:r>
    </w:p>
    <w:p w14:paraId="30D2A836">
      <w:pPr>
        <w:pStyle w:val="2"/>
        <w:spacing w:before="254" w:line="295" w:lineRule="auto"/>
        <w:ind w:right="307" w:firstLine="419"/>
        <w:jc w:val="both"/>
        <w:rPr>
          <w:sz w:val="19"/>
          <w:szCs w:val="19"/>
        </w:rPr>
      </w:pPr>
      <w:r>
        <w:rPr>
          <w:spacing w:val="13"/>
          <w:sz w:val="19"/>
          <w:szCs w:val="19"/>
        </w:rPr>
        <w:t>应通过网络安全等级测评机构、密码应用安全评估机构对已经完成信息安全系统建设的等</w:t>
      </w:r>
      <w:r>
        <w:rPr>
          <w:sz w:val="19"/>
          <w:szCs w:val="19"/>
        </w:rPr>
        <w:t xml:space="preserve"> </w:t>
      </w:r>
      <w:r>
        <w:rPr>
          <w:spacing w:val="13"/>
          <w:sz w:val="19"/>
          <w:szCs w:val="19"/>
        </w:rPr>
        <w:t>级保护对象、关键信息基础设施进行等级测评、密码应用安全评估，确保等级</w:t>
      </w:r>
      <w:r>
        <w:rPr>
          <w:spacing w:val="12"/>
          <w:sz w:val="19"/>
          <w:szCs w:val="19"/>
        </w:rPr>
        <w:t>保护对象、关键</w:t>
      </w:r>
      <w:r>
        <w:rPr>
          <w:sz w:val="19"/>
          <w:szCs w:val="19"/>
        </w:rPr>
        <w:t xml:space="preserve"> </w:t>
      </w:r>
      <w:r>
        <w:rPr>
          <w:spacing w:val="13"/>
          <w:sz w:val="19"/>
          <w:szCs w:val="19"/>
        </w:rPr>
        <w:t>信息基础设施的安全保护措施符合相应等级的安全要求。监理机构应跟踪测试</w:t>
      </w:r>
      <w:r>
        <w:rPr>
          <w:spacing w:val="12"/>
          <w:sz w:val="19"/>
          <w:szCs w:val="19"/>
        </w:rPr>
        <w:t>过程，督促承建</w:t>
      </w:r>
      <w:r>
        <w:rPr>
          <w:sz w:val="19"/>
          <w:szCs w:val="19"/>
        </w:rPr>
        <w:t xml:space="preserve"> </w:t>
      </w:r>
      <w:r>
        <w:rPr>
          <w:spacing w:val="7"/>
          <w:sz w:val="19"/>
          <w:szCs w:val="19"/>
        </w:rPr>
        <w:t>单位根据测评结果对风险项及存在的问题进行整改。</w:t>
      </w:r>
    </w:p>
    <w:p w14:paraId="0D1A21B8">
      <w:pPr>
        <w:pStyle w:val="2"/>
        <w:spacing w:before="197" w:line="220" w:lineRule="auto"/>
        <w:ind w:left="3"/>
        <w:rPr>
          <w:sz w:val="25"/>
          <w:szCs w:val="25"/>
        </w:rPr>
      </w:pPr>
      <w:r>
        <w:rPr>
          <w:b/>
          <w:bCs/>
          <w:color w:val="0067AD"/>
          <w:spacing w:val="-16"/>
          <w:sz w:val="25"/>
          <w:szCs w:val="25"/>
        </w:rPr>
        <w:t>24.6.1</w:t>
      </w:r>
      <w:r>
        <w:rPr>
          <w:color w:val="0067AD"/>
          <w:spacing w:val="70"/>
          <w:sz w:val="25"/>
          <w:szCs w:val="25"/>
        </w:rPr>
        <w:t xml:space="preserve"> </w:t>
      </w:r>
      <w:r>
        <w:rPr>
          <w:b/>
          <w:bCs/>
          <w:color w:val="0067AD"/>
          <w:spacing w:val="-16"/>
          <w:sz w:val="25"/>
          <w:szCs w:val="25"/>
        </w:rPr>
        <w:t>监理活动</w:t>
      </w:r>
    </w:p>
    <w:p w14:paraId="609158CE">
      <w:pPr>
        <w:pStyle w:val="2"/>
        <w:spacing w:before="171" w:line="218" w:lineRule="auto"/>
        <w:ind w:left="419"/>
        <w:rPr>
          <w:sz w:val="19"/>
          <w:szCs w:val="19"/>
        </w:rPr>
      </w:pPr>
      <w:r>
        <w:rPr>
          <w:spacing w:val="6"/>
          <w:sz w:val="19"/>
          <w:szCs w:val="19"/>
        </w:rPr>
        <w:t>信息安全系统测试评估阶段的主要监理活动如下：</w:t>
      </w:r>
    </w:p>
    <w:p w14:paraId="11AE5CC5">
      <w:pPr>
        <w:pStyle w:val="2"/>
        <w:spacing w:before="68" w:line="284" w:lineRule="auto"/>
        <w:ind w:right="306" w:firstLine="419"/>
        <w:rPr>
          <w:sz w:val="19"/>
          <w:szCs w:val="19"/>
        </w:rPr>
      </w:pPr>
      <w:r>
        <w:rPr>
          <w:spacing w:val="15"/>
          <w:sz w:val="19"/>
          <w:szCs w:val="19"/>
        </w:rPr>
        <w:t>(1)依据相关规定，第三级以上信息系统的安全系统、商用密码应用系统建设完成后，业</w:t>
      </w:r>
      <w:r>
        <w:rPr>
          <w:sz w:val="19"/>
          <w:szCs w:val="19"/>
        </w:rPr>
        <w:t xml:space="preserve"> </w:t>
      </w:r>
      <w:r>
        <w:rPr>
          <w:spacing w:val="13"/>
          <w:sz w:val="19"/>
          <w:szCs w:val="19"/>
        </w:rPr>
        <w:t>主单位应当委托公安部门、国家密码管理部门推荐或指定的测评机构进行等级保护、商用密码</w:t>
      </w:r>
      <w:r>
        <w:rPr>
          <w:spacing w:val="15"/>
          <w:sz w:val="19"/>
          <w:szCs w:val="19"/>
        </w:rPr>
        <w:t xml:space="preserve"> </w:t>
      </w:r>
      <w:r>
        <w:rPr>
          <w:spacing w:val="13"/>
          <w:sz w:val="19"/>
          <w:szCs w:val="19"/>
        </w:rPr>
        <w:t xml:space="preserve">应用安全性评估，评估通过后系统方可投入运行，评估结果作为项目建设验收的必备材料。监 理机构应配合测评机构完成等级保护测评、密码应用安全性评估工作，并协助业主单位完成评 </w:t>
      </w:r>
      <w:r>
        <w:rPr>
          <w:spacing w:val="4"/>
          <w:sz w:val="19"/>
          <w:szCs w:val="19"/>
        </w:rPr>
        <w:t>估结果备案。</w:t>
      </w:r>
    </w:p>
    <w:p w14:paraId="3EBD58DD">
      <w:pPr>
        <w:pStyle w:val="2"/>
        <w:spacing w:before="76" w:line="261" w:lineRule="auto"/>
        <w:ind w:right="305" w:firstLine="419"/>
        <w:rPr>
          <w:sz w:val="19"/>
          <w:szCs w:val="19"/>
        </w:rPr>
      </w:pPr>
      <w:r>
        <w:rPr>
          <w:spacing w:val="15"/>
          <w:sz w:val="19"/>
          <w:szCs w:val="19"/>
        </w:rPr>
        <w:t>(2)提醒业主单位与测评机构签署委托测评协议，根据业主单位委托审核协议文本，出具</w:t>
      </w:r>
      <w:r>
        <w:rPr>
          <w:spacing w:val="4"/>
          <w:sz w:val="19"/>
          <w:szCs w:val="19"/>
        </w:rPr>
        <w:t xml:space="preserve"> 监理意见。</w:t>
      </w:r>
    </w:p>
    <w:p w14:paraId="0B36B182">
      <w:pPr>
        <w:pStyle w:val="2"/>
        <w:spacing w:before="82" w:line="281" w:lineRule="auto"/>
        <w:ind w:right="221" w:firstLine="419"/>
        <w:rPr>
          <w:sz w:val="19"/>
          <w:szCs w:val="19"/>
        </w:rPr>
      </w:pPr>
      <w:r>
        <w:rPr>
          <w:spacing w:val="17"/>
          <w:sz w:val="19"/>
          <w:szCs w:val="19"/>
        </w:rPr>
        <w:t>(3)提醒业主单位与测评机构及时签署保密协议，以约束测评相关方现在及将来的行为。</w:t>
      </w:r>
      <w:r>
        <w:rPr>
          <w:spacing w:val="8"/>
          <w:sz w:val="19"/>
          <w:szCs w:val="19"/>
        </w:rPr>
        <w:t xml:space="preserve"> </w:t>
      </w:r>
      <w:r>
        <w:rPr>
          <w:spacing w:val="13"/>
          <w:sz w:val="19"/>
          <w:szCs w:val="19"/>
        </w:rPr>
        <w:t>保密协议应规定测评相关方保密方面的权利与义务。测评过程中获取的相关系统数据信息及测</w:t>
      </w:r>
      <w:r>
        <w:rPr>
          <w:sz w:val="19"/>
          <w:szCs w:val="19"/>
        </w:rPr>
        <w:t xml:space="preserve">  </w:t>
      </w:r>
      <w:r>
        <w:rPr>
          <w:spacing w:val="13"/>
          <w:sz w:val="19"/>
          <w:szCs w:val="19"/>
        </w:rPr>
        <w:t>评工作的成果属被测评单位所有，测评方如需引用或公开，应得到相关单位的授权，否则相关</w:t>
      </w:r>
      <w:r>
        <w:rPr>
          <w:spacing w:val="7"/>
          <w:sz w:val="19"/>
          <w:szCs w:val="19"/>
        </w:rPr>
        <w:t xml:space="preserve">  单位将按照保密协议的要求追究测评单位的法律责任。</w:t>
      </w:r>
    </w:p>
    <w:p w14:paraId="334DE287">
      <w:pPr>
        <w:pStyle w:val="2"/>
        <w:spacing w:before="75" w:line="273" w:lineRule="auto"/>
        <w:ind w:right="221" w:firstLine="419"/>
        <w:rPr>
          <w:sz w:val="19"/>
          <w:szCs w:val="19"/>
        </w:rPr>
      </w:pPr>
      <w:r>
        <w:rPr>
          <w:spacing w:val="15"/>
          <w:sz w:val="19"/>
          <w:szCs w:val="19"/>
        </w:rPr>
        <w:t>(4)提醒测试评估单位，如无业主单位授权，不得对关键信息基础设施实施漏洞探测、渗</w:t>
      </w:r>
      <w:r>
        <w:rPr>
          <w:spacing w:val="1"/>
          <w:sz w:val="19"/>
          <w:szCs w:val="19"/>
        </w:rPr>
        <w:t xml:space="preserve">  </w:t>
      </w:r>
      <w:r>
        <w:rPr>
          <w:spacing w:val="15"/>
          <w:sz w:val="19"/>
          <w:szCs w:val="19"/>
        </w:rPr>
        <w:t>透性测试等可能影响或者危害关键信息基础设施安全的活动。对基础电信网络实施漏洞探测、</w:t>
      </w:r>
      <w:r>
        <w:rPr>
          <w:spacing w:val="18"/>
          <w:sz w:val="19"/>
          <w:szCs w:val="19"/>
        </w:rPr>
        <w:t xml:space="preserve"> </w:t>
      </w:r>
      <w:r>
        <w:rPr>
          <w:spacing w:val="9"/>
          <w:sz w:val="19"/>
          <w:szCs w:val="19"/>
        </w:rPr>
        <w:t>渗透性测试等活动，应当事先向国务院电信主管部门报告。</w:t>
      </w:r>
    </w:p>
    <w:p w14:paraId="2C9AAFA4">
      <w:pPr>
        <w:spacing w:line="273" w:lineRule="auto"/>
        <w:rPr>
          <w:sz w:val="19"/>
          <w:szCs w:val="19"/>
        </w:rPr>
        <w:sectPr>
          <w:pgSz w:w="10300" w:h="13240"/>
          <w:pgMar w:top="340" w:right="544" w:bottom="400" w:left="1110" w:header="0" w:footer="0" w:gutter="0"/>
          <w:cols w:space="720" w:num="1"/>
        </w:sectPr>
      </w:pPr>
    </w:p>
    <w:p w14:paraId="6B2CF9CC">
      <w:pPr>
        <w:pStyle w:val="2"/>
        <w:spacing w:before="68" w:line="219" w:lineRule="auto"/>
        <w:rPr>
          <w:sz w:val="19"/>
          <w:szCs w:val="19"/>
        </w:rPr>
      </w:pPr>
      <w:r>
        <w:rPr>
          <w:rFonts w:ascii="Times New Roman" w:hAnsi="Times New Roman" w:eastAsia="Times New Roman" w:cs="Times New Roman"/>
          <w:spacing w:val="3"/>
          <w:position w:val="1"/>
          <w:sz w:val="19"/>
          <w:szCs w:val="19"/>
        </w:rPr>
        <w:t xml:space="preserve">562              </w:t>
      </w:r>
      <w:r>
        <w:rPr>
          <w:spacing w:val="3"/>
          <w:sz w:val="19"/>
          <w:szCs w:val="19"/>
        </w:rPr>
        <w:t>信息系统监理师教程(第2版)</w:t>
      </w:r>
    </w:p>
    <w:p w14:paraId="26F5D4B0">
      <w:pPr>
        <w:spacing w:line="310" w:lineRule="auto"/>
        <w:rPr>
          <w:rFonts w:ascii="Arial"/>
          <w:sz w:val="21"/>
        </w:rPr>
      </w:pPr>
    </w:p>
    <w:p w14:paraId="58236FF6">
      <w:pPr>
        <w:pStyle w:val="2"/>
        <w:spacing w:before="61" w:line="266" w:lineRule="auto"/>
        <w:ind w:left="349" w:right="32" w:firstLine="390"/>
        <w:rPr>
          <w:sz w:val="19"/>
          <w:szCs w:val="19"/>
        </w:rPr>
      </w:pPr>
      <w:r>
        <w:rPr>
          <w:spacing w:val="16"/>
          <w:sz w:val="19"/>
          <w:szCs w:val="19"/>
        </w:rPr>
        <w:t>(5)提醒相关单位在现场测评开始前对系统及</w:t>
      </w:r>
      <w:r>
        <w:rPr>
          <w:spacing w:val="15"/>
          <w:sz w:val="19"/>
          <w:szCs w:val="19"/>
        </w:rPr>
        <w:t>数据进行备份，并对可能出现的事件制定应</w:t>
      </w:r>
      <w:r>
        <w:rPr>
          <w:sz w:val="19"/>
          <w:szCs w:val="19"/>
        </w:rPr>
        <w:t xml:space="preserve"> </w:t>
      </w:r>
      <w:r>
        <w:rPr>
          <w:spacing w:val="4"/>
          <w:sz w:val="19"/>
          <w:szCs w:val="19"/>
        </w:rPr>
        <w:t>急处理方案。</w:t>
      </w:r>
    </w:p>
    <w:p w14:paraId="02582993">
      <w:pPr>
        <w:pStyle w:val="2"/>
        <w:spacing w:before="101" w:line="218" w:lineRule="auto"/>
        <w:ind w:left="740"/>
        <w:rPr>
          <w:sz w:val="19"/>
          <w:szCs w:val="19"/>
        </w:rPr>
      </w:pPr>
      <w:r>
        <w:rPr>
          <w:spacing w:val="11"/>
          <w:sz w:val="19"/>
          <w:szCs w:val="19"/>
        </w:rPr>
        <w:t>(6)督促测试单位及时编制测试方案、测试报告等测试相关文件，并组卷归档。</w:t>
      </w:r>
    </w:p>
    <w:p w14:paraId="20AD0735">
      <w:pPr>
        <w:pStyle w:val="2"/>
        <w:spacing w:before="206" w:line="219" w:lineRule="auto"/>
        <w:ind w:left="352"/>
        <w:rPr>
          <w:sz w:val="25"/>
          <w:szCs w:val="25"/>
        </w:rPr>
      </w:pPr>
      <w:r>
        <w:rPr>
          <w:b/>
          <w:bCs/>
          <w:color w:val="0092E8"/>
          <w:spacing w:val="-17"/>
          <w:sz w:val="25"/>
          <w:szCs w:val="25"/>
        </w:rPr>
        <w:t>24.6.2</w:t>
      </w:r>
      <w:r>
        <w:rPr>
          <w:color w:val="0092E8"/>
          <w:spacing w:val="-17"/>
          <w:sz w:val="25"/>
          <w:szCs w:val="25"/>
        </w:rPr>
        <w:t xml:space="preserve">  </w:t>
      </w:r>
      <w:r>
        <w:rPr>
          <w:b/>
          <w:bCs/>
          <w:color w:val="0092E8"/>
          <w:spacing w:val="-17"/>
          <w:sz w:val="25"/>
          <w:szCs w:val="25"/>
        </w:rPr>
        <w:t>监理内容</w:t>
      </w:r>
    </w:p>
    <w:p w14:paraId="3C49BD0C">
      <w:pPr>
        <w:pStyle w:val="2"/>
        <w:spacing w:before="202" w:line="304" w:lineRule="auto"/>
        <w:ind w:left="349" w:right="1" w:firstLine="390"/>
        <w:jc w:val="both"/>
        <w:rPr>
          <w:sz w:val="19"/>
          <w:szCs w:val="19"/>
        </w:rPr>
      </w:pPr>
      <w:r>
        <w:rPr>
          <w:spacing w:val="14"/>
          <w:sz w:val="19"/>
          <w:szCs w:val="19"/>
        </w:rPr>
        <w:t>信息系统安全测试评估主要包括网络安全等级保护测</w:t>
      </w:r>
      <w:r>
        <w:rPr>
          <w:spacing w:val="13"/>
          <w:sz w:val="19"/>
          <w:szCs w:val="19"/>
        </w:rPr>
        <w:t>评、关键信息基础设施保护、商用密</w:t>
      </w:r>
      <w:r>
        <w:rPr>
          <w:sz w:val="19"/>
          <w:szCs w:val="19"/>
        </w:rPr>
        <w:t xml:space="preserve"> </w:t>
      </w:r>
      <w:r>
        <w:rPr>
          <w:spacing w:val="14"/>
          <w:sz w:val="19"/>
          <w:szCs w:val="19"/>
        </w:rPr>
        <w:t>码应用安全性评估。鉴于关键信息基础设施保护及商用密码应用安全性评估测</w:t>
      </w:r>
      <w:r>
        <w:rPr>
          <w:spacing w:val="13"/>
          <w:sz w:val="19"/>
          <w:szCs w:val="19"/>
        </w:rPr>
        <w:t>试内容基于网络</w:t>
      </w:r>
      <w:r>
        <w:rPr>
          <w:sz w:val="19"/>
          <w:szCs w:val="19"/>
        </w:rPr>
        <w:t xml:space="preserve"> </w:t>
      </w:r>
      <w:r>
        <w:rPr>
          <w:spacing w:val="13"/>
          <w:sz w:val="19"/>
          <w:szCs w:val="19"/>
        </w:rPr>
        <w:t>安全等级保护测评，本节仅对网络安全等级保护测评进行详细介绍，关键信息基础设施保护和</w:t>
      </w:r>
      <w:r>
        <w:rPr>
          <w:spacing w:val="11"/>
          <w:sz w:val="19"/>
          <w:szCs w:val="19"/>
        </w:rPr>
        <w:t xml:space="preserve"> </w:t>
      </w:r>
      <w:r>
        <w:rPr>
          <w:spacing w:val="8"/>
          <w:sz w:val="19"/>
          <w:szCs w:val="19"/>
        </w:rPr>
        <w:t>商用密码应用安全性评估过程的工作内容、监理要点与此类似，不再进行描述。</w:t>
      </w:r>
    </w:p>
    <w:p w14:paraId="4D69360F">
      <w:pPr>
        <w:pStyle w:val="2"/>
        <w:spacing w:before="66" w:line="221" w:lineRule="auto"/>
        <w:ind w:left="742"/>
        <w:rPr>
          <w:rFonts w:ascii="黑体" w:hAnsi="黑体" w:eastAsia="黑体" w:cs="黑体"/>
          <w:sz w:val="19"/>
          <w:szCs w:val="19"/>
        </w:rPr>
      </w:pPr>
      <w:r>
        <w:rPr>
          <w:b/>
          <w:bCs/>
          <w:color w:val="008FE2"/>
          <w:spacing w:val="6"/>
          <w:sz w:val="19"/>
          <w:szCs w:val="19"/>
        </w:rPr>
        <w:t>1.</w:t>
      </w:r>
      <w:r>
        <w:rPr>
          <w:rFonts w:ascii="黑体" w:hAnsi="黑体" w:eastAsia="黑体" w:cs="黑体"/>
          <w:b/>
          <w:bCs/>
          <w:color w:val="008FE2"/>
          <w:spacing w:val="6"/>
          <w:sz w:val="19"/>
          <w:szCs w:val="19"/>
        </w:rPr>
        <w:t>等级测评过程</w:t>
      </w:r>
    </w:p>
    <w:p w14:paraId="10626233">
      <w:pPr>
        <w:pStyle w:val="2"/>
        <w:spacing w:before="176" w:line="296" w:lineRule="auto"/>
        <w:ind w:left="349" w:right="51" w:firstLine="390"/>
        <w:rPr>
          <w:sz w:val="19"/>
          <w:szCs w:val="19"/>
        </w:rPr>
      </w:pPr>
      <w:r>
        <w:rPr>
          <w:spacing w:val="13"/>
          <w:sz w:val="19"/>
          <w:szCs w:val="19"/>
        </w:rPr>
        <w:t>等级测评过程包括四个基本测评活动：测评准备活动、方案编制活动、现场测评活动、报</w:t>
      </w:r>
      <w:r>
        <w:rPr>
          <w:sz w:val="19"/>
          <w:szCs w:val="19"/>
        </w:rPr>
        <w:t xml:space="preserve"> </w:t>
      </w:r>
      <w:r>
        <w:rPr>
          <w:spacing w:val="9"/>
          <w:sz w:val="19"/>
          <w:szCs w:val="19"/>
        </w:rPr>
        <w:t>告编制活动。每一项测评活动都有一组确定的工作任务，如表24-2所示。</w:t>
      </w:r>
    </w:p>
    <w:p w14:paraId="269D6765">
      <w:pPr>
        <w:spacing w:before="87" w:line="221" w:lineRule="auto"/>
        <w:ind w:left="3612"/>
        <w:rPr>
          <w:rFonts w:ascii="黑体" w:hAnsi="黑体" w:eastAsia="黑体" w:cs="黑体"/>
          <w:sz w:val="19"/>
          <w:szCs w:val="19"/>
        </w:rPr>
      </w:pPr>
      <w:r>
        <w:rPr>
          <w:rFonts w:ascii="黑体" w:hAnsi="黑体" w:eastAsia="黑体" w:cs="黑体"/>
          <w:b/>
          <w:bCs/>
          <w:spacing w:val="-6"/>
          <w:sz w:val="19"/>
          <w:szCs w:val="19"/>
        </w:rPr>
        <w:t>表24-2</w:t>
      </w:r>
      <w:r>
        <w:rPr>
          <w:rFonts w:ascii="黑体" w:hAnsi="黑体" w:eastAsia="黑体" w:cs="黑体"/>
          <w:spacing w:val="88"/>
          <w:sz w:val="19"/>
          <w:szCs w:val="19"/>
        </w:rPr>
        <w:t xml:space="preserve"> </w:t>
      </w:r>
      <w:r>
        <w:rPr>
          <w:rFonts w:ascii="黑体" w:hAnsi="黑体" w:eastAsia="黑体" w:cs="黑体"/>
          <w:b/>
          <w:bCs/>
          <w:spacing w:val="-6"/>
          <w:sz w:val="19"/>
          <w:szCs w:val="19"/>
        </w:rPr>
        <w:t>等级测评过程</w:t>
      </w:r>
    </w:p>
    <w:p w14:paraId="0686AFA3">
      <w:pPr>
        <w:spacing w:line="124" w:lineRule="exact"/>
      </w:pPr>
    </w:p>
    <w:tbl>
      <w:tblPr>
        <w:tblStyle w:val="5"/>
        <w:tblW w:w="8349" w:type="dxa"/>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30"/>
        <w:gridCol w:w="6019"/>
      </w:tblGrid>
      <w:tr w14:paraId="7282A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330" w:type="dxa"/>
            <w:tcBorders>
              <w:left w:val="nil"/>
            </w:tcBorders>
            <w:vAlign w:val="top"/>
          </w:tcPr>
          <w:p w14:paraId="1BA9A32C">
            <w:pPr>
              <w:pStyle w:val="6"/>
              <w:spacing w:before="90" w:line="220" w:lineRule="auto"/>
              <w:ind w:left="802"/>
              <w:rPr>
                <w:sz w:val="18"/>
                <w:szCs w:val="18"/>
              </w:rPr>
            </w:pPr>
            <w:r>
              <w:rPr>
                <w:b/>
                <w:bCs/>
                <w:spacing w:val="-4"/>
                <w:sz w:val="18"/>
                <w:szCs w:val="18"/>
              </w:rPr>
              <w:t>测评活动</w:t>
            </w:r>
          </w:p>
        </w:tc>
        <w:tc>
          <w:tcPr>
            <w:tcW w:w="6019" w:type="dxa"/>
            <w:tcBorders>
              <w:right w:val="nil"/>
            </w:tcBorders>
            <w:vAlign w:val="top"/>
          </w:tcPr>
          <w:p w14:paraId="1FC6BDD9">
            <w:pPr>
              <w:pStyle w:val="6"/>
              <w:spacing w:before="89" w:line="219" w:lineRule="auto"/>
              <w:ind w:left="2457"/>
              <w:rPr>
                <w:sz w:val="18"/>
                <w:szCs w:val="18"/>
              </w:rPr>
            </w:pPr>
            <w:r>
              <w:rPr>
                <w:b/>
                <w:bCs/>
                <w:spacing w:val="-4"/>
                <w:sz w:val="18"/>
                <w:szCs w:val="18"/>
              </w:rPr>
              <w:t>主要工作任务</w:t>
            </w:r>
          </w:p>
        </w:tc>
      </w:tr>
      <w:tr w14:paraId="05FD5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330" w:type="dxa"/>
            <w:tcBorders>
              <w:left w:val="nil"/>
            </w:tcBorders>
            <w:vAlign w:val="top"/>
          </w:tcPr>
          <w:p w14:paraId="4E2370D8">
            <w:pPr>
              <w:pStyle w:val="6"/>
              <w:spacing w:before="80" w:line="220" w:lineRule="auto"/>
              <w:ind w:left="619"/>
              <w:rPr>
                <w:sz w:val="18"/>
                <w:szCs w:val="18"/>
              </w:rPr>
            </w:pPr>
            <w:r>
              <w:rPr>
                <w:spacing w:val="2"/>
                <w:sz w:val="18"/>
                <w:szCs w:val="18"/>
              </w:rPr>
              <w:t>测评准备活动</w:t>
            </w:r>
          </w:p>
        </w:tc>
        <w:tc>
          <w:tcPr>
            <w:tcW w:w="6019" w:type="dxa"/>
            <w:tcBorders>
              <w:right w:val="nil"/>
            </w:tcBorders>
            <w:vAlign w:val="top"/>
          </w:tcPr>
          <w:p w14:paraId="7DEB9104">
            <w:pPr>
              <w:pStyle w:val="6"/>
              <w:spacing w:before="79" w:line="219" w:lineRule="auto"/>
              <w:ind w:left="14"/>
              <w:rPr>
                <w:sz w:val="18"/>
                <w:szCs w:val="18"/>
              </w:rPr>
            </w:pPr>
            <w:r>
              <w:rPr>
                <w:spacing w:val="-1"/>
                <w:sz w:val="18"/>
                <w:szCs w:val="18"/>
              </w:rPr>
              <w:t>工作启动，信息收集和分析，工具和表单准备</w:t>
            </w:r>
          </w:p>
        </w:tc>
      </w:tr>
      <w:tr w14:paraId="1BF2A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2330" w:type="dxa"/>
            <w:tcBorders>
              <w:left w:val="nil"/>
            </w:tcBorders>
            <w:vAlign w:val="top"/>
          </w:tcPr>
          <w:p w14:paraId="1DC12C9B">
            <w:pPr>
              <w:pStyle w:val="6"/>
              <w:spacing w:before="191" w:line="219" w:lineRule="auto"/>
              <w:ind w:left="619"/>
              <w:rPr>
                <w:sz w:val="18"/>
                <w:szCs w:val="18"/>
              </w:rPr>
            </w:pPr>
            <w:r>
              <w:rPr>
                <w:spacing w:val="2"/>
                <w:sz w:val="18"/>
                <w:szCs w:val="18"/>
              </w:rPr>
              <w:t>方案编制活动</w:t>
            </w:r>
          </w:p>
        </w:tc>
        <w:tc>
          <w:tcPr>
            <w:tcW w:w="6019" w:type="dxa"/>
            <w:tcBorders>
              <w:right w:val="nil"/>
            </w:tcBorders>
            <w:vAlign w:val="top"/>
          </w:tcPr>
          <w:p w14:paraId="329DA9D6">
            <w:pPr>
              <w:pStyle w:val="6"/>
              <w:spacing w:before="71" w:line="244" w:lineRule="auto"/>
              <w:ind w:left="14" w:right="246"/>
              <w:rPr>
                <w:sz w:val="18"/>
                <w:szCs w:val="18"/>
              </w:rPr>
            </w:pPr>
            <w:r>
              <w:rPr>
                <w:sz w:val="18"/>
                <w:szCs w:val="18"/>
              </w:rPr>
              <w:t>测评对象确定，测评指标确定，测评内容确定，工具</w:t>
            </w:r>
            <w:r>
              <w:rPr>
                <w:spacing w:val="-1"/>
                <w:sz w:val="18"/>
                <w:szCs w:val="18"/>
              </w:rPr>
              <w:t>测试方法确定，测评</w:t>
            </w:r>
            <w:r>
              <w:rPr>
                <w:sz w:val="18"/>
                <w:szCs w:val="18"/>
              </w:rPr>
              <w:t xml:space="preserve"> </w:t>
            </w:r>
            <w:r>
              <w:rPr>
                <w:spacing w:val="1"/>
                <w:sz w:val="18"/>
                <w:szCs w:val="18"/>
              </w:rPr>
              <w:t>指导书开发，测评方案编制</w:t>
            </w:r>
          </w:p>
        </w:tc>
      </w:tr>
      <w:tr w14:paraId="06FF2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330" w:type="dxa"/>
            <w:tcBorders>
              <w:left w:val="nil"/>
            </w:tcBorders>
            <w:vAlign w:val="top"/>
          </w:tcPr>
          <w:p w14:paraId="6AC052D9">
            <w:pPr>
              <w:pStyle w:val="6"/>
              <w:spacing w:before="84" w:line="220" w:lineRule="auto"/>
              <w:ind w:left="619"/>
              <w:rPr>
                <w:sz w:val="18"/>
                <w:szCs w:val="18"/>
              </w:rPr>
            </w:pPr>
            <w:r>
              <w:rPr>
                <w:spacing w:val="2"/>
                <w:sz w:val="18"/>
                <w:szCs w:val="18"/>
              </w:rPr>
              <w:t>现场测评活动</w:t>
            </w:r>
          </w:p>
        </w:tc>
        <w:tc>
          <w:tcPr>
            <w:tcW w:w="6019" w:type="dxa"/>
            <w:tcBorders>
              <w:right w:val="nil"/>
            </w:tcBorders>
            <w:vAlign w:val="top"/>
          </w:tcPr>
          <w:p w14:paraId="18C43240">
            <w:pPr>
              <w:pStyle w:val="6"/>
              <w:spacing w:before="84" w:line="219" w:lineRule="auto"/>
              <w:ind w:left="14"/>
              <w:rPr>
                <w:sz w:val="18"/>
                <w:szCs w:val="18"/>
              </w:rPr>
            </w:pPr>
            <w:r>
              <w:rPr>
                <w:spacing w:val="-1"/>
                <w:sz w:val="18"/>
                <w:szCs w:val="18"/>
              </w:rPr>
              <w:t>现场测评准备，现场测评和结果记录，结果确认和资料归还</w:t>
            </w:r>
          </w:p>
        </w:tc>
      </w:tr>
      <w:tr w14:paraId="3B4DD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2330" w:type="dxa"/>
            <w:tcBorders>
              <w:left w:val="nil"/>
            </w:tcBorders>
            <w:vAlign w:val="top"/>
          </w:tcPr>
          <w:p w14:paraId="492E5888">
            <w:pPr>
              <w:pStyle w:val="6"/>
              <w:spacing w:before="84" w:line="218" w:lineRule="auto"/>
              <w:ind w:left="619"/>
              <w:rPr>
                <w:sz w:val="18"/>
                <w:szCs w:val="18"/>
              </w:rPr>
            </w:pPr>
            <w:r>
              <w:rPr>
                <w:spacing w:val="-1"/>
                <w:sz w:val="18"/>
                <w:szCs w:val="18"/>
              </w:rPr>
              <w:t>报告编制活动</w:t>
            </w:r>
          </w:p>
        </w:tc>
        <w:tc>
          <w:tcPr>
            <w:tcW w:w="6019" w:type="dxa"/>
            <w:tcBorders>
              <w:right w:val="nil"/>
            </w:tcBorders>
            <w:vAlign w:val="top"/>
          </w:tcPr>
          <w:p w14:paraId="703B131A">
            <w:pPr>
              <w:pStyle w:val="6"/>
              <w:spacing w:before="87" w:line="220" w:lineRule="auto"/>
              <w:ind w:left="14"/>
              <w:rPr>
                <w:sz w:val="18"/>
                <w:szCs w:val="18"/>
              </w:rPr>
            </w:pPr>
            <w:r>
              <w:rPr>
                <w:spacing w:val="1"/>
                <w:sz w:val="18"/>
                <w:szCs w:val="18"/>
              </w:rPr>
              <w:t>单项测评结果判定</w:t>
            </w:r>
          </w:p>
        </w:tc>
      </w:tr>
    </w:tbl>
    <w:p w14:paraId="23A35A14">
      <w:pPr>
        <w:pStyle w:val="2"/>
        <w:spacing w:before="139" w:line="221" w:lineRule="auto"/>
        <w:ind w:left="742"/>
        <w:rPr>
          <w:rFonts w:ascii="黑体" w:hAnsi="黑体" w:eastAsia="黑体" w:cs="黑体"/>
          <w:sz w:val="19"/>
          <w:szCs w:val="19"/>
        </w:rPr>
      </w:pPr>
      <w:r>
        <w:rPr>
          <w:b/>
          <w:bCs/>
          <w:color w:val="0074CE"/>
          <w:spacing w:val="5"/>
          <w:sz w:val="19"/>
          <w:szCs w:val="19"/>
        </w:rPr>
        <w:t>2.</w:t>
      </w:r>
      <w:r>
        <w:rPr>
          <w:color w:val="0074CE"/>
          <w:spacing w:val="-48"/>
          <w:sz w:val="19"/>
          <w:szCs w:val="19"/>
        </w:rPr>
        <w:t xml:space="preserve"> </w:t>
      </w:r>
      <w:r>
        <w:rPr>
          <w:rFonts w:ascii="黑体" w:hAnsi="黑体" w:eastAsia="黑体" w:cs="黑体"/>
          <w:b/>
          <w:bCs/>
          <w:color w:val="0074CE"/>
          <w:spacing w:val="5"/>
          <w:sz w:val="19"/>
          <w:szCs w:val="19"/>
        </w:rPr>
        <w:t>常见高风险及整改建议</w:t>
      </w:r>
    </w:p>
    <w:p w14:paraId="688A97BF">
      <w:pPr>
        <w:pStyle w:val="2"/>
        <w:spacing w:before="173" w:line="281" w:lineRule="auto"/>
        <w:ind w:left="349" w:right="31" w:firstLine="390"/>
        <w:rPr>
          <w:sz w:val="19"/>
          <w:szCs w:val="19"/>
        </w:rPr>
      </w:pPr>
      <w:r>
        <w:rPr>
          <w:spacing w:val="10"/>
          <w:sz w:val="19"/>
          <w:szCs w:val="19"/>
        </w:rPr>
        <w:t>依据</w:t>
      </w:r>
      <w:r>
        <w:rPr>
          <w:rFonts w:ascii="Times New Roman" w:hAnsi="Times New Roman" w:eastAsia="Times New Roman" w:cs="Times New Roman"/>
          <w:spacing w:val="10"/>
          <w:sz w:val="19"/>
          <w:szCs w:val="19"/>
        </w:rPr>
        <w:t>T/</w:t>
      </w:r>
      <w:r>
        <w:rPr>
          <w:rFonts w:ascii="Times New Roman" w:hAnsi="Times New Roman" w:eastAsia="Times New Roman" w:cs="Times New Roman"/>
          <w:sz w:val="19"/>
          <w:szCs w:val="19"/>
        </w:rPr>
        <w:t>ISEAA</w:t>
      </w:r>
      <w:r>
        <w:rPr>
          <w:rFonts w:ascii="Times New Roman" w:hAnsi="Times New Roman" w:eastAsia="Times New Roman" w:cs="Times New Roman"/>
          <w:spacing w:val="10"/>
          <w:sz w:val="19"/>
          <w:szCs w:val="19"/>
        </w:rPr>
        <w:t xml:space="preserve">   001</w:t>
      </w:r>
      <w:r>
        <w:rPr>
          <w:spacing w:val="10"/>
          <w:sz w:val="19"/>
          <w:szCs w:val="19"/>
        </w:rPr>
        <w:t>《网络安全等级保护测评高风险判定指引》,提出一般系统场景</w:t>
      </w:r>
      <w:r>
        <w:rPr>
          <w:spacing w:val="9"/>
          <w:sz w:val="19"/>
          <w:szCs w:val="19"/>
        </w:rPr>
        <w:t>下的高风</w:t>
      </w:r>
      <w:r>
        <w:rPr>
          <w:sz w:val="19"/>
          <w:szCs w:val="19"/>
        </w:rPr>
        <w:t xml:space="preserve"> </w:t>
      </w:r>
      <w:r>
        <w:rPr>
          <w:spacing w:val="9"/>
          <w:sz w:val="19"/>
          <w:szCs w:val="19"/>
        </w:rPr>
        <w:t>险及整改建议，如表24-3所示。</w:t>
      </w:r>
    </w:p>
    <w:p w14:paraId="5CA4902B">
      <w:pPr>
        <w:spacing w:before="91" w:line="222" w:lineRule="auto"/>
        <w:ind w:left="3062"/>
        <w:rPr>
          <w:rFonts w:ascii="黑体" w:hAnsi="黑体" w:eastAsia="黑体" w:cs="黑体"/>
          <w:sz w:val="19"/>
          <w:szCs w:val="19"/>
        </w:rPr>
      </w:pPr>
      <w:r>
        <w:rPr>
          <w:rFonts w:ascii="黑体" w:hAnsi="黑体" w:eastAsia="黑体" w:cs="黑体"/>
          <w:b/>
          <w:bCs/>
          <w:spacing w:val="-9"/>
          <w:sz w:val="19"/>
          <w:szCs w:val="19"/>
        </w:rPr>
        <w:t>表24-3</w:t>
      </w:r>
      <w:r>
        <w:rPr>
          <w:rFonts w:ascii="黑体" w:hAnsi="黑体" w:eastAsia="黑体" w:cs="黑体"/>
          <w:spacing w:val="-9"/>
          <w:sz w:val="19"/>
          <w:szCs w:val="19"/>
        </w:rPr>
        <w:t xml:space="preserve">  </w:t>
      </w:r>
      <w:r>
        <w:rPr>
          <w:rFonts w:ascii="黑体" w:hAnsi="黑体" w:eastAsia="黑体" w:cs="黑体"/>
          <w:b/>
          <w:bCs/>
          <w:spacing w:val="-9"/>
          <w:sz w:val="19"/>
          <w:szCs w:val="19"/>
        </w:rPr>
        <w:t>高风险判例及对应整改建议</w:t>
      </w:r>
    </w:p>
    <w:p w14:paraId="026A8F6D">
      <w:pPr>
        <w:spacing w:line="123" w:lineRule="exact"/>
      </w:pPr>
    </w:p>
    <w:tbl>
      <w:tblPr>
        <w:tblStyle w:val="5"/>
        <w:tblW w:w="8349" w:type="dxa"/>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0"/>
        <w:gridCol w:w="2010"/>
        <w:gridCol w:w="5819"/>
      </w:tblGrid>
      <w:tr w14:paraId="1877F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20" w:type="dxa"/>
            <w:tcBorders>
              <w:left w:val="nil"/>
            </w:tcBorders>
            <w:vAlign w:val="top"/>
          </w:tcPr>
          <w:p w14:paraId="2A631E8D">
            <w:pPr>
              <w:pStyle w:val="6"/>
              <w:spacing w:before="80" w:line="221" w:lineRule="auto"/>
              <w:ind w:left="82"/>
              <w:rPr>
                <w:sz w:val="18"/>
                <w:szCs w:val="18"/>
              </w:rPr>
            </w:pPr>
            <w:r>
              <w:rPr>
                <w:b/>
                <w:bCs/>
                <w:spacing w:val="-4"/>
                <w:sz w:val="18"/>
                <w:szCs w:val="18"/>
              </w:rPr>
              <w:t>序号</w:t>
            </w:r>
          </w:p>
        </w:tc>
        <w:tc>
          <w:tcPr>
            <w:tcW w:w="2010" w:type="dxa"/>
            <w:vAlign w:val="top"/>
          </w:tcPr>
          <w:p w14:paraId="431BF824">
            <w:pPr>
              <w:pStyle w:val="6"/>
              <w:spacing w:before="79" w:line="219" w:lineRule="auto"/>
              <w:ind w:left="587"/>
              <w:rPr>
                <w:sz w:val="18"/>
                <w:szCs w:val="18"/>
              </w:rPr>
            </w:pPr>
            <w:r>
              <w:rPr>
                <w:b/>
                <w:bCs/>
                <w:sz w:val="18"/>
                <w:szCs w:val="18"/>
              </w:rPr>
              <w:t>高风险判例</w:t>
            </w:r>
          </w:p>
        </w:tc>
        <w:tc>
          <w:tcPr>
            <w:tcW w:w="5819" w:type="dxa"/>
            <w:tcBorders>
              <w:right w:val="nil"/>
            </w:tcBorders>
            <w:vAlign w:val="top"/>
          </w:tcPr>
          <w:p w14:paraId="4E4D7139">
            <w:pPr>
              <w:pStyle w:val="6"/>
              <w:spacing w:before="79" w:line="219" w:lineRule="auto"/>
              <w:ind w:left="2537"/>
              <w:rPr>
                <w:sz w:val="18"/>
                <w:szCs w:val="18"/>
              </w:rPr>
            </w:pPr>
            <w:r>
              <w:rPr>
                <w:b/>
                <w:bCs/>
                <w:spacing w:val="-4"/>
                <w:sz w:val="18"/>
                <w:szCs w:val="18"/>
              </w:rPr>
              <w:t>整改建议</w:t>
            </w:r>
          </w:p>
        </w:tc>
      </w:tr>
      <w:tr w14:paraId="7E3A9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520" w:type="dxa"/>
            <w:tcBorders>
              <w:left w:val="nil"/>
            </w:tcBorders>
            <w:vAlign w:val="top"/>
          </w:tcPr>
          <w:p w14:paraId="4CBA5ACD">
            <w:pPr>
              <w:pStyle w:val="6"/>
              <w:spacing w:before="233" w:line="184" w:lineRule="auto"/>
              <w:ind w:left="209"/>
              <w:rPr>
                <w:sz w:val="18"/>
                <w:szCs w:val="18"/>
              </w:rPr>
            </w:pPr>
            <w:r>
              <w:rPr>
                <w:sz w:val="18"/>
                <w:szCs w:val="18"/>
              </w:rPr>
              <w:t>1</w:t>
            </w:r>
          </w:p>
        </w:tc>
        <w:tc>
          <w:tcPr>
            <w:tcW w:w="2010" w:type="dxa"/>
            <w:vAlign w:val="top"/>
          </w:tcPr>
          <w:p w14:paraId="43D3D570">
            <w:pPr>
              <w:pStyle w:val="6"/>
              <w:spacing w:before="68" w:line="246" w:lineRule="auto"/>
              <w:ind w:left="24" w:right="181"/>
              <w:rPr>
                <w:sz w:val="18"/>
                <w:szCs w:val="18"/>
              </w:rPr>
            </w:pPr>
            <w:r>
              <w:rPr>
                <w:spacing w:val="-1"/>
                <w:sz w:val="18"/>
                <w:szCs w:val="18"/>
              </w:rPr>
              <w:t>机房出入口访问控制措</w:t>
            </w:r>
            <w:r>
              <w:rPr>
                <w:spacing w:val="2"/>
                <w:sz w:val="18"/>
                <w:szCs w:val="18"/>
              </w:rPr>
              <w:t xml:space="preserve"> </w:t>
            </w:r>
            <w:r>
              <w:rPr>
                <w:spacing w:val="-2"/>
                <w:sz w:val="18"/>
                <w:szCs w:val="18"/>
              </w:rPr>
              <w:t>施缺失</w:t>
            </w:r>
          </w:p>
        </w:tc>
        <w:tc>
          <w:tcPr>
            <w:tcW w:w="5819" w:type="dxa"/>
            <w:tcBorders>
              <w:right w:val="nil"/>
            </w:tcBorders>
            <w:vAlign w:val="top"/>
          </w:tcPr>
          <w:p w14:paraId="162EE506">
            <w:pPr>
              <w:pStyle w:val="6"/>
              <w:spacing w:before="56" w:line="252" w:lineRule="auto"/>
              <w:ind w:left="34" w:right="164" w:firstLine="9"/>
              <w:rPr>
                <w:sz w:val="18"/>
                <w:szCs w:val="18"/>
              </w:rPr>
            </w:pPr>
            <w:r>
              <w:rPr>
                <w:spacing w:val="1"/>
                <w:sz w:val="18"/>
                <w:szCs w:val="18"/>
              </w:rPr>
              <w:t>建议机房出入口配备电子门禁系统或安排专人值守，</w:t>
            </w:r>
            <w:r>
              <w:rPr>
                <w:sz w:val="18"/>
                <w:szCs w:val="18"/>
              </w:rPr>
              <w:t xml:space="preserve">对进出机房的人员 </w:t>
            </w:r>
            <w:r>
              <w:rPr>
                <w:spacing w:val="-1"/>
                <w:sz w:val="18"/>
                <w:szCs w:val="18"/>
              </w:rPr>
              <w:t>进行控制、鉴别，并记录相关人员信息</w:t>
            </w:r>
          </w:p>
        </w:tc>
      </w:tr>
      <w:tr w14:paraId="11EFE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520" w:type="dxa"/>
            <w:tcBorders>
              <w:left w:val="nil"/>
            </w:tcBorders>
            <w:vAlign w:val="top"/>
          </w:tcPr>
          <w:p w14:paraId="7674B917">
            <w:pPr>
              <w:pStyle w:val="6"/>
              <w:spacing w:before="236" w:line="183" w:lineRule="auto"/>
              <w:ind w:left="209"/>
              <w:rPr>
                <w:sz w:val="18"/>
                <w:szCs w:val="18"/>
              </w:rPr>
            </w:pPr>
            <w:r>
              <w:rPr>
                <w:sz w:val="18"/>
                <w:szCs w:val="18"/>
              </w:rPr>
              <w:t>2</w:t>
            </w:r>
          </w:p>
        </w:tc>
        <w:tc>
          <w:tcPr>
            <w:tcW w:w="2010" w:type="dxa"/>
            <w:vAlign w:val="top"/>
          </w:tcPr>
          <w:p w14:paraId="56FC5BED">
            <w:pPr>
              <w:pStyle w:val="6"/>
              <w:spacing w:before="189" w:line="219" w:lineRule="auto"/>
              <w:ind w:left="24"/>
              <w:rPr>
                <w:sz w:val="18"/>
                <w:szCs w:val="18"/>
              </w:rPr>
            </w:pPr>
            <w:r>
              <w:rPr>
                <w:spacing w:val="-1"/>
                <w:sz w:val="18"/>
                <w:szCs w:val="18"/>
              </w:rPr>
              <w:t>机房防盗措施缺失</w:t>
            </w:r>
          </w:p>
        </w:tc>
        <w:tc>
          <w:tcPr>
            <w:tcW w:w="5819" w:type="dxa"/>
            <w:tcBorders>
              <w:right w:val="nil"/>
            </w:tcBorders>
            <w:vAlign w:val="top"/>
          </w:tcPr>
          <w:p w14:paraId="20E5724D">
            <w:pPr>
              <w:pStyle w:val="6"/>
              <w:spacing w:before="69"/>
              <w:ind w:left="33" w:right="218" w:hanging="9"/>
              <w:rPr>
                <w:sz w:val="18"/>
                <w:szCs w:val="18"/>
              </w:rPr>
            </w:pPr>
            <w:r>
              <w:rPr>
                <w:sz w:val="18"/>
                <w:szCs w:val="18"/>
              </w:rPr>
              <w:t>建议机房部署防盗报警系统或设置有专人值守</w:t>
            </w:r>
            <w:r>
              <w:rPr>
                <w:spacing w:val="-1"/>
                <w:sz w:val="18"/>
                <w:szCs w:val="18"/>
              </w:rPr>
              <w:t>的视频监控系统，如发生</w:t>
            </w:r>
            <w:r>
              <w:rPr>
                <w:sz w:val="18"/>
                <w:szCs w:val="18"/>
              </w:rPr>
              <w:t xml:space="preserve"> </w:t>
            </w:r>
            <w:r>
              <w:rPr>
                <w:spacing w:val="-1"/>
                <w:sz w:val="18"/>
                <w:szCs w:val="18"/>
              </w:rPr>
              <w:t>盗窃事件可及时告警或进行追溯，为机房环境的安全可控提供保障</w:t>
            </w:r>
          </w:p>
        </w:tc>
      </w:tr>
      <w:tr w14:paraId="7FB71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520" w:type="dxa"/>
            <w:tcBorders>
              <w:left w:val="nil"/>
            </w:tcBorders>
            <w:vAlign w:val="top"/>
          </w:tcPr>
          <w:p w14:paraId="21EDC70E">
            <w:pPr>
              <w:pStyle w:val="6"/>
              <w:spacing w:before="238" w:line="183" w:lineRule="auto"/>
              <w:ind w:left="209"/>
              <w:rPr>
                <w:sz w:val="18"/>
                <w:szCs w:val="18"/>
              </w:rPr>
            </w:pPr>
            <w:r>
              <w:rPr>
                <w:sz w:val="18"/>
                <w:szCs w:val="18"/>
              </w:rPr>
              <w:t>3</w:t>
            </w:r>
          </w:p>
        </w:tc>
        <w:tc>
          <w:tcPr>
            <w:tcW w:w="2010" w:type="dxa"/>
            <w:vAlign w:val="top"/>
          </w:tcPr>
          <w:p w14:paraId="740B66D8">
            <w:pPr>
              <w:pStyle w:val="6"/>
              <w:spacing w:before="191" w:line="219" w:lineRule="auto"/>
              <w:ind w:left="24"/>
              <w:rPr>
                <w:sz w:val="18"/>
                <w:szCs w:val="18"/>
              </w:rPr>
            </w:pPr>
            <w:r>
              <w:rPr>
                <w:spacing w:val="-1"/>
                <w:sz w:val="18"/>
                <w:szCs w:val="18"/>
              </w:rPr>
              <w:t>机房防火措施缺失</w:t>
            </w:r>
          </w:p>
        </w:tc>
        <w:tc>
          <w:tcPr>
            <w:tcW w:w="5819" w:type="dxa"/>
            <w:tcBorders>
              <w:right w:val="nil"/>
            </w:tcBorders>
            <w:vAlign w:val="top"/>
          </w:tcPr>
          <w:p w14:paraId="45DF37AB">
            <w:pPr>
              <w:pStyle w:val="6"/>
              <w:spacing w:before="62" w:line="244" w:lineRule="auto"/>
              <w:ind w:left="33" w:right="194" w:hanging="9"/>
              <w:rPr>
                <w:sz w:val="18"/>
                <w:szCs w:val="18"/>
              </w:rPr>
            </w:pPr>
            <w:r>
              <w:rPr>
                <w:sz w:val="18"/>
                <w:szCs w:val="18"/>
              </w:rPr>
              <w:t>建议机房设置火灾自动消防系统，能够自动检测火情、报警及灭火，相</w:t>
            </w:r>
            <w:r>
              <w:rPr>
                <w:spacing w:val="13"/>
                <w:sz w:val="18"/>
                <w:szCs w:val="18"/>
              </w:rPr>
              <w:t xml:space="preserve"> </w:t>
            </w:r>
            <w:r>
              <w:rPr>
                <w:spacing w:val="-1"/>
                <w:sz w:val="18"/>
                <w:szCs w:val="18"/>
              </w:rPr>
              <w:t>关消防设备(如灭火器)等应定期检查，确保防火措施持续有效</w:t>
            </w:r>
          </w:p>
        </w:tc>
      </w:tr>
      <w:tr w14:paraId="27A6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520" w:type="dxa"/>
            <w:tcBorders>
              <w:left w:val="nil"/>
            </w:tcBorders>
            <w:vAlign w:val="top"/>
          </w:tcPr>
          <w:p w14:paraId="1CDCE6FD">
            <w:pPr>
              <w:pStyle w:val="6"/>
              <w:spacing w:before="240" w:line="183" w:lineRule="auto"/>
              <w:ind w:left="209"/>
              <w:rPr>
                <w:sz w:val="18"/>
                <w:szCs w:val="18"/>
              </w:rPr>
            </w:pPr>
            <w:r>
              <w:rPr>
                <w:sz w:val="18"/>
                <w:szCs w:val="18"/>
              </w:rPr>
              <w:t>4</w:t>
            </w:r>
          </w:p>
        </w:tc>
        <w:tc>
          <w:tcPr>
            <w:tcW w:w="2010" w:type="dxa"/>
            <w:vAlign w:val="top"/>
          </w:tcPr>
          <w:p w14:paraId="1A3DD13C">
            <w:pPr>
              <w:pStyle w:val="6"/>
              <w:spacing w:before="74" w:line="243" w:lineRule="auto"/>
              <w:ind w:left="24" w:right="161" w:firstLine="19"/>
              <w:rPr>
                <w:sz w:val="18"/>
                <w:szCs w:val="18"/>
              </w:rPr>
            </w:pPr>
            <w:r>
              <w:rPr>
                <w:spacing w:val="-1"/>
                <w:sz w:val="18"/>
                <w:szCs w:val="18"/>
              </w:rPr>
              <w:t>机房短期备用电力供应</w:t>
            </w:r>
            <w:r>
              <w:rPr>
                <w:spacing w:val="2"/>
                <w:sz w:val="18"/>
                <w:szCs w:val="18"/>
              </w:rPr>
              <w:t xml:space="preserve"> </w:t>
            </w:r>
            <w:r>
              <w:rPr>
                <w:spacing w:val="-2"/>
                <w:sz w:val="18"/>
                <w:szCs w:val="18"/>
              </w:rPr>
              <w:t>措施缺失</w:t>
            </w:r>
          </w:p>
        </w:tc>
        <w:tc>
          <w:tcPr>
            <w:tcW w:w="5819" w:type="dxa"/>
            <w:tcBorders>
              <w:right w:val="nil"/>
            </w:tcBorders>
            <w:vAlign w:val="top"/>
          </w:tcPr>
          <w:p w14:paraId="6EF6A62D">
            <w:pPr>
              <w:pStyle w:val="6"/>
              <w:spacing w:before="64" w:line="248" w:lineRule="auto"/>
              <w:ind w:left="34" w:right="198" w:firstLine="9"/>
              <w:rPr>
                <w:sz w:val="18"/>
                <w:szCs w:val="18"/>
              </w:rPr>
            </w:pPr>
            <w:r>
              <w:rPr>
                <w:sz w:val="18"/>
                <w:szCs w:val="18"/>
              </w:rPr>
              <w:t>建议机房配备容量合理的后备电源，并对相关</w:t>
            </w:r>
            <w:r>
              <w:rPr>
                <w:spacing w:val="-1"/>
                <w:sz w:val="18"/>
                <w:szCs w:val="18"/>
              </w:rPr>
              <w:t>设施进行定期巡检，确保</w:t>
            </w:r>
            <w:r>
              <w:rPr>
                <w:sz w:val="18"/>
                <w:szCs w:val="18"/>
              </w:rPr>
              <w:t xml:space="preserve"> 在外部电力供应中断的情况下，备用供电设备能满足</w:t>
            </w:r>
            <w:r>
              <w:rPr>
                <w:spacing w:val="-1"/>
                <w:sz w:val="18"/>
                <w:szCs w:val="18"/>
              </w:rPr>
              <w:t>系统短期正常运行</w:t>
            </w:r>
          </w:p>
        </w:tc>
      </w:tr>
      <w:tr w14:paraId="7F3F7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520" w:type="dxa"/>
            <w:tcBorders>
              <w:left w:val="nil"/>
            </w:tcBorders>
            <w:vAlign w:val="top"/>
          </w:tcPr>
          <w:p w14:paraId="3B91556E">
            <w:pPr>
              <w:pStyle w:val="6"/>
              <w:spacing w:before="133" w:line="182" w:lineRule="auto"/>
              <w:ind w:left="209"/>
              <w:rPr>
                <w:sz w:val="18"/>
                <w:szCs w:val="18"/>
              </w:rPr>
            </w:pPr>
            <w:r>
              <w:rPr>
                <w:sz w:val="18"/>
                <w:szCs w:val="18"/>
              </w:rPr>
              <w:t>5</w:t>
            </w:r>
          </w:p>
        </w:tc>
        <w:tc>
          <w:tcPr>
            <w:tcW w:w="2010" w:type="dxa"/>
            <w:vAlign w:val="top"/>
          </w:tcPr>
          <w:p w14:paraId="381CE79D">
            <w:pPr>
              <w:pStyle w:val="6"/>
              <w:spacing w:before="85" w:line="219" w:lineRule="auto"/>
              <w:ind w:left="24"/>
              <w:rPr>
                <w:sz w:val="18"/>
                <w:szCs w:val="18"/>
              </w:rPr>
            </w:pPr>
            <w:r>
              <w:rPr>
                <w:spacing w:val="-1"/>
                <w:sz w:val="18"/>
                <w:szCs w:val="18"/>
              </w:rPr>
              <w:t>机房应急供电措施缺失</w:t>
            </w:r>
          </w:p>
        </w:tc>
        <w:tc>
          <w:tcPr>
            <w:tcW w:w="5819" w:type="dxa"/>
            <w:tcBorders>
              <w:right w:val="nil"/>
            </w:tcBorders>
            <w:vAlign w:val="top"/>
          </w:tcPr>
          <w:p w14:paraId="6255652F">
            <w:pPr>
              <w:pStyle w:val="6"/>
              <w:spacing w:before="85" w:line="219" w:lineRule="auto"/>
              <w:ind w:left="34"/>
              <w:rPr>
                <w:sz w:val="18"/>
                <w:szCs w:val="18"/>
              </w:rPr>
            </w:pPr>
            <w:r>
              <w:rPr>
                <w:spacing w:val="-1"/>
                <w:sz w:val="18"/>
                <w:szCs w:val="18"/>
              </w:rPr>
              <w:t>建议配备柴油发电机、应急供电车等备用发电设备</w:t>
            </w:r>
          </w:p>
        </w:tc>
      </w:tr>
      <w:tr w14:paraId="50828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520" w:type="dxa"/>
            <w:tcBorders>
              <w:left w:val="nil"/>
            </w:tcBorders>
            <w:vAlign w:val="top"/>
          </w:tcPr>
          <w:p w14:paraId="26844862">
            <w:pPr>
              <w:pStyle w:val="6"/>
              <w:spacing w:before="233" w:line="183" w:lineRule="auto"/>
              <w:ind w:left="209"/>
              <w:rPr>
                <w:sz w:val="18"/>
                <w:szCs w:val="18"/>
              </w:rPr>
            </w:pPr>
            <w:r>
              <w:rPr>
                <w:sz w:val="18"/>
                <w:szCs w:val="18"/>
              </w:rPr>
              <w:t>6</w:t>
            </w:r>
          </w:p>
        </w:tc>
        <w:tc>
          <w:tcPr>
            <w:tcW w:w="2010" w:type="dxa"/>
            <w:vAlign w:val="top"/>
          </w:tcPr>
          <w:p w14:paraId="7F6F83BC">
            <w:pPr>
              <w:pStyle w:val="6"/>
              <w:spacing w:before="67" w:line="239" w:lineRule="auto"/>
              <w:ind w:left="24" w:right="146" w:firstLine="40"/>
              <w:rPr>
                <w:sz w:val="18"/>
                <w:szCs w:val="18"/>
              </w:rPr>
            </w:pPr>
            <w:r>
              <w:rPr>
                <w:spacing w:val="-2"/>
                <w:sz w:val="18"/>
                <w:szCs w:val="18"/>
              </w:rPr>
              <w:t>云计算基础设施物理位</w:t>
            </w:r>
            <w:r>
              <w:rPr>
                <w:spacing w:val="7"/>
                <w:sz w:val="18"/>
                <w:szCs w:val="18"/>
              </w:rPr>
              <w:t xml:space="preserve"> </w:t>
            </w:r>
            <w:r>
              <w:rPr>
                <w:spacing w:val="5"/>
                <w:sz w:val="18"/>
                <w:szCs w:val="18"/>
              </w:rPr>
              <w:t>置不当</w:t>
            </w:r>
          </w:p>
        </w:tc>
        <w:tc>
          <w:tcPr>
            <w:tcW w:w="5819" w:type="dxa"/>
            <w:tcBorders>
              <w:right w:val="nil"/>
            </w:tcBorders>
            <w:vAlign w:val="top"/>
          </w:tcPr>
          <w:p w14:paraId="2C464C82">
            <w:pPr>
              <w:pStyle w:val="6"/>
              <w:spacing w:before="56" w:line="245" w:lineRule="auto"/>
              <w:ind w:left="34" w:right="200" w:firstLine="9"/>
              <w:rPr>
                <w:sz w:val="18"/>
                <w:szCs w:val="18"/>
              </w:rPr>
            </w:pPr>
            <w:r>
              <w:rPr>
                <w:spacing w:val="-1"/>
                <w:sz w:val="18"/>
                <w:szCs w:val="18"/>
              </w:rPr>
              <w:t>云计算服务器、存储设备、网络设备、云管理平台、信息系统等运行业</w:t>
            </w:r>
            <w:r>
              <w:rPr>
                <w:spacing w:val="18"/>
                <w:sz w:val="18"/>
                <w:szCs w:val="18"/>
              </w:rPr>
              <w:t xml:space="preserve"> </w:t>
            </w:r>
            <w:r>
              <w:rPr>
                <w:spacing w:val="1"/>
                <w:sz w:val="18"/>
                <w:szCs w:val="18"/>
              </w:rPr>
              <w:t>务和承载数据的软、硬件等云计算基础设施应部署在</w:t>
            </w:r>
            <w:r>
              <w:rPr>
                <w:sz w:val="18"/>
                <w:szCs w:val="18"/>
              </w:rPr>
              <w:t>中国境内</w:t>
            </w:r>
          </w:p>
        </w:tc>
      </w:tr>
    </w:tbl>
    <w:p w14:paraId="3FD10FCE">
      <w:pPr>
        <w:rPr>
          <w:rFonts w:ascii="Arial"/>
          <w:sz w:val="21"/>
        </w:rPr>
      </w:pPr>
    </w:p>
    <w:p w14:paraId="424EF241">
      <w:pPr>
        <w:rPr>
          <w:rFonts w:ascii="Arial" w:hAnsi="Arial" w:eastAsia="Arial" w:cs="Arial"/>
          <w:sz w:val="21"/>
          <w:szCs w:val="21"/>
        </w:rPr>
        <w:sectPr>
          <w:pgSz w:w="10300" w:h="13280"/>
          <w:pgMar w:top="400" w:right="1090" w:bottom="400" w:left="499" w:header="0" w:footer="0" w:gutter="0"/>
          <w:cols w:space="720" w:num="1"/>
        </w:sectPr>
      </w:pPr>
    </w:p>
    <w:p w14:paraId="08983345">
      <w:pPr>
        <w:pStyle w:val="2"/>
        <w:jc w:val="right"/>
        <w:rPr>
          <w:rFonts w:ascii="Times New Roman" w:hAnsi="Times New Roman" w:eastAsia="Times New Roman" w:cs="Times New Roman"/>
          <w:sz w:val="17"/>
          <w:szCs w:val="17"/>
        </w:rPr>
      </w:pPr>
      <w:r>
        <w:rPr>
          <w:spacing w:val="12"/>
          <w:sz w:val="19"/>
          <w:szCs w:val="19"/>
        </w:rPr>
        <w:t xml:space="preserve">第24章信息安全监理 </w:t>
      </w:r>
      <w:r>
        <w:rPr>
          <w:position w:val="-12"/>
          <w:sz w:val="19"/>
          <w:szCs w:val="19"/>
        </w:rPr>
        <w:drawing>
          <wp:inline distT="0" distB="0" distL="0" distR="0">
            <wp:extent cx="316865" cy="234950"/>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361"/>
                    <a:stretch>
                      <a:fillRect/>
                    </a:stretch>
                  </pic:blipFill>
                  <pic:spPr>
                    <a:xfrm>
                      <a:off x="0" y="0"/>
                      <a:ext cx="317494" cy="234961"/>
                    </a:xfrm>
                    <a:prstGeom prst="rect">
                      <a:avLst/>
                    </a:prstGeom>
                  </pic:spPr>
                </pic:pic>
              </a:graphicData>
            </a:graphic>
          </wp:inline>
        </w:drawing>
      </w:r>
      <w:r>
        <w:rPr>
          <w:rFonts w:ascii="Times New Roman" w:hAnsi="Times New Roman" w:eastAsia="Times New Roman" w:cs="Times New Roman"/>
          <w:spacing w:val="12"/>
          <w:position w:val="1"/>
          <w:sz w:val="17"/>
          <w:szCs w:val="17"/>
        </w:rPr>
        <w:t>563</w:t>
      </w:r>
    </w:p>
    <w:p w14:paraId="54FDCE3D">
      <w:pPr>
        <w:spacing w:before="56"/>
      </w:pPr>
    </w:p>
    <w:tbl>
      <w:tblPr>
        <w:tblStyle w:val="5"/>
        <w:tblW w:w="83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0"/>
        <w:gridCol w:w="2010"/>
        <w:gridCol w:w="5851"/>
      </w:tblGrid>
      <w:tr w14:paraId="15D31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8371" w:type="dxa"/>
            <w:gridSpan w:val="3"/>
            <w:tcBorders>
              <w:top w:val="nil"/>
              <w:left w:val="nil"/>
              <w:right w:val="nil"/>
            </w:tcBorders>
            <w:vAlign w:val="top"/>
          </w:tcPr>
          <w:p w14:paraId="46B6E190">
            <w:pPr>
              <w:pStyle w:val="6"/>
              <w:spacing w:line="220" w:lineRule="auto"/>
              <w:jc w:val="right"/>
            </w:pPr>
            <w:r>
              <w:rPr>
                <w:spacing w:val="10"/>
              </w:rPr>
              <w:t>(续表)</w:t>
            </w:r>
          </w:p>
        </w:tc>
      </w:tr>
      <w:tr w14:paraId="2A1D4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0" w:type="dxa"/>
            <w:tcBorders>
              <w:left w:val="nil"/>
            </w:tcBorders>
            <w:vAlign w:val="top"/>
          </w:tcPr>
          <w:p w14:paraId="29F1D4F9">
            <w:pPr>
              <w:pStyle w:val="6"/>
              <w:spacing w:before="66" w:line="221" w:lineRule="auto"/>
              <w:ind w:left="62"/>
            </w:pPr>
            <w:bookmarkStart w:id="762" w:name="bookmark747"/>
            <w:bookmarkEnd w:id="762"/>
            <w:r>
              <w:rPr>
                <w:b/>
                <w:bCs/>
                <w:spacing w:val="-4"/>
              </w:rPr>
              <w:t>序号</w:t>
            </w:r>
          </w:p>
        </w:tc>
        <w:tc>
          <w:tcPr>
            <w:tcW w:w="2010" w:type="dxa"/>
            <w:vAlign w:val="top"/>
          </w:tcPr>
          <w:p w14:paraId="3D2A77BC">
            <w:pPr>
              <w:pStyle w:val="6"/>
              <w:spacing w:before="65" w:line="219" w:lineRule="auto"/>
              <w:ind w:left="567"/>
            </w:pPr>
            <w:r>
              <w:rPr>
                <w:b/>
                <w:bCs/>
              </w:rPr>
              <w:t>高风险判例</w:t>
            </w:r>
          </w:p>
        </w:tc>
        <w:tc>
          <w:tcPr>
            <w:tcW w:w="5851" w:type="dxa"/>
            <w:tcBorders>
              <w:right w:val="nil"/>
            </w:tcBorders>
            <w:vAlign w:val="top"/>
          </w:tcPr>
          <w:p w14:paraId="647A1EFE">
            <w:pPr>
              <w:pStyle w:val="6"/>
              <w:spacing w:before="65" w:line="219" w:lineRule="auto"/>
              <w:ind w:left="2517"/>
            </w:pPr>
            <w:r>
              <w:rPr>
                <w:b/>
                <w:bCs/>
                <w:spacing w:val="-4"/>
              </w:rPr>
              <w:t>整改建议</w:t>
            </w:r>
          </w:p>
        </w:tc>
      </w:tr>
      <w:tr w14:paraId="0E977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510" w:type="dxa"/>
            <w:tcBorders>
              <w:left w:val="nil"/>
            </w:tcBorders>
            <w:vAlign w:val="top"/>
          </w:tcPr>
          <w:p w14:paraId="6ECD3406">
            <w:pPr>
              <w:pStyle w:val="6"/>
              <w:spacing w:before="248" w:line="182" w:lineRule="auto"/>
              <w:ind w:left="200"/>
            </w:pPr>
            <w:r>
              <w:t>7</w:t>
            </w:r>
          </w:p>
        </w:tc>
        <w:tc>
          <w:tcPr>
            <w:tcW w:w="2010" w:type="dxa"/>
            <w:vAlign w:val="top"/>
          </w:tcPr>
          <w:p w14:paraId="2B71644C">
            <w:pPr>
              <w:pStyle w:val="6"/>
              <w:spacing w:before="68" w:line="243" w:lineRule="auto"/>
              <w:ind w:left="44" w:right="38"/>
            </w:pPr>
            <w:r>
              <w:rPr>
                <w:spacing w:val="1"/>
              </w:rPr>
              <w:t>网络设备业务处理能力</w:t>
            </w:r>
            <w:r>
              <w:rPr>
                <w:spacing w:val="5"/>
              </w:rPr>
              <w:t xml:space="preserve"> </w:t>
            </w:r>
            <w:r>
              <w:rPr>
                <w:spacing w:val="-3"/>
              </w:rPr>
              <w:t>不足</w:t>
            </w:r>
          </w:p>
        </w:tc>
        <w:tc>
          <w:tcPr>
            <w:tcW w:w="5851" w:type="dxa"/>
            <w:tcBorders>
              <w:right w:val="nil"/>
            </w:tcBorders>
            <w:vAlign w:val="top"/>
          </w:tcPr>
          <w:p w14:paraId="71973383">
            <w:pPr>
              <w:pStyle w:val="6"/>
              <w:spacing w:before="66" w:line="244" w:lineRule="auto"/>
              <w:ind w:left="44" w:right="42" w:hanging="30"/>
            </w:pPr>
            <w:r>
              <w:rPr>
                <w:spacing w:val="-3"/>
              </w:rPr>
              <w:t>建议更换性能满足业务高峰期需要的网络设备，</w:t>
            </w:r>
            <w:r>
              <w:rPr>
                <w:spacing w:val="-4"/>
              </w:rPr>
              <w:t>并合理预估业务增长情</w:t>
            </w:r>
            <w:r>
              <w:t xml:space="preserve"> </w:t>
            </w:r>
            <w:r>
              <w:rPr>
                <w:spacing w:val="1"/>
              </w:rPr>
              <w:t>况，制订合适的扩容计划</w:t>
            </w:r>
          </w:p>
        </w:tc>
      </w:tr>
      <w:tr w14:paraId="0385A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510" w:type="dxa"/>
            <w:tcBorders>
              <w:left w:val="nil"/>
            </w:tcBorders>
            <w:vAlign w:val="top"/>
          </w:tcPr>
          <w:p w14:paraId="5A86F879">
            <w:pPr>
              <w:pStyle w:val="6"/>
              <w:spacing w:before="238" w:line="183" w:lineRule="auto"/>
              <w:ind w:left="200"/>
            </w:pPr>
            <w:r>
              <w:t>8</w:t>
            </w:r>
          </w:p>
        </w:tc>
        <w:tc>
          <w:tcPr>
            <w:tcW w:w="2010" w:type="dxa"/>
            <w:vAlign w:val="top"/>
          </w:tcPr>
          <w:p w14:paraId="5CDCD6E5">
            <w:pPr>
              <w:pStyle w:val="6"/>
              <w:spacing w:before="190" w:line="220" w:lineRule="auto"/>
              <w:ind w:left="44"/>
            </w:pPr>
            <w:r>
              <w:rPr>
                <w:spacing w:val="2"/>
              </w:rPr>
              <w:t>网络区域划分不当</w:t>
            </w:r>
          </w:p>
        </w:tc>
        <w:tc>
          <w:tcPr>
            <w:tcW w:w="5851" w:type="dxa"/>
            <w:tcBorders>
              <w:right w:val="nil"/>
            </w:tcBorders>
            <w:vAlign w:val="top"/>
          </w:tcPr>
          <w:p w14:paraId="77317351">
            <w:pPr>
              <w:pStyle w:val="6"/>
              <w:spacing w:before="78" w:line="234" w:lineRule="auto"/>
              <w:ind w:left="14" w:right="42"/>
            </w:pPr>
            <w:r>
              <w:rPr>
                <w:spacing w:val="-9"/>
              </w:rPr>
              <w:t>建议对网络环境进行合理规划，根据工作职能、重要性和所涉</w:t>
            </w:r>
            <w:r>
              <w:rPr>
                <w:spacing w:val="-10"/>
              </w:rPr>
              <w:t>及信息的重</w:t>
            </w:r>
            <w:r>
              <w:t xml:space="preserve"> </w:t>
            </w:r>
            <w:r>
              <w:rPr>
                <w:spacing w:val="-9"/>
              </w:rPr>
              <w:t>要程度等因素划分不同网络区域，便于各网络区域之间落实</w:t>
            </w:r>
            <w:r>
              <w:rPr>
                <w:spacing w:val="-10"/>
              </w:rPr>
              <w:t>访问控制策略</w:t>
            </w:r>
          </w:p>
        </w:tc>
      </w:tr>
      <w:tr w14:paraId="53AF2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510" w:type="dxa"/>
            <w:tcBorders>
              <w:left w:val="nil"/>
            </w:tcBorders>
            <w:vAlign w:val="top"/>
          </w:tcPr>
          <w:p w14:paraId="726DFB30">
            <w:pPr>
              <w:pStyle w:val="6"/>
              <w:spacing w:before="238" w:line="183" w:lineRule="auto"/>
              <w:ind w:left="200"/>
            </w:pPr>
            <w:r>
              <w:t>9</w:t>
            </w:r>
          </w:p>
        </w:tc>
        <w:tc>
          <w:tcPr>
            <w:tcW w:w="2010" w:type="dxa"/>
            <w:vAlign w:val="top"/>
          </w:tcPr>
          <w:p w14:paraId="59F4E449">
            <w:pPr>
              <w:pStyle w:val="6"/>
              <w:spacing w:before="89" w:line="228" w:lineRule="auto"/>
              <w:ind w:left="44" w:right="46"/>
            </w:pPr>
            <w:r>
              <w:t>网络边界访问控制设备</w:t>
            </w:r>
            <w:r>
              <w:rPr>
                <w:spacing w:val="7"/>
              </w:rPr>
              <w:t xml:space="preserve"> </w:t>
            </w:r>
            <w:r>
              <w:rPr>
                <w:spacing w:val="-3"/>
              </w:rPr>
              <w:t>不可控</w:t>
            </w:r>
          </w:p>
        </w:tc>
        <w:tc>
          <w:tcPr>
            <w:tcW w:w="5851" w:type="dxa"/>
            <w:tcBorders>
              <w:right w:val="nil"/>
            </w:tcBorders>
            <w:vAlign w:val="top"/>
          </w:tcPr>
          <w:p w14:paraId="2B950742">
            <w:pPr>
              <w:pStyle w:val="6"/>
              <w:spacing w:before="89" w:line="228" w:lineRule="auto"/>
              <w:ind w:left="54" w:right="44" w:hanging="40"/>
            </w:pPr>
            <w:r>
              <w:rPr>
                <w:spacing w:val="-3"/>
              </w:rPr>
              <w:t>建议部署或租用自主控制的边界访问控制设</w:t>
            </w:r>
            <w:r>
              <w:rPr>
                <w:spacing w:val="-4"/>
              </w:rPr>
              <w:t>备，且对相关设备进行合理</w:t>
            </w:r>
            <w:r>
              <w:t xml:space="preserve"> </w:t>
            </w:r>
            <w:r>
              <w:rPr>
                <w:spacing w:val="-1"/>
              </w:rPr>
              <w:t>配置，确保网络边界访问控制措施有效、可控</w:t>
            </w:r>
          </w:p>
        </w:tc>
      </w:tr>
      <w:tr w14:paraId="1EDE6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510" w:type="dxa"/>
            <w:tcBorders>
              <w:left w:val="nil"/>
            </w:tcBorders>
            <w:vAlign w:val="top"/>
          </w:tcPr>
          <w:p w14:paraId="5C112740">
            <w:pPr>
              <w:spacing w:line="453" w:lineRule="auto"/>
              <w:rPr>
                <w:rFonts w:ascii="Arial"/>
                <w:sz w:val="21"/>
              </w:rPr>
            </w:pPr>
          </w:p>
          <w:p w14:paraId="06E61965">
            <w:pPr>
              <w:pStyle w:val="6"/>
              <w:spacing w:before="62" w:line="184" w:lineRule="auto"/>
              <w:ind w:left="160"/>
            </w:pPr>
            <w:r>
              <w:rPr>
                <w:spacing w:val="-6"/>
              </w:rPr>
              <w:t>10</w:t>
            </w:r>
          </w:p>
        </w:tc>
        <w:tc>
          <w:tcPr>
            <w:tcW w:w="2010" w:type="dxa"/>
            <w:vAlign w:val="top"/>
          </w:tcPr>
          <w:p w14:paraId="33450046">
            <w:pPr>
              <w:spacing w:line="296" w:lineRule="auto"/>
              <w:rPr>
                <w:rFonts w:ascii="Arial"/>
                <w:sz w:val="21"/>
              </w:rPr>
            </w:pPr>
          </w:p>
          <w:p w14:paraId="5C7FBC1F">
            <w:pPr>
              <w:pStyle w:val="6"/>
              <w:spacing w:before="62"/>
              <w:ind w:left="44" w:right="32"/>
            </w:pPr>
            <w:r>
              <w:rPr>
                <w:spacing w:val="2"/>
              </w:rPr>
              <w:t>重要网络区域边界访问</w:t>
            </w:r>
            <w:r>
              <w:rPr>
                <w:spacing w:val="1"/>
              </w:rPr>
              <w:t xml:space="preserve"> </w:t>
            </w:r>
            <w:r>
              <w:rPr>
                <w:spacing w:val="-1"/>
              </w:rPr>
              <w:t>控制措施缺失</w:t>
            </w:r>
          </w:p>
        </w:tc>
        <w:tc>
          <w:tcPr>
            <w:tcW w:w="5851" w:type="dxa"/>
            <w:tcBorders>
              <w:right w:val="nil"/>
            </w:tcBorders>
            <w:vAlign w:val="top"/>
          </w:tcPr>
          <w:p w14:paraId="685A49ED">
            <w:pPr>
              <w:pStyle w:val="6"/>
              <w:spacing w:before="81" w:line="252" w:lineRule="auto"/>
              <w:ind w:left="14" w:right="34"/>
              <w:jc w:val="both"/>
            </w:pPr>
            <w:r>
              <w:rPr>
                <w:spacing w:val="-3"/>
              </w:rPr>
              <w:t>建议合理规划网络架构，避免重要网络区域部署在边界处；重要网</w:t>
            </w:r>
            <w:r>
              <w:rPr>
                <w:spacing w:val="-4"/>
              </w:rPr>
              <w:t>络区</w:t>
            </w:r>
            <w:r>
              <w:t xml:space="preserve"> </w:t>
            </w:r>
            <w:r>
              <w:rPr>
                <w:spacing w:val="-3"/>
              </w:rPr>
              <w:t>域与其他网络边界处，尤其是外部非安全可控网络、内部非重要网</w:t>
            </w:r>
            <w:r>
              <w:rPr>
                <w:spacing w:val="-4"/>
              </w:rPr>
              <w:t>络区</w:t>
            </w:r>
            <w:r>
              <w:t xml:space="preserve"> </w:t>
            </w:r>
            <w:r>
              <w:rPr>
                <w:spacing w:val="-3"/>
              </w:rPr>
              <w:t>域之间边界处应部署访问控制设备，并合理配置</w:t>
            </w:r>
            <w:r>
              <w:rPr>
                <w:spacing w:val="-4"/>
              </w:rPr>
              <w:t>相关控制策略，确保控</w:t>
            </w:r>
            <w:r>
              <w:t xml:space="preserve"> </w:t>
            </w:r>
            <w:r>
              <w:rPr>
                <w:spacing w:val="-2"/>
              </w:rPr>
              <w:t>制措施有效</w:t>
            </w:r>
          </w:p>
        </w:tc>
      </w:tr>
      <w:tr w14:paraId="37328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510" w:type="dxa"/>
            <w:tcBorders>
              <w:left w:val="nil"/>
            </w:tcBorders>
            <w:vAlign w:val="top"/>
          </w:tcPr>
          <w:p w14:paraId="3ED16E30">
            <w:pPr>
              <w:pStyle w:val="6"/>
              <w:spacing w:before="239" w:line="184" w:lineRule="auto"/>
              <w:ind w:left="160"/>
            </w:pPr>
            <w:r>
              <w:rPr>
                <w:spacing w:val="-6"/>
              </w:rPr>
              <w:t>11</w:t>
            </w:r>
          </w:p>
        </w:tc>
        <w:tc>
          <w:tcPr>
            <w:tcW w:w="2010" w:type="dxa"/>
            <w:vAlign w:val="top"/>
          </w:tcPr>
          <w:p w14:paraId="5A379C6F">
            <w:pPr>
              <w:pStyle w:val="6"/>
              <w:spacing w:before="62" w:line="237" w:lineRule="auto"/>
              <w:ind w:left="44" w:right="44"/>
            </w:pPr>
            <w:r>
              <w:rPr>
                <w:spacing w:val="1"/>
              </w:rPr>
              <w:t>关键线路和设备冗余措</w:t>
            </w:r>
            <w:r>
              <w:t xml:space="preserve"> </w:t>
            </w:r>
            <w:r>
              <w:rPr>
                <w:spacing w:val="-2"/>
              </w:rPr>
              <w:t>施缺失</w:t>
            </w:r>
          </w:p>
        </w:tc>
        <w:tc>
          <w:tcPr>
            <w:tcW w:w="5851" w:type="dxa"/>
            <w:tcBorders>
              <w:right w:val="nil"/>
            </w:tcBorders>
            <w:vAlign w:val="top"/>
          </w:tcPr>
          <w:p w14:paraId="137FBBAA">
            <w:pPr>
              <w:pStyle w:val="6"/>
              <w:spacing w:before="49" w:line="243" w:lineRule="auto"/>
              <w:ind w:left="53" w:hanging="39"/>
            </w:pPr>
            <w:r>
              <w:rPr>
                <w:spacing w:val="-8"/>
              </w:rPr>
              <w:t>建议关键网络链路、关键网络设备、关键计算设备采用冗余设计和部署，</w:t>
            </w:r>
            <w:r>
              <w:rPr>
                <w:spacing w:val="6"/>
              </w:rPr>
              <w:t xml:space="preserve"> </w:t>
            </w:r>
            <w:r>
              <w:rPr>
                <w:spacing w:val="-2"/>
              </w:rPr>
              <w:t>例如采用热备、负载均衡等部署方式，保证系统的高可用性</w:t>
            </w:r>
          </w:p>
        </w:tc>
      </w:tr>
      <w:tr w14:paraId="5014F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510" w:type="dxa"/>
            <w:tcBorders>
              <w:left w:val="nil"/>
            </w:tcBorders>
            <w:vAlign w:val="top"/>
          </w:tcPr>
          <w:p w14:paraId="62C5E59B">
            <w:pPr>
              <w:spacing w:line="315" w:lineRule="auto"/>
              <w:rPr>
                <w:rFonts w:ascii="Arial"/>
                <w:sz w:val="21"/>
              </w:rPr>
            </w:pPr>
          </w:p>
          <w:p w14:paraId="18D02A79">
            <w:pPr>
              <w:pStyle w:val="6"/>
              <w:spacing w:before="62" w:line="184" w:lineRule="auto"/>
              <w:ind w:left="160"/>
            </w:pPr>
            <w:r>
              <w:rPr>
                <w:spacing w:val="-6"/>
              </w:rPr>
              <w:t>12</w:t>
            </w:r>
          </w:p>
        </w:tc>
        <w:tc>
          <w:tcPr>
            <w:tcW w:w="2010" w:type="dxa"/>
            <w:vAlign w:val="top"/>
          </w:tcPr>
          <w:p w14:paraId="770A0834">
            <w:pPr>
              <w:pStyle w:val="6"/>
              <w:spacing w:before="200" w:line="259" w:lineRule="auto"/>
              <w:ind w:left="44" w:right="26" w:firstLine="20"/>
            </w:pPr>
            <w:r>
              <w:t>云计算平台等级低于承</w:t>
            </w:r>
            <w:r>
              <w:rPr>
                <w:spacing w:val="7"/>
              </w:rPr>
              <w:t xml:space="preserve"> </w:t>
            </w:r>
            <w:r>
              <w:rPr>
                <w:spacing w:val="1"/>
              </w:rPr>
              <w:t>载业务系统等级</w:t>
            </w:r>
          </w:p>
        </w:tc>
        <w:tc>
          <w:tcPr>
            <w:tcW w:w="5851" w:type="dxa"/>
            <w:tcBorders>
              <w:right w:val="nil"/>
            </w:tcBorders>
            <w:vAlign w:val="top"/>
          </w:tcPr>
          <w:p w14:paraId="01098D86">
            <w:pPr>
              <w:pStyle w:val="6"/>
              <w:spacing w:before="50" w:line="252" w:lineRule="auto"/>
              <w:ind w:left="14" w:right="42"/>
              <w:jc w:val="both"/>
            </w:pPr>
            <w:r>
              <w:t>建议云服务客户选择已通过等级保护测评(测</w:t>
            </w:r>
            <w:r>
              <w:rPr>
                <w:spacing w:val="-1"/>
              </w:rPr>
              <w:t>评报告在有效期之内，测</w:t>
            </w:r>
            <w:r>
              <w:t xml:space="preserve"> </w:t>
            </w:r>
            <w:r>
              <w:rPr>
                <w:spacing w:val="-3"/>
              </w:rPr>
              <w:t>评结论为中级以上),且不低于其安全保护等级的云计算</w:t>
            </w:r>
            <w:r>
              <w:rPr>
                <w:spacing w:val="-4"/>
              </w:rPr>
              <w:t>平台；云计算平</w:t>
            </w:r>
            <w:r>
              <w:t xml:space="preserve"> </w:t>
            </w:r>
            <w:r>
              <w:rPr>
                <w:spacing w:val="3"/>
              </w:rPr>
              <w:t>台只承载不高于其安全保护等级的业务应用系统</w:t>
            </w:r>
          </w:p>
        </w:tc>
      </w:tr>
      <w:tr w14:paraId="3CDF2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510" w:type="dxa"/>
            <w:tcBorders>
              <w:left w:val="nil"/>
            </w:tcBorders>
            <w:vAlign w:val="top"/>
          </w:tcPr>
          <w:p w14:paraId="1A65878F">
            <w:pPr>
              <w:pStyle w:val="6"/>
              <w:spacing w:before="240" w:line="184" w:lineRule="auto"/>
              <w:ind w:left="160"/>
            </w:pPr>
            <w:r>
              <w:rPr>
                <w:spacing w:val="-6"/>
              </w:rPr>
              <w:t>13</w:t>
            </w:r>
          </w:p>
        </w:tc>
        <w:tc>
          <w:tcPr>
            <w:tcW w:w="2010" w:type="dxa"/>
            <w:vAlign w:val="top"/>
          </w:tcPr>
          <w:p w14:paraId="620106CC">
            <w:pPr>
              <w:pStyle w:val="6"/>
              <w:spacing w:before="92" w:line="227" w:lineRule="auto"/>
              <w:ind w:left="44" w:right="63"/>
            </w:pPr>
            <w:r>
              <w:rPr>
                <w:spacing w:val="-1"/>
              </w:rPr>
              <w:t>重要数据传输完整性保</w:t>
            </w:r>
            <w:r>
              <w:t xml:space="preserve"> </w:t>
            </w:r>
            <w:r>
              <w:rPr>
                <w:spacing w:val="-2"/>
              </w:rPr>
              <w:t>护措施缺失</w:t>
            </w:r>
          </w:p>
        </w:tc>
        <w:tc>
          <w:tcPr>
            <w:tcW w:w="5851" w:type="dxa"/>
            <w:tcBorders>
              <w:right w:val="nil"/>
            </w:tcBorders>
            <w:vAlign w:val="top"/>
          </w:tcPr>
          <w:p w14:paraId="3AF31A8C">
            <w:pPr>
              <w:pStyle w:val="6"/>
              <w:spacing w:before="72" w:line="237" w:lineRule="auto"/>
              <w:ind w:left="44" w:right="41" w:hanging="30"/>
            </w:pPr>
            <w:r>
              <w:rPr>
                <w:spacing w:val="-3"/>
              </w:rPr>
              <w:t>建议采用校验技术或密码技术保证通信过程中数据</w:t>
            </w:r>
            <w:r>
              <w:rPr>
                <w:spacing w:val="-4"/>
              </w:rPr>
              <w:t>的完整性，相关密码</w:t>
            </w:r>
            <w:r>
              <w:t xml:space="preserve"> 技术应符合国家密码管理部门的规定</w:t>
            </w:r>
          </w:p>
        </w:tc>
      </w:tr>
      <w:tr w14:paraId="23197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510" w:type="dxa"/>
            <w:tcBorders>
              <w:left w:val="nil"/>
            </w:tcBorders>
            <w:vAlign w:val="top"/>
          </w:tcPr>
          <w:p w14:paraId="766BB65F">
            <w:pPr>
              <w:pStyle w:val="6"/>
              <w:spacing w:before="240" w:line="184" w:lineRule="auto"/>
              <w:ind w:left="160"/>
            </w:pPr>
            <w:r>
              <w:rPr>
                <w:spacing w:val="-6"/>
              </w:rPr>
              <w:t>14</w:t>
            </w:r>
          </w:p>
        </w:tc>
        <w:tc>
          <w:tcPr>
            <w:tcW w:w="2010" w:type="dxa"/>
            <w:vAlign w:val="top"/>
          </w:tcPr>
          <w:p w14:paraId="66877E7B">
            <w:pPr>
              <w:pStyle w:val="6"/>
              <w:spacing w:before="191" w:line="219" w:lineRule="auto"/>
              <w:ind w:left="44"/>
            </w:pPr>
            <w:r>
              <w:rPr>
                <w:spacing w:val="-1"/>
              </w:rPr>
              <w:t>重要数据明文传输</w:t>
            </w:r>
          </w:p>
        </w:tc>
        <w:tc>
          <w:tcPr>
            <w:tcW w:w="5851" w:type="dxa"/>
            <w:tcBorders>
              <w:right w:val="nil"/>
            </w:tcBorders>
            <w:vAlign w:val="top"/>
          </w:tcPr>
          <w:p w14:paraId="4AABEDB9">
            <w:pPr>
              <w:pStyle w:val="6"/>
              <w:spacing w:before="60" w:line="242" w:lineRule="auto"/>
              <w:ind w:left="34" w:right="35" w:hanging="20"/>
            </w:pPr>
            <w:r>
              <w:rPr>
                <w:spacing w:val="-3"/>
              </w:rPr>
              <w:t>建议采用密码技术为重要敏感数据在传输过程中的保密性提供保</w:t>
            </w:r>
            <w:r>
              <w:rPr>
                <w:spacing w:val="-4"/>
              </w:rPr>
              <w:t>障，相</w:t>
            </w:r>
            <w:r>
              <w:t xml:space="preserve"> 关密码技术应符合国家密码管理部门的规定</w:t>
            </w:r>
          </w:p>
        </w:tc>
      </w:tr>
      <w:tr w14:paraId="4D3C4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510" w:type="dxa"/>
            <w:tcBorders>
              <w:left w:val="nil"/>
            </w:tcBorders>
            <w:vAlign w:val="top"/>
          </w:tcPr>
          <w:p w14:paraId="0790E5FC">
            <w:pPr>
              <w:spacing w:line="437" w:lineRule="auto"/>
              <w:rPr>
                <w:rFonts w:ascii="Arial"/>
                <w:sz w:val="21"/>
              </w:rPr>
            </w:pPr>
          </w:p>
          <w:p w14:paraId="3085D65E">
            <w:pPr>
              <w:pStyle w:val="6"/>
              <w:spacing w:before="61" w:line="184" w:lineRule="auto"/>
              <w:ind w:left="160"/>
            </w:pPr>
            <w:r>
              <w:rPr>
                <w:spacing w:val="-6"/>
              </w:rPr>
              <w:t>15</w:t>
            </w:r>
          </w:p>
        </w:tc>
        <w:tc>
          <w:tcPr>
            <w:tcW w:w="2010" w:type="dxa"/>
            <w:vAlign w:val="top"/>
          </w:tcPr>
          <w:p w14:paraId="7F175796">
            <w:pPr>
              <w:spacing w:line="389" w:lineRule="auto"/>
              <w:rPr>
                <w:rFonts w:ascii="Arial"/>
                <w:sz w:val="21"/>
              </w:rPr>
            </w:pPr>
          </w:p>
          <w:p w14:paraId="07830CF0">
            <w:pPr>
              <w:pStyle w:val="6"/>
              <w:spacing w:before="62" w:line="219" w:lineRule="auto"/>
              <w:ind w:left="44"/>
            </w:pPr>
            <w:r>
              <w:rPr>
                <w:spacing w:val="-1"/>
              </w:rPr>
              <w:t>无线网络管控措施缺失</w:t>
            </w:r>
          </w:p>
        </w:tc>
        <w:tc>
          <w:tcPr>
            <w:tcW w:w="5851" w:type="dxa"/>
            <w:tcBorders>
              <w:right w:val="nil"/>
            </w:tcBorders>
            <w:vAlign w:val="top"/>
          </w:tcPr>
          <w:p w14:paraId="791B2944">
            <w:pPr>
              <w:pStyle w:val="6"/>
              <w:spacing w:before="53" w:line="249" w:lineRule="auto"/>
              <w:ind w:left="14"/>
              <w:jc w:val="both"/>
            </w:pPr>
            <w:r>
              <w:rPr>
                <w:spacing w:val="-2"/>
              </w:rPr>
              <w:t>无特殊需要，建议内部重要网络不应与无线网络互连；若因业务需要，</w:t>
            </w:r>
            <w:r>
              <w:rPr>
                <w:spacing w:val="2"/>
              </w:rPr>
              <w:t xml:space="preserve"> </w:t>
            </w:r>
            <w:r>
              <w:rPr>
                <w:spacing w:val="-5"/>
              </w:rPr>
              <w:t>则建议加强对无线网络设备接入的管控，并通过边界设备对无线网络的</w:t>
            </w:r>
            <w:r>
              <w:rPr>
                <w:spacing w:val="7"/>
              </w:rPr>
              <w:t xml:space="preserve">  </w:t>
            </w:r>
            <w:r>
              <w:rPr>
                <w:spacing w:val="-5"/>
              </w:rPr>
              <w:t>接入设备对内部重要网络的访问进行限制，降低攻击者利用无线网络入</w:t>
            </w:r>
            <w:r>
              <w:rPr>
                <w:spacing w:val="4"/>
              </w:rPr>
              <w:t xml:space="preserve">  </w:t>
            </w:r>
            <w:r>
              <w:rPr>
                <w:spacing w:val="3"/>
              </w:rPr>
              <w:t>侵内部重要网络的可能性</w:t>
            </w:r>
          </w:p>
        </w:tc>
      </w:tr>
      <w:tr w14:paraId="5BC0E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510" w:type="dxa"/>
            <w:tcBorders>
              <w:left w:val="nil"/>
            </w:tcBorders>
            <w:vAlign w:val="top"/>
          </w:tcPr>
          <w:p w14:paraId="6EC1A34F">
            <w:pPr>
              <w:spacing w:line="308" w:lineRule="auto"/>
              <w:rPr>
                <w:rFonts w:ascii="Arial"/>
                <w:sz w:val="21"/>
              </w:rPr>
            </w:pPr>
          </w:p>
          <w:p w14:paraId="6F0C293A">
            <w:pPr>
              <w:pStyle w:val="6"/>
              <w:spacing w:before="62" w:line="184" w:lineRule="auto"/>
              <w:ind w:left="160"/>
            </w:pPr>
            <w:r>
              <w:rPr>
                <w:spacing w:val="-6"/>
              </w:rPr>
              <w:t>16</w:t>
            </w:r>
          </w:p>
        </w:tc>
        <w:tc>
          <w:tcPr>
            <w:tcW w:w="2010" w:type="dxa"/>
            <w:vAlign w:val="top"/>
          </w:tcPr>
          <w:p w14:paraId="5D9A7323">
            <w:pPr>
              <w:pStyle w:val="6"/>
              <w:spacing w:before="224"/>
              <w:ind w:left="44" w:right="12" w:firstLine="20"/>
            </w:pPr>
            <w:r>
              <w:rPr>
                <w:spacing w:val="2"/>
              </w:rPr>
              <w:t>重要网络区域边界访问</w:t>
            </w:r>
            <w:r>
              <w:rPr>
                <w:spacing w:val="1"/>
              </w:rPr>
              <w:t xml:space="preserve"> </w:t>
            </w:r>
            <w:r>
              <w:rPr>
                <w:spacing w:val="2"/>
              </w:rPr>
              <w:t>控制配置不当</w:t>
            </w:r>
          </w:p>
        </w:tc>
        <w:tc>
          <w:tcPr>
            <w:tcW w:w="5851" w:type="dxa"/>
            <w:tcBorders>
              <w:right w:val="nil"/>
            </w:tcBorders>
            <w:vAlign w:val="top"/>
          </w:tcPr>
          <w:p w14:paraId="296C302F">
            <w:pPr>
              <w:pStyle w:val="6"/>
              <w:spacing w:before="65" w:line="244" w:lineRule="auto"/>
              <w:ind w:left="14"/>
              <w:jc w:val="both"/>
            </w:pPr>
            <w:r>
              <w:rPr>
                <w:spacing w:val="-5"/>
              </w:rPr>
              <w:t>建议对重要网络区域与其他网络区域之间的边界进行梳理，明确访问地</w:t>
            </w:r>
            <w:r>
              <w:rPr>
                <w:spacing w:val="3"/>
              </w:rPr>
              <w:t xml:space="preserve">  </w:t>
            </w:r>
            <w:r>
              <w:rPr>
                <w:spacing w:val="-8"/>
              </w:rPr>
              <w:t>址、端口、协议等信息，并通过访问控制设备，合理配置相关控制策略，</w:t>
            </w:r>
            <w:r>
              <w:rPr>
                <w:spacing w:val="6"/>
              </w:rPr>
              <w:t xml:space="preserve"> </w:t>
            </w:r>
            <w:r>
              <w:rPr>
                <w:spacing w:val="3"/>
              </w:rPr>
              <w:t>确保控制措施有效</w:t>
            </w:r>
          </w:p>
        </w:tc>
      </w:tr>
      <w:tr w14:paraId="009B8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510" w:type="dxa"/>
            <w:tcBorders>
              <w:left w:val="nil"/>
            </w:tcBorders>
            <w:vAlign w:val="top"/>
          </w:tcPr>
          <w:p w14:paraId="61254B63">
            <w:pPr>
              <w:spacing w:line="439" w:lineRule="auto"/>
              <w:rPr>
                <w:rFonts w:ascii="Arial"/>
                <w:sz w:val="21"/>
              </w:rPr>
            </w:pPr>
          </w:p>
          <w:p w14:paraId="542A73C3">
            <w:pPr>
              <w:pStyle w:val="6"/>
              <w:spacing w:before="61" w:line="184" w:lineRule="auto"/>
              <w:ind w:left="160"/>
            </w:pPr>
            <w:r>
              <w:rPr>
                <w:spacing w:val="-6"/>
              </w:rPr>
              <w:t>17</w:t>
            </w:r>
          </w:p>
        </w:tc>
        <w:tc>
          <w:tcPr>
            <w:tcW w:w="2010" w:type="dxa"/>
            <w:vAlign w:val="top"/>
          </w:tcPr>
          <w:p w14:paraId="74F0D176">
            <w:pPr>
              <w:spacing w:line="261" w:lineRule="auto"/>
              <w:rPr>
                <w:rFonts w:ascii="Arial"/>
                <w:sz w:val="21"/>
              </w:rPr>
            </w:pPr>
          </w:p>
          <w:p w14:paraId="460AB2B4">
            <w:pPr>
              <w:pStyle w:val="6"/>
              <w:spacing w:before="62" w:line="260" w:lineRule="auto"/>
              <w:ind w:left="44" w:right="35" w:firstLine="10"/>
            </w:pPr>
            <w:r>
              <w:t>外部网络攻击防御措施</w:t>
            </w:r>
            <w:r>
              <w:rPr>
                <w:spacing w:val="7"/>
              </w:rPr>
              <w:t xml:space="preserve"> </w:t>
            </w:r>
            <w:r>
              <w:rPr>
                <w:spacing w:val="-2"/>
              </w:rPr>
              <w:t>缺失</w:t>
            </w:r>
          </w:p>
        </w:tc>
        <w:tc>
          <w:tcPr>
            <w:tcW w:w="5851" w:type="dxa"/>
            <w:tcBorders>
              <w:right w:val="nil"/>
            </w:tcBorders>
            <w:vAlign w:val="top"/>
          </w:tcPr>
          <w:p w14:paraId="071C79DF">
            <w:pPr>
              <w:pStyle w:val="6"/>
              <w:spacing w:before="53" w:line="249" w:lineRule="auto"/>
              <w:ind w:left="35" w:right="5" w:firstLine="9"/>
              <w:jc w:val="both"/>
            </w:pPr>
            <w:r>
              <w:rPr>
                <w:spacing w:val="3"/>
              </w:rPr>
              <w:t>建议在关键网络节点(如互联网边界处)合理部署具备攻击行为检测、</w:t>
            </w:r>
            <w:r>
              <w:t xml:space="preserve"> </w:t>
            </w:r>
            <w:r>
              <w:rPr>
                <w:spacing w:val="3"/>
              </w:rPr>
              <w:t>防止或限制功能的安全防护设备(如入侵防御设备、</w:t>
            </w:r>
            <w:r>
              <w:t>Web</w:t>
            </w:r>
            <w:r>
              <w:rPr>
                <w:spacing w:val="3"/>
              </w:rPr>
              <w:t>应用防火墙、</w:t>
            </w:r>
            <w:r>
              <w:rPr>
                <w:spacing w:val="17"/>
              </w:rPr>
              <w:t xml:space="preserve"> </w:t>
            </w:r>
            <w:r>
              <w:t>抗DDoS攻击设备等),或采用流量清洗等外部抗攻击服务；相关安全防  护设备应及时升级策略库、规则库</w:t>
            </w:r>
          </w:p>
        </w:tc>
      </w:tr>
      <w:tr w14:paraId="1A4BA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510" w:type="dxa"/>
            <w:tcBorders>
              <w:left w:val="nil"/>
            </w:tcBorders>
            <w:vAlign w:val="top"/>
          </w:tcPr>
          <w:p w14:paraId="24077FA5">
            <w:pPr>
              <w:spacing w:line="354" w:lineRule="auto"/>
              <w:rPr>
                <w:rFonts w:ascii="Arial"/>
                <w:sz w:val="21"/>
              </w:rPr>
            </w:pPr>
          </w:p>
          <w:p w14:paraId="7B926BDC">
            <w:pPr>
              <w:spacing w:line="354" w:lineRule="auto"/>
              <w:rPr>
                <w:rFonts w:ascii="Arial"/>
                <w:sz w:val="21"/>
              </w:rPr>
            </w:pPr>
          </w:p>
          <w:p w14:paraId="54D78B2A">
            <w:pPr>
              <w:pStyle w:val="6"/>
              <w:spacing w:before="62" w:line="184" w:lineRule="auto"/>
              <w:ind w:left="160"/>
            </w:pPr>
            <w:r>
              <w:rPr>
                <w:spacing w:val="-6"/>
              </w:rPr>
              <w:t>18</w:t>
            </w:r>
          </w:p>
        </w:tc>
        <w:tc>
          <w:tcPr>
            <w:tcW w:w="2010" w:type="dxa"/>
            <w:vAlign w:val="top"/>
          </w:tcPr>
          <w:p w14:paraId="7CEF0E5F">
            <w:pPr>
              <w:spacing w:line="275" w:lineRule="auto"/>
              <w:rPr>
                <w:rFonts w:ascii="Arial"/>
                <w:sz w:val="21"/>
              </w:rPr>
            </w:pPr>
          </w:p>
          <w:p w14:paraId="6FBD20E7">
            <w:pPr>
              <w:spacing w:line="276" w:lineRule="auto"/>
              <w:rPr>
                <w:rFonts w:ascii="Arial"/>
                <w:sz w:val="21"/>
              </w:rPr>
            </w:pPr>
          </w:p>
          <w:p w14:paraId="754CDC9D">
            <w:pPr>
              <w:pStyle w:val="6"/>
              <w:spacing w:before="61" w:line="227" w:lineRule="auto"/>
              <w:ind w:left="44" w:right="45"/>
            </w:pPr>
            <w:r>
              <w:t>内部网络攻击防御措施</w:t>
            </w:r>
            <w:r>
              <w:rPr>
                <w:spacing w:val="8"/>
              </w:rPr>
              <w:t xml:space="preserve"> </w:t>
            </w:r>
            <w:r>
              <w:rPr>
                <w:spacing w:val="-2"/>
              </w:rPr>
              <w:t>缺失</w:t>
            </w:r>
          </w:p>
        </w:tc>
        <w:tc>
          <w:tcPr>
            <w:tcW w:w="5851" w:type="dxa"/>
            <w:tcBorders>
              <w:right w:val="nil"/>
            </w:tcBorders>
            <w:vAlign w:val="top"/>
          </w:tcPr>
          <w:p w14:paraId="457B4F4B">
            <w:pPr>
              <w:pStyle w:val="6"/>
              <w:spacing w:before="38" w:line="256" w:lineRule="auto"/>
              <w:ind w:left="14" w:right="31" w:firstLine="59"/>
              <w:jc w:val="both"/>
            </w:pPr>
            <w:r>
              <w:rPr>
                <w:spacing w:val="-5"/>
              </w:rPr>
              <w:t>建议在关键网络节点处采取严格的访问控制措施，并</w:t>
            </w:r>
            <w:r>
              <w:rPr>
                <w:spacing w:val="-6"/>
              </w:rPr>
              <w:t>部署相关的防护设</w:t>
            </w:r>
            <w:r>
              <w:t xml:space="preserve"> 备，检测、防止或限制从内部发起的网络攻击</w:t>
            </w:r>
            <w:r>
              <w:rPr>
                <w:spacing w:val="-1"/>
              </w:rPr>
              <w:t>行为(包括其他内部网络</w:t>
            </w:r>
            <w:r>
              <w:t xml:space="preserve"> </w:t>
            </w:r>
            <w:r>
              <w:rPr>
                <w:spacing w:val="-3"/>
              </w:rPr>
              <w:t>区域对核心服务器区的攻击行为、服务器之间的攻击行为、内部网络向</w:t>
            </w:r>
            <w:r>
              <w:rPr>
                <w:spacing w:val="1"/>
              </w:rPr>
              <w:t xml:space="preserve"> </w:t>
            </w:r>
            <w:r>
              <w:rPr>
                <w:spacing w:val="-3"/>
              </w:rPr>
              <w:t>互联网目标发起的攻击行为等);对于服务器之间的内部</w:t>
            </w:r>
            <w:r>
              <w:rPr>
                <w:spacing w:val="-4"/>
              </w:rPr>
              <w:t>攻击行为，建议</w:t>
            </w:r>
            <w:r>
              <w:t xml:space="preserve"> </w:t>
            </w:r>
            <w:r>
              <w:rPr>
                <w:spacing w:val="-3"/>
              </w:rPr>
              <w:t>合理划分网络区域，加强不同服务器之间的访问控制</w:t>
            </w:r>
            <w:r>
              <w:rPr>
                <w:spacing w:val="-4"/>
              </w:rPr>
              <w:t>，部署主机入侵防</w:t>
            </w:r>
            <w:r>
              <w:t xml:space="preserve"> </w:t>
            </w:r>
            <w:r>
              <w:rPr>
                <w:spacing w:val="2"/>
              </w:rPr>
              <w:t>护产品，或通过部署流量探针的方式，检测异常攻击流量</w:t>
            </w:r>
          </w:p>
        </w:tc>
      </w:tr>
      <w:tr w14:paraId="3FD52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4" w:hRule="atLeast"/>
        </w:trPr>
        <w:tc>
          <w:tcPr>
            <w:tcW w:w="510" w:type="dxa"/>
            <w:tcBorders>
              <w:left w:val="nil"/>
            </w:tcBorders>
            <w:vAlign w:val="top"/>
          </w:tcPr>
          <w:p w14:paraId="4376838B">
            <w:pPr>
              <w:spacing w:line="301" w:lineRule="auto"/>
              <w:rPr>
                <w:rFonts w:ascii="Arial"/>
                <w:sz w:val="21"/>
              </w:rPr>
            </w:pPr>
          </w:p>
          <w:p w14:paraId="7E4D2F7F">
            <w:pPr>
              <w:pStyle w:val="6"/>
              <w:spacing w:before="62" w:line="184" w:lineRule="auto"/>
              <w:ind w:left="160"/>
            </w:pPr>
            <w:r>
              <w:rPr>
                <w:spacing w:val="-6"/>
              </w:rPr>
              <w:t>19</w:t>
            </w:r>
          </w:p>
        </w:tc>
        <w:tc>
          <w:tcPr>
            <w:tcW w:w="2010" w:type="dxa"/>
            <w:vAlign w:val="top"/>
          </w:tcPr>
          <w:p w14:paraId="6EAFE084">
            <w:pPr>
              <w:spacing w:line="254" w:lineRule="auto"/>
              <w:rPr>
                <w:rFonts w:ascii="Arial"/>
                <w:sz w:val="21"/>
              </w:rPr>
            </w:pPr>
          </w:p>
          <w:p w14:paraId="618E24F1">
            <w:pPr>
              <w:pStyle w:val="6"/>
              <w:spacing w:before="62" w:line="219" w:lineRule="auto"/>
              <w:ind w:left="44"/>
            </w:pPr>
            <w:r>
              <w:rPr>
                <w:spacing w:val="-1"/>
              </w:rPr>
              <w:t>恶意代码防范措施缺失</w:t>
            </w:r>
          </w:p>
        </w:tc>
        <w:tc>
          <w:tcPr>
            <w:tcW w:w="5851" w:type="dxa"/>
            <w:tcBorders>
              <w:right w:val="nil"/>
            </w:tcBorders>
            <w:vAlign w:val="top"/>
          </w:tcPr>
          <w:p w14:paraId="3CA2C462">
            <w:pPr>
              <w:pStyle w:val="6"/>
              <w:spacing w:before="25" w:line="252" w:lineRule="auto"/>
              <w:ind w:left="14"/>
              <w:jc w:val="both"/>
            </w:pPr>
            <w:r>
              <w:rPr>
                <w:spacing w:val="-8"/>
              </w:rPr>
              <w:t>建议在关键网络节点及主机操作系统上均部署恶意代码检测和清除产品，</w:t>
            </w:r>
            <w:r>
              <w:rPr>
                <w:spacing w:val="6"/>
              </w:rPr>
              <w:t xml:space="preserve"> </w:t>
            </w:r>
            <w:r>
              <w:rPr>
                <w:spacing w:val="-5"/>
              </w:rPr>
              <w:t>并及时更新恶意代码库，网络层与主机层恶意代码防范产品形成异构模</w:t>
            </w:r>
            <w:r>
              <w:rPr>
                <w:spacing w:val="4"/>
              </w:rPr>
              <w:t xml:space="preserve">  </w:t>
            </w:r>
            <w:r>
              <w:t>式，有效检测及清除可能出现的恶意代码攻击</w:t>
            </w:r>
          </w:p>
        </w:tc>
      </w:tr>
    </w:tbl>
    <w:p w14:paraId="47C1C9E6">
      <w:pPr>
        <w:rPr>
          <w:rFonts w:ascii="Arial"/>
          <w:sz w:val="21"/>
        </w:rPr>
      </w:pPr>
    </w:p>
    <w:p w14:paraId="6D513CEA">
      <w:pPr>
        <w:rPr>
          <w:rFonts w:ascii="Arial" w:hAnsi="Arial" w:eastAsia="Arial" w:cs="Arial"/>
          <w:sz w:val="21"/>
          <w:szCs w:val="21"/>
        </w:rPr>
        <w:sectPr>
          <w:pgSz w:w="10290" w:h="13310"/>
          <w:pgMar w:top="319" w:right="623" w:bottom="400" w:left="1109" w:header="0" w:footer="0" w:gutter="0"/>
          <w:cols w:space="720" w:num="1"/>
        </w:sectPr>
      </w:pPr>
    </w:p>
    <w:p w14:paraId="7BE2464A">
      <w:pPr>
        <w:pStyle w:val="2"/>
        <w:rPr>
          <w:sz w:val="19"/>
          <w:szCs w:val="19"/>
        </w:rPr>
      </w:pPr>
      <w:bookmarkStart w:id="763" w:name="bookmark748"/>
      <w:bookmarkEnd w:id="763"/>
      <w:r>
        <w:rPr>
          <w:rFonts w:ascii="Times New Roman" w:hAnsi="Times New Roman" w:eastAsia="Times New Roman" w:cs="Times New Roman"/>
          <w:spacing w:val="5"/>
          <w:position w:val="2"/>
          <w:sz w:val="17"/>
          <w:szCs w:val="17"/>
        </w:rPr>
        <w:t>564</w:t>
      </w:r>
      <w:r>
        <w:rPr>
          <w:rFonts w:ascii="Times New Roman" w:hAnsi="Times New Roman" w:eastAsia="Times New Roman" w:cs="Times New Roman"/>
          <w:spacing w:val="20"/>
          <w:position w:val="2"/>
          <w:sz w:val="17"/>
          <w:szCs w:val="17"/>
        </w:rPr>
        <w:t xml:space="preserve">  </w:t>
      </w:r>
      <w:r>
        <w:rPr>
          <w:position w:val="-11"/>
          <w:sz w:val="17"/>
          <w:szCs w:val="17"/>
        </w:rPr>
        <w:drawing>
          <wp:inline distT="0" distB="0" distL="0" distR="0">
            <wp:extent cx="304165" cy="247650"/>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362"/>
                    <a:stretch>
                      <a:fillRect/>
                    </a:stretch>
                  </pic:blipFill>
                  <pic:spPr>
                    <a:xfrm>
                      <a:off x="0" y="0"/>
                      <a:ext cx="304787" cy="247681"/>
                    </a:xfrm>
                    <a:prstGeom prst="rect">
                      <a:avLst/>
                    </a:prstGeom>
                  </pic:spPr>
                </pic:pic>
              </a:graphicData>
            </a:graphic>
          </wp:inline>
        </w:drawing>
      </w:r>
      <w:r>
        <w:rPr>
          <w:rFonts w:ascii="Times New Roman" w:hAnsi="Times New Roman" w:eastAsia="Times New Roman" w:cs="Times New Roman"/>
          <w:spacing w:val="1"/>
          <w:position w:val="2"/>
          <w:sz w:val="17"/>
          <w:szCs w:val="17"/>
        </w:rPr>
        <w:t xml:space="preserve">   </w:t>
      </w:r>
      <w:r>
        <w:rPr>
          <w:spacing w:val="5"/>
          <w:sz w:val="19"/>
          <w:szCs w:val="19"/>
        </w:rPr>
        <w:t>信息系统监理师教程(第2版)</w:t>
      </w:r>
    </w:p>
    <w:p w14:paraId="4224B9EF">
      <w:pPr>
        <w:spacing w:line="287" w:lineRule="auto"/>
        <w:rPr>
          <w:rFonts w:ascii="Arial"/>
          <w:sz w:val="21"/>
        </w:rPr>
      </w:pPr>
    </w:p>
    <w:p w14:paraId="3AD593CF">
      <w:pPr>
        <w:pStyle w:val="2"/>
        <w:spacing w:before="59" w:line="220" w:lineRule="auto"/>
        <w:jc w:val="right"/>
        <w:rPr>
          <w:sz w:val="18"/>
          <w:szCs w:val="18"/>
        </w:rPr>
      </w:pPr>
      <w:r>
        <w:rPr>
          <w:spacing w:val="9"/>
          <w:sz w:val="18"/>
          <w:szCs w:val="18"/>
        </w:rPr>
        <w:t>(续表)</w:t>
      </w:r>
    </w:p>
    <w:p w14:paraId="78426C14">
      <w:pPr>
        <w:spacing w:line="72" w:lineRule="exact"/>
      </w:pPr>
    </w:p>
    <w:tbl>
      <w:tblPr>
        <w:tblStyle w:val="5"/>
        <w:tblW w:w="8357" w:type="dxa"/>
        <w:tblInd w:w="3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0"/>
        <w:gridCol w:w="2010"/>
        <w:gridCol w:w="5827"/>
      </w:tblGrid>
      <w:tr w14:paraId="34A66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520" w:type="dxa"/>
            <w:tcBorders>
              <w:left w:val="nil"/>
            </w:tcBorders>
            <w:vAlign w:val="top"/>
          </w:tcPr>
          <w:p w14:paraId="62A606C9">
            <w:pPr>
              <w:pStyle w:val="6"/>
              <w:spacing w:before="81" w:line="221" w:lineRule="auto"/>
              <w:ind w:left="72"/>
            </w:pPr>
            <w:r>
              <w:rPr>
                <w:b/>
                <w:bCs/>
                <w:spacing w:val="-4"/>
              </w:rPr>
              <w:t>序号</w:t>
            </w:r>
          </w:p>
        </w:tc>
        <w:tc>
          <w:tcPr>
            <w:tcW w:w="2010" w:type="dxa"/>
            <w:vAlign w:val="top"/>
          </w:tcPr>
          <w:p w14:paraId="241D4EAD">
            <w:pPr>
              <w:pStyle w:val="6"/>
              <w:spacing w:before="80" w:line="219" w:lineRule="auto"/>
              <w:ind w:left="577"/>
            </w:pPr>
            <w:r>
              <w:rPr>
                <w:b/>
                <w:bCs/>
              </w:rPr>
              <w:t>高风险判例</w:t>
            </w:r>
          </w:p>
        </w:tc>
        <w:tc>
          <w:tcPr>
            <w:tcW w:w="5827" w:type="dxa"/>
            <w:tcBorders>
              <w:right w:val="nil"/>
            </w:tcBorders>
            <w:vAlign w:val="top"/>
          </w:tcPr>
          <w:p w14:paraId="1926EC28">
            <w:pPr>
              <w:pStyle w:val="6"/>
              <w:spacing w:before="80" w:line="219" w:lineRule="auto"/>
              <w:ind w:left="2517"/>
            </w:pPr>
            <w:r>
              <w:rPr>
                <w:b/>
                <w:bCs/>
                <w:spacing w:val="-4"/>
              </w:rPr>
              <w:t>整改建议</w:t>
            </w:r>
          </w:p>
        </w:tc>
      </w:tr>
      <w:tr w14:paraId="5250A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520" w:type="dxa"/>
            <w:tcBorders>
              <w:left w:val="nil"/>
            </w:tcBorders>
            <w:vAlign w:val="top"/>
          </w:tcPr>
          <w:p w14:paraId="74222C9C">
            <w:pPr>
              <w:spacing w:line="295" w:lineRule="auto"/>
              <w:rPr>
                <w:rFonts w:ascii="Arial"/>
                <w:sz w:val="21"/>
              </w:rPr>
            </w:pPr>
          </w:p>
          <w:p w14:paraId="0EBFB00E">
            <w:pPr>
              <w:spacing w:line="296" w:lineRule="auto"/>
              <w:rPr>
                <w:rFonts w:ascii="Arial"/>
                <w:sz w:val="21"/>
              </w:rPr>
            </w:pPr>
          </w:p>
          <w:p w14:paraId="2533D6F3">
            <w:pPr>
              <w:pStyle w:val="6"/>
              <w:spacing w:before="62" w:line="183" w:lineRule="auto"/>
              <w:ind w:left="159"/>
            </w:pPr>
            <w:r>
              <w:rPr>
                <w:spacing w:val="-3"/>
              </w:rPr>
              <w:t>20</w:t>
            </w:r>
          </w:p>
        </w:tc>
        <w:tc>
          <w:tcPr>
            <w:tcW w:w="2010" w:type="dxa"/>
            <w:vAlign w:val="top"/>
          </w:tcPr>
          <w:p w14:paraId="7CEE87A2">
            <w:pPr>
              <w:spacing w:line="271" w:lineRule="auto"/>
              <w:rPr>
                <w:rFonts w:ascii="Arial"/>
                <w:sz w:val="21"/>
              </w:rPr>
            </w:pPr>
          </w:p>
          <w:p w14:paraId="46E56F79">
            <w:pPr>
              <w:spacing w:line="272" w:lineRule="auto"/>
              <w:rPr>
                <w:rFonts w:ascii="Arial"/>
                <w:sz w:val="21"/>
              </w:rPr>
            </w:pPr>
          </w:p>
          <w:p w14:paraId="6E46591D">
            <w:pPr>
              <w:pStyle w:val="6"/>
              <w:spacing w:before="62" w:line="220" w:lineRule="auto"/>
              <w:ind w:left="5"/>
            </w:pPr>
            <w:r>
              <w:t>网络安全审计措施缺失</w:t>
            </w:r>
          </w:p>
        </w:tc>
        <w:tc>
          <w:tcPr>
            <w:tcW w:w="5827" w:type="dxa"/>
            <w:tcBorders>
              <w:right w:val="nil"/>
            </w:tcBorders>
            <w:vAlign w:val="top"/>
          </w:tcPr>
          <w:p w14:paraId="116E0694">
            <w:pPr>
              <w:pStyle w:val="6"/>
              <w:spacing w:before="66" w:line="259" w:lineRule="auto"/>
              <w:ind w:left="14"/>
              <w:jc w:val="both"/>
            </w:pPr>
            <w:r>
              <w:rPr>
                <w:spacing w:val="-6"/>
              </w:rPr>
              <w:t>建议在网络边界、关键网络节点处部署具备网络行为审计以及网络安全</w:t>
            </w:r>
            <w:r>
              <w:rPr>
                <w:spacing w:val="8"/>
              </w:rPr>
              <w:t xml:space="preserve">  </w:t>
            </w:r>
            <w:r>
              <w:rPr>
                <w:spacing w:val="-3"/>
              </w:rPr>
              <w:t>审计功能的设备(例如网络安全审计系统、网络流量分析设备、入侵防</w:t>
            </w:r>
            <w:r>
              <w:rPr>
                <w:spacing w:val="4"/>
              </w:rPr>
              <w:t xml:space="preserve">  </w:t>
            </w:r>
            <w:r>
              <w:rPr>
                <w:spacing w:val="-1"/>
              </w:rPr>
              <w:t>御设备、态势感知设备等),并保留相关审计数据，同时设备审计范围</w:t>
            </w:r>
            <w:r>
              <w:rPr>
                <w:spacing w:val="5"/>
              </w:rPr>
              <w:t xml:space="preserve">  </w:t>
            </w:r>
            <w:r>
              <w:rPr>
                <w:spacing w:val="-3"/>
              </w:rPr>
              <w:t>覆盖每个用户，能够对重要的用户行为和重要安全事件进行日志审计，</w:t>
            </w:r>
            <w:r>
              <w:rPr>
                <w:spacing w:val="9"/>
              </w:rPr>
              <w:t xml:space="preserve"> </w:t>
            </w:r>
            <w:r>
              <w:t>便于对相关事件或行为进行追溯</w:t>
            </w:r>
          </w:p>
        </w:tc>
      </w:tr>
      <w:tr w14:paraId="09FB8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520" w:type="dxa"/>
            <w:tcBorders>
              <w:left w:val="nil"/>
            </w:tcBorders>
            <w:vAlign w:val="top"/>
          </w:tcPr>
          <w:p w14:paraId="7A487BDB">
            <w:pPr>
              <w:spacing w:line="452" w:lineRule="auto"/>
              <w:rPr>
                <w:rFonts w:ascii="Arial"/>
                <w:sz w:val="21"/>
              </w:rPr>
            </w:pPr>
          </w:p>
          <w:p w14:paraId="4A1DFE8A">
            <w:pPr>
              <w:pStyle w:val="6"/>
              <w:spacing w:before="62" w:line="184" w:lineRule="auto"/>
              <w:ind w:left="159"/>
            </w:pPr>
            <w:r>
              <w:rPr>
                <w:spacing w:val="-3"/>
              </w:rPr>
              <w:t>21</w:t>
            </w:r>
          </w:p>
        </w:tc>
        <w:tc>
          <w:tcPr>
            <w:tcW w:w="2010" w:type="dxa"/>
            <w:vAlign w:val="top"/>
          </w:tcPr>
          <w:p w14:paraId="222956E7">
            <w:pPr>
              <w:spacing w:line="284" w:lineRule="auto"/>
              <w:rPr>
                <w:rFonts w:ascii="Arial"/>
                <w:sz w:val="21"/>
              </w:rPr>
            </w:pPr>
          </w:p>
          <w:p w14:paraId="1EB6EF5B">
            <w:pPr>
              <w:pStyle w:val="6"/>
              <w:spacing w:before="62" w:line="239" w:lineRule="auto"/>
              <w:ind w:left="5" w:right="17" w:firstLine="59"/>
            </w:pPr>
            <w:r>
              <w:rPr>
                <w:spacing w:val="1"/>
              </w:rPr>
              <w:t>设备存在弱口令或相同</w:t>
            </w:r>
            <w:r>
              <w:rPr>
                <w:spacing w:val="6"/>
              </w:rPr>
              <w:t xml:space="preserve"> </w:t>
            </w:r>
            <w:r>
              <w:rPr>
                <w:spacing w:val="8"/>
              </w:rPr>
              <w:t>口令</w:t>
            </w:r>
          </w:p>
        </w:tc>
        <w:tc>
          <w:tcPr>
            <w:tcW w:w="5827" w:type="dxa"/>
            <w:tcBorders>
              <w:right w:val="nil"/>
            </w:tcBorders>
            <w:vAlign w:val="top"/>
          </w:tcPr>
          <w:p w14:paraId="21F119E5">
            <w:pPr>
              <w:pStyle w:val="6"/>
              <w:spacing w:before="67" w:line="253" w:lineRule="auto"/>
              <w:ind w:left="14"/>
              <w:jc w:val="both"/>
            </w:pPr>
            <w:r>
              <w:rPr>
                <w:spacing w:val="-3"/>
              </w:rPr>
              <w:t>建议删除或修改账户口令，重命名默认账户，制定相</w:t>
            </w:r>
            <w:r>
              <w:rPr>
                <w:spacing w:val="-4"/>
              </w:rPr>
              <w:t>关管理制度，规范</w:t>
            </w:r>
            <w:r>
              <w:t xml:space="preserve"> </w:t>
            </w:r>
            <w:r>
              <w:rPr>
                <w:spacing w:val="-4"/>
              </w:rPr>
              <w:t>口令的最小长度、复杂度与生命周期，并根据管理制度要求，合理配置</w:t>
            </w:r>
            <w:r>
              <w:rPr>
                <w:spacing w:val="18"/>
              </w:rPr>
              <w:t xml:space="preserve"> </w:t>
            </w:r>
            <w:r>
              <w:rPr>
                <w:spacing w:val="-3"/>
              </w:rPr>
              <w:t>账户口令复杂度和定期更换策略；此外，建议为不同设备配备不同的口</w:t>
            </w:r>
            <w:r>
              <w:rPr>
                <w:spacing w:val="9"/>
              </w:rPr>
              <w:t xml:space="preserve"> </w:t>
            </w:r>
            <w:r>
              <w:rPr>
                <w:spacing w:val="2"/>
              </w:rPr>
              <w:t>令，避免一台设备口令被破解影响所有设备</w:t>
            </w:r>
            <w:r>
              <w:rPr>
                <w:spacing w:val="1"/>
              </w:rPr>
              <w:t>安全</w:t>
            </w:r>
          </w:p>
        </w:tc>
      </w:tr>
      <w:tr w14:paraId="06067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520" w:type="dxa"/>
            <w:tcBorders>
              <w:left w:val="nil"/>
            </w:tcBorders>
            <w:vAlign w:val="top"/>
          </w:tcPr>
          <w:p w14:paraId="495C95A6">
            <w:pPr>
              <w:spacing w:line="454" w:lineRule="auto"/>
              <w:rPr>
                <w:rFonts w:ascii="Arial"/>
                <w:sz w:val="21"/>
              </w:rPr>
            </w:pPr>
          </w:p>
          <w:p w14:paraId="29AF7AEC">
            <w:pPr>
              <w:pStyle w:val="6"/>
              <w:spacing w:before="61" w:line="183" w:lineRule="auto"/>
              <w:ind w:left="159"/>
            </w:pPr>
            <w:r>
              <w:rPr>
                <w:spacing w:val="-3"/>
              </w:rPr>
              <w:t>22</w:t>
            </w:r>
          </w:p>
        </w:tc>
        <w:tc>
          <w:tcPr>
            <w:tcW w:w="2010" w:type="dxa"/>
            <w:vAlign w:val="top"/>
          </w:tcPr>
          <w:p w14:paraId="3E05FF8D">
            <w:pPr>
              <w:spacing w:line="296" w:lineRule="auto"/>
              <w:rPr>
                <w:rFonts w:ascii="Arial"/>
                <w:sz w:val="21"/>
              </w:rPr>
            </w:pPr>
          </w:p>
          <w:p w14:paraId="7D7A5C51">
            <w:pPr>
              <w:pStyle w:val="6"/>
              <w:spacing w:before="62" w:line="250" w:lineRule="auto"/>
              <w:ind w:left="5" w:right="24" w:firstLine="59"/>
            </w:pPr>
            <w:r>
              <w:rPr>
                <w:spacing w:val="1"/>
              </w:rPr>
              <w:t>设备鉴别信息防窃听措</w:t>
            </w:r>
            <w:r>
              <w:t xml:space="preserve"> </w:t>
            </w:r>
            <w:r>
              <w:rPr>
                <w:spacing w:val="-2"/>
              </w:rPr>
              <w:t>施缺失</w:t>
            </w:r>
          </w:p>
        </w:tc>
        <w:tc>
          <w:tcPr>
            <w:tcW w:w="5827" w:type="dxa"/>
            <w:tcBorders>
              <w:right w:val="nil"/>
            </w:tcBorders>
            <w:vAlign w:val="top"/>
          </w:tcPr>
          <w:p w14:paraId="2B92355F">
            <w:pPr>
              <w:pStyle w:val="6"/>
              <w:spacing w:before="79" w:line="219" w:lineRule="auto"/>
              <w:jc w:val="right"/>
            </w:pPr>
            <w:r>
              <w:rPr>
                <w:spacing w:val="-9"/>
              </w:rPr>
              <w:t>建议尽可能避免通过不可控网络环境对网络设备、安全设备、操作系统、</w:t>
            </w:r>
          </w:p>
          <w:p w14:paraId="799A1518">
            <w:pPr>
              <w:pStyle w:val="6"/>
              <w:spacing w:before="43" w:line="219" w:lineRule="auto"/>
              <w:ind w:left="14"/>
            </w:pPr>
            <w:r>
              <w:rPr>
                <w:spacing w:val="-3"/>
              </w:rPr>
              <w:t>数据库等进行远程管理。如确有需要，则建议采取措施或使用加密机制</w:t>
            </w:r>
          </w:p>
          <w:p w14:paraId="1EDCE1C1">
            <w:pPr>
              <w:pStyle w:val="6"/>
              <w:spacing w:before="63" w:line="216" w:lineRule="auto"/>
              <w:ind w:left="234"/>
            </w:pPr>
            <w:r>
              <w:t>(如VPN加密通道，开启SSH、HTTPS协议等),防止鉴别信息在网络</w:t>
            </w:r>
          </w:p>
          <w:p w14:paraId="2E86A03C">
            <w:pPr>
              <w:pStyle w:val="6"/>
              <w:spacing w:before="59" w:line="194" w:lineRule="auto"/>
              <w:ind w:left="45"/>
            </w:pPr>
            <w:r>
              <w:rPr>
                <w:spacing w:val="-1"/>
              </w:rPr>
              <w:t>传输过程中被窃听</w:t>
            </w:r>
          </w:p>
        </w:tc>
      </w:tr>
      <w:tr w14:paraId="35CA7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520" w:type="dxa"/>
            <w:tcBorders>
              <w:left w:val="nil"/>
            </w:tcBorders>
            <w:vAlign w:val="top"/>
          </w:tcPr>
          <w:p w14:paraId="3689C06B">
            <w:pPr>
              <w:spacing w:line="292" w:lineRule="auto"/>
              <w:rPr>
                <w:rFonts w:ascii="Arial"/>
                <w:sz w:val="21"/>
              </w:rPr>
            </w:pPr>
          </w:p>
          <w:p w14:paraId="1B2543C7">
            <w:pPr>
              <w:spacing w:line="292" w:lineRule="auto"/>
              <w:rPr>
                <w:rFonts w:ascii="Arial"/>
                <w:sz w:val="21"/>
              </w:rPr>
            </w:pPr>
          </w:p>
          <w:p w14:paraId="7AB81A22">
            <w:pPr>
              <w:pStyle w:val="6"/>
              <w:spacing w:before="62" w:line="183" w:lineRule="auto"/>
              <w:ind w:left="159"/>
            </w:pPr>
            <w:r>
              <w:rPr>
                <w:spacing w:val="-3"/>
              </w:rPr>
              <w:t>23</w:t>
            </w:r>
          </w:p>
        </w:tc>
        <w:tc>
          <w:tcPr>
            <w:tcW w:w="2010" w:type="dxa"/>
            <w:vAlign w:val="top"/>
          </w:tcPr>
          <w:p w14:paraId="13FBF9C0">
            <w:pPr>
              <w:spacing w:line="425" w:lineRule="auto"/>
              <w:rPr>
                <w:rFonts w:ascii="Arial"/>
                <w:sz w:val="21"/>
              </w:rPr>
            </w:pPr>
          </w:p>
          <w:p w14:paraId="2A5A2E77">
            <w:pPr>
              <w:pStyle w:val="6"/>
              <w:spacing w:before="62"/>
              <w:ind w:left="5" w:right="25" w:firstLine="59"/>
            </w:pPr>
            <w:r>
              <w:t>设备未采用多种身份鉴</w:t>
            </w:r>
            <w:r>
              <w:rPr>
                <w:spacing w:val="8"/>
              </w:rPr>
              <w:t xml:space="preserve"> </w:t>
            </w:r>
            <w:r>
              <w:rPr>
                <w:spacing w:val="-3"/>
              </w:rPr>
              <w:t>别技术</w:t>
            </w:r>
          </w:p>
        </w:tc>
        <w:tc>
          <w:tcPr>
            <w:tcW w:w="5827" w:type="dxa"/>
            <w:tcBorders>
              <w:right w:val="nil"/>
            </w:tcBorders>
            <w:vAlign w:val="top"/>
          </w:tcPr>
          <w:p w14:paraId="225AC664">
            <w:pPr>
              <w:pStyle w:val="6"/>
              <w:spacing w:before="82" w:line="250" w:lineRule="auto"/>
              <w:ind w:left="14"/>
              <w:jc w:val="both"/>
            </w:pPr>
            <w:r>
              <w:rPr>
                <w:spacing w:val="-3"/>
              </w:rPr>
              <w:t>建议核心设备、操作系统等增加除用户名、口令以外的身份鉴别技术，</w:t>
            </w:r>
            <w:r>
              <w:rPr>
                <w:spacing w:val="9"/>
              </w:rPr>
              <w:t xml:space="preserve"> </w:t>
            </w:r>
            <w:r>
              <w:rPr>
                <w:spacing w:val="-6"/>
              </w:rPr>
              <w:t>如基于密码技术的动态口令或令牌等鉴别方式，使用多种鉴别技术进行</w:t>
            </w:r>
            <w:r>
              <w:rPr>
                <w:spacing w:val="8"/>
              </w:rPr>
              <w:t xml:space="preserve">  </w:t>
            </w:r>
            <w:r>
              <w:rPr>
                <w:spacing w:val="-6"/>
              </w:rPr>
              <w:t>身份鉴别，增强身份鉴别的安全力度；对于使用堡垒机或统一身份认证</w:t>
            </w:r>
            <w:r>
              <w:rPr>
                <w:spacing w:val="8"/>
              </w:rPr>
              <w:t xml:space="preserve">  </w:t>
            </w:r>
            <w:r>
              <w:rPr>
                <w:spacing w:val="-6"/>
              </w:rPr>
              <w:t>机制实现双因素认证的场景，建议通过地址绑定等技术，确保设备只能</w:t>
            </w:r>
            <w:r>
              <w:rPr>
                <w:spacing w:val="8"/>
              </w:rPr>
              <w:t xml:space="preserve">  </w:t>
            </w:r>
            <w:r>
              <w:rPr>
                <w:spacing w:val="-1"/>
              </w:rPr>
              <w:t>通过该机制进行身份认证，无旁路现象存在</w:t>
            </w:r>
          </w:p>
        </w:tc>
      </w:tr>
      <w:tr w14:paraId="33353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520" w:type="dxa"/>
            <w:tcBorders>
              <w:left w:val="nil"/>
            </w:tcBorders>
            <w:vAlign w:val="top"/>
          </w:tcPr>
          <w:p w14:paraId="6B436C2E">
            <w:pPr>
              <w:spacing w:line="317" w:lineRule="auto"/>
              <w:rPr>
                <w:rFonts w:ascii="Arial"/>
                <w:sz w:val="21"/>
              </w:rPr>
            </w:pPr>
          </w:p>
          <w:p w14:paraId="1865F315">
            <w:pPr>
              <w:pStyle w:val="6"/>
              <w:spacing w:before="61" w:line="183" w:lineRule="auto"/>
              <w:ind w:left="159"/>
            </w:pPr>
            <w:r>
              <w:rPr>
                <w:spacing w:val="-3"/>
              </w:rPr>
              <w:t>24</w:t>
            </w:r>
          </w:p>
        </w:tc>
        <w:tc>
          <w:tcPr>
            <w:tcW w:w="2010" w:type="dxa"/>
            <w:vAlign w:val="top"/>
          </w:tcPr>
          <w:p w14:paraId="1BB6F4A8">
            <w:pPr>
              <w:spacing w:line="267" w:lineRule="auto"/>
              <w:rPr>
                <w:rFonts w:ascii="Arial"/>
                <w:sz w:val="21"/>
              </w:rPr>
            </w:pPr>
          </w:p>
          <w:p w14:paraId="4A7B3434">
            <w:pPr>
              <w:pStyle w:val="6"/>
              <w:spacing w:before="61" w:line="219" w:lineRule="auto"/>
              <w:ind w:left="5"/>
            </w:pPr>
            <w:r>
              <w:rPr>
                <w:spacing w:val="-2"/>
              </w:rPr>
              <w:t>设备默认口令未修改</w:t>
            </w:r>
          </w:p>
        </w:tc>
        <w:tc>
          <w:tcPr>
            <w:tcW w:w="5827" w:type="dxa"/>
            <w:tcBorders>
              <w:right w:val="nil"/>
            </w:tcBorders>
            <w:vAlign w:val="top"/>
          </w:tcPr>
          <w:p w14:paraId="33A151E8">
            <w:pPr>
              <w:pStyle w:val="6"/>
              <w:spacing w:before="60" w:line="249" w:lineRule="auto"/>
              <w:ind w:left="14" w:firstLine="29"/>
              <w:jc w:val="both"/>
            </w:pPr>
            <w:r>
              <w:rPr>
                <w:spacing w:val="-3"/>
              </w:rPr>
              <w:t>建议网络设备、安全设备、主机设备(包括操作系统、数据库等)重命</w:t>
            </w:r>
            <w:r>
              <w:rPr>
                <w:spacing w:val="8"/>
              </w:rPr>
              <w:t xml:space="preserve">  </w:t>
            </w:r>
            <w:r>
              <w:rPr>
                <w:spacing w:val="-3"/>
              </w:rPr>
              <w:t>名或删除默认管理员账户，修改默认密码，使其具备一定的安全强度，</w:t>
            </w:r>
            <w:r>
              <w:rPr>
                <w:spacing w:val="9"/>
              </w:rPr>
              <w:t xml:space="preserve"> </w:t>
            </w:r>
            <w:r>
              <w:rPr>
                <w:spacing w:val="2"/>
              </w:rPr>
              <w:t>增强账户安全性</w:t>
            </w:r>
          </w:p>
        </w:tc>
      </w:tr>
      <w:tr w14:paraId="340ED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520" w:type="dxa"/>
            <w:tcBorders>
              <w:left w:val="nil"/>
            </w:tcBorders>
            <w:vAlign w:val="top"/>
          </w:tcPr>
          <w:p w14:paraId="30313593">
            <w:pPr>
              <w:spacing w:line="293" w:lineRule="auto"/>
              <w:rPr>
                <w:rFonts w:ascii="Arial"/>
                <w:sz w:val="21"/>
              </w:rPr>
            </w:pPr>
          </w:p>
          <w:p w14:paraId="2023D848">
            <w:pPr>
              <w:spacing w:line="293" w:lineRule="auto"/>
              <w:rPr>
                <w:rFonts w:ascii="Arial"/>
                <w:sz w:val="21"/>
              </w:rPr>
            </w:pPr>
          </w:p>
          <w:p w14:paraId="46722589">
            <w:pPr>
              <w:pStyle w:val="6"/>
              <w:spacing w:before="62" w:line="183" w:lineRule="auto"/>
              <w:ind w:left="159"/>
            </w:pPr>
            <w:r>
              <w:rPr>
                <w:spacing w:val="-3"/>
              </w:rPr>
              <w:t>25</w:t>
            </w:r>
          </w:p>
        </w:tc>
        <w:tc>
          <w:tcPr>
            <w:tcW w:w="2010" w:type="dxa"/>
            <w:vAlign w:val="top"/>
          </w:tcPr>
          <w:p w14:paraId="1FF94089">
            <w:pPr>
              <w:spacing w:line="269" w:lineRule="auto"/>
              <w:rPr>
                <w:rFonts w:ascii="Arial"/>
                <w:sz w:val="21"/>
              </w:rPr>
            </w:pPr>
          </w:p>
          <w:p w14:paraId="66E8BBD3">
            <w:pPr>
              <w:spacing w:line="269" w:lineRule="auto"/>
              <w:rPr>
                <w:rFonts w:ascii="Arial"/>
                <w:sz w:val="21"/>
              </w:rPr>
            </w:pPr>
          </w:p>
          <w:p w14:paraId="1B2CA0A2">
            <w:pPr>
              <w:pStyle w:val="6"/>
              <w:spacing w:before="62" w:line="220" w:lineRule="auto"/>
              <w:ind w:left="64"/>
            </w:pPr>
            <w:r>
              <w:t>设备安全审计措施缺失</w:t>
            </w:r>
          </w:p>
        </w:tc>
        <w:tc>
          <w:tcPr>
            <w:tcW w:w="5827" w:type="dxa"/>
            <w:tcBorders>
              <w:right w:val="nil"/>
            </w:tcBorders>
            <w:vAlign w:val="top"/>
          </w:tcPr>
          <w:p w14:paraId="25382671">
            <w:pPr>
              <w:pStyle w:val="6"/>
              <w:spacing w:before="71" w:line="254" w:lineRule="auto"/>
              <w:ind w:left="14"/>
              <w:jc w:val="both"/>
            </w:pPr>
            <w:r>
              <w:t>建议在关键网络设备、关键安全设备、关键主机设备(包括操作系统、</w:t>
            </w:r>
            <w:r>
              <w:rPr>
                <w:spacing w:val="11"/>
              </w:rPr>
              <w:t xml:space="preserve"> </w:t>
            </w:r>
            <w:r>
              <w:rPr>
                <w:spacing w:val="-3"/>
              </w:rPr>
              <w:t>数据库等)、运维终端性能允许的前提下，开启用户操作类和安全事件</w:t>
            </w:r>
            <w:r>
              <w:rPr>
                <w:spacing w:val="8"/>
              </w:rPr>
              <w:t xml:space="preserve">  </w:t>
            </w:r>
            <w:r>
              <w:rPr>
                <w:spacing w:val="-5"/>
              </w:rPr>
              <w:t>类审计策略：若性能不允许，建议使用第三方日志审</w:t>
            </w:r>
            <w:r>
              <w:rPr>
                <w:spacing w:val="-6"/>
              </w:rPr>
              <w:t>计工具，实现对相</w:t>
            </w:r>
            <w:r>
              <w:t xml:space="preserve">  </w:t>
            </w:r>
            <w:r>
              <w:rPr>
                <w:spacing w:val="-5"/>
              </w:rPr>
              <w:t>关设备操作与安全行为的全面审计记录，保</w:t>
            </w:r>
            <w:r>
              <w:rPr>
                <w:spacing w:val="-6"/>
              </w:rPr>
              <w:t>证发生安全问题时能够及时</w:t>
            </w:r>
            <w:r>
              <w:t xml:space="preserve">  </w:t>
            </w:r>
            <w:r>
              <w:rPr>
                <w:spacing w:val="8"/>
              </w:rPr>
              <w:t>溯源</w:t>
            </w:r>
          </w:p>
        </w:tc>
      </w:tr>
      <w:tr w14:paraId="6BD09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520" w:type="dxa"/>
            <w:tcBorders>
              <w:left w:val="nil"/>
            </w:tcBorders>
            <w:vAlign w:val="top"/>
          </w:tcPr>
          <w:p w14:paraId="40FD8D30">
            <w:pPr>
              <w:spacing w:line="309" w:lineRule="auto"/>
              <w:rPr>
                <w:rFonts w:ascii="Arial"/>
                <w:sz w:val="21"/>
              </w:rPr>
            </w:pPr>
          </w:p>
          <w:p w14:paraId="24D1CBD3">
            <w:pPr>
              <w:pStyle w:val="6"/>
              <w:spacing w:before="61" w:line="183" w:lineRule="auto"/>
              <w:ind w:left="159"/>
            </w:pPr>
            <w:r>
              <w:rPr>
                <w:spacing w:val="-3"/>
              </w:rPr>
              <w:t>26</w:t>
            </w:r>
          </w:p>
        </w:tc>
        <w:tc>
          <w:tcPr>
            <w:tcW w:w="2010" w:type="dxa"/>
            <w:vAlign w:val="top"/>
          </w:tcPr>
          <w:p w14:paraId="494CDA65">
            <w:pPr>
              <w:pStyle w:val="6"/>
              <w:spacing w:before="214" w:line="250" w:lineRule="auto"/>
              <w:ind w:left="5" w:right="35" w:firstLine="69"/>
            </w:pPr>
            <w:r>
              <w:rPr>
                <w:spacing w:val="-2"/>
              </w:rPr>
              <w:t>设备审计记录不满足保</w:t>
            </w:r>
            <w:r>
              <w:rPr>
                <w:spacing w:val="8"/>
              </w:rPr>
              <w:t xml:space="preserve"> </w:t>
            </w:r>
            <w:r>
              <w:rPr>
                <w:spacing w:val="-2"/>
              </w:rPr>
              <w:t>护要求</w:t>
            </w:r>
          </w:p>
        </w:tc>
        <w:tc>
          <w:tcPr>
            <w:tcW w:w="5827" w:type="dxa"/>
            <w:tcBorders>
              <w:right w:val="nil"/>
            </w:tcBorders>
            <w:vAlign w:val="top"/>
          </w:tcPr>
          <w:p w14:paraId="21450087">
            <w:pPr>
              <w:pStyle w:val="6"/>
              <w:spacing w:before="62" w:line="245" w:lineRule="auto"/>
              <w:ind w:left="14" w:right="14"/>
              <w:jc w:val="both"/>
            </w:pPr>
            <w:r>
              <w:rPr>
                <w:spacing w:val="-3"/>
              </w:rPr>
              <w:t>建议对设备的重要操作、安全事件日志进行妥善保存，避</w:t>
            </w:r>
            <w:r>
              <w:rPr>
                <w:spacing w:val="-4"/>
              </w:rPr>
              <w:t>免受到非预期</w:t>
            </w:r>
            <w:r>
              <w:t xml:space="preserve"> </w:t>
            </w:r>
            <w:r>
              <w:rPr>
                <w:spacing w:val="-1"/>
              </w:rPr>
              <w:t>的删除、修改或覆盖等，留存时间不少于6个月，符合法律法规的相关</w:t>
            </w:r>
            <w:r>
              <w:rPr>
                <w:spacing w:val="7"/>
              </w:rPr>
              <w:t xml:space="preserve"> </w:t>
            </w:r>
            <w:r>
              <w:rPr>
                <w:spacing w:val="15"/>
              </w:rPr>
              <w:t>要求</w:t>
            </w:r>
          </w:p>
        </w:tc>
      </w:tr>
      <w:tr w14:paraId="4309D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520" w:type="dxa"/>
            <w:tcBorders>
              <w:left w:val="nil"/>
            </w:tcBorders>
            <w:vAlign w:val="top"/>
          </w:tcPr>
          <w:p w14:paraId="605E8F1F">
            <w:pPr>
              <w:pStyle w:val="6"/>
              <w:spacing w:before="233" w:line="183" w:lineRule="auto"/>
              <w:ind w:left="159"/>
            </w:pPr>
            <w:r>
              <w:rPr>
                <w:spacing w:val="-3"/>
              </w:rPr>
              <w:t>27</w:t>
            </w:r>
          </w:p>
        </w:tc>
        <w:tc>
          <w:tcPr>
            <w:tcW w:w="2010" w:type="dxa"/>
            <w:vAlign w:val="top"/>
          </w:tcPr>
          <w:p w14:paraId="62D4D0E6">
            <w:pPr>
              <w:pStyle w:val="6"/>
              <w:spacing w:before="84" w:line="221" w:lineRule="auto"/>
              <w:ind w:left="5" w:firstLine="58"/>
            </w:pPr>
            <w:r>
              <w:rPr>
                <w:spacing w:val="3"/>
              </w:rPr>
              <w:t>设备开启多余的服务、</w:t>
            </w:r>
            <w:r>
              <w:rPr>
                <w:spacing w:val="5"/>
              </w:rPr>
              <w:t xml:space="preserve"> </w:t>
            </w:r>
            <w:r>
              <w:rPr>
                <w:spacing w:val="1"/>
              </w:rPr>
              <w:t>高危端口</w:t>
            </w:r>
          </w:p>
        </w:tc>
        <w:tc>
          <w:tcPr>
            <w:tcW w:w="5827" w:type="dxa"/>
            <w:tcBorders>
              <w:right w:val="nil"/>
            </w:tcBorders>
            <w:vAlign w:val="top"/>
          </w:tcPr>
          <w:p w14:paraId="62B3A214">
            <w:pPr>
              <w:pStyle w:val="6"/>
              <w:spacing w:before="63" w:line="231" w:lineRule="auto"/>
              <w:ind w:left="44" w:right="10" w:hanging="30"/>
            </w:pPr>
            <w:r>
              <w:rPr>
                <w:spacing w:val="-3"/>
              </w:rPr>
              <w:t>建议网络设备、安全设备、主机设备等关闭不必要的服务和端口，</w:t>
            </w:r>
            <w:r>
              <w:rPr>
                <w:spacing w:val="-4"/>
              </w:rPr>
              <w:t>减少</w:t>
            </w:r>
            <w:r>
              <w:t xml:space="preserve"> </w:t>
            </w:r>
            <w:r>
              <w:rPr>
                <w:spacing w:val="4"/>
              </w:rPr>
              <w:t>安全隐患</w:t>
            </w:r>
          </w:p>
        </w:tc>
      </w:tr>
      <w:tr w14:paraId="7DD32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520" w:type="dxa"/>
            <w:tcBorders>
              <w:left w:val="nil"/>
            </w:tcBorders>
            <w:vAlign w:val="top"/>
          </w:tcPr>
          <w:p w14:paraId="492C3AE0">
            <w:pPr>
              <w:pStyle w:val="6"/>
              <w:spacing w:before="244" w:line="183" w:lineRule="auto"/>
              <w:ind w:left="159"/>
            </w:pPr>
            <w:r>
              <w:rPr>
                <w:spacing w:val="-3"/>
              </w:rPr>
              <w:t>28</w:t>
            </w:r>
          </w:p>
        </w:tc>
        <w:tc>
          <w:tcPr>
            <w:tcW w:w="2010" w:type="dxa"/>
            <w:vAlign w:val="top"/>
          </w:tcPr>
          <w:p w14:paraId="400E4D15">
            <w:pPr>
              <w:pStyle w:val="6"/>
              <w:spacing w:before="54"/>
              <w:ind w:left="5" w:right="35" w:firstLine="69"/>
            </w:pPr>
            <w:r>
              <w:rPr>
                <w:spacing w:val="-2"/>
              </w:rPr>
              <w:t>设备管理终端限制措施</w:t>
            </w:r>
            <w:r>
              <w:rPr>
                <w:spacing w:val="8"/>
              </w:rPr>
              <w:t xml:space="preserve"> </w:t>
            </w:r>
            <w:r>
              <w:rPr>
                <w:spacing w:val="-2"/>
              </w:rPr>
              <w:t>缺失</w:t>
            </w:r>
          </w:p>
        </w:tc>
        <w:tc>
          <w:tcPr>
            <w:tcW w:w="5827" w:type="dxa"/>
            <w:tcBorders>
              <w:right w:val="nil"/>
            </w:tcBorders>
            <w:vAlign w:val="top"/>
          </w:tcPr>
          <w:p w14:paraId="32C10304">
            <w:pPr>
              <w:pStyle w:val="6"/>
              <w:spacing w:before="195" w:line="219" w:lineRule="auto"/>
              <w:ind w:right="6"/>
              <w:jc w:val="right"/>
            </w:pPr>
            <w:r>
              <w:rPr>
                <w:spacing w:val="-4"/>
              </w:rPr>
              <w:t>建议通过地址限制、准入控制等技术手段，对管理终端</w:t>
            </w:r>
            <w:r>
              <w:rPr>
                <w:spacing w:val="-5"/>
              </w:rPr>
              <w:t>进行管控和限制</w:t>
            </w:r>
          </w:p>
        </w:tc>
      </w:tr>
      <w:tr w14:paraId="2486D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520" w:type="dxa"/>
            <w:tcBorders>
              <w:left w:val="nil"/>
            </w:tcBorders>
            <w:vAlign w:val="top"/>
          </w:tcPr>
          <w:p w14:paraId="0738CF30">
            <w:pPr>
              <w:pStyle w:val="6"/>
              <w:spacing w:before="245" w:line="183" w:lineRule="auto"/>
              <w:ind w:left="159"/>
            </w:pPr>
            <w:r>
              <w:rPr>
                <w:spacing w:val="-3"/>
              </w:rPr>
              <w:t>29</w:t>
            </w:r>
          </w:p>
        </w:tc>
        <w:tc>
          <w:tcPr>
            <w:tcW w:w="2010" w:type="dxa"/>
            <w:vAlign w:val="top"/>
          </w:tcPr>
          <w:p w14:paraId="470F61CA">
            <w:pPr>
              <w:pStyle w:val="6"/>
              <w:spacing w:before="66" w:line="235" w:lineRule="auto"/>
              <w:ind w:left="5" w:right="45" w:firstLine="59"/>
            </w:pPr>
            <w:r>
              <w:rPr>
                <w:spacing w:val="-2"/>
              </w:rPr>
              <w:t>互联网设备存在已知高</w:t>
            </w:r>
            <w:r>
              <w:rPr>
                <w:spacing w:val="8"/>
              </w:rPr>
              <w:t xml:space="preserve"> </w:t>
            </w:r>
            <w:r>
              <w:rPr>
                <w:spacing w:val="4"/>
              </w:rPr>
              <w:t>危漏洞</w:t>
            </w:r>
          </w:p>
        </w:tc>
        <w:tc>
          <w:tcPr>
            <w:tcW w:w="5827" w:type="dxa"/>
            <w:tcBorders>
              <w:right w:val="nil"/>
            </w:tcBorders>
            <w:vAlign w:val="top"/>
          </w:tcPr>
          <w:p w14:paraId="11DED394">
            <w:pPr>
              <w:pStyle w:val="6"/>
              <w:spacing w:before="66" w:line="235" w:lineRule="auto"/>
              <w:ind w:left="33" w:hanging="19"/>
            </w:pPr>
            <w:r>
              <w:rPr>
                <w:spacing w:val="-3"/>
              </w:rPr>
              <w:t>建议订阅安全厂商漏洞推送或本地安装安全软件，及时了解漏洞动态，</w:t>
            </w:r>
            <w:r>
              <w:rPr>
                <w:spacing w:val="9"/>
              </w:rPr>
              <w:t xml:space="preserve"> </w:t>
            </w:r>
            <w:r>
              <w:rPr>
                <w:spacing w:val="-2"/>
              </w:rPr>
              <w:t>在充分测试评估的基础上，弥补高危安全漏洞</w:t>
            </w:r>
          </w:p>
        </w:tc>
      </w:tr>
      <w:tr w14:paraId="36F8F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4" w:hRule="atLeast"/>
        </w:trPr>
        <w:tc>
          <w:tcPr>
            <w:tcW w:w="520" w:type="dxa"/>
            <w:tcBorders>
              <w:left w:val="nil"/>
            </w:tcBorders>
            <w:vAlign w:val="top"/>
          </w:tcPr>
          <w:p w14:paraId="66927307">
            <w:pPr>
              <w:spacing w:line="302" w:lineRule="auto"/>
              <w:rPr>
                <w:rFonts w:ascii="Arial"/>
                <w:sz w:val="21"/>
              </w:rPr>
            </w:pPr>
          </w:p>
          <w:p w14:paraId="5B2C9580">
            <w:pPr>
              <w:pStyle w:val="6"/>
              <w:spacing w:before="62" w:line="183" w:lineRule="auto"/>
              <w:ind w:left="159"/>
            </w:pPr>
            <w:r>
              <w:rPr>
                <w:spacing w:val="-3"/>
              </w:rPr>
              <w:t>30</w:t>
            </w:r>
          </w:p>
        </w:tc>
        <w:tc>
          <w:tcPr>
            <w:tcW w:w="2010" w:type="dxa"/>
            <w:vAlign w:val="top"/>
          </w:tcPr>
          <w:p w14:paraId="72B8C67A">
            <w:pPr>
              <w:pStyle w:val="6"/>
              <w:spacing w:before="196" w:line="249" w:lineRule="auto"/>
              <w:ind w:left="5" w:right="11" w:firstLine="59"/>
            </w:pPr>
            <w:r>
              <w:rPr>
                <w:spacing w:val="2"/>
              </w:rPr>
              <w:t>内网设备存在可被利用 的高危漏洞</w:t>
            </w:r>
          </w:p>
        </w:tc>
        <w:tc>
          <w:tcPr>
            <w:tcW w:w="5827" w:type="dxa"/>
            <w:tcBorders>
              <w:right w:val="nil"/>
            </w:tcBorders>
            <w:vAlign w:val="top"/>
          </w:tcPr>
          <w:p w14:paraId="0B7EE2D4">
            <w:pPr>
              <w:pStyle w:val="6"/>
              <w:spacing w:before="47" w:line="245" w:lineRule="auto"/>
              <w:ind w:left="14" w:right="18"/>
              <w:jc w:val="both"/>
            </w:pPr>
            <w:r>
              <w:rPr>
                <w:spacing w:val="-3"/>
              </w:rPr>
              <w:t>建议在充分测试的情况下，及时对设备进行补丁</w:t>
            </w:r>
            <w:r>
              <w:rPr>
                <w:spacing w:val="-4"/>
              </w:rPr>
              <w:t>更新，修补已知的高风</w:t>
            </w:r>
            <w:r>
              <w:t xml:space="preserve"> </w:t>
            </w:r>
            <w:r>
              <w:rPr>
                <w:spacing w:val="-3"/>
              </w:rPr>
              <w:t>险安全漏洞；此外，还应定期对设备进行漏洞扫</w:t>
            </w:r>
            <w:r>
              <w:rPr>
                <w:spacing w:val="-4"/>
              </w:rPr>
              <w:t>描，及时处理发现的风</w:t>
            </w:r>
            <w:r>
              <w:t xml:space="preserve"> </w:t>
            </w:r>
            <w:r>
              <w:rPr>
                <w:spacing w:val="2"/>
              </w:rPr>
              <w:t>险漏洞，提高设备稳定性与安全性</w:t>
            </w:r>
          </w:p>
        </w:tc>
      </w:tr>
    </w:tbl>
    <w:p w14:paraId="0D5AE737">
      <w:pPr>
        <w:rPr>
          <w:rFonts w:ascii="Arial"/>
          <w:sz w:val="21"/>
        </w:rPr>
      </w:pPr>
    </w:p>
    <w:p w14:paraId="1883C253">
      <w:pPr>
        <w:rPr>
          <w:rFonts w:ascii="Arial" w:hAnsi="Arial" w:eastAsia="Arial" w:cs="Arial"/>
          <w:sz w:val="21"/>
          <w:szCs w:val="21"/>
        </w:rPr>
        <w:sectPr>
          <w:pgSz w:w="10300" w:h="13450"/>
          <w:pgMar w:top="370" w:right="1010" w:bottom="400" w:left="530" w:header="0" w:footer="0" w:gutter="0"/>
          <w:cols w:space="720" w:num="1"/>
        </w:sectPr>
      </w:pPr>
    </w:p>
    <w:p w14:paraId="095E0755">
      <w:pPr>
        <w:pStyle w:val="2"/>
        <w:spacing w:before="86" w:line="219" w:lineRule="auto"/>
        <w:ind w:left="5839"/>
        <w:outlineLvl w:val="0"/>
        <w:rPr>
          <w:sz w:val="19"/>
          <w:szCs w:val="19"/>
        </w:rPr>
      </w:pPr>
      <w:r>
        <w:drawing>
          <wp:anchor distT="0" distB="0" distL="0" distR="0" simplePos="0" relativeHeight="251852800" behindDoc="0" locked="0" layoutInCell="1" allowOverlap="1">
            <wp:simplePos x="0" y="0"/>
            <wp:positionH relativeFrom="column">
              <wp:posOffset>4958715</wp:posOffset>
            </wp:positionH>
            <wp:positionV relativeFrom="paragraph">
              <wp:posOffset>0</wp:posOffset>
            </wp:positionV>
            <wp:extent cx="317500" cy="24130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363"/>
                    <a:stretch>
                      <a:fillRect/>
                    </a:stretch>
                  </pic:blipFill>
                  <pic:spPr>
                    <a:xfrm>
                      <a:off x="0" y="0"/>
                      <a:ext cx="317475" cy="241300"/>
                    </a:xfrm>
                    <a:prstGeom prst="rect">
                      <a:avLst/>
                    </a:prstGeom>
                  </pic:spPr>
                </pic:pic>
              </a:graphicData>
            </a:graphic>
          </wp:anchor>
        </w:drawing>
      </w:r>
      <w:bookmarkStart w:id="764" w:name="bookmark749"/>
      <w:bookmarkEnd w:id="764"/>
      <w:r>
        <w:rPr>
          <w:spacing w:val="5"/>
          <w:sz w:val="19"/>
          <w:szCs w:val="19"/>
        </w:rPr>
        <w:t>第24章</w:t>
      </w:r>
      <w:r>
        <w:rPr>
          <w:spacing w:val="30"/>
          <w:sz w:val="19"/>
          <w:szCs w:val="19"/>
        </w:rPr>
        <w:t xml:space="preserve"> </w:t>
      </w:r>
      <w:r>
        <w:rPr>
          <w:spacing w:val="5"/>
          <w:sz w:val="19"/>
          <w:szCs w:val="19"/>
        </w:rPr>
        <w:t>信息安全监理</w:t>
      </w:r>
    </w:p>
    <w:p w14:paraId="7A5DBBB1">
      <w:pPr>
        <w:spacing w:line="67" w:lineRule="exact"/>
      </w:pPr>
    </w:p>
    <w:p w14:paraId="70DF9EA1">
      <w:pPr>
        <w:spacing w:line="14" w:lineRule="auto"/>
        <w:rPr>
          <w:rFonts w:ascii="Arial"/>
          <w:sz w:val="2"/>
        </w:rPr>
      </w:pPr>
      <w:r>
        <w:rPr>
          <w:rFonts w:ascii="Arial" w:hAnsi="Arial" w:eastAsia="Arial" w:cs="Arial"/>
          <w:sz w:val="2"/>
          <w:szCs w:val="2"/>
        </w:rPr>
        <w:br w:type="column"/>
      </w:r>
    </w:p>
    <w:p w14:paraId="0C571E6B">
      <w:pPr>
        <w:spacing w:before="130" w:line="188" w:lineRule="auto"/>
        <w:ind w:left="2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565</w:t>
      </w:r>
    </w:p>
    <w:p w14:paraId="7F945324">
      <w:pPr>
        <w:spacing w:line="188" w:lineRule="auto"/>
        <w:rPr>
          <w:rFonts w:ascii="Times New Roman" w:hAnsi="Times New Roman" w:eastAsia="Times New Roman" w:cs="Times New Roman"/>
          <w:sz w:val="17"/>
          <w:szCs w:val="17"/>
        </w:rPr>
        <w:sectPr>
          <w:pgSz w:w="10300" w:h="13310"/>
          <w:pgMar w:top="329" w:right="169" w:bottom="400" w:left="1100" w:header="0" w:footer="0" w:gutter="0"/>
          <w:cols w:equalWidth="0" w:num="2">
            <w:col w:w="8310" w:space="0"/>
            <w:col w:w="720"/>
          </w:cols>
        </w:sectPr>
      </w:pPr>
    </w:p>
    <w:p w14:paraId="271C66FC">
      <w:pPr>
        <w:spacing w:before="66"/>
      </w:pPr>
    </w:p>
    <w:tbl>
      <w:tblPr>
        <w:tblStyle w:val="5"/>
        <w:tblW w:w="8371"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30"/>
        <w:gridCol w:w="1990"/>
        <w:gridCol w:w="5851"/>
      </w:tblGrid>
      <w:tr w14:paraId="206520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371" w:type="dxa"/>
            <w:gridSpan w:val="3"/>
            <w:tcBorders>
              <w:top w:val="nil"/>
              <w:left w:val="nil"/>
              <w:right w:val="nil"/>
            </w:tcBorders>
            <w:vAlign w:val="top"/>
          </w:tcPr>
          <w:p w14:paraId="77F85D08">
            <w:pPr>
              <w:pStyle w:val="6"/>
              <w:spacing w:line="220" w:lineRule="auto"/>
              <w:jc w:val="right"/>
            </w:pPr>
            <w:r>
              <w:rPr>
                <w:spacing w:val="5"/>
              </w:rPr>
              <w:t>(续表)</w:t>
            </w:r>
          </w:p>
        </w:tc>
      </w:tr>
      <w:tr w14:paraId="0A2700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530" w:type="dxa"/>
            <w:tcBorders>
              <w:left w:val="nil"/>
              <w:right w:val="single" w:color="000000" w:sz="4" w:space="0"/>
            </w:tcBorders>
            <w:vAlign w:val="top"/>
          </w:tcPr>
          <w:p w14:paraId="357C9483">
            <w:pPr>
              <w:pStyle w:val="6"/>
              <w:spacing w:before="81" w:line="221" w:lineRule="auto"/>
              <w:ind w:left="72"/>
            </w:pPr>
            <w:r>
              <w:rPr>
                <w:b/>
                <w:bCs/>
                <w:spacing w:val="-4"/>
              </w:rPr>
              <w:t>序号</w:t>
            </w:r>
          </w:p>
        </w:tc>
        <w:tc>
          <w:tcPr>
            <w:tcW w:w="1990" w:type="dxa"/>
            <w:tcBorders>
              <w:left w:val="single" w:color="000000" w:sz="4" w:space="0"/>
              <w:right w:val="single" w:color="000000" w:sz="4" w:space="0"/>
            </w:tcBorders>
            <w:vAlign w:val="top"/>
          </w:tcPr>
          <w:p w14:paraId="3E796890">
            <w:pPr>
              <w:pStyle w:val="6"/>
              <w:spacing w:before="80" w:line="219" w:lineRule="auto"/>
              <w:ind w:left="557"/>
            </w:pPr>
            <w:r>
              <w:rPr>
                <w:b/>
                <w:bCs/>
              </w:rPr>
              <w:t>高风险判例</w:t>
            </w:r>
          </w:p>
        </w:tc>
        <w:tc>
          <w:tcPr>
            <w:tcW w:w="5851" w:type="dxa"/>
            <w:tcBorders>
              <w:left w:val="single" w:color="000000" w:sz="4" w:space="0"/>
              <w:right w:val="nil"/>
            </w:tcBorders>
            <w:vAlign w:val="top"/>
          </w:tcPr>
          <w:p w14:paraId="72A9DCCF">
            <w:pPr>
              <w:pStyle w:val="6"/>
              <w:spacing w:before="80" w:line="219" w:lineRule="auto"/>
              <w:ind w:left="2517"/>
            </w:pPr>
            <w:r>
              <w:rPr>
                <w:b/>
                <w:bCs/>
                <w:spacing w:val="-4"/>
              </w:rPr>
              <w:t>整改建议</w:t>
            </w:r>
          </w:p>
        </w:tc>
      </w:tr>
      <w:tr w14:paraId="6C9BD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530" w:type="dxa"/>
            <w:tcBorders>
              <w:left w:val="nil"/>
              <w:right w:val="single" w:color="000000" w:sz="4" w:space="0"/>
            </w:tcBorders>
            <w:vAlign w:val="top"/>
          </w:tcPr>
          <w:p w14:paraId="771E6FD1">
            <w:pPr>
              <w:spacing w:line="446" w:lineRule="auto"/>
              <w:rPr>
                <w:rFonts w:ascii="Arial"/>
                <w:sz w:val="21"/>
              </w:rPr>
            </w:pPr>
          </w:p>
          <w:p w14:paraId="20E17598">
            <w:pPr>
              <w:pStyle w:val="6"/>
              <w:spacing w:before="62" w:line="184" w:lineRule="auto"/>
              <w:ind w:left="169"/>
            </w:pPr>
            <w:r>
              <w:rPr>
                <w:spacing w:val="-3"/>
              </w:rPr>
              <w:t>31</w:t>
            </w:r>
          </w:p>
        </w:tc>
        <w:tc>
          <w:tcPr>
            <w:tcW w:w="1990" w:type="dxa"/>
            <w:tcBorders>
              <w:left w:val="single" w:color="000000" w:sz="4" w:space="0"/>
              <w:right w:val="single" w:color="000000" w:sz="4" w:space="0"/>
            </w:tcBorders>
            <w:vAlign w:val="top"/>
          </w:tcPr>
          <w:p w14:paraId="0ADCA9AB">
            <w:pPr>
              <w:spacing w:line="397" w:lineRule="auto"/>
              <w:rPr>
                <w:rFonts w:ascii="Arial"/>
                <w:sz w:val="21"/>
              </w:rPr>
            </w:pPr>
          </w:p>
          <w:p w14:paraId="047D38B0">
            <w:pPr>
              <w:pStyle w:val="6"/>
              <w:spacing w:before="62" w:line="219" w:lineRule="auto"/>
              <w:ind w:left="35"/>
            </w:pPr>
            <w:r>
              <w:rPr>
                <w:spacing w:val="-1"/>
              </w:rPr>
              <w:t>应用系统口令策略缺失</w:t>
            </w:r>
          </w:p>
        </w:tc>
        <w:tc>
          <w:tcPr>
            <w:tcW w:w="5851" w:type="dxa"/>
            <w:tcBorders>
              <w:left w:val="single" w:color="000000" w:sz="4" w:space="0"/>
              <w:right w:val="nil"/>
            </w:tcBorders>
            <w:vAlign w:val="top"/>
          </w:tcPr>
          <w:p w14:paraId="6AB9F9F0">
            <w:pPr>
              <w:pStyle w:val="6"/>
              <w:spacing w:before="62" w:line="263" w:lineRule="auto"/>
              <w:ind w:left="44" w:right="109"/>
            </w:pPr>
            <w:r>
              <w:t>建议应用系统对用户口令长度、复杂度进行</w:t>
            </w:r>
            <w:r>
              <w:rPr>
                <w:spacing w:val="-1"/>
              </w:rPr>
              <w:t>校验，如要求用户口令长</w:t>
            </w:r>
            <w:r>
              <w:t xml:space="preserve"> </w:t>
            </w:r>
            <w:r>
              <w:rPr>
                <w:spacing w:val="3"/>
              </w:rPr>
              <w:t>度至少为8位，由数字、字母或特殊字符中的两种组成；对</w:t>
            </w:r>
            <w:r>
              <w:rPr>
                <w:spacing w:val="2"/>
              </w:rPr>
              <w:t>于</w:t>
            </w:r>
            <w:r>
              <w:t>PIN</w:t>
            </w:r>
            <w:r>
              <w:rPr>
                <w:spacing w:val="2"/>
              </w:rPr>
              <w:t>码</w:t>
            </w:r>
            <w:r>
              <w:t xml:space="preserve">  等特殊用途的口令，应设置弱口令库，通过对</w:t>
            </w:r>
            <w:r>
              <w:rPr>
                <w:spacing w:val="-1"/>
              </w:rPr>
              <w:t>比方式，提高用户口令</w:t>
            </w:r>
          </w:p>
          <w:p w14:paraId="7D432288">
            <w:pPr>
              <w:pStyle w:val="6"/>
              <w:spacing w:before="9" w:line="214" w:lineRule="auto"/>
              <w:ind w:left="14"/>
            </w:pPr>
            <w:r>
              <w:rPr>
                <w:spacing w:val="-3"/>
              </w:rPr>
              <w:t>质量</w:t>
            </w:r>
          </w:p>
        </w:tc>
      </w:tr>
      <w:tr w14:paraId="3F0E1B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trPr>
        <w:tc>
          <w:tcPr>
            <w:tcW w:w="530" w:type="dxa"/>
            <w:tcBorders>
              <w:left w:val="nil"/>
              <w:right w:val="single" w:color="000000" w:sz="4" w:space="0"/>
            </w:tcBorders>
            <w:vAlign w:val="top"/>
          </w:tcPr>
          <w:p w14:paraId="430418C6">
            <w:pPr>
              <w:pStyle w:val="6"/>
              <w:spacing w:before="253" w:line="183" w:lineRule="auto"/>
              <w:ind w:left="169"/>
            </w:pPr>
            <w:r>
              <w:rPr>
                <w:spacing w:val="-3"/>
              </w:rPr>
              <w:t>32</w:t>
            </w:r>
          </w:p>
        </w:tc>
        <w:tc>
          <w:tcPr>
            <w:tcW w:w="1990" w:type="dxa"/>
            <w:tcBorders>
              <w:left w:val="single" w:color="000000" w:sz="4" w:space="0"/>
              <w:right w:val="single" w:color="000000" w:sz="4" w:space="0"/>
            </w:tcBorders>
            <w:vAlign w:val="top"/>
          </w:tcPr>
          <w:p w14:paraId="4C4727B0">
            <w:pPr>
              <w:pStyle w:val="6"/>
              <w:spacing w:before="203" w:line="219" w:lineRule="auto"/>
              <w:ind w:left="35"/>
            </w:pPr>
            <w:r>
              <w:rPr>
                <w:spacing w:val="-1"/>
              </w:rPr>
              <w:t>应用系统存在弱口令</w:t>
            </w:r>
          </w:p>
        </w:tc>
        <w:tc>
          <w:tcPr>
            <w:tcW w:w="5851" w:type="dxa"/>
            <w:tcBorders>
              <w:left w:val="single" w:color="000000" w:sz="4" w:space="0"/>
              <w:right w:val="nil"/>
            </w:tcBorders>
            <w:vAlign w:val="top"/>
          </w:tcPr>
          <w:p w14:paraId="3B84CCB8">
            <w:pPr>
              <w:pStyle w:val="6"/>
              <w:spacing w:before="62" w:line="249" w:lineRule="auto"/>
              <w:ind w:left="63" w:hanging="49"/>
            </w:pPr>
            <w:r>
              <w:rPr>
                <w:spacing w:val="-5"/>
              </w:rPr>
              <w:t>建议应用系统通过口令长度、复杂度校验、常用/弱口令库比对等方式，</w:t>
            </w:r>
            <w:r>
              <w:rPr>
                <w:spacing w:val="5"/>
              </w:rPr>
              <w:t xml:space="preserve"> </w:t>
            </w:r>
            <w:r>
              <w:rPr>
                <w:spacing w:val="-2"/>
              </w:rPr>
              <w:t>提高应用系统口令质量</w:t>
            </w:r>
          </w:p>
        </w:tc>
      </w:tr>
      <w:tr w14:paraId="3BF68B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530" w:type="dxa"/>
            <w:tcBorders>
              <w:left w:val="nil"/>
              <w:right w:val="single" w:color="000000" w:sz="4" w:space="0"/>
            </w:tcBorders>
            <w:vAlign w:val="top"/>
          </w:tcPr>
          <w:p w14:paraId="7D68A97D">
            <w:pPr>
              <w:pStyle w:val="6"/>
              <w:spacing w:before="243" w:line="183" w:lineRule="auto"/>
              <w:ind w:left="169"/>
            </w:pPr>
            <w:r>
              <w:rPr>
                <w:spacing w:val="-3"/>
              </w:rPr>
              <w:t>33</w:t>
            </w:r>
          </w:p>
        </w:tc>
        <w:tc>
          <w:tcPr>
            <w:tcW w:w="1990" w:type="dxa"/>
            <w:tcBorders>
              <w:left w:val="single" w:color="000000" w:sz="4" w:space="0"/>
              <w:right w:val="single" w:color="000000" w:sz="4" w:space="0"/>
            </w:tcBorders>
            <w:vAlign w:val="top"/>
          </w:tcPr>
          <w:p w14:paraId="00397B07">
            <w:pPr>
              <w:pStyle w:val="6"/>
              <w:spacing w:before="63" w:line="239" w:lineRule="auto"/>
              <w:ind w:left="35" w:right="52"/>
            </w:pPr>
            <w:r>
              <w:rPr>
                <w:spacing w:val="-1"/>
              </w:rPr>
              <w:t>应用系统口令暴力破解</w:t>
            </w:r>
            <w:r>
              <w:rPr>
                <w:spacing w:val="1"/>
              </w:rPr>
              <w:t xml:space="preserve"> 防范机制缺失</w:t>
            </w:r>
          </w:p>
        </w:tc>
        <w:tc>
          <w:tcPr>
            <w:tcW w:w="5851" w:type="dxa"/>
            <w:tcBorders>
              <w:left w:val="single" w:color="000000" w:sz="4" w:space="0"/>
              <w:right w:val="nil"/>
            </w:tcBorders>
            <w:vAlign w:val="top"/>
          </w:tcPr>
          <w:p w14:paraId="65B63110">
            <w:pPr>
              <w:pStyle w:val="6"/>
              <w:spacing w:before="61"/>
              <w:ind w:left="74" w:right="140" w:firstLine="9"/>
            </w:pPr>
            <w:r>
              <w:t>建议应用系统提供登录失败处理功能(如账户或登录地址锁定等),防</w:t>
            </w:r>
            <w:r>
              <w:rPr>
                <w:spacing w:val="14"/>
              </w:rPr>
              <w:t xml:space="preserve"> </w:t>
            </w:r>
            <w:r>
              <w:rPr>
                <w:spacing w:val="-1"/>
              </w:rPr>
              <w:t>止攻击者进行口令暴力破解</w:t>
            </w:r>
          </w:p>
        </w:tc>
      </w:tr>
      <w:tr w14:paraId="7E9EE8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trPr>
        <w:tc>
          <w:tcPr>
            <w:tcW w:w="530" w:type="dxa"/>
            <w:tcBorders>
              <w:left w:val="nil"/>
              <w:right w:val="single" w:color="000000" w:sz="4" w:space="0"/>
            </w:tcBorders>
            <w:vAlign w:val="top"/>
          </w:tcPr>
          <w:p w14:paraId="1EE11BEE">
            <w:pPr>
              <w:pStyle w:val="6"/>
              <w:spacing w:before="253" w:line="183" w:lineRule="auto"/>
              <w:ind w:left="169"/>
            </w:pPr>
            <w:r>
              <w:rPr>
                <w:spacing w:val="-3"/>
              </w:rPr>
              <w:t>34</w:t>
            </w:r>
          </w:p>
        </w:tc>
        <w:tc>
          <w:tcPr>
            <w:tcW w:w="1990" w:type="dxa"/>
            <w:tcBorders>
              <w:left w:val="single" w:color="000000" w:sz="4" w:space="0"/>
              <w:right w:val="single" w:color="000000" w:sz="4" w:space="0"/>
            </w:tcBorders>
            <w:vAlign w:val="top"/>
          </w:tcPr>
          <w:p w14:paraId="18C3A6AF">
            <w:pPr>
              <w:pStyle w:val="6"/>
              <w:spacing w:before="64" w:line="248" w:lineRule="auto"/>
              <w:ind w:left="35" w:right="52"/>
            </w:pPr>
            <w:r>
              <w:rPr>
                <w:spacing w:val="-1"/>
              </w:rPr>
              <w:t>应用系统鉴别信息明文</w:t>
            </w:r>
            <w:r>
              <w:rPr>
                <w:spacing w:val="1"/>
              </w:rPr>
              <w:t xml:space="preserve"> </w:t>
            </w:r>
            <w:r>
              <w:rPr>
                <w:spacing w:val="-2"/>
              </w:rPr>
              <w:t>传输</w:t>
            </w:r>
          </w:p>
        </w:tc>
        <w:tc>
          <w:tcPr>
            <w:tcW w:w="5851" w:type="dxa"/>
            <w:tcBorders>
              <w:left w:val="single" w:color="000000" w:sz="4" w:space="0"/>
              <w:right w:val="nil"/>
            </w:tcBorders>
            <w:vAlign w:val="top"/>
          </w:tcPr>
          <w:p w14:paraId="0AA54A12">
            <w:pPr>
              <w:pStyle w:val="6"/>
              <w:spacing w:before="72" w:line="244" w:lineRule="auto"/>
              <w:ind w:left="63" w:hanging="49"/>
            </w:pPr>
            <w:r>
              <w:rPr>
                <w:spacing w:val="-2"/>
              </w:rPr>
              <w:t>互联网可访问的应用系统，建议用户身份鉴别信息采用加密方式传输，</w:t>
            </w:r>
            <w:r>
              <w:rPr>
                <w:spacing w:val="2"/>
              </w:rPr>
              <w:t xml:space="preserve"> </w:t>
            </w:r>
            <w:r>
              <w:rPr>
                <w:spacing w:val="-1"/>
              </w:rPr>
              <w:t>防止鉴别信息在网络传输过程中被窃听</w:t>
            </w:r>
          </w:p>
        </w:tc>
      </w:tr>
      <w:tr w14:paraId="5836A5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530" w:type="dxa"/>
            <w:tcBorders>
              <w:left w:val="nil"/>
              <w:right w:val="single" w:color="000000" w:sz="4" w:space="0"/>
            </w:tcBorders>
            <w:vAlign w:val="top"/>
          </w:tcPr>
          <w:p w14:paraId="395B276F">
            <w:pPr>
              <w:spacing w:line="319" w:lineRule="auto"/>
              <w:rPr>
                <w:rFonts w:ascii="Arial"/>
                <w:sz w:val="21"/>
              </w:rPr>
            </w:pPr>
          </w:p>
          <w:p w14:paraId="7C39EC3B">
            <w:pPr>
              <w:pStyle w:val="6"/>
              <w:spacing w:before="62" w:line="183" w:lineRule="auto"/>
              <w:ind w:left="169"/>
            </w:pPr>
            <w:r>
              <w:rPr>
                <w:spacing w:val="-3"/>
              </w:rPr>
              <w:t>35</w:t>
            </w:r>
          </w:p>
        </w:tc>
        <w:tc>
          <w:tcPr>
            <w:tcW w:w="1990" w:type="dxa"/>
            <w:tcBorders>
              <w:left w:val="single" w:color="000000" w:sz="4" w:space="0"/>
              <w:right w:val="single" w:color="000000" w:sz="4" w:space="0"/>
            </w:tcBorders>
            <w:vAlign w:val="top"/>
          </w:tcPr>
          <w:p w14:paraId="7373694E">
            <w:pPr>
              <w:pStyle w:val="6"/>
              <w:spacing w:before="202" w:line="250" w:lineRule="auto"/>
              <w:ind w:left="35" w:right="30"/>
            </w:pPr>
            <w:r>
              <w:rPr>
                <w:spacing w:val="1"/>
              </w:rPr>
              <w:t>应用系统未采用多种身</w:t>
            </w:r>
            <w:r>
              <w:rPr>
                <w:spacing w:val="3"/>
              </w:rPr>
              <w:t xml:space="preserve"> </w:t>
            </w:r>
            <w:r>
              <w:rPr>
                <w:spacing w:val="-2"/>
              </w:rPr>
              <w:t>份鉴别技术</w:t>
            </w:r>
          </w:p>
        </w:tc>
        <w:tc>
          <w:tcPr>
            <w:tcW w:w="5851" w:type="dxa"/>
            <w:tcBorders>
              <w:left w:val="single" w:color="000000" w:sz="4" w:space="0"/>
              <w:right w:val="nil"/>
            </w:tcBorders>
            <w:vAlign w:val="top"/>
          </w:tcPr>
          <w:p w14:paraId="1C3D0A2B">
            <w:pPr>
              <w:pStyle w:val="6"/>
              <w:spacing w:before="52" w:line="253" w:lineRule="auto"/>
              <w:ind w:left="14" w:right="51"/>
              <w:jc w:val="both"/>
            </w:pPr>
            <w:r>
              <w:rPr>
                <w:spacing w:val="-4"/>
              </w:rPr>
              <w:t>建议应用系统增加除用户名、口令以外的身份鉴别技术，如基于密码技</w:t>
            </w:r>
            <w:r>
              <w:rPr>
                <w:spacing w:val="10"/>
              </w:rPr>
              <w:t xml:space="preserve"> </w:t>
            </w:r>
            <w:r>
              <w:rPr>
                <w:spacing w:val="-4"/>
              </w:rPr>
              <w:t>术的动态口令或令牌、生物鉴别方式等，使用多种鉴别技术进行身份鉴</w:t>
            </w:r>
            <w:r>
              <w:rPr>
                <w:spacing w:val="12"/>
              </w:rPr>
              <w:t xml:space="preserve"> </w:t>
            </w:r>
            <w:r>
              <w:rPr>
                <w:spacing w:val="3"/>
              </w:rPr>
              <w:t>别，增强身份鉴别的安全力度</w:t>
            </w:r>
          </w:p>
        </w:tc>
      </w:tr>
      <w:tr w14:paraId="6E0AD7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530" w:type="dxa"/>
            <w:tcBorders>
              <w:left w:val="nil"/>
              <w:right w:val="single" w:color="000000" w:sz="4" w:space="0"/>
            </w:tcBorders>
            <w:vAlign w:val="top"/>
          </w:tcPr>
          <w:p w14:paraId="0E806AF6">
            <w:pPr>
              <w:pStyle w:val="6"/>
              <w:spacing w:before="243" w:line="183" w:lineRule="auto"/>
              <w:ind w:left="169"/>
            </w:pPr>
            <w:r>
              <w:rPr>
                <w:spacing w:val="-3"/>
              </w:rPr>
              <w:t>36</w:t>
            </w:r>
          </w:p>
        </w:tc>
        <w:tc>
          <w:tcPr>
            <w:tcW w:w="1990" w:type="dxa"/>
            <w:tcBorders>
              <w:left w:val="single" w:color="000000" w:sz="4" w:space="0"/>
              <w:right w:val="single" w:color="000000" w:sz="4" w:space="0"/>
            </w:tcBorders>
            <w:vAlign w:val="top"/>
          </w:tcPr>
          <w:p w14:paraId="57E8D545">
            <w:pPr>
              <w:pStyle w:val="6"/>
              <w:spacing w:before="83" w:line="229" w:lineRule="auto"/>
              <w:ind w:left="35" w:right="232" w:firstLine="9"/>
            </w:pPr>
            <w:r>
              <w:rPr>
                <w:spacing w:val="-1"/>
              </w:rPr>
              <w:t>应用系统默认口令未</w:t>
            </w:r>
            <w:r>
              <w:t xml:space="preserve"> </w:t>
            </w:r>
            <w:r>
              <w:rPr>
                <w:spacing w:val="-2"/>
              </w:rPr>
              <w:t>修改</w:t>
            </w:r>
          </w:p>
        </w:tc>
        <w:tc>
          <w:tcPr>
            <w:tcW w:w="5851" w:type="dxa"/>
            <w:tcBorders>
              <w:left w:val="single" w:color="000000" w:sz="4" w:space="0"/>
              <w:right w:val="nil"/>
            </w:tcBorders>
            <w:vAlign w:val="top"/>
          </w:tcPr>
          <w:p w14:paraId="0876B7AD">
            <w:pPr>
              <w:pStyle w:val="6"/>
              <w:spacing w:before="63" w:line="239" w:lineRule="auto"/>
              <w:ind w:left="43" w:right="52" w:hanging="29"/>
            </w:pPr>
            <w:r>
              <w:rPr>
                <w:spacing w:val="-4"/>
              </w:rPr>
              <w:t>建议应用系统重命名或删除默认管理员账户，修改默认密码，使其具备</w:t>
            </w:r>
            <w:r>
              <w:rPr>
                <w:spacing w:val="11"/>
              </w:rPr>
              <w:t xml:space="preserve"> </w:t>
            </w:r>
            <w:r>
              <w:rPr>
                <w:spacing w:val="-1"/>
              </w:rPr>
              <w:t>一定的强度，增强账户安全性</w:t>
            </w:r>
          </w:p>
        </w:tc>
      </w:tr>
      <w:tr w14:paraId="10132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trPr>
        <w:tc>
          <w:tcPr>
            <w:tcW w:w="530" w:type="dxa"/>
            <w:tcBorders>
              <w:left w:val="nil"/>
              <w:right w:val="single" w:color="000000" w:sz="4" w:space="0"/>
            </w:tcBorders>
            <w:vAlign w:val="top"/>
          </w:tcPr>
          <w:p w14:paraId="35CDB391">
            <w:pPr>
              <w:pStyle w:val="6"/>
              <w:spacing w:before="253" w:line="183" w:lineRule="auto"/>
              <w:ind w:left="169"/>
            </w:pPr>
            <w:r>
              <w:rPr>
                <w:spacing w:val="-3"/>
              </w:rPr>
              <w:t>37</w:t>
            </w:r>
          </w:p>
        </w:tc>
        <w:tc>
          <w:tcPr>
            <w:tcW w:w="1990" w:type="dxa"/>
            <w:tcBorders>
              <w:left w:val="single" w:color="000000" w:sz="4" w:space="0"/>
              <w:right w:val="single" w:color="000000" w:sz="4" w:space="0"/>
            </w:tcBorders>
            <w:vAlign w:val="top"/>
          </w:tcPr>
          <w:p w14:paraId="5D3A06EA">
            <w:pPr>
              <w:pStyle w:val="6"/>
              <w:spacing w:before="74" w:line="243" w:lineRule="auto"/>
              <w:ind w:left="35" w:right="28"/>
            </w:pPr>
            <w:r>
              <w:rPr>
                <w:spacing w:val="1"/>
              </w:rPr>
              <w:t>应用系统访问控制机制</w:t>
            </w:r>
            <w:r>
              <w:rPr>
                <w:spacing w:val="5"/>
              </w:rPr>
              <w:t xml:space="preserve"> </w:t>
            </w:r>
            <w:r>
              <w:rPr>
                <w:spacing w:val="3"/>
              </w:rPr>
              <w:t>存在缺陷</w:t>
            </w:r>
          </w:p>
        </w:tc>
        <w:tc>
          <w:tcPr>
            <w:tcW w:w="5851" w:type="dxa"/>
            <w:tcBorders>
              <w:left w:val="single" w:color="000000" w:sz="4" w:space="0"/>
              <w:right w:val="nil"/>
            </w:tcBorders>
            <w:vAlign w:val="top"/>
          </w:tcPr>
          <w:p w14:paraId="1BAF4D07">
            <w:pPr>
              <w:pStyle w:val="6"/>
              <w:spacing w:before="85" w:line="238" w:lineRule="auto"/>
              <w:ind w:left="53" w:hanging="39"/>
            </w:pPr>
            <w:r>
              <w:rPr>
                <w:spacing w:val="-8"/>
              </w:rPr>
              <w:t>建议完善访问控制措施，对系统重要页面、功能模块重新进行身份鉴别、</w:t>
            </w:r>
            <w:r>
              <w:rPr>
                <w:spacing w:val="6"/>
              </w:rPr>
              <w:t xml:space="preserve"> </w:t>
            </w:r>
            <w:r>
              <w:rPr>
                <w:spacing w:val="-2"/>
              </w:rPr>
              <w:t>权限校验，确保应用系统不存在访问控制失效情况</w:t>
            </w:r>
          </w:p>
        </w:tc>
      </w:tr>
      <w:tr w14:paraId="2C4C84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530" w:type="dxa"/>
            <w:tcBorders>
              <w:left w:val="nil"/>
              <w:right w:val="single" w:color="000000" w:sz="4" w:space="0"/>
            </w:tcBorders>
            <w:vAlign w:val="top"/>
          </w:tcPr>
          <w:p w14:paraId="68608EF5">
            <w:pPr>
              <w:pStyle w:val="6"/>
              <w:spacing w:before="243" w:line="183" w:lineRule="auto"/>
              <w:ind w:left="169"/>
            </w:pPr>
            <w:r>
              <w:rPr>
                <w:spacing w:val="-3"/>
              </w:rPr>
              <w:t>38</w:t>
            </w:r>
          </w:p>
        </w:tc>
        <w:tc>
          <w:tcPr>
            <w:tcW w:w="1990" w:type="dxa"/>
            <w:tcBorders>
              <w:left w:val="single" w:color="000000" w:sz="4" w:space="0"/>
              <w:right w:val="single" w:color="000000" w:sz="4" w:space="0"/>
            </w:tcBorders>
            <w:vAlign w:val="top"/>
          </w:tcPr>
          <w:p w14:paraId="15967821">
            <w:pPr>
              <w:pStyle w:val="6"/>
              <w:spacing w:before="44" w:line="248" w:lineRule="auto"/>
              <w:ind w:left="35" w:right="52"/>
            </w:pPr>
            <w:r>
              <w:rPr>
                <w:spacing w:val="-1"/>
              </w:rPr>
              <w:t>应用系统安全审计措施</w:t>
            </w:r>
            <w:r>
              <w:rPr>
                <w:spacing w:val="1"/>
              </w:rPr>
              <w:t xml:space="preserve"> </w:t>
            </w:r>
            <w:r>
              <w:rPr>
                <w:spacing w:val="-2"/>
              </w:rPr>
              <w:t>缺失</w:t>
            </w:r>
          </w:p>
        </w:tc>
        <w:tc>
          <w:tcPr>
            <w:tcW w:w="5851" w:type="dxa"/>
            <w:tcBorders>
              <w:left w:val="single" w:color="000000" w:sz="4" w:space="0"/>
              <w:right w:val="nil"/>
            </w:tcBorders>
            <w:vAlign w:val="top"/>
          </w:tcPr>
          <w:p w14:paraId="791ADCEF">
            <w:pPr>
              <w:pStyle w:val="6"/>
              <w:spacing w:before="54" w:line="243" w:lineRule="auto"/>
              <w:ind w:left="63" w:right="44" w:hanging="49"/>
            </w:pPr>
            <w:r>
              <w:rPr>
                <w:spacing w:val="-3"/>
              </w:rPr>
              <w:t>建议应用系统完善审计模块，对重要用户操</w:t>
            </w:r>
            <w:r>
              <w:rPr>
                <w:spacing w:val="-4"/>
              </w:rPr>
              <w:t>作、行为进行日志审计，审</w:t>
            </w:r>
            <w:r>
              <w:t xml:space="preserve"> </w:t>
            </w:r>
            <w:r>
              <w:rPr>
                <w:spacing w:val="-5"/>
              </w:rPr>
              <w:t>计范围不仅针对前端用户的操作、行为，也包括后台管理员的</w:t>
            </w:r>
            <w:r>
              <w:rPr>
                <w:spacing w:val="-6"/>
              </w:rPr>
              <w:t>重要操作</w:t>
            </w:r>
          </w:p>
        </w:tc>
      </w:tr>
      <w:tr w14:paraId="675FBB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4" w:hRule="atLeast"/>
        </w:trPr>
        <w:tc>
          <w:tcPr>
            <w:tcW w:w="530" w:type="dxa"/>
            <w:tcBorders>
              <w:left w:val="nil"/>
              <w:right w:val="single" w:color="000000" w:sz="4" w:space="0"/>
            </w:tcBorders>
            <w:vAlign w:val="top"/>
          </w:tcPr>
          <w:p w14:paraId="0A71CC97">
            <w:pPr>
              <w:spacing w:line="309" w:lineRule="auto"/>
              <w:rPr>
                <w:rFonts w:ascii="Arial"/>
                <w:sz w:val="21"/>
              </w:rPr>
            </w:pPr>
          </w:p>
          <w:p w14:paraId="48613FC0">
            <w:pPr>
              <w:pStyle w:val="6"/>
              <w:spacing w:before="62" w:line="183" w:lineRule="auto"/>
              <w:ind w:left="169"/>
            </w:pPr>
            <w:r>
              <w:rPr>
                <w:spacing w:val="-3"/>
              </w:rPr>
              <w:t>39</w:t>
            </w:r>
          </w:p>
        </w:tc>
        <w:tc>
          <w:tcPr>
            <w:tcW w:w="1990" w:type="dxa"/>
            <w:tcBorders>
              <w:left w:val="single" w:color="000000" w:sz="4" w:space="0"/>
              <w:right w:val="single" w:color="000000" w:sz="4" w:space="0"/>
            </w:tcBorders>
            <w:vAlign w:val="top"/>
          </w:tcPr>
          <w:p w14:paraId="663265CB">
            <w:pPr>
              <w:pStyle w:val="6"/>
              <w:spacing w:before="194" w:line="250" w:lineRule="auto"/>
              <w:ind w:left="35" w:right="52"/>
            </w:pPr>
            <w:r>
              <w:rPr>
                <w:spacing w:val="-1"/>
              </w:rPr>
              <w:t>应用系统审计记录不满</w:t>
            </w:r>
            <w:r>
              <w:rPr>
                <w:spacing w:val="1"/>
              </w:rPr>
              <w:t xml:space="preserve"> </w:t>
            </w:r>
            <w:r>
              <w:rPr>
                <w:spacing w:val="-2"/>
              </w:rPr>
              <w:t>足保护要求</w:t>
            </w:r>
          </w:p>
        </w:tc>
        <w:tc>
          <w:tcPr>
            <w:tcW w:w="5851" w:type="dxa"/>
            <w:tcBorders>
              <w:left w:val="single" w:color="000000" w:sz="4" w:space="0"/>
              <w:right w:val="nil"/>
            </w:tcBorders>
            <w:vAlign w:val="top"/>
          </w:tcPr>
          <w:p w14:paraId="5C369C56">
            <w:pPr>
              <w:pStyle w:val="6"/>
              <w:spacing w:before="54" w:line="246" w:lineRule="auto"/>
              <w:ind w:left="14" w:right="44"/>
              <w:jc w:val="both"/>
            </w:pPr>
            <w:r>
              <w:rPr>
                <w:spacing w:val="-4"/>
              </w:rPr>
              <w:t>建议对应用系统重要操作类、安全类等日志进行妥善保存，避免受到非</w:t>
            </w:r>
            <w:r>
              <w:rPr>
                <w:spacing w:val="10"/>
              </w:rPr>
              <w:t xml:space="preserve"> </w:t>
            </w:r>
            <w:r>
              <w:t>预期的删除、修改或覆盖等，留存时间不少于6</w:t>
            </w:r>
            <w:r>
              <w:rPr>
                <w:spacing w:val="-1"/>
              </w:rPr>
              <w:t>个月，应符合法律法规</w:t>
            </w:r>
            <w:r>
              <w:t xml:space="preserve"> </w:t>
            </w:r>
            <w:r>
              <w:rPr>
                <w:spacing w:val="9"/>
              </w:rPr>
              <w:t>的相关要求</w:t>
            </w:r>
          </w:p>
        </w:tc>
      </w:tr>
      <w:tr w14:paraId="59299A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530" w:type="dxa"/>
            <w:tcBorders>
              <w:left w:val="nil"/>
              <w:right w:val="single" w:color="000000" w:sz="4" w:space="0"/>
            </w:tcBorders>
            <w:vAlign w:val="top"/>
          </w:tcPr>
          <w:p w14:paraId="1CB90E87">
            <w:pPr>
              <w:pStyle w:val="6"/>
              <w:spacing w:before="244" w:line="183" w:lineRule="auto"/>
              <w:ind w:left="169"/>
            </w:pPr>
            <w:r>
              <w:rPr>
                <w:spacing w:val="-2"/>
              </w:rPr>
              <w:t>40</w:t>
            </w:r>
          </w:p>
        </w:tc>
        <w:tc>
          <w:tcPr>
            <w:tcW w:w="1990" w:type="dxa"/>
            <w:tcBorders>
              <w:left w:val="single" w:color="000000" w:sz="4" w:space="0"/>
              <w:right w:val="single" w:color="000000" w:sz="4" w:space="0"/>
            </w:tcBorders>
            <w:vAlign w:val="top"/>
          </w:tcPr>
          <w:p w14:paraId="284C5436">
            <w:pPr>
              <w:pStyle w:val="6"/>
              <w:spacing w:before="54" w:line="243" w:lineRule="auto"/>
              <w:ind w:left="35" w:right="52"/>
            </w:pPr>
            <w:r>
              <w:rPr>
                <w:spacing w:val="-1"/>
              </w:rPr>
              <w:t>应用系统数据有效性检</w:t>
            </w:r>
            <w:r>
              <w:rPr>
                <w:spacing w:val="1"/>
              </w:rPr>
              <w:t xml:space="preserve"> </w:t>
            </w:r>
            <w:r>
              <w:rPr>
                <w:spacing w:val="-2"/>
              </w:rPr>
              <w:t>验功能缺失</w:t>
            </w:r>
          </w:p>
        </w:tc>
        <w:tc>
          <w:tcPr>
            <w:tcW w:w="5851" w:type="dxa"/>
            <w:tcBorders>
              <w:left w:val="single" w:color="000000" w:sz="4" w:space="0"/>
              <w:right w:val="nil"/>
            </w:tcBorders>
            <w:vAlign w:val="top"/>
          </w:tcPr>
          <w:p w14:paraId="469909F6">
            <w:pPr>
              <w:pStyle w:val="6"/>
              <w:spacing w:before="65" w:line="238" w:lineRule="auto"/>
              <w:ind w:left="53" w:right="53" w:hanging="39"/>
            </w:pPr>
            <w:r>
              <w:rPr>
                <w:spacing w:val="-4"/>
              </w:rPr>
              <w:t>建议修改应用系统代码，对输入数据的格式、长度、特殊字符进行校验</w:t>
            </w:r>
            <w:r>
              <w:rPr>
                <w:spacing w:val="10"/>
              </w:rPr>
              <w:t xml:space="preserve"> </w:t>
            </w:r>
            <w:r>
              <w:rPr>
                <w:spacing w:val="-1"/>
              </w:rPr>
              <w:t>和必要的过滤，提高应用系统的安全性，防止相关漏洞的出现</w:t>
            </w:r>
          </w:p>
        </w:tc>
      </w:tr>
      <w:tr w14:paraId="465815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4" w:hRule="atLeast"/>
        </w:trPr>
        <w:tc>
          <w:tcPr>
            <w:tcW w:w="530" w:type="dxa"/>
            <w:tcBorders>
              <w:left w:val="nil"/>
              <w:right w:val="single" w:color="000000" w:sz="4" w:space="0"/>
            </w:tcBorders>
            <w:vAlign w:val="top"/>
          </w:tcPr>
          <w:p w14:paraId="18E69A8C">
            <w:pPr>
              <w:spacing w:line="309" w:lineRule="auto"/>
              <w:rPr>
                <w:rFonts w:ascii="Arial"/>
                <w:sz w:val="21"/>
              </w:rPr>
            </w:pPr>
          </w:p>
          <w:p w14:paraId="46C61205">
            <w:pPr>
              <w:pStyle w:val="6"/>
              <w:spacing w:before="62" w:line="184" w:lineRule="auto"/>
              <w:ind w:left="169"/>
            </w:pPr>
            <w:r>
              <w:rPr>
                <w:spacing w:val="-2"/>
              </w:rPr>
              <w:t>41</w:t>
            </w:r>
          </w:p>
        </w:tc>
        <w:tc>
          <w:tcPr>
            <w:tcW w:w="1990" w:type="dxa"/>
            <w:tcBorders>
              <w:left w:val="single" w:color="000000" w:sz="4" w:space="0"/>
              <w:right w:val="single" w:color="000000" w:sz="4" w:space="0"/>
            </w:tcBorders>
            <w:vAlign w:val="top"/>
          </w:tcPr>
          <w:p w14:paraId="610E6A04">
            <w:pPr>
              <w:pStyle w:val="6"/>
              <w:spacing w:before="215" w:line="231" w:lineRule="auto"/>
              <w:ind w:left="35" w:right="21"/>
            </w:pPr>
            <w:r>
              <w:rPr>
                <w:spacing w:val="2"/>
              </w:rPr>
              <w:t>应用系统存在可被利用 的高危漏洞</w:t>
            </w:r>
          </w:p>
        </w:tc>
        <w:tc>
          <w:tcPr>
            <w:tcW w:w="5851" w:type="dxa"/>
            <w:tcBorders>
              <w:left w:val="single" w:color="000000" w:sz="4" w:space="0"/>
              <w:right w:val="nil"/>
            </w:tcBorders>
            <w:vAlign w:val="top"/>
          </w:tcPr>
          <w:p w14:paraId="57A4C8B9">
            <w:pPr>
              <w:pStyle w:val="6"/>
              <w:spacing w:before="63" w:line="243" w:lineRule="auto"/>
              <w:ind w:left="14" w:right="44"/>
              <w:jc w:val="both"/>
            </w:pPr>
            <w:r>
              <w:rPr>
                <w:spacing w:val="-4"/>
              </w:rPr>
              <w:t>建议运用漏洞扫描、渗透测试等技术，定期对应用系统进行检测，对可</w:t>
            </w:r>
            <w:r>
              <w:rPr>
                <w:spacing w:val="10"/>
              </w:rPr>
              <w:t xml:space="preserve"> </w:t>
            </w:r>
            <w:r>
              <w:rPr>
                <w:spacing w:val="-3"/>
              </w:rPr>
              <w:t>能存在的已知漏洞、逻辑漏洞，在充分测试</w:t>
            </w:r>
            <w:r>
              <w:rPr>
                <w:spacing w:val="-4"/>
              </w:rPr>
              <w:t>评估后及时进行修补，减少</w:t>
            </w:r>
            <w:r>
              <w:t xml:space="preserve"> </w:t>
            </w:r>
            <w:r>
              <w:rPr>
                <w:spacing w:val="4"/>
              </w:rPr>
              <w:t>安全隐患</w:t>
            </w:r>
          </w:p>
        </w:tc>
      </w:tr>
      <w:tr w14:paraId="30E69A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5" w:hRule="atLeast"/>
        </w:trPr>
        <w:tc>
          <w:tcPr>
            <w:tcW w:w="530" w:type="dxa"/>
            <w:tcBorders>
              <w:left w:val="nil"/>
              <w:right w:val="single" w:color="000000" w:sz="4" w:space="0"/>
            </w:tcBorders>
            <w:vAlign w:val="top"/>
          </w:tcPr>
          <w:p w14:paraId="3EBC711A">
            <w:pPr>
              <w:pStyle w:val="6"/>
              <w:spacing w:before="235" w:line="183" w:lineRule="auto"/>
              <w:ind w:left="169"/>
            </w:pPr>
            <w:r>
              <w:rPr>
                <w:spacing w:val="-2"/>
              </w:rPr>
              <w:t>42</w:t>
            </w:r>
          </w:p>
        </w:tc>
        <w:tc>
          <w:tcPr>
            <w:tcW w:w="1990" w:type="dxa"/>
            <w:tcBorders>
              <w:left w:val="single" w:color="000000" w:sz="4" w:space="0"/>
              <w:right w:val="single" w:color="000000" w:sz="4" w:space="0"/>
            </w:tcBorders>
            <w:vAlign w:val="top"/>
          </w:tcPr>
          <w:p w14:paraId="1DF4B028">
            <w:pPr>
              <w:pStyle w:val="6"/>
              <w:spacing w:before="65" w:line="233" w:lineRule="auto"/>
              <w:ind w:left="35" w:right="53"/>
            </w:pPr>
            <w:r>
              <w:rPr>
                <w:spacing w:val="-1"/>
              </w:rPr>
              <w:t>重要数据存储保密性保</w:t>
            </w:r>
            <w:r>
              <w:t xml:space="preserve"> </w:t>
            </w:r>
            <w:r>
              <w:rPr>
                <w:spacing w:val="-2"/>
              </w:rPr>
              <w:t>护措施缺失</w:t>
            </w:r>
          </w:p>
        </w:tc>
        <w:tc>
          <w:tcPr>
            <w:tcW w:w="5851" w:type="dxa"/>
            <w:tcBorders>
              <w:left w:val="single" w:color="000000" w:sz="4" w:space="0"/>
              <w:right w:val="nil"/>
            </w:tcBorders>
            <w:vAlign w:val="top"/>
          </w:tcPr>
          <w:p w14:paraId="7208E96D">
            <w:pPr>
              <w:pStyle w:val="6"/>
              <w:spacing w:before="65" w:line="233" w:lineRule="auto"/>
              <w:ind w:left="53" w:right="53" w:hanging="39"/>
            </w:pPr>
            <w:r>
              <w:rPr>
                <w:spacing w:val="-4"/>
              </w:rPr>
              <w:t>建议采用密码技术保证重要数据在存储过程中的保密性，且相关密码技</w:t>
            </w:r>
            <w:r>
              <w:rPr>
                <w:spacing w:val="10"/>
              </w:rPr>
              <w:t xml:space="preserve"> </w:t>
            </w:r>
            <w:r>
              <w:t>术符合国家密码管理部门的规定</w:t>
            </w:r>
          </w:p>
        </w:tc>
      </w:tr>
      <w:tr w14:paraId="73DE67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4" w:hRule="atLeast"/>
        </w:trPr>
        <w:tc>
          <w:tcPr>
            <w:tcW w:w="530" w:type="dxa"/>
            <w:tcBorders>
              <w:left w:val="nil"/>
              <w:right w:val="single" w:color="000000" w:sz="4" w:space="0"/>
            </w:tcBorders>
            <w:vAlign w:val="top"/>
          </w:tcPr>
          <w:p w14:paraId="507A543E">
            <w:pPr>
              <w:spacing w:line="440" w:lineRule="auto"/>
              <w:rPr>
                <w:rFonts w:ascii="Arial"/>
                <w:sz w:val="21"/>
              </w:rPr>
            </w:pPr>
          </w:p>
          <w:p w14:paraId="5246ADDA">
            <w:pPr>
              <w:pStyle w:val="6"/>
              <w:spacing w:before="62" w:line="183" w:lineRule="auto"/>
              <w:ind w:left="169"/>
            </w:pPr>
            <w:r>
              <w:rPr>
                <w:spacing w:val="-2"/>
              </w:rPr>
              <w:t>43</w:t>
            </w:r>
          </w:p>
        </w:tc>
        <w:tc>
          <w:tcPr>
            <w:tcW w:w="1990" w:type="dxa"/>
            <w:tcBorders>
              <w:left w:val="single" w:color="000000" w:sz="4" w:space="0"/>
              <w:right w:val="single" w:color="000000" w:sz="4" w:space="0"/>
            </w:tcBorders>
            <w:vAlign w:val="top"/>
          </w:tcPr>
          <w:p w14:paraId="40A79B48">
            <w:pPr>
              <w:spacing w:line="392" w:lineRule="auto"/>
              <w:rPr>
                <w:rFonts w:ascii="Arial"/>
                <w:sz w:val="21"/>
              </w:rPr>
            </w:pPr>
          </w:p>
          <w:p w14:paraId="2BDDE518">
            <w:pPr>
              <w:pStyle w:val="6"/>
              <w:spacing w:before="62" w:line="219" w:lineRule="auto"/>
              <w:ind w:left="35"/>
            </w:pPr>
            <w:r>
              <w:rPr>
                <w:spacing w:val="-1"/>
              </w:rPr>
              <w:t>数据备份措施缺失</w:t>
            </w:r>
          </w:p>
        </w:tc>
        <w:tc>
          <w:tcPr>
            <w:tcW w:w="5851" w:type="dxa"/>
            <w:tcBorders>
              <w:left w:val="single" w:color="000000" w:sz="4" w:space="0"/>
              <w:right w:val="nil"/>
            </w:tcBorders>
            <w:vAlign w:val="top"/>
          </w:tcPr>
          <w:p w14:paraId="33F8BCFE">
            <w:pPr>
              <w:pStyle w:val="6"/>
              <w:spacing w:before="65" w:line="245" w:lineRule="auto"/>
              <w:ind w:left="14" w:right="50"/>
              <w:jc w:val="both"/>
            </w:pPr>
            <w:r>
              <w:rPr>
                <w:spacing w:val="-4"/>
              </w:rPr>
              <w:t>建议建立备份恢复机制，定期对重要数据进行备份以及恢复测试，确保</w:t>
            </w:r>
            <w:r>
              <w:rPr>
                <w:spacing w:val="9"/>
              </w:rPr>
              <w:t xml:space="preserve"> </w:t>
            </w:r>
            <w:r>
              <w:rPr>
                <w:spacing w:val="-4"/>
              </w:rPr>
              <w:t>在出现数据破坏时，可利用备份数据进行恢复；此外，应对备份文件妥</w:t>
            </w:r>
            <w:r>
              <w:rPr>
                <w:spacing w:val="13"/>
              </w:rPr>
              <w:t xml:space="preserve"> </w:t>
            </w:r>
            <w:r>
              <w:rPr>
                <w:spacing w:val="-4"/>
              </w:rPr>
              <w:t>善保存，不要放在互联网网盘、开源代码平台等不可控环境中，避免重</w:t>
            </w:r>
            <w:r>
              <w:rPr>
                <w:spacing w:val="11"/>
              </w:rPr>
              <w:t xml:space="preserve"> </w:t>
            </w:r>
            <w:r>
              <w:rPr>
                <w:spacing w:val="8"/>
              </w:rPr>
              <w:t>要信息泄露</w:t>
            </w:r>
          </w:p>
        </w:tc>
      </w:tr>
      <w:tr w14:paraId="709DB7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4" w:hRule="atLeast"/>
        </w:trPr>
        <w:tc>
          <w:tcPr>
            <w:tcW w:w="530" w:type="dxa"/>
            <w:tcBorders>
              <w:left w:val="nil"/>
              <w:right w:val="single" w:color="000000" w:sz="4" w:space="0"/>
            </w:tcBorders>
            <w:vAlign w:val="top"/>
          </w:tcPr>
          <w:p w14:paraId="562147A3">
            <w:pPr>
              <w:spacing w:line="312" w:lineRule="auto"/>
              <w:rPr>
                <w:rFonts w:ascii="Arial"/>
                <w:sz w:val="21"/>
              </w:rPr>
            </w:pPr>
          </w:p>
          <w:p w14:paraId="410A9B84">
            <w:pPr>
              <w:pStyle w:val="6"/>
              <w:spacing w:before="62" w:line="183" w:lineRule="auto"/>
              <w:ind w:left="169"/>
            </w:pPr>
            <w:r>
              <w:rPr>
                <w:spacing w:val="-2"/>
              </w:rPr>
              <w:t>44</w:t>
            </w:r>
          </w:p>
        </w:tc>
        <w:tc>
          <w:tcPr>
            <w:tcW w:w="1990" w:type="dxa"/>
            <w:tcBorders>
              <w:left w:val="single" w:color="000000" w:sz="4" w:space="0"/>
              <w:right w:val="single" w:color="000000" w:sz="4" w:space="0"/>
            </w:tcBorders>
            <w:vAlign w:val="top"/>
          </w:tcPr>
          <w:p w14:paraId="348A68A5">
            <w:pPr>
              <w:spacing w:line="263" w:lineRule="auto"/>
              <w:rPr>
                <w:rFonts w:ascii="Arial"/>
                <w:sz w:val="21"/>
              </w:rPr>
            </w:pPr>
          </w:p>
          <w:p w14:paraId="4F8B1B3B">
            <w:pPr>
              <w:pStyle w:val="6"/>
              <w:spacing w:before="62" w:line="219" w:lineRule="auto"/>
              <w:ind w:left="35"/>
            </w:pPr>
            <w:r>
              <w:rPr>
                <w:spacing w:val="-2"/>
              </w:rPr>
              <w:t>异地备份措施缺失</w:t>
            </w:r>
          </w:p>
        </w:tc>
        <w:tc>
          <w:tcPr>
            <w:tcW w:w="5851" w:type="dxa"/>
            <w:tcBorders>
              <w:left w:val="single" w:color="000000" w:sz="4" w:space="0"/>
              <w:right w:val="nil"/>
            </w:tcBorders>
            <w:vAlign w:val="top"/>
          </w:tcPr>
          <w:p w14:paraId="2EFB57A1">
            <w:pPr>
              <w:pStyle w:val="6"/>
              <w:spacing w:before="67" w:line="245" w:lineRule="auto"/>
              <w:ind w:left="14" w:right="49"/>
              <w:jc w:val="both"/>
            </w:pPr>
            <w:r>
              <w:rPr>
                <w:spacing w:val="-4"/>
              </w:rPr>
              <w:t>建议设置异地灾备机房，并利用通信网络将重要数据实时备份至备份场</w:t>
            </w:r>
            <w:r>
              <w:rPr>
                <w:spacing w:val="14"/>
              </w:rPr>
              <w:t xml:space="preserve"> </w:t>
            </w:r>
            <w:r>
              <w:rPr>
                <w:spacing w:val="-4"/>
              </w:rPr>
              <w:t>地；灾备机房的距离应满足行业主管部门的相关要求，例如金融行业应</w:t>
            </w:r>
            <w:r>
              <w:rPr>
                <w:spacing w:val="10"/>
              </w:rPr>
              <w:t xml:space="preserve"> </w:t>
            </w:r>
            <w:r>
              <w:rPr>
                <w:spacing w:val="-1"/>
              </w:rPr>
              <w:t>符合JR/T 0071的相关要求</w:t>
            </w:r>
          </w:p>
        </w:tc>
      </w:tr>
      <w:tr w14:paraId="75A3FD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trPr>
        <w:tc>
          <w:tcPr>
            <w:tcW w:w="530" w:type="dxa"/>
            <w:tcBorders>
              <w:left w:val="nil"/>
              <w:right w:val="single" w:color="000000" w:sz="4" w:space="0"/>
            </w:tcBorders>
            <w:vAlign w:val="top"/>
          </w:tcPr>
          <w:p w14:paraId="5E3C1752">
            <w:pPr>
              <w:pStyle w:val="6"/>
              <w:spacing w:before="237" w:line="183" w:lineRule="auto"/>
              <w:ind w:left="169"/>
            </w:pPr>
            <w:r>
              <w:rPr>
                <w:spacing w:val="-2"/>
              </w:rPr>
              <w:t>45</w:t>
            </w:r>
          </w:p>
        </w:tc>
        <w:tc>
          <w:tcPr>
            <w:tcW w:w="1990" w:type="dxa"/>
            <w:tcBorders>
              <w:left w:val="single" w:color="000000" w:sz="4" w:space="0"/>
              <w:right w:val="single" w:color="000000" w:sz="4" w:space="0"/>
            </w:tcBorders>
            <w:vAlign w:val="top"/>
          </w:tcPr>
          <w:p w14:paraId="5D463989">
            <w:pPr>
              <w:pStyle w:val="6"/>
              <w:spacing w:before="77" w:line="227" w:lineRule="auto"/>
              <w:ind w:left="34" w:right="74" w:hanging="20"/>
            </w:pPr>
            <w:r>
              <w:rPr>
                <w:spacing w:val="-1"/>
              </w:rPr>
              <w:t>数据处理系统冗余措施</w:t>
            </w:r>
            <w:r>
              <w:t xml:space="preserve"> </w:t>
            </w:r>
            <w:r>
              <w:rPr>
                <w:spacing w:val="-2"/>
              </w:rPr>
              <w:t>缺失</w:t>
            </w:r>
          </w:p>
        </w:tc>
        <w:tc>
          <w:tcPr>
            <w:tcW w:w="5851" w:type="dxa"/>
            <w:tcBorders>
              <w:left w:val="single" w:color="000000" w:sz="4" w:space="0"/>
              <w:right w:val="nil"/>
            </w:tcBorders>
            <w:vAlign w:val="top"/>
          </w:tcPr>
          <w:p w14:paraId="0AAD2A0E">
            <w:pPr>
              <w:pStyle w:val="6"/>
              <w:spacing w:before="186" w:line="219" w:lineRule="auto"/>
              <w:ind w:left="54"/>
            </w:pPr>
            <w:r>
              <w:rPr>
                <w:spacing w:val="-1"/>
              </w:rPr>
              <w:t>建议对重要数据处理系统采用热冗余技术，提高系统的可用性</w:t>
            </w:r>
          </w:p>
        </w:tc>
      </w:tr>
    </w:tbl>
    <w:p w14:paraId="7162A1F3">
      <w:pPr>
        <w:spacing w:line="14" w:lineRule="auto"/>
        <w:rPr>
          <w:rFonts w:ascii="Arial"/>
          <w:sz w:val="2"/>
        </w:rPr>
      </w:pPr>
    </w:p>
    <w:p w14:paraId="2DCF0BC0">
      <w:pPr>
        <w:spacing w:line="14" w:lineRule="auto"/>
        <w:rPr>
          <w:rFonts w:ascii="Arial" w:hAnsi="Arial" w:eastAsia="Arial" w:cs="Arial"/>
          <w:sz w:val="2"/>
          <w:szCs w:val="2"/>
        </w:rPr>
        <w:sectPr>
          <w:type w:val="continuous"/>
          <w:pgSz w:w="10300" w:h="13310"/>
          <w:pgMar w:top="329" w:right="169" w:bottom="400" w:left="1100" w:header="0" w:footer="0" w:gutter="0"/>
          <w:cols w:equalWidth="0" w:num="1">
            <w:col w:w="9031"/>
          </w:cols>
        </w:sectPr>
      </w:pPr>
    </w:p>
    <w:p w14:paraId="667D599B">
      <w:pPr>
        <w:pStyle w:val="2"/>
        <w:rPr>
          <w:sz w:val="19"/>
          <w:szCs w:val="19"/>
        </w:rPr>
      </w:pPr>
      <w:bookmarkStart w:id="765" w:name="bookmark750"/>
      <w:bookmarkEnd w:id="765"/>
      <w:r>
        <w:rPr>
          <w:rFonts w:ascii="Times New Roman" w:hAnsi="Times New Roman" w:eastAsia="Times New Roman" w:cs="Times New Roman"/>
          <w:spacing w:val="3"/>
          <w:position w:val="2"/>
          <w:sz w:val="17"/>
          <w:szCs w:val="17"/>
        </w:rPr>
        <w:t>566</w:t>
      </w:r>
      <w:r>
        <w:rPr>
          <w:rFonts w:ascii="Times New Roman" w:hAnsi="Times New Roman" w:eastAsia="Times New Roman" w:cs="Times New Roman"/>
          <w:spacing w:val="22"/>
          <w:position w:val="2"/>
          <w:sz w:val="17"/>
          <w:szCs w:val="17"/>
        </w:rPr>
        <w:t xml:space="preserve">  </w:t>
      </w:r>
      <w:r>
        <w:rPr>
          <w:position w:val="-13"/>
          <w:sz w:val="17"/>
          <w:szCs w:val="17"/>
        </w:rPr>
        <w:drawing>
          <wp:inline distT="0" distB="0" distL="0" distR="0">
            <wp:extent cx="297815" cy="254000"/>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364"/>
                    <a:stretch>
                      <a:fillRect/>
                    </a:stretch>
                  </pic:blipFill>
                  <pic:spPr>
                    <a:xfrm>
                      <a:off x="0" y="0"/>
                      <a:ext cx="298443" cy="254068"/>
                    </a:xfrm>
                    <a:prstGeom prst="rect">
                      <a:avLst/>
                    </a:prstGeom>
                  </pic:spPr>
                </pic:pic>
              </a:graphicData>
            </a:graphic>
          </wp:inline>
        </w:drawing>
      </w:r>
      <w:r>
        <w:rPr>
          <w:rFonts w:ascii="Times New Roman" w:hAnsi="Times New Roman" w:eastAsia="Times New Roman" w:cs="Times New Roman"/>
          <w:spacing w:val="4"/>
          <w:position w:val="2"/>
          <w:sz w:val="17"/>
          <w:szCs w:val="17"/>
        </w:rPr>
        <w:t xml:space="preserve">   </w:t>
      </w:r>
      <w:r>
        <w:rPr>
          <w:spacing w:val="3"/>
          <w:sz w:val="19"/>
          <w:szCs w:val="19"/>
        </w:rPr>
        <w:t>信息系统监理师教程(第2版)</w:t>
      </w:r>
    </w:p>
    <w:p w14:paraId="55D22E2C">
      <w:pPr>
        <w:spacing w:line="274" w:lineRule="auto"/>
        <w:rPr>
          <w:rFonts w:ascii="Arial"/>
          <w:sz w:val="21"/>
        </w:rPr>
      </w:pPr>
    </w:p>
    <w:p w14:paraId="2E134442">
      <w:pPr>
        <w:pStyle w:val="2"/>
        <w:spacing w:before="62" w:line="220" w:lineRule="auto"/>
        <w:jc w:val="right"/>
        <w:rPr>
          <w:sz w:val="19"/>
          <w:szCs w:val="19"/>
        </w:rPr>
      </w:pPr>
      <w:r>
        <w:rPr>
          <w:spacing w:val="10"/>
          <w:sz w:val="19"/>
          <w:szCs w:val="19"/>
        </w:rPr>
        <w:t>(续表)</w:t>
      </w:r>
    </w:p>
    <w:p w14:paraId="000084DC">
      <w:pPr>
        <w:spacing w:line="60" w:lineRule="exact"/>
      </w:pPr>
    </w:p>
    <w:tbl>
      <w:tblPr>
        <w:tblStyle w:val="5"/>
        <w:tblW w:w="8388" w:type="dxa"/>
        <w:tblInd w:w="3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0"/>
        <w:gridCol w:w="2000"/>
        <w:gridCol w:w="5858"/>
      </w:tblGrid>
      <w:tr w14:paraId="2DAE6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530" w:type="dxa"/>
            <w:tcBorders>
              <w:left w:val="nil"/>
            </w:tcBorders>
            <w:vAlign w:val="top"/>
          </w:tcPr>
          <w:p w14:paraId="0DFEB3B6">
            <w:pPr>
              <w:pStyle w:val="6"/>
              <w:spacing w:before="81" w:line="221" w:lineRule="auto"/>
              <w:ind w:left="72"/>
            </w:pPr>
            <w:r>
              <w:rPr>
                <w:b/>
                <w:bCs/>
                <w:spacing w:val="-4"/>
              </w:rPr>
              <w:t>序号</w:t>
            </w:r>
          </w:p>
        </w:tc>
        <w:tc>
          <w:tcPr>
            <w:tcW w:w="2000" w:type="dxa"/>
            <w:vAlign w:val="top"/>
          </w:tcPr>
          <w:p w14:paraId="6BBE4BE1">
            <w:pPr>
              <w:pStyle w:val="6"/>
              <w:spacing w:before="80" w:line="219" w:lineRule="auto"/>
              <w:ind w:left="567"/>
            </w:pPr>
            <w:r>
              <w:rPr>
                <w:b/>
                <w:bCs/>
              </w:rPr>
              <w:t>高风险判例</w:t>
            </w:r>
          </w:p>
        </w:tc>
        <w:tc>
          <w:tcPr>
            <w:tcW w:w="5858" w:type="dxa"/>
            <w:tcBorders>
              <w:right w:val="nil"/>
            </w:tcBorders>
            <w:vAlign w:val="top"/>
          </w:tcPr>
          <w:p w14:paraId="45A4736A">
            <w:pPr>
              <w:pStyle w:val="6"/>
              <w:spacing w:before="80" w:line="219" w:lineRule="auto"/>
              <w:ind w:left="2517"/>
            </w:pPr>
            <w:r>
              <w:rPr>
                <w:b/>
                <w:bCs/>
                <w:spacing w:val="-4"/>
              </w:rPr>
              <w:t>整改建议</w:t>
            </w:r>
          </w:p>
        </w:tc>
      </w:tr>
      <w:tr w14:paraId="6AAEF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530" w:type="dxa"/>
            <w:tcBorders>
              <w:left w:val="nil"/>
            </w:tcBorders>
            <w:vAlign w:val="top"/>
          </w:tcPr>
          <w:p w14:paraId="46E740B2">
            <w:pPr>
              <w:pStyle w:val="6"/>
              <w:spacing w:before="236" w:line="183" w:lineRule="auto"/>
              <w:ind w:left="169"/>
            </w:pPr>
            <w:r>
              <w:rPr>
                <w:spacing w:val="-2"/>
              </w:rPr>
              <w:t>46</w:t>
            </w:r>
          </w:p>
        </w:tc>
        <w:tc>
          <w:tcPr>
            <w:tcW w:w="2000" w:type="dxa"/>
            <w:vAlign w:val="top"/>
          </w:tcPr>
          <w:p w14:paraId="3C0436BA">
            <w:pPr>
              <w:pStyle w:val="6"/>
              <w:spacing w:before="67" w:line="239" w:lineRule="auto"/>
              <w:ind w:left="54" w:right="235"/>
            </w:pPr>
            <w:r>
              <w:rPr>
                <w:spacing w:val="-2"/>
              </w:rPr>
              <w:t>未建立异地灾难备份</w:t>
            </w:r>
            <w:r>
              <w:rPr>
                <w:spacing w:val="6"/>
              </w:rPr>
              <w:t xml:space="preserve"> 中心</w:t>
            </w:r>
          </w:p>
        </w:tc>
        <w:tc>
          <w:tcPr>
            <w:tcW w:w="5858" w:type="dxa"/>
            <w:tcBorders>
              <w:right w:val="nil"/>
            </w:tcBorders>
            <w:vAlign w:val="top"/>
          </w:tcPr>
          <w:p w14:paraId="258F9D02">
            <w:pPr>
              <w:pStyle w:val="6"/>
              <w:spacing w:before="67" w:line="239" w:lineRule="auto"/>
              <w:ind w:left="53" w:hanging="39"/>
            </w:pPr>
            <w:r>
              <w:rPr>
                <w:spacing w:val="-8"/>
              </w:rPr>
              <w:t>建议建立异地应用级灾备中心，通过技术手段实现业务应用的实时切换，</w:t>
            </w:r>
            <w:r>
              <w:rPr>
                <w:spacing w:val="13"/>
              </w:rPr>
              <w:t xml:space="preserve"> </w:t>
            </w:r>
            <w:r>
              <w:rPr>
                <w:spacing w:val="-2"/>
              </w:rPr>
              <w:t>提高系统的可用性</w:t>
            </w:r>
          </w:p>
        </w:tc>
      </w:tr>
      <w:tr w14:paraId="41E72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530" w:type="dxa"/>
            <w:tcBorders>
              <w:left w:val="nil"/>
            </w:tcBorders>
            <w:vAlign w:val="top"/>
          </w:tcPr>
          <w:p w14:paraId="0A098BF6">
            <w:pPr>
              <w:pStyle w:val="6"/>
              <w:spacing w:before="247" w:line="183" w:lineRule="auto"/>
              <w:ind w:left="169"/>
            </w:pPr>
            <w:r>
              <w:rPr>
                <w:spacing w:val="-2"/>
              </w:rPr>
              <w:t>47</w:t>
            </w:r>
          </w:p>
        </w:tc>
        <w:tc>
          <w:tcPr>
            <w:tcW w:w="2000" w:type="dxa"/>
            <w:vAlign w:val="top"/>
          </w:tcPr>
          <w:p w14:paraId="46BD45F9">
            <w:pPr>
              <w:pStyle w:val="6"/>
              <w:spacing w:before="198" w:line="219" w:lineRule="auto"/>
              <w:ind w:left="64"/>
            </w:pPr>
            <w:r>
              <w:rPr>
                <w:spacing w:val="-1"/>
              </w:rPr>
              <w:t>鉴别信息释放措施失效</w:t>
            </w:r>
          </w:p>
        </w:tc>
        <w:tc>
          <w:tcPr>
            <w:tcW w:w="5858" w:type="dxa"/>
            <w:tcBorders>
              <w:right w:val="nil"/>
            </w:tcBorders>
            <w:vAlign w:val="top"/>
          </w:tcPr>
          <w:p w14:paraId="4E7DDDC0">
            <w:pPr>
              <w:pStyle w:val="6"/>
              <w:spacing w:before="47" w:line="254" w:lineRule="auto"/>
              <w:ind w:left="53" w:hanging="39"/>
            </w:pPr>
            <w:r>
              <w:rPr>
                <w:spacing w:val="-8"/>
              </w:rPr>
              <w:t>建议完善鉴别信息释放或清除机制，确保在执行释放或清除相关操作后，</w:t>
            </w:r>
            <w:r>
              <w:rPr>
                <w:spacing w:val="13"/>
              </w:rPr>
              <w:t xml:space="preserve"> </w:t>
            </w:r>
            <w:r>
              <w:rPr>
                <w:spacing w:val="-2"/>
              </w:rPr>
              <w:t>鉴别信息得到完全释放或清除</w:t>
            </w:r>
          </w:p>
        </w:tc>
      </w:tr>
      <w:tr w14:paraId="467E6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530" w:type="dxa"/>
            <w:tcBorders>
              <w:left w:val="nil"/>
            </w:tcBorders>
            <w:vAlign w:val="top"/>
          </w:tcPr>
          <w:p w14:paraId="64EFD444">
            <w:pPr>
              <w:pStyle w:val="6"/>
              <w:spacing w:before="237" w:line="183" w:lineRule="auto"/>
              <w:ind w:left="169"/>
            </w:pPr>
            <w:r>
              <w:rPr>
                <w:spacing w:val="-2"/>
              </w:rPr>
              <w:t>48</w:t>
            </w:r>
          </w:p>
        </w:tc>
        <w:tc>
          <w:tcPr>
            <w:tcW w:w="2000" w:type="dxa"/>
            <w:vAlign w:val="top"/>
          </w:tcPr>
          <w:p w14:paraId="0B5E5D31">
            <w:pPr>
              <w:pStyle w:val="6"/>
              <w:spacing w:before="188" w:line="219" w:lineRule="auto"/>
              <w:ind w:left="64"/>
            </w:pPr>
            <w:r>
              <w:rPr>
                <w:spacing w:val="-1"/>
              </w:rPr>
              <w:t>敏感数据释放措施失效</w:t>
            </w:r>
          </w:p>
        </w:tc>
        <w:tc>
          <w:tcPr>
            <w:tcW w:w="5858" w:type="dxa"/>
            <w:tcBorders>
              <w:right w:val="nil"/>
            </w:tcBorders>
            <w:vAlign w:val="top"/>
          </w:tcPr>
          <w:p w14:paraId="3CD3AF75">
            <w:pPr>
              <w:pStyle w:val="6"/>
              <w:spacing w:before="58" w:line="243" w:lineRule="auto"/>
              <w:ind w:left="53" w:hanging="39"/>
            </w:pPr>
            <w:r>
              <w:rPr>
                <w:spacing w:val="-8"/>
              </w:rPr>
              <w:t>建议完善敏感数据释放或清除机制，确保在执行释放或清除相关操作后，</w:t>
            </w:r>
            <w:r>
              <w:rPr>
                <w:spacing w:val="13"/>
              </w:rPr>
              <w:t xml:space="preserve"> </w:t>
            </w:r>
            <w:r>
              <w:rPr>
                <w:spacing w:val="-2"/>
              </w:rPr>
              <w:t>敏感数据得到完全释放或清除</w:t>
            </w:r>
          </w:p>
        </w:tc>
      </w:tr>
      <w:tr w14:paraId="4C82E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530" w:type="dxa"/>
            <w:tcBorders>
              <w:left w:val="nil"/>
            </w:tcBorders>
            <w:vAlign w:val="top"/>
          </w:tcPr>
          <w:p w14:paraId="43F7B871">
            <w:pPr>
              <w:spacing w:line="315" w:lineRule="auto"/>
              <w:rPr>
                <w:rFonts w:ascii="Arial"/>
                <w:sz w:val="21"/>
              </w:rPr>
            </w:pPr>
          </w:p>
          <w:p w14:paraId="210C62D9">
            <w:pPr>
              <w:pStyle w:val="6"/>
              <w:spacing w:before="61" w:line="183" w:lineRule="auto"/>
              <w:ind w:left="169"/>
            </w:pPr>
            <w:r>
              <w:rPr>
                <w:spacing w:val="-2"/>
              </w:rPr>
              <w:t>49</w:t>
            </w:r>
          </w:p>
        </w:tc>
        <w:tc>
          <w:tcPr>
            <w:tcW w:w="2000" w:type="dxa"/>
            <w:vAlign w:val="top"/>
          </w:tcPr>
          <w:p w14:paraId="0B6334CE">
            <w:pPr>
              <w:pStyle w:val="6"/>
              <w:spacing w:before="228"/>
              <w:ind w:left="54" w:right="262" w:hanging="30"/>
            </w:pPr>
            <w:r>
              <w:rPr>
                <w:spacing w:val="-1"/>
              </w:rPr>
              <w:t>违规采集和存储个人</w:t>
            </w:r>
            <w:r>
              <w:t xml:space="preserve"> </w:t>
            </w:r>
            <w:r>
              <w:rPr>
                <w:spacing w:val="7"/>
              </w:rPr>
              <w:t>信息</w:t>
            </w:r>
          </w:p>
        </w:tc>
        <w:tc>
          <w:tcPr>
            <w:tcW w:w="5858" w:type="dxa"/>
            <w:tcBorders>
              <w:right w:val="nil"/>
            </w:tcBorders>
            <w:vAlign w:val="top"/>
          </w:tcPr>
          <w:p w14:paraId="04FFE99E">
            <w:pPr>
              <w:pStyle w:val="6"/>
              <w:spacing w:before="67" w:line="250" w:lineRule="auto"/>
              <w:ind w:left="14"/>
              <w:jc w:val="both"/>
            </w:pPr>
            <w:r>
              <w:rPr>
                <w:spacing w:val="1"/>
              </w:rPr>
              <w:t>建议根据国家、行业主管部门以及标准的相关规定(例如</w:t>
            </w:r>
            <w:r>
              <w:t>GB</w:t>
            </w:r>
            <w:r>
              <w:rPr>
                <w:spacing w:val="1"/>
              </w:rPr>
              <w:t>/T 35273),</w:t>
            </w:r>
            <w:r>
              <w:rPr>
                <w:spacing w:val="7"/>
              </w:rPr>
              <w:t xml:space="preserve"> </w:t>
            </w:r>
            <w:r>
              <w:rPr>
                <w:spacing w:val="-3"/>
              </w:rPr>
              <w:t>明确向用户表明采集信息的内容、用途以及相关的安全责任，并在用户</w:t>
            </w:r>
            <w:r>
              <w:rPr>
                <w:spacing w:val="7"/>
              </w:rPr>
              <w:t xml:space="preserve"> </w:t>
            </w:r>
            <w:r>
              <w:rPr>
                <w:spacing w:val="3"/>
              </w:rPr>
              <w:t>同意、授权的情况下采集、保存业务必需的用户个</w:t>
            </w:r>
            <w:r>
              <w:rPr>
                <w:spacing w:val="2"/>
              </w:rPr>
              <w:t>人信息</w:t>
            </w:r>
          </w:p>
        </w:tc>
      </w:tr>
      <w:tr w14:paraId="74AF6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530" w:type="dxa"/>
            <w:tcBorders>
              <w:left w:val="nil"/>
            </w:tcBorders>
            <w:vAlign w:val="top"/>
          </w:tcPr>
          <w:p w14:paraId="6B479957">
            <w:pPr>
              <w:spacing w:line="316" w:lineRule="auto"/>
              <w:rPr>
                <w:rFonts w:ascii="Arial"/>
                <w:sz w:val="21"/>
              </w:rPr>
            </w:pPr>
          </w:p>
          <w:p w14:paraId="4DE07449">
            <w:pPr>
              <w:pStyle w:val="6"/>
              <w:spacing w:before="61" w:line="183" w:lineRule="auto"/>
              <w:ind w:left="169"/>
            </w:pPr>
            <w:r>
              <w:rPr>
                <w:spacing w:val="-3"/>
              </w:rPr>
              <w:t>50</w:t>
            </w:r>
          </w:p>
        </w:tc>
        <w:tc>
          <w:tcPr>
            <w:tcW w:w="2000" w:type="dxa"/>
            <w:vAlign w:val="top"/>
          </w:tcPr>
          <w:p w14:paraId="783BCC3A">
            <w:pPr>
              <w:pStyle w:val="6"/>
              <w:spacing w:before="210" w:line="249" w:lineRule="auto"/>
              <w:ind w:left="14" w:right="232" w:firstLine="40"/>
            </w:pPr>
            <w:r>
              <w:rPr>
                <w:spacing w:val="-1"/>
              </w:rPr>
              <w:t>违规访问和使用个人</w:t>
            </w:r>
            <w:r>
              <w:t xml:space="preserve"> </w:t>
            </w:r>
            <w:r>
              <w:rPr>
                <w:spacing w:val="7"/>
              </w:rPr>
              <w:t>信息</w:t>
            </w:r>
          </w:p>
        </w:tc>
        <w:tc>
          <w:tcPr>
            <w:tcW w:w="5858" w:type="dxa"/>
            <w:tcBorders>
              <w:right w:val="nil"/>
            </w:tcBorders>
            <w:vAlign w:val="top"/>
          </w:tcPr>
          <w:p w14:paraId="357E5355">
            <w:pPr>
              <w:pStyle w:val="6"/>
              <w:spacing w:before="80" w:line="219" w:lineRule="auto"/>
              <w:ind w:left="374"/>
            </w:pPr>
            <w:r>
              <w:t>建议根据国家、行业主管部门以及标准的相关规定(例如GB/T</w:t>
            </w:r>
          </w:p>
          <w:p w14:paraId="6BD12609">
            <w:pPr>
              <w:pStyle w:val="6"/>
              <w:spacing w:before="40" w:line="239" w:lineRule="auto"/>
              <w:ind w:left="54" w:right="164" w:firstLine="40"/>
            </w:pPr>
            <w:r>
              <w:t>35273),通过技术和管理手段，防止未</w:t>
            </w:r>
            <w:r>
              <w:rPr>
                <w:spacing w:val="-1"/>
              </w:rPr>
              <w:t>授权访问和非法使用用户个人</w:t>
            </w:r>
            <w:r>
              <w:t xml:space="preserve"> </w:t>
            </w:r>
            <w:r>
              <w:rPr>
                <w:spacing w:val="7"/>
              </w:rPr>
              <w:t>信息</w:t>
            </w:r>
          </w:p>
        </w:tc>
      </w:tr>
      <w:tr w14:paraId="06C7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530" w:type="dxa"/>
            <w:tcBorders>
              <w:left w:val="nil"/>
            </w:tcBorders>
            <w:vAlign w:val="top"/>
          </w:tcPr>
          <w:p w14:paraId="6A25C6C3">
            <w:pPr>
              <w:pStyle w:val="6"/>
              <w:spacing w:before="239" w:line="184" w:lineRule="auto"/>
              <w:ind w:left="169"/>
            </w:pPr>
            <w:r>
              <w:rPr>
                <w:spacing w:val="-3"/>
              </w:rPr>
              <w:t>51</w:t>
            </w:r>
          </w:p>
        </w:tc>
        <w:tc>
          <w:tcPr>
            <w:tcW w:w="2000" w:type="dxa"/>
            <w:vAlign w:val="top"/>
          </w:tcPr>
          <w:p w14:paraId="22E0655B">
            <w:pPr>
              <w:pStyle w:val="6"/>
              <w:spacing w:before="80" w:line="228" w:lineRule="auto"/>
              <w:ind w:left="54" w:firstLine="29"/>
            </w:pPr>
            <w:r>
              <w:t>云服务客户数据和用户</w:t>
            </w:r>
            <w:r>
              <w:rPr>
                <w:spacing w:val="4"/>
              </w:rPr>
              <w:t xml:space="preserve"> </w:t>
            </w:r>
            <w:r>
              <w:rPr>
                <w:spacing w:val="-3"/>
              </w:rPr>
              <w:t>个人信息违规出境</w:t>
            </w:r>
          </w:p>
        </w:tc>
        <w:tc>
          <w:tcPr>
            <w:tcW w:w="5858" w:type="dxa"/>
            <w:tcBorders>
              <w:right w:val="nil"/>
            </w:tcBorders>
            <w:vAlign w:val="top"/>
          </w:tcPr>
          <w:p w14:paraId="22DD5DF0">
            <w:pPr>
              <w:pStyle w:val="6"/>
              <w:spacing w:before="62" w:line="237" w:lineRule="auto"/>
              <w:ind w:left="43" w:right="50" w:hanging="29"/>
            </w:pPr>
            <w:r>
              <w:rPr>
                <w:spacing w:val="-3"/>
              </w:rPr>
              <w:t>建议云服务客户数据、用户个人信息等存储于</w:t>
            </w:r>
            <w:r>
              <w:rPr>
                <w:spacing w:val="-4"/>
              </w:rPr>
              <w:t>中国境内，如需出境应遵</w:t>
            </w:r>
            <w:r>
              <w:t xml:space="preserve"> </w:t>
            </w:r>
            <w:r>
              <w:rPr>
                <w:spacing w:val="-1"/>
              </w:rPr>
              <w:t>循国家相关规定</w:t>
            </w:r>
          </w:p>
        </w:tc>
      </w:tr>
      <w:tr w14:paraId="429EB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530" w:type="dxa"/>
            <w:tcBorders>
              <w:left w:val="nil"/>
            </w:tcBorders>
            <w:vAlign w:val="top"/>
          </w:tcPr>
          <w:p w14:paraId="0B2228C3">
            <w:pPr>
              <w:pStyle w:val="6"/>
              <w:spacing w:before="250" w:line="183" w:lineRule="auto"/>
              <w:ind w:left="169"/>
            </w:pPr>
            <w:r>
              <w:rPr>
                <w:spacing w:val="-3"/>
              </w:rPr>
              <w:t>52</w:t>
            </w:r>
          </w:p>
        </w:tc>
        <w:tc>
          <w:tcPr>
            <w:tcW w:w="2000" w:type="dxa"/>
            <w:vAlign w:val="top"/>
          </w:tcPr>
          <w:p w14:paraId="2266570D">
            <w:pPr>
              <w:pStyle w:val="6"/>
              <w:spacing w:before="202" w:line="220" w:lineRule="auto"/>
              <w:ind w:left="44"/>
            </w:pPr>
            <w:r>
              <w:rPr>
                <w:spacing w:val="-1"/>
              </w:rPr>
              <w:t>运行监控措施缺失</w:t>
            </w:r>
          </w:p>
        </w:tc>
        <w:tc>
          <w:tcPr>
            <w:tcW w:w="5858" w:type="dxa"/>
            <w:tcBorders>
              <w:right w:val="nil"/>
            </w:tcBorders>
            <w:vAlign w:val="top"/>
          </w:tcPr>
          <w:p w14:paraId="1B5154A0">
            <w:pPr>
              <w:pStyle w:val="6"/>
              <w:spacing w:before="61" w:line="247" w:lineRule="auto"/>
              <w:ind w:left="53" w:right="49" w:hanging="39"/>
            </w:pPr>
            <w:r>
              <w:rPr>
                <w:spacing w:val="-3"/>
              </w:rPr>
              <w:t>建议部署统一监控平台或运维监控软件对网络链</w:t>
            </w:r>
            <w:r>
              <w:rPr>
                <w:spacing w:val="-4"/>
              </w:rPr>
              <w:t>路、安全设备、网络设</w:t>
            </w:r>
            <w:r>
              <w:t xml:space="preserve"> 备和服务器等的运行状况进行集中监测</w:t>
            </w:r>
          </w:p>
        </w:tc>
      </w:tr>
      <w:tr w14:paraId="156E0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530" w:type="dxa"/>
            <w:tcBorders>
              <w:left w:val="nil"/>
            </w:tcBorders>
            <w:vAlign w:val="top"/>
          </w:tcPr>
          <w:p w14:paraId="0F7CB3E6">
            <w:pPr>
              <w:pStyle w:val="6"/>
              <w:spacing w:before="240" w:line="183" w:lineRule="auto"/>
              <w:ind w:left="169"/>
            </w:pPr>
            <w:r>
              <w:rPr>
                <w:spacing w:val="-3"/>
              </w:rPr>
              <w:t>53</w:t>
            </w:r>
          </w:p>
        </w:tc>
        <w:tc>
          <w:tcPr>
            <w:tcW w:w="2000" w:type="dxa"/>
            <w:vAlign w:val="top"/>
          </w:tcPr>
          <w:p w14:paraId="5D750754">
            <w:pPr>
              <w:pStyle w:val="6"/>
              <w:spacing w:before="82" w:line="232" w:lineRule="auto"/>
              <w:ind w:left="35" w:right="6" w:firstLine="39"/>
            </w:pPr>
            <w:r>
              <w:t>审计记录存储时间不满</w:t>
            </w:r>
            <w:r>
              <w:rPr>
                <w:spacing w:val="7"/>
              </w:rPr>
              <w:t xml:space="preserve"> </w:t>
            </w:r>
            <w:r>
              <w:rPr>
                <w:spacing w:val="-3"/>
              </w:rPr>
              <w:t>足要求</w:t>
            </w:r>
          </w:p>
        </w:tc>
        <w:tc>
          <w:tcPr>
            <w:tcW w:w="5858" w:type="dxa"/>
            <w:tcBorders>
              <w:right w:val="nil"/>
            </w:tcBorders>
            <w:vAlign w:val="top"/>
          </w:tcPr>
          <w:p w14:paraId="2D6311CD">
            <w:pPr>
              <w:pStyle w:val="6"/>
              <w:spacing w:before="61" w:line="242" w:lineRule="auto"/>
              <w:ind w:left="53" w:right="50" w:hanging="39"/>
            </w:pPr>
            <w:r>
              <w:rPr>
                <w:spacing w:val="-3"/>
              </w:rPr>
              <w:t>建议部署日志服务器，统一收集各设备的审计</w:t>
            </w:r>
            <w:r>
              <w:rPr>
                <w:spacing w:val="-4"/>
              </w:rPr>
              <w:t>数据，进行集中分析，并</w:t>
            </w:r>
            <w:r>
              <w:t xml:space="preserve"> </w:t>
            </w:r>
            <w:r>
              <w:rPr>
                <w:spacing w:val="-1"/>
              </w:rPr>
              <w:t>根据法律法规的要求留存日志</w:t>
            </w:r>
          </w:p>
        </w:tc>
      </w:tr>
      <w:tr w14:paraId="20FBB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530" w:type="dxa"/>
            <w:tcBorders>
              <w:left w:val="nil"/>
            </w:tcBorders>
            <w:vAlign w:val="top"/>
          </w:tcPr>
          <w:p w14:paraId="07CE5B90">
            <w:pPr>
              <w:spacing w:line="446" w:lineRule="auto"/>
              <w:rPr>
                <w:rFonts w:ascii="Arial"/>
                <w:sz w:val="21"/>
              </w:rPr>
            </w:pPr>
          </w:p>
          <w:p w14:paraId="02403206">
            <w:pPr>
              <w:pStyle w:val="6"/>
              <w:spacing w:before="62" w:line="183" w:lineRule="auto"/>
              <w:ind w:left="169"/>
            </w:pPr>
            <w:r>
              <w:rPr>
                <w:spacing w:val="-3"/>
              </w:rPr>
              <w:t>54</w:t>
            </w:r>
          </w:p>
        </w:tc>
        <w:tc>
          <w:tcPr>
            <w:tcW w:w="2000" w:type="dxa"/>
            <w:vAlign w:val="top"/>
          </w:tcPr>
          <w:p w14:paraId="08D0685F">
            <w:pPr>
              <w:spacing w:line="267" w:lineRule="auto"/>
              <w:rPr>
                <w:rFonts w:ascii="Arial"/>
                <w:sz w:val="21"/>
              </w:rPr>
            </w:pPr>
          </w:p>
          <w:p w14:paraId="0440D194">
            <w:pPr>
              <w:pStyle w:val="6"/>
              <w:spacing w:before="62" w:line="260" w:lineRule="auto"/>
              <w:ind w:left="54" w:right="6" w:firstLine="19"/>
            </w:pPr>
            <w:r>
              <w:t>安全事件发现处置措施</w:t>
            </w:r>
            <w:r>
              <w:rPr>
                <w:spacing w:val="7"/>
              </w:rPr>
              <w:t xml:space="preserve"> </w:t>
            </w:r>
            <w:r>
              <w:rPr>
                <w:spacing w:val="-2"/>
              </w:rPr>
              <w:t>缺失</w:t>
            </w:r>
          </w:p>
        </w:tc>
        <w:tc>
          <w:tcPr>
            <w:tcW w:w="5858" w:type="dxa"/>
            <w:tcBorders>
              <w:right w:val="nil"/>
            </w:tcBorders>
            <w:vAlign w:val="top"/>
          </w:tcPr>
          <w:p w14:paraId="15F4CD48">
            <w:pPr>
              <w:pStyle w:val="6"/>
              <w:spacing w:before="53" w:line="254" w:lineRule="auto"/>
              <w:ind w:left="14"/>
              <w:jc w:val="both"/>
            </w:pPr>
            <w:r>
              <w:rPr>
                <w:spacing w:val="1"/>
              </w:rPr>
              <w:t>建议根据系统场景需要，部署</w:t>
            </w:r>
            <w:r>
              <w:t>IPS</w:t>
            </w:r>
            <w:r>
              <w:rPr>
                <w:spacing w:val="1"/>
              </w:rPr>
              <w:t>、应用防火墙、防毒墙(杀毒软件)、</w:t>
            </w:r>
            <w:r>
              <w:rPr>
                <w:spacing w:val="12"/>
              </w:rPr>
              <w:t xml:space="preserve"> </w:t>
            </w:r>
            <w:r>
              <w:rPr>
                <w:spacing w:val="-5"/>
              </w:rPr>
              <w:t>垃圾邮件网关、新型网络攻击防护等防护设备，对网络中发生的各类安</w:t>
            </w:r>
            <w:r>
              <w:rPr>
                <w:spacing w:val="9"/>
              </w:rPr>
              <w:t xml:space="preserve">  </w:t>
            </w:r>
            <w:r>
              <w:rPr>
                <w:spacing w:val="-5"/>
              </w:rPr>
              <w:t>全事件进行识别、报警和分析，确保相关安全事件得到及时发现和及时</w:t>
            </w:r>
            <w:r>
              <w:rPr>
                <w:spacing w:val="9"/>
              </w:rPr>
              <w:t xml:space="preserve">  </w:t>
            </w:r>
            <w:r>
              <w:rPr>
                <w:spacing w:val="-4"/>
              </w:rPr>
              <w:t>处置</w:t>
            </w:r>
          </w:p>
        </w:tc>
      </w:tr>
      <w:tr w14:paraId="1F22A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530" w:type="dxa"/>
            <w:tcBorders>
              <w:left w:val="nil"/>
            </w:tcBorders>
            <w:vAlign w:val="top"/>
          </w:tcPr>
          <w:p w14:paraId="0EF23461">
            <w:pPr>
              <w:pStyle w:val="6"/>
              <w:spacing w:before="242" w:line="182" w:lineRule="auto"/>
              <w:ind w:left="169"/>
            </w:pPr>
            <w:r>
              <w:rPr>
                <w:spacing w:val="-3"/>
              </w:rPr>
              <w:t>55</w:t>
            </w:r>
          </w:p>
        </w:tc>
        <w:tc>
          <w:tcPr>
            <w:tcW w:w="2000" w:type="dxa"/>
            <w:vAlign w:val="top"/>
          </w:tcPr>
          <w:p w14:paraId="7C22D3EB">
            <w:pPr>
              <w:pStyle w:val="6"/>
              <w:spacing w:before="192" w:line="219" w:lineRule="auto"/>
              <w:ind w:left="54"/>
            </w:pPr>
            <w:r>
              <w:rPr>
                <w:spacing w:val="1"/>
              </w:rPr>
              <w:t>管理制度缺失</w:t>
            </w:r>
          </w:p>
        </w:tc>
        <w:tc>
          <w:tcPr>
            <w:tcW w:w="5858" w:type="dxa"/>
            <w:tcBorders>
              <w:right w:val="nil"/>
            </w:tcBorders>
            <w:vAlign w:val="top"/>
          </w:tcPr>
          <w:p w14:paraId="3BD4A0C8">
            <w:pPr>
              <w:pStyle w:val="6"/>
              <w:spacing w:before="73" w:line="236" w:lineRule="auto"/>
              <w:ind w:left="43" w:right="49" w:hanging="29"/>
            </w:pPr>
            <w:r>
              <w:rPr>
                <w:spacing w:val="-3"/>
              </w:rPr>
              <w:t>建议按照等级保护的相关要求，建立包括总体方</w:t>
            </w:r>
            <w:r>
              <w:rPr>
                <w:spacing w:val="-4"/>
              </w:rPr>
              <w:t>针、安全策略在内的各</w:t>
            </w:r>
            <w:r>
              <w:t xml:space="preserve"> </w:t>
            </w:r>
            <w:r>
              <w:rPr>
                <w:spacing w:val="-1"/>
              </w:rPr>
              <w:t>类与安全管理活动相关的管理制度</w:t>
            </w:r>
          </w:p>
        </w:tc>
      </w:tr>
      <w:tr w14:paraId="272C5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530" w:type="dxa"/>
            <w:tcBorders>
              <w:left w:val="nil"/>
            </w:tcBorders>
            <w:vAlign w:val="top"/>
          </w:tcPr>
          <w:p w14:paraId="6036DD30">
            <w:pPr>
              <w:pStyle w:val="6"/>
              <w:spacing w:before="242" w:line="183" w:lineRule="auto"/>
              <w:ind w:left="169"/>
            </w:pPr>
            <w:r>
              <w:rPr>
                <w:spacing w:val="-3"/>
              </w:rPr>
              <w:t>56</w:t>
            </w:r>
          </w:p>
        </w:tc>
        <w:tc>
          <w:tcPr>
            <w:tcW w:w="2000" w:type="dxa"/>
            <w:vAlign w:val="top"/>
          </w:tcPr>
          <w:p w14:paraId="22ADC614">
            <w:pPr>
              <w:pStyle w:val="6"/>
              <w:spacing w:before="65" w:line="235" w:lineRule="auto"/>
              <w:ind w:left="24" w:right="192" w:firstLine="50"/>
            </w:pPr>
            <w:r>
              <w:rPr>
                <w:spacing w:val="1"/>
              </w:rPr>
              <w:t>未建立网络安全领导</w:t>
            </w:r>
            <w:r>
              <w:rPr>
                <w:spacing w:val="2"/>
              </w:rPr>
              <w:t xml:space="preserve"> </w:t>
            </w:r>
            <w:r>
              <w:rPr>
                <w:spacing w:val="-4"/>
              </w:rPr>
              <w:t>小组</w:t>
            </w:r>
          </w:p>
        </w:tc>
        <w:tc>
          <w:tcPr>
            <w:tcW w:w="5858" w:type="dxa"/>
            <w:tcBorders>
              <w:right w:val="nil"/>
            </w:tcBorders>
            <w:vAlign w:val="top"/>
          </w:tcPr>
          <w:p w14:paraId="6332C7B7">
            <w:pPr>
              <w:pStyle w:val="6"/>
              <w:spacing w:before="52" w:line="241" w:lineRule="auto"/>
              <w:ind w:left="73" w:right="36" w:hanging="59"/>
            </w:pPr>
            <w:r>
              <w:rPr>
                <w:spacing w:val="-3"/>
              </w:rPr>
              <w:t>建议成立指导和管理网络安全工作的委员会或领导小组，其最高领导由</w:t>
            </w:r>
            <w:r>
              <w:rPr>
                <w:spacing w:val="3"/>
              </w:rPr>
              <w:t xml:space="preserve"> </w:t>
            </w:r>
            <w:r>
              <w:rPr>
                <w:spacing w:val="-1"/>
              </w:rPr>
              <w:t>单位主管领导担任或授权</w:t>
            </w:r>
          </w:p>
        </w:tc>
      </w:tr>
      <w:tr w14:paraId="319CB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530" w:type="dxa"/>
            <w:tcBorders>
              <w:left w:val="nil"/>
            </w:tcBorders>
            <w:vAlign w:val="top"/>
          </w:tcPr>
          <w:p w14:paraId="4A88CA14">
            <w:pPr>
              <w:spacing w:line="321" w:lineRule="auto"/>
              <w:rPr>
                <w:rFonts w:ascii="Arial"/>
                <w:sz w:val="21"/>
              </w:rPr>
            </w:pPr>
          </w:p>
          <w:p w14:paraId="5D110DE4">
            <w:pPr>
              <w:pStyle w:val="6"/>
              <w:spacing w:before="61" w:line="182" w:lineRule="auto"/>
              <w:ind w:left="169"/>
            </w:pPr>
            <w:r>
              <w:rPr>
                <w:spacing w:val="-3"/>
              </w:rPr>
              <w:t>57</w:t>
            </w:r>
          </w:p>
        </w:tc>
        <w:tc>
          <w:tcPr>
            <w:tcW w:w="2000" w:type="dxa"/>
            <w:vAlign w:val="top"/>
          </w:tcPr>
          <w:p w14:paraId="62F365D6">
            <w:pPr>
              <w:pStyle w:val="6"/>
              <w:spacing w:before="216" w:line="249" w:lineRule="auto"/>
              <w:ind w:left="44" w:right="45" w:firstLine="9"/>
            </w:pPr>
            <w:r>
              <w:rPr>
                <w:spacing w:val="-2"/>
              </w:rPr>
              <w:t>未开展安全意识和安全</w:t>
            </w:r>
            <w:r>
              <w:rPr>
                <w:spacing w:val="8"/>
              </w:rPr>
              <w:t xml:space="preserve"> </w:t>
            </w:r>
            <w:r>
              <w:rPr>
                <w:spacing w:val="5"/>
              </w:rPr>
              <w:t>技能培训</w:t>
            </w:r>
          </w:p>
        </w:tc>
        <w:tc>
          <w:tcPr>
            <w:tcW w:w="5858" w:type="dxa"/>
            <w:tcBorders>
              <w:right w:val="nil"/>
            </w:tcBorders>
            <w:vAlign w:val="top"/>
          </w:tcPr>
          <w:p w14:paraId="57373551">
            <w:pPr>
              <w:pStyle w:val="6"/>
              <w:spacing w:before="75" w:line="244" w:lineRule="auto"/>
              <w:ind w:left="14" w:right="42"/>
              <w:jc w:val="both"/>
            </w:pPr>
            <w:r>
              <w:rPr>
                <w:spacing w:val="-3"/>
              </w:rPr>
              <w:t>建议制定与安全意识、安全技能相关的教育培训计划，并按计划</w:t>
            </w:r>
            <w:r>
              <w:rPr>
                <w:spacing w:val="-4"/>
              </w:rPr>
              <w:t>开展相</w:t>
            </w:r>
            <w:r>
              <w:t xml:space="preserve"> </w:t>
            </w:r>
            <w:r>
              <w:rPr>
                <w:spacing w:val="-3"/>
              </w:rPr>
              <w:t>关培训，增强员工整体安全意识及安全技能，有</w:t>
            </w:r>
            <w:r>
              <w:rPr>
                <w:spacing w:val="-4"/>
              </w:rPr>
              <w:t>效支撑业务系统的安全</w:t>
            </w:r>
            <w:r>
              <w:t xml:space="preserve"> </w:t>
            </w:r>
            <w:r>
              <w:rPr>
                <w:spacing w:val="5"/>
              </w:rPr>
              <w:t>稳定运行</w:t>
            </w:r>
          </w:p>
        </w:tc>
      </w:tr>
      <w:tr w14:paraId="06D38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530" w:type="dxa"/>
            <w:tcBorders>
              <w:left w:val="nil"/>
            </w:tcBorders>
            <w:vAlign w:val="top"/>
          </w:tcPr>
          <w:p w14:paraId="2E33B48C">
            <w:pPr>
              <w:spacing w:line="440" w:lineRule="auto"/>
              <w:rPr>
                <w:rFonts w:ascii="Arial"/>
                <w:sz w:val="21"/>
              </w:rPr>
            </w:pPr>
          </w:p>
          <w:p w14:paraId="19621970">
            <w:pPr>
              <w:pStyle w:val="6"/>
              <w:spacing w:before="62" w:line="183" w:lineRule="auto"/>
              <w:ind w:left="169"/>
            </w:pPr>
            <w:r>
              <w:rPr>
                <w:spacing w:val="-3"/>
              </w:rPr>
              <w:t>58</w:t>
            </w:r>
          </w:p>
        </w:tc>
        <w:tc>
          <w:tcPr>
            <w:tcW w:w="2000" w:type="dxa"/>
            <w:vAlign w:val="top"/>
          </w:tcPr>
          <w:p w14:paraId="17C051C2">
            <w:pPr>
              <w:spacing w:line="272" w:lineRule="auto"/>
              <w:rPr>
                <w:rFonts w:ascii="Arial"/>
                <w:sz w:val="21"/>
              </w:rPr>
            </w:pPr>
          </w:p>
          <w:p w14:paraId="32134440">
            <w:pPr>
              <w:pStyle w:val="6"/>
              <w:spacing w:before="62"/>
              <w:ind w:left="24" w:right="66" w:firstLine="10"/>
            </w:pPr>
            <w:r>
              <w:rPr>
                <w:spacing w:val="-2"/>
              </w:rPr>
              <w:t>外部人员接入网络管理</w:t>
            </w:r>
            <w:r>
              <w:rPr>
                <w:spacing w:val="7"/>
              </w:rPr>
              <w:t xml:space="preserve"> </w:t>
            </w:r>
            <w:r>
              <w:rPr>
                <w:spacing w:val="-2"/>
              </w:rPr>
              <w:t>措施缺失</w:t>
            </w:r>
          </w:p>
        </w:tc>
        <w:tc>
          <w:tcPr>
            <w:tcW w:w="5858" w:type="dxa"/>
            <w:tcBorders>
              <w:right w:val="nil"/>
            </w:tcBorders>
            <w:vAlign w:val="top"/>
          </w:tcPr>
          <w:p w14:paraId="13F8B505">
            <w:pPr>
              <w:pStyle w:val="6"/>
              <w:spacing w:before="74" w:line="244" w:lineRule="auto"/>
              <w:ind w:left="14" w:right="48"/>
              <w:jc w:val="both"/>
            </w:pPr>
            <w:r>
              <w:rPr>
                <w:spacing w:val="-3"/>
              </w:rPr>
              <w:t>建议在外部人员管理制度中明确接入受控网络</w:t>
            </w:r>
            <w:r>
              <w:rPr>
                <w:spacing w:val="-4"/>
              </w:rPr>
              <w:t>访问系统的申请、审批流</w:t>
            </w:r>
            <w:r>
              <w:t xml:space="preserve"> </w:t>
            </w:r>
            <w:r>
              <w:rPr>
                <w:spacing w:val="-3"/>
              </w:rPr>
              <w:t>程，并对外部人员接入设备、可访问资源范围、</w:t>
            </w:r>
            <w:r>
              <w:rPr>
                <w:spacing w:val="-4"/>
              </w:rPr>
              <w:t>账号回收、保密责任等</w:t>
            </w:r>
            <w:r>
              <w:t xml:space="preserve"> </w:t>
            </w:r>
            <w:r>
              <w:rPr>
                <w:spacing w:val="-3"/>
              </w:rPr>
              <w:t>内容做出明确规定，避免因管理缺失导致外部人员</w:t>
            </w:r>
            <w:r>
              <w:rPr>
                <w:spacing w:val="-4"/>
              </w:rPr>
              <w:t>为受控网络、系统带</w:t>
            </w:r>
            <w:r>
              <w:t xml:space="preserve"> </w:t>
            </w:r>
            <w:r>
              <w:rPr>
                <w:spacing w:val="7"/>
              </w:rPr>
              <w:t>来安全隐患</w:t>
            </w:r>
          </w:p>
        </w:tc>
      </w:tr>
      <w:tr w14:paraId="1FD0E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530" w:type="dxa"/>
            <w:tcBorders>
              <w:left w:val="nil"/>
            </w:tcBorders>
            <w:vAlign w:val="top"/>
          </w:tcPr>
          <w:p w14:paraId="1A2DEB43">
            <w:pPr>
              <w:pStyle w:val="6"/>
              <w:spacing w:before="235" w:line="183" w:lineRule="auto"/>
              <w:ind w:left="169"/>
            </w:pPr>
            <w:r>
              <w:rPr>
                <w:spacing w:val="-3"/>
              </w:rPr>
              <w:t>59</w:t>
            </w:r>
          </w:p>
        </w:tc>
        <w:tc>
          <w:tcPr>
            <w:tcW w:w="2000" w:type="dxa"/>
            <w:vAlign w:val="top"/>
          </w:tcPr>
          <w:p w14:paraId="7844757C">
            <w:pPr>
              <w:pStyle w:val="6"/>
              <w:spacing w:before="76" w:line="225" w:lineRule="auto"/>
              <w:ind w:left="14" w:right="52" w:firstLine="30"/>
            </w:pPr>
            <w:r>
              <w:rPr>
                <w:spacing w:val="-1"/>
              </w:rPr>
              <w:t>违规采购和使用网络安</w:t>
            </w:r>
            <w:r>
              <w:rPr>
                <w:spacing w:val="1"/>
              </w:rPr>
              <w:t xml:space="preserve"> </w:t>
            </w:r>
            <w:r>
              <w:rPr>
                <w:spacing w:val="6"/>
              </w:rPr>
              <w:t>全产品</w:t>
            </w:r>
          </w:p>
        </w:tc>
        <w:tc>
          <w:tcPr>
            <w:tcW w:w="5858" w:type="dxa"/>
            <w:tcBorders>
              <w:right w:val="nil"/>
            </w:tcBorders>
            <w:vAlign w:val="top"/>
          </w:tcPr>
          <w:p w14:paraId="6CA59A8A">
            <w:pPr>
              <w:pStyle w:val="6"/>
              <w:spacing w:before="66" w:line="230" w:lineRule="auto"/>
              <w:ind w:left="43" w:right="35" w:hanging="29"/>
            </w:pPr>
            <w:r>
              <w:rPr>
                <w:spacing w:val="-3"/>
              </w:rPr>
              <w:t>建议依据国家有关规定，采购和使用网络安全产品，例如，采购或使用</w:t>
            </w:r>
            <w:r>
              <w:rPr>
                <w:spacing w:val="4"/>
              </w:rPr>
              <w:t xml:space="preserve"> </w:t>
            </w:r>
            <w:r>
              <w:t>获得销售许可证或通过相关机构的检测认证的网络安全产品</w:t>
            </w:r>
          </w:p>
        </w:tc>
      </w:tr>
      <w:tr w14:paraId="17D89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530" w:type="dxa"/>
            <w:tcBorders>
              <w:left w:val="nil"/>
            </w:tcBorders>
            <w:vAlign w:val="top"/>
          </w:tcPr>
          <w:p w14:paraId="57BB21B9">
            <w:pPr>
              <w:spacing w:line="312" w:lineRule="auto"/>
              <w:rPr>
                <w:rFonts w:ascii="Arial"/>
                <w:sz w:val="21"/>
              </w:rPr>
            </w:pPr>
          </w:p>
          <w:p w14:paraId="083356C4">
            <w:pPr>
              <w:pStyle w:val="6"/>
              <w:spacing w:before="61" w:line="183" w:lineRule="auto"/>
              <w:ind w:left="169"/>
            </w:pPr>
            <w:r>
              <w:rPr>
                <w:spacing w:val="-3"/>
              </w:rPr>
              <w:t>60</w:t>
            </w:r>
          </w:p>
        </w:tc>
        <w:tc>
          <w:tcPr>
            <w:tcW w:w="2000" w:type="dxa"/>
            <w:vAlign w:val="top"/>
          </w:tcPr>
          <w:p w14:paraId="7AC2E76B">
            <w:pPr>
              <w:pStyle w:val="6"/>
              <w:spacing w:before="216" w:line="250" w:lineRule="auto"/>
              <w:ind w:left="64" w:right="46" w:hanging="29"/>
            </w:pPr>
            <w:r>
              <w:t>外包开发代码审计措施</w:t>
            </w:r>
            <w:r>
              <w:rPr>
                <w:spacing w:val="7"/>
              </w:rPr>
              <w:t xml:space="preserve"> </w:t>
            </w:r>
            <w:r>
              <w:rPr>
                <w:spacing w:val="-2"/>
              </w:rPr>
              <w:t>缺失</w:t>
            </w:r>
          </w:p>
        </w:tc>
        <w:tc>
          <w:tcPr>
            <w:tcW w:w="5858" w:type="dxa"/>
            <w:tcBorders>
              <w:right w:val="nil"/>
            </w:tcBorders>
            <w:vAlign w:val="top"/>
          </w:tcPr>
          <w:p w14:paraId="3AEFCACB">
            <w:pPr>
              <w:pStyle w:val="6"/>
              <w:spacing w:before="66" w:line="242" w:lineRule="auto"/>
              <w:ind w:left="14" w:right="42"/>
              <w:jc w:val="both"/>
            </w:pPr>
            <w:r>
              <w:rPr>
                <w:spacing w:val="-3"/>
              </w:rPr>
              <w:t>建议对开放单位开发的核心系统进行源代码审查，检查是否存在</w:t>
            </w:r>
            <w:r>
              <w:rPr>
                <w:spacing w:val="-4"/>
              </w:rPr>
              <w:t>后门和</w:t>
            </w:r>
            <w:r>
              <w:t xml:space="preserve"> </w:t>
            </w:r>
            <w:r>
              <w:rPr>
                <w:spacing w:val="-3"/>
              </w:rPr>
              <w:t>隐蔽信道。如没有技术手段进行源代码审查的，可聘请第</w:t>
            </w:r>
            <w:r>
              <w:rPr>
                <w:spacing w:val="-4"/>
              </w:rPr>
              <w:t>三方专业机构</w:t>
            </w:r>
            <w:r>
              <w:t xml:space="preserve"> </w:t>
            </w:r>
            <w:r>
              <w:rPr>
                <w:spacing w:val="4"/>
              </w:rPr>
              <w:t>对相关代码进行安全检测</w:t>
            </w:r>
          </w:p>
        </w:tc>
      </w:tr>
    </w:tbl>
    <w:p w14:paraId="696B80EA">
      <w:pPr>
        <w:rPr>
          <w:rFonts w:ascii="Arial"/>
          <w:sz w:val="21"/>
        </w:rPr>
      </w:pPr>
    </w:p>
    <w:p w14:paraId="5D0F898C">
      <w:pPr>
        <w:rPr>
          <w:rFonts w:ascii="Arial" w:hAnsi="Arial" w:eastAsia="Arial" w:cs="Arial"/>
          <w:sz w:val="21"/>
          <w:szCs w:val="21"/>
        </w:rPr>
        <w:sectPr>
          <w:pgSz w:w="10300" w:h="13440"/>
          <w:pgMar w:top="329" w:right="1008" w:bottom="400" w:left="530" w:header="0" w:footer="0" w:gutter="0"/>
          <w:cols w:space="720" w:num="1"/>
        </w:sectPr>
      </w:pPr>
    </w:p>
    <w:p w14:paraId="472ACEAA">
      <w:pPr>
        <w:pStyle w:val="2"/>
        <w:spacing w:before="37" w:line="223" w:lineRule="auto"/>
        <w:jc w:val="right"/>
        <w:rPr>
          <w:rFonts w:ascii="Times New Roman" w:hAnsi="Times New Roman" w:eastAsia="Times New Roman" w:cs="Times New Roman"/>
          <w:sz w:val="28"/>
          <w:szCs w:val="28"/>
        </w:rPr>
      </w:pPr>
      <w:bookmarkStart w:id="766" w:name="bookmark751"/>
      <w:bookmarkEnd w:id="766"/>
      <w:r>
        <w:rPr>
          <w:position w:val="2"/>
          <w:sz w:val="19"/>
          <w:szCs w:val="19"/>
        </w:rPr>
        <w:t>第24章</w:t>
      </w:r>
      <w:r>
        <w:rPr>
          <w:spacing w:val="23"/>
          <w:position w:val="2"/>
          <w:sz w:val="19"/>
          <w:szCs w:val="19"/>
        </w:rPr>
        <w:t xml:space="preserve"> </w:t>
      </w:r>
      <w:r>
        <w:rPr>
          <w:position w:val="2"/>
          <w:sz w:val="19"/>
          <w:szCs w:val="19"/>
        </w:rPr>
        <w:t xml:space="preserve">信息安全监理      </w:t>
      </w:r>
      <w:r>
        <w:rPr>
          <w:rFonts w:ascii="Times New Roman" w:hAnsi="Times New Roman" w:eastAsia="Times New Roman" w:cs="Times New Roman"/>
          <w:color w:val="0093E9"/>
          <w:position w:val="-8"/>
          <w:sz w:val="28"/>
          <w:szCs w:val="28"/>
        </w:rPr>
        <w:t>5</w:t>
      </w:r>
      <w:r>
        <w:rPr>
          <w:rFonts w:ascii="Times New Roman" w:hAnsi="Times New Roman" w:eastAsia="Times New Roman" w:cs="Times New Roman"/>
          <w:position w:val="-8"/>
          <w:sz w:val="28"/>
          <w:szCs w:val="28"/>
        </w:rPr>
        <w:t>67</w:t>
      </w:r>
    </w:p>
    <w:p w14:paraId="0D5CF48F">
      <w:pPr>
        <w:pStyle w:val="2"/>
        <w:spacing w:before="291" w:line="220" w:lineRule="auto"/>
        <w:ind w:left="7799"/>
        <w:rPr>
          <w:sz w:val="19"/>
          <w:szCs w:val="19"/>
        </w:rPr>
      </w:pPr>
      <w:r>
        <w:rPr>
          <w:spacing w:val="7"/>
          <w:sz w:val="19"/>
          <w:szCs w:val="19"/>
        </w:rPr>
        <w:t>(续表)</w:t>
      </w:r>
    </w:p>
    <w:p w14:paraId="26472A22">
      <w:pPr>
        <w:spacing w:line="50" w:lineRule="exact"/>
      </w:pPr>
    </w:p>
    <w:tbl>
      <w:tblPr>
        <w:tblStyle w:val="5"/>
        <w:tblW w:w="8344"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0"/>
        <w:gridCol w:w="2010"/>
        <w:gridCol w:w="5814"/>
      </w:tblGrid>
      <w:tr w14:paraId="79376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20" w:type="dxa"/>
            <w:tcBorders>
              <w:left w:val="nil"/>
            </w:tcBorders>
            <w:vAlign w:val="top"/>
          </w:tcPr>
          <w:p w14:paraId="7089BBCC">
            <w:pPr>
              <w:pStyle w:val="6"/>
              <w:spacing w:before="81" w:line="221" w:lineRule="auto"/>
              <w:ind w:left="72"/>
            </w:pPr>
            <w:r>
              <w:rPr>
                <w:b/>
                <w:bCs/>
                <w:spacing w:val="-4"/>
              </w:rPr>
              <w:t>序号</w:t>
            </w:r>
          </w:p>
        </w:tc>
        <w:tc>
          <w:tcPr>
            <w:tcW w:w="2010" w:type="dxa"/>
            <w:vAlign w:val="top"/>
          </w:tcPr>
          <w:p w14:paraId="6045E7BD">
            <w:pPr>
              <w:pStyle w:val="6"/>
              <w:spacing w:before="80" w:line="219" w:lineRule="auto"/>
              <w:ind w:left="577"/>
            </w:pPr>
            <w:r>
              <w:rPr>
                <w:b/>
                <w:bCs/>
              </w:rPr>
              <w:t>高风险判例</w:t>
            </w:r>
          </w:p>
        </w:tc>
        <w:tc>
          <w:tcPr>
            <w:tcW w:w="5814" w:type="dxa"/>
            <w:tcBorders>
              <w:right w:val="nil"/>
            </w:tcBorders>
            <w:vAlign w:val="top"/>
          </w:tcPr>
          <w:p w14:paraId="194CE80F">
            <w:pPr>
              <w:pStyle w:val="6"/>
              <w:spacing w:before="80" w:line="219" w:lineRule="auto"/>
              <w:ind w:left="2517"/>
            </w:pPr>
            <w:r>
              <w:rPr>
                <w:b/>
                <w:bCs/>
                <w:spacing w:val="-4"/>
              </w:rPr>
              <w:t>整改建议</w:t>
            </w:r>
          </w:p>
        </w:tc>
      </w:tr>
      <w:tr w14:paraId="4588C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520" w:type="dxa"/>
            <w:tcBorders>
              <w:left w:val="nil"/>
            </w:tcBorders>
            <w:vAlign w:val="top"/>
          </w:tcPr>
          <w:p w14:paraId="6466940F">
            <w:pPr>
              <w:pStyle w:val="6"/>
              <w:spacing w:before="236" w:line="184" w:lineRule="auto"/>
              <w:ind w:left="159"/>
            </w:pPr>
            <w:r>
              <w:rPr>
                <w:spacing w:val="-3"/>
              </w:rPr>
              <w:t>61</w:t>
            </w:r>
          </w:p>
        </w:tc>
        <w:tc>
          <w:tcPr>
            <w:tcW w:w="2010" w:type="dxa"/>
            <w:vAlign w:val="top"/>
          </w:tcPr>
          <w:p w14:paraId="2A9C48D2">
            <w:pPr>
              <w:pStyle w:val="6"/>
              <w:spacing w:before="189" w:line="220" w:lineRule="auto"/>
              <w:ind w:left="35"/>
            </w:pPr>
            <w:r>
              <w:rPr>
                <w:spacing w:val="-1"/>
              </w:rPr>
              <w:t>上线前未开展安全测试</w:t>
            </w:r>
          </w:p>
        </w:tc>
        <w:tc>
          <w:tcPr>
            <w:tcW w:w="5814" w:type="dxa"/>
            <w:tcBorders>
              <w:right w:val="nil"/>
            </w:tcBorders>
            <w:vAlign w:val="top"/>
          </w:tcPr>
          <w:p w14:paraId="76C4BA26">
            <w:pPr>
              <w:pStyle w:val="6"/>
              <w:spacing w:before="77" w:line="234" w:lineRule="auto"/>
              <w:ind w:left="54" w:right="5" w:hanging="40"/>
            </w:pPr>
            <w:r>
              <w:rPr>
                <w:spacing w:val="-3"/>
              </w:rPr>
              <w:t>建议在新系统上线前，对系统进行安全性评估，</w:t>
            </w:r>
            <w:r>
              <w:rPr>
                <w:spacing w:val="-4"/>
              </w:rPr>
              <w:t>及时修补评估过程中发</w:t>
            </w:r>
            <w:r>
              <w:t xml:space="preserve"> </w:t>
            </w:r>
            <w:r>
              <w:rPr>
                <w:spacing w:val="1"/>
              </w:rPr>
              <w:t>现的问题，确保系统安全上线</w:t>
            </w:r>
          </w:p>
        </w:tc>
      </w:tr>
      <w:tr w14:paraId="1E4D3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520" w:type="dxa"/>
            <w:tcBorders>
              <w:left w:val="nil"/>
            </w:tcBorders>
            <w:vAlign w:val="top"/>
          </w:tcPr>
          <w:p w14:paraId="73BC1F55">
            <w:pPr>
              <w:spacing w:line="454" w:lineRule="auto"/>
              <w:rPr>
                <w:rFonts w:ascii="Arial"/>
                <w:sz w:val="21"/>
              </w:rPr>
            </w:pPr>
          </w:p>
          <w:p w14:paraId="42909050">
            <w:pPr>
              <w:pStyle w:val="6"/>
              <w:spacing w:before="62" w:line="183" w:lineRule="auto"/>
              <w:ind w:left="159"/>
            </w:pPr>
            <w:r>
              <w:rPr>
                <w:spacing w:val="-3"/>
              </w:rPr>
              <w:t>62</w:t>
            </w:r>
          </w:p>
        </w:tc>
        <w:tc>
          <w:tcPr>
            <w:tcW w:w="2010" w:type="dxa"/>
            <w:vAlign w:val="top"/>
          </w:tcPr>
          <w:p w14:paraId="040AE8AB">
            <w:pPr>
              <w:spacing w:line="405" w:lineRule="auto"/>
              <w:rPr>
                <w:rFonts w:ascii="Arial"/>
                <w:sz w:val="21"/>
              </w:rPr>
            </w:pPr>
          </w:p>
          <w:p w14:paraId="7ED04904">
            <w:pPr>
              <w:pStyle w:val="6"/>
              <w:spacing w:before="62" w:line="219" w:lineRule="auto"/>
              <w:ind w:left="35"/>
            </w:pPr>
            <w:r>
              <w:rPr>
                <w:spacing w:val="-1"/>
              </w:rPr>
              <w:t>运维工具管控措施缺失</w:t>
            </w:r>
          </w:p>
        </w:tc>
        <w:tc>
          <w:tcPr>
            <w:tcW w:w="5814" w:type="dxa"/>
            <w:tcBorders>
              <w:right w:val="nil"/>
            </w:tcBorders>
            <w:vAlign w:val="top"/>
          </w:tcPr>
          <w:p w14:paraId="78A13906">
            <w:pPr>
              <w:pStyle w:val="6"/>
              <w:spacing w:before="59" w:line="255" w:lineRule="auto"/>
              <w:ind w:left="14"/>
              <w:jc w:val="both"/>
            </w:pPr>
            <w:r>
              <w:rPr>
                <w:spacing w:val="-3"/>
              </w:rPr>
              <w:t>建议在管理制度及实际运维过程中加强运维工具的</w:t>
            </w:r>
            <w:r>
              <w:rPr>
                <w:spacing w:val="-4"/>
              </w:rPr>
              <w:t>管控，明确运维工具</w:t>
            </w:r>
            <w:r>
              <w:t xml:space="preserve"> </w:t>
            </w:r>
            <w:r>
              <w:rPr>
                <w:spacing w:val="-3"/>
              </w:rPr>
              <w:t>经过审批及必要的安全检查后才能接入使用，使用完成后应对</w:t>
            </w:r>
            <w:r>
              <w:rPr>
                <w:spacing w:val="-4"/>
              </w:rPr>
              <w:t>工具中的</w:t>
            </w:r>
            <w:r>
              <w:t xml:space="preserve"> </w:t>
            </w:r>
            <w:r>
              <w:rPr>
                <w:spacing w:val="-3"/>
              </w:rPr>
              <w:t>数据进行检查，删除敏感数据，避免敏感数据</w:t>
            </w:r>
            <w:r>
              <w:rPr>
                <w:spacing w:val="-4"/>
              </w:rPr>
              <w:t>泄露；尽可能使用商业化</w:t>
            </w:r>
            <w:r>
              <w:t xml:space="preserve"> </w:t>
            </w:r>
            <w:r>
              <w:rPr>
                <w:spacing w:val="2"/>
              </w:rPr>
              <w:t>的运维工具，严禁运维人员私自下载第三方未</w:t>
            </w:r>
            <w:r>
              <w:rPr>
                <w:spacing w:val="1"/>
              </w:rPr>
              <w:t>商业化的运维工具</w:t>
            </w:r>
          </w:p>
        </w:tc>
      </w:tr>
      <w:tr w14:paraId="3D466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8" w:hRule="atLeast"/>
        </w:trPr>
        <w:tc>
          <w:tcPr>
            <w:tcW w:w="520" w:type="dxa"/>
            <w:tcBorders>
              <w:left w:val="nil"/>
            </w:tcBorders>
            <w:vAlign w:val="top"/>
          </w:tcPr>
          <w:p w14:paraId="6A3C9593">
            <w:pPr>
              <w:spacing w:line="297" w:lineRule="auto"/>
              <w:rPr>
                <w:rFonts w:ascii="Arial"/>
                <w:sz w:val="21"/>
              </w:rPr>
            </w:pPr>
          </w:p>
          <w:p w14:paraId="58F12B07">
            <w:pPr>
              <w:spacing w:line="297" w:lineRule="auto"/>
              <w:rPr>
                <w:rFonts w:ascii="Arial"/>
                <w:sz w:val="21"/>
              </w:rPr>
            </w:pPr>
          </w:p>
          <w:p w14:paraId="517C4FEA">
            <w:pPr>
              <w:pStyle w:val="6"/>
              <w:spacing w:before="62" w:line="183" w:lineRule="auto"/>
              <w:ind w:left="159"/>
            </w:pPr>
            <w:r>
              <w:rPr>
                <w:spacing w:val="-3"/>
              </w:rPr>
              <w:t>63</w:t>
            </w:r>
          </w:p>
        </w:tc>
        <w:tc>
          <w:tcPr>
            <w:tcW w:w="2010" w:type="dxa"/>
            <w:vAlign w:val="top"/>
          </w:tcPr>
          <w:p w14:paraId="175FC403">
            <w:pPr>
              <w:spacing w:line="272" w:lineRule="auto"/>
              <w:rPr>
                <w:rFonts w:ascii="Arial"/>
                <w:sz w:val="21"/>
              </w:rPr>
            </w:pPr>
          </w:p>
          <w:p w14:paraId="4E221E8E">
            <w:pPr>
              <w:spacing w:line="273" w:lineRule="auto"/>
              <w:rPr>
                <w:rFonts w:ascii="Arial"/>
                <w:sz w:val="21"/>
              </w:rPr>
            </w:pPr>
          </w:p>
          <w:p w14:paraId="38DDD9BC">
            <w:pPr>
              <w:pStyle w:val="6"/>
              <w:spacing w:before="62" w:line="219" w:lineRule="auto"/>
              <w:ind w:left="35"/>
            </w:pPr>
            <w:r>
              <w:t>设备外联管控措施缺失</w:t>
            </w:r>
          </w:p>
        </w:tc>
        <w:tc>
          <w:tcPr>
            <w:tcW w:w="5814" w:type="dxa"/>
            <w:tcBorders>
              <w:right w:val="nil"/>
            </w:tcBorders>
            <w:vAlign w:val="top"/>
          </w:tcPr>
          <w:p w14:paraId="7783AAB3">
            <w:pPr>
              <w:pStyle w:val="6"/>
              <w:spacing w:before="91" w:line="252" w:lineRule="auto"/>
              <w:ind w:left="14"/>
              <w:jc w:val="both"/>
            </w:pPr>
            <w:r>
              <w:rPr>
                <w:spacing w:val="-6"/>
              </w:rPr>
              <w:t>建议在制度上明确所有与外部连接的授权和批准，并定期对外联行为进</w:t>
            </w:r>
            <w:r>
              <w:rPr>
                <w:spacing w:val="1"/>
              </w:rPr>
              <w:t xml:space="preserve">  </w:t>
            </w:r>
            <w:r>
              <w:rPr>
                <w:spacing w:val="-6"/>
              </w:rPr>
              <w:t>行检查，及时关闭不再使用的外部连接；在技术上采用终端管理系统等</w:t>
            </w:r>
            <w:r>
              <w:rPr>
                <w:spacing w:val="2"/>
              </w:rPr>
              <w:t xml:space="preserve">  </w:t>
            </w:r>
            <w:r>
              <w:rPr>
                <w:spacing w:val="-3"/>
              </w:rPr>
              <w:t>具有相关功能的安全产品，实现违规外联和违规接入的有效控</w:t>
            </w:r>
            <w:r>
              <w:rPr>
                <w:spacing w:val="-4"/>
              </w:rPr>
              <w:t>制措施，</w:t>
            </w:r>
            <w:r>
              <w:t xml:space="preserve"> </w:t>
            </w:r>
            <w:r>
              <w:rPr>
                <w:spacing w:val="-6"/>
              </w:rPr>
              <w:t>并合理设置安全策略，在出现违规外联和违规接入时能第一时间进行检</w:t>
            </w:r>
            <w:r>
              <w:rPr>
                <w:spacing w:val="1"/>
              </w:rPr>
              <w:t xml:space="preserve">  </w:t>
            </w:r>
            <w:r>
              <w:rPr>
                <w:spacing w:val="5"/>
              </w:rPr>
              <w:t>测和阻断</w:t>
            </w:r>
          </w:p>
        </w:tc>
      </w:tr>
      <w:tr w14:paraId="3F145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520" w:type="dxa"/>
            <w:tcBorders>
              <w:left w:val="nil"/>
            </w:tcBorders>
            <w:vAlign w:val="top"/>
          </w:tcPr>
          <w:p w14:paraId="7B20142B">
            <w:pPr>
              <w:spacing w:line="318" w:lineRule="auto"/>
              <w:rPr>
                <w:rFonts w:ascii="Arial"/>
                <w:sz w:val="21"/>
              </w:rPr>
            </w:pPr>
          </w:p>
          <w:p w14:paraId="7AA39C3D">
            <w:pPr>
              <w:pStyle w:val="6"/>
              <w:spacing w:before="61" w:line="183" w:lineRule="auto"/>
              <w:ind w:left="159"/>
            </w:pPr>
            <w:r>
              <w:rPr>
                <w:spacing w:val="-3"/>
              </w:rPr>
              <w:t>64</w:t>
            </w:r>
          </w:p>
        </w:tc>
        <w:tc>
          <w:tcPr>
            <w:tcW w:w="2010" w:type="dxa"/>
            <w:vAlign w:val="top"/>
          </w:tcPr>
          <w:p w14:paraId="292C500C">
            <w:pPr>
              <w:pStyle w:val="6"/>
              <w:spacing w:before="212" w:line="249" w:lineRule="auto"/>
              <w:ind w:left="35" w:right="55"/>
            </w:pPr>
            <w:r>
              <w:t>外来接入设备恶意代码</w:t>
            </w:r>
            <w:r>
              <w:rPr>
                <w:spacing w:val="8"/>
              </w:rPr>
              <w:t xml:space="preserve"> </w:t>
            </w:r>
            <w:r>
              <w:rPr>
                <w:spacing w:val="-2"/>
              </w:rPr>
              <w:t>检查措施缺失</w:t>
            </w:r>
          </w:p>
        </w:tc>
        <w:tc>
          <w:tcPr>
            <w:tcW w:w="5814" w:type="dxa"/>
            <w:tcBorders>
              <w:right w:val="nil"/>
            </w:tcBorders>
            <w:vAlign w:val="top"/>
          </w:tcPr>
          <w:p w14:paraId="3AF390A1">
            <w:pPr>
              <w:pStyle w:val="6"/>
              <w:spacing w:before="72" w:line="245" w:lineRule="auto"/>
              <w:ind w:left="14" w:right="5"/>
              <w:jc w:val="both"/>
            </w:pPr>
            <w:r>
              <w:rPr>
                <w:spacing w:val="-3"/>
              </w:rPr>
              <w:t>建议制定外来接入设备检查制度，任何外来计算</w:t>
            </w:r>
            <w:r>
              <w:rPr>
                <w:spacing w:val="-4"/>
              </w:rPr>
              <w:t>机或存储设备接入系统</w:t>
            </w:r>
            <w:r>
              <w:t xml:space="preserve"> </w:t>
            </w:r>
            <w:r>
              <w:rPr>
                <w:spacing w:val="-3"/>
              </w:rPr>
              <w:t>前必须经过恶意代码检查，在通过检查并经过</w:t>
            </w:r>
            <w:r>
              <w:rPr>
                <w:spacing w:val="-4"/>
              </w:rPr>
              <w:t>审批后，外来设备方可接</w:t>
            </w:r>
            <w:r>
              <w:t xml:space="preserve"> </w:t>
            </w:r>
            <w:r>
              <w:rPr>
                <w:spacing w:val="-2"/>
              </w:rPr>
              <w:t>入系统</w:t>
            </w:r>
          </w:p>
        </w:tc>
      </w:tr>
      <w:tr w14:paraId="37C9E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520" w:type="dxa"/>
            <w:tcBorders>
              <w:left w:val="nil"/>
            </w:tcBorders>
            <w:vAlign w:val="top"/>
          </w:tcPr>
          <w:p w14:paraId="7D37CBAB">
            <w:pPr>
              <w:spacing w:line="319" w:lineRule="auto"/>
              <w:rPr>
                <w:rFonts w:ascii="Arial"/>
                <w:sz w:val="21"/>
              </w:rPr>
            </w:pPr>
          </w:p>
          <w:p w14:paraId="1D7647A5">
            <w:pPr>
              <w:pStyle w:val="6"/>
              <w:spacing w:before="61" w:line="183" w:lineRule="auto"/>
              <w:ind w:left="159"/>
            </w:pPr>
            <w:r>
              <w:rPr>
                <w:spacing w:val="-3"/>
              </w:rPr>
              <w:t>65</w:t>
            </w:r>
          </w:p>
        </w:tc>
        <w:tc>
          <w:tcPr>
            <w:tcW w:w="2010" w:type="dxa"/>
            <w:vAlign w:val="top"/>
          </w:tcPr>
          <w:p w14:paraId="0F3CFA3C">
            <w:pPr>
              <w:spacing w:line="270" w:lineRule="auto"/>
              <w:rPr>
                <w:rFonts w:ascii="Arial"/>
                <w:sz w:val="21"/>
              </w:rPr>
            </w:pPr>
          </w:p>
          <w:p w14:paraId="7C99E93A">
            <w:pPr>
              <w:pStyle w:val="6"/>
              <w:spacing w:before="62" w:line="219" w:lineRule="auto"/>
              <w:ind w:left="35"/>
            </w:pPr>
            <w:r>
              <w:rPr>
                <w:spacing w:val="-1"/>
              </w:rPr>
              <w:t>变更管理制度缺失</w:t>
            </w:r>
          </w:p>
        </w:tc>
        <w:tc>
          <w:tcPr>
            <w:tcW w:w="5814" w:type="dxa"/>
            <w:tcBorders>
              <w:right w:val="nil"/>
            </w:tcBorders>
            <w:vAlign w:val="top"/>
          </w:tcPr>
          <w:p w14:paraId="1D5A950F">
            <w:pPr>
              <w:pStyle w:val="6"/>
              <w:spacing w:before="72" w:line="245" w:lineRule="auto"/>
              <w:ind w:left="14" w:right="8"/>
              <w:jc w:val="both"/>
            </w:pPr>
            <w:r>
              <w:t>建议系统的任何变更均需要管理流程，必须组</w:t>
            </w:r>
            <w:r>
              <w:rPr>
                <w:spacing w:val="-1"/>
              </w:rPr>
              <w:t>织相关人员(业务部门人</w:t>
            </w:r>
            <w:r>
              <w:t xml:space="preserve"> </w:t>
            </w:r>
            <w:r>
              <w:rPr>
                <w:spacing w:val="-1"/>
              </w:rPr>
              <w:t>员与系统运维人员等)进行分析与论证，在确定必须变更后，制定详细</w:t>
            </w:r>
            <w:r>
              <w:rPr>
                <w:spacing w:val="15"/>
              </w:rPr>
              <w:t xml:space="preserve"> </w:t>
            </w:r>
            <w:r>
              <w:t>的变更方案，在经过审批后，先对系统进行备份，再实施变更</w:t>
            </w:r>
          </w:p>
        </w:tc>
      </w:tr>
      <w:tr w14:paraId="04B06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520" w:type="dxa"/>
            <w:tcBorders>
              <w:left w:val="nil"/>
            </w:tcBorders>
            <w:vAlign w:val="top"/>
          </w:tcPr>
          <w:p w14:paraId="665592A5">
            <w:pPr>
              <w:spacing w:line="320" w:lineRule="auto"/>
              <w:rPr>
                <w:rFonts w:ascii="Arial"/>
                <w:sz w:val="21"/>
              </w:rPr>
            </w:pPr>
          </w:p>
          <w:p w14:paraId="6626482D">
            <w:pPr>
              <w:pStyle w:val="6"/>
              <w:spacing w:before="61" w:line="183" w:lineRule="auto"/>
              <w:ind w:left="159"/>
            </w:pPr>
            <w:r>
              <w:rPr>
                <w:spacing w:val="-3"/>
              </w:rPr>
              <w:t>66</w:t>
            </w:r>
          </w:p>
        </w:tc>
        <w:tc>
          <w:tcPr>
            <w:tcW w:w="2010" w:type="dxa"/>
            <w:vAlign w:val="top"/>
          </w:tcPr>
          <w:p w14:paraId="6CC8B751">
            <w:pPr>
              <w:spacing w:line="271" w:lineRule="auto"/>
              <w:rPr>
                <w:rFonts w:ascii="Arial"/>
                <w:sz w:val="21"/>
              </w:rPr>
            </w:pPr>
          </w:p>
          <w:p w14:paraId="78CCE7D7">
            <w:pPr>
              <w:pStyle w:val="6"/>
              <w:spacing w:before="62" w:line="219" w:lineRule="auto"/>
              <w:ind w:left="35"/>
            </w:pPr>
            <w:r>
              <w:rPr>
                <w:spacing w:val="-1"/>
              </w:rPr>
              <w:t>数据备份策略缺失</w:t>
            </w:r>
          </w:p>
        </w:tc>
        <w:tc>
          <w:tcPr>
            <w:tcW w:w="5814" w:type="dxa"/>
            <w:tcBorders>
              <w:right w:val="nil"/>
            </w:tcBorders>
            <w:vAlign w:val="top"/>
          </w:tcPr>
          <w:p w14:paraId="11885592">
            <w:pPr>
              <w:pStyle w:val="6"/>
              <w:spacing w:before="84" w:line="241" w:lineRule="auto"/>
              <w:ind w:left="14"/>
              <w:jc w:val="both"/>
            </w:pPr>
            <w:r>
              <w:rPr>
                <w:spacing w:val="-3"/>
              </w:rPr>
              <w:t>建议制定备份与恢复的相关制度，明确数据备份策略和数据恢</w:t>
            </w:r>
            <w:r>
              <w:rPr>
                <w:spacing w:val="-4"/>
              </w:rPr>
              <w:t>复策略，</w:t>
            </w:r>
            <w:r>
              <w:t xml:space="preserve"> </w:t>
            </w:r>
            <w:r>
              <w:rPr>
                <w:spacing w:val="-6"/>
              </w:rPr>
              <w:t>以及备份程序和恢复程序，实现重要数据的定期备份与恢复测试，保证</w:t>
            </w:r>
            <w:r>
              <w:rPr>
                <w:spacing w:val="1"/>
              </w:rPr>
              <w:t xml:space="preserve">  </w:t>
            </w:r>
            <w:r>
              <w:t>备份数据的高可用性与可恢复性</w:t>
            </w:r>
          </w:p>
        </w:tc>
      </w:tr>
      <w:tr w14:paraId="22798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520" w:type="dxa"/>
            <w:tcBorders>
              <w:left w:val="nil"/>
            </w:tcBorders>
            <w:vAlign w:val="top"/>
          </w:tcPr>
          <w:p w14:paraId="277D5C80">
            <w:pPr>
              <w:pStyle w:val="6"/>
              <w:spacing w:before="244" w:line="183" w:lineRule="auto"/>
              <w:ind w:left="159"/>
            </w:pPr>
            <w:r>
              <w:rPr>
                <w:spacing w:val="-3"/>
              </w:rPr>
              <w:t>67</w:t>
            </w:r>
          </w:p>
        </w:tc>
        <w:tc>
          <w:tcPr>
            <w:tcW w:w="2010" w:type="dxa"/>
            <w:vAlign w:val="top"/>
          </w:tcPr>
          <w:p w14:paraId="65B0495E">
            <w:pPr>
              <w:pStyle w:val="6"/>
              <w:spacing w:before="195" w:line="219" w:lineRule="auto"/>
              <w:ind w:left="35"/>
            </w:pPr>
            <w:r>
              <w:rPr>
                <w:spacing w:val="-1"/>
              </w:rPr>
              <w:t>重要事件应急预案缺失</w:t>
            </w:r>
          </w:p>
        </w:tc>
        <w:tc>
          <w:tcPr>
            <w:tcW w:w="5814" w:type="dxa"/>
            <w:tcBorders>
              <w:right w:val="nil"/>
            </w:tcBorders>
            <w:vAlign w:val="top"/>
          </w:tcPr>
          <w:p w14:paraId="35B345BC">
            <w:pPr>
              <w:pStyle w:val="6"/>
              <w:spacing w:before="75" w:line="230" w:lineRule="auto"/>
              <w:ind w:left="64" w:right="5" w:hanging="50"/>
            </w:pPr>
            <w:r>
              <w:rPr>
                <w:spacing w:val="-3"/>
              </w:rPr>
              <w:t>建议根据系统实际情况，对重要事件制定有针对</w:t>
            </w:r>
            <w:r>
              <w:rPr>
                <w:spacing w:val="-4"/>
              </w:rPr>
              <w:t>性的应急预案，明确重</w:t>
            </w:r>
            <w:r>
              <w:t xml:space="preserve"> </w:t>
            </w:r>
            <w:r>
              <w:rPr>
                <w:spacing w:val="-5"/>
              </w:rPr>
              <w:t>要事件的应急处理流程、系统恢复流程等内容，并对应急预案进行演练</w:t>
            </w:r>
          </w:p>
        </w:tc>
      </w:tr>
      <w:tr w14:paraId="3FC58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520" w:type="dxa"/>
            <w:tcBorders>
              <w:left w:val="nil"/>
            </w:tcBorders>
            <w:vAlign w:val="top"/>
          </w:tcPr>
          <w:p w14:paraId="00F31E53">
            <w:pPr>
              <w:pStyle w:val="6"/>
              <w:spacing w:before="235" w:line="183" w:lineRule="auto"/>
              <w:ind w:left="159"/>
            </w:pPr>
            <w:r>
              <w:rPr>
                <w:spacing w:val="-3"/>
              </w:rPr>
              <w:t>68</w:t>
            </w:r>
          </w:p>
        </w:tc>
        <w:tc>
          <w:tcPr>
            <w:tcW w:w="2010" w:type="dxa"/>
            <w:vAlign w:val="top"/>
          </w:tcPr>
          <w:p w14:paraId="7C50197E">
            <w:pPr>
              <w:pStyle w:val="6"/>
              <w:spacing w:before="77" w:line="224" w:lineRule="auto"/>
              <w:ind w:left="35" w:right="4" w:firstLine="39"/>
            </w:pPr>
            <w:r>
              <w:rPr>
                <w:spacing w:val="2"/>
              </w:rPr>
              <w:t>未对应急预案进行培训</w:t>
            </w:r>
            <w:r>
              <w:t xml:space="preserve"> </w:t>
            </w:r>
            <w:r>
              <w:rPr>
                <w:spacing w:val="-3"/>
              </w:rPr>
              <w:t>演练</w:t>
            </w:r>
          </w:p>
        </w:tc>
        <w:tc>
          <w:tcPr>
            <w:tcW w:w="5814" w:type="dxa"/>
            <w:tcBorders>
              <w:right w:val="nil"/>
            </w:tcBorders>
            <w:vAlign w:val="top"/>
          </w:tcPr>
          <w:p w14:paraId="3218E409">
            <w:pPr>
              <w:pStyle w:val="6"/>
              <w:spacing w:before="65" w:line="230" w:lineRule="auto"/>
              <w:ind w:left="64" w:right="5" w:hanging="50"/>
            </w:pPr>
            <w:r>
              <w:rPr>
                <w:spacing w:val="-3"/>
              </w:rPr>
              <w:t>建议每年定期对相关人员进行应急预案培训与演</w:t>
            </w:r>
            <w:r>
              <w:rPr>
                <w:spacing w:val="-4"/>
              </w:rPr>
              <w:t>练，并保留应急预案培</w:t>
            </w:r>
            <w:r>
              <w:t xml:space="preserve"> </w:t>
            </w:r>
            <w:r>
              <w:rPr>
                <w:spacing w:val="-1"/>
              </w:rPr>
              <w:t>训和演练记录，使参与应急的人员熟练掌握应急的整个过程</w:t>
            </w:r>
          </w:p>
        </w:tc>
      </w:tr>
      <w:tr w14:paraId="678FD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520" w:type="dxa"/>
            <w:tcBorders>
              <w:left w:val="nil"/>
            </w:tcBorders>
            <w:vAlign w:val="top"/>
          </w:tcPr>
          <w:p w14:paraId="35960591">
            <w:pPr>
              <w:pStyle w:val="6"/>
              <w:spacing w:before="246" w:line="183" w:lineRule="auto"/>
              <w:ind w:left="159"/>
            </w:pPr>
            <w:r>
              <w:rPr>
                <w:spacing w:val="-3"/>
              </w:rPr>
              <w:t>69</w:t>
            </w:r>
          </w:p>
        </w:tc>
        <w:tc>
          <w:tcPr>
            <w:tcW w:w="2010" w:type="dxa"/>
            <w:vAlign w:val="top"/>
          </w:tcPr>
          <w:p w14:paraId="5B163EF1">
            <w:pPr>
              <w:pStyle w:val="6"/>
              <w:spacing w:before="86" w:line="227" w:lineRule="auto"/>
              <w:ind w:left="35" w:right="217" w:firstLine="49"/>
            </w:pPr>
            <w:r>
              <w:rPr>
                <w:spacing w:val="-2"/>
              </w:rPr>
              <w:t>云计算平台运维方式</w:t>
            </w:r>
            <w:r>
              <w:rPr>
                <w:spacing w:val="4"/>
              </w:rPr>
              <w:t xml:space="preserve"> </w:t>
            </w:r>
            <w:r>
              <w:rPr>
                <w:spacing w:val="8"/>
              </w:rPr>
              <w:t>不当</w:t>
            </w:r>
          </w:p>
        </w:tc>
        <w:tc>
          <w:tcPr>
            <w:tcW w:w="5814" w:type="dxa"/>
            <w:tcBorders>
              <w:right w:val="nil"/>
            </w:tcBorders>
            <w:vAlign w:val="top"/>
          </w:tcPr>
          <w:p w14:paraId="3A05BD0D">
            <w:pPr>
              <w:pStyle w:val="6"/>
              <w:spacing w:before="78" w:line="231" w:lineRule="auto"/>
              <w:ind w:left="84" w:right="5" w:hanging="70"/>
            </w:pPr>
            <w:r>
              <w:rPr>
                <w:spacing w:val="-3"/>
              </w:rPr>
              <w:t>建议云计算平台在中国境内设置运维场所，如需</w:t>
            </w:r>
            <w:r>
              <w:rPr>
                <w:spacing w:val="-4"/>
              </w:rPr>
              <w:t>从境外对境内云计算平</w:t>
            </w:r>
            <w:r>
              <w:t xml:space="preserve"> 台实施运维操作，则应遵循国家相关规定</w:t>
            </w:r>
          </w:p>
        </w:tc>
      </w:tr>
    </w:tbl>
    <w:p w14:paraId="0D007F45">
      <w:pPr>
        <w:spacing w:line="337" w:lineRule="auto"/>
        <w:rPr>
          <w:rFonts w:ascii="Arial"/>
          <w:sz w:val="21"/>
        </w:rPr>
      </w:pPr>
    </w:p>
    <w:p w14:paraId="2D337CAC">
      <w:pPr>
        <w:pStyle w:val="2"/>
        <w:spacing w:before="91" w:line="222" w:lineRule="auto"/>
        <w:ind w:left="4"/>
        <w:rPr>
          <w:rFonts w:ascii="黑体" w:hAnsi="黑体" w:eastAsia="黑体" w:cs="黑体"/>
          <w:sz w:val="28"/>
          <w:szCs w:val="28"/>
        </w:rPr>
      </w:pPr>
      <w:r>
        <w:rPr>
          <w:b/>
          <w:bCs/>
          <w:color w:val="0057DB"/>
          <w:spacing w:val="-4"/>
          <w:sz w:val="28"/>
          <w:szCs w:val="28"/>
        </w:rPr>
        <w:t>24.7</w:t>
      </w:r>
      <w:r>
        <w:rPr>
          <w:color w:val="0057DB"/>
          <w:spacing w:val="-4"/>
          <w:sz w:val="28"/>
          <w:szCs w:val="28"/>
        </w:rPr>
        <w:t xml:space="preserve">  </w:t>
      </w:r>
      <w:r>
        <w:rPr>
          <w:rFonts w:ascii="黑体" w:hAnsi="黑体" w:eastAsia="黑体" w:cs="黑体"/>
          <w:b/>
          <w:bCs/>
          <w:color w:val="0057DB"/>
          <w:spacing w:val="-4"/>
          <w:sz w:val="28"/>
          <w:szCs w:val="28"/>
        </w:rPr>
        <w:t>验收阶段监理工作</w:t>
      </w:r>
    </w:p>
    <w:p w14:paraId="726390AB">
      <w:pPr>
        <w:pStyle w:val="2"/>
        <w:spacing w:before="234" w:line="285" w:lineRule="auto"/>
        <w:ind w:right="341" w:firstLine="399"/>
        <w:jc w:val="both"/>
        <w:rPr>
          <w:sz w:val="19"/>
          <w:szCs w:val="19"/>
        </w:rPr>
      </w:pPr>
      <w:r>
        <w:rPr>
          <w:spacing w:val="13"/>
          <w:sz w:val="19"/>
          <w:szCs w:val="19"/>
        </w:rPr>
        <w:t>信息系统的安全体系建设是信息系统工程的重要组成部分，信息安全验收能够检验信息系</w:t>
      </w:r>
      <w:r>
        <w:rPr>
          <w:sz w:val="19"/>
          <w:szCs w:val="19"/>
        </w:rPr>
        <w:t xml:space="preserve"> </w:t>
      </w:r>
      <w:r>
        <w:rPr>
          <w:spacing w:val="13"/>
          <w:sz w:val="19"/>
          <w:szCs w:val="19"/>
        </w:rPr>
        <w:t>统安全体系设计的科学性，能够检验信息系统能否有效防范日益严峻的外部网络攻击，能够评</w:t>
      </w:r>
      <w:r>
        <w:rPr>
          <w:spacing w:val="3"/>
          <w:sz w:val="19"/>
          <w:szCs w:val="19"/>
        </w:rPr>
        <w:t xml:space="preserve"> </w:t>
      </w:r>
      <w:r>
        <w:rPr>
          <w:spacing w:val="13"/>
          <w:sz w:val="19"/>
          <w:szCs w:val="19"/>
        </w:rPr>
        <w:t>价安全防范效果。监理机构应重视信息安全验收工作，协调配合业主单位</w:t>
      </w:r>
      <w:r>
        <w:rPr>
          <w:spacing w:val="12"/>
          <w:sz w:val="19"/>
          <w:szCs w:val="19"/>
        </w:rPr>
        <w:t>合理规划验收流程和</w:t>
      </w:r>
      <w:r>
        <w:rPr>
          <w:sz w:val="19"/>
          <w:szCs w:val="19"/>
        </w:rPr>
        <w:t xml:space="preserve"> </w:t>
      </w:r>
      <w:r>
        <w:rPr>
          <w:spacing w:val="5"/>
          <w:sz w:val="19"/>
          <w:szCs w:val="19"/>
        </w:rPr>
        <w:t>事项，达成验收工作目标。</w:t>
      </w:r>
    </w:p>
    <w:p w14:paraId="64A99CC4">
      <w:pPr>
        <w:pStyle w:val="2"/>
        <w:spacing w:before="227" w:line="220" w:lineRule="auto"/>
        <w:ind w:left="2"/>
        <w:rPr>
          <w:sz w:val="25"/>
          <w:szCs w:val="25"/>
        </w:rPr>
      </w:pPr>
      <w:r>
        <w:rPr>
          <w:b/>
          <w:bCs/>
          <w:color w:val="0063E6"/>
          <w:spacing w:val="-16"/>
          <w:sz w:val="25"/>
          <w:szCs w:val="25"/>
        </w:rPr>
        <w:t>24.7.1</w:t>
      </w:r>
      <w:r>
        <w:rPr>
          <w:color w:val="0063E6"/>
          <w:spacing w:val="-16"/>
          <w:sz w:val="25"/>
          <w:szCs w:val="25"/>
        </w:rPr>
        <w:t xml:space="preserve">  </w:t>
      </w:r>
      <w:r>
        <w:rPr>
          <w:b/>
          <w:bCs/>
          <w:color w:val="0063E6"/>
          <w:spacing w:val="-16"/>
          <w:sz w:val="25"/>
          <w:szCs w:val="25"/>
        </w:rPr>
        <w:t>监理活动</w:t>
      </w:r>
    </w:p>
    <w:p w14:paraId="607B8F93">
      <w:pPr>
        <w:pStyle w:val="2"/>
        <w:spacing w:before="143" w:line="219" w:lineRule="auto"/>
        <w:ind w:left="399"/>
        <w:rPr>
          <w:sz w:val="19"/>
          <w:szCs w:val="19"/>
        </w:rPr>
      </w:pPr>
      <w:r>
        <w:rPr>
          <w:spacing w:val="7"/>
          <w:sz w:val="19"/>
          <w:szCs w:val="19"/>
        </w:rPr>
        <w:t>信息安全系统验收阶段的主要监理活动如下：</w:t>
      </w:r>
    </w:p>
    <w:p w14:paraId="2D818B96">
      <w:pPr>
        <w:pStyle w:val="2"/>
        <w:spacing w:before="83" w:line="219" w:lineRule="auto"/>
        <w:ind w:left="399"/>
        <w:rPr>
          <w:sz w:val="19"/>
          <w:szCs w:val="19"/>
        </w:rPr>
      </w:pPr>
      <w:r>
        <w:rPr>
          <w:spacing w:val="15"/>
          <w:sz w:val="19"/>
          <w:szCs w:val="19"/>
        </w:rPr>
        <w:t>(1)依据承建合同、安全设计方案、工程实施方案和实施记录、国家或地方相关标准和技</w:t>
      </w:r>
    </w:p>
    <w:p w14:paraId="322DF834">
      <w:pPr>
        <w:spacing w:line="219" w:lineRule="auto"/>
        <w:rPr>
          <w:sz w:val="19"/>
          <w:szCs w:val="19"/>
        </w:rPr>
        <w:sectPr>
          <w:pgSz w:w="10300" w:h="13310"/>
          <w:pgMar w:top="400" w:right="500" w:bottom="400" w:left="1130" w:header="0" w:footer="0" w:gutter="0"/>
          <w:cols w:space="720" w:num="1"/>
        </w:sectPr>
      </w:pPr>
    </w:p>
    <w:p w14:paraId="3CA6E775">
      <w:pPr>
        <w:pStyle w:val="2"/>
        <w:spacing w:before="68" w:line="219" w:lineRule="auto"/>
        <w:rPr>
          <w:sz w:val="20"/>
          <w:szCs w:val="20"/>
        </w:rPr>
      </w:pPr>
      <w:bookmarkStart w:id="767" w:name="bookmark752"/>
      <w:bookmarkEnd w:id="767"/>
      <w:r>
        <w:rPr>
          <w:rFonts w:ascii="Times New Roman" w:hAnsi="Times New Roman" w:eastAsia="Times New Roman" w:cs="Times New Roman"/>
          <w:spacing w:val="-4"/>
          <w:position w:val="-3"/>
          <w:sz w:val="20"/>
          <w:szCs w:val="20"/>
        </w:rPr>
        <w:t>568</w:t>
      </w:r>
      <w:r>
        <w:rPr>
          <w:rFonts w:ascii="Times New Roman" w:hAnsi="Times New Roman" w:eastAsia="Times New Roman" w:cs="Times New Roman"/>
          <w:spacing w:val="3"/>
          <w:position w:val="-3"/>
          <w:sz w:val="20"/>
          <w:szCs w:val="20"/>
        </w:rPr>
        <w:t xml:space="preserve">             </w:t>
      </w:r>
      <w:r>
        <w:rPr>
          <w:spacing w:val="-4"/>
          <w:sz w:val="20"/>
          <w:szCs w:val="20"/>
        </w:rPr>
        <w:t>信息系统监理师教程(第2版)</w:t>
      </w:r>
    </w:p>
    <w:p w14:paraId="6B62B75C">
      <w:pPr>
        <w:spacing w:line="309" w:lineRule="auto"/>
        <w:rPr>
          <w:rFonts w:ascii="Arial"/>
          <w:sz w:val="21"/>
        </w:rPr>
      </w:pPr>
    </w:p>
    <w:p w14:paraId="57D14C6D">
      <w:pPr>
        <w:pStyle w:val="2"/>
        <w:spacing w:before="65" w:line="300" w:lineRule="auto"/>
        <w:ind w:left="359" w:right="52"/>
        <w:rPr>
          <w:sz w:val="20"/>
          <w:szCs w:val="20"/>
        </w:rPr>
      </w:pPr>
      <w:r>
        <w:rPr>
          <w:spacing w:val="3"/>
          <w:sz w:val="20"/>
          <w:szCs w:val="20"/>
        </w:rPr>
        <w:t>术指导文件，督促承建单位进行系统测试和试运行，对信息系统工程进行安全</w:t>
      </w:r>
      <w:r>
        <w:rPr>
          <w:spacing w:val="2"/>
          <w:sz w:val="20"/>
          <w:szCs w:val="20"/>
        </w:rPr>
        <w:t>符合性检查，以</w:t>
      </w:r>
      <w:r>
        <w:rPr>
          <w:sz w:val="20"/>
          <w:szCs w:val="20"/>
        </w:rPr>
        <w:t xml:space="preserve"> </w:t>
      </w:r>
      <w:r>
        <w:rPr>
          <w:spacing w:val="-2"/>
          <w:sz w:val="20"/>
          <w:szCs w:val="20"/>
        </w:rPr>
        <w:t>验证是否实现了工程安全设计目标和系统安全等级基本要求；</w:t>
      </w:r>
    </w:p>
    <w:p w14:paraId="128F9831">
      <w:pPr>
        <w:pStyle w:val="2"/>
        <w:spacing w:before="8" w:line="218" w:lineRule="auto"/>
        <w:ind w:left="709"/>
        <w:rPr>
          <w:sz w:val="20"/>
          <w:szCs w:val="20"/>
        </w:rPr>
      </w:pPr>
      <w:r>
        <w:rPr>
          <w:spacing w:val="1"/>
          <w:sz w:val="20"/>
          <w:szCs w:val="20"/>
        </w:rPr>
        <w:t>(2)监督系统测试过程，复核测试评估结论，确保建设成果满足规划设计要求；</w:t>
      </w:r>
    </w:p>
    <w:p w14:paraId="1077ADB3">
      <w:pPr>
        <w:pStyle w:val="2"/>
        <w:spacing w:before="66" w:line="277" w:lineRule="auto"/>
        <w:ind w:left="359" w:right="111" w:firstLine="350"/>
        <w:rPr>
          <w:sz w:val="16"/>
          <w:szCs w:val="16"/>
        </w:rPr>
      </w:pPr>
      <w:r>
        <w:rPr>
          <w:spacing w:val="5"/>
          <w:sz w:val="20"/>
          <w:szCs w:val="20"/>
        </w:rPr>
        <w:t>(3)复核项目范围内的软硬件数量、部署位置、运行状态，确保符合招投标文件、承建合</w:t>
      </w:r>
      <w:r>
        <w:rPr>
          <w:spacing w:val="7"/>
          <w:sz w:val="20"/>
          <w:szCs w:val="20"/>
        </w:rPr>
        <w:t xml:space="preserve"> </w:t>
      </w:r>
      <w:r>
        <w:rPr>
          <w:spacing w:val="-12"/>
          <w:sz w:val="16"/>
          <w:szCs w:val="16"/>
        </w:rPr>
        <w:t>同</w:t>
      </w:r>
      <w:r>
        <w:rPr>
          <w:spacing w:val="-10"/>
          <w:sz w:val="16"/>
          <w:szCs w:val="16"/>
        </w:rPr>
        <w:t xml:space="preserve"> </w:t>
      </w:r>
      <w:r>
        <w:rPr>
          <w:spacing w:val="-12"/>
          <w:sz w:val="16"/>
          <w:szCs w:val="16"/>
        </w:rPr>
        <w:t>的</w:t>
      </w:r>
      <w:r>
        <w:rPr>
          <w:spacing w:val="-26"/>
          <w:sz w:val="16"/>
          <w:szCs w:val="16"/>
        </w:rPr>
        <w:t xml:space="preserve"> </w:t>
      </w:r>
      <w:r>
        <w:rPr>
          <w:spacing w:val="-12"/>
          <w:sz w:val="16"/>
          <w:szCs w:val="16"/>
        </w:rPr>
        <w:t>要</w:t>
      </w:r>
      <w:r>
        <w:rPr>
          <w:spacing w:val="-25"/>
          <w:sz w:val="16"/>
          <w:szCs w:val="16"/>
        </w:rPr>
        <w:t xml:space="preserve"> </w:t>
      </w:r>
      <w:r>
        <w:rPr>
          <w:spacing w:val="-12"/>
          <w:sz w:val="16"/>
          <w:szCs w:val="16"/>
        </w:rPr>
        <w:t>求</w:t>
      </w:r>
      <w:r>
        <w:rPr>
          <w:spacing w:val="-33"/>
          <w:sz w:val="16"/>
          <w:szCs w:val="16"/>
        </w:rPr>
        <w:t xml:space="preserve"> </w:t>
      </w:r>
      <w:r>
        <w:rPr>
          <w:spacing w:val="-12"/>
          <w:sz w:val="16"/>
          <w:szCs w:val="16"/>
        </w:rPr>
        <w:t>；</w:t>
      </w:r>
    </w:p>
    <w:p w14:paraId="79F9DB48">
      <w:pPr>
        <w:pStyle w:val="2"/>
        <w:spacing w:before="98" w:line="219" w:lineRule="auto"/>
        <w:ind w:left="709"/>
        <w:rPr>
          <w:sz w:val="20"/>
          <w:szCs w:val="20"/>
        </w:rPr>
      </w:pPr>
      <w:r>
        <w:rPr>
          <w:spacing w:val="1"/>
          <w:sz w:val="20"/>
          <w:szCs w:val="20"/>
        </w:rPr>
        <w:t>(4)协助业主单位建立验收工作机构，做好验收筹备工作，组织项目终验会议；</w:t>
      </w:r>
    </w:p>
    <w:p w14:paraId="370BE44C">
      <w:pPr>
        <w:pStyle w:val="2"/>
        <w:spacing w:before="83" w:line="219" w:lineRule="auto"/>
        <w:ind w:left="709"/>
        <w:rPr>
          <w:sz w:val="20"/>
          <w:szCs w:val="20"/>
        </w:rPr>
      </w:pPr>
      <w:r>
        <w:rPr>
          <w:spacing w:val="1"/>
          <w:sz w:val="20"/>
          <w:szCs w:val="20"/>
        </w:rPr>
        <w:t>(5)协助验收工作机构审核承建单位提供的工程验收方案，并提出监理意见；</w:t>
      </w:r>
    </w:p>
    <w:p w14:paraId="4465B5DD">
      <w:pPr>
        <w:pStyle w:val="2"/>
        <w:spacing w:before="92" w:line="219" w:lineRule="auto"/>
        <w:ind w:left="709"/>
        <w:rPr>
          <w:sz w:val="20"/>
          <w:szCs w:val="20"/>
        </w:rPr>
      </w:pPr>
      <w:r>
        <w:rPr>
          <w:spacing w:val="1"/>
          <w:sz w:val="20"/>
          <w:szCs w:val="20"/>
        </w:rPr>
        <w:t>(6)协助业主单位对承建单位提供的验收申请资料进行评审，并提出监理意见；</w:t>
      </w:r>
    </w:p>
    <w:p w14:paraId="4DE0F055">
      <w:pPr>
        <w:pStyle w:val="2"/>
        <w:spacing w:before="65" w:line="219" w:lineRule="auto"/>
        <w:ind w:left="709"/>
        <w:rPr>
          <w:sz w:val="20"/>
          <w:szCs w:val="20"/>
        </w:rPr>
      </w:pPr>
      <w:r>
        <w:rPr>
          <w:spacing w:val="1"/>
          <w:sz w:val="20"/>
          <w:szCs w:val="20"/>
        </w:rPr>
        <w:t>(7)组织业主单位、承建单位分析相关专家评审意见，并对整改结果进行复核；</w:t>
      </w:r>
    </w:p>
    <w:p w14:paraId="5A87A927">
      <w:pPr>
        <w:pStyle w:val="2"/>
        <w:spacing w:before="80" w:line="218" w:lineRule="auto"/>
        <w:ind w:left="709"/>
        <w:rPr>
          <w:sz w:val="20"/>
          <w:szCs w:val="20"/>
        </w:rPr>
      </w:pPr>
      <w:r>
        <w:rPr>
          <w:spacing w:val="1"/>
          <w:sz w:val="20"/>
          <w:szCs w:val="20"/>
        </w:rPr>
        <w:t>(8)适用时，可建议业主单位委托第三方机构进行安全测评和</w:t>
      </w:r>
      <w:r>
        <w:rPr>
          <w:sz w:val="20"/>
          <w:szCs w:val="20"/>
        </w:rPr>
        <w:t>风险评估；</w:t>
      </w:r>
    </w:p>
    <w:p w14:paraId="0C2C7510">
      <w:pPr>
        <w:pStyle w:val="2"/>
        <w:spacing w:before="85" w:line="219" w:lineRule="auto"/>
        <w:ind w:left="709"/>
        <w:rPr>
          <w:sz w:val="20"/>
          <w:szCs w:val="20"/>
        </w:rPr>
      </w:pPr>
      <w:r>
        <w:rPr>
          <w:spacing w:val="2"/>
          <w:sz w:val="20"/>
          <w:szCs w:val="20"/>
        </w:rPr>
        <w:t>(9)督促承建单位及时整改发现的问题；</w:t>
      </w:r>
    </w:p>
    <w:p w14:paraId="36186862">
      <w:pPr>
        <w:pStyle w:val="2"/>
        <w:spacing w:before="74" w:line="292" w:lineRule="auto"/>
        <w:ind w:left="359" w:right="105" w:firstLine="350"/>
        <w:rPr>
          <w:sz w:val="16"/>
          <w:szCs w:val="16"/>
        </w:rPr>
      </w:pPr>
      <w:r>
        <w:rPr>
          <w:spacing w:val="13"/>
          <w:sz w:val="20"/>
          <w:szCs w:val="20"/>
        </w:rPr>
        <w:t>(10)协助业主单位收集工程设计和实施中的各种关键文档，做好监理文档的组卷归档</w:t>
      </w:r>
      <w:r>
        <w:rPr>
          <w:spacing w:val="6"/>
          <w:sz w:val="20"/>
          <w:szCs w:val="20"/>
        </w:rPr>
        <w:t xml:space="preserve"> </w:t>
      </w:r>
      <w:r>
        <w:rPr>
          <w:spacing w:val="-6"/>
          <w:sz w:val="16"/>
          <w:szCs w:val="16"/>
        </w:rPr>
        <w:t>工</w:t>
      </w:r>
      <w:r>
        <w:rPr>
          <w:spacing w:val="-21"/>
          <w:sz w:val="16"/>
          <w:szCs w:val="16"/>
        </w:rPr>
        <w:t xml:space="preserve"> </w:t>
      </w:r>
      <w:r>
        <w:rPr>
          <w:spacing w:val="-6"/>
          <w:sz w:val="16"/>
          <w:szCs w:val="16"/>
        </w:rPr>
        <w:t>作</w:t>
      </w:r>
      <w:r>
        <w:rPr>
          <w:spacing w:val="-29"/>
          <w:sz w:val="16"/>
          <w:szCs w:val="16"/>
        </w:rPr>
        <w:t xml:space="preserve"> </w:t>
      </w:r>
      <w:r>
        <w:rPr>
          <w:spacing w:val="-6"/>
          <w:sz w:val="16"/>
          <w:szCs w:val="16"/>
        </w:rPr>
        <w:t>。</w:t>
      </w:r>
    </w:p>
    <w:p w14:paraId="7C1FD971">
      <w:pPr>
        <w:pStyle w:val="2"/>
        <w:spacing w:before="229" w:line="219" w:lineRule="auto"/>
        <w:ind w:left="322"/>
        <w:rPr>
          <w:sz w:val="25"/>
          <w:szCs w:val="25"/>
        </w:rPr>
      </w:pPr>
      <w:r>
        <w:rPr>
          <w:b/>
          <w:bCs/>
          <w:color w:val="0078C8"/>
          <w:spacing w:val="-17"/>
          <w:sz w:val="25"/>
          <w:szCs w:val="25"/>
        </w:rPr>
        <w:t>24.7.2</w:t>
      </w:r>
      <w:r>
        <w:rPr>
          <w:color w:val="0078C8"/>
          <w:spacing w:val="-17"/>
          <w:sz w:val="25"/>
          <w:szCs w:val="25"/>
        </w:rPr>
        <w:t xml:space="preserve">  </w:t>
      </w:r>
      <w:r>
        <w:rPr>
          <w:b/>
          <w:bCs/>
          <w:color w:val="0078C8"/>
          <w:spacing w:val="-17"/>
          <w:sz w:val="25"/>
          <w:szCs w:val="25"/>
        </w:rPr>
        <w:t>监理内容</w:t>
      </w:r>
    </w:p>
    <w:p w14:paraId="54BFD779">
      <w:pPr>
        <w:pStyle w:val="2"/>
        <w:spacing w:before="270" w:line="221" w:lineRule="auto"/>
        <w:ind w:left="712"/>
        <w:rPr>
          <w:rFonts w:ascii="黑体" w:hAnsi="黑体" w:eastAsia="黑体" w:cs="黑体"/>
          <w:sz w:val="20"/>
          <w:szCs w:val="20"/>
        </w:rPr>
      </w:pPr>
      <w:r>
        <w:rPr>
          <w:b/>
          <w:bCs/>
          <w:color w:val="0080D6"/>
          <w:spacing w:val="-2"/>
          <w:sz w:val="20"/>
          <w:szCs w:val="20"/>
        </w:rPr>
        <w:t>1.</w:t>
      </w:r>
      <w:r>
        <w:rPr>
          <w:rFonts w:ascii="黑体" w:hAnsi="黑体" w:eastAsia="黑体" w:cs="黑体"/>
          <w:b/>
          <w:bCs/>
          <w:color w:val="0080D6"/>
          <w:spacing w:val="-2"/>
          <w:sz w:val="20"/>
          <w:szCs w:val="20"/>
        </w:rPr>
        <w:t>系统测试的监理</w:t>
      </w:r>
    </w:p>
    <w:p w14:paraId="4668914F">
      <w:pPr>
        <w:pStyle w:val="2"/>
        <w:spacing w:before="134" w:line="219" w:lineRule="auto"/>
        <w:ind w:left="709"/>
        <w:rPr>
          <w:sz w:val="20"/>
          <w:szCs w:val="20"/>
        </w:rPr>
      </w:pPr>
      <w:r>
        <w:rPr>
          <w:spacing w:val="-3"/>
          <w:sz w:val="20"/>
          <w:szCs w:val="20"/>
        </w:rPr>
        <w:t>在进行系统测试的监理时要重点关注以下几点：</w:t>
      </w:r>
    </w:p>
    <w:p w14:paraId="28873C69">
      <w:pPr>
        <w:pStyle w:val="2"/>
        <w:spacing w:before="64" w:line="262" w:lineRule="auto"/>
        <w:ind w:left="359" w:right="104" w:firstLine="350"/>
        <w:rPr>
          <w:sz w:val="20"/>
          <w:szCs w:val="20"/>
        </w:rPr>
      </w:pPr>
      <w:r>
        <w:rPr>
          <w:sz w:val="20"/>
          <w:szCs w:val="20"/>
        </w:rPr>
        <w:t>(1)督促承建单位按照网络、主机、应用、数据等不同层面的安全功能和性能，采用不同的</w:t>
      </w:r>
      <w:r>
        <w:rPr>
          <w:spacing w:val="14"/>
          <w:sz w:val="20"/>
          <w:szCs w:val="20"/>
        </w:rPr>
        <w:t xml:space="preserve"> </w:t>
      </w:r>
      <w:r>
        <w:rPr>
          <w:spacing w:val="-5"/>
          <w:sz w:val="20"/>
          <w:szCs w:val="20"/>
        </w:rPr>
        <w:t>技术检测方法，设计详细的测试技术方案和控制流程，并对测试技术方案和控制流程进行审查。</w:t>
      </w:r>
    </w:p>
    <w:p w14:paraId="0A87661F">
      <w:pPr>
        <w:pStyle w:val="2"/>
        <w:spacing w:before="62" w:line="263" w:lineRule="auto"/>
        <w:ind w:left="359" w:right="111" w:firstLine="350"/>
        <w:rPr>
          <w:sz w:val="20"/>
          <w:szCs w:val="20"/>
        </w:rPr>
      </w:pPr>
      <w:r>
        <w:rPr>
          <w:spacing w:val="5"/>
          <w:sz w:val="20"/>
          <w:szCs w:val="20"/>
        </w:rPr>
        <w:t>(2)督促承建单位对工程实施中安装的设备或产品进行单元测试，以评估是否符合业主单</w:t>
      </w:r>
      <w:r>
        <w:rPr>
          <w:spacing w:val="7"/>
          <w:sz w:val="20"/>
          <w:szCs w:val="20"/>
        </w:rPr>
        <w:t xml:space="preserve"> </w:t>
      </w:r>
      <w:r>
        <w:rPr>
          <w:spacing w:val="-4"/>
          <w:sz w:val="20"/>
          <w:szCs w:val="20"/>
        </w:rPr>
        <w:t>位或工程的安全要求。</w:t>
      </w:r>
    </w:p>
    <w:p w14:paraId="767E45E3">
      <w:pPr>
        <w:pStyle w:val="2"/>
        <w:spacing w:before="69" w:line="219" w:lineRule="auto"/>
        <w:ind w:left="709"/>
        <w:rPr>
          <w:sz w:val="20"/>
          <w:szCs w:val="20"/>
        </w:rPr>
      </w:pPr>
      <w:r>
        <w:rPr>
          <w:spacing w:val="1"/>
          <w:sz w:val="20"/>
          <w:szCs w:val="20"/>
        </w:rPr>
        <w:t>(3)督促承建单位在系统建设完成后、业主单位验收前，进行总体安全性测试。</w:t>
      </w:r>
    </w:p>
    <w:p w14:paraId="12BB2B58">
      <w:pPr>
        <w:pStyle w:val="2"/>
        <w:spacing w:before="84" w:line="253" w:lineRule="auto"/>
        <w:ind w:left="359" w:right="111" w:firstLine="350"/>
        <w:rPr>
          <w:sz w:val="20"/>
          <w:szCs w:val="20"/>
        </w:rPr>
      </w:pPr>
      <w:r>
        <w:rPr>
          <w:spacing w:val="5"/>
          <w:sz w:val="20"/>
          <w:szCs w:val="20"/>
        </w:rPr>
        <w:t>(4)督促承建单位对安全测试的内容做详细的工作记录，包括安全工程测试方法、测试过</w:t>
      </w:r>
      <w:r>
        <w:rPr>
          <w:spacing w:val="7"/>
          <w:sz w:val="20"/>
          <w:szCs w:val="20"/>
        </w:rPr>
        <w:t xml:space="preserve"> </w:t>
      </w:r>
      <w:r>
        <w:rPr>
          <w:spacing w:val="-4"/>
          <w:sz w:val="20"/>
          <w:szCs w:val="20"/>
        </w:rPr>
        <w:t>程、测试指标结果等。</w:t>
      </w:r>
    </w:p>
    <w:p w14:paraId="4101161B">
      <w:pPr>
        <w:pStyle w:val="2"/>
        <w:spacing w:before="71" w:line="219" w:lineRule="auto"/>
        <w:ind w:left="709"/>
        <w:rPr>
          <w:sz w:val="20"/>
          <w:szCs w:val="20"/>
        </w:rPr>
      </w:pPr>
      <w:r>
        <w:rPr>
          <w:spacing w:val="2"/>
          <w:sz w:val="20"/>
          <w:szCs w:val="20"/>
        </w:rPr>
        <w:t>(5)督促承建单位及时整改测试中发现的安全问题。</w:t>
      </w:r>
    </w:p>
    <w:p w14:paraId="22D4E4D5">
      <w:pPr>
        <w:pStyle w:val="2"/>
        <w:spacing w:before="84" w:line="219" w:lineRule="auto"/>
        <w:ind w:left="709"/>
        <w:rPr>
          <w:sz w:val="20"/>
          <w:szCs w:val="20"/>
        </w:rPr>
      </w:pPr>
      <w:r>
        <w:rPr>
          <w:spacing w:val="1"/>
          <w:sz w:val="20"/>
          <w:szCs w:val="20"/>
        </w:rPr>
        <w:t>(6)从以下方面对测试结果进行审查，并提出监理意见：</w:t>
      </w:r>
    </w:p>
    <w:p w14:paraId="45412580">
      <w:pPr>
        <w:pStyle w:val="2"/>
        <w:spacing w:before="71" w:line="219" w:lineRule="auto"/>
        <w:ind w:left="709"/>
        <w:rPr>
          <w:sz w:val="20"/>
          <w:szCs w:val="20"/>
        </w:rPr>
      </w:pPr>
      <w:r>
        <w:rPr>
          <w:sz w:val="20"/>
          <w:szCs w:val="20"/>
        </w:rPr>
        <w:t>●系统安全功能，如用户身份鉴别、访问控制、安全审计、数据存储和传输加密等；</w:t>
      </w:r>
    </w:p>
    <w:p w14:paraId="06A5DAF8">
      <w:pPr>
        <w:pStyle w:val="2"/>
        <w:spacing w:before="95" w:line="219" w:lineRule="auto"/>
        <w:ind w:left="709"/>
        <w:rPr>
          <w:sz w:val="20"/>
          <w:szCs w:val="20"/>
        </w:rPr>
      </w:pPr>
      <w:r>
        <w:rPr>
          <w:spacing w:val="1"/>
          <w:sz w:val="20"/>
          <w:szCs w:val="20"/>
        </w:rPr>
        <w:t>●系统安全性能，如系统可用性、密码算法强度、备份恢复策略等。</w:t>
      </w:r>
    </w:p>
    <w:p w14:paraId="0E31C7D0">
      <w:pPr>
        <w:pStyle w:val="2"/>
        <w:spacing w:before="157" w:line="221" w:lineRule="auto"/>
        <w:ind w:left="712"/>
        <w:rPr>
          <w:rFonts w:ascii="黑体" w:hAnsi="黑体" w:eastAsia="黑体" w:cs="黑体"/>
          <w:sz w:val="20"/>
          <w:szCs w:val="20"/>
        </w:rPr>
      </w:pPr>
      <w:r>
        <w:rPr>
          <w:b/>
          <w:bCs/>
          <w:color w:val="0078D5"/>
          <w:sz w:val="20"/>
          <w:szCs w:val="20"/>
        </w:rPr>
        <w:t>2.</w:t>
      </w:r>
      <w:r>
        <w:rPr>
          <w:rFonts w:ascii="黑体" w:hAnsi="黑体" w:eastAsia="黑体" w:cs="黑体"/>
          <w:b/>
          <w:bCs/>
          <w:color w:val="0078D5"/>
          <w:sz w:val="20"/>
          <w:szCs w:val="20"/>
        </w:rPr>
        <w:t>工程验收方案的审核</w:t>
      </w:r>
    </w:p>
    <w:p w14:paraId="12C09886">
      <w:pPr>
        <w:pStyle w:val="2"/>
        <w:spacing w:before="145" w:line="219" w:lineRule="auto"/>
        <w:ind w:left="709"/>
        <w:rPr>
          <w:sz w:val="20"/>
          <w:szCs w:val="20"/>
        </w:rPr>
      </w:pPr>
      <w:r>
        <w:rPr>
          <w:spacing w:val="-3"/>
          <w:sz w:val="20"/>
          <w:szCs w:val="20"/>
        </w:rPr>
        <w:t>在进行工程验收方案的审核时要重点关注以下几点：</w:t>
      </w:r>
    </w:p>
    <w:p w14:paraId="2A9D63A7">
      <w:pPr>
        <w:pStyle w:val="2"/>
        <w:spacing w:before="64" w:line="220" w:lineRule="auto"/>
        <w:ind w:left="709"/>
        <w:rPr>
          <w:sz w:val="20"/>
          <w:szCs w:val="20"/>
        </w:rPr>
      </w:pPr>
      <w:r>
        <w:rPr>
          <w:spacing w:val="2"/>
          <w:sz w:val="20"/>
          <w:szCs w:val="20"/>
        </w:rPr>
        <w:t>(1)与安全需求、设计方案和实施方案的一致性；</w:t>
      </w:r>
    </w:p>
    <w:p w14:paraId="65716D7E">
      <w:pPr>
        <w:pStyle w:val="2"/>
        <w:spacing w:before="61" w:line="219" w:lineRule="auto"/>
        <w:ind w:left="709"/>
        <w:rPr>
          <w:sz w:val="20"/>
          <w:szCs w:val="20"/>
        </w:rPr>
      </w:pPr>
      <w:r>
        <w:rPr>
          <w:spacing w:val="2"/>
          <w:sz w:val="20"/>
          <w:szCs w:val="20"/>
        </w:rPr>
        <w:t>(2)能够从技术、管理和工程方面保障信息安全，实现安全目标与安全需</w:t>
      </w:r>
      <w:r>
        <w:rPr>
          <w:spacing w:val="1"/>
          <w:sz w:val="20"/>
          <w:szCs w:val="20"/>
        </w:rPr>
        <w:t>求；</w:t>
      </w:r>
    </w:p>
    <w:p w14:paraId="27097CBE">
      <w:pPr>
        <w:pStyle w:val="2"/>
        <w:spacing w:before="73" w:line="219" w:lineRule="auto"/>
        <w:ind w:left="709"/>
        <w:rPr>
          <w:sz w:val="20"/>
          <w:szCs w:val="20"/>
        </w:rPr>
      </w:pPr>
      <w:r>
        <w:rPr>
          <w:spacing w:val="1"/>
          <w:sz w:val="20"/>
          <w:szCs w:val="20"/>
        </w:rPr>
        <w:t>(3)安全设计要求和指标、实现方法及其检测、验证手段；</w:t>
      </w:r>
    </w:p>
    <w:p w14:paraId="11A5FBF2">
      <w:pPr>
        <w:pStyle w:val="2"/>
        <w:spacing w:before="83" w:line="248" w:lineRule="auto"/>
        <w:ind w:left="359" w:firstLine="350"/>
        <w:rPr>
          <w:sz w:val="20"/>
          <w:szCs w:val="20"/>
        </w:rPr>
      </w:pPr>
      <w:r>
        <w:rPr>
          <w:spacing w:val="13"/>
          <w:sz w:val="20"/>
          <w:szCs w:val="20"/>
        </w:rPr>
        <w:t>(4)工程交付物清单(安全体系架构图、安全配置策略、工程设计和实施文档等)齐全、</w:t>
      </w:r>
      <w:r>
        <w:rPr>
          <w:sz w:val="20"/>
          <w:szCs w:val="20"/>
        </w:rPr>
        <w:t xml:space="preserve"> </w:t>
      </w:r>
      <w:r>
        <w:rPr>
          <w:spacing w:val="-6"/>
          <w:sz w:val="20"/>
          <w:szCs w:val="20"/>
        </w:rPr>
        <w:t>完整，且与实际相符；</w:t>
      </w:r>
    </w:p>
    <w:p w14:paraId="686F5E7E">
      <w:pPr>
        <w:pStyle w:val="2"/>
        <w:spacing w:before="61" w:line="218" w:lineRule="auto"/>
        <w:ind w:left="709"/>
        <w:rPr>
          <w:sz w:val="20"/>
          <w:szCs w:val="20"/>
        </w:rPr>
      </w:pPr>
      <w:r>
        <w:rPr>
          <w:spacing w:val="2"/>
          <w:sz w:val="20"/>
          <w:szCs w:val="20"/>
        </w:rPr>
        <w:t>(5)如适用，验收步骤和验收程序可考虑信息安全测评和风险评估环节。</w:t>
      </w:r>
    </w:p>
    <w:p w14:paraId="6725B18A">
      <w:pPr>
        <w:spacing w:line="218" w:lineRule="auto"/>
        <w:rPr>
          <w:sz w:val="20"/>
          <w:szCs w:val="20"/>
        </w:rPr>
        <w:sectPr>
          <w:pgSz w:w="10310" w:h="13420"/>
          <w:pgMar w:top="400" w:right="1099" w:bottom="400" w:left="480" w:header="0" w:footer="0" w:gutter="0"/>
          <w:cols w:space="720" w:num="1"/>
        </w:sectPr>
      </w:pPr>
    </w:p>
    <w:p w14:paraId="1D7303F6">
      <w:pPr>
        <w:pStyle w:val="2"/>
        <w:jc w:val="right"/>
        <w:rPr>
          <w:sz w:val="19"/>
          <w:szCs w:val="19"/>
        </w:rPr>
      </w:pPr>
      <w:r>
        <w:rPr>
          <w:spacing w:val="2"/>
          <w:sz w:val="19"/>
          <w:szCs w:val="19"/>
        </w:rPr>
        <w:t>第24章</w:t>
      </w:r>
      <w:r>
        <w:rPr>
          <w:spacing w:val="37"/>
          <w:sz w:val="19"/>
          <w:szCs w:val="19"/>
        </w:rPr>
        <w:t xml:space="preserve"> </w:t>
      </w:r>
      <w:r>
        <w:rPr>
          <w:spacing w:val="2"/>
          <w:sz w:val="19"/>
          <w:szCs w:val="19"/>
        </w:rPr>
        <w:t xml:space="preserve">信息安全监理      </w:t>
      </w:r>
      <w:r>
        <w:rPr>
          <w:rFonts w:ascii="Times New Roman" w:hAnsi="Times New Roman" w:eastAsia="Times New Roman" w:cs="Times New Roman"/>
          <w:color w:val="0085EC"/>
          <w:spacing w:val="2"/>
          <w:position w:val="-3"/>
          <w:sz w:val="19"/>
          <w:szCs w:val="19"/>
        </w:rPr>
        <w:t>5</w:t>
      </w:r>
      <w:r>
        <w:rPr>
          <w:rFonts w:ascii="Times New Roman" w:hAnsi="Times New Roman" w:eastAsia="Times New Roman" w:cs="Times New Roman"/>
          <w:color w:val="0085EC"/>
          <w:spacing w:val="17"/>
          <w:w w:val="101"/>
          <w:position w:val="-3"/>
          <w:sz w:val="19"/>
          <w:szCs w:val="19"/>
        </w:rPr>
        <w:t xml:space="preserve"> </w:t>
      </w:r>
      <w:r>
        <w:rPr>
          <w:rFonts w:ascii="Times New Roman" w:hAnsi="Times New Roman" w:eastAsia="Times New Roman" w:cs="Times New Roman"/>
          <w:spacing w:val="2"/>
          <w:position w:val="-3"/>
          <w:sz w:val="19"/>
          <w:szCs w:val="19"/>
        </w:rPr>
        <w:t xml:space="preserve">69  </w:t>
      </w:r>
      <w:r>
        <w:rPr>
          <w:position w:val="-7"/>
          <w:sz w:val="19"/>
          <w:szCs w:val="19"/>
        </w:rPr>
        <w:drawing>
          <wp:inline distT="0" distB="0" distL="0" distR="0">
            <wp:extent cx="234950" cy="190500"/>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365"/>
                    <a:stretch>
                      <a:fillRect/>
                    </a:stretch>
                  </pic:blipFill>
                  <pic:spPr>
                    <a:xfrm>
                      <a:off x="0" y="0"/>
                      <a:ext cx="234967" cy="190504"/>
                    </a:xfrm>
                    <a:prstGeom prst="rect">
                      <a:avLst/>
                    </a:prstGeom>
                  </pic:spPr>
                </pic:pic>
              </a:graphicData>
            </a:graphic>
          </wp:inline>
        </w:drawing>
      </w:r>
    </w:p>
    <w:p w14:paraId="76AC2D88">
      <w:pPr>
        <w:spacing w:line="318" w:lineRule="auto"/>
        <w:rPr>
          <w:rFonts w:ascii="Arial"/>
          <w:sz w:val="21"/>
        </w:rPr>
      </w:pPr>
    </w:p>
    <w:p w14:paraId="7C63FC8E">
      <w:pPr>
        <w:pStyle w:val="2"/>
        <w:spacing w:before="62" w:line="222" w:lineRule="auto"/>
        <w:ind w:left="402"/>
        <w:rPr>
          <w:rFonts w:ascii="黑体" w:hAnsi="黑体" w:eastAsia="黑体" w:cs="黑体"/>
          <w:sz w:val="19"/>
          <w:szCs w:val="19"/>
        </w:rPr>
      </w:pPr>
      <w:bookmarkStart w:id="768" w:name="bookmark753"/>
      <w:bookmarkEnd w:id="768"/>
      <w:r>
        <w:rPr>
          <w:b/>
          <w:bCs/>
          <w:color w:val="0073D8"/>
          <w:spacing w:val="6"/>
          <w:sz w:val="19"/>
          <w:szCs w:val="19"/>
        </w:rPr>
        <w:t>3.</w:t>
      </w:r>
      <w:r>
        <w:rPr>
          <w:rFonts w:ascii="黑体" w:hAnsi="黑体" w:eastAsia="黑体" w:cs="黑体"/>
          <w:b/>
          <w:bCs/>
          <w:color w:val="0073D8"/>
          <w:spacing w:val="6"/>
          <w:sz w:val="19"/>
          <w:szCs w:val="19"/>
        </w:rPr>
        <w:t>工程验收过程的监理</w:t>
      </w:r>
    </w:p>
    <w:p w14:paraId="5644E6B4">
      <w:pPr>
        <w:pStyle w:val="2"/>
        <w:spacing w:before="164" w:line="219" w:lineRule="auto"/>
        <w:ind w:left="400"/>
        <w:rPr>
          <w:sz w:val="19"/>
          <w:szCs w:val="19"/>
        </w:rPr>
      </w:pPr>
      <w:r>
        <w:rPr>
          <w:spacing w:val="7"/>
          <w:sz w:val="19"/>
          <w:szCs w:val="19"/>
        </w:rPr>
        <w:t>在进行工程验收过程的监理时要重点关注以下几点：</w:t>
      </w:r>
    </w:p>
    <w:p w14:paraId="3B6B9A7B">
      <w:pPr>
        <w:pStyle w:val="2"/>
        <w:spacing w:before="75" w:line="265" w:lineRule="auto"/>
        <w:ind w:right="812" w:firstLine="400"/>
        <w:rPr>
          <w:sz w:val="19"/>
          <w:szCs w:val="19"/>
        </w:rPr>
      </w:pPr>
      <w:r>
        <w:rPr>
          <w:spacing w:val="15"/>
          <w:sz w:val="19"/>
          <w:szCs w:val="19"/>
        </w:rPr>
        <w:t>(1)督促承建单位在系统验收前先进行系统的</w:t>
      </w:r>
      <w:r>
        <w:rPr>
          <w:spacing w:val="14"/>
          <w:sz w:val="19"/>
          <w:szCs w:val="19"/>
        </w:rPr>
        <w:t>测试和试运行，并进行详细的记录，对发现</w:t>
      </w:r>
      <w:r>
        <w:rPr>
          <w:sz w:val="19"/>
          <w:szCs w:val="19"/>
        </w:rPr>
        <w:t xml:space="preserve"> </w:t>
      </w:r>
      <w:r>
        <w:rPr>
          <w:spacing w:val="1"/>
          <w:sz w:val="19"/>
          <w:szCs w:val="19"/>
        </w:rPr>
        <w:t>的问题及时整改；</w:t>
      </w:r>
    </w:p>
    <w:p w14:paraId="707EBE50">
      <w:pPr>
        <w:pStyle w:val="2"/>
        <w:spacing w:before="83" w:line="274" w:lineRule="auto"/>
        <w:ind w:right="803" w:firstLine="400"/>
        <w:rPr>
          <w:sz w:val="19"/>
          <w:szCs w:val="19"/>
        </w:rPr>
      </w:pPr>
      <w:r>
        <w:rPr>
          <w:spacing w:val="15"/>
          <w:sz w:val="19"/>
          <w:szCs w:val="19"/>
        </w:rPr>
        <w:t>(2)监理机构应建议业主单位和承建单位根据体系结</w:t>
      </w:r>
      <w:r>
        <w:rPr>
          <w:spacing w:val="14"/>
          <w:sz w:val="19"/>
          <w:szCs w:val="19"/>
        </w:rPr>
        <w:t>构设计文件、详细设计文件及相关部</w:t>
      </w:r>
      <w:r>
        <w:rPr>
          <w:sz w:val="19"/>
          <w:szCs w:val="19"/>
        </w:rPr>
        <w:t xml:space="preserve"> </w:t>
      </w:r>
      <w:r>
        <w:rPr>
          <w:spacing w:val="13"/>
          <w:sz w:val="19"/>
          <w:szCs w:val="19"/>
        </w:rPr>
        <w:t>门颁发的有关文件、相关信息技术和信息安全标准、</w:t>
      </w:r>
      <w:r>
        <w:rPr>
          <w:spacing w:val="12"/>
          <w:sz w:val="19"/>
          <w:szCs w:val="19"/>
        </w:rPr>
        <w:t>设计规范、建设规范和验收规范进行项目</w:t>
      </w:r>
      <w:r>
        <w:rPr>
          <w:sz w:val="19"/>
          <w:szCs w:val="19"/>
        </w:rPr>
        <w:t xml:space="preserve"> </w:t>
      </w:r>
      <w:r>
        <w:rPr>
          <w:spacing w:val="1"/>
          <w:sz w:val="19"/>
          <w:szCs w:val="19"/>
        </w:rPr>
        <w:t>验收；</w:t>
      </w:r>
    </w:p>
    <w:p w14:paraId="0031481A">
      <w:pPr>
        <w:pStyle w:val="2"/>
        <w:spacing w:before="94" w:line="266" w:lineRule="auto"/>
        <w:ind w:right="813" w:firstLine="400"/>
        <w:rPr>
          <w:sz w:val="19"/>
          <w:szCs w:val="19"/>
        </w:rPr>
      </w:pPr>
      <w:r>
        <w:rPr>
          <w:spacing w:val="19"/>
          <w:sz w:val="19"/>
          <w:szCs w:val="19"/>
        </w:rPr>
        <w:t>(3)如适用，对介入工程的第三方的工作(例如风险评估、等级测评、软件评测等)过程</w:t>
      </w:r>
      <w:r>
        <w:rPr>
          <w:spacing w:val="10"/>
          <w:sz w:val="19"/>
          <w:szCs w:val="19"/>
        </w:rPr>
        <w:t xml:space="preserve"> </w:t>
      </w:r>
      <w:r>
        <w:rPr>
          <w:spacing w:val="5"/>
          <w:sz w:val="19"/>
          <w:szCs w:val="19"/>
        </w:rPr>
        <w:t>进行监理。</w:t>
      </w:r>
    </w:p>
    <w:p w14:paraId="5DED5AE6">
      <w:pPr>
        <w:spacing w:line="395" w:lineRule="auto"/>
        <w:rPr>
          <w:rFonts w:ascii="Arial"/>
          <w:sz w:val="21"/>
        </w:rPr>
      </w:pPr>
    </w:p>
    <w:p w14:paraId="7C2A5A2A">
      <w:pPr>
        <w:pStyle w:val="2"/>
        <w:spacing w:before="85" w:line="222" w:lineRule="auto"/>
        <w:ind w:left="3"/>
        <w:rPr>
          <w:rFonts w:ascii="黑体" w:hAnsi="黑体" w:eastAsia="黑体" w:cs="黑体"/>
          <w:sz w:val="26"/>
          <w:szCs w:val="26"/>
        </w:rPr>
      </w:pPr>
      <w:r>
        <w:rPr>
          <w:b/>
          <w:bCs/>
          <w:color w:val="0060DE"/>
          <w:spacing w:val="7"/>
          <w:sz w:val="26"/>
          <w:szCs w:val="26"/>
        </w:rPr>
        <w:t>24.8</w:t>
      </w:r>
      <w:r>
        <w:rPr>
          <w:color w:val="0060DE"/>
          <w:spacing w:val="34"/>
          <w:sz w:val="26"/>
          <w:szCs w:val="26"/>
        </w:rPr>
        <w:t xml:space="preserve">  </w:t>
      </w:r>
      <w:r>
        <w:rPr>
          <w:rFonts w:ascii="黑体" w:hAnsi="黑体" w:eastAsia="黑体" w:cs="黑体"/>
          <w:b/>
          <w:bCs/>
          <w:color w:val="0060DE"/>
          <w:spacing w:val="7"/>
          <w:sz w:val="26"/>
          <w:szCs w:val="26"/>
        </w:rPr>
        <w:t>信息安全合规性要求</w:t>
      </w:r>
    </w:p>
    <w:p w14:paraId="4248E215">
      <w:pPr>
        <w:pStyle w:val="2"/>
        <w:spacing w:before="257" w:line="302" w:lineRule="auto"/>
        <w:ind w:right="790" w:firstLine="400"/>
        <w:jc w:val="both"/>
        <w:rPr>
          <w:sz w:val="19"/>
          <w:szCs w:val="19"/>
        </w:rPr>
      </w:pPr>
      <w:r>
        <w:rPr>
          <w:spacing w:val="12"/>
          <w:sz w:val="19"/>
          <w:szCs w:val="19"/>
        </w:rPr>
        <w:t>为了提醒监理单位、监理机构和监理人员在实施信息安全监理活动时，更多地关注信息安</w:t>
      </w:r>
      <w:r>
        <w:rPr>
          <w:spacing w:val="2"/>
          <w:sz w:val="19"/>
          <w:szCs w:val="19"/>
        </w:rPr>
        <w:t xml:space="preserve"> </w:t>
      </w:r>
      <w:r>
        <w:rPr>
          <w:spacing w:val="13"/>
          <w:sz w:val="19"/>
          <w:szCs w:val="19"/>
        </w:rPr>
        <w:t>全国家法律法规要求及相关注意事项，结合监理实践，本节给出了信息安全合规性</w:t>
      </w:r>
      <w:r>
        <w:rPr>
          <w:spacing w:val="12"/>
          <w:sz w:val="19"/>
          <w:szCs w:val="19"/>
        </w:rPr>
        <w:t>要求，为实</w:t>
      </w:r>
      <w:r>
        <w:rPr>
          <w:sz w:val="19"/>
          <w:szCs w:val="19"/>
        </w:rPr>
        <w:t xml:space="preserve"> </w:t>
      </w:r>
      <w:r>
        <w:rPr>
          <w:spacing w:val="6"/>
          <w:sz w:val="19"/>
          <w:szCs w:val="19"/>
        </w:rPr>
        <w:t>践提供参考和指导。</w:t>
      </w:r>
    </w:p>
    <w:p w14:paraId="26D0E5E6">
      <w:pPr>
        <w:pStyle w:val="2"/>
        <w:spacing w:before="166" w:line="218" w:lineRule="auto"/>
        <w:ind w:left="2"/>
        <w:rPr>
          <w:sz w:val="26"/>
          <w:szCs w:val="26"/>
        </w:rPr>
      </w:pPr>
      <w:r>
        <w:rPr>
          <w:b/>
          <w:bCs/>
          <w:color w:val="0061E2"/>
          <w:spacing w:val="-26"/>
          <w:sz w:val="26"/>
          <w:szCs w:val="26"/>
        </w:rPr>
        <w:t>24.8.1</w:t>
      </w:r>
      <w:r>
        <w:rPr>
          <w:color w:val="0061E2"/>
          <w:spacing w:val="103"/>
          <w:sz w:val="26"/>
          <w:szCs w:val="26"/>
        </w:rPr>
        <w:t xml:space="preserve"> </w:t>
      </w:r>
      <w:r>
        <w:rPr>
          <w:b/>
          <w:bCs/>
          <w:color w:val="0061E2"/>
          <w:spacing w:val="-26"/>
          <w:sz w:val="26"/>
          <w:szCs w:val="26"/>
        </w:rPr>
        <w:t>风险评估</w:t>
      </w:r>
    </w:p>
    <w:p w14:paraId="6608C1FE">
      <w:pPr>
        <w:pStyle w:val="2"/>
        <w:spacing w:before="174" w:line="218" w:lineRule="auto"/>
        <w:ind w:left="400"/>
        <w:rPr>
          <w:sz w:val="19"/>
          <w:szCs w:val="19"/>
        </w:rPr>
      </w:pPr>
      <w:r>
        <w:rPr>
          <w:spacing w:val="4"/>
          <w:sz w:val="19"/>
          <w:szCs w:val="19"/>
        </w:rPr>
        <w:t>风险评估方面的合规性要求如下：</w:t>
      </w:r>
    </w:p>
    <w:p w14:paraId="0133702D">
      <w:pPr>
        <w:pStyle w:val="2"/>
        <w:spacing w:before="106" w:line="251" w:lineRule="auto"/>
        <w:ind w:right="788" w:firstLine="400"/>
        <w:rPr>
          <w:sz w:val="19"/>
          <w:szCs w:val="19"/>
        </w:rPr>
      </w:pPr>
      <w:r>
        <w:rPr>
          <w:spacing w:val="15"/>
          <w:sz w:val="19"/>
          <w:szCs w:val="19"/>
        </w:rPr>
        <w:t>(1)应以保障组织业务使命为导向，开展信息安全风险评估工作，以风险评估作为安全需</w:t>
      </w:r>
      <w:r>
        <w:rPr>
          <w:spacing w:val="5"/>
          <w:sz w:val="19"/>
          <w:szCs w:val="19"/>
        </w:rPr>
        <w:t xml:space="preserve"> </w:t>
      </w:r>
      <w:r>
        <w:rPr>
          <w:spacing w:val="1"/>
          <w:sz w:val="19"/>
          <w:szCs w:val="19"/>
        </w:rPr>
        <w:t>求的输入；</w:t>
      </w:r>
    </w:p>
    <w:p w14:paraId="7B2919CD">
      <w:pPr>
        <w:pStyle w:val="2"/>
        <w:spacing w:before="93" w:line="218" w:lineRule="auto"/>
        <w:ind w:left="400"/>
        <w:rPr>
          <w:sz w:val="19"/>
          <w:szCs w:val="19"/>
        </w:rPr>
      </w:pPr>
      <w:r>
        <w:rPr>
          <w:spacing w:val="10"/>
          <w:sz w:val="19"/>
          <w:szCs w:val="19"/>
        </w:rPr>
        <w:t>(2)信息安全风险评估应贯穿信息系统的规划、设计、实施、运行维护以及废弃各个阶段；</w:t>
      </w:r>
    </w:p>
    <w:p w14:paraId="5352D661">
      <w:pPr>
        <w:pStyle w:val="2"/>
        <w:spacing w:before="86" w:line="268" w:lineRule="auto"/>
        <w:ind w:right="809" w:firstLine="400"/>
        <w:rPr>
          <w:sz w:val="19"/>
          <w:szCs w:val="19"/>
        </w:rPr>
      </w:pPr>
      <w:r>
        <w:rPr>
          <w:spacing w:val="13"/>
          <w:sz w:val="19"/>
          <w:szCs w:val="19"/>
        </w:rPr>
        <w:t>(3)应参照</w:t>
      </w:r>
      <w:r>
        <w:rPr>
          <w:rFonts w:ascii="Times New Roman" w:hAnsi="Times New Roman" w:eastAsia="Times New Roman" w:cs="Times New Roman"/>
          <w:sz w:val="19"/>
          <w:szCs w:val="19"/>
        </w:rPr>
        <w:t>GB</w:t>
      </w:r>
      <w:r>
        <w:rPr>
          <w:rFonts w:ascii="Times New Roman" w:hAnsi="Times New Roman" w:eastAsia="Times New Roman" w:cs="Times New Roman"/>
          <w:spacing w:val="13"/>
          <w:sz w:val="19"/>
          <w:szCs w:val="19"/>
        </w:rPr>
        <w:t>/T   20984</w:t>
      </w:r>
      <w:r>
        <w:rPr>
          <w:spacing w:val="13"/>
          <w:sz w:val="19"/>
          <w:szCs w:val="19"/>
        </w:rPr>
        <w:t>《信息安全技术信息安全风险评估方法》,制定风险</w:t>
      </w:r>
      <w:r>
        <w:rPr>
          <w:spacing w:val="12"/>
          <w:sz w:val="19"/>
          <w:szCs w:val="19"/>
        </w:rPr>
        <w:t>评估流程，覆</w:t>
      </w:r>
      <w:r>
        <w:rPr>
          <w:sz w:val="19"/>
          <w:szCs w:val="19"/>
        </w:rPr>
        <w:t xml:space="preserve"> </w:t>
      </w:r>
      <w:r>
        <w:rPr>
          <w:spacing w:val="12"/>
          <w:sz w:val="19"/>
          <w:szCs w:val="19"/>
        </w:rPr>
        <w:t>盖风险评估准备、资产识别、威胁识别、脆弱性识别、已有安全措施确认、风险分析、风险处</w:t>
      </w:r>
      <w:r>
        <w:rPr>
          <w:spacing w:val="14"/>
          <w:sz w:val="19"/>
          <w:szCs w:val="19"/>
        </w:rPr>
        <w:t xml:space="preserve"> </w:t>
      </w:r>
      <w:r>
        <w:rPr>
          <w:spacing w:val="1"/>
          <w:sz w:val="19"/>
          <w:szCs w:val="19"/>
        </w:rPr>
        <w:t>置等环节；</w:t>
      </w:r>
    </w:p>
    <w:p w14:paraId="6883CD90">
      <w:pPr>
        <w:pStyle w:val="2"/>
        <w:spacing w:before="92" w:line="218" w:lineRule="auto"/>
        <w:ind w:left="400"/>
        <w:rPr>
          <w:sz w:val="19"/>
          <w:szCs w:val="19"/>
        </w:rPr>
      </w:pPr>
      <w:r>
        <w:rPr>
          <w:spacing w:val="11"/>
          <w:sz w:val="19"/>
          <w:szCs w:val="19"/>
        </w:rPr>
        <w:t>(4)应确保并持续改进风险评估模型、方</w:t>
      </w:r>
      <w:r>
        <w:rPr>
          <w:spacing w:val="10"/>
          <w:sz w:val="19"/>
          <w:szCs w:val="19"/>
        </w:rPr>
        <w:t>法和工具的合理性和适用性。</w:t>
      </w:r>
    </w:p>
    <w:p w14:paraId="74B6E44B">
      <w:pPr>
        <w:pStyle w:val="2"/>
        <w:spacing w:before="257" w:line="219" w:lineRule="auto"/>
        <w:ind w:left="2"/>
        <w:rPr>
          <w:sz w:val="26"/>
          <w:szCs w:val="26"/>
        </w:rPr>
      </w:pPr>
      <w:r>
        <w:rPr>
          <w:b/>
          <w:bCs/>
          <w:color w:val="005EEC"/>
          <w:spacing w:val="-24"/>
          <w:sz w:val="26"/>
          <w:szCs w:val="26"/>
        </w:rPr>
        <w:t>24.8.2</w:t>
      </w:r>
      <w:r>
        <w:rPr>
          <w:color w:val="005EEC"/>
          <w:spacing w:val="-24"/>
          <w:sz w:val="26"/>
          <w:szCs w:val="26"/>
        </w:rPr>
        <w:t xml:space="preserve">  </w:t>
      </w:r>
      <w:r>
        <w:rPr>
          <w:b/>
          <w:bCs/>
          <w:color w:val="005EEC"/>
          <w:spacing w:val="-24"/>
          <w:sz w:val="26"/>
          <w:szCs w:val="26"/>
        </w:rPr>
        <w:t>等级保护</w:t>
      </w:r>
    </w:p>
    <w:p w14:paraId="7C3FD23D">
      <w:pPr>
        <w:pStyle w:val="2"/>
        <w:spacing w:before="142" w:line="219" w:lineRule="auto"/>
        <w:ind w:left="400"/>
        <w:rPr>
          <w:sz w:val="19"/>
          <w:szCs w:val="19"/>
        </w:rPr>
      </w:pPr>
      <w:r>
        <w:rPr>
          <w:spacing w:val="5"/>
          <w:sz w:val="19"/>
          <w:szCs w:val="19"/>
        </w:rPr>
        <w:t>等级保护方面的合规性要求如下：</w:t>
      </w:r>
    </w:p>
    <w:p w14:paraId="01BF2647">
      <w:pPr>
        <w:pStyle w:val="2"/>
        <w:spacing w:before="64" w:line="267" w:lineRule="auto"/>
        <w:ind w:right="791" w:firstLine="400"/>
        <w:rPr>
          <w:sz w:val="19"/>
          <w:szCs w:val="19"/>
        </w:rPr>
      </w:pPr>
      <w:r>
        <w:rPr>
          <w:spacing w:val="15"/>
          <w:sz w:val="19"/>
          <w:szCs w:val="19"/>
        </w:rPr>
        <w:t>(1)应按照“谁主管谁负责、谁运营谁负责、谁使用谁负责”的要求，落实信息安全责任</w:t>
      </w:r>
      <w:r>
        <w:rPr>
          <w:spacing w:val="2"/>
          <w:sz w:val="19"/>
          <w:szCs w:val="19"/>
        </w:rPr>
        <w:t xml:space="preserve"> </w:t>
      </w:r>
      <w:r>
        <w:rPr>
          <w:spacing w:val="1"/>
          <w:sz w:val="19"/>
          <w:szCs w:val="19"/>
        </w:rPr>
        <w:t>主体；</w:t>
      </w:r>
    </w:p>
    <w:p w14:paraId="1F03948D">
      <w:pPr>
        <w:pStyle w:val="2"/>
        <w:spacing w:before="80" w:line="253" w:lineRule="auto"/>
        <w:ind w:right="791" w:firstLine="400"/>
        <w:rPr>
          <w:sz w:val="19"/>
          <w:szCs w:val="19"/>
        </w:rPr>
      </w:pPr>
      <w:r>
        <w:rPr>
          <w:spacing w:val="16"/>
          <w:sz w:val="19"/>
          <w:szCs w:val="19"/>
        </w:rPr>
        <w:t>(2)应按照“自主定级、自主保护”的原则，参照</w:t>
      </w:r>
      <w:r>
        <w:rPr>
          <w:rFonts w:ascii="Times New Roman" w:hAnsi="Times New Roman" w:eastAsia="Times New Roman" w:cs="Times New Roman"/>
          <w:sz w:val="19"/>
          <w:szCs w:val="19"/>
        </w:rPr>
        <w:t>GB</w:t>
      </w:r>
      <w:r>
        <w:rPr>
          <w:rFonts w:ascii="Times New Roman" w:hAnsi="Times New Roman" w:eastAsia="Times New Roman" w:cs="Times New Roman"/>
          <w:spacing w:val="16"/>
          <w:sz w:val="19"/>
          <w:szCs w:val="19"/>
        </w:rPr>
        <w:t>/T   2505</w:t>
      </w:r>
      <w:r>
        <w:rPr>
          <w:rFonts w:ascii="Times New Roman" w:hAnsi="Times New Roman" w:eastAsia="Times New Roman" w:cs="Times New Roman"/>
          <w:spacing w:val="15"/>
          <w:sz w:val="19"/>
          <w:szCs w:val="19"/>
        </w:rPr>
        <w:t>8</w:t>
      </w:r>
      <w:r>
        <w:rPr>
          <w:spacing w:val="15"/>
          <w:sz w:val="19"/>
          <w:szCs w:val="19"/>
        </w:rPr>
        <w:t>《信息安全技术网络安全</w:t>
      </w:r>
      <w:r>
        <w:rPr>
          <w:sz w:val="19"/>
          <w:szCs w:val="19"/>
        </w:rPr>
        <w:t xml:space="preserve"> </w:t>
      </w:r>
      <w:r>
        <w:rPr>
          <w:spacing w:val="9"/>
          <w:sz w:val="19"/>
          <w:szCs w:val="19"/>
        </w:rPr>
        <w:t>等级保护实施指南》,开展等级保护的定级、备案、建设、测评</w:t>
      </w:r>
      <w:r>
        <w:rPr>
          <w:spacing w:val="8"/>
          <w:sz w:val="19"/>
          <w:szCs w:val="19"/>
        </w:rPr>
        <w:t>、整改等工作；</w:t>
      </w:r>
    </w:p>
    <w:p w14:paraId="44BD160F">
      <w:pPr>
        <w:pStyle w:val="2"/>
        <w:spacing w:before="79" w:line="297" w:lineRule="auto"/>
        <w:ind w:right="791" w:firstLine="400"/>
        <w:rPr>
          <w:sz w:val="19"/>
          <w:szCs w:val="19"/>
        </w:rPr>
      </w:pPr>
      <w:r>
        <w:rPr>
          <w:spacing w:val="10"/>
          <w:sz w:val="19"/>
          <w:szCs w:val="19"/>
        </w:rPr>
        <w:t>(</w:t>
      </w:r>
      <w:r>
        <w:rPr>
          <w:spacing w:val="-40"/>
          <w:sz w:val="19"/>
          <w:szCs w:val="19"/>
        </w:rPr>
        <w:t xml:space="preserve"> </w:t>
      </w:r>
      <w:r>
        <w:rPr>
          <w:spacing w:val="10"/>
          <w:sz w:val="19"/>
          <w:szCs w:val="19"/>
        </w:rPr>
        <w:t>3</w:t>
      </w:r>
      <w:r>
        <w:rPr>
          <w:spacing w:val="-42"/>
          <w:sz w:val="19"/>
          <w:szCs w:val="19"/>
        </w:rPr>
        <w:t xml:space="preserve"> </w:t>
      </w:r>
      <w:r>
        <w:rPr>
          <w:spacing w:val="10"/>
          <w:sz w:val="19"/>
          <w:szCs w:val="19"/>
        </w:rPr>
        <w:t>)</w:t>
      </w:r>
      <w:r>
        <w:rPr>
          <w:spacing w:val="-44"/>
          <w:sz w:val="19"/>
          <w:szCs w:val="19"/>
        </w:rPr>
        <w:t xml:space="preserve"> </w:t>
      </w:r>
      <w:r>
        <w:rPr>
          <w:spacing w:val="10"/>
          <w:sz w:val="19"/>
          <w:szCs w:val="19"/>
        </w:rPr>
        <w:t>应</w:t>
      </w:r>
      <w:r>
        <w:rPr>
          <w:spacing w:val="-41"/>
          <w:sz w:val="19"/>
          <w:szCs w:val="19"/>
        </w:rPr>
        <w:t xml:space="preserve"> </w:t>
      </w:r>
      <w:r>
        <w:rPr>
          <w:spacing w:val="10"/>
          <w:sz w:val="19"/>
          <w:szCs w:val="19"/>
        </w:rPr>
        <w:t>参</w:t>
      </w:r>
      <w:r>
        <w:rPr>
          <w:spacing w:val="-38"/>
          <w:sz w:val="19"/>
          <w:szCs w:val="19"/>
        </w:rPr>
        <w:t xml:space="preserve"> </w:t>
      </w:r>
      <w:r>
        <w:rPr>
          <w:spacing w:val="10"/>
          <w:sz w:val="19"/>
          <w:szCs w:val="19"/>
        </w:rPr>
        <w:t>照</w:t>
      </w:r>
      <w:r>
        <w:rPr>
          <w:rFonts w:ascii="Times New Roman" w:hAnsi="Times New Roman" w:eastAsia="Times New Roman" w:cs="Times New Roman"/>
          <w:sz w:val="19"/>
          <w:szCs w:val="19"/>
        </w:rPr>
        <w:t>GB</w:t>
      </w:r>
      <w:r>
        <w:rPr>
          <w:rFonts w:ascii="Times New Roman" w:hAnsi="Times New Roman" w:eastAsia="Times New Roman" w:cs="Times New Roman"/>
          <w:spacing w:val="10"/>
          <w:sz w:val="19"/>
          <w:szCs w:val="19"/>
        </w:rPr>
        <w:t>/T   22239</w:t>
      </w:r>
      <w:r>
        <w:rPr>
          <w:spacing w:val="10"/>
          <w:sz w:val="19"/>
          <w:szCs w:val="19"/>
        </w:rPr>
        <w:t>《信息安全技术网络安</w:t>
      </w:r>
      <w:r>
        <w:rPr>
          <w:spacing w:val="9"/>
          <w:sz w:val="19"/>
          <w:szCs w:val="19"/>
        </w:rPr>
        <w:t>全等级保护基本要求》中相应等级的技术</w:t>
      </w:r>
      <w:r>
        <w:rPr>
          <w:sz w:val="19"/>
          <w:szCs w:val="19"/>
        </w:rPr>
        <w:t xml:space="preserve"> </w:t>
      </w:r>
      <w:r>
        <w:rPr>
          <w:spacing w:val="6"/>
          <w:sz w:val="19"/>
          <w:szCs w:val="19"/>
        </w:rPr>
        <w:t>和管理要求，选择并落实安全控制措施；</w:t>
      </w:r>
    </w:p>
    <w:p w14:paraId="58681E43">
      <w:pPr>
        <w:pStyle w:val="2"/>
        <w:spacing w:before="2" w:line="298" w:lineRule="auto"/>
        <w:ind w:right="788" w:firstLine="400"/>
        <w:rPr>
          <w:sz w:val="19"/>
          <w:szCs w:val="19"/>
        </w:rPr>
      </w:pPr>
      <w:r>
        <w:rPr>
          <w:spacing w:val="15"/>
          <w:sz w:val="19"/>
          <w:szCs w:val="19"/>
        </w:rPr>
        <w:t>(4)应定期对信息系统安全状况、安全控制措施的符合情况进行自查，并按要求开展等级</w:t>
      </w:r>
      <w:r>
        <w:rPr>
          <w:spacing w:val="5"/>
          <w:sz w:val="19"/>
          <w:szCs w:val="19"/>
        </w:rPr>
        <w:t xml:space="preserve"> </w:t>
      </w:r>
      <w:r>
        <w:rPr>
          <w:spacing w:val="4"/>
          <w:sz w:val="19"/>
          <w:szCs w:val="19"/>
        </w:rPr>
        <w:t>保护测评。</w:t>
      </w:r>
    </w:p>
    <w:p w14:paraId="75FE52F3">
      <w:pPr>
        <w:spacing w:line="298" w:lineRule="auto"/>
        <w:rPr>
          <w:sz w:val="19"/>
          <w:szCs w:val="19"/>
        </w:rPr>
        <w:sectPr>
          <w:pgSz w:w="10290" w:h="13310"/>
          <w:pgMar w:top="370" w:right="9" w:bottom="400" w:left="1169" w:header="0" w:footer="0" w:gutter="0"/>
          <w:cols w:space="720" w:num="1"/>
        </w:sectPr>
      </w:pPr>
    </w:p>
    <w:p w14:paraId="42FCACCC">
      <w:pPr>
        <w:pStyle w:val="2"/>
        <w:spacing w:before="17" w:line="219" w:lineRule="auto"/>
        <w:rPr>
          <w:sz w:val="19"/>
          <w:szCs w:val="19"/>
        </w:rPr>
      </w:pPr>
      <w:r>
        <w:rPr>
          <w:rFonts w:ascii="Times New Roman" w:hAnsi="Times New Roman" w:eastAsia="Times New Roman" w:cs="Times New Roman"/>
          <w:spacing w:val="3"/>
          <w:position w:val="1"/>
          <w:sz w:val="19"/>
          <w:szCs w:val="19"/>
        </w:rPr>
        <w:t>570</w:t>
      </w:r>
      <w:r>
        <w:rPr>
          <w:rFonts w:ascii="Times New Roman" w:hAnsi="Times New Roman" w:eastAsia="Times New Roman" w:cs="Times New Roman"/>
          <w:spacing w:val="1"/>
          <w:position w:val="1"/>
          <w:sz w:val="19"/>
          <w:szCs w:val="19"/>
        </w:rPr>
        <w:t xml:space="preserve">               </w:t>
      </w:r>
      <w:r>
        <w:rPr>
          <w:spacing w:val="3"/>
          <w:sz w:val="19"/>
          <w:szCs w:val="19"/>
        </w:rPr>
        <w:t>信息系统监理师教程(第2版)</w:t>
      </w:r>
    </w:p>
    <w:p w14:paraId="3E21BB6C">
      <w:pPr>
        <w:spacing w:line="310" w:lineRule="auto"/>
        <w:rPr>
          <w:rFonts w:ascii="Arial"/>
          <w:sz w:val="21"/>
        </w:rPr>
      </w:pPr>
    </w:p>
    <w:p w14:paraId="4A6C7A98">
      <w:pPr>
        <w:pStyle w:val="2"/>
        <w:spacing w:before="81" w:line="219" w:lineRule="auto"/>
        <w:ind w:left="342"/>
        <w:rPr>
          <w:sz w:val="25"/>
          <w:szCs w:val="25"/>
        </w:rPr>
      </w:pPr>
      <w:r>
        <w:rPr>
          <w:b/>
          <w:bCs/>
          <w:color w:val="0080E3"/>
          <w:spacing w:val="-16"/>
          <w:sz w:val="25"/>
          <w:szCs w:val="25"/>
        </w:rPr>
        <w:t>24.8.3</w:t>
      </w:r>
      <w:r>
        <w:rPr>
          <w:color w:val="0080E3"/>
          <w:spacing w:val="-16"/>
          <w:sz w:val="25"/>
          <w:szCs w:val="25"/>
        </w:rPr>
        <w:t xml:space="preserve">  </w:t>
      </w:r>
      <w:r>
        <w:rPr>
          <w:b/>
          <w:bCs/>
          <w:color w:val="0080E3"/>
          <w:spacing w:val="-16"/>
          <w:sz w:val="25"/>
          <w:szCs w:val="25"/>
        </w:rPr>
        <w:t>信息安全技术体系</w:t>
      </w:r>
    </w:p>
    <w:p w14:paraId="58B36F9A">
      <w:pPr>
        <w:pStyle w:val="2"/>
        <w:spacing w:before="194" w:line="219" w:lineRule="auto"/>
        <w:ind w:left="759"/>
        <w:rPr>
          <w:sz w:val="19"/>
          <w:szCs w:val="19"/>
        </w:rPr>
      </w:pPr>
      <w:r>
        <w:rPr>
          <w:spacing w:val="6"/>
          <w:sz w:val="19"/>
          <w:szCs w:val="19"/>
        </w:rPr>
        <w:t>信息安全技术体系方面的合规性要求如下：</w:t>
      </w:r>
    </w:p>
    <w:p w14:paraId="0475AF10">
      <w:pPr>
        <w:pStyle w:val="2"/>
        <w:spacing w:before="93" w:line="262" w:lineRule="auto"/>
        <w:ind w:left="339" w:right="62" w:firstLine="420"/>
        <w:rPr>
          <w:sz w:val="19"/>
          <w:szCs w:val="19"/>
        </w:rPr>
      </w:pPr>
      <w:r>
        <w:rPr>
          <w:spacing w:val="15"/>
          <w:sz w:val="19"/>
          <w:szCs w:val="19"/>
        </w:rPr>
        <w:t>(1)应建立有效的信息安全技术体系，部署安全产品，选取安全服务和安全机制</w:t>
      </w:r>
      <w:r>
        <w:rPr>
          <w:spacing w:val="14"/>
          <w:sz w:val="19"/>
          <w:szCs w:val="19"/>
        </w:rPr>
        <w:t>，保障信</w:t>
      </w:r>
      <w:r>
        <w:rPr>
          <w:sz w:val="19"/>
          <w:szCs w:val="19"/>
        </w:rPr>
        <w:t xml:space="preserve"> </w:t>
      </w:r>
      <w:r>
        <w:rPr>
          <w:spacing w:val="-1"/>
          <w:sz w:val="19"/>
          <w:szCs w:val="19"/>
        </w:rPr>
        <w:t>息安全；</w:t>
      </w:r>
    </w:p>
    <w:p w14:paraId="3F6F3A47">
      <w:pPr>
        <w:pStyle w:val="2"/>
        <w:spacing w:before="111" w:line="219" w:lineRule="auto"/>
        <w:ind w:left="759"/>
        <w:rPr>
          <w:sz w:val="19"/>
          <w:szCs w:val="19"/>
        </w:rPr>
      </w:pPr>
      <w:r>
        <w:rPr>
          <w:spacing w:val="11"/>
          <w:sz w:val="19"/>
          <w:szCs w:val="19"/>
        </w:rPr>
        <w:t>(2)安全技术体系应符合“深度防御”和“动态保障”等基本原</w:t>
      </w:r>
      <w:r>
        <w:rPr>
          <w:spacing w:val="10"/>
          <w:sz w:val="19"/>
          <w:szCs w:val="19"/>
        </w:rPr>
        <w:t>则；</w:t>
      </w:r>
    </w:p>
    <w:p w14:paraId="44AE3558">
      <w:pPr>
        <w:pStyle w:val="2"/>
        <w:spacing w:before="64" w:line="212" w:lineRule="auto"/>
        <w:ind w:left="759"/>
        <w:rPr>
          <w:rFonts w:ascii="Times New Roman" w:hAnsi="Times New Roman" w:eastAsia="Times New Roman" w:cs="Times New Roman"/>
          <w:sz w:val="19"/>
          <w:szCs w:val="19"/>
        </w:rPr>
      </w:pPr>
      <w:r>
        <w:rPr>
          <w:spacing w:val="11"/>
          <w:sz w:val="19"/>
          <w:szCs w:val="19"/>
        </w:rPr>
        <w:t>(3)应制定信息系统不同层面、不同产品和系统的安全配置基线和标准作</w:t>
      </w:r>
      <w:r>
        <w:rPr>
          <w:spacing w:val="10"/>
          <w:sz w:val="19"/>
          <w:szCs w:val="19"/>
        </w:rPr>
        <w:t>业流程</w:t>
      </w:r>
      <w:r>
        <w:rPr>
          <w:spacing w:val="-42"/>
          <w:sz w:val="19"/>
          <w:szCs w:val="19"/>
        </w:rPr>
        <w:t xml:space="preserve"> </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SOP</w:t>
      </w:r>
      <w:r>
        <w:rPr>
          <w:rFonts w:ascii="Times New Roman" w:hAnsi="Times New Roman" w:eastAsia="Times New Roman" w:cs="Times New Roman"/>
          <w:spacing w:val="10"/>
          <w:sz w:val="19"/>
          <w:szCs w:val="19"/>
        </w:rPr>
        <w:t>);</w:t>
      </w:r>
    </w:p>
    <w:p w14:paraId="6AB9DD38">
      <w:pPr>
        <w:pStyle w:val="2"/>
        <w:spacing w:before="113" w:line="265" w:lineRule="auto"/>
        <w:ind w:left="339" w:right="66" w:firstLine="420"/>
        <w:rPr>
          <w:sz w:val="19"/>
          <w:szCs w:val="19"/>
        </w:rPr>
      </w:pPr>
      <w:r>
        <w:rPr>
          <w:spacing w:val="15"/>
          <w:sz w:val="19"/>
          <w:szCs w:val="19"/>
        </w:rPr>
        <w:t>(4)应建立持续的安全审计和安全监控机制，定期开展配置检查、漏洞扫</w:t>
      </w:r>
      <w:r>
        <w:rPr>
          <w:spacing w:val="14"/>
          <w:sz w:val="19"/>
          <w:szCs w:val="19"/>
        </w:rPr>
        <w:t>描、渗透测试等</w:t>
      </w:r>
      <w:r>
        <w:rPr>
          <w:sz w:val="19"/>
          <w:szCs w:val="19"/>
        </w:rPr>
        <w:t xml:space="preserve"> </w:t>
      </w:r>
      <w:r>
        <w:rPr>
          <w:spacing w:val="1"/>
          <w:sz w:val="19"/>
          <w:szCs w:val="19"/>
        </w:rPr>
        <w:t>技术检测。</w:t>
      </w:r>
    </w:p>
    <w:p w14:paraId="12BA6B09">
      <w:pPr>
        <w:pStyle w:val="2"/>
        <w:spacing w:before="284" w:line="219" w:lineRule="auto"/>
        <w:ind w:left="342"/>
        <w:rPr>
          <w:sz w:val="25"/>
          <w:szCs w:val="25"/>
        </w:rPr>
      </w:pPr>
      <w:r>
        <w:rPr>
          <w:b/>
          <w:bCs/>
          <w:color w:val="0078E1"/>
          <w:spacing w:val="-16"/>
          <w:sz w:val="25"/>
          <w:szCs w:val="25"/>
        </w:rPr>
        <w:t>24.8.4</w:t>
      </w:r>
      <w:r>
        <w:rPr>
          <w:color w:val="0078E1"/>
          <w:spacing w:val="94"/>
          <w:sz w:val="25"/>
          <w:szCs w:val="25"/>
        </w:rPr>
        <w:t xml:space="preserve"> </w:t>
      </w:r>
      <w:r>
        <w:rPr>
          <w:b/>
          <w:bCs/>
          <w:color w:val="0078E1"/>
          <w:spacing w:val="-16"/>
          <w:sz w:val="25"/>
          <w:szCs w:val="25"/>
        </w:rPr>
        <w:t>信息安全管理体系</w:t>
      </w:r>
    </w:p>
    <w:p w14:paraId="4CF31DD3">
      <w:pPr>
        <w:pStyle w:val="2"/>
        <w:spacing w:before="154" w:line="219" w:lineRule="auto"/>
        <w:ind w:left="759"/>
        <w:rPr>
          <w:sz w:val="19"/>
          <w:szCs w:val="19"/>
        </w:rPr>
      </w:pPr>
      <w:r>
        <w:rPr>
          <w:spacing w:val="6"/>
          <w:sz w:val="19"/>
          <w:szCs w:val="19"/>
        </w:rPr>
        <w:t>信息安全管理体系方面的合规性要求如下：</w:t>
      </w:r>
    </w:p>
    <w:p w14:paraId="1920F234">
      <w:pPr>
        <w:pStyle w:val="2"/>
        <w:spacing w:before="104" w:line="274" w:lineRule="auto"/>
        <w:ind w:left="339" w:right="72" w:firstLine="420"/>
        <w:rPr>
          <w:sz w:val="19"/>
          <w:szCs w:val="19"/>
        </w:rPr>
      </w:pPr>
      <w:r>
        <w:rPr>
          <w:spacing w:val="15"/>
          <w:sz w:val="19"/>
          <w:szCs w:val="19"/>
        </w:rPr>
        <w:t>(1)应参照</w:t>
      </w:r>
      <w:r>
        <w:rPr>
          <w:rFonts w:ascii="Times New Roman" w:hAnsi="Times New Roman" w:eastAsia="Times New Roman" w:cs="Times New Roman"/>
          <w:sz w:val="19"/>
          <w:szCs w:val="19"/>
        </w:rPr>
        <w:t>GB</w:t>
      </w:r>
      <w:r>
        <w:rPr>
          <w:rFonts w:ascii="Times New Roman" w:hAnsi="Times New Roman" w:eastAsia="Times New Roman" w:cs="Times New Roman"/>
          <w:spacing w:val="15"/>
          <w:sz w:val="19"/>
          <w:szCs w:val="19"/>
        </w:rPr>
        <w:t>/T</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pacing w:val="15"/>
          <w:sz w:val="19"/>
          <w:szCs w:val="19"/>
        </w:rPr>
        <w:t>22080</w:t>
      </w:r>
      <w:r>
        <w:rPr>
          <w:spacing w:val="15"/>
          <w:sz w:val="19"/>
          <w:szCs w:val="19"/>
        </w:rPr>
        <w:t>《信息技术安全技术信息安全管理体系要求》</w:t>
      </w:r>
      <w:r>
        <w:rPr>
          <w:spacing w:val="14"/>
          <w:sz w:val="19"/>
          <w:szCs w:val="19"/>
        </w:rPr>
        <w:t>和</w:t>
      </w:r>
      <w:r>
        <w:rPr>
          <w:rFonts w:ascii="Times New Roman" w:hAnsi="Times New Roman" w:eastAsia="Times New Roman" w:cs="Times New Roman"/>
          <w:sz w:val="19"/>
          <w:szCs w:val="19"/>
        </w:rPr>
        <w:t>GB</w:t>
      </w:r>
      <w:r>
        <w:rPr>
          <w:rFonts w:ascii="Times New Roman" w:hAnsi="Times New Roman" w:eastAsia="Times New Roman" w:cs="Times New Roman"/>
          <w:spacing w:val="14"/>
          <w:sz w:val="19"/>
          <w:szCs w:val="19"/>
        </w:rPr>
        <w:t>/T  22081</w:t>
      </w:r>
      <w:r>
        <w:rPr>
          <w:spacing w:val="14"/>
          <w:sz w:val="19"/>
          <w:szCs w:val="19"/>
        </w:rPr>
        <w:t>《信</w:t>
      </w:r>
      <w:r>
        <w:rPr>
          <w:sz w:val="19"/>
          <w:szCs w:val="19"/>
        </w:rPr>
        <w:t xml:space="preserve"> </w:t>
      </w:r>
      <w:r>
        <w:rPr>
          <w:spacing w:val="18"/>
          <w:sz w:val="19"/>
          <w:szCs w:val="19"/>
        </w:rPr>
        <w:t>息技术安全技术信息安全控制实践指南》进行信息安全管理体系</w:t>
      </w:r>
      <w:r>
        <w:rPr>
          <w:spacing w:val="17"/>
          <w:sz w:val="19"/>
          <w:szCs w:val="19"/>
        </w:rPr>
        <w:t>的建立、实现、维护和持续</w:t>
      </w:r>
      <w:r>
        <w:rPr>
          <w:sz w:val="19"/>
          <w:szCs w:val="19"/>
        </w:rPr>
        <w:t xml:space="preserve"> </w:t>
      </w:r>
      <w:r>
        <w:rPr>
          <w:spacing w:val="-2"/>
          <w:sz w:val="19"/>
          <w:szCs w:val="19"/>
        </w:rPr>
        <w:t>改进；</w:t>
      </w:r>
    </w:p>
    <w:p w14:paraId="47DF3A41">
      <w:pPr>
        <w:pStyle w:val="2"/>
        <w:spacing w:before="95" w:line="219" w:lineRule="auto"/>
        <w:ind w:left="759"/>
        <w:rPr>
          <w:sz w:val="19"/>
          <w:szCs w:val="19"/>
        </w:rPr>
      </w:pPr>
      <w:r>
        <w:rPr>
          <w:spacing w:val="11"/>
          <w:sz w:val="19"/>
          <w:szCs w:val="19"/>
        </w:rPr>
        <w:t>(2)应确定信息安全管理体系范围，制定信息安全方针，明确</w:t>
      </w:r>
      <w:r>
        <w:rPr>
          <w:spacing w:val="10"/>
          <w:sz w:val="19"/>
          <w:szCs w:val="19"/>
        </w:rPr>
        <w:t>信息安全管理职责；</w:t>
      </w:r>
    </w:p>
    <w:p w14:paraId="1FF53C82">
      <w:pPr>
        <w:pStyle w:val="2"/>
        <w:spacing w:before="83" w:line="218" w:lineRule="auto"/>
        <w:ind w:left="759"/>
        <w:rPr>
          <w:sz w:val="19"/>
          <w:szCs w:val="19"/>
        </w:rPr>
      </w:pPr>
      <w:r>
        <w:rPr>
          <w:spacing w:val="10"/>
          <w:sz w:val="19"/>
          <w:szCs w:val="19"/>
        </w:rPr>
        <w:t>(3)应以风险评估为基础，选择控制目标和控制措施来建立信息安全管理体系；</w:t>
      </w:r>
    </w:p>
    <w:p w14:paraId="1D55CCC8">
      <w:pPr>
        <w:pStyle w:val="2"/>
        <w:spacing w:before="77" w:line="270" w:lineRule="auto"/>
        <w:ind w:left="339" w:firstLine="420"/>
        <w:rPr>
          <w:sz w:val="19"/>
          <w:szCs w:val="19"/>
        </w:rPr>
      </w:pPr>
      <w:r>
        <w:rPr>
          <w:spacing w:val="11"/>
          <w:sz w:val="19"/>
          <w:szCs w:val="19"/>
        </w:rPr>
        <w:t>(4)应通过信息安全方针、程序文件或制度、操作规程、记录和表单等文件的建立和实施，</w:t>
      </w:r>
      <w:r>
        <w:rPr>
          <w:spacing w:val="18"/>
          <w:sz w:val="19"/>
          <w:szCs w:val="19"/>
        </w:rPr>
        <w:t xml:space="preserve"> </w:t>
      </w:r>
      <w:r>
        <w:rPr>
          <w:spacing w:val="5"/>
          <w:sz w:val="19"/>
          <w:szCs w:val="19"/>
        </w:rPr>
        <w:t>持续改进信息安全管理体系；</w:t>
      </w:r>
    </w:p>
    <w:p w14:paraId="6ADE8E76">
      <w:pPr>
        <w:pStyle w:val="2"/>
        <w:spacing w:before="95" w:line="219" w:lineRule="auto"/>
        <w:ind w:left="759"/>
        <w:rPr>
          <w:sz w:val="19"/>
          <w:szCs w:val="19"/>
        </w:rPr>
      </w:pPr>
      <w:r>
        <w:rPr>
          <w:spacing w:val="11"/>
          <w:sz w:val="19"/>
          <w:szCs w:val="19"/>
        </w:rPr>
        <w:t>(5)对信息系统工程的业主单位和承建单位，均应要求建立信息安全管理体系。</w:t>
      </w:r>
    </w:p>
    <w:p w14:paraId="420B6A3E">
      <w:pPr>
        <w:pStyle w:val="2"/>
        <w:spacing w:before="233" w:line="219" w:lineRule="auto"/>
        <w:ind w:left="342"/>
        <w:rPr>
          <w:sz w:val="25"/>
          <w:szCs w:val="25"/>
        </w:rPr>
      </w:pPr>
      <w:r>
        <w:rPr>
          <w:b/>
          <w:bCs/>
          <w:color w:val="006FD1"/>
          <w:spacing w:val="-17"/>
          <w:sz w:val="25"/>
          <w:szCs w:val="25"/>
        </w:rPr>
        <w:t>24.8.5</w:t>
      </w:r>
      <w:r>
        <w:rPr>
          <w:color w:val="006FD1"/>
          <w:spacing w:val="96"/>
          <w:sz w:val="25"/>
          <w:szCs w:val="25"/>
        </w:rPr>
        <w:t xml:space="preserve"> </w:t>
      </w:r>
      <w:r>
        <w:rPr>
          <w:b/>
          <w:bCs/>
          <w:color w:val="006FD1"/>
          <w:spacing w:val="-17"/>
          <w:sz w:val="25"/>
          <w:szCs w:val="25"/>
        </w:rPr>
        <w:t>信息系统安全测评</w:t>
      </w:r>
    </w:p>
    <w:p w14:paraId="2A3D8DD0">
      <w:pPr>
        <w:pStyle w:val="2"/>
        <w:spacing w:before="185" w:line="219" w:lineRule="auto"/>
        <w:ind w:left="759"/>
        <w:rPr>
          <w:sz w:val="19"/>
          <w:szCs w:val="19"/>
        </w:rPr>
      </w:pPr>
      <w:r>
        <w:rPr>
          <w:spacing w:val="6"/>
          <w:sz w:val="19"/>
          <w:szCs w:val="19"/>
        </w:rPr>
        <w:t>信息系统安全测评方面的合规性要求如下：</w:t>
      </w:r>
    </w:p>
    <w:p w14:paraId="5C63B6D8">
      <w:pPr>
        <w:pStyle w:val="2"/>
        <w:spacing w:before="93" w:line="219" w:lineRule="auto"/>
        <w:ind w:left="759"/>
        <w:rPr>
          <w:sz w:val="19"/>
          <w:szCs w:val="19"/>
        </w:rPr>
      </w:pPr>
      <w:r>
        <w:rPr>
          <w:spacing w:val="11"/>
          <w:sz w:val="19"/>
          <w:szCs w:val="19"/>
        </w:rPr>
        <w:t>(1)应做好与安全测评机构的沟通，在工程验收阶段和系统运行阶段按需开展安全测评；</w:t>
      </w:r>
    </w:p>
    <w:p w14:paraId="3489C27E">
      <w:pPr>
        <w:pStyle w:val="2"/>
        <w:spacing w:before="74" w:line="219" w:lineRule="auto"/>
        <w:ind w:left="759"/>
        <w:rPr>
          <w:sz w:val="19"/>
          <w:szCs w:val="19"/>
        </w:rPr>
      </w:pPr>
      <w:r>
        <w:rPr>
          <w:spacing w:val="10"/>
          <w:sz w:val="19"/>
          <w:szCs w:val="19"/>
        </w:rPr>
        <w:t>(2)应协调信息系统各相关方配合测评机构开展测评工作；</w:t>
      </w:r>
    </w:p>
    <w:p w14:paraId="40CFEB75">
      <w:pPr>
        <w:pStyle w:val="2"/>
        <w:spacing w:before="86" w:line="219" w:lineRule="auto"/>
        <w:ind w:left="759"/>
        <w:rPr>
          <w:sz w:val="19"/>
          <w:szCs w:val="19"/>
        </w:rPr>
      </w:pPr>
      <w:r>
        <w:rPr>
          <w:spacing w:val="11"/>
          <w:sz w:val="19"/>
          <w:szCs w:val="19"/>
        </w:rPr>
        <w:t>(3)应做好安全测评过程中相关的技术准备、文档准备和人员准</w:t>
      </w:r>
      <w:r>
        <w:rPr>
          <w:spacing w:val="10"/>
          <w:sz w:val="19"/>
          <w:szCs w:val="19"/>
        </w:rPr>
        <w:t>备；</w:t>
      </w:r>
    </w:p>
    <w:p w14:paraId="474842F8">
      <w:pPr>
        <w:pStyle w:val="2"/>
        <w:spacing w:before="95" w:line="219" w:lineRule="auto"/>
        <w:ind w:left="759"/>
        <w:rPr>
          <w:sz w:val="19"/>
          <w:szCs w:val="19"/>
        </w:rPr>
      </w:pPr>
      <w:r>
        <w:rPr>
          <w:spacing w:val="11"/>
          <w:sz w:val="19"/>
          <w:szCs w:val="19"/>
        </w:rPr>
        <w:t>(4)应对安全测评中发现的问题及时进行安全加固、安全优化</w:t>
      </w:r>
      <w:r>
        <w:rPr>
          <w:spacing w:val="10"/>
          <w:sz w:val="19"/>
          <w:szCs w:val="19"/>
        </w:rPr>
        <w:t>等整改工作。</w:t>
      </w:r>
    </w:p>
    <w:p w14:paraId="3F0AB2DC">
      <w:pPr>
        <w:pStyle w:val="2"/>
        <w:spacing w:before="254" w:line="219" w:lineRule="auto"/>
        <w:ind w:left="342"/>
        <w:rPr>
          <w:sz w:val="25"/>
          <w:szCs w:val="25"/>
        </w:rPr>
      </w:pPr>
      <w:r>
        <w:rPr>
          <w:b/>
          <w:bCs/>
          <w:color w:val="0075DD"/>
          <w:spacing w:val="-15"/>
          <w:sz w:val="25"/>
          <w:szCs w:val="25"/>
        </w:rPr>
        <w:t>24.8.6</w:t>
      </w:r>
      <w:r>
        <w:rPr>
          <w:color w:val="0075DD"/>
          <w:spacing w:val="70"/>
          <w:sz w:val="25"/>
          <w:szCs w:val="25"/>
        </w:rPr>
        <w:t xml:space="preserve"> </w:t>
      </w:r>
      <w:r>
        <w:rPr>
          <w:b/>
          <w:bCs/>
          <w:color w:val="0075DD"/>
          <w:spacing w:val="-15"/>
          <w:sz w:val="25"/>
          <w:szCs w:val="25"/>
        </w:rPr>
        <w:t>应急管理</w:t>
      </w:r>
    </w:p>
    <w:p w14:paraId="31E579C3">
      <w:pPr>
        <w:pStyle w:val="2"/>
        <w:spacing w:before="164" w:line="219" w:lineRule="auto"/>
        <w:ind w:left="759"/>
        <w:rPr>
          <w:sz w:val="19"/>
          <w:szCs w:val="19"/>
        </w:rPr>
      </w:pPr>
      <w:r>
        <w:rPr>
          <w:spacing w:val="7"/>
          <w:sz w:val="19"/>
          <w:szCs w:val="19"/>
        </w:rPr>
        <w:t>应急管理方面的合规性要求如下：</w:t>
      </w:r>
    </w:p>
    <w:p w14:paraId="2B18825A">
      <w:pPr>
        <w:pStyle w:val="2"/>
        <w:spacing w:before="95" w:line="255" w:lineRule="auto"/>
        <w:ind w:left="339" w:right="67" w:firstLine="420"/>
        <w:rPr>
          <w:sz w:val="19"/>
          <w:szCs w:val="19"/>
        </w:rPr>
      </w:pPr>
      <w:r>
        <w:rPr>
          <w:spacing w:val="16"/>
          <w:sz w:val="19"/>
          <w:szCs w:val="19"/>
        </w:rPr>
        <w:t>(1)应参照</w:t>
      </w:r>
      <w:r>
        <w:rPr>
          <w:rFonts w:ascii="Times New Roman" w:hAnsi="Times New Roman" w:eastAsia="Times New Roman" w:cs="Times New Roman"/>
          <w:sz w:val="19"/>
          <w:szCs w:val="19"/>
        </w:rPr>
        <w:t>GB</w:t>
      </w:r>
      <w:r>
        <w:rPr>
          <w:rFonts w:ascii="Times New Roman" w:hAnsi="Times New Roman" w:eastAsia="Times New Roman" w:cs="Times New Roman"/>
          <w:spacing w:val="16"/>
          <w:sz w:val="19"/>
          <w:szCs w:val="19"/>
        </w:rPr>
        <w:t>/T   20986</w:t>
      </w:r>
      <w:r>
        <w:rPr>
          <w:spacing w:val="16"/>
          <w:sz w:val="19"/>
          <w:szCs w:val="19"/>
        </w:rPr>
        <w:t>《信息安全</w:t>
      </w:r>
      <w:r>
        <w:rPr>
          <w:spacing w:val="15"/>
          <w:sz w:val="19"/>
          <w:szCs w:val="19"/>
        </w:rPr>
        <w:t>技术网络安全事件分类分级指南》对信息安全事件进</w:t>
      </w:r>
      <w:r>
        <w:rPr>
          <w:sz w:val="19"/>
          <w:szCs w:val="19"/>
        </w:rPr>
        <w:t xml:space="preserve"> </w:t>
      </w:r>
      <w:r>
        <w:rPr>
          <w:spacing w:val="2"/>
          <w:sz w:val="19"/>
          <w:szCs w:val="19"/>
        </w:rPr>
        <w:t>行分类、分级；</w:t>
      </w:r>
    </w:p>
    <w:p w14:paraId="7AE6D413">
      <w:pPr>
        <w:pStyle w:val="2"/>
        <w:spacing w:before="65" w:line="260" w:lineRule="auto"/>
        <w:ind w:left="339" w:right="59" w:firstLine="420"/>
        <w:rPr>
          <w:sz w:val="19"/>
          <w:szCs w:val="19"/>
        </w:rPr>
      </w:pPr>
      <w:r>
        <w:rPr>
          <w:spacing w:val="16"/>
          <w:sz w:val="19"/>
          <w:szCs w:val="19"/>
        </w:rPr>
        <w:t>(2)应参照</w:t>
      </w:r>
      <w:r>
        <w:rPr>
          <w:rFonts w:ascii="Times New Roman" w:hAnsi="Times New Roman" w:eastAsia="Times New Roman" w:cs="Times New Roman"/>
          <w:sz w:val="19"/>
          <w:szCs w:val="19"/>
        </w:rPr>
        <w:t>GB</w:t>
      </w:r>
      <w:r>
        <w:rPr>
          <w:rFonts w:ascii="Times New Roman" w:hAnsi="Times New Roman" w:eastAsia="Times New Roman" w:cs="Times New Roman"/>
          <w:spacing w:val="16"/>
          <w:sz w:val="19"/>
          <w:szCs w:val="19"/>
        </w:rPr>
        <w:t>/T   20985</w:t>
      </w:r>
      <w:r>
        <w:rPr>
          <w:spacing w:val="16"/>
          <w:sz w:val="19"/>
          <w:szCs w:val="19"/>
        </w:rPr>
        <w:t>《信息技术安全技术信息安全</w:t>
      </w:r>
      <w:r>
        <w:rPr>
          <w:spacing w:val="15"/>
          <w:sz w:val="19"/>
          <w:szCs w:val="19"/>
        </w:rPr>
        <w:t>事件管理》建立应急响应小组，制</w:t>
      </w:r>
      <w:r>
        <w:rPr>
          <w:sz w:val="19"/>
          <w:szCs w:val="19"/>
        </w:rPr>
        <w:t xml:space="preserve"> </w:t>
      </w:r>
      <w:r>
        <w:rPr>
          <w:spacing w:val="8"/>
          <w:sz w:val="19"/>
          <w:szCs w:val="19"/>
        </w:rPr>
        <w:t>定应急响应流程，实施信息安全事件管理各过程的主要活动；</w:t>
      </w:r>
    </w:p>
    <w:p w14:paraId="21741A4F">
      <w:pPr>
        <w:pStyle w:val="2"/>
        <w:spacing w:before="95" w:line="219" w:lineRule="auto"/>
        <w:ind w:left="759"/>
        <w:rPr>
          <w:sz w:val="19"/>
          <w:szCs w:val="19"/>
        </w:rPr>
      </w:pPr>
      <w:r>
        <w:rPr>
          <w:spacing w:val="10"/>
          <w:sz w:val="19"/>
          <w:szCs w:val="19"/>
        </w:rPr>
        <w:t>(3)应确保信息安全应急管理的人员、预案、操作、工具、资源可用性；</w:t>
      </w:r>
    </w:p>
    <w:p w14:paraId="7CAEEC7A">
      <w:pPr>
        <w:pStyle w:val="2"/>
        <w:spacing w:before="74" w:line="219" w:lineRule="auto"/>
        <w:jc w:val="right"/>
        <w:rPr>
          <w:sz w:val="19"/>
          <w:szCs w:val="19"/>
        </w:rPr>
      </w:pPr>
      <w:r>
        <w:rPr>
          <w:spacing w:val="11"/>
          <w:sz w:val="19"/>
          <w:szCs w:val="19"/>
        </w:rPr>
        <w:t>(4)应制定信息系统总体应急预案和各类子预案，定期进行应急预案的培训、演练和修订。</w:t>
      </w:r>
    </w:p>
    <w:p w14:paraId="3EF60256">
      <w:pPr>
        <w:spacing w:line="219" w:lineRule="auto"/>
        <w:rPr>
          <w:sz w:val="19"/>
          <w:szCs w:val="19"/>
        </w:rPr>
        <w:sectPr>
          <w:pgSz w:w="10310" w:h="13400"/>
          <w:pgMar w:top="400" w:right="1124" w:bottom="400" w:left="450" w:header="0" w:footer="0" w:gutter="0"/>
          <w:cols w:space="720" w:num="1"/>
        </w:sectPr>
      </w:pPr>
    </w:p>
    <w:p w14:paraId="11D33DA5">
      <w:pPr>
        <w:pStyle w:val="2"/>
        <w:jc w:val="right"/>
        <w:rPr>
          <w:rFonts w:ascii="Times New Roman" w:hAnsi="Times New Roman" w:eastAsia="Times New Roman" w:cs="Times New Roman"/>
          <w:sz w:val="24"/>
          <w:szCs w:val="24"/>
        </w:rPr>
      </w:pPr>
      <w:r>
        <w:rPr>
          <w:spacing w:val="1"/>
          <w:sz w:val="19"/>
          <w:szCs w:val="19"/>
        </w:rPr>
        <w:t>第24章</w:t>
      </w:r>
      <w:r>
        <w:rPr>
          <w:spacing w:val="27"/>
          <w:sz w:val="19"/>
          <w:szCs w:val="19"/>
        </w:rPr>
        <w:t xml:space="preserve"> </w:t>
      </w:r>
      <w:r>
        <w:rPr>
          <w:spacing w:val="1"/>
          <w:sz w:val="19"/>
          <w:szCs w:val="19"/>
        </w:rPr>
        <w:t>信息安全监理</w:t>
      </w:r>
      <w:r>
        <w:rPr>
          <w:spacing w:val="29"/>
          <w:sz w:val="19"/>
          <w:szCs w:val="19"/>
        </w:rPr>
        <w:t xml:space="preserve"> </w:t>
      </w:r>
      <w:r>
        <w:rPr>
          <w:position w:val="-10"/>
          <w:sz w:val="19"/>
          <w:szCs w:val="19"/>
        </w:rPr>
        <w:drawing>
          <wp:inline distT="0" distB="0" distL="0" distR="0">
            <wp:extent cx="291465" cy="241300"/>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366"/>
                    <a:stretch>
                      <a:fillRect/>
                    </a:stretch>
                  </pic:blipFill>
                  <pic:spPr>
                    <a:xfrm>
                      <a:off x="0" y="0"/>
                      <a:ext cx="292098" cy="241312"/>
                    </a:xfrm>
                    <a:prstGeom prst="rect">
                      <a:avLst/>
                    </a:prstGeom>
                  </pic:spPr>
                </pic:pic>
              </a:graphicData>
            </a:graphic>
          </wp:inline>
        </w:drawing>
      </w:r>
      <w:r>
        <w:rPr>
          <w:rFonts w:ascii="Times New Roman" w:hAnsi="Times New Roman" w:eastAsia="Times New Roman" w:cs="Times New Roman"/>
          <w:color w:val="008FE3"/>
          <w:spacing w:val="1"/>
          <w:position w:val="-2"/>
          <w:sz w:val="24"/>
          <w:szCs w:val="24"/>
        </w:rPr>
        <w:t xml:space="preserve">5 </w:t>
      </w:r>
      <w:r>
        <w:rPr>
          <w:rFonts w:ascii="Times New Roman" w:hAnsi="Times New Roman" w:eastAsia="Times New Roman" w:cs="Times New Roman"/>
          <w:spacing w:val="1"/>
          <w:position w:val="-2"/>
          <w:sz w:val="24"/>
          <w:szCs w:val="24"/>
        </w:rPr>
        <w:t>71</w:t>
      </w:r>
    </w:p>
    <w:p w14:paraId="07AB87EA">
      <w:pPr>
        <w:spacing w:line="256" w:lineRule="auto"/>
        <w:rPr>
          <w:rFonts w:ascii="Arial"/>
          <w:sz w:val="21"/>
        </w:rPr>
      </w:pPr>
    </w:p>
    <w:p w14:paraId="41457532">
      <w:pPr>
        <w:pStyle w:val="2"/>
        <w:spacing w:before="78" w:line="219" w:lineRule="auto"/>
        <w:rPr>
          <w:sz w:val="24"/>
          <w:szCs w:val="24"/>
        </w:rPr>
      </w:pPr>
      <w:bookmarkStart w:id="769" w:name="bookmark754"/>
      <w:bookmarkEnd w:id="769"/>
      <w:r>
        <w:rPr>
          <w:rFonts w:ascii="Times New Roman" w:hAnsi="Times New Roman" w:eastAsia="Times New Roman" w:cs="Times New Roman"/>
          <w:b/>
          <w:bCs/>
          <w:color w:val="0071E2"/>
          <w:spacing w:val="1"/>
          <w:sz w:val="24"/>
          <w:szCs w:val="24"/>
        </w:rPr>
        <w:t>24.8.7</w:t>
      </w:r>
      <w:r>
        <w:rPr>
          <w:rFonts w:ascii="Times New Roman" w:hAnsi="Times New Roman" w:eastAsia="Times New Roman" w:cs="Times New Roman"/>
          <w:b/>
          <w:bCs/>
          <w:color w:val="0071E2"/>
          <w:spacing w:val="17"/>
          <w:sz w:val="24"/>
          <w:szCs w:val="24"/>
        </w:rPr>
        <w:t xml:space="preserve">   </w:t>
      </w:r>
      <w:r>
        <w:rPr>
          <w:b/>
          <w:bCs/>
          <w:color w:val="0071E2"/>
          <w:spacing w:val="1"/>
          <w:sz w:val="24"/>
          <w:szCs w:val="24"/>
        </w:rPr>
        <w:t>业务连续性</w:t>
      </w:r>
    </w:p>
    <w:p w14:paraId="046139F8">
      <w:pPr>
        <w:pStyle w:val="2"/>
        <w:spacing w:before="196" w:line="219" w:lineRule="auto"/>
        <w:ind w:left="419"/>
        <w:rPr>
          <w:sz w:val="19"/>
          <w:szCs w:val="19"/>
        </w:rPr>
      </w:pPr>
      <w:r>
        <w:rPr>
          <w:spacing w:val="5"/>
          <w:sz w:val="19"/>
          <w:szCs w:val="19"/>
        </w:rPr>
        <w:t>业务连续性方面的合规性要求如下：</w:t>
      </w:r>
    </w:p>
    <w:p w14:paraId="2253D32E">
      <w:pPr>
        <w:pStyle w:val="2"/>
        <w:spacing w:before="113" w:line="237" w:lineRule="auto"/>
        <w:ind w:right="381" w:firstLine="419"/>
        <w:rPr>
          <w:rFonts w:ascii="Times New Roman" w:hAnsi="Times New Roman" w:eastAsia="Times New Roman" w:cs="Times New Roman"/>
          <w:sz w:val="19"/>
          <w:szCs w:val="19"/>
        </w:rPr>
      </w:pPr>
      <w:r>
        <w:rPr>
          <w:spacing w:val="15"/>
          <w:sz w:val="19"/>
          <w:szCs w:val="19"/>
        </w:rPr>
        <w:t>(1)应以保护组织的核心业务、核心价值，保障组织的业务持续开展为出发点，进行业务</w:t>
      </w:r>
      <w:r>
        <w:rPr>
          <w:spacing w:val="3"/>
          <w:sz w:val="19"/>
          <w:szCs w:val="19"/>
        </w:rPr>
        <w:t xml:space="preserve"> </w:t>
      </w:r>
      <w:r>
        <w:rPr>
          <w:spacing w:val="7"/>
          <w:sz w:val="19"/>
          <w:szCs w:val="19"/>
        </w:rPr>
        <w:t>影响分析</w:t>
      </w:r>
      <w:r>
        <w:rPr>
          <w:spacing w:val="-33"/>
          <w:sz w:val="19"/>
          <w:szCs w:val="19"/>
        </w:rPr>
        <w:t xml:space="preserve"> </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BIA</w:t>
      </w:r>
      <w:r>
        <w:rPr>
          <w:rFonts w:ascii="Times New Roman" w:hAnsi="Times New Roman" w:eastAsia="Times New Roman" w:cs="Times New Roman"/>
          <w:spacing w:val="7"/>
          <w:sz w:val="19"/>
          <w:szCs w:val="19"/>
        </w:rPr>
        <w:t>);</w:t>
      </w:r>
    </w:p>
    <w:p w14:paraId="6A253B6B">
      <w:pPr>
        <w:pStyle w:val="2"/>
        <w:spacing w:before="131" w:line="218" w:lineRule="auto"/>
        <w:ind w:left="419"/>
        <w:rPr>
          <w:sz w:val="19"/>
          <w:szCs w:val="19"/>
        </w:rPr>
      </w:pPr>
      <w:r>
        <w:rPr>
          <w:spacing w:val="11"/>
          <w:sz w:val="19"/>
          <w:szCs w:val="19"/>
        </w:rPr>
        <w:t>(2)应基于风险评估和业务影响分析结论，制订业务连续性计</w:t>
      </w:r>
      <w:r>
        <w:rPr>
          <w:spacing w:val="10"/>
          <w:sz w:val="19"/>
          <w:szCs w:val="19"/>
        </w:rPr>
        <w:t>划和灾难恢复计划；</w:t>
      </w:r>
    </w:p>
    <w:p w14:paraId="75ABC8BF">
      <w:pPr>
        <w:pStyle w:val="2"/>
        <w:spacing w:before="65" w:line="257" w:lineRule="auto"/>
        <w:ind w:right="470" w:firstLine="419"/>
        <w:rPr>
          <w:sz w:val="19"/>
          <w:szCs w:val="19"/>
        </w:rPr>
      </w:pPr>
      <w:r>
        <w:rPr>
          <w:spacing w:val="13"/>
          <w:sz w:val="19"/>
          <w:szCs w:val="19"/>
        </w:rPr>
        <w:t>(3)应基于信息系统的不同层面、不同应用、不同资产，分别制定恢复时间目标</w:t>
      </w:r>
      <w:r>
        <w:rPr>
          <w:spacing w:val="-24"/>
          <w:sz w:val="19"/>
          <w:szCs w:val="19"/>
        </w:rPr>
        <w:t xml:space="preserve"> </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RTO</w:t>
      </w:r>
      <w:r>
        <w:rPr>
          <w:rFonts w:ascii="Times New Roman" w:hAnsi="Times New Roman" w:eastAsia="Times New Roman" w:cs="Times New Roman"/>
          <w:spacing w:val="13"/>
          <w:sz w:val="19"/>
          <w:szCs w:val="19"/>
        </w:rPr>
        <w:t>)</w:t>
      </w:r>
      <w:r>
        <w:rPr>
          <w:spacing w:val="13"/>
          <w:sz w:val="19"/>
          <w:szCs w:val="19"/>
        </w:rPr>
        <w:t>、</w:t>
      </w:r>
      <w:r>
        <w:rPr>
          <w:sz w:val="19"/>
          <w:szCs w:val="19"/>
        </w:rPr>
        <w:t xml:space="preserve"> </w:t>
      </w:r>
      <w:r>
        <w:rPr>
          <w:spacing w:val="5"/>
          <w:sz w:val="19"/>
          <w:szCs w:val="19"/>
        </w:rPr>
        <w:t>恢复点目标</w:t>
      </w:r>
      <w:r>
        <w:rPr>
          <w:spacing w:val="-45"/>
          <w:sz w:val="19"/>
          <w:szCs w:val="19"/>
        </w:rPr>
        <w:t xml:space="preserve"> </w:t>
      </w:r>
      <w:r>
        <w:rPr>
          <w:rFonts w:ascii="Times New Roman" w:hAnsi="Times New Roman" w:eastAsia="Times New Roman" w:cs="Times New Roman"/>
          <w:spacing w:val="5"/>
          <w:sz w:val="19"/>
          <w:szCs w:val="19"/>
        </w:rPr>
        <w:t>(</w:t>
      </w:r>
      <w:r>
        <w:rPr>
          <w:rFonts w:ascii="Times New Roman" w:hAnsi="Times New Roman" w:eastAsia="Times New Roman" w:cs="Times New Roman"/>
          <w:sz w:val="19"/>
          <w:szCs w:val="19"/>
        </w:rPr>
        <w:t>RPO</w:t>
      </w:r>
      <w:r>
        <w:rPr>
          <w:rFonts w:ascii="Times New Roman" w:hAnsi="Times New Roman" w:eastAsia="Times New Roman" w:cs="Times New Roman"/>
          <w:spacing w:val="5"/>
          <w:sz w:val="19"/>
          <w:szCs w:val="19"/>
        </w:rPr>
        <w:t>)</w:t>
      </w:r>
      <w:r>
        <w:rPr>
          <w:rFonts w:ascii="Times New Roman" w:hAnsi="Times New Roman" w:eastAsia="Times New Roman" w:cs="Times New Roman"/>
          <w:spacing w:val="8"/>
          <w:sz w:val="19"/>
          <w:szCs w:val="19"/>
        </w:rPr>
        <w:t xml:space="preserve">    </w:t>
      </w:r>
      <w:r>
        <w:rPr>
          <w:spacing w:val="5"/>
          <w:sz w:val="19"/>
          <w:szCs w:val="19"/>
        </w:rPr>
        <w:t>指标；</w:t>
      </w:r>
    </w:p>
    <w:p w14:paraId="0254601C">
      <w:pPr>
        <w:pStyle w:val="2"/>
        <w:spacing w:before="124" w:line="219" w:lineRule="auto"/>
        <w:ind w:left="419"/>
        <w:rPr>
          <w:sz w:val="19"/>
          <w:szCs w:val="19"/>
        </w:rPr>
      </w:pPr>
      <w:r>
        <w:rPr>
          <w:spacing w:val="11"/>
          <w:sz w:val="19"/>
          <w:szCs w:val="19"/>
        </w:rPr>
        <w:t>(4)应根据业务连续性计划和指标，建立业务连续性保障能力。</w:t>
      </w:r>
    </w:p>
    <w:p w14:paraId="4151DF4E">
      <w:pPr>
        <w:pStyle w:val="2"/>
        <w:spacing w:before="254" w:line="220" w:lineRule="auto"/>
        <w:ind w:left="2"/>
        <w:rPr>
          <w:sz w:val="24"/>
          <w:szCs w:val="24"/>
        </w:rPr>
      </w:pPr>
      <w:r>
        <w:rPr>
          <w:b/>
          <w:bCs/>
          <w:color w:val="0069E2"/>
          <w:spacing w:val="-10"/>
          <w:sz w:val="24"/>
          <w:szCs w:val="24"/>
        </w:rPr>
        <w:t>24.8.8</w:t>
      </w:r>
      <w:r>
        <w:rPr>
          <w:color w:val="0069E2"/>
          <w:spacing w:val="84"/>
          <w:sz w:val="24"/>
          <w:szCs w:val="24"/>
        </w:rPr>
        <w:t xml:space="preserve"> </w:t>
      </w:r>
      <w:r>
        <w:rPr>
          <w:b/>
          <w:bCs/>
          <w:color w:val="0069E2"/>
          <w:spacing w:val="-10"/>
          <w:sz w:val="24"/>
          <w:szCs w:val="24"/>
        </w:rPr>
        <w:t>网络安全审查</w:t>
      </w:r>
    </w:p>
    <w:p w14:paraId="666D6CF0">
      <w:pPr>
        <w:pStyle w:val="2"/>
        <w:spacing w:before="185" w:line="220" w:lineRule="auto"/>
        <w:ind w:left="419"/>
        <w:rPr>
          <w:sz w:val="19"/>
          <w:szCs w:val="19"/>
        </w:rPr>
      </w:pPr>
      <w:r>
        <w:rPr>
          <w:spacing w:val="6"/>
          <w:sz w:val="19"/>
          <w:szCs w:val="19"/>
        </w:rPr>
        <w:t>网络安全审查方面的合规性要求如下：</w:t>
      </w:r>
    </w:p>
    <w:p w14:paraId="566E3F21">
      <w:pPr>
        <w:pStyle w:val="2"/>
        <w:spacing w:before="92" w:line="280" w:lineRule="auto"/>
        <w:ind w:right="402" w:firstLine="419"/>
        <w:rPr>
          <w:sz w:val="16"/>
          <w:szCs w:val="16"/>
        </w:rPr>
      </w:pPr>
      <w:r>
        <w:rPr>
          <w:spacing w:val="15"/>
          <w:sz w:val="19"/>
          <w:szCs w:val="19"/>
        </w:rPr>
        <w:t>(1)关系国家安全和公共利益的系统所使用的重</w:t>
      </w:r>
      <w:r>
        <w:rPr>
          <w:spacing w:val="14"/>
          <w:sz w:val="19"/>
          <w:szCs w:val="19"/>
        </w:rPr>
        <w:t>要技术产品和服务，应遵从国家网络安全</w:t>
      </w:r>
      <w:r>
        <w:rPr>
          <w:sz w:val="19"/>
          <w:szCs w:val="19"/>
        </w:rPr>
        <w:t xml:space="preserve"> </w:t>
      </w:r>
      <w:r>
        <w:rPr>
          <w:spacing w:val="24"/>
          <w:sz w:val="16"/>
          <w:szCs w:val="16"/>
        </w:rPr>
        <w:t>审查制度</w:t>
      </w:r>
      <w:r>
        <w:rPr>
          <w:spacing w:val="-34"/>
          <w:sz w:val="16"/>
          <w:szCs w:val="16"/>
        </w:rPr>
        <w:t xml:space="preserve"> </w:t>
      </w:r>
      <w:r>
        <w:rPr>
          <w:spacing w:val="24"/>
          <w:sz w:val="16"/>
          <w:szCs w:val="16"/>
        </w:rPr>
        <w:t>；</w:t>
      </w:r>
    </w:p>
    <w:p w14:paraId="53D4C16B">
      <w:pPr>
        <w:pStyle w:val="2"/>
        <w:spacing w:before="98" w:line="261" w:lineRule="auto"/>
        <w:ind w:right="396" w:firstLine="419"/>
        <w:rPr>
          <w:sz w:val="19"/>
          <w:szCs w:val="19"/>
        </w:rPr>
      </w:pPr>
      <w:r>
        <w:rPr>
          <w:spacing w:val="15"/>
          <w:sz w:val="19"/>
          <w:szCs w:val="19"/>
        </w:rPr>
        <w:t>(2)应依据产品和服务的安全性与可控性的审查结论，从技术</w:t>
      </w:r>
      <w:r>
        <w:rPr>
          <w:spacing w:val="14"/>
          <w:sz w:val="19"/>
          <w:szCs w:val="19"/>
        </w:rPr>
        <w:t>和背景两方面评估使用信息</w:t>
      </w:r>
      <w:r>
        <w:rPr>
          <w:sz w:val="19"/>
          <w:szCs w:val="19"/>
        </w:rPr>
        <w:t xml:space="preserve"> </w:t>
      </w:r>
      <w:r>
        <w:rPr>
          <w:spacing w:val="4"/>
          <w:sz w:val="19"/>
          <w:szCs w:val="19"/>
        </w:rPr>
        <w:t>技术产品和服务的安全风险；</w:t>
      </w:r>
    </w:p>
    <w:p w14:paraId="2AF93538">
      <w:pPr>
        <w:pStyle w:val="2"/>
        <w:spacing w:before="93" w:line="218" w:lineRule="auto"/>
        <w:ind w:left="419"/>
        <w:rPr>
          <w:sz w:val="19"/>
          <w:szCs w:val="19"/>
        </w:rPr>
      </w:pPr>
      <w:r>
        <w:rPr>
          <w:spacing w:val="10"/>
          <w:sz w:val="19"/>
          <w:szCs w:val="19"/>
        </w:rPr>
        <w:t>(3)应评估信息技术产品和服务的提供商及其供应链的安全风险；</w:t>
      </w:r>
    </w:p>
    <w:p w14:paraId="1CD5E1E1">
      <w:pPr>
        <w:pStyle w:val="2"/>
        <w:spacing w:before="86" w:line="219" w:lineRule="auto"/>
        <w:ind w:left="419"/>
        <w:rPr>
          <w:sz w:val="19"/>
          <w:szCs w:val="19"/>
        </w:rPr>
      </w:pPr>
      <w:r>
        <w:rPr>
          <w:spacing w:val="11"/>
          <w:sz w:val="19"/>
          <w:szCs w:val="19"/>
        </w:rPr>
        <w:t>(4)应按需要求信息技术产品和服务的提供商做出安全性承诺。</w:t>
      </w:r>
    </w:p>
    <w:p w14:paraId="2C69844E">
      <w:pPr>
        <w:spacing w:line="319" w:lineRule="auto"/>
        <w:rPr>
          <w:rFonts w:ascii="Arial"/>
          <w:sz w:val="21"/>
        </w:rPr>
      </w:pPr>
    </w:p>
    <w:p w14:paraId="50F2D1E0">
      <w:pPr>
        <w:pStyle w:val="2"/>
        <w:spacing w:before="95" w:line="222" w:lineRule="auto"/>
        <w:ind w:left="4"/>
        <w:rPr>
          <w:rFonts w:ascii="黑体" w:hAnsi="黑体" w:eastAsia="黑体" w:cs="黑体"/>
          <w:sz w:val="29"/>
          <w:szCs w:val="29"/>
        </w:rPr>
      </w:pPr>
      <w:r>
        <w:rPr>
          <w:b/>
          <w:bCs/>
          <w:color w:val="005EDB"/>
          <w:spacing w:val="-11"/>
          <w:sz w:val="29"/>
          <w:szCs w:val="29"/>
        </w:rPr>
        <w:t>24.9</w:t>
      </w:r>
      <w:r>
        <w:rPr>
          <w:color w:val="005EDB"/>
          <w:spacing w:val="112"/>
          <w:sz w:val="29"/>
          <w:szCs w:val="29"/>
        </w:rPr>
        <w:t xml:space="preserve"> </w:t>
      </w:r>
      <w:r>
        <w:rPr>
          <w:rFonts w:ascii="黑体" w:hAnsi="黑体" w:eastAsia="黑体" w:cs="黑体"/>
          <w:b/>
          <w:bCs/>
          <w:color w:val="005EDB"/>
          <w:spacing w:val="-11"/>
          <w:sz w:val="29"/>
          <w:szCs w:val="29"/>
        </w:rPr>
        <w:t>信息安全关键技术要求</w:t>
      </w:r>
    </w:p>
    <w:p w14:paraId="5DB05CEF">
      <w:pPr>
        <w:pStyle w:val="2"/>
        <w:spacing w:before="271" w:line="292" w:lineRule="auto"/>
        <w:ind w:right="397" w:firstLine="419"/>
        <w:jc w:val="both"/>
        <w:rPr>
          <w:sz w:val="19"/>
          <w:szCs w:val="19"/>
        </w:rPr>
      </w:pPr>
      <w:r>
        <w:rPr>
          <w:spacing w:val="13"/>
          <w:sz w:val="19"/>
          <w:szCs w:val="19"/>
        </w:rPr>
        <w:t>为了提醒监理单位、监理机构和监理人员在实施信</w:t>
      </w:r>
      <w:r>
        <w:rPr>
          <w:spacing w:val="12"/>
          <w:sz w:val="19"/>
          <w:szCs w:val="19"/>
        </w:rPr>
        <w:t>息安全监理活动时，更多地关注信息安</w:t>
      </w:r>
      <w:r>
        <w:rPr>
          <w:sz w:val="19"/>
          <w:szCs w:val="19"/>
        </w:rPr>
        <w:t xml:space="preserve"> </w:t>
      </w:r>
      <w:r>
        <w:rPr>
          <w:spacing w:val="13"/>
          <w:sz w:val="19"/>
          <w:szCs w:val="19"/>
        </w:rPr>
        <w:t>全技术要求、实现约束等注意事项，结合监理实践，本节给出了信息安全关键技术要求，为信</w:t>
      </w:r>
      <w:r>
        <w:rPr>
          <w:sz w:val="19"/>
          <w:szCs w:val="19"/>
        </w:rPr>
        <w:t xml:space="preserve"> </w:t>
      </w:r>
      <w:r>
        <w:rPr>
          <w:spacing w:val="6"/>
          <w:sz w:val="19"/>
          <w:szCs w:val="19"/>
        </w:rPr>
        <w:t>息安全监理实践提供参考和指导。</w:t>
      </w:r>
    </w:p>
    <w:p w14:paraId="39130E71">
      <w:pPr>
        <w:pStyle w:val="2"/>
        <w:spacing w:before="189" w:line="221" w:lineRule="auto"/>
        <w:ind w:left="3"/>
        <w:rPr>
          <w:sz w:val="24"/>
          <w:szCs w:val="24"/>
        </w:rPr>
      </w:pPr>
      <w:r>
        <w:rPr>
          <w:b/>
          <w:bCs/>
          <w:color w:val="0061E2"/>
          <w:spacing w:val="-11"/>
          <w:sz w:val="24"/>
          <w:szCs w:val="24"/>
        </w:rPr>
        <w:t>24.9.1</w:t>
      </w:r>
      <w:r>
        <w:rPr>
          <w:color w:val="0061E2"/>
          <w:spacing w:val="78"/>
          <w:sz w:val="24"/>
          <w:szCs w:val="24"/>
        </w:rPr>
        <w:t xml:space="preserve"> </w:t>
      </w:r>
      <w:r>
        <w:rPr>
          <w:b/>
          <w:bCs/>
          <w:color w:val="0061E2"/>
          <w:spacing w:val="-11"/>
          <w:sz w:val="24"/>
          <w:szCs w:val="24"/>
        </w:rPr>
        <w:t>物理安全</w:t>
      </w:r>
    </w:p>
    <w:p w14:paraId="1E41EB5B">
      <w:pPr>
        <w:pStyle w:val="2"/>
        <w:spacing w:before="172" w:line="219" w:lineRule="auto"/>
        <w:ind w:left="419"/>
        <w:rPr>
          <w:sz w:val="19"/>
          <w:szCs w:val="19"/>
        </w:rPr>
      </w:pPr>
      <w:r>
        <w:rPr>
          <w:spacing w:val="5"/>
          <w:sz w:val="19"/>
          <w:szCs w:val="19"/>
        </w:rPr>
        <w:t>物理安全方面的关键技术要求如下：</w:t>
      </w:r>
    </w:p>
    <w:p w14:paraId="01B3D18C">
      <w:pPr>
        <w:pStyle w:val="2"/>
        <w:spacing w:before="84" w:line="219" w:lineRule="auto"/>
        <w:ind w:left="419"/>
        <w:rPr>
          <w:sz w:val="19"/>
          <w:szCs w:val="19"/>
        </w:rPr>
      </w:pPr>
      <w:r>
        <w:rPr>
          <w:spacing w:val="10"/>
          <w:sz w:val="19"/>
          <w:szCs w:val="19"/>
        </w:rPr>
        <w:t>(1)电子设备机房的安全设计应符合</w:t>
      </w:r>
      <w:r>
        <w:rPr>
          <w:rFonts w:ascii="Times New Roman" w:hAnsi="Times New Roman" w:eastAsia="Times New Roman" w:cs="Times New Roman"/>
          <w:sz w:val="19"/>
          <w:szCs w:val="19"/>
        </w:rPr>
        <w:t>GB</w:t>
      </w:r>
      <w:r>
        <w:rPr>
          <w:rFonts w:ascii="Times New Roman" w:hAnsi="Times New Roman" w:eastAsia="Times New Roman" w:cs="Times New Roman"/>
          <w:spacing w:val="10"/>
          <w:sz w:val="19"/>
          <w:szCs w:val="19"/>
        </w:rPr>
        <w:t>/T9361</w:t>
      </w:r>
      <w:r>
        <w:rPr>
          <w:spacing w:val="10"/>
          <w:sz w:val="19"/>
          <w:szCs w:val="19"/>
        </w:rPr>
        <w:t>《</w:t>
      </w:r>
      <w:r>
        <w:rPr>
          <w:spacing w:val="48"/>
          <w:sz w:val="19"/>
          <w:szCs w:val="19"/>
        </w:rPr>
        <w:t xml:space="preserve"> </w:t>
      </w:r>
      <w:r>
        <w:rPr>
          <w:spacing w:val="10"/>
          <w:sz w:val="19"/>
          <w:szCs w:val="19"/>
        </w:rPr>
        <w:t>计算机场地安全</w:t>
      </w:r>
      <w:r>
        <w:rPr>
          <w:spacing w:val="9"/>
          <w:sz w:val="19"/>
          <w:szCs w:val="19"/>
        </w:rPr>
        <w:t>要求》的规定。</w:t>
      </w:r>
    </w:p>
    <w:p w14:paraId="0512BA9A">
      <w:pPr>
        <w:pStyle w:val="2"/>
        <w:spacing w:before="75" w:line="274" w:lineRule="auto"/>
        <w:ind w:right="315" w:firstLine="419"/>
        <w:rPr>
          <w:sz w:val="19"/>
          <w:szCs w:val="19"/>
        </w:rPr>
      </w:pPr>
      <w:r>
        <w:rPr>
          <w:spacing w:val="20"/>
          <w:sz w:val="19"/>
          <w:szCs w:val="19"/>
        </w:rPr>
        <w:t>(2)机房物理位置选择在遵照相关技术规范的前提下，以等级保护第三级为例(下同)还</w:t>
      </w:r>
      <w:r>
        <w:rPr>
          <w:spacing w:val="12"/>
          <w:sz w:val="19"/>
          <w:szCs w:val="19"/>
        </w:rPr>
        <w:t xml:space="preserve"> </w:t>
      </w:r>
      <w:r>
        <w:rPr>
          <w:spacing w:val="15"/>
          <w:sz w:val="19"/>
          <w:szCs w:val="19"/>
        </w:rPr>
        <w:t>必须考虑以下因素：等级保护第三级以上系统，机房场地应避免设在建筑物的高层或地下室，</w:t>
      </w:r>
      <w:r>
        <w:rPr>
          <w:sz w:val="19"/>
          <w:szCs w:val="19"/>
        </w:rPr>
        <w:t xml:space="preserve"> </w:t>
      </w:r>
      <w:r>
        <w:rPr>
          <w:spacing w:val="6"/>
          <w:sz w:val="19"/>
          <w:szCs w:val="19"/>
        </w:rPr>
        <w:t>以及用水设备的下层或隔壁。</w:t>
      </w:r>
    </w:p>
    <w:p w14:paraId="21F704CA">
      <w:pPr>
        <w:pStyle w:val="2"/>
        <w:spacing w:before="85" w:line="220" w:lineRule="auto"/>
        <w:ind w:left="419"/>
        <w:rPr>
          <w:sz w:val="19"/>
          <w:szCs w:val="19"/>
        </w:rPr>
      </w:pPr>
      <w:r>
        <w:rPr>
          <w:spacing w:val="11"/>
          <w:sz w:val="19"/>
          <w:szCs w:val="19"/>
        </w:rPr>
        <w:t>(3)物理访问控制。具体包括：</w:t>
      </w:r>
    </w:p>
    <w:p w14:paraId="5F007B6C">
      <w:pPr>
        <w:pStyle w:val="2"/>
        <w:spacing w:before="73" w:line="265" w:lineRule="auto"/>
        <w:ind w:left="709" w:right="381" w:hanging="290"/>
        <w:rPr>
          <w:sz w:val="19"/>
          <w:szCs w:val="19"/>
        </w:rPr>
      </w:pPr>
      <w:r>
        <w:rPr>
          <w:spacing w:val="18"/>
          <w:sz w:val="19"/>
          <w:szCs w:val="19"/>
        </w:rPr>
        <w:t>●等级保护第三级以上系统，应对机房进行区域划分，区域和区域之间设置物理隔离装</w:t>
      </w:r>
      <w:r>
        <w:rPr>
          <w:spacing w:val="14"/>
          <w:sz w:val="19"/>
          <w:szCs w:val="19"/>
        </w:rPr>
        <w:t xml:space="preserve"> </w:t>
      </w:r>
      <w:r>
        <w:rPr>
          <w:spacing w:val="6"/>
          <w:sz w:val="19"/>
          <w:szCs w:val="19"/>
        </w:rPr>
        <w:t>置，在重要区域前设置交付或安装等过渡区域；</w:t>
      </w:r>
    </w:p>
    <w:p w14:paraId="7397E38A">
      <w:pPr>
        <w:pStyle w:val="2"/>
        <w:spacing w:before="94" w:line="286" w:lineRule="auto"/>
        <w:ind w:left="699" w:right="376" w:hanging="280"/>
        <w:rPr>
          <w:sz w:val="16"/>
          <w:szCs w:val="16"/>
        </w:rPr>
      </w:pPr>
      <w:r>
        <w:rPr>
          <w:spacing w:val="19"/>
          <w:sz w:val="19"/>
          <w:szCs w:val="19"/>
        </w:rPr>
        <w:t>●等级保护第三级以上系统，重要区域应配置</w:t>
      </w:r>
      <w:r>
        <w:rPr>
          <w:spacing w:val="18"/>
          <w:sz w:val="19"/>
          <w:szCs w:val="19"/>
        </w:rPr>
        <w:t>电子门禁系统，控制、鉴别和记录进入的</w:t>
      </w:r>
      <w:r>
        <w:rPr>
          <w:sz w:val="19"/>
          <w:szCs w:val="19"/>
        </w:rPr>
        <w:t xml:space="preserve"> </w:t>
      </w:r>
      <w:r>
        <w:rPr>
          <w:spacing w:val="-7"/>
          <w:sz w:val="16"/>
          <w:szCs w:val="16"/>
        </w:rPr>
        <w:t>人</w:t>
      </w:r>
      <w:r>
        <w:rPr>
          <w:spacing w:val="-13"/>
          <w:sz w:val="16"/>
          <w:szCs w:val="16"/>
        </w:rPr>
        <w:t xml:space="preserve"> </w:t>
      </w:r>
      <w:r>
        <w:rPr>
          <w:spacing w:val="-7"/>
          <w:sz w:val="16"/>
          <w:szCs w:val="16"/>
        </w:rPr>
        <w:t>员</w:t>
      </w:r>
      <w:r>
        <w:rPr>
          <w:spacing w:val="-24"/>
          <w:sz w:val="16"/>
          <w:szCs w:val="16"/>
        </w:rPr>
        <w:t xml:space="preserve"> </w:t>
      </w:r>
      <w:r>
        <w:rPr>
          <w:spacing w:val="-7"/>
          <w:sz w:val="16"/>
          <w:szCs w:val="16"/>
        </w:rPr>
        <w:t>。</w:t>
      </w:r>
    </w:p>
    <w:p w14:paraId="744CE8D1">
      <w:pPr>
        <w:pStyle w:val="2"/>
        <w:spacing w:before="89" w:line="220" w:lineRule="auto"/>
        <w:ind w:left="419"/>
        <w:rPr>
          <w:sz w:val="19"/>
          <w:szCs w:val="19"/>
        </w:rPr>
      </w:pPr>
      <w:r>
        <w:rPr>
          <w:spacing w:val="12"/>
          <w:sz w:val="19"/>
          <w:szCs w:val="19"/>
        </w:rPr>
        <w:t>(4)防盗窃防破坏。具体包括：</w:t>
      </w:r>
    </w:p>
    <w:p w14:paraId="79F982ED">
      <w:pPr>
        <w:spacing w:line="220" w:lineRule="auto"/>
        <w:rPr>
          <w:sz w:val="19"/>
          <w:szCs w:val="19"/>
        </w:rPr>
        <w:sectPr>
          <w:pgSz w:w="10300" w:h="13320"/>
          <w:pgMar w:top="400" w:right="478" w:bottom="400" w:left="1100" w:header="0" w:footer="0" w:gutter="0"/>
          <w:cols w:space="720" w:num="1"/>
        </w:sectPr>
      </w:pPr>
    </w:p>
    <w:p w14:paraId="74ACC02F">
      <w:pPr>
        <w:pStyle w:val="2"/>
        <w:spacing w:before="97" w:line="220" w:lineRule="auto"/>
        <w:rPr>
          <w:sz w:val="20"/>
          <w:szCs w:val="20"/>
        </w:rPr>
      </w:pPr>
      <w:bookmarkStart w:id="770" w:name="bookmark755"/>
      <w:bookmarkEnd w:id="770"/>
      <w:r>
        <w:rPr>
          <w:rFonts w:ascii="Times New Roman" w:hAnsi="Times New Roman" w:eastAsia="Times New Roman" w:cs="Times New Roman"/>
          <w:spacing w:val="-1"/>
          <w:position w:val="-3"/>
          <w:sz w:val="24"/>
          <w:szCs w:val="24"/>
        </w:rPr>
        <w:t xml:space="preserve">572          </w:t>
      </w:r>
      <w:r>
        <w:rPr>
          <w:spacing w:val="-1"/>
          <w:sz w:val="20"/>
          <w:szCs w:val="20"/>
        </w:rPr>
        <w:t>信息系统监理师教程(第2版)</w:t>
      </w:r>
    </w:p>
    <w:p w14:paraId="66F01F7D">
      <w:pPr>
        <w:spacing w:line="291" w:lineRule="auto"/>
        <w:rPr>
          <w:rFonts w:ascii="Arial"/>
          <w:sz w:val="21"/>
        </w:rPr>
      </w:pPr>
    </w:p>
    <w:p w14:paraId="7D57A3CE">
      <w:pPr>
        <w:pStyle w:val="2"/>
        <w:spacing w:before="65" w:line="219" w:lineRule="auto"/>
        <w:ind w:left="770"/>
        <w:rPr>
          <w:sz w:val="20"/>
          <w:szCs w:val="20"/>
        </w:rPr>
      </w:pPr>
      <w:r>
        <w:rPr>
          <w:sz w:val="20"/>
          <w:szCs w:val="20"/>
        </w:rPr>
        <w:t>●等级保护第三级以上系统，机房应安装采用光、电等</w:t>
      </w:r>
      <w:r>
        <w:rPr>
          <w:spacing w:val="-1"/>
          <w:sz w:val="20"/>
          <w:szCs w:val="20"/>
        </w:rPr>
        <w:t>技术的机房防盗报警系统；</w:t>
      </w:r>
    </w:p>
    <w:p w14:paraId="28F062F2">
      <w:pPr>
        <w:pStyle w:val="2"/>
        <w:spacing w:before="112" w:line="219" w:lineRule="auto"/>
        <w:ind w:left="770"/>
        <w:rPr>
          <w:sz w:val="20"/>
          <w:szCs w:val="20"/>
        </w:rPr>
      </w:pPr>
      <w:r>
        <w:rPr>
          <w:sz w:val="20"/>
          <w:szCs w:val="20"/>
        </w:rPr>
        <w:t>●等级保护第三级以上系统，机房应设置监控报警系统。</w:t>
      </w:r>
    </w:p>
    <w:p w14:paraId="4AB70713">
      <w:pPr>
        <w:pStyle w:val="2"/>
        <w:spacing w:before="72" w:line="258" w:lineRule="auto"/>
        <w:ind w:left="349" w:right="28" w:firstLine="420"/>
        <w:rPr>
          <w:sz w:val="20"/>
          <w:szCs w:val="20"/>
        </w:rPr>
      </w:pPr>
      <w:r>
        <w:rPr>
          <w:spacing w:val="5"/>
          <w:sz w:val="20"/>
          <w:szCs w:val="20"/>
        </w:rPr>
        <w:t>(5)防雷击。等级保护第三级以上系统，应在供配电系统上设置防浪涌保护装置，防止感</w:t>
      </w:r>
      <w:r>
        <w:rPr>
          <w:spacing w:val="8"/>
          <w:sz w:val="20"/>
          <w:szCs w:val="20"/>
        </w:rPr>
        <w:t xml:space="preserve"> </w:t>
      </w:r>
      <w:r>
        <w:rPr>
          <w:spacing w:val="-2"/>
          <w:sz w:val="20"/>
          <w:szCs w:val="20"/>
        </w:rPr>
        <w:t>应雷，同时建议在使用电缆的重要弱电设备端口安装防浪涌保护装置。</w:t>
      </w:r>
    </w:p>
    <w:p w14:paraId="73A89D9E">
      <w:pPr>
        <w:pStyle w:val="2"/>
        <w:spacing w:before="83" w:line="219" w:lineRule="auto"/>
        <w:ind w:left="770"/>
        <w:rPr>
          <w:sz w:val="20"/>
          <w:szCs w:val="20"/>
        </w:rPr>
      </w:pPr>
      <w:r>
        <w:rPr>
          <w:spacing w:val="5"/>
          <w:sz w:val="20"/>
          <w:szCs w:val="20"/>
        </w:rPr>
        <w:t>(6)防火。具体包括：</w:t>
      </w:r>
    </w:p>
    <w:p w14:paraId="18DE5064">
      <w:pPr>
        <w:pStyle w:val="2"/>
        <w:spacing w:before="82" w:line="262" w:lineRule="auto"/>
        <w:ind w:left="1049" w:right="29" w:hanging="279"/>
        <w:rPr>
          <w:sz w:val="20"/>
          <w:szCs w:val="20"/>
        </w:rPr>
      </w:pPr>
      <w:r>
        <w:rPr>
          <w:spacing w:val="3"/>
          <w:sz w:val="20"/>
          <w:szCs w:val="20"/>
        </w:rPr>
        <w:t>●等级保护第三级以上系统，机房应设置火灾自动消防系统，能够自</w:t>
      </w:r>
      <w:r>
        <w:rPr>
          <w:spacing w:val="2"/>
          <w:sz w:val="20"/>
          <w:szCs w:val="20"/>
        </w:rPr>
        <w:t>动检测火情、自动报</w:t>
      </w:r>
      <w:r>
        <w:rPr>
          <w:sz w:val="20"/>
          <w:szCs w:val="20"/>
        </w:rPr>
        <w:t xml:space="preserve"> </w:t>
      </w:r>
      <w:r>
        <w:rPr>
          <w:spacing w:val="-7"/>
          <w:sz w:val="20"/>
          <w:szCs w:val="20"/>
        </w:rPr>
        <w:t>警，并自动灭火；</w:t>
      </w:r>
    </w:p>
    <w:p w14:paraId="71740195">
      <w:pPr>
        <w:pStyle w:val="2"/>
        <w:spacing w:before="91" w:line="262" w:lineRule="auto"/>
        <w:ind w:left="1049" w:right="29" w:hanging="279"/>
        <w:rPr>
          <w:sz w:val="20"/>
          <w:szCs w:val="20"/>
        </w:rPr>
      </w:pPr>
      <w:r>
        <w:rPr>
          <w:spacing w:val="3"/>
          <w:sz w:val="20"/>
          <w:szCs w:val="20"/>
        </w:rPr>
        <w:t>●等级保护第三级以上系统，机房及相关的工作房间和辅助房间应</w:t>
      </w:r>
      <w:r>
        <w:rPr>
          <w:spacing w:val="2"/>
          <w:sz w:val="20"/>
          <w:szCs w:val="20"/>
        </w:rPr>
        <w:t>采用具有耐火等级的建</w:t>
      </w:r>
      <w:r>
        <w:rPr>
          <w:sz w:val="20"/>
          <w:szCs w:val="20"/>
        </w:rPr>
        <w:t xml:space="preserve"> </w:t>
      </w:r>
      <w:r>
        <w:rPr>
          <w:spacing w:val="-6"/>
          <w:sz w:val="20"/>
          <w:szCs w:val="20"/>
        </w:rPr>
        <w:t>筑材料和装饰材料；</w:t>
      </w:r>
    </w:p>
    <w:p w14:paraId="5DC406B2">
      <w:pPr>
        <w:pStyle w:val="2"/>
        <w:spacing w:before="94" w:line="266" w:lineRule="auto"/>
        <w:ind w:left="1049" w:right="26" w:hanging="279"/>
        <w:rPr>
          <w:sz w:val="20"/>
          <w:szCs w:val="20"/>
        </w:rPr>
      </w:pPr>
      <w:r>
        <w:rPr>
          <w:spacing w:val="3"/>
          <w:sz w:val="20"/>
          <w:szCs w:val="20"/>
        </w:rPr>
        <w:t>●等级保护第三级以上系统，机房应采取区域隔离防火措施，将重要设备</w:t>
      </w:r>
      <w:r>
        <w:rPr>
          <w:spacing w:val="2"/>
          <w:sz w:val="20"/>
          <w:szCs w:val="20"/>
        </w:rPr>
        <w:t>与其他设备隔离</w:t>
      </w:r>
      <w:r>
        <w:rPr>
          <w:sz w:val="20"/>
          <w:szCs w:val="20"/>
        </w:rPr>
        <w:t xml:space="preserve"> </w:t>
      </w:r>
      <w:r>
        <w:rPr>
          <w:spacing w:val="-1"/>
          <w:sz w:val="20"/>
          <w:szCs w:val="20"/>
        </w:rPr>
        <w:t>开，物理隔断在吊顶之上和防静电地板以下应安装防火板与建筑</w:t>
      </w:r>
      <w:r>
        <w:rPr>
          <w:spacing w:val="-2"/>
          <w:sz w:val="20"/>
          <w:szCs w:val="20"/>
        </w:rPr>
        <w:t>结构闭合。</w:t>
      </w:r>
    </w:p>
    <w:p w14:paraId="7CD80979">
      <w:pPr>
        <w:pStyle w:val="2"/>
        <w:spacing w:before="73" w:line="257" w:lineRule="auto"/>
        <w:ind w:left="349" w:right="21" w:firstLine="420"/>
        <w:rPr>
          <w:sz w:val="20"/>
          <w:szCs w:val="20"/>
        </w:rPr>
      </w:pPr>
      <w:r>
        <w:rPr>
          <w:spacing w:val="5"/>
          <w:sz w:val="20"/>
          <w:szCs w:val="20"/>
        </w:rPr>
        <w:t>(7)防水和防潮。等级保护第三级以上系统，在存在水管穿越的区域，以及安装精密空调</w:t>
      </w:r>
      <w:r>
        <w:rPr>
          <w:spacing w:val="15"/>
          <w:sz w:val="20"/>
          <w:szCs w:val="20"/>
        </w:rPr>
        <w:t xml:space="preserve"> </w:t>
      </w:r>
      <w:r>
        <w:rPr>
          <w:spacing w:val="-2"/>
          <w:sz w:val="20"/>
          <w:szCs w:val="20"/>
        </w:rPr>
        <w:t>的区域，应安装对水敏感的检测仪表或元件，对机房进行防水检测和报警。</w:t>
      </w:r>
    </w:p>
    <w:p w14:paraId="622B2F6C">
      <w:pPr>
        <w:pStyle w:val="2"/>
        <w:spacing w:before="73" w:line="219" w:lineRule="auto"/>
        <w:ind w:left="770"/>
        <w:rPr>
          <w:sz w:val="20"/>
          <w:szCs w:val="20"/>
        </w:rPr>
      </w:pPr>
      <w:r>
        <w:rPr>
          <w:spacing w:val="1"/>
          <w:sz w:val="20"/>
          <w:szCs w:val="20"/>
        </w:rPr>
        <w:t>(8)防静电。等级保护第三级以上系统，机房的地面应采用防静电地板。</w:t>
      </w:r>
    </w:p>
    <w:p w14:paraId="6C02423E">
      <w:pPr>
        <w:pStyle w:val="2"/>
        <w:spacing w:before="83" w:line="253" w:lineRule="auto"/>
        <w:ind w:left="349" w:right="24" w:firstLine="420"/>
        <w:rPr>
          <w:sz w:val="20"/>
          <w:szCs w:val="20"/>
        </w:rPr>
      </w:pPr>
      <w:r>
        <w:rPr>
          <w:spacing w:val="5"/>
          <w:sz w:val="20"/>
          <w:szCs w:val="20"/>
        </w:rPr>
        <w:t>(9)温湿度控制。等级保护第三级以上系统，机房应设置温、湿度自动调节设施，使机房</w:t>
      </w:r>
      <w:r>
        <w:rPr>
          <w:spacing w:val="12"/>
          <w:sz w:val="20"/>
          <w:szCs w:val="20"/>
        </w:rPr>
        <w:t xml:space="preserve"> </w:t>
      </w:r>
      <w:r>
        <w:rPr>
          <w:spacing w:val="-2"/>
          <w:sz w:val="20"/>
          <w:szCs w:val="20"/>
        </w:rPr>
        <w:t>温、湿度的变化在设备运行所允许的范围之内。</w:t>
      </w:r>
    </w:p>
    <w:p w14:paraId="7F0D15DA">
      <w:pPr>
        <w:pStyle w:val="2"/>
        <w:spacing w:before="82" w:line="257" w:lineRule="auto"/>
        <w:ind w:left="349" w:firstLine="420"/>
        <w:rPr>
          <w:sz w:val="20"/>
          <w:szCs w:val="20"/>
        </w:rPr>
      </w:pPr>
      <w:r>
        <w:rPr>
          <w:spacing w:val="3"/>
          <w:sz w:val="20"/>
          <w:szCs w:val="20"/>
        </w:rPr>
        <w:t>(10)电力供应。等级保护第三级以上系统，应设置冗余或并行的电力电缆线路为计算机系</w:t>
      </w:r>
      <w:r>
        <w:rPr>
          <w:spacing w:val="14"/>
          <w:sz w:val="20"/>
          <w:szCs w:val="20"/>
        </w:rPr>
        <w:t xml:space="preserve"> </w:t>
      </w:r>
      <w:r>
        <w:rPr>
          <w:spacing w:val="4"/>
          <w:sz w:val="20"/>
          <w:szCs w:val="20"/>
        </w:rPr>
        <w:t>统供电，有条件的建议机房所在建筑部署备用</w:t>
      </w:r>
      <w:r>
        <w:rPr>
          <w:spacing w:val="3"/>
          <w:sz w:val="20"/>
          <w:szCs w:val="20"/>
        </w:rPr>
        <w:t>供电系统(如柴油/汽油发电机)。</w:t>
      </w:r>
    </w:p>
    <w:p w14:paraId="447DF4BF">
      <w:pPr>
        <w:pStyle w:val="2"/>
        <w:spacing w:before="74" w:line="220" w:lineRule="auto"/>
        <w:ind w:left="770"/>
        <w:rPr>
          <w:sz w:val="20"/>
          <w:szCs w:val="20"/>
        </w:rPr>
      </w:pPr>
      <w:r>
        <w:rPr>
          <w:spacing w:val="2"/>
          <w:sz w:val="20"/>
          <w:szCs w:val="20"/>
        </w:rPr>
        <w:t>(11)电磁防护。具体包括：</w:t>
      </w:r>
    </w:p>
    <w:p w14:paraId="798C14DF">
      <w:pPr>
        <w:pStyle w:val="2"/>
        <w:spacing w:before="70" w:line="281" w:lineRule="auto"/>
        <w:ind w:left="1049" w:right="29" w:hanging="279"/>
        <w:rPr>
          <w:sz w:val="16"/>
          <w:szCs w:val="16"/>
        </w:rPr>
      </w:pPr>
      <w:r>
        <w:rPr>
          <w:spacing w:val="3"/>
          <w:sz w:val="20"/>
          <w:szCs w:val="20"/>
        </w:rPr>
        <w:t>●等级保护第三级以上系统，应保证机房采用接地方式防止外界电</w:t>
      </w:r>
      <w:r>
        <w:rPr>
          <w:spacing w:val="2"/>
          <w:sz w:val="20"/>
          <w:szCs w:val="20"/>
        </w:rPr>
        <w:t>磁干扰和设备寄生耦合</w:t>
      </w:r>
      <w:r>
        <w:rPr>
          <w:sz w:val="20"/>
          <w:szCs w:val="20"/>
        </w:rPr>
        <w:t xml:space="preserve"> </w:t>
      </w:r>
      <w:r>
        <w:rPr>
          <w:spacing w:val="-4"/>
          <w:sz w:val="16"/>
          <w:szCs w:val="16"/>
        </w:rPr>
        <w:t>干</w:t>
      </w:r>
      <w:r>
        <w:rPr>
          <w:spacing w:val="-13"/>
          <w:sz w:val="16"/>
          <w:szCs w:val="16"/>
        </w:rPr>
        <w:t xml:space="preserve"> </w:t>
      </w:r>
      <w:r>
        <w:rPr>
          <w:spacing w:val="-4"/>
          <w:sz w:val="16"/>
          <w:szCs w:val="16"/>
        </w:rPr>
        <w:t>扰</w:t>
      </w:r>
      <w:r>
        <w:rPr>
          <w:spacing w:val="-19"/>
          <w:sz w:val="16"/>
          <w:szCs w:val="16"/>
        </w:rPr>
        <w:t xml:space="preserve"> </w:t>
      </w:r>
      <w:r>
        <w:rPr>
          <w:spacing w:val="-4"/>
          <w:sz w:val="16"/>
          <w:szCs w:val="16"/>
        </w:rPr>
        <w:t>；</w:t>
      </w:r>
    </w:p>
    <w:p w14:paraId="570FB8A5">
      <w:pPr>
        <w:pStyle w:val="2"/>
        <w:spacing w:before="103" w:line="257" w:lineRule="auto"/>
        <w:ind w:left="1049" w:right="29" w:hanging="279"/>
        <w:rPr>
          <w:sz w:val="20"/>
          <w:szCs w:val="20"/>
        </w:rPr>
      </w:pPr>
      <w:r>
        <w:rPr>
          <w:spacing w:val="5"/>
          <w:sz w:val="20"/>
          <w:szCs w:val="20"/>
        </w:rPr>
        <w:t>●等级保护第三级以上系统，应对关键设备和磁介质进行电磁屏蔽(使用屏蔽机柜安装关</w:t>
      </w:r>
      <w:r>
        <w:rPr>
          <w:spacing w:val="13"/>
          <w:sz w:val="20"/>
          <w:szCs w:val="20"/>
        </w:rPr>
        <w:t xml:space="preserve"> </w:t>
      </w:r>
      <w:r>
        <w:rPr>
          <w:spacing w:val="-1"/>
          <w:sz w:val="20"/>
          <w:szCs w:val="20"/>
        </w:rPr>
        <w:t>键设备，使用电磁屏蔽防潮柜存放磁介质)。</w:t>
      </w:r>
    </w:p>
    <w:p w14:paraId="2DE8D9F7">
      <w:pPr>
        <w:pStyle w:val="2"/>
        <w:spacing w:before="92" w:line="219" w:lineRule="auto"/>
        <w:ind w:left="770"/>
        <w:rPr>
          <w:sz w:val="20"/>
          <w:szCs w:val="20"/>
        </w:rPr>
      </w:pPr>
      <w:r>
        <w:rPr>
          <w:spacing w:val="1"/>
          <w:sz w:val="20"/>
          <w:szCs w:val="20"/>
        </w:rPr>
        <w:t>(12)机房环境监控。适时关注机房环境监控的关键部位和技术实现符合相关要求。</w:t>
      </w:r>
    </w:p>
    <w:p w14:paraId="62D9BDE8">
      <w:pPr>
        <w:pStyle w:val="2"/>
        <w:spacing w:before="83" w:line="219" w:lineRule="auto"/>
        <w:ind w:left="770"/>
        <w:rPr>
          <w:sz w:val="20"/>
          <w:szCs w:val="20"/>
        </w:rPr>
      </w:pPr>
      <w:r>
        <w:rPr>
          <w:spacing w:val="1"/>
          <w:sz w:val="20"/>
          <w:szCs w:val="20"/>
        </w:rPr>
        <w:t>(13)对于涉及敏感数据或关键的系统链路，还应考虑其他必要措施。</w:t>
      </w:r>
    </w:p>
    <w:p w14:paraId="4A88B32F">
      <w:pPr>
        <w:pStyle w:val="2"/>
        <w:spacing w:before="244" w:line="221" w:lineRule="auto"/>
        <w:ind w:left="352"/>
        <w:rPr>
          <w:sz w:val="24"/>
          <w:szCs w:val="24"/>
        </w:rPr>
      </w:pPr>
      <w:r>
        <w:rPr>
          <w:b/>
          <w:bCs/>
          <w:color w:val="0073E6"/>
          <w:spacing w:val="-11"/>
          <w:sz w:val="24"/>
          <w:szCs w:val="24"/>
        </w:rPr>
        <w:t>24.9.2</w:t>
      </w:r>
      <w:r>
        <w:rPr>
          <w:color w:val="0073E6"/>
          <w:spacing w:val="-11"/>
          <w:sz w:val="24"/>
          <w:szCs w:val="24"/>
        </w:rPr>
        <w:t xml:space="preserve">  </w:t>
      </w:r>
      <w:r>
        <w:rPr>
          <w:b/>
          <w:bCs/>
          <w:color w:val="0073E6"/>
          <w:spacing w:val="-11"/>
          <w:sz w:val="24"/>
          <w:szCs w:val="24"/>
        </w:rPr>
        <w:t>网络安全</w:t>
      </w:r>
    </w:p>
    <w:p w14:paraId="6AC20F6F">
      <w:pPr>
        <w:pStyle w:val="2"/>
        <w:spacing w:before="163" w:line="219" w:lineRule="auto"/>
        <w:ind w:left="770"/>
        <w:rPr>
          <w:sz w:val="20"/>
          <w:szCs w:val="20"/>
        </w:rPr>
      </w:pPr>
      <w:r>
        <w:rPr>
          <w:spacing w:val="-3"/>
          <w:sz w:val="20"/>
          <w:szCs w:val="20"/>
        </w:rPr>
        <w:t>网络安全方面的关键技术要求如下：</w:t>
      </w:r>
    </w:p>
    <w:p w14:paraId="1D2AB12B">
      <w:pPr>
        <w:pStyle w:val="2"/>
        <w:spacing w:before="81" w:line="219" w:lineRule="auto"/>
        <w:ind w:left="770"/>
        <w:rPr>
          <w:sz w:val="20"/>
          <w:szCs w:val="20"/>
        </w:rPr>
      </w:pPr>
      <w:r>
        <w:rPr>
          <w:spacing w:val="2"/>
          <w:sz w:val="20"/>
          <w:szCs w:val="20"/>
        </w:rPr>
        <w:t>(1)各种服务器及网络核心设备宜放置在专门的电子设备机房。</w:t>
      </w:r>
    </w:p>
    <w:p w14:paraId="2A8E7713">
      <w:pPr>
        <w:pStyle w:val="2"/>
        <w:spacing w:before="84" w:line="243" w:lineRule="auto"/>
        <w:ind w:left="349" w:right="26" w:firstLine="420"/>
        <w:rPr>
          <w:sz w:val="20"/>
          <w:szCs w:val="20"/>
        </w:rPr>
      </w:pPr>
      <w:r>
        <w:rPr>
          <w:spacing w:val="5"/>
          <w:sz w:val="20"/>
          <w:szCs w:val="20"/>
        </w:rPr>
        <w:t>(2)信息网络平台中涉及的防火墙、防病毒系统等网络安全软硬件设备应通过国家相关安</w:t>
      </w:r>
      <w:r>
        <w:rPr>
          <w:spacing w:val="11"/>
          <w:sz w:val="20"/>
          <w:szCs w:val="20"/>
        </w:rPr>
        <w:t xml:space="preserve"> </w:t>
      </w:r>
      <w:r>
        <w:rPr>
          <w:spacing w:val="-4"/>
          <w:sz w:val="20"/>
          <w:szCs w:val="20"/>
        </w:rPr>
        <w:t>全测评认证机构的认证。</w:t>
      </w:r>
    </w:p>
    <w:p w14:paraId="3AF02452">
      <w:pPr>
        <w:pStyle w:val="2"/>
        <w:spacing w:before="74" w:line="220" w:lineRule="auto"/>
        <w:ind w:left="770"/>
        <w:rPr>
          <w:sz w:val="20"/>
          <w:szCs w:val="20"/>
        </w:rPr>
      </w:pPr>
      <w:r>
        <w:rPr>
          <w:spacing w:val="3"/>
          <w:sz w:val="20"/>
          <w:szCs w:val="20"/>
        </w:rPr>
        <w:t>(3)结构安全。具体包括：</w:t>
      </w:r>
    </w:p>
    <w:p w14:paraId="41C25EE0">
      <w:pPr>
        <w:pStyle w:val="2"/>
        <w:spacing w:before="62" w:line="257" w:lineRule="auto"/>
        <w:ind w:left="1049" w:right="10" w:hanging="279"/>
        <w:rPr>
          <w:sz w:val="20"/>
          <w:szCs w:val="20"/>
        </w:rPr>
      </w:pPr>
      <w:r>
        <w:rPr>
          <w:spacing w:val="3"/>
          <w:sz w:val="20"/>
          <w:szCs w:val="20"/>
        </w:rPr>
        <w:t>●网络全局和结构设计应保证关键网络设备的业务处理能力具备冗余空间，满足网络各个</w:t>
      </w:r>
      <w:r>
        <w:rPr>
          <w:spacing w:val="10"/>
          <w:sz w:val="20"/>
          <w:szCs w:val="20"/>
        </w:rPr>
        <w:t xml:space="preserve"> </w:t>
      </w:r>
      <w:r>
        <w:rPr>
          <w:spacing w:val="-2"/>
          <w:sz w:val="20"/>
          <w:szCs w:val="20"/>
        </w:rPr>
        <w:t>部分业务高峰期需要，等级保护第三级以上系统，应保证主要网络设备的以上能力；</w:t>
      </w:r>
    </w:p>
    <w:p w14:paraId="075E7018">
      <w:pPr>
        <w:pStyle w:val="2"/>
        <w:spacing w:before="92" w:line="253" w:lineRule="auto"/>
        <w:ind w:left="1049" w:right="9" w:hanging="279"/>
        <w:rPr>
          <w:sz w:val="20"/>
          <w:szCs w:val="20"/>
        </w:rPr>
      </w:pPr>
      <w:r>
        <w:rPr>
          <w:spacing w:val="3"/>
          <w:sz w:val="20"/>
          <w:szCs w:val="20"/>
        </w:rPr>
        <w:t>●应绘制与实际部署情况相符的网络拓扑结构图，需标识出所有服务器、网络设备和安全</w:t>
      </w:r>
      <w:r>
        <w:rPr>
          <w:spacing w:val="11"/>
          <w:sz w:val="20"/>
          <w:szCs w:val="20"/>
        </w:rPr>
        <w:t xml:space="preserve"> </w:t>
      </w:r>
      <w:r>
        <w:rPr>
          <w:spacing w:val="-2"/>
          <w:sz w:val="20"/>
          <w:szCs w:val="20"/>
        </w:rPr>
        <w:t>设备，及相应的设备型号、</w:t>
      </w:r>
      <w:r>
        <w:rPr>
          <w:rFonts w:ascii="Times New Roman" w:hAnsi="Times New Roman" w:eastAsia="Times New Roman" w:cs="Times New Roman"/>
          <w:spacing w:val="-2"/>
          <w:sz w:val="20"/>
          <w:szCs w:val="20"/>
        </w:rPr>
        <w:t>IP</w:t>
      </w:r>
      <w:r>
        <w:rPr>
          <w:rFonts w:ascii="Times New Roman" w:hAnsi="Times New Roman" w:eastAsia="Times New Roman" w:cs="Times New Roman"/>
          <w:spacing w:val="22"/>
          <w:sz w:val="20"/>
          <w:szCs w:val="20"/>
        </w:rPr>
        <w:t xml:space="preserve"> </w:t>
      </w:r>
      <w:r>
        <w:rPr>
          <w:spacing w:val="-2"/>
          <w:sz w:val="20"/>
          <w:szCs w:val="20"/>
        </w:rPr>
        <w:t>地址和连接端口等，标识出安全区域划分情况；</w:t>
      </w:r>
    </w:p>
    <w:p w14:paraId="040E5FE3">
      <w:pPr>
        <w:spacing w:line="253" w:lineRule="auto"/>
        <w:rPr>
          <w:sz w:val="20"/>
          <w:szCs w:val="20"/>
        </w:rPr>
        <w:sectPr>
          <w:pgSz w:w="10300" w:h="13430"/>
          <w:pgMar w:top="400" w:right="1121" w:bottom="400" w:left="469" w:header="0" w:footer="0" w:gutter="0"/>
          <w:cols w:space="720" w:num="1"/>
        </w:sectPr>
      </w:pPr>
    </w:p>
    <w:p w14:paraId="44CC01B3">
      <w:pPr>
        <w:pStyle w:val="2"/>
        <w:spacing w:before="37" w:line="333" w:lineRule="exact"/>
        <w:jc w:val="right"/>
        <w:rPr>
          <w:rFonts w:ascii="Times New Roman" w:hAnsi="Times New Roman" w:eastAsia="Times New Roman" w:cs="Times New Roman"/>
          <w:sz w:val="20"/>
          <w:szCs w:val="20"/>
        </w:rPr>
      </w:pPr>
      <w:r>
        <w:rPr>
          <w:spacing w:val="-3"/>
          <w:position w:val="5"/>
          <w:sz w:val="20"/>
          <w:szCs w:val="20"/>
        </w:rPr>
        <w:t>第24章 信息安全监理</w:t>
      </w:r>
      <w:r>
        <w:rPr>
          <w:spacing w:val="15"/>
          <w:position w:val="5"/>
          <w:sz w:val="20"/>
          <w:szCs w:val="20"/>
        </w:rPr>
        <w:t xml:space="preserve">   </w:t>
      </w:r>
      <w:r>
        <w:rPr>
          <w:color w:val="0096ED"/>
          <w:spacing w:val="-3"/>
          <w:position w:val="-2"/>
          <w:sz w:val="20"/>
          <w:szCs w:val="20"/>
        </w:rPr>
        <w:t xml:space="preserve">■ </w:t>
      </w:r>
      <w:r>
        <w:rPr>
          <w:rFonts w:ascii="Times New Roman" w:hAnsi="Times New Roman" w:eastAsia="Times New Roman" w:cs="Times New Roman"/>
          <w:spacing w:val="-3"/>
          <w:position w:val="-2"/>
          <w:sz w:val="20"/>
          <w:szCs w:val="20"/>
        </w:rPr>
        <w:t>573</w:t>
      </w:r>
    </w:p>
    <w:p w14:paraId="77445D15">
      <w:pPr>
        <w:pStyle w:val="2"/>
        <w:spacing w:before="257" w:line="266" w:lineRule="auto"/>
        <w:ind w:left="316" w:right="320" w:hanging="270"/>
        <w:rPr>
          <w:sz w:val="20"/>
          <w:szCs w:val="20"/>
        </w:rPr>
      </w:pPr>
      <w:r>
        <w:rPr>
          <w:spacing w:val="3"/>
          <w:sz w:val="20"/>
          <w:szCs w:val="20"/>
        </w:rPr>
        <w:t>●等级保护第三级以上系统，应在业务终端与业务服务器之间进行路由</w:t>
      </w:r>
      <w:r>
        <w:rPr>
          <w:spacing w:val="2"/>
          <w:sz w:val="20"/>
          <w:szCs w:val="20"/>
        </w:rPr>
        <w:t>控制建立安全的访</w:t>
      </w:r>
      <w:r>
        <w:rPr>
          <w:sz w:val="20"/>
          <w:szCs w:val="20"/>
        </w:rPr>
        <w:t xml:space="preserve"> </w:t>
      </w:r>
      <w:r>
        <w:rPr>
          <w:spacing w:val="-2"/>
          <w:sz w:val="20"/>
          <w:szCs w:val="20"/>
        </w:rPr>
        <w:t>问路径，如使用静态路由或启用加密认证的相关技术手段；</w:t>
      </w:r>
    </w:p>
    <w:p w14:paraId="39D9C54C">
      <w:pPr>
        <w:pStyle w:val="2"/>
        <w:spacing w:before="74" w:line="276" w:lineRule="auto"/>
        <w:ind w:left="316" w:right="320" w:hanging="270"/>
        <w:rPr>
          <w:sz w:val="20"/>
          <w:szCs w:val="20"/>
        </w:rPr>
      </w:pPr>
      <w:r>
        <w:rPr>
          <w:spacing w:val="8"/>
          <w:sz w:val="20"/>
          <w:szCs w:val="20"/>
        </w:rPr>
        <w:t>●等级保护第三级以上系统，应避免将重要网段(如服务器区、数据存储区)部</w:t>
      </w:r>
      <w:r>
        <w:rPr>
          <w:spacing w:val="7"/>
          <w:sz w:val="20"/>
          <w:szCs w:val="20"/>
        </w:rPr>
        <w:t>署在网络</w:t>
      </w:r>
      <w:r>
        <w:rPr>
          <w:sz w:val="20"/>
          <w:szCs w:val="20"/>
        </w:rPr>
        <w:t xml:space="preserve"> </w:t>
      </w:r>
      <w:r>
        <w:rPr>
          <w:spacing w:val="6"/>
          <w:sz w:val="20"/>
          <w:szCs w:val="20"/>
        </w:rPr>
        <w:t>边界处且直接连接外部信息系统，重要网段与其他网段之间采取可靠的技术隔离手段</w:t>
      </w:r>
      <w:r>
        <w:rPr>
          <w:spacing w:val="14"/>
          <w:sz w:val="20"/>
          <w:szCs w:val="20"/>
        </w:rPr>
        <w:t xml:space="preserve"> </w:t>
      </w:r>
      <w:r>
        <w:rPr>
          <w:sz w:val="20"/>
          <w:szCs w:val="20"/>
        </w:rPr>
        <w:t>(如防火墙、网闸等);</w:t>
      </w:r>
    </w:p>
    <w:p w14:paraId="0698973E">
      <w:pPr>
        <w:pStyle w:val="2"/>
        <w:spacing w:before="82" w:line="274" w:lineRule="auto"/>
        <w:ind w:left="316" w:right="306" w:hanging="270"/>
        <w:rPr>
          <w:sz w:val="20"/>
          <w:szCs w:val="20"/>
        </w:rPr>
      </w:pPr>
      <w:r>
        <w:rPr>
          <w:spacing w:val="3"/>
          <w:sz w:val="20"/>
          <w:szCs w:val="20"/>
        </w:rPr>
        <w:t>●等级保护第三级以上系统，应按照对业务服务的重要次序来指</w:t>
      </w:r>
      <w:r>
        <w:rPr>
          <w:spacing w:val="2"/>
          <w:sz w:val="20"/>
          <w:szCs w:val="20"/>
        </w:rPr>
        <w:t>定带宽分配优先级别，保</w:t>
      </w:r>
      <w:r>
        <w:rPr>
          <w:sz w:val="20"/>
          <w:szCs w:val="20"/>
        </w:rPr>
        <w:t xml:space="preserve"> </w:t>
      </w:r>
      <w:r>
        <w:rPr>
          <w:spacing w:val="7"/>
          <w:sz w:val="20"/>
          <w:szCs w:val="20"/>
        </w:rPr>
        <w:t>证在网络发生拥堵的时候优先保护重要主机，在核心交换机或边界设备</w:t>
      </w:r>
      <w:r>
        <w:rPr>
          <w:spacing w:val="6"/>
          <w:sz w:val="20"/>
          <w:szCs w:val="20"/>
        </w:rPr>
        <w:t>上配置并启用</w:t>
      </w:r>
      <w:r>
        <w:rPr>
          <w:sz w:val="20"/>
          <w:szCs w:val="20"/>
        </w:rPr>
        <w:t xml:space="preserve"> </w:t>
      </w:r>
      <w:r>
        <w:rPr>
          <w:rFonts w:ascii="Times New Roman" w:hAnsi="Times New Roman" w:eastAsia="Times New Roman" w:cs="Times New Roman"/>
          <w:spacing w:val="-4"/>
          <w:sz w:val="20"/>
          <w:szCs w:val="20"/>
        </w:rPr>
        <w:t xml:space="preserve">QoS </w:t>
      </w:r>
      <w:r>
        <w:rPr>
          <w:spacing w:val="-4"/>
          <w:sz w:val="20"/>
          <w:szCs w:val="20"/>
        </w:rPr>
        <w:t>策略；</w:t>
      </w:r>
    </w:p>
    <w:p w14:paraId="17DDB6D4">
      <w:pPr>
        <w:pStyle w:val="2"/>
        <w:spacing w:before="88" w:line="267" w:lineRule="auto"/>
        <w:ind w:left="316" w:right="320" w:hanging="270"/>
        <w:rPr>
          <w:sz w:val="20"/>
          <w:szCs w:val="20"/>
        </w:rPr>
      </w:pPr>
      <w:r>
        <w:rPr>
          <w:spacing w:val="3"/>
          <w:sz w:val="20"/>
          <w:szCs w:val="20"/>
        </w:rPr>
        <w:t>●应根据各部门的工作职能、重要性和所涉及信息的重要程度等因素</w:t>
      </w:r>
      <w:r>
        <w:rPr>
          <w:spacing w:val="2"/>
          <w:sz w:val="20"/>
          <w:szCs w:val="20"/>
        </w:rPr>
        <w:t>，划分不同的子网或</w:t>
      </w:r>
      <w:r>
        <w:rPr>
          <w:sz w:val="20"/>
          <w:szCs w:val="20"/>
        </w:rPr>
        <w:t xml:space="preserve"> </w:t>
      </w:r>
      <w:r>
        <w:rPr>
          <w:spacing w:val="-2"/>
          <w:sz w:val="20"/>
          <w:szCs w:val="20"/>
        </w:rPr>
        <w:t>网段，并按照方便管理和控制的原则为各子网、网段分配地址段。</w:t>
      </w:r>
    </w:p>
    <w:p w14:paraId="65E2D6F9">
      <w:pPr>
        <w:pStyle w:val="2"/>
        <w:spacing w:before="83" w:line="220" w:lineRule="auto"/>
        <w:ind w:left="46"/>
        <w:rPr>
          <w:sz w:val="20"/>
          <w:szCs w:val="20"/>
        </w:rPr>
      </w:pPr>
      <w:r>
        <w:rPr>
          <w:spacing w:val="3"/>
          <w:sz w:val="20"/>
          <w:szCs w:val="20"/>
        </w:rPr>
        <w:t>(4)访问控制。具体包括：</w:t>
      </w:r>
    </w:p>
    <w:p w14:paraId="368F0762">
      <w:pPr>
        <w:pStyle w:val="2"/>
        <w:spacing w:before="77" w:line="255" w:lineRule="auto"/>
        <w:ind w:left="316" w:right="314" w:hanging="270"/>
        <w:rPr>
          <w:sz w:val="20"/>
          <w:szCs w:val="20"/>
        </w:rPr>
      </w:pPr>
      <w:r>
        <w:rPr>
          <w:spacing w:val="11"/>
          <w:sz w:val="20"/>
          <w:szCs w:val="20"/>
        </w:rPr>
        <w:t>●应在网络边界处部署访问控制设备(如防火墙等),</w:t>
      </w:r>
      <w:r>
        <w:rPr>
          <w:spacing w:val="10"/>
          <w:sz w:val="20"/>
          <w:szCs w:val="20"/>
        </w:rPr>
        <w:t>启用访问控制功能，并配置合理的</w:t>
      </w:r>
      <w:r>
        <w:rPr>
          <w:sz w:val="20"/>
          <w:szCs w:val="20"/>
        </w:rPr>
        <w:t xml:space="preserve"> </w:t>
      </w:r>
      <w:r>
        <w:rPr>
          <w:spacing w:val="-4"/>
          <w:sz w:val="20"/>
          <w:szCs w:val="20"/>
        </w:rPr>
        <w:t>访问控制策略；</w:t>
      </w:r>
    </w:p>
    <w:p w14:paraId="2A607E54">
      <w:pPr>
        <w:pStyle w:val="2"/>
        <w:spacing w:before="100" w:line="258" w:lineRule="auto"/>
        <w:ind w:left="316" w:right="322" w:hanging="270"/>
        <w:rPr>
          <w:sz w:val="20"/>
          <w:szCs w:val="20"/>
        </w:rPr>
      </w:pPr>
      <w:r>
        <w:rPr>
          <w:spacing w:val="11"/>
          <w:sz w:val="20"/>
          <w:szCs w:val="20"/>
        </w:rPr>
        <w:t>●应能根据会话状态信息为数据流提供明确的允许/拒绝访</w:t>
      </w:r>
      <w:r>
        <w:rPr>
          <w:spacing w:val="10"/>
          <w:sz w:val="20"/>
          <w:szCs w:val="20"/>
        </w:rPr>
        <w:t>问的能力，控制粒度为网段</w:t>
      </w:r>
      <w:r>
        <w:rPr>
          <w:sz w:val="20"/>
          <w:szCs w:val="20"/>
        </w:rPr>
        <w:t xml:space="preserve"> </w:t>
      </w:r>
      <w:r>
        <w:rPr>
          <w:spacing w:val="-3"/>
          <w:sz w:val="20"/>
          <w:szCs w:val="20"/>
        </w:rPr>
        <w:t>级，等级保护第三级以上系统要求控制粒度为端口级；</w:t>
      </w:r>
    </w:p>
    <w:p w14:paraId="515EE6A1">
      <w:pPr>
        <w:pStyle w:val="2"/>
        <w:spacing w:before="72" w:line="266" w:lineRule="auto"/>
        <w:ind w:left="316" w:right="322" w:hanging="270"/>
        <w:rPr>
          <w:sz w:val="20"/>
          <w:szCs w:val="20"/>
        </w:rPr>
      </w:pPr>
      <w:r>
        <w:rPr>
          <w:spacing w:val="9"/>
          <w:sz w:val="20"/>
          <w:szCs w:val="20"/>
        </w:rPr>
        <w:t>●等级保护第三级以上系统，应对进出网络(</w:t>
      </w:r>
      <w:r>
        <w:rPr>
          <w:sz w:val="20"/>
          <w:szCs w:val="20"/>
        </w:rPr>
        <w:t>Internet</w:t>
      </w:r>
      <w:r>
        <w:rPr>
          <w:spacing w:val="9"/>
          <w:sz w:val="20"/>
          <w:szCs w:val="20"/>
        </w:rPr>
        <w:t>边界)的信息</w:t>
      </w:r>
      <w:r>
        <w:rPr>
          <w:spacing w:val="8"/>
          <w:sz w:val="20"/>
          <w:szCs w:val="20"/>
        </w:rPr>
        <w:t>内容进行过滤，实现</w:t>
      </w:r>
      <w:r>
        <w:rPr>
          <w:sz w:val="20"/>
          <w:szCs w:val="20"/>
        </w:rPr>
        <w:t xml:space="preserve"> </w:t>
      </w:r>
      <w:r>
        <w:rPr>
          <w:spacing w:val="-3"/>
          <w:sz w:val="20"/>
          <w:szCs w:val="20"/>
        </w:rPr>
        <w:t>对应用层</w:t>
      </w:r>
      <w:r>
        <w:rPr>
          <w:rFonts w:ascii="Times New Roman" w:hAnsi="Times New Roman" w:eastAsia="Times New Roman" w:cs="Times New Roman"/>
          <w:spacing w:val="-3"/>
          <w:sz w:val="20"/>
          <w:szCs w:val="20"/>
        </w:rPr>
        <w:t>HTTP</w:t>
      </w:r>
      <w:r>
        <w:rPr>
          <w:rFonts w:ascii="Times New Roman" w:hAnsi="Times New Roman" w:eastAsia="Times New Roman" w:cs="Times New Roman"/>
          <w:spacing w:val="-22"/>
          <w:sz w:val="20"/>
          <w:szCs w:val="20"/>
        </w:rPr>
        <w:t xml:space="preserve"> </w:t>
      </w:r>
      <w:r>
        <w:rPr>
          <w:spacing w:val="-3"/>
          <w:sz w:val="20"/>
          <w:szCs w:val="20"/>
        </w:rPr>
        <w:t>、</w:t>
      </w:r>
      <w:r>
        <w:rPr>
          <w:rFonts w:ascii="Times New Roman" w:hAnsi="Times New Roman" w:eastAsia="Times New Roman" w:cs="Times New Roman"/>
          <w:spacing w:val="-3"/>
          <w:sz w:val="20"/>
          <w:szCs w:val="20"/>
        </w:rPr>
        <w:t>FTP</w:t>
      </w:r>
      <w:r>
        <w:rPr>
          <w:rFonts w:ascii="Times New Roman" w:hAnsi="Times New Roman" w:eastAsia="Times New Roman" w:cs="Times New Roman"/>
          <w:spacing w:val="-28"/>
          <w:sz w:val="20"/>
          <w:szCs w:val="20"/>
        </w:rPr>
        <w:t xml:space="preserve"> </w:t>
      </w:r>
      <w:r>
        <w:rPr>
          <w:spacing w:val="-3"/>
          <w:sz w:val="20"/>
          <w:szCs w:val="20"/>
        </w:rPr>
        <w:t>、</w:t>
      </w:r>
      <w:r>
        <w:rPr>
          <w:rFonts w:ascii="Times New Roman" w:hAnsi="Times New Roman" w:eastAsia="Times New Roman" w:cs="Times New Roman"/>
          <w:spacing w:val="-3"/>
          <w:sz w:val="20"/>
          <w:szCs w:val="20"/>
        </w:rPr>
        <w:t>Telnet</w:t>
      </w:r>
      <w:r>
        <w:rPr>
          <w:rFonts w:ascii="Times New Roman" w:hAnsi="Times New Roman" w:eastAsia="Times New Roman" w:cs="Times New Roman"/>
          <w:spacing w:val="-29"/>
          <w:sz w:val="20"/>
          <w:szCs w:val="20"/>
        </w:rPr>
        <w:t xml:space="preserve"> </w:t>
      </w:r>
      <w:r>
        <w:rPr>
          <w:spacing w:val="-3"/>
          <w:sz w:val="20"/>
          <w:szCs w:val="20"/>
        </w:rPr>
        <w:t>、</w:t>
      </w:r>
      <w:r>
        <w:rPr>
          <w:rFonts w:ascii="Times New Roman" w:hAnsi="Times New Roman" w:eastAsia="Times New Roman" w:cs="Times New Roman"/>
          <w:spacing w:val="-3"/>
          <w:sz w:val="20"/>
          <w:szCs w:val="20"/>
        </w:rPr>
        <w:t>SMTP</w:t>
      </w:r>
      <w:r>
        <w:rPr>
          <w:rFonts w:ascii="Times New Roman" w:hAnsi="Times New Roman" w:eastAsia="Times New Roman" w:cs="Times New Roman"/>
          <w:spacing w:val="-28"/>
          <w:sz w:val="20"/>
          <w:szCs w:val="20"/>
        </w:rPr>
        <w:t xml:space="preserve"> </w:t>
      </w:r>
      <w:r>
        <w:rPr>
          <w:spacing w:val="-3"/>
          <w:sz w:val="20"/>
          <w:szCs w:val="20"/>
        </w:rPr>
        <w:t>、</w:t>
      </w:r>
      <w:r>
        <w:rPr>
          <w:rFonts w:ascii="Times New Roman" w:hAnsi="Times New Roman" w:eastAsia="Times New Roman" w:cs="Times New Roman"/>
          <w:spacing w:val="-3"/>
          <w:sz w:val="20"/>
          <w:szCs w:val="20"/>
        </w:rPr>
        <w:t xml:space="preserve">POP3 </w:t>
      </w:r>
      <w:r>
        <w:rPr>
          <w:spacing w:val="-3"/>
          <w:sz w:val="20"/>
          <w:szCs w:val="20"/>
        </w:rPr>
        <w:t>等协议命令级的控制；</w:t>
      </w:r>
    </w:p>
    <w:p w14:paraId="18B0055C">
      <w:pPr>
        <w:pStyle w:val="2"/>
        <w:spacing w:before="73" w:line="219" w:lineRule="auto"/>
        <w:ind w:left="46"/>
        <w:rPr>
          <w:sz w:val="20"/>
          <w:szCs w:val="20"/>
        </w:rPr>
      </w:pPr>
      <w:r>
        <w:rPr>
          <w:spacing w:val="1"/>
          <w:sz w:val="20"/>
          <w:szCs w:val="20"/>
        </w:rPr>
        <w:t>●网络应具备会话超时中断、最大并发数限制功能；</w:t>
      </w:r>
    </w:p>
    <w:p w14:paraId="4265328F">
      <w:pPr>
        <w:pStyle w:val="2"/>
        <w:spacing w:before="93" w:line="219" w:lineRule="auto"/>
        <w:ind w:left="46"/>
        <w:rPr>
          <w:sz w:val="20"/>
          <w:szCs w:val="20"/>
        </w:rPr>
      </w:pPr>
      <w:r>
        <w:rPr>
          <w:spacing w:val="2"/>
          <w:sz w:val="20"/>
          <w:szCs w:val="20"/>
        </w:rPr>
        <w:t>●重要网段应采取</w:t>
      </w:r>
      <w:r>
        <w:rPr>
          <w:sz w:val="20"/>
          <w:szCs w:val="20"/>
        </w:rPr>
        <w:t>IP</w:t>
      </w:r>
      <w:r>
        <w:rPr>
          <w:spacing w:val="2"/>
          <w:sz w:val="20"/>
          <w:szCs w:val="20"/>
        </w:rPr>
        <w:t>/</w:t>
      </w:r>
      <w:r>
        <w:rPr>
          <w:sz w:val="20"/>
          <w:szCs w:val="20"/>
        </w:rPr>
        <w:t>MAC</w:t>
      </w:r>
      <w:r>
        <w:rPr>
          <w:spacing w:val="60"/>
          <w:sz w:val="20"/>
          <w:szCs w:val="20"/>
        </w:rPr>
        <w:t xml:space="preserve"> </w:t>
      </w:r>
      <w:r>
        <w:rPr>
          <w:spacing w:val="2"/>
          <w:sz w:val="20"/>
          <w:szCs w:val="20"/>
        </w:rPr>
        <w:t>地址绑定，或其他防地址欺骗手段；</w:t>
      </w:r>
    </w:p>
    <w:p w14:paraId="7F95B3F7">
      <w:pPr>
        <w:pStyle w:val="2"/>
        <w:spacing w:before="84" w:line="257" w:lineRule="auto"/>
        <w:ind w:left="316" w:right="250" w:hanging="270"/>
        <w:rPr>
          <w:sz w:val="20"/>
          <w:szCs w:val="20"/>
        </w:rPr>
      </w:pPr>
      <w:r>
        <w:rPr>
          <w:spacing w:val="5"/>
          <w:sz w:val="20"/>
          <w:szCs w:val="20"/>
        </w:rPr>
        <w:t>●应按用户和系统之间的允许访问规则，决定允许</w:t>
      </w:r>
      <w:r>
        <w:rPr>
          <w:spacing w:val="4"/>
          <w:sz w:val="20"/>
          <w:szCs w:val="20"/>
        </w:rPr>
        <w:t>或拒绝用户对受控系统进行资源访问，</w:t>
      </w:r>
      <w:r>
        <w:rPr>
          <w:sz w:val="20"/>
          <w:szCs w:val="20"/>
        </w:rPr>
        <w:t xml:space="preserve"> </w:t>
      </w:r>
      <w:r>
        <w:rPr>
          <w:spacing w:val="-5"/>
          <w:sz w:val="20"/>
          <w:szCs w:val="20"/>
        </w:rPr>
        <w:t>控制粒度为单个用户；</w:t>
      </w:r>
    </w:p>
    <w:p w14:paraId="2BB5887F">
      <w:pPr>
        <w:pStyle w:val="2"/>
        <w:spacing w:before="82" w:line="219" w:lineRule="auto"/>
        <w:ind w:left="46"/>
        <w:rPr>
          <w:sz w:val="20"/>
          <w:szCs w:val="20"/>
        </w:rPr>
      </w:pPr>
      <w:r>
        <w:rPr>
          <w:spacing w:val="1"/>
          <w:sz w:val="20"/>
          <w:szCs w:val="20"/>
        </w:rPr>
        <w:t>●如网络提供了拨号接入功能，需要对拨号用户数量进行限制。</w:t>
      </w:r>
    </w:p>
    <w:p w14:paraId="5A8C3A4D">
      <w:pPr>
        <w:pStyle w:val="2"/>
        <w:spacing w:before="84" w:line="220" w:lineRule="auto"/>
        <w:ind w:left="46"/>
        <w:rPr>
          <w:sz w:val="20"/>
          <w:szCs w:val="20"/>
        </w:rPr>
      </w:pPr>
      <w:r>
        <w:rPr>
          <w:spacing w:val="3"/>
          <w:sz w:val="20"/>
          <w:szCs w:val="20"/>
        </w:rPr>
        <w:t>(5)网络设备防护。具体包括：</w:t>
      </w:r>
    </w:p>
    <w:p w14:paraId="1A2AF413">
      <w:pPr>
        <w:pStyle w:val="2"/>
        <w:spacing w:before="71" w:line="219" w:lineRule="auto"/>
        <w:ind w:left="46"/>
        <w:rPr>
          <w:sz w:val="20"/>
          <w:szCs w:val="20"/>
        </w:rPr>
      </w:pPr>
      <w:r>
        <w:rPr>
          <w:spacing w:val="1"/>
          <w:sz w:val="20"/>
          <w:szCs w:val="20"/>
        </w:rPr>
        <w:t>●应对登录网络设备的用户进行身份鉴别，网络设备的管理用户标识</w:t>
      </w:r>
      <w:r>
        <w:rPr>
          <w:sz w:val="20"/>
          <w:szCs w:val="20"/>
        </w:rPr>
        <w:t>应具有唯一性；</w:t>
      </w:r>
    </w:p>
    <w:p w14:paraId="72CF1531">
      <w:pPr>
        <w:pStyle w:val="2"/>
        <w:spacing w:before="83" w:line="219" w:lineRule="auto"/>
        <w:ind w:left="46"/>
        <w:rPr>
          <w:sz w:val="20"/>
          <w:szCs w:val="20"/>
        </w:rPr>
      </w:pPr>
      <w:r>
        <w:rPr>
          <w:spacing w:val="1"/>
          <w:sz w:val="20"/>
          <w:szCs w:val="20"/>
        </w:rPr>
        <w:t>●应对网络设备的管理员登录地址进行限制；</w:t>
      </w:r>
    </w:p>
    <w:p w14:paraId="5FD2640C">
      <w:pPr>
        <w:pStyle w:val="2"/>
        <w:spacing w:before="61" w:line="262" w:lineRule="auto"/>
        <w:ind w:left="316" w:right="270" w:hanging="270"/>
        <w:rPr>
          <w:sz w:val="20"/>
          <w:szCs w:val="20"/>
        </w:rPr>
      </w:pPr>
      <w:r>
        <w:rPr>
          <w:spacing w:val="4"/>
          <w:sz w:val="20"/>
          <w:szCs w:val="20"/>
        </w:rPr>
        <w:t>●管理用户的身份鉴别信息应具有不易被冒用的特点，口令应有复杂度要求并定期更换，</w:t>
      </w:r>
      <w:r>
        <w:rPr>
          <w:spacing w:val="2"/>
          <w:sz w:val="20"/>
          <w:szCs w:val="20"/>
        </w:rPr>
        <w:t xml:space="preserve"> </w:t>
      </w:r>
      <w:r>
        <w:rPr>
          <w:spacing w:val="-2"/>
          <w:sz w:val="20"/>
          <w:szCs w:val="20"/>
        </w:rPr>
        <w:t>设备具备口令复杂度限制和口令生存周期限制功能的，应启用；</w:t>
      </w:r>
    </w:p>
    <w:p w14:paraId="2EF46CC8">
      <w:pPr>
        <w:pStyle w:val="2"/>
        <w:spacing w:before="74" w:line="262" w:lineRule="auto"/>
        <w:ind w:left="316" w:right="295" w:hanging="270"/>
        <w:rPr>
          <w:sz w:val="20"/>
          <w:szCs w:val="20"/>
        </w:rPr>
      </w:pPr>
      <w:r>
        <w:rPr>
          <w:spacing w:val="3"/>
          <w:sz w:val="20"/>
          <w:szCs w:val="20"/>
        </w:rPr>
        <w:t>●等级保护第三级以上系统的网络中，网络设备与安全设备应对同一用户选择两种或两种</w:t>
      </w:r>
      <w:r>
        <w:rPr>
          <w:spacing w:val="16"/>
          <w:sz w:val="20"/>
          <w:szCs w:val="20"/>
        </w:rPr>
        <w:t xml:space="preserve"> </w:t>
      </w:r>
      <w:r>
        <w:rPr>
          <w:spacing w:val="-5"/>
          <w:sz w:val="20"/>
          <w:szCs w:val="20"/>
        </w:rPr>
        <w:t>以上组合的鉴别技术来进行身份鉴别；</w:t>
      </w:r>
    </w:p>
    <w:p w14:paraId="51D7656D">
      <w:pPr>
        <w:pStyle w:val="2"/>
        <w:spacing w:before="82" w:line="253" w:lineRule="auto"/>
        <w:ind w:left="316" w:right="318" w:hanging="270"/>
        <w:rPr>
          <w:sz w:val="20"/>
          <w:szCs w:val="20"/>
        </w:rPr>
      </w:pPr>
      <w:r>
        <w:rPr>
          <w:spacing w:val="3"/>
          <w:sz w:val="20"/>
          <w:szCs w:val="20"/>
        </w:rPr>
        <w:t>●应具有登录失败处理功能，可采取结束会话、限制非法登录次数和当网</w:t>
      </w:r>
      <w:r>
        <w:rPr>
          <w:spacing w:val="2"/>
          <w:sz w:val="20"/>
          <w:szCs w:val="20"/>
        </w:rPr>
        <w:t>络登录连接超时</w:t>
      </w:r>
      <w:r>
        <w:rPr>
          <w:sz w:val="20"/>
          <w:szCs w:val="20"/>
        </w:rPr>
        <w:t xml:space="preserve"> </w:t>
      </w:r>
      <w:r>
        <w:rPr>
          <w:spacing w:val="-7"/>
          <w:sz w:val="20"/>
          <w:szCs w:val="20"/>
        </w:rPr>
        <w:t>自动退出等措施；</w:t>
      </w:r>
    </w:p>
    <w:p w14:paraId="20CE1D23">
      <w:pPr>
        <w:pStyle w:val="2"/>
        <w:spacing w:before="61" w:line="267" w:lineRule="auto"/>
        <w:ind w:left="316" w:right="314" w:hanging="270"/>
        <w:rPr>
          <w:sz w:val="20"/>
          <w:szCs w:val="20"/>
        </w:rPr>
      </w:pPr>
      <w:r>
        <w:rPr>
          <w:spacing w:val="8"/>
          <w:sz w:val="20"/>
          <w:szCs w:val="20"/>
        </w:rPr>
        <w:t>●当对网络设备进行远程管理时，应采取必要措施防止鉴别信息在网络传输过程中被窃</w:t>
      </w:r>
      <w:r>
        <w:rPr>
          <w:spacing w:val="10"/>
          <w:sz w:val="20"/>
          <w:szCs w:val="20"/>
        </w:rPr>
        <w:t xml:space="preserve"> </w:t>
      </w:r>
      <w:r>
        <w:rPr>
          <w:spacing w:val="-2"/>
          <w:sz w:val="20"/>
          <w:szCs w:val="20"/>
        </w:rPr>
        <w:t>听，如启用</w:t>
      </w:r>
      <w:r>
        <w:rPr>
          <w:rFonts w:ascii="Times New Roman" w:hAnsi="Times New Roman" w:eastAsia="Times New Roman" w:cs="Times New Roman"/>
          <w:spacing w:val="-2"/>
          <w:sz w:val="20"/>
          <w:szCs w:val="20"/>
        </w:rPr>
        <w:t>SSH</w:t>
      </w:r>
      <w:r>
        <w:rPr>
          <w:rFonts w:ascii="Times New Roman" w:hAnsi="Times New Roman" w:eastAsia="Times New Roman" w:cs="Times New Roman"/>
          <w:spacing w:val="-14"/>
          <w:sz w:val="20"/>
          <w:szCs w:val="20"/>
        </w:rPr>
        <w:t xml:space="preserve"> </w:t>
      </w:r>
      <w:r>
        <w:rPr>
          <w:spacing w:val="-2"/>
          <w:sz w:val="20"/>
          <w:szCs w:val="20"/>
        </w:rPr>
        <w:t>、</w:t>
      </w:r>
      <w:r>
        <w:rPr>
          <w:rFonts w:ascii="Times New Roman" w:hAnsi="Times New Roman" w:eastAsia="Times New Roman" w:cs="Times New Roman"/>
          <w:spacing w:val="-2"/>
          <w:sz w:val="20"/>
          <w:szCs w:val="20"/>
        </w:rPr>
        <w:t>HTTPS</w:t>
      </w:r>
      <w:r>
        <w:rPr>
          <w:rFonts w:ascii="Times New Roman" w:hAnsi="Times New Roman" w:eastAsia="Times New Roman" w:cs="Times New Roman"/>
          <w:spacing w:val="15"/>
          <w:sz w:val="20"/>
          <w:szCs w:val="20"/>
        </w:rPr>
        <w:t xml:space="preserve"> </w:t>
      </w:r>
      <w:r>
        <w:rPr>
          <w:spacing w:val="-2"/>
          <w:sz w:val="20"/>
          <w:szCs w:val="20"/>
        </w:rPr>
        <w:t>等安全协议进行远程管理登录。</w:t>
      </w:r>
    </w:p>
    <w:p w14:paraId="536D5D8E">
      <w:pPr>
        <w:pStyle w:val="2"/>
        <w:spacing w:before="73" w:line="220" w:lineRule="auto"/>
        <w:ind w:left="46"/>
        <w:rPr>
          <w:sz w:val="20"/>
          <w:szCs w:val="20"/>
        </w:rPr>
      </w:pPr>
      <w:r>
        <w:rPr>
          <w:spacing w:val="4"/>
          <w:sz w:val="20"/>
          <w:szCs w:val="20"/>
        </w:rPr>
        <w:t>(6)安全审计。具体包括：</w:t>
      </w:r>
    </w:p>
    <w:p w14:paraId="7760EFA6">
      <w:pPr>
        <w:pStyle w:val="2"/>
        <w:spacing w:before="61" w:line="262" w:lineRule="auto"/>
        <w:ind w:left="316" w:right="301" w:hanging="270"/>
        <w:rPr>
          <w:sz w:val="20"/>
          <w:szCs w:val="20"/>
        </w:rPr>
      </w:pPr>
      <w:r>
        <w:rPr>
          <w:spacing w:val="3"/>
          <w:sz w:val="20"/>
          <w:szCs w:val="20"/>
        </w:rPr>
        <w:t>●应对网络系统中的网络设备运行状况、网络流量、用户行为等进行日志记录，审计记录</w:t>
      </w:r>
      <w:r>
        <w:rPr>
          <w:spacing w:val="11"/>
          <w:sz w:val="20"/>
          <w:szCs w:val="20"/>
        </w:rPr>
        <w:t xml:space="preserve"> </w:t>
      </w:r>
      <w:r>
        <w:rPr>
          <w:spacing w:val="-1"/>
          <w:sz w:val="20"/>
          <w:szCs w:val="20"/>
        </w:rPr>
        <w:t>应包括事件的日期和时间、用户、事件类型、事件是否成功及其他与审计相关的信息；</w:t>
      </w:r>
    </w:p>
    <w:p w14:paraId="606059DB">
      <w:pPr>
        <w:spacing w:line="262" w:lineRule="auto"/>
        <w:rPr>
          <w:sz w:val="20"/>
          <w:szCs w:val="20"/>
        </w:rPr>
        <w:sectPr>
          <w:pgSz w:w="10290" w:h="13290"/>
          <w:pgMar w:top="400" w:right="469" w:bottom="400" w:left="1543" w:header="0" w:footer="0" w:gutter="0"/>
          <w:cols w:space="720" w:num="1"/>
        </w:sectPr>
      </w:pPr>
    </w:p>
    <w:p w14:paraId="0AFE80DC">
      <w:pPr>
        <w:pStyle w:val="2"/>
        <w:rPr>
          <w:sz w:val="20"/>
          <w:szCs w:val="20"/>
        </w:rPr>
      </w:pPr>
      <w:bookmarkStart w:id="771" w:name="bookmark756"/>
      <w:bookmarkEnd w:id="771"/>
      <w:r>
        <w:rPr>
          <w:rFonts w:ascii="Times New Roman" w:hAnsi="Times New Roman" w:eastAsia="Times New Roman" w:cs="Times New Roman"/>
          <w:spacing w:val="-1"/>
          <w:position w:val="-4"/>
          <w:sz w:val="20"/>
          <w:szCs w:val="20"/>
        </w:rPr>
        <w:t xml:space="preserve">574 </w:t>
      </w:r>
      <w:r>
        <w:rPr>
          <w:position w:val="-7"/>
          <w:sz w:val="20"/>
          <w:szCs w:val="20"/>
        </w:rPr>
        <w:drawing>
          <wp:inline distT="0" distB="0" distL="0" distR="0">
            <wp:extent cx="259715" cy="202565"/>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367"/>
                    <a:stretch>
                      <a:fillRect/>
                    </a:stretch>
                  </pic:blipFill>
                  <pic:spPr>
                    <a:xfrm>
                      <a:off x="0" y="0"/>
                      <a:ext cx="260348" cy="203127"/>
                    </a:xfrm>
                    <a:prstGeom prst="rect">
                      <a:avLst/>
                    </a:prstGeom>
                  </pic:spPr>
                </pic:pic>
              </a:graphicData>
            </a:graphic>
          </wp:inline>
        </w:drawing>
      </w:r>
      <w:r>
        <w:rPr>
          <w:rFonts w:ascii="Times New Roman" w:hAnsi="Times New Roman" w:eastAsia="Times New Roman" w:cs="Times New Roman"/>
          <w:spacing w:val="19"/>
          <w:w w:val="101"/>
          <w:position w:val="-4"/>
          <w:sz w:val="20"/>
          <w:szCs w:val="20"/>
        </w:rPr>
        <w:t xml:space="preserve">   </w:t>
      </w:r>
      <w:r>
        <w:rPr>
          <w:spacing w:val="-1"/>
          <w:sz w:val="20"/>
          <w:szCs w:val="20"/>
        </w:rPr>
        <w:t>信息系统监理师教程(第2版)</w:t>
      </w:r>
    </w:p>
    <w:p w14:paraId="7F0B5C00">
      <w:pPr>
        <w:spacing w:line="277" w:lineRule="auto"/>
        <w:rPr>
          <w:rFonts w:ascii="Arial"/>
          <w:sz w:val="21"/>
        </w:rPr>
      </w:pPr>
    </w:p>
    <w:p w14:paraId="66974B8B">
      <w:pPr>
        <w:pStyle w:val="2"/>
        <w:spacing w:before="65" w:line="276" w:lineRule="auto"/>
        <w:ind w:left="1038" w:right="69" w:hanging="279"/>
        <w:rPr>
          <w:sz w:val="20"/>
          <w:szCs w:val="20"/>
        </w:rPr>
      </w:pPr>
      <w:r>
        <w:rPr>
          <w:spacing w:val="3"/>
          <w:sz w:val="20"/>
          <w:szCs w:val="20"/>
        </w:rPr>
        <w:t>●等级保护第三级以上系统，应对审计记录进行保护，避免受到未预期的删除、修改或覆</w:t>
      </w:r>
      <w:r>
        <w:rPr>
          <w:spacing w:val="12"/>
          <w:sz w:val="20"/>
          <w:szCs w:val="20"/>
        </w:rPr>
        <w:t xml:space="preserve"> </w:t>
      </w:r>
      <w:r>
        <w:rPr>
          <w:spacing w:val="-2"/>
          <w:sz w:val="20"/>
          <w:szCs w:val="20"/>
        </w:rPr>
        <w:t>盖等，应能够根据记录数据进行分析，并生成审计报表。</w:t>
      </w:r>
    </w:p>
    <w:p w14:paraId="0B788117">
      <w:pPr>
        <w:pStyle w:val="2"/>
        <w:spacing w:before="72" w:line="219" w:lineRule="auto"/>
        <w:ind w:left="759"/>
        <w:rPr>
          <w:sz w:val="20"/>
          <w:szCs w:val="20"/>
        </w:rPr>
      </w:pPr>
      <w:r>
        <w:rPr>
          <w:spacing w:val="2"/>
          <w:sz w:val="20"/>
          <w:szCs w:val="20"/>
        </w:rPr>
        <w:t>(7)边界完整性。具体包括：</w:t>
      </w:r>
    </w:p>
    <w:p w14:paraId="0AD9C8D3">
      <w:pPr>
        <w:pStyle w:val="2"/>
        <w:spacing w:before="71" w:line="253" w:lineRule="auto"/>
        <w:ind w:left="1038" w:right="60" w:hanging="279"/>
        <w:rPr>
          <w:sz w:val="20"/>
          <w:szCs w:val="20"/>
        </w:rPr>
      </w:pPr>
      <w:r>
        <w:rPr>
          <w:spacing w:val="6"/>
          <w:sz w:val="20"/>
          <w:szCs w:val="20"/>
        </w:rPr>
        <w:t>●应部署终端管理类系统对内部网络用户私自联到外部网络(如越权访问、授权的无线网</w:t>
      </w:r>
      <w:r>
        <w:rPr>
          <w:spacing w:val="4"/>
          <w:sz w:val="20"/>
          <w:szCs w:val="20"/>
        </w:rPr>
        <w:t xml:space="preserve"> </w:t>
      </w:r>
      <w:r>
        <w:rPr>
          <w:spacing w:val="1"/>
          <w:sz w:val="20"/>
          <w:szCs w:val="20"/>
        </w:rPr>
        <w:t>络和私自安装4</w:t>
      </w:r>
      <w:r>
        <w:rPr>
          <w:rFonts w:ascii="Times New Roman" w:hAnsi="Times New Roman" w:eastAsia="Times New Roman" w:cs="Times New Roman"/>
          <w:spacing w:val="1"/>
          <w:sz w:val="20"/>
          <w:szCs w:val="20"/>
        </w:rPr>
        <w:t>G</w:t>
      </w:r>
      <w:r>
        <w:rPr>
          <w:rFonts w:ascii="Times New Roman" w:hAnsi="Times New Roman" w:eastAsia="Times New Roman" w:cs="Times New Roman"/>
          <w:spacing w:val="-18"/>
          <w:sz w:val="20"/>
          <w:szCs w:val="20"/>
        </w:rPr>
        <w:t xml:space="preserve"> </w:t>
      </w:r>
      <w:r>
        <w:rPr>
          <w:spacing w:val="1"/>
          <w:sz w:val="20"/>
          <w:szCs w:val="20"/>
        </w:rPr>
        <w:t>或 5</w:t>
      </w:r>
      <w:r>
        <w:rPr>
          <w:rFonts w:ascii="Times New Roman" w:hAnsi="Times New Roman" w:eastAsia="Times New Roman" w:cs="Times New Roman"/>
          <w:spacing w:val="1"/>
          <w:sz w:val="20"/>
          <w:szCs w:val="20"/>
        </w:rPr>
        <w:t xml:space="preserve">G </w:t>
      </w:r>
      <w:r>
        <w:rPr>
          <w:spacing w:val="1"/>
          <w:sz w:val="20"/>
          <w:szCs w:val="20"/>
        </w:rPr>
        <w:t>上网卡连接</w:t>
      </w:r>
      <w:r>
        <w:rPr>
          <w:rFonts w:ascii="Times New Roman" w:hAnsi="Times New Roman" w:eastAsia="Times New Roman" w:cs="Times New Roman"/>
          <w:sz w:val="20"/>
          <w:szCs w:val="20"/>
        </w:rPr>
        <w:t>Internet</w:t>
      </w:r>
      <w:r>
        <w:rPr>
          <w:rFonts w:ascii="Times New Roman" w:hAnsi="Times New Roman" w:eastAsia="Times New Roman" w:cs="Times New Roman"/>
          <w:spacing w:val="1"/>
          <w:sz w:val="20"/>
          <w:szCs w:val="20"/>
        </w:rPr>
        <w:t>)</w:t>
      </w:r>
      <w:r>
        <w:rPr>
          <w:rFonts w:ascii="Times New Roman" w:hAnsi="Times New Roman" w:eastAsia="Times New Roman" w:cs="Times New Roman"/>
          <w:spacing w:val="18"/>
          <w:w w:val="101"/>
          <w:sz w:val="20"/>
          <w:szCs w:val="20"/>
        </w:rPr>
        <w:t xml:space="preserve">  </w:t>
      </w:r>
      <w:r>
        <w:rPr>
          <w:spacing w:val="1"/>
          <w:sz w:val="20"/>
          <w:szCs w:val="20"/>
        </w:rPr>
        <w:t>的行为进</w:t>
      </w:r>
      <w:r>
        <w:rPr>
          <w:sz w:val="20"/>
          <w:szCs w:val="20"/>
        </w:rPr>
        <w:t>行检查，并对其进行有效阻断；</w:t>
      </w:r>
    </w:p>
    <w:p w14:paraId="108F7CAB">
      <w:pPr>
        <w:pStyle w:val="2"/>
        <w:spacing w:before="103" w:line="276" w:lineRule="auto"/>
        <w:ind w:left="1038" w:right="71" w:hanging="279"/>
        <w:rPr>
          <w:sz w:val="20"/>
          <w:szCs w:val="20"/>
        </w:rPr>
      </w:pPr>
      <w:r>
        <w:rPr>
          <w:spacing w:val="6"/>
          <w:sz w:val="20"/>
          <w:szCs w:val="20"/>
        </w:rPr>
        <w:t>●等级保护第三级以上系统，应部署基于802.1X</w:t>
      </w:r>
      <w:r>
        <w:rPr>
          <w:spacing w:val="-15"/>
          <w:sz w:val="20"/>
          <w:szCs w:val="20"/>
        </w:rPr>
        <w:t xml:space="preserve"> </w:t>
      </w:r>
      <w:r>
        <w:rPr>
          <w:spacing w:val="6"/>
          <w:sz w:val="20"/>
          <w:szCs w:val="20"/>
        </w:rPr>
        <w:t>等认证的网络准入控制系统</w:t>
      </w:r>
      <w:r>
        <w:rPr>
          <w:spacing w:val="5"/>
          <w:sz w:val="20"/>
          <w:szCs w:val="20"/>
        </w:rPr>
        <w:t>，对非授权</w:t>
      </w:r>
      <w:r>
        <w:rPr>
          <w:sz w:val="20"/>
          <w:szCs w:val="20"/>
        </w:rPr>
        <w:t xml:space="preserve"> </w:t>
      </w:r>
      <w:r>
        <w:rPr>
          <w:spacing w:val="7"/>
          <w:sz w:val="20"/>
          <w:szCs w:val="20"/>
        </w:rPr>
        <w:t>设备私自联到内部网络(如非授权的终端、</w:t>
      </w:r>
      <w:r>
        <w:rPr>
          <w:spacing w:val="6"/>
          <w:sz w:val="20"/>
          <w:szCs w:val="20"/>
        </w:rPr>
        <w:t>服务器及网络设备)的行为进行检查，并对</w:t>
      </w:r>
      <w:r>
        <w:rPr>
          <w:sz w:val="20"/>
          <w:szCs w:val="20"/>
        </w:rPr>
        <w:t xml:space="preserve"> </w:t>
      </w:r>
      <w:r>
        <w:rPr>
          <w:spacing w:val="-5"/>
          <w:sz w:val="20"/>
          <w:szCs w:val="20"/>
        </w:rPr>
        <w:t>其进行有效阻断。</w:t>
      </w:r>
    </w:p>
    <w:p w14:paraId="10550167">
      <w:pPr>
        <w:pStyle w:val="2"/>
        <w:spacing w:before="93" w:line="220" w:lineRule="auto"/>
        <w:ind w:left="759"/>
        <w:rPr>
          <w:sz w:val="20"/>
          <w:szCs w:val="20"/>
        </w:rPr>
      </w:pPr>
      <w:r>
        <w:rPr>
          <w:spacing w:val="5"/>
          <w:sz w:val="20"/>
          <w:szCs w:val="20"/>
        </w:rPr>
        <w:t>(8)入侵防范。具体包括：</w:t>
      </w:r>
    </w:p>
    <w:p w14:paraId="07542128">
      <w:pPr>
        <w:pStyle w:val="2"/>
        <w:spacing w:before="71" w:line="276" w:lineRule="auto"/>
        <w:ind w:left="1038" w:right="70" w:hanging="279"/>
        <w:rPr>
          <w:sz w:val="20"/>
          <w:szCs w:val="20"/>
        </w:rPr>
      </w:pPr>
      <w:r>
        <w:rPr>
          <w:spacing w:val="4"/>
          <w:sz w:val="20"/>
          <w:szCs w:val="20"/>
        </w:rPr>
        <w:t>●应在网络边界处部署</w:t>
      </w:r>
      <w:r>
        <w:rPr>
          <w:sz w:val="20"/>
          <w:szCs w:val="20"/>
        </w:rPr>
        <w:t>IPS</w:t>
      </w:r>
      <w:r>
        <w:rPr>
          <w:spacing w:val="4"/>
          <w:sz w:val="20"/>
          <w:szCs w:val="20"/>
        </w:rPr>
        <w:t>、</w:t>
      </w:r>
      <w:r>
        <w:rPr>
          <w:sz w:val="20"/>
          <w:szCs w:val="20"/>
        </w:rPr>
        <w:t>UTM</w:t>
      </w:r>
      <w:r>
        <w:rPr>
          <w:spacing w:val="4"/>
          <w:sz w:val="20"/>
          <w:szCs w:val="20"/>
        </w:rPr>
        <w:t xml:space="preserve">  等设备，或在网络</w:t>
      </w:r>
      <w:r>
        <w:rPr>
          <w:spacing w:val="3"/>
          <w:sz w:val="20"/>
          <w:szCs w:val="20"/>
        </w:rPr>
        <w:t>核心部署</w:t>
      </w:r>
      <w:r>
        <w:rPr>
          <w:sz w:val="20"/>
          <w:szCs w:val="20"/>
        </w:rPr>
        <w:t>IDS</w:t>
      </w:r>
      <w:r>
        <w:rPr>
          <w:spacing w:val="3"/>
          <w:sz w:val="20"/>
          <w:szCs w:val="20"/>
        </w:rPr>
        <w:t xml:space="preserve"> 设备，监视以下攻击行</w:t>
      </w:r>
      <w:r>
        <w:rPr>
          <w:sz w:val="20"/>
          <w:szCs w:val="20"/>
        </w:rPr>
        <w:t xml:space="preserve"> 为：端口扫描、强力攻击、木马后门攻击、拒绝服务攻击、缓冲区溢出攻击、</w:t>
      </w:r>
      <w:r>
        <w:rPr>
          <w:rFonts w:ascii="Times New Roman" w:hAnsi="Times New Roman" w:eastAsia="Times New Roman" w:cs="Times New Roman"/>
          <w:sz w:val="20"/>
          <w:szCs w:val="20"/>
        </w:rPr>
        <w:t>IP</w:t>
      </w:r>
      <w:r>
        <w:rPr>
          <w:rFonts w:ascii="Times New Roman" w:hAnsi="Times New Roman" w:eastAsia="Times New Roman" w:cs="Times New Roman"/>
          <w:spacing w:val="19"/>
          <w:w w:val="101"/>
          <w:sz w:val="20"/>
          <w:szCs w:val="20"/>
        </w:rPr>
        <w:t xml:space="preserve"> </w:t>
      </w:r>
      <w:r>
        <w:rPr>
          <w:sz w:val="20"/>
          <w:szCs w:val="20"/>
        </w:rPr>
        <w:t xml:space="preserve">碎片攻 </w:t>
      </w:r>
      <w:r>
        <w:rPr>
          <w:spacing w:val="-5"/>
          <w:sz w:val="20"/>
          <w:szCs w:val="20"/>
        </w:rPr>
        <w:t>击和网络蠕虫攻击等；</w:t>
      </w:r>
    </w:p>
    <w:p w14:paraId="0DF0D0CD">
      <w:pPr>
        <w:pStyle w:val="2"/>
        <w:spacing w:before="84" w:line="261" w:lineRule="auto"/>
        <w:ind w:left="1038" w:right="62" w:hanging="279"/>
        <w:rPr>
          <w:sz w:val="20"/>
          <w:szCs w:val="20"/>
        </w:rPr>
      </w:pPr>
      <w:r>
        <w:rPr>
          <w:spacing w:val="4"/>
          <w:sz w:val="20"/>
          <w:szCs w:val="20"/>
        </w:rPr>
        <w:t>●等级保护第三级以上系统，应在检测到攻击行为时</w:t>
      </w:r>
      <w:r>
        <w:rPr>
          <w:spacing w:val="3"/>
          <w:sz w:val="20"/>
          <w:szCs w:val="20"/>
        </w:rPr>
        <w:t>，记录攻击源</w:t>
      </w:r>
      <w:r>
        <w:rPr>
          <w:sz w:val="20"/>
          <w:szCs w:val="20"/>
        </w:rPr>
        <w:t>IP</w:t>
      </w:r>
      <w:r>
        <w:rPr>
          <w:spacing w:val="3"/>
          <w:sz w:val="20"/>
          <w:szCs w:val="20"/>
        </w:rPr>
        <w:t>、攻击类型、攻击目</w:t>
      </w:r>
      <w:r>
        <w:rPr>
          <w:sz w:val="20"/>
          <w:szCs w:val="20"/>
        </w:rPr>
        <w:t xml:space="preserve"> </w:t>
      </w:r>
      <w:r>
        <w:rPr>
          <w:spacing w:val="-3"/>
          <w:sz w:val="20"/>
          <w:szCs w:val="20"/>
        </w:rPr>
        <w:t>的、攻击时间，在发生严重入侵事件时应提供报警。</w:t>
      </w:r>
    </w:p>
    <w:p w14:paraId="7D02326B">
      <w:pPr>
        <w:pStyle w:val="2"/>
        <w:spacing w:before="94" w:line="219" w:lineRule="auto"/>
        <w:ind w:left="759"/>
        <w:rPr>
          <w:sz w:val="20"/>
          <w:szCs w:val="20"/>
        </w:rPr>
      </w:pPr>
      <w:r>
        <w:rPr>
          <w:spacing w:val="2"/>
          <w:sz w:val="20"/>
          <w:szCs w:val="20"/>
        </w:rPr>
        <w:t>(9)恶意代码防范。具体包括：</w:t>
      </w:r>
    </w:p>
    <w:p w14:paraId="3A0B0397">
      <w:pPr>
        <w:pStyle w:val="2"/>
        <w:spacing w:before="79" w:line="259" w:lineRule="auto"/>
        <w:ind w:left="1038" w:right="38" w:hanging="279"/>
        <w:rPr>
          <w:sz w:val="20"/>
          <w:szCs w:val="20"/>
        </w:rPr>
      </w:pPr>
      <w:r>
        <w:rPr>
          <w:spacing w:val="1"/>
          <w:sz w:val="20"/>
          <w:szCs w:val="20"/>
        </w:rPr>
        <w:t>●等级保护第三级以上系统，应在网络边界处部署网络反病毒设备(如防毒墙、</w:t>
      </w:r>
      <w:r>
        <w:rPr>
          <w:sz w:val="20"/>
          <w:szCs w:val="20"/>
        </w:rPr>
        <w:t>UTM</w:t>
      </w:r>
      <w:r>
        <w:rPr>
          <w:spacing w:val="1"/>
          <w:sz w:val="20"/>
          <w:szCs w:val="20"/>
        </w:rPr>
        <w:t xml:space="preserve">  等</w:t>
      </w:r>
      <w:r>
        <w:rPr>
          <w:spacing w:val="-41"/>
          <w:sz w:val="20"/>
          <w:szCs w:val="20"/>
        </w:rPr>
        <w:t xml:space="preserve"> </w:t>
      </w:r>
      <w:r>
        <w:rPr>
          <w:spacing w:val="1"/>
          <w:sz w:val="20"/>
          <w:szCs w:val="20"/>
        </w:rPr>
        <w:t>)</w:t>
      </w:r>
      <w:r>
        <w:rPr>
          <w:spacing w:val="-39"/>
          <w:sz w:val="20"/>
          <w:szCs w:val="20"/>
        </w:rPr>
        <w:t xml:space="preserve"> </w:t>
      </w:r>
      <w:r>
        <w:rPr>
          <w:spacing w:val="1"/>
          <w:sz w:val="20"/>
          <w:szCs w:val="20"/>
        </w:rPr>
        <w:t>,</w:t>
      </w:r>
      <w:r>
        <w:rPr>
          <w:sz w:val="20"/>
          <w:szCs w:val="20"/>
        </w:rPr>
        <w:t xml:space="preserve"> </w:t>
      </w:r>
      <w:r>
        <w:rPr>
          <w:spacing w:val="-4"/>
          <w:sz w:val="20"/>
          <w:szCs w:val="20"/>
        </w:rPr>
        <w:t>对恶意代码进行检测和清除；</w:t>
      </w:r>
    </w:p>
    <w:p w14:paraId="0E718662">
      <w:pPr>
        <w:pStyle w:val="2"/>
        <w:spacing w:before="93" w:line="263" w:lineRule="auto"/>
        <w:ind w:left="1038" w:right="71" w:hanging="279"/>
        <w:rPr>
          <w:sz w:val="20"/>
          <w:szCs w:val="20"/>
        </w:rPr>
      </w:pPr>
      <w:r>
        <w:rPr>
          <w:spacing w:val="3"/>
          <w:sz w:val="20"/>
          <w:szCs w:val="20"/>
        </w:rPr>
        <w:t>●等级保护第三级以上系统，网络反病毒设备应具备恶意代码库自动升级和检测系统更新</w:t>
      </w:r>
      <w:r>
        <w:rPr>
          <w:spacing w:val="10"/>
          <w:sz w:val="20"/>
          <w:szCs w:val="20"/>
        </w:rPr>
        <w:t xml:space="preserve"> </w:t>
      </w:r>
      <w:r>
        <w:rPr>
          <w:spacing w:val="-3"/>
          <w:sz w:val="20"/>
          <w:szCs w:val="20"/>
        </w:rPr>
        <w:t>功能。</w:t>
      </w:r>
    </w:p>
    <w:p w14:paraId="6B9A46C9">
      <w:pPr>
        <w:pStyle w:val="2"/>
        <w:spacing w:before="226" w:line="219" w:lineRule="auto"/>
        <w:ind w:left="353"/>
        <w:rPr>
          <w:sz w:val="26"/>
          <w:szCs w:val="26"/>
        </w:rPr>
      </w:pPr>
      <w:r>
        <w:rPr>
          <w:b/>
          <w:bCs/>
          <w:color w:val="007CDB"/>
          <w:spacing w:val="-23"/>
          <w:sz w:val="26"/>
          <w:szCs w:val="26"/>
        </w:rPr>
        <w:t>24.9.3</w:t>
      </w:r>
      <w:r>
        <w:rPr>
          <w:color w:val="007CDB"/>
          <w:spacing w:val="80"/>
          <w:sz w:val="26"/>
          <w:szCs w:val="26"/>
        </w:rPr>
        <w:t xml:space="preserve"> </w:t>
      </w:r>
      <w:r>
        <w:rPr>
          <w:b/>
          <w:bCs/>
          <w:color w:val="007CDB"/>
          <w:spacing w:val="-23"/>
          <w:sz w:val="26"/>
          <w:szCs w:val="26"/>
        </w:rPr>
        <w:t>主机安全</w:t>
      </w:r>
    </w:p>
    <w:p w14:paraId="4FD0F20F">
      <w:pPr>
        <w:pStyle w:val="2"/>
        <w:spacing w:before="164" w:line="219" w:lineRule="auto"/>
        <w:ind w:left="759"/>
        <w:rPr>
          <w:sz w:val="20"/>
          <w:szCs w:val="20"/>
        </w:rPr>
      </w:pPr>
      <w:r>
        <w:rPr>
          <w:spacing w:val="-4"/>
          <w:sz w:val="20"/>
          <w:szCs w:val="20"/>
        </w:rPr>
        <w:t>主机安全方面的关键技术要求如下：</w:t>
      </w:r>
    </w:p>
    <w:p w14:paraId="67EBDE5A">
      <w:pPr>
        <w:pStyle w:val="2"/>
        <w:spacing w:before="84" w:line="219" w:lineRule="auto"/>
        <w:ind w:left="759"/>
        <w:rPr>
          <w:sz w:val="20"/>
          <w:szCs w:val="20"/>
        </w:rPr>
      </w:pPr>
      <w:r>
        <w:rPr>
          <w:spacing w:val="3"/>
          <w:sz w:val="20"/>
          <w:szCs w:val="20"/>
        </w:rPr>
        <w:t>(1)身份鉴别。具体包括：</w:t>
      </w:r>
    </w:p>
    <w:p w14:paraId="7AB955C6">
      <w:pPr>
        <w:pStyle w:val="2"/>
        <w:spacing w:before="73" w:line="219" w:lineRule="auto"/>
        <w:ind w:left="759"/>
        <w:rPr>
          <w:sz w:val="20"/>
          <w:szCs w:val="20"/>
        </w:rPr>
      </w:pPr>
      <w:r>
        <w:rPr>
          <w:spacing w:val="1"/>
          <w:sz w:val="20"/>
          <w:szCs w:val="20"/>
        </w:rPr>
        <w:t>●应对登录操作系统和数据库系统的用户进行身份标识和鉴别；</w:t>
      </w:r>
    </w:p>
    <w:p w14:paraId="288425E7">
      <w:pPr>
        <w:pStyle w:val="2"/>
        <w:spacing w:before="71" w:line="262" w:lineRule="auto"/>
        <w:ind w:left="1038" w:hanging="279"/>
        <w:rPr>
          <w:sz w:val="20"/>
          <w:szCs w:val="20"/>
        </w:rPr>
      </w:pPr>
      <w:r>
        <w:rPr>
          <w:spacing w:val="5"/>
          <w:sz w:val="20"/>
          <w:szCs w:val="20"/>
        </w:rPr>
        <w:t>●管理用户的身份鉴别信息应具有不易被冒用的特点，口令应有复杂度要求并定期更换，</w:t>
      </w:r>
      <w:r>
        <w:rPr>
          <w:spacing w:val="4"/>
          <w:sz w:val="20"/>
          <w:szCs w:val="20"/>
        </w:rPr>
        <w:t xml:space="preserve"> </w:t>
      </w:r>
      <w:r>
        <w:rPr>
          <w:spacing w:val="-2"/>
          <w:sz w:val="20"/>
          <w:szCs w:val="20"/>
        </w:rPr>
        <w:t>设备具备口令复杂度限制和口令生存周期限制功能的，应启用；</w:t>
      </w:r>
    </w:p>
    <w:p w14:paraId="231F00A7">
      <w:pPr>
        <w:pStyle w:val="2"/>
        <w:spacing w:before="72" w:line="267" w:lineRule="auto"/>
        <w:ind w:left="1038" w:right="64" w:hanging="279"/>
        <w:rPr>
          <w:sz w:val="20"/>
          <w:szCs w:val="20"/>
        </w:rPr>
      </w:pPr>
      <w:r>
        <w:rPr>
          <w:spacing w:val="9"/>
          <w:sz w:val="20"/>
          <w:szCs w:val="20"/>
        </w:rPr>
        <w:t>●当对服务器进行远程管理时，应采取必要措施，防止鉴别信息在网</w:t>
      </w:r>
      <w:r>
        <w:rPr>
          <w:spacing w:val="8"/>
          <w:sz w:val="20"/>
          <w:szCs w:val="20"/>
        </w:rPr>
        <w:t>络传输过程中被窃</w:t>
      </w:r>
      <w:r>
        <w:rPr>
          <w:sz w:val="20"/>
          <w:szCs w:val="20"/>
        </w:rPr>
        <w:t xml:space="preserve"> </w:t>
      </w:r>
      <w:r>
        <w:rPr>
          <w:spacing w:val="-2"/>
          <w:sz w:val="20"/>
          <w:szCs w:val="20"/>
        </w:rPr>
        <w:t>听，如启用</w:t>
      </w:r>
      <w:r>
        <w:rPr>
          <w:rFonts w:ascii="Times New Roman" w:hAnsi="Times New Roman" w:eastAsia="Times New Roman" w:cs="Times New Roman"/>
          <w:spacing w:val="-2"/>
          <w:sz w:val="20"/>
          <w:szCs w:val="20"/>
        </w:rPr>
        <w:t>SSL</w:t>
      </w:r>
      <w:r>
        <w:rPr>
          <w:rFonts w:ascii="Times New Roman" w:hAnsi="Times New Roman" w:eastAsia="Times New Roman" w:cs="Times New Roman"/>
          <w:spacing w:val="-10"/>
          <w:sz w:val="20"/>
          <w:szCs w:val="20"/>
        </w:rPr>
        <w:t xml:space="preserve"> </w:t>
      </w:r>
      <w:r>
        <w:rPr>
          <w:spacing w:val="-2"/>
          <w:sz w:val="20"/>
          <w:szCs w:val="20"/>
        </w:rPr>
        <w:t>、</w:t>
      </w:r>
      <w:r>
        <w:rPr>
          <w:rFonts w:ascii="Times New Roman" w:hAnsi="Times New Roman" w:eastAsia="Times New Roman" w:cs="Times New Roman"/>
          <w:spacing w:val="-2"/>
          <w:sz w:val="20"/>
          <w:szCs w:val="20"/>
        </w:rPr>
        <w:t xml:space="preserve">SSH </w:t>
      </w:r>
      <w:r>
        <w:rPr>
          <w:spacing w:val="-2"/>
          <w:sz w:val="20"/>
          <w:szCs w:val="20"/>
        </w:rPr>
        <w:t>等安全协议进行远程登录；</w:t>
      </w:r>
    </w:p>
    <w:p w14:paraId="4D33499E">
      <w:pPr>
        <w:pStyle w:val="2"/>
        <w:spacing w:before="63" w:line="262" w:lineRule="auto"/>
        <w:ind w:left="1038" w:right="72" w:hanging="279"/>
        <w:rPr>
          <w:sz w:val="20"/>
          <w:szCs w:val="20"/>
        </w:rPr>
      </w:pPr>
      <w:r>
        <w:rPr>
          <w:spacing w:val="3"/>
          <w:sz w:val="20"/>
          <w:szCs w:val="20"/>
        </w:rPr>
        <w:t>●应为操作系统和数据库系统的不同用户分配不同的用户名，确保用户名具有唯一性，避</w:t>
      </w:r>
      <w:r>
        <w:rPr>
          <w:spacing w:val="9"/>
          <w:sz w:val="20"/>
          <w:szCs w:val="20"/>
        </w:rPr>
        <w:t xml:space="preserve"> </w:t>
      </w:r>
      <w:r>
        <w:rPr>
          <w:spacing w:val="-3"/>
          <w:sz w:val="20"/>
          <w:szCs w:val="20"/>
        </w:rPr>
        <w:t>免操作系统与数据库系统共享同一账号进行认证；</w:t>
      </w:r>
    </w:p>
    <w:p w14:paraId="5D8E71A2">
      <w:pPr>
        <w:pStyle w:val="2"/>
        <w:spacing w:before="72" w:line="262" w:lineRule="auto"/>
        <w:ind w:left="1038" w:right="55" w:hanging="279"/>
        <w:rPr>
          <w:sz w:val="20"/>
          <w:szCs w:val="20"/>
        </w:rPr>
      </w:pPr>
      <w:r>
        <w:rPr>
          <w:spacing w:val="4"/>
          <w:sz w:val="20"/>
          <w:szCs w:val="20"/>
        </w:rPr>
        <w:t>●等级保护第三级以上系统，重要服务器应采用两种或两种</w:t>
      </w:r>
      <w:r>
        <w:rPr>
          <w:spacing w:val="3"/>
          <w:sz w:val="20"/>
          <w:szCs w:val="20"/>
        </w:rPr>
        <w:t>以上组合的鉴别技术对管理用</w:t>
      </w:r>
      <w:r>
        <w:rPr>
          <w:sz w:val="20"/>
          <w:szCs w:val="20"/>
        </w:rPr>
        <w:t xml:space="preserve"> </w:t>
      </w:r>
      <w:r>
        <w:rPr>
          <w:spacing w:val="-2"/>
          <w:sz w:val="20"/>
          <w:szCs w:val="20"/>
        </w:rPr>
        <w:t>户进行身份鉴别。</w:t>
      </w:r>
    </w:p>
    <w:p w14:paraId="67ADF210">
      <w:pPr>
        <w:pStyle w:val="2"/>
        <w:spacing w:before="83" w:line="220" w:lineRule="auto"/>
        <w:ind w:left="759"/>
        <w:rPr>
          <w:sz w:val="20"/>
          <w:szCs w:val="20"/>
        </w:rPr>
      </w:pPr>
      <w:r>
        <w:rPr>
          <w:spacing w:val="3"/>
          <w:sz w:val="20"/>
          <w:szCs w:val="20"/>
        </w:rPr>
        <w:t>(2)访问控制。具体包括：</w:t>
      </w:r>
    </w:p>
    <w:p w14:paraId="45848742">
      <w:pPr>
        <w:pStyle w:val="2"/>
        <w:spacing w:before="60" w:line="219" w:lineRule="auto"/>
        <w:ind w:left="759"/>
        <w:rPr>
          <w:sz w:val="20"/>
          <w:szCs w:val="20"/>
        </w:rPr>
      </w:pPr>
      <w:r>
        <w:rPr>
          <w:spacing w:val="1"/>
          <w:sz w:val="20"/>
          <w:szCs w:val="20"/>
        </w:rPr>
        <w:t>●应启用访问控制功能，依据安全策略控制用户对资源的访问；</w:t>
      </w:r>
    </w:p>
    <w:p w14:paraId="033AE0B4">
      <w:pPr>
        <w:pStyle w:val="2"/>
        <w:spacing w:before="84" w:line="219" w:lineRule="auto"/>
        <w:ind w:left="759"/>
        <w:rPr>
          <w:sz w:val="20"/>
          <w:szCs w:val="20"/>
        </w:rPr>
      </w:pPr>
      <w:r>
        <w:rPr>
          <w:spacing w:val="1"/>
          <w:sz w:val="20"/>
          <w:szCs w:val="20"/>
        </w:rPr>
        <w:t>●应实现操作系统和数据库系统特权用户的权限分离；</w:t>
      </w:r>
    </w:p>
    <w:p w14:paraId="04199B4E">
      <w:pPr>
        <w:pStyle w:val="2"/>
        <w:spacing w:before="82" w:line="219" w:lineRule="auto"/>
        <w:ind w:left="759"/>
        <w:rPr>
          <w:sz w:val="20"/>
          <w:szCs w:val="20"/>
        </w:rPr>
      </w:pPr>
      <w:r>
        <w:rPr>
          <w:spacing w:val="3"/>
          <w:sz w:val="20"/>
          <w:szCs w:val="20"/>
        </w:rPr>
        <w:t>●应限制默认账户的访问权限，重命名系统默认账户，修改这些账户的默认口令，并及时</w:t>
      </w:r>
    </w:p>
    <w:p w14:paraId="68B76209">
      <w:pPr>
        <w:spacing w:line="219" w:lineRule="auto"/>
        <w:rPr>
          <w:sz w:val="20"/>
          <w:szCs w:val="20"/>
        </w:rPr>
        <w:sectPr>
          <w:pgSz w:w="10330" w:h="13390"/>
          <w:pgMar w:top="390" w:right="1089" w:bottom="400" w:left="480" w:header="0" w:footer="0" w:gutter="0"/>
          <w:cols w:space="720" w:num="1"/>
        </w:sectPr>
      </w:pPr>
    </w:p>
    <w:p w14:paraId="30571D27">
      <w:pPr>
        <w:pStyle w:val="2"/>
        <w:jc w:val="right"/>
        <w:rPr>
          <w:rFonts w:ascii="Times New Roman" w:hAnsi="Times New Roman" w:eastAsia="Times New Roman" w:cs="Times New Roman"/>
          <w:sz w:val="19"/>
          <w:szCs w:val="19"/>
        </w:rPr>
      </w:pPr>
      <w:r>
        <w:rPr>
          <w:spacing w:val="3"/>
          <w:sz w:val="19"/>
          <w:szCs w:val="19"/>
        </w:rPr>
        <w:t>第24章</w:t>
      </w:r>
      <w:r>
        <w:rPr>
          <w:spacing w:val="32"/>
          <w:sz w:val="19"/>
          <w:szCs w:val="19"/>
        </w:rPr>
        <w:t xml:space="preserve"> </w:t>
      </w:r>
      <w:r>
        <w:rPr>
          <w:spacing w:val="3"/>
          <w:sz w:val="19"/>
          <w:szCs w:val="19"/>
        </w:rPr>
        <w:t>信息安全监理</w:t>
      </w:r>
      <w:r>
        <w:rPr>
          <w:spacing w:val="38"/>
          <w:sz w:val="19"/>
          <w:szCs w:val="19"/>
        </w:rPr>
        <w:t xml:space="preserve"> </w:t>
      </w:r>
      <w:r>
        <w:rPr>
          <w:position w:val="-8"/>
          <w:sz w:val="19"/>
          <w:szCs w:val="19"/>
        </w:rPr>
        <w:drawing>
          <wp:inline distT="0" distB="0" distL="0" distR="0">
            <wp:extent cx="311150" cy="240665"/>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368"/>
                    <a:stretch>
                      <a:fillRect/>
                    </a:stretch>
                  </pic:blipFill>
                  <pic:spPr>
                    <a:xfrm>
                      <a:off x="0" y="0"/>
                      <a:ext cx="311197" cy="241288"/>
                    </a:xfrm>
                    <a:prstGeom prst="rect">
                      <a:avLst/>
                    </a:prstGeom>
                  </pic:spPr>
                </pic:pic>
              </a:graphicData>
            </a:graphic>
          </wp:inline>
        </w:drawing>
      </w:r>
      <w:r>
        <w:rPr>
          <w:rFonts w:ascii="Times New Roman" w:hAnsi="Times New Roman" w:eastAsia="Times New Roman" w:cs="Times New Roman"/>
          <w:spacing w:val="3"/>
          <w:position w:val="1"/>
          <w:sz w:val="19"/>
          <w:szCs w:val="19"/>
        </w:rPr>
        <w:t>575</w:t>
      </w:r>
    </w:p>
    <w:p w14:paraId="1C9218BD">
      <w:pPr>
        <w:spacing w:line="294" w:lineRule="auto"/>
        <w:rPr>
          <w:rFonts w:ascii="Arial"/>
          <w:sz w:val="21"/>
        </w:rPr>
      </w:pPr>
    </w:p>
    <w:p w14:paraId="4E2E867D">
      <w:pPr>
        <w:pStyle w:val="2"/>
        <w:spacing w:before="62" w:line="219" w:lineRule="auto"/>
        <w:ind w:left="660"/>
        <w:rPr>
          <w:sz w:val="19"/>
          <w:szCs w:val="19"/>
        </w:rPr>
      </w:pPr>
      <w:r>
        <w:rPr>
          <w:spacing w:val="6"/>
          <w:sz w:val="19"/>
          <w:szCs w:val="19"/>
        </w:rPr>
        <w:t>删除多余的、过期的账户，避免共享账户的存在；</w:t>
      </w:r>
    </w:p>
    <w:p w14:paraId="1793EC39">
      <w:pPr>
        <w:pStyle w:val="2"/>
        <w:spacing w:before="94" w:line="275" w:lineRule="auto"/>
        <w:ind w:left="659" w:right="327" w:hanging="280"/>
        <w:rPr>
          <w:sz w:val="19"/>
          <w:szCs w:val="19"/>
        </w:rPr>
      </w:pPr>
      <w:r>
        <w:rPr>
          <w:spacing w:val="18"/>
          <w:sz w:val="19"/>
          <w:szCs w:val="19"/>
        </w:rPr>
        <w:t>●等级保护第三级以上系统，应根据管理用户的角色分配权限，实现管理用户的权限分</w:t>
      </w:r>
      <w:r>
        <w:rPr>
          <w:spacing w:val="3"/>
          <w:sz w:val="19"/>
          <w:szCs w:val="19"/>
        </w:rPr>
        <w:t xml:space="preserve"> </w:t>
      </w:r>
      <w:r>
        <w:rPr>
          <w:spacing w:val="6"/>
          <w:sz w:val="19"/>
          <w:szCs w:val="19"/>
        </w:rPr>
        <w:t>离，仅授予管理用户所需的最小权限；</w:t>
      </w:r>
    </w:p>
    <w:p w14:paraId="4332A488">
      <w:pPr>
        <w:pStyle w:val="2"/>
        <w:spacing w:before="104" w:line="265" w:lineRule="auto"/>
        <w:ind w:left="659" w:right="299" w:hanging="280"/>
        <w:rPr>
          <w:sz w:val="19"/>
          <w:szCs w:val="19"/>
        </w:rPr>
      </w:pPr>
      <w:r>
        <w:rPr>
          <w:spacing w:val="13"/>
          <w:sz w:val="19"/>
          <w:szCs w:val="19"/>
        </w:rPr>
        <w:t>●等级保护第三级以上系统，应对重要信息资源设置敏感标记，并依据安全策略严格控制</w:t>
      </w:r>
      <w:r>
        <w:rPr>
          <w:spacing w:val="18"/>
          <w:sz w:val="19"/>
          <w:szCs w:val="19"/>
        </w:rPr>
        <w:t xml:space="preserve"> </w:t>
      </w:r>
      <w:r>
        <w:rPr>
          <w:spacing w:val="8"/>
          <w:sz w:val="19"/>
          <w:szCs w:val="19"/>
        </w:rPr>
        <w:t>用户对有敏感标记的重要信息资源的操作。</w:t>
      </w:r>
    </w:p>
    <w:p w14:paraId="004A505C">
      <w:pPr>
        <w:pStyle w:val="2"/>
        <w:spacing w:before="105" w:line="220" w:lineRule="auto"/>
        <w:ind w:left="379"/>
        <w:rPr>
          <w:sz w:val="19"/>
          <w:szCs w:val="19"/>
        </w:rPr>
      </w:pPr>
      <w:r>
        <w:rPr>
          <w:spacing w:val="12"/>
          <w:sz w:val="19"/>
          <w:szCs w:val="19"/>
        </w:rPr>
        <w:t>(3)安全审计。具体包括：</w:t>
      </w:r>
    </w:p>
    <w:p w14:paraId="2B789B41">
      <w:pPr>
        <w:pStyle w:val="2"/>
        <w:spacing w:before="93" w:line="219" w:lineRule="auto"/>
        <w:ind w:left="379"/>
        <w:rPr>
          <w:sz w:val="19"/>
          <w:szCs w:val="19"/>
        </w:rPr>
      </w:pPr>
      <w:r>
        <w:rPr>
          <w:spacing w:val="11"/>
          <w:sz w:val="19"/>
          <w:szCs w:val="19"/>
        </w:rPr>
        <w:t>●审计范围应覆盖服务器和重要客户端上的每个操作</w:t>
      </w:r>
      <w:r>
        <w:rPr>
          <w:spacing w:val="10"/>
          <w:sz w:val="19"/>
          <w:szCs w:val="19"/>
        </w:rPr>
        <w:t>系统用户和数据库用户；</w:t>
      </w:r>
    </w:p>
    <w:p w14:paraId="0224F201">
      <w:pPr>
        <w:pStyle w:val="2"/>
        <w:spacing w:before="102" w:line="281" w:lineRule="auto"/>
        <w:ind w:left="659" w:right="300" w:hanging="280"/>
        <w:rPr>
          <w:sz w:val="19"/>
          <w:szCs w:val="19"/>
        </w:rPr>
      </w:pPr>
      <w:r>
        <w:rPr>
          <w:spacing w:val="13"/>
          <w:sz w:val="19"/>
          <w:szCs w:val="19"/>
        </w:rPr>
        <w:t>●审计内容应包括重要用户行为、系统资源的异常使用和重要系统命令的使用等系统内重</w:t>
      </w:r>
      <w:r>
        <w:rPr>
          <w:spacing w:val="10"/>
          <w:sz w:val="19"/>
          <w:szCs w:val="19"/>
        </w:rPr>
        <w:t xml:space="preserve"> </w:t>
      </w:r>
      <w:r>
        <w:rPr>
          <w:spacing w:val="11"/>
          <w:sz w:val="19"/>
          <w:szCs w:val="19"/>
        </w:rPr>
        <w:t>要的安全相关事件，审计记录应包括事件的日期、时间、类型、主体标识、客体标识和</w:t>
      </w:r>
      <w:r>
        <w:rPr>
          <w:spacing w:val="16"/>
          <w:sz w:val="19"/>
          <w:szCs w:val="19"/>
        </w:rPr>
        <w:t xml:space="preserve"> </w:t>
      </w:r>
      <w:r>
        <w:rPr>
          <w:spacing w:val="1"/>
          <w:sz w:val="19"/>
          <w:szCs w:val="19"/>
        </w:rPr>
        <w:t>结果等；</w:t>
      </w:r>
    </w:p>
    <w:p w14:paraId="4A04A834">
      <w:pPr>
        <w:pStyle w:val="2"/>
        <w:spacing w:before="114" w:line="265" w:lineRule="auto"/>
        <w:ind w:left="659" w:right="307" w:hanging="280"/>
        <w:rPr>
          <w:sz w:val="19"/>
          <w:szCs w:val="19"/>
        </w:rPr>
      </w:pPr>
      <w:r>
        <w:rPr>
          <w:spacing w:val="19"/>
          <w:sz w:val="19"/>
          <w:szCs w:val="19"/>
        </w:rPr>
        <w:t>●等级保护第三级以上系统，应保护审计进程，避免</w:t>
      </w:r>
      <w:r>
        <w:rPr>
          <w:spacing w:val="18"/>
          <w:sz w:val="19"/>
          <w:szCs w:val="19"/>
        </w:rPr>
        <w:t>受到未预期的中断，并保护审计记</w:t>
      </w:r>
      <w:r>
        <w:rPr>
          <w:sz w:val="19"/>
          <w:szCs w:val="19"/>
        </w:rPr>
        <w:t xml:space="preserve"> </w:t>
      </w:r>
      <w:r>
        <w:rPr>
          <w:spacing w:val="6"/>
          <w:sz w:val="19"/>
          <w:szCs w:val="19"/>
        </w:rPr>
        <w:t>录，避免受到未预期的删除、修改或覆盖等；</w:t>
      </w:r>
    </w:p>
    <w:p w14:paraId="2255833C">
      <w:pPr>
        <w:pStyle w:val="2"/>
        <w:spacing w:before="94" w:line="219" w:lineRule="auto"/>
        <w:ind w:left="379"/>
        <w:rPr>
          <w:sz w:val="19"/>
          <w:szCs w:val="19"/>
        </w:rPr>
      </w:pPr>
      <w:r>
        <w:rPr>
          <w:spacing w:val="11"/>
          <w:sz w:val="19"/>
          <w:szCs w:val="19"/>
        </w:rPr>
        <w:t>●等级保护第三级以上系统，应能够根据记录数据进行</w:t>
      </w:r>
      <w:r>
        <w:rPr>
          <w:spacing w:val="10"/>
          <w:sz w:val="19"/>
          <w:szCs w:val="19"/>
        </w:rPr>
        <w:t>分析，并生成审计报表。</w:t>
      </w:r>
    </w:p>
    <w:p w14:paraId="1D80B3E9">
      <w:pPr>
        <w:pStyle w:val="2"/>
        <w:spacing w:before="105" w:line="219" w:lineRule="auto"/>
        <w:ind w:left="379"/>
        <w:rPr>
          <w:sz w:val="19"/>
          <w:szCs w:val="19"/>
        </w:rPr>
      </w:pPr>
      <w:r>
        <w:rPr>
          <w:spacing w:val="12"/>
          <w:sz w:val="19"/>
          <w:szCs w:val="19"/>
        </w:rPr>
        <w:t>(4)剩余信息保护。具体包括：</w:t>
      </w:r>
    </w:p>
    <w:p w14:paraId="71C001BE">
      <w:pPr>
        <w:pStyle w:val="2"/>
        <w:spacing w:before="73" w:line="287" w:lineRule="auto"/>
        <w:ind w:left="659" w:right="305" w:hanging="280"/>
        <w:rPr>
          <w:sz w:val="19"/>
          <w:szCs w:val="19"/>
        </w:rPr>
      </w:pPr>
      <w:r>
        <w:rPr>
          <w:spacing w:val="13"/>
          <w:sz w:val="19"/>
          <w:szCs w:val="19"/>
        </w:rPr>
        <w:t>●等级保护第三级以上系统，应保证操作系统和数据库系统用户的鉴别信息所在的存储空</w:t>
      </w:r>
      <w:r>
        <w:rPr>
          <w:spacing w:val="12"/>
          <w:sz w:val="19"/>
          <w:szCs w:val="19"/>
        </w:rPr>
        <w:t xml:space="preserve"> </w:t>
      </w:r>
      <w:r>
        <w:rPr>
          <w:spacing w:val="11"/>
          <w:sz w:val="19"/>
          <w:szCs w:val="19"/>
        </w:rPr>
        <w:t xml:space="preserve">间，被释放或再分配给其他用户前得到完全清除，无论这些信息是存放在硬盘上还是在 </w:t>
      </w:r>
      <w:r>
        <w:rPr>
          <w:spacing w:val="1"/>
          <w:sz w:val="19"/>
          <w:szCs w:val="19"/>
        </w:rPr>
        <w:t>内存中；</w:t>
      </w:r>
    </w:p>
    <w:p w14:paraId="6E4F556F">
      <w:pPr>
        <w:pStyle w:val="2"/>
        <w:spacing w:before="115" w:line="260" w:lineRule="auto"/>
        <w:ind w:left="659" w:right="307" w:hanging="280"/>
        <w:rPr>
          <w:sz w:val="19"/>
          <w:szCs w:val="19"/>
        </w:rPr>
      </w:pPr>
      <w:r>
        <w:rPr>
          <w:spacing w:val="13"/>
          <w:sz w:val="19"/>
          <w:szCs w:val="19"/>
        </w:rPr>
        <w:t>●等级保护第三级以上系统，应确保系统内的文件、目录和数据库记录等资源所在的存储</w:t>
      </w:r>
      <w:r>
        <w:rPr>
          <w:spacing w:val="10"/>
          <w:sz w:val="19"/>
          <w:szCs w:val="19"/>
        </w:rPr>
        <w:t xml:space="preserve"> </w:t>
      </w:r>
      <w:r>
        <w:rPr>
          <w:spacing w:val="8"/>
          <w:sz w:val="19"/>
          <w:szCs w:val="19"/>
        </w:rPr>
        <w:t>空间，被释放或重新分配给其他用户前得到完全清除。</w:t>
      </w:r>
    </w:p>
    <w:p w14:paraId="49CEDE1D">
      <w:pPr>
        <w:pStyle w:val="2"/>
        <w:spacing w:before="95" w:line="220" w:lineRule="auto"/>
        <w:ind w:left="379"/>
        <w:rPr>
          <w:sz w:val="19"/>
          <w:szCs w:val="19"/>
        </w:rPr>
      </w:pPr>
      <w:r>
        <w:rPr>
          <w:spacing w:val="12"/>
          <w:sz w:val="19"/>
          <w:szCs w:val="19"/>
        </w:rPr>
        <w:t>(5)入侵防范。具体包括：</w:t>
      </w:r>
    </w:p>
    <w:p w14:paraId="383F9778">
      <w:pPr>
        <w:pStyle w:val="2"/>
        <w:spacing w:before="73" w:line="270" w:lineRule="auto"/>
        <w:ind w:left="659" w:right="307" w:hanging="280"/>
        <w:rPr>
          <w:sz w:val="19"/>
          <w:szCs w:val="19"/>
        </w:rPr>
      </w:pPr>
      <w:r>
        <w:rPr>
          <w:spacing w:val="13"/>
          <w:sz w:val="19"/>
          <w:szCs w:val="19"/>
        </w:rPr>
        <w:t>●操作系统应遵循最小安装的原则，仅安装需要的组件和应用程序，并通过设置升级服务</w:t>
      </w:r>
      <w:r>
        <w:rPr>
          <w:spacing w:val="10"/>
          <w:sz w:val="19"/>
          <w:szCs w:val="19"/>
        </w:rPr>
        <w:t xml:space="preserve"> </w:t>
      </w:r>
      <w:r>
        <w:rPr>
          <w:spacing w:val="6"/>
          <w:sz w:val="19"/>
          <w:szCs w:val="19"/>
        </w:rPr>
        <w:t>器等方式保持系统补丁及时得到更新；</w:t>
      </w:r>
    </w:p>
    <w:p w14:paraId="6720C434">
      <w:pPr>
        <w:pStyle w:val="2"/>
        <w:spacing w:before="103" w:line="274" w:lineRule="auto"/>
        <w:ind w:left="659" w:right="306" w:hanging="280"/>
        <w:rPr>
          <w:sz w:val="19"/>
          <w:szCs w:val="19"/>
        </w:rPr>
      </w:pPr>
      <w:r>
        <w:rPr>
          <w:spacing w:val="15"/>
          <w:sz w:val="19"/>
          <w:szCs w:val="19"/>
        </w:rPr>
        <w:t>●等级保护第三级以上系统，应部署</w:t>
      </w:r>
      <w:r>
        <w:rPr>
          <w:sz w:val="19"/>
          <w:szCs w:val="19"/>
        </w:rPr>
        <w:t>HIDS</w:t>
      </w:r>
      <w:r>
        <w:rPr>
          <w:spacing w:val="73"/>
          <w:sz w:val="19"/>
          <w:szCs w:val="19"/>
        </w:rPr>
        <w:t xml:space="preserve"> </w:t>
      </w:r>
      <w:r>
        <w:rPr>
          <w:spacing w:val="15"/>
          <w:sz w:val="19"/>
          <w:szCs w:val="19"/>
        </w:rPr>
        <w:t>类系统，当检测到对重要服务器进行入侵的行</w:t>
      </w:r>
      <w:r>
        <w:rPr>
          <w:sz w:val="19"/>
          <w:szCs w:val="19"/>
        </w:rPr>
        <w:t xml:space="preserve"> </w:t>
      </w:r>
      <w:r>
        <w:rPr>
          <w:spacing w:val="12"/>
          <w:sz w:val="19"/>
          <w:szCs w:val="19"/>
        </w:rPr>
        <w:t>为时，能够记录入侵的源</w:t>
      </w:r>
      <w:r>
        <w:rPr>
          <w:rFonts w:ascii="Times New Roman" w:hAnsi="Times New Roman" w:eastAsia="Times New Roman" w:cs="Times New Roman"/>
          <w:sz w:val="19"/>
          <w:szCs w:val="19"/>
        </w:rPr>
        <w:t>IP</w:t>
      </w:r>
      <w:r>
        <w:rPr>
          <w:rFonts w:ascii="Times New Roman" w:hAnsi="Times New Roman" w:eastAsia="Times New Roman" w:cs="Times New Roman"/>
          <w:spacing w:val="-27"/>
          <w:sz w:val="19"/>
          <w:szCs w:val="19"/>
        </w:rPr>
        <w:t xml:space="preserve"> </w:t>
      </w:r>
      <w:r>
        <w:rPr>
          <w:spacing w:val="12"/>
          <w:sz w:val="19"/>
          <w:szCs w:val="19"/>
        </w:rPr>
        <w:t>、攻击的类型、攻击</w:t>
      </w:r>
      <w:r>
        <w:rPr>
          <w:spacing w:val="11"/>
          <w:sz w:val="19"/>
          <w:szCs w:val="19"/>
        </w:rPr>
        <w:t>的目的、攻击的时间，并在发生严重入</w:t>
      </w:r>
      <w:r>
        <w:rPr>
          <w:sz w:val="19"/>
          <w:szCs w:val="19"/>
        </w:rPr>
        <w:t xml:space="preserve"> </w:t>
      </w:r>
      <w:r>
        <w:rPr>
          <w:spacing w:val="5"/>
          <w:sz w:val="19"/>
          <w:szCs w:val="19"/>
        </w:rPr>
        <w:t>侵事件时提供报警；</w:t>
      </w:r>
    </w:p>
    <w:p w14:paraId="4EC2DA12">
      <w:pPr>
        <w:pStyle w:val="2"/>
        <w:spacing w:before="96" w:line="265" w:lineRule="auto"/>
        <w:ind w:left="659" w:right="300" w:hanging="280"/>
        <w:rPr>
          <w:sz w:val="19"/>
          <w:szCs w:val="19"/>
        </w:rPr>
      </w:pPr>
      <w:r>
        <w:rPr>
          <w:spacing w:val="13"/>
          <w:sz w:val="19"/>
          <w:szCs w:val="19"/>
        </w:rPr>
        <w:t>●等级保护第三级以上系统，所属服务器应能够对重要程序的完整性进行检测，并在检测</w:t>
      </w:r>
      <w:r>
        <w:rPr>
          <w:spacing w:val="17"/>
          <w:sz w:val="19"/>
          <w:szCs w:val="19"/>
        </w:rPr>
        <w:t xml:space="preserve"> </w:t>
      </w:r>
      <w:r>
        <w:rPr>
          <w:spacing w:val="7"/>
          <w:sz w:val="19"/>
          <w:szCs w:val="19"/>
        </w:rPr>
        <w:t>到完整性受到破坏后具有恢复的措施。</w:t>
      </w:r>
    </w:p>
    <w:p w14:paraId="6C261823">
      <w:pPr>
        <w:pStyle w:val="2"/>
        <w:spacing w:before="84" w:line="265" w:lineRule="auto"/>
        <w:ind w:right="297" w:firstLine="379"/>
        <w:rPr>
          <w:sz w:val="19"/>
          <w:szCs w:val="19"/>
        </w:rPr>
      </w:pPr>
      <w:r>
        <w:rPr>
          <w:spacing w:val="16"/>
          <w:sz w:val="19"/>
          <w:szCs w:val="19"/>
        </w:rPr>
        <w:t>(6)恶意代码防范。应安装杀毒软件，建议使</w:t>
      </w:r>
      <w:r>
        <w:rPr>
          <w:spacing w:val="15"/>
          <w:sz w:val="19"/>
          <w:szCs w:val="19"/>
        </w:rPr>
        <w:t>用企业版杀毒软件，等级保护第三级以上系</w:t>
      </w:r>
      <w:r>
        <w:rPr>
          <w:sz w:val="19"/>
          <w:szCs w:val="19"/>
        </w:rPr>
        <w:t xml:space="preserve"> </w:t>
      </w:r>
      <w:r>
        <w:rPr>
          <w:spacing w:val="9"/>
          <w:sz w:val="19"/>
          <w:szCs w:val="19"/>
        </w:rPr>
        <w:t>统，应使用与网络防恶意代码产品不同的恶意代码</w:t>
      </w:r>
      <w:r>
        <w:rPr>
          <w:spacing w:val="8"/>
          <w:sz w:val="19"/>
          <w:szCs w:val="19"/>
        </w:rPr>
        <w:t>库，能够进行病毒库升级。</w:t>
      </w:r>
    </w:p>
    <w:p w14:paraId="2B34D2EC">
      <w:pPr>
        <w:pStyle w:val="2"/>
        <w:spacing w:before="85" w:line="220" w:lineRule="auto"/>
        <w:ind w:left="379"/>
        <w:rPr>
          <w:sz w:val="19"/>
          <w:szCs w:val="19"/>
        </w:rPr>
      </w:pPr>
      <w:r>
        <w:rPr>
          <w:spacing w:val="12"/>
          <w:sz w:val="19"/>
          <w:szCs w:val="19"/>
        </w:rPr>
        <w:t>(7)资源控制。具体包括：</w:t>
      </w:r>
    </w:p>
    <w:p w14:paraId="5186F0AE">
      <w:pPr>
        <w:pStyle w:val="2"/>
        <w:spacing w:before="83" w:line="265" w:lineRule="auto"/>
        <w:ind w:left="659" w:right="306" w:hanging="280"/>
        <w:rPr>
          <w:sz w:val="19"/>
          <w:szCs w:val="19"/>
        </w:rPr>
      </w:pPr>
      <w:r>
        <w:rPr>
          <w:spacing w:val="13"/>
          <w:sz w:val="19"/>
          <w:szCs w:val="19"/>
        </w:rPr>
        <w:t>●应通过设定终端接入方式、网络地址范围等条件限制终端登录，并根据安全策略设置登</w:t>
      </w:r>
      <w:r>
        <w:rPr>
          <w:spacing w:val="11"/>
          <w:sz w:val="19"/>
          <w:szCs w:val="19"/>
        </w:rPr>
        <w:t xml:space="preserve"> </w:t>
      </w:r>
      <w:r>
        <w:rPr>
          <w:spacing w:val="4"/>
          <w:sz w:val="19"/>
          <w:szCs w:val="19"/>
        </w:rPr>
        <w:t>录终端的操作超时锁定；</w:t>
      </w:r>
    </w:p>
    <w:p w14:paraId="5C337514">
      <w:pPr>
        <w:pStyle w:val="2"/>
        <w:spacing w:before="76" w:line="280" w:lineRule="auto"/>
        <w:ind w:left="659" w:right="293" w:hanging="280"/>
        <w:rPr>
          <w:sz w:val="19"/>
          <w:szCs w:val="19"/>
        </w:rPr>
      </w:pPr>
      <w:r>
        <w:rPr>
          <w:spacing w:val="9"/>
          <w:sz w:val="19"/>
          <w:szCs w:val="19"/>
        </w:rPr>
        <w:t>●</w:t>
      </w:r>
      <w:r>
        <w:rPr>
          <w:spacing w:val="-34"/>
          <w:sz w:val="19"/>
          <w:szCs w:val="19"/>
        </w:rPr>
        <w:t xml:space="preserve"> </w:t>
      </w:r>
      <w:r>
        <w:rPr>
          <w:spacing w:val="9"/>
          <w:sz w:val="19"/>
          <w:szCs w:val="19"/>
        </w:rPr>
        <w:t>应</w:t>
      </w:r>
      <w:r>
        <w:rPr>
          <w:spacing w:val="-33"/>
          <w:sz w:val="19"/>
          <w:szCs w:val="19"/>
        </w:rPr>
        <w:t xml:space="preserve"> </w:t>
      </w:r>
      <w:r>
        <w:rPr>
          <w:spacing w:val="9"/>
          <w:sz w:val="19"/>
          <w:szCs w:val="19"/>
        </w:rPr>
        <w:t>部</w:t>
      </w:r>
      <w:r>
        <w:rPr>
          <w:spacing w:val="-37"/>
          <w:sz w:val="19"/>
          <w:szCs w:val="19"/>
        </w:rPr>
        <w:t xml:space="preserve"> </w:t>
      </w:r>
      <w:r>
        <w:rPr>
          <w:spacing w:val="9"/>
          <w:sz w:val="19"/>
          <w:szCs w:val="19"/>
        </w:rPr>
        <w:t>署</w:t>
      </w:r>
      <w:r>
        <w:rPr>
          <w:sz w:val="19"/>
          <w:szCs w:val="19"/>
        </w:rPr>
        <w:t>ITMN</w:t>
      </w:r>
      <w:r>
        <w:rPr>
          <w:spacing w:val="9"/>
          <w:sz w:val="19"/>
          <w:szCs w:val="19"/>
        </w:rPr>
        <w:t xml:space="preserve">  监控系统，对服务器和网络设备的运行状况进行监测，包括监视服务器的</w:t>
      </w:r>
      <w:r>
        <w:rPr>
          <w:sz w:val="19"/>
          <w:szCs w:val="19"/>
        </w:rPr>
        <w:t xml:space="preserve"> </w:t>
      </w:r>
      <w:r>
        <w:rPr>
          <w:rFonts w:ascii="Times New Roman" w:hAnsi="Times New Roman" w:eastAsia="Times New Roman" w:cs="Times New Roman"/>
          <w:sz w:val="19"/>
          <w:szCs w:val="19"/>
        </w:rPr>
        <w:t>CPU</w:t>
      </w:r>
      <w:r>
        <w:rPr>
          <w:rFonts w:ascii="Times New Roman" w:hAnsi="Times New Roman" w:eastAsia="Times New Roman" w:cs="Times New Roman"/>
          <w:spacing w:val="-27"/>
          <w:sz w:val="19"/>
          <w:szCs w:val="19"/>
        </w:rPr>
        <w:t xml:space="preserve"> </w:t>
      </w:r>
      <w:r>
        <w:rPr>
          <w:spacing w:val="11"/>
          <w:sz w:val="19"/>
          <w:szCs w:val="19"/>
        </w:rPr>
        <w:t>、硬盘、内存、网络等资源，以及网络设备的</w:t>
      </w:r>
      <w:r>
        <w:rPr>
          <w:rFonts w:ascii="Times New Roman" w:hAnsi="Times New Roman" w:eastAsia="Times New Roman" w:cs="Times New Roman"/>
          <w:sz w:val="19"/>
          <w:szCs w:val="19"/>
        </w:rPr>
        <w:t>CPU</w:t>
      </w:r>
      <w:r>
        <w:rPr>
          <w:rFonts w:ascii="Times New Roman" w:hAnsi="Times New Roman" w:eastAsia="Times New Roman" w:cs="Times New Roman"/>
          <w:spacing w:val="-26"/>
          <w:sz w:val="19"/>
          <w:szCs w:val="19"/>
        </w:rPr>
        <w:t xml:space="preserve"> </w:t>
      </w:r>
      <w:r>
        <w:rPr>
          <w:spacing w:val="11"/>
          <w:sz w:val="19"/>
          <w:szCs w:val="19"/>
        </w:rPr>
        <w:t>、</w:t>
      </w:r>
      <w:r>
        <w:rPr>
          <w:spacing w:val="-38"/>
          <w:sz w:val="19"/>
          <w:szCs w:val="19"/>
        </w:rPr>
        <w:t xml:space="preserve"> </w:t>
      </w:r>
      <w:r>
        <w:rPr>
          <w:spacing w:val="11"/>
          <w:sz w:val="19"/>
          <w:szCs w:val="19"/>
        </w:rPr>
        <w:t>内存</w:t>
      </w:r>
      <w:r>
        <w:rPr>
          <w:spacing w:val="10"/>
          <w:sz w:val="19"/>
          <w:szCs w:val="19"/>
        </w:rPr>
        <w:t>、端口状态和带宽的使用</w:t>
      </w:r>
      <w:r>
        <w:rPr>
          <w:sz w:val="19"/>
          <w:szCs w:val="19"/>
        </w:rPr>
        <w:t xml:space="preserve"> </w:t>
      </w:r>
      <w:r>
        <w:rPr>
          <w:spacing w:val="6"/>
          <w:sz w:val="19"/>
          <w:szCs w:val="19"/>
        </w:rPr>
        <w:t>情况等。</w:t>
      </w:r>
    </w:p>
    <w:p w14:paraId="343BB195">
      <w:pPr>
        <w:spacing w:line="280" w:lineRule="auto"/>
        <w:rPr>
          <w:sz w:val="19"/>
          <w:szCs w:val="19"/>
        </w:rPr>
        <w:sectPr>
          <w:pgSz w:w="10300" w:h="13300"/>
          <w:pgMar w:top="319" w:right="554" w:bottom="400" w:left="1130" w:header="0" w:footer="0" w:gutter="0"/>
          <w:cols w:space="720" w:num="1"/>
        </w:sectPr>
      </w:pPr>
    </w:p>
    <w:p w14:paraId="1F883517">
      <w:pPr>
        <w:pStyle w:val="2"/>
        <w:spacing w:before="37" w:line="219" w:lineRule="auto"/>
        <w:rPr>
          <w:sz w:val="19"/>
          <w:szCs w:val="19"/>
        </w:rPr>
      </w:pPr>
      <w:r>
        <w:rPr>
          <w:rFonts w:ascii="Times New Roman" w:hAnsi="Times New Roman" w:eastAsia="Times New Roman" w:cs="Times New Roman"/>
          <w:spacing w:val="3"/>
          <w:position w:val="-3"/>
          <w:sz w:val="22"/>
          <w:szCs w:val="22"/>
        </w:rPr>
        <w:t>576</w:t>
      </w:r>
      <w:r>
        <w:rPr>
          <w:rFonts w:ascii="Times New Roman" w:hAnsi="Times New Roman" w:eastAsia="Times New Roman" w:cs="Times New Roman"/>
          <w:spacing w:val="5"/>
          <w:position w:val="-3"/>
          <w:sz w:val="22"/>
          <w:szCs w:val="22"/>
        </w:rPr>
        <w:t xml:space="preserve">           </w:t>
      </w:r>
      <w:r>
        <w:rPr>
          <w:spacing w:val="3"/>
          <w:sz w:val="19"/>
          <w:szCs w:val="19"/>
        </w:rPr>
        <w:t>信息系统监理师教程(第2版)</w:t>
      </w:r>
    </w:p>
    <w:p w14:paraId="15DCA5CE">
      <w:pPr>
        <w:spacing w:line="290" w:lineRule="auto"/>
        <w:rPr>
          <w:rFonts w:ascii="Arial"/>
          <w:sz w:val="21"/>
        </w:rPr>
      </w:pPr>
    </w:p>
    <w:p w14:paraId="75C6F587">
      <w:pPr>
        <w:pStyle w:val="2"/>
        <w:spacing w:before="81" w:line="221" w:lineRule="auto"/>
        <w:ind w:left="362"/>
        <w:rPr>
          <w:sz w:val="25"/>
          <w:szCs w:val="25"/>
        </w:rPr>
      </w:pPr>
      <w:bookmarkStart w:id="772" w:name="bookmark757"/>
      <w:bookmarkEnd w:id="772"/>
      <w:r>
        <w:rPr>
          <w:b/>
          <w:bCs/>
          <w:color w:val="0075DD"/>
          <w:spacing w:val="-18"/>
          <w:sz w:val="25"/>
          <w:szCs w:val="25"/>
        </w:rPr>
        <w:t>24.9.4</w:t>
      </w:r>
      <w:r>
        <w:rPr>
          <w:color w:val="0075DD"/>
          <w:spacing w:val="91"/>
          <w:sz w:val="25"/>
          <w:szCs w:val="25"/>
        </w:rPr>
        <w:t xml:space="preserve"> </w:t>
      </w:r>
      <w:r>
        <w:rPr>
          <w:b/>
          <w:bCs/>
          <w:color w:val="0075DD"/>
          <w:spacing w:val="-18"/>
          <w:sz w:val="25"/>
          <w:szCs w:val="25"/>
        </w:rPr>
        <w:t>应用系统安全</w:t>
      </w:r>
    </w:p>
    <w:p w14:paraId="10F8BA91">
      <w:pPr>
        <w:pStyle w:val="2"/>
        <w:spacing w:before="190" w:line="219" w:lineRule="auto"/>
        <w:ind w:left="739"/>
        <w:rPr>
          <w:sz w:val="19"/>
          <w:szCs w:val="19"/>
        </w:rPr>
      </w:pPr>
      <w:r>
        <w:rPr>
          <w:spacing w:val="6"/>
          <w:sz w:val="19"/>
          <w:szCs w:val="19"/>
        </w:rPr>
        <w:t>应用系统安全方面的关键技术要求如下：</w:t>
      </w:r>
    </w:p>
    <w:p w14:paraId="10A30977">
      <w:pPr>
        <w:pStyle w:val="2"/>
        <w:spacing w:before="94" w:line="219" w:lineRule="auto"/>
        <w:ind w:left="739"/>
        <w:rPr>
          <w:sz w:val="19"/>
          <w:szCs w:val="19"/>
        </w:rPr>
      </w:pPr>
      <w:r>
        <w:rPr>
          <w:spacing w:val="11"/>
          <w:sz w:val="19"/>
          <w:szCs w:val="19"/>
        </w:rPr>
        <w:t>(1)身份鉴别。具体包括：</w:t>
      </w:r>
    </w:p>
    <w:p w14:paraId="4F289DAC">
      <w:pPr>
        <w:pStyle w:val="2"/>
        <w:spacing w:before="94" w:line="270" w:lineRule="auto"/>
        <w:ind w:left="1019" w:right="19" w:hanging="280"/>
        <w:rPr>
          <w:sz w:val="19"/>
          <w:szCs w:val="19"/>
        </w:rPr>
      </w:pPr>
      <w:r>
        <w:rPr>
          <w:spacing w:val="13"/>
          <w:sz w:val="19"/>
          <w:szCs w:val="19"/>
        </w:rPr>
        <w:t>●应提供专用的登录控制模块对登录用户进行身份标识和鉴别，启用身份鉴别、用户身份</w:t>
      </w:r>
      <w:r>
        <w:rPr>
          <w:sz w:val="19"/>
          <w:szCs w:val="19"/>
        </w:rPr>
        <w:t xml:space="preserve"> </w:t>
      </w:r>
      <w:r>
        <w:rPr>
          <w:spacing w:val="8"/>
          <w:sz w:val="19"/>
          <w:szCs w:val="19"/>
        </w:rPr>
        <w:t>标识唯一性检查功能，并根据安全策略配置相关参数；</w:t>
      </w:r>
    </w:p>
    <w:p w14:paraId="0F00577C">
      <w:pPr>
        <w:pStyle w:val="2"/>
        <w:spacing w:before="94" w:line="280" w:lineRule="auto"/>
        <w:ind w:left="1019" w:right="22" w:hanging="280"/>
        <w:rPr>
          <w:sz w:val="19"/>
          <w:szCs w:val="19"/>
        </w:rPr>
      </w:pPr>
      <w:r>
        <w:rPr>
          <w:spacing w:val="13"/>
          <w:sz w:val="19"/>
          <w:szCs w:val="19"/>
        </w:rPr>
        <w:t>●应提供用户身份标识唯一和鉴别信息复杂度检查功能，保证应用系统中不存在重</w:t>
      </w:r>
      <w:r>
        <w:rPr>
          <w:spacing w:val="12"/>
          <w:sz w:val="19"/>
          <w:szCs w:val="19"/>
        </w:rPr>
        <w:t>复用户</w:t>
      </w:r>
      <w:r>
        <w:rPr>
          <w:sz w:val="19"/>
          <w:szCs w:val="19"/>
        </w:rPr>
        <w:t xml:space="preserve"> </w:t>
      </w:r>
      <w:r>
        <w:rPr>
          <w:spacing w:val="6"/>
          <w:sz w:val="19"/>
          <w:szCs w:val="19"/>
        </w:rPr>
        <w:t>身份标识，身份鉴别信息不易被冒用；</w:t>
      </w:r>
    </w:p>
    <w:p w14:paraId="37D2BACE">
      <w:pPr>
        <w:pStyle w:val="2"/>
        <w:spacing w:before="102" w:line="261" w:lineRule="auto"/>
        <w:ind w:left="1019" w:hanging="280"/>
        <w:rPr>
          <w:sz w:val="19"/>
          <w:szCs w:val="19"/>
        </w:rPr>
      </w:pPr>
      <w:r>
        <w:rPr>
          <w:spacing w:val="14"/>
          <w:sz w:val="19"/>
          <w:szCs w:val="19"/>
        </w:rPr>
        <w:t>●应提供登录失败处理功能，可采取结束会话</w:t>
      </w:r>
      <w:r>
        <w:rPr>
          <w:spacing w:val="13"/>
          <w:sz w:val="19"/>
          <w:szCs w:val="19"/>
        </w:rPr>
        <w:t>、限制非法登录次数和自动退出等措施，并</w:t>
      </w:r>
      <w:r>
        <w:rPr>
          <w:sz w:val="19"/>
          <w:szCs w:val="19"/>
        </w:rPr>
        <w:t xml:space="preserve"> </w:t>
      </w:r>
      <w:r>
        <w:rPr>
          <w:spacing w:val="6"/>
          <w:sz w:val="19"/>
          <w:szCs w:val="19"/>
        </w:rPr>
        <w:t>根据安全策略配置相关参数；</w:t>
      </w:r>
    </w:p>
    <w:p w14:paraId="5B69311E">
      <w:pPr>
        <w:pStyle w:val="2"/>
        <w:spacing w:before="105" w:line="270" w:lineRule="auto"/>
        <w:ind w:left="1019" w:right="12" w:hanging="280"/>
        <w:rPr>
          <w:sz w:val="19"/>
          <w:szCs w:val="19"/>
        </w:rPr>
      </w:pPr>
      <w:r>
        <w:rPr>
          <w:spacing w:val="13"/>
          <w:sz w:val="19"/>
          <w:szCs w:val="19"/>
        </w:rPr>
        <w:t>●等级保护第三级以上系统，重要应用系统应对同一用户采用两种或两种以上组合的鉴别</w:t>
      </w:r>
      <w:r>
        <w:rPr>
          <w:spacing w:val="7"/>
          <w:sz w:val="19"/>
          <w:szCs w:val="19"/>
        </w:rPr>
        <w:t xml:space="preserve"> </w:t>
      </w:r>
      <w:r>
        <w:rPr>
          <w:spacing w:val="6"/>
          <w:sz w:val="19"/>
          <w:szCs w:val="19"/>
        </w:rPr>
        <w:t>技术实现用户身份鉴别。</w:t>
      </w:r>
    </w:p>
    <w:p w14:paraId="56D329CC">
      <w:pPr>
        <w:pStyle w:val="2"/>
        <w:spacing w:before="95" w:line="220" w:lineRule="auto"/>
        <w:ind w:left="739"/>
        <w:rPr>
          <w:sz w:val="19"/>
          <w:szCs w:val="19"/>
        </w:rPr>
      </w:pPr>
      <w:r>
        <w:rPr>
          <w:spacing w:val="11"/>
          <w:sz w:val="19"/>
          <w:szCs w:val="19"/>
        </w:rPr>
        <w:t>(2)访问控制。具体包括：</w:t>
      </w:r>
    </w:p>
    <w:p w14:paraId="0B5B01C3">
      <w:pPr>
        <w:pStyle w:val="2"/>
        <w:spacing w:before="92" w:line="219" w:lineRule="auto"/>
        <w:ind w:left="739"/>
        <w:rPr>
          <w:sz w:val="19"/>
          <w:szCs w:val="19"/>
        </w:rPr>
      </w:pPr>
      <w:r>
        <w:rPr>
          <w:spacing w:val="10"/>
          <w:sz w:val="19"/>
          <w:szCs w:val="19"/>
        </w:rPr>
        <w:t>●应提供访问控制功能，依据安全策略控制用户对文件、数据库表等客体的访问；</w:t>
      </w:r>
    </w:p>
    <w:p w14:paraId="07627028">
      <w:pPr>
        <w:pStyle w:val="2"/>
        <w:spacing w:before="96" w:line="219" w:lineRule="auto"/>
        <w:ind w:left="739"/>
        <w:rPr>
          <w:sz w:val="19"/>
          <w:szCs w:val="19"/>
        </w:rPr>
      </w:pPr>
      <w:r>
        <w:rPr>
          <w:spacing w:val="10"/>
          <w:sz w:val="19"/>
          <w:szCs w:val="19"/>
        </w:rPr>
        <w:t>●访问控制覆盖范围应包括与资源访问相关的主体、客体及它们之间的操作；</w:t>
      </w:r>
    </w:p>
    <w:p w14:paraId="1004F693">
      <w:pPr>
        <w:pStyle w:val="2"/>
        <w:spacing w:before="104" w:line="265" w:lineRule="auto"/>
        <w:ind w:left="1019" w:right="19" w:hanging="280"/>
        <w:rPr>
          <w:sz w:val="19"/>
          <w:szCs w:val="19"/>
        </w:rPr>
      </w:pPr>
      <w:r>
        <w:rPr>
          <w:spacing w:val="13"/>
          <w:sz w:val="19"/>
          <w:szCs w:val="19"/>
        </w:rPr>
        <w:t>●应由授权主体配置访问控制策略，并严格限制默认用户访问权限，授予不同账户为完成</w:t>
      </w:r>
      <w:r>
        <w:rPr>
          <w:spacing w:val="1"/>
          <w:sz w:val="19"/>
          <w:szCs w:val="19"/>
        </w:rPr>
        <w:t xml:space="preserve"> </w:t>
      </w:r>
      <w:r>
        <w:rPr>
          <w:spacing w:val="8"/>
          <w:sz w:val="19"/>
          <w:szCs w:val="19"/>
        </w:rPr>
        <w:t>各自承担任务所需的最小权限，并在它们之间</w:t>
      </w:r>
      <w:r>
        <w:rPr>
          <w:spacing w:val="7"/>
          <w:sz w:val="19"/>
          <w:szCs w:val="19"/>
        </w:rPr>
        <w:t>形成相互制约关系；</w:t>
      </w:r>
    </w:p>
    <w:p w14:paraId="1C617241">
      <w:pPr>
        <w:pStyle w:val="2"/>
        <w:spacing w:before="94" w:line="275" w:lineRule="auto"/>
        <w:ind w:left="1019" w:right="19" w:hanging="280"/>
        <w:rPr>
          <w:sz w:val="19"/>
          <w:szCs w:val="19"/>
        </w:rPr>
      </w:pPr>
      <w:r>
        <w:rPr>
          <w:spacing w:val="13"/>
          <w:sz w:val="19"/>
          <w:szCs w:val="19"/>
        </w:rPr>
        <w:t>●等级保护第三级以上系统，应具有对重要信息资源设置敏感标记的功能，并依据安全策</w:t>
      </w:r>
      <w:r>
        <w:rPr>
          <w:sz w:val="19"/>
          <w:szCs w:val="19"/>
        </w:rPr>
        <w:t xml:space="preserve"> </w:t>
      </w:r>
      <w:r>
        <w:rPr>
          <w:spacing w:val="8"/>
          <w:sz w:val="19"/>
          <w:szCs w:val="19"/>
        </w:rPr>
        <w:t>略严格控制用户对有敏感标记的重要信息资源的操作。</w:t>
      </w:r>
    </w:p>
    <w:p w14:paraId="29092884">
      <w:pPr>
        <w:pStyle w:val="2"/>
        <w:spacing w:before="95" w:line="220" w:lineRule="auto"/>
        <w:ind w:left="739"/>
        <w:rPr>
          <w:sz w:val="19"/>
          <w:szCs w:val="19"/>
        </w:rPr>
      </w:pPr>
      <w:r>
        <w:rPr>
          <w:spacing w:val="11"/>
          <w:sz w:val="19"/>
          <w:szCs w:val="19"/>
        </w:rPr>
        <w:t>(3)安全审计。具体包括：</w:t>
      </w:r>
    </w:p>
    <w:p w14:paraId="4F0078C7">
      <w:pPr>
        <w:pStyle w:val="2"/>
        <w:spacing w:before="73" w:line="275" w:lineRule="auto"/>
        <w:ind w:left="1019" w:right="12" w:hanging="280"/>
        <w:rPr>
          <w:sz w:val="19"/>
          <w:szCs w:val="19"/>
        </w:rPr>
      </w:pPr>
      <w:r>
        <w:rPr>
          <w:spacing w:val="13"/>
          <w:sz w:val="19"/>
          <w:szCs w:val="19"/>
        </w:rPr>
        <w:t>●应提供覆盖每个用户的安全审计功能，对应用系统重要安全事件进行审计，审计记录的</w:t>
      </w:r>
      <w:r>
        <w:rPr>
          <w:spacing w:val="7"/>
          <w:sz w:val="19"/>
          <w:szCs w:val="19"/>
        </w:rPr>
        <w:t xml:space="preserve"> </w:t>
      </w:r>
      <w:r>
        <w:rPr>
          <w:spacing w:val="8"/>
          <w:sz w:val="19"/>
          <w:szCs w:val="19"/>
        </w:rPr>
        <w:t>内容至少应包括事件日期、时间、发起者信息、类型、描述</w:t>
      </w:r>
      <w:r>
        <w:rPr>
          <w:spacing w:val="7"/>
          <w:sz w:val="19"/>
          <w:szCs w:val="19"/>
        </w:rPr>
        <w:t>和结果等；</w:t>
      </w:r>
    </w:p>
    <w:p w14:paraId="1AC9E93F">
      <w:pPr>
        <w:pStyle w:val="2"/>
        <w:spacing w:before="84" w:line="219" w:lineRule="auto"/>
        <w:ind w:right="19"/>
        <w:jc w:val="right"/>
        <w:rPr>
          <w:sz w:val="19"/>
          <w:szCs w:val="19"/>
        </w:rPr>
      </w:pPr>
      <w:r>
        <w:rPr>
          <w:spacing w:val="13"/>
          <w:sz w:val="19"/>
          <w:szCs w:val="19"/>
        </w:rPr>
        <w:t>●等级保护第三级以上系统，应保证无法单独中断审计进程，无法删除、修改或覆盖审计</w:t>
      </w:r>
    </w:p>
    <w:p w14:paraId="47D5A87B">
      <w:pPr>
        <w:pStyle w:val="2"/>
        <w:spacing w:before="146" w:line="221" w:lineRule="auto"/>
        <w:ind w:left="1019"/>
        <w:rPr>
          <w:sz w:val="16"/>
          <w:szCs w:val="16"/>
        </w:rPr>
      </w:pPr>
      <w:r>
        <w:rPr>
          <w:spacing w:val="-5"/>
          <w:sz w:val="16"/>
          <w:szCs w:val="16"/>
        </w:rPr>
        <w:t>记</w:t>
      </w:r>
      <w:r>
        <w:rPr>
          <w:spacing w:val="-16"/>
          <w:sz w:val="16"/>
          <w:szCs w:val="16"/>
        </w:rPr>
        <w:t xml:space="preserve"> </w:t>
      </w:r>
      <w:r>
        <w:rPr>
          <w:spacing w:val="-5"/>
          <w:sz w:val="16"/>
          <w:szCs w:val="16"/>
        </w:rPr>
        <w:t>录</w:t>
      </w:r>
      <w:r>
        <w:rPr>
          <w:spacing w:val="-23"/>
          <w:sz w:val="16"/>
          <w:szCs w:val="16"/>
        </w:rPr>
        <w:t xml:space="preserve"> </w:t>
      </w:r>
      <w:r>
        <w:rPr>
          <w:spacing w:val="-5"/>
          <w:sz w:val="16"/>
          <w:szCs w:val="16"/>
        </w:rPr>
        <w:t>；</w:t>
      </w:r>
    </w:p>
    <w:p w14:paraId="348FD028">
      <w:pPr>
        <w:pStyle w:val="2"/>
        <w:spacing w:before="86" w:line="272" w:lineRule="auto"/>
        <w:ind w:left="1019" w:right="19" w:hanging="280"/>
        <w:rPr>
          <w:sz w:val="19"/>
          <w:szCs w:val="19"/>
        </w:rPr>
      </w:pPr>
      <w:r>
        <w:rPr>
          <w:spacing w:val="13"/>
          <w:sz w:val="19"/>
          <w:szCs w:val="19"/>
        </w:rPr>
        <w:t>●等级保护第三级以上系统，应提供对审计记录数据进行统计、查询、分析及生成审计报</w:t>
      </w:r>
      <w:r>
        <w:rPr>
          <w:spacing w:val="1"/>
          <w:sz w:val="19"/>
          <w:szCs w:val="19"/>
        </w:rPr>
        <w:t xml:space="preserve"> </w:t>
      </w:r>
      <w:r>
        <w:rPr>
          <w:spacing w:val="4"/>
          <w:sz w:val="19"/>
          <w:szCs w:val="19"/>
        </w:rPr>
        <w:t>表的功能。</w:t>
      </w:r>
    </w:p>
    <w:p w14:paraId="3629F9E1">
      <w:pPr>
        <w:pStyle w:val="2"/>
        <w:spacing w:before="101" w:line="219" w:lineRule="auto"/>
        <w:ind w:left="739"/>
        <w:rPr>
          <w:sz w:val="19"/>
          <w:szCs w:val="19"/>
        </w:rPr>
      </w:pPr>
      <w:r>
        <w:rPr>
          <w:spacing w:val="11"/>
          <w:sz w:val="19"/>
          <w:szCs w:val="19"/>
        </w:rPr>
        <w:t>(4)通信完整性和保密性。具体包括：</w:t>
      </w:r>
    </w:p>
    <w:p w14:paraId="287CB187">
      <w:pPr>
        <w:pStyle w:val="2"/>
        <w:spacing w:before="75" w:line="270" w:lineRule="auto"/>
        <w:ind w:left="1019" w:right="19" w:hanging="280"/>
        <w:rPr>
          <w:sz w:val="19"/>
          <w:szCs w:val="19"/>
        </w:rPr>
      </w:pPr>
      <w:r>
        <w:rPr>
          <w:spacing w:val="13"/>
          <w:sz w:val="19"/>
          <w:szCs w:val="19"/>
        </w:rPr>
        <w:t>●应采用校验码技术，等级保护第三级以上系统，需要采用密码技术或其他等效手段保证</w:t>
      </w:r>
      <w:r>
        <w:rPr>
          <w:sz w:val="19"/>
          <w:szCs w:val="19"/>
        </w:rPr>
        <w:t xml:space="preserve"> </w:t>
      </w:r>
      <w:r>
        <w:rPr>
          <w:spacing w:val="6"/>
          <w:sz w:val="19"/>
          <w:szCs w:val="19"/>
        </w:rPr>
        <w:t>通信过程中数据的完整性；</w:t>
      </w:r>
    </w:p>
    <w:p w14:paraId="39E75B7C">
      <w:pPr>
        <w:pStyle w:val="2"/>
        <w:spacing w:before="93" w:line="278" w:lineRule="auto"/>
        <w:ind w:left="1019" w:right="15" w:hanging="280"/>
        <w:rPr>
          <w:sz w:val="19"/>
          <w:szCs w:val="19"/>
        </w:rPr>
      </w:pPr>
      <w:r>
        <w:rPr>
          <w:spacing w:val="13"/>
          <w:sz w:val="19"/>
          <w:szCs w:val="19"/>
        </w:rPr>
        <w:t>●在通信双方建立连接之前，应用系统应利用密码技术进行会话初始化验证，等级保护第</w:t>
      </w:r>
      <w:r>
        <w:rPr>
          <w:spacing w:val="4"/>
          <w:sz w:val="19"/>
          <w:szCs w:val="19"/>
        </w:rPr>
        <w:t xml:space="preserve"> </w:t>
      </w:r>
      <w:r>
        <w:rPr>
          <w:spacing w:val="11"/>
          <w:sz w:val="19"/>
          <w:szCs w:val="19"/>
        </w:rPr>
        <w:t>三级以上系统，应对通信过程中的整个报文或会话过程进行加密，保证通信过程中数据</w:t>
      </w:r>
      <w:r>
        <w:rPr>
          <w:spacing w:val="2"/>
          <w:sz w:val="19"/>
          <w:szCs w:val="19"/>
        </w:rPr>
        <w:t xml:space="preserve"> </w:t>
      </w:r>
      <w:r>
        <w:rPr>
          <w:spacing w:val="4"/>
          <w:sz w:val="19"/>
          <w:szCs w:val="19"/>
        </w:rPr>
        <w:t>的保密性。</w:t>
      </w:r>
    </w:p>
    <w:p w14:paraId="52891451">
      <w:pPr>
        <w:pStyle w:val="2"/>
        <w:spacing w:before="93" w:line="219" w:lineRule="auto"/>
        <w:ind w:left="739"/>
        <w:rPr>
          <w:sz w:val="19"/>
          <w:szCs w:val="19"/>
        </w:rPr>
      </w:pPr>
      <w:r>
        <w:rPr>
          <w:spacing w:val="12"/>
          <w:sz w:val="19"/>
          <w:szCs w:val="19"/>
        </w:rPr>
        <w:t>(5)剩余信息保护。具体包括：</w:t>
      </w:r>
    </w:p>
    <w:p w14:paraId="66E2FF3A">
      <w:pPr>
        <w:pStyle w:val="2"/>
        <w:spacing w:before="95" w:line="260" w:lineRule="auto"/>
        <w:ind w:left="1019" w:right="5" w:hanging="280"/>
        <w:rPr>
          <w:sz w:val="19"/>
          <w:szCs w:val="19"/>
        </w:rPr>
      </w:pPr>
      <w:r>
        <w:rPr>
          <w:spacing w:val="13"/>
          <w:sz w:val="19"/>
          <w:szCs w:val="19"/>
        </w:rPr>
        <w:t>●等级保护第三级以上系统，应保证用户鉴别信息所在存储空间被释放或再分配给其他用</w:t>
      </w:r>
      <w:r>
        <w:rPr>
          <w:spacing w:val="14"/>
          <w:sz w:val="19"/>
          <w:szCs w:val="19"/>
        </w:rPr>
        <w:t xml:space="preserve"> </w:t>
      </w:r>
      <w:r>
        <w:rPr>
          <w:spacing w:val="8"/>
          <w:sz w:val="19"/>
          <w:szCs w:val="19"/>
        </w:rPr>
        <w:t>户前得到完全清除，无论这些信息是存放在硬盘上还是在内存中；</w:t>
      </w:r>
    </w:p>
    <w:p w14:paraId="5262C03A">
      <w:pPr>
        <w:pStyle w:val="2"/>
        <w:spacing w:before="74" w:line="270" w:lineRule="auto"/>
        <w:ind w:left="1019" w:right="19" w:hanging="280"/>
        <w:rPr>
          <w:sz w:val="19"/>
          <w:szCs w:val="19"/>
        </w:rPr>
      </w:pPr>
      <w:r>
        <w:rPr>
          <w:spacing w:val="13"/>
          <w:sz w:val="19"/>
          <w:szCs w:val="19"/>
        </w:rPr>
        <w:t>●等级保护第三级以上系统，应保证系统内的文件、目录和数据库记录等资源所在的存储</w:t>
      </w:r>
      <w:r>
        <w:rPr>
          <w:sz w:val="19"/>
          <w:szCs w:val="19"/>
        </w:rPr>
        <w:t xml:space="preserve"> </w:t>
      </w:r>
      <w:r>
        <w:rPr>
          <w:spacing w:val="8"/>
          <w:sz w:val="19"/>
          <w:szCs w:val="19"/>
        </w:rPr>
        <w:t>空间被释放或重新分配给其他用户前得到完全清除。</w:t>
      </w:r>
    </w:p>
    <w:p w14:paraId="5784975B">
      <w:pPr>
        <w:spacing w:line="270" w:lineRule="auto"/>
        <w:rPr>
          <w:sz w:val="19"/>
          <w:szCs w:val="19"/>
        </w:rPr>
        <w:sectPr>
          <w:pgSz w:w="10310" w:h="13410"/>
          <w:pgMar w:top="400" w:right="1092" w:bottom="400" w:left="540" w:header="0" w:footer="0" w:gutter="0"/>
          <w:cols w:space="720" w:num="1"/>
        </w:sectPr>
      </w:pPr>
    </w:p>
    <w:p w14:paraId="5691F7BC">
      <w:pPr>
        <w:pStyle w:val="2"/>
        <w:jc w:val="right"/>
        <w:rPr>
          <w:rFonts w:ascii="Times New Roman" w:hAnsi="Times New Roman" w:eastAsia="Times New Roman" w:cs="Times New Roman"/>
          <w:sz w:val="19"/>
          <w:szCs w:val="19"/>
        </w:rPr>
      </w:pPr>
      <w:bookmarkStart w:id="773" w:name="bookmark758"/>
      <w:bookmarkEnd w:id="773"/>
      <w:r>
        <w:rPr>
          <w:spacing w:val="6"/>
          <w:sz w:val="19"/>
          <w:szCs w:val="19"/>
        </w:rPr>
        <w:t>第24章</w:t>
      </w:r>
      <w:r>
        <w:rPr>
          <w:spacing w:val="26"/>
          <w:sz w:val="19"/>
          <w:szCs w:val="19"/>
        </w:rPr>
        <w:t xml:space="preserve"> </w:t>
      </w:r>
      <w:r>
        <w:rPr>
          <w:spacing w:val="6"/>
          <w:sz w:val="19"/>
          <w:szCs w:val="19"/>
        </w:rPr>
        <w:t xml:space="preserve">信息安全监理 </w:t>
      </w:r>
      <w:r>
        <w:rPr>
          <w:position w:val="-10"/>
          <w:sz w:val="19"/>
          <w:szCs w:val="19"/>
        </w:rPr>
        <w:drawing>
          <wp:inline distT="0" distB="0" distL="0" distR="0">
            <wp:extent cx="310515" cy="247650"/>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369"/>
                    <a:stretch>
                      <a:fillRect/>
                    </a:stretch>
                  </pic:blipFill>
                  <pic:spPr>
                    <a:xfrm>
                      <a:off x="0" y="0"/>
                      <a:ext cx="311090" cy="247706"/>
                    </a:xfrm>
                    <a:prstGeom prst="rect">
                      <a:avLst/>
                    </a:prstGeom>
                  </pic:spPr>
                </pic:pic>
              </a:graphicData>
            </a:graphic>
          </wp:inline>
        </w:drawing>
      </w:r>
      <w:r>
        <w:rPr>
          <w:rFonts w:ascii="Times New Roman" w:hAnsi="Times New Roman" w:eastAsia="Times New Roman" w:cs="Times New Roman"/>
          <w:spacing w:val="6"/>
          <w:position w:val="1"/>
          <w:sz w:val="19"/>
          <w:szCs w:val="19"/>
        </w:rPr>
        <w:t>577</w:t>
      </w:r>
    </w:p>
    <w:p w14:paraId="29F70E57">
      <w:pPr>
        <w:spacing w:line="272" w:lineRule="auto"/>
        <w:rPr>
          <w:rFonts w:ascii="Arial"/>
          <w:sz w:val="21"/>
        </w:rPr>
      </w:pPr>
    </w:p>
    <w:p w14:paraId="0FB9298B">
      <w:pPr>
        <w:pStyle w:val="2"/>
        <w:spacing w:before="62" w:line="270" w:lineRule="auto"/>
        <w:ind w:left="36" w:right="296" w:firstLine="390"/>
        <w:rPr>
          <w:sz w:val="19"/>
          <w:szCs w:val="19"/>
        </w:rPr>
      </w:pPr>
      <w:r>
        <w:rPr>
          <w:spacing w:val="15"/>
          <w:sz w:val="19"/>
          <w:szCs w:val="19"/>
        </w:rPr>
        <w:t>(6)抗抵赖。等级保护第三级以上系统，应采用数字签名或其他等效手段，为数据原发者</w:t>
      </w:r>
      <w:r>
        <w:rPr>
          <w:spacing w:val="3"/>
          <w:sz w:val="19"/>
          <w:szCs w:val="19"/>
        </w:rPr>
        <w:t xml:space="preserve"> </w:t>
      </w:r>
      <w:r>
        <w:rPr>
          <w:spacing w:val="7"/>
          <w:sz w:val="19"/>
          <w:szCs w:val="19"/>
        </w:rPr>
        <w:t>或接收者提供数据原发证据和数据接收证据。</w:t>
      </w:r>
    </w:p>
    <w:p w14:paraId="0B5DD184">
      <w:pPr>
        <w:pStyle w:val="2"/>
        <w:spacing w:before="95" w:line="219" w:lineRule="auto"/>
        <w:ind w:left="427"/>
        <w:rPr>
          <w:sz w:val="19"/>
          <w:szCs w:val="19"/>
        </w:rPr>
      </w:pPr>
      <w:r>
        <w:rPr>
          <w:spacing w:val="10"/>
          <w:sz w:val="19"/>
          <w:szCs w:val="19"/>
        </w:rPr>
        <w:t>(7)软件容错。具体包括：</w:t>
      </w:r>
    </w:p>
    <w:p w14:paraId="4D80F4E6">
      <w:pPr>
        <w:pStyle w:val="2"/>
        <w:spacing w:before="94" w:line="261" w:lineRule="auto"/>
        <w:ind w:left="686" w:right="297" w:hanging="259"/>
        <w:rPr>
          <w:sz w:val="19"/>
          <w:szCs w:val="19"/>
        </w:rPr>
      </w:pPr>
      <w:r>
        <w:rPr>
          <w:spacing w:val="13"/>
          <w:sz w:val="19"/>
          <w:szCs w:val="19"/>
        </w:rPr>
        <w:t>●应提供数据有效性检验功能，保证通过人机接口或通信接口输入的数据格式或长度符合</w:t>
      </w:r>
      <w:r>
        <w:rPr>
          <w:sz w:val="19"/>
          <w:szCs w:val="19"/>
        </w:rPr>
        <w:t xml:space="preserve"> </w:t>
      </w:r>
      <w:r>
        <w:rPr>
          <w:spacing w:val="2"/>
          <w:sz w:val="19"/>
          <w:szCs w:val="19"/>
        </w:rPr>
        <w:t>系统设定要求；</w:t>
      </w:r>
    </w:p>
    <w:p w14:paraId="5552A9C8">
      <w:pPr>
        <w:pStyle w:val="2"/>
        <w:spacing w:before="92" w:line="271" w:lineRule="auto"/>
        <w:ind w:left="686" w:right="318" w:hanging="259"/>
        <w:rPr>
          <w:sz w:val="19"/>
          <w:szCs w:val="19"/>
        </w:rPr>
      </w:pPr>
      <w:r>
        <w:rPr>
          <w:spacing w:val="18"/>
          <w:sz w:val="19"/>
          <w:szCs w:val="19"/>
        </w:rPr>
        <w:t>●等级保护第三级以上系统，应提供自动保护功能，当故障发生时自</w:t>
      </w:r>
      <w:r>
        <w:rPr>
          <w:spacing w:val="17"/>
          <w:sz w:val="19"/>
          <w:szCs w:val="19"/>
        </w:rPr>
        <w:t>动保护当前所有状</w:t>
      </w:r>
      <w:r>
        <w:rPr>
          <w:sz w:val="19"/>
          <w:szCs w:val="19"/>
        </w:rPr>
        <w:t xml:space="preserve"> </w:t>
      </w:r>
      <w:r>
        <w:rPr>
          <w:spacing w:val="7"/>
          <w:sz w:val="19"/>
          <w:szCs w:val="19"/>
        </w:rPr>
        <w:t>态，保证系统能够进行恢复。</w:t>
      </w:r>
    </w:p>
    <w:p w14:paraId="56D07234">
      <w:pPr>
        <w:pStyle w:val="2"/>
        <w:spacing w:before="103" w:line="220" w:lineRule="auto"/>
        <w:ind w:left="427"/>
        <w:rPr>
          <w:sz w:val="19"/>
          <w:szCs w:val="19"/>
        </w:rPr>
      </w:pPr>
      <w:r>
        <w:rPr>
          <w:spacing w:val="10"/>
          <w:sz w:val="19"/>
          <w:szCs w:val="19"/>
        </w:rPr>
        <w:t>(8)资源控制。具体包括：</w:t>
      </w:r>
    </w:p>
    <w:p w14:paraId="0D90FFFE">
      <w:pPr>
        <w:pStyle w:val="2"/>
        <w:spacing w:before="92" w:line="219" w:lineRule="auto"/>
        <w:ind w:left="427"/>
        <w:rPr>
          <w:sz w:val="19"/>
          <w:szCs w:val="19"/>
        </w:rPr>
      </w:pPr>
      <w:r>
        <w:rPr>
          <w:spacing w:val="11"/>
          <w:sz w:val="19"/>
          <w:szCs w:val="19"/>
        </w:rPr>
        <w:t>●应用系统应具备会话超时断开、最大并发连接数限</w:t>
      </w:r>
      <w:r>
        <w:rPr>
          <w:spacing w:val="10"/>
          <w:sz w:val="19"/>
          <w:szCs w:val="19"/>
        </w:rPr>
        <w:t>制和单点登录控制功能；</w:t>
      </w:r>
    </w:p>
    <w:p w14:paraId="28A4EDE7">
      <w:pPr>
        <w:pStyle w:val="2"/>
        <w:spacing w:before="106" w:line="265" w:lineRule="auto"/>
        <w:ind w:left="686" w:right="295" w:hanging="259"/>
        <w:rPr>
          <w:sz w:val="19"/>
          <w:szCs w:val="19"/>
        </w:rPr>
      </w:pPr>
      <w:r>
        <w:rPr>
          <w:spacing w:val="13"/>
          <w:sz w:val="19"/>
          <w:szCs w:val="19"/>
        </w:rPr>
        <w:t>●应提供服务优先级设定功能，并在安装后根据安全策略设定访问账户或请求进程的优先</w:t>
      </w:r>
      <w:r>
        <w:rPr>
          <w:spacing w:val="2"/>
          <w:sz w:val="19"/>
          <w:szCs w:val="19"/>
        </w:rPr>
        <w:t xml:space="preserve"> </w:t>
      </w:r>
      <w:r>
        <w:rPr>
          <w:spacing w:val="6"/>
          <w:sz w:val="19"/>
          <w:szCs w:val="19"/>
        </w:rPr>
        <w:t>级，根据优先级分配系统资源。</w:t>
      </w:r>
    </w:p>
    <w:p w14:paraId="78A49577">
      <w:pPr>
        <w:pStyle w:val="2"/>
        <w:spacing w:before="243" w:line="219" w:lineRule="auto"/>
        <w:rPr>
          <w:sz w:val="25"/>
          <w:szCs w:val="25"/>
        </w:rPr>
      </w:pPr>
      <w:r>
        <w:rPr>
          <w:b/>
          <w:bCs/>
          <w:color w:val="0071D5"/>
          <w:spacing w:val="-17"/>
          <w:sz w:val="25"/>
          <w:szCs w:val="25"/>
        </w:rPr>
        <w:t>24.9.5</w:t>
      </w:r>
      <w:r>
        <w:rPr>
          <w:color w:val="0071D5"/>
          <w:spacing w:val="102"/>
          <w:sz w:val="25"/>
          <w:szCs w:val="25"/>
        </w:rPr>
        <w:t xml:space="preserve"> </w:t>
      </w:r>
      <w:r>
        <w:rPr>
          <w:b/>
          <w:bCs/>
          <w:color w:val="0071D5"/>
          <w:spacing w:val="-17"/>
          <w:sz w:val="25"/>
          <w:szCs w:val="25"/>
        </w:rPr>
        <w:t>数据备份与灾难恢复</w:t>
      </w:r>
    </w:p>
    <w:p w14:paraId="71B27991">
      <w:pPr>
        <w:pStyle w:val="2"/>
        <w:spacing w:before="185" w:line="219" w:lineRule="auto"/>
        <w:ind w:left="427"/>
        <w:rPr>
          <w:sz w:val="19"/>
          <w:szCs w:val="19"/>
        </w:rPr>
      </w:pPr>
      <w:r>
        <w:rPr>
          <w:spacing w:val="7"/>
          <w:sz w:val="19"/>
          <w:szCs w:val="19"/>
        </w:rPr>
        <w:t>数据备份与灾难恢复方面的关键技术要求如下：</w:t>
      </w:r>
    </w:p>
    <w:p w14:paraId="7D5AE9E7">
      <w:pPr>
        <w:pStyle w:val="2"/>
        <w:spacing w:before="94" w:line="219" w:lineRule="auto"/>
        <w:ind w:left="427"/>
        <w:rPr>
          <w:sz w:val="19"/>
          <w:szCs w:val="19"/>
        </w:rPr>
      </w:pPr>
      <w:r>
        <w:rPr>
          <w:spacing w:val="10"/>
          <w:sz w:val="19"/>
          <w:szCs w:val="19"/>
        </w:rPr>
        <w:t>(1)数据完整性。具体包括：</w:t>
      </w:r>
    </w:p>
    <w:p w14:paraId="18DA7169">
      <w:pPr>
        <w:pStyle w:val="2"/>
        <w:spacing w:before="73" w:line="288" w:lineRule="auto"/>
        <w:ind w:left="686" w:right="293" w:hanging="259"/>
        <w:rPr>
          <w:sz w:val="19"/>
          <w:szCs w:val="19"/>
        </w:rPr>
      </w:pPr>
      <w:r>
        <w:rPr>
          <w:spacing w:val="13"/>
          <w:sz w:val="19"/>
          <w:szCs w:val="19"/>
        </w:rPr>
        <w:t>●应检测出系统管理数据、鉴别信息在传输过程中完整性是否受到破坏，等级保护第三级</w:t>
      </w:r>
      <w:r>
        <w:rPr>
          <w:spacing w:val="4"/>
          <w:sz w:val="19"/>
          <w:szCs w:val="19"/>
        </w:rPr>
        <w:t xml:space="preserve"> </w:t>
      </w:r>
      <w:r>
        <w:rPr>
          <w:spacing w:val="16"/>
          <w:sz w:val="19"/>
          <w:szCs w:val="19"/>
        </w:rPr>
        <w:t xml:space="preserve">以上系统，还应对重要业务数据进行检测，并在检测到完整性错误时采取必要的恢复 </w:t>
      </w:r>
      <w:r>
        <w:rPr>
          <w:spacing w:val="5"/>
          <w:sz w:val="19"/>
          <w:szCs w:val="19"/>
        </w:rPr>
        <w:t>措施；</w:t>
      </w:r>
    </w:p>
    <w:p w14:paraId="180CA85F">
      <w:pPr>
        <w:pStyle w:val="2"/>
        <w:spacing w:before="92" w:line="281" w:lineRule="auto"/>
        <w:ind w:left="686" w:right="293" w:hanging="259"/>
        <w:rPr>
          <w:sz w:val="19"/>
          <w:szCs w:val="19"/>
        </w:rPr>
      </w:pPr>
      <w:r>
        <w:rPr>
          <w:spacing w:val="13"/>
          <w:sz w:val="19"/>
          <w:szCs w:val="19"/>
        </w:rPr>
        <w:t>●应检测出系统管理数据、鉴别信息在存储过程中完整性是否受到破坏，等级保护第三级</w:t>
      </w:r>
      <w:r>
        <w:rPr>
          <w:spacing w:val="4"/>
          <w:sz w:val="19"/>
          <w:szCs w:val="19"/>
        </w:rPr>
        <w:t xml:space="preserve"> </w:t>
      </w:r>
      <w:r>
        <w:rPr>
          <w:spacing w:val="16"/>
          <w:sz w:val="19"/>
          <w:szCs w:val="19"/>
        </w:rPr>
        <w:t>以上系统，还应对重要业务数据进行检测，并在检测到完整性错误时采取</w:t>
      </w:r>
      <w:r>
        <w:rPr>
          <w:spacing w:val="15"/>
          <w:sz w:val="19"/>
          <w:szCs w:val="19"/>
        </w:rPr>
        <w:t>必要的恢复</w:t>
      </w:r>
      <w:r>
        <w:rPr>
          <w:sz w:val="19"/>
          <w:szCs w:val="19"/>
        </w:rPr>
        <w:t xml:space="preserve"> </w:t>
      </w:r>
      <w:r>
        <w:rPr>
          <w:spacing w:val="5"/>
          <w:sz w:val="19"/>
          <w:szCs w:val="19"/>
        </w:rPr>
        <w:t>措施。</w:t>
      </w:r>
    </w:p>
    <w:p w14:paraId="204F0F71">
      <w:pPr>
        <w:pStyle w:val="2"/>
        <w:spacing w:before="103" w:line="219" w:lineRule="auto"/>
        <w:ind w:left="427"/>
        <w:rPr>
          <w:sz w:val="19"/>
          <w:szCs w:val="19"/>
        </w:rPr>
      </w:pPr>
      <w:r>
        <w:rPr>
          <w:spacing w:val="10"/>
          <w:sz w:val="19"/>
          <w:szCs w:val="19"/>
        </w:rPr>
        <w:t>(2)数据保密性。具体包括：</w:t>
      </w:r>
    </w:p>
    <w:p w14:paraId="3FD80D8D">
      <w:pPr>
        <w:pStyle w:val="2"/>
        <w:spacing w:before="63" w:line="270" w:lineRule="auto"/>
        <w:ind w:left="686" w:right="297" w:hanging="259"/>
        <w:rPr>
          <w:sz w:val="19"/>
          <w:szCs w:val="19"/>
        </w:rPr>
      </w:pPr>
      <w:r>
        <w:rPr>
          <w:spacing w:val="13"/>
          <w:sz w:val="19"/>
          <w:szCs w:val="19"/>
        </w:rPr>
        <w:t>●应采用加密或其他保护措施实现鉴别信息的存储保密性，等级保护第三级以上系统，还</w:t>
      </w:r>
      <w:r>
        <w:rPr>
          <w:sz w:val="19"/>
          <w:szCs w:val="19"/>
        </w:rPr>
        <w:t xml:space="preserve"> </w:t>
      </w:r>
      <w:r>
        <w:rPr>
          <w:spacing w:val="9"/>
          <w:sz w:val="19"/>
          <w:szCs w:val="19"/>
        </w:rPr>
        <w:t>应采用加密或其他保护措施实现系统管理数据、鉴别信息和重要业务数据存储保密性；</w:t>
      </w:r>
    </w:p>
    <w:p w14:paraId="63F6F7FB">
      <w:pPr>
        <w:pStyle w:val="2"/>
        <w:spacing w:before="84" w:line="270" w:lineRule="auto"/>
        <w:ind w:left="686" w:right="297" w:hanging="259"/>
        <w:rPr>
          <w:sz w:val="19"/>
          <w:szCs w:val="19"/>
        </w:rPr>
      </w:pPr>
      <w:r>
        <w:rPr>
          <w:spacing w:val="13"/>
          <w:sz w:val="19"/>
          <w:szCs w:val="19"/>
        </w:rPr>
        <w:t>●应采用加密或其他保护措施实现鉴别信息的传输保密性，等级保护第三级以上系统，还</w:t>
      </w:r>
      <w:r>
        <w:rPr>
          <w:sz w:val="19"/>
          <w:szCs w:val="19"/>
        </w:rPr>
        <w:t xml:space="preserve"> </w:t>
      </w:r>
      <w:r>
        <w:rPr>
          <w:spacing w:val="9"/>
          <w:sz w:val="19"/>
          <w:szCs w:val="19"/>
        </w:rPr>
        <w:t>应采用加密或其他保护措施实现系统管理数据、鉴别信息和重要业务数据传输保密性。</w:t>
      </w:r>
    </w:p>
    <w:p w14:paraId="50F2F9A9">
      <w:pPr>
        <w:pStyle w:val="2"/>
        <w:spacing w:before="96" w:line="219" w:lineRule="auto"/>
        <w:ind w:left="427"/>
        <w:rPr>
          <w:sz w:val="19"/>
          <w:szCs w:val="19"/>
        </w:rPr>
      </w:pPr>
      <w:r>
        <w:rPr>
          <w:spacing w:val="10"/>
          <w:sz w:val="19"/>
          <w:szCs w:val="19"/>
        </w:rPr>
        <w:t>(3)备份和恢复。具体包括：</w:t>
      </w:r>
    </w:p>
    <w:p w14:paraId="0C6D3E3B">
      <w:pPr>
        <w:pStyle w:val="2"/>
        <w:spacing w:before="63" w:line="270" w:lineRule="auto"/>
        <w:ind w:left="686" w:right="290" w:hanging="259"/>
        <w:rPr>
          <w:sz w:val="19"/>
          <w:szCs w:val="19"/>
        </w:rPr>
      </w:pPr>
      <w:r>
        <w:rPr>
          <w:spacing w:val="13"/>
          <w:sz w:val="19"/>
          <w:szCs w:val="19"/>
        </w:rPr>
        <w:t>●应能够对重要信息进行备份和恢复，等级保护第三级以上系统，应提供本地数据备份与</w:t>
      </w:r>
      <w:r>
        <w:rPr>
          <w:spacing w:val="7"/>
          <w:sz w:val="19"/>
          <w:szCs w:val="19"/>
        </w:rPr>
        <w:t xml:space="preserve"> </w:t>
      </w:r>
      <w:r>
        <w:rPr>
          <w:spacing w:val="8"/>
          <w:sz w:val="19"/>
          <w:szCs w:val="19"/>
        </w:rPr>
        <w:t>恢复功能，完全数据备份至少每天一次，备份介质场外</w:t>
      </w:r>
      <w:r>
        <w:rPr>
          <w:spacing w:val="7"/>
          <w:sz w:val="19"/>
          <w:szCs w:val="19"/>
        </w:rPr>
        <w:t>存放；</w:t>
      </w:r>
    </w:p>
    <w:p w14:paraId="56EF0AF5">
      <w:pPr>
        <w:pStyle w:val="2"/>
        <w:spacing w:before="85" w:line="270" w:lineRule="auto"/>
        <w:ind w:left="686" w:right="298" w:hanging="259"/>
        <w:rPr>
          <w:sz w:val="19"/>
          <w:szCs w:val="19"/>
        </w:rPr>
      </w:pPr>
      <w:r>
        <w:rPr>
          <w:spacing w:val="13"/>
          <w:sz w:val="19"/>
          <w:szCs w:val="19"/>
        </w:rPr>
        <w:t>●等级保护第三级以上系统，应提供异地数据备份功能，利用通信网络将关键数据定时批</w:t>
      </w:r>
      <w:r>
        <w:rPr>
          <w:sz w:val="19"/>
          <w:szCs w:val="19"/>
        </w:rPr>
        <w:t xml:space="preserve"> </w:t>
      </w:r>
      <w:r>
        <w:rPr>
          <w:spacing w:val="4"/>
          <w:sz w:val="19"/>
          <w:szCs w:val="19"/>
        </w:rPr>
        <w:t>量传送至备用场地；</w:t>
      </w:r>
    </w:p>
    <w:p w14:paraId="137FA07D">
      <w:pPr>
        <w:pStyle w:val="2"/>
        <w:spacing w:before="83" w:line="281" w:lineRule="auto"/>
        <w:ind w:left="686" w:right="293" w:hanging="259"/>
        <w:rPr>
          <w:sz w:val="19"/>
          <w:szCs w:val="19"/>
        </w:rPr>
      </w:pPr>
      <w:r>
        <w:rPr>
          <w:spacing w:val="13"/>
          <w:sz w:val="19"/>
          <w:szCs w:val="19"/>
        </w:rPr>
        <w:t>●应提供关键网络设备、通信线路和数据处理系统的硬件冗余，保证系统的可用性，等级</w:t>
      </w:r>
      <w:r>
        <w:rPr>
          <w:spacing w:val="4"/>
          <w:sz w:val="19"/>
          <w:szCs w:val="19"/>
        </w:rPr>
        <w:t xml:space="preserve"> </w:t>
      </w:r>
      <w:r>
        <w:rPr>
          <w:spacing w:val="11"/>
          <w:sz w:val="19"/>
          <w:szCs w:val="19"/>
        </w:rPr>
        <w:t>保护第三级以上系统，应提供主要网络设备、通信线路和数据处理系统的硬件冗余，保</w:t>
      </w:r>
      <w:r>
        <w:rPr>
          <w:spacing w:val="17"/>
          <w:sz w:val="19"/>
          <w:szCs w:val="19"/>
        </w:rPr>
        <w:t xml:space="preserve"> </w:t>
      </w:r>
      <w:r>
        <w:rPr>
          <w:spacing w:val="4"/>
          <w:sz w:val="19"/>
          <w:szCs w:val="19"/>
        </w:rPr>
        <w:t>证系统的高可用性；</w:t>
      </w:r>
    </w:p>
    <w:p w14:paraId="721B814A">
      <w:pPr>
        <w:pStyle w:val="2"/>
        <w:spacing w:before="84" w:line="270" w:lineRule="auto"/>
        <w:ind w:left="686" w:right="288" w:hanging="259"/>
        <w:rPr>
          <w:sz w:val="19"/>
          <w:szCs w:val="19"/>
        </w:rPr>
      </w:pPr>
      <w:r>
        <w:rPr>
          <w:spacing w:val="13"/>
          <w:sz w:val="19"/>
          <w:szCs w:val="19"/>
        </w:rPr>
        <w:t>●等级保护第三级以上系统，应采用冗余技术设计网络拓扑结构，避免关键节点存在单点</w:t>
      </w:r>
      <w:r>
        <w:rPr>
          <w:spacing w:val="9"/>
          <w:sz w:val="19"/>
          <w:szCs w:val="19"/>
        </w:rPr>
        <w:t xml:space="preserve"> </w:t>
      </w:r>
      <w:r>
        <w:rPr>
          <w:spacing w:val="5"/>
          <w:sz w:val="19"/>
          <w:szCs w:val="19"/>
        </w:rPr>
        <w:t>故障。</w:t>
      </w:r>
    </w:p>
    <w:p w14:paraId="4546F97E">
      <w:pPr>
        <w:spacing w:line="270" w:lineRule="auto"/>
        <w:rPr>
          <w:sz w:val="19"/>
          <w:szCs w:val="19"/>
        </w:rPr>
        <w:sectPr>
          <w:pgSz w:w="10290" w:h="13300"/>
          <w:pgMar w:top="339" w:right="504" w:bottom="400" w:left="1142" w:header="0" w:footer="0" w:gutter="0"/>
          <w:cols w:space="720" w:num="1"/>
        </w:sectPr>
      </w:pPr>
    </w:p>
    <w:p w14:paraId="2A589F74">
      <w:pPr>
        <w:spacing w:line="258" w:lineRule="auto"/>
        <w:rPr>
          <w:rFonts w:ascii="Arial"/>
          <w:sz w:val="21"/>
        </w:rPr>
      </w:pPr>
    </w:p>
    <w:p w14:paraId="13BB6455">
      <w:pPr>
        <w:spacing w:line="258" w:lineRule="auto"/>
        <w:rPr>
          <w:rFonts w:ascii="Arial"/>
          <w:sz w:val="21"/>
        </w:rPr>
      </w:pPr>
    </w:p>
    <w:p w14:paraId="192B1C35">
      <w:pPr>
        <w:spacing w:line="258" w:lineRule="auto"/>
        <w:rPr>
          <w:rFonts w:ascii="Arial"/>
          <w:sz w:val="21"/>
        </w:rPr>
      </w:pPr>
    </w:p>
    <w:p w14:paraId="285A404A">
      <w:pPr>
        <w:spacing w:before="130"/>
        <w:outlineLvl w:val="1"/>
        <w:rPr>
          <w:sz w:val="40"/>
          <w:szCs w:val="40"/>
        </w:rPr>
      </w:pPr>
      <w:bookmarkStart w:id="774" w:name="bookmark759"/>
      <w:bookmarkEnd w:id="774"/>
      <w:r>
        <w:rPr>
          <w:rFonts w:ascii="黑体" w:hAnsi="黑体" w:eastAsia="黑体" w:cs="黑体"/>
          <w:color w:val="0081E5"/>
          <w:position w:val="-4"/>
          <w:sz w:val="40"/>
          <w:szCs w:val="40"/>
        </w:rPr>
        <w:drawing>
          <wp:inline distT="0" distB="0" distL="0" distR="0">
            <wp:extent cx="641350" cy="273050"/>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370"/>
                    <a:stretch>
                      <a:fillRect/>
                    </a:stretch>
                  </pic:blipFill>
                  <pic:spPr>
                    <a:xfrm>
                      <a:off x="0" y="0"/>
                      <a:ext cx="641361" cy="273053"/>
                    </a:xfrm>
                    <a:prstGeom prst="rect">
                      <a:avLst/>
                    </a:prstGeom>
                  </pic:spPr>
                </pic:pic>
              </a:graphicData>
            </a:graphic>
          </wp:inline>
        </w:drawing>
      </w:r>
      <w:r>
        <w:rPr>
          <w:rFonts w:ascii="黑体" w:hAnsi="黑体" w:eastAsia="黑体" w:cs="黑体"/>
          <w:color w:val="0081E5"/>
          <w:spacing w:val="19"/>
          <w:sz w:val="40"/>
          <w:szCs w:val="40"/>
        </w:rPr>
        <w:t xml:space="preserve">     </w:t>
      </w:r>
      <w:r>
        <w:rPr>
          <w:rFonts w:ascii="黑体" w:hAnsi="黑体" w:eastAsia="黑体" w:cs="黑体"/>
          <w:b/>
          <w:bCs/>
          <w:color w:val="0081E5"/>
          <w:spacing w:val="12"/>
          <w:sz w:val="40"/>
          <w:szCs w:val="40"/>
        </w:rPr>
        <w:t>第25章</w:t>
      </w:r>
      <w:r>
        <w:rPr>
          <w:rFonts w:ascii="黑体" w:hAnsi="黑体" w:eastAsia="黑体" w:cs="黑体"/>
          <w:color w:val="0081E5"/>
          <w:spacing w:val="3"/>
          <w:sz w:val="40"/>
          <w:szCs w:val="40"/>
        </w:rPr>
        <w:t xml:space="preserve">  </w:t>
      </w:r>
      <w:r>
        <w:rPr>
          <w:rFonts w:ascii="黑体" w:hAnsi="黑体" w:eastAsia="黑体" w:cs="黑体"/>
          <w:b/>
          <w:bCs/>
          <w:color w:val="0081E5"/>
          <w:spacing w:val="12"/>
          <w:sz w:val="40"/>
          <w:szCs w:val="40"/>
        </w:rPr>
        <w:t>运行维护监理</w:t>
      </w:r>
      <w:r>
        <w:rPr>
          <w:rFonts w:ascii="黑体" w:hAnsi="黑体" w:eastAsia="黑体" w:cs="黑体"/>
          <w:color w:val="0081E5"/>
          <w:spacing w:val="9"/>
          <w:sz w:val="40"/>
          <w:szCs w:val="40"/>
        </w:rPr>
        <w:t xml:space="preserve">     </w:t>
      </w:r>
      <w:r>
        <w:rPr>
          <w:position w:val="-4"/>
          <w:sz w:val="40"/>
          <w:szCs w:val="40"/>
        </w:rPr>
        <w:drawing>
          <wp:inline distT="0" distB="0" distL="0" distR="0">
            <wp:extent cx="635000" cy="253365"/>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371"/>
                    <a:stretch>
                      <a:fillRect/>
                    </a:stretch>
                  </pic:blipFill>
                  <pic:spPr>
                    <a:xfrm>
                      <a:off x="0" y="0"/>
                      <a:ext cx="635005" cy="253993"/>
                    </a:xfrm>
                    <a:prstGeom prst="rect">
                      <a:avLst/>
                    </a:prstGeom>
                  </pic:spPr>
                </pic:pic>
              </a:graphicData>
            </a:graphic>
          </wp:inline>
        </w:drawing>
      </w:r>
    </w:p>
    <w:p w14:paraId="7EC74AA2">
      <w:pPr>
        <w:spacing w:line="241" w:lineRule="auto"/>
        <w:rPr>
          <w:rFonts w:ascii="Arial"/>
          <w:sz w:val="21"/>
        </w:rPr>
      </w:pPr>
    </w:p>
    <w:p w14:paraId="002422DC">
      <w:pPr>
        <w:spacing w:line="242" w:lineRule="auto"/>
        <w:rPr>
          <w:rFonts w:ascii="Arial"/>
          <w:sz w:val="21"/>
        </w:rPr>
      </w:pPr>
    </w:p>
    <w:p w14:paraId="4E437AE0">
      <w:pPr>
        <w:spacing w:line="242" w:lineRule="auto"/>
        <w:rPr>
          <w:rFonts w:ascii="Arial"/>
          <w:sz w:val="21"/>
        </w:rPr>
      </w:pPr>
    </w:p>
    <w:p w14:paraId="00CE5314">
      <w:pPr>
        <w:pStyle w:val="2"/>
        <w:spacing w:before="62" w:line="306" w:lineRule="auto"/>
        <w:ind w:firstLine="410"/>
        <w:jc w:val="both"/>
        <w:rPr>
          <w:sz w:val="19"/>
          <w:szCs w:val="19"/>
        </w:rPr>
      </w:pPr>
      <w:r>
        <w:rPr>
          <w:spacing w:val="15"/>
          <w:sz w:val="19"/>
          <w:szCs w:val="19"/>
        </w:rPr>
        <w:t>随着数字技术日益普及以及企业对于信息化的需求不断提高，</w:t>
      </w:r>
      <w:r>
        <w:rPr>
          <w:spacing w:val="14"/>
          <w:sz w:val="19"/>
          <w:szCs w:val="19"/>
        </w:rPr>
        <w:t>保持信息系统的稳定运行、</w:t>
      </w:r>
      <w:r>
        <w:rPr>
          <w:sz w:val="19"/>
          <w:szCs w:val="19"/>
        </w:rPr>
        <w:t xml:space="preserve"> </w:t>
      </w:r>
      <w:r>
        <w:rPr>
          <w:spacing w:val="13"/>
          <w:sz w:val="19"/>
          <w:szCs w:val="19"/>
        </w:rPr>
        <w:t>安全和高效显得尤为重要。本章对运行维护监理服务过程的具体内容予以解读，分小节、分重</w:t>
      </w:r>
      <w:r>
        <w:rPr>
          <w:spacing w:val="5"/>
          <w:sz w:val="19"/>
          <w:szCs w:val="19"/>
        </w:rPr>
        <w:t xml:space="preserve"> </w:t>
      </w:r>
      <w:r>
        <w:rPr>
          <w:spacing w:val="13"/>
          <w:sz w:val="19"/>
          <w:szCs w:val="19"/>
        </w:rPr>
        <w:t>点地提出分析、指导建议，重点讲述监理服务过程中的关键监理活动、监理内容、重点运行维</w:t>
      </w:r>
      <w:r>
        <w:rPr>
          <w:spacing w:val="4"/>
          <w:sz w:val="19"/>
          <w:szCs w:val="19"/>
        </w:rPr>
        <w:t xml:space="preserve"> </w:t>
      </w:r>
      <w:r>
        <w:rPr>
          <w:spacing w:val="13"/>
          <w:sz w:val="19"/>
          <w:szCs w:val="19"/>
        </w:rPr>
        <w:t>护服务的监理要点，以及监理主要输出文档等，帮助监理人员开展运行维护监理工作。同时对</w:t>
      </w:r>
      <w:r>
        <w:rPr>
          <w:spacing w:val="4"/>
          <w:sz w:val="19"/>
          <w:szCs w:val="19"/>
        </w:rPr>
        <w:t xml:space="preserve"> </w:t>
      </w:r>
      <w:r>
        <w:rPr>
          <w:spacing w:val="13"/>
          <w:sz w:val="19"/>
          <w:szCs w:val="19"/>
        </w:rPr>
        <w:t>监理机构在实践过程中编制监理大纲、监理规划和监理实施细则，以及项目的作业指导书或监</w:t>
      </w:r>
      <w:r>
        <w:rPr>
          <w:spacing w:val="4"/>
          <w:sz w:val="19"/>
          <w:szCs w:val="19"/>
        </w:rPr>
        <w:t xml:space="preserve"> </w:t>
      </w:r>
      <w:r>
        <w:rPr>
          <w:spacing w:val="5"/>
          <w:sz w:val="19"/>
          <w:szCs w:val="19"/>
        </w:rPr>
        <w:t>理文档起到必要的指导作用。</w:t>
      </w:r>
    </w:p>
    <w:p w14:paraId="4BA1A6B3">
      <w:pPr>
        <w:pStyle w:val="2"/>
        <w:spacing w:before="36" w:line="279" w:lineRule="auto"/>
        <w:ind w:right="67" w:firstLine="410"/>
        <w:rPr>
          <w:sz w:val="19"/>
          <w:szCs w:val="19"/>
        </w:rPr>
      </w:pPr>
      <w:r>
        <w:rPr>
          <w:spacing w:val="13"/>
          <w:sz w:val="19"/>
          <w:szCs w:val="19"/>
        </w:rPr>
        <w:t>由于运行维护监理相较工程建设监理具有一定的独立性和特殊性，本章将对运行维护</w:t>
      </w:r>
      <w:r>
        <w:rPr>
          <w:spacing w:val="12"/>
          <w:sz w:val="19"/>
          <w:szCs w:val="19"/>
        </w:rPr>
        <w:t>监理</w:t>
      </w:r>
      <w:r>
        <w:rPr>
          <w:sz w:val="19"/>
          <w:szCs w:val="19"/>
        </w:rPr>
        <w:t xml:space="preserve"> </w:t>
      </w:r>
      <w:r>
        <w:rPr>
          <w:spacing w:val="8"/>
          <w:sz w:val="19"/>
          <w:szCs w:val="19"/>
        </w:rPr>
        <w:t>的控制活动、管理要点和必要的工作约束等进行</w:t>
      </w:r>
      <w:r>
        <w:rPr>
          <w:spacing w:val="7"/>
          <w:sz w:val="19"/>
          <w:szCs w:val="19"/>
        </w:rPr>
        <w:t>重点说明。</w:t>
      </w:r>
    </w:p>
    <w:p w14:paraId="3353F8B2">
      <w:pPr>
        <w:spacing w:line="288" w:lineRule="auto"/>
        <w:rPr>
          <w:rFonts w:ascii="Arial"/>
          <w:sz w:val="21"/>
        </w:rPr>
      </w:pPr>
    </w:p>
    <w:p w14:paraId="79F81982">
      <w:pPr>
        <w:pStyle w:val="2"/>
        <w:spacing w:before="94" w:line="221" w:lineRule="auto"/>
        <w:ind w:left="3"/>
        <w:rPr>
          <w:rFonts w:ascii="黑体" w:hAnsi="黑体" w:eastAsia="黑体" w:cs="黑体"/>
          <w:sz w:val="29"/>
          <w:szCs w:val="29"/>
        </w:rPr>
      </w:pPr>
      <w:r>
        <w:rPr>
          <w:b/>
          <w:bCs/>
          <w:color w:val="0075DD"/>
          <w:spacing w:val="-16"/>
          <w:sz w:val="29"/>
          <w:szCs w:val="29"/>
        </w:rPr>
        <w:t>25.1</w:t>
      </w:r>
      <w:r>
        <w:rPr>
          <w:color w:val="0075DD"/>
          <w:spacing w:val="11"/>
          <w:sz w:val="29"/>
          <w:szCs w:val="29"/>
        </w:rPr>
        <w:t xml:space="preserve">  </w:t>
      </w:r>
      <w:r>
        <w:rPr>
          <w:rFonts w:ascii="黑体" w:hAnsi="黑体" w:eastAsia="黑体" w:cs="黑体"/>
          <w:b/>
          <w:bCs/>
          <w:color w:val="0075DD"/>
          <w:spacing w:val="-16"/>
          <w:sz w:val="29"/>
          <w:szCs w:val="29"/>
        </w:rPr>
        <w:t>概述</w:t>
      </w:r>
    </w:p>
    <w:p w14:paraId="4AB6D107">
      <w:pPr>
        <w:pStyle w:val="2"/>
        <w:spacing w:before="275" w:line="293" w:lineRule="auto"/>
        <w:ind w:right="66" w:firstLine="410"/>
        <w:jc w:val="both"/>
        <w:rPr>
          <w:sz w:val="19"/>
          <w:szCs w:val="19"/>
        </w:rPr>
      </w:pPr>
      <w:r>
        <w:rPr>
          <w:spacing w:val="13"/>
          <w:sz w:val="19"/>
          <w:szCs w:val="19"/>
        </w:rPr>
        <w:t>我国信息化经过长期的规划、建设，取得了丰硕的成果，大量信息系统进入全面应用及维</w:t>
      </w:r>
      <w:r>
        <w:rPr>
          <w:sz w:val="19"/>
          <w:szCs w:val="19"/>
        </w:rPr>
        <w:t xml:space="preserve"> </w:t>
      </w:r>
      <w:r>
        <w:rPr>
          <w:spacing w:val="13"/>
          <w:sz w:val="19"/>
          <w:szCs w:val="19"/>
        </w:rPr>
        <w:t>护阶段，各级、各部门信息系统大多处在信息化更新建设、升级改造和运行维护同步进行的新</w:t>
      </w:r>
      <w:r>
        <w:rPr>
          <w:spacing w:val="4"/>
          <w:sz w:val="19"/>
          <w:szCs w:val="19"/>
        </w:rPr>
        <w:t xml:space="preserve"> 时期。</w:t>
      </w:r>
    </w:p>
    <w:p w14:paraId="546DF510">
      <w:pPr>
        <w:pStyle w:val="2"/>
        <w:spacing w:before="24" w:line="303" w:lineRule="auto"/>
        <w:ind w:right="65" w:firstLine="410"/>
        <w:jc w:val="both"/>
        <w:rPr>
          <w:sz w:val="19"/>
          <w:szCs w:val="19"/>
        </w:rPr>
      </w:pPr>
      <w:r>
        <w:rPr>
          <w:spacing w:val="24"/>
          <w:sz w:val="19"/>
          <w:szCs w:val="19"/>
        </w:rPr>
        <w:t>信息系统运行维护，特指新建或升级改造类信息化项目实施完成后的系统，在结束其</w:t>
      </w:r>
      <w:r>
        <w:rPr>
          <w:sz w:val="19"/>
          <w:szCs w:val="19"/>
        </w:rPr>
        <w:t xml:space="preserve"> </w:t>
      </w:r>
      <w:r>
        <w:rPr>
          <w:spacing w:val="24"/>
          <w:sz w:val="19"/>
          <w:szCs w:val="19"/>
        </w:rPr>
        <w:t>试运行周期后，完成必要的项目验收手续、正式</w:t>
      </w:r>
      <w:r>
        <w:rPr>
          <w:spacing w:val="23"/>
          <w:sz w:val="19"/>
          <w:szCs w:val="19"/>
        </w:rPr>
        <w:t>进入生产环境交付使用阶段的维护和保养</w:t>
      </w:r>
      <w:r>
        <w:rPr>
          <w:sz w:val="19"/>
          <w:szCs w:val="19"/>
        </w:rPr>
        <w:t xml:space="preserve"> </w:t>
      </w:r>
      <w:r>
        <w:rPr>
          <w:spacing w:val="5"/>
          <w:sz w:val="19"/>
          <w:szCs w:val="19"/>
        </w:rPr>
        <w:t>工作。</w:t>
      </w:r>
    </w:p>
    <w:p w14:paraId="3C019201">
      <w:pPr>
        <w:pStyle w:val="2"/>
        <w:spacing w:before="25" w:line="278" w:lineRule="auto"/>
        <w:ind w:right="45" w:firstLine="410"/>
        <w:rPr>
          <w:sz w:val="19"/>
          <w:szCs w:val="19"/>
        </w:rPr>
      </w:pPr>
      <w:r>
        <w:rPr>
          <w:spacing w:val="14"/>
          <w:sz w:val="19"/>
          <w:szCs w:val="19"/>
        </w:rPr>
        <w:t>信息系统运行维护服务对象通常分为基础设施、</w:t>
      </w:r>
      <w:r>
        <w:rPr>
          <w:spacing w:val="13"/>
          <w:sz w:val="19"/>
          <w:szCs w:val="19"/>
        </w:rPr>
        <w:t>应用软件、数据、信息安全四类，具体包</w:t>
      </w:r>
      <w:r>
        <w:rPr>
          <w:sz w:val="19"/>
          <w:szCs w:val="19"/>
        </w:rPr>
        <w:t xml:space="preserve"> </w:t>
      </w:r>
      <w:r>
        <w:rPr>
          <w:spacing w:val="2"/>
          <w:sz w:val="19"/>
          <w:szCs w:val="19"/>
        </w:rPr>
        <w:t>括如下内容：</w:t>
      </w:r>
    </w:p>
    <w:p w14:paraId="44F2A5ED">
      <w:pPr>
        <w:pStyle w:val="2"/>
        <w:spacing w:before="49" w:line="221" w:lineRule="auto"/>
        <w:ind w:left="410"/>
        <w:rPr>
          <w:sz w:val="19"/>
          <w:szCs w:val="19"/>
        </w:rPr>
      </w:pPr>
      <w:r>
        <w:rPr>
          <w:spacing w:val="11"/>
          <w:sz w:val="19"/>
          <w:szCs w:val="19"/>
        </w:rPr>
        <w:t>(1)基础设施。具体包括：</w:t>
      </w:r>
    </w:p>
    <w:p w14:paraId="73FF025C">
      <w:pPr>
        <w:pStyle w:val="2"/>
        <w:spacing w:before="90" w:line="219" w:lineRule="auto"/>
        <w:ind w:left="410"/>
        <w:rPr>
          <w:sz w:val="19"/>
          <w:szCs w:val="19"/>
        </w:rPr>
      </w:pPr>
      <w:r>
        <w:rPr>
          <w:spacing w:val="11"/>
          <w:sz w:val="19"/>
          <w:szCs w:val="19"/>
        </w:rPr>
        <w:t>●为软件运行提供基础运行环境的设施，例如综合布线</w:t>
      </w:r>
      <w:r>
        <w:rPr>
          <w:spacing w:val="10"/>
          <w:sz w:val="19"/>
          <w:szCs w:val="19"/>
        </w:rPr>
        <w:t>系统、电子设备机房等；</w:t>
      </w:r>
    </w:p>
    <w:p w14:paraId="52992A53">
      <w:pPr>
        <w:pStyle w:val="2"/>
        <w:spacing w:before="76" w:line="275" w:lineRule="auto"/>
        <w:ind w:left="699" w:right="55" w:hanging="289"/>
        <w:rPr>
          <w:sz w:val="19"/>
          <w:szCs w:val="19"/>
        </w:rPr>
      </w:pPr>
      <w:r>
        <w:rPr>
          <w:spacing w:val="13"/>
          <w:sz w:val="19"/>
          <w:szCs w:val="19"/>
        </w:rPr>
        <w:t>●为软件提供安全网络环境的设备设施，例如路由器、交换机、防火墙、入侵检测器、负</w:t>
      </w:r>
      <w:r>
        <w:rPr>
          <w:spacing w:val="11"/>
          <w:sz w:val="19"/>
          <w:szCs w:val="19"/>
        </w:rPr>
        <w:t xml:space="preserve"> </w:t>
      </w:r>
      <w:r>
        <w:rPr>
          <w:spacing w:val="4"/>
          <w:sz w:val="19"/>
          <w:szCs w:val="19"/>
        </w:rPr>
        <w:t>载均衡器、电信线路等；</w:t>
      </w:r>
    </w:p>
    <w:p w14:paraId="75BDDA83">
      <w:pPr>
        <w:pStyle w:val="2"/>
        <w:spacing w:before="93" w:line="219" w:lineRule="auto"/>
        <w:ind w:left="410"/>
        <w:rPr>
          <w:sz w:val="19"/>
          <w:szCs w:val="19"/>
        </w:rPr>
      </w:pPr>
      <w:r>
        <w:rPr>
          <w:spacing w:val="10"/>
          <w:sz w:val="19"/>
          <w:szCs w:val="19"/>
        </w:rPr>
        <w:t>●计算机设备，例如服务器、存储设备等；</w:t>
      </w:r>
    </w:p>
    <w:p w14:paraId="1F9D9B7B">
      <w:pPr>
        <w:pStyle w:val="2"/>
        <w:spacing w:before="94" w:line="261" w:lineRule="auto"/>
        <w:ind w:left="689" w:right="42" w:hanging="279"/>
        <w:rPr>
          <w:sz w:val="19"/>
          <w:szCs w:val="19"/>
        </w:rPr>
      </w:pPr>
      <w:r>
        <w:rPr>
          <w:spacing w:val="14"/>
          <w:sz w:val="19"/>
          <w:szCs w:val="19"/>
        </w:rPr>
        <w:t>●安装运行在计算机硬件中、支撑应用软件运行的系统</w:t>
      </w:r>
      <w:r>
        <w:rPr>
          <w:spacing w:val="13"/>
          <w:sz w:val="19"/>
          <w:szCs w:val="19"/>
        </w:rPr>
        <w:t>软件，例如操作系统软件、数据库</w:t>
      </w:r>
      <w:r>
        <w:rPr>
          <w:sz w:val="19"/>
          <w:szCs w:val="19"/>
        </w:rPr>
        <w:t xml:space="preserve"> </w:t>
      </w:r>
      <w:r>
        <w:rPr>
          <w:spacing w:val="8"/>
          <w:sz w:val="19"/>
          <w:szCs w:val="19"/>
        </w:rPr>
        <w:t>软件、中间件等。</w:t>
      </w:r>
    </w:p>
    <w:p w14:paraId="7E9FC7A9">
      <w:pPr>
        <w:pStyle w:val="2"/>
        <w:spacing w:before="105" w:line="219" w:lineRule="auto"/>
        <w:ind w:left="410"/>
        <w:rPr>
          <w:sz w:val="19"/>
          <w:szCs w:val="19"/>
        </w:rPr>
      </w:pPr>
      <w:r>
        <w:rPr>
          <w:spacing w:val="11"/>
          <w:sz w:val="19"/>
          <w:szCs w:val="19"/>
        </w:rPr>
        <w:t>(2)应用软件。具体包括：</w:t>
      </w:r>
    </w:p>
    <w:p w14:paraId="6F6E36CC">
      <w:pPr>
        <w:pStyle w:val="2"/>
        <w:spacing w:before="74" w:line="219" w:lineRule="auto"/>
        <w:ind w:left="410"/>
        <w:rPr>
          <w:sz w:val="19"/>
          <w:szCs w:val="19"/>
        </w:rPr>
      </w:pPr>
      <w:r>
        <w:rPr>
          <w:spacing w:val="10"/>
          <w:sz w:val="19"/>
          <w:szCs w:val="19"/>
        </w:rPr>
        <w:t>●通用软件，例如企业管理软件、辅助设计与辅助</w:t>
      </w:r>
      <w:r>
        <w:rPr>
          <w:spacing w:val="9"/>
          <w:sz w:val="19"/>
          <w:szCs w:val="19"/>
        </w:rPr>
        <w:t>制造软件等；</w:t>
      </w:r>
    </w:p>
    <w:p w14:paraId="75E58A5C">
      <w:pPr>
        <w:pStyle w:val="2"/>
        <w:spacing w:before="95" w:line="219" w:lineRule="auto"/>
        <w:ind w:left="410"/>
        <w:rPr>
          <w:sz w:val="19"/>
          <w:szCs w:val="19"/>
        </w:rPr>
      </w:pPr>
      <w:r>
        <w:rPr>
          <w:spacing w:val="11"/>
          <w:sz w:val="19"/>
          <w:szCs w:val="19"/>
        </w:rPr>
        <w:t>●行业应用软件，例如通信软件、金融财税软件、工业</w:t>
      </w:r>
      <w:r>
        <w:rPr>
          <w:spacing w:val="10"/>
          <w:sz w:val="19"/>
          <w:szCs w:val="19"/>
        </w:rPr>
        <w:t>控制软件等。</w:t>
      </w:r>
    </w:p>
    <w:p w14:paraId="750F3971">
      <w:pPr>
        <w:pStyle w:val="2"/>
        <w:spacing w:before="94" w:line="219" w:lineRule="auto"/>
        <w:ind w:left="410"/>
        <w:rPr>
          <w:sz w:val="19"/>
          <w:szCs w:val="19"/>
        </w:rPr>
      </w:pPr>
      <w:r>
        <w:rPr>
          <w:spacing w:val="13"/>
          <w:sz w:val="19"/>
          <w:szCs w:val="19"/>
        </w:rPr>
        <w:t>(3)数据。具体包括：</w:t>
      </w:r>
    </w:p>
    <w:p w14:paraId="14E0461D">
      <w:pPr>
        <w:pStyle w:val="2"/>
        <w:spacing w:before="85" w:line="219" w:lineRule="auto"/>
        <w:ind w:left="410"/>
        <w:rPr>
          <w:sz w:val="19"/>
          <w:szCs w:val="19"/>
        </w:rPr>
      </w:pPr>
      <w:r>
        <w:rPr>
          <w:spacing w:val="11"/>
          <w:sz w:val="19"/>
          <w:szCs w:val="19"/>
        </w:rPr>
        <w:t>●在数据库管理系统中存储和操作，与业务、配置和日志相关的结构化数据；</w:t>
      </w:r>
    </w:p>
    <w:p w14:paraId="5D863404">
      <w:pPr>
        <w:pStyle w:val="2"/>
        <w:spacing w:before="93" w:line="219" w:lineRule="auto"/>
        <w:ind w:left="410"/>
        <w:rPr>
          <w:sz w:val="19"/>
          <w:szCs w:val="19"/>
        </w:rPr>
      </w:pPr>
      <w:r>
        <w:rPr>
          <w:spacing w:val="10"/>
          <w:sz w:val="19"/>
          <w:szCs w:val="19"/>
        </w:rPr>
        <w:t>●</w:t>
      </w:r>
      <w:r>
        <w:rPr>
          <w:spacing w:val="-42"/>
          <w:sz w:val="19"/>
          <w:szCs w:val="19"/>
        </w:rPr>
        <w:t xml:space="preserve"> </w:t>
      </w:r>
      <w:r>
        <w:rPr>
          <w:spacing w:val="10"/>
          <w:sz w:val="19"/>
          <w:szCs w:val="19"/>
        </w:rPr>
        <w:t>以计算机文件形式存储和操作，与业务、配置和日志相关的非结构化数据。</w:t>
      </w:r>
    </w:p>
    <w:p w14:paraId="2CFE1F7A">
      <w:pPr>
        <w:spacing w:line="219" w:lineRule="auto"/>
        <w:rPr>
          <w:sz w:val="19"/>
          <w:szCs w:val="19"/>
        </w:rPr>
        <w:sectPr>
          <w:pgSz w:w="10320" w:h="13400"/>
          <w:pgMar w:top="400" w:right="1045" w:bottom="400" w:left="879" w:header="0" w:footer="0" w:gutter="0"/>
          <w:cols w:space="720" w:num="1"/>
        </w:sectPr>
      </w:pPr>
    </w:p>
    <w:p w14:paraId="3C0BFFB0">
      <w:pPr>
        <w:pStyle w:val="2"/>
        <w:jc w:val="right"/>
        <w:rPr>
          <w:sz w:val="19"/>
          <w:szCs w:val="19"/>
        </w:rPr>
      </w:pPr>
      <w:r>
        <w:rPr>
          <w:spacing w:val="11"/>
          <w:sz w:val="19"/>
          <w:szCs w:val="19"/>
        </w:rPr>
        <w:t xml:space="preserve">第25章运行维护监理      </w:t>
      </w:r>
      <w:r>
        <w:rPr>
          <w:rFonts w:ascii="Times New Roman" w:hAnsi="Times New Roman" w:eastAsia="Times New Roman" w:cs="Times New Roman"/>
          <w:spacing w:val="11"/>
          <w:sz w:val="19"/>
          <w:szCs w:val="19"/>
        </w:rPr>
        <w:t>579</w:t>
      </w:r>
      <w:r>
        <w:rPr>
          <w:rFonts w:ascii="Times New Roman" w:hAnsi="Times New Roman" w:eastAsia="Times New Roman" w:cs="Times New Roman"/>
          <w:spacing w:val="47"/>
          <w:w w:val="101"/>
          <w:sz w:val="19"/>
          <w:szCs w:val="19"/>
        </w:rPr>
        <w:t xml:space="preserve"> </w:t>
      </w:r>
      <w:r>
        <w:rPr>
          <w:position w:val="-10"/>
          <w:sz w:val="19"/>
          <w:szCs w:val="19"/>
        </w:rPr>
        <w:drawing>
          <wp:inline distT="0" distB="0" distL="0" distR="0">
            <wp:extent cx="304800" cy="196215"/>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372"/>
                    <a:stretch>
                      <a:fillRect/>
                    </a:stretch>
                  </pic:blipFill>
                  <pic:spPr>
                    <a:xfrm>
                      <a:off x="0" y="0"/>
                      <a:ext cx="304818" cy="196843"/>
                    </a:xfrm>
                    <a:prstGeom prst="rect">
                      <a:avLst/>
                    </a:prstGeom>
                  </pic:spPr>
                </pic:pic>
              </a:graphicData>
            </a:graphic>
          </wp:inline>
        </w:drawing>
      </w:r>
    </w:p>
    <w:p w14:paraId="369B8E44">
      <w:pPr>
        <w:spacing w:line="294" w:lineRule="auto"/>
        <w:rPr>
          <w:rFonts w:ascii="Arial"/>
          <w:sz w:val="21"/>
        </w:rPr>
      </w:pPr>
    </w:p>
    <w:p w14:paraId="4475BD84">
      <w:pPr>
        <w:pStyle w:val="2"/>
        <w:spacing w:before="62" w:line="219" w:lineRule="auto"/>
        <w:ind w:left="410"/>
        <w:rPr>
          <w:sz w:val="19"/>
          <w:szCs w:val="19"/>
        </w:rPr>
      </w:pPr>
      <w:r>
        <w:rPr>
          <w:spacing w:val="12"/>
          <w:sz w:val="19"/>
          <w:szCs w:val="19"/>
        </w:rPr>
        <w:t>(4)信息安全。具体包括：</w:t>
      </w:r>
    </w:p>
    <w:p w14:paraId="21A50EFA">
      <w:pPr>
        <w:pStyle w:val="2"/>
        <w:spacing w:before="92" w:line="218" w:lineRule="auto"/>
        <w:ind w:left="410"/>
        <w:rPr>
          <w:sz w:val="19"/>
          <w:szCs w:val="19"/>
        </w:rPr>
      </w:pPr>
      <w:r>
        <w:rPr>
          <w:spacing w:val="11"/>
          <w:sz w:val="19"/>
          <w:szCs w:val="19"/>
        </w:rPr>
        <w:t>●信息安全咨询，例如信息安全规划、信息安全管理</w:t>
      </w:r>
      <w:r>
        <w:rPr>
          <w:spacing w:val="10"/>
          <w:sz w:val="19"/>
          <w:szCs w:val="19"/>
        </w:rPr>
        <w:t>体系优化、信息安全风险评估；</w:t>
      </w:r>
    </w:p>
    <w:p w14:paraId="6793554F">
      <w:pPr>
        <w:pStyle w:val="2"/>
        <w:spacing w:before="97" w:line="219" w:lineRule="auto"/>
        <w:ind w:left="410"/>
        <w:rPr>
          <w:sz w:val="19"/>
          <w:szCs w:val="19"/>
        </w:rPr>
      </w:pPr>
      <w:r>
        <w:rPr>
          <w:spacing w:val="11"/>
          <w:sz w:val="19"/>
          <w:szCs w:val="19"/>
        </w:rPr>
        <w:t>●信息安全实施，例如信息安全加固和优化、信息安</w:t>
      </w:r>
      <w:r>
        <w:rPr>
          <w:spacing w:val="10"/>
          <w:sz w:val="19"/>
          <w:szCs w:val="19"/>
        </w:rPr>
        <w:t>全检查和测试、信息安全监控；</w:t>
      </w:r>
    </w:p>
    <w:p w14:paraId="6F521381">
      <w:pPr>
        <w:pStyle w:val="2"/>
        <w:spacing w:before="94" w:line="219" w:lineRule="auto"/>
        <w:ind w:left="410"/>
        <w:rPr>
          <w:sz w:val="19"/>
          <w:szCs w:val="19"/>
        </w:rPr>
      </w:pPr>
      <w:r>
        <w:rPr>
          <w:spacing w:val="13"/>
          <w:sz w:val="19"/>
          <w:szCs w:val="19"/>
        </w:rPr>
        <w:t>●信息安全管理及培训。</w:t>
      </w:r>
    </w:p>
    <w:p w14:paraId="4681A055">
      <w:pPr>
        <w:pStyle w:val="2"/>
        <w:spacing w:before="271" w:line="219" w:lineRule="auto"/>
        <w:ind w:left="2"/>
        <w:rPr>
          <w:sz w:val="25"/>
          <w:szCs w:val="25"/>
        </w:rPr>
      </w:pPr>
      <w:r>
        <w:rPr>
          <w:b/>
          <w:bCs/>
          <w:color w:val="0061E0"/>
          <w:spacing w:val="-19"/>
          <w:sz w:val="25"/>
          <w:szCs w:val="25"/>
        </w:rPr>
        <w:t>25.1.1</w:t>
      </w:r>
      <w:r>
        <w:rPr>
          <w:color w:val="0061E0"/>
          <w:spacing w:val="100"/>
          <w:sz w:val="25"/>
          <w:szCs w:val="25"/>
        </w:rPr>
        <w:t xml:space="preserve"> </w:t>
      </w:r>
      <w:r>
        <w:rPr>
          <w:b/>
          <w:bCs/>
          <w:color w:val="0061E0"/>
          <w:spacing w:val="-19"/>
          <w:sz w:val="25"/>
          <w:szCs w:val="25"/>
        </w:rPr>
        <w:t>基本概念</w:t>
      </w:r>
    </w:p>
    <w:p w14:paraId="21A28470">
      <w:pPr>
        <w:pStyle w:val="2"/>
        <w:spacing w:before="273" w:line="222" w:lineRule="auto"/>
        <w:ind w:left="412"/>
        <w:rPr>
          <w:rFonts w:ascii="黑体" w:hAnsi="黑体" w:eastAsia="黑体" w:cs="黑体"/>
          <w:sz w:val="19"/>
          <w:szCs w:val="19"/>
        </w:rPr>
      </w:pPr>
      <w:r>
        <w:rPr>
          <w:b/>
          <w:bCs/>
          <w:color w:val="0060DF"/>
          <w:spacing w:val="5"/>
          <w:sz w:val="19"/>
          <w:szCs w:val="19"/>
        </w:rPr>
        <w:t>1.</w:t>
      </w:r>
      <w:r>
        <w:rPr>
          <w:rFonts w:ascii="黑体" w:hAnsi="黑体" w:eastAsia="黑体" w:cs="黑体"/>
          <w:b/>
          <w:bCs/>
          <w:color w:val="0060DF"/>
          <w:spacing w:val="5"/>
          <w:sz w:val="19"/>
          <w:szCs w:val="19"/>
        </w:rPr>
        <w:t>运行维护监理</w:t>
      </w:r>
    </w:p>
    <w:p w14:paraId="4309C6E0">
      <w:pPr>
        <w:pStyle w:val="2"/>
        <w:spacing w:before="135" w:line="298" w:lineRule="auto"/>
        <w:ind w:right="880" w:firstLine="410"/>
        <w:rPr>
          <w:sz w:val="19"/>
          <w:szCs w:val="19"/>
        </w:rPr>
      </w:pPr>
      <w:r>
        <w:rPr>
          <w:spacing w:val="13"/>
          <w:sz w:val="19"/>
          <w:szCs w:val="19"/>
        </w:rPr>
        <w:t>监理单位受业主单位委托，依据国家有关法律法规、标准规范和监理合同，对信息系统完</w:t>
      </w:r>
      <w:r>
        <w:rPr>
          <w:spacing w:val="11"/>
          <w:sz w:val="19"/>
          <w:szCs w:val="19"/>
        </w:rPr>
        <w:t xml:space="preserve"> </w:t>
      </w:r>
      <w:r>
        <w:rPr>
          <w:spacing w:val="7"/>
          <w:sz w:val="19"/>
          <w:szCs w:val="19"/>
        </w:rPr>
        <w:t>成建设并投入使用后的运行维护工作实施的监督管理。</w:t>
      </w:r>
    </w:p>
    <w:p w14:paraId="4717DB6C">
      <w:pPr>
        <w:pStyle w:val="2"/>
        <w:spacing w:before="133" w:line="222" w:lineRule="auto"/>
        <w:ind w:left="412"/>
        <w:rPr>
          <w:rFonts w:ascii="黑体" w:hAnsi="黑体" w:eastAsia="黑体" w:cs="黑体"/>
          <w:sz w:val="19"/>
          <w:szCs w:val="19"/>
        </w:rPr>
      </w:pPr>
      <w:r>
        <w:rPr>
          <w:b/>
          <w:bCs/>
          <w:color w:val="0053D0"/>
          <w:spacing w:val="5"/>
          <w:sz w:val="19"/>
          <w:szCs w:val="19"/>
        </w:rPr>
        <w:t>2.</w:t>
      </w:r>
      <w:r>
        <w:rPr>
          <w:rFonts w:ascii="黑体" w:hAnsi="黑体" w:eastAsia="黑体" w:cs="黑体"/>
          <w:b/>
          <w:bCs/>
          <w:color w:val="0053D0"/>
          <w:spacing w:val="5"/>
          <w:sz w:val="19"/>
          <w:szCs w:val="19"/>
        </w:rPr>
        <w:t>例行操作监理</w:t>
      </w:r>
    </w:p>
    <w:p w14:paraId="5A4480E9">
      <w:pPr>
        <w:pStyle w:val="2"/>
        <w:spacing w:before="144" w:line="219" w:lineRule="auto"/>
        <w:ind w:left="410"/>
        <w:rPr>
          <w:sz w:val="19"/>
          <w:szCs w:val="19"/>
        </w:rPr>
      </w:pPr>
      <w:r>
        <w:rPr>
          <w:spacing w:val="9"/>
          <w:sz w:val="19"/>
          <w:szCs w:val="19"/>
        </w:rPr>
        <w:t>对于运行维护中的日常预定工作，监理机构实施的监</w:t>
      </w:r>
      <w:r>
        <w:rPr>
          <w:spacing w:val="8"/>
          <w:sz w:val="19"/>
          <w:szCs w:val="19"/>
        </w:rPr>
        <w:t>理。</w:t>
      </w:r>
    </w:p>
    <w:p w14:paraId="57072E22">
      <w:pPr>
        <w:pStyle w:val="2"/>
        <w:spacing w:before="183" w:line="222" w:lineRule="auto"/>
        <w:ind w:left="412"/>
        <w:rPr>
          <w:rFonts w:ascii="黑体" w:hAnsi="黑体" w:eastAsia="黑体" w:cs="黑体"/>
          <w:sz w:val="19"/>
          <w:szCs w:val="19"/>
        </w:rPr>
      </w:pPr>
      <w:r>
        <w:rPr>
          <w:b/>
          <w:bCs/>
          <w:color w:val="005CD5"/>
          <w:spacing w:val="5"/>
          <w:sz w:val="19"/>
          <w:szCs w:val="19"/>
        </w:rPr>
        <w:t>3.</w:t>
      </w:r>
      <w:r>
        <w:rPr>
          <w:rFonts w:ascii="黑体" w:hAnsi="黑体" w:eastAsia="黑体" w:cs="黑体"/>
          <w:b/>
          <w:bCs/>
          <w:color w:val="005CD5"/>
          <w:spacing w:val="5"/>
          <w:sz w:val="19"/>
          <w:szCs w:val="19"/>
        </w:rPr>
        <w:t>响应支持监理</w:t>
      </w:r>
    </w:p>
    <w:p w14:paraId="0F8F3207">
      <w:pPr>
        <w:pStyle w:val="2"/>
        <w:spacing w:before="143" w:line="219" w:lineRule="auto"/>
        <w:ind w:left="410"/>
        <w:rPr>
          <w:sz w:val="19"/>
          <w:szCs w:val="19"/>
        </w:rPr>
      </w:pPr>
      <w:r>
        <w:rPr>
          <w:spacing w:val="8"/>
          <w:sz w:val="19"/>
          <w:szCs w:val="19"/>
        </w:rPr>
        <w:t>对于运行维护服务请求或故障申报的即时处理工作，监理机构实施的监理。</w:t>
      </w:r>
    </w:p>
    <w:p w14:paraId="64774CCE">
      <w:pPr>
        <w:pStyle w:val="2"/>
        <w:spacing w:before="192" w:line="222" w:lineRule="auto"/>
        <w:ind w:left="412"/>
        <w:rPr>
          <w:rFonts w:ascii="黑体" w:hAnsi="黑体" w:eastAsia="黑体" w:cs="黑体"/>
          <w:sz w:val="19"/>
          <w:szCs w:val="19"/>
        </w:rPr>
      </w:pPr>
      <w:r>
        <w:rPr>
          <w:b/>
          <w:bCs/>
          <w:color w:val="0058CD"/>
          <w:spacing w:val="5"/>
          <w:sz w:val="19"/>
          <w:szCs w:val="19"/>
        </w:rPr>
        <w:t>4.</w:t>
      </w:r>
      <w:r>
        <w:rPr>
          <w:rFonts w:ascii="黑体" w:hAnsi="黑体" w:eastAsia="黑体" w:cs="黑体"/>
          <w:b/>
          <w:bCs/>
          <w:color w:val="0058CD"/>
          <w:spacing w:val="5"/>
          <w:sz w:val="19"/>
          <w:szCs w:val="19"/>
        </w:rPr>
        <w:t>优化改善监理</w:t>
      </w:r>
    </w:p>
    <w:p w14:paraId="7C630D25">
      <w:pPr>
        <w:pStyle w:val="2"/>
        <w:spacing w:before="144" w:line="219" w:lineRule="auto"/>
        <w:ind w:left="410"/>
        <w:rPr>
          <w:sz w:val="19"/>
          <w:szCs w:val="19"/>
        </w:rPr>
      </w:pPr>
      <w:r>
        <w:rPr>
          <w:spacing w:val="8"/>
          <w:sz w:val="19"/>
          <w:szCs w:val="19"/>
        </w:rPr>
        <w:t>对于运行维护对象的功能和性能调优工作，监理机构实施的监理。</w:t>
      </w:r>
    </w:p>
    <w:p w14:paraId="572B1D95">
      <w:pPr>
        <w:pStyle w:val="2"/>
        <w:spacing w:before="212" w:line="222" w:lineRule="auto"/>
        <w:ind w:left="412"/>
        <w:rPr>
          <w:rFonts w:ascii="黑体" w:hAnsi="黑体" w:eastAsia="黑体" w:cs="黑体"/>
          <w:sz w:val="19"/>
          <w:szCs w:val="19"/>
        </w:rPr>
      </w:pPr>
      <w:r>
        <w:rPr>
          <w:b/>
          <w:bCs/>
          <w:color w:val="0059CF"/>
          <w:spacing w:val="5"/>
          <w:sz w:val="19"/>
          <w:szCs w:val="19"/>
        </w:rPr>
        <w:t>5.</w:t>
      </w:r>
      <w:r>
        <w:rPr>
          <w:rFonts w:ascii="黑体" w:hAnsi="黑体" w:eastAsia="黑体" w:cs="黑体"/>
          <w:b/>
          <w:bCs/>
          <w:color w:val="0059CF"/>
          <w:spacing w:val="5"/>
          <w:sz w:val="19"/>
          <w:szCs w:val="19"/>
        </w:rPr>
        <w:t>调研评估监理</w:t>
      </w:r>
    </w:p>
    <w:p w14:paraId="15B1D6A2">
      <w:pPr>
        <w:pStyle w:val="2"/>
        <w:spacing w:before="124" w:line="218" w:lineRule="auto"/>
        <w:ind w:left="410"/>
        <w:rPr>
          <w:sz w:val="19"/>
          <w:szCs w:val="19"/>
        </w:rPr>
      </w:pPr>
      <w:r>
        <w:rPr>
          <w:spacing w:val="8"/>
          <w:sz w:val="19"/>
          <w:szCs w:val="19"/>
        </w:rPr>
        <w:t>对于运行维护对象的调查研究或分析评价工作，监理机构实施的监理。</w:t>
      </w:r>
    </w:p>
    <w:p w14:paraId="2CE43AA3">
      <w:pPr>
        <w:pStyle w:val="2"/>
        <w:spacing w:before="257" w:line="220" w:lineRule="auto"/>
        <w:ind w:left="2"/>
        <w:rPr>
          <w:sz w:val="25"/>
          <w:szCs w:val="25"/>
        </w:rPr>
      </w:pPr>
      <w:r>
        <w:rPr>
          <w:b/>
          <w:bCs/>
          <w:color w:val="0057DC"/>
          <w:spacing w:val="-17"/>
          <w:sz w:val="25"/>
          <w:szCs w:val="25"/>
        </w:rPr>
        <w:t>25.1.2</w:t>
      </w:r>
      <w:r>
        <w:rPr>
          <w:color w:val="0057DC"/>
          <w:spacing w:val="108"/>
          <w:sz w:val="25"/>
          <w:szCs w:val="25"/>
        </w:rPr>
        <w:t xml:space="preserve"> </w:t>
      </w:r>
      <w:r>
        <w:rPr>
          <w:b/>
          <w:bCs/>
          <w:color w:val="0057DC"/>
          <w:spacing w:val="-17"/>
          <w:sz w:val="25"/>
          <w:szCs w:val="25"/>
        </w:rPr>
        <w:t>运行维护监理与建设监理的对比</w:t>
      </w:r>
    </w:p>
    <w:p w14:paraId="38B34829">
      <w:pPr>
        <w:pStyle w:val="2"/>
        <w:spacing w:before="153" w:line="292" w:lineRule="auto"/>
        <w:ind w:right="882" w:firstLine="410"/>
        <w:jc w:val="both"/>
        <w:rPr>
          <w:sz w:val="19"/>
          <w:szCs w:val="19"/>
        </w:rPr>
      </w:pPr>
      <w:r>
        <w:rPr>
          <w:spacing w:val="13"/>
          <w:sz w:val="19"/>
          <w:szCs w:val="19"/>
        </w:rPr>
        <w:t>信息系统运行维护监理作为一种新型的信息化监理服务，越来越受到大型信息系统工程建</w:t>
      </w:r>
      <w:r>
        <w:rPr>
          <w:spacing w:val="9"/>
          <w:sz w:val="19"/>
          <w:szCs w:val="19"/>
        </w:rPr>
        <w:t xml:space="preserve"> </w:t>
      </w:r>
      <w:r>
        <w:rPr>
          <w:spacing w:val="8"/>
          <w:sz w:val="19"/>
          <w:szCs w:val="19"/>
        </w:rPr>
        <w:t>设项目业主单位的重视，尤其是“政务信息化”“智慧城市”等建设取得</w:t>
      </w:r>
      <w:r>
        <w:rPr>
          <w:spacing w:val="7"/>
          <w:sz w:val="19"/>
          <w:szCs w:val="19"/>
        </w:rPr>
        <w:t>的阶段性成果正逐步进</w:t>
      </w:r>
      <w:r>
        <w:rPr>
          <w:sz w:val="19"/>
          <w:szCs w:val="19"/>
        </w:rPr>
        <w:t xml:space="preserve"> </w:t>
      </w:r>
      <w:r>
        <w:rPr>
          <w:spacing w:val="7"/>
          <w:sz w:val="19"/>
          <w:szCs w:val="19"/>
        </w:rPr>
        <w:t>入应用及维护阶段，其管理者希望引入运行维护监理。</w:t>
      </w:r>
    </w:p>
    <w:p w14:paraId="78310240">
      <w:pPr>
        <w:pStyle w:val="2"/>
        <w:spacing w:before="17" w:line="219" w:lineRule="auto"/>
        <w:ind w:left="410"/>
        <w:rPr>
          <w:sz w:val="19"/>
          <w:szCs w:val="19"/>
        </w:rPr>
      </w:pPr>
      <w:r>
        <w:rPr>
          <w:spacing w:val="7"/>
          <w:sz w:val="19"/>
          <w:szCs w:val="19"/>
        </w:rPr>
        <w:t>对信息系统运行维护服务的需求主要有以下几方面原</w:t>
      </w:r>
      <w:r>
        <w:rPr>
          <w:spacing w:val="6"/>
          <w:sz w:val="19"/>
          <w:szCs w:val="19"/>
        </w:rPr>
        <w:t>因：</w:t>
      </w:r>
    </w:p>
    <w:p w14:paraId="70DF0415">
      <w:pPr>
        <w:pStyle w:val="2"/>
        <w:spacing w:before="75" w:line="265" w:lineRule="auto"/>
        <w:ind w:right="875" w:firstLine="410"/>
        <w:rPr>
          <w:sz w:val="19"/>
          <w:szCs w:val="19"/>
        </w:rPr>
      </w:pPr>
      <w:r>
        <w:rPr>
          <w:spacing w:val="15"/>
          <w:sz w:val="19"/>
          <w:szCs w:val="19"/>
        </w:rPr>
        <w:t>(1)在实施过程中，管理细节上尚不清楚运行维护绩效考核该如何实施，或者没有足够的</w:t>
      </w:r>
      <w:r>
        <w:rPr>
          <w:spacing w:val="18"/>
          <w:sz w:val="19"/>
          <w:szCs w:val="19"/>
        </w:rPr>
        <w:t xml:space="preserve"> </w:t>
      </w:r>
      <w:r>
        <w:rPr>
          <w:spacing w:val="14"/>
          <w:sz w:val="19"/>
          <w:szCs w:val="19"/>
        </w:rPr>
        <w:t>人力资源(符合能力要求的人员)从事运行维护绩效考核工作。</w:t>
      </w:r>
    </w:p>
    <w:p w14:paraId="044FE821">
      <w:pPr>
        <w:pStyle w:val="2"/>
        <w:spacing w:before="74" w:line="274" w:lineRule="auto"/>
        <w:ind w:right="875" w:firstLine="410"/>
        <w:rPr>
          <w:sz w:val="19"/>
          <w:szCs w:val="19"/>
        </w:rPr>
      </w:pPr>
      <w:r>
        <w:rPr>
          <w:spacing w:val="15"/>
          <w:sz w:val="19"/>
          <w:szCs w:val="19"/>
        </w:rPr>
        <w:t>(2)在年度运维工作结束或某项目运维结束时，尚不清楚运行维护服务该如何验收。信息</w:t>
      </w:r>
      <w:r>
        <w:rPr>
          <w:spacing w:val="18"/>
          <w:sz w:val="19"/>
          <w:szCs w:val="19"/>
        </w:rPr>
        <w:t xml:space="preserve"> </w:t>
      </w:r>
      <w:r>
        <w:rPr>
          <w:spacing w:val="13"/>
          <w:sz w:val="19"/>
          <w:szCs w:val="19"/>
        </w:rPr>
        <w:t>系统建设工程验收多是针对实物的验收，方法较多，包括测</w:t>
      </w:r>
      <w:r>
        <w:rPr>
          <w:spacing w:val="12"/>
          <w:sz w:val="19"/>
          <w:szCs w:val="19"/>
        </w:rPr>
        <w:t>试、评审、专家论证等。但是运行</w:t>
      </w:r>
      <w:r>
        <w:rPr>
          <w:sz w:val="19"/>
          <w:szCs w:val="19"/>
        </w:rPr>
        <w:t xml:space="preserve"> </w:t>
      </w:r>
      <w:r>
        <w:rPr>
          <w:spacing w:val="8"/>
          <w:sz w:val="19"/>
          <w:szCs w:val="19"/>
        </w:rPr>
        <w:t>维护服务的验收大多是非实物验收，上述方法效果有限。</w:t>
      </w:r>
    </w:p>
    <w:p w14:paraId="0A5783BA">
      <w:pPr>
        <w:pStyle w:val="2"/>
        <w:spacing w:before="76" w:line="264" w:lineRule="auto"/>
        <w:ind w:right="867" w:firstLine="410"/>
        <w:rPr>
          <w:sz w:val="19"/>
          <w:szCs w:val="19"/>
        </w:rPr>
      </w:pPr>
      <w:r>
        <w:rPr>
          <w:spacing w:val="16"/>
          <w:sz w:val="19"/>
          <w:szCs w:val="19"/>
        </w:rPr>
        <w:t>(3)运行维护过程中，当出现合同纠纷、任务落实是否到</w:t>
      </w:r>
      <w:r>
        <w:rPr>
          <w:spacing w:val="15"/>
          <w:sz w:val="19"/>
          <w:szCs w:val="19"/>
        </w:rPr>
        <w:t>位等“扯皮”事件时，大多数用</w:t>
      </w:r>
      <w:r>
        <w:rPr>
          <w:sz w:val="19"/>
          <w:szCs w:val="19"/>
        </w:rPr>
        <w:t xml:space="preserve"> </w:t>
      </w:r>
      <w:r>
        <w:rPr>
          <w:spacing w:val="9"/>
          <w:sz w:val="19"/>
          <w:szCs w:val="19"/>
        </w:rPr>
        <w:t>户没有经验和能力判断，分不清事件的原因和责任，</w:t>
      </w:r>
      <w:r>
        <w:rPr>
          <w:spacing w:val="8"/>
          <w:sz w:val="19"/>
          <w:szCs w:val="19"/>
        </w:rPr>
        <w:t>难以有效促进问题的解决。</w:t>
      </w:r>
    </w:p>
    <w:p w14:paraId="1D2CF2BE">
      <w:pPr>
        <w:pStyle w:val="2"/>
        <w:spacing w:before="64" w:line="219" w:lineRule="auto"/>
        <w:ind w:left="410"/>
        <w:rPr>
          <w:sz w:val="19"/>
          <w:szCs w:val="19"/>
        </w:rPr>
      </w:pPr>
      <w:r>
        <w:rPr>
          <w:spacing w:val="15"/>
          <w:sz w:val="19"/>
          <w:szCs w:val="19"/>
        </w:rPr>
        <w:t>(4)需要有一个第三方服务机构，为业主单位提供必要的观察、检验、验证、监督和审定</w:t>
      </w:r>
    </w:p>
    <w:p w14:paraId="10C63857">
      <w:pPr>
        <w:pStyle w:val="2"/>
        <w:spacing w:before="106" w:line="219" w:lineRule="auto"/>
        <w:rPr>
          <w:sz w:val="19"/>
          <w:szCs w:val="19"/>
        </w:rPr>
      </w:pPr>
      <w:r>
        <w:rPr>
          <w:spacing w:val="4"/>
          <w:sz w:val="19"/>
          <w:szCs w:val="19"/>
        </w:rPr>
        <w:t>等管理服务。</w:t>
      </w:r>
    </w:p>
    <w:p w14:paraId="6DDEBC5D">
      <w:pPr>
        <w:pStyle w:val="2"/>
        <w:spacing w:before="64" w:line="298" w:lineRule="auto"/>
        <w:ind w:right="882" w:firstLine="410"/>
        <w:rPr>
          <w:sz w:val="19"/>
          <w:szCs w:val="19"/>
        </w:rPr>
      </w:pPr>
      <w:r>
        <w:rPr>
          <w:spacing w:val="13"/>
          <w:sz w:val="19"/>
          <w:szCs w:val="19"/>
        </w:rPr>
        <w:t>针对以上问题，信息系统工程运行维护的监理服务应运而生，可以为用户解决运行维护过</w:t>
      </w:r>
      <w:r>
        <w:rPr>
          <w:spacing w:val="8"/>
          <w:sz w:val="19"/>
          <w:szCs w:val="19"/>
        </w:rPr>
        <w:t xml:space="preserve"> </w:t>
      </w:r>
      <w:r>
        <w:rPr>
          <w:spacing w:val="7"/>
          <w:sz w:val="19"/>
          <w:szCs w:val="19"/>
        </w:rPr>
        <w:t>程中因人力不足、能力不足、经验不足带来的问题。</w:t>
      </w:r>
    </w:p>
    <w:p w14:paraId="39F6650A">
      <w:pPr>
        <w:spacing w:line="298" w:lineRule="auto"/>
        <w:rPr>
          <w:sz w:val="19"/>
          <w:szCs w:val="19"/>
        </w:rPr>
        <w:sectPr>
          <w:pgSz w:w="10290" w:h="13310"/>
          <w:pgMar w:top="380" w:right="19" w:bottom="400" w:left="1049" w:header="0" w:footer="0" w:gutter="0"/>
          <w:cols w:space="720" w:num="1"/>
        </w:sectPr>
      </w:pPr>
    </w:p>
    <w:p w14:paraId="5D71EBF7">
      <w:pPr>
        <w:pStyle w:val="2"/>
        <w:spacing w:before="57" w:line="219" w:lineRule="auto"/>
        <w:rPr>
          <w:sz w:val="19"/>
          <w:szCs w:val="19"/>
        </w:rPr>
      </w:pPr>
      <w:bookmarkStart w:id="775" w:name="bookmark760"/>
      <w:bookmarkEnd w:id="775"/>
      <w:r>
        <w:rPr>
          <w:rFonts w:ascii="Times New Roman" w:hAnsi="Times New Roman" w:eastAsia="Times New Roman" w:cs="Times New Roman"/>
          <w:spacing w:val="4"/>
          <w:position w:val="1"/>
          <w:sz w:val="17"/>
          <w:szCs w:val="17"/>
        </w:rPr>
        <w:t xml:space="preserve">580                </w:t>
      </w:r>
      <w:r>
        <w:rPr>
          <w:spacing w:val="4"/>
          <w:sz w:val="19"/>
          <w:szCs w:val="19"/>
        </w:rPr>
        <w:t>信息系统监理师教程(第2版)</w:t>
      </w:r>
    </w:p>
    <w:p w14:paraId="088F57A2">
      <w:pPr>
        <w:spacing w:line="318" w:lineRule="auto"/>
        <w:rPr>
          <w:rFonts w:ascii="Arial"/>
          <w:sz w:val="21"/>
        </w:rPr>
      </w:pPr>
    </w:p>
    <w:p w14:paraId="2E098ED1">
      <w:pPr>
        <w:pStyle w:val="2"/>
        <w:spacing w:before="62" w:line="306" w:lineRule="auto"/>
        <w:ind w:left="369" w:firstLine="410"/>
        <w:jc w:val="both"/>
        <w:rPr>
          <w:sz w:val="19"/>
          <w:szCs w:val="19"/>
        </w:rPr>
      </w:pPr>
      <w:r>
        <w:rPr>
          <w:spacing w:val="10"/>
          <w:sz w:val="19"/>
          <w:szCs w:val="19"/>
        </w:rPr>
        <w:t>通过研究和实践，在信息化建设监理规范约定的“三控、两管、</w:t>
      </w:r>
      <w:r>
        <w:rPr>
          <w:spacing w:val="52"/>
          <w:sz w:val="19"/>
          <w:szCs w:val="19"/>
        </w:rPr>
        <w:t xml:space="preserve"> </w:t>
      </w:r>
      <w:r>
        <w:rPr>
          <w:spacing w:val="10"/>
          <w:sz w:val="19"/>
          <w:szCs w:val="19"/>
        </w:rPr>
        <w:t>一</w:t>
      </w:r>
      <w:r>
        <w:rPr>
          <w:spacing w:val="9"/>
          <w:sz w:val="19"/>
          <w:szCs w:val="19"/>
        </w:rPr>
        <w:t>协调”的基础上，结合</w:t>
      </w:r>
      <w:r>
        <w:rPr>
          <w:sz w:val="19"/>
          <w:szCs w:val="19"/>
        </w:rPr>
        <w:t xml:space="preserve"> </w:t>
      </w:r>
      <w:r>
        <w:rPr>
          <w:spacing w:val="10"/>
          <w:sz w:val="19"/>
          <w:szCs w:val="19"/>
        </w:rPr>
        <w:t>运行维护监理服务的实际工作，总结出了“四控、五管、</w:t>
      </w:r>
      <w:r>
        <w:rPr>
          <w:spacing w:val="54"/>
          <w:sz w:val="19"/>
          <w:szCs w:val="19"/>
        </w:rPr>
        <w:t xml:space="preserve"> </w:t>
      </w:r>
      <w:r>
        <w:rPr>
          <w:spacing w:val="10"/>
          <w:sz w:val="19"/>
          <w:szCs w:val="19"/>
        </w:rPr>
        <w:t>一协调”的运行维护监理方法论，具</w:t>
      </w:r>
      <w:r>
        <w:rPr>
          <w:sz w:val="19"/>
          <w:szCs w:val="19"/>
        </w:rPr>
        <w:t xml:space="preserve"> </w:t>
      </w:r>
      <w:r>
        <w:rPr>
          <w:spacing w:val="15"/>
          <w:sz w:val="19"/>
          <w:szCs w:val="19"/>
        </w:rPr>
        <w:t>体包括：质量控制、进度控制、投资控制、安全控制、合同管理、文档资料管理、配置管理、</w:t>
      </w:r>
      <w:r>
        <w:rPr>
          <w:sz w:val="19"/>
          <w:szCs w:val="19"/>
        </w:rPr>
        <w:t xml:space="preserve"> </w:t>
      </w:r>
      <w:r>
        <w:rPr>
          <w:spacing w:val="13"/>
          <w:sz w:val="19"/>
          <w:szCs w:val="19"/>
        </w:rPr>
        <w:t>应急管理、效能管理和组织协调。信息系统工程的运行维护监理与建设监理既有一</w:t>
      </w:r>
      <w:r>
        <w:rPr>
          <w:spacing w:val="12"/>
          <w:sz w:val="19"/>
          <w:szCs w:val="19"/>
        </w:rPr>
        <w:t>致性，也有</w:t>
      </w:r>
      <w:r>
        <w:rPr>
          <w:sz w:val="19"/>
          <w:szCs w:val="19"/>
        </w:rPr>
        <w:t xml:space="preserve">  </w:t>
      </w:r>
      <w:r>
        <w:rPr>
          <w:spacing w:val="9"/>
          <w:sz w:val="19"/>
          <w:szCs w:val="19"/>
        </w:rPr>
        <w:t>差异性，如表25-1所示。</w:t>
      </w:r>
    </w:p>
    <w:p w14:paraId="23E6AE75">
      <w:pPr>
        <w:spacing w:before="103" w:line="221" w:lineRule="auto"/>
        <w:ind w:left="2572"/>
        <w:rPr>
          <w:rFonts w:ascii="黑体" w:hAnsi="黑体" w:eastAsia="黑体" w:cs="黑体"/>
          <w:sz w:val="19"/>
          <w:szCs w:val="19"/>
        </w:rPr>
      </w:pPr>
      <w:r>
        <w:rPr>
          <w:rFonts w:ascii="黑体" w:hAnsi="黑体" w:eastAsia="黑体" w:cs="黑体"/>
          <w:b/>
          <w:bCs/>
          <w:spacing w:val="-10"/>
          <w:sz w:val="19"/>
          <w:szCs w:val="19"/>
        </w:rPr>
        <w:t>表25-1</w:t>
      </w:r>
      <w:r>
        <w:rPr>
          <w:rFonts w:ascii="黑体" w:hAnsi="黑体" w:eastAsia="黑体" w:cs="黑体"/>
          <w:spacing w:val="85"/>
          <w:sz w:val="19"/>
          <w:szCs w:val="19"/>
        </w:rPr>
        <w:t xml:space="preserve"> </w:t>
      </w:r>
      <w:r>
        <w:rPr>
          <w:rFonts w:ascii="黑体" w:hAnsi="黑体" w:eastAsia="黑体" w:cs="黑体"/>
          <w:b/>
          <w:bCs/>
          <w:spacing w:val="-10"/>
          <w:sz w:val="19"/>
          <w:szCs w:val="19"/>
        </w:rPr>
        <w:t>信息系统工程运维监理与建设监理的</w:t>
      </w:r>
      <w:r>
        <w:rPr>
          <w:rFonts w:ascii="黑体" w:hAnsi="黑体" w:eastAsia="黑体" w:cs="黑体"/>
          <w:b/>
          <w:bCs/>
          <w:spacing w:val="-11"/>
          <w:sz w:val="19"/>
          <w:szCs w:val="19"/>
        </w:rPr>
        <w:t>对比</w:t>
      </w:r>
    </w:p>
    <w:p w14:paraId="5B0AAEB2">
      <w:pPr>
        <w:spacing w:line="104" w:lineRule="exact"/>
      </w:pPr>
    </w:p>
    <w:tbl>
      <w:tblPr>
        <w:tblStyle w:val="5"/>
        <w:tblW w:w="8364" w:type="dxa"/>
        <w:tblInd w:w="3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0"/>
        <w:gridCol w:w="3900"/>
        <w:gridCol w:w="3264"/>
      </w:tblGrid>
      <w:tr w14:paraId="487BB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200" w:type="dxa"/>
            <w:tcBorders>
              <w:left w:val="nil"/>
            </w:tcBorders>
            <w:vAlign w:val="top"/>
          </w:tcPr>
          <w:p w14:paraId="3FEF9DEC">
            <w:pPr>
              <w:pStyle w:val="6"/>
              <w:spacing w:before="80" w:line="219" w:lineRule="auto"/>
              <w:ind w:left="222"/>
            </w:pPr>
            <w:r>
              <w:rPr>
                <w:b/>
                <w:bCs/>
                <w:spacing w:val="-4"/>
              </w:rPr>
              <w:t>服务内容</w:t>
            </w:r>
          </w:p>
        </w:tc>
        <w:tc>
          <w:tcPr>
            <w:tcW w:w="3900" w:type="dxa"/>
            <w:vAlign w:val="top"/>
          </w:tcPr>
          <w:p w14:paraId="778F6BF6">
            <w:pPr>
              <w:pStyle w:val="6"/>
              <w:spacing w:before="80" w:line="219" w:lineRule="auto"/>
              <w:ind w:left="807"/>
            </w:pPr>
            <w:r>
              <w:rPr>
                <w:b/>
                <w:bCs/>
                <w:spacing w:val="-3"/>
              </w:rPr>
              <w:t>信息系统工程运行维护监理</w:t>
            </w:r>
          </w:p>
        </w:tc>
        <w:tc>
          <w:tcPr>
            <w:tcW w:w="3264" w:type="dxa"/>
            <w:tcBorders>
              <w:right w:val="nil"/>
            </w:tcBorders>
            <w:vAlign w:val="top"/>
          </w:tcPr>
          <w:p w14:paraId="397096FB">
            <w:pPr>
              <w:pStyle w:val="6"/>
              <w:spacing w:before="80" w:line="219" w:lineRule="auto"/>
              <w:ind w:left="667"/>
            </w:pPr>
            <w:r>
              <w:rPr>
                <w:b/>
                <w:bCs/>
                <w:spacing w:val="-3"/>
              </w:rPr>
              <w:t>信息系统工程建设监理</w:t>
            </w:r>
          </w:p>
        </w:tc>
      </w:tr>
      <w:tr w14:paraId="4AB75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200" w:type="dxa"/>
            <w:tcBorders>
              <w:left w:val="nil"/>
            </w:tcBorders>
            <w:vAlign w:val="top"/>
          </w:tcPr>
          <w:p w14:paraId="122E9991">
            <w:pPr>
              <w:spacing w:line="265" w:lineRule="auto"/>
              <w:rPr>
                <w:rFonts w:ascii="Arial"/>
                <w:sz w:val="21"/>
              </w:rPr>
            </w:pPr>
          </w:p>
          <w:p w14:paraId="134E3834">
            <w:pPr>
              <w:pStyle w:val="6"/>
              <w:spacing w:before="62" w:line="220" w:lineRule="auto"/>
              <w:ind w:left="220"/>
            </w:pPr>
            <w:r>
              <w:rPr>
                <w:spacing w:val="4"/>
              </w:rPr>
              <w:t>质量控制</w:t>
            </w:r>
          </w:p>
        </w:tc>
        <w:tc>
          <w:tcPr>
            <w:tcW w:w="3900" w:type="dxa"/>
            <w:vAlign w:val="top"/>
          </w:tcPr>
          <w:p w14:paraId="20A85DE2">
            <w:pPr>
              <w:pStyle w:val="6"/>
              <w:spacing w:before="79" w:line="246" w:lineRule="auto"/>
              <w:ind w:left="15"/>
              <w:jc w:val="both"/>
            </w:pPr>
            <w:r>
              <w:rPr>
                <w:spacing w:val="-7"/>
              </w:rPr>
              <w:t>保障运行维护事件的响应、快速处置、深层技术</w:t>
            </w:r>
            <w:r>
              <w:rPr>
                <w:spacing w:val="14"/>
              </w:rPr>
              <w:t xml:space="preserve"> </w:t>
            </w:r>
            <w:r>
              <w:rPr>
                <w:spacing w:val="-6"/>
              </w:rPr>
              <w:t>问题解决等服务质量，以及日常服务支持的用户</w:t>
            </w:r>
            <w:r>
              <w:rPr>
                <w:spacing w:val="9"/>
              </w:rPr>
              <w:t xml:space="preserve"> 体验质量</w:t>
            </w:r>
          </w:p>
        </w:tc>
        <w:tc>
          <w:tcPr>
            <w:tcW w:w="3264" w:type="dxa"/>
            <w:tcBorders>
              <w:right w:val="nil"/>
            </w:tcBorders>
            <w:vAlign w:val="top"/>
          </w:tcPr>
          <w:p w14:paraId="00765118">
            <w:pPr>
              <w:pStyle w:val="6"/>
              <w:spacing w:before="208" w:line="249" w:lineRule="auto"/>
              <w:ind w:left="45" w:right="22" w:hanging="30"/>
            </w:pPr>
            <w:r>
              <w:rPr>
                <w:spacing w:val="-1"/>
              </w:rPr>
              <w:t>保障产品及项目成果物的建设过程质量</w:t>
            </w:r>
            <w:r>
              <w:rPr>
                <w:spacing w:val="7"/>
              </w:rPr>
              <w:t xml:space="preserve"> </w:t>
            </w:r>
            <w:r>
              <w:rPr>
                <w:spacing w:val="-2"/>
              </w:rPr>
              <w:t>和最终交付质量</w:t>
            </w:r>
          </w:p>
        </w:tc>
      </w:tr>
      <w:tr w14:paraId="5E1C0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00" w:type="dxa"/>
            <w:tcBorders>
              <w:left w:val="nil"/>
            </w:tcBorders>
            <w:vAlign w:val="top"/>
          </w:tcPr>
          <w:p w14:paraId="04359977">
            <w:pPr>
              <w:pStyle w:val="6"/>
              <w:spacing w:before="190" w:line="220" w:lineRule="auto"/>
              <w:ind w:left="220"/>
            </w:pPr>
            <w:r>
              <w:rPr>
                <w:spacing w:val="4"/>
              </w:rPr>
              <w:t>进度控制</w:t>
            </w:r>
          </w:p>
        </w:tc>
        <w:tc>
          <w:tcPr>
            <w:tcW w:w="3900" w:type="dxa"/>
            <w:vAlign w:val="top"/>
          </w:tcPr>
          <w:p w14:paraId="745B62DE">
            <w:pPr>
              <w:pStyle w:val="6"/>
              <w:spacing w:before="69" w:line="238" w:lineRule="auto"/>
              <w:ind w:left="64" w:hanging="49"/>
            </w:pPr>
            <w:r>
              <w:rPr>
                <w:spacing w:val="-6"/>
              </w:rPr>
              <w:t>保障运行维护工作任务按时保质完成，包括常规</w:t>
            </w:r>
            <w:r>
              <w:rPr>
                <w:spacing w:val="9"/>
              </w:rPr>
              <w:t xml:space="preserve"> </w:t>
            </w:r>
            <w:r>
              <w:t>既定任务、时间约束范围内的处置任务等</w:t>
            </w:r>
          </w:p>
        </w:tc>
        <w:tc>
          <w:tcPr>
            <w:tcW w:w="3264" w:type="dxa"/>
            <w:tcBorders>
              <w:right w:val="nil"/>
            </w:tcBorders>
            <w:vAlign w:val="top"/>
          </w:tcPr>
          <w:p w14:paraId="0CB74568">
            <w:pPr>
              <w:pStyle w:val="6"/>
              <w:spacing w:before="69" w:line="238" w:lineRule="auto"/>
              <w:ind w:left="15" w:right="20"/>
            </w:pPr>
            <w:r>
              <w:rPr>
                <w:spacing w:val="-1"/>
              </w:rPr>
              <w:t>控制并调整项目整体工期、里程碑执行</w:t>
            </w:r>
            <w:r>
              <w:rPr>
                <w:spacing w:val="9"/>
              </w:rPr>
              <w:t xml:space="preserve"> </w:t>
            </w:r>
            <w:r>
              <w:rPr>
                <w:spacing w:val="-2"/>
              </w:rPr>
              <w:t>进度</w:t>
            </w:r>
          </w:p>
        </w:tc>
      </w:tr>
      <w:tr w14:paraId="554B0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200" w:type="dxa"/>
            <w:tcBorders>
              <w:left w:val="nil"/>
            </w:tcBorders>
            <w:vAlign w:val="top"/>
          </w:tcPr>
          <w:p w14:paraId="0CF6AD3D">
            <w:pPr>
              <w:spacing w:line="267" w:lineRule="auto"/>
              <w:rPr>
                <w:rFonts w:ascii="Arial"/>
                <w:sz w:val="21"/>
              </w:rPr>
            </w:pPr>
          </w:p>
          <w:p w14:paraId="04B53137">
            <w:pPr>
              <w:pStyle w:val="6"/>
              <w:spacing w:before="62" w:line="220" w:lineRule="auto"/>
              <w:ind w:left="220"/>
            </w:pPr>
            <w:r>
              <w:rPr>
                <w:spacing w:val="4"/>
              </w:rPr>
              <w:t>投资控制</w:t>
            </w:r>
          </w:p>
        </w:tc>
        <w:tc>
          <w:tcPr>
            <w:tcW w:w="3900" w:type="dxa"/>
            <w:vAlign w:val="top"/>
          </w:tcPr>
          <w:p w14:paraId="2DD5D919">
            <w:pPr>
              <w:pStyle w:val="6"/>
              <w:spacing w:before="69" w:line="246" w:lineRule="auto"/>
              <w:ind w:left="45" w:right="51"/>
              <w:jc w:val="both"/>
            </w:pPr>
            <w:r>
              <w:rPr>
                <w:spacing w:val="-1"/>
              </w:rPr>
              <w:t>控制IT资产运行维护资源、运行维护单位服务</w:t>
            </w:r>
            <w:r>
              <w:rPr>
                <w:spacing w:val="13"/>
              </w:rPr>
              <w:t xml:space="preserve"> </w:t>
            </w:r>
            <w:r>
              <w:rPr>
                <w:spacing w:val="-1"/>
              </w:rPr>
              <w:t>过程费用，突出预算执行，指导预算编制与决</w:t>
            </w:r>
            <w:r>
              <w:rPr>
                <w:spacing w:val="10"/>
              </w:rPr>
              <w:t xml:space="preserve"> </w:t>
            </w:r>
            <w:r>
              <w:t>算，强调IT全面预算管理</w:t>
            </w:r>
          </w:p>
        </w:tc>
        <w:tc>
          <w:tcPr>
            <w:tcW w:w="3264" w:type="dxa"/>
            <w:tcBorders>
              <w:right w:val="nil"/>
            </w:tcBorders>
            <w:vAlign w:val="top"/>
          </w:tcPr>
          <w:p w14:paraId="538951E7">
            <w:pPr>
              <w:pStyle w:val="6"/>
              <w:spacing w:before="209" w:line="250" w:lineRule="auto"/>
              <w:ind w:left="55" w:right="20" w:hanging="40"/>
            </w:pPr>
            <w:r>
              <w:rPr>
                <w:spacing w:val="-1"/>
              </w:rPr>
              <w:t>评估工程造价，控制预算决算审核，强</w:t>
            </w:r>
            <w:r>
              <w:rPr>
                <w:spacing w:val="9"/>
              </w:rPr>
              <w:t xml:space="preserve"> </w:t>
            </w:r>
            <w:r>
              <w:rPr>
                <w:spacing w:val="2"/>
              </w:rPr>
              <w:t>调"一头一尾"</w:t>
            </w:r>
          </w:p>
        </w:tc>
      </w:tr>
      <w:tr w14:paraId="20BF9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200" w:type="dxa"/>
            <w:tcBorders>
              <w:left w:val="nil"/>
            </w:tcBorders>
            <w:vAlign w:val="top"/>
          </w:tcPr>
          <w:p w14:paraId="28A288FC">
            <w:pPr>
              <w:pStyle w:val="6"/>
              <w:spacing w:before="192" w:line="220" w:lineRule="auto"/>
              <w:ind w:left="220"/>
            </w:pPr>
            <w:r>
              <w:rPr>
                <w:spacing w:val="4"/>
              </w:rPr>
              <w:t>安全控制</w:t>
            </w:r>
          </w:p>
        </w:tc>
        <w:tc>
          <w:tcPr>
            <w:tcW w:w="3900" w:type="dxa"/>
            <w:vAlign w:val="top"/>
          </w:tcPr>
          <w:p w14:paraId="7E562B72">
            <w:pPr>
              <w:pStyle w:val="6"/>
              <w:spacing w:before="81" w:line="227" w:lineRule="auto"/>
              <w:ind w:left="15" w:firstLine="29"/>
            </w:pPr>
            <w:r>
              <w:rPr>
                <w:spacing w:val="-1"/>
              </w:rPr>
              <w:t>对基础环境、信息系统、数据资源等物理、逻</w:t>
            </w:r>
            <w:r>
              <w:rPr>
                <w:spacing w:val="1"/>
              </w:rPr>
              <w:t xml:space="preserve"> </w:t>
            </w:r>
            <w:r>
              <w:rPr>
                <w:spacing w:val="-6"/>
              </w:rPr>
              <w:t>辑、人员的安全控制，以及可用性、连续性控制</w:t>
            </w:r>
          </w:p>
        </w:tc>
        <w:tc>
          <w:tcPr>
            <w:tcW w:w="3264" w:type="dxa"/>
            <w:tcBorders>
              <w:right w:val="nil"/>
            </w:tcBorders>
            <w:vAlign w:val="top"/>
          </w:tcPr>
          <w:p w14:paraId="4CA02A87">
            <w:pPr>
              <w:pStyle w:val="6"/>
              <w:spacing w:before="81" w:line="227" w:lineRule="auto"/>
              <w:ind w:left="55" w:right="20" w:hanging="40"/>
            </w:pPr>
            <w:r>
              <w:rPr>
                <w:spacing w:val="-1"/>
              </w:rPr>
              <w:t>对建设过程中的安全性、保密性以及人</w:t>
            </w:r>
            <w:r>
              <w:rPr>
                <w:spacing w:val="9"/>
              </w:rPr>
              <w:t xml:space="preserve"> </w:t>
            </w:r>
            <w:r>
              <w:rPr>
                <w:spacing w:val="1"/>
              </w:rPr>
              <w:t>员的安全管理</w:t>
            </w:r>
          </w:p>
        </w:tc>
      </w:tr>
      <w:tr w14:paraId="3A156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200" w:type="dxa"/>
            <w:tcBorders>
              <w:left w:val="nil"/>
            </w:tcBorders>
            <w:vAlign w:val="top"/>
          </w:tcPr>
          <w:p w14:paraId="22FFD410">
            <w:pPr>
              <w:spacing w:line="269" w:lineRule="auto"/>
              <w:rPr>
                <w:rFonts w:ascii="Arial"/>
                <w:sz w:val="21"/>
              </w:rPr>
            </w:pPr>
          </w:p>
          <w:p w14:paraId="544327E4">
            <w:pPr>
              <w:pStyle w:val="6"/>
              <w:spacing w:before="62" w:line="219" w:lineRule="auto"/>
              <w:ind w:left="220"/>
            </w:pPr>
            <w:r>
              <w:rPr>
                <w:spacing w:val="-2"/>
              </w:rPr>
              <w:t>合同管理</w:t>
            </w:r>
          </w:p>
        </w:tc>
        <w:tc>
          <w:tcPr>
            <w:tcW w:w="3900" w:type="dxa"/>
            <w:vAlign w:val="top"/>
          </w:tcPr>
          <w:p w14:paraId="191289AA">
            <w:pPr>
              <w:pStyle w:val="6"/>
              <w:spacing w:before="73" w:line="248" w:lineRule="auto"/>
              <w:ind w:left="15"/>
              <w:jc w:val="both"/>
            </w:pPr>
            <w:r>
              <w:rPr>
                <w:spacing w:val="-6"/>
              </w:rPr>
              <w:t>管理运行维护周期内服务提供的响应能力、处理</w:t>
            </w:r>
            <w:r>
              <w:rPr>
                <w:spacing w:val="9"/>
              </w:rPr>
              <w:t xml:space="preserve"> </w:t>
            </w:r>
            <w:r>
              <w:rPr>
                <w:spacing w:val="-6"/>
              </w:rPr>
              <w:t>能力等，支撑信息系统运行的连续可用性，衡量</w:t>
            </w:r>
            <w:r>
              <w:rPr>
                <w:spacing w:val="9"/>
              </w:rPr>
              <w:t xml:space="preserve"> </w:t>
            </w:r>
            <w:r>
              <w:rPr>
                <w:spacing w:val="3"/>
              </w:rPr>
              <w:t>标准具有多样性</w:t>
            </w:r>
          </w:p>
        </w:tc>
        <w:tc>
          <w:tcPr>
            <w:tcW w:w="3264" w:type="dxa"/>
            <w:tcBorders>
              <w:right w:val="nil"/>
            </w:tcBorders>
            <w:vAlign w:val="top"/>
          </w:tcPr>
          <w:p w14:paraId="691687B8">
            <w:pPr>
              <w:pStyle w:val="6"/>
              <w:spacing w:before="222" w:line="249" w:lineRule="auto"/>
              <w:ind w:left="55" w:right="106" w:firstLine="40"/>
            </w:pPr>
            <w:r>
              <w:rPr>
                <w:spacing w:val="1"/>
              </w:rPr>
              <w:t>管理承建合同中的内容、进度、合同</w:t>
            </w:r>
            <w:r>
              <w:t xml:space="preserve"> 额，以及其他约定，衡量标准明确</w:t>
            </w:r>
          </w:p>
        </w:tc>
      </w:tr>
      <w:tr w14:paraId="2AED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200" w:type="dxa"/>
            <w:tcBorders>
              <w:left w:val="nil"/>
            </w:tcBorders>
            <w:vAlign w:val="top"/>
          </w:tcPr>
          <w:p w14:paraId="10B8ADEB">
            <w:pPr>
              <w:pStyle w:val="6"/>
              <w:spacing w:before="193" w:line="219" w:lineRule="auto"/>
              <w:ind w:left="30"/>
            </w:pPr>
            <w:r>
              <w:rPr>
                <w:spacing w:val="-2"/>
              </w:rPr>
              <w:t>文档资料管理</w:t>
            </w:r>
          </w:p>
        </w:tc>
        <w:tc>
          <w:tcPr>
            <w:tcW w:w="3900" w:type="dxa"/>
            <w:vAlign w:val="top"/>
          </w:tcPr>
          <w:p w14:paraId="253637A2">
            <w:pPr>
              <w:pStyle w:val="6"/>
              <w:spacing w:before="73" w:line="231" w:lineRule="auto"/>
              <w:ind w:left="134" w:hanging="119"/>
            </w:pPr>
            <w:r>
              <w:rPr>
                <w:spacing w:val="-6"/>
              </w:rPr>
              <w:t>以服务过程中产生的工单为主、配套技术文档为</w:t>
            </w:r>
            <w:r>
              <w:rPr>
                <w:spacing w:val="9"/>
              </w:rPr>
              <w:t xml:space="preserve"> </w:t>
            </w:r>
            <w:r>
              <w:rPr>
                <w:spacing w:val="-1"/>
              </w:rPr>
              <w:t>辅，强调服务过程的可溯源性及整体关联性</w:t>
            </w:r>
          </w:p>
        </w:tc>
        <w:tc>
          <w:tcPr>
            <w:tcW w:w="3264" w:type="dxa"/>
            <w:tcBorders>
              <w:right w:val="nil"/>
            </w:tcBorders>
            <w:vAlign w:val="top"/>
          </w:tcPr>
          <w:p w14:paraId="1A60C967">
            <w:pPr>
              <w:pStyle w:val="6"/>
              <w:spacing w:before="73" w:line="231" w:lineRule="auto"/>
              <w:ind w:left="75" w:hanging="60"/>
            </w:pPr>
            <w:r>
              <w:t>以工程技术和管理文档为主，强调文档</w:t>
            </w:r>
            <w:r>
              <w:rPr>
                <w:spacing w:val="12"/>
              </w:rPr>
              <w:t xml:space="preserve"> </w:t>
            </w:r>
            <w:r>
              <w:rPr>
                <w:spacing w:val="-1"/>
              </w:rPr>
              <w:t>与建设成果的一致性及同步性</w:t>
            </w:r>
          </w:p>
        </w:tc>
      </w:tr>
      <w:tr w14:paraId="4539F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200" w:type="dxa"/>
            <w:tcBorders>
              <w:left w:val="nil"/>
            </w:tcBorders>
            <w:vAlign w:val="top"/>
          </w:tcPr>
          <w:p w14:paraId="57CB40F0">
            <w:pPr>
              <w:spacing w:line="271" w:lineRule="auto"/>
              <w:rPr>
                <w:rFonts w:ascii="Arial"/>
                <w:sz w:val="21"/>
              </w:rPr>
            </w:pPr>
          </w:p>
          <w:p w14:paraId="6B0101D2">
            <w:pPr>
              <w:pStyle w:val="6"/>
              <w:spacing w:before="62" w:line="219" w:lineRule="auto"/>
              <w:ind w:left="220"/>
            </w:pPr>
            <w:r>
              <w:rPr>
                <w:spacing w:val="-2"/>
              </w:rPr>
              <w:t>配置管理</w:t>
            </w:r>
          </w:p>
        </w:tc>
        <w:tc>
          <w:tcPr>
            <w:tcW w:w="3900" w:type="dxa"/>
            <w:vAlign w:val="top"/>
          </w:tcPr>
          <w:p w14:paraId="663061E2">
            <w:pPr>
              <w:pStyle w:val="6"/>
              <w:spacing w:before="63" w:line="248" w:lineRule="auto"/>
              <w:ind w:left="15" w:firstLine="29"/>
              <w:jc w:val="both"/>
            </w:pPr>
            <w:r>
              <w:t>从IT整体软硬件环境及安全环境出发进行资产</w:t>
            </w:r>
            <w:r>
              <w:rPr>
                <w:spacing w:val="9"/>
              </w:rPr>
              <w:t xml:space="preserve"> </w:t>
            </w:r>
            <w:r>
              <w:rPr>
                <w:spacing w:val="-6"/>
              </w:rPr>
              <w:t>配置管理，控制配置项变更对全局整体环境及业</w:t>
            </w:r>
            <w:r>
              <w:rPr>
                <w:spacing w:val="9"/>
              </w:rPr>
              <w:t xml:space="preserve"> </w:t>
            </w:r>
            <w:r>
              <w:rPr>
                <w:spacing w:val="16"/>
              </w:rPr>
              <w:t>务的影响</w:t>
            </w:r>
          </w:p>
        </w:tc>
        <w:tc>
          <w:tcPr>
            <w:tcW w:w="3264" w:type="dxa"/>
            <w:tcBorders>
              <w:right w:val="nil"/>
            </w:tcBorders>
            <w:vAlign w:val="top"/>
          </w:tcPr>
          <w:p w14:paraId="6AABC640">
            <w:pPr>
              <w:pStyle w:val="6"/>
              <w:spacing w:before="204" w:line="269" w:lineRule="auto"/>
              <w:ind w:left="55" w:right="130" w:firstLine="40"/>
            </w:pPr>
            <w:r>
              <w:rPr>
                <w:spacing w:val="-1"/>
              </w:rPr>
              <w:t>在建设范围、进度、成本、质量、风</w:t>
            </w:r>
            <w:r>
              <w:rPr>
                <w:spacing w:val="8"/>
              </w:rPr>
              <w:t xml:space="preserve"> </w:t>
            </w:r>
            <w:r>
              <w:t>险、技术可行性等方面控制变更</w:t>
            </w:r>
          </w:p>
        </w:tc>
      </w:tr>
      <w:tr w14:paraId="1AD84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200" w:type="dxa"/>
            <w:tcBorders>
              <w:left w:val="nil"/>
            </w:tcBorders>
            <w:vAlign w:val="top"/>
          </w:tcPr>
          <w:p w14:paraId="3DD24CC2">
            <w:pPr>
              <w:spacing w:line="262" w:lineRule="auto"/>
              <w:rPr>
                <w:rFonts w:ascii="Arial"/>
                <w:sz w:val="21"/>
              </w:rPr>
            </w:pPr>
          </w:p>
          <w:p w14:paraId="63B748D5">
            <w:pPr>
              <w:pStyle w:val="6"/>
              <w:spacing w:before="62" w:line="219" w:lineRule="auto"/>
              <w:ind w:left="220"/>
            </w:pPr>
            <w:r>
              <w:rPr>
                <w:spacing w:val="-2"/>
              </w:rPr>
              <w:t>应急管理</w:t>
            </w:r>
          </w:p>
        </w:tc>
        <w:tc>
          <w:tcPr>
            <w:tcW w:w="3900" w:type="dxa"/>
            <w:vAlign w:val="top"/>
          </w:tcPr>
          <w:p w14:paraId="71FF5F6F">
            <w:pPr>
              <w:pStyle w:val="6"/>
              <w:spacing w:before="87" w:line="237" w:lineRule="auto"/>
              <w:ind w:left="15" w:firstLine="29"/>
              <w:jc w:val="both"/>
            </w:pPr>
            <w:r>
              <w:rPr>
                <w:spacing w:val="-1"/>
              </w:rPr>
              <w:t>对IT整体运行环境应急预案、应急演练、突发</w:t>
            </w:r>
            <w:r>
              <w:rPr>
                <w:spacing w:val="4"/>
              </w:rPr>
              <w:t xml:space="preserve"> </w:t>
            </w:r>
            <w:r>
              <w:rPr>
                <w:spacing w:val="-6"/>
              </w:rPr>
              <w:t>事件处理过程的管理与优化，突出对重点业务的</w:t>
            </w:r>
            <w:r>
              <w:rPr>
                <w:spacing w:val="9"/>
              </w:rPr>
              <w:t xml:space="preserve"> </w:t>
            </w:r>
            <w:r>
              <w:t>应急支撑</w:t>
            </w:r>
          </w:p>
        </w:tc>
        <w:tc>
          <w:tcPr>
            <w:tcW w:w="3264" w:type="dxa"/>
            <w:tcBorders>
              <w:right w:val="nil"/>
            </w:tcBorders>
            <w:vAlign w:val="top"/>
          </w:tcPr>
          <w:p w14:paraId="141B3569">
            <w:pPr>
              <w:pStyle w:val="6"/>
              <w:spacing w:before="74" w:line="241" w:lineRule="auto"/>
              <w:ind w:left="15" w:right="20"/>
              <w:jc w:val="both"/>
            </w:pPr>
            <w:r>
              <w:rPr>
                <w:spacing w:val="-1"/>
              </w:rPr>
              <w:t>对建设过程中的突发事件及潜在风险进</w:t>
            </w:r>
            <w:r>
              <w:rPr>
                <w:spacing w:val="9"/>
              </w:rPr>
              <w:t xml:space="preserve"> </w:t>
            </w:r>
            <w:r>
              <w:rPr>
                <w:spacing w:val="-1"/>
              </w:rPr>
              <w:t>行预案、预警及处置，突出对潜在风险</w:t>
            </w:r>
            <w:r>
              <w:rPr>
                <w:spacing w:val="5"/>
              </w:rPr>
              <w:t xml:space="preserve"> </w:t>
            </w:r>
            <w:r>
              <w:rPr>
                <w:spacing w:val="3"/>
              </w:rPr>
              <w:t>的预警及突发事件的处置</w:t>
            </w:r>
          </w:p>
        </w:tc>
      </w:tr>
      <w:tr w14:paraId="0EC2E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200" w:type="dxa"/>
            <w:tcBorders>
              <w:left w:val="nil"/>
            </w:tcBorders>
            <w:vAlign w:val="top"/>
          </w:tcPr>
          <w:p w14:paraId="6F5091B9">
            <w:pPr>
              <w:spacing w:line="273" w:lineRule="auto"/>
              <w:rPr>
                <w:rFonts w:ascii="Arial"/>
                <w:sz w:val="21"/>
              </w:rPr>
            </w:pPr>
          </w:p>
          <w:p w14:paraId="012906B4">
            <w:pPr>
              <w:pStyle w:val="6"/>
              <w:spacing w:before="62" w:line="219" w:lineRule="auto"/>
              <w:ind w:left="220"/>
            </w:pPr>
            <w:r>
              <w:rPr>
                <w:spacing w:val="-3"/>
              </w:rPr>
              <w:t>效能管理</w:t>
            </w:r>
          </w:p>
        </w:tc>
        <w:tc>
          <w:tcPr>
            <w:tcW w:w="3900" w:type="dxa"/>
            <w:vAlign w:val="top"/>
          </w:tcPr>
          <w:p w14:paraId="1E0E4885">
            <w:pPr>
              <w:pStyle w:val="6"/>
              <w:spacing w:before="75" w:line="244" w:lineRule="auto"/>
              <w:ind w:left="44" w:hanging="29"/>
              <w:jc w:val="both"/>
            </w:pPr>
            <w:r>
              <w:rPr>
                <w:spacing w:val="-6"/>
              </w:rPr>
              <w:t>综合服务过程，评价并管理运维服务提供方对其</w:t>
            </w:r>
            <w:r>
              <w:rPr>
                <w:spacing w:val="9"/>
              </w:rPr>
              <w:t xml:space="preserve"> </w:t>
            </w:r>
            <w:r>
              <w:rPr>
                <w:spacing w:val="-1"/>
              </w:rPr>
              <w:t>所辖服务对象的服务能力，以及IT资产对业务</w:t>
            </w:r>
            <w:r>
              <w:rPr>
                <w:spacing w:val="9"/>
              </w:rPr>
              <w:t xml:space="preserve"> </w:t>
            </w:r>
            <w:r>
              <w:rPr>
                <w:spacing w:val="5"/>
              </w:rPr>
              <w:t>发展的支撑能力</w:t>
            </w:r>
          </w:p>
        </w:tc>
        <w:tc>
          <w:tcPr>
            <w:tcW w:w="3264" w:type="dxa"/>
            <w:tcBorders>
              <w:right w:val="nil"/>
            </w:tcBorders>
            <w:vAlign w:val="top"/>
          </w:tcPr>
          <w:p w14:paraId="44C3D6E8">
            <w:pPr>
              <w:pStyle w:val="6"/>
              <w:spacing w:before="66" w:line="247" w:lineRule="auto"/>
              <w:ind w:left="95" w:right="5" w:hanging="80"/>
            </w:pPr>
            <w:r>
              <w:t>因为在建设监理实践中，系统处于在建</w:t>
            </w:r>
            <w:r>
              <w:rPr>
                <w:spacing w:val="7"/>
              </w:rPr>
              <w:t xml:space="preserve"> </w:t>
            </w:r>
            <w:r>
              <w:rPr>
                <w:spacing w:val="-1"/>
              </w:rPr>
              <w:t>或未完全建成状态，其效能是不完整</w:t>
            </w:r>
            <w:r>
              <w:rPr>
                <w:spacing w:val="2"/>
              </w:rPr>
              <w:t xml:space="preserve">  </w:t>
            </w:r>
            <w:r>
              <w:t>的，即便管理也是局部的，故视为无</w:t>
            </w:r>
          </w:p>
        </w:tc>
      </w:tr>
      <w:tr w14:paraId="35A70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1200" w:type="dxa"/>
            <w:tcBorders>
              <w:left w:val="nil"/>
            </w:tcBorders>
            <w:vAlign w:val="top"/>
          </w:tcPr>
          <w:p w14:paraId="469A9307">
            <w:pPr>
              <w:spacing w:line="265" w:lineRule="auto"/>
              <w:rPr>
                <w:rFonts w:ascii="Arial"/>
                <w:sz w:val="21"/>
              </w:rPr>
            </w:pPr>
          </w:p>
          <w:p w14:paraId="54883612">
            <w:pPr>
              <w:pStyle w:val="6"/>
              <w:spacing w:before="61" w:line="220" w:lineRule="auto"/>
              <w:ind w:left="220"/>
            </w:pPr>
            <w:r>
              <w:rPr>
                <w:spacing w:val="3"/>
              </w:rPr>
              <w:t>组织协调</w:t>
            </w:r>
          </w:p>
        </w:tc>
        <w:tc>
          <w:tcPr>
            <w:tcW w:w="3900" w:type="dxa"/>
            <w:vAlign w:val="top"/>
          </w:tcPr>
          <w:p w14:paraId="356ECDEC">
            <w:pPr>
              <w:pStyle w:val="6"/>
              <w:spacing w:before="66" w:line="242" w:lineRule="auto"/>
              <w:ind w:left="15"/>
              <w:jc w:val="both"/>
            </w:pPr>
            <w:r>
              <w:rPr>
                <w:spacing w:val="-6"/>
              </w:rPr>
              <w:t>与全部参与业主单位信息系统运行维护工作的服</w:t>
            </w:r>
            <w:r>
              <w:rPr>
                <w:spacing w:val="2"/>
              </w:rPr>
              <w:t xml:space="preserve"> </w:t>
            </w:r>
            <w:r>
              <w:rPr>
                <w:spacing w:val="-6"/>
              </w:rPr>
              <w:t>务单位进行协调沟通，突出作为服务单位职责的</w:t>
            </w:r>
            <w:r>
              <w:rPr>
                <w:spacing w:val="9"/>
              </w:rPr>
              <w:t xml:space="preserve"> </w:t>
            </w:r>
            <w:r>
              <w:rPr>
                <w:spacing w:val="10"/>
              </w:rPr>
              <w:t>裁判作用</w:t>
            </w:r>
          </w:p>
        </w:tc>
        <w:tc>
          <w:tcPr>
            <w:tcW w:w="3264" w:type="dxa"/>
            <w:tcBorders>
              <w:right w:val="nil"/>
            </w:tcBorders>
            <w:vAlign w:val="top"/>
          </w:tcPr>
          <w:p w14:paraId="5DFBCDF6">
            <w:pPr>
              <w:pStyle w:val="6"/>
              <w:spacing w:before="197" w:line="249" w:lineRule="auto"/>
              <w:ind w:left="55" w:right="25" w:hanging="40"/>
            </w:pPr>
            <w:r>
              <w:rPr>
                <w:spacing w:val="-1"/>
              </w:rPr>
              <w:t>与项目特定的业主单位及承建单位各方</w:t>
            </w:r>
            <w:r>
              <w:rPr>
                <w:spacing w:val="4"/>
              </w:rPr>
              <w:t xml:space="preserve"> </w:t>
            </w:r>
            <w:r>
              <w:rPr>
                <w:spacing w:val="-1"/>
              </w:rPr>
              <w:t>进行协调沟通，解决争议</w:t>
            </w:r>
          </w:p>
        </w:tc>
      </w:tr>
    </w:tbl>
    <w:p w14:paraId="67B67F58">
      <w:pPr>
        <w:pStyle w:val="2"/>
        <w:spacing w:before="222" w:line="220" w:lineRule="auto"/>
        <w:ind w:left="372"/>
        <w:rPr>
          <w:sz w:val="25"/>
          <w:szCs w:val="25"/>
        </w:rPr>
      </w:pPr>
      <w:r>
        <w:rPr>
          <w:b/>
          <w:bCs/>
          <w:color w:val="0074DB"/>
          <w:spacing w:val="-17"/>
          <w:sz w:val="25"/>
          <w:szCs w:val="25"/>
        </w:rPr>
        <w:t>25.1.3</w:t>
      </w:r>
      <w:r>
        <w:rPr>
          <w:color w:val="0074DB"/>
          <w:spacing w:val="107"/>
          <w:sz w:val="25"/>
          <w:szCs w:val="25"/>
        </w:rPr>
        <w:t xml:space="preserve"> </w:t>
      </w:r>
      <w:r>
        <w:rPr>
          <w:b/>
          <w:bCs/>
          <w:color w:val="0074DB"/>
          <w:spacing w:val="-17"/>
          <w:sz w:val="25"/>
          <w:szCs w:val="25"/>
        </w:rPr>
        <w:t>运行维护监理的阶段及要求</w:t>
      </w:r>
    </w:p>
    <w:p w14:paraId="049D7AEC">
      <w:pPr>
        <w:pStyle w:val="2"/>
        <w:spacing w:before="170" w:line="270" w:lineRule="auto"/>
        <w:ind w:left="369" w:firstLine="400"/>
        <w:rPr>
          <w:sz w:val="19"/>
          <w:szCs w:val="19"/>
        </w:rPr>
      </w:pPr>
      <w:r>
        <w:rPr>
          <w:spacing w:val="10"/>
          <w:sz w:val="19"/>
          <w:szCs w:val="19"/>
        </w:rPr>
        <w:t>运行维护监理工作按照服务阶段划分，分为招标阶段监理、实施阶段监理、评估阶段监理，</w:t>
      </w:r>
      <w:r>
        <w:rPr>
          <w:spacing w:val="3"/>
          <w:sz w:val="19"/>
          <w:szCs w:val="19"/>
        </w:rPr>
        <w:t xml:space="preserve"> </w:t>
      </w:r>
      <w:r>
        <w:rPr>
          <w:spacing w:val="9"/>
          <w:sz w:val="19"/>
          <w:szCs w:val="19"/>
        </w:rPr>
        <w:t>每个阶段都有相应的监理要求。如表25-2所示。</w:t>
      </w:r>
    </w:p>
    <w:p w14:paraId="2B3BCBB4">
      <w:pPr>
        <w:spacing w:line="270" w:lineRule="auto"/>
        <w:rPr>
          <w:sz w:val="19"/>
          <w:szCs w:val="19"/>
        </w:rPr>
        <w:sectPr>
          <w:pgSz w:w="10310" w:h="13420"/>
          <w:pgMar w:top="400" w:right="994" w:bottom="400" w:left="540" w:header="0" w:footer="0" w:gutter="0"/>
          <w:cols w:space="720" w:num="1"/>
        </w:sectPr>
      </w:pPr>
    </w:p>
    <w:p w14:paraId="546BA4EB">
      <w:pPr>
        <w:pStyle w:val="2"/>
        <w:spacing w:before="47" w:line="320" w:lineRule="exact"/>
        <w:jc w:val="right"/>
        <w:rPr>
          <w:rFonts w:ascii="Times New Roman" w:hAnsi="Times New Roman" w:eastAsia="Times New Roman" w:cs="Times New Roman"/>
          <w:sz w:val="19"/>
          <w:szCs w:val="19"/>
        </w:rPr>
      </w:pPr>
      <w:r>
        <w:drawing>
          <wp:anchor distT="0" distB="0" distL="0" distR="0" simplePos="0" relativeHeight="251853824" behindDoc="1" locked="0" layoutInCell="1" allowOverlap="1">
            <wp:simplePos x="0" y="0"/>
            <wp:positionH relativeFrom="column">
              <wp:posOffset>4971415</wp:posOffset>
            </wp:positionH>
            <wp:positionV relativeFrom="paragraph">
              <wp:posOffset>-31115</wp:posOffset>
            </wp:positionV>
            <wp:extent cx="317500" cy="23495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373"/>
                    <a:stretch>
                      <a:fillRect/>
                    </a:stretch>
                  </pic:blipFill>
                  <pic:spPr>
                    <a:xfrm>
                      <a:off x="0" y="0"/>
                      <a:ext cx="317475" cy="234953"/>
                    </a:xfrm>
                    <a:prstGeom prst="rect">
                      <a:avLst/>
                    </a:prstGeom>
                  </pic:spPr>
                </pic:pic>
              </a:graphicData>
            </a:graphic>
          </wp:anchor>
        </w:drawing>
      </w:r>
      <w:r>
        <w:rPr>
          <w:spacing w:val="2"/>
          <w:position w:val="5"/>
          <w:sz w:val="19"/>
          <w:szCs w:val="19"/>
        </w:rPr>
        <w:t>第25章</w:t>
      </w:r>
      <w:r>
        <w:rPr>
          <w:spacing w:val="27"/>
          <w:position w:val="5"/>
          <w:sz w:val="19"/>
          <w:szCs w:val="19"/>
        </w:rPr>
        <w:t xml:space="preserve"> </w:t>
      </w:r>
      <w:r>
        <w:rPr>
          <w:spacing w:val="2"/>
          <w:position w:val="5"/>
          <w:sz w:val="19"/>
          <w:szCs w:val="19"/>
        </w:rPr>
        <w:t>运行维护监理</w:t>
      </w:r>
      <w:r>
        <w:rPr>
          <w:spacing w:val="12"/>
          <w:position w:val="5"/>
          <w:sz w:val="19"/>
          <w:szCs w:val="19"/>
        </w:rPr>
        <w:t xml:space="preserve">   </w:t>
      </w:r>
      <w:r>
        <w:rPr>
          <w:color w:val="009BEA"/>
          <w:spacing w:val="2"/>
          <w:position w:val="-2"/>
          <w:sz w:val="19"/>
          <w:szCs w:val="19"/>
        </w:rPr>
        <w:t>■</w:t>
      </w:r>
      <w:r>
        <w:rPr>
          <w:color w:val="009BEA"/>
          <w:spacing w:val="33"/>
          <w:position w:val="-2"/>
          <w:sz w:val="19"/>
          <w:szCs w:val="19"/>
        </w:rPr>
        <w:t xml:space="preserve"> </w:t>
      </w:r>
      <w:r>
        <w:rPr>
          <w:rFonts w:ascii="Times New Roman" w:hAnsi="Times New Roman" w:eastAsia="Times New Roman" w:cs="Times New Roman"/>
          <w:spacing w:val="2"/>
          <w:position w:val="-2"/>
          <w:sz w:val="19"/>
          <w:szCs w:val="19"/>
        </w:rPr>
        <w:t>581</w:t>
      </w:r>
    </w:p>
    <w:p w14:paraId="00725ACB">
      <w:pPr>
        <w:spacing w:before="266" w:line="222" w:lineRule="auto"/>
        <w:ind w:left="2342"/>
        <w:rPr>
          <w:rFonts w:ascii="黑体" w:hAnsi="黑体" w:eastAsia="黑体" w:cs="黑体"/>
          <w:sz w:val="19"/>
          <w:szCs w:val="19"/>
        </w:rPr>
      </w:pPr>
      <w:r>
        <w:rPr>
          <w:rFonts w:ascii="黑体" w:hAnsi="黑体" w:eastAsia="黑体" w:cs="黑体"/>
          <w:b/>
          <w:bCs/>
          <w:spacing w:val="-9"/>
          <w:sz w:val="19"/>
          <w:szCs w:val="19"/>
        </w:rPr>
        <w:t>表25-2</w:t>
      </w:r>
      <w:r>
        <w:rPr>
          <w:rFonts w:ascii="黑体" w:hAnsi="黑体" w:eastAsia="黑体" w:cs="黑体"/>
          <w:spacing w:val="75"/>
          <w:sz w:val="19"/>
          <w:szCs w:val="19"/>
        </w:rPr>
        <w:t xml:space="preserve"> </w:t>
      </w:r>
      <w:r>
        <w:rPr>
          <w:rFonts w:ascii="黑体" w:hAnsi="黑体" w:eastAsia="黑体" w:cs="黑体"/>
          <w:b/>
          <w:bCs/>
          <w:spacing w:val="-9"/>
          <w:sz w:val="19"/>
          <w:szCs w:val="19"/>
        </w:rPr>
        <w:t>运行维护监理工作各阶段的监理要求</w:t>
      </w:r>
    </w:p>
    <w:p w14:paraId="010461B9">
      <w:pPr>
        <w:spacing w:line="112" w:lineRule="exact"/>
      </w:pPr>
    </w:p>
    <w:tbl>
      <w:tblPr>
        <w:tblStyle w:val="5"/>
        <w:tblW w:w="8324"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00"/>
        <w:gridCol w:w="6924"/>
      </w:tblGrid>
      <w:tr w14:paraId="38F3F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400" w:type="dxa"/>
            <w:tcBorders>
              <w:left w:val="nil"/>
            </w:tcBorders>
            <w:vAlign w:val="top"/>
          </w:tcPr>
          <w:p w14:paraId="403760AF">
            <w:pPr>
              <w:pStyle w:val="6"/>
              <w:spacing w:before="81" w:line="221" w:lineRule="auto"/>
              <w:ind w:left="512"/>
            </w:pPr>
            <w:r>
              <w:rPr>
                <w:b/>
                <w:bCs/>
                <w:spacing w:val="-6"/>
              </w:rPr>
              <w:t>阶段</w:t>
            </w:r>
          </w:p>
        </w:tc>
        <w:tc>
          <w:tcPr>
            <w:tcW w:w="6924" w:type="dxa"/>
            <w:tcBorders>
              <w:right w:val="nil"/>
            </w:tcBorders>
            <w:vAlign w:val="top"/>
          </w:tcPr>
          <w:p w14:paraId="3C88D250">
            <w:pPr>
              <w:pStyle w:val="6"/>
              <w:spacing w:before="81" w:line="221" w:lineRule="auto"/>
              <w:ind w:left="3087"/>
            </w:pPr>
            <w:r>
              <w:rPr>
                <w:b/>
                <w:bCs/>
                <w:spacing w:val="-4"/>
              </w:rPr>
              <w:t>监理要求</w:t>
            </w:r>
          </w:p>
        </w:tc>
      </w:tr>
      <w:tr w14:paraId="38FB1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7" w:hRule="atLeast"/>
        </w:trPr>
        <w:tc>
          <w:tcPr>
            <w:tcW w:w="1400" w:type="dxa"/>
            <w:tcBorders>
              <w:left w:val="nil"/>
            </w:tcBorders>
            <w:vAlign w:val="top"/>
          </w:tcPr>
          <w:p w14:paraId="31FF1441">
            <w:pPr>
              <w:spacing w:line="336" w:lineRule="auto"/>
              <w:rPr>
                <w:rFonts w:ascii="Arial"/>
                <w:sz w:val="21"/>
              </w:rPr>
            </w:pPr>
          </w:p>
          <w:p w14:paraId="346772E8">
            <w:pPr>
              <w:spacing w:line="337" w:lineRule="auto"/>
              <w:rPr>
                <w:rFonts w:ascii="Arial"/>
                <w:sz w:val="21"/>
              </w:rPr>
            </w:pPr>
          </w:p>
          <w:p w14:paraId="40F57BD3">
            <w:pPr>
              <w:pStyle w:val="6"/>
              <w:spacing w:before="62" w:line="220" w:lineRule="auto"/>
              <w:ind w:left="129"/>
            </w:pPr>
            <w:r>
              <w:rPr>
                <w:spacing w:val="-2"/>
              </w:rPr>
              <w:t>招标阶段监理</w:t>
            </w:r>
          </w:p>
        </w:tc>
        <w:tc>
          <w:tcPr>
            <w:tcW w:w="6924" w:type="dxa"/>
            <w:tcBorders>
              <w:right w:val="nil"/>
            </w:tcBorders>
            <w:vAlign w:val="top"/>
          </w:tcPr>
          <w:p w14:paraId="4E80A060">
            <w:pPr>
              <w:pStyle w:val="6"/>
              <w:spacing w:before="67" w:line="219" w:lineRule="auto"/>
              <w:ind w:left="54"/>
            </w:pPr>
            <w:r>
              <w:t>●监理机构应协助业主单位明确信息系统运行维护阶段的主要任务和服务标准</w:t>
            </w:r>
          </w:p>
          <w:p w14:paraId="0A706812">
            <w:pPr>
              <w:pStyle w:val="6"/>
              <w:spacing w:before="54" w:line="242" w:lineRule="auto"/>
              <w:ind w:left="344" w:hanging="280"/>
            </w:pPr>
            <w:r>
              <w:rPr>
                <w:spacing w:val="-5"/>
              </w:rPr>
              <w:t>●监理机构应协助业主单位在信息系统运行维护阶段选择适合的提供运行维护服务的</w:t>
            </w:r>
            <w:r>
              <w:rPr>
                <w:spacing w:val="8"/>
              </w:rPr>
              <w:t xml:space="preserve"> </w:t>
            </w:r>
            <w:r>
              <w:rPr>
                <w:spacing w:val="1"/>
              </w:rPr>
              <w:t>单位，包括招标的工作</w:t>
            </w:r>
          </w:p>
          <w:p w14:paraId="3ACCBA14">
            <w:pPr>
              <w:pStyle w:val="6"/>
              <w:spacing w:before="50" w:line="243" w:lineRule="auto"/>
              <w:ind w:left="344" w:right="7" w:hanging="280"/>
            </w:pPr>
            <w:r>
              <w:rPr>
                <w:spacing w:val="2"/>
              </w:rPr>
              <w:t>●监理机构应协助业主单位与运维服务提供方签署运</w:t>
            </w:r>
            <w:r>
              <w:rPr>
                <w:spacing w:val="1"/>
              </w:rPr>
              <w:t>行维护服务级别协议(</w:t>
            </w:r>
            <w:r>
              <w:t>SLA</w:t>
            </w:r>
            <w:r>
              <w:rPr>
                <w:spacing w:val="1"/>
              </w:rPr>
              <w:t>),</w:t>
            </w:r>
            <w:r>
              <w:t xml:space="preserve">  </w:t>
            </w:r>
            <w:r>
              <w:rPr>
                <w:spacing w:val="-8"/>
              </w:rPr>
              <w:t>在技术、经济上合理有效。在签订的运行维护服务合同中应明确要求运维服务提供</w:t>
            </w:r>
            <w:r>
              <w:rPr>
                <w:spacing w:val="13"/>
              </w:rPr>
              <w:t xml:space="preserve"> </w:t>
            </w:r>
            <w:r>
              <w:rPr>
                <w:spacing w:val="-1"/>
              </w:rPr>
              <w:t>方接受监理单位的监理</w:t>
            </w:r>
          </w:p>
        </w:tc>
      </w:tr>
      <w:tr w14:paraId="6015E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6" w:hRule="atLeast"/>
        </w:trPr>
        <w:tc>
          <w:tcPr>
            <w:tcW w:w="1400" w:type="dxa"/>
            <w:tcBorders>
              <w:left w:val="nil"/>
            </w:tcBorders>
            <w:vAlign w:val="top"/>
          </w:tcPr>
          <w:p w14:paraId="1530FD8F">
            <w:pPr>
              <w:spacing w:line="271" w:lineRule="auto"/>
              <w:rPr>
                <w:rFonts w:ascii="Arial"/>
                <w:sz w:val="21"/>
              </w:rPr>
            </w:pPr>
          </w:p>
          <w:p w14:paraId="68C67947">
            <w:pPr>
              <w:spacing w:line="272" w:lineRule="auto"/>
              <w:rPr>
                <w:rFonts w:ascii="Arial"/>
                <w:sz w:val="21"/>
              </w:rPr>
            </w:pPr>
          </w:p>
          <w:p w14:paraId="65D262F7">
            <w:pPr>
              <w:spacing w:line="272" w:lineRule="auto"/>
              <w:rPr>
                <w:rFonts w:ascii="Arial"/>
                <w:sz w:val="21"/>
              </w:rPr>
            </w:pPr>
          </w:p>
          <w:p w14:paraId="678EB351">
            <w:pPr>
              <w:pStyle w:val="6"/>
              <w:spacing w:before="62" w:line="220" w:lineRule="auto"/>
              <w:ind w:left="129"/>
            </w:pPr>
            <w:r>
              <w:rPr>
                <w:spacing w:val="-2"/>
              </w:rPr>
              <w:t>实施阶段监理</w:t>
            </w:r>
          </w:p>
        </w:tc>
        <w:tc>
          <w:tcPr>
            <w:tcW w:w="6924" w:type="dxa"/>
            <w:tcBorders>
              <w:right w:val="nil"/>
            </w:tcBorders>
            <w:vAlign w:val="top"/>
          </w:tcPr>
          <w:p w14:paraId="79B7CA2A">
            <w:pPr>
              <w:pStyle w:val="6"/>
              <w:spacing w:before="59" w:line="255" w:lineRule="auto"/>
              <w:ind w:left="334" w:right="1" w:hanging="270"/>
            </w:pPr>
            <w:r>
              <w:rPr>
                <w:spacing w:val="-5"/>
              </w:rPr>
              <w:t>●监理机构应依据服务级别协议及服务目录，协助业主单位对运行维护服务商的工作</w:t>
            </w:r>
            <w:r>
              <w:rPr>
                <w:spacing w:val="6"/>
              </w:rPr>
              <w:t xml:space="preserve"> </w:t>
            </w:r>
            <w:r>
              <w:rPr>
                <w:spacing w:val="-7"/>
              </w:rPr>
              <w:t>进行监督和考核，包括建立考核制度、指标和办法，通</w:t>
            </w:r>
            <w:r>
              <w:rPr>
                <w:spacing w:val="-8"/>
              </w:rPr>
              <w:t>过有效监督保证运行维护服</w:t>
            </w:r>
            <w:r>
              <w:t xml:space="preserve"> </w:t>
            </w:r>
            <w:r>
              <w:rPr>
                <w:spacing w:val="-2"/>
              </w:rPr>
              <w:t>务的质量</w:t>
            </w:r>
          </w:p>
          <w:p w14:paraId="236857EE">
            <w:pPr>
              <w:pStyle w:val="6"/>
              <w:spacing w:before="64" w:line="241" w:lineRule="auto"/>
              <w:ind w:left="334" w:right="10" w:hanging="310"/>
            </w:pPr>
            <w:r>
              <w:rPr>
                <w:spacing w:val="-4"/>
              </w:rPr>
              <w:t>●监理机构应配合业主单位及运维服务提供方共同制订可操作的业务连续性运行维护</w:t>
            </w:r>
            <w:r>
              <w:t xml:space="preserve"> 方案和计划，并按照运行维护方案和计划监督运行维护服务商的运行维护工作</w:t>
            </w:r>
          </w:p>
          <w:p w14:paraId="21C3EEEE">
            <w:pPr>
              <w:pStyle w:val="6"/>
              <w:spacing w:before="53" w:line="231" w:lineRule="auto"/>
              <w:ind w:left="344" w:right="2" w:hanging="300"/>
            </w:pPr>
            <w:r>
              <w:rPr>
                <w:spacing w:val="-4"/>
              </w:rPr>
              <w:t>●监理机构应配合业主单位及运维服务提供方共同制订灾</w:t>
            </w:r>
            <w:r>
              <w:rPr>
                <w:spacing w:val="-5"/>
              </w:rPr>
              <w:t>难恢复方案与计划，按照灾</w:t>
            </w:r>
            <w:r>
              <w:t xml:space="preserve"> 难恢复方案与计划，协助业主单位组织灾难恢复</w:t>
            </w:r>
            <w:r>
              <w:rPr>
                <w:spacing w:val="-1"/>
              </w:rPr>
              <w:t>演练，并监督演练</w:t>
            </w:r>
          </w:p>
        </w:tc>
      </w:tr>
      <w:tr w14:paraId="64E90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3" w:hRule="atLeast"/>
        </w:trPr>
        <w:tc>
          <w:tcPr>
            <w:tcW w:w="1400" w:type="dxa"/>
            <w:tcBorders>
              <w:left w:val="nil"/>
            </w:tcBorders>
            <w:vAlign w:val="top"/>
          </w:tcPr>
          <w:p w14:paraId="3970E9EC">
            <w:pPr>
              <w:spacing w:line="270" w:lineRule="auto"/>
              <w:rPr>
                <w:rFonts w:ascii="Arial"/>
                <w:sz w:val="21"/>
              </w:rPr>
            </w:pPr>
          </w:p>
          <w:p w14:paraId="51FC287E">
            <w:pPr>
              <w:pStyle w:val="6"/>
              <w:spacing w:before="62" w:line="218" w:lineRule="auto"/>
              <w:ind w:left="129"/>
            </w:pPr>
            <w:r>
              <w:rPr>
                <w:spacing w:val="-1"/>
              </w:rPr>
              <w:t>评估阶段监理</w:t>
            </w:r>
          </w:p>
        </w:tc>
        <w:tc>
          <w:tcPr>
            <w:tcW w:w="6924" w:type="dxa"/>
            <w:tcBorders>
              <w:right w:val="nil"/>
            </w:tcBorders>
            <w:vAlign w:val="top"/>
          </w:tcPr>
          <w:p w14:paraId="5E5BE3D3">
            <w:pPr>
              <w:pStyle w:val="6"/>
              <w:spacing w:before="84" w:line="218" w:lineRule="auto"/>
              <w:ind w:left="54"/>
            </w:pPr>
            <w:r>
              <w:t>●监理机构应协助业主单位对运行维护后的系统进行效果评估</w:t>
            </w:r>
          </w:p>
          <w:p w14:paraId="7CD5C8BA">
            <w:pPr>
              <w:pStyle w:val="6"/>
              <w:spacing w:before="46" w:line="232" w:lineRule="auto"/>
              <w:ind w:left="344" w:right="1" w:hanging="290"/>
            </w:pPr>
            <w:r>
              <w:rPr>
                <w:spacing w:val="-5"/>
              </w:rPr>
              <w:t>●监理机构应协助业主单位对运行维护服务结果、服务交付过程以及相关管理的工作</w:t>
            </w:r>
            <w:r>
              <w:rPr>
                <w:spacing w:val="16"/>
              </w:rPr>
              <w:t xml:space="preserve"> </w:t>
            </w:r>
            <w:r>
              <w:rPr>
                <w:spacing w:val="-1"/>
              </w:rPr>
              <w:t>进行评估、认定和验收</w:t>
            </w:r>
          </w:p>
        </w:tc>
      </w:tr>
    </w:tbl>
    <w:p w14:paraId="0AE9AF80">
      <w:pPr>
        <w:pStyle w:val="2"/>
        <w:spacing w:before="241" w:line="293" w:lineRule="auto"/>
        <w:ind w:right="335" w:firstLine="389"/>
        <w:jc w:val="both"/>
        <w:rPr>
          <w:sz w:val="19"/>
          <w:szCs w:val="19"/>
        </w:rPr>
      </w:pPr>
      <w:r>
        <w:rPr>
          <w:spacing w:val="13"/>
          <w:sz w:val="19"/>
          <w:szCs w:val="19"/>
        </w:rPr>
        <w:t>下面将结合案例重点介绍信息系统运行维护招标</w:t>
      </w:r>
      <w:r>
        <w:rPr>
          <w:spacing w:val="12"/>
          <w:sz w:val="19"/>
          <w:szCs w:val="19"/>
        </w:rPr>
        <w:t>、实施、评估三个阶段的重点监理活动及</w:t>
      </w:r>
      <w:r>
        <w:rPr>
          <w:sz w:val="19"/>
          <w:szCs w:val="19"/>
        </w:rPr>
        <w:t xml:space="preserve"> </w:t>
      </w:r>
      <w:r>
        <w:rPr>
          <w:spacing w:val="12"/>
          <w:sz w:val="19"/>
          <w:szCs w:val="19"/>
        </w:rPr>
        <w:t>监理内容，并对基础设施、软件、数据、信息安全四类重点运行维护服务的监理要点进行分析</w:t>
      </w:r>
      <w:r>
        <w:rPr>
          <w:spacing w:val="5"/>
          <w:sz w:val="19"/>
          <w:szCs w:val="19"/>
        </w:rPr>
        <w:t xml:space="preserve"> </w:t>
      </w:r>
      <w:r>
        <w:rPr>
          <w:spacing w:val="3"/>
          <w:sz w:val="19"/>
          <w:szCs w:val="19"/>
        </w:rPr>
        <w:t>和阐述。</w:t>
      </w:r>
    </w:p>
    <w:p w14:paraId="70126173">
      <w:pPr>
        <w:spacing w:line="269" w:lineRule="auto"/>
        <w:rPr>
          <w:rFonts w:ascii="Arial"/>
          <w:sz w:val="21"/>
        </w:rPr>
      </w:pPr>
    </w:p>
    <w:p w14:paraId="6DB6A996">
      <w:pPr>
        <w:pStyle w:val="2"/>
        <w:spacing w:before="94" w:line="222" w:lineRule="auto"/>
        <w:ind w:left="4"/>
        <w:rPr>
          <w:rFonts w:ascii="黑体" w:hAnsi="黑体" w:eastAsia="黑体" w:cs="黑体"/>
          <w:sz w:val="29"/>
          <w:szCs w:val="29"/>
        </w:rPr>
      </w:pPr>
      <w:r>
        <w:rPr>
          <w:b/>
          <w:bCs/>
          <w:color w:val="0066DC"/>
          <w:spacing w:val="-11"/>
          <w:sz w:val="29"/>
          <w:szCs w:val="29"/>
        </w:rPr>
        <w:t>25.2</w:t>
      </w:r>
      <w:r>
        <w:rPr>
          <w:color w:val="0066DC"/>
          <w:spacing w:val="97"/>
          <w:sz w:val="29"/>
          <w:szCs w:val="29"/>
        </w:rPr>
        <w:t xml:space="preserve"> </w:t>
      </w:r>
      <w:r>
        <w:rPr>
          <w:rFonts w:ascii="黑体" w:hAnsi="黑体" w:eastAsia="黑体" w:cs="黑体"/>
          <w:b/>
          <w:bCs/>
          <w:color w:val="0066DC"/>
          <w:spacing w:val="-11"/>
          <w:sz w:val="29"/>
          <w:szCs w:val="29"/>
        </w:rPr>
        <w:t>招标阶段监理工作</w:t>
      </w:r>
    </w:p>
    <w:p w14:paraId="5719259A">
      <w:pPr>
        <w:pStyle w:val="2"/>
        <w:spacing w:before="241" w:line="293" w:lineRule="auto"/>
        <w:ind w:right="297" w:firstLine="389"/>
        <w:jc w:val="both"/>
        <w:rPr>
          <w:sz w:val="19"/>
          <w:szCs w:val="19"/>
        </w:rPr>
      </w:pPr>
      <w:r>
        <w:rPr>
          <w:spacing w:val="13"/>
          <w:sz w:val="19"/>
          <w:szCs w:val="19"/>
        </w:rPr>
        <w:t>通常情况下，引入信息系统运行维护监理的项目，会由信息系统的业主单位、运行维护服</w:t>
      </w:r>
      <w:r>
        <w:rPr>
          <w:spacing w:val="9"/>
          <w:sz w:val="19"/>
          <w:szCs w:val="19"/>
        </w:rPr>
        <w:t xml:space="preserve"> </w:t>
      </w:r>
      <w:r>
        <w:rPr>
          <w:spacing w:val="13"/>
          <w:sz w:val="19"/>
          <w:szCs w:val="19"/>
        </w:rPr>
        <w:t>务的提供单位(简称“运维服务提供方”)、监理单位等多方组织，执行招</w:t>
      </w:r>
      <w:r>
        <w:rPr>
          <w:spacing w:val="12"/>
          <w:sz w:val="19"/>
          <w:szCs w:val="19"/>
        </w:rPr>
        <w:t>标、实施、评估等多</w:t>
      </w:r>
      <w:r>
        <w:rPr>
          <w:sz w:val="19"/>
          <w:szCs w:val="19"/>
        </w:rPr>
        <w:t xml:space="preserve"> </w:t>
      </w:r>
      <w:r>
        <w:rPr>
          <w:spacing w:val="4"/>
          <w:sz w:val="19"/>
          <w:szCs w:val="19"/>
        </w:rPr>
        <w:t>个工作环节。</w:t>
      </w:r>
    </w:p>
    <w:p w14:paraId="18EFEA6A">
      <w:pPr>
        <w:pStyle w:val="2"/>
        <w:spacing w:before="17" w:line="292" w:lineRule="auto"/>
        <w:ind w:right="305" w:firstLine="389"/>
        <w:jc w:val="both"/>
        <w:rPr>
          <w:sz w:val="19"/>
          <w:szCs w:val="19"/>
        </w:rPr>
      </w:pPr>
      <w:r>
        <w:rPr>
          <w:spacing w:val="13"/>
          <w:sz w:val="19"/>
          <w:szCs w:val="19"/>
        </w:rPr>
        <w:t>选择运行维护服务的服务提供商是一个严谨和复杂的过程。选择合适的运维服务提供方是</w:t>
      </w:r>
      <w:r>
        <w:rPr>
          <w:spacing w:val="12"/>
          <w:sz w:val="19"/>
          <w:szCs w:val="19"/>
        </w:rPr>
        <w:t xml:space="preserve"> </w:t>
      </w:r>
      <w:r>
        <w:rPr>
          <w:spacing w:val="13"/>
          <w:sz w:val="19"/>
          <w:szCs w:val="19"/>
        </w:rPr>
        <w:t>高质量运行维护服务的必要条件。运用体系化方法执行筛选活动，能够有效筛</w:t>
      </w:r>
      <w:r>
        <w:rPr>
          <w:spacing w:val="12"/>
          <w:sz w:val="19"/>
          <w:szCs w:val="19"/>
        </w:rPr>
        <w:t>选出优质、合适</w:t>
      </w:r>
      <w:r>
        <w:rPr>
          <w:sz w:val="19"/>
          <w:szCs w:val="19"/>
        </w:rPr>
        <w:t xml:space="preserve"> </w:t>
      </w:r>
      <w:r>
        <w:rPr>
          <w:spacing w:val="6"/>
          <w:sz w:val="19"/>
          <w:szCs w:val="19"/>
        </w:rPr>
        <w:t>的运维服务提供方。</w:t>
      </w:r>
    </w:p>
    <w:p w14:paraId="1BE7B6C6">
      <w:pPr>
        <w:pStyle w:val="2"/>
        <w:spacing w:before="29" w:line="289" w:lineRule="auto"/>
        <w:ind w:right="250" w:firstLine="389"/>
        <w:jc w:val="both"/>
        <w:rPr>
          <w:sz w:val="19"/>
          <w:szCs w:val="19"/>
        </w:rPr>
      </w:pPr>
      <w:r>
        <w:rPr>
          <w:spacing w:val="15"/>
          <w:sz w:val="19"/>
          <w:szCs w:val="19"/>
        </w:rPr>
        <w:t>选择适宜的运维服务提供方的关键点在于将业主单位的管理要</w:t>
      </w:r>
      <w:r>
        <w:rPr>
          <w:spacing w:val="14"/>
          <w:sz w:val="19"/>
          <w:szCs w:val="19"/>
        </w:rPr>
        <w:t>求和服务要求整合到一起，</w:t>
      </w:r>
      <w:r>
        <w:rPr>
          <w:sz w:val="19"/>
          <w:szCs w:val="19"/>
        </w:rPr>
        <w:t xml:space="preserve"> </w:t>
      </w:r>
      <w:r>
        <w:rPr>
          <w:spacing w:val="13"/>
          <w:sz w:val="19"/>
          <w:szCs w:val="19"/>
        </w:rPr>
        <w:t>作为招标、评标以及合同中的重要内容，包括服务内容、服务级别、绩效考核</w:t>
      </w:r>
      <w:r>
        <w:rPr>
          <w:spacing w:val="12"/>
          <w:sz w:val="19"/>
          <w:szCs w:val="19"/>
        </w:rPr>
        <w:t>、奖惩制度、服</w:t>
      </w:r>
      <w:r>
        <w:rPr>
          <w:sz w:val="19"/>
          <w:szCs w:val="19"/>
        </w:rPr>
        <w:t xml:space="preserve"> </w:t>
      </w:r>
      <w:r>
        <w:rPr>
          <w:spacing w:val="2"/>
          <w:sz w:val="19"/>
          <w:szCs w:val="19"/>
        </w:rPr>
        <w:t>务成本等。</w:t>
      </w:r>
    </w:p>
    <w:p w14:paraId="43777C8E">
      <w:pPr>
        <w:spacing w:before="4" w:line="293" w:lineRule="auto"/>
        <w:ind w:right="251" w:firstLine="294"/>
        <w:jc w:val="both"/>
        <w:rPr>
          <w:rFonts w:ascii="楷体" w:hAnsi="楷体" w:eastAsia="楷体" w:cs="楷体"/>
          <w:sz w:val="19"/>
          <w:szCs w:val="19"/>
        </w:rPr>
      </w:pPr>
      <w:r>
        <w:rPr>
          <w:rFonts w:ascii="黑体" w:hAnsi="黑体" w:eastAsia="黑体" w:cs="黑体"/>
          <w:spacing w:val="12"/>
          <w:sz w:val="19"/>
          <w:szCs w:val="19"/>
        </w:rPr>
        <w:t>【案例1】</w:t>
      </w:r>
      <w:r>
        <w:rPr>
          <w:rFonts w:ascii="黑体" w:hAnsi="黑体" w:eastAsia="黑体" w:cs="黑体"/>
          <w:spacing w:val="-25"/>
          <w:sz w:val="19"/>
          <w:szCs w:val="19"/>
        </w:rPr>
        <w:t xml:space="preserve"> </w:t>
      </w:r>
      <w:r>
        <w:rPr>
          <w:rFonts w:ascii="楷体" w:hAnsi="楷体" w:eastAsia="楷体" w:cs="楷体"/>
          <w:spacing w:val="12"/>
          <w:sz w:val="19"/>
          <w:szCs w:val="19"/>
        </w:rPr>
        <w:t>以国家某行政管理部门的业务系统运维需求分析为</w:t>
      </w:r>
      <w:r>
        <w:rPr>
          <w:rFonts w:ascii="楷体" w:hAnsi="楷体" w:eastAsia="楷体" w:cs="楷体"/>
          <w:spacing w:val="11"/>
          <w:sz w:val="19"/>
          <w:szCs w:val="19"/>
        </w:rPr>
        <w:t>例，其业务系统是全国大集中</w:t>
      </w:r>
      <w:r>
        <w:rPr>
          <w:rFonts w:ascii="楷体" w:hAnsi="楷体" w:eastAsia="楷体" w:cs="楷体"/>
          <w:sz w:val="19"/>
          <w:szCs w:val="19"/>
        </w:rPr>
        <w:t xml:space="preserve"> </w:t>
      </w:r>
      <w:r>
        <w:rPr>
          <w:rFonts w:ascii="楷体" w:hAnsi="楷体" w:eastAsia="楷体" w:cs="楷体"/>
          <w:spacing w:val="12"/>
          <w:sz w:val="19"/>
          <w:szCs w:val="19"/>
        </w:rPr>
        <w:t>系统，业务系统在全国范围上线前，业务实时数据主要分别在各地方机构的信息部门，国</w:t>
      </w:r>
      <w:r>
        <w:rPr>
          <w:rFonts w:ascii="楷体" w:hAnsi="楷体" w:eastAsia="楷体" w:cs="楷体"/>
          <w:spacing w:val="11"/>
          <w:sz w:val="19"/>
          <w:szCs w:val="19"/>
        </w:rPr>
        <w:t>家级</w:t>
      </w:r>
      <w:r>
        <w:rPr>
          <w:rFonts w:ascii="楷体" w:hAnsi="楷体" w:eastAsia="楷体" w:cs="楷体"/>
          <w:sz w:val="19"/>
          <w:szCs w:val="19"/>
        </w:rPr>
        <w:t xml:space="preserve">  </w:t>
      </w:r>
      <w:r>
        <w:rPr>
          <w:rFonts w:ascii="楷体" w:hAnsi="楷体" w:eastAsia="楷体" w:cs="楷体"/>
          <w:spacing w:val="13"/>
          <w:sz w:val="19"/>
          <w:szCs w:val="19"/>
        </w:rPr>
        <w:t>的信息中心主要负责数据汇总和部分联网数据的传输工作。随着大集中</w:t>
      </w:r>
      <w:r>
        <w:rPr>
          <w:rFonts w:ascii="楷体" w:hAnsi="楷体" w:eastAsia="楷体" w:cs="楷体"/>
          <w:spacing w:val="12"/>
          <w:sz w:val="19"/>
          <w:szCs w:val="19"/>
        </w:rPr>
        <w:t>式业务系统的上线，使</w:t>
      </w:r>
      <w:r>
        <w:rPr>
          <w:rFonts w:ascii="楷体" w:hAnsi="楷体" w:eastAsia="楷体" w:cs="楷体"/>
          <w:sz w:val="19"/>
          <w:szCs w:val="19"/>
        </w:rPr>
        <w:t xml:space="preserve"> </w:t>
      </w:r>
      <w:r>
        <w:rPr>
          <w:rFonts w:ascii="楷体" w:hAnsi="楷体" w:eastAsia="楷体" w:cs="楷体"/>
          <w:spacing w:val="13"/>
          <w:sz w:val="19"/>
          <w:szCs w:val="19"/>
        </w:rPr>
        <w:t>全国系统从分布式运行维护转变为集中式运行维护，实时数据都汇总到国家级信息中心，信息</w:t>
      </w:r>
      <w:r>
        <w:rPr>
          <w:rFonts w:ascii="楷体" w:hAnsi="楷体" w:eastAsia="楷体" w:cs="楷体"/>
          <w:sz w:val="19"/>
          <w:szCs w:val="19"/>
        </w:rPr>
        <w:t xml:space="preserve"> </w:t>
      </w:r>
      <w:r>
        <w:rPr>
          <w:rFonts w:ascii="楷体" w:hAnsi="楷体" w:eastAsia="楷体" w:cs="楷体"/>
          <w:spacing w:val="14"/>
          <w:sz w:val="19"/>
          <w:szCs w:val="19"/>
        </w:rPr>
        <w:t>中心必须要保证应用、系统、网络各个层面的资产能够正常运转，才能保障业务的畅通无阻，</w:t>
      </w:r>
    </w:p>
    <w:p w14:paraId="2C86DDE1">
      <w:pPr>
        <w:spacing w:line="293" w:lineRule="auto"/>
        <w:rPr>
          <w:rFonts w:ascii="楷体" w:hAnsi="楷体" w:eastAsia="楷体" w:cs="楷体"/>
          <w:sz w:val="19"/>
          <w:szCs w:val="19"/>
        </w:rPr>
        <w:sectPr>
          <w:pgSz w:w="10300" w:h="13300"/>
          <w:pgMar w:top="400" w:right="584" w:bottom="400" w:left="1090" w:header="0" w:footer="0" w:gutter="0"/>
          <w:cols w:space="720" w:num="1"/>
        </w:sectPr>
      </w:pPr>
    </w:p>
    <w:p w14:paraId="1BDFC0FF">
      <w:pPr>
        <w:pStyle w:val="2"/>
        <w:spacing w:before="38" w:line="219" w:lineRule="auto"/>
        <w:rPr>
          <w:sz w:val="20"/>
          <w:szCs w:val="20"/>
        </w:rPr>
      </w:pPr>
      <w:r>
        <w:rPr>
          <w:rFonts w:ascii="Times New Roman" w:hAnsi="Times New Roman" w:eastAsia="Times New Roman" w:cs="Times New Roman"/>
          <w:spacing w:val="-2"/>
          <w:position w:val="1"/>
          <w:sz w:val="20"/>
          <w:szCs w:val="20"/>
        </w:rPr>
        <w:t xml:space="preserve">582              </w:t>
      </w:r>
      <w:r>
        <w:rPr>
          <w:spacing w:val="-2"/>
          <w:sz w:val="20"/>
          <w:szCs w:val="20"/>
        </w:rPr>
        <w:t>信息系统监理师教程</w:t>
      </w:r>
      <w:r>
        <w:rPr>
          <w:spacing w:val="-3"/>
          <w:sz w:val="20"/>
          <w:szCs w:val="20"/>
        </w:rPr>
        <w:t>(第2版)</w:t>
      </w:r>
    </w:p>
    <w:p w14:paraId="40238F81">
      <w:pPr>
        <w:spacing w:line="300" w:lineRule="auto"/>
        <w:rPr>
          <w:rFonts w:ascii="Arial"/>
          <w:sz w:val="21"/>
        </w:rPr>
      </w:pPr>
    </w:p>
    <w:p w14:paraId="3E41A602">
      <w:pPr>
        <w:spacing w:before="65" w:line="291" w:lineRule="auto"/>
        <w:ind w:left="359" w:right="50"/>
        <w:jc w:val="both"/>
        <w:rPr>
          <w:rFonts w:ascii="楷体" w:hAnsi="楷体" w:eastAsia="楷体" w:cs="楷体"/>
          <w:sz w:val="20"/>
          <w:szCs w:val="20"/>
        </w:rPr>
      </w:pPr>
      <w:r>
        <w:rPr>
          <w:rFonts w:ascii="楷体" w:hAnsi="楷体" w:eastAsia="楷体" w:cs="楷体"/>
          <w:spacing w:val="2"/>
          <w:sz w:val="20"/>
          <w:szCs w:val="20"/>
        </w:rPr>
        <w:t>否则将会产生重大影响。</w:t>
      </w:r>
      <w:r>
        <w:rPr>
          <w:rFonts w:ascii="楷体" w:hAnsi="楷体" w:eastAsia="楷体" w:cs="楷体"/>
          <w:spacing w:val="-44"/>
          <w:sz w:val="20"/>
          <w:szCs w:val="20"/>
        </w:rPr>
        <w:t xml:space="preserve"> </w:t>
      </w:r>
      <w:r>
        <w:rPr>
          <w:rFonts w:ascii="楷体" w:hAnsi="楷体" w:eastAsia="楷体" w:cs="楷体"/>
          <w:spacing w:val="2"/>
          <w:sz w:val="20"/>
          <w:szCs w:val="20"/>
        </w:rPr>
        <w:t>一旦出现问题，影响将波及全国范围。这就对国家级信息中心的集中</w:t>
      </w:r>
      <w:r>
        <w:rPr>
          <w:rFonts w:ascii="楷体" w:hAnsi="楷体" w:eastAsia="楷体" w:cs="楷体"/>
          <w:sz w:val="20"/>
          <w:szCs w:val="20"/>
        </w:rPr>
        <w:t xml:space="preserve"> </w:t>
      </w:r>
      <w:r>
        <w:rPr>
          <w:rFonts w:ascii="楷体" w:hAnsi="楷体" w:eastAsia="楷体" w:cs="楷体"/>
          <w:spacing w:val="3"/>
          <w:sz w:val="20"/>
          <w:szCs w:val="20"/>
        </w:rPr>
        <w:t>式运行维护全过程管理及供应商的选择提出了更高的要求，监理机构应在招标阶段提供高质量</w:t>
      </w:r>
      <w:r>
        <w:rPr>
          <w:rFonts w:ascii="楷体" w:hAnsi="楷体" w:eastAsia="楷体" w:cs="楷体"/>
          <w:sz w:val="20"/>
          <w:szCs w:val="20"/>
        </w:rPr>
        <w:t xml:space="preserve"> </w:t>
      </w:r>
      <w:r>
        <w:rPr>
          <w:rFonts w:ascii="楷体" w:hAnsi="楷体" w:eastAsia="楷体" w:cs="楷体"/>
          <w:spacing w:val="3"/>
          <w:sz w:val="20"/>
          <w:szCs w:val="20"/>
        </w:rPr>
        <w:t>的服务，以确保运维服务提供方的质量及运行维护服务的效果。在此案例中，运维服务内容的</w:t>
      </w:r>
      <w:r>
        <w:rPr>
          <w:rFonts w:ascii="楷体" w:hAnsi="楷体" w:eastAsia="楷体" w:cs="楷体"/>
          <w:spacing w:val="6"/>
          <w:sz w:val="20"/>
          <w:szCs w:val="20"/>
        </w:rPr>
        <w:t xml:space="preserve"> </w:t>
      </w:r>
      <w:r>
        <w:rPr>
          <w:rFonts w:ascii="楷体" w:hAnsi="楷体" w:eastAsia="楷体" w:cs="楷体"/>
          <w:spacing w:val="3"/>
          <w:sz w:val="20"/>
          <w:szCs w:val="20"/>
        </w:rPr>
        <w:t>需求基本一致，即系统运行维护。但在地方机构与国家级机构的服务对象</w:t>
      </w:r>
      <w:r>
        <w:rPr>
          <w:rFonts w:ascii="楷体" w:hAnsi="楷体" w:eastAsia="楷体" w:cs="楷体"/>
          <w:spacing w:val="2"/>
          <w:sz w:val="20"/>
          <w:szCs w:val="20"/>
        </w:rPr>
        <w:t>、服务级别、服务要</w:t>
      </w:r>
      <w:r>
        <w:rPr>
          <w:rFonts w:ascii="楷体" w:hAnsi="楷体" w:eastAsia="楷体" w:cs="楷体"/>
          <w:sz w:val="20"/>
          <w:szCs w:val="20"/>
        </w:rPr>
        <w:t xml:space="preserve"> </w:t>
      </w:r>
      <w:r>
        <w:rPr>
          <w:rFonts w:ascii="楷体" w:hAnsi="楷体" w:eastAsia="楷体" w:cs="楷体"/>
          <w:spacing w:val="3"/>
          <w:sz w:val="20"/>
          <w:szCs w:val="20"/>
        </w:rPr>
        <w:t>求、服务响应和服务成本方面，以及对应服务的绩效考核、服务奖惩等方面可能都有差异，需</w:t>
      </w:r>
      <w:r>
        <w:rPr>
          <w:rFonts w:ascii="楷体" w:hAnsi="楷体" w:eastAsia="楷体" w:cs="楷体"/>
          <w:spacing w:val="1"/>
          <w:sz w:val="20"/>
          <w:szCs w:val="20"/>
        </w:rPr>
        <w:t xml:space="preserve"> </w:t>
      </w:r>
      <w:r>
        <w:rPr>
          <w:rFonts w:ascii="楷体" w:hAnsi="楷体" w:eastAsia="楷体" w:cs="楷体"/>
          <w:spacing w:val="-3"/>
          <w:sz w:val="20"/>
          <w:szCs w:val="20"/>
        </w:rPr>
        <w:t>要结合实践认真分析、确定。</w:t>
      </w:r>
    </w:p>
    <w:p w14:paraId="484B4751">
      <w:pPr>
        <w:pStyle w:val="2"/>
        <w:spacing w:before="222" w:line="220" w:lineRule="auto"/>
        <w:ind w:left="362"/>
        <w:rPr>
          <w:sz w:val="25"/>
          <w:szCs w:val="25"/>
        </w:rPr>
      </w:pPr>
      <w:r>
        <w:rPr>
          <w:b/>
          <w:bCs/>
          <w:color w:val="007DDD"/>
          <w:spacing w:val="-18"/>
          <w:sz w:val="25"/>
          <w:szCs w:val="25"/>
        </w:rPr>
        <w:t>25.2.1</w:t>
      </w:r>
      <w:r>
        <w:rPr>
          <w:color w:val="007DDD"/>
          <w:spacing w:val="90"/>
          <w:sz w:val="25"/>
          <w:szCs w:val="25"/>
        </w:rPr>
        <w:t xml:space="preserve"> </w:t>
      </w:r>
      <w:r>
        <w:rPr>
          <w:b/>
          <w:bCs/>
          <w:color w:val="007DDD"/>
          <w:spacing w:val="-18"/>
          <w:sz w:val="25"/>
          <w:szCs w:val="25"/>
        </w:rPr>
        <w:t>监理活动</w:t>
      </w:r>
    </w:p>
    <w:p w14:paraId="21D23F9A">
      <w:pPr>
        <w:pStyle w:val="2"/>
        <w:spacing w:before="153" w:line="220" w:lineRule="auto"/>
        <w:ind w:left="759"/>
        <w:rPr>
          <w:sz w:val="20"/>
          <w:szCs w:val="20"/>
        </w:rPr>
      </w:pPr>
      <w:r>
        <w:rPr>
          <w:spacing w:val="-3"/>
          <w:sz w:val="20"/>
          <w:szCs w:val="20"/>
        </w:rPr>
        <w:t>运行维护招标阶段的主要监理活动如下：</w:t>
      </w:r>
    </w:p>
    <w:p w14:paraId="238A6C80">
      <w:pPr>
        <w:pStyle w:val="2"/>
        <w:spacing w:before="71" w:line="219" w:lineRule="auto"/>
        <w:ind w:left="759"/>
        <w:rPr>
          <w:sz w:val="20"/>
          <w:szCs w:val="20"/>
        </w:rPr>
      </w:pPr>
      <w:r>
        <w:rPr>
          <w:spacing w:val="2"/>
          <w:sz w:val="20"/>
          <w:szCs w:val="20"/>
        </w:rPr>
        <w:t>(1)明确运行维护需求：协助业主单位明确运行维护的主要任务和服务标</w:t>
      </w:r>
      <w:r>
        <w:rPr>
          <w:spacing w:val="1"/>
          <w:sz w:val="20"/>
          <w:szCs w:val="20"/>
        </w:rPr>
        <w:t>准；</w:t>
      </w:r>
    </w:p>
    <w:p w14:paraId="208B07E5">
      <w:pPr>
        <w:pStyle w:val="2"/>
        <w:spacing w:before="93" w:line="219" w:lineRule="auto"/>
        <w:ind w:left="759"/>
        <w:rPr>
          <w:sz w:val="20"/>
          <w:szCs w:val="20"/>
        </w:rPr>
      </w:pPr>
      <w:r>
        <w:rPr>
          <w:spacing w:val="2"/>
          <w:sz w:val="20"/>
          <w:szCs w:val="20"/>
        </w:rPr>
        <w:t>(2)招标：协助业主单位编制招标文件，满足运行维护需求；</w:t>
      </w:r>
    </w:p>
    <w:p w14:paraId="27A158CB">
      <w:pPr>
        <w:pStyle w:val="2"/>
        <w:spacing w:before="82" w:line="239" w:lineRule="auto"/>
        <w:ind w:left="359" w:right="64" w:firstLine="399"/>
        <w:rPr>
          <w:sz w:val="20"/>
          <w:szCs w:val="20"/>
        </w:rPr>
      </w:pPr>
      <w:r>
        <w:rPr>
          <w:spacing w:val="6"/>
          <w:sz w:val="20"/>
          <w:szCs w:val="20"/>
        </w:rPr>
        <w:t>(3)签署合同及</w:t>
      </w:r>
      <w:r>
        <w:rPr>
          <w:rFonts w:ascii="Times New Roman" w:hAnsi="Times New Roman" w:eastAsia="Times New Roman" w:cs="Times New Roman"/>
          <w:sz w:val="20"/>
          <w:szCs w:val="20"/>
        </w:rPr>
        <w:t>SLA</w:t>
      </w:r>
      <w:r>
        <w:rPr>
          <w:rFonts w:ascii="Times New Roman" w:hAnsi="Times New Roman" w:eastAsia="Times New Roman" w:cs="Times New Roman"/>
          <w:spacing w:val="6"/>
          <w:sz w:val="20"/>
          <w:szCs w:val="20"/>
        </w:rPr>
        <w:t xml:space="preserve">:   </w:t>
      </w:r>
      <w:r>
        <w:rPr>
          <w:spacing w:val="6"/>
          <w:sz w:val="20"/>
          <w:szCs w:val="20"/>
        </w:rPr>
        <w:t>协助业主单位与运维服务提供方签署运行维护服务合</w:t>
      </w:r>
      <w:r>
        <w:rPr>
          <w:spacing w:val="5"/>
          <w:sz w:val="20"/>
          <w:szCs w:val="20"/>
        </w:rPr>
        <w:t>同和运行维护</w:t>
      </w:r>
      <w:r>
        <w:rPr>
          <w:sz w:val="20"/>
          <w:szCs w:val="20"/>
        </w:rPr>
        <w:t xml:space="preserve"> </w:t>
      </w:r>
      <w:r>
        <w:rPr>
          <w:spacing w:val="1"/>
          <w:sz w:val="20"/>
          <w:szCs w:val="20"/>
        </w:rPr>
        <w:t>服务级别协议</w:t>
      </w:r>
      <w:r>
        <w:rPr>
          <w:spacing w:val="-49"/>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SLA</w:t>
      </w:r>
      <w:r>
        <w:rPr>
          <w:rFonts w:ascii="Times New Roman" w:hAnsi="Times New Roman" w:eastAsia="Times New Roman" w:cs="Times New Roman"/>
          <w:spacing w:val="1"/>
          <w:sz w:val="20"/>
          <w:szCs w:val="20"/>
        </w:rPr>
        <w:t>)</w:t>
      </w:r>
      <w:r>
        <w:rPr>
          <w:spacing w:val="1"/>
          <w:sz w:val="20"/>
          <w:szCs w:val="20"/>
        </w:rPr>
        <w:t>。</w:t>
      </w:r>
    </w:p>
    <w:p w14:paraId="3DF68539">
      <w:pPr>
        <w:pStyle w:val="2"/>
        <w:spacing w:before="291" w:line="219" w:lineRule="auto"/>
        <w:ind w:left="359"/>
        <w:rPr>
          <w:sz w:val="25"/>
          <w:szCs w:val="25"/>
        </w:rPr>
      </w:pPr>
      <w:r>
        <w:rPr>
          <w:rFonts w:ascii="Times New Roman" w:hAnsi="Times New Roman" w:eastAsia="Times New Roman" w:cs="Times New Roman"/>
          <w:b/>
          <w:bCs/>
          <w:color w:val="0085EC"/>
          <w:spacing w:val="-3"/>
          <w:sz w:val="25"/>
          <w:szCs w:val="25"/>
        </w:rPr>
        <w:t>25.2.2</w:t>
      </w:r>
      <w:r>
        <w:rPr>
          <w:rFonts w:ascii="Times New Roman" w:hAnsi="Times New Roman" w:eastAsia="Times New Roman" w:cs="Times New Roman"/>
          <w:b/>
          <w:bCs/>
          <w:color w:val="0085EC"/>
          <w:spacing w:val="10"/>
          <w:sz w:val="25"/>
          <w:szCs w:val="25"/>
        </w:rPr>
        <w:t xml:space="preserve">   </w:t>
      </w:r>
      <w:r>
        <w:rPr>
          <w:b/>
          <w:bCs/>
          <w:color w:val="0085EC"/>
          <w:spacing w:val="-3"/>
          <w:sz w:val="25"/>
          <w:szCs w:val="25"/>
        </w:rPr>
        <w:t>监理内容</w:t>
      </w:r>
    </w:p>
    <w:p w14:paraId="516C63DF">
      <w:pPr>
        <w:pStyle w:val="2"/>
        <w:spacing w:before="270" w:line="221" w:lineRule="auto"/>
        <w:ind w:left="762"/>
        <w:rPr>
          <w:rFonts w:ascii="黑体" w:hAnsi="黑体" w:eastAsia="黑体" w:cs="黑体"/>
          <w:sz w:val="20"/>
          <w:szCs w:val="20"/>
        </w:rPr>
      </w:pPr>
      <w:r>
        <w:rPr>
          <w:b/>
          <w:bCs/>
          <w:color w:val="006DDB"/>
          <w:spacing w:val="-2"/>
          <w:sz w:val="20"/>
          <w:szCs w:val="20"/>
        </w:rPr>
        <w:t>1.</w:t>
      </w:r>
      <w:r>
        <w:rPr>
          <w:rFonts w:ascii="黑体" w:hAnsi="黑体" w:eastAsia="黑体" w:cs="黑体"/>
          <w:b/>
          <w:bCs/>
          <w:color w:val="006DDB"/>
          <w:spacing w:val="-2"/>
          <w:sz w:val="20"/>
          <w:szCs w:val="20"/>
        </w:rPr>
        <w:t>明确运行维护需求</w:t>
      </w:r>
    </w:p>
    <w:p w14:paraId="75AA9DCA">
      <w:pPr>
        <w:pStyle w:val="2"/>
        <w:spacing w:before="116" w:line="219" w:lineRule="auto"/>
        <w:ind w:left="759"/>
        <w:rPr>
          <w:sz w:val="20"/>
          <w:szCs w:val="20"/>
        </w:rPr>
      </w:pPr>
      <w:r>
        <w:rPr>
          <w:spacing w:val="-3"/>
          <w:sz w:val="20"/>
          <w:szCs w:val="20"/>
        </w:rPr>
        <w:t>监理单位应明确运行维护需求，具体如下：</w:t>
      </w:r>
    </w:p>
    <w:p w14:paraId="7A38A176">
      <w:pPr>
        <w:pStyle w:val="2"/>
        <w:spacing w:before="72" w:line="219" w:lineRule="auto"/>
        <w:ind w:left="759"/>
        <w:rPr>
          <w:sz w:val="20"/>
          <w:szCs w:val="20"/>
        </w:rPr>
      </w:pPr>
      <w:r>
        <w:rPr>
          <w:spacing w:val="1"/>
          <w:sz w:val="20"/>
          <w:szCs w:val="20"/>
        </w:rPr>
        <w:t>(1)根据运维招标特点编制监理规划，经业主单位签认后，作为监理工作的指导文件；</w:t>
      </w:r>
    </w:p>
    <w:p w14:paraId="3B12589B">
      <w:pPr>
        <w:pStyle w:val="2"/>
        <w:spacing w:before="64" w:line="261" w:lineRule="auto"/>
        <w:ind w:left="359" w:firstLine="399"/>
        <w:rPr>
          <w:sz w:val="20"/>
          <w:szCs w:val="20"/>
        </w:rPr>
      </w:pPr>
      <w:r>
        <w:rPr>
          <w:spacing w:val="7"/>
          <w:sz w:val="20"/>
          <w:szCs w:val="20"/>
        </w:rPr>
        <w:t>(2)协助业主单位进行招标策划工作，根据业主单位需求及相关法律法规、政策和标准，</w:t>
      </w:r>
      <w:r>
        <w:rPr>
          <w:spacing w:val="8"/>
          <w:sz w:val="20"/>
          <w:szCs w:val="20"/>
        </w:rPr>
        <w:t xml:space="preserve"> </w:t>
      </w:r>
      <w:r>
        <w:rPr>
          <w:sz w:val="20"/>
          <w:szCs w:val="20"/>
        </w:rPr>
        <w:t>确定运行维护任务和服务标准，作为后续监</w:t>
      </w:r>
      <w:r>
        <w:rPr>
          <w:spacing w:val="-1"/>
          <w:sz w:val="20"/>
          <w:szCs w:val="20"/>
        </w:rPr>
        <w:t>理工作的依据之一；</w:t>
      </w:r>
    </w:p>
    <w:p w14:paraId="5A935F78">
      <w:pPr>
        <w:pStyle w:val="2"/>
        <w:spacing w:before="63" w:line="262" w:lineRule="auto"/>
        <w:ind w:left="359" w:right="19" w:firstLine="399"/>
        <w:rPr>
          <w:sz w:val="20"/>
          <w:szCs w:val="20"/>
        </w:rPr>
      </w:pPr>
      <w:r>
        <w:rPr>
          <w:spacing w:val="2"/>
          <w:sz w:val="20"/>
          <w:szCs w:val="20"/>
        </w:rPr>
        <w:t>(3)明确运行维护需求，包括运行维护对象、运行维护流程、</w:t>
      </w:r>
      <w:r>
        <w:rPr>
          <w:spacing w:val="1"/>
          <w:sz w:val="20"/>
          <w:szCs w:val="20"/>
        </w:rPr>
        <w:t>运行维护组织及管理模式等，</w:t>
      </w:r>
      <w:r>
        <w:rPr>
          <w:sz w:val="20"/>
          <w:szCs w:val="20"/>
        </w:rPr>
        <w:t xml:space="preserve"> </w:t>
      </w:r>
      <w:r>
        <w:rPr>
          <w:spacing w:val="-1"/>
          <w:sz w:val="20"/>
          <w:szCs w:val="20"/>
        </w:rPr>
        <w:t>形成合法合规的、有针对性的、符合实际运行维</w:t>
      </w:r>
      <w:r>
        <w:rPr>
          <w:spacing w:val="-2"/>
          <w:sz w:val="20"/>
          <w:szCs w:val="20"/>
        </w:rPr>
        <w:t>护需要的招标要求。</w:t>
      </w:r>
    </w:p>
    <w:p w14:paraId="11DC8C62">
      <w:pPr>
        <w:pStyle w:val="2"/>
        <w:spacing w:before="180" w:line="222" w:lineRule="auto"/>
        <w:ind w:left="762"/>
        <w:rPr>
          <w:rFonts w:ascii="黑体" w:hAnsi="黑体" w:eastAsia="黑体" w:cs="黑体"/>
          <w:sz w:val="20"/>
          <w:szCs w:val="20"/>
        </w:rPr>
      </w:pPr>
      <w:r>
        <w:rPr>
          <w:b/>
          <w:bCs/>
          <w:color w:val="006CD8"/>
          <w:spacing w:val="-3"/>
          <w:sz w:val="20"/>
          <w:szCs w:val="20"/>
        </w:rPr>
        <w:t>2.</w:t>
      </w:r>
      <w:r>
        <w:rPr>
          <w:rFonts w:ascii="黑体" w:hAnsi="黑体" w:eastAsia="黑体" w:cs="黑体"/>
          <w:b/>
          <w:bCs/>
          <w:color w:val="006CD8"/>
          <w:spacing w:val="-3"/>
          <w:sz w:val="20"/>
          <w:szCs w:val="20"/>
        </w:rPr>
        <w:t>协助业主单位招标</w:t>
      </w:r>
    </w:p>
    <w:p w14:paraId="6E47F7C3">
      <w:pPr>
        <w:pStyle w:val="2"/>
        <w:spacing w:before="121" w:line="219" w:lineRule="auto"/>
        <w:ind w:left="759"/>
        <w:rPr>
          <w:sz w:val="20"/>
          <w:szCs w:val="20"/>
        </w:rPr>
      </w:pPr>
      <w:r>
        <w:rPr>
          <w:spacing w:val="-3"/>
          <w:sz w:val="20"/>
          <w:szCs w:val="20"/>
        </w:rPr>
        <w:t>监理机构应协助业主单位进行招标工作，具体如下：</w:t>
      </w:r>
    </w:p>
    <w:p w14:paraId="453591BB">
      <w:pPr>
        <w:pStyle w:val="2"/>
        <w:spacing w:before="83" w:line="258" w:lineRule="auto"/>
        <w:ind w:left="359" w:right="68" w:firstLine="399"/>
        <w:rPr>
          <w:sz w:val="20"/>
          <w:szCs w:val="20"/>
        </w:rPr>
      </w:pPr>
      <w:r>
        <w:rPr>
          <w:spacing w:val="5"/>
          <w:sz w:val="20"/>
          <w:szCs w:val="20"/>
        </w:rPr>
        <w:t>(1)在业主单位许可及授意下，可参与招标文件的编制工作，对招标文件中的技术和质量</w:t>
      </w:r>
      <w:r>
        <w:rPr>
          <w:spacing w:val="16"/>
          <w:sz w:val="20"/>
          <w:szCs w:val="20"/>
        </w:rPr>
        <w:t xml:space="preserve"> </w:t>
      </w:r>
      <w:r>
        <w:rPr>
          <w:spacing w:val="3"/>
          <w:sz w:val="20"/>
          <w:szCs w:val="20"/>
        </w:rPr>
        <w:t>要求、服务级别、投标单位资质要求、应急响应、交付、评估方法等提出监理意见。重</w:t>
      </w:r>
      <w:r>
        <w:rPr>
          <w:spacing w:val="2"/>
          <w:sz w:val="20"/>
          <w:szCs w:val="20"/>
        </w:rPr>
        <w:t>点审核</w:t>
      </w:r>
      <w:r>
        <w:rPr>
          <w:sz w:val="20"/>
          <w:szCs w:val="20"/>
        </w:rPr>
        <w:t xml:space="preserve"> </w:t>
      </w:r>
      <w:r>
        <w:rPr>
          <w:spacing w:val="-6"/>
          <w:sz w:val="20"/>
          <w:szCs w:val="20"/>
        </w:rPr>
        <w:t>招标文件以下内容：</w:t>
      </w:r>
    </w:p>
    <w:p w14:paraId="06ED2F0E">
      <w:pPr>
        <w:pStyle w:val="2"/>
        <w:spacing w:before="81" w:line="262" w:lineRule="auto"/>
        <w:ind w:left="1069" w:right="91" w:hanging="310"/>
        <w:rPr>
          <w:sz w:val="20"/>
          <w:szCs w:val="20"/>
        </w:rPr>
      </w:pPr>
      <w:r>
        <w:rPr>
          <w:spacing w:val="3"/>
          <w:sz w:val="20"/>
          <w:szCs w:val="20"/>
        </w:rPr>
        <w:t>●投标单位能力证明文件的要求是否合理，</w:t>
      </w:r>
      <w:r>
        <w:rPr>
          <w:spacing w:val="2"/>
          <w:sz w:val="20"/>
          <w:szCs w:val="20"/>
        </w:rPr>
        <w:t>与业主单位需求是否一致，招标文件中所附运</w:t>
      </w:r>
      <w:r>
        <w:rPr>
          <w:sz w:val="20"/>
          <w:szCs w:val="20"/>
        </w:rPr>
        <w:t xml:space="preserve"> </w:t>
      </w:r>
      <w:r>
        <w:rPr>
          <w:spacing w:val="-3"/>
          <w:sz w:val="20"/>
          <w:szCs w:val="20"/>
        </w:rPr>
        <w:t>行维护服务合同模板的通用条款和专项条款是否合理；</w:t>
      </w:r>
    </w:p>
    <w:p w14:paraId="48D1969D">
      <w:pPr>
        <w:pStyle w:val="2"/>
        <w:spacing w:before="94" w:line="219" w:lineRule="auto"/>
        <w:ind w:left="759"/>
        <w:rPr>
          <w:sz w:val="20"/>
          <w:szCs w:val="20"/>
        </w:rPr>
      </w:pPr>
      <w:r>
        <w:rPr>
          <w:sz w:val="20"/>
          <w:szCs w:val="20"/>
        </w:rPr>
        <w:t>●运行维护服务要求是否满足业主单位需求、关键技术标准和服务标准；</w:t>
      </w:r>
    </w:p>
    <w:p w14:paraId="5ECB5427">
      <w:pPr>
        <w:pStyle w:val="2"/>
        <w:spacing w:before="73" w:line="220" w:lineRule="auto"/>
        <w:ind w:left="759"/>
        <w:rPr>
          <w:sz w:val="20"/>
          <w:szCs w:val="20"/>
        </w:rPr>
      </w:pPr>
      <w:r>
        <w:rPr>
          <w:spacing w:val="3"/>
          <w:sz w:val="20"/>
          <w:szCs w:val="20"/>
        </w:rPr>
        <w:t>●评标标准是否合理。</w:t>
      </w:r>
    </w:p>
    <w:p w14:paraId="5CBBBE4B">
      <w:pPr>
        <w:pStyle w:val="2"/>
        <w:spacing w:before="71" w:line="252" w:lineRule="auto"/>
        <w:ind w:left="359" w:right="64" w:firstLine="399"/>
        <w:rPr>
          <w:sz w:val="20"/>
          <w:szCs w:val="20"/>
        </w:rPr>
      </w:pPr>
      <w:r>
        <w:rPr>
          <w:spacing w:val="6"/>
          <w:sz w:val="20"/>
          <w:szCs w:val="20"/>
        </w:rPr>
        <w:t>(2)在业主单位的授权下，可参与招标答疑工作，协</w:t>
      </w:r>
      <w:r>
        <w:rPr>
          <w:spacing w:val="5"/>
          <w:sz w:val="20"/>
          <w:szCs w:val="20"/>
        </w:rPr>
        <w:t>助业主单位对运行维护服务所涉及的</w:t>
      </w:r>
      <w:r>
        <w:rPr>
          <w:sz w:val="20"/>
          <w:szCs w:val="20"/>
        </w:rPr>
        <w:t xml:space="preserve"> </w:t>
      </w:r>
      <w:r>
        <w:rPr>
          <w:spacing w:val="-1"/>
          <w:sz w:val="20"/>
          <w:szCs w:val="20"/>
        </w:rPr>
        <w:t>服务要求、技术指标向投标单位解释，并保存会议纪</w:t>
      </w:r>
      <w:r>
        <w:rPr>
          <w:spacing w:val="-2"/>
          <w:sz w:val="20"/>
          <w:szCs w:val="20"/>
        </w:rPr>
        <w:t>要和相关文件。</w:t>
      </w:r>
    </w:p>
    <w:p w14:paraId="4A03BB69">
      <w:pPr>
        <w:pStyle w:val="2"/>
        <w:spacing w:before="83" w:line="244" w:lineRule="auto"/>
        <w:ind w:left="359" w:right="72" w:firstLine="399"/>
        <w:rPr>
          <w:sz w:val="20"/>
          <w:szCs w:val="20"/>
        </w:rPr>
      </w:pPr>
      <w:r>
        <w:rPr>
          <w:spacing w:val="5"/>
          <w:sz w:val="20"/>
          <w:szCs w:val="20"/>
        </w:rPr>
        <w:t>(3)在业主单位的授权下，可协助业主单位参与评标活动，对于投标文件与招标文件的符</w:t>
      </w:r>
      <w:r>
        <w:rPr>
          <w:spacing w:val="16"/>
          <w:sz w:val="20"/>
          <w:szCs w:val="20"/>
        </w:rPr>
        <w:t xml:space="preserve"> </w:t>
      </w:r>
      <w:r>
        <w:rPr>
          <w:spacing w:val="-2"/>
          <w:sz w:val="20"/>
          <w:szCs w:val="20"/>
        </w:rPr>
        <w:t>合性及投标文件的合理性提出监理意见。</w:t>
      </w:r>
    </w:p>
    <w:p w14:paraId="3BE20A31">
      <w:pPr>
        <w:pStyle w:val="2"/>
        <w:spacing w:before="73" w:line="219" w:lineRule="auto"/>
        <w:ind w:left="759"/>
        <w:rPr>
          <w:sz w:val="20"/>
          <w:szCs w:val="20"/>
        </w:rPr>
      </w:pPr>
      <w:r>
        <w:rPr>
          <w:sz w:val="20"/>
          <w:szCs w:val="20"/>
        </w:rPr>
        <w:t>表25-3展示了服务级别目标和测量的示例，服务目标应尽量量化。</w:t>
      </w:r>
    </w:p>
    <w:p w14:paraId="10894959">
      <w:pPr>
        <w:spacing w:line="219" w:lineRule="auto"/>
        <w:rPr>
          <w:sz w:val="20"/>
          <w:szCs w:val="20"/>
        </w:rPr>
        <w:sectPr>
          <w:pgSz w:w="10300" w:h="13390"/>
          <w:pgMar w:top="400" w:right="1020" w:bottom="400" w:left="530" w:header="0" w:footer="0" w:gutter="0"/>
          <w:cols w:space="720" w:num="1"/>
        </w:sectPr>
      </w:pPr>
    </w:p>
    <w:p w14:paraId="3155E0FF">
      <w:pPr>
        <w:pStyle w:val="2"/>
        <w:jc w:val="right"/>
        <w:rPr>
          <w:rFonts w:ascii="Times New Roman" w:hAnsi="Times New Roman" w:eastAsia="Times New Roman" w:cs="Times New Roman"/>
          <w:sz w:val="20"/>
          <w:szCs w:val="20"/>
        </w:rPr>
      </w:pPr>
      <w:r>
        <w:rPr>
          <w:spacing w:val="-2"/>
          <w:sz w:val="20"/>
          <w:szCs w:val="20"/>
        </w:rPr>
        <w:t>第25章 运行维护监理</w:t>
      </w:r>
      <w:r>
        <w:rPr>
          <w:spacing w:val="27"/>
          <w:sz w:val="20"/>
          <w:szCs w:val="20"/>
        </w:rPr>
        <w:t xml:space="preserve"> </w:t>
      </w:r>
      <w:r>
        <w:rPr>
          <w:position w:val="-13"/>
          <w:sz w:val="20"/>
          <w:szCs w:val="20"/>
        </w:rPr>
        <w:drawing>
          <wp:inline distT="0" distB="0" distL="0" distR="0">
            <wp:extent cx="297815" cy="240665"/>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374"/>
                    <a:stretch>
                      <a:fillRect/>
                    </a:stretch>
                  </pic:blipFill>
                  <pic:spPr>
                    <a:xfrm>
                      <a:off x="0" y="0"/>
                      <a:ext cx="298414" cy="241275"/>
                    </a:xfrm>
                    <a:prstGeom prst="rect">
                      <a:avLst/>
                    </a:prstGeom>
                  </pic:spPr>
                </pic:pic>
              </a:graphicData>
            </a:graphic>
          </wp:inline>
        </w:drawing>
      </w:r>
      <w:r>
        <w:rPr>
          <w:rFonts w:ascii="Times New Roman" w:hAnsi="Times New Roman" w:eastAsia="Times New Roman" w:cs="Times New Roman"/>
          <w:spacing w:val="-2"/>
          <w:position w:val="-5"/>
          <w:sz w:val="20"/>
          <w:szCs w:val="20"/>
        </w:rPr>
        <w:t>583</w:t>
      </w:r>
    </w:p>
    <w:p w14:paraId="1CAC01DD">
      <w:pPr>
        <w:spacing w:before="273" w:line="221" w:lineRule="auto"/>
        <w:ind w:left="2802"/>
        <w:rPr>
          <w:rFonts w:ascii="黑体" w:hAnsi="黑体" w:eastAsia="黑体" w:cs="黑体"/>
          <w:sz w:val="20"/>
          <w:szCs w:val="20"/>
        </w:rPr>
      </w:pPr>
      <w:bookmarkStart w:id="776" w:name="bookmark761"/>
      <w:bookmarkEnd w:id="776"/>
      <w:r>
        <w:rPr>
          <w:rFonts w:ascii="黑体" w:hAnsi="黑体" w:eastAsia="黑体" w:cs="黑体"/>
          <w:b/>
          <w:bCs/>
          <w:spacing w:val="-16"/>
          <w:sz w:val="20"/>
          <w:szCs w:val="20"/>
        </w:rPr>
        <w:t>表25-3</w:t>
      </w:r>
      <w:r>
        <w:rPr>
          <w:rFonts w:ascii="黑体" w:hAnsi="黑体" w:eastAsia="黑体" w:cs="黑体"/>
          <w:spacing w:val="68"/>
          <w:sz w:val="20"/>
          <w:szCs w:val="20"/>
        </w:rPr>
        <w:t xml:space="preserve"> </w:t>
      </w:r>
      <w:r>
        <w:rPr>
          <w:rFonts w:ascii="黑体" w:hAnsi="黑体" w:eastAsia="黑体" w:cs="黑体"/>
          <w:b/>
          <w:bCs/>
          <w:spacing w:val="-16"/>
          <w:sz w:val="20"/>
          <w:szCs w:val="20"/>
        </w:rPr>
        <w:t>服务级别目标和测量示例</w:t>
      </w:r>
    </w:p>
    <w:p w14:paraId="69A25BBE">
      <w:pPr>
        <w:spacing w:line="122" w:lineRule="exact"/>
      </w:pPr>
    </w:p>
    <w:tbl>
      <w:tblPr>
        <w:tblStyle w:val="5"/>
        <w:tblW w:w="8319"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9"/>
        <w:gridCol w:w="2540"/>
        <w:gridCol w:w="2670"/>
        <w:gridCol w:w="1600"/>
      </w:tblGrid>
      <w:tr w14:paraId="7362F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509" w:type="dxa"/>
            <w:tcBorders>
              <w:left w:val="nil"/>
            </w:tcBorders>
            <w:vAlign w:val="top"/>
          </w:tcPr>
          <w:p w14:paraId="3E4F4EE2">
            <w:pPr>
              <w:pStyle w:val="6"/>
              <w:spacing w:before="50" w:line="219" w:lineRule="auto"/>
              <w:ind w:left="372"/>
            </w:pPr>
            <w:r>
              <w:rPr>
                <w:b/>
                <w:bCs/>
                <w:spacing w:val="-4"/>
              </w:rPr>
              <w:t>服务活动</w:t>
            </w:r>
          </w:p>
        </w:tc>
        <w:tc>
          <w:tcPr>
            <w:tcW w:w="2540" w:type="dxa"/>
            <w:vAlign w:val="top"/>
          </w:tcPr>
          <w:p w14:paraId="43150DB5">
            <w:pPr>
              <w:pStyle w:val="6"/>
              <w:spacing w:before="52" w:line="221" w:lineRule="auto"/>
              <w:ind w:left="1078"/>
            </w:pPr>
            <w:r>
              <w:rPr>
                <w:b/>
                <w:bCs/>
                <w:spacing w:val="-5"/>
              </w:rPr>
              <w:t>描述</w:t>
            </w:r>
          </w:p>
        </w:tc>
        <w:tc>
          <w:tcPr>
            <w:tcW w:w="2670" w:type="dxa"/>
            <w:vAlign w:val="top"/>
          </w:tcPr>
          <w:p w14:paraId="50FF01A5">
            <w:pPr>
              <w:pStyle w:val="6"/>
              <w:spacing w:before="50" w:line="220" w:lineRule="auto"/>
              <w:ind w:left="978"/>
            </w:pPr>
            <w:r>
              <w:rPr>
                <w:b/>
                <w:bCs/>
                <w:spacing w:val="-4"/>
              </w:rPr>
              <w:t>测量标准</w:t>
            </w:r>
          </w:p>
        </w:tc>
        <w:tc>
          <w:tcPr>
            <w:tcW w:w="1600" w:type="dxa"/>
            <w:tcBorders>
              <w:right w:val="nil"/>
            </w:tcBorders>
            <w:vAlign w:val="top"/>
          </w:tcPr>
          <w:p w14:paraId="4316F5F6">
            <w:pPr>
              <w:pStyle w:val="6"/>
              <w:spacing w:before="50" w:line="220" w:lineRule="auto"/>
              <w:ind w:left="638"/>
            </w:pPr>
            <w:r>
              <w:rPr>
                <w:b/>
                <w:bCs/>
                <w:spacing w:val="3"/>
              </w:rPr>
              <w:t>目标</w:t>
            </w:r>
          </w:p>
        </w:tc>
      </w:tr>
      <w:tr w14:paraId="26BA1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1509" w:type="dxa"/>
            <w:tcBorders>
              <w:left w:val="nil"/>
            </w:tcBorders>
            <w:vAlign w:val="top"/>
          </w:tcPr>
          <w:p w14:paraId="389F9A24">
            <w:pPr>
              <w:pStyle w:val="6"/>
              <w:spacing w:before="228" w:line="219" w:lineRule="auto"/>
              <w:ind w:left="179"/>
            </w:pPr>
            <w:r>
              <w:rPr>
                <w:spacing w:val="1"/>
              </w:rPr>
              <w:t>电话支持响应</w:t>
            </w:r>
          </w:p>
        </w:tc>
        <w:tc>
          <w:tcPr>
            <w:tcW w:w="2540" w:type="dxa"/>
            <w:vAlign w:val="top"/>
          </w:tcPr>
          <w:p w14:paraId="3BC0E1CB">
            <w:pPr>
              <w:pStyle w:val="6"/>
              <w:spacing w:before="116" w:line="242" w:lineRule="auto"/>
              <w:ind w:left="35" w:right="13" w:hanging="9"/>
            </w:pPr>
            <w:r>
              <w:rPr>
                <w:spacing w:val="1"/>
              </w:rPr>
              <w:t>服务商接到事件报告后做出回</w:t>
            </w:r>
            <w:r>
              <w:rPr>
                <w:spacing w:val="6"/>
              </w:rPr>
              <w:t xml:space="preserve"> </w:t>
            </w:r>
            <w:r>
              <w:rPr>
                <w:spacing w:val="3"/>
              </w:rPr>
              <w:t>复的确认时间</w:t>
            </w:r>
          </w:p>
        </w:tc>
        <w:tc>
          <w:tcPr>
            <w:tcW w:w="2670" w:type="dxa"/>
            <w:vAlign w:val="top"/>
          </w:tcPr>
          <w:p w14:paraId="2FF3D21A">
            <w:pPr>
              <w:pStyle w:val="6"/>
              <w:spacing w:before="228" w:line="219" w:lineRule="auto"/>
              <w:ind w:left="16"/>
            </w:pPr>
            <w:r>
              <w:t>必须在30分钟内确认</w:t>
            </w:r>
          </w:p>
        </w:tc>
        <w:tc>
          <w:tcPr>
            <w:tcW w:w="1600" w:type="dxa"/>
            <w:tcBorders>
              <w:right w:val="nil"/>
            </w:tcBorders>
            <w:vAlign w:val="top"/>
          </w:tcPr>
          <w:p w14:paraId="51421E75">
            <w:pPr>
              <w:pStyle w:val="6"/>
              <w:spacing w:before="228" w:line="219" w:lineRule="auto"/>
              <w:ind w:left="25"/>
            </w:pPr>
            <w:r>
              <w:rPr>
                <w:spacing w:val="1"/>
              </w:rPr>
              <w:t>95%以上响应率</w:t>
            </w:r>
          </w:p>
        </w:tc>
      </w:tr>
      <w:tr w14:paraId="66109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509" w:type="dxa"/>
            <w:tcBorders>
              <w:left w:val="nil"/>
            </w:tcBorders>
            <w:vAlign w:val="top"/>
          </w:tcPr>
          <w:p w14:paraId="22FE318C">
            <w:pPr>
              <w:pStyle w:val="6"/>
              <w:spacing w:before="230" w:line="219" w:lineRule="auto"/>
              <w:ind w:left="179"/>
            </w:pPr>
            <w:r>
              <w:rPr>
                <w:spacing w:val="-2"/>
              </w:rPr>
              <w:t>远程支持响应</w:t>
            </w:r>
          </w:p>
        </w:tc>
        <w:tc>
          <w:tcPr>
            <w:tcW w:w="2540" w:type="dxa"/>
            <w:vAlign w:val="top"/>
          </w:tcPr>
          <w:p w14:paraId="18DADEF2">
            <w:pPr>
              <w:pStyle w:val="6"/>
              <w:spacing w:before="99" w:line="261" w:lineRule="auto"/>
              <w:ind w:left="26" w:right="13"/>
            </w:pPr>
            <w:r>
              <w:rPr>
                <w:spacing w:val="1"/>
              </w:rPr>
              <w:t>服务商接到事件报告后做出回</w:t>
            </w:r>
            <w:r>
              <w:rPr>
                <w:spacing w:val="6"/>
              </w:rPr>
              <w:t xml:space="preserve"> </w:t>
            </w:r>
            <w:r>
              <w:rPr>
                <w:spacing w:val="4"/>
              </w:rPr>
              <w:t>复的时间</w:t>
            </w:r>
          </w:p>
        </w:tc>
        <w:tc>
          <w:tcPr>
            <w:tcW w:w="2670" w:type="dxa"/>
            <w:vAlign w:val="top"/>
          </w:tcPr>
          <w:p w14:paraId="7EA95306">
            <w:pPr>
              <w:pStyle w:val="6"/>
              <w:spacing w:before="230" w:line="219" w:lineRule="auto"/>
              <w:ind w:left="16"/>
            </w:pPr>
            <w:r>
              <w:t>必须在60分钟内确认</w:t>
            </w:r>
          </w:p>
        </w:tc>
        <w:tc>
          <w:tcPr>
            <w:tcW w:w="1600" w:type="dxa"/>
            <w:tcBorders>
              <w:right w:val="nil"/>
            </w:tcBorders>
            <w:vAlign w:val="top"/>
          </w:tcPr>
          <w:p w14:paraId="42D0EC3C">
            <w:pPr>
              <w:pStyle w:val="6"/>
              <w:spacing w:before="230" w:line="219" w:lineRule="auto"/>
              <w:ind w:left="25"/>
            </w:pPr>
            <w:r>
              <w:rPr>
                <w:spacing w:val="1"/>
              </w:rPr>
              <w:t>95%以上响应率</w:t>
            </w:r>
          </w:p>
        </w:tc>
      </w:tr>
      <w:tr w14:paraId="1371A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509" w:type="dxa"/>
            <w:tcBorders>
              <w:left w:val="nil"/>
            </w:tcBorders>
            <w:vAlign w:val="top"/>
          </w:tcPr>
          <w:p w14:paraId="222506DC">
            <w:pPr>
              <w:pStyle w:val="6"/>
              <w:spacing w:before="223" w:line="220" w:lineRule="auto"/>
              <w:ind w:left="369"/>
            </w:pPr>
            <w:r>
              <w:rPr>
                <w:spacing w:val="-2"/>
              </w:rPr>
              <w:t>现场响应</w:t>
            </w:r>
          </w:p>
        </w:tc>
        <w:tc>
          <w:tcPr>
            <w:tcW w:w="2540" w:type="dxa"/>
            <w:vAlign w:val="top"/>
          </w:tcPr>
          <w:p w14:paraId="7D45CAEE">
            <w:pPr>
              <w:pStyle w:val="6"/>
              <w:spacing w:before="110" w:line="241" w:lineRule="auto"/>
              <w:ind w:left="26" w:right="41"/>
            </w:pPr>
            <w:r>
              <w:rPr>
                <w:spacing w:val="-1"/>
              </w:rPr>
              <w:t>服务商接到事件报告后到达事</w:t>
            </w:r>
            <w:r>
              <w:rPr>
                <w:spacing w:val="4"/>
              </w:rPr>
              <w:t xml:space="preserve"> </w:t>
            </w:r>
            <w:r>
              <w:rPr>
                <w:spacing w:val="3"/>
              </w:rPr>
              <w:t>件现场的时间</w:t>
            </w:r>
          </w:p>
        </w:tc>
        <w:tc>
          <w:tcPr>
            <w:tcW w:w="2670" w:type="dxa"/>
            <w:vAlign w:val="top"/>
          </w:tcPr>
          <w:p w14:paraId="67C4F53E">
            <w:pPr>
              <w:pStyle w:val="6"/>
              <w:spacing w:before="223" w:line="221" w:lineRule="auto"/>
              <w:ind w:left="16"/>
            </w:pPr>
            <w:r>
              <w:rPr>
                <w:spacing w:val="-1"/>
              </w:rPr>
              <w:t>要求小于48小时</w:t>
            </w:r>
          </w:p>
        </w:tc>
        <w:tc>
          <w:tcPr>
            <w:tcW w:w="1600" w:type="dxa"/>
            <w:tcBorders>
              <w:right w:val="nil"/>
            </w:tcBorders>
            <w:vAlign w:val="top"/>
          </w:tcPr>
          <w:p w14:paraId="04957DDE">
            <w:pPr>
              <w:pStyle w:val="6"/>
              <w:spacing w:before="92" w:line="256" w:lineRule="auto"/>
              <w:ind w:left="25" w:right="40" w:firstLine="20"/>
            </w:pPr>
            <w:r>
              <w:rPr>
                <w:spacing w:val="34"/>
              </w:rPr>
              <w:t>事件中95%以上</w:t>
            </w:r>
            <w:r>
              <w:t xml:space="preserve"> </w:t>
            </w:r>
            <w:r>
              <w:rPr>
                <w:spacing w:val="-1"/>
              </w:rPr>
              <w:t>在指定时间到达</w:t>
            </w:r>
          </w:p>
        </w:tc>
      </w:tr>
      <w:tr w14:paraId="639AD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0" w:hRule="atLeast"/>
        </w:trPr>
        <w:tc>
          <w:tcPr>
            <w:tcW w:w="1509" w:type="dxa"/>
            <w:tcBorders>
              <w:left w:val="nil"/>
            </w:tcBorders>
            <w:vAlign w:val="top"/>
          </w:tcPr>
          <w:p w14:paraId="7E081322">
            <w:pPr>
              <w:spacing w:line="249" w:lineRule="auto"/>
              <w:rPr>
                <w:rFonts w:ascii="Arial"/>
                <w:sz w:val="21"/>
              </w:rPr>
            </w:pPr>
          </w:p>
          <w:p w14:paraId="1BB98951">
            <w:pPr>
              <w:spacing w:line="249" w:lineRule="auto"/>
              <w:rPr>
                <w:rFonts w:ascii="Arial"/>
                <w:sz w:val="21"/>
              </w:rPr>
            </w:pPr>
          </w:p>
          <w:p w14:paraId="43949DD7">
            <w:pPr>
              <w:spacing w:line="249" w:lineRule="auto"/>
              <w:rPr>
                <w:rFonts w:ascii="Arial"/>
                <w:sz w:val="21"/>
              </w:rPr>
            </w:pPr>
          </w:p>
          <w:p w14:paraId="6F37541F">
            <w:pPr>
              <w:pStyle w:val="6"/>
              <w:spacing w:before="62" w:line="219" w:lineRule="auto"/>
              <w:ind w:left="179"/>
            </w:pPr>
            <w:r>
              <w:rPr>
                <w:spacing w:val="-2"/>
              </w:rPr>
              <w:t>运维事件解决</w:t>
            </w:r>
          </w:p>
        </w:tc>
        <w:tc>
          <w:tcPr>
            <w:tcW w:w="2540" w:type="dxa"/>
            <w:vAlign w:val="top"/>
          </w:tcPr>
          <w:p w14:paraId="1B132A79">
            <w:pPr>
              <w:spacing w:line="248" w:lineRule="auto"/>
              <w:rPr>
                <w:rFonts w:ascii="Arial"/>
                <w:sz w:val="21"/>
              </w:rPr>
            </w:pPr>
          </w:p>
          <w:p w14:paraId="1FEF9C72">
            <w:pPr>
              <w:spacing w:line="249" w:lineRule="auto"/>
              <w:rPr>
                <w:rFonts w:ascii="Arial"/>
                <w:sz w:val="21"/>
              </w:rPr>
            </w:pPr>
          </w:p>
          <w:p w14:paraId="7521920B">
            <w:pPr>
              <w:pStyle w:val="6"/>
              <w:spacing w:before="61" w:line="264" w:lineRule="auto"/>
              <w:ind w:left="26" w:right="40"/>
              <w:jc w:val="both"/>
            </w:pPr>
            <w:r>
              <w:rPr>
                <w:spacing w:val="-1"/>
              </w:rPr>
              <w:t>从接到事件报告开始，进行事</w:t>
            </w:r>
            <w:r>
              <w:rPr>
                <w:spacing w:val="2"/>
              </w:rPr>
              <w:t xml:space="preserve"> </w:t>
            </w:r>
            <w:r>
              <w:rPr>
                <w:spacing w:val="-1"/>
              </w:rPr>
              <w:t>件的分析解决，到事件解决完</w:t>
            </w:r>
            <w:r>
              <w:rPr>
                <w:spacing w:val="5"/>
              </w:rPr>
              <w:t xml:space="preserve"> 毕所经历的时间</w:t>
            </w:r>
          </w:p>
        </w:tc>
        <w:tc>
          <w:tcPr>
            <w:tcW w:w="2670" w:type="dxa"/>
            <w:vAlign w:val="top"/>
          </w:tcPr>
          <w:p w14:paraId="4D8A958B">
            <w:pPr>
              <w:pStyle w:val="6"/>
              <w:spacing w:before="163" w:line="249" w:lineRule="auto"/>
              <w:ind w:left="16" w:right="179"/>
            </w:pPr>
            <w:r>
              <w:rPr>
                <w:spacing w:val="-1"/>
              </w:rPr>
              <w:t>每种故障级别预期解决时间：</w:t>
            </w:r>
            <w:r>
              <w:rPr>
                <w:spacing w:val="6"/>
              </w:rPr>
              <w:t xml:space="preserve"> </w:t>
            </w:r>
            <w:r>
              <w:rPr>
                <w:spacing w:val="-1"/>
              </w:rPr>
              <w:t>平均故障解决时间≤48小时</w:t>
            </w:r>
          </w:p>
          <w:p w14:paraId="2D205B05">
            <w:pPr>
              <w:pStyle w:val="6"/>
              <w:spacing w:before="17" w:line="262" w:lineRule="auto"/>
              <w:ind w:left="16" w:right="1039"/>
            </w:pPr>
            <w:r>
              <w:rPr>
                <w:spacing w:val="-2"/>
              </w:rPr>
              <w:t>故障级别1≤24小时</w:t>
            </w:r>
            <w:r>
              <w:rPr>
                <w:spacing w:val="8"/>
              </w:rPr>
              <w:t xml:space="preserve"> </w:t>
            </w:r>
            <w:r>
              <w:rPr>
                <w:spacing w:val="-2"/>
              </w:rPr>
              <w:t>故障级别2≤72小时</w:t>
            </w:r>
            <w:r>
              <w:rPr>
                <w:spacing w:val="8"/>
              </w:rPr>
              <w:t xml:space="preserve"> </w:t>
            </w:r>
            <w:r>
              <w:rPr>
                <w:spacing w:val="2"/>
              </w:rPr>
              <w:t>故障级别3≤一周</w:t>
            </w:r>
            <w:r>
              <w:t xml:space="preserve">  </w:t>
            </w:r>
            <w:r>
              <w:rPr>
                <w:spacing w:val="2"/>
              </w:rPr>
              <w:t>故障级别4≤两周</w:t>
            </w:r>
          </w:p>
        </w:tc>
        <w:tc>
          <w:tcPr>
            <w:tcW w:w="1600" w:type="dxa"/>
            <w:tcBorders>
              <w:right w:val="nil"/>
            </w:tcBorders>
            <w:vAlign w:val="top"/>
          </w:tcPr>
          <w:p w14:paraId="03036C33">
            <w:pPr>
              <w:spacing w:line="479" w:lineRule="auto"/>
              <w:rPr>
                <w:rFonts w:ascii="Arial"/>
                <w:sz w:val="21"/>
              </w:rPr>
            </w:pPr>
          </w:p>
          <w:p w14:paraId="40DF89E7">
            <w:pPr>
              <w:pStyle w:val="6"/>
              <w:spacing w:before="62" w:line="258" w:lineRule="auto"/>
              <w:ind w:left="15" w:right="40" w:firstLine="9"/>
              <w:jc w:val="both"/>
            </w:pPr>
            <w:r>
              <w:rPr>
                <w:spacing w:val="36"/>
              </w:rPr>
              <w:t>事件中95%以上</w:t>
            </w:r>
            <w:r>
              <w:rPr>
                <w:spacing w:val="4"/>
              </w:rPr>
              <w:t xml:space="preserve"> </w:t>
            </w:r>
            <w:r>
              <w:rPr>
                <w:spacing w:val="-1"/>
              </w:rPr>
              <w:t>在指定时间内得到</w:t>
            </w:r>
            <w:r>
              <w:t xml:space="preserve"> 分配和修复</w:t>
            </w:r>
          </w:p>
        </w:tc>
      </w:tr>
    </w:tbl>
    <w:p w14:paraId="052A4341">
      <w:pPr>
        <w:pStyle w:val="2"/>
        <w:spacing w:before="151" w:line="223" w:lineRule="auto"/>
        <w:ind w:left="402"/>
        <w:rPr>
          <w:rFonts w:ascii="黑体" w:hAnsi="黑体" w:eastAsia="黑体" w:cs="黑体"/>
          <w:sz w:val="20"/>
          <w:szCs w:val="20"/>
        </w:rPr>
      </w:pPr>
      <w:r>
        <w:rPr>
          <w:b/>
          <w:bCs/>
          <w:color w:val="006ECF"/>
          <w:sz w:val="20"/>
          <w:szCs w:val="20"/>
        </w:rPr>
        <w:t>3.</w:t>
      </w:r>
      <w:r>
        <w:rPr>
          <w:rFonts w:ascii="黑体" w:hAnsi="黑体" w:eastAsia="黑体" w:cs="黑体"/>
          <w:b/>
          <w:bCs/>
          <w:color w:val="006ECF"/>
          <w:sz w:val="20"/>
          <w:szCs w:val="20"/>
        </w:rPr>
        <w:t>合同及</w:t>
      </w:r>
      <w:r>
        <w:rPr>
          <w:b/>
          <w:bCs/>
          <w:color w:val="006ECF"/>
          <w:sz w:val="20"/>
          <w:szCs w:val="20"/>
        </w:rPr>
        <w:t>SLA</w:t>
      </w:r>
      <w:r>
        <w:rPr>
          <w:color w:val="006ECF"/>
          <w:spacing w:val="44"/>
          <w:sz w:val="20"/>
          <w:szCs w:val="20"/>
        </w:rPr>
        <w:t xml:space="preserve"> </w:t>
      </w:r>
      <w:r>
        <w:rPr>
          <w:rFonts w:ascii="黑体" w:hAnsi="黑体" w:eastAsia="黑体" w:cs="黑体"/>
          <w:b/>
          <w:bCs/>
          <w:color w:val="006ECF"/>
          <w:sz w:val="20"/>
          <w:szCs w:val="20"/>
        </w:rPr>
        <w:t>监理</w:t>
      </w:r>
    </w:p>
    <w:p w14:paraId="7C0BA6CA">
      <w:pPr>
        <w:pStyle w:val="2"/>
        <w:spacing w:before="119" w:line="268" w:lineRule="auto"/>
        <w:ind w:left="9" w:right="334" w:firstLine="389"/>
        <w:rPr>
          <w:sz w:val="20"/>
          <w:szCs w:val="20"/>
        </w:rPr>
      </w:pPr>
      <w:r>
        <w:rPr>
          <w:spacing w:val="2"/>
          <w:sz w:val="20"/>
          <w:szCs w:val="20"/>
        </w:rPr>
        <w:t>完成招标工作后，监理机构需要协助业主单位推进合同谈判及签订工作。运行维护合同的</w:t>
      </w:r>
      <w:r>
        <w:rPr>
          <w:spacing w:val="16"/>
          <w:sz w:val="20"/>
          <w:szCs w:val="20"/>
        </w:rPr>
        <w:t xml:space="preserve"> </w:t>
      </w:r>
      <w:r>
        <w:rPr>
          <w:spacing w:val="-1"/>
          <w:sz w:val="20"/>
          <w:szCs w:val="20"/>
        </w:rPr>
        <w:t>主要附件是运维服务级别协议</w:t>
      </w:r>
      <w:r>
        <w:rPr>
          <w:spacing w:val="-41"/>
          <w:sz w:val="20"/>
          <w:szCs w:val="20"/>
        </w:rPr>
        <w:t xml:space="preserve"> </w:t>
      </w:r>
      <w:r>
        <w:rPr>
          <w:rFonts w:ascii="Times New Roman" w:hAnsi="Times New Roman" w:eastAsia="Times New Roman" w:cs="Times New Roman"/>
          <w:spacing w:val="-1"/>
          <w:sz w:val="20"/>
          <w:szCs w:val="20"/>
        </w:rPr>
        <w:t>(SLA)</w:t>
      </w:r>
      <w:r>
        <w:rPr>
          <w:spacing w:val="-1"/>
          <w:sz w:val="20"/>
          <w:szCs w:val="20"/>
        </w:rPr>
        <w:t>。</w:t>
      </w:r>
    </w:p>
    <w:p w14:paraId="443FE452">
      <w:pPr>
        <w:pStyle w:val="2"/>
        <w:spacing w:before="70" w:line="219" w:lineRule="auto"/>
        <w:ind w:left="399"/>
        <w:rPr>
          <w:sz w:val="20"/>
          <w:szCs w:val="20"/>
        </w:rPr>
      </w:pPr>
      <w:r>
        <w:rPr>
          <w:spacing w:val="-3"/>
          <w:sz w:val="20"/>
          <w:szCs w:val="20"/>
        </w:rPr>
        <w:t>合同及</w:t>
      </w:r>
      <w:r>
        <w:rPr>
          <w:rFonts w:ascii="Times New Roman" w:hAnsi="Times New Roman" w:eastAsia="Times New Roman" w:cs="Times New Roman"/>
          <w:spacing w:val="-3"/>
          <w:sz w:val="20"/>
          <w:szCs w:val="20"/>
        </w:rPr>
        <w:t>SLA</w:t>
      </w:r>
      <w:r>
        <w:rPr>
          <w:rFonts w:ascii="Times New Roman" w:hAnsi="Times New Roman" w:eastAsia="Times New Roman" w:cs="Times New Roman"/>
          <w:spacing w:val="32"/>
          <w:sz w:val="20"/>
          <w:szCs w:val="20"/>
        </w:rPr>
        <w:t xml:space="preserve"> </w:t>
      </w:r>
      <w:r>
        <w:rPr>
          <w:spacing w:val="-3"/>
          <w:sz w:val="20"/>
          <w:szCs w:val="20"/>
        </w:rPr>
        <w:t>相关的监理内容如下：</w:t>
      </w:r>
    </w:p>
    <w:p w14:paraId="23FBCA55">
      <w:pPr>
        <w:pStyle w:val="2"/>
        <w:spacing w:before="72" w:line="219" w:lineRule="auto"/>
        <w:ind w:left="399"/>
        <w:rPr>
          <w:sz w:val="20"/>
          <w:szCs w:val="20"/>
        </w:rPr>
      </w:pPr>
      <w:r>
        <w:rPr>
          <w:spacing w:val="2"/>
          <w:sz w:val="20"/>
          <w:szCs w:val="20"/>
        </w:rPr>
        <w:t>(1)协助业主单位审核合同条款和</w:t>
      </w:r>
      <w:r>
        <w:rPr>
          <w:rFonts w:ascii="Times New Roman" w:hAnsi="Times New Roman" w:eastAsia="Times New Roman" w:cs="Times New Roman"/>
          <w:sz w:val="20"/>
          <w:szCs w:val="20"/>
        </w:rPr>
        <w:t>SLA</w:t>
      </w:r>
      <w:r>
        <w:rPr>
          <w:rFonts w:ascii="Times New Roman" w:hAnsi="Times New Roman" w:eastAsia="Times New Roman" w:cs="Times New Roman"/>
          <w:spacing w:val="39"/>
          <w:sz w:val="20"/>
          <w:szCs w:val="20"/>
        </w:rPr>
        <w:t xml:space="preserve"> </w:t>
      </w:r>
      <w:r>
        <w:rPr>
          <w:spacing w:val="2"/>
          <w:sz w:val="20"/>
          <w:szCs w:val="20"/>
        </w:rPr>
        <w:t>内容，重点审核：</w:t>
      </w:r>
    </w:p>
    <w:p w14:paraId="4F8BB513">
      <w:pPr>
        <w:pStyle w:val="2"/>
        <w:spacing w:before="61" w:line="261" w:lineRule="auto"/>
        <w:ind w:left="678" w:right="230" w:hanging="279"/>
        <w:rPr>
          <w:sz w:val="20"/>
          <w:szCs w:val="20"/>
        </w:rPr>
      </w:pPr>
      <w:r>
        <w:rPr>
          <w:spacing w:val="9"/>
          <w:sz w:val="20"/>
          <w:szCs w:val="20"/>
        </w:rPr>
        <w:t>●合同条款中运行维护服务期限、服务范围</w:t>
      </w:r>
      <w:r>
        <w:rPr>
          <w:spacing w:val="8"/>
          <w:sz w:val="20"/>
          <w:szCs w:val="20"/>
        </w:rPr>
        <w:t>、服务内容、服务级别(</w:t>
      </w:r>
      <w:r>
        <w:rPr>
          <w:sz w:val="20"/>
          <w:szCs w:val="20"/>
        </w:rPr>
        <w:t>SLA</w:t>
      </w:r>
      <w:r>
        <w:rPr>
          <w:spacing w:val="8"/>
          <w:sz w:val="20"/>
          <w:szCs w:val="20"/>
        </w:rPr>
        <w:t>)、</w:t>
      </w:r>
      <w:r>
        <w:rPr>
          <w:spacing w:val="83"/>
          <w:sz w:val="20"/>
          <w:szCs w:val="20"/>
        </w:rPr>
        <w:t xml:space="preserve"> </w:t>
      </w:r>
      <w:r>
        <w:rPr>
          <w:spacing w:val="8"/>
          <w:sz w:val="20"/>
          <w:szCs w:val="20"/>
        </w:rPr>
        <w:t>人员投入、</w:t>
      </w:r>
      <w:r>
        <w:rPr>
          <w:sz w:val="20"/>
          <w:szCs w:val="20"/>
        </w:rPr>
        <w:t xml:space="preserve"> </w:t>
      </w:r>
      <w:r>
        <w:rPr>
          <w:spacing w:val="-2"/>
          <w:sz w:val="20"/>
          <w:szCs w:val="20"/>
        </w:rPr>
        <w:t>运行维护评估、付款节点、服务变更控制及奖惩条款等内容；</w:t>
      </w:r>
    </w:p>
    <w:p w14:paraId="334586D8">
      <w:pPr>
        <w:pStyle w:val="2"/>
        <w:spacing w:before="84" w:line="218" w:lineRule="auto"/>
        <w:ind w:left="399"/>
        <w:rPr>
          <w:sz w:val="20"/>
          <w:szCs w:val="20"/>
        </w:rPr>
      </w:pPr>
      <w:r>
        <w:rPr>
          <w:spacing w:val="-1"/>
          <w:sz w:val="20"/>
          <w:szCs w:val="20"/>
        </w:rPr>
        <w:t>●</w:t>
      </w:r>
      <w:r>
        <w:rPr>
          <w:spacing w:val="88"/>
          <w:sz w:val="20"/>
          <w:szCs w:val="20"/>
        </w:rPr>
        <w:t xml:space="preserve"> </w:t>
      </w:r>
      <w:r>
        <w:rPr>
          <w:spacing w:val="-1"/>
          <w:sz w:val="20"/>
          <w:szCs w:val="20"/>
        </w:rPr>
        <w:t>SLA中服务目录定义完整性、文件规范性、</w:t>
      </w:r>
      <w:r>
        <w:rPr>
          <w:spacing w:val="-2"/>
          <w:sz w:val="20"/>
          <w:szCs w:val="20"/>
        </w:rPr>
        <w:t>考核评估机制有效性和完整性；</w:t>
      </w:r>
    </w:p>
    <w:p w14:paraId="775672F2">
      <w:pPr>
        <w:pStyle w:val="2"/>
        <w:spacing w:before="85" w:line="239" w:lineRule="auto"/>
        <w:ind w:left="399" w:right="323"/>
        <w:rPr>
          <w:sz w:val="20"/>
          <w:szCs w:val="20"/>
        </w:rPr>
      </w:pPr>
      <w:r>
        <w:rPr>
          <w:spacing w:val="-1"/>
          <w:sz w:val="20"/>
          <w:szCs w:val="20"/>
        </w:rPr>
        <w:t>●</w:t>
      </w:r>
      <w:r>
        <w:rPr>
          <w:spacing w:val="99"/>
          <w:sz w:val="20"/>
          <w:szCs w:val="20"/>
        </w:rPr>
        <w:t xml:space="preserve"> </w:t>
      </w:r>
      <w:r>
        <w:rPr>
          <w:spacing w:val="-1"/>
          <w:sz w:val="20"/>
          <w:szCs w:val="20"/>
        </w:rPr>
        <w:t>SLA是否明确了服务项目、服务内容、服务时间、服务频度、交付方式及交付结果等。</w:t>
      </w:r>
      <w:r>
        <w:rPr>
          <w:sz w:val="20"/>
          <w:szCs w:val="20"/>
        </w:rPr>
        <w:t xml:space="preserve"> </w:t>
      </w:r>
      <w:r>
        <w:rPr>
          <w:spacing w:val="8"/>
          <w:sz w:val="20"/>
          <w:szCs w:val="20"/>
        </w:rPr>
        <w:t>可参考下面的运维服务级别协议</w:t>
      </w:r>
      <w:r>
        <w:rPr>
          <w:spacing w:val="-49"/>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SLA</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
          <w:sz w:val="20"/>
          <w:szCs w:val="20"/>
        </w:rPr>
        <w:t xml:space="preserve">    </w:t>
      </w:r>
      <w:r>
        <w:rPr>
          <w:spacing w:val="8"/>
          <w:sz w:val="20"/>
          <w:szCs w:val="20"/>
        </w:rPr>
        <w:t>的示例，定义有关</w:t>
      </w:r>
      <w:r>
        <w:rPr>
          <w:rFonts w:ascii="Times New Roman" w:hAnsi="Times New Roman" w:eastAsia="Times New Roman" w:cs="Times New Roman"/>
          <w:sz w:val="20"/>
          <w:szCs w:val="20"/>
        </w:rPr>
        <w:t>SLA</w:t>
      </w:r>
      <w:r>
        <w:rPr>
          <w:rFonts w:ascii="Times New Roman" w:hAnsi="Times New Roman" w:eastAsia="Times New Roman" w:cs="Times New Roman"/>
          <w:spacing w:val="25"/>
          <w:sz w:val="20"/>
          <w:szCs w:val="20"/>
        </w:rPr>
        <w:t xml:space="preserve"> </w:t>
      </w:r>
      <w:r>
        <w:rPr>
          <w:spacing w:val="8"/>
          <w:sz w:val="20"/>
          <w:szCs w:val="20"/>
        </w:rPr>
        <w:t>的约束要求，如</w:t>
      </w:r>
      <w:r>
        <w:rPr>
          <w:spacing w:val="7"/>
          <w:sz w:val="20"/>
          <w:szCs w:val="20"/>
        </w:rPr>
        <w:t>表25-4</w:t>
      </w:r>
    </w:p>
    <w:p w14:paraId="45462874">
      <w:pPr>
        <w:pStyle w:val="2"/>
        <w:spacing w:before="142" w:line="220" w:lineRule="auto"/>
        <w:rPr>
          <w:sz w:val="17"/>
          <w:szCs w:val="17"/>
        </w:rPr>
      </w:pPr>
      <w:r>
        <w:rPr>
          <w:spacing w:val="13"/>
          <w:sz w:val="17"/>
          <w:szCs w:val="17"/>
        </w:rPr>
        <w:t>所示</w:t>
      </w:r>
      <w:r>
        <w:rPr>
          <w:spacing w:val="-36"/>
          <w:sz w:val="17"/>
          <w:szCs w:val="17"/>
        </w:rPr>
        <w:t xml:space="preserve"> </w:t>
      </w:r>
      <w:r>
        <w:rPr>
          <w:spacing w:val="13"/>
          <w:sz w:val="17"/>
          <w:szCs w:val="17"/>
        </w:rPr>
        <w:t>。</w:t>
      </w:r>
    </w:p>
    <w:p w14:paraId="67AC3FC7">
      <w:pPr>
        <w:pStyle w:val="2"/>
        <w:spacing w:before="134" w:line="221" w:lineRule="auto"/>
        <w:ind w:left="2532"/>
        <w:rPr>
          <w:rFonts w:ascii="黑体" w:hAnsi="黑体" w:eastAsia="黑体" w:cs="黑体"/>
          <w:sz w:val="20"/>
          <w:szCs w:val="20"/>
        </w:rPr>
      </w:pPr>
      <w:r>
        <w:rPr>
          <w:rFonts w:ascii="黑体" w:hAnsi="黑体" w:eastAsia="黑体" w:cs="黑体"/>
          <w:b/>
          <w:bCs/>
          <w:spacing w:val="-11"/>
          <w:sz w:val="20"/>
          <w:szCs w:val="20"/>
        </w:rPr>
        <w:t>表25-4</w:t>
      </w:r>
      <w:r>
        <w:rPr>
          <w:rFonts w:ascii="黑体" w:hAnsi="黑体" w:eastAsia="黑体" w:cs="黑体"/>
          <w:spacing w:val="66"/>
          <w:sz w:val="20"/>
          <w:szCs w:val="20"/>
        </w:rPr>
        <w:t xml:space="preserve"> </w:t>
      </w:r>
      <w:r>
        <w:rPr>
          <w:rFonts w:ascii="黑体" w:hAnsi="黑体" w:eastAsia="黑体" w:cs="黑体"/>
          <w:b/>
          <w:bCs/>
          <w:spacing w:val="-11"/>
          <w:sz w:val="20"/>
          <w:szCs w:val="20"/>
        </w:rPr>
        <w:t>运维服务级别协议</w:t>
      </w:r>
      <w:r>
        <w:rPr>
          <w:b/>
          <w:bCs/>
          <w:spacing w:val="-11"/>
          <w:sz w:val="20"/>
          <w:szCs w:val="20"/>
        </w:rPr>
        <w:t>(SLA)</w:t>
      </w:r>
      <w:r>
        <w:rPr>
          <w:spacing w:val="83"/>
          <w:sz w:val="20"/>
          <w:szCs w:val="20"/>
        </w:rPr>
        <w:t xml:space="preserve"> </w:t>
      </w:r>
      <w:r>
        <w:rPr>
          <w:rFonts w:ascii="黑体" w:hAnsi="黑体" w:eastAsia="黑体" w:cs="黑体"/>
          <w:b/>
          <w:bCs/>
          <w:spacing w:val="-11"/>
          <w:sz w:val="20"/>
          <w:szCs w:val="20"/>
        </w:rPr>
        <w:t>示例</w:t>
      </w:r>
    </w:p>
    <w:p w14:paraId="475A9EF3">
      <w:pPr>
        <w:spacing w:line="102" w:lineRule="exact"/>
      </w:pPr>
    </w:p>
    <w:tbl>
      <w:tblPr>
        <w:tblStyle w:val="5"/>
        <w:tblW w:w="830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0"/>
        <w:gridCol w:w="1240"/>
        <w:gridCol w:w="2150"/>
        <w:gridCol w:w="1700"/>
        <w:gridCol w:w="890"/>
        <w:gridCol w:w="1770"/>
      </w:tblGrid>
      <w:tr w14:paraId="24EE4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550" w:type="dxa"/>
            <w:tcBorders>
              <w:left w:val="nil"/>
            </w:tcBorders>
            <w:vAlign w:val="top"/>
          </w:tcPr>
          <w:p w14:paraId="2DC855EF">
            <w:pPr>
              <w:pStyle w:val="6"/>
              <w:spacing w:before="79" w:line="219" w:lineRule="auto"/>
              <w:ind w:left="92"/>
              <w:rPr>
                <w:sz w:val="18"/>
                <w:szCs w:val="18"/>
              </w:rPr>
            </w:pPr>
            <w:r>
              <w:rPr>
                <w:b/>
                <w:bCs/>
                <w:spacing w:val="-4"/>
                <w:sz w:val="18"/>
                <w:szCs w:val="18"/>
              </w:rPr>
              <w:t>代码</w:t>
            </w:r>
          </w:p>
        </w:tc>
        <w:tc>
          <w:tcPr>
            <w:tcW w:w="1240" w:type="dxa"/>
            <w:vAlign w:val="top"/>
          </w:tcPr>
          <w:p w14:paraId="60943EFA">
            <w:pPr>
              <w:pStyle w:val="6"/>
              <w:spacing w:before="79" w:line="219" w:lineRule="auto"/>
              <w:ind w:left="257"/>
              <w:rPr>
                <w:sz w:val="18"/>
                <w:szCs w:val="18"/>
              </w:rPr>
            </w:pPr>
            <w:r>
              <w:rPr>
                <w:b/>
                <w:bCs/>
                <w:spacing w:val="5"/>
                <w:sz w:val="18"/>
                <w:szCs w:val="18"/>
              </w:rPr>
              <w:t>服务项目</w:t>
            </w:r>
          </w:p>
        </w:tc>
        <w:tc>
          <w:tcPr>
            <w:tcW w:w="2150" w:type="dxa"/>
            <w:vAlign w:val="top"/>
          </w:tcPr>
          <w:p w14:paraId="4CFB643E">
            <w:pPr>
              <w:pStyle w:val="6"/>
              <w:spacing w:before="79" w:line="219" w:lineRule="auto"/>
              <w:ind w:left="717"/>
              <w:rPr>
                <w:sz w:val="18"/>
                <w:szCs w:val="18"/>
              </w:rPr>
            </w:pPr>
            <w:r>
              <w:rPr>
                <w:b/>
                <w:bCs/>
                <w:spacing w:val="-4"/>
                <w:sz w:val="18"/>
                <w:szCs w:val="18"/>
              </w:rPr>
              <w:t>服务内容</w:t>
            </w:r>
          </w:p>
        </w:tc>
        <w:tc>
          <w:tcPr>
            <w:tcW w:w="1700" w:type="dxa"/>
            <w:vAlign w:val="top"/>
          </w:tcPr>
          <w:p w14:paraId="4B1DF7EA">
            <w:pPr>
              <w:pStyle w:val="6"/>
              <w:spacing w:before="79" w:line="219" w:lineRule="auto"/>
              <w:ind w:left="487"/>
              <w:rPr>
                <w:sz w:val="18"/>
                <w:szCs w:val="18"/>
              </w:rPr>
            </w:pPr>
            <w:r>
              <w:rPr>
                <w:b/>
                <w:bCs/>
                <w:spacing w:val="-4"/>
                <w:sz w:val="18"/>
                <w:szCs w:val="18"/>
              </w:rPr>
              <w:t>服务频度</w:t>
            </w:r>
          </w:p>
        </w:tc>
        <w:tc>
          <w:tcPr>
            <w:tcW w:w="890" w:type="dxa"/>
            <w:vAlign w:val="top"/>
          </w:tcPr>
          <w:p w14:paraId="544E5596">
            <w:pPr>
              <w:pStyle w:val="6"/>
              <w:spacing w:before="79" w:line="219" w:lineRule="auto"/>
              <w:ind w:left="77"/>
              <w:rPr>
                <w:sz w:val="18"/>
                <w:szCs w:val="18"/>
              </w:rPr>
            </w:pPr>
            <w:r>
              <w:rPr>
                <w:b/>
                <w:bCs/>
                <w:spacing w:val="-4"/>
                <w:sz w:val="18"/>
                <w:szCs w:val="18"/>
              </w:rPr>
              <w:t>交付方式</w:t>
            </w:r>
          </w:p>
        </w:tc>
        <w:tc>
          <w:tcPr>
            <w:tcW w:w="1770" w:type="dxa"/>
            <w:tcBorders>
              <w:right w:val="nil"/>
            </w:tcBorders>
            <w:vAlign w:val="top"/>
          </w:tcPr>
          <w:p w14:paraId="72D16BD9">
            <w:pPr>
              <w:pStyle w:val="6"/>
              <w:spacing w:before="79" w:line="219" w:lineRule="auto"/>
              <w:ind w:left="547"/>
              <w:rPr>
                <w:sz w:val="18"/>
                <w:szCs w:val="18"/>
              </w:rPr>
            </w:pPr>
            <w:r>
              <w:rPr>
                <w:b/>
                <w:bCs/>
                <w:spacing w:val="-4"/>
                <w:sz w:val="18"/>
                <w:szCs w:val="18"/>
              </w:rPr>
              <w:t>交付成果</w:t>
            </w:r>
          </w:p>
        </w:tc>
      </w:tr>
      <w:tr w14:paraId="77EB7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550" w:type="dxa"/>
            <w:vMerge w:val="restart"/>
            <w:tcBorders>
              <w:left w:val="nil"/>
              <w:bottom w:val="nil"/>
            </w:tcBorders>
            <w:vAlign w:val="top"/>
          </w:tcPr>
          <w:p w14:paraId="6CA10598">
            <w:pPr>
              <w:spacing w:line="334" w:lineRule="auto"/>
              <w:rPr>
                <w:rFonts w:ascii="Arial"/>
                <w:sz w:val="21"/>
              </w:rPr>
            </w:pPr>
          </w:p>
          <w:p w14:paraId="7C92D059">
            <w:pPr>
              <w:pStyle w:val="6"/>
              <w:spacing w:before="58" w:line="184" w:lineRule="auto"/>
              <w:ind w:left="139"/>
              <w:rPr>
                <w:sz w:val="18"/>
                <w:szCs w:val="18"/>
              </w:rPr>
            </w:pPr>
            <w:r>
              <w:rPr>
                <w:spacing w:val="-2"/>
                <w:sz w:val="18"/>
                <w:szCs w:val="18"/>
              </w:rPr>
              <w:t>001</w:t>
            </w:r>
          </w:p>
        </w:tc>
        <w:tc>
          <w:tcPr>
            <w:tcW w:w="1240" w:type="dxa"/>
            <w:vMerge w:val="restart"/>
            <w:tcBorders>
              <w:bottom w:val="nil"/>
            </w:tcBorders>
            <w:vAlign w:val="top"/>
          </w:tcPr>
          <w:p w14:paraId="63521111">
            <w:pPr>
              <w:pStyle w:val="6"/>
              <w:spacing w:before="218" w:line="254" w:lineRule="auto"/>
              <w:ind w:left="14" w:right="81" w:firstLine="59"/>
              <w:rPr>
                <w:sz w:val="18"/>
                <w:szCs w:val="18"/>
              </w:rPr>
            </w:pPr>
            <w:r>
              <w:rPr>
                <w:spacing w:val="-2"/>
                <w:sz w:val="18"/>
                <w:szCs w:val="18"/>
              </w:rPr>
              <w:t>机房温湿度监</w:t>
            </w:r>
            <w:r>
              <w:rPr>
                <w:spacing w:val="4"/>
                <w:sz w:val="18"/>
                <w:szCs w:val="18"/>
              </w:rPr>
              <w:t xml:space="preserve"> </w:t>
            </w:r>
            <w:r>
              <w:rPr>
                <w:spacing w:val="-2"/>
                <w:sz w:val="18"/>
                <w:szCs w:val="18"/>
              </w:rPr>
              <w:t>控和管理</w:t>
            </w:r>
          </w:p>
        </w:tc>
        <w:tc>
          <w:tcPr>
            <w:tcW w:w="2150" w:type="dxa"/>
            <w:vAlign w:val="top"/>
          </w:tcPr>
          <w:p w14:paraId="52499F02">
            <w:pPr>
              <w:pStyle w:val="6"/>
              <w:spacing w:before="78" w:line="219" w:lineRule="auto"/>
              <w:ind w:left="44"/>
              <w:rPr>
                <w:sz w:val="18"/>
                <w:szCs w:val="18"/>
              </w:rPr>
            </w:pPr>
            <w:r>
              <w:rPr>
                <w:spacing w:val="-1"/>
                <w:sz w:val="18"/>
                <w:szCs w:val="18"/>
              </w:rPr>
              <w:t>机房温度和湿度巡检监控</w:t>
            </w:r>
          </w:p>
        </w:tc>
        <w:tc>
          <w:tcPr>
            <w:tcW w:w="1700" w:type="dxa"/>
            <w:vAlign w:val="top"/>
          </w:tcPr>
          <w:p w14:paraId="6A11AF97">
            <w:pPr>
              <w:pStyle w:val="6"/>
              <w:spacing w:before="79" w:line="219" w:lineRule="auto"/>
              <w:ind w:left="304"/>
              <w:rPr>
                <w:sz w:val="18"/>
                <w:szCs w:val="18"/>
              </w:rPr>
            </w:pPr>
            <w:r>
              <w:rPr>
                <w:spacing w:val="-1"/>
                <w:sz w:val="18"/>
                <w:szCs w:val="18"/>
              </w:rPr>
              <w:t>巡检：2次/天</w:t>
            </w:r>
          </w:p>
        </w:tc>
        <w:tc>
          <w:tcPr>
            <w:tcW w:w="890" w:type="dxa"/>
            <w:vMerge w:val="restart"/>
            <w:tcBorders>
              <w:bottom w:val="nil"/>
            </w:tcBorders>
            <w:vAlign w:val="top"/>
          </w:tcPr>
          <w:p w14:paraId="48A63067">
            <w:pPr>
              <w:spacing w:line="289" w:lineRule="auto"/>
              <w:rPr>
                <w:rFonts w:ascii="Arial"/>
                <w:sz w:val="21"/>
              </w:rPr>
            </w:pPr>
          </w:p>
          <w:p w14:paraId="75A27ECA">
            <w:pPr>
              <w:pStyle w:val="6"/>
              <w:spacing w:before="59" w:line="220" w:lineRule="auto"/>
              <w:ind w:left="254"/>
              <w:rPr>
                <w:sz w:val="18"/>
                <w:szCs w:val="18"/>
              </w:rPr>
            </w:pPr>
            <w:r>
              <w:rPr>
                <w:spacing w:val="-3"/>
                <w:sz w:val="18"/>
                <w:szCs w:val="18"/>
              </w:rPr>
              <w:t>现场</w:t>
            </w:r>
          </w:p>
        </w:tc>
        <w:tc>
          <w:tcPr>
            <w:tcW w:w="1770" w:type="dxa"/>
            <w:tcBorders>
              <w:right w:val="nil"/>
            </w:tcBorders>
            <w:vAlign w:val="top"/>
          </w:tcPr>
          <w:p w14:paraId="2EEC5E10">
            <w:pPr>
              <w:pStyle w:val="6"/>
              <w:spacing w:before="77" w:line="218" w:lineRule="auto"/>
              <w:rPr>
                <w:sz w:val="18"/>
                <w:szCs w:val="18"/>
              </w:rPr>
            </w:pPr>
            <w:r>
              <w:rPr>
                <w:spacing w:val="-12"/>
                <w:sz w:val="18"/>
                <w:szCs w:val="18"/>
              </w:rPr>
              <w:t>《巡检报告》</w:t>
            </w:r>
          </w:p>
        </w:tc>
      </w:tr>
      <w:tr w14:paraId="2AA97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550" w:type="dxa"/>
            <w:vMerge w:val="continue"/>
            <w:tcBorders>
              <w:top w:val="nil"/>
              <w:left w:val="nil"/>
            </w:tcBorders>
            <w:vAlign w:val="top"/>
          </w:tcPr>
          <w:p w14:paraId="522F5A73">
            <w:pPr>
              <w:rPr>
                <w:rFonts w:ascii="Arial"/>
                <w:sz w:val="21"/>
              </w:rPr>
            </w:pPr>
          </w:p>
        </w:tc>
        <w:tc>
          <w:tcPr>
            <w:tcW w:w="1240" w:type="dxa"/>
            <w:vMerge w:val="continue"/>
            <w:tcBorders>
              <w:top w:val="nil"/>
            </w:tcBorders>
            <w:vAlign w:val="top"/>
          </w:tcPr>
          <w:p w14:paraId="0CC7CD39">
            <w:pPr>
              <w:rPr>
                <w:rFonts w:ascii="Arial"/>
                <w:sz w:val="21"/>
              </w:rPr>
            </w:pPr>
          </w:p>
        </w:tc>
        <w:tc>
          <w:tcPr>
            <w:tcW w:w="2150" w:type="dxa"/>
            <w:vAlign w:val="top"/>
          </w:tcPr>
          <w:p w14:paraId="4DFCE740">
            <w:pPr>
              <w:pStyle w:val="6"/>
              <w:spacing w:before="181" w:line="219" w:lineRule="auto"/>
              <w:ind w:left="44"/>
              <w:rPr>
                <w:sz w:val="18"/>
                <w:szCs w:val="18"/>
              </w:rPr>
            </w:pPr>
            <w:r>
              <w:rPr>
                <w:spacing w:val="-2"/>
                <w:sz w:val="18"/>
                <w:szCs w:val="18"/>
              </w:rPr>
              <w:t>异常情况应急处理</w:t>
            </w:r>
          </w:p>
        </w:tc>
        <w:tc>
          <w:tcPr>
            <w:tcW w:w="1700" w:type="dxa"/>
            <w:vAlign w:val="top"/>
          </w:tcPr>
          <w:p w14:paraId="52D30511">
            <w:pPr>
              <w:pStyle w:val="6"/>
              <w:spacing w:before="181" w:line="219" w:lineRule="auto"/>
              <w:ind w:left="214"/>
              <w:rPr>
                <w:sz w:val="18"/>
                <w:szCs w:val="18"/>
              </w:rPr>
            </w:pPr>
            <w:r>
              <w:rPr>
                <w:spacing w:val="1"/>
                <w:sz w:val="18"/>
                <w:szCs w:val="18"/>
              </w:rPr>
              <w:t>发生异常情况时</w:t>
            </w:r>
          </w:p>
        </w:tc>
        <w:tc>
          <w:tcPr>
            <w:tcW w:w="890" w:type="dxa"/>
            <w:vMerge w:val="continue"/>
            <w:tcBorders>
              <w:top w:val="nil"/>
            </w:tcBorders>
            <w:vAlign w:val="top"/>
          </w:tcPr>
          <w:p w14:paraId="126F0981">
            <w:pPr>
              <w:rPr>
                <w:rFonts w:ascii="Arial"/>
                <w:sz w:val="21"/>
              </w:rPr>
            </w:pPr>
          </w:p>
        </w:tc>
        <w:tc>
          <w:tcPr>
            <w:tcW w:w="1770" w:type="dxa"/>
            <w:tcBorders>
              <w:right w:val="nil"/>
            </w:tcBorders>
            <w:vAlign w:val="top"/>
          </w:tcPr>
          <w:p w14:paraId="65197F70">
            <w:pPr>
              <w:pStyle w:val="6"/>
              <w:spacing w:before="61" w:line="239" w:lineRule="auto"/>
              <w:ind w:right="404"/>
              <w:rPr>
                <w:sz w:val="18"/>
                <w:szCs w:val="18"/>
              </w:rPr>
            </w:pPr>
            <w:r>
              <w:rPr>
                <w:spacing w:val="-10"/>
                <w:sz w:val="18"/>
                <w:szCs w:val="18"/>
              </w:rPr>
              <w:t>《服务事件记录》</w:t>
            </w:r>
            <w:r>
              <w:rPr>
                <w:sz w:val="18"/>
                <w:szCs w:val="18"/>
              </w:rPr>
              <w:t xml:space="preserve"> </w:t>
            </w:r>
            <w:r>
              <w:rPr>
                <w:spacing w:val="-9"/>
                <w:sz w:val="18"/>
                <w:szCs w:val="18"/>
              </w:rPr>
              <w:t>《故障报告》</w:t>
            </w:r>
          </w:p>
        </w:tc>
      </w:tr>
      <w:tr w14:paraId="05AC3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50" w:type="dxa"/>
            <w:vMerge w:val="restart"/>
            <w:tcBorders>
              <w:left w:val="nil"/>
              <w:bottom w:val="nil"/>
            </w:tcBorders>
            <w:vAlign w:val="top"/>
          </w:tcPr>
          <w:p w14:paraId="31F9D97A">
            <w:pPr>
              <w:spacing w:line="313" w:lineRule="auto"/>
              <w:rPr>
                <w:rFonts w:ascii="Arial"/>
                <w:sz w:val="21"/>
              </w:rPr>
            </w:pPr>
          </w:p>
          <w:p w14:paraId="154B59D6">
            <w:pPr>
              <w:spacing w:line="314" w:lineRule="auto"/>
              <w:rPr>
                <w:rFonts w:ascii="Arial"/>
                <w:sz w:val="21"/>
              </w:rPr>
            </w:pPr>
          </w:p>
          <w:p w14:paraId="1E23EDE4">
            <w:pPr>
              <w:pStyle w:val="6"/>
              <w:spacing w:before="58" w:line="183" w:lineRule="auto"/>
              <w:ind w:left="139"/>
              <w:rPr>
                <w:sz w:val="18"/>
                <w:szCs w:val="18"/>
              </w:rPr>
            </w:pPr>
            <w:r>
              <w:rPr>
                <w:spacing w:val="-2"/>
                <w:sz w:val="18"/>
                <w:szCs w:val="18"/>
              </w:rPr>
              <w:t>002</w:t>
            </w:r>
          </w:p>
        </w:tc>
        <w:tc>
          <w:tcPr>
            <w:tcW w:w="1240" w:type="dxa"/>
            <w:vMerge w:val="restart"/>
            <w:tcBorders>
              <w:bottom w:val="nil"/>
            </w:tcBorders>
            <w:vAlign w:val="top"/>
          </w:tcPr>
          <w:p w14:paraId="24688123">
            <w:pPr>
              <w:spacing w:line="451" w:lineRule="auto"/>
              <w:rPr>
                <w:rFonts w:ascii="Arial"/>
                <w:sz w:val="21"/>
              </w:rPr>
            </w:pPr>
          </w:p>
          <w:p w14:paraId="32B96569">
            <w:pPr>
              <w:pStyle w:val="6"/>
              <w:spacing w:before="59" w:line="264" w:lineRule="auto"/>
              <w:ind w:left="14" w:right="81" w:firstLine="59"/>
              <w:rPr>
                <w:sz w:val="18"/>
                <w:szCs w:val="18"/>
              </w:rPr>
            </w:pPr>
            <w:r>
              <w:rPr>
                <w:spacing w:val="-2"/>
                <w:sz w:val="18"/>
                <w:szCs w:val="18"/>
              </w:rPr>
              <w:t>机房强电线路</w:t>
            </w:r>
            <w:r>
              <w:rPr>
                <w:spacing w:val="4"/>
                <w:sz w:val="18"/>
                <w:szCs w:val="18"/>
              </w:rPr>
              <w:t xml:space="preserve"> </w:t>
            </w:r>
            <w:r>
              <w:rPr>
                <w:spacing w:val="-2"/>
                <w:sz w:val="18"/>
                <w:szCs w:val="18"/>
              </w:rPr>
              <w:t>监控和管理</w:t>
            </w:r>
          </w:p>
        </w:tc>
        <w:tc>
          <w:tcPr>
            <w:tcW w:w="2150" w:type="dxa"/>
            <w:vAlign w:val="top"/>
          </w:tcPr>
          <w:p w14:paraId="34252C58">
            <w:pPr>
              <w:pStyle w:val="6"/>
              <w:spacing w:before="82" w:line="219" w:lineRule="auto"/>
              <w:ind w:left="44"/>
              <w:rPr>
                <w:sz w:val="18"/>
                <w:szCs w:val="18"/>
              </w:rPr>
            </w:pPr>
            <w:r>
              <w:rPr>
                <w:spacing w:val="-1"/>
                <w:sz w:val="18"/>
                <w:szCs w:val="18"/>
              </w:rPr>
              <w:t>机房强电线路巡检监控</w:t>
            </w:r>
          </w:p>
        </w:tc>
        <w:tc>
          <w:tcPr>
            <w:tcW w:w="1700" w:type="dxa"/>
            <w:vAlign w:val="top"/>
          </w:tcPr>
          <w:p w14:paraId="7B5ABDE7">
            <w:pPr>
              <w:pStyle w:val="6"/>
              <w:spacing w:before="83" w:line="219" w:lineRule="auto"/>
              <w:ind w:left="304"/>
              <w:rPr>
                <w:sz w:val="18"/>
                <w:szCs w:val="18"/>
              </w:rPr>
            </w:pPr>
            <w:r>
              <w:rPr>
                <w:spacing w:val="-1"/>
                <w:sz w:val="18"/>
                <w:szCs w:val="18"/>
              </w:rPr>
              <w:t>巡检：2次/天</w:t>
            </w:r>
          </w:p>
        </w:tc>
        <w:tc>
          <w:tcPr>
            <w:tcW w:w="890" w:type="dxa"/>
            <w:vMerge w:val="restart"/>
            <w:tcBorders>
              <w:bottom w:val="nil"/>
            </w:tcBorders>
            <w:vAlign w:val="top"/>
          </w:tcPr>
          <w:p w14:paraId="30AB37CB">
            <w:pPr>
              <w:spacing w:line="290" w:lineRule="auto"/>
              <w:rPr>
                <w:rFonts w:ascii="Arial"/>
                <w:sz w:val="21"/>
              </w:rPr>
            </w:pPr>
          </w:p>
          <w:p w14:paraId="40C229CE">
            <w:pPr>
              <w:spacing w:line="291" w:lineRule="auto"/>
              <w:rPr>
                <w:rFonts w:ascii="Arial"/>
                <w:sz w:val="21"/>
              </w:rPr>
            </w:pPr>
          </w:p>
          <w:p w14:paraId="7364E301">
            <w:pPr>
              <w:pStyle w:val="6"/>
              <w:spacing w:before="59" w:line="220" w:lineRule="auto"/>
              <w:ind w:left="254"/>
              <w:rPr>
                <w:sz w:val="18"/>
                <w:szCs w:val="18"/>
              </w:rPr>
            </w:pPr>
            <w:r>
              <w:rPr>
                <w:spacing w:val="-3"/>
                <w:sz w:val="18"/>
                <w:szCs w:val="18"/>
              </w:rPr>
              <w:t>现场</w:t>
            </w:r>
          </w:p>
        </w:tc>
        <w:tc>
          <w:tcPr>
            <w:tcW w:w="1770" w:type="dxa"/>
            <w:tcBorders>
              <w:right w:val="nil"/>
            </w:tcBorders>
            <w:vAlign w:val="top"/>
          </w:tcPr>
          <w:p w14:paraId="14ADC312">
            <w:pPr>
              <w:pStyle w:val="6"/>
              <w:spacing w:before="81" w:line="218" w:lineRule="auto"/>
              <w:rPr>
                <w:sz w:val="18"/>
                <w:szCs w:val="18"/>
              </w:rPr>
            </w:pPr>
            <w:r>
              <w:rPr>
                <w:spacing w:val="-12"/>
                <w:sz w:val="18"/>
                <w:szCs w:val="18"/>
              </w:rPr>
              <w:t>《巡检报告》</w:t>
            </w:r>
          </w:p>
        </w:tc>
      </w:tr>
      <w:tr w14:paraId="6EFAA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550" w:type="dxa"/>
            <w:vMerge w:val="continue"/>
            <w:tcBorders>
              <w:top w:val="nil"/>
              <w:left w:val="nil"/>
              <w:bottom w:val="nil"/>
            </w:tcBorders>
            <w:vAlign w:val="top"/>
          </w:tcPr>
          <w:p w14:paraId="765F344A">
            <w:pPr>
              <w:rPr>
                <w:rFonts w:ascii="Arial"/>
                <w:sz w:val="21"/>
              </w:rPr>
            </w:pPr>
          </w:p>
        </w:tc>
        <w:tc>
          <w:tcPr>
            <w:tcW w:w="1240" w:type="dxa"/>
            <w:vMerge w:val="continue"/>
            <w:tcBorders>
              <w:top w:val="nil"/>
              <w:bottom w:val="nil"/>
            </w:tcBorders>
            <w:vAlign w:val="top"/>
          </w:tcPr>
          <w:p w14:paraId="50886D6D">
            <w:pPr>
              <w:rPr>
                <w:rFonts w:ascii="Arial"/>
                <w:sz w:val="21"/>
              </w:rPr>
            </w:pPr>
          </w:p>
        </w:tc>
        <w:tc>
          <w:tcPr>
            <w:tcW w:w="2150" w:type="dxa"/>
            <w:vAlign w:val="top"/>
          </w:tcPr>
          <w:p w14:paraId="55D16A87">
            <w:pPr>
              <w:pStyle w:val="6"/>
              <w:spacing w:before="194" w:line="219" w:lineRule="auto"/>
              <w:ind w:left="44"/>
              <w:rPr>
                <w:sz w:val="18"/>
                <w:szCs w:val="18"/>
              </w:rPr>
            </w:pPr>
            <w:r>
              <w:rPr>
                <w:spacing w:val="-2"/>
                <w:sz w:val="18"/>
                <w:szCs w:val="18"/>
              </w:rPr>
              <w:t>异常情况应急处理</w:t>
            </w:r>
          </w:p>
        </w:tc>
        <w:tc>
          <w:tcPr>
            <w:tcW w:w="1700" w:type="dxa"/>
            <w:vAlign w:val="top"/>
          </w:tcPr>
          <w:p w14:paraId="1972A3CF">
            <w:pPr>
              <w:pStyle w:val="6"/>
              <w:spacing w:before="194" w:line="219" w:lineRule="auto"/>
              <w:ind w:left="214"/>
              <w:rPr>
                <w:sz w:val="18"/>
                <w:szCs w:val="18"/>
              </w:rPr>
            </w:pPr>
            <w:r>
              <w:rPr>
                <w:spacing w:val="1"/>
                <w:sz w:val="18"/>
                <w:szCs w:val="18"/>
              </w:rPr>
              <w:t>发生异常情况时</w:t>
            </w:r>
          </w:p>
        </w:tc>
        <w:tc>
          <w:tcPr>
            <w:tcW w:w="890" w:type="dxa"/>
            <w:vMerge w:val="continue"/>
            <w:tcBorders>
              <w:top w:val="nil"/>
              <w:bottom w:val="nil"/>
            </w:tcBorders>
            <w:vAlign w:val="top"/>
          </w:tcPr>
          <w:p w14:paraId="130A3318">
            <w:pPr>
              <w:rPr>
                <w:rFonts w:ascii="Arial"/>
                <w:sz w:val="21"/>
              </w:rPr>
            </w:pPr>
          </w:p>
        </w:tc>
        <w:tc>
          <w:tcPr>
            <w:tcW w:w="1770" w:type="dxa"/>
            <w:tcBorders>
              <w:right w:val="nil"/>
            </w:tcBorders>
            <w:vAlign w:val="top"/>
          </w:tcPr>
          <w:p w14:paraId="7A2EAA40">
            <w:pPr>
              <w:pStyle w:val="6"/>
              <w:spacing w:before="93" w:line="228" w:lineRule="auto"/>
              <w:ind w:right="404"/>
              <w:rPr>
                <w:sz w:val="18"/>
                <w:szCs w:val="18"/>
              </w:rPr>
            </w:pPr>
            <w:r>
              <w:rPr>
                <w:spacing w:val="-10"/>
                <w:sz w:val="18"/>
                <w:szCs w:val="18"/>
              </w:rPr>
              <w:t>《服务事件记录》</w:t>
            </w:r>
            <w:r>
              <w:rPr>
                <w:sz w:val="18"/>
                <w:szCs w:val="18"/>
              </w:rPr>
              <w:t xml:space="preserve"> </w:t>
            </w:r>
            <w:r>
              <w:rPr>
                <w:spacing w:val="-9"/>
                <w:sz w:val="18"/>
                <w:szCs w:val="18"/>
              </w:rPr>
              <w:t>《故障报告》</w:t>
            </w:r>
          </w:p>
        </w:tc>
      </w:tr>
      <w:tr w14:paraId="3A8A0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550" w:type="dxa"/>
            <w:vMerge w:val="continue"/>
            <w:tcBorders>
              <w:top w:val="nil"/>
              <w:left w:val="nil"/>
            </w:tcBorders>
            <w:vAlign w:val="top"/>
          </w:tcPr>
          <w:p w14:paraId="16278668">
            <w:pPr>
              <w:rPr>
                <w:rFonts w:ascii="Arial"/>
                <w:sz w:val="21"/>
              </w:rPr>
            </w:pPr>
          </w:p>
        </w:tc>
        <w:tc>
          <w:tcPr>
            <w:tcW w:w="1240" w:type="dxa"/>
            <w:vMerge w:val="continue"/>
            <w:tcBorders>
              <w:top w:val="nil"/>
            </w:tcBorders>
            <w:vAlign w:val="top"/>
          </w:tcPr>
          <w:p w14:paraId="2585CCA8">
            <w:pPr>
              <w:rPr>
                <w:rFonts w:ascii="Arial"/>
                <w:sz w:val="21"/>
              </w:rPr>
            </w:pPr>
          </w:p>
        </w:tc>
        <w:tc>
          <w:tcPr>
            <w:tcW w:w="2150" w:type="dxa"/>
            <w:vAlign w:val="top"/>
          </w:tcPr>
          <w:p w14:paraId="60FFD7FC">
            <w:pPr>
              <w:pStyle w:val="6"/>
              <w:spacing w:before="55" w:line="245" w:lineRule="auto"/>
              <w:ind w:left="44" w:right="126"/>
              <w:rPr>
                <w:sz w:val="18"/>
                <w:szCs w:val="18"/>
              </w:rPr>
            </w:pPr>
            <w:r>
              <w:rPr>
                <w:spacing w:val="-2"/>
                <w:sz w:val="18"/>
                <w:szCs w:val="18"/>
              </w:rPr>
              <w:t>强电线路定期维护，包括</w:t>
            </w:r>
            <w:r>
              <w:rPr>
                <w:spacing w:val="9"/>
                <w:sz w:val="18"/>
                <w:szCs w:val="18"/>
              </w:rPr>
              <w:t xml:space="preserve"> </w:t>
            </w:r>
            <w:r>
              <w:rPr>
                <w:spacing w:val="-1"/>
                <w:sz w:val="18"/>
                <w:szCs w:val="18"/>
              </w:rPr>
              <w:t>线路检查、线路梳理等</w:t>
            </w:r>
          </w:p>
        </w:tc>
        <w:tc>
          <w:tcPr>
            <w:tcW w:w="1700" w:type="dxa"/>
            <w:vAlign w:val="top"/>
          </w:tcPr>
          <w:p w14:paraId="5049506B">
            <w:pPr>
              <w:pStyle w:val="6"/>
              <w:spacing w:before="186" w:line="219" w:lineRule="auto"/>
              <w:ind w:left="125"/>
              <w:rPr>
                <w:sz w:val="18"/>
                <w:szCs w:val="18"/>
              </w:rPr>
            </w:pPr>
            <w:r>
              <w:rPr>
                <w:spacing w:val="-2"/>
                <w:sz w:val="18"/>
                <w:szCs w:val="18"/>
              </w:rPr>
              <w:t>定期维护：2次/年</w:t>
            </w:r>
          </w:p>
        </w:tc>
        <w:tc>
          <w:tcPr>
            <w:tcW w:w="890" w:type="dxa"/>
            <w:vMerge w:val="continue"/>
            <w:tcBorders>
              <w:top w:val="nil"/>
            </w:tcBorders>
            <w:vAlign w:val="top"/>
          </w:tcPr>
          <w:p w14:paraId="354FFB46">
            <w:pPr>
              <w:rPr>
                <w:rFonts w:ascii="Arial"/>
                <w:sz w:val="21"/>
              </w:rPr>
            </w:pPr>
          </w:p>
        </w:tc>
        <w:tc>
          <w:tcPr>
            <w:tcW w:w="1770" w:type="dxa"/>
            <w:tcBorders>
              <w:right w:val="nil"/>
            </w:tcBorders>
            <w:vAlign w:val="top"/>
          </w:tcPr>
          <w:p w14:paraId="4A4FBE92">
            <w:pPr>
              <w:pStyle w:val="6"/>
              <w:spacing w:before="66" w:line="239" w:lineRule="auto"/>
              <w:ind w:left="95" w:right="219" w:hanging="95"/>
              <w:rPr>
                <w:sz w:val="18"/>
                <w:szCs w:val="18"/>
              </w:rPr>
            </w:pPr>
            <w:r>
              <w:rPr>
                <w:spacing w:val="-9"/>
                <w:sz w:val="18"/>
                <w:szCs w:val="18"/>
              </w:rPr>
              <w:t>《强电线路定期维护</w:t>
            </w:r>
            <w:r>
              <w:rPr>
                <w:spacing w:val="5"/>
                <w:sz w:val="18"/>
                <w:szCs w:val="18"/>
              </w:rPr>
              <w:t xml:space="preserve"> </w:t>
            </w:r>
            <w:r>
              <w:rPr>
                <w:spacing w:val="-8"/>
                <w:sz w:val="18"/>
                <w:szCs w:val="18"/>
              </w:rPr>
              <w:t>报告》</w:t>
            </w:r>
          </w:p>
        </w:tc>
      </w:tr>
    </w:tbl>
    <w:p w14:paraId="108EC61F">
      <w:pPr>
        <w:rPr>
          <w:rFonts w:ascii="Arial"/>
          <w:sz w:val="21"/>
        </w:rPr>
      </w:pPr>
    </w:p>
    <w:p w14:paraId="2C57C16D">
      <w:pPr>
        <w:rPr>
          <w:rFonts w:ascii="Arial" w:hAnsi="Arial" w:eastAsia="Arial" w:cs="Arial"/>
          <w:sz w:val="21"/>
          <w:szCs w:val="21"/>
        </w:rPr>
        <w:sectPr>
          <w:pgSz w:w="10290" w:h="13290"/>
          <w:pgMar w:top="350" w:right="529" w:bottom="400" w:left="1130" w:header="0" w:footer="0" w:gutter="0"/>
          <w:cols w:space="720" w:num="1"/>
        </w:sectPr>
      </w:pPr>
    </w:p>
    <w:p w14:paraId="231B86F1">
      <w:pPr>
        <w:pStyle w:val="2"/>
        <w:rPr>
          <w:sz w:val="19"/>
          <w:szCs w:val="19"/>
        </w:rPr>
      </w:pPr>
      <w:r>
        <w:rPr>
          <w:rFonts w:ascii="Times New Roman" w:hAnsi="Times New Roman" w:eastAsia="Times New Roman" w:cs="Times New Roman"/>
          <w:b/>
          <w:bCs/>
          <w:spacing w:val="4"/>
          <w:position w:val="-1"/>
          <w:sz w:val="19"/>
          <w:szCs w:val="19"/>
        </w:rPr>
        <w:t>584</w:t>
      </w:r>
      <w:r>
        <w:rPr>
          <w:rFonts w:ascii="Times New Roman" w:hAnsi="Times New Roman" w:eastAsia="Times New Roman" w:cs="Times New Roman"/>
          <w:b/>
          <w:bCs/>
          <w:spacing w:val="34"/>
          <w:w w:val="101"/>
          <w:position w:val="-1"/>
          <w:sz w:val="19"/>
          <w:szCs w:val="19"/>
        </w:rPr>
        <w:t xml:space="preserve"> </w:t>
      </w:r>
      <w:r>
        <w:rPr>
          <w:position w:val="-8"/>
          <w:sz w:val="19"/>
          <w:szCs w:val="19"/>
        </w:rPr>
        <w:drawing>
          <wp:inline distT="0" distB="0" distL="0" distR="0">
            <wp:extent cx="266700" cy="203200"/>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375"/>
                    <a:stretch>
                      <a:fillRect/>
                    </a:stretch>
                  </pic:blipFill>
                  <pic:spPr>
                    <a:xfrm>
                      <a:off x="0" y="0"/>
                      <a:ext cx="266718" cy="203213"/>
                    </a:xfrm>
                    <a:prstGeom prst="rect">
                      <a:avLst/>
                    </a:prstGeom>
                  </pic:spPr>
                </pic:pic>
              </a:graphicData>
            </a:graphic>
          </wp:inline>
        </w:drawing>
      </w:r>
      <w:r>
        <w:rPr>
          <w:rFonts w:ascii="Times New Roman" w:hAnsi="Times New Roman" w:eastAsia="Times New Roman" w:cs="Times New Roman"/>
          <w:b/>
          <w:bCs/>
          <w:spacing w:val="5"/>
          <w:position w:val="-1"/>
          <w:sz w:val="19"/>
          <w:szCs w:val="19"/>
        </w:rPr>
        <w:t xml:space="preserve">    </w:t>
      </w:r>
      <w:r>
        <w:rPr>
          <w:spacing w:val="4"/>
          <w:sz w:val="19"/>
          <w:szCs w:val="19"/>
        </w:rPr>
        <w:t>信息系统监理师教程(第2版)</w:t>
      </w:r>
    </w:p>
    <w:p w14:paraId="6BEDF640">
      <w:pPr>
        <w:spacing w:line="304" w:lineRule="auto"/>
        <w:rPr>
          <w:rFonts w:ascii="Arial"/>
          <w:sz w:val="21"/>
        </w:rPr>
      </w:pPr>
    </w:p>
    <w:p w14:paraId="5772711B">
      <w:pPr>
        <w:pStyle w:val="2"/>
        <w:spacing w:before="62" w:line="220" w:lineRule="auto"/>
        <w:ind w:right="33"/>
        <w:jc w:val="right"/>
        <w:rPr>
          <w:sz w:val="19"/>
          <w:szCs w:val="19"/>
        </w:rPr>
      </w:pPr>
      <w:r>
        <w:rPr>
          <w:sz w:val="19"/>
          <w:szCs w:val="19"/>
        </w:rPr>
        <w:t>(续表)</w:t>
      </w:r>
    </w:p>
    <w:p w14:paraId="1939CA01">
      <w:pPr>
        <w:spacing w:line="60" w:lineRule="exact"/>
      </w:pPr>
    </w:p>
    <w:tbl>
      <w:tblPr>
        <w:tblStyle w:val="5"/>
        <w:tblW w:w="8300" w:type="dxa"/>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0"/>
        <w:gridCol w:w="1240"/>
        <w:gridCol w:w="2150"/>
        <w:gridCol w:w="1700"/>
        <w:gridCol w:w="890"/>
        <w:gridCol w:w="1760"/>
      </w:tblGrid>
      <w:tr w14:paraId="52B6D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560" w:type="dxa"/>
            <w:tcBorders>
              <w:left w:val="nil"/>
            </w:tcBorders>
            <w:vAlign w:val="top"/>
          </w:tcPr>
          <w:p w14:paraId="27415921">
            <w:pPr>
              <w:pStyle w:val="6"/>
              <w:spacing w:before="80" w:line="219" w:lineRule="auto"/>
              <w:ind w:left="92"/>
            </w:pPr>
            <w:r>
              <w:rPr>
                <w:b/>
                <w:bCs/>
                <w:spacing w:val="-4"/>
              </w:rPr>
              <w:t>代码</w:t>
            </w:r>
          </w:p>
        </w:tc>
        <w:tc>
          <w:tcPr>
            <w:tcW w:w="1240" w:type="dxa"/>
            <w:vAlign w:val="top"/>
          </w:tcPr>
          <w:p w14:paraId="6D581071">
            <w:pPr>
              <w:pStyle w:val="6"/>
              <w:spacing w:before="80" w:line="219" w:lineRule="auto"/>
              <w:ind w:left="237"/>
            </w:pPr>
            <w:r>
              <w:rPr>
                <w:b/>
                <w:bCs/>
                <w:spacing w:val="5"/>
              </w:rPr>
              <w:t>服务项目</w:t>
            </w:r>
          </w:p>
        </w:tc>
        <w:tc>
          <w:tcPr>
            <w:tcW w:w="2150" w:type="dxa"/>
            <w:vAlign w:val="top"/>
          </w:tcPr>
          <w:p w14:paraId="6BCE09EC">
            <w:pPr>
              <w:pStyle w:val="6"/>
              <w:spacing w:before="80" w:line="219" w:lineRule="auto"/>
              <w:ind w:left="717"/>
            </w:pPr>
            <w:r>
              <w:rPr>
                <w:b/>
                <w:bCs/>
                <w:spacing w:val="-4"/>
              </w:rPr>
              <w:t>服务内容</w:t>
            </w:r>
          </w:p>
        </w:tc>
        <w:tc>
          <w:tcPr>
            <w:tcW w:w="1700" w:type="dxa"/>
            <w:vAlign w:val="top"/>
          </w:tcPr>
          <w:p w14:paraId="31980AC3">
            <w:pPr>
              <w:pStyle w:val="6"/>
              <w:spacing w:before="80" w:line="219" w:lineRule="auto"/>
              <w:ind w:left="467"/>
            </w:pPr>
            <w:r>
              <w:rPr>
                <w:b/>
                <w:bCs/>
                <w:spacing w:val="-4"/>
              </w:rPr>
              <w:t>服务频度</w:t>
            </w:r>
          </w:p>
        </w:tc>
        <w:tc>
          <w:tcPr>
            <w:tcW w:w="890" w:type="dxa"/>
            <w:vAlign w:val="top"/>
          </w:tcPr>
          <w:p w14:paraId="40194571">
            <w:pPr>
              <w:pStyle w:val="6"/>
              <w:spacing w:before="80" w:line="219" w:lineRule="auto"/>
              <w:ind w:left="57"/>
            </w:pPr>
            <w:r>
              <w:rPr>
                <w:b/>
                <w:bCs/>
                <w:spacing w:val="-5"/>
              </w:rPr>
              <w:t>交付方式</w:t>
            </w:r>
          </w:p>
        </w:tc>
        <w:tc>
          <w:tcPr>
            <w:tcW w:w="1760" w:type="dxa"/>
            <w:tcBorders>
              <w:right w:val="nil"/>
            </w:tcBorders>
            <w:vAlign w:val="top"/>
          </w:tcPr>
          <w:p w14:paraId="3D2C9CAB">
            <w:pPr>
              <w:pStyle w:val="6"/>
              <w:spacing w:before="80" w:line="219" w:lineRule="auto"/>
              <w:ind w:left="537"/>
            </w:pPr>
            <w:r>
              <w:rPr>
                <w:b/>
                <w:bCs/>
                <w:spacing w:val="-5"/>
              </w:rPr>
              <w:t>交付成果</w:t>
            </w:r>
          </w:p>
        </w:tc>
      </w:tr>
      <w:tr w14:paraId="29C99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560" w:type="dxa"/>
            <w:vMerge w:val="restart"/>
            <w:tcBorders>
              <w:left w:val="nil"/>
              <w:bottom w:val="nil"/>
            </w:tcBorders>
            <w:vAlign w:val="top"/>
          </w:tcPr>
          <w:p w14:paraId="795BE65B">
            <w:pPr>
              <w:spacing w:line="283" w:lineRule="auto"/>
              <w:rPr>
                <w:rFonts w:ascii="Arial"/>
                <w:sz w:val="21"/>
              </w:rPr>
            </w:pPr>
          </w:p>
          <w:p w14:paraId="469860FF">
            <w:pPr>
              <w:spacing w:line="284" w:lineRule="auto"/>
              <w:rPr>
                <w:rFonts w:ascii="Arial"/>
                <w:sz w:val="21"/>
              </w:rPr>
            </w:pPr>
          </w:p>
          <w:p w14:paraId="22E79EB5">
            <w:pPr>
              <w:spacing w:line="284" w:lineRule="auto"/>
              <w:rPr>
                <w:rFonts w:ascii="Arial"/>
                <w:sz w:val="21"/>
              </w:rPr>
            </w:pPr>
          </w:p>
          <w:p w14:paraId="25F96C70">
            <w:pPr>
              <w:pStyle w:val="6"/>
              <w:spacing w:before="62" w:line="183" w:lineRule="auto"/>
              <w:ind w:left="130"/>
            </w:pPr>
            <w:r>
              <w:rPr>
                <w:spacing w:val="-2"/>
              </w:rPr>
              <w:t>003</w:t>
            </w:r>
          </w:p>
        </w:tc>
        <w:tc>
          <w:tcPr>
            <w:tcW w:w="1240" w:type="dxa"/>
            <w:vMerge w:val="restart"/>
            <w:tcBorders>
              <w:bottom w:val="nil"/>
            </w:tcBorders>
            <w:vAlign w:val="top"/>
          </w:tcPr>
          <w:p w14:paraId="5CB84171">
            <w:pPr>
              <w:spacing w:line="331" w:lineRule="auto"/>
              <w:rPr>
                <w:rFonts w:ascii="Arial"/>
                <w:sz w:val="21"/>
              </w:rPr>
            </w:pPr>
          </w:p>
          <w:p w14:paraId="3F460259">
            <w:pPr>
              <w:spacing w:line="332" w:lineRule="auto"/>
              <w:rPr>
                <w:rFonts w:ascii="Arial"/>
                <w:sz w:val="21"/>
              </w:rPr>
            </w:pPr>
          </w:p>
          <w:p w14:paraId="5F904223">
            <w:pPr>
              <w:pStyle w:val="6"/>
              <w:spacing w:before="62" w:line="269" w:lineRule="auto"/>
              <w:ind w:left="15" w:right="51" w:firstLine="30"/>
            </w:pPr>
            <w:r>
              <w:rPr>
                <w:spacing w:val="-2"/>
              </w:rPr>
              <w:t>机房空调运行</w:t>
            </w:r>
            <w:r>
              <w:rPr>
                <w:spacing w:val="4"/>
              </w:rPr>
              <w:t xml:space="preserve"> </w:t>
            </w:r>
            <w:r>
              <w:rPr>
                <w:spacing w:val="-2"/>
              </w:rPr>
              <w:t>监控和管理</w:t>
            </w:r>
          </w:p>
        </w:tc>
        <w:tc>
          <w:tcPr>
            <w:tcW w:w="2150" w:type="dxa"/>
            <w:vAlign w:val="top"/>
          </w:tcPr>
          <w:p w14:paraId="12C17FAA">
            <w:pPr>
              <w:pStyle w:val="6"/>
              <w:spacing w:before="79" w:line="219" w:lineRule="auto"/>
              <w:ind w:left="35"/>
            </w:pPr>
            <w:r>
              <w:t>空调运行情况巡检监控</w:t>
            </w:r>
          </w:p>
        </w:tc>
        <w:tc>
          <w:tcPr>
            <w:tcW w:w="1700" w:type="dxa"/>
            <w:vAlign w:val="top"/>
          </w:tcPr>
          <w:p w14:paraId="5329896F">
            <w:pPr>
              <w:pStyle w:val="6"/>
              <w:spacing w:before="79" w:line="219" w:lineRule="auto"/>
              <w:ind w:left="275"/>
            </w:pPr>
            <w:r>
              <w:rPr>
                <w:spacing w:val="-1"/>
              </w:rPr>
              <w:t>巡检：2次/天</w:t>
            </w:r>
          </w:p>
        </w:tc>
        <w:tc>
          <w:tcPr>
            <w:tcW w:w="890" w:type="dxa"/>
            <w:vMerge w:val="restart"/>
            <w:tcBorders>
              <w:bottom w:val="nil"/>
            </w:tcBorders>
            <w:vAlign w:val="top"/>
          </w:tcPr>
          <w:p w14:paraId="3A99BDB1">
            <w:pPr>
              <w:spacing w:line="267" w:lineRule="auto"/>
              <w:rPr>
                <w:rFonts w:ascii="Arial"/>
                <w:sz w:val="21"/>
              </w:rPr>
            </w:pPr>
          </w:p>
          <w:p w14:paraId="316F27B1">
            <w:pPr>
              <w:spacing w:line="268" w:lineRule="auto"/>
              <w:rPr>
                <w:rFonts w:ascii="Arial"/>
                <w:sz w:val="21"/>
              </w:rPr>
            </w:pPr>
          </w:p>
          <w:p w14:paraId="6BE4D43E">
            <w:pPr>
              <w:spacing w:line="268" w:lineRule="auto"/>
              <w:rPr>
                <w:rFonts w:ascii="Arial"/>
                <w:sz w:val="21"/>
              </w:rPr>
            </w:pPr>
          </w:p>
          <w:p w14:paraId="38F82B4D">
            <w:pPr>
              <w:pStyle w:val="6"/>
              <w:spacing w:before="62" w:line="220" w:lineRule="auto"/>
              <w:ind w:left="245"/>
            </w:pPr>
            <w:r>
              <w:rPr>
                <w:spacing w:val="5"/>
              </w:rPr>
              <w:t>现场</w:t>
            </w:r>
          </w:p>
        </w:tc>
        <w:tc>
          <w:tcPr>
            <w:tcW w:w="1760" w:type="dxa"/>
            <w:tcBorders>
              <w:right w:val="nil"/>
            </w:tcBorders>
            <w:vAlign w:val="top"/>
          </w:tcPr>
          <w:p w14:paraId="6816EC91">
            <w:pPr>
              <w:pStyle w:val="6"/>
              <w:spacing w:before="78" w:line="218" w:lineRule="auto"/>
            </w:pPr>
            <w:r>
              <w:rPr>
                <w:spacing w:val="-12"/>
              </w:rPr>
              <w:t>《巡检报告》</w:t>
            </w:r>
          </w:p>
        </w:tc>
      </w:tr>
      <w:tr w14:paraId="4780F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6" w:hRule="atLeast"/>
        </w:trPr>
        <w:tc>
          <w:tcPr>
            <w:tcW w:w="560" w:type="dxa"/>
            <w:vMerge w:val="continue"/>
            <w:tcBorders>
              <w:top w:val="nil"/>
              <w:left w:val="nil"/>
              <w:bottom w:val="nil"/>
            </w:tcBorders>
            <w:vAlign w:val="top"/>
          </w:tcPr>
          <w:p w14:paraId="32B43CB7">
            <w:pPr>
              <w:rPr>
                <w:rFonts w:ascii="Arial"/>
                <w:sz w:val="21"/>
              </w:rPr>
            </w:pPr>
          </w:p>
        </w:tc>
        <w:tc>
          <w:tcPr>
            <w:tcW w:w="1240" w:type="dxa"/>
            <w:vMerge w:val="continue"/>
            <w:tcBorders>
              <w:top w:val="nil"/>
              <w:bottom w:val="nil"/>
            </w:tcBorders>
            <w:vAlign w:val="top"/>
          </w:tcPr>
          <w:p w14:paraId="2AD27216">
            <w:pPr>
              <w:rPr>
                <w:rFonts w:ascii="Arial"/>
                <w:sz w:val="21"/>
              </w:rPr>
            </w:pPr>
          </w:p>
        </w:tc>
        <w:tc>
          <w:tcPr>
            <w:tcW w:w="2150" w:type="dxa"/>
            <w:vAlign w:val="top"/>
          </w:tcPr>
          <w:p w14:paraId="4F900634">
            <w:pPr>
              <w:pStyle w:val="6"/>
              <w:spacing w:before="101" w:line="254" w:lineRule="auto"/>
              <w:ind w:left="35" w:firstLine="9"/>
              <w:jc w:val="both"/>
            </w:pPr>
            <w:r>
              <w:t>空调定期维护，包括健康</w:t>
            </w:r>
            <w:r>
              <w:rPr>
                <w:spacing w:val="3"/>
              </w:rPr>
              <w:t xml:space="preserve"> </w:t>
            </w:r>
            <w:r>
              <w:rPr>
                <w:spacing w:val="-2"/>
              </w:rPr>
              <w:t>检查、主机除尘、更换清</w:t>
            </w:r>
            <w:r>
              <w:rPr>
                <w:spacing w:val="9"/>
              </w:rPr>
              <w:t xml:space="preserve"> </w:t>
            </w:r>
            <w:r>
              <w:rPr>
                <w:spacing w:val="-2"/>
              </w:rPr>
              <w:t>洗过滤网加湿罐等</w:t>
            </w:r>
          </w:p>
        </w:tc>
        <w:tc>
          <w:tcPr>
            <w:tcW w:w="1700" w:type="dxa"/>
            <w:vAlign w:val="top"/>
          </w:tcPr>
          <w:p w14:paraId="36B4B13B">
            <w:pPr>
              <w:spacing w:line="298" w:lineRule="auto"/>
              <w:rPr>
                <w:rFonts w:ascii="Arial"/>
                <w:sz w:val="21"/>
              </w:rPr>
            </w:pPr>
          </w:p>
          <w:p w14:paraId="41E46374">
            <w:pPr>
              <w:pStyle w:val="6"/>
              <w:spacing w:before="62" w:line="219" w:lineRule="auto"/>
              <w:ind w:left="85"/>
            </w:pPr>
            <w:r>
              <w:rPr>
                <w:spacing w:val="4"/>
              </w:rPr>
              <w:t>定期维护：1次/月</w:t>
            </w:r>
          </w:p>
        </w:tc>
        <w:tc>
          <w:tcPr>
            <w:tcW w:w="890" w:type="dxa"/>
            <w:vMerge w:val="continue"/>
            <w:tcBorders>
              <w:top w:val="nil"/>
              <w:bottom w:val="nil"/>
            </w:tcBorders>
            <w:vAlign w:val="top"/>
          </w:tcPr>
          <w:p w14:paraId="7B2951DE">
            <w:pPr>
              <w:rPr>
                <w:rFonts w:ascii="Arial"/>
                <w:sz w:val="21"/>
              </w:rPr>
            </w:pPr>
          </w:p>
        </w:tc>
        <w:tc>
          <w:tcPr>
            <w:tcW w:w="1760" w:type="dxa"/>
            <w:tcBorders>
              <w:right w:val="nil"/>
            </w:tcBorders>
            <w:vAlign w:val="top"/>
          </w:tcPr>
          <w:p w14:paraId="56A01C2D">
            <w:pPr>
              <w:spacing w:line="296" w:lineRule="auto"/>
              <w:rPr>
                <w:rFonts w:ascii="Arial"/>
                <w:sz w:val="21"/>
              </w:rPr>
            </w:pPr>
          </w:p>
          <w:p w14:paraId="447A1DD9">
            <w:pPr>
              <w:pStyle w:val="6"/>
              <w:spacing w:before="62" w:line="218" w:lineRule="auto"/>
              <w:jc w:val="right"/>
            </w:pPr>
            <w:r>
              <w:rPr>
                <w:spacing w:val="-15"/>
              </w:rPr>
              <w:t>《空调定期维护报告》</w:t>
            </w:r>
          </w:p>
        </w:tc>
      </w:tr>
      <w:tr w14:paraId="35449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560" w:type="dxa"/>
            <w:vMerge w:val="continue"/>
            <w:tcBorders>
              <w:top w:val="nil"/>
              <w:left w:val="nil"/>
            </w:tcBorders>
            <w:vAlign w:val="top"/>
          </w:tcPr>
          <w:p w14:paraId="51492EE4">
            <w:pPr>
              <w:rPr>
                <w:rFonts w:ascii="Arial"/>
                <w:sz w:val="21"/>
              </w:rPr>
            </w:pPr>
          </w:p>
        </w:tc>
        <w:tc>
          <w:tcPr>
            <w:tcW w:w="1240" w:type="dxa"/>
            <w:vMerge w:val="continue"/>
            <w:tcBorders>
              <w:top w:val="nil"/>
            </w:tcBorders>
            <w:vAlign w:val="top"/>
          </w:tcPr>
          <w:p w14:paraId="13BD85DF">
            <w:pPr>
              <w:rPr>
                <w:rFonts w:ascii="Arial"/>
                <w:sz w:val="21"/>
              </w:rPr>
            </w:pPr>
          </w:p>
        </w:tc>
        <w:tc>
          <w:tcPr>
            <w:tcW w:w="2150" w:type="dxa"/>
            <w:vAlign w:val="top"/>
          </w:tcPr>
          <w:p w14:paraId="67B1A50A">
            <w:pPr>
              <w:pStyle w:val="6"/>
              <w:spacing w:before="245" w:line="219" w:lineRule="auto"/>
              <w:ind w:left="35"/>
            </w:pPr>
            <w:r>
              <w:rPr>
                <w:spacing w:val="-2"/>
              </w:rPr>
              <w:t>故障应急处理</w:t>
            </w:r>
          </w:p>
        </w:tc>
        <w:tc>
          <w:tcPr>
            <w:tcW w:w="1700" w:type="dxa"/>
            <w:vAlign w:val="top"/>
          </w:tcPr>
          <w:p w14:paraId="46C03B9B">
            <w:pPr>
              <w:pStyle w:val="6"/>
              <w:spacing w:before="245" w:line="219" w:lineRule="auto"/>
              <w:ind w:left="365"/>
            </w:pPr>
            <w:r>
              <w:rPr>
                <w:spacing w:val="2"/>
              </w:rPr>
              <w:t>发生故障时</w:t>
            </w:r>
          </w:p>
        </w:tc>
        <w:tc>
          <w:tcPr>
            <w:tcW w:w="890" w:type="dxa"/>
            <w:vMerge w:val="continue"/>
            <w:tcBorders>
              <w:top w:val="nil"/>
            </w:tcBorders>
            <w:vAlign w:val="top"/>
          </w:tcPr>
          <w:p w14:paraId="02F71713">
            <w:pPr>
              <w:rPr>
                <w:rFonts w:ascii="Arial"/>
                <w:sz w:val="21"/>
              </w:rPr>
            </w:pPr>
          </w:p>
        </w:tc>
        <w:tc>
          <w:tcPr>
            <w:tcW w:w="1760" w:type="dxa"/>
            <w:tcBorders>
              <w:right w:val="nil"/>
            </w:tcBorders>
            <w:vAlign w:val="top"/>
          </w:tcPr>
          <w:p w14:paraId="09D7C600">
            <w:pPr>
              <w:pStyle w:val="6"/>
              <w:spacing w:before="125" w:line="247" w:lineRule="auto"/>
              <w:ind w:right="320"/>
            </w:pPr>
            <w:r>
              <w:rPr>
                <w:spacing w:val="-11"/>
              </w:rPr>
              <w:t>《服务事件记录》</w:t>
            </w:r>
            <w:r>
              <w:rPr>
                <w:spacing w:val="1"/>
              </w:rPr>
              <w:t xml:space="preserve"> </w:t>
            </w:r>
            <w:r>
              <w:rPr>
                <w:spacing w:val="-9"/>
              </w:rPr>
              <w:t>《故障报告》</w:t>
            </w:r>
          </w:p>
        </w:tc>
      </w:tr>
    </w:tbl>
    <w:p w14:paraId="6C04D273">
      <w:pPr>
        <w:pStyle w:val="2"/>
        <w:spacing w:before="232" w:line="275" w:lineRule="auto"/>
        <w:ind w:left="329" w:firstLine="430"/>
        <w:rPr>
          <w:sz w:val="19"/>
          <w:szCs w:val="19"/>
        </w:rPr>
      </w:pPr>
      <w:r>
        <w:rPr>
          <w:spacing w:val="17"/>
          <w:sz w:val="19"/>
          <w:szCs w:val="19"/>
        </w:rPr>
        <w:t>(2)管理运行维护招标阶段所产生的与监理相关的文档资料，包括需求说明、招标文件、</w:t>
      </w:r>
      <w:r>
        <w:rPr>
          <w:sz w:val="19"/>
          <w:szCs w:val="19"/>
        </w:rPr>
        <w:t xml:space="preserve"> </w:t>
      </w:r>
      <w:r>
        <w:rPr>
          <w:spacing w:val="11"/>
          <w:sz w:val="19"/>
          <w:szCs w:val="19"/>
        </w:rPr>
        <w:t>运行维护合同、运行维护</w:t>
      </w:r>
      <w:r>
        <w:rPr>
          <w:sz w:val="19"/>
          <w:szCs w:val="19"/>
        </w:rPr>
        <w:t>SLA</w:t>
      </w:r>
      <w:r>
        <w:rPr>
          <w:spacing w:val="41"/>
          <w:sz w:val="19"/>
          <w:szCs w:val="19"/>
        </w:rPr>
        <w:t xml:space="preserve"> </w:t>
      </w:r>
      <w:r>
        <w:rPr>
          <w:spacing w:val="11"/>
          <w:sz w:val="19"/>
          <w:szCs w:val="19"/>
        </w:rPr>
        <w:t>等。</w:t>
      </w:r>
    </w:p>
    <w:p w14:paraId="19E24165">
      <w:pPr>
        <w:pStyle w:val="2"/>
        <w:spacing w:before="74" w:line="269" w:lineRule="auto"/>
        <w:ind w:left="329" w:right="65" w:firstLine="430"/>
        <w:rPr>
          <w:sz w:val="19"/>
          <w:szCs w:val="19"/>
        </w:rPr>
      </w:pPr>
      <w:r>
        <w:rPr>
          <w:spacing w:val="15"/>
          <w:sz w:val="19"/>
          <w:szCs w:val="19"/>
        </w:rPr>
        <w:t>(3)可从运行维护人员、资源、技术和过程，以及运行维护预算的分析论证等方面向业主</w:t>
      </w:r>
      <w:r>
        <w:rPr>
          <w:spacing w:val="14"/>
          <w:sz w:val="19"/>
          <w:szCs w:val="19"/>
        </w:rPr>
        <w:t xml:space="preserve"> </w:t>
      </w:r>
      <w:r>
        <w:rPr>
          <w:spacing w:val="3"/>
          <w:sz w:val="19"/>
          <w:szCs w:val="19"/>
        </w:rPr>
        <w:t>单位提供咨询服务。</w:t>
      </w:r>
    </w:p>
    <w:p w14:paraId="64E0437D">
      <w:pPr>
        <w:pStyle w:val="2"/>
        <w:spacing w:before="94" w:line="219" w:lineRule="auto"/>
        <w:ind w:left="759"/>
        <w:rPr>
          <w:sz w:val="19"/>
          <w:szCs w:val="19"/>
        </w:rPr>
      </w:pPr>
      <w:r>
        <w:rPr>
          <w:spacing w:val="11"/>
          <w:sz w:val="19"/>
          <w:szCs w:val="19"/>
        </w:rPr>
        <w:t>(4)签订的运维服务合同中，应明确要求运维服务提供方接受监理单位的监理。</w:t>
      </w:r>
    </w:p>
    <w:p w14:paraId="0A036279">
      <w:pPr>
        <w:pStyle w:val="2"/>
        <w:spacing w:before="245" w:line="219" w:lineRule="auto"/>
        <w:ind w:left="332"/>
        <w:rPr>
          <w:sz w:val="25"/>
          <w:szCs w:val="25"/>
        </w:rPr>
      </w:pPr>
      <w:r>
        <w:rPr>
          <w:b/>
          <w:bCs/>
          <w:color w:val="0064BC"/>
          <w:spacing w:val="-16"/>
          <w:sz w:val="25"/>
          <w:szCs w:val="25"/>
        </w:rPr>
        <w:t>25.2.3</w:t>
      </w:r>
      <w:r>
        <w:rPr>
          <w:color w:val="0064BC"/>
          <w:spacing w:val="82"/>
          <w:sz w:val="25"/>
          <w:szCs w:val="25"/>
        </w:rPr>
        <w:t xml:space="preserve"> </w:t>
      </w:r>
      <w:r>
        <w:rPr>
          <w:b/>
          <w:bCs/>
          <w:color w:val="0064BC"/>
          <w:spacing w:val="-16"/>
          <w:sz w:val="25"/>
          <w:szCs w:val="25"/>
        </w:rPr>
        <w:t>主要输出文档</w:t>
      </w:r>
    </w:p>
    <w:p w14:paraId="3DBC9784">
      <w:pPr>
        <w:pStyle w:val="2"/>
        <w:spacing w:before="174" w:line="219" w:lineRule="auto"/>
        <w:ind w:left="759"/>
        <w:rPr>
          <w:sz w:val="19"/>
          <w:szCs w:val="19"/>
        </w:rPr>
      </w:pPr>
      <w:r>
        <w:rPr>
          <w:spacing w:val="6"/>
          <w:sz w:val="19"/>
          <w:szCs w:val="19"/>
        </w:rPr>
        <w:t>运行维护招标阶段的主要输出文档如下：</w:t>
      </w:r>
    </w:p>
    <w:p w14:paraId="622340B2">
      <w:pPr>
        <w:pStyle w:val="2"/>
        <w:spacing w:before="98" w:line="221" w:lineRule="auto"/>
        <w:ind w:left="759"/>
        <w:rPr>
          <w:sz w:val="19"/>
          <w:szCs w:val="19"/>
        </w:rPr>
      </w:pPr>
      <w:r>
        <w:rPr>
          <w:spacing w:val="13"/>
          <w:sz w:val="19"/>
          <w:szCs w:val="19"/>
        </w:rPr>
        <w:t>(1)监理规划；</w:t>
      </w:r>
    </w:p>
    <w:p w14:paraId="6E632011">
      <w:pPr>
        <w:pStyle w:val="2"/>
        <w:spacing w:before="78" w:line="219" w:lineRule="auto"/>
        <w:ind w:left="759"/>
        <w:rPr>
          <w:sz w:val="19"/>
          <w:szCs w:val="19"/>
        </w:rPr>
      </w:pPr>
      <w:r>
        <w:rPr>
          <w:spacing w:val="11"/>
          <w:sz w:val="19"/>
          <w:szCs w:val="19"/>
        </w:rPr>
        <w:t>(2)服务需求研讨会会议纪要；</w:t>
      </w:r>
    </w:p>
    <w:p w14:paraId="797D4060">
      <w:pPr>
        <w:pStyle w:val="2"/>
        <w:spacing w:before="86" w:line="219" w:lineRule="auto"/>
        <w:ind w:left="759"/>
        <w:rPr>
          <w:sz w:val="19"/>
          <w:szCs w:val="19"/>
        </w:rPr>
      </w:pPr>
      <w:r>
        <w:rPr>
          <w:spacing w:val="10"/>
          <w:sz w:val="19"/>
          <w:szCs w:val="19"/>
        </w:rPr>
        <w:t>(3)招标需求文件评审的监理意见；</w:t>
      </w:r>
    </w:p>
    <w:p w14:paraId="2F2FE36B">
      <w:pPr>
        <w:pStyle w:val="2"/>
        <w:spacing w:before="85" w:line="220" w:lineRule="auto"/>
        <w:ind w:left="759"/>
        <w:rPr>
          <w:sz w:val="19"/>
          <w:szCs w:val="19"/>
        </w:rPr>
      </w:pPr>
      <w:r>
        <w:rPr>
          <w:spacing w:val="12"/>
          <w:sz w:val="19"/>
          <w:szCs w:val="19"/>
        </w:rPr>
        <w:t>(4)招标答疑纪要或备忘录；</w:t>
      </w:r>
    </w:p>
    <w:p w14:paraId="2A6B5574">
      <w:pPr>
        <w:pStyle w:val="2"/>
        <w:spacing w:before="93" w:line="219" w:lineRule="auto"/>
        <w:ind w:left="759"/>
        <w:rPr>
          <w:sz w:val="19"/>
          <w:szCs w:val="19"/>
        </w:rPr>
      </w:pPr>
      <w:r>
        <w:rPr>
          <w:spacing w:val="11"/>
          <w:sz w:val="19"/>
          <w:szCs w:val="19"/>
        </w:rPr>
        <w:t>(5)合同评审的监理意见；</w:t>
      </w:r>
    </w:p>
    <w:p w14:paraId="4DEC9D11">
      <w:pPr>
        <w:pStyle w:val="2"/>
        <w:spacing w:before="74" w:line="212" w:lineRule="auto"/>
        <w:ind w:left="759"/>
        <w:rPr>
          <w:sz w:val="19"/>
          <w:szCs w:val="19"/>
        </w:rPr>
      </w:pPr>
      <w:r>
        <w:rPr>
          <w:rFonts w:ascii="Times New Roman" w:hAnsi="Times New Roman" w:eastAsia="Times New Roman" w:cs="Times New Roman"/>
          <w:spacing w:val="3"/>
          <w:sz w:val="19"/>
          <w:szCs w:val="19"/>
        </w:rPr>
        <w:t>(6)</w:t>
      </w:r>
      <w:r>
        <w:rPr>
          <w:rFonts w:ascii="Times New Roman" w:hAnsi="Times New Roman" w:eastAsia="Times New Roman" w:cs="Times New Roman"/>
          <w:sz w:val="19"/>
          <w:szCs w:val="19"/>
        </w:rPr>
        <w:t>SLA</w:t>
      </w:r>
      <w:r>
        <w:rPr>
          <w:rFonts w:ascii="Times New Roman" w:hAnsi="Times New Roman" w:eastAsia="Times New Roman" w:cs="Times New Roman"/>
          <w:spacing w:val="10"/>
          <w:sz w:val="19"/>
          <w:szCs w:val="19"/>
        </w:rPr>
        <w:t xml:space="preserve">    </w:t>
      </w:r>
      <w:r>
        <w:rPr>
          <w:spacing w:val="3"/>
          <w:sz w:val="19"/>
          <w:szCs w:val="19"/>
        </w:rPr>
        <w:t>评审的监理意见。</w:t>
      </w:r>
    </w:p>
    <w:p w14:paraId="2C1C5990">
      <w:pPr>
        <w:spacing w:line="345" w:lineRule="auto"/>
        <w:rPr>
          <w:rFonts w:ascii="Arial"/>
          <w:sz w:val="21"/>
        </w:rPr>
      </w:pPr>
    </w:p>
    <w:p w14:paraId="6E6C18A0">
      <w:pPr>
        <w:pStyle w:val="2"/>
        <w:spacing w:before="94" w:line="222" w:lineRule="auto"/>
        <w:ind w:left="334"/>
        <w:rPr>
          <w:rFonts w:ascii="黑体" w:hAnsi="黑体" w:eastAsia="黑体" w:cs="黑体"/>
          <w:sz w:val="29"/>
          <w:szCs w:val="29"/>
        </w:rPr>
      </w:pPr>
      <w:r>
        <w:rPr>
          <w:b/>
          <w:bCs/>
          <w:color w:val="006AD4"/>
          <w:spacing w:val="-10"/>
          <w:sz w:val="29"/>
          <w:szCs w:val="29"/>
        </w:rPr>
        <w:t>25.3</w:t>
      </w:r>
      <w:r>
        <w:rPr>
          <w:color w:val="006AD4"/>
          <w:spacing w:val="123"/>
          <w:sz w:val="29"/>
          <w:szCs w:val="29"/>
        </w:rPr>
        <w:t xml:space="preserve"> </w:t>
      </w:r>
      <w:r>
        <w:rPr>
          <w:rFonts w:ascii="黑体" w:hAnsi="黑体" w:eastAsia="黑体" w:cs="黑体"/>
          <w:b/>
          <w:bCs/>
          <w:color w:val="006AD4"/>
          <w:spacing w:val="-10"/>
          <w:sz w:val="29"/>
          <w:szCs w:val="29"/>
        </w:rPr>
        <w:t>实施阶段监理工作</w:t>
      </w:r>
    </w:p>
    <w:p w14:paraId="63256D17">
      <w:pPr>
        <w:spacing w:line="215" w:lineRule="exact"/>
      </w:pPr>
    </w:p>
    <w:p w14:paraId="1C8216CC">
      <w:pPr>
        <w:spacing w:line="215" w:lineRule="exact"/>
        <w:sectPr>
          <w:pgSz w:w="10310" w:h="13390"/>
          <w:pgMar w:top="380" w:right="1104" w:bottom="400" w:left="450" w:header="0" w:footer="0" w:gutter="0"/>
          <w:cols w:equalWidth="0" w:num="1">
            <w:col w:w="8756"/>
          </w:cols>
        </w:sectPr>
      </w:pPr>
    </w:p>
    <w:p w14:paraId="525F5192">
      <w:pPr>
        <w:pStyle w:val="2"/>
        <w:spacing w:before="41" w:line="298" w:lineRule="auto"/>
        <w:ind w:left="329" w:right="44" w:firstLine="430"/>
        <w:jc w:val="both"/>
        <w:rPr>
          <w:sz w:val="19"/>
          <w:szCs w:val="19"/>
        </w:rPr>
      </w:pPr>
      <w:r>
        <w:rPr>
          <w:spacing w:val="18"/>
          <w:sz w:val="19"/>
          <w:szCs w:val="19"/>
        </w:rPr>
        <w:t>在运行维护实施阶段，监理机构结合信息系</w:t>
      </w:r>
      <w:r>
        <w:rPr>
          <w:spacing w:val="14"/>
          <w:sz w:val="19"/>
          <w:szCs w:val="19"/>
        </w:rPr>
        <w:t xml:space="preserve"> </w:t>
      </w:r>
      <w:r>
        <w:rPr>
          <w:spacing w:val="11"/>
          <w:sz w:val="19"/>
          <w:szCs w:val="19"/>
        </w:rPr>
        <w:t>统运行维护监理“四控、五管、</w:t>
      </w:r>
      <w:r>
        <w:rPr>
          <w:spacing w:val="57"/>
          <w:sz w:val="19"/>
          <w:szCs w:val="19"/>
        </w:rPr>
        <w:t xml:space="preserve"> </w:t>
      </w:r>
      <w:r>
        <w:rPr>
          <w:spacing w:val="11"/>
          <w:sz w:val="19"/>
          <w:szCs w:val="19"/>
        </w:rPr>
        <w:t>一协调”的</w:t>
      </w:r>
      <w:r>
        <w:rPr>
          <w:spacing w:val="10"/>
          <w:sz w:val="19"/>
          <w:szCs w:val="19"/>
        </w:rPr>
        <w:t>工作</w:t>
      </w:r>
      <w:r>
        <w:rPr>
          <w:sz w:val="19"/>
          <w:szCs w:val="19"/>
        </w:rPr>
        <w:t xml:space="preserve">  </w:t>
      </w:r>
      <w:r>
        <w:rPr>
          <w:spacing w:val="18"/>
          <w:sz w:val="19"/>
          <w:szCs w:val="19"/>
        </w:rPr>
        <w:t>方法论，依据服务目录及</w:t>
      </w:r>
      <w:r>
        <w:rPr>
          <w:rFonts w:ascii="Times New Roman" w:hAnsi="Times New Roman" w:eastAsia="Times New Roman" w:cs="Times New Roman"/>
          <w:sz w:val="19"/>
          <w:szCs w:val="19"/>
        </w:rPr>
        <w:t>SLA</w:t>
      </w:r>
      <w:r>
        <w:rPr>
          <w:rFonts w:ascii="Times New Roman" w:hAnsi="Times New Roman" w:eastAsia="Times New Roman" w:cs="Times New Roman"/>
          <w:spacing w:val="18"/>
          <w:sz w:val="19"/>
          <w:szCs w:val="19"/>
        </w:rPr>
        <w:t>,</w:t>
      </w:r>
      <w:r>
        <w:rPr>
          <w:rFonts w:ascii="Times New Roman" w:hAnsi="Times New Roman" w:eastAsia="Times New Roman" w:cs="Times New Roman"/>
          <w:spacing w:val="2"/>
          <w:sz w:val="19"/>
          <w:szCs w:val="19"/>
        </w:rPr>
        <w:t xml:space="preserve">    </w:t>
      </w:r>
      <w:r>
        <w:rPr>
          <w:spacing w:val="18"/>
          <w:sz w:val="19"/>
          <w:szCs w:val="19"/>
        </w:rPr>
        <w:t>协助业主单位对</w:t>
      </w:r>
      <w:r>
        <w:rPr>
          <w:sz w:val="19"/>
          <w:szCs w:val="19"/>
        </w:rPr>
        <w:t xml:space="preserve">  </w:t>
      </w:r>
      <w:r>
        <w:rPr>
          <w:spacing w:val="12"/>
          <w:sz w:val="19"/>
          <w:szCs w:val="19"/>
        </w:rPr>
        <w:t>运维服务提供方的运行维护活动进行质量、进度、</w:t>
      </w:r>
      <w:r>
        <w:rPr>
          <w:spacing w:val="10"/>
          <w:sz w:val="19"/>
          <w:szCs w:val="19"/>
        </w:rPr>
        <w:t xml:space="preserve"> </w:t>
      </w:r>
      <w:r>
        <w:rPr>
          <w:spacing w:val="17"/>
          <w:sz w:val="19"/>
          <w:szCs w:val="19"/>
        </w:rPr>
        <w:t>投资和安全控制，协助业主单位对运维服务提供</w:t>
      </w:r>
      <w:r>
        <w:rPr>
          <w:spacing w:val="9"/>
          <w:sz w:val="19"/>
          <w:szCs w:val="19"/>
        </w:rPr>
        <w:t xml:space="preserve">  </w:t>
      </w:r>
      <w:r>
        <w:rPr>
          <w:spacing w:val="12"/>
          <w:sz w:val="19"/>
          <w:szCs w:val="19"/>
        </w:rPr>
        <w:t>方的运行维护活动涉及的合同、文档资料、配置、</w:t>
      </w:r>
      <w:r>
        <w:rPr>
          <w:spacing w:val="10"/>
          <w:sz w:val="19"/>
          <w:szCs w:val="19"/>
        </w:rPr>
        <w:t xml:space="preserve"> </w:t>
      </w:r>
      <w:r>
        <w:rPr>
          <w:spacing w:val="18"/>
          <w:sz w:val="19"/>
          <w:szCs w:val="19"/>
        </w:rPr>
        <w:t>应急和效能进行管理，同时在服务过程中，开展</w:t>
      </w:r>
      <w:r>
        <w:rPr>
          <w:sz w:val="19"/>
          <w:szCs w:val="19"/>
        </w:rPr>
        <w:t xml:space="preserve">  </w:t>
      </w:r>
      <w:r>
        <w:rPr>
          <w:spacing w:val="18"/>
          <w:sz w:val="19"/>
          <w:szCs w:val="19"/>
        </w:rPr>
        <w:t>必要的业主单位、运维服务提供方等各方面工作</w:t>
      </w:r>
      <w:r>
        <w:rPr>
          <w:spacing w:val="1"/>
          <w:sz w:val="19"/>
          <w:szCs w:val="19"/>
        </w:rPr>
        <w:t xml:space="preserve">  </w:t>
      </w:r>
      <w:r>
        <w:rPr>
          <w:spacing w:val="7"/>
          <w:sz w:val="19"/>
          <w:szCs w:val="19"/>
        </w:rPr>
        <w:t>关系的协调与处理。</w:t>
      </w:r>
    </w:p>
    <w:p w14:paraId="5C07FA44">
      <w:pPr>
        <w:pStyle w:val="2"/>
        <w:spacing w:before="48" w:line="184" w:lineRule="auto"/>
        <w:ind w:left="759"/>
        <w:rPr>
          <w:sz w:val="19"/>
          <w:szCs w:val="19"/>
        </w:rPr>
      </w:pPr>
      <w:r>
        <w:rPr>
          <w:spacing w:val="10"/>
          <w:sz w:val="19"/>
          <w:szCs w:val="19"/>
        </w:rPr>
        <w:t>运行维护实施阶段的监理活动如图25-1所示。</w:t>
      </w:r>
    </w:p>
    <w:p w14:paraId="3EF30BFD">
      <w:pPr>
        <w:spacing w:line="14" w:lineRule="auto"/>
        <w:rPr>
          <w:rFonts w:ascii="Arial"/>
          <w:sz w:val="2"/>
        </w:rPr>
      </w:pPr>
      <w:r>
        <w:rPr>
          <w:rFonts w:ascii="Arial" w:hAnsi="Arial" w:eastAsia="Arial" w:cs="Arial"/>
          <w:sz w:val="2"/>
          <w:szCs w:val="2"/>
        </w:rPr>
        <w:br w:type="column"/>
      </w:r>
    </w:p>
    <w:p w14:paraId="50925F04">
      <w:pPr>
        <w:pStyle w:val="2"/>
        <w:spacing w:line="2629" w:lineRule="exact"/>
      </w:pPr>
      <w:r>
        <w:rPr>
          <w:position w:val="-52"/>
        </w:rPr>
        <w:pict>
          <v:group id="_x0000_s1634" o:spid="_x0000_s1634" o:spt="203" style="height:131.5pt;width:189.05pt;" coordsize="3781,2630">
            <o:lock v:ext="edit"/>
            <v:shape id="_x0000_s1635" o:spid="_x0000_s1635" o:spt="75" type="#_x0000_t75" style="position:absolute;left:0;top:0;height:2630;width:3781;" filled="f" stroked="f" coordsize="21600,21600">
              <v:path/>
              <v:fill on="f" focussize="0,0"/>
              <v:stroke on="f"/>
              <v:imagedata r:id="rId376" o:title=""/>
              <o:lock v:ext="edit" aspectratio="t"/>
            </v:shape>
            <v:shape id="_x0000_s1636" o:spid="_x0000_s1636" o:spt="202" type="#_x0000_t202" style="position:absolute;left:1409;top:117;height:2060;width:1066;" filled="f" stroked="f" coordsize="21600,21600">
              <v:path/>
              <v:fill on="f" focussize="0,0"/>
              <v:stroke on="f"/>
              <v:imagedata o:title=""/>
              <o:lock v:ext="edit" aspectratio="f"/>
              <v:textbox inset="0mm,0mm,0mm,0mm">
                <w:txbxContent>
                  <w:p w14:paraId="0538430E">
                    <w:pPr>
                      <w:spacing w:before="20" w:line="219" w:lineRule="auto"/>
                      <w:ind w:left="350"/>
                      <w:rPr>
                        <w:rFonts w:ascii="宋体" w:hAnsi="宋体" w:eastAsia="宋体" w:cs="宋体"/>
                        <w:sz w:val="19"/>
                        <w:szCs w:val="19"/>
                      </w:rPr>
                    </w:pPr>
                    <w:r>
                      <w:rPr>
                        <w:rFonts w:ascii="宋体" w:hAnsi="宋体" w:eastAsia="宋体" w:cs="宋体"/>
                        <w:spacing w:val="-9"/>
                        <w:sz w:val="19"/>
                        <w:szCs w:val="19"/>
                      </w:rPr>
                      <w:t>管理</w:t>
                    </w:r>
                  </w:p>
                  <w:p w14:paraId="6116CD9D">
                    <w:pPr>
                      <w:spacing w:before="194" w:line="219" w:lineRule="auto"/>
                      <w:ind w:left="160"/>
                      <w:rPr>
                        <w:rFonts w:ascii="宋体" w:hAnsi="宋体" w:eastAsia="宋体" w:cs="宋体"/>
                        <w:sz w:val="19"/>
                        <w:szCs w:val="19"/>
                      </w:rPr>
                    </w:pPr>
                    <w:r>
                      <w:rPr>
                        <w:rFonts w:ascii="宋体" w:hAnsi="宋体" w:eastAsia="宋体" w:cs="宋体"/>
                        <w:spacing w:val="-14"/>
                        <w:sz w:val="19"/>
                        <w:szCs w:val="19"/>
                      </w:rPr>
                      <w:t>合同管理</w:t>
                    </w:r>
                  </w:p>
                  <w:p w14:paraId="3A200588">
                    <w:pPr>
                      <w:spacing w:before="144" w:line="219" w:lineRule="auto"/>
                      <w:ind w:right="1"/>
                      <w:jc w:val="right"/>
                      <w:rPr>
                        <w:rFonts w:ascii="宋体" w:hAnsi="宋体" w:eastAsia="宋体" w:cs="宋体"/>
                        <w:sz w:val="19"/>
                        <w:szCs w:val="19"/>
                      </w:rPr>
                    </w:pPr>
                    <w:r>
                      <w:rPr>
                        <w:rFonts w:ascii="宋体" w:hAnsi="宋体" w:eastAsia="宋体" w:cs="宋体"/>
                        <w:spacing w:val="-18"/>
                        <w:sz w:val="19"/>
                        <w:szCs w:val="19"/>
                      </w:rPr>
                      <w:t>文档资</w:t>
                    </w:r>
                    <w:r>
                      <w:rPr>
                        <w:rFonts w:ascii="宋体" w:hAnsi="宋体" w:eastAsia="宋体" w:cs="宋体"/>
                        <w:spacing w:val="-17"/>
                        <w:sz w:val="19"/>
                        <w:szCs w:val="19"/>
                      </w:rPr>
                      <w:t>料管</w:t>
                    </w:r>
                    <w:r>
                      <w:rPr>
                        <w:rFonts w:ascii="宋体" w:hAnsi="宋体" w:eastAsia="宋体" w:cs="宋体"/>
                        <w:spacing w:val="-8"/>
                        <w:sz w:val="19"/>
                        <w:szCs w:val="19"/>
                      </w:rPr>
                      <w:t>理</w:t>
                    </w:r>
                  </w:p>
                  <w:p w14:paraId="2D2F48FE">
                    <w:pPr>
                      <w:spacing w:before="114" w:line="219" w:lineRule="auto"/>
                      <w:ind w:left="160"/>
                      <w:rPr>
                        <w:rFonts w:ascii="宋体" w:hAnsi="宋体" w:eastAsia="宋体" w:cs="宋体"/>
                        <w:sz w:val="19"/>
                        <w:szCs w:val="19"/>
                      </w:rPr>
                    </w:pPr>
                    <w:r>
                      <w:rPr>
                        <w:rFonts w:ascii="宋体" w:hAnsi="宋体" w:eastAsia="宋体" w:cs="宋体"/>
                        <w:spacing w:val="-14"/>
                        <w:sz w:val="19"/>
                        <w:szCs w:val="19"/>
                      </w:rPr>
                      <w:t>配置管理</w:t>
                    </w:r>
                  </w:p>
                  <w:p w14:paraId="0E5792CA">
                    <w:pPr>
                      <w:spacing w:before="134" w:line="219" w:lineRule="auto"/>
                      <w:ind w:left="160"/>
                      <w:rPr>
                        <w:rFonts w:ascii="宋体" w:hAnsi="宋体" w:eastAsia="宋体" w:cs="宋体"/>
                        <w:sz w:val="19"/>
                        <w:szCs w:val="19"/>
                      </w:rPr>
                    </w:pPr>
                    <w:r>
                      <w:rPr>
                        <w:rFonts w:ascii="宋体" w:hAnsi="宋体" w:eastAsia="宋体" w:cs="宋体"/>
                        <w:spacing w:val="-14"/>
                        <w:sz w:val="19"/>
                        <w:szCs w:val="19"/>
                      </w:rPr>
                      <w:t>应急管理</w:t>
                    </w:r>
                  </w:p>
                  <w:p w14:paraId="4CFCC909">
                    <w:pPr>
                      <w:spacing w:before="115" w:line="219" w:lineRule="auto"/>
                      <w:ind w:left="160"/>
                      <w:rPr>
                        <w:rFonts w:ascii="宋体" w:hAnsi="宋体" w:eastAsia="宋体" w:cs="宋体"/>
                        <w:sz w:val="19"/>
                        <w:szCs w:val="19"/>
                      </w:rPr>
                    </w:pPr>
                    <w:r>
                      <w:rPr>
                        <w:rFonts w:ascii="宋体" w:hAnsi="宋体" w:eastAsia="宋体" w:cs="宋体"/>
                        <w:spacing w:val="-14"/>
                        <w:sz w:val="19"/>
                        <w:szCs w:val="19"/>
                      </w:rPr>
                      <w:t>效能管理</w:t>
                    </w:r>
                  </w:p>
                </w:txbxContent>
              </v:textbox>
            </v:shape>
            <v:shape id="_x0000_s1637" o:spid="_x0000_s1637" o:spt="202" type="#_x0000_t202" style="position:absolute;left:340;top:118;height:1730;width:735;" filled="f" stroked="f" coordsize="21600,21600">
              <v:path/>
              <v:fill on="f" focussize="0,0"/>
              <v:stroke on="f"/>
              <v:imagedata o:title=""/>
              <o:lock v:ext="edit" aspectratio="f"/>
              <v:textbox inset="0mm,0mm,0mm,0mm">
                <w:txbxContent>
                  <w:p w14:paraId="560B9AA5">
                    <w:pPr>
                      <w:spacing w:before="20" w:line="220" w:lineRule="auto"/>
                      <w:ind w:left="200"/>
                      <w:rPr>
                        <w:rFonts w:ascii="宋体" w:hAnsi="宋体" w:eastAsia="宋体" w:cs="宋体"/>
                        <w:sz w:val="19"/>
                        <w:szCs w:val="19"/>
                      </w:rPr>
                    </w:pPr>
                    <w:r>
                      <w:rPr>
                        <w:rFonts w:ascii="宋体" w:hAnsi="宋体" w:eastAsia="宋体" w:cs="宋体"/>
                        <w:spacing w:val="-2"/>
                        <w:sz w:val="19"/>
                        <w:szCs w:val="19"/>
                      </w:rPr>
                      <w:t>控制</w:t>
                    </w:r>
                  </w:p>
                  <w:p w14:paraId="42E520DF">
                    <w:pPr>
                      <w:spacing w:before="212" w:line="308" w:lineRule="auto"/>
                      <w:ind w:left="20" w:right="20"/>
                      <w:rPr>
                        <w:rFonts w:ascii="宋体" w:hAnsi="宋体" w:eastAsia="宋体" w:cs="宋体"/>
                        <w:sz w:val="19"/>
                        <w:szCs w:val="19"/>
                      </w:rPr>
                    </w:pPr>
                    <w:r>
                      <w:rPr>
                        <w:rFonts w:ascii="宋体" w:hAnsi="宋体" w:eastAsia="宋体" w:cs="宋体"/>
                        <w:spacing w:val="-14"/>
                        <w:w w:val="98"/>
                        <w:sz w:val="19"/>
                        <w:szCs w:val="19"/>
                      </w:rPr>
                      <w:t>质量控制</w:t>
                    </w:r>
                    <w:r>
                      <w:rPr>
                        <w:rFonts w:ascii="宋体" w:hAnsi="宋体" w:eastAsia="宋体" w:cs="宋体"/>
                        <w:spacing w:val="5"/>
                        <w:sz w:val="19"/>
                        <w:szCs w:val="19"/>
                      </w:rPr>
                      <w:t xml:space="preserve"> </w:t>
                    </w:r>
                    <w:r>
                      <w:rPr>
                        <w:rFonts w:ascii="宋体" w:hAnsi="宋体" w:eastAsia="宋体" w:cs="宋体"/>
                        <w:spacing w:val="-12"/>
                        <w:w w:val="97"/>
                        <w:sz w:val="19"/>
                        <w:szCs w:val="19"/>
                      </w:rPr>
                      <w:t>进度控制</w:t>
                    </w:r>
                  </w:p>
                  <w:p w14:paraId="10B51657">
                    <w:pPr>
                      <w:spacing w:before="56" w:line="220" w:lineRule="auto"/>
                      <w:ind w:left="20"/>
                      <w:rPr>
                        <w:rFonts w:ascii="宋体" w:hAnsi="宋体" w:eastAsia="宋体" w:cs="宋体"/>
                        <w:sz w:val="19"/>
                        <w:szCs w:val="19"/>
                      </w:rPr>
                    </w:pPr>
                    <w:r>
                      <w:rPr>
                        <w:rFonts w:ascii="宋体" w:hAnsi="宋体" w:eastAsia="宋体" w:cs="宋体"/>
                        <w:spacing w:val="-13"/>
                        <w:sz w:val="19"/>
                        <w:szCs w:val="19"/>
                      </w:rPr>
                      <w:t>投资控制</w:t>
                    </w:r>
                  </w:p>
                  <w:p w14:paraId="2BE5F6BE">
                    <w:pPr>
                      <w:spacing w:before="143" w:line="220" w:lineRule="auto"/>
                      <w:ind w:right="1"/>
                      <w:jc w:val="right"/>
                      <w:rPr>
                        <w:rFonts w:ascii="宋体" w:hAnsi="宋体" w:eastAsia="宋体" w:cs="宋体"/>
                        <w:sz w:val="19"/>
                        <w:szCs w:val="19"/>
                      </w:rPr>
                    </w:pPr>
                    <w:r>
                      <w:rPr>
                        <w:rFonts w:ascii="宋体" w:hAnsi="宋体" w:eastAsia="宋体" w:cs="宋体"/>
                        <w:color w:val="2187D6"/>
                        <w:spacing w:val="-12"/>
                        <w:sz w:val="19"/>
                        <w:szCs w:val="19"/>
                      </w:rPr>
                      <w:t>安</w:t>
                    </w:r>
                    <w:r>
                      <w:rPr>
                        <w:rFonts w:ascii="宋体" w:hAnsi="宋体" w:eastAsia="宋体" w:cs="宋体"/>
                        <w:spacing w:val="-12"/>
                        <w:sz w:val="19"/>
                        <w:szCs w:val="19"/>
                      </w:rPr>
                      <w:t>全</w:t>
                    </w:r>
                    <w:r>
                      <w:rPr>
                        <w:rFonts w:ascii="宋体" w:hAnsi="宋体" w:eastAsia="宋体" w:cs="宋体"/>
                        <w:color w:val="2187D6"/>
                        <w:spacing w:val="-12"/>
                        <w:sz w:val="19"/>
                        <w:szCs w:val="19"/>
                      </w:rPr>
                      <w:t>控</w:t>
                    </w:r>
                    <w:r>
                      <w:rPr>
                        <w:rFonts w:ascii="宋体" w:hAnsi="宋体" w:eastAsia="宋体" w:cs="宋体"/>
                        <w:spacing w:val="-12"/>
                        <w:sz w:val="19"/>
                        <w:szCs w:val="19"/>
                      </w:rPr>
                      <w:t>制</w:t>
                    </w:r>
                  </w:p>
                </w:txbxContent>
              </v:textbox>
            </v:shape>
            <v:shape id="_x0000_s1638" o:spid="_x0000_s1638" o:spt="202" type="#_x0000_t202" style="position:absolute;left:2960;top:98;height:700;width:412;" filled="f" stroked="f" coordsize="21600,21600">
              <v:path/>
              <v:fill on="f" focussize="0,0"/>
              <v:stroke on="f"/>
              <v:imagedata o:title=""/>
              <o:lock v:ext="edit" aspectratio="f"/>
              <v:textbox inset="0mm,0mm,0mm,0mm">
                <w:txbxContent>
                  <w:p w14:paraId="5565AB66">
                    <w:pPr>
                      <w:spacing w:before="20" w:line="220" w:lineRule="auto"/>
                      <w:ind w:left="20"/>
                      <w:rPr>
                        <w:rFonts w:ascii="宋体" w:hAnsi="宋体" w:eastAsia="宋体" w:cs="宋体"/>
                        <w:sz w:val="19"/>
                        <w:szCs w:val="19"/>
                      </w:rPr>
                    </w:pPr>
                    <w:r>
                      <w:rPr>
                        <w:rFonts w:ascii="宋体" w:hAnsi="宋体" w:eastAsia="宋体" w:cs="宋体"/>
                        <w:spacing w:val="-3"/>
                        <w:sz w:val="19"/>
                        <w:szCs w:val="19"/>
                      </w:rPr>
                      <w:t>协调</w:t>
                    </w:r>
                  </w:p>
                  <w:p w14:paraId="49B3EA7F">
                    <w:pPr>
                      <w:spacing w:before="243" w:line="220" w:lineRule="auto"/>
                      <w:ind w:left="20"/>
                      <w:rPr>
                        <w:rFonts w:ascii="宋体" w:hAnsi="宋体" w:eastAsia="宋体" w:cs="宋体"/>
                        <w:sz w:val="19"/>
                        <w:szCs w:val="19"/>
                      </w:rPr>
                    </w:pPr>
                    <w:r>
                      <w:rPr>
                        <w:rFonts w:ascii="宋体" w:hAnsi="宋体" w:eastAsia="宋体" w:cs="宋体"/>
                        <w:spacing w:val="-3"/>
                        <w:sz w:val="19"/>
                        <w:szCs w:val="19"/>
                      </w:rPr>
                      <w:t>协调</w:t>
                    </w:r>
                  </w:p>
                </w:txbxContent>
              </v:textbox>
            </v:shape>
            <w10:wrap type="none"/>
            <w10:anchorlock/>
          </v:group>
        </w:pict>
      </w:r>
    </w:p>
    <w:p w14:paraId="54F1008B">
      <w:pPr>
        <w:pStyle w:val="2"/>
        <w:spacing w:before="68" w:line="220" w:lineRule="auto"/>
        <w:ind w:left="360"/>
        <w:rPr>
          <w:sz w:val="19"/>
          <w:szCs w:val="19"/>
        </w:rPr>
      </w:pPr>
      <w:r>
        <w:rPr>
          <w:spacing w:val="-7"/>
          <w:sz w:val="19"/>
          <w:szCs w:val="19"/>
        </w:rPr>
        <w:t>图25-1</w:t>
      </w:r>
      <w:r>
        <w:rPr>
          <w:spacing w:val="70"/>
          <w:sz w:val="19"/>
          <w:szCs w:val="19"/>
        </w:rPr>
        <w:t xml:space="preserve"> </w:t>
      </w:r>
      <w:r>
        <w:rPr>
          <w:spacing w:val="-7"/>
          <w:sz w:val="19"/>
          <w:szCs w:val="19"/>
        </w:rPr>
        <w:t>运行维护实施阶段的监理活动</w:t>
      </w:r>
    </w:p>
    <w:p w14:paraId="4F7CF352">
      <w:pPr>
        <w:spacing w:line="220" w:lineRule="auto"/>
        <w:rPr>
          <w:sz w:val="19"/>
          <w:szCs w:val="19"/>
        </w:rPr>
        <w:sectPr>
          <w:type w:val="continuous"/>
          <w:pgSz w:w="10310" w:h="13390"/>
          <w:pgMar w:top="380" w:right="1104" w:bottom="400" w:left="450" w:header="0" w:footer="0" w:gutter="0"/>
          <w:cols w:equalWidth="0" w:num="2">
            <w:col w:w="4830" w:space="100"/>
            <w:col w:w="3826"/>
          </w:cols>
        </w:sectPr>
      </w:pPr>
    </w:p>
    <w:p w14:paraId="00343283">
      <w:pPr>
        <w:pStyle w:val="2"/>
        <w:jc w:val="right"/>
        <w:rPr>
          <w:rFonts w:ascii="Times New Roman" w:hAnsi="Times New Roman" w:eastAsia="Times New Roman" w:cs="Times New Roman"/>
          <w:sz w:val="32"/>
          <w:szCs w:val="32"/>
        </w:rPr>
      </w:pPr>
      <w:r>
        <w:rPr>
          <w:position w:val="2"/>
          <w:sz w:val="20"/>
          <w:szCs w:val="20"/>
        </w:rPr>
        <w:t xml:space="preserve">第25章 运行维护监理 </w:t>
      </w:r>
      <w:r>
        <w:rPr>
          <w:position w:val="-9"/>
          <w:sz w:val="20"/>
          <w:szCs w:val="20"/>
        </w:rPr>
        <w:drawing>
          <wp:inline distT="0" distB="0" distL="0" distR="0">
            <wp:extent cx="335915" cy="247650"/>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377"/>
                    <a:stretch>
                      <a:fillRect/>
                    </a:stretch>
                  </pic:blipFill>
                  <pic:spPr>
                    <a:xfrm>
                      <a:off x="0" y="0"/>
                      <a:ext cx="336508" cy="247706"/>
                    </a:xfrm>
                    <a:prstGeom prst="rect">
                      <a:avLst/>
                    </a:prstGeom>
                  </pic:spPr>
                </pic:pic>
              </a:graphicData>
            </a:graphic>
          </wp:inline>
        </w:drawing>
      </w:r>
      <w:r>
        <w:rPr>
          <w:rFonts w:ascii="Times New Roman" w:hAnsi="Times New Roman" w:eastAsia="Times New Roman" w:cs="Times New Roman"/>
          <w:spacing w:val="-30"/>
          <w:w w:val="84"/>
          <w:position w:val="-5"/>
          <w:sz w:val="32"/>
          <w:szCs w:val="32"/>
        </w:rPr>
        <w:t>5</w:t>
      </w:r>
      <w:r>
        <w:rPr>
          <w:rFonts w:ascii="Times New Roman" w:hAnsi="Times New Roman" w:eastAsia="Times New Roman" w:cs="Times New Roman"/>
          <w:spacing w:val="-29"/>
          <w:w w:val="84"/>
          <w:position w:val="-5"/>
          <w:sz w:val="32"/>
          <w:szCs w:val="32"/>
        </w:rPr>
        <w:t>8</w:t>
      </w:r>
      <w:r>
        <w:rPr>
          <w:rFonts w:ascii="Times New Roman" w:hAnsi="Times New Roman" w:eastAsia="Times New Roman" w:cs="Times New Roman"/>
          <w:spacing w:val="-22"/>
          <w:w w:val="84"/>
          <w:position w:val="-5"/>
          <w:sz w:val="32"/>
          <w:szCs w:val="32"/>
        </w:rPr>
        <w:t>5</w:t>
      </w:r>
    </w:p>
    <w:p w14:paraId="1988EAE0">
      <w:pPr>
        <w:pStyle w:val="2"/>
        <w:spacing w:before="278" w:line="220" w:lineRule="auto"/>
        <w:ind w:left="2"/>
        <w:rPr>
          <w:sz w:val="26"/>
          <w:szCs w:val="26"/>
        </w:rPr>
      </w:pPr>
      <w:bookmarkStart w:id="777" w:name="bookmark762"/>
      <w:bookmarkEnd w:id="777"/>
      <w:r>
        <w:rPr>
          <w:b/>
          <w:bCs/>
          <w:color w:val="0064C8"/>
          <w:spacing w:val="-21"/>
          <w:sz w:val="26"/>
          <w:szCs w:val="26"/>
        </w:rPr>
        <w:t>25.3.1</w:t>
      </w:r>
      <w:r>
        <w:rPr>
          <w:color w:val="0064C8"/>
          <w:spacing w:val="-21"/>
          <w:sz w:val="26"/>
          <w:szCs w:val="26"/>
        </w:rPr>
        <w:t xml:space="preserve">  </w:t>
      </w:r>
      <w:r>
        <w:rPr>
          <w:b/>
          <w:bCs/>
          <w:color w:val="0064C8"/>
          <w:spacing w:val="-21"/>
          <w:sz w:val="26"/>
          <w:szCs w:val="26"/>
        </w:rPr>
        <w:t>质量控制</w:t>
      </w:r>
    </w:p>
    <w:p w14:paraId="1A75986B">
      <w:pPr>
        <w:pStyle w:val="2"/>
        <w:spacing w:before="266" w:line="222" w:lineRule="auto"/>
        <w:ind w:left="422"/>
        <w:rPr>
          <w:rFonts w:ascii="黑体" w:hAnsi="黑体" w:eastAsia="黑体" w:cs="黑体"/>
          <w:sz w:val="20"/>
          <w:szCs w:val="20"/>
        </w:rPr>
      </w:pPr>
      <w:r>
        <w:rPr>
          <w:b/>
          <w:bCs/>
          <w:color w:val="006FDF"/>
          <w:spacing w:val="-6"/>
          <w:sz w:val="20"/>
          <w:szCs w:val="20"/>
        </w:rPr>
        <w:t>1.</w:t>
      </w:r>
      <w:r>
        <w:rPr>
          <w:rFonts w:ascii="黑体" w:hAnsi="黑体" w:eastAsia="黑体" w:cs="黑体"/>
          <w:b/>
          <w:bCs/>
          <w:color w:val="006FDF"/>
          <w:spacing w:val="-6"/>
          <w:sz w:val="20"/>
          <w:szCs w:val="20"/>
        </w:rPr>
        <w:t>质量控制的特点</w:t>
      </w:r>
    </w:p>
    <w:p w14:paraId="4066A23A">
      <w:pPr>
        <w:pStyle w:val="2"/>
        <w:spacing w:before="121" w:line="287" w:lineRule="auto"/>
        <w:ind w:right="383" w:firstLine="420"/>
        <w:jc w:val="both"/>
        <w:rPr>
          <w:sz w:val="20"/>
          <w:szCs w:val="20"/>
        </w:rPr>
      </w:pPr>
      <w:r>
        <w:rPr>
          <w:spacing w:val="3"/>
          <w:sz w:val="20"/>
          <w:szCs w:val="20"/>
        </w:rPr>
        <w:t>信息系统运行维护的质量是运行维护监理工作的核心，是决定整个信息系统运行维护成败</w:t>
      </w:r>
      <w:r>
        <w:rPr>
          <w:spacing w:val="1"/>
          <w:sz w:val="20"/>
          <w:szCs w:val="20"/>
        </w:rPr>
        <w:t xml:space="preserve"> </w:t>
      </w:r>
      <w:r>
        <w:rPr>
          <w:spacing w:val="4"/>
          <w:sz w:val="20"/>
          <w:szCs w:val="20"/>
        </w:rPr>
        <w:t>的关键，也是一个运行维护项目是否成功的</w:t>
      </w:r>
      <w:r>
        <w:rPr>
          <w:spacing w:val="3"/>
          <w:sz w:val="20"/>
          <w:szCs w:val="20"/>
        </w:rPr>
        <w:t>最根本标志。质量控制贯穿运行维护监理工作的始</w:t>
      </w:r>
      <w:r>
        <w:rPr>
          <w:sz w:val="20"/>
          <w:szCs w:val="20"/>
        </w:rPr>
        <w:t xml:space="preserve"> </w:t>
      </w:r>
      <w:r>
        <w:rPr>
          <w:spacing w:val="-2"/>
          <w:sz w:val="20"/>
          <w:szCs w:val="20"/>
        </w:rPr>
        <w:t>终，也是运行维护服务实践活动的出发点、核心点。</w:t>
      </w:r>
    </w:p>
    <w:p w14:paraId="7595AF2E">
      <w:pPr>
        <w:pStyle w:val="2"/>
        <w:spacing w:before="27" w:line="283" w:lineRule="auto"/>
        <w:ind w:right="388" w:firstLine="420"/>
        <w:rPr>
          <w:sz w:val="20"/>
          <w:szCs w:val="20"/>
        </w:rPr>
      </w:pPr>
      <w:r>
        <w:rPr>
          <w:spacing w:val="3"/>
          <w:sz w:val="20"/>
          <w:szCs w:val="20"/>
        </w:rPr>
        <w:t>信息系统运行维护的质量控制与信息系统工程建设的质量控制思路基本相似，但在质量控</w:t>
      </w:r>
      <w:r>
        <w:rPr>
          <w:sz w:val="20"/>
          <w:szCs w:val="20"/>
        </w:rPr>
        <w:t xml:space="preserve"> </w:t>
      </w:r>
      <w:r>
        <w:rPr>
          <w:spacing w:val="-2"/>
          <w:sz w:val="20"/>
          <w:szCs w:val="20"/>
        </w:rPr>
        <w:t>制点、控制措施等方面又有区别，主要体现在以</w:t>
      </w:r>
      <w:r>
        <w:rPr>
          <w:spacing w:val="-3"/>
          <w:sz w:val="20"/>
          <w:szCs w:val="20"/>
        </w:rPr>
        <w:t>下两点：</w:t>
      </w:r>
    </w:p>
    <w:p w14:paraId="442CFAE1">
      <w:pPr>
        <w:pStyle w:val="2"/>
        <w:spacing w:before="18" w:line="271" w:lineRule="auto"/>
        <w:ind w:right="400" w:firstLine="420"/>
        <w:rPr>
          <w:sz w:val="20"/>
          <w:szCs w:val="20"/>
        </w:rPr>
      </w:pPr>
      <w:r>
        <w:rPr>
          <w:spacing w:val="5"/>
          <w:sz w:val="20"/>
          <w:szCs w:val="20"/>
        </w:rPr>
        <w:t>(1)质量目标有区别。信息系统工程建设的质量目标聚焦在最</w:t>
      </w:r>
      <w:r>
        <w:rPr>
          <w:spacing w:val="4"/>
          <w:sz w:val="20"/>
          <w:szCs w:val="20"/>
        </w:rPr>
        <w:t>终成果上，在项目进度和成</w:t>
      </w:r>
      <w:r>
        <w:rPr>
          <w:sz w:val="20"/>
          <w:szCs w:val="20"/>
        </w:rPr>
        <w:t xml:space="preserve"> </w:t>
      </w:r>
      <w:r>
        <w:rPr>
          <w:spacing w:val="3"/>
          <w:sz w:val="20"/>
          <w:szCs w:val="20"/>
        </w:rPr>
        <w:t>本范围内，成果物的质量达成就意味着工程质量目标的达成。而运行维护工作的质量目标除了</w:t>
      </w:r>
      <w:r>
        <w:rPr>
          <w:spacing w:val="2"/>
          <w:sz w:val="20"/>
          <w:szCs w:val="20"/>
        </w:rPr>
        <w:t xml:space="preserve"> </w:t>
      </w:r>
      <w:r>
        <w:rPr>
          <w:spacing w:val="5"/>
          <w:sz w:val="20"/>
          <w:szCs w:val="20"/>
        </w:rPr>
        <w:t>有成果性的(如升级、改造等),还有过程性的，它要求在执行过程中都要保证某种要</w:t>
      </w:r>
      <w:r>
        <w:rPr>
          <w:spacing w:val="4"/>
          <w:sz w:val="20"/>
          <w:szCs w:val="20"/>
        </w:rPr>
        <w:t>求的实现</w:t>
      </w:r>
      <w:r>
        <w:rPr>
          <w:sz w:val="20"/>
          <w:szCs w:val="20"/>
        </w:rPr>
        <w:t xml:space="preserve"> </w:t>
      </w:r>
      <w:r>
        <w:rPr>
          <w:spacing w:val="-6"/>
          <w:sz w:val="20"/>
          <w:szCs w:val="20"/>
        </w:rPr>
        <w:t>或不可突破。</w:t>
      </w:r>
    </w:p>
    <w:p w14:paraId="219E0BFE">
      <w:pPr>
        <w:pStyle w:val="2"/>
        <w:spacing w:before="98" w:line="269" w:lineRule="auto"/>
        <w:ind w:right="385" w:firstLine="420"/>
        <w:rPr>
          <w:sz w:val="20"/>
          <w:szCs w:val="20"/>
        </w:rPr>
      </w:pPr>
      <w:r>
        <w:rPr>
          <w:spacing w:val="11"/>
          <w:sz w:val="20"/>
          <w:szCs w:val="20"/>
        </w:rPr>
        <w:t>(2)质量控制方法有区别。除常规的监理质量控制方法外，运行维</w:t>
      </w:r>
      <w:r>
        <w:rPr>
          <w:spacing w:val="10"/>
          <w:sz w:val="20"/>
          <w:szCs w:val="20"/>
        </w:rPr>
        <w:t>护监理工作还有另一</w:t>
      </w:r>
      <w:r>
        <w:rPr>
          <w:sz w:val="20"/>
          <w:szCs w:val="20"/>
        </w:rPr>
        <w:t xml:space="preserve"> </w:t>
      </w:r>
      <w:r>
        <w:rPr>
          <w:spacing w:val="8"/>
          <w:sz w:val="20"/>
          <w:szCs w:val="20"/>
        </w:rPr>
        <w:t>项重要的质量控制方法，即绩效考核。通过客观、量化的绩效考核，评价运维</w:t>
      </w:r>
      <w:r>
        <w:rPr>
          <w:spacing w:val="7"/>
          <w:sz w:val="20"/>
          <w:szCs w:val="20"/>
        </w:rPr>
        <w:t>服务提供方的</w:t>
      </w:r>
      <w:r>
        <w:rPr>
          <w:sz w:val="20"/>
          <w:szCs w:val="20"/>
        </w:rPr>
        <w:t xml:space="preserve"> </w:t>
      </w:r>
      <w:r>
        <w:rPr>
          <w:spacing w:val="8"/>
          <w:sz w:val="20"/>
          <w:szCs w:val="20"/>
        </w:rPr>
        <w:t>工作质量，实时发现问题，督促运维服务提供方持续不断地改进、完</w:t>
      </w:r>
      <w:r>
        <w:rPr>
          <w:spacing w:val="7"/>
          <w:sz w:val="20"/>
          <w:szCs w:val="20"/>
        </w:rPr>
        <w:t>善，直至问题得到彻底</w:t>
      </w:r>
      <w:r>
        <w:rPr>
          <w:sz w:val="20"/>
          <w:szCs w:val="20"/>
        </w:rPr>
        <w:t xml:space="preserve"> </w:t>
      </w:r>
      <w:r>
        <w:rPr>
          <w:spacing w:val="-3"/>
          <w:sz w:val="20"/>
          <w:szCs w:val="20"/>
        </w:rPr>
        <w:t>解决。</w:t>
      </w:r>
    </w:p>
    <w:p w14:paraId="032C3B15">
      <w:pPr>
        <w:pStyle w:val="2"/>
        <w:spacing w:before="80" w:line="279" w:lineRule="auto"/>
        <w:ind w:right="416" w:firstLine="420"/>
        <w:jc w:val="both"/>
        <w:rPr>
          <w:sz w:val="20"/>
          <w:szCs w:val="20"/>
        </w:rPr>
      </w:pPr>
      <w:r>
        <w:rPr>
          <w:spacing w:val="8"/>
          <w:sz w:val="20"/>
          <w:szCs w:val="20"/>
        </w:rPr>
        <w:t>同时，信息系统运行维护的质量控制和其他运行维护</w:t>
      </w:r>
      <w:r>
        <w:rPr>
          <w:spacing w:val="7"/>
          <w:sz w:val="20"/>
          <w:szCs w:val="20"/>
        </w:rPr>
        <w:t>的质量控制相比有其特殊性，只有</w:t>
      </w:r>
      <w:r>
        <w:rPr>
          <w:sz w:val="20"/>
          <w:szCs w:val="20"/>
        </w:rPr>
        <w:t xml:space="preserve"> </w:t>
      </w:r>
      <w:r>
        <w:rPr>
          <w:spacing w:val="8"/>
          <w:sz w:val="20"/>
          <w:szCs w:val="20"/>
        </w:rPr>
        <w:t>对信息系统运行维护的特点以及质量影响要素有比较清楚的认</w:t>
      </w:r>
      <w:r>
        <w:rPr>
          <w:spacing w:val="7"/>
          <w:sz w:val="20"/>
          <w:szCs w:val="20"/>
        </w:rPr>
        <w:t>识，对其质量的控制才能有针</w:t>
      </w:r>
      <w:r>
        <w:rPr>
          <w:sz w:val="20"/>
          <w:szCs w:val="20"/>
        </w:rPr>
        <w:t xml:space="preserve"> </w:t>
      </w:r>
      <w:r>
        <w:rPr>
          <w:spacing w:val="-3"/>
          <w:sz w:val="20"/>
          <w:szCs w:val="20"/>
        </w:rPr>
        <w:t>对性。</w:t>
      </w:r>
    </w:p>
    <w:p w14:paraId="58DA9044">
      <w:pPr>
        <w:pStyle w:val="2"/>
        <w:spacing w:before="143" w:line="222" w:lineRule="auto"/>
        <w:ind w:left="422"/>
        <w:rPr>
          <w:rFonts w:ascii="黑体" w:hAnsi="黑体" w:eastAsia="黑体" w:cs="黑体"/>
          <w:sz w:val="20"/>
          <w:szCs w:val="20"/>
        </w:rPr>
      </w:pPr>
      <w:r>
        <w:rPr>
          <w:b/>
          <w:bCs/>
          <w:color w:val="005ECA"/>
          <w:sz w:val="20"/>
          <w:szCs w:val="20"/>
        </w:rPr>
        <w:t>2.</w:t>
      </w:r>
      <w:r>
        <w:rPr>
          <w:rFonts w:ascii="黑体" w:hAnsi="黑体" w:eastAsia="黑体" w:cs="黑体"/>
          <w:b/>
          <w:bCs/>
          <w:color w:val="005ECA"/>
          <w:sz w:val="20"/>
          <w:szCs w:val="20"/>
        </w:rPr>
        <w:t>质量影响要素</w:t>
      </w:r>
    </w:p>
    <w:p w14:paraId="2D24422D">
      <w:pPr>
        <w:pStyle w:val="2"/>
        <w:spacing w:before="122" w:line="219" w:lineRule="auto"/>
        <w:ind w:left="420"/>
        <w:rPr>
          <w:sz w:val="20"/>
          <w:szCs w:val="20"/>
        </w:rPr>
      </w:pPr>
      <w:r>
        <w:rPr>
          <w:spacing w:val="-5"/>
          <w:sz w:val="20"/>
          <w:szCs w:val="20"/>
        </w:rPr>
        <w:t>质量影响要素具体如下：</w:t>
      </w:r>
    </w:p>
    <w:p w14:paraId="21EED3D6">
      <w:pPr>
        <w:pStyle w:val="2"/>
        <w:spacing w:before="60" w:line="277" w:lineRule="auto"/>
        <w:ind w:right="377" w:firstLine="420"/>
        <w:rPr>
          <w:sz w:val="20"/>
          <w:szCs w:val="20"/>
        </w:rPr>
      </w:pPr>
      <w:r>
        <w:rPr>
          <w:spacing w:val="5"/>
          <w:sz w:val="20"/>
          <w:szCs w:val="20"/>
        </w:rPr>
        <w:t>(1)要控制质量，首先要控制运维服务人员的工作能力、水平和效果。信</w:t>
      </w:r>
      <w:r>
        <w:rPr>
          <w:spacing w:val="4"/>
          <w:sz w:val="20"/>
          <w:szCs w:val="20"/>
        </w:rPr>
        <w:t>息系统运行维护</w:t>
      </w:r>
      <w:r>
        <w:rPr>
          <w:sz w:val="20"/>
          <w:szCs w:val="20"/>
        </w:rPr>
        <w:t xml:space="preserve"> </w:t>
      </w:r>
      <w:r>
        <w:rPr>
          <w:spacing w:val="3"/>
          <w:sz w:val="20"/>
          <w:szCs w:val="20"/>
        </w:rPr>
        <w:t>的实施过程是人的智力劳动过程，个人能力影响较大，人</w:t>
      </w:r>
      <w:r>
        <w:rPr>
          <w:spacing w:val="2"/>
          <w:sz w:val="20"/>
          <w:szCs w:val="20"/>
        </w:rPr>
        <w:t>员跳槽现象也比较普遍。监理机构对</w:t>
      </w:r>
      <w:r>
        <w:rPr>
          <w:sz w:val="20"/>
          <w:szCs w:val="20"/>
        </w:rPr>
        <w:t xml:space="preserve"> </w:t>
      </w:r>
      <w:r>
        <w:rPr>
          <w:spacing w:val="3"/>
          <w:sz w:val="20"/>
          <w:szCs w:val="20"/>
        </w:rPr>
        <w:t xml:space="preserve">运维服务提供方的人员控制并不是人事权的控制，而主要是通过审查运行维护项目的主要人员 </w:t>
      </w:r>
      <w:r>
        <w:rPr>
          <w:spacing w:val="5"/>
          <w:sz w:val="20"/>
          <w:szCs w:val="20"/>
        </w:rPr>
        <w:t>是否满足投标文件中的人员要求(例如人员资格证书、运行维护经验等),以保证其运维服务能</w:t>
      </w:r>
      <w:r>
        <w:rPr>
          <w:sz w:val="20"/>
          <w:szCs w:val="20"/>
        </w:rPr>
        <w:t xml:space="preserve"> </w:t>
      </w:r>
      <w:r>
        <w:rPr>
          <w:spacing w:val="3"/>
          <w:sz w:val="20"/>
          <w:szCs w:val="20"/>
        </w:rPr>
        <w:t>力和水平；通过审查运维服务提供方的过程质量控制体系，以保证运行维</w:t>
      </w:r>
      <w:r>
        <w:rPr>
          <w:spacing w:val="2"/>
          <w:sz w:val="20"/>
          <w:szCs w:val="20"/>
        </w:rPr>
        <w:t>护工作能够在有序的</w:t>
      </w:r>
      <w:r>
        <w:rPr>
          <w:sz w:val="20"/>
          <w:szCs w:val="20"/>
        </w:rPr>
        <w:t xml:space="preserve"> </w:t>
      </w:r>
      <w:r>
        <w:rPr>
          <w:spacing w:val="4"/>
          <w:sz w:val="20"/>
          <w:szCs w:val="20"/>
        </w:rPr>
        <w:t>状态下进行，最大可能减少个人的随意性；通过督促运</w:t>
      </w:r>
      <w:r>
        <w:rPr>
          <w:spacing w:val="3"/>
          <w:sz w:val="20"/>
          <w:szCs w:val="20"/>
        </w:rPr>
        <w:t>维服务提供方建立有效的版本控制体系</w:t>
      </w:r>
      <w:r>
        <w:rPr>
          <w:sz w:val="20"/>
          <w:szCs w:val="20"/>
        </w:rPr>
        <w:t xml:space="preserve"> </w:t>
      </w:r>
      <w:r>
        <w:rPr>
          <w:spacing w:val="-2"/>
          <w:sz w:val="20"/>
          <w:szCs w:val="20"/>
        </w:rPr>
        <w:t>和文档管理体系，最大程度减少人员流动带来的损失。</w:t>
      </w:r>
    </w:p>
    <w:p w14:paraId="35222C21">
      <w:pPr>
        <w:pStyle w:val="2"/>
        <w:spacing w:before="60" w:line="265" w:lineRule="auto"/>
        <w:ind w:right="376" w:firstLine="420"/>
        <w:rPr>
          <w:sz w:val="20"/>
          <w:szCs w:val="20"/>
        </w:rPr>
      </w:pPr>
      <w:r>
        <w:rPr>
          <w:spacing w:val="5"/>
          <w:sz w:val="20"/>
          <w:szCs w:val="20"/>
        </w:rPr>
        <w:t>(2)定位故障比较困难。例如，信息系统的性能问题可能是由网络</w:t>
      </w:r>
      <w:r>
        <w:rPr>
          <w:spacing w:val="4"/>
          <w:sz w:val="20"/>
          <w:szCs w:val="20"/>
        </w:rPr>
        <w:t>性能、主机性能、数据</w:t>
      </w:r>
      <w:r>
        <w:rPr>
          <w:sz w:val="20"/>
          <w:szCs w:val="20"/>
        </w:rPr>
        <w:t xml:space="preserve"> </w:t>
      </w:r>
      <w:r>
        <w:rPr>
          <w:spacing w:val="4"/>
          <w:sz w:val="20"/>
          <w:szCs w:val="20"/>
        </w:rPr>
        <w:t>库性能、中间件性能和应用软件性能共同决定的，其中一项</w:t>
      </w:r>
      <w:r>
        <w:rPr>
          <w:spacing w:val="3"/>
          <w:sz w:val="20"/>
          <w:szCs w:val="20"/>
        </w:rPr>
        <w:t>出现故障，就会影响整体性能，因</w:t>
      </w:r>
      <w:r>
        <w:rPr>
          <w:sz w:val="20"/>
          <w:szCs w:val="20"/>
        </w:rPr>
        <w:t xml:space="preserve"> </w:t>
      </w:r>
      <w:r>
        <w:rPr>
          <w:spacing w:val="-1"/>
          <w:sz w:val="20"/>
          <w:szCs w:val="20"/>
        </w:rPr>
        <w:t>此在进行质量控制时既要切实控制单体的质量，又</w:t>
      </w:r>
      <w:r>
        <w:rPr>
          <w:spacing w:val="-2"/>
          <w:sz w:val="20"/>
          <w:szCs w:val="20"/>
        </w:rPr>
        <w:t>要有全局的观念。</w:t>
      </w:r>
    </w:p>
    <w:p w14:paraId="2BF8D701">
      <w:pPr>
        <w:pStyle w:val="2"/>
        <w:spacing w:before="59" w:line="264" w:lineRule="auto"/>
        <w:ind w:right="327" w:firstLine="420"/>
        <w:rPr>
          <w:sz w:val="20"/>
          <w:szCs w:val="20"/>
        </w:rPr>
      </w:pPr>
      <w:r>
        <w:rPr>
          <w:spacing w:val="6"/>
          <w:sz w:val="20"/>
          <w:szCs w:val="20"/>
        </w:rPr>
        <w:t>(3)改正错误的代价往往较大，并且可能引发其他</w:t>
      </w:r>
      <w:r>
        <w:rPr>
          <w:spacing w:val="5"/>
          <w:sz w:val="20"/>
          <w:szCs w:val="20"/>
        </w:rPr>
        <w:t>质量问题。例如，在应用系统运行维护</w:t>
      </w:r>
      <w:r>
        <w:rPr>
          <w:sz w:val="20"/>
          <w:szCs w:val="20"/>
        </w:rPr>
        <w:t xml:space="preserve"> </w:t>
      </w:r>
      <w:r>
        <w:rPr>
          <w:spacing w:val="5"/>
          <w:sz w:val="20"/>
          <w:szCs w:val="20"/>
        </w:rPr>
        <w:t>过程中，即使发现了软件的错误，也不能随时随意修改。在质量控制时要做好</w:t>
      </w:r>
      <w:r>
        <w:rPr>
          <w:spacing w:val="4"/>
          <w:sz w:val="20"/>
          <w:szCs w:val="20"/>
        </w:rPr>
        <w:t>质量改进评估，</w:t>
      </w:r>
      <w:r>
        <w:rPr>
          <w:sz w:val="20"/>
          <w:szCs w:val="20"/>
        </w:rPr>
        <w:t xml:space="preserve"> </w:t>
      </w:r>
      <w:r>
        <w:rPr>
          <w:spacing w:val="-2"/>
          <w:sz w:val="20"/>
          <w:szCs w:val="20"/>
        </w:rPr>
        <w:t>否则修改一个问题可能会引起更多、更大的问题。</w:t>
      </w:r>
    </w:p>
    <w:p w14:paraId="572A42C0">
      <w:pPr>
        <w:pStyle w:val="2"/>
        <w:spacing w:before="63" w:line="257" w:lineRule="auto"/>
        <w:ind w:right="389" w:firstLine="420"/>
        <w:rPr>
          <w:sz w:val="20"/>
          <w:szCs w:val="20"/>
        </w:rPr>
      </w:pPr>
      <w:r>
        <w:rPr>
          <w:spacing w:val="5"/>
          <w:sz w:val="20"/>
          <w:szCs w:val="20"/>
        </w:rPr>
        <w:t>(4)质量认定的范围较大。在信息系统运行维护过程的质量认定中，除了类似系统建设过</w:t>
      </w:r>
      <w:r>
        <w:rPr>
          <w:spacing w:val="16"/>
          <w:sz w:val="20"/>
          <w:szCs w:val="20"/>
        </w:rPr>
        <w:t xml:space="preserve"> </w:t>
      </w:r>
      <w:r>
        <w:rPr>
          <w:sz w:val="20"/>
          <w:szCs w:val="20"/>
        </w:rPr>
        <w:t>程的质量要求，运维服务提供方的服务态度和服务效率也可</w:t>
      </w:r>
      <w:r>
        <w:rPr>
          <w:spacing w:val="-1"/>
          <w:sz w:val="20"/>
          <w:szCs w:val="20"/>
        </w:rPr>
        <w:t>以成为质量认定的内容。</w:t>
      </w:r>
    </w:p>
    <w:p w14:paraId="0C3D7FE4">
      <w:pPr>
        <w:spacing w:line="257" w:lineRule="auto"/>
        <w:rPr>
          <w:sz w:val="20"/>
          <w:szCs w:val="20"/>
        </w:rPr>
        <w:sectPr>
          <w:pgSz w:w="10300" w:h="13300"/>
          <w:pgMar w:top="339" w:right="433" w:bottom="400" w:left="1140" w:header="0" w:footer="0" w:gutter="0"/>
          <w:cols w:space="720" w:num="1"/>
        </w:sectPr>
      </w:pPr>
    </w:p>
    <w:p w14:paraId="69DCA5DF">
      <w:pPr>
        <w:pStyle w:val="2"/>
        <w:spacing w:before="47" w:line="222" w:lineRule="auto"/>
        <w:rPr>
          <w:sz w:val="20"/>
          <w:szCs w:val="20"/>
        </w:rPr>
      </w:pPr>
      <w:r>
        <w:rPr>
          <w:rFonts w:ascii="Times New Roman" w:hAnsi="Times New Roman" w:eastAsia="Times New Roman" w:cs="Times New Roman"/>
          <w:b/>
          <w:bCs/>
          <w:spacing w:val="-3"/>
          <w:position w:val="-5"/>
          <w:sz w:val="27"/>
          <w:szCs w:val="27"/>
        </w:rPr>
        <w:t>586</w:t>
      </w:r>
      <w:r>
        <w:rPr>
          <w:rFonts w:ascii="Times New Roman" w:hAnsi="Times New Roman" w:eastAsia="Times New Roman" w:cs="Times New Roman"/>
          <w:b/>
          <w:bCs/>
          <w:spacing w:val="3"/>
          <w:position w:val="-5"/>
          <w:sz w:val="27"/>
          <w:szCs w:val="27"/>
        </w:rPr>
        <w:t xml:space="preserve">        </w:t>
      </w:r>
      <w:r>
        <w:rPr>
          <w:spacing w:val="-3"/>
          <w:position w:val="1"/>
          <w:sz w:val="20"/>
          <w:szCs w:val="20"/>
        </w:rPr>
        <w:t>信息系统监理师教程(第2版)</w:t>
      </w:r>
    </w:p>
    <w:p w14:paraId="31FFE9E7">
      <w:pPr>
        <w:pStyle w:val="2"/>
        <w:spacing w:before="299" w:line="222" w:lineRule="auto"/>
        <w:ind w:left="752"/>
        <w:rPr>
          <w:rFonts w:ascii="黑体" w:hAnsi="黑体" w:eastAsia="黑体" w:cs="黑体"/>
          <w:sz w:val="20"/>
          <w:szCs w:val="20"/>
        </w:rPr>
      </w:pPr>
      <w:bookmarkStart w:id="778" w:name="bookmark763"/>
      <w:bookmarkEnd w:id="778"/>
      <w:r>
        <w:rPr>
          <w:b/>
          <w:bCs/>
          <w:color w:val="007BCD"/>
          <w:spacing w:val="-2"/>
          <w:sz w:val="20"/>
          <w:szCs w:val="20"/>
        </w:rPr>
        <w:t>3.</w:t>
      </w:r>
      <w:r>
        <w:rPr>
          <w:rFonts w:ascii="黑体" w:hAnsi="黑体" w:eastAsia="黑体" w:cs="黑体"/>
          <w:b/>
          <w:bCs/>
          <w:color w:val="007BCD"/>
          <w:spacing w:val="-2"/>
          <w:sz w:val="20"/>
          <w:szCs w:val="20"/>
        </w:rPr>
        <w:t>质量控制活动及内容</w:t>
      </w:r>
    </w:p>
    <w:p w14:paraId="41D7B012">
      <w:pPr>
        <w:pStyle w:val="2"/>
        <w:spacing w:before="173" w:line="219" w:lineRule="auto"/>
        <w:ind w:left="750"/>
        <w:rPr>
          <w:sz w:val="20"/>
          <w:szCs w:val="20"/>
        </w:rPr>
      </w:pPr>
      <w:r>
        <w:rPr>
          <w:spacing w:val="-4"/>
          <w:sz w:val="20"/>
          <w:szCs w:val="20"/>
        </w:rPr>
        <w:t>质量控制活动及内容具体如下：</w:t>
      </w:r>
    </w:p>
    <w:p w14:paraId="5EBAD298">
      <w:pPr>
        <w:pStyle w:val="2"/>
        <w:spacing w:before="81" w:line="219" w:lineRule="auto"/>
        <w:ind w:left="750"/>
        <w:rPr>
          <w:sz w:val="20"/>
          <w:szCs w:val="20"/>
        </w:rPr>
      </w:pPr>
      <w:r>
        <w:rPr>
          <w:spacing w:val="1"/>
          <w:sz w:val="20"/>
          <w:szCs w:val="20"/>
        </w:rPr>
        <w:t>(1)督促运维服务提供方建立运行维护质</w:t>
      </w:r>
      <w:r>
        <w:rPr>
          <w:sz w:val="20"/>
          <w:szCs w:val="20"/>
        </w:rPr>
        <w:t>量保证体系，主要包括：</w:t>
      </w:r>
    </w:p>
    <w:p w14:paraId="1CE24B4E">
      <w:pPr>
        <w:pStyle w:val="2"/>
        <w:spacing w:before="74" w:line="220" w:lineRule="auto"/>
        <w:ind w:left="750"/>
        <w:rPr>
          <w:sz w:val="20"/>
          <w:szCs w:val="20"/>
        </w:rPr>
      </w:pPr>
      <w:r>
        <w:rPr>
          <w:spacing w:val="1"/>
          <w:sz w:val="20"/>
          <w:szCs w:val="20"/>
        </w:rPr>
        <w:t>●运行维护质量保证计划；</w:t>
      </w:r>
    </w:p>
    <w:p w14:paraId="0AAA9905">
      <w:pPr>
        <w:pStyle w:val="2"/>
        <w:spacing w:before="92" w:line="220" w:lineRule="auto"/>
        <w:ind w:left="750"/>
        <w:rPr>
          <w:sz w:val="20"/>
          <w:szCs w:val="20"/>
        </w:rPr>
      </w:pPr>
      <w:r>
        <w:rPr>
          <w:spacing w:val="-1"/>
          <w:sz w:val="20"/>
          <w:szCs w:val="20"/>
        </w:rPr>
        <w:t>●运行维护质量控制活动及相关规范流程；</w:t>
      </w:r>
    </w:p>
    <w:p w14:paraId="61A2FEB4">
      <w:pPr>
        <w:pStyle w:val="2"/>
        <w:spacing w:before="90" w:line="219" w:lineRule="auto"/>
        <w:ind w:left="750"/>
        <w:rPr>
          <w:sz w:val="20"/>
          <w:szCs w:val="20"/>
        </w:rPr>
      </w:pPr>
      <w:r>
        <w:rPr>
          <w:sz w:val="20"/>
          <w:szCs w:val="20"/>
        </w:rPr>
        <w:t>●运行维护质量控制机构及人员的职责权限、工作衔接关系、协调措施等；</w:t>
      </w:r>
    </w:p>
    <w:p w14:paraId="459BF189">
      <w:pPr>
        <w:pStyle w:val="2"/>
        <w:spacing w:before="94" w:line="219" w:lineRule="auto"/>
        <w:ind w:left="750"/>
        <w:rPr>
          <w:sz w:val="20"/>
          <w:szCs w:val="20"/>
        </w:rPr>
      </w:pPr>
      <w:r>
        <w:rPr>
          <w:sz w:val="20"/>
          <w:szCs w:val="20"/>
        </w:rPr>
        <w:t>●满足运行维护质量要求的资源条件，如运行维护实施工具及设备等；</w:t>
      </w:r>
    </w:p>
    <w:p w14:paraId="58E9FCC7">
      <w:pPr>
        <w:pStyle w:val="2"/>
        <w:spacing w:before="81" w:line="292" w:lineRule="auto"/>
        <w:ind w:left="1059" w:right="45" w:hanging="309"/>
        <w:rPr>
          <w:sz w:val="16"/>
          <w:szCs w:val="16"/>
        </w:rPr>
      </w:pPr>
      <w:r>
        <w:rPr>
          <w:spacing w:val="2"/>
          <w:sz w:val="20"/>
          <w:szCs w:val="20"/>
        </w:rPr>
        <w:t>●满足运行维护质量要求的人员条件，如人员数量、人员资质、技能经验要求、所需的培</w:t>
      </w:r>
      <w:r>
        <w:rPr>
          <w:spacing w:val="10"/>
          <w:sz w:val="20"/>
          <w:szCs w:val="20"/>
        </w:rPr>
        <w:t xml:space="preserve"> </w:t>
      </w:r>
      <w:r>
        <w:rPr>
          <w:spacing w:val="-6"/>
          <w:sz w:val="16"/>
          <w:szCs w:val="16"/>
        </w:rPr>
        <w:t>训</w:t>
      </w:r>
      <w:r>
        <w:rPr>
          <w:spacing w:val="-14"/>
          <w:sz w:val="16"/>
          <w:szCs w:val="16"/>
        </w:rPr>
        <w:t xml:space="preserve"> </w:t>
      </w:r>
      <w:r>
        <w:rPr>
          <w:spacing w:val="-6"/>
          <w:sz w:val="16"/>
          <w:szCs w:val="16"/>
        </w:rPr>
        <w:t>等</w:t>
      </w:r>
      <w:r>
        <w:rPr>
          <w:spacing w:val="-22"/>
          <w:sz w:val="16"/>
          <w:szCs w:val="16"/>
        </w:rPr>
        <w:t xml:space="preserve"> </w:t>
      </w:r>
      <w:r>
        <w:rPr>
          <w:spacing w:val="-6"/>
          <w:sz w:val="16"/>
          <w:szCs w:val="16"/>
        </w:rPr>
        <w:t>；</w:t>
      </w:r>
    </w:p>
    <w:p w14:paraId="3CD44C64">
      <w:pPr>
        <w:pStyle w:val="2"/>
        <w:spacing w:before="91" w:line="219" w:lineRule="auto"/>
        <w:ind w:left="750"/>
        <w:rPr>
          <w:sz w:val="20"/>
          <w:szCs w:val="20"/>
        </w:rPr>
      </w:pPr>
      <w:r>
        <w:rPr>
          <w:spacing w:val="3"/>
          <w:sz w:val="20"/>
          <w:szCs w:val="20"/>
        </w:rPr>
        <w:t>●运行维护质量信息的反馈机制。</w:t>
      </w:r>
    </w:p>
    <w:p w14:paraId="37C6368C">
      <w:pPr>
        <w:pStyle w:val="2"/>
        <w:spacing w:before="83" w:line="284" w:lineRule="auto"/>
        <w:ind w:left="379" w:firstLine="370"/>
        <w:rPr>
          <w:sz w:val="16"/>
          <w:szCs w:val="16"/>
        </w:rPr>
      </w:pPr>
      <w:r>
        <w:rPr>
          <w:spacing w:val="-2"/>
          <w:sz w:val="20"/>
          <w:szCs w:val="20"/>
        </w:rPr>
        <w:t>(2)以运行维护合同、</w:t>
      </w:r>
      <w:r>
        <w:rPr>
          <w:spacing w:val="-11"/>
          <w:sz w:val="20"/>
          <w:szCs w:val="20"/>
        </w:rPr>
        <w:t xml:space="preserve"> </w:t>
      </w:r>
      <w:r>
        <w:rPr>
          <w:spacing w:val="-2"/>
          <w:sz w:val="20"/>
          <w:szCs w:val="20"/>
        </w:rPr>
        <w:t>SLA</w:t>
      </w:r>
      <w:r>
        <w:rPr>
          <w:spacing w:val="29"/>
          <w:sz w:val="20"/>
          <w:szCs w:val="20"/>
        </w:rPr>
        <w:t xml:space="preserve"> </w:t>
      </w:r>
      <w:r>
        <w:rPr>
          <w:spacing w:val="-2"/>
          <w:sz w:val="20"/>
          <w:szCs w:val="20"/>
        </w:rPr>
        <w:t>为依据，监督运行维护质量保证体系的落实及其日常运行情况，</w:t>
      </w:r>
      <w:r>
        <w:rPr>
          <w:sz w:val="20"/>
          <w:szCs w:val="20"/>
        </w:rPr>
        <w:t xml:space="preserve"> </w:t>
      </w:r>
      <w:r>
        <w:rPr>
          <w:spacing w:val="26"/>
          <w:sz w:val="16"/>
          <w:szCs w:val="16"/>
        </w:rPr>
        <w:t>主要包括</w:t>
      </w:r>
      <w:r>
        <w:rPr>
          <w:spacing w:val="-34"/>
          <w:sz w:val="16"/>
          <w:szCs w:val="16"/>
        </w:rPr>
        <w:t xml:space="preserve"> </w:t>
      </w:r>
      <w:r>
        <w:rPr>
          <w:spacing w:val="26"/>
          <w:sz w:val="16"/>
          <w:szCs w:val="16"/>
        </w:rPr>
        <w:t>：</w:t>
      </w:r>
    </w:p>
    <w:p w14:paraId="25BBA46F">
      <w:pPr>
        <w:pStyle w:val="2"/>
        <w:spacing w:before="87" w:line="219" w:lineRule="auto"/>
        <w:ind w:left="750"/>
        <w:rPr>
          <w:sz w:val="20"/>
          <w:szCs w:val="20"/>
        </w:rPr>
      </w:pPr>
      <w:r>
        <w:rPr>
          <w:sz w:val="20"/>
          <w:szCs w:val="20"/>
        </w:rPr>
        <w:t>●运行维护服务流程执行情况；</w:t>
      </w:r>
    </w:p>
    <w:p w14:paraId="13D16E44">
      <w:pPr>
        <w:pStyle w:val="2"/>
        <w:spacing w:before="83" w:line="219" w:lineRule="auto"/>
        <w:ind w:left="750"/>
        <w:rPr>
          <w:sz w:val="20"/>
          <w:szCs w:val="20"/>
        </w:rPr>
      </w:pPr>
      <w:r>
        <w:rPr>
          <w:sz w:val="20"/>
          <w:szCs w:val="20"/>
        </w:rPr>
        <w:t>●运行维护服务过程与运行维护质量保证计划的相符</w:t>
      </w:r>
      <w:r>
        <w:rPr>
          <w:spacing w:val="-1"/>
          <w:sz w:val="20"/>
          <w:szCs w:val="20"/>
        </w:rPr>
        <w:t>性；</w:t>
      </w:r>
    </w:p>
    <w:p w14:paraId="0C1B8B1B">
      <w:pPr>
        <w:pStyle w:val="2"/>
        <w:spacing w:before="93" w:line="219" w:lineRule="auto"/>
        <w:ind w:left="750"/>
        <w:rPr>
          <w:sz w:val="20"/>
          <w:szCs w:val="20"/>
        </w:rPr>
      </w:pPr>
      <w:r>
        <w:rPr>
          <w:sz w:val="20"/>
          <w:szCs w:val="20"/>
        </w:rPr>
        <w:t>●运行维护服务成果和相关运行维护文档资料；</w:t>
      </w:r>
    </w:p>
    <w:p w14:paraId="7922B255">
      <w:pPr>
        <w:pStyle w:val="2"/>
        <w:spacing w:before="93" w:line="219" w:lineRule="auto"/>
        <w:ind w:left="750"/>
        <w:rPr>
          <w:sz w:val="20"/>
          <w:szCs w:val="20"/>
        </w:rPr>
      </w:pPr>
      <w:r>
        <w:rPr>
          <w:spacing w:val="1"/>
          <w:sz w:val="20"/>
          <w:szCs w:val="20"/>
        </w:rPr>
        <w:t>●重大运行维护事件的处置过程；</w:t>
      </w:r>
    </w:p>
    <w:p w14:paraId="1E2E519E">
      <w:pPr>
        <w:pStyle w:val="2"/>
        <w:spacing w:before="82" w:line="219" w:lineRule="auto"/>
        <w:ind w:left="750"/>
        <w:rPr>
          <w:sz w:val="20"/>
          <w:szCs w:val="20"/>
        </w:rPr>
      </w:pPr>
      <w:r>
        <w:rPr>
          <w:spacing w:val="2"/>
          <w:sz w:val="20"/>
          <w:szCs w:val="20"/>
        </w:rPr>
        <w:t>●运行维护项目的交付过程。</w:t>
      </w:r>
    </w:p>
    <w:p w14:paraId="4468E123">
      <w:pPr>
        <w:pStyle w:val="2"/>
        <w:spacing w:before="93" w:line="219" w:lineRule="auto"/>
        <w:ind w:left="750"/>
        <w:rPr>
          <w:sz w:val="20"/>
          <w:szCs w:val="20"/>
        </w:rPr>
      </w:pPr>
      <w:r>
        <w:rPr>
          <w:spacing w:val="1"/>
          <w:sz w:val="20"/>
          <w:szCs w:val="20"/>
        </w:rPr>
        <w:t>(3)针对运行维护过程中的关键事件进行重点控制，主要包括：</w:t>
      </w:r>
    </w:p>
    <w:p w14:paraId="79E28E93">
      <w:pPr>
        <w:pStyle w:val="2"/>
        <w:spacing w:before="73" w:line="219" w:lineRule="auto"/>
        <w:ind w:left="750"/>
        <w:rPr>
          <w:sz w:val="20"/>
          <w:szCs w:val="20"/>
        </w:rPr>
      </w:pPr>
      <w:r>
        <w:rPr>
          <w:spacing w:val="1"/>
          <w:sz w:val="20"/>
          <w:szCs w:val="20"/>
        </w:rPr>
        <w:t>●由总监理工程师审核，并协助业主单位组织相关专家进行论证；</w:t>
      </w:r>
    </w:p>
    <w:p w14:paraId="11565FF5">
      <w:pPr>
        <w:pStyle w:val="2"/>
        <w:spacing w:before="83" w:line="219" w:lineRule="auto"/>
        <w:ind w:left="750"/>
        <w:rPr>
          <w:sz w:val="20"/>
          <w:szCs w:val="20"/>
        </w:rPr>
      </w:pPr>
      <w:r>
        <w:rPr>
          <w:sz w:val="20"/>
          <w:szCs w:val="20"/>
        </w:rPr>
        <w:t>●跟踪关键操作和事件解决过程，发现质量问题并及时纠正，消除质量隐患。</w:t>
      </w:r>
    </w:p>
    <w:p w14:paraId="2150DB29">
      <w:pPr>
        <w:pStyle w:val="2"/>
        <w:spacing w:before="81" w:line="219" w:lineRule="auto"/>
        <w:ind w:left="750"/>
        <w:rPr>
          <w:sz w:val="20"/>
          <w:szCs w:val="20"/>
        </w:rPr>
      </w:pPr>
      <w:r>
        <w:rPr>
          <w:spacing w:val="1"/>
          <w:sz w:val="20"/>
          <w:szCs w:val="20"/>
        </w:rPr>
        <w:t>(4)督促运维服务提供方开展巡检，并抽</w:t>
      </w:r>
      <w:r>
        <w:rPr>
          <w:sz w:val="20"/>
          <w:szCs w:val="20"/>
        </w:rPr>
        <w:t>查巡检相关记录，检查内容主要包括：</w:t>
      </w:r>
    </w:p>
    <w:p w14:paraId="51B0F4AF">
      <w:pPr>
        <w:pStyle w:val="2"/>
        <w:spacing w:before="84" w:line="219" w:lineRule="auto"/>
        <w:ind w:left="750"/>
        <w:rPr>
          <w:sz w:val="20"/>
          <w:szCs w:val="20"/>
        </w:rPr>
      </w:pPr>
      <w:r>
        <w:rPr>
          <w:spacing w:val="-3"/>
          <w:sz w:val="20"/>
          <w:szCs w:val="20"/>
        </w:rPr>
        <w:t>●</w:t>
      </w:r>
      <w:r>
        <w:rPr>
          <w:spacing w:val="-51"/>
          <w:sz w:val="20"/>
          <w:szCs w:val="20"/>
        </w:rPr>
        <w:t xml:space="preserve"> </w:t>
      </w:r>
      <w:r>
        <w:rPr>
          <w:spacing w:val="-3"/>
          <w:sz w:val="20"/>
          <w:szCs w:val="20"/>
        </w:rPr>
        <w:t>日常巡检安排及落实情况；</w:t>
      </w:r>
    </w:p>
    <w:p w14:paraId="48EC248F">
      <w:pPr>
        <w:pStyle w:val="2"/>
        <w:spacing w:before="83" w:line="219" w:lineRule="auto"/>
        <w:ind w:left="750"/>
        <w:rPr>
          <w:sz w:val="20"/>
          <w:szCs w:val="20"/>
        </w:rPr>
      </w:pPr>
      <w:r>
        <w:rPr>
          <w:sz w:val="20"/>
          <w:szCs w:val="20"/>
        </w:rPr>
        <w:t>●业务高峰期和特殊业务保障时期人员安排、巡检安排及落实情况；</w:t>
      </w:r>
    </w:p>
    <w:p w14:paraId="10C53855">
      <w:pPr>
        <w:pStyle w:val="2"/>
        <w:spacing w:before="93" w:line="219" w:lineRule="auto"/>
        <w:ind w:left="750"/>
        <w:rPr>
          <w:sz w:val="20"/>
          <w:szCs w:val="20"/>
        </w:rPr>
      </w:pPr>
      <w:r>
        <w:rPr>
          <w:sz w:val="20"/>
          <w:szCs w:val="20"/>
        </w:rPr>
        <w:t>●巡检内容与业务系统匹配的完整性，以及阈值设定的合理性；</w:t>
      </w:r>
    </w:p>
    <w:p w14:paraId="679B0CA9">
      <w:pPr>
        <w:pStyle w:val="2"/>
        <w:spacing w:before="90" w:line="218" w:lineRule="auto"/>
        <w:ind w:left="750"/>
        <w:rPr>
          <w:sz w:val="20"/>
          <w:szCs w:val="20"/>
        </w:rPr>
      </w:pPr>
      <w:r>
        <w:rPr>
          <w:spacing w:val="1"/>
          <w:sz w:val="20"/>
          <w:szCs w:val="20"/>
        </w:rPr>
        <w:t>●运维服务提供方提交的故障报告、巡检报告、运维日志等信息；</w:t>
      </w:r>
    </w:p>
    <w:p w14:paraId="7F212900">
      <w:pPr>
        <w:pStyle w:val="2"/>
        <w:spacing w:before="65" w:line="288" w:lineRule="auto"/>
        <w:ind w:left="1049" w:right="44" w:hanging="299"/>
        <w:rPr>
          <w:sz w:val="16"/>
          <w:szCs w:val="16"/>
        </w:rPr>
      </w:pPr>
      <w:r>
        <w:rPr>
          <w:spacing w:val="8"/>
          <w:sz w:val="20"/>
          <w:szCs w:val="20"/>
        </w:rPr>
        <w:t>●对故障发生过程、原因、处理等方面进行讨论和分</w:t>
      </w:r>
      <w:r>
        <w:rPr>
          <w:spacing w:val="7"/>
          <w:sz w:val="20"/>
          <w:szCs w:val="20"/>
        </w:rPr>
        <w:t>析，评定巡检工作成效及是否存在</w:t>
      </w:r>
      <w:r>
        <w:rPr>
          <w:sz w:val="20"/>
          <w:szCs w:val="20"/>
        </w:rPr>
        <w:t xml:space="preserve"> </w:t>
      </w:r>
      <w:r>
        <w:rPr>
          <w:spacing w:val="-5"/>
          <w:sz w:val="16"/>
          <w:szCs w:val="16"/>
        </w:rPr>
        <w:t>疏</w:t>
      </w:r>
      <w:r>
        <w:rPr>
          <w:spacing w:val="-8"/>
          <w:sz w:val="16"/>
          <w:szCs w:val="16"/>
        </w:rPr>
        <w:t xml:space="preserve"> </w:t>
      </w:r>
      <w:r>
        <w:rPr>
          <w:spacing w:val="-5"/>
          <w:sz w:val="16"/>
          <w:szCs w:val="16"/>
        </w:rPr>
        <w:t>漏</w:t>
      </w:r>
      <w:r>
        <w:rPr>
          <w:spacing w:val="-15"/>
          <w:sz w:val="16"/>
          <w:szCs w:val="16"/>
        </w:rPr>
        <w:t xml:space="preserve"> </w:t>
      </w:r>
      <w:r>
        <w:rPr>
          <w:spacing w:val="-5"/>
          <w:sz w:val="16"/>
          <w:szCs w:val="16"/>
        </w:rPr>
        <w:t>。</w:t>
      </w:r>
    </w:p>
    <w:p w14:paraId="0C6B3657">
      <w:pPr>
        <w:pStyle w:val="2"/>
        <w:spacing w:before="99" w:line="219" w:lineRule="auto"/>
        <w:ind w:left="750"/>
        <w:rPr>
          <w:sz w:val="20"/>
          <w:szCs w:val="20"/>
        </w:rPr>
      </w:pPr>
      <w:r>
        <w:rPr>
          <w:spacing w:val="2"/>
          <w:sz w:val="20"/>
          <w:szCs w:val="20"/>
        </w:rPr>
        <w:t>(5)检查备品、备件的准备情况，主要包括：</w:t>
      </w:r>
    </w:p>
    <w:p w14:paraId="4684CD24">
      <w:pPr>
        <w:pStyle w:val="2"/>
        <w:spacing w:before="72" w:line="219" w:lineRule="auto"/>
        <w:ind w:left="750"/>
        <w:rPr>
          <w:sz w:val="20"/>
          <w:szCs w:val="20"/>
        </w:rPr>
      </w:pPr>
      <w:r>
        <w:rPr>
          <w:spacing w:val="1"/>
          <w:sz w:val="20"/>
          <w:szCs w:val="20"/>
        </w:rPr>
        <w:t>●检查需要预先采购的备品备件型号、数量等是否符合合同要求；</w:t>
      </w:r>
    </w:p>
    <w:p w14:paraId="3B075395">
      <w:pPr>
        <w:pStyle w:val="2"/>
        <w:spacing w:before="74" w:line="219" w:lineRule="auto"/>
        <w:ind w:left="750"/>
        <w:rPr>
          <w:sz w:val="20"/>
          <w:szCs w:val="20"/>
        </w:rPr>
      </w:pPr>
      <w:r>
        <w:rPr>
          <w:spacing w:val="1"/>
          <w:sz w:val="20"/>
          <w:szCs w:val="20"/>
        </w:rPr>
        <w:t>●重要设备的备品备件是否为正品；</w:t>
      </w:r>
    </w:p>
    <w:p w14:paraId="17B8F196">
      <w:pPr>
        <w:pStyle w:val="2"/>
        <w:spacing w:before="83" w:line="219" w:lineRule="auto"/>
        <w:ind w:left="750"/>
        <w:rPr>
          <w:sz w:val="20"/>
          <w:szCs w:val="20"/>
        </w:rPr>
      </w:pPr>
      <w:r>
        <w:rPr>
          <w:spacing w:val="1"/>
          <w:sz w:val="20"/>
          <w:szCs w:val="20"/>
        </w:rPr>
        <w:t>●合同中明确的替代设备、应急设备是否准备齐全；</w:t>
      </w:r>
    </w:p>
    <w:p w14:paraId="289D4496">
      <w:pPr>
        <w:pStyle w:val="2"/>
        <w:spacing w:before="82" w:line="219" w:lineRule="auto"/>
        <w:ind w:left="750"/>
        <w:rPr>
          <w:sz w:val="20"/>
          <w:szCs w:val="20"/>
        </w:rPr>
      </w:pPr>
      <w:r>
        <w:rPr>
          <w:spacing w:val="4"/>
          <w:sz w:val="20"/>
          <w:szCs w:val="20"/>
        </w:rPr>
        <w:t>●不定期抽查备品备件库。</w:t>
      </w:r>
    </w:p>
    <w:p w14:paraId="6853F402">
      <w:pPr>
        <w:pStyle w:val="2"/>
        <w:spacing w:before="81" w:line="218" w:lineRule="auto"/>
        <w:ind w:left="750"/>
        <w:rPr>
          <w:sz w:val="20"/>
          <w:szCs w:val="20"/>
        </w:rPr>
      </w:pPr>
      <w:r>
        <w:rPr>
          <w:spacing w:val="2"/>
          <w:sz w:val="20"/>
          <w:szCs w:val="20"/>
        </w:rPr>
        <w:t>(6)宜定期对运行维护服务质量进行考核、评估。</w:t>
      </w:r>
    </w:p>
    <w:p w14:paraId="6E3DC6FE">
      <w:pPr>
        <w:pStyle w:val="2"/>
        <w:spacing w:before="77" w:line="220" w:lineRule="auto"/>
        <w:ind w:left="750"/>
        <w:rPr>
          <w:sz w:val="20"/>
          <w:szCs w:val="20"/>
        </w:rPr>
      </w:pPr>
      <w:r>
        <w:rPr>
          <w:spacing w:val="2"/>
          <w:sz w:val="20"/>
          <w:szCs w:val="20"/>
        </w:rPr>
        <w:t>(7)可对运行维护过程中的测试实施质量进行审查，主要包括：</w:t>
      </w:r>
    </w:p>
    <w:p w14:paraId="430E5983">
      <w:pPr>
        <w:pStyle w:val="2"/>
        <w:spacing w:before="69" w:line="218" w:lineRule="auto"/>
        <w:ind w:left="750"/>
        <w:rPr>
          <w:sz w:val="20"/>
          <w:szCs w:val="20"/>
        </w:rPr>
      </w:pPr>
      <w:r>
        <w:rPr>
          <w:spacing w:val="1"/>
          <w:sz w:val="20"/>
          <w:szCs w:val="20"/>
        </w:rPr>
        <w:t>●评审运维服务提供方提交的测试计划、测试方案、测试报告等；</w:t>
      </w:r>
    </w:p>
    <w:p w14:paraId="5F4D63BA">
      <w:pPr>
        <w:pStyle w:val="2"/>
        <w:spacing w:before="76" w:line="219" w:lineRule="auto"/>
        <w:ind w:left="750"/>
        <w:rPr>
          <w:sz w:val="20"/>
          <w:szCs w:val="20"/>
        </w:rPr>
      </w:pPr>
      <w:r>
        <w:rPr>
          <w:spacing w:val="1"/>
          <w:sz w:val="20"/>
          <w:szCs w:val="20"/>
        </w:rPr>
        <w:t>●执行重要环节的监理抽测，或对测试过程进行旁站。</w:t>
      </w:r>
    </w:p>
    <w:p w14:paraId="7E49EB4A">
      <w:pPr>
        <w:spacing w:line="219" w:lineRule="auto"/>
        <w:rPr>
          <w:sz w:val="20"/>
          <w:szCs w:val="20"/>
        </w:rPr>
        <w:sectPr>
          <w:pgSz w:w="10300" w:h="13390"/>
          <w:pgMar w:top="400" w:right="1144" w:bottom="400" w:left="469" w:header="0" w:footer="0" w:gutter="0"/>
          <w:cols w:space="720" w:num="1"/>
        </w:sectPr>
      </w:pPr>
    </w:p>
    <w:p w14:paraId="071D2935">
      <w:pPr>
        <w:pStyle w:val="2"/>
        <w:jc w:val="right"/>
        <w:rPr>
          <w:rFonts w:ascii="Times New Roman" w:hAnsi="Times New Roman" w:eastAsia="Times New Roman" w:cs="Times New Roman"/>
          <w:sz w:val="17"/>
          <w:szCs w:val="17"/>
        </w:rPr>
      </w:pPr>
      <w:bookmarkStart w:id="779" w:name="bookmark764"/>
      <w:bookmarkEnd w:id="779"/>
      <w:r>
        <w:rPr>
          <w:sz w:val="20"/>
          <w:szCs w:val="20"/>
        </w:rPr>
        <w:t xml:space="preserve">第25章 运行维护监理 </w:t>
      </w:r>
      <w:r>
        <w:rPr>
          <w:position w:val="-10"/>
          <w:sz w:val="20"/>
          <w:szCs w:val="20"/>
        </w:rPr>
        <w:drawing>
          <wp:inline distT="0" distB="0" distL="0" distR="0">
            <wp:extent cx="311150" cy="234950"/>
            <wp:effectExtent l="0" t="0" r="0" b="0"/>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378"/>
                    <a:stretch>
                      <a:fillRect/>
                    </a:stretch>
                  </pic:blipFill>
                  <pic:spPr>
                    <a:xfrm>
                      <a:off x="0" y="0"/>
                      <a:ext cx="311196" cy="235013"/>
                    </a:xfrm>
                    <a:prstGeom prst="rect">
                      <a:avLst/>
                    </a:prstGeom>
                  </pic:spPr>
                </pic:pic>
              </a:graphicData>
            </a:graphic>
          </wp:inline>
        </w:drawing>
      </w:r>
      <w:r>
        <w:rPr>
          <w:rFonts w:ascii="Times New Roman" w:hAnsi="Times New Roman" w:eastAsia="Times New Roman" w:cs="Times New Roman"/>
          <w:sz w:val="17"/>
          <w:szCs w:val="17"/>
        </w:rPr>
        <w:t>587</w:t>
      </w:r>
    </w:p>
    <w:p w14:paraId="0472A7F6">
      <w:pPr>
        <w:spacing w:line="281" w:lineRule="auto"/>
        <w:rPr>
          <w:rFonts w:ascii="Arial"/>
          <w:sz w:val="21"/>
        </w:rPr>
      </w:pPr>
    </w:p>
    <w:p w14:paraId="4FB7C4B7">
      <w:pPr>
        <w:pStyle w:val="2"/>
        <w:spacing w:before="65" w:line="219" w:lineRule="auto"/>
        <w:ind w:left="419"/>
        <w:rPr>
          <w:sz w:val="20"/>
          <w:szCs w:val="20"/>
        </w:rPr>
      </w:pPr>
      <w:r>
        <w:rPr>
          <w:spacing w:val="1"/>
          <w:sz w:val="20"/>
          <w:szCs w:val="20"/>
        </w:rPr>
        <w:t>(8)对运行维护文档质量进行评审，主要包括：</w:t>
      </w:r>
    </w:p>
    <w:p w14:paraId="0A859E50">
      <w:pPr>
        <w:pStyle w:val="2"/>
        <w:spacing w:before="80" w:line="218" w:lineRule="auto"/>
        <w:ind w:left="419"/>
        <w:rPr>
          <w:sz w:val="20"/>
          <w:szCs w:val="20"/>
        </w:rPr>
      </w:pPr>
      <w:r>
        <w:rPr>
          <w:sz w:val="20"/>
          <w:szCs w:val="20"/>
        </w:rPr>
        <w:t>●运行维护需求分析报告、运行维护实施方案；</w:t>
      </w:r>
    </w:p>
    <w:p w14:paraId="31EDA2F9">
      <w:pPr>
        <w:pStyle w:val="2"/>
        <w:spacing w:before="74" w:line="219" w:lineRule="auto"/>
        <w:ind w:left="419"/>
        <w:rPr>
          <w:sz w:val="20"/>
          <w:szCs w:val="20"/>
        </w:rPr>
      </w:pPr>
      <w:r>
        <w:rPr>
          <w:spacing w:val="1"/>
          <w:sz w:val="20"/>
          <w:szCs w:val="20"/>
        </w:rPr>
        <w:t>●运维服务提供方提供的质量保证体系；</w:t>
      </w:r>
    </w:p>
    <w:p w14:paraId="165141DB">
      <w:pPr>
        <w:pStyle w:val="2"/>
        <w:spacing w:before="92" w:line="219" w:lineRule="auto"/>
        <w:ind w:left="419"/>
        <w:rPr>
          <w:sz w:val="20"/>
          <w:szCs w:val="20"/>
        </w:rPr>
      </w:pPr>
      <w:r>
        <w:rPr>
          <w:sz w:val="20"/>
          <w:szCs w:val="20"/>
        </w:rPr>
        <w:t>●运维服务提供方提交的运行维护过程文档；</w:t>
      </w:r>
    </w:p>
    <w:p w14:paraId="5FBADB09">
      <w:pPr>
        <w:pStyle w:val="2"/>
        <w:spacing w:before="84" w:line="219" w:lineRule="auto"/>
        <w:ind w:left="419"/>
        <w:rPr>
          <w:sz w:val="20"/>
          <w:szCs w:val="20"/>
        </w:rPr>
      </w:pPr>
      <w:r>
        <w:rPr>
          <w:spacing w:val="3"/>
          <w:sz w:val="20"/>
          <w:szCs w:val="20"/>
        </w:rPr>
        <w:t>●运行维护验收方案。</w:t>
      </w:r>
    </w:p>
    <w:p w14:paraId="37688D16">
      <w:pPr>
        <w:pStyle w:val="2"/>
        <w:spacing w:before="242" w:line="220" w:lineRule="auto"/>
        <w:rPr>
          <w:sz w:val="25"/>
          <w:szCs w:val="25"/>
        </w:rPr>
      </w:pPr>
      <w:r>
        <w:rPr>
          <w:rFonts w:ascii="Times New Roman" w:hAnsi="Times New Roman" w:eastAsia="Times New Roman" w:cs="Times New Roman"/>
          <w:b/>
          <w:bCs/>
          <w:color w:val="0080E2"/>
          <w:spacing w:val="-3"/>
          <w:sz w:val="25"/>
          <w:szCs w:val="25"/>
        </w:rPr>
        <w:t>25.3.2</w:t>
      </w:r>
      <w:r>
        <w:rPr>
          <w:rFonts w:ascii="Times New Roman" w:hAnsi="Times New Roman" w:eastAsia="Times New Roman" w:cs="Times New Roman"/>
          <w:b/>
          <w:bCs/>
          <w:color w:val="0080E2"/>
          <w:spacing w:val="14"/>
          <w:sz w:val="25"/>
          <w:szCs w:val="25"/>
        </w:rPr>
        <w:t xml:space="preserve">   </w:t>
      </w:r>
      <w:r>
        <w:rPr>
          <w:b/>
          <w:bCs/>
          <w:color w:val="0080E2"/>
          <w:spacing w:val="-3"/>
          <w:sz w:val="25"/>
          <w:szCs w:val="25"/>
        </w:rPr>
        <w:t>进度控制</w:t>
      </w:r>
    </w:p>
    <w:p w14:paraId="0ECB130C">
      <w:pPr>
        <w:pStyle w:val="2"/>
        <w:spacing w:before="175" w:line="289" w:lineRule="auto"/>
        <w:ind w:right="280" w:firstLine="419"/>
        <w:jc w:val="both"/>
        <w:rPr>
          <w:sz w:val="17"/>
          <w:szCs w:val="17"/>
        </w:rPr>
      </w:pPr>
      <w:r>
        <w:rPr>
          <w:spacing w:val="3"/>
          <w:sz w:val="20"/>
          <w:szCs w:val="20"/>
        </w:rPr>
        <w:t>运行维护实施阶段的进度控制也有别于信息系统工程建设的进度控制，其核心目标是</w:t>
      </w:r>
      <w:r>
        <w:rPr>
          <w:spacing w:val="2"/>
          <w:sz w:val="20"/>
          <w:szCs w:val="20"/>
        </w:rPr>
        <w:t>控制</w:t>
      </w:r>
      <w:r>
        <w:rPr>
          <w:sz w:val="20"/>
          <w:szCs w:val="20"/>
        </w:rPr>
        <w:t xml:space="preserve"> </w:t>
      </w:r>
      <w:r>
        <w:rPr>
          <w:spacing w:val="3"/>
          <w:sz w:val="20"/>
          <w:szCs w:val="20"/>
        </w:rPr>
        <w:t>运行维护工作任务按时保质完成，包括常规既定任务、时间约束范围内的处置任务等。运行维</w:t>
      </w:r>
      <w:r>
        <w:rPr>
          <w:spacing w:val="4"/>
          <w:sz w:val="20"/>
          <w:szCs w:val="20"/>
        </w:rPr>
        <w:t xml:space="preserve"> </w:t>
      </w:r>
      <w:r>
        <w:rPr>
          <w:spacing w:val="3"/>
          <w:sz w:val="20"/>
          <w:szCs w:val="20"/>
        </w:rPr>
        <w:t>护实施阶段的进度控制更多关注整体工作计划性、各项安排的合理性、计划或者任务达成的时</w:t>
      </w:r>
      <w:r>
        <w:rPr>
          <w:spacing w:val="7"/>
          <w:sz w:val="20"/>
          <w:szCs w:val="20"/>
        </w:rPr>
        <w:t xml:space="preserve"> </w:t>
      </w:r>
      <w:r>
        <w:rPr>
          <w:spacing w:val="18"/>
          <w:sz w:val="17"/>
          <w:szCs w:val="17"/>
        </w:rPr>
        <w:t>效性等。</w:t>
      </w:r>
    </w:p>
    <w:p w14:paraId="3F79BD1E">
      <w:pPr>
        <w:pStyle w:val="2"/>
        <w:spacing w:before="53" w:line="219" w:lineRule="auto"/>
        <w:ind w:left="419"/>
        <w:rPr>
          <w:sz w:val="20"/>
          <w:szCs w:val="20"/>
        </w:rPr>
      </w:pPr>
      <w:r>
        <w:rPr>
          <w:spacing w:val="-3"/>
          <w:sz w:val="20"/>
          <w:szCs w:val="20"/>
        </w:rPr>
        <w:t>进度控制相关的监理工作包括如下内容：</w:t>
      </w:r>
    </w:p>
    <w:p w14:paraId="04172039">
      <w:pPr>
        <w:pStyle w:val="2"/>
        <w:spacing w:before="71" w:line="219" w:lineRule="auto"/>
        <w:ind w:left="419"/>
        <w:rPr>
          <w:sz w:val="20"/>
          <w:szCs w:val="20"/>
        </w:rPr>
      </w:pPr>
      <w:r>
        <w:rPr>
          <w:spacing w:val="2"/>
          <w:sz w:val="20"/>
          <w:szCs w:val="20"/>
        </w:rPr>
        <w:t>(1)对运维服务提供方的整体运行维护计划进行审核，内容包括：</w:t>
      </w:r>
    </w:p>
    <w:p w14:paraId="47EFDAA1">
      <w:pPr>
        <w:pStyle w:val="2"/>
        <w:spacing w:before="73" w:line="219" w:lineRule="auto"/>
        <w:ind w:left="419"/>
        <w:rPr>
          <w:sz w:val="20"/>
          <w:szCs w:val="20"/>
        </w:rPr>
      </w:pPr>
      <w:r>
        <w:rPr>
          <w:spacing w:val="1"/>
          <w:sz w:val="20"/>
          <w:szCs w:val="20"/>
        </w:rPr>
        <w:t>●进度计划的科学性和可执行性；</w:t>
      </w:r>
    </w:p>
    <w:p w14:paraId="43FD8200">
      <w:pPr>
        <w:pStyle w:val="2"/>
        <w:spacing w:before="84" w:line="219" w:lineRule="auto"/>
        <w:ind w:left="419"/>
        <w:rPr>
          <w:sz w:val="20"/>
          <w:szCs w:val="20"/>
        </w:rPr>
      </w:pPr>
      <w:r>
        <w:rPr>
          <w:spacing w:val="1"/>
          <w:sz w:val="20"/>
          <w:szCs w:val="20"/>
        </w:rPr>
        <w:t>●进度计划的合理性，包括时间计划合理性，任务安排合理性，工具、人员投入合理性。</w:t>
      </w:r>
    </w:p>
    <w:p w14:paraId="14F6958B">
      <w:pPr>
        <w:pStyle w:val="2"/>
        <w:spacing w:before="93" w:line="219" w:lineRule="auto"/>
        <w:ind w:left="419"/>
        <w:rPr>
          <w:sz w:val="20"/>
          <w:szCs w:val="20"/>
        </w:rPr>
      </w:pPr>
      <w:r>
        <w:rPr>
          <w:spacing w:val="2"/>
          <w:sz w:val="20"/>
          <w:szCs w:val="20"/>
        </w:rPr>
        <w:t>(2)根据进度计划设置关键进度检查点。</w:t>
      </w:r>
    </w:p>
    <w:p w14:paraId="4F9B3DE8">
      <w:pPr>
        <w:pStyle w:val="2"/>
        <w:spacing w:before="81" w:line="219" w:lineRule="auto"/>
        <w:ind w:left="419"/>
        <w:rPr>
          <w:sz w:val="20"/>
          <w:szCs w:val="20"/>
        </w:rPr>
      </w:pPr>
      <w:r>
        <w:rPr>
          <w:spacing w:val="2"/>
          <w:sz w:val="20"/>
          <w:szCs w:val="20"/>
        </w:rPr>
        <w:t>(3)针对进度检查点进行审核，发现偏差时可以组织多方会议会商，</w:t>
      </w:r>
      <w:r>
        <w:rPr>
          <w:spacing w:val="1"/>
          <w:sz w:val="20"/>
          <w:szCs w:val="20"/>
        </w:rPr>
        <w:t>修正进度计划。</w:t>
      </w:r>
    </w:p>
    <w:p w14:paraId="41EB78D9">
      <w:pPr>
        <w:pStyle w:val="2"/>
        <w:spacing w:before="213" w:line="220" w:lineRule="auto"/>
        <w:ind w:left="3"/>
        <w:rPr>
          <w:sz w:val="25"/>
          <w:szCs w:val="25"/>
        </w:rPr>
      </w:pPr>
      <w:r>
        <w:rPr>
          <w:b/>
          <w:bCs/>
          <w:color w:val="0070C7"/>
          <w:spacing w:val="-16"/>
          <w:sz w:val="25"/>
          <w:szCs w:val="25"/>
        </w:rPr>
        <w:t>25.3.3</w:t>
      </w:r>
      <w:r>
        <w:rPr>
          <w:color w:val="0070C7"/>
          <w:spacing w:val="68"/>
          <w:sz w:val="25"/>
          <w:szCs w:val="25"/>
        </w:rPr>
        <w:t xml:space="preserve"> </w:t>
      </w:r>
      <w:r>
        <w:rPr>
          <w:b/>
          <w:bCs/>
          <w:color w:val="0070C7"/>
          <w:spacing w:val="-16"/>
          <w:sz w:val="25"/>
          <w:szCs w:val="25"/>
        </w:rPr>
        <w:t>投资控制</w:t>
      </w:r>
    </w:p>
    <w:p w14:paraId="53350F9A">
      <w:pPr>
        <w:pStyle w:val="2"/>
        <w:spacing w:before="248" w:line="221" w:lineRule="auto"/>
        <w:ind w:left="422"/>
        <w:rPr>
          <w:rFonts w:ascii="黑体" w:hAnsi="黑体" w:eastAsia="黑体" w:cs="黑体"/>
          <w:sz w:val="20"/>
          <w:szCs w:val="20"/>
        </w:rPr>
      </w:pPr>
      <w:r>
        <w:rPr>
          <w:b/>
          <w:bCs/>
          <w:color w:val="0587DE"/>
          <w:spacing w:val="-5"/>
          <w:sz w:val="20"/>
          <w:szCs w:val="20"/>
        </w:rPr>
        <w:t>1.</w:t>
      </w:r>
      <w:r>
        <w:rPr>
          <w:rFonts w:ascii="黑体" w:hAnsi="黑体" w:eastAsia="黑体" w:cs="黑体"/>
          <w:b/>
          <w:bCs/>
          <w:color w:val="0587DE"/>
          <w:spacing w:val="-5"/>
          <w:sz w:val="20"/>
          <w:szCs w:val="20"/>
        </w:rPr>
        <w:t>投资控制概述</w:t>
      </w:r>
    </w:p>
    <w:p w14:paraId="07C7FE9C">
      <w:pPr>
        <w:pStyle w:val="2"/>
        <w:spacing w:before="165" w:line="290" w:lineRule="auto"/>
        <w:ind w:right="280" w:firstLine="419"/>
        <w:jc w:val="both"/>
        <w:rPr>
          <w:sz w:val="17"/>
          <w:szCs w:val="17"/>
        </w:rPr>
      </w:pPr>
      <w:r>
        <w:rPr>
          <w:spacing w:val="8"/>
          <w:sz w:val="20"/>
          <w:szCs w:val="20"/>
        </w:rPr>
        <w:t>信息系统运行维护的投资控制是对运行维护费用预算的实际执行情况进行监督、控制和</w:t>
      </w:r>
      <w:r>
        <w:rPr>
          <w:spacing w:val="11"/>
          <w:sz w:val="20"/>
          <w:szCs w:val="20"/>
        </w:rPr>
        <w:t xml:space="preserve"> </w:t>
      </w:r>
      <w:r>
        <w:rPr>
          <w:spacing w:val="8"/>
          <w:sz w:val="20"/>
          <w:szCs w:val="20"/>
        </w:rPr>
        <w:t>评价的过程。投资控制的目的就是根据运行维护服务进展的实际情况，结合运维服务提供方</w:t>
      </w:r>
      <w:r>
        <w:rPr>
          <w:spacing w:val="6"/>
          <w:sz w:val="20"/>
          <w:szCs w:val="20"/>
        </w:rPr>
        <w:t xml:space="preserve"> </w:t>
      </w:r>
      <w:r>
        <w:rPr>
          <w:spacing w:val="14"/>
          <w:sz w:val="20"/>
          <w:szCs w:val="20"/>
        </w:rPr>
        <w:t>的绩效考核结果，对运行维护费用的支付进行调</w:t>
      </w:r>
      <w:r>
        <w:rPr>
          <w:spacing w:val="13"/>
          <w:sz w:val="20"/>
          <w:szCs w:val="20"/>
        </w:rPr>
        <w:t>整和控制，从而节省用户费用、控制服务</w:t>
      </w:r>
      <w:r>
        <w:rPr>
          <w:sz w:val="20"/>
          <w:szCs w:val="20"/>
        </w:rPr>
        <w:t xml:space="preserve"> </w:t>
      </w:r>
      <w:r>
        <w:rPr>
          <w:spacing w:val="13"/>
          <w:sz w:val="17"/>
          <w:szCs w:val="17"/>
        </w:rPr>
        <w:t>效果</w:t>
      </w:r>
      <w:r>
        <w:rPr>
          <w:spacing w:val="-35"/>
          <w:sz w:val="17"/>
          <w:szCs w:val="17"/>
        </w:rPr>
        <w:t xml:space="preserve"> </w:t>
      </w:r>
      <w:r>
        <w:rPr>
          <w:spacing w:val="13"/>
          <w:sz w:val="17"/>
          <w:szCs w:val="17"/>
        </w:rPr>
        <w:t>。</w:t>
      </w:r>
    </w:p>
    <w:p w14:paraId="5FDEBB98">
      <w:pPr>
        <w:pStyle w:val="2"/>
        <w:spacing w:before="14" w:line="282" w:lineRule="auto"/>
        <w:ind w:right="227" w:firstLine="419"/>
        <w:jc w:val="both"/>
        <w:rPr>
          <w:sz w:val="20"/>
          <w:szCs w:val="20"/>
        </w:rPr>
      </w:pPr>
      <w:r>
        <w:rPr>
          <w:spacing w:val="3"/>
          <w:sz w:val="20"/>
          <w:szCs w:val="20"/>
        </w:rPr>
        <w:t>运行维护投资控制要在保证服务质量的前提下不断降低运行维护费用，从而实现目标费用</w:t>
      </w:r>
      <w:r>
        <w:rPr>
          <w:spacing w:val="6"/>
          <w:sz w:val="20"/>
          <w:szCs w:val="20"/>
        </w:rPr>
        <w:t xml:space="preserve"> </w:t>
      </w:r>
      <w:r>
        <w:rPr>
          <w:spacing w:val="5"/>
          <w:sz w:val="20"/>
          <w:szCs w:val="20"/>
        </w:rPr>
        <w:t>最优化的要求。基于运行维护工作的特点，在实施过程</w:t>
      </w:r>
      <w:r>
        <w:rPr>
          <w:spacing w:val="4"/>
          <w:sz w:val="20"/>
          <w:szCs w:val="20"/>
        </w:rPr>
        <w:t>中需要进行全过程、动态的投资控制。</w:t>
      </w:r>
      <w:r>
        <w:rPr>
          <w:sz w:val="20"/>
          <w:szCs w:val="20"/>
        </w:rPr>
        <w:t xml:space="preserve"> </w:t>
      </w:r>
      <w:r>
        <w:rPr>
          <w:spacing w:val="3"/>
          <w:sz w:val="20"/>
          <w:szCs w:val="20"/>
        </w:rPr>
        <w:t xml:space="preserve">随着运行维护各项工作的连续进行，应该开展全覆盖式的投资控制，覆盖所有运维服务提供方 </w:t>
      </w:r>
      <w:r>
        <w:rPr>
          <w:spacing w:val="6"/>
          <w:sz w:val="20"/>
          <w:szCs w:val="20"/>
        </w:rPr>
        <w:t>及人员，覆盖所有服务对象，覆盖所有服务类型(包括运行支</w:t>
      </w:r>
      <w:r>
        <w:rPr>
          <w:spacing w:val="5"/>
          <w:sz w:val="20"/>
          <w:szCs w:val="20"/>
        </w:rPr>
        <w:t>撑、日常巡检、故障处理、应急</w:t>
      </w:r>
      <w:r>
        <w:rPr>
          <w:sz w:val="20"/>
          <w:szCs w:val="20"/>
        </w:rPr>
        <w:t xml:space="preserve"> </w:t>
      </w:r>
      <w:r>
        <w:rPr>
          <w:spacing w:val="6"/>
          <w:sz w:val="20"/>
          <w:szCs w:val="20"/>
        </w:rPr>
        <w:t>演练等)。信息系统运行维护的实际费用理论上是不可</w:t>
      </w:r>
      <w:r>
        <w:rPr>
          <w:spacing w:val="5"/>
          <w:sz w:val="20"/>
          <w:szCs w:val="20"/>
        </w:rPr>
        <w:t>预控的，尤其是基础设施的运行维护工</w:t>
      </w:r>
      <w:r>
        <w:rPr>
          <w:sz w:val="20"/>
          <w:szCs w:val="20"/>
        </w:rPr>
        <w:t xml:space="preserve"> </w:t>
      </w:r>
      <w:r>
        <w:rPr>
          <w:spacing w:val="3"/>
          <w:sz w:val="20"/>
          <w:szCs w:val="20"/>
        </w:rPr>
        <w:t>作，突发性、偶然性比较大，所以要在实施过程中进行动态控制。投资控制与质量控制是同时</w:t>
      </w:r>
      <w:r>
        <w:rPr>
          <w:spacing w:val="7"/>
          <w:sz w:val="20"/>
          <w:szCs w:val="20"/>
        </w:rPr>
        <w:t xml:space="preserve"> </w:t>
      </w:r>
      <w:r>
        <w:rPr>
          <w:spacing w:val="-2"/>
          <w:sz w:val="20"/>
          <w:szCs w:val="20"/>
        </w:rPr>
        <w:t>进行的，在实现投资控制的同时需要兼顾质量目标。</w:t>
      </w:r>
    </w:p>
    <w:p w14:paraId="7B14F654">
      <w:pPr>
        <w:pStyle w:val="2"/>
        <w:spacing w:before="104" w:line="222" w:lineRule="auto"/>
        <w:ind w:left="422"/>
        <w:rPr>
          <w:rFonts w:ascii="黑体" w:hAnsi="黑体" w:eastAsia="黑体" w:cs="黑体"/>
          <w:sz w:val="20"/>
          <w:szCs w:val="20"/>
        </w:rPr>
      </w:pPr>
      <w:r>
        <w:rPr>
          <w:b/>
          <w:bCs/>
          <w:color w:val="0081D8"/>
          <w:spacing w:val="-1"/>
          <w:sz w:val="20"/>
          <w:szCs w:val="20"/>
        </w:rPr>
        <w:t>2.</w:t>
      </w:r>
      <w:r>
        <w:rPr>
          <w:rFonts w:ascii="黑体" w:hAnsi="黑体" w:eastAsia="黑体" w:cs="黑体"/>
          <w:b/>
          <w:bCs/>
          <w:color w:val="0081D8"/>
          <w:spacing w:val="-1"/>
          <w:sz w:val="20"/>
          <w:szCs w:val="20"/>
        </w:rPr>
        <w:t>投资控制的要点</w:t>
      </w:r>
    </w:p>
    <w:p w14:paraId="15D03FD5">
      <w:pPr>
        <w:pStyle w:val="2"/>
        <w:spacing w:before="145" w:line="220" w:lineRule="auto"/>
        <w:ind w:left="419"/>
        <w:rPr>
          <w:sz w:val="20"/>
          <w:szCs w:val="20"/>
        </w:rPr>
      </w:pPr>
      <w:r>
        <w:rPr>
          <w:spacing w:val="-5"/>
          <w:sz w:val="20"/>
          <w:szCs w:val="20"/>
        </w:rPr>
        <w:t>投资控制的要点具体如下：</w:t>
      </w:r>
    </w:p>
    <w:p w14:paraId="2BCE9584">
      <w:pPr>
        <w:pStyle w:val="2"/>
        <w:spacing w:before="61" w:line="252" w:lineRule="auto"/>
        <w:ind w:right="269" w:firstLine="419"/>
        <w:rPr>
          <w:sz w:val="20"/>
          <w:szCs w:val="20"/>
        </w:rPr>
      </w:pPr>
      <w:r>
        <w:rPr>
          <w:spacing w:val="6"/>
          <w:sz w:val="20"/>
          <w:szCs w:val="20"/>
        </w:rPr>
        <w:t>(1)投资控制与绩效考核的结果是息息相关的，通过对绩</w:t>
      </w:r>
      <w:r>
        <w:rPr>
          <w:spacing w:val="5"/>
          <w:sz w:val="20"/>
          <w:szCs w:val="20"/>
        </w:rPr>
        <w:t>效考核结果的分析，可以找到运</w:t>
      </w:r>
      <w:r>
        <w:rPr>
          <w:sz w:val="20"/>
          <w:szCs w:val="20"/>
        </w:rPr>
        <w:t xml:space="preserve"> </w:t>
      </w:r>
      <w:r>
        <w:rPr>
          <w:spacing w:val="-2"/>
          <w:sz w:val="20"/>
          <w:szCs w:val="20"/>
        </w:rPr>
        <w:t>维服务中的不足，通过控制费用促进运维服务提供方完善改进；</w:t>
      </w:r>
    </w:p>
    <w:p w14:paraId="33CDD9BB">
      <w:pPr>
        <w:pStyle w:val="2"/>
        <w:spacing w:before="74" w:line="220" w:lineRule="auto"/>
        <w:ind w:left="419"/>
        <w:rPr>
          <w:sz w:val="20"/>
          <w:szCs w:val="20"/>
        </w:rPr>
      </w:pPr>
      <w:r>
        <w:rPr>
          <w:spacing w:val="2"/>
          <w:sz w:val="20"/>
          <w:szCs w:val="20"/>
        </w:rPr>
        <w:t>(2)在没有突发意外的情况下，项目实际费用不应超过项目</w:t>
      </w:r>
      <w:r>
        <w:rPr>
          <w:spacing w:val="1"/>
          <w:sz w:val="20"/>
          <w:szCs w:val="20"/>
        </w:rPr>
        <w:t>计划费用；</w:t>
      </w:r>
    </w:p>
    <w:p w14:paraId="18F7E5AC">
      <w:pPr>
        <w:spacing w:line="220" w:lineRule="auto"/>
        <w:rPr>
          <w:sz w:val="20"/>
          <w:szCs w:val="20"/>
        </w:rPr>
        <w:sectPr>
          <w:pgSz w:w="10300" w:h="13270"/>
          <w:pgMar w:top="319" w:right="573" w:bottom="400" w:left="1110" w:header="0" w:footer="0" w:gutter="0"/>
          <w:cols w:space="720" w:num="1"/>
        </w:sectPr>
      </w:pPr>
    </w:p>
    <w:p w14:paraId="4D33CB9F">
      <w:pPr>
        <w:pStyle w:val="2"/>
        <w:spacing w:before="47" w:line="219" w:lineRule="auto"/>
        <w:rPr>
          <w:sz w:val="19"/>
          <w:szCs w:val="19"/>
        </w:rPr>
      </w:pPr>
      <w:r>
        <w:rPr>
          <w:rFonts w:ascii="Times New Roman" w:hAnsi="Times New Roman" w:eastAsia="Times New Roman" w:cs="Times New Roman"/>
          <w:spacing w:val="5"/>
          <w:sz w:val="19"/>
          <w:szCs w:val="19"/>
        </w:rPr>
        <w:t xml:space="preserve">588              </w:t>
      </w:r>
      <w:r>
        <w:rPr>
          <w:spacing w:val="5"/>
          <w:sz w:val="19"/>
          <w:szCs w:val="19"/>
        </w:rPr>
        <w:t>信息系统监理师教程(第2版)</w:t>
      </w:r>
    </w:p>
    <w:p w14:paraId="320736B2">
      <w:pPr>
        <w:spacing w:line="319" w:lineRule="auto"/>
        <w:rPr>
          <w:rFonts w:ascii="Arial"/>
          <w:sz w:val="21"/>
        </w:rPr>
      </w:pPr>
    </w:p>
    <w:p w14:paraId="13CC50F2">
      <w:pPr>
        <w:pStyle w:val="2"/>
        <w:spacing w:before="62" w:line="219" w:lineRule="auto"/>
        <w:ind w:left="779"/>
        <w:rPr>
          <w:sz w:val="19"/>
          <w:szCs w:val="19"/>
        </w:rPr>
      </w:pPr>
      <w:r>
        <w:rPr>
          <w:spacing w:val="12"/>
          <w:sz w:val="19"/>
          <w:szCs w:val="19"/>
        </w:rPr>
        <w:t>(3)应重视预算阶段的工作，考虑周全，尽量把有限的预算合理化分配；</w:t>
      </w:r>
    </w:p>
    <w:p w14:paraId="50077F3B">
      <w:pPr>
        <w:pStyle w:val="2"/>
        <w:spacing w:before="95" w:line="219" w:lineRule="auto"/>
        <w:ind w:left="779"/>
        <w:rPr>
          <w:sz w:val="19"/>
          <w:szCs w:val="19"/>
        </w:rPr>
      </w:pPr>
      <w:r>
        <w:rPr>
          <w:spacing w:val="11"/>
          <w:sz w:val="19"/>
          <w:szCs w:val="19"/>
        </w:rPr>
        <w:t>(4)以动态控制原则为指导进行费用计划值与实际值的比较；</w:t>
      </w:r>
    </w:p>
    <w:p w14:paraId="607C379E">
      <w:pPr>
        <w:pStyle w:val="2"/>
        <w:spacing w:before="94" w:line="219" w:lineRule="auto"/>
        <w:ind w:left="779"/>
        <w:rPr>
          <w:sz w:val="19"/>
          <w:szCs w:val="19"/>
        </w:rPr>
      </w:pPr>
      <w:r>
        <w:rPr>
          <w:spacing w:val="11"/>
          <w:sz w:val="19"/>
          <w:szCs w:val="19"/>
        </w:rPr>
        <w:t>(5)有必要使用信息化手段辅助控制费用，尤其是对绩效考核的奖惩，功过不能相抵。</w:t>
      </w:r>
    </w:p>
    <w:p w14:paraId="38B32DA7">
      <w:pPr>
        <w:pStyle w:val="2"/>
        <w:spacing w:before="160" w:line="221" w:lineRule="auto"/>
        <w:ind w:left="782"/>
        <w:rPr>
          <w:rFonts w:ascii="黑体" w:hAnsi="黑体" w:eastAsia="黑体" w:cs="黑体"/>
          <w:sz w:val="19"/>
          <w:szCs w:val="19"/>
        </w:rPr>
      </w:pPr>
      <w:bookmarkStart w:id="780" w:name="bookmark765"/>
      <w:bookmarkEnd w:id="780"/>
      <w:r>
        <w:rPr>
          <w:b/>
          <w:bCs/>
          <w:color w:val="1C98D6"/>
          <w:spacing w:val="7"/>
          <w:sz w:val="19"/>
          <w:szCs w:val="19"/>
        </w:rPr>
        <w:t>3.</w:t>
      </w:r>
      <w:r>
        <w:rPr>
          <w:rFonts w:ascii="黑体" w:hAnsi="黑体" w:eastAsia="黑体" w:cs="黑体"/>
          <w:b/>
          <w:bCs/>
          <w:color w:val="1C98D6"/>
          <w:spacing w:val="7"/>
          <w:sz w:val="19"/>
          <w:szCs w:val="19"/>
        </w:rPr>
        <w:t>投资控制的方法</w:t>
      </w:r>
    </w:p>
    <w:p w14:paraId="20000319">
      <w:pPr>
        <w:pStyle w:val="2"/>
        <w:spacing w:before="156" w:line="302" w:lineRule="auto"/>
        <w:ind w:left="400" w:right="67" w:firstLine="379"/>
        <w:jc w:val="both"/>
        <w:rPr>
          <w:sz w:val="19"/>
          <w:szCs w:val="19"/>
        </w:rPr>
      </w:pPr>
      <w:r>
        <w:rPr>
          <w:spacing w:val="14"/>
          <w:sz w:val="19"/>
          <w:szCs w:val="19"/>
        </w:rPr>
        <w:t>投资控制的主要方法是要求运维服务提供方</w:t>
      </w:r>
      <w:r>
        <w:rPr>
          <w:spacing w:val="13"/>
          <w:sz w:val="19"/>
          <w:szCs w:val="19"/>
        </w:rPr>
        <w:t>定期上报费用报告或阶段支付申请，由监理机</w:t>
      </w:r>
      <w:r>
        <w:rPr>
          <w:sz w:val="19"/>
          <w:szCs w:val="19"/>
        </w:rPr>
        <w:t xml:space="preserve"> </w:t>
      </w:r>
      <w:r>
        <w:rPr>
          <w:spacing w:val="13"/>
          <w:sz w:val="19"/>
          <w:szCs w:val="19"/>
        </w:rPr>
        <w:t xml:space="preserve">构对其进行费用审核，以保证各种支出的合法性，同时将已经发生的费用与预算进行比对，分 </w:t>
      </w:r>
      <w:r>
        <w:rPr>
          <w:spacing w:val="8"/>
          <w:sz w:val="19"/>
          <w:szCs w:val="19"/>
        </w:rPr>
        <w:t>析是否超支，并采取相应的措施加以弥补。</w:t>
      </w:r>
    </w:p>
    <w:p w14:paraId="63C07370">
      <w:pPr>
        <w:pStyle w:val="2"/>
        <w:spacing w:before="28" w:line="219" w:lineRule="auto"/>
        <w:ind w:left="779"/>
        <w:rPr>
          <w:sz w:val="19"/>
          <w:szCs w:val="19"/>
        </w:rPr>
      </w:pPr>
      <w:r>
        <w:rPr>
          <w:spacing w:val="9"/>
          <w:sz w:val="19"/>
          <w:szCs w:val="19"/>
        </w:rPr>
        <w:t>对固定运行维护费和不固定运行维护费一般采用</w:t>
      </w:r>
      <w:r>
        <w:rPr>
          <w:spacing w:val="8"/>
          <w:sz w:val="19"/>
          <w:szCs w:val="19"/>
        </w:rPr>
        <w:t>不同的控制方法。</w:t>
      </w:r>
    </w:p>
    <w:p w14:paraId="544AD83B">
      <w:pPr>
        <w:spacing w:before="163" w:line="225" w:lineRule="auto"/>
        <w:ind w:left="779"/>
        <w:rPr>
          <w:rFonts w:ascii="楷体" w:hAnsi="楷体" w:eastAsia="楷体" w:cs="楷体"/>
          <w:sz w:val="19"/>
          <w:szCs w:val="19"/>
        </w:rPr>
      </w:pPr>
      <w:r>
        <w:rPr>
          <w:rFonts w:ascii="楷体" w:hAnsi="楷体" w:eastAsia="楷体" w:cs="楷体"/>
          <w:spacing w:val="15"/>
          <w:sz w:val="19"/>
          <w:szCs w:val="19"/>
        </w:rPr>
        <w:t>1)固定运行维护费的控制方法</w:t>
      </w:r>
    </w:p>
    <w:p w14:paraId="31E7360B">
      <w:pPr>
        <w:pStyle w:val="2"/>
        <w:spacing w:before="80" w:line="296" w:lineRule="auto"/>
        <w:ind w:left="400" w:firstLine="379"/>
        <w:rPr>
          <w:sz w:val="19"/>
          <w:szCs w:val="19"/>
        </w:rPr>
      </w:pPr>
      <w:r>
        <w:rPr>
          <w:spacing w:val="14"/>
          <w:sz w:val="19"/>
          <w:szCs w:val="19"/>
        </w:rPr>
        <w:t>如果运行维护合同签订的是固定运行维护费</w:t>
      </w:r>
      <w:r>
        <w:rPr>
          <w:spacing w:val="13"/>
          <w:sz w:val="19"/>
          <w:szCs w:val="19"/>
        </w:rPr>
        <w:t>，监理机构应跟踪合同执行全部过程，分块评</w:t>
      </w:r>
      <w:r>
        <w:rPr>
          <w:sz w:val="19"/>
          <w:szCs w:val="19"/>
        </w:rPr>
        <w:t xml:space="preserve">  </w:t>
      </w:r>
      <w:r>
        <w:rPr>
          <w:spacing w:val="13"/>
          <w:sz w:val="19"/>
          <w:szCs w:val="19"/>
        </w:rPr>
        <w:t>价运行维护服务商对每部分合同内容的执行情况。根据合同条款判断是否应该</w:t>
      </w:r>
      <w:r>
        <w:rPr>
          <w:spacing w:val="12"/>
          <w:sz w:val="19"/>
          <w:szCs w:val="19"/>
        </w:rPr>
        <w:t>支付运维服务提</w:t>
      </w:r>
      <w:r>
        <w:rPr>
          <w:sz w:val="19"/>
          <w:szCs w:val="19"/>
        </w:rPr>
        <w:t xml:space="preserve">  </w:t>
      </w:r>
      <w:r>
        <w:rPr>
          <w:spacing w:val="15"/>
          <w:sz w:val="19"/>
          <w:szCs w:val="19"/>
        </w:rPr>
        <w:t>供方的阶段费用。如果出现不建议支付的情况，应向业主单位提交专题监理报告，说明原</w:t>
      </w:r>
      <w:r>
        <w:rPr>
          <w:spacing w:val="14"/>
          <w:sz w:val="19"/>
          <w:szCs w:val="19"/>
        </w:rPr>
        <w:t>因。</w:t>
      </w:r>
      <w:r>
        <w:rPr>
          <w:sz w:val="19"/>
          <w:szCs w:val="19"/>
        </w:rPr>
        <w:t xml:space="preserve"> </w:t>
      </w:r>
      <w:r>
        <w:rPr>
          <w:spacing w:val="13"/>
          <w:sz w:val="19"/>
          <w:szCs w:val="19"/>
        </w:rPr>
        <w:t>同时约请用户与运维服务提供方面谈，指出问题，要求整改，整改完成后再评价</w:t>
      </w:r>
      <w:r>
        <w:rPr>
          <w:spacing w:val="12"/>
          <w:sz w:val="19"/>
          <w:szCs w:val="19"/>
        </w:rPr>
        <w:t>该阶段运行维</w:t>
      </w:r>
      <w:r>
        <w:rPr>
          <w:sz w:val="19"/>
          <w:szCs w:val="19"/>
        </w:rPr>
        <w:t xml:space="preserve">  </w:t>
      </w:r>
      <w:r>
        <w:rPr>
          <w:spacing w:val="6"/>
          <w:sz w:val="19"/>
          <w:szCs w:val="19"/>
        </w:rPr>
        <w:t>护费可否支付。</w:t>
      </w:r>
    </w:p>
    <w:p w14:paraId="4351CD9F">
      <w:pPr>
        <w:spacing w:before="126" w:line="225" w:lineRule="auto"/>
        <w:ind w:left="779"/>
        <w:rPr>
          <w:rFonts w:ascii="楷体" w:hAnsi="楷体" w:eastAsia="楷体" w:cs="楷体"/>
          <w:sz w:val="19"/>
          <w:szCs w:val="19"/>
        </w:rPr>
      </w:pPr>
      <w:r>
        <w:rPr>
          <w:rFonts w:ascii="楷体" w:hAnsi="楷体" w:eastAsia="楷体" w:cs="楷体"/>
          <w:spacing w:val="16"/>
          <w:sz w:val="19"/>
          <w:szCs w:val="19"/>
        </w:rPr>
        <w:t>2)不固定运行维护费的控制方法</w:t>
      </w:r>
    </w:p>
    <w:p w14:paraId="4E687BC9">
      <w:pPr>
        <w:pStyle w:val="2"/>
        <w:spacing w:before="90" w:line="292" w:lineRule="auto"/>
        <w:ind w:left="400" w:right="63" w:firstLine="379"/>
        <w:rPr>
          <w:sz w:val="19"/>
          <w:szCs w:val="19"/>
        </w:rPr>
      </w:pPr>
      <w:r>
        <w:rPr>
          <w:spacing w:val="14"/>
          <w:sz w:val="19"/>
          <w:szCs w:val="19"/>
        </w:rPr>
        <w:t>不固定运行维护费是指在运行维护合同中约定发</w:t>
      </w:r>
      <w:r>
        <w:rPr>
          <w:spacing w:val="13"/>
          <w:sz w:val="19"/>
          <w:szCs w:val="19"/>
        </w:rPr>
        <w:t>生某种运行维护事件或工作时，运维服务</w:t>
      </w:r>
      <w:r>
        <w:rPr>
          <w:sz w:val="19"/>
          <w:szCs w:val="19"/>
        </w:rPr>
        <w:t xml:space="preserve"> </w:t>
      </w:r>
      <w:r>
        <w:rPr>
          <w:spacing w:val="13"/>
          <w:sz w:val="19"/>
          <w:szCs w:val="19"/>
        </w:rPr>
        <w:t>提供方应按什么标准进行服务、服务单价是多少、用户按什么标准计算工时、如何支付该项费</w:t>
      </w:r>
      <w:r>
        <w:rPr>
          <w:spacing w:val="17"/>
          <w:sz w:val="19"/>
          <w:szCs w:val="19"/>
        </w:rPr>
        <w:t xml:space="preserve"> </w:t>
      </w:r>
      <w:r>
        <w:rPr>
          <w:spacing w:val="9"/>
          <w:sz w:val="19"/>
          <w:szCs w:val="19"/>
        </w:rPr>
        <w:t>用。在合同签订过程中，监理机构应公平、合理、合规地提出核算过程与建议。</w:t>
      </w:r>
    </w:p>
    <w:p w14:paraId="2F24AF71">
      <w:pPr>
        <w:pStyle w:val="2"/>
        <w:spacing w:before="17" w:line="297" w:lineRule="auto"/>
        <w:ind w:left="400" w:firstLine="379"/>
        <w:rPr>
          <w:sz w:val="19"/>
          <w:szCs w:val="19"/>
        </w:rPr>
      </w:pPr>
      <w:r>
        <w:rPr>
          <w:spacing w:val="13"/>
          <w:sz w:val="19"/>
          <w:szCs w:val="19"/>
        </w:rPr>
        <w:t>不固定运行维护费的计算方法一般是服务单价乘以数量(或工作</w:t>
      </w:r>
      <w:r>
        <w:rPr>
          <w:spacing w:val="12"/>
          <w:sz w:val="19"/>
          <w:szCs w:val="19"/>
        </w:rPr>
        <w:t>量)。监理应掌握运维服务</w:t>
      </w:r>
      <w:r>
        <w:rPr>
          <w:sz w:val="19"/>
          <w:szCs w:val="19"/>
        </w:rPr>
        <w:t xml:space="preserve">  </w:t>
      </w:r>
      <w:r>
        <w:rPr>
          <w:spacing w:val="13"/>
          <w:sz w:val="19"/>
          <w:szCs w:val="19"/>
        </w:rPr>
        <w:t>提供方为此运行维护事件或工作实际付出的工作量，可以通过全过程的质量控制、效能管理等</w:t>
      </w:r>
      <w:r>
        <w:rPr>
          <w:spacing w:val="14"/>
          <w:sz w:val="19"/>
          <w:szCs w:val="19"/>
        </w:rPr>
        <w:t xml:space="preserve"> </w:t>
      </w:r>
      <w:r>
        <w:rPr>
          <w:spacing w:val="13"/>
          <w:sz w:val="19"/>
          <w:szCs w:val="19"/>
        </w:rPr>
        <w:t xml:space="preserve">方式，记录运维服务提供方的实际有效工时，为不固定运行维护费的计算提供依据。同时，监 </w:t>
      </w:r>
      <w:r>
        <w:rPr>
          <w:spacing w:val="10"/>
          <w:sz w:val="19"/>
          <w:szCs w:val="19"/>
        </w:rPr>
        <w:t>理机构还应该严格进行绩效考核工作，如果发现运维服务提供方未能整改或绩效考核结果较差，</w:t>
      </w:r>
      <w:r>
        <w:rPr>
          <w:spacing w:val="4"/>
          <w:sz w:val="19"/>
          <w:szCs w:val="19"/>
        </w:rPr>
        <w:t xml:space="preserve"> </w:t>
      </w:r>
      <w:r>
        <w:rPr>
          <w:spacing w:val="13"/>
          <w:sz w:val="19"/>
          <w:szCs w:val="19"/>
        </w:rPr>
        <w:t>应该根据绩效考核相关规定进行惩罚。因此，运行维护费的总值应该是不固定运行维护费计算</w:t>
      </w:r>
      <w:r>
        <w:rPr>
          <w:spacing w:val="14"/>
          <w:sz w:val="19"/>
          <w:szCs w:val="19"/>
        </w:rPr>
        <w:t xml:space="preserve"> </w:t>
      </w:r>
      <w:r>
        <w:rPr>
          <w:spacing w:val="7"/>
          <w:sz w:val="19"/>
          <w:szCs w:val="19"/>
        </w:rPr>
        <w:t>值与绩效考核奖惩结果的和。</w:t>
      </w:r>
    </w:p>
    <w:p w14:paraId="654BEF08">
      <w:pPr>
        <w:pStyle w:val="2"/>
        <w:spacing w:before="124" w:line="222" w:lineRule="auto"/>
        <w:ind w:left="782"/>
        <w:rPr>
          <w:rFonts w:ascii="黑体" w:hAnsi="黑体" w:eastAsia="黑体" w:cs="黑体"/>
          <w:sz w:val="19"/>
          <w:szCs w:val="19"/>
        </w:rPr>
      </w:pPr>
      <w:r>
        <w:rPr>
          <w:b/>
          <w:bCs/>
          <w:color w:val="0072D6"/>
          <w:spacing w:val="8"/>
          <w:sz w:val="19"/>
          <w:szCs w:val="19"/>
        </w:rPr>
        <w:t>4.</w:t>
      </w:r>
      <w:r>
        <w:rPr>
          <w:rFonts w:ascii="黑体" w:hAnsi="黑体" w:eastAsia="黑体" w:cs="黑体"/>
          <w:b/>
          <w:bCs/>
          <w:color w:val="0072D6"/>
          <w:spacing w:val="8"/>
          <w:sz w:val="19"/>
          <w:szCs w:val="19"/>
        </w:rPr>
        <w:t>投资控制活动及内容</w:t>
      </w:r>
    </w:p>
    <w:p w14:paraId="2BB7E6EA">
      <w:pPr>
        <w:pStyle w:val="2"/>
        <w:spacing w:before="165" w:line="219" w:lineRule="auto"/>
        <w:ind w:left="779"/>
        <w:rPr>
          <w:sz w:val="19"/>
          <w:szCs w:val="19"/>
        </w:rPr>
      </w:pPr>
      <w:r>
        <w:rPr>
          <w:spacing w:val="6"/>
          <w:sz w:val="19"/>
          <w:szCs w:val="19"/>
        </w:rPr>
        <w:t>投资控制活动及内容具体如下：</w:t>
      </w:r>
    </w:p>
    <w:p w14:paraId="55A7C39F">
      <w:pPr>
        <w:pStyle w:val="2"/>
        <w:spacing w:before="85" w:line="265" w:lineRule="auto"/>
        <w:ind w:left="400" w:right="86" w:firstLine="379"/>
        <w:rPr>
          <w:sz w:val="19"/>
          <w:szCs w:val="19"/>
        </w:rPr>
      </w:pPr>
      <w:r>
        <w:rPr>
          <w:spacing w:val="16"/>
          <w:sz w:val="19"/>
          <w:szCs w:val="19"/>
        </w:rPr>
        <w:t>(1)协助业主单位对运维服务提供方的技术方案</w:t>
      </w:r>
      <w:r>
        <w:rPr>
          <w:spacing w:val="15"/>
          <w:sz w:val="19"/>
          <w:szCs w:val="19"/>
        </w:rPr>
        <w:t>、实施方法、管理方案、所采用的运维设</w:t>
      </w:r>
      <w:r>
        <w:rPr>
          <w:sz w:val="19"/>
          <w:szCs w:val="19"/>
        </w:rPr>
        <w:t xml:space="preserve"> </w:t>
      </w:r>
      <w:r>
        <w:rPr>
          <w:spacing w:val="8"/>
          <w:sz w:val="19"/>
          <w:szCs w:val="19"/>
        </w:rPr>
        <w:t>施及设备等方面做出必要的经济可行性评审，并提出有效建议。</w:t>
      </w:r>
    </w:p>
    <w:p w14:paraId="2208BD71">
      <w:pPr>
        <w:pStyle w:val="2"/>
        <w:spacing w:before="62" w:line="266" w:lineRule="auto"/>
        <w:ind w:left="400" w:right="87" w:firstLine="379"/>
        <w:rPr>
          <w:sz w:val="19"/>
          <w:szCs w:val="19"/>
        </w:rPr>
      </w:pPr>
      <w:r>
        <w:rPr>
          <w:spacing w:val="16"/>
          <w:sz w:val="19"/>
          <w:szCs w:val="19"/>
        </w:rPr>
        <w:t>(2)在运行维护实施过程中，按阶段提交运行</w:t>
      </w:r>
      <w:r>
        <w:rPr>
          <w:spacing w:val="15"/>
          <w:sz w:val="19"/>
          <w:szCs w:val="19"/>
        </w:rPr>
        <w:t>维护费用支付情况的监理报告，协助业主单</w:t>
      </w:r>
      <w:r>
        <w:rPr>
          <w:sz w:val="19"/>
          <w:szCs w:val="19"/>
        </w:rPr>
        <w:t xml:space="preserve"> </w:t>
      </w:r>
      <w:r>
        <w:rPr>
          <w:spacing w:val="7"/>
          <w:sz w:val="19"/>
          <w:szCs w:val="19"/>
        </w:rPr>
        <w:t>位掌握运行维护预算执行情况。重点关注：</w:t>
      </w:r>
    </w:p>
    <w:p w14:paraId="0185DB5D">
      <w:pPr>
        <w:pStyle w:val="2"/>
        <w:spacing w:before="93" w:line="256" w:lineRule="auto"/>
        <w:ind w:left="1068" w:right="84" w:hanging="289"/>
        <w:rPr>
          <w:sz w:val="19"/>
          <w:szCs w:val="19"/>
        </w:rPr>
      </w:pPr>
      <w:r>
        <w:rPr>
          <w:spacing w:val="14"/>
          <w:sz w:val="19"/>
          <w:szCs w:val="19"/>
        </w:rPr>
        <w:t>●以年、季度等为周期，审核运维服务提供方的预算</w:t>
      </w:r>
      <w:r>
        <w:rPr>
          <w:spacing w:val="13"/>
          <w:sz w:val="19"/>
          <w:szCs w:val="19"/>
        </w:rPr>
        <w:t>执行情况和支付申请，结合绩效考核</w:t>
      </w:r>
      <w:r>
        <w:rPr>
          <w:sz w:val="19"/>
          <w:szCs w:val="19"/>
        </w:rPr>
        <w:t xml:space="preserve"> </w:t>
      </w:r>
      <w:r>
        <w:rPr>
          <w:spacing w:val="2"/>
          <w:sz w:val="19"/>
          <w:szCs w:val="19"/>
        </w:rPr>
        <w:t>签发支付意见；</w:t>
      </w:r>
    </w:p>
    <w:p w14:paraId="062FF7C9">
      <w:pPr>
        <w:pStyle w:val="2"/>
        <w:spacing w:before="104" w:line="274" w:lineRule="auto"/>
        <w:ind w:left="1068" w:right="20" w:hanging="289"/>
        <w:rPr>
          <w:sz w:val="19"/>
          <w:szCs w:val="19"/>
        </w:rPr>
      </w:pPr>
      <w:r>
        <w:rPr>
          <w:spacing w:val="15"/>
          <w:sz w:val="19"/>
          <w:szCs w:val="19"/>
        </w:rPr>
        <w:t>●针对非固定运行维护费，依据服务标准、工时、付费方式和计费标准等内容进行审核，</w:t>
      </w:r>
      <w:r>
        <w:rPr>
          <w:spacing w:val="9"/>
          <w:sz w:val="19"/>
          <w:szCs w:val="19"/>
        </w:rPr>
        <w:t xml:space="preserve"> </w:t>
      </w:r>
      <w:r>
        <w:rPr>
          <w:spacing w:val="12"/>
          <w:sz w:val="19"/>
          <w:szCs w:val="19"/>
        </w:rPr>
        <w:t>对运维服务提供方的实际有效工时进行记录，并提出核算过程与结</w:t>
      </w:r>
      <w:r>
        <w:rPr>
          <w:spacing w:val="11"/>
          <w:sz w:val="19"/>
          <w:szCs w:val="19"/>
        </w:rPr>
        <w:t>论，结合绩效考核提</w:t>
      </w:r>
      <w:r>
        <w:rPr>
          <w:sz w:val="19"/>
          <w:szCs w:val="19"/>
        </w:rPr>
        <w:t xml:space="preserve"> </w:t>
      </w:r>
      <w:r>
        <w:rPr>
          <w:spacing w:val="5"/>
          <w:sz w:val="19"/>
          <w:szCs w:val="19"/>
        </w:rPr>
        <w:t>出监理意见。</w:t>
      </w:r>
    </w:p>
    <w:p w14:paraId="4AFD322E">
      <w:pPr>
        <w:spacing w:line="274" w:lineRule="auto"/>
        <w:rPr>
          <w:sz w:val="19"/>
          <w:szCs w:val="19"/>
        </w:rPr>
        <w:sectPr>
          <w:pgSz w:w="10320" w:h="13330"/>
          <w:pgMar w:top="400" w:right="994" w:bottom="400" w:left="520" w:header="0" w:footer="0" w:gutter="0"/>
          <w:cols w:space="720" w:num="1"/>
        </w:sectPr>
      </w:pPr>
    </w:p>
    <w:p w14:paraId="204A2CB9">
      <w:pPr>
        <w:pStyle w:val="2"/>
        <w:spacing w:before="37" w:line="219" w:lineRule="auto"/>
        <w:jc w:val="right"/>
        <w:rPr>
          <w:rFonts w:ascii="Times New Roman" w:hAnsi="Times New Roman" w:eastAsia="Times New Roman" w:cs="Times New Roman"/>
          <w:sz w:val="20"/>
          <w:szCs w:val="20"/>
        </w:rPr>
      </w:pPr>
      <w:r>
        <w:rPr>
          <w:spacing w:val="-2"/>
          <w:sz w:val="20"/>
          <w:szCs w:val="20"/>
        </w:rPr>
        <w:t>第25章 运行维护监理</w:t>
      </w:r>
      <w:r>
        <w:rPr>
          <w:spacing w:val="4"/>
          <w:sz w:val="20"/>
          <w:szCs w:val="20"/>
        </w:rPr>
        <w:t xml:space="preserve">      </w:t>
      </w:r>
      <w:r>
        <w:rPr>
          <w:rFonts w:ascii="Times New Roman" w:hAnsi="Times New Roman" w:eastAsia="Times New Roman" w:cs="Times New Roman"/>
          <w:spacing w:val="-2"/>
          <w:position w:val="1"/>
          <w:sz w:val="20"/>
          <w:szCs w:val="20"/>
        </w:rPr>
        <w:t>589</w:t>
      </w:r>
    </w:p>
    <w:p w14:paraId="0CB9FE13">
      <w:pPr>
        <w:spacing w:line="297" w:lineRule="auto"/>
        <w:rPr>
          <w:rFonts w:ascii="Arial"/>
          <w:sz w:val="21"/>
        </w:rPr>
      </w:pPr>
    </w:p>
    <w:p w14:paraId="35CED9F1">
      <w:pPr>
        <w:pStyle w:val="2"/>
        <w:spacing w:before="65" w:line="219" w:lineRule="auto"/>
        <w:ind w:left="399"/>
        <w:rPr>
          <w:sz w:val="20"/>
          <w:szCs w:val="20"/>
        </w:rPr>
      </w:pPr>
      <w:r>
        <w:rPr>
          <w:spacing w:val="2"/>
          <w:sz w:val="20"/>
          <w:szCs w:val="20"/>
        </w:rPr>
        <w:t>(3)针对运行维护过程中的索赔事项，审核各项索赔金额。</w:t>
      </w:r>
    </w:p>
    <w:p w14:paraId="42A11D15">
      <w:pPr>
        <w:pStyle w:val="2"/>
        <w:spacing w:before="92" w:line="249" w:lineRule="auto"/>
        <w:ind w:right="312" w:firstLine="399"/>
        <w:rPr>
          <w:sz w:val="20"/>
          <w:szCs w:val="20"/>
        </w:rPr>
      </w:pPr>
      <w:r>
        <w:rPr>
          <w:spacing w:val="11"/>
          <w:sz w:val="20"/>
          <w:szCs w:val="20"/>
        </w:rPr>
        <w:t>(4)审核运行维护各阶段付款申请，核算运维过程的实际工作量，出具支付意见。重点</w:t>
      </w:r>
      <w:r>
        <w:rPr>
          <w:spacing w:val="17"/>
          <w:sz w:val="20"/>
          <w:szCs w:val="20"/>
        </w:rPr>
        <w:t xml:space="preserve"> </w:t>
      </w:r>
      <w:r>
        <w:rPr>
          <w:spacing w:val="-7"/>
          <w:sz w:val="20"/>
          <w:szCs w:val="20"/>
        </w:rPr>
        <w:t>关注：</w:t>
      </w:r>
    </w:p>
    <w:p w14:paraId="73739751">
      <w:pPr>
        <w:pStyle w:val="2"/>
        <w:spacing w:before="90" w:line="270" w:lineRule="auto"/>
        <w:ind w:left="689" w:right="250" w:hanging="290"/>
        <w:rPr>
          <w:sz w:val="20"/>
          <w:szCs w:val="20"/>
        </w:rPr>
      </w:pPr>
      <w:r>
        <w:rPr>
          <w:spacing w:val="1"/>
          <w:sz w:val="20"/>
          <w:szCs w:val="20"/>
        </w:rPr>
        <w:t>●由总监理工程师依据运行维护合同、</w:t>
      </w:r>
      <w:r>
        <w:rPr>
          <w:spacing w:val="-21"/>
          <w:sz w:val="20"/>
          <w:szCs w:val="20"/>
        </w:rPr>
        <w:t xml:space="preserve"> </w:t>
      </w:r>
      <w:r>
        <w:rPr>
          <w:sz w:val="20"/>
          <w:szCs w:val="20"/>
        </w:rPr>
        <w:t>SLA</w:t>
      </w:r>
      <w:r>
        <w:rPr>
          <w:spacing w:val="28"/>
          <w:sz w:val="20"/>
          <w:szCs w:val="20"/>
        </w:rPr>
        <w:t xml:space="preserve"> </w:t>
      </w:r>
      <w:r>
        <w:rPr>
          <w:spacing w:val="1"/>
          <w:sz w:val="20"/>
          <w:szCs w:val="20"/>
        </w:rPr>
        <w:t>及相关补充协议，审核运维服务提供方提交的</w:t>
      </w:r>
      <w:r>
        <w:rPr>
          <w:sz w:val="20"/>
          <w:szCs w:val="20"/>
        </w:rPr>
        <w:t xml:space="preserve"> </w:t>
      </w:r>
      <w:r>
        <w:rPr>
          <w:spacing w:val="3"/>
          <w:sz w:val="20"/>
          <w:szCs w:val="20"/>
        </w:rPr>
        <w:t>阶段性运行维护总结报告和付款申请，满足付款条件时，总监理工程师签发支付意见，</w:t>
      </w:r>
      <w:r>
        <w:rPr>
          <w:spacing w:val="5"/>
          <w:sz w:val="20"/>
          <w:szCs w:val="20"/>
        </w:rPr>
        <w:t xml:space="preserve"> </w:t>
      </w:r>
      <w:r>
        <w:rPr>
          <w:spacing w:val="-4"/>
          <w:sz w:val="20"/>
          <w:szCs w:val="20"/>
        </w:rPr>
        <w:t>报送业主单位；</w:t>
      </w:r>
    </w:p>
    <w:p w14:paraId="23B06EA2">
      <w:pPr>
        <w:pStyle w:val="2"/>
        <w:spacing w:before="81" w:line="267" w:lineRule="auto"/>
        <w:ind w:left="689" w:right="322" w:hanging="290"/>
        <w:rPr>
          <w:sz w:val="20"/>
          <w:szCs w:val="20"/>
        </w:rPr>
      </w:pPr>
      <w:r>
        <w:rPr>
          <w:spacing w:val="9"/>
          <w:sz w:val="20"/>
          <w:szCs w:val="20"/>
        </w:rPr>
        <w:t>●如果不具备支付条件，或总监理工程师不建议支付，应提出监理意见，对</w:t>
      </w:r>
      <w:r>
        <w:rPr>
          <w:spacing w:val="8"/>
          <w:sz w:val="20"/>
          <w:szCs w:val="20"/>
        </w:rPr>
        <w:t>问题进行说</w:t>
      </w:r>
      <w:r>
        <w:rPr>
          <w:sz w:val="20"/>
          <w:szCs w:val="20"/>
        </w:rPr>
        <w:t xml:space="preserve"> </w:t>
      </w:r>
      <w:r>
        <w:rPr>
          <w:spacing w:val="-3"/>
          <w:sz w:val="20"/>
          <w:szCs w:val="20"/>
        </w:rPr>
        <w:t>明，并要求整改，整改完成后再进行审核。</w:t>
      </w:r>
    </w:p>
    <w:p w14:paraId="4DBF059D">
      <w:pPr>
        <w:pStyle w:val="2"/>
        <w:spacing w:before="261" w:line="220" w:lineRule="auto"/>
        <w:ind w:left="2"/>
        <w:rPr>
          <w:sz w:val="25"/>
          <w:szCs w:val="25"/>
        </w:rPr>
      </w:pPr>
      <w:bookmarkStart w:id="781" w:name="bookmark766"/>
      <w:bookmarkEnd w:id="781"/>
      <w:r>
        <w:rPr>
          <w:b/>
          <w:bCs/>
          <w:color w:val="0085DE"/>
          <w:spacing w:val="-19"/>
          <w:sz w:val="25"/>
          <w:szCs w:val="25"/>
        </w:rPr>
        <w:t>25.3.4</w:t>
      </w:r>
      <w:r>
        <w:rPr>
          <w:color w:val="0085DE"/>
          <w:spacing w:val="-19"/>
          <w:sz w:val="25"/>
          <w:szCs w:val="25"/>
        </w:rPr>
        <w:t xml:space="preserve">  </w:t>
      </w:r>
      <w:r>
        <w:rPr>
          <w:b/>
          <w:bCs/>
          <w:color w:val="0085DE"/>
          <w:spacing w:val="-19"/>
          <w:sz w:val="25"/>
          <w:szCs w:val="25"/>
        </w:rPr>
        <w:t>安全控制</w:t>
      </w:r>
    </w:p>
    <w:p w14:paraId="5537E615">
      <w:pPr>
        <w:pStyle w:val="2"/>
        <w:spacing w:before="248" w:line="221" w:lineRule="auto"/>
        <w:ind w:left="402"/>
        <w:rPr>
          <w:rFonts w:ascii="黑体" w:hAnsi="黑体" w:eastAsia="黑体" w:cs="黑体"/>
          <w:sz w:val="20"/>
          <w:szCs w:val="20"/>
        </w:rPr>
      </w:pPr>
      <w:r>
        <w:rPr>
          <w:b/>
          <w:bCs/>
          <w:color w:val="269AE8"/>
          <w:spacing w:val="-7"/>
          <w:sz w:val="20"/>
          <w:szCs w:val="20"/>
        </w:rPr>
        <w:t>1.</w:t>
      </w:r>
      <w:r>
        <w:rPr>
          <w:rFonts w:ascii="黑体" w:hAnsi="黑体" w:eastAsia="黑体" w:cs="黑体"/>
          <w:b/>
          <w:bCs/>
          <w:color w:val="269AE8"/>
          <w:spacing w:val="-7"/>
          <w:sz w:val="20"/>
          <w:szCs w:val="20"/>
        </w:rPr>
        <w:t>安全控制概述</w:t>
      </w:r>
    </w:p>
    <w:p w14:paraId="1CA275A1">
      <w:pPr>
        <w:pStyle w:val="2"/>
        <w:spacing w:before="134" w:line="287" w:lineRule="auto"/>
        <w:ind w:right="270" w:firstLine="399"/>
        <w:rPr>
          <w:sz w:val="20"/>
          <w:szCs w:val="20"/>
        </w:rPr>
      </w:pPr>
      <w:r>
        <w:rPr>
          <w:sz w:val="20"/>
          <w:szCs w:val="20"/>
        </w:rPr>
        <w:t>信息系统运行维护安全的定义，是确保在信息网络系统进行通信</w:t>
      </w:r>
      <w:r>
        <w:rPr>
          <w:spacing w:val="-1"/>
          <w:sz w:val="20"/>
          <w:szCs w:val="20"/>
        </w:rPr>
        <w:t>、处理和使用的信息内容，</w:t>
      </w:r>
      <w:r>
        <w:rPr>
          <w:sz w:val="20"/>
          <w:szCs w:val="20"/>
        </w:rPr>
        <w:t xml:space="preserve"> </w:t>
      </w:r>
      <w:r>
        <w:rPr>
          <w:spacing w:val="3"/>
          <w:sz w:val="20"/>
          <w:szCs w:val="20"/>
        </w:rPr>
        <w:t>在各个物理位置、逻辑区域、存储和传输介质传输过程中处于动态和静态过程中的保密性、完</w:t>
      </w:r>
      <w:r>
        <w:rPr>
          <w:spacing w:val="16"/>
          <w:sz w:val="20"/>
          <w:szCs w:val="20"/>
        </w:rPr>
        <w:t xml:space="preserve"> </w:t>
      </w:r>
      <w:r>
        <w:rPr>
          <w:spacing w:val="-1"/>
          <w:sz w:val="20"/>
          <w:szCs w:val="20"/>
        </w:rPr>
        <w:t>整性和可用性，以及与人、网络、环境有关的技术安全、结构安全和管理安全的总和。</w:t>
      </w:r>
    </w:p>
    <w:p w14:paraId="0DC7345B">
      <w:pPr>
        <w:pStyle w:val="2"/>
        <w:spacing w:before="10" w:line="288" w:lineRule="auto"/>
        <w:ind w:right="321" w:firstLine="399"/>
        <w:rPr>
          <w:sz w:val="20"/>
          <w:szCs w:val="20"/>
        </w:rPr>
      </w:pPr>
      <w:r>
        <w:rPr>
          <w:spacing w:val="4"/>
          <w:sz w:val="20"/>
          <w:szCs w:val="20"/>
        </w:rPr>
        <w:t>在定义中，人是指信息系统应用的主体，包括</w:t>
      </w:r>
      <w:r>
        <w:rPr>
          <w:spacing w:val="3"/>
          <w:sz w:val="20"/>
          <w:szCs w:val="20"/>
        </w:rPr>
        <w:t>各类用户、支持人员、技术管理人员、行政</w:t>
      </w:r>
      <w:r>
        <w:rPr>
          <w:sz w:val="20"/>
          <w:szCs w:val="20"/>
        </w:rPr>
        <w:t xml:space="preserve"> </w:t>
      </w:r>
      <w:r>
        <w:rPr>
          <w:spacing w:val="3"/>
          <w:sz w:val="20"/>
          <w:szCs w:val="20"/>
        </w:rPr>
        <w:t>管理人员等。网络是指由计算机、网络互连设备、传输介质以及操作系统、通信协议和应用程</w:t>
      </w:r>
      <w:r>
        <w:rPr>
          <w:spacing w:val="13"/>
          <w:sz w:val="20"/>
          <w:szCs w:val="20"/>
        </w:rPr>
        <w:t xml:space="preserve"> </w:t>
      </w:r>
      <w:r>
        <w:rPr>
          <w:spacing w:val="3"/>
          <w:sz w:val="20"/>
          <w:szCs w:val="20"/>
        </w:rPr>
        <w:t>序所构成的物理的和逻辑的完整体系。环境是指系统稳定和可靠运行所需要的保障体系，包括</w:t>
      </w:r>
      <w:r>
        <w:rPr>
          <w:spacing w:val="13"/>
          <w:sz w:val="20"/>
          <w:szCs w:val="20"/>
        </w:rPr>
        <w:t xml:space="preserve"> </w:t>
      </w:r>
      <w:r>
        <w:rPr>
          <w:spacing w:val="-2"/>
          <w:sz w:val="20"/>
          <w:szCs w:val="20"/>
        </w:rPr>
        <w:t>建筑物、机房、电力、保障与备份、应急与恢复体系等。</w:t>
      </w:r>
    </w:p>
    <w:p w14:paraId="48471569">
      <w:pPr>
        <w:pStyle w:val="2"/>
        <w:spacing w:before="23" w:line="279" w:lineRule="auto"/>
        <w:ind w:right="230" w:firstLine="399"/>
        <w:rPr>
          <w:sz w:val="20"/>
          <w:szCs w:val="20"/>
        </w:rPr>
      </w:pPr>
      <w:r>
        <w:rPr>
          <w:spacing w:val="4"/>
          <w:sz w:val="20"/>
          <w:szCs w:val="20"/>
        </w:rPr>
        <w:t>信息系统运行维护安全涵盖了人工和自动信息处</w:t>
      </w:r>
      <w:r>
        <w:rPr>
          <w:spacing w:val="3"/>
          <w:sz w:val="20"/>
          <w:szCs w:val="20"/>
        </w:rPr>
        <w:t>理的安全、网络化和非网络化的信息系统</w:t>
      </w:r>
      <w:r>
        <w:rPr>
          <w:sz w:val="20"/>
          <w:szCs w:val="20"/>
        </w:rPr>
        <w:t xml:space="preserve">  </w:t>
      </w:r>
      <w:r>
        <w:rPr>
          <w:spacing w:val="1"/>
          <w:sz w:val="20"/>
          <w:szCs w:val="20"/>
        </w:rPr>
        <w:t>运行维护安全，泛指一切以声、光、电信号、磁信号、语音以及</w:t>
      </w:r>
      <w:r>
        <w:rPr>
          <w:sz w:val="20"/>
          <w:szCs w:val="20"/>
        </w:rPr>
        <w:t xml:space="preserve">约定形式为载体的信息的安全。 </w:t>
      </w:r>
      <w:r>
        <w:rPr>
          <w:spacing w:val="4"/>
          <w:sz w:val="20"/>
          <w:szCs w:val="20"/>
        </w:rPr>
        <w:t>总体来说，信息系统运行维护安全就是要保证信息系</w:t>
      </w:r>
      <w:r>
        <w:rPr>
          <w:spacing w:val="3"/>
          <w:sz w:val="20"/>
          <w:szCs w:val="20"/>
        </w:rPr>
        <w:t>统的用户在允许的时间内，从允许的地点</w:t>
      </w:r>
      <w:r>
        <w:rPr>
          <w:sz w:val="20"/>
          <w:szCs w:val="20"/>
        </w:rPr>
        <w:t xml:space="preserve">  </w:t>
      </w:r>
      <w:r>
        <w:rPr>
          <w:spacing w:val="-2"/>
          <w:sz w:val="20"/>
          <w:szCs w:val="20"/>
        </w:rPr>
        <w:t>通过允许的方法对允许范围内的信息进行所允许的处理。</w:t>
      </w:r>
    </w:p>
    <w:p w14:paraId="617D6260">
      <w:pPr>
        <w:pStyle w:val="2"/>
        <w:spacing w:before="28" w:line="219" w:lineRule="auto"/>
        <w:ind w:left="399"/>
        <w:rPr>
          <w:sz w:val="20"/>
          <w:szCs w:val="20"/>
        </w:rPr>
      </w:pPr>
      <w:r>
        <w:rPr>
          <w:spacing w:val="-1"/>
          <w:sz w:val="20"/>
          <w:szCs w:val="20"/>
        </w:rPr>
        <w:t>信息系统运行维护安全的具体含义和侧重点会随着观察者的角度而不断</w:t>
      </w:r>
      <w:r>
        <w:rPr>
          <w:spacing w:val="-2"/>
          <w:sz w:val="20"/>
          <w:szCs w:val="20"/>
        </w:rPr>
        <w:t>变化。</w:t>
      </w:r>
    </w:p>
    <w:p w14:paraId="4F24F64D">
      <w:pPr>
        <w:pStyle w:val="2"/>
        <w:spacing w:before="54" w:line="281" w:lineRule="auto"/>
        <w:ind w:right="307" w:firstLine="399"/>
        <w:rPr>
          <w:sz w:val="20"/>
          <w:szCs w:val="20"/>
        </w:rPr>
      </w:pPr>
      <w:r>
        <w:rPr>
          <w:spacing w:val="6"/>
          <w:sz w:val="20"/>
          <w:szCs w:val="20"/>
        </w:rPr>
        <w:t>(1)从用户的角度看，个人用户最关心的是如何保证个人隐私，企业用户最关心</w:t>
      </w:r>
      <w:r>
        <w:rPr>
          <w:spacing w:val="5"/>
          <w:sz w:val="20"/>
          <w:szCs w:val="20"/>
        </w:rPr>
        <w:t>的是如何</w:t>
      </w:r>
      <w:r>
        <w:rPr>
          <w:sz w:val="20"/>
          <w:szCs w:val="20"/>
        </w:rPr>
        <w:t xml:space="preserve"> </w:t>
      </w:r>
      <w:r>
        <w:rPr>
          <w:spacing w:val="3"/>
          <w:sz w:val="20"/>
          <w:szCs w:val="20"/>
        </w:rPr>
        <w:t>保证涉及商业利益的数据安全。个人数据或企业信息在传输过程中要保证其受到保密性、完整</w:t>
      </w:r>
      <w:r>
        <w:rPr>
          <w:spacing w:val="16"/>
          <w:sz w:val="20"/>
          <w:szCs w:val="20"/>
        </w:rPr>
        <w:t xml:space="preserve"> </w:t>
      </w:r>
      <w:r>
        <w:rPr>
          <w:spacing w:val="4"/>
          <w:sz w:val="20"/>
          <w:szCs w:val="20"/>
        </w:rPr>
        <w:t>性和可用性的保护，避免其他人利用窃听、冒充、</w:t>
      </w:r>
      <w:r>
        <w:rPr>
          <w:spacing w:val="3"/>
          <w:sz w:val="20"/>
          <w:szCs w:val="20"/>
        </w:rPr>
        <w:t>篡改、抵赖等手段，对其利益和隐私造成损</w:t>
      </w:r>
      <w:r>
        <w:rPr>
          <w:sz w:val="20"/>
          <w:szCs w:val="20"/>
        </w:rPr>
        <w:t xml:space="preserve"> </w:t>
      </w:r>
      <w:r>
        <w:rPr>
          <w:spacing w:val="4"/>
          <w:sz w:val="20"/>
          <w:szCs w:val="20"/>
        </w:rPr>
        <w:t>害和侵犯。同时用户也希望自己保存在某个网络信息系统中的数</w:t>
      </w:r>
      <w:r>
        <w:rPr>
          <w:spacing w:val="3"/>
          <w:sz w:val="20"/>
          <w:szCs w:val="20"/>
        </w:rPr>
        <w:t>据不会被其他非授权用户访问</w:t>
      </w:r>
      <w:r>
        <w:rPr>
          <w:sz w:val="20"/>
          <w:szCs w:val="20"/>
        </w:rPr>
        <w:t xml:space="preserve"> </w:t>
      </w:r>
      <w:r>
        <w:rPr>
          <w:spacing w:val="-8"/>
          <w:sz w:val="20"/>
          <w:szCs w:val="20"/>
        </w:rPr>
        <w:t>和破坏。</w:t>
      </w:r>
    </w:p>
    <w:p w14:paraId="0D9FC2DD">
      <w:pPr>
        <w:pStyle w:val="2"/>
        <w:spacing w:before="36" w:line="258" w:lineRule="auto"/>
        <w:ind w:right="313" w:firstLine="399"/>
        <w:rPr>
          <w:sz w:val="20"/>
          <w:szCs w:val="20"/>
        </w:rPr>
      </w:pPr>
      <w:r>
        <w:rPr>
          <w:spacing w:val="6"/>
          <w:sz w:val="20"/>
          <w:szCs w:val="20"/>
        </w:rPr>
        <w:t>(2)从网络运行和管理者的角度看，最关心的是如何保护和控制其他人对本地网络信息的</w:t>
      </w:r>
      <w:r>
        <w:rPr>
          <w:spacing w:val="4"/>
          <w:sz w:val="20"/>
          <w:szCs w:val="20"/>
        </w:rPr>
        <w:t xml:space="preserve"> 访问、读写等操作。例如，避免出现漏洞陷阱、病</w:t>
      </w:r>
      <w:r>
        <w:rPr>
          <w:spacing w:val="3"/>
          <w:sz w:val="20"/>
          <w:szCs w:val="20"/>
        </w:rPr>
        <w:t>毒、非法存取、拒绝服务和网络资源非法占</w:t>
      </w:r>
      <w:r>
        <w:rPr>
          <w:sz w:val="20"/>
          <w:szCs w:val="20"/>
        </w:rPr>
        <w:t xml:space="preserve"> </w:t>
      </w:r>
      <w:r>
        <w:rPr>
          <w:spacing w:val="-2"/>
          <w:sz w:val="20"/>
          <w:szCs w:val="20"/>
        </w:rPr>
        <w:t>用和非法控制等现象，制止和防御网络“黑客”的攻击。</w:t>
      </w:r>
    </w:p>
    <w:p w14:paraId="14A0D8EE">
      <w:pPr>
        <w:pStyle w:val="2"/>
        <w:spacing w:before="82" w:line="264" w:lineRule="auto"/>
        <w:ind w:right="318" w:firstLine="399"/>
        <w:rPr>
          <w:sz w:val="20"/>
          <w:szCs w:val="20"/>
        </w:rPr>
      </w:pPr>
      <w:r>
        <w:rPr>
          <w:spacing w:val="6"/>
          <w:sz w:val="20"/>
          <w:szCs w:val="20"/>
        </w:rPr>
        <w:t>(3)从安全保密部门和国家行政部门的角度看，最关心的是如何对非法的、有害的或涉及</w:t>
      </w:r>
      <w:r>
        <w:rPr>
          <w:sz w:val="20"/>
          <w:szCs w:val="20"/>
        </w:rPr>
        <w:t xml:space="preserve"> </w:t>
      </w:r>
      <w:r>
        <w:rPr>
          <w:spacing w:val="3"/>
          <w:sz w:val="20"/>
          <w:szCs w:val="20"/>
        </w:rPr>
        <w:t>国家机密的信息进行有效过滤和防堵，避免非法泄露。机密敏感的信息被泄露将会对社会的安</w:t>
      </w:r>
      <w:r>
        <w:rPr>
          <w:spacing w:val="17"/>
          <w:sz w:val="20"/>
          <w:szCs w:val="20"/>
        </w:rPr>
        <w:t xml:space="preserve"> </w:t>
      </w:r>
      <w:r>
        <w:rPr>
          <w:spacing w:val="-1"/>
          <w:sz w:val="20"/>
          <w:szCs w:val="20"/>
        </w:rPr>
        <w:t>定产生危害，对国家造成巨大的经济损失和政治损失。</w:t>
      </w:r>
    </w:p>
    <w:p w14:paraId="31315F45">
      <w:pPr>
        <w:pStyle w:val="2"/>
        <w:spacing w:before="51" w:line="262" w:lineRule="auto"/>
        <w:ind w:right="342" w:firstLine="399"/>
        <w:rPr>
          <w:sz w:val="20"/>
          <w:szCs w:val="20"/>
        </w:rPr>
      </w:pPr>
      <w:r>
        <w:rPr>
          <w:spacing w:val="5"/>
          <w:sz w:val="20"/>
          <w:szCs w:val="20"/>
        </w:rPr>
        <w:t>(4)从社会教育和意识形态角度看，最关心的是如何杜绝和控制网络上不健康的内容，避</w:t>
      </w:r>
      <w:r>
        <w:rPr>
          <w:spacing w:val="16"/>
          <w:sz w:val="20"/>
          <w:szCs w:val="20"/>
        </w:rPr>
        <w:t xml:space="preserve"> </w:t>
      </w:r>
      <w:r>
        <w:rPr>
          <w:spacing w:val="-2"/>
          <w:sz w:val="20"/>
          <w:szCs w:val="20"/>
        </w:rPr>
        <w:t>免其对社会的稳定和人类的发展造成不良影响。</w:t>
      </w:r>
    </w:p>
    <w:p w14:paraId="79EFBEF5">
      <w:pPr>
        <w:spacing w:line="262" w:lineRule="auto"/>
        <w:rPr>
          <w:sz w:val="20"/>
          <w:szCs w:val="20"/>
        </w:rPr>
        <w:sectPr>
          <w:pgSz w:w="10300" w:h="13300"/>
          <w:pgMar w:top="400" w:right="549" w:bottom="400" w:left="1090" w:header="0" w:footer="0" w:gutter="0"/>
          <w:cols w:space="720" w:num="1"/>
        </w:sectPr>
      </w:pPr>
    </w:p>
    <w:p w14:paraId="4B667D92">
      <w:pPr>
        <w:pStyle w:val="2"/>
        <w:rPr>
          <w:sz w:val="19"/>
          <w:szCs w:val="19"/>
        </w:rPr>
      </w:pPr>
      <w:bookmarkStart w:id="782" w:name="bookmark767"/>
      <w:bookmarkEnd w:id="782"/>
      <w:r>
        <w:rPr>
          <w:rFonts w:ascii="Times New Roman" w:hAnsi="Times New Roman" w:eastAsia="Times New Roman" w:cs="Times New Roman"/>
          <w:b/>
          <w:bCs/>
          <w:spacing w:val="4"/>
          <w:position w:val="1"/>
          <w:sz w:val="17"/>
          <w:szCs w:val="17"/>
        </w:rPr>
        <w:t>590</w:t>
      </w:r>
      <w:r>
        <w:rPr>
          <w:rFonts w:ascii="Times New Roman" w:hAnsi="Times New Roman" w:eastAsia="Times New Roman" w:cs="Times New Roman"/>
          <w:b/>
          <w:bCs/>
          <w:spacing w:val="18"/>
          <w:w w:val="101"/>
          <w:position w:val="1"/>
          <w:sz w:val="17"/>
          <w:szCs w:val="17"/>
        </w:rPr>
        <w:t xml:space="preserve">  </w:t>
      </w:r>
      <w:r>
        <w:rPr>
          <w:position w:val="-12"/>
          <w:sz w:val="17"/>
          <w:szCs w:val="17"/>
        </w:rPr>
        <w:drawing>
          <wp:inline distT="0" distB="0" distL="0" distR="0">
            <wp:extent cx="297815" cy="247650"/>
            <wp:effectExtent l="0" t="0" r="0" b="0"/>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379"/>
                    <a:stretch>
                      <a:fillRect/>
                    </a:stretch>
                  </pic:blipFill>
                  <pic:spPr>
                    <a:xfrm>
                      <a:off x="0" y="0"/>
                      <a:ext cx="298443" cy="247651"/>
                    </a:xfrm>
                    <a:prstGeom prst="rect">
                      <a:avLst/>
                    </a:prstGeom>
                  </pic:spPr>
                </pic:pic>
              </a:graphicData>
            </a:graphic>
          </wp:inline>
        </w:drawing>
      </w:r>
      <w:r>
        <w:rPr>
          <w:rFonts w:ascii="Times New Roman" w:hAnsi="Times New Roman" w:eastAsia="Times New Roman" w:cs="Times New Roman"/>
          <w:b/>
          <w:bCs/>
          <w:spacing w:val="1"/>
          <w:position w:val="1"/>
          <w:sz w:val="17"/>
          <w:szCs w:val="17"/>
        </w:rPr>
        <w:t xml:space="preserve">   </w:t>
      </w:r>
      <w:r>
        <w:rPr>
          <w:spacing w:val="4"/>
          <w:sz w:val="19"/>
          <w:szCs w:val="19"/>
        </w:rPr>
        <w:t>信息系统监理师教程(第2版)</w:t>
      </w:r>
    </w:p>
    <w:p w14:paraId="3012089B">
      <w:pPr>
        <w:spacing w:line="245" w:lineRule="auto"/>
        <w:rPr>
          <w:rFonts w:ascii="Arial"/>
          <w:sz w:val="21"/>
        </w:rPr>
      </w:pPr>
    </w:p>
    <w:p w14:paraId="1798FB00">
      <w:pPr>
        <w:pStyle w:val="2"/>
        <w:spacing w:before="62" w:line="304" w:lineRule="auto"/>
        <w:ind w:left="359" w:right="47" w:firstLine="399"/>
        <w:jc w:val="both"/>
        <w:rPr>
          <w:sz w:val="19"/>
          <w:szCs w:val="19"/>
        </w:rPr>
      </w:pPr>
      <w:r>
        <w:rPr>
          <w:spacing w:val="13"/>
          <w:sz w:val="19"/>
          <w:szCs w:val="19"/>
        </w:rPr>
        <w:t>目前，信息系统运行维护在企业和政府组织中得到了真正的广泛应用。许多组织</w:t>
      </w:r>
      <w:r>
        <w:rPr>
          <w:spacing w:val="12"/>
          <w:sz w:val="19"/>
          <w:szCs w:val="19"/>
        </w:rPr>
        <w:t>对其信息</w:t>
      </w:r>
      <w:r>
        <w:rPr>
          <w:sz w:val="19"/>
          <w:szCs w:val="19"/>
        </w:rPr>
        <w:t xml:space="preserve"> </w:t>
      </w:r>
      <w:r>
        <w:rPr>
          <w:spacing w:val="13"/>
          <w:sz w:val="19"/>
          <w:szCs w:val="19"/>
        </w:rPr>
        <w:t>系统不断增长的依赖性，加上在信息系统上运作业务的风险、收益和机会，使</w:t>
      </w:r>
      <w:r>
        <w:rPr>
          <w:spacing w:val="12"/>
          <w:sz w:val="19"/>
          <w:szCs w:val="19"/>
        </w:rPr>
        <w:t>得信息和信息系</w:t>
      </w:r>
      <w:r>
        <w:rPr>
          <w:sz w:val="19"/>
          <w:szCs w:val="19"/>
        </w:rPr>
        <w:t xml:space="preserve"> </w:t>
      </w:r>
      <w:r>
        <w:rPr>
          <w:spacing w:val="13"/>
          <w:sz w:val="19"/>
          <w:szCs w:val="19"/>
        </w:rPr>
        <w:t>统运行维护安全成为各个组织管理中越来越关键的部分。</w:t>
      </w:r>
      <w:r>
        <w:rPr>
          <w:spacing w:val="12"/>
          <w:sz w:val="19"/>
          <w:szCs w:val="19"/>
        </w:rPr>
        <w:t>同时也要注意，对于信息化的不同应</w:t>
      </w:r>
      <w:r>
        <w:rPr>
          <w:sz w:val="19"/>
          <w:szCs w:val="19"/>
        </w:rPr>
        <w:t xml:space="preserve"> </w:t>
      </w:r>
      <w:r>
        <w:rPr>
          <w:spacing w:val="7"/>
          <w:sz w:val="19"/>
          <w:szCs w:val="19"/>
        </w:rPr>
        <w:t>用，安全的策略和安全管理的目的也有所不同。</w:t>
      </w:r>
    </w:p>
    <w:p w14:paraId="3D8C478C">
      <w:pPr>
        <w:pStyle w:val="2"/>
        <w:spacing w:before="154" w:line="219" w:lineRule="auto"/>
        <w:ind w:left="762"/>
        <w:rPr>
          <w:sz w:val="19"/>
          <w:szCs w:val="19"/>
        </w:rPr>
      </w:pPr>
      <w:r>
        <w:rPr>
          <w:b/>
          <w:bCs/>
          <w:color w:val="007EC7"/>
          <w:spacing w:val="9"/>
          <w:sz w:val="19"/>
          <w:szCs w:val="19"/>
        </w:rPr>
        <w:t>2.安全控制活动及内容</w:t>
      </w:r>
    </w:p>
    <w:p w14:paraId="013150F6">
      <w:pPr>
        <w:pStyle w:val="2"/>
        <w:spacing w:before="137" w:line="219" w:lineRule="auto"/>
        <w:ind w:left="759"/>
        <w:rPr>
          <w:sz w:val="19"/>
          <w:szCs w:val="19"/>
        </w:rPr>
      </w:pPr>
      <w:r>
        <w:rPr>
          <w:spacing w:val="6"/>
          <w:sz w:val="19"/>
          <w:szCs w:val="19"/>
        </w:rPr>
        <w:t>安全控制活动及内容具体如下：</w:t>
      </w:r>
    </w:p>
    <w:p w14:paraId="2A8439F3">
      <w:pPr>
        <w:pStyle w:val="2"/>
        <w:spacing w:before="84" w:line="270" w:lineRule="auto"/>
        <w:ind w:left="359" w:right="55" w:firstLine="399"/>
        <w:rPr>
          <w:sz w:val="19"/>
          <w:szCs w:val="19"/>
        </w:rPr>
      </w:pPr>
      <w:r>
        <w:rPr>
          <w:spacing w:val="15"/>
          <w:sz w:val="19"/>
          <w:szCs w:val="19"/>
        </w:rPr>
        <w:t>(1)协助业主单位根据系统的可用性、保密性、完整性及可维护性等方面</w:t>
      </w:r>
      <w:r>
        <w:rPr>
          <w:spacing w:val="14"/>
          <w:sz w:val="19"/>
          <w:szCs w:val="19"/>
        </w:rPr>
        <w:t>，评审安全运行</w:t>
      </w:r>
      <w:r>
        <w:rPr>
          <w:sz w:val="19"/>
          <w:szCs w:val="19"/>
        </w:rPr>
        <w:t xml:space="preserve"> </w:t>
      </w:r>
      <w:r>
        <w:rPr>
          <w:spacing w:val="7"/>
          <w:sz w:val="19"/>
          <w:szCs w:val="19"/>
        </w:rPr>
        <w:t>保障方案，避免引起技术及管理方面的冲突。</w:t>
      </w:r>
    </w:p>
    <w:p w14:paraId="0754FB13">
      <w:pPr>
        <w:pStyle w:val="2"/>
        <w:spacing w:before="85" w:line="220" w:lineRule="auto"/>
        <w:ind w:left="759"/>
        <w:rPr>
          <w:sz w:val="19"/>
          <w:szCs w:val="19"/>
        </w:rPr>
      </w:pPr>
      <w:r>
        <w:rPr>
          <w:spacing w:val="11"/>
          <w:sz w:val="19"/>
          <w:szCs w:val="19"/>
        </w:rPr>
        <w:t>(2)协助业主单位进行运行维护安全规划</w:t>
      </w:r>
      <w:r>
        <w:rPr>
          <w:spacing w:val="10"/>
          <w:sz w:val="19"/>
          <w:szCs w:val="19"/>
        </w:rPr>
        <w:t>。主要包括：</w:t>
      </w:r>
    </w:p>
    <w:p w14:paraId="5AC9371B">
      <w:pPr>
        <w:pStyle w:val="2"/>
        <w:spacing w:before="93" w:line="219" w:lineRule="auto"/>
        <w:ind w:left="759"/>
        <w:rPr>
          <w:sz w:val="19"/>
          <w:szCs w:val="19"/>
        </w:rPr>
      </w:pPr>
      <w:r>
        <w:rPr>
          <w:spacing w:val="8"/>
          <w:sz w:val="19"/>
          <w:szCs w:val="19"/>
        </w:rPr>
        <w:t>●</w:t>
      </w:r>
      <w:r>
        <w:rPr>
          <w:spacing w:val="-55"/>
          <w:sz w:val="19"/>
          <w:szCs w:val="19"/>
        </w:rPr>
        <w:t xml:space="preserve"> </w:t>
      </w:r>
      <w:r>
        <w:rPr>
          <w:spacing w:val="8"/>
          <w:sz w:val="19"/>
          <w:szCs w:val="19"/>
        </w:rPr>
        <w:t>人员安全管理；</w:t>
      </w:r>
    </w:p>
    <w:p w14:paraId="46FD8A83">
      <w:pPr>
        <w:pStyle w:val="2"/>
        <w:spacing w:before="115" w:line="220" w:lineRule="auto"/>
        <w:ind w:left="759"/>
        <w:rPr>
          <w:sz w:val="19"/>
          <w:szCs w:val="19"/>
        </w:rPr>
      </w:pPr>
      <w:r>
        <w:rPr>
          <w:spacing w:val="12"/>
          <w:sz w:val="19"/>
          <w:szCs w:val="19"/>
        </w:rPr>
        <w:t>●物理与环境保护；</w:t>
      </w:r>
    </w:p>
    <w:p w14:paraId="357766ED">
      <w:pPr>
        <w:pStyle w:val="2"/>
        <w:spacing w:before="93" w:line="219" w:lineRule="auto"/>
        <w:ind w:left="759"/>
        <w:rPr>
          <w:sz w:val="19"/>
          <w:szCs w:val="19"/>
        </w:rPr>
      </w:pPr>
      <w:r>
        <w:rPr>
          <w:spacing w:val="9"/>
          <w:sz w:val="19"/>
          <w:szCs w:val="19"/>
        </w:rPr>
        <w:t>●</w:t>
      </w:r>
      <w:r>
        <w:rPr>
          <w:spacing w:val="-63"/>
          <w:sz w:val="19"/>
          <w:szCs w:val="19"/>
        </w:rPr>
        <w:t xml:space="preserve"> </w:t>
      </w:r>
      <w:r>
        <w:rPr>
          <w:spacing w:val="9"/>
          <w:sz w:val="19"/>
          <w:szCs w:val="19"/>
        </w:rPr>
        <w:t>输入输出控制；</w:t>
      </w:r>
    </w:p>
    <w:p w14:paraId="21CB1B9C">
      <w:pPr>
        <w:pStyle w:val="2"/>
        <w:spacing w:before="94" w:line="219" w:lineRule="auto"/>
        <w:ind w:left="759"/>
        <w:rPr>
          <w:sz w:val="19"/>
          <w:szCs w:val="19"/>
        </w:rPr>
      </w:pPr>
      <w:r>
        <w:rPr>
          <w:spacing w:val="12"/>
          <w:sz w:val="19"/>
          <w:szCs w:val="19"/>
        </w:rPr>
        <w:t>●突发事件应急计划；</w:t>
      </w:r>
    </w:p>
    <w:p w14:paraId="1B8B152C">
      <w:pPr>
        <w:pStyle w:val="2"/>
        <w:spacing w:before="95" w:line="219" w:lineRule="auto"/>
        <w:ind w:left="759"/>
        <w:rPr>
          <w:sz w:val="19"/>
          <w:szCs w:val="19"/>
        </w:rPr>
      </w:pPr>
      <w:r>
        <w:rPr>
          <w:spacing w:val="13"/>
          <w:sz w:val="19"/>
          <w:szCs w:val="19"/>
        </w:rPr>
        <w:t>●数据完整性与有效性；</w:t>
      </w:r>
    </w:p>
    <w:p w14:paraId="36AB3C83">
      <w:pPr>
        <w:pStyle w:val="2"/>
        <w:spacing w:before="105" w:line="219" w:lineRule="auto"/>
        <w:ind w:left="759"/>
        <w:rPr>
          <w:sz w:val="19"/>
          <w:szCs w:val="19"/>
        </w:rPr>
      </w:pPr>
      <w:r>
        <w:rPr>
          <w:spacing w:val="8"/>
          <w:sz w:val="19"/>
          <w:szCs w:val="19"/>
        </w:rPr>
        <w:t>●</w:t>
      </w:r>
      <w:r>
        <w:rPr>
          <w:spacing w:val="-55"/>
          <w:sz w:val="19"/>
          <w:szCs w:val="19"/>
        </w:rPr>
        <w:t xml:space="preserve"> </w:t>
      </w:r>
      <w:r>
        <w:rPr>
          <w:spacing w:val="8"/>
          <w:sz w:val="19"/>
          <w:szCs w:val="19"/>
        </w:rPr>
        <w:t>文档安全管理；</w:t>
      </w:r>
    </w:p>
    <w:p w14:paraId="6CBBC9BA">
      <w:pPr>
        <w:pStyle w:val="2"/>
        <w:spacing w:before="94" w:line="219" w:lineRule="auto"/>
        <w:ind w:left="759"/>
        <w:rPr>
          <w:sz w:val="19"/>
          <w:szCs w:val="19"/>
        </w:rPr>
      </w:pPr>
      <w:r>
        <w:rPr>
          <w:spacing w:val="12"/>
          <w:sz w:val="19"/>
          <w:szCs w:val="19"/>
        </w:rPr>
        <w:t>●安全教育与培训。</w:t>
      </w:r>
    </w:p>
    <w:p w14:paraId="5BD417EA">
      <w:pPr>
        <w:pStyle w:val="2"/>
        <w:spacing w:before="104" w:line="260" w:lineRule="auto"/>
        <w:ind w:left="359" w:firstLine="399"/>
        <w:rPr>
          <w:sz w:val="19"/>
          <w:szCs w:val="19"/>
        </w:rPr>
      </w:pPr>
      <w:r>
        <w:rPr>
          <w:spacing w:val="22"/>
          <w:sz w:val="19"/>
          <w:szCs w:val="19"/>
        </w:rPr>
        <w:t>(3)督促运维服务提供方提高安全意识，建</w:t>
      </w:r>
      <w:r>
        <w:rPr>
          <w:spacing w:val="21"/>
          <w:sz w:val="19"/>
          <w:szCs w:val="19"/>
        </w:rPr>
        <w:t>立安全操作规范，严格执行安全操作规范，</w:t>
      </w:r>
      <w:r>
        <w:rPr>
          <w:sz w:val="19"/>
          <w:szCs w:val="19"/>
        </w:rPr>
        <w:t xml:space="preserve"> </w:t>
      </w:r>
      <w:r>
        <w:rPr>
          <w:spacing w:val="13"/>
          <w:sz w:val="19"/>
          <w:szCs w:val="19"/>
        </w:rPr>
        <w:t>检查运维服务提供方是否存在安全隐患行为，并进行安全绩效考核。安</w:t>
      </w:r>
      <w:r>
        <w:rPr>
          <w:spacing w:val="12"/>
          <w:sz w:val="19"/>
          <w:szCs w:val="19"/>
        </w:rPr>
        <w:t>全操作规范主要包括：</w:t>
      </w:r>
    </w:p>
    <w:p w14:paraId="5B473F13">
      <w:pPr>
        <w:pStyle w:val="2"/>
        <w:spacing w:before="86" w:line="219" w:lineRule="auto"/>
        <w:ind w:left="759"/>
        <w:rPr>
          <w:sz w:val="19"/>
          <w:szCs w:val="19"/>
        </w:rPr>
      </w:pPr>
      <w:r>
        <w:rPr>
          <w:spacing w:val="10"/>
          <w:sz w:val="19"/>
          <w:szCs w:val="19"/>
        </w:rPr>
        <w:t>●运行维护操作环境出入管理制度；</w:t>
      </w:r>
    </w:p>
    <w:p w14:paraId="2BDE3CAE">
      <w:pPr>
        <w:pStyle w:val="2"/>
        <w:spacing w:before="104" w:line="219" w:lineRule="auto"/>
        <w:ind w:left="759"/>
        <w:rPr>
          <w:sz w:val="19"/>
          <w:szCs w:val="19"/>
        </w:rPr>
      </w:pPr>
      <w:r>
        <w:rPr>
          <w:spacing w:val="12"/>
          <w:sz w:val="19"/>
          <w:szCs w:val="19"/>
        </w:rPr>
        <w:t>●运行维护工作操作规程；</w:t>
      </w:r>
    </w:p>
    <w:p w14:paraId="67361616">
      <w:pPr>
        <w:pStyle w:val="2"/>
        <w:spacing w:before="95" w:line="220" w:lineRule="auto"/>
        <w:ind w:left="759"/>
        <w:rPr>
          <w:sz w:val="19"/>
          <w:szCs w:val="19"/>
        </w:rPr>
      </w:pPr>
      <w:r>
        <w:rPr>
          <w:spacing w:val="11"/>
          <w:sz w:val="19"/>
          <w:szCs w:val="19"/>
        </w:rPr>
        <w:t>●运行维护升级、维护制度；</w:t>
      </w:r>
    </w:p>
    <w:p w14:paraId="793A3943">
      <w:pPr>
        <w:pStyle w:val="2"/>
        <w:spacing w:before="103" w:line="219" w:lineRule="auto"/>
        <w:ind w:left="759"/>
        <w:rPr>
          <w:sz w:val="19"/>
          <w:szCs w:val="19"/>
        </w:rPr>
      </w:pPr>
      <w:r>
        <w:rPr>
          <w:spacing w:val="10"/>
          <w:sz w:val="19"/>
          <w:szCs w:val="19"/>
        </w:rPr>
        <w:t>●运行维护工作人员人事管理制度；</w:t>
      </w:r>
    </w:p>
    <w:p w14:paraId="5ED294B3">
      <w:pPr>
        <w:pStyle w:val="2"/>
        <w:spacing w:before="95" w:line="219" w:lineRule="auto"/>
        <w:ind w:left="759"/>
        <w:rPr>
          <w:sz w:val="19"/>
          <w:szCs w:val="19"/>
        </w:rPr>
      </w:pPr>
      <w:r>
        <w:rPr>
          <w:spacing w:val="12"/>
          <w:sz w:val="19"/>
          <w:szCs w:val="19"/>
        </w:rPr>
        <w:t>●运行维护安全检查制度；</w:t>
      </w:r>
    </w:p>
    <w:p w14:paraId="04630AAC">
      <w:pPr>
        <w:pStyle w:val="2"/>
        <w:spacing w:before="95" w:line="220" w:lineRule="auto"/>
        <w:ind w:left="759"/>
        <w:rPr>
          <w:sz w:val="19"/>
          <w:szCs w:val="19"/>
        </w:rPr>
      </w:pPr>
      <w:r>
        <w:rPr>
          <w:spacing w:val="12"/>
          <w:sz w:val="19"/>
          <w:szCs w:val="19"/>
        </w:rPr>
        <w:t>●运行维护应急制度；</w:t>
      </w:r>
    </w:p>
    <w:p w14:paraId="5025596E">
      <w:pPr>
        <w:pStyle w:val="2"/>
        <w:spacing w:before="93" w:line="219" w:lineRule="auto"/>
        <w:ind w:left="759"/>
        <w:rPr>
          <w:sz w:val="19"/>
          <w:szCs w:val="19"/>
        </w:rPr>
      </w:pPr>
      <w:r>
        <w:rPr>
          <w:spacing w:val="11"/>
          <w:sz w:val="19"/>
          <w:szCs w:val="19"/>
        </w:rPr>
        <w:t>●运行维护信息资料管理制度；</w:t>
      </w:r>
    </w:p>
    <w:p w14:paraId="336A94E2">
      <w:pPr>
        <w:pStyle w:val="2"/>
        <w:spacing w:before="105" w:line="219" w:lineRule="auto"/>
        <w:ind w:left="759"/>
        <w:rPr>
          <w:sz w:val="19"/>
          <w:szCs w:val="19"/>
        </w:rPr>
      </w:pPr>
      <w:r>
        <w:rPr>
          <w:spacing w:val="10"/>
          <w:sz w:val="19"/>
          <w:szCs w:val="19"/>
        </w:rPr>
        <w:t>●运行维护工作人员安全教育、培训制度；</w:t>
      </w:r>
    </w:p>
    <w:p w14:paraId="27DD362A">
      <w:pPr>
        <w:pStyle w:val="2"/>
        <w:spacing w:before="93" w:line="219" w:lineRule="auto"/>
        <w:ind w:left="759"/>
        <w:rPr>
          <w:sz w:val="19"/>
          <w:szCs w:val="19"/>
        </w:rPr>
      </w:pPr>
      <w:r>
        <w:rPr>
          <w:spacing w:val="11"/>
          <w:sz w:val="19"/>
          <w:szCs w:val="19"/>
        </w:rPr>
        <w:t>●运行维护工作人员任职、休假制度。</w:t>
      </w:r>
    </w:p>
    <w:p w14:paraId="5FFAE5F0">
      <w:pPr>
        <w:pStyle w:val="2"/>
        <w:spacing w:before="95" w:line="219" w:lineRule="auto"/>
        <w:ind w:left="759"/>
        <w:rPr>
          <w:sz w:val="19"/>
          <w:szCs w:val="19"/>
        </w:rPr>
      </w:pPr>
      <w:r>
        <w:rPr>
          <w:spacing w:val="10"/>
          <w:sz w:val="19"/>
          <w:szCs w:val="19"/>
        </w:rPr>
        <w:t>(4)督促运行维护服务商进行信息系统运维安全管理教育。主要包括：</w:t>
      </w:r>
    </w:p>
    <w:p w14:paraId="6CE01FDE">
      <w:pPr>
        <w:pStyle w:val="2"/>
        <w:spacing w:before="86" w:line="219" w:lineRule="auto"/>
        <w:ind w:left="759"/>
        <w:rPr>
          <w:sz w:val="19"/>
          <w:szCs w:val="19"/>
        </w:rPr>
      </w:pPr>
      <w:r>
        <w:rPr>
          <w:spacing w:val="11"/>
          <w:sz w:val="19"/>
          <w:szCs w:val="19"/>
        </w:rPr>
        <w:t>●运行维护相关法律法规教育；</w:t>
      </w:r>
    </w:p>
    <w:p w14:paraId="20197C79">
      <w:pPr>
        <w:pStyle w:val="2"/>
        <w:spacing w:before="94" w:line="219" w:lineRule="auto"/>
        <w:ind w:left="759"/>
        <w:rPr>
          <w:sz w:val="19"/>
          <w:szCs w:val="19"/>
        </w:rPr>
      </w:pPr>
      <w:r>
        <w:rPr>
          <w:spacing w:val="11"/>
          <w:sz w:val="19"/>
          <w:szCs w:val="19"/>
        </w:rPr>
        <w:t>●运行维护安全基础知识教育；</w:t>
      </w:r>
    </w:p>
    <w:p w14:paraId="7CA21AD0">
      <w:pPr>
        <w:pStyle w:val="2"/>
        <w:spacing w:before="75" w:line="219" w:lineRule="auto"/>
        <w:ind w:left="759"/>
        <w:rPr>
          <w:sz w:val="19"/>
          <w:szCs w:val="19"/>
        </w:rPr>
      </w:pPr>
      <w:r>
        <w:rPr>
          <w:spacing w:val="13"/>
          <w:sz w:val="19"/>
          <w:szCs w:val="19"/>
        </w:rPr>
        <w:t>●运行维护职业道德教育。</w:t>
      </w:r>
    </w:p>
    <w:p w14:paraId="325EE37F">
      <w:pPr>
        <w:pStyle w:val="2"/>
        <w:spacing w:before="273" w:line="219" w:lineRule="auto"/>
        <w:ind w:left="363"/>
        <w:rPr>
          <w:sz w:val="25"/>
          <w:szCs w:val="25"/>
        </w:rPr>
      </w:pPr>
      <w:r>
        <w:rPr>
          <w:b/>
          <w:bCs/>
          <w:color w:val="0066C0"/>
          <w:spacing w:val="-16"/>
          <w:sz w:val="25"/>
          <w:szCs w:val="25"/>
        </w:rPr>
        <w:t>25.3.5</w:t>
      </w:r>
      <w:r>
        <w:rPr>
          <w:color w:val="0066C0"/>
          <w:spacing w:val="80"/>
          <w:sz w:val="25"/>
          <w:szCs w:val="25"/>
        </w:rPr>
        <w:t xml:space="preserve"> </w:t>
      </w:r>
      <w:r>
        <w:rPr>
          <w:b/>
          <w:bCs/>
          <w:color w:val="0066C0"/>
          <w:spacing w:val="-16"/>
          <w:sz w:val="25"/>
          <w:szCs w:val="25"/>
        </w:rPr>
        <w:t>合同管理</w:t>
      </w:r>
    </w:p>
    <w:p w14:paraId="77FCB59C">
      <w:pPr>
        <w:pStyle w:val="2"/>
        <w:spacing w:before="145" w:line="219" w:lineRule="auto"/>
        <w:ind w:left="759"/>
        <w:rPr>
          <w:sz w:val="19"/>
          <w:szCs w:val="19"/>
        </w:rPr>
      </w:pPr>
      <w:r>
        <w:rPr>
          <w:spacing w:val="5"/>
          <w:sz w:val="19"/>
          <w:szCs w:val="19"/>
        </w:rPr>
        <w:t>合同管理的主要监理内容具体如下：</w:t>
      </w:r>
    </w:p>
    <w:p w14:paraId="27AD8C6F">
      <w:pPr>
        <w:pStyle w:val="2"/>
        <w:spacing w:before="75" w:line="219" w:lineRule="auto"/>
        <w:ind w:left="759"/>
        <w:rPr>
          <w:sz w:val="19"/>
          <w:szCs w:val="19"/>
        </w:rPr>
      </w:pPr>
      <w:r>
        <w:rPr>
          <w:spacing w:val="11"/>
          <w:sz w:val="19"/>
          <w:szCs w:val="19"/>
        </w:rPr>
        <w:t>(1)监督运行维护合同执行情况，主要包括：</w:t>
      </w:r>
    </w:p>
    <w:p w14:paraId="4DA1E982">
      <w:pPr>
        <w:pStyle w:val="2"/>
        <w:spacing w:before="83" w:line="219" w:lineRule="auto"/>
        <w:ind w:left="759"/>
        <w:rPr>
          <w:sz w:val="19"/>
          <w:szCs w:val="19"/>
        </w:rPr>
      </w:pPr>
      <w:r>
        <w:rPr>
          <w:spacing w:val="10"/>
          <w:sz w:val="19"/>
          <w:szCs w:val="19"/>
        </w:rPr>
        <w:t>●促使项目各方对运行维护合同条款达成一致认识和意见；</w:t>
      </w:r>
    </w:p>
    <w:p w14:paraId="5838DF03">
      <w:pPr>
        <w:spacing w:line="219" w:lineRule="auto"/>
        <w:rPr>
          <w:sz w:val="19"/>
          <w:szCs w:val="19"/>
        </w:rPr>
        <w:sectPr>
          <w:pgSz w:w="10300" w:h="13370"/>
          <w:pgMar w:top="329" w:right="1044" w:bottom="400" w:left="530" w:header="0" w:footer="0" w:gutter="0"/>
          <w:cols w:space="720" w:num="1"/>
        </w:sectPr>
      </w:pPr>
    </w:p>
    <w:p w14:paraId="3E0D3D2F">
      <w:pPr>
        <w:pStyle w:val="2"/>
        <w:spacing w:before="37" w:line="202" w:lineRule="auto"/>
        <w:jc w:val="right"/>
        <w:rPr>
          <w:rFonts w:ascii="Times New Roman" w:hAnsi="Times New Roman" w:eastAsia="Times New Roman" w:cs="Times New Roman"/>
          <w:sz w:val="33"/>
          <w:szCs w:val="33"/>
        </w:rPr>
      </w:pPr>
      <w:r>
        <w:rPr>
          <w:position w:val="2"/>
          <w:sz w:val="20"/>
          <w:szCs w:val="20"/>
        </w:rPr>
        <w:t xml:space="preserve">第25章 运行维护监理      </w:t>
      </w:r>
      <w:r>
        <w:rPr>
          <w:rFonts w:ascii="Times New Roman" w:hAnsi="Times New Roman" w:eastAsia="Times New Roman" w:cs="Times New Roman"/>
          <w:spacing w:val="-47"/>
          <w:position w:val="-5"/>
          <w:sz w:val="33"/>
          <w:szCs w:val="33"/>
        </w:rPr>
        <w:t>59</w:t>
      </w:r>
      <w:r>
        <w:rPr>
          <w:rFonts w:ascii="Times New Roman" w:hAnsi="Times New Roman" w:eastAsia="Times New Roman" w:cs="Times New Roman"/>
          <w:spacing w:val="-41"/>
          <w:position w:val="-5"/>
          <w:sz w:val="33"/>
          <w:szCs w:val="33"/>
        </w:rPr>
        <w:t>1</w:t>
      </w:r>
    </w:p>
    <w:p w14:paraId="1345CE7F">
      <w:pPr>
        <w:pStyle w:val="2"/>
        <w:spacing w:before="281" w:line="219" w:lineRule="auto"/>
        <w:ind w:left="410"/>
        <w:rPr>
          <w:sz w:val="20"/>
          <w:szCs w:val="20"/>
        </w:rPr>
      </w:pPr>
      <w:r>
        <w:rPr>
          <w:sz w:val="20"/>
          <w:szCs w:val="20"/>
        </w:rPr>
        <w:t>●对运行维护成果质量和文档进行检查和验收；</w:t>
      </w:r>
    </w:p>
    <w:p w14:paraId="7BBA838E">
      <w:pPr>
        <w:pStyle w:val="2"/>
        <w:spacing w:before="92" w:line="219" w:lineRule="auto"/>
        <w:ind w:left="410"/>
        <w:rPr>
          <w:sz w:val="20"/>
          <w:szCs w:val="20"/>
        </w:rPr>
      </w:pPr>
      <w:r>
        <w:rPr>
          <w:spacing w:val="1"/>
          <w:sz w:val="20"/>
          <w:szCs w:val="20"/>
        </w:rPr>
        <w:t>●对运行维护费用支付申请进行审核，并签发支付意见。</w:t>
      </w:r>
    </w:p>
    <w:p w14:paraId="543C5054">
      <w:pPr>
        <w:pStyle w:val="2"/>
        <w:spacing w:before="81" w:line="257" w:lineRule="auto"/>
        <w:ind w:right="381" w:firstLine="410"/>
        <w:rPr>
          <w:sz w:val="20"/>
          <w:szCs w:val="20"/>
        </w:rPr>
      </w:pPr>
      <w:r>
        <w:rPr>
          <w:spacing w:val="6"/>
          <w:sz w:val="20"/>
          <w:szCs w:val="20"/>
        </w:rPr>
        <w:t>(2)在发生合同变更或索赔事件时，促使项目各方提交变更</w:t>
      </w:r>
      <w:r>
        <w:rPr>
          <w:spacing w:val="5"/>
          <w:sz w:val="20"/>
          <w:szCs w:val="20"/>
        </w:rPr>
        <w:t>或索赔材料，审查变更或索赔</w:t>
      </w:r>
      <w:r>
        <w:rPr>
          <w:sz w:val="20"/>
          <w:szCs w:val="20"/>
        </w:rPr>
        <w:t xml:space="preserve"> </w:t>
      </w:r>
      <w:r>
        <w:rPr>
          <w:spacing w:val="-3"/>
          <w:sz w:val="20"/>
          <w:szCs w:val="20"/>
        </w:rPr>
        <w:t>材料，做好协调工作并提出监理意见，主要包括：</w:t>
      </w:r>
    </w:p>
    <w:p w14:paraId="63687C23">
      <w:pPr>
        <w:pStyle w:val="2"/>
        <w:spacing w:before="84" w:line="219" w:lineRule="auto"/>
        <w:ind w:left="410"/>
        <w:rPr>
          <w:sz w:val="20"/>
          <w:szCs w:val="20"/>
        </w:rPr>
      </w:pPr>
      <w:r>
        <w:rPr>
          <w:spacing w:val="1"/>
          <w:sz w:val="20"/>
          <w:szCs w:val="20"/>
        </w:rPr>
        <w:t>●积极控制合同变更或索赔事件的发生，审查其必要性、合法性、有效性；</w:t>
      </w:r>
    </w:p>
    <w:p w14:paraId="133DAF51">
      <w:pPr>
        <w:pStyle w:val="2"/>
        <w:spacing w:before="71" w:line="219" w:lineRule="auto"/>
        <w:ind w:left="410"/>
        <w:rPr>
          <w:sz w:val="20"/>
          <w:szCs w:val="20"/>
        </w:rPr>
      </w:pPr>
      <w:r>
        <w:rPr>
          <w:spacing w:val="8"/>
          <w:sz w:val="20"/>
          <w:szCs w:val="20"/>
        </w:rPr>
        <w:t>●积极做好合同变更或索赔协调，协助收集变更或索赔依据，计算相关费用，提出监理</w:t>
      </w:r>
    </w:p>
    <w:p w14:paraId="3417628F">
      <w:pPr>
        <w:pStyle w:val="2"/>
        <w:spacing w:before="153" w:line="219" w:lineRule="auto"/>
        <w:ind w:left="689"/>
        <w:rPr>
          <w:sz w:val="16"/>
          <w:szCs w:val="16"/>
        </w:rPr>
      </w:pPr>
      <w:r>
        <w:rPr>
          <w:spacing w:val="-7"/>
          <w:sz w:val="16"/>
          <w:szCs w:val="16"/>
        </w:rPr>
        <w:t>意</w:t>
      </w:r>
      <w:r>
        <w:rPr>
          <w:spacing w:val="-19"/>
          <w:sz w:val="16"/>
          <w:szCs w:val="16"/>
        </w:rPr>
        <w:t xml:space="preserve"> </w:t>
      </w:r>
      <w:r>
        <w:rPr>
          <w:spacing w:val="-7"/>
          <w:sz w:val="16"/>
          <w:szCs w:val="16"/>
        </w:rPr>
        <w:t>见</w:t>
      </w:r>
      <w:r>
        <w:rPr>
          <w:spacing w:val="-28"/>
          <w:sz w:val="16"/>
          <w:szCs w:val="16"/>
        </w:rPr>
        <w:t xml:space="preserve"> </w:t>
      </w:r>
      <w:r>
        <w:rPr>
          <w:spacing w:val="-7"/>
          <w:sz w:val="16"/>
          <w:szCs w:val="16"/>
        </w:rPr>
        <w:t>。</w:t>
      </w:r>
    </w:p>
    <w:p w14:paraId="37A0C18E">
      <w:pPr>
        <w:pStyle w:val="2"/>
        <w:spacing w:before="100" w:line="275" w:lineRule="auto"/>
        <w:ind w:right="381" w:firstLine="410"/>
        <w:rPr>
          <w:sz w:val="20"/>
          <w:szCs w:val="20"/>
        </w:rPr>
      </w:pPr>
      <w:r>
        <w:rPr>
          <w:spacing w:val="6"/>
          <w:sz w:val="20"/>
          <w:szCs w:val="20"/>
        </w:rPr>
        <w:t>(3)协调项目各方共同建立运行维护合同档案的归档、保存</w:t>
      </w:r>
      <w:r>
        <w:rPr>
          <w:spacing w:val="5"/>
          <w:sz w:val="20"/>
          <w:szCs w:val="20"/>
        </w:rPr>
        <w:t>、借阅等合同管理制度，并监</w:t>
      </w:r>
      <w:r>
        <w:rPr>
          <w:sz w:val="20"/>
          <w:szCs w:val="20"/>
        </w:rPr>
        <w:t xml:space="preserve"> </w:t>
      </w:r>
      <w:r>
        <w:rPr>
          <w:spacing w:val="-4"/>
          <w:sz w:val="20"/>
          <w:szCs w:val="20"/>
        </w:rPr>
        <w:t>督其落实。</w:t>
      </w:r>
    </w:p>
    <w:p w14:paraId="31D03985">
      <w:pPr>
        <w:pStyle w:val="2"/>
        <w:spacing w:before="205" w:line="219" w:lineRule="auto"/>
        <w:ind w:left="3"/>
        <w:rPr>
          <w:sz w:val="25"/>
          <w:szCs w:val="25"/>
        </w:rPr>
      </w:pPr>
      <w:r>
        <w:rPr>
          <w:b/>
          <w:bCs/>
          <w:color w:val="0069E1"/>
          <w:spacing w:val="-16"/>
          <w:sz w:val="25"/>
          <w:szCs w:val="25"/>
        </w:rPr>
        <w:t>25.3.6</w:t>
      </w:r>
      <w:r>
        <w:rPr>
          <w:color w:val="0069E1"/>
          <w:spacing w:val="72"/>
          <w:sz w:val="25"/>
          <w:szCs w:val="25"/>
        </w:rPr>
        <w:t xml:space="preserve"> </w:t>
      </w:r>
      <w:r>
        <w:rPr>
          <w:b/>
          <w:bCs/>
          <w:color w:val="0069E1"/>
          <w:spacing w:val="-16"/>
          <w:sz w:val="25"/>
          <w:szCs w:val="25"/>
        </w:rPr>
        <w:t>文档资料管理</w:t>
      </w:r>
    </w:p>
    <w:p w14:paraId="3B592D4B">
      <w:pPr>
        <w:pStyle w:val="2"/>
        <w:spacing w:before="154" w:line="219" w:lineRule="auto"/>
        <w:ind w:left="410"/>
        <w:rPr>
          <w:sz w:val="20"/>
          <w:szCs w:val="20"/>
        </w:rPr>
      </w:pPr>
      <w:r>
        <w:rPr>
          <w:spacing w:val="-4"/>
          <w:sz w:val="20"/>
          <w:szCs w:val="20"/>
        </w:rPr>
        <w:t>文档资料管理的主要监理内容如下：</w:t>
      </w:r>
    </w:p>
    <w:p w14:paraId="4409EF8C">
      <w:pPr>
        <w:pStyle w:val="2"/>
        <w:spacing w:before="73" w:line="289" w:lineRule="auto"/>
        <w:ind w:right="380" w:firstLine="410"/>
        <w:rPr>
          <w:sz w:val="16"/>
          <w:szCs w:val="16"/>
        </w:rPr>
      </w:pPr>
      <w:r>
        <w:rPr>
          <w:spacing w:val="6"/>
          <w:sz w:val="20"/>
          <w:szCs w:val="20"/>
        </w:rPr>
        <w:t>(1)协助业主单位、运维服务提供方建立运行维护过程的文档管</w:t>
      </w:r>
      <w:r>
        <w:rPr>
          <w:spacing w:val="5"/>
          <w:sz w:val="20"/>
          <w:szCs w:val="20"/>
        </w:rPr>
        <w:t>理体系和管理计划，主要</w:t>
      </w:r>
      <w:r>
        <w:rPr>
          <w:sz w:val="20"/>
          <w:szCs w:val="20"/>
        </w:rPr>
        <w:t xml:space="preserve"> </w:t>
      </w:r>
      <w:r>
        <w:rPr>
          <w:spacing w:val="-5"/>
          <w:sz w:val="16"/>
          <w:szCs w:val="16"/>
        </w:rPr>
        <w:t>包</w:t>
      </w:r>
      <w:r>
        <w:rPr>
          <w:spacing w:val="-16"/>
          <w:sz w:val="16"/>
          <w:szCs w:val="16"/>
        </w:rPr>
        <w:t xml:space="preserve"> </w:t>
      </w:r>
      <w:r>
        <w:rPr>
          <w:spacing w:val="-5"/>
          <w:sz w:val="16"/>
          <w:szCs w:val="16"/>
        </w:rPr>
        <w:t>括</w:t>
      </w:r>
      <w:r>
        <w:rPr>
          <w:spacing w:val="-24"/>
          <w:sz w:val="16"/>
          <w:szCs w:val="16"/>
        </w:rPr>
        <w:t xml:space="preserve"> </w:t>
      </w:r>
      <w:r>
        <w:rPr>
          <w:spacing w:val="-5"/>
          <w:sz w:val="16"/>
          <w:szCs w:val="16"/>
        </w:rPr>
        <w:t>：</w:t>
      </w:r>
    </w:p>
    <w:p w14:paraId="546F0B8A">
      <w:pPr>
        <w:pStyle w:val="2"/>
        <w:spacing w:before="75" w:line="219" w:lineRule="auto"/>
        <w:ind w:left="410"/>
        <w:rPr>
          <w:sz w:val="20"/>
          <w:szCs w:val="20"/>
        </w:rPr>
      </w:pPr>
      <w:r>
        <w:rPr>
          <w:spacing w:val="1"/>
          <w:sz w:val="20"/>
          <w:szCs w:val="20"/>
        </w:rPr>
        <w:t>●明确监理机构对运行维护文档的管理范围；</w:t>
      </w:r>
    </w:p>
    <w:p w14:paraId="44440CF4">
      <w:pPr>
        <w:pStyle w:val="2"/>
        <w:spacing w:before="83" w:line="219" w:lineRule="auto"/>
        <w:ind w:left="410"/>
        <w:rPr>
          <w:sz w:val="20"/>
          <w:szCs w:val="20"/>
        </w:rPr>
      </w:pPr>
      <w:r>
        <w:rPr>
          <w:spacing w:val="1"/>
          <w:sz w:val="20"/>
          <w:szCs w:val="20"/>
        </w:rPr>
        <w:t>●设置监理机构文档管理组织机构及专员；</w:t>
      </w:r>
    </w:p>
    <w:p w14:paraId="420CF3C7">
      <w:pPr>
        <w:pStyle w:val="2"/>
        <w:spacing w:before="93" w:line="219" w:lineRule="auto"/>
        <w:ind w:left="410"/>
        <w:rPr>
          <w:sz w:val="20"/>
          <w:szCs w:val="20"/>
        </w:rPr>
      </w:pPr>
      <w:r>
        <w:rPr>
          <w:sz w:val="20"/>
          <w:szCs w:val="20"/>
        </w:rPr>
        <w:t>●协助运维服务提供方制定运行维护文档管理相关的制度、规范、流程；</w:t>
      </w:r>
    </w:p>
    <w:p w14:paraId="2A5967C2">
      <w:pPr>
        <w:pStyle w:val="2"/>
        <w:spacing w:before="82" w:line="219" w:lineRule="auto"/>
        <w:ind w:left="410"/>
        <w:rPr>
          <w:sz w:val="20"/>
          <w:szCs w:val="20"/>
        </w:rPr>
      </w:pPr>
      <w:r>
        <w:rPr>
          <w:sz w:val="20"/>
          <w:szCs w:val="20"/>
        </w:rPr>
        <w:t>●协助运维服务提供方制定文档分类归档保存管理机制；</w:t>
      </w:r>
    </w:p>
    <w:p w14:paraId="18013155">
      <w:pPr>
        <w:pStyle w:val="2"/>
        <w:spacing w:before="93" w:line="219" w:lineRule="auto"/>
        <w:ind w:left="410"/>
        <w:rPr>
          <w:sz w:val="20"/>
          <w:szCs w:val="20"/>
        </w:rPr>
      </w:pPr>
      <w:r>
        <w:rPr>
          <w:spacing w:val="1"/>
          <w:sz w:val="20"/>
          <w:szCs w:val="20"/>
        </w:rPr>
        <w:t>●监督运维服务提供方进行文档管理体系培训。</w:t>
      </w:r>
    </w:p>
    <w:p w14:paraId="4A54996E">
      <w:pPr>
        <w:pStyle w:val="2"/>
        <w:spacing w:before="83" w:line="219" w:lineRule="auto"/>
        <w:ind w:left="410"/>
        <w:rPr>
          <w:sz w:val="20"/>
          <w:szCs w:val="20"/>
        </w:rPr>
      </w:pPr>
      <w:r>
        <w:rPr>
          <w:spacing w:val="1"/>
          <w:sz w:val="20"/>
          <w:szCs w:val="20"/>
        </w:rPr>
        <w:t>(2)按照运行维护服务过程中统一的表格模板要求，督促各方编制运维文档。</w:t>
      </w:r>
    </w:p>
    <w:p w14:paraId="6C31A519">
      <w:pPr>
        <w:pStyle w:val="2"/>
        <w:spacing w:before="73" w:line="219" w:lineRule="auto"/>
        <w:ind w:left="410"/>
        <w:rPr>
          <w:sz w:val="20"/>
          <w:szCs w:val="20"/>
        </w:rPr>
      </w:pPr>
      <w:r>
        <w:rPr>
          <w:spacing w:val="1"/>
          <w:sz w:val="20"/>
          <w:szCs w:val="20"/>
        </w:rPr>
        <w:t>(3)检查和评审运维服务提供方在运行维护服务过程提交的各类</w:t>
      </w:r>
      <w:r>
        <w:rPr>
          <w:sz w:val="20"/>
          <w:szCs w:val="20"/>
        </w:rPr>
        <w:t>文档和单据。主要包括：</w:t>
      </w:r>
    </w:p>
    <w:p w14:paraId="4A4ABF75">
      <w:pPr>
        <w:pStyle w:val="2"/>
        <w:spacing w:before="84" w:line="281" w:lineRule="auto"/>
        <w:ind w:left="679" w:right="381" w:hanging="269"/>
        <w:rPr>
          <w:sz w:val="16"/>
          <w:szCs w:val="16"/>
        </w:rPr>
      </w:pPr>
      <w:r>
        <w:rPr>
          <w:spacing w:val="3"/>
          <w:sz w:val="20"/>
          <w:szCs w:val="20"/>
        </w:rPr>
        <w:t>●运行维护总控类文档，例如运维合同、运维实施方案、运维技术方案、运维质量保证计</w:t>
      </w:r>
      <w:r>
        <w:rPr>
          <w:spacing w:val="10"/>
          <w:sz w:val="20"/>
          <w:szCs w:val="20"/>
        </w:rPr>
        <w:t xml:space="preserve"> </w:t>
      </w:r>
      <w:r>
        <w:rPr>
          <w:spacing w:val="-5"/>
          <w:sz w:val="16"/>
          <w:szCs w:val="16"/>
        </w:rPr>
        <w:t>划</w:t>
      </w:r>
      <w:r>
        <w:rPr>
          <w:spacing w:val="-11"/>
          <w:sz w:val="16"/>
          <w:szCs w:val="16"/>
        </w:rPr>
        <w:t xml:space="preserve"> </w:t>
      </w:r>
      <w:r>
        <w:rPr>
          <w:spacing w:val="-5"/>
          <w:sz w:val="16"/>
          <w:szCs w:val="16"/>
        </w:rPr>
        <w:t>等</w:t>
      </w:r>
      <w:r>
        <w:rPr>
          <w:spacing w:val="-18"/>
          <w:sz w:val="16"/>
          <w:szCs w:val="16"/>
        </w:rPr>
        <w:t xml:space="preserve"> </w:t>
      </w:r>
      <w:r>
        <w:rPr>
          <w:spacing w:val="-5"/>
          <w:sz w:val="16"/>
          <w:szCs w:val="16"/>
        </w:rPr>
        <w:t>；</w:t>
      </w:r>
    </w:p>
    <w:p w14:paraId="5E76E6DE">
      <w:pPr>
        <w:pStyle w:val="2"/>
        <w:spacing w:before="82" w:line="219" w:lineRule="auto"/>
        <w:ind w:left="410"/>
        <w:rPr>
          <w:sz w:val="20"/>
          <w:szCs w:val="20"/>
        </w:rPr>
      </w:pPr>
      <w:r>
        <w:rPr>
          <w:spacing w:val="3"/>
          <w:sz w:val="20"/>
          <w:szCs w:val="20"/>
        </w:rPr>
        <w:t>●运行维护过程文档，例如方案/计划报审表</w:t>
      </w:r>
      <w:r>
        <w:rPr>
          <w:spacing w:val="2"/>
          <w:sz w:val="20"/>
          <w:szCs w:val="20"/>
        </w:rPr>
        <w:t>、运行维护日志、巡检日志等；</w:t>
      </w:r>
    </w:p>
    <w:p w14:paraId="0CB0FD94">
      <w:pPr>
        <w:pStyle w:val="2"/>
        <w:spacing w:before="81" w:line="218" w:lineRule="auto"/>
        <w:ind w:left="410"/>
        <w:rPr>
          <w:sz w:val="20"/>
          <w:szCs w:val="20"/>
        </w:rPr>
      </w:pPr>
      <w:r>
        <w:rPr>
          <w:sz w:val="20"/>
          <w:szCs w:val="20"/>
        </w:rPr>
        <w:t>●总结类文档，例如项目周报、项目月报、项目总结报告等；</w:t>
      </w:r>
    </w:p>
    <w:p w14:paraId="000EEAA3">
      <w:pPr>
        <w:pStyle w:val="2"/>
        <w:spacing w:before="84" w:line="219" w:lineRule="auto"/>
        <w:ind w:left="410"/>
        <w:rPr>
          <w:sz w:val="20"/>
          <w:szCs w:val="20"/>
        </w:rPr>
      </w:pPr>
      <w:r>
        <w:rPr>
          <w:sz w:val="20"/>
          <w:szCs w:val="20"/>
        </w:rPr>
        <w:t>●验收文档，如验收方案、验收材料等；</w:t>
      </w:r>
    </w:p>
    <w:p w14:paraId="7A5042C6">
      <w:pPr>
        <w:pStyle w:val="2"/>
        <w:spacing w:before="72" w:line="218" w:lineRule="auto"/>
        <w:ind w:left="410"/>
        <w:rPr>
          <w:sz w:val="20"/>
          <w:szCs w:val="20"/>
        </w:rPr>
      </w:pPr>
      <w:r>
        <w:rPr>
          <w:spacing w:val="2"/>
          <w:sz w:val="20"/>
          <w:szCs w:val="20"/>
        </w:rPr>
        <w:t>●监理机构编制运行维护服务评估报告等。</w:t>
      </w:r>
    </w:p>
    <w:p w14:paraId="3BCE9192">
      <w:pPr>
        <w:pStyle w:val="2"/>
        <w:spacing w:before="85" w:line="219" w:lineRule="auto"/>
        <w:ind w:left="410"/>
        <w:rPr>
          <w:sz w:val="20"/>
          <w:szCs w:val="20"/>
        </w:rPr>
      </w:pPr>
      <w:r>
        <w:rPr>
          <w:spacing w:val="1"/>
          <w:sz w:val="20"/>
          <w:szCs w:val="20"/>
        </w:rPr>
        <w:t>(4)督促项目各方落实运行维护文档资料的归档、保存、借阅等的管理要求。</w:t>
      </w:r>
    </w:p>
    <w:p w14:paraId="495F082B">
      <w:pPr>
        <w:pStyle w:val="2"/>
        <w:spacing w:before="242" w:line="219" w:lineRule="auto"/>
        <w:ind w:left="2"/>
        <w:rPr>
          <w:sz w:val="25"/>
          <w:szCs w:val="25"/>
        </w:rPr>
      </w:pPr>
      <w:r>
        <w:rPr>
          <w:b/>
          <w:bCs/>
          <w:color w:val="0061E0"/>
          <w:spacing w:val="-18"/>
          <w:sz w:val="25"/>
          <w:szCs w:val="25"/>
        </w:rPr>
        <w:t>25.3.7</w:t>
      </w:r>
      <w:r>
        <w:rPr>
          <w:color w:val="0061E0"/>
          <w:spacing w:val="3"/>
          <w:sz w:val="25"/>
          <w:szCs w:val="25"/>
        </w:rPr>
        <w:t xml:space="preserve">  </w:t>
      </w:r>
      <w:r>
        <w:rPr>
          <w:b/>
          <w:bCs/>
          <w:color w:val="0061E0"/>
          <w:spacing w:val="-18"/>
          <w:sz w:val="25"/>
          <w:szCs w:val="25"/>
        </w:rPr>
        <w:t>配置管理</w:t>
      </w:r>
    </w:p>
    <w:p w14:paraId="68378ACF">
      <w:pPr>
        <w:pStyle w:val="2"/>
        <w:spacing w:before="251" w:line="221" w:lineRule="auto"/>
        <w:ind w:left="412"/>
        <w:rPr>
          <w:rFonts w:ascii="黑体" w:hAnsi="黑体" w:eastAsia="黑体" w:cs="黑体"/>
          <w:sz w:val="20"/>
          <w:szCs w:val="20"/>
        </w:rPr>
      </w:pPr>
      <w:r>
        <w:rPr>
          <w:b/>
          <w:bCs/>
          <w:color w:val="0067CE"/>
          <w:spacing w:val="-3"/>
          <w:sz w:val="20"/>
          <w:szCs w:val="20"/>
        </w:rPr>
        <w:t>1.</w:t>
      </w:r>
      <w:r>
        <w:rPr>
          <w:rFonts w:ascii="黑体" w:hAnsi="黑体" w:eastAsia="黑体" w:cs="黑体"/>
          <w:b/>
          <w:bCs/>
          <w:color w:val="0067CE"/>
          <w:spacing w:val="-3"/>
          <w:sz w:val="20"/>
          <w:szCs w:val="20"/>
        </w:rPr>
        <w:t>配置管理概述</w:t>
      </w:r>
    </w:p>
    <w:p w14:paraId="0CE5E188">
      <w:pPr>
        <w:pStyle w:val="2"/>
        <w:spacing w:before="114" w:line="277" w:lineRule="auto"/>
        <w:ind w:right="379" w:firstLine="410"/>
        <w:jc w:val="both"/>
        <w:rPr>
          <w:sz w:val="20"/>
          <w:szCs w:val="20"/>
        </w:rPr>
      </w:pPr>
      <w:r>
        <w:rPr>
          <w:spacing w:val="3"/>
          <w:sz w:val="20"/>
          <w:szCs w:val="20"/>
        </w:rPr>
        <w:t>配置管理是运行维护实施阶段重要的管理内容，监理单位通过配置管理过程，监督并核实</w:t>
      </w:r>
      <w:r>
        <w:rPr>
          <w:spacing w:val="12"/>
          <w:sz w:val="20"/>
          <w:szCs w:val="20"/>
        </w:rPr>
        <w:t xml:space="preserve"> </w:t>
      </w:r>
      <w:r>
        <w:rPr>
          <w:rFonts w:ascii="Times New Roman" w:hAnsi="Times New Roman" w:eastAsia="Times New Roman" w:cs="Times New Roman"/>
          <w:sz w:val="20"/>
          <w:szCs w:val="20"/>
        </w:rPr>
        <w:t>IT</w:t>
      </w:r>
      <w:r>
        <w:rPr>
          <w:rFonts w:ascii="Times New Roman" w:hAnsi="Times New Roman" w:eastAsia="Times New Roman" w:cs="Times New Roman"/>
          <w:spacing w:val="5"/>
          <w:sz w:val="20"/>
          <w:szCs w:val="20"/>
        </w:rPr>
        <w:t xml:space="preserve"> </w:t>
      </w:r>
      <w:r>
        <w:rPr>
          <w:spacing w:val="5"/>
          <w:sz w:val="20"/>
          <w:szCs w:val="20"/>
        </w:rPr>
        <w:t>配置项记录的准确性，并维护准确的信息，使其能够为其他的服务管理过程提</w:t>
      </w:r>
      <w:r>
        <w:rPr>
          <w:spacing w:val="4"/>
          <w:sz w:val="20"/>
          <w:szCs w:val="20"/>
        </w:rPr>
        <w:t>供支持(如事</w:t>
      </w:r>
      <w:r>
        <w:rPr>
          <w:sz w:val="20"/>
          <w:szCs w:val="20"/>
        </w:rPr>
        <w:t xml:space="preserve"> </w:t>
      </w:r>
      <w:r>
        <w:rPr>
          <w:spacing w:val="-2"/>
          <w:sz w:val="20"/>
          <w:szCs w:val="20"/>
        </w:rPr>
        <w:t>件管理、问题管理、变更管理和发布管理)。</w:t>
      </w:r>
    </w:p>
    <w:p w14:paraId="38DAF93B">
      <w:pPr>
        <w:pStyle w:val="2"/>
        <w:spacing w:before="20" w:line="274" w:lineRule="auto"/>
        <w:ind w:right="383" w:firstLine="410"/>
        <w:rPr>
          <w:sz w:val="20"/>
          <w:szCs w:val="20"/>
        </w:rPr>
      </w:pPr>
      <w:r>
        <w:rPr>
          <w:spacing w:val="3"/>
          <w:sz w:val="20"/>
          <w:szCs w:val="20"/>
        </w:rPr>
        <w:t>配置管理流程一般包括配置管理规划、配置识别、配置状态记录、配置控制和维护、配置</w:t>
      </w:r>
      <w:r>
        <w:rPr>
          <w:spacing w:val="8"/>
          <w:sz w:val="20"/>
          <w:szCs w:val="20"/>
        </w:rPr>
        <w:t xml:space="preserve"> </w:t>
      </w:r>
      <w:r>
        <w:rPr>
          <w:spacing w:val="1"/>
          <w:sz w:val="20"/>
          <w:szCs w:val="20"/>
        </w:rPr>
        <w:t>审计和验证，如图25-2所示。</w:t>
      </w:r>
    </w:p>
    <w:p w14:paraId="3CA874FB">
      <w:pPr>
        <w:spacing w:line="274" w:lineRule="auto"/>
        <w:rPr>
          <w:sz w:val="20"/>
          <w:szCs w:val="20"/>
        </w:rPr>
        <w:sectPr>
          <w:pgSz w:w="10300" w:h="13320"/>
          <w:pgMar w:top="400" w:right="519" w:bottom="400" w:left="1059" w:header="0" w:footer="0" w:gutter="0"/>
          <w:cols w:space="720" w:num="1"/>
        </w:sectPr>
      </w:pPr>
    </w:p>
    <w:p w14:paraId="30580739">
      <w:pPr>
        <w:pStyle w:val="2"/>
        <w:spacing w:before="47" w:line="219" w:lineRule="auto"/>
        <w:rPr>
          <w:sz w:val="19"/>
          <w:szCs w:val="19"/>
        </w:rPr>
      </w:pPr>
      <w:r>
        <w:rPr>
          <w:rFonts w:ascii="Times New Roman" w:hAnsi="Times New Roman" w:eastAsia="Times New Roman" w:cs="Times New Roman"/>
          <w:spacing w:val="7"/>
          <w:position w:val="-2"/>
          <w:sz w:val="19"/>
          <w:szCs w:val="19"/>
        </w:rPr>
        <w:t>592</w:t>
      </w:r>
      <w:r>
        <w:rPr>
          <w:rFonts w:ascii="Times New Roman" w:hAnsi="Times New Roman" w:eastAsia="Times New Roman" w:cs="Times New Roman"/>
          <w:spacing w:val="1"/>
          <w:position w:val="-2"/>
          <w:sz w:val="19"/>
          <w:szCs w:val="19"/>
        </w:rPr>
        <w:t xml:space="preserve">          </w:t>
      </w:r>
      <w:r>
        <w:rPr>
          <w:spacing w:val="7"/>
          <w:sz w:val="19"/>
          <w:szCs w:val="19"/>
        </w:rPr>
        <w:t>信息系统监理师教程(第2版)</w:t>
      </w:r>
    </w:p>
    <w:p w14:paraId="2B2E53AF">
      <w:pPr>
        <w:spacing w:line="279" w:lineRule="auto"/>
        <w:rPr>
          <w:rFonts w:ascii="Arial"/>
          <w:sz w:val="21"/>
        </w:rPr>
      </w:pPr>
    </w:p>
    <w:p w14:paraId="1237275E">
      <w:pPr>
        <w:pStyle w:val="2"/>
        <w:spacing w:line="2580" w:lineRule="exact"/>
        <w:ind w:firstLine="1510"/>
      </w:pPr>
      <w:r>
        <w:rPr>
          <w:position w:val="-51"/>
        </w:rPr>
        <w:pict>
          <v:group id="_x0000_s1639" o:spid="_x0000_s1639" o:spt="203" style="height:129pt;width:304pt;" coordsize="6080,2580">
            <o:lock v:ext="edit"/>
            <v:shape id="_x0000_s1640" o:spid="_x0000_s1640" o:spt="75" type="#_x0000_t75" style="position:absolute;left:0;top:0;height:2580;width:6080;" filled="f" stroked="f" coordsize="21600,21600">
              <v:path/>
              <v:fill on="f" focussize="0,0"/>
              <v:stroke on="f"/>
              <v:imagedata r:id="rId380" o:title=""/>
              <o:lock v:ext="edit" aspectratio="t"/>
            </v:shape>
            <v:shape id="_x0000_s1641" o:spid="_x0000_s1641" o:spt="202" type="#_x0000_t202" style="position:absolute;left:209;top:251;height:2056;width:599;" filled="f" stroked="f" coordsize="21600,21600">
              <v:path/>
              <v:fill on="f" focussize="0,0"/>
              <v:stroke on="f"/>
              <v:imagedata o:title=""/>
              <o:lock v:ext="edit" aspectratio="f"/>
              <v:textbox inset="0mm,0mm,0mm,0mm">
                <w:txbxContent>
                  <w:p w14:paraId="261F7015">
                    <w:pPr>
                      <w:spacing w:before="20" w:line="220" w:lineRule="auto"/>
                      <w:ind w:left="20" w:right="205"/>
                      <w:rPr>
                        <w:rFonts w:ascii="宋体" w:hAnsi="宋体" w:eastAsia="宋体" w:cs="宋体"/>
                        <w:sz w:val="19"/>
                        <w:szCs w:val="19"/>
                      </w:rPr>
                    </w:pPr>
                    <w:r>
                      <w:rPr>
                        <w:rFonts w:ascii="宋体" w:hAnsi="宋体" w:eastAsia="宋体" w:cs="宋体"/>
                        <w:spacing w:val="-4"/>
                        <w:sz w:val="19"/>
                        <w:szCs w:val="19"/>
                      </w:rPr>
                      <w:t>配置</w:t>
                    </w:r>
                    <w:r>
                      <w:rPr>
                        <w:rFonts w:ascii="宋体" w:hAnsi="宋体" w:eastAsia="宋体" w:cs="宋体"/>
                        <w:sz w:val="19"/>
                        <w:szCs w:val="19"/>
                      </w:rPr>
                      <w:t xml:space="preserve"> </w:t>
                    </w:r>
                    <w:r>
                      <w:rPr>
                        <w:rFonts w:ascii="宋体" w:hAnsi="宋体" w:eastAsia="宋体" w:cs="宋体"/>
                        <w:spacing w:val="-5"/>
                        <w:sz w:val="19"/>
                        <w:szCs w:val="19"/>
                      </w:rPr>
                      <w:t>经理</w:t>
                    </w:r>
                  </w:p>
                  <w:p w14:paraId="34010D82">
                    <w:pPr>
                      <w:spacing w:line="243" w:lineRule="auto"/>
                      <w:rPr>
                        <w:rFonts w:ascii="Arial"/>
                        <w:sz w:val="21"/>
                      </w:rPr>
                    </w:pPr>
                  </w:p>
                  <w:p w14:paraId="23032F70">
                    <w:pPr>
                      <w:spacing w:before="62" w:line="220" w:lineRule="auto"/>
                      <w:ind w:left="20"/>
                      <w:rPr>
                        <w:rFonts w:ascii="宋体" w:hAnsi="宋体" w:eastAsia="宋体" w:cs="宋体"/>
                        <w:sz w:val="19"/>
                        <w:szCs w:val="19"/>
                      </w:rPr>
                    </w:pPr>
                    <w:r>
                      <w:rPr>
                        <w:rFonts w:ascii="宋体" w:hAnsi="宋体" w:eastAsia="宋体" w:cs="宋体"/>
                        <w:spacing w:val="-2"/>
                        <w:sz w:val="19"/>
                        <w:szCs w:val="19"/>
                      </w:rPr>
                      <w:t>配置</w:t>
                    </w:r>
                  </w:p>
                  <w:p w14:paraId="39DC1B2C">
                    <w:pPr>
                      <w:spacing w:line="219" w:lineRule="auto"/>
                      <w:ind w:left="20"/>
                      <w:rPr>
                        <w:rFonts w:ascii="宋体" w:hAnsi="宋体" w:eastAsia="宋体" w:cs="宋体"/>
                        <w:sz w:val="19"/>
                        <w:szCs w:val="19"/>
                      </w:rPr>
                    </w:pPr>
                    <w:r>
                      <w:rPr>
                        <w:rFonts w:ascii="宋体" w:hAnsi="宋体" w:eastAsia="宋体" w:cs="宋体"/>
                        <w:spacing w:val="-3"/>
                        <w:sz w:val="19"/>
                        <w:szCs w:val="19"/>
                      </w:rPr>
                      <w:t>管理员</w:t>
                    </w:r>
                  </w:p>
                  <w:p w14:paraId="078019A0">
                    <w:pPr>
                      <w:spacing w:line="324" w:lineRule="auto"/>
                      <w:rPr>
                        <w:rFonts w:ascii="Arial"/>
                        <w:sz w:val="21"/>
                      </w:rPr>
                    </w:pPr>
                  </w:p>
                  <w:p w14:paraId="36A15A0E">
                    <w:pPr>
                      <w:spacing w:before="62" w:line="220" w:lineRule="auto"/>
                      <w:ind w:left="20" w:right="53"/>
                      <w:rPr>
                        <w:rFonts w:ascii="宋体" w:hAnsi="宋体" w:eastAsia="宋体" w:cs="宋体"/>
                        <w:sz w:val="19"/>
                        <w:szCs w:val="19"/>
                      </w:rPr>
                    </w:pPr>
                    <w:r>
                      <w:rPr>
                        <w:rFonts w:ascii="宋体" w:hAnsi="宋体" w:eastAsia="宋体" w:cs="宋体"/>
                        <w:spacing w:val="-4"/>
                        <w:sz w:val="19"/>
                        <w:szCs w:val="19"/>
                      </w:rPr>
                      <w:t>配置</w:t>
                    </w:r>
                    <w:r>
                      <w:rPr>
                        <w:rFonts w:ascii="宋体" w:hAnsi="宋体" w:eastAsia="宋体" w:cs="宋体"/>
                        <w:sz w:val="19"/>
                        <w:szCs w:val="19"/>
                      </w:rPr>
                      <w:t xml:space="preserve">  </w:t>
                    </w:r>
                    <w:r>
                      <w:rPr>
                        <w:rFonts w:ascii="宋体" w:hAnsi="宋体" w:eastAsia="宋体" w:cs="宋体"/>
                        <w:spacing w:val="-16"/>
                        <w:sz w:val="19"/>
                        <w:szCs w:val="19"/>
                      </w:rPr>
                      <w:t>审核员</w:t>
                    </w:r>
                  </w:p>
                </w:txbxContent>
              </v:textbox>
            </v:shape>
            <v:shape id="_x0000_s1642" o:spid="_x0000_s1642" o:spt="202" type="#_x0000_t202" style="position:absolute;left:1339;top:231;height:447;width:744;" filled="f" stroked="f" coordsize="21600,21600">
              <v:path/>
              <v:fill on="f" focussize="0,0"/>
              <v:stroke on="f"/>
              <v:imagedata o:title=""/>
              <o:lock v:ext="edit" aspectratio="f"/>
              <v:textbox inset="0mm,0mm,0mm,0mm">
                <w:txbxContent>
                  <w:p w14:paraId="7EA491B1">
                    <w:pPr>
                      <w:spacing w:before="19" w:line="215" w:lineRule="auto"/>
                      <w:ind w:left="20" w:right="20" w:firstLine="160"/>
                      <w:rPr>
                        <w:rFonts w:ascii="宋体" w:hAnsi="宋体" w:eastAsia="宋体" w:cs="宋体"/>
                        <w:sz w:val="19"/>
                        <w:szCs w:val="19"/>
                      </w:rPr>
                    </w:pPr>
                    <w:r>
                      <w:rPr>
                        <w:rFonts w:ascii="宋体" w:hAnsi="宋体" w:eastAsia="宋体" w:cs="宋体"/>
                        <w:spacing w:val="-4"/>
                        <w:sz w:val="19"/>
                        <w:szCs w:val="19"/>
                      </w:rPr>
                      <w:t>配置</w:t>
                    </w:r>
                    <w:r>
                      <w:rPr>
                        <w:rFonts w:ascii="宋体" w:hAnsi="宋体" w:eastAsia="宋体" w:cs="宋体"/>
                        <w:sz w:val="19"/>
                        <w:szCs w:val="19"/>
                      </w:rPr>
                      <w:t xml:space="preserve">   </w:t>
                    </w:r>
                    <w:r>
                      <w:rPr>
                        <w:rFonts w:ascii="宋体" w:hAnsi="宋体" w:eastAsia="宋体" w:cs="宋体"/>
                        <w:spacing w:val="-15"/>
                        <w:sz w:val="19"/>
                        <w:szCs w:val="19"/>
                      </w:rPr>
                      <w:t>管理规</w:t>
                    </w:r>
                    <w:r>
                      <w:rPr>
                        <w:rFonts w:ascii="宋体" w:hAnsi="宋体" w:eastAsia="宋体" w:cs="宋体"/>
                        <w:color w:val="0095EC"/>
                        <w:spacing w:val="-15"/>
                        <w:sz w:val="19"/>
                        <w:szCs w:val="19"/>
                      </w:rPr>
                      <w:t>划</w:t>
                    </w:r>
                  </w:p>
                </w:txbxContent>
              </v:textbox>
            </v:shape>
            <v:shape id="_x0000_s1643" o:spid="_x0000_s1643" o:spt="202" type="#_x0000_t202" style="position:absolute;left:3239;top:1038;height:420;width:751;" filled="f" stroked="f" coordsize="21600,21600">
              <v:path/>
              <v:fill on="f" focussize="0,0"/>
              <v:stroke on="f"/>
              <v:imagedata o:title=""/>
              <o:lock v:ext="edit" aspectratio="f"/>
              <v:textbox inset="0mm,0mm,0mm,0mm">
                <w:txbxContent>
                  <w:p w14:paraId="1607942F">
                    <w:pPr>
                      <w:spacing w:before="20" w:line="202" w:lineRule="auto"/>
                      <w:ind w:left="100" w:right="20" w:hanging="80"/>
                      <w:rPr>
                        <w:rFonts w:ascii="宋体" w:hAnsi="宋体" w:eastAsia="宋体" w:cs="宋体"/>
                        <w:sz w:val="19"/>
                        <w:szCs w:val="19"/>
                      </w:rPr>
                    </w:pPr>
                    <w:r>
                      <w:rPr>
                        <w:rFonts w:ascii="宋体" w:hAnsi="宋体" w:eastAsia="宋体" w:cs="宋体"/>
                        <w:spacing w:val="-13"/>
                        <w:sz w:val="19"/>
                        <w:szCs w:val="19"/>
                      </w:rPr>
                      <w:t>配置控</w:t>
                    </w:r>
                    <w:r>
                      <w:rPr>
                        <w:rFonts w:ascii="宋体" w:hAnsi="宋体" w:eastAsia="宋体" w:cs="宋体"/>
                        <w:color w:val="139EDA"/>
                        <w:spacing w:val="-13"/>
                        <w:sz w:val="19"/>
                        <w:szCs w:val="19"/>
                      </w:rPr>
                      <w:t>制</w:t>
                    </w:r>
                    <w:r>
                      <w:rPr>
                        <w:rFonts w:ascii="宋体" w:hAnsi="宋体" w:eastAsia="宋体" w:cs="宋体"/>
                        <w:color w:val="139EDA"/>
                        <w:spacing w:val="2"/>
                        <w:sz w:val="19"/>
                        <w:szCs w:val="19"/>
                      </w:rPr>
                      <w:t xml:space="preserve"> </w:t>
                    </w:r>
                    <w:r>
                      <w:rPr>
                        <w:rFonts w:ascii="宋体" w:hAnsi="宋体" w:eastAsia="宋体" w:cs="宋体"/>
                        <w:spacing w:val="-9"/>
                        <w:sz w:val="19"/>
                        <w:szCs w:val="19"/>
                      </w:rPr>
                      <w:t>和维护</w:t>
                    </w:r>
                  </w:p>
                </w:txbxContent>
              </v:textbox>
            </v:shape>
            <v:shape id="_x0000_s1644" o:spid="_x0000_s1644" o:spt="202" type="#_x0000_t202" style="position:absolute;left:4269;top:1888;height:432;width:728;" filled="f" stroked="f" coordsize="21600,21600">
              <v:path/>
              <v:fill on="f" focussize="0,0"/>
              <v:stroke on="f"/>
              <v:imagedata o:title=""/>
              <o:lock v:ext="edit" aspectratio="f"/>
              <v:textbox inset="0mm,0mm,0mm,0mm">
                <w:txbxContent>
                  <w:p w14:paraId="7EF776A8">
                    <w:pPr>
                      <w:spacing w:before="20" w:line="209" w:lineRule="auto"/>
                      <w:ind w:left="90" w:right="20" w:hanging="70"/>
                      <w:rPr>
                        <w:rFonts w:ascii="宋体" w:hAnsi="宋体" w:eastAsia="宋体" w:cs="宋体"/>
                        <w:sz w:val="19"/>
                        <w:szCs w:val="19"/>
                      </w:rPr>
                    </w:pPr>
                    <w:r>
                      <w:rPr>
                        <w:rFonts w:ascii="宋体" w:hAnsi="宋体" w:eastAsia="宋体" w:cs="宋体"/>
                        <w:spacing w:val="-19"/>
                        <w:sz w:val="19"/>
                        <w:szCs w:val="19"/>
                      </w:rPr>
                      <w:t>配置审计</w:t>
                    </w:r>
                    <w:r>
                      <w:rPr>
                        <w:rFonts w:ascii="宋体" w:hAnsi="宋体" w:eastAsia="宋体" w:cs="宋体"/>
                        <w:spacing w:val="2"/>
                        <w:sz w:val="19"/>
                        <w:szCs w:val="19"/>
                      </w:rPr>
                      <w:t xml:space="preserve"> </w:t>
                    </w:r>
                    <w:r>
                      <w:rPr>
                        <w:rFonts w:ascii="宋体" w:hAnsi="宋体" w:eastAsia="宋体" w:cs="宋体"/>
                        <w:spacing w:val="-10"/>
                        <w:sz w:val="19"/>
                        <w:szCs w:val="19"/>
                      </w:rPr>
                      <w:t>和验证</w:t>
                    </w:r>
                  </w:p>
                </w:txbxContent>
              </v:textbox>
            </v:shape>
            <v:shape id="_x0000_s1645" o:spid="_x0000_s1645" o:spt="202" type="#_x0000_t202" style="position:absolute;left:4859;top:1097;height:230;width:1081;" filled="f" stroked="f" coordsize="21600,21600">
              <v:path/>
              <v:fill on="f" focussize="0,0"/>
              <v:stroke on="f"/>
              <v:imagedata o:title=""/>
              <o:lock v:ext="edit" aspectratio="f"/>
              <v:textbox inset="0mm,0mm,0mm,0mm">
                <w:txbxContent>
                  <w:p w14:paraId="456A3EF1">
                    <w:pPr>
                      <w:spacing w:before="20" w:line="219" w:lineRule="auto"/>
                      <w:ind w:left="20"/>
                      <w:rPr>
                        <w:rFonts w:ascii="宋体" w:hAnsi="宋体" w:eastAsia="宋体" w:cs="宋体"/>
                        <w:sz w:val="19"/>
                        <w:szCs w:val="19"/>
                      </w:rPr>
                    </w:pPr>
                    <w:r>
                      <w:rPr>
                        <w:rFonts w:ascii="宋体" w:hAnsi="宋体" w:eastAsia="宋体" w:cs="宋体"/>
                        <w:spacing w:val="-15"/>
                        <w:sz w:val="19"/>
                        <w:szCs w:val="19"/>
                      </w:rPr>
                      <w:t>配</w:t>
                    </w:r>
                    <w:r>
                      <w:rPr>
                        <w:rFonts w:ascii="宋体" w:hAnsi="宋体" w:eastAsia="宋体" w:cs="宋体"/>
                        <w:spacing w:val="-14"/>
                        <w:sz w:val="19"/>
                        <w:szCs w:val="19"/>
                      </w:rPr>
                      <w:t>置状态记</w:t>
                    </w:r>
                    <w:r>
                      <w:rPr>
                        <w:rFonts w:ascii="宋体" w:hAnsi="宋体" w:eastAsia="宋体" w:cs="宋体"/>
                        <w:color w:val="1791D8"/>
                        <w:spacing w:val="-13"/>
                        <w:sz w:val="19"/>
                        <w:szCs w:val="19"/>
                      </w:rPr>
                      <w:t>录</w:t>
                    </w:r>
                  </w:p>
                </w:txbxContent>
              </v:textbox>
            </v:shape>
            <v:shape id="_x0000_s1646" o:spid="_x0000_s1646" o:spt="202" type="#_x0000_t202" style="position:absolute;left:2019;top:1168;height:230;width:755;" filled="f" stroked="f" coordsize="21600,21600">
              <v:path/>
              <v:fill on="f" focussize="0,0"/>
              <v:stroke on="f"/>
              <v:imagedata o:title=""/>
              <o:lock v:ext="edit" aspectratio="f"/>
              <v:textbox inset="0mm,0mm,0mm,0mm">
                <w:txbxContent>
                  <w:p w14:paraId="1F089E3C">
                    <w:pPr>
                      <w:spacing w:before="20" w:line="220" w:lineRule="auto"/>
                      <w:ind w:left="20"/>
                      <w:rPr>
                        <w:rFonts w:ascii="宋体" w:hAnsi="宋体" w:eastAsia="宋体" w:cs="宋体"/>
                        <w:sz w:val="19"/>
                        <w:szCs w:val="19"/>
                      </w:rPr>
                    </w:pPr>
                    <w:r>
                      <w:rPr>
                        <w:rFonts w:ascii="宋体" w:hAnsi="宋体" w:eastAsia="宋体" w:cs="宋体"/>
                        <w:spacing w:val="-9"/>
                        <w:sz w:val="19"/>
                        <w:szCs w:val="19"/>
                      </w:rPr>
                      <w:t>配置识别</w:t>
                    </w:r>
                  </w:p>
                </w:txbxContent>
              </v:textbox>
            </v:shape>
            <w10:wrap type="none"/>
            <w10:anchorlock/>
          </v:group>
        </w:pict>
      </w:r>
    </w:p>
    <w:p w14:paraId="795B2A14">
      <w:pPr>
        <w:pStyle w:val="2"/>
        <w:spacing w:before="57" w:line="219" w:lineRule="auto"/>
        <w:ind w:left="3329"/>
        <w:rPr>
          <w:sz w:val="19"/>
          <w:szCs w:val="19"/>
        </w:rPr>
      </w:pPr>
      <w:r>
        <w:rPr>
          <w:spacing w:val="-7"/>
          <w:sz w:val="19"/>
          <w:szCs w:val="19"/>
        </w:rPr>
        <w:t>图25-2</w:t>
      </w:r>
      <w:r>
        <w:rPr>
          <w:spacing w:val="83"/>
          <w:sz w:val="19"/>
          <w:szCs w:val="19"/>
        </w:rPr>
        <w:t xml:space="preserve"> </w:t>
      </w:r>
      <w:r>
        <w:rPr>
          <w:spacing w:val="-7"/>
          <w:sz w:val="19"/>
          <w:szCs w:val="19"/>
        </w:rPr>
        <w:t>运维监理配置管理流程</w:t>
      </w:r>
    </w:p>
    <w:p w14:paraId="0A45941C">
      <w:pPr>
        <w:pStyle w:val="2"/>
        <w:spacing w:before="210" w:line="222" w:lineRule="auto"/>
        <w:ind w:left="762"/>
        <w:rPr>
          <w:rFonts w:ascii="黑体" w:hAnsi="黑体" w:eastAsia="黑体" w:cs="黑体"/>
          <w:sz w:val="19"/>
          <w:szCs w:val="19"/>
        </w:rPr>
      </w:pPr>
      <w:r>
        <w:rPr>
          <w:b/>
          <w:bCs/>
          <w:color w:val="0480B5"/>
          <w:spacing w:val="11"/>
          <w:sz w:val="19"/>
          <w:szCs w:val="19"/>
        </w:rPr>
        <w:t>2.</w:t>
      </w:r>
      <w:r>
        <w:rPr>
          <w:rFonts w:ascii="黑体" w:hAnsi="黑体" w:eastAsia="黑体" w:cs="黑体"/>
          <w:b/>
          <w:bCs/>
          <w:color w:val="0480B5"/>
          <w:spacing w:val="11"/>
          <w:sz w:val="19"/>
          <w:szCs w:val="19"/>
        </w:rPr>
        <w:t>配置管理活动及内容</w:t>
      </w:r>
    </w:p>
    <w:p w14:paraId="4DF8DF25">
      <w:pPr>
        <w:pStyle w:val="2"/>
        <w:spacing w:before="146" w:line="219" w:lineRule="auto"/>
        <w:ind w:left="759"/>
        <w:rPr>
          <w:sz w:val="19"/>
          <w:szCs w:val="19"/>
        </w:rPr>
      </w:pPr>
      <w:r>
        <w:rPr>
          <w:spacing w:val="8"/>
          <w:sz w:val="19"/>
          <w:szCs w:val="19"/>
        </w:rPr>
        <w:t>配置管理活动及内容具体如下：</w:t>
      </w:r>
    </w:p>
    <w:p w14:paraId="342F31BC">
      <w:pPr>
        <w:pStyle w:val="2"/>
        <w:spacing w:before="73" w:line="317" w:lineRule="auto"/>
        <w:ind w:left="389" w:right="27" w:firstLine="370"/>
        <w:rPr>
          <w:sz w:val="19"/>
          <w:szCs w:val="19"/>
        </w:rPr>
      </w:pPr>
      <w:r>
        <w:rPr>
          <w:spacing w:val="16"/>
          <w:sz w:val="19"/>
          <w:szCs w:val="19"/>
        </w:rPr>
        <w:t>(1)协助运维服务提供方建立配置管理岗位体系，明确</w:t>
      </w:r>
      <w:r>
        <w:rPr>
          <w:spacing w:val="15"/>
          <w:sz w:val="19"/>
          <w:szCs w:val="19"/>
        </w:rPr>
        <w:t>配置经理、配置管理员、配置审核</w:t>
      </w:r>
      <w:r>
        <w:rPr>
          <w:sz w:val="19"/>
          <w:szCs w:val="19"/>
        </w:rPr>
        <w:t xml:space="preserve"> </w:t>
      </w:r>
      <w:r>
        <w:rPr>
          <w:spacing w:val="9"/>
          <w:sz w:val="19"/>
          <w:szCs w:val="19"/>
        </w:rPr>
        <w:t>员、变更经理、变更控制委员会等的岗位职责。</w:t>
      </w:r>
    </w:p>
    <w:p w14:paraId="41C99CA2">
      <w:pPr>
        <w:pStyle w:val="2"/>
        <w:spacing w:before="9" w:line="219" w:lineRule="auto"/>
        <w:ind w:left="759"/>
        <w:rPr>
          <w:sz w:val="19"/>
          <w:szCs w:val="19"/>
        </w:rPr>
      </w:pPr>
      <w:r>
        <w:rPr>
          <w:spacing w:val="9"/>
          <w:sz w:val="19"/>
          <w:szCs w:val="19"/>
        </w:rPr>
        <w:t>部分岗位职责可参考以下内容开展具体工作：</w:t>
      </w:r>
    </w:p>
    <w:p w14:paraId="06096E7F">
      <w:pPr>
        <w:pStyle w:val="2"/>
        <w:spacing w:before="92" w:line="217" w:lineRule="auto"/>
        <w:ind w:left="759"/>
        <w:rPr>
          <w:sz w:val="19"/>
          <w:szCs w:val="19"/>
        </w:rPr>
      </w:pPr>
      <w:r>
        <w:rPr>
          <w:spacing w:val="9"/>
          <w:sz w:val="19"/>
          <w:szCs w:val="19"/>
        </w:rPr>
        <w:t>①</w:t>
      </w:r>
      <w:r>
        <w:rPr>
          <w:spacing w:val="-28"/>
          <w:sz w:val="19"/>
          <w:szCs w:val="19"/>
        </w:rPr>
        <w:t xml:space="preserve"> </w:t>
      </w:r>
      <w:r>
        <w:rPr>
          <w:spacing w:val="9"/>
          <w:sz w:val="19"/>
          <w:szCs w:val="19"/>
        </w:rPr>
        <w:t>配置经理。具体职责包括：</w:t>
      </w:r>
    </w:p>
    <w:p w14:paraId="2C429070">
      <w:pPr>
        <w:pStyle w:val="2"/>
        <w:spacing w:before="69" w:line="219" w:lineRule="auto"/>
        <w:ind w:left="759"/>
        <w:rPr>
          <w:sz w:val="19"/>
          <w:szCs w:val="19"/>
        </w:rPr>
      </w:pPr>
      <w:r>
        <w:rPr>
          <w:spacing w:val="14"/>
          <w:sz w:val="19"/>
          <w:szCs w:val="19"/>
        </w:rPr>
        <w:t>●确定配置管理过程的计划；</w:t>
      </w:r>
    </w:p>
    <w:p w14:paraId="3B2BB8F6">
      <w:pPr>
        <w:pStyle w:val="2"/>
        <w:spacing w:before="105" w:line="220" w:lineRule="auto"/>
        <w:ind w:left="759"/>
        <w:rPr>
          <w:sz w:val="19"/>
          <w:szCs w:val="19"/>
        </w:rPr>
      </w:pPr>
      <w:r>
        <w:rPr>
          <w:spacing w:val="14"/>
          <w:sz w:val="19"/>
          <w:szCs w:val="19"/>
        </w:rPr>
        <w:t>●对配置项进行识别和控制；</w:t>
      </w:r>
    </w:p>
    <w:p w14:paraId="19610773">
      <w:pPr>
        <w:pStyle w:val="2"/>
        <w:spacing w:before="102" w:line="219" w:lineRule="auto"/>
        <w:ind w:left="759"/>
        <w:rPr>
          <w:sz w:val="19"/>
          <w:szCs w:val="19"/>
        </w:rPr>
      </w:pPr>
      <w:r>
        <w:rPr>
          <w:spacing w:val="12"/>
          <w:sz w:val="19"/>
          <w:szCs w:val="19"/>
        </w:rPr>
        <w:t>●判断配置项的修改与更换，并与变更管理委员会保持紧密沟通；</w:t>
      </w:r>
    </w:p>
    <w:p w14:paraId="2A823D37">
      <w:pPr>
        <w:pStyle w:val="2"/>
        <w:spacing w:before="104" w:line="219" w:lineRule="auto"/>
        <w:ind w:left="759"/>
        <w:rPr>
          <w:sz w:val="19"/>
          <w:szCs w:val="19"/>
        </w:rPr>
      </w:pPr>
      <w:r>
        <w:rPr>
          <w:spacing w:val="13"/>
          <w:sz w:val="19"/>
          <w:szCs w:val="19"/>
        </w:rPr>
        <w:t>●确保配置管理过程在整个组织内得到良好的传达</w:t>
      </w:r>
      <w:r>
        <w:rPr>
          <w:spacing w:val="12"/>
          <w:sz w:val="19"/>
          <w:szCs w:val="19"/>
        </w:rPr>
        <w:t>和沟通；</w:t>
      </w:r>
    </w:p>
    <w:p w14:paraId="5D6B20B8">
      <w:pPr>
        <w:pStyle w:val="2"/>
        <w:spacing w:before="87" w:line="220" w:lineRule="auto"/>
        <w:ind w:left="759"/>
        <w:rPr>
          <w:sz w:val="19"/>
          <w:szCs w:val="19"/>
        </w:rPr>
      </w:pPr>
      <w:r>
        <w:rPr>
          <w:spacing w:val="14"/>
          <w:sz w:val="19"/>
          <w:szCs w:val="19"/>
        </w:rPr>
        <w:t>●</w:t>
      </w:r>
      <w:r>
        <w:rPr>
          <w:spacing w:val="-61"/>
          <w:sz w:val="19"/>
          <w:szCs w:val="19"/>
        </w:rPr>
        <w:t xml:space="preserve"> </w:t>
      </w:r>
      <w:r>
        <w:rPr>
          <w:spacing w:val="14"/>
          <w:sz w:val="19"/>
          <w:szCs w:val="19"/>
        </w:rPr>
        <w:t>组织配置审计工作。</w:t>
      </w:r>
    </w:p>
    <w:p w14:paraId="7DEF3674">
      <w:pPr>
        <w:pStyle w:val="2"/>
        <w:spacing w:before="131" w:line="217" w:lineRule="auto"/>
        <w:ind w:left="759"/>
        <w:rPr>
          <w:sz w:val="19"/>
          <w:szCs w:val="19"/>
        </w:rPr>
      </w:pPr>
      <w:r>
        <w:rPr>
          <w:spacing w:val="7"/>
          <w:sz w:val="19"/>
          <w:szCs w:val="19"/>
        </w:rPr>
        <w:t>②</w:t>
      </w:r>
      <w:r>
        <w:rPr>
          <w:spacing w:val="-30"/>
          <w:sz w:val="19"/>
          <w:szCs w:val="19"/>
        </w:rPr>
        <w:t xml:space="preserve"> </w:t>
      </w:r>
      <w:r>
        <w:rPr>
          <w:spacing w:val="7"/>
          <w:sz w:val="19"/>
          <w:szCs w:val="19"/>
        </w:rPr>
        <w:t>配置管理员。具体职责包括：</w:t>
      </w:r>
    </w:p>
    <w:p w14:paraId="25C097DB">
      <w:pPr>
        <w:pStyle w:val="2"/>
        <w:spacing w:before="69" w:line="219" w:lineRule="auto"/>
        <w:ind w:left="759"/>
        <w:rPr>
          <w:sz w:val="19"/>
          <w:szCs w:val="19"/>
        </w:rPr>
      </w:pPr>
      <w:r>
        <w:rPr>
          <w:spacing w:val="14"/>
          <w:sz w:val="19"/>
          <w:szCs w:val="19"/>
        </w:rPr>
        <w:t>●收集和记录配置信息；</w:t>
      </w:r>
    </w:p>
    <w:p w14:paraId="1AF97821">
      <w:pPr>
        <w:pStyle w:val="2"/>
        <w:spacing w:before="94" w:line="219" w:lineRule="auto"/>
        <w:ind w:left="759"/>
        <w:rPr>
          <w:sz w:val="19"/>
          <w:szCs w:val="19"/>
        </w:rPr>
      </w:pPr>
      <w:r>
        <w:rPr>
          <w:spacing w:val="13"/>
          <w:sz w:val="19"/>
          <w:szCs w:val="19"/>
        </w:rPr>
        <w:t>●维护配置项信息，确保配置项信息是最新的。</w:t>
      </w:r>
    </w:p>
    <w:p w14:paraId="1A306990">
      <w:pPr>
        <w:pStyle w:val="2"/>
        <w:spacing w:before="103" w:line="217" w:lineRule="auto"/>
        <w:ind w:left="759"/>
        <w:rPr>
          <w:sz w:val="19"/>
          <w:szCs w:val="19"/>
        </w:rPr>
      </w:pPr>
      <w:r>
        <w:rPr>
          <w:spacing w:val="10"/>
          <w:sz w:val="19"/>
          <w:szCs w:val="19"/>
        </w:rPr>
        <w:t>③</w:t>
      </w:r>
      <w:r>
        <w:rPr>
          <w:spacing w:val="-31"/>
          <w:sz w:val="19"/>
          <w:szCs w:val="19"/>
        </w:rPr>
        <w:t xml:space="preserve"> </w:t>
      </w:r>
      <w:r>
        <w:rPr>
          <w:spacing w:val="10"/>
          <w:sz w:val="19"/>
          <w:szCs w:val="19"/>
        </w:rPr>
        <w:t>配置审核员。具体职责为：定期对配置项的一致性和准确性进行核查。</w:t>
      </w:r>
    </w:p>
    <w:p w14:paraId="1120A2CC">
      <w:pPr>
        <w:pStyle w:val="2"/>
        <w:spacing w:before="68" w:line="280" w:lineRule="auto"/>
        <w:ind w:left="369" w:right="28" w:firstLine="390"/>
        <w:rPr>
          <w:sz w:val="19"/>
          <w:szCs w:val="19"/>
        </w:rPr>
      </w:pPr>
      <w:r>
        <w:rPr>
          <w:spacing w:val="16"/>
          <w:sz w:val="19"/>
          <w:szCs w:val="19"/>
        </w:rPr>
        <w:t>(2)审核运维服务提供方提交的运行维护配置管理计</w:t>
      </w:r>
      <w:r>
        <w:rPr>
          <w:spacing w:val="15"/>
          <w:sz w:val="19"/>
          <w:szCs w:val="19"/>
        </w:rPr>
        <w:t>划、配置方法、技术方案、使用工具</w:t>
      </w:r>
      <w:r>
        <w:rPr>
          <w:sz w:val="19"/>
          <w:szCs w:val="19"/>
        </w:rPr>
        <w:t xml:space="preserve"> </w:t>
      </w:r>
      <w:r>
        <w:rPr>
          <w:spacing w:val="8"/>
          <w:sz w:val="19"/>
          <w:szCs w:val="19"/>
        </w:rPr>
        <w:t>等，并提出监理意见。</w:t>
      </w:r>
    </w:p>
    <w:p w14:paraId="7C6DD8BE">
      <w:pPr>
        <w:pStyle w:val="2"/>
        <w:spacing w:before="63" w:line="219" w:lineRule="auto"/>
        <w:ind w:left="759"/>
        <w:rPr>
          <w:sz w:val="19"/>
          <w:szCs w:val="19"/>
        </w:rPr>
      </w:pPr>
      <w:r>
        <w:rPr>
          <w:spacing w:val="12"/>
          <w:sz w:val="19"/>
          <w:szCs w:val="19"/>
        </w:rPr>
        <w:t>(3)跟踪和检查运维服务提供方对于配置项的规划、识别、实施</w:t>
      </w:r>
      <w:r>
        <w:rPr>
          <w:spacing w:val="11"/>
          <w:sz w:val="19"/>
          <w:szCs w:val="19"/>
        </w:rPr>
        <w:t>和管理工作，主要包括：</w:t>
      </w:r>
    </w:p>
    <w:p w14:paraId="0B9458BA">
      <w:pPr>
        <w:pStyle w:val="2"/>
        <w:spacing w:before="96" w:line="219" w:lineRule="auto"/>
        <w:ind w:left="759"/>
        <w:rPr>
          <w:sz w:val="19"/>
          <w:szCs w:val="19"/>
        </w:rPr>
      </w:pPr>
      <w:r>
        <w:rPr>
          <w:spacing w:val="14"/>
          <w:sz w:val="19"/>
          <w:szCs w:val="19"/>
        </w:rPr>
        <w:t>●配置项规划和管理数据库；</w:t>
      </w:r>
    </w:p>
    <w:p w14:paraId="212F0F98">
      <w:pPr>
        <w:pStyle w:val="2"/>
        <w:spacing w:before="84" w:line="219" w:lineRule="auto"/>
        <w:ind w:left="759"/>
        <w:rPr>
          <w:sz w:val="19"/>
          <w:szCs w:val="19"/>
        </w:rPr>
      </w:pPr>
      <w:r>
        <w:rPr>
          <w:spacing w:val="14"/>
          <w:sz w:val="19"/>
          <w:szCs w:val="19"/>
        </w:rPr>
        <w:t>●对配置项的识别、收集、分析等过程；</w:t>
      </w:r>
    </w:p>
    <w:p w14:paraId="5DA426E1">
      <w:pPr>
        <w:pStyle w:val="2"/>
        <w:spacing w:before="94" w:line="219" w:lineRule="auto"/>
        <w:ind w:left="759"/>
        <w:rPr>
          <w:sz w:val="19"/>
          <w:szCs w:val="19"/>
        </w:rPr>
      </w:pPr>
      <w:r>
        <w:rPr>
          <w:spacing w:val="14"/>
          <w:sz w:val="19"/>
          <w:szCs w:val="19"/>
        </w:rPr>
        <w:t>●配置项基线管理机制；</w:t>
      </w:r>
    </w:p>
    <w:p w14:paraId="1201DB66">
      <w:pPr>
        <w:pStyle w:val="2"/>
        <w:spacing w:before="94" w:line="219" w:lineRule="auto"/>
        <w:ind w:left="759"/>
        <w:rPr>
          <w:sz w:val="19"/>
          <w:szCs w:val="19"/>
        </w:rPr>
      </w:pPr>
      <w:r>
        <w:rPr>
          <w:spacing w:val="15"/>
          <w:sz w:val="19"/>
          <w:szCs w:val="19"/>
        </w:rPr>
        <w:t>●配置项校验、审计机制。</w:t>
      </w:r>
    </w:p>
    <w:p w14:paraId="09DF7A5E">
      <w:pPr>
        <w:pStyle w:val="2"/>
        <w:spacing w:before="105" w:line="219" w:lineRule="auto"/>
        <w:ind w:left="759"/>
        <w:rPr>
          <w:sz w:val="19"/>
          <w:szCs w:val="19"/>
        </w:rPr>
      </w:pPr>
      <w:r>
        <w:rPr>
          <w:spacing w:val="13"/>
          <w:sz w:val="19"/>
          <w:szCs w:val="19"/>
        </w:rPr>
        <w:t>(4)检查运行维护过程中配置项的变更及发布管理过程，重</w:t>
      </w:r>
      <w:r>
        <w:rPr>
          <w:spacing w:val="12"/>
          <w:sz w:val="19"/>
          <w:szCs w:val="19"/>
        </w:rPr>
        <w:t>点包括：</w:t>
      </w:r>
    </w:p>
    <w:p w14:paraId="399F1D30">
      <w:pPr>
        <w:pStyle w:val="2"/>
        <w:spacing w:before="85" w:line="219" w:lineRule="auto"/>
        <w:ind w:left="759"/>
        <w:rPr>
          <w:sz w:val="19"/>
          <w:szCs w:val="19"/>
        </w:rPr>
      </w:pPr>
      <w:r>
        <w:rPr>
          <w:spacing w:val="13"/>
          <w:sz w:val="19"/>
          <w:szCs w:val="19"/>
        </w:rPr>
        <w:t>●审核运维服务提供方建立的配置项变更及发布相关管理制度、流程；</w:t>
      </w:r>
    </w:p>
    <w:p w14:paraId="24CD36DE">
      <w:pPr>
        <w:pStyle w:val="2"/>
        <w:spacing w:before="114" w:line="219" w:lineRule="auto"/>
        <w:ind w:left="759"/>
        <w:rPr>
          <w:sz w:val="19"/>
          <w:szCs w:val="19"/>
        </w:rPr>
      </w:pPr>
      <w:r>
        <w:rPr>
          <w:spacing w:val="14"/>
          <w:sz w:val="19"/>
          <w:szCs w:val="19"/>
        </w:rPr>
        <w:t>●检查运维服务提供方变更和发布流程的执行情况；</w:t>
      </w:r>
    </w:p>
    <w:p w14:paraId="06D641FC">
      <w:pPr>
        <w:pStyle w:val="2"/>
        <w:spacing w:before="45" w:line="285" w:lineRule="auto"/>
        <w:ind w:left="1049" w:hanging="290"/>
        <w:rPr>
          <w:sz w:val="19"/>
          <w:szCs w:val="19"/>
        </w:rPr>
      </w:pPr>
      <w:r>
        <w:rPr>
          <w:spacing w:val="14"/>
          <w:sz w:val="19"/>
          <w:szCs w:val="19"/>
        </w:rPr>
        <w:t>●审核变更发起人提交的变更申请及相关技术方案和实施方案，分析变更影响和风险，提</w:t>
      </w:r>
      <w:r>
        <w:rPr>
          <w:spacing w:val="11"/>
          <w:sz w:val="19"/>
          <w:szCs w:val="19"/>
        </w:rPr>
        <w:t xml:space="preserve"> </w:t>
      </w:r>
      <w:r>
        <w:rPr>
          <w:spacing w:val="7"/>
          <w:sz w:val="19"/>
          <w:szCs w:val="19"/>
        </w:rPr>
        <w:t>出监理意见；</w:t>
      </w:r>
    </w:p>
    <w:p w14:paraId="65994FE2">
      <w:pPr>
        <w:spacing w:line="285" w:lineRule="auto"/>
        <w:rPr>
          <w:sz w:val="19"/>
          <w:szCs w:val="19"/>
        </w:rPr>
        <w:sectPr>
          <w:pgSz w:w="10310" w:h="13390"/>
          <w:pgMar w:top="400" w:right="1031" w:bottom="400" w:left="550" w:header="0" w:footer="0" w:gutter="0"/>
          <w:cols w:space="720" w:num="1"/>
        </w:sectPr>
      </w:pPr>
    </w:p>
    <w:p w14:paraId="1FE88CC4">
      <w:pPr>
        <w:pStyle w:val="2"/>
        <w:jc w:val="right"/>
        <w:rPr>
          <w:rFonts w:ascii="Times New Roman" w:hAnsi="Times New Roman" w:eastAsia="Times New Roman" w:cs="Times New Roman"/>
          <w:sz w:val="17"/>
          <w:szCs w:val="17"/>
        </w:rPr>
      </w:pPr>
      <w:r>
        <w:rPr>
          <w:sz w:val="20"/>
          <w:szCs w:val="20"/>
        </w:rPr>
        <w:t xml:space="preserve">第25章 运行维护监理 </w:t>
      </w:r>
      <w:r>
        <w:rPr>
          <w:position w:val="-12"/>
          <w:sz w:val="20"/>
          <w:szCs w:val="20"/>
        </w:rPr>
        <w:drawing>
          <wp:inline distT="0" distB="0" distL="0" distR="0">
            <wp:extent cx="316865" cy="240665"/>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81"/>
                    <a:stretch>
                      <a:fillRect/>
                    </a:stretch>
                  </pic:blipFill>
                  <pic:spPr>
                    <a:xfrm>
                      <a:off x="0" y="0"/>
                      <a:ext cx="317475" cy="241249"/>
                    </a:xfrm>
                    <a:prstGeom prst="rect">
                      <a:avLst/>
                    </a:prstGeom>
                  </pic:spPr>
                </pic:pic>
              </a:graphicData>
            </a:graphic>
          </wp:inline>
        </w:drawing>
      </w:r>
      <w:r>
        <w:rPr>
          <w:rFonts w:ascii="Times New Roman" w:hAnsi="Times New Roman" w:eastAsia="Times New Roman" w:cs="Times New Roman"/>
          <w:sz w:val="17"/>
          <w:szCs w:val="17"/>
        </w:rPr>
        <w:t>593</w:t>
      </w:r>
    </w:p>
    <w:p w14:paraId="4C9B36F2">
      <w:pPr>
        <w:rPr>
          <w:rFonts w:ascii="Arial"/>
          <w:sz w:val="21"/>
        </w:rPr>
      </w:pPr>
    </w:p>
    <w:p w14:paraId="72CF6C41">
      <w:pPr>
        <w:pStyle w:val="2"/>
        <w:spacing w:before="65" w:line="219" w:lineRule="auto"/>
        <w:ind w:left="389"/>
        <w:rPr>
          <w:sz w:val="20"/>
          <w:szCs w:val="20"/>
        </w:rPr>
      </w:pPr>
      <w:r>
        <w:rPr>
          <w:spacing w:val="2"/>
          <w:sz w:val="20"/>
          <w:szCs w:val="20"/>
        </w:rPr>
        <w:t>●跟踪变更和发布的实施过程和实施结果。</w:t>
      </w:r>
    </w:p>
    <w:p w14:paraId="08777D22">
      <w:pPr>
        <w:pStyle w:val="2"/>
        <w:spacing w:before="94" w:line="219" w:lineRule="auto"/>
        <w:ind w:left="389"/>
        <w:rPr>
          <w:sz w:val="20"/>
          <w:szCs w:val="20"/>
        </w:rPr>
      </w:pPr>
      <w:r>
        <w:rPr>
          <w:spacing w:val="1"/>
          <w:sz w:val="20"/>
          <w:szCs w:val="20"/>
        </w:rPr>
        <w:t>(5)对配置管理进行抽检。主要包括：</w:t>
      </w:r>
    </w:p>
    <w:p w14:paraId="230A10C1">
      <w:pPr>
        <w:pStyle w:val="2"/>
        <w:spacing w:before="72" w:line="219" w:lineRule="auto"/>
        <w:ind w:left="389"/>
        <w:rPr>
          <w:sz w:val="20"/>
          <w:szCs w:val="20"/>
        </w:rPr>
      </w:pPr>
      <w:r>
        <w:rPr>
          <w:sz w:val="20"/>
          <w:szCs w:val="20"/>
        </w:rPr>
        <w:t>●定期对配置项的一致性和准确性进行抽检和核查；</w:t>
      </w:r>
    </w:p>
    <w:p w14:paraId="23D7EC64">
      <w:pPr>
        <w:pStyle w:val="2"/>
        <w:spacing w:before="92" w:line="219" w:lineRule="auto"/>
        <w:ind w:left="389"/>
        <w:rPr>
          <w:sz w:val="20"/>
          <w:szCs w:val="20"/>
        </w:rPr>
      </w:pPr>
      <w:r>
        <w:rPr>
          <w:spacing w:val="1"/>
          <w:sz w:val="20"/>
          <w:szCs w:val="20"/>
        </w:rPr>
        <w:t>●定期对配置基线关联情况进行监督，并对配置项属性和状态进行</w:t>
      </w:r>
      <w:r>
        <w:rPr>
          <w:sz w:val="20"/>
          <w:szCs w:val="20"/>
        </w:rPr>
        <w:t>审查。</w:t>
      </w:r>
    </w:p>
    <w:p w14:paraId="5386545E">
      <w:pPr>
        <w:pStyle w:val="2"/>
        <w:spacing w:before="251" w:line="219" w:lineRule="auto"/>
        <w:ind w:left="2"/>
        <w:rPr>
          <w:sz w:val="25"/>
          <w:szCs w:val="25"/>
        </w:rPr>
      </w:pPr>
      <w:r>
        <w:rPr>
          <w:b/>
          <w:bCs/>
          <w:color w:val="0063C7"/>
          <w:spacing w:val="-19"/>
          <w:sz w:val="25"/>
          <w:szCs w:val="25"/>
        </w:rPr>
        <w:t>25.3.8</w:t>
      </w:r>
      <w:r>
        <w:rPr>
          <w:color w:val="0063C7"/>
          <w:spacing w:val="-19"/>
          <w:sz w:val="25"/>
          <w:szCs w:val="25"/>
        </w:rPr>
        <w:t xml:space="preserve">  </w:t>
      </w:r>
      <w:r>
        <w:rPr>
          <w:b/>
          <w:bCs/>
          <w:color w:val="0063C7"/>
          <w:spacing w:val="-19"/>
          <w:sz w:val="25"/>
          <w:szCs w:val="25"/>
        </w:rPr>
        <w:t>应急管理</w:t>
      </w:r>
    </w:p>
    <w:p w14:paraId="3C46ACEB">
      <w:pPr>
        <w:pStyle w:val="2"/>
        <w:spacing w:before="240" w:line="221" w:lineRule="auto"/>
        <w:ind w:left="392"/>
        <w:rPr>
          <w:rFonts w:ascii="黑体" w:hAnsi="黑体" w:eastAsia="黑体" w:cs="黑体"/>
          <w:sz w:val="20"/>
          <w:szCs w:val="20"/>
        </w:rPr>
      </w:pPr>
      <w:r>
        <w:rPr>
          <w:b/>
          <w:bCs/>
          <w:color w:val="0070E0"/>
          <w:spacing w:val="-2"/>
          <w:sz w:val="20"/>
          <w:szCs w:val="20"/>
        </w:rPr>
        <w:t>1.</w:t>
      </w:r>
      <w:r>
        <w:rPr>
          <w:rFonts w:ascii="黑体" w:hAnsi="黑体" w:eastAsia="黑体" w:cs="黑体"/>
          <w:b/>
          <w:bCs/>
          <w:color w:val="0070E0"/>
          <w:spacing w:val="-2"/>
          <w:sz w:val="20"/>
          <w:szCs w:val="20"/>
        </w:rPr>
        <w:t>应急管理概述</w:t>
      </w:r>
    </w:p>
    <w:p w14:paraId="02ED26CB">
      <w:pPr>
        <w:pStyle w:val="2"/>
        <w:spacing w:before="144" w:line="287" w:lineRule="auto"/>
        <w:ind w:right="300" w:firstLine="389"/>
        <w:jc w:val="both"/>
        <w:rPr>
          <w:sz w:val="20"/>
          <w:szCs w:val="20"/>
        </w:rPr>
      </w:pPr>
      <w:r>
        <w:rPr>
          <w:spacing w:val="3"/>
          <w:sz w:val="20"/>
          <w:szCs w:val="20"/>
        </w:rPr>
        <w:t>信息系统运行维护应急管理是指运维服务提供</w:t>
      </w:r>
      <w:r>
        <w:rPr>
          <w:spacing w:val="2"/>
          <w:sz w:val="20"/>
          <w:szCs w:val="20"/>
        </w:rPr>
        <w:t>方为预防、监控、处置和管理运行维护服务</w:t>
      </w:r>
      <w:r>
        <w:rPr>
          <w:sz w:val="20"/>
          <w:szCs w:val="20"/>
        </w:rPr>
        <w:t xml:space="preserve"> </w:t>
      </w:r>
      <w:r>
        <w:rPr>
          <w:spacing w:val="3"/>
          <w:sz w:val="20"/>
          <w:szCs w:val="20"/>
        </w:rPr>
        <w:t>应急事件所采取的措施和行为。监理单位应协助运维服务提供方建立应急预</w:t>
      </w:r>
      <w:r>
        <w:rPr>
          <w:spacing w:val="2"/>
          <w:sz w:val="20"/>
          <w:szCs w:val="20"/>
        </w:rPr>
        <w:t>案，督促做好监测</w:t>
      </w:r>
      <w:r>
        <w:rPr>
          <w:sz w:val="20"/>
          <w:szCs w:val="20"/>
        </w:rPr>
        <w:t xml:space="preserve"> </w:t>
      </w:r>
      <w:r>
        <w:rPr>
          <w:spacing w:val="-4"/>
          <w:sz w:val="20"/>
          <w:szCs w:val="20"/>
        </w:rPr>
        <w:t>预警以及跟踪应急事件处置过程。</w:t>
      </w:r>
    </w:p>
    <w:p w14:paraId="7040B1B6">
      <w:pPr>
        <w:pStyle w:val="2"/>
        <w:spacing w:before="8" w:line="282" w:lineRule="auto"/>
        <w:ind w:right="237" w:firstLine="389"/>
        <w:rPr>
          <w:sz w:val="20"/>
          <w:szCs w:val="20"/>
        </w:rPr>
      </w:pPr>
      <w:r>
        <w:rPr>
          <w:spacing w:val="5"/>
          <w:sz w:val="20"/>
          <w:szCs w:val="20"/>
        </w:rPr>
        <w:t>信息系统运行维护应急事件是指导致或即将导致信息系统设施运行中断、</w:t>
      </w:r>
      <w:r>
        <w:rPr>
          <w:spacing w:val="4"/>
          <w:sz w:val="20"/>
          <w:szCs w:val="20"/>
        </w:rPr>
        <w:t>运行质量降低、</w:t>
      </w:r>
      <w:r>
        <w:rPr>
          <w:sz w:val="20"/>
          <w:szCs w:val="20"/>
        </w:rPr>
        <w:t xml:space="preserve"> </w:t>
      </w:r>
      <w:r>
        <w:rPr>
          <w:spacing w:val="-1"/>
          <w:sz w:val="20"/>
          <w:szCs w:val="20"/>
        </w:rPr>
        <w:t>应用系统或数据库系统发生重大破坏或需要实施重点时段</w:t>
      </w:r>
      <w:r>
        <w:rPr>
          <w:spacing w:val="-2"/>
          <w:sz w:val="20"/>
          <w:szCs w:val="20"/>
        </w:rPr>
        <w:t>保障的事件。</w:t>
      </w:r>
    </w:p>
    <w:p w14:paraId="35AC7FC0">
      <w:pPr>
        <w:pStyle w:val="2"/>
        <w:spacing w:before="30" w:line="219" w:lineRule="auto"/>
        <w:ind w:left="389"/>
        <w:rPr>
          <w:sz w:val="20"/>
          <w:szCs w:val="20"/>
        </w:rPr>
      </w:pPr>
      <w:r>
        <w:rPr>
          <w:spacing w:val="-4"/>
          <w:sz w:val="20"/>
          <w:szCs w:val="20"/>
        </w:rPr>
        <w:t>应急事件主要包括以下情况：</w:t>
      </w:r>
    </w:p>
    <w:p w14:paraId="46E74EE0">
      <w:pPr>
        <w:pStyle w:val="2"/>
        <w:spacing w:before="82" w:line="219" w:lineRule="auto"/>
        <w:ind w:left="389"/>
        <w:rPr>
          <w:sz w:val="20"/>
          <w:szCs w:val="20"/>
        </w:rPr>
      </w:pPr>
      <w:r>
        <w:rPr>
          <w:spacing w:val="3"/>
          <w:sz w:val="20"/>
          <w:szCs w:val="20"/>
        </w:rPr>
        <w:t>●大范围系统中断；</w:t>
      </w:r>
    </w:p>
    <w:p w14:paraId="5D3E24FF">
      <w:pPr>
        <w:pStyle w:val="2"/>
        <w:spacing w:before="82" w:line="219" w:lineRule="auto"/>
        <w:ind w:left="389"/>
        <w:rPr>
          <w:sz w:val="20"/>
          <w:szCs w:val="20"/>
        </w:rPr>
      </w:pPr>
      <w:r>
        <w:rPr>
          <w:spacing w:val="3"/>
          <w:sz w:val="20"/>
          <w:szCs w:val="20"/>
        </w:rPr>
        <w:t>●区域性系统崩溃；</w:t>
      </w:r>
    </w:p>
    <w:p w14:paraId="06B029A5">
      <w:pPr>
        <w:pStyle w:val="2"/>
        <w:spacing w:before="84" w:line="219" w:lineRule="auto"/>
        <w:ind w:left="389"/>
        <w:rPr>
          <w:sz w:val="20"/>
          <w:szCs w:val="20"/>
        </w:rPr>
      </w:pPr>
      <w:r>
        <w:rPr>
          <w:spacing w:val="5"/>
          <w:sz w:val="20"/>
          <w:szCs w:val="20"/>
        </w:rPr>
        <w:t>●关键业务中断；</w:t>
      </w:r>
    </w:p>
    <w:p w14:paraId="42415887">
      <w:pPr>
        <w:pStyle w:val="2"/>
        <w:spacing w:before="91" w:line="219" w:lineRule="auto"/>
        <w:ind w:left="389"/>
        <w:rPr>
          <w:sz w:val="20"/>
          <w:szCs w:val="20"/>
        </w:rPr>
      </w:pPr>
      <w:r>
        <w:rPr>
          <w:spacing w:val="3"/>
          <w:sz w:val="20"/>
          <w:szCs w:val="20"/>
        </w:rPr>
        <w:t>●大范围病毒暴发；</w:t>
      </w:r>
    </w:p>
    <w:p w14:paraId="0152FE83">
      <w:pPr>
        <w:pStyle w:val="2"/>
        <w:spacing w:before="85" w:line="220" w:lineRule="auto"/>
        <w:ind w:left="389"/>
        <w:rPr>
          <w:sz w:val="20"/>
          <w:szCs w:val="20"/>
        </w:rPr>
      </w:pPr>
      <w:r>
        <w:rPr>
          <w:spacing w:val="5"/>
          <w:sz w:val="20"/>
          <w:szCs w:val="20"/>
        </w:rPr>
        <w:t>●系统严重破坏；</w:t>
      </w:r>
    </w:p>
    <w:p w14:paraId="1D7BA7BE">
      <w:pPr>
        <w:pStyle w:val="2"/>
        <w:spacing w:before="91" w:line="219" w:lineRule="auto"/>
        <w:ind w:left="389"/>
        <w:rPr>
          <w:sz w:val="20"/>
          <w:szCs w:val="20"/>
        </w:rPr>
      </w:pPr>
      <w:r>
        <w:rPr>
          <w:spacing w:val="5"/>
          <w:sz w:val="20"/>
          <w:szCs w:val="20"/>
        </w:rPr>
        <w:t>●数据严重破坏等。</w:t>
      </w:r>
    </w:p>
    <w:p w14:paraId="4AF040F4">
      <w:pPr>
        <w:pStyle w:val="2"/>
        <w:spacing w:before="61" w:line="282" w:lineRule="auto"/>
        <w:ind w:right="292" w:firstLine="389"/>
        <w:jc w:val="both"/>
        <w:rPr>
          <w:sz w:val="20"/>
          <w:szCs w:val="20"/>
        </w:rPr>
      </w:pPr>
      <w:r>
        <w:rPr>
          <w:spacing w:val="3"/>
          <w:sz w:val="20"/>
          <w:szCs w:val="20"/>
        </w:rPr>
        <w:t>应急响应是指针对应急事件采取的解决行动，是</w:t>
      </w:r>
      <w:r>
        <w:rPr>
          <w:spacing w:val="2"/>
          <w:sz w:val="20"/>
          <w:szCs w:val="20"/>
        </w:rPr>
        <w:t>信息系统运行维护的重要组成部分，也是</w:t>
      </w:r>
      <w:r>
        <w:rPr>
          <w:sz w:val="20"/>
          <w:szCs w:val="20"/>
        </w:rPr>
        <w:t xml:space="preserve"> </w:t>
      </w:r>
      <w:r>
        <w:rPr>
          <w:spacing w:val="2"/>
          <w:sz w:val="20"/>
          <w:szCs w:val="20"/>
        </w:rPr>
        <w:t>典型的活动之一。当出现超出预定的应急响应阈值的重大事件，或由于政府部门发出行政指令</w:t>
      </w:r>
      <w:r>
        <w:rPr>
          <w:spacing w:val="17"/>
          <w:sz w:val="20"/>
          <w:szCs w:val="20"/>
        </w:rPr>
        <w:t xml:space="preserve"> </w:t>
      </w:r>
      <w:r>
        <w:rPr>
          <w:spacing w:val="3"/>
          <w:sz w:val="20"/>
          <w:szCs w:val="20"/>
        </w:rPr>
        <w:t>对运行维护对象提出要求时，应当启动应急处理程序。针对突发公共事件，国家和地方政府出</w:t>
      </w:r>
      <w:r>
        <w:rPr>
          <w:sz w:val="20"/>
          <w:szCs w:val="20"/>
        </w:rPr>
        <w:t xml:space="preserve"> </w:t>
      </w:r>
      <w:r>
        <w:rPr>
          <w:spacing w:val="3"/>
          <w:sz w:val="20"/>
          <w:szCs w:val="20"/>
        </w:rPr>
        <w:t>台了各项总体预案和专项预案，从整体或专业的角度，对预防与应急准</w:t>
      </w:r>
      <w:r>
        <w:rPr>
          <w:spacing w:val="2"/>
          <w:sz w:val="20"/>
          <w:szCs w:val="20"/>
        </w:rPr>
        <w:t>备、监测与预警、应急</w:t>
      </w:r>
      <w:r>
        <w:rPr>
          <w:sz w:val="20"/>
          <w:szCs w:val="20"/>
        </w:rPr>
        <w:t xml:space="preserve"> </w:t>
      </w:r>
      <w:r>
        <w:rPr>
          <w:spacing w:val="3"/>
          <w:sz w:val="20"/>
          <w:szCs w:val="20"/>
        </w:rPr>
        <w:t>处置与救援、事后恢复与重建等方面进行了规定。但在信息系统运行维护领</w:t>
      </w:r>
      <w:r>
        <w:rPr>
          <w:spacing w:val="2"/>
          <w:sz w:val="20"/>
          <w:szCs w:val="20"/>
        </w:rPr>
        <w:t>域，相应的应急响</w:t>
      </w:r>
      <w:r>
        <w:rPr>
          <w:sz w:val="20"/>
          <w:szCs w:val="20"/>
        </w:rPr>
        <w:t xml:space="preserve"> </w:t>
      </w:r>
      <w:r>
        <w:rPr>
          <w:spacing w:val="-4"/>
          <w:sz w:val="20"/>
          <w:szCs w:val="20"/>
        </w:rPr>
        <w:t>应规范刚刚建立起来。</w:t>
      </w:r>
    </w:p>
    <w:p w14:paraId="2C1DA805">
      <w:pPr>
        <w:pStyle w:val="2"/>
        <w:spacing w:before="124" w:line="221" w:lineRule="auto"/>
        <w:ind w:left="392"/>
        <w:rPr>
          <w:rFonts w:ascii="黑体" w:hAnsi="黑体" w:eastAsia="黑体" w:cs="黑体"/>
          <w:sz w:val="20"/>
          <w:szCs w:val="20"/>
        </w:rPr>
      </w:pPr>
      <w:r>
        <w:rPr>
          <w:b/>
          <w:bCs/>
          <w:color w:val="006DDB"/>
          <w:spacing w:val="-1"/>
          <w:sz w:val="20"/>
          <w:szCs w:val="20"/>
        </w:rPr>
        <w:t>2.</w:t>
      </w:r>
      <w:r>
        <w:rPr>
          <w:rFonts w:ascii="黑体" w:hAnsi="黑体" w:eastAsia="黑体" w:cs="黑体"/>
          <w:b/>
          <w:bCs/>
          <w:color w:val="006DDB"/>
          <w:spacing w:val="-1"/>
          <w:sz w:val="20"/>
          <w:szCs w:val="20"/>
        </w:rPr>
        <w:t>应急事件的处理流程</w:t>
      </w:r>
    </w:p>
    <w:p w14:paraId="692621B3">
      <w:pPr>
        <w:pStyle w:val="2"/>
        <w:spacing w:before="135" w:line="264" w:lineRule="auto"/>
        <w:ind w:right="308" w:firstLine="389"/>
        <w:rPr>
          <w:sz w:val="20"/>
          <w:szCs w:val="20"/>
        </w:rPr>
      </w:pPr>
      <w:r>
        <w:rPr>
          <w:spacing w:val="3"/>
          <w:sz w:val="20"/>
          <w:szCs w:val="20"/>
        </w:rPr>
        <w:t>当运维服务提供方收到应急事件信息，并判断该问题属于应急范围时，应启动应急处理流</w:t>
      </w:r>
      <w:r>
        <w:rPr>
          <w:sz w:val="20"/>
          <w:szCs w:val="20"/>
        </w:rPr>
        <w:t xml:space="preserve"> </w:t>
      </w:r>
      <w:r>
        <w:rPr>
          <w:spacing w:val="1"/>
          <w:sz w:val="20"/>
          <w:szCs w:val="20"/>
        </w:rPr>
        <w:t>程。运行维护应急事件的处理流程如图25-3所示。</w:t>
      </w:r>
    </w:p>
    <w:p w14:paraId="095CAD5C">
      <w:pPr>
        <w:pStyle w:val="2"/>
        <w:spacing w:before="38" w:line="219" w:lineRule="auto"/>
        <w:ind w:left="389"/>
        <w:rPr>
          <w:sz w:val="20"/>
          <w:szCs w:val="20"/>
        </w:rPr>
      </w:pPr>
      <w:r>
        <w:rPr>
          <w:spacing w:val="-3"/>
          <w:sz w:val="20"/>
          <w:szCs w:val="20"/>
        </w:rPr>
        <w:t>应急事件处理流程主要包括以下步骤。</w:t>
      </w:r>
    </w:p>
    <w:p w14:paraId="450EFD8E">
      <w:pPr>
        <w:spacing w:before="160" w:line="224" w:lineRule="auto"/>
        <w:ind w:left="389"/>
        <w:rPr>
          <w:rFonts w:ascii="楷体" w:hAnsi="楷体" w:eastAsia="楷体" w:cs="楷体"/>
          <w:sz w:val="20"/>
          <w:szCs w:val="20"/>
        </w:rPr>
      </w:pPr>
      <w:r>
        <w:rPr>
          <w:rFonts w:ascii="楷体" w:hAnsi="楷体" w:eastAsia="楷体" w:cs="楷体"/>
          <w:spacing w:val="9"/>
          <w:sz w:val="20"/>
          <w:szCs w:val="20"/>
        </w:rPr>
        <w:t>1)应急事件分析</w:t>
      </w:r>
    </w:p>
    <w:p w14:paraId="44096CE1">
      <w:pPr>
        <w:pStyle w:val="2"/>
        <w:spacing w:before="60" w:line="271" w:lineRule="auto"/>
        <w:ind w:right="289" w:firstLine="389"/>
        <w:rPr>
          <w:sz w:val="20"/>
          <w:szCs w:val="20"/>
        </w:rPr>
      </w:pPr>
      <w:r>
        <w:rPr>
          <w:spacing w:val="3"/>
          <w:sz w:val="20"/>
          <w:szCs w:val="20"/>
        </w:rPr>
        <w:t>当应急事件发生时，监理机构与运维服务提供方首先要进行事件分析，确定故障的范围和</w:t>
      </w:r>
      <w:r>
        <w:rPr>
          <w:spacing w:val="8"/>
          <w:sz w:val="20"/>
          <w:szCs w:val="20"/>
        </w:rPr>
        <w:t xml:space="preserve"> </w:t>
      </w:r>
      <w:r>
        <w:rPr>
          <w:spacing w:val="3"/>
          <w:sz w:val="20"/>
          <w:szCs w:val="20"/>
        </w:rPr>
        <w:t xml:space="preserve">影响程度，分析判定风险级别。确认为紧急故障或高级别应急事件时，在查找、分析原因和解 </w:t>
      </w:r>
      <w:r>
        <w:rPr>
          <w:spacing w:val="1"/>
          <w:sz w:val="20"/>
          <w:szCs w:val="20"/>
        </w:rPr>
        <w:t>决问题的同时，应在</w:t>
      </w:r>
      <w:r>
        <w:rPr>
          <w:spacing w:val="-56"/>
          <w:sz w:val="20"/>
          <w:szCs w:val="20"/>
        </w:rPr>
        <w:t xml:space="preserve"> </w:t>
      </w:r>
      <w:r>
        <w:rPr>
          <w:rFonts w:ascii="Times New Roman" w:hAnsi="Times New Roman" w:eastAsia="Times New Roman" w:cs="Times New Roman"/>
          <w:sz w:val="20"/>
          <w:szCs w:val="20"/>
        </w:rPr>
        <w:t>SLA</w:t>
      </w:r>
      <w:r>
        <w:rPr>
          <w:rFonts w:ascii="Times New Roman" w:hAnsi="Times New Roman" w:eastAsia="Times New Roman" w:cs="Times New Roman"/>
          <w:spacing w:val="15"/>
          <w:sz w:val="20"/>
          <w:szCs w:val="20"/>
        </w:rPr>
        <w:t xml:space="preserve"> </w:t>
      </w:r>
      <w:r>
        <w:rPr>
          <w:spacing w:val="1"/>
          <w:sz w:val="20"/>
          <w:szCs w:val="20"/>
        </w:rPr>
        <w:t>约定的范围内第一时间</w:t>
      </w:r>
      <w:r>
        <w:rPr>
          <w:sz w:val="20"/>
          <w:szCs w:val="20"/>
        </w:rPr>
        <w:t xml:space="preserve">及时将信息通报到业主单位信息系统运维管理 </w:t>
      </w:r>
      <w:r>
        <w:rPr>
          <w:spacing w:val="3"/>
          <w:sz w:val="20"/>
          <w:szCs w:val="20"/>
        </w:rPr>
        <w:t>部门的主管领导，并向具体承担信息系统运行维护管理责</w:t>
      </w:r>
      <w:r>
        <w:rPr>
          <w:spacing w:val="2"/>
          <w:sz w:val="20"/>
          <w:szCs w:val="20"/>
        </w:rPr>
        <w:t>任的总控中心或总服务台等关键岗位</w:t>
      </w:r>
      <w:r>
        <w:rPr>
          <w:sz w:val="20"/>
          <w:szCs w:val="20"/>
        </w:rPr>
        <w:t xml:space="preserve"> </w:t>
      </w:r>
      <w:r>
        <w:rPr>
          <w:spacing w:val="-1"/>
          <w:sz w:val="20"/>
          <w:szCs w:val="20"/>
        </w:rPr>
        <w:t>报告、说明事件状况。如需其他部门或其他服务商提供协助的，请求相关部门共同解决故障。</w:t>
      </w:r>
    </w:p>
    <w:p w14:paraId="06EA6346">
      <w:pPr>
        <w:spacing w:line="271" w:lineRule="auto"/>
        <w:rPr>
          <w:sz w:val="20"/>
          <w:szCs w:val="20"/>
        </w:rPr>
        <w:sectPr>
          <w:pgSz w:w="10300" w:h="13270"/>
          <w:pgMar w:top="350" w:right="533" w:bottom="400" w:left="1149" w:header="0" w:footer="0" w:gutter="0"/>
          <w:cols w:space="720" w:num="1"/>
        </w:sectPr>
      </w:pPr>
    </w:p>
    <w:p w14:paraId="68556A7E">
      <w:pPr>
        <w:pStyle w:val="2"/>
        <w:rPr>
          <w:sz w:val="18"/>
          <w:szCs w:val="18"/>
        </w:rPr>
      </w:pPr>
      <w:r>
        <w:rPr>
          <w:rFonts w:ascii="Times New Roman" w:hAnsi="Times New Roman" w:eastAsia="Times New Roman" w:cs="Times New Roman"/>
          <w:b/>
          <w:bCs/>
          <w:spacing w:val="11"/>
          <w:position w:val="-3"/>
          <w:sz w:val="21"/>
          <w:szCs w:val="21"/>
        </w:rPr>
        <w:t>594</w:t>
      </w:r>
      <w:r>
        <w:rPr>
          <w:rFonts w:ascii="Times New Roman" w:hAnsi="Times New Roman" w:eastAsia="Times New Roman" w:cs="Times New Roman"/>
          <w:b/>
          <w:bCs/>
          <w:spacing w:val="33"/>
          <w:w w:val="101"/>
          <w:position w:val="-3"/>
          <w:sz w:val="21"/>
          <w:szCs w:val="21"/>
        </w:rPr>
        <w:t xml:space="preserve"> </w:t>
      </w:r>
      <w:r>
        <w:rPr>
          <w:position w:val="-10"/>
          <w:sz w:val="21"/>
          <w:szCs w:val="21"/>
        </w:rPr>
        <w:drawing>
          <wp:inline distT="0" distB="0" distL="0" distR="0">
            <wp:extent cx="266700" cy="202565"/>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382"/>
                    <a:stretch>
                      <a:fillRect/>
                    </a:stretch>
                  </pic:blipFill>
                  <pic:spPr>
                    <a:xfrm>
                      <a:off x="0" y="0"/>
                      <a:ext cx="266718" cy="203132"/>
                    </a:xfrm>
                    <a:prstGeom prst="rect">
                      <a:avLst/>
                    </a:prstGeom>
                  </pic:spPr>
                </pic:pic>
              </a:graphicData>
            </a:graphic>
          </wp:inline>
        </w:drawing>
      </w:r>
      <w:r>
        <w:rPr>
          <w:rFonts w:ascii="Times New Roman" w:hAnsi="Times New Roman" w:eastAsia="Times New Roman" w:cs="Times New Roman"/>
          <w:b/>
          <w:bCs/>
          <w:spacing w:val="10"/>
          <w:position w:val="-3"/>
          <w:sz w:val="21"/>
          <w:szCs w:val="21"/>
        </w:rPr>
        <w:t xml:space="preserve">   </w:t>
      </w:r>
      <w:r>
        <w:rPr>
          <w:spacing w:val="11"/>
          <w:sz w:val="18"/>
          <w:szCs w:val="18"/>
        </w:rPr>
        <w:t>信息系统监理师教程(第2版)</w:t>
      </w:r>
    </w:p>
    <w:p w14:paraId="4633BFF6">
      <w:pPr>
        <w:spacing w:line="328" w:lineRule="auto"/>
        <w:rPr>
          <w:rFonts w:ascii="Arial"/>
          <w:sz w:val="21"/>
        </w:rPr>
      </w:pPr>
    </w:p>
    <w:p w14:paraId="2B3B57B9">
      <w:pPr>
        <w:pStyle w:val="2"/>
        <w:spacing w:line="8390" w:lineRule="exact"/>
        <w:ind w:firstLine="1009"/>
      </w:pPr>
      <w:r>
        <w:rPr>
          <w:position w:val="-167"/>
        </w:rPr>
        <w:pict>
          <v:group id="_x0000_s1647" o:spid="_x0000_s1647" o:spt="203" style="height:419.55pt;width:354.5pt;" coordsize="7090,8390">
            <o:lock v:ext="edit"/>
            <v:shape id="_x0000_s1648" o:spid="_x0000_s1648" o:spt="75" type="#_x0000_t75" style="position:absolute;left:0;top:0;height:8390;width:7090;" filled="f" stroked="f" coordsize="21600,21600">
              <v:path/>
              <v:fill on="f" focussize="0,0"/>
              <v:stroke on="f"/>
              <v:imagedata r:id="rId383" o:title=""/>
              <o:lock v:ext="edit" aspectratio="t"/>
            </v:shape>
            <v:shape id="_x0000_s1649" o:spid="_x0000_s1649" o:spt="202" type="#_x0000_t202" style="position:absolute;left:580;top:127;height:7850;width:6352;" filled="f" stroked="f" coordsize="21600,21600">
              <v:path/>
              <v:fill on="f" focussize="0,0"/>
              <v:stroke on="f"/>
              <v:imagedata o:title=""/>
              <o:lock v:ext="edit" aspectratio="f"/>
              <v:textbox inset="0mm,0mm,0mm,0mm">
                <w:txbxContent>
                  <w:p w14:paraId="4E169A0F">
                    <w:pPr>
                      <w:spacing w:before="20" w:line="219" w:lineRule="auto"/>
                      <w:ind w:left="20"/>
                      <w:rPr>
                        <w:rFonts w:ascii="宋体" w:hAnsi="宋体" w:eastAsia="宋体" w:cs="宋体"/>
                        <w:sz w:val="18"/>
                        <w:szCs w:val="18"/>
                      </w:rPr>
                    </w:pPr>
                    <w:r>
                      <w:rPr>
                        <w:rFonts w:ascii="宋体" w:hAnsi="宋体" w:eastAsia="宋体" w:cs="宋体"/>
                        <w:spacing w:val="-8"/>
                        <w:sz w:val="18"/>
                        <w:szCs w:val="18"/>
                      </w:rPr>
                      <w:t>服务台事件经理    故障问题分析团队</w:t>
                    </w:r>
                    <w:r>
                      <w:rPr>
                        <w:rFonts w:ascii="宋体" w:hAnsi="宋体" w:eastAsia="宋体" w:cs="宋体"/>
                        <w:spacing w:val="12"/>
                        <w:sz w:val="18"/>
                        <w:szCs w:val="18"/>
                      </w:rPr>
                      <w:t xml:space="preserve">    </w:t>
                    </w:r>
                    <w:r>
                      <w:rPr>
                        <w:rFonts w:ascii="宋体" w:hAnsi="宋体" w:eastAsia="宋体" w:cs="宋体"/>
                        <w:spacing w:val="-8"/>
                        <w:sz w:val="18"/>
                        <w:szCs w:val="18"/>
                      </w:rPr>
                      <w:t>故障处理实施团队   运维部门主管领导</w:t>
                    </w:r>
                  </w:p>
                  <w:p w14:paraId="3EAD9F0D">
                    <w:pPr>
                      <w:spacing w:line="286" w:lineRule="auto"/>
                      <w:rPr>
                        <w:rFonts w:ascii="Arial"/>
                        <w:sz w:val="21"/>
                      </w:rPr>
                    </w:pPr>
                  </w:p>
                  <w:p w14:paraId="41E9E39B">
                    <w:pPr>
                      <w:spacing w:before="58" w:line="219" w:lineRule="auto"/>
                      <w:ind w:left="30"/>
                      <w:rPr>
                        <w:rFonts w:ascii="宋体" w:hAnsi="宋体" w:eastAsia="宋体" w:cs="宋体"/>
                        <w:sz w:val="18"/>
                        <w:szCs w:val="18"/>
                      </w:rPr>
                    </w:pPr>
                    <w:r>
                      <w:rPr>
                        <w:rFonts w:ascii="宋体" w:hAnsi="宋体" w:eastAsia="宋体" w:cs="宋体"/>
                        <w:spacing w:val="-5"/>
                        <w:sz w:val="18"/>
                        <w:szCs w:val="18"/>
                      </w:rPr>
                      <w:t>应急事件产</w:t>
                    </w:r>
                    <w:r>
                      <w:rPr>
                        <w:rFonts w:ascii="宋体" w:hAnsi="宋体" w:eastAsia="宋体" w:cs="宋体"/>
                        <w:color w:val="1D7C99"/>
                        <w:spacing w:val="-5"/>
                        <w:sz w:val="18"/>
                        <w:szCs w:val="18"/>
                      </w:rPr>
                      <w:t>生</w:t>
                    </w:r>
                  </w:p>
                  <w:p w14:paraId="0CBB54FC">
                    <w:pPr>
                      <w:spacing w:line="455" w:lineRule="auto"/>
                      <w:rPr>
                        <w:rFonts w:ascii="Arial"/>
                        <w:sz w:val="21"/>
                      </w:rPr>
                    </w:pPr>
                  </w:p>
                  <w:p w14:paraId="2CFCDD83">
                    <w:pPr>
                      <w:spacing w:before="58" w:line="219" w:lineRule="auto"/>
                      <w:ind w:left="209"/>
                      <w:rPr>
                        <w:rFonts w:ascii="宋体" w:hAnsi="宋体" w:eastAsia="宋体" w:cs="宋体"/>
                        <w:sz w:val="18"/>
                        <w:szCs w:val="18"/>
                      </w:rPr>
                    </w:pPr>
                    <w:r>
                      <w:rPr>
                        <w:rFonts w:ascii="宋体" w:hAnsi="宋体" w:eastAsia="宋体" w:cs="宋体"/>
                        <w:spacing w:val="-7"/>
                        <w:sz w:val="18"/>
                        <w:szCs w:val="18"/>
                      </w:rPr>
                      <w:t>事件分析</w:t>
                    </w:r>
                  </w:p>
                  <w:p w14:paraId="46F17260">
                    <w:pPr>
                      <w:spacing w:line="405" w:lineRule="auto"/>
                      <w:rPr>
                        <w:rFonts w:ascii="Arial"/>
                        <w:sz w:val="21"/>
                      </w:rPr>
                    </w:pPr>
                  </w:p>
                  <w:p w14:paraId="415C4357">
                    <w:pPr>
                      <w:spacing w:before="59" w:line="217" w:lineRule="auto"/>
                      <w:ind w:left="289" w:right="5356" w:hanging="169"/>
                      <w:rPr>
                        <w:rFonts w:ascii="宋体" w:hAnsi="宋体" w:eastAsia="宋体" w:cs="宋体"/>
                        <w:sz w:val="18"/>
                        <w:szCs w:val="18"/>
                      </w:rPr>
                    </w:pPr>
                    <w:r>
                      <w:rPr>
                        <w:rFonts w:ascii="宋体" w:hAnsi="宋体" w:eastAsia="宋体" w:cs="宋体"/>
                        <w:spacing w:val="-6"/>
                        <w:sz w:val="18"/>
                        <w:szCs w:val="18"/>
                      </w:rPr>
                      <w:t>向服务台说</w:t>
                    </w:r>
                    <w:r>
                      <w:rPr>
                        <w:rFonts w:ascii="宋体" w:hAnsi="宋体" w:eastAsia="宋体" w:cs="宋体"/>
                        <w:spacing w:val="3"/>
                        <w:sz w:val="18"/>
                        <w:szCs w:val="18"/>
                      </w:rPr>
                      <w:t xml:space="preserve"> </w:t>
                    </w:r>
                    <w:r>
                      <w:rPr>
                        <w:rFonts w:ascii="宋体" w:hAnsi="宋体" w:eastAsia="宋体" w:cs="宋体"/>
                        <w:spacing w:val="-6"/>
                        <w:sz w:val="18"/>
                        <w:szCs w:val="18"/>
                      </w:rPr>
                      <w:t>明事件</w:t>
                    </w:r>
                  </w:p>
                  <w:p w14:paraId="53C4DBC0">
                    <w:pPr>
                      <w:spacing w:line="271" w:lineRule="auto"/>
                      <w:rPr>
                        <w:rFonts w:ascii="Arial"/>
                        <w:sz w:val="21"/>
                      </w:rPr>
                    </w:pPr>
                  </w:p>
                  <w:p w14:paraId="5395C97A">
                    <w:pPr>
                      <w:spacing w:line="272" w:lineRule="auto"/>
                      <w:rPr>
                        <w:rFonts w:ascii="Arial"/>
                        <w:sz w:val="21"/>
                      </w:rPr>
                    </w:pPr>
                  </w:p>
                  <w:p w14:paraId="4DF12FBF">
                    <w:pPr>
                      <w:spacing w:line="272" w:lineRule="auto"/>
                      <w:rPr>
                        <w:rFonts w:ascii="Arial"/>
                        <w:sz w:val="21"/>
                      </w:rPr>
                    </w:pPr>
                  </w:p>
                  <w:p w14:paraId="68D9EA2D">
                    <w:pPr>
                      <w:spacing w:before="59" w:line="163" w:lineRule="auto"/>
                      <w:ind w:left="2809"/>
                      <w:rPr>
                        <w:rFonts w:ascii="宋体" w:hAnsi="宋体" w:eastAsia="宋体" w:cs="宋体"/>
                        <w:sz w:val="18"/>
                        <w:szCs w:val="18"/>
                      </w:rPr>
                    </w:pPr>
                    <w:r>
                      <w:rPr>
                        <w:rFonts w:ascii="宋体" w:hAnsi="宋体" w:eastAsia="宋体" w:cs="宋体"/>
                        <w:sz w:val="18"/>
                        <w:szCs w:val="18"/>
                      </w:rPr>
                      <w:t>是</w:t>
                    </w:r>
                  </w:p>
                  <w:p w14:paraId="44A108C9">
                    <w:pPr>
                      <w:spacing w:line="198" w:lineRule="auto"/>
                      <w:ind w:left="1669"/>
                      <w:rPr>
                        <w:rFonts w:ascii="宋体" w:hAnsi="宋体" w:eastAsia="宋体" w:cs="宋体"/>
                        <w:sz w:val="18"/>
                        <w:szCs w:val="18"/>
                      </w:rPr>
                    </w:pPr>
                    <w:r>
                      <w:rPr>
                        <w:rFonts w:ascii="宋体" w:hAnsi="宋体" w:eastAsia="宋体" w:cs="宋体"/>
                        <w:spacing w:val="-8"/>
                        <w:sz w:val="18"/>
                        <w:szCs w:val="18"/>
                      </w:rPr>
                      <w:t>是否自行处</w:t>
                    </w:r>
                    <w:r>
                      <w:rPr>
                        <w:rFonts w:ascii="宋体" w:hAnsi="宋体" w:eastAsia="宋体" w:cs="宋体"/>
                        <w:color w:val="2072B1"/>
                        <w:spacing w:val="-8"/>
                        <w:sz w:val="18"/>
                        <w:szCs w:val="18"/>
                      </w:rPr>
                      <w:t>理</w:t>
                    </w:r>
                  </w:p>
                  <w:p w14:paraId="0DBAAC2F">
                    <w:pPr>
                      <w:spacing w:before="265" w:line="223" w:lineRule="auto"/>
                      <w:ind w:left="1929"/>
                      <w:rPr>
                        <w:rFonts w:ascii="黑体" w:hAnsi="黑体" w:eastAsia="黑体" w:cs="黑体"/>
                        <w:sz w:val="18"/>
                        <w:szCs w:val="18"/>
                      </w:rPr>
                    </w:pPr>
                    <w:r>
                      <w:rPr>
                        <w:rFonts w:ascii="黑体" w:hAnsi="黑体" w:eastAsia="黑体" w:cs="黑体"/>
                        <w:sz w:val="18"/>
                        <w:szCs w:val="18"/>
                      </w:rPr>
                      <w:t>否</w:t>
                    </w:r>
                  </w:p>
                  <w:p w14:paraId="3BFFB39D">
                    <w:pPr>
                      <w:spacing w:before="202" w:line="217" w:lineRule="auto"/>
                      <w:ind w:left="1649" w:right="3632" w:firstLine="90"/>
                      <w:rPr>
                        <w:rFonts w:ascii="宋体" w:hAnsi="宋体" w:eastAsia="宋体" w:cs="宋体"/>
                        <w:sz w:val="18"/>
                        <w:szCs w:val="18"/>
                      </w:rPr>
                    </w:pPr>
                    <w:r>
                      <w:rPr>
                        <w:rFonts w:ascii="宋体" w:hAnsi="宋体" w:eastAsia="宋体" w:cs="宋体"/>
                        <w:spacing w:val="-7"/>
                        <w:sz w:val="18"/>
                        <w:szCs w:val="18"/>
                      </w:rPr>
                      <w:t>报故障处理</w:t>
                    </w:r>
                    <w:r>
                      <w:rPr>
                        <w:rFonts w:ascii="宋体" w:hAnsi="宋体" w:eastAsia="宋体" w:cs="宋体"/>
                        <w:sz w:val="18"/>
                        <w:szCs w:val="18"/>
                      </w:rPr>
                      <w:t xml:space="preserve">  </w:t>
                    </w:r>
                    <w:r>
                      <w:rPr>
                        <w:rFonts w:ascii="宋体" w:hAnsi="宋体" w:eastAsia="宋体" w:cs="宋体"/>
                        <w:spacing w:val="-2"/>
                        <w:sz w:val="18"/>
                        <w:szCs w:val="18"/>
                      </w:rPr>
                      <w:t>并附分析意见</w:t>
                    </w:r>
                  </w:p>
                  <w:p w14:paraId="7320419D">
                    <w:pPr>
                      <w:spacing w:line="278" w:lineRule="auto"/>
                      <w:rPr>
                        <w:rFonts w:ascii="Arial"/>
                        <w:sz w:val="21"/>
                      </w:rPr>
                    </w:pPr>
                  </w:p>
                  <w:p w14:paraId="4DB6F762">
                    <w:pPr>
                      <w:spacing w:line="278" w:lineRule="auto"/>
                      <w:rPr>
                        <w:rFonts w:ascii="Arial"/>
                        <w:sz w:val="21"/>
                      </w:rPr>
                    </w:pPr>
                  </w:p>
                  <w:p w14:paraId="331737A6">
                    <w:pPr>
                      <w:spacing w:line="278" w:lineRule="auto"/>
                      <w:rPr>
                        <w:rFonts w:ascii="Arial"/>
                        <w:sz w:val="21"/>
                      </w:rPr>
                    </w:pPr>
                  </w:p>
                  <w:p w14:paraId="26D2B298">
                    <w:pPr>
                      <w:spacing w:line="278" w:lineRule="auto"/>
                      <w:rPr>
                        <w:rFonts w:ascii="Arial"/>
                        <w:sz w:val="21"/>
                      </w:rPr>
                    </w:pPr>
                  </w:p>
                  <w:p w14:paraId="4C101FC3">
                    <w:pPr>
                      <w:spacing w:before="59" w:line="219" w:lineRule="auto"/>
                      <w:ind w:left="3629"/>
                      <w:rPr>
                        <w:rFonts w:ascii="宋体" w:hAnsi="宋体" w:eastAsia="宋体" w:cs="宋体"/>
                        <w:sz w:val="18"/>
                        <w:szCs w:val="18"/>
                      </w:rPr>
                    </w:pPr>
                    <w:r>
                      <w:rPr>
                        <w:rFonts w:ascii="宋体" w:hAnsi="宋体" w:eastAsia="宋体" w:cs="宋体"/>
                        <w:spacing w:val="-9"/>
                        <w:sz w:val="18"/>
                        <w:szCs w:val="18"/>
                      </w:rPr>
                      <w:t>故障处理</w:t>
                    </w:r>
                  </w:p>
                  <w:p w14:paraId="19A209DE">
                    <w:pPr>
                      <w:spacing w:line="355" w:lineRule="auto"/>
                      <w:rPr>
                        <w:rFonts w:ascii="Arial"/>
                        <w:sz w:val="21"/>
                      </w:rPr>
                    </w:pPr>
                  </w:p>
                  <w:p w14:paraId="23BEB6A0">
                    <w:pPr>
                      <w:spacing w:before="59" w:line="221" w:lineRule="auto"/>
                      <w:ind w:left="2678" w:right="2819" w:hanging="9"/>
                      <w:rPr>
                        <w:rFonts w:ascii="宋体" w:hAnsi="宋体" w:eastAsia="宋体" w:cs="宋体"/>
                        <w:sz w:val="18"/>
                        <w:szCs w:val="18"/>
                      </w:rPr>
                    </w:pPr>
                    <w:r>
                      <w:rPr>
                        <w:rFonts w:ascii="宋体" w:hAnsi="宋体" w:eastAsia="宋体" w:cs="宋体"/>
                        <w:spacing w:val="-8"/>
                        <w:sz w:val="18"/>
                        <w:szCs w:val="18"/>
                      </w:rPr>
                      <w:t>《故障</w:t>
                    </w:r>
                    <w:r>
                      <w:rPr>
                        <w:rFonts w:ascii="宋体" w:hAnsi="宋体" w:eastAsia="宋体" w:cs="宋体"/>
                        <w:color w:val="006BD6"/>
                        <w:spacing w:val="-8"/>
                        <w:sz w:val="18"/>
                        <w:szCs w:val="18"/>
                      </w:rPr>
                      <w:t>记</w:t>
                    </w:r>
                    <w:r>
                      <w:rPr>
                        <w:rFonts w:ascii="宋体" w:hAnsi="宋体" w:eastAsia="宋体" w:cs="宋体"/>
                        <w:spacing w:val="-8"/>
                        <w:sz w:val="18"/>
                        <w:szCs w:val="18"/>
                      </w:rPr>
                      <w:t>录</w:t>
                    </w:r>
                    <w:r>
                      <w:rPr>
                        <w:rFonts w:ascii="宋体" w:hAnsi="宋体" w:eastAsia="宋体" w:cs="宋体"/>
                        <w:spacing w:val="1"/>
                        <w:sz w:val="18"/>
                        <w:szCs w:val="18"/>
                      </w:rPr>
                      <w:t xml:space="preserve"> </w:t>
                    </w:r>
                    <w:r>
                      <w:rPr>
                        <w:rFonts w:ascii="宋体" w:hAnsi="宋体" w:eastAsia="宋体" w:cs="宋体"/>
                        <w:spacing w:val="-3"/>
                        <w:sz w:val="18"/>
                        <w:szCs w:val="18"/>
                      </w:rPr>
                      <w:t>及报告》</w:t>
                    </w:r>
                  </w:p>
                  <w:p w14:paraId="3EC5B3BA">
                    <w:pPr>
                      <w:spacing w:line="298" w:lineRule="auto"/>
                      <w:rPr>
                        <w:rFonts w:ascii="Arial"/>
                        <w:sz w:val="21"/>
                      </w:rPr>
                    </w:pPr>
                  </w:p>
                  <w:p w14:paraId="463DC8D0">
                    <w:pPr>
                      <w:spacing w:line="298" w:lineRule="auto"/>
                      <w:rPr>
                        <w:rFonts w:ascii="Arial"/>
                        <w:sz w:val="21"/>
                      </w:rPr>
                    </w:pPr>
                  </w:p>
                  <w:p w14:paraId="7E354DAE">
                    <w:pPr>
                      <w:spacing w:before="59" w:line="219" w:lineRule="auto"/>
                      <w:ind w:left="3459"/>
                      <w:rPr>
                        <w:rFonts w:ascii="宋体" w:hAnsi="宋体" w:eastAsia="宋体" w:cs="宋体"/>
                        <w:sz w:val="18"/>
                        <w:szCs w:val="18"/>
                      </w:rPr>
                    </w:pPr>
                    <w:r>
                      <w:rPr>
                        <w:rFonts w:ascii="宋体" w:hAnsi="宋体" w:eastAsia="宋体" w:cs="宋体"/>
                        <w:color w:val="2195D0"/>
                        <w:spacing w:val="-3"/>
                        <w:sz w:val="18"/>
                        <w:szCs w:val="18"/>
                      </w:rPr>
                      <w:t>应</w:t>
                    </w:r>
                    <w:r>
                      <w:rPr>
                        <w:rFonts w:ascii="宋体" w:hAnsi="宋体" w:eastAsia="宋体" w:cs="宋体"/>
                        <w:spacing w:val="-3"/>
                        <w:sz w:val="18"/>
                        <w:szCs w:val="18"/>
                      </w:rPr>
                      <w:t>急事件关闭</w:t>
                    </w:r>
                  </w:p>
                </w:txbxContent>
              </v:textbox>
            </v:shape>
            <v:shape id="_x0000_s1650" o:spid="_x0000_s1650" o:spt="202" type="#_x0000_t202" style="position:absolute;left:170;top:791;height:6350;width:202;" filled="f" stroked="f" coordsize="21600,21600">
              <v:path/>
              <v:fill on="f" focussize="0,0"/>
              <v:stroke on="f"/>
              <v:imagedata o:title=""/>
              <o:lock v:ext="edit" aspectratio="f"/>
              <v:textbox inset="0mm,0mm,0mm,0mm" style="layout-flow:vertical-ideographic;">
                <w:txbxContent>
                  <w:p w14:paraId="1BF998A9">
                    <w:pPr>
                      <w:spacing w:before="20" w:line="206" w:lineRule="auto"/>
                      <w:ind w:left="20"/>
                      <w:rPr>
                        <w:rFonts w:ascii="宋体" w:hAnsi="宋体" w:eastAsia="宋体" w:cs="宋体"/>
                        <w:sz w:val="16"/>
                        <w:szCs w:val="16"/>
                      </w:rPr>
                    </w:pPr>
                    <w:r>
                      <w:rPr>
                        <w:rFonts w:ascii="宋体" w:hAnsi="宋体" w:eastAsia="宋体" w:cs="宋体"/>
                        <w:spacing w:val="17"/>
                        <w:sz w:val="16"/>
                        <w:szCs w:val="16"/>
                      </w:rPr>
                      <w:t>应急事件受理</w:t>
                    </w:r>
                    <w:r>
                      <w:rPr>
                        <w:rFonts w:ascii="宋体" w:hAnsi="宋体" w:eastAsia="宋体" w:cs="宋体"/>
                        <w:spacing w:val="2"/>
                        <w:sz w:val="16"/>
                        <w:szCs w:val="16"/>
                      </w:rPr>
                      <w:t xml:space="preserve">                       </w:t>
                    </w:r>
                    <w:r>
                      <w:rPr>
                        <w:rFonts w:ascii="宋体" w:hAnsi="宋体" w:eastAsia="宋体" w:cs="宋体"/>
                        <w:spacing w:val="17"/>
                        <w:position w:val="1"/>
                        <w:sz w:val="16"/>
                        <w:szCs w:val="16"/>
                      </w:rPr>
                      <w:t>故障分析</w:t>
                    </w:r>
                    <w:r>
                      <w:rPr>
                        <w:rFonts w:ascii="宋体" w:hAnsi="宋体" w:eastAsia="宋体" w:cs="宋体"/>
                        <w:spacing w:val="1"/>
                        <w:position w:val="1"/>
                        <w:sz w:val="16"/>
                        <w:szCs w:val="16"/>
                      </w:rPr>
                      <w:t xml:space="preserve">                        </w:t>
                    </w:r>
                    <w:r>
                      <w:rPr>
                        <w:rFonts w:ascii="宋体" w:hAnsi="宋体" w:eastAsia="宋体" w:cs="宋体"/>
                        <w:spacing w:val="17"/>
                        <w:sz w:val="16"/>
                        <w:szCs w:val="16"/>
                      </w:rPr>
                      <w:t>故障处理</w:t>
                    </w:r>
                  </w:p>
                </w:txbxContent>
              </v:textbox>
            </v:shape>
            <v:shape id="_x0000_s1651" o:spid="_x0000_s1651" o:spt="202" type="#_x0000_t202" style="position:absolute;left:5759;top:1807;height:420;width:915;" filled="f" stroked="f" coordsize="21600,21600">
              <v:path/>
              <v:fill on="f" focussize="0,0"/>
              <v:stroke on="f"/>
              <v:imagedata o:title=""/>
              <o:lock v:ext="edit" aspectratio="f"/>
              <v:textbox inset="0mm,0mm,0mm,0mm">
                <w:txbxContent>
                  <w:p w14:paraId="6DC25BE5">
                    <w:pPr>
                      <w:spacing w:before="20" w:line="212" w:lineRule="auto"/>
                      <w:ind w:left="280" w:right="20" w:hanging="260"/>
                      <w:rPr>
                        <w:rFonts w:ascii="宋体" w:hAnsi="宋体" w:eastAsia="宋体" w:cs="宋体"/>
                        <w:sz w:val="18"/>
                        <w:szCs w:val="18"/>
                      </w:rPr>
                    </w:pPr>
                    <w:r>
                      <w:rPr>
                        <w:rFonts w:ascii="宋体" w:hAnsi="宋体" w:eastAsia="宋体" w:cs="宋体"/>
                        <w:spacing w:val="-6"/>
                        <w:sz w:val="18"/>
                        <w:szCs w:val="18"/>
                      </w:rPr>
                      <w:t>向领导汇报</w:t>
                    </w:r>
                    <w:r>
                      <w:rPr>
                        <w:rFonts w:ascii="宋体" w:hAnsi="宋体" w:eastAsia="宋体" w:cs="宋体"/>
                        <w:spacing w:val="3"/>
                        <w:sz w:val="18"/>
                        <w:szCs w:val="18"/>
                      </w:rPr>
                      <w:t xml:space="preserve"> </w:t>
                    </w:r>
                    <w:r>
                      <w:rPr>
                        <w:rFonts w:ascii="宋体" w:hAnsi="宋体" w:eastAsia="宋体" w:cs="宋体"/>
                        <w:spacing w:val="-2"/>
                        <w:sz w:val="18"/>
                        <w:szCs w:val="18"/>
                      </w:rPr>
                      <w:t>事件</w:t>
                    </w:r>
                  </w:p>
                </w:txbxContent>
              </v:textbox>
            </v:shape>
            <w10:wrap type="none"/>
            <w10:anchorlock/>
          </v:group>
        </w:pict>
      </w:r>
    </w:p>
    <w:p w14:paraId="49E09580">
      <w:pPr>
        <w:pStyle w:val="2"/>
        <w:spacing w:before="97" w:line="219" w:lineRule="auto"/>
        <w:ind w:left="3459"/>
        <w:rPr>
          <w:sz w:val="18"/>
          <w:szCs w:val="18"/>
        </w:rPr>
      </w:pPr>
      <w:r>
        <w:rPr>
          <w:sz w:val="18"/>
          <w:szCs w:val="18"/>
        </w:rPr>
        <w:t>图25-3</w:t>
      </w:r>
      <w:r>
        <w:rPr>
          <w:spacing w:val="72"/>
          <w:w w:val="101"/>
          <w:sz w:val="18"/>
          <w:szCs w:val="18"/>
        </w:rPr>
        <w:t xml:space="preserve"> </w:t>
      </w:r>
      <w:r>
        <w:rPr>
          <w:sz w:val="18"/>
          <w:szCs w:val="18"/>
        </w:rPr>
        <w:t>应急事件处理流程</w:t>
      </w:r>
    </w:p>
    <w:p w14:paraId="4A81D4E0">
      <w:pPr>
        <w:spacing w:before="281" w:line="223" w:lineRule="auto"/>
        <w:ind w:left="759"/>
        <w:rPr>
          <w:rFonts w:ascii="楷体" w:hAnsi="楷体" w:eastAsia="楷体" w:cs="楷体"/>
          <w:sz w:val="18"/>
          <w:szCs w:val="18"/>
        </w:rPr>
      </w:pPr>
      <w:r>
        <w:rPr>
          <w:rFonts w:ascii="楷体" w:hAnsi="楷体" w:eastAsia="楷体" w:cs="楷体"/>
          <w:spacing w:val="28"/>
          <w:sz w:val="18"/>
          <w:szCs w:val="18"/>
        </w:rPr>
        <w:t>2)成立应急工作组</w:t>
      </w:r>
    </w:p>
    <w:p w14:paraId="02D1DCFB">
      <w:pPr>
        <w:pStyle w:val="2"/>
        <w:spacing w:before="74" w:line="312" w:lineRule="auto"/>
        <w:ind w:left="359" w:firstLine="400"/>
        <w:rPr>
          <w:sz w:val="18"/>
          <w:szCs w:val="18"/>
        </w:rPr>
      </w:pPr>
      <w:r>
        <w:rPr>
          <w:spacing w:val="24"/>
          <w:sz w:val="18"/>
          <w:szCs w:val="18"/>
        </w:rPr>
        <w:t>启动应急流程的申请获批后(包括口头批准),由业主单位的信息系统主管部门负责组建应</w:t>
      </w:r>
      <w:r>
        <w:rPr>
          <w:spacing w:val="16"/>
          <w:sz w:val="18"/>
          <w:szCs w:val="18"/>
        </w:rPr>
        <w:t xml:space="preserve"> </w:t>
      </w:r>
      <w:r>
        <w:rPr>
          <w:spacing w:val="23"/>
          <w:sz w:val="18"/>
          <w:szCs w:val="18"/>
        </w:rPr>
        <w:t>急工作组。应急工作组可能由多方人员组成，包括业主</w:t>
      </w:r>
      <w:r>
        <w:rPr>
          <w:spacing w:val="22"/>
          <w:sz w:val="18"/>
          <w:szCs w:val="18"/>
        </w:rPr>
        <w:t>单位代表、监理机构人员、相关运维服</w:t>
      </w:r>
      <w:r>
        <w:rPr>
          <w:sz w:val="18"/>
          <w:szCs w:val="18"/>
        </w:rPr>
        <w:t xml:space="preserve"> </w:t>
      </w:r>
      <w:r>
        <w:rPr>
          <w:spacing w:val="23"/>
          <w:sz w:val="18"/>
          <w:szCs w:val="18"/>
        </w:rPr>
        <w:t>务提供方及总服务台负责人等。应急工作组对发生的重大事故进行讨论分析，并制定应急处理</w:t>
      </w:r>
      <w:r>
        <w:rPr>
          <w:spacing w:val="12"/>
          <w:sz w:val="18"/>
          <w:szCs w:val="18"/>
        </w:rPr>
        <w:t xml:space="preserve"> </w:t>
      </w:r>
      <w:r>
        <w:rPr>
          <w:spacing w:val="18"/>
          <w:sz w:val="18"/>
          <w:szCs w:val="18"/>
        </w:rPr>
        <w:t>方案。必要的应急方案应开展应急演练，检验应急处理方案的可行性。</w:t>
      </w:r>
    </w:p>
    <w:p w14:paraId="169981AA">
      <w:pPr>
        <w:spacing w:before="108" w:line="229" w:lineRule="auto"/>
        <w:ind w:left="759"/>
        <w:rPr>
          <w:rFonts w:ascii="楷体" w:hAnsi="楷体" w:eastAsia="楷体" w:cs="楷体"/>
          <w:sz w:val="18"/>
          <w:szCs w:val="18"/>
        </w:rPr>
      </w:pPr>
      <w:r>
        <w:rPr>
          <w:rFonts w:ascii="楷体" w:hAnsi="楷体" w:eastAsia="楷体" w:cs="楷体"/>
          <w:spacing w:val="31"/>
          <w:sz w:val="18"/>
          <w:szCs w:val="18"/>
        </w:rPr>
        <w:t>3)应急处理过程</w:t>
      </w:r>
    </w:p>
    <w:p w14:paraId="23E596AB">
      <w:pPr>
        <w:pStyle w:val="2"/>
        <w:spacing w:before="74" w:line="315" w:lineRule="auto"/>
        <w:ind w:left="359" w:firstLine="400"/>
        <w:rPr>
          <w:sz w:val="18"/>
          <w:szCs w:val="18"/>
        </w:rPr>
      </w:pPr>
      <w:r>
        <w:rPr>
          <w:spacing w:val="24"/>
          <w:sz w:val="18"/>
          <w:szCs w:val="18"/>
        </w:rPr>
        <w:t>监理机构根据应急工作组制定的应急处理方</w:t>
      </w:r>
      <w:r>
        <w:rPr>
          <w:spacing w:val="23"/>
          <w:sz w:val="18"/>
          <w:szCs w:val="18"/>
        </w:rPr>
        <w:t>案监督具体实施，涉及客户现场服务的应取得</w:t>
      </w:r>
      <w:r>
        <w:rPr>
          <w:sz w:val="18"/>
          <w:szCs w:val="18"/>
        </w:rPr>
        <w:t xml:space="preserve"> </w:t>
      </w:r>
      <w:r>
        <w:rPr>
          <w:spacing w:val="18"/>
          <w:sz w:val="18"/>
          <w:szCs w:val="18"/>
        </w:rPr>
        <w:t>客户的签字确认。所有应急处理活动均应予以全面、完整、真实的记录。</w:t>
      </w:r>
    </w:p>
    <w:p w14:paraId="1EFC9A44">
      <w:pPr>
        <w:spacing w:line="315" w:lineRule="auto"/>
        <w:rPr>
          <w:sz w:val="18"/>
          <w:szCs w:val="18"/>
        </w:rPr>
        <w:sectPr>
          <w:pgSz w:w="10310" w:h="13340"/>
          <w:pgMar w:top="370" w:right="1162" w:bottom="400" w:left="450" w:header="0" w:footer="0" w:gutter="0"/>
          <w:cols w:space="720" w:num="1"/>
        </w:sectPr>
      </w:pPr>
    </w:p>
    <w:p w14:paraId="2C1F50BF">
      <w:pPr>
        <w:pStyle w:val="2"/>
        <w:spacing w:before="17" w:line="219" w:lineRule="auto"/>
        <w:jc w:val="right"/>
        <w:rPr>
          <w:rFonts w:ascii="Times New Roman" w:hAnsi="Times New Roman" w:eastAsia="Times New Roman" w:cs="Times New Roman"/>
          <w:sz w:val="19"/>
          <w:szCs w:val="19"/>
        </w:rPr>
      </w:pPr>
      <w:r>
        <w:rPr>
          <w:spacing w:val="4"/>
          <w:sz w:val="19"/>
          <w:szCs w:val="19"/>
        </w:rPr>
        <w:t>第25章</w:t>
      </w:r>
      <w:r>
        <w:rPr>
          <w:spacing w:val="29"/>
          <w:sz w:val="19"/>
          <w:szCs w:val="19"/>
        </w:rPr>
        <w:t xml:space="preserve"> </w:t>
      </w:r>
      <w:r>
        <w:rPr>
          <w:spacing w:val="4"/>
          <w:sz w:val="19"/>
          <w:szCs w:val="19"/>
        </w:rPr>
        <w:t>运行维护监理</w:t>
      </w:r>
      <w:r>
        <w:rPr>
          <w:spacing w:val="2"/>
          <w:sz w:val="19"/>
          <w:szCs w:val="19"/>
        </w:rPr>
        <w:t xml:space="preserve">      </w:t>
      </w:r>
      <w:r>
        <w:rPr>
          <w:rFonts w:ascii="Times New Roman" w:hAnsi="Times New Roman" w:eastAsia="Times New Roman" w:cs="Times New Roman"/>
          <w:spacing w:val="4"/>
          <w:position w:val="-2"/>
          <w:sz w:val="19"/>
          <w:szCs w:val="19"/>
        </w:rPr>
        <w:t>595</w:t>
      </w:r>
    </w:p>
    <w:p w14:paraId="1AE222E9">
      <w:pPr>
        <w:spacing w:line="301" w:lineRule="auto"/>
        <w:rPr>
          <w:rFonts w:ascii="Arial"/>
          <w:sz w:val="21"/>
        </w:rPr>
      </w:pPr>
    </w:p>
    <w:p w14:paraId="74F4E767">
      <w:pPr>
        <w:spacing w:before="61" w:line="223" w:lineRule="auto"/>
        <w:ind w:left="389"/>
        <w:rPr>
          <w:rFonts w:ascii="楷体" w:hAnsi="楷体" w:eastAsia="楷体" w:cs="楷体"/>
          <w:sz w:val="19"/>
          <w:szCs w:val="19"/>
        </w:rPr>
      </w:pPr>
      <w:r>
        <w:rPr>
          <w:rFonts w:ascii="楷体" w:hAnsi="楷体" w:eastAsia="楷体" w:cs="楷体"/>
          <w:spacing w:val="17"/>
          <w:sz w:val="19"/>
          <w:szCs w:val="19"/>
        </w:rPr>
        <w:t>4)应急处理结果评估</w:t>
      </w:r>
    </w:p>
    <w:p w14:paraId="4850E444">
      <w:pPr>
        <w:pStyle w:val="2"/>
        <w:spacing w:before="93" w:line="295" w:lineRule="auto"/>
        <w:ind w:right="247" w:firstLine="389"/>
        <w:rPr>
          <w:sz w:val="19"/>
          <w:szCs w:val="19"/>
        </w:rPr>
      </w:pPr>
      <w:r>
        <w:rPr>
          <w:spacing w:val="13"/>
          <w:sz w:val="19"/>
          <w:szCs w:val="19"/>
        </w:rPr>
        <w:t>应急事件处理过程完成后，各相关单位向应急小组提交</w:t>
      </w:r>
      <w:r>
        <w:rPr>
          <w:spacing w:val="12"/>
          <w:sz w:val="19"/>
          <w:szCs w:val="19"/>
        </w:rPr>
        <w:t>应急处理过程相关记录，包括启动</w:t>
      </w:r>
      <w:r>
        <w:rPr>
          <w:sz w:val="19"/>
          <w:szCs w:val="19"/>
        </w:rPr>
        <w:t xml:space="preserve"> </w:t>
      </w:r>
      <w:r>
        <w:rPr>
          <w:spacing w:val="13"/>
          <w:sz w:val="19"/>
          <w:szCs w:val="19"/>
        </w:rPr>
        <w:t>应急流程申请、应急处理过程记录、资源申请、变更请求</w:t>
      </w:r>
      <w:r>
        <w:rPr>
          <w:spacing w:val="12"/>
          <w:sz w:val="19"/>
          <w:szCs w:val="19"/>
        </w:rPr>
        <w:t>、变更日志等。应急工作组对应急处</w:t>
      </w:r>
      <w:r>
        <w:rPr>
          <w:sz w:val="19"/>
          <w:szCs w:val="19"/>
        </w:rPr>
        <w:t xml:space="preserve"> </w:t>
      </w:r>
      <w:r>
        <w:rPr>
          <w:spacing w:val="16"/>
          <w:sz w:val="19"/>
          <w:szCs w:val="19"/>
        </w:rPr>
        <w:t>理结果进行评估和确认。如果应急工作组评估意见为达到要求(即问题得</w:t>
      </w:r>
      <w:r>
        <w:rPr>
          <w:spacing w:val="15"/>
          <w:sz w:val="19"/>
          <w:szCs w:val="19"/>
        </w:rPr>
        <w:t>到解决并恢复服务),</w:t>
      </w:r>
      <w:r>
        <w:rPr>
          <w:sz w:val="19"/>
          <w:szCs w:val="19"/>
        </w:rPr>
        <w:t xml:space="preserve"> </w:t>
      </w:r>
      <w:r>
        <w:rPr>
          <w:spacing w:val="3"/>
          <w:sz w:val="19"/>
          <w:szCs w:val="19"/>
        </w:rPr>
        <w:t>则应急流程结束。</w:t>
      </w:r>
    </w:p>
    <w:p w14:paraId="774E8C61">
      <w:pPr>
        <w:spacing w:before="139" w:line="229" w:lineRule="auto"/>
        <w:ind w:left="389"/>
        <w:rPr>
          <w:rFonts w:ascii="楷体" w:hAnsi="楷体" w:eastAsia="楷体" w:cs="楷体"/>
          <w:sz w:val="19"/>
          <w:szCs w:val="19"/>
        </w:rPr>
      </w:pPr>
      <w:r>
        <w:rPr>
          <w:rFonts w:ascii="楷体" w:hAnsi="楷体" w:eastAsia="楷体" w:cs="楷体"/>
          <w:spacing w:val="23"/>
          <w:sz w:val="19"/>
          <w:szCs w:val="19"/>
        </w:rPr>
        <w:t>5)统计和报告</w:t>
      </w:r>
    </w:p>
    <w:p w14:paraId="4929EEEF">
      <w:pPr>
        <w:pStyle w:val="2"/>
        <w:spacing w:before="59" w:line="303" w:lineRule="auto"/>
        <w:ind w:right="251" w:firstLine="389"/>
        <w:rPr>
          <w:sz w:val="19"/>
          <w:szCs w:val="19"/>
        </w:rPr>
      </w:pPr>
      <w:r>
        <w:rPr>
          <w:spacing w:val="14"/>
          <w:sz w:val="19"/>
          <w:szCs w:val="19"/>
        </w:rPr>
        <w:t>监理机构定期(每月或每季度)对应急事件及处理情况进行统计，编制应急</w:t>
      </w:r>
      <w:r>
        <w:rPr>
          <w:spacing w:val="13"/>
          <w:sz w:val="19"/>
          <w:szCs w:val="19"/>
        </w:rPr>
        <w:t>事件管理报告，</w:t>
      </w:r>
      <w:r>
        <w:rPr>
          <w:sz w:val="19"/>
          <w:szCs w:val="19"/>
        </w:rPr>
        <w:t xml:space="preserve"> </w:t>
      </w:r>
      <w:r>
        <w:rPr>
          <w:spacing w:val="13"/>
          <w:sz w:val="19"/>
          <w:szCs w:val="19"/>
        </w:rPr>
        <w:t>提交给业主单位。应急事件管理报告的内容包括：启动</w:t>
      </w:r>
      <w:r>
        <w:rPr>
          <w:spacing w:val="12"/>
          <w:sz w:val="19"/>
          <w:szCs w:val="19"/>
        </w:rPr>
        <w:t>应急流程次数(不同类别的次数)、原因</w:t>
      </w:r>
      <w:r>
        <w:rPr>
          <w:sz w:val="19"/>
          <w:szCs w:val="19"/>
        </w:rPr>
        <w:t xml:space="preserve"> </w:t>
      </w:r>
      <w:r>
        <w:rPr>
          <w:spacing w:val="8"/>
          <w:sz w:val="19"/>
          <w:szCs w:val="19"/>
        </w:rPr>
        <w:t>分析、影响分析、完成情况、所需时间、各项资源利用情况、费用情况、意见和建议等。</w:t>
      </w:r>
    </w:p>
    <w:p w14:paraId="36219EA3">
      <w:pPr>
        <w:pStyle w:val="2"/>
        <w:spacing w:before="123" w:line="222" w:lineRule="auto"/>
        <w:ind w:left="392"/>
        <w:rPr>
          <w:rFonts w:ascii="黑体" w:hAnsi="黑体" w:eastAsia="黑体" w:cs="黑体"/>
          <w:sz w:val="19"/>
          <w:szCs w:val="19"/>
        </w:rPr>
      </w:pPr>
      <w:r>
        <w:rPr>
          <w:b/>
          <w:bCs/>
          <w:color w:val="0062D4"/>
          <w:spacing w:val="7"/>
          <w:sz w:val="19"/>
          <w:szCs w:val="19"/>
        </w:rPr>
        <w:t>3.</w:t>
      </w:r>
      <w:r>
        <w:rPr>
          <w:rFonts w:ascii="黑体" w:hAnsi="黑体" w:eastAsia="黑体" w:cs="黑体"/>
          <w:b/>
          <w:bCs/>
          <w:color w:val="0062D4"/>
          <w:spacing w:val="7"/>
          <w:sz w:val="19"/>
          <w:szCs w:val="19"/>
        </w:rPr>
        <w:t>应急管理活动及内容</w:t>
      </w:r>
    </w:p>
    <w:p w14:paraId="31D2166F">
      <w:pPr>
        <w:pStyle w:val="2"/>
        <w:spacing w:before="136" w:line="219" w:lineRule="auto"/>
        <w:ind w:left="389"/>
        <w:rPr>
          <w:sz w:val="19"/>
          <w:szCs w:val="19"/>
        </w:rPr>
      </w:pPr>
      <w:r>
        <w:rPr>
          <w:spacing w:val="6"/>
          <w:sz w:val="19"/>
          <w:szCs w:val="19"/>
        </w:rPr>
        <w:t>应急管理活动及内容具体如下：</w:t>
      </w:r>
    </w:p>
    <w:p w14:paraId="03070AD0">
      <w:pPr>
        <w:pStyle w:val="2"/>
        <w:spacing w:before="93" w:line="219" w:lineRule="auto"/>
        <w:ind w:left="389"/>
        <w:rPr>
          <w:sz w:val="19"/>
          <w:szCs w:val="19"/>
        </w:rPr>
      </w:pPr>
      <w:r>
        <w:rPr>
          <w:spacing w:val="10"/>
          <w:sz w:val="19"/>
          <w:szCs w:val="19"/>
        </w:rPr>
        <w:t>(1)督促运维服务提供方建立应急预案，主要包括：</w:t>
      </w:r>
    </w:p>
    <w:p w14:paraId="21188DCE">
      <w:pPr>
        <w:pStyle w:val="2"/>
        <w:spacing w:before="86" w:line="220" w:lineRule="auto"/>
        <w:ind w:left="389"/>
        <w:rPr>
          <w:sz w:val="19"/>
          <w:szCs w:val="19"/>
        </w:rPr>
      </w:pPr>
      <w:r>
        <w:rPr>
          <w:spacing w:val="9"/>
          <w:sz w:val="19"/>
          <w:szCs w:val="19"/>
        </w:rPr>
        <w:t>●</w:t>
      </w:r>
      <w:r>
        <w:rPr>
          <w:spacing w:val="-63"/>
          <w:sz w:val="19"/>
          <w:szCs w:val="19"/>
        </w:rPr>
        <w:t xml:space="preserve"> </w:t>
      </w:r>
      <w:r>
        <w:rPr>
          <w:spacing w:val="9"/>
          <w:sz w:val="19"/>
          <w:szCs w:val="19"/>
        </w:rPr>
        <w:t>应急组织结构；</w:t>
      </w:r>
    </w:p>
    <w:p w14:paraId="4B38F8F0">
      <w:pPr>
        <w:pStyle w:val="2"/>
        <w:spacing w:before="94" w:line="219" w:lineRule="auto"/>
        <w:ind w:left="389"/>
        <w:rPr>
          <w:sz w:val="19"/>
          <w:szCs w:val="19"/>
        </w:rPr>
      </w:pPr>
      <w:r>
        <w:rPr>
          <w:spacing w:val="9"/>
          <w:sz w:val="19"/>
          <w:szCs w:val="19"/>
        </w:rPr>
        <w:t>●</w:t>
      </w:r>
      <w:r>
        <w:rPr>
          <w:spacing w:val="-63"/>
          <w:sz w:val="19"/>
          <w:szCs w:val="19"/>
        </w:rPr>
        <w:t xml:space="preserve"> </w:t>
      </w:r>
      <w:r>
        <w:rPr>
          <w:spacing w:val="9"/>
          <w:sz w:val="19"/>
          <w:szCs w:val="19"/>
        </w:rPr>
        <w:t>应急管理制度；</w:t>
      </w:r>
    </w:p>
    <w:p w14:paraId="3121EC86">
      <w:pPr>
        <w:pStyle w:val="2"/>
        <w:spacing w:before="102" w:line="218" w:lineRule="auto"/>
        <w:ind w:left="389"/>
        <w:rPr>
          <w:sz w:val="19"/>
          <w:szCs w:val="19"/>
        </w:rPr>
      </w:pPr>
      <w:r>
        <w:rPr>
          <w:spacing w:val="9"/>
          <w:sz w:val="19"/>
          <w:szCs w:val="19"/>
        </w:rPr>
        <w:t>●</w:t>
      </w:r>
      <w:r>
        <w:rPr>
          <w:spacing w:val="-63"/>
          <w:sz w:val="19"/>
          <w:szCs w:val="19"/>
        </w:rPr>
        <w:t xml:space="preserve"> </w:t>
      </w:r>
      <w:r>
        <w:rPr>
          <w:spacing w:val="9"/>
          <w:sz w:val="19"/>
          <w:szCs w:val="19"/>
        </w:rPr>
        <w:t>风险识别评估；</w:t>
      </w:r>
    </w:p>
    <w:p w14:paraId="7B5881A0">
      <w:pPr>
        <w:pStyle w:val="2"/>
        <w:spacing w:before="98" w:line="220" w:lineRule="auto"/>
        <w:ind w:left="389"/>
        <w:rPr>
          <w:sz w:val="19"/>
          <w:szCs w:val="19"/>
        </w:rPr>
      </w:pPr>
      <w:r>
        <w:rPr>
          <w:spacing w:val="9"/>
          <w:sz w:val="19"/>
          <w:szCs w:val="19"/>
        </w:rPr>
        <w:t>●</w:t>
      </w:r>
      <w:r>
        <w:rPr>
          <w:spacing w:val="-63"/>
          <w:sz w:val="19"/>
          <w:szCs w:val="19"/>
        </w:rPr>
        <w:t xml:space="preserve"> </w:t>
      </w:r>
      <w:r>
        <w:rPr>
          <w:spacing w:val="9"/>
          <w:sz w:val="19"/>
          <w:szCs w:val="19"/>
        </w:rPr>
        <w:t>应急响应预案；</w:t>
      </w:r>
    </w:p>
    <w:p w14:paraId="2424BA7C">
      <w:pPr>
        <w:pStyle w:val="2"/>
        <w:spacing w:before="94" w:line="220" w:lineRule="auto"/>
        <w:ind w:left="389"/>
        <w:rPr>
          <w:sz w:val="19"/>
          <w:szCs w:val="19"/>
        </w:rPr>
      </w:pPr>
      <w:r>
        <w:rPr>
          <w:spacing w:val="9"/>
          <w:sz w:val="19"/>
          <w:szCs w:val="19"/>
        </w:rPr>
        <w:t>●</w:t>
      </w:r>
      <w:r>
        <w:rPr>
          <w:spacing w:val="-55"/>
          <w:sz w:val="19"/>
          <w:szCs w:val="19"/>
        </w:rPr>
        <w:t xml:space="preserve"> </w:t>
      </w:r>
      <w:r>
        <w:rPr>
          <w:spacing w:val="9"/>
          <w:sz w:val="19"/>
          <w:szCs w:val="19"/>
        </w:rPr>
        <w:t>应急培训；</w:t>
      </w:r>
    </w:p>
    <w:p w14:paraId="613C1D21">
      <w:pPr>
        <w:pStyle w:val="2"/>
        <w:spacing w:before="104" w:line="221" w:lineRule="auto"/>
        <w:ind w:left="389"/>
        <w:rPr>
          <w:sz w:val="19"/>
          <w:szCs w:val="19"/>
        </w:rPr>
      </w:pPr>
      <w:r>
        <w:rPr>
          <w:spacing w:val="9"/>
          <w:sz w:val="19"/>
          <w:szCs w:val="19"/>
        </w:rPr>
        <w:t>●</w:t>
      </w:r>
      <w:r>
        <w:rPr>
          <w:spacing w:val="-55"/>
          <w:sz w:val="19"/>
          <w:szCs w:val="19"/>
        </w:rPr>
        <w:t xml:space="preserve"> </w:t>
      </w:r>
      <w:r>
        <w:rPr>
          <w:spacing w:val="9"/>
          <w:sz w:val="19"/>
          <w:szCs w:val="19"/>
        </w:rPr>
        <w:t>应急演练；</w:t>
      </w:r>
    </w:p>
    <w:p w14:paraId="418BF031">
      <w:pPr>
        <w:pStyle w:val="2"/>
        <w:spacing w:before="92" w:line="219" w:lineRule="auto"/>
        <w:ind w:left="389"/>
        <w:rPr>
          <w:sz w:val="19"/>
          <w:szCs w:val="19"/>
        </w:rPr>
      </w:pPr>
      <w:r>
        <w:rPr>
          <w:spacing w:val="9"/>
          <w:sz w:val="19"/>
          <w:szCs w:val="19"/>
        </w:rPr>
        <w:t>●</w:t>
      </w:r>
      <w:r>
        <w:rPr>
          <w:spacing w:val="-55"/>
          <w:sz w:val="19"/>
          <w:szCs w:val="19"/>
        </w:rPr>
        <w:t xml:space="preserve"> </w:t>
      </w:r>
      <w:r>
        <w:rPr>
          <w:spacing w:val="9"/>
          <w:sz w:val="19"/>
          <w:szCs w:val="19"/>
        </w:rPr>
        <w:t>检验分析；</w:t>
      </w:r>
    </w:p>
    <w:p w14:paraId="53A3BB25">
      <w:pPr>
        <w:pStyle w:val="2"/>
        <w:spacing w:before="94" w:line="219" w:lineRule="auto"/>
        <w:ind w:left="389"/>
        <w:rPr>
          <w:sz w:val="19"/>
          <w:szCs w:val="19"/>
        </w:rPr>
      </w:pPr>
      <w:r>
        <w:rPr>
          <w:spacing w:val="11"/>
          <w:sz w:val="19"/>
          <w:szCs w:val="19"/>
        </w:rPr>
        <w:t>●</w:t>
      </w:r>
      <w:r>
        <w:rPr>
          <w:spacing w:val="-58"/>
          <w:sz w:val="19"/>
          <w:szCs w:val="19"/>
        </w:rPr>
        <w:t xml:space="preserve"> </w:t>
      </w:r>
      <w:r>
        <w:rPr>
          <w:spacing w:val="11"/>
          <w:sz w:val="19"/>
          <w:szCs w:val="19"/>
        </w:rPr>
        <w:t>完善和改进。</w:t>
      </w:r>
    </w:p>
    <w:p w14:paraId="3F06A2C7">
      <w:pPr>
        <w:pStyle w:val="2"/>
        <w:spacing w:before="105" w:line="219" w:lineRule="auto"/>
        <w:ind w:left="389"/>
        <w:rPr>
          <w:sz w:val="19"/>
          <w:szCs w:val="19"/>
        </w:rPr>
      </w:pPr>
      <w:r>
        <w:rPr>
          <w:spacing w:val="11"/>
          <w:sz w:val="19"/>
          <w:szCs w:val="19"/>
        </w:rPr>
        <w:t>(2)评审应急管理方案，重点包括：</w:t>
      </w:r>
    </w:p>
    <w:p w14:paraId="38F4A235">
      <w:pPr>
        <w:pStyle w:val="2"/>
        <w:spacing w:before="85" w:line="220" w:lineRule="auto"/>
        <w:ind w:left="389"/>
        <w:rPr>
          <w:sz w:val="19"/>
          <w:szCs w:val="19"/>
        </w:rPr>
      </w:pPr>
      <w:r>
        <w:rPr>
          <w:spacing w:val="12"/>
          <w:sz w:val="19"/>
          <w:szCs w:val="19"/>
        </w:rPr>
        <w:t>●风险识别和分析；</w:t>
      </w:r>
    </w:p>
    <w:p w14:paraId="67AEED06">
      <w:pPr>
        <w:pStyle w:val="2"/>
        <w:spacing w:before="94" w:line="221" w:lineRule="auto"/>
        <w:ind w:left="389"/>
        <w:rPr>
          <w:sz w:val="19"/>
          <w:szCs w:val="19"/>
        </w:rPr>
      </w:pPr>
      <w:r>
        <w:rPr>
          <w:spacing w:val="9"/>
          <w:sz w:val="19"/>
          <w:szCs w:val="19"/>
        </w:rPr>
        <w:t>●</w:t>
      </w:r>
      <w:r>
        <w:rPr>
          <w:spacing w:val="-55"/>
          <w:sz w:val="19"/>
          <w:szCs w:val="19"/>
        </w:rPr>
        <w:t xml:space="preserve"> </w:t>
      </w:r>
      <w:r>
        <w:rPr>
          <w:spacing w:val="9"/>
          <w:sz w:val="19"/>
          <w:szCs w:val="19"/>
        </w:rPr>
        <w:t>应急资源；</w:t>
      </w:r>
    </w:p>
    <w:p w14:paraId="49853809">
      <w:pPr>
        <w:pStyle w:val="2"/>
        <w:spacing w:before="92" w:line="220" w:lineRule="auto"/>
        <w:ind w:left="389"/>
        <w:rPr>
          <w:sz w:val="19"/>
          <w:szCs w:val="19"/>
        </w:rPr>
      </w:pPr>
      <w:r>
        <w:rPr>
          <w:spacing w:val="12"/>
          <w:sz w:val="19"/>
          <w:szCs w:val="19"/>
        </w:rPr>
        <w:t>●组织结构和人员；</w:t>
      </w:r>
    </w:p>
    <w:p w14:paraId="487B01DC">
      <w:pPr>
        <w:pStyle w:val="2"/>
        <w:spacing w:before="82" w:line="219" w:lineRule="auto"/>
        <w:ind w:left="389"/>
        <w:rPr>
          <w:sz w:val="19"/>
          <w:szCs w:val="19"/>
        </w:rPr>
      </w:pPr>
      <w:r>
        <w:rPr>
          <w:spacing w:val="12"/>
          <w:sz w:val="19"/>
          <w:szCs w:val="19"/>
        </w:rPr>
        <w:t>●检测和预警机制；</w:t>
      </w:r>
    </w:p>
    <w:p w14:paraId="0AD7EE74">
      <w:pPr>
        <w:pStyle w:val="2"/>
        <w:spacing w:before="96" w:line="219" w:lineRule="auto"/>
        <w:ind w:left="389"/>
        <w:rPr>
          <w:sz w:val="19"/>
          <w:szCs w:val="19"/>
        </w:rPr>
      </w:pPr>
      <w:r>
        <w:rPr>
          <w:spacing w:val="11"/>
          <w:sz w:val="19"/>
          <w:szCs w:val="19"/>
        </w:rPr>
        <w:t>●应急响应流程、操作规范；</w:t>
      </w:r>
    </w:p>
    <w:p w14:paraId="48A59197">
      <w:pPr>
        <w:pStyle w:val="2"/>
        <w:spacing w:before="94" w:line="219" w:lineRule="auto"/>
        <w:ind w:left="389"/>
        <w:rPr>
          <w:sz w:val="19"/>
          <w:szCs w:val="19"/>
        </w:rPr>
      </w:pPr>
      <w:r>
        <w:rPr>
          <w:spacing w:val="11"/>
          <w:sz w:val="19"/>
          <w:szCs w:val="19"/>
        </w:rPr>
        <w:t>●</w:t>
      </w:r>
      <w:r>
        <w:rPr>
          <w:spacing w:val="-58"/>
          <w:sz w:val="19"/>
          <w:szCs w:val="19"/>
        </w:rPr>
        <w:t xml:space="preserve"> </w:t>
      </w:r>
      <w:r>
        <w:rPr>
          <w:spacing w:val="11"/>
          <w:sz w:val="19"/>
          <w:szCs w:val="19"/>
        </w:rPr>
        <w:t>保障措施等。</w:t>
      </w:r>
    </w:p>
    <w:p w14:paraId="54CD8B01">
      <w:pPr>
        <w:pStyle w:val="2"/>
        <w:spacing w:before="94" w:line="219" w:lineRule="auto"/>
        <w:ind w:left="389"/>
        <w:rPr>
          <w:sz w:val="19"/>
          <w:szCs w:val="19"/>
        </w:rPr>
      </w:pPr>
      <w:r>
        <w:rPr>
          <w:spacing w:val="11"/>
          <w:sz w:val="19"/>
          <w:szCs w:val="19"/>
        </w:rPr>
        <w:t>(3)督促运维服务提供方做好针对各类运行维护对象的日常监测预警，主要包括：</w:t>
      </w:r>
    </w:p>
    <w:p w14:paraId="44BD81A0">
      <w:pPr>
        <w:pStyle w:val="2"/>
        <w:spacing w:before="84" w:line="219" w:lineRule="auto"/>
        <w:ind w:left="389"/>
        <w:rPr>
          <w:sz w:val="19"/>
          <w:szCs w:val="19"/>
        </w:rPr>
      </w:pPr>
      <w:r>
        <w:rPr>
          <w:spacing w:val="11"/>
          <w:sz w:val="19"/>
          <w:szCs w:val="19"/>
        </w:rPr>
        <w:t>●检查运维服务提供方制定的日常监测和预警机制和</w:t>
      </w:r>
      <w:r>
        <w:rPr>
          <w:spacing w:val="10"/>
          <w:sz w:val="19"/>
          <w:szCs w:val="19"/>
        </w:rPr>
        <w:t>制度；</w:t>
      </w:r>
    </w:p>
    <w:p w14:paraId="7CF71DC7">
      <w:pPr>
        <w:pStyle w:val="2"/>
        <w:spacing w:before="84" w:line="218" w:lineRule="auto"/>
        <w:ind w:left="389"/>
        <w:rPr>
          <w:sz w:val="19"/>
          <w:szCs w:val="19"/>
        </w:rPr>
      </w:pPr>
      <w:r>
        <w:rPr>
          <w:spacing w:val="11"/>
          <w:sz w:val="19"/>
          <w:szCs w:val="19"/>
        </w:rPr>
        <w:t>●检查运维服务提供方提交的日常监测和预警记录和</w:t>
      </w:r>
      <w:r>
        <w:rPr>
          <w:spacing w:val="10"/>
          <w:sz w:val="19"/>
          <w:szCs w:val="19"/>
        </w:rPr>
        <w:t>报告；</w:t>
      </w:r>
    </w:p>
    <w:p w14:paraId="741E4B96">
      <w:pPr>
        <w:pStyle w:val="2"/>
        <w:spacing w:before="96" w:line="219" w:lineRule="auto"/>
        <w:ind w:left="389"/>
        <w:rPr>
          <w:sz w:val="19"/>
          <w:szCs w:val="19"/>
        </w:rPr>
      </w:pPr>
      <w:r>
        <w:rPr>
          <w:spacing w:val="11"/>
          <w:sz w:val="19"/>
          <w:szCs w:val="19"/>
        </w:rPr>
        <w:t>●协助运维服务提供方优化日常监测和预警方案和制度。</w:t>
      </w:r>
    </w:p>
    <w:p w14:paraId="4E8B48D0">
      <w:pPr>
        <w:pStyle w:val="2"/>
        <w:spacing w:before="85" w:line="219" w:lineRule="auto"/>
        <w:ind w:left="389"/>
        <w:rPr>
          <w:sz w:val="19"/>
          <w:szCs w:val="19"/>
        </w:rPr>
      </w:pPr>
      <w:r>
        <w:rPr>
          <w:spacing w:val="11"/>
          <w:sz w:val="19"/>
          <w:szCs w:val="19"/>
        </w:rPr>
        <w:t>(4)检查运维服务提供方对应急管理方案的培训和演练工作。</w:t>
      </w:r>
    </w:p>
    <w:p w14:paraId="5B1A4829">
      <w:pPr>
        <w:pStyle w:val="2"/>
        <w:spacing w:before="85" w:line="219" w:lineRule="auto"/>
        <w:ind w:left="389"/>
        <w:rPr>
          <w:sz w:val="19"/>
          <w:szCs w:val="19"/>
        </w:rPr>
      </w:pPr>
      <w:r>
        <w:rPr>
          <w:spacing w:val="11"/>
          <w:sz w:val="19"/>
          <w:szCs w:val="19"/>
        </w:rPr>
        <w:t>(5)在应急事件发生时，督促项目各方做好应急调度和应急处置工作，主要包括：</w:t>
      </w:r>
    </w:p>
    <w:p w14:paraId="2359DF32">
      <w:pPr>
        <w:pStyle w:val="2"/>
        <w:spacing w:before="96" w:line="219" w:lineRule="auto"/>
        <w:ind w:left="389"/>
        <w:rPr>
          <w:sz w:val="19"/>
          <w:szCs w:val="19"/>
        </w:rPr>
      </w:pPr>
      <w:r>
        <w:rPr>
          <w:spacing w:val="10"/>
          <w:sz w:val="19"/>
          <w:szCs w:val="19"/>
        </w:rPr>
        <w:t>●跟踪应急事件的诊断、排查、处置、恢复等过程；</w:t>
      </w:r>
    </w:p>
    <w:p w14:paraId="6BDF7524">
      <w:pPr>
        <w:pStyle w:val="2"/>
        <w:spacing w:before="63" w:line="276" w:lineRule="auto"/>
        <w:ind w:left="689" w:right="296" w:hanging="300"/>
        <w:rPr>
          <w:sz w:val="19"/>
          <w:szCs w:val="19"/>
        </w:rPr>
      </w:pPr>
      <w:r>
        <w:rPr>
          <w:spacing w:val="23"/>
          <w:sz w:val="19"/>
          <w:szCs w:val="19"/>
        </w:rPr>
        <w:t>●</w:t>
      </w:r>
      <w:r>
        <w:rPr>
          <w:spacing w:val="-58"/>
          <w:sz w:val="19"/>
          <w:szCs w:val="19"/>
        </w:rPr>
        <w:t xml:space="preserve"> </w:t>
      </w:r>
      <w:r>
        <w:rPr>
          <w:spacing w:val="23"/>
          <w:sz w:val="19"/>
          <w:szCs w:val="19"/>
        </w:rPr>
        <w:t>跟踪因应急事件发展程度超出原定事件级别后，升级的诊断、排查、处置、恢复等</w:t>
      </w:r>
      <w:r>
        <w:rPr>
          <w:sz w:val="19"/>
          <w:szCs w:val="19"/>
        </w:rPr>
        <w:t xml:space="preserve"> </w:t>
      </w:r>
      <w:r>
        <w:rPr>
          <w:spacing w:val="5"/>
          <w:sz w:val="19"/>
          <w:szCs w:val="19"/>
        </w:rPr>
        <w:t>过程。</w:t>
      </w:r>
    </w:p>
    <w:p w14:paraId="4A502640">
      <w:pPr>
        <w:spacing w:line="276" w:lineRule="auto"/>
        <w:rPr>
          <w:sz w:val="19"/>
          <w:szCs w:val="19"/>
        </w:rPr>
        <w:sectPr>
          <w:pgSz w:w="10290" w:h="13280"/>
          <w:pgMar w:top="400" w:right="574" w:bottom="400" w:left="1109" w:header="0" w:footer="0" w:gutter="0"/>
          <w:cols w:space="720" w:num="1"/>
        </w:sectPr>
      </w:pPr>
    </w:p>
    <w:p w14:paraId="22D90B25">
      <w:pPr>
        <w:pStyle w:val="2"/>
        <w:spacing w:before="27" w:line="219" w:lineRule="auto"/>
        <w:rPr>
          <w:sz w:val="19"/>
          <w:szCs w:val="19"/>
        </w:rPr>
      </w:pPr>
      <w:r>
        <w:rPr>
          <w:rFonts w:ascii="Times New Roman" w:hAnsi="Times New Roman" w:eastAsia="Times New Roman" w:cs="Times New Roman"/>
          <w:spacing w:val="3"/>
          <w:position w:val="-3"/>
          <w:sz w:val="19"/>
          <w:szCs w:val="19"/>
        </w:rPr>
        <w:t xml:space="preserve">596              </w:t>
      </w:r>
      <w:r>
        <w:rPr>
          <w:spacing w:val="3"/>
          <w:sz w:val="19"/>
          <w:szCs w:val="19"/>
        </w:rPr>
        <w:t>信息系统监理师教程(第2版)</w:t>
      </w:r>
    </w:p>
    <w:p w14:paraId="29450D0C">
      <w:pPr>
        <w:spacing w:line="305" w:lineRule="auto"/>
        <w:rPr>
          <w:rFonts w:ascii="Arial"/>
          <w:sz w:val="21"/>
        </w:rPr>
      </w:pPr>
    </w:p>
    <w:p w14:paraId="1303D36C">
      <w:pPr>
        <w:pStyle w:val="2"/>
        <w:spacing w:before="61" w:line="273" w:lineRule="auto"/>
        <w:ind w:left="369" w:right="85" w:firstLine="390"/>
        <w:rPr>
          <w:sz w:val="19"/>
          <w:szCs w:val="19"/>
        </w:rPr>
      </w:pPr>
      <w:r>
        <w:rPr>
          <w:spacing w:val="20"/>
          <w:sz w:val="19"/>
          <w:szCs w:val="19"/>
        </w:rPr>
        <w:t>(6)在应急事件关闭后，督促各方完成应急事件的索赔、总结、评价和改进工作，主要</w:t>
      </w:r>
      <w:r>
        <w:rPr>
          <w:spacing w:val="13"/>
          <w:sz w:val="19"/>
          <w:szCs w:val="19"/>
        </w:rPr>
        <w:t xml:space="preserve"> </w:t>
      </w:r>
      <w:r>
        <w:rPr>
          <w:spacing w:val="-4"/>
          <w:sz w:val="19"/>
          <w:szCs w:val="19"/>
        </w:rPr>
        <w:t>包括：</w:t>
      </w:r>
    </w:p>
    <w:p w14:paraId="29B7E499">
      <w:pPr>
        <w:pStyle w:val="2"/>
        <w:spacing w:before="88" w:line="219" w:lineRule="auto"/>
        <w:ind w:left="759"/>
        <w:rPr>
          <w:sz w:val="19"/>
          <w:szCs w:val="19"/>
        </w:rPr>
      </w:pPr>
      <w:r>
        <w:rPr>
          <w:spacing w:val="11"/>
          <w:sz w:val="19"/>
          <w:szCs w:val="19"/>
        </w:rPr>
        <w:t>●协助优化和改进应急方案；</w:t>
      </w:r>
    </w:p>
    <w:p w14:paraId="5DD477BB">
      <w:pPr>
        <w:pStyle w:val="2"/>
        <w:spacing w:before="94" w:line="219" w:lineRule="auto"/>
        <w:ind w:left="759"/>
        <w:rPr>
          <w:sz w:val="19"/>
          <w:szCs w:val="19"/>
        </w:rPr>
      </w:pPr>
      <w:r>
        <w:rPr>
          <w:spacing w:val="10"/>
          <w:sz w:val="19"/>
          <w:szCs w:val="19"/>
        </w:rPr>
        <w:t>●做好因应急事件带来的索赔等相关工作；</w:t>
      </w:r>
    </w:p>
    <w:p w14:paraId="04D5E8E1">
      <w:pPr>
        <w:pStyle w:val="2"/>
        <w:spacing w:before="103" w:line="218" w:lineRule="auto"/>
        <w:ind w:left="759"/>
        <w:rPr>
          <w:sz w:val="19"/>
          <w:szCs w:val="19"/>
        </w:rPr>
      </w:pPr>
      <w:r>
        <w:rPr>
          <w:spacing w:val="10"/>
          <w:sz w:val="19"/>
          <w:szCs w:val="19"/>
        </w:rPr>
        <w:t>●评估和总结应急事件处置结果。</w:t>
      </w:r>
    </w:p>
    <w:p w14:paraId="4E27BFA3">
      <w:pPr>
        <w:pStyle w:val="2"/>
        <w:spacing w:before="236" w:line="219" w:lineRule="auto"/>
        <w:ind w:left="342"/>
        <w:rPr>
          <w:sz w:val="26"/>
          <w:szCs w:val="26"/>
        </w:rPr>
      </w:pPr>
      <w:r>
        <w:rPr>
          <w:b/>
          <w:bCs/>
          <w:color w:val="0078D5"/>
          <w:spacing w:val="-24"/>
          <w:sz w:val="26"/>
          <w:szCs w:val="26"/>
        </w:rPr>
        <w:t>25.3.9</w:t>
      </w:r>
      <w:r>
        <w:rPr>
          <w:color w:val="0078D5"/>
          <w:spacing w:val="-44"/>
          <w:sz w:val="26"/>
          <w:szCs w:val="26"/>
        </w:rPr>
        <w:t xml:space="preserve"> </w:t>
      </w:r>
      <w:r>
        <w:rPr>
          <w:b/>
          <w:bCs/>
          <w:color w:val="0078D5"/>
          <w:spacing w:val="-24"/>
          <w:sz w:val="26"/>
          <w:szCs w:val="26"/>
        </w:rPr>
        <w:t>效能管理</w:t>
      </w:r>
    </w:p>
    <w:p w14:paraId="61E9CDBA">
      <w:pPr>
        <w:pStyle w:val="2"/>
        <w:spacing w:before="268" w:line="221" w:lineRule="auto"/>
        <w:ind w:left="762"/>
        <w:rPr>
          <w:rFonts w:ascii="黑体" w:hAnsi="黑体" w:eastAsia="黑体" w:cs="黑体"/>
          <w:sz w:val="19"/>
          <w:szCs w:val="19"/>
        </w:rPr>
      </w:pPr>
      <w:r>
        <w:rPr>
          <w:b/>
          <w:bCs/>
          <w:color w:val="0071C8"/>
          <w:spacing w:val="5"/>
          <w:sz w:val="19"/>
          <w:szCs w:val="19"/>
        </w:rPr>
        <w:t>1.</w:t>
      </w:r>
      <w:r>
        <w:rPr>
          <w:rFonts w:ascii="黑体" w:hAnsi="黑体" w:eastAsia="黑体" w:cs="黑体"/>
          <w:b/>
          <w:bCs/>
          <w:color w:val="0071C8"/>
          <w:spacing w:val="5"/>
          <w:sz w:val="19"/>
          <w:szCs w:val="19"/>
        </w:rPr>
        <w:t>效能管理概述</w:t>
      </w:r>
    </w:p>
    <w:p w14:paraId="30036CCB">
      <w:pPr>
        <w:pStyle w:val="2"/>
        <w:spacing w:before="176" w:line="297" w:lineRule="auto"/>
        <w:ind w:left="369" w:right="84" w:firstLine="390"/>
        <w:rPr>
          <w:sz w:val="19"/>
          <w:szCs w:val="19"/>
        </w:rPr>
      </w:pPr>
      <w:r>
        <w:rPr>
          <w:spacing w:val="13"/>
          <w:sz w:val="19"/>
          <w:szCs w:val="19"/>
        </w:rPr>
        <w:t>运行维护的效能管理是指对运维服务提供方进行绩效考核与能力管理。绩效考核是对运维</w:t>
      </w:r>
      <w:r>
        <w:rPr>
          <w:sz w:val="19"/>
          <w:szCs w:val="19"/>
        </w:rPr>
        <w:t xml:space="preserve"> </w:t>
      </w:r>
      <w:r>
        <w:rPr>
          <w:spacing w:val="13"/>
          <w:sz w:val="19"/>
          <w:szCs w:val="19"/>
        </w:rPr>
        <w:t>服务提供方服务态度、服务质量、服务效率的综合性客观评</w:t>
      </w:r>
      <w:r>
        <w:rPr>
          <w:spacing w:val="12"/>
          <w:sz w:val="19"/>
          <w:szCs w:val="19"/>
        </w:rPr>
        <w:t>价，能够促进运维服务提供方提升</w:t>
      </w:r>
      <w:r>
        <w:rPr>
          <w:sz w:val="19"/>
          <w:szCs w:val="19"/>
        </w:rPr>
        <w:t xml:space="preserve"> </w:t>
      </w:r>
      <w:r>
        <w:rPr>
          <w:spacing w:val="13"/>
          <w:sz w:val="19"/>
          <w:szCs w:val="19"/>
        </w:rPr>
        <w:t>服务能力，同时可以作为运行维护服务验收、运行维护费用</w:t>
      </w:r>
      <w:r>
        <w:rPr>
          <w:spacing w:val="12"/>
          <w:sz w:val="19"/>
          <w:szCs w:val="19"/>
        </w:rPr>
        <w:t>支付的重要参考依据。能力管理是</w:t>
      </w:r>
      <w:r>
        <w:rPr>
          <w:sz w:val="19"/>
          <w:szCs w:val="19"/>
        </w:rPr>
        <w:t xml:space="preserve"> </w:t>
      </w:r>
      <w:r>
        <w:rPr>
          <w:spacing w:val="13"/>
          <w:sz w:val="19"/>
          <w:szCs w:val="19"/>
        </w:rPr>
        <w:t>对运维服务提供方整体能力和其运维服务人员个人能力</w:t>
      </w:r>
      <w:r>
        <w:rPr>
          <w:spacing w:val="12"/>
          <w:sz w:val="19"/>
          <w:szCs w:val="19"/>
        </w:rPr>
        <w:t>的管理手段，通过能力管理促使运维服</w:t>
      </w:r>
      <w:r>
        <w:rPr>
          <w:sz w:val="19"/>
          <w:szCs w:val="19"/>
        </w:rPr>
        <w:t xml:space="preserve"> </w:t>
      </w:r>
      <w:r>
        <w:rPr>
          <w:spacing w:val="13"/>
          <w:sz w:val="19"/>
          <w:szCs w:val="19"/>
        </w:rPr>
        <w:t>务提供方及其人员能够始终保持足够的能力来开展运行维护服</w:t>
      </w:r>
      <w:r>
        <w:rPr>
          <w:spacing w:val="12"/>
          <w:sz w:val="19"/>
          <w:szCs w:val="19"/>
        </w:rPr>
        <w:t>务工作。落实效能管理的具体措</w:t>
      </w:r>
      <w:r>
        <w:rPr>
          <w:sz w:val="19"/>
          <w:szCs w:val="19"/>
        </w:rPr>
        <w:t xml:space="preserve"> </w:t>
      </w:r>
      <w:r>
        <w:rPr>
          <w:spacing w:val="5"/>
          <w:sz w:val="19"/>
          <w:szCs w:val="19"/>
        </w:rPr>
        <w:t>施包括如下内容：</w:t>
      </w:r>
    </w:p>
    <w:p w14:paraId="1C5F700E">
      <w:pPr>
        <w:pStyle w:val="2"/>
        <w:spacing w:before="47" w:line="219" w:lineRule="auto"/>
        <w:ind w:left="759"/>
        <w:rPr>
          <w:sz w:val="19"/>
          <w:szCs w:val="19"/>
        </w:rPr>
      </w:pPr>
      <w:r>
        <w:rPr>
          <w:spacing w:val="13"/>
          <w:sz w:val="19"/>
          <w:szCs w:val="19"/>
        </w:rPr>
        <w:t>(1)制定绩效考核管理办法。</w:t>
      </w:r>
    </w:p>
    <w:p w14:paraId="0695101D">
      <w:pPr>
        <w:pStyle w:val="2"/>
        <w:spacing w:before="104" w:line="285" w:lineRule="auto"/>
        <w:ind w:left="369" w:firstLine="390"/>
        <w:rPr>
          <w:sz w:val="19"/>
          <w:szCs w:val="19"/>
        </w:rPr>
      </w:pPr>
      <w:r>
        <w:rPr>
          <w:spacing w:val="15"/>
          <w:sz w:val="19"/>
          <w:szCs w:val="19"/>
        </w:rPr>
        <w:t>绩效考核管理办法是运行维护管理体系的重要部分，用于规范考核工作，保证考核质量。</w:t>
      </w:r>
      <w:r>
        <w:rPr>
          <w:spacing w:val="9"/>
          <w:sz w:val="19"/>
          <w:szCs w:val="19"/>
        </w:rPr>
        <w:t xml:space="preserve"> </w:t>
      </w:r>
      <w:r>
        <w:rPr>
          <w:spacing w:val="13"/>
          <w:sz w:val="19"/>
          <w:szCs w:val="19"/>
        </w:rPr>
        <w:t>绩效考核管理办法的执行应参考各运维服务提供方的招投标</w:t>
      </w:r>
      <w:r>
        <w:rPr>
          <w:spacing w:val="12"/>
          <w:sz w:val="19"/>
          <w:szCs w:val="19"/>
        </w:rPr>
        <w:t>文件、合同、承诺书、补充协议等</w:t>
      </w:r>
      <w:r>
        <w:rPr>
          <w:sz w:val="19"/>
          <w:szCs w:val="19"/>
        </w:rPr>
        <w:t xml:space="preserve">  </w:t>
      </w:r>
      <w:r>
        <w:rPr>
          <w:spacing w:val="13"/>
          <w:sz w:val="19"/>
          <w:szCs w:val="19"/>
        </w:rPr>
        <w:t>文件，并遵从运行维护管理体系的其他规定，全面科学地对被考核对象的各项工作表现进行综</w:t>
      </w:r>
      <w:r>
        <w:rPr>
          <w:spacing w:val="4"/>
          <w:sz w:val="19"/>
          <w:szCs w:val="19"/>
        </w:rPr>
        <w:t xml:space="preserve"> </w:t>
      </w:r>
      <w:r>
        <w:rPr>
          <w:spacing w:val="3"/>
          <w:sz w:val="19"/>
          <w:szCs w:val="19"/>
        </w:rPr>
        <w:t>合考评。</w:t>
      </w:r>
    </w:p>
    <w:p w14:paraId="30568171">
      <w:pPr>
        <w:pStyle w:val="2"/>
        <w:spacing w:before="58" w:line="219" w:lineRule="auto"/>
        <w:ind w:left="759"/>
        <w:rPr>
          <w:sz w:val="19"/>
          <w:szCs w:val="19"/>
        </w:rPr>
      </w:pPr>
      <w:r>
        <w:rPr>
          <w:spacing w:val="11"/>
          <w:sz w:val="19"/>
          <w:szCs w:val="19"/>
        </w:rPr>
        <w:t>(2)明确绩效考核内容。具体包括：</w:t>
      </w:r>
    </w:p>
    <w:p w14:paraId="56CE5398">
      <w:pPr>
        <w:pStyle w:val="2"/>
        <w:spacing w:before="94" w:line="288" w:lineRule="auto"/>
        <w:ind w:left="1029" w:right="87" w:hanging="270"/>
        <w:rPr>
          <w:sz w:val="19"/>
          <w:szCs w:val="19"/>
        </w:rPr>
      </w:pPr>
      <w:r>
        <w:rPr>
          <w:spacing w:val="11"/>
          <w:sz w:val="19"/>
          <w:szCs w:val="19"/>
        </w:rPr>
        <w:t>●</w:t>
      </w:r>
      <w:r>
        <w:rPr>
          <w:spacing w:val="-32"/>
          <w:sz w:val="19"/>
          <w:szCs w:val="19"/>
        </w:rPr>
        <w:t xml:space="preserve"> </w:t>
      </w:r>
      <w:r>
        <w:rPr>
          <w:spacing w:val="11"/>
          <w:sz w:val="19"/>
          <w:szCs w:val="19"/>
        </w:rPr>
        <w:t>日常管理：考核各运维服务提供方是否按合同要求执行运行维护工作；考核其驻场维护</w:t>
      </w:r>
      <w:r>
        <w:rPr>
          <w:sz w:val="19"/>
          <w:szCs w:val="19"/>
        </w:rPr>
        <w:t xml:space="preserve"> </w:t>
      </w:r>
      <w:r>
        <w:rPr>
          <w:spacing w:val="17"/>
          <w:sz w:val="19"/>
          <w:szCs w:val="19"/>
        </w:rPr>
        <w:t>人员的资质和能力；考察人员出勤情况，保证现场有足</w:t>
      </w:r>
      <w:r>
        <w:rPr>
          <w:spacing w:val="16"/>
          <w:sz w:val="19"/>
          <w:szCs w:val="19"/>
        </w:rPr>
        <w:t>够的技术支持，保证各种特殊</w:t>
      </w:r>
      <w:r>
        <w:rPr>
          <w:sz w:val="19"/>
          <w:szCs w:val="19"/>
        </w:rPr>
        <w:t xml:space="preserve"> </w:t>
      </w:r>
      <w:r>
        <w:rPr>
          <w:spacing w:val="16"/>
          <w:sz w:val="19"/>
          <w:szCs w:val="19"/>
        </w:rPr>
        <w:t>情况的发生都能配备充足合理的人员。考核重点在于合同审查、人员资质审查和考勤</w:t>
      </w:r>
      <w:r>
        <w:rPr>
          <w:spacing w:val="7"/>
          <w:sz w:val="19"/>
          <w:szCs w:val="19"/>
        </w:rPr>
        <w:t xml:space="preserve"> </w:t>
      </w:r>
      <w:r>
        <w:rPr>
          <w:spacing w:val="5"/>
          <w:sz w:val="19"/>
          <w:szCs w:val="19"/>
        </w:rPr>
        <w:t>管理。</w:t>
      </w:r>
    </w:p>
    <w:p w14:paraId="5EB67E51">
      <w:pPr>
        <w:pStyle w:val="2"/>
        <w:spacing w:before="92" w:line="271" w:lineRule="auto"/>
        <w:ind w:left="1029" w:right="86" w:hanging="270"/>
        <w:rPr>
          <w:sz w:val="19"/>
          <w:szCs w:val="19"/>
        </w:rPr>
      </w:pPr>
      <w:r>
        <w:rPr>
          <w:spacing w:val="13"/>
          <w:sz w:val="19"/>
          <w:szCs w:val="19"/>
        </w:rPr>
        <w:t>●巡检情况：考核巡检计划和内容，评估巡检计划完成情况；检查巡检文档编制情况、巡</w:t>
      </w:r>
      <w:r>
        <w:rPr>
          <w:spacing w:val="1"/>
          <w:sz w:val="19"/>
          <w:szCs w:val="19"/>
        </w:rPr>
        <w:t xml:space="preserve"> </w:t>
      </w:r>
      <w:r>
        <w:rPr>
          <w:spacing w:val="9"/>
          <w:sz w:val="19"/>
          <w:szCs w:val="19"/>
        </w:rPr>
        <w:t>检过程中发现的问题记录情况，确保巡检工作按计划执行、结果信息正确。</w:t>
      </w:r>
    </w:p>
    <w:p w14:paraId="647515C8">
      <w:pPr>
        <w:pStyle w:val="2"/>
        <w:spacing w:before="95" w:line="270" w:lineRule="auto"/>
        <w:ind w:left="1029" w:right="86" w:hanging="270"/>
        <w:rPr>
          <w:sz w:val="19"/>
          <w:szCs w:val="19"/>
        </w:rPr>
      </w:pPr>
      <w:r>
        <w:rPr>
          <w:spacing w:val="18"/>
          <w:sz w:val="19"/>
          <w:szCs w:val="19"/>
        </w:rPr>
        <w:t>●故障/问题处理：考核每月发生故障次数和解决故障次数；发生故障/问题</w:t>
      </w:r>
      <w:r>
        <w:rPr>
          <w:spacing w:val="17"/>
          <w:sz w:val="19"/>
          <w:szCs w:val="19"/>
        </w:rPr>
        <w:t>后是否按合</w:t>
      </w:r>
      <w:r>
        <w:rPr>
          <w:sz w:val="19"/>
          <w:szCs w:val="19"/>
        </w:rPr>
        <w:t xml:space="preserve"> </w:t>
      </w:r>
      <w:r>
        <w:rPr>
          <w:spacing w:val="8"/>
          <w:sz w:val="19"/>
          <w:szCs w:val="19"/>
        </w:rPr>
        <w:t>同规定时间响应和解决；故障处理过程中投入人员情况和文档管理情况。</w:t>
      </w:r>
    </w:p>
    <w:p w14:paraId="4CCDE20D">
      <w:pPr>
        <w:pStyle w:val="2"/>
        <w:spacing w:before="83" w:line="264" w:lineRule="auto"/>
        <w:ind w:left="1029" w:right="86" w:hanging="270"/>
        <w:rPr>
          <w:sz w:val="19"/>
          <w:szCs w:val="19"/>
        </w:rPr>
      </w:pPr>
      <w:r>
        <w:rPr>
          <w:spacing w:val="13"/>
          <w:sz w:val="19"/>
          <w:szCs w:val="19"/>
        </w:rPr>
        <w:t>●派工服务：考核派工完成情况，投入工作量等。考核重点在于派工工作完成时间、完成</w:t>
      </w:r>
      <w:r>
        <w:rPr>
          <w:spacing w:val="1"/>
          <w:sz w:val="19"/>
          <w:szCs w:val="19"/>
        </w:rPr>
        <w:t xml:space="preserve"> </w:t>
      </w:r>
      <w:r>
        <w:rPr>
          <w:spacing w:val="6"/>
          <w:sz w:val="19"/>
          <w:szCs w:val="19"/>
        </w:rPr>
        <w:t>率和用户评价。</w:t>
      </w:r>
    </w:p>
    <w:p w14:paraId="5A7ABE79">
      <w:pPr>
        <w:pStyle w:val="2"/>
        <w:spacing w:before="97" w:line="274" w:lineRule="auto"/>
        <w:ind w:left="1029" w:right="20" w:hanging="270"/>
        <w:rPr>
          <w:sz w:val="19"/>
          <w:szCs w:val="19"/>
        </w:rPr>
      </w:pPr>
      <w:r>
        <w:rPr>
          <w:spacing w:val="13"/>
          <w:sz w:val="19"/>
          <w:szCs w:val="19"/>
        </w:rPr>
        <w:t>●电话服务考核：分为话务部分考察、业务部分考察、总服务商考察。话务部分考察服务</w:t>
      </w:r>
      <w:r>
        <w:rPr>
          <w:spacing w:val="1"/>
          <w:sz w:val="19"/>
          <w:szCs w:val="19"/>
        </w:rPr>
        <w:t xml:space="preserve"> </w:t>
      </w:r>
      <w:r>
        <w:rPr>
          <w:spacing w:val="13"/>
          <w:sz w:val="19"/>
          <w:szCs w:val="19"/>
        </w:rPr>
        <w:t>次数、服务及时率、问题解答率等；业务部分考察需要对座席员处理的问题进行分类，</w:t>
      </w:r>
      <w:r>
        <w:rPr>
          <w:sz w:val="19"/>
          <w:szCs w:val="19"/>
        </w:rPr>
        <w:t xml:space="preserve"> </w:t>
      </w:r>
      <w:r>
        <w:rPr>
          <w:spacing w:val="8"/>
          <w:sz w:val="19"/>
          <w:szCs w:val="19"/>
        </w:rPr>
        <w:t>分析原因，更新知识库；总服务商考察的是总服务台座席员的工作质量。</w:t>
      </w:r>
    </w:p>
    <w:p w14:paraId="50BEB6F3">
      <w:pPr>
        <w:pStyle w:val="2"/>
        <w:spacing w:before="105" w:line="265" w:lineRule="auto"/>
        <w:ind w:left="1029" w:hanging="270"/>
        <w:rPr>
          <w:sz w:val="19"/>
          <w:szCs w:val="19"/>
        </w:rPr>
      </w:pPr>
      <w:r>
        <w:rPr>
          <w:spacing w:val="15"/>
          <w:sz w:val="19"/>
          <w:szCs w:val="19"/>
        </w:rPr>
        <w:t>●文档考核：考核运行维护过程中产生的技术文档。考核内容包括：运行维护管理制度、</w:t>
      </w:r>
      <w:r>
        <w:rPr>
          <w:spacing w:val="8"/>
          <w:sz w:val="19"/>
          <w:szCs w:val="19"/>
        </w:rPr>
        <w:t xml:space="preserve"> </w:t>
      </w:r>
      <w:r>
        <w:rPr>
          <w:spacing w:val="10"/>
          <w:sz w:val="19"/>
          <w:szCs w:val="19"/>
        </w:rPr>
        <w:t>规范、流程和表单的完整性；过程文档的准确性、详细程度、格</w:t>
      </w:r>
      <w:r>
        <w:rPr>
          <w:spacing w:val="9"/>
          <w:sz w:val="19"/>
          <w:szCs w:val="19"/>
        </w:rPr>
        <w:t>式和构成等。</w:t>
      </w:r>
    </w:p>
    <w:p w14:paraId="024A9A72">
      <w:pPr>
        <w:pStyle w:val="2"/>
        <w:spacing w:before="83" w:line="219" w:lineRule="auto"/>
        <w:ind w:left="759"/>
        <w:rPr>
          <w:sz w:val="19"/>
          <w:szCs w:val="19"/>
        </w:rPr>
      </w:pPr>
      <w:r>
        <w:rPr>
          <w:spacing w:val="13"/>
          <w:sz w:val="19"/>
          <w:szCs w:val="19"/>
        </w:rPr>
        <w:t>●合同执行情况考核：运维服务提供方是否完全满足了合同条款中明确的服务要求，所提</w:t>
      </w:r>
    </w:p>
    <w:p w14:paraId="11AA44CF">
      <w:pPr>
        <w:spacing w:line="219" w:lineRule="auto"/>
        <w:rPr>
          <w:sz w:val="19"/>
          <w:szCs w:val="19"/>
        </w:rPr>
        <w:sectPr>
          <w:pgSz w:w="10310" w:h="13350"/>
          <w:pgMar w:top="400" w:right="1024" w:bottom="400" w:left="520" w:header="0" w:footer="0" w:gutter="0"/>
          <w:cols w:space="720" w:num="1"/>
        </w:sectPr>
      </w:pPr>
    </w:p>
    <w:p w14:paraId="30DD35A9">
      <w:pPr>
        <w:pStyle w:val="2"/>
        <w:spacing w:before="7" w:line="220" w:lineRule="auto"/>
        <w:jc w:val="right"/>
        <w:rPr>
          <w:rFonts w:ascii="Times New Roman" w:hAnsi="Times New Roman" w:eastAsia="Times New Roman" w:cs="Times New Roman"/>
          <w:sz w:val="20"/>
          <w:szCs w:val="20"/>
        </w:rPr>
      </w:pPr>
      <w:r>
        <w:rPr>
          <w:spacing w:val="-2"/>
          <w:sz w:val="20"/>
          <w:szCs w:val="20"/>
        </w:rPr>
        <w:t>第25章 运行维护监理</w:t>
      </w:r>
      <w:r>
        <w:rPr>
          <w:spacing w:val="18"/>
          <w:sz w:val="20"/>
          <w:szCs w:val="20"/>
        </w:rPr>
        <w:t xml:space="preserve">     </w:t>
      </w:r>
      <w:r>
        <w:rPr>
          <w:rFonts w:ascii="Times New Roman" w:hAnsi="Times New Roman" w:eastAsia="Times New Roman" w:cs="Times New Roman"/>
          <w:b/>
          <w:bCs/>
          <w:spacing w:val="-2"/>
          <w:position w:val="-5"/>
          <w:sz w:val="20"/>
          <w:szCs w:val="20"/>
        </w:rPr>
        <w:t>597</w:t>
      </w:r>
    </w:p>
    <w:p w14:paraId="5E8EDC76">
      <w:pPr>
        <w:spacing w:line="269" w:lineRule="auto"/>
        <w:rPr>
          <w:rFonts w:ascii="Arial"/>
          <w:sz w:val="21"/>
        </w:rPr>
      </w:pPr>
    </w:p>
    <w:p w14:paraId="40FA12F0">
      <w:pPr>
        <w:pStyle w:val="2"/>
        <w:spacing w:before="65" w:line="292" w:lineRule="auto"/>
        <w:ind w:left="680" w:right="300"/>
        <w:rPr>
          <w:sz w:val="20"/>
          <w:szCs w:val="20"/>
        </w:rPr>
      </w:pPr>
      <w:r>
        <w:rPr>
          <w:spacing w:val="1"/>
          <w:sz w:val="20"/>
          <w:szCs w:val="20"/>
        </w:rPr>
        <w:t>供服务的团队及人员的资质水平、所采用的运行维护服务辅助工具的功</w:t>
      </w:r>
      <w:r>
        <w:rPr>
          <w:sz w:val="20"/>
          <w:szCs w:val="20"/>
        </w:rPr>
        <w:t xml:space="preserve">能、所引入的第 </w:t>
      </w:r>
      <w:r>
        <w:rPr>
          <w:spacing w:val="-2"/>
          <w:sz w:val="20"/>
          <w:szCs w:val="20"/>
        </w:rPr>
        <w:t>三方服务的能力等，是否与运维合同中的要求相一致。</w:t>
      </w:r>
    </w:p>
    <w:p w14:paraId="2D8DA9A1">
      <w:pPr>
        <w:pStyle w:val="2"/>
        <w:spacing w:before="28" w:line="276" w:lineRule="auto"/>
        <w:ind w:left="679" w:right="253" w:hanging="279"/>
        <w:rPr>
          <w:sz w:val="20"/>
          <w:szCs w:val="20"/>
        </w:rPr>
      </w:pPr>
      <w:r>
        <w:rPr>
          <w:spacing w:val="3"/>
          <w:sz w:val="20"/>
          <w:szCs w:val="20"/>
        </w:rPr>
        <w:t>●用户满意度与特殊事件考核：用户满意度考核是指最终用户对运</w:t>
      </w:r>
      <w:r>
        <w:rPr>
          <w:spacing w:val="2"/>
          <w:sz w:val="20"/>
          <w:szCs w:val="20"/>
        </w:rPr>
        <w:t>维服务提供方的工作效</w:t>
      </w:r>
      <w:r>
        <w:rPr>
          <w:sz w:val="20"/>
          <w:szCs w:val="20"/>
        </w:rPr>
        <w:t xml:space="preserve"> </w:t>
      </w:r>
      <w:r>
        <w:rPr>
          <w:spacing w:val="1"/>
          <w:sz w:val="20"/>
          <w:szCs w:val="20"/>
        </w:rPr>
        <w:t>率、能力、沟通、培训、解决方式等的评价。特殊事件考核</w:t>
      </w:r>
      <w:r>
        <w:rPr>
          <w:sz w:val="20"/>
          <w:szCs w:val="20"/>
        </w:rPr>
        <w:t xml:space="preserve">是指在运行维护过程中，运 </w:t>
      </w:r>
      <w:r>
        <w:rPr>
          <w:spacing w:val="2"/>
          <w:sz w:val="20"/>
          <w:szCs w:val="20"/>
        </w:rPr>
        <w:t xml:space="preserve">维服务提供方的行为或表现使最终用户在业务进行中或事件解决中感到满意或不满意， </w:t>
      </w:r>
      <w:r>
        <w:rPr>
          <w:spacing w:val="-1"/>
          <w:sz w:val="20"/>
          <w:szCs w:val="20"/>
        </w:rPr>
        <w:t>据此对该运维服务提供方的考核结果进行调整，以</w:t>
      </w:r>
      <w:r>
        <w:rPr>
          <w:spacing w:val="-2"/>
          <w:sz w:val="20"/>
          <w:szCs w:val="20"/>
        </w:rPr>
        <w:t>资鼓励或警示。</w:t>
      </w:r>
    </w:p>
    <w:p w14:paraId="206D6842">
      <w:pPr>
        <w:pStyle w:val="2"/>
        <w:spacing w:before="104" w:line="219" w:lineRule="auto"/>
        <w:ind w:left="400"/>
        <w:rPr>
          <w:sz w:val="20"/>
          <w:szCs w:val="20"/>
        </w:rPr>
      </w:pPr>
      <w:r>
        <w:rPr>
          <w:spacing w:val="3"/>
          <w:sz w:val="20"/>
          <w:szCs w:val="20"/>
        </w:rPr>
        <w:t>(3)明确考核执行的组织结构。</w:t>
      </w:r>
    </w:p>
    <w:p w14:paraId="7EA47A63">
      <w:pPr>
        <w:pStyle w:val="2"/>
        <w:spacing w:before="91" w:line="278" w:lineRule="auto"/>
        <w:ind w:right="213" w:firstLine="400"/>
        <w:jc w:val="both"/>
        <w:rPr>
          <w:sz w:val="20"/>
          <w:szCs w:val="20"/>
        </w:rPr>
      </w:pPr>
      <w:r>
        <w:rPr>
          <w:sz w:val="20"/>
          <w:szCs w:val="20"/>
        </w:rPr>
        <w:t>绩效考核组织结构由考核管理机构、考核执行机构、</w:t>
      </w:r>
      <w:r>
        <w:rPr>
          <w:spacing w:val="-1"/>
          <w:sz w:val="20"/>
          <w:szCs w:val="20"/>
        </w:rPr>
        <w:t>被考核对象组成。</w:t>
      </w:r>
      <w:r>
        <w:rPr>
          <w:spacing w:val="43"/>
          <w:sz w:val="20"/>
          <w:szCs w:val="20"/>
        </w:rPr>
        <w:t xml:space="preserve"> </w:t>
      </w:r>
      <w:r>
        <w:rPr>
          <w:spacing w:val="-1"/>
          <w:sz w:val="20"/>
          <w:szCs w:val="20"/>
        </w:rPr>
        <w:t>一般情况下，绩效</w:t>
      </w:r>
      <w:r>
        <w:rPr>
          <w:sz w:val="20"/>
          <w:szCs w:val="20"/>
        </w:rPr>
        <w:t xml:space="preserve"> </w:t>
      </w:r>
      <w:r>
        <w:rPr>
          <w:spacing w:val="3"/>
          <w:sz w:val="20"/>
          <w:szCs w:val="20"/>
        </w:rPr>
        <w:t>考核管理机构是业主单位，负责监督、指导考核执行机构的日常绩效</w:t>
      </w:r>
      <w:r>
        <w:rPr>
          <w:spacing w:val="2"/>
          <w:sz w:val="20"/>
          <w:szCs w:val="20"/>
        </w:rPr>
        <w:t>考核工作。考核执行机构</w:t>
      </w:r>
      <w:r>
        <w:rPr>
          <w:sz w:val="20"/>
          <w:szCs w:val="20"/>
        </w:rPr>
        <w:t xml:space="preserve">  </w:t>
      </w:r>
      <w:r>
        <w:rPr>
          <w:spacing w:val="2"/>
          <w:sz w:val="20"/>
          <w:szCs w:val="20"/>
        </w:rPr>
        <w:t>为用户聘请的第三方服务商，即监理单位，监理单位本着公正、公开、公平的原则，定期(周、</w:t>
      </w:r>
      <w:r>
        <w:rPr>
          <w:spacing w:val="15"/>
          <w:sz w:val="20"/>
          <w:szCs w:val="20"/>
        </w:rPr>
        <w:t xml:space="preserve"> </w:t>
      </w:r>
      <w:r>
        <w:rPr>
          <w:spacing w:val="5"/>
          <w:sz w:val="20"/>
          <w:szCs w:val="20"/>
        </w:rPr>
        <w:t>月、半年、年度)将考核结果向考核管理机构汇报。被考核对象包括所有参与信息系统运行维</w:t>
      </w:r>
      <w:r>
        <w:rPr>
          <w:spacing w:val="1"/>
          <w:sz w:val="20"/>
          <w:szCs w:val="20"/>
        </w:rPr>
        <w:t xml:space="preserve">  </w:t>
      </w:r>
      <w:r>
        <w:rPr>
          <w:spacing w:val="3"/>
          <w:sz w:val="20"/>
          <w:szCs w:val="20"/>
        </w:rPr>
        <w:t>护工作的安全、基础设施、应用系统、代码运维服务分包商、总服务商及</w:t>
      </w:r>
      <w:r>
        <w:rPr>
          <w:spacing w:val="2"/>
          <w:sz w:val="20"/>
          <w:szCs w:val="20"/>
        </w:rPr>
        <w:t>进入准运行维护期的</w:t>
      </w:r>
      <w:r>
        <w:rPr>
          <w:sz w:val="20"/>
          <w:szCs w:val="20"/>
        </w:rPr>
        <w:t xml:space="preserve">  </w:t>
      </w:r>
      <w:r>
        <w:rPr>
          <w:spacing w:val="-1"/>
          <w:sz w:val="20"/>
          <w:szCs w:val="20"/>
        </w:rPr>
        <w:t>服务商。被考核对象应配合监理单位，及时提供考核需要</w:t>
      </w:r>
      <w:r>
        <w:rPr>
          <w:spacing w:val="-2"/>
          <w:sz w:val="20"/>
          <w:szCs w:val="20"/>
        </w:rPr>
        <w:t>的真实信息。</w:t>
      </w:r>
    </w:p>
    <w:p w14:paraId="32CC5306">
      <w:pPr>
        <w:pStyle w:val="2"/>
        <w:spacing w:before="64" w:line="219" w:lineRule="auto"/>
        <w:ind w:left="400"/>
        <w:rPr>
          <w:sz w:val="20"/>
          <w:szCs w:val="20"/>
        </w:rPr>
      </w:pPr>
      <w:r>
        <w:rPr>
          <w:spacing w:val="5"/>
          <w:sz w:val="20"/>
          <w:szCs w:val="20"/>
        </w:rPr>
        <w:t>(4)明确考核方法。</w:t>
      </w:r>
    </w:p>
    <w:p w14:paraId="0A9D8A89">
      <w:pPr>
        <w:pStyle w:val="2"/>
        <w:spacing w:before="71" w:line="219" w:lineRule="auto"/>
        <w:ind w:left="400"/>
        <w:rPr>
          <w:sz w:val="20"/>
          <w:szCs w:val="20"/>
        </w:rPr>
      </w:pPr>
      <w:r>
        <w:rPr>
          <w:spacing w:val="-2"/>
          <w:sz w:val="20"/>
          <w:szCs w:val="20"/>
        </w:rPr>
        <w:t>绩效考核可以采用日常考核、过程考核和事后考核三种考核方法。</w:t>
      </w:r>
    </w:p>
    <w:p w14:paraId="40471CD7">
      <w:pPr>
        <w:pStyle w:val="2"/>
        <w:spacing w:before="72" w:line="262" w:lineRule="auto"/>
        <w:ind w:left="679" w:right="302" w:hanging="279"/>
        <w:rPr>
          <w:sz w:val="20"/>
          <w:szCs w:val="20"/>
        </w:rPr>
      </w:pPr>
      <w:r>
        <w:rPr>
          <w:spacing w:val="3"/>
          <w:sz w:val="20"/>
          <w:szCs w:val="20"/>
        </w:rPr>
        <w:t>●日常考核：是指各运维服务提供方在日常运行维护工作中的表现，包</w:t>
      </w:r>
      <w:r>
        <w:rPr>
          <w:spacing w:val="2"/>
          <w:sz w:val="20"/>
          <w:szCs w:val="20"/>
        </w:rPr>
        <w:t>括人员资质、行为</w:t>
      </w:r>
      <w:r>
        <w:rPr>
          <w:sz w:val="20"/>
          <w:szCs w:val="20"/>
        </w:rPr>
        <w:t xml:space="preserve"> </w:t>
      </w:r>
      <w:r>
        <w:rPr>
          <w:spacing w:val="-4"/>
          <w:sz w:val="20"/>
          <w:szCs w:val="20"/>
        </w:rPr>
        <w:t>规范、考勤管理等。</w:t>
      </w:r>
    </w:p>
    <w:p w14:paraId="3553F414">
      <w:pPr>
        <w:pStyle w:val="2"/>
        <w:spacing w:before="94" w:line="253" w:lineRule="auto"/>
        <w:ind w:left="679" w:right="304" w:hanging="279"/>
        <w:rPr>
          <w:sz w:val="20"/>
          <w:szCs w:val="20"/>
        </w:rPr>
      </w:pPr>
      <w:r>
        <w:rPr>
          <w:spacing w:val="8"/>
          <w:sz w:val="20"/>
          <w:szCs w:val="20"/>
        </w:rPr>
        <w:t>●过程考核：重点是派工考核和故障/问题处理考核，对于一级以上的系统故</w:t>
      </w:r>
      <w:r>
        <w:rPr>
          <w:spacing w:val="7"/>
          <w:sz w:val="20"/>
          <w:szCs w:val="20"/>
        </w:rPr>
        <w:t>障/问题处</w:t>
      </w:r>
      <w:r>
        <w:rPr>
          <w:sz w:val="20"/>
          <w:szCs w:val="20"/>
        </w:rPr>
        <w:t xml:space="preserve"> </w:t>
      </w:r>
      <w:r>
        <w:rPr>
          <w:spacing w:val="-1"/>
          <w:sz w:val="20"/>
          <w:szCs w:val="20"/>
        </w:rPr>
        <w:t>理过程进行全程跟踪考核，包括响应时间是否及时、处理方</w:t>
      </w:r>
      <w:r>
        <w:rPr>
          <w:spacing w:val="-2"/>
          <w:sz w:val="20"/>
          <w:szCs w:val="20"/>
        </w:rPr>
        <w:t>式是否得当等。</w:t>
      </w:r>
    </w:p>
    <w:p w14:paraId="7BBE4745">
      <w:pPr>
        <w:pStyle w:val="2"/>
        <w:spacing w:before="84" w:line="276" w:lineRule="auto"/>
        <w:ind w:left="679" w:right="302" w:hanging="279"/>
        <w:rPr>
          <w:sz w:val="20"/>
          <w:szCs w:val="20"/>
        </w:rPr>
      </w:pPr>
      <w:r>
        <w:rPr>
          <w:spacing w:val="3"/>
          <w:sz w:val="20"/>
          <w:szCs w:val="20"/>
        </w:rPr>
        <w:t>●事后考核：是指单项运行维护工作结束后，考核执行机构对该运行</w:t>
      </w:r>
      <w:r>
        <w:rPr>
          <w:spacing w:val="2"/>
          <w:sz w:val="20"/>
          <w:szCs w:val="20"/>
        </w:rPr>
        <w:t>维护工作总体完成情</w:t>
      </w:r>
      <w:r>
        <w:rPr>
          <w:sz w:val="20"/>
          <w:szCs w:val="20"/>
        </w:rPr>
        <w:t xml:space="preserve"> </w:t>
      </w:r>
      <w:r>
        <w:rPr>
          <w:spacing w:val="1"/>
          <w:sz w:val="20"/>
          <w:szCs w:val="20"/>
        </w:rPr>
        <w:t>况进行统计，并根据考核指标进行绩效考核。在必要的情况</w:t>
      </w:r>
      <w:r>
        <w:rPr>
          <w:sz w:val="20"/>
          <w:szCs w:val="20"/>
        </w:rPr>
        <w:t xml:space="preserve">下考核执行机构可对工作服 </w:t>
      </w:r>
      <w:r>
        <w:rPr>
          <w:spacing w:val="1"/>
          <w:sz w:val="20"/>
          <w:szCs w:val="20"/>
        </w:rPr>
        <w:t>务对象进行回访，采集其对运维过程和成果的评价信息。回访是考</w:t>
      </w:r>
      <w:r>
        <w:rPr>
          <w:sz w:val="20"/>
          <w:szCs w:val="20"/>
        </w:rPr>
        <w:t xml:space="preserve">核执行机构的独立行 </w:t>
      </w:r>
      <w:r>
        <w:rPr>
          <w:spacing w:val="-1"/>
          <w:sz w:val="20"/>
          <w:szCs w:val="20"/>
        </w:rPr>
        <w:t>为，不受任何外界因素的影响，其结果将以参考信息的形</w:t>
      </w:r>
      <w:r>
        <w:rPr>
          <w:spacing w:val="-2"/>
          <w:sz w:val="20"/>
          <w:szCs w:val="20"/>
        </w:rPr>
        <w:t>式汇报给用户。</w:t>
      </w:r>
    </w:p>
    <w:p w14:paraId="34B91F0E">
      <w:pPr>
        <w:pStyle w:val="2"/>
        <w:spacing w:before="82" w:line="219" w:lineRule="auto"/>
        <w:ind w:left="400"/>
        <w:rPr>
          <w:sz w:val="20"/>
          <w:szCs w:val="20"/>
        </w:rPr>
      </w:pPr>
      <w:r>
        <w:rPr>
          <w:spacing w:val="5"/>
          <w:sz w:val="20"/>
          <w:szCs w:val="20"/>
        </w:rPr>
        <w:t>(5)绩效考核指标。</w:t>
      </w:r>
    </w:p>
    <w:p w14:paraId="3B15B05E">
      <w:pPr>
        <w:pStyle w:val="2"/>
        <w:spacing w:before="75" w:line="271" w:lineRule="auto"/>
        <w:ind w:right="284" w:firstLine="400"/>
        <w:rPr>
          <w:sz w:val="20"/>
          <w:szCs w:val="20"/>
        </w:rPr>
      </w:pPr>
      <w:r>
        <w:rPr>
          <w:spacing w:val="3"/>
          <w:sz w:val="20"/>
          <w:szCs w:val="20"/>
        </w:rPr>
        <w:t>绩效考核指标是考核的基本点，所有绩效考核指标均应量化，建议根据历年</w:t>
      </w:r>
      <w:r>
        <w:rPr>
          <w:spacing w:val="2"/>
          <w:sz w:val="20"/>
          <w:szCs w:val="20"/>
        </w:rPr>
        <w:t>统计信息制定</w:t>
      </w:r>
      <w:r>
        <w:rPr>
          <w:sz w:val="20"/>
          <w:szCs w:val="20"/>
        </w:rPr>
        <w:t xml:space="preserve"> </w:t>
      </w:r>
      <w:r>
        <w:rPr>
          <w:spacing w:val="3"/>
          <w:sz w:val="20"/>
          <w:szCs w:val="20"/>
        </w:rPr>
        <w:t>量化的参考值。考核指标如有特殊情况应予以说明，例如，</w:t>
      </w:r>
      <w:r>
        <w:rPr>
          <w:spacing w:val="2"/>
          <w:sz w:val="20"/>
          <w:szCs w:val="20"/>
        </w:rPr>
        <w:t>绩效考核指标中有部分指标仅针对</w:t>
      </w:r>
      <w:r>
        <w:rPr>
          <w:sz w:val="20"/>
          <w:szCs w:val="20"/>
        </w:rPr>
        <w:t xml:space="preserve"> </w:t>
      </w:r>
      <w:r>
        <w:rPr>
          <w:spacing w:val="3"/>
          <w:sz w:val="20"/>
          <w:szCs w:val="20"/>
        </w:rPr>
        <w:t>特定运行维护服务商，巡检考核仅针对基础环境运行维护服务商和安全运行维护服务商。绩效</w:t>
      </w:r>
      <w:r>
        <w:rPr>
          <w:spacing w:val="5"/>
          <w:sz w:val="20"/>
          <w:szCs w:val="20"/>
        </w:rPr>
        <w:t xml:space="preserve"> </w:t>
      </w:r>
      <w:r>
        <w:rPr>
          <w:spacing w:val="3"/>
          <w:sz w:val="20"/>
          <w:szCs w:val="20"/>
        </w:rPr>
        <w:t>考核的指标和权重可以根据不同运行维护时期用户需求的变化而调整。被调整的指标或权重应</w:t>
      </w:r>
      <w:r>
        <w:rPr>
          <w:spacing w:val="5"/>
          <w:sz w:val="20"/>
          <w:szCs w:val="20"/>
        </w:rPr>
        <w:t xml:space="preserve"> </w:t>
      </w:r>
      <w:r>
        <w:rPr>
          <w:spacing w:val="-3"/>
          <w:sz w:val="20"/>
          <w:szCs w:val="20"/>
        </w:rPr>
        <w:t>在经过讨论并公布后应用。</w:t>
      </w:r>
    </w:p>
    <w:p w14:paraId="43B02B66">
      <w:pPr>
        <w:pStyle w:val="2"/>
        <w:spacing w:before="70" w:line="219" w:lineRule="auto"/>
        <w:ind w:left="400"/>
        <w:rPr>
          <w:sz w:val="20"/>
          <w:szCs w:val="20"/>
        </w:rPr>
      </w:pPr>
      <w:r>
        <w:rPr>
          <w:spacing w:val="5"/>
          <w:sz w:val="20"/>
          <w:szCs w:val="20"/>
        </w:rPr>
        <w:t>(6)考核结果的利用。</w:t>
      </w:r>
    </w:p>
    <w:p w14:paraId="4E125991">
      <w:pPr>
        <w:pStyle w:val="2"/>
        <w:spacing w:before="60" w:line="279" w:lineRule="auto"/>
        <w:ind w:right="284" w:firstLine="400"/>
        <w:rPr>
          <w:sz w:val="17"/>
          <w:szCs w:val="17"/>
        </w:rPr>
      </w:pPr>
      <w:r>
        <w:rPr>
          <w:spacing w:val="3"/>
          <w:sz w:val="20"/>
          <w:szCs w:val="20"/>
        </w:rPr>
        <w:t>监理机构定期向业主单位提供被考核对象的绩效考核结果。对业主单位来</w:t>
      </w:r>
      <w:r>
        <w:rPr>
          <w:spacing w:val="2"/>
          <w:sz w:val="20"/>
          <w:szCs w:val="20"/>
        </w:rPr>
        <w:t>说，绩效考核结</w:t>
      </w:r>
      <w:r>
        <w:rPr>
          <w:sz w:val="20"/>
          <w:szCs w:val="20"/>
        </w:rPr>
        <w:t xml:space="preserve"> </w:t>
      </w:r>
      <w:r>
        <w:rPr>
          <w:spacing w:val="3"/>
          <w:sz w:val="20"/>
          <w:szCs w:val="20"/>
        </w:rPr>
        <w:t>果提供了运维服务提供方服务质量、服务水平和合同履行情况的客观信息，为评价运维服务提</w:t>
      </w:r>
      <w:r>
        <w:rPr>
          <w:spacing w:val="5"/>
          <w:sz w:val="20"/>
          <w:szCs w:val="20"/>
        </w:rPr>
        <w:t xml:space="preserve"> </w:t>
      </w:r>
      <w:r>
        <w:rPr>
          <w:spacing w:val="3"/>
          <w:sz w:val="20"/>
          <w:szCs w:val="20"/>
        </w:rPr>
        <w:t>供方工作提供了可靠依据，为下一年运维合同签订提供了</w:t>
      </w:r>
      <w:r>
        <w:rPr>
          <w:spacing w:val="2"/>
          <w:sz w:val="20"/>
          <w:szCs w:val="20"/>
        </w:rPr>
        <w:t>有效参考，为运维工作量统计及运维</w:t>
      </w:r>
      <w:r>
        <w:rPr>
          <w:sz w:val="20"/>
          <w:szCs w:val="20"/>
        </w:rPr>
        <w:t xml:space="preserve"> </w:t>
      </w:r>
      <w:r>
        <w:rPr>
          <w:spacing w:val="3"/>
          <w:sz w:val="20"/>
          <w:szCs w:val="20"/>
        </w:rPr>
        <w:t>服务费支付提供了有力支撑。对于考核结果不合格的运维服务</w:t>
      </w:r>
      <w:r>
        <w:rPr>
          <w:spacing w:val="2"/>
          <w:sz w:val="20"/>
          <w:szCs w:val="20"/>
        </w:rPr>
        <w:t>提供方，业主单位可以依据签订</w:t>
      </w:r>
      <w:r>
        <w:rPr>
          <w:sz w:val="20"/>
          <w:szCs w:val="20"/>
        </w:rPr>
        <w:t xml:space="preserve"> </w:t>
      </w:r>
      <w:r>
        <w:rPr>
          <w:spacing w:val="3"/>
          <w:sz w:val="20"/>
          <w:szCs w:val="20"/>
        </w:rPr>
        <w:t>的运维合同进行处罚甚至索赔；对于考核结果优秀的运维服务提供方，业主单位可以给予相应</w:t>
      </w:r>
      <w:r>
        <w:rPr>
          <w:spacing w:val="4"/>
          <w:sz w:val="20"/>
          <w:szCs w:val="20"/>
        </w:rPr>
        <w:t xml:space="preserve"> </w:t>
      </w:r>
      <w:r>
        <w:rPr>
          <w:spacing w:val="18"/>
          <w:sz w:val="17"/>
          <w:szCs w:val="17"/>
        </w:rPr>
        <w:t>的奖励</w:t>
      </w:r>
      <w:r>
        <w:rPr>
          <w:spacing w:val="-39"/>
          <w:sz w:val="17"/>
          <w:szCs w:val="17"/>
        </w:rPr>
        <w:t xml:space="preserve"> </w:t>
      </w:r>
      <w:r>
        <w:rPr>
          <w:spacing w:val="18"/>
          <w:sz w:val="17"/>
          <w:szCs w:val="17"/>
        </w:rPr>
        <w:t>。</w:t>
      </w:r>
    </w:p>
    <w:p w14:paraId="4E81E705">
      <w:pPr>
        <w:spacing w:line="279" w:lineRule="auto"/>
        <w:rPr>
          <w:sz w:val="17"/>
          <w:szCs w:val="17"/>
        </w:rPr>
        <w:sectPr>
          <w:pgSz w:w="10300" w:h="13270"/>
          <w:pgMar w:top="400" w:right="496" w:bottom="400" w:left="1189" w:header="0" w:footer="0" w:gutter="0"/>
          <w:cols w:space="720" w:num="1"/>
        </w:sectPr>
      </w:pPr>
    </w:p>
    <w:p w14:paraId="7C5DE937">
      <w:pPr>
        <w:pStyle w:val="2"/>
        <w:spacing w:before="7" w:line="219" w:lineRule="auto"/>
        <w:rPr>
          <w:sz w:val="19"/>
          <w:szCs w:val="19"/>
        </w:rPr>
      </w:pPr>
      <w:r>
        <w:rPr>
          <w:rFonts w:ascii="Times New Roman" w:hAnsi="Times New Roman" w:eastAsia="Times New Roman" w:cs="Times New Roman"/>
          <w:spacing w:val="4"/>
          <w:position w:val="1"/>
          <w:sz w:val="17"/>
          <w:szCs w:val="17"/>
        </w:rPr>
        <w:t>598</w:t>
      </w:r>
      <w:r>
        <w:rPr>
          <w:rFonts w:ascii="Times New Roman" w:hAnsi="Times New Roman" w:eastAsia="Times New Roman" w:cs="Times New Roman"/>
          <w:position w:val="1"/>
          <w:sz w:val="17"/>
          <w:szCs w:val="17"/>
        </w:rPr>
        <w:t xml:space="preserve">                 </w:t>
      </w:r>
      <w:r>
        <w:rPr>
          <w:spacing w:val="4"/>
          <w:sz w:val="19"/>
          <w:szCs w:val="19"/>
        </w:rPr>
        <w:t>信息系统监理师教程(第2版)</w:t>
      </w:r>
    </w:p>
    <w:p w14:paraId="13F7884D">
      <w:pPr>
        <w:spacing w:line="316" w:lineRule="auto"/>
        <w:rPr>
          <w:rFonts w:ascii="Arial"/>
          <w:sz w:val="21"/>
        </w:rPr>
      </w:pPr>
    </w:p>
    <w:p w14:paraId="31EE978A">
      <w:pPr>
        <w:pStyle w:val="2"/>
        <w:spacing w:before="62" w:line="221" w:lineRule="auto"/>
        <w:ind w:left="742"/>
        <w:rPr>
          <w:rFonts w:ascii="黑体" w:hAnsi="黑体" w:eastAsia="黑体" w:cs="黑体"/>
          <w:sz w:val="19"/>
          <w:szCs w:val="19"/>
        </w:rPr>
      </w:pPr>
      <w:r>
        <w:rPr>
          <w:b/>
          <w:bCs/>
          <w:color w:val="006DCE"/>
          <w:spacing w:val="6"/>
          <w:sz w:val="19"/>
          <w:szCs w:val="19"/>
        </w:rPr>
        <w:t>2.</w:t>
      </w:r>
      <w:r>
        <w:rPr>
          <w:rFonts w:ascii="黑体" w:hAnsi="黑体" w:eastAsia="黑体" w:cs="黑体"/>
          <w:b/>
          <w:bCs/>
          <w:color w:val="006DCE"/>
          <w:spacing w:val="6"/>
          <w:sz w:val="19"/>
          <w:szCs w:val="19"/>
        </w:rPr>
        <w:t>效能管理活动及内容</w:t>
      </w:r>
    </w:p>
    <w:p w14:paraId="749C7BF8">
      <w:pPr>
        <w:pStyle w:val="2"/>
        <w:spacing w:before="177" w:line="219" w:lineRule="auto"/>
        <w:ind w:left="739"/>
        <w:rPr>
          <w:sz w:val="19"/>
          <w:szCs w:val="19"/>
        </w:rPr>
      </w:pPr>
      <w:r>
        <w:rPr>
          <w:spacing w:val="6"/>
          <w:sz w:val="19"/>
          <w:szCs w:val="19"/>
        </w:rPr>
        <w:t>效能管理活动及内容具体如下：</w:t>
      </w:r>
    </w:p>
    <w:p w14:paraId="2A8937B8">
      <w:pPr>
        <w:pStyle w:val="2"/>
        <w:spacing w:before="94" w:line="219" w:lineRule="auto"/>
        <w:ind w:left="739"/>
        <w:rPr>
          <w:sz w:val="19"/>
          <w:szCs w:val="19"/>
        </w:rPr>
      </w:pPr>
      <w:r>
        <w:rPr>
          <w:spacing w:val="10"/>
          <w:sz w:val="19"/>
          <w:szCs w:val="19"/>
        </w:rPr>
        <w:t>(1)协助业主单位建立运维绩效考核管理体系，主要包括：</w:t>
      </w:r>
    </w:p>
    <w:p w14:paraId="7024EE9C">
      <w:pPr>
        <w:pStyle w:val="2"/>
        <w:spacing w:before="94" w:line="219" w:lineRule="auto"/>
        <w:ind w:left="739"/>
        <w:rPr>
          <w:sz w:val="19"/>
          <w:szCs w:val="19"/>
        </w:rPr>
      </w:pPr>
      <w:r>
        <w:rPr>
          <w:spacing w:val="8"/>
          <w:sz w:val="19"/>
          <w:szCs w:val="19"/>
        </w:rPr>
        <w:t>●</w:t>
      </w:r>
      <w:r>
        <w:rPr>
          <w:spacing w:val="-56"/>
          <w:sz w:val="19"/>
          <w:szCs w:val="19"/>
        </w:rPr>
        <w:t xml:space="preserve"> </w:t>
      </w:r>
      <w:r>
        <w:rPr>
          <w:spacing w:val="8"/>
          <w:sz w:val="19"/>
          <w:szCs w:val="19"/>
        </w:rPr>
        <w:t>绩效考核原则；</w:t>
      </w:r>
    </w:p>
    <w:p w14:paraId="2E11BDDB">
      <w:pPr>
        <w:pStyle w:val="2"/>
        <w:spacing w:before="95" w:line="219" w:lineRule="auto"/>
        <w:ind w:left="739"/>
        <w:rPr>
          <w:sz w:val="19"/>
          <w:szCs w:val="19"/>
        </w:rPr>
      </w:pPr>
      <w:r>
        <w:rPr>
          <w:spacing w:val="10"/>
          <w:sz w:val="19"/>
          <w:szCs w:val="19"/>
        </w:rPr>
        <w:t>●</w:t>
      </w:r>
      <w:r>
        <w:rPr>
          <w:spacing w:val="-52"/>
          <w:sz w:val="19"/>
          <w:szCs w:val="19"/>
        </w:rPr>
        <w:t xml:space="preserve"> </w:t>
      </w:r>
      <w:r>
        <w:rPr>
          <w:spacing w:val="10"/>
          <w:sz w:val="19"/>
          <w:szCs w:val="19"/>
        </w:rPr>
        <w:t>考核范围；</w:t>
      </w:r>
    </w:p>
    <w:p w14:paraId="79A95335">
      <w:pPr>
        <w:pStyle w:val="2"/>
        <w:spacing w:before="104" w:line="219" w:lineRule="auto"/>
        <w:ind w:left="739"/>
        <w:rPr>
          <w:sz w:val="19"/>
          <w:szCs w:val="19"/>
        </w:rPr>
      </w:pPr>
      <w:r>
        <w:rPr>
          <w:spacing w:val="8"/>
          <w:sz w:val="19"/>
          <w:szCs w:val="19"/>
        </w:rPr>
        <w:t>●</w:t>
      </w:r>
      <w:r>
        <w:rPr>
          <w:spacing w:val="-56"/>
          <w:sz w:val="19"/>
          <w:szCs w:val="19"/>
        </w:rPr>
        <w:t xml:space="preserve"> </w:t>
      </w:r>
      <w:r>
        <w:rPr>
          <w:spacing w:val="8"/>
          <w:sz w:val="19"/>
          <w:szCs w:val="19"/>
        </w:rPr>
        <w:t>绩效考核指标；</w:t>
      </w:r>
    </w:p>
    <w:p w14:paraId="4FB7BF02">
      <w:pPr>
        <w:pStyle w:val="2"/>
        <w:spacing w:before="105" w:line="219" w:lineRule="auto"/>
        <w:ind w:left="739"/>
        <w:rPr>
          <w:sz w:val="19"/>
          <w:szCs w:val="19"/>
        </w:rPr>
      </w:pPr>
      <w:r>
        <w:rPr>
          <w:spacing w:val="8"/>
          <w:sz w:val="19"/>
          <w:szCs w:val="19"/>
        </w:rPr>
        <w:t>●</w:t>
      </w:r>
      <w:r>
        <w:rPr>
          <w:spacing w:val="-56"/>
          <w:sz w:val="19"/>
          <w:szCs w:val="19"/>
        </w:rPr>
        <w:t xml:space="preserve"> </w:t>
      </w:r>
      <w:r>
        <w:rPr>
          <w:spacing w:val="8"/>
          <w:sz w:val="19"/>
          <w:szCs w:val="19"/>
        </w:rPr>
        <w:t>绩效考核内容；</w:t>
      </w:r>
    </w:p>
    <w:p w14:paraId="2F058FBB">
      <w:pPr>
        <w:pStyle w:val="2"/>
        <w:spacing w:before="94" w:line="219" w:lineRule="auto"/>
        <w:ind w:left="739"/>
        <w:rPr>
          <w:sz w:val="19"/>
          <w:szCs w:val="19"/>
        </w:rPr>
      </w:pPr>
      <w:r>
        <w:rPr>
          <w:spacing w:val="8"/>
          <w:sz w:val="19"/>
          <w:szCs w:val="19"/>
        </w:rPr>
        <w:t>●</w:t>
      </w:r>
      <w:r>
        <w:rPr>
          <w:spacing w:val="-56"/>
          <w:sz w:val="19"/>
          <w:szCs w:val="19"/>
        </w:rPr>
        <w:t xml:space="preserve"> </w:t>
      </w:r>
      <w:r>
        <w:rPr>
          <w:spacing w:val="8"/>
          <w:sz w:val="19"/>
          <w:szCs w:val="19"/>
        </w:rPr>
        <w:t>绩效考核流程；</w:t>
      </w:r>
    </w:p>
    <w:p w14:paraId="361CB337">
      <w:pPr>
        <w:pStyle w:val="2"/>
        <w:spacing w:before="105" w:line="219" w:lineRule="auto"/>
        <w:ind w:left="739"/>
        <w:rPr>
          <w:sz w:val="19"/>
          <w:szCs w:val="19"/>
        </w:rPr>
      </w:pPr>
      <w:r>
        <w:rPr>
          <w:spacing w:val="8"/>
          <w:sz w:val="19"/>
          <w:szCs w:val="19"/>
        </w:rPr>
        <w:t>●</w:t>
      </w:r>
      <w:r>
        <w:rPr>
          <w:spacing w:val="-56"/>
          <w:sz w:val="19"/>
          <w:szCs w:val="19"/>
        </w:rPr>
        <w:t xml:space="preserve"> </w:t>
      </w:r>
      <w:r>
        <w:rPr>
          <w:spacing w:val="8"/>
          <w:sz w:val="19"/>
          <w:szCs w:val="19"/>
        </w:rPr>
        <w:t>绩效考核制度；</w:t>
      </w:r>
    </w:p>
    <w:p w14:paraId="552A50B9">
      <w:pPr>
        <w:pStyle w:val="2"/>
        <w:spacing w:before="95" w:line="219" w:lineRule="auto"/>
        <w:ind w:left="739"/>
        <w:rPr>
          <w:sz w:val="19"/>
          <w:szCs w:val="19"/>
        </w:rPr>
      </w:pPr>
      <w:r>
        <w:rPr>
          <w:spacing w:val="8"/>
          <w:sz w:val="19"/>
          <w:szCs w:val="19"/>
        </w:rPr>
        <w:t>●</w:t>
      </w:r>
      <w:r>
        <w:rPr>
          <w:spacing w:val="-56"/>
          <w:sz w:val="19"/>
          <w:szCs w:val="19"/>
        </w:rPr>
        <w:t xml:space="preserve"> </w:t>
      </w:r>
      <w:r>
        <w:rPr>
          <w:spacing w:val="8"/>
          <w:sz w:val="19"/>
          <w:szCs w:val="19"/>
        </w:rPr>
        <w:t>绩效考核办法；</w:t>
      </w:r>
    </w:p>
    <w:p w14:paraId="0D42BE56">
      <w:pPr>
        <w:pStyle w:val="2"/>
        <w:spacing w:before="114" w:line="219" w:lineRule="auto"/>
        <w:ind w:left="739"/>
        <w:rPr>
          <w:sz w:val="19"/>
          <w:szCs w:val="19"/>
        </w:rPr>
      </w:pPr>
      <w:r>
        <w:rPr>
          <w:spacing w:val="10"/>
          <w:sz w:val="19"/>
          <w:szCs w:val="19"/>
        </w:rPr>
        <w:t>●绩效考核组织结构，包括考核管理部门、考核执行部门、考核对象等；</w:t>
      </w:r>
    </w:p>
    <w:p w14:paraId="5AE339F9">
      <w:pPr>
        <w:pStyle w:val="2"/>
        <w:spacing w:before="103" w:line="273" w:lineRule="auto"/>
        <w:ind w:left="1039" w:hanging="300"/>
        <w:rPr>
          <w:sz w:val="17"/>
          <w:szCs w:val="17"/>
        </w:rPr>
      </w:pPr>
      <w:r>
        <w:rPr>
          <w:spacing w:val="13"/>
          <w:sz w:val="19"/>
          <w:szCs w:val="19"/>
        </w:rPr>
        <w:t xml:space="preserve">●绩效考核指标项，包括考核周期、考核指标项内容和量化依据、考核指标项权重、奖惩 </w:t>
      </w:r>
      <w:r>
        <w:rPr>
          <w:spacing w:val="19"/>
          <w:sz w:val="17"/>
          <w:szCs w:val="17"/>
        </w:rPr>
        <w:t>措施等</w:t>
      </w:r>
      <w:r>
        <w:rPr>
          <w:spacing w:val="-43"/>
          <w:sz w:val="17"/>
          <w:szCs w:val="17"/>
        </w:rPr>
        <w:t xml:space="preserve"> </w:t>
      </w:r>
      <w:r>
        <w:rPr>
          <w:spacing w:val="19"/>
          <w:sz w:val="17"/>
          <w:szCs w:val="17"/>
        </w:rPr>
        <w:t>。</w:t>
      </w:r>
    </w:p>
    <w:p w14:paraId="1F752C87">
      <w:pPr>
        <w:pStyle w:val="2"/>
        <w:spacing w:before="109" w:line="219" w:lineRule="auto"/>
        <w:ind w:left="739"/>
        <w:rPr>
          <w:sz w:val="19"/>
          <w:szCs w:val="19"/>
        </w:rPr>
      </w:pPr>
      <w:r>
        <w:rPr>
          <w:spacing w:val="10"/>
          <w:sz w:val="19"/>
          <w:szCs w:val="19"/>
        </w:rPr>
        <w:t>(2)协助业主单位做好运维项目绩效考核管理体系的执行工作，重点关注：</w:t>
      </w:r>
    </w:p>
    <w:p w14:paraId="35FC8989">
      <w:pPr>
        <w:pStyle w:val="2"/>
        <w:spacing w:before="85" w:line="219" w:lineRule="auto"/>
        <w:ind w:left="739"/>
        <w:rPr>
          <w:sz w:val="19"/>
          <w:szCs w:val="19"/>
        </w:rPr>
      </w:pPr>
      <w:r>
        <w:rPr>
          <w:spacing w:val="10"/>
          <w:sz w:val="19"/>
          <w:szCs w:val="19"/>
        </w:rPr>
        <w:t>●收集绩效考核指标项量化数值、数据或记录等，进行绩效考核打分；</w:t>
      </w:r>
    </w:p>
    <w:p w14:paraId="6CDC4C72">
      <w:pPr>
        <w:pStyle w:val="2"/>
        <w:spacing w:before="93" w:line="218" w:lineRule="auto"/>
        <w:ind w:left="739"/>
        <w:rPr>
          <w:sz w:val="19"/>
          <w:szCs w:val="19"/>
        </w:rPr>
      </w:pPr>
      <w:r>
        <w:rPr>
          <w:spacing w:val="11"/>
          <w:sz w:val="19"/>
          <w:szCs w:val="19"/>
        </w:rPr>
        <w:t>●提交绩效考核报告和监理意见。</w:t>
      </w:r>
    </w:p>
    <w:p w14:paraId="0036D524">
      <w:pPr>
        <w:pStyle w:val="2"/>
        <w:spacing w:before="107" w:line="219" w:lineRule="auto"/>
        <w:ind w:left="739"/>
        <w:rPr>
          <w:sz w:val="19"/>
          <w:szCs w:val="19"/>
        </w:rPr>
      </w:pPr>
      <w:r>
        <w:rPr>
          <w:sz w:val="19"/>
          <w:szCs w:val="19"/>
        </w:rPr>
        <w:t>(3)结合阶段绩效考核结果和实际运维情况，协助业主单位优化和完善</w:t>
      </w:r>
      <w:r>
        <w:rPr>
          <w:spacing w:val="-1"/>
          <w:sz w:val="19"/>
          <w:szCs w:val="19"/>
        </w:rPr>
        <w:t>运维绩效考核管理体系。</w:t>
      </w:r>
    </w:p>
    <w:p w14:paraId="745364DF">
      <w:pPr>
        <w:pStyle w:val="2"/>
        <w:spacing w:before="224" w:line="220" w:lineRule="auto"/>
        <w:ind w:left="342"/>
        <w:rPr>
          <w:sz w:val="25"/>
          <w:szCs w:val="25"/>
        </w:rPr>
      </w:pPr>
      <w:r>
        <w:rPr>
          <w:b/>
          <w:bCs/>
          <w:color w:val="0D66B4"/>
          <w:spacing w:val="-18"/>
          <w:sz w:val="25"/>
          <w:szCs w:val="25"/>
        </w:rPr>
        <w:t>25.3.10</w:t>
      </w:r>
      <w:r>
        <w:rPr>
          <w:color w:val="0D66B4"/>
          <w:spacing w:val="101"/>
          <w:sz w:val="25"/>
          <w:szCs w:val="25"/>
        </w:rPr>
        <w:t xml:space="preserve"> </w:t>
      </w:r>
      <w:r>
        <w:rPr>
          <w:b/>
          <w:bCs/>
          <w:color w:val="0D66B4"/>
          <w:spacing w:val="-18"/>
          <w:sz w:val="25"/>
          <w:szCs w:val="25"/>
        </w:rPr>
        <w:t>沟通协调</w:t>
      </w:r>
    </w:p>
    <w:p w14:paraId="244BA92D">
      <w:pPr>
        <w:pStyle w:val="2"/>
        <w:spacing w:before="183" w:line="220" w:lineRule="auto"/>
        <w:ind w:left="739"/>
        <w:rPr>
          <w:sz w:val="19"/>
          <w:szCs w:val="19"/>
        </w:rPr>
      </w:pPr>
      <w:r>
        <w:rPr>
          <w:spacing w:val="7"/>
          <w:sz w:val="19"/>
          <w:szCs w:val="19"/>
        </w:rPr>
        <w:t>运行维护实施阶段涉及的主要沟通协调工作如下：</w:t>
      </w:r>
    </w:p>
    <w:p w14:paraId="5F049242">
      <w:pPr>
        <w:pStyle w:val="2"/>
        <w:spacing w:before="94" w:line="219" w:lineRule="auto"/>
        <w:ind w:left="739"/>
        <w:rPr>
          <w:sz w:val="19"/>
          <w:szCs w:val="19"/>
        </w:rPr>
      </w:pPr>
      <w:r>
        <w:rPr>
          <w:spacing w:val="11"/>
          <w:sz w:val="19"/>
          <w:szCs w:val="19"/>
        </w:rPr>
        <w:t>(1)建立运行维护管理组织架构、工作协调组织结构；</w:t>
      </w:r>
    </w:p>
    <w:p w14:paraId="0453EF8D">
      <w:pPr>
        <w:pStyle w:val="2"/>
        <w:spacing w:before="93" w:line="219" w:lineRule="auto"/>
        <w:ind w:left="739"/>
        <w:rPr>
          <w:sz w:val="19"/>
          <w:szCs w:val="19"/>
        </w:rPr>
      </w:pPr>
      <w:r>
        <w:rPr>
          <w:spacing w:val="11"/>
          <w:sz w:val="19"/>
          <w:szCs w:val="19"/>
        </w:rPr>
        <w:t>(2)建立三方的信息传递机制，包括信息沟通、汇报、审批等流程；</w:t>
      </w:r>
    </w:p>
    <w:p w14:paraId="60B7CD02">
      <w:pPr>
        <w:pStyle w:val="2"/>
        <w:spacing w:before="75" w:line="219" w:lineRule="auto"/>
        <w:ind w:left="739"/>
        <w:rPr>
          <w:sz w:val="19"/>
          <w:szCs w:val="19"/>
        </w:rPr>
      </w:pPr>
      <w:r>
        <w:rPr>
          <w:spacing w:val="11"/>
          <w:sz w:val="19"/>
          <w:szCs w:val="19"/>
        </w:rPr>
        <w:t>(3)建立三方的协调机制，定期召开运行</w:t>
      </w:r>
      <w:r>
        <w:rPr>
          <w:spacing w:val="10"/>
          <w:sz w:val="19"/>
          <w:szCs w:val="19"/>
        </w:rPr>
        <w:t>维护工作监理例会，并形成会议纪要；</w:t>
      </w:r>
    </w:p>
    <w:p w14:paraId="7C8FA09D">
      <w:pPr>
        <w:pStyle w:val="2"/>
        <w:spacing w:before="94" w:line="219" w:lineRule="auto"/>
        <w:ind w:left="739"/>
        <w:rPr>
          <w:sz w:val="19"/>
          <w:szCs w:val="19"/>
        </w:rPr>
      </w:pPr>
      <w:r>
        <w:rPr>
          <w:spacing w:val="11"/>
          <w:sz w:val="19"/>
          <w:szCs w:val="19"/>
        </w:rPr>
        <w:t>(4)协调业主单位与运维服务提供方之间的关系，并通过运行维</w:t>
      </w:r>
      <w:r>
        <w:rPr>
          <w:spacing w:val="10"/>
          <w:sz w:val="19"/>
          <w:szCs w:val="19"/>
        </w:rPr>
        <w:t>护管理制度约束各方；</w:t>
      </w:r>
    </w:p>
    <w:p w14:paraId="7DAF9F64">
      <w:pPr>
        <w:pStyle w:val="2"/>
        <w:spacing w:before="85" w:line="219" w:lineRule="auto"/>
        <w:ind w:left="739"/>
        <w:rPr>
          <w:sz w:val="19"/>
          <w:szCs w:val="19"/>
        </w:rPr>
      </w:pPr>
      <w:r>
        <w:rPr>
          <w:spacing w:val="11"/>
          <w:sz w:val="19"/>
          <w:szCs w:val="19"/>
        </w:rPr>
        <w:t>(5)如需要，召开运行维护工作监理专题会议，并形成会议纪要。</w:t>
      </w:r>
    </w:p>
    <w:p w14:paraId="02D3E7C9">
      <w:pPr>
        <w:pStyle w:val="2"/>
        <w:spacing w:before="235" w:line="219" w:lineRule="auto"/>
        <w:ind w:left="332"/>
        <w:rPr>
          <w:sz w:val="25"/>
          <w:szCs w:val="25"/>
        </w:rPr>
      </w:pPr>
      <w:r>
        <w:rPr>
          <w:b/>
          <w:bCs/>
          <w:color w:val="005ECB"/>
          <w:spacing w:val="-16"/>
          <w:sz w:val="25"/>
          <w:szCs w:val="25"/>
        </w:rPr>
        <w:t>25.3.11</w:t>
      </w:r>
      <w:r>
        <w:rPr>
          <w:color w:val="005ECB"/>
          <w:spacing w:val="91"/>
          <w:sz w:val="25"/>
          <w:szCs w:val="25"/>
        </w:rPr>
        <w:t xml:space="preserve"> </w:t>
      </w:r>
      <w:r>
        <w:rPr>
          <w:b/>
          <w:bCs/>
          <w:color w:val="005ECB"/>
          <w:spacing w:val="-16"/>
          <w:sz w:val="25"/>
          <w:szCs w:val="25"/>
        </w:rPr>
        <w:t>主要输出文档</w:t>
      </w:r>
    </w:p>
    <w:p w14:paraId="2CF67248">
      <w:pPr>
        <w:pStyle w:val="2"/>
        <w:spacing w:before="184" w:line="219" w:lineRule="auto"/>
        <w:ind w:left="739"/>
        <w:rPr>
          <w:sz w:val="19"/>
          <w:szCs w:val="19"/>
        </w:rPr>
      </w:pPr>
      <w:r>
        <w:rPr>
          <w:spacing w:val="6"/>
          <w:sz w:val="19"/>
          <w:szCs w:val="19"/>
        </w:rPr>
        <w:t>运行维护实施阶段的主要输出文档如下：</w:t>
      </w:r>
    </w:p>
    <w:p w14:paraId="5DFA12CD">
      <w:pPr>
        <w:pStyle w:val="2"/>
        <w:spacing w:before="75" w:line="220" w:lineRule="auto"/>
        <w:ind w:left="739"/>
        <w:rPr>
          <w:sz w:val="19"/>
          <w:szCs w:val="19"/>
        </w:rPr>
      </w:pPr>
      <w:r>
        <w:rPr>
          <w:spacing w:val="12"/>
          <w:sz w:val="19"/>
          <w:szCs w:val="19"/>
        </w:rPr>
        <w:t>(1)监理实施细则；</w:t>
      </w:r>
    </w:p>
    <w:p w14:paraId="7A8723A9">
      <w:pPr>
        <w:pStyle w:val="2"/>
        <w:spacing w:before="82" w:line="219" w:lineRule="auto"/>
        <w:ind w:left="739"/>
        <w:rPr>
          <w:sz w:val="19"/>
          <w:szCs w:val="19"/>
        </w:rPr>
      </w:pPr>
      <w:r>
        <w:rPr>
          <w:spacing w:val="12"/>
          <w:sz w:val="19"/>
          <w:szCs w:val="19"/>
        </w:rPr>
        <w:t>(2)监理会议纪要；</w:t>
      </w:r>
    </w:p>
    <w:p w14:paraId="125E4C82">
      <w:pPr>
        <w:pStyle w:val="2"/>
        <w:spacing w:before="75" w:line="219" w:lineRule="auto"/>
        <w:ind w:left="739"/>
        <w:rPr>
          <w:sz w:val="19"/>
          <w:szCs w:val="19"/>
        </w:rPr>
      </w:pPr>
      <w:r>
        <w:rPr>
          <w:spacing w:val="14"/>
          <w:sz w:val="19"/>
          <w:szCs w:val="19"/>
        </w:rPr>
        <w:t>(3)监理专题会议纪要；</w:t>
      </w:r>
    </w:p>
    <w:p w14:paraId="7C34071F">
      <w:pPr>
        <w:pStyle w:val="2"/>
        <w:spacing w:before="86" w:line="219" w:lineRule="auto"/>
        <w:ind w:left="739"/>
        <w:rPr>
          <w:sz w:val="19"/>
          <w:szCs w:val="19"/>
        </w:rPr>
      </w:pPr>
      <w:r>
        <w:rPr>
          <w:spacing w:val="13"/>
          <w:sz w:val="19"/>
          <w:szCs w:val="19"/>
        </w:rPr>
        <w:t>(4)监理周报、监理月报；</w:t>
      </w:r>
    </w:p>
    <w:p w14:paraId="4D5C86A3">
      <w:pPr>
        <w:pStyle w:val="2"/>
        <w:spacing w:before="84" w:line="219" w:lineRule="auto"/>
        <w:ind w:left="739"/>
        <w:rPr>
          <w:sz w:val="19"/>
          <w:szCs w:val="19"/>
        </w:rPr>
      </w:pPr>
      <w:r>
        <w:rPr>
          <w:spacing w:val="12"/>
          <w:sz w:val="19"/>
          <w:szCs w:val="19"/>
        </w:rPr>
        <w:t>(5)文档评审意见；</w:t>
      </w:r>
    </w:p>
    <w:p w14:paraId="14F67CFE">
      <w:pPr>
        <w:pStyle w:val="2"/>
        <w:spacing w:before="85" w:line="219" w:lineRule="auto"/>
        <w:ind w:left="739"/>
        <w:rPr>
          <w:sz w:val="19"/>
          <w:szCs w:val="19"/>
        </w:rPr>
      </w:pPr>
      <w:r>
        <w:rPr>
          <w:spacing w:val="11"/>
          <w:sz w:val="19"/>
          <w:szCs w:val="19"/>
        </w:rPr>
        <w:t>(6)针对各种事项提出的监理意见；</w:t>
      </w:r>
    </w:p>
    <w:p w14:paraId="5812CB61">
      <w:pPr>
        <w:pStyle w:val="2"/>
        <w:spacing w:before="85" w:line="220" w:lineRule="auto"/>
        <w:ind w:left="739"/>
        <w:rPr>
          <w:sz w:val="19"/>
          <w:szCs w:val="19"/>
        </w:rPr>
      </w:pPr>
      <w:r>
        <w:rPr>
          <w:spacing w:val="11"/>
          <w:sz w:val="19"/>
          <w:szCs w:val="19"/>
        </w:rPr>
        <w:t>(7)监理联系单和监理通知单；</w:t>
      </w:r>
    </w:p>
    <w:p w14:paraId="07088340">
      <w:pPr>
        <w:pStyle w:val="2"/>
        <w:spacing w:before="71" w:line="218" w:lineRule="auto"/>
        <w:ind w:left="739"/>
        <w:rPr>
          <w:sz w:val="19"/>
          <w:szCs w:val="19"/>
        </w:rPr>
      </w:pPr>
      <w:r>
        <w:rPr>
          <w:spacing w:val="14"/>
          <w:sz w:val="19"/>
          <w:szCs w:val="19"/>
        </w:rPr>
        <w:t>(8)绩效考核记录和报告等。</w:t>
      </w:r>
    </w:p>
    <w:p w14:paraId="70EAFA8E">
      <w:pPr>
        <w:spacing w:line="218" w:lineRule="auto"/>
        <w:rPr>
          <w:sz w:val="19"/>
          <w:szCs w:val="19"/>
        </w:rPr>
        <w:sectPr>
          <w:pgSz w:w="10310" w:h="13330"/>
          <w:pgMar w:top="400" w:right="1188" w:bottom="400" w:left="450" w:header="0" w:footer="0" w:gutter="0"/>
          <w:cols w:space="720" w:num="1"/>
        </w:sectPr>
      </w:pPr>
    </w:p>
    <w:p w14:paraId="64B05A53">
      <w:pPr>
        <w:pStyle w:val="2"/>
        <w:jc w:val="right"/>
        <w:rPr>
          <w:rFonts w:ascii="Times New Roman" w:hAnsi="Times New Roman" w:eastAsia="Times New Roman" w:cs="Times New Roman"/>
          <w:sz w:val="19"/>
          <w:szCs w:val="19"/>
        </w:rPr>
      </w:pPr>
      <w:r>
        <w:rPr>
          <w:spacing w:val="4"/>
          <w:sz w:val="19"/>
          <w:szCs w:val="19"/>
        </w:rPr>
        <w:t>第25章</w:t>
      </w:r>
      <w:r>
        <w:rPr>
          <w:spacing w:val="26"/>
          <w:sz w:val="19"/>
          <w:szCs w:val="19"/>
        </w:rPr>
        <w:t xml:space="preserve"> </w:t>
      </w:r>
      <w:r>
        <w:rPr>
          <w:spacing w:val="4"/>
          <w:sz w:val="19"/>
          <w:szCs w:val="19"/>
        </w:rPr>
        <w:t xml:space="preserve">运行维护监理 </w:t>
      </w:r>
      <w:r>
        <w:rPr>
          <w:position w:val="-12"/>
          <w:sz w:val="19"/>
          <w:szCs w:val="19"/>
        </w:rPr>
        <w:drawing>
          <wp:inline distT="0" distB="0" distL="0" distR="0">
            <wp:extent cx="316865" cy="241300"/>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384"/>
                    <a:stretch>
                      <a:fillRect/>
                    </a:stretch>
                  </pic:blipFill>
                  <pic:spPr>
                    <a:xfrm>
                      <a:off x="0" y="0"/>
                      <a:ext cx="317475" cy="241359"/>
                    </a:xfrm>
                    <a:prstGeom prst="rect">
                      <a:avLst/>
                    </a:prstGeom>
                  </pic:spPr>
                </pic:pic>
              </a:graphicData>
            </a:graphic>
          </wp:inline>
        </w:drawing>
      </w:r>
      <w:r>
        <w:rPr>
          <w:rFonts w:ascii="Times New Roman" w:hAnsi="Times New Roman" w:eastAsia="Times New Roman" w:cs="Times New Roman"/>
          <w:b/>
          <w:bCs/>
          <w:spacing w:val="4"/>
          <w:position w:val="1"/>
          <w:sz w:val="19"/>
          <w:szCs w:val="19"/>
        </w:rPr>
        <w:t>599</w:t>
      </w:r>
    </w:p>
    <w:p w14:paraId="3661D8D9">
      <w:pPr>
        <w:pStyle w:val="2"/>
        <w:spacing w:before="315" w:line="222" w:lineRule="auto"/>
        <w:ind w:left="3"/>
        <w:rPr>
          <w:rFonts w:ascii="黑体" w:hAnsi="黑体" w:eastAsia="黑体" w:cs="黑体"/>
          <w:sz w:val="29"/>
          <w:szCs w:val="29"/>
        </w:rPr>
      </w:pPr>
      <w:r>
        <w:rPr>
          <w:b/>
          <w:bCs/>
          <w:color w:val="006FEE"/>
          <w:spacing w:val="-11"/>
          <w:sz w:val="29"/>
          <w:szCs w:val="29"/>
        </w:rPr>
        <w:t>25.4</w:t>
      </w:r>
      <w:r>
        <w:rPr>
          <w:color w:val="006FEE"/>
          <w:spacing w:val="-11"/>
          <w:sz w:val="29"/>
          <w:szCs w:val="29"/>
        </w:rPr>
        <w:t xml:space="preserve">  </w:t>
      </w:r>
      <w:r>
        <w:rPr>
          <w:rFonts w:ascii="黑体" w:hAnsi="黑体" w:eastAsia="黑体" w:cs="黑体"/>
          <w:b/>
          <w:bCs/>
          <w:color w:val="006FEE"/>
          <w:spacing w:val="-11"/>
          <w:sz w:val="29"/>
          <w:szCs w:val="29"/>
        </w:rPr>
        <w:t>评估阶段监理工作</w:t>
      </w:r>
    </w:p>
    <w:p w14:paraId="7A5C13A9">
      <w:pPr>
        <w:pStyle w:val="2"/>
        <w:spacing w:before="250" w:line="304" w:lineRule="auto"/>
        <w:ind w:right="338" w:firstLine="400"/>
        <w:jc w:val="both"/>
        <w:rPr>
          <w:sz w:val="19"/>
          <w:szCs w:val="19"/>
        </w:rPr>
      </w:pPr>
      <w:r>
        <w:rPr>
          <w:spacing w:val="12"/>
          <w:sz w:val="19"/>
          <w:szCs w:val="19"/>
        </w:rPr>
        <w:t>在信息系统运行维护过程中，为了持续提高服务质量，保证系统平稳运行，加强对日常运</w:t>
      </w:r>
      <w:r>
        <w:rPr>
          <w:spacing w:val="18"/>
          <w:sz w:val="19"/>
          <w:szCs w:val="19"/>
        </w:rPr>
        <w:t xml:space="preserve"> </w:t>
      </w:r>
      <w:r>
        <w:rPr>
          <w:spacing w:val="12"/>
          <w:sz w:val="19"/>
          <w:szCs w:val="19"/>
        </w:rPr>
        <w:t>行维护工作的管理，进而优化系统运行维护成本与服务效果，需要进行运行维护绩效评估，包</w:t>
      </w:r>
      <w:r>
        <w:rPr>
          <w:spacing w:val="15"/>
          <w:sz w:val="19"/>
          <w:szCs w:val="19"/>
        </w:rPr>
        <w:t xml:space="preserve"> </w:t>
      </w:r>
      <w:r>
        <w:rPr>
          <w:spacing w:val="12"/>
          <w:sz w:val="19"/>
          <w:szCs w:val="19"/>
        </w:rPr>
        <w:t>括运行维护对象效果评估和运行维护服务评估，并根据绩效评估结果开展运行维护服务验收工</w:t>
      </w:r>
      <w:r>
        <w:rPr>
          <w:spacing w:val="17"/>
          <w:sz w:val="19"/>
          <w:szCs w:val="19"/>
        </w:rPr>
        <w:t xml:space="preserve"> </w:t>
      </w:r>
      <w:r>
        <w:rPr>
          <w:spacing w:val="9"/>
          <w:sz w:val="19"/>
          <w:szCs w:val="19"/>
        </w:rPr>
        <w:t>作。评估阶段的监理目标如图25-4所示。</w:t>
      </w:r>
    </w:p>
    <w:p w14:paraId="5A367EB7">
      <w:pPr>
        <w:pStyle w:val="2"/>
        <w:spacing w:before="39" w:line="218" w:lineRule="auto"/>
        <w:ind w:left="400"/>
        <w:rPr>
          <w:sz w:val="19"/>
          <w:szCs w:val="19"/>
        </w:rPr>
      </w:pPr>
      <w:r>
        <w:rPr>
          <w:spacing w:val="8"/>
          <w:sz w:val="19"/>
          <w:szCs w:val="19"/>
        </w:rPr>
        <w:t>在运行维护评估阶段，监理机构应协助业主单位做好相关评估和验收工作。</w:t>
      </w:r>
    </w:p>
    <w:p w14:paraId="55D59556">
      <w:pPr>
        <w:pStyle w:val="2"/>
        <w:spacing w:before="139" w:line="1440" w:lineRule="exact"/>
        <w:ind w:firstLine="2080"/>
      </w:pPr>
      <w:r>
        <w:rPr>
          <w:position w:val="-28"/>
        </w:rPr>
        <w:pict>
          <v:group id="_x0000_s1652" o:spid="_x0000_s1652" o:spt="203" style="height:72.05pt;width:209pt;" coordsize="4180,1441">
            <o:lock v:ext="edit"/>
            <v:shape id="_x0000_s1653" o:spid="_x0000_s1653" o:spt="75" type="#_x0000_t75" style="position:absolute;left:0;top:0;height:1441;width:4180;" filled="f" stroked="f" coordsize="21600,21600">
              <v:path/>
              <v:fill on="f" focussize="0,0"/>
              <v:stroke on="f"/>
              <v:imagedata r:id="rId385" o:title=""/>
              <o:lock v:ext="edit" aspectratio="t"/>
            </v:shape>
            <v:shape id="_x0000_s1654" o:spid="_x0000_s1654" o:spt="202" type="#_x0000_t202" style="position:absolute;left:-20;top:-20;height:1481;width:4220;" filled="f" stroked="f" coordsize="21600,21600">
              <v:path/>
              <v:fill on="f" focussize="0,0"/>
              <v:stroke on="f"/>
              <v:imagedata o:title=""/>
              <o:lock v:ext="edit" aspectratio="f"/>
              <v:textbox inset="0mm,0mm,0mm,0mm">
                <w:txbxContent>
                  <w:p w14:paraId="44D29C08">
                    <w:pPr>
                      <w:spacing w:before="186" w:line="218" w:lineRule="auto"/>
                      <w:ind w:left="179"/>
                      <w:rPr>
                        <w:rFonts w:ascii="宋体" w:hAnsi="宋体" w:eastAsia="宋体" w:cs="宋体"/>
                        <w:sz w:val="19"/>
                        <w:szCs w:val="19"/>
                      </w:rPr>
                    </w:pPr>
                    <w:r>
                      <w:rPr>
                        <w:rFonts w:ascii="宋体" w:hAnsi="宋体" w:eastAsia="宋体" w:cs="宋体"/>
                        <w:spacing w:val="-14"/>
                        <w:w w:val="98"/>
                        <w:sz w:val="19"/>
                        <w:szCs w:val="19"/>
                      </w:rPr>
                      <w:t>运行维护对象效果评估</w:t>
                    </w:r>
                    <w:r>
                      <w:rPr>
                        <w:rFonts w:ascii="宋体" w:hAnsi="宋体" w:eastAsia="宋体" w:cs="宋体"/>
                        <w:sz w:val="19"/>
                        <w:szCs w:val="19"/>
                      </w:rPr>
                      <w:t xml:space="preserve">        </w:t>
                    </w:r>
                    <w:r>
                      <w:rPr>
                        <w:rFonts w:ascii="宋体" w:hAnsi="宋体" w:eastAsia="宋体" w:cs="宋体"/>
                        <w:spacing w:val="-14"/>
                        <w:w w:val="98"/>
                        <w:sz w:val="19"/>
                        <w:szCs w:val="19"/>
                      </w:rPr>
                      <w:t>运行维护服务评估</w:t>
                    </w:r>
                  </w:p>
                  <w:p w14:paraId="54F32153">
                    <w:pPr>
                      <w:spacing w:line="310" w:lineRule="auto"/>
                      <w:rPr>
                        <w:rFonts w:ascii="Arial"/>
                        <w:sz w:val="21"/>
                      </w:rPr>
                    </w:pPr>
                  </w:p>
                  <w:p w14:paraId="45EE7405">
                    <w:pPr>
                      <w:spacing w:line="311" w:lineRule="auto"/>
                      <w:rPr>
                        <w:rFonts w:ascii="Arial"/>
                        <w:sz w:val="21"/>
                      </w:rPr>
                    </w:pPr>
                  </w:p>
                  <w:p w14:paraId="737394BD">
                    <w:pPr>
                      <w:spacing w:before="62" w:line="219" w:lineRule="auto"/>
                      <w:ind w:left="1929"/>
                      <w:rPr>
                        <w:rFonts w:ascii="宋体" w:hAnsi="宋体" w:eastAsia="宋体" w:cs="宋体"/>
                        <w:sz w:val="19"/>
                        <w:szCs w:val="19"/>
                      </w:rPr>
                    </w:pPr>
                    <w:r>
                      <w:rPr>
                        <w:rFonts w:ascii="宋体" w:hAnsi="宋体" w:eastAsia="宋体" w:cs="宋体"/>
                        <w:spacing w:val="-14"/>
                        <w:sz w:val="19"/>
                        <w:szCs w:val="19"/>
                      </w:rPr>
                      <w:t>服务验收</w:t>
                    </w:r>
                  </w:p>
                </w:txbxContent>
              </v:textbox>
            </v:shape>
            <w10:wrap type="none"/>
            <w10:anchorlock/>
          </v:group>
        </w:pict>
      </w:r>
    </w:p>
    <w:p w14:paraId="00C78A2D">
      <w:pPr>
        <w:pStyle w:val="2"/>
        <w:spacing w:before="66" w:line="218" w:lineRule="auto"/>
        <w:ind w:left="3010"/>
        <w:rPr>
          <w:sz w:val="19"/>
          <w:szCs w:val="19"/>
        </w:rPr>
      </w:pPr>
      <w:r>
        <w:rPr>
          <w:spacing w:val="-6"/>
          <w:sz w:val="19"/>
          <w:szCs w:val="19"/>
        </w:rPr>
        <w:t>图25-4</w:t>
      </w:r>
      <w:r>
        <w:rPr>
          <w:spacing w:val="52"/>
          <w:sz w:val="19"/>
          <w:szCs w:val="19"/>
        </w:rPr>
        <w:t xml:space="preserve"> </w:t>
      </w:r>
      <w:r>
        <w:rPr>
          <w:spacing w:val="-6"/>
          <w:sz w:val="19"/>
          <w:szCs w:val="19"/>
        </w:rPr>
        <w:t>评估阶段的监理目标</w:t>
      </w:r>
    </w:p>
    <w:p w14:paraId="3595A4C8">
      <w:pPr>
        <w:spacing w:line="293" w:lineRule="auto"/>
        <w:rPr>
          <w:rFonts w:ascii="Arial"/>
          <w:sz w:val="21"/>
        </w:rPr>
      </w:pPr>
    </w:p>
    <w:p w14:paraId="79BB61DF">
      <w:pPr>
        <w:pStyle w:val="2"/>
        <w:spacing w:before="82" w:line="220" w:lineRule="auto"/>
        <w:ind w:left="2"/>
        <w:rPr>
          <w:sz w:val="25"/>
          <w:szCs w:val="25"/>
        </w:rPr>
      </w:pPr>
      <w:r>
        <w:rPr>
          <w:b/>
          <w:bCs/>
          <w:color w:val="0054D4"/>
          <w:spacing w:val="-18"/>
          <w:sz w:val="25"/>
          <w:szCs w:val="25"/>
        </w:rPr>
        <w:t>25.4.1</w:t>
      </w:r>
      <w:r>
        <w:rPr>
          <w:color w:val="0054D4"/>
          <w:spacing w:val="90"/>
          <w:sz w:val="25"/>
          <w:szCs w:val="25"/>
        </w:rPr>
        <w:t xml:space="preserve"> </w:t>
      </w:r>
      <w:r>
        <w:rPr>
          <w:b/>
          <w:bCs/>
          <w:color w:val="0054D4"/>
          <w:spacing w:val="-18"/>
          <w:sz w:val="25"/>
          <w:szCs w:val="25"/>
        </w:rPr>
        <w:t>监理活动</w:t>
      </w:r>
    </w:p>
    <w:p w14:paraId="45CF67F8">
      <w:pPr>
        <w:pStyle w:val="2"/>
        <w:spacing w:before="171" w:line="218" w:lineRule="auto"/>
        <w:ind w:left="400"/>
        <w:rPr>
          <w:sz w:val="19"/>
          <w:szCs w:val="19"/>
        </w:rPr>
      </w:pPr>
      <w:r>
        <w:rPr>
          <w:spacing w:val="6"/>
          <w:sz w:val="19"/>
          <w:szCs w:val="19"/>
        </w:rPr>
        <w:t>运行维护评估阶段的主要监理活动如下：</w:t>
      </w:r>
    </w:p>
    <w:p w14:paraId="3F9F5436">
      <w:pPr>
        <w:pStyle w:val="2"/>
        <w:spacing w:before="87" w:line="264" w:lineRule="auto"/>
        <w:ind w:right="253" w:firstLine="400"/>
        <w:rPr>
          <w:sz w:val="19"/>
          <w:szCs w:val="19"/>
        </w:rPr>
      </w:pPr>
      <w:r>
        <w:rPr>
          <w:spacing w:val="12"/>
          <w:sz w:val="19"/>
          <w:szCs w:val="19"/>
        </w:rPr>
        <w:t>(1)协助业主单位对运行维护对象的实际运行效果进行评估，</w:t>
      </w:r>
      <w:r>
        <w:rPr>
          <w:spacing w:val="11"/>
          <w:sz w:val="19"/>
          <w:szCs w:val="19"/>
        </w:rPr>
        <w:t>主要包括对基础设施、软件、</w:t>
      </w:r>
      <w:r>
        <w:rPr>
          <w:sz w:val="19"/>
          <w:szCs w:val="19"/>
        </w:rPr>
        <w:t xml:space="preserve"> </w:t>
      </w:r>
      <w:r>
        <w:rPr>
          <w:spacing w:val="8"/>
          <w:sz w:val="19"/>
          <w:szCs w:val="19"/>
        </w:rPr>
        <w:t>数据和信息安全等各类运行维护对象的性能状况进行调查和评价；</w:t>
      </w:r>
    </w:p>
    <w:p w14:paraId="7286F24D">
      <w:pPr>
        <w:pStyle w:val="2"/>
        <w:spacing w:before="96" w:line="219" w:lineRule="auto"/>
        <w:ind w:left="400"/>
        <w:rPr>
          <w:sz w:val="19"/>
          <w:szCs w:val="19"/>
        </w:rPr>
      </w:pPr>
      <w:r>
        <w:rPr>
          <w:spacing w:val="10"/>
          <w:sz w:val="19"/>
          <w:szCs w:val="19"/>
        </w:rPr>
        <w:t>(2)对运维服务提供方提交的服务验收申请、计划及其方案等进行审核；</w:t>
      </w:r>
    </w:p>
    <w:p w14:paraId="01C80CEB">
      <w:pPr>
        <w:pStyle w:val="2"/>
        <w:spacing w:before="86" w:line="219" w:lineRule="auto"/>
        <w:ind w:left="400"/>
        <w:rPr>
          <w:sz w:val="19"/>
          <w:szCs w:val="19"/>
        </w:rPr>
      </w:pPr>
      <w:r>
        <w:rPr>
          <w:spacing w:val="11"/>
          <w:sz w:val="19"/>
          <w:szCs w:val="19"/>
        </w:rPr>
        <w:t>(3)协助业主单位制定绩效考核办法、方</w:t>
      </w:r>
      <w:r>
        <w:rPr>
          <w:spacing w:val="10"/>
          <w:sz w:val="19"/>
          <w:szCs w:val="19"/>
        </w:rPr>
        <w:t>案和指标体系；</w:t>
      </w:r>
    </w:p>
    <w:p w14:paraId="227CF4E8">
      <w:pPr>
        <w:pStyle w:val="2"/>
        <w:spacing w:before="63" w:line="264" w:lineRule="auto"/>
        <w:ind w:right="341" w:firstLine="400"/>
        <w:rPr>
          <w:sz w:val="19"/>
          <w:szCs w:val="19"/>
        </w:rPr>
      </w:pPr>
      <w:r>
        <w:rPr>
          <w:spacing w:val="15"/>
          <w:sz w:val="19"/>
          <w:szCs w:val="19"/>
        </w:rPr>
        <w:t>(4)根据绩效考核办法和方案进行绩效考核，</w:t>
      </w:r>
      <w:r>
        <w:rPr>
          <w:spacing w:val="14"/>
          <w:sz w:val="19"/>
          <w:szCs w:val="19"/>
        </w:rPr>
        <w:t>对运行维护服务进行评估，形成运行维护服</w:t>
      </w:r>
      <w:r>
        <w:rPr>
          <w:sz w:val="19"/>
          <w:szCs w:val="19"/>
        </w:rPr>
        <w:t xml:space="preserve"> 务评估报告；</w:t>
      </w:r>
    </w:p>
    <w:p w14:paraId="31CD5861">
      <w:pPr>
        <w:pStyle w:val="2"/>
        <w:spacing w:before="98" w:line="219" w:lineRule="auto"/>
        <w:ind w:left="400"/>
        <w:rPr>
          <w:sz w:val="19"/>
          <w:szCs w:val="19"/>
        </w:rPr>
      </w:pPr>
      <w:r>
        <w:rPr>
          <w:spacing w:val="11"/>
          <w:sz w:val="19"/>
          <w:szCs w:val="19"/>
        </w:rPr>
        <w:t>(5)协助业主单位完成服务验收。</w:t>
      </w:r>
    </w:p>
    <w:p w14:paraId="6E01FF88">
      <w:pPr>
        <w:pStyle w:val="2"/>
        <w:spacing w:before="243" w:line="219" w:lineRule="auto"/>
        <w:ind w:left="2"/>
        <w:rPr>
          <w:sz w:val="25"/>
          <w:szCs w:val="25"/>
        </w:rPr>
      </w:pPr>
      <w:r>
        <w:rPr>
          <w:b/>
          <w:bCs/>
          <w:color w:val="0044AB"/>
          <w:spacing w:val="-21"/>
          <w:sz w:val="25"/>
          <w:szCs w:val="25"/>
        </w:rPr>
        <w:t>25.4.2</w:t>
      </w:r>
      <w:r>
        <w:rPr>
          <w:color w:val="0044AB"/>
          <w:spacing w:val="102"/>
          <w:sz w:val="25"/>
          <w:szCs w:val="25"/>
        </w:rPr>
        <w:t xml:space="preserve"> </w:t>
      </w:r>
      <w:r>
        <w:rPr>
          <w:b/>
          <w:bCs/>
          <w:color w:val="0044AB"/>
          <w:spacing w:val="-21"/>
          <w:sz w:val="25"/>
          <w:szCs w:val="25"/>
        </w:rPr>
        <w:t>监理内容</w:t>
      </w:r>
    </w:p>
    <w:p w14:paraId="4F991440">
      <w:pPr>
        <w:pStyle w:val="2"/>
        <w:spacing w:before="260" w:line="221" w:lineRule="auto"/>
        <w:ind w:left="402"/>
        <w:rPr>
          <w:rFonts w:ascii="黑体" w:hAnsi="黑体" w:eastAsia="黑体" w:cs="黑体"/>
          <w:sz w:val="19"/>
          <w:szCs w:val="19"/>
        </w:rPr>
      </w:pPr>
      <w:r>
        <w:rPr>
          <w:b/>
          <w:bCs/>
          <w:color w:val="0050AC"/>
          <w:spacing w:val="6"/>
          <w:sz w:val="19"/>
          <w:szCs w:val="19"/>
        </w:rPr>
        <w:t>1.</w:t>
      </w:r>
      <w:r>
        <w:rPr>
          <w:rFonts w:ascii="黑体" w:hAnsi="黑体" w:eastAsia="黑体" w:cs="黑体"/>
          <w:b/>
          <w:bCs/>
          <w:color w:val="0050AC"/>
          <w:spacing w:val="6"/>
          <w:sz w:val="19"/>
          <w:szCs w:val="19"/>
        </w:rPr>
        <w:t>运行维护服务评估报告的监理</w:t>
      </w:r>
    </w:p>
    <w:p w14:paraId="230F697D">
      <w:pPr>
        <w:pStyle w:val="2"/>
        <w:spacing w:before="136" w:line="218" w:lineRule="auto"/>
        <w:ind w:left="400"/>
        <w:rPr>
          <w:sz w:val="19"/>
          <w:szCs w:val="19"/>
        </w:rPr>
      </w:pPr>
      <w:r>
        <w:rPr>
          <w:spacing w:val="8"/>
          <w:sz w:val="19"/>
          <w:szCs w:val="19"/>
        </w:rPr>
        <w:t>监理机构在进行运行维护服务评估报告的监理时要重点关注以</w:t>
      </w:r>
      <w:r>
        <w:rPr>
          <w:spacing w:val="7"/>
          <w:sz w:val="19"/>
          <w:szCs w:val="19"/>
        </w:rPr>
        <w:t>下几点：</w:t>
      </w:r>
    </w:p>
    <w:p w14:paraId="76F0362B">
      <w:pPr>
        <w:pStyle w:val="2"/>
        <w:spacing w:before="67" w:line="274" w:lineRule="auto"/>
        <w:ind w:right="253" w:firstLine="400"/>
        <w:rPr>
          <w:sz w:val="19"/>
          <w:szCs w:val="19"/>
        </w:rPr>
      </w:pPr>
      <w:r>
        <w:rPr>
          <w:spacing w:val="12"/>
          <w:sz w:val="19"/>
          <w:szCs w:val="19"/>
        </w:rPr>
        <w:t>(1)根据绩效考核办法和方案对运维服务提供方进行综合评估</w:t>
      </w:r>
      <w:r>
        <w:rPr>
          <w:spacing w:val="11"/>
          <w:sz w:val="19"/>
          <w:szCs w:val="19"/>
        </w:rPr>
        <w:t>，评估内容包括：日常管理、</w:t>
      </w:r>
      <w:r>
        <w:rPr>
          <w:sz w:val="19"/>
          <w:szCs w:val="19"/>
        </w:rPr>
        <w:t xml:space="preserve"> </w:t>
      </w:r>
      <w:r>
        <w:rPr>
          <w:spacing w:val="16"/>
          <w:sz w:val="19"/>
          <w:szCs w:val="19"/>
        </w:rPr>
        <w:t>总服务台、派工服务、巡检服务、故障/问题处</w:t>
      </w:r>
      <w:r>
        <w:rPr>
          <w:spacing w:val="15"/>
          <w:sz w:val="19"/>
          <w:szCs w:val="19"/>
        </w:rPr>
        <w:t>理、运行维护文档、合同执行情况、用户满意</w:t>
      </w:r>
      <w:r>
        <w:rPr>
          <w:sz w:val="19"/>
          <w:szCs w:val="19"/>
        </w:rPr>
        <w:t xml:space="preserve"> </w:t>
      </w:r>
      <w:r>
        <w:rPr>
          <w:spacing w:val="4"/>
          <w:sz w:val="19"/>
          <w:szCs w:val="19"/>
        </w:rPr>
        <w:t>度、应急处置等方面；</w:t>
      </w:r>
    </w:p>
    <w:p w14:paraId="320A61E6">
      <w:pPr>
        <w:pStyle w:val="2"/>
        <w:spacing w:before="92" w:line="218" w:lineRule="auto"/>
        <w:ind w:left="400"/>
        <w:rPr>
          <w:sz w:val="19"/>
          <w:szCs w:val="19"/>
        </w:rPr>
      </w:pPr>
      <w:r>
        <w:rPr>
          <w:spacing w:val="11"/>
          <w:sz w:val="19"/>
          <w:szCs w:val="19"/>
        </w:rPr>
        <w:t>(2)根据考核结果完成书面的评估报告，并提出改进意见。</w:t>
      </w:r>
    </w:p>
    <w:p w14:paraId="0D6974F3">
      <w:pPr>
        <w:pStyle w:val="2"/>
        <w:spacing w:before="173" w:line="221" w:lineRule="auto"/>
        <w:ind w:left="402"/>
        <w:rPr>
          <w:rFonts w:ascii="黑体" w:hAnsi="黑体" w:eastAsia="黑体" w:cs="黑体"/>
          <w:sz w:val="19"/>
          <w:szCs w:val="19"/>
        </w:rPr>
      </w:pPr>
      <w:r>
        <w:rPr>
          <w:b/>
          <w:bCs/>
          <w:color w:val="0058CD"/>
          <w:spacing w:val="8"/>
          <w:sz w:val="19"/>
          <w:szCs w:val="19"/>
        </w:rPr>
        <w:t>2.</w:t>
      </w:r>
      <w:r>
        <w:rPr>
          <w:rFonts w:ascii="黑体" w:hAnsi="黑体" w:eastAsia="黑体" w:cs="黑体"/>
          <w:b/>
          <w:bCs/>
          <w:color w:val="0058CD"/>
          <w:spacing w:val="8"/>
          <w:sz w:val="19"/>
          <w:szCs w:val="19"/>
        </w:rPr>
        <w:t>服务验收方案的监理</w:t>
      </w:r>
    </w:p>
    <w:p w14:paraId="2D8773F0">
      <w:pPr>
        <w:pStyle w:val="2"/>
        <w:spacing w:before="136" w:line="219" w:lineRule="auto"/>
        <w:ind w:left="400"/>
        <w:rPr>
          <w:sz w:val="19"/>
          <w:szCs w:val="19"/>
        </w:rPr>
      </w:pPr>
      <w:r>
        <w:rPr>
          <w:spacing w:val="8"/>
          <w:sz w:val="19"/>
          <w:szCs w:val="19"/>
        </w:rPr>
        <w:t>监理机构在进行服务验收方案的监理时要重点关注以下</w:t>
      </w:r>
      <w:r>
        <w:rPr>
          <w:spacing w:val="7"/>
          <w:sz w:val="19"/>
          <w:szCs w:val="19"/>
        </w:rPr>
        <w:t>几点：</w:t>
      </w:r>
    </w:p>
    <w:p w14:paraId="74E555E7">
      <w:pPr>
        <w:pStyle w:val="2"/>
        <w:spacing w:before="96" w:line="219" w:lineRule="auto"/>
        <w:ind w:left="400"/>
        <w:rPr>
          <w:sz w:val="19"/>
          <w:szCs w:val="19"/>
        </w:rPr>
      </w:pPr>
      <w:r>
        <w:rPr>
          <w:spacing w:val="11"/>
          <w:sz w:val="19"/>
          <w:szCs w:val="19"/>
        </w:rPr>
        <w:t>(1)明确验收目标、各方责任、验收内容、验收标准、验收方式和验收结果等内容；</w:t>
      </w:r>
    </w:p>
    <w:p w14:paraId="0DEFCB93">
      <w:pPr>
        <w:pStyle w:val="2"/>
        <w:spacing w:before="74" w:line="219" w:lineRule="auto"/>
        <w:ind w:left="400"/>
        <w:rPr>
          <w:sz w:val="19"/>
          <w:szCs w:val="19"/>
        </w:rPr>
      </w:pPr>
      <w:r>
        <w:rPr>
          <w:spacing w:val="12"/>
          <w:sz w:val="19"/>
          <w:szCs w:val="19"/>
        </w:rPr>
        <w:t>(2)确认验收标准是否与运行维护合同一致；</w:t>
      </w:r>
    </w:p>
    <w:p w14:paraId="11538B8E">
      <w:pPr>
        <w:pStyle w:val="2"/>
        <w:spacing w:before="75" w:line="219" w:lineRule="auto"/>
        <w:ind w:left="400"/>
        <w:rPr>
          <w:sz w:val="19"/>
          <w:szCs w:val="19"/>
        </w:rPr>
      </w:pPr>
      <w:r>
        <w:rPr>
          <w:spacing w:val="9"/>
          <w:sz w:val="19"/>
          <w:szCs w:val="19"/>
        </w:rPr>
        <w:t>(3)审查运行维护服务成果、文档等是否与合同、</w:t>
      </w:r>
      <w:r>
        <w:rPr>
          <w:spacing w:val="-25"/>
          <w:sz w:val="19"/>
          <w:szCs w:val="19"/>
        </w:rPr>
        <w:t xml:space="preserve"> </w:t>
      </w:r>
      <w:r>
        <w:rPr>
          <w:sz w:val="19"/>
          <w:szCs w:val="19"/>
        </w:rPr>
        <w:t>SLA</w:t>
      </w:r>
      <w:r>
        <w:rPr>
          <w:spacing w:val="9"/>
          <w:sz w:val="19"/>
          <w:szCs w:val="19"/>
        </w:rPr>
        <w:t>、 运行维护方案一致；</w:t>
      </w:r>
    </w:p>
    <w:p w14:paraId="5817363C">
      <w:pPr>
        <w:spacing w:line="219" w:lineRule="auto"/>
        <w:rPr>
          <w:sz w:val="19"/>
          <w:szCs w:val="19"/>
        </w:rPr>
        <w:sectPr>
          <w:pgSz w:w="10300" w:h="13290"/>
          <w:pgMar w:top="379" w:right="461" w:bottom="400" w:left="1199" w:header="0" w:footer="0" w:gutter="0"/>
          <w:cols w:space="720" w:num="1"/>
        </w:sectPr>
      </w:pPr>
    </w:p>
    <w:p w14:paraId="1961C4FB">
      <w:pPr>
        <w:pStyle w:val="2"/>
        <w:spacing w:before="58" w:line="219" w:lineRule="auto"/>
        <w:rPr>
          <w:sz w:val="20"/>
          <w:szCs w:val="20"/>
        </w:rPr>
      </w:pPr>
      <w:r>
        <w:rPr>
          <w:rFonts w:ascii="Times New Roman" w:hAnsi="Times New Roman" w:eastAsia="Times New Roman" w:cs="Times New Roman"/>
          <w:b/>
          <w:bCs/>
          <w:position w:val="-5"/>
          <w:sz w:val="20"/>
          <w:szCs w:val="20"/>
        </w:rPr>
        <w:t xml:space="preserve">600             </w:t>
      </w:r>
      <w:r>
        <w:rPr>
          <w:sz w:val="20"/>
          <w:szCs w:val="20"/>
        </w:rPr>
        <w:t>信息系统监理师教程(第2版)</w:t>
      </w:r>
    </w:p>
    <w:p w14:paraId="759F506F">
      <w:pPr>
        <w:spacing w:line="281" w:lineRule="auto"/>
        <w:rPr>
          <w:rFonts w:ascii="Arial"/>
          <w:sz w:val="21"/>
        </w:rPr>
      </w:pPr>
    </w:p>
    <w:p w14:paraId="517A5522">
      <w:pPr>
        <w:pStyle w:val="2"/>
        <w:spacing w:before="65" w:line="219" w:lineRule="auto"/>
        <w:ind w:left="759"/>
        <w:rPr>
          <w:sz w:val="20"/>
          <w:szCs w:val="20"/>
        </w:rPr>
      </w:pPr>
      <w:r>
        <w:rPr>
          <w:spacing w:val="2"/>
          <w:sz w:val="20"/>
          <w:szCs w:val="20"/>
        </w:rPr>
        <w:t>(4)确认验收方式、结论是否可行。</w:t>
      </w:r>
    </w:p>
    <w:p w14:paraId="44F809AB">
      <w:pPr>
        <w:pStyle w:val="2"/>
        <w:spacing w:before="157" w:line="221" w:lineRule="auto"/>
        <w:ind w:left="762"/>
        <w:rPr>
          <w:rFonts w:ascii="黑体" w:hAnsi="黑体" w:eastAsia="黑体" w:cs="黑体"/>
          <w:sz w:val="20"/>
          <w:szCs w:val="20"/>
        </w:rPr>
      </w:pPr>
      <w:r>
        <w:rPr>
          <w:b/>
          <w:bCs/>
          <w:color w:val="0899FA"/>
          <w:spacing w:val="-4"/>
          <w:sz w:val="20"/>
          <w:szCs w:val="20"/>
        </w:rPr>
        <w:t>3.</w:t>
      </w:r>
      <w:r>
        <w:rPr>
          <w:rFonts w:ascii="黑体" w:hAnsi="黑体" w:eastAsia="黑体" w:cs="黑体"/>
          <w:b/>
          <w:bCs/>
          <w:color w:val="0899FA"/>
          <w:spacing w:val="-4"/>
          <w:sz w:val="20"/>
          <w:szCs w:val="20"/>
        </w:rPr>
        <w:t>服务验收过程的监理</w:t>
      </w:r>
    </w:p>
    <w:p w14:paraId="085DAF31">
      <w:pPr>
        <w:pStyle w:val="2"/>
        <w:spacing w:before="163" w:line="219" w:lineRule="auto"/>
        <w:ind w:left="759"/>
        <w:rPr>
          <w:sz w:val="20"/>
          <w:szCs w:val="20"/>
        </w:rPr>
      </w:pPr>
      <w:r>
        <w:rPr>
          <w:spacing w:val="-2"/>
          <w:sz w:val="20"/>
          <w:szCs w:val="20"/>
        </w:rPr>
        <w:t>监理机构在进行服务验收过程的监理时要重点关注以下几点：</w:t>
      </w:r>
    </w:p>
    <w:p w14:paraId="137791C5">
      <w:pPr>
        <w:pStyle w:val="2"/>
        <w:spacing w:before="74" w:line="219" w:lineRule="auto"/>
        <w:ind w:left="759"/>
        <w:rPr>
          <w:sz w:val="20"/>
          <w:szCs w:val="20"/>
        </w:rPr>
      </w:pPr>
      <w:r>
        <w:rPr>
          <w:spacing w:val="2"/>
          <w:sz w:val="20"/>
          <w:szCs w:val="20"/>
        </w:rPr>
        <w:t>(1)审查服务商提交的验收申请；</w:t>
      </w:r>
    </w:p>
    <w:p w14:paraId="13EBF1F7">
      <w:pPr>
        <w:pStyle w:val="2"/>
        <w:spacing w:before="83" w:line="219" w:lineRule="auto"/>
        <w:ind w:left="759"/>
        <w:rPr>
          <w:sz w:val="20"/>
          <w:szCs w:val="20"/>
        </w:rPr>
      </w:pPr>
      <w:r>
        <w:rPr>
          <w:spacing w:val="1"/>
          <w:sz w:val="20"/>
          <w:szCs w:val="20"/>
        </w:rPr>
        <w:t>(2)检查服务商提交的验收文档，并输出监理意见；</w:t>
      </w:r>
    </w:p>
    <w:p w14:paraId="115EC476">
      <w:pPr>
        <w:pStyle w:val="2"/>
        <w:spacing w:before="80" w:line="218" w:lineRule="auto"/>
        <w:ind w:left="759"/>
        <w:rPr>
          <w:sz w:val="20"/>
          <w:szCs w:val="20"/>
        </w:rPr>
      </w:pPr>
      <w:r>
        <w:rPr>
          <w:spacing w:val="1"/>
          <w:sz w:val="20"/>
          <w:szCs w:val="20"/>
        </w:rPr>
        <w:t>(3)协助业主单位组织验收会议，并签订验收报告；</w:t>
      </w:r>
    </w:p>
    <w:p w14:paraId="2D019041">
      <w:pPr>
        <w:pStyle w:val="2"/>
        <w:spacing w:before="86" w:line="219" w:lineRule="auto"/>
        <w:ind w:left="759"/>
        <w:rPr>
          <w:sz w:val="20"/>
          <w:szCs w:val="20"/>
        </w:rPr>
      </w:pPr>
      <w:r>
        <w:rPr>
          <w:spacing w:val="2"/>
          <w:sz w:val="20"/>
          <w:szCs w:val="20"/>
        </w:rPr>
        <w:t>(4)协助业主单位做好服务移交工作；</w:t>
      </w:r>
    </w:p>
    <w:p w14:paraId="6DE2C466">
      <w:pPr>
        <w:pStyle w:val="2"/>
        <w:spacing w:before="83" w:line="219" w:lineRule="auto"/>
        <w:ind w:left="759"/>
        <w:rPr>
          <w:sz w:val="20"/>
          <w:szCs w:val="20"/>
        </w:rPr>
      </w:pPr>
      <w:r>
        <w:rPr>
          <w:spacing w:val="3"/>
          <w:sz w:val="20"/>
          <w:szCs w:val="20"/>
        </w:rPr>
        <w:t>(5)根据运行维护合同，签发运行维护费</w:t>
      </w:r>
      <w:r>
        <w:rPr>
          <w:spacing w:val="2"/>
          <w:sz w:val="20"/>
          <w:szCs w:val="20"/>
        </w:rPr>
        <w:t>用支付意见。</w:t>
      </w:r>
    </w:p>
    <w:p w14:paraId="621188BA">
      <w:pPr>
        <w:pStyle w:val="2"/>
        <w:spacing w:before="241" w:line="219" w:lineRule="auto"/>
        <w:ind w:left="362"/>
        <w:rPr>
          <w:sz w:val="25"/>
          <w:szCs w:val="25"/>
        </w:rPr>
      </w:pPr>
      <w:r>
        <w:rPr>
          <w:b/>
          <w:bCs/>
          <w:color w:val="005791"/>
          <w:spacing w:val="-14"/>
          <w:sz w:val="25"/>
          <w:szCs w:val="25"/>
        </w:rPr>
        <w:t>25.4.3</w:t>
      </w:r>
      <w:r>
        <w:rPr>
          <w:color w:val="005791"/>
          <w:spacing w:val="61"/>
          <w:sz w:val="25"/>
          <w:szCs w:val="25"/>
        </w:rPr>
        <w:t xml:space="preserve"> </w:t>
      </w:r>
      <w:r>
        <w:rPr>
          <w:b/>
          <w:bCs/>
          <w:color w:val="005791"/>
          <w:spacing w:val="-14"/>
          <w:sz w:val="25"/>
          <w:szCs w:val="25"/>
        </w:rPr>
        <w:t>主要输出文档</w:t>
      </w:r>
    </w:p>
    <w:p w14:paraId="24BEC338">
      <w:pPr>
        <w:pStyle w:val="2"/>
        <w:spacing w:before="163" w:line="218" w:lineRule="auto"/>
        <w:ind w:left="759"/>
        <w:rPr>
          <w:sz w:val="20"/>
          <w:szCs w:val="20"/>
        </w:rPr>
      </w:pPr>
      <w:r>
        <w:rPr>
          <w:spacing w:val="-3"/>
          <w:sz w:val="20"/>
          <w:szCs w:val="20"/>
        </w:rPr>
        <w:t>运行维护评估阶段的主要输出文档如下：</w:t>
      </w:r>
    </w:p>
    <w:p w14:paraId="76328C34">
      <w:pPr>
        <w:pStyle w:val="2"/>
        <w:spacing w:before="86" w:line="219" w:lineRule="auto"/>
        <w:ind w:left="759"/>
        <w:rPr>
          <w:sz w:val="20"/>
          <w:szCs w:val="20"/>
        </w:rPr>
      </w:pPr>
      <w:r>
        <w:rPr>
          <w:spacing w:val="7"/>
          <w:sz w:val="20"/>
          <w:szCs w:val="20"/>
        </w:rPr>
        <w:t>(1)监理意见；</w:t>
      </w:r>
    </w:p>
    <w:p w14:paraId="156278A2">
      <w:pPr>
        <w:pStyle w:val="2"/>
        <w:spacing w:before="73" w:line="219" w:lineRule="auto"/>
        <w:ind w:left="759"/>
        <w:rPr>
          <w:sz w:val="20"/>
          <w:szCs w:val="20"/>
        </w:rPr>
      </w:pPr>
      <w:r>
        <w:rPr>
          <w:spacing w:val="3"/>
          <w:sz w:val="20"/>
          <w:szCs w:val="20"/>
        </w:rPr>
        <w:t>(2)运行维护服务验收记录；</w:t>
      </w:r>
    </w:p>
    <w:p w14:paraId="51DF250C">
      <w:pPr>
        <w:pStyle w:val="2"/>
        <w:spacing w:before="71" w:line="219" w:lineRule="auto"/>
        <w:ind w:left="759"/>
        <w:rPr>
          <w:sz w:val="20"/>
          <w:szCs w:val="20"/>
        </w:rPr>
      </w:pPr>
      <w:r>
        <w:rPr>
          <w:spacing w:val="5"/>
          <w:sz w:val="20"/>
          <w:szCs w:val="20"/>
        </w:rPr>
        <w:t>(3)监理会议纪要；</w:t>
      </w:r>
    </w:p>
    <w:p w14:paraId="5D52112C">
      <w:pPr>
        <w:pStyle w:val="2"/>
        <w:spacing w:before="82" w:line="218" w:lineRule="auto"/>
        <w:ind w:left="759"/>
        <w:rPr>
          <w:sz w:val="20"/>
          <w:szCs w:val="20"/>
        </w:rPr>
      </w:pPr>
      <w:r>
        <w:rPr>
          <w:spacing w:val="3"/>
          <w:sz w:val="20"/>
          <w:szCs w:val="20"/>
        </w:rPr>
        <w:t>(4)运行维护服务评估报告；</w:t>
      </w:r>
    </w:p>
    <w:p w14:paraId="7BBC5BD4">
      <w:pPr>
        <w:pStyle w:val="2"/>
        <w:spacing w:before="86" w:line="219" w:lineRule="auto"/>
        <w:ind w:left="759"/>
        <w:rPr>
          <w:sz w:val="20"/>
          <w:szCs w:val="20"/>
        </w:rPr>
      </w:pPr>
      <w:r>
        <w:rPr>
          <w:spacing w:val="3"/>
          <w:sz w:val="20"/>
          <w:szCs w:val="20"/>
        </w:rPr>
        <w:t>(5)运行维护费用支付意见；</w:t>
      </w:r>
    </w:p>
    <w:p w14:paraId="59FB3909">
      <w:pPr>
        <w:pStyle w:val="2"/>
        <w:spacing w:before="71" w:line="218" w:lineRule="auto"/>
        <w:ind w:left="759"/>
        <w:rPr>
          <w:sz w:val="20"/>
          <w:szCs w:val="20"/>
        </w:rPr>
      </w:pPr>
      <w:r>
        <w:rPr>
          <w:spacing w:val="2"/>
          <w:sz w:val="20"/>
          <w:szCs w:val="20"/>
        </w:rPr>
        <w:t>(6)监理工作总结报告、监理费申请等。</w:t>
      </w:r>
    </w:p>
    <w:p w14:paraId="21C5407A">
      <w:pPr>
        <w:spacing w:line="306" w:lineRule="auto"/>
        <w:rPr>
          <w:rFonts w:ascii="Arial"/>
          <w:sz w:val="21"/>
        </w:rPr>
      </w:pPr>
    </w:p>
    <w:p w14:paraId="6BD1B524">
      <w:pPr>
        <w:pStyle w:val="2"/>
        <w:spacing w:before="94" w:line="221" w:lineRule="auto"/>
        <w:ind w:left="364"/>
        <w:rPr>
          <w:rFonts w:ascii="黑体" w:hAnsi="黑体" w:eastAsia="黑体" w:cs="黑体"/>
          <w:sz w:val="29"/>
          <w:szCs w:val="29"/>
        </w:rPr>
      </w:pPr>
      <w:r>
        <w:rPr>
          <w:b/>
          <w:bCs/>
          <w:color w:val="006BCA"/>
          <w:spacing w:val="-11"/>
          <w:sz w:val="29"/>
          <w:szCs w:val="29"/>
        </w:rPr>
        <w:t>25.5</w:t>
      </w:r>
      <w:r>
        <w:rPr>
          <w:color w:val="006BCA"/>
          <w:spacing w:val="99"/>
          <w:sz w:val="29"/>
          <w:szCs w:val="29"/>
        </w:rPr>
        <w:t xml:space="preserve"> </w:t>
      </w:r>
      <w:r>
        <w:rPr>
          <w:rFonts w:ascii="黑体" w:hAnsi="黑体" w:eastAsia="黑体" w:cs="黑体"/>
          <w:b/>
          <w:bCs/>
          <w:color w:val="006BCA"/>
          <w:spacing w:val="-11"/>
          <w:sz w:val="29"/>
          <w:szCs w:val="29"/>
        </w:rPr>
        <w:t>运行维护服务的监理要点</w:t>
      </w:r>
    </w:p>
    <w:p w14:paraId="24400930">
      <w:pPr>
        <w:pStyle w:val="2"/>
        <w:spacing w:before="285" w:line="281" w:lineRule="auto"/>
        <w:ind w:left="359" w:firstLine="400"/>
        <w:rPr>
          <w:sz w:val="20"/>
          <w:szCs w:val="20"/>
        </w:rPr>
      </w:pPr>
      <w:r>
        <w:rPr>
          <w:sz w:val="20"/>
          <w:szCs w:val="20"/>
        </w:rPr>
        <w:t>本节对基础设施、软件、数据、信息安全四类运行维护服务，分别从例行操作、响应支持、</w:t>
      </w:r>
      <w:r>
        <w:rPr>
          <w:spacing w:val="8"/>
          <w:sz w:val="20"/>
          <w:szCs w:val="20"/>
        </w:rPr>
        <w:t xml:space="preserve"> </w:t>
      </w:r>
      <w:r>
        <w:rPr>
          <w:spacing w:val="-2"/>
          <w:sz w:val="20"/>
          <w:szCs w:val="20"/>
        </w:rPr>
        <w:t>优化改善、调研评估四个方面对其监理要点进行分析和阐述。</w:t>
      </w:r>
    </w:p>
    <w:p w14:paraId="377DB9EA">
      <w:pPr>
        <w:pStyle w:val="2"/>
        <w:spacing w:before="161" w:line="219" w:lineRule="auto"/>
        <w:ind w:left="362"/>
        <w:rPr>
          <w:sz w:val="25"/>
          <w:szCs w:val="25"/>
        </w:rPr>
      </w:pPr>
      <w:r>
        <w:rPr>
          <w:b/>
          <w:bCs/>
          <w:color w:val="0073C1"/>
          <w:spacing w:val="-15"/>
          <w:sz w:val="25"/>
          <w:szCs w:val="25"/>
        </w:rPr>
        <w:t>25.5.1</w:t>
      </w:r>
      <w:r>
        <w:rPr>
          <w:color w:val="0073C1"/>
          <w:spacing w:val="80"/>
          <w:sz w:val="25"/>
          <w:szCs w:val="25"/>
        </w:rPr>
        <w:t xml:space="preserve"> </w:t>
      </w:r>
      <w:r>
        <w:rPr>
          <w:b/>
          <w:bCs/>
          <w:color w:val="0073C1"/>
          <w:spacing w:val="-15"/>
          <w:sz w:val="25"/>
          <w:szCs w:val="25"/>
        </w:rPr>
        <w:t>基础设施类运行维护服务的监理要点</w:t>
      </w:r>
    </w:p>
    <w:p w14:paraId="2079972E">
      <w:pPr>
        <w:pStyle w:val="2"/>
        <w:spacing w:before="185" w:line="219" w:lineRule="auto"/>
        <w:ind w:left="759"/>
        <w:rPr>
          <w:sz w:val="20"/>
          <w:szCs w:val="20"/>
        </w:rPr>
      </w:pPr>
      <w:r>
        <w:rPr>
          <w:spacing w:val="-3"/>
          <w:sz w:val="20"/>
          <w:szCs w:val="20"/>
        </w:rPr>
        <w:t>基础设施类运行维护服务的监理要点具体如下：</w:t>
      </w:r>
    </w:p>
    <w:p w14:paraId="63BEAACF">
      <w:pPr>
        <w:pStyle w:val="2"/>
        <w:spacing w:before="83" w:line="219" w:lineRule="auto"/>
        <w:ind w:left="759"/>
        <w:rPr>
          <w:sz w:val="20"/>
          <w:szCs w:val="20"/>
        </w:rPr>
      </w:pPr>
      <w:r>
        <w:rPr>
          <w:spacing w:val="2"/>
          <w:sz w:val="20"/>
          <w:szCs w:val="20"/>
        </w:rPr>
        <w:t>(1)例行操作监理要点。主要包括：</w:t>
      </w:r>
    </w:p>
    <w:p w14:paraId="5D982FFA">
      <w:pPr>
        <w:pStyle w:val="2"/>
        <w:spacing w:before="70" w:line="217" w:lineRule="auto"/>
        <w:ind w:left="759"/>
        <w:rPr>
          <w:sz w:val="20"/>
          <w:szCs w:val="20"/>
        </w:rPr>
      </w:pPr>
      <w:r>
        <w:rPr>
          <w:spacing w:val="-2"/>
          <w:sz w:val="20"/>
          <w:szCs w:val="20"/>
        </w:rPr>
        <w:t>①监督检查例行操作的计划性和完整性；</w:t>
      </w:r>
    </w:p>
    <w:p w14:paraId="5D5C4E62">
      <w:pPr>
        <w:pStyle w:val="2"/>
        <w:spacing w:before="85" w:line="217" w:lineRule="auto"/>
        <w:ind w:left="759"/>
        <w:rPr>
          <w:sz w:val="20"/>
          <w:szCs w:val="20"/>
        </w:rPr>
      </w:pPr>
      <w:r>
        <w:rPr>
          <w:spacing w:val="-2"/>
          <w:sz w:val="20"/>
          <w:szCs w:val="20"/>
        </w:rPr>
        <w:t>②对设施监控的不间断性、问题汇报和分析的及时性进行监督；</w:t>
      </w:r>
    </w:p>
    <w:p w14:paraId="4592BD44">
      <w:pPr>
        <w:pStyle w:val="2"/>
        <w:spacing w:before="65" w:line="217" w:lineRule="auto"/>
        <w:ind w:right="30"/>
        <w:jc w:val="right"/>
        <w:rPr>
          <w:sz w:val="20"/>
          <w:szCs w:val="20"/>
        </w:rPr>
      </w:pPr>
      <w:r>
        <w:rPr>
          <w:sz w:val="20"/>
          <w:szCs w:val="20"/>
        </w:rPr>
        <w:t>③监督检查定期保养、配置备份等常规操作</w:t>
      </w:r>
      <w:r>
        <w:rPr>
          <w:spacing w:val="-1"/>
          <w:sz w:val="20"/>
          <w:szCs w:val="20"/>
        </w:rPr>
        <w:t>的计划性、准确性、记录的完整性及可追溯性；</w:t>
      </w:r>
    </w:p>
    <w:p w14:paraId="67F80700">
      <w:pPr>
        <w:pStyle w:val="2"/>
        <w:spacing w:before="75" w:line="249" w:lineRule="auto"/>
        <w:ind w:left="359" w:right="70" w:firstLine="400"/>
        <w:rPr>
          <w:sz w:val="20"/>
          <w:szCs w:val="20"/>
        </w:rPr>
      </w:pPr>
      <w:r>
        <w:rPr>
          <w:spacing w:val="4"/>
          <w:sz w:val="20"/>
          <w:szCs w:val="20"/>
        </w:rPr>
        <w:t>④宜要求运维服务提供方利用运行维护系统和工</w:t>
      </w:r>
      <w:r>
        <w:rPr>
          <w:spacing w:val="3"/>
          <w:sz w:val="20"/>
          <w:szCs w:val="20"/>
        </w:rPr>
        <w:t>具，对基础设施开展运行维护活动，系统</w:t>
      </w:r>
      <w:r>
        <w:rPr>
          <w:sz w:val="20"/>
          <w:szCs w:val="20"/>
        </w:rPr>
        <w:t xml:space="preserve"> </w:t>
      </w:r>
      <w:r>
        <w:rPr>
          <w:spacing w:val="-1"/>
          <w:sz w:val="20"/>
          <w:szCs w:val="20"/>
        </w:rPr>
        <w:t>和工具应包括资源管理、监测与分析、阈值预警、监控管理和过程管理等</w:t>
      </w:r>
      <w:r>
        <w:rPr>
          <w:spacing w:val="-2"/>
          <w:sz w:val="20"/>
          <w:szCs w:val="20"/>
        </w:rPr>
        <w:t>功能。</w:t>
      </w:r>
    </w:p>
    <w:p w14:paraId="533ABBD7">
      <w:pPr>
        <w:pStyle w:val="2"/>
        <w:spacing w:before="73" w:line="219" w:lineRule="auto"/>
        <w:ind w:left="759"/>
        <w:rPr>
          <w:sz w:val="20"/>
          <w:szCs w:val="20"/>
        </w:rPr>
      </w:pPr>
      <w:r>
        <w:rPr>
          <w:spacing w:val="2"/>
          <w:sz w:val="20"/>
          <w:szCs w:val="20"/>
        </w:rPr>
        <w:t>(2)响应支持监理要点。主要包括：</w:t>
      </w:r>
    </w:p>
    <w:p w14:paraId="1A9327D1">
      <w:pPr>
        <w:pStyle w:val="2"/>
        <w:spacing w:before="80" w:line="217" w:lineRule="auto"/>
        <w:ind w:left="759"/>
        <w:rPr>
          <w:sz w:val="20"/>
          <w:szCs w:val="20"/>
        </w:rPr>
      </w:pPr>
      <w:r>
        <w:rPr>
          <w:spacing w:val="-1"/>
          <w:sz w:val="20"/>
          <w:szCs w:val="20"/>
        </w:rPr>
        <w:t>①检查运维服务提供方的响应支持服务与运行维护SLA</w:t>
      </w:r>
      <w:r>
        <w:rPr>
          <w:spacing w:val="66"/>
          <w:sz w:val="20"/>
          <w:szCs w:val="20"/>
        </w:rPr>
        <w:t xml:space="preserve"> </w:t>
      </w:r>
      <w:r>
        <w:rPr>
          <w:spacing w:val="-1"/>
          <w:sz w:val="20"/>
          <w:szCs w:val="20"/>
        </w:rPr>
        <w:t>的符合性；</w:t>
      </w:r>
    </w:p>
    <w:p w14:paraId="62DCBEA0">
      <w:pPr>
        <w:pStyle w:val="2"/>
        <w:spacing w:before="65" w:line="254" w:lineRule="auto"/>
        <w:ind w:left="359" w:firstLine="400"/>
        <w:rPr>
          <w:sz w:val="20"/>
          <w:szCs w:val="20"/>
        </w:rPr>
      </w:pPr>
      <w:r>
        <w:rPr>
          <w:spacing w:val="1"/>
          <w:sz w:val="20"/>
          <w:szCs w:val="20"/>
        </w:rPr>
        <w:t>②依据运行维护</w:t>
      </w:r>
      <w:r>
        <w:rPr>
          <w:sz w:val="20"/>
          <w:szCs w:val="20"/>
        </w:rPr>
        <w:t>SLA</w:t>
      </w:r>
      <w:r>
        <w:rPr>
          <w:spacing w:val="1"/>
          <w:sz w:val="20"/>
          <w:szCs w:val="20"/>
        </w:rPr>
        <w:t>、</w:t>
      </w:r>
      <w:r>
        <w:rPr>
          <w:spacing w:val="-29"/>
          <w:sz w:val="20"/>
          <w:szCs w:val="20"/>
        </w:rPr>
        <w:t xml:space="preserve"> </w:t>
      </w:r>
      <w:r>
        <w:rPr>
          <w:spacing w:val="1"/>
          <w:sz w:val="20"/>
          <w:szCs w:val="20"/>
        </w:rPr>
        <w:t>维护手册或维护规程，监督、检查运维服务提供方的响应支持服务，</w:t>
      </w:r>
      <w:r>
        <w:rPr>
          <w:sz w:val="20"/>
          <w:szCs w:val="20"/>
        </w:rPr>
        <w:t xml:space="preserve"> </w:t>
      </w:r>
      <w:r>
        <w:rPr>
          <w:spacing w:val="-1"/>
          <w:sz w:val="20"/>
          <w:szCs w:val="20"/>
        </w:rPr>
        <w:t>包括处理的及时性、处理过程的严谨性及准确性、文档提交的准确性等；</w:t>
      </w:r>
    </w:p>
    <w:p w14:paraId="54E19EAB">
      <w:pPr>
        <w:pStyle w:val="2"/>
        <w:spacing w:before="70" w:line="217" w:lineRule="auto"/>
        <w:ind w:left="759"/>
        <w:rPr>
          <w:sz w:val="20"/>
          <w:szCs w:val="20"/>
        </w:rPr>
      </w:pPr>
      <w:r>
        <w:rPr>
          <w:spacing w:val="4"/>
          <w:sz w:val="20"/>
          <w:szCs w:val="20"/>
        </w:rPr>
        <w:t>③宜要求运维服务提供方建立故障诊断知识库，应包括常见故障的原因与现象、故障排除</w:t>
      </w:r>
    </w:p>
    <w:p w14:paraId="29CC8375">
      <w:pPr>
        <w:spacing w:line="217" w:lineRule="auto"/>
        <w:rPr>
          <w:sz w:val="20"/>
          <w:szCs w:val="20"/>
        </w:rPr>
        <w:sectPr>
          <w:pgSz w:w="10310" w:h="13370"/>
          <w:pgMar w:top="400" w:right="1109" w:bottom="400" w:left="430" w:header="0" w:footer="0" w:gutter="0"/>
          <w:cols w:space="720" w:num="1"/>
        </w:sectPr>
      </w:pPr>
    </w:p>
    <w:p w14:paraId="3C2D5839">
      <w:pPr>
        <w:pStyle w:val="2"/>
        <w:jc w:val="right"/>
        <w:rPr>
          <w:rFonts w:ascii="Times New Roman" w:hAnsi="Times New Roman" w:eastAsia="Times New Roman" w:cs="Times New Roman"/>
          <w:sz w:val="19"/>
          <w:szCs w:val="19"/>
        </w:rPr>
      </w:pPr>
      <w:r>
        <w:rPr>
          <w:spacing w:val="4"/>
          <w:sz w:val="19"/>
          <w:szCs w:val="19"/>
        </w:rPr>
        <w:t>第25章</w:t>
      </w:r>
      <w:r>
        <w:rPr>
          <w:spacing w:val="30"/>
          <w:sz w:val="19"/>
          <w:szCs w:val="19"/>
        </w:rPr>
        <w:t xml:space="preserve"> </w:t>
      </w:r>
      <w:r>
        <w:rPr>
          <w:spacing w:val="4"/>
          <w:sz w:val="19"/>
          <w:szCs w:val="19"/>
        </w:rPr>
        <w:t>运行维护监理</w:t>
      </w:r>
      <w:r>
        <w:rPr>
          <w:spacing w:val="38"/>
          <w:sz w:val="19"/>
          <w:szCs w:val="19"/>
        </w:rPr>
        <w:t xml:space="preserve"> </w:t>
      </w:r>
      <w:r>
        <w:rPr>
          <w:position w:val="-13"/>
          <w:sz w:val="19"/>
          <w:szCs w:val="19"/>
        </w:rPr>
        <w:drawing>
          <wp:inline distT="0" distB="0" distL="0" distR="0">
            <wp:extent cx="297815" cy="253365"/>
            <wp:effectExtent l="0" t="0" r="0" b="0"/>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386"/>
                    <a:stretch>
                      <a:fillRect/>
                    </a:stretch>
                  </pic:blipFill>
                  <pic:spPr>
                    <a:xfrm>
                      <a:off x="0" y="0"/>
                      <a:ext cx="298443" cy="253934"/>
                    </a:xfrm>
                    <a:prstGeom prst="rect">
                      <a:avLst/>
                    </a:prstGeom>
                  </pic:spPr>
                </pic:pic>
              </a:graphicData>
            </a:graphic>
          </wp:inline>
        </w:drawing>
      </w:r>
      <w:r>
        <w:rPr>
          <w:rFonts w:ascii="Times New Roman" w:hAnsi="Times New Roman" w:eastAsia="Times New Roman" w:cs="Times New Roman"/>
          <w:spacing w:val="4"/>
          <w:position w:val="-4"/>
          <w:sz w:val="19"/>
          <w:szCs w:val="19"/>
        </w:rPr>
        <w:t>601</w:t>
      </w:r>
    </w:p>
    <w:p w14:paraId="361590A7">
      <w:pPr>
        <w:spacing w:line="244" w:lineRule="auto"/>
        <w:rPr>
          <w:rFonts w:ascii="Arial"/>
          <w:sz w:val="21"/>
        </w:rPr>
      </w:pPr>
    </w:p>
    <w:p w14:paraId="72E7905F">
      <w:pPr>
        <w:pStyle w:val="2"/>
        <w:spacing w:before="62" w:line="219" w:lineRule="auto"/>
        <w:rPr>
          <w:sz w:val="19"/>
          <w:szCs w:val="19"/>
        </w:rPr>
      </w:pPr>
      <w:r>
        <w:rPr>
          <w:spacing w:val="6"/>
          <w:sz w:val="19"/>
          <w:szCs w:val="19"/>
        </w:rPr>
        <w:t>步骤、故障诊断方法、故障诊断与修复原则等；</w:t>
      </w:r>
    </w:p>
    <w:p w14:paraId="05815051">
      <w:pPr>
        <w:pStyle w:val="2"/>
        <w:spacing w:before="102" w:line="217" w:lineRule="auto"/>
        <w:ind w:left="400"/>
        <w:rPr>
          <w:sz w:val="19"/>
          <w:szCs w:val="19"/>
        </w:rPr>
      </w:pPr>
      <w:r>
        <w:rPr>
          <w:spacing w:val="8"/>
          <w:sz w:val="19"/>
          <w:szCs w:val="19"/>
        </w:rPr>
        <w:t>④对服务商响应支持服务中存在的问题及时提出纠正和改进建议。</w:t>
      </w:r>
    </w:p>
    <w:p w14:paraId="5B343E5F">
      <w:pPr>
        <w:pStyle w:val="2"/>
        <w:spacing w:before="88" w:line="219" w:lineRule="auto"/>
        <w:ind w:left="400"/>
        <w:rPr>
          <w:sz w:val="19"/>
          <w:szCs w:val="19"/>
        </w:rPr>
      </w:pPr>
      <w:r>
        <w:rPr>
          <w:spacing w:val="11"/>
          <w:sz w:val="19"/>
          <w:szCs w:val="19"/>
        </w:rPr>
        <w:t>(3)优化改善监理要点。主要包括：</w:t>
      </w:r>
    </w:p>
    <w:p w14:paraId="3C647093">
      <w:pPr>
        <w:pStyle w:val="2"/>
        <w:spacing w:before="93" w:line="256" w:lineRule="auto"/>
        <w:ind w:right="309" w:firstLine="400"/>
        <w:rPr>
          <w:sz w:val="19"/>
          <w:szCs w:val="19"/>
        </w:rPr>
      </w:pPr>
      <w:r>
        <w:rPr>
          <w:spacing w:val="13"/>
          <w:sz w:val="19"/>
          <w:szCs w:val="19"/>
        </w:rPr>
        <w:t>①对优化改善方案进行审核，方案应明确优化改善的目标、内容、步骤、人员、预算、进</w:t>
      </w:r>
      <w:r>
        <w:rPr>
          <w:sz w:val="19"/>
          <w:szCs w:val="19"/>
        </w:rPr>
        <w:t xml:space="preserve"> </w:t>
      </w:r>
      <w:r>
        <w:rPr>
          <w:spacing w:val="6"/>
          <w:sz w:val="19"/>
          <w:szCs w:val="19"/>
        </w:rPr>
        <w:t>度、衡量指标、风险预案和回退方案等内容；</w:t>
      </w:r>
    </w:p>
    <w:p w14:paraId="3AAA6EC5">
      <w:pPr>
        <w:pStyle w:val="2"/>
        <w:spacing w:before="92" w:line="263" w:lineRule="auto"/>
        <w:ind w:right="305" w:firstLine="400"/>
        <w:rPr>
          <w:sz w:val="19"/>
          <w:szCs w:val="19"/>
        </w:rPr>
      </w:pPr>
      <w:r>
        <w:rPr>
          <w:spacing w:val="16"/>
          <w:sz w:val="19"/>
          <w:szCs w:val="19"/>
        </w:rPr>
        <w:t>②宜对优化改善建议报告进行审核，报告应</w:t>
      </w:r>
      <w:r>
        <w:rPr>
          <w:spacing w:val="15"/>
          <w:sz w:val="19"/>
          <w:szCs w:val="19"/>
        </w:rPr>
        <w:t>区分不同的优化改善类型(适应性改进、纠正</w:t>
      </w:r>
      <w:r>
        <w:rPr>
          <w:sz w:val="19"/>
          <w:szCs w:val="19"/>
        </w:rPr>
        <w:t xml:space="preserve"> </w:t>
      </w:r>
      <w:r>
        <w:rPr>
          <w:spacing w:val="12"/>
          <w:sz w:val="19"/>
          <w:szCs w:val="19"/>
        </w:rPr>
        <w:t>性改进、改善性改进、预防性改进),评估报告内容的合理</w:t>
      </w:r>
      <w:r>
        <w:rPr>
          <w:spacing w:val="11"/>
          <w:sz w:val="19"/>
          <w:szCs w:val="19"/>
        </w:rPr>
        <w:t>性并向用户提出合理建议。</w:t>
      </w:r>
    </w:p>
    <w:p w14:paraId="05C5953C">
      <w:pPr>
        <w:pStyle w:val="2"/>
        <w:spacing w:before="89" w:line="218" w:lineRule="auto"/>
        <w:ind w:left="400"/>
        <w:rPr>
          <w:sz w:val="19"/>
          <w:szCs w:val="19"/>
        </w:rPr>
      </w:pPr>
      <w:r>
        <w:rPr>
          <w:spacing w:val="11"/>
          <w:sz w:val="19"/>
          <w:szCs w:val="19"/>
        </w:rPr>
        <w:t>(4)调研评估监理要点。主要包括：</w:t>
      </w:r>
    </w:p>
    <w:p w14:paraId="67031034">
      <w:pPr>
        <w:pStyle w:val="2"/>
        <w:spacing w:before="104" w:line="252" w:lineRule="auto"/>
        <w:ind w:right="321" w:firstLine="400"/>
        <w:rPr>
          <w:sz w:val="19"/>
          <w:szCs w:val="19"/>
        </w:rPr>
      </w:pPr>
      <w:r>
        <w:rPr>
          <w:spacing w:val="13"/>
          <w:sz w:val="19"/>
          <w:szCs w:val="19"/>
        </w:rPr>
        <w:t>①对评估计划进行审核，应明确调研评估的目标、内容、步</w:t>
      </w:r>
      <w:r>
        <w:rPr>
          <w:spacing w:val="12"/>
          <w:sz w:val="19"/>
          <w:szCs w:val="19"/>
        </w:rPr>
        <w:t>骤、人员、进度、交付成果和</w:t>
      </w:r>
      <w:r>
        <w:rPr>
          <w:sz w:val="19"/>
          <w:szCs w:val="19"/>
        </w:rPr>
        <w:t xml:space="preserve"> </w:t>
      </w:r>
      <w:r>
        <w:rPr>
          <w:spacing w:val="5"/>
          <w:sz w:val="19"/>
          <w:szCs w:val="19"/>
        </w:rPr>
        <w:t>沟通计划等内容；</w:t>
      </w:r>
    </w:p>
    <w:p w14:paraId="3DFE20B3">
      <w:pPr>
        <w:pStyle w:val="2"/>
        <w:spacing w:before="92" w:line="217" w:lineRule="auto"/>
        <w:ind w:left="400"/>
        <w:rPr>
          <w:sz w:val="19"/>
          <w:szCs w:val="19"/>
        </w:rPr>
      </w:pPr>
      <w:r>
        <w:rPr>
          <w:spacing w:val="7"/>
          <w:sz w:val="19"/>
          <w:szCs w:val="19"/>
        </w:rPr>
        <w:t>②持续跟踪调研评估的执行和评估结果的改进情况；</w:t>
      </w:r>
    </w:p>
    <w:p w14:paraId="63309FE2">
      <w:pPr>
        <w:pStyle w:val="2"/>
        <w:spacing w:before="97" w:line="217" w:lineRule="auto"/>
        <w:ind w:left="400"/>
        <w:rPr>
          <w:sz w:val="19"/>
          <w:szCs w:val="19"/>
        </w:rPr>
      </w:pPr>
      <w:r>
        <w:rPr>
          <w:spacing w:val="8"/>
          <w:sz w:val="19"/>
          <w:szCs w:val="19"/>
        </w:rPr>
        <w:t>③对调研报告进行审核，应包括现状评估、访谈调研、需求分析和评估建议等内容。</w:t>
      </w:r>
    </w:p>
    <w:p w14:paraId="4F4003D0">
      <w:pPr>
        <w:pStyle w:val="2"/>
        <w:spacing w:before="228" w:line="219" w:lineRule="auto"/>
        <w:ind w:left="2"/>
        <w:rPr>
          <w:sz w:val="25"/>
          <w:szCs w:val="25"/>
        </w:rPr>
      </w:pPr>
      <w:r>
        <w:rPr>
          <w:b/>
          <w:bCs/>
          <w:color w:val="006DDA"/>
          <w:spacing w:val="-16"/>
          <w:sz w:val="25"/>
          <w:szCs w:val="25"/>
        </w:rPr>
        <w:t>25.5.2</w:t>
      </w:r>
      <w:r>
        <w:rPr>
          <w:color w:val="006DDA"/>
          <w:spacing w:val="105"/>
          <w:sz w:val="25"/>
          <w:szCs w:val="25"/>
        </w:rPr>
        <w:t xml:space="preserve"> </w:t>
      </w:r>
      <w:r>
        <w:rPr>
          <w:b/>
          <w:bCs/>
          <w:color w:val="006DDA"/>
          <w:spacing w:val="-16"/>
          <w:sz w:val="25"/>
          <w:szCs w:val="25"/>
        </w:rPr>
        <w:t>软件类运行维护服务的监理要点</w:t>
      </w:r>
    </w:p>
    <w:p w14:paraId="0DB627F7">
      <w:pPr>
        <w:pStyle w:val="2"/>
        <w:spacing w:before="194" w:line="219" w:lineRule="auto"/>
        <w:ind w:left="400"/>
        <w:rPr>
          <w:sz w:val="19"/>
          <w:szCs w:val="19"/>
        </w:rPr>
      </w:pPr>
      <w:r>
        <w:rPr>
          <w:spacing w:val="6"/>
          <w:sz w:val="19"/>
          <w:szCs w:val="19"/>
        </w:rPr>
        <w:t>软件类运行维护服务的监理要点具体如下：</w:t>
      </w:r>
    </w:p>
    <w:p w14:paraId="55EDE993">
      <w:pPr>
        <w:pStyle w:val="2"/>
        <w:spacing w:before="85" w:line="219" w:lineRule="auto"/>
        <w:ind w:left="400"/>
        <w:rPr>
          <w:sz w:val="19"/>
          <w:szCs w:val="19"/>
        </w:rPr>
      </w:pPr>
      <w:r>
        <w:rPr>
          <w:spacing w:val="11"/>
          <w:sz w:val="19"/>
          <w:szCs w:val="19"/>
        </w:rPr>
        <w:t>(1)例行操作监理要点。主要包括：</w:t>
      </w:r>
    </w:p>
    <w:p w14:paraId="000A8F93">
      <w:pPr>
        <w:pStyle w:val="2"/>
        <w:spacing w:before="93" w:line="261" w:lineRule="auto"/>
        <w:ind w:right="242" w:firstLine="400"/>
        <w:rPr>
          <w:sz w:val="19"/>
          <w:szCs w:val="19"/>
        </w:rPr>
      </w:pPr>
      <w:r>
        <w:rPr>
          <w:spacing w:val="10"/>
          <w:sz w:val="19"/>
          <w:szCs w:val="19"/>
        </w:rPr>
        <w:t>①督促运维服务提供方根据软件运行维护对象的特点</w:t>
      </w:r>
      <w:r>
        <w:rPr>
          <w:spacing w:val="9"/>
          <w:sz w:val="19"/>
          <w:szCs w:val="19"/>
        </w:rPr>
        <w:t>，确定例行操作的周期、范围、人员、</w:t>
      </w:r>
      <w:r>
        <w:rPr>
          <w:sz w:val="19"/>
          <w:szCs w:val="19"/>
        </w:rPr>
        <w:t xml:space="preserve"> </w:t>
      </w:r>
      <w:r>
        <w:rPr>
          <w:spacing w:val="6"/>
          <w:sz w:val="19"/>
          <w:szCs w:val="19"/>
        </w:rPr>
        <w:t>内容、目标，并编制运行维护指导手册；</w:t>
      </w:r>
    </w:p>
    <w:p w14:paraId="7F0BABCA">
      <w:pPr>
        <w:pStyle w:val="2"/>
        <w:spacing w:before="93" w:line="261" w:lineRule="auto"/>
        <w:ind w:right="306" w:firstLine="400"/>
        <w:rPr>
          <w:sz w:val="19"/>
          <w:szCs w:val="19"/>
        </w:rPr>
      </w:pPr>
      <w:r>
        <w:rPr>
          <w:spacing w:val="13"/>
          <w:sz w:val="19"/>
          <w:szCs w:val="19"/>
        </w:rPr>
        <w:t>②对软件例行巡检、缺陷管理、变更管理、补丁程序管理、发布管理、版本管理、文档管</w:t>
      </w:r>
      <w:r>
        <w:rPr>
          <w:spacing w:val="2"/>
          <w:sz w:val="19"/>
          <w:szCs w:val="19"/>
        </w:rPr>
        <w:t xml:space="preserve"> </w:t>
      </w:r>
      <w:r>
        <w:rPr>
          <w:spacing w:val="6"/>
          <w:sz w:val="19"/>
          <w:szCs w:val="19"/>
        </w:rPr>
        <w:t>理等运行维护活动实施监督管理；</w:t>
      </w:r>
    </w:p>
    <w:p w14:paraId="633AECCB">
      <w:pPr>
        <w:pStyle w:val="2"/>
        <w:spacing w:before="82" w:line="261" w:lineRule="auto"/>
        <w:ind w:right="301" w:firstLine="400"/>
        <w:rPr>
          <w:sz w:val="19"/>
          <w:szCs w:val="19"/>
        </w:rPr>
      </w:pPr>
      <w:r>
        <w:rPr>
          <w:spacing w:val="13"/>
          <w:sz w:val="19"/>
          <w:szCs w:val="19"/>
        </w:rPr>
        <w:t>③对系统恢复过程进行跟踪和监督，重点审核系统恢复申请信息、数据备份情况、故障原</w:t>
      </w:r>
      <w:r>
        <w:rPr>
          <w:spacing w:val="7"/>
          <w:sz w:val="19"/>
          <w:szCs w:val="19"/>
        </w:rPr>
        <w:t xml:space="preserve"> </w:t>
      </w:r>
      <w:r>
        <w:rPr>
          <w:spacing w:val="5"/>
          <w:sz w:val="19"/>
          <w:szCs w:val="19"/>
        </w:rPr>
        <w:t>因分析结果、恢复方案等文档；</w:t>
      </w:r>
    </w:p>
    <w:p w14:paraId="1C9B3E2C">
      <w:pPr>
        <w:pStyle w:val="2"/>
        <w:spacing w:before="82" w:line="260" w:lineRule="auto"/>
        <w:ind w:right="308" w:firstLine="400"/>
        <w:rPr>
          <w:sz w:val="19"/>
          <w:szCs w:val="19"/>
        </w:rPr>
      </w:pPr>
      <w:r>
        <w:rPr>
          <w:spacing w:val="13"/>
          <w:sz w:val="19"/>
          <w:szCs w:val="19"/>
        </w:rPr>
        <w:t>④依据维护计划、维护手册或维护规程，监督运维服务提供方的例行维护活动，审核运维</w:t>
      </w:r>
      <w:r>
        <w:rPr>
          <w:sz w:val="19"/>
          <w:szCs w:val="19"/>
        </w:rPr>
        <w:t xml:space="preserve"> </w:t>
      </w:r>
      <w:r>
        <w:rPr>
          <w:spacing w:val="8"/>
          <w:sz w:val="19"/>
          <w:szCs w:val="19"/>
        </w:rPr>
        <w:t>服务提供方提供的例行维护实施方案、维护记录、维护报告等文档；</w:t>
      </w:r>
    </w:p>
    <w:p w14:paraId="7E720FD0">
      <w:pPr>
        <w:pStyle w:val="2"/>
        <w:spacing w:before="75" w:line="217" w:lineRule="auto"/>
        <w:ind w:left="400"/>
        <w:rPr>
          <w:sz w:val="19"/>
          <w:szCs w:val="19"/>
        </w:rPr>
      </w:pPr>
      <w:r>
        <w:rPr>
          <w:spacing w:val="7"/>
          <w:sz w:val="19"/>
          <w:szCs w:val="19"/>
        </w:rPr>
        <w:t>⑤跟踪系统变更过程，监督变更过程的规范性；</w:t>
      </w:r>
    </w:p>
    <w:p w14:paraId="0C5AF072">
      <w:pPr>
        <w:pStyle w:val="2"/>
        <w:spacing w:before="97" w:line="260" w:lineRule="auto"/>
        <w:ind w:right="306" w:firstLine="400"/>
        <w:rPr>
          <w:sz w:val="19"/>
          <w:szCs w:val="19"/>
        </w:rPr>
      </w:pPr>
      <w:r>
        <w:rPr>
          <w:spacing w:val="13"/>
          <w:sz w:val="19"/>
          <w:szCs w:val="19"/>
        </w:rPr>
        <w:t>⑥督促运维服务提供方在运行维护过程中记录运行状态、异常处理记录，提供趋势分析及</w:t>
      </w:r>
      <w:r>
        <w:rPr>
          <w:spacing w:val="2"/>
          <w:sz w:val="19"/>
          <w:szCs w:val="19"/>
        </w:rPr>
        <w:t xml:space="preserve"> </w:t>
      </w:r>
      <w:r>
        <w:rPr>
          <w:spacing w:val="7"/>
          <w:sz w:val="19"/>
          <w:szCs w:val="19"/>
        </w:rPr>
        <w:t>可能的风险消除建议，以及例行操作交付过程中的其他报告；</w:t>
      </w:r>
    </w:p>
    <w:p w14:paraId="09630A9F">
      <w:pPr>
        <w:pStyle w:val="2"/>
        <w:spacing w:before="85" w:line="252" w:lineRule="auto"/>
        <w:ind w:right="309" w:firstLine="400"/>
        <w:rPr>
          <w:sz w:val="19"/>
          <w:szCs w:val="19"/>
        </w:rPr>
      </w:pPr>
      <w:r>
        <w:rPr>
          <w:spacing w:val="13"/>
          <w:sz w:val="19"/>
          <w:szCs w:val="19"/>
        </w:rPr>
        <w:t>⑦督促运维服务提供方对软件缺陷实施统一管理，形成缺陷管理表，并定期对缺陷状态进</w:t>
      </w:r>
      <w:r>
        <w:rPr>
          <w:sz w:val="19"/>
          <w:szCs w:val="19"/>
        </w:rPr>
        <w:t xml:space="preserve"> </w:t>
      </w:r>
      <w:r>
        <w:rPr>
          <w:spacing w:val="-1"/>
          <w:sz w:val="19"/>
          <w:szCs w:val="19"/>
        </w:rPr>
        <w:t>行确认；</w:t>
      </w:r>
    </w:p>
    <w:p w14:paraId="2AFC0C9A">
      <w:pPr>
        <w:pStyle w:val="2"/>
        <w:spacing w:before="82" w:line="261" w:lineRule="auto"/>
        <w:ind w:right="278" w:firstLine="400"/>
        <w:rPr>
          <w:sz w:val="19"/>
          <w:szCs w:val="19"/>
        </w:rPr>
      </w:pPr>
      <w:r>
        <w:rPr>
          <w:spacing w:val="14"/>
          <w:sz w:val="19"/>
          <w:szCs w:val="19"/>
        </w:rPr>
        <w:t>⑧可要求运维服务提供方利用运行维护管理平台自动实现对软件各</w:t>
      </w:r>
      <w:r>
        <w:rPr>
          <w:spacing w:val="13"/>
          <w:sz w:val="19"/>
          <w:szCs w:val="19"/>
        </w:rPr>
        <w:t>类资源的数据采集、状</w:t>
      </w:r>
      <w:r>
        <w:rPr>
          <w:sz w:val="19"/>
          <w:szCs w:val="19"/>
        </w:rPr>
        <w:t xml:space="preserve"> </w:t>
      </w:r>
      <w:r>
        <w:rPr>
          <w:spacing w:val="7"/>
          <w:sz w:val="19"/>
          <w:szCs w:val="19"/>
        </w:rPr>
        <w:t>态监控和性能分析、更新软件分发。</w:t>
      </w:r>
    </w:p>
    <w:p w14:paraId="7F8675BC">
      <w:pPr>
        <w:pStyle w:val="2"/>
        <w:spacing w:before="84" w:line="219" w:lineRule="auto"/>
        <w:ind w:left="400"/>
        <w:rPr>
          <w:sz w:val="19"/>
          <w:szCs w:val="19"/>
        </w:rPr>
      </w:pPr>
      <w:r>
        <w:rPr>
          <w:spacing w:val="11"/>
          <w:sz w:val="19"/>
          <w:szCs w:val="19"/>
        </w:rPr>
        <w:t>(2)响应支持监理要点。主要包括：</w:t>
      </w:r>
    </w:p>
    <w:p w14:paraId="780BC3B6">
      <w:pPr>
        <w:pStyle w:val="2"/>
        <w:spacing w:before="73" w:line="217" w:lineRule="auto"/>
        <w:ind w:left="400"/>
        <w:rPr>
          <w:sz w:val="19"/>
          <w:szCs w:val="19"/>
        </w:rPr>
      </w:pPr>
      <w:r>
        <w:rPr>
          <w:spacing w:val="9"/>
          <w:sz w:val="19"/>
          <w:szCs w:val="19"/>
        </w:rPr>
        <w:t>①检查运维服务提供方的响应支持服务与运行维护</w:t>
      </w:r>
      <w:r>
        <w:rPr>
          <w:sz w:val="19"/>
          <w:szCs w:val="19"/>
        </w:rPr>
        <w:t>SLA</w:t>
      </w:r>
      <w:r>
        <w:rPr>
          <w:spacing w:val="60"/>
          <w:w w:val="101"/>
          <w:sz w:val="19"/>
          <w:szCs w:val="19"/>
        </w:rPr>
        <w:t xml:space="preserve"> </w:t>
      </w:r>
      <w:r>
        <w:rPr>
          <w:spacing w:val="9"/>
          <w:sz w:val="19"/>
          <w:szCs w:val="19"/>
        </w:rPr>
        <w:t>的符合性；</w:t>
      </w:r>
    </w:p>
    <w:p w14:paraId="673230C4">
      <w:pPr>
        <w:pStyle w:val="2"/>
        <w:spacing w:before="97" w:line="256" w:lineRule="auto"/>
        <w:ind w:right="241" w:firstLine="400"/>
        <w:rPr>
          <w:sz w:val="19"/>
          <w:szCs w:val="19"/>
        </w:rPr>
      </w:pPr>
      <w:r>
        <w:rPr>
          <w:spacing w:val="10"/>
          <w:sz w:val="19"/>
          <w:szCs w:val="19"/>
        </w:rPr>
        <w:t>②依据运行维护</w:t>
      </w:r>
      <w:r>
        <w:rPr>
          <w:sz w:val="19"/>
          <w:szCs w:val="19"/>
        </w:rPr>
        <w:t>SLA</w:t>
      </w:r>
      <w:r>
        <w:rPr>
          <w:spacing w:val="10"/>
          <w:sz w:val="19"/>
          <w:szCs w:val="19"/>
        </w:rPr>
        <w:t>、 维护手册或维护规程，监督、检查运维服务提供方的</w:t>
      </w:r>
      <w:r>
        <w:rPr>
          <w:spacing w:val="9"/>
          <w:sz w:val="19"/>
          <w:szCs w:val="19"/>
        </w:rPr>
        <w:t>响应支持服务，</w:t>
      </w:r>
      <w:r>
        <w:rPr>
          <w:sz w:val="19"/>
          <w:szCs w:val="19"/>
        </w:rPr>
        <w:t xml:space="preserve"> </w:t>
      </w:r>
      <w:r>
        <w:rPr>
          <w:spacing w:val="8"/>
          <w:sz w:val="19"/>
          <w:szCs w:val="19"/>
        </w:rPr>
        <w:t>包括处理的及时性、处理过程的严谨性及准确性、文档提交的准确性等；</w:t>
      </w:r>
    </w:p>
    <w:p w14:paraId="07BC7945">
      <w:pPr>
        <w:pStyle w:val="2"/>
        <w:spacing w:before="82" w:line="217" w:lineRule="auto"/>
        <w:ind w:left="400"/>
        <w:rPr>
          <w:sz w:val="19"/>
          <w:szCs w:val="19"/>
        </w:rPr>
      </w:pPr>
      <w:r>
        <w:rPr>
          <w:spacing w:val="9"/>
          <w:sz w:val="19"/>
          <w:szCs w:val="19"/>
        </w:rPr>
        <w:t>③对运维服务提供方响应支持服务中存在的</w:t>
      </w:r>
      <w:r>
        <w:rPr>
          <w:spacing w:val="8"/>
          <w:sz w:val="19"/>
          <w:szCs w:val="19"/>
        </w:rPr>
        <w:t>问题及时提出纠正和改进建议；</w:t>
      </w:r>
    </w:p>
    <w:p w14:paraId="494017BF">
      <w:pPr>
        <w:pStyle w:val="2"/>
        <w:spacing w:before="87" w:line="217" w:lineRule="auto"/>
        <w:ind w:left="400"/>
        <w:rPr>
          <w:sz w:val="19"/>
          <w:szCs w:val="19"/>
        </w:rPr>
      </w:pPr>
      <w:r>
        <w:rPr>
          <w:spacing w:val="13"/>
          <w:sz w:val="19"/>
          <w:szCs w:val="19"/>
        </w:rPr>
        <w:t>④宜要求运维服务提供方建立故障诊断知识库，应包括常见故障的原因与现象、故障排除</w:t>
      </w:r>
    </w:p>
    <w:p w14:paraId="36E1CC21">
      <w:pPr>
        <w:spacing w:line="217" w:lineRule="auto"/>
        <w:rPr>
          <w:sz w:val="19"/>
          <w:szCs w:val="19"/>
        </w:rPr>
        <w:sectPr>
          <w:pgSz w:w="10300" w:h="13290"/>
          <w:pgMar w:top="350" w:right="523" w:bottom="400" w:left="1149" w:header="0" w:footer="0" w:gutter="0"/>
          <w:cols w:space="720" w:num="1"/>
        </w:sectPr>
      </w:pPr>
    </w:p>
    <w:p w14:paraId="560FBEFC">
      <w:pPr>
        <w:pStyle w:val="2"/>
        <w:spacing w:before="77" w:line="219" w:lineRule="auto"/>
        <w:rPr>
          <w:sz w:val="19"/>
          <w:szCs w:val="19"/>
        </w:rPr>
      </w:pPr>
      <w:r>
        <w:rPr>
          <w:rFonts w:ascii="Times New Roman" w:hAnsi="Times New Roman" w:eastAsia="Times New Roman" w:cs="Times New Roman"/>
          <w:b/>
          <w:bCs/>
          <w:spacing w:val="5"/>
          <w:position w:val="-4"/>
          <w:sz w:val="22"/>
          <w:szCs w:val="22"/>
        </w:rPr>
        <w:t xml:space="preserve">602           </w:t>
      </w:r>
      <w:r>
        <w:rPr>
          <w:spacing w:val="5"/>
          <w:sz w:val="19"/>
          <w:szCs w:val="19"/>
        </w:rPr>
        <w:t>信息系统监理师教程(第2版)</w:t>
      </w:r>
    </w:p>
    <w:p w14:paraId="6E3C5ABB">
      <w:pPr>
        <w:spacing w:line="289" w:lineRule="auto"/>
        <w:rPr>
          <w:rFonts w:ascii="Arial"/>
          <w:sz w:val="21"/>
        </w:rPr>
      </w:pPr>
    </w:p>
    <w:p w14:paraId="0D499ED2">
      <w:pPr>
        <w:pStyle w:val="2"/>
        <w:spacing w:before="62" w:line="219" w:lineRule="auto"/>
        <w:ind w:left="349"/>
        <w:rPr>
          <w:sz w:val="19"/>
          <w:szCs w:val="19"/>
        </w:rPr>
      </w:pPr>
      <w:r>
        <w:rPr>
          <w:spacing w:val="8"/>
          <w:sz w:val="19"/>
          <w:szCs w:val="19"/>
        </w:rPr>
        <w:t>步骤、故障诊断方法、故障诊断与修复原则等。</w:t>
      </w:r>
    </w:p>
    <w:p w14:paraId="767B9507">
      <w:pPr>
        <w:pStyle w:val="2"/>
        <w:spacing w:before="94" w:line="219" w:lineRule="auto"/>
        <w:ind w:left="759"/>
        <w:rPr>
          <w:sz w:val="19"/>
          <w:szCs w:val="19"/>
        </w:rPr>
      </w:pPr>
      <w:r>
        <w:rPr>
          <w:spacing w:val="11"/>
          <w:sz w:val="19"/>
          <w:szCs w:val="19"/>
        </w:rPr>
        <w:t>(3)优化改善监理要点。主要包括：</w:t>
      </w:r>
    </w:p>
    <w:p w14:paraId="4D3E9C86">
      <w:pPr>
        <w:pStyle w:val="2"/>
        <w:spacing w:before="102" w:line="217" w:lineRule="auto"/>
        <w:ind w:left="759"/>
        <w:rPr>
          <w:sz w:val="19"/>
          <w:szCs w:val="19"/>
        </w:rPr>
      </w:pPr>
      <w:r>
        <w:rPr>
          <w:spacing w:val="8"/>
          <w:sz w:val="19"/>
          <w:szCs w:val="19"/>
        </w:rPr>
        <w:t>①跟踪系统缺陷诊断分析和修复过程，督促运维服务提供方及时进行缺陷修复；</w:t>
      </w:r>
    </w:p>
    <w:p w14:paraId="65FB9822">
      <w:pPr>
        <w:pStyle w:val="2"/>
        <w:spacing w:before="76" w:line="217" w:lineRule="auto"/>
        <w:ind w:left="759"/>
        <w:rPr>
          <w:sz w:val="19"/>
          <w:szCs w:val="19"/>
        </w:rPr>
      </w:pPr>
      <w:r>
        <w:rPr>
          <w:spacing w:val="6"/>
          <w:sz w:val="19"/>
          <w:szCs w:val="19"/>
        </w:rPr>
        <w:t>②跟踪软件优化过程，评估优化效果；</w:t>
      </w:r>
    </w:p>
    <w:p w14:paraId="55C74140">
      <w:pPr>
        <w:pStyle w:val="2"/>
        <w:spacing w:before="107" w:line="217" w:lineRule="auto"/>
        <w:ind w:left="759"/>
        <w:rPr>
          <w:sz w:val="19"/>
          <w:szCs w:val="19"/>
        </w:rPr>
      </w:pPr>
      <w:r>
        <w:rPr>
          <w:spacing w:val="7"/>
          <w:sz w:val="19"/>
          <w:szCs w:val="19"/>
        </w:rPr>
        <w:t>③对软件优化方案的合理性、可行性进行审核；</w:t>
      </w:r>
    </w:p>
    <w:p w14:paraId="226ABE72">
      <w:pPr>
        <w:pStyle w:val="2"/>
        <w:spacing w:before="77" w:line="261" w:lineRule="auto"/>
        <w:ind w:left="349" w:right="86" w:firstLine="410"/>
        <w:rPr>
          <w:sz w:val="19"/>
          <w:szCs w:val="19"/>
        </w:rPr>
      </w:pPr>
      <w:r>
        <w:rPr>
          <w:spacing w:val="13"/>
          <w:sz w:val="19"/>
          <w:szCs w:val="19"/>
        </w:rPr>
        <w:t>④监督运维服务提供方将例行操作、响应支持服务过程中发现的问题和解决过程进行分类</w:t>
      </w:r>
      <w:r>
        <w:rPr>
          <w:sz w:val="19"/>
          <w:szCs w:val="19"/>
        </w:rPr>
        <w:t xml:space="preserve"> </w:t>
      </w:r>
      <w:r>
        <w:rPr>
          <w:spacing w:val="8"/>
          <w:sz w:val="19"/>
          <w:szCs w:val="19"/>
        </w:rPr>
        <w:t>汇总，形成运行维护常见问题集与知识库。</w:t>
      </w:r>
    </w:p>
    <w:p w14:paraId="5660294B">
      <w:pPr>
        <w:pStyle w:val="2"/>
        <w:spacing w:before="93" w:line="218" w:lineRule="auto"/>
        <w:ind w:left="759"/>
        <w:rPr>
          <w:sz w:val="19"/>
          <w:szCs w:val="19"/>
        </w:rPr>
      </w:pPr>
      <w:r>
        <w:rPr>
          <w:spacing w:val="11"/>
          <w:sz w:val="19"/>
          <w:szCs w:val="19"/>
        </w:rPr>
        <w:t>(4)调研评估监理要点。同基础设施类调</w:t>
      </w:r>
      <w:r>
        <w:rPr>
          <w:spacing w:val="10"/>
          <w:sz w:val="19"/>
          <w:szCs w:val="19"/>
        </w:rPr>
        <w:t>研评估监理要点类似，实践中可参考应用。</w:t>
      </w:r>
    </w:p>
    <w:p w14:paraId="06887B6A">
      <w:pPr>
        <w:pStyle w:val="2"/>
        <w:spacing w:before="246" w:line="219" w:lineRule="auto"/>
        <w:ind w:left="352"/>
        <w:rPr>
          <w:sz w:val="25"/>
          <w:szCs w:val="25"/>
        </w:rPr>
      </w:pPr>
      <w:r>
        <w:rPr>
          <w:b/>
          <w:bCs/>
          <w:color w:val="0072E4"/>
          <w:spacing w:val="-16"/>
          <w:sz w:val="25"/>
          <w:szCs w:val="25"/>
        </w:rPr>
        <w:t>25.5.3</w:t>
      </w:r>
      <w:r>
        <w:rPr>
          <w:color w:val="0072E4"/>
          <w:spacing w:val="95"/>
          <w:sz w:val="25"/>
          <w:szCs w:val="25"/>
        </w:rPr>
        <w:t xml:space="preserve"> </w:t>
      </w:r>
      <w:r>
        <w:rPr>
          <w:b/>
          <w:bCs/>
          <w:color w:val="0072E4"/>
          <w:spacing w:val="-16"/>
          <w:sz w:val="25"/>
          <w:szCs w:val="25"/>
        </w:rPr>
        <w:t>数据类运行维护服务的监理要点</w:t>
      </w:r>
    </w:p>
    <w:p w14:paraId="7C49C951">
      <w:pPr>
        <w:pStyle w:val="2"/>
        <w:spacing w:before="185" w:line="219" w:lineRule="auto"/>
        <w:ind w:left="759"/>
        <w:rPr>
          <w:sz w:val="19"/>
          <w:szCs w:val="19"/>
        </w:rPr>
      </w:pPr>
      <w:r>
        <w:rPr>
          <w:spacing w:val="6"/>
          <w:sz w:val="19"/>
          <w:szCs w:val="19"/>
        </w:rPr>
        <w:t>数据类运行维护服务的监理要点具体如下：</w:t>
      </w:r>
    </w:p>
    <w:p w14:paraId="42649F8C">
      <w:pPr>
        <w:pStyle w:val="2"/>
        <w:spacing w:before="94" w:line="219" w:lineRule="auto"/>
        <w:ind w:left="759"/>
        <w:rPr>
          <w:sz w:val="19"/>
          <w:szCs w:val="19"/>
        </w:rPr>
      </w:pPr>
      <w:r>
        <w:rPr>
          <w:spacing w:val="11"/>
          <w:sz w:val="19"/>
          <w:szCs w:val="19"/>
        </w:rPr>
        <w:t>(1)例行操作监理要点。主要包括：</w:t>
      </w:r>
    </w:p>
    <w:p w14:paraId="39D6D0CA">
      <w:pPr>
        <w:pStyle w:val="2"/>
        <w:spacing w:before="82" w:line="217" w:lineRule="auto"/>
        <w:ind w:left="759"/>
        <w:rPr>
          <w:sz w:val="19"/>
          <w:szCs w:val="19"/>
        </w:rPr>
      </w:pPr>
      <w:r>
        <w:rPr>
          <w:spacing w:val="7"/>
          <w:sz w:val="19"/>
          <w:szCs w:val="19"/>
        </w:rPr>
        <w:t>①督促运维服务提供方建立数据运行维护各项管理制度；</w:t>
      </w:r>
    </w:p>
    <w:p w14:paraId="1C469CAA">
      <w:pPr>
        <w:pStyle w:val="2"/>
        <w:spacing w:before="87" w:line="217" w:lineRule="auto"/>
        <w:ind w:left="759"/>
        <w:rPr>
          <w:sz w:val="19"/>
          <w:szCs w:val="19"/>
        </w:rPr>
      </w:pPr>
      <w:r>
        <w:rPr>
          <w:spacing w:val="8"/>
          <w:sz w:val="19"/>
          <w:szCs w:val="19"/>
        </w:rPr>
        <w:t>②督促运维服务提供方根据监控记录、运行条件和状况进行预防性检查及趋势分析；</w:t>
      </w:r>
    </w:p>
    <w:p w14:paraId="563473B4">
      <w:pPr>
        <w:pStyle w:val="2"/>
        <w:spacing w:before="87" w:line="266" w:lineRule="auto"/>
        <w:ind w:left="349" w:right="87" w:firstLine="410"/>
        <w:rPr>
          <w:sz w:val="19"/>
          <w:szCs w:val="19"/>
        </w:rPr>
      </w:pPr>
      <w:r>
        <w:rPr>
          <w:spacing w:val="13"/>
          <w:sz w:val="19"/>
          <w:szCs w:val="19"/>
        </w:rPr>
        <w:t>③监督运维服务提供方的数据类日常运行维护操作行为，包括数据采集、存储、变更、迁</w:t>
      </w:r>
      <w:r>
        <w:rPr>
          <w:sz w:val="19"/>
          <w:szCs w:val="19"/>
        </w:rPr>
        <w:t xml:space="preserve"> </w:t>
      </w:r>
      <w:r>
        <w:rPr>
          <w:spacing w:val="6"/>
          <w:sz w:val="19"/>
          <w:szCs w:val="19"/>
        </w:rPr>
        <w:t>移、转移、备份、分发和销毁等；</w:t>
      </w:r>
    </w:p>
    <w:p w14:paraId="24A0BEEC">
      <w:pPr>
        <w:pStyle w:val="2"/>
        <w:spacing w:before="83" w:line="261" w:lineRule="auto"/>
        <w:ind w:left="349" w:right="79" w:firstLine="410"/>
        <w:rPr>
          <w:sz w:val="19"/>
          <w:szCs w:val="19"/>
        </w:rPr>
      </w:pPr>
      <w:r>
        <w:rPr>
          <w:spacing w:val="13"/>
          <w:sz w:val="19"/>
          <w:szCs w:val="19"/>
        </w:rPr>
        <w:t>④针对运维服务提供方提交的数据备份计划，审核其在备份方式、备份技术及安全方面的</w:t>
      </w:r>
      <w:r>
        <w:rPr>
          <w:spacing w:val="7"/>
          <w:sz w:val="19"/>
          <w:szCs w:val="19"/>
        </w:rPr>
        <w:t xml:space="preserve"> </w:t>
      </w:r>
      <w:r>
        <w:rPr>
          <w:spacing w:val="5"/>
          <w:sz w:val="19"/>
          <w:szCs w:val="19"/>
        </w:rPr>
        <w:t>合理性，并监督其实施过程；</w:t>
      </w:r>
    </w:p>
    <w:p w14:paraId="48F2A984">
      <w:pPr>
        <w:pStyle w:val="2"/>
        <w:spacing w:before="91" w:line="261" w:lineRule="auto"/>
        <w:ind w:left="349" w:right="86" w:firstLine="410"/>
        <w:rPr>
          <w:sz w:val="19"/>
          <w:szCs w:val="19"/>
        </w:rPr>
      </w:pPr>
      <w:r>
        <w:rPr>
          <w:spacing w:val="13"/>
          <w:sz w:val="19"/>
          <w:szCs w:val="19"/>
        </w:rPr>
        <w:t>⑤要求运维服务提供方采用工具化管理模块或第三方的各类数据监测工具，对数据的存储</w:t>
      </w:r>
      <w:r>
        <w:rPr>
          <w:sz w:val="19"/>
          <w:szCs w:val="19"/>
        </w:rPr>
        <w:t xml:space="preserve"> </w:t>
      </w:r>
      <w:r>
        <w:rPr>
          <w:spacing w:val="5"/>
          <w:sz w:val="19"/>
          <w:szCs w:val="19"/>
        </w:rPr>
        <w:t>与传输状态进行记录和监控。</w:t>
      </w:r>
    </w:p>
    <w:p w14:paraId="3479994C">
      <w:pPr>
        <w:pStyle w:val="2"/>
        <w:spacing w:before="96" w:line="219" w:lineRule="auto"/>
        <w:ind w:left="759"/>
        <w:rPr>
          <w:sz w:val="19"/>
          <w:szCs w:val="19"/>
        </w:rPr>
      </w:pPr>
      <w:r>
        <w:rPr>
          <w:spacing w:val="11"/>
          <w:sz w:val="19"/>
          <w:szCs w:val="19"/>
        </w:rPr>
        <w:t>(2)响应支持监理要点。主要包括：</w:t>
      </w:r>
    </w:p>
    <w:p w14:paraId="3176C44A">
      <w:pPr>
        <w:pStyle w:val="2"/>
        <w:spacing w:before="83" w:line="261" w:lineRule="auto"/>
        <w:ind w:left="349" w:right="86" w:firstLine="410"/>
        <w:rPr>
          <w:sz w:val="19"/>
          <w:szCs w:val="19"/>
        </w:rPr>
      </w:pPr>
      <w:r>
        <w:rPr>
          <w:spacing w:val="13"/>
          <w:sz w:val="19"/>
          <w:szCs w:val="19"/>
        </w:rPr>
        <w:t>①要求运维服务提供方基于用户对应用系统可持续性运行的基本需求和目标，配置各类数</w:t>
      </w:r>
      <w:r>
        <w:rPr>
          <w:sz w:val="19"/>
          <w:szCs w:val="19"/>
        </w:rPr>
        <w:t xml:space="preserve"> </w:t>
      </w:r>
      <w:r>
        <w:rPr>
          <w:spacing w:val="5"/>
          <w:sz w:val="19"/>
          <w:szCs w:val="19"/>
        </w:rPr>
        <w:t>据资源保障措施；</w:t>
      </w:r>
    </w:p>
    <w:p w14:paraId="68B7908D">
      <w:pPr>
        <w:pStyle w:val="2"/>
        <w:spacing w:before="93" w:line="261" w:lineRule="auto"/>
        <w:ind w:left="349" w:firstLine="410"/>
        <w:rPr>
          <w:sz w:val="19"/>
          <w:szCs w:val="19"/>
        </w:rPr>
      </w:pPr>
      <w:r>
        <w:rPr>
          <w:spacing w:val="10"/>
          <w:sz w:val="19"/>
          <w:szCs w:val="19"/>
        </w:rPr>
        <w:t>②依据响应支持服务的服务计划和指导手册，监督运维服务提供方在数据变更、数据恢复、</w:t>
      </w:r>
      <w:r>
        <w:rPr>
          <w:spacing w:val="3"/>
          <w:sz w:val="19"/>
          <w:szCs w:val="19"/>
        </w:rPr>
        <w:t xml:space="preserve"> </w:t>
      </w:r>
      <w:r>
        <w:rPr>
          <w:spacing w:val="8"/>
          <w:sz w:val="19"/>
          <w:szCs w:val="19"/>
        </w:rPr>
        <w:t>故障排查、疑难解答等方面的响应支持服务，审核确认各类响应</w:t>
      </w:r>
      <w:r>
        <w:rPr>
          <w:spacing w:val="7"/>
          <w:sz w:val="19"/>
          <w:szCs w:val="19"/>
        </w:rPr>
        <w:t>支持服务的工作记录；</w:t>
      </w:r>
    </w:p>
    <w:p w14:paraId="339F8D80">
      <w:pPr>
        <w:pStyle w:val="2"/>
        <w:spacing w:before="82" w:line="267" w:lineRule="auto"/>
        <w:ind w:left="349" w:right="87" w:firstLine="410"/>
        <w:rPr>
          <w:sz w:val="19"/>
          <w:szCs w:val="19"/>
        </w:rPr>
      </w:pPr>
      <w:r>
        <w:rPr>
          <w:spacing w:val="13"/>
          <w:sz w:val="19"/>
          <w:szCs w:val="19"/>
        </w:rPr>
        <w:t>③督促运维服务提供方对数据问题实施统一管理，形成问题管理表，并定期对问题状态进</w:t>
      </w:r>
      <w:r>
        <w:rPr>
          <w:sz w:val="19"/>
          <w:szCs w:val="19"/>
        </w:rPr>
        <w:t xml:space="preserve"> </w:t>
      </w:r>
      <w:r>
        <w:rPr>
          <w:spacing w:val="-1"/>
          <w:sz w:val="19"/>
          <w:szCs w:val="19"/>
        </w:rPr>
        <w:t>行确认；</w:t>
      </w:r>
    </w:p>
    <w:p w14:paraId="4EB4BA47">
      <w:pPr>
        <w:pStyle w:val="2"/>
        <w:spacing w:before="80" w:line="217" w:lineRule="auto"/>
        <w:ind w:left="759"/>
        <w:rPr>
          <w:sz w:val="19"/>
          <w:szCs w:val="19"/>
        </w:rPr>
      </w:pPr>
      <w:r>
        <w:rPr>
          <w:spacing w:val="8"/>
          <w:sz w:val="19"/>
          <w:szCs w:val="19"/>
        </w:rPr>
        <w:t>④对运维服务提供方响应支持服务中存在的问题及时提出纠正和改进建议；</w:t>
      </w:r>
    </w:p>
    <w:p w14:paraId="57A02012">
      <w:pPr>
        <w:pStyle w:val="2"/>
        <w:spacing w:before="87" w:line="217" w:lineRule="auto"/>
        <w:ind w:left="759"/>
        <w:rPr>
          <w:sz w:val="19"/>
          <w:szCs w:val="19"/>
        </w:rPr>
      </w:pPr>
      <w:r>
        <w:rPr>
          <w:spacing w:val="8"/>
          <w:sz w:val="19"/>
          <w:szCs w:val="19"/>
        </w:rPr>
        <w:t>⑤跟踪并确认运维服务提供方响应支持服务结果和改进措施的执行结果。</w:t>
      </w:r>
    </w:p>
    <w:p w14:paraId="7FEAD49A">
      <w:pPr>
        <w:pStyle w:val="2"/>
        <w:spacing w:before="89" w:line="219" w:lineRule="auto"/>
        <w:ind w:left="759"/>
        <w:rPr>
          <w:sz w:val="19"/>
          <w:szCs w:val="19"/>
        </w:rPr>
      </w:pPr>
      <w:r>
        <w:rPr>
          <w:spacing w:val="11"/>
          <w:sz w:val="19"/>
          <w:szCs w:val="19"/>
        </w:rPr>
        <w:t>(3)优化改善监理要点。主要包括：</w:t>
      </w:r>
    </w:p>
    <w:p w14:paraId="7A39079E">
      <w:pPr>
        <w:pStyle w:val="2"/>
        <w:spacing w:before="82" w:line="262" w:lineRule="auto"/>
        <w:ind w:left="349" w:right="67" w:firstLine="410"/>
        <w:rPr>
          <w:sz w:val="19"/>
          <w:szCs w:val="19"/>
        </w:rPr>
      </w:pPr>
      <w:r>
        <w:rPr>
          <w:spacing w:val="14"/>
          <w:sz w:val="19"/>
          <w:szCs w:val="19"/>
        </w:rPr>
        <w:t>①应协调业主单位和运维服务提供方确定优</w:t>
      </w:r>
      <w:r>
        <w:rPr>
          <w:spacing w:val="13"/>
          <w:sz w:val="19"/>
          <w:szCs w:val="19"/>
        </w:rPr>
        <w:t>化改善服务的原则与方向，对数据资源优化方</w:t>
      </w:r>
      <w:r>
        <w:rPr>
          <w:sz w:val="19"/>
          <w:szCs w:val="19"/>
        </w:rPr>
        <w:t xml:space="preserve"> </w:t>
      </w:r>
      <w:r>
        <w:rPr>
          <w:spacing w:val="6"/>
          <w:sz w:val="19"/>
          <w:szCs w:val="19"/>
        </w:rPr>
        <w:t>案的合理性、可行性进行评审；</w:t>
      </w:r>
    </w:p>
    <w:p w14:paraId="544646A3">
      <w:pPr>
        <w:pStyle w:val="2"/>
        <w:spacing w:before="71" w:line="217" w:lineRule="auto"/>
        <w:ind w:left="759"/>
        <w:rPr>
          <w:sz w:val="19"/>
          <w:szCs w:val="19"/>
        </w:rPr>
      </w:pPr>
      <w:r>
        <w:rPr>
          <w:spacing w:val="8"/>
          <w:sz w:val="19"/>
          <w:szCs w:val="19"/>
        </w:rPr>
        <w:t>②跟踪数据资源优化活动，督促运维服务提供方及时对数据资源问题进行修复；</w:t>
      </w:r>
    </w:p>
    <w:p w14:paraId="7F055C7C">
      <w:pPr>
        <w:pStyle w:val="2"/>
        <w:spacing w:before="98" w:line="256" w:lineRule="auto"/>
        <w:ind w:left="349" w:right="65" w:firstLine="410"/>
        <w:rPr>
          <w:sz w:val="19"/>
          <w:szCs w:val="19"/>
        </w:rPr>
      </w:pPr>
      <w:r>
        <w:rPr>
          <w:spacing w:val="14"/>
          <w:sz w:val="19"/>
          <w:szCs w:val="19"/>
        </w:rPr>
        <w:t>③督促运维服务提供方将例行操作服务、响应支</w:t>
      </w:r>
      <w:r>
        <w:rPr>
          <w:spacing w:val="13"/>
          <w:sz w:val="19"/>
          <w:szCs w:val="19"/>
        </w:rPr>
        <w:t>持服务过程中发现的问题和解决过程进行</w:t>
      </w:r>
      <w:r>
        <w:rPr>
          <w:sz w:val="19"/>
          <w:szCs w:val="19"/>
        </w:rPr>
        <w:t xml:space="preserve"> </w:t>
      </w:r>
      <w:r>
        <w:rPr>
          <w:spacing w:val="9"/>
          <w:sz w:val="19"/>
          <w:szCs w:val="19"/>
        </w:rPr>
        <w:t>分类汇总，形成运行维护常见问题集与知识库</w:t>
      </w:r>
      <w:r>
        <w:rPr>
          <w:spacing w:val="8"/>
          <w:sz w:val="19"/>
          <w:szCs w:val="19"/>
        </w:rPr>
        <w:t>，提高服务能力和服务效率；</w:t>
      </w:r>
    </w:p>
    <w:p w14:paraId="7559A5D3">
      <w:pPr>
        <w:pStyle w:val="2"/>
        <w:spacing w:before="72" w:line="217" w:lineRule="auto"/>
        <w:ind w:left="759"/>
        <w:rPr>
          <w:sz w:val="19"/>
          <w:szCs w:val="19"/>
        </w:rPr>
      </w:pPr>
      <w:r>
        <w:rPr>
          <w:spacing w:val="8"/>
          <w:sz w:val="19"/>
          <w:szCs w:val="19"/>
        </w:rPr>
        <w:t>④跟踪数据资源优化结果，评估优化效果。</w:t>
      </w:r>
    </w:p>
    <w:p w14:paraId="40868A2F">
      <w:pPr>
        <w:pStyle w:val="2"/>
        <w:spacing w:before="87" w:line="218" w:lineRule="auto"/>
        <w:ind w:left="759"/>
        <w:rPr>
          <w:sz w:val="19"/>
          <w:szCs w:val="19"/>
        </w:rPr>
      </w:pPr>
      <w:r>
        <w:rPr>
          <w:spacing w:val="11"/>
          <w:sz w:val="19"/>
          <w:szCs w:val="19"/>
        </w:rPr>
        <w:t>(4)调研评估监理要点。同基础设施类调研评估监理要点类似，实践中可参考应用。</w:t>
      </w:r>
    </w:p>
    <w:p w14:paraId="0612D8C1">
      <w:pPr>
        <w:spacing w:line="218" w:lineRule="auto"/>
        <w:rPr>
          <w:sz w:val="19"/>
          <w:szCs w:val="19"/>
        </w:rPr>
        <w:sectPr>
          <w:pgSz w:w="10320" w:h="13360"/>
          <w:pgMar w:top="400" w:right="1045" w:bottom="400" w:left="510" w:header="0" w:footer="0" w:gutter="0"/>
          <w:cols w:space="720" w:num="1"/>
        </w:sectPr>
      </w:pPr>
    </w:p>
    <w:p w14:paraId="5F3F0B82">
      <w:pPr>
        <w:pStyle w:val="2"/>
        <w:ind w:left="5890"/>
        <w:rPr>
          <w:rFonts w:ascii="Times New Roman" w:hAnsi="Times New Roman" w:eastAsia="Times New Roman" w:cs="Times New Roman"/>
          <w:sz w:val="19"/>
          <w:szCs w:val="19"/>
        </w:rPr>
      </w:pPr>
      <w:r>
        <w:drawing>
          <wp:anchor distT="0" distB="0" distL="0" distR="0" simplePos="0" relativeHeight="251854848" behindDoc="0" locked="0" layoutInCell="0" allowOverlap="1">
            <wp:simplePos x="0" y="0"/>
            <wp:positionH relativeFrom="page">
              <wp:posOffset>6279515</wp:posOffset>
            </wp:positionH>
            <wp:positionV relativeFrom="page">
              <wp:posOffset>241300</wp:posOffset>
            </wp:positionV>
            <wp:extent cx="254000" cy="196850"/>
            <wp:effectExtent l="0" t="0" r="0" b="0"/>
            <wp:wrapNone/>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387"/>
                    <a:stretch>
                      <a:fillRect/>
                    </a:stretch>
                  </pic:blipFill>
                  <pic:spPr>
                    <a:xfrm>
                      <a:off x="0" y="0"/>
                      <a:ext cx="254017" cy="196842"/>
                    </a:xfrm>
                    <a:prstGeom prst="rect">
                      <a:avLst/>
                    </a:prstGeom>
                  </pic:spPr>
                </pic:pic>
              </a:graphicData>
            </a:graphic>
          </wp:anchor>
        </w:drawing>
      </w:r>
      <w:r>
        <w:rPr>
          <w:spacing w:val="3"/>
          <w:sz w:val="19"/>
          <w:szCs w:val="19"/>
        </w:rPr>
        <w:t>第25章</w:t>
      </w:r>
      <w:r>
        <w:rPr>
          <w:spacing w:val="26"/>
          <w:sz w:val="19"/>
          <w:szCs w:val="19"/>
        </w:rPr>
        <w:t xml:space="preserve"> </w:t>
      </w:r>
      <w:r>
        <w:rPr>
          <w:spacing w:val="3"/>
          <w:sz w:val="19"/>
          <w:szCs w:val="19"/>
        </w:rPr>
        <w:t>运行维护监理</w:t>
      </w:r>
      <w:r>
        <w:rPr>
          <w:spacing w:val="38"/>
          <w:sz w:val="19"/>
          <w:szCs w:val="19"/>
        </w:rPr>
        <w:t xml:space="preserve"> </w:t>
      </w:r>
      <w:r>
        <w:rPr>
          <w:position w:val="-8"/>
          <w:sz w:val="19"/>
          <w:szCs w:val="19"/>
        </w:rPr>
        <w:drawing>
          <wp:inline distT="0" distB="0" distL="0" distR="0">
            <wp:extent cx="266700" cy="202565"/>
            <wp:effectExtent l="0" t="0" r="0" b="0"/>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388"/>
                    <a:stretch>
                      <a:fillRect/>
                    </a:stretch>
                  </pic:blipFill>
                  <pic:spPr>
                    <a:xfrm>
                      <a:off x="0" y="0"/>
                      <a:ext cx="266718" cy="203162"/>
                    </a:xfrm>
                    <a:prstGeom prst="rect">
                      <a:avLst/>
                    </a:prstGeom>
                  </pic:spPr>
                </pic:pic>
              </a:graphicData>
            </a:graphic>
          </wp:inline>
        </w:drawing>
      </w:r>
      <w:r>
        <w:rPr>
          <w:spacing w:val="-35"/>
          <w:sz w:val="19"/>
          <w:szCs w:val="19"/>
        </w:rPr>
        <w:t xml:space="preserve"> </w:t>
      </w:r>
      <w:r>
        <w:rPr>
          <w:rFonts w:ascii="Times New Roman" w:hAnsi="Times New Roman" w:eastAsia="Times New Roman" w:cs="Times New Roman"/>
          <w:spacing w:val="3"/>
          <w:position w:val="-5"/>
          <w:sz w:val="19"/>
          <w:szCs w:val="19"/>
        </w:rPr>
        <w:t>603</w:t>
      </w:r>
    </w:p>
    <w:p w14:paraId="7D869011">
      <w:pPr>
        <w:spacing w:line="252" w:lineRule="auto"/>
        <w:rPr>
          <w:rFonts w:ascii="Arial"/>
          <w:sz w:val="21"/>
        </w:rPr>
      </w:pPr>
    </w:p>
    <w:p w14:paraId="5A8E5DC6">
      <w:pPr>
        <w:pStyle w:val="2"/>
        <w:spacing w:before="82" w:line="219" w:lineRule="auto"/>
        <w:ind w:left="2"/>
        <w:rPr>
          <w:sz w:val="25"/>
          <w:szCs w:val="25"/>
        </w:rPr>
      </w:pPr>
      <w:r>
        <w:rPr>
          <w:b/>
          <w:bCs/>
          <w:color w:val="0070E1"/>
          <w:spacing w:val="-16"/>
          <w:sz w:val="25"/>
          <w:szCs w:val="25"/>
        </w:rPr>
        <w:t>25.5.4</w:t>
      </w:r>
      <w:r>
        <w:rPr>
          <w:color w:val="0070E1"/>
          <w:spacing w:val="102"/>
          <w:sz w:val="25"/>
          <w:szCs w:val="25"/>
        </w:rPr>
        <w:t xml:space="preserve"> </w:t>
      </w:r>
      <w:r>
        <w:rPr>
          <w:b/>
          <w:bCs/>
          <w:color w:val="0070E1"/>
          <w:spacing w:val="-16"/>
          <w:sz w:val="25"/>
          <w:szCs w:val="25"/>
        </w:rPr>
        <w:t>信息安全类运行维护服务的监理要点</w:t>
      </w:r>
    </w:p>
    <w:p w14:paraId="31600861">
      <w:pPr>
        <w:pStyle w:val="2"/>
        <w:spacing w:before="194" w:line="219" w:lineRule="auto"/>
        <w:ind w:left="420"/>
        <w:rPr>
          <w:sz w:val="19"/>
          <w:szCs w:val="19"/>
        </w:rPr>
      </w:pPr>
      <w:r>
        <w:rPr>
          <w:spacing w:val="6"/>
          <w:sz w:val="19"/>
          <w:szCs w:val="19"/>
        </w:rPr>
        <w:t>信息安全类运行维护服务的监理要点具体如下：</w:t>
      </w:r>
    </w:p>
    <w:p w14:paraId="5B35B085">
      <w:pPr>
        <w:pStyle w:val="2"/>
        <w:spacing w:before="84" w:line="219" w:lineRule="auto"/>
        <w:ind w:left="420"/>
        <w:rPr>
          <w:sz w:val="19"/>
          <w:szCs w:val="19"/>
        </w:rPr>
      </w:pPr>
      <w:r>
        <w:rPr>
          <w:spacing w:val="10"/>
          <w:sz w:val="19"/>
          <w:szCs w:val="19"/>
        </w:rPr>
        <w:t>(1)例行操作监理要点。主要包括：</w:t>
      </w:r>
    </w:p>
    <w:p w14:paraId="48DB7FCE">
      <w:pPr>
        <w:pStyle w:val="2"/>
        <w:spacing w:before="92" w:line="261" w:lineRule="auto"/>
        <w:ind w:right="803" w:firstLine="420"/>
        <w:rPr>
          <w:sz w:val="19"/>
          <w:szCs w:val="19"/>
        </w:rPr>
      </w:pPr>
      <w:r>
        <w:rPr>
          <w:spacing w:val="13"/>
          <w:sz w:val="19"/>
          <w:szCs w:val="19"/>
        </w:rPr>
        <w:t>①督促运维服务提供方按照基础设施、应用系统和数据等对象安全属性的不同，采用不同</w:t>
      </w:r>
      <w:r>
        <w:rPr>
          <w:spacing w:val="8"/>
          <w:sz w:val="19"/>
          <w:szCs w:val="19"/>
        </w:rPr>
        <w:t xml:space="preserve"> </w:t>
      </w:r>
      <w:r>
        <w:rPr>
          <w:spacing w:val="7"/>
          <w:sz w:val="19"/>
          <w:szCs w:val="19"/>
        </w:rPr>
        <w:t>的运行维护方法，设计详细的安全运行维护方案，并对方案进行审核；</w:t>
      </w:r>
    </w:p>
    <w:p w14:paraId="77FF9D28">
      <w:pPr>
        <w:pStyle w:val="2"/>
        <w:spacing w:before="91" w:line="274" w:lineRule="auto"/>
        <w:ind w:right="802" w:firstLine="420"/>
        <w:rPr>
          <w:sz w:val="19"/>
          <w:szCs w:val="19"/>
        </w:rPr>
      </w:pPr>
      <w:r>
        <w:rPr>
          <w:spacing w:val="13"/>
          <w:sz w:val="19"/>
          <w:szCs w:val="19"/>
        </w:rPr>
        <w:t>②依据安全运行维护相关管理制度和系统安全定级情况，督促服务商对基础设施、应用系</w:t>
      </w:r>
      <w:r>
        <w:rPr>
          <w:spacing w:val="9"/>
          <w:sz w:val="19"/>
          <w:szCs w:val="19"/>
        </w:rPr>
        <w:t xml:space="preserve"> </w:t>
      </w:r>
      <w:r>
        <w:rPr>
          <w:spacing w:val="13"/>
          <w:sz w:val="19"/>
          <w:szCs w:val="19"/>
        </w:rPr>
        <w:t>统和数据定期开展安全巡检、安全加固、脆弱性检查、渗透性测试、安全风险</w:t>
      </w:r>
      <w:r>
        <w:rPr>
          <w:spacing w:val="12"/>
          <w:sz w:val="19"/>
          <w:szCs w:val="19"/>
        </w:rPr>
        <w:t>评估等服务，以</w:t>
      </w:r>
      <w:r>
        <w:rPr>
          <w:sz w:val="19"/>
          <w:szCs w:val="19"/>
        </w:rPr>
        <w:t xml:space="preserve"> </w:t>
      </w:r>
      <w:r>
        <w:rPr>
          <w:spacing w:val="6"/>
          <w:sz w:val="19"/>
          <w:szCs w:val="19"/>
        </w:rPr>
        <w:t>评估其是否能符合业主单位的安全要求。</w:t>
      </w:r>
    </w:p>
    <w:p w14:paraId="063C3BF3">
      <w:pPr>
        <w:pStyle w:val="2"/>
        <w:spacing w:before="97" w:line="219" w:lineRule="auto"/>
        <w:ind w:left="420"/>
        <w:rPr>
          <w:sz w:val="19"/>
          <w:szCs w:val="19"/>
        </w:rPr>
      </w:pPr>
      <w:r>
        <w:rPr>
          <w:spacing w:val="10"/>
          <w:sz w:val="19"/>
          <w:szCs w:val="19"/>
        </w:rPr>
        <w:t>(2)响应支持监理要点。主要包括：</w:t>
      </w:r>
    </w:p>
    <w:p w14:paraId="54BA6E26">
      <w:pPr>
        <w:pStyle w:val="2"/>
        <w:spacing w:before="103" w:line="217" w:lineRule="auto"/>
        <w:ind w:left="420"/>
        <w:rPr>
          <w:sz w:val="19"/>
          <w:szCs w:val="19"/>
        </w:rPr>
      </w:pPr>
      <w:r>
        <w:rPr>
          <w:spacing w:val="9"/>
          <w:sz w:val="19"/>
          <w:szCs w:val="19"/>
        </w:rPr>
        <w:t>①督促运维服务提供方提交安全事件应急响应支持</w:t>
      </w:r>
      <w:r>
        <w:rPr>
          <w:spacing w:val="8"/>
          <w:sz w:val="19"/>
          <w:szCs w:val="19"/>
        </w:rPr>
        <w:t>方案，并对方案进行审核；</w:t>
      </w:r>
    </w:p>
    <w:p w14:paraId="66013B40">
      <w:pPr>
        <w:pStyle w:val="2"/>
        <w:spacing w:before="87" w:line="261" w:lineRule="auto"/>
        <w:ind w:right="725" w:firstLine="420"/>
        <w:rPr>
          <w:sz w:val="19"/>
          <w:szCs w:val="19"/>
        </w:rPr>
      </w:pPr>
      <w:r>
        <w:rPr>
          <w:spacing w:val="10"/>
          <w:sz w:val="19"/>
          <w:szCs w:val="19"/>
        </w:rPr>
        <w:t>②对影响核心应用系统和数据安全的事件进行全程跟踪检查，审核事件处理过程的合规性、</w:t>
      </w:r>
      <w:r>
        <w:rPr>
          <w:spacing w:val="3"/>
          <w:sz w:val="19"/>
          <w:szCs w:val="19"/>
        </w:rPr>
        <w:t xml:space="preserve"> </w:t>
      </w:r>
      <w:r>
        <w:rPr>
          <w:spacing w:val="6"/>
          <w:sz w:val="19"/>
          <w:szCs w:val="19"/>
        </w:rPr>
        <w:t>技术处理手段的正确性，并记录处理过程；</w:t>
      </w:r>
    </w:p>
    <w:p w14:paraId="6597D698">
      <w:pPr>
        <w:pStyle w:val="2"/>
        <w:spacing w:before="82" w:line="262" w:lineRule="auto"/>
        <w:ind w:right="813" w:firstLine="420"/>
        <w:rPr>
          <w:sz w:val="19"/>
          <w:szCs w:val="19"/>
        </w:rPr>
      </w:pPr>
      <w:r>
        <w:rPr>
          <w:spacing w:val="13"/>
          <w:sz w:val="19"/>
          <w:szCs w:val="19"/>
        </w:rPr>
        <w:t>③督促运维服务提供方及时纠正响应支持过程中的问题，如安全功能、安全性能等，</w:t>
      </w:r>
      <w:r>
        <w:rPr>
          <w:spacing w:val="12"/>
          <w:sz w:val="19"/>
          <w:szCs w:val="19"/>
        </w:rPr>
        <w:t>监理</w:t>
      </w:r>
      <w:r>
        <w:rPr>
          <w:sz w:val="19"/>
          <w:szCs w:val="19"/>
        </w:rPr>
        <w:t xml:space="preserve"> </w:t>
      </w:r>
      <w:r>
        <w:rPr>
          <w:spacing w:val="2"/>
          <w:sz w:val="19"/>
          <w:szCs w:val="19"/>
        </w:rPr>
        <w:t>单位对问题进行审核；</w:t>
      </w:r>
    </w:p>
    <w:p w14:paraId="6249BF1F">
      <w:pPr>
        <w:pStyle w:val="2"/>
        <w:spacing w:before="91" w:line="261" w:lineRule="auto"/>
        <w:ind w:right="793" w:firstLine="420"/>
        <w:rPr>
          <w:sz w:val="19"/>
          <w:szCs w:val="19"/>
        </w:rPr>
      </w:pPr>
      <w:r>
        <w:rPr>
          <w:spacing w:val="13"/>
          <w:sz w:val="19"/>
          <w:szCs w:val="19"/>
        </w:rPr>
        <w:t>④督促运维服务提供方在安全事件处理后提交分析报告，对报告中的风险判定、分析、解</w:t>
      </w:r>
      <w:r>
        <w:rPr>
          <w:spacing w:val="18"/>
          <w:sz w:val="19"/>
          <w:szCs w:val="19"/>
        </w:rPr>
        <w:t xml:space="preserve"> </w:t>
      </w:r>
      <w:r>
        <w:rPr>
          <w:spacing w:val="6"/>
          <w:sz w:val="19"/>
          <w:szCs w:val="19"/>
        </w:rPr>
        <w:t>决方案、预防或整改措施等内容进行审核。</w:t>
      </w:r>
    </w:p>
    <w:p w14:paraId="16A51FAC">
      <w:pPr>
        <w:pStyle w:val="2"/>
        <w:spacing w:before="85" w:line="219" w:lineRule="auto"/>
        <w:ind w:left="420"/>
        <w:rPr>
          <w:sz w:val="19"/>
          <w:szCs w:val="19"/>
        </w:rPr>
      </w:pPr>
      <w:r>
        <w:rPr>
          <w:spacing w:val="10"/>
          <w:sz w:val="19"/>
          <w:szCs w:val="19"/>
        </w:rPr>
        <w:t>(3)优化改善监理要点。主要包括：</w:t>
      </w:r>
    </w:p>
    <w:p w14:paraId="7ED2E928">
      <w:pPr>
        <w:pStyle w:val="2"/>
        <w:spacing w:before="91" w:line="274" w:lineRule="auto"/>
        <w:ind w:right="810" w:firstLine="420"/>
        <w:rPr>
          <w:sz w:val="19"/>
          <w:szCs w:val="19"/>
        </w:rPr>
      </w:pPr>
      <w:r>
        <w:rPr>
          <w:spacing w:val="13"/>
          <w:sz w:val="19"/>
          <w:szCs w:val="19"/>
        </w:rPr>
        <w:t>①依据安全运行维护相关管理制度和系统安全定级情况，督促运维服务提供方对安全运行</w:t>
      </w:r>
      <w:r>
        <w:rPr>
          <w:spacing w:val="1"/>
          <w:sz w:val="19"/>
          <w:szCs w:val="19"/>
        </w:rPr>
        <w:t xml:space="preserve"> </w:t>
      </w:r>
      <w:r>
        <w:rPr>
          <w:spacing w:val="13"/>
          <w:sz w:val="19"/>
          <w:szCs w:val="19"/>
        </w:rPr>
        <w:t>维护方案进行调整和适应性改进，包括但不限于安全巡检、安全加固、脆</w:t>
      </w:r>
      <w:r>
        <w:rPr>
          <w:spacing w:val="12"/>
          <w:sz w:val="19"/>
          <w:szCs w:val="19"/>
        </w:rPr>
        <w:t>弱性检查、渗透性测</w:t>
      </w:r>
      <w:r>
        <w:rPr>
          <w:sz w:val="19"/>
          <w:szCs w:val="19"/>
        </w:rPr>
        <w:t xml:space="preserve"> </w:t>
      </w:r>
      <w:r>
        <w:rPr>
          <w:spacing w:val="7"/>
          <w:sz w:val="19"/>
          <w:szCs w:val="19"/>
        </w:rPr>
        <w:t>试、安全风险评估、应急保障等方案和措施；</w:t>
      </w:r>
    </w:p>
    <w:p w14:paraId="0E9FCBF8">
      <w:pPr>
        <w:pStyle w:val="2"/>
        <w:spacing w:before="95" w:line="257" w:lineRule="auto"/>
        <w:ind w:right="810" w:firstLine="420"/>
        <w:rPr>
          <w:sz w:val="19"/>
          <w:szCs w:val="19"/>
        </w:rPr>
      </w:pPr>
      <w:r>
        <w:rPr>
          <w:spacing w:val="13"/>
          <w:sz w:val="19"/>
          <w:szCs w:val="19"/>
        </w:rPr>
        <w:t>②建议运维服务提供方在安全运行维护过程中，优化完善安全运行维护方案，并对优化完</w:t>
      </w:r>
      <w:r>
        <w:rPr>
          <w:spacing w:val="1"/>
          <w:sz w:val="19"/>
          <w:szCs w:val="19"/>
        </w:rPr>
        <w:t xml:space="preserve"> </w:t>
      </w:r>
      <w:r>
        <w:rPr>
          <w:spacing w:val="4"/>
          <w:sz w:val="19"/>
          <w:szCs w:val="19"/>
        </w:rPr>
        <w:t>善后的方案进行评审；</w:t>
      </w:r>
    </w:p>
    <w:p w14:paraId="6AF9B077">
      <w:pPr>
        <w:pStyle w:val="2"/>
        <w:spacing w:before="91" w:line="256" w:lineRule="auto"/>
        <w:ind w:right="805" w:firstLine="420"/>
        <w:rPr>
          <w:sz w:val="19"/>
          <w:szCs w:val="19"/>
        </w:rPr>
      </w:pPr>
      <w:r>
        <w:rPr>
          <w:spacing w:val="13"/>
          <w:sz w:val="19"/>
          <w:szCs w:val="19"/>
        </w:rPr>
        <w:t>③可根据对安全运行维护记录、趋势的分析，结合安全运行的需求，发现安全运行过程的</w:t>
      </w:r>
      <w:r>
        <w:rPr>
          <w:spacing w:val="6"/>
          <w:sz w:val="19"/>
          <w:szCs w:val="19"/>
        </w:rPr>
        <w:t xml:space="preserve"> </w:t>
      </w:r>
      <w:r>
        <w:rPr>
          <w:spacing w:val="8"/>
          <w:sz w:val="19"/>
          <w:szCs w:val="19"/>
        </w:rPr>
        <w:t>脆弱点，督促服务商有针对性地进行改进性作业和预防性改进。</w:t>
      </w:r>
    </w:p>
    <w:p w14:paraId="670CFE90">
      <w:pPr>
        <w:pStyle w:val="2"/>
        <w:spacing w:before="74" w:line="218" w:lineRule="auto"/>
        <w:ind w:left="420"/>
        <w:rPr>
          <w:sz w:val="19"/>
          <w:szCs w:val="19"/>
        </w:rPr>
      </w:pPr>
      <w:r>
        <w:rPr>
          <w:spacing w:val="11"/>
          <w:sz w:val="19"/>
          <w:szCs w:val="19"/>
        </w:rPr>
        <w:t>(4)调研评估监理要点。同基础设施类调研评估监理要点类似</w:t>
      </w:r>
      <w:r>
        <w:rPr>
          <w:spacing w:val="10"/>
          <w:sz w:val="19"/>
          <w:szCs w:val="19"/>
        </w:rPr>
        <w:t>，实践中可参考应用。</w:t>
      </w:r>
    </w:p>
    <w:p w14:paraId="313CAD2F">
      <w:pPr>
        <w:spacing w:line="218" w:lineRule="auto"/>
        <w:rPr>
          <w:sz w:val="19"/>
          <w:szCs w:val="19"/>
        </w:rPr>
        <w:sectPr>
          <w:pgSz w:w="10310" w:h="13270"/>
          <w:pgMar w:top="380" w:right="20" w:bottom="400" w:left="1139" w:header="0" w:footer="0" w:gutter="0"/>
          <w:cols w:space="720" w:num="1"/>
        </w:sectPr>
      </w:pPr>
    </w:p>
    <w:p w14:paraId="3D6D5218">
      <w:pPr>
        <w:spacing w:line="250" w:lineRule="auto"/>
        <w:rPr>
          <w:rFonts w:ascii="Arial"/>
          <w:sz w:val="21"/>
        </w:rPr>
      </w:pPr>
    </w:p>
    <w:p w14:paraId="3DC2382B">
      <w:pPr>
        <w:spacing w:line="250" w:lineRule="auto"/>
        <w:rPr>
          <w:rFonts w:ascii="Arial"/>
          <w:sz w:val="21"/>
        </w:rPr>
      </w:pPr>
    </w:p>
    <w:p w14:paraId="14F65B6B">
      <w:pPr>
        <w:spacing w:line="250" w:lineRule="auto"/>
        <w:rPr>
          <w:rFonts w:ascii="Arial"/>
          <w:sz w:val="21"/>
        </w:rPr>
      </w:pPr>
      <w:r>
        <w:drawing>
          <wp:anchor distT="0" distB="0" distL="0" distR="0" simplePos="0" relativeHeight="251855872" behindDoc="0" locked="0" layoutInCell="1" allowOverlap="1">
            <wp:simplePos x="0" y="0"/>
            <wp:positionH relativeFrom="column">
              <wp:posOffset>6350</wp:posOffset>
            </wp:positionH>
            <wp:positionV relativeFrom="paragraph">
              <wp:posOffset>231775</wp:posOffset>
            </wp:positionV>
            <wp:extent cx="635000" cy="273050"/>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389"/>
                    <a:stretch>
                      <a:fillRect/>
                    </a:stretch>
                  </pic:blipFill>
                  <pic:spPr>
                    <a:xfrm>
                      <a:off x="0" y="0"/>
                      <a:ext cx="635044" cy="273066"/>
                    </a:xfrm>
                    <a:prstGeom prst="rect">
                      <a:avLst/>
                    </a:prstGeom>
                  </pic:spPr>
                </pic:pic>
              </a:graphicData>
            </a:graphic>
          </wp:anchor>
        </w:drawing>
      </w:r>
    </w:p>
    <w:p w14:paraId="7D6CF31E">
      <w:pPr>
        <w:spacing w:before="124" w:line="229" w:lineRule="auto"/>
        <w:ind w:right="24"/>
        <w:jc w:val="right"/>
        <w:rPr>
          <w:sz w:val="38"/>
          <w:szCs w:val="38"/>
        </w:rPr>
      </w:pPr>
      <w:r>
        <w:rPr>
          <w:rFonts w:ascii="黑体" w:hAnsi="黑体" w:eastAsia="黑体" w:cs="黑体"/>
          <w:b/>
          <w:bCs/>
          <w:color w:val="0084E9"/>
          <w:spacing w:val="2"/>
          <w:sz w:val="38"/>
          <w:szCs w:val="38"/>
        </w:rPr>
        <w:t>第三篇练习</w:t>
      </w:r>
      <w:r>
        <w:rPr>
          <w:rFonts w:ascii="黑体" w:hAnsi="黑体" w:eastAsia="黑体" w:cs="黑体"/>
          <w:color w:val="0084E9"/>
          <w:spacing w:val="7"/>
          <w:sz w:val="38"/>
          <w:szCs w:val="38"/>
        </w:rPr>
        <w:t xml:space="preserve">           </w:t>
      </w:r>
      <w:r>
        <w:rPr>
          <w:position w:val="-6"/>
          <w:sz w:val="38"/>
          <w:szCs w:val="38"/>
        </w:rPr>
        <w:drawing>
          <wp:inline distT="0" distB="0" distL="0" distR="0">
            <wp:extent cx="635000" cy="266700"/>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390"/>
                    <a:stretch>
                      <a:fillRect/>
                    </a:stretch>
                  </pic:blipFill>
                  <pic:spPr>
                    <a:xfrm>
                      <a:off x="0" y="0"/>
                      <a:ext cx="635044" cy="266717"/>
                    </a:xfrm>
                    <a:prstGeom prst="rect">
                      <a:avLst/>
                    </a:prstGeom>
                  </pic:spPr>
                </pic:pic>
              </a:graphicData>
            </a:graphic>
          </wp:inline>
        </w:drawing>
      </w:r>
    </w:p>
    <w:p w14:paraId="39DFF6AA">
      <w:pPr>
        <w:spacing w:line="251" w:lineRule="auto"/>
        <w:rPr>
          <w:rFonts w:ascii="Arial"/>
          <w:sz w:val="21"/>
        </w:rPr>
      </w:pPr>
    </w:p>
    <w:p w14:paraId="21D39CCD">
      <w:pPr>
        <w:spacing w:line="251" w:lineRule="auto"/>
        <w:rPr>
          <w:rFonts w:ascii="Arial"/>
          <w:sz w:val="21"/>
        </w:rPr>
      </w:pPr>
    </w:p>
    <w:p w14:paraId="7F565B18">
      <w:pPr>
        <w:spacing w:line="251" w:lineRule="auto"/>
        <w:rPr>
          <w:rFonts w:ascii="Arial"/>
          <w:sz w:val="21"/>
        </w:rPr>
      </w:pPr>
    </w:p>
    <w:p w14:paraId="0A51C8D0">
      <w:pPr>
        <w:pStyle w:val="2"/>
        <w:spacing w:before="65" w:line="222" w:lineRule="auto"/>
        <w:ind w:left="412"/>
        <w:rPr>
          <w:rFonts w:ascii="黑体" w:hAnsi="黑体" w:eastAsia="黑体" w:cs="黑体"/>
          <w:sz w:val="20"/>
          <w:szCs w:val="20"/>
        </w:rPr>
      </w:pPr>
      <w:r>
        <w:rPr>
          <w:b/>
          <w:bCs/>
          <w:color w:val="009EFA"/>
          <w:spacing w:val="-2"/>
          <w:sz w:val="20"/>
          <w:szCs w:val="20"/>
        </w:rPr>
        <w:t>1.</w:t>
      </w:r>
      <w:r>
        <w:rPr>
          <w:rFonts w:ascii="黑体" w:hAnsi="黑体" w:eastAsia="黑体" w:cs="黑体"/>
          <w:b/>
          <w:bCs/>
          <w:color w:val="009EFA"/>
          <w:spacing w:val="-2"/>
          <w:sz w:val="20"/>
          <w:szCs w:val="20"/>
        </w:rPr>
        <w:t>选择题</w:t>
      </w:r>
    </w:p>
    <w:p w14:paraId="2CF0A1E3">
      <w:pPr>
        <w:pStyle w:val="2"/>
        <w:spacing w:before="62" w:line="279" w:lineRule="auto"/>
        <w:ind w:firstLine="410"/>
        <w:rPr>
          <w:sz w:val="20"/>
          <w:szCs w:val="20"/>
        </w:rPr>
      </w:pPr>
      <w:r>
        <w:rPr>
          <w:spacing w:val="6"/>
          <w:sz w:val="20"/>
          <w:szCs w:val="20"/>
        </w:rPr>
        <w:t>(1)有分包单位时，监理单位应组织审核分包单位的工程实施资质。分包单位应提供的资</w:t>
      </w:r>
      <w:r>
        <w:rPr>
          <w:spacing w:val="3"/>
          <w:sz w:val="20"/>
          <w:szCs w:val="20"/>
        </w:rPr>
        <w:t xml:space="preserve"> </w:t>
      </w:r>
      <w:r>
        <w:rPr>
          <w:sz w:val="20"/>
          <w:szCs w:val="20"/>
        </w:rPr>
        <w:t>质材料不包括</w:t>
      </w:r>
      <w:r>
        <w:rPr>
          <w:sz w:val="20"/>
          <w:szCs w:val="20"/>
          <w:u w:val="single" w:color="auto"/>
        </w:rPr>
        <w:t xml:space="preserve">      </w:t>
      </w:r>
      <w:r>
        <w:rPr>
          <w:spacing w:val="-90"/>
          <w:sz w:val="20"/>
          <w:szCs w:val="20"/>
        </w:rPr>
        <w:t xml:space="preserve"> </w:t>
      </w:r>
      <w:r>
        <w:rPr>
          <w:position w:val="-3"/>
          <w:sz w:val="20"/>
          <w:szCs w:val="20"/>
        </w:rPr>
        <w:drawing>
          <wp:inline distT="0" distB="0" distL="0" distR="0">
            <wp:extent cx="63500" cy="62865"/>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391"/>
                    <a:stretch>
                      <a:fillRect/>
                    </a:stretch>
                  </pic:blipFill>
                  <pic:spPr>
                    <a:xfrm>
                      <a:off x="0" y="0"/>
                      <a:ext cx="63504" cy="63484"/>
                    </a:xfrm>
                    <a:prstGeom prst="rect">
                      <a:avLst/>
                    </a:prstGeom>
                  </pic:spPr>
                </pic:pic>
              </a:graphicData>
            </a:graphic>
          </wp:inline>
        </w:drawing>
      </w:r>
    </w:p>
    <w:p w14:paraId="1603AB71">
      <w:pPr>
        <w:pStyle w:val="2"/>
        <w:spacing w:before="26" w:line="219" w:lineRule="auto"/>
        <w:ind w:left="780"/>
        <w:rPr>
          <w:sz w:val="20"/>
          <w:szCs w:val="20"/>
        </w:rPr>
      </w:pPr>
      <w:r>
        <w:rPr>
          <w:rFonts w:ascii="Times New Roman" w:hAnsi="Times New Roman" w:eastAsia="Times New Roman" w:cs="Times New Roman"/>
          <w:spacing w:val="-1"/>
          <w:sz w:val="20"/>
          <w:szCs w:val="20"/>
        </w:rPr>
        <w:t>A.</w:t>
      </w:r>
      <w:r>
        <w:rPr>
          <w:rFonts w:ascii="Times New Roman" w:hAnsi="Times New Roman" w:eastAsia="Times New Roman" w:cs="Times New Roman"/>
          <w:spacing w:val="-23"/>
          <w:sz w:val="20"/>
          <w:szCs w:val="20"/>
        </w:rPr>
        <w:t xml:space="preserve"> </w:t>
      </w:r>
      <w:r>
        <w:rPr>
          <w:spacing w:val="-1"/>
          <w:sz w:val="20"/>
          <w:szCs w:val="20"/>
        </w:rPr>
        <w:t>分包单位的营业执照</w:t>
      </w:r>
    </w:p>
    <w:p w14:paraId="339CC4E5">
      <w:pPr>
        <w:pStyle w:val="2"/>
        <w:spacing w:before="72" w:line="219" w:lineRule="auto"/>
        <w:ind w:left="780"/>
        <w:rPr>
          <w:sz w:val="20"/>
          <w:szCs w:val="20"/>
        </w:rPr>
      </w:pPr>
      <w:r>
        <w:rPr>
          <w:rFonts w:ascii="Times New Roman" w:hAnsi="Times New Roman" w:eastAsia="Times New Roman" w:cs="Times New Roman"/>
          <w:spacing w:val="-1"/>
          <w:sz w:val="20"/>
          <w:szCs w:val="20"/>
        </w:rPr>
        <w:t>B.</w:t>
      </w:r>
      <w:r>
        <w:rPr>
          <w:rFonts w:ascii="Times New Roman" w:hAnsi="Times New Roman" w:eastAsia="Times New Roman" w:cs="Times New Roman"/>
          <w:spacing w:val="-9"/>
          <w:sz w:val="20"/>
          <w:szCs w:val="20"/>
        </w:rPr>
        <w:t xml:space="preserve"> </w:t>
      </w:r>
      <w:r>
        <w:rPr>
          <w:spacing w:val="-1"/>
          <w:sz w:val="20"/>
          <w:szCs w:val="20"/>
        </w:rPr>
        <w:t>分包单位的企业资质等级证书</w:t>
      </w:r>
    </w:p>
    <w:p w14:paraId="5436EE9B">
      <w:pPr>
        <w:pStyle w:val="2"/>
        <w:spacing w:before="72" w:line="219" w:lineRule="auto"/>
        <w:ind w:left="780"/>
        <w:rPr>
          <w:sz w:val="20"/>
          <w:szCs w:val="20"/>
        </w:rPr>
      </w:pPr>
      <w:r>
        <w:rPr>
          <w:rFonts w:ascii="Times New Roman" w:hAnsi="Times New Roman" w:eastAsia="Times New Roman" w:cs="Times New Roman"/>
          <w:sz w:val="20"/>
          <w:szCs w:val="20"/>
        </w:rPr>
        <w:t>C.</w:t>
      </w:r>
      <w:r>
        <w:rPr>
          <w:rFonts w:ascii="Times New Roman" w:hAnsi="Times New Roman" w:eastAsia="Times New Roman" w:cs="Times New Roman"/>
          <w:spacing w:val="-22"/>
          <w:sz w:val="20"/>
          <w:szCs w:val="20"/>
        </w:rPr>
        <w:t xml:space="preserve"> </w:t>
      </w:r>
      <w:r>
        <w:rPr>
          <w:sz w:val="20"/>
          <w:szCs w:val="20"/>
        </w:rPr>
        <w:t>分包单位拟派的技术与管理人员的资格证书</w:t>
      </w:r>
    </w:p>
    <w:p w14:paraId="3C14E2CC">
      <w:pPr>
        <w:pStyle w:val="2"/>
        <w:spacing w:before="84" w:line="261" w:lineRule="auto"/>
        <w:ind w:left="410" w:right="4541" w:firstLine="370"/>
        <w:rPr>
          <w:rFonts w:ascii="Times New Roman" w:hAnsi="Times New Roman" w:eastAsia="Times New Roman" w:cs="Times New Roman"/>
          <w:sz w:val="20"/>
          <w:szCs w:val="20"/>
        </w:rPr>
      </w:pPr>
      <w:r>
        <w:rPr>
          <w:rFonts w:ascii="Times New Roman" w:hAnsi="Times New Roman" w:eastAsia="Times New Roman" w:cs="Times New Roman"/>
          <w:sz w:val="20"/>
          <w:szCs w:val="20"/>
        </w:rPr>
        <w:t>D.</w:t>
      </w:r>
      <w:r>
        <w:rPr>
          <w:rFonts w:ascii="Times New Roman" w:hAnsi="Times New Roman" w:eastAsia="Times New Roman" w:cs="Times New Roman"/>
          <w:spacing w:val="-13"/>
          <w:sz w:val="20"/>
          <w:szCs w:val="20"/>
        </w:rPr>
        <w:t xml:space="preserve"> </w:t>
      </w:r>
      <w:r>
        <w:rPr>
          <w:sz w:val="20"/>
          <w:szCs w:val="20"/>
        </w:rPr>
        <w:t xml:space="preserve">分包单位负责人的职业资格证书 </w:t>
      </w:r>
      <w:r>
        <w:rPr>
          <w:spacing w:val="-16"/>
          <w:sz w:val="20"/>
          <w:szCs w:val="20"/>
        </w:rPr>
        <w:t>参考答案：</w:t>
      </w:r>
      <w:r>
        <w:rPr>
          <w:rFonts w:ascii="Times New Roman" w:hAnsi="Times New Roman" w:eastAsia="Times New Roman" w:cs="Times New Roman"/>
          <w:spacing w:val="-16"/>
          <w:sz w:val="20"/>
          <w:szCs w:val="20"/>
        </w:rPr>
        <w:t>D</w:t>
      </w:r>
    </w:p>
    <w:p w14:paraId="213B4A2B">
      <w:pPr>
        <w:pStyle w:val="2"/>
        <w:spacing w:before="1" w:line="225" w:lineRule="auto"/>
        <w:ind w:left="410"/>
        <w:rPr>
          <w:sz w:val="20"/>
          <w:szCs w:val="20"/>
        </w:rPr>
      </w:pPr>
      <w:r>
        <w:rPr>
          <w:spacing w:val="-4"/>
          <w:position w:val="1"/>
          <w:sz w:val="24"/>
          <w:szCs w:val="24"/>
        </w:rPr>
        <w:t>(2)</w:t>
      </w:r>
      <w:r>
        <w:rPr>
          <w:spacing w:val="-90"/>
          <w:position w:val="1"/>
          <w:sz w:val="24"/>
          <w:szCs w:val="24"/>
        </w:rPr>
        <w:t xml:space="preserve"> </w:t>
      </w:r>
      <w:r>
        <w:rPr>
          <w:spacing w:val="2"/>
          <w:position w:val="1"/>
          <w:sz w:val="24"/>
          <w:szCs w:val="24"/>
          <w:u w:val="single" w:color="auto"/>
        </w:rPr>
        <w:t xml:space="preserve">     </w:t>
      </w:r>
      <w:r>
        <w:rPr>
          <w:spacing w:val="-110"/>
          <w:position w:val="1"/>
          <w:sz w:val="24"/>
          <w:szCs w:val="24"/>
        </w:rPr>
        <w:t xml:space="preserve"> </w:t>
      </w:r>
      <w:r>
        <w:rPr>
          <w:spacing w:val="-4"/>
          <w:sz w:val="20"/>
          <w:szCs w:val="20"/>
        </w:rPr>
        <w:t>不符合《中华人民共和国招标投标法》有关规定。</w:t>
      </w:r>
    </w:p>
    <w:p w14:paraId="76FF1533">
      <w:pPr>
        <w:pStyle w:val="2"/>
        <w:spacing w:before="61" w:line="282" w:lineRule="auto"/>
        <w:ind w:right="36" w:firstLine="780"/>
        <w:rPr>
          <w:sz w:val="20"/>
          <w:szCs w:val="20"/>
        </w:rPr>
      </w:pPr>
      <w:r>
        <w:rPr>
          <w:rFonts w:ascii="Times New Roman" w:hAnsi="Times New Roman" w:eastAsia="Times New Roman" w:cs="Times New Roman"/>
          <w:spacing w:val="3"/>
          <w:sz w:val="20"/>
          <w:szCs w:val="20"/>
        </w:rPr>
        <w:t>A.</w:t>
      </w:r>
      <w:r>
        <w:rPr>
          <w:rFonts w:ascii="Times New Roman" w:hAnsi="Times New Roman" w:eastAsia="Times New Roman" w:cs="Times New Roman"/>
          <w:spacing w:val="-13"/>
          <w:sz w:val="20"/>
          <w:szCs w:val="20"/>
        </w:rPr>
        <w:t xml:space="preserve"> </w:t>
      </w:r>
      <w:r>
        <w:rPr>
          <w:spacing w:val="3"/>
          <w:sz w:val="20"/>
          <w:szCs w:val="20"/>
        </w:rPr>
        <w:t>招标人对已发出的招标文件进行必要的澄清或者修改的，应当</w:t>
      </w:r>
      <w:r>
        <w:rPr>
          <w:spacing w:val="2"/>
          <w:sz w:val="20"/>
          <w:szCs w:val="20"/>
        </w:rPr>
        <w:t>在招标文件要求提交</w:t>
      </w:r>
      <w:r>
        <w:rPr>
          <w:sz w:val="20"/>
          <w:szCs w:val="20"/>
        </w:rPr>
        <w:t xml:space="preserve"> </w:t>
      </w:r>
      <w:r>
        <w:rPr>
          <w:spacing w:val="-1"/>
          <w:sz w:val="20"/>
          <w:szCs w:val="20"/>
        </w:rPr>
        <w:t>投标文件截止时间至少十五日前</w:t>
      </w:r>
    </w:p>
    <w:p w14:paraId="13A151C3">
      <w:pPr>
        <w:pStyle w:val="2"/>
        <w:spacing w:before="28" w:line="283" w:lineRule="auto"/>
        <w:ind w:right="36" w:firstLine="780"/>
        <w:rPr>
          <w:sz w:val="20"/>
          <w:szCs w:val="20"/>
        </w:rPr>
      </w:pPr>
      <w:r>
        <w:rPr>
          <w:rFonts w:ascii="Times New Roman" w:hAnsi="Times New Roman" w:eastAsia="Times New Roman" w:cs="Times New Roman"/>
          <w:spacing w:val="3"/>
          <w:sz w:val="20"/>
          <w:szCs w:val="20"/>
        </w:rPr>
        <w:t>B.</w:t>
      </w:r>
      <w:r>
        <w:rPr>
          <w:rFonts w:ascii="Times New Roman" w:hAnsi="Times New Roman" w:eastAsia="Times New Roman" w:cs="Times New Roman"/>
          <w:spacing w:val="-10"/>
          <w:sz w:val="20"/>
          <w:szCs w:val="20"/>
        </w:rPr>
        <w:t xml:space="preserve"> </w:t>
      </w:r>
      <w:r>
        <w:rPr>
          <w:spacing w:val="3"/>
          <w:sz w:val="20"/>
          <w:szCs w:val="20"/>
        </w:rPr>
        <w:t>招标人应当确定投标人编制投标文件所需要的合理时间；但是，依法必须进行招标</w:t>
      </w:r>
      <w:r>
        <w:rPr>
          <w:sz w:val="20"/>
          <w:szCs w:val="20"/>
        </w:rPr>
        <w:t xml:space="preserve"> 的项目，自招标文件开始发出之日起至投标人提交投标文件截止之日止，最短不得少于二十日</w:t>
      </w:r>
    </w:p>
    <w:p w14:paraId="70EE46C3">
      <w:pPr>
        <w:pStyle w:val="2"/>
        <w:spacing w:before="18" w:line="272" w:lineRule="auto"/>
        <w:ind w:right="29" w:firstLine="780"/>
        <w:rPr>
          <w:sz w:val="20"/>
          <w:szCs w:val="20"/>
        </w:rPr>
      </w:pPr>
      <w:r>
        <w:rPr>
          <w:rFonts w:ascii="Times New Roman" w:hAnsi="Times New Roman" w:eastAsia="Times New Roman" w:cs="Times New Roman"/>
          <w:spacing w:val="3"/>
          <w:sz w:val="20"/>
          <w:szCs w:val="20"/>
        </w:rPr>
        <w:t>C.</w:t>
      </w:r>
      <w:r>
        <w:rPr>
          <w:rFonts w:ascii="Times New Roman" w:hAnsi="Times New Roman" w:eastAsia="Times New Roman" w:cs="Times New Roman"/>
          <w:spacing w:val="-3"/>
          <w:sz w:val="20"/>
          <w:szCs w:val="20"/>
        </w:rPr>
        <w:t xml:space="preserve"> </w:t>
      </w:r>
      <w:r>
        <w:rPr>
          <w:spacing w:val="3"/>
          <w:sz w:val="20"/>
          <w:szCs w:val="20"/>
        </w:rPr>
        <w:t>招标人和中标人应当自中标通知书发出之日起五十日内，按照招标文件和中标人的</w:t>
      </w:r>
      <w:r>
        <w:rPr>
          <w:sz w:val="20"/>
          <w:szCs w:val="20"/>
        </w:rPr>
        <w:t xml:space="preserve"> </w:t>
      </w:r>
      <w:r>
        <w:rPr>
          <w:spacing w:val="-1"/>
          <w:sz w:val="20"/>
          <w:szCs w:val="20"/>
        </w:rPr>
        <w:t>投标文件订立书面合同</w:t>
      </w:r>
    </w:p>
    <w:p w14:paraId="2D0209CA">
      <w:pPr>
        <w:pStyle w:val="2"/>
        <w:spacing w:before="40" w:line="219" w:lineRule="auto"/>
        <w:ind w:left="780"/>
        <w:rPr>
          <w:sz w:val="20"/>
          <w:szCs w:val="20"/>
        </w:rPr>
      </w:pPr>
      <w:r>
        <w:rPr>
          <w:rFonts w:ascii="Times New Roman" w:hAnsi="Times New Roman" w:eastAsia="Times New Roman" w:cs="Times New Roman"/>
          <w:spacing w:val="2"/>
          <w:sz w:val="20"/>
          <w:szCs w:val="20"/>
        </w:rPr>
        <w:t xml:space="preserve">D. </w:t>
      </w:r>
      <w:r>
        <w:rPr>
          <w:spacing w:val="2"/>
          <w:sz w:val="20"/>
          <w:szCs w:val="20"/>
        </w:rPr>
        <w:t>依法必须进行招标的项目，招标人应当自确定中标人之日起十五日内，向有关行政</w:t>
      </w:r>
    </w:p>
    <w:p w14:paraId="503DBBE2">
      <w:pPr>
        <w:pStyle w:val="2"/>
        <w:spacing w:before="63" w:line="283" w:lineRule="auto"/>
        <w:ind w:left="410" w:right="4963" w:hanging="410"/>
        <w:rPr>
          <w:rFonts w:ascii="Times New Roman" w:hAnsi="Times New Roman" w:eastAsia="Times New Roman" w:cs="Times New Roman"/>
          <w:sz w:val="20"/>
          <w:szCs w:val="20"/>
        </w:rPr>
      </w:pPr>
      <w:r>
        <w:rPr>
          <w:spacing w:val="-1"/>
          <w:sz w:val="20"/>
          <w:szCs w:val="20"/>
        </w:rPr>
        <w:t>监督部门提交招标投标情况的书面报告</w:t>
      </w:r>
      <w:r>
        <w:rPr>
          <w:spacing w:val="7"/>
          <w:sz w:val="20"/>
          <w:szCs w:val="20"/>
        </w:rPr>
        <w:t xml:space="preserve"> </w:t>
      </w:r>
      <w:r>
        <w:rPr>
          <w:spacing w:val="-18"/>
          <w:sz w:val="20"/>
          <w:szCs w:val="20"/>
        </w:rPr>
        <w:t>参考答案：</w:t>
      </w:r>
      <w:r>
        <w:rPr>
          <w:rFonts w:ascii="Times New Roman" w:hAnsi="Times New Roman" w:eastAsia="Times New Roman" w:cs="Times New Roman"/>
          <w:spacing w:val="-18"/>
          <w:sz w:val="20"/>
          <w:szCs w:val="20"/>
        </w:rPr>
        <w:t>C</w:t>
      </w:r>
    </w:p>
    <w:p w14:paraId="501DAD9C">
      <w:pPr>
        <w:pStyle w:val="2"/>
        <w:spacing w:before="16" w:line="222" w:lineRule="auto"/>
        <w:ind w:left="410"/>
        <w:rPr>
          <w:sz w:val="19"/>
          <w:szCs w:val="19"/>
        </w:rPr>
      </w:pPr>
      <w:r>
        <w:rPr>
          <w:spacing w:val="12"/>
          <w:sz w:val="19"/>
          <w:szCs w:val="19"/>
        </w:rPr>
        <w:t>(3)通用布缆系统工程设计阶段对设计需求说明书的审核内容不包括</w:t>
      </w:r>
      <w:r>
        <w:rPr>
          <w:spacing w:val="5"/>
          <w:sz w:val="19"/>
          <w:szCs w:val="19"/>
          <w:u w:val="single" w:color="auto"/>
        </w:rPr>
        <w:t xml:space="preserve">      </w:t>
      </w:r>
      <w:r>
        <w:rPr>
          <w:spacing w:val="-83"/>
          <w:sz w:val="19"/>
          <w:szCs w:val="19"/>
        </w:rPr>
        <w:t xml:space="preserve"> </w:t>
      </w:r>
      <w:r>
        <w:rPr>
          <w:position w:val="-4"/>
          <w:sz w:val="19"/>
          <w:szCs w:val="19"/>
        </w:rPr>
        <w:drawing>
          <wp:inline distT="0" distB="0" distL="0" distR="0">
            <wp:extent cx="63500" cy="62865"/>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392"/>
                    <a:stretch>
                      <a:fillRect/>
                    </a:stretch>
                  </pic:blipFill>
                  <pic:spPr>
                    <a:xfrm>
                      <a:off x="0" y="0"/>
                      <a:ext cx="63504" cy="63484"/>
                    </a:xfrm>
                    <a:prstGeom prst="rect">
                      <a:avLst/>
                    </a:prstGeom>
                  </pic:spPr>
                </pic:pic>
              </a:graphicData>
            </a:graphic>
          </wp:inline>
        </w:drawing>
      </w:r>
    </w:p>
    <w:p w14:paraId="6867B8D7">
      <w:pPr>
        <w:pStyle w:val="2"/>
        <w:spacing w:before="83" w:line="219" w:lineRule="auto"/>
        <w:ind w:left="780"/>
        <w:rPr>
          <w:sz w:val="20"/>
          <w:szCs w:val="20"/>
        </w:rPr>
      </w:pPr>
      <w:r>
        <w:rPr>
          <w:rFonts w:ascii="Times New Roman" w:hAnsi="Times New Roman" w:eastAsia="Times New Roman" w:cs="Times New Roman"/>
          <w:spacing w:val="1"/>
          <w:sz w:val="20"/>
          <w:szCs w:val="20"/>
        </w:rPr>
        <w:t>A.</w:t>
      </w:r>
      <w:r>
        <w:rPr>
          <w:rFonts w:ascii="Times New Roman" w:hAnsi="Times New Roman" w:eastAsia="Times New Roman" w:cs="Times New Roman"/>
          <w:spacing w:val="-23"/>
          <w:sz w:val="20"/>
          <w:szCs w:val="20"/>
        </w:rPr>
        <w:t xml:space="preserve"> </w:t>
      </w:r>
      <w:r>
        <w:rPr>
          <w:spacing w:val="1"/>
          <w:sz w:val="20"/>
          <w:szCs w:val="20"/>
        </w:rPr>
        <w:t xml:space="preserve">设计图纸                   </w:t>
      </w:r>
      <w:r>
        <w:rPr>
          <w:sz w:val="20"/>
          <w:szCs w:val="20"/>
        </w:rPr>
        <w:t xml:space="preserve">         </w:t>
      </w:r>
      <w:r>
        <w:rPr>
          <w:rFonts w:ascii="Times New Roman" w:hAnsi="Times New Roman" w:eastAsia="Times New Roman" w:cs="Times New Roman"/>
          <w:sz w:val="20"/>
          <w:szCs w:val="20"/>
        </w:rPr>
        <w:t xml:space="preserve">B. </w:t>
      </w:r>
      <w:r>
        <w:rPr>
          <w:sz w:val="20"/>
          <w:szCs w:val="20"/>
        </w:rPr>
        <w:t>线缆的要求</w:t>
      </w:r>
    </w:p>
    <w:p w14:paraId="6BD3758D">
      <w:pPr>
        <w:pStyle w:val="2"/>
        <w:spacing w:before="71" w:line="219" w:lineRule="auto"/>
        <w:ind w:left="780"/>
        <w:rPr>
          <w:sz w:val="20"/>
          <w:szCs w:val="20"/>
        </w:rPr>
      </w:pPr>
      <w:r>
        <w:rPr>
          <w:rFonts w:ascii="Times New Roman" w:hAnsi="Times New Roman" w:eastAsia="Times New Roman" w:cs="Times New Roman"/>
          <w:spacing w:val="1"/>
          <w:sz w:val="20"/>
          <w:szCs w:val="20"/>
        </w:rPr>
        <w:t xml:space="preserve">C. </w:t>
      </w:r>
      <w:r>
        <w:rPr>
          <w:spacing w:val="1"/>
          <w:sz w:val="20"/>
          <w:szCs w:val="20"/>
        </w:rPr>
        <w:t xml:space="preserve">配线间的布局及位置                  </w:t>
      </w:r>
      <w:r>
        <w:rPr>
          <w:rFonts w:ascii="Times New Roman" w:hAnsi="Times New Roman" w:eastAsia="Times New Roman" w:cs="Times New Roman"/>
          <w:spacing w:val="1"/>
          <w:sz w:val="20"/>
          <w:szCs w:val="20"/>
        </w:rPr>
        <w:t>D.</w:t>
      </w:r>
      <w:r>
        <w:rPr>
          <w:rFonts w:ascii="Times New Roman" w:hAnsi="Times New Roman" w:eastAsia="Times New Roman" w:cs="Times New Roman"/>
          <w:spacing w:val="-21"/>
          <w:sz w:val="20"/>
          <w:szCs w:val="20"/>
        </w:rPr>
        <w:t xml:space="preserve"> </w:t>
      </w:r>
      <w:r>
        <w:rPr>
          <w:spacing w:val="1"/>
          <w:sz w:val="20"/>
          <w:szCs w:val="20"/>
        </w:rPr>
        <w:t>通用布</w:t>
      </w:r>
      <w:r>
        <w:rPr>
          <w:sz w:val="20"/>
          <w:szCs w:val="20"/>
        </w:rPr>
        <w:t>缆系统结构</w:t>
      </w:r>
    </w:p>
    <w:p w14:paraId="7092824D">
      <w:pPr>
        <w:pStyle w:val="2"/>
        <w:spacing w:before="75" w:line="219" w:lineRule="auto"/>
        <w:ind w:left="410"/>
        <w:rPr>
          <w:rFonts w:ascii="Times New Roman" w:hAnsi="Times New Roman" w:eastAsia="Times New Roman" w:cs="Times New Roman"/>
          <w:sz w:val="20"/>
          <w:szCs w:val="20"/>
        </w:rPr>
      </w:pPr>
      <w:r>
        <w:rPr>
          <w:spacing w:val="-16"/>
          <w:sz w:val="20"/>
          <w:szCs w:val="20"/>
        </w:rPr>
        <w:t>参考答案：</w:t>
      </w:r>
      <w:r>
        <w:rPr>
          <w:rFonts w:ascii="Times New Roman" w:hAnsi="Times New Roman" w:eastAsia="Times New Roman" w:cs="Times New Roman"/>
          <w:spacing w:val="-16"/>
          <w:sz w:val="20"/>
          <w:szCs w:val="20"/>
        </w:rPr>
        <w:t>A</w:t>
      </w:r>
    </w:p>
    <w:p w14:paraId="4C9A27ED">
      <w:pPr>
        <w:pStyle w:val="2"/>
        <w:spacing w:before="75" w:line="213" w:lineRule="auto"/>
        <w:ind w:left="410"/>
        <w:rPr>
          <w:sz w:val="20"/>
          <w:szCs w:val="20"/>
        </w:rPr>
      </w:pPr>
      <w:r>
        <w:rPr>
          <w:spacing w:val="1"/>
          <w:sz w:val="20"/>
          <w:szCs w:val="20"/>
        </w:rPr>
        <w:t>(4)通用布缆系统工程不包括</w:t>
      </w:r>
      <w:r>
        <w:rPr>
          <w:spacing w:val="1"/>
          <w:sz w:val="20"/>
          <w:szCs w:val="20"/>
          <w:u w:val="single" w:color="auto"/>
        </w:rPr>
        <w:t xml:space="preserve">      </w:t>
      </w:r>
      <w:r>
        <w:rPr>
          <w:spacing w:val="-87"/>
          <w:sz w:val="20"/>
          <w:szCs w:val="20"/>
        </w:rPr>
        <w:t xml:space="preserve"> </w:t>
      </w:r>
      <w:r>
        <w:rPr>
          <w:spacing w:val="1"/>
          <w:sz w:val="20"/>
          <w:szCs w:val="20"/>
        </w:rPr>
        <w:t>_。</w:t>
      </w:r>
    </w:p>
    <w:p w14:paraId="66045946">
      <w:pPr>
        <w:pStyle w:val="2"/>
        <w:spacing w:before="95" w:line="219" w:lineRule="auto"/>
        <w:ind w:left="780"/>
        <w:rPr>
          <w:sz w:val="20"/>
          <w:szCs w:val="20"/>
        </w:rPr>
      </w:pPr>
      <w:r>
        <w:rPr>
          <w:rFonts w:ascii="Times New Roman" w:hAnsi="Times New Roman" w:eastAsia="Times New Roman" w:cs="Times New Roman"/>
          <w:spacing w:val="1"/>
          <w:sz w:val="20"/>
          <w:szCs w:val="20"/>
        </w:rPr>
        <w:t>A.</w:t>
      </w:r>
      <w:r>
        <w:rPr>
          <w:rFonts w:ascii="Times New Roman" w:hAnsi="Times New Roman" w:eastAsia="Times New Roman" w:cs="Times New Roman"/>
          <w:spacing w:val="-13"/>
          <w:sz w:val="20"/>
          <w:szCs w:val="20"/>
        </w:rPr>
        <w:t xml:space="preserve"> </w:t>
      </w:r>
      <w:r>
        <w:rPr>
          <w:spacing w:val="1"/>
          <w:sz w:val="20"/>
          <w:szCs w:val="20"/>
        </w:rPr>
        <w:t xml:space="preserve">机柜、机架的安装和检查              </w:t>
      </w:r>
      <w:r>
        <w:rPr>
          <w:rFonts w:ascii="Times New Roman" w:hAnsi="Times New Roman" w:eastAsia="Times New Roman" w:cs="Times New Roman"/>
          <w:spacing w:val="1"/>
          <w:sz w:val="20"/>
          <w:szCs w:val="20"/>
        </w:rPr>
        <w:t xml:space="preserve">B. </w:t>
      </w:r>
      <w:r>
        <w:rPr>
          <w:spacing w:val="1"/>
          <w:sz w:val="20"/>
          <w:szCs w:val="20"/>
        </w:rPr>
        <w:t>网络地址、路由规划和子网</w:t>
      </w:r>
      <w:r>
        <w:rPr>
          <w:sz w:val="20"/>
          <w:szCs w:val="20"/>
        </w:rPr>
        <w:t>划分</w:t>
      </w:r>
    </w:p>
    <w:p w14:paraId="23CD07C6">
      <w:pPr>
        <w:pStyle w:val="2"/>
        <w:spacing w:before="64" w:line="219" w:lineRule="auto"/>
        <w:ind w:left="780"/>
        <w:rPr>
          <w:sz w:val="20"/>
          <w:szCs w:val="20"/>
        </w:rPr>
      </w:pPr>
      <w:r>
        <w:rPr>
          <w:rFonts w:ascii="Times New Roman" w:hAnsi="Times New Roman" w:eastAsia="Times New Roman" w:cs="Times New Roman"/>
          <w:spacing w:val="2"/>
          <w:sz w:val="20"/>
          <w:szCs w:val="20"/>
        </w:rPr>
        <w:t>C.</w:t>
      </w:r>
      <w:r>
        <w:rPr>
          <w:spacing w:val="2"/>
          <w:sz w:val="20"/>
          <w:szCs w:val="20"/>
        </w:rPr>
        <w:t xml:space="preserve">连接硬件的安装和检查              </w:t>
      </w:r>
      <w:r>
        <w:rPr>
          <w:spacing w:val="1"/>
          <w:sz w:val="20"/>
          <w:szCs w:val="20"/>
        </w:rPr>
        <w:t xml:space="preserve">  </w:t>
      </w:r>
      <w:r>
        <w:rPr>
          <w:rFonts w:ascii="Times New Roman" w:hAnsi="Times New Roman" w:eastAsia="Times New Roman" w:cs="Times New Roman"/>
          <w:spacing w:val="1"/>
          <w:sz w:val="20"/>
          <w:szCs w:val="20"/>
        </w:rPr>
        <w:t>D.</w:t>
      </w:r>
      <w:r>
        <w:rPr>
          <w:rFonts w:ascii="Times New Roman" w:hAnsi="Times New Roman" w:eastAsia="Times New Roman" w:cs="Times New Roman"/>
          <w:spacing w:val="-11"/>
          <w:sz w:val="20"/>
          <w:szCs w:val="20"/>
        </w:rPr>
        <w:t xml:space="preserve"> </w:t>
      </w:r>
      <w:r>
        <w:rPr>
          <w:spacing w:val="1"/>
          <w:sz w:val="20"/>
          <w:szCs w:val="20"/>
        </w:rPr>
        <w:t>线缆敷设和检查</w:t>
      </w:r>
    </w:p>
    <w:p w14:paraId="106B805D">
      <w:pPr>
        <w:pStyle w:val="2"/>
        <w:spacing w:before="63" w:line="219" w:lineRule="auto"/>
        <w:ind w:left="410"/>
        <w:rPr>
          <w:rFonts w:ascii="Times New Roman" w:hAnsi="Times New Roman" w:eastAsia="Times New Roman" w:cs="Times New Roman"/>
          <w:sz w:val="20"/>
          <w:szCs w:val="20"/>
        </w:rPr>
      </w:pPr>
      <w:r>
        <w:rPr>
          <w:spacing w:val="-14"/>
          <w:sz w:val="20"/>
          <w:szCs w:val="20"/>
        </w:rPr>
        <w:t>参考答案：</w:t>
      </w:r>
      <w:r>
        <w:rPr>
          <w:rFonts w:ascii="Times New Roman" w:hAnsi="Times New Roman" w:eastAsia="Times New Roman" w:cs="Times New Roman"/>
          <w:spacing w:val="-14"/>
          <w:sz w:val="20"/>
          <w:szCs w:val="20"/>
        </w:rPr>
        <w:t>B</w:t>
      </w:r>
    </w:p>
    <w:p w14:paraId="6BA3BD2A">
      <w:pPr>
        <w:pStyle w:val="2"/>
        <w:spacing w:before="73" w:line="219" w:lineRule="auto"/>
        <w:ind w:left="410"/>
        <w:rPr>
          <w:rFonts w:ascii="Times New Roman" w:hAnsi="Times New Roman" w:eastAsia="Times New Roman" w:cs="Times New Roman"/>
          <w:sz w:val="9"/>
          <w:szCs w:val="9"/>
        </w:rPr>
      </w:pPr>
      <w:r>
        <w:rPr>
          <w:spacing w:val="-1"/>
          <w:sz w:val="20"/>
          <w:szCs w:val="20"/>
        </w:rPr>
        <w:t>(5)关于信息安全关键技术要求的描述，不正确的是：</w:t>
      </w:r>
      <w:r>
        <w:rPr>
          <w:spacing w:val="-1"/>
          <w:sz w:val="20"/>
          <w:szCs w:val="20"/>
          <w:u w:val="single" w:color="auto"/>
        </w:rPr>
        <w:t xml:space="preserve">      </w:t>
      </w:r>
      <w:r>
        <w:rPr>
          <w:spacing w:val="-87"/>
          <w:sz w:val="20"/>
          <w:szCs w:val="20"/>
        </w:rPr>
        <w:t xml:space="preserve"> </w:t>
      </w:r>
      <w:r>
        <w:rPr>
          <w:rFonts w:ascii="Times New Roman" w:hAnsi="Times New Roman" w:eastAsia="Times New Roman" w:cs="Times New Roman"/>
          <w:spacing w:val="-1"/>
          <w:sz w:val="9"/>
          <w:szCs w:val="9"/>
        </w:rPr>
        <w:t>_o</w:t>
      </w:r>
    </w:p>
    <w:p w14:paraId="3FA4EFBE">
      <w:pPr>
        <w:pStyle w:val="2"/>
        <w:spacing w:before="71" w:line="219" w:lineRule="auto"/>
        <w:ind w:left="780"/>
        <w:rPr>
          <w:sz w:val="20"/>
          <w:szCs w:val="20"/>
        </w:rPr>
      </w:pPr>
      <w:r>
        <w:rPr>
          <w:rFonts w:ascii="Times New Roman" w:hAnsi="Times New Roman" w:eastAsia="Times New Roman" w:cs="Times New Roman"/>
          <w:spacing w:val="-1"/>
          <w:sz w:val="20"/>
          <w:szCs w:val="20"/>
        </w:rPr>
        <w:t xml:space="preserve">A. </w:t>
      </w:r>
      <w:r>
        <w:rPr>
          <w:spacing w:val="-1"/>
          <w:sz w:val="20"/>
          <w:szCs w:val="20"/>
        </w:rPr>
        <w:t>等级保护第三级系统，机房应设置监控报警系统</w:t>
      </w:r>
    </w:p>
    <w:p w14:paraId="6F16991C">
      <w:pPr>
        <w:pStyle w:val="2"/>
        <w:spacing w:before="64" w:line="219" w:lineRule="auto"/>
        <w:ind w:left="780"/>
        <w:rPr>
          <w:sz w:val="20"/>
          <w:szCs w:val="20"/>
        </w:rPr>
      </w:pPr>
      <w:r>
        <w:rPr>
          <w:rFonts w:ascii="Times New Roman" w:hAnsi="Times New Roman" w:eastAsia="Times New Roman" w:cs="Times New Roman"/>
          <w:spacing w:val="-1"/>
          <w:sz w:val="20"/>
          <w:szCs w:val="20"/>
        </w:rPr>
        <w:t xml:space="preserve">B. </w:t>
      </w:r>
      <w:r>
        <w:rPr>
          <w:spacing w:val="-1"/>
          <w:sz w:val="20"/>
          <w:szCs w:val="20"/>
        </w:rPr>
        <w:t>等级保护第三级系统，所有区域应配置电子门禁系统</w:t>
      </w:r>
    </w:p>
    <w:p w14:paraId="098D5F29">
      <w:pPr>
        <w:pStyle w:val="2"/>
        <w:spacing w:before="82" w:line="219" w:lineRule="auto"/>
        <w:ind w:left="780"/>
        <w:rPr>
          <w:sz w:val="20"/>
          <w:szCs w:val="20"/>
        </w:rPr>
      </w:pPr>
      <w:r>
        <w:rPr>
          <w:rFonts w:ascii="Times New Roman" w:hAnsi="Times New Roman" w:eastAsia="Times New Roman" w:cs="Times New Roman"/>
          <w:spacing w:val="-1"/>
          <w:sz w:val="20"/>
          <w:szCs w:val="20"/>
        </w:rPr>
        <w:t>C.</w:t>
      </w:r>
      <w:r>
        <w:rPr>
          <w:rFonts w:ascii="Times New Roman" w:hAnsi="Times New Roman" w:eastAsia="Times New Roman" w:cs="Times New Roman"/>
          <w:spacing w:val="25"/>
          <w:w w:val="101"/>
          <w:sz w:val="20"/>
          <w:szCs w:val="20"/>
        </w:rPr>
        <w:t xml:space="preserve"> </w:t>
      </w:r>
      <w:r>
        <w:rPr>
          <w:spacing w:val="-1"/>
          <w:sz w:val="20"/>
          <w:szCs w:val="20"/>
        </w:rPr>
        <w:t>等级保护第四级系统，应在供配电系统上设置防浪涌保护装置</w:t>
      </w:r>
    </w:p>
    <w:p w14:paraId="6140C847">
      <w:pPr>
        <w:pStyle w:val="2"/>
        <w:spacing w:before="63" w:line="264" w:lineRule="auto"/>
        <w:ind w:left="410" w:right="2715" w:firstLine="37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 </w:t>
      </w:r>
      <w:r>
        <w:rPr>
          <w:sz w:val="20"/>
          <w:szCs w:val="20"/>
        </w:rPr>
        <w:t>等级保护第四级系统，机房应设置火灾自动消防系统</w:t>
      </w:r>
      <w:r>
        <w:rPr>
          <w:spacing w:val="13"/>
          <w:sz w:val="20"/>
          <w:szCs w:val="20"/>
        </w:rPr>
        <w:t xml:space="preserve"> </w:t>
      </w:r>
      <w:r>
        <w:rPr>
          <w:spacing w:val="-16"/>
          <w:sz w:val="20"/>
          <w:szCs w:val="20"/>
        </w:rPr>
        <w:t>参考答案：</w:t>
      </w:r>
      <w:r>
        <w:rPr>
          <w:rFonts w:ascii="Times New Roman" w:hAnsi="Times New Roman" w:eastAsia="Times New Roman" w:cs="Times New Roman"/>
          <w:spacing w:val="-16"/>
          <w:sz w:val="20"/>
          <w:szCs w:val="20"/>
        </w:rPr>
        <w:t>B</w:t>
      </w:r>
    </w:p>
    <w:p w14:paraId="57A0F633">
      <w:pPr>
        <w:spacing w:line="264" w:lineRule="auto"/>
        <w:rPr>
          <w:rFonts w:ascii="Times New Roman" w:hAnsi="Times New Roman" w:eastAsia="Times New Roman" w:cs="Times New Roman"/>
          <w:sz w:val="20"/>
          <w:szCs w:val="20"/>
        </w:rPr>
        <w:sectPr>
          <w:pgSz w:w="10310" w:h="13330"/>
          <w:pgMar w:top="400" w:right="1125" w:bottom="400" w:left="829" w:header="0" w:footer="0" w:gutter="0"/>
          <w:cols w:space="720" w:num="1"/>
        </w:sectPr>
      </w:pPr>
    </w:p>
    <w:p w14:paraId="293E8912">
      <w:pPr>
        <w:pStyle w:val="2"/>
        <w:jc w:val="right"/>
        <w:rPr>
          <w:rFonts w:ascii="Times New Roman" w:hAnsi="Times New Roman" w:eastAsia="Times New Roman" w:cs="Times New Roman"/>
          <w:sz w:val="20"/>
          <w:szCs w:val="20"/>
        </w:rPr>
      </w:pPr>
      <w:r>
        <w:rPr>
          <w:spacing w:val="-13"/>
          <w:sz w:val="20"/>
          <w:szCs w:val="20"/>
        </w:rPr>
        <w:t>第三篇练习</w:t>
      </w:r>
      <w:r>
        <w:rPr>
          <w:spacing w:val="14"/>
          <w:sz w:val="20"/>
          <w:szCs w:val="20"/>
        </w:rPr>
        <w:t xml:space="preserve"> </w:t>
      </w:r>
      <w:r>
        <w:rPr>
          <w:position w:val="-10"/>
          <w:sz w:val="20"/>
          <w:szCs w:val="20"/>
        </w:rPr>
        <w:drawing>
          <wp:inline distT="0" distB="0" distL="0" distR="0">
            <wp:extent cx="317500" cy="247015"/>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393"/>
                    <a:stretch>
                      <a:fillRect/>
                    </a:stretch>
                  </pic:blipFill>
                  <pic:spPr>
                    <a:xfrm>
                      <a:off x="0" y="0"/>
                      <a:ext cx="317541" cy="247622"/>
                    </a:xfrm>
                    <a:prstGeom prst="rect">
                      <a:avLst/>
                    </a:prstGeom>
                  </pic:spPr>
                </pic:pic>
              </a:graphicData>
            </a:graphic>
          </wp:inline>
        </w:drawing>
      </w:r>
      <w:r>
        <w:rPr>
          <w:rFonts w:ascii="Times New Roman" w:hAnsi="Times New Roman" w:eastAsia="Times New Roman" w:cs="Times New Roman"/>
          <w:spacing w:val="-13"/>
          <w:sz w:val="20"/>
          <w:szCs w:val="20"/>
        </w:rPr>
        <w:t>605</w:t>
      </w:r>
    </w:p>
    <w:p w14:paraId="159AE9FD">
      <w:pPr>
        <w:pStyle w:val="2"/>
        <w:spacing w:before="273" w:line="225" w:lineRule="auto"/>
        <w:ind w:left="389"/>
        <w:rPr>
          <w:sz w:val="20"/>
          <w:szCs w:val="20"/>
        </w:rPr>
      </w:pPr>
      <w:r>
        <w:rPr>
          <w:spacing w:val="-4"/>
          <w:position w:val="3"/>
          <w:sz w:val="24"/>
          <w:szCs w:val="24"/>
        </w:rPr>
        <w:t>(6)</w:t>
      </w:r>
      <w:r>
        <w:rPr>
          <w:spacing w:val="-78"/>
          <w:position w:val="3"/>
          <w:sz w:val="24"/>
          <w:szCs w:val="24"/>
        </w:rPr>
        <w:t xml:space="preserve"> </w:t>
      </w:r>
      <w:r>
        <w:rPr>
          <w:spacing w:val="2"/>
          <w:position w:val="3"/>
          <w:sz w:val="24"/>
          <w:szCs w:val="24"/>
          <w:u w:val="single" w:color="auto"/>
        </w:rPr>
        <w:t xml:space="preserve">     </w:t>
      </w:r>
      <w:r>
        <w:rPr>
          <w:spacing w:val="-110"/>
          <w:position w:val="3"/>
          <w:sz w:val="24"/>
          <w:szCs w:val="24"/>
        </w:rPr>
        <w:t xml:space="preserve"> </w:t>
      </w:r>
      <w:r>
        <w:rPr>
          <w:spacing w:val="-4"/>
          <w:sz w:val="20"/>
          <w:szCs w:val="20"/>
        </w:rPr>
        <w:t>不属于电子设备机房供配电系统工程的内容。</w:t>
      </w:r>
    </w:p>
    <w:p w14:paraId="75C9A03B">
      <w:pPr>
        <w:pStyle w:val="2"/>
        <w:spacing w:before="64" w:line="219" w:lineRule="auto"/>
        <w:ind w:left="800"/>
        <w:rPr>
          <w:sz w:val="20"/>
          <w:szCs w:val="20"/>
        </w:rPr>
      </w:pPr>
      <w:r>
        <w:rPr>
          <w:spacing w:val="-3"/>
          <w:sz w:val="20"/>
          <w:szCs w:val="20"/>
        </w:rPr>
        <w:t>A.</w:t>
      </w:r>
      <w:r>
        <w:rPr>
          <w:spacing w:val="-43"/>
          <w:sz w:val="20"/>
          <w:szCs w:val="20"/>
        </w:rPr>
        <w:t xml:space="preserve"> </w:t>
      </w:r>
      <w:r>
        <w:rPr>
          <w:spacing w:val="-3"/>
          <w:sz w:val="20"/>
          <w:szCs w:val="20"/>
        </w:rPr>
        <w:t>电线电缆穿管</w:t>
      </w:r>
      <w:r>
        <w:rPr>
          <w:spacing w:val="2"/>
          <w:sz w:val="20"/>
          <w:szCs w:val="20"/>
        </w:rPr>
        <w:t xml:space="preserve">                        </w:t>
      </w:r>
      <w:r>
        <w:rPr>
          <w:rFonts w:ascii="Times New Roman" w:hAnsi="Times New Roman" w:eastAsia="Times New Roman" w:cs="Times New Roman"/>
          <w:spacing w:val="-3"/>
          <w:sz w:val="20"/>
          <w:szCs w:val="20"/>
        </w:rPr>
        <w:t>B.</w:t>
      </w:r>
      <w:r>
        <w:rPr>
          <w:rFonts w:ascii="Times New Roman" w:hAnsi="Times New Roman" w:eastAsia="Times New Roman" w:cs="Times New Roman"/>
          <w:spacing w:val="-6"/>
          <w:sz w:val="20"/>
          <w:szCs w:val="20"/>
        </w:rPr>
        <w:t xml:space="preserve"> </w:t>
      </w:r>
      <w:r>
        <w:rPr>
          <w:spacing w:val="-3"/>
          <w:sz w:val="20"/>
          <w:szCs w:val="20"/>
        </w:rPr>
        <w:t>风管、管道保温</w:t>
      </w:r>
    </w:p>
    <w:p w14:paraId="4FD796ED">
      <w:pPr>
        <w:pStyle w:val="2"/>
        <w:spacing w:before="82" w:line="219" w:lineRule="auto"/>
        <w:ind w:left="800"/>
        <w:rPr>
          <w:sz w:val="20"/>
          <w:szCs w:val="20"/>
        </w:rPr>
      </w:pPr>
      <w:r>
        <w:rPr>
          <w:rFonts w:ascii="Times New Roman" w:hAnsi="Times New Roman" w:eastAsia="Times New Roman" w:cs="Times New Roman"/>
          <w:spacing w:val="-2"/>
          <w:sz w:val="20"/>
          <w:szCs w:val="20"/>
        </w:rPr>
        <w:t xml:space="preserve">C. </w:t>
      </w:r>
      <w:r>
        <w:rPr>
          <w:spacing w:val="-2"/>
          <w:sz w:val="20"/>
          <w:szCs w:val="20"/>
        </w:rPr>
        <w:t>防雷、接地装置安装</w:t>
      </w:r>
      <w:r>
        <w:rPr>
          <w:spacing w:val="3"/>
          <w:sz w:val="20"/>
          <w:szCs w:val="20"/>
        </w:rPr>
        <w:t xml:space="preserve">                  </w:t>
      </w:r>
      <w:r>
        <w:rPr>
          <w:rFonts w:ascii="Times New Roman" w:hAnsi="Times New Roman" w:eastAsia="Times New Roman" w:cs="Times New Roman"/>
          <w:spacing w:val="-2"/>
          <w:sz w:val="20"/>
          <w:szCs w:val="20"/>
        </w:rPr>
        <w:t xml:space="preserve">D. </w:t>
      </w:r>
      <w:r>
        <w:rPr>
          <w:spacing w:val="-2"/>
          <w:sz w:val="20"/>
          <w:szCs w:val="20"/>
        </w:rPr>
        <w:t>蓄电池安装、测试</w:t>
      </w:r>
    </w:p>
    <w:p w14:paraId="44DCD104">
      <w:pPr>
        <w:pStyle w:val="2"/>
        <w:spacing w:before="72" w:line="219" w:lineRule="auto"/>
        <w:ind w:left="389"/>
        <w:rPr>
          <w:rFonts w:ascii="Times New Roman" w:hAnsi="Times New Roman" w:eastAsia="Times New Roman" w:cs="Times New Roman"/>
          <w:sz w:val="20"/>
          <w:szCs w:val="20"/>
        </w:rPr>
      </w:pPr>
      <w:r>
        <w:rPr>
          <w:spacing w:val="-16"/>
          <w:sz w:val="20"/>
          <w:szCs w:val="20"/>
        </w:rPr>
        <w:t>参考答案：</w:t>
      </w:r>
      <w:r>
        <w:rPr>
          <w:rFonts w:ascii="Times New Roman" w:hAnsi="Times New Roman" w:eastAsia="Times New Roman" w:cs="Times New Roman"/>
          <w:spacing w:val="-16"/>
          <w:sz w:val="20"/>
          <w:szCs w:val="20"/>
        </w:rPr>
        <w:t>B</w:t>
      </w:r>
    </w:p>
    <w:p w14:paraId="543577D7">
      <w:pPr>
        <w:pStyle w:val="2"/>
        <w:spacing w:before="80" w:line="218" w:lineRule="auto"/>
        <w:ind w:left="389"/>
        <w:rPr>
          <w:sz w:val="20"/>
          <w:szCs w:val="20"/>
        </w:rPr>
      </w:pPr>
      <w:r>
        <w:rPr>
          <w:spacing w:val="-21"/>
          <w:w w:val="86"/>
          <w:sz w:val="20"/>
          <w:szCs w:val="20"/>
        </w:rPr>
        <w:t>(7)项目验收报告的必要内容不包括</w:t>
      </w:r>
      <w:r>
        <w:rPr>
          <w:sz w:val="20"/>
          <w:szCs w:val="20"/>
        </w:rPr>
        <w:t xml:space="preserve">               </w:t>
      </w:r>
      <w:r>
        <w:rPr>
          <w:position w:val="-1"/>
          <w:sz w:val="20"/>
          <w:szCs w:val="20"/>
        </w:rPr>
        <w:drawing>
          <wp:inline distT="0" distB="0" distL="0" distR="0">
            <wp:extent cx="50800" cy="44450"/>
            <wp:effectExtent l="0" t="0" r="0" b="0"/>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394"/>
                    <a:stretch>
                      <a:fillRect/>
                    </a:stretch>
                  </pic:blipFill>
                  <pic:spPr>
                    <a:xfrm>
                      <a:off x="0" y="0"/>
                      <a:ext cx="50819" cy="44507"/>
                    </a:xfrm>
                    <a:prstGeom prst="rect">
                      <a:avLst/>
                    </a:prstGeom>
                  </pic:spPr>
                </pic:pic>
              </a:graphicData>
            </a:graphic>
          </wp:inline>
        </w:drawing>
      </w:r>
    </w:p>
    <w:p w14:paraId="63490361">
      <w:pPr>
        <w:pStyle w:val="2"/>
        <w:spacing w:before="76" w:line="219" w:lineRule="auto"/>
        <w:ind w:left="800"/>
        <w:rPr>
          <w:sz w:val="20"/>
          <w:szCs w:val="20"/>
        </w:rPr>
      </w:pPr>
      <w:r>
        <w:rPr>
          <w:spacing w:val="2"/>
          <w:sz w:val="20"/>
          <w:szCs w:val="20"/>
        </w:rPr>
        <w:t>A.系统付款记录</w:t>
      </w:r>
    </w:p>
    <w:p w14:paraId="35EEB4D1">
      <w:pPr>
        <w:pStyle w:val="2"/>
        <w:spacing w:before="82" w:line="219" w:lineRule="auto"/>
        <w:ind w:left="800"/>
        <w:rPr>
          <w:sz w:val="20"/>
          <w:szCs w:val="20"/>
        </w:rPr>
      </w:pPr>
      <w:r>
        <w:rPr>
          <w:rFonts w:ascii="Times New Roman" w:hAnsi="Times New Roman" w:eastAsia="Times New Roman" w:cs="Times New Roman"/>
          <w:sz w:val="20"/>
          <w:szCs w:val="20"/>
        </w:rPr>
        <w:t>B.</w:t>
      </w:r>
      <w:r>
        <w:rPr>
          <w:rFonts w:ascii="Times New Roman" w:hAnsi="Times New Roman" w:eastAsia="Times New Roman" w:cs="Times New Roman"/>
          <w:spacing w:val="-6"/>
          <w:sz w:val="20"/>
          <w:szCs w:val="20"/>
        </w:rPr>
        <w:t xml:space="preserve"> </w:t>
      </w:r>
      <w:r>
        <w:rPr>
          <w:sz w:val="20"/>
          <w:szCs w:val="20"/>
        </w:rPr>
        <w:t>系统验收依据和标准</w:t>
      </w:r>
    </w:p>
    <w:p w14:paraId="05BE18B3">
      <w:pPr>
        <w:pStyle w:val="2"/>
        <w:spacing w:before="74" w:line="219" w:lineRule="auto"/>
        <w:ind w:left="800"/>
        <w:rPr>
          <w:sz w:val="20"/>
          <w:szCs w:val="20"/>
        </w:rPr>
      </w:pPr>
      <w:r>
        <w:rPr>
          <w:rFonts w:ascii="Times New Roman" w:hAnsi="Times New Roman" w:eastAsia="Times New Roman" w:cs="Times New Roman"/>
          <w:spacing w:val="-2"/>
          <w:sz w:val="20"/>
          <w:szCs w:val="20"/>
        </w:rPr>
        <w:t xml:space="preserve">C. </w:t>
      </w:r>
      <w:r>
        <w:rPr>
          <w:spacing w:val="-2"/>
          <w:sz w:val="20"/>
          <w:szCs w:val="20"/>
        </w:rPr>
        <w:t>系统验收内容、验收方法和验收记录</w:t>
      </w:r>
    </w:p>
    <w:p w14:paraId="66DE67C6">
      <w:pPr>
        <w:pStyle w:val="2"/>
        <w:spacing w:before="82" w:line="282" w:lineRule="auto"/>
        <w:ind w:left="389" w:right="5602" w:firstLine="41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D.</w:t>
      </w:r>
      <w:r>
        <w:rPr>
          <w:rFonts w:ascii="Times New Roman" w:hAnsi="Times New Roman" w:eastAsia="Times New Roman" w:cs="Times New Roman"/>
          <w:spacing w:val="-19"/>
          <w:sz w:val="20"/>
          <w:szCs w:val="20"/>
        </w:rPr>
        <w:t xml:space="preserve"> </w:t>
      </w:r>
      <w:r>
        <w:rPr>
          <w:spacing w:val="1"/>
          <w:sz w:val="20"/>
          <w:szCs w:val="20"/>
        </w:rPr>
        <w:t>验收结论和验收组签字</w:t>
      </w:r>
      <w:r>
        <w:rPr>
          <w:sz w:val="20"/>
          <w:szCs w:val="20"/>
        </w:rPr>
        <w:t xml:space="preserve"> </w:t>
      </w:r>
      <w:r>
        <w:rPr>
          <w:spacing w:val="-16"/>
          <w:sz w:val="20"/>
          <w:szCs w:val="20"/>
        </w:rPr>
        <w:t>参考答案：</w:t>
      </w:r>
      <w:r>
        <w:rPr>
          <w:rFonts w:ascii="Times New Roman" w:hAnsi="Times New Roman" w:eastAsia="Times New Roman" w:cs="Times New Roman"/>
          <w:spacing w:val="-16"/>
          <w:sz w:val="20"/>
          <w:szCs w:val="20"/>
        </w:rPr>
        <w:t>A</w:t>
      </w:r>
    </w:p>
    <w:p w14:paraId="6EB5E4F6">
      <w:pPr>
        <w:pStyle w:val="2"/>
        <w:spacing w:before="10" w:line="219" w:lineRule="auto"/>
        <w:ind w:left="389"/>
        <w:rPr>
          <w:rFonts w:ascii="Times New Roman" w:hAnsi="Times New Roman" w:eastAsia="Times New Roman" w:cs="Times New Roman"/>
          <w:sz w:val="20"/>
          <w:szCs w:val="20"/>
        </w:rPr>
      </w:pPr>
      <w:r>
        <w:rPr>
          <w:spacing w:val="-15"/>
          <w:sz w:val="22"/>
          <w:szCs w:val="22"/>
        </w:rPr>
        <w:t>(8)信息安全监理中，规划设计的监理内容</w:t>
      </w:r>
      <w:r>
        <w:rPr>
          <w:spacing w:val="-16"/>
          <w:sz w:val="22"/>
          <w:szCs w:val="22"/>
        </w:rPr>
        <w:t>不包括</w:t>
      </w:r>
      <w:r>
        <w:rPr>
          <w:spacing w:val="-108"/>
          <w:sz w:val="22"/>
          <w:szCs w:val="22"/>
        </w:rPr>
        <w:t xml:space="preserve"> </w:t>
      </w:r>
      <w:r>
        <w:rPr>
          <w:spacing w:val="12"/>
          <w:sz w:val="22"/>
          <w:szCs w:val="22"/>
          <w:u w:val="single" w:color="auto"/>
        </w:rPr>
        <w:t xml:space="preserve">     </w:t>
      </w:r>
      <w:r>
        <w:rPr>
          <w:spacing w:val="-59"/>
          <w:sz w:val="22"/>
          <w:szCs w:val="22"/>
        </w:rPr>
        <w:t xml:space="preserve"> </w:t>
      </w:r>
      <w:r>
        <w:rPr>
          <w:rFonts w:ascii="Times New Roman" w:hAnsi="Times New Roman" w:eastAsia="Times New Roman" w:cs="Times New Roman"/>
          <w:spacing w:val="-16"/>
          <w:sz w:val="20"/>
          <w:szCs w:val="20"/>
        </w:rPr>
        <w:t>o</w:t>
      </w:r>
    </w:p>
    <w:p w14:paraId="04E77A4E">
      <w:pPr>
        <w:pStyle w:val="2"/>
        <w:spacing w:before="56" w:line="218" w:lineRule="auto"/>
        <w:ind w:left="800"/>
        <w:rPr>
          <w:sz w:val="20"/>
          <w:szCs w:val="20"/>
        </w:rPr>
      </w:pPr>
      <w:r>
        <w:rPr>
          <w:rFonts w:ascii="Times New Roman" w:hAnsi="Times New Roman" w:eastAsia="Times New Roman" w:cs="Times New Roman"/>
          <w:spacing w:val="-2"/>
          <w:sz w:val="20"/>
          <w:szCs w:val="20"/>
        </w:rPr>
        <w:t>A.</w:t>
      </w:r>
      <w:r>
        <w:rPr>
          <w:rFonts w:ascii="Times New Roman" w:hAnsi="Times New Roman" w:eastAsia="Times New Roman" w:cs="Times New Roman"/>
          <w:spacing w:val="-10"/>
          <w:sz w:val="20"/>
          <w:szCs w:val="20"/>
        </w:rPr>
        <w:t xml:space="preserve"> </w:t>
      </w:r>
      <w:r>
        <w:rPr>
          <w:spacing w:val="-2"/>
          <w:sz w:val="20"/>
          <w:szCs w:val="20"/>
        </w:rPr>
        <w:t>安全风险评估</w:t>
      </w:r>
    </w:p>
    <w:p w14:paraId="188455EE">
      <w:pPr>
        <w:pStyle w:val="2"/>
        <w:spacing w:before="86" w:line="283" w:lineRule="auto"/>
        <w:ind w:left="800" w:right="5023"/>
        <w:rPr>
          <w:sz w:val="20"/>
          <w:szCs w:val="20"/>
        </w:rPr>
      </w:pPr>
      <w:r>
        <w:rPr>
          <w:rFonts w:ascii="Times New Roman" w:hAnsi="Times New Roman" w:eastAsia="Times New Roman" w:cs="Times New Roman"/>
          <w:spacing w:val="-2"/>
          <w:sz w:val="20"/>
          <w:szCs w:val="20"/>
        </w:rPr>
        <w:t xml:space="preserve">B. </w:t>
      </w:r>
      <w:r>
        <w:rPr>
          <w:spacing w:val="-2"/>
          <w:sz w:val="20"/>
          <w:szCs w:val="20"/>
        </w:rPr>
        <w:t>网络安全等级保护方案的审核</w:t>
      </w:r>
      <w:r>
        <w:rPr>
          <w:spacing w:val="4"/>
          <w:sz w:val="20"/>
          <w:szCs w:val="20"/>
        </w:rPr>
        <w:t xml:space="preserve"> </w:t>
      </w:r>
      <w:r>
        <w:rPr>
          <w:rFonts w:ascii="Times New Roman" w:hAnsi="Times New Roman" w:eastAsia="Times New Roman" w:cs="Times New Roman"/>
          <w:spacing w:val="-1"/>
          <w:sz w:val="20"/>
          <w:szCs w:val="20"/>
        </w:rPr>
        <w:t xml:space="preserve">C. </w:t>
      </w:r>
      <w:r>
        <w:rPr>
          <w:spacing w:val="-1"/>
          <w:sz w:val="20"/>
          <w:szCs w:val="20"/>
        </w:rPr>
        <w:t>商用密码应用建设方案的审核</w:t>
      </w:r>
    </w:p>
    <w:p w14:paraId="01610882">
      <w:pPr>
        <w:pStyle w:val="2"/>
        <w:spacing w:before="18" w:line="272" w:lineRule="auto"/>
        <w:ind w:left="389" w:right="5819" w:firstLine="41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 xml:space="preserve">D. </w:t>
      </w:r>
      <w:r>
        <w:rPr>
          <w:spacing w:val="-2"/>
          <w:sz w:val="20"/>
          <w:szCs w:val="20"/>
        </w:rPr>
        <w:t>体系结构设计的审核</w:t>
      </w:r>
      <w:r>
        <w:rPr>
          <w:sz w:val="20"/>
          <w:szCs w:val="20"/>
        </w:rPr>
        <w:t xml:space="preserve"> </w:t>
      </w:r>
      <w:r>
        <w:rPr>
          <w:spacing w:val="-16"/>
          <w:sz w:val="20"/>
          <w:szCs w:val="20"/>
        </w:rPr>
        <w:t>参考答案：</w:t>
      </w:r>
      <w:r>
        <w:rPr>
          <w:rFonts w:ascii="Times New Roman" w:hAnsi="Times New Roman" w:eastAsia="Times New Roman" w:cs="Times New Roman"/>
          <w:spacing w:val="-16"/>
          <w:sz w:val="20"/>
          <w:szCs w:val="20"/>
        </w:rPr>
        <w:t>D</w:t>
      </w:r>
    </w:p>
    <w:p w14:paraId="121D5851">
      <w:pPr>
        <w:pStyle w:val="2"/>
        <w:spacing w:before="17" w:line="212" w:lineRule="auto"/>
        <w:ind w:left="389"/>
        <w:rPr>
          <w:rFonts w:ascii="Times New Roman" w:hAnsi="Times New Roman" w:eastAsia="Times New Roman" w:cs="Times New Roman"/>
          <w:sz w:val="20"/>
          <w:szCs w:val="20"/>
        </w:rPr>
      </w:pPr>
      <w:r>
        <w:rPr>
          <w:spacing w:val="1"/>
          <w:sz w:val="20"/>
          <w:szCs w:val="20"/>
        </w:rPr>
        <w:t>(9)等级测评的过程依次为</w:t>
      </w:r>
      <w:r>
        <w:rPr>
          <w:spacing w:val="-85"/>
          <w:sz w:val="20"/>
          <w:szCs w:val="20"/>
        </w:rPr>
        <w:t xml:space="preserve"> </w:t>
      </w:r>
      <w:r>
        <w:rPr>
          <w:spacing w:val="1"/>
          <w:sz w:val="20"/>
          <w:szCs w:val="20"/>
          <w:u w:val="single" w:color="auto"/>
        </w:rPr>
        <w:t xml:space="preserve">      </w:t>
      </w:r>
      <w:r>
        <w:rPr>
          <w:rFonts w:ascii="Times New Roman" w:hAnsi="Times New Roman" w:eastAsia="Times New Roman" w:cs="Times New Roman"/>
          <w:spacing w:val="1"/>
          <w:sz w:val="20"/>
          <w:szCs w:val="20"/>
        </w:rPr>
        <w:t>_o</w:t>
      </w:r>
    </w:p>
    <w:p w14:paraId="5EACDD77">
      <w:pPr>
        <w:pStyle w:val="2"/>
        <w:spacing w:before="102" w:line="279" w:lineRule="auto"/>
        <w:ind w:left="800" w:right="3810"/>
        <w:jc w:val="both"/>
        <w:rPr>
          <w:sz w:val="20"/>
          <w:szCs w:val="20"/>
        </w:rPr>
      </w:pPr>
      <w:r>
        <w:rPr>
          <w:rFonts w:ascii="Times New Roman" w:hAnsi="Times New Roman" w:eastAsia="Times New Roman" w:cs="Times New Roman"/>
          <w:spacing w:val="-1"/>
          <w:sz w:val="20"/>
          <w:szCs w:val="20"/>
        </w:rPr>
        <w:t>A.</w:t>
      </w:r>
      <w:r>
        <w:rPr>
          <w:rFonts w:ascii="Times New Roman" w:hAnsi="Times New Roman" w:eastAsia="Times New Roman" w:cs="Times New Roman"/>
          <w:spacing w:val="-4"/>
          <w:sz w:val="20"/>
          <w:szCs w:val="20"/>
        </w:rPr>
        <w:t xml:space="preserve"> </w:t>
      </w:r>
      <w:r>
        <w:rPr>
          <w:spacing w:val="-1"/>
          <w:sz w:val="20"/>
          <w:szCs w:val="20"/>
        </w:rPr>
        <w:t>测评准备、方案编制、现场测评、报告编制</w:t>
      </w:r>
      <w:r>
        <w:rPr>
          <w:sz w:val="20"/>
          <w:szCs w:val="20"/>
        </w:rPr>
        <w:t xml:space="preserve"> </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2"/>
          <w:sz w:val="20"/>
          <w:szCs w:val="20"/>
        </w:rPr>
        <w:t xml:space="preserve"> </w:t>
      </w:r>
      <w:r>
        <w:rPr>
          <w:spacing w:val="-1"/>
          <w:sz w:val="20"/>
          <w:szCs w:val="20"/>
        </w:rPr>
        <w:t>测评准备、方案编制、报告编制、现场测评</w:t>
      </w:r>
      <w:r>
        <w:rPr>
          <w:sz w:val="20"/>
          <w:szCs w:val="20"/>
        </w:rPr>
        <w:t xml:space="preserve"> </w:t>
      </w:r>
      <w:r>
        <w:rPr>
          <w:rFonts w:ascii="Times New Roman" w:hAnsi="Times New Roman" w:eastAsia="Times New Roman" w:cs="Times New Roman"/>
          <w:spacing w:val="-1"/>
          <w:sz w:val="20"/>
          <w:szCs w:val="20"/>
        </w:rPr>
        <w:t xml:space="preserve">C. </w:t>
      </w:r>
      <w:r>
        <w:rPr>
          <w:spacing w:val="-1"/>
          <w:sz w:val="20"/>
          <w:szCs w:val="20"/>
        </w:rPr>
        <w:t>方案编制、测评准备、现场测评、报告编制</w:t>
      </w:r>
      <w:r>
        <w:rPr>
          <w:sz w:val="20"/>
          <w:szCs w:val="20"/>
        </w:rPr>
        <w:t xml:space="preserve"> </w:t>
      </w:r>
      <w:r>
        <w:rPr>
          <w:rFonts w:ascii="Times New Roman" w:hAnsi="Times New Roman" w:eastAsia="Times New Roman" w:cs="Times New Roman"/>
          <w:spacing w:val="-1"/>
          <w:sz w:val="20"/>
          <w:szCs w:val="20"/>
        </w:rPr>
        <w:t xml:space="preserve">D. </w:t>
      </w:r>
      <w:r>
        <w:rPr>
          <w:spacing w:val="-1"/>
          <w:sz w:val="20"/>
          <w:szCs w:val="20"/>
        </w:rPr>
        <w:t>方案编制、测评准备、报告编制、现场测评</w:t>
      </w:r>
    </w:p>
    <w:p w14:paraId="5E6B99F8">
      <w:pPr>
        <w:pStyle w:val="2"/>
        <w:spacing w:before="32" w:line="219" w:lineRule="auto"/>
        <w:ind w:left="389"/>
        <w:rPr>
          <w:rFonts w:ascii="Times New Roman" w:hAnsi="Times New Roman" w:eastAsia="Times New Roman" w:cs="Times New Roman"/>
          <w:sz w:val="20"/>
          <w:szCs w:val="20"/>
        </w:rPr>
      </w:pPr>
      <w:r>
        <w:rPr>
          <w:spacing w:val="-14"/>
          <w:sz w:val="20"/>
          <w:szCs w:val="20"/>
        </w:rPr>
        <w:t>参考答案：</w:t>
      </w:r>
      <w:r>
        <w:rPr>
          <w:rFonts w:ascii="Times New Roman" w:hAnsi="Times New Roman" w:eastAsia="Times New Roman" w:cs="Times New Roman"/>
          <w:spacing w:val="-14"/>
          <w:sz w:val="20"/>
          <w:szCs w:val="20"/>
        </w:rPr>
        <w:t>A</w:t>
      </w:r>
    </w:p>
    <w:p w14:paraId="3E40D7FF">
      <w:pPr>
        <w:pStyle w:val="2"/>
        <w:spacing w:before="73" w:line="219" w:lineRule="auto"/>
        <w:ind w:left="389"/>
        <w:rPr>
          <w:rFonts w:ascii="Times New Roman" w:hAnsi="Times New Roman" w:eastAsia="Times New Roman" w:cs="Times New Roman"/>
          <w:sz w:val="20"/>
          <w:szCs w:val="20"/>
        </w:rPr>
      </w:pPr>
      <w:r>
        <w:rPr>
          <w:spacing w:val="-1"/>
          <w:sz w:val="20"/>
          <w:szCs w:val="20"/>
        </w:rPr>
        <w:t>(10)关于等级保护的描述，不正确的是：</w:t>
      </w:r>
      <w:r>
        <w:rPr>
          <w:spacing w:val="-1"/>
          <w:sz w:val="20"/>
          <w:szCs w:val="20"/>
          <w:u w:val="single" w:color="auto"/>
        </w:rPr>
        <w:t xml:space="preserve">      </w:t>
      </w:r>
      <w:r>
        <w:rPr>
          <w:spacing w:val="-54"/>
          <w:sz w:val="20"/>
          <w:szCs w:val="20"/>
        </w:rPr>
        <w:t xml:space="preserve"> </w:t>
      </w:r>
      <w:r>
        <w:rPr>
          <w:rFonts w:ascii="Times New Roman" w:hAnsi="Times New Roman" w:eastAsia="Times New Roman" w:cs="Times New Roman"/>
          <w:spacing w:val="-1"/>
          <w:sz w:val="20"/>
          <w:szCs w:val="20"/>
        </w:rPr>
        <w:t>0</w:t>
      </w:r>
    </w:p>
    <w:p w14:paraId="2CE02703">
      <w:pPr>
        <w:pStyle w:val="2"/>
        <w:spacing w:before="61" w:line="283" w:lineRule="auto"/>
        <w:ind w:right="332" w:firstLine="899"/>
        <w:rPr>
          <w:sz w:val="20"/>
          <w:szCs w:val="20"/>
        </w:rPr>
      </w:pPr>
      <w:r>
        <w:rPr>
          <w:rFonts w:ascii="Times New Roman" w:hAnsi="Times New Roman" w:eastAsia="Times New Roman" w:cs="Times New Roman"/>
          <w:spacing w:val="5"/>
          <w:sz w:val="20"/>
          <w:szCs w:val="20"/>
        </w:rPr>
        <w:t>A.</w:t>
      </w:r>
      <w:r>
        <w:rPr>
          <w:rFonts w:ascii="Times New Roman" w:hAnsi="Times New Roman" w:eastAsia="Times New Roman" w:cs="Times New Roman"/>
          <w:spacing w:val="-22"/>
          <w:sz w:val="20"/>
          <w:szCs w:val="20"/>
        </w:rPr>
        <w:t xml:space="preserve"> </w:t>
      </w:r>
      <w:r>
        <w:rPr>
          <w:spacing w:val="5"/>
          <w:sz w:val="20"/>
          <w:szCs w:val="20"/>
        </w:rPr>
        <w:t>依据国家网络安全等级保护的基本要求，对存储、处理国家秘密的计算机信息系</w:t>
      </w:r>
      <w:r>
        <w:rPr>
          <w:sz w:val="20"/>
          <w:szCs w:val="20"/>
        </w:rPr>
        <w:t xml:space="preserve"> </w:t>
      </w:r>
      <w:r>
        <w:rPr>
          <w:spacing w:val="-2"/>
          <w:sz w:val="20"/>
          <w:szCs w:val="20"/>
        </w:rPr>
        <w:t>统按照规模实行等级保护</w:t>
      </w:r>
    </w:p>
    <w:p w14:paraId="400DC395">
      <w:pPr>
        <w:pStyle w:val="2"/>
        <w:spacing w:before="18" w:line="219" w:lineRule="auto"/>
        <w:ind w:left="899"/>
        <w:rPr>
          <w:sz w:val="20"/>
          <w:szCs w:val="20"/>
        </w:rPr>
      </w:pPr>
      <w:r>
        <w:rPr>
          <w:rFonts w:ascii="Times New Roman" w:hAnsi="Times New Roman" w:eastAsia="Times New Roman" w:cs="Times New Roman"/>
          <w:sz w:val="20"/>
          <w:szCs w:val="20"/>
        </w:rPr>
        <w:t xml:space="preserve">B. </w:t>
      </w:r>
      <w:r>
        <w:rPr>
          <w:sz w:val="20"/>
          <w:szCs w:val="20"/>
        </w:rPr>
        <w:t>等级保护应该遵循自主保护原则、重点保护原则、同步建设原则、动态调整原则</w:t>
      </w:r>
    </w:p>
    <w:p w14:paraId="6E46EA6C">
      <w:pPr>
        <w:pStyle w:val="2"/>
        <w:spacing w:before="62" w:line="219" w:lineRule="auto"/>
        <w:ind w:left="899"/>
        <w:rPr>
          <w:sz w:val="20"/>
          <w:szCs w:val="20"/>
        </w:rPr>
      </w:pPr>
      <w:r>
        <w:rPr>
          <w:rFonts w:ascii="Times New Roman" w:hAnsi="Times New Roman" w:eastAsia="Times New Roman" w:cs="Times New Roman"/>
          <w:sz w:val="20"/>
          <w:szCs w:val="20"/>
        </w:rPr>
        <w:t>C.</w:t>
      </w:r>
      <w:r>
        <w:rPr>
          <w:rFonts w:ascii="Times New Roman" w:hAnsi="Times New Roman" w:eastAsia="Times New Roman" w:cs="Times New Roman"/>
          <w:spacing w:val="-12"/>
          <w:sz w:val="20"/>
          <w:szCs w:val="20"/>
        </w:rPr>
        <w:t xml:space="preserve"> </w:t>
      </w:r>
      <w:r>
        <w:rPr>
          <w:sz w:val="20"/>
          <w:szCs w:val="20"/>
        </w:rPr>
        <w:t>公安机关负责网络安全等级保护工作的监督、检查、指导</w:t>
      </w:r>
    </w:p>
    <w:p w14:paraId="0B5CA0DF">
      <w:pPr>
        <w:pStyle w:val="2"/>
        <w:spacing w:before="62" w:line="283" w:lineRule="auto"/>
        <w:ind w:right="312" w:firstLine="899"/>
        <w:rPr>
          <w:sz w:val="20"/>
          <w:szCs w:val="20"/>
        </w:rPr>
      </w:pPr>
      <w:r>
        <w:rPr>
          <w:rFonts w:ascii="Times New Roman" w:hAnsi="Times New Roman" w:eastAsia="Times New Roman" w:cs="Times New Roman"/>
          <w:spacing w:val="5"/>
          <w:sz w:val="20"/>
          <w:szCs w:val="20"/>
        </w:rPr>
        <w:t>D.</w:t>
      </w:r>
      <w:r>
        <w:rPr>
          <w:rFonts w:ascii="Times New Roman" w:hAnsi="Times New Roman" w:eastAsia="Times New Roman" w:cs="Times New Roman"/>
          <w:spacing w:val="-2"/>
          <w:sz w:val="20"/>
          <w:szCs w:val="20"/>
        </w:rPr>
        <w:t xml:space="preserve"> </w:t>
      </w:r>
      <w:r>
        <w:rPr>
          <w:spacing w:val="5"/>
          <w:sz w:val="20"/>
          <w:szCs w:val="20"/>
        </w:rPr>
        <w:t>等级保护基本流程包括等级保护对象定级与备案阶段、总体安全规划阶段、安全</w:t>
      </w:r>
      <w:r>
        <w:rPr>
          <w:sz w:val="20"/>
          <w:szCs w:val="20"/>
        </w:rPr>
        <w:t xml:space="preserve"> </w:t>
      </w:r>
      <w:r>
        <w:rPr>
          <w:spacing w:val="-1"/>
          <w:sz w:val="20"/>
          <w:szCs w:val="20"/>
        </w:rPr>
        <w:t>设计与实施阶段、安全运行与维护阶段和定级对象终止阶段</w:t>
      </w:r>
    </w:p>
    <w:p w14:paraId="5B87B5C2">
      <w:pPr>
        <w:pStyle w:val="2"/>
        <w:spacing w:before="19" w:line="219" w:lineRule="auto"/>
        <w:ind w:left="389"/>
        <w:rPr>
          <w:rFonts w:ascii="Times New Roman" w:hAnsi="Times New Roman" w:eastAsia="Times New Roman" w:cs="Times New Roman"/>
          <w:sz w:val="20"/>
          <w:szCs w:val="20"/>
        </w:rPr>
      </w:pPr>
      <w:r>
        <w:rPr>
          <w:spacing w:val="-14"/>
          <w:sz w:val="20"/>
          <w:szCs w:val="20"/>
        </w:rPr>
        <w:t>参考答案：</w:t>
      </w:r>
      <w:r>
        <w:rPr>
          <w:rFonts w:ascii="Times New Roman" w:hAnsi="Times New Roman" w:eastAsia="Times New Roman" w:cs="Times New Roman"/>
          <w:spacing w:val="-14"/>
          <w:sz w:val="20"/>
          <w:szCs w:val="20"/>
        </w:rPr>
        <w:t>A</w:t>
      </w:r>
    </w:p>
    <w:p w14:paraId="19543B48">
      <w:pPr>
        <w:pStyle w:val="2"/>
        <w:spacing w:before="90" w:line="222" w:lineRule="auto"/>
        <w:ind w:left="392"/>
        <w:rPr>
          <w:rFonts w:ascii="黑体" w:hAnsi="黑体" w:eastAsia="黑体" w:cs="黑体"/>
          <w:sz w:val="20"/>
          <w:szCs w:val="20"/>
        </w:rPr>
      </w:pPr>
      <w:r>
        <w:rPr>
          <w:b/>
          <w:bCs/>
          <w:color w:val="0084DC"/>
          <w:spacing w:val="-2"/>
          <w:sz w:val="20"/>
          <w:szCs w:val="20"/>
        </w:rPr>
        <w:t>2.</w:t>
      </w:r>
      <w:r>
        <w:rPr>
          <w:rFonts w:ascii="黑体" w:hAnsi="黑体" w:eastAsia="黑体" w:cs="黑体"/>
          <w:b/>
          <w:bCs/>
          <w:color w:val="0084DC"/>
          <w:spacing w:val="-2"/>
          <w:sz w:val="20"/>
          <w:szCs w:val="20"/>
        </w:rPr>
        <w:t>案例题</w:t>
      </w:r>
    </w:p>
    <w:p w14:paraId="54782423">
      <w:pPr>
        <w:pStyle w:val="2"/>
        <w:spacing w:before="52" w:line="219" w:lineRule="auto"/>
        <w:ind w:left="389"/>
        <w:rPr>
          <w:sz w:val="20"/>
          <w:szCs w:val="20"/>
        </w:rPr>
      </w:pPr>
      <w:r>
        <w:rPr>
          <w:spacing w:val="5"/>
          <w:sz w:val="20"/>
          <w:szCs w:val="20"/>
        </w:rPr>
        <w:t>阅读下列说明，回答问题1至问题3。</w:t>
      </w:r>
    </w:p>
    <w:p w14:paraId="2EB8E357">
      <w:pPr>
        <w:pStyle w:val="2"/>
        <w:spacing w:before="52" w:line="277" w:lineRule="auto"/>
        <w:ind w:right="221" w:firstLine="289"/>
        <w:rPr>
          <w:sz w:val="20"/>
          <w:szCs w:val="20"/>
        </w:rPr>
      </w:pPr>
      <w:r>
        <w:rPr>
          <w:rFonts w:ascii="黑体" w:hAnsi="黑体" w:eastAsia="黑体" w:cs="黑体"/>
          <w:spacing w:val="3"/>
          <w:sz w:val="20"/>
          <w:szCs w:val="20"/>
        </w:rPr>
        <w:t>【说明】</w:t>
      </w:r>
      <w:r>
        <w:rPr>
          <w:spacing w:val="3"/>
          <w:sz w:val="20"/>
          <w:szCs w:val="20"/>
        </w:rPr>
        <w:t>某地方政府拟对其门户网站进行改造，该工程涉及网站首页改版、二级页面改造、</w:t>
      </w:r>
      <w:r>
        <w:rPr>
          <w:spacing w:val="8"/>
          <w:sz w:val="20"/>
          <w:szCs w:val="20"/>
        </w:rPr>
        <w:t xml:space="preserve"> </w:t>
      </w:r>
      <w:r>
        <w:rPr>
          <w:spacing w:val="3"/>
          <w:sz w:val="20"/>
          <w:szCs w:val="20"/>
        </w:rPr>
        <w:t>数据迁移、系统集成等建设内容，保护等级定为三级，初步设计和实施分别立项。建设单位通</w:t>
      </w:r>
      <w:r>
        <w:rPr>
          <w:spacing w:val="1"/>
          <w:sz w:val="20"/>
          <w:szCs w:val="20"/>
        </w:rPr>
        <w:t xml:space="preserve">  </w:t>
      </w:r>
      <w:r>
        <w:rPr>
          <w:spacing w:val="-1"/>
          <w:sz w:val="20"/>
          <w:szCs w:val="20"/>
        </w:rPr>
        <w:t>过招标方式选择乙单位为承建单位。在建设过程中，发生如下事件：</w:t>
      </w:r>
    </w:p>
    <w:p w14:paraId="44A98794">
      <w:pPr>
        <w:pStyle w:val="2"/>
        <w:spacing w:before="18" w:line="291" w:lineRule="auto"/>
        <w:ind w:right="312" w:firstLine="292"/>
        <w:rPr>
          <w:sz w:val="20"/>
          <w:szCs w:val="20"/>
        </w:rPr>
      </w:pPr>
      <w:r>
        <w:rPr>
          <w:rFonts w:ascii="黑体" w:hAnsi="黑体" w:eastAsia="黑体" w:cs="黑体"/>
          <w:b/>
          <w:bCs/>
          <w:spacing w:val="1"/>
          <w:sz w:val="20"/>
          <w:szCs w:val="20"/>
        </w:rPr>
        <w:t>【事件1】</w:t>
      </w:r>
      <w:r>
        <w:rPr>
          <w:rFonts w:ascii="黑体" w:hAnsi="黑体" w:eastAsia="黑体" w:cs="黑体"/>
          <w:spacing w:val="-16"/>
          <w:sz w:val="20"/>
          <w:szCs w:val="20"/>
        </w:rPr>
        <w:t xml:space="preserve"> </w:t>
      </w:r>
      <w:r>
        <w:rPr>
          <w:spacing w:val="1"/>
          <w:sz w:val="20"/>
          <w:szCs w:val="20"/>
        </w:rPr>
        <w:t>为了保证初步设计工作顺利开展，业主单位以邀标方式选定丙单位承担初步设计</w:t>
      </w:r>
      <w:r>
        <w:rPr>
          <w:sz w:val="20"/>
          <w:szCs w:val="20"/>
        </w:rPr>
        <w:t xml:space="preserve"> </w:t>
      </w:r>
      <w:r>
        <w:rPr>
          <w:spacing w:val="-1"/>
          <w:sz w:val="20"/>
          <w:szCs w:val="20"/>
        </w:rPr>
        <w:t>阶段的监理工作，丙单位对初步设计方案的编制工作提出了建议。</w:t>
      </w:r>
    </w:p>
    <w:p w14:paraId="4D8B4644">
      <w:pPr>
        <w:spacing w:line="291" w:lineRule="auto"/>
        <w:rPr>
          <w:sz w:val="20"/>
          <w:szCs w:val="20"/>
        </w:rPr>
        <w:sectPr>
          <w:pgSz w:w="10300" w:h="13300"/>
          <w:pgMar w:top="360" w:right="558" w:bottom="400" w:left="1100" w:header="0" w:footer="0" w:gutter="0"/>
          <w:cols w:space="720" w:num="1"/>
        </w:sectPr>
      </w:pPr>
    </w:p>
    <w:p w14:paraId="7EC4CE66">
      <w:pPr>
        <w:pStyle w:val="2"/>
        <w:spacing w:before="67" w:line="219" w:lineRule="auto"/>
        <w:rPr>
          <w:sz w:val="19"/>
          <w:szCs w:val="19"/>
        </w:rPr>
      </w:pPr>
      <w:r>
        <w:rPr>
          <w:rFonts w:ascii="Times New Roman" w:hAnsi="Times New Roman" w:eastAsia="Times New Roman" w:cs="Times New Roman"/>
          <w:b/>
          <w:bCs/>
          <w:spacing w:val="3"/>
          <w:position w:val="1"/>
          <w:sz w:val="19"/>
          <w:szCs w:val="19"/>
        </w:rPr>
        <w:t xml:space="preserve">606              </w:t>
      </w:r>
      <w:r>
        <w:rPr>
          <w:spacing w:val="3"/>
          <w:sz w:val="19"/>
          <w:szCs w:val="19"/>
        </w:rPr>
        <w:t>信息系统监理师教程(第2版)</w:t>
      </w:r>
    </w:p>
    <w:p w14:paraId="5F39028A">
      <w:pPr>
        <w:spacing w:line="318" w:lineRule="auto"/>
        <w:rPr>
          <w:rFonts w:ascii="Arial"/>
          <w:sz w:val="21"/>
        </w:rPr>
      </w:pPr>
    </w:p>
    <w:p w14:paraId="76EC802E">
      <w:pPr>
        <w:pStyle w:val="2"/>
        <w:spacing w:before="62" w:line="307" w:lineRule="auto"/>
        <w:ind w:left="359" w:right="29" w:firstLine="277"/>
        <w:rPr>
          <w:sz w:val="19"/>
          <w:szCs w:val="19"/>
        </w:rPr>
      </w:pPr>
      <w:r>
        <w:rPr>
          <w:rFonts w:ascii="黑体" w:hAnsi="黑体" w:eastAsia="黑体" w:cs="黑体"/>
          <w:b/>
          <w:bCs/>
          <w:spacing w:val="11"/>
          <w:sz w:val="19"/>
          <w:szCs w:val="19"/>
        </w:rPr>
        <w:t>【事件2】</w:t>
      </w:r>
      <w:r>
        <w:rPr>
          <w:rFonts w:ascii="黑体" w:hAnsi="黑体" w:eastAsia="黑体" w:cs="黑体"/>
          <w:spacing w:val="-11"/>
          <w:sz w:val="19"/>
          <w:szCs w:val="19"/>
        </w:rPr>
        <w:t xml:space="preserve"> </w:t>
      </w:r>
      <w:r>
        <w:rPr>
          <w:spacing w:val="11"/>
          <w:sz w:val="19"/>
          <w:szCs w:val="19"/>
        </w:rPr>
        <w:t>由于乙单位项目团队专业技术能力不足，数据迁移工作进展缓慢，对工程整体进</w:t>
      </w:r>
      <w:r>
        <w:rPr>
          <w:sz w:val="19"/>
          <w:szCs w:val="19"/>
        </w:rPr>
        <w:t xml:space="preserve"> </w:t>
      </w:r>
      <w:r>
        <w:rPr>
          <w:spacing w:val="6"/>
          <w:sz w:val="19"/>
          <w:szCs w:val="19"/>
        </w:rPr>
        <w:t>度产生了不利影响。</w:t>
      </w:r>
    </w:p>
    <w:p w14:paraId="6D8C254A">
      <w:pPr>
        <w:pStyle w:val="2"/>
        <w:spacing w:before="9" w:line="298" w:lineRule="auto"/>
        <w:ind w:left="359" w:firstLine="277"/>
        <w:rPr>
          <w:sz w:val="19"/>
          <w:szCs w:val="19"/>
        </w:rPr>
      </w:pPr>
      <w:r>
        <w:rPr>
          <w:rFonts w:ascii="黑体" w:hAnsi="黑体" w:eastAsia="黑体" w:cs="黑体"/>
          <w:b/>
          <w:bCs/>
          <w:spacing w:val="14"/>
          <w:sz w:val="19"/>
          <w:szCs w:val="19"/>
        </w:rPr>
        <w:t>【事件3】</w:t>
      </w:r>
      <w:r>
        <w:rPr>
          <w:spacing w:val="14"/>
          <w:sz w:val="19"/>
          <w:szCs w:val="19"/>
        </w:rPr>
        <w:t>为保证系统的安全性符合国家相关规定，同时能顺利通过项目验</w:t>
      </w:r>
      <w:r>
        <w:rPr>
          <w:spacing w:val="13"/>
          <w:sz w:val="19"/>
          <w:szCs w:val="19"/>
        </w:rPr>
        <w:t>收，正式上线运</w:t>
      </w:r>
      <w:r>
        <w:rPr>
          <w:sz w:val="19"/>
          <w:szCs w:val="19"/>
        </w:rPr>
        <w:t xml:space="preserve"> </w:t>
      </w:r>
      <w:r>
        <w:rPr>
          <w:spacing w:val="8"/>
          <w:sz w:val="19"/>
          <w:szCs w:val="19"/>
        </w:rPr>
        <w:t>行前，丙单位建议业主单位进行系统安全方面的测评工作。</w:t>
      </w:r>
    </w:p>
    <w:p w14:paraId="738841DA">
      <w:pPr>
        <w:pStyle w:val="2"/>
        <w:spacing w:before="14" w:line="311" w:lineRule="auto"/>
        <w:ind w:left="637" w:right="1592"/>
        <w:rPr>
          <w:sz w:val="19"/>
          <w:szCs w:val="19"/>
        </w:rPr>
      </w:pPr>
      <w:r>
        <w:rPr>
          <w:rFonts w:ascii="黑体" w:hAnsi="黑体" w:eastAsia="黑体" w:cs="黑体"/>
          <w:b/>
          <w:bCs/>
          <w:spacing w:val="15"/>
          <w:sz w:val="19"/>
          <w:szCs w:val="19"/>
        </w:rPr>
        <w:t>【问题1】</w:t>
      </w:r>
      <w:r>
        <w:rPr>
          <w:spacing w:val="15"/>
          <w:sz w:val="19"/>
          <w:szCs w:val="19"/>
        </w:rPr>
        <w:t>针对事件1,请指出初步设计方</w:t>
      </w:r>
      <w:r>
        <w:rPr>
          <w:spacing w:val="14"/>
          <w:sz w:val="19"/>
          <w:szCs w:val="19"/>
        </w:rPr>
        <w:t>案的编制要点应包括哪些内容。</w:t>
      </w:r>
      <w:r>
        <w:rPr>
          <w:sz w:val="19"/>
          <w:szCs w:val="19"/>
        </w:rPr>
        <w:t xml:space="preserve"> </w:t>
      </w:r>
      <w:r>
        <w:rPr>
          <w:rFonts w:ascii="黑体" w:hAnsi="黑体" w:eastAsia="黑体" w:cs="黑体"/>
          <w:b/>
          <w:bCs/>
          <w:spacing w:val="16"/>
          <w:sz w:val="19"/>
          <w:szCs w:val="19"/>
        </w:rPr>
        <w:t>【问题2</w:t>
      </w:r>
      <w:r>
        <w:rPr>
          <w:b/>
          <w:bCs/>
          <w:spacing w:val="16"/>
          <w:sz w:val="19"/>
          <w:szCs w:val="19"/>
        </w:rPr>
        <w:t>】</w:t>
      </w:r>
      <w:r>
        <w:rPr>
          <w:spacing w:val="16"/>
          <w:sz w:val="19"/>
          <w:szCs w:val="19"/>
        </w:rPr>
        <w:t>针对事件2,丙单位应采取哪些措施以推进项目的实施?</w:t>
      </w:r>
    </w:p>
    <w:p w14:paraId="670DE923">
      <w:pPr>
        <w:pStyle w:val="2"/>
        <w:spacing w:line="298" w:lineRule="auto"/>
        <w:ind w:left="729" w:right="1427" w:hanging="92"/>
        <w:rPr>
          <w:sz w:val="19"/>
          <w:szCs w:val="19"/>
        </w:rPr>
      </w:pPr>
      <w:r>
        <w:rPr>
          <w:rFonts w:ascii="黑体" w:hAnsi="黑体" w:eastAsia="黑体" w:cs="黑体"/>
          <w:b/>
          <w:bCs/>
          <w:spacing w:val="16"/>
          <w:sz w:val="19"/>
          <w:szCs w:val="19"/>
        </w:rPr>
        <w:t>【问题3】</w:t>
      </w:r>
      <w:r>
        <w:rPr>
          <w:spacing w:val="16"/>
          <w:sz w:val="19"/>
          <w:szCs w:val="19"/>
        </w:rPr>
        <w:t>针对事件3,丙单位应建议业主单位进行哪些系统安全测评工作?</w:t>
      </w:r>
      <w:r>
        <w:rPr>
          <w:spacing w:val="7"/>
          <w:sz w:val="19"/>
          <w:szCs w:val="19"/>
        </w:rPr>
        <w:t xml:space="preserve"> </w:t>
      </w:r>
      <w:r>
        <w:rPr>
          <w:spacing w:val="1"/>
          <w:sz w:val="19"/>
          <w:szCs w:val="19"/>
        </w:rPr>
        <w:t>参考答案：</w:t>
      </w:r>
    </w:p>
    <w:p w14:paraId="7C0EE63A">
      <w:pPr>
        <w:pStyle w:val="2"/>
        <w:spacing w:before="19" w:line="221" w:lineRule="auto"/>
        <w:ind w:left="637"/>
        <w:rPr>
          <w:sz w:val="19"/>
          <w:szCs w:val="19"/>
        </w:rPr>
      </w:pPr>
      <w:r>
        <w:rPr>
          <w:b/>
          <w:bCs/>
          <w:spacing w:val="23"/>
          <w:sz w:val="19"/>
          <w:szCs w:val="19"/>
        </w:rPr>
        <w:t>【问题1】</w:t>
      </w:r>
    </w:p>
    <w:p w14:paraId="6ECDE8D8">
      <w:pPr>
        <w:pStyle w:val="2"/>
        <w:spacing w:before="91" w:line="219" w:lineRule="auto"/>
        <w:ind w:left="729"/>
        <w:rPr>
          <w:sz w:val="19"/>
          <w:szCs w:val="19"/>
        </w:rPr>
      </w:pPr>
      <w:r>
        <w:rPr>
          <w:spacing w:val="13"/>
          <w:sz w:val="19"/>
          <w:szCs w:val="19"/>
        </w:rPr>
        <w:t>(1)参照充分的设计依据；</w:t>
      </w:r>
    </w:p>
    <w:p w14:paraId="2446C182">
      <w:pPr>
        <w:pStyle w:val="2"/>
        <w:spacing w:before="97" w:line="219" w:lineRule="auto"/>
        <w:ind w:left="729"/>
        <w:rPr>
          <w:sz w:val="19"/>
          <w:szCs w:val="19"/>
        </w:rPr>
      </w:pPr>
      <w:r>
        <w:rPr>
          <w:spacing w:val="11"/>
          <w:sz w:val="19"/>
          <w:szCs w:val="19"/>
        </w:rPr>
        <w:t>(2)进行翔实的现场勘察；</w:t>
      </w:r>
    </w:p>
    <w:p w14:paraId="1693683D">
      <w:pPr>
        <w:pStyle w:val="2"/>
        <w:spacing w:before="94" w:line="219" w:lineRule="auto"/>
        <w:ind w:left="729"/>
        <w:rPr>
          <w:sz w:val="19"/>
          <w:szCs w:val="19"/>
        </w:rPr>
      </w:pPr>
      <w:r>
        <w:rPr>
          <w:spacing w:val="11"/>
          <w:sz w:val="19"/>
          <w:szCs w:val="19"/>
        </w:rPr>
        <w:t>(3)突出项目的设计亮点；</w:t>
      </w:r>
    </w:p>
    <w:p w14:paraId="4E2ED4A8">
      <w:pPr>
        <w:pStyle w:val="2"/>
        <w:spacing w:before="93" w:line="218" w:lineRule="auto"/>
        <w:ind w:left="729"/>
        <w:rPr>
          <w:sz w:val="19"/>
          <w:szCs w:val="19"/>
        </w:rPr>
      </w:pPr>
      <w:r>
        <w:rPr>
          <w:spacing w:val="11"/>
          <w:sz w:val="19"/>
          <w:szCs w:val="19"/>
        </w:rPr>
        <w:t>(4)重点介绍初步设计方案相对可行性研究报告批复内容有重大变更的内容；</w:t>
      </w:r>
    </w:p>
    <w:p w14:paraId="14312368">
      <w:pPr>
        <w:pStyle w:val="2"/>
        <w:spacing w:before="98" w:line="220" w:lineRule="auto"/>
        <w:ind w:left="729"/>
        <w:rPr>
          <w:sz w:val="19"/>
          <w:szCs w:val="19"/>
        </w:rPr>
      </w:pPr>
      <w:r>
        <w:rPr>
          <w:spacing w:val="12"/>
          <w:sz w:val="19"/>
          <w:szCs w:val="19"/>
        </w:rPr>
        <w:t>(5)合理制定项目建设的标准规范。</w:t>
      </w:r>
    </w:p>
    <w:p w14:paraId="6A9C4F07">
      <w:pPr>
        <w:pStyle w:val="2"/>
        <w:spacing w:before="83" w:line="221" w:lineRule="auto"/>
        <w:ind w:left="637"/>
        <w:rPr>
          <w:sz w:val="19"/>
          <w:szCs w:val="19"/>
        </w:rPr>
      </w:pPr>
      <w:r>
        <w:rPr>
          <w:b/>
          <w:bCs/>
          <w:spacing w:val="23"/>
          <w:sz w:val="19"/>
          <w:szCs w:val="19"/>
        </w:rPr>
        <w:t>【问题2】</w:t>
      </w:r>
    </w:p>
    <w:p w14:paraId="2EFAA29E">
      <w:pPr>
        <w:pStyle w:val="2"/>
        <w:spacing w:before="81" w:line="219" w:lineRule="auto"/>
        <w:ind w:left="729"/>
        <w:rPr>
          <w:sz w:val="19"/>
          <w:szCs w:val="19"/>
        </w:rPr>
      </w:pPr>
      <w:r>
        <w:rPr>
          <w:spacing w:val="11"/>
          <w:sz w:val="19"/>
          <w:szCs w:val="19"/>
        </w:rPr>
        <w:t>(1)组织召开专题会议，协商解决方案；</w:t>
      </w:r>
    </w:p>
    <w:p w14:paraId="3B50ECDD">
      <w:pPr>
        <w:pStyle w:val="2"/>
        <w:spacing w:before="76" w:line="219" w:lineRule="auto"/>
        <w:ind w:left="729"/>
        <w:rPr>
          <w:sz w:val="19"/>
          <w:szCs w:val="19"/>
        </w:rPr>
      </w:pPr>
      <w:r>
        <w:rPr>
          <w:spacing w:val="11"/>
          <w:sz w:val="19"/>
          <w:szCs w:val="19"/>
        </w:rPr>
        <w:t>(2)发出监理通知单，要求乙单位整改；</w:t>
      </w:r>
    </w:p>
    <w:p w14:paraId="46C069CF">
      <w:pPr>
        <w:pStyle w:val="2"/>
        <w:spacing w:before="105" w:line="219" w:lineRule="auto"/>
        <w:ind w:left="729"/>
        <w:rPr>
          <w:sz w:val="19"/>
          <w:szCs w:val="19"/>
        </w:rPr>
      </w:pPr>
      <w:r>
        <w:rPr>
          <w:spacing w:val="11"/>
          <w:sz w:val="19"/>
          <w:szCs w:val="19"/>
        </w:rPr>
        <w:t>(3)要求乙单位加强团队技术实力；</w:t>
      </w:r>
    </w:p>
    <w:p w14:paraId="657CA1EC">
      <w:pPr>
        <w:pStyle w:val="2"/>
        <w:spacing w:before="74" w:line="260" w:lineRule="auto"/>
        <w:ind w:left="359" w:right="44" w:firstLine="369"/>
        <w:rPr>
          <w:sz w:val="19"/>
          <w:szCs w:val="19"/>
        </w:rPr>
      </w:pPr>
      <w:r>
        <w:rPr>
          <w:spacing w:val="15"/>
          <w:sz w:val="19"/>
          <w:szCs w:val="19"/>
        </w:rPr>
        <w:t>(4)要求乙单位提出进度控制措施并跟踪实施情况，如更新实施计划，将其纳入配置基线</w:t>
      </w:r>
      <w:r>
        <w:rPr>
          <w:spacing w:val="17"/>
          <w:sz w:val="19"/>
          <w:szCs w:val="19"/>
        </w:rPr>
        <w:t xml:space="preserve"> </w:t>
      </w:r>
      <w:r>
        <w:rPr>
          <w:spacing w:val="3"/>
          <w:sz w:val="19"/>
          <w:szCs w:val="19"/>
        </w:rPr>
        <w:t>进行监管；</w:t>
      </w:r>
    </w:p>
    <w:p w14:paraId="293001FE">
      <w:pPr>
        <w:pStyle w:val="2"/>
        <w:spacing w:before="95" w:line="219" w:lineRule="auto"/>
        <w:ind w:left="729"/>
        <w:rPr>
          <w:sz w:val="19"/>
          <w:szCs w:val="19"/>
        </w:rPr>
      </w:pPr>
      <w:r>
        <w:rPr>
          <w:spacing w:val="11"/>
          <w:sz w:val="19"/>
          <w:szCs w:val="19"/>
        </w:rPr>
        <w:t>(5)建议业主单位对乙单位进行延期索赔。</w:t>
      </w:r>
    </w:p>
    <w:p w14:paraId="2D1F7B77">
      <w:pPr>
        <w:pStyle w:val="2"/>
        <w:spacing w:before="95" w:line="221" w:lineRule="auto"/>
        <w:ind w:left="637"/>
        <w:rPr>
          <w:sz w:val="19"/>
          <w:szCs w:val="19"/>
        </w:rPr>
      </w:pPr>
      <w:r>
        <w:rPr>
          <w:b/>
          <w:bCs/>
          <w:spacing w:val="19"/>
          <w:sz w:val="19"/>
          <w:szCs w:val="19"/>
        </w:rPr>
        <w:t>【问题3】</w:t>
      </w:r>
    </w:p>
    <w:p w14:paraId="4DC28845">
      <w:pPr>
        <w:pStyle w:val="2"/>
        <w:spacing w:before="80" w:line="218" w:lineRule="auto"/>
        <w:ind w:left="729"/>
        <w:rPr>
          <w:sz w:val="19"/>
          <w:szCs w:val="19"/>
        </w:rPr>
      </w:pPr>
      <w:r>
        <w:rPr>
          <w:spacing w:val="8"/>
          <w:sz w:val="19"/>
          <w:szCs w:val="19"/>
        </w:rPr>
        <w:t>建议业主单位开展安全等级保护测评与安全风险</w:t>
      </w:r>
      <w:r>
        <w:rPr>
          <w:spacing w:val="7"/>
          <w:sz w:val="19"/>
          <w:szCs w:val="19"/>
        </w:rPr>
        <w:t>评估工作。</w:t>
      </w:r>
    </w:p>
    <w:p w14:paraId="61DEC7F5">
      <w:pPr>
        <w:spacing w:line="218" w:lineRule="auto"/>
        <w:rPr>
          <w:sz w:val="19"/>
          <w:szCs w:val="19"/>
        </w:rPr>
        <w:sectPr>
          <w:pgSz w:w="10300" w:h="13360"/>
          <w:pgMar w:top="400" w:right="1042" w:bottom="400" w:left="550" w:header="0" w:footer="0" w:gutter="0"/>
          <w:cols w:space="720" w:num="1"/>
        </w:sectPr>
      </w:pPr>
    </w:p>
    <w:p w14:paraId="3DDF1EFA">
      <w:pPr>
        <w:spacing w:line="246" w:lineRule="auto"/>
        <w:rPr>
          <w:rFonts w:ascii="Arial"/>
          <w:sz w:val="21"/>
        </w:rPr>
      </w:pPr>
    </w:p>
    <w:p w14:paraId="52A44EF1">
      <w:pPr>
        <w:spacing w:line="246" w:lineRule="auto"/>
        <w:rPr>
          <w:rFonts w:ascii="Arial"/>
          <w:sz w:val="21"/>
        </w:rPr>
      </w:pPr>
    </w:p>
    <w:p w14:paraId="3C7BDCA3">
      <w:pPr>
        <w:spacing w:line="246" w:lineRule="auto"/>
        <w:rPr>
          <w:rFonts w:ascii="Arial"/>
          <w:sz w:val="21"/>
        </w:rPr>
      </w:pPr>
      <w:r>
        <w:drawing>
          <wp:anchor distT="0" distB="0" distL="0" distR="0" simplePos="0" relativeHeight="251856896" behindDoc="0" locked="0" layoutInCell="1" allowOverlap="1">
            <wp:simplePos x="0" y="0"/>
            <wp:positionH relativeFrom="column">
              <wp:posOffset>19050</wp:posOffset>
            </wp:positionH>
            <wp:positionV relativeFrom="paragraph">
              <wp:posOffset>231775</wp:posOffset>
            </wp:positionV>
            <wp:extent cx="628650" cy="260350"/>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395"/>
                    <a:stretch>
                      <a:fillRect/>
                    </a:stretch>
                  </pic:blipFill>
                  <pic:spPr>
                    <a:xfrm>
                      <a:off x="0" y="0"/>
                      <a:ext cx="628638" cy="260320"/>
                    </a:xfrm>
                    <a:prstGeom prst="rect">
                      <a:avLst/>
                    </a:prstGeom>
                  </pic:spPr>
                </pic:pic>
              </a:graphicData>
            </a:graphic>
          </wp:anchor>
        </w:drawing>
      </w:r>
    </w:p>
    <w:p w14:paraId="1997E491">
      <w:pPr>
        <w:spacing w:before="127" w:line="224" w:lineRule="auto"/>
        <w:ind w:left="3425"/>
        <w:rPr>
          <w:sz w:val="39"/>
          <w:szCs w:val="39"/>
        </w:rPr>
      </w:pPr>
      <w:r>
        <w:rPr>
          <w:rFonts w:ascii="黑体" w:hAnsi="黑体" w:eastAsia="黑体" w:cs="黑体"/>
          <w:b/>
          <w:bCs/>
          <w:color w:val="0076EC"/>
          <w:spacing w:val="-8"/>
          <w:sz w:val="39"/>
          <w:szCs w:val="39"/>
        </w:rPr>
        <w:t>参考文献</w:t>
      </w:r>
      <w:r>
        <w:rPr>
          <w:rFonts w:ascii="黑体" w:hAnsi="黑体" w:eastAsia="黑体" w:cs="黑体"/>
          <w:color w:val="0076EC"/>
          <w:spacing w:val="2"/>
          <w:sz w:val="39"/>
          <w:szCs w:val="39"/>
        </w:rPr>
        <w:t xml:space="preserve">            </w:t>
      </w:r>
      <w:r>
        <w:rPr>
          <w:position w:val="-6"/>
          <w:sz w:val="39"/>
          <w:szCs w:val="39"/>
        </w:rPr>
        <w:drawing>
          <wp:inline distT="0" distB="0" distL="0" distR="0">
            <wp:extent cx="622300" cy="266700"/>
            <wp:effectExtent l="0" t="0" r="0" b="0"/>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396"/>
                    <a:stretch>
                      <a:fillRect/>
                    </a:stretch>
                  </pic:blipFill>
                  <pic:spPr>
                    <a:xfrm>
                      <a:off x="0" y="0"/>
                      <a:ext cx="622307" cy="266729"/>
                    </a:xfrm>
                    <a:prstGeom prst="rect">
                      <a:avLst/>
                    </a:prstGeom>
                  </pic:spPr>
                </pic:pic>
              </a:graphicData>
            </a:graphic>
          </wp:inline>
        </w:drawing>
      </w:r>
    </w:p>
    <w:p w14:paraId="13970AE7">
      <w:pPr>
        <w:spacing w:line="244" w:lineRule="auto"/>
        <w:rPr>
          <w:rFonts w:ascii="Arial"/>
          <w:sz w:val="21"/>
        </w:rPr>
      </w:pPr>
    </w:p>
    <w:p w14:paraId="18F2E945">
      <w:pPr>
        <w:spacing w:line="244" w:lineRule="auto"/>
        <w:rPr>
          <w:rFonts w:ascii="Arial"/>
          <w:sz w:val="21"/>
        </w:rPr>
      </w:pPr>
    </w:p>
    <w:p w14:paraId="61A9B06B">
      <w:pPr>
        <w:spacing w:line="245" w:lineRule="auto"/>
        <w:rPr>
          <w:rFonts w:ascii="Arial"/>
          <w:sz w:val="21"/>
        </w:rPr>
      </w:pPr>
    </w:p>
    <w:p w14:paraId="5198FF83">
      <w:pPr>
        <w:pStyle w:val="2"/>
        <w:spacing w:before="58" w:line="212" w:lineRule="auto"/>
        <w:ind w:left="369"/>
        <w:rPr>
          <w:sz w:val="18"/>
          <w:szCs w:val="18"/>
        </w:rPr>
      </w:pPr>
      <w:r>
        <w:rPr>
          <w:spacing w:val="1"/>
          <w:sz w:val="18"/>
          <w:szCs w:val="18"/>
        </w:rPr>
        <w:t>[1]王守茂.管理信息系统的分析与设计</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9"/>
          <w:sz w:val="18"/>
          <w:szCs w:val="18"/>
        </w:rPr>
        <w:t xml:space="preserve"> </w:t>
      </w:r>
      <w:r>
        <w:rPr>
          <w:spacing w:val="1"/>
          <w:sz w:val="18"/>
          <w:szCs w:val="18"/>
        </w:rPr>
        <w:t>天津：天津科技翻译出版公司，1993</w:t>
      </w:r>
    </w:p>
    <w:p w14:paraId="0404D451">
      <w:pPr>
        <w:pStyle w:val="2"/>
        <w:spacing w:before="93" w:line="267" w:lineRule="auto"/>
        <w:ind w:right="63" w:firstLine="369"/>
        <w:rPr>
          <w:sz w:val="18"/>
          <w:szCs w:val="18"/>
        </w:rPr>
      </w:pPr>
      <w:r>
        <w:rPr>
          <w:spacing w:val="-1"/>
          <w:sz w:val="18"/>
          <w:szCs w:val="18"/>
        </w:rPr>
        <w:t>[2]罗伯特</w:t>
      </w:r>
      <w:r>
        <w:rPr>
          <w:spacing w:val="-13"/>
          <w:sz w:val="18"/>
          <w:szCs w:val="18"/>
        </w:rPr>
        <w:t xml:space="preserve"> </w:t>
      </w:r>
      <w:r>
        <w:rPr>
          <w:spacing w:val="-1"/>
          <w:sz w:val="18"/>
          <w:szCs w:val="18"/>
        </w:rPr>
        <w:t>·斯库塞斯，玛丽</w:t>
      </w:r>
      <w:r>
        <w:rPr>
          <w:spacing w:val="-18"/>
          <w:sz w:val="18"/>
          <w:szCs w:val="18"/>
        </w:rPr>
        <w:t xml:space="preserve"> </w:t>
      </w:r>
      <w:r>
        <w:rPr>
          <w:spacing w:val="-1"/>
          <w:sz w:val="18"/>
          <w:szCs w:val="18"/>
        </w:rPr>
        <w:t>·萨姆纳.管理信息系统</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35"/>
          <w:sz w:val="18"/>
          <w:szCs w:val="18"/>
        </w:rPr>
        <w:t xml:space="preserve"> </w:t>
      </w:r>
      <w:r>
        <w:rPr>
          <w:spacing w:val="-1"/>
          <w:sz w:val="18"/>
          <w:szCs w:val="18"/>
        </w:rPr>
        <w:t>李一军，卢涛，祁巍，等译.大连：东北财</w:t>
      </w:r>
      <w:r>
        <w:rPr>
          <w:sz w:val="18"/>
          <w:szCs w:val="18"/>
        </w:rPr>
        <w:t xml:space="preserve"> </w:t>
      </w:r>
      <w:r>
        <w:rPr>
          <w:spacing w:val="-1"/>
          <w:sz w:val="18"/>
          <w:szCs w:val="18"/>
        </w:rPr>
        <w:t>经大学出版社，2000</w:t>
      </w:r>
    </w:p>
    <w:p w14:paraId="4EAB9E03">
      <w:pPr>
        <w:pStyle w:val="2"/>
        <w:spacing w:before="96" w:line="212" w:lineRule="auto"/>
        <w:jc w:val="right"/>
        <w:rPr>
          <w:sz w:val="18"/>
          <w:szCs w:val="18"/>
        </w:rPr>
      </w:pPr>
      <w:r>
        <w:rPr>
          <w:rFonts w:ascii="Times New Roman" w:hAnsi="Times New Roman" w:eastAsia="Times New Roman" w:cs="Times New Roman"/>
          <w:spacing w:val="2"/>
          <w:sz w:val="18"/>
          <w:szCs w:val="18"/>
        </w:rPr>
        <w:t>[3]</w:t>
      </w:r>
      <w:r>
        <w:rPr>
          <w:rFonts w:ascii="Times New Roman" w:hAnsi="Times New Roman" w:eastAsia="Times New Roman" w:cs="Times New Roman"/>
          <w:sz w:val="18"/>
          <w:szCs w:val="18"/>
        </w:rPr>
        <w:t>Behrouz</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Forouzan</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Sophia</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Chung</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Fegan</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TCP</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IP</w:t>
      </w:r>
      <w:r>
        <w:rPr>
          <w:rFonts w:ascii="Times New Roman" w:hAnsi="Times New Roman" w:eastAsia="Times New Roman" w:cs="Times New Roman"/>
          <w:spacing w:val="-11"/>
          <w:sz w:val="18"/>
          <w:szCs w:val="18"/>
        </w:rPr>
        <w:t xml:space="preserve"> </w:t>
      </w:r>
      <w:r>
        <w:rPr>
          <w:spacing w:val="2"/>
          <w:sz w:val="18"/>
          <w:szCs w:val="18"/>
        </w:rPr>
        <w:t>协议族</w:t>
      </w:r>
      <w:r>
        <w:rPr>
          <w:rFonts w:ascii="Times New Roman" w:hAnsi="Times New Roman" w:eastAsia="Times New Roman" w:cs="Times New Roman"/>
          <w:spacing w:val="2"/>
          <w:sz w:val="18"/>
          <w:szCs w:val="18"/>
        </w:rPr>
        <w:t xml:space="preserve">[M]. </w:t>
      </w:r>
      <w:r>
        <w:rPr>
          <w:spacing w:val="2"/>
          <w:sz w:val="18"/>
          <w:szCs w:val="18"/>
        </w:rPr>
        <w:t>谢希仁，</w:t>
      </w:r>
      <w:r>
        <w:rPr>
          <w:spacing w:val="1"/>
          <w:sz w:val="18"/>
          <w:szCs w:val="18"/>
        </w:rPr>
        <w:t>译.北京：清华大学出版社，</w:t>
      </w:r>
    </w:p>
    <w:p w14:paraId="67849316">
      <w:pPr>
        <w:spacing w:before="179" w:line="188" w:lineRule="auto"/>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2001</w:t>
      </w:r>
    </w:p>
    <w:p w14:paraId="3C9CB4C1">
      <w:pPr>
        <w:pStyle w:val="2"/>
        <w:spacing w:before="121" w:line="212" w:lineRule="auto"/>
        <w:ind w:left="369"/>
        <w:rPr>
          <w:sz w:val="18"/>
          <w:szCs w:val="18"/>
        </w:rPr>
      </w:pPr>
      <w:r>
        <w:rPr>
          <w:spacing w:val="1"/>
          <w:sz w:val="18"/>
          <w:szCs w:val="18"/>
        </w:rPr>
        <w:t>[4]马费成，李纲，查先进.信息资源管理</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8"/>
          <w:sz w:val="18"/>
          <w:szCs w:val="18"/>
        </w:rPr>
        <w:t xml:space="preserve"> </w:t>
      </w:r>
      <w:r>
        <w:rPr>
          <w:spacing w:val="1"/>
          <w:sz w:val="18"/>
          <w:szCs w:val="18"/>
        </w:rPr>
        <w:t>武汉：武汉大学出版社，2001</w:t>
      </w:r>
    </w:p>
    <w:p w14:paraId="7CCE9E37">
      <w:pPr>
        <w:pStyle w:val="2"/>
        <w:spacing w:before="120" w:line="219" w:lineRule="auto"/>
        <w:ind w:left="369"/>
        <w:rPr>
          <w:sz w:val="18"/>
          <w:szCs w:val="18"/>
        </w:rPr>
      </w:pPr>
      <w:r>
        <w:rPr>
          <w:spacing w:val="1"/>
          <w:sz w:val="18"/>
          <w:szCs w:val="18"/>
        </w:rPr>
        <w:t>[5]柳纯录，杨娟，陈兵.信息系统监理师教程[M]</w:t>
      </w:r>
      <w:r>
        <w:rPr>
          <w:sz w:val="18"/>
          <w:szCs w:val="18"/>
        </w:rPr>
        <w:t>.</w:t>
      </w:r>
      <w:r>
        <w:rPr>
          <w:spacing w:val="-35"/>
          <w:sz w:val="18"/>
          <w:szCs w:val="18"/>
        </w:rPr>
        <w:t xml:space="preserve"> </w:t>
      </w:r>
      <w:r>
        <w:rPr>
          <w:sz w:val="18"/>
          <w:szCs w:val="18"/>
        </w:rPr>
        <w:t>北京：清华大学出版社，2005</w:t>
      </w:r>
    </w:p>
    <w:p w14:paraId="4C0A0722">
      <w:pPr>
        <w:pStyle w:val="2"/>
        <w:spacing w:before="80" w:line="212" w:lineRule="auto"/>
        <w:ind w:left="369"/>
        <w:rPr>
          <w:sz w:val="18"/>
          <w:szCs w:val="18"/>
        </w:rPr>
      </w:pPr>
      <w:r>
        <w:rPr>
          <w:spacing w:val="1"/>
          <w:sz w:val="18"/>
          <w:szCs w:val="18"/>
        </w:rPr>
        <w:t>[6]《运筹学》教材编写组.运筹学</w:t>
      </w:r>
      <w:r>
        <w:rPr>
          <w:rFonts w:ascii="Times New Roman" w:hAnsi="Times New Roman" w:eastAsia="Times New Roman" w:cs="Times New Roman"/>
          <w:spacing w:val="1"/>
          <w:sz w:val="18"/>
          <w:szCs w:val="18"/>
        </w:rPr>
        <w:t xml:space="preserve">[M].3  </w:t>
      </w:r>
      <w:r>
        <w:rPr>
          <w:spacing w:val="1"/>
          <w:sz w:val="18"/>
          <w:szCs w:val="18"/>
        </w:rPr>
        <w:t>版</w:t>
      </w:r>
      <w:r>
        <w:rPr>
          <w:sz w:val="18"/>
          <w:szCs w:val="18"/>
        </w:rPr>
        <w:t>.北京：清华大学出版社，2005</w:t>
      </w:r>
    </w:p>
    <w:p w14:paraId="20233621">
      <w:pPr>
        <w:pStyle w:val="2"/>
        <w:spacing w:before="133" w:line="212" w:lineRule="auto"/>
        <w:ind w:left="369"/>
        <w:rPr>
          <w:sz w:val="18"/>
          <w:szCs w:val="18"/>
        </w:rPr>
      </w:pPr>
      <w:r>
        <w:rPr>
          <w:spacing w:val="1"/>
          <w:sz w:val="18"/>
          <w:szCs w:val="18"/>
        </w:rPr>
        <w:t>[7]葛道康，贾卓生，吴志刚.信息化工程监理规范总则理解与实施</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30"/>
          <w:w w:val="101"/>
          <w:sz w:val="18"/>
          <w:szCs w:val="18"/>
        </w:rPr>
        <w:t xml:space="preserve"> </w:t>
      </w:r>
      <w:r>
        <w:rPr>
          <w:spacing w:val="1"/>
          <w:sz w:val="18"/>
          <w:szCs w:val="18"/>
        </w:rPr>
        <w:t>北京：中国标准出版，2008</w:t>
      </w:r>
    </w:p>
    <w:p w14:paraId="350DE17C">
      <w:pPr>
        <w:pStyle w:val="2"/>
        <w:spacing w:before="103" w:line="212" w:lineRule="auto"/>
        <w:ind w:left="369"/>
        <w:rPr>
          <w:sz w:val="18"/>
          <w:szCs w:val="18"/>
        </w:rPr>
      </w:pPr>
      <w:r>
        <w:rPr>
          <w:spacing w:val="1"/>
          <w:sz w:val="18"/>
          <w:szCs w:val="18"/>
        </w:rPr>
        <w:t>[8]黄子河，管东升，朱卫东.弱电工程监理教程</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5"/>
          <w:sz w:val="18"/>
          <w:szCs w:val="18"/>
        </w:rPr>
        <w:t xml:space="preserve"> </w:t>
      </w:r>
      <w:r>
        <w:rPr>
          <w:spacing w:val="1"/>
          <w:sz w:val="18"/>
          <w:szCs w:val="18"/>
        </w:rPr>
        <w:t>北京：清华大学出版社，2011</w:t>
      </w:r>
    </w:p>
    <w:p w14:paraId="5C8680AD">
      <w:pPr>
        <w:pStyle w:val="2"/>
        <w:spacing w:before="121" w:line="219" w:lineRule="auto"/>
        <w:ind w:left="369"/>
        <w:rPr>
          <w:sz w:val="18"/>
          <w:szCs w:val="18"/>
        </w:rPr>
      </w:pPr>
      <w:r>
        <w:rPr>
          <w:spacing w:val="1"/>
          <w:sz w:val="18"/>
          <w:szCs w:val="18"/>
        </w:rPr>
        <w:t>[9]罗文，管东升，吕小刚.信息应用系统监理教程[M].</w:t>
      </w:r>
      <w:r>
        <w:rPr>
          <w:spacing w:val="-45"/>
          <w:sz w:val="18"/>
          <w:szCs w:val="18"/>
        </w:rPr>
        <w:t xml:space="preserve"> </w:t>
      </w:r>
      <w:r>
        <w:rPr>
          <w:spacing w:val="1"/>
          <w:sz w:val="18"/>
          <w:szCs w:val="18"/>
        </w:rPr>
        <w:t>北京：清</w:t>
      </w:r>
      <w:r>
        <w:rPr>
          <w:sz w:val="18"/>
          <w:szCs w:val="18"/>
        </w:rPr>
        <w:t>华大学出版社，2011</w:t>
      </w:r>
    </w:p>
    <w:p w14:paraId="6282794A">
      <w:pPr>
        <w:pStyle w:val="2"/>
        <w:spacing w:before="97" w:line="219" w:lineRule="auto"/>
        <w:ind w:left="369"/>
        <w:rPr>
          <w:sz w:val="18"/>
          <w:szCs w:val="18"/>
        </w:rPr>
      </w:pPr>
      <w:r>
        <w:rPr>
          <w:spacing w:val="2"/>
          <w:sz w:val="18"/>
          <w:szCs w:val="18"/>
        </w:rPr>
        <w:t>[10]张凯，宋克振，周朴雄.信息资源管理[M].3 版.北京：清华大学出</w:t>
      </w:r>
      <w:r>
        <w:rPr>
          <w:spacing w:val="1"/>
          <w:sz w:val="18"/>
          <w:szCs w:val="18"/>
        </w:rPr>
        <w:t>版，2013</w:t>
      </w:r>
    </w:p>
    <w:p w14:paraId="0177BC90">
      <w:pPr>
        <w:pStyle w:val="2"/>
        <w:spacing w:before="79" w:line="212" w:lineRule="auto"/>
        <w:ind w:left="369"/>
        <w:rPr>
          <w:sz w:val="18"/>
          <w:szCs w:val="18"/>
        </w:rPr>
      </w:pPr>
      <w:r>
        <w:rPr>
          <w:spacing w:val="2"/>
          <w:sz w:val="18"/>
          <w:szCs w:val="18"/>
        </w:rPr>
        <w:t>[11]国家信息技术服务标准工作组.</w:t>
      </w:r>
      <w:r>
        <w:rPr>
          <w:rFonts w:ascii="Times New Roman" w:hAnsi="Times New Roman" w:eastAsia="Times New Roman" w:cs="Times New Roman"/>
          <w:sz w:val="18"/>
          <w:szCs w:val="18"/>
        </w:rPr>
        <w:t>ITSS</w:t>
      </w:r>
      <w:r>
        <w:rPr>
          <w:rFonts w:ascii="Times New Roman" w:hAnsi="Times New Roman" w:eastAsia="Times New Roman" w:cs="Times New Roman"/>
          <w:spacing w:val="2"/>
          <w:sz w:val="18"/>
          <w:szCs w:val="18"/>
        </w:rPr>
        <w:t>®</w:t>
      </w:r>
      <w:r>
        <w:rPr>
          <w:spacing w:val="2"/>
          <w:sz w:val="18"/>
          <w:szCs w:val="18"/>
        </w:rPr>
        <w:t>系列培训</w:t>
      </w:r>
      <w:r>
        <w:rPr>
          <w:rFonts w:ascii="Times New Roman" w:hAnsi="Times New Roman" w:eastAsia="Times New Roman" w:cs="Times New Roman"/>
          <w:sz w:val="18"/>
          <w:szCs w:val="18"/>
        </w:rPr>
        <w:t>IT</w:t>
      </w:r>
      <w:r>
        <w:rPr>
          <w:rFonts w:ascii="Times New Roman" w:hAnsi="Times New Roman" w:eastAsia="Times New Roman" w:cs="Times New Roman"/>
          <w:spacing w:val="2"/>
          <w:sz w:val="18"/>
          <w:szCs w:val="18"/>
        </w:rPr>
        <w:t xml:space="preserve"> </w:t>
      </w:r>
      <w:r>
        <w:rPr>
          <w:spacing w:val="2"/>
          <w:sz w:val="18"/>
          <w:szCs w:val="18"/>
        </w:rPr>
        <w:t>服务工程师</w:t>
      </w:r>
      <w:r>
        <w:rPr>
          <w:rFonts w:ascii="Times New Roman" w:hAnsi="Times New Roman" w:eastAsia="Times New Roman" w:cs="Times New Roman"/>
          <w:spacing w:val="2"/>
          <w:sz w:val="18"/>
          <w:szCs w:val="18"/>
        </w:rPr>
        <w:t>[M].</w:t>
      </w:r>
      <w:r>
        <w:rPr>
          <w:spacing w:val="2"/>
          <w:sz w:val="18"/>
          <w:szCs w:val="18"/>
        </w:rPr>
        <w:t>北京：电子工业出版社，2012</w:t>
      </w:r>
    </w:p>
    <w:p w14:paraId="42AC818B">
      <w:pPr>
        <w:pStyle w:val="2"/>
        <w:spacing w:before="103" w:line="212" w:lineRule="auto"/>
        <w:ind w:left="369"/>
        <w:rPr>
          <w:sz w:val="18"/>
          <w:szCs w:val="18"/>
        </w:rPr>
      </w:pPr>
      <w:r>
        <w:rPr>
          <w:spacing w:val="2"/>
          <w:sz w:val="18"/>
          <w:szCs w:val="18"/>
        </w:rPr>
        <w:t>[12]罗文.信息系统运维管理咨询与监</w:t>
      </w:r>
      <w:r>
        <w:rPr>
          <w:spacing w:val="1"/>
          <w:sz w:val="18"/>
          <w:szCs w:val="18"/>
        </w:rPr>
        <w:t>理服务</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15"/>
          <w:sz w:val="18"/>
          <w:szCs w:val="18"/>
        </w:rPr>
        <w:t xml:space="preserve"> </w:t>
      </w:r>
      <w:r>
        <w:rPr>
          <w:spacing w:val="1"/>
          <w:sz w:val="18"/>
          <w:szCs w:val="18"/>
        </w:rPr>
        <w:t>北京：人民邮电出版社，2014</w:t>
      </w:r>
    </w:p>
    <w:p w14:paraId="0ADA3A95">
      <w:pPr>
        <w:pStyle w:val="2"/>
        <w:spacing w:before="103" w:line="212" w:lineRule="auto"/>
        <w:ind w:left="369"/>
        <w:rPr>
          <w:sz w:val="18"/>
          <w:szCs w:val="18"/>
        </w:rPr>
      </w:pPr>
      <w:r>
        <w:rPr>
          <w:spacing w:val="1"/>
          <w:sz w:val="18"/>
          <w:szCs w:val="18"/>
        </w:rPr>
        <w:t>[13]李梅，范东琦，任新成，等.物联网科技导论</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5"/>
          <w:sz w:val="18"/>
          <w:szCs w:val="18"/>
        </w:rPr>
        <w:t xml:space="preserve"> </w:t>
      </w:r>
      <w:r>
        <w:rPr>
          <w:spacing w:val="1"/>
          <w:sz w:val="18"/>
          <w:szCs w:val="18"/>
        </w:rPr>
        <w:t>北京：北京邮电大学出版社，2015</w:t>
      </w:r>
    </w:p>
    <w:p w14:paraId="7B6257C8">
      <w:pPr>
        <w:pStyle w:val="2"/>
        <w:spacing w:before="120" w:line="219" w:lineRule="auto"/>
        <w:ind w:left="369"/>
        <w:rPr>
          <w:sz w:val="18"/>
          <w:szCs w:val="18"/>
        </w:rPr>
      </w:pPr>
      <w:r>
        <w:rPr>
          <w:sz w:val="18"/>
          <w:szCs w:val="18"/>
        </w:rPr>
        <w:t>[14]卢军.云计算关键技术研究[M].</w:t>
      </w:r>
      <w:r>
        <w:rPr>
          <w:spacing w:val="-20"/>
          <w:sz w:val="18"/>
          <w:szCs w:val="18"/>
        </w:rPr>
        <w:t xml:space="preserve"> </w:t>
      </w:r>
      <w:r>
        <w:rPr>
          <w:sz w:val="18"/>
          <w:szCs w:val="18"/>
        </w:rPr>
        <w:t>成都：电子科技大学出版社，2015</w:t>
      </w:r>
    </w:p>
    <w:p w14:paraId="5F5F32C4">
      <w:pPr>
        <w:pStyle w:val="2"/>
        <w:spacing w:before="90" w:line="212" w:lineRule="auto"/>
        <w:ind w:left="369"/>
        <w:rPr>
          <w:sz w:val="18"/>
          <w:szCs w:val="18"/>
        </w:rPr>
      </w:pPr>
      <w:r>
        <w:rPr>
          <w:spacing w:val="4"/>
          <w:sz w:val="18"/>
          <w:szCs w:val="18"/>
        </w:rPr>
        <w:t>[15]丘靖.</w:t>
      </w:r>
      <w:r>
        <w:rPr>
          <w:rFonts w:ascii="Times New Roman" w:hAnsi="Times New Roman" w:eastAsia="Times New Roman" w:cs="Times New Roman"/>
          <w:sz w:val="18"/>
          <w:szCs w:val="18"/>
        </w:rPr>
        <w:t>VR</w:t>
      </w:r>
      <w:r>
        <w:rPr>
          <w:rFonts w:ascii="Times New Roman" w:hAnsi="Times New Roman" w:eastAsia="Times New Roman" w:cs="Times New Roman"/>
          <w:spacing w:val="4"/>
          <w:sz w:val="18"/>
          <w:szCs w:val="18"/>
        </w:rPr>
        <w:t xml:space="preserve"> </w:t>
      </w:r>
      <w:r>
        <w:rPr>
          <w:spacing w:val="4"/>
          <w:sz w:val="18"/>
          <w:szCs w:val="18"/>
        </w:rPr>
        <w:t>虚拟现实：技术革命+商业应用+经典案例</w:t>
      </w:r>
      <w:r>
        <w:rPr>
          <w:rFonts w:ascii="Times New Roman" w:hAnsi="Times New Roman" w:eastAsia="Times New Roman" w:cs="Times New Roman"/>
          <w:spacing w:val="4"/>
          <w:sz w:val="18"/>
          <w:szCs w:val="18"/>
        </w:rPr>
        <w:t>[M].</w:t>
      </w:r>
      <w:r>
        <w:rPr>
          <w:rFonts w:ascii="Times New Roman" w:hAnsi="Times New Roman" w:eastAsia="Times New Roman" w:cs="Times New Roman"/>
          <w:spacing w:val="29"/>
          <w:sz w:val="18"/>
          <w:szCs w:val="18"/>
        </w:rPr>
        <w:t xml:space="preserve"> </w:t>
      </w:r>
      <w:r>
        <w:rPr>
          <w:spacing w:val="4"/>
          <w:sz w:val="18"/>
          <w:szCs w:val="18"/>
        </w:rPr>
        <w:t>北京：人民邮电出版社，2016</w:t>
      </w:r>
    </w:p>
    <w:p w14:paraId="35F9C4B0">
      <w:pPr>
        <w:pStyle w:val="2"/>
        <w:spacing w:before="83" w:line="212" w:lineRule="auto"/>
        <w:jc w:val="right"/>
        <w:rPr>
          <w:sz w:val="18"/>
          <w:szCs w:val="18"/>
        </w:rPr>
      </w:pPr>
      <w:r>
        <w:rPr>
          <w:sz w:val="18"/>
          <w:szCs w:val="18"/>
        </w:rPr>
        <w:t>[16]工业和信息化部电子工业标准化研究院.</w:t>
      </w:r>
      <w:r>
        <w:rPr>
          <w:rFonts w:ascii="Times New Roman" w:hAnsi="Times New Roman" w:eastAsia="Times New Roman" w:cs="Times New Roman"/>
          <w:sz w:val="18"/>
          <w:szCs w:val="18"/>
        </w:rPr>
        <w:t>IT</w:t>
      </w:r>
      <w:r>
        <w:rPr>
          <w:rFonts w:ascii="Times New Roman" w:hAnsi="Times New Roman" w:eastAsia="Times New Roman" w:cs="Times New Roman"/>
          <w:spacing w:val="-1"/>
          <w:sz w:val="18"/>
          <w:szCs w:val="18"/>
        </w:rPr>
        <w:t>SS®</w:t>
      </w:r>
      <w:r>
        <w:rPr>
          <w:spacing w:val="-1"/>
          <w:sz w:val="18"/>
          <w:szCs w:val="18"/>
        </w:rPr>
        <w:t>系列培训</w:t>
      </w:r>
      <w:r>
        <w:rPr>
          <w:rFonts w:ascii="Times New Roman" w:hAnsi="Times New Roman" w:eastAsia="Times New Roman" w:cs="Times New Roman"/>
          <w:spacing w:val="-1"/>
          <w:sz w:val="18"/>
          <w:szCs w:val="18"/>
        </w:rPr>
        <w:t>IT</w:t>
      </w:r>
      <w:r>
        <w:rPr>
          <w:rFonts w:ascii="Times New Roman" w:hAnsi="Times New Roman" w:eastAsia="Times New Roman" w:cs="Times New Roman"/>
          <w:spacing w:val="20"/>
          <w:sz w:val="18"/>
          <w:szCs w:val="18"/>
        </w:rPr>
        <w:t xml:space="preserve"> </w:t>
      </w:r>
      <w:r>
        <w:rPr>
          <w:spacing w:val="-1"/>
          <w:sz w:val="18"/>
          <w:szCs w:val="18"/>
        </w:rPr>
        <w:t>服务经理</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5"/>
          <w:sz w:val="18"/>
          <w:szCs w:val="18"/>
        </w:rPr>
        <w:t xml:space="preserve"> </w:t>
      </w:r>
      <w:r>
        <w:rPr>
          <w:spacing w:val="-1"/>
          <w:sz w:val="18"/>
          <w:szCs w:val="18"/>
        </w:rPr>
        <w:t>北京：电子工业出版社，</w:t>
      </w:r>
    </w:p>
    <w:p w14:paraId="0850CDEB">
      <w:pPr>
        <w:spacing w:before="176" w:line="188" w:lineRule="auto"/>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2016</w:t>
      </w:r>
    </w:p>
    <w:p w14:paraId="340B221C">
      <w:pPr>
        <w:pStyle w:val="2"/>
        <w:spacing w:before="141" w:line="327" w:lineRule="auto"/>
        <w:ind w:firstLine="369"/>
        <w:rPr>
          <w:rFonts w:ascii="Times New Roman" w:hAnsi="Times New Roman" w:eastAsia="Times New Roman" w:cs="Times New Roman"/>
          <w:sz w:val="14"/>
          <w:szCs w:val="14"/>
        </w:rPr>
      </w:pPr>
      <w:r>
        <w:rPr>
          <w:spacing w:val="1"/>
          <w:sz w:val="18"/>
          <w:szCs w:val="18"/>
        </w:rPr>
        <w:t>[17]刘宏志，胡静宜，卓兰，等.信息技术服务——监理总则理解与实施</w:t>
      </w:r>
      <w:r>
        <w:rPr>
          <w:rFonts w:ascii="Times New Roman" w:hAnsi="Times New Roman" w:eastAsia="Times New Roman" w:cs="Times New Roman"/>
          <w:spacing w:val="1"/>
          <w:sz w:val="18"/>
          <w:szCs w:val="18"/>
        </w:rPr>
        <w:t>[M].</w:t>
      </w:r>
      <w:r>
        <w:rPr>
          <w:spacing w:val="1"/>
          <w:sz w:val="18"/>
          <w:szCs w:val="18"/>
        </w:rPr>
        <w:t>北京：电子工业出版社，</w:t>
      </w:r>
      <w:r>
        <w:rPr>
          <w:spacing w:val="15"/>
          <w:sz w:val="18"/>
          <w:szCs w:val="18"/>
        </w:rPr>
        <w:t xml:space="preserve"> </w:t>
      </w:r>
      <w:r>
        <w:rPr>
          <w:rFonts w:ascii="Times New Roman" w:hAnsi="Times New Roman" w:eastAsia="Times New Roman" w:cs="Times New Roman"/>
          <w:spacing w:val="-1"/>
          <w:sz w:val="14"/>
          <w:szCs w:val="14"/>
        </w:rPr>
        <w:t>2016</w:t>
      </w:r>
    </w:p>
    <w:p w14:paraId="5AEC67BA">
      <w:pPr>
        <w:pStyle w:val="2"/>
        <w:spacing w:before="72" w:line="212" w:lineRule="auto"/>
        <w:ind w:left="369"/>
        <w:rPr>
          <w:sz w:val="18"/>
          <w:szCs w:val="18"/>
        </w:rPr>
      </w:pPr>
      <w:r>
        <w:rPr>
          <w:spacing w:val="1"/>
          <w:sz w:val="18"/>
          <w:szCs w:val="18"/>
        </w:rPr>
        <w:t>[18]霍雨佳，周若平，钱晖中.大数据科学</w:t>
      </w:r>
      <w:r>
        <w:rPr>
          <w:spacing w:val="-50"/>
          <w:sz w:val="18"/>
          <w:szCs w:val="18"/>
        </w:rPr>
        <w:t xml:space="preserve"> </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15"/>
          <w:w w:val="101"/>
          <w:sz w:val="18"/>
          <w:szCs w:val="18"/>
        </w:rPr>
        <w:t xml:space="preserve"> </w:t>
      </w:r>
      <w:r>
        <w:rPr>
          <w:spacing w:val="1"/>
          <w:sz w:val="18"/>
          <w:szCs w:val="18"/>
        </w:rPr>
        <w:t>成都：电子科技大学</w:t>
      </w:r>
      <w:r>
        <w:rPr>
          <w:sz w:val="18"/>
          <w:szCs w:val="18"/>
        </w:rPr>
        <w:t>出版社，2017</w:t>
      </w:r>
    </w:p>
    <w:p w14:paraId="1E20A794">
      <w:pPr>
        <w:pStyle w:val="2"/>
        <w:spacing w:before="104" w:line="212" w:lineRule="auto"/>
        <w:ind w:left="369"/>
        <w:rPr>
          <w:sz w:val="18"/>
          <w:szCs w:val="18"/>
        </w:rPr>
      </w:pPr>
      <w:r>
        <w:rPr>
          <w:spacing w:val="2"/>
          <w:sz w:val="18"/>
          <w:szCs w:val="18"/>
        </w:rPr>
        <w:t>[19]李辉.物联网发展与应用研究</w:t>
      </w:r>
      <w:r>
        <w:rPr>
          <w:rFonts w:ascii="Times New Roman" w:hAnsi="Times New Roman" w:eastAsia="Times New Roman" w:cs="Times New Roman"/>
          <w:spacing w:val="2"/>
          <w:sz w:val="18"/>
          <w:szCs w:val="18"/>
        </w:rPr>
        <w:t>[M].</w:t>
      </w:r>
      <w:r>
        <w:rPr>
          <w:rFonts w:ascii="Times New Roman" w:hAnsi="Times New Roman" w:eastAsia="Times New Roman" w:cs="Times New Roman"/>
          <w:spacing w:val="25"/>
          <w:w w:val="101"/>
          <w:sz w:val="18"/>
          <w:szCs w:val="18"/>
        </w:rPr>
        <w:t xml:space="preserve"> </w:t>
      </w:r>
      <w:r>
        <w:rPr>
          <w:spacing w:val="2"/>
          <w:sz w:val="18"/>
          <w:szCs w:val="18"/>
        </w:rPr>
        <w:t>北京：北京</w:t>
      </w:r>
      <w:r>
        <w:rPr>
          <w:spacing w:val="1"/>
          <w:sz w:val="18"/>
          <w:szCs w:val="18"/>
        </w:rPr>
        <w:t>理工大学出版社，2017</w:t>
      </w:r>
    </w:p>
    <w:p w14:paraId="19D4C59F">
      <w:pPr>
        <w:pStyle w:val="2"/>
        <w:spacing w:before="119" w:line="219" w:lineRule="auto"/>
        <w:ind w:left="369"/>
        <w:rPr>
          <w:sz w:val="18"/>
          <w:szCs w:val="18"/>
        </w:rPr>
      </w:pPr>
      <w:r>
        <w:rPr>
          <w:spacing w:val="1"/>
          <w:sz w:val="18"/>
          <w:szCs w:val="18"/>
        </w:rPr>
        <w:t>[20]胡昌平，邓胜利.信息资源管理研究进展[M].</w:t>
      </w:r>
      <w:r>
        <w:rPr>
          <w:spacing w:val="-42"/>
          <w:sz w:val="18"/>
          <w:szCs w:val="18"/>
        </w:rPr>
        <w:t xml:space="preserve"> </w:t>
      </w:r>
      <w:r>
        <w:rPr>
          <w:spacing w:val="1"/>
          <w:sz w:val="18"/>
          <w:szCs w:val="18"/>
        </w:rPr>
        <w:t>武汉，武汉大学出版社，2017</w:t>
      </w:r>
    </w:p>
    <w:p w14:paraId="7A15F88A">
      <w:pPr>
        <w:pStyle w:val="2"/>
        <w:spacing w:before="60" w:line="212" w:lineRule="auto"/>
        <w:ind w:left="369"/>
        <w:rPr>
          <w:sz w:val="18"/>
          <w:szCs w:val="18"/>
        </w:rPr>
      </w:pPr>
      <w:r>
        <w:rPr>
          <w:spacing w:val="2"/>
          <w:sz w:val="18"/>
          <w:szCs w:val="18"/>
        </w:rPr>
        <w:t>[21]张鸿涛，徐连明，刘臻.物联网关键技术及系统应用</w:t>
      </w:r>
      <w:r>
        <w:rPr>
          <w:rFonts w:ascii="Times New Roman" w:hAnsi="Times New Roman" w:eastAsia="Times New Roman" w:cs="Times New Roman"/>
          <w:spacing w:val="2"/>
          <w:sz w:val="18"/>
          <w:szCs w:val="18"/>
        </w:rPr>
        <w:t>[M].2</w:t>
      </w:r>
      <w:r>
        <w:rPr>
          <w:rFonts w:ascii="Times New Roman" w:hAnsi="Times New Roman" w:eastAsia="Times New Roman" w:cs="Times New Roman"/>
          <w:spacing w:val="31"/>
          <w:w w:val="101"/>
          <w:sz w:val="18"/>
          <w:szCs w:val="18"/>
        </w:rPr>
        <w:t xml:space="preserve"> </w:t>
      </w:r>
      <w:r>
        <w:rPr>
          <w:spacing w:val="2"/>
          <w:sz w:val="18"/>
          <w:szCs w:val="18"/>
        </w:rPr>
        <w:t>版.北京：机械工业出版社，2017</w:t>
      </w:r>
    </w:p>
    <w:p w14:paraId="6D959497">
      <w:pPr>
        <w:pStyle w:val="2"/>
        <w:spacing w:before="91" w:line="274" w:lineRule="auto"/>
        <w:ind w:right="80" w:firstLine="369"/>
        <w:rPr>
          <w:sz w:val="18"/>
          <w:szCs w:val="18"/>
        </w:rPr>
      </w:pPr>
      <w:r>
        <w:rPr>
          <w:rFonts w:ascii="Times New Roman" w:hAnsi="Times New Roman" w:eastAsia="Times New Roman" w:cs="Times New Roman"/>
          <w:spacing w:val="5"/>
          <w:sz w:val="18"/>
          <w:szCs w:val="18"/>
        </w:rPr>
        <w:t>[22]</w:t>
      </w:r>
      <w:r>
        <w:rPr>
          <w:rFonts w:ascii="Times New Roman" w:hAnsi="Times New Roman" w:eastAsia="Times New Roman" w:cs="Times New Roman"/>
          <w:sz w:val="18"/>
          <w:szCs w:val="18"/>
        </w:rPr>
        <w:t>James</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Michael</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Stewart</w:t>
      </w:r>
      <w:r>
        <w:rPr>
          <w:rFonts w:ascii="Times New Roman" w:hAnsi="Times New Roman" w:eastAsia="Times New Roman" w:cs="Times New Roman"/>
          <w:spacing w:val="5"/>
          <w:sz w:val="18"/>
          <w:szCs w:val="18"/>
        </w:rPr>
        <w:t>,</w:t>
      </w:r>
      <w:r>
        <w:rPr>
          <w:rFonts w:ascii="Times New Roman" w:hAnsi="Times New Roman" w:eastAsia="Times New Roman" w:cs="Times New Roman"/>
          <w:sz w:val="18"/>
          <w:szCs w:val="18"/>
        </w:rPr>
        <w:t>Mike</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Chapple</w:t>
      </w:r>
      <w:r>
        <w:rPr>
          <w:rFonts w:ascii="Times New Roman" w:hAnsi="Times New Roman" w:eastAsia="Times New Roman" w:cs="Times New Roman"/>
          <w:spacing w:val="5"/>
          <w:sz w:val="18"/>
          <w:szCs w:val="18"/>
        </w:rPr>
        <w:t>,</w:t>
      </w:r>
      <w:r>
        <w:rPr>
          <w:rFonts w:ascii="Times New Roman" w:hAnsi="Times New Roman" w:eastAsia="Times New Roman" w:cs="Times New Roman"/>
          <w:sz w:val="18"/>
          <w:szCs w:val="18"/>
        </w:rPr>
        <w:t>Darril</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z w:val="18"/>
          <w:szCs w:val="18"/>
        </w:rPr>
        <w:t>Gibson</w:t>
      </w:r>
      <w:r>
        <w:rPr>
          <w:rFonts w:ascii="Times New Roman" w:hAnsi="Times New Roman" w:eastAsia="Times New Roman" w:cs="Times New Roman"/>
          <w:spacing w:val="5"/>
          <w:sz w:val="18"/>
          <w:szCs w:val="18"/>
        </w:rPr>
        <w:t>.</w:t>
      </w:r>
      <w:r>
        <w:rPr>
          <w:rFonts w:ascii="Times New Roman" w:hAnsi="Times New Roman" w:eastAsia="Times New Roman" w:cs="Times New Roman"/>
          <w:sz w:val="18"/>
          <w:szCs w:val="18"/>
        </w:rPr>
        <w:t>CISSP</w:t>
      </w:r>
      <w:r>
        <w:rPr>
          <w:spacing w:val="5"/>
          <w:sz w:val="18"/>
          <w:szCs w:val="18"/>
        </w:rPr>
        <w:t>官方学习指南</w:t>
      </w:r>
      <w:r>
        <w:rPr>
          <w:rFonts w:ascii="Times New Roman" w:hAnsi="Times New Roman" w:eastAsia="Times New Roman" w:cs="Times New Roman"/>
          <w:spacing w:val="5"/>
          <w:sz w:val="18"/>
          <w:szCs w:val="18"/>
        </w:rPr>
        <w:t>[M].</w:t>
      </w:r>
      <w:r>
        <w:rPr>
          <w:rFonts w:ascii="Times New Roman" w:hAnsi="Times New Roman" w:eastAsia="Times New Roman" w:cs="Times New Roman"/>
          <w:spacing w:val="19"/>
          <w:sz w:val="18"/>
          <w:szCs w:val="18"/>
        </w:rPr>
        <w:t xml:space="preserve"> </w:t>
      </w:r>
      <w:r>
        <w:rPr>
          <w:spacing w:val="5"/>
          <w:sz w:val="18"/>
          <w:szCs w:val="18"/>
        </w:rPr>
        <w:t>唐俊飞，译.7版.北</w:t>
      </w:r>
      <w:r>
        <w:rPr>
          <w:sz w:val="18"/>
          <w:szCs w:val="18"/>
        </w:rPr>
        <w:t xml:space="preserve"> </w:t>
      </w:r>
      <w:r>
        <w:rPr>
          <w:spacing w:val="-1"/>
          <w:sz w:val="18"/>
          <w:szCs w:val="18"/>
        </w:rPr>
        <w:t>京：清华大学出版社，2017</w:t>
      </w:r>
    </w:p>
    <w:p w14:paraId="4699CFC5">
      <w:pPr>
        <w:pStyle w:val="2"/>
        <w:spacing w:before="108" w:line="212" w:lineRule="auto"/>
        <w:ind w:left="369"/>
        <w:rPr>
          <w:sz w:val="18"/>
          <w:szCs w:val="18"/>
        </w:rPr>
      </w:pPr>
      <w:r>
        <w:rPr>
          <w:spacing w:val="1"/>
          <w:sz w:val="18"/>
          <w:szCs w:val="18"/>
        </w:rPr>
        <w:t>[23]夏志杰.工业互联网：体系与技术</w:t>
      </w:r>
      <w:r>
        <w:rPr>
          <w:spacing w:val="-49"/>
          <w:sz w:val="18"/>
          <w:szCs w:val="18"/>
        </w:rPr>
        <w:t xml:space="preserve"> </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15"/>
          <w:w w:val="101"/>
          <w:sz w:val="18"/>
          <w:szCs w:val="18"/>
        </w:rPr>
        <w:t xml:space="preserve"> </w:t>
      </w:r>
      <w:r>
        <w:rPr>
          <w:spacing w:val="1"/>
          <w:sz w:val="18"/>
          <w:szCs w:val="18"/>
        </w:rPr>
        <w:t>北京：机械工业出版社</w:t>
      </w:r>
      <w:r>
        <w:rPr>
          <w:sz w:val="18"/>
          <w:szCs w:val="18"/>
        </w:rPr>
        <w:t>，2017</w:t>
      </w:r>
    </w:p>
    <w:p w14:paraId="2A3A1E67">
      <w:pPr>
        <w:pStyle w:val="2"/>
        <w:spacing w:before="104" w:line="212" w:lineRule="auto"/>
        <w:ind w:left="369"/>
        <w:rPr>
          <w:sz w:val="18"/>
          <w:szCs w:val="18"/>
        </w:rPr>
      </w:pPr>
      <w:r>
        <w:rPr>
          <w:spacing w:val="2"/>
          <w:sz w:val="18"/>
          <w:szCs w:val="18"/>
        </w:rPr>
        <w:t>[24]易高峰.数字经济与创新管理实务</w:t>
      </w:r>
      <w:r>
        <w:rPr>
          <w:rFonts w:ascii="Times New Roman" w:hAnsi="Times New Roman" w:eastAsia="Times New Roman" w:cs="Times New Roman"/>
          <w:spacing w:val="2"/>
          <w:sz w:val="18"/>
          <w:szCs w:val="18"/>
        </w:rPr>
        <w:t>[M].</w:t>
      </w:r>
      <w:r>
        <w:rPr>
          <w:rFonts w:ascii="Times New Roman" w:hAnsi="Times New Roman" w:eastAsia="Times New Roman" w:cs="Times New Roman"/>
          <w:spacing w:val="25"/>
          <w:w w:val="101"/>
          <w:sz w:val="18"/>
          <w:szCs w:val="18"/>
        </w:rPr>
        <w:t xml:space="preserve"> </w:t>
      </w:r>
      <w:r>
        <w:rPr>
          <w:spacing w:val="2"/>
          <w:sz w:val="18"/>
          <w:szCs w:val="18"/>
        </w:rPr>
        <w:t>北京：</w:t>
      </w:r>
      <w:r>
        <w:rPr>
          <w:spacing w:val="1"/>
          <w:sz w:val="18"/>
          <w:szCs w:val="18"/>
        </w:rPr>
        <w:t>中国经济出版社，2018</w:t>
      </w:r>
    </w:p>
    <w:p w14:paraId="17F2C5D2">
      <w:pPr>
        <w:pStyle w:val="2"/>
        <w:spacing w:before="103" w:line="212" w:lineRule="auto"/>
        <w:ind w:left="369"/>
        <w:rPr>
          <w:sz w:val="18"/>
          <w:szCs w:val="18"/>
        </w:rPr>
      </w:pPr>
      <w:r>
        <w:rPr>
          <w:spacing w:val="2"/>
          <w:sz w:val="18"/>
          <w:szCs w:val="18"/>
        </w:rPr>
        <w:t>[25]胡沛，韩璞.大数据技术及应用探究</w:t>
      </w:r>
      <w:r>
        <w:rPr>
          <w:rFonts w:ascii="Times New Roman" w:hAnsi="Times New Roman" w:eastAsia="Times New Roman" w:cs="Times New Roman"/>
          <w:spacing w:val="2"/>
          <w:sz w:val="18"/>
          <w:szCs w:val="18"/>
        </w:rPr>
        <w:t>[M]</w:t>
      </w:r>
      <w:r>
        <w:rPr>
          <w:rFonts w:ascii="Times New Roman" w:hAnsi="Times New Roman" w:eastAsia="Times New Roman" w:cs="Times New Roman"/>
          <w:spacing w:val="1"/>
          <w:sz w:val="18"/>
          <w:szCs w:val="18"/>
        </w:rPr>
        <w:t>.</w:t>
      </w:r>
      <w:r>
        <w:rPr>
          <w:rFonts w:ascii="Times New Roman" w:hAnsi="Times New Roman" w:eastAsia="Times New Roman" w:cs="Times New Roman"/>
          <w:spacing w:val="15"/>
          <w:w w:val="101"/>
          <w:sz w:val="18"/>
          <w:szCs w:val="18"/>
        </w:rPr>
        <w:t xml:space="preserve"> </w:t>
      </w:r>
      <w:r>
        <w:rPr>
          <w:spacing w:val="1"/>
          <w:sz w:val="18"/>
          <w:szCs w:val="18"/>
        </w:rPr>
        <w:t>成都：电子科技大学出版社，2018</w:t>
      </w:r>
    </w:p>
    <w:p w14:paraId="7515BF59">
      <w:pPr>
        <w:pStyle w:val="2"/>
        <w:spacing w:before="99" w:line="259" w:lineRule="auto"/>
        <w:ind w:right="83" w:firstLine="369"/>
        <w:rPr>
          <w:sz w:val="18"/>
          <w:szCs w:val="18"/>
        </w:rPr>
      </w:pPr>
      <w:r>
        <w:rPr>
          <w:rFonts w:ascii="Times New Roman" w:hAnsi="Times New Roman" w:eastAsia="Times New Roman" w:cs="Times New Roman"/>
          <w:spacing w:val="1"/>
          <w:sz w:val="18"/>
          <w:szCs w:val="18"/>
        </w:rPr>
        <w:t>[26]</w:t>
      </w:r>
      <w:r>
        <w:rPr>
          <w:rFonts w:ascii="Times New Roman" w:hAnsi="Times New Roman" w:eastAsia="Times New Roman" w:cs="Times New Roman"/>
          <w:sz w:val="18"/>
          <w:szCs w:val="18"/>
        </w:rPr>
        <w:t>Project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Management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Institute</w:t>
      </w:r>
      <w:r>
        <w:rPr>
          <w:rFonts w:ascii="Times New Roman" w:hAnsi="Times New Roman" w:eastAsia="Times New Roman" w:cs="Times New Roman"/>
          <w:spacing w:val="1"/>
          <w:sz w:val="18"/>
          <w:szCs w:val="18"/>
        </w:rPr>
        <w:t>.</w:t>
      </w:r>
      <w:r>
        <w:rPr>
          <w:spacing w:val="1"/>
          <w:sz w:val="18"/>
          <w:szCs w:val="18"/>
        </w:rPr>
        <w:t>项目管理知识体系指南</w:t>
      </w:r>
      <w:r>
        <w:rPr>
          <w:spacing w:val="-29"/>
          <w:sz w:val="18"/>
          <w:szCs w:val="18"/>
        </w:rPr>
        <w:t xml:space="preserve"> </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PMBOK</w:t>
      </w:r>
      <w:r>
        <w:rPr>
          <w:rFonts w:ascii="Times New Roman" w:hAnsi="Times New Roman" w:eastAsia="Times New Roman" w:cs="Times New Roman"/>
          <w:spacing w:val="1"/>
          <w:sz w:val="18"/>
          <w:szCs w:val="18"/>
        </w:rPr>
        <w:t xml:space="preserve">°  </w:t>
      </w:r>
      <w:r>
        <w:rPr>
          <w:spacing w:val="1"/>
          <w:sz w:val="18"/>
          <w:szCs w:val="18"/>
        </w:rPr>
        <w:t>指</w:t>
      </w:r>
      <w:r>
        <w:rPr>
          <w:spacing w:val="-36"/>
          <w:sz w:val="18"/>
          <w:szCs w:val="18"/>
        </w:rPr>
        <w:t xml:space="preserve"> </w:t>
      </w:r>
      <w:r>
        <w:rPr>
          <w:spacing w:val="1"/>
          <w:sz w:val="18"/>
          <w:szCs w:val="18"/>
        </w:rPr>
        <w:t>南</w:t>
      </w:r>
      <w:r>
        <w:rPr>
          <w:spacing w:val="-38"/>
          <w:sz w:val="18"/>
          <w:szCs w:val="18"/>
        </w:rPr>
        <w:t xml:space="preserve"> </w:t>
      </w:r>
      <w:r>
        <w:rPr>
          <w:spacing w:val="1"/>
          <w:sz w:val="18"/>
          <w:szCs w:val="18"/>
        </w:rPr>
        <w:t>)</w:t>
      </w:r>
      <w:r>
        <w:rPr>
          <w:rFonts w:ascii="Times New Roman" w:hAnsi="Times New Roman" w:eastAsia="Times New Roman" w:cs="Times New Roman"/>
          <w:spacing w:val="1"/>
          <w:sz w:val="18"/>
          <w:szCs w:val="18"/>
        </w:rPr>
        <w:t xml:space="preserve">[M].6 </w:t>
      </w:r>
      <w:r>
        <w:rPr>
          <w:rFonts w:ascii="Times New Roman" w:hAnsi="Times New Roman" w:eastAsia="Times New Roman" w:cs="Times New Roman"/>
          <w:sz w:val="18"/>
          <w:szCs w:val="18"/>
        </w:rPr>
        <w:t xml:space="preserve">  </w:t>
      </w:r>
      <w:r>
        <w:rPr>
          <w:sz w:val="18"/>
          <w:szCs w:val="18"/>
        </w:rPr>
        <w:t xml:space="preserve">版.北京：电子工业 </w:t>
      </w:r>
      <w:r>
        <w:rPr>
          <w:spacing w:val="1"/>
          <w:sz w:val="18"/>
          <w:szCs w:val="18"/>
        </w:rPr>
        <w:t>出版社，2018</w:t>
      </w:r>
    </w:p>
    <w:p w14:paraId="177E0B9F">
      <w:pPr>
        <w:spacing w:line="259" w:lineRule="auto"/>
        <w:rPr>
          <w:sz w:val="18"/>
          <w:szCs w:val="18"/>
        </w:rPr>
        <w:sectPr>
          <w:pgSz w:w="10070" w:h="13280"/>
          <w:pgMar w:top="400" w:right="839" w:bottom="400" w:left="820" w:header="0" w:footer="0" w:gutter="0"/>
          <w:cols w:space="720" w:num="1"/>
        </w:sectPr>
      </w:pPr>
    </w:p>
    <w:p w14:paraId="5DFD5419">
      <w:pPr>
        <w:pStyle w:val="2"/>
        <w:spacing w:before="27" w:line="219" w:lineRule="auto"/>
        <w:rPr>
          <w:sz w:val="18"/>
          <w:szCs w:val="18"/>
        </w:rPr>
      </w:pPr>
      <w:r>
        <w:rPr>
          <w:rFonts w:ascii="Times New Roman" w:hAnsi="Times New Roman" w:eastAsia="Times New Roman" w:cs="Times New Roman"/>
          <w:b/>
          <w:bCs/>
          <w:spacing w:val="11"/>
          <w:sz w:val="18"/>
          <w:szCs w:val="18"/>
        </w:rPr>
        <w:t>608</w:t>
      </w:r>
      <w:r>
        <w:rPr>
          <w:rFonts w:ascii="Times New Roman" w:hAnsi="Times New Roman" w:eastAsia="Times New Roman" w:cs="Times New Roman"/>
          <w:b/>
          <w:bCs/>
          <w:spacing w:val="3"/>
          <w:sz w:val="18"/>
          <w:szCs w:val="18"/>
        </w:rPr>
        <w:t xml:space="preserve">               </w:t>
      </w:r>
      <w:r>
        <w:rPr>
          <w:spacing w:val="11"/>
          <w:sz w:val="18"/>
          <w:szCs w:val="18"/>
        </w:rPr>
        <w:t>信息系统监理师教程(第2版)</w:t>
      </w:r>
    </w:p>
    <w:p w14:paraId="354621CC">
      <w:pPr>
        <w:spacing w:line="318" w:lineRule="auto"/>
        <w:rPr>
          <w:rFonts w:ascii="Arial"/>
          <w:sz w:val="21"/>
        </w:rPr>
      </w:pPr>
    </w:p>
    <w:p w14:paraId="1978AD60">
      <w:pPr>
        <w:pStyle w:val="2"/>
        <w:spacing w:before="58" w:line="212" w:lineRule="auto"/>
        <w:ind w:left="710"/>
        <w:rPr>
          <w:sz w:val="18"/>
          <w:szCs w:val="18"/>
        </w:rPr>
      </w:pPr>
      <w:r>
        <w:rPr>
          <w:spacing w:val="1"/>
          <w:sz w:val="18"/>
          <w:szCs w:val="18"/>
        </w:rPr>
        <w:t>[27]王印成.我国智慧城市建设和人工智能的发展</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6"/>
          <w:w w:val="101"/>
          <w:sz w:val="18"/>
          <w:szCs w:val="18"/>
        </w:rPr>
        <w:t xml:space="preserve"> </w:t>
      </w:r>
      <w:r>
        <w:rPr>
          <w:spacing w:val="1"/>
          <w:sz w:val="18"/>
          <w:szCs w:val="18"/>
        </w:rPr>
        <w:t>北京：经济日报出版社，2018</w:t>
      </w:r>
    </w:p>
    <w:p w14:paraId="2404991B">
      <w:pPr>
        <w:pStyle w:val="2"/>
        <w:spacing w:before="113" w:line="212" w:lineRule="auto"/>
        <w:ind w:left="710"/>
        <w:rPr>
          <w:sz w:val="18"/>
          <w:szCs w:val="18"/>
        </w:rPr>
      </w:pPr>
      <w:r>
        <w:rPr>
          <w:spacing w:val="2"/>
          <w:sz w:val="18"/>
          <w:szCs w:val="18"/>
        </w:rPr>
        <w:t>[28]何宗耀.新型智慧城市建设现状、</w:t>
      </w:r>
      <w:r>
        <w:rPr>
          <w:spacing w:val="1"/>
          <w:sz w:val="18"/>
          <w:szCs w:val="18"/>
        </w:rPr>
        <w:t>技术与研究</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15"/>
          <w:w w:val="101"/>
          <w:sz w:val="18"/>
          <w:szCs w:val="18"/>
        </w:rPr>
        <w:t xml:space="preserve"> </w:t>
      </w:r>
      <w:r>
        <w:rPr>
          <w:spacing w:val="1"/>
          <w:sz w:val="18"/>
          <w:szCs w:val="18"/>
        </w:rPr>
        <w:t>北京：北京邮电大学出版社，2018</w:t>
      </w:r>
    </w:p>
    <w:p w14:paraId="4D59BCCB">
      <w:pPr>
        <w:pStyle w:val="2"/>
        <w:spacing w:before="129" w:line="219" w:lineRule="auto"/>
        <w:ind w:left="710"/>
        <w:rPr>
          <w:sz w:val="18"/>
          <w:szCs w:val="18"/>
        </w:rPr>
      </w:pPr>
      <w:r>
        <w:rPr>
          <w:sz w:val="18"/>
          <w:szCs w:val="18"/>
        </w:rPr>
        <w:t>[29]陈晓华，刘彬，王向军，等.揭秘区块链[M].</w:t>
      </w:r>
      <w:r>
        <w:rPr>
          <w:spacing w:val="-31"/>
          <w:sz w:val="18"/>
          <w:szCs w:val="18"/>
        </w:rPr>
        <w:t xml:space="preserve"> </w:t>
      </w:r>
      <w:r>
        <w:rPr>
          <w:sz w:val="18"/>
          <w:szCs w:val="18"/>
        </w:rPr>
        <w:t>北京：北京邮电大学出版社，2019</w:t>
      </w:r>
    </w:p>
    <w:p w14:paraId="10D1EBC0">
      <w:pPr>
        <w:pStyle w:val="2"/>
        <w:spacing w:before="90" w:line="212" w:lineRule="auto"/>
        <w:ind w:left="710"/>
        <w:rPr>
          <w:sz w:val="18"/>
          <w:szCs w:val="18"/>
        </w:rPr>
      </w:pPr>
      <w:r>
        <w:rPr>
          <w:spacing w:val="1"/>
          <w:sz w:val="18"/>
          <w:szCs w:val="18"/>
        </w:rPr>
        <w:t>[30]郑树泉，王倩，武智霞，等.工业智能技术与应用</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32"/>
          <w:sz w:val="18"/>
          <w:szCs w:val="18"/>
        </w:rPr>
        <w:t xml:space="preserve"> </w:t>
      </w:r>
      <w:r>
        <w:rPr>
          <w:spacing w:val="1"/>
          <w:sz w:val="18"/>
          <w:szCs w:val="18"/>
        </w:rPr>
        <w:t>上海：上海科学技术出版社，2019</w:t>
      </w:r>
    </w:p>
    <w:p w14:paraId="5C70C0AA">
      <w:pPr>
        <w:pStyle w:val="2"/>
        <w:spacing w:before="113" w:line="212" w:lineRule="auto"/>
        <w:ind w:left="710"/>
        <w:rPr>
          <w:sz w:val="18"/>
          <w:szCs w:val="18"/>
        </w:rPr>
      </w:pPr>
      <w:r>
        <w:rPr>
          <w:spacing w:val="6"/>
          <w:sz w:val="18"/>
          <w:szCs w:val="18"/>
        </w:rPr>
        <w:t>[31]周楚生.信息系统工程造价指导(2019版)</w:t>
      </w:r>
      <w:r>
        <w:rPr>
          <w:rFonts w:ascii="Times New Roman" w:hAnsi="Times New Roman" w:eastAsia="Times New Roman" w:cs="Times New Roman"/>
          <w:spacing w:val="6"/>
          <w:sz w:val="18"/>
          <w:szCs w:val="18"/>
        </w:rPr>
        <w:t xml:space="preserve">[M]. </w:t>
      </w:r>
      <w:r>
        <w:rPr>
          <w:spacing w:val="6"/>
          <w:sz w:val="18"/>
          <w:szCs w:val="18"/>
        </w:rPr>
        <w:t>深圳：海天出版社，2019</w:t>
      </w:r>
    </w:p>
    <w:p w14:paraId="7FB1E326">
      <w:pPr>
        <w:pStyle w:val="2"/>
        <w:spacing w:before="94" w:line="212" w:lineRule="auto"/>
        <w:ind w:left="710"/>
        <w:rPr>
          <w:sz w:val="18"/>
          <w:szCs w:val="18"/>
        </w:rPr>
      </w:pPr>
      <w:r>
        <w:rPr>
          <w:spacing w:val="-3"/>
          <w:sz w:val="18"/>
          <w:szCs w:val="18"/>
        </w:rPr>
        <w:t>[32]普里马韦拉</w:t>
      </w:r>
      <w:r>
        <w:rPr>
          <w:spacing w:val="-19"/>
          <w:sz w:val="18"/>
          <w:szCs w:val="18"/>
        </w:rPr>
        <w:t xml:space="preserve"> </w:t>
      </w:r>
      <w:r>
        <w:rPr>
          <w:spacing w:val="-3"/>
          <w:sz w:val="18"/>
          <w:szCs w:val="18"/>
        </w:rPr>
        <w:t>·德</w:t>
      </w:r>
      <w:r>
        <w:rPr>
          <w:spacing w:val="-18"/>
          <w:sz w:val="18"/>
          <w:szCs w:val="18"/>
        </w:rPr>
        <w:t xml:space="preserve"> </w:t>
      </w:r>
      <w:r>
        <w:rPr>
          <w:spacing w:val="-3"/>
          <w:sz w:val="18"/>
          <w:szCs w:val="18"/>
        </w:rPr>
        <w:t>·</w:t>
      </w:r>
      <w:r>
        <w:rPr>
          <w:spacing w:val="-75"/>
          <w:sz w:val="18"/>
          <w:szCs w:val="18"/>
        </w:rPr>
        <w:t xml:space="preserve"> </w:t>
      </w:r>
      <w:r>
        <w:rPr>
          <w:spacing w:val="-3"/>
          <w:sz w:val="18"/>
          <w:szCs w:val="18"/>
        </w:rPr>
        <w:t>菲利皮，亚伦</w:t>
      </w:r>
      <w:r>
        <w:rPr>
          <w:spacing w:val="-18"/>
          <w:sz w:val="18"/>
          <w:szCs w:val="18"/>
        </w:rPr>
        <w:t xml:space="preserve"> </w:t>
      </w:r>
      <w:r>
        <w:rPr>
          <w:spacing w:val="-3"/>
          <w:sz w:val="18"/>
          <w:szCs w:val="18"/>
        </w:rPr>
        <w:t>·赖特.监管区块链：代码之治</w:t>
      </w:r>
      <w:r>
        <w:rPr>
          <w:rFonts w:ascii="Times New Roman" w:hAnsi="Times New Roman" w:eastAsia="Times New Roman" w:cs="Times New Roman"/>
          <w:spacing w:val="-3"/>
          <w:sz w:val="18"/>
          <w:szCs w:val="18"/>
        </w:rPr>
        <w:t>[M].</w:t>
      </w:r>
      <w:r>
        <w:rPr>
          <w:rFonts w:ascii="Times New Roman" w:hAnsi="Times New Roman" w:eastAsia="Times New Roman" w:cs="Times New Roman"/>
          <w:spacing w:val="15"/>
          <w:sz w:val="18"/>
          <w:szCs w:val="18"/>
        </w:rPr>
        <w:t xml:space="preserve"> </w:t>
      </w:r>
      <w:r>
        <w:rPr>
          <w:spacing w:val="-3"/>
          <w:sz w:val="18"/>
          <w:szCs w:val="18"/>
        </w:rPr>
        <w:t>北京：中</w:t>
      </w:r>
      <w:r>
        <w:rPr>
          <w:spacing w:val="-4"/>
          <w:sz w:val="18"/>
          <w:szCs w:val="18"/>
        </w:rPr>
        <w:t>信出版社，2019</w:t>
      </w:r>
    </w:p>
    <w:p w14:paraId="11DCA417">
      <w:pPr>
        <w:pStyle w:val="2"/>
        <w:spacing w:before="102" w:line="278" w:lineRule="auto"/>
        <w:ind w:left="350" w:right="90" w:firstLine="359"/>
        <w:rPr>
          <w:sz w:val="18"/>
          <w:szCs w:val="18"/>
        </w:rPr>
      </w:pPr>
      <w:r>
        <w:rPr>
          <w:spacing w:val="3"/>
          <w:sz w:val="18"/>
          <w:szCs w:val="18"/>
        </w:rPr>
        <w:t>[33]中国电子技术标准化研究院，全国信息技术标准化技术委员会.信息技术标准化指南(</w:t>
      </w:r>
      <w:r>
        <w:rPr>
          <w:spacing w:val="2"/>
          <w:sz w:val="18"/>
          <w:szCs w:val="18"/>
        </w:rPr>
        <w:t>2019)</w:t>
      </w:r>
      <w:r>
        <w:rPr>
          <w:rFonts w:ascii="Times New Roman" w:hAnsi="Times New Roman" w:eastAsia="Times New Roman" w:cs="Times New Roman"/>
          <w:spacing w:val="2"/>
          <w:sz w:val="18"/>
          <w:szCs w:val="18"/>
        </w:rPr>
        <w:t>[M].</w:t>
      </w:r>
      <w:r>
        <w:rPr>
          <w:rFonts w:ascii="Times New Roman" w:hAnsi="Times New Roman" w:eastAsia="Times New Roman" w:cs="Times New Roman"/>
          <w:sz w:val="18"/>
          <w:szCs w:val="18"/>
        </w:rPr>
        <w:t xml:space="preserve"> </w:t>
      </w:r>
      <w:r>
        <w:rPr>
          <w:spacing w:val="-1"/>
          <w:sz w:val="18"/>
          <w:szCs w:val="18"/>
        </w:rPr>
        <w:t>北京：电子工业出版社，2020</w:t>
      </w:r>
    </w:p>
    <w:p w14:paraId="4E4D8F10">
      <w:pPr>
        <w:pStyle w:val="2"/>
        <w:spacing w:before="89" w:line="212" w:lineRule="auto"/>
        <w:ind w:left="710"/>
        <w:rPr>
          <w:sz w:val="18"/>
          <w:szCs w:val="18"/>
        </w:rPr>
      </w:pPr>
      <w:r>
        <w:rPr>
          <w:spacing w:val="1"/>
          <w:sz w:val="18"/>
          <w:szCs w:val="18"/>
        </w:rPr>
        <w:t>[34]凌力.区块链导读</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4"/>
          <w:w w:val="102"/>
          <w:sz w:val="18"/>
          <w:szCs w:val="18"/>
        </w:rPr>
        <w:t xml:space="preserve"> </w:t>
      </w:r>
      <w:r>
        <w:rPr>
          <w:spacing w:val="1"/>
          <w:sz w:val="18"/>
          <w:szCs w:val="18"/>
        </w:rPr>
        <w:t>上海：同济大学出版社</w:t>
      </w:r>
      <w:r>
        <w:rPr>
          <w:sz w:val="18"/>
          <w:szCs w:val="18"/>
        </w:rPr>
        <w:t>，2020</w:t>
      </w:r>
    </w:p>
    <w:p w14:paraId="5583ED4D">
      <w:pPr>
        <w:pStyle w:val="2"/>
        <w:spacing w:before="113" w:line="212" w:lineRule="auto"/>
        <w:ind w:left="710"/>
        <w:rPr>
          <w:sz w:val="18"/>
          <w:szCs w:val="18"/>
        </w:rPr>
      </w:pPr>
      <w:r>
        <w:rPr>
          <w:spacing w:val="1"/>
          <w:sz w:val="18"/>
          <w:szCs w:val="18"/>
        </w:rPr>
        <w:t>[35]王琦，张静.数字政府</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5"/>
          <w:w w:val="101"/>
          <w:sz w:val="18"/>
          <w:szCs w:val="18"/>
        </w:rPr>
        <w:t xml:space="preserve"> </w:t>
      </w:r>
      <w:r>
        <w:rPr>
          <w:spacing w:val="1"/>
          <w:sz w:val="18"/>
          <w:szCs w:val="18"/>
        </w:rPr>
        <w:t>北京：北京邮</w:t>
      </w:r>
      <w:r>
        <w:rPr>
          <w:sz w:val="18"/>
          <w:szCs w:val="18"/>
        </w:rPr>
        <w:t>电大学出版社，2020</w:t>
      </w:r>
    </w:p>
    <w:p w14:paraId="2B294E00">
      <w:pPr>
        <w:pStyle w:val="2"/>
        <w:spacing w:before="113" w:line="212" w:lineRule="auto"/>
        <w:ind w:left="710"/>
        <w:rPr>
          <w:sz w:val="18"/>
          <w:szCs w:val="18"/>
        </w:rPr>
      </w:pPr>
      <w:r>
        <w:rPr>
          <w:spacing w:val="1"/>
          <w:sz w:val="18"/>
          <w:szCs w:val="18"/>
        </w:rPr>
        <w:t>[36]朱晓明.走向数字经济</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35"/>
          <w:w w:val="101"/>
          <w:sz w:val="18"/>
          <w:szCs w:val="18"/>
        </w:rPr>
        <w:t xml:space="preserve"> </w:t>
      </w:r>
      <w:r>
        <w:rPr>
          <w:spacing w:val="1"/>
          <w:sz w:val="18"/>
          <w:szCs w:val="18"/>
        </w:rPr>
        <w:t>上海：上海交通大学出版社，2018</w:t>
      </w:r>
    </w:p>
    <w:p w14:paraId="34A39AAA">
      <w:pPr>
        <w:pStyle w:val="2"/>
        <w:spacing w:before="104" w:line="212" w:lineRule="auto"/>
        <w:ind w:left="710"/>
        <w:rPr>
          <w:sz w:val="18"/>
          <w:szCs w:val="18"/>
        </w:rPr>
      </w:pPr>
      <w:r>
        <w:rPr>
          <w:spacing w:val="1"/>
          <w:sz w:val="18"/>
          <w:szCs w:val="18"/>
        </w:rPr>
        <w:t>[37]赵学军，武岳，刘振晗.计算机技术与人工智</w:t>
      </w:r>
      <w:r>
        <w:rPr>
          <w:sz w:val="18"/>
          <w:szCs w:val="18"/>
        </w:rPr>
        <w:t>能基础</w:t>
      </w:r>
      <w:r>
        <w:rPr>
          <w:rFonts w:ascii="Times New Roman" w:hAnsi="Times New Roman" w:eastAsia="Times New Roman" w:cs="Times New Roman"/>
          <w:sz w:val="18"/>
          <w:szCs w:val="18"/>
        </w:rPr>
        <w:t>[M].</w:t>
      </w:r>
      <w:r>
        <w:rPr>
          <w:rFonts w:ascii="Times New Roman" w:hAnsi="Times New Roman" w:eastAsia="Times New Roman" w:cs="Times New Roman"/>
          <w:spacing w:val="15"/>
          <w:w w:val="101"/>
          <w:sz w:val="18"/>
          <w:szCs w:val="18"/>
        </w:rPr>
        <w:t xml:space="preserve"> </w:t>
      </w:r>
      <w:r>
        <w:rPr>
          <w:sz w:val="18"/>
          <w:szCs w:val="18"/>
        </w:rPr>
        <w:t>北京：北京邮电大学出版社，2020</w:t>
      </w:r>
    </w:p>
    <w:p w14:paraId="33B9FB62">
      <w:pPr>
        <w:pStyle w:val="2"/>
        <w:spacing w:before="113" w:line="212" w:lineRule="auto"/>
        <w:ind w:left="710"/>
        <w:rPr>
          <w:sz w:val="18"/>
          <w:szCs w:val="18"/>
        </w:rPr>
      </w:pPr>
      <w:r>
        <w:rPr>
          <w:spacing w:val="1"/>
          <w:sz w:val="18"/>
          <w:szCs w:val="18"/>
        </w:rPr>
        <w:t>[38]王万良.人工智能通识教程</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24"/>
          <w:w w:val="101"/>
          <w:sz w:val="18"/>
          <w:szCs w:val="18"/>
        </w:rPr>
        <w:t xml:space="preserve"> </w:t>
      </w:r>
      <w:r>
        <w:rPr>
          <w:spacing w:val="1"/>
          <w:sz w:val="18"/>
          <w:szCs w:val="18"/>
        </w:rPr>
        <w:t>北京：清华大学出版社，2020</w:t>
      </w:r>
    </w:p>
    <w:p w14:paraId="772CB090">
      <w:pPr>
        <w:pStyle w:val="2"/>
        <w:spacing w:before="103" w:line="212" w:lineRule="auto"/>
        <w:ind w:left="710"/>
        <w:rPr>
          <w:sz w:val="18"/>
          <w:szCs w:val="18"/>
        </w:rPr>
      </w:pPr>
      <w:r>
        <w:rPr>
          <w:spacing w:val="1"/>
          <w:sz w:val="18"/>
          <w:szCs w:val="18"/>
        </w:rPr>
        <w:t>[39]王薇薇，康楠，张雪松.开源云计算：部署、应用、运维</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19"/>
          <w:sz w:val="18"/>
          <w:szCs w:val="18"/>
        </w:rPr>
        <w:t xml:space="preserve"> </w:t>
      </w:r>
      <w:r>
        <w:rPr>
          <w:spacing w:val="1"/>
          <w:sz w:val="18"/>
          <w:szCs w:val="18"/>
        </w:rPr>
        <w:t>北京：机械工业出版社，2021</w:t>
      </w:r>
    </w:p>
    <w:p w14:paraId="3EA002D5">
      <w:pPr>
        <w:pStyle w:val="2"/>
        <w:spacing w:before="104" w:line="212" w:lineRule="auto"/>
        <w:ind w:left="710"/>
        <w:rPr>
          <w:sz w:val="18"/>
          <w:szCs w:val="18"/>
        </w:rPr>
      </w:pPr>
      <w:r>
        <w:rPr>
          <w:spacing w:val="4"/>
          <w:sz w:val="18"/>
          <w:szCs w:val="18"/>
        </w:rPr>
        <w:t>[40]中国建设监理协会.建设工程进度控制(土木建筑工程)</w:t>
      </w:r>
      <w:r>
        <w:rPr>
          <w:rFonts w:ascii="Times New Roman" w:hAnsi="Times New Roman" w:eastAsia="Times New Roman" w:cs="Times New Roman"/>
          <w:spacing w:val="4"/>
          <w:sz w:val="18"/>
          <w:szCs w:val="18"/>
        </w:rPr>
        <w:t>[M].</w:t>
      </w:r>
      <w:r>
        <w:rPr>
          <w:rFonts w:ascii="Times New Roman" w:hAnsi="Times New Roman" w:eastAsia="Times New Roman" w:cs="Times New Roman"/>
          <w:spacing w:val="17"/>
          <w:sz w:val="18"/>
          <w:szCs w:val="18"/>
        </w:rPr>
        <w:t xml:space="preserve"> </w:t>
      </w:r>
      <w:r>
        <w:rPr>
          <w:spacing w:val="4"/>
          <w:sz w:val="18"/>
          <w:szCs w:val="18"/>
        </w:rPr>
        <w:t>北京：中国建筑工业出版社，2021</w:t>
      </w:r>
    </w:p>
    <w:p w14:paraId="5388494F">
      <w:pPr>
        <w:pStyle w:val="2"/>
        <w:spacing w:before="103" w:line="212" w:lineRule="auto"/>
        <w:ind w:left="710"/>
        <w:rPr>
          <w:sz w:val="18"/>
          <w:szCs w:val="18"/>
        </w:rPr>
      </w:pPr>
      <w:r>
        <w:rPr>
          <w:spacing w:val="4"/>
          <w:sz w:val="18"/>
          <w:szCs w:val="18"/>
        </w:rPr>
        <w:t>[41]中国建设监理协会.建设工程投资控制(土木建筑工程)</w:t>
      </w:r>
      <w:r>
        <w:rPr>
          <w:rFonts w:ascii="Times New Roman" w:hAnsi="Times New Roman" w:eastAsia="Times New Roman" w:cs="Times New Roman"/>
          <w:spacing w:val="4"/>
          <w:sz w:val="18"/>
          <w:szCs w:val="18"/>
        </w:rPr>
        <w:t>[M].</w:t>
      </w:r>
      <w:r>
        <w:rPr>
          <w:rFonts w:ascii="Times New Roman" w:hAnsi="Times New Roman" w:eastAsia="Times New Roman" w:cs="Times New Roman"/>
          <w:spacing w:val="28"/>
          <w:sz w:val="18"/>
          <w:szCs w:val="18"/>
        </w:rPr>
        <w:t xml:space="preserve"> </w:t>
      </w:r>
      <w:r>
        <w:rPr>
          <w:spacing w:val="4"/>
          <w:sz w:val="18"/>
          <w:szCs w:val="18"/>
        </w:rPr>
        <w:t>北京：中国建筑工业出版社，2020</w:t>
      </w:r>
    </w:p>
    <w:p w14:paraId="2B84159D">
      <w:pPr>
        <w:pStyle w:val="2"/>
        <w:spacing w:before="103" w:line="212" w:lineRule="auto"/>
        <w:ind w:left="710"/>
        <w:rPr>
          <w:sz w:val="18"/>
          <w:szCs w:val="18"/>
        </w:rPr>
      </w:pPr>
      <w:r>
        <w:rPr>
          <w:spacing w:val="2"/>
          <w:sz w:val="18"/>
          <w:szCs w:val="18"/>
        </w:rPr>
        <w:t>[42]韩仲祥，石磊，楚兴春，等.通信网</w:t>
      </w:r>
      <w:r>
        <w:rPr>
          <w:spacing w:val="1"/>
          <w:sz w:val="18"/>
          <w:szCs w:val="18"/>
        </w:rPr>
        <w:t>络原理与技术</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15"/>
          <w:sz w:val="18"/>
          <w:szCs w:val="18"/>
        </w:rPr>
        <w:t xml:space="preserve"> </w:t>
      </w:r>
      <w:r>
        <w:rPr>
          <w:spacing w:val="1"/>
          <w:sz w:val="18"/>
          <w:szCs w:val="18"/>
        </w:rPr>
        <w:t>北京：电子工业出版社，2022</w:t>
      </w:r>
    </w:p>
    <w:p w14:paraId="25718A97">
      <w:pPr>
        <w:pStyle w:val="2"/>
        <w:spacing w:before="103" w:line="212" w:lineRule="auto"/>
        <w:ind w:left="710"/>
        <w:rPr>
          <w:sz w:val="18"/>
          <w:szCs w:val="18"/>
        </w:rPr>
      </w:pPr>
      <w:r>
        <w:rPr>
          <w:spacing w:val="1"/>
          <w:sz w:val="18"/>
          <w:szCs w:val="18"/>
        </w:rPr>
        <w:t>[43]刘玲，王信敏，安贵鑫.</w:t>
      </w:r>
      <w:r>
        <w:rPr>
          <w:rFonts w:ascii="Times New Roman" w:hAnsi="Times New Roman" w:eastAsia="Times New Roman" w:cs="Times New Roman"/>
          <w:sz w:val="18"/>
          <w:szCs w:val="18"/>
        </w:rPr>
        <w:t>IT</w:t>
      </w:r>
      <w:r>
        <w:rPr>
          <w:rFonts w:ascii="Times New Roman" w:hAnsi="Times New Roman" w:eastAsia="Times New Roman" w:cs="Times New Roman"/>
          <w:spacing w:val="1"/>
          <w:sz w:val="18"/>
          <w:szCs w:val="18"/>
        </w:rPr>
        <w:t xml:space="preserve"> </w:t>
      </w:r>
      <w:r>
        <w:rPr>
          <w:spacing w:val="1"/>
          <w:sz w:val="18"/>
          <w:szCs w:val="18"/>
        </w:rPr>
        <w:t>项目管理</w:t>
      </w:r>
      <w:r>
        <w:rPr>
          <w:rFonts w:ascii="Times New Roman" w:hAnsi="Times New Roman" w:eastAsia="Times New Roman" w:cs="Times New Roman"/>
          <w:spacing w:val="1"/>
          <w:sz w:val="18"/>
          <w:szCs w:val="18"/>
        </w:rPr>
        <w:t>[M].</w:t>
      </w:r>
      <w:r>
        <w:rPr>
          <w:rFonts w:ascii="Times New Roman" w:hAnsi="Times New Roman" w:eastAsia="Times New Roman" w:cs="Times New Roman"/>
          <w:spacing w:val="19"/>
          <w:sz w:val="18"/>
          <w:szCs w:val="18"/>
        </w:rPr>
        <w:t xml:space="preserve"> </w:t>
      </w:r>
      <w:r>
        <w:rPr>
          <w:spacing w:val="1"/>
          <w:sz w:val="18"/>
          <w:szCs w:val="18"/>
        </w:rPr>
        <w:t>杭州：浙江大学出版社，2022</w:t>
      </w:r>
    </w:p>
    <w:p w14:paraId="457BE887">
      <w:pPr>
        <w:pStyle w:val="2"/>
        <w:spacing w:before="115" w:line="272" w:lineRule="auto"/>
        <w:ind w:left="350" w:right="50" w:firstLine="359"/>
        <w:rPr>
          <w:sz w:val="18"/>
          <w:szCs w:val="18"/>
        </w:rPr>
      </w:pPr>
      <w:r>
        <w:rPr>
          <w:spacing w:val="3"/>
          <w:sz w:val="18"/>
          <w:szCs w:val="18"/>
        </w:rPr>
        <w:t>[44]拉尔夫 ·</w:t>
      </w:r>
      <w:r>
        <w:rPr>
          <w:rFonts w:ascii="Times New Roman" w:hAnsi="Times New Roman" w:eastAsia="Times New Roman" w:cs="Times New Roman"/>
          <w:spacing w:val="3"/>
          <w:sz w:val="18"/>
          <w:szCs w:val="18"/>
        </w:rPr>
        <w:t>M.</w:t>
      </w:r>
      <w:r>
        <w:rPr>
          <w:spacing w:val="3"/>
          <w:sz w:val="18"/>
          <w:szCs w:val="18"/>
        </w:rPr>
        <w:t>斯泰尔，乔治 ·</w:t>
      </w:r>
      <w:r>
        <w:rPr>
          <w:rFonts w:ascii="Times New Roman" w:hAnsi="Times New Roman" w:eastAsia="Times New Roman" w:cs="Times New Roman"/>
          <w:spacing w:val="3"/>
          <w:sz w:val="18"/>
          <w:szCs w:val="18"/>
        </w:rPr>
        <w:t>W.</w:t>
      </w:r>
      <w:r>
        <w:rPr>
          <w:spacing w:val="3"/>
          <w:sz w:val="18"/>
          <w:szCs w:val="18"/>
        </w:rPr>
        <w:t>雷诺兹.信息系统基础</w:t>
      </w:r>
      <w:r>
        <w:rPr>
          <w:rFonts w:ascii="Times New Roman" w:hAnsi="Times New Roman" w:eastAsia="Times New Roman" w:cs="Times New Roman"/>
          <w:spacing w:val="3"/>
          <w:sz w:val="18"/>
          <w:szCs w:val="18"/>
        </w:rPr>
        <w:t>[M].</w:t>
      </w:r>
      <w:r>
        <w:rPr>
          <w:rFonts w:ascii="Times New Roman" w:hAnsi="Times New Roman" w:eastAsia="Times New Roman" w:cs="Times New Roman"/>
          <w:spacing w:val="25"/>
          <w:sz w:val="18"/>
          <w:szCs w:val="18"/>
        </w:rPr>
        <w:t xml:space="preserve"> </w:t>
      </w:r>
      <w:r>
        <w:rPr>
          <w:spacing w:val="3"/>
          <w:sz w:val="18"/>
          <w:szCs w:val="18"/>
        </w:rPr>
        <w:t>李焱，马</w:t>
      </w:r>
      <w:r>
        <w:rPr>
          <w:spacing w:val="2"/>
          <w:sz w:val="18"/>
          <w:szCs w:val="18"/>
        </w:rPr>
        <w:t>亚丽，张瑞，等译.8版.北</w:t>
      </w:r>
      <w:r>
        <w:rPr>
          <w:sz w:val="18"/>
          <w:szCs w:val="18"/>
        </w:rPr>
        <w:t xml:space="preserve"> 京：中国人民大学出版社，2022</w:t>
      </w:r>
    </w:p>
    <w:p w14:paraId="15FA9AE2">
      <w:pPr>
        <w:pStyle w:val="2"/>
        <w:spacing w:before="115" w:line="219" w:lineRule="auto"/>
        <w:jc w:val="right"/>
        <w:rPr>
          <w:sz w:val="18"/>
          <w:szCs w:val="18"/>
        </w:rPr>
      </w:pPr>
      <w:r>
        <w:rPr>
          <w:sz w:val="18"/>
          <w:szCs w:val="18"/>
        </w:rPr>
        <w:t>[45]苗春雨，杜廷龙，孙伟峰，等.云计算安全</w:t>
      </w:r>
      <w:r>
        <w:rPr>
          <w:spacing w:val="-1"/>
          <w:sz w:val="18"/>
          <w:szCs w:val="18"/>
        </w:rPr>
        <w:t>：关键技术、原理及应用[M].</w:t>
      </w:r>
      <w:r>
        <w:rPr>
          <w:spacing w:val="-45"/>
          <w:sz w:val="18"/>
          <w:szCs w:val="18"/>
        </w:rPr>
        <w:t xml:space="preserve"> </w:t>
      </w:r>
      <w:r>
        <w:rPr>
          <w:spacing w:val="-1"/>
          <w:sz w:val="18"/>
          <w:szCs w:val="18"/>
        </w:rPr>
        <w:t>北京：机械工业出版社，</w:t>
      </w:r>
    </w:p>
    <w:p w14:paraId="00991CF9">
      <w:pPr>
        <w:spacing w:before="142" w:line="98" w:lineRule="exact"/>
        <w:ind w:left="350"/>
        <w:rPr>
          <w:rFonts w:ascii="Times New Roman" w:hAnsi="Times New Roman" w:eastAsia="Times New Roman" w:cs="Times New Roman"/>
          <w:sz w:val="14"/>
          <w:szCs w:val="14"/>
        </w:rPr>
      </w:pPr>
      <w:r>
        <w:rPr>
          <w:rFonts w:ascii="Times New Roman" w:hAnsi="Times New Roman" w:eastAsia="Times New Roman" w:cs="Times New Roman"/>
          <w:spacing w:val="-1"/>
          <w:position w:val="-2"/>
          <w:sz w:val="14"/>
          <w:szCs w:val="14"/>
        </w:rPr>
        <w:t>2022</w:t>
      </w:r>
    </w:p>
    <w:p w14:paraId="5980FACB">
      <w:pPr>
        <w:pStyle w:val="2"/>
        <w:spacing w:before="1" w:line="211" w:lineRule="auto"/>
        <w:ind w:left="710"/>
        <w:rPr>
          <w:sz w:val="18"/>
          <w:szCs w:val="18"/>
        </w:rPr>
      </w:pPr>
      <w:r>
        <w:rPr>
          <w:spacing w:val="3"/>
          <w:sz w:val="18"/>
          <w:szCs w:val="18"/>
        </w:rPr>
        <w:t>[46]叶宏，鲍亮，宋胜利，等.系统架构设计师教程</w:t>
      </w:r>
      <w:r>
        <w:rPr>
          <w:rFonts w:ascii="Times New Roman" w:hAnsi="Times New Roman" w:eastAsia="Times New Roman" w:cs="Times New Roman"/>
          <w:spacing w:val="3"/>
          <w:sz w:val="18"/>
          <w:szCs w:val="18"/>
        </w:rPr>
        <w:t>[M</w:t>
      </w:r>
      <w:r>
        <w:rPr>
          <w:rFonts w:ascii="Times New Roman" w:hAnsi="Times New Roman" w:eastAsia="Times New Roman" w:cs="Times New Roman"/>
          <w:spacing w:val="2"/>
          <w:sz w:val="18"/>
          <w:szCs w:val="18"/>
        </w:rPr>
        <w:t xml:space="preserve">].2  </w:t>
      </w:r>
      <w:r>
        <w:rPr>
          <w:spacing w:val="2"/>
          <w:sz w:val="18"/>
          <w:szCs w:val="18"/>
        </w:rPr>
        <w:t>版.北京：清华大学出版社，2022</w:t>
      </w:r>
    </w:p>
    <w:p w14:paraId="52371747">
      <w:pPr>
        <w:pStyle w:val="2"/>
        <w:spacing w:before="263" w:line="212" w:lineRule="auto"/>
        <w:jc w:val="right"/>
        <w:rPr>
          <w:sz w:val="18"/>
          <w:szCs w:val="18"/>
        </w:rPr>
      </w:pPr>
      <w:r>
        <w:rPr>
          <w:spacing w:val="10"/>
          <w:sz w:val="18"/>
          <w:szCs w:val="18"/>
        </w:rPr>
        <w:t>[47]刘明亮，宋跃武，张树玲，等.信息系统项目管理师教程</w:t>
      </w:r>
      <w:r>
        <w:rPr>
          <w:rFonts w:ascii="Times New Roman" w:hAnsi="Times New Roman" w:eastAsia="Times New Roman" w:cs="Times New Roman"/>
          <w:spacing w:val="10"/>
          <w:sz w:val="18"/>
          <w:szCs w:val="18"/>
        </w:rPr>
        <w:t>[M].4</w:t>
      </w:r>
      <w:r>
        <w:rPr>
          <w:rFonts w:ascii="Times New Roman" w:hAnsi="Times New Roman" w:eastAsia="Times New Roman" w:cs="Times New Roman"/>
          <w:spacing w:val="20"/>
          <w:sz w:val="18"/>
          <w:szCs w:val="18"/>
        </w:rPr>
        <w:t xml:space="preserve">  </w:t>
      </w:r>
      <w:r>
        <w:rPr>
          <w:spacing w:val="10"/>
          <w:sz w:val="18"/>
          <w:szCs w:val="18"/>
        </w:rPr>
        <w:t>版.北京：清华</w:t>
      </w:r>
      <w:r>
        <w:rPr>
          <w:spacing w:val="9"/>
          <w:sz w:val="18"/>
          <w:szCs w:val="18"/>
        </w:rPr>
        <w:t>大学出版社，</w:t>
      </w:r>
    </w:p>
    <w:p w14:paraId="49A86341">
      <w:pPr>
        <w:spacing w:before="156" w:line="188" w:lineRule="auto"/>
        <w:ind w:left="35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2023</w:t>
      </w:r>
    </w:p>
    <w:p w14:paraId="533F9B47">
      <w:pPr>
        <w:pStyle w:val="2"/>
        <w:spacing w:before="131" w:line="212" w:lineRule="auto"/>
        <w:ind w:left="710"/>
        <w:rPr>
          <w:rFonts w:ascii="Times New Roman" w:hAnsi="Times New Roman" w:eastAsia="Times New Roman" w:cs="Times New Roman"/>
          <w:sz w:val="18"/>
          <w:szCs w:val="18"/>
        </w:rPr>
      </w:pPr>
      <w:r>
        <w:rPr>
          <w:rFonts w:ascii="Times New Roman" w:hAnsi="Times New Roman" w:eastAsia="Times New Roman" w:cs="Times New Roman"/>
          <w:sz w:val="18"/>
          <w:szCs w:val="18"/>
        </w:rPr>
        <w:t>[48]GB/T</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z w:val="18"/>
          <w:szCs w:val="18"/>
        </w:rPr>
        <w:t>8567,</w:t>
      </w:r>
      <w:r>
        <w:rPr>
          <w:rFonts w:ascii="Times New Roman" w:hAnsi="Times New Roman" w:eastAsia="Times New Roman" w:cs="Times New Roman"/>
          <w:spacing w:val="16"/>
          <w:w w:val="101"/>
          <w:sz w:val="18"/>
          <w:szCs w:val="18"/>
        </w:rPr>
        <w:t xml:space="preserve"> </w:t>
      </w:r>
      <w:r>
        <w:rPr>
          <w:sz w:val="18"/>
          <w:szCs w:val="18"/>
        </w:rPr>
        <w:t>计算机软件文档编制规范</w:t>
      </w:r>
      <w:r>
        <w:rPr>
          <w:rFonts w:ascii="Times New Roman" w:hAnsi="Times New Roman" w:eastAsia="Times New Roman" w:cs="Times New Roman"/>
          <w:sz w:val="18"/>
          <w:szCs w:val="18"/>
        </w:rPr>
        <w:t>[S]</w:t>
      </w:r>
    </w:p>
    <w:p w14:paraId="017F3823">
      <w:pPr>
        <w:pStyle w:val="2"/>
        <w:spacing w:before="114" w:line="212" w:lineRule="auto"/>
        <w:ind w:left="71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[49]</w:t>
      </w:r>
      <w:r>
        <w:rPr>
          <w:rFonts w:ascii="Times New Roman" w:hAnsi="Times New Roman" w:eastAsia="Times New Roman" w:cs="Times New Roman"/>
          <w:sz w:val="18"/>
          <w:szCs w:val="18"/>
        </w:rPr>
        <w:t>GB</w:t>
      </w:r>
      <w:r>
        <w:rPr>
          <w:rFonts w:ascii="Times New Roman" w:hAnsi="Times New Roman" w:eastAsia="Times New Roman" w:cs="Times New Roman"/>
          <w:spacing w:val="5"/>
          <w:sz w:val="18"/>
          <w:szCs w:val="18"/>
        </w:rPr>
        <w:t>/T   24353,</w:t>
      </w:r>
      <w:r>
        <w:rPr>
          <w:rFonts w:ascii="Times New Roman" w:hAnsi="Times New Roman" w:eastAsia="Times New Roman" w:cs="Times New Roman"/>
          <w:spacing w:val="20"/>
          <w:sz w:val="18"/>
          <w:szCs w:val="18"/>
        </w:rPr>
        <w:t xml:space="preserve"> </w:t>
      </w:r>
      <w:r>
        <w:rPr>
          <w:spacing w:val="5"/>
          <w:sz w:val="18"/>
          <w:szCs w:val="18"/>
        </w:rPr>
        <w:t>风险管理指南</w:t>
      </w:r>
      <w:r>
        <w:rPr>
          <w:rFonts w:ascii="Times New Roman" w:hAnsi="Times New Roman" w:eastAsia="Times New Roman" w:cs="Times New Roman"/>
          <w:spacing w:val="5"/>
          <w:sz w:val="18"/>
          <w:szCs w:val="18"/>
        </w:rPr>
        <w:t>[S]</w:t>
      </w:r>
    </w:p>
    <w:p w14:paraId="77375214">
      <w:pPr>
        <w:pStyle w:val="2"/>
        <w:spacing w:before="103" w:line="212" w:lineRule="auto"/>
        <w:ind w:left="71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[50]</w:t>
      </w:r>
      <w:r>
        <w:rPr>
          <w:rFonts w:ascii="Times New Roman" w:hAnsi="Times New Roman" w:eastAsia="Times New Roman" w:cs="Times New Roman"/>
          <w:sz w:val="18"/>
          <w:szCs w:val="18"/>
        </w:rPr>
        <w:t>GB</w:t>
      </w:r>
      <w:r>
        <w:rPr>
          <w:rFonts w:ascii="Times New Roman" w:hAnsi="Times New Roman" w:eastAsia="Times New Roman" w:cs="Times New Roman"/>
          <w:spacing w:val="4"/>
          <w:sz w:val="18"/>
          <w:szCs w:val="18"/>
        </w:rPr>
        <w:t>/T27921,</w:t>
      </w:r>
      <w:r>
        <w:rPr>
          <w:rFonts w:ascii="Times New Roman" w:hAnsi="Times New Roman" w:eastAsia="Times New Roman" w:cs="Times New Roman"/>
          <w:spacing w:val="12"/>
          <w:sz w:val="18"/>
          <w:szCs w:val="18"/>
        </w:rPr>
        <w:t xml:space="preserve">    </w:t>
      </w:r>
      <w:r>
        <w:rPr>
          <w:spacing w:val="4"/>
          <w:sz w:val="18"/>
          <w:szCs w:val="18"/>
        </w:rPr>
        <w:t>风险管理风险评估技术</w:t>
      </w:r>
      <w:r>
        <w:rPr>
          <w:rFonts w:ascii="Times New Roman" w:hAnsi="Times New Roman" w:eastAsia="Times New Roman" w:cs="Times New Roman"/>
          <w:spacing w:val="4"/>
          <w:sz w:val="18"/>
          <w:szCs w:val="18"/>
        </w:rPr>
        <w:t>[S]</w:t>
      </w:r>
    </w:p>
    <w:p w14:paraId="11ACFD3F">
      <w:pPr>
        <w:pStyle w:val="2"/>
        <w:spacing w:before="103" w:line="212" w:lineRule="auto"/>
        <w:ind w:left="71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[51]</w:t>
      </w:r>
      <w:r>
        <w:rPr>
          <w:rFonts w:ascii="Times New Roman" w:hAnsi="Times New Roman" w:eastAsia="Times New Roman" w:cs="Times New Roman"/>
          <w:sz w:val="18"/>
          <w:szCs w:val="18"/>
        </w:rPr>
        <w:t>GB</w:t>
      </w:r>
      <w:r>
        <w:rPr>
          <w:rFonts w:ascii="Times New Roman" w:hAnsi="Times New Roman" w:eastAsia="Times New Roman" w:cs="Times New Roman"/>
          <w:spacing w:val="4"/>
          <w:sz w:val="18"/>
          <w:szCs w:val="18"/>
        </w:rPr>
        <w:t>/T   29264,</w:t>
      </w:r>
      <w:r>
        <w:rPr>
          <w:rFonts w:ascii="Times New Roman" w:hAnsi="Times New Roman" w:eastAsia="Times New Roman" w:cs="Times New Roman"/>
          <w:spacing w:val="23"/>
          <w:sz w:val="18"/>
          <w:szCs w:val="18"/>
        </w:rPr>
        <w:t xml:space="preserve"> </w:t>
      </w:r>
      <w:r>
        <w:rPr>
          <w:spacing w:val="4"/>
          <w:sz w:val="18"/>
          <w:szCs w:val="18"/>
        </w:rPr>
        <w:t>信息技术服务分类与代码</w:t>
      </w:r>
      <w:r>
        <w:rPr>
          <w:rFonts w:ascii="Times New Roman" w:hAnsi="Times New Roman" w:eastAsia="Times New Roman" w:cs="Times New Roman"/>
          <w:spacing w:val="4"/>
          <w:sz w:val="18"/>
          <w:szCs w:val="18"/>
        </w:rPr>
        <w:t>[S]</w:t>
      </w:r>
    </w:p>
    <w:p w14:paraId="16C5A4C4">
      <w:pPr>
        <w:pStyle w:val="2"/>
        <w:spacing w:before="93" w:line="212" w:lineRule="auto"/>
        <w:ind w:left="710"/>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[52]</w:t>
      </w:r>
      <w:r>
        <w:rPr>
          <w:rFonts w:ascii="Times New Roman" w:hAnsi="Times New Roman" w:eastAsia="Times New Roman" w:cs="Times New Roman"/>
          <w:sz w:val="18"/>
          <w:szCs w:val="18"/>
        </w:rPr>
        <w:t>GB</w:t>
      </w:r>
      <w:r>
        <w:rPr>
          <w:rFonts w:ascii="Times New Roman" w:hAnsi="Times New Roman" w:eastAsia="Times New Roman" w:cs="Times New Roman"/>
          <w:spacing w:val="8"/>
          <w:sz w:val="18"/>
          <w:szCs w:val="18"/>
        </w:rPr>
        <w:t xml:space="preserve">/T28827.1,    </w:t>
      </w:r>
      <w:r>
        <w:rPr>
          <w:spacing w:val="8"/>
          <w:sz w:val="18"/>
          <w:szCs w:val="18"/>
        </w:rPr>
        <w:t>信息技术服务运行维护第1部分：通用要求</w:t>
      </w:r>
      <w:r>
        <w:rPr>
          <w:rFonts w:ascii="Times New Roman" w:hAnsi="Times New Roman" w:eastAsia="Times New Roman" w:cs="Times New Roman"/>
          <w:spacing w:val="8"/>
          <w:sz w:val="18"/>
          <w:szCs w:val="18"/>
        </w:rPr>
        <w:t>[S]</w:t>
      </w:r>
    </w:p>
    <w:p w14:paraId="34EB1DAF">
      <w:pPr>
        <w:pStyle w:val="2"/>
        <w:spacing w:before="104" w:line="212" w:lineRule="auto"/>
        <w:ind w:left="710"/>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[53]</w:t>
      </w:r>
      <w:r>
        <w:rPr>
          <w:rFonts w:ascii="Times New Roman" w:hAnsi="Times New Roman" w:eastAsia="Times New Roman" w:cs="Times New Roman"/>
          <w:sz w:val="18"/>
          <w:szCs w:val="18"/>
        </w:rPr>
        <w:t>GB</w:t>
      </w:r>
      <w:r>
        <w:rPr>
          <w:rFonts w:ascii="Times New Roman" w:hAnsi="Times New Roman" w:eastAsia="Times New Roman" w:cs="Times New Roman"/>
          <w:spacing w:val="8"/>
          <w:sz w:val="18"/>
          <w:szCs w:val="18"/>
        </w:rPr>
        <w:t>/T   28827.2,</w:t>
      </w:r>
      <w:r>
        <w:rPr>
          <w:rFonts w:ascii="Times New Roman" w:hAnsi="Times New Roman" w:eastAsia="Times New Roman" w:cs="Times New Roman"/>
          <w:spacing w:val="26"/>
          <w:sz w:val="18"/>
          <w:szCs w:val="18"/>
        </w:rPr>
        <w:t xml:space="preserve"> </w:t>
      </w:r>
      <w:r>
        <w:rPr>
          <w:spacing w:val="8"/>
          <w:sz w:val="18"/>
          <w:szCs w:val="18"/>
        </w:rPr>
        <w:t>信息技术服务运行</w:t>
      </w:r>
      <w:r>
        <w:rPr>
          <w:spacing w:val="7"/>
          <w:sz w:val="18"/>
          <w:szCs w:val="18"/>
        </w:rPr>
        <w:t>维护第2部分：交付规范</w:t>
      </w:r>
      <w:r>
        <w:rPr>
          <w:rFonts w:ascii="Times New Roman" w:hAnsi="Times New Roman" w:eastAsia="Times New Roman" w:cs="Times New Roman"/>
          <w:spacing w:val="7"/>
          <w:sz w:val="18"/>
          <w:szCs w:val="18"/>
        </w:rPr>
        <w:t>[S]</w:t>
      </w:r>
    </w:p>
    <w:p w14:paraId="1C204EDD">
      <w:pPr>
        <w:pStyle w:val="2"/>
        <w:spacing w:before="103" w:line="212" w:lineRule="auto"/>
        <w:ind w:left="710"/>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[54]</w:t>
      </w:r>
      <w:r>
        <w:rPr>
          <w:rFonts w:ascii="Times New Roman" w:hAnsi="Times New Roman" w:eastAsia="Times New Roman" w:cs="Times New Roman"/>
          <w:sz w:val="18"/>
          <w:szCs w:val="18"/>
        </w:rPr>
        <w:t>GB</w:t>
      </w:r>
      <w:r>
        <w:rPr>
          <w:rFonts w:ascii="Times New Roman" w:hAnsi="Times New Roman" w:eastAsia="Times New Roman" w:cs="Times New Roman"/>
          <w:spacing w:val="6"/>
          <w:sz w:val="18"/>
          <w:szCs w:val="18"/>
        </w:rPr>
        <w:t>/T   28827.3,</w:t>
      </w:r>
      <w:r>
        <w:rPr>
          <w:rFonts w:ascii="Times New Roman" w:hAnsi="Times New Roman" w:eastAsia="Times New Roman" w:cs="Times New Roman"/>
          <w:spacing w:val="26"/>
          <w:sz w:val="18"/>
          <w:szCs w:val="18"/>
        </w:rPr>
        <w:t xml:space="preserve"> </w:t>
      </w:r>
      <w:r>
        <w:rPr>
          <w:spacing w:val="6"/>
          <w:sz w:val="18"/>
          <w:szCs w:val="18"/>
        </w:rPr>
        <w:t>信息技术服务运行维护第3部分：应</w:t>
      </w:r>
      <w:r>
        <w:rPr>
          <w:spacing w:val="5"/>
          <w:sz w:val="18"/>
          <w:szCs w:val="18"/>
        </w:rPr>
        <w:t>急响应规范</w:t>
      </w:r>
      <w:r>
        <w:rPr>
          <w:rFonts w:ascii="Times New Roman" w:hAnsi="Times New Roman" w:eastAsia="Times New Roman" w:cs="Times New Roman"/>
          <w:spacing w:val="5"/>
          <w:sz w:val="18"/>
          <w:szCs w:val="18"/>
        </w:rPr>
        <w:t>[S]</w:t>
      </w:r>
    </w:p>
    <w:p w14:paraId="44696348">
      <w:pPr>
        <w:pStyle w:val="2"/>
        <w:spacing w:before="128" w:line="216" w:lineRule="auto"/>
        <w:ind w:left="710"/>
        <w:rPr>
          <w:sz w:val="18"/>
          <w:szCs w:val="18"/>
        </w:rPr>
      </w:pPr>
      <w:r>
        <w:rPr>
          <w:spacing w:val="2"/>
          <w:sz w:val="18"/>
          <w:szCs w:val="18"/>
        </w:rPr>
        <w:t>[55]</w:t>
      </w:r>
      <w:r>
        <w:rPr>
          <w:sz w:val="18"/>
          <w:szCs w:val="18"/>
        </w:rPr>
        <w:t>ITSS</w:t>
      </w:r>
      <w:r>
        <w:rPr>
          <w:spacing w:val="2"/>
          <w:sz w:val="18"/>
          <w:szCs w:val="18"/>
        </w:rPr>
        <w:t>.1,</w:t>
      </w:r>
      <w:r>
        <w:rPr>
          <w:spacing w:val="-32"/>
          <w:sz w:val="18"/>
          <w:szCs w:val="18"/>
        </w:rPr>
        <w:t xml:space="preserve"> </w:t>
      </w:r>
      <w:r>
        <w:rPr>
          <w:spacing w:val="2"/>
          <w:sz w:val="18"/>
          <w:szCs w:val="18"/>
        </w:rPr>
        <w:t>信息技术服务运行维护服务能力成熟度模型[S]</w:t>
      </w:r>
    </w:p>
    <w:p w14:paraId="4818CC24">
      <w:pPr>
        <w:pStyle w:val="2"/>
        <w:spacing w:before="65" w:line="212" w:lineRule="auto"/>
        <w:ind w:left="710"/>
        <w:rPr>
          <w:rFonts w:ascii="Times New Roman" w:hAnsi="Times New Roman" w:eastAsia="Times New Roman" w:cs="Times New Roman"/>
          <w:sz w:val="18"/>
          <w:szCs w:val="18"/>
        </w:rPr>
      </w:pPr>
      <w:r>
        <w:rPr>
          <w:rFonts w:ascii="Times New Roman" w:hAnsi="Times New Roman" w:eastAsia="Times New Roman" w:cs="Times New Roman"/>
          <w:sz w:val="18"/>
          <w:szCs w:val="18"/>
        </w:rPr>
        <w:t>[56]GB/T    50312,</w:t>
      </w:r>
      <w:r>
        <w:rPr>
          <w:sz w:val="18"/>
          <w:szCs w:val="18"/>
        </w:rPr>
        <w:t>综合布线系统工程验收规范</w:t>
      </w:r>
      <w:r>
        <w:rPr>
          <w:spacing w:val="-37"/>
          <w:sz w:val="18"/>
          <w:szCs w:val="18"/>
        </w:rPr>
        <w:t xml:space="preserve"> </w:t>
      </w:r>
      <w:r>
        <w:rPr>
          <w:rFonts w:ascii="Times New Roman" w:hAnsi="Times New Roman" w:eastAsia="Times New Roman" w:cs="Times New Roman"/>
          <w:sz w:val="18"/>
          <w:szCs w:val="18"/>
        </w:rPr>
        <w:t>[S]</w:t>
      </w:r>
    </w:p>
    <w:p w14:paraId="593F7539">
      <w:pPr>
        <w:pStyle w:val="2"/>
        <w:spacing w:before="103" w:line="212" w:lineRule="auto"/>
        <w:ind w:left="710"/>
        <w:rPr>
          <w:rFonts w:ascii="Times New Roman" w:hAnsi="Times New Roman" w:eastAsia="Times New Roman" w:cs="Times New Roman"/>
          <w:sz w:val="18"/>
          <w:szCs w:val="18"/>
        </w:rPr>
      </w:pPr>
      <w:r>
        <w:rPr>
          <w:rFonts w:ascii="Times New Roman" w:hAnsi="Times New Roman" w:eastAsia="Times New Roman" w:cs="Times New Roman"/>
          <w:sz w:val="18"/>
          <w:szCs w:val="18"/>
        </w:rPr>
        <w:t>[57]GB</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z w:val="18"/>
          <w:szCs w:val="18"/>
        </w:rPr>
        <w:t>50174,</w:t>
      </w:r>
      <w:r>
        <w:rPr>
          <w:rFonts w:ascii="Times New Roman" w:hAnsi="Times New Roman" w:eastAsia="Times New Roman" w:cs="Times New Roman"/>
          <w:spacing w:val="15"/>
          <w:w w:val="102"/>
          <w:sz w:val="18"/>
          <w:szCs w:val="18"/>
        </w:rPr>
        <w:t xml:space="preserve"> </w:t>
      </w:r>
      <w:r>
        <w:rPr>
          <w:sz w:val="18"/>
          <w:szCs w:val="18"/>
        </w:rPr>
        <w:t>数据中心设计规范</w:t>
      </w:r>
      <w:r>
        <w:rPr>
          <w:rFonts w:ascii="Times New Roman" w:hAnsi="Times New Roman" w:eastAsia="Times New Roman" w:cs="Times New Roman"/>
          <w:sz w:val="18"/>
          <w:szCs w:val="18"/>
        </w:rPr>
        <w:t>[S]</w:t>
      </w:r>
    </w:p>
    <w:p w14:paraId="07B62A2C">
      <w:pPr>
        <w:pStyle w:val="2"/>
        <w:spacing w:before="118" w:line="216" w:lineRule="auto"/>
        <w:ind w:left="710"/>
        <w:rPr>
          <w:sz w:val="18"/>
          <w:szCs w:val="18"/>
        </w:rPr>
      </w:pPr>
      <w:r>
        <w:rPr>
          <w:spacing w:val="2"/>
          <w:sz w:val="18"/>
          <w:szCs w:val="18"/>
        </w:rPr>
        <w:t>[58]</w:t>
      </w:r>
      <w:r>
        <w:rPr>
          <w:sz w:val="18"/>
          <w:szCs w:val="18"/>
        </w:rPr>
        <w:t>GB</w:t>
      </w:r>
      <w:r>
        <w:rPr>
          <w:spacing w:val="2"/>
          <w:sz w:val="18"/>
          <w:szCs w:val="18"/>
        </w:rPr>
        <w:t>/T</w:t>
      </w:r>
      <w:r>
        <w:rPr>
          <w:spacing w:val="6"/>
          <w:sz w:val="18"/>
          <w:szCs w:val="18"/>
        </w:rPr>
        <w:t xml:space="preserve">  </w:t>
      </w:r>
      <w:r>
        <w:rPr>
          <w:spacing w:val="2"/>
          <w:sz w:val="18"/>
          <w:szCs w:val="18"/>
        </w:rPr>
        <w:t>33850,信息技术服务质量评价指标体系[S]</w:t>
      </w:r>
    </w:p>
    <w:p w14:paraId="375D6A9A">
      <w:pPr>
        <w:pStyle w:val="2"/>
        <w:spacing w:before="85" w:line="212" w:lineRule="auto"/>
        <w:ind w:left="710"/>
        <w:rPr>
          <w:rFonts w:ascii="Times New Roman" w:hAnsi="Times New Roman" w:eastAsia="Times New Roman" w:cs="Times New Roman"/>
          <w:sz w:val="18"/>
          <w:szCs w:val="18"/>
        </w:rPr>
      </w:pPr>
      <w:r>
        <w:rPr>
          <w:rFonts w:ascii="Times New Roman" w:hAnsi="Times New Roman" w:eastAsia="Times New Roman" w:cs="Times New Roman"/>
          <w:spacing w:val="9"/>
          <w:sz w:val="18"/>
          <w:szCs w:val="18"/>
        </w:rPr>
        <w:t>[59]</w:t>
      </w:r>
      <w:r>
        <w:rPr>
          <w:rFonts w:ascii="Times New Roman" w:hAnsi="Times New Roman" w:eastAsia="Times New Roman" w:cs="Times New Roman"/>
          <w:sz w:val="18"/>
          <w:szCs w:val="18"/>
        </w:rPr>
        <w:t>GB</w:t>
      </w:r>
      <w:r>
        <w:rPr>
          <w:rFonts w:ascii="Times New Roman" w:hAnsi="Times New Roman" w:eastAsia="Times New Roman" w:cs="Times New Roman"/>
          <w:spacing w:val="9"/>
          <w:sz w:val="18"/>
          <w:szCs w:val="18"/>
        </w:rPr>
        <w:t xml:space="preserve">/T19668.1,    </w:t>
      </w:r>
      <w:r>
        <w:rPr>
          <w:spacing w:val="9"/>
          <w:sz w:val="18"/>
          <w:szCs w:val="18"/>
        </w:rPr>
        <w:t>信息技术服务监理第1部分：总则</w:t>
      </w:r>
      <w:r>
        <w:rPr>
          <w:rFonts w:ascii="Times New Roman" w:hAnsi="Times New Roman" w:eastAsia="Times New Roman" w:cs="Times New Roman"/>
          <w:spacing w:val="9"/>
          <w:sz w:val="18"/>
          <w:szCs w:val="18"/>
        </w:rPr>
        <w:t>[S]</w:t>
      </w:r>
    </w:p>
    <w:p w14:paraId="4A5A3A67">
      <w:pPr>
        <w:spacing w:line="212" w:lineRule="auto"/>
        <w:rPr>
          <w:rFonts w:ascii="Times New Roman" w:hAnsi="Times New Roman" w:eastAsia="Times New Roman" w:cs="Times New Roman"/>
          <w:sz w:val="18"/>
          <w:szCs w:val="18"/>
        </w:rPr>
        <w:sectPr>
          <w:pgSz w:w="10080" w:h="13340"/>
          <w:pgMar w:top="400" w:right="789" w:bottom="400" w:left="549" w:header="0" w:footer="0" w:gutter="0"/>
          <w:cols w:space="720" w:num="1"/>
        </w:sectPr>
      </w:pPr>
    </w:p>
    <w:p w14:paraId="5A42BD98">
      <w:pPr>
        <w:pStyle w:val="2"/>
        <w:jc w:val="right"/>
        <w:rPr>
          <w:rFonts w:ascii="Times New Roman" w:hAnsi="Times New Roman" w:eastAsia="Times New Roman" w:cs="Times New Roman"/>
          <w:sz w:val="18"/>
          <w:szCs w:val="18"/>
        </w:rPr>
      </w:pPr>
      <w:r>
        <w:rPr>
          <w:spacing w:val="-3"/>
          <w:sz w:val="18"/>
          <w:szCs w:val="18"/>
        </w:rPr>
        <w:t>参考文献</w:t>
      </w:r>
      <w:r>
        <w:rPr>
          <w:spacing w:val="12"/>
          <w:sz w:val="18"/>
          <w:szCs w:val="18"/>
        </w:rPr>
        <w:t xml:space="preserve"> </w:t>
      </w:r>
      <w:r>
        <w:rPr>
          <w:position w:val="-13"/>
          <w:sz w:val="18"/>
          <w:szCs w:val="18"/>
        </w:rPr>
        <w:drawing>
          <wp:inline distT="0" distB="0" distL="0" distR="0">
            <wp:extent cx="329565" cy="254000"/>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397"/>
                    <a:stretch>
                      <a:fillRect/>
                    </a:stretch>
                  </pic:blipFill>
                  <pic:spPr>
                    <a:xfrm>
                      <a:off x="0" y="0"/>
                      <a:ext cx="330160" cy="254018"/>
                    </a:xfrm>
                    <a:prstGeom prst="rect">
                      <a:avLst/>
                    </a:prstGeom>
                  </pic:spPr>
                </pic:pic>
              </a:graphicData>
            </a:graphic>
          </wp:inline>
        </w:drawing>
      </w:r>
      <w:r>
        <w:rPr>
          <w:rFonts w:ascii="Times New Roman" w:hAnsi="Times New Roman" w:eastAsia="Times New Roman" w:cs="Times New Roman"/>
          <w:spacing w:val="-3"/>
          <w:sz w:val="18"/>
          <w:szCs w:val="18"/>
        </w:rPr>
        <w:t>609</w:t>
      </w:r>
    </w:p>
    <w:p w14:paraId="7F54799B">
      <w:pPr>
        <w:pStyle w:val="2"/>
        <w:spacing w:before="299" w:line="212" w:lineRule="auto"/>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[60]</w:t>
      </w:r>
      <w:r>
        <w:rPr>
          <w:rFonts w:ascii="Times New Roman" w:hAnsi="Times New Roman" w:eastAsia="Times New Roman" w:cs="Times New Roman"/>
          <w:sz w:val="18"/>
          <w:szCs w:val="18"/>
        </w:rPr>
        <w:t>GB</w:t>
      </w:r>
      <w:r>
        <w:rPr>
          <w:rFonts w:ascii="Times New Roman" w:hAnsi="Times New Roman" w:eastAsia="Times New Roman" w:cs="Times New Roman"/>
          <w:spacing w:val="7"/>
          <w:sz w:val="18"/>
          <w:szCs w:val="18"/>
        </w:rPr>
        <w:t>/T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7"/>
          <w:sz w:val="18"/>
          <w:szCs w:val="18"/>
        </w:rPr>
        <w:t>19668.2,</w:t>
      </w:r>
      <w:r>
        <w:rPr>
          <w:rFonts w:ascii="Times New Roman" w:hAnsi="Times New Roman" w:eastAsia="Times New Roman" w:cs="Times New Roman"/>
          <w:spacing w:val="17"/>
          <w:w w:val="101"/>
          <w:sz w:val="18"/>
          <w:szCs w:val="18"/>
        </w:rPr>
        <w:t xml:space="preserve"> </w:t>
      </w:r>
      <w:r>
        <w:rPr>
          <w:spacing w:val="7"/>
          <w:sz w:val="18"/>
          <w:szCs w:val="18"/>
        </w:rPr>
        <w:t>信息技术服</w:t>
      </w:r>
      <w:r>
        <w:rPr>
          <w:spacing w:val="6"/>
          <w:sz w:val="18"/>
          <w:szCs w:val="18"/>
        </w:rPr>
        <w:t>务监理第2部分：基础设施工程监理规范</w:t>
      </w:r>
      <w:r>
        <w:rPr>
          <w:rFonts w:ascii="Times New Roman" w:hAnsi="Times New Roman" w:eastAsia="Times New Roman" w:cs="Times New Roman"/>
          <w:spacing w:val="6"/>
          <w:sz w:val="18"/>
          <w:szCs w:val="18"/>
        </w:rPr>
        <w:t>[S]</w:t>
      </w:r>
    </w:p>
    <w:p w14:paraId="4D60206A">
      <w:pPr>
        <w:pStyle w:val="2"/>
        <w:spacing w:before="123" w:line="212" w:lineRule="auto"/>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[61]</w:t>
      </w:r>
      <w:r>
        <w:rPr>
          <w:rFonts w:ascii="Times New Roman" w:hAnsi="Times New Roman" w:eastAsia="Times New Roman" w:cs="Times New Roman"/>
          <w:sz w:val="18"/>
          <w:szCs w:val="18"/>
        </w:rPr>
        <w:t>GB</w:t>
      </w:r>
      <w:r>
        <w:rPr>
          <w:rFonts w:ascii="Times New Roman" w:hAnsi="Times New Roman" w:eastAsia="Times New Roman" w:cs="Times New Roman"/>
          <w:spacing w:val="6"/>
          <w:sz w:val="18"/>
          <w:szCs w:val="18"/>
        </w:rPr>
        <w:t>/T</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6"/>
          <w:sz w:val="18"/>
          <w:szCs w:val="18"/>
        </w:rPr>
        <w:t xml:space="preserve">19668.3, </w:t>
      </w:r>
      <w:r>
        <w:rPr>
          <w:spacing w:val="6"/>
          <w:sz w:val="18"/>
          <w:szCs w:val="18"/>
        </w:rPr>
        <w:t>信息技术服务监理第3部分：运行维护监理规范</w:t>
      </w:r>
      <w:r>
        <w:rPr>
          <w:rFonts w:ascii="Times New Roman" w:hAnsi="Times New Roman" w:eastAsia="Times New Roman" w:cs="Times New Roman"/>
          <w:spacing w:val="6"/>
          <w:sz w:val="18"/>
          <w:szCs w:val="18"/>
        </w:rPr>
        <w:t>[S]</w:t>
      </w:r>
    </w:p>
    <w:p w14:paraId="74C3A1FC">
      <w:pPr>
        <w:pStyle w:val="2"/>
        <w:spacing w:before="93" w:line="212" w:lineRule="auto"/>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[62]</w:t>
      </w:r>
      <w:r>
        <w:rPr>
          <w:rFonts w:ascii="Times New Roman" w:hAnsi="Times New Roman" w:eastAsia="Times New Roman" w:cs="Times New Roman"/>
          <w:sz w:val="18"/>
          <w:szCs w:val="18"/>
        </w:rPr>
        <w:t>GB</w:t>
      </w:r>
      <w:r>
        <w:rPr>
          <w:rFonts w:ascii="Times New Roman" w:hAnsi="Times New Roman" w:eastAsia="Times New Roman" w:cs="Times New Roman"/>
          <w:spacing w:val="7"/>
          <w:sz w:val="18"/>
          <w:szCs w:val="18"/>
        </w:rPr>
        <w:t>/T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7"/>
          <w:sz w:val="18"/>
          <w:szCs w:val="18"/>
        </w:rPr>
        <w:t xml:space="preserve">19668.4, </w:t>
      </w:r>
      <w:r>
        <w:rPr>
          <w:spacing w:val="7"/>
          <w:sz w:val="18"/>
          <w:szCs w:val="18"/>
        </w:rPr>
        <w:t>信息技术服务</w:t>
      </w:r>
      <w:r>
        <w:rPr>
          <w:spacing w:val="6"/>
          <w:sz w:val="18"/>
          <w:szCs w:val="18"/>
        </w:rPr>
        <w:t>监理第4部分：信息安全监理规范</w:t>
      </w:r>
      <w:r>
        <w:rPr>
          <w:rFonts w:ascii="Times New Roman" w:hAnsi="Times New Roman" w:eastAsia="Times New Roman" w:cs="Times New Roman"/>
          <w:spacing w:val="6"/>
          <w:sz w:val="18"/>
          <w:szCs w:val="18"/>
        </w:rPr>
        <w:t>[S]</w:t>
      </w:r>
    </w:p>
    <w:p w14:paraId="6F83615C">
      <w:pPr>
        <w:pStyle w:val="2"/>
        <w:spacing w:before="103" w:line="212" w:lineRule="auto"/>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[63]</w:t>
      </w:r>
      <w:r>
        <w:rPr>
          <w:rFonts w:ascii="Times New Roman" w:hAnsi="Times New Roman" w:eastAsia="Times New Roman" w:cs="Times New Roman"/>
          <w:sz w:val="18"/>
          <w:szCs w:val="18"/>
        </w:rPr>
        <w:t>GB</w:t>
      </w:r>
      <w:r>
        <w:rPr>
          <w:rFonts w:ascii="Times New Roman" w:hAnsi="Times New Roman" w:eastAsia="Times New Roman" w:cs="Times New Roman"/>
          <w:spacing w:val="6"/>
          <w:sz w:val="18"/>
          <w:szCs w:val="18"/>
        </w:rPr>
        <w:t>/T</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6"/>
          <w:sz w:val="18"/>
          <w:szCs w:val="18"/>
        </w:rPr>
        <w:t xml:space="preserve">19668.5, </w:t>
      </w:r>
      <w:r>
        <w:rPr>
          <w:spacing w:val="6"/>
          <w:sz w:val="18"/>
          <w:szCs w:val="18"/>
        </w:rPr>
        <w:t>信息技术服务监理第5部分：软件工程监理规范</w:t>
      </w:r>
      <w:r>
        <w:rPr>
          <w:rFonts w:ascii="Times New Roman" w:hAnsi="Times New Roman" w:eastAsia="Times New Roman" w:cs="Times New Roman"/>
          <w:spacing w:val="6"/>
          <w:sz w:val="18"/>
          <w:szCs w:val="18"/>
        </w:rPr>
        <w:t>[S]</w:t>
      </w:r>
    </w:p>
    <w:p w14:paraId="52D1A7BA">
      <w:pPr>
        <w:pStyle w:val="2"/>
        <w:spacing w:before="113" w:line="212" w:lineRule="auto"/>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[64]</w:t>
      </w:r>
      <w:r>
        <w:rPr>
          <w:rFonts w:ascii="Times New Roman" w:hAnsi="Times New Roman" w:eastAsia="Times New Roman" w:cs="Times New Roman"/>
          <w:sz w:val="18"/>
          <w:szCs w:val="18"/>
        </w:rPr>
        <w:t>GB</w:t>
      </w:r>
      <w:r>
        <w:rPr>
          <w:rFonts w:ascii="Times New Roman" w:hAnsi="Times New Roman" w:eastAsia="Times New Roman" w:cs="Times New Roman"/>
          <w:spacing w:val="6"/>
          <w:sz w:val="18"/>
          <w:szCs w:val="18"/>
        </w:rPr>
        <w:t>/T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6"/>
          <w:sz w:val="18"/>
          <w:szCs w:val="18"/>
        </w:rPr>
        <w:t xml:space="preserve">19668.6, </w:t>
      </w:r>
      <w:r>
        <w:rPr>
          <w:spacing w:val="6"/>
          <w:sz w:val="18"/>
          <w:szCs w:val="18"/>
        </w:rPr>
        <w:t>信息技术服务监理</w:t>
      </w:r>
      <w:r>
        <w:rPr>
          <w:spacing w:val="5"/>
          <w:sz w:val="18"/>
          <w:szCs w:val="18"/>
        </w:rPr>
        <w:t>第6部分：应用系统：数据中心工程监理规范</w:t>
      </w:r>
      <w:r>
        <w:rPr>
          <w:rFonts w:ascii="Times New Roman" w:hAnsi="Times New Roman" w:eastAsia="Times New Roman" w:cs="Times New Roman"/>
          <w:spacing w:val="5"/>
          <w:sz w:val="18"/>
          <w:szCs w:val="18"/>
        </w:rPr>
        <w:t>[S]</w:t>
      </w:r>
    </w:p>
    <w:p w14:paraId="41139B9A">
      <w:pPr>
        <w:pStyle w:val="2"/>
        <w:spacing w:before="123" w:line="212" w:lineRule="auto"/>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[65]</w:t>
      </w:r>
      <w:r>
        <w:rPr>
          <w:rFonts w:ascii="Times New Roman" w:hAnsi="Times New Roman" w:eastAsia="Times New Roman" w:cs="Times New Roman"/>
          <w:sz w:val="18"/>
          <w:szCs w:val="18"/>
        </w:rPr>
        <w:t>GB</w:t>
      </w:r>
      <w:r>
        <w:rPr>
          <w:rFonts w:ascii="Times New Roman" w:hAnsi="Times New Roman" w:eastAsia="Times New Roman" w:cs="Times New Roman"/>
          <w:spacing w:val="6"/>
          <w:sz w:val="18"/>
          <w:szCs w:val="18"/>
        </w:rPr>
        <w:t>/T</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6"/>
          <w:sz w:val="18"/>
          <w:szCs w:val="18"/>
        </w:rPr>
        <w:t xml:space="preserve">19668.7, </w:t>
      </w:r>
      <w:r>
        <w:rPr>
          <w:spacing w:val="6"/>
          <w:sz w:val="18"/>
          <w:szCs w:val="18"/>
        </w:rPr>
        <w:t>信息技术服务监理第7部分：监理工作量度量要求</w:t>
      </w:r>
      <w:r>
        <w:rPr>
          <w:rFonts w:ascii="Times New Roman" w:hAnsi="Times New Roman" w:eastAsia="Times New Roman" w:cs="Times New Roman"/>
          <w:spacing w:val="6"/>
          <w:sz w:val="18"/>
          <w:szCs w:val="18"/>
        </w:rPr>
        <w:t>[S]</w:t>
      </w:r>
    </w:p>
    <w:p w14:paraId="45E7A7BC">
      <w:pPr>
        <w:pStyle w:val="2"/>
        <w:spacing w:before="108" w:line="216" w:lineRule="auto"/>
        <w:rPr>
          <w:sz w:val="18"/>
          <w:szCs w:val="18"/>
        </w:rPr>
      </w:pPr>
      <w:r>
        <w:rPr>
          <w:spacing w:val="2"/>
          <w:sz w:val="18"/>
          <w:szCs w:val="18"/>
        </w:rPr>
        <w:t>[66]</w:t>
      </w:r>
      <w:r>
        <w:rPr>
          <w:sz w:val="18"/>
          <w:szCs w:val="18"/>
        </w:rPr>
        <w:t>GB</w:t>
      </w:r>
      <w:r>
        <w:rPr>
          <w:spacing w:val="2"/>
          <w:sz w:val="18"/>
          <w:szCs w:val="18"/>
        </w:rPr>
        <w:t>/T</w:t>
      </w:r>
      <w:r>
        <w:rPr>
          <w:spacing w:val="89"/>
          <w:w w:val="101"/>
          <w:sz w:val="18"/>
          <w:szCs w:val="18"/>
        </w:rPr>
        <w:t xml:space="preserve"> </w:t>
      </w:r>
      <w:r>
        <w:rPr>
          <w:spacing w:val="2"/>
          <w:sz w:val="18"/>
          <w:szCs w:val="18"/>
        </w:rPr>
        <w:t>28449,信息安全技术网络安全等级保护测</w:t>
      </w:r>
      <w:r>
        <w:rPr>
          <w:spacing w:val="1"/>
          <w:sz w:val="18"/>
          <w:szCs w:val="18"/>
        </w:rPr>
        <w:t>评过程指南[S]</w:t>
      </w:r>
    </w:p>
    <w:p w14:paraId="5E71B496">
      <w:pPr>
        <w:pStyle w:val="2"/>
        <w:spacing w:before="110" w:line="216" w:lineRule="auto"/>
        <w:rPr>
          <w:sz w:val="18"/>
          <w:szCs w:val="18"/>
        </w:rPr>
      </w:pPr>
      <w:r>
        <w:rPr>
          <w:spacing w:val="2"/>
          <w:sz w:val="18"/>
          <w:szCs w:val="18"/>
        </w:rPr>
        <w:t>[67]</w:t>
      </w:r>
      <w:r>
        <w:rPr>
          <w:sz w:val="18"/>
          <w:szCs w:val="18"/>
        </w:rPr>
        <w:t>GB</w:t>
      </w:r>
      <w:r>
        <w:rPr>
          <w:spacing w:val="2"/>
          <w:sz w:val="18"/>
          <w:szCs w:val="18"/>
        </w:rPr>
        <w:t>/T</w:t>
      </w:r>
      <w:r>
        <w:rPr>
          <w:spacing w:val="89"/>
          <w:sz w:val="18"/>
          <w:szCs w:val="18"/>
        </w:rPr>
        <w:t xml:space="preserve"> </w:t>
      </w:r>
      <w:r>
        <w:rPr>
          <w:spacing w:val="2"/>
          <w:sz w:val="18"/>
          <w:szCs w:val="18"/>
        </w:rPr>
        <w:t>22239,信息安全技术网络安全等级保护基本要求[S]</w:t>
      </w:r>
    </w:p>
    <w:p w14:paraId="340DF708">
      <w:pPr>
        <w:pStyle w:val="2"/>
        <w:spacing w:before="109" w:line="216" w:lineRule="auto"/>
        <w:rPr>
          <w:sz w:val="18"/>
          <w:szCs w:val="18"/>
        </w:rPr>
      </w:pPr>
      <w:r>
        <w:rPr>
          <w:spacing w:val="2"/>
          <w:sz w:val="18"/>
          <w:szCs w:val="18"/>
        </w:rPr>
        <w:t>[68]</w:t>
      </w:r>
      <w:r>
        <w:rPr>
          <w:sz w:val="18"/>
          <w:szCs w:val="18"/>
        </w:rPr>
        <w:t>GB</w:t>
      </w:r>
      <w:r>
        <w:rPr>
          <w:spacing w:val="2"/>
          <w:sz w:val="18"/>
          <w:szCs w:val="18"/>
        </w:rPr>
        <w:t>/T</w:t>
      </w:r>
      <w:r>
        <w:rPr>
          <w:spacing w:val="89"/>
          <w:sz w:val="18"/>
          <w:szCs w:val="18"/>
        </w:rPr>
        <w:t xml:space="preserve"> </w:t>
      </w:r>
      <w:r>
        <w:rPr>
          <w:spacing w:val="2"/>
          <w:sz w:val="18"/>
          <w:szCs w:val="18"/>
        </w:rPr>
        <w:t>28448,信息安全技术网络安全等级保护测评要求[S]</w:t>
      </w:r>
    </w:p>
    <w:p w14:paraId="30C049F7">
      <w:pPr>
        <w:pStyle w:val="2"/>
        <w:spacing w:before="99" w:line="216" w:lineRule="auto"/>
        <w:rPr>
          <w:sz w:val="18"/>
          <w:szCs w:val="18"/>
        </w:rPr>
      </w:pPr>
      <w:r>
        <w:rPr>
          <w:spacing w:val="2"/>
          <w:sz w:val="18"/>
          <w:szCs w:val="18"/>
        </w:rPr>
        <w:t>[69]</w:t>
      </w:r>
      <w:r>
        <w:rPr>
          <w:sz w:val="18"/>
          <w:szCs w:val="18"/>
        </w:rPr>
        <w:t>GB</w:t>
      </w:r>
      <w:r>
        <w:rPr>
          <w:spacing w:val="2"/>
          <w:sz w:val="18"/>
          <w:szCs w:val="18"/>
        </w:rPr>
        <w:t>/T</w:t>
      </w:r>
      <w:r>
        <w:rPr>
          <w:spacing w:val="89"/>
          <w:w w:val="101"/>
          <w:sz w:val="18"/>
          <w:szCs w:val="18"/>
        </w:rPr>
        <w:t xml:space="preserve"> </w:t>
      </w:r>
      <w:r>
        <w:rPr>
          <w:spacing w:val="2"/>
          <w:sz w:val="18"/>
          <w:szCs w:val="18"/>
        </w:rPr>
        <w:t>25058,信息安全技术网</w:t>
      </w:r>
      <w:r>
        <w:rPr>
          <w:spacing w:val="1"/>
          <w:sz w:val="18"/>
          <w:szCs w:val="18"/>
        </w:rPr>
        <w:t>络安全等级保护实施指南[S]</w:t>
      </w:r>
    </w:p>
    <w:p w14:paraId="0E75E935">
      <w:pPr>
        <w:pStyle w:val="2"/>
        <w:spacing w:before="100" w:line="216" w:lineRule="auto"/>
        <w:rPr>
          <w:sz w:val="18"/>
          <w:szCs w:val="18"/>
        </w:rPr>
      </w:pPr>
      <w:r>
        <w:rPr>
          <w:spacing w:val="2"/>
          <w:sz w:val="18"/>
          <w:szCs w:val="18"/>
        </w:rPr>
        <w:t>[70]</w:t>
      </w:r>
      <w:r>
        <w:rPr>
          <w:sz w:val="18"/>
          <w:szCs w:val="18"/>
        </w:rPr>
        <w:t>GB</w:t>
      </w:r>
      <w:r>
        <w:rPr>
          <w:spacing w:val="2"/>
          <w:sz w:val="18"/>
          <w:szCs w:val="18"/>
        </w:rPr>
        <w:t>/T</w:t>
      </w:r>
      <w:r>
        <w:rPr>
          <w:spacing w:val="90"/>
          <w:sz w:val="18"/>
          <w:szCs w:val="18"/>
        </w:rPr>
        <w:t xml:space="preserve"> </w:t>
      </w:r>
      <w:r>
        <w:rPr>
          <w:spacing w:val="2"/>
          <w:sz w:val="18"/>
          <w:szCs w:val="18"/>
        </w:rPr>
        <w:t>25070,信息安全技术网络安</w:t>
      </w:r>
      <w:r>
        <w:rPr>
          <w:spacing w:val="1"/>
          <w:sz w:val="18"/>
          <w:szCs w:val="18"/>
        </w:rPr>
        <w:t>全等级保护安全设计技术要求[S]</w:t>
      </w:r>
    </w:p>
    <w:p w14:paraId="39C0FCC6">
      <w:pPr>
        <w:pStyle w:val="2"/>
        <w:spacing w:before="94"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[71]T/ISEAA   001,  </w:t>
      </w:r>
      <w:r>
        <w:rPr>
          <w:sz w:val="18"/>
          <w:szCs w:val="18"/>
        </w:rPr>
        <w:t>网络安全等级保护测评高风险判</w:t>
      </w:r>
      <w:r>
        <w:rPr>
          <w:spacing w:val="-1"/>
          <w:sz w:val="18"/>
          <w:szCs w:val="18"/>
        </w:rPr>
        <w:t>定指引</w:t>
      </w:r>
      <w:r>
        <w:rPr>
          <w:rFonts w:ascii="Times New Roman" w:hAnsi="Times New Roman" w:eastAsia="Times New Roman" w:cs="Times New Roman"/>
          <w:spacing w:val="-1"/>
          <w:sz w:val="18"/>
          <w:szCs w:val="18"/>
        </w:rPr>
        <w:t>[S]</w:t>
      </w:r>
    </w:p>
    <w:p w14:paraId="47821D09">
      <w:pPr>
        <w:pStyle w:val="2"/>
        <w:spacing w:before="128" w:line="216" w:lineRule="auto"/>
        <w:rPr>
          <w:sz w:val="18"/>
          <w:szCs w:val="18"/>
        </w:rPr>
      </w:pPr>
      <w:r>
        <w:rPr>
          <w:spacing w:val="2"/>
          <w:sz w:val="18"/>
          <w:szCs w:val="18"/>
        </w:rPr>
        <w:t>[72]</w:t>
      </w:r>
      <w:r>
        <w:rPr>
          <w:sz w:val="18"/>
          <w:szCs w:val="18"/>
        </w:rPr>
        <w:t>GB</w:t>
      </w:r>
      <w:r>
        <w:rPr>
          <w:spacing w:val="2"/>
          <w:sz w:val="18"/>
          <w:szCs w:val="18"/>
        </w:rPr>
        <w:t>/T</w:t>
      </w:r>
      <w:r>
        <w:rPr>
          <w:spacing w:val="89"/>
          <w:sz w:val="18"/>
          <w:szCs w:val="18"/>
        </w:rPr>
        <w:t xml:space="preserve"> </w:t>
      </w:r>
      <w:r>
        <w:rPr>
          <w:spacing w:val="2"/>
          <w:sz w:val="18"/>
          <w:szCs w:val="18"/>
        </w:rPr>
        <w:t>22240,信息安全技术网络安全等级保护定级指南[S]</w:t>
      </w:r>
    </w:p>
    <w:p w14:paraId="073CD674">
      <w:pPr>
        <w:pStyle w:val="2"/>
        <w:spacing w:before="100" w:line="216" w:lineRule="auto"/>
        <w:rPr>
          <w:sz w:val="18"/>
          <w:szCs w:val="18"/>
        </w:rPr>
      </w:pPr>
      <w:r>
        <w:rPr>
          <w:spacing w:val="2"/>
          <w:sz w:val="18"/>
          <w:szCs w:val="18"/>
        </w:rPr>
        <w:t>[73]</w:t>
      </w:r>
      <w:r>
        <w:rPr>
          <w:sz w:val="18"/>
          <w:szCs w:val="18"/>
        </w:rPr>
        <w:t>GB</w:t>
      </w:r>
      <w:r>
        <w:rPr>
          <w:spacing w:val="2"/>
          <w:sz w:val="18"/>
          <w:szCs w:val="18"/>
        </w:rPr>
        <w:t>/T</w:t>
      </w:r>
      <w:r>
        <w:rPr>
          <w:spacing w:val="1"/>
          <w:sz w:val="18"/>
          <w:szCs w:val="18"/>
        </w:rPr>
        <w:t xml:space="preserve">  </w:t>
      </w:r>
      <w:r>
        <w:rPr>
          <w:spacing w:val="2"/>
          <w:sz w:val="18"/>
          <w:szCs w:val="18"/>
        </w:rPr>
        <w:t>39786,信息安全技术信息系统密码应用基本要求</w:t>
      </w:r>
      <w:r>
        <w:rPr>
          <w:spacing w:val="1"/>
          <w:sz w:val="18"/>
          <w:szCs w:val="18"/>
        </w:rPr>
        <w:t>[S]</w:t>
      </w:r>
    </w:p>
    <w:p w14:paraId="39E7930A">
      <w:pPr>
        <w:pStyle w:val="2"/>
        <w:spacing w:before="99" w:line="216" w:lineRule="auto"/>
        <w:rPr>
          <w:sz w:val="18"/>
          <w:szCs w:val="18"/>
        </w:rPr>
      </w:pPr>
      <w:r>
        <w:rPr>
          <w:spacing w:val="2"/>
          <w:sz w:val="18"/>
          <w:szCs w:val="18"/>
        </w:rPr>
        <w:t>[74]</w:t>
      </w:r>
      <w:r>
        <w:rPr>
          <w:sz w:val="18"/>
          <w:szCs w:val="18"/>
        </w:rPr>
        <w:t>GB</w:t>
      </w:r>
      <w:r>
        <w:rPr>
          <w:spacing w:val="2"/>
          <w:sz w:val="18"/>
          <w:szCs w:val="18"/>
        </w:rPr>
        <w:t>/T</w:t>
      </w:r>
      <w:r>
        <w:rPr>
          <w:spacing w:val="90"/>
          <w:sz w:val="18"/>
          <w:szCs w:val="18"/>
        </w:rPr>
        <w:t xml:space="preserve"> </w:t>
      </w:r>
      <w:r>
        <w:rPr>
          <w:spacing w:val="2"/>
          <w:sz w:val="18"/>
          <w:szCs w:val="18"/>
        </w:rPr>
        <w:t>20984,信息安全技术信息安全风险评估</w:t>
      </w:r>
      <w:r>
        <w:rPr>
          <w:spacing w:val="1"/>
          <w:sz w:val="18"/>
          <w:szCs w:val="18"/>
        </w:rPr>
        <w:t>方法[S]</w:t>
      </w:r>
    </w:p>
    <w:p w14:paraId="32D166A8">
      <w:pPr>
        <w:pStyle w:val="2"/>
        <w:spacing w:before="105" w:line="212" w:lineRule="auto"/>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[75]</w:t>
      </w:r>
      <w:r>
        <w:rPr>
          <w:rFonts w:ascii="Times New Roman" w:hAnsi="Times New Roman" w:eastAsia="Times New Roman" w:cs="Times New Roman"/>
          <w:sz w:val="18"/>
          <w:szCs w:val="18"/>
        </w:rPr>
        <w:t>GB</w:t>
      </w:r>
      <w:r>
        <w:rPr>
          <w:rFonts w:ascii="Times New Roman" w:hAnsi="Times New Roman" w:eastAsia="Times New Roman" w:cs="Times New Roman"/>
          <w:spacing w:val="2"/>
          <w:sz w:val="18"/>
          <w:szCs w:val="18"/>
        </w:rPr>
        <w:t>/T   39204,</w:t>
      </w:r>
      <w:r>
        <w:rPr>
          <w:rFonts w:ascii="Times New Roman" w:hAnsi="Times New Roman" w:eastAsia="Times New Roman" w:cs="Times New Roman"/>
          <w:spacing w:val="43"/>
          <w:sz w:val="18"/>
          <w:szCs w:val="18"/>
        </w:rPr>
        <w:t xml:space="preserve"> </w:t>
      </w:r>
      <w:r>
        <w:rPr>
          <w:spacing w:val="2"/>
          <w:sz w:val="18"/>
          <w:szCs w:val="18"/>
        </w:rPr>
        <w:t>信息安全技术关键信息基础设施安全保护要求</w:t>
      </w:r>
      <w:r>
        <w:rPr>
          <w:rFonts w:ascii="Times New Roman" w:hAnsi="Times New Roman" w:eastAsia="Times New Roman" w:cs="Times New Roman"/>
          <w:spacing w:val="2"/>
          <w:sz w:val="18"/>
          <w:szCs w:val="18"/>
        </w:rPr>
        <w:t>[S]</w:t>
      </w:r>
    </w:p>
    <w:p w14:paraId="5F2EC9A7">
      <w:pPr>
        <w:spacing w:line="212" w:lineRule="auto"/>
        <w:rPr>
          <w:rFonts w:ascii="Times New Roman" w:hAnsi="Times New Roman" w:eastAsia="Times New Roman" w:cs="Times New Roman"/>
          <w:sz w:val="18"/>
          <w:szCs w:val="18"/>
        </w:rPr>
        <w:sectPr>
          <w:pgSz w:w="10090" w:h="13290"/>
          <w:pgMar w:top="320" w:right="547" w:bottom="400" w:left="1280" w:header="0" w:footer="0" w:gutter="0"/>
          <w:cols w:space="720" w:num="1"/>
        </w:sectPr>
      </w:pPr>
    </w:p>
    <w:p w14:paraId="69DFEA47">
      <w:pPr>
        <w:rPr>
          <w:rFonts w:ascii="Arial"/>
          <w:sz w:val="21"/>
        </w:rPr>
      </w:pPr>
    </w:p>
    <w:sectPr>
      <w:pgSz w:w="10110" w:h="13360"/>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LiS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TXingkai">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51485">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C35F8">
    <w:pPr>
      <w:spacing w:line="211" w:lineRule="auto"/>
      <w:ind w:left="739"/>
      <w:rPr>
        <w:rFonts w:ascii="黑体" w:hAnsi="黑体" w:eastAsia="黑体" w:cs="黑体"/>
        <w:sz w:val="19"/>
        <w:szCs w:val="19"/>
      </w:rPr>
    </w:pPr>
    <w:r>
      <w:rPr>
        <w:rFonts w:ascii="黑体" w:hAnsi="黑体" w:eastAsia="黑体" w:cs="黑体"/>
        <w:spacing w:val="20"/>
        <w:sz w:val="19"/>
        <w:szCs w:val="19"/>
      </w:rPr>
      <w:t>(1)说明。</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E5558">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08C74">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17658D7"/>
    <w:rsid w:val="142D4130"/>
    <w:rsid w:val="4961028C"/>
    <w:rsid w:val="5A837C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1"/>
      <w:szCs w:val="1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0.jpeg"/><Relationship Id="rId98" Type="http://schemas.openxmlformats.org/officeDocument/2006/relationships/image" Target="media/image89.jpeg"/><Relationship Id="rId97" Type="http://schemas.openxmlformats.org/officeDocument/2006/relationships/image" Target="media/image88.jpeg"/><Relationship Id="rId96" Type="http://schemas.openxmlformats.org/officeDocument/2006/relationships/image" Target="media/image87.png"/><Relationship Id="rId95" Type="http://schemas.openxmlformats.org/officeDocument/2006/relationships/image" Target="media/image86.jpeg"/><Relationship Id="rId94" Type="http://schemas.openxmlformats.org/officeDocument/2006/relationships/image" Target="media/image85.jpeg"/><Relationship Id="rId93" Type="http://schemas.openxmlformats.org/officeDocument/2006/relationships/image" Target="media/image84.jpeg"/><Relationship Id="rId92" Type="http://schemas.openxmlformats.org/officeDocument/2006/relationships/image" Target="media/image83.jpeg"/><Relationship Id="rId91" Type="http://schemas.openxmlformats.org/officeDocument/2006/relationships/image" Target="media/image82.jpeg"/><Relationship Id="rId90" Type="http://schemas.openxmlformats.org/officeDocument/2006/relationships/image" Target="media/image81.jpeg"/><Relationship Id="rId9" Type="http://schemas.openxmlformats.org/officeDocument/2006/relationships/theme" Target="theme/theme1.xml"/><Relationship Id="rId89" Type="http://schemas.openxmlformats.org/officeDocument/2006/relationships/image" Target="media/image80.jpeg"/><Relationship Id="rId88" Type="http://schemas.openxmlformats.org/officeDocument/2006/relationships/image" Target="media/image79.jpeg"/><Relationship Id="rId87" Type="http://schemas.openxmlformats.org/officeDocument/2006/relationships/image" Target="media/image78.jpeg"/><Relationship Id="rId86" Type="http://schemas.openxmlformats.org/officeDocument/2006/relationships/image" Target="media/image77.jpeg"/><Relationship Id="rId85" Type="http://schemas.openxmlformats.org/officeDocument/2006/relationships/image" Target="media/image76.jpeg"/><Relationship Id="rId84" Type="http://schemas.openxmlformats.org/officeDocument/2006/relationships/image" Target="media/image75.jpeg"/><Relationship Id="rId83" Type="http://schemas.openxmlformats.org/officeDocument/2006/relationships/image" Target="media/image74.jpeg"/><Relationship Id="rId82" Type="http://schemas.openxmlformats.org/officeDocument/2006/relationships/image" Target="media/image73.jpeg"/><Relationship Id="rId81" Type="http://schemas.openxmlformats.org/officeDocument/2006/relationships/image" Target="media/image72.jpeg"/><Relationship Id="rId80" Type="http://schemas.openxmlformats.org/officeDocument/2006/relationships/image" Target="media/image71.jpeg"/><Relationship Id="rId8" Type="http://schemas.openxmlformats.org/officeDocument/2006/relationships/footer" Target="footer3.xml"/><Relationship Id="rId79" Type="http://schemas.openxmlformats.org/officeDocument/2006/relationships/image" Target="media/image70.jpeg"/><Relationship Id="rId78" Type="http://schemas.openxmlformats.org/officeDocument/2006/relationships/image" Target="media/image69.jpeg"/><Relationship Id="rId77" Type="http://schemas.openxmlformats.org/officeDocument/2006/relationships/image" Target="media/image68.jpeg"/><Relationship Id="rId76" Type="http://schemas.openxmlformats.org/officeDocument/2006/relationships/image" Target="media/image67.jpeg"/><Relationship Id="rId75" Type="http://schemas.openxmlformats.org/officeDocument/2006/relationships/image" Target="media/image66.jpe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jpeg"/><Relationship Id="rId70" Type="http://schemas.openxmlformats.org/officeDocument/2006/relationships/image" Target="media/image61.jpeg"/><Relationship Id="rId7" Type="http://schemas.openxmlformats.org/officeDocument/2006/relationships/footer" Target="footer2.xml"/><Relationship Id="rId69" Type="http://schemas.openxmlformats.org/officeDocument/2006/relationships/image" Target="media/image60.jpeg"/><Relationship Id="rId68" Type="http://schemas.openxmlformats.org/officeDocument/2006/relationships/image" Target="media/image59.jpeg"/><Relationship Id="rId67" Type="http://schemas.openxmlformats.org/officeDocument/2006/relationships/image" Target="media/image58.jpeg"/><Relationship Id="rId66" Type="http://schemas.openxmlformats.org/officeDocument/2006/relationships/image" Target="media/image57.jpeg"/><Relationship Id="rId65" Type="http://schemas.openxmlformats.org/officeDocument/2006/relationships/image" Target="media/image56.jpeg"/><Relationship Id="rId64" Type="http://schemas.openxmlformats.org/officeDocument/2006/relationships/image" Target="media/image55.jpeg"/><Relationship Id="rId63" Type="http://schemas.openxmlformats.org/officeDocument/2006/relationships/image" Target="media/image54.jpeg"/><Relationship Id="rId62" Type="http://schemas.openxmlformats.org/officeDocument/2006/relationships/image" Target="media/image53.jpeg"/><Relationship Id="rId61" Type="http://schemas.openxmlformats.org/officeDocument/2006/relationships/image" Target="media/image52.jpeg"/><Relationship Id="rId60" Type="http://schemas.openxmlformats.org/officeDocument/2006/relationships/image" Target="media/image51.jpeg"/><Relationship Id="rId6" Type="http://schemas.openxmlformats.org/officeDocument/2006/relationships/footer" Target="footer1.xml"/><Relationship Id="rId59" Type="http://schemas.openxmlformats.org/officeDocument/2006/relationships/image" Target="media/image50.jpe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header" Target="header1.xml"/><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endnotes" Target="endnotes.xml"/><Relationship Id="rId399" Type="http://schemas.openxmlformats.org/officeDocument/2006/relationships/fontTable" Target="fontTable.xml"/><Relationship Id="rId398" Type="http://schemas.openxmlformats.org/officeDocument/2006/relationships/customXml" Target="../customXml/item1.xml"/><Relationship Id="rId397" Type="http://schemas.openxmlformats.org/officeDocument/2006/relationships/image" Target="media/image388.jpeg"/><Relationship Id="rId396" Type="http://schemas.openxmlformats.org/officeDocument/2006/relationships/image" Target="media/image387.jpeg"/><Relationship Id="rId395" Type="http://schemas.openxmlformats.org/officeDocument/2006/relationships/image" Target="media/image386.jpeg"/><Relationship Id="rId394" Type="http://schemas.openxmlformats.org/officeDocument/2006/relationships/image" Target="media/image385.jpeg"/><Relationship Id="rId393" Type="http://schemas.openxmlformats.org/officeDocument/2006/relationships/image" Target="media/image384.jpeg"/><Relationship Id="rId392" Type="http://schemas.openxmlformats.org/officeDocument/2006/relationships/image" Target="media/image383.jpeg"/><Relationship Id="rId391" Type="http://schemas.openxmlformats.org/officeDocument/2006/relationships/image" Target="media/image382.jpeg"/><Relationship Id="rId390" Type="http://schemas.openxmlformats.org/officeDocument/2006/relationships/image" Target="media/image381.jpeg"/><Relationship Id="rId39" Type="http://schemas.openxmlformats.org/officeDocument/2006/relationships/image" Target="media/image30.jpeg"/><Relationship Id="rId389" Type="http://schemas.openxmlformats.org/officeDocument/2006/relationships/image" Target="media/image380.jpeg"/><Relationship Id="rId388" Type="http://schemas.openxmlformats.org/officeDocument/2006/relationships/image" Target="media/image379.jpeg"/><Relationship Id="rId387" Type="http://schemas.openxmlformats.org/officeDocument/2006/relationships/image" Target="media/image378.jpeg"/><Relationship Id="rId386" Type="http://schemas.openxmlformats.org/officeDocument/2006/relationships/image" Target="media/image377.jpeg"/><Relationship Id="rId385" Type="http://schemas.openxmlformats.org/officeDocument/2006/relationships/image" Target="media/image376.jpeg"/><Relationship Id="rId384" Type="http://schemas.openxmlformats.org/officeDocument/2006/relationships/image" Target="media/image375.jpeg"/><Relationship Id="rId383" Type="http://schemas.openxmlformats.org/officeDocument/2006/relationships/image" Target="media/image374.jpeg"/><Relationship Id="rId382" Type="http://schemas.openxmlformats.org/officeDocument/2006/relationships/image" Target="media/image373.jpeg"/><Relationship Id="rId381" Type="http://schemas.openxmlformats.org/officeDocument/2006/relationships/image" Target="media/image372.jpeg"/><Relationship Id="rId380" Type="http://schemas.openxmlformats.org/officeDocument/2006/relationships/image" Target="media/image371.jpeg"/><Relationship Id="rId38" Type="http://schemas.openxmlformats.org/officeDocument/2006/relationships/image" Target="media/image29.jpeg"/><Relationship Id="rId379" Type="http://schemas.openxmlformats.org/officeDocument/2006/relationships/image" Target="media/image370.jpeg"/><Relationship Id="rId378" Type="http://schemas.openxmlformats.org/officeDocument/2006/relationships/image" Target="media/image369.jpeg"/><Relationship Id="rId377" Type="http://schemas.openxmlformats.org/officeDocument/2006/relationships/image" Target="media/image368.jpeg"/><Relationship Id="rId376" Type="http://schemas.openxmlformats.org/officeDocument/2006/relationships/image" Target="media/image367.jpeg"/><Relationship Id="rId375" Type="http://schemas.openxmlformats.org/officeDocument/2006/relationships/image" Target="media/image366.jpeg"/><Relationship Id="rId374" Type="http://schemas.openxmlformats.org/officeDocument/2006/relationships/image" Target="media/image365.jpeg"/><Relationship Id="rId373" Type="http://schemas.openxmlformats.org/officeDocument/2006/relationships/image" Target="media/image364.jpeg"/><Relationship Id="rId372" Type="http://schemas.openxmlformats.org/officeDocument/2006/relationships/image" Target="media/image363.jpeg"/><Relationship Id="rId371" Type="http://schemas.openxmlformats.org/officeDocument/2006/relationships/image" Target="media/image362.jpeg"/><Relationship Id="rId370" Type="http://schemas.openxmlformats.org/officeDocument/2006/relationships/image" Target="media/image361.jpeg"/><Relationship Id="rId37" Type="http://schemas.openxmlformats.org/officeDocument/2006/relationships/image" Target="media/image28.jpeg"/><Relationship Id="rId369" Type="http://schemas.openxmlformats.org/officeDocument/2006/relationships/image" Target="media/image360.jpeg"/><Relationship Id="rId368" Type="http://schemas.openxmlformats.org/officeDocument/2006/relationships/image" Target="media/image359.jpeg"/><Relationship Id="rId367" Type="http://schemas.openxmlformats.org/officeDocument/2006/relationships/image" Target="media/image358.jpeg"/><Relationship Id="rId366" Type="http://schemas.openxmlformats.org/officeDocument/2006/relationships/image" Target="media/image357.jpeg"/><Relationship Id="rId365" Type="http://schemas.openxmlformats.org/officeDocument/2006/relationships/image" Target="media/image356.jpeg"/><Relationship Id="rId364" Type="http://schemas.openxmlformats.org/officeDocument/2006/relationships/image" Target="media/image355.jpeg"/><Relationship Id="rId363" Type="http://schemas.openxmlformats.org/officeDocument/2006/relationships/image" Target="media/image354.jpeg"/><Relationship Id="rId362" Type="http://schemas.openxmlformats.org/officeDocument/2006/relationships/image" Target="media/image353.jpeg"/><Relationship Id="rId361" Type="http://schemas.openxmlformats.org/officeDocument/2006/relationships/image" Target="media/image352.jpeg"/><Relationship Id="rId360" Type="http://schemas.openxmlformats.org/officeDocument/2006/relationships/image" Target="media/image351.jpeg"/><Relationship Id="rId36" Type="http://schemas.openxmlformats.org/officeDocument/2006/relationships/image" Target="media/image27.jpeg"/><Relationship Id="rId359" Type="http://schemas.openxmlformats.org/officeDocument/2006/relationships/image" Target="media/image350.jpeg"/><Relationship Id="rId358" Type="http://schemas.openxmlformats.org/officeDocument/2006/relationships/image" Target="media/image349.jpeg"/><Relationship Id="rId357" Type="http://schemas.openxmlformats.org/officeDocument/2006/relationships/image" Target="media/image348.jpeg"/><Relationship Id="rId356" Type="http://schemas.openxmlformats.org/officeDocument/2006/relationships/image" Target="media/image347.jpeg"/><Relationship Id="rId355" Type="http://schemas.openxmlformats.org/officeDocument/2006/relationships/image" Target="media/image346.jpeg"/><Relationship Id="rId354" Type="http://schemas.openxmlformats.org/officeDocument/2006/relationships/image" Target="media/image345.jpeg"/><Relationship Id="rId353" Type="http://schemas.openxmlformats.org/officeDocument/2006/relationships/image" Target="media/image344.jpeg"/><Relationship Id="rId352" Type="http://schemas.openxmlformats.org/officeDocument/2006/relationships/image" Target="media/image343.jpeg"/><Relationship Id="rId351" Type="http://schemas.openxmlformats.org/officeDocument/2006/relationships/image" Target="media/image342.jpeg"/><Relationship Id="rId350" Type="http://schemas.openxmlformats.org/officeDocument/2006/relationships/image" Target="media/image341.jpeg"/><Relationship Id="rId35" Type="http://schemas.openxmlformats.org/officeDocument/2006/relationships/image" Target="media/image26.jpeg"/><Relationship Id="rId349" Type="http://schemas.openxmlformats.org/officeDocument/2006/relationships/image" Target="media/image340.jpeg"/><Relationship Id="rId348" Type="http://schemas.openxmlformats.org/officeDocument/2006/relationships/image" Target="media/image339.jpeg"/><Relationship Id="rId347" Type="http://schemas.openxmlformats.org/officeDocument/2006/relationships/image" Target="media/image338.jpeg"/><Relationship Id="rId346" Type="http://schemas.openxmlformats.org/officeDocument/2006/relationships/image" Target="media/image337.jpeg"/><Relationship Id="rId345" Type="http://schemas.openxmlformats.org/officeDocument/2006/relationships/image" Target="media/image336.jpeg"/><Relationship Id="rId344" Type="http://schemas.openxmlformats.org/officeDocument/2006/relationships/image" Target="media/image335.jpeg"/><Relationship Id="rId343" Type="http://schemas.openxmlformats.org/officeDocument/2006/relationships/image" Target="media/image334.jpeg"/><Relationship Id="rId342" Type="http://schemas.openxmlformats.org/officeDocument/2006/relationships/image" Target="media/image333.jpeg"/><Relationship Id="rId341" Type="http://schemas.openxmlformats.org/officeDocument/2006/relationships/image" Target="media/image332.jpeg"/><Relationship Id="rId340" Type="http://schemas.openxmlformats.org/officeDocument/2006/relationships/image" Target="media/image331.jpeg"/><Relationship Id="rId34" Type="http://schemas.openxmlformats.org/officeDocument/2006/relationships/image" Target="media/image25.jpeg"/><Relationship Id="rId339" Type="http://schemas.openxmlformats.org/officeDocument/2006/relationships/image" Target="media/image330.jpeg"/><Relationship Id="rId338" Type="http://schemas.openxmlformats.org/officeDocument/2006/relationships/image" Target="media/image329.jpeg"/><Relationship Id="rId337" Type="http://schemas.openxmlformats.org/officeDocument/2006/relationships/image" Target="media/image328.jpeg"/><Relationship Id="rId336" Type="http://schemas.openxmlformats.org/officeDocument/2006/relationships/image" Target="media/image327.jpeg"/><Relationship Id="rId335" Type="http://schemas.openxmlformats.org/officeDocument/2006/relationships/image" Target="media/image326.jpeg"/><Relationship Id="rId334" Type="http://schemas.openxmlformats.org/officeDocument/2006/relationships/image" Target="media/image325.jpeg"/><Relationship Id="rId333" Type="http://schemas.openxmlformats.org/officeDocument/2006/relationships/image" Target="media/image324.jpeg"/><Relationship Id="rId332" Type="http://schemas.openxmlformats.org/officeDocument/2006/relationships/image" Target="media/image323.jpeg"/><Relationship Id="rId331" Type="http://schemas.openxmlformats.org/officeDocument/2006/relationships/image" Target="media/image322.jpeg"/><Relationship Id="rId330" Type="http://schemas.openxmlformats.org/officeDocument/2006/relationships/image" Target="media/image321.jpeg"/><Relationship Id="rId33" Type="http://schemas.openxmlformats.org/officeDocument/2006/relationships/image" Target="media/image24.jpeg"/><Relationship Id="rId329" Type="http://schemas.openxmlformats.org/officeDocument/2006/relationships/image" Target="media/image320.jpeg"/><Relationship Id="rId328" Type="http://schemas.openxmlformats.org/officeDocument/2006/relationships/image" Target="media/image319.jpeg"/><Relationship Id="rId327" Type="http://schemas.openxmlformats.org/officeDocument/2006/relationships/image" Target="media/image318.jpeg"/><Relationship Id="rId326" Type="http://schemas.openxmlformats.org/officeDocument/2006/relationships/image" Target="media/image317.jpeg"/><Relationship Id="rId325" Type="http://schemas.openxmlformats.org/officeDocument/2006/relationships/image" Target="media/image316.jpeg"/><Relationship Id="rId324" Type="http://schemas.openxmlformats.org/officeDocument/2006/relationships/image" Target="media/image315.jpeg"/><Relationship Id="rId323" Type="http://schemas.openxmlformats.org/officeDocument/2006/relationships/image" Target="media/image314.jpeg"/><Relationship Id="rId322" Type="http://schemas.openxmlformats.org/officeDocument/2006/relationships/image" Target="media/image313.jpeg"/><Relationship Id="rId321" Type="http://schemas.openxmlformats.org/officeDocument/2006/relationships/image" Target="media/image312.jpeg"/><Relationship Id="rId320" Type="http://schemas.openxmlformats.org/officeDocument/2006/relationships/image" Target="media/image311.jpeg"/><Relationship Id="rId32" Type="http://schemas.openxmlformats.org/officeDocument/2006/relationships/image" Target="media/image23.jpeg"/><Relationship Id="rId319" Type="http://schemas.openxmlformats.org/officeDocument/2006/relationships/image" Target="media/image310.jpeg"/><Relationship Id="rId318" Type="http://schemas.openxmlformats.org/officeDocument/2006/relationships/image" Target="media/image309.jpeg"/><Relationship Id="rId317" Type="http://schemas.openxmlformats.org/officeDocument/2006/relationships/image" Target="media/image308.jpeg"/><Relationship Id="rId316" Type="http://schemas.openxmlformats.org/officeDocument/2006/relationships/image" Target="media/image307.jpeg"/><Relationship Id="rId315" Type="http://schemas.openxmlformats.org/officeDocument/2006/relationships/image" Target="media/image306.jpeg"/><Relationship Id="rId314" Type="http://schemas.openxmlformats.org/officeDocument/2006/relationships/image" Target="media/image305.jpeg"/><Relationship Id="rId313" Type="http://schemas.openxmlformats.org/officeDocument/2006/relationships/image" Target="media/image304.jpeg"/><Relationship Id="rId312" Type="http://schemas.openxmlformats.org/officeDocument/2006/relationships/image" Target="media/image303.jpeg"/><Relationship Id="rId311" Type="http://schemas.openxmlformats.org/officeDocument/2006/relationships/image" Target="media/image302.jpeg"/><Relationship Id="rId310" Type="http://schemas.openxmlformats.org/officeDocument/2006/relationships/image" Target="media/image301.jpeg"/><Relationship Id="rId31" Type="http://schemas.openxmlformats.org/officeDocument/2006/relationships/image" Target="media/image22.jpeg"/><Relationship Id="rId309" Type="http://schemas.openxmlformats.org/officeDocument/2006/relationships/image" Target="media/image300.jpeg"/><Relationship Id="rId308" Type="http://schemas.openxmlformats.org/officeDocument/2006/relationships/image" Target="media/image299.jpeg"/><Relationship Id="rId307" Type="http://schemas.openxmlformats.org/officeDocument/2006/relationships/image" Target="media/image298.jpeg"/><Relationship Id="rId306" Type="http://schemas.openxmlformats.org/officeDocument/2006/relationships/image" Target="media/image297.jpeg"/><Relationship Id="rId305" Type="http://schemas.openxmlformats.org/officeDocument/2006/relationships/image" Target="media/image296.jpeg"/><Relationship Id="rId304" Type="http://schemas.openxmlformats.org/officeDocument/2006/relationships/image" Target="media/image295.jpeg"/><Relationship Id="rId303" Type="http://schemas.openxmlformats.org/officeDocument/2006/relationships/image" Target="media/image294.jpeg"/><Relationship Id="rId302" Type="http://schemas.openxmlformats.org/officeDocument/2006/relationships/image" Target="media/image293.jpeg"/><Relationship Id="rId301" Type="http://schemas.openxmlformats.org/officeDocument/2006/relationships/image" Target="media/image292.jpeg"/><Relationship Id="rId300" Type="http://schemas.openxmlformats.org/officeDocument/2006/relationships/image" Target="media/image291.jpeg"/><Relationship Id="rId30" Type="http://schemas.openxmlformats.org/officeDocument/2006/relationships/image" Target="media/image21.jpeg"/><Relationship Id="rId3" Type="http://schemas.openxmlformats.org/officeDocument/2006/relationships/footnotes" Target="footnotes.xml"/><Relationship Id="rId299" Type="http://schemas.openxmlformats.org/officeDocument/2006/relationships/image" Target="media/image290.jpeg"/><Relationship Id="rId298" Type="http://schemas.openxmlformats.org/officeDocument/2006/relationships/image" Target="media/image289.jpeg"/><Relationship Id="rId297" Type="http://schemas.openxmlformats.org/officeDocument/2006/relationships/image" Target="media/image288.jpeg"/><Relationship Id="rId296" Type="http://schemas.openxmlformats.org/officeDocument/2006/relationships/image" Target="media/image287.jpeg"/><Relationship Id="rId295" Type="http://schemas.openxmlformats.org/officeDocument/2006/relationships/image" Target="media/image286.jpeg"/><Relationship Id="rId294" Type="http://schemas.openxmlformats.org/officeDocument/2006/relationships/image" Target="media/image285.jpeg"/><Relationship Id="rId293" Type="http://schemas.openxmlformats.org/officeDocument/2006/relationships/image" Target="media/image284.jpeg"/><Relationship Id="rId292" Type="http://schemas.openxmlformats.org/officeDocument/2006/relationships/image" Target="media/image283.jpeg"/><Relationship Id="rId291" Type="http://schemas.openxmlformats.org/officeDocument/2006/relationships/image" Target="media/image282.jpeg"/><Relationship Id="rId290" Type="http://schemas.openxmlformats.org/officeDocument/2006/relationships/image" Target="media/image281.jpeg"/><Relationship Id="rId29" Type="http://schemas.openxmlformats.org/officeDocument/2006/relationships/image" Target="media/image20.jpeg"/><Relationship Id="rId289" Type="http://schemas.openxmlformats.org/officeDocument/2006/relationships/image" Target="media/image280.jpeg"/><Relationship Id="rId288" Type="http://schemas.openxmlformats.org/officeDocument/2006/relationships/image" Target="media/image279.jpeg"/><Relationship Id="rId287" Type="http://schemas.openxmlformats.org/officeDocument/2006/relationships/image" Target="media/image278.jpeg"/><Relationship Id="rId286" Type="http://schemas.openxmlformats.org/officeDocument/2006/relationships/image" Target="media/image277.jpeg"/><Relationship Id="rId285" Type="http://schemas.openxmlformats.org/officeDocument/2006/relationships/image" Target="media/image276.jpeg"/><Relationship Id="rId284" Type="http://schemas.openxmlformats.org/officeDocument/2006/relationships/image" Target="media/image275.jpeg"/><Relationship Id="rId283" Type="http://schemas.openxmlformats.org/officeDocument/2006/relationships/image" Target="media/image274.jpeg"/><Relationship Id="rId282" Type="http://schemas.openxmlformats.org/officeDocument/2006/relationships/image" Target="media/image273.jpeg"/><Relationship Id="rId281" Type="http://schemas.openxmlformats.org/officeDocument/2006/relationships/image" Target="media/image272.jpeg"/><Relationship Id="rId280" Type="http://schemas.openxmlformats.org/officeDocument/2006/relationships/image" Target="media/image271.jpeg"/><Relationship Id="rId28" Type="http://schemas.openxmlformats.org/officeDocument/2006/relationships/image" Target="media/image19.jpeg"/><Relationship Id="rId279" Type="http://schemas.openxmlformats.org/officeDocument/2006/relationships/image" Target="media/image270.jpeg"/><Relationship Id="rId278" Type="http://schemas.openxmlformats.org/officeDocument/2006/relationships/image" Target="media/image269.jpeg"/><Relationship Id="rId277" Type="http://schemas.openxmlformats.org/officeDocument/2006/relationships/image" Target="media/image268.jpeg"/><Relationship Id="rId276" Type="http://schemas.openxmlformats.org/officeDocument/2006/relationships/image" Target="media/image267.jpeg"/><Relationship Id="rId275" Type="http://schemas.openxmlformats.org/officeDocument/2006/relationships/image" Target="media/image266.jpeg"/><Relationship Id="rId274" Type="http://schemas.openxmlformats.org/officeDocument/2006/relationships/image" Target="media/image265.jpeg"/><Relationship Id="rId273" Type="http://schemas.openxmlformats.org/officeDocument/2006/relationships/image" Target="media/image264.jpeg"/><Relationship Id="rId272" Type="http://schemas.openxmlformats.org/officeDocument/2006/relationships/image" Target="media/image263.jpeg"/><Relationship Id="rId271" Type="http://schemas.openxmlformats.org/officeDocument/2006/relationships/image" Target="media/image262.jpeg"/><Relationship Id="rId270" Type="http://schemas.openxmlformats.org/officeDocument/2006/relationships/image" Target="media/image261.jpeg"/><Relationship Id="rId27" Type="http://schemas.openxmlformats.org/officeDocument/2006/relationships/image" Target="media/image18.jpeg"/><Relationship Id="rId269" Type="http://schemas.openxmlformats.org/officeDocument/2006/relationships/image" Target="media/image260.jpeg"/><Relationship Id="rId268" Type="http://schemas.openxmlformats.org/officeDocument/2006/relationships/image" Target="media/image259.jpeg"/><Relationship Id="rId267" Type="http://schemas.openxmlformats.org/officeDocument/2006/relationships/image" Target="media/image258.jpeg"/><Relationship Id="rId266" Type="http://schemas.openxmlformats.org/officeDocument/2006/relationships/image" Target="media/image257.jpeg"/><Relationship Id="rId265" Type="http://schemas.openxmlformats.org/officeDocument/2006/relationships/image" Target="media/image256.jpeg"/><Relationship Id="rId264" Type="http://schemas.openxmlformats.org/officeDocument/2006/relationships/image" Target="media/image255.jpeg"/><Relationship Id="rId263" Type="http://schemas.openxmlformats.org/officeDocument/2006/relationships/image" Target="media/image254.jpeg"/><Relationship Id="rId262" Type="http://schemas.openxmlformats.org/officeDocument/2006/relationships/image" Target="media/image253.jpeg"/><Relationship Id="rId261" Type="http://schemas.openxmlformats.org/officeDocument/2006/relationships/image" Target="media/image252.jpeg"/><Relationship Id="rId260" Type="http://schemas.openxmlformats.org/officeDocument/2006/relationships/image" Target="media/image251.jpeg"/><Relationship Id="rId26" Type="http://schemas.openxmlformats.org/officeDocument/2006/relationships/image" Target="media/image17.jpeg"/><Relationship Id="rId259" Type="http://schemas.openxmlformats.org/officeDocument/2006/relationships/image" Target="media/image250.jpeg"/><Relationship Id="rId258" Type="http://schemas.openxmlformats.org/officeDocument/2006/relationships/image" Target="media/image249.jpeg"/><Relationship Id="rId257" Type="http://schemas.openxmlformats.org/officeDocument/2006/relationships/image" Target="media/image248.jpeg"/><Relationship Id="rId256" Type="http://schemas.openxmlformats.org/officeDocument/2006/relationships/image" Target="media/image247.jpeg"/><Relationship Id="rId255" Type="http://schemas.openxmlformats.org/officeDocument/2006/relationships/image" Target="media/image246.jpeg"/><Relationship Id="rId254" Type="http://schemas.openxmlformats.org/officeDocument/2006/relationships/image" Target="media/image245.jpeg"/><Relationship Id="rId253" Type="http://schemas.openxmlformats.org/officeDocument/2006/relationships/image" Target="media/image244.jpeg"/><Relationship Id="rId252" Type="http://schemas.openxmlformats.org/officeDocument/2006/relationships/image" Target="media/image243.jpeg"/><Relationship Id="rId251" Type="http://schemas.openxmlformats.org/officeDocument/2006/relationships/image" Target="media/image242.jpeg"/><Relationship Id="rId250" Type="http://schemas.openxmlformats.org/officeDocument/2006/relationships/image" Target="media/image241.jpeg"/><Relationship Id="rId25" Type="http://schemas.openxmlformats.org/officeDocument/2006/relationships/image" Target="media/image16.jpeg"/><Relationship Id="rId249" Type="http://schemas.openxmlformats.org/officeDocument/2006/relationships/image" Target="media/image240.jpeg"/><Relationship Id="rId248" Type="http://schemas.openxmlformats.org/officeDocument/2006/relationships/image" Target="media/image239.jpeg"/><Relationship Id="rId247" Type="http://schemas.openxmlformats.org/officeDocument/2006/relationships/image" Target="media/image238.jpeg"/><Relationship Id="rId246" Type="http://schemas.openxmlformats.org/officeDocument/2006/relationships/image" Target="media/image237.jpeg"/><Relationship Id="rId245" Type="http://schemas.openxmlformats.org/officeDocument/2006/relationships/image" Target="media/image236.jpeg"/><Relationship Id="rId244" Type="http://schemas.openxmlformats.org/officeDocument/2006/relationships/image" Target="media/image235.jpeg"/><Relationship Id="rId243" Type="http://schemas.openxmlformats.org/officeDocument/2006/relationships/image" Target="media/image234.jpeg"/><Relationship Id="rId242" Type="http://schemas.openxmlformats.org/officeDocument/2006/relationships/image" Target="media/image233.jpeg"/><Relationship Id="rId241" Type="http://schemas.openxmlformats.org/officeDocument/2006/relationships/image" Target="media/image232.jpeg"/><Relationship Id="rId240" Type="http://schemas.openxmlformats.org/officeDocument/2006/relationships/image" Target="media/image231.jpeg"/><Relationship Id="rId24" Type="http://schemas.openxmlformats.org/officeDocument/2006/relationships/image" Target="media/image15.jpeg"/><Relationship Id="rId239" Type="http://schemas.openxmlformats.org/officeDocument/2006/relationships/image" Target="media/image230.jpeg"/><Relationship Id="rId238" Type="http://schemas.openxmlformats.org/officeDocument/2006/relationships/image" Target="media/image229.jpeg"/><Relationship Id="rId237" Type="http://schemas.openxmlformats.org/officeDocument/2006/relationships/image" Target="media/image228.jpeg"/><Relationship Id="rId236" Type="http://schemas.openxmlformats.org/officeDocument/2006/relationships/image" Target="media/image227.jpeg"/><Relationship Id="rId235" Type="http://schemas.openxmlformats.org/officeDocument/2006/relationships/image" Target="media/image226.jpeg"/><Relationship Id="rId234" Type="http://schemas.openxmlformats.org/officeDocument/2006/relationships/image" Target="media/image225.jpeg"/><Relationship Id="rId233" Type="http://schemas.openxmlformats.org/officeDocument/2006/relationships/image" Target="media/image224.jpeg"/><Relationship Id="rId232" Type="http://schemas.openxmlformats.org/officeDocument/2006/relationships/image" Target="media/image223.jpeg"/><Relationship Id="rId231" Type="http://schemas.openxmlformats.org/officeDocument/2006/relationships/image" Target="media/image222.jpeg"/><Relationship Id="rId230" Type="http://schemas.openxmlformats.org/officeDocument/2006/relationships/image" Target="media/image221.jpeg"/><Relationship Id="rId23" Type="http://schemas.openxmlformats.org/officeDocument/2006/relationships/image" Target="media/image14.jpeg"/><Relationship Id="rId229" Type="http://schemas.openxmlformats.org/officeDocument/2006/relationships/image" Target="media/image220.jpeg"/><Relationship Id="rId228" Type="http://schemas.openxmlformats.org/officeDocument/2006/relationships/image" Target="media/image219.jpeg"/><Relationship Id="rId227" Type="http://schemas.openxmlformats.org/officeDocument/2006/relationships/image" Target="media/image218.jpeg"/><Relationship Id="rId226" Type="http://schemas.openxmlformats.org/officeDocument/2006/relationships/image" Target="media/image217.jpeg"/><Relationship Id="rId225" Type="http://schemas.openxmlformats.org/officeDocument/2006/relationships/image" Target="media/image216.jpeg"/><Relationship Id="rId224" Type="http://schemas.openxmlformats.org/officeDocument/2006/relationships/image" Target="media/image215.jpeg"/><Relationship Id="rId223" Type="http://schemas.openxmlformats.org/officeDocument/2006/relationships/image" Target="media/image214.jpeg"/><Relationship Id="rId222" Type="http://schemas.openxmlformats.org/officeDocument/2006/relationships/image" Target="media/image213.jpeg"/><Relationship Id="rId221" Type="http://schemas.openxmlformats.org/officeDocument/2006/relationships/image" Target="media/image212.jpeg"/><Relationship Id="rId220" Type="http://schemas.openxmlformats.org/officeDocument/2006/relationships/image" Target="media/image211.jpeg"/><Relationship Id="rId22" Type="http://schemas.openxmlformats.org/officeDocument/2006/relationships/image" Target="media/image13.jpeg"/><Relationship Id="rId219" Type="http://schemas.openxmlformats.org/officeDocument/2006/relationships/image" Target="media/image210.jpeg"/><Relationship Id="rId218" Type="http://schemas.openxmlformats.org/officeDocument/2006/relationships/image" Target="media/image209.jpeg"/><Relationship Id="rId217" Type="http://schemas.openxmlformats.org/officeDocument/2006/relationships/image" Target="media/image208.jpeg"/><Relationship Id="rId216" Type="http://schemas.openxmlformats.org/officeDocument/2006/relationships/image" Target="media/image207.jpeg"/><Relationship Id="rId215" Type="http://schemas.openxmlformats.org/officeDocument/2006/relationships/image" Target="media/image206.jpeg"/><Relationship Id="rId214" Type="http://schemas.openxmlformats.org/officeDocument/2006/relationships/image" Target="media/image205.jpeg"/><Relationship Id="rId213" Type="http://schemas.openxmlformats.org/officeDocument/2006/relationships/image" Target="media/image204.jpeg"/><Relationship Id="rId212" Type="http://schemas.openxmlformats.org/officeDocument/2006/relationships/image" Target="media/image203.jpeg"/><Relationship Id="rId211" Type="http://schemas.openxmlformats.org/officeDocument/2006/relationships/image" Target="media/image202.jpeg"/><Relationship Id="rId210" Type="http://schemas.openxmlformats.org/officeDocument/2006/relationships/image" Target="media/image201.jpeg"/><Relationship Id="rId21" Type="http://schemas.openxmlformats.org/officeDocument/2006/relationships/image" Target="media/image12.jpeg"/><Relationship Id="rId209" Type="http://schemas.openxmlformats.org/officeDocument/2006/relationships/image" Target="media/image200.jpeg"/><Relationship Id="rId208" Type="http://schemas.openxmlformats.org/officeDocument/2006/relationships/image" Target="media/image199.jpeg"/><Relationship Id="rId207" Type="http://schemas.openxmlformats.org/officeDocument/2006/relationships/image" Target="media/image198.jpeg"/><Relationship Id="rId206" Type="http://schemas.openxmlformats.org/officeDocument/2006/relationships/image" Target="media/image197.jpeg"/><Relationship Id="rId205" Type="http://schemas.openxmlformats.org/officeDocument/2006/relationships/image" Target="media/image196.jpeg"/><Relationship Id="rId204" Type="http://schemas.openxmlformats.org/officeDocument/2006/relationships/image" Target="media/image195.jpeg"/><Relationship Id="rId203" Type="http://schemas.openxmlformats.org/officeDocument/2006/relationships/image" Target="media/image194.jpeg"/><Relationship Id="rId202" Type="http://schemas.openxmlformats.org/officeDocument/2006/relationships/image" Target="media/image193.jpeg"/><Relationship Id="rId201" Type="http://schemas.openxmlformats.org/officeDocument/2006/relationships/image" Target="media/image192.jpeg"/><Relationship Id="rId200" Type="http://schemas.openxmlformats.org/officeDocument/2006/relationships/image" Target="media/image191.jpeg"/><Relationship Id="rId20" Type="http://schemas.openxmlformats.org/officeDocument/2006/relationships/image" Target="media/image11.jpeg"/><Relationship Id="rId2" Type="http://schemas.openxmlformats.org/officeDocument/2006/relationships/settings" Target="settings.xml"/><Relationship Id="rId199" Type="http://schemas.openxmlformats.org/officeDocument/2006/relationships/image" Target="media/image190.jpeg"/><Relationship Id="rId198" Type="http://schemas.openxmlformats.org/officeDocument/2006/relationships/image" Target="media/image189.jpeg"/><Relationship Id="rId197" Type="http://schemas.openxmlformats.org/officeDocument/2006/relationships/image" Target="media/image188.jpeg"/><Relationship Id="rId196" Type="http://schemas.openxmlformats.org/officeDocument/2006/relationships/image" Target="media/image187.jpeg"/><Relationship Id="rId195" Type="http://schemas.openxmlformats.org/officeDocument/2006/relationships/image" Target="media/image186.jpeg"/><Relationship Id="rId194" Type="http://schemas.openxmlformats.org/officeDocument/2006/relationships/image" Target="media/image185.png"/><Relationship Id="rId193" Type="http://schemas.openxmlformats.org/officeDocument/2006/relationships/image" Target="media/image184.jpeg"/><Relationship Id="rId192" Type="http://schemas.openxmlformats.org/officeDocument/2006/relationships/image" Target="media/image183.jpeg"/><Relationship Id="rId191" Type="http://schemas.openxmlformats.org/officeDocument/2006/relationships/image" Target="media/image182.jpeg"/><Relationship Id="rId190" Type="http://schemas.openxmlformats.org/officeDocument/2006/relationships/image" Target="media/image181.jpeg"/><Relationship Id="rId19" Type="http://schemas.openxmlformats.org/officeDocument/2006/relationships/image" Target="media/image10.jpeg"/><Relationship Id="rId189" Type="http://schemas.openxmlformats.org/officeDocument/2006/relationships/image" Target="media/image180.jpeg"/><Relationship Id="rId188" Type="http://schemas.openxmlformats.org/officeDocument/2006/relationships/image" Target="media/image179.jpeg"/><Relationship Id="rId187" Type="http://schemas.openxmlformats.org/officeDocument/2006/relationships/image" Target="media/image178.jpeg"/><Relationship Id="rId186" Type="http://schemas.openxmlformats.org/officeDocument/2006/relationships/image" Target="media/image177.jpeg"/><Relationship Id="rId185" Type="http://schemas.openxmlformats.org/officeDocument/2006/relationships/image" Target="media/image176.jpeg"/><Relationship Id="rId184" Type="http://schemas.openxmlformats.org/officeDocument/2006/relationships/image" Target="media/image175.jpeg"/><Relationship Id="rId183" Type="http://schemas.openxmlformats.org/officeDocument/2006/relationships/image" Target="media/image174.jpeg"/><Relationship Id="rId182" Type="http://schemas.openxmlformats.org/officeDocument/2006/relationships/image" Target="media/image173.jpeg"/><Relationship Id="rId181" Type="http://schemas.openxmlformats.org/officeDocument/2006/relationships/image" Target="media/image172.jpeg"/><Relationship Id="rId180" Type="http://schemas.openxmlformats.org/officeDocument/2006/relationships/image" Target="media/image171.jpeg"/><Relationship Id="rId18" Type="http://schemas.openxmlformats.org/officeDocument/2006/relationships/image" Target="media/image9.png"/><Relationship Id="rId179" Type="http://schemas.openxmlformats.org/officeDocument/2006/relationships/image" Target="media/image170.jpeg"/><Relationship Id="rId178" Type="http://schemas.openxmlformats.org/officeDocument/2006/relationships/image" Target="media/image169.jpeg"/><Relationship Id="rId177" Type="http://schemas.openxmlformats.org/officeDocument/2006/relationships/image" Target="media/image168.jpeg"/><Relationship Id="rId176" Type="http://schemas.openxmlformats.org/officeDocument/2006/relationships/image" Target="media/image167.jpeg"/><Relationship Id="rId175" Type="http://schemas.openxmlformats.org/officeDocument/2006/relationships/image" Target="media/image166.png"/><Relationship Id="rId174" Type="http://schemas.openxmlformats.org/officeDocument/2006/relationships/image" Target="media/image165.png"/><Relationship Id="rId173" Type="http://schemas.openxmlformats.org/officeDocument/2006/relationships/image" Target="media/image164.png"/><Relationship Id="rId172" Type="http://schemas.openxmlformats.org/officeDocument/2006/relationships/image" Target="media/image163.png"/><Relationship Id="rId171" Type="http://schemas.openxmlformats.org/officeDocument/2006/relationships/image" Target="media/image162.png"/><Relationship Id="rId170" Type="http://schemas.openxmlformats.org/officeDocument/2006/relationships/image" Target="media/image161.jpeg"/><Relationship Id="rId17" Type="http://schemas.openxmlformats.org/officeDocument/2006/relationships/image" Target="media/image8.jpeg"/><Relationship Id="rId169" Type="http://schemas.openxmlformats.org/officeDocument/2006/relationships/image" Target="media/image160.jpeg"/><Relationship Id="rId168" Type="http://schemas.openxmlformats.org/officeDocument/2006/relationships/image" Target="media/image159.jpeg"/><Relationship Id="rId167" Type="http://schemas.openxmlformats.org/officeDocument/2006/relationships/image" Target="media/image158.jpeg"/><Relationship Id="rId166" Type="http://schemas.openxmlformats.org/officeDocument/2006/relationships/image" Target="media/image157.jpeg"/><Relationship Id="rId165" Type="http://schemas.openxmlformats.org/officeDocument/2006/relationships/image" Target="media/image156.jpeg"/><Relationship Id="rId164" Type="http://schemas.openxmlformats.org/officeDocument/2006/relationships/image" Target="media/image155.jpeg"/><Relationship Id="rId163" Type="http://schemas.openxmlformats.org/officeDocument/2006/relationships/image" Target="media/image154.jpeg"/><Relationship Id="rId162" Type="http://schemas.openxmlformats.org/officeDocument/2006/relationships/image" Target="media/image153.jpeg"/><Relationship Id="rId161" Type="http://schemas.openxmlformats.org/officeDocument/2006/relationships/image" Target="media/image152.jpeg"/><Relationship Id="rId160" Type="http://schemas.openxmlformats.org/officeDocument/2006/relationships/image" Target="media/image151.jpeg"/><Relationship Id="rId16" Type="http://schemas.openxmlformats.org/officeDocument/2006/relationships/image" Target="media/image7.png"/><Relationship Id="rId159" Type="http://schemas.openxmlformats.org/officeDocument/2006/relationships/image" Target="media/image150.jpeg"/><Relationship Id="rId158" Type="http://schemas.openxmlformats.org/officeDocument/2006/relationships/image" Target="media/image149.jpeg"/><Relationship Id="rId157" Type="http://schemas.openxmlformats.org/officeDocument/2006/relationships/image" Target="media/image148.jpeg"/><Relationship Id="rId156" Type="http://schemas.openxmlformats.org/officeDocument/2006/relationships/image" Target="media/image147.jpeg"/><Relationship Id="rId155" Type="http://schemas.openxmlformats.org/officeDocument/2006/relationships/image" Target="media/image146.jpeg"/><Relationship Id="rId154" Type="http://schemas.openxmlformats.org/officeDocument/2006/relationships/image" Target="media/image145.jpeg"/><Relationship Id="rId153" Type="http://schemas.openxmlformats.org/officeDocument/2006/relationships/image" Target="media/image144.jpeg"/><Relationship Id="rId152" Type="http://schemas.openxmlformats.org/officeDocument/2006/relationships/image" Target="media/image143.jpeg"/><Relationship Id="rId151" Type="http://schemas.openxmlformats.org/officeDocument/2006/relationships/image" Target="media/image142.jpeg"/><Relationship Id="rId150" Type="http://schemas.openxmlformats.org/officeDocument/2006/relationships/image" Target="media/image141.jpeg"/><Relationship Id="rId15" Type="http://schemas.openxmlformats.org/officeDocument/2006/relationships/image" Target="media/image6.png"/><Relationship Id="rId149" Type="http://schemas.openxmlformats.org/officeDocument/2006/relationships/image" Target="media/image140.jpeg"/><Relationship Id="rId148" Type="http://schemas.openxmlformats.org/officeDocument/2006/relationships/image" Target="media/image139.jpeg"/><Relationship Id="rId147" Type="http://schemas.openxmlformats.org/officeDocument/2006/relationships/image" Target="media/image138.jpeg"/><Relationship Id="rId146" Type="http://schemas.openxmlformats.org/officeDocument/2006/relationships/image" Target="media/image137.jpeg"/><Relationship Id="rId145" Type="http://schemas.openxmlformats.org/officeDocument/2006/relationships/image" Target="media/image136.jpeg"/><Relationship Id="rId144" Type="http://schemas.openxmlformats.org/officeDocument/2006/relationships/image" Target="media/image135.jpeg"/><Relationship Id="rId143" Type="http://schemas.openxmlformats.org/officeDocument/2006/relationships/image" Target="media/image134.jpeg"/><Relationship Id="rId142" Type="http://schemas.openxmlformats.org/officeDocument/2006/relationships/image" Target="media/image133.jpeg"/><Relationship Id="rId141" Type="http://schemas.openxmlformats.org/officeDocument/2006/relationships/image" Target="media/image132.jpeg"/><Relationship Id="rId140" Type="http://schemas.openxmlformats.org/officeDocument/2006/relationships/image" Target="media/image131.jpeg"/><Relationship Id="rId14" Type="http://schemas.openxmlformats.org/officeDocument/2006/relationships/image" Target="media/image5.png"/><Relationship Id="rId139" Type="http://schemas.openxmlformats.org/officeDocument/2006/relationships/image" Target="media/image130.jpeg"/><Relationship Id="rId138" Type="http://schemas.openxmlformats.org/officeDocument/2006/relationships/image" Target="media/image129.jpeg"/><Relationship Id="rId137" Type="http://schemas.openxmlformats.org/officeDocument/2006/relationships/image" Target="media/image128.jpeg"/><Relationship Id="rId136" Type="http://schemas.openxmlformats.org/officeDocument/2006/relationships/image" Target="media/image127.jpeg"/><Relationship Id="rId135" Type="http://schemas.openxmlformats.org/officeDocument/2006/relationships/image" Target="media/image126.jpeg"/><Relationship Id="rId134" Type="http://schemas.openxmlformats.org/officeDocument/2006/relationships/image" Target="media/image125.jpeg"/><Relationship Id="rId133" Type="http://schemas.openxmlformats.org/officeDocument/2006/relationships/image" Target="media/image124.jpeg"/><Relationship Id="rId132" Type="http://schemas.openxmlformats.org/officeDocument/2006/relationships/image" Target="media/image123.jpeg"/><Relationship Id="rId131" Type="http://schemas.openxmlformats.org/officeDocument/2006/relationships/image" Target="media/image122.jpeg"/><Relationship Id="rId130" Type="http://schemas.openxmlformats.org/officeDocument/2006/relationships/image" Target="media/image121.jpeg"/><Relationship Id="rId13" Type="http://schemas.openxmlformats.org/officeDocument/2006/relationships/image" Target="media/image4.jpeg"/><Relationship Id="rId129" Type="http://schemas.openxmlformats.org/officeDocument/2006/relationships/image" Target="media/image120.jpeg"/><Relationship Id="rId128" Type="http://schemas.openxmlformats.org/officeDocument/2006/relationships/image" Target="media/image119.jpeg"/><Relationship Id="rId127" Type="http://schemas.openxmlformats.org/officeDocument/2006/relationships/image" Target="media/image118.jpeg"/><Relationship Id="rId126" Type="http://schemas.openxmlformats.org/officeDocument/2006/relationships/image" Target="media/image117.jpeg"/><Relationship Id="rId125" Type="http://schemas.openxmlformats.org/officeDocument/2006/relationships/image" Target="media/image116.jpeg"/><Relationship Id="rId124" Type="http://schemas.openxmlformats.org/officeDocument/2006/relationships/image" Target="media/image115.jpeg"/><Relationship Id="rId123" Type="http://schemas.openxmlformats.org/officeDocument/2006/relationships/image" Target="media/image114.jpeg"/><Relationship Id="rId122" Type="http://schemas.openxmlformats.org/officeDocument/2006/relationships/image" Target="media/image113.jpeg"/><Relationship Id="rId121" Type="http://schemas.openxmlformats.org/officeDocument/2006/relationships/image" Target="media/image112.jpeg"/><Relationship Id="rId120" Type="http://schemas.openxmlformats.org/officeDocument/2006/relationships/image" Target="media/image111.jpeg"/><Relationship Id="rId12" Type="http://schemas.openxmlformats.org/officeDocument/2006/relationships/image" Target="media/image3.jpeg"/><Relationship Id="rId119" Type="http://schemas.openxmlformats.org/officeDocument/2006/relationships/image" Target="media/image110.jpeg"/><Relationship Id="rId118" Type="http://schemas.openxmlformats.org/officeDocument/2006/relationships/image" Target="media/image109.jpeg"/><Relationship Id="rId117" Type="http://schemas.openxmlformats.org/officeDocument/2006/relationships/image" Target="media/image108.jpeg"/><Relationship Id="rId116" Type="http://schemas.openxmlformats.org/officeDocument/2006/relationships/image" Target="media/image107.jpeg"/><Relationship Id="rId115" Type="http://schemas.openxmlformats.org/officeDocument/2006/relationships/image" Target="media/image106.jpeg"/><Relationship Id="rId114" Type="http://schemas.openxmlformats.org/officeDocument/2006/relationships/image" Target="media/image105.jpeg"/><Relationship Id="rId113" Type="http://schemas.openxmlformats.org/officeDocument/2006/relationships/image" Target="media/image104.jpeg"/><Relationship Id="rId112" Type="http://schemas.openxmlformats.org/officeDocument/2006/relationships/image" Target="media/image103.jpeg"/><Relationship Id="rId111" Type="http://schemas.openxmlformats.org/officeDocument/2006/relationships/image" Target="media/image102.jpeg"/><Relationship Id="rId110" Type="http://schemas.openxmlformats.org/officeDocument/2006/relationships/image" Target="media/image101.jpeg"/><Relationship Id="rId11" Type="http://schemas.openxmlformats.org/officeDocument/2006/relationships/image" Target="media/image2.jpeg"/><Relationship Id="rId109" Type="http://schemas.openxmlformats.org/officeDocument/2006/relationships/image" Target="media/image100.jpeg"/><Relationship Id="rId108" Type="http://schemas.openxmlformats.org/officeDocument/2006/relationships/image" Target="media/image99.jpeg"/><Relationship Id="rId107" Type="http://schemas.openxmlformats.org/officeDocument/2006/relationships/image" Target="media/image98.jpe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jpe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jpeg"/><Relationship Id="rId100" Type="http://schemas.openxmlformats.org/officeDocument/2006/relationships/image" Target="media/image91.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textRotate="1"/>
    <customShpInfo spid="_x0000_s1029"/>
    <customShpInfo spid="_x0000_s1031"/>
    <customShpInfo spid="_x0000_s1032"/>
    <customShpInfo spid="_x0000_s1030"/>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3"/>
    <customShpInfo spid="_x0000_s1044"/>
    <customShpInfo spid="_x0000_s1045"/>
    <customShpInfo spid="_x0000_s1042"/>
    <customShpInfo spid="_x0000_s1047"/>
    <customShpInfo spid="_x0000_s1048"/>
    <customShpInfo spid="_x0000_s1049"/>
    <customShpInfo spid="_x0000_s1046"/>
    <customShpInfo spid="_x0000_s1051"/>
    <customShpInfo spid="_x0000_s1052"/>
    <customShpInfo spid="_x0000_s1053"/>
    <customShpInfo spid="_x0000_s1054"/>
    <customShpInfo spid="_x0000_s1055"/>
    <customShpInfo spid="_x0000_s1056"/>
    <customShpInfo spid="_x0000_s1057"/>
    <customShpInfo spid="_x0000_s1050"/>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58"/>
    <customShpInfo spid="_x0000_s1071"/>
    <customShpInfo spid="_x0000_s1072"/>
    <customShpInfo spid="_x0000_s1070"/>
    <customShpInfo spid="_x0000_s1074"/>
    <customShpInfo spid="_x0000_s1075"/>
    <customShpInfo spid="_x0000_s1076"/>
    <customShpInfo spid="_x0000_s1073"/>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77"/>
    <customShpInfo spid="_x0000_s1088"/>
    <customShpInfo spid="_x0000_s1089"/>
    <customShpInfo spid="_x0000_s1090"/>
    <customShpInfo spid="_x0000_s1087"/>
    <customShpInfo spid="_x0000_s1092"/>
    <customShpInfo spid="_x0000_s1093"/>
    <customShpInfo spid="_x0000_s1091"/>
    <customShpInfo spid="_x0000_s1095"/>
    <customShpInfo spid="_x0000_s1096"/>
    <customShpInfo spid="_x0000_s1094"/>
    <customShpInfo spid="_x0000_s1097"/>
    <customShpInfo spid="_x0000_s1099"/>
    <customShpInfo spid="_x0000_s1100"/>
    <customShpInfo spid="_x0000_s1098"/>
    <customShpInfo spid="_x0000_s1102"/>
    <customShpInfo spid="_x0000_s1103"/>
    <customShpInfo spid="_x0000_s1101"/>
    <customShpInfo spid="_x0000_s1105"/>
    <customShpInfo spid="_x0000_s1106"/>
    <customShpInfo spid="_x0000_s1104"/>
    <customShpInfo spid="_x0000_s1108"/>
    <customShpInfo spid="_x0000_s1109"/>
    <customShpInfo spid="_x0000_s1110"/>
    <customShpInfo spid="_x0000_s1107"/>
    <customShpInfo spid="_x0000_s1112"/>
    <customShpInfo spid="_x0000_s1113"/>
    <customShpInfo spid="_x0000_s1111"/>
    <customShpInfo spid="_x0000_s1115"/>
    <customShpInfo spid="_x0000_s1116"/>
    <customShpInfo spid="_x0000_s1114"/>
    <customShpInfo spid="_x0000_s1118"/>
    <customShpInfo spid="_x0000_s1119"/>
    <customShpInfo spid="_x0000_s1117"/>
    <customShpInfo spid="_x0000_s1121"/>
    <customShpInfo spid="_x0000_s1122"/>
    <customShpInfo spid="_x0000_s1123"/>
    <customShpInfo spid="_x0000_s1124"/>
    <customShpInfo spid="_x0000_s1125"/>
    <customShpInfo spid="_x0000_s1126"/>
    <customShpInfo spid="_x0000_s1127"/>
    <customShpInfo spid="_x0000_s1120"/>
    <customShpInfo spid="_x0000_s1129"/>
    <customShpInfo spid="_x0000_s1130"/>
    <customShpInfo spid="_x0000_s1128"/>
    <customShpInfo spid="_x0000_s1132"/>
    <customShpInfo spid="_x0000_s1133"/>
    <customShpInfo spid="_x0000_s1134"/>
    <customShpInfo spid="_x0000_s1135"/>
    <customShpInfo spid="_x0000_s1136"/>
    <customShpInfo spid="_x0000_s1137"/>
    <customShpInfo spid="_x0000_s1131"/>
    <customShpInfo spid="_x0000_s1139"/>
    <customShpInfo spid="_x0000_s1140"/>
    <customShpInfo spid="_x0000_s1141"/>
    <customShpInfo spid="_x0000_s1142"/>
    <customShpInfo spid="_x0000_s1138"/>
    <customShpInfo spid="_x0000_s1144"/>
    <customShpInfo spid="_x0000_s1145"/>
    <customShpInfo spid="_x0000_s1146"/>
    <customShpInfo spid="_x0000_s1147"/>
    <customShpInfo spid="_x0000_s1143"/>
    <customShpInfo spid="_x0000_s1149"/>
    <customShpInfo spid="_x0000_s1150"/>
    <customShpInfo spid="_x0000_s1151"/>
    <customShpInfo spid="_x0000_s1152"/>
    <customShpInfo spid="_x0000_s1153"/>
    <customShpInfo spid="_x0000_s1154"/>
    <customShpInfo spid="_x0000_s1155"/>
    <customShpInfo spid="_x0000_s1156"/>
    <customShpInfo spid="_x0000_s1148"/>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57"/>
    <customShpInfo spid="_x0000_s1178"/>
    <customShpInfo spid="_x0000_s1179"/>
    <customShpInfo spid="_x0000_s1180"/>
    <customShpInfo spid="_x0000_s1177"/>
    <customShpInfo spid="_x0000_s1181"/>
    <customShpInfo spid="_x0000_s1182"/>
    <customShpInfo spid="_x0000_s1183"/>
    <customShpInfo spid="_x0000_s1184"/>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85"/>
    <customShpInfo spid="_x0000_s1196"/>
    <customShpInfo spid="_x0000_s1198"/>
    <customShpInfo spid="_x0000_s1199"/>
    <customShpInfo spid="_x0000_s1200"/>
    <customShpInfo spid="_x0000_s1201"/>
    <customShpInfo spid="_x0000_s1202"/>
    <customShpInfo spid="_x0000_s1203"/>
    <customShpInfo spid="_x0000_s1204"/>
    <customShpInfo spid="_x0000_s1205"/>
    <customShpInfo spid="_x0000_s1197"/>
    <customShpInfo spid="_x0000_s1207"/>
    <customShpInfo spid="_x0000_s1208"/>
    <customShpInfo spid="_x0000_s1209"/>
    <customShpInfo spid="_x0000_s1210"/>
    <customShpInfo spid="_x0000_s1211"/>
    <customShpInfo spid="_x0000_s1212"/>
    <customShpInfo spid="_x0000_s1213"/>
    <customShpInfo spid="_x0000_s1206"/>
    <customShpInfo spid="_x0000_s1215"/>
    <customShpInfo spid="_x0000_s1216"/>
    <customShpInfo spid="_x0000_s1217"/>
    <customShpInfo spid="_x0000_s1218"/>
    <customShpInfo spid="_x0000_s1219"/>
    <customShpInfo spid="_x0000_s1220"/>
    <customShpInfo spid="_x0000_s1221"/>
    <customShpInfo spid="_x0000_s1214"/>
    <customShpInfo spid="_x0000_s1223"/>
    <customShpInfo spid="_x0000_s1224"/>
    <customShpInfo spid="_x0000_s1225"/>
    <customShpInfo spid="_x0000_s1226"/>
    <customShpInfo spid="_x0000_s1227"/>
    <customShpInfo spid="_x0000_s1228"/>
    <customShpInfo spid="_x0000_s1229"/>
    <customShpInfo spid="_x0000_s1222"/>
    <customShpInfo spid="_x0000_s1231"/>
    <customShpInfo spid="_x0000_s1232"/>
    <customShpInfo spid="_x0000_s1230"/>
    <customShpInfo spid="_x0000_s1233"/>
    <customShpInfo spid="_x0000_s1234"/>
    <customShpInfo spid="_x0000_s1236"/>
    <customShpInfo spid="_x0000_s1237"/>
    <customShpInfo spid="_x0000_s1238"/>
    <customShpInfo spid="_x0000_s1235"/>
    <customShpInfo spid="_x0000_s1240"/>
    <customShpInfo spid="_x0000_s1241"/>
    <customShpInfo spid="_x0000_s1242"/>
    <customShpInfo spid="_x0000_s1243"/>
    <customShpInfo spid="_x0000_s1244"/>
    <customShpInfo spid="_x0000_s1245"/>
    <customShpInfo spid="_x0000_s1246"/>
    <customShpInfo spid="_x0000_s1247"/>
    <customShpInfo spid="_x0000_s1239"/>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48"/>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62"/>
    <customShpInfo spid="_x0000_s1274"/>
    <customShpInfo spid="_x0000_s1276"/>
    <customShpInfo spid="_x0000_s1277"/>
    <customShpInfo spid="_x0000_s1278"/>
    <customShpInfo spid="_x0000_s1279"/>
    <customShpInfo spid="_x0000_s1280"/>
    <customShpInfo spid="_x0000_s1281"/>
    <customShpInfo spid="_x0000_s1275"/>
    <customShpInfo spid="_x0000_s1283"/>
    <customShpInfo spid="_x0000_s1284"/>
    <customShpInfo spid="_x0000_s1282"/>
    <customShpInfo spid="_x0000_s1286"/>
    <customShpInfo spid="_x0000_s1287"/>
    <customShpInfo spid="_x0000_s1288"/>
    <customShpInfo spid="_x0000_s1289"/>
    <customShpInfo spid="_x0000_s1290"/>
    <customShpInfo spid="_x0000_s1291"/>
    <customShpInfo spid="_x0000_s1292"/>
    <customShpInfo spid="_x0000_s1293"/>
    <customShpInfo spid="_x0000_s1285"/>
    <customShpInfo spid="_x0000_s1294"/>
    <customShpInfo spid="_x0000_s1295"/>
    <customShpInfo spid="_x0000_s1297"/>
    <customShpInfo spid="_x0000_s1298"/>
    <customShpInfo spid="_x0000_s1299"/>
    <customShpInfo spid="_x0000_s1300"/>
    <customShpInfo spid="_x0000_s1301"/>
    <customShpInfo spid="_x0000_s1302"/>
    <customShpInfo spid="_x0000_s1296"/>
    <customShpInfo spid="_x0000_s1304"/>
    <customShpInfo spid="_x0000_s1305"/>
    <customShpInfo spid="_x0000_s1306"/>
    <customShpInfo spid="_x0000_s1307"/>
    <customShpInfo spid="_x0000_s1308"/>
    <customShpInfo spid="_x0000_s1303"/>
    <customShpInfo spid="_x0000_s1310"/>
    <customShpInfo spid="_x0000_s1311"/>
    <customShpInfo spid="_x0000_s1312"/>
    <customShpInfo spid="_x0000_s1313"/>
    <customShpInfo spid="_x0000_s1314"/>
    <customShpInfo spid="_x0000_s1309"/>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15"/>
    <customShpInfo spid="_x0000_s1336"/>
    <customShpInfo spid="_x0000_s1337"/>
    <customShpInfo spid="_x0000_s1339"/>
    <customShpInfo spid="_x0000_s1340"/>
    <customShpInfo spid="_x0000_s1338"/>
    <customShpInfo spid="_x0000_s1342"/>
    <customShpInfo spid="_x0000_s1343"/>
    <customShpInfo spid="_x0000_s1344"/>
    <customShpInfo spid="_x0000_s1341"/>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5"/>
    <customShpInfo spid="_x0000_s1356"/>
    <customShpInfo spid="_x0000_s1354"/>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7"/>
    <customShpInfo spid="_x0000_s1368"/>
    <customShpInfo spid="_x0000_s1369"/>
    <customShpInfo spid="_x0000_s1370"/>
    <customShpInfo spid="_x0000_s1357"/>
    <customShpInfo spid="_x0000_s1372"/>
    <customShpInfo spid="_x0000_s1373"/>
    <customShpInfo spid="_x0000_s1374"/>
    <customShpInfo spid="_x0000_s1375"/>
    <customShpInfo spid="_x0000_s1376"/>
    <customShpInfo spid="_x0000_s1377"/>
    <customShpInfo spid="_x0000_s1371"/>
    <customShpInfo spid="_x0000_s1379"/>
    <customShpInfo spid="_x0000_s1380"/>
    <customShpInfo spid="_x0000_s1381"/>
    <customShpInfo spid="_x0000_s1382"/>
    <customShpInfo spid="_x0000_s1378"/>
    <customShpInfo spid="_x0000_s1384"/>
    <customShpInfo spid="_x0000_s1385"/>
    <customShpInfo spid="_x0000_s1383"/>
    <customShpInfo spid="_x0000_s1387"/>
    <customShpInfo spid="_x0000_s1388"/>
    <customShpInfo spid="_x0000_s1389"/>
    <customShpInfo spid="_x0000_s1390"/>
    <customShpInfo spid="_x0000_s1386"/>
    <customShpInfo spid="_x0000_s1392"/>
    <customShpInfo spid="_x0000_s1393"/>
    <customShpInfo spid="_x0000_s1391"/>
    <customShpInfo spid="_x0000_s1395"/>
    <customShpInfo spid="_x0000_s1396"/>
    <customShpInfo spid="_x0000_s1397"/>
    <customShpInfo spid="_x0000_s1398"/>
    <customShpInfo spid="_x0000_s1399"/>
    <customShpInfo spid="_x0000_s1400"/>
    <customShpInfo spid="_x0000_s1401"/>
    <customShpInfo spid="_x0000_s1402"/>
    <customShpInfo spid="_x0000_s1403"/>
    <customShpInfo spid="_x0000_s1404"/>
    <customShpInfo spid="_x0000_s1405"/>
    <customShpInfo spid="_x0000_s1406"/>
    <customShpInfo spid="_x0000_s1407"/>
    <customShpInfo spid="_x0000_s1408"/>
    <customShpInfo spid="_x0000_s1394"/>
    <customShpInfo spid="_x0000_s1410"/>
    <customShpInfo spid="_x0000_s1411"/>
    <customShpInfo spid="_x0000_s1412"/>
    <customShpInfo spid="_x0000_s1413"/>
    <customShpInfo spid="_x0000_s1414"/>
    <customShpInfo spid="_x0000_s1415"/>
    <customShpInfo spid="_x0000_s1416"/>
    <customShpInfo spid="_x0000_s1409"/>
    <customShpInfo spid="_x0000_s1418"/>
    <customShpInfo spid="_x0000_s1419"/>
    <customShpInfo spid="_x0000_s1420"/>
    <customShpInfo spid="_x0000_s1421"/>
    <customShpInfo spid="_x0000_s1422"/>
    <customShpInfo spid="_x0000_s1423"/>
    <customShpInfo spid="_x0000_s1417"/>
    <customShpInfo spid="_x0000_s1425"/>
    <customShpInfo spid="_x0000_s1426"/>
    <customShpInfo spid="_x0000_s1427"/>
    <customShpInfo spid="_x0000_s1428"/>
    <customShpInfo spid="_x0000_s1429"/>
    <customShpInfo spid="_x0000_s1430"/>
    <customShpInfo spid="_x0000_s1424"/>
    <customShpInfo spid="_x0000_s1432"/>
    <customShpInfo spid="_x0000_s1433"/>
    <customShpInfo spid="_x0000_s1431"/>
    <customShpInfo spid="_x0000_s1435"/>
    <customShpInfo spid="_x0000_s1436"/>
    <customShpInfo spid="_x0000_s1437"/>
    <customShpInfo spid="_x0000_s1438"/>
    <customShpInfo spid="_x0000_s1439"/>
    <customShpInfo spid="_x0000_s1440"/>
    <customShpInfo spid="_x0000_s1441"/>
    <customShpInfo spid="_x0000_s1442"/>
    <customShpInfo spid="_x0000_s1443"/>
    <customShpInfo spid="_x0000_s1444"/>
    <customShpInfo spid="_x0000_s1434"/>
    <customShpInfo spid="_x0000_s1445"/>
    <customShpInfo spid="_x0000_s1446"/>
    <customShpInfo spid="_x0000_s1447"/>
    <customShpInfo spid="_x0000_s1448"/>
    <customShpInfo spid="_x0000_s1449"/>
    <customShpInfo spid="_x0000_s1450"/>
    <customShpInfo spid="_x0000_s1451"/>
    <customShpInfo spid="_x0000_s1452"/>
    <customShpInfo spid="_x0000_s1453"/>
    <customShpInfo spid="_x0000_s1454"/>
    <customShpInfo spid="_x0000_s1455"/>
    <customShpInfo spid="_x0000_s1456"/>
    <customShpInfo spid="_x0000_s1457"/>
    <customShpInfo spid="_x0000_s1458"/>
    <customShpInfo spid="_x0000_s1459"/>
    <customShpInfo spid="_x0000_s1460"/>
    <customShpInfo spid="_x0000_s1461"/>
    <customShpInfo spid="_x0000_s1462"/>
    <customShpInfo spid="_x0000_s1463"/>
    <customShpInfo spid="_x0000_s1464"/>
    <customShpInfo spid="_x0000_s1465"/>
    <customShpInfo spid="_x0000_s1466"/>
    <customShpInfo spid="_x0000_s1467"/>
    <customShpInfo spid="_x0000_s1469"/>
    <customShpInfo spid="_x0000_s1470"/>
    <customShpInfo spid="_x0000_s1471"/>
    <customShpInfo spid="_x0000_s1468"/>
    <customShpInfo spid="_x0000_s1472"/>
    <customShpInfo spid="_x0000_s1473"/>
    <customShpInfo spid="_x0000_s1474"/>
    <customShpInfo spid="_x0000_s1475"/>
    <customShpInfo spid="_x0000_s1477"/>
    <customShpInfo spid="_x0000_s1478"/>
    <customShpInfo spid="_x0000_s1476"/>
    <customShpInfo spid="_x0000_s1480"/>
    <customShpInfo spid="_x0000_s1481"/>
    <customShpInfo spid="_x0000_s1482"/>
    <customShpInfo spid="_x0000_s1483"/>
    <customShpInfo spid="_x0000_s1484"/>
    <customShpInfo spid="_x0000_s1485"/>
    <customShpInfo spid="_x0000_s1486"/>
    <customShpInfo spid="_x0000_s1487"/>
    <customShpInfo spid="_x0000_s1479"/>
    <customShpInfo spid="_x0000_s1489"/>
    <customShpInfo spid="_x0000_s1490"/>
    <customShpInfo spid="_x0000_s1491"/>
    <customShpInfo spid="_x0000_s1492"/>
    <customShpInfo spid="_x0000_s1488"/>
    <customShpInfo spid="_x0000_s1494"/>
    <customShpInfo spid="_x0000_s1495"/>
    <customShpInfo spid="_x0000_s1493"/>
    <customShpInfo spid="_x0000_s1497"/>
    <customShpInfo spid="_x0000_s1498"/>
    <customShpInfo spid="_x0000_s1496"/>
    <customShpInfo spid="_x0000_s1500"/>
    <customShpInfo spid="_x0000_s1501"/>
    <customShpInfo spid="_x0000_s1502"/>
    <customShpInfo spid="_x0000_s1503"/>
    <customShpInfo spid="_x0000_s1499"/>
    <customShpInfo spid="_x0000_s1505"/>
    <customShpInfo spid="_x0000_s1506"/>
    <customShpInfo spid="_x0000_s1507"/>
    <customShpInfo spid="_x0000_s1504"/>
    <customShpInfo spid="_x0000_s1509"/>
    <customShpInfo spid="_x0000_s1510"/>
    <customShpInfo spid="_x0000_s1511"/>
    <customShpInfo spid="_x0000_s1512"/>
    <customShpInfo spid="_x0000_s1513"/>
    <customShpInfo spid="_x0000_s1514"/>
    <customShpInfo spid="_x0000_s1508"/>
    <customShpInfo spid="_x0000_s1516"/>
    <customShpInfo spid="_x0000_s1517"/>
    <customShpInfo spid="_x0000_s1518"/>
    <customShpInfo spid="_x0000_s1515"/>
    <customShpInfo spid="_x0000_s1520"/>
    <customShpInfo spid="_x0000_s1024"/>
    <customShpInfo spid="_x0000_s1519"/>
    <customShpInfo spid="_x0000_s1522"/>
    <customShpInfo spid="_x0000_s1523"/>
    <customShpInfo spid="_x0000_s1524"/>
    <customShpInfo spid="_x0000_s1525"/>
    <customShpInfo spid="_x0000_s1526"/>
    <customShpInfo spid="_x0000_s1527"/>
    <customShpInfo spid="_x0000_s1521"/>
    <customShpInfo spid="_x0000_s1529"/>
    <customShpInfo spid="_x0000_s1530"/>
    <customShpInfo spid="_x0000_s1531"/>
    <customShpInfo spid="_x0000_s1532"/>
    <customShpInfo spid="_x0000_s1533"/>
    <customShpInfo spid="_x0000_s1534"/>
    <customShpInfo spid="_x0000_s1535"/>
    <customShpInfo spid="_x0000_s1536"/>
    <customShpInfo spid="_x0000_s1528"/>
    <customShpInfo spid="_x0000_s1538"/>
    <customShpInfo spid="_x0000_s1539"/>
    <customShpInfo spid="_x0000_s1540"/>
    <customShpInfo spid="_x0000_s1541"/>
    <customShpInfo spid="_x0000_s1537"/>
    <customShpInfo spid="_x0000_s1543"/>
    <customShpInfo spid="_x0000_s1544"/>
    <customShpInfo spid="_x0000_s1542"/>
    <customShpInfo spid="_x0000_s1545"/>
    <customShpInfo spid="_x0000_s1546"/>
    <customShpInfo spid="_x0000_s1547"/>
    <customShpInfo spid="_x0000_s1548"/>
    <customShpInfo spid="_x0000_s1549"/>
    <customShpInfo spid="_x0000_s1550"/>
    <customShpInfo spid="_x0000_s1551"/>
    <customShpInfo spid="_x0000_s1552"/>
    <customShpInfo spid="_x0000_s1554"/>
    <customShpInfo spid="_x0000_s1555"/>
    <customShpInfo spid="_x0000_s1553"/>
    <customShpInfo spid="_x0000_s1556"/>
    <customShpInfo spid="_x0000_s1557"/>
    <customShpInfo spid="_x0000_s1558"/>
    <customShpInfo spid="_x0000_s1559"/>
    <customShpInfo spid="_x0000_s1560"/>
    <customShpInfo spid="_x0000_s1562"/>
    <customShpInfo spid="_x0000_s1563"/>
    <customShpInfo spid="_x0000_s1561"/>
    <customShpInfo spid="_x0000_s1565"/>
    <customShpInfo spid="_x0000_s1566"/>
    <customShpInfo spid="_x0000_s1567"/>
    <customShpInfo spid="_x0000_s1568"/>
    <customShpInfo spid="_x0000_s1564"/>
    <customShpInfo spid="_x0000_s1569"/>
    <customShpInfo spid="_x0000_s1570"/>
    <customShpInfo spid="_x0000_s1571"/>
    <customShpInfo spid="_x0000_s1572"/>
    <customShpInfo spid="_x0000_s1573"/>
    <customShpInfo spid="_x0000_s1574"/>
    <customShpInfo spid="_x0000_s1575"/>
    <customShpInfo spid="_x0000_s1576"/>
    <customShpInfo spid="_x0000_s1577"/>
    <customShpInfo spid="_x0000_s1578"/>
    <customShpInfo spid="_x0000_s1579"/>
    <customShpInfo spid="_x0000_s1580"/>
    <customShpInfo spid="_x0000_s1581"/>
    <customShpInfo spid="_x0000_s1582"/>
    <customShpInfo spid="_x0000_s1583"/>
    <customShpInfo spid="_x0000_s1584"/>
    <customShpInfo spid="_x0000_s1585"/>
    <customShpInfo spid="_x0000_s1586"/>
    <customShpInfo spid="_x0000_s1587"/>
    <customShpInfo spid="_x0000_s1588"/>
    <customShpInfo spid="_x0000_s1590"/>
    <customShpInfo spid="_x0000_s1591"/>
    <customShpInfo spid="_x0000_s1592"/>
    <customShpInfo spid="_x0000_s1593"/>
    <customShpInfo spid="_x0000_s1594"/>
    <customShpInfo spid="_x0000_s1589"/>
    <customShpInfo spid="_x0000_s1595"/>
    <customShpInfo spid="_x0000_s1596"/>
    <customShpInfo spid="_x0000_s1597"/>
    <customShpInfo spid="_x0000_s1599"/>
    <customShpInfo spid="_x0000_s1600"/>
    <customShpInfo spid="_x0000_s1598"/>
    <customShpInfo spid="_x0000_s1602"/>
    <customShpInfo spid="_x0000_s1603"/>
    <customShpInfo spid="_x0000_s1604"/>
    <customShpInfo spid="_x0000_s1605"/>
    <customShpInfo spid="_x0000_s1606"/>
    <customShpInfo spid="_x0000_s1607"/>
    <customShpInfo spid="_x0000_s1608"/>
    <customShpInfo spid="_x0000_s1609"/>
    <customShpInfo spid="_x0000_s1610"/>
    <customShpInfo spid="_x0000_s1611"/>
    <customShpInfo spid="_x0000_s1612"/>
    <customShpInfo spid="_x0000_s1613"/>
    <customShpInfo spid="_x0000_s1601"/>
    <customShpInfo spid="_x0000_s1614"/>
    <customShpInfo spid="_x0000_s1615"/>
    <customShpInfo spid="_x0000_s1616"/>
    <customShpInfo spid="_x0000_s1617"/>
    <customShpInfo spid="_x0000_s1618"/>
    <customShpInfo spid="_x0000_s1619"/>
    <customShpInfo spid="_x0000_s1620"/>
    <customShpInfo spid="_x0000_s1621"/>
    <customShpInfo spid="_x0000_s1622"/>
    <customShpInfo spid="_x0000_s1623"/>
    <customShpInfo spid="_x0000_s1624"/>
    <customShpInfo spid="_x0000_s1625"/>
    <customShpInfo spid="_x0000_s1626"/>
    <customShpInfo spid="_x0000_s1627"/>
    <customShpInfo spid="_x0000_s1629"/>
    <customShpInfo spid="_x0000_s1630"/>
    <customShpInfo spid="_x0000_s1631"/>
    <customShpInfo spid="_x0000_s1628"/>
    <customShpInfo spid="_x0000_s1632"/>
    <customShpInfo spid="_x0000_s1633"/>
    <customShpInfo spid="_x0000_s1635"/>
    <customShpInfo spid="_x0000_s1636"/>
    <customShpInfo spid="_x0000_s1637"/>
    <customShpInfo spid="_x0000_s1638"/>
    <customShpInfo spid="_x0000_s1634"/>
    <customShpInfo spid="_x0000_s1640"/>
    <customShpInfo spid="_x0000_s1641"/>
    <customShpInfo spid="_x0000_s1642"/>
    <customShpInfo spid="_x0000_s1643"/>
    <customShpInfo spid="_x0000_s1644"/>
    <customShpInfo spid="_x0000_s1645"/>
    <customShpInfo spid="_x0000_s1646"/>
    <customShpInfo spid="_x0000_s1639"/>
    <customShpInfo spid="_x0000_s1648"/>
    <customShpInfo spid="_x0000_s1649"/>
    <customShpInfo spid="_x0000_s1650"/>
    <customShpInfo spid="_x0000_s1651"/>
    <customShpInfo spid="_x0000_s1647"/>
    <customShpInfo spid="_x0000_s1653"/>
    <customShpInfo spid="_x0000_s1654"/>
    <customShpInfo spid="_x0000_s16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623</Pages>
  <Words>4570</Words>
  <Characters>5643</Characters>
  <TotalTime>9</TotalTime>
  <ScaleCrop>false</ScaleCrop>
  <LinksUpToDate>false</LinksUpToDate>
  <CharactersWithSpaces>7125</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2025-02-28T17:59:00Z</dcterms:created>
  <dc:creator>Kingsoft-PDF</dc:creator>
  <cp:lastModifiedBy>就是现在</cp:lastModifiedBy>
  <dcterms:modified xsi:type="dcterms:W3CDTF">2025-02-28T10:15:47Z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2025-02-28T18:00:28Z</vt:filetime>
  </property>
  <property fmtid="{D5CDD505-2E9C-101B-9397-08002B2CF9AE}" pid="4" name="UsrData">
    <vt:lpwstr>67c1889de9f72c001f91dd9bwl</vt:lpwstr>
  </property>
  <property fmtid="{D5CDD505-2E9C-101B-9397-08002B2CF9AE}" pid="5" name="KSOTemplateDocerSaveRecord">
    <vt:lpwstr>eyJoZGlkIjoiZDc1Zjk3NDZlMGNjOGEyNTA1NjY1NWY4MjhkYmVlMDciLCJ1c2VySWQiOiI0MzYzODIzMTkifQ==</vt:lpwstr>
  </property>
  <property fmtid="{D5CDD505-2E9C-101B-9397-08002B2CF9AE}" pid="6" name="KSOProductBuildVer">
    <vt:lpwstr>2052-12.1.0.20305</vt:lpwstr>
  </property>
  <property fmtid="{D5CDD505-2E9C-101B-9397-08002B2CF9AE}" pid="7" name="ICV">
    <vt:lpwstr>E49C731C1137414CAB26CF5D47C7BFB8_12</vt:lpwstr>
  </property>
</Properties>
</file>